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svg" ContentType="image/svg+xml"/>
  <Default Extension="vsd" ContentType="application/vnd.visio"/>
  <Default Extension="vsdx" ContentType="application/vnd.ms-visio.drawing"/>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footer21.xml" ContentType="application/vnd.openxmlformats-officedocument.wordprocessingml.footer+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charts/style2.xml" ContentType="application/vnd.ms-office.chartstyle+xml"/>
  <Override PartName="/word/charts/colors2.xml" ContentType="application/vnd.ms-office.chartcolorstyle+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charts/chart13.xml" ContentType="application/vnd.openxmlformats-officedocument.drawingml.chart+xml"/>
  <Override PartName="/word/theme/themeOverride10.xml" ContentType="application/vnd.openxmlformats-officedocument.themeOverride+xml"/>
  <Override PartName="/word/charts/chart14.xml" ContentType="application/vnd.openxmlformats-officedocument.drawingml.chart+xml"/>
  <Override PartName="/word/theme/themeOverride11.xml" ContentType="application/vnd.openxmlformats-officedocument.themeOverride+xml"/>
  <Override PartName="/word/charts/chart1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6.xml" ContentType="application/vnd.openxmlformats-officedocument.drawingml.chart+xml"/>
  <Override PartName="/word/theme/themeOverride12.xml" ContentType="application/vnd.openxmlformats-officedocument.themeOverride+xml"/>
  <Override PartName="/word/drawings/drawing1.xml" ContentType="application/vnd.openxmlformats-officedocument.drawingml.chartshapes+xml"/>
  <Override PartName="/word/footer25.xml" ContentType="application/vnd.openxmlformats-officedocument.wordprocessingml.footer+xml"/>
  <Override PartName="/word/footer2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11.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13E917" w14:textId="32815691" w:rsidR="00C87D4E" w:rsidRPr="00261B7A" w:rsidRDefault="00C72CE4" w:rsidP="00C87D4E">
      <w:pPr>
        <w:pStyle w:val="Title"/>
      </w:pPr>
      <w:r>
        <w:rPr>
          <w:noProof/>
        </w:rPr>
        <w:drawing>
          <wp:anchor distT="0" distB="0" distL="114300" distR="114300" simplePos="0" relativeHeight="251664384" behindDoc="0" locked="0" layoutInCell="1" allowOverlap="1" wp14:anchorId="26E2D9DC" wp14:editId="63C71CF2">
            <wp:simplePos x="0" y="0"/>
            <wp:positionH relativeFrom="column">
              <wp:posOffset>-889672</wp:posOffset>
            </wp:positionH>
            <wp:positionV relativeFrom="paragraph">
              <wp:posOffset>-3589692</wp:posOffset>
            </wp:positionV>
            <wp:extent cx="7560493" cy="10693101"/>
            <wp:effectExtent l="0" t="0" r="254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67095" cy="10702438"/>
                    </a:xfrm>
                    <a:prstGeom prst="rect">
                      <a:avLst/>
                    </a:prstGeom>
                  </pic:spPr>
                </pic:pic>
              </a:graphicData>
            </a:graphic>
            <wp14:sizeRelH relativeFrom="page">
              <wp14:pctWidth>0</wp14:pctWidth>
            </wp14:sizeRelH>
            <wp14:sizeRelV relativeFrom="page">
              <wp14:pctHeight>0</wp14:pctHeight>
            </wp14:sizeRelV>
          </wp:anchor>
        </w:drawing>
      </w:r>
      <w:r w:rsidR="00C87D4E" w:rsidRPr="00261B7A">
        <w:t xml:space="preserve">New Zealand’s </w:t>
      </w:r>
      <w:r w:rsidR="00C87D4E" w:rsidRPr="00261B7A">
        <w:br/>
        <w:t xml:space="preserve">Greenhouse Gas Inventory </w:t>
      </w:r>
      <w:r w:rsidR="005550FF" w:rsidRPr="00261B7A">
        <w:br/>
      </w:r>
      <w:r w:rsidR="00C87D4E" w:rsidRPr="00261B7A">
        <w:t>1990–2021</w:t>
      </w:r>
    </w:p>
    <w:p w14:paraId="6BB5411F" w14:textId="77777777" w:rsidR="005550FF" w:rsidRPr="00261B7A" w:rsidRDefault="005550FF" w:rsidP="005550FF">
      <w:pPr>
        <w:pStyle w:val="BodyText"/>
      </w:pPr>
    </w:p>
    <w:p w14:paraId="104373BA" w14:textId="77777777" w:rsidR="00DD019C" w:rsidRPr="00261B7A" w:rsidRDefault="00DD019C" w:rsidP="005550FF">
      <w:pPr>
        <w:pStyle w:val="BodyText"/>
      </w:pPr>
    </w:p>
    <w:p w14:paraId="5C99EE9B" w14:textId="77777777" w:rsidR="00DD019C" w:rsidRPr="00261B7A" w:rsidRDefault="00DD019C" w:rsidP="005550FF">
      <w:pPr>
        <w:pStyle w:val="BodyText"/>
      </w:pPr>
    </w:p>
    <w:p w14:paraId="425AD011" w14:textId="77777777" w:rsidR="00DD019C" w:rsidRPr="00261B7A" w:rsidRDefault="00DD019C" w:rsidP="005550FF">
      <w:pPr>
        <w:pStyle w:val="BodyText"/>
      </w:pPr>
    </w:p>
    <w:p w14:paraId="74E21FB9" w14:textId="6DA6C97D" w:rsidR="00C87D4E" w:rsidRPr="0047792E" w:rsidRDefault="00C87D4E" w:rsidP="00DD019C">
      <w:pPr>
        <w:pStyle w:val="BodyText"/>
        <w:spacing w:before="0" w:after="0"/>
        <w:jc w:val="center"/>
        <w:rPr>
          <w:sz w:val="24"/>
          <w:szCs w:val="24"/>
        </w:rPr>
      </w:pPr>
      <w:r w:rsidRPr="0047792E">
        <w:rPr>
          <w:sz w:val="24"/>
          <w:szCs w:val="24"/>
        </w:rPr>
        <w:t>Fulfilling reporting requirements under the</w:t>
      </w:r>
    </w:p>
    <w:p w14:paraId="19A65AA6" w14:textId="2BB26DC7" w:rsidR="006E0A2C" w:rsidRPr="0047792E" w:rsidRDefault="00C87D4E" w:rsidP="00DD019C">
      <w:pPr>
        <w:pStyle w:val="BodyText"/>
        <w:spacing w:before="0" w:after="0"/>
        <w:jc w:val="center"/>
        <w:rPr>
          <w:sz w:val="24"/>
          <w:szCs w:val="24"/>
        </w:rPr>
      </w:pPr>
      <w:r w:rsidRPr="0047792E">
        <w:rPr>
          <w:sz w:val="24"/>
          <w:szCs w:val="24"/>
        </w:rPr>
        <w:t xml:space="preserve">United Nations Framework Convention </w:t>
      </w:r>
      <w:r w:rsidR="00D82A05">
        <w:rPr>
          <w:sz w:val="24"/>
          <w:szCs w:val="24"/>
        </w:rPr>
        <w:t>on</w:t>
      </w:r>
      <w:r w:rsidR="008D30D0" w:rsidRPr="0047792E">
        <w:rPr>
          <w:sz w:val="24"/>
          <w:szCs w:val="24"/>
        </w:rPr>
        <w:br/>
      </w:r>
      <w:r w:rsidRPr="0047792E">
        <w:rPr>
          <w:sz w:val="24"/>
          <w:szCs w:val="24"/>
        </w:rPr>
        <w:t>Climate Change and the Kyoto Protocol</w:t>
      </w:r>
    </w:p>
    <w:p w14:paraId="28CE1782" w14:textId="77777777" w:rsidR="005550FF" w:rsidRPr="00261B7A" w:rsidRDefault="005550FF" w:rsidP="00DD019C">
      <w:pPr>
        <w:rPr>
          <w:sz w:val="26"/>
          <w:szCs w:val="26"/>
        </w:rPr>
      </w:pPr>
    </w:p>
    <w:p w14:paraId="17CDA0AD" w14:textId="77777777" w:rsidR="005550FF" w:rsidRPr="00261B7A" w:rsidRDefault="005550FF" w:rsidP="00C87D4E"/>
    <w:p w14:paraId="31B71404" w14:textId="0568929F" w:rsidR="005550FF" w:rsidRPr="00261B7A" w:rsidRDefault="005550FF" w:rsidP="00C87D4E">
      <w:pPr>
        <w:sectPr w:rsidR="005550FF" w:rsidRPr="00261B7A" w:rsidSect="00872795">
          <w:headerReference w:type="even" r:id="rId12"/>
          <w:headerReference w:type="default" r:id="rId13"/>
          <w:footerReference w:type="even" r:id="rId14"/>
          <w:footerReference w:type="default" r:id="rId15"/>
          <w:headerReference w:type="first" r:id="rId16"/>
          <w:footerReference w:type="first" r:id="rId17"/>
          <w:pgSz w:w="11907" w:h="16840" w:code="9"/>
          <w:pgMar w:top="5670" w:right="1418" w:bottom="1701" w:left="1418" w:header="567" w:footer="567" w:gutter="0"/>
          <w:cols w:space="720"/>
        </w:sectPr>
      </w:pPr>
    </w:p>
    <w:p w14:paraId="0BA45F9C" w14:textId="3BC5E193" w:rsidR="00EA7AED" w:rsidRPr="00261B7A" w:rsidRDefault="00EA7AED" w:rsidP="003E6A4E">
      <w:pPr>
        <w:pStyle w:val="Imprint"/>
        <w:spacing w:after="120"/>
        <w:jc w:val="left"/>
        <w:rPr>
          <w:rFonts w:cs="Calibri"/>
          <w:color w:val="000000"/>
        </w:rPr>
      </w:pPr>
    </w:p>
    <w:p w14:paraId="30910767" w14:textId="77777777" w:rsidR="00EA7AED" w:rsidRPr="00261B7A" w:rsidRDefault="00EA7AED" w:rsidP="003E6A4E">
      <w:pPr>
        <w:pStyle w:val="Imprint"/>
        <w:spacing w:after="120"/>
        <w:jc w:val="left"/>
        <w:rPr>
          <w:rFonts w:cs="Calibri"/>
          <w:color w:val="000000"/>
        </w:rPr>
      </w:pPr>
    </w:p>
    <w:p w14:paraId="10CA415B" w14:textId="77777777" w:rsidR="00EA7AED" w:rsidRPr="00261B7A" w:rsidRDefault="00EA7AED" w:rsidP="003E6A4E">
      <w:pPr>
        <w:pStyle w:val="Imprint"/>
        <w:spacing w:after="120"/>
        <w:jc w:val="left"/>
        <w:rPr>
          <w:rFonts w:cs="Calibri"/>
          <w:color w:val="000000"/>
        </w:rPr>
      </w:pPr>
    </w:p>
    <w:p w14:paraId="5C0FC2A3" w14:textId="77777777" w:rsidR="00EA7AED" w:rsidRPr="00261B7A" w:rsidRDefault="00EA7AED" w:rsidP="003E6A4E">
      <w:pPr>
        <w:pStyle w:val="Imprint"/>
        <w:spacing w:after="120"/>
        <w:jc w:val="left"/>
        <w:rPr>
          <w:rFonts w:cs="Calibri"/>
          <w:color w:val="000000"/>
        </w:rPr>
      </w:pPr>
    </w:p>
    <w:p w14:paraId="2D6BB1D5" w14:textId="77777777" w:rsidR="00EA7AED" w:rsidRPr="00261B7A" w:rsidRDefault="00EA7AED" w:rsidP="003E6A4E">
      <w:pPr>
        <w:pStyle w:val="Imprint"/>
        <w:spacing w:after="120"/>
        <w:jc w:val="left"/>
        <w:rPr>
          <w:rFonts w:cs="Calibri"/>
          <w:color w:val="000000"/>
        </w:rPr>
      </w:pPr>
    </w:p>
    <w:p w14:paraId="1FFAF7F2" w14:textId="5B8D4AF6" w:rsidR="003E6A4E" w:rsidRPr="00261B7A" w:rsidRDefault="003E6A4E" w:rsidP="003E6A4E">
      <w:pPr>
        <w:pStyle w:val="Imprint"/>
        <w:spacing w:after="120"/>
        <w:jc w:val="left"/>
        <w:rPr>
          <w:rFonts w:cs="Calibri"/>
        </w:rPr>
      </w:pPr>
      <w:r w:rsidRPr="00261B7A">
        <w:rPr>
          <w:rFonts w:cs="Calibri"/>
          <w:color w:val="000000"/>
        </w:rPr>
        <w:t>This document may be cited as: Ministry for the Environment. 202</w:t>
      </w:r>
      <w:r w:rsidR="00EA7AED" w:rsidRPr="00261B7A">
        <w:rPr>
          <w:rFonts w:cs="Calibri"/>
          <w:color w:val="000000"/>
        </w:rPr>
        <w:t>3</w:t>
      </w:r>
      <w:r w:rsidRPr="00261B7A">
        <w:rPr>
          <w:rFonts w:cs="Calibri"/>
          <w:color w:val="000000"/>
        </w:rPr>
        <w:t xml:space="preserve">. </w:t>
      </w:r>
      <w:r w:rsidRPr="00261B7A">
        <w:rPr>
          <w:rFonts w:cs="Calibri"/>
          <w:i/>
          <w:iCs/>
          <w:color w:val="000000"/>
        </w:rPr>
        <w:t>New Zealand’s Greenhouse Gas Inventory 1990–202</w:t>
      </w:r>
      <w:r w:rsidR="00EA7AED" w:rsidRPr="00261B7A">
        <w:rPr>
          <w:rFonts w:cs="Calibri"/>
          <w:i/>
          <w:iCs/>
          <w:color w:val="000000"/>
        </w:rPr>
        <w:t>1</w:t>
      </w:r>
      <w:r w:rsidRPr="00261B7A">
        <w:rPr>
          <w:rFonts w:cs="Calibri"/>
          <w:i/>
          <w:iCs/>
          <w:color w:val="000000"/>
        </w:rPr>
        <w:t xml:space="preserve">. </w:t>
      </w:r>
      <w:r w:rsidRPr="00261B7A">
        <w:rPr>
          <w:rFonts w:cs="Calibri"/>
          <w:color w:val="000000"/>
        </w:rPr>
        <w:t>Wellington: Ministry for the Environment.</w:t>
      </w:r>
    </w:p>
    <w:p w14:paraId="7A06D0F5" w14:textId="77777777" w:rsidR="003E6A4E" w:rsidRPr="00261B7A" w:rsidRDefault="003E6A4E" w:rsidP="003E6A4E">
      <w:pPr>
        <w:pStyle w:val="Imprint"/>
        <w:spacing w:after="120"/>
        <w:jc w:val="left"/>
        <w:rPr>
          <w:rFonts w:cs="Calibri"/>
        </w:rPr>
      </w:pPr>
    </w:p>
    <w:p w14:paraId="728B433B" w14:textId="77777777" w:rsidR="003E6A4E" w:rsidRPr="00261B7A" w:rsidRDefault="003E6A4E" w:rsidP="003E6A4E">
      <w:pPr>
        <w:pStyle w:val="Imprint"/>
        <w:spacing w:after="120"/>
        <w:jc w:val="left"/>
        <w:rPr>
          <w:rFonts w:cs="Calibri"/>
        </w:rPr>
      </w:pPr>
    </w:p>
    <w:p w14:paraId="639F34EE" w14:textId="77777777" w:rsidR="003E6A4E" w:rsidRPr="00261B7A" w:rsidRDefault="003E6A4E" w:rsidP="003E6A4E">
      <w:pPr>
        <w:pStyle w:val="Imprint"/>
        <w:spacing w:after="120"/>
        <w:jc w:val="left"/>
        <w:rPr>
          <w:rFonts w:cs="Calibri"/>
        </w:rPr>
      </w:pPr>
    </w:p>
    <w:p w14:paraId="6DBE6A19" w14:textId="77777777" w:rsidR="003E6A4E" w:rsidRPr="00261B7A" w:rsidRDefault="003E6A4E" w:rsidP="003E6A4E">
      <w:pPr>
        <w:pStyle w:val="Imprint"/>
        <w:spacing w:after="120"/>
        <w:jc w:val="left"/>
        <w:rPr>
          <w:rFonts w:cs="Calibri"/>
        </w:rPr>
      </w:pPr>
    </w:p>
    <w:p w14:paraId="3CF9208B" w14:textId="77777777" w:rsidR="003E6A4E" w:rsidRPr="00261B7A" w:rsidRDefault="003E6A4E" w:rsidP="003E6A4E"/>
    <w:p w14:paraId="3C6237DB" w14:textId="77777777" w:rsidR="003E6A4E" w:rsidRPr="00261B7A" w:rsidRDefault="003E6A4E" w:rsidP="003E6A4E"/>
    <w:p w14:paraId="1F05B1B7" w14:textId="77777777" w:rsidR="003E6A4E" w:rsidRPr="00261B7A" w:rsidRDefault="003E6A4E" w:rsidP="003E6A4E"/>
    <w:p w14:paraId="387F7533" w14:textId="77777777" w:rsidR="003E6A4E" w:rsidRPr="00261B7A" w:rsidRDefault="003E6A4E" w:rsidP="003E6A4E">
      <w:pPr>
        <w:pStyle w:val="Imprint"/>
        <w:spacing w:after="120"/>
        <w:jc w:val="left"/>
        <w:rPr>
          <w:rFonts w:cs="Calibri"/>
        </w:rPr>
      </w:pPr>
    </w:p>
    <w:p w14:paraId="0CBFF674" w14:textId="77777777" w:rsidR="003E6A4E" w:rsidRPr="00261B7A" w:rsidRDefault="003E6A4E" w:rsidP="003E6A4E">
      <w:pPr>
        <w:pStyle w:val="Imprint"/>
        <w:spacing w:after="120"/>
        <w:jc w:val="left"/>
        <w:rPr>
          <w:rFonts w:cs="Calibri"/>
        </w:rPr>
      </w:pPr>
    </w:p>
    <w:p w14:paraId="3B5E7A36" w14:textId="77777777" w:rsidR="003E6A4E" w:rsidRPr="00261B7A" w:rsidRDefault="003E6A4E" w:rsidP="003E6A4E">
      <w:pPr>
        <w:pStyle w:val="Imprint"/>
        <w:spacing w:after="120"/>
        <w:jc w:val="left"/>
        <w:rPr>
          <w:rFonts w:cs="Calibri"/>
        </w:rPr>
      </w:pPr>
    </w:p>
    <w:p w14:paraId="32833AB1" w14:textId="77777777" w:rsidR="003E6A4E" w:rsidRPr="00261B7A" w:rsidRDefault="003E6A4E" w:rsidP="003E6A4E">
      <w:pPr>
        <w:pStyle w:val="Imprint"/>
        <w:spacing w:after="120"/>
        <w:jc w:val="left"/>
        <w:rPr>
          <w:rFonts w:cs="Calibri"/>
        </w:rPr>
      </w:pPr>
    </w:p>
    <w:p w14:paraId="6F6F604E" w14:textId="77777777" w:rsidR="003E6A4E" w:rsidRPr="00261B7A" w:rsidRDefault="003E6A4E" w:rsidP="003E6A4E">
      <w:pPr>
        <w:pStyle w:val="Imprint"/>
        <w:spacing w:after="120"/>
        <w:jc w:val="left"/>
        <w:rPr>
          <w:rFonts w:cs="Calibri"/>
        </w:rPr>
      </w:pPr>
    </w:p>
    <w:p w14:paraId="1ECE7F88" w14:textId="77777777" w:rsidR="003E6A4E" w:rsidRPr="00261B7A" w:rsidRDefault="003E6A4E" w:rsidP="003E6A4E">
      <w:pPr>
        <w:pStyle w:val="Imprint"/>
        <w:spacing w:after="120"/>
        <w:jc w:val="left"/>
        <w:rPr>
          <w:rFonts w:cs="Calibri"/>
        </w:rPr>
      </w:pPr>
    </w:p>
    <w:p w14:paraId="72FF4D29" w14:textId="77777777" w:rsidR="003E6A4E" w:rsidRPr="00261B7A" w:rsidRDefault="003E6A4E" w:rsidP="003E6A4E">
      <w:pPr>
        <w:pStyle w:val="Imprint"/>
        <w:spacing w:after="120"/>
        <w:jc w:val="left"/>
        <w:rPr>
          <w:rFonts w:cs="Calibri"/>
        </w:rPr>
      </w:pPr>
    </w:p>
    <w:p w14:paraId="4740060B" w14:textId="77777777" w:rsidR="003E6A4E" w:rsidRPr="00261B7A" w:rsidRDefault="003E6A4E" w:rsidP="003E6A4E">
      <w:pPr>
        <w:pStyle w:val="Imprint"/>
        <w:spacing w:after="120"/>
        <w:jc w:val="left"/>
        <w:rPr>
          <w:rFonts w:cs="Calibri"/>
        </w:rPr>
      </w:pPr>
    </w:p>
    <w:p w14:paraId="7E34C06A" w14:textId="77777777" w:rsidR="003E6A4E" w:rsidRPr="00261B7A" w:rsidRDefault="003E6A4E" w:rsidP="003E6A4E">
      <w:pPr>
        <w:pStyle w:val="Imprint"/>
        <w:spacing w:after="120"/>
        <w:jc w:val="left"/>
        <w:rPr>
          <w:rFonts w:cs="Calibri"/>
        </w:rPr>
      </w:pPr>
    </w:p>
    <w:p w14:paraId="48C69C57" w14:textId="77777777" w:rsidR="003E6A4E" w:rsidRPr="00261B7A" w:rsidRDefault="003E6A4E" w:rsidP="003E6A4E">
      <w:pPr>
        <w:pStyle w:val="Imprint"/>
        <w:spacing w:after="120"/>
        <w:jc w:val="left"/>
        <w:rPr>
          <w:rFonts w:cs="Arial"/>
        </w:rPr>
      </w:pPr>
      <w:r w:rsidRPr="00261B7A">
        <w:rPr>
          <w:rFonts w:cs="Calibri"/>
        </w:rPr>
        <w:t>Volume 1, Chapters 1–15</w:t>
      </w:r>
    </w:p>
    <w:p w14:paraId="06689CEF" w14:textId="4477DC95" w:rsidR="003E6A4E" w:rsidRPr="00261B7A" w:rsidRDefault="003E6A4E" w:rsidP="003E6A4E">
      <w:pPr>
        <w:pStyle w:val="Imprint"/>
        <w:spacing w:before="240"/>
        <w:jc w:val="left"/>
      </w:pPr>
      <w:r w:rsidRPr="00261B7A">
        <w:rPr>
          <w:rFonts w:cs="Arial"/>
        </w:rPr>
        <w:t xml:space="preserve">Submitted to the United Nations </w:t>
      </w:r>
      <w:r w:rsidRPr="00261B7A">
        <w:rPr>
          <w:rFonts w:cs="Arial"/>
        </w:rPr>
        <w:br/>
        <w:t>Framework Convention on Climate Change</w:t>
      </w:r>
      <w:r w:rsidRPr="00261B7A">
        <w:rPr>
          <w:rFonts w:cs="Arial"/>
        </w:rPr>
        <w:br/>
        <w:t>April 202</w:t>
      </w:r>
      <w:r w:rsidR="00EA7AED" w:rsidRPr="00261B7A">
        <w:rPr>
          <w:rFonts w:cs="Arial"/>
        </w:rPr>
        <w:t>3</w:t>
      </w:r>
    </w:p>
    <w:p w14:paraId="765942CE" w14:textId="410A3679" w:rsidR="003E6A4E" w:rsidRPr="00261B7A" w:rsidRDefault="003E6A4E" w:rsidP="003E6A4E">
      <w:pPr>
        <w:pStyle w:val="Imprint"/>
        <w:jc w:val="left"/>
        <w:rPr>
          <w:rFonts w:cs="Arial"/>
        </w:rPr>
      </w:pPr>
      <w:r w:rsidRPr="00261B7A">
        <w:rPr>
          <w:rFonts w:cs="Calibri"/>
        </w:rPr>
        <w:t>Published in April 202</w:t>
      </w:r>
      <w:r w:rsidR="00EA7AED" w:rsidRPr="00261B7A">
        <w:rPr>
          <w:rFonts w:cs="Calibri"/>
        </w:rPr>
        <w:t>3</w:t>
      </w:r>
      <w:r w:rsidRPr="00261B7A">
        <w:rPr>
          <w:rFonts w:cs="Calibri"/>
        </w:rPr>
        <w:t xml:space="preserve"> by the</w:t>
      </w:r>
      <w:r w:rsidRPr="00261B7A">
        <w:rPr>
          <w:rFonts w:cs="Arial"/>
        </w:rPr>
        <w:br/>
        <w:t xml:space="preserve">Ministry for the Environment </w:t>
      </w:r>
      <w:r w:rsidRPr="00261B7A">
        <w:rPr>
          <w:rFonts w:cs="Arial"/>
        </w:rPr>
        <w:br/>
        <w:t>Manatū Mō Te Taiao</w:t>
      </w:r>
      <w:r w:rsidRPr="00261B7A">
        <w:rPr>
          <w:rFonts w:cs="Arial"/>
        </w:rPr>
        <w:br/>
        <w:t>PO Box 10-362, Wellington, New Zealand</w:t>
      </w:r>
    </w:p>
    <w:p w14:paraId="5964CBB3" w14:textId="77777777" w:rsidR="003E6A4E" w:rsidRPr="00261B7A" w:rsidRDefault="003E6A4E" w:rsidP="003E6A4E">
      <w:pPr>
        <w:pStyle w:val="Imprint"/>
        <w:tabs>
          <w:tab w:val="left" w:pos="709"/>
        </w:tabs>
        <w:spacing w:after="0"/>
        <w:jc w:val="left"/>
      </w:pPr>
      <w:r w:rsidRPr="00261B7A">
        <w:t>ISSN:</w:t>
      </w:r>
      <w:r w:rsidRPr="00261B7A">
        <w:tab/>
      </w:r>
      <w:r w:rsidRPr="00261B7A">
        <w:rPr>
          <w:lang w:eastAsia="en-GB"/>
        </w:rPr>
        <w:t xml:space="preserve">1179-223X </w:t>
      </w:r>
      <w:r w:rsidRPr="00261B7A">
        <w:t>(electronic)</w:t>
      </w:r>
    </w:p>
    <w:p w14:paraId="0AE77D67" w14:textId="70B0BDCF" w:rsidR="003E6A4E" w:rsidRPr="00261B7A" w:rsidRDefault="003E6A4E" w:rsidP="003E6A4E">
      <w:pPr>
        <w:pStyle w:val="Imprint"/>
        <w:tabs>
          <w:tab w:val="left" w:pos="709"/>
        </w:tabs>
        <w:jc w:val="left"/>
        <w:rPr>
          <w:lang w:eastAsia="en-GB"/>
        </w:rPr>
      </w:pPr>
      <w:r w:rsidRPr="00261B7A">
        <w:t xml:space="preserve">Publication number: </w:t>
      </w:r>
      <w:r w:rsidRPr="00261B7A">
        <w:rPr>
          <w:lang w:eastAsia="en-GB"/>
        </w:rPr>
        <w:t xml:space="preserve">ME </w:t>
      </w:r>
      <w:r w:rsidR="00EB4039" w:rsidRPr="00261B7A">
        <w:rPr>
          <w:color w:val="000000"/>
          <w:shd w:val="clear" w:color="auto" w:fill="FFFFFF"/>
          <w:lang w:eastAsia="en-GB"/>
        </w:rPr>
        <w:t>1750</w:t>
      </w:r>
    </w:p>
    <w:p w14:paraId="6DC2970E" w14:textId="7D9F08F0" w:rsidR="003E6A4E" w:rsidRPr="00261B7A" w:rsidRDefault="003E6A4E" w:rsidP="003E6A4E">
      <w:pPr>
        <w:rPr>
          <w:rFonts w:cs="Calibri"/>
        </w:rPr>
      </w:pPr>
      <w:r w:rsidRPr="00261B7A">
        <w:rPr>
          <w:rFonts w:cs="Calibri"/>
        </w:rPr>
        <w:t>© Crown copyright New Zealand 202</w:t>
      </w:r>
      <w:r w:rsidR="00EA7AED" w:rsidRPr="00261B7A">
        <w:rPr>
          <w:rFonts w:cs="Calibri"/>
        </w:rPr>
        <w:t>3</w:t>
      </w:r>
    </w:p>
    <w:p w14:paraId="5D29EE98" w14:textId="77777777" w:rsidR="003E6A4E" w:rsidRPr="00261B7A" w:rsidRDefault="003E6A4E" w:rsidP="003E6A4E">
      <w:pPr>
        <w:rPr>
          <w:rFonts w:cs="Calibri"/>
        </w:rPr>
      </w:pPr>
    </w:p>
    <w:p w14:paraId="2CB31676" w14:textId="77777777" w:rsidR="003E6A4E" w:rsidRPr="00261B7A" w:rsidRDefault="003E6A4E" w:rsidP="003E6A4E">
      <w:pPr>
        <w:autoSpaceDE w:val="0"/>
        <w:autoSpaceDN w:val="0"/>
        <w:adjustRightInd w:val="0"/>
        <w:rPr>
          <w:rFonts w:cs="Calibri"/>
          <w:color w:val="000000"/>
        </w:rPr>
      </w:pPr>
      <w:r w:rsidRPr="00261B7A">
        <w:rPr>
          <w:rFonts w:cs="Calibri"/>
          <w:color w:val="000000"/>
        </w:rPr>
        <w:t>This document is available on the Ministry for the Environment website:</w:t>
      </w:r>
    </w:p>
    <w:p w14:paraId="6D716D27" w14:textId="77777777" w:rsidR="003E6A4E" w:rsidRPr="00261B7A" w:rsidRDefault="003E6A4E" w:rsidP="003E6A4E">
      <w:r w:rsidRPr="00261B7A">
        <w:rPr>
          <w:rFonts w:cs="Calibri"/>
          <w:color w:val="32819D"/>
        </w:rPr>
        <w:t>www.environment.govt.nz</w:t>
      </w:r>
      <w:r w:rsidRPr="00261B7A">
        <w:rPr>
          <w:rFonts w:cs="Calibri"/>
          <w:color w:val="000000"/>
        </w:rPr>
        <w:t>.</w:t>
      </w:r>
    </w:p>
    <w:p w14:paraId="4A267386" w14:textId="77777777" w:rsidR="006E0A2C" w:rsidRPr="00261B7A" w:rsidRDefault="006E0A2C" w:rsidP="006E0A2C">
      <w:pPr>
        <w:sectPr w:rsidR="006E0A2C" w:rsidRPr="00261B7A" w:rsidSect="003E6A4E">
          <w:headerReference w:type="default" r:id="rId18"/>
          <w:footerReference w:type="default" r:id="rId19"/>
          <w:pgSz w:w="11907" w:h="16840" w:code="9"/>
          <w:pgMar w:top="1701" w:right="1418" w:bottom="1701" w:left="1701" w:header="567" w:footer="567" w:gutter="0"/>
          <w:pgNumType w:fmt="lowerRoman"/>
          <w:cols w:space="720"/>
        </w:sectPr>
      </w:pPr>
    </w:p>
    <w:p w14:paraId="07838EBF" w14:textId="77777777" w:rsidR="001D1F8B" w:rsidRPr="00261B7A" w:rsidRDefault="001D1F8B" w:rsidP="001D1F8B">
      <w:pPr>
        <w:pStyle w:val="Heading1"/>
      </w:pPr>
      <w:bookmarkStart w:id="0" w:name="_Toc451345933"/>
      <w:bookmarkStart w:id="1" w:name="_Toc482790670"/>
      <w:bookmarkStart w:id="2" w:name="_Toc511116554"/>
      <w:bookmarkStart w:id="3" w:name="_Toc5269316"/>
      <w:bookmarkStart w:id="4" w:name="_Toc36224354"/>
      <w:bookmarkStart w:id="5" w:name="_Toc68786274"/>
      <w:bookmarkStart w:id="6" w:name="_Toc131591189"/>
      <w:r w:rsidRPr="00261B7A">
        <w:lastRenderedPageBreak/>
        <w:t>Acknowledgements</w:t>
      </w:r>
      <w:bookmarkEnd w:id="0"/>
      <w:bookmarkEnd w:id="1"/>
      <w:bookmarkEnd w:id="2"/>
      <w:bookmarkEnd w:id="3"/>
      <w:bookmarkEnd w:id="4"/>
      <w:bookmarkEnd w:id="5"/>
      <w:bookmarkEnd w:id="6"/>
    </w:p>
    <w:p w14:paraId="5D07F274" w14:textId="77777777" w:rsidR="001D1F8B" w:rsidRPr="00261B7A" w:rsidRDefault="001D1F8B" w:rsidP="001D1F8B">
      <w:pPr>
        <w:pStyle w:val="BodyText"/>
      </w:pPr>
      <w:r w:rsidRPr="00261B7A">
        <w:t xml:space="preserve">The Ministry for the Environment thanks and acknowledges the many experts from central and local government agencies, and industry and science organisations who contributed to the development of this inventory. The Ministry for the Environment also acknowledges members of the Reporting Governance Group (RGG) for their general advice and guidance over the production of this report. </w:t>
      </w:r>
    </w:p>
    <w:p w14:paraId="14ED2768" w14:textId="77777777" w:rsidR="001D1F8B" w:rsidRPr="00261B7A" w:rsidRDefault="001D1F8B" w:rsidP="00CE2D16">
      <w:pPr>
        <w:pStyle w:val="Heading6"/>
      </w:pPr>
      <w:r w:rsidRPr="00261B7A">
        <w:t>Key contributors</w:t>
      </w:r>
    </w:p>
    <w:p w14:paraId="690D7D65" w14:textId="77777777" w:rsidR="001D1F8B" w:rsidRPr="00261B7A" w:rsidRDefault="001D1F8B" w:rsidP="001D1F8B">
      <w:pPr>
        <w:spacing w:before="120"/>
        <w:rPr>
          <w:b/>
          <w:bCs/>
          <w:i/>
          <w:iCs/>
        </w:rPr>
      </w:pPr>
      <w:r w:rsidRPr="00261B7A">
        <w:rPr>
          <w:b/>
          <w:bCs/>
          <w:i/>
          <w:iCs/>
        </w:rPr>
        <w:t xml:space="preserve">Ministry for the Environment </w:t>
      </w:r>
    </w:p>
    <w:p w14:paraId="459089DF" w14:textId="77777777" w:rsidR="001D1F8B" w:rsidRPr="00261B7A" w:rsidRDefault="001D1F8B" w:rsidP="003B1388">
      <w:pPr>
        <w:pStyle w:val="BodyText"/>
        <w:spacing w:after="80"/>
        <w:rPr>
          <w:i/>
        </w:rPr>
      </w:pPr>
      <w:r w:rsidRPr="00261B7A">
        <w:rPr>
          <w:i/>
        </w:rPr>
        <w:t>Cross-sector compilation</w:t>
      </w:r>
    </w:p>
    <w:p w14:paraId="5506055B" w14:textId="77777777" w:rsidR="001D1F8B" w:rsidRPr="00261B7A" w:rsidRDefault="001D1F8B" w:rsidP="003B1388">
      <w:pPr>
        <w:pStyle w:val="Bullet"/>
        <w:spacing w:after="80"/>
      </w:pPr>
      <w:r w:rsidRPr="00261B7A">
        <w:t>Dr Andrea Brandon (National Inventory Focal Point, National Inventory Compiler, cross</w:t>
      </w:r>
      <w:r w:rsidRPr="00261B7A">
        <w:noBreakHyphen/>
        <w:t>sector analyses)</w:t>
      </w:r>
    </w:p>
    <w:p w14:paraId="630849A0" w14:textId="77777777" w:rsidR="001D1F8B" w:rsidRPr="00261B7A" w:rsidRDefault="001D1F8B" w:rsidP="003B1388">
      <w:pPr>
        <w:pStyle w:val="Bullet"/>
        <w:spacing w:after="80"/>
      </w:pPr>
      <w:r w:rsidRPr="00261B7A">
        <w:t>Zavia Hands-Smith (Technical lead, Tokelau, cross-sector analyses, automation)</w:t>
      </w:r>
    </w:p>
    <w:p w14:paraId="4FFD6999" w14:textId="77777777" w:rsidR="001D1F8B" w:rsidRPr="00261B7A" w:rsidRDefault="001D1F8B" w:rsidP="003B1388">
      <w:pPr>
        <w:pStyle w:val="Bullet"/>
        <w:spacing w:after="80"/>
      </w:pPr>
      <w:r w:rsidRPr="00261B7A">
        <w:t>Dr Daniel Boczniewicz (quality assurance and quality control (QA/QC) manager, automation)</w:t>
      </w:r>
    </w:p>
    <w:p w14:paraId="47C8F0B1" w14:textId="77777777" w:rsidR="001D1F8B" w:rsidRPr="00261B7A" w:rsidRDefault="001D1F8B" w:rsidP="003B1388">
      <w:pPr>
        <w:pStyle w:val="Bullet"/>
        <w:spacing w:after="80"/>
      </w:pPr>
      <w:r w:rsidRPr="00261B7A">
        <w:t xml:space="preserve">Antony Gomez (automation, cross-sector analyses) </w:t>
      </w:r>
    </w:p>
    <w:p w14:paraId="02C6958A" w14:textId="77777777" w:rsidR="001D1F8B" w:rsidRPr="00261B7A" w:rsidRDefault="001D1F8B" w:rsidP="003B1388">
      <w:pPr>
        <w:pStyle w:val="Bullet"/>
      </w:pPr>
      <w:r w:rsidRPr="00261B7A">
        <w:t>Chris Bean (Waste, cross-sector analyses, automation)</w:t>
      </w:r>
    </w:p>
    <w:p w14:paraId="17637D71" w14:textId="77777777" w:rsidR="001D1F8B" w:rsidRPr="00261B7A" w:rsidRDefault="001D1F8B" w:rsidP="003B1388">
      <w:pPr>
        <w:pStyle w:val="BodyText"/>
        <w:spacing w:before="160" w:after="80"/>
        <w:rPr>
          <w:i/>
        </w:rPr>
      </w:pPr>
      <w:r w:rsidRPr="00261B7A">
        <w:rPr>
          <w:i/>
        </w:rPr>
        <w:t>Sector compilation</w:t>
      </w:r>
    </w:p>
    <w:p w14:paraId="5ED01545" w14:textId="77777777" w:rsidR="001D1F8B" w:rsidRPr="00261B7A" w:rsidRDefault="001D1F8B" w:rsidP="003B1388">
      <w:pPr>
        <w:pStyle w:val="Bullet"/>
        <w:spacing w:after="80"/>
      </w:pPr>
      <w:r w:rsidRPr="00261B7A">
        <w:t>Dr Ivan Chirino-Valle (Waste)</w:t>
      </w:r>
    </w:p>
    <w:p w14:paraId="6FCCD1E7" w14:textId="77777777" w:rsidR="001D1F8B" w:rsidRPr="00261B7A" w:rsidRDefault="001D1F8B" w:rsidP="003B1388">
      <w:pPr>
        <w:pStyle w:val="Bullet"/>
        <w:spacing w:after="80"/>
      </w:pPr>
      <w:r w:rsidRPr="00261B7A">
        <w:t>Asher Cook (Land Use, Land-Use Change and Forestry (LULUCF) and Kyoto Protocol (KP</w:t>
      </w:r>
      <w:r w:rsidRPr="00261B7A">
        <w:noBreakHyphen/>
        <w:t>LULUCF))</w:t>
      </w:r>
    </w:p>
    <w:p w14:paraId="1F9D82F5" w14:textId="77777777" w:rsidR="001D1F8B" w:rsidRPr="00261B7A" w:rsidRDefault="001D1F8B" w:rsidP="003B1388">
      <w:pPr>
        <w:pStyle w:val="Bullet"/>
        <w:spacing w:after="80"/>
        <w:rPr>
          <w:b/>
          <w:bCs/>
        </w:rPr>
      </w:pPr>
      <w:r w:rsidRPr="00261B7A">
        <w:t>Ted Jamieson</w:t>
      </w:r>
      <w:r w:rsidRPr="00261B7A">
        <w:rPr>
          <w:i/>
          <w:iCs/>
        </w:rPr>
        <w:t xml:space="preserve"> </w:t>
      </w:r>
      <w:r w:rsidRPr="00261B7A">
        <w:t>(Industrial Processes and Product Use (IPPU))</w:t>
      </w:r>
    </w:p>
    <w:p w14:paraId="78B5A42D" w14:textId="77777777" w:rsidR="001D1F8B" w:rsidRPr="00261B7A" w:rsidRDefault="001D1F8B" w:rsidP="003B1388">
      <w:pPr>
        <w:pStyle w:val="BodyText"/>
        <w:spacing w:before="160" w:after="80"/>
        <w:rPr>
          <w:i/>
        </w:rPr>
      </w:pPr>
      <w:r w:rsidRPr="00261B7A">
        <w:rPr>
          <w:i/>
        </w:rPr>
        <w:t>Peer review and quality control</w:t>
      </w:r>
    </w:p>
    <w:p w14:paraId="6B6854DF" w14:textId="77777777" w:rsidR="001D1F8B" w:rsidRPr="00261B7A" w:rsidRDefault="001D1F8B" w:rsidP="003B1388">
      <w:pPr>
        <w:pStyle w:val="Bullet"/>
        <w:spacing w:after="80"/>
      </w:pPr>
      <w:r w:rsidRPr="00261B7A">
        <w:t>Alice Ryan (principal peer reviewer)</w:t>
      </w:r>
    </w:p>
    <w:p w14:paraId="1C8CD90A" w14:textId="77777777" w:rsidR="001D1F8B" w:rsidRPr="00261B7A" w:rsidRDefault="001D1F8B" w:rsidP="003B1388">
      <w:pPr>
        <w:pStyle w:val="Bullet"/>
        <w:spacing w:after="80"/>
      </w:pPr>
      <w:r w:rsidRPr="00261B7A">
        <w:t>Lucia Giacon (QA/QC, methodological improvements)</w:t>
      </w:r>
    </w:p>
    <w:p w14:paraId="626F0902" w14:textId="77777777" w:rsidR="001D1F8B" w:rsidRPr="00261B7A" w:rsidRDefault="001D1F8B" w:rsidP="003B1388">
      <w:pPr>
        <w:pStyle w:val="Bullet"/>
        <w:spacing w:after="80"/>
      </w:pPr>
      <w:r w:rsidRPr="00261B7A">
        <w:t>Manon Julien (QA/QC)</w:t>
      </w:r>
    </w:p>
    <w:p w14:paraId="58B96A4A" w14:textId="77777777" w:rsidR="001D1F8B" w:rsidRPr="00261B7A" w:rsidRDefault="001D1F8B" w:rsidP="003B1388">
      <w:pPr>
        <w:pStyle w:val="BodyText"/>
        <w:spacing w:before="160" w:after="80"/>
        <w:rPr>
          <w:i/>
        </w:rPr>
      </w:pPr>
      <w:r w:rsidRPr="00261B7A">
        <w:rPr>
          <w:i/>
        </w:rPr>
        <w:t>Other contributors</w:t>
      </w:r>
    </w:p>
    <w:p w14:paraId="5C2F8D8B" w14:textId="77777777" w:rsidR="001D1F8B" w:rsidRPr="00261B7A" w:rsidRDefault="001D1F8B" w:rsidP="003B1388">
      <w:pPr>
        <w:pStyle w:val="Bullet"/>
        <w:spacing w:after="80"/>
      </w:pPr>
      <w:r w:rsidRPr="00261B7A">
        <w:t>Frances Barnett (Supplementary products lead)</w:t>
      </w:r>
    </w:p>
    <w:p w14:paraId="27560695" w14:textId="77777777" w:rsidR="001D1F8B" w:rsidRPr="00261B7A" w:rsidRDefault="001D1F8B" w:rsidP="003B1388">
      <w:pPr>
        <w:pStyle w:val="Bullet"/>
        <w:spacing w:after="80"/>
      </w:pPr>
      <w:r w:rsidRPr="00261B7A">
        <w:t>Marion Sorez (project management)</w:t>
      </w:r>
    </w:p>
    <w:p w14:paraId="2A4749FD" w14:textId="77777777" w:rsidR="001D1F8B" w:rsidRPr="00261B7A" w:rsidRDefault="001D1F8B" w:rsidP="003B1388">
      <w:pPr>
        <w:pStyle w:val="Bullet"/>
        <w:spacing w:after="80"/>
      </w:pPr>
      <w:r w:rsidRPr="00261B7A">
        <w:t>Logan Ashmore (automation)</w:t>
      </w:r>
    </w:p>
    <w:p w14:paraId="0BEE29CF" w14:textId="3E244A0F" w:rsidR="001D1F8B" w:rsidRPr="00261B7A" w:rsidRDefault="001D1F8B" w:rsidP="003B1388">
      <w:pPr>
        <w:pStyle w:val="Bullet"/>
        <w:spacing w:after="80"/>
      </w:pPr>
      <w:r w:rsidRPr="00261B7A">
        <w:t>Joanne Butcher, Daisy Smith</w:t>
      </w:r>
      <w:r w:rsidR="004E758A">
        <w:t>, Katina Walsh</w:t>
      </w:r>
      <w:r w:rsidRPr="00261B7A">
        <w:t xml:space="preserve"> and Emily Wikingi (communications and publishing)</w:t>
      </w:r>
    </w:p>
    <w:p w14:paraId="4AC694D5" w14:textId="77777777" w:rsidR="001D1F8B" w:rsidRPr="00261B7A" w:rsidRDefault="001D1F8B" w:rsidP="001D1F8B">
      <w:pPr>
        <w:pStyle w:val="BodyText"/>
        <w:spacing w:before="160" w:after="0"/>
        <w:rPr>
          <w:i/>
          <w:iCs/>
        </w:rPr>
      </w:pPr>
      <w:r w:rsidRPr="00261B7A">
        <w:rPr>
          <w:i/>
          <w:iCs/>
        </w:rPr>
        <w:t>Governance</w:t>
      </w:r>
    </w:p>
    <w:p w14:paraId="3F4896C8" w14:textId="77777777" w:rsidR="001D1F8B" w:rsidRPr="00261B7A" w:rsidRDefault="001D1F8B" w:rsidP="00294EC5">
      <w:pPr>
        <w:pStyle w:val="BodyText"/>
        <w:numPr>
          <w:ilvl w:val="0"/>
          <w:numId w:val="5"/>
        </w:numPr>
        <w:spacing w:before="40" w:after="0"/>
      </w:pPr>
      <w:r w:rsidRPr="00261B7A">
        <w:t>Dr Alice Cleland (RGG Chair, general advice and guidance)</w:t>
      </w:r>
    </w:p>
    <w:p w14:paraId="5ECD439B" w14:textId="77777777" w:rsidR="001D1F8B" w:rsidRPr="00261B7A" w:rsidRDefault="001D1F8B" w:rsidP="00294EC5">
      <w:pPr>
        <w:pStyle w:val="BodyText"/>
        <w:numPr>
          <w:ilvl w:val="0"/>
          <w:numId w:val="5"/>
        </w:numPr>
        <w:spacing w:before="80" w:after="0"/>
      </w:pPr>
      <w:r w:rsidRPr="00261B7A">
        <w:t>Megan Hurnard (general advice and guidance)</w:t>
      </w:r>
    </w:p>
    <w:p w14:paraId="03A7800E" w14:textId="77777777" w:rsidR="001D1F8B" w:rsidRPr="00261B7A" w:rsidRDefault="001D1F8B" w:rsidP="004B03FF">
      <w:pPr>
        <w:keepNext/>
        <w:spacing w:before="200" w:after="80"/>
        <w:rPr>
          <w:b/>
          <w:i/>
        </w:rPr>
      </w:pPr>
      <w:r w:rsidRPr="00261B7A">
        <w:rPr>
          <w:b/>
          <w:i/>
        </w:rPr>
        <w:lastRenderedPageBreak/>
        <w:t>Ministry for Primary Industries</w:t>
      </w:r>
    </w:p>
    <w:p w14:paraId="4BE85E65" w14:textId="77777777" w:rsidR="001D1F8B" w:rsidRPr="00261B7A" w:rsidRDefault="001D1F8B" w:rsidP="003B1388">
      <w:pPr>
        <w:pStyle w:val="Bullet"/>
        <w:spacing w:after="80"/>
      </w:pPr>
      <w:r w:rsidRPr="00261B7A">
        <w:t>Ben Morrow, Joel Gibbs (RGG), Amy Macdonald, Sophie Mead, Mehara Salpadoru and Catherine Sangster</w:t>
      </w:r>
      <w:r w:rsidRPr="00261B7A" w:rsidDel="0071154B">
        <w:t xml:space="preserve"> </w:t>
      </w:r>
      <w:r w:rsidRPr="00261B7A">
        <w:t>(Agriculture)</w:t>
      </w:r>
    </w:p>
    <w:p w14:paraId="2C7A2335" w14:textId="77777777" w:rsidR="001D1F8B" w:rsidRPr="00261B7A" w:rsidRDefault="001D1F8B" w:rsidP="003B1388">
      <w:pPr>
        <w:keepNext/>
        <w:spacing w:before="200" w:after="80"/>
        <w:rPr>
          <w:b/>
          <w:i/>
        </w:rPr>
      </w:pPr>
      <w:r w:rsidRPr="00261B7A">
        <w:rPr>
          <w:b/>
          <w:i/>
        </w:rPr>
        <w:t>Ministry of Business, Innovation and Employment</w:t>
      </w:r>
    </w:p>
    <w:p w14:paraId="64A56BEA" w14:textId="77777777" w:rsidR="001D1F8B" w:rsidRPr="00261B7A" w:rsidRDefault="001D1F8B" w:rsidP="003B1388">
      <w:pPr>
        <w:pStyle w:val="Bullet"/>
        <w:spacing w:after="80"/>
      </w:pPr>
      <w:r w:rsidRPr="00261B7A">
        <w:t>Dr Michael Smith and Wei Zhang (Energy, IPPU: carbon dioxide)</w:t>
      </w:r>
    </w:p>
    <w:p w14:paraId="3929CAAC" w14:textId="77777777" w:rsidR="001D1F8B" w:rsidRPr="00261B7A" w:rsidRDefault="001D1F8B" w:rsidP="003B1388">
      <w:pPr>
        <w:pStyle w:val="Bullet"/>
        <w:spacing w:after="80"/>
      </w:pPr>
      <w:r w:rsidRPr="00261B7A">
        <w:t>Dr Jan-Yves Ruzicka (QA/QC: Energy)</w:t>
      </w:r>
    </w:p>
    <w:p w14:paraId="1350FA16" w14:textId="77777777" w:rsidR="001D1F8B" w:rsidRPr="00261B7A" w:rsidRDefault="001D1F8B" w:rsidP="003B1388">
      <w:pPr>
        <w:pStyle w:val="Bullet"/>
        <w:spacing w:after="80"/>
      </w:pPr>
      <w:r w:rsidRPr="00261B7A">
        <w:t>Mike Hayward (RGG)</w:t>
      </w:r>
    </w:p>
    <w:p w14:paraId="2496CA0D" w14:textId="0CD827F2" w:rsidR="001D1F8B" w:rsidRPr="00261B7A" w:rsidRDefault="001D1F8B" w:rsidP="003B1388">
      <w:pPr>
        <w:spacing w:before="200" w:after="80"/>
        <w:rPr>
          <w:b/>
          <w:i/>
        </w:rPr>
      </w:pPr>
      <w:r w:rsidRPr="00261B7A">
        <w:rPr>
          <w:b/>
          <w:i/>
        </w:rPr>
        <w:t>Environmental Protection Authority</w:t>
      </w:r>
    </w:p>
    <w:p w14:paraId="47D22712" w14:textId="77777777" w:rsidR="001D1F8B" w:rsidRPr="00261B7A" w:rsidRDefault="001D1F8B" w:rsidP="003B1388">
      <w:pPr>
        <w:pStyle w:val="Bullet"/>
        <w:spacing w:after="80"/>
      </w:pPr>
      <w:r w:rsidRPr="00261B7A">
        <w:t>Johanna Milius (National Registry)</w:t>
      </w:r>
    </w:p>
    <w:p w14:paraId="6431A8EA" w14:textId="77777777" w:rsidR="001D1F8B" w:rsidRPr="00261B7A" w:rsidRDefault="001D1F8B" w:rsidP="003B1388">
      <w:pPr>
        <w:pStyle w:val="Bullet"/>
        <w:spacing w:after="80"/>
      </w:pPr>
      <w:r w:rsidRPr="00261B7A">
        <w:t xml:space="preserve">Dave Stuart (RGG) </w:t>
      </w:r>
    </w:p>
    <w:p w14:paraId="602A0EDE" w14:textId="77777777" w:rsidR="001D1F8B" w:rsidRPr="00261B7A" w:rsidRDefault="001D1F8B" w:rsidP="003B1388">
      <w:pPr>
        <w:spacing w:before="200" w:after="80"/>
        <w:rPr>
          <w:b/>
          <w:bCs/>
          <w:i/>
          <w:iCs/>
        </w:rPr>
      </w:pPr>
      <w:r w:rsidRPr="00261B7A">
        <w:rPr>
          <w:b/>
          <w:bCs/>
          <w:i/>
          <w:iCs/>
        </w:rPr>
        <w:t>Ministry of Foreign Affairs and Trade</w:t>
      </w:r>
    </w:p>
    <w:p w14:paraId="48895023" w14:textId="5F619F7E" w:rsidR="001D1F8B" w:rsidRPr="00261B7A" w:rsidRDefault="001D1F8B" w:rsidP="003B1388">
      <w:pPr>
        <w:pStyle w:val="Bullet"/>
        <w:spacing w:after="80"/>
      </w:pPr>
      <w:r w:rsidRPr="00261B7A">
        <w:t>Georgina Halstead and Kay Harrison (information on minimisation of adverse impacts)</w:t>
      </w:r>
    </w:p>
    <w:p w14:paraId="56D4215C" w14:textId="77777777" w:rsidR="001D1F8B" w:rsidRPr="00261B7A" w:rsidRDefault="001D1F8B" w:rsidP="003B1388">
      <w:pPr>
        <w:keepNext/>
        <w:spacing w:before="200" w:after="80"/>
        <w:rPr>
          <w:b/>
          <w:bCs/>
          <w:i/>
          <w:iCs/>
        </w:rPr>
      </w:pPr>
      <w:r w:rsidRPr="00261B7A">
        <w:rPr>
          <w:b/>
          <w:bCs/>
          <w:i/>
          <w:iCs/>
        </w:rPr>
        <w:t>Tokelau Government</w:t>
      </w:r>
    </w:p>
    <w:p w14:paraId="2310ADAD" w14:textId="5EE2E48D" w:rsidR="001D1F8B" w:rsidRPr="00261B7A" w:rsidRDefault="001D1F8B" w:rsidP="003B1388">
      <w:pPr>
        <w:pStyle w:val="Bullet"/>
        <w:spacing w:after="80"/>
      </w:pPr>
      <w:r w:rsidRPr="00261B7A">
        <w:t xml:space="preserve">Paula Faiva, Kele Lui, Celine </w:t>
      </w:r>
      <w:r w:rsidR="009D764B">
        <w:t>I</w:t>
      </w:r>
      <w:r w:rsidRPr="00261B7A">
        <w:t>ose (Tokelau Ministry of Climate, Oceans and Resilience) (general advice and guidance)</w:t>
      </w:r>
    </w:p>
    <w:p w14:paraId="51E384DD" w14:textId="77777777" w:rsidR="001D1F8B" w:rsidRPr="00261B7A" w:rsidRDefault="001D1F8B" w:rsidP="003B1388">
      <w:pPr>
        <w:pStyle w:val="Bullet"/>
        <w:spacing w:after="80"/>
      </w:pPr>
      <w:r w:rsidRPr="00261B7A">
        <w:t>Penehuro Lefale (LeA International) (peer review, general advice and guidance)</w:t>
      </w:r>
    </w:p>
    <w:p w14:paraId="206CE2E9" w14:textId="77777777" w:rsidR="001D1F8B" w:rsidRPr="00261B7A" w:rsidRDefault="001D1F8B" w:rsidP="001D1F8B">
      <w:pPr>
        <w:keepNext/>
        <w:spacing w:before="240" w:after="60"/>
        <w:outlineLvl w:val="5"/>
        <w:rPr>
          <w:b/>
          <w:iCs/>
        </w:rPr>
      </w:pPr>
      <w:r w:rsidRPr="00261B7A">
        <w:rPr>
          <w:b/>
          <w:iCs/>
        </w:rPr>
        <w:t>Technical contributors and specialists</w:t>
      </w:r>
    </w:p>
    <w:p w14:paraId="0C49C935" w14:textId="77777777" w:rsidR="001D1F8B" w:rsidRPr="00261B7A" w:rsidRDefault="001D1F8B" w:rsidP="00A05AAA">
      <w:pPr>
        <w:spacing w:before="80" w:after="80"/>
        <w:rPr>
          <w:b/>
          <w:i/>
        </w:rPr>
      </w:pPr>
      <w:r w:rsidRPr="00261B7A">
        <w:rPr>
          <w:b/>
          <w:i/>
        </w:rPr>
        <w:t>Industrial Processes and Product Use sector</w:t>
      </w:r>
    </w:p>
    <w:p w14:paraId="05B8B173" w14:textId="77777777" w:rsidR="001D1F8B" w:rsidRPr="00261B7A" w:rsidRDefault="001D1F8B" w:rsidP="00401D94">
      <w:pPr>
        <w:pStyle w:val="Bullet"/>
        <w:spacing w:after="80"/>
      </w:pPr>
      <w:r w:rsidRPr="00261B7A">
        <w:t xml:space="preserve">Verum Group: Wayne Hennessy </w:t>
      </w:r>
    </w:p>
    <w:p w14:paraId="197C4F4A" w14:textId="77777777" w:rsidR="001D1F8B" w:rsidRPr="00261B7A" w:rsidRDefault="001D1F8B" w:rsidP="00401D94">
      <w:pPr>
        <w:pStyle w:val="Bullet"/>
        <w:spacing w:after="80"/>
      </w:pPr>
      <w:r w:rsidRPr="00261B7A">
        <w:t xml:space="preserve">Ministry for the Environment: Riki Taylor (QA/QC) </w:t>
      </w:r>
    </w:p>
    <w:p w14:paraId="50FA7A70" w14:textId="77777777" w:rsidR="001D1F8B" w:rsidRPr="00261B7A" w:rsidRDefault="001D1F8B" w:rsidP="003B1388">
      <w:pPr>
        <w:keepNext/>
        <w:spacing w:before="200" w:after="80"/>
        <w:rPr>
          <w:b/>
          <w:bCs/>
          <w:i/>
          <w:iCs/>
        </w:rPr>
      </w:pPr>
      <w:r w:rsidRPr="00261B7A">
        <w:rPr>
          <w:b/>
          <w:i/>
        </w:rPr>
        <w:t xml:space="preserve">Agriculture sector </w:t>
      </w:r>
    </w:p>
    <w:p w14:paraId="3437E923" w14:textId="77777777" w:rsidR="001D1F8B" w:rsidRPr="00261B7A" w:rsidRDefault="001D1F8B" w:rsidP="00401D94">
      <w:pPr>
        <w:pStyle w:val="Bullet"/>
        <w:spacing w:after="80"/>
      </w:pPr>
      <w:r w:rsidRPr="00261B7A">
        <w:t xml:space="preserve">AgResearch: Dr Vicki Burggraaf, Cristy Benson, and Mike Rollo </w:t>
      </w:r>
    </w:p>
    <w:p w14:paraId="5FF7C45F" w14:textId="77777777" w:rsidR="001D1F8B" w:rsidRPr="00261B7A" w:rsidRDefault="001D1F8B" w:rsidP="00401D94">
      <w:pPr>
        <w:pStyle w:val="Bullet"/>
        <w:spacing w:after="80"/>
      </w:pPr>
      <w:r w:rsidRPr="00261B7A">
        <w:t xml:space="preserve">Ministry for Primary Industries: Dr Gerald Rys, Emily Mathias, Shannon Bentley, Kay Brown, Joe Faure, Holly Foran, Dr Amita Fotedar, Laura Gardner, Dr Claudia Gonnelli, Dr Abigail Harding, Rosanna Keam, Hannah McCoy, Sam Phillips, Jenni Vernon, Isabella Zohrab </w:t>
      </w:r>
    </w:p>
    <w:p w14:paraId="3F35567D" w14:textId="77777777" w:rsidR="001D1F8B" w:rsidRPr="00261B7A" w:rsidRDefault="001D1F8B" w:rsidP="003B1388">
      <w:pPr>
        <w:pStyle w:val="BodyText"/>
        <w:spacing w:before="200" w:after="80"/>
      </w:pPr>
      <w:r w:rsidRPr="00261B7A">
        <w:rPr>
          <w:b/>
          <w:i/>
        </w:rPr>
        <w:t>Land Use, Land-Use Change and Forestry sector and KP-LULUCF</w:t>
      </w:r>
    </w:p>
    <w:p w14:paraId="7C43DB6A" w14:textId="77777777" w:rsidR="001D1F8B" w:rsidRPr="00261B7A" w:rsidRDefault="001D1F8B" w:rsidP="00401D94">
      <w:pPr>
        <w:pStyle w:val="Bullet"/>
        <w:spacing w:after="80"/>
        <w:rPr>
          <w:rFonts w:eastAsia="Calibri"/>
        </w:rPr>
      </w:pPr>
      <w:r w:rsidRPr="00261B7A">
        <w:rPr>
          <w:rFonts w:eastAsia="Calibri"/>
        </w:rPr>
        <w:t>Ministry for the Environment: Tom Argyle, Deborah Burgess, Michael Cooper, Robyn Crisford (RGG), Dr Carla Gomez, Dr Jordan Goodrich,</w:t>
      </w:r>
      <w:r w:rsidRPr="00261B7A" w:rsidDel="00CD3D2A">
        <w:rPr>
          <w:rFonts w:eastAsia="Calibri"/>
        </w:rPr>
        <w:t xml:space="preserve"> </w:t>
      </w:r>
      <w:r w:rsidRPr="00261B7A">
        <w:rPr>
          <w:rFonts w:eastAsia="Calibri"/>
        </w:rPr>
        <w:t xml:space="preserve">Dr Jenny Hurst, Prem Sivakanthan, Riki Taylor and Dr Anne Wekesa </w:t>
      </w:r>
    </w:p>
    <w:p w14:paraId="524561D3" w14:textId="77777777" w:rsidR="001D1F8B" w:rsidRPr="00261B7A" w:rsidRDefault="001D1F8B" w:rsidP="00401D94">
      <w:pPr>
        <w:pStyle w:val="Bullet"/>
        <w:spacing w:after="80"/>
        <w:rPr>
          <w:rFonts w:eastAsia="Calibri"/>
        </w:rPr>
      </w:pPr>
      <w:r w:rsidRPr="00261B7A">
        <w:rPr>
          <w:rFonts w:eastAsia="Calibri"/>
        </w:rPr>
        <w:t xml:space="preserve">Ministry for Primary Industries: Craig Elvidge and Sophie Mead </w:t>
      </w:r>
    </w:p>
    <w:p w14:paraId="4AC6C048" w14:textId="77777777" w:rsidR="001D1F8B" w:rsidRPr="00261B7A" w:rsidRDefault="001D1F8B" w:rsidP="003B1388">
      <w:pPr>
        <w:spacing w:before="200" w:after="80"/>
        <w:rPr>
          <w:b/>
          <w:i/>
        </w:rPr>
      </w:pPr>
      <w:r w:rsidRPr="00261B7A">
        <w:rPr>
          <w:b/>
          <w:i/>
        </w:rPr>
        <w:t>Waste sector</w:t>
      </w:r>
    </w:p>
    <w:p w14:paraId="45CB61D3" w14:textId="24E92921" w:rsidR="001D1F8B" w:rsidRPr="00261B7A" w:rsidRDefault="001D1F8B" w:rsidP="00401D94">
      <w:pPr>
        <w:pStyle w:val="Bullet"/>
        <w:spacing w:after="80"/>
        <w:rPr>
          <w:rFonts w:eastAsia="Calibri"/>
        </w:rPr>
      </w:pPr>
      <w:r w:rsidRPr="00261B7A">
        <w:rPr>
          <w:rFonts w:eastAsia="Calibri"/>
        </w:rPr>
        <w:t xml:space="preserve">Ministry </w:t>
      </w:r>
      <w:r w:rsidR="003B58BD">
        <w:rPr>
          <w:rFonts w:eastAsia="Calibri"/>
        </w:rPr>
        <w:t>for</w:t>
      </w:r>
      <w:r w:rsidRPr="00261B7A">
        <w:rPr>
          <w:rFonts w:eastAsia="Calibri"/>
        </w:rPr>
        <w:t xml:space="preserve"> the Environment: Nigel Donovan, Dr Dan Harvey, Kelly Reid and </w:t>
      </w:r>
      <w:r w:rsidRPr="00261B7A">
        <w:rPr>
          <w:rFonts w:eastAsia="Calibri"/>
        </w:rPr>
        <w:br/>
        <w:t xml:space="preserve">Dr Ella van Gool </w:t>
      </w:r>
    </w:p>
    <w:p w14:paraId="2674A310" w14:textId="77777777" w:rsidR="001D1F8B" w:rsidRPr="00261B7A" w:rsidRDefault="001D1F8B" w:rsidP="003B1388">
      <w:pPr>
        <w:keepNext/>
        <w:spacing w:before="200" w:after="80"/>
        <w:rPr>
          <w:b/>
          <w:i/>
        </w:rPr>
      </w:pPr>
      <w:r w:rsidRPr="00261B7A">
        <w:rPr>
          <w:b/>
          <w:bCs/>
          <w:i/>
          <w:iCs/>
        </w:rPr>
        <w:t xml:space="preserve">Editing and formatting </w:t>
      </w:r>
    </w:p>
    <w:p w14:paraId="4D085462" w14:textId="3000C8B4" w:rsidR="00235658" w:rsidRPr="00261B7A" w:rsidRDefault="001D1F8B" w:rsidP="00235658">
      <w:pPr>
        <w:pStyle w:val="Bullet"/>
        <w:spacing w:after="80"/>
      </w:pPr>
      <w:r w:rsidRPr="004B03FF">
        <w:rPr>
          <w:rFonts w:eastAsia="Calibri"/>
        </w:rPr>
        <w:t xml:space="preserve">Jenny Heine and Tanya Tremewan </w:t>
      </w:r>
    </w:p>
    <w:p w14:paraId="731916D6" w14:textId="701ABE6D" w:rsidR="00235658" w:rsidRPr="00261B7A" w:rsidRDefault="00235658" w:rsidP="00235658">
      <w:pPr>
        <w:pStyle w:val="BodyText"/>
        <w:sectPr w:rsidR="00235658" w:rsidRPr="00261B7A" w:rsidSect="00715D39">
          <w:headerReference w:type="even" r:id="rId20"/>
          <w:headerReference w:type="default" r:id="rId21"/>
          <w:footerReference w:type="even" r:id="rId22"/>
          <w:footerReference w:type="default" r:id="rId23"/>
          <w:pgSz w:w="11907" w:h="16840" w:code="9"/>
          <w:pgMar w:top="1418" w:right="1701" w:bottom="1418" w:left="1701" w:header="567" w:footer="567" w:gutter="0"/>
          <w:pgNumType w:fmt="lowerRoman"/>
          <w:cols w:space="720"/>
        </w:sectPr>
      </w:pPr>
    </w:p>
    <w:p w14:paraId="402AC867" w14:textId="5A7862AC" w:rsidR="006E0A2C" w:rsidRPr="00261B7A" w:rsidRDefault="006E0A2C" w:rsidP="00CB30A9">
      <w:pPr>
        <w:pStyle w:val="Heading"/>
      </w:pPr>
      <w:r w:rsidRPr="00261B7A">
        <w:lastRenderedPageBreak/>
        <w:t>Contents</w:t>
      </w:r>
    </w:p>
    <w:p w14:paraId="0F0168C8" w14:textId="28AFC23C" w:rsidR="00A05AAA" w:rsidRDefault="00CB30A9">
      <w:pPr>
        <w:pStyle w:val="TOC1"/>
        <w:rPr>
          <w:rFonts w:asciiTheme="minorHAnsi" w:eastAsiaTheme="minorEastAsia" w:hAnsiTheme="minorHAnsi" w:cstheme="minorBidi"/>
          <w:sz w:val="22"/>
        </w:rPr>
      </w:pPr>
      <w:r w:rsidRPr="00261B7A">
        <w:rPr>
          <w:noProof w:val="0"/>
          <w:sz w:val="28"/>
        </w:rPr>
        <w:fldChar w:fldCharType="begin"/>
      </w:r>
      <w:r w:rsidRPr="00261B7A">
        <w:rPr>
          <w:noProof w:val="0"/>
          <w:sz w:val="28"/>
        </w:rPr>
        <w:instrText xml:space="preserve"> TOC \h \z \t "Heading 1,1,Heading 2,2" </w:instrText>
      </w:r>
      <w:r w:rsidRPr="00261B7A">
        <w:rPr>
          <w:noProof w:val="0"/>
          <w:sz w:val="28"/>
        </w:rPr>
        <w:fldChar w:fldCharType="separate"/>
      </w:r>
      <w:hyperlink w:anchor="_Toc131591189" w:history="1">
        <w:r w:rsidR="00A05AAA" w:rsidRPr="00753F7B">
          <w:rPr>
            <w:rStyle w:val="Hyperlink"/>
          </w:rPr>
          <w:t>Acknowledgements</w:t>
        </w:r>
        <w:r w:rsidR="00A05AAA">
          <w:rPr>
            <w:webHidden/>
          </w:rPr>
          <w:tab/>
        </w:r>
        <w:r w:rsidR="00A05AAA">
          <w:rPr>
            <w:webHidden/>
          </w:rPr>
          <w:fldChar w:fldCharType="begin"/>
        </w:r>
        <w:r w:rsidR="00A05AAA">
          <w:rPr>
            <w:webHidden/>
          </w:rPr>
          <w:instrText xml:space="preserve"> PAGEREF _Toc131591189 \h </w:instrText>
        </w:r>
        <w:r w:rsidR="00A05AAA">
          <w:rPr>
            <w:webHidden/>
          </w:rPr>
        </w:r>
        <w:r w:rsidR="00A05AAA">
          <w:rPr>
            <w:webHidden/>
          </w:rPr>
          <w:fldChar w:fldCharType="separate"/>
        </w:r>
        <w:r w:rsidR="008F39B8">
          <w:rPr>
            <w:webHidden/>
          </w:rPr>
          <w:t>iii</w:t>
        </w:r>
        <w:r w:rsidR="00A05AAA">
          <w:rPr>
            <w:webHidden/>
          </w:rPr>
          <w:fldChar w:fldCharType="end"/>
        </w:r>
      </w:hyperlink>
    </w:p>
    <w:p w14:paraId="441D6CA4" w14:textId="7353899C" w:rsidR="00A05AAA" w:rsidRDefault="007E17B8">
      <w:pPr>
        <w:pStyle w:val="TOC1"/>
        <w:rPr>
          <w:rFonts w:asciiTheme="minorHAnsi" w:eastAsiaTheme="minorEastAsia" w:hAnsiTheme="minorHAnsi" w:cstheme="minorBidi"/>
          <w:sz w:val="22"/>
        </w:rPr>
      </w:pPr>
      <w:hyperlink w:anchor="_Toc131591190" w:history="1">
        <w:r w:rsidR="00A05AAA" w:rsidRPr="00753F7B">
          <w:rPr>
            <w:rStyle w:val="Hyperlink"/>
          </w:rPr>
          <w:t>Tables</w:t>
        </w:r>
        <w:r w:rsidR="00A05AAA">
          <w:rPr>
            <w:webHidden/>
          </w:rPr>
          <w:tab/>
        </w:r>
        <w:r w:rsidR="00A05AAA">
          <w:rPr>
            <w:webHidden/>
          </w:rPr>
          <w:fldChar w:fldCharType="begin"/>
        </w:r>
        <w:r w:rsidR="00A05AAA">
          <w:rPr>
            <w:webHidden/>
          </w:rPr>
          <w:instrText xml:space="preserve"> PAGEREF _Toc131591190 \h </w:instrText>
        </w:r>
        <w:r w:rsidR="00A05AAA">
          <w:rPr>
            <w:webHidden/>
          </w:rPr>
        </w:r>
        <w:r w:rsidR="00A05AAA">
          <w:rPr>
            <w:webHidden/>
          </w:rPr>
          <w:fldChar w:fldCharType="separate"/>
        </w:r>
        <w:r w:rsidR="008F39B8">
          <w:rPr>
            <w:webHidden/>
          </w:rPr>
          <w:t>ix</w:t>
        </w:r>
        <w:r w:rsidR="00A05AAA">
          <w:rPr>
            <w:webHidden/>
          </w:rPr>
          <w:fldChar w:fldCharType="end"/>
        </w:r>
      </w:hyperlink>
    </w:p>
    <w:p w14:paraId="37DD9AF5" w14:textId="4E078C9F" w:rsidR="00A05AAA" w:rsidRDefault="007E17B8">
      <w:pPr>
        <w:pStyle w:val="TOC1"/>
        <w:rPr>
          <w:rFonts w:asciiTheme="minorHAnsi" w:eastAsiaTheme="minorEastAsia" w:hAnsiTheme="minorHAnsi" w:cstheme="minorBidi"/>
          <w:sz w:val="22"/>
        </w:rPr>
      </w:pPr>
      <w:hyperlink w:anchor="_Toc131591191" w:history="1">
        <w:r w:rsidR="00A05AAA" w:rsidRPr="00753F7B">
          <w:rPr>
            <w:rStyle w:val="Hyperlink"/>
          </w:rPr>
          <w:t>Figures</w:t>
        </w:r>
        <w:r w:rsidR="00A05AAA">
          <w:rPr>
            <w:webHidden/>
          </w:rPr>
          <w:tab/>
        </w:r>
        <w:r w:rsidR="00A05AAA">
          <w:rPr>
            <w:webHidden/>
          </w:rPr>
          <w:fldChar w:fldCharType="begin"/>
        </w:r>
        <w:r w:rsidR="00A05AAA">
          <w:rPr>
            <w:webHidden/>
          </w:rPr>
          <w:instrText xml:space="preserve"> PAGEREF _Toc131591191 \h </w:instrText>
        </w:r>
        <w:r w:rsidR="00A05AAA">
          <w:rPr>
            <w:webHidden/>
          </w:rPr>
        </w:r>
        <w:r w:rsidR="00A05AAA">
          <w:rPr>
            <w:webHidden/>
          </w:rPr>
          <w:fldChar w:fldCharType="separate"/>
        </w:r>
        <w:r w:rsidR="008F39B8">
          <w:rPr>
            <w:webHidden/>
          </w:rPr>
          <w:t>xvi</w:t>
        </w:r>
        <w:r w:rsidR="00A05AAA">
          <w:rPr>
            <w:webHidden/>
          </w:rPr>
          <w:fldChar w:fldCharType="end"/>
        </w:r>
      </w:hyperlink>
    </w:p>
    <w:p w14:paraId="4B8E7881" w14:textId="33148EA1" w:rsidR="00A05AAA" w:rsidRDefault="007E17B8">
      <w:pPr>
        <w:pStyle w:val="TOC1"/>
        <w:rPr>
          <w:rFonts w:asciiTheme="minorHAnsi" w:eastAsiaTheme="minorEastAsia" w:hAnsiTheme="minorHAnsi" w:cstheme="minorBidi"/>
          <w:sz w:val="22"/>
        </w:rPr>
      </w:pPr>
      <w:hyperlink w:anchor="_Toc131591192" w:history="1">
        <w:r w:rsidR="00A05AAA" w:rsidRPr="00753F7B">
          <w:rPr>
            <w:rStyle w:val="Hyperlink"/>
          </w:rPr>
          <w:t>Abbreviations</w:t>
        </w:r>
        <w:r w:rsidR="00A05AAA">
          <w:rPr>
            <w:webHidden/>
          </w:rPr>
          <w:tab/>
        </w:r>
        <w:r w:rsidR="00A05AAA">
          <w:rPr>
            <w:webHidden/>
          </w:rPr>
          <w:fldChar w:fldCharType="begin"/>
        </w:r>
        <w:r w:rsidR="00A05AAA">
          <w:rPr>
            <w:webHidden/>
          </w:rPr>
          <w:instrText xml:space="preserve"> PAGEREF _Toc131591192 \h </w:instrText>
        </w:r>
        <w:r w:rsidR="00A05AAA">
          <w:rPr>
            <w:webHidden/>
          </w:rPr>
        </w:r>
        <w:r w:rsidR="00A05AAA">
          <w:rPr>
            <w:webHidden/>
          </w:rPr>
          <w:fldChar w:fldCharType="separate"/>
        </w:r>
        <w:r w:rsidR="008F39B8">
          <w:rPr>
            <w:webHidden/>
          </w:rPr>
          <w:t>xix</w:t>
        </w:r>
        <w:r w:rsidR="00A05AAA">
          <w:rPr>
            <w:webHidden/>
          </w:rPr>
          <w:fldChar w:fldCharType="end"/>
        </w:r>
      </w:hyperlink>
    </w:p>
    <w:p w14:paraId="33B1BBFD" w14:textId="2AB28553" w:rsidR="00A05AAA" w:rsidRDefault="007E17B8">
      <w:pPr>
        <w:pStyle w:val="TOC1"/>
        <w:rPr>
          <w:rFonts w:asciiTheme="minorHAnsi" w:eastAsiaTheme="minorEastAsia" w:hAnsiTheme="minorHAnsi" w:cstheme="minorBidi"/>
          <w:sz w:val="22"/>
        </w:rPr>
      </w:pPr>
      <w:hyperlink w:anchor="_Toc131591193" w:history="1">
        <w:r w:rsidR="00A05AAA" w:rsidRPr="00753F7B">
          <w:rPr>
            <w:rStyle w:val="Hyperlink"/>
          </w:rPr>
          <w:t>Executive summary</w:t>
        </w:r>
        <w:r w:rsidR="00A05AAA">
          <w:rPr>
            <w:webHidden/>
          </w:rPr>
          <w:tab/>
        </w:r>
        <w:r w:rsidR="00A05AAA">
          <w:rPr>
            <w:webHidden/>
          </w:rPr>
          <w:fldChar w:fldCharType="begin"/>
        </w:r>
        <w:r w:rsidR="00A05AAA">
          <w:rPr>
            <w:webHidden/>
          </w:rPr>
          <w:instrText xml:space="preserve"> PAGEREF _Toc131591193 \h </w:instrText>
        </w:r>
        <w:r w:rsidR="00A05AAA">
          <w:rPr>
            <w:webHidden/>
          </w:rPr>
        </w:r>
        <w:r w:rsidR="00A05AAA">
          <w:rPr>
            <w:webHidden/>
          </w:rPr>
          <w:fldChar w:fldCharType="separate"/>
        </w:r>
        <w:r w:rsidR="008F39B8">
          <w:rPr>
            <w:webHidden/>
          </w:rPr>
          <w:t>xxiv</w:t>
        </w:r>
        <w:r w:rsidR="00A05AAA">
          <w:rPr>
            <w:webHidden/>
          </w:rPr>
          <w:fldChar w:fldCharType="end"/>
        </w:r>
      </w:hyperlink>
    </w:p>
    <w:p w14:paraId="4485AB8E" w14:textId="3E94567A" w:rsidR="00A05AAA" w:rsidRDefault="007E17B8">
      <w:pPr>
        <w:pStyle w:val="TOC2"/>
        <w:rPr>
          <w:rFonts w:asciiTheme="minorHAnsi" w:eastAsiaTheme="minorEastAsia" w:hAnsiTheme="minorHAnsi" w:cstheme="minorBidi"/>
          <w:sz w:val="22"/>
        </w:rPr>
      </w:pPr>
      <w:hyperlink w:anchor="_Toc131591194" w:history="1">
        <w:r w:rsidR="00A05AAA" w:rsidRPr="00753F7B">
          <w:rPr>
            <w:rStyle w:val="Hyperlink"/>
          </w:rPr>
          <w:t>ES.1</w:t>
        </w:r>
        <w:r w:rsidR="00A05AAA">
          <w:rPr>
            <w:rFonts w:asciiTheme="minorHAnsi" w:eastAsiaTheme="minorEastAsia" w:hAnsiTheme="minorHAnsi" w:cstheme="minorBidi"/>
            <w:sz w:val="22"/>
          </w:rPr>
          <w:tab/>
        </w:r>
        <w:r w:rsidR="00A05AAA" w:rsidRPr="00753F7B">
          <w:rPr>
            <w:rStyle w:val="Hyperlink"/>
          </w:rPr>
          <w:t>Background</w:t>
        </w:r>
        <w:r w:rsidR="00A05AAA">
          <w:rPr>
            <w:webHidden/>
          </w:rPr>
          <w:tab/>
        </w:r>
        <w:r w:rsidR="00A05AAA">
          <w:rPr>
            <w:webHidden/>
          </w:rPr>
          <w:fldChar w:fldCharType="begin"/>
        </w:r>
        <w:r w:rsidR="00A05AAA">
          <w:rPr>
            <w:webHidden/>
          </w:rPr>
          <w:instrText xml:space="preserve"> PAGEREF _Toc131591194 \h </w:instrText>
        </w:r>
        <w:r w:rsidR="00A05AAA">
          <w:rPr>
            <w:webHidden/>
          </w:rPr>
        </w:r>
        <w:r w:rsidR="00A05AAA">
          <w:rPr>
            <w:webHidden/>
          </w:rPr>
          <w:fldChar w:fldCharType="separate"/>
        </w:r>
        <w:r w:rsidR="008F39B8">
          <w:rPr>
            <w:webHidden/>
          </w:rPr>
          <w:t>xxv</w:t>
        </w:r>
        <w:r w:rsidR="00A05AAA">
          <w:rPr>
            <w:webHidden/>
          </w:rPr>
          <w:fldChar w:fldCharType="end"/>
        </w:r>
      </w:hyperlink>
    </w:p>
    <w:p w14:paraId="57134DD6" w14:textId="627E0C6C" w:rsidR="00A05AAA" w:rsidRDefault="007E17B8">
      <w:pPr>
        <w:pStyle w:val="TOC2"/>
        <w:rPr>
          <w:rFonts w:asciiTheme="minorHAnsi" w:eastAsiaTheme="minorEastAsia" w:hAnsiTheme="minorHAnsi" w:cstheme="minorBidi"/>
          <w:sz w:val="22"/>
        </w:rPr>
      </w:pPr>
      <w:hyperlink w:anchor="_Toc131591195" w:history="1">
        <w:r w:rsidR="00A05AAA" w:rsidRPr="00753F7B">
          <w:rPr>
            <w:rStyle w:val="Hyperlink"/>
          </w:rPr>
          <w:t>ES.2</w:t>
        </w:r>
        <w:r w:rsidR="00A05AAA">
          <w:rPr>
            <w:rFonts w:asciiTheme="minorHAnsi" w:eastAsiaTheme="minorEastAsia" w:hAnsiTheme="minorHAnsi" w:cstheme="minorBidi"/>
            <w:sz w:val="22"/>
          </w:rPr>
          <w:tab/>
        </w:r>
        <w:r w:rsidR="00A05AAA" w:rsidRPr="00753F7B">
          <w:rPr>
            <w:rStyle w:val="Hyperlink"/>
          </w:rPr>
          <w:t>National trends</w:t>
        </w:r>
        <w:r w:rsidR="00A05AAA">
          <w:rPr>
            <w:webHidden/>
          </w:rPr>
          <w:tab/>
        </w:r>
        <w:r w:rsidR="00A05AAA">
          <w:rPr>
            <w:webHidden/>
          </w:rPr>
          <w:fldChar w:fldCharType="begin"/>
        </w:r>
        <w:r w:rsidR="00A05AAA">
          <w:rPr>
            <w:webHidden/>
          </w:rPr>
          <w:instrText xml:space="preserve"> PAGEREF _Toc131591195 \h </w:instrText>
        </w:r>
        <w:r w:rsidR="00A05AAA">
          <w:rPr>
            <w:webHidden/>
          </w:rPr>
        </w:r>
        <w:r w:rsidR="00A05AAA">
          <w:rPr>
            <w:webHidden/>
          </w:rPr>
          <w:fldChar w:fldCharType="separate"/>
        </w:r>
        <w:r w:rsidR="008F39B8">
          <w:rPr>
            <w:webHidden/>
          </w:rPr>
          <w:t>xxvi</w:t>
        </w:r>
        <w:r w:rsidR="00A05AAA">
          <w:rPr>
            <w:webHidden/>
          </w:rPr>
          <w:fldChar w:fldCharType="end"/>
        </w:r>
      </w:hyperlink>
    </w:p>
    <w:p w14:paraId="1A9DF01F" w14:textId="1C973223" w:rsidR="00A05AAA" w:rsidRDefault="007E17B8">
      <w:pPr>
        <w:pStyle w:val="TOC2"/>
        <w:rPr>
          <w:rFonts w:asciiTheme="minorHAnsi" w:eastAsiaTheme="minorEastAsia" w:hAnsiTheme="minorHAnsi" w:cstheme="minorBidi"/>
          <w:sz w:val="22"/>
        </w:rPr>
      </w:pPr>
      <w:hyperlink w:anchor="_Toc131591196" w:history="1">
        <w:r w:rsidR="00A05AAA" w:rsidRPr="00753F7B">
          <w:rPr>
            <w:rStyle w:val="Hyperlink"/>
          </w:rPr>
          <w:t>ES.3</w:t>
        </w:r>
        <w:r w:rsidR="00A05AAA">
          <w:rPr>
            <w:rFonts w:asciiTheme="minorHAnsi" w:eastAsiaTheme="minorEastAsia" w:hAnsiTheme="minorHAnsi" w:cstheme="minorBidi"/>
            <w:sz w:val="22"/>
          </w:rPr>
          <w:tab/>
        </w:r>
        <w:r w:rsidR="00A05AAA" w:rsidRPr="00753F7B">
          <w:rPr>
            <w:rStyle w:val="Hyperlink"/>
          </w:rPr>
          <w:t>Greenhouse gas trends</w:t>
        </w:r>
        <w:r w:rsidR="00A05AAA">
          <w:rPr>
            <w:webHidden/>
          </w:rPr>
          <w:tab/>
        </w:r>
        <w:r w:rsidR="00A05AAA">
          <w:rPr>
            <w:webHidden/>
          </w:rPr>
          <w:fldChar w:fldCharType="begin"/>
        </w:r>
        <w:r w:rsidR="00A05AAA">
          <w:rPr>
            <w:webHidden/>
          </w:rPr>
          <w:instrText xml:space="preserve"> PAGEREF _Toc131591196 \h </w:instrText>
        </w:r>
        <w:r w:rsidR="00A05AAA">
          <w:rPr>
            <w:webHidden/>
          </w:rPr>
        </w:r>
        <w:r w:rsidR="00A05AAA">
          <w:rPr>
            <w:webHidden/>
          </w:rPr>
          <w:fldChar w:fldCharType="separate"/>
        </w:r>
        <w:r w:rsidR="008F39B8">
          <w:rPr>
            <w:webHidden/>
          </w:rPr>
          <w:t>xxviii</w:t>
        </w:r>
        <w:r w:rsidR="00A05AAA">
          <w:rPr>
            <w:webHidden/>
          </w:rPr>
          <w:fldChar w:fldCharType="end"/>
        </w:r>
      </w:hyperlink>
    </w:p>
    <w:p w14:paraId="3811A5E3" w14:textId="7BFCEBC5" w:rsidR="00A05AAA" w:rsidRDefault="007E17B8">
      <w:pPr>
        <w:pStyle w:val="TOC2"/>
        <w:rPr>
          <w:rFonts w:asciiTheme="minorHAnsi" w:eastAsiaTheme="minorEastAsia" w:hAnsiTheme="minorHAnsi" w:cstheme="minorBidi"/>
          <w:sz w:val="22"/>
        </w:rPr>
      </w:pPr>
      <w:hyperlink w:anchor="_Toc131591197" w:history="1">
        <w:r w:rsidR="00A05AAA" w:rsidRPr="00753F7B">
          <w:rPr>
            <w:rStyle w:val="Hyperlink"/>
          </w:rPr>
          <w:t>ES.4</w:t>
        </w:r>
        <w:r w:rsidR="00A05AAA">
          <w:rPr>
            <w:rFonts w:asciiTheme="minorHAnsi" w:eastAsiaTheme="minorEastAsia" w:hAnsiTheme="minorHAnsi" w:cstheme="minorBidi"/>
            <w:sz w:val="22"/>
          </w:rPr>
          <w:tab/>
        </w:r>
        <w:r w:rsidR="00A05AAA" w:rsidRPr="00753F7B">
          <w:rPr>
            <w:rStyle w:val="Hyperlink"/>
          </w:rPr>
          <w:t>Sector trends</w:t>
        </w:r>
        <w:r w:rsidR="00A05AAA">
          <w:rPr>
            <w:webHidden/>
          </w:rPr>
          <w:tab/>
        </w:r>
        <w:r w:rsidR="00A05AAA">
          <w:rPr>
            <w:webHidden/>
          </w:rPr>
          <w:fldChar w:fldCharType="begin"/>
        </w:r>
        <w:r w:rsidR="00A05AAA">
          <w:rPr>
            <w:webHidden/>
          </w:rPr>
          <w:instrText xml:space="preserve"> PAGEREF _Toc131591197 \h </w:instrText>
        </w:r>
        <w:r w:rsidR="00A05AAA">
          <w:rPr>
            <w:webHidden/>
          </w:rPr>
        </w:r>
        <w:r w:rsidR="00A05AAA">
          <w:rPr>
            <w:webHidden/>
          </w:rPr>
          <w:fldChar w:fldCharType="separate"/>
        </w:r>
        <w:r w:rsidR="008F39B8">
          <w:rPr>
            <w:webHidden/>
          </w:rPr>
          <w:t>xxx</w:t>
        </w:r>
        <w:r w:rsidR="00A05AAA">
          <w:rPr>
            <w:webHidden/>
          </w:rPr>
          <w:fldChar w:fldCharType="end"/>
        </w:r>
      </w:hyperlink>
    </w:p>
    <w:p w14:paraId="1815BA07" w14:textId="310C6FB6" w:rsidR="00A05AAA" w:rsidRDefault="007E17B8">
      <w:pPr>
        <w:pStyle w:val="TOC2"/>
        <w:rPr>
          <w:rFonts w:asciiTheme="minorHAnsi" w:eastAsiaTheme="minorEastAsia" w:hAnsiTheme="minorHAnsi" w:cstheme="minorBidi"/>
          <w:sz w:val="22"/>
        </w:rPr>
      </w:pPr>
      <w:hyperlink w:anchor="_Toc131591198" w:history="1">
        <w:r w:rsidR="00A05AAA" w:rsidRPr="00753F7B">
          <w:rPr>
            <w:rStyle w:val="Hyperlink"/>
          </w:rPr>
          <w:t>ES.5</w:t>
        </w:r>
        <w:r w:rsidR="00A05AAA">
          <w:rPr>
            <w:rFonts w:asciiTheme="minorHAnsi" w:eastAsiaTheme="minorEastAsia" w:hAnsiTheme="minorHAnsi" w:cstheme="minorBidi"/>
            <w:sz w:val="22"/>
          </w:rPr>
          <w:tab/>
        </w:r>
        <w:r w:rsidR="00A05AAA" w:rsidRPr="00753F7B">
          <w:rPr>
            <w:rStyle w:val="Hyperlink"/>
          </w:rPr>
          <w:t>Activities under Article 3.3 and Article 3.4 of the Kyoto Protocol (chapter 11)</w:t>
        </w:r>
        <w:r w:rsidR="00A05AAA">
          <w:rPr>
            <w:webHidden/>
          </w:rPr>
          <w:tab/>
        </w:r>
        <w:r w:rsidR="00A05AAA">
          <w:rPr>
            <w:webHidden/>
          </w:rPr>
          <w:fldChar w:fldCharType="begin"/>
        </w:r>
        <w:r w:rsidR="00A05AAA">
          <w:rPr>
            <w:webHidden/>
          </w:rPr>
          <w:instrText xml:space="preserve"> PAGEREF _Toc131591198 \h </w:instrText>
        </w:r>
        <w:r w:rsidR="00A05AAA">
          <w:rPr>
            <w:webHidden/>
          </w:rPr>
        </w:r>
        <w:r w:rsidR="00A05AAA">
          <w:rPr>
            <w:webHidden/>
          </w:rPr>
          <w:fldChar w:fldCharType="separate"/>
        </w:r>
        <w:r w:rsidR="008F39B8">
          <w:rPr>
            <w:webHidden/>
          </w:rPr>
          <w:t>xxxviii</w:t>
        </w:r>
        <w:r w:rsidR="00A05AAA">
          <w:rPr>
            <w:webHidden/>
          </w:rPr>
          <w:fldChar w:fldCharType="end"/>
        </w:r>
      </w:hyperlink>
    </w:p>
    <w:p w14:paraId="148E59BD" w14:textId="6E0F5E71" w:rsidR="00A05AAA" w:rsidRDefault="007E17B8">
      <w:pPr>
        <w:pStyle w:val="TOC2"/>
        <w:rPr>
          <w:rFonts w:asciiTheme="minorHAnsi" w:eastAsiaTheme="minorEastAsia" w:hAnsiTheme="minorHAnsi" w:cstheme="minorBidi"/>
          <w:sz w:val="22"/>
        </w:rPr>
      </w:pPr>
      <w:hyperlink w:anchor="_Toc131591199" w:history="1">
        <w:r w:rsidR="00A05AAA" w:rsidRPr="00753F7B">
          <w:rPr>
            <w:rStyle w:val="Hyperlink"/>
          </w:rPr>
          <w:t>ES.6</w:t>
        </w:r>
        <w:r w:rsidR="00A05AAA">
          <w:rPr>
            <w:rFonts w:asciiTheme="minorHAnsi" w:eastAsiaTheme="minorEastAsia" w:hAnsiTheme="minorHAnsi" w:cstheme="minorBidi"/>
            <w:sz w:val="22"/>
          </w:rPr>
          <w:tab/>
        </w:r>
        <w:r w:rsidR="00A05AAA" w:rsidRPr="00753F7B">
          <w:rPr>
            <w:rStyle w:val="Hyperlink"/>
          </w:rPr>
          <w:t>Improvements introduced</w:t>
        </w:r>
        <w:r w:rsidR="00A05AAA">
          <w:rPr>
            <w:webHidden/>
          </w:rPr>
          <w:tab/>
        </w:r>
        <w:r w:rsidR="00A05AAA">
          <w:rPr>
            <w:webHidden/>
          </w:rPr>
          <w:fldChar w:fldCharType="begin"/>
        </w:r>
        <w:r w:rsidR="00A05AAA">
          <w:rPr>
            <w:webHidden/>
          </w:rPr>
          <w:instrText xml:space="preserve"> PAGEREF _Toc131591199 \h </w:instrText>
        </w:r>
        <w:r w:rsidR="00A05AAA">
          <w:rPr>
            <w:webHidden/>
          </w:rPr>
        </w:r>
        <w:r w:rsidR="00A05AAA">
          <w:rPr>
            <w:webHidden/>
          </w:rPr>
          <w:fldChar w:fldCharType="separate"/>
        </w:r>
        <w:r w:rsidR="008F39B8">
          <w:rPr>
            <w:webHidden/>
          </w:rPr>
          <w:t>xxxix</w:t>
        </w:r>
        <w:r w:rsidR="00A05AAA">
          <w:rPr>
            <w:webHidden/>
          </w:rPr>
          <w:fldChar w:fldCharType="end"/>
        </w:r>
      </w:hyperlink>
    </w:p>
    <w:p w14:paraId="34156E2B" w14:textId="498B6015" w:rsidR="00A05AAA" w:rsidRDefault="007E17B8">
      <w:pPr>
        <w:pStyle w:val="TOC2"/>
        <w:rPr>
          <w:rFonts w:asciiTheme="minorHAnsi" w:eastAsiaTheme="minorEastAsia" w:hAnsiTheme="minorHAnsi" w:cstheme="minorBidi"/>
          <w:sz w:val="22"/>
        </w:rPr>
      </w:pPr>
      <w:hyperlink w:anchor="_Toc131591200" w:history="1">
        <w:r w:rsidR="00A05AAA" w:rsidRPr="00753F7B">
          <w:rPr>
            <w:rStyle w:val="Hyperlink"/>
          </w:rPr>
          <w:t>ES.7</w:t>
        </w:r>
        <w:r w:rsidR="00A05AAA">
          <w:rPr>
            <w:rFonts w:asciiTheme="minorHAnsi" w:eastAsiaTheme="minorEastAsia" w:hAnsiTheme="minorHAnsi" w:cstheme="minorBidi"/>
            <w:sz w:val="22"/>
          </w:rPr>
          <w:tab/>
        </w:r>
        <w:r w:rsidR="00A05AAA" w:rsidRPr="00753F7B">
          <w:rPr>
            <w:rStyle w:val="Hyperlink"/>
          </w:rPr>
          <w:t>National registry (chapters 12 and 14)</w:t>
        </w:r>
        <w:r w:rsidR="00A05AAA">
          <w:rPr>
            <w:webHidden/>
          </w:rPr>
          <w:tab/>
        </w:r>
        <w:r w:rsidR="00A05AAA">
          <w:rPr>
            <w:webHidden/>
          </w:rPr>
          <w:fldChar w:fldCharType="begin"/>
        </w:r>
        <w:r w:rsidR="00A05AAA">
          <w:rPr>
            <w:webHidden/>
          </w:rPr>
          <w:instrText xml:space="preserve"> PAGEREF _Toc131591200 \h </w:instrText>
        </w:r>
        <w:r w:rsidR="00A05AAA">
          <w:rPr>
            <w:webHidden/>
          </w:rPr>
        </w:r>
        <w:r w:rsidR="00A05AAA">
          <w:rPr>
            <w:webHidden/>
          </w:rPr>
          <w:fldChar w:fldCharType="separate"/>
        </w:r>
        <w:r w:rsidR="008F39B8">
          <w:rPr>
            <w:webHidden/>
          </w:rPr>
          <w:t>xli</w:t>
        </w:r>
        <w:r w:rsidR="00A05AAA">
          <w:rPr>
            <w:webHidden/>
          </w:rPr>
          <w:fldChar w:fldCharType="end"/>
        </w:r>
      </w:hyperlink>
    </w:p>
    <w:p w14:paraId="35303E8A" w14:textId="1619591F" w:rsidR="00A05AAA" w:rsidRDefault="007E17B8">
      <w:pPr>
        <w:pStyle w:val="TOC2"/>
        <w:rPr>
          <w:rFonts w:asciiTheme="minorHAnsi" w:eastAsiaTheme="minorEastAsia" w:hAnsiTheme="minorHAnsi" w:cstheme="minorBidi"/>
          <w:sz w:val="22"/>
        </w:rPr>
      </w:pPr>
      <w:hyperlink w:anchor="_Toc131591201" w:history="1">
        <w:r w:rsidR="00A05AAA" w:rsidRPr="00753F7B">
          <w:rPr>
            <w:rStyle w:val="Hyperlink"/>
          </w:rPr>
          <w:t>Executive summary: References</w:t>
        </w:r>
        <w:r w:rsidR="00A05AAA">
          <w:rPr>
            <w:webHidden/>
          </w:rPr>
          <w:tab/>
        </w:r>
        <w:r w:rsidR="00A05AAA">
          <w:rPr>
            <w:webHidden/>
          </w:rPr>
          <w:fldChar w:fldCharType="begin"/>
        </w:r>
        <w:r w:rsidR="00A05AAA">
          <w:rPr>
            <w:webHidden/>
          </w:rPr>
          <w:instrText xml:space="preserve"> PAGEREF _Toc131591201 \h </w:instrText>
        </w:r>
        <w:r w:rsidR="00A05AAA">
          <w:rPr>
            <w:webHidden/>
          </w:rPr>
        </w:r>
        <w:r w:rsidR="00A05AAA">
          <w:rPr>
            <w:webHidden/>
          </w:rPr>
          <w:fldChar w:fldCharType="separate"/>
        </w:r>
        <w:r w:rsidR="008F39B8">
          <w:rPr>
            <w:webHidden/>
          </w:rPr>
          <w:t>xliii</w:t>
        </w:r>
        <w:r w:rsidR="00A05AAA">
          <w:rPr>
            <w:webHidden/>
          </w:rPr>
          <w:fldChar w:fldCharType="end"/>
        </w:r>
      </w:hyperlink>
    </w:p>
    <w:p w14:paraId="16DC0296" w14:textId="79C0843D" w:rsidR="00A05AAA" w:rsidRDefault="007E17B8">
      <w:pPr>
        <w:pStyle w:val="TOC1"/>
        <w:rPr>
          <w:rFonts w:asciiTheme="minorHAnsi" w:eastAsiaTheme="minorEastAsia" w:hAnsiTheme="minorHAnsi" w:cstheme="minorBidi"/>
          <w:sz w:val="22"/>
        </w:rPr>
      </w:pPr>
      <w:hyperlink w:anchor="_Toc131591202" w:history="1">
        <w:r w:rsidR="00A05AAA" w:rsidRPr="00753F7B">
          <w:rPr>
            <w:rStyle w:val="Hyperlink"/>
          </w:rPr>
          <w:t>Chapter 1: Introduction</w:t>
        </w:r>
        <w:r w:rsidR="00A05AAA">
          <w:rPr>
            <w:webHidden/>
          </w:rPr>
          <w:tab/>
        </w:r>
        <w:r w:rsidR="00A05AAA">
          <w:rPr>
            <w:webHidden/>
          </w:rPr>
          <w:fldChar w:fldCharType="begin"/>
        </w:r>
        <w:r w:rsidR="00A05AAA">
          <w:rPr>
            <w:webHidden/>
          </w:rPr>
          <w:instrText xml:space="preserve"> PAGEREF _Toc131591202 \h </w:instrText>
        </w:r>
        <w:r w:rsidR="00A05AAA">
          <w:rPr>
            <w:webHidden/>
          </w:rPr>
        </w:r>
        <w:r w:rsidR="00A05AAA">
          <w:rPr>
            <w:webHidden/>
          </w:rPr>
          <w:fldChar w:fldCharType="separate"/>
        </w:r>
        <w:r w:rsidR="008F39B8">
          <w:rPr>
            <w:webHidden/>
          </w:rPr>
          <w:t>1</w:t>
        </w:r>
        <w:r w:rsidR="00A05AAA">
          <w:rPr>
            <w:webHidden/>
          </w:rPr>
          <w:fldChar w:fldCharType="end"/>
        </w:r>
      </w:hyperlink>
    </w:p>
    <w:p w14:paraId="115BEECA" w14:textId="70E5BBDB" w:rsidR="00A05AAA" w:rsidRDefault="007E17B8">
      <w:pPr>
        <w:pStyle w:val="TOC2"/>
        <w:rPr>
          <w:rFonts w:asciiTheme="minorHAnsi" w:eastAsiaTheme="minorEastAsia" w:hAnsiTheme="minorHAnsi" w:cstheme="minorBidi"/>
          <w:sz w:val="22"/>
        </w:rPr>
      </w:pPr>
      <w:hyperlink w:anchor="_Toc131591203" w:history="1">
        <w:r w:rsidR="00A05AAA" w:rsidRPr="00753F7B">
          <w:rPr>
            <w:rStyle w:val="Hyperlink"/>
          </w:rPr>
          <w:t>1.1</w:t>
        </w:r>
        <w:r w:rsidR="00A05AAA">
          <w:rPr>
            <w:rFonts w:asciiTheme="minorHAnsi" w:eastAsiaTheme="minorEastAsia" w:hAnsiTheme="minorHAnsi" w:cstheme="minorBidi"/>
            <w:sz w:val="22"/>
          </w:rPr>
          <w:tab/>
        </w:r>
        <w:r w:rsidR="00A05AAA" w:rsidRPr="00753F7B">
          <w:rPr>
            <w:rStyle w:val="Hyperlink"/>
          </w:rPr>
          <w:t>Background</w:t>
        </w:r>
        <w:r w:rsidR="00A05AAA">
          <w:rPr>
            <w:webHidden/>
          </w:rPr>
          <w:tab/>
        </w:r>
        <w:r w:rsidR="00A05AAA">
          <w:rPr>
            <w:webHidden/>
          </w:rPr>
          <w:fldChar w:fldCharType="begin"/>
        </w:r>
        <w:r w:rsidR="00A05AAA">
          <w:rPr>
            <w:webHidden/>
          </w:rPr>
          <w:instrText xml:space="preserve"> PAGEREF _Toc131591203 \h </w:instrText>
        </w:r>
        <w:r w:rsidR="00A05AAA">
          <w:rPr>
            <w:webHidden/>
          </w:rPr>
        </w:r>
        <w:r w:rsidR="00A05AAA">
          <w:rPr>
            <w:webHidden/>
          </w:rPr>
          <w:fldChar w:fldCharType="separate"/>
        </w:r>
        <w:r w:rsidR="008F39B8">
          <w:rPr>
            <w:webHidden/>
          </w:rPr>
          <w:t>1</w:t>
        </w:r>
        <w:r w:rsidR="00A05AAA">
          <w:rPr>
            <w:webHidden/>
          </w:rPr>
          <w:fldChar w:fldCharType="end"/>
        </w:r>
      </w:hyperlink>
    </w:p>
    <w:p w14:paraId="0EE47B00" w14:textId="0CDC23A9" w:rsidR="00A05AAA" w:rsidRDefault="007E17B8">
      <w:pPr>
        <w:pStyle w:val="TOC2"/>
        <w:rPr>
          <w:rFonts w:asciiTheme="minorHAnsi" w:eastAsiaTheme="minorEastAsia" w:hAnsiTheme="minorHAnsi" w:cstheme="minorBidi"/>
          <w:sz w:val="22"/>
        </w:rPr>
      </w:pPr>
      <w:hyperlink w:anchor="_Toc131591204" w:history="1">
        <w:r w:rsidR="00A05AAA" w:rsidRPr="00753F7B">
          <w:rPr>
            <w:rStyle w:val="Hyperlink"/>
          </w:rPr>
          <w:t>1.2</w:t>
        </w:r>
        <w:r w:rsidR="00A05AAA">
          <w:rPr>
            <w:rFonts w:asciiTheme="minorHAnsi" w:eastAsiaTheme="minorEastAsia" w:hAnsiTheme="minorHAnsi" w:cstheme="minorBidi"/>
            <w:sz w:val="22"/>
          </w:rPr>
          <w:tab/>
        </w:r>
        <w:r w:rsidR="00A05AAA" w:rsidRPr="00753F7B">
          <w:rPr>
            <w:rStyle w:val="Hyperlink"/>
          </w:rPr>
          <w:t>Description of the national inventory arrangements</w:t>
        </w:r>
        <w:r w:rsidR="00A05AAA">
          <w:rPr>
            <w:webHidden/>
          </w:rPr>
          <w:tab/>
        </w:r>
        <w:r w:rsidR="00A05AAA">
          <w:rPr>
            <w:webHidden/>
          </w:rPr>
          <w:fldChar w:fldCharType="begin"/>
        </w:r>
        <w:r w:rsidR="00A05AAA">
          <w:rPr>
            <w:webHidden/>
          </w:rPr>
          <w:instrText xml:space="preserve"> PAGEREF _Toc131591204 \h </w:instrText>
        </w:r>
        <w:r w:rsidR="00A05AAA">
          <w:rPr>
            <w:webHidden/>
          </w:rPr>
        </w:r>
        <w:r w:rsidR="00A05AAA">
          <w:rPr>
            <w:webHidden/>
          </w:rPr>
          <w:fldChar w:fldCharType="separate"/>
        </w:r>
        <w:r w:rsidR="008F39B8">
          <w:rPr>
            <w:webHidden/>
          </w:rPr>
          <w:t>4</w:t>
        </w:r>
        <w:r w:rsidR="00A05AAA">
          <w:rPr>
            <w:webHidden/>
          </w:rPr>
          <w:fldChar w:fldCharType="end"/>
        </w:r>
      </w:hyperlink>
    </w:p>
    <w:p w14:paraId="6E4F6AA4" w14:textId="5A42F227" w:rsidR="00A05AAA" w:rsidRDefault="007E17B8">
      <w:pPr>
        <w:pStyle w:val="TOC2"/>
        <w:rPr>
          <w:rFonts w:asciiTheme="minorHAnsi" w:eastAsiaTheme="minorEastAsia" w:hAnsiTheme="minorHAnsi" w:cstheme="minorBidi"/>
          <w:sz w:val="22"/>
        </w:rPr>
      </w:pPr>
      <w:hyperlink w:anchor="_Toc131591205" w:history="1">
        <w:r w:rsidR="00A05AAA" w:rsidRPr="00753F7B">
          <w:rPr>
            <w:rStyle w:val="Hyperlink"/>
          </w:rPr>
          <w:t>1.3</w:t>
        </w:r>
        <w:r w:rsidR="00A05AAA">
          <w:rPr>
            <w:rFonts w:asciiTheme="minorHAnsi" w:eastAsiaTheme="minorEastAsia" w:hAnsiTheme="minorHAnsi" w:cstheme="minorBidi"/>
            <w:sz w:val="22"/>
          </w:rPr>
          <w:tab/>
        </w:r>
        <w:r w:rsidR="00A05AAA" w:rsidRPr="00753F7B">
          <w:rPr>
            <w:rStyle w:val="Hyperlink"/>
          </w:rPr>
          <w:t>Inventory preparation: data collection, processing and storage</w:t>
        </w:r>
        <w:r w:rsidR="00A05AAA">
          <w:rPr>
            <w:webHidden/>
          </w:rPr>
          <w:tab/>
        </w:r>
        <w:r w:rsidR="00A05AAA">
          <w:rPr>
            <w:webHidden/>
          </w:rPr>
          <w:fldChar w:fldCharType="begin"/>
        </w:r>
        <w:r w:rsidR="00A05AAA">
          <w:rPr>
            <w:webHidden/>
          </w:rPr>
          <w:instrText xml:space="preserve"> PAGEREF _Toc131591205 \h </w:instrText>
        </w:r>
        <w:r w:rsidR="00A05AAA">
          <w:rPr>
            <w:webHidden/>
          </w:rPr>
        </w:r>
        <w:r w:rsidR="00A05AAA">
          <w:rPr>
            <w:webHidden/>
          </w:rPr>
          <w:fldChar w:fldCharType="separate"/>
        </w:r>
        <w:r w:rsidR="008F39B8">
          <w:rPr>
            <w:webHidden/>
          </w:rPr>
          <w:t>14</w:t>
        </w:r>
        <w:r w:rsidR="00A05AAA">
          <w:rPr>
            <w:webHidden/>
          </w:rPr>
          <w:fldChar w:fldCharType="end"/>
        </w:r>
      </w:hyperlink>
    </w:p>
    <w:p w14:paraId="77BB05E4" w14:textId="14EA5772" w:rsidR="00A05AAA" w:rsidRDefault="007E17B8">
      <w:pPr>
        <w:pStyle w:val="TOC2"/>
        <w:rPr>
          <w:rFonts w:asciiTheme="minorHAnsi" w:eastAsiaTheme="minorEastAsia" w:hAnsiTheme="minorHAnsi" w:cstheme="minorBidi"/>
          <w:sz w:val="22"/>
        </w:rPr>
      </w:pPr>
      <w:hyperlink w:anchor="_Toc131591206" w:history="1">
        <w:r w:rsidR="00A05AAA" w:rsidRPr="00753F7B">
          <w:rPr>
            <w:rStyle w:val="Hyperlink"/>
          </w:rPr>
          <w:t>1.4</w:t>
        </w:r>
        <w:r w:rsidR="00A05AAA">
          <w:rPr>
            <w:rFonts w:asciiTheme="minorHAnsi" w:eastAsiaTheme="minorEastAsia" w:hAnsiTheme="minorHAnsi" w:cstheme="minorBidi"/>
            <w:sz w:val="22"/>
          </w:rPr>
          <w:tab/>
        </w:r>
        <w:r w:rsidR="00A05AAA" w:rsidRPr="00753F7B">
          <w:rPr>
            <w:rStyle w:val="Hyperlink"/>
          </w:rPr>
          <w:t>Methodologies and data sources used</w:t>
        </w:r>
        <w:r w:rsidR="00A05AAA">
          <w:rPr>
            <w:webHidden/>
          </w:rPr>
          <w:tab/>
        </w:r>
        <w:r w:rsidR="00A05AAA">
          <w:rPr>
            <w:webHidden/>
          </w:rPr>
          <w:fldChar w:fldCharType="begin"/>
        </w:r>
        <w:r w:rsidR="00A05AAA">
          <w:rPr>
            <w:webHidden/>
          </w:rPr>
          <w:instrText xml:space="preserve"> PAGEREF _Toc131591206 \h </w:instrText>
        </w:r>
        <w:r w:rsidR="00A05AAA">
          <w:rPr>
            <w:webHidden/>
          </w:rPr>
        </w:r>
        <w:r w:rsidR="00A05AAA">
          <w:rPr>
            <w:webHidden/>
          </w:rPr>
          <w:fldChar w:fldCharType="separate"/>
        </w:r>
        <w:r w:rsidR="008F39B8">
          <w:rPr>
            <w:webHidden/>
          </w:rPr>
          <w:t>14</w:t>
        </w:r>
        <w:r w:rsidR="00A05AAA">
          <w:rPr>
            <w:webHidden/>
          </w:rPr>
          <w:fldChar w:fldCharType="end"/>
        </w:r>
      </w:hyperlink>
    </w:p>
    <w:p w14:paraId="5CDE06D2" w14:textId="3BBB4788" w:rsidR="00A05AAA" w:rsidRDefault="007E17B8">
      <w:pPr>
        <w:pStyle w:val="TOC2"/>
        <w:rPr>
          <w:rFonts w:asciiTheme="minorHAnsi" w:eastAsiaTheme="minorEastAsia" w:hAnsiTheme="minorHAnsi" w:cstheme="minorBidi"/>
          <w:sz w:val="22"/>
        </w:rPr>
      </w:pPr>
      <w:hyperlink w:anchor="_Toc131591207" w:history="1">
        <w:r w:rsidR="00A05AAA" w:rsidRPr="00753F7B">
          <w:rPr>
            <w:rStyle w:val="Hyperlink"/>
          </w:rPr>
          <w:t>1.5</w:t>
        </w:r>
        <w:r w:rsidR="00A05AAA">
          <w:rPr>
            <w:rFonts w:asciiTheme="minorHAnsi" w:eastAsiaTheme="minorEastAsia" w:hAnsiTheme="minorHAnsi" w:cstheme="minorBidi"/>
            <w:sz w:val="22"/>
          </w:rPr>
          <w:tab/>
        </w:r>
        <w:r w:rsidR="00A05AAA" w:rsidRPr="00753F7B">
          <w:rPr>
            <w:rStyle w:val="Hyperlink"/>
          </w:rPr>
          <w:t>Key categories</w:t>
        </w:r>
        <w:r w:rsidR="00A05AAA">
          <w:rPr>
            <w:webHidden/>
          </w:rPr>
          <w:tab/>
        </w:r>
        <w:r w:rsidR="00A05AAA">
          <w:rPr>
            <w:webHidden/>
          </w:rPr>
          <w:fldChar w:fldCharType="begin"/>
        </w:r>
        <w:r w:rsidR="00A05AAA">
          <w:rPr>
            <w:webHidden/>
          </w:rPr>
          <w:instrText xml:space="preserve"> PAGEREF _Toc131591207 \h </w:instrText>
        </w:r>
        <w:r w:rsidR="00A05AAA">
          <w:rPr>
            <w:webHidden/>
          </w:rPr>
        </w:r>
        <w:r w:rsidR="00A05AAA">
          <w:rPr>
            <w:webHidden/>
          </w:rPr>
          <w:fldChar w:fldCharType="separate"/>
        </w:r>
        <w:r w:rsidR="008F39B8">
          <w:rPr>
            <w:webHidden/>
          </w:rPr>
          <w:t>18</w:t>
        </w:r>
        <w:r w:rsidR="00A05AAA">
          <w:rPr>
            <w:webHidden/>
          </w:rPr>
          <w:fldChar w:fldCharType="end"/>
        </w:r>
      </w:hyperlink>
    </w:p>
    <w:p w14:paraId="4CB87E08" w14:textId="045293BD" w:rsidR="00A05AAA" w:rsidRDefault="007E17B8">
      <w:pPr>
        <w:pStyle w:val="TOC2"/>
        <w:rPr>
          <w:rFonts w:asciiTheme="minorHAnsi" w:eastAsiaTheme="minorEastAsia" w:hAnsiTheme="minorHAnsi" w:cstheme="minorBidi"/>
          <w:sz w:val="22"/>
        </w:rPr>
      </w:pPr>
      <w:hyperlink w:anchor="_Toc131591208" w:history="1">
        <w:r w:rsidR="00A05AAA" w:rsidRPr="00753F7B">
          <w:rPr>
            <w:rStyle w:val="Hyperlink"/>
          </w:rPr>
          <w:t>1.6</w:t>
        </w:r>
        <w:r w:rsidR="00A05AAA">
          <w:rPr>
            <w:rFonts w:asciiTheme="minorHAnsi" w:eastAsiaTheme="minorEastAsia" w:hAnsiTheme="minorHAnsi" w:cstheme="minorBidi"/>
            <w:sz w:val="22"/>
          </w:rPr>
          <w:tab/>
        </w:r>
        <w:r w:rsidR="00A05AAA" w:rsidRPr="00753F7B">
          <w:rPr>
            <w:rStyle w:val="Hyperlink"/>
          </w:rPr>
          <w:t>Inventory uncertainty</w:t>
        </w:r>
        <w:r w:rsidR="00A05AAA">
          <w:rPr>
            <w:webHidden/>
          </w:rPr>
          <w:tab/>
        </w:r>
        <w:r w:rsidR="00A05AAA">
          <w:rPr>
            <w:webHidden/>
          </w:rPr>
          <w:fldChar w:fldCharType="begin"/>
        </w:r>
        <w:r w:rsidR="00A05AAA">
          <w:rPr>
            <w:webHidden/>
          </w:rPr>
          <w:instrText xml:space="preserve"> PAGEREF _Toc131591208 \h </w:instrText>
        </w:r>
        <w:r w:rsidR="00A05AAA">
          <w:rPr>
            <w:webHidden/>
          </w:rPr>
        </w:r>
        <w:r w:rsidR="00A05AAA">
          <w:rPr>
            <w:webHidden/>
          </w:rPr>
          <w:fldChar w:fldCharType="separate"/>
        </w:r>
        <w:r w:rsidR="008F39B8">
          <w:rPr>
            <w:webHidden/>
          </w:rPr>
          <w:t>27</w:t>
        </w:r>
        <w:r w:rsidR="00A05AAA">
          <w:rPr>
            <w:webHidden/>
          </w:rPr>
          <w:fldChar w:fldCharType="end"/>
        </w:r>
      </w:hyperlink>
    </w:p>
    <w:p w14:paraId="5CC7C748" w14:textId="196A5BAE" w:rsidR="00A05AAA" w:rsidRDefault="007E17B8">
      <w:pPr>
        <w:pStyle w:val="TOC2"/>
        <w:rPr>
          <w:rFonts w:asciiTheme="minorHAnsi" w:eastAsiaTheme="minorEastAsia" w:hAnsiTheme="minorHAnsi" w:cstheme="minorBidi"/>
          <w:sz w:val="22"/>
        </w:rPr>
      </w:pPr>
      <w:hyperlink w:anchor="_Toc131591209" w:history="1">
        <w:r w:rsidR="00A05AAA" w:rsidRPr="00753F7B">
          <w:rPr>
            <w:rStyle w:val="Hyperlink"/>
          </w:rPr>
          <w:t>1.7</w:t>
        </w:r>
        <w:r w:rsidR="00A05AAA">
          <w:rPr>
            <w:rFonts w:asciiTheme="minorHAnsi" w:eastAsiaTheme="minorEastAsia" w:hAnsiTheme="minorHAnsi" w:cstheme="minorBidi"/>
            <w:sz w:val="22"/>
          </w:rPr>
          <w:tab/>
        </w:r>
        <w:r w:rsidR="00A05AAA" w:rsidRPr="00753F7B">
          <w:rPr>
            <w:rStyle w:val="Hyperlink"/>
          </w:rPr>
          <w:t>Inventory completeness</w:t>
        </w:r>
        <w:r w:rsidR="00A05AAA">
          <w:rPr>
            <w:webHidden/>
          </w:rPr>
          <w:tab/>
        </w:r>
        <w:r w:rsidR="00A05AAA">
          <w:rPr>
            <w:webHidden/>
          </w:rPr>
          <w:fldChar w:fldCharType="begin"/>
        </w:r>
        <w:r w:rsidR="00A05AAA">
          <w:rPr>
            <w:webHidden/>
          </w:rPr>
          <w:instrText xml:space="preserve"> PAGEREF _Toc131591209 \h </w:instrText>
        </w:r>
        <w:r w:rsidR="00A05AAA">
          <w:rPr>
            <w:webHidden/>
          </w:rPr>
        </w:r>
        <w:r w:rsidR="00A05AAA">
          <w:rPr>
            <w:webHidden/>
          </w:rPr>
          <w:fldChar w:fldCharType="separate"/>
        </w:r>
        <w:r w:rsidR="008F39B8">
          <w:rPr>
            <w:webHidden/>
          </w:rPr>
          <w:t>30</w:t>
        </w:r>
        <w:r w:rsidR="00A05AAA">
          <w:rPr>
            <w:webHidden/>
          </w:rPr>
          <w:fldChar w:fldCharType="end"/>
        </w:r>
      </w:hyperlink>
    </w:p>
    <w:p w14:paraId="7734EED8" w14:textId="1BC6EAC8" w:rsidR="00A05AAA" w:rsidRDefault="007E17B8">
      <w:pPr>
        <w:pStyle w:val="TOC2"/>
        <w:rPr>
          <w:rFonts w:asciiTheme="minorHAnsi" w:eastAsiaTheme="minorEastAsia" w:hAnsiTheme="minorHAnsi" w:cstheme="minorBidi"/>
          <w:sz w:val="22"/>
        </w:rPr>
      </w:pPr>
      <w:hyperlink w:anchor="_Toc131591210" w:history="1">
        <w:r w:rsidR="00A05AAA" w:rsidRPr="00753F7B">
          <w:rPr>
            <w:rStyle w:val="Hyperlink"/>
          </w:rPr>
          <w:t>1.8</w:t>
        </w:r>
        <w:r w:rsidR="00A05AAA">
          <w:rPr>
            <w:rFonts w:asciiTheme="minorHAnsi" w:eastAsiaTheme="minorEastAsia" w:hAnsiTheme="minorHAnsi" w:cstheme="minorBidi"/>
            <w:sz w:val="22"/>
          </w:rPr>
          <w:tab/>
        </w:r>
        <w:r w:rsidR="00A05AAA" w:rsidRPr="00753F7B">
          <w:rPr>
            <w:rStyle w:val="Hyperlink"/>
          </w:rPr>
          <w:t>National registry</w:t>
        </w:r>
        <w:r w:rsidR="00A05AAA">
          <w:rPr>
            <w:webHidden/>
          </w:rPr>
          <w:tab/>
        </w:r>
        <w:r w:rsidR="00A05AAA">
          <w:rPr>
            <w:webHidden/>
          </w:rPr>
          <w:fldChar w:fldCharType="begin"/>
        </w:r>
        <w:r w:rsidR="00A05AAA">
          <w:rPr>
            <w:webHidden/>
          </w:rPr>
          <w:instrText xml:space="preserve"> PAGEREF _Toc131591210 \h </w:instrText>
        </w:r>
        <w:r w:rsidR="00A05AAA">
          <w:rPr>
            <w:webHidden/>
          </w:rPr>
        </w:r>
        <w:r w:rsidR="00A05AAA">
          <w:rPr>
            <w:webHidden/>
          </w:rPr>
          <w:fldChar w:fldCharType="separate"/>
        </w:r>
        <w:r w:rsidR="008F39B8">
          <w:rPr>
            <w:webHidden/>
          </w:rPr>
          <w:t>30</w:t>
        </w:r>
        <w:r w:rsidR="00A05AAA">
          <w:rPr>
            <w:webHidden/>
          </w:rPr>
          <w:fldChar w:fldCharType="end"/>
        </w:r>
      </w:hyperlink>
    </w:p>
    <w:p w14:paraId="44BBBE91" w14:textId="0E7A667E" w:rsidR="00A05AAA" w:rsidRDefault="007E17B8">
      <w:pPr>
        <w:pStyle w:val="TOC2"/>
        <w:rPr>
          <w:rFonts w:asciiTheme="minorHAnsi" w:eastAsiaTheme="minorEastAsia" w:hAnsiTheme="minorHAnsi" w:cstheme="minorBidi"/>
          <w:sz w:val="22"/>
        </w:rPr>
      </w:pPr>
      <w:hyperlink w:anchor="_Toc131591211" w:history="1">
        <w:r w:rsidR="00A05AAA" w:rsidRPr="00753F7B">
          <w:rPr>
            <w:rStyle w:val="Hyperlink"/>
          </w:rPr>
          <w:t>1.9</w:t>
        </w:r>
        <w:r w:rsidR="00A05AAA">
          <w:rPr>
            <w:rFonts w:asciiTheme="minorHAnsi" w:eastAsiaTheme="minorEastAsia" w:hAnsiTheme="minorHAnsi" w:cstheme="minorBidi"/>
            <w:sz w:val="22"/>
          </w:rPr>
          <w:tab/>
        </w:r>
        <w:r w:rsidR="00A05AAA" w:rsidRPr="00753F7B">
          <w:rPr>
            <w:rStyle w:val="Hyperlink"/>
          </w:rPr>
          <w:t>New Zealand Emissions Trading Scheme</w:t>
        </w:r>
        <w:r w:rsidR="00A05AAA">
          <w:rPr>
            <w:webHidden/>
          </w:rPr>
          <w:tab/>
        </w:r>
        <w:r w:rsidR="00A05AAA">
          <w:rPr>
            <w:webHidden/>
          </w:rPr>
          <w:fldChar w:fldCharType="begin"/>
        </w:r>
        <w:r w:rsidR="00A05AAA">
          <w:rPr>
            <w:webHidden/>
          </w:rPr>
          <w:instrText xml:space="preserve"> PAGEREF _Toc131591211 \h </w:instrText>
        </w:r>
        <w:r w:rsidR="00A05AAA">
          <w:rPr>
            <w:webHidden/>
          </w:rPr>
        </w:r>
        <w:r w:rsidR="00A05AAA">
          <w:rPr>
            <w:webHidden/>
          </w:rPr>
          <w:fldChar w:fldCharType="separate"/>
        </w:r>
        <w:r w:rsidR="008F39B8">
          <w:rPr>
            <w:webHidden/>
          </w:rPr>
          <w:t>31</w:t>
        </w:r>
        <w:r w:rsidR="00A05AAA">
          <w:rPr>
            <w:webHidden/>
          </w:rPr>
          <w:fldChar w:fldCharType="end"/>
        </w:r>
      </w:hyperlink>
    </w:p>
    <w:p w14:paraId="718AA24E" w14:textId="7D26881F" w:rsidR="00A05AAA" w:rsidRDefault="007E17B8">
      <w:pPr>
        <w:pStyle w:val="TOC2"/>
        <w:rPr>
          <w:rFonts w:asciiTheme="minorHAnsi" w:eastAsiaTheme="minorEastAsia" w:hAnsiTheme="minorHAnsi" w:cstheme="minorBidi"/>
          <w:sz w:val="22"/>
        </w:rPr>
      </w:pPr>
      <w:hyperlink w:anchor="_Toc131591212" w:history="1">
        <w:r w:rsidR="00A05AAA" w:rsidRPr="00753F7B">
          <w:rPr>
            <w:rStyle w:val="Hyperlink"/>
          </w:rPr>
          <w:t>1.10</w:t>
        </w:r>
        <w:r w:rsidR="00A05AAA">
          <w:rPr>
            <w:rFonts w:asciiTheme="minorHAnsi" w:eastAsiaTheme="minorEastAsia" w:hAnsiTheme="minorHAnsi" w:cstheme="minorBidi"/>
            <w:sz w:val="22"/>
          </w:rPr>
          <w:tab/>
        </w:r>
        <w:r w:rsidR="00A05AAA" w:rsidRPr="00753F7B">
          <w:rPr>
            <w:rStyle w:val="Hyperlink"/>
          </w:rPr>
          <w:t>Improvements introduced</w:t>
        </w:r>
        <w:r w:rsidR="00A05AAA">
          <w:rPr>
            <w:webHidden/>
          </w:rPr>
          <w:tab/>
        </w:r>
        <w:r w:rsidR="00A05AAA">
          <w:rPr>
            <w:webHidden/>
          </w:rPr>
          <w:fldChar w:fldCharType="begin"/>
        </w:r>
        <w:r w:rsidR="00A05AAA">
          <w:rPr>
            <w:webHidden/>
          </w:rPr>
          <w:instrText xml:space="preserve"> PAGEREF _Toc131591212 \h </w:instrText>
        </w:r>
        <w:r w:rsidR="00A05AAA">
          <w:rPr>
            <w:webHidden/>
          </w:rPr>
        </w:r>
        <w:r w:rsidR="00A05AAA">
          <w:rPr>
            <w:webHidden/>
          </w:rPr>
          <w:fldChar w:fldCharType="separate"/>
        </w:r>
        <w:r w:rsidR="008F39B8">
          <w:rPr>
            <w:webHidden/>
          </w:rPr>
          <w:t>32</w:t>
        </w:r>
        <w:r w:rsidR="00A05AAA">
          <w:rPr>
            <w:webHidden/>
          </w:rPr>
          <w:fldChar w:fldCharType="end"/>
        </w:r>
      </w:hyperlink>
    </w:p>
    <w:p w14:paraId="6E817E2C" w14:textId="3DF6113C" w:rsidR="00A05AAA" w:rsidRDefault="007E17B8">
      <w:pPr>
        <w:pStyle w:val="TOC2"/>
        <w:rPr>
          <w:rFonts w:asciiTheme="minorHAnsi" w:eastAsiaTheme="minorEastAsia" w:hAnsiTheme="minorHAnsi" w:cstheme="minorBidi"/>
          <w:sz w:val="22"/>
        </w:rPr>
      </w:pPr>
      <w:hyperlink w:anchor="_Toc131591213" w:history="1">
        <w:r w:rsidR="00A05AAA" w:rsidRPr="00753F7B">
          <w:rPr>
            <w:rStyle w:val="Hyperlink"/>
          </w:rPr>
          <w:t>Chapter 1: References</w:t>
        </w:r>
        <w:r w:rsidR="00A05AAA">
          <w:rPr>
            <w:webHidden/>
          </w:rPr>
          <w:tab/>
        </w:r>
        <w:r w:rsidR="00A05AAA">
          <w:rPr>
            <w:webHidden/>
          </w:rPr>
          <w:fldChar w:fldCharType="begin"/>
        </w:r>
        <w:r w:rsidR="00A05AAA">
          <w:rPr>
            <w:webHidden/>
          </w:rPr>
          <w:instrText xml:space="preserve"> PAGEREF _Toc131591213 \h </w:instrText>
        </w:r>
        <w:r w:rsidR="00A05AAA">
          <w:rPr>
            <w:webHidden/>
          </w:rPr>
        </w:r>
        <w:r w:rsidR="00A05AAA">
          <w:rPr>
            <w:webHidden/>
          </w:rPr>
          <w:fldChar w:fldCharType="separate"/>
        </w:r>
        <w:r w:rsidR="008F39B8">
          <w:rPr>
            <w:webHidden/>
          </w:rPr>
          <w:t>36</w:t>
        </w:r>
        <w:r w:rsidR="00A05AAA">
          <w:rPr>
            <w:webHidden/>
          </w:rPr>
          <w:fldChar w:fldCharType="end"/>
        </w:r>
      </w:hyperlink>
    </w:p>
    <w:p w14:paraId="78D2574A" w14:textId="2F4E97EF" w:rsidR="00A05AAA" w:rsidRDefault="007E17B8">
      <w:pPr>
        <w:pStyle w:val="TOC1"/>
        <w:rPr>
          <w:rFonts w:asciiTheme="minorHAnsi" w:eastAsiaTheme="minorEastAsia" w:hAnsiTheme="minorHAnsi" w:cstheme="minorBidi"/>
          <w:sz w:val="22"/>
        </w:rPr>
      </w:pPr>
      <w:hyperlink w:anchor="_Toc131591214" w:history="1">
        <w:r w:rsidR="00A05AAA" w:rsidRPr="00753F7B">
          <w:rPr>
            <w:rStyle w:val="Hyperlink"/>
          </w:rPr>
          <w:t>Chapter 2: Trends in greenhouse gas emissions</w:t>
        </w:r>
        <w:r w:rsidR="00A05AAA">
          <w:rPr>
            <w:webHidden/>
          </w:rPr>
          <w:tab/>
        </w:r>
        <w:r w:rsidR="00A05AAA">
          <w:rPr>
            <w:webHidden/>
          </w:rPr>
          <w:fldChar w:fldCharType="begin"/>
        </w:r>
        <w:r w:rsidR="00A05AAA">
          <w:rPr>
            <w:webHidden/>
          </w:rPr>
          <w:instrText xml:space="preserve"> PAGEREF _Toc131591214 \h </w:instrText>
        </w:r>
        <w:r w:rsidR="00A05AAA">
          <w:rPr>
            <w:webHidden/>
          </w:rPr>
        </w:r>
        <w:r w:rsidR="00A05AAA">
          <w:rPr>
            <w:webHidden/>
          </w:rPr>
          <w:fldChar w:fldCharType="separate"/>
        </w:r>
        <w:r w:rsidR="008F39B8">
          <w:rPr>
            <w:webHidden/>
          </w:rPr>
          <w:t>39</w:t>
        </w:r>
        <w:r w:rsidR="00A05AAA">
          <w:rPr>
            <w:webHidden/>
          </w:rPr>
          <w:fldChar w:fldCharType="end"/>
        </w:r>
      </w:hyperlink>
    </w:p>
    <w:p w14:paraId="386BB515" w14:textId="038572E1" w:rsidR="00A05AAA" w:rsidRDefault="007E17B8">
      <w:pPr>
        <w:pStyle w:val="TOC2"/>
        <w:rPr>
          <w:rFonts w:asciiTheme="minorHAnsi" w:eastAsiaTheme="minorEastAsia" w:hAnsiTheme="minorHAnsi" w:cstheme="minorBidi"/>
          <w:sz w:val="22"/>
        </w:rPr>
      </w:pPr>
      <w:hyperlink w:anchor="_Toc131591215" w:history="1">
        <w:r w:rsidR="00A05AAA" w:rsidRPr="00753F7B">
          <w:rPr>
            <w:rStyle w:val="Hyperlink"/>
          </w:rPr>
          <w:t xml:space="preserve">2.1 </w:t>
        </w:r>
        <w:r w:rsidR="00A05AAA">
          <w:rPr>
            <w:rFonts w:asciiTheme="minorHAnsi" w:eastAsiaTheme="minorEastAsia" w:hAnsiTheme="minorHAnsi" w:cstheme="minorBidi"/>
            <w:sz w:val="22"/>
          </w:rPr>
          <w:tab/>
        </w:r>
        <w:r w:rsidR="00A05AAA" w:rsidRPr="00753F7B">
          <w:rPr>
            <w:rStyle w:val="Hyperlink"/>
          </w:rPr>
          <w:t>Emission trends for aggregated greenhouse gas emissions</w:t>
        </w:r>
        <w:r w:rsidR="00A05AAA">
          <w:rPr>
            <w:webHidden/>
          </w:rPr>
          <w:tab/>
        </w:r>
        <w:r w:rsidR="00A05AAA">
          <w:rPr>
            <w:webHidden/>
          </w:rPr>
          <w:fldChar w:fldCharType="begin"/>
        </w:r>
        <w:r w:rsidR="00A05AAA">
          <w:rPr>
            <w:webHidden/>
          </w:rPr>
          <w:instrText xml:space="preserve"> PAGEREF _Toc131591215 \h </w:instrText>
        </w:r>
        <w:r w:rsidR="00A05AAA">
          <w:rPr>
            <w:webHidden/>
          </w:rPr>
        </w:r>
        <w:r w:rsidR="00A05AAA">
          <w:rPr>
            <w:webHidden/>
          </w:rPr>
          <w:fldChar w:fldCharType="separate"/>
        </w:r>
        <w:r w:rsidR="008F39B8">
          <w:rPr>
            <w:webHidden/>
          </w:rPr>
          <w:t>39</w:t>
        </w:r>
        <w:r w:rsidR="00A05AAA">
          <w:rPr>
            <w:webHidden/>
          </w:rPr>
          <w:fldChar w:fldCharType="end"/>
        </w:r>
      </w:hyperlink>
    </w:p>
    <w:p w14:paraId="170EC292" w14:textId="3700A26D" w:rsidR="00A05AAA" w:rsidRDefault="007E17B8">
      <w:pPr>
        <w:pStyle w:val="TOC2"/>
        <w:rPr>
          <w:rFonts w:asciiTheme="minorHAnsi" w:eastAsiaTheme="minorEastAsia" w:hAnsiTheme="minorHAnsi" w:cstheme="minorBidi"/>
          <w:sz w:val="22"/>
        </w:rPr>
      </w:pPr>
      <w:hyperlink w:anchor="_Toc131591216" w:history="1">
        <w:r w:rsidR="00A05AAA" w:rsidRPr="00753F7B">
          <w:rPr>
            <w:rStyle w:val="Hyperlink"/>
          </w:rPr>
          <w:t xml:space="preserve">2.2 </w:t>
        </w:r>
        <w:r w:rsidR="00A05AAA">
          <w:rPr>
            <w:rFonts w:asciiTheme="minorHAnsi" w:eastAsiaTheme="minorEastAsia" w:hAnsiTheme="minorHAnsi" w:cstheme="minorBidi"/>
            <w:sz w:val="22"/>
          </w:rPr>
          <w:tab/>
        </w:r>
        <w:r w:rsidR="00A05AAA" w:rsidRPr="00753F7B">
          <w:rPr>
            <w:rStyle w:val="Hyperlink"/>
          </w:rPr>
          <w:t>Emission trends by sector</w:t>
        </w:r>
        <w:r w:rsidR="00A05AAA">
          <w:rPr>
            <w:webHidden/>
          </w:rPr>
          <w:tab/>
        </w:r>
        <w:r w:rsidR="00A05AAA">
          <w:rPr>
            <w:webHidden/>
          </w:rPr>
          <w:fldChar w:fldCharType="begin"/>
        </w:r>
        <w:r w:rsidR="00A05AAA">
          <w:rPr>
            <w:webHidden/>
          </w:rPr>
          <w:instrText xml:space="preserve"> PAGEREF _Toc131591216 \h </w:instrText>
        </w:r>
        <w:r w:rsidR="00A05AAA">
          <w:rPr>
            <w:webHidden/>
          </w:rPr>
        </w:r>
        <w:r w:rsidR="00A05AAA">
          <w:rPr>
            <w:webHidden/>
          </w:rPr>
          <w:fldChar w:fldCharType="separate"/>
        </w:r>
        <w:r w:rsidR="008F39B8">
          <w:rPr>
            <w:webHidden/>
          </w:rPr>
          <w:t>41</w:t>
        </w:r>
        <w:r w:rsidR="00A05AAA">
          <w:rPr>
            <w:webHidden/>
          </w:rPr>
          <w:fldChar w:fldCharType="end"/>
        </w:r>
      </w:hyperlink>
    </w:p>
    <w:p w14:paraId="2C4B09A5" w14:textId="4FC7D3FA" w:rsidR="00A05AAA" w:rsidRDefault="007E17B8">
      <w:pPr>
        <w:pStyle w:val="TOC2"/>
        <w:rPr>
          <w:rFonts w:asciiTheme="minorHAnsi" w:eastAsiaTheme="minorEastAsia" w:hAnsiTheme="minorHAnsi" w:cstheme="minorBidi"/>
          <w:sz w:val="22"/>
        </w:rPr>
      </w:pPr>
      <w:hyperlink w:anchor="_Toc131591217" w:history="1">
        <w:r w:rsidR="00A05AAA" w:rsidRPr="00753F7B">
          <w:rPr>
            <w:rStyle w:val="Hyperlink"/>
          </w:rPr>
          <w:t xml:space="preserve">2.3 </w:t>
        </w:r>
        <w:r w:rsidR="00A05AAA">
          <w:rPr>
            <w:rFonts w:asciiTheme="minorHAnsi" w:eastAsiaTheme="minorEastAsia" w:hAnsiTheme="minorHAnsi" w:cstheme="minorBidi"/>
            <w:sz w:val="22"/>
          </w:rPr>
          <w:tab/>
        </w:r>
        <w:r w:rsidR="00A05AAA" w:rsidRPr="00753F7B">
          <w:rPr>
            <w:rStyle w:val="Hyperlink"/>
          </w:rPr>
          <w:t>Activities under Article 3.3 and Article 3.4 of the Kyoto Protocol</w:t>
        </w:r>
        <w:r w:rsidR="00A05AAA">
          <w:rPr>
            <w:webHidden/>
          </w:rPr>
          <w:tab/>
        </w:r>
        <w:r w:rsidR="00A05AAA">
          <w:rPr>
            <w:webHidden/>
          </w:rPr>
          <w:fldChar w:fldCharType="begin"/>
        </w:r>
        <w:r w:rsidR="00A05AAA">
          <w:rPr>
            <w:webHidden/>
          </w:rPr>
          <w:instrText xml:space="preserve"> PAGEREF _Toc131591217 \h </w:instrText>
        </w:r>
        <w:r w:rsidR="00A05AAA">
          <w:rPr>
            <w:webHidden/>
          </w:rPr>
        </w:r>
        <w:r w:rsidR="00A05AAA">
          <w:rPr>
            <w:webHidden/>
          </w:rPr>
          <w:fldChar w:fldCharType="separate"/>
        </w:r>
        <w:r w:rsidR="008F39B8">
          <w:rPr>
            <w:webHidden/>
          </w:rPr>
          <w:t>59</w:t>
        </w:r>
        <w:r w:rsidR="00A05AAA">
          <w:rPr>
            <w:webHidden/>
          </w:rPr>
          <w:fldChar w:fldCharType="end"/>
        </w:r>
      </w:hyperlink>
    </w:p>
    <w:p w14:paraId="55BDD808" w14:textId="0F0C7CA2" w:rsidR="00A05AAA" w:rsidRDefault="007E17B8">
      <w:pPr>
        <w:pStyle w:val="TOC2"/>
        <w:rPr>
          <w:rFonts w:asciiTheme="minorHAnsi" w:eastAsiaTheme="minorEastAsia" w:hAnsiTheme="minorHAnsi" w:cstheme="minorBidi"/>
          <w:sz w:val="22"/>
        </w:rPr>
      </w:pPr>
      <w:hyperlink w:anchor="_Toc131591218" w:history="1">
        <w:r w:rsidR="00A05AAA" w:rsidRPr="00753F7B">
          <w:rPr>
            <w:rStyle w:val="Hyperlink"/>
          </w:rPr>
          <w:t>Chapter 2: References</w:t>
        </w:r>
        <w:r w:rsidR="00A05AAA">
          <w:rPr>
            <w:webHidden/>
          </w:rPr>
          <w:tab/>
        </w:r>
        <w:r w:rsidR="00A05AAA">
          <w:rPr>
            <w:webHidden/>
          </w:rPr>
          <w:fldChar w:fldCharType="begin"/>
        </w:r>
        <w:r w:rsidR="00A05AAA">
          <w:rPr>
            <w:webHidden/>
          </w:rPr>
          <w:instrText xml:space="preserve"> PAGEREF _Toc131591218 \h </w:instrText>
        </w:r>
        <w:r w:rsidR="00A05AAA">
          <w:rPr>
            <w:webHidden/>
          </w:rPr>
        </w:r>
        <w:r w:rsidR="00A05AAA">
          <w:rPr>
            <w:webHidden/>
          </w:rPr>
          <w:fldChar w:fldCharType="separate"/>
        </w:r>
        <w:r w:rsidR="008F39B8">
          <w:rPr>
            <w:webHidden/>
          </w:rPr>
          <w:t>60</w:t>
        </w:r>
        <w:r w:rsidR="00A05AAA">
          <w:rPr>
            <w:webHidden/>
          </w:rPr>
          <w:fldChar w:fldCharType="end"/>
        </w:r>
      </w:hyperlink>
    </w:p>
    <w:p w14:paraId="6F15839E" w14:textId="042DF177" w:rsidR="00A05AAA" w:rsidRDefault="007E17B8" w:rsidP="00052A22">
      <w:pPr>
        <w:pStyle w:val="TOC1"/>
        <w:keepNext/>
        <w:rPr>
          <w:rFonts w:asciiTheme="minorHAnsi" w:eastAsiaTheme="minorEastAsia" w:hAnsiTheme="minorHAnsi" w:cstheme="minorBidi"/>
          <w:sz w:val="22"/>
        </w:rPr>
      </w:pPr>
      <w:hyperlink w:anchor="_Toc131591219" w:history="1">
        <w:r w:rsidR="00A05AAA" w:rsidRPr="00753F7B">
          <w:rPr>
            <w:rStyle w:val="Hyperlink"/>
            <w:rFonts w:cs="Calibri"/>
            <w:lang w:eastAsia="en-GB"/>
          </w:rPr>
          <w:t>Chapter 3: Energy</w:t>
        </w:r>
        <w:r w:rsidR="00A05AAA">
          <w:rPr>
            <w:webHidden/>
          </w:rPr>
          <w:tab/>
        </w:r>
        <w:r w:rsidR="00A05AAA">
          <w:rPr>
            <w:webHidden/>
          </w:rPr>
          <w:fldChar w:fldCharType="begin"/>
        </w:r>
        <w:r w:rsidR="00A05AAA">
          <w:rPr>
            <w:webHidden/>
          </w:rPr>
          <w:instrText xml:space="preserve"> PAGEREF _Toc131591219 \h </w:instrText>
        </w:r>
        <w:r w:rsidR="00A05AAA">
          <w:rPr>
            <w:webHidden/>
          </w:rPr>
        </w:r>
        <w:r w:rsidR="00A05AAA">
          <w:rPr>
            <w:webHidden/>
          </w:rPr>
          <w:fldChar w:fldCharType="separate"/>
        </w:r>
        <w:r w:rsidR="008F39B8">
          <w:rPr>
            <w:webHidden/>
          </w:rPr>
          <w:t>61</w:t>
        </w:r>
        <w:r w:rsidR="00A05AAA">
          <w:rPr>
            <w:webHidden/>
          </w:rPr>
          <w:fldChar w:fldCharType="end"/>
        </w:r>
      </w:hyperlink>
    </w:p>
    <w:p w14:paraId="27674700" w14:textId="7C77B490" w:rsidR="00A05AAA" w:rsidRDefault="007E17B8">
      <w:pPr>
        <w:pStyle w:val="TOC2"/>
        <w:rPr>
          <w:rFonts w:asciiTheme="minorHAnsi" w:eastAsiaTheme="minorEastAsia" w:hAnsiTheme="minorHAnsi" w:cstheme="minorBidi"/>
          <w:sz w:val="22"/>
        </w:rPr>
      </w:pPr>
      <w:hyperlink w:anchor="_Toc131591220" w:history="1">
        <w:r w:rsidR="00A05AAA" w:rsidRPr="00753F7B">
          <w:rPr>
            <w:rStyle w:val="Hyperlink"/>
          </w:rPr>
          <w:t>3.1</w:t>
        </w:r>
        <w:r w:rsidR="00A05AAA">
          <w:rPr>
            <w:rFonts w:asciiTheme="minorHAnsi" w:eastAsiaTheme="minorEastAsia" w:hAnsiTheme="minorHAnsi" w:cstheme="minorBidi"/>
            <w:sz w:val="22"/>
          </w:rPr>
          <w:tab/>
        </w:r>
        <w:r w:rsidR="00A05AAA" w:rsidRPr="00753F7B">
          <w:rPr>
            <w:rStyle w:val="Hyperlink"/>
          </w:rPr>
          <w:t>Sector overview</w:t>
        </w:r>
        <w:r w:rsidR="00A05AAA">
          <w:rPr>
            <w:webHidden/>
          </w:rPr>
          <w:tab/>
        </w:r>
        <w:r w:rsidR="00A05AAA">
          <w:rPr>
            <w:webHidden/>
          </w:rPr>
          <w:fldChar w:fldCharType="begin"/>
        </w:r>
        <w:r w:rsidR="00A05AAA">
          <w:rPr>
            <w:webHidden/>
          </w:rPr>
          <w:instrText xml:space="preserve"> PAGEREF _Toc131591220 \h </w:instrText>
        </w:r>
        <w:r w:rsidR="00A05AAA">
          <w:rPr>
            <w:webHidden/>
          </w:rPr>
        </w:r>
        <w:r w:rsidR="00A05AAA">
          <w:rPr>
            <w:webHidden/>
          </w:rPr>
          <w:fldChar w:fldCharType="separate"/>
        </w:r>
        <w:r w:rsidR="008F39B8">
          <w:rPr>
            <w:webHidden/>
          </w:rPr>
          <w:t>61</w:t>
        </w:r>
        <w:r w:rsidR="00A05AAA">
          <w:rPr>
            <w:webHidden/>
          </w:rPr>
          <w:fldChar w:fldCharType="end"/>
        </w:r>
      </w:hyperlink>
    </w:p>
    <w:p w14:paraId="401B958E" w14:textId="008E1A6D" w:rsidR="00A05AAA" w:rsidRDefault="007E17B8">
      <w:pPr>
        <w:pStyle w:val="TOC2"/>
        <w:rPr>
          <w:rFonts w:asciiTheme="minorHAnsi" w:eastAsiaTheme="minorEastAsia" w:hAnsiTheme="minorHAnsi" w:cstheme="minorBidi"/>
          <w:sz w:val="22"/>
        </w:rPr>
      </w:pPr>
      <w:hyperlink w:anchor="_Toc131591221" w:history="1">
        <w:r w:rsidR="00A05AAA" w:rsidRPr="00753F7B">
          <w:rPr>
            <w:rStyle w:val="Hyperlink"/>
          </w:rPr>
          <w:t>3.2</w:t>
        </w:r>
        <w:r w:rsidR="00A05AAA">
          <w:rPr>
            <w:rFonts w:asciiTheme="minorHAnsi" w:eastAsiaTheme="minorEastAsia" w:hAnsiTheme="minorHAnsi" w:cstheme="minorBidi"/>
            <w:sz w:val="22"/>
          </w:rPr>
          <w:tab/>
        </w:r>
        <w:r w:rsidR="00A05AAA" w:rsidRPr="00753F7B">
          <w:rPr>
            <w:rStyle w:val="Hyperlink"/>
          </w:rPr>
          <w:t>Background information</w:t>
        </w:r>
        <w:r w:rsidR="00A05AAA">
          <w:rPr>
            <w:webHidden/>
          </w:rPr>
          <w:tab/>
        </w:r>
        <w:r w:rsidR="00A05AAA">
          <w:rPr>
            <w:webHidden/>
          </w:rPr>
          <w:fldChar w:fldCharType="begin"/>
        </w:r>
        <w:r w:rsidR="00A05AAA">
          <w:rPr>
            <w:webHidden/>
          </w:rPr>
          <w:instrText xml:space="preserve"> PAGEREF _Toc131591221 \h </w:instrText>
        </w:r>
        <w:r w:rsidR="00A05AAA">
          <w:rPr>
            <w:webHidden/>
          </w:rPr>
        </w:r>
        <w:r w:rsidR="00A05AAA">
          <w:rPr>
            <w:webHidden/>
          </w:rPr>
          <w:fldChar w:fldCharType="separate"/>
        </w:r>
        <w:r w:rsidR="008F39B8">
          <w:rPr>
            <w:webHidden/>
          </w:rPr>
          <w:t>64</w:t>
        </w:r>
        <w:r w:rsidR="00A05AAA">
          <w:rPr>
            <w:webHidden/>
          </w:rPr>
          <w:fldChar w:fldCharType="end"/>
        </w:r>
      </w:hyperlink>
    </w:p>
    <w:p w14:paraId="7D453828" w14:textId="01C20492" w:rsidR="00A05AAA" w:rsidRDefault="007E17B8">
      <w:pPr>
        <w:pStyle w:val="TOC2"/>
        <w:rPr>
          <w:rFonts w:asciiTheme="minorHAnsi" w:eastAsiaTheme="minorEastAsia" w:hAnsiTheme="minorHAnsi" w:cstheme="minorBidi"/>
          <w:sz w:val="22"/>
        </w:rPr>
      </w:pPr>
      <w:hyperlink w:anchor="_Toc131591222" w:history="1">
        <w:r w:rsidR="00A05AAA" w:rsidRPr="00753F7B">
          <w:rPr>
            <w:rStyle w:val="Hyperlink"/>
          </w:rPr>
          <w:t>3.3</w:t>
        </w:r>
        <w:r w:rsidR="00A05AAA">
          <w:rPr>
            <w:rFonts w:asciiTheme="minorHAnsi" w:eastAsiaTheme="minorEastAsia" w:hAnsiTheme="minorHAnsi" w:cstheme="minorBidi"/>
            <w:sz w:val="22"/>
          </w:rPr>
          <w:tab/>
        </w:r>
        <w:r w:rsidR="00A05AAA" w:rsidRPr="00753F7B">
          <w:rPr>
            <w:rStyle w:val="Hyperlink"/>
          </w:rPr>
          <w:t>Fuel combustion (CRF 1.A)</w:t>
        </w:r>
        <w:r w:rsidR="00A05AAA">
          <w:rPr>
            <w:webHidden/>
          </w:rPr>
          <w:tab/>
        </w:r>
        <w:r w:rsidR="00A05AAA">
          <w:rPr>
            <w:webHidden/>
          </w:rPr>
          <w:fldChar w:fldCharType="begin"/>
        </w:r>
        <w:r w:rsidR="00A05AAA">
          <w:rPr>
            <w:webHidden/>
          </w:rPr>
          <w:instrText xml:space="preserve"> PAGEREF _Toc131591222 \h </w:instrText>
        </w:r>
        <w:r w:rsidR="00A05AAA">
          <w:rPr>
            <w:webHidden/>
          </w:rPr>
        </w:r>
        <w:r w:rsidR="00A05AAA">
          <w:rPr>
            <w:webHidden/>
          </w:rPr>
          <w:fldChar w:fldCharType="separate"/>
        </w:r>
        <w:r w:rsidR="008F39B8">
          <w:rPr>
            <w:webHidden/>
          </w:rPr>
          <w:t>67</w:t>
        </w:r>
        <w:r w:rsidR="00A05AAA">
          <w:rPr>
            <w:webHidden/>
          </w:rPr>
          <w:fldChar w:fldCharType="end"/>
        </w:r>
      </w:hyperlink>
    </w:p>
    <w:p w14:paraId="638852FC" w14:textId="3558A5F4" w:rsidR="00A05AAA" w:rsidRDefault="007E17B8">
      <w:pPr>
        <w:pStyle w:val="TOC2"/>
        <w:rPr>
          <w:rFonts w:asciiTheme="minorHAnsi" w:eastAsiaTheme="minorEastAsia" w:hAnsiTheme="minorHAnsi" w:cstheme="minorBidi"/>
          <w:sz w:val="22"/>
        </w:rPr>
      </w:pPr>
      <w:hyperlink w:anchor="_Toc131591223" w:history="1">
        <w:r w:rsidR="00A05AAA" w:rsidRPr="00753F7B">
          <w:rPr>
            <w:rStyle w:val="Hyperlink"/>
          </w:rPr>
          <w:t>3.4</w:t>
        </w:r>
        <w:r w:rsidR="00A05AAA">
          <w:rPr>
            <w:rFonts w:asciiTheme="minorHAnsi" w:eastAsiaTheme="minorEastAsia" w:hAnsiTheme="minorHAnsi" w:cstheme="minorBidi"/>
            <w:sz w:val="22"/>
          </w:rPr>
          <w:tab/>
        </w:r>
        <w:r w:rsidR="00A05AAA" w:rsidRPr="00753F7B">
          <w:rPr>
            <w:rStyle w:val="Hyperlink"/>
          </w:rPr>
          <w:t>Fugitive emissions from fuels (CRF 1.B)</w:t>
        </w:r>
        <w:r w:rsidR="00A05AAA">
          <w:rPr>
            <w:webHidden/>
          </w:rPr>
          <w:tab/>
        </w:r>
        <w:r w:rsidR="00A05AAA">
          <w:rPr>
            <w:webHidden/>
          </w:rPr>
          <w:fldChar w:fldCharType="begin"/>
        </w:r>
        <w:r w:rsidR="00A05AAA">
          <w:rPr>
            <w:webHidden/>
          </w:rPr>
          <w:instrText xml:space="preserve"> PAGEREF _Toc131591223 \h </w:instrText>
        </w:r>
        <w:r w:rsidR="00A05AAA">
          <w:rPr>
            <w:webHidden/>
          </w:rPr>
        </w:r>
        <w:r w:rsidR="00A05AAA">
          <w:rPr>
            <w:webHidden/>
          </w:rPr>
          <w:fldChar w:fldCharType="separate"/>
        </w:r>
        <w:r w:rsidR="008F39B8">
          <w:rPr>
            <w:webHidden/>
          </w:rPr>
          <w:t>97</w:t>
        </w:r>
        <w:r w:rsidR="00A05AAA">
          <w:rPr>
            <w:webHidden/>
          </w:rPr>
          <w:fldChar w:fldCharType="end"/>
        </w:r>
      </w:hyperlink>
    </w:p>
    <w:p w14:paraId="7FE48282" w14:textId="3EEBADE5" w:rsidR="00A05AAA" w:rsidRDefault="007E17B8">
      <w:pPr>
        <w:pStyle w:val="TOC2"/>
        <w:rPr>
          <w:rFonts w:asciiTheme="minorHAnsi" w:eastAsiaTheme="minorEastAsia" w:hAnsiTheme="minorHAnsi" w:cstheme="minorBidi"/>
          <w:sz w:val="22"/>
        </w:rPr>
      </w:pPr>
      <w:hyperlink w:anchor="_Toc131591224" w:history="1">
        <w:r w:rsidR="00A05AAA" w:rsidRPr="00753F7B">
          <w:rPr>
            <w:rStyle w:val="Hyperlink"/>
          </w:rPr>
          <w:t>Chapter 3: References</w:t>
        </w:r>
        <w:r w:rsidR="00A05AAA">
          <w:rPr>
            <w:webHidden/>
          </w:rPr>
          <w:tab/>
        </w:r>
        <w:r w:rsidR="00A05AAA">
          <w:rPr>
            <w:webHidden/>
          </w:rPr>
          <w:fldChar w:fldCharType="begin"/>
        </w:r>
        <w:r w:rsidR="00A05AAA">
          <w:rPr>
            <w:webHidden/>
          </w:rPr>
          <w:instrText xml:space="preserve"> PAGEREF _Toc131591224 \h </w:instrText>
        </w:r>
        <w:r w:rsidR="00A05AAA">
          <w:rPr>
            <w:webHidden/>
          </w:rPr>
        </w:r>
        <w:r w:rsidR="00A05AAA">
          <w:rPr>
            <w:webHidden/>
          </w:rPr>
          <w:fldChar w:fldCharType="separate"/>
        </w:r>
        <w:r w:rsidR="008F39B8">
          <w:rPr>
            <w:webHidden/>
          </w:rPr>
          <w:t>107</w:t>
        </w:r>
        <w:r w:rsidR="00A05AAA">
          <w:rPr>
            <w:webHidden/>
          </w:rPr>
          <w:fldChar w:fldCharType="end"/>
        </w:r>
      </w:hyperlink>
    </w:p>
    <w:p w14:paraId="7C6FA3D1" w14:textId="71BA26AE" w:rsidR="00A05AAA" w:rsidRDefault="007E17B8">
      <w:pPr>
        <w:pStyle w:val="TOC1"/>
        <w:rPr>
          <w:rFonts w:asciiTheme="minorHAnsi" w:eastAsiaTheme="minorEastAsia" w:hAnsiTheme="minorHAnsi" w:cstheme="minorBidi"/>
          <w:sz w:val="22"/>
        </w:rPr>
      </w:pPr>
      <w:hyperlink w:anchor="_Toc131591225" w:history="1">
        <w:r w:rsidR="00A05AAA" w:rsidRPr="00753F7B">
          <w:rPr>
            <w:rStyle w:val="Hyperlink"/>
          </w:rPr>
          <w:t>Chapter 4: Industrial Processes and Product Use (IPPU)</w:t>
        </w:r>
        <w:r w:rsidR="00A05AAA">
          <w:rPr>
            <w:webHidden/>
          </w:rPr>
          <w:tab/>
        </w:r>
        <w:r w:rsidR="00A05AAA">
          <w:rPr>
            <w:webHidden/>
          </w:rPr>
          <w:fldChar w:fldCharType="begin"/>
        </w:r>
        <w:r w:rsidR="00A05AAA">
          <w:rPr>
            <w:webHidden/>
          </w:rPr>
          <w:instrText xml:space="preserve"> PAGEREF _Toc131591225 \h </w:instrText>
        </w:r>
        <w:r w:rsidR="00A05AAA">
          <w:rPr>
            <w:webHidden/>
          </w:rPr>
        </w:r>
        <w:r w:rsidR="00A05AAA">
          <w:rPr>
            <w:webHidden/>
          </w:rPr>
          <w:fldChar w:fldCharType="separate"/>
        </w:r>
        <w:r w:rsidR="008F39B8">
          <w:rPr>
            <w:webHidden/>
          </w:rPr>
          <w:t>109</w:t>
        </w:r>
        <w:r w:rsidR="00A05AAA">
          <w:rPr>
            <w:webHidden/>
          </w:rPr>
          <w:fldChar w:fldCharType="end"/>
        </w:r>
      </w:hyperlink>
    </w:p>
    <w:p w14:paraId="61EC8D06" w14:textId="58A6EDA2" w:rsidR="00A05AAA" w:rsidRDefault="007E17B8">
      <w:pPr>
        <w:pStyle w:val="TOC2"/>
        <w:rPr>
          <w:rFonts w:asciiTheme="minorHAnsi" w:eastAsiaTheme="minorEastAsia" w:hAnsiTheme="minorHAnsi" w:cstheme="minorBidi"/>
          <w:sz w:val="22"/>
        </w:rPr>
      </w:pPr>
      <w:hyperlink w:anchor="_Toc131591226" w:history="1">
        <w:r w:rsidR="00A05AAA" w:rsidRPr="00753F7B">
          <w:rPr>
            <w:rStyle w:val="Hyperlink"/>
          </w:rPr>
          <w:t xml:space="preserve">4.1 </w:t>
        </w:r>
        <w:r w:rsidR="00A05AAA">
          <w:rPr>
            <w:rFonts w:asciiTheme="minorHAnsi" w:eastAsiaTheme="minorEastAsia" w:hAnsiTheme="minorHAnsi" w:cstheme="minorBidi"/>
            <w:sz w:val="22"/>
          </w:rPr>
          <w:tab/>
        </w:r>
        <w:r w:rsidR="00A05AAA" w:rsidRPr="00753F7B">
          <w:rPr>
            <w:rStyle w:val="Hyperlink"/>
          </w:rPr>
          <w:t>Sector overview</w:t>
        </w:r>
        <w:r w:rsidR="00A05AAA">
          <w:rPr>
            <w:webHidden/>
          </w:rPr>
          <w:tab/>
        </w:r>
        <w:r w:rsidR="00A05AAA">
          <w:rPr>
            <w:webHidden/>
          </w:rPr>
          <w:fldChar w:fldCharType="begin"/>
        </w:r>
        <w:r w:rsidR="00A05AAA">
          <w:rPr>
            <w:webHidden/>
          </w:rPr>
          <w:instrText xml:space="preserve"> PAGEREF _Toc131591226 \h </w:instrText>
        </w:r>
        <w:r w:rsidR="00A05AAA">
          <w:rPr>
            <w:webHidden/>
          </w:rPr>
        </w:r>
        <w:r w:rsidR="00A05AAA">
          <w:rPr>
            <w:webHidden/>
          </w:rPr>
          <w:fldChar w:fldCharType="separate"/>
        </w:r>
        <w:r w:rsidR="008F39B8">
          <w:rPr>
            <w:webHidden/>
          </w:rPr>
          <w:t>109</w:t>
        </w:r>
        <w:r w:rsidR="00A05AAA">
          <w:rPr>
            <w:webHidden/>
          </w:rPr>
          <w:fldChar w:fldCharType="end"/>
        </w:r>
      </w:hyperlink>
    </w:p>
    <w:p w14:paraId="4AEB0202" w14:textId="265BA23E" w:rsidR="00A05AAA" w:rsidRDefault="007E17B8">
      <w:pPr>
        <w:pStyle w:val="TOC2"/>
        <w:rPr>
          <w:rFonts w:asciiTheme="minorHAnsi" w:eastAsiaTheme="minorEastAsia" w:hAnsiTheme="minorHAnsi" w:cstheme="minorBidi"/>
          <w:sz w:val="22"/>
        </w:rPr>
      </w:pPr>
      <w:hyperlink w:anchor="_Toc131591227" w:history="1">
        <w:r w:rsidR="00A05AAA" w:rsidRPr="00753F7B">
          <w:rPr>
            <w:rStyle w:val="Hyperlink"/>
          </w:rPr>
          <w:t>4.2</w:t>
        </w:r>
        <w:r w:rsidR="00A05AAA">
          <w:rPr>
            <w:rFonts w:asciiTheme="minorHAnsi" w:eastAsiaTheme="minorEastAsia" w:hAnsiTheme="minorHAnsi" w:cstheme="minorBidi"/>
            <w:sz w:val="22"/>
          </w:rPr>
          <w:tab/>
        </w:r>
        <w:r w:rsidR="00A05AAA" w:rsidRPr="00753F7B">
          <w:rPr>
            <w:rStyle w:val="Hyperlink"/>
          </w:rPr>
          <w:t>Mineral industry (2.A)</w:t>
        </w:r>
        <w:r w:rsidR="00A05AAA">
          <w:rPr>
            <w:webHidden/>
          </w:rPr>
          <w:tab/>
        </w:r>
        <w:r w:rsidR="00A05AAA">
          <w:rPr>
            <w:webHidden/>
          </w:rPr>
          <w:fldChar w:fldCharType="begin"/>
        </w:r>
        <w:r w:rsidR="00A05AAA">
          <w:rPr>
            <w:webHidden/>
          </w:rPr>
          <w:instrText xml:space="preserve"> PAGEREF _Toc131591227 \h </w:instrText>
        </w:r>
        <w:r w:rsidR="00A05AAA">
          <w:rPr>
            <w:webHidden/>
          </w:rPr>
        </w:r>
        <w:r w:rsidR="00A05AAA">
          <w:rPr>
            <w:webHidden/>
          </w:rPr>
          <w:fldChar w:fldCharType="separate"/>
        </w:r>
        <w:r w:rsidR="008F39B8">
          <w:rPr>
            <w:webHidden/>
          </w:rPr>
          <w:t>114</w:t>
        </w:r>
        <w:r w:rsidR="00A05AAA">
          <w:rPr>
            <w:webHidden/>
          </w:rPr>
          <w:fldChar w:fldCharType="end"/>
        </w:r>
      </w:hyperlink>
    </w:p>
    <w:p w14:paraId="34B8F6F8" w14:textId="58B4A4E3" w:rsidR="00A05AAA" w:rsidRDefault="007E17B8">
      <w:pPr>
        <w:pStyle w:val="TOC2"/>
        <w:rPr>
          <w:rFonts w:asciiTheme="minorHAnsi" w:eastAsiaTheme="minorEastAsia" w:hAnsiTheme="minorHAnsi" w:cstheme="minorBidi"/>
          <w:sz w:val="22"/>
        </w:rPr>
      </w:pPr>
      <w:hyperlink w:anchor="_Toc131591228" w:history="1">
        <w:r w:rsidR="00A05AAA" w:rsidRPr="00753F7B">
          <w:rPr>
            <w:rStyle w:val="Hyperlink"/>
          </w:rPr>
          <w:t>4.3</w:t>
        </w:r>
        <w:r w:rsidR="00A05AAA">
          <w:rPr>
            <w:rFonts w:asciiTheme="minorHAnsi" w:eastAsiaTheme="minorEastAsia" w:hAnsiTheme="minorHAnsi" w:cstheme="minorBidi"/>
            <w:sz w:val="22"/>
          </w:rPr>
          <w:tab/>
        </w:r>
        <w:r w:rsidR="00A05AAA" w:rsidRPr="00753F7B">
          <w:rPr>
            <w:rStyle w:val="Hyperlink"/>
          </w:rPr>
          <w:t>Chemical industry (2.B)</w:t>
        </w:r>
        <w:r w:rsidR="00A05AAA">
          <w:rPr>
            <w:webHidden/>
          </w:rPr>
          <w:tab/>
        </w:r>
        <w:r w:rsidR="00A05AAA">
          <w:rPr>
            <w:webHidden/>
          </w:rPr>
          <w:fldChar w:fldCharType="begin"/>
        </w:r>
        <w:r w:rsidR="00A05AAA">
          <w:rPr>
            <w:webHidden/>
          </w:rPr>
          <w:instrText xml:space="preserve"> PAGEREF _Toc131591228 \h </w:instrText>
        </w:r>
        <w:r w:rsidR="00A05AAA">
          <w:rPr>
            <w:webHidden/>
          </w:rPr>
        </w:r>
        <w:r w:rsidR="00A05AAA">
          <w:rPr>
            <w:webHidden/>
          </w:rPr>
          <w:fldChar w:fldCharType="separate"/>
        </w:r>
        <w:r w:rsidR="008F39B8">
          <w:rPr>
            <w:webHidden/>
          </w:rPr>
          <w:t>120</w:t>
        </w:r>
        <w:r w:rsidR="00A05AAA">
          <w:rPr>
            <w:webHidden/>
          </w:rPr>
          <w:fldChar w:fldCharType="end"/>
        </w:r>
      </w:hyperlink>
    </w:p>
    <w:p w14:paraId="36E765AE" w14:textId="4F100B1A" w:rsidR="00A05AAA" w:rsidRDefault="007E17B8">
      <w:pPr>
        <w:pStyle w:val="TOC2"/>
        <w:rPr>
          <w:rFonts w:asciiTheme="minorHAnsi" w:eastAsiaTheme="minorEastAsia" w:hAnsiTheme="minorHAnsi" w:cstheme="minorBidi"/>
          <w:sz w:val="22"/>
        </w:rPr>
      </w:pPr>
      <w:hyperlink w:anchor="_Toc131591229" w:history="1">
        <w:r w:rsidR="00A05AAA" w:rsidRPr="00753F7B">
          <w:rPr>
            <w:rStyle w:val="Hyperlink"/>
          </w:rPr>
          <w:t>4.4</w:t>
        </w:r>
        <w:r w:rsidR="00A05AAA">
          <w:rPr>
            <w:rFonts w:asciiTheme="minorHAnsi" w:eastAsiaTheme="minorEastAsia" w:hAnsiTheme="minorHAnsi" w:cstheme="minorBidi"/>
            <w:sz w:val="22"/>
          </w:rPr>
          <w:tab/>
        </w:r>
        <w:r w:rsidR="00A05AAA" w:rsidRPr="00753F7B">
          <w:rPr>
            <w:rStyle w:val="Hyperlink"/>
          </w:rPr>
          <w:t>Metal industry (2.C)</w:t>
        </w:r>
        <w:r w:rsidR="00A05AAA">
          <w:rPr>
            <w:webHidden/>
          </w:rPr>
          <w:tab/>
        </w:r>
        <w:r w:rsidR="00A05AAA">
          <w:rPr>
            <w:webHidden/>
          </w:rPr>
          <w:fldChar w:fldCharType="begin"/>
        </w:r>
        <w:r w:rsidR="00A05AAA">
          <w:rPr>
            <w:webHidden/>
          </w:rPr>
          <w:instrText xml:space="preserve"> PAGEREF _Toc131591229 \h </w:instrText>
        </w:r>
        <w:r w:rsidR="00A05AAA">
          <w:rPr>
            <w:webHidden/>
          </w:rPr>
        </w:r>
        <w:r w:rsidR="00A05AAA">
          <w:rPr>
            <w:webHidden/>
          </w:rPr>
          <w:fldChar w:fldCharType="separate"/>
        </w:r>
        <w:r w:rsidR="008F39B8">
          <w:rPr>
            <w:webHidden/>
          </w:rPr>
          <w:t>123</w:t>
        </w:r>
        <w:r w:rsidR="00A05AAA">
          <w:rPr>
            <w:webHidden/>
          </w:rPr>
          <w:fldChar w:fldCharType="end"/>
        </w:r>
      </w:hyperlink>
    </w:p>
    <w:p w14:paraId="66349907" w14:textId="0E9A988C" w:rsidR="00A05AAA" w:rsidRDefault="007E17B8">
      <w:pPr>
        <w:pStyle w:val="TOC2"/>
        <w:rPr>
          <w:rFonts w:asciiTheme="minorHAnsi" w:eastAsiaTheme="minorEastAsia" w:hAnsiTheme="minorHAnsi" w:cstheme="minorBidi"/>
          <w:sz w:val="22"/>
        </w:rPr>
      </w:pPr>
      <w:hyperlink w:anchor="_Toc131591230" w:history="1">
        <w:r w:rsidR="00A05AAA" w:rsidRPr="00753F7B">
          <w:rPr>
            <w:rStyle w:val="Hyperlink"/>
          </w:rPr>
          <w:t>4.5</w:t>
        </w:r>
        <w:r w:rsidR="00A05AAA">
          <w:rPr>
            <w:rFonts w:asciiTheme="minorHAnsi" w:eastAsiaTheme="minorEastAsia" w:hAnsiTheme="minorHAnsi" w:cstheme="minorBidi"/>
            <w:sz w:val="22"/>
          </w:rPr>
          <w:tab/>
        </w:r>
        <w:r w:rsidR="00A05AAA" w:rsidRPr="00753F7B">
          <w:rPr>
            <w:rStyle w:val="Hyperlink"/>
          </w:rPr>
          <w:t>Non-energy products from fuels and solvent use (2.D)</w:t>
        </w:r>
        <w:r w:rsidR="00A05AAA">
          <w:rPr>
            <w:webHidden/>
          </w:rPr>
          <w:tab/>
        </w:r>
        <w:r w:rsidR="00A05AAA">
          <w:rPr>
            <w:webHidden/>
          </w:rPr>
          <w:fldChar w:fldCharType="begin"/>
        </w:r>
        <w:r w:rsidR="00A05AAA">
          <w:rPr>
            <w:webHidden/>
          </w:rPr>
          <w:instrText xml:space="preserve"> PAGEREF _Toc131591230 \h </w:instrText>
        </w:r>
        <w:r w:rsidR="00A05AAA">
          <w:rPr>
            <w:webHidden/>
          </w:rPr>
        </w:r>
        <w:r w:rsidR="00A05AAA">
          <w:rPr>
            <w:webHidden/>
          </w:rPr>
          <w:fldChar w:fldCharType="separate"/>
        </w:r>
        <w:r w:rsidR="008F39B8">
          <w:rPr>
            <w:webHidden/>
          </w:rPr>
          <w:t>129</w:t>
        </w:r>
        <w:r w:rsidR="00A05AAA">
          <w:rPr>
            <w:webHidden/>
          </w:rPr>
          <w:fldChar w:fldCharType="end"/>
        </w:r>
      </w:hyperlink>
    </w:p>
    <w:p w14:paraId="0ADF9310" w14:textId="77B4E38F" w:rsidR="00A05AAA" w:rsidRDefault="007E17B8">
      <w:pPr>
        <w:pStyle w:val="TOC2"/>
        <w:rPr>
          <w:rFonts w:asciiTheme="minorHAnsi" w:eastAsiaTheme="minorEastAsia" w:hAnsiTheme="minorHAnsi" w:cstheme="minorBidi"/>
          <w:sz w:val="22"/>
        </w:rPr>
      </w:pPr>
      <w:hyperlink w:anchor="_Toc131591231" w:history="1">
        <w:r w:rsidR="00A05AAA" w:rsidRPr="00753F7B">
          <w:rPr>
            <w:rStyle w:val="Hyperlink"/>
          </w:rPr>
          <w:t>4.6</w:t>
        </w:r>
        <w:r w:rsidR="00A05AAA">
          <w:rPr>
            <w:rFonts w:asciiTheme="minorHAnsi" w:eastAsiaTheme="minorEastAsia" w:hAnsiTheme="minorHAnsi" w:cstheme="minorBidi"/>
            <w:sz w:val="22"/>
          </w:rPr>
          <w:tab/>
        </w:r>
        <w:r w:rsidR="00A05AAA" w:rsidRPr="00753F7B">
          <w:rPr>
            <w:rStyle w:val="Hyperlink"/>
          </w:rPr>
          <w:t>Electronics industry (2.E)</w:t>
        </w:r>
        <w:r w:rsidR="00A05AAA">
          <w:rPr>
            <w:webHidden/>
          </w:rPr>
          <w:tab/>
        </w:r>
        <w:r w:rsidR="00A05AAA">
          <w:rPr>
            <w:webHidden/>
          </w:rPr>
          <w:fldChar w:fldCharType="begin"/>
        </w:r>
        <w:r w:rsidR="00A05AAA">
          <w:rPr>
            <w:webHidden/>
          </w:rPr>
          <w:instrText xml:space="preserve"> PAGEREF _Toc131591231 \h </w:instrText>
        </w:r>
        <w:r w:rsidR="00A05AAA">
          <w:rPr>
            <w:webHidden/>
          </w:rPr>
        </w:r>
        <w:r w:rsidR="00A05AAA">
          <w:rPr>
            <w:webHidden/>
          </w:rPr>
          <w:fldChar w:fldCharType="separate"/>
        </w:r>
        <w:r w:rsidR="008F39B8">
          <w:rPr>
            <w:webHidden/>
          </w:rPr>
          <w:t>132</w:t>
        </w:r>
        <w:r w:rsidR="00A05AAA">
          <w:rPr>
            <w:webHidden/>
          </w:rPr>
          <w:fldChar w:fldCharType="end"/>
        </w:r>
      </w:hyperlink>
    </w:p>
    <w:p w14:paraId="3E198768" w14:textId="75CB5A43" w:rsidR="00A05AAA" w:rsidRDefault="007E17B8">
      <w:pPr>
        <w:pStyle w:val="TOC2"/>
        <w:rPr>
          <w:rFonts w:asciiTheme="minorHAnsi" w:eastAsiaTheme="minorEastAsia" w:hAnsiTheme="minorHAnsi" w:cstheme="minorBidi"/>
          <w:sz w:val="22"/>
        </w:rPr>
      </w:pPr>
      <w:hyperlink w:anchor="_Toc131591232" w:history="1">
        <w:r w:rsidR="00A05AAA" w:rsidRPr="00753F7B">
          <w:rPr>
            <w:rStyle w:val="Hyperlink"/>
          </w:rPr>
          <w:t>4.7</w:t>
        </w:r>
        <w:r w:rsidR="00A05AAA">
          <w:rPr>
            <w:rFonts w:asciiTheme="minorHAnsi" w:eastAsiaTheme="minorEastAsia" w:hAnsiTheme="minorHAnsi" w:cstheme="minorBidi"/>
            <w:sz w:val="22"/>
          </w:rPr>
          <w:tab/>
        </w:r>
        <w:r w:rsidR="00A05AAA" w:rsidRPr="00753F7B">
          <w:rPr>
            <w:rStyle w:val="Hyperlink"/>
          </w:rPr>
          <w:t>Product uses as substitutes for ODS (2.F)</w:t>
        </w:r>
        <w:r w:rsidR="00A05AAA">
          <w:rPr>
            <w:webHidden/>
          </w:rPr>
          <w:tab/>
        </w:r>
        <w:r w:rsidR="00A05AAA">
          <w:rPr>
            <w:webHidden/>
          </w:rPr>
          <w:fldChar w:fldCharType="begin"/>
        </w:r>
        <w:r w:rsidR="00A05AAA">
          <w:rPr>
            <w:webHidden/>
          </w:rPr>
          <w:instrText xml:space="preserve"> PAGEREF _Toc131591232 \h </w:instrText>
        </w:r>
        <w:r w:rsidR="00A05AAA">
          <w:rPr>
            <w:webHidden/>
          </w:rPr>
        </w:r>
        <w:r w:rsidR="00A05AAA">
          <w:rPr>
            <w:webHidden/>
          </w:rPr>
          <w:fldChar w:fldCharType="separate"/>
        </w:r>
        <w:r w:rsidR="008F39B8">
          <w:rPr>
            <w:webHidden/>
          </w:rPr>
          <w:t>133</w:t>
        </w:r>
        <w:r w:rsidR="00A05AAA">
          <w:rPr>
            <w:webHidden/>
          </w:rPr>
          <w:fldChar w:fldCharType="end"/>
        </w:r>
      </w:hyperlink>
    </w:p>
    <w:p w14:paraId="746C7C44" w14:textId="22A1EC0A" w:rsidR="00A05AAA" w:rsidRDefault="007E17B8">
      <w:pPr>
        <w:pStyle w:val="TOC2"/>
        <w:rPr>
          <w:rFonts w:asciiTheme="minorHAnsi" w:eastAsiaTheme="minorEastAsia" w:hAnsiTheme="minorHAnsi" w:cstheme="minorBidi"/>
          <w:sz w:val="22"/>
        </w:rPr>
      </w:pPr>
      <w:hyperlink w:anchor="_Toc131591233" w:history="1">
        <w:r w:rsidR="00A05AAA" w:rsidRPr="00753F7B">
          <w:rPr>
            <w:rStyle w:val="Hyperlink"/>
          </w:rPr>
          <w:t>4.8</w:t>
        </w:r>
        <w:r w:rsidR="00A05AAA">
          <w:rPr>
            <w:rFonts w:asciiTheme="minorHAnsi" w:eastAsiaTheme="minorEastAsia" w:hAnsiTheme="minorHAnsi" w:cstheme="minorBidi"/>
            <w:sz w:val="22"/>
          </w:rPr>
          <w:tab/>
        </w:r>
        <w:r w:rsidR="00A05AAA" w:rsidRPr="00753F7B">
          <w:rPr>
            <w:rStyle w:val="Hyperlink"/>
          </w:rPr>
          <w:t>Other product manufacture and use (2.G)</w:t>
        </w:r>
        <w:r w:rsidR="00A05AAA">
          <w:rPr>
            <w:webHidden/>
          </w:rPr>
          <w:tab/>
        </w:r>
        <w:r w:rsidR="00A05AAA">
          <w:rPr>
            <w:webHidden/>
          </w:rPr>
          <w:fldChar w:fldCharType="begin"/>
        </w:r>
        <w:r w:rsidR="00A05AAA">
          <w:rPr>
            <w:webHidden/>
          </w:rPr>
          <w:instrText xml:space="preserve"> PAGEREF _Toc131591233 \h </w:instrText>
        </w:r>
        <w:r w:rsidR="00A05AAA">
          <w:rPr>
            <w:webHidden/>
          </w:rPr>
        </w:r>
        <w:r w:rsidR="00A05AAA">
          <w:rPr>
            <w:webHidden/>
          </w:rPr>
          <w:fldChar w:fldCharType="separate"/>
        </w:r>
        <w:r w:rsidR="008F39B8">
          <w:rPr>
            <w:webHidden/>
          </w:rPr>
          <w:t>141</w:t>
        </w:r>
        <w:r w:rsidR="00A05AAA">
          <w:rPr>
            <w:webHidden/>
          </w:rPr>
          <w:fldChar w:fldCharType="end"/>
        </w:r>
      </w:hyperlink>
    </w:p>
    <w:p w14:paraId="00E83498" w14:textId="5B3DF5F0" w:rsidR="00A05AAA" w:rsidRDefault="007E17B8">
      <w:pPr>
        <w:pStyle w:val="TOC2"/>
        <w:rPr>
          <w:rFonts w:asciiTheme="minorHAnsi" w:eastAsiaTheme="minorEastAsia" w:hAnsiTheme="minorHAnsi" w:cstheme="minorBidi"/>
          <w:sz w:val="22"/>
        </w:rPr>
      </w:pPr>
      <w:hyperlink w:anchor="_Toc131591234" w:history="1">
        <w:r w:rsidR="00A05AAA" w:rsidRPr="00753F7B">
          <w:rPr>
            <w:rStyle w:val="Hyperlink"/>
          </w:rPr>
          <w:t>Chapter 4: References</w:t>
        </w:r>
        <w:r w:rsidR="00A05AAA">
          <w:rPr>
            <w:webHidden/>
          </w:rPr>
          <w:tab/>
        </w:r>
        <w:r w:rsidR="00A05AAA">
          <w:rPr>
            <w:webHidden/>
          </w:rPr>
          <w:fldChar w:fldCharType="begin"/>
        </w:r>
        <w:r w:rsidR="00A05AAA">
          <w:rPr>
            <w:webHidden/>
          </w:rPr>
          <w:instrText xml:space="preserve"> PAGEREF _Toc131591234 \h </w:instrText>
        </w:r>
        <w:r w:rsidR="00A05AAA">
          <w:rPr>
            <w:webHidden/>
          </w:rPr>
        </w:r>
        <w:r w:rsidR="00A05AAA">
          <w:rPr>
            <w:webHidden/>
          </w:rPr>
          <w:fldChar w:fldCharType="separate"/>
        </w:r>
        <w:r w:rsidR="008F39B8">
          <w:rPr>
            <w:webHidden/>
          </w:rPr>
          <w:t>145</w:t>
        </w:r>
        <w:r w:rsidR="00A05AAA">
          <w:rPr>
            <w:webHidden/>
          </w:rPr>
          <w:fldChar w:fldCharType="end"/>
        </w:r>
      </w:hyperlink>
    </w:p>
    <w:p w14:paraId="6736504E" w14:textId="68B1F890" w:rsidR="00A05AAA" w:rsidRDefault="007E17B8">
      <w:pPr>
        <w:pStyle w:val="TOC1"/>
        <w:rPr>
          <w:rFonts w:asciiTheme="minorHAnsi" w:eastAsiaTheme="minorEastAsia" w:hAnsiTheme="minorHAnsi" w:cstheme="minorBidi"/>
          <w:sz w:val="22"/>
        </w:rPr>
      </w:pPr>
      <w:hyperlink w:anchor="_Toc131591235" w:history="1">
        <w:r w:rsidR="00A05AAA" w:rsidRPr="00753F7B">
          <w:rPr>
            <w:rStyle w:val="Hyperlink"/>
          </w:rPr>
          <w:t>Chapter 5: Agriculture</w:t>
        </w:r>
        <w:r w:rsidR="00A05AAA">
          <w:rPr>
            <w:webHidden/>
          </w:rPr>
          <w:tab/>
        </w:r>
        <w:r w:rsidR="00A05AAA">
          <w:rPr>
            <w:webHidden/>
          </w:rPr>
          <w:fldChar w:fldCharType="begin"/>
        </w:r>
        <w:r w:rsidR="00A05AAA">
          <w:rPr>
            <w:webHidden/>
          </w:rPr>
          <w:instrText xml:space="preserve"> PAGEREF _Toc131591235 \h </w:instrText>
        </w:r>
        <w:r w:rsidR="00A05AAA">
          <w:rPr>
            <w:webHidden/>
          </w:rPr>
        </w:r>
        <w:r w:rsidR="00A05AAA">
          <w:rPr>
            <w:webHidden/>
          </w:rPr>
          <w:fldChar w:fldCharType="separate"/>
        </w:r>
        <w:r w:rsidR="008F39B8">
          <w:rPr>
            <w:webHidden/>
          </w:rPr>
          <w:t>146</w:t>
        </w:r>
        <w:r w:rsidR="00A05AAA">
          <w:rPr>
            <w:webHidden/>
          </w:rPr>
          <w:fldChar w:fldCharType="end"/>
        </w:r>
      </w:hyperlink>
    </w:p>
    <w:p w14:paraId="29B3BD2B" w14:textId="38709625" w:rsidR="00A05AAA" w:rsidRDefault="007E17B8">
      <w:pPr>
        <w:pStyle w:val="TOC2"/>
        <w:rPr>
          <w:rFonts w:asciiTheme="minorHAnsi" w:eastAsiaTheme="minorEastAsia" w:hAnsiTheme="minorHAnsi" w:cstheme="minorBidi"/>
          <w:sz w:val="22"/>
        </w:rPr>
      </w:pPr>
      <w:hyperlink w:anchor="_Toc131591236" w:history="1">
        <w:r w:rsidR="00A05AAA" w:rsidRPr="00753F7B">
          <w:rPr>
            <w:rStyle w:val="Hyperlink"/>
          </w:rPr>
          <w:t xml:space="preserve">5.1 </w:t>
        </w:r>
        <w:r w:rsidR="00A05AAA">
          <w:rPr>
            <w:rFonts w:asciiTheme="minorHAnsi" w:eastAsiaTheme="minorEastAsia" w:hAnsiTheme="minorHAnsi" w:cstheme="minorBidi"/>
            <w:sz w:val="22"/>
          </w:rPr>
          <w:tab/>
        </w:r>
        <w:r w:rsidR="00A05AAA" w:rsidRPr="00753F7B">
          <w:rPr>
            <w:rStyle w:val="Hyperlink"/>
          </w:rPr>
          <w:t>Sector overview</w:t>
        </w:r>
        <w:r w:rsidR="00A05AAA">
          <w:rPr>
            <w:webHidden/>
          </w:rPr>
          <w:tab/>
        </w:r>
        <w:r w:rsidR="00A05AAA">
          <w:rPr>
            <w:webHidden/>
          </w:rPr>
          <w:fldChar w:fldCharType="begin"/>
        </w:r>
        <w:r w:rsidR="00A05AAA">
          <w:rPr>
            <w:webHidden/>
          </w:rPr>
          <w:instrText xml:space="preserve"> PAGEREF _Toc131591236 \h </w:instrText>
        </w:r>
        <w:r w:rsidR="00A05AAA">
          <w:rPr>
            <w:webHidden/>
          </w:rPr>
        </w:r>
        <w:r w:rsidR="00A05AAA">
          <w:rPr>
            <w:webHidden/>
          </w:rPr>
          <w:fldChar w:fldCharType="separate"/>
        </w:r>
        <w:r w:rsidR="008F39B8">
          <w:rPr>
            <w:webHidden/>
          </w:rPr>
          <w:t>146</w:t>
        </w:r>
        <w:r w:rsidR="00A05AAA">
          <w:rPr>
            <w:webHidden/>
          </w:rPr>
          <w:fldChar w:fldCharType="end"/>
        </w:r>
      </w:hyperlink>
    </w:p>
    <w:p w14:paraId="6F6CF116" w14:textId="018F795F" w:rsidR="00A05AAA" w:rsidRDefault="007E17B8">
      <w:pPr>
        <w:pStyle w:val="TOC2"/>
        <w:rPr>
          <w:rFonts w:asciiTheme="minorHAnsi" w:eastAsiaTheme="minorEastAsia" w:hAnsiTheme="minorHAnsi" w:cstheme="minorBidi"/>
          <w:sz w:val="22"/>
        </w:rPr>
      </w:pPr>
      <w:hyperlink w:anchor="_Toc131591237" w:history="1">
        <w:r w:rsidR="00A05AAA" w:rsidRPr="00753F7B">
          <w:rPr>
            <w:rStyle w:val="Hyperlink"/>
          </w:rPr>
          <w:t>5.2</w:t>
        </w:r>
        <w:r w:rsidR="00A05AAA">
          <w:rPr>
            <w:rFonts w:asciiTheme="minorHAnsi" w:eastAsiaTheme="minorEastAsia" w:hAnsiTheme="minorHAnsi" w:cstheme="minorBidi"/>
            <w:sz w:val="22"/>
          </w:rPr>
          <w:tab/>
        </w:r>
        <w:r w:rsidR="00A05AAA" w:rsidRPr="00753F7B">
          <w:rPr>
            <w:rStyle w:val="Hyperlink"/>
          </w:rPr>
          <w:t>Enteric fermentation (CRF 3.A)</w:t>
        </w:r>
        <w:r w:rsidR="00A05AAA">
          <w:rPr>
            <w:webHidden/>
          </w:rPr>
          <w:tab/>
        </w:r>
        <w:r w:rsidR="00A05AAA">
          <w:rPr>
            <w:webHidden/>
          </w:rPr>
          <w:fldChar w:fldCharType="begin"/>
        </w:r>
        <w:r w:rsidR="00A05AAA">
          <w:rPr>
            <w:webHidden/>
          </w:rPr>
          <w:instrText xml:space="preserve"> PAGEREF _Toc131591237 \h </w:instrText>
        </w:r>
        <w:r w:rsidR="00A05AAA">
          <w:rPr>
            <w:webHidden/>
          </w:rPr>
        </w:r>
        <w:r w:rsidR="00A05AAA">
          <w:rPr>
            <w:webHidden/>
          </w:rPr>
          <w:fldChar w:fldCharType="separate"/>
        </w:r>
        <w:r w:rsidR="008F39B8">
          <w:rPr>
            <w:webHidden/>
          </w:rPr>
          <w:t>169</w:t>
        </w:r>
        <w:r w:rsidR="00A05AAA">
          <w:rPr>
            <w:webHidden/>
          </w:rPr>
          <w:fldChar w:fldCharType="end"/>
        </w:r>
      </w:hyperlink>
    </w:p>
    <w:p w14:paraId="4169CA5C" w14:textId="60708F95" w:rsidR="00A05AAA" w:rsidRDefault="007E17B8">
      <w:pPr>
        <w:pStyle w:val="TOC2"/>
        <w:rPr>
          <w:rFonts w:asciiTheme="minorHAnsi" w:eastAsiaTheme="minorEastAsia" w:hAnsiTheme="minorHAnsi" w:cstheme="minorBidi"/>
          <w:sz w:val="22"/>
        </w:rPr>
      </w:pPr>
      <w:hyperlink w:anchor="_Toc131591238" w:history="1">
        <w:r w:rsidR="00A05AAA" w:rsidRPr="00753F7B">
          <w:rPr>
            <w:rStyle w:val="Hyperlink"/>
          </w:rPr>
          <w:t>5.3</w:t>
        </w:r>
        <w:r w:rsidR="00A05AAA">
          <w:rPr>
            <w:rFonts w:asciiTheme="minorHAnsi" w:eastAsiaTheme="minorEastAsia" w:hAnsiTheme="minorHAnsi" w:cstheme="minorBidi"/>
            <w:sz w:val="22"/>
          </w:rPr>
          <w:tab/>
        </w:r>
        <w:r w:rsidR="00A05AAA" w:rsidRPr="00753F7B">
          <w:rPr>
            <w:rStyle w:val="Hyperlink"/>
          </w:rPr>
          <w:t>Manure management (CRF 3.B)</w:t>
        </w:r>
        <w:r w:rsidR="00A05AAA">
          <w:rPr>
            <w:webHidden/>
          </w:rPr>
          <w:tab/>
        </w:r>
        <w:r w:rsidR="00A05AAA">
          <w:rPr>
            <w:webHidden/>
          </w:rPr>
          <w:fldChar w:fldCharType="begin"/>
        </w:r>
        <w:r w:rsidR="00A05AAA">
          <w:rPr>
            <w:webHidden/>
          </w:rPr>
          <w:instrText xml:space="preserve"> PAGEREF _Toc131591238 \h </w:instrText>
        </w:r>
        <w:r w:rsidR="00A05AAA">
          <w:rPr>
            <w:webHidden/>
          </w:rPr>
        </w:r>
        <w:r w:rsidR="00A05AAA">
          <w:rPr>
            <w:webHidden/>
          </w:rPr>
          <w:fldChar w:fldCharType="separate"/>
        </w:r>
        <w:r w:rsidR="008F39B8">
          <w:rPr>
            <w:webHidden/>
          </w:rPr>
          <w:t>183</w:t>
        </w:r>
        <w:r w:rsidR="00A05AAA">
          <w:rPr>
            <w:webHidden/>
          </w:rPr>
          <w:fldChar w:fldCharType="end"/>
        </w:r>
      </w:hyperlink>
    </w:p>
    <w:p w14:paraId="1284FE85" w14:textId="344408A0" w:rsidR="00A05AAA" w:rsidRDefault="007E17B8">
      <w:pPr>
        <w:pStyle w:val="TOC2"/>
        <w:rPr>
          <w:rFonts w:asciiTheme="minorHAnsi" w:eastAsiaTheme="minorEastAsia" w:hAnsiTheme="minorHAnsi" w:cstheme="minorBidi"/>
          <w:sz w:val="22"/>
        </w:rPr>
      </w:pPr>
      <w:hyperlink w:anchor="_Toc131591239" w:history="1">
        <w:r w:rsidR="00A05AAA" w:rsidRPr="00753F7B">
          <w:rPr>
            <w:rStyle w:val="Hyperlink"/>
          </w:rPr>
          <w:t>5.4</w:t>
        </w:r>
        <w:r w:rsidR="00A05AAA">
          <w:rPr>
            <w:rFonts w:asciiTheme="minorHAnsi" w:eastAsiaTheme="minorEastAsia" w:hAnsiTheme="minorHAnsi" w:cstheme="minorBidi"/>
            <w:sz w:val="22"/>
          </w:rPr>
          <w:tab/>
        </w:r>
        <w:r w:rsidR="00A05AAA" w:rsidRPr="00753F7B">
          <w:rPr>
            <w:rStyle w:val="Hyperlink"/>
          </w:rPr>
          <w:t>Rice cultivation (CRF 3.C)</w:t>
        </w:r>
        <w:r w:rsidR="00A05AAA">
          <w:rPr>
            <w:webHidden/>
          </w:rPr>
          <w:tab/>
        </w:r>
        <w:r w:rsidR="00A05AAA">
          <w:rPr>
            <w:webHidden/>
          </w:rPr>
          <w:fldChar w:fldCharType="begin"/>
        </w:r>
        <w:r w:rsidR="00A05AAA">
          <w:rPr>
            <w:webHidden/>
          </w:rPr>
          <w:instrText xml:space="preserve"> PAGEREF _Toc131591239 \h </w:instrText>
        </w:r>
        <w:r w:rsidR="00A05AAA">
          <w:rPr>
            <w:webHidden/>
          </w:rPr>
        </w:r>
        <w:r w:rsidR="00A05AAA">
          <w:rPr>
            <w:webHidden/>
          </w:rPr>
          <w:fldChar w:fldCharType="separate"/>
        </w:r>
        <w:r w:rsidR="008F39B8">
          <w:rPr>
            <w:webHidden/>
          </w:rPr>
          <w:t>195</w:t>
        </w:r>
        <w:r w:rsidR="00A05AAA">
          <w:rPr>
            <w:webHidden/>
          </w:rPr>
          <w:fldChar w:fldCharType="end"/>
        </w:r>
      </w:hyperlink>
    </w:p>
    <w:p w14:paraId="1324F8A7" w14:textId="2ABAFE74" w:rsidR="00A05AAA" w:rsidRDefault="007E17B8">
      <w:pPr>
        <w:pStyle w:val="TOC2"/>
        <w:rPr>
          <w:rFonts w:asciiTheme="minorHAnsi" w:eastAsiaTheme="minorEastAsia" w:hAnsiTheme="minorHAnsi" w:cstheme="minorBidi"/>
          <w:sz w:val="22"/>
        </w:rPr>
      </w:pPr>
      <w:hyperlink w:anchor="_Toc131591240" w:history="1">
        <w:r w:rsidR="00A05AAA" w:rsidRPr="00753F7B">
          <w:rPr>
            <w:rStyle w:val="Hyperlink"/>
          </w:rPr>
          <w:t>5.5</w:t>
        </w:r>
        <w:r w:rsidR="00A05AAA">
          <w:rPr>
            <w:rFonts w:asciiTheme="minorHAnsi" w:eastAsiaTheme="minorEastAsia" w:hAnsiTheme="minorHAnsi" w:cstheme="minorBidi"/>
            <w:sz w:val="22"/>
          </w:rPr>
          <w:tab/>
        </w:r>
        <w:r w:rsidR="00A05AAA" w:rsidRPr="00753F7B">
          <w:rPr>
            <w:rStyle w:val="Hyperlink"/>
          </w:rPr>
          <w:t>Agricultural soils (CRF 3.D)</w:t>
        </w:r>
        <w:r w:rsidR="00A05AAA">
          <w:rPr>
            <w:webHidden/>
          </w:rPr>
          <w:tab/>
        </w:r>
        <w:r w:rsidR="00A05AAA">
          <w:rPr>
            <w:webHidden/>
          </w:rPr>
          <w:fldChar w:fldCharType="begin"/>
        </w:r>
        <w:r w:rsidR="00A05AAA">
          <w:rPr>
            <w:webHidden/>
          </w:rPr>
          <w:instrText xml:space="preserve"> PAGEREF _Toc131591240 \h </w:instrText>
        </w:r>
        <w:r w:rsidR="00A05AAA">
          <w:rPr>
            <w:webHidden/>
          </w:rPr>
        </w:r>
        <w:r w:rsidR="00A05AAA">
          <w:rPr>
            <w:webHidden/>
          </w:rPr>
          <w:fldChar w:fldCharType="separate"/>
        </w:r>
        <w:r w:rsidR="008F39B8">
          <w:rPr>
            <w:webHidden/>
          </w:rPr>
          <w:t>196</w:t>
        </w:r>
        <w:r w:rsidR="00A05AAA">
          <w:rPr>
            <w:webHidden/>
          </w:rPr>
          <w:fldChar w:fldCharType="end"/>
        </w:r>
      </w:hyperlink>
    </w:p>
    <w:p w14:paraId="0C63EB53" w14:textId="0E8C48C1" w:rsidR="00A05AAA" w:rsidRDefault="007E17B8">
      <w:pPr>
        <w:pStyle w:val="TOC2"/>
        <w:rPr>
          <w:rFonts w:asciiTheme="minorHAnsi" w:eastAsiaTheme="minorEastAsia" w:hAnsiTheme="minorHAnsi" w:cstheme="minorBidi"/>
          <w:sz w:val="22"/>
        </w:rPr>
      </w:pPr>
      <w:hyperlink w:anchor="_Toc131591241" w:history="1">
        <w:r w:rsidR="00A05AAA" w:rsidRPr="00753F7B">
          <w:rPr>
            <w:rStyle w:val="Hyperlink"/>
          </w:rPr>
          <w:t>5.6</w:t>
        </w:r>
        <w:r w:rsidR="00A05AAA">
          <w:rPr>
            <w:rFonts w:asciiTheme="minorHAnsi" w:eastAsiaTheme="minorEastAsia" w:hAnsiTheme="minorHAnsi" w:cstheme="minorBidi"/>
            <w:sz w:val="22"/>
          </w:rPr>
          <w:tab/>
        </w:r>
        <w:r w:rsidR="00A05AAA" w:rsidRPr="00753F7B">
          <w:rPr>
            <w:rStyle w:val="Hyperlink"/>
          </w:rPr>
          <w:t>Prescribed burning of savanna (CRF 3.E)</w:t>
        </w:r>
        <w:r w:rsidR="00A05AAA">
          <w:rPr>
            <w:webHidden/>
          </w:rPr>
          <w:tab/>
        </w:r>
        <w:r w:rsidR="00A05AAA">
          <w:rPr>
            <w:webHidden/>
          </w:rPr>
          <w:fldChar w:fldCharType="begin"/>
        </w:r>
        <w:r w:rsidR="00A05AAA">
          <w:rPr>
            <w:webHidden/>
          </w:rPr>
          <w:instrText xml:space="preserve"> PAGEREF _Toc131591241 \h </w:instrText>
        </w:r>
        <w:r w:rsidR="00A05AAA">
          <w:rPr>
            <w:webHidden/>
          </w:rPr>
        </w:r>
        <w:r w:rsidR="00A05AAA">
          <w:rPr>
            <w:webHidden/>
          </w:rPr>
          <w:fldChar w:fldCharType="separate"/>
        </w:r>
        <w:r w:rsidR="008F39B8">
          <w:rPr>
            <w:webHidden/>
          </w:rPr>
          <w:t>223</w:t>
        </w:r>
        <w:r w:rsidR="00A05AAA">
          <w:rPr>
            <w:webHidden/>
          </w:rPr>
          <w:fldChar w:fldCharType="end"/>
        </w:r>
      </w:hyperlink>
    </w:p>
    <w:p w14:paraId="70477BA8" w14:textId="5E84625E" w:rsidR="00A05AAA" w:rsidRDefault="007E17B8">
      <w:pPr>
        <w:pStyle w:val="TOC2"/>
        <w:rPr>
          <w:rFonts w:asciiTheme="minorHAnsi" w:eastAsiaTheme="minorEastAsia" w:hAnsiTheme="minorHAnsi" w:cstheme="minorBidi"/>
          <w:sz w:val="22"/>
        </w:rPr>
      </w:pPr>
      <w:hyperlink w:anchor="_Toc131591242" w:history="1">
        <w:r w:rsidR="00A05AAA" w:rsidRPr="00753F7B">
          <w:rPr>
            <w:rStyle w:val="Hyperlink"/>
          </w:rPr>
          <w:t>5.7</w:t>
        </w:r>
        <w:r w:rsidR="00A05AAA">
          <w:rPr>
            <w:rFonts w:asciiTheme="minorHAnsi" w:eastAsiaTheme="minorEastAsia" w:hAnsiTheme="minorHAnsi" w:cstheme="minorBidi"/>
            <w:sz w:val="22"/>
          </w:rPr>
          <w:tab/>
        </w:r>
        <w:r w:rsidR="00A05AAA" w:rsidRPr="00753F7B">
          <w:rPr>
            <w:rStyle w:val="Hyperlink"/>
          </w:rPr>
          <w:t>Field burning of agricultural residues (CRF 3.F)</w:t>
        </w:r>
        <w:r w:rsidR="00A05AAA">
          <w:rPr>
            <w:webHidden/>
          </w:rPr>
          <w:tab/>
        </w:r>
        <w:r w:rsidR="00A05AAA">
          <w:rPr>
            <w:webHidden/>
          </w:rPr>
          <w:fldChar w:fldCharType="begin"/>
        </w:r>
        <w:r w:rsidR="00A05AAA">
          <w:rPr>
            <w:webHidden/>
          </w:rPr>
          <w:instrText xml:space="preserve"> PAGEREF _Toc131591242 \h </w:instrText>
        </w:r>
        <w:r w:rsidR="00A05AAA">
          <w:rPr>
            <w:webHidden/>
          </w:rPr>
        </w:r>
        <w:r w:rsidR="00A05AAA">
          <w:rPr>
            <w:webHidden/>
          </w:rPr>
          <w:fldChar w:fldCharType="separate"/>
        </w:r>
        <w:r w:rsidR="008F39B8">
          <w:rPr>
            <w:webHidden/>
          </w:rPr>
          <w:t>223</w:t>
        </w:r>
        <w:r w:rsidR="00A05AAA">
          <w:rPr>
            <w:webHidden/>
          </w:rPr>
          <w:fldChar w:fldCharType="end"/>
        </w:r>
      </w:hyperlink>
    </w:p>
    <w:p w14:paraId="015FD831" w14:textId="0638E422" w:rsidR="00A05AAA" w:rsidRDefault="007E17B8">
      <w:pPr>
        <w:pStyle w:val="TOC2"/>
        <w:rPr>
          <w:rFonts w:asciiTheme="minorHAnsi" w:eastAsiaTheme="minorEastAsia" w:hAnsiTheme="minorHAnsi" w:cstheme="minorBidi"/>
          <w:sz w:val="22"/>
        </w:rPr>
      </w:pPr>
      <w:hyperlink w:anchor="_Toc131591243" w:history="1">
        <w:r w:rsidR="00A05AAA" w:rsidRPr="00753F7B">
          <w:rPr>
            <w:rStyle w:val="Hyperlink"/>
          </w:rPr>
          <w:t>5.8</w:t>
        </w:r>
        <w:r w:rsidR="00A05AAA">
          <w:rPr>
            <w:rFonts w:asciiTheme="minorHAnsi" w:eastAsiaTheme="minorEastAsia" w:hAnsiTheme="minorHAnsi" w:cstheme="minorBidi"/>
            <w:sz w:val="22"/>
          </w:rPr>
          <w:tab/>
        </w:r>
        <w:r w:rsidR="00A05AAA" w:rsidRPr="00753F7B">
          <w:rPr>
            <w:rStyle w:val="Hyperlink"/>
          </w:rPr>
          <w:t>Liming (CRF 3.G)</w:t>
        </w:r>
        <w:r w:rsidR="00A05AAA">
          <w:rPr>
            <w:webHidden/>
          </w:rPr>
          <w:tab/>
        </w:r>
        <w:r w:rsidR="00A05AAA">
          <w:rPr>
            <w:webHidden/>
          </w:rPr>
          <w:fldChar w:fldCharType="begin"/>
        </w:r>
        <w:r w:rsidR="00A05AAA">
          <w:rPr>
            <w:webHidden/>
          </w:rPr>
          <w:instrText xml:space="preserve"> PAGEREF _Toc131591243 \h </w:instrText>
        </w:r>
        <w:r w:rsidR="00A05AAA">
          <w:rPr>
            <w:webHidden/>
          </w:rPr>
        </w:r>
        <w:r w:rsidR="00A05AAA">
          <w:rPr>
            <w:webHidden/>
          </w:rPr>
          <w:fldChar w:fldCharType="separate"/>
        </w:r>
        <w:r w:rsidR="008F39B8">
          <w:rPr>
            <w:webHidden/>
          </w:rPr>
          <w:t>226</w:t>
        </w:r>
        <w:r w:rsidR="00A05AAA">
          <w:rPr>
            <w:webHidden/>
          </w:rPr>
          <w:fldChar w:fldCharType="end"/>
        </w:r>
      </w:hyperlink>
    </w:p>
    <w:p w14:paraId="54F58287" w14:textId="15CF8227" w:rsidR="00A05AAA" w:rsidRDefault="007E17B8">
      <w:pPr>
        <w:pStyle w:val="TOC2"/>
        <w:rPr>
          <w:rFonts w:asciiTheme="minorHAnsi" w:eastAsiaTheme="minorEastAsia" w:hAnsiTheme="minorHAnsi" w:cstheme="minorBidi"/>
          <w:sz w:val="22"/>
        </w:rPr>
      </w:pPr>
      <w:hyperlink w:anchor="_Toc131591244" w:history="1">
        <w:r w:rsidR="00A05AAA" w:rsidRPr="00753F7B">
          <w:rPr>
            <w:rStyle w:val="Hyperlink"/>
          </w:rPr>
          <w:t>5.9</w:t>
        </w:r>
        <w:r w:rsidR="00A05AAA">
          <w:rPr>
            <w:rFonts w:asciiTheme="minorHAnsi" w:eastAsiaTheme="minorEastAsia" w:hAnsiTheme="minorHAnsi" w:cstheme="minorBidi"/>
            <w:sz w:val="22"/>
          </w:rPr>
          <w:tab/>
        </w:r>
        <w:r w:rsidR="00A05AAA" w:rsidRPr="00753F7B">
          <w:rPr>
            <w:rStyle w:val="Hyperlink"/>
          </w:rPr>
          <w:t>Urea application (CRF 3.H)</w:t>
        </w:r>
        <w:r w:rsidR="00A05AAA">
          <w:rPr>
            <w:webHidden/>
          </w:rPr>
          <w:tab/>
        </w:r>
        <w:r w:rsidR="00A05AAA">
          <w:rPr>
            <w:webHidden/>
          </w:rPr>
          <w:fldChar w:fldCharType="begin"/>
        </w:r>
        <w:r w:rsidR="00A05AAA">
          <w:rPr>
            <w:webHidden/>
          </w:rPr>
          <w:instrText xml:space="preserve"> PAGEREF _Toc131591244 \h </w:instrText>
        </w:r>
        <w:r w:rsidR="00A05AAA">
          <w:rPr>
            <w:webHidden/>
          </w:rPr>
        </w:r>
        <w:r w:rsidR="00A05AAA">
          <w:rPr>
            <w:webHidden/>
          </w:rPr>
          <w:fldChar w:fldCharType="separate"/>
        </w:r>
        <w:r w:rsidR="008F39B8">
          <w:rPr>
            <w:webHidden/>
          </w:rPr>
          <w:t>228</w:t>
        </w:r>
        <w:r w:rsidR="00A05AAA">
          <w:rPr>
            <w:webHidden/>
          </w:rPr>
          <w:fldChar w:fldCharType="end"/>
        </w:r>
      </w:hyperlink>
    </w:p>
    <w:p w14:paraId="699D4DC2" w14:textId="04EEFFA6" w:rsidR="00A05AAA" w:rsidRDefault="007E17B8">
      <w:pPr>
        <w:pStyle w:val="TOC2"/>
        <w:rPr>
          <w:rFonts w:asciiTheme="minorHAnsi" w:eastAsiaTheme="minorEastAsia" w:hAnsiTheme="minorHAnsi" w:cstheme="minorBidi"/>
          <w:sz w:val="22"/>
        </w:rPr>
      </w:pPr>
      <w:hyperlink w:anchor="_Toc131591245" w:history="1">
        <w:r w:rsidR="00A05AAA" w:rsidRPr="00753F7B">
          <w:rPr>
            <w:rStyle w:val="Hyperlink"/>
          </w:rPr>
          <w:t xml:space="preserve">5.10 </w:t>
        </w:r>
        <w:r w:rsidR="00A05AAA">
          <w:rPr>
            <w:rFonts w:asciiTheme="minorHAnsi" w:eastAsiaTheme="minorEastAsia" w:hAnsiTheme="minorHAnsi" w:cstheme="minorBidi"/>
            <w:sz w:val="22"/>
          </w:rPr>
          <w:tab/>
        </w:r>
        <w:r w:rsidR="00A05AAA" w:rsidRPr="00753F7B">
          <w:rPr>
            <w:rStyle w:val="Hyperlink"/>
          </w:rPr>
          <w:t>Other carbon-containing fertilisers (CRF 3.I)</w:t>
        </w:r>
        <w:r w:rsidR="00A05AAA">
          <w:rPr>
            <w:webHidden/>
          </w:rPr>
          <w:tab/>
        </w:r>
        <w:r w:rsidR="00A05AAA">
          <w:rPr>
            <w:webHidden/>
          </w:rPr>
          <w:fldChar w:fldCharType="begin"/>
        </w:r>
        <w:r w:rsidR="00A05AAA">
          <w:rPr>
            <w:webHidden/>
          </w:rPr>
          <w:instrText xml:space="preserve"> PAGEREF _Toc131591245 \h </w:instrText>
        </w:r>
        <w:r w:rsidR="00A05AAA">
          <w:rPr>
            <w:webHidden/>
          </w:rPr>
        </w:r>
        <w:r w:rsidR="00A05AAA">
          <w:rPr>
            <w:webHidden/>
          </w:rPr>
          <w:fldChar w:fldCharType="separate"/>
        </w:r>
        <w:r w:rsidR="008F39B8">
          <w:rPr>
            <w:webHidden/>
          </w:rPr>
          <w:t>230</w:t>
        </w:r>
        <w:r w:rsidR="00A05AAA">
          <w:rPr>
            <w:webHidden/>
          </w:rPr>
          <w:fldChar w:fldCharType="end"/>
        </w:r>
      </w:hyperlink>
    </w:p>
    <w:p w14:paraId="52BCF32D" w14:textId="1E1F2D3F" w:rsidR="00A05AAA" w:rsidRDefault="007E17B8">
      <w:pPr>
        <w:pStyle w:val="TOC2"/>
        <w:rPr>
          <w:rFonts w:asciiTheme="minorHAnsi" w:eastAsiaTheme="minorEastAsia" w:hAnsiTheme="minorHAnsi" w:cstheme="minorBidi"/>
          <w:sz w:val="22"/>
        </w:rPr>
      </w:pPr>
      <w:hyperlink w:anchor="_Toc131591246" w:history="1">
        <w:r w:rsidR="00A05AAA" w:rsidRPr="00753F7B">
          <w:rPr>
            <w:rStyle w:val="Hyperlink"/>
          </w:rPr>
          <w:t>Chapter 5: References</w:t>
        </w:r>
        <w:r w:rsidR="00A05AAA">
          <w:rPr>
            <w:webHidden/>
          </w:rPr>
          <w:tab/>
        </w:r>
        <w:r w:rsidR="00A05AAA">
          <w:rPr>
            <w:webHidden/>
          </w:rPr>
          <w:fldChar w:fldCharType="begin"/>
        </w:r>
        <w:r w:rsidR="00A05AAA">
          <w:rPr>
            <w:webHidden/>
          </w:rPr>
          <w:instrText xml:space="preserve"> PAGEREF _Toc131591246 \h </w:instrText>
        </w:r>
        <w:r w:rsidR="00A05AAA">
          <w:rPr>
            <w:webHidden/>
          </w:rPr>
        </w:r>
        <w:r w:rsidR="00A05AAA">
          <w:rPr>
            <w:webHidden/>
          </w:rPr>
          <w:fldChar w:fldCharType="separate"/>
        </w:r>
        <w:r w:rsidR="008F39B8">
          <w:rPr>
            <w:webHidden/>
          </w:rPr>
          <w:t>231</w:t>
        </w:r>
        <w:r w:rsidR="00A05AAA">
          <w:rPr>
            <w:webHidden/>
          </w:rPr>
          <w:fldChar w:fldCharType="end"/>
        </w:r>
      </w:hyperlink>
    </w:p>
    <w:p w14:paraId="35C9EE2C" w14:textId="7998A5CC" w:rsidR="00A05AAA" w:rsidRDefault="007E17B8">
      <w:pPr>
        <w:pStyle w:val="TOC1"/>
        <w:rPr>
          <w:rFonts w:asciiTheme="minorHAnsi" w:eastAsiaTheme="minorEastAsia" w:hAnsiTheme="minorHAnsi" w:cstheme="minorBidi"/>
          <w:sz w:val="22"/>
        </w:rPr>
      </w:pPr>
      <w:hyperlink w:anchor="_Toc131591247" w:history="1">
        <w:r w:rsidR="00A05AAA" w:rsidRPr="00753F7B">
          <w:rPr>
            <w:rStyle w:val="Hyperlink"/>
          </w:rPr>
          <w:t>Chapter 6: Land Use, Land-Use Change and Forestry (LULUCF)</w:t>
        </w:r>
        <w:r w:rsidR="00A05AAA">
          <w:rPr>
            <w:webHidden/>
          </w:rPr>
          <w:tab/>
        </w:r>
        <w:r w:rsidR="00A05AAA">
          <w:rPr>
            <w:webHidden/>
          </w:rPr>
          <w:fldChar w:fldCharType="begin"/>
        </w:r>
        <w:r w:rsidR="00A05AAA">
          <w:rPr>
            <w:webHidden/>
          </w:rPr>
          <w:instrText xml:space="preserve"> PAGEREF _Toc131591247 \h </w:instrText>
        </w:r>
        <w:r w:rsidR="00A05AAA">
          <w:rPr>
            <w:webHidden/>
          </w:rPr>
        </w:r>
        <w:r w:rsidR="00A05AAA">
          <w:rPr>
            <w:webHidden/>
          </w:rPr>
          <w:fldChar w:fldCharType="separate"/>
        </w:r>
        <w:r w:rsidR="008F39B8">
          <w:rPr>
            <w:webHidden/>
          </w:rPr>
          <w:t>238</w:t>
        </w:r>
        <w:r w:rsidR="00A05AAA">
          <w:rPr>
            <w:webHidden/>
          </w:rPr>
          <w:fldChar w:fldCharType="end"/>
        </w:r>
      </w:hyperlink>
    </w:p>
    <w:p w14:paraId="1EC2EC3F" w14:textId="37F59DCB" w:rsidR="00A05AAA" w:rsidRDefault="007E17B8">
      <w:pPr>
        <w:pStyle w:val="TOC2"/>
        <w:rPr>
          <w:rFonts w:asciiTheme="minorHAnsi" w:eastAsiaTheme="minorEastAsia" w:hAnsiTheme="minorHAnsi" w:cstheme="minorBidi"/>
          <w:sz w:val="22"/>
        </w:rPr>
      </w:pPr>
      <w:hyperlink w:anchor="_Toc131591248" w:history="1">
        <w:r w:rsidR="00A05AAA" w:rsidRPr="00753F7B">
          <w:rPr>
            <w:rStyle w:val="Hyperlink"/>
          </w:rPr>
          <w:t>6.1</w:t>
        </w:r>
        <w:r w:rsidR="00A05AAA">
          <w:rPr>
            <w:rFonts w:asciiTheme="minorHAnsi" w:eastAsiaTheme="minorEastAsia" w:hAnsiTheme="minorHAnsi" w:cstheme="minorBidi"/>
            <w:sz w:val="22"/>
          </w:rPr>
          <w:tab/>
        </w:r>
        <w:r w:rsidR="00A05AAA" w:rsidRPr="00753F7B">
          <w:rPr>
            <w:rStyle w:val="Hyperlink"/>
          </w:rPr>
          <w:t>Sector overview</w:t>
        </w:r>
        <w:r w:rsidR="00A05AAA">
          <w:rPr>
            <w:webHidden/>
          </w:rPr>
          <w:tab/>
        </w:r>
        <w:r w:rsidR="00A05AAA">
          <w:rPr>
            <w:webHidden/>
          </w:rPr>
          <w:fldChar w:fldCharType="begin"/>
        </w:r>
        <w:r w:rsidR="00A05AAA">
          <w:rPr>
            <w:webHidden/>
          </w:rPr>
          <w:instrText xml:space="preserve"> PAGEREF _Toc131591248 \h </w:instrText>
        </w:r>
        <w:r w:rsidR="00A05AAA">
          <w:rPr>
            <w:webHidden/>
          </w:rPr>
        </w:r>
        <w:r w:rsidR="00A05AAA">
          <w:rPr>
            <w:webHidden/>
          </w:rPr>
          <w:fldChar w:fldCharType="separate"/>
        </w:r>
        <w:r w:rsidR="008F39B8">
          <w:rPr>
            <w:webHidden/>
          </w:rPr>
          <w:t>238</w:t>
        </w:r>
        <w:r w:rsidR="00A05AAA">
          <w:rPr>
            <w:webHidden/>
          </w:rPr>
          <w:fldChar w:fldCharType="end"/>
        </w:r>
      </w:hyperlink>
    </w:p>
    <w:p w14:paraId="36EDF3B2" w14:textId="4B0C027F" w:rsidR="00A05AAA" w:rsidRDefault="007E17B8">
      <w:pPr>
        <w:pStyle w:val="TOC2"/>
        <w:rPr>
          <w:rFonts w:asciiTheme="minorHAnsi" w:eastAsiaTheme="minorEastAsia" w:hAnsiTheme="minorHAnsi" w:cstheme="minorBidi"/>
          <w:sz w:val="22"/>
        </w:rPr>
      </w:pPr>
      <w:hyperlink w:anchor="_Toc131591249" w:history="1">
        <w:r w:rsidR="00A05AAA" w:rsidRPr="00753F7B">
          <w:rPr>
            <w:rStyle w:val="Hyperlink"/>
          </w:rPr>
          <w:t>6.2</w:t>
        </w:r>
        <w:r w:rsidR="00A05AAA">
          <w:rPr>
            <w:rFonts w:asciiTheme="minorHAnsi" w:eastAsiaTheme="minorEastAsia" w:hAnsiTheme="minorHAnsi" w:cstheme="minorBidi"/>
            <w:sz w:val="22"/>
          </w:rPr>
          <w:tab/>
        </w:r>
        <w:r w:rsidR="00A05AAA" w:rsidRPr="00753F7B">
          <w:rPr>
            <w:rStyle w:val="Hyperlink"/>
          </w:rPr>
          <w:t>Representation of land areas</w:t>
        </w:r>
        <w:r w:rsidR="00A05AAA">
          <w:rPr>
            <w:webHidden/>
          </w:rPr>
          <w:tab/>
        </w:r>
        <w:r w:rsidR="00A05AAA">
          <w:rPr>
            <w:webHidden/>
          </w:rPr>
          <w:fldChar w:fldCharType="begin"/>
        </w:r>
        <w:r w:rsidR="00A05AAA">
          <w:rPr>
            <w:webHidden/>
          </w:rPr>
          <w:instrText xml:space="preserve"> PAGEREF _Toc131591249 \h </w:instrText>
        </w:r>
        <w:r w:rsidR="00A05AAA">
          <w:rPr>
            <w:webHidden/>
          </w:rPr>
        </w:r>
        <w:r w:rsidR="00A05AAA">
          <w:rPr>
            <w:webHidden/>
          </w:rPr>
          <w:fldChar w:fldCharType="separate"/>
        </w:r>
        <w:r w:rsidR="008F39B8">
          <w:rPr>
            <w:webHidden/>
          </w:rPr>
          <w:t>247</w:t>
        </w:r>
        <w:r w:rsidR="00A05AAA">
          <w:rPr>
            <w:webHidden/>
          </w:rPr>
          <w:fldChar w:fldCharType="end"/>
        </w:r>
      </w:hyperlink>
    </w:p>
    <w:p w14:paraId="61AAC017" w14:textId="782EA1D6" w:rsidR="00A05AAA" w:rsidRDefault="007E17B8">
      <w:pPr>
        <w:pStyle w:val="TOC2"/>
        <w:rPr>
          <w:rFonts w:asciiTheme="minorHAnsi" w:eastAsiaTheme="minorEastAsia" w:hAnsiTheme="minorHAnsi" w:cstheme="minorBidi"/>
          <w:sz w:val="22"/>
        </w:rPr>
      </w:pPr>
      <w:hyperlink w:anchor="_Toc131591250" w:history="1">
        <w:r w:rsidR="00A05AAA" w:rsidRPr="00753F7B">
          <w:rPr>
            <w:rStyle w:val="Hyperlink"/>
          </w:rPr>
          <w:t>6.3</w:t>
        </w:r>
        <w:r w:rsidR="00A05AAA">
          <w:rPr>
            <w:rFonts w:asciiTheme="minorHAnsi" w:eastAsiaTheme="minorEastAsia" w:hAnsiTheme="minorHAnsi" w:cstheme="minorBidi"/>
            <w:sz w:val="22"/>
          </w:rPr>
          <w:tab/>
        </w:r>
        <w:r w:rsidR="00A05AAA" w:rsidRPr="00753F7B">
          <w:rPr>
            <w:rStyle w:val="Hyperlink"/>
          </w:rPr>
          <w:t>Forest land (CRF 4A)</w:t>
        </w:r>
        <w:r w:rsidR="00A05AAA">
          <w:rPr>
            <w:webHidden/>
          </w:rPr>
          <w:tab/>
        </w:r>
        <w:r w:rsidR="00A05AAA">
          <w:rPr>
            <w:webHidden/>
          </w:rPr>
          <w:fldChar w:fldCharType="begin"/>
        </w:r>
        <w:r w:rsidR="00A05AAA">
          <w:rPr>
            <w:webHidden/>
          </w:rPr>
          <w:instrText xml:space="preserve"> PAGEREF _Toc131591250 \h </w:instrText>
        </w:r>
        <w:r w:rsidR="00A05AAA">
          <w:rPr>
            <w:webHidden/>
          </w:rPr>
        </w:r>
        <w:r w:rsidR="00A05AAA">
          <w:rPr>
            <w:webHidden/>
          </w:rPr>
          <w:fldChar w:fldCharType="separate"/>
        </w:r>
        <w:r w:rsidR="008F39B8">
          <w:rPr>
            <w:webHidden/>
          </w:rPr>
          <w:t>253</w:t>
        </w:r>
        <w:r w:rsidR="00A05AAA">
          <w:rPr>
            <w:webHidden/>
          </w:rPr>
          <w:fldChar w:fldCharType="end"/>
        </w:r>
      </w:hyperlink>
    </w:p>
    <w:p w14:paraId="6E9816AF" w14:textId="11288757" w:rsidR="00A05AAA" w:rsidRDefault="007E17B8">
      <w:pPr>
        <w:pStyle w:val="TOC2"/>
        <w:rPr>
          <w:rFonts w:asciiTheme="minorHAnsi" w:eastAsiaTheme="minorEastAsia" w:hAnsiTheme="minorHAnsi" w:cstheme="minorBidi"/>
          <w:sz w:val="22"/>
        </w:rPr>
      </w:pPr>
      <w:hyperlink w:anchor="_Toc131591251" w:history="1">
        <w:r w:rsidR="00A05AAA" w:rsidRPr="00753F7B">
          <w:rPr>
            <w:rStyle w:val="Hyperlink"/>
          </w:rPr>
          <w:t>6.4</w:t>
        </w:r>
        <w:r w:rsidR="00A05AAA">
          <w:rPr>
            <w:rFonts w:asciiTheme="minorHAnsi" w:eastAsiaTheme="minorEastAsia" w:hAnsiTheme="minorHAnsi" w:cstheme="minorBidi"/>
            <w:sz w:val="22"/>
          </w:rPr>
          <w:tab/>
        </w:r>
        <w:r w:rsidR="00A05AAA" w:rsidRPr="00753F7B">
          <w:rPr>
            <w:rStyle w:val="Hyperlink"/>
          </w:rPr>
          <w:t>Cropland (CRF 4B)</w:t>
        </w:r>
        <w:r w:rsidR="00A05AAA">
          <w:rPr>
            <w:webHidden/>
          </w:rPr>
          <w:tab/>
        </w:r>
        <w:r w:rsidR="00A05AAA">
          <w:rPr>
            <w:webHidden/>
          </w:rPr>
          <w:fldChar w:fldCharType="begin"/>
        </w:r>
        <w:r w:rsidR="00A05AAA">
          <w:rPr>
            <w:webHidden/>
          </w:rPr>
          <w:instrText xml:space="preserve"> PAGEREF _Toc131591251 \h </w:instrText>
        </w:r>
        <w:r w:rsidR="00A05AAA">
          <w:rPr>
            <w:webHidden/>
          </w:rPr>
        </w:r>
        <w:r w:rsidR="00A05AAA">
          <w:rPr>
            <w:webHidden/>
          </w:rPr>
          <w:fldChar w:fldCharType="separate"/>
        </w:r>
        <w:r w:rsidR="008F39B8">
          <w:rPr>
            <w:webHidden/>
          </w:rPr>
          <w:t>268</w:t>
        </w:r>
        <w:r w:rsidR="00A05AAA">
          <w:rPr>
            <w:webHidden/>
          </w:rPr>
          <w:fldChar w:fldCharType="end"/>
        </w:r>
      </w:hyperlink>
    </w:p>
    <w:p w14:paraId="5BAB19BB" w14:textId="63DD74D3" w:rsidR="00A05AAA" w:rsidRDefault="007E17B8">
      <w:pPr>
        <w:pStyle w:val="TOC2"/>
        <w:rPr>
          <w:rFonts w:asciiTheme="minorHAnsi" w:eastAsiaTheme="minorEastAsia" w:hAnsiTheme="minorHAnsi" w:cstheme="minorBidi"/>
          <w:sz w:val="22"/>
        </w:rPr>
      </w:pPr>
      <w:hyperlink w:anchor="_Toc131591252" w:history="1">
        <w:r w:rsidR="00A05AAA" w:rsidRPr="00753F7B">
          <w:rPr>
            <w:rStyle w:val="Hyperlink"/>
          </w:rPr>
          <w:t>6.5</w:t>
        </w:r>
        <w:r w:rsidR="00A05AAA">
          <w:rPr>
            <w:rFonts w:asciiTheme="minorHAnsi" w:eastAsiaTheme="minorEastAsia" w:hAnsiTheme="minorHAnsi" w:cstheme="minorBidi"/>
            <w:sz w:val="22"/>
          </w:rPr>
          <w:tab/>
        </w:r>
        <w:r w:rsidR="00A05AAA" w:rsidRPr="00753F7B">
          <w:rPr>
            <w:rStyle w:val="Hyperlink"/>
          </w:rPr>
          <w:t>Grassland (CRF 4C)</w:t>
        </w:r>
        <w:r w:rsidR="00A05AAA">
          <w:rPr>
            <w:webHidden/>
          </w:rPr>
          <w:tab/>
        </w:r>
        <w:r w:rsidR="00A05AAA">
          <w:rPr>
            <w:webHidden/>
          </w:rPr>
          <w:fldChar w:fldCharType="begin"/>
        </w:r>
        <w:r w:rsidR="00A05AAA">
          <w:rPr>
            <w:webHidden/>
          </w:rPr>
          <w:instrText xml:space="preserve"> PAGEREF _Toc131591252 \h </w:instrText>
        </w:r>
        <w:r w:rsidR="00A05AAA">
          <w:rPr>
            <w:webHidden/>
          </w:rPr>
        </w:r>
        <w:r w:rsidR="00A05AAA">
          <w:rPr>
            <w:webHidden/>
          </w:rPr>
          <w:fldChar w:fldCharType="separate"/>
        </w:r>
        <w:r w:rsidR="008F39B8">
          <w:rPr>
            <w:webHidden/>
          </w:rPr>
          <w:t>274</w:t>
        </w:r>
        <w:r w:rsidR="00A05AAA">
          <w:rPr>
            <w:webHidden/>
          </w:rPr>
          <w:fldChar w:fldCharType="end"/>
        </w:r>
      </w:hyperlink>
    </w:p>
    <w:p w14:paraId="4E06F2F9" w14:textId="0941EC70" w:rsidR="00A05AAA" w:rsidRDefault="007E17B8">
      <w:pPr>
        <w:pStyle w:val="TOC2"/>
        <w:rPr>
          <w:rFonts w:asciiTheme="minorHAnsi" w:eastAsiaTheme="minorEastAsia" w:hAnsiTheme="minorHAnsi" w:cstheme="minorBidi"/>
          <w:sz w:val="22"/>
        </w:rPr>
      </w:pPr>
      <w:hyperlink w:anchor="_Toc131591253" w:history="1">
        <w:r w:rsidR="00A05AAA" w:rsidRPr="00753F7B">
          <w:rPr>
            <w:rStyle w:val="Hyperlink"/>
          </w:rPr>
          <w:t>6.6</w:t>
        </w:r>
        <w:r w:rsidR="00A05AAA">
          <w:rPr>
            <w:rFonts w:asciiTheme="minorHAnsi" w:eastAsiaTheme="minorEastAsia" w:hAnsiTheme="minorHAnsi" w:cstheme="minorBidi"/>
            <w:sz w:val="22"/>
          </w:rPr>
          <w:tab/>
        </w:r>
        <w:r w:rsidR="00A05AAA" w:rsidRPr="00753F7B">
          <w:rPr>
            <w:rStyle w:val="Hyperlink"/>
          </w:rPr>
          <w:t>Wetlands (CRF 4D)</w:t>
        </w:r>
        <w:r w:rsidR="00A05AAA">
          <w:rPr>
            <w:webHidden/>
          </w:rPr>
          <w:tab/>
        </w:r>
        <w:r w:rsidR="00A05AAA">
          <w:rPr>
            <w:webHidden/>
          </w:rPr>
          <w:fldChar w:fldCharType="begin"/>
        </w:r>
        <w:r w:rsidR="00A05AAA">
          <w:rPr>
            <w:webHidden/>
          </w:rPr>
          <w:instrText xml:space="preserve"> PAGEREF _Toc131591253 \h </w:instrText>
        </w:r>
        <w:r w:rsidR="00A05AAA">
          <w:rPr>
            <w:webHidden/>
          </w:rPr>
        </w:r>
        <w:r w:rsidR="00A05AAA">
          <w:rPr>
            <w:webHidden/>
          </w:rPr>
          <w:fldChar w:fldCharType="separate"/>
        </w:r>
        <w:r w:rsidR="008F39B8">
          <w:rPr>
            <w:webHidden/>
          </w:rPr>
          <w:t>279</w:t>
        </w:r>
        <w:r w:rsidR="00A05AAA">
          <w:rPr>
            <w:webHidden/>
          </w:rPr>
          <w:fldChar w:fldCharType="end"/>
        </w:r>
      </w:hyperlink>
    </w:p>
    <w:p w14:paraId="7BA424B4" w14:textId="5A51C7DE" w:rsidR="00A05AAA" w:rsidRDefault="007E17B8">
      <w:pPr>
        <w:pStyle w:val="TOC2"/>
        <w:rPr>
          <w:rFonts w:asciiTheme="minorHAnsi" w:eastAsiaTheme="minorEastAsia" w:hAnsiTheme="minorHAnsi" w:cstheme="minorBidi"/>
          <w:sz w:val="22"/>
        </w:rPr>
      </w:pPr>
      <w:hyperlink w:anchor="_Toc131591254" w:history="1">
        <w:r w:rsidR="00A05AAA" w:rsidRPr="00753F7B">
          <w:rPr>
            <w:rStyle w:val="Hyperlink"/>
          </w:rPr>
          <w:t>6.7</w:t>
        </w:r>
        <w:r w:rsidR="00A05AAA">
          <w:rPr>
            <w:rFonts w:asciiTheme="minorHAnsi" w:eastAsiaTheme="minorEastAsia" w:hAnsiTheme="minorHAnsi" w:cstheme="minorBidi"/>
            <w:sz w:val="22"/>
          </w:rPr>
          <w:tab/>
        </w:r>
        <w:r w:rsidR="00A05AAA" w:rsidRPr="00753F7B">
          <w:rPr>
            <w:rStyle w:val="Hyperlink"/>
          </w:rPr>
          <w:t>Settlements (CRF 4E)</w:t>
        </w:r>
        <w:r w:rsidR="00A05AAA">
          <w:rPr>
            <w:webHidden/>
          </w:rPr>
          <w:tab/>
        </w:r>
        <w:r w:rsidR="00A05AAA">
          <w:rPr>
            <w:webHidden/>
          </w:rPr>
          <w:fldChar w:fldCharType="begin"/>
        </w:r>
        <w:r w:rsidR="00A05AAA">
          <w:rPr>
            <w:webHidden/>
          </w:rPr>
          <w:instrText xml:space="preserve"> PAGEREF _Toc131591254 \h </w:instrText>
        </w:r>
        <w:r w:rsidR="00A05AAA">
          <w:rPr>
            <w:webHidden/>
          </w:rPr>
        </w:r>
        <w:r w:rsidR="00A05AAA">
          <w:rPr>
            <w:webHidden/>
          </w:rPr>
          <w:fldChar w:fldCharType="separate"/>
        </w:r>
        <w:r w:rsidR="008F39B8">
          <w:rPr>
            <w:webHidden/>
          </w:rPr>
          <w:t>284</w:t>
        </w:r>
        <w:r w:rsidR="00A05AAA">
          <w:rPr>
            <w:webHidden/>
          </w:rPr>
          <w:fldChar w:fldCharType="end"/>
        </w:r>
      </w:hyperlink>
    </w:p>
    <w:p w14:paraId="6320FCF5" w14:textId="1740C8E7" w:rsidR="00A05AAA" w:rsidRDefault="007E17B8">
      <w:pPr>
        <w:pStyle w:val="TOC2"/>
        <w:rPr>
          <w:rFonts w:asciiTheme="minorHAnsi" w:eastAsiaTheme="minorEastAsia" w:hAnsiTheme="minorHAnsi" w:cstheme="minorBidi"/>
          <w:sz w:val="22"/>
        </w:rPr>
      </w:pPr>
      <w:hyperlink w:anchor="_Toc131591255" w:history="1">
        <w:r w:rsidR="00A05AAA" w:rsidRPr="00753F7B">
          <w:rPr>
            <w:rStyle w:val="Hyperlink"/>
          </w:rPr>
          <w:t>6.8</w:t>
        </w:r>
        <w:r w:rsidR="00A05AAA">
          <w:rPr>
            <w:rFonts w:asciiTheme="minorHAnsi" w:eastAsiaTheme="minorEastAsia" w:hAnsiTheme="minorHAnsi" w:cstheme="minorBidi"/>
            <w:sz w:val="22"/>
          </w:rPr>
          <w:tab/>
        </w:r>
        <w:r w:rsidR="00A05AAA" w:rsidRPr="00753F7B">
          <w:rPr>
            <w:rStyle w:val="Hyperlink"/>
          </w:rPr>
          <w:t>Other land (CRF 4F)</w:t>
        </w:r>
        <w:r w:rsidR="00A05AAA">
          <w:rPr>
            <w:webHidden/>
          </w:rPr>
          <w:tab/>
        </w:r>
        <w:r w:rsidR="00A05AAA">
          <w:rPr>
            <w:webHidden/>
          </w:rPr>
          <w:fldChar w:fldCharType="begin"/>
        </w:r>
        <w:r w:rsidR="00A05AAA">
          <w:rPr>
            <w:webHidden/>
          </w:rPr>
          <w:instrText xml:space="preserve"> PAGEREF _Toc131591255 \h </w:instrText>
        </w:r>
        <w:r w:rsidR="00A05AAA">
          <w:rPr>
            <w:webHidden/>
          </w:rPr>
        </w:r>
        <w:r w:rsidR="00A05AAA">
          <w:rPr>
            <w:webHidden/>
          </w:rPr>
          <w:fldChar w:fldCharType="separate"/>
        </w:r>
        <w:r w:rsidR="008F39B8">
          <w:rPr>
            <w:webHidden/>
          </w:rPr>
          <w:t>286</w:t>
        </w:r>
        <w:r w:rsidR="00A05AAA">
          <w:rPr>
            <w:webHidden/>
          </w:rPr>
          <w:fldChar w:fldCharType="end"/>
        </w:r>
      </w:hyperlink>
    </w:p>
    <w:p w14:paraId="03952EAE" w14:textId="50EB3170" w:rsidR="00A05AAA" w:rsidRDefault="007E17B8">
      <w:pPr>
        <w:pStyle w:val="TOC2"/>
        <w:rPr>
          <w:rFonts w:asciiTheme="minorHAnsi" w:eastAsiaTheme="minorEastAsia" w:hAnsiTheme="minorHAnsi" w:cstheme="minorBidi"/>
          <w:sz w:val="22"/>
        </w:rPr>
      </w:pPr>
      <w:hyperlink w:anchor="_Toc131591256" w:history="1">
        <w:r w:rsidR="00A05AAA" w:rsidRPr="00753F7B">
          <w:rPr>
            <w:rStyle w:val="Hyperlink"/>
          </w:rPr>
          <w:t>6.9</w:t>
        </w:r>
        <w:r w:rsidR="00A05AAA">
          <w:rPr>
            <w:rFonts w:asciiTheme="minorHAnsi" w:eastAsiaTheme="minorEastAsia" w:hAnsiTheme="minorHAnsi" w:cstheme="minorBidi"/>
            <w:sz w:val="22"/>
          </w:rPr>
          <w:tab/>
        </w:r>
        <w:r w:rsidR="00A05AAA" w:rsidRPr="00753F7B">
          <w:rPr>
            <w:rStyle w:val="Hyperlink"/>
          </w:rPr>
          <w:t>Harvested wood products (CRF 4G)</w:t>
        </w:r>
        <w:r w:rsidR="00A05AAA">
          <w:rPr>
            <w:webHidden/>
          </w:rPr>
          <w:tab/>
        </w:r>
        <w:r w:rsidR="00A05AAA">
          <w:rPr>
            <w:webHidden/>
          </w:rPr>
          <w:fldChar w:fldCharType="begin"/>
        </w:r>
        <w:r w:rsidR="00A05AAA">
          <w:rPr>
            <w:webHidden/>
          </w:rPr>
          <w:instrText xml:space="preserve"> PAGEREF _Toc131591256 \h </w:instrText>
        </w:r>
        <w:r w:rsidR="00A05AAA">
          <w:rPr>
            <w:webHidden/>
          </w:rPr>
        </w:r>
        <w:r w:rsidR="00A05AAA">
          <w:rPr>
            <w:webHidden/>
          </w:rPr>
          <w:fldChar w:fldCharType="separate"/>
        </w:r>
        <w:r w:rsidR="008F39B8">
          <w:rPr>
            <w:webHidden/>
          </w:rPr>
          <w:t>289</w:t>
        </w:r>
        <w:r w:rsidR="00A05AAA">
          <w:rPr>
            <w:webHidden/>
          </w:rPr>
          <w:fldChar w:fldCharType="end"/>
        </w:r>
      </w:hyperlink>
    </w:p>
    <w:p w14:paraId="0D2C7D5D" w14:textId="1670F816" w:rsidR="00A05AAA" w:rsidRDefault="007E17B8">
      <w:pPr>
        <w:pStyle w:val="TOC2"/>
        <w:rPr>
          <w:rFonts w:asciiTheme="minorHAnsi" w:eastAsiaTheme="minorEastAsia" w:hAnsiTheme="minorHAnsi" w:cstheme="minorBidi"/>
          <w:sz w:val="22"/>
        </w:rPr>
      </w:pPr>
      <w:hyperlink w:anchor="_Toc131591257" w:history="1">
        <w:r w:rsidR="00A05AAA" w:rsidRPr="00753F7B">
          <w:rPr>
            <w:rStyle w:val="Hyperlink"/>
          </w:rPr>
          <w:t>6.10</w:t>
        </w:r>
        <w:r w:rsidR="00A05AAA">
          <w:rPr>
            <w:rFonts w:asciiTheme="minorHAnsi" w:eastAsiaTheme="minorEastAsia" w:hAnsiTheme="minorHAnsi" w:cstheme="minorBidi"/>
            <w:sz w:val="22"/>
          </w:rPr>
          <w:tab/>
        </w:r>
        <w:r w:rsidR="00A05AAA" w:rsidRPr="00753F7B">
          <w:rPr>
            <w:rStyle w:val="Hyperlink"/>
          </w:rPr>
          <w:t>Non-CO</w:t>
        </w:r>
        <w:r w:rsidR="00A05AAA" w:rsidRPr="00753F7B">
          <w:rPr>
            <w:rStyle w:val="Hyperlink"/>
            <w:vertAlign w:val="subscript"/>
          </w:rPr>
          <w:t>2</w:t>
        </w:r>
        <w:r w:rsidR="00A05AAA" w:rsidRPr="00753F7B">
          <w:rPr>
            <w:rStyle w:val="Hyperlink"/>
          </w:rPr>
          <w:t xml:space="preserve"> emissions (CRF 4(I–V))</w:t>
        </w:r>
        <w:r w:rsidR="00A05AAA">
          <w:rPr>
            <w:webHidden/>
          </w:rPr>
          <w:tab/>
        </w:r>
        <w:r w:rsidR="00A05AAA">
          <w:rPr>
            <w:webHidden/>
          </w:rPr>
          <w:fldChar w:fldCharType="begin"/>
        </w:r>
        <w:r w:rsidR="00A05AAA">
          <w:rPr>
            <w:webHidden/>
          </w:rPr>
          <w:instrText xml:space="preserve"> PAGEREF _Toc131591257 \h </w:instrText>
        </w:r>
        <w:r w:rsidR="00A05AAA">
          <w:rPr>
            <w:webHidden/>
          </w:rPr>
        </w:r>
        <w:r w:rsidR="00A05AAA">
          <w:rPr>
            <w:webHidden/>
          </w:rPr>
          <w:fldChar w:fldCharType="separate"/>
        </w:r>
        <w:r w:rsidR="008F39B8">
          <w:rPr>
            <w:webHidden/>
          </w:rPr>
          <w:t>293</w:t>
        </w:r>
        <w:r w:rsidR="00A05AAA">
          <w:rPr>
            <w:webHidden/>
          </w:rPr>
          <w:fldChar w:fldCharType="end"/>
        </w:r>
      </w:hyperlink>
    </w:p>
    <w:p w14:paraId="7ED21C71" w14:textId="61505D33" w:rsidR="00A05AAA" w:rsidRDefault="007E17B8">
      <w:pPr>
        <w:pStyle w:val="TOC2"/>
        <w:rPr>
          <w:rFonts w:asciiTheme="minorHAnsi" w:eastAsiaTheme="minorEastAsia" w:hAnsiTheme="minorHAnsi" w:cstheme="minorBidi"/>
          <w:sz w:val="22"/>
        </w:rPr>
      </w:pPr>
      <w:hyperlink w:anchor="_Toc131591258" w:history="1">
        <w:r w:rsidR="00A05AAA" w:rsidRPr="00753F7B">
          <w:rPr>
            <w:rStyle w:val="Hyperlink"/>
          </w:rPr>
          <w:t>Chapter 6: References</w:t>
        </w:r>
        <w:r w:rsidR="00A05AAA">
          <w:rPr>
            <w:webHidden/>
          </w:rPr>
          <w:tab/>
        </w:r>
        <w:r w:rsidR="00A05AAA">
          <w:rPr>
            <w:webHidden/>
          </w:rPr>
          <w:fldChar w:fldCharType="begin"/>
        </w:r>
        <w:r w:rsidR="00A05AAA">
          <w:rPr>
            <w:webHidden/>
          </w:rPr>
          <w:instrText xml:space="preserve"> PAGEREF _Toc131591258 \h </w:instrText>
        </w:r>
        <w:r w:rsidR="00A05AAA">
          <w:rPr>
            <w:webHidden/>
          </w:rPr>
        </w:r>
        <w:r w:rsidR="00A05AAA">
          <w:rPr>
            <w:webHidden/>
          </w:rPr>
          <w:fldChar w:fldCharType="separate"/>
        </w:r>
        <w:r w:rsidR="008F39B8">
          <w:rPr>
            <w:webHidden/>
          </w:rPr>
          <w:t>301</w:t>
        </w:r>
        <w:r w:rsidR="00A05AAA">
          <w:rPr>
            <w:webHidden/>
          </w:rPr>
          <w:fldChar w:fldCharType="end"/>
        </w:r>
      </w:hyperlink>
    </w:p>
    <w:p w14:paraId="5D9A1C13" w14:textId="1D41C478" w:rsidR="00A05AAA" w:rsidRDefault="007E17B8">
      <w:pPr>
        <w:pStyle w:val="TOC1"/>
        <w:rPr>
          <w:rFonts w:asciiTheme="minorHAnsi" w:eastAsiaTheme="minorEastAsia" w:hAnsiTheme="minorHAnsi" w:cstheme="minorBidi"/>
          <w:sz w:val="22"/>
        </w:rPr>
      </w:pPr>
      <w:hyperlink w:anchor="_Toc131591259" w:history="1">
        <w:r w:rsidR="00A05AAA" w:rsidRPr="00753F7B">
          <w:rPr>
            <w:rStyle w:val="Hyperlink"/>
          </w:rPr>
          <w:t>Chapter 7: Waste</w:t>
        </w:r>
        <w:r w:rsidR="00A05AAA">
          <w:rPr>
            <w:webHidden/>
          </w:rPr>
          <w:tab/>
        </w:r>
        <w:r w:rsidR="00A05AAA">
          <w:rPr>
            <w:webHidden/>
          </w:rPr>
          <w:fldChar w:fldCharType="begin"/>
        </w:r>
        <w:r w:rsidR="00A05AAA">
          <w:rPr>
            <w:webHidden/>
          </w:rPr>
          <w:instrText xml:space="preserve"> PAGEREF _Toc131591259 \h </w:instrText>
        </w:r>
        <w:r w:rsidR="00A05AAA">
          <w:rPr>
            <w:webHidden/>
          </w:rPr>
        </w:r>
        <w:r w:rsidR="00A05AAA">
          <w:rPr>
            <w:webHidden/>
          </w:rPr>
          <w:fldChar w:fldCharType="separate"/>
        </w:r>
        <w:r w:rsidR="008F39B8">
          <w:rPr>
            <w:webHidden/>
          </w:rPr>
          <w:t>304</w:t>
        </w:r>
        <w:r w:rsidR="00A05AAA">
          <w:rPr>
            <w:webHidden/>
          </w:rPr>
          <w:fldChar w:fldCharType="end"/>
        </w:r>
      </w:hyperlink>
    </w:p>
    <w:p w14:paraId="7C33FD02" w14:textId="45E4D6F1" w:rsidR="00A05AAA" w:rsidRDefault="007E17B8">
      <w:pPr>
        <w:pStyle w:val="TOC2"/>
        <w:rPr>
          <w:rFonts w:asciiTheme="minorHAnsi" w:eastAsiaTheme="minorEastAsia" w:hAnsiTheme="minorHAnsi" w:cstheme="minorBidi"/>
          <w:sz w:val="22"/>
        </w:rPr>
      </w:pPr>
      <w:hyperlink w:anchor="_Toc131591260" w:history="1">
        <w:r w:rsidR="00A05AAA" w:rsidRPr="00753F7B">
          <w:rPr>
            <w:rStyle w:val="Hyperlink"/>
          </w:rPr>
          <w:t xml:space="preserve">7.1 </w:t>
        </w:r>
        <w:r w:rsidR="00A05AAA">
          <w:rPr>
            <w:rFonts w:asciiTheme="minorHAnsi" w:eastAsiaTheme="minorEastAsia" w:hAnsiTheme="minorHAnsi" w:cstheme="minorBidi"/>
            <w:sz w:val="22"/>
          </w:rPr>
          <w:tab/>
        </w:r>
        <w:r w:rsidR="00A05AAA" w:rsidRPr="00753F7B">
          <w:rPr>
            <w:rStyle w:val="Hyperlink"/>
          </w:rPr>
          <w:t>Sector overview</w:t>
        </w:r>
        <w:r w:rsidR="00A05AAA">
          <w:rPr>
            <w:webHidden/>
          </w:rPr>
          <w:tab/>
        </w:r>
        <w:r w:rsidR="00A05AAA">
          <w:rPr>
            <w:webHidden/>
          </w:rPr>
          <w:fldChar w:fldCharType="begin"/>
        </w:r>
        <w:r w:rsidR="00A05AAA">
          <w:rPr>
            <w:webHidden/>
          </w:rPr>
          <w:instrText xml:space="preserve"> PAGEREF _Toc131591260 \h </w:instrText>
        </w:r>
        <w:r w:rsidR="00A05AAA">
          <w:rPr>
            <w:webHidden/>
          </w:rPr>
        </w:r>
        <w:r w:rsidR="00A05AAA">
          <w:rPr>
            <w:webHidden/>
          </w:rPr>
          <w:fldChar w:fldCharType="separate"/>
        </w:r>
        <w:r w:rsidR="008F39B8">
          <w:rPr>
            <w:webHidden/>
          </w:rPr>
          <w:t>304</w:t>
        </w:r>
        <w:r w:rsidR="00A05AAA">
          <w:rPr>
            <w:webHidden/>
          </w:rPr>
          <w:fldChar w:fldCharType="end"/>
        </w:r>
      </w:hyperlink>
    </w:p>
    <w:p w14:paraId="717E3C72" w14:textId="3FC8F184" w:rsidR="00A05AAA" w:rsidRDefault="007E17B8">
      <w:pPr>
        <w:pStyle w:val="TOC2"/>
        <w:rPr>
          <w:rFonts w:asciiTheme="minorHAnsi" w:eastAsiaTheme="minorEastAsia" w:hAnsiTheme="minorHAnsi" w:cstheme="minorBidi"/>
          <w:sz w:val="22"/>
        </w:rPr>
      </w:pPr>
      <w:hyperlink w:anchor="_Toc131591261" w:history="1">
        <w:r w:rsidR="00A05AAA" w:rsidRPr="00753F7B">
          <w:rPr>
            <w:rStyle w:val="Hyperlink"/>
          </w:rPr>
          <w:t xml:space="preserve">7.2 </w:t>
        </w:r>
        <w:r w:rsidR="00A05AAA">
          <w:rPr>
            <w:rFonts w:asciiTheme="minorHAnsi" w:eastAsiaTheme="minorEastAsia" w:hAnsiTheme="minorHAnsi" w:cstheme="minorBidi"/>
            <w:sz w:val="22"/>
          </w:rPr>
          <w:tab/>
        </w:r>
        <w:r w:rsidR="00A05AAA" w:rsidRPr="00753F7B">
          <w:rPr>
            <w:rStyle w:val="Hyperlink"/>
          </w:rPr>
          <w:t>Solid waste disposal (5.A)</w:t>
        </w:r>
        <w:r w:rsidR="00A05AAA">
          <w:rPr>
            <w:webHidden/>
          </w:rPr>
          <w:tab/>
        </w:r>
        <w:r w:rsidR="00A05AAA">
          <w:rPr>
            <w:webHidden/>
          </w:rPr>
          <w:fldChar w:fldCharType="begin"/>
        </w:r>
        <w:r w:rsidR="00A05AAA">
          <w:rPr>
            <w:webHidden/>
          </w:rPr>
          <w:instrText xml:space="preserve"> PAGEREF _Toc131591261 \h </w:instrText>
        </w:r>
        <w:r w:rsidR="00A05AAA">
          <w:rPr>
            <w:webHidden/>
          </w:rPr>
        </w:r>
        <w:r w:rsidR="00A05AAA">
          <w:rPr>
            <w:webHidden/>
          </w:rPr>
          <w:fldChar w:fldCharType="separate"/>
        </w:r>
        <w:r w:rsidR="008F39B8">
          <w:rPr>
            <w:webHidden/>
          </w:rPr>
          <w:t>309</w:t>
        </w:r>
        <w:r w:rsidR="00A05AAA">
          <w:rPr>
            <w:webHidden/>
          </w:rPr>
          <w:fldChar w:fldCharType="end"/>
        </w:r>
      </w:hyperlink>
    </w:p>
    <w:p w14:paraId="12E1D209" w14:textId="08BE1487" w:rsidR="00A05AAA" w:rsidRDefault="007E17B8">
      <w:pPr>
        <w:pStyle w:val="TOC2"/>
        <w:rPr>
          <w:rFonts w:asciiTheme="minorHAnsi" w:eastAsiaTheme="minorEastAsia" w:hAnsiTheme="minorHAnsi" w:cstheme="minorBidi"/>
          <w:sz w:val="22"/>
        </w:rPr>
      </w:pPr>
      <w:hyperlink w:anchor="_Toc131591262" w:history="1">
        <w:r w:rsidR="00A05AAA" w:rsidRPr="00753F7B">
          <w:rPr>
            <w:rStyle w:val="Hyperlink"/>
          </w:rPr>
          <w:t xml:space="preserve">7.3 </w:t>
        </w:r>
        <w:r w:rsidR="00A05AAA">
          <w:rPr>
            <w:rFonts w:asciiTheme="minorHAnsi" w:eastAsiaTheme="minorEastAsia" w:hAnsiTheme="minorHAnsi" w:cstheme="minorBidi"/>
            <w:sz w:val="22"/>
          </w:rPr>
          <w:tab/>
        </w:r>
        <w:r w:rsidR="00A05AAA" w:rsidRPr="00753F7B">
          <w:rPr>
            <w:rStyle w:val="Hyperlink"/>
          </w:rPr>
          <w:t>Biological treatment of solid waste (5.B)</w:t>
        </w:r>
        <w:r w:rsidR="00A05AAA">
          <w:rPr>
            <w:webHidden/>
          </w:rPr>
          <w:tab/>
        </w:r>
        <w:r w:rsidR="00A05AAA">
          <w:rPr>
            <w:webHidden/>
          </w:rPr>
          <w:fldChar w:fldCharType="begin"/>
        </w:r>
        <w:r w:rsidR="00A05AAA">
          <w:rPr>
            <w:webHidden/>
          </w:rPr>
          <w:instrText xml:space="preserve"> PAGEREF _Toc131591262 \h </w:instrText>
        </w:r>
        <w:r w:rsidR="00A05AAA">
          <w:rPr>
            <w:webHidden/>
          </w:rPr>
        </w:r>
        <w:r w:rsidR="00A05AAA">
          <w:rPr>
            <w:webHidden/>
          </w:rPr>
          <w:fldChar w:fldCharType="separate"/>
        </w:r>
        <w:r w:rsidR="008F39B8">
          <w:rPr>
            <w:webHidden/>
          </w:rPr>
          <w:t>323</w:t>
        </w:r>
        <w:r w:rsidR="00A05AAA">
          <w:rPr>
            <w:webHidden/>
          </w:rPr>
          <w:fldChar w:fldCharType="end"/>
        </w:r>
      </w:hyperlink>
    </w:p>
    <w:p w14:paraId="7C43570B" w14:textId="7A3B89A7" w:rsidR="00A05AAA" w:rsidRDefault="007E17B8">
      <w:pPr>
        <w:pStyle w:val="TOC2"/>
        <w:rPr>
          <w:rFonts w:asciiTheme="minorHAnsi" w:eastAsiaTheme="minorEastAsia" w:hAnsiTheme="minorHAnsi" w:cstheme="minorBidi"/>
          <w:sz w:val="22"/>
        </w:rPr>
      </w:pPr>
      <w:hyperlink w:anchor="_Toc131591263" w:history="1">
        <w:r w:rsidR="00A05AAA" w:rsidRPr="00753F7B">
          <w:rPr>
            <w:rStyle w:val="Hyperlink"/>
          </w:rPr>
          <w:t xml:space="preserve">7.4 </w:t>
        </w:r>
        <w:r w:rsidR="00A05AAA">
          <w:rPr>
            <w:rFonts w:asciiTheme="minorHAnsi" w:eastAsiaTheme="minorEastAsia" w:hAnsiTheme="minorHAnsi" w:cstheme="minorBidi"/>
            <w:sz w:val="22"/>
          </w:rPr>
          <w:tab/>
        </w:r>
        <w:r w:rsidR="00A05AAA" w:rsidRPr="00753F7B">
          <w:rPr>
            <w:rStyle w:val="Hyperlink"/>
          </w:rPr>
          <w:t>Incineration and open burning of waste (5.C)</w:t>
        </w:r>
        <w:r w:rsidR="00A05AAA">
          <w:rPr>
            <w:webHidden/>
          </w:rPr>
          <w:tab/>
        </w:r>
        <w:r w:rsidR="00A05AAA">
          <w:rPr>
            <w:webHidden/>
          </w:rPr>
          <w:fldChar w:fldCharType="begin"/>
        </w:r>
        <w:r w:rsidR="00A05AAA">
          <w:rPr>
            <w:webHidden/>
          </w:rPr>
          <w:instrText xml:space="preserve"> PAGEREF _Toc131591263 \h </w:instrText>
        </w:r>
        <w:r w:rsidR="00A05AAA">
          <w:rPr>
            <w:webHidden/>
          </w:rPr>
        </w:r>
        <w:r w:rsidR="00A05AAA">
          <w:rPr>
            <w:webHidden/>
          </w:rPr>
          <w:fldChar w:fldCharType="separate"/>
        </w:r>
        <w:r w:rsidR="008F39B8">
          <w:rPr>
            <w:webHidden/>
          </w:rPr>
          <w:t>325</w:t>
        </w:r>
        <w:r w:rsidR="00A05AAA">
          <w:rPr>
            <w:webHidden/>
          </w:rPr>
          <w:fldChar w:fldCharType="end"/>
        </w:r>
      </w:hyperlink>
    </w:p>
    <w:p w14:paraId="3E6F2E8B" w14:textId="418972F7" w:rsidR="00A05AAA" w:rsidRDefault="007E17B8">
      <w:pPr>
        <w:pStyle w:val="TOC2"/>
        <w:rPr>
          <w:rFonts w:asciiTheme="minorHAnsi" w:eastAsiaTheme="minorEastAsia" w:hAnsiTheme="minorHAnsi" w:cstheme="minorBidi"/>
          <w:sz w:val="22"/>
        </w:rPr>
      </w:pPr>
      <w:hyperlink w:anchor="_Toc131591264" w:history="1">
        <w:r w:rsidR="00A05AAA" w:rsidRPr="00753F7B">
          <w:rPr>
            <w:rStyle w:val="Hyperlink"/>
          </w:rPr>
          <w:t xml:space="preserve">7.5 </w:t>
        </w:r>
        <w:r w:rsidR="00A05AAA">
          <w:rPr>
            <w:rFonts w:asciiTheme="minorHAnsi" w:eastAsiaTheme="minorEastAsia" w:hAnsiTheme="minorHAnsi" w:cstheme="minorBidi"/>
            <w:sz w:val="22"/>
          </w:rPr>
          <w:tab/>
        </w:r>
        <w:r w:rsidR="00A05AAA" w:rsidRPr="00753F7B">
          <w:rPr>
            <w:rStyle w:val="Hyperlink"/>
          </w:rPr>
          <w:t>Wastewater treatment and discharge (5.D)</w:t>
        </w:r>
        <w:r w:rsidR="00A05AAA">
          <w:rPr>
            <w:webHidden/>
          </w:rPr>
          <w:tab/>
        </w:r>
        <w:r w:rsidR="00A05AAA">
          <w:rPr>
            <w:webHidden/>
          </w:rPr>
          <w:fldChar w:fldCharType="begin"/>
        </w:r>
        <w:r w:rsidR="00A05AAA">
          <w:rPr>
            <w:webHidden/>
          </w:rPr>
          <w:instrText xml:space="preserve"> PAGEREF _Toc131591264 \h </w:instrText>
        </w:r>
        <w:r w:rsidR="00A05AAA">
          <w:rPr>
            <w:webHidden/>
          </w:rPr>
        </w:r>
        <w:r w:rsidR="00A05AAA">
          <w:rPr>
            <w:webHidden/>
          </w:rPr>
          <w:fldChar w:fldCharType="separate"/>
        </w:r>
        <w:r w:rsidR="008F39B8">
          <w:rPr>
            <w:webHidden/>
          </w:rPr>
          <w:t>330</w:t>
        </w:r>
        <w:r w:rsidR="00A05AAA">
          <w:rPr>
            <w:webHidden/>
          </w:rPr>
          <w:fldChar w:fldCharType="end"/>
        </w:r>
      </w:hyperlink>
    </w:p>
    <w:p w14:paraId="4A59538D" w14:textId="5E5C26A2" w:rsidR="00A05AAA" w:rsidRDefault="007E17B8">
      <w:pPr>
        <w:pStyle w:val="TOC2"/>
        <w:rPr>
          <w:rFonts w:asciiTheme="minorHAnsi" w:eastAsiaTheme="minorEastAsia" w:hAnsiTheme="minorHAnsi" w:cstheme="minorBidi"/>
          <w:sz w:val="22"/>
        </w:rPr>
      </w:pPr>
      <w:hyperlink w:anchor="_Toc131591265" w:history="1">
        <w:r w:rsidR="00A05AAA" w:rsidRPr="00753F7B">
          <w:rPr>
            <w:rStyle w:val="Hyperlink"/>
          </w:rPr>
          <w:t>Chapter 7: References</w:t>
        </w:r>
        <w:r w:rsidR="00A05AAA">
          <w:rPr>
            <w:webHidden/>
          </w:rPr>
          <w:tab/>
        </w:r>
        <w:r w:rsidR="00A05AAA">
          <w:rPr>
            <w:webHidden/>
          </w:rPr>
          <w:fldChar w:fldCharType="begin"/>
        </w:r>
        <w:r w:rsidR="00A05AAA">
          <w:rPr>
            <w:webHidden/>
          </w:rPr>
          <w:instrText xml:space="preserve"> PAGEREF _Toc131591265 \h </w:instrText>
        </w:r>
        <w:r w:rsidR="00A05AAA">
          <w:rPr>
            <w:webHidden/>
          </w:rPr>
        </w:r>
        <w:r w:rsidR="00A05AAA">
          <w:rPr>
            <w:webHidden/>
          </w:rPr>
          <w:fldChar w:fldCharType="separate"/>
        </w:r>
        <w:r w:rsidR="008F39B8">
          <w:rPr>
            <w:webHidden/>
          </w:rPr>
          <w:t>343</w:t>
        </w:r>
        <w:r w:rsidR="00A05AAA">
          <w:rPr>
            <w:webHidden/>
          </w:rPr>
          <w:fldChar w:fldCharType="end"/>
        </w:r>
      </w:hyperlink>
    </w:p>
    <w:p w14:paraId="5FE725E2" w14:textId="75191375" w:rsidR="00A05AAA" w:rsidRDefault="007E17B8">
      <w:pPr>
        <w:pStyle w:val="TOC1"/>
        <w:rPr>
          <w:rFonts w:asciiTheme="minorHAnsi" w:eastAsiaTheme="minorEastAsia" w:hAnsiTheme="minorHAnsi" w:cstheme="minorBidi"/>
          <w:sz w:val="22"/>
        </w:rPr>
      </w:pPr>
      <w:hyperlink w:anchor="_Toc131591266" w:history="1">
        <w:r w:rsidR="00A05AAA" w:rsidRPr="00753F7B">
          <w:rPr>
            <w:rStyle w:val="Hyperlink"/>
          </w:rPr>
          <w:t>Chapter 8: Tokelau (other) sector</w:t>
        </w:r>
        <w:r w:rsidR="00A05AAA">
          <w:rPr>
            <w:webHidden/>
          </w:rPr>
          <w:tab/>
        </w:r>
        <w:r w:rsidR="00A05AAA">
          <w:rPr>
            <w:webHidden/>
          </w:rPr>
          <w:fldChar w:fldCharType="begin"/>
        </w:r>
        <w:r w:rsidR="00A05AAA">
          <w:rPr>
            <w:webHidden/>
          </w:rPr>
          <w:instrText xml:space="preserve"> PAGEREF _Toc131591266 \h </w:instrText>
        </w:r>
        <w:r w:rsidR="00A05AAA">
          <w:rPr>
            <w:webHidden/>
          </w:rPr>
        </w:r>
        <w:r w:rsidR="00A05AAA">
          <w:rPr>
            <w:webHidden/>
          </w:rPr>
          <w:fldChar w:fldCharType="separate"/>
        </w:r>
        <w:r w:rsidR="008F39B8">
          <w:rPr>
            <w:webHidden/>
          </w:rPr>
          <w:t>345</w:t>
        </w:r>
        <w:r w:rsidR="00A05AAA">
          <w:rPr>
            <w:webHidden/>
          </w:rPr>
          <w:fldChar w:fldCharType="end"/>
        </w:r>
      </w:hyperlink>
    </w:p>
    <w:p w14:paraId="41A52AE4" w14:textId="1DF566C7" w:rsidR="00A05AAA" w:rsidRDefault="007E17B8">
      <w:pPr>
        <w:pStyle w:val="TOC2"/>
        <w:rPr>
          <w:rFonts w:asciiTheme="minorHAnsi" w:eastAsiaTheme="minorEastAsia" w:hAnsiTheme="minorHAnsi" w:cstheme="minorBidi"/>
          <w:sz w:val="22"/>
        </w:rPr>
      </w:pPr>
      <w:hyperlink w:anchor="_Toc131591267" w:history="1">
        <w:r w:rsidR="00A05AAA" w:rsidRPr="00753F7B">
          <w:rPr>
            <w:rStyle w:val="Hyperlink"/>
          </w:rPr>
          <w:t xml:space="preserve">8.1 </w:t>
        </w:r>
        <w:r w:rsidR="00A05AAA">
          <w:rPr>
            <w:rFonts w:asciiTheme="minorHAnsi" w:eastAsiaTheme="minorEastAsia" w:hAnsiTheme="minorHAnsi" w:cstheme="minorBidi"/>
            <w:sz w:val="22"/>
          </w:rPr>
          <w:tab/>
        </w:r>
        <w:r w:rsidR="00A05AAA" w:rsidRPr="00753F7B">
          <w:rPr>
            <w:rStyle w:val="Hyperlink"/>
          </w:rPr>
          <w:t>Tokelau overview</w:t>
        </w:r>
        <w:r w:rsidR="00A05AAA">
          <w:rPr>
            <w:webHidden/>
          </w:rPr>
          <w:tab/>
        </w:r>
        <w:r w:rsidR="00A05AAA">
          <w:rPr>
            <w:webHidden/>
          </w:rPr>
          <w:fldChar w:fldCharType="begin"/>
        </w:r>
        <w:r w:rsidR="00A05AAA">
          <w:rPr>
            <w:webHidden/>
          </w:rPr>
          <w:instrText xml:space="preserve"> PAGEREF _Toc131591267 \h </w:instrText>
        </w:r>
        <w:r w:rsidR="00A05AAA">
          <w:rPr>
            <w:webHidden/>
          </w:rPr>
        </w:r>
        <w:r w:rsidR="00A05AAA">
          <w:rPr>
            <w:webHidden/>
          </w:rPr>
          <w:fldChar w:fldCharType="separate"/>
        </w:r>
        <w:r w:rsidR="008F39B8">
          <w:rPr>
            <w:webHidden/>
          </w:rPr>
          <w:t>345</w:t>
        </w:r>
        <w:r w:rsidR="00A05AAA">
          <w:rPr>
            <w:webHidden/>
          </w:rPr>
          <w:fldChar w:fldCharType="end"/>
        </w:r>
      </w:hyperlink>
    </w:p>
    <w:p w14:paraId="786B33DB" w14:textId="165B5279" w:rsidR="00A05AAA" w:rsidRDefault="007E17B8">
      <w:pPr>
        <w:pStyle w:val="TOC2"/>
        <w:rPr>
          <w:rFonts w:asciiTheme="minorHAnsi" w:eastAsiaTheme="minorEastAsia" w:hAnsiTheme="minorHAnsi" w:cstheme="minorBidi"/>
          <w:sz w:val="22"/>
        </w:rPr>
      </w:pPr>
      <w:hyperlink w:anchor="_Toc131591268" w:history="1">
        <w:r w:rsidR="00A05AAA" w:rsidRPr="00753F7B">
          <w:rPr>
            <w:rStyle w:val="Hyperlink"/>
          </w:rPr>
          <w:t xml:space="preserve">8.2 </w:t>
        </w:r>
        <w:r w:rsidR="00A05AAA">
          <w:rPr>
            <w:rFonts w:asciiTheme="minorHAnsi" w:eastAsiaTheme="minorEastAsia" w:hAnsiTheme="minorHAnsi" w:cstheme="minorBidi"/>
            <w:sz w:val="22"/>
          </w:rPr>
          <w:tab/>
        </w:r>
        <w:r w:rsidR="00A05AAA" w:rsidRPr="00753F7B">
          <w:rPr>
            <w:rStyle w:val="Hyperlink"/>
          </w:rPr>
          <w:t>Energy emissions from Tokelau (CRF 6. Tokelau_1)</w:t>
        </w:r>
        <w:r w:rsidR="00A05AAA">
          <w:rPr>
            <w:webHidden/>
          </w:rPr>
          <w:tab/>
        </w:r>
        <w:r w:rsidR="00A05AAA">
          <w:rPr>
            <w:webHidden/>
          </w:rPr>
          <w:fldChar w:fldCharType="begin"/>
        </w:r>
        <w:r w:rsidR="00A05AAA">
          <w:rPr>
            <w:webHidden/>
          </w:rPr>
          <w:instrText xml:space="preserve"> PAGEREF _Toc131591268 \h </w:instrText>
        </w:r>
        <w:r w:rsidR="00A05AAA">
          <w:rPr>
            <w:webHidden/>
          </w:rPr>
        </w:r>
        <w:r w:rsidR="00A05AAA">
          <w:rPr>
            <w:webHidden/>
          </w:rPr>
          <w:fldChar w:fldCharType="separate"/>
        </w:r>
        <w:r w:rsidR="008F39B8">
          <w:rPr>
            <w:webHidden/>
          </w:rPr>
          <w:t>353</w:t>
        </w:r>
        <w:r w:rsidR="00A05AAA">
          <w:rPr>
            <w:webHidden/>
          </w:rPr>
          <w:fldChar w:fldCharType="end"/>
        </w:r>
      </w:hyperlink>
    </w:p>
    <w:p w14:paraId="43B16041" w14:textId="316588E7" w:rsidR="00A05AAA" w:rsidRDefault="007E17B8">
      <w:pPr>
        <w:pStyle w:val="TOC2"/>
        <w:rPr>
          <w:rFonts w:asciiTheme="minorHAnsi" w:eastAsiaTheme="minorEastAsia" w:hAnsiTheme="minorHAnsi" w:cstheme="minorBidi"/>
          <w:sz w:val="22"/>
        </w:rPr>
      </w:pPr>
      <w:hyperlink w:anchor="_Toc131591269" w:history="1">
        <w:r w:rsidR="00A05AAA" w:rsidRPr="00753F7B">
          <w:rPr>
            <w:rStyle w:val="Hyperlink"/>
          </w:rPr>
          <w:t>8.3</w:t>
        </w:r>
        <w:r w:rsidR="00A05AAA">
          <w:rPr>
            <w:rFonts w:asciiTheme="minorHAnsi" w:eastAsiaTheme="minorEastAsia" w:hAnsiTheme="minorHAnsi" w:cstheme="minorBidi"/>
            <w:sz w:val="22"/>
          </w:rPr>
          <w:tab/>
        </w:r>
        <w:r w:rsidR="00A05AAA" w:rsidRPr="00753F7B">
          <w:rPr>
            <w:rStyle w:val="Hyperlink"/>
          </w:rPr>
          <w:t>Emissions from Industrial Processes and Product Use in Tokelau (CRF 6. Tokelau_2)</w:t>
        </w:r>
        <w:r w:rsidR="00A05AAA">
          <w:rPr>
            <w:webHidden/>
          </w:rPr>
          <w:tab/>
        </w:r>
        <w:r w:rsidR="00A05AAA">
          <w:rPr>
            <w:webHidden/>
          </w:rPr>
          <w:fldChar w:fldCharType="begin"/>
        </w:r>
        <w:r w:rsidR="00A05AAA">
          <w:rPr>
            <w:webHidden/>
          </w:rPr>
          <w:instrText xml:space="preserve"> PAGEREF _Toc131591269 \h </w:instrText>
        </w:r>
        <w:r w:rsidR="00A05AAA">
          <w:rPr>
            <w:webHidden/>
          </w:rPr>
        </w:r>
        <w:r w:rsidR="00A05AAA">
          <w:rPr>
            <w:webHidden/>
          </w:rPr>
          <w:fldChar w:fldCharType="separate"/>
        </w:r>
        <w:r w:rsidR="008F39B8">
          <w:rPr>
            <w:webHidden/>
          </w:rPr>
          <w:t>360</w:t>
        </w:r>
        <w:r w:rsidR="00A05AAA">
          <w:rPr>
            <w:webHidden/>
          </w:rPr>
          <w:fldChar w:fldCharType="end"/>
        </w:r>
      </w:hyperlink>
    </w:p>
    <w:p w14:paraId="06C675A8" w14:textId="390D36DF" w:rsidR="00A05AAA" w:rsidRDefault="007E17B8">
      <w:pPr>
        <w:pStyle w:val="TOC2"/>
        <w:rPr>
          <w:rFonts w:asciiTheme="minorHAnsi" w:eastAsiaTheme="minorEastAsia" w:hAnsiTheme="minorHAnsi" w:cstheme="minorBidi"/>
          <w:sz w:val="22"/>
        </w:rPr>
      </w:pPr>
      <w:hyperlink w:anchor="_Toc131591270" w:history="1">
        <w:r w:rsidR="00A05AAA" w:rsidRPr="00753F7B">
          <w:rPr>
            <w:rStyle w:val="Hyperlink"/>
          </w:rPr>
          <w:t>8.4</w:t>
        </w:r>
        <w:r w:rsidR="00A05AAA">
          <w:rPr>
            <w:rFonts w:asciiTheme="minorHAnsi" w:eastAsiaTheme="minorEastAsia" w:hAnsiTheme="minorHAnsi" w:cstheme="minorBidi"/>
            <w:sz w:val="22"/>
          </w:rPr>
          <w:tab/>
        </w:r>
        <w:r w:rsidR="00A05AAA" w:rsidRPr="00753F7B">
          <w:rPr>
            <w:rStyle w:val="Hyperlink"/>
          </w:rPr>
          <w:t>Emissions from the Agriculture sector in Tokelau (CRF 6. Tokelau_3)</w:t>
        </w:r>
        <w:r w:rsidR="00A05AAA">
          <w:rPr>
            <w:webHidden/>
          </w:rPr>
          <w:tab/>
        </w:r>
        <w:r w:rsidR="00A05AAA">
          <w:rPr>
            <w:webHidden/>
          </w:rPr>
          <w:fldChar w:fldCharType="begin"/>
        </w:r>
        <w:r w:rsidR="00A05AAA">
          <w:rPr>
            <w:webHidden/>
          </w:rPr>
          <w:instrText xml:space="preserve"> PAGEREF _Toc131591270 \h </w:instrText>
        </w:r>
        <w:r w:rsidR="00A05AAA">
          <w:rPr>
            <w:webHidden/>
          </w:rPr>
        </w:r>
        <w:r w:rsidR="00A05AAA">
          <w:rPr>
            <w:webHidden/>
          </w:rPr>
          <w:fldChar w:fldCharType="separate"/>
        </w:r>
        <w:r w:rsidR="008F39B8">
          <w:rPr>
            <w:webHidden/>
          </w:rPr>
          <w:t>364</w:t>
        </w:r>
        <w:r w:rsidR="00A05AAA">
          <w:rPr>
            <w:webHidden/>
          </w:rPr>
          <w:fldChar w:fldCharType="end"/>
        </w:r>
      </w:hyperlink>
    </w:p>
    <w:p w14:paraId="069C71EC" w14:textId="2D2C8F92" w:rsidR="00A05AAA" w:rsidRDefault="007E17B8">
      <w:pPr>
        <w:pStyle w:val="TOC2"/>
        <w:rPr>
          <w:rFonts w:asciiTheme="minorHAnsi" w:eastAsiaTheme="minorEastAsia" w:hAnsiTheme="minorHAnsi" w:cstheme="minorBidi"/>
          <w:sz w:val="22"/>
        </w:rPr>
      </w:pPr>
      <w:hyperlink w:anchor="_Toc131591271" w:history="1">
        <w:r w:rsidR="00A05AAA" w:rsidRPr="00753F7B">
          <w:rPr>
            <w:rStyle w:val="Hyperlink"/>
          </w:rPr>
          <w:t xml:space="preserve">8.5 </w:t>
        </w:r>
        <w:r w:rsidR="00A05AAA">
          <w:rPr>
            <w:rFonts w:asciiTheme="minorHAnsi" w:eastAsiaTheme="minorEastAsia" w:hAnsiTheme="minorHAnsi" w:cstheme="minorBidi"/>
            <w:sz w:val="22"/>
          </w:rPr>
          <w:tab/>
        </w:r>
        <w:r w:rsidR="00A05AAA" w:rsidRPr="00753F7B">
          <w:rPr>
            <w:rStyle w:val="Hyperlink"/>
          </w:rPr>
          <w:t>Emissions from the Waste sector in Tokelau (CRF 6 Tokelau_5)</w:t>
        </w:r>
        <w:r w:rsidR="00A05AAA">
          <w:rPr>
            <w:webHidden/>
          </w:rPr>
          <w:tab/>
        </w:r>
        <w:r w:rsidR="00A05AAA">
          <w:rPr>
            <w:webHidden/>
          </w:rPr>
          <w:fldChar w:fldCharType="begin"/>
        </w:r>
        <w:r w:rsidR="00A05AAA">
          <w:rPr>
            <w:webHidden/>
          </w:rPr>
          <w:instrText xml:space="preserve"> PAGEREF _Toc131591271 \h </w:instrText>
        </w:r>
        <w:r w:rsidR="00A05AAA">
          <w:rPr>
            <w:webHidden/>
          </w:rPr>
        </w:r>
        <w:r w:rsidR="00A05AAA">
          <w:rPr>
            <w:webHidden/>
          </w:rPr>
          <w:fldChar w:fldCharType="separate"/>
        </w:r>
        <w:r w:rsidR="008F39B8">
          <w:rPr>
            <w:webHidden/>
          </w:rPr>
          <w:t>367</w:t>
        </w:r>
        <w:r w:rsidR="00A05AAA">
          <w:rPr>
            <w:webHidden/>
          </w:rPr>
          <w:fldChar w:fldCharType="end"/>
        </w:r>
      </w:hyperlink>
    </w:p>
    <w:p w14:paraId="3ACB0D94" w14:textId="2A202322" w:rsidR="00A05AAA" w:rsidRDefault="007E17B8">
      <w:pPr>
        <w:pStyle w:val="TOC2"/>
        <w:rPr>
          <w:rFonts w:asciiTheme="minorHAnsi" w:eastAsiaTheme="minorEastAsia" w:hAnsiTheme="minorHAnsi" w:cstheme="minorBidi"/>
          <w:sz w:val="22"/>
        </w:rPr>
      </w:pPr>
      <w:hyperlink w:anchor="_Toc131591272" w:history="1">
        <w:r w:rsidR="00A05AAA" w:rsidRPr="00753F7B">
          <w:rPr>
            <w:rStyle w:val="Hyperlink"/>
          </w:rPr>
          <w:t>Chapter 8: References</w:t>
        </w:r>
        <w:r w:rsidR="00A05AAA">
          <w:rPr>
            <w:webHidden/>
          </w:rPr>
          <w:tab/>
        </w:r>
        <w:r w:rsidR="00A05AAA">
          <w:rPr>
            <w:webHidden/>
          </w:rPr>
          <w:fldChar w:fldCharType="begin"/>
        </w:r>
        <w:r w:rsidR="00A05AAA">
          <w:rPr>
            <w:webHidden/>
          </w:rPr>
          <w:instrText xml:space="preserve"> PAGEREF _Toc131591272 \h </w:instrText>
        </w:r>
        <w:r w:rsidR="00A05AAA">
          <w:rPr>
            <w:webHidden/>
          </w:rPr>
        </w:r>
        <w:r w:rsidR="00A05AAA">
          <w:rPr>
            <w:webHidden/>
          </w:rPr>
          <w:fldChar w:fldCharType="separate"/>
        </w:r>
        <w:r w:rsidR="008F39B8">
          <w:rPr>
            <w:webHidden/>
          </w:rPr>
          <w:t>374</w:t>
        </w:r>
        <w:r w:rsidR="00A05AAA">
          <w:rPr>
            <w:webHidden/>
          </w:rPr>
          <w:fldChar w:fldCharType="end"/>
        </w:r>
      </w:hyperlink>
    </w:p>
    <w:p w14:paraId="1AD4AC01" w14:textId="7FCC25B1" w:rsidR="00A05AAA" w:rsidRDefault="007E17B8">
      <w:pPr>
        <w:pStyle w:val="TOC1"/>
        <w:rPr>
          <w:rFonts w:asciiTheme="minorHAnsi" w:eastAsiaTheme="minorEastAsia" w:hAnsiTheme="minorHAnsi" w:cstheme="minorBidi"/>
          <w:sz w:val="22"/>
        </w:rPr>
      </w:pPr>
      <w:hyperlink w:anchor="_Toc131591273" w:history="1">
        <w:r w:rsidR="00A05AAA" w:rsidRPr="00753F7B">
          <w:rPr>
            <w:rStyle w:val="Hyperlink"/>
          </w:rPr>
          <w:t>Chapter 9: Indirect carbon dioxide and nitrous oxide emissions</w:t>
        </w:r>
        <w:r w:rsidR="00A05AAA">
          <w:rPr>
            <w:webHidden/>
          </w:rPr>
          <w:tab/>
        </w:r>
        <w:r w:rsidR="00A05AAA">
          <w:rPr>
            <w:webHidden/>
          </w:rPr>
          <w:fldChar w:fldCharType="begin"/>
        </w:r>
        <w:r w:rsidR="00A05AAA">
          <w:rPr>
            <w:webHidden/>
          </w:rPr>
          <w:instrText xml:space="preserve"> PAGEREF _Toc131591273 \h </w:instrText>
        </w:r>
        <w:r w:rsidR="00A05AAA">
          <w:rPr>
            <w:webHidden/>
          </w:rPr>
        </w:r>
        <w:r w:rsidR="00A05AAA">
          <w:rPr>
            <w:webHidden/>
          </w:rPr>
          <w:fldChar w:fldCharType="separate"/>
        </w:r>
        <w:r w:rsidR="008F39B8">
          <w:rPr>
            <w:webHidden/>
          </w:rPr>
          <w:t>375</w:t>
        </w:r>
        <w:r w:rsidR="00A05AAA">
          <w:rPr>
            <w:webHidden/>
          </w:rPr>
          <w:fldChar w:fldCharType="end"/>
        </w:r>
      </w:hyperlink>
    </w:p>
    <w:p w14:paraId="6BD74F8B" w14:textId="7F280B1F" w:rsidR="00A05AAA" w:rsidRDefault="007E17B8">
      <w:pPr>
        <w:pStyle w:val="TOC1"/>
        <w:rPr>
          <w:rFonts w:asciiTheme="minorHAnsi" w:eastAsiaTheme="minorEastAsia" w:hAnsiTheme="minorHAnsi" w:cstheme="minorBidi"/>
          <w:sz w:val="22"/>
        </w:rPr>
      </w:pPr>
      <w:hyperlink w:anchor="_Toc131591274" w:history="1">
        <w:r w:rsidR="00A05AAA" w:rsidRPr="00753F7B">
          <w:rPr>
            <w:rStyle w:val="Hyperlink"/>
          </w:rPr>
          <w:t>Chapter 10: Recalculations and improvements</w:t>
        </w:r>
        <w:r w:rsidR="00A05AAA">
          <w:rPr>
            <w:webHidden/>
          </w:rPr>
          <w:tab/>
        </w:r>
        <w:r w:rsidR="00A05AAA">
          <w:rPr>
            <w:webHidden/>
          </w:rPr>
          <w:fldChar w:fldCharType="begin"/>
        </w:r>
        <w:r w:rsidR="00A05AAA">
          <w:rPr>
            <w:webHidden/>
          </w:rPr>
          <w:instrText xml:space="preserve"> PAGEREF _Toc131591274 \h </w:instrText>
        </w:r>
        <w:r w:rsidR="00A05AAA">
          <w:rPr>
            <w:webHidden/>
          </w:rPr>
        </w:r>
        <w:r w:rsidR="00A05AAA">
          <w:rPr>
            <w:webHidden/>
          </w:rPr>
          <w:fldChar w:fldCharType="separate"/>
        </w:r>
        <w:r w:rsidR="008F39B8">
          <w:rPr>
            <w:webHidden/>
          </w:rPr>
          <w:t>376</w:t>
        </w:r>
        <w:r w:rsidR="00A05AAA">
          <w:rPr>
            <w:webHidden/>
          </w:rPr>
          <w:fldChar w:fldCharType="end"/>
        </w:r>
      </w:hyperlink>
    </w:p>
    <w:p w14:paraId="3E1375A4" w14:textId="2BB1CE40" w:rsidR="00A05AAA" w:rsidRDefault="007E17B8">
      <w:pPr>
        <w:pStyle w:val="TOC2"/>
        <w:rPr>
          <w:rFonts w:asciiTheme="minorHAnsi" w:eastAsiaTheme="minorEastAsia" w:hAnsiTheme="minorHAnsi" w:cstheme="minorBidi"/>
          <w:sz w:val="22"/>
        </w:rPr>
      </w:pPr>
      <w:hyperlink w:anchor="_Toc131591275" w:history="1">
        <w:r w:rsidR="00A05AAA" w:rsidRPr="00753F7B">
          <w:rPr>
            <w:rStyle w:val="Hyperlink"/>
          </w:rPr>
          <w:t xml:space="preserve">10.1 </w:t>
        </w:r>
        <w:r w:rsidR="00A05AAA">
          <w:rPr>
            <w:rFonts w:asciiTheme="minorHAnsi" w:eastAsiaTheme="minorEastAsia" w:hAnsiTheme="minorHAnsi" w:cstheme="minorBidi"/>
            <w:sz w:val="22"/>
          </w:rPr>
          <w:tab/>
        </w:r>
        <w:r w:rsidR="00A05AAA" w:rsidRPr="00753F7B">
          <w:rPr>
            <w:rStyle w:val="Hyperlink"/>
          </w:rPr>
          <w:t>Implications and justifications</w:t>
        </w:r>
        <w:r w:rsidR="00A05AAA">
          <w:rPr>
            <w:webHidden/>
          </w:rPr>
          <w:tab/>
        </w:r>
        <w:r w:rsidR="00A05AAA">
          <w:rPr>
            <w:webHidden/>
          </w:rPr>
          <w:fldChar w:fldCharType="begin"/>
        </w:r>
        <w:r w:rsidR="00A05AAA">
          <w:rPr>
            <w:webHidden/>
          </w:rPr>
          <w:instrText xml:space="preserve"> PAGEREF _Toc131591275 \h </w:instrText>
        </w:r>
        <w:r w:rsidR="00A05AAA">
          <w:rPr>
            <w:webHidden/>
          </w:rPr>
        </w:r>
        <w:r w:rsidR="00A05AAA">
          <w:rPr>
            <w:webHidden/>
          </w:rPr>
          <w:fldChar w:fldCharType="separate"/>
        </w:r>
        <w:r w:rsidR="008F39B8">
          <w:rPr>
            <w:webHidden/>
          </w:rPr>
          <w:t>376</w:t>
        </w:r>
        <w:r w:rsidR="00A05AAA">
          <w:rPr>
            <w:webHidden/>
          </w:rPr>
          <w:fldChar w:fldCharType="end"/>
        </w:r>
      </w:hyperlink>
    </w:p>
    <w:p w14:paraId="0B94EF05" w14:textId="0B0D41C8" w:rsidR="00A05AAA" w:rsidRDefault="007E17B8">
      <w:pPr>
        <w:pStyle w:val="TOC2"/>
        <w:rPr>
          <w:rFonts w:asciiTheme="minorHAnsi" w:eastAsiaTheme="minorEastAsia" w:hAnsiTheme="minorHAnsi" w:cstheme="minorBidi"/>
          <w:sz w:val="22"/>
        </w:rPr>
      </w:pPr>
      <w:hyperlink w:anchor="_Toc131591276" w:history="1">
        <w:r w:rsidR="00A05AAA" w:rsidRPr="00753F7B">
          <w:rPr>
            <w:rStyle w:val="Hyperlink"/>
          </w:rPr>
          <w:t xml:space="preserve">10.2 </w:t>
        </w:r>
        <w:r w:rsidR="00A05AAA">
          <w:rPr>
            <w:rFonts w:asciiTheme="minorHAnsi" w:eastAsiaTheme="minorEastAsia" w:hAnsiTheme="minorHAnsi" w:cstheme="minorBidi"/>
            <w:sz w:val="22"/>
          </w:rPr>
          <w:tab/>
        </w:r>
        <w:r w:rsidR="00A05AAA" w:rsidRPr="00753F7B">
          <w:rPr>
            <w:rStyle w:val="Hyperlink"/>
          </w:rPr>
          <w:t>Recalculations and planned improvements in response to the review process</w:t>
        </w:r>
        <w:r w:rsidR="00A05AAA">
          <w:rPr>
            <w:webHidden/>
          </w:rPr>
          <w:tab/>
        </w:r>
        <w:r w:rsidR="00A05AAA">
          <w:rPr>
            <w:webHidden/>
          </w:rPr>
          <w:fldChar w:fldCharType="begin"/>
        </w:r>
        <w:r w:rsidR="00A05AAA">
          <w:rPr>
            <w:webHidden/>
          </w:rPr>
          <w:instrText xml:space="preserve"> PAGEREF _Toc131591276 \h </w:instrText>
        </w:r>
        <w:r w:rsidR="00A05AAA">
          <w:rPr>
            <w:webHidden/>
          </w:rPr>
        </w:r>
        <w:r w:rsidR="00A05AAA">
          <w:rPr>
            <w:webHidden/>
          </w:rPr>
          <w:fldChar w:fldCharType="separate"/>
        </w:r>
        <w:r w:rsidR="008F39B8">
          <w:rPr>
            <w:webHidden/>
          </w:rPr>
          <w:t>389</w:t>
        </w:r>
        <w:r w:rsidR="00A05AAA">
          <w:rPr>
            <w:webHidden/>
          </w:rPr>
          <w:fldChar w:fldCharType="end"/>
        </w:r>
      </w:hyperlink>
    </w:p>
    <w:p w14:paraId="6BA24F82" w14:textId="47BE29A6" w:rsidR="00A05AAA" w:rsidRDefault="007E17B8">
      <w:pPr>
        <w:pStyle w:val="TOC2"/>
        <w:rPr>
          <w:rFonts w:asciiTheme="minorHAnsi" w:eastAsiaTheme="minorEastAsia" w:hAnsiTheme="minorHAnsi" w:cstheme="minorBidi"/>
          <w:sz w:val="22"/>
        </w:rPr>
      </w:pPr>
      <w:hyperlink w:anchor="_Toc131591277" w:history="1">
        <w:r w:rsidR="00A05AAA" w:rsidRPr="00753F7B">
          <w:rPr>
            <w:rStyle w:val="Hyperlink"/>
          </w:rPr>
          <w:t>Chapter 10: References</w:t>
        </w:r>
        <w:r w:rsidR="00A05AAA">
          <w:rPr>
            <w:webHidden/>
          </w:rPr>
          <w:tab/>
        </w:r>
        <w:r w:rsidR="00A05AAA">
          <w:rPr>
            <w:webHidden/>
          </w:rPr>
          <w:fldChar w:fldCharType="begin"/>
        </w:r>
        <w:r w:rsidR="00A05AAA">
          <w:rPr>
            <w:webHidden/>
          </w:rPr>
          <w:instrText xml:space="preserve"> PAGEREF _Toc131591277 \h </w:instrText>
        </w:r>
        <w:r w:rsidR="00A05AAA">
          <w:rPr>
            <w:webHidden/>
          </w:rPr>
        </w:r>
        <w:r w:rsidR="00A05AAA">
          <w:rPr>
            <w:webHidden/>
          </w:rPr>
          <w:fldChar w:fldCharType="separate"/>
        </w:r>
        <w:r w:rsidR="008F39B8">
          <w:rPr>
            <w:webHidden/>
          </w:rPr>
          <w:t>407</w:t>
        </w:r>
        <w:r w:rsidR="00A05AAA">
          <w:rPr>
            <w:webHidden/>
          </w:rPr>
          <w:fldChar w:fldCharType="end"/>
        </w:r>
      </w:hyperlink>
    </w:p>
    <w:p w14:paraId="4CD10D03" w14:textId="60A2C3DD" w:rsidR="00A05AAA" w:rsidRDefault="007E17B8">
      <w:pPr>
        <w:pStyle w:val="TOC1"/>
        <w:rPr>
          <w:rFonts w:asciiTheme="minorHAnsi" w:eastAsiaTheme="minorEastAsia" w:hAnsiTheme="minorHAnsi" w:cstheme="minorBidi"/>
          <w:sz w:val="22"/>
        </w:rPr>
      </w:pPr>
      <w:hyperlink w:anchor="_Toc131591278" w:history="1">
        <w:r w:rsidR="00A05AAA" w:rsidRPr="00753F7B">
          <w:rPr>
            <w:rStyle w:val="Hyperlink"/>
          </w:rPr>
          <w:t>Chapter 11: KP-LULUCF</w:t>
        </w:r>
        <w:r w:rsidR="00A05AAA">
          <w:rPr>
            <w:webHidden/>
          </w:rPr>
          <w:tab/>
        </w:r>
        <w:r w:rsidR="00A05AAA">
          <w:rPr>
            <w:webHidden/>
          </w:rPr>
          <w:fldChar w:fldCharType="begin"/>
        </w:r>
        <w:r w:rsidR="00A05AAA">
          <w:rPr>
            <w:webHidden/>
          </w:rPr>
          <w:instrText xml:space="preserve"> PAGEREF _Toc131591278 \h </w:instrText>
        </w:r>
        <w:r w:rsidR="00A05AAA">
          <w:rPr>
            <w:webHidden/>
          </w:rPr>
        </w:r>
        <w:r w:rsidR="00A05AAA">
          <w:rPr>
            <w:webHidden/>
          </w:rPr>
          <w:fldChar w:fldCharType="separate"/>
        </w:r>
        <w:r w:rsidR="008F39B8">
          <w:rPr>
            <w:webHidden/>
          </w:rPr>
          <w:t>409</w:t>
        </w:r>
        <w:r w:rsidR="00A05AAA">
          <w:rPr>
            <w:webHidden/>
          </w:rPr>
          <w:fldChar w:fldCharType="end"/>
        </w:r>
      </w:hyperlink>
    </w:p>
    <w:p w14:paraId="0AECFD64" w14:textId="54EF2971" w:rsidR="00A05AAA" w:rsidRDefault="007E17B8">
      <w:pPr>
        <w:pStyle w:val="TOC2"/>
        <w:rPr>
          <w:rFonts w:asciiTheme="minorHAnsi" w:eastAsiaTheme="minorEastAsia" w:hAnsiTheme="minorHAnsi" w:cstheme="minorBidi"/>
          <w:sz w:val="22"/>
        </w:rPr>
      </w:pPr>
      <w:hyperlink w:anchor="_Toc131591279" w:history="1">
        <w:r w:rsidR="00A05AAA" w:rsidRPr="00753F7B">
          <w:rPr>
            <w:rStyle w:val="Hyperlink"/>
          </w:rPr>
          <w:t xml:space="preserve">11.1 </w:t>
        </w:r>
        <w:r w:rsidR="00A05AAA">
          <w:rPr>
            <w:rFonts w:asciiTheme="minorHAnsi" w:eastAsiaTheme="minorEastAsia" w:hAnsiTheme="minorHAnsi" w:cstheme="minorBidi"/>
            <w:sz w:val="22"/>
          </w:rPr>
          <w:tab/>
        </w:r>
        <w:r w:rsidR="00A05AAA" w:rsidRPr="00753F7B">
          <w:rPr>
            <w:rStyle w:val="Hyperlink"/>
          </w:rPr>
          <w:t>General information</w:t>
        </w:r>
        <w:r w:rsidR="00A05AAA">
          <w:rPr>
            <w:webHidden/>
          </w:rPr>
          <w:tab/>
        </w:r>
        <w:r w:rsidR="00A05AAA">
          <w:rPr>
            <w:webHidden/>
          </w:rPr>
          <w:fldChar w:fldCharType="begin"/>
        </w:r>
        <w:r w:rsidR="00A05AAA">
          <w:rPr>
            <w:webHidden/>
          </w:rPr>
          <w:instrText xml:space="preserve"> PAGEREF _Toc131591279 \h </w:instrText>
        </w:r>
        <w:r w:rsidR="00A05AAA">
          <w:rPr>
            <w:webHidden/>
          </w:rPr>
        </w:r>
        <w:r w:rsidR="00A05AAA">
          <w:rPr>
            <w:webHidden/>
          </w:rPr>
          <w:fldChar w:fldCharType="separate"/>
        </w:r>
        <w:r w:rsidR="008F39B8">
          <w:rPr>
            <w:webHidden/>
          </w:rPr>
          <w:t>409</w:t>
        </w:r>
        <w:r w:rsidR="00A05AAA">
          <w:rPr>
            <w:webHidden/>
          </w:rPr>
          <w:fldChar w:fldCharType="end"/>
        </w:r>
      </w:hyperlink>
    </w:p>
    <w:p w14:paraId="40C19BE0" w14:textId="3A6EE1F9" w:rsidR="00A05AAA" w:rsidRDefault="007E17B8">
      <w:pPr>
        <w:pStyle w:val="TOC2"/>
        <w:rPr>
          <w:rFonts w:asciiTheme="minorHAnsi" w:eastAsiaTheme="minorEastAsia" w:hAnsiTheme="minorHAnsi" w:cstheme="minorBidi"/>
          <w:sz w:val="22"/>
        </w:rPr>
      </w:pPr>
      <w:hyperlink w:anchor="_Toc131591280" w:history="1">
        <w:r w:rsidR="00A05AAA" w:rsidRPr="00753F7B">
          <w:rPr>
            <w:rStyle w:val="Hyperlink"/>
          </w:rPr>
          <w:t>11.2</w:t>
        </w:r>
        <w:r w:rsidR="00A05AAA">
          <w:rPr>
            <w:rFonts w:asciiTheme="minorHAnsi" w:eastAsiaTheme="minorEastAsia" w:hAnsiTheme="minorHAnsi" w:cstheme="minorBidi"/>
            <w:sz w:val="22"/>
          </w:rPr>
          <w:tab/>
        </w:r>
        <w:r w:rsidR="00A05AAA" w:rsidRPr="00753F7B">
          <w:rPr>
            <w:rStyle w:val="Hyperlink"/>
          </w:rPr>
          <w:t>Land-related information</w:t>
        </w:r>
        <w:r w:rsidR="00A05AAA">
          <w:rPr>
            <w:webHidden/>
          </w:rPr>
          <w:tab/>
        </w:r>
        <w:r w:rsidR="00A05AAA">
          <w:rPr>
            <w:webHidden/>
          </w:rPr>
          <w:fldChar w:fldCharType="begin"/>
        </w:r>
        <w:r w:rsidR="00A05AAA">
          <w:rPr>
            <w:webHidden/>
          </w:rPr>
          <w:instrText xml:space="preserve"> PAGEREF _Toc131591280 \h </w:instrText>
        </w:r>
        <w:r w:rsidR="00A05AAA">
          <w:rPr>
            <w:webHidden/>
          </w:rPr>
        </w:r>
        <w:r w:rsidR="00A05AAA">
          <w:rPr>
            <w:webHidden/>
          </w:rPr>
          <w:fldChar w:fldCharType="separate"/>
        </w:r>
        <w:r w:rsidR="008F39B8">
          <w:rPr>
            <w:webHidden/>
          </w:rPr>
          <w:t>413</w:t>
        </w:r>
        <w:r w:rsidR="00A05AAA">
          <w:rPr>
            <w:webHidden/>
          </w:rPr>
          <w:fldChar w:fldCharType="end"/>
        </w:r>
      </w:hyperlink>
    </w:p>
    <w:p w14:paraId="5E85C334" w14:textId="0965EF8C" w:rsidR="00A05AAA" w:rsidRDefault="007E17B8">
      <w:pPr>
        <w:pStyle w:val="TOC2"/>
        <w:rPr>
          <w:rFonts w:asciiTheme="minorHAnsi" w:eastAsiaTheme="minorEastAsia" w:hAnsiTheme="minorHAnsi" w:cstheme="minorBidi"/>
          <w:sz w:val="22"/>
        </w:rPr>
      </w:pPr>
      <w:hyperlink w:anchor="_Toc131591281" w:history="1">
        <w:r w:rsidR="00A05AAA" w:rsidRPr="00753F7B">
          <w:rPr>
            <w:rStyle w:val="Hyperlink"/>
          </w:rPr>
          <w:t>11.3</w:t>
        </w:r>
        <w:r w:rsidR="00A05AAA">
          <w:rPr>
            <w:rFonts w:asciiTheme="minorHAnsi" w:eastAsiaTheme="minorEastAsia" w:hAnsiTheme="minorHAnsi" w:cstheme="minorBidi"/>
            <w:sz w:val="22"/>
          </w:rPr>
          <w:tab/>
        </w:r>
        <w:r w:rsidR="00A05AAA" w:rsidRPr="00753F7B">
          <w:rPr>
            <w:rStyle w:val="Hyperlink"/>
          </w:rPr>
          <w:t>Activity-specific information</w:t>
        </w:r>
        <w:r w:rsidR="00A05AAA">
          <w:rPr>
            <w:webHidden/>
          </w:rPr>
          <w:tab/>
        </w:r>
        <w:r w:rsidR="00A05AAA">
          <w:rPr>
            <w:webHidden/>
          </w:rPr>
          <w:fldChar w:fldCharType="begin"/>
        </w:r>
        <w:r w:rsidR="00A05AAA">
          <w:rPr>
            <w:webHidden/>
          </w:rPr>
          <w:instrText xml:space="preserve"> PAGEREF _Toc131591281 \h </w:instrText>
        </w:r>
        <w:r w:rsidR="00A05AAA">
          <w:rPr>
            <w:webHidden/>
          </w:rPr>
        </w:r>
        <w:r w:rsidR="00A05AAA">
          <w:rPr>
            <w:webHidden/>
          </w:rPr>
          <w:fldChar w:fldCharType="separate"/>
        </w:r>
        <w:r w:rsidR="008F39B8">
          <w:rPr>
            <w:webHidden/>
          </w:rPr>
          <w:t>415</w:t>
        </w:r>
        <w:r w:rsidR="00A05AAA">
          <w:rPr>
            <w:webHidden/>
          </w:rPr>
          <w:fldChar w:fldCharType="end"/>
        </w:r>
      </w:hyperlink>
    </w:p>
    <w:p w14:paraId="4C9E9222" w14:textId="67B72828" w:rsidR="00A05AAA" w:rsidRDefault="007E17B8">
      <w:pPr>
        <w:pStyle w:val="TOC2"/>
        <w:rPr>
          <w:rFonts w:asciiTheme="minorHAnsi" w:eastAsiaTheme="minorEastAsia" w:hAnsiTheme="minorHAnsi" w:cstheme="minorBidi"/>
          <w:sz w:val="22"/>
        </w:rPr>
      </w:pPr>
      <w:hyperlink w:anchor="_Toc131591282" w:history="1">
        <w:r w:rsidR="00A05AAA" w:rsidRPr="00753F7B">
          <w:rPr>
            <w:rStyle w:val="Hyperlink"/>
          </w:rPr>
          <w:t>11.4</w:t>
        </w:r>
        <w:r w:rsidR="00A05AAA">
          <w:rPr>
            <w:rFonts w:asciiTheme="minorHAnsi" w:eastAsiaTheme="minorEastAsia" w:hAnsiTheme="minorHAnsi" w:cstheme="minorBidi"/>
            <w:sz w:val="22"/>
          </w:rPr>
          <w:tab/>
        </w:r>
        <w:r w:rsidR="00A05AAA" w:rsidRPr="00753F7B">
          <w:rPr>
            <w:rStyle w:val="Hyperlink"/>
          </w:rPr>
          <w:t>Other methodological issues</w:t>
        </w:r>
        <w:r w:rsidR="00A05AAA">
          <w:rPr>
            <w:webHidden/>
          </w:rPr>
          <w:tab/>
        </w:r>
        <w:r w:rsidR="00A05AAA">
          <w:rPr>
            <w:webHidden/>
          </w:rPr>
          <w:fldChar w:fldCharType="begin"/>
        </w:r>
        <w:r w:rsidR="00A05AAA">
          <w:rPr>
            <w:webHidden/>
          </w:rPr>
          <w:instrText xml:space="preserve"> PAGEREF _Toc131591282 \h </w:instrText>
        </w:r>
        <w:r w:rsidR="00A05AAA">
          <w:rPr>
            <w:webHidden/>
          </w:rPr>
        </w:r>
        <w:r w:rsidR="00A05AAA">
          <w:rPr>
            <w:webHidden/>
          </w:rPr>
          <w:fldChar w:fldCharType="separate"/>
        </w:r>
        <w:r w:rsidR="008F39B8">
          <w:rPr>
            <w:webHidden/>
          </w:rPr>
          <w:t>424</w:t>
        </w:r>
        <w:r w:rsidR="00A05AAA">
          <w:rPr>
            <w:webHidden/>
          </w:rPr>
          <w:fldChar w:fldCharType="end"/>
        </w:r>
      </w:hyperlink>
    </w:p>
    <w:p w14:paraId="7A58FFEF" w14:textId="3F060F68" w:rsidR="00A05AAA" w:rsidRDefault="007E17B8">
      <w:pPr>
        <w:pStyle w:val="TOC2"/>
        <w:rPr>
          <w:rFonts w:asciiTheme="minorHAnsi" w:eastAsiaTheme="minorEastAsia" w:hAnsiTheme="minorHAnsi" w:cstheme="minorBidi"/>
          <w:sz w:val="22"/>
        </w:rPr>
      </w:pPr>
      <w:hyperlink w:anchor="_Toc131591283" w:history="1">
        <w:r w:rsidR="00A05AAA" w:rsidRPr="00753F7B">
          <w:rPr>
            <w:rStyle w:val="Hyperlink"/>
          </w:rPr>
          <w:t xml:space="preserve">11.5 </w:t>
        </w:r>
        <w:r w:rsidR="00A05AAA">
          <w:rPr>
            <w:rFonts w:asciiTheme="minorHAnsi" w:eastAsiaTheme="minorEastAsia" w:hAnsiTheme="minorHAnsi" w:cstheme="minorBidi"/>
            <w:sz w:val="22"/>
          </w:rPr>
          <w:tab/>
        </w:r>
        <w:r w:rsidR="00A05AAA" w:rsidRPr="00753F7B">
          <w:rPr>
            <w:rStyle w:val="Hyperlink"/>
          </w:rPr>
          <w:t>Demonstration that activities apply</w:t>
        </w:r>
        <w:r w:rsidR="00A05AAA">
          <w:rPr>
            <w:webHidden/>
          </w:rPr>
          <w:tab/>
        </w:r>
        <w:r w:rsidR="00A05AAA">
          <w:rPr>
            <w:webHidden/>
          </w:rPr>
          <w:fldChar w:fldCharType="begin"/>
        </w:r>
        <w:r w:rsidR="00A05AAA">
          <w:rPr>
            <w:webHidden/>
          </w:rPr>
          <w:instrText xml:space="preserve"> PAGEREF _Toc131591283 \h </w:instrText>
        </w:r>
        <w:r w:rsidR="00A05AAA">
          <w:rPr>
            <w:webHidden/>
          </w:rPr>
        </w:r>
        <w:r w:rsidR="00A05AAA">
          <w:rPr>
            <w:webHidden/>
          </w:rPr>
          <w:fldChar w:fldCharType="separate"/>
        </w:r>
        <w:r w:rsidR="008F39B8">
          <w:rPr>
            <w:webHidden/>
          </w:rPr>
          <w:t>426</w:t>
        </w:r>
        <w:r w:rsidR="00A05AAA">
          <w:rPr>
            <w:webHidden/>
          </w:rPr>
          <w:fldChar w:fldCharType="end"/>
        </w:r>
      </w:hyperlink>
    </w:p>
    <w:p w14:paraId="435F6F02" w14:textId="4F74E5B7" w:rsidR="00A05AAA" w:rsidRDefault="007E17B8">
      <w:pPr>
        <w:pStyle w:val="TOC2"/>
        <w:rPr>
          <w:rFonts w:asciiTheme="minorHAnsi" w:eastAsiaTheme="minorEastAsia" w:hAnsiTheme="minorHAnsi" w:cstheme="minorBidi"/>
          <w:sz w:val="22"/>
        </w:rPr>
      </w:pPr>
      <w:hyperlink w:anchor="_Toc131591284" w:history="1">
        <w:r w:rsidR="00A05AAA" w:rsidRPr="00753F7B">
          <w:rPr>
            <w:rStyle w:val="Hyperlink"/>
          </w:rPr>
          <w:t>11.6</w:t>
        </w:r>
        <w:r w:rsidR="00A05AAA">
          <w:rPr>
            <w:rFonts w:asciiTheme="minorHAnsi" w:eastAsiaTheme="minorEastAsia" w:hAnsiTheme="minorHAnsi" w:cstheme="minorBidi"/>
            <w:sz w:val="22"/>
          </w:rPr>
          <w:tab/>
        </w:r>
        <w:r w:rsidR="00A05AAA" w:rsidRPr="00753F7B">
          <w:rPr>
            <w:rStyle w:val="Hyperlink"/>
          </w:rPr>
          <w:t>Other information</w:t>
        </w:r>
        <w:r w:rsidR="00A05AAA">
          <w:rPr>
            <w:webHidden/>
          </w:rPr>
          <w:tab/>
        </w:r>
        <w:r w:rsidR="00A05AAA">
          <w:rPr>
            <w:webHidden/>
          </w:rPr>
          <w:fldChar w:fldCharType="begin"/>
        </w:r>
        <w:r w:rsidR="00A05AAA">
          <w:rPr>
            <w:webHidden/>
          </w:rPr>
          <w:instrText xml:space="preserve"> PAGEREF _Toc131591284 \h </w:instrText>
        </w:r>
        <w:r w:rsidR="00A05AAA">
          <w:rPr>
            <w:webHidden/>
          </w:rPr>
        </w:r>
        <w:r w:rsidR="00A05AAA">
          <w:rPr>
            <w:webHidden/>
          </w:rPr>
          <w:fldChar w:fldCharType="separate"/>
        </w:r>
        <w:r w:rsidR="008F39B8">
          <w:rPr>
            <w:webHidden/>
          </w:rPr>
          <w:t>430</w:t>
        </w:r>
        <w:r w:rsidR="00A05AAA">
          <w:rPr>
            <w:webHidden/>
          </w:rPr>
          <w:fldChar w:fldCharType="end"/>
        </w:r>
      </w:hyperlink>
    </w:p>
    <w:p w14:paraId="3F326AE1" w14:textId="7CBB24AF" w:rsidR="00A05AAA" w:rsidRDefault="007E17B8">
      <w:pPr>
        <w:pStyle w:val="TOC2"/>
        <w:rPr>
          <w:rFonts w:asciiTheme="minorHAnsi" w:eastAsiaTheme="minorEastAsia" w:hAnsiTheme="minorHAnsi" w:cstheme="minorBidi"/>
          <w:sz w:val="22"/>
        </w:rPr>
      </w:pPr>
      <w:hyperlink w:anchor="_Toc131591285" w:history="1">
        <w:r w:rsidR="00A05AAA" w:rsidRPr="00753F7B">
          <w:rPr>
            <w:rStyle w:val="Hyperlink"/>
          </w:rPr>
          <w:t>11.7</w:t>
        </w:r>
        <w:r w:rsidR="00A05AAA">
          <w:rPr>
            <w:rFonts w:asciiTheme="minorHAnsi" w:eastAsiaTheme="minorEastAsia" w:hAnsiTheme="minorHAnsi" w:cstheme="minorBidi"/>
            <w:sz w:val="22"/>
          </w:rPr>
          <w:tab/>
        </w:r>
        <w:r w:rsidR="00A05AAA" w:rsidRPr="00753F7B">
          <w:rPr>
            <w:rStyle w:val="Hyperlink"/>
          </w:rPr>
          <w:t>Information relating to Article 6</w:t>
        </w:r>
        <w:r w:rsidR="00A05AAA">
          <w:rPr>
            <w:webHidden/>
          </w:rPr>
          <w:tab/>
        </w:r>
        <w:r w:rsidR="00A05AAA">
          <w:rPr>
            <w:webHidden/>
          </w:rPr>
          <w:fldChar w:fldCharType="begin"/>
        </w:r>
        <w:r w:rsidR="00A05AAA">
          <w:rPr>
            <w:webHidden/>
          </w:rPr>
          <w:instrText xml:space="preserve"> PAGEREF _Toc131591285 \h </w:instrText>
        </w:r>
        <w:r w:rsidR="00A05AAA">
          <w:rPr>
            <w:webHidden/>
          </w:rPr>
        </w:r>
        <w:r w:rsidR="00A05AAA">
          <w:rPr>
            <w:webHidden/>
          </w:rPr>
          <w:fldChar w:fldCharType="separate"/>
        </w:r>
        <w:r w:rsidR="008F39B8">
          <w:rPr>
            <w:webHidden/>
          </w:rPr>
          <w:t>430</w:t>
        </w:r>
        <w:r w:rsidR="00A05AAA">
          <w:rPr>
            <w:webHidden/>
          </w:rPr>
          <w:fldChar w:fldCharType="end"/>
        </w:r>
      </w:hyperlink>
    </w:p>
    <w:p w14:paraId="0C3B1AB3" w14:textId="3E4429F9" w:rsidR="00A05AAA" w:rsidRDefault="007E17B8">
      <w:pPr>
        <w:pStyle w:val="TOC2"/>
        <w:rPr>
          <w:rFonts w:asciiTheme="minorHAnsi" w:eastAsiaTheme="minorEastAsia" w:hAnsiTheme="minorHAnsi" w:cstheme="minorBidi"/>
          <w:sz w:val="22"/>
        </w:rPr>
      </w:pPr>
      <w:hyperlink w:anchor="_Toc131591286" w:history="1">
        <w:r w:rsidR="00A05AAA" w:rsidRPr="00753F7B">
          <w:rPr>
            <w:rStyle w:val="Hyperlink"/>
          </w:rPr>
          <w:t>Chapter 11: References</w:t>
        </w:r>
        <w:r w:rsidR="00A05AAA">
          <w:rPr>
            <w:webHidden/>
          </w:rPr>
          <w:tab/>
        </w:r>
        <w:r w:rsidR="00A05AAA">
          <w:rPr>
            <w:webHidden/>
          </w:rPr>
          <w:fldChar w:fldCharType="begin"/>
        </w:r>
        <w:r w:rsidR="00A05AAA">
          <w:rPr>
            <w:webHidden/>
          </w:rPr>
          <w:instrText xml:space="preserve"> PAGEREF _Toc131591286 \h </w:instrText>
        </w:r>
        <w:r w:rsidR="00A05AAA">
          <w:rPr>
            <w:webHidden/>
          </w:rPr>
        </w:r>
        <w:r w:rsidR="00A05AAA">
          <w:rPr>
            <w:webHidden/>
          </w:rPr>
          <w:fldChar w:fldCharType="separate"/>
        </w:r>
        <w:r w:rsidR="008F39B8">
          <w:rPr>
            <w:webHidden/>
          </w:rPr>
          <w:t>431</w:t>
        </w:r>
        <w:r w:rsidR="00A05AAA">
          <w:rPr>
            <w:webHidden/>
          </w:rPr>
          <w:fldChar w:fldCharType="end"/>
        </w:r>
      </w:hyperlink>
    </w:p>
    <w:p w14:paraId="527BFA27" w14:textId="3AD54E1A" w:rsidR="00A05AAA" w:rsidRDefault="007E17B8">
      <w:pPr>
        <w:pStyle w:val="TOC1"/>
        <w:rPr>
          <w:rFonts w:asciiTheme="minorHAnsi" w:eastAsiaTheme="minorEastAsia" w:hAnsiTheme="minorHAnsi" w:cstheme="minorBidi"/>
          <w:sz w:val="22"/>
        </w:rPr>
      </w:pPr>
      <w:hyperlink w:anchor="_Toc131591287" w:history="1">
        <w:r w:rsidR="00A05AAA" w:rsidRPr="00753F7B">
          <w:rPr>
            <w:rStyle w:val="Hyperlink"/>
          </w:rPr>
          <w:t>Chapter 12: Information on accounting of the Kyoto Protocol units</w:t>
        </w:r>
        <w:r w:rsidR="00A05AAA">
          <w:rPr>
            <w:webHidden/>
          </w:rPr>
          <w:tab/>
        </w:r>
        <w:r w:rsidR="00A05AAA">
          <w:rPr>
            <w:webHidden/>
          </w:rPr>
          <w:fldChar w:fldCharType="begin"/>
        </w:r>
        <w:r w:rsidR="00A05AAA">
          <w:rPr>
            <w:webHidden/>
          </w:rPr>
          <w:instrText xml:space="preserve"> PAGEREF _Toc131591287 \h </w:instrText>
        </w:r>
        <w:r w:rsidR="00A05AAA">
          <w:rPr>
            <w:webHidden/>
          </w:rPr>
        </w:r>
        <w:r w:rsidR="00A05AAA">
          <w:rPr>
            <w:webHidden/>
          </w:rPr>
          <w:fldChar w:fldCharType="separate"/>
        </w:r>
        <w:r w:rsidR="008F39B8">
          <w:rPr>
            <w:webHidden/>
          </w:rPr>
          <w:t>433</w:t>
        </w:r>
        <w:r w:rsidR="00A05AAA">
          <w:rPr>
            <w:webHidden/>
          </w:rPr>
          <w:fldChar w:fldCharType="end"/>
        </w:r>
      </w:hyperlink>
    </w:p>
    <w:p w14:paraId="79387BB0" w14:textId="4991CEF6" w:rsidR="00A05AAA" w:rsidRDefault="007E17B8">
      <w:pPr>
        <w:pStyle w:val="TOC2"/>
        <w:rPr>
          <w:rFonts w:asciiTheme="minorHAnsi" w:eastAsiaTheme="minorEastAsia" w:hAnsiTheme="minorHAnsi" w:cstheme="minorBidi"/>
          <w:sz w:val="22"/>
        </w:rPr>
      </w:pPr>
      <w:hyperlink w:anchor="_Toc131591288" w:history="1">
        <w:r w:rsidR="00A05AAA" w:rsidRPr="00753F7B">
          <w:rPr>
            <w:rStyle w:val="Hyperlink"/>
          </w:rPr>
          <w:t>12.1</w:t>
        </w:r>
        <w:r w:rsidR="00A05AAA">
          <w:rPr>
            <w:rFonts w:asciiTheme="minorHAnsi" w:eastAsiaTheme="minorEastAsia" w:hAnsiTheme="minorHAnsi" w:cstheme="minorBidi"/>
            <w:sz w:val="22"/>
          </w:rPr>
          <w:tab/>
        </w:r>
        <w:r w:rsidR="00A05AAA" w:rsidRPr="00753F7B">
          <w:rPr>
            <w:rStyle w:val="Hyperlink"/>
          </w:rPr>
          <w:t>Background information</w:t>
        </w:r>
        <w:r w:rsidR="00A05AAA">
          <w:rPr>
            <w:webHidden/>
          </w:rPr>
          <w:tab/>
        </w:r>
        <w:r w:rsidR="00A05AAA">
          <w:rPr>
            <w:webHidden/>
          </w:rPr>
          <w:fldChar w:fldCharType="begin"/>
        </w:r>
        <w:r w:rsidR="00A05AAA">
          <w:rPr>
            <w:webHidden/>
          </w:rPr>
          <w:instrText xml:space="preserve"> PAGEREF _Toc131591288 \h </w:instrText>
        </w:r>
        <w:r w:rsidR="00A05AAA">
          <w:rPr>
            <w:webHidden/>
          </w:rPr>
        </w:r>
        <w:r w:rsidR="00A05AAA">
          <w:rPr>
            <w:webHidden/>
          </w:rPr>
          <w:fldChar w:fldCharType="separate"/>
        </w:r>
        <w:r w:rsidR="008F39B8">
          <w:rPr>
            <w:webHidden/>
          </w:rPr>
          <w:t>433</w:t>
        </w:r>
        <w:r w:rsidR="00A05AAA">
          <w:rPr>
            <w:webHidden/>
          </w:rPr>
          <w:fldChar w:fldCharType="end"/>
        </w:r>
      </w:hyperlink>
    </w:p>
    <w:p w14:paraId="06EE00C2" w14:textId="76832B92" w:rsidR="00A05AAA" w:rsidRDefault="007E17B8">
      <w:pPr>
        <w:pStyle w:val="TOC2"/>
        <w:rPr>
          <w:rFonts w:asciiTheme="minorHAnsi" w:eastAsiaTheme="minorEastAsia" w:hAnsiTheme="minorHAnsi" w:cstheme="minorBidi"/>
          <w:sz w:val="22"/>
        </w:rPr>
      </w:pPr>
      <w:hyperlink w:anchor="_Toc131591289" w:history="1">
        <w:r w:rsidR="00A05AAA" w:rsidRPr="00753F7B">
          <w:rPr>
            <w:rStyle w:val="Hyperlink"/>
          </w:rPr>
          <w:t>12.2</w:t>
        </w:r>
        <w:r w:rsidR="00A05AAA">
          <w:rPr>
            <w:rFonts w:asciiTheme="minorHAnsi" w:eastAsiaTheme="minorEastAsia" w:hAnsiTheme="minorHAnsi" w:cstheme="minorBidi"/>
            <w:sz w:val="22"/>
          </w:rPr>
          <w:tab/>
        </w:r>
        <w:r w:rsidR="00A05AAA" w:rsidRPr="00753F7B">
          <w:rPr>
            <w:rStyle w:val="Hyperlink"/>
          </w:rPr>
          <w:t>Summary of the standard electronic format tables for reporting Kyoto Protocol units</w:t>
        </w:r>
        <w:r w:rsidR="00A05AAA">
          <w:rPr>
            <w:webHidden/>
          </w:rPr>
          <w:tab/>
        </w:r>
        <w:r w:rsidR="00A05AAA">
          <w:rPr>
            <w:webHidden/>
          </w:rPr>
          <w:fldChar w:fldCharType="begin"/>
        </w:r>
        <w:r w:rsidR="00A05AAA">
          <w:rPr>
            <w:webHidden/>
          </w:rPr>
          <w:instrText xml:space="preserve"> PAGEREF _Toc131591289 \h </w:instrText>
        </w:r>
        <w:r w:rsidR="00A05AAA">
          <w:rPr>
            <w:webHidden/>
          </w:rPr>
        </w:r>
        <w:r w:rsidR="00A05AAA">
          <w:rPr>
            <w:webHidden/>
          </w:rPr>
          <w:fldChar w:fldCharType="separate"/>
        </w:r>
        <w:r w:rsidR="008F39B8">
          <w:rPr>
            <w:webHidden/>
          </w:rPr>
          <w:t>433</w:t>
        </w:r>
        <w:r w:rsidR="00A05AAA">
          <w:rPr>
            <w:webHidden/>
          </w:rPr>
          <w:fldChar w:fldCharType="end"/>
        </w:r>
      </w:hyperlink>
    </w:p>
    <w:p w14:paraId="739FC2A7" w14:textId="1CD25D0C" w:rsidR="00A05AAA" w:rsidRDefault="007E17B8">
      <w:pPr>
        <w:pStyle w:val="TOC2"/>
        <w:rPr>
          <w:rFonts w:asciiTheme="minorHAnsi" w:eastAsiaTheme="minorEastAsia" w:hAnsiTheme="minorHAnsi" w:cstheme="minorBidi"/>
          <w:sz w:val="22"/>
        </w:rPr>
      </w:pPr>
      <w:hyperlink w:anchor="_Toc131591290" w:history="1">
        <w:r w:rsidR="00A05AAA" w:rsidRPr="00753F7B">
          <w:rPr>
            <w:rStyle w:val="Hyperlink"/>
          </w:rPr>
          <w:t>12.3</w:t>
        </w:r>
        <w:r w:rsidR="00A05AAA">
          <w:rPr>
            <w:rFonts w:asciiTheme="minorHAnsi" w:eastAsiaTheme="minorEastAsia" w:hAnsiTheme="minorHAnsi" w:cstheme="minorBidi"/>
            <w:sz w:val="22"/>
          </w:rPr>
          <w:tab/>
        </w:r>
        <w:r w:rsidR="00A05AAA" w:rsidRPr="00753F7B">
          <w:rPr>
            <w:rStyle w:val="Hyperlink"/>
          </w:rPr>
          <w:t>Discrepancies and notifications</w:t>
        </w:r>
        <w:r w:rsidR="00A05AAA">
          <w:rPr>
            <w:webHidden/>
          </w:rPr>
          <w:tab/>
        </w:r>
        <w:r w:rsidR="00A05AAA">
          <w:rPr>
            <w:webHidden/>
          </w:rPr>
          <w:fldChar w:fldCharType="begin"/>
        </w:r>
        <w:r w:rsidR="00A05AAA">
          <w:rPr>
            <w:webHidden/>
          </w:rPr>
          <w:instrText xml:space="preserve"> PAGEREF _Toc131591290 \h </w:instrText>
        </w:r>
        <w:r w:rsidR="00A05AAA">
          <w:rPr>
            <w:webHidden/>
          </w:rPr>
        </w:r>
        <w:r w:rsidR="00A05AAA">
          <w:rPr>
            <w:webHidden/>
          </w:rPr>
          <w:fldChar w:fldCharType="separate"/>
        </w:r>
        <w:r w:rsidR="008F39B8">
          <w:rPr>
            <w:webHidden/>
          </w:rPr>
          <w:t>434</w:t>
        </w:r>
        <w:r w:rsidR="00A05AAA">
          <w:rPr>
            <w:webHidden/>
          </w:rPr>
          <w:fldChar w:fldCharType="end"/>
        </w:r>
      </w:hyperlink>
    </w:p>
    <w:p w14:paraId="52FB7901" w14:textId="6DCDB57C" w:rsidR="00A05AAA" w:rsidRDefault="007E17B8">
      <w:pPr>
        <w:pStyle w:val="TOC2"/>
        <w:rPr>
          <w:rFonts w:asciiTheme="minorHAnsi" w:eastAsiaTheme="minorEastAsia" w:hAnsiTheme="minorHAnsi" w:cstheme="minorBidi"/>
          <w:sz w:val="22"/>
        </w:rPr>
      </w:pPr>
      <w:hyperlink w:anchor="_Toc131591291" w:history="1">
        <w:r w:rsidR="00A05AAA" w:rsidRPr="00753F7B">
          <w:rPr>
            <w:rStyle w:val="Hyperlink"/>
          </w:rPr>
          <w:t>12.4</w:t>
        </w:r>
        <w:r w:rsidR="00A05AAA">
          <w:rPr>
            <w:rFonts w:asciiTheme="minorHAnsi" w:eastAsiaTheme="minorEastAsia" w:hAnsiTheme="minorHAnsi" w:cstheme="minorBidi"/>
            <w:sz w:val="22"/>
          </w:rPr>
          <w:tab/>
        </w:r>
        <w:r w:rsidR="00A05AAA" w:rsidRPr="00753F7B">
          <w:rPr>
            <w:rStyle w:val="Hyperlink"/>
          </w:rPr>
          <w:t>Publicly accessible information</w:t>
        </w:r>
        <w:r w:rsidR="00A05AAA">
          <w:rPr>
            <w:webHidden/>
          </w:rPr>
          <w:tab/>
        </w:r>
        <w:r w:rsidR="00A05AAA">
          <w:rPr>
            <w:webHidden/>
          </w:rPr>
          <w:fldChar w:fldCharType="begin"/>
        </w:r>
        <w:r w:rsidR="00A05AAA">
          <w:rPr>
            <w:webHidden/>
          </w:rPr>
          <w:instrText xml:space="preserve"> PAGEREF _Toc131591291 \h </w:instrText>
        </w:r>
        <w:r w:rsidR="00A05AAA">
          <w:rPr>
            <w:webHidden/>
          </w:rPr>
        </w:r>
        <w:r w:rsidR="00A05AAA">
          <w:rPr>
            <w:webHidden/>
          </w:rPr>
          <w:fldChar w:fldCharType="separate"/>
        </w:r>
        <w:r w:rsidR="008F39B8">
          <w:rPr>
            <w:webHidden/>
          </w:rPr>
          <w:t>434</w:t>
        </w:r>
        <w:r w:rsidR="00A05AAA">
          <w:rPr>
            <w:webHidden/>
          </w:rPr>
          <w:fldChar w:fldCharType="end"/>
        </w:r>
      </w:hyperlink>
    </w:p>
    <w:p w14:paraId="145DEA6A" w14:textId="412E7C7C" w:rsidR="00A05AAA" w:rsidRDefault="007E17B8">
      <w:pPr>
        <w:pStyle w:val="TOC2"/>
        <w:rPr>
          <w:rFonts w:asciiTheme="minorHAnsi" w:eastAsiaTheme="minorEastAsia" w:hAnsiTheme="minorHAnsi" w:cstheme="minorBidi"/>
          <w:sz w:val="22"/>
        </w:rPr>
      </w:pPr>
      <w:hyperlink w:anchor="_Toc131591292" w:history="1">
        <w:r w:rsidR="00A05AAA" w:rsidRPr="00753F7B">
          <w:rPr>
            <w:rStyle w:val="Hyperlink"/>
          </w:rPr>
          <w:t>12.5</w:t>
        </w:r>
        <w:r w:rsidR="00A05AAA">
          <w:rPr>
            <w:rFonts w:asciiTheme="minorHAnsi" w:eastAsiaTheme="minorEastAsia" w:hAnsiTheme="minorHAnsi" w:cstheme="minorBidi"/>
            <w:sz w:val="22"/>
          </w:rPr>
          <w:tab/>
        </w:r>
        <w:r w:rsidR="00A05AAA" w:rsidRPr="00753F7B">
          <w:rPr>
            <w:rStyle w:val="Hyperlink"/>
          </w:rPr>
          <w:t>Calculation of the commitment period reserve</w:t>
        </w:r>
        <w:r w:rsidR="00A05AAA">
          <w:rPr>
            <w:webHidden/>
          </w:rPr>
          <w:tab/>
        </w:r>
        <w:r w:rsidR="00A05AAA">
          <w:rPr>
            <w:webHidden/>
          </w:rPr>
          <w:fldChar w:fldCharType="begin"/>
        </w:r>
        <w:r w:rsidR="00A05AAA">
          <w:rPr>
            <w:webHidden/>
          </w:rPr>
          <w:instrText xml:space="preserve"> PAGEREF _Toc131591292 \h </w:instrText>
        </w:r>
        <w:r w:rsidR="00A05AAA">
          <w:rPr>
            <w:webHidden/>
          </w:rPr>
        </w:r>
        <w:r w:rsidR="00A05AAA">
          <w:rPr>
            <w:webHidden/>
          </w:rPr>
          <w:fldChar w:fldCharType="separate"/>
        </w:r>
        <w:r w:rsidR="008F39B8">
          <w:rPr>
            <w:webHidden/>
          </w:rPr>
          <w:t>438</w:t>
        </w:r>
        <w:r w:rsidR="00A05AAA">
          <w:rPr>
            <w:webHidden/>
          </w:rPr>
          <w:fldChar w:fldCharType="end"/>
        </w:r>
      </w:hyperlink>
    </w:p>
    <w:p w14:paraId="71F6B02F" w14:textId="21585AE4" w:rsidR="00A05AAA" w:rsidRDefault="007E17B8">
      <w:pPr>
        <w:pStyle w:val="TOC2"/>
        <w:rPr>
          <w:rFonts w:asciiTheme="minorHAnsi" w:eastAsiaTheme="minorEastAsia" w:hAnsiTheme="minorHAnsi" w:cstheme="minorBidi"/>
          <w:sz w:val="22"/>
        </w:rPr>
      </w:pPr>
      <w:hyperlink w:anchor="_Toc131591293" w:history="1">
        <w:r w:rsidR="00A05AAA" w:rsidRPr="00753F7B">
          <w:rPr>
            <w:rStyle w:val="Hyperlink"/>
          </w:rPr>
          <w:t>Chapter 12: Reference</w:t>
        </w:r>
        <w:r w:rsidR="00A05AAA">
          <w:rPr>
            <w:webHidden/>
          </w:rPr>
          <w:tab/>
        </w:r>
        <w:r w:rsidR="00A05AAA">
          <w:rPr>
            <w:webHidden/>
          </w:rPr>
          <w:fldChar w:fldCharType="begin"/>
        </w:r>
        <w:r w:rsidR="00A05AAA">
          <w:rPr>
            <w:webHidden/>
          </w:rPr>
          <w:instrText xml:space="preserve"> PAGEREF _Toc131591293 \h </w:instrText>
        </w:r>
        <w:r w:rsidR="00A05AAA">
          <w:rPr>
            <w:webHidden/>
          </w:rPr>
        </w:r>
        <w:r w:rsidR="00A05AAA">
          <w:rPr>
            <w:webHidden/>
          </w:rPr>
          <w:fldChar w:fldCharType="separate"/>
        </w:r>
        <w:r w:rsidR="008F39B8">
          <w:rPr>
            <w:webHidden/>
          </w:rPr>
          <w:t>440</w:t>
        </w:r>
        <w:r w:rsidR="00A05AAA">
          <w:rPr>
            <w:webHidden/>
          </w:rPr>
          <w:fldChar w:fldCharType="end"/>
        </w:r>
      </w:hyperlink>
    </w:p>
    <w:p w14:paraId="1FD1E673" w14:textId="02228CA3" w:rsidR="00A05AAA" w:rsidRDefault="007E17B8">
      <w:pPr>
        <w:pStyle w:val="TOC1"/>
        <w:rPr>
          <w:rFonts w:asciiTheme="minorHAnsi" w:eastAsiaTheme="minorEastAsia" w:hAnsiTheme="minorHAnsi" w:cstheme="minorBidi"/>
          <w:sz w:val="22"/>
        </w:rPr>
      </w:pPr>
      <w:hyperlink w:anchor="_Toc131591294" w:history="1">
        <w:r w:rsidR="00A05AAA" w:rsidRPr="00753F7B">
          <w:rPr>
            <w:rStyle w:val="Hyperlink"/>
          </w:rPr>
          <w:t>Chapter 13: Information on changes to the national inventory system</w:t>
        </w:r>
        <w:r w:rsidR="00A05AAA">
          <w:rPr>
            <w:webHidden/>
          </w:rPr>
          <w:tab/>
        </w:r>
        <w:r w:rsidR="00A05AAA">
          <w:rPr>
            <w:webHidden/>
          </w:rPr>
          <w:fldChar w:fldCharType="begin"/>
        </w:r>
        <w:r w:rsidR="00A05AAA">
          <w:rPr>
            <w:webHidden/>
          </w:rPr>
          <w:instrText xml:space="preserve"> PAGEREF _Toc131591294 \h </w:instrText>
        </w:r>
        <w:r w:rsidR="00A05AAA">
          <w:rPr>
            <w:webHidden/>
          </w:rPr>
        </w:r>
        <w:r w:rsidR="00A05AAA">
          <w:rPr>
            <w:webHidden/>
          </w:rPr>
          <w:fldChar w:fldCharType="separate"/>
        </w:r>
        <w:r w:rsidR="008F39B8">
          <w:rPr>
            <w:webHidden/>
          </w:rPr>
          <w:t>441</w:t>
        </w:r>
        <w:r w:rsidR="00A05AAA">
          <w:rPr>
            <w:webHidden/>
          </w:rPr>
          <w:fldChar w:fldCharType="end"/>
        </w:r>
      </w:hyperlink>
    </w:p>
    <w:p w14:paraId="5282887E" w14:textId="1C8C87BA" w:rsidR="00A05AAA" w:rsidRDefault="007E17B8">
      <w:pPr>
        <w:pStyle w:val="TOC1"/>
        <w:rPr>
          <w:rFonts w:asciiTheme="minorHAnsi" w:eastAsiaTheme="minorEastAsia" w:hAnsiTheme="minorHAnsi" w:cstheme="minorBidi"/>
          <w:sz w:val="22"/>
        </w:rPr>
      </w:pPr>
      <w:hyperlink w:anchor="_Toc131591295" w:history="1">
        <w:r w:rsidR="00A05AAA" w:rsidRPr="00753F7B">
          <w:rPr>
            <w:rStyle w:val="Hyperlink"/>
          </w:rPr>
          <w:t>Chapter 14: Information on changes to the national registry</w:t>
        </w:r>
        <w:r w:rsidR="00A05AAA">
          <w:rPr>
            <w:webHidden/>
          </w:rPr>
          <w:tab/>
        </w:r>
        <w:r w:rsidR="00A05AAA">
          <w:rPr>
            <w:webHidden/>
          </w:rPr>
          <w:fldChar w:fldCharType="begin"/>
        </w:r>
        <w:r w:rsidR="00A05AAA">
          <w:rPr>
            <w:webHidden/>
          </w:rPr>
          <w:instrText xml:space="preserve"> PAGEREF _Toc131591295 \h </w:instrText>
        </w:r>
        <w:r w:rsidR="00A05AAA">
          <w:rPr>
            <w:webHidden/>
          </w:rPr>
        </w:r>
        <w:r w:rsidR="00A05AAA">
          <w:rPr>
            <w:webHidden/>
          </w:rPr>
          <w:fldChar w:fldCharType="separate"/>
        </w:r>
        <w:r w:rsidR="008F39B8">
          <w:rPr>
            <w:webHidden/>
          </w:rPr>
          <w:t>442</w:t>
        </w:r>
        <w:r w:rsidR="00A05AAA">
          <w:rPr>
            <w:webHidden/>
          </w:rPr>
          <w:fldChar w:fldCharType="end"/>
        </w:r>
      </w:hyperlink>
    </w:p>
    <w:p w14:paraId="74BB24E2" w14:textId="65A9A777" w:rsidR="00A05AAA" w:rsidRDefault="007E17B8">
      <w:pPr>
        <w:pStyle w:val="TOC1"/>
        <w:rPr>
          <w:rFonts w:asciiTheme="minorHAnsi" w:eastAsiaTheme="minorEastAsia" w:hAnsiTheme="minorHAnsi" w:cstheme="minorBidi"/>
          <w:sz w:val="22"/>
        </w:rPr>
      </w:pPr>
      <w:hyperlink w:anchor="_Toc131591296" w:history="1">
        <w:r w:rsidR="00A05AAA" w:rsidRPr="00753F7B">
          <w:rPr>
            <w:rStyle w:val="Hyperlink"/>
          </w:rPr>
          <w:t>Chapter 15: Information on minimisation of adverse impacts</w:t>
        </w:r>
        <w:r w:rsidR="00A05AAA">
          <w:rPr>
            <w:webHidden/>
          </w:rPr>
          <w:tab/>
        </w:r>
        <w:r w:rsidR="00A05AAA">
          <w:rPr>
            <w:webHidden/>
          </w:rPr>
          <w:fldChar w:fldCharType="begin"/>
        </w:r>
        <w:r w:rsidR="00A05AAA">
          <w:rPr>
            <w:webHidden/>
          </w:rPr>
          <w:instrText xml:space="preserve"> PAGEREF _Toc131591296 \h </w:instrText>
        </w:r>
        <w:r w:rsidR="00A05AAA">
          <w:rPr>
            <w:webHidden/>
          </w:rPr>
        </w:r>
        <w:r w:rsidR="00A05AAA">
          <w:rPr>
            <w:webHidden/>
          </w:rPr>
          <w:fldChar w:fldCharType="separate"/>
        </w:r>
        <w:r w:rsidR="008F39B8">
          <w:rPr>
            <w:webHidden/>
          </w:rPr>
          <w:t>444</w:t>
        </w:r>
        <w:r w:rsidR="00A05AAA">
          <w:rPr>
            <w:webHidden/>
          </w:rPr>
          <w:fldChar w:fldCharType="end"/>
        </w:r>
      </w:hyperlink>
    </w:p>
    <w:p w14:paraId="4A82ED82" w14:textId="333781F7" w:rsidR="00A05AAA" w:rsidRDefault="007E17B8">
      <w:pPr>
        <w:pStyle w:val="TOC2"/>
        <w:rPr>
          <w:rFonts w:asciiTheme="minorHAnsi" w:eastAsiaTheme="minorEastAsia" w:hAnsiTheme="minorHAnsi" w:cstheme="minorBidi"/>
          <w:sz w:val="22"/>
        </w:rPr>
      </w:pPr>
      <w:hyperlink w:anchor="_Toc131591297" w:history="1">
        <w:r w:rsidR="00A05AAA" w:rsidRPr="00753F7B">
          <w:rPr>
            <w:rStyle w:val="Hyperlink"/>
          </w:rPr>
          <w:t xml:space="preserve">15.1 </w:t>
        </w:r>
        <w:r w:rsidR="00A05AAA">
          <w:rPr>
            <w:rFonts w:asciiTheme="minorHAnsi" w:eastAsiaTheme="minorEastAsia" w:hAnsiTheme="minorHAnsi" w:cstheme="minorBidi"/>
            <w:sz w:val="22"/>
          </w:rPr>
          <w:tab/>
        </w:r>
        <w:r w:rsidR="00A05AAA" w:rsidRPr="00753F7B">
          <w:rPr>
            <w:rStyle w:val="Hyperlink"/>
          </w:rPr>
          <w:t>Overview</w:t>
        </w:r>
        <w:r w:rsidR="00A05AAA">
          <w:rPr>
            <w:webHidden/>
          </w:rPr>
          <w:tab/>
        </w:r>
        <w:r w:rsidR="00A05AAA">
          <w:rPr>
            <w:webHidden/>
          </w:rPr>
          <w:fldChar w:fldCharType="begin"/>
        </w:r>
        <w:r w:rsidR="00A05AAA">
          <w:rPr>
            <w:webHidden/>
          </w:rPr>
          <w:instrText xml:space="preserve"> PAGEREF _Toc131591297 \h </w:instrText>
        </w:r>
        <w:r w:rsidR="00A05AAA">
          <w:rPr>
            <w:webHidden/>
          </w:rPr>
        </w:r>
        <w:r w:rsidR="00A05AAA">
          <w:rPr>
            <w:webHidden/>
          </w:rPr>
          <w:fldChar w:fldCharType="separate"/>
        </w:r>
        <w:r w:rsidR="008F39B8">
          <w:rPr>
            <w:webHidden/>
          </w:rPr>
          <w:t>444</w:t>
        </w:r>
        <w:r w:rsidR="00A05AAA">
          <w:rPr>
            <w:webHidden/>
          </w:rPr>
          <w:fldChar w:fldCharType="end"/>
        </w:r>
      </w:hyperlink>
    </w:p>
    <w:p w14:paraId="1BDE745D" w14:textId="50839FDE" w:rsidR="00A05AAA" w:rsidRDefault="007E17B8">
      <w:pPr>
        <w:pStyle w:val="TOC2"/>
        <w:rPr>
          <w:rFonts w:asciiTheme="minorHAnsi" w:eastAsiaTheme="minorEastAsia" w:hAnsiTheme="minorHAnsi" w:cstheme="minorBidi"/>
          <w:sz w:val="22"/>
        </w:rPr>
      </w:pPr>
      <w:hyperlink w:anchor="_Toc131591298" w:history="1">
        <w:r w:rsidR="00A05AAA" w:rsidRPr="00753F7B">
          <w:rPr>
            <w:rStyle w:val="Hyperlink"/>
          </w:rPr>
          <w:t xml:space="preserve">15.2 </w:t>
        </w:r>
        <w:r w:rsidR="00A05AAA">
          <w:rPr>
            <w:rFonts w:asciiTheme="minorHAnsi" w:eastAsiaTheme="minorEastAsia" w:hAnsiTheme="minorHAnsi" w:cstheme="minorBidi"/>
            <w:sz w:val="22"/>
          </w:rPr>
          <w:tab/>
        </w:r>
        <w:r w:rsidR="00A05AAA" w:rsidRPr="00753F7B">
          <w:rPr>
            <w:rStyle w:val="Hyperlink"/>
          </w:rPr>
          <w:t>Market imperfections, fiscal incentives, tax and duty exemptions and subsidies</w:t>
        </w:r>
        <w:r w:rsidR="00A05AAA">
          <w:rPr>
            <w:webHidden/>
          </w:rPr>
          <w:tab/>
        </w:r>
        <w:r w:rsidR="00A05AAA">
          <w:rPr>
            <w:webHidden/>
          </w:rPr>
          <w:fldChar w:fldCharType="begin"/>
        </w:r>
        <w:r w:rsidR="00A05AAA">
          <w:rPr>
            <w:webHidden/>
          </w:rPr>
          <w:instrText xml:space="preserve"> PAGEREF _Toc131591298 \h </w:instrText>
        </w:r>
        <w:r w:rsidR="00A05AAA">
          <w:rPr>
            <w:webHidden/>
          </w:rPr>
        </w:r>
        <w:r w:rsidR="00A05AAA">
          <w:rPr>
            <w:webHidden/>
          </w:rPr>
          <w:fldChar w:fldCharType="separate"/>
        </w:r>
        <w:r w:rsidR="008F39B8">
          <w:rPr>
            <w:webHidden/>
          </w:rPr>
          <w:t>446</w:t>
        </w:r>
        <w:r w:rsidR="00A05AAA">
          <w:rPr>
            <w:webHidden/>
          </w:rPr>
          <w:fldChar w:fldCharType="end"/>
        </w:r>
      </w:hyperlink>
    </w:p>
    <w:p w14:paraId="4022C8FC" w14:textId="5B3425DF" w:rsidR="00A05AAA" w:rsidRDefault="007E17B8">
      <w:pPr>
        <w:pStyle w:val="TOC2"/>
        <w:rPr>
          <w:rFonts w:asciiTheme="minorHAnsi" w:eastAsiaTheme="minorEastAsia" w:hAnsiTheme="minorHAnsi" w:cstheme="minorBidi"/>
          <w:sz w:val="22"/>
        </w:rPr>
      </w:pPr>
      <w:hyperlink w:anchor="_Toc131591299" w:history="1">
        <w:r w:rsidR="00A05AAA" w:rsidRPr="00753F7B">
          <w:rPr>
            <w:rStyle w:val="Hyperlink"/>
          </w:rPr>
          <w:t xml:space="preserve">15.3 </w:t>
        </w:r>
        <w:r w:rsidR="00A05AAA">
          <w:rPr>
            <w:rFonts w:asciiTheme="minorHAnsi" w:eastAsiaTheme="minorEastAsia" w:hAnsiTheme="minorHAnsi" w:cstheme="minorBidi"/>
            <w:sz w:val="22"/>
          </w:rPr>
          <w:tab/>
        </w:r>
        <w:r w:rsidR="00A05AAA" w:rsidRPr="00753F7B">
          <w:rPr>
            <w:rStyle w:val="Hyperlink"/>
          </w:rPr>
          <w:t>Removal of inefficient fossil fuel subsidies</w:t>
        </w:r>
        <w:r w:rsidR="00A05AAA">
          <w:rPr>
            <w:webHidden/>
          </w:rPr>
          <w:tab/>
        </w:r>
        <w:r w:rsidR="00A05AAA">
          <w:rPr>
            <w:webHidden/>
          </w:rPr>
          <w:fldChar w:fldCharType="begin"/>
        </w:r>
        <w:r w:rsidR="00A05AAA">
          <w:rPr>
            <w:webHidden/>
          </w:rPr>
          <w:instrText xml:space="preserve"> PAGEREF _Toc131591299 \h </w:instrText>
        </w:r>
        <w:r w:rsidR="00A05AAA">
          <w:rPr>
            <w:webHidden/>
          </w:rPr>
        </w:r>
        <w:r w:rsidR="00A05AAA">
          <w:rPr>
            <w:webHidden/>
          </w:rPr>
          <w:fldChar w:fldCharType="separate"/>
        </w:r>
        <w:r w:rsidR="008F39B8">
          <w:rPr>
            <w:webHidden/>
          </w:rPr>
          <w:t>446</w:t>
        </w:r>
        <w:r w:rsidR="00A05AAA">
          <w:rPr>
            <w:webHidden/>
          </w:rPr>
          <w:fldChar w:fldCharType="end"/>
        </w:r>
      </w:hyperlink>
    </w:p>
    <w:p w14:paraId="1185440A" w14:textId="0ED203D2" w:rsidR="00A05AAA" w:rsidRDefault="007E17B8">
      <w:pPr>
        <w:pStyle w:val="TOC2"/>
        <w:rPr>
          <w:rFonts w:asciiTheme="minorHAnsi" w:eastAsiaTheme="minorEastAsia" w:hAnsiTheme="minorHAnsi" w:cstheme="minorBidi"/>
          <w:sz w:val="22"/>
        </w:rPr>
      </w:pPr>
      <w:hyperlink w:anchor="_Toc131591300" w:history="1">
        <w:r w:rsidR="00A05AAA" w:rsidRPr="00753F7B">
          <w:rPr>
            <w:rStyle w:val="Hyperlink"/>
          </w:rPr>
          <w:t xml:space="preserve">15.4 </w:t>
        </w:r>
        <w:r w:rsidR="00A05AAA">
          <w:rPr>
            <w:rFonts w:asciiTheme="minorHAnsi" w:eastAsiaTheme="minorEastAsia" w:hAnsiTheme="minorHAnsi" w:cstheme="minorBidi"/>
            <w:sz w:val="22"/>
          </w:rPr>
          <w:tab/>
        </w:r>
        <w:r w:rsidR="00A05AAA" w:rsidRPr="00753F7B">
          <w:rPr>
            <w:rStyle w:val="Hyperlink"/>
          </w:rPr>
          <w:t>Technological development of non-energy uses of fossil fuels</w:t>
        </w:r>
        <w:r w:rsidR="00A05AAA">
          <w:rPr>
            <w:webHidden/>
          </w:rPr>
          <w:tab/>
        </w:r>
        <w:r w:rsidR="00A05AAA">
          <w:rPr>
            <w:webHidden/>
          </w:rPr>
          <w:fldChar w:fldCharType="begin"/>
        </w:r>
        <w:r w:rsidR="00A05AAA">
          <w:rPr>
            <w:webHidden/>
          </w:rPr>
          <w:instrText xml:space="preserve"> PAGEREF _Toc131591300 \h </w:instrText>
        </w:r>
        <w:r w:rsidR="00A05AAA">
          <w:rPr>
            <w:webHidden/>
          </w:rPr>
        </w:r>
        <w:r w:rsidR="00A05AAA">
          <w:rPr>
            <w:webHidden/>
          </w:rPr>
          <w:fldChar w:fldCharType="separate"/>
        </w:r>
        <w:r w:rsidR="008F39B8">
          <w:rPr>
            <w:webHidden/>
          </w:rPr>
          <w:t>448</w:t>
        </w:r>
        <w:r w:rsidR="00A05AAA">
          <w:rPr>
            <w:webHidden/>
          </w:rPr>
          <w:fldChar w:fldCharType="end"/>
        </w:r>
      </w:hyperlink>
    </w:p>
    <w:p w14:paraId="408FFAF7" w14:textId="744BAF87" w:rsidR="00A05AAA" w:rsidRDefault="007E17B8">
      <w:pPr>
        <w:pStyle w:val="TOC2"/>
        <w:rPr>
          <w:rFonts w:asciiTheme="minorHAnsi" w:eastAsiaTheme="minorEastAsia" w:hAnsiTheme="minorHAnsi" w:cstheme="minorBidi"/>
          <w:sz w:val="22"/>
        </w:rPr>
      </w:pPr>
      <w:hyperlink w:anchor="_Toc131591301" w:history="1">
        <w:r w:rsidR="00A05AAA" w:rsidRPr="00753F7B">
          <w:rPr>
            <w:rStyle w:val="Hyperlink"/>
          </w:rPr>
          <w:t xml:space="preserve">15.5 </w:t>
        </w:r>
        <w:r w:rsidR="00A05AAA">
          <w:rPr>
            <w:rFonts w:asciiTheme="minorHAnsi" w:eastAsiaTheme="minorEastAsia" w:hAnsiTheme="minorHAnsi" w:cstheme="minorBidi"/>
            <w:sz w:val="22"/>
          </w:rPr>
          <w:tab/>
        </w:r>
        <w:r w:rsidR="00A05AAA" w:rsidRPr="00753F7B">
          <w:rPr>
            <w:rStyle w:val="Hyperlink"/>
          </w:rPr>
          <w:t>Carbon capture and storage technology development</w:t>
        </w:r>
        <w:r w:rsidR="00A05AAA">
          <w:rPr>
            <w:webHidden/>
          </w:rPr>
          <w:tab/>
        </w:r>
        <w:r w:rsidR="00A05AAA">
          <w:rPr>
            <w:webHidden/>
          </w:rPr>
          <w:fldChar w:fldCharType="begin"/>
        </w:r>
        <w:r w:rsidR="00A05AAA">
          <w:rPr>
            <w:webHidden/>
          </w:rPr>
          <w:instrText xml:space="preserve"> PAGEREF _Toc131591301 \h </w:instrText>
        </w:r>
        <w:r w:rsidR="00A05AAA">
          <w:rPr>
            <w:webHidden/>
          </w:rPr>
        </w:r>
        <w:r w:rsidR="00A05AAA">
          <w:rPr>
            <w:webHidden/>
          </w:rPr>
          <w:fldChar w:fldCharType="separate"/>
        </w:r>
        <w:r w:rsidR="008F39B8">
          <w:rPr>
            <w:webHidden/>
          </w:rPr>
          <w:t>448</w:t>
        </w:r>
        <w:r w:rsidR="00A05AAA">
          <w:rPr>
            <w:webHidden/>
          </w:rPr>
          <w:fldChar w:fldCharType="end"/>
        </w:r>
      </w:hyperlink>
    </w:p>
    <w:p w14:paraId="6E9BAC92" w14:textId="24B56235" w:rsidR="00A05AAA" w:rsidRDefault="007E17B8">
      <w:pPr>
        <w:pStyle w:val="TOC2"/>
        <w:rPr>
          <w:rFonts w:asciiTheme="minorHAnsi" w:eastAsiaTheme="minorEastAsia" w:hAnsiTheme="minorHAnsi" w:cstheme="minorBidi"/>
          <w:sz w:val="22"/>
        </w:rPr>
      </w:pPr>
      <w:hyperlink w:anchor="_Toc131591302" w:history="1">
        <w:r w:rsidR="00A05AAA" w:rsidRPr="00753F7B">
          <w:rPr>
            <w:rStyle w:val="Hyperlink"/>
          </w:rPr>
          <w:t xml:space="preserve">15.6 </w:t>
        </w:r>
        <w:r w:rsidR="00A05AAA">
          <w:rPr>
            <w:rFonts w:asciiTheme="minorHAnsi" w:eastAsiaTheme="minorEastAsia" w:hAnsiTheme="minorHAnsi" w:cstheme="minorBidi"/>
            <w:sz w:val="22"/>
          </w:rPr>
          <w:tab/>
        </w:r>
        <w:r w:rsidR="00A05AAA" w:rsidRPr="00753F7B">
          <w:rPr>
            <w:rStyle w:val="Hyperlink"/>
          </w:rPr>
          <w:t>Improvements in fossil fuel efficiencies</w:t>
        </w:r>
        <w:r w:rsidR="00A05AAA">
          <w:rPr>
            <w:webHidden/>
          </w:rPr>
          <w:tab/>
        </w:r>
        <w:r w:rsidR="00A05AAA">
          <w:rPr>
            <w:webHidden/>
          </w:rPr>
          <w:fldChar w:fldCharType="begin"/>
        </w:r>
        <w:r w:rsidR="00A05AAA">
          <w:rPr>
            <w:webHidden/>
          </w:rPr>
          <w:instrText xml:space="preserve"> PAGEREF _Toc131591302 \h </w:instrText>
        </w:r>
        <w:r w:rsidR="00A05AAA">
          <w:rPr>
            <w:webHidden/>
          </w:rPr>
        </w:r>
        <w:r w:rsidR="00A05AAA">
          <w:rPr>
            <w:webHidden/>
          </w:rPr>
          <w:fldChar w:fldCharType="separate"/>
        </w:r>
        <w:r w:rsidR="008F39B8">
          <w:rPr>
            <w:webHidden/>
          </w:rPr>
          <w:t>448</w:t>
        </w:r>
        <w:r w:rsidR="00A05AAA">
          <w:rPr>
            <w:webHidden/>
          </w:rPr>
          <w:fldChar w:fldCharType="end"/>
        </w:r>
      </w:hyperlink>
    </w:p>
    <w:p w14:paraId="65384AE2" w14:textId="5C73B5B7" w:rsidR="00A05AAA" w:rsidRDefault="007E17B8">
      <w:pPr>
        <w:pStyle w:val="TOC2"/>
        <w:rPr>
          <w:rFonts w:asciiTheme="minorHAnsi" w:eastAsiaTheme="minorEastAsia" w:hAnsiTheme="minorHAnsi" w:cstheme="minorBidi"/>
          <w:sz w:val="22"/>
        </w:rPr>
      </w:pPr>
      <w:hyperlink w:anchor="_Toc131591303" w:history="1">
        <w:r w:rsidR="00A05AAA" w:rsidRPr="00753F7B">
          <w:rPr>
            <w:rStyle w:val="Hyperlink"/>
          </w:rPr>
          <w:t xml:space="preserve">15.7 </w:t>
        </w:r>
        <w:r w:rsidR="00A05AAA">
          <w:rPr>
            <w:rFonts w:asciiTheme="minorHAnsi" w:eastAsiaTheme="minorEastAsia" w:hAnsiTheme="minorHAnsi" w:cstheme="minorBidi"/>
            <w:sz w:val="22"/>
          </w:rPr>
          <w:tab/>
        </w:r>
        <w:r w:rsidR="00A05AAA" w:rsidRPr="00753F7B">
          <w:rPr>
            <w:rStyle w:val="Hyperlink"/>
          </w:rPr>
          <w:t>Assistance to non-Annex I Parties dependent on the export and consumption of fossil fuels for diversifying their economies</w:t>
        </w:r>
        <w:r w:rsidR="00A05AAA">
          <w:rPr>
            <w:webHidden/>
          </w:rPr>
          <w:tab/>
        </w:r>
        <w:r w:rsidR="00A05AAA">
          <w:rPr>
            <w:webHidden/>
          </w:rPr>
          <w:fldChar w:fldCharType="begin"/>
        </w:r>
        <w:r w:rsidR="00A05AAA">
          <w:rPr>
            <w:webHidden/>
          </w:rPr>
          <w:instrText xml:space="preserve"> PAGEREF _Toc131591303 \h </w:instrText>
        </w:r>
        <w:r w:rsidR="00A05AAA">
          <w:rPr>
            <w:webHidden/>
          </w:rPr>
        </w:r>
        <w:r w:rsidR="00A05AAA">
          <w:rPr>
            <w:webHidden/>
          </w:rPr>
          <w:fldChar w:fldCharType="separate"/>
        </w:r>
        <w:r w:rsidR="008F39B8">
          <w:rPr>
            <w:webHidden/>
          </w:rPr>
          <w:t>449</w:t>
        </w:r>
        <w:r w:rsidR="00A05AAA">
          <w:rPr>
            <w:webHidden/>
          </w:rPr>
          <w:fldChar w:fldCharType="end"/>
        </w:r>
      </w:hyperlink>
    </w:p>
    <w:p w14:paraId="3B9DA508" w14:textId="0419A9A0" w:rsidR="00A05AAA" w:rsidRDefault="007E17B8">
      <w:pPr>
        <w:pStyle w:val="TOC2"/>
        <w:rPr>
          <w:rFonts w:asciiTheme="minorHAnsi" w:eastAsiaTheme="minorEastAsia" w:hAnsiTheme="minorHAnsi" w:cstheme="minorBidi"/>
          <w:sz w:val="22"/>
        </w:rPr>
      </w:pPr>
      <w:hyperlink w:anchor="_Toc131591304" w:history="1">
        <w:r w:rsidR="00A05AAA" w:rsidRPr="00753F7B">
          <w:rPr>
            <w:rStyle w:val="Hyperlink"/>
          </w:rPr>
          <w:t>15.8</w:t>
        </w:r>
        <w:r w:rsidR="00A05AAA">
          <w:rPr>
            <w:rFonts w:asciiTheme="minorHAnsi" w:eastAsiaTheme="minorEastAsia" w:hAnsiTheme="minorHAnsi" w:cstheme="minorBidi"/>
            <w:sz w:val="22"/>
          </w:rPr>
          <w:tab/>
        </w:r>
        <w:r w:rsidR="00A05AAA" w:rsidRPr="00753F7B">
          <w:rPr>
            <w:rStyle w:val="Hyperlink"/>
          </w:rPr>
          <w:t>New Zealand’s IDC climate commitment</w:t>
        </w:r>
        <w:r w:rsidR="00A05AAA">
          <w:rPr>
            <w:webHidden/>
          </w:rPr>
          <w:tab/>
        </w:r>
        <w:r w:rsidR="00A05AAA">
          <w:rPr>
            <w:webHidden/>
          </w:rPr>
          <w:fldChar w:fldCharType="begin"/>
        </w:r>
        <w:r w:rsidR="00A05AAA">
          <w:rPr>
            <w:webHidden/>
          </w:rPr>
          <w:instrText xml:space="preserve"> PAGEREF _Toc131591304 \h </w:instrText>
        </w:r>
        <w:r w:rsidR="00A05AAA">
          <w:rPr>
            <w:webHidden/>
          </w:rPr>
        </w:r>
        <w:r w:rsidR="00A05AAA">
          <w:rPr>
            <w:webHidden/>
          </w:rPr>
          <w:fldChar w:fldCharType="separate"/>
        </w:r>
        <w:r w:rsidR="008F39B8">
          <w:rPr>
            <w:webHidden/>
          </w:rPr>
          <w:t>449</w:t>
        </w:r>
        <w:r w:rsidR="00A05AAA">
          <w:rPr>
            <w:webHidden/>
          </w:rPr>
          <w:fldChar w:fldCharType="end"/>
        </w:r>
      </w:hyperlink>
    </w:p>
    <w:p w14:paraId="29D0F116" w14:textId="2A404D6C" w:rsidR="00A05AAA" w:rsidRDefault="007E17B8">
      <w:pPr>
        <w:pStyle w:val="TOC2"/>
        <w:rPr>
          <w:rFonts w:asciiTheme="minorHAnsi" w:eastAsiaTheme="minorEastAsia" w:hAnsiTheme="minorHAnsi" w:cstheme="minorBidi"/>
          <w:sz w:val="22"/>
        </w:rPr>
      </w:pPr>
      <w:hyperlink w:anchor="_Toc131591305" w:history="1">
        <w:r w:rsidR="00A05AAA" w:rsidRPr="00753F7B">
          <w:rPr>
            <w:rStyle w:val="Hyperlink"/>
          </w:rPr>
          <w:t>Chapter 15: References</w:t>
        </w:r>
        <w:r w:rsidR="00A05AAA">
          <w:rPr>
            <w:webHidden/>
          </w:rPr>
          <w:tab/>
        </w:r>
        <w:r w:rsidR="00A05AAA">
          <w:rPr>
            <w:webHidden/>
          </w:rPr>
          <w:fldChar w:fldCharType="begin"/>
        </w:r>
        <w:r w:rsidR="00A05AAA">
          <w:rPr>
            <w:webHidden/>
          </w:rPr>
          <w:instrText xml:space="preserve"> PAGEREF _Toc131591305 \h </w:instrText>
        </w:r>
        <w:r w:rsidR="00A05AAA">
          <w:rPr>
            <w:webHidden/>
          </w:rPr>
        </w:r>
        <w:r w:rsidR="00A05AAA">
          <w:rPr>
            <w:webHidden/>
          </w:rPr>
          <w:fldChar w:fldCharType="separate"/>
        </w:r>
        <w:r w:rsidR="008F39B8">
          <w:rPr>
            <w:webHidden/>
          </w:rPr>
          <w:t>451</w:t>
        </w:r>
        <w:r w:rsidR="00A05AAA">
          <w:rPr>
            <w:webHidden/>
          </w:rPr>
          <w:fldChar w:fldCharType="end"/>
        </w:r>
      </w:hyperlink>
    </w:p>
    <w:p w14:paraId="2D87371E" w14:textId="4FBD8FEA" w:rsidR="00C34A3E" w:rsidRPr="00261B7A" w:rsidRDefault="00CB30A9" w:rsidP="00823628">
      <w:r w:rsidRPr="00261B7A">
        <w:rPr>
          <w:sz w:val="28"/>
        </w:rPr>
        <w:fldChar w:fldCharType="end"/>
      </w:r>
    </w:p>
    <w:p w14:paraId="375A3C10" w14:textId="77777777" w:rsidR="00C34A3E" w:rsidRPr="00261B7A" w:rsidRDefault="00C34A3E" w:rsidP="00C34A3E">
      <w:pPr>
        <w:pStyle w:val="BodyText"/>
        <w:sectPr w:rsidR="00C34A3E" w:rsidRPr="00261B7A" w:rsidSect="00715D39">
          <w:footerReference w:type="even" r:id="rId24"/>
          <w:pgSz w:w="11907" w:h="16840" w:code="9"/>
          <w:pgMar w:top="1418" w:right="1701" w:bottom="1418" w:left="1701" w:header="567" w:footer="567" w:gutter="0"/>
          <w:pgNumType w:fmt="lowerRoman"/>
          <w:cols w:space="720"/>
        </w:sectPr>
      </w:pPr>
    </w:p>
    <w:p w14:paraId="23AF0445" w14:textId="4E13A7F2" w:rsidR="006E0A2C" w:rsidRPr="00261B7A" w:rsidRDefault="006E0A2C" w:rsidP="00A66007">
      <w:pPr>
        <w:pStyle w:val="Heading1"/>
      </w:pPr>
      <w:bookmarkStart w:id="7" w:name="_Toc131591190"/>
      <w:r w:rsidRPr="00261B7A">
        <w:lastRenderedPageBreak/>
        <w:t>Tables</w:t>
      </w:r>
      <w:bookmarkEnd w:id="7"/>
    </w:p>
    <w:p w14:paraId="7774F833" w14:textId="57CB8135" w:rsidR="00052A22" w:rsidRDefault="00883E58">
      <w:pPr>
        <w:pStyle w:val="TableofFigures"/>
        <w:rPr>
          <w:rFonts w:asciiTheme="minorHAnsi" w:eastAsiaTheme="minorEastAsia" w:hAnsiTheme="minorHAnsi" w:cstheme="minorBidi"/>
          <w:noProof/>
          <w:sz w:val="22"/>
        </w:rPr>
      </w:pPr>
      <w:r w:rsidRPr="00261B7A">
        <w:rPr>
          <w:rFonts w:ascii="Arial" w:hAnsi="Arial"/>
        </w:rPr>
        <w:fldChar w:fldCharType="begin"/>
      </w:r>
      <w:r w:rsidRPr="00261B7A">
        <w:rPr>
          <w:rFonts w:ascii="Arial" w:hAnsi="Arial"/>
        </w:rPr>
        <w:instrText xml:space="preserve"> TOC \h \z \t "Table" \c </w:instrText>
      </w:r>
      <w:r w:rsidRPr="00261B7A">
        <w:rPr>
          <w:rFonts w:ascii="Arial" w:hAnsi="Arial"/>
        </w:rPr>
        <w:fldChar w:fldCharType="separate"/>
      </w:r>
      <w:hyperlink w:anchor="_Toc131591306" w:history="1">
        <w:r w:rsidR="00052A22" w:rsidRPr="00880361">
          <w:rPr>
            <w:rStyle w:val="Hyperlink"/>
            <w:bCs/>
            <w:noProof/>
          </w:rPr>
          <w:t>Table ES 3.1</w:t>
        </w:r>
        <w:r w:rsidR="00052A22">
          <w:rPr>
            <w:rFonts w:asciiTheme="minorHAnsi" w:eastAsiaTheme="minorEastAsia" w:hAnsiTheme="minorHAnsi" w:cstheme="minorBidi"/>
            <w:noProof/>
            <w:sz w:val="22"/>
          </w:rPr>
          <w:tab/>
        </w:r>
        <w:r w:rsidR="00052A22" w:rsidRPr="00880361">
          <w:rPr>
            <w:rStyle w:val="Hyperlink"/>
            <w:noProof/>
          </w:rPr>
          <w:t xml:space="preserve">New Zealand’s gross emissions by gas in </w:t>
        </w:r>
        <w:r w:rsidR="00052A22" w:rsidRPr="00880361">
          <w:rPr>
            <w:rStyle w:val="Hyperlink"/>
            <w:bCs/>
            <w:noProof/>
          </w:rPr>
          <w:t>1990</w:t>
        </w:r>
        <w:r w:rsidR="00052A22" w:rsidRPr="00880361">
          <w:rPr>
            <w:rStyle w:val="Hyperlink"/>
            <w:noProof/>
          </w:rPr>
          <w:t xml:space="preserve"> and </w:t>
        </w:r>
        <w:r w:rsidR="00052A22" w:rsidRPr="00880361">
          <w:rPr>
            <w:rStyle w:val="Hyperlink"/>
            <w:bCs/>
            <w:noProof/>
          </w:rPr>
          <w:t>2021</w:t>
        </w:r>
        <w:r w:rsidR="00052A22">
          <w:rPr>
            <w:noProof/>
            <w:webHidden/>
          </w:rPr>
          <w:tab/>
        </w:r>
        <w:r w:rsidR="00052A22">
          <w:rPr>
            <w:noProof/>
            <w:webHidden/>
          </w:rPr>
          <w:fldChar w:fldCharType="begin"/>
        </w:r>
        <w:r w:rsidR="00052A22">
          <w:rPr>
            <w:noProof/>
            <w:webHidden/>
          </w:rPr>
          <w:instrText xml:space="preserve"> PAGEREF _Toc131591306 \h </w:instrText>
        </w:r>
        <w:r w:rsidR="00052A22">
          <w:rPr>
            <w:noProof/>
            <w:webHidden/>
          </w:rPr>
        </w:r>
        <w:r w:rsidR="00052A22">
          <w:rPr>
            <w:noProof/>
            <w:webHidden/>
          </w:rPr>
          <w:fldChar w:fldCharType="separate"/>
        </w:r>
        <w:r w:rsidR="008F39B8">
          <w:rPr>
            <w:noProof/>
            <w:webHidden/>
          </w:rPr>
          <w:t>xxviii</w:t>
        </w:r>
        <w:r w:rsidR="00052A22">
          <w:rPr>
            <w:noProof/>
            <w:webHidden/>
          </w:rPr>
          <w:fldChar w:fldCharType="end"/>
        </w:r>
      </w:hyperlink>
    </w:p>
    <w:p w14:paraId="5D62BF6D" w14:textId="7515C342" w:rsidR="00052A22" w:rsidRDefault="007E17B8">
      <w:pPr>
        <w:pStyle w:val="TableofFigures"/>
        <w:rPr>
          <w:rFonts w:asciiTheme="minorHAnsi" w:eastAsiaTheme="minorEastAsia" w:hAnsiTheme="minorHAnsi" w:cstheme="minorBidi"/>
          <w:noProof/>
          <w:sz w:val="22"/>
        </w:rPr>
      </w:pPr>
      <w:hyperlink w:anchor="_Toc131591307" w:history="1">
        <w:r w:rsidR="00052A22" w:rsidRPr="00880361">
          <w:rPr>
            <w:rStyle w:val="Hyperlink"/>
            <w:bCs/>
            <w:noProof/>
          </w:rPr>
          <w:t>Table ES 3.2</w:t>
        </w:r>
        <w:r w:rsidR="00052A22">
          <w:rPr>
            <w:rFonts w:asciiTheme="minorHAnsi" w:eastAsiaTheme="minorEastAsia" w:hAnsiTheme="minorHAnsi" w:cstheme="minorBidi"/>
            <w:noProof/>
            <w:sz w:val="22"/>
          </w:rPr>
          <w:tab/>
        </w:r>
        <w:r w:rsidR="00052A22" w:rsidRPr="00880361">
          <w:rPr>
            <w:rStyle w:val="Hyperlink"/>
            <w:noProof/>
          </w:rPr>
          <w:t xml:space="preserve">New Zealand’s indirect greenhouse gas emissions (excluding LULUCF) in </w:t>
        </w:r>
        <w:r w:rsidR="00052A22" w:rsidRPr="00880361">
          <w:rPr>
            <w:rStyle w:val="Hyperlink"/>
            <w:bCs/>
            <w:noProof/>
          </w:rPr>
          <w:t>1990</w:t>
        </w:r>
        <w:r w:rsidR="00052A22" w:rsidRPr="00880361">
          <w:rPr>
            <w:rStyle w:val="Hyperlink"/>
            <w:noProof/>
          </w:rPr>
          <w:t> and </w:t>
        </w:r>
        <w:r w:rsidR="00052A22" w:rsidRPr="00880361">
          <w:rPr>
            <w:rStyle w:val="Hyperlink"/>
            <w:bCs/>
            <w:noProof/>
          </w:rPr>
          <w:t>2021</w:t>
        </w:r>
        <w:r w:rsidR="00052A22">
          <w:rPr>
            <w:noProof/>
            <w:webHidden/>
          </w:rPr>
          <w:tab/>
        </w:r>
        <w:r w:rsidR="00052A22">
          <w:rPr>
            <w:noProof/>
            <w:webHidden/>
          </w:rPr>
          <w:fldChar w:fldCharType="begin"/>
        </w:r>
        <w:r w:rsidR="00052A22">
          <w:rPr>
            <w:noProof/>
            <w:webHidden/>
          </w:rPr>
          <w:instrText xml:space="preserve"> PAGEREF _Toc131591307 \h </w:instrText>
        </w:r>
        <w:r w:rsidR="00052A22">
          <w:rPr>
            <w:noProof/>
            <w:webHidden/>
          </w:rPr>
        </w:r>
        <w:r w:rsidR="00052A22">
          <w:rPr>
            <w:noProof/>
            <w:webHidden/>
          </w:rPr>
          <w:fldChar w:fldCharType="separate"/>
        </w:r>
        <w:r w:rsidR="008F39B8">
          <w:rPr>
            <w:noProof/>
            <w:webHidden/>
          </w:rPr>
          <w:t>xxx</w:t>
        </w:r>
        <w:r w:rsidR="00052A22">
          <w:rPr>
            <w:noProof/>
            <w:webHidden/>
          </w:rPr>
          <w:fldChar w:fldCharType="end"/>
        </w:r>
      </w:hyperlink>
    </w:p>
    <w:p w14:paraId="30569F07" w14:textId="50F3EBF1" w:rsidR="00052A22" w:rsidRDefault="007E17B8">
      <w:pPr>
        <w:pStyle w:val="TableofFigures"/>
        <w:rPr>
          <w:rFonts w:asciiTheme="minorHAnsi" w:eastAsiaTheme="minorEastAsia" w:hAnsiTheme="minorHAnsi" w:cstheme="minorBidi"/>
          <w:noProof/>
          <w:sz w:val="22"/>
        </w:rPr>
      </w:pPr>
      <w:hyperlink w:anchor="_Toc131591308" w:history="1">
        <w:r w:rsidR="00052A22" w:rsidRPr="00880361">
          <w:rPr>
            <w:rStyle w:val="Hyperlink"/>
            <w:bCs/>
            <w:noProof/>
          </w:rPr>
          <w:t>Table ES 4.1</w:t>
        </w:r>
        <w:r w:rsidR="00052A22">
          <w:rPr>
            <w:rFonts w:asciiTheme="minorHAnsi" w:eastAsiaTheme="minorEastAsia" w:hAnsiTheme="minorHAnsi" w:cstheme="minorBidi"/>
            <w:noProof/>
            <w:sz w:val="22"/>
          </w:rPr>
          <w:tab/>
        </w:r>
        <w:r w:rsidR="00052A22" w:rsidRPr="00880361">
          <w:rPr>
            <w:rStyle w:val="Hyperlink"/>
            <w:noProof/>
          </w:rPr>
          <w:t xml:space="preserve">New Zealand’s emissions by sector in </w:t>
        </w:r>
        <w:r w:rsidR="00052A22" w:rsidRPr="00880361">
          <w:rPr>
            <w:rStyle w:val="Hyperlink"/>
            <w:bCs/>
            <w:noProof/>
          </w:rPr>
          <w:t>1990</w:t>
        </w:r>
        <w:r w:rsidR="00052A22" w:rsidRPr="00880361">
          <w:rPr>
            <w:rStyle w:val="Hyperlink"/>
            <w:noProof/>
          </w:rPr>
          <w:t xml:space="preserve"> and </w:t>
        </w:r>
        <w:r w:rsidR="00052A22" w:rsidRPr="00880361">
          <w:rPr>
            <w:rStyle w:val="Hyperlink"/>
            <w:bCs/>
            <w:noProof/>
          </w:rPr>
          <w:t>2021</w:t>
        </w:r>
        <w:r w:rsidR="00052A22">
          <w:rPr>
            <w:noProof/>
            <w:webHidden/>
          </w:rPr>
          <w:tab/>
        </w:r>
        <w:r w:rsidR="00052A22">
          <w:rPr>
            <w:noProof/>
            <w:webHidden/>
          </w:rPr>
          <w:fldChar w:fldCharType="begin"/>
        </w:r>
        <w:r w:rsidR="00052A22">
          <w:rPr>
            <w:noProof/>
            <w:webHidden/>
          </w:rPr>
          <w:instrText xml:space="preserve"> PAGEREF _Toc131591308 \h </w:instrText>
        </w:r>
        <w:r w:rsidR="00052A22">
          <w:rPr>
            <w:noProof/>
            <w:webHidden/>
          </w:rPr>
        </w:r>
        <w:r w:rsidR="00052A22">
          <w:rPr>
            <w:noProof/>
            <w:webHidden/>
          </w:rPr>
          <w:fldChar w:fldCharType="separate"/>
        </w:r>
        <w:r w:rsidR="008F39B8">
          <w:rPr>
            <w:noProof/>
            <w:webHidden/>
          </w:rPr>
          <w:t>xxxi</w:t>
        </w:r>
        <w:r w:rsidR="00052A22">
          <w:rPr>
            <w:noProof/>
            <w:webHidden/>
          </w:rPr>
          <w:fldChar w:fldCharType="end"/>
        </w:r>
      </w:hyperlink>
    </w:p>
    <w:p w14:paraId="061F8EA3" w14:textId="3B0A9B0F" w:rsidR="00052A22" w:rsidRDefault="007E17B8">
      <w:pPr>
        <w:pStyle w:val="TableofFigures"/>
        <w:rPr>
          <w:rFonts w:asciiTheme="minorHAnsi" w:eastAsiaTheme="minorEastAsia" w:hAnsiTheme="minorHAnsi" w:cstheme="minorBidi"/>
          <w:noProof/>
          <w:sz w:val="22"/>
        </w:rPr>
      </w:pPr>
      <w:hyperlink w:anchor="_Toc131591309" w:history="1">
        <w:r w:rsidR="00052A22" w:rsidRPr="00880361">
          <w:rPr>
            <w:rStyle w:val="Hyperlink"/>
            <w:noProof/>
          </w:rPr>
          <w:t xml:space="preserve">Table 1.2.1 </w:t>
        </w:r>
        <w:r w:rsidR="00052A22">
          <w:rPr>
            <w:rFonts w:asciiTheme="minorHAnsi" w:eastAsiaTheme="minorEastAsia" w:hAnsiTheme="minorHAnsi" w:cstheme="minorBidi"/>
            <w:noProof/>
            <w:sz w:val="22"/>
          </w:rPr>
          <w:tab/>
        </w:r>
        <w:r w:rsidR="00052A22" w:rsidRPr="00880361">
          <w:rPr>
            <w:rStyle w:val="Hyperlink"/>
            <w:noProof/>
          </w:rPr>
          <w:t>Agency responsible for each sector</w:t>
        </w:r>
        <w:r w:rsidR="00052A22">
          <w:rPr>
            <w:noProof/>
            <w:webHidden/>
          </w:rPr>
          <w:tab/>
        </w:r>
        <w:r w:rsidR="00052A22">
          <w:rPr>
            <w:noProof/>
            <w:webHidden/>
          </w:rPr>
          <w:fldChar w:fldCharType="begin"/>
        </w:r>
        <w:r w:rsidR="00052A22">
          <w:rPr>
            <w:noProof/>
            <w:webHidden/>
          </w:rPr>
          <w:instrText xml:space="preserve"> PAGEREF _Toc131591309 \h </w:instrText>
        </w:r>
        <w:r w:rsidR="00052A22">
          <w:rPr>
            <w:noProof/>
            <w:webHidden/>
          </w:rPr>
        </w:r>
        <w:r w:rsidR="00052A22">
          <w:rPr>
            <w:noProof/>
            <w:webHidden/>
          </w:rPr>
          <w:fldChar w:fldCharType="separate"/>
        </w:r>
        <w:r w:rsidR="008F39B8">
          <w:rPr>
            <w:noProof/>
            <w:webHidden/>
          </w:rPr>
          <w:t>11</w:t>
        </w:r>
        <w:r w:rsidR="00052A22">
          <w:rPr>
            <w:noProof/>
            <w:webHidden/>
          </w:rPr>
          <w:fldChar w:fldCharType="end"/>
        </w:r>
      </w:hyperlink>
    </w:p>
    <w:p w14:paraId="03AFB472" w14:textId="0191161F" w:rsidR="00052A22" w:rsidRDefault="007E17B8">
      <w:pPr>
        <w:pStyle w:val="TableofFigures"/>
        <w:rPr>
          <w:rFonts w:asciiTheme="minorHAnsi" w:eastAsiaTheme="minorEastAsia" w:hAnsiTheme="minorHAnsi" w:cstheme="minorBidi"/>
          <w:noProof/>
          <w:sz w:val="22"/>
        </w:rPr>
      </w:pPr>
      <w:hyperlink w:anchor="_Toc131591310" w:history="1">
        <w:r w:rsidR="00052A22" w:rsidRPr="00880361">
          <w:rPr>
            <w:rStyle w:val="Hyperlink"/>
            <w:noProof/>
          </w:rPr>
          <w:t>Table 1.5.1</w:t>
        </w:r>
        <w:r w:rsidR="00052A22">
          <w:rPr>
            <w:rFonts w:asciiTheme="minorHAnsi" w:eastAsiaTheme="minorEastAsia" w:hAnsiTheme="minorHAnsi" w:cstheme="minorBidi"/>
            <w:noProof/>
            <w:sz w:val="22"/>
          </w:rPr>
          <w:tab/>
        </w:r>
        <w:r w:rsidR="00052A22" w:rsidRPr="00880361">
          <w:rPr>
            <w:rStyle w:val="Hyperlink"/>
            <w:noProof/>
          </w:rPr>
          <w:t xml:space="preserve">Summary of New Zealand’s key categories for the </w:t>
        </w:r>
        <w:r w:rsidR="00052A22" w:rsidRPr="00880361">
          <w:rPr>
            <w:rStyle w:val="Hyperlink"/>
            <w:bCs/>
            <w:noProof/>
          </w:rPr>
          <w:t>2021</w:t>
        </w:r>
        <w:r w:rsidR="00052A22" w:rsidRPr="00880361">
          <w:rPr>
            <w:rStyle w:val="Hyperlink"/>
            <w:noProof/>
          </w:rPr>
          <w:t xml:space="preserve"> level assessment and the trend assessment for 1990 to </w:t>
        </w:r>
        <w:r w:rsidR="00052A22" w:rsidRPr="00880361">
          <w:rPr>
            <w:rStyle w:val="Hyperlink"/>
            <w:bCs/>
            <w:noProof/>
          </w:rPr>
          <w:t>2021</w:t>
        </w:r>
        <w:r w:rsidR="00052A22" w:rsidRPr="00880361">
          <w:rPr>
            <w:rStyle w:val="Hyperlink"/>
            <w:noProof/>
          </w:rPr>
          <w:t xml:space="preserve"> (including LULUCF activities)</w:t>
        </w:r>
        <w:r w:rsidR="00052A22">
          <w:rPr>
            <w:noProof/>
            <w:webHidden/>
          </w:rPr>
          <w:tab/>
        </w:r>
        <w:r w:rsidR="00052A22">
          <w:rPr>
            <w:noProof/>
            <w:webHidden/>
          </w:rPr>
          <w:fldChar w:fldCharType="begin"/>
        </w:r>
        <w:r w:rsidR="00052A22">
          <w:rPr>
            <w:noProof/>
            <w:webHidden/>
          </w:rPr>
          <w:instrText xml:space="preserve"> PAGEREF _Toc131591310 \h </w:instrText>
        </w:r>
        <w:r w:rsidR="00052A22">
          <w:rPr>
            <w:noProof/>
            <w:webHidden/>
          </w:rPr>
        </w:r>
        <w:r w:rsidR="00052A22">
          <w:rPr>
            <w:noProof/>
            <w:webHidden/>
          </w:rPr>
          <w:fldChar w:fldCharType="separate"/>
        </w:r>
        <w:r w:rsidR="008F39B8">
          <w:rPr>
            <w:noProof/>
            <w:webHidden/>
          </w:rPr>
          <w:t>19</w:t>
        </w:r>
        <w:r w:rsidR="00052A22">
          <w:rPr>
            <w:noProof/>
            <w:webHidden/>
          </w:rPr>
          <w:fldChar w:fldCharType="end"/>
        </w:r>
      </w:hyperlink>
    </w:p>
    <w:p w14:paraId="06AA39DB" w14:textId="436C9C54" w:rsidR="00052A22" w:rsidRDefault="007E17B8">
      <w:pPr>
        <w:pStyle w:val="TableofFigures"/>
        <w:rPr>
          <w:rFonts w:asciiTheme="minorHAnsi" w:eastAsiaTheme="minorEastAsia" w:hAnsiTheme="minorHAnsi" w:cstheme="minorBidi"/>
          <w:noProof/>
          <w:sz w:val="22"/>
        </w:rPr>
      </w:pPr>
      <w:hyperlink w:anchor="_Toc131591311" w:history="1">
        <w:r w:rsidR="00052A22" w:rsidRPr="00880361">
          <w:rPr>
            <w:rStyle w:val="Hyperlink"/>
            <w:noProof/>
          </w:rPr>
          <w:t xml:space="preserve">Table 1.5.2(a &amp; b) </w:t>
        </w:r>
        <w:r w:rsidR="00052A22" w:rsidRPr="00880361">
          <w:rPr>
            <w:rStyle w:val="Hyperlink"/>
            <w:bCs/>
            <w:noProof/>
          </w:rPr>
          <w:t>2021</w:t>
        </w:r>
        <w:r w:rsidR="00052A22" w:rsidRPr="00880361">
          <w:rPr>
            <w:rStyle w:val="Hyperlink"/>
            <w:noProof/>
          </w:rPr>
          <w:t xml:space="preserve"> level assessment for New Zealand’s key category analysis including LULUCF (a) and excluding LULUCF (b)</w:t>
        </w:r>
        <w:r w:rsidR="00052A22">
          <w:rPr>
            <w:noProof/>
            <w:webHidden/>
          </w:rPr>
          <w:tab/>
        </w:r>
        <w:r w:rsidR="00052A22">
          <w:rPr>
            <w:noProof/>
            <w:webHidden/>
          </w:rPr>
          <w:fldChar w:fldCharType="begin"/>
        </w:r>
        <w:r w:rsidR="00052A22">
          <w:rPr>
            <w:noProof/>
            <w:webHidden/>
          </w:rPr>
          <w:instrText xml:space="preserve"> PAGEREF _Toc131591311 \h </w:instrText>
        </w:r>
        <w:r w:rsidR="00052A22">
          <w:rPr>
            <w:noProof/>
            <w:webHidden/>
          </w:rPr>
        </w:r>
        <w:r w:rsidR="00052A22">
          <w:rPr>
            <w:noProof/>
            <w:webHidden/>
          </w:rPr>
          <w:fldChar w:fldCharType="separate"/>
        </w:r>
        <w:r w:rsidR="008F39B8">
          <w:rPr>
            <w:noProof/>
            <w:webHidden/>
          </w:rPr>
          <w:t>21</w:t>
        </w:r>
        <w:r w:rsidR="00052A22">
          <w:rPr>
            <w:noProof/>
            <w:webHidden/>
          </w:rPr>
          <w:fldChar w:fldCharType="end"/>
        </w:r>
      </w:hyperlink>
    </w:p>
    <w:p w14:paraId="4B7A4220" w14:textId="3CB868C0" w:rsidR="00052A22" w:rsidRDefault="007E17B8">
      <w:pPr>
        <w:pStyle w:val="TableofFigures"/>
        <w:rPr>
          <w:rFonts w:asciiTheme="minorHAnsi" w:eastAsiaTheme="minorEastAsia" w:hAnsiTheme="minorHAnsi" w:cstheme="minorBidi"/>
          <w:noProof/>
          <w:sz w:val="22"/>
        </w:rPr>
      </w:pPr>
      <w:hyperlink w:anchor="_Toc131591312" w:history="1">
        <w:r w:rsidR="00052A22" w:rsidRPr="00880361">
          <w:rPr>
            <w:rStyle w:val="Hyperlink"/>
            <w:noProof/>
          </w:rPr>
          <w:t xml:space="preserve">Table 1.5.3(a &amp; b) </w:t>
        </w:r>
        <w:r w:rsidR="00052A22" w:rsidRPr="00880361">
          <w:rPr>
            <w:rStyle w:val="Hyperlink"/>
            <w:bCs/>
            <w:noProof/>
          </w:rPr>
          <w:t>1990</w:t>
        </w:r>
        <w:r w:rsidR="00052A22" w:rsidRPr="00880361">
          <w:rPr>
            <w:rStyle w:val="Hyperlink"/>
            <w:noProof/>
          </w:rPr>
          <w:t>–</w:t>
        </w:r>
        <w:r w:rsidR="00052A22" w:rsidRPr="00880361">
          <w:rPr>
            <w:rStyle w:val="Hyperlink"/>
            <w:bCs/>
            <w:noProof/>
          </w:rPr>
          <w:t>2021</w:t>
        </w:r>
        <w:r w:rsidR="00052A22" w:rsidRPr="00880361">
          <w:rPr>
            <w:rStyle w:val="Hyperlink"/>
            <w:noProof/>
          </w:rPr>
          <w:t xml:space="preserve"> trend assessment for New Zealand’s key category analysis including LULUCF (a) and excluding LULUCF (b)</w:t>
        </w:r>
        <w:r w:rsidR="00052A22">
          <w:rPr>
            <w:noProof/>
            <w:webHidden/>
          </w:rPr>
          <w:tab/>
        </w:r>
        <w:r w:rsidR="00052A22">
          <w:rPr>
            <w:noProof/>
            <w:webHidden/>
          </w:rPr>
          <w:fldChar w:fldCharType="begin"/>
        </w:r>
        <w:r w:rsidR="00052A22">
          <w:rPr>
            <w:noProof/>
            <w:webHidden/>
          </w:rPr>
          <w:instrText xml:space="preserve"> PAGEREF _Toc131591312 \h </w:instrText>
        </w:r>
        <w:r w:rsidR="00052A22">
          <w:rPr>
            <w:noProof/>
            <w:webHidden/>
          </w:rPr>
        </w:r>
        <w:r w:rsidR="00052A22">
          <w:rPr>
            <w:noProof/>
            <w:webHidden/>
          </w:rPr>
          <w:fldChar w:fldCharType="separate"/>
        </w:r>
        <w:r w:rsidR="008F39B8">
          <w:rPr>
            <w:noProof/>
            <w:webHidden/>
          </w:rPr>
          <w:t>24</w:t>
        </w:r>
        <w:r w:rsidR="00052A22">
          <w:rPr>
            <w:noProof/>
            <w:webHidden/>
          </w:rPr>
          <w:fldChar w:fldCharType="end"/>
        </w:r>
      </w:hyperlink>
    </w:p>
    <w:p w14:paraId="2C47AEFA" w14:textId="0E6874CF" w:rsidR="00052A22" w:rsidRDefault="007E17B8">
      <w:pPr>
        <w:pStyle w:val="TableofFigures"/>
        <w:rPr>
          <w:rFonts w:asciiTheme="minorHAnsi" w:eastAsiaTheme="minorEastAsia" w:hAnsiTheme="minorHAnsi" w:cstheme="minorBidi"/>
          <w:noProof/>
          <w:sz w:val="22"/>
        </w:rPr>
      </w:pPr>
      <w:hyperlink w:anchor="_Toc131591313" w:history="1">
        <w:r w:rsidR="00052A22" w:rsidRPr="00880361">
          <w:rPr>
            <w:rStyle w:val="Hyperlink"/>
            <w:noProof/>
          </w:rPr>
          <w:t>Table 1.9.1</w:t>
        </w:r>
        <w:r w:rsidR="00052A22">
          <w:rPr>
            <w:rFonts w:asciiTheme="minorHAnsi" w:eastAsiaTheme="minorEastAsia" w:hAnsiTheme="minorHAnsi" w:cstheme="minorBidi"/>
            <w:noProof/>
            <w:sz w:val="22"/>
          </w:rPr>
          <w:tab/>
        </w:r>
        <w:r w:rsidR="00052A22" w:rsidRPr="00880361">
          <w:rPr>
            <w:rStyle w:val="Hyperlink"/>
            <w:noProof/>
          </w:rPr>
          <w:t>Dates for sector entry into the New Zealand Emissions Trading Scheme</w:t>
        </w:r>
        <w:r w:rsidR="00052A22">
          <w:rPr>
            <w:noProof/>
            <w:webHidden/>
          </w:rPr>
          <w:tab/>
        </w:r>
        <w:r w:rsidR="00052A22">
          <w:rPr>
            <w:noProof/>
            <w:webHidden/>
          </w:rPr>
          <w:fldChar w:fldCharType="begin"/>
        </w:r>
        <w:r w:rsidR="00052A22">
          <w:rPr>
            <w:noProof/>
            <w:webHidden/>
          </w:rPr>
          <w:instrText xml:space="preserve"> PAGEREF _Toc131591313 \h </w:instrText>
        </w:r>
        <w:r w:rsidR="00052A22">
          <w:rPr>
            <w:noProof/>
            <w:webHidden/>
          </w:rPr>
        </w:r>
        <w:r w:rsidR="00052A22">
          <w:rPr>
            <w:noProof/>
            <w:webHidden/>
          </w:rPr>
          <w:fldChar w:fldCharType="separate"/>
        </w:r>
        <w:r w:rsidR="008F39B8">
          <w:rPr>
            <w:noProof/>
            <w:webHidden/>
          </w:rPr>
          <w:t>32</w:t>
        </w:r>
        <w:r w:rsidR="00052A22">
          <w:rPr>
            <w:noProof/>
            <w:webHidden/>
          </w:rPr>
          <w:fldChar w:fldCharType="end"/>
        </w:r>
      </w:hyperlink>
    </w:p>
    <w:p w14:paraId="55106F22" w14:textId="72DCD50C" w:rsidR="00052A22" w:rsidRDefault="007E17B8">
      <w:pPr>
        <w:pStyle w:val="TableofFigures"/>
        <w:rPr>
          <w:rFonts w:asciiTheme="minorHAnsi" w:eastAsiaTheme="minorEastAsia" w:hAnsiTheme="minorHAnsi" w:cstheme="minorBidi"/>
          <w:noProof/>
          <w:sz w:val="22"/>
        </w:rPr>
      </w:pPr>
      <w:hyperlink w:anchor="_Toc131591314" w:history="1">
        <w:r w:rsidR="00052A22" w:rsidRPr="00880361">
          <w:rPr>
            <w:rStyle w:val="Hyperlink"/>
            <w:noProof/>
          </w:rPr>
          <w:t xml:space="preserve">Table 2.2.1 </w:t>
        </w:r>
        <w:r w:rsidR="00052A22">
          <w:rPr>
            <w:rFonts w:asciiTheme="minorHAnsi" w:eastAsiaTheme="minorEastAsia" w:hAnsiTheme="minorHAnsi" w:cstheme="minorBidi"/>
            <w:noProof/>
            <w:sz w:val="22"/>
          </w:rPr>
          <w:tab/>
        </w:r>
        <w:r w:rsidR="00052A22" w:rsidRPr="00880361">
          <w:rPr>
            <w:rStyle w:val="Hyperlink"/>
            <w:noProof/>
          </w:rPr>
          <w:t xml:space="preserve">New Zealand’s emissions by sector between </w:t>
        </w:r>
        <w:r w:rsidR="00052A22" w:rsidRPr="00880361">
          <w:rPr>
            <w:rStyle w:val="Hyperlink"/>
            <w:bCs/>
            <w:noProof/>
          </w:rPr>
          <w:t>1990</w:t>
        </w:r>
        <w:r w:rsidR="00052A22" w:rsidRPr="00880361">
          <w:rPr>
            <w:rStyle w:val="Hyperlink"/>
            <w:noProof/>
          </w:rPr>
          <w:t xml:space="preserve"> and </w:t>
        </w:r>
        <w:r w:rsidR="00052A22" w:rsidRPr="00880361">
          <w:rPr>
            <w:rStyle w:val="Hyperlink"/>
            <w:bCs/>
            <w:noProof/>
          </w:rPr>
          <w:t>2021</w:t>
        </w:r>
        <w:r w:rsidR="00052A22">
          <w:rPr>
            <w:noProof/>
            <w:webHidden/>
          </w:rPr>
          <w:tab/>
        </w:r>
        <w:r w:rsidR="00052A22">
          <w:rPr>
            <w:noProof/>
            <w:webHidden/>
          </w:rPr>
          <w:fldChar w:fldCharType="begin"/>
        </w:r>
        <w:r w:rsidR="00052A22">
          <w:rPr>
            <w:noProof/>
            <w:webHidden/>
          </w:rPr>
          <w:instrText xml:space="preserve"> PAGEREF _Toc131591314 \h </w:instrText>
        </w:r>
        <w:r w:rsidR="00052A22">
          <w:rPr>
            <w:noProof/>
            <w:webHidden/>
          </w:rPr>
        </w:r>
        <w:r w:rsidR="00052A22">
          <w:rPr>
            <w:noProof/>
            <w:webHidden/>
          </w:rPr>
          <w:fldChar w:fldCharType="separate"/>
        </w:r>
        <w:r w:rsidR="008F39B8">
          <w:rPr>
            <w:noProof/>
            <w:webHidden/>
          </w:rPr>
          <w:t>44</w:t>
        </w:r>
        <w:r w:rsidR="00052A22">
          <w:rPr>
            <w:noProof/>
            <w:webHidden/>
          </w:rPr>
          <w:fldChar w:fldCharType="end"/>
        </w:r>
      </w:hyperlink>
    </w:p>
    <w:p w14:paraId="72843BAC" w14:textId="4654B4B7" w:rsidR="00052A22" w:rsidRDefault="007E17B8">
      <w:pPr>
        <w:pStyle w:val="TableofFigures"/>
        <w:rPr>
          <w:rFonts w:asciiTheme="minorHAnsi" w:eastAsiaTheme="minorEastAsia" w:hAnsiTheme="minorHAnsi" w:cstheme="minorBidi"/>
          <w:noProof/>
          <w:sz w:val="22"/>
        </w:rPr>
      </w:pPr>
      <w:hyperlink w:anchor="_Toc131591315" w:history="1">
        <w:r w:rsidR="00052A22" w:rsidRPr="00880361">
          <w:rPr>
            <w:rStyle w:val="Hyperlink"/>
            <w:noProof/>
          </w:rPr>
          <w:t xml:space="preserve">Table 2.2.2 </w:t>
        </w:r>
        <w:r w:rsidR="00052A22">
          <w:rPr>
            <w:rFonts w:asciiTheme="minorHAnsi" w:eastAsiaTheme="minorEastAsia" w:hAnsiTheme="minorHAnsi" w:cstheme="minorBidi"/>
            <w:noProof/>
            <w:sz w:val="22"/>
          </w:rPr>
          <w:tab/>
        </w:r>
        <w:r w:rsidR="00052A22" w:rsidRPr="00880361">
          <w:rPr>
            <w:rStyle w:val="Hyperlink"/>
            <w:noProof/>
          </w:rPr>
          <w:t>Emissions from Tokelau, 1990 and 2021</w:t>
        </w:r>
        <w:r w:rsidR="00052A22">
          <w:rPr>
            <w:noProof/>
            <w:webHidden/>
          </w:rPr>
          <w:tab/>
        </w:r>
        <w:r w:rsidR="00052A22">
          <w:rPr>
            <w:noProof/>
            <w:webHidden/>
          </w:rPr>
          <w:fldChar w:fldCharType="begin"/>
        </w:r>
        <w:r w:rsidR="00052A22">
          <w:rPr>
            <w:noProof/>
            <w:webHidden/>
          </w:rPr>
          <w:instrText xml:space="preserve"> PAGEREF _Toc131591315 \h </w:instrText>
        </w:r>
        <w:r w:rsidR="00052A22">
          <w:rPr>
            <w:noProof/>
            <w:webHidden/>
          </w:rPr>
        </w:r>
        <w:r w:rsidR="00052A22">
          <w:rPr>
            <w:noProof/>
            <w:webHidden/>
          </w:rPr>
          <w:fldChar w:fldCharType="separate"/>
        </w:r>
        <w:r w:rsidR="008F39B8">
          <w:rPr>
            <w:noProof/>
            <w:webHidden/>
          </w:rPr>
          <w:t>57</w:t>
        </w:r>
        <w:r w:rsidR="00052A22">
          <w:rPr>
            <w:noProof/>
            <w:webHidden/>
          </w:rPr>
          <w:fldChar w:fldCharType="end"/>
        </w:r>
      </w:hyperlink>
    </w:p>
    <w:p w14:paraId="55F22AE5" w14:textId="7E141985" w:rsidR="00052A22" w:rsidRDefault="007E17B8">
      <w:pPr>
        <w:pStyle w:val="TableofFigures"/>
        <w:rPr>
          <w:rFonts w:asciiTheme="minorHAnsi" w:eastAsiaTheme="minorEastAsia" w:hAnsiTheme="minorHAnsi" w:cstheme="minorBidi"/>
          <w:noProof/>
          <w:sz w:val="22"/>
        </w:rPr>
      </w:pPr>
      <w:hyperlink w:anchor="_Toc131591316" w:history="1">
        <w:r w:rsidR="00052A22" w:rsidRPr="00880361">
          <w:rPr>
            <w:rStyle w:val="Hyperlink"/>
            <w:noProof/>
          </w:rPr>
          <w:t xml:space="preserve">Table 3.1.1 </w:t>
        </w:r>
        <w:r w:rsidR="00052A22">
          <w:rPr>
            <w:rFonts w:asciiTheme="minorHAnsi" w:eastAsiaTheme="minorEastAsia" w:hAnsiTheme="minorHAnsi" w:cstheme="minorBidi"/>
            <w:noProof/>
            <w:sz w:val="22"/>
          </w:rPr>
          <w:tab/>
        </w:r>
        <w:r w:rsidR="00052A22" w:rsidRPr="00880361">
          <w:rPr>
            <w:rStyle w:val="Hyperlink"/>
            <w:noProof/>
          </w:rPr>
          <w:t>Key categories in the Energy sector</w:t>
        </w:r>
        <w:r w:rsidR="00052A22">
          <w:rPr>
            <w:noProof/>
            <w:webHidden/>
          </w:rPr>
          <w:tab/>
        </w:r>
        <w:r w:rsidR="00052A22">
          <w:rPr>
            <w:noProof/>
            <w:webHidden/>
          </w:rPr>
          <w:fldChar w:fldCharType="begin"/>
        </w:r>
        <w:r w:rsidR="00052A22">
          <w:rPr>
            <w:noProof/>
            <w:webHidden/>
          </w:rPr>
          <w:instrText xml:space="preserve"> PAGEREF _Toc131591316 \h </w:instrText>
        </w:r>
        <w:r w:rsidR="00052A22">
          <w:rPr>
            <w:noProof/>
            <w:webHidden/>
          </w:rPr>
        </w:r>
        <w:r w:rsidR="00052A22">
          <w:rPr>
            <w:noProof/>
            <w:webHidden/>
          </w:rPr>
          <w:fldChar w:fldCharType="separate"/>
        </w:r>
        <w:r w:rsidR="008F39B8">
          <w:rPr>
            <w:noProof/>
            <w:webHidden/>
          </w:rPr>
          <w:t>63</w:t>
        </w:r>
        <w:r w:rsidR="00052A22">
          <w:rPr>
            <w:noProof/>
            <w:webHidden/>
          </w:rPr>
          <w:fldChar w:fldCharType="end"/>
        </w:r>
      </w:hyperlink>
    </w:p>
    <w:p w14:paraId="4664854F" w14:textId="565FA333" w:rsidR="00052A22" w:rsidRDefault="007E17B8">
      <w:pPr>
        <w:pStyle w:val="TableofFigures"/>
        <w:rPr>
          <w:rFonts w:asciiTheme="minorHAnsi" w:eastAsiaTheme="minorEastAsia" w:hAnsiTheme="minorHAnsi" w:cstheme="minorBidi"/>
          <w:noProof/>
          <w:sz w:val="22"/>
        </w:rPr>
      </w:pPr>
      <w:hyperlink w:anchor="_Toc131591317" w:history="1">
        <w:r w:rsidR="00052A22" w:rsidRPr="00880361">
          <w:rPr>
            <w:rStyle w:val="Hyperlink"/>
            <w:rFonts w:cs="Calibri"/>
            <w:noProof/>
          </w:rPr>
          <w:t xml:space="preserve">Table 3.2.1 </w:t>
        </w:r>
        <w:r w:rsidR="00052A22">
          <w:rPr>
            <w:rFonts w:asciiTheme="minorHAnsi" w:eastAsiaTheme="minorEastAsia" w:hAnsiTheme="minorHAnsi" w:cstheme="minorBidi"/>
            <w:noProof/>
            <w:sz w:val="22"/>
          </w:rPr>
          <w:tab/>
        </w:r>
        <w:r w:rsidR="00052A22" w:rsidRPr="00880361">
          <w:rPr>
            <w:rStyle w:val="Hyperlink"/>
            <w:rFonts w:cs="Calibri"/>
            <w:noProof/>
          </w:rPr>
          <w:t>Use of natural gas as a feedstock in New Zealand</w:t>
        </w:r>
        <w:r w:rsidR="00052A22">
          <w:rPr>
            <w:noProof/>
            <w:webHidden/>
          </w:rPr>
          <w:tab/>
        </w:r>
        <w:r w:rsidR="00052A22">
          <w:rPr>
            <w:noProof/>
            <w:webHidden/>
          </w:rPr>
          <w:fldChar w:fldCharType="begin"/>
        </w:r>
        <w:r w:rsidR="00052A22">
          <w:rPr>
            <w:noProof/>
            <w:webHidden/>
          </w:rPr>
          <w:instrText xml:space="preserve"> PAGEREF _Toc131591317 \h </w:instrText>
        </w:r>
        <w:r w:rsidR="00052A22">
          <w:rPr>
            <w:noProof/>
            <w:webHidden/>
          </w:rPr>
        </w:r>
        <w:r w:rsidR="00052A22">
          <w:rPr>
            <w:noProof/>
            <w:webHidden/>
          </w:rPr>
          <w:fldChar w:fldCharType="separate"/>
        </w:r>
        <w:r w:rsidR="008F39B8">
          <w:rPr>
            <w:noProof/>
            <w:webHidden/>
          </w:rPr>
          <w:t>65</w:t>
        </w:r>
        <w:r w:rsidR="00052A22">
          <w:rPr>
            <w:noProof/>
            <w:webHidden/>
          </w:rPr>
          <w:fldChar w:fldCharType="end"/>
        </w:r>
      </w:hyperlink>
    </w:p>
    <w:p w14:paraId="195AF3AE" w14:textId="08DC243A" w:rsidR="00052A22" w:rsidRDefault="007E17B8">
      <w:pPr>
        <w:pStyle w:val="TableofFigures"/>
        <w:rPr>
          <w:rFonts w:asciiTheme="minorHAnsi" w:eastAsiaTheme="minorEastAsia" w:hAnsiTheme="minorHAnsi" w:cstheme="minorBidi"/>
          <w:noProof/>
          <w:sz w:val="22"/>
        </w:rPr>
      </w:pPr>
      <w:hyperlink w:anchor="_Toc131591318" w:history="1">
        <w:r w:rsidR="00052A22" w:rsidRPr="00880361">
          <w:rPr>
            <w:rStyle w:val="Hyperlink"/>
            <w:rFonts w:cs="Calibri"/>
            <w:noProof/>
          </w:rPr>
          <w:t>Table 3.3.1</w:t>
        </w:r>
        <w:r w:rsidR="00052A22">
          <w:rPr>
            <w:rFonts w:asciiTheme="minorHAnsi" w:eastAsiaTheme="minorEastAsia" w:hAnsiTheme="minorHAnsi" w:cstheme="minorBidi"/>
            <w:noProof/>
            <w:sz w:val="22"/>
          </w:rPr>
          <w:tab/>
        </w:r>
        <w:r w:rsidR="00052A22" w:rsidRPr="00880361">
          <w:rPr>
            <w:rStyle w:val="Hyperlink"/>
            <w:rFonts w:cs="Calibri"/>
            <w:noProof/>
          </w:rPr>
          <w:t>Uncertainty for New Zealand’s Energy sector emissions estimates for 2021</w:t>
        </w:r>
        <w:r w:rsidR="00052A22">
          <w:rPr>
            <w:noProof/>
            <w:webHidden/>
          </w:rPr>
          <w:tab/>
        </w:r>
        <w:r w:rsidR="00052A22">
          <w:rPr>
            <w:noProof/>
            <w:webHidden/>
          </w:rPr>
          <w:fldChar w:fldCharType="begin"/>
        </w:r>
        <w:r w:rsidR="00052A22">
          <w:rPr>
            <w:noProof/>
            <w:webHidden/>
          </w:rPr>
          <w:instrText xml:space="preserve"> PAGEREF _Toc131591318 \h </w:instrText>
        </w:r>
        <w:r w:rsidR="00052A22">
          <w:rPr>
            <w:noProof/>
            <w:webHidden/>
          </w:rPr>
        </w:r>
        <w:r w:rsidR="00052A22">
          <w:rPr>
            <w:noProof/>
            <w:webHidden/>
          </w:rPr>
          <w:fldChar w:fldCharType="separate"/>
        </w:r>
        <w:r w:rsidR="008F39B8">
          <w:rPr>
            <w:noProof/>
            <w:webHidden/>
          </w:rPr>
          <w:t>76</w:t>
        </w:r>
        <w:r w:rsidR="00052A22">
          <w:rPr>
            <w:noProof/>
            <w:webHidden/>
          </w:rPr>
          <w:fldChar w:fldCharType="end"/>
        </w:r>
      </w:hyperlink>
    </w:p>
    <w:p w14:paraId="514314BB" w14:textId="73CCDFD1" w:rsidR="00052A22" w:rsidRDefault="007E17B8">
      <w:pPr>
        <w:pStyle w:val="TableofFigures"/>
        <w:rPr>
          <w:rFonts w:asciiTheme="minorHAnsi" w:eastAsiaTheme="minorEastAsia" w:hAnsiTheme="minorHAnsi" w:cstheme="minorBidi"/>
          <w:noProof/>
          <w:sz w:val="22"/>
        </w:rPr>
      </w:pPr>
      <w:hyperlink w:anchor="_Toc131591319" w:history="1">
        <w:r w:rsidR="00052A22" w:rsidRPr="00880361">
          <w:rPr>
            <w:rStyle w:val="Hyperlink"/>
            <w:noProof/>
          </w:rPr>
          <w:t>Table 3.3.2</w:t>
        </w:r>
        <w:r w:rsidR="00052A22">
          <w:rPr>
            <w:rFonts w:asciiTheme="minorHAnsi" w:eastAsiaTheme="minorEastAsia" w:hAnsiTheme="minorHAnsi" w:cstheme="minorBidi"/>
            <w:noProof/>
            <w:sz w:val="22"/>
          </w:rPr>
          <w:tab/>
        </w:r>
        <w:r w:rsidR="00052A22" w:rsidRPr="00880361">
          <w:rPr>
            <w:rStyle w:val="Hyperlink"/>
            <w:noProof/>
          </w:rPr>
          <w:t xml:space="preserve">Key categories for 1.A.1 </w:t>
        </w:r>
        <w:r w:rsidR="00052A22" w:rsidRPr="00880361">
          <w:rPr>
            <w:rStyle w:val="Hyperlink"/>
            <w:i/>
            <w:iCs/>
            <w:noProof/>
          </w:rPr>
          <w:t>Energy industries</w:t>
        </w:r>
        <w:r w:rsidR="00052A22">
          <w:rPr>
            <w:noProof/>
            <w:webHidden/>
          </w:rPr>
          <w:tab/>
        </w:r>
        <w:r w:rsidR="00052A22">
          <w:rPr>
            <w:noProof/>
            <w:webHidden/>
          </w:rPr>
          <w:fldChar w:fldCharType="begin"/>
        </w:r>
        <w:r w:rsidR="00052A22">
          <w:rPr>
            <w:noProof/>
            <w:webHidden/>
          </w:rPr>
          <w:instrText xml:space="preserve"> PAGEREF _Toc131591319 \h </w:instrText>
        </w:r>
        <w:r w:rsidR="00052A22">
          <w:rPr>
            <w:noProof/>
            <w:webHidden/>
          </w:rPr>
        </w:r>
        <w:r w:rsidR="00052A22">
          <w:rPr>
            <w:noProof/>
            <w:webHidden/>
          </w:rPr>
          <w:fldChar w:fldCharType="separate"/>
        </w:r>
        <w:r w:rsidR="008F39B8">
          <w:rPr>
            <w:noProof/>
            <w:webHidden/>
          </w:rPr>
          <w:t>77</w:t>
        </w:r>
        <w:r w:rsidR="00052A22">
          <w:rPr>
            <w:noProof/>
            <w:webHidden/>
          </w:rPr>
          <w:fldChar w:fldCharType="end"/>
        </w:r>
      </w:hyperlink>
    </w:p>
    <w:p w14:paraId="157F1E75" w14:textId="19D8E9F1" w:rsidR="00052A22" w:rsidRDefault="007E17B8">
      <w:pPr>
        <w:pStyle w:val="TableofFigures"/>
        <w:rPr>
          <w:rFonts w:asciiTheme="minorHAnsi" w:eastAsiaTheme="minorEastAsia" w:hAnsiTheme="minorHAnsi" w:cstheme="minorBidi"/>
          <w:noProof/>
          <w:sz w:val="22"/>
        </w:rPr>
      </w:pPr>
      <w:hyperlink w:anchor="_Toc131591320" w:history="1">
        <w:r w:rsidR="00052A22" w:rsidRPr="00880361">
          <w:rPr>
            <w:rStyle w:val="Hyperlink"/>
            <w:noProof/>
          </w:rPr>
          <w:t>Table 3.3.3</w:t>
        </w:r>
        <w:r w:rsidR="00052A22">
          <w:rPr>
            <w:rFonts w:asciiTheme="minorHAnsi" w:eastAsiaTheme="minorEastAsia" w:hAnsiTheme="minorHAnsi" w:cstheme="minorBidi"/>
            <w:noProof/>
            <w:sz w:val="22"/>
          </w:rPr>
          <w:tab/>
        </w:r>
        <w:r w:rsidR="00052A22" w:rsidRPr="00880361">
          <w:rPr>
            <w:rStyle w:val="Hyperlink"/>
            <w:noProof/>
          </w:rPr>
          <w:t xml:space="preserve">Key categories for 1.A.2 </w:t>
        </w:r>
        <w:r w:rsidR="00052A22" w:rsidRPr="00880361">
          <w:rPr>
            <w:rStyle w:val="Hyperlink"/>
            <w:i/>
            <w:iCs/>
            <w:noProof/>
          </w:rPr>
          <w:t>Manufacturing industries and construction</w:t>
        </w:r>
        <w:r w:rsidR="00052A22">
          <w:rPr>
            <w:noProof/>
            <w:webHidden/>
          </w:rPr>
          <w:tab/>
        </w:r>
        <w:r w:rsidR="00052A22">
          <w:rPr>
            <w:noProof/>
            <w:webHidden/>
          </w:rPr>
          <w:fldChar w:fldCharType="begin"/>
        </w:r>
        <w:r w:rsidR="00052A22">
          <w:rPr>
            <w:noProof/>
            <w:webHidden/>
          </w:rPr>
          <w:instrText xml:space="preserve"> PAGEREF _Toc131591320 \h </w:instrText>
        </w:r>
        <w:r w:rsidR="00052A22">
          <w:rPr>
            <w:noProof/>
            <w:webHidden/>
          </w:rPr>
        </w:r>
        <w:r w:rsidR="00052A22">
          <w:rPr>
            <w:noProof/>
            <w:webHidden/>
          </w:rPr>
          <w:fldChar w:fldCharType="separate"/>
        </w:r>
        <w:r w:rsidR="008F39B8">
          <w:rPr>
            <w:noProof/>
            <w:webHidden/>
          </w:rPr>
          <w:t>81</w:t>
        </w:r>
        <w:r w:rsidR="00052A22">
          <w:rPr>
            <w:noProof/>
            <w:webHidden/>
          </w:rPr>
          <w:fldChar w:fldCharType="end"/>
        </w:r>
      </w:hyperlink>
    </w:p>
    <w:p w14:paraId="48C01DC9" w14:textId="006EA45E" w:rsidR="00052A22" w:rsidRDefault="007E17B8">
      <w:pPr>
        <w:pStyle w:val="TableofFigures"/>
        <w:rPr>
          <w:rFonts w:asciiTheme="minorHAnsi" w:eastAsiaTheme="minorEastAsia" w:hAnsiTheme="minorHAnsi" w:cstheme="minorBidi"/>
          <w:noProof/>
          <w:sz w:val="22"/>
        </w:rPr>
      </w:pPr>
      <w:hyperlink w:anchor="_Toc131591321" w:history="1">
        <w:r w:rsidR="00052A22" w:rsidRPr="00880361">
          <w:rPr>
            <w:rStyle w:val="Hyperlink"/>
            <w:rFonts w:cs="Calibri"/>
            <w:noProof/>
          </w:rPr>
          <w:t xml:space="preserve">Table 3.3.4 </w:t>
        </w:r>
        <w:r w:rsidR="00052A22">
          <w:rPr>
            <w:rFonts w:asciiTheme="minorHAnsi" w:eastAsiaTheme="minorEastAsia" w:hAnsiTheme="minorHAnsi" w:cstheme="minorBidi"/>
            <w:noProof/>
            <w:sz w:val="22"/>
          </w:rPr>
          <w:tab/>
        </w:r>
        <w:r w:rsidR="00052A22" w:rsidRPr="00880361">
          <w:rPr>
            <w:rStyle w:val="Hyperlink"/>
            <w:rFonts w:cs="Calibri"/>
            <w:noProof/>
          </w:rPr>
          <w:t xml:space="preserve">Solid biomass splits for 2006 that were used to disaggregate the </w:t>
        </w:r>
        <w:r w:rsidR="00052A22" w:rsidRPr="00880361">
          <w:rPr>
            <w:rStyle w:val="Hyperlink"/>
            <w:rFonts w:cs="Calibri"/>
            <w:i/>
            <w:iCs/>
            <w:noProof/>
          </w:rPr>
          <w:t>Manufacturing industries and construction</w:t>
        </w:r>
        <w:r w:rsidR="00052A22" w:rsidRPr="00880361">
          <w:rPr>
            <w:rStyle w:val="Hyperlink"/>
            <w:rFonts w:cs="Calibri"/>
            <w:noProof/>
          </w:rPr>
          <w:t xml:space="preserve"> category between 1990 and 2021</w:t>
        </w:r>
        <w:r w:rsidR="00052A22">
          <w:rPr>
            <w:noProof/>
            <w:webHidden/>
          </w:rPr>
          <w:tab/>
        </w:r>
        <w:r w:rsidR="00052A22">
          <w:rPr>
            <w:noProof/>
            <w:webHidden/>
          </w:rPr>
          <w:fldChar w:fldCharType="begin"/>
        </w:r>
        <w:r w:rsidR="00052A22">
          <w:rPr>
            <w:noProof/>
            <w:webHidden/>
          </w:rPr>
          <w:instrText xml:space="preserve"> PAGEREF _Toc131591321 \h </w:instrText>
        </w:r>
        <w:r w:rsidR="00052A22">
          <w:rPr>
            <w:noProof/>
            <w:webHidden/>
          </w:rPr>
        </w:r>
        <w:r w:rsidR="00052A22">
          <w:rPr>
            <w:noProof/>
            <w:webHidden/>
          </w:rPr>
          <w:fldChar w:fldCharType="separate"/>
        </w:r>
        <w:r w:rsidR="008F39B8">
          <w:rPr>
            <w:noProof/>
            <w:webHidden/>
          </w:rPr>
          <w:t>82</w:t>
        </w:r>
        <w:r w:rsidR="00052A22">
          <w:rPr>
            <w:noProof/>
            <w:webHidden/>
          </w:rPr>
          <w:fldChar w:fldCharType="end"/>
        </w:r>
      </w:hyperlink>
    </w:p>
    <w:p w14:paraId="0D43731A" w14:textId="4E4144F7" w:rsidR="00052A22" w:rsidRDefault="007E17B8">
      <w:pPr>
        <w:pStyle w:val="TableofFigures"/>
        <w:rPr>
          <w:rFonts w:asciiTheme="minorHAnsi" w:eastAsiaTheme="minorEastAsia" w:hAnsiTheme="minorHAnsi" w:cstheme="minorBidi"/>
          <w:noProof/>
          <w:sz w:val="22"/>
        </w:rPr>
      </w:pPr>
      <w:hyperlink w:anchor="_Toc131591322" w:history="1">
        <w:r w:rsidR="00052A22" w:rsidRPr="00880361">
          <w:rPr>
            <w:rStyle w:val="Hyperlink"/>
            <w:rFonts w:cs="Calibri"/>
            <w:noProof/>
          </w:rPr>
          <w:t xml:space="preserve">Table 3.3.5 </w:t>
        </w:r>
        <w:r w:rsidR="00052A22">
          <w:rPr>
            <w:rFonts w:asciiTheme="minorHAnsi" w:eastAsiaTheme="minorEastAsia" w:hAnsiTheme="minorHAnsi" w:cstheme="minorBidi"/>
            <w:noProof/>
            <w:sz w:val="22"/>
          </w:rPr>
          <w:tab/>
        </w:r>
        <w:r w:rsidR="00052A22" w:rsidRPr="00880361">
          <w:rPr>
            <w:rStyle w:val="Hyperlink"/>
            <w:rFonts w:cs="Calibri"/>
            <w:noProof/>
          </w:rPr>
          <w:t>Energy intensity values used to disaggregate liquid fuel use for manufacturing (gigajoules </w:t>
        </w:r>
        <w:r w:rsidR="00052A22" w:rsidRPr="00880361">
          <w:rPr>
            <w:rStyle w:val="Hyperlink"/>
            <w:noProof/>
          </w:rPr>
          <w:t>per </w:t>
        </w:r>
        <w:r w:rsidR="00052A22" w:rsidRPr="00880361">
          <w:rPr>
            <w:rStyle w:val="Hyperlink"/>
            <w:rFonts w:cs="Calibri"/>
            <w:noProof/>
          </w:rPr>
          <w:t>gross domestic product index)</w:t>
        </w:r>
        <w:r w:rsidR="00052A22">
          <w:rPr>
            <w:noProof/>
            <w:webHidden/>
          </w:rPr>
          <w:tab/>
        </w:r>
        <w:r w:rsidR="00052A22">
          <w:rPr>
            <w:noProof/>
            <w:webHidden/>
          </w:rPr>
          <w:fldChar w:fldCharType="begin"/>
        </w:r>
        <w:r w:rsidR="00052A22">
          <w:rPr>
            <w:noProof/>
            <w:webHidden/>
          </w:rPr>
          <w:instrText xml:space="preserve"> PAGEREF _Toc131591322 \h </w:instrText>
        </w:r>
        <w:r w:rsidR="00052A22">
          <w:rPr>
            <w:noProof/>
            <w:webHidden/>
          </w:rPr>
        </w:r>
        <w:r w:rsidR="00052A22">
          <w:rPr>
            <w:noProof/>
            <w:webHidden/>
          </w:rPr>
          <w:fldChar w:fldCharType="separate"/>
        </w:r>
        <w:r w:rsidR="008F39B8">
          <w:rPr>
            <w:noProof/>
            <w:webHidden/>
          </w:rPr>
          <w:t>83</w:t>
        </w:r>
        <w:r w:rsidR="00052A22">
          <w:rPr>
            <w:noProof/>
            <w:webHidden/>
          </w:rPr>
          <w:fldChar w:fldCharType="end"/>
        </w:r>
      </w:hyperlink>
    </w:p>
    <w:p w14:paraId="6FA36011" w14:textId="3DDE227E" w:rsidR="00052A22" w:rsidRDefault="007E17B8">
      <w:pPr>
        <w:pStyle w:val="TableofFigures"/>
        <w:rPr>
          <w:rFonts w:asciiTheme="minorHAnsi" w:eastAsiaTheme="minorEastAsia" w:hAnsiTheme="minorHAnsi" w:cstheme="minorBidi"/>
          <w:noProof/>
          <w:sz w:val="22"/>
        </w:rPr>
      </w:pPr>
      <w:hyperlink w:anchor="_Toc131591323" w:history="1">
        <w:r w:rsidR="00052A22" w:rsidRPr="00880361">
          <w:rPr>
            <w:rStyle w:val="Hyperlink"/>
            <w:noProof/>
          </w:rPr>
          <w:t>Table 3.3.6</w:t>
        </w:r>
        <w:r w:rsidR="00052A22">
          <w:rPr>
            <w:rFonts w:asciiTheme="minorHAnsi" w:eastAsiaTheme="minorEastAsia" w:hAnsiTheme="minorHAnsi" w:cstheme="minorBidi"/>
            <w:noProof/>
            <w:sz w:val="22"/>
          </w:rPr>
          <w:tab/>
        </w:r>
        <w:r w:rsidR="00052A22" w:rsidRPr="00880361">
          <w:rPr>
            <w:rStyle w:val="Hyperlink"/>
            <w:noProof/>
          </w:rPr>
          <w:t xml:space="preserve">Key categories for 1.A.3 </w:t>
        </w:r>
        <w:r w:rsidR="00052A22" w:rsidRPr="00880361">
          <w:rPr>
            <w:rStyle w:val="Hyperlink"/>
            <w:i/>
            <w:iCs/>
            <w:noProof/>
          </w:rPr>
          <w:t>Transport</w:t>
        </w:r>
        <w:r w:rsidR="00052A22">
          <w:rPr>
            <w:noProof/>
            <w:webHidden/>
          </w:rPr>
          <w:tab/>
        </w:r>
        <w:r w:rsidR="00052A22">
          <w:rPr>
            <w:noProof/>
            <w:webHidden/>
          </w:rPr>
          <w:fldChar w:fldCharType="begin"/>
        </w:r>
        <w:r w:rsidR="00052A22">
          <w:rPr>
            <w:noProof/>
            <w:webHidden/>
          </w:rPr>
          <w:instrText xml:space="preserve"> PAGEREF _Toc131591323 \h </w:instrText>
        </w:r>
        <w:r w:rsidR="00052A22">
          <w:rPr>
            <w:noProof/>
            <w:webHidden/>
          </w:rPr>
        </w:r>
        <w:r w:rsidR="00052A22">
          <w:rPr>
            <w:noProof/>
            <w:webHidden/>
          </w:rPr>
          <w:fldChar w:fldCharType="separate"/>
        </w:r>
        <w:r w:rsidR="008F39B8">
          <w:rPr>
            <w:noProof/>
            <w:webHidden/>
          </w:rPr>
          <w:t>87</w:t>
        </w:r>
        <w:r w:rsidR="00052A22">
          <w:rPr>
            <w:noProof/>
            <w:webHidden/>
          </w:rPr>
          <w:fldChar w:fldCharType="end"/>
        </w:r>
      </w:hyperlink>
    </w:p>
    <w:p w14:paraId="69A97225" w14:textId="19385902" w:rsidR="00052A22" w:rsidRDefault="007E17B8">
      <w:pPr>
        <w:pStyle w:val="TableofFigures"/>
        <w:rPr>
          <w:rFonts w:asciiTheme="minorHAnsi" w:eastAsiaTheme="minorEastAsia" w:hAnsiTheme="minorHAnsi" w:cstheme="minorBidi"/>
          <w:noProof/>
          <w:sz w:val="22"/>
        </w:rPr>
      </w:pPr>
      <w:hyperlink w:anchor="_Toc131591324" w:history="1">
        <w:r w:rsidR="00052A22" w:rsidRPr="00880361">
          <w:rPr>
            <w:rStyle w:val="Hyperlink"/>
            <w:noProof/>
          </w:rPr>
          <w:t>Table 3.3.7</w:t>
        </w:r>
        <w:r w:rsidR="00052A22">
          <w:rPr>
            <w:rFonts w:asciiTheme="minorHAnsi" w:eastAsiaTheme="minorEastAsia" w:hAnsiTheme="minorHAnsi" w:cstheme="minorBidi"/>
            <w:noProof/>
            <w:sz w:val="22"/>
          </w:rPr>
          <w:tab/>
        </w:r>
        <w:r w:rsidR="00052A22" w:rsidRPr="00880361">
          <w:rPr>
            <w:rStyle w:val="Hyperlink"/>
            <w:noProof/>
          </w:rPr>
          <w:t xml:space="preserve">Key categories for 1.A.4 </w:t>
        </w:r>
        <w:r w:rsidR="00052A22" w:rsidRPr="00880361">
          <w:rPr>
            <w:rStyle w:val="Hyperlink"/>
            <w:i/>
            <w:iCs/>
            <w:noProof/>
            <w:lang w:eastAsia="en-GB"/>
          </w:rPr>
          <w:t>Other sectors</w:t>
        </w:r>
        <w:r w:rsidR="00052A22">
          <w:rPr>
            <w:noProof/>
            <w:webHidden/>
          </w:rPr>
          <w:tab/>
        </w:r>
        <w:r w:rsidR="00052A22">
          <w:rPr>
            <w:noProof/>
            <w:webHidden/>
          </w:rPr>
          <w:fldChar w:fldCharType="begin"/>
        </w:r>
        <w:r w:rsidR="00052A22">
          <w:rPr>
            <w:noProof/>
            <w:webHidden/>
          </w:rPr>
          <w:instrText xml:space="preserve"> PAGEREF _Toc131591324 \h </w:instrText>
        </w:r>
        <w:r w:rsidR="00052A22">
          <w:rPr>
            <w:noProof/>
            <w:webHidden/>
          </w:rPr>
        </w:r>
        <w:r w:rsidR="00052A22">
          <w:rPr>
            <w:noProof/>
            <w:webHidden/>
          </w:rPr>
          <w:fldChar w:fldCharType="separate"/>
        </w:r>
        <w:r w:rsidR="008F39B8">
          <w:rPr>
            <w:noProof/>
            <w:webHidden/>
          </w:rPr>
          <w:t>95</w:t>
        </w:r>
        <w:r w:rsidR="00052A22">
          <w:rPr>
            <w:noProof/>
            <w:webHidden/>
          </w:rPr>
          <w:fldChar w:fldCharType="end"/>
        </w:r>
      </w:hyperlink>
    </w:p>
    <w:p w14:paraId="248CECF4" w14:textId="2AA97E99" w:rsidR="00052A22" w:rsidRDefault="007E17B8">
      <w:pPr>
        <w:pStyle w:val="TableofFigures"/>
        <w:rPr>
          <w:rFonts w:asciiTheme="minorHAnsi" w:eastAsiaTheme="minorEastAsia" w:hAnsiTheme="minorHAnsi" w:cstheme="minorBidi"/>
          <w:noProof/>
          <w:sz w:val="22"/>
        </w:rPr>
      </w:pPr>
      <w:hyperlink w:anchor="_Toc131591325" w:history="1">
        <w:r w:rsidR="00052A22" w:rsidRPr="00880361">
          <w:rPr>
            <w:rStyle w:val="Hyperlink"/>
            <w:noProof/>
          </w:rPr>
          <w:t xml:space="preserve">Table 3.3.8 </w:t>
        </w:r>
        <w:r w:rsidR="00052A22">
          <w:rPr>
            <w:rFonts w:asciiTheme="minorHAnsi" w:eastAsiaTheme="minorEastAsia" w:hAnsiTheme="minorHAnsi" w:cstheme="minorBidi"/>
            <w:noProof/>
            <w:sz w:val="22"/>
          </w:rPr>
          <w:tab/>
        </w:r>
        <w:r w:rsidR="00052A22" w:rsidRPr="00880361">
          <w:rPr>
            <w:rStyle w:val="Hyperlink"/>
            <w:noProof/>
          </w:rPr>
          <w:t>Split of fuel oil activity for ‘other primary industry’</w:t>
        </w:r>
        <w:r w:rsidR="00052A22">
          <w:rPr>
            <w:noProof/>
            <w:webHidden/>
          </w:rPr>
          <w:tab/>
        </w:r>
        <w:r w:rsidR="00052A22">
          <w:rPr>
            <w:noProof/>
            <w:webHidden/>
          </w:rPr>
          <w:fldChar w:fldCharType="begin"/>
        </w:r>
        <w:r w:rsidR="00052A22">
          <w:rPr>
            <w:noProof/>
            <w:webHidden/>
          </w:rPr>
          <w:instrText xml:space="preserve"> PAGEREF _Toc131591325 \h </w:instrText>
        </w:r>
        <w:r w:rsidR="00052A22">
          <w:rPr>
            <w:noProof/>
            <w:webHidden/>
          </w:rPr>
        </w:r>
        <w:r w:rsidR="00052A22">
          <w:rPr>
            <w:noProof/>
            <w:webHidden/>
          </w:rPr>
          <w:fldChar w:fldCharType="separate"/>
        </w:r>
        <w:r w:rsidR="008F39B8">
          <w:rPr>
            <w:noProof/>
            <w:webHidden/>
          </w:rPr>
          <w:t>96</w:t>
        </w:r>
        <w:r w:rsidR="00052A22">
          <w:rPr>
            <w:noProof/>
            <w:webHidden/>
          </w:rPr>
          <w:fldChar w:fldCharType="end"/>
        </w:r>
      </w:hyperlink>
    </w:p>
    <w:p w14:paraId="4D6B1B9D" w14:textId="68E003FE" w:rsidR="00052A22" w:rsidRDefault="007E17B8">
      <w:pPr>
        <w:pStyle w:val="TableofFigures"/>
        <w:rPr>
          <w:rFonts w:asciiTheme="minorHAnsi" w:eastAsiaTheme="minorEastAsia" w:hAnsiTheme="minorHAnsi" w:cstheme="minorBidi"/>
          <w:noProof/>
          <w:sz w:val="22"/>
        </w:rPr>
      </w:pPr>
      <w:hyperlink w:anchor="_Toc131591326" w:history="1">
        <w:r w:rsidR="00052A22" w:rsidRPr="00880361">
          <w:rPr>
            <w:rStyle w:val="Hyperlink"/>
            <w:noProof/>
          </w:rPr>
          <w:t>Table 3.4.1</w:t>
        </w:r>
        <w:r w:rsidR="00052A22">
          <w:rPr>
            <w:rFonts w:asciiTheme="minorHAnsi" w:eastAsiaTheme="minorEastAsia" w:hAnsiTheme="minorHAnsi" w:cstheme="minorBidi"/>
            <w:noProof/>
            <w:sz w:val="22"/>
          </w:rPr>
          <w:tab/>
        </w:r>
        <w:r w:rsidR="00052A22" w:rsidRPr="00880361">
          <w:rPr>
            <w:rStyle w:val="Hyperlink"/>
            <w:noProof/>
          </w:rPr>
          <w:t xml:space="preserve">Key categories for 1.B </w:t>
        </w:r>
        <w:r w:rsidR="00052A22" w:rsidRPr="00880361">
          <w:rPr>
            <w:rStyle w:val="Hyperlink"/>
            <w:i/>
            <w:iCs/>
            <w:noProof/>
          </w:rPr>
          <w:t>Fugitive emissions</w:t>
        </w:r>
        <w:r w:rsidR="00052A22">
          <w:rPr>
            <w:noProof/>
            <w:webHidden/>
          </w:rPr>
          <w:tab/>
        </w:r>
        <w:r w:rsidR="00052A22">
          <w:rPr>
            <w:noProof/>
            <w:webHidden/>
          </w:rPr>
          <w:fldChar w:fldCharType="begin"/>
        </w:r>
        <w:r w:rsidR="00052A22">
          <w:rPr>
            <w:noProof/>
            <w:webHidden/>
          </w:rPr>
          <w:instrText xml:space="preserve"> PAGEREF _Toc131591326 \h </w:instrText>
        </w:r>
        <w:r w:rsidR="00052A22">
          <w:rPr>
            <w:noProof/>
            <w:webHidden/>
          </w:rPr>
        </w:r>
        <w:r w:rsidR="00052A22">
          <w:rPr>
            <w:noProof/>
            <w:webHidden/>
          </w:rPr>
          <w:fldChar w:fldCharType="separate"/>
        </w:r>
        <w:r w:rsidR="008F39B8">
          <w:rPr>
            <w:noProof/>
            <w:webHidden/>
          </w:rPr>
          <w:t>98</w:t>
        </w:r>
        <w:r w:rsidR="00052A22">
          <w:rPr>
            <w:noProof/>
            <w:webHidden/>
          </w:rPr>
          <w:fldChar w:fldCharType="end"/>
        </w:r>
      </w:hyperlink>
    </w:p>
    <w:p w14:paraId="210F411C" w14:textId="0481EEE6" w:rsidR="00052A22" w:rsidRDefault="007E17B8">
      <w:pPr>
        <w:pStyle w:val="TableofFigures"/>
        <w:rPr>
          <w:rFonts w:asciiTheme="minorHAnsi" w:eastAsiaTheme="minorEastAsia" w:hAnsiTheme="minorHAnsi" w:cstheme="minorBidi"/>
          <w:noProof/>
          <w:sz w:val="22"/>
        </w:rPr>
      </w:pPr>
      <w:hyperlink w:anchor="_Toc131591327" w:history="1">
        <w:r w:rsidR="00052A22" w:rsidRPr="00880361">
          <w:rPr>
            <w:rStyle w:val="Hyperlink"/>
            <w:rFonts w:cs="Calibri"/>
            <w:noProof/>
          </w:rPr>
          <w:t xml:space="preserve">Table 3.4.2 </w:t>
        </w:r>
        <w:r w:rsidR="00052A22">
          <w:rPr>
            <w:rFonts w:asciiTheme="minorHAnsi" w:eastAsiaTheme="minorEastAsia" w:hAnsiTheme="minorHAnsi" w:cstheme="minorBidi"/>
            <w:noProof/>
            <w:sz w:val="22"/>
          </w:rPr>
          <w:tab/>
        </w:r>
        <w:r w:rsidR="00052A22" w:rsidRPr="00880361">
          <w:rPr>
            <w:rStyle w:val="Hyperlink"/>
            <w:rFonts w:cs="Calibri"/>
            <w:noProof/>
          </w:rPr>
          <w:t>Details of abandoned underground mines in the North Island</w:t>
        </w:r>
        <w:r w:rsidR="00052A22">
          <w:rPr>
            <w:noProof/>
            <w:webHidden/>
          </w:rPr>
          <w:tab/>
        </w:r>
        <w:r w:rsidR="00052A22">
          <w:rPr>
            <w:noProof/>
            <w:webHidden/>
          </w:rPr>
          <w:fldChar w:fldCharType="begin"/>
        </w:r>
        <w:r w:rsidR="00052A22">
          <w:rPr>
            <w:noProof/>
            <w:webHidden/>
          </w:rPr>
          <w:instrText xml:space="preserve"> PAGEREF _Toc131591327 \h </w:instrText>
        </w:r>
        <w:r w:rsidR="00052A22">
          <w:rPr>
            <w:noProof/>
            <w:webHidden/>
          </w:rPr>
        </w:r>
        <w:r w:rsidR="00052A22">
          <w:rPr>
            <w:noProof/>
            <w:webHidden/>
          </w:rPr>
          <w:fldChar w:fldCharType="separate"/>
        </w:r>
        <w:r w:rsidR="008F39B8">
          <w:rPr>
            <w:noProof/>
            <w:webHidden/>
          </w:rPr>
          <w:t>100</w:t>
        </w:r>
        <w:r w:rsidR="00052A22">
          <w:rPr>
            <w:noProof/>
            <w:webHidden/>
          </w:rPr>
          <w:fldChar w:fldCharType="end"/>
        </w:r>
      </w:hyperlink>
    </w:p>
    <w:p w14:paraId="6141984D" w14:textId="03218F08" w:rsidR="00052A22" w:rsidRDefault="007E17B8">
      <w:pPr>
        <w:pStyle w:val="TableofFigures"/>
        <w:rPr>
          <w:rFonts w:asciiTheme="minorHAnsi" w:eastAsiaTheme="minorEastAsia" w:hAnsiTheme="minorHAnsi" w:cstheme="minorBidi"/>
          <w:noProof/>
          <w:sz w:val="22"/>
        </w:rPr>
      </w:pPr>
      <w:hyperlink w:anchor="_Toc131591328" w:history="1">
        <w:r w:rsidR="00052A22" w:rsidRPr="00880361">
          <w:rPr>
            <w:rStyle w:val="Hyperlink"/>
            <w:noProof/>
          </w:rPr>
          <w:t xml:space="preserve">Table 4.1.1 </w:t>
        </w:r>
        <w:r w:rsidR="00052A22">
          <w:rPr>
            <w:rFonts w:asciiTheme="minorHAnsi" w:eastAsiaTheme="minorEastAsia" w:hAnsiTheme="minorHAnsi" w:cstheme="minorBidi"/>
            <w:noProof/>
            <w:sz w:val="22"/>
          </w:rPr>
          <w:tab/>
        </w:r>
        <w:r w:rsidR="00052A22" w:rsidRPr="00880361">
          <w:rPr>
            <w:rStyle w:val="Hyperlink"/>
            <w:noProof/>
          </w:rPr>
          <w:t>New Zealand’s greenhouse gas emissions for the IPPU sector by category in 1990 and 2021</w:t>
        </w:r>
        <w:r w:rsidR="00052A22">
          <w:rPr>
            <w:noProof/>
            <w:webHidden/>
          </w:rPr>
          <w:tab/>
        </w:r>
        <w:r w:rsidR="00052A22">
          <w:rPr>
            <w:noProof/>
            <w:webHidden/>
          </w:rPr>
          <w:fldChar w:fldCharType="begin"/>
        </w:r>
        <w:r w:rsidR="00052A22">
          <w:rPr>
            <w:noProof/>
            <w:webHidden/>
          </w:rPr>
          <w:instrText xml:space="preserve"> PAGEREF _Toc131591328 \h </w:instrText>
        </w:r>
        <w:r w:rsidR="00052A22">
          <w:rPr>
            <w:noProof/>
            <w:webHidden/>
          </w:rPr>
        </w:r>
        <w:r w:rsidR="00052A22">
          <w:rPr>
            <w:noProof/>
            <w:webHidden/>
          </w:rPr>
          <w:fldChar w:fldCharType="separate"/>
        </w:r>
        <w:r w:rsidR="008F39B8">
          <w:rPr>
            <w:noProof/>
            <w:webHidden/>
          </w:rPr>
          <w:t>111</w:t>
        </w:r>
        <w:r w:rsidR="00052A22">
          <w:rPr>
            <w:noProof/>
            <w:webHidden/>
          </w:rPr>
          <w:fldChar w:fldCharType="end"/>
        </w:r>
      </w:hyperlink>
    </w:p>
    <w:p w14:paraId="2C7CA69A" w14:textId="6D240BAB" w:rsidR="00052A22" w:rsidRDefault="007E17B8">
      <w:pPr>
        <w:pStyle w:val="TableofFigures"/>
        <w:rPr>
          <w:rFonts w:asciiTheme="minorHAnsi" w:eastAsiaTheme="minorEastAsia" w:hAnsiTheme="minorHAnsi" w:cstheme="minorBidi"/>
          <w:noProof/>
          <w:sz w:val="22"/>
        </w:rPr>
      </w:pPr>
      <w:hyperlink w:anchor="_Toc131591329" w:history="1">
        <w:r w:rsidR="00052A22" w:rsidRPr="00880361">
          <w:rPr>
            <w:rStyle w:val="Hyperlink"/>
            <w:noProof/>
          </w:rPr>
          <w:t xml:space="preserve">Table 4.1.2 </w:t>
        </w:r>
        <w:r w:rsidR="00052A22">
          <w:rPr>
            <w:rFonts w:asciiTheme="minorHAnsi" w:eastAsiaTheme="minorEastAsia" w:hAnsiTheme="minorHAnsi" w:cstheme="minorBidi"/>
            <w:noProof/>
            <w:sz w:val="22"/>
          </w:rPr>
          <w:tab/>
        </w:r>
        <w:r w:rsidR="00052A22" w:rsidRPr="00880361">
          <w:rPr>
            <w:rStyle w:val="Hyperlink"/>
            <w:noProof/>
          </w:rPr>
          <w:t>Key categories in the IPPU sector</w:t>
        </w:r>
        <w:r w:rsidR="00052A22">
          <w:rPr>
            <w:noProof/>
            <w:webHidden/>
          </w:rPr>
          <w:tab/>
        </w:r>
        <w:r w:rsidR="00052A22">
          <w:rPr>
            <w:noProof/>
            <w:webHidden/>
          </w:rPr>
          <w:fldChar w:fldCharType="begin"/>
        </w:r>
        <w:r w:rsidR="00052A22">
          <w:rPr>
            <w:noProof/>
            <w:webHidden/>
          </w:rPr>
          <w:instrText xml:space="preserve"> PAGEREF _Toc131591329 \h </w:instrText>
        </w:r>
        <w:r w:rsidR="00052A22">
          <w:rPr>
            <w:noProof/>
            <w:webHidden/>
          </w:rPr>
        </w:r>
        <w:r w:rsidR="00052A22">
          <w:rPr>
            <w:noProof/>
            <w:webHidden/>
          </w:rPr>
          <w:fldChar w:fldCharType="separate"/>
        </w:r>
        <w:r w:rsidR="008F39B8">
          <w:rPr>
            <w:noProof/>
            <w:webHidden/>
          </w:rPr>
          <w:t>112</w:t>
        </w:r>
        <w:r w:rsidR="00052A22">
          <w:rPr>
            <w:noProof/>
            <w:webHidden/>
          </w:rPr>
          <w:fldChar w:fldCharType="end"/>
        </w:r>
      </w:hyperlink>
    </w:p>
    <w:p w14:paraId="4510399D" w14:textId="35083397" w:rsidR="00052A22" w:rsidRDefault="007E17B8">
      <w:pPr>
        <w:pStyle w:val="TableofFigures"/>
        <w:rPr>
          <w:rFonts w:asciiTheme="minorHAnsi" w:eastAsiaTheme="minorEastAsia" w:hAnsiTheme="minorHAnsi" w:cstheme="minorBidi"/>
          <w:noProof/>
          <w:sz w:val="22"/>
        </w:rPr>
      </w:pPr>
      <w:hyperlink w:anchor="_Toc131591330" w:history="1">
        <w:r w:rsidR="00052A22" w:rsidRPr="00880361">
          <w:rPr>
            <w:rStyle w:val="Hyperlink"/>
            <w:noProof/>
          </w:rPr>
          <w:t>Table 4.2.1</w:t>
        </w:r>
        <w:r w:rsidR="00052A22">
          <w:rPr>
            <w:rFonts w:asciiTheme="minorHAnsi" w:eastAsiaTheme="minorEastAsia" w:hAnsiTheme="minorHAnsi" w:cstheme="minorBidi"/>
            <w:noProof/>
            <w:sz w:val="22"/>
          </w:rPr>
          <w:tab/>
        </w:r>
        <w:r w:rsidR="00052A22" w:rsidRPr="00880361">
          <w:rPr>
            <w:rStyle w:val="Hyperlink"/>
            <w:noProof/>
          </w:rPr>
          <w:t>Uncertainty in emissions from mineral products</w:t>
        </w:r>
        <w:r w:rsidR="00052A22">
          <w:rPr>
            <w:noProof/>
            <w:webHidden/>
          </w:rPr>
          <w:tab/>
        </w:r>
        <w:r w:rsidR="00052A22">
          <w:rPr>
            <w:noProof/>
            <w:webHidden/>
          </w:rPr>
          <w:fldChar w:fldCharType="begin"/>
        </w:r>
        <w:r w:rsidR="00052A22">
          <w:rPr>
            <w:noProof/>
            <w:webHidden/>
          </w:rPr>
          <w:instrText xml:space="preserve"> PAGEREF _Toc131591330 \h </w:instrText>
        </w:r>
        <w:r w:rsidR="00052A22">
          <w:rPr>
            <w:noProof/>
            <w:webHidden/>
          </w:rPr>
        </w:r>
        <w:r w:rsidR="00052A22">
          <w:rPr>
            <w:noProof/>
            <w:webHidden/>
          </w:rPr>
          <w:fldChar w:fldCharType="separate"/>
        </w:r>
        <w:r w:rsidR="008F39B8">
          <w:rPr>
            <w:noProof/>
            <w:webHidden/>
          </w:rPr>
          <w:t>119</w:t>
        </w:r>
        <w:r w:rsidR="00052A22">
          <w:rPr>
            <w:noProof/>
            <w:webHidden/>
          </w:rPr>
          <w:fldChar w:fldCharType="end"/>
        </w:r>
      </w:hyperlink>
    </w:p>
    <w:p w14:paraId="1A7F0372" w14:textId="764F9D16" w:rsidR="00052A22" w:rsidRDefault="007E17B8">
      <w:pPr>
        <w:pStyle w:val="TableofFigures"/>
        <w:rPr>
          <w:rFonts w:asciiTheme="minorHAnsi" w:eastAsiaTheme="minorEastAsia" w:hAnsiTheme="minorHAnsi" w:cstheme="minorBidi"/>
          <w:noProof/>
          <w:sz w:val="22"/>
        </w:rPr>
      </w:pPr>
      <w:hyperlink w:anchor="_Toc131591331" w:history="1">
        <w:r w:rsidR="00052A22" w:rsidRPr="00880361">
          <w:rPr>
            <w:rStyle w:val="Hyperlink"/>
            <w:noProof/>
          </w:rPr>
          <w:t>Table 4.3.1</w:t>
        </w:r>
        <w:r w:rsidR="00052A22">
          <w:rPr>
            <w:rFonts w:asciiTheme="minorHAnsi" w:eastAsiaTheme="minorEastAsia" w:hAnsiTheme="minorHAnsi" w:cstheme="minorBidi"/>
            <w:noProof/>
            <w:sz w:val="22"/>
          </w:rPr>
          <w:tab/>
        </w:r>
        <w:r w:rsidR="00052A22" w:rsidRPr="00880361">
          <w:rPr>
            <w:rStyle w:val="Hyperlink"/>
            <w:noProof/>
          </w:rPr>
          <w:t>Country-specific emission factors for indirect emissions</w:t>
        </w:r>
        <w:r w:rsidR="00052A22">
          <w:rPr>
            <w:noProof/>
            <w:webHidden/>
          </w:rPr>
          <w:tab/>
        </w:r>
        <w:r w:rsidR="00052A22">
          <w:rPr>
            <w:noProof/>
            <w:webHidden/>
          </w:rPr>
          <w:fldChar w:fldCharType="begin"/>
        </w:r>
        <w:r w:rsidR="00052A22">
          <w:rPr>
            <w:noProof/>
            <w:webHidden/>
          </w:rPr>
          <w:instrText xml:space="preserve"> PAGEREF _Toc131591331 \h </w:instrText>
        </w:r>
        <w:r w:rsidR="00052A22">
          <w:rPr>
            <w:noProof/>
            <w:webHidden/>
          </w:rPr>
        </w:r>
        <w:r w:rsidR="00052A22">
          <w:rPr>
            <w:noProof/>
            <w:webHidden/>
          </w:rPr>
          <w:fldChar w:fldCharType="separate"/>
        </w:r>
        <w:r w:rsidR="008F39B8">
          <w:rPr>
            <w:noProof/>
            <w:webHidden/>
          </w:rPr>
          <w:t>122</w:t>
        </w:r>
        <w:r w:rsidR="00052A22">
          <w:rPr>
            <w:noProof/>
            <w:webHidden/>
          </w:rPr>
          <w:fldChar w:fldCharType="end"/>
        </w:r>
      </w:hyperlink>
    </w:p>
    <w:p w14:paraId="15B3E3DD" w14:textId="29D88F28" w:rsidR="00052A22" w:rsidRDefault="007E17B8">
      <w:pPr>
        <w:pStyle w:val="TableofFigures"/>
        <w:rPr>
          <w:rFonts w:asciiTheme="minorHAnsi" w:eastAsiaTheme="minorEastAsia" w:hAnsiTheme="minorHAnsi" w:cstheme="minorBidi"/>
          <w:noProof/>
          <w:sz w:val="22"/>
        </w:rPr>
      </w:pPr>
      <w:hyperlink w:anchor="_Toc131591332" w:history="1">
        <w:r w:rsidR="00052A22" w:rsidRPr="00880361">
          <w:rPr>
            <w:rStyle w:val="Hyperlink"/>
            <w:noProof/>
          </w:rPr>
          <w:t>Table 4.3.2</w:t>
        </w:r>
        <w:r w:rsidR="00052A22">
          <w:rPr>
            <w:rFonts w:asciiTheme="minorHAnsi" w:eastAsiaTheme="minorEastAsia" w:hAnsiTheme="minorHAnsi" w:cstheme="minorBidi"/>
            <w:noProof/>
            <w:sz w:val="22"/>
          </w:rPr>
          <w:tab/>
        </w:r>
        <w:r w:rsidR="00052A22" w:rsidRPr="00880361">
          <w:rPr>
            <w:rStyle w:val="Hyperlink"/>
            <w:noProof/>
          </w:rPr>
          <w:t xml:space="preserve">Uncertainty in emissions from the </w:t>
        </w:r>
        <w:r w:rsidR="00052A22" w:rsidRPr="00880361">
          <w:rPr>
            <w:rStyle w:val="Hyperlink"/>
            <w:i/>
            <w:noProof/>
          </w:rPr>
          <w:t>Chemical industry</w:t>
        </w:r>
        <w:r w:rsidR="00052A22" w:rsidRPr="00880361">
          <w:rPr>
            <w:rStyle w:val="Hyperlink"/>
            <w:noProof/>
          </w:rPr>
          <w:t xml:space="preserve"> category</w:t>
        </w:r>
        <w:r w:rsidR="00052A22">
          <w:rPr>
            <w:noProof/>
            <w:webHidden/>
          </w:rPr>
          <w:tab/>
        </w:r>
        <w:r w:rsidR="00052A22">
          <w:rPr>
            <w:noProof/>
            <w:webHidden/>
          </w:rPr>
          <w:fldChar w:fldCharType="begin"/>
        </w:r>
        <w:r w:rsidR="00052A22">
          <w:rPr>
            <w:noProof/>
            <w:webHidden/>
          </w:rPr>
          <w:instrText xml:space="preserve"> PAGEREF _Toc131591332 \h </w:instrText>
        </w:r>
        <w:r w:rsidR="00052A22">
          <w:rPr>
            <w:noProof/>
            <w:webHidden/>
          </w:rPr>
        </w:r>
        <w:r w:rsidR="00052A22">
          <w:rPr>
            <w:noProof/>
            <w:webHidden/>
          </w:rPr>
          <w:fldChar w:fldCharType="separate"/>
        </w:r>
        <w:r w:rsidR="008F39B8">
          <w:rPr>
            <w:noProof/>
            <w:webHidden/>
          </w:rPr>
          <w:t>123</w:t>
        </w:r>
        <w:r w:rsidR="00052A22">
          <w:rPr>
            <w:noProof/>
            <w:webHidden/>
          </w:rPr>
          <w:fldChar w:fldCharType="end"/>
        </w:r>
      </w:hyperlink>
    </w:p>
    <w:p w14:paraId="313958A6" w14:textId="28460837" w:rsidR="00052A22" w:rsidRDefault="007E17B8">
      <w:pPr>
        <w:pStyle w:val="TableofFigures"/>
        <w:rPr>
          <w:rFonts w:asciiTheme="minorHAnsi" w:eastAsiaTheme="minorEastAsia" w:hAnsiTheme="minorHAnsi" w:cstheme="minorBidi"/>
          <w:noProof/>
          <w:sz w:val="22"/>
        </w:rPr>
      </w:pPr>
      <w:hyperlink w:anchor="_Toc131591333" w:history="1">
        <w:r w:rsidR="00052A22" w:rsidRPr="00880361">
          <w:rPr>
            <w:rStyle w:val="Hyperlink"/>
            <w:noProof/>
          </w:rPr>
          <w:t>Table 4.4.1</w:t>
        </w:r>
        <w:r w:rsidR="00052A22">
          <w:rPr>
            <w:rFonts w:asciiTheme="minorHAnsi" w:eastAsiaTheme="minorEastAsia" w:hAnsiTheme="minorHAnsi" w:cstheme="minorBidi"/>
            <w:noProof/>
            <w:sz w:val="22"/>
          </w:rPr>
          <w:tab/>
        </w:r>
        <w:r w:rsidR="00052A22" w:rsidRPr="00880361">
          <w:rPr>
            <w:rStyle w:val="Hyperlink"/>
            <w:noProof/>
          </w:rPr>
          <w:t>Typical analysis from New Zealand Steel Limited of the primary concentrate (provided by New Zealand Steel Limited)</w:t>
        </w:r>
        <w:r w:rsidR="00052A22">
          <w:rPr>
            <w:noProof/>
            <w:webHidden/>
          </w:rPr>
          <w:tab/>
        </w:r>
        <w:r w:rsidR="00052A22">
          <w:rPr>
            <w:noProof/>
            <w:webHidden/>
          </w:rPr>
          <w:fldChar w:fldCharType="begin"/>
        </w:r>
        <w:r w:rsidR="00052A22">
          <w:rPr>
            <w:noProof/>
            <w:webHidden/>
          </w:rPr>
          <w:instrText xml:space="preserve"> PAGEREF _Toc131591333 \h </w:instrText>
        </w:r>
        <w:r w:rsidR="00052A22">
          <w:rPr>
            <w:noProof/>
            <w:webHidden/>
          </w:rPr>
        </w:r>
        <w:r w:rsidR="00052A22">
          <w:rPr>
            <w:noProof/>
            <w:webHidden/>
          </w:rPr>
          <w:fldChar w:fldCharType="separate"/>
        </w:r>
        <w:r w:rsidR="008F39B8">
          <w:rPr>
            <w:noProof/>
            <w:webHidden/>
          </w:rPr>
          <w:t>125</w:t>
        </w:r>
        <w:r w:rsidR="00052A22">
          <w:rPr>
            <w:noProof/>
            <w:webHidden/>
          </w:rPr>
          <w:fldChar w:fldCharType="end"/>
        </w:r>
      </w:hyperlink>
    </w:p>
    <w:p w14:paraId="000A9719" w14:textId="5AEDD1F2" w:rsidR="00052A22" w:rsidRDefault="007E17B8">
      <w:pPr>
        <w:pStyle w:val="TableofFigures"/>
        <w:rPr>
          <w:rFonts w:asciiTheme="minorHAnsi" w:eastAsiaTheme="minorEastAsia" w:hAnsiTheme="minorHAnsi" w:cstheme="minorBidi"/>
          <w:noProof/>
          <w:sz w:val="22"/>
        </w:rPr>
      </w:pPr>
      <w:hyperlink w:anchor="_Toc131591334" w:history="1">
        <w:r w:rsidR="00052A22" w:rsidRPr="00880361">
          <w:rPr>
            <w:rStyle w:val="Hyperlink"/>
            <w:noProof/>
          </w:rPr>
          <w:t>Table 4.4.2</w:t>
        </w:r>
        <w:r w:rsidR="00052A22">
          <w:rPr>
            <w:rFonts w:asciiTheme="minorHAnsi" w:eastAsiaTheme="minorEastAsia" w:hAnsiTheme="minorHAnsi" w:cstheme="minorBidi"/>
            <w:noProof/>
            <w:sz w:val="22"/>
          </w:rPr>
          <w:tab/>
        </w:r>
        <w:r w:rsidR="00052A22" w:rsidRPr="00880361">
          <w:rPr>
            <w:rStyle w:val="Hyperlink"/>
            <w:noProof/>
          </w:rPr>
          <w:t>Uncertainty in emissions from the metal industry</w:t>
        </w:r>
        <w:r w:rsidR="00052A22">
          <w:rPr>
            <w:noProof/>
            <w:webHidden/>
          </w:rPr>
          <w:tab/>
        </w:r>
        <w:r w:rsidR="00052A22">
          <w:rPr>
            <w:noProof/>
            <w:webHidden/>
          </w:rPr>
          <w:fldChar w:fldCharType="begin"/>
        </w:r>
        <w:r w:rsidR="00052A22">
          <w:rPr>
            <w:noProof/>
            <w:webHidden/>
          </w:rPr>
          <w:instrText xml:space="preserve"> PAGEREF _Toc131591334 \h </w:instrText>
        </w:r>
        <w:r w:rsidR="00052A22">
          <w:rPr>
            <w:noProof/>
            <w:webHidden/>
          </w:rPr>
        </w:r>
        <w:r w:rsidR="00052A22">
          <w:rPr>
            <w:noProof/>
            <w:webHidden/>
          </w:rPr>
          <w:fldChar w:fldCharType="separate"/>
        </w:r>
        <w:r w:rsidR="008F39B8">
          <w:rPr>
            <w:noProof/>
            <w:webHidden/>
          </w:rPr>
          <w:t>128</w:t>
        </w:r>
        <w:r w:rsidR="00052A22">
          <w:rPr>
            <w:noProof/>
            <w:webHidden/>
          </w:rPr>
          <w:fldChar w:fldCharType="end"/>
        </w:r>
      </w:hyperlink>
    </w:p>
    <w:p w14:paraId="315355CD" w14:textId="316BB0B6" w:rsidR="00052A22" w:rsidRDefault="007E17B8">
      <w:pPr>
        <w:pStyle w:val="TableofFigures"/>
        <w:rPr>
          <w:rFonts w:asciiTheme="minorHAnsi" w:eastAsiaTheme="minorEastAsia" w:hAnsiTheme="minorHAnsi" w:cstheme="minorBidi"/>
          <w:noProof/>
          <w:sz w:val="22"/>
        </w:rPr>
      </w:pPr>
      <w:hyperlink w:anchor="_Toc131591335" w:history="1">
        <w:r w:rsidR="00052A22" w:rsidRPr="00880361">
          <w:rPr>
            <w:rStyle w:val="Hyperlink"/>
            <w:noProof/>
          </w:rPr>
          <w:t>Table 4.4.3</w:t>
        </w:r>
        <w:r w:rsidR="00052A22">
          <w:rPr>
            <w:rFonts w:asciiTheme="minorHAnsi" w:eastAsiaTheme="minorEastAsia" w:hAnsiTheme="minorHAnsi" w:cstheme="minorBidi"/>
            <w:noProof/>
            <w:sz w:val="22"/>
          </w:rPr>
          <w:tab/>
        </w:r>
        <w:r w:rsidR="00052A22" w:rsidRPr="00880361">
          <w:rPr>
            <w:rStyle w:val="Hyperlink"/>
            <w:noProof/>
          </w:rPr>
          <w:t>Explanation of variations in New Zealand’s aluminium emissions</w:t>
        </w:r>
        <w:r w:rsidR="00052A22">
          <w:rPr>
            <w:noProof/>
            <w:webHidden/>
          </w:rPr>
          <w:tab/>
        </w:r>
        <w:r w:rsidR="00052A22">
          <w:rPr>
            <w:noProof/>
            <w:webHidden/>
          </w:rPr>
          <w:fldChar w:fldCharType="begin"/>
        </w:r>
        <w:r w:rsidR="00052A22">
          <w:rPr>
            <w:noProof/>
            <w:webHidden/>
          </w:rPr>
          <w:instrText xml:space="preserve"> PAGEREF _Toc131591335 \h </w:instrText>
        </w:r>
        <w:r w:rsidR="00052A22">
          <w:rPr>
            <w:noProof/>
            <w:webHidden/>
          </w:rPr>
        </w:r>
        <w:r w:rsidR="00052A22">
          <w:rPr>
            <w:noProof/>
            <w:webHidden/>
          </w:rPr>
          <w:fldChar w:fldCharType="separate"/>
        </w:r>
        <w:r w:rsidR="008F39B8">
          <w:rPr>
            <w:noProof/>
            <w:webHidden/>
          </w:rPr>
          <w:t>129</w:t>
        </w:r>
        <w:r w:rsidR="00052A22">
          <w:rPr>
            <w:noProof/>
            <w:webHidden/>
          </w:rPr>
          <w:fldChar w:fldCharType="end"/>
        </w:r>
      </w:hyperlink>
    </w:p>
    <w:p w14:paraId="650F6A65" w14:textId="0B3B02EC" w:rsidR="00052A22" w:rsidRDefault="007E17B8">
      <w:pPr>
        <w:pStyle w:val="TableofFigures"/>
        <w:rPr>
          <w:rFonts w:asciiTheme="minorHAnsi" w:eastAsiaTheme="minorEastAsia" w:hAnsiTheme="minorHAnsi" w:cstheme="minorBidi"/>
          <w:noProof/>
          <w:sz w:val="22"/>
        </w:rPr>
      </w:pPr>
      <w:hyperlink w:anchor="_Toc131591336" w:history="1">
        <w:r w:rsidR="00052A22" w:rsidRPr="00880361">
          <w:rPr>
            <w:rStyle w:val="Hyperlink"/>
            <w:noProof/>
          </w:rPr>
          <w:t xml:space="preserve">Table 4.5.1 </w:t>
        </w:r>
        <w:r w:rsidR="00052A22">
          <w:rPr>
            <w:rFonts w:asciiTheme="minorHAnsi" w:eastAsiaTheme="minorEastAsia" w:hAnsiTheme="minorHAnsi" w:cstheme="minorBidi"/>
            <w:noProof/>
            <w:sz w:val="22"/>
          </w:rPr>
          <w:tab/>
        </w:r>
        <w:r w:rsidR="00052A22" w:rsidRPr="00880361">
          <w:rPr>
            <w:rStyle w:val="Hyperlink"/>
            <w:noProof/>
          </w:rPr>
          <w:t>Calculation of NMVOC emissions from road paving</w:t>
        </w:r>
        <w:r w:rsidR="00052A22">
          <w:rPr>
            <w:noProof/>
            <w:webHidden/>
          </w:rPr>
          <w:tab/>
        </w:r>
        <w:r w:rsidR="00052A22">
          <w:rPr>
            <w:noProof/>
            <w:webHidden/>
          </w:rPr>
          <w:fldChar w:fldCharType="begin"/>
        </w:r>
        <w:r w:rsidR="00052A22">
          <w:rPr>
            <w:noProof/>
            <w:webHidden/>
          </w:rPr>
          <w:instrText xml:space="preserve"> PAGEREF _Toc131591336 \h </w:instrText>
        </w:r>
        <w:r w:rsidR="00052A22">
          <w:rPr>
            <w:noProof/>
            <w:webHidden/>
          </w:rPr>
        </w:r>
        <w:r w:rsidR="00052A22">
          <w:rPr>
            <w:noProof/>
            <w:webHidden/>
          </w:rPr>
          <w:fldChar w:fldCharType="separate"/>
        </w:r>
        <w:r w:rsidR="008F39B8">
          <w:rPr>
            <w:noProof/>
            <w:webHidden/>
          </w:rPr>
          <w:t>131</w:t>
        </w:r>
        <w:r w:rsidR="00052A22">
          <w:rPr>
            <w:noProof/>
            <w:webHidden/>
          </w:rPr>
          <w:fldChar w:fldCharType="end"/>
        </w:r>
      </w:hyperlink>
    </w:p>
    <w:p w14:paraId="1B7192C3" w14:textId="7DE56807" w:rsidR="00052A22" w:rsidRDefault="007E17B8">
      <w:pPr>
        <w:pStyle w:val="TableofFigures"/>
        <w:rPr>
          <w:rFonts w:asciiTheme="minorHAnsi" w:eastAsiaTheme="minorEastAsia" w:hAnsiTheme="minorHAnsi" w:cstheme="minorBidi"/>
          <w:noProof/>
          <w:sz w:val="22"/>
        </w:rPr>
      </w:pPr>
      <w:hyperlink w:anchor="_Toc131591337" w:history="1">
        <w:r w:rsidR="00052A22" w:rsidRPr="00880361">
          <w:rPr>
            <w:rStyle w:val="Hyperlink"/>
            <w:noProof/>
          </w:rPr>
          <w:t xml:space="preserve">Table 4.5.2 </w:t>
        </w:r>
        <w:r w:rsidR="00052A22">
          <w:rPr>
            <w:rFonts w:asciiTheme="minorHAnsi" w:eastAsiaTheme="minorEastAsia" w:hAnsiTheme="minorHAnsi" w:cstheme="minorBidi"/>
            <w:noProof/>
            <w:sz w:val="22"/>
          </w:rPr>
          <w:tab/>
        </w:r>
        <w:r w:rsidR="00052A22" w:rsidRPr="00880361">
          <w:rPr>
            <w:rStyle w:val="Hyperlink"/>
            <w:noProof/>
          </w:rPr>
          <w:t>Fraction of bitumen in road paving material</w:t>
        </w:r>
        <w:r w:rsidR="00052A22">
          <w:rPr>
            <w:noProof/>
            <w:webHidden/>
          </w:rPr>
          <w:tab/>
        </w:r>
        <w:r w:rsidR="00052A22">
          <w:rPr>
            <w:noProof/>
            <w:webHidden/>
          </w:rPr>
          <w:fldChar w:fldCharType="begin"/>
        </w:r>
        <w:r w:rsidR="00052A22">
          <w:rPr>
            <w:noProof/>
            <w:webHidden/>
          </w:rPr>
          <w:instrText xml:space="preserve"> PAGEREF _Toc131591337 \h </w:instrText>
        </w:r>
        <w:r w:rsidR="00052A22">
          <w:rPr>
            <w:noProof/>
            <w:webHidden/>
          </w:rPr>
        </w:r>
        <w:r w:rsidR="00052A22">
          <w:rPr>
            <w:noProof/>
            <w:webHidden/>
          </w:rPr>
          <w:fldChar w:fldCharType="separate"/>
        </w:r>
        <w:r w:rsidR="008F39B8">
          <w:rPr>
            <w:noProof/>
            <w:webHidden/>
          </w:rPr>
          <w:t>131</w:t>
        </w:r>
        <w:r w:rsidR="00052A22">
          <w:rPr>
            <w:noProof/>
            <w:webHidden/>
          </w:rPr>
          <w:fldChar w:fldCharType="end"/>
        </w:r>
      </w:hyperlink>
    </w:p>
    <w:p w14:paraId="6F181628" w14:textId="52A50422" w:rsidR="00052A22" w:rsidRDefault="007E17B8">
      <w:pPr>
        <w:pStyle w:val="TableofFigures"/>
        <w:rPr>
          <w:rFonts w:asciiTheme="minorHAnsi" w:eastAsiaTheme="minorEastAsia" w:hAnsiTheme="minorHAnsi" w:cstheme="minorBidi"/>
          <w:noProof/>
          <w:sz w:val="22"/>
        </w:rPr>
      </w:pPr>
      <w:hyperlink w:anchor="_Toc131591338" w:history="1">
        <w:r w:rsidR="00052A22" w:rsidRPr="00880361">
          <w:rPr>
            <w:rStyle w:val="Hyperlink"/>
            <w:noProof/>
          </w:rPr>
          <w:t>Table 4.5.3</w:t>
        </w:r>
        <w:r w:rsidR="00052A22">
          <w:rPr>
            <w:rFonts w:asciiTheme="minorHAnsi" w:eastAsiaTheme="minorEastAsia" w:hAnsiTheme="minorHAnsi" w:cstheme="minorBidi"/>
            <w:noProof/>
            <w:sz w:val="22"/>
          </w:rPr>
          <w:tab/>
        </w:r>
        <w:r w:rsidR="00052A22" w:rsidRPr="00880361">
          <w:rPr>
            <w:rStyle w:val="Hyperlink"/>
            <w:noProof/>
          </w:rPr>
          <w:t>Uncertainty in emissions in non-energy products from fuels and solvent use</w:t>
        </w:r>
        <w:r w:rsidR="00052A22">
          <w:rPr>
            <w:noProof/>
            <w:webHidden/>
          </w:rPr>
          <w:tab/>
        </w:r>
        <w:r w:rsidR="00052A22">
          <w:rPr>
            <w:noProof/>
            <w:webHidden/>
          </w:rPr>
          <w:fldChar w:fldCharType="begin"/>
        </w:r>
        <w:r w:rsidR="00052A22">
          <w:rPr>
            <w:noProof/>
            <w:webHidden/>
          </w:rPr>
          <w:instrText xml:space="preserve"> PAGEREF _Toc131591338 \h </w:instrText>
        </w:r>
        <w:r w:rsidR="00052A22">
          <w:rPr>
            <w:noProof/>
            <w:webHidden/>
          </w:rPr>
        </w:r>
        <w:r w:rsidR="00052A22">
          <w:rPr>
            <w:noProof/>
            <w:webHidden/>
          </w:rPr>
          <w:fldChar w:fldCharType="separate"/>
        </w:r>
        <w:r w:rsidR="008F39B8">
          <w:rPr>
            <w:noProof/>
            <w:webHidden/>
          </w:rPr>
          <w:t>132</w:t>
        </w:r>
        <w:r w:rsidR="00052A22">
          <w:rPr>
            <w:noProof/>
            <w:webHidden/>
          </w:rPr>
          <w:fldChar w:fldCharType="end"/>
        </w:r>
      </w:hyperlink>
    </w:p>
    <w:p w14:paraId="0A16FC23" w14:textId="51A9ADB3" w:rsidR="00052A22" w:rsidRDefault="007E17B8">
      <w:pPr>
        <w:pStyle w:val="TableofFigures"/>
        <w:rPr>
          <w:rFonts w:asciiTheme="minorHAnsi" w:eastAsiaTheme="minorEastAsia" w:hAnsiTheme="minorHAnsi" w:cstheme="minorBidi"/>
          <w:noProof/>
          <w:sz w:val="22"/>
        </w:rPr>
      </w:pPr>
      <w:hyperlink w:anchor="_Toc131591339" w:history="1">
        <w:r w:rsidR="00052A22" w:rsidRPr="00880361">
          <w:rPr>
            <w:rStyle w:val="Hyperlink"/>
            <w:noProof/>
          </w:rPr>
          <w:t>Table 4.7.1</w:t>
        </w:r>
        <w:r w:rsidR="00052A22">
          <w:rPr>
            <w:rFonts w:asciiTheme="minorHAnsi" w:eastAsiaTheme="minorEastAsia" w:hAnsiTheme="minorHAnsi" w:cstheme="minorBidi"/>
            <w:noProof/>
            <w:sz w:val="22"/>
          </w:rPr>
          <w:tab/>
        </w:r>
        <w:r w:rsidR="00052A22" w:rsidRPr="00880361">
          <w:rPr>
            <w:rStyle w:val="Hyperlink"/>
            <w:noProof/>
          </w:rPr>
          <w:t>Average charge of HFC-134a in mobile air conditioners, 2009</w:t>
        </w:r>
        <w:r w:rsidR="00052A22">
          <w:rPr>
            <w:noProof/>
            <w:webHidden/>
          </w:rPr>
          <w:tab/>
        </w:r>
        <w:r w:rsidR="00052A22">
          <w:rPr>
            <w:noProof/>
            <w:webHidden/>
          </w:rPr>
          <w:fldChar w:fldCharType="begin"/>
        </w:r>
        <w:r w:rsidR="00052A22">
          <w:rPr>
            <w:noProof/>
            <w:webHidden/>
          </w:rPr>
          <w:instrText xml:space="preserve"> PAGEREF _Toc131591339 \h </w:instrText>
        </w:r>
        <w:r w:rsidR="00052A22">
          <w:rPr>
            <w:noProof/>
            <w:webHidden/>
          </w:rPr>
        </w:r>
        <w:r w:rsidR="00052A22">
          <w:rPr>
            <w:noProof/>
            <w:webHidden/>
          </w:rPr>
          <w:fldChar w:fldCharType="separate"/>
        </w:r>
        <w:r w:rsidR="008F39B8">
          <w:rPr>
            <w:noProof/>
            <w:webHidden/>
          </w:rPr>
          <w:t>135</w:t>
        </w:r>
        <w:r w:rsidR="00052A22">
          <w:rPr>
            <w:noProof/>
            <w:webHidden/>
          </w:rPr>
          <w:fldChar w:fldCharType="end"/>
        </w:r>
      </w:hyperlink>
    </w:p>
    <w:p w14:paraId="2ED38B14" w14:textId="53BDB40D" w:rsidR="00052A22" w:rsidRDefault="007E17B8">
      <w:pPr>
        <w:pStyle w:val="TableofFigures"/>
        <w:rPr>
          <w:rFonts w:asciiTheme="minorHAnsi" w:eastAsiaTheme="minorEastAsia" w:hAnsiTheme="minorHAnsi" w:cstheme="minorBidi"/>
          <w:noProof/>
          <w:sz w:val="22"/>
        </w:rPr>
      </w:pPr>
      <w:hyperlink w:anchor="_Toc131591340" w:history="1">
        <w:r w:rsidR="00052A22" w:rsidRPr="00880361">
          <w:rPr>
            <w:rStyle w:val="Hyperlink"/>
            <w:noProof/>
          </w:rPr>
          <w:t>Table 4.7.2</w:t>
        </w:r>
        <w:r w:rsidR="00052A22">
          <w:rPr>
            <w:rFonts w:asciiTheme="minorHAnsi" w:eastAsiaTheme="minorEastAsia" w:hAnsiTheme="minorHAnsi" w:cstheme="minorBidi"/>
            <w:noProof/>
            <w:sz w:val="22"/>
          </w:rPr>
          <w:tab/>
        </w:r>
        <w:r w:rsidR="00052A22" w:rsidRPr="00880361">
          <w:rPr>
            <w:rStyle w:val="Hyperlink"/>
            <w:noProof/>
          </w:rPr>
          <w:t>Average emissions per dose in metered dose inhalers (milligrams)</w:t>
        </w:r>
        <w:r w:rsidR="00052A22">
          <w:rPr>
            <w:noProof/>
            <w:webHidden/>
          </w:rPr>
          <w:tab/>
        </w:r>
        <w:r w:rsidR="00052A22">
          <w:rPr>
            <w:noProof/>
            <w:webHidden/>
          </w:rPr>
          <w:fldChar w:fldCharType="begin"/>
        </w:r>
        <w:r w:rsidR="00052A22">
          <w:rPr>
            <w:noProof/>
            <w:webHidden/>
          </w:rPr>
          <w:instrText xml:space="preserve"> PAGEREF _Toc131591340 \h </w:instrText>
        </w:r>
        <w:r w:rsidR="00052A22">
          <w:rPr>
            <w:noProof/>
            <w:webHidden/>
          </w:rPr>
        </w:r>
        <w:r w:rsidR="00052A22">
          <w:rPr>
            <w:noProof/>
            <w:webHidden/>
          </w:rPr>
          <w:fldChar w:fldCharType="separate"/>
        </w:r>
        <w:r w:rsidR="008F39B8">
          <w:rPr>
            <w:noProof/>
            <w:webHidden/>
          </w:rPr>
          <w:t>136</w:t>
        </w:r>
        <w:r w:rsidR="00052A22">
          <w:rPr>
            <w:noProof/>
            <w:webHidden/>
          </w:rPr>
          <w:fldChar w:fldCharType="end"/>
        </w:r>
      </w:hyperlink>
    </w:p>
    <w:p w14:paraId="048B593C" w14:textId="3B89D705" w:rsidR="00052A22" w:rsidRDefault="007E17B8">
      <w:pPr>
        <w:pStyle w:val="TableofFigures"/>
        <w:rPr>
          <w:rFonts w:asciiTheme="minorHAnsi" w:eastAsiaTheme="minorEastAsia" w:hAnsiTheme="minorHAnsi" w:cstheme="minorBidi"/>
          <w:noProof/>
          <w:sz w:val="22"/>
        </w:rPr>
      </w:pPr>
      <w:hyperlink w:anchor="_Toc131591341" w:history="1">
        <w:r w:rsidR="00052A22" w:rsidRPr="00880361">
          <w:rPr>
            <w:rStyle w:val="Hyperlink"/>
            <w:noProof/>
          </w:rPr>
          <w:t>Table 4.7.3</w:t>
        </w:r>
        <w:r w:rsidR="00052A22">
          <w:rPr>
            <w:rFonts w:asciiTheme="minorHAnsi" w:eastAsiaTheme="minorEastAsia" w:hAnsiTheme="minorHAnsi" w:cstheme="minorBidi"/>
            <w:noProof/>
            <w:sz w:val="22"/>
          </w:rPr>
          <w:tab/>
        </w:r>
        <w:r w:rsidR="00052A22" w:rsidRPr="00880361">
          <w:rPr>
            <w:rStyle w:val="Hyperlink"/>
            <w:noProof/>
          </w:rPr>
          <w:t>Summary of methodological tiers by sub-application</w:t>
        </w:r>
        <w:r w:rsidR="00052A22">
          <w:rPr>
            <w:noProof/>
            <w:webHidden/>
          </w:rPr>
          <w:tab/>
        </w:r>
        <w:r w:rsidR="00052A22">
          <w:rPr>
            <w:noProof/>
            <w:webHidden/>
          </w:rPr>
          <w:fldChar w:fldCharType="begin"/>
        </w:r>
        <w:r w:rsidR="00052A22">
          <w:rPr>
            <w:noProof/>
            <w:webHidden/>
          </w:rPr>
          <w:instrText xml:space="preserve"> PAGEREF _Toc131591341 \h </w:instrText>
        </w:r>
        <w:r w:rsidR="00052A22">
          <w:rPr>
            <w:noProof/>
            <w:webHidden/>
          </w:rPr>
        </w:r>
        <w:r w:rsidR="00052A22">
          <w:rPr>
            <w:noProof/>
            <w:webHidden/>
          </w:rPr>
          <w:fldChar w:fldCharType="separate"/>
        </w:r>
        <w:r w:rsidR="008F39B8">
          <w:rPr>
            <w:noProof/>
            <w:webHidden/>
          </w:rPr>
          <w:t>138</w:t>
        </w:r>
        <w:r w:rsidR="00052A22">
          <w:rPr>
            <w:noProof/>
            <w:webHidden/>
          </w:rPr>
          <w:fldChar w:fldCharType="end"/>
        </w:r>
      </w:hyperlink>
    </w:p>
    <w:p w14:paraId="70EAF38A" w14:textId="5EE12CCA" w:rsidR="00052A22" w:rsidRDefault="007E17B8">
      <w:pPr>
        <w:pStyle w:val="TableofFigures"/>
        <w:rPr>
          <w:rFonts w:asciiTheme="minorHAnsi" w:eastAsiaTheme="minorEastAsia" w:hAnsiTheme="minorHAnsi" w:cstheme="minorBidi"/>
          <w:noProof/>
          <w:sz w:val="22"/>
        </w:rPr>
      </w:pPr>
      <w:hyperlink w:anchor="_Toc131591342" w:history="1">
        <w:r w:rsidR="00052A22" w:rsidRPr="00880361">
          <w:rPr>
            <w:rStyle w:val="Hyperlink"/>
            <w:noProof/>
          </w:rPr>
          <w:t xml:space="preserve">Table 4.7.4 </w:t>
        </w:r>
        <w:r w:rsidR="00052A22">
          <w:rPr>
            <w:rFonts w:asciiTheme="minorHAnsi" w:eastAsiaTheme="minorEastAsia" w:hAnsiTheme="minorHAnsi" w:cstheme="minorBidi"/>
            <w:noProof/>
            <w:sz w:val="22"/>
          </w:rPr>
          <w:tab/>
        </w:r>
        <w:r w:rsidR="00052A22" w:rsidRPr="00880361">
          <w:rPr>
            <w:rStyle w:val="Hyperlink"/>
            <w:noProof/>
          </w:rPr>
          <w:t>New Zealand’s uncertainties in product uses as substitutes for ozone depleting substances</w:t>
        </w:r>
        <w:r w:rsidR="00052A22">
          <w:rPr>
            <w:noProof/>
            <w:webHidden/>
          </w:rPr>
          <w:tab/>
        </w:r>
        <w:r w:rsidR="00052A22">
          <w:rPr>
            <w:noProof/>
            <w:webHidden/>
          </w:rPr>
          <w:fldChar w:fldCharType="begin"/>
        </w:r>
        <w:r w:rsidR="00052A22">
          <w:rPr>
            <w:noProof/>
            <w:webHidden/>
          </w:rPr>
          <w:instrText xml:space="preserve"> PAGEREF _Toc131591342 \h </w:instrText>
        </w:r>
        <w:r w:rsidR="00052A22">
          <w:rPr>
            <w:noProof/>
            <w:webHidden/>
          </w:rPr>
        </w:r>
        <w:r w:rsidR="00052A22">
          <w:rPr>
            <w:noProof/>
            <w:webHidden/>
          </w:rPr>
          <w:fldChar w:fldCharType="separate"/>
        </w:r>
        <w:r w:rsidR="008F39B8">
          <w:rPr>
            <w:noProof/>
            <w:webHidden/>
          </w:rPr>
          <w:t>140</w:t>
        </w:r>
        <w:r w:rsidR="00052A22">
          <w:rPr>
            <w:noProof/>
            <w:webHidden/>
          </w:rPr>
          <w:fldChar w:fldCharType="end"/>
        </w:r>
      </w:hyperlink>
    </w:p>
    <w:p w14:paraId="008DDD70" w14:textId="72BD9310" w:rsidR="00052A22" w:rsidRDefault="007E17B8">
      <w:pPr>
        <w:pStyle w:val="TableofFigures"/>
        <w:rPr>
          <w:rFonts w:asciiTheme="minorHAnsi" w:eastAsiaTheme="minorEastAsia" w:hAnsiTheme="minorHAnsi" w:cstheme="minorBidi"/>
          <w:noProof/>
          <w:sz w:val="22"/>
        </w:rPr>
      </w:pPr>
      <w:hyperlink w:anchor="_Toc131591343" w:history="1">
        <w:r w:rsidR="00052A22" w:rsidRPr="00880361">
          <w:rPr>
            <w:rStyle w:val="Hyperlink"/>
            <w:noProof/>
          </w:rPr>
          <w:t>Table 4.8.1</w:t>
        </w:r>
        <w:r w:rsidR="00052A22">
          <w:rPr>
            <w:rFonts w:asciiTheme="minorHAnsi" w:eastAsiaTheme="minorEastAsia" w:hAnsiTheme="minorHAnsi" w:cstheme="minorBidi"/>
            <w:noProof/>
            <w:sz w:val="22"/>
          </w:rPr>
          <w:tab/>
        </w:r>
        <w:r w:rsidR="00052A22" w:rsidRPr="00880361">
          <w:rPr>
            <w:rStyle w:val="Hyperlink"/>
            <w:noProof/>
          </w:rPr>
          <w:t>Uncertainty in emissions from other product manufacture and use</w:t>
        </w:r>
        <w:r w:rsidR="00052A22">
          <w:rPr>
            <w:noProof/>
            <w:webHidden/>
          </w:rPr>
          <w:tab/>
        </w:r>
        <w:r w:rsidR="00052A22">
          <w:rPr>
            <w:noProof/>
            <w:webHidden/>
          </w:rPr>
          <w:fldChar w:fldCharType="begin"/>
        </w:r>
        <w:r w:rsidR="00052A22">
          <w:rPr>
            <w:noProof/>
            <w:webHidden/>
          </w:rPr>
          <w:instrText xml:space="preserve"> PAGEREF _Toc131591343 \h </w:instrText>
        </w:r>
        <w:r w:rsidR="00052A22">
          <w:rPr>
            <w:noProof/>
            <w:webHidden/>
          </w:rPr>
        </w:r>
        <w:r w:rsidR="00052A22">
          <w:rPr>
            <w:noProof/>
            <w:webHidden/>
          </w:rPr>
          <w:fldChar w:fldCharType="separate"/>
        </w:r>
        <w:r w:rsidR="008F39B8">
          <w:rPr>
            <w:noProof/>
            <w:webHidden/>
          </w:rPr>
          <w:t>144</w:t>
        </w:r>
        <w:r w:rsidR="00052A22">
          <w:rPr>
            <w:noProof/>
            <w:webHidden/>
          </w:rPr>
          <w:fldChar w:fldCharType="end"/>
        </w:r>
      </w:hyperlink>
    </w:p>
    <w:p w14:paraId="5D74BF2B" w14:textId="70FDF1A6" w:rsidR="00052A22" w:rsidRDefault="007E17B8">
      <w:pPr>
        <w:pStyle w:val="TableofFigures"/>
        <w:rPr>
          <w:rFonts w:asciiTheme="minorHAnsi" w:eastAsiaTheme="minorEastAsia" w:hAnsiTheme="minorHAnsi" w:cstheme="minorBidi"/>
          <w:noProof/>
          <w:sz w:val="22"/>
        </w:rPr>
      </w:pPr>
      <w:hyperlink w:anchor="_Toc131591344" w:history="1">
        <w:r w:rsidR="00052A22" w:rsidRPr="00880361">
          <w:rPr>
            <w:rStyle w:val="Hyperlink"/>
            <w:rFonts w:cs="Calibri"/>
            <w:noProof/>
          </w:rPr>
          <w:t xml:space="preserve">Table 5.1.1 </w:t>
        </w:r>
        <w:r w:rsidR="00052A22">
          <w:rPr>
            <w:rFonts w:asciiTheme="minorHAnsi" w:eastAsiaTheme="minorEastAsia" w:hAnsiTheme="minorHAnsi" w:cstheme="minorBidi"/>
            <w:noProof/>
            <w:sz w:val="22"/>
          </w:rPr>
          <w:tab/>
        </w:r>
        <w:r w:rsidR="00052A22" w:rsidRPr="00880361">
          <w:rPr>
            <w:rStyle w:val="Hyperlink"/>
            <w:rFonts w:cs="Calibri"/>
            <w:noProof/>
          </w:rPr>
          <w:t>Trends and relative contribution of New Zealand’s agricultural greenhouse gas emissions by category between 1990 and 2021</w:t>
        </w:r>
        <w:r w:rsidR="00052A22">
          <w:rPr>
            <w:noProof/>
            <w:webHidden/>
          </w:rPr>
          <w:tab/>
        </w:r>
        <w:r w:rsidR="00052A22">
          <w:rPr>
            <w:noProof/>
            <w:webHidden/>
          </w:rPr>
          <w:fldChar w:fldCharType="begin"/>
        </w:r>
        <w:r w:rsidR="00052A22">
          <w:rPr>
            <w:noProof/>
            <w:webHidden/>
          </w:rPr>
          <w:instrText xml:space="preserve"> PAGEREF _Toc131591344 \h </w:instrText>
        </w:r>
        <w:r w:rsidR="00052A22">
          <w:rPr>
            <w:noProof/>
            <w:webHidden/>
          </w:rPr>
        </w:r>
        <w:r w:rsidR="00052A22">
          <w:rPr>
            <w:noProof/>
            <w:webHidden/>
          </w:rPr>
          <w:fldChar w:fldCharType="separate"/>
        </w:r>
        <w:r w:rsidR="008F39B8">
          <w:rPr>
            <w:noProof/>
            <w:webHidden/>
          </w:rPr>
          <w:t>146</w:t>
        </w:r>
        <w:r w:rsidR="00052A22">
          <w:rPr>
            <w:noProof/>
            <w:webHidden/>
          </w:rPr>
          <w:fldChar w:fldCharType="end"/>
        </w:r>
      </w:hyperlink>
    </w:p>
    <w:p w14:paraId="62D6B846" w14:textId="14AC116E" w:rsidR="00052A22" w:rsidRDefault="007E17B8">
      <w:pPr>
        <w:pStyle w:val="TableofFigures"/>
        <w:rPr>
          <w:rFonts w:asciiTheme="minorHAnsi" w:eastAsiaTheme="minorEastAsia" w:hAnsiTheme="minorHAnsi" w:cstheme="minorBidi"/>
          <w:noProof/>
          <w:sz w:val="22"/>
        </w:rPr>
      </w:pPr>
      <w:hyperlink w:anchor="_Toc131591345" w:history="1">
        <w:r w:rsidR="00052A22" w:rsidRPr="00880361">
          <w:rPr>
            <w:rStyle w:val="Hyperlink"/>
            <w:noProof/>
          </w:rPr>
          <w:t xml:space="preserve">Table 5.1.2 </w:t>
        </w:r>
        <w:r w:rsidR="00052A22">
          <w:rPr>
            <w:rFonts w:asciiTheme="minorHAnsi" w:eastAsiaTheme="minorEastAsia" w:hAnsiTheme="minorHAnsi" w:cstheme="minorBidi"/>
            <w:noProof/>
            <w:sz w:val="22"/>
          </w:rPr>
          <w:tab/>
        </w:r>
        <w:r w:rsidR="00052A22" w:rsidRPr="00880361">
          <w:rPr>
            <w:rStyle w:val="Hyperlink"/>
            <w:noProof/>
          </w:rPr>
          <w:t>Key categories in the Agriculture sector</w:t>
        </w:r>
        <w:r w:rsidR="00052A22">
          <w:rPr>
            <w:noProof/>
            <w:webHidden/>
          </w:rPr>
          <w:tab/>
        </w:r>
        <w:r w:rsidR="00052A22">
          <w:rPr>
            <w:noProof/>
            <w:webHidden/>
          </w:rPr>
          <w:fldChar w:fldCharType="begin"/>
        </w:r>
        <w:r w:rsidR="00052A22">
          <w:rPr>
            <w:noProof/>
            <w:webHidden/>
          </w:rPr>
          <w:instrText xml:space="preserve"> PAGEREF _Toc131591345 \h </w:instrText>
        </w:r>
        <w:r w:rsidR="00052A22">
          <w:rPr>
            <w:noProof/>
            <w:webHidden/>
          </w:rPr>
        </w:r>
        <w:r w:rsidR="00052A22">
          <w:rPr>
            <w:noProof/>
            <w:webHidden/>
          </w:rPr>
          <w:fldChar w:fldCharType="separate"/>
        </w:r>
        <w:r w:rsidR="008F39B8">
          <w:rPr>
            <w:noProof/>
            <w:webHidden/>
          </w:rPr>
          <w:t>151</w:t>
        </w:r>
        <w:r w:rsidR="00052A22">
          <w:rPr>
            <w:noProof/>
            <w:webHidden/>
          </w:rPr>
          <w:fldChar w:fldCharType="end"/>
        </w:r>
      </w:hyperlink>
    </w:p>
    <w:p w14:paraId="6268510F" w14:textId="3DDC14E7" w:rsidR="00052A22" w:rsidRDefault="007E17B8">
      <w:pPr>
        <w:pStyle w:val="TableofFigures"/>
        <w:rPr>
          <w:rFonts w:asciiTheme="minorHAnsi" w:eastAsiaTheme="minorEastAsia" w:hAnsiTheme="minorHAnsi" w:cstheme="minorBidi"/>
          <w:noProof/>
          <w:sz w:val="22"/>
        </w:rPr>
      </w:pPr>
      <w:hyperlink w:anchor="_Toc131591346" w:history="1">
        <w:r w:rsidR="00052A22" w:rsidRPr="00880361">
          <w:rPr>
            <w:rStyle w:val="Hyperlink"/>
            <w:rFonts w:cs="Calibri"/>
            <w:noProof/>
          </w:rPr>
          <w:t xml:space="preserve">Table 5.1.3 </w:t>
        </w:r>
        <w:r w:rsidR="00052A22">
          <w:rPr>
            <w:rFonts w:asciiTheme="minorHAnsi" w:eastAsiaTheme="minorEastAsia" w:hAnsiTheme="minorHAnsi" w:cstheme="minorBidi"/>
            <w:noProof/>
            <w:sz w:val="22"/>
          </w:rPr>
          <w:tab/>
        </w:r>
        <w:r w:rsidR="00052A22" w:rsidRPr="00880361">
          <w:rPr>
            <w:rStyle w:val="Hyperlink"/>
            <w:rFonts w:cs="Calibri"/>
            <w:noProof/>
          </w:rPr>
          <w:t>Methods and emission factors in the Agriculture sector</w:t>
        </w:r>
        <w:r w:rsidR="00052A22">
          <w:rPr>
            <w:noProof/>
            <w:webHidden/>
          </w:rPr>
          <w:tab/>
        </w:r>
        <w:r w:rsidR="00052A22">
          <w:rPr>
            <w:noProof/>
            <w:webHidden/>
          </w:rPr>
          <w:fldChar w:fldCharType="begin"/>
        </w:r>
        <w:r w:rsidR="00052A22">
          <w:rPr>
            <w:noProof/>
            <w:webHidden/>
          </w:rPr>
          <w:instrText xml:space="preserve"> PAGEREF _Toc131591346 \h </w:instrText>
        </w:r>
        <w:r w:rsidR="00052A22">
          <w:rPr>
            <w:noProof/>
            <w:webHidden/>
          </w:rPr>
        </w:r>
        <w:r w:rsidR="00052A22">
          <w:rPr>
            <w:noProof/>
            <w:webHidden/>
          </w:rPr>
          <w:fldChar w:fldCharType="separate"/>
        </w:r>
        <w:r w:rsidR="008F39B8">
          <w:rPr>
            <w:noProof/>
            <w:webHidden/>
          </w:rPr>
          <w:t>152</w:t>
        </w:r>
        <w:r w:rsidR="00052A22">
          <w:rPr>
            <w:noProof/>
            <w:webHidden/>
          </w:rPr>
          <w:fldChar w:fldCharType="end"/>
        </w:r>
      </w:hyperlink>
    </w:p>
    <w:p w14:paraId="56FAA169" w14:textId="7CADD528" w:rsidR="00052A22" w:rsidRDefault="007E17B8">
      <w:pPr>
        <w:pStyle w:val="TableofFigures"/>
        <w:rPr>
          <w:rFonts w:asciiTheme="minorHAnsi" w:eastAsiaTheme="minorEastAsia" w:hAnsiTheme="minorHAnsi" w:cstheme="minorBidi"/>
          <w:noProof/>
          <w:sz w:val="22"/>
        </w:rPr>
      </w:pPr>
      <w:hyperlink w:anchor="_Toc131591347" w:history="1">
        <w:r w:rsidR="00052A22" w:rsidRPr="00880361">
          <w:rPr>
            <w:rStyle w:val="Hyperlink"/>
            <w:noProof/>
          </w:rPr>
          <w:t xml:space="preserve">Table 5.1.4 </w:t>
        </w:r>
        <w:r w:rsidR="00052A22">
          <w:rPr>
            <w:rFonts w:asciiTheme="minorHAnsi" w:eastAsiaTheme="minorEastAsia" w:hAnsiTheme="minorHAnsi" w:cstheme="minorBidi"/>
            <w:noProof/>
            <w:sz w:val="22"/>
          </w:rPr>
          <w:tab/>
        </w:r>
        <w:r w:rsidR="00052A22" w:rsidRPr="00880361">
          <w:rPr>
            <w:rStyle w:val="Hyperlink"/>
            <w:noProof/>
          </w:rPr>
          <w:t>Agriculture sectoral approval process for inventory recalculations and improvements</w:t>
        </w:r>
        <w:r w:rsidR="00052A22">
          <w:rPr>
            <w:noProof/>
            <w:webHidden/>
          </w:rPr>
          <w:tab/>
        </w:r>
        <w:r w:rsidR="00052A22">
          <w:rPr>
            <w:noProof/>
            <w:webHidden/>
          </w:rPr>
          <w:fldChar w:fldCharType="begin"/>
        </w:r>
        <w:r w:rsidR="00052A22">
          <w:rPr>
            <w:noProof/>
            <w:webHidden/>
          </w:rPr>
          <w:instrText xml:space="preserve"> PAGEREF _Toc131591347 \h </w:instrText>
        </w:r>
        <w:r w:rsidR="00052A22">
          <w:rPr>
            <w:noProof/>
            <w:webHidden/>
          </w:rPr>
        </w:r>
        <w:r w:rsidR="00052A22">
          <w:rPr>
            <w:noProof/>
            <w:webHidden/>
          </w:rPr>
          <w:fldChar w:fldCharType="separate"/>
        </w:r>
        <w:r w:rsidR="008F39B8">
          <w:rPr>
            <w:noProof/>
            <w:webHidden/>
          </w:rPr>
          <w:t>166</w:t>
        </w:r>
        <w:r w:rsidR="00052A22">
          <w:rPr>
            <w:noProof/>
            <w:webHidden/>
          </w:rPr>
          <w:fldChar w:fldCharType="end"/>
        </w:r>
      </w:hyperlink>
    </w:p>
    <w:p w14:paraId="680F27BD" w14:textId="69E21136" w:rsidR="00052A22" w:rsidRDefault="007E17B8">
      <w:pPr>
        <w:pStyle w:val="TableofFigures"/>
        <w:rPr>
          <w:rFonts w:asciiTheme="minorHAnsi" w:eastAsiaTheme="minorEastAsia" w:hAnsiTheme="minorHAnsi" w:cstheme="minorBidi"/>
          <w:noProof/>
          <w:sz w:val="22"/>
        </w:rPr>
      </w:pPr>
      <w:hyperlink w:anchor="_Toc131591348" w:history="1">
        <w:r w:rsidR="00052A22" w:rsidRPr="00880361">
          <w:rPr>
            <w:rStyle w:val="Hyperlink"/>
            <w:rFonts w:cs="Calibri"/>
            <w:noProof/>
          </w:rPr>
          <w:t>Table 5.2.1</w:t>
        </w:r>
        <w:r w:rsidR="00052A22">
          <w:rPr>
            <w:rFonts w:asciiTheme="minorHAnsi" w:eastAsiaTheme="minorEastAsia" w:hAnsiTheme="minorHAnsi" w:cstheme="minorBidi"/>
            <w:noProof/>
            <w:sz w:val="22"/>
          </w:rPr>
          <w:tab/>
        </w:r>
        <w:r w:rsidR="00052A22" w:rsidRPr="00880361">
          <w:rPr>
            <w:rStyle w:val="Hyperlink"/>
            <w:rFonts w:cs="Calibri"/>
            <w:noProof/>
          </w:rPr>
          <w:t>Trends and relative contribution of enteric fermentation (methane expressed in kt CO</w:t>
        </w:r>
        <w:r w:rsidR="00052A22" w:rsidRPr="00880361">
          <w:rPr>
            <w:rStyle w:val="Hyperlink"/>
            <w:rFonts w:cs="Calibri"/>
            <w:noProof/>
            <w:vertAlign w:val="subscript"/>
          </w:rPr>
          <w:t>2</w:t>
        </w:r>
        <w:r w:rsidR="00052A22" w:rsidRPr="00880361">
          <w:rPr>
            <w:rStyle w:val="Hyperlink"/>
            <w:rFonts w:cs="Calibri"/>
            <w:noProof/>
          </w:rPr>
          <w:t>-e) from livestock categories between 1990 and 2021</w:t>
        </w:r>
        <w:r w:rsidR="00052A22">
          <w:rPr>
            <w:noProof/>
            <w:webHidden/>
          </w:rPr>
          <w:tab/>
        </w:r>
        <w:r w:rsidR="00052A22">
          <w:rPr>
            <w:noProof/>
            <w:webHidden/>
          </w:rPr>
          <w:fldChar w:fldCharType="begin"/>
        </w:r>
        <w:r w:rsidR="00052A22">
          <w:rPr>
            <w:noProof/>
            <w:webHidden/>
          </w:rPr>
          <w:instrText xml:space="preserve"> PAGEREF _Toc131591348 \h </w:instrText>
        </w:r>
        <w:r w:rsidR="00052A22">
          <w:rPr>
            <w:noProof/>
            <w:webHidden/>
          </w:rPr>
        </w:r>
        <w:r w:rsidR="00052A22">
          <w:rPr>
            <w:noProof/>
            <w:webHidden/>
          </w:rPr>
          <w:fldChar w:fldCharType="separate"/>
        </w:r>
        <w:r w:rsidR="008F39B8">
          <w:rPr>
            <w:noProof/>
            <w:webHidden/>
          </w:rPr>
          <w:t>170</w:t>
        </w:r>
        <w:r w:rsidR="00052A22">
          <w:rPr>
            <w:noProof/>
            <w:webHidden/>
          </w:rPr>
          <w:fldChar w:fldCharType="end"/>
        </w:r>
      </w:hyperlink>
    </w:p>
    <w:p w14:paraId="28745B66" w14:textId="465856FE" w:rsidR="00052A22" w:rsidRDefault="007E17B8">
      <w:pPr>
        <w:pStyle w:val="TableofFigures"/>
        <w:rPr>
          <w:rFonts w:asciiTheme="minorHAnsi" w:eastAsiaTheme="minorEastAsia" w:hAnsiTheme="minorHAnsi" w:cstheme="minorBidi"/>
          <w:noProof/>
          <w:sz w:val="22"/>
        </w:rPr>
      </w:pPr>
      <w:hyperlink w:anchor="_Toc131591349" w:history="1">
        <w:r w:rsidR="00052A22" w:rsidRPr="00880361">
          <w:rPr>
            <w:rStyle w:val="Hyperlink"/>
            <w:rFonts w:cs="Calibri"/>
            <w:noProof/>
          </w:rPr>
          <w:t>Table 5.2.2</w:t>
        </w:r>
        <w:r w:rsidR="00052A22">
          <w:rPr>
            <w:rFonts w:asciiTheme="minorHAnsi" w:eastAsiaTheme="minorEastAsia" w:hAnsiTheme="minorHAnsi" w:cstheme="minorBidi"/>
            <w:noProof/>
            <w:sz w:val="22"/>
          </w:rPr>
          <w:tab/>
        </w:r>
        <w:r w:rsidR="00052A22" w:rsidRPr="00880361">
          <w:rPr>
            <w:rStyle w:val="Hyperlink"/>
            <w:rFonts w:cs="Calibri"/>
            <w:noProof/>
          </w:rPr>
          <w:t>Methane (CH</w:t>
        </w:r>
        <w:r w:rsidR="00052A22" w:rsidRPr="00880361">
          <w:rPr>
            <w:rStyle w:val="Hyperlink"/>
            <w:rFonts w:cs="Calibri"/>
            <w:noProof/>
            <w:vertAlign w:val="subscript"/>
          </w:rPr>
          <w:t>4</w:t>
        </w:r>
        <w:r w:rsidR="00052A22" w:rsidRPr="00880361">
          <w:rPr>
            <w:rStyle w:val="Hyperlink"/>
            <w:rFonts w:cs="Calibri"/>
            <w:noProof/>
          </w:rPr>
          <w:t>) emissions and gross energy intake (GEI) from New Zealand measurements and IPCC (2006) default values</w:t>
        </w:r>
        <w:r w:rsidR="00052A22">
          <w:rPr>
            <w:noProof/>
            <w:webHidden/>
          </w:rPr>
          <w:tab/>
        </w:r>
        <w:r w:rsidR="00052A22">
          <w:rPr>
            <w:noProof/>
            <w:webHidden/>
          </w:rPr>
          <w:fldChar w:fldCharType="begin"/>
        </w:r>
        <w:r w:rsidR="00052A22">
          <w:rPr>
            <w:noProof/>
            <w:webHidden/>
          </w:rPr>
          <w:instrText xml:space="preserve"> PAGEREF _Toc131591349 \h </w:instrText>
        </w:r>
        <w:r w:rsidR="00052A22">
          <w:rPr>
            <w:noProof/>
            <w:webHidden/>
          </w:rPr>
        </w:r>
        <w:r w:rsidR="00052A22">
          <w:rPr>
            <w:noProof/>
            <w:webHidden/>
          </w:rPr>
          <w:fldChar w:fldCharType="separate"/>
        </w:r>
        <w:r w:rsidR="008F39B8">
          <w:rPr>
            <w:noProof/>
            <w:webHidden/>
          </w:rPr>
          <w:t>173</w:t>
        </w:r>
        <w:r w:rsidR="00052A22">
          <w:rPr>
            <w:noProof/>
            <w:webHidden/>
          </w:rPr>
          <w:fldChar w:fldCharType="end"/>
        </w:r>
      </w:hyperlink>
    </w:p>
    <w:p w14:paraId="12E31473" w14:textId="2A397A49" w:rsidR="00052A22" w:rsidRDefault="007E17B8">
      <w:pPr>
        <w:pStyle w:val="TableofFigures"/>
        <w:rPr>
          <w:rFonts w:asciiTheme="minorHAnsi" w:eastAsiaTheme="minorEastAsia" w:hAnsiTheme="minorHAnsi" w:cstheme="minorBidi"/>
          <w:noProof/>
          <w:sz w:val="22"/>
        </w:rPr>
      </w:pPr>
      <w:hyperlink w:anchor="_Toc131591350" w:history="1">
        <w:r w:rsidR="00052A22" w:rsidRPr="00880361">
          <w:rPr>
            <w:rStyle w:val="Hyperlink"/>
            <w:rFonts w:cs="Calibri"/>
            <w:noProof/>
          </w:rPr>
          <w:t>Table 5.2.3</w:t>
        </w:r>
        <w:r w:rsidR="00052A22">
          <w:rPr>
            <w:rFonts w:asciiTheme="minorHAnsi" w:eastAsiaTheme="minorEastAsia" w:hAnsiTheme="minorHAnsi" w:cstheme="minorBidi"/>
            <w:noProof/>
            <w:sz w:val="22"/>
          </w:rPr>
          <w:tab/>
        </w:r>
        <w:r w:rsidR="00052A22" w:rsidRPr="00880361">
          <w:rPr>
            <w:rStyle w:val="Hyperlink"/>
            <w:rFonts w:cs="Calibri"/>
            <w:noProof/>
          </w:rPr>
          <w:t>New Zealand’s implied emission factors for enteric fermentation from 1990 to 2021</w:t>
        </w:r>
        <w:r w:rsidR="00052A22">
          <w:rPr>
            <w:noProof/>
            <w:webHidden/>
          </w:rPr>
          <w:tab/>
        </w:r>
        <w:r w:rsidR="00052A22">
          <w:rPr>
            <w:noProof/>
            <w:webHidden/>
          </w:rPr>
          <w:fldChar w:fldCharType="begin"/>
        </w:r>
        <w:r w:rsidR="00052A22">
          <w:rPr>
            <w:noProof/>
            <w:webHidden/>
          </w:rPr>
          <w:instrText xml:space="preserve"> PAGEREF _Toc131591350 \h </w:instrText>
        </w:r>
        <w:r w:rsidR="00052A22">
          <w:rPr>
            <w:noProof/>
            <w:webHidden/>
          </w:rPr>
        </w:r>
        <w:r w:rsidR="00052A22">
          <w:rPr>
            <w:noProof/>
            <w:webHidden/>
          </w:rPr>
          <w:fldChar w:fldCharType="separate"/>
        </w:r>
        <w:r w:rsidR="008F39B8">
          <w:rPr>
            <w:noProof/>
            <w:webHidden/>
          </w:rPr>
          <w:t>173</w:t>
        </w:r>
        <w:r w:rsidR="00052A22">
          <w:rPr>
            <w:noProof/>
            <w:webHidden/>
          </w:rPr>
          <w:fldChar w:fldCharType="end"/>
        </w:r>
      </w:hyperlink>
    </w:p>
    <w:p w14:paraId="2C9442B1" w14:textId="11D7A1AE" w:rsidR="00052A22" w:rsidRDefault="007E17B8">
      <w:pPr>
        <w:pStyle w:val="TableofFigures"/>
        <w:rPr>
          <w:rFonts w:asciiTheme="minorHAnsi" w:eastAsiaTheme="minorEastAsia" w:hAnsiTheme="minorHAnsi" w:cstheme="minorBidi"/>
          <w:noProof/>
          <w:sz w:val="22"/>
        </w:rPr>
      </w:pPr>
      <w:hyperlink w:anchor="_Toc131591351" w:history="1">
        <w:r w:rsidR="00052A22" w:rsidRPr="00880361">
          <w:rPr>
            <w:rStyle w:val="Hyperlink"/>
            <w:rFonts w:cs="Calibri"/>
            <w:noProof/>
          </w:rPr>
          <w:t>Table 5.2.4</w:t>
        </w:r>
        <w:r w:rsidR="00052A22">
          <w:rPr>
            <w:rFonts w:asciiTheme="minorHAnsi" w:eastAsiaTheme="minorEastAsia" w:hAnsiTheme="minorHAnsi" w:cstheme="minorBidi"/>
            <w:noProof/>
            <w:sz w:val="22"/>
          </w:rPr>
          <w:tab/>
        </w:r>
        <w:r w:rsidR="00052A22" w:rsidRPr="00880361">
          <w:rPr>
            <w:rStyle w:val="Hyperlink"/>
            <w:rFonts w:cs="Calibri"/>
            <w:noProof/>
          </w:rPr>
          <w:t>New Zealand’s uncertainty in the annual estimate of enteric fermentation emissions for 1990 and 2021, estimated using the 95 per cent confidence interval (±16 per cent)</w:t>
        </w:r>
        <w:r w:rsidR="00052A22">
          <w:rPr>
            <w:noProof/>
            <w:webHidden/>
          </w:rPr>
          <w:tab/>
        </w:r>
        <w:r w:rsidR="00052A22">
          <w:rPr>
            <w:noProof/>
            <w:webHidden/>
          </w:rPr>
          <w:fldChar w:fldCharType="begin"/>
        </w:r>
        <w:r w:rsidR="00052A22">
          <w:rPr>
            <w:noProof/>
            <w:webHidden/>
          </w:rPr>
          <w:instrText xml:space="preserve"> PAGEREF _Toc131591351 \h </w:instrText>
        </w:r>
        <w:r w:rsidR="00052A22">
          <w:rPr>
            <w:noProof/>
            <w:webHidden/>
          </w:rPr>
        </w:r>
        <w:r w:rsidR="00052A22">
          <w:rPr>
            <w:noProof/>
            <w:webHidden/>
          </w:rPr>
          <w:fldChar w:fldCharType="separate"/>
        </w:r>
        <w:r w:rsidR="008F39B8">
          <w:rPr>
            <w:noProof/>
            <w:webHidden/>
          </w:rPr>
          <w:t>176</w:t>
        </w:r>
        <w:r w:rsidR="00052A22">
          <w:rPr>
            <w:noProof/>
            <w:webHidden/>
          </w:rPr>
          <w:fldChar w:fldCharType="end"/>
        </w:r>
      </w:hyperlink>
    </w:p>
    <w:p w14:paraId="4ECF3BA5" w14:textId="108B9D6B" w:rsidR="00052A22" w:rsidRDefault="007E17B8">
      <w:pPr>
        <w:pStyle w:val="TableofFigures"/>
        <w:rPr>
          <w:rFonts w:asciiTheme="minorHAnsi" w:eastAsiaTheme="minorEastAsia" w:hAnsiTheme="minorHAnsi" w:cstheme="minorBidi"/>
          <w:noProof/>
          <w:sz w:val="22"/>
        </w:rPr>
      </w:pPr>
      <w:hyperlink w:anchor="_Toc131591352" w:history="1">
        <w:r w:rsidR="00052A22" w:rsidRPr="00880361">
          <w:rPr>
            <w:rStyle w:val="Hyperlink"/>
            <w:rFonts w:cs="Calibri"/>
            <w:noProof/>
          </w:rPr>
          <w:t>Table 5.2.5</w:t>
        </w:r>
        <w:r w:rsidR="00052A22">
          <w:rPr>
            <w:rFonts w:asciiTheme="minorHAnsi" w:eastAsiaTheme="minorEastAsia" w:hAnsiTheme="minorHAnsi" w:cstheme="minorBidi"/>
            <w:noProof/>
            <w:sz w:val="22"/>
          </w:rPr>
          <w:tab/>
        </w:r>
        <w:r w:rsidR="00052A22" w:rsidRPr="00880361">
          <w:rPr>
            <w:rStyle w:val="Hyperlink"/>
            <w:rFonts w:cs="Calibri"/>
            <w:noProof/>
          </w:rPr>
          <w:t>Comparison of the IPCC (2006) default emission factor and country-specific implied emission factors (IEFs) for methane (CH</w:t>
        </w:r>
        <w:r w:rsidR="00052A22" w:rsidRPr="00880361">
          <w:rPr>
            <w:rStyle w:val="Hyperlink"/>
            <w:rFonts w:cs="Calibri"/>
            <w:noProof/>
            <w:vertAlign w:val="subscript"/>
          </w:rPr>
          <w:t>4</w:t>
        </w:r>
        <w:r w:rsidR="00052A22" w:rsidRPr="00880361">
          <w:rPr>
            <w:rStyle w:val="Hyperlink"/>
            <w:rFonts w:cs="Calibri"/>
            <w:noProof/>
          </w:rPr>
          <w:t xml:space="preserve">) from </w:t>
        </w:r>
        <w:r w:rsidR="00052A22" w:rsidRPr="00880361">
          <w:rPr>
            <w:rStyle w:val="Hyperlink"/>
            <w:rFonts w:cs="Calibri"/>
            <w:i/>
            <w:iCs/>
            <w:noProof/>
          </w:rPr>
          <w:t>Enteric fermentation</w:t>
        </w:r>
        <w:r w:rsidR="00052A22" w:rsidRPr="00880361">
          <w:rPr>
            <w:rStyle w:val="Hyperlink"/>
            <w:rFonts w:cs="Calibri"/>
            <w:noProof/>
          </w:rPr>
          <w:t xml:space="preserve"> for </w:t>
        </w:r>
        <w:r w:rsidR="00052A22" w:rsidRPr="00880361">
          <w:rPr>
            <w:rStyle w:val="Hyperlink"/>
            <w:rFonts w:cs="Calibri"/>
            <w:i/>
            <w:iCs/>
            <w:noProof/>
          </w:rPr>
          <w:t>Dairy cattle</w:t>
        </w:r>
        <w:r w:rsidR="00052A22" w:rsidRPr="00880361">
          <w:rPr>
            <w:rStyle w:val="Hyperlink"/>
            <w:rFonts w:cs="Calibri"/>
            <w:noProof/>
          </w:rPr>
          <w:t xml:space="preserve">, </w:t>
        </w:r>
        <w:r w:rsidR="00052A22" w:rsidRPr="00880361">
          <w:rPr>
            <w:rStyle w:val="Hyperlink"/>
            <w:rFonts w:cs="Calibri"/>
            <w:i/>
            <w:iCs/>
            <w:noProof/>
          </w:rPr>
          <w:t>Non</w:t>
        </w:r>
        <w:r w:rsidR="00052A22" w:rsidRPr="00880361">
          <w:rPr>
            <w:rStyle w:val="Hyperlink"/>
            <w:rFonts w:cs="Calibri"/>
            <w:i/>
            <w:iCs/>
            <w:noProof/>
          </w:rPr>
          <w:noBreakHyphen/>
          <w:t>dairy</w:t>
        </w:r>
        <w:r w:rsidR="00052A22" w:rsidRPr="00880361">
          <w:rPr>
            <w:rStyle w:val="Hyperlink"/>
            <w:rFonts w:cs="Calibri"/>
            <w:noProof/>
          </w:rPr>
          <w:t xml:space="preserve"> (beef) </w:t>
        </w:r>
        <w:r w:rsidR="00052A22" w:rsidRPr="00880361">
          <w:rPr>
            <w:rStyle w:val="Hyperlink"/>
            <w:rFonts w:cs="Calibri"/>
            <w:i/>
            <w:iCs/>
            <w:noProof/>
          </w:rPr>
          <w:t>cattle</w:t>
        </w:r>
        <w:r w:rsidR="00052A22" w:rsidRPr="00880361">
          <w:rPr>
            <w:rStyle w:val="Hyperlink"/>
            <w:rFonts w:cs="Calibri"/>
            <w:noProof/>
          </w:rPr>
          <w:t xml:space="preserve"> and </w:t>
        </w:r>
        <w:r w:rsidR="00052A22" w:rsidRPr="00880361">
          <w:rPr>
            <w:rStyle w:val="Hyperlink"/>
            <w:rFonts w:cs="Calibri"/>
            <w:i/>
            <w:iCs/>
            <w:noProof/>
          </w:rPr>
          <w:t>Sheep</w:t>
        </w:r>
        <w:r w:rsidR="00052A22">
          <w:rPr>
            <w:noProof/>
            <w:webHidden/>
          </w:rPr>
          <w:tab/>
        </w:r>
        <w:r w:rsidR="00052A22">
          <w:rPr>
            <w:noProof/>
            <w:webHidden/>
          </w:rPr>
          <w:fldChar w:fldCharType="begin"/>
        </w:r>
        <w:r w:rsidR="00052A22">
          <w:rPr>
            <w:noProof/>
            <w:webHidden/>
          </w:rPr>
          <w:instrText xml:space="preserve"> PAGEREF _Toc131591352 \h </w:instrText>
        </w:r>
        <w:r w:rsidR="00052A22">
          <w:rPr>
            <w:noProof/>
            <w:webHidden/>
          </w:rPr>
        </w:r>
        <w:r w:rsidR="00052A22">
          <w:rPr>
            <w:noProof/>
            <w:webHidden/>
          </w:rPr>
          <w:fldChar w:fldCharType="separate"/>
        </w:r>
        <w:r w:rsidR="008F39B8">
          <w:rPr>
            <w:noProof/>
            <w:webHidden/>
          </w:rPr>
          <w:t>177</w:t>
        </w:r>
        <w:r w:rsidR="00052A22">
          <w:rPr>
            <w:noProof/>
            <w:webHidden/>
          </w:rPr>
          <w:fldChar w:fldCharType="end"/>
        </w:r>
      </w:hyperlink>
    </w:p>
    <w:p w14:paraId="7F2FFD62" w14:textId="6C9AB1C2" w:rsidR="00052A22" w:rsidRDefault="007E17B8">
      <w:pPr>
        <w:pStyle w:val="TableofFigures"/>
        <w:rPr>
          <w:rFonts w:asciiTheme="minorHAnsi" w:eastAsiaTheme="minorEastAsia" w:hAnsiTheme="minorHAnsi" w:cstheme="minorBidi"/>
          <w:noProof/>
          <w:sz w:val="22"/>
        </w:rPr>
      </w:pPr>
      <w:hyperlink w:anchor="_Toc131591353" w:history="1">
        <w:r w:rsidR="00052A22" w:rsidRPr="00880361">
          <w:rPr>
            <w:rStyle w:val="Hyperlink"/>
            <w:rFonts w:cs="Calibri"/>
            <w:noProof/>
          </w:rPr>
          <w:t>Table 5.2.6</w:t>
        </w:r>
        <w:r w:rsidR="00052A22">
          <w:rPr>
            <w:rFonts w:asciiTheme="minorHAnsi" w:eastAsiaTheme="minorEastAsia" w:hAnsiTheme="minorHAnsi" w:cstheme="minorBidi"/>
            <w:noProof/>
            <w:sz w:val="22"/>
          </w:rPr>
          <w:tab/>
        </w:r>
        <w:r w:rsidR="00052A22" w:rsidRPr="00880361">
          <w:rPr>
            <w:rStyle w:val="Hyperlink"/>
            <w:rFonts w:cs="Calibri"/>
            <w:noProof/>
          </w:rPr>
          <w:t xml:space="preserve">Comparison of the previous dairy population model and the improved dairy population model for emissions from </w:t>
        </w:r>
        <w:r w:rsidR="00052A22" w:rsidRPr="00880361">
          <w:rPr>
            <w:rStyle w:val="Hyperlink"/>
            <w:rFonts w:cs="Calibri"/>
            <w:i/>
            <w:iCs/>
            <w:noProof/>
          </w:rPr>
          <w:t>Enteric fermentation</w:t>
        </w:r>
        <w:r w:rsidR="00052A22">
          <w:rPr>
            <w:noProof/>
            <w:webHidden/>
          </w:rPr>
          <w:tab/>
        </w:r>
        <w:r w:rsidR="00052A22">
          <w:rPr>
            <w:noProof/>
            <w:webHidden/>
          </w:rPr>
          <w:fldChar w:fldCharType="begin"/>
        </w:r>
        <w:r w:rsidR="00052A22">
          <w:rPr>
            <w:noProof/>
            <w:webHidden/>
          </w:rPr>
          <w:instrText xml:space="preserve"> PAGEREF _Toc131591353 \h </w:instrText>
        </w:r>
        <w:r w:rsidR="00052A22">
          <w:rPr>
            <w:noProof/>
            <w:webHidden/>
          </w:rPr>
        </w:r>
        <w:r w:rsidR="00052A22">
          <w:rPr>
            <w:noProof/>
            <w:webHidden/>
          </w:rPr>
          <w:fldChar w:fldCharType="separate"/>
        </w:r>
        <w:r w:rsidR="008F39B8">
          <w:rPr>
            <w:noProof/>
            <w:webHidden/>
          </w:rPr>
          <w:t>180</w:t>
        </w:r>
        <w:r w:rsidR="00052A22">
          <w:rPr>
            <w:noProof/>
            <w:webHidden/>
          </w:rPr>
          <w:fldChar w:fldCharType="end"/>
        </w:r>
      </w:hyperlink>
    </w:p>
    <w:p w14:paraId="6F188DA3" w14:textId="411529C5" w:rsidR="00052A22" w:rsidRDefault="007E17B8">
      <w:pPr>
        <w:pStyle w:val="TableofFigures"/>
        <w:rPr>
          <w:rFonts w:asciiTheme="minorHAnsi" w:eastAsiaTheme="minorEastAsia" w:hAnsiTheme="minorHAnsi" w:cstheme="minorBidi"/>
          <w:noProof/>
          <w:sz w:val="22"/>
        </w:rPr>
      </w:pPr>
      <w:hyperlink w:anchor="_Toc131591354" w:history="1">
        <w:r w:rsidR="00052A22" w:rsidRPr="00880361">
          <w:rPr>
            <w:rStyle w:val="Hyperlink"/>
            <w:rFonts w:cs="Calibri"/>
            <w:noProof/>
          </w:rPr>
          <w:t>Table 5.2.7</w:t>
        </w:r>
        <w:r w:rsidR="00052A22">
          <w:rPr>
            <w:rFonts w:asciiTheme="minorHAnsi" w:eastAsiaTheme="minorEastAsia" w:hAnsiTheme="minorHAnsi" w:cstheme="minorBidi"/>
            <w:noProof/>
            <w:sz w:val="22"/>
          </w:rPr>
          <w:tab/>
        </w:r>
        <w:r w:rsidR="00052A22" w:rsidRPr="00880361">
          <w:rPr>
            <w:rStyle w:val="Hyperlink"/>
            <w:rFonts w:cs="Calibri"/>
            <w:noProof/>
          </w:rPr>
          <w:t>Comparison of the pasture quality values and adjusted feed quality values for emissions from </w:t>
        </w:r>
        <w:r w:rsidR="00052A22" w:rsidRPr="00880361">
          <w:rPr>
            <w:rStyle w:val="Hyperlink"/>
            <w:rFonts w:cs="Calibri"/>
            <w:i/>
            <w:iCs/>
            <w:noProof/>
          </w:rPr>
          <w:t>Enteric fermentation</w:t>
        </w:r>
        <w:r w:rsidR="00052A22">
          <w:rPr>
            <w:noProof/>
            <w:webHidden/>
          </w:rPr>
          <w:tab/>
        </w:r>
        <w:r w:rsidR="00052A22">
          <w:rPr>
            <w:noProof/>
            <w:webHidden/>
          </w:rPr>
          <w:fldChar w:fldCharType="begin"/>
        </w:r>
        <w:r w:rsidR="00052A22">
          <w:rPr>
            <w:noProof/>
            <w:webHidden/>
          </w:rPr>
          <w:instrText xml:space="preserve"> PAGEREF _Toc131591354 \h </w:instrText>
        </w:r>
        <w:r w:rsidR="00052A22">
          <w:rPr>
            <w:noProof/>
            <w:webHidden/>
          </w:rPr>
        </w:r>
        <w:r w:rsidR="00052A22">
          <w:rPr>
            <w:noProof/>
            <w:webHidden/>
          </w:rPr>
          <w:fldChar w:fldCharType="separate"/>
        </w:r>
        <w:r w:rsidR="008F39B8">
          <w:rPr>
            <w:noProof/>
            <w:webHidden/>
          </w:rPr>
          <w:t>181</w:t>
        </w:r>
        <w:r w:rsidR="00052A22">
          <w:rPr>
            <w:noProof/>
            <w:webHidden/>
          </w:rPr>
          <w:fldChar w:fldCharType="end"/>
        </w:r>
      </w:hyperlink>
    </w:p>
    <w:p w14:paraId="1BFE9BEE" w14:textId="119D110E" w:rsidR="00052A22" w:rsidRDefault="007E17B8">
      <w:pPr>
        <w:pStyle w:val="TableofFigures"/>
        <w:rPr>
          <w:rFonts w:asciiTheme="minorHAnsi" w:eastAsiaTheme="minorEastAsia" w:hAnsiTheme="minorHAnsi" w:cstheme="minorBidi"/>
          <w:noProof/>
          <w:sz w:val="22"/>
        </w:rPr>
      </w:pPr>
      <w:hyperlink w:anchor="_Toc131591355" w:history="1">
        <w:r w:rsidR="00052A22" w:rsidRPr="00880361">
          <w:rPr>
            <w:rStyle w:val="Hyperlink"/>
            <w:rFonts w:cs="Calibri"/>
            <w:noProof/>
          </w:rPr>
          <w:t>Table 5.3.1</w:t>
        </w:r>
        <w:r w:rsidR="00052A22">
          <w:rPr>
            <w:rFonts w:asciiTheme="minorHAnsi" w:eastAsiaTheme="minorEastAsia" w:hAnsiTheme="minorHAnsi" w:cstheme="minorBidi"/>
            <w:noProof/>
            <w:sz w:val="22"/>
          </w:rPr>
          <w:tab/>
        </w:r>
        <w:r w:rsidR="00052A22" w:rsidRPr="00880361">
          <w:rPr>
            <w:rStyle w:val="Hyperlink"/>
            <w:rFonts w:cs="Calibri"/>
            <w:noProof/>
          </w:rPr>
          <w:t xml:space="preserve">Trends and relative contribution of methane and nitrous oxide emissions under the </w:t>
        </w:r>
        <w:r w:rsidR="00052A22" w:rsidRPr="00880361">
          <w:rPr>
            <w:rStyle w:val="Hyperlink"/>
            <w:rFonts w:cs="Calibri"/>
            <w:i/>
            <w:iCs/>
            <w:noProof/>
          </w:rPr>
          <w:t>Manure management</w:t>
        </w:r>
        <w:r w:rsidR="00052A22" w:rsidRPr="00880361">
          <w:rPr>
            <w:rStyle w:val="Hyperlink"/>
            <w:rFonts w:cs="Calibri"/>
            <w:noProof/>
          </w:rPr>
          <w:t xml:space="preserve"> category between 1990 and 2021</w:t>
        </w:r>
        <w:r w:rsidR="00052A22">
          <w:rPr>
            <w:noProof/>
            <w:webHidden/>
          </w:rPr>
          <w:tab/>
        </w:r>
        <w:r w:rsidR="00052A22">
          <w:rPr>
            <w:noProof/>
            <w:webHidden/>
          </w:rPr>
          <w:fldChar w:fldCharType="begin"/>
        </w:r>
        <w:r w:rsidR="00052A22">
          <w:rPr>
            <w:noProof/>
            <w:webHidden/>
          </w:rPr>
          <w:instrText xml:space="preserve"> PAGEREF _Toc131591355 \h </w:instrText>
        </w:r>
        <w:r w:rsidR="00052A22">
          <w:rPr>
            <w:noProof/>
            <w:webHidden/>
          </w:rPr>
        </w:r>
        <w:r w:rsidR="00052A22">
          <w:rPr>
            <w:noProof/>
            <w:webHidden/>
          </w:rPr>
          <w:fldChar w:fldCharType="separate"/>
        </w:r>
        <w:r w:rsidR="008F39B8">
          <w:rPr>
            <w:noProof/>
            <w:webHidden/>
          </w:rPr>
          <w:t>184</w:t>
        </w:r>
        <w:r w:rsidR="00052A22">
          <w:rPr>
            <w:noProof/>
            <w:webHidden/>
          </w:rPr>
          <w:fldChar w:fldCharType="end"/>
        </w:r>
      </w:hyperlink>
    </w:p>
    <w:p w14:paraId="11B0BABA" w14:textId="1A3F7FC6" w:rsidR="00052A22" w:rsidRDefault="007E17B8">
      <w:pPr>
        <w:pStyle w:val="TableofFigures"/>
        <w:rPr>
          <w:rFonts w:asciiTheme="minorHAnsi" w:eastAsiaTheme="minorEastAsia" w:hAnsiTheme="minorHAnsi" w:cstheme="minorBidi"/>
          <w:noProof/>
          <w:sz w:val="22"/>
        </w:rPr>
      </w:pPr>
      <w:hyperlink w:anchor="_Toc131591356" w:history="1">
        <w:r w:rsidR="00052A22" w:rsidRPr="00880361">
          <w:rPr>
            <w:rStyle w:val="Hyperlink"/>
            <w:rFonts w:cs="Calibri"/>
            <w:noProof/>
          </w:rPr>
          <w:t>Table 5.3.2</w:t>
        </w:r>
        <w:r w:rsidR="00052A22">
          <w:rPr>
            <w:rFonts w:asciiTheme="minorHAnsi" w:eastAsiaTheme="minorEastAsia" w:hAnsiTheme="minorHAnsi" w:cstheme="minorBidi"/>
            <w:noProof/>
            <w:sz w:val="22"/>
          </w:rPr>
          <w:tab/>
        </w:r>
        <w:r w:rsidR="00052A22" w:rsidRPr="00880361">
          <w:rPr>
            <w:rStyle w:val="Hyperlink"/>
            <w:rFonts w:cs="Calibri"/>
            <w:noProof/>
          </w:rPr>
          <w:t>Distribution of livestock waste across animal waste management systems in New Zealand</w:t>
        </w:r>
        <w:r w:rsidR="00052A22">
          <w:rPr>
            <w:noProof/>
            <w:webHidden/>
          </w:rPr>
          <w:tab/>
        </w:r>
        <w:r w:rsidR="00052A22">
          <w:rPr>
            <w:noProof/>
            <w:webHidden/>
          </w:rPr>
          <w:fldChar w:fldCharType="begin"/>
        </w:r>
        <w:r w:rsidR="00052A22">
          <w:rPr>
            <w:noProof/>
            <w:webHidden/>
          </w:rPr>
          <w:instrText xml:space="preserve"> PAGEREF _Toc131591356 \h </w:instrText>
        </w:r>
        <w:r w:rsidR="00052A22">
          <w:rPr>
            <w:noProof/>
            <w:webHidden/>
          </w:rPr>
        </w:r>
        <w:r w:rsidR="00052A22">
          <w:rPr>
            <w:noProof/>
            <w:webHidden/>
          </w:rPr>
          <w:fldChar w:fldCharType="separate"/>
        </w:r>
        <w:r w:rsidR="008F39B8">
          <w:rPr>
            <w:noProof/>
            <w:webHidden/>
          </w:rPr>
          <w:t>184</w:t>
        </w:r>
        <w:r w:rsidR="00052A22">
          <w:rPr>
            <w:noProof/>
            <w:webHidden/>
          </w:rPr>
          <w:fldChar w:fldCharType="end"/>
        </w:r>
      </w:hyperlink>
    </w:p>
    <w:p w14:paraId="43F82D10" w14:textId="010203EA" w:rsidR="00052A22" w:rsidRDefault="007E17B8">
      <w:pPr>
        <w:pStyle w:val="TableofFigures"/>
        <w:rPr>
          <w:rFonts w:asciiTheme="minorHAnsi" w:eastAsiaTheme="minorEastAsia" w:hAnsiTheme="minorHAnsi" w:cstheme="minorBidi"/>
          <w:noProof/>
          <w:sz w:val="22"/>
        </w:rPr>
      </w:pPr>
      <w:hyperlink w:anchor="_Toc131591357" w:history="1">
        <w:r w:rsidR="00052A22" w:rsidRPr="00880361">
          <w:rPr>
            <w:rStyle w:val="Hyperlink"/>
            <w:rFonts w:cs="Calibri"/>
            <w:noProof/>
          </w:rPr>
          <w:t>Table 5.3.3</w:t>
        </w:r>
        <w:r w:rsidR="00052A22">
          <w:rPr>
            <w:rFonts w:asciiTheme="minorHAnsi" w:eastAsiaTheme="minorEastAsia" w:hAnsiTheme="minorHAnsi" w:cstheme="minorBidi"/>
            <w:noProof/>
            <w:sz w:val="22"/>
          </w:rPr>
          <w:tab/>
        </w:r>
        <w:r w:rsidR="00052A22" w:rsidRPr="00880361">
          <w:rPr>
            <w:rStyle w:val="Hyperlink"/>
            <w:rFonts w:cs="Calibri"/>
            <w:noProof/>
          </w:rPr>
          <w:t>Nitrogen excretion rates (N</w:t>
        </w:r>
        <w:r w:rsidR="00052A22" w:rsidRPr="00880361">
          <w:rPr>
            <w:rStyle w:val="Hyperlink"/>
            <w:rFonts w:cs="Calibri"/>
            <w:noProof/>
            <w:vertAlign w:val="subscript"/>
          </w:rPr>
          <w:t>ex</w:t>
        </w:r>
        <w:r w:rsidR="00052A22" w:rsidRPr="00880361">
          <w:rPr>
            <w:rStyle w:val="Hyperlink"/>
            <w:rFonts w:cs="Calibri"/>
            <w:noProof/>
          </w:rPr>
          <w:t>) for New Zealand’s major livestock categories from 1990 to 2021</w:t>
        </w:r>
        <w:r w:rsidR="00052A22">
          <w:rPr>
            <w:noProof/>
            <w:webHidden/>
          </w:rPr>
          <w:tab/>
        </w:r>
        <w:r w:rsidR="00052A22">
          <w:rPr>
            <w:noProof/>
            <w:webHidden/>
          </w:rPr>
          <w:fldChar w:fldCharType="begin"/>
        </w:r>
        <w:r w:rsidR="00052A22">
          <w:rPr>
            <w:noProof/>
            <w:webHidden/>
          </w:rPr>
          <w:instrText xml:space="preserve"> PAGEREF _Toc131591357 \h </w:instrText>
        </w:r>
        <w:r w:rsidR="00052A22">
          <w:rPr>
            <w:noProof/>
            <w:webHidden/>
          </w:rPr>
        </w:r>
        <w:r w:rsidR="00052A22">
          <w:rPr>
            <w:noProof/>
            <w:webHidden/>
          </w:rPr>
          <w:fldChar w:fldCharType="separate"/>
        </w:r>
        <w:r w:rsidR="008F39B8">
          <w:rPr>
            <w:noProof/>
            <w:webHidden/>
          </w:rPr>
          <w:t>188</w:t>
        </w:r>
        <w:r w:rsidR="00052A22">
          <w:rPr>
            <w:noProof/>
            <w:webHidden/>
          </w:rPr>
          <w:fldChar w:fldCharType="end"/>
        </w:r>
      </w:hyperlink>
    </w:p>
    <w:p w14:paraId="22E5A132" w14:textId="168813C8" w:rsidR="00052A22" w:rsidRDefault="007E17B8">
      <w:pPr>
        <w:pStyle w:val="TableofFigures"/>
        <w:rPr>
          <w:rFonts w:asciiTheme="minorHAnsi" w:eastAsiaTheme="minorEastAsia" w:hAnsiTheme="minorHAnsi" w:cstheme="minorBidi"/>
          <w:noProof/>
          <w:sz w:val="22"/>
        </w:rPr>
      </w:pPr>
      <w:hyperlink w:anchor="_Toc131591358" w:history="1">
        <w:r w:rsidR="00052A22" w:rsidRPr="00880361">
          <w:rPr>
            <w:rStyle w:val="Hyperlink"/>
            <w:rFonts w:cs="Calibri"/>
            <w:noProof/>
          </w:rPr>
          <w:t>Table 5.3.4</w:t>
        </w:r>
        <w:r w:rsidR="00052A22">
          <w:rPr>
            <w:rFonts w:asciiTheme="minorHAnsi" w:eastAsiaTheme="minorEastAsia" w:hAnsiTheme="minorHAnsi" w:cstheme="minorBidi"/>
            <w:noProof/>
            <w:sz w:val="22"/>
          </w:rPr>
          <w:tab/>
        </w:r>
        <w:r w:rsidR="00052A22" w:rsidRPr="00880361">
          <w:rPr>
            <w:rStyle w:val="Hyperlink"/>
            <w:rFonts w:cs="Calibri"/>
            <w:noProof/>
          </w:rPr>
          <w:t>Nitrogen excretion (N</w:t>
        </w:r>
        <w:r w:rsidR="00052A22" w:rsidRPr="00880361">
          <w:rPr>
            <w:rStyle w:val="Hyperlink"/>
            <w:rFonts w:cs="Calibri"/>
            <w:noProof/>
            <w:vertAlign w:val="subscript"/>
          </w:rPr>
          <w:t>ex</w:t>
        </w:r>
        <w:r w:rsidR="00052A22" w:rsidRPr="00880361">
          <w:rPr>
            <w:rStyle w:val="Hyperlink"/>
            <w:rFonts w:cs="Calibri"/>
            <w:noProof/>
          </w:rPr>
          <w:t>) rates for New Zealand’s swine and goats from 1990 to 2021</w:t>
        </w:r>
        <w:r w:rsidR="00052A22">
          <w:rPr>
            <w:noProof/>
            <w:webHidden/>
          </w:rPr>
          <w:tab/>
        </w:r>
        <w:r w:rsidR="00052A22">
          <w:rPr>
            <w:noProof/>
            <w:webHidden/>
          </w:rPr>
          <w:fldChar w:fldCharType="begin"/>
        </w:r>
        <w:r w:rsidR="00052A22">
          <w:rPr>
            <w:noProof/>
            <w:webHidden/>
          </w:rPr>
          <w:instrText xml:space="preserve"> PAGEREF _Toc131591358 \h </w:instrText>
        </w:r>
        <w:r w:rsidR="00052A22">
          <w:rPr>
            <w:noProof/>
            <w:webHidden/>
          </w:rPr>
        </w:r>
        <w:r w:rsidR="00052A22">
          <w:rPr>
            <w:noProof/>
            <w:webHidden/>
          </w:rPr>
          <w:fldChar w:fldCharType="separate"/>
        </w:r>
        <w:r w:rsidR="008F39B8">
          <w:rPr>
            <w:noProof/>
            <w:webHidden/>
          </w:rPr>
          <w:t>189</w:t>
        </w:r>
        <w:r w:rsidR="00052A22">
          <w:rPr>
            <w:noProof/>
            <w:webHidden/>
          </w:rPr>
          <w:fldChar w:fldCharType="end"/>
        </w:r>
      </w:hyperlink>
    </w:p>
    <w:p w14:paraId="5E65C198" w14:textId="26DAE447" w:rsidR="00052A22" w:rsidRDefault="007E17B8">
      <w:pPr>
        <w:pStyle w:val="TableofFigures"/>
        <w:rPr>
          <w:rFonts w:asciiTheme="minorHAnsi" w:eastAsiaTheme="minorEastAsia" w:hAnsiTheme="minorHAnsi" w:cstheme="minorBidi"/>
          <w:noProof/>
          <w:sz w:val="22"/>
        </w:rPr>
      </w:pPr>
      <w:hyperlink w:anchor="_Toc131591359" w:history="1">
        <w:r w:rsidR="00052A22" w:rsidRPr="00880361">
          <w:rPr>
            <w:rStyle w:val="Hyperlink"/>
            <w:rFonts w:cs="Calibri"/>
            <w:noProof/>
          </w:rPr>
          <w:t>Table 5.3.5</w:t>
        </w:r>
        <w:r w:rsidR="00052A22">
          <w:rPr>
            <w:rFonts w:asciiTheme="minorHAnsi" w:eastAsiaTheme="minorEastAsia" w:hAnsiTheme="minorHAnsi" w:cstheme="minorBidi"/>
            <w:noProof/>
            <w:sz w:val="22"/>
          </w:rPr>
          <w:tab/>
        </w:r>
        <w:r w:rsidR="00052A22" w:rsidRPr="00880361">
          <w:rPr>
            <w:rStyle w:val="Hyperlink"/>
            <w:rFonts w:cs="Calibri"/>
            <w:noProof/>
          </w:rPr>
          <w:t>IPCC default values for the fraction of managed manure nitrogen that volatilises as ammonia and oxides of nitrogen (Frac</w:t>
        </w:r>
        <w:r w:rsidR="00052A22" w:rsidRPr="00880361">
          <w:rPr>
            <w:rStyle w:val="Hyperlink"/>
            <w:rFonts w:cs="Calibri"/>
            <w:noProof/>
            <w:vertAlign w:val="subscript"/>
          </w:rPr>
          <w:t>GasMS</w:t>
        </w:r>
        <w:r w:rsidR="00052A22" w:rsidRPr="00880361">
          <w:rPr>
            <w:rStyle w:val="Hyperlink"/>
            <w:rFonts w:cs="Calibri"/>
            <w:noProof/>
          </w:rPr>
          <w:t>/100) for livestock categories per manure management system in New Zealand</w:t>
        </w:r>
        <w:r w:rsidR="00052A22">
          <w:rPr>
            <w:noProof/>
            <w:webHidden/>
          </w:rPr>
          <w:tab/>
        </w:r>
        <w:r w:rsidR="00052A22">
          <w:rPr>
            <w:noProof/>
            <w:webHidden/>
          </w:rPr>
          <w:fldChar w:fldCharType="begin"/>
        </w:r>
        <w:r w:rsidR="00052A22">
          <w:rPr>
            <w:noProof/>
            <w:webHidden/>
          </w:rPr>
          <w:instrText xml:space="preserve"> PAGEREF _Toc131591359 \h </w:instrText>
        </w:r>
        <w:r w:rsidR="00052A22">
          <w:rPr>
            <w:noProof/>
            <w:webHidden/>
          </w:rPr>
        </w:r>
        <w:r w:rsidR="00052A22">
          <w:rPr>
            <w:noProof/>
            <w:webHidden/>
          </w:rPr>
          <w:fldChar w:fldCharType="separate"/>
        </w:r>
        <w:r w:rsidR="008F39B8">
          <w:rPr>
            <w:noProof/>
            <w:webHidden/>
          </w:rPr>
          <w:t>191</w:t>
        </w:r>
        <w:r w:rsidR="00052A22">
          <w:rPr>
            <w:noProof/>
            <w:webHidden/>
          </w:rPr>
          <w:fldChar w:fldCharType="end"/>
        </w:r>
      </w:hyperlink>
    </w:p>
    <w:p w14:paraId="00C0DA89" w14:textId="2664116C" w:rsidR="00052A22" w:rsidRDefault="007E17B8">
      <w:pPr>
        <w:pStyle w:val="TableofFigures"/>
        <w:rPr>
          <w:rFonts w:asciiTheme="minorHAnsi" w:eastAsiaTheme="minorEastAsia" w:hAnsiTheme="minorHAnsi" w:cstheme="minorBidi"/>
          <w:noProof/>
          <w:sz w:val="22"/>
        </w:rPr>
      </w:pPr>
      <w:hyperlink w:anchor="_Toc131591360" w:history="1">
        <w:r w:rsidR="00052A22" w:rsidRPr="00880361">
          <w:rPr>
            <w:rStyle w:val="Hyperlink"/>
            <w:rFonts w:cs="Calibri"/>
            <w:noProof/>
          </w:rPr>
          <w:t>Table 5.3.6</w:t>
        </w:r>
        <w:r w:rsidR="00052A22">
          <w:rPr>
            <w:rFonts w:asciiTheme="minorHAnsi" w:eastAsiaTheme="minorEastAsia" w:hAnsiTheme="minorHAnsi" w:cstheme="minorBidi"/>
            <w:noProof/>
            <w:sz w:val="22"/>
          </w:rPr>
          <w:tab/>
        </w:r>
        <w:r w:rsidR="00052A22" w:rsidRPr="00880361">
          <w:rPr>
            <w:rStyle w:val="Hyperlink"/>
            <w:rFonts w:cs="Calibri"/>
            <w:noProof/>
          </w:rPr>
          <w:t>Comparison of IPCC (2006) table 10A-4 default emission factors and country-specific implied emission factors (IEFs) for methane from manure management</w:t>
        </w:r>
        <w:r w:rsidR="00052A22">
          <w:rPr>
            <w:noProof/>
            <w:webHidden/>
          </w:rPr>
          <w:tab/>
        </w:r>
        <w:r w:rsidR="00052A22">
          <w:rPr>
            <w:noProof/>
            <w:webHidden/>
          </w:rPr>
          <w:fldChar w:fldCharType="begin"/>
        </w:r>
        <w:r w:rsidR="00052A22">
          <w:rPr>
            <w:noProof/>
            <w:webHidden/>
          </w:rPr>
          <w:instrText xml:space="preserve"> PAGEREF _Toc131591360 \h </w:instrText>
        </w:r>
        <w:r w:rsidR="00052A22">
          <w:rPr>
            <w:noProof/>
            <w:webHidden/>
          </w:rPr>
        </w:r>
        <w:r w:rsidR="00052A22">
          <w:rPr>
            <w:noProof/>
            <w:webHidden/>
          </w:rPr>
          <w:fldChar w:fldCharType="separate"/>
        </w:r>
        <w:r w:rsidR="008F39B8">
          <w:rPr>
            <w:noProof/>
            <w:webHidden/>
          </w:rPr>
          <w:t>193</w:t>
        </w:r>
        <w:r w:rsidR="00052A22">
          <w:rPr>
            <w:noProof/>
            <w:webHidden/>
          </w:rPr>
          <w:fldChar w:fldCharType="end"/>
        </w:r>
      </w:hyperlink>
    </w:p>
    <w:p w14:paraId="018C65FB" w14:textId="7752911B" w:rsidR="00052A22" w:rsidRDefault="007E17B8">
      <w:pPr>
        <w:pStyle w:val="TableofFigures"/>
        <w:rPr>
          <w:rFonts w:asciiTheme="minorHAnsi" w:eastAsiaTheme="minorEastAsia" w:hAnsiTheme="minorHAnsi" w:cstheme="minorBidi"/>
          <w:noProof/>
          <w:sz w:val="22"/>
        </w:rPr>
      </w:pPr>
      <w:hyperlink w:anchor="_Toc131591361" w:history="1">
        <w:r w:rsidR="00052A22" w:rsidRPr="00880361">
          <w:rPr>
            <w:rStyle w:val="Hyperlink"/>
            <w:rFonts w:cs="Calibri"/>
            <w:noProof/>
          </w:rPr>
          <w:t>Table 5.3.7</w:t>
        </w:r>
        <w:r w:rsidR="00052A22">
          <w:rPr>
            <w:rFonts w:asciiTheme="minorHAnsi" w:eastAsiaTheme="minorEastAsia" w:hAnsiTheme="minorHAnsi" w:cstheme="minorBidi"/>
            <w:noProof/>
            <w:sz w:val="22"/>
          </w:rPr>
          <w:tab/>
        </w:r>
        <w:r w:rsidR="00052A22" w:rsidRPr="00880361">
          <w:rPr>
            <w:rStyle w:val="Hyperlink"/>
            <w:rFonts w:cs="Calibri"/>
            <w:noProof/>
          </w:rPr>
          <w:t xml:space="preserve">Comparison of the previous dairy population model and the improved dairy population model for emissions from </w:t>
        </w:r>
        <w:r w:rsidR="00052A22" w:rsidRPr="00880361">
          <w:rPr>
            <w:rStyle w:val="Hyperlink"/>
            <w:rFonts w:cs="Calibri"/>
            <w:i/>
            <w:iCs/>
            <w:noProof/>
          </w:rPr>
          <w:t>Manure management</w:t>
        </w:r>
        <w:r w:rsidR="00052A22">
          <w:rPr>
            <w:noProof/>
            <w:webHidden/>
          </w:rPr>
          <w:tab/>
        </w:r>
        <w:r w:rsidR="00052A22">
          <w:rPr>
            <w:noProof/>
            <w:webHidden/>
          </w:rPr>
          <w:fldChar w:fldCharType="begin"/>
        </w:r>
        <w:r w:rsidR="00052A22">
          <w:rPr>
            <w:noProof/>
            <w:webHidden/>
          </w:rPr>
          <w:instrText xml:space="preserve"> PAGEREF _Toc131591361 \h </w:instrText>
        </w:r>
        <w:r w:rsidR="00052A22">
          <w:rPr>
            <w:noProof/>
            <w:webHidden/>
          </w:rPr>
        </w:r>
        <w:r w:rsidR="00052A22">
          <w:rPr>
            <w:noProof/>
            <w:webHidden/>
          </w:rPr>
          <w:fldChar w:fldCharType="separate"/>
        </w:r>
        <w:r w:rsidR="008F39B8">
          <w:rPr>
            <w:noProof/>
            <w:webHidden/>
          </w:rPr>
          <w:t>194</w:t>
        </w:r>
        <w:r w:rsidR="00052A22">
          <w:rPr>
            <w:noProof/>
            <w:webHidden/>
          </w:rPr>
          <w:fldChar w:fldCharType="end"/>
        </w:r>
      </w:hyperlink>
    </w:p>
    <w:p w14:paraId="0231081C" w14:textId="4C5A74AA" w:rsidR="00052A22" w:rsidRDefault="007E17B8">
      <w:pPr>
        <w:pStyle w:val="TableofFigures"/>
        <w:rPr>
          <w:rFonts w:asciiTheme="minorHAnsi" w:eastAsiaTheme="minorEastAsia" w:hAnsiTheme="minorHAnsi" w:cstheme="minorBidi"/>
          <w:noProof/>
          <w:sz w:val="22"/>
        </w:rPr>
      </w:pPr>
      <w:hyperlink w:anchor="_Toc131591362" w:history="1">
        <w:r w:rsidR="00052A22" w:rsidRPr="00880361">
          <w:rPr>
            <w:rStyle w:val="Hyperlink"/>
            <w:rFonts w:cs="Calibri"/>
            <w:noProof/>
          </w:rPr>
          <w:t>Table 5.3.8</w:t>
        </w:r>
        <w:r w:rsidR="00052A22">
          <w:rPr>
            <w:rFonts w:asciiTheme="minorHAnsi" w:eastAsiaTheme="minorEastAsia" w:hAnsiTheme="minorHAnsi" w:cstheme="minorBidi"/>
            <w:noProof/>
            <w:sz w:val="22"/>
          </w:rPr>
          <w:tab/>
        </w:r>
        <w:r w:rsidR="00052A22" w:rsidRPr="00880361">
          <w:rPr>
            <w:rStyle w:val="Hyperlink"/>
            <w:rFonts w:cs="Calibri"/>
            <w:noProof/>
          </w:rPr>
          <w:t xml:space="preserve">Comparison of the pasture quality values and the adjusted feed quality values for emissions from </w:t>
        </w:r>
        <w:r w:rsidR="00052A22" w:rsidRPr="00880361">
          <w:rPr>
            <w:rStyle w:val="Hyperlink"/>
            <w:rFonts w:cs="Calibri"/>
            <w:i/>
            <w:iCs/>
            <w:noProof/>
          </w:rPr>
          <w:t>Manure management</w:t>
        </w:r>
        <w:r w:rsidR="00052A22">
          <w:rPr>
            <w:noProof/>
            <w:webHidden/>
          </w:rPr>
          <w:tab/>
        </w:r>
        <w:r w:rsidR="00052A22">
          <w:rPr>
            <w:noProof/>
            <w:webHidden/>
          </w:rPr>
          <w:fldChar w:fldCharType="begin"/>
        </w:r>
        <w:r w:rsidR="00052A22">
          <w:rPr>
            <w:noProof/>
            <w:webHidden/>
          </w:rPr>
          <w:instrText xml:space="preserve"> PAGEREF _Toc131591362 \h </w:instrText>
        </w:r>
        <w:r w:rsidR="00052A22">
          <w:rPr>
            <w:noProof/>
            <w:webHidden/>
          </w:rPr>
        </w:r>
        <w:r w:rsidR="00052A22">
          <w:rPr>
            <w:noProof/>
            <w:webHidden/>
          </w:rPr>
          <w:fldChar w:fldCharType="separate"/>
        </w:r>
        <w:r w:rsidR="008F39B8">
          <w:rPr>
            <w:noProof/>
            <w:webHidden/>
          </w:rPr>
          <w:t>194</w:t>
        </w:r>
        <w:r w:rsidR="00052A22">
          <w:rPr>
            <w:noProof/>
            <w:webHidden/>
          </w:rPr>
          <w:fldChar w:fldCharType="end"/>
        </w:r>
      </w:hyperlink>
    </w:p>
    <w:p w14:paraId="2E10C272" w14:textId="6E5022A8" w:rsidR="00052A22" w:rsidRDefault="007E17B8">
      <w:pPr>
        <w:pStyle w:val="TableofFigures"/>
        <w:rPr>
          <w:rFonts w:asciiTheme="minorHAnsi" w:eastAsiaTheme="minorEastAsia" w:hAnsiTheme="minorHAnsi" w:cstheme="minorBidi"/>
          <w:noProof/>
          <w:sz w:val="22"/>
        </w:rPr>
      </w:pPr>
      <w:hyperlink w:anchor="_Toc131591363" w:history="1">
        <w:r w:rsidR="00052A22" w:rsidRPr="00880361">
          <w:rPr>
            <w:rStyle w:val="Hyperlink"/>
            <w:rFonts w:cs="Calibri"/>
            <w:noProof/>
          </w:rPr>
          <w:t>Table 5.5.1</w:t>
        </w:r>
        <w:r w:rsidR="00052A22">
          <w:rPr>
            <w:rFonts w:asciiTheme="minorHAnsi" w:eastAsiaTheme="minorEastAsia" w:hAnsiTheme="minorHAnsi" w:cstheme="minorBidi"/>
            <w:noProof/>
            <w:sz w:val="22"/>
          </w:rPr>
          <w:tab/>
        </w:r>
        <w:r w:rsidR="00052A22" w:rsidRPr="00880361">
          <w:rPr>
            <w:rStyle w:val="Hyperlink"/>
            <w:rFonts w:cs="Calibri"/>
            <w:noProof/>
          </w:rPr>
          <w:t xml:space="preserve">Trends and relative contribution of nitrous oxide emissions from </w:t>
        </w:r>
        <w:r w:rsidR="00052A22" w:rsidRPr="00880361">
          <w:rPr>
            <w:rStyle w:val="Hyperlink"/>
            <w:rFonts w:cs="Calibri"/>
            <w:i/>
            <w:iCs/>
            <w:noProof/>
          </w:rPr>
          <w:t>Agricultural soils</w:t>
        </w:r>
        <w:r w:rsidR="00052A22" w:rsidRPr="00880361">
          <w:rPr>
            <w:rStyle w:val="Hyperlink"/>
            <w:rFonts w:cs="Calibri"/>
            <w:noProof/>
          </w:rPr>
          <w:t xml:space="preserve"> categories between 1990 and 2021</w:t>
        </w:r>
        <w:r w:rsidR="00052A22">
          <w:rPr>
            <w:noProof/>
            <w:webHidden/>
          </w:rPr>
          <w:tab/>
        </w:r>
        <w:r w:rsidR="00052A22">
          <w:rPr>
            <w:noProof/>
            <w:webHidden/>
          </w:rPr>
          <w:fldChar w:fldCharType="begin"/>
        </w:r>
        <w:r w:rsidR="00052A22">
          <w:rPr>
            <w:noProof/>
            <w:webHidden/>
          </w:rPr>
          <w:instrText xml:space="preserve"> PAGEREF _Toc131591363 \h </w:instrText>
        </w:r>
        <w:r w:rsidR="00052A22">
          <w:rPr>
            <w:noProof/>
            <w:webHidden/>
          </w:rPr>
        </w:r>
        <w:r w:rsidR="00052A22">
          <w:rPr>
            <w:noProof/>
            <w:webHidden/>
          </w:rPr>
          <w:fldChar w:fldCharType="separate"/>
        </w:r>
        <w:r w:rsidR="008F39B8">
          <w:rPr>
            <w:noProof/>
            <w:webHidden/>
          </w:rPr>
          <w:t>198</w:t>
        </w:r>
        <w:r w:rsidR="00052A22">
          <w:rPr>
            <w:noProof/>
            <w:webHidden/>
          </w:rPr>
          <w:fldChar w:fldCharType="end"/>
        </w:r>
      </w:hyperlink>
    </w:p>
    <w:p w14:paraId="54005751" w14:textId="467BBC69" w:rsidR="00052A22" w:rsidRDefault="007E17B8">
      <w:pPr>
        <w:pStyle w:val="TableofFigures"/>
        <w:rPr>
          <w:rFonts w:asciiTheme="minorHAnsi" w:eastAsiaTheme="minorEastAsia" w:hAnsiTheme="minorHAnsi" w:cstheme="minorBidi"/>
          <w:noProof/>
          <w:sz w:val="22"/>
        </w:rPr>
      </w:pPr>
      <w:hyperlink w:anchor="_Toc131591364" w:history="1">
        <w:r w:rsidR="00052A22" w:rsidRPr="00880361">
          <w:rPr>
            <w:rStyle w:val="Hyperlink"/>
            <w:rFonts w:cs="Calibri"/>
            <w:noProof/>
          </w:rPr>
          <w:t>Table 5.5.2</w:t>
        </w:r>
        <w:r w:rsidR="00052A22">
          <w:rPr>
            <w:rFonts w:asciiTheme="minorHAnsi" w:eastAsiaTheme="minorEastAsia" w:hAnsiTheme="minorHAnsi" w:cstheme="minorBidi"/>
            <w:noProof/>
            <w:sz w:val="22"/>
          </w:rPr>
          <w:tab/>
        </w:r>
        <w:r w:rsidR="00052A22" w:rsidRPr="00880361">
          <w:rPr>
            <w:rStyle w:val="Hyperlink"/>
            <w:rFonts w:cs="Calibri"/>
            <w:noProof/>
          </w:rPr>
          <w:t>Nitrous oxide (N</w:t>
        </w:r>
        <w:r w:rsidR="00052A22" w:rsidRPr="00880361">
          <w:rPr>
            <w:rStyle w:val="Hyperlink"/>
            <w:rFonts w:cs="Calibri"/>
            <w:noProof/>
            <w:vertAlign w:val="subscript"/>
          </w:rPr>
          <w:t>2</w:t>
        </w:r>
        <w:r w:rsidR="00052A22" w:rsidRPr="00880361">
          <w:rPr>
            <w:rStyle w:val="Hyperlink"/>
            <w:rFonts w:cs="Calibri"/>
            <w:noProof/>
          </w:rPr>
          <w:t xml:space="preserve">O) emission factors for </w:t>
        </w:r>
        <w:r w:rsidR="00052A22" w:rsidRPr="00880361">
          <w:rPr>
            <w:rStyle w:val="Hyperlink"/>
            <w:rFonts w:cs="Calibri"/>
            <w:i/>
            <w:iCs/>
            <w:noProof/>
          </w:rPr>
          <w:t>Agricultural soils</w:t>
        </w:r>
        <w:r w:rsidR="00052A22" w:rsidRPr="00880361">
          <w:rPr>
            <w:rStyle w:val="Hyperlink"/>
            <w:rFonts w:cs="Calibri"/>
            <w:noProof/>
          </w:rPr>
          <w:t xml:space="preserve"> in New Zealand, excluding EF</w:t>
        </w:r>
        <w:r w:rsidR="00052A22" w:rsidRPr="00880361">
          <w:rPr>
            <w:rStyle w:val="Hyperlink"/>
            <w:rFonts w:cs="Calibri"/>
            <w:noProof/>
            <w:vertAlign w:val="subscript"/>
          </w:rPr>
          <w:t>3,PRP</w:t>
        </w:r>
        <w:r w:rsidR="00052A22" w:rsidRPr="00880361">
          <w:rPr>
            <w:rStyle w:val="Hyperlink"/>
            <w:rFonts w:cs="Calibri"/>
            <w:noProof/>
            <w:vertAlign w:val="subscript"/>
          </w:rPr>
          <w:noBreakHyphen/>
          <w:t xml:space="preserve"> URINE</w:t>
        </w:r>
        <w:r w:rsidR="00052A22" w:rsidRPr="00880361">
          <w:rPr>
            <w:rStyle w:val="Hyperlink"/>
            <w:rFonts w:cs="Calibri"/>
            <w:noProof/>
          </w:rPr>
          <w:t xml:space="preserve"> for cattle, sheep and deer</w:t>
        </w:r>
        <w:r w:rsidR="00052A22">
          <w:rPr>
            <w:noProof/>
            <w:webHidden/>
          </w:rPr>
          <w:tab/>
        </w:r>
        <w:r w:rsidR="00052A22">
          <w:rPr>
            <w:noProof/>
            <w:webHidden/>
          </w:rPr>
          <w:fldChar w:fldCharType="begin"/>
        </w:r>
        <w:r w:rsidR="00052A22">
          <w:rPr>
            <w:noProof/>
            <w:webHidden/>
          </w:rPr>
          <w:instrText xml:space="preserve"> PAGEREF _Toc131591364 \h </w:instrText>
        </w:r>
        <w:r w:rsidR="00052A22">
          <w:rPr>
            <w:noProof/>
            <w:webHidden/>
          </w:rPr>
        </w:r>
        <w:r w:rsidR="00052A22">
          <w:rPr>
            <w:noProof/>
            <w:webHidden/>
          </w:rPr>
          <w:fldChar w:fldCharType="separate"/>
        </w:r>
        <w:r w:rsidR="008F39B8">
          <w:rPr>
            <w:noProof/>
            <w:webHidden/>
          </w:rPr>
          <w:t>199</w:t>
        </w:r>
        <w:r w:rsidR="00052A22">
          <w:rPr>
            <w:noProof/>
            <w:webHidden/>
          </w:rPr>
          <w:fldChar w:fldCharType="end"/>
        </w:r>
      </w:hyperlink>
    </w:p>
    <w:p w14:paraId="2C229F3C" w14:textId="25580CBC" w:rsidR="00052A22" w:rsidRDefault="007E17B8">
      <w:pPr>
        <w:pStyle w:val="TableofFigures"/>
        <w:rPr>
          <w:rFonts w:asciiTheme="minorHAnsi" w:eastAsiaTheme="minorEastAsia" w:hAnsiTheme="minorHAnsi" w:cstheme="minorBidi"/>
          <w:noProof/>
          <w:sz w:val="22"/>
        </w:rPr>
      </w:pPr>
      <w:hyperlink w:anchor="_Toc131591365" w:history="1">
        <w:r w:rsidR="00052A22" w:rsidRPr="00880361">
          <w:rPr>
            <w:rStyle w:val="Hyperlink"/>
            <w:rFonts w:cs="Calibri"/>
            <w:noProof/>
          </w:rPr>
          <w:t>Table 5.5.3</w:t>
        </w:r>
        <w:r w:rsidR="00052A22">
          <w:rPr>
            <w:rFonts w:asciiTheme="minorHAnsi" w:eastAsiaTheme="minorEastAsia" w:hAnsiTheme="minorHAnsi" w:cstheme="minorBidi"/>
            <w:noProof/>
            <w:sz w:val="22"/>
          </w:rPr>
          <w:tab/>
        </w:r>
        <w:r w:rsidR="00052A22" w:rsidRPr="00880361">
          <w:rPr>
            <w:rStyle w:val="Hyperlink"/>
            <w:rFonts w:cs="Calibri"/>
            <w:noProof/>
          </w:rPr>
          <w:t>Direct nitrous oxide emission factors for urine deposited by cattle, sheep and deer, by livestock type and slope, using values calculated by van der Weerden et al. (2019, 2020)</w:t>
        </w:r>
        <w:r w:rsidR="00052A22">
          <w:rPr>
            <w:noProof/>
            <w:webHidden/>
          </w:rPr>
          <w:tab/>
        </w:r>
        <w:r w:rsidR="00052A22">
          <w:rPr>
            <w:noProof/>
            <w:webHidden/>
          </w:rPr>
          <w:fldChar w:fldCharType="begin"/>
        </w:r>
        <w:r w:rsidR="00052A22">
          <w:rPr>
            <w:noProof/>
            <w:webHidden/>
          </w:rPr>
          <w:instrText xml:space="preserve"> PAGEREF _Toc131591365 \h </w:instrText>
        </w:r>
        <w:r w:rsidR="00052A22">
          <w:rPr>
            <w:noProof/>
            <w:webHidden/>
          </w:rPr>
        </w:r>
        <w:r w:rsidR="00052A22">
          <w:rPr>
            <w:noProof/>
            <w:webHidden/>
          </w:rPr>
          <w:fldChar w:fldCharType="separate"/>
        </w:r>
        <w:r w:rsidR="008F39B8">
          <w:rPr>
            <w:noProof/>
            <w:webHidden/>
          </w:rPr>
          <w:t>200</w:t>
        </w:r>
        <w:r w:rsidR="00052A22">
          <w:rPr>
            <w:noProof/>
            <w:webHidden/>
          </w:rPr>
          <w:fldChar w:fldCharType="end"/>
        </w:r>
      </w:hyperlink>
    </w:p>
    <w:p w14:paraId="47438E59" w14:textId="51294BF4" w:rsidR="00052A22" w:rsidRDefault="007E17B8">
      <w:pPr>
        <w:pStyle w:val="TableofFigures"/>
        <w:rPr>
          <w:rFonts w:asciiTheme="minorHAnsi" w:eastAsiaTheme="minorEastAsia" w:hAnsiTheme="minorHAnsi" w:cstheme="minorBidi"/>
          <w:noProof/>
          <w:sz w:val="22"/>
        </w:rPr>
      </w:pPr>
      <w:hyperlink w:anchor="_Toc131591366" w:history="1">
        <w:r w:rsidR="00052A22" w:rsidRPr="00880361">
          <w:rPr>
            <w:rStyle w:val="Hyperlink"/>
            <w:rFonts w:cs="Calibri"/>
            <w:noProof/>
          </w:rPr>
          <w:t>Table 5.5.4</w:t>
        </w:r>
        <w:r w:rsidR="00052A22">
          <w:rPr>
            <w:rFonts w:asciiTheme="minorHAnsi" w:eastAsiaTheme="minorEastAsia" w:hAnsiTheme="minorHAnsi" w:cstheme="minorBidi"/>
            <w:noProof/>
            <w:sz w:val="22"/>
          </w:rPr>
          <w:tab/>
        </w:r>
        <w:r w:rsidR="00052A22" w:rsidRPr="00880361">
          <w:rPr>
            <w:rStyle w:val="Hyperlink"/>
            <w:rFonts w:cs="Calibri"/>
            <w:noProof/>
          </w:rPr>
          <w:t>Parameters for indirect nitrous oxide (N</w:t>
        </w:r>
        <w:r w:rsidR="00052A22" w:rsidRPr="00880361">
          <w:rPr>
            <w:rStyle w:val="Hyperlink"/>
            <w:rFonts w:cs="Calibri"/>
            <w:noProof/>
            <w:vertAlign w:val="subscript"/>
          </w:rPr>
          <w:t>2</w:t>
        </w:r>
        <w:r w:rsidR="00052A22" w:rsidRPr="00880361">
          <w:rPr>
            <w:rStyle w:val="Hyperlink"/>
            <w:rFonts w:cs="Calibri"/>
            <w:noProof/>
          </w:rPr>
          <w:t xml:space="preserve">O) emissions from </w:t>
        </w:r>
        <w:r w:rsidR="00052A22" w:rsidRPr="00880361">
          <w:rPr>
            <w:rStyle w:val="Hyperlink"/>
            <w:rFonts w:cs="Calibri"/>
            <w:i/>
            <w:iCs/>
            <w:noProof/>
          </w:rPr>
          <w:t>Agricultural soils</w:t>
        </w:r>
        <w:r w:rsidR="00052A22" w:rsidRPr="00880361">
          <w:rPr>
            <w:rStyle w:val="Hyperlink"/>
            <w:rFonts w:cs="Calibri"/>
            <w:noProof/>
          </w:rPr>
          <w:t xml:space="preserve"> in New Zealand</w:t>
        </w:r>
        <w:r w:rsidR="00052A22">
          <w:rPr>
            <w:noProof/>
            <w:webHidden/>
          </w:rPr>
          <w:tab/>
        </w:r>
        <w:r w:rsidR="00052A22">
          <w:rPr>
            <w:noProof/>
            <w:webHidden/>
          </w:rPr>
          <w:fldChar w:fldCharType="begin"/>
        </w:r>
        <w:r w:rsidR="00052A22">
          <w:rPr>
            <w:noProof/>
            <w:webHidden/>
          </w:rPr>
          <w:instrText xml:space="preserve"> PAGEREF _Toc131591366 \h </w:instrText>
        </w:r>
        <w:r w:rsidR="00052A22">
          <w:rPr>
            <w:noProof/>
            <w:webHidden/>
          </w:rPr>
        </w:r>
        <w:r w:rsidR="00052A22">
          <w:rPr>
            <w:noProof/>
            <w:webHidden/>
          </w:rPr>
          <w:fldChar w:fldCharType="separate"/>
        </w:r>
        <w:r w:rsidR="008F39B8">
          <w:rPr>
            <w:noProof/>
            <w:webHidden/>
          </w:rPr>
          <w:t>200</w:t>
        </w:r>
        <w:r w:rsidR="00052A22">
          <w:rPr>
            <w:noProof/>
            <w:webHidden/>
          </w:rPr>
          <w:fldChar w:fldCharType="end"/>
        </w:r>
      </w:hyperlink>
    </w:p>
    <w:p w14:paraId="05B8C61A" w14:textId="7F31A77A" w:rsidR="00052A22" w:rsidRDefault="007E17B8">
      <w:pPr>
        <w:pStyle w:val="TableofFigures"/>
        <w:rPr>
          <w:rFonts w:asciiTheme="minorHAnsi" w:eastAsiaTheme="minorEastAsia" w:hAnsiTheme="minorHAnsi" w:cstheme="minorBidi"/>
          <w:noProof/>
          <w:sz w:val="22"/>
        </w:rPr>
      </w:pPr>
      <w:hyperlink w:anchor="_Toc131591367" w:history="1">
        <w:r w:rsidR="00052A22" w:rsidRPr="00880361">
          <w:rPr>
            <w:rStyle w:val="Hyperlink"/>
            <w:rFonts w:cs="Calibri"/>
            <w:noProof/>
          </w:rPr>
          <w:t>Table 5.5.5</w:t>
        </w:r>
        <w:r w:rsidR="00052A22">
          <w:rPr>
            <w:rFonts w:asciiTheme="minorHAnsi" w:eastAsiaTheme="minorEastAsia" w:hAnsiTheme="minorHAnsi" w:cstheme="minorBidi"/>
            <w:noProof/>
            <w:sz w:val="22"/>
          </w:rPr>
          <w:tab/>
        </w:r>
        <w:r w:rsidR="00052A22" w:rsidRPr="00880361">
          <w:rPr>
            <w:rStyle w:val="Hyperlink"/>
            <w:rFonts w:cs="Calibri"/>
            <w:noProof/>
          </w:rPr>
          <w:t>Emission factors and parameter values for use of mitigation technologies</w:t>
        </w:r>
        <w:r w:rsidR="00052A22">
          <w:rPr>
            <w:noProof/>
            <w:webHidden/>
          </w:rPr>
          <w:tab/>
        </w:r>
        <w:r w:rsidR="00052A22">
          <w:rPr>
            <w:noProof/>
            <w:webHidden/>
          </w:rPr>
          <w:fldChar w:fldCharType="begin"/>
        </w:r>
        <w:r w:rsidR="00052A22">
          <w:rPr>
            <w:noProof/>
            <w:webHidden/>
          </w:rPr>
          <w:instrText xml:space="preserve"> PAGEREF _Toc131591367 \h </w:instrText>
        </w:r>
        <w:r w:rsidR="00052A22">
          <w:rPr>
            <w:noProof/>
            <w:webHidden/>
          </w:rPr>
        </w:r>
        <w:r w:rsidR="00052A22">
          <w:rPr>
            <w:noProof/>
            <w:webHidden/>
          </w:rPr>
          <w:fldChar w:fldCharType="separate"/>
        </w:r>
        <w:r w:rsidR="008F39B8">
          <w:rPr>
            <w:noProof/>
            <w:webHidden/>
          </w:rPr>
          <w:t>200</w:t>
        </w:r>
        <w:r w:rsidR="00052A22">
          <w:rPr>
            <w:noProof/>
            <w:webHidden/>
          </w:rPr>
          <w:fldChar w:fldCharType="end"/>
        </w:r>
      </w:hyperlink>
    </w:p>
    <w:p w14:paraId="1C9477CA" w14:textId="3A7501D8" w:rsidR="00052A22" w:rsidRDefault="007E17B8">
      <w:pPr>
        <w:pStyle w:val="TableofFigures"/>
        <w:rPr>
          <w:rFonts w:asciiTheme="minorHAnsi" w:eastAsiaTheme="minorEastAsia" w:hAnsiTheme="minorHAnsi" w:cstheme="minorBidi"/>
          <w:noProof/>
          <w:sz w:val="22"/>
        </w:rPr>
      </w:pPr>
      <w:hyperlink w:anchor="_Toc131591368" w:history="1">
        <w:r w:rsidR="00052A22" w:rsidRPr="00880361">
          <w:rPr>
            <w:rStyle w:val="Hyperlink"/>
            <w:rFonts w:cs="Calibri"/>
            <w:noProof/>
          </w:rPr>
          <w:t>Table 5.5.6</w:t>
        </w:r>
        <w:r w:rsidR="00052A22">
          <w:rPr>
            <w:rFonts w:asciiTheme="minorHAnsi" w:eastAsiaTheme="minorEastAsia" w:hAnsiTheme="minorHAnsi" w:cstheme="minorBidi"/>
            <w:noProof/>
            <w:sz w:val="22"/>
          </w:rPr>
          <w:tab/>
        </w:r>
        <w:r w:rsidR="00052A22" w:rsidRPr="00880361">
          <w:rPr>
            <w:rStyle w:val="Hyperlink"/>
            <w:rFonts w:cs="Calibri"/>
            <w:noProof/>
          </w:rPr>
          <w:t>Number of replicate-level EF</w:t>
        </w:r>
        <w:r w:rsidR="00052A22" w:rsidRPr="00880361">
          <w:rPr>
            <w:rStyle w:val="Hyperlink"/>
            <w:rFonts w:cs="Calibri"/>
            <w:noProof/>
            <w:vertAlign w:val="subscript"/>
          </w:rPr>
          <w:t>3</w:t>
        </w:r>
        <w:r w:rsidR="00052A22" w:rsidRPr="00880361">
          <w:rPr>
            <w:rStyle w:val="Hyperlink"/>
            <w:rFonts w:cs="Calibri"/>
            <w:noProof/>
          </w:rPr>
          <w:t xml:space="preserve"> values collated by the van der Weerden et al. (2019, 2020) analysis, for each nitrogen source and topography (number of individual trials shown in brackets)</w:t>
        </w:r>
        <w:r w:rsidR="00052A22">
          <w:rPr>
            <w:noProof/>
            <w:webHidden/>
          </w:rPr>
          <w:tab/>
        </w:r>
        <w:r w:rsidR="00052A22">
          <w:rPr>
            <w:noProof/>
            <w:webHidden/>
          </w:rPr>
          <w:fldChar w:fldCharType="begin"/>
        </w:r>
        <w:r w:rsidR="00052A22">
          <w:rPr>
            <w:noProof/>
            <w:webHidden/>
          </w:rPr>
          <w:instrText xml:space="preserve"> PAGEREF _Toc131591368 \h </w:instrText>
        </w:r>
        <w:r w:rsidR="00052A22">
          <w:rPr>
            <w:noProof/>
            <w:webHidden/>
          </w:rPr>
        </w:r>
        <w:r w:rsidR="00052A22">
          <w:rPr>
            <w:noProof/>
            <w:webHidden/>
          </w:rPr>
          <w:fldChar w:fldCharType="separate"/>
        </w:r>
        <w:r w:rsidR="008F39B8">
          <w:rPr>
            <w:noProof/>
            <w:webHidden/>
          </w:rPr>
          <w:t>206</w:t>
        </w:r>
        <w:r w:rsidR="00052A22">
          <w:rPr>
            <w:noProof/>
            <w:webHidden/>
          </w:rPr>
          <w:fldChar w:fldCharType="end"/>
        </w:r>
      </w:hyperlink>
    </w:p>
    <w:p w14:paraId="06C43789" w14:textId="34268F44" w:rsidR="00052A22" w:rsidRDefault="007E17B8">
      <w:pPr>
        <w:pStyle w:val="TableofFigures"/>
        <w:rPr>
          <w:rFonts w:asciiTheme="minorHAnsi" w:eastAsiaTheme="minorEastAsia" w:hAnsiTheme="minorHAnsi" w:cstheme="minorBidi"/>
          <w:noProof/>
          <w:sz w:val="22"/>
        </w:rPr>
      </w:pPr>
      <w:hyperlink w:anchor="_Toc131591369" w:history="1">
        <w:r w:rsidR="00052A22" w:rsidRPr="00880361">
          <w:rPr>
            <w:rStyle w:val="Hyperlink"/>
            <w:rFonts w:cs="Calibri"/>
            <w:noProof/>
          </w:rPr>
          <w:t>Table 5.5.7</w:t>
        </w:r>
        <w:r w:rsidR="00052A22">
          <w:rPr>
            <w:rFonts w:asciiTheme="minorHAnsi" w:eastAsiaTheme="minorEastAsia" w:hAnsiTheme="minorHAnsi" w:cstheme="minorBidi"/>
            <w:noProof/>
            <w:sz w:val="22"/>
          </w:rPr>
          <w:tab/>
        </w:r>
        <w:r w:rsidR="00052A22" w:rsidRPr="00880361">
          <w:rPr>
            <w:rStyle w:val="Hyperlink"/>
            <w:rFonts w:cs="Calibri"/>
            <w:noProof/>
          </w:rPr>
          <w:t>Number of replicate-level EF</w:t>
        </w:r>
        <w:r w:rsidR="00052A22" w:rsidRPr="00880361">
          <w:rPr>
            <w:rStyle w:val="Hyperlink"/>
            <w:rFonts w:cs="Calibri"/>
            <w:noProof/>
            <w:vertAlign w:val="subscript"/>
          </w:rPr>
          <w:t>3</w:t>
        </w:r>
        <w:r w:rsidR="00052A22" w:rsidRPr="00880361">
          <w:rPr>
            <w:rStyle w:val="Hyperlink"/>
            <w:rFonts w:cs="Calibri"/>
            <w:noProof/>
          </w:rPr>
          <w:t xml:space="preserve"> values collated by the van der Weerden et al. (2019, 2020) analysis, for each nitrogen source, season that trial was undertaken and topography</w:t>
        </w:r>
        <w:r w:rsidR="00052A22">
          <w:rPr>
            <w:noProof/>
            <w:webHidden/>
          </w:rPr>
          <w:tab/>
        </w:r>
        <w:r w:rsidR="00052A22">
          <w:rPr>
            <w:noProof/>
            <w:webHidden/>
          </w:rPr>
          <w:fldChar w:fldCharType="begin"/>
        </w:r>
        <w:r w:rsidR="00052A22">
          <w:rPr>
            <w:noProof/>
            <w:webHidden/>
          </w:rPr>
          <w:instrText xml:space="preserve"> PAGEREF _Toc131591369 \h </w:instrText>
        </w:r>
        <w:r w:rsidR="00052A22">
          <w:rPr>
            <w:noProof/>
            <w:webHidden/>
          </w:rPr>
        </w:r>
        <w:r w:rsidR="00052A22">
          <w:rPr>
            <w:noProof/>
            <w:webHidden/>
          </w:rPr>
          <w:fldChar w:fldCharType="separate"/>
        </w:r>
        <w:r w:rsidR="008F39B8">
          <w:rPr>
            <w:noProof/>
            <w:webHidden/>
          </w:rPr>
          <w:t>207</w:t>
        </w:r>
        <w:r w:rsidR="00052A22">
          <w:rPr>
            <w:noProof/>
            <w:webHidden/>
          </w:rPr>
          <w:fldChar w:fldCharType="end"/>
        </w:r>
      </w:hyperlink>
    </w:p>
    <w:p w14:paraId="30932A42" w14:textId="75BF12BB" w:rsidR="00052A22" w:rsidRDefault="007E17B8">
      <w:pPr>
        <w:pStyle w:val="TableofFigures"/>
        <w:rPr>
          <w:rFonts w:asciiTheme="minorHAnsi" w:eastAsiaTheme="minorEastAsia" w:hAnsiTheme="minorHAnsi" w:cstheme="minorBidi"/>
          <w:noProof/>
          <w:sz w:val="22"/>
        </w:rPr>
      </w:pPr>
      <w:hyperlink w:anchor="_Toc131591370" w:history="1">
        <w:r w:rsidR="00052A22" w:rsidRPr="00880361">
          <w:rPr>
            <w:rStyle w:val="Hyperlink"/>
            <w:rFonts w:cs="Calibri"/>
            <w:noProof/>
          </w:rPr>
          <w:t>Table 5.5.8</w:t>
        </w:r>
        <w:r w:rsidR="00052A22">
          <w:rPr>
            <w:rFonts w:asciiTheme="minorHAnsi" w:eastAsiaTheme="minorEastAsia" w:hAnsiTheme="minorHAnsi" w:cstheme="minorBidi"/>
            <w:noProof/>
            <w:sz w:val="22"/>
          </w:rPr>
          <w:tab/>
        </w:r>
        <w:r w:rsidR="00052A22" w:rsidRPr="00880361">
          <w:rPr>
            <w:rStyle w:val="Hyperlink"/>
            <w:rFonts w:cs="Calibri"/>
            <w:noProof/>
          </w:rPr>
          <w:t>Trends and relative contribution of direct nitrous oxide emissions from urine and dung deposited by grazing animals per livestock category between 1990 and 2021</w:t>
        </w:r>
        <w:r w:rsidR="00052A22">
          <w:rPr>
            <w:noProof/>
            <w:webHidden/>
          </w:rPr>
          <w:tab/>
        </w:r>
        <w:r w:rsidR="00052A22">
          <w:rPr>
            <w:noProof/>
            <w:webHidden/>
          </w:rPr>
          <w:fldChar w:fldCharType="begin"/>
        </w:r>
        <w:r w:rsidR="00052A22">
          <w:rPr>
            <w:noProof/>
            <w:webHidden/>
          </w:rPr>
          <w:instrText xml:space="preserve"> PAGEREF _Toc131591370 \h </w:instrText>
        </w:r>
        <w:r w:rsidR="00052A22">
          <w:rPr>
            <w:noProof/>
            <w:webHidden/>
          </w:rPr>
        </w:r>
        <w:r w:rsidR="00052A22">
          <w:rPr>
            <w:noProof/>
            <w:webHidden/>
          </w:rPr>
          <w:fldChar w:fldCharType="separate"/>
        </w:r>
        <w:r w:rsidR="008F39B8">
          <w:rPr>
            <w:noProof/>
            <w:webHidden/>
          </w:rPr>
          <w:t>208</w:t>
        </w:r>
        <w:r w:rsidR="00052A22">
          <w:rPr>
            <w:noProof/>
            <w:webHidden/>
          </w:rPr>
          <w:fldChar w:fldCharType="end"/>
        </w:r>
      </w:hyperlink>
    </w:p>
    <w:p w14:paraId="18C8F541" w14:textId="7E779FB3" w:rsidR="00052A22" w:rsidRDefault="007E17B8">
      <w:pPr>
        <w:pStyle w:val="TableofFigures"/>
        <w:rPr>
          <w:rFonts w:asciiTheme="minorHAnsi" w:eastAsiaTheme="minorEastAsia" w:hAnsiTheme="minorHAnsi" w:cstheme="minorBidi"/>
          <w:noProof/>
          <w:sz w:val="22"/>
        </w:rPr>
      </w:pPr>
      <w:hyperlink w:anchor="_Toc131591371" w:history="1">
        <w:r w:rsidR="00052A22" w:rsidRPr="00880361">
          <w:rPr>
            <w:rStyle w:val="Hyperlink"/>
            <w:rFonts w:cs="Calibri"/>
            <w:noProof/>
          </w:rPr>
          <w:t>Table 5.5.9</w:t>
        </w:r>
        <w:r w:rsidR="00052A22">
          <w:rPr>
            <w:rFonts w:asciiTheme="minorHAnsi" w:eastAsiaTheme="minorEastAsia" w:hAnsiTheme="minorHAnsi" w:cstheme="minorBidi"/>
            <w:noProof/>
            <w:sz w:val="22"/>
          </w:rPr>
          <w:tab/>
        </w:r>
        <w:r w:rsidR="00052A22" w:rsidRPr="00880361">
          <w:rPr>
            <w:rStyle w:val="Hyperlink"/>
            <w:rFonts w:cs="Calibri"/>
            <w:noProof/>
          </w:rPr>
          <w:t>Mitigation impact of urease inhibitors on nitrous oxide emissions from volatilisation, from 2001 to 2021</w:t>
        </w:r>
        <w:r w:rsidR="00052A22">
          <w:rPr>
            <w:noProof/>
            <w:webHidden/>
          </w:rPr>
          <w:tab/>
        </w:r>
        <w:r w:rsidR="00052A22">
          <w:rPr>
            <w:noProof/>
            <w:webHidden/>
          </w:rPr>
          <w:fldChar w:fldCharType="begin"/>
        </w:r>
        <w:r w:rsidR="00052A22">
          <w:rPr>
            <w:noProof/>
            <w:webHidden/>
          </w:rPr>
          <w:instrText xml:space="preserve"> PAGEREF _Toc131591371 \h </w:instrText>
        </w:r>
        <w:r w:rsidR="00052A22">
          <w:rPr>
            <w:noProof/>
            <w:webHidden/>
          </w:rPr>
        </w:r>
        <w:r w:rsidR="00052A22">
          <w:rPr>
            <w:noProof/>
            <w:webHidden/>
          </w:rPr>
          <w:fldChar w:fldCharType="separate"/>
        </w:r>
        <w:r w:rsidR="008F39B8">
          <w:rPr>
            <w:noProof/>
            <w:webHidden/>
          </w:rPr>
          <w:t>215</w:t>
        </w:r>
        <w:r w:rsidR="00052A22">
          <w:rPr>
            <w:noProof/>
            <w:webHidden/>
          </w:rPr>
          <w:fldChar w:fldCharType="end"/>
        </w:r>
      </w:hyperlink>
    </w:p>
    <w:p w14:paraId="707578D4" w14:textId="208FB75A" w:rsidR="00052A22" w:rsidRDefault="007E17B8">
      <w:pPr>
        <w:pStyle w:val="TableofFigures"/>
        <w:rPr>
          <w:rFonts w:asciiTheme="minorHAnsi" w:eastAsiaTheme="minorEastAsia" w:hAnsiTheme="minorHAnsi" w:cstheme="minorBidi"/>
          <w:noProof/>
          <w:sz w:val="22"/>
        </w:rPr>
      </w:pPr>
      <w:hyperlink w:anchor="_Toc131591372" w:history="1">
        <w:r w:rsidR="00052A22" w:rsidRPr="00880361">
          <w:rPr>
            <w:rStyle w:val="Hyperlink"/>
            <w:rFonts w:cs="Calibri"/>
            <w:noProof/>
          </w:rPr>
          <w:t>Table 5.5.10</w:t>
        </w:r>
        <w:r w:rsidR="00052A22">
          <w:rPr>
            <w:rFonts w:asciiTheme="minorHAnsi" w:eastAsiaTheme="minorEastAsia" w:hAnsiTheme="minorHAnsi" w:cstheme="minorBidi"/>
            <w:noProof/>
            <w:sz w:val="22"/>
          </w:rPr>
          <w:tab/>
        </w:r>
        <w:r w:rsidR="00052A22" w:rsidRPr="00880361">
          <w:rPr>
            <w:rStyle w:val="Hyperlink"/>
            <w:rFonts w:cs="Calibri"/>
            <w:noProof/>
          </w:rPr>
          <w:t>Emission factors, parameters and mitigation for New Zealand’s dicyandiamide inhibitor calculations from 2007 to 2012</w:t>
        </w:r>
        <w:r w:rsidR="00052A22">
          <w:rPr>
            <w:noProof/>
            <w:webHidden/>
          </w:rPr>
          <w:tab/>
        </w:r>
        <w:r w:rsidR="00052A22">
          <w:rPr>
            <w:noProof/>
            <w:webHidden/>
          </w:rPr>
          <w:fldChar w:fldCharType="begin"/>
        </w:r>
        <w:r w:rsidR="00052A22">
          <w:rPr>
            <w:noProof/>
            <w:webHidden/>
          </w:rPr>
          <w:instrText xml:space="preserve"> PAGEREF _Toc131591372 \h </w:instrText>
        </w:r>
        <w:r w:rsidR="00052A22">
          <w:rPr>
            <w:noProof/>
            <w:webHidden/>
          </w:rPr>
        </w:r>
        <w:r w:rsidR="00052A22">
          <w:rPr>
            <w:noProof/>
            <w:webHidden/>
          </w:rPr>
          <w:fldChar w:fldCharType="separate"/>
        </w:r>
        <w:r w:rsidR="008F39B8">
          <w:rPr>
            <w:noProof/>
            <w:webHidden/>
          </w:rPr>
          <w:t>217</w:t>
        </w:r>
        <w:r w:rsidR="00052A22">
          <w:rPr>
            <w:noProof/>
            <w:webHidden/>
          </w:rPr>
          <w:fldChar w:fldCharType="end"/>
        </w:r>
      </w:hyperlink>
    </w:p>
    <w:p w14:paraId="65A96263" w14:textId="0B749F7A" w:rsidR="00052A22" w:rsidRDefault="007E17B8">
      <w:pPr>
        <w:pStyle w:val="TableofFigures"/>
        <w:rPr>
          <w:rFonts w:asciiTheme="minorHAnsi" w:eastAsiaTheme="minorEastAsia" w:hAnsiTheme="minorHAnsi" w:cstheme="minorBidi"/>
          <w:noProof/>
          <w:sz w:val="22"/>
        </w:rPr>
      </w:pPr>
      <w:hyperlink w:anchor="_Toc131591373" w:history="1">
        <w:r w:rsidR="00052A22" w:rsidRPr="00880361">
          <w:rPr>
            <w:rStyle w:val="Hyperlink"/>
            <w:rFonts w:cs="Calibri"/>
            <w:noProof/>
          </w:rPr>
          <w:t>Table 5.5.11</w:t>
        </w:r>
        <w:r w:rsidR="00052A22">
          <w:rPr>
            <w:rFonts w:asciiTheme="minorHAnsi" w:eastAsiaTheme="minorEastAsia" w:hAnsiTheme="minorHAnsi" w:cstheme="minorBidi"/>
            <w:noProof/>
            <w:sz w:val="22"/>
          </w:rPr>
          <w:tab/>
        </w:r>
        <w:r w:rsidR="00052A22" w:rsidRPr="00880361">
          <w:rPr>
            <w:rStyle w:val="Hyperlink"/>
            <w:rFonts w:cs="Calibri"/>
            <w:noProof/>
          </w:rPr>
          <w:t>New Zealand’s uncertainties in nitrous oxide (N</w:t>
        </w:r>
        <w:r w:rsidR="00052A22" w:rsidRPr="00880361">
          <w:rPr>
            <w:rStyle w:val="Hyperlink"/>
            <w:rFonts w:cs="Calibri"/>
            <w:noProof/>
            <w:vertAlign w:val="subscript"/>
          </w:rPr>
          <w:t>2</w:t>
        </w:r>
        <w:r w:rsidR="00052A22" w:rsidRPr="00880361">
          <w:rPr>
            <w:rStyle w:val="Hyperlink"/>
            <w:rFonts w:cs="Calibri"/>
            <w:noProof/>
          </w:rPr>
          <w:t xml:space="preserve">O) emissions from </w:t>
        </w:r>
        <w:r w:rsidR="00052A22" w:rsidRPr="00880361">
          <w:rPr>
            <w:rStyle w:val="Hyperlink"/>
            <w:rFonts w:cs="Calibri"/>
            <w:i/>
            <w:iCs/>
            <w:noProof/>
          </w:rPr>
          <w:t>Agricultural soils</w:t>
        </w:r>
        <w:r w:rsidR="00052A22" w:rsidRPr="00880361">
          <w:rPr>
            <w:rStyle w:val="Hyperlink"/>
            <w:rFonts w:cs="Calibri"/>
            <w:noProof/>
          </w:rPr>
          <w:t xml:space="preserve"> for 1990, 2002, 2012 and 2021 estimated using Monte Carlo simulation (1990, 2002), the 95 per cent confidence interval (2012) and the analytical method (2021)</w:t>
        </w:r>
        <w:r w:rsidR="00052A22">
          <w:rPr>
            <w:noProof/>
            <w:webHidden/>
          </w:rPr>
          <w:tab/>
        </w:r>
        <w:r w:rsidR="00052A22">
          <w:rPr>
            <w:noProof/>
            <w:webHidden/>
          </w:rPr>
          <w:fldChar w:fldCharType="begin"/>
        </w:r>
        <w:r w:rsidR="00052A22">
          <w:rPr>
            <w:noProof/>
            <w:webHidden/>
          </w:rPr>
          <w:instrText xml:space="preserve"> PAGEREF _Toc131591373 \h </w:instrText>
        </w:r>
        <w:r w:rsidR="00052A22">
          <w:rPr>
            <w:noProof/>
            <w:webHidden/>
          </w:rPr>
        </w:r>
        <w:r w:rsidR="00052A22">
          <w:rPr>
            <w:noProof/>
            <w:webHidden/>
          </w:rPr>
          <w:fldChar w:fldCharType="separate"/>
        </w:r>
        <w:r w:rsidR="008F39B8">
          <w:rPr>
            <w:noProof/>
            <w:webHidden/>
          </w:rPr>
          <w:t>217</w:t>
        </w:r>
        <w:r w:rsidR="00052A22">
          <w:rPr>
            <w:noProof/>
            <w:webHidden/>
          </w:rPr>
          <w:fldChar w:fldCharType="end"/>
        </w:r>
      </w:hyperlink>
    </w:p>
    <w:p w14:paraId="2E305618" w14:textId="49B631DB" w:rsidR="00052A22" w:rsidRDefault="007E17B8">
      <w:pPr>
        <w:pStyle w:val="TableofFigures"/>
        <w:rPr>
          <w:rFonts w:asciiTheme="minorHAnsi" w:eastAsiaTheme="minorEastAsia" w:hAnsiTheme="minorHAnsi" w:cstheme="minorBidi"/>
          <w:noProof/>
          <w:sz w:val="22"/>
        </w:rPr>
      </w:pPr>
      <w:hyperlink w:anchor="_Toc131591374" w:history="1">
        <w:r w:rsidR="00052A22" w:rsidRPr="00880361">
          <w:rPr>
            <w:rStyle w:val="Hyperlink"/>
            <w:rFonts w:cs="Calibri"/>
            <w:noProof/>
          </w:rPr>
          <w:t>Table 5.5.12</w:t>
        </w:r>
        <w:r w:rsidR="00052A22">
          <w:rPr>
            <w:rFonts w:asciiTheme="minorHAnsi" w:eastAsiaTheme="minorEastAsia" w:hAnsiTheme="minorHAnsi" w:cstheme="minorBidi"/>
            <w:noProof/>
            <w:sz w:val="22"/>
          </w:rPr>
          <w:tab/>
        </w:r>
        <w:r w:rsidR="00052A22" w:rsidRPr="00880361">
          <w:rPr>
            <w:rStyle w:val="Hyperlink"/>
            <w:rFonts w:cs="Calibri"/>
            <w:noProof/>
          </w:rPr>
          <w:t>Comparison of New Zealand’s implied emission factors (IEFs) for EF</w:t>
        </w:r>
        <w:r w:rsidR="00052A22" w:rsidRPr="00880361">
          <w:rPr>
            <w:rStyle w:val="Hyperlink"/>
            <w:rFonts w:cs="Calibri"/>
            <w:noProof/>
            <w:vertAlign w:val="subscript"/>
          </w:rPr>
          <w:t>1</w:t>
        </w:r>
        <w:r w:rsidR="00052A22" w:rsidRPr="00880361">
          <w:rPr>
            <w:rStyle w:val="Hyperlink"/>
            <w:rFonts w:cs="Calibri"/>
            <w:noProof/>
          </w:rPr>
          <w:t xml:space="preserve"> (synthetic nitrogen fertiliser) and EF</w:t>
        </w:r>
        <w:r w:rsidR="00052A22" w:rsidRPr="00880361">
          <w:rPr>
            <w:rStyle w:val="Hyperlink"/>
            <w:rFonts w:cs="Calibri"/>
            <w:noProof/>
            <w:vertAlign w:val="subscript"/>
          </w:rPr>
          <w:t>3(PRP)</w:t>
        </w:r>
        <w:r w:rsidR="00052A22" w:rsidRPr="00880361">
          <w:rPr>
            <w:rStyle w:val="Hyperlink"/>
            <w:rFonts w:cs="Calibri"/>
            <w:noProof/>
          </w:rPr>
          <w:t xml:space="preserve"> (pasture, range and paddock manure) with the IPCC default and the Australian-specific value</w:t>
        </w:r>
        <w:r w:rsidR="00052A22">
          <w:rPr>
            <w:noProof/>
            <w:webHidden/>
          </w:rPr>
          <w:tab/>
        </w:r>
        <w:r w:rsidR="00052A22">
          <w:rPr>
            <w:noProof/>
            <w:webHidden/>
          </w:rPr>
          <w:fldChar w:fldCharType="begin"/>
        </w:r>
        <w:r w:rsidR="00052A22">
          <w:rPr>
            <w:noProof/>
            <w:webHidden/>
          </w:rPr>
          <w:instrText xml:space="preserve"> PAGEREF _Toc131591374 \h </w:instrText>
        </w:r>
        <w:r w:rsidR="00052A22">
          <w:rPr>
            <w:noProof/>
            <w:webHidden/>
          </w:rPr>
        </w:r>
        <w:r w:rsidR="00052A22">
          <w:rPr>
            <w:noProof/>
            <w:webHidden/>
          </w:rPr>
          <w:fldChar w:fldCharType="separate"/>
        </w:r>
        <w:r w:rsidR="008F39B8">
          <w:rPr>
            <w:noProof/>
            <w:webHidden/>
          </w:rPr>
          <w:t>219</w:t>
        </w:r>
        <w:r w:rsidR="00052A22">
          <w:rPr>
            <w:noProof/>
            <w:webHidden/>
          </w:rPr>
          <w:fldChar w:fldCharType="end"/>
        </w:r>
      </w:hyperlink>
    </w:p>
    <w:p w14:paraId="0F63A04D" w14:textId="33F84B19" w:rsidR="00052A22" w:rsidRDefault="007E17B8">
      <w:pPr>
        <w:pStyle w:val="TableofFigures"/>
        <w:rPr>
          <w:rFonts w:asciiTheme="minorHAnsi" w:eastAsiaTheme="minorEastAsia" w:hAnsiTheme="minorHAnsi" w:cstheme="minorBidi"/>
          <w:noProof/>
          <w:sz w:val="22"/>
        </w:rPr>
      </w:pPr>
      <w:hyperlink w:anchor="_Toc131591375" w:history="1">
        <w:r w:rsidR="00052A22" w:rsidRPr="00880361">
          <w:rPr>
            <w:rStyle w:val="Hyperlink"/>
            <w:rFonts w:cs="Calibri"/>
            <w:noProof/>
          </w:rPr>
          <w:t>Table 5.5.13</w:t>
        </w:r>
        <w:r w:rsidR="00052A22">
          <w:rPr>
            <w:rFonts w:asciiTheme="minorHAnsi" w:eastAsiaTheme="minorEastAsia" w:hAnsiTheme="minorHAnsi" w:cstheme="minorBidi"/>
            <w:noProof/>
            <w:sz w:val="22"/>
          </w:rPr>
          <w:tab/>
        </w:r>
        <w:r w:rsidR="00052A22" w:rsidRPr="00880361">
          <w:rPr>
            <w:rStyle w:val="Hyperlink"/>
            <w:rFonts w:cs="Calibri"/>
            <w:noProof/>
          </w:rPr>
          <w:t>Comparison of New Zealand’s country-specific factors for volatilisation (Frac</w:t>
        </w:r>
        <w:r w:rsidR="00052A22" w:rsidRPr="00880361">
          <w:rPr>
            <w:rStyle w:val="Hyperlink"/>
            <w:rFonts w:cs="Calibri"/>
            <w:noProof/>
            <w:vertAlign w:val="subscript"/>
          </w:rPr>
          <w:t>GASF</w:t>
        </w:r>
        <w:r w:rsidR="00052A22" w:rsidRPr="00880361">
          <w:rPr>
            <w:rStyle w:val="Hyperlink"/>
            <w:rFonts w:cs="Calibri"/>
            <w:noProof/>
          </w:rPr>
          <w:t>, Frac</w:t>
        </w:r>
        <w:r w:rsidR="00052A22" w:rsidRPr="00880361">
          <w:rPr>
            <w:rStyle w:val="Hyperlink"/>
            <w:rFonts w:cs="Calibri"/>
            <w:noProof/>
            <w:vertAlign w:val="subscript"/>
          </w:rPr>
          <w:t>GASM</w:t>
        </w:r>
        <w:r w:rsidR="00052A22" w:rsidRPr="00880361">
          <w:rPr>
            <w:rStyle w:val="Hyperlink"/>
            <w:rFonts w:cs="Calibri"/>
            <w:noProof/>
          </w:rPr>
          <w:t>) and leaching and runoff (Frac</w:t>
        </w:r>
        <w:r w:rsidR="00052A22" w:rsidRPr="00880361">
          <w:rPr>
            <w:rStyle w:val="Hyperlink"/>
            <w:rFonts w:cs="Calibri"/>
            <w:noProof/>
            <w:vertAlign w:val="subscript"/>
          </w:rPr>
          <w:t>LEACH-(H)</w:t>
        </w:r>
        <w:r w:rsidR="00052A22" w:rsidRPr="00880361">
          <w:rPr>
            <w:rStyle w:val="Hyperlink"/>
            <w:rFonts w:cs="Calibri"/>
            <w:noProof/>
          </w:rPr>
          <w:t>) with the IPCC default value and the Australian implied emission factor (IEF)</w:t>
        </w:r>
        <w:r w:rsidR="00052A22">
          <w:rPr>
            <w:noProof/>
            <w:webHidden/>
          </w:rPr>
          <w:tab/>
        </w:r>
        <w:r w:rsidR="00052A22">
          <w:rPr>
            <w:noProof/>
            <w:webHidden/>
          </w:rPr>
          <w:fldChar w:fldCharType="begin"/>
        </w:r>
        <w:r w:rsidR="00052A22">
          <w:rPr>
            <w:noProof/>
            <w:webHidden/>
          </w:rPr>
          <w:instrText xml:space="preserve"> PAGEREF _Toc131591375 \h </w:instrText>
        </w:r>
        <w:r w:rsidR="00052A22">
          <w:rPr>
            <w:noProof/>
            <w:webHidden/>
          </w:rPr>
        </w:r>
        <w:r w:rsidR="00052A22">
          <w:rPr>
            <w:noProof/>
            <w:webHidden/>
          </w:rPr>
          <w:fldChar w:fldCharType="separate"/>
        </w:r>
        <w:r w:rsidR="008F39B8">
          <w:rPr>
            <w:noProof/>
            <w:webHidden/>
          </w:rPr>
          <w:t>219</w:t>
        </w:r>
        <w:r w:rsidR="00052A22">
          <w:rPr>
            <w:noProof/>
            <w:webHidden/>
          </w:rPr>
          <w:fldChar w:fldCharType="end"/>
        </w:r>
      </w:hyperlink>
    </w:p>
    <w:p w14:paraId="7C096BAE" w14:textId="7719A16C" w:rsidR="00052A22" w:rsidRDefault="007E17B8">
      <w:pPr>
        <w:pStyle w:val="TableofFigures"/>
        <w:rPr>
          <w:rFonts w:asciiTheme="minorHAnsi" w:eastAsiaTheme="minorEastAsia" w:hAnsiTheme="minorHAnsi" w:cstheme="minorBidi"/>
          <w:noProof/>
          <w:sz w:val="22"/>
        </w:rPr>
      </w:pPr>
      <w:hyperlink w:anchor="_Toc131591376" w:history="1">
        <w:r w:rsidR="00052A22" w:rsidRPr="00880361">
          <w:rPr>
            <w:rStyle w:val="Hyperlink"/>
            <w:rFonts w:cs="Calibri"/>
            <w:noProof/>
          </w:rPr>
          <w:t>Table 5.5.14</w:t>
        </w:r>
        <w:r w:rsidR="00052A22">
          <w:rPr>
            <w:rFonts w:asciiTheme="minorHAnsi" w:eastAsiaTheme="minorEastAsia" w:hAnsiTheme="minorHAnsi" w:cstheme="minorBidi"/>
            <w:noProof/>
            <w:sz w:val="22"/>
          </w:rPr>
          <w:tab/>
        </w:r>
        <w:r w:rsidR="00052A22" w:rsidRPr="00880361">
          <w:rPr>
            <w:rStyle w:val="Hyperlink"/>
            <w:rFonts w:cs="Calibri"/>
            <w:noProof/>
          </w:rPr>
          <w:t>Comparison of the previous Frac</w:t>
        </w:r>
        <w:r w:rsidR="00052A22" w:rsidRPr="00880361">
          <w:rPr>
            <w:rStyle w:val="Hyperlink"/>
            <w:rFonts w:cs="Calibri"/>
            <w:noProof/>
            <w:vertAlign w:val="subscript"/>
          </w:rPr>
          <w:t>LEACH</w:t>
        </w:r>
        <w:r w:rsidR="00052A22" w:rsidRPr="00880361">
          <w:rPr>
            <w:rStyle w:val="Hyperlink"/>
            <w:rFonts w:cs="Calibri"/>
            <w:noProof/>
          </w:rPr>
          <w:t xml:space="preserve"> values and the new Frac</w:t>
        </w:r>
        <w:r w:rsidR="00052A22" w:rsidRPr="00880361">
          <w:rPr>
            <w:rStyle w:val="Hyperlink"/>
            <w:rFonts w:cs="Calibri"/>
            <w:noProof/>
            <w:vertAlign w:val="subscript"/>
          </w:rPr>
          <w:t>LEACH</w:t>
        </w:r>
        <w:r w:rsidR="00052A22" w:rsidRPr="00880361">
          <w:rPr>
            <w:rStyle w:val="Hyperlink"/>
            <w:rFonts w:cs="Calibri"/>
            <w:noProof/>
          </w:rPr>
          <w:t xml:space="preserve"> values on emissions from </w:t>
        </w:r>
        <w:r w:rsidR="00052A22" w:rsidRPr="00880361">
          <w:rPr>
            <w:rStyle w:val="Hyperlink"/>
            <w:rFonts w:cs="Calibri"/>
            <w:i/>
            <w:iCs/>
            <w:noProof/>
          </w:rPr>
          <w:t>Agricultural soils</w:t>
        </w:r>
        <w:r w:rsidR="00052A22">
          <w:rPr>
            <w:noProof/>
            <w:webHidden/>
          </w:rPr>
          <w:tab/>
        </w:r>
        <w:r w:rsidR="00052A22">
          <w:rPr>
            <w:noProof/>
            <w:webHidden/>
          </w:rPr>
          <w:fldChar w:fldCharType="begin"/>
        </w:r>
        <w:r w:rsidR="00052A22">
          <w:rPr>
            <w:noProof/>
            <w:webHidden/>
          </w:rPr>
          <w:instrText xml:space="preserve"> PAGEREF _Toc131591376 \h </w:instrText>
        </w:r>
        <w:r w:rsidR="00052A22">
          <w:rPr>
            <w:noProof/>
            <w:webHidden/>
          </w:rPr>
        </w:r>
        <w:r w:rsidR="00052A22">
          <w:rPr>
            <w:noProof/>
            <w:webHidden/>
          </w:rPr>
          <w:fldChar w:fldCharType="separate"/>
        </w:r>
        <w:r w:rsidR="008F39B8">
          <w:rPr>
            <w:noProof/>
            <w:webHidden/>
          </w:rPr>
          <w:t>220</w:t>
        </w:r>
        <w:r w:rsidR="00052A22">
          <w:rPr>
            <w:noProof/>
            <w:webHidden/>
          </w:rPr>
          <w:fldChar w:fldCharType="end"/>
        </w:r>
      </w:hyperlink>
    </w:p>
    <w:p w14:paraId="1074FDE1" w14:textId="584F0F31" w:rsidR="00052A22" w:rsidRDefault="007E17B8">
      <w:pPr>
        <w:pStyle w:val="TableofFigures"/>
        <w:rPr>
          <w:rFonts w:asciiTheme="minorHAnsi" w:eastAsiaTheme="minorEastAsia" w:hAnsiTheme="minorHAnsi" w:cstheme="minorBidi"/>
          <w:noProof/>
          <w:sz w:val="22"/>
        </w:rPr>
      </w:pPr>
      <w:hyperlink w:anchor="_Toc131591377" w:history="1">
        <w:r w:rsidR="00052A22" w:rsidRPr="00880361">
          <w:rPr>
            <w:rStyle w:val="Hyperlink"/>
            <w:rFonts w:cs="Calibri"/>
            <w:noProof/>
          </w:rPr>
          <w:t>Table 5.5.15</w:t>
        </w:r>
        <w:r w:rsidR="00052A22">
          <w:rPr>
            <w:rFonts w:asciiTheme="minorHAnsi" w:eastAsiaTheme="minorEastAsia" w:hAnsiTheme="minorHAnsi" w:cstheme="minorBidi"/>
            <w:noProof/>
            <w:sz w:val="22"/>
          </w:rPr>
          <w:tab/>
        </w:r>
        <w:r w:rsidR="00052A22" w:rsidRPr="00880361">
          <w:rPr>
            <w:rStyle w:val="Hyperlink"/>
            <w:rFonts w:cs="Calibri"/>
            <w:noProof/>
          </w:rPr>
          <w:t>Comparison of the previous and improved dairy population model on emissions from </w:t>
        </w:r>
        <w:r w:rsidR="00052A22" w:rsidRPr="00880361">
          <w:rPr>
            <w:rStyle w:val="Hyperlink"/>
            <w:rFonts w:cs="Calibri"/>
            <w:i/>
            <w:iCs/>
            <w:noProof/>
          </w:rPr>
          <w:t>Agricultural soils</w:t>
        </w:r>
        <w:r w:rsidR="00052A22">
          <w:rPr>
            <w:noProof/>
            <w:webHidden/>
          </w:rPr>
          <w:tab/>
        </w:r>
        <w:r w:rsidR="00052A22">
          <w:rPr>
            <w:noProof/>
            <w:webHidden/>
          </w:rPr>
          <w:fldChar w:fldCharType="begin"/>
        </w:r>
        <w:r w:rsidR="00052A22">
          <w:rPr>
            <w:noProof/>
            <w:webHidden/>
          </w:rPr>
          <w:instrText xml:space="preserve"> PAGEREF _Toc131591377 \h </w:instrText>
        </w:r>
        <w:r w:rsidR="00052A22">
          <w:rPr>
            <w:noProof/>
            <w:webHidden/>
          </w:rPr>
        </w:r>
        <w:r w:rsidR="00052A22">
          <w:rPr>
            <w:noProof/>
            <w:webHidden/>
          </w:rPr>
          <w:fldChar w:fldCharType="separate"/>
        </w:r>
        <w:r w:rsidR="008F39B8">
          <w:rPr>
            <w:noProof/>
            <w:webHidden/>
          </w:rPr>
          <w:t>221</w:t>
        </w:r>
        <w:r w:rsidR="00052A22">
          <w:rPr>
            <w:noProof/>
            <w:webHidden/>
          </w:rPr>
          <w:fldChar w:fldCharType="end"/>
        </w:r>
      </w:hyperlink>
    </w:p>
    <w:p w14:paraId="733C6A64" w14:textId="56CA0F08" w:rsidR="00052A22" w:rsidRDefault="007E17B8">
      <w:pPr>
        <w:pStyle w:val="TableofFigures"/>
        <w:rPr>
          <w:rFonts w:asciiTheme="minorHAnsi" w:eastAsiaTheme="minorEastAsia" w:hAnsiTheme="minorHAnsi" w:cstheme="minorBidi"/>
          <w:noProof/>
          <w:sz w:val="22"/>
        </w:rPr>
      </w:pPr>
      <w:hyperlink w:anchor="_Toc131591378" w:history="1">
        <w:r w:rsidR="00052A22" w:rsidRPr="00880361">
          <w:rPr>
            <w:rStyle w:val="Hyperlink"/>
            <w:rFonts w:cs="Calibri"/>
            <w:noProof/>
          </w:rPr>
          <w:t>Table 5.5.16</w:t>
        </w:r>
        <w:r w:rsidR="00052A22">
          <w:rPr>
            <w:rFonts w:asciiTheme="minorHAnsi" w:eastAsiaTheme="minorEastAsia" w:hAnsiTheme="minorHAnsi" w:cstheme="minorBidi"/>
            <w:noProof/>
            <w:sz w:val="22"/>
          </w:rPr>
          <w:tab/>
        </w:r>
        <w:r w:rsidR="00052A22" w:rsidRPr="00880361">
          <w:rPr>
            <w:rStyle w:val="Hyperlink"/>
            <w:rFonts w:cs="Calibri"/>
            <w:noProof/>
          </w:rPr>
          <w:t>Comparison of the pasture quality values and adjusted feed quality values on emissions from </w:t>
        </w:r>
        <w:r w:rsidR="00052A22" w:rsidRPr="00880361">
          <w:rPr>
            <w:rStyle w:val="Hyperlink"/>
            <w:rFonts w:cs="Calibri"/>
            <w:i/>
            <w:iCs/>
            <w:noProof/>
          </w:rPr>
          <w:t>Agricultural soils</w:t>
        </w:r>
        <w:r w:rsidR="00052A22">
          <w:rPr>
            <w:noProof/>
            <w:webHidden/>
          </w:rPr>
          <w:tab/>
        </w:r>
        <w:r w:rsidR="00052A22">
          <w:rPr>
            <w:noProof/>
            <w:webHidden/>
          </w:rPr>
          <w:fldChar w:fldCharType="begin"/>
        </w:r>
        <w:r w:rsidR="00052A22">
          <w:rPr>
            <w:noProof/>
            <w:webHidden/>
          </w:rPr>
          <w:instrText xml:space="preserve"> PAGEREF _Toc131591378 \h </w:instrText>
        </w:r>
        <w:r w:rsidR="00052A22">
          <w:rPr>
            <w:noProof/>
            <w:webHidden/>
          </w:rPr>
        </w:r>
        <w:r w:rsidR="00052A22">
          <w:rPr>
            <w:noProof/>
            <w:webHidden/>
          </w:rPr>
          <w:fldChar w:fldCharType="separate"/>
        </w:r>
        <w:r w:rsidR="008F39B8">
          <w:rPr>
            <w:noProof/>
            <w:webHidden/>
          </w:rPr>
          <w:t>221</w:t>
        </w:r>
        <w:r w:rsidR="00052A22">
          <w:rPr>
            <w:noProof/>
            <w:webHidden/>
          </w:rPr>
          <w:fldChar w:fldCharType="end"/>
        </w:r>
      </w:hyperlink>
    </w:p>
    <w:p w14:paraId="6FCA6D5F" w14:textId="0AAA32B2" w:rsidR="00052A22" w:rsidRDefault="007E17B8">
      <w:pPr>
        <w:pStyle w:val="TableofFigures"/>
        <w:rPr>
          <w:rFonts w:asciiTheme="minorHAnsi" w:eastAsiaTheme="minorEastAsia" w:hAnsiTheme="minorHAnsi" w:cstheme="minorBidi"/>
          <w:noProof/>
          <w:sz w:val="22"/>
        </w:rPr>
      </w:pPr>
      <w:hyperlink w:anchor="_Toc131591379" w:history="1">
        <w:r w:rsidR="00052A22" w:rsidRPr="00880361">
          <w:rPr>
            <w:rStyle w:val="Hyperlink"/>
            <w:rFonts w:cs="Calibri"/>
            <w:noProof/>
          </w:rPr>
          <w:t>Table 5.7.1</w:t>
        </w:r>
        <w:r w:rsidR="00052A22">
          <w:rPr>
            <w:rFonts w:asciiTheme="minorHAnsi" w:eastAsiaTheme="minorEastAsia" w:hAnsiTheme="minorHAnsi" w:cstheme="minorBidi"/>
            <w:noProof/>
            <w:sz w:val="22"/>
          </w:rPr>
          <w:tab/>
        </w:r>
        <w:r w:rsidR="00052A22" w:rsidRPr="00880361">
          <w:rPr>
            <w:rStyle w:val="Hyperlink"/>
            <w:rFonts w:cs="Calibri"/>
            <w:noProof/>
          </w:rPr>
          <w:t>Emission ratios for agricultural residue burning</w:t>
        </w:r>
        <w:r w:rsidR="00052A22">
          <w:rPr>
            <w:noProof/>
            <w:webHidden/>
          </w:rPr>
          <w:tab/>
        </w:r>
        <w:r w:rsidR="00052A22">
          <w:rPr>
            <w:noProof/>
            <w:webHidden/>
          </w:rPr>
          <w:fldChar w:fldCharType="begin"/>
        </w:r>
        <w:r w:rsidR="00052A22">
          <w:rPr>
            <w:noProof/>
            <w:webHidden/>
          </w:rPr>
          <w:instrText xml:space="preserve"> PAGEREF _Toc131591379 \h </w:instrText>
        </w:r>
        <w:r w:rsidR="00052A22">
          <w:rPr>
            <w:noProof/>
            <w:webHidden/>
          </w:rPr>
        </w:r>
        <w:r w:rsidR="00052A22">
          <w:rPr>
            <w:noProof/>
            <w:webHidden/>
          </w:rPr>
          <w:fldChar w:fldCharType="separate"/>
        </w:r>
        <w:r w:rsidR="008F39B8">
          <w:rPr>
            <w:noProof/>
            <w:webHidden/>
          </w:rPr>
          <w:t>223</w:t>
        </w:r>
        <w:r w:rsidR="00052A22">
          <w:rPr>
            <w:noProof/>
            <w:webHidden/>
          </w:rPr>
          <w:fldChar w:fldCharType="end"/>
        </w:r>
      </w:hyperlink>
    </w:p>
    <w:p w14:paraId="43D2B6D8" w14:textId="26BDC6A5" w:rsidR="00052A22" w:rsidRDefault="007E17B8">
      <w:pPr>
        <w:pStyle w:val="TableofFigures"/>
        <w:rPr>
          <w:rFonts w:asciiTheme="minorHAnsi" w:eastAsiaTheme="minorEastAsia" w:hAnsiTheme="minorHAnsi" w:cstheme="minorBidi"/>
          <w:noProof/>
          <w:sz w:val="22"/>
        </w:rPr>
      </w:pPr>
      <w:hyperlink w:anchor="_Toc131591380" w:history="1">
        <w:r w:rsidR="00052A22" w:rsidRPr="00880361">
          <w:rPr>
            <w:rStyle w:val="Hyperlink"/>
            <w:rFonts w:cs="Calibri"/>
            <w:noProof/>
          </w:rPr>
          <w:t xml:space="preserve">Table 5.7.2 </w:t>
        </w:r>
        <w:r w:rsidR="00052A22">
          <w:rPr>
            <w:rFonts w:asciiTheme="minorHAnsi" w:eastAsiaTheme="minorEastAsia" w:hAnsiTheme="minorHAnsi" w:cstheme="minorBidi"/>
            <w:noProof/>
            <w:sz w:val="22"/>
          </w:rPr>
          <w:tab/>
        </w:r>
        <w:r w:rsidR="00052A22" w:rsidRPr="00880361">
          <w:rPr>
            <w:rStyle w:val="Hyperlink"/>
            <w:rFonts w:cs="Calibri"/>
            <w:noProof/>
          </w:rPr>
          <w:t>Values used to calculate New Zealand emissions from burning of agricultural residues</w:t>
        </w:r>
        <w:r w:rsidR="00052A22">
          <w:rPr>
            <w:noProof/>
            <w:webHidden/>
          </w:rPr>
          <w:tab/>
        </w:r>
        <w:r w:rsidR="00052A22">
          <w:rPr>
            <w:noProof/>
            <w:webHidden/>
          </w:rPr>
          <w:fldChar w:fldCharType="begin"/>
        </w:r>
        <w:r w:rsidR="00052A22">
          <w:rPr>
            <w:noProof/>
            <w:webHidden/>
          </w:rPr>
          <w:instrText xml:space="preserve"> PAGEREF _Toc131591380 \h </w:instrText>
        </w:r>
        <w:r w:rsidR="00052A22">
          <w:rPr>
            <w:noProof/>
            <w:webHidden/>
          </w:rPr>
        </w:r>
        <w:r w:rsidR="00052A22">
          <w:rPr>
            <w:noProof/>
            <w:webHidden/>
          </w:rPr>
          <w:fldChar w:fldCharType="separate"/>
        </w:r>
        <w:r w:rsidR="008F39B8">
          <w:rPr>
            <w:noProof/>
            <w:webHidden/>
          </w:rPr>
          <w:t>224</w:t>
        </w:r>
        <w:r w:rsidR="00052A22">
          <w:rPr>
            <w:noProof/>
            <w:webHidden/>
          </w:rPr>
          <w:fldChar w:fldCharType="end"/>
        </w:r>
      </w:hyperlink>
    </w:p>
    <w:p w14:paraId="05BD5483" w14:textId="4B86EAB1" w:rsidR="00052A22" w:rsidRDefault="007E17B8">
      <w:pPr>
        <w:pStyle w:val="TableofFigures"/>
        <w:rPr>
          <w:rFonts w:asciiTheme="minorHAnsi" w:eastAsiaTheme="minorEastAsia" w:hAnsiTheme="minorHAnsi" w:cstheme="minorBidi"/>
          <w:noProof/>
          <w:sz w:val="22"/>
        </w:rPr>
      </w:pPr>
      <w:hyperlink w:anchor="_Toc131591381" w:history="1">
        <w:r w:rsidR="00052A22" w:rsidRPr="00880361">
          <w:rPr>
            <w:rStyle w:val="Hyperlink"/>
            <w:noProof/>
          </w:rPr>
          <w:t xml:space="preserve">Table 6.1.1 </w:t>
        </w:r>
        <w:r w:rsidR="00052A22">
          <w:rPr>
            <w:rFonts w:asciiTheme="minorHAnsi" w:eastAsiaTheme="minorEastAsia" w:hAnsiTheme="minorHAnsi" w:cstheme="minorBidi"/>
            <w:noProof/>
            <w:sz w:val="22"/>
          </w:rPr>
          <w:tab/>
        </w:r>
        <w:r w:rsidR="00052A22" w:rsidRPr="00880361">
          <w:rPr>
            <w:rStyle w:val="Hyperlink"/>
            <w:noProof/>
          </w:rPr>
          <w:t>New Zealand’s greenhouse gas net emissions for the LULUCF sector by land use category in 1990 and 2021</w:t>
        </w:r>
        <w:r w:rsidR="00052A22">
          <w:rPr>
            <w:noProof/>
            <w:webHidden/>
          </w:rPr>
          <w:tab/>
        </w:r>
        <w:r w:rsidR="00052A22">
          <w:rPr>
            <w:noProof/>
            <w:webHidden/>
          </w:rPr>
          <w:fldChar w:fldCharType="begin"/>
        </w:r>
        <w:r w:rsidR="00052A22">
          <w:rPr>
            <w:noProof/>
            <w:webHidden/>
          </w:rPr>
          <w:instrText xml:space="preserve"> PAGEREF _Toc131591381 \h </w:instrText>
        </w:r>
        <w:r w:rsidR="00052A22">
          <w:rPr>
            <w:noProof/>
            <w:webHidden/>
          </w:rPr>
        </w:r>
        <w:r w:rsidR="00052A22">
          <w:rPr>
            <w:noProof/>
            <w:webHidden/>
          </w:rPr>
          <w:fldChar w:fldCharType="separate"/>
        </w:r>
        <w:r w:rsidR="008F39B8">
          <w:rPr>
            <w:noProof/>
            <w:webHidden/>
          </w:rPr>
          <w:t>238</w:t>
        </w:r>
        <w:r w:rsidR="00052A22">
          <w:rPr>
            <w:noProof/>
            <w:webHidden/>
          </w:rPr>
          <w:fldChar w:fldCharType="end"/>
        </w:r>
      </w:hyperlink>
    </w:p>
    <w:p w14:paraId="4B5FE979" w14:textId="4D0DDF3C" w:rsidR="00052A22" w:rsidRDefault="007E17B8">
      <w:pPr>
        <w:pStyle w:val="TableofFigures"/>
        <w:rPr>
          <w:rFonts w:asciiTheme="minorHAnsi" w:eastAsiaTheme="minorEastAsia" w:hAnsiTheme="minorHAnsi" w:cstheme="minorBidi"/>
          <w:noProof/>
          <w:sz w:val="22"/>
        </w:rPr>
      </w:pPr>
      <w:hyperlink w:anchor="_Toc131591382" w:history="1">
        <w:r w:rsidR="00052A22" w:rsidRPr="00880361">
          <w:rPr>
            <w:rStyle w:val="Hyperlink"/>
            <w:noProof/>
          </w:rPr>
          <w:t xml:space="preserve">Table 6.1.2 </w:t>
        </w:r>
        <w:r w:rsidR="00052A22">
          <w:rPr>
            <w:rFonts w:asciiTheme="minorHAnsi" w:eastAsiaTheme="minorEastAsia" w:hAnsiTheme="minorHAnsi" w:cstheme="minorBidi"/>
            <w:noProof/>
            <w:sz w:val="22"/>
          </w:rPr>
          <w:tab/>
        </w:r>
        <w:r w:rsidR="00052A22" w:rsidRPr="00880361">
          <w:rPr>
            <w:rStyle w:val="Hyperlink"/>
            <w:noProof/>
          </w:rPr>
          <w:t>New Zealand’s greenhouse gas net emissions for the LULUCF sector by land use category in 2020 and 2021</w:t>
        </w:r>
        <w:r w:rsidR="00052A22">
          <w:rPr>
            <w:noProof/>
            <w:webHidden/>
          </w:rPr>
          <w:tab/>
        </w:r>
        <w:r w:rsidR="00052A22">
          <w:rPr>
            <w:noProof/>
            <w:webHidden/>
          </w:rPr>
          <w:fldChar w:fldCharType="begin"/>
        </w:r>
        <w:r w:rsidR="00052A22">
          <w:rPr>
            <w:noProof/>
            <w:webHidden/>
          </w:rPr>
          <w:instrText xml:space="preserve"> PAGEREF _Toc131591382 \h </w:instrText>
        </w:r>
        <w:r w:rsidR="00052A22">
          <w:rPr>
            <w:noProof/>
            <w:webHidden/>
          </w:rPr>
        </w:r>
        <w:r w:rsidR="00052A22">
          <w:rPr>
            <w:noProof/>
            <w:webHidden/>
          </w:rPr>
          <w:fldChar w:fldCharType="separate"/>
        </w:r>
        <w:r w:rsidR="008F39B8">
          <w:rPr>
            <w:noProof/>
            <w:webHidden/>
          </w:rPr>
          <w:t>239</w:t>
        </w:r>
        <w:r w:rsidR="00052A22">
          <w:rPr>
            <w:noProof/>
            <w:webHidden/>
          </w:rPr>
          <w:fldChar w:fldCharType="end"/>
        </w:r>
      </w:hyperlink>
    </w:p>
    <w:p w14:paraId="398CB687" w14:textId="4EA22F98" w:rsidR="00052A22" w:rsidRDefault="007E17B8">
      <w:pPr>
        <w:pStyle w:val="TableofFigures"/>
        <w:rPr>
          <w:rFonts w:asciiTheme="minorHAnsi" w:eastAsiaTheme="minorEastAsia" w:hAnsiTheme="minorHAnsi" w:cstheme="minorBidi"/>
          <w:noProof/>
          <w:sz w:val="22"/>
        </w:rPr>
      </w:pPr>
      <w:hyperlink w:anchor="_Toc131591383" w:history="1">
        <w:r w:rsidR="00052A22" w:rsidRPr="00880361">
          <w:rPr>
            <w:rStyle w:val="Hyperlink"/>
            <w:noProof/>
          </w:rPr>
          <w:t xml:space="preserve">Table 6.1.3 </w:t>
        </w:r>
        <w:r w:rsidR="00052A22">
          <w:rPr>
            <w:rFonts w:asciiTheme="minorHAnsi" w:eastAsiaTheme="minorEastAsia" w:hAnsiTheme="minorHAnsi" w:cstheme="minorBidi"/>
            <w:noProof/>
            <w:sz w:val="22"/>
          </w:rPr>
          <w:tab/>
        </w:r>
        <w:r w:rsidR="00052A22" w:rsidRPr="00880361">
          <w:rPr>
            <w:rStyle w:val="Hyperlink"/>
            <w:noProof/>
          </w:rPr>
          <w:t>Land use in New Zealand in 2021</w:t>
        </w:r>
        <w:r w:rsidR="00052A22">
          <w:rPr>
            <w:noProof/>
            <w:webHidden/>
          </w:rPr>
          <w:tab/>
        </w:r>
        <w:r w:rsidR="00052A22">
          <w:rPr>
            <w:noProof/>
            <w:webHidden/>
          </w:rPr>
          <w:fldChar w:fldCharType="begin"/>
        </w:r>
        <w:r w:rsidR="00052A22">
          <w:rPr>
            <w:noProof/>
            <w:webHidden/>
          </w:rPr>
          <w:instrText xml:space="preserve"> PAGEREF _Toc131591383 \h </w:instrText>
        </w:r>
        <w:r w:rsidR="00052A22">
          <w:rPr>
            <w:noProof/>
            <w:webHidden/>
          </w:rPr>
        </w:r>
        <w:r w:rsidR="00052A22">
          <w:rPr>
            <w:noProof/>
            <w:webHidden/>
          </w:rPr>
          <w:fldChar w:fldCharType="separate"/>
        </w:r>
        <w:r w:rsidR="008F39B8">
          <w:rPr>
            <w:noProof/>
            <w:webHidden/>
          </w:rPr>
          <w:t>241</w:t>
        </w:r>
        <w:r w:rsidR="00052A22">
          <w:rPr>
            <w:noProof/>
            <w:webHidden/>
          </w:rPr>
          <w:fldChar w:fldCharType="end"/>
        </w:r>
      </w:hyperlink>
    </w:p>
    <w:p w14:paraId="66431E46" w14:textId="4B71FAD0" w:rsidR="00052A22" w:rsidRDefault="007E17B8">
      <w:pPr>
        <w:pStyle w:val="TableofFigures"/>
        <w:rPr>
          <w:rFonts w:asciiTheme="minorHAnsi" w:eastAsiaTheme="minorEastAsia" w:hAnsiTheme="minorHAnsi" w:cstheme="minorBidi"/>
          <w:noProof/>
          <w:sz w:val="22"/>
        </w:rPr>
      </w:pPr>
      <w:hyperlink w:anchor="_Toc131591384" w:history="1">
        <w:r w:rsidR="00052A22" w:rsidRPr="00880361">
          <w:rPr>
            <w:rStyle w:val="Hyperlink"/>
            <w:noProof/>
          </w:rPr>
          <w:t>Table 6.1.4</w:t>
        </w:r>
        <w:r w:rsidR="00052A22">
          <w:rPr>
            <w:rFonts w:asciiTheme="minorHAnsi" w:eastAsiaTheme="minorEastAsia" w:hAnsiTheme="minorHAnsi" w:cstheme="minorBidi"/>
            <w:noProof/>
            <w:sz w:val="22"/>
          </w:rPr>
          <w:tab/>
        </w:r>
        <w:r w:rsidR="00052A22" w:rsidRPr="00880361">
          <w:rPr>
            <w:rStyle w:val="Hyperlink"/>
            <w:noProof/>
          </w:rPr>
          <w:t>Relationships between land use, carbon pool and method of calculation used by New Zealand</w:t>
        </w:r>
        <w:r w:rsidR="00052A22">
          <w:rPr>
            <w:noProof/>
            <w:webHidden/>
          </w:rPr>
          <w:tab/>
        </w:r>
        <w:r w:rsidR="00052A22">
          <w:rPr>
            <w:noProof/>
            <w:webHidden/>
          </w:rPr>
          <w:fldChar w:fldCharType="begin"/>
        </w:r>
        <w:r w:rsidR="00052A22">
          <w:rPr>
            <w:noProof/>
            <w:webHidden/>
          </w:rPr>
          <w:instrText xml:space="preserve"> PAGEREF _Toc131591384 \h </w:instrText>
        </w:r>
        <w:r w:rsidR="00052A22">
          <w:rPr>
            <w:noProof/>
            <w:webHidden/>
          </w:rPr>
        </w:r>
        <w:r w:rsidR="00052A22">
          <w:rPr>
            <w:noProof/>
            <w:webHidden/>
          </w:rPr>
          <w:fldChar w:fldCharType="separate"/>
        </w:r>
        <w:r w:rsidR="008F39B8">
          <w:rPr>
            <w:noProof/>
            <w:webHidden/>
          </w:rPr>
          <w:t>242</w:t>
        </w:r>
        <w:r w:rsidR="00052A22">
          <w:rPr>
            <w:noProof/>
            <w:webHidden/>
          </w:rPr>
          <w:fldChar w:fldCharType="end"/>
        </w:r>
      </w:hyperlink>
    </w:p>
    <w:p w14:paraId="37ED5D57" w14:textId="6943AEF8" w:rsidR="00052A22" w:rsidRDefault="007E17B8">
      <w:pPr>
        <w:pStyle w:val="TableofFigures"/>
        <w:rPr>
          <w:rFonts w:asciiTheme="minorHAnsi" w:eastAsiaTheme="minorEastAsia" w:hAnsiTheme="minorHAnsi" w:cstheme="minorBidi"/>
          <w:noProof/>
          <w:sz w:val="22"/>
        </w:rPr>
      </w:pPr>
      <w:hyperlink w:anchor="_Toc131591385" w:history="1">
        <w:r w:rsidR="00052A22" w:rsidRPr="00880361">
          <w:rPr>
            <w:rStyle w:val="Hyperlink"/>
            <w:noProof/>
          </w:rPr>
          <w:t>Table 6.1.5</w:t>
        </w:r>
        <w:r w:rsidR="00052A22">
          <w:rPr>
            <w:rFonts w:asciiTheme="minorHAnsi" w:eastAsiaTheme="minorEastAsia" w:hAnsiTheme="minorHAnsi" w:cstheme="minorBidi"/>
            <w:noProof/>
            <w:sz w:val="22"/>
          </w:rPr>
          <w:tab/>
        </w:r>
        <w:r w:rsidR="00052A22" w:rsidRPr="00880361">
          <w:rPr>
            <w:rStyle w:val="Hyperlink"/>
            <w:noProof/>
          </w:rPr>
          <w:t>Land use categories making the greatest contribution to uncertainty in the LULUCF sector</w:t>
        </w:r>
        <w:r w:rsidR="00052A22">
          <w:rPr>
            <w:noProof/>
            <w:webHidden/>
          </w:rPr>
          <w:tab/>
        </w:r>
        <w:r w:rsidR="00052A22">
          <w:rPr>
            <w:noProof/>
            <w:webHidden/>
          </w:rPr>
          <w:fldChar w:fldCharType="begin"/>
        </w:r>
        <w:r w:rsidR="00052A22">
          <w:rPr>
            <w:noProof/>
            <w:webHidden/>
          </w:rPr>
          <w:instrText xml:space="preserve"> PAGEREF _Toc131591385 \h </w:instrText>
        </w:r>
        <w:r w:rsidR="00052A22">
          <w:rPr>
            <w:noProof/>
            <w:webHidden/>
          </w:rPr>
        </w:r>
        <w:r w:rsidR="00052A22">
          <w:rPr>
            <w:noProof/>
            <w:webHidden/>
          </w:rPr>
          <w:fldChar w:fldCharType="separate"/>
        </w:r>
        <w:r w:rsidR="008F39B8">
          <w:rPr>
            <w:noProof/>
            <w:webHidden/>
          </w:rPr>
          <w:t>245</w:t>
        </w:r>
        <w:r w:rsidR="00052A22">
          <w:rPr>
            <w:noProof/>
            <w:webHidden/>
          </w:rPr>
          <w:fldChar w:fldCharType="end"/>
        </w:r>
      </w:hyperlink>
    </w:p>
    <w:p w14:paraId="28229A63" w14:textId="5C442B02" w:rsidR="00052A22" w:rsidRDefault="007E17B8">
      <w:pPr>
        <w:pStyle w:val="TableofFigures"/>
        <w:rPr>
          <w:rFonts w:asciiTheme="minorHAnsi" w:eastAsiaTheme="minorEastAsia" w:hAnsiTheme="minorHAnsi" w:cstheme="minorBidi"/>
          <w:noProof/>
          <w:sz w:val="22"/>
        </w:rPr>
      </w:pPr>
      <w:hyperlink w:anchor="_Toc131591386" w:history="1">
        <w:r w:rsidR="00052A22" w:rsidRPr="00880361">
          <w:rPr>
            <w:rStyle w:val="Hyperlink"/>
            <w:noProof/>
          </w:rPr>
          <w:t>Table 6.1.6</w:t>
        </w:r>
        <w:r w:rsidR="00052A22">
          <w:rPr>
            <w:rFonts w:asciiTheme="minorHAnsi" w:eastAsiaTheme="minorEastAsia" w:hAnsiTheme="minorHAnsi" w:cstheme="minorBidi"/>
            <w:noProof/>
            <w:sz w:val="22"/>
          </w:rPr>
          <w:tab/>
        </w:r>
        <w:r w:rsidR="00052A22" w:rsidRPr="00880361">
          <w:rPr>
            <w:rStyle w:val="Hyperlink"/>
            <w:noProof/>
          </w:rPr>
          <w:t>Recalculations to New Zealand’s total net LULUCF emissions for 1990 and 2020</w:t>
        </w:r>
        <w:r w:rsidR="00052A22">
          <w:rPr>
            <w:noProof/>
            <w:webHidden/>
          </w:rPr>
          <w:tab/>
        </w:r>
        <w:r w:rsidR="00052A22">
          <w:rPr>
            <w:noProof/>
            <w:webHidden/>
          </w:rPr>
          <w:fldChar w:fldCharType="begin"/>
        </w:r>
        <w:r w:rsidR="00052A22">
          <w:rPr>
            <w:noProof/>
            <w:webHidden/>
          </w:rPr>
          <w:instrText xml:space="preserve"> PAGEREF _Toc131591386 \h </w:instrText>
        </w:r>
        <w:r w:rsidR="00052A22">
          <w:rPr>
            <w:noProof/>
            <w:webHidden/>
          </w:rPr>
        </w:r>
        <w:r w:rsidR="00052A22">
          <w:rPr>
            <w:noProof/>
            <w:webHidden/>
          </w:rPr>
          <w:fldChar w:fldCharType="separate"/>
        </w:r>
        <w:r w:rsidR="008F39B8">
          <w:rPr>
            <w:noProof/>
            <w:webHidden/>
          </w:rPr>
          <w:t>245</w:t>
        </w:r>
        <w:r w:rsidR="00052A22">
          <w:rPr>
            <w:noProof/>
            <w:webHidden/>
          </w:rPr>
          <w:fldChar w:fldCharType="end"/>
        </w:r>
      </w:hyperlink>
    </w:p>
    <w:p w14:paraId="5289A241" w14:textId="3D05DB05" w:rsidR="00052A22" w:rsidRDefault="007E17B8">
      <w:pPr>
        <w:pStyle w:val="TableofFigures"/>
        <w:rPr>
          <w:rFonts w:asciiTheme="minorHAnsi" w:eastAsiaTheme="minorEastAsia" w:hAnsiTheme="minorHAnsi" w:cstheme="minorBidi"/>
          <w:noProof/>
          <w:sz w:val="22"/>
        </w:rPr>
      </w:pPr>
      <w:hyperlink w:anchor="_Toc131591387" w:history="1">
        <w:r w:rsidR="00052A22" w:rsidRPr="00880361">
          <w:rPr>
            <w:rStyle w:val="Hyperlink"/>
            <w:noProof/>
          </w:rPr>
          <w:t>Table 6.1.7</w:t>
        </w:r>
        <w:r w:rsidR="00052A22">
          <w:rPr>
            <w:rFonts w:asciiTheme="minorHAnsi" w:eastAsiaTheme="minorEastAsia" w:hAnsiTheme="minorHAnsi" w:cstheme="minorBidi"/>
            <w:noProof/>
            <w:sz w:val="22"/>
          </w:rPr>
          <w:tab/>
        </w:r>
        <w:r w:rsidR="00052A22" w:rsidRPr="00880361">
          <w:rPr>
            <w:rStyle w:val="Hyperlink"/>
            <w:noProof/>
          </w:rPr>
          <w:t>Recalculations to New Zealand’s net LULUCF emissions for 1990 and 2020 by category</w:t>
        </w:r>
        <w:r w:rsidR="00052A22">
          <w:rPr>
            <w:noProof/>
            <w:webHidden/>
          </w:rPr>
          <w:tab/>
        </w:r>
        <w:r w:rsidR="00052A22">
          <w:rPr>
            <w:noProof/>
            <w:webHidden/>
          </w:rPr>
          <w:fldChar w:fldCharType="begin"/>
        </w:r>
        <w:r w:rsidR="00052A22">
          <w:rPr>
            <w:noProof/>
            <w:webHidden/>
          </w:rPr>
          <w:instrText xml:space="preserve"> PAGEREF _Toc131591387 \h </w:instrText>
        </w:r>
        <w:r w:rsidR="00052A22">
          <w:rPr>
            <w:noProof/>
            <w:webHidden/>
          </w:rPr>
        </w:r>
        <w:r w:rsidR="00052A22">
          <w:rPr>
            <w:noProof/>
            <w:webHidden/>
          </w:rPr>
          <w:fldChar w:fldCharType="separate"/>
        </w:r>
        <w:r w:rsidR="008F39B8">
          <w:rPr>
            <w:noProof/>
            <w:webHidden/>
          </w:rPr>
          <w:t>246</w:t>
        </w:r>
        <w:r w:rsidR="00052A22">
          <w:rPr>
            <w:noProof/>
            <w:webHidden/>
          </w:rPr>
          <w:fldChar w:fldCharType="end"/>
        </w:r>
      </w:hyperlink>
    </w:p>
    <w:p w14:paraId="05226CBC" w14:textId="15650316" w:rsidR="00052A22" w:rsidRDefault="007E17B8">
      <w:pPr>
        <w:pStyle w:val="TableofFigures"/>
        <w:rPr>
          <w:rFonts w:asciiTheme="minorHAnsi" w:eastAsiaTheme="minorEastAsia" w:hAnsiTheme="minorHAnsi" w:cstheme="minorBidi"/>
          <w:noProof/>
          <w:sz w:val="22"/>
        </w:rPr>
      </w:pPr>
      <w:hyperlink w:anchor="_Toc131591388" w:history="1">
        <w:r w:rsidR="00052A22" w:rsidRPr="00880361">
          <w:rPr>
            <w:rStyle w:val="Hyperlink"/>
            <w:noProof/>
          </w:rPr>
          <w:t>Table 6.2.1</w:t>
        </w:r>
        <w:r w:rsidR="00052A22">
          <w:rPr>
            <w:rFonts w:asciiTheme="minorHAnsi" w:eastAsiaTheme="minorEastAsia" w:hAnsiTheme="minorHAnsi" w:cstheme="minorBidi"/>
            <w:noProof/>
            <w:sz w:val="22"/>
          </w:rPr>
          <w:tab/>
        </w:r>
        <w:r w:rsidR="00052A22" w:rsidRPr="00880361">
          <w:rPr>
            <w:rStyle w:val="Hyperlink"/>
            <w:noProof/>
          </w:rPr>
          <w:t>New Zealand’s land-use change matrix from 1962 to 1989</w:t>
        </w:r>
        <w:r w:rsidR="00052A22">
          <w:rPr>
            <w:noProof/>
            <w:webHidden/>
          </w:rPr>
          <w:tab/>
        </w:r>
        <w:r w:rsidR="00052A22">
          <w:rPr>
            <w:noProof/>
            <w:webHidden/>
          </w:rPr>
          <w:fldChar w:fldCharType="begin"/>
        </w:r>
        <w:r w:rsidR="00052A22">
          <w:rPr>
            <w:noProof/>
            <w:webHidden/>
          </w:rPr>
          <w:instrText xml:space="preserve"> PAGEREF _Toc131591388 \h </w:instrText>
        </w:r>
        <w:r w:rsidR="00052A22">
          <w:rPr>
            <w:noProof/>
            <w:webHidden/>
          </w:rPr>
        </w:r>
        <w:r w:rsidR="00052A22">
          <w:rPr>
            <w:noProof/>
            <w:webHidden/>
          </w:rPr>
          <w:fldChar w:fldCharType="separate"/>
        </w:r>
        <w:r w:rsidR="008F39B8">
          <w:rPr>
            <w:noProof/>
            <w:webHidden/>
          </w:rPr>
          <w:t>249</w:t>
        </w:r>
        <w:r w:rsidR="00052A22">
          <w:rPr>
            <w:noProof/>
            <w:webHidden/>
          </w:rPr>
          <w:fldChar w:fldCharType="end"/>
        </w:r>
      </w:hyperlink>
    </w:p>
    <w:p w14:paraId="14B228F7" w14:textId="6C320C8E" w:rsidR="00052A22" w:rsidRDefault="007E17B8">
      <w:pPr>
        <w:pStyle w:val="TableofFigures"/>
        <w:rPr>
          <w:rFonts w:asciiTheme="minorHAnsi" w:eastAsiaTheme="minorEastAsia" w:hAnsiTheme="minorHAnsi" w:cstheme="minorBidi"/>
          <w:noProof/>
          <w:sz w:val="22"/>
        </w:rPr>
      </w:pPr>
      <w:hyperlink w:anchor="_Toc131591389" w:history="1">
        <w:r w:rsidR="00052A22" w:rsidRPr="00880361">
          <w:rPr>
            <w:rStyle w:val="Hyperlink"/>
            <w:noProof/>
          </w:rPr>
          <w:t>Table 6.2.2</w:t>
        </w:r>
        <w:r w:rsidR="00052A22">
          <w:rPr>
            <w:rFonts w:asciiTheme="minorHAnsi" w:eastAsiaTheme="minorEastAsia" w:hAnsiTheme="minorHAnsi" w:cstheme="minorBidi"/>
            <w:noProof/>
            <w:sz w:val="22"/>
          </w:rPr>
          <w:tab/>
        </w:r>
        <w:r w:rsidR="00052A22" w:rsidRPr="00880361">
          <w:rPr>
            <w:rStyle w:val="Hyperlink"/>
            <w:noProof/>
          </w:rPr>
          <w:t>New Zealand’s land use categories and land uses</w:t>
        </w:r>
        <w:r w:rsidR="00052A22">
          <w:rPr>
            <w:noProof/>
            <w:webHidden/>
          </w:rPr>
          <w:tab/>
        </w:r>
        <w:r w:rsidR="00052A22">
          <w:rPr>
            <w:noProof/>
            <w:webHidden/>
          </w:rPr>
          <w:fldChar w:fldCharType="begin"/>
        </w:r>
        <w:r w:rsidR="00052A22">
          <w:rPr>
            <w:noProof/>
            <w:webHidden/>
          </w:rPr>
          <w:instrText xml:space="preserve"> PAGEREF _Toc131591389 \h </w:instrText>
        </w:r>
        <w:r w:rsidR="00052A22">
          <w:rPr>
            <w:noProof/>
            <w:webHidden/>
          </w:rPr>
        </w:r>
        <w:r w:rsidR="00052A22">
          <w:rPr>
            <w:noProof/>
            <w:webHidden/>
          </w:rPr>
          <w:fldChar w:fldCharType="separate"/>
        </w:r>
        <w:r w:rsidR="008F39B8">
          <w:rPr>
            <w:noProof/>
            <w:webHidden/>
          </w:rPr>
          <w:t>250</w:t>
        </w:r>
        <w:r w:rsidR="00052A22">
          <w:rPr>
            <w:noProof/>
            <w:webHidden/>
          </w:rPr>
          <w:fldChar w:fldCharType="end"/>
        </w:r>
      </w:hyperlink>
    </w:p>
    <w:p w14:paraId="11DA35D8" w14:textId="67AC49FD" w:rsidR="00052A22" w:rsidRDefault="007E17B8">
      <w:pPr>
        <w:pStyle w:val="TableofFigures"/>
        <w:rPr>
          <w:rFonts w:asciiTheme="minorHAnsi" w:eastAsiaTheme="minorEastAsia" w:hAnsiTheme="minorHAnsi" w:cstheme="minorBidi"/>
          <w:noProof/>
          <w:sz w:val="22"/>
        </w:rPr>
      </w:pPr>
      <w:hyperlink w:anchor="_Toc131591390" w:history="1">
        <w:r w:rsidR="00052A22" w:rsidRPr="00880361">
          <w:rPr>
            <w:rStyle w:val="Hyperlink"/>
            <w:noProof/>
          </w:rPr>
          <w:t>Table 6.2.3</w:t>
        </w:r>
        <w:r w:rsidR="00052A22">
          <w:rPr>
            <w:rFonts w:asciiTheme="minorHAnsi" w:eastAsiaTheme="minorEastAsia" w:hAnsiTheme="minorHAnsi" w:cstheme="minorBidi"/>
            <w:noProof/>
            <w:sz w:val="22"/>
          </w:rPr>
          <w:tab/>
        </w:r>
        <w:r w:rsidR="00052A22" w:rsidRPr="00880361">
          <w:rPr>
            <w:rStyle w:val="Hyperlink"/>
            <w:noProof/>
          </w:rPr>
          <w:t>New Zealand’s mapping definitions for each land use</w:t>
        </w:r>
        <w:r w:rsidR="00052A22">
          <w:rPr>
            <w:noProof/>
            <w:webHidden/>
          </w:rPr>
          <w:tab/>
        </w:r>
        <w:r w:rsidR="00052A22">
          <w:rPr>
            <w:noProof/>
            <w:webHidden/>
          </w:rPr>
          <w:fldChar w:fldCharType="begin"/>
        </w:r>
        <w:r w:rsidR="00052A22">
          <w:rPr>
            <w:noProof/>
            <w:webHidden/>
          </w:rPr>
          <w:instrText xml:space="preserve"> PAGEREF _Toc131591390 \h </w:instrText>
        </w:r>
        <w:r w:rsidR="00052A22">
          <w:rPr>
            <w:noProof/>
            <w:webHidden/>
          </w:rPr>
        </w:r>
        <w:r w:rsidR="00052A22">
          <w:rPr>
            <w:noProof/>
            <w:webHidden/>
          </w:rPr>
          <w:fldChar w:fldCharType="separate"/>
        </w:r>
        <w:r w:rsidR="008F39B8">
          <w:rPr>
            <w:noProof/>
            <w:webHidden/>
          </w:rPr>
          <w:t>250</w:t>
        </w:r>
        <w:r w:rsidR="00052A22">
          <w:rPr>
            <w:noProof/>
            <w:webHidden/>
          </w:rPr>
          <w:fldChar w:fldCharType="end"/>
        </w:r>
      </w:hyperlink>
    </w:p>
    <w:p w14:paraId="7B505617" w14:textId="18ECAEED" w:rsidR="00052A22" w:rsidRDefault="007E17B8">
      <w:pPr>
        <w:pStyle w:val="TableofFigures"/>
        <w:rPr>
          <w:rFonts w:asciiTheme="minorHAnsi" w:eastAsiaTheme="minorEastAsia" w:hAnsiTheme="minorHAnsi" w:cstheme="minorBidi"/>
          <w:noProof/>
          <w:sz w:val="22"/>
        </w:rPr>
      </w:pPr>
      <w:hyperlink w:anchor="_Toc131591391" w:history="1">
        <w:r w:rsidR="00052A22" w:rsidRPr="00880361">
          <w:rPr>
            <w:rStyle w:val="Hyperlink"/>
            <w:noProof/>
          </w:rPr>
          <w:t>Table 6.3.1</w:t>
        </w:r>
        <w:r w:rsidR="00052A22">
          <w:rPr>
            <w:rFonts w:asciiTheme="minorHAnsi" w:eastAsiaTheme="minorEastAsia" w:hAnsiTheme="minorHAnsi" w:cstheme="minorBidi"/>
            <w:noProof/>
            <w:sz w:val="22"/>
          </w:rPr>
          <w:tab/>
        </w:r>
        <w:r w:rsidR="00052A22" w:rsidRPr="00880361">
          <w:rPr>
            <w:rStyle w:val="Hyperlink"/>
            <w:noProof/>
          </w:rPr>
          <w:t xml:space="preserve">New Zealand’s land-use change for the </w:t>
        </w:r>
        <w:r w:rsidR="00052A22" w:rsidRPr="00880361">
          <w:rPr>
            <w:rStyle w:val="Hyperlink"/>
            <w:i/>
            <w:noProof/>
          </w:rPr>
          <w:t>Forest land</w:t>
        </w:r>
        <w:r w:rsidR="00052A22" w:rsidRPr="00880361">
          <w:rPr>
            <w:rStyle w:val="Hyperlink"/>
            <w:noProof/>
          </w:rPr>
          <w:t xml:space="preserve"> category, and associated CO</w:t>
        </w:r>
        <w:r w:rsidR="00052A22" w:rsidRPr="00880361">
          <w:rPr>
            <w:rStyle w:val="Hyperlink"/>
            <w:noProof/>
            <w:vertAlign w:val="subscript"/>
          </w:rPr>
          <w:t>2</w:t>
        </w:r>
        <w:r w:rsidR="00052A22" w:rsidRPr="00880361">
          <w:rPr>
            <w:rStyle w:val="Hyperlink"/>
            <w:noProof/>
          </w:rPr>
          <w:t>-e emissions, in 1990 and 2021</w:t>
        </w:r>
        <w:r w:rsidR="00052A22">
          <w:rPr>
            <w:noProof/>
            <w:webHidden/>
          </w:rPr>
          <w:tab/>
        </w:r>
        <w:r w:rsidR="00052A22">
          <w:rPr>
            <w:noProof/>
            <w:webHidden/>
          </w:rPr>
          <w:fldChar w:fldCharType="begin"/>
        </w:r>
        <w:r w:rsidR="00052A22">
          <w:rPr>
            <w:noProof/>
            <w:webHidden/>
          </w:rPr>
          <w:instrText xml:space="preserve"> PAGEREF _Toc131591391 \h </w:instrText>
        </w:r>
        <w:r w:rsidR="00052A22">
          <w:rPr>
            <w:noProof/>
            <w:webHidden/>
          </w:rPr>
        </w:r>
        <w:r w:rsidR="00052A22">
          <w:rPr>
            <w:noProof/>
            <w:webHidden/>
          </w:rPr>
          <w:fldChar w:fldCharType="separate"/>
        </w:r>
        <w:r w:rsidR="008F39B8">
          <w:rPr>
            <w:noProof/>
            <w:webHidden/>
          </w:rPr>
          <w:t>253</w:t>
        </w:r>
        <w:r w:rsidR="00052A22">
          <w:rPr>
            <w:noProof/>
            <w:webHidden/>
          </w:rPr>
          <w:fldChar w:fldCharType="end"/>
        </w:r>
      </w:hyperlink>
    </w:p>
    <w:p w14:paraId="54039A27" w14:textId="48292363" w:rsidR="00052A22" w:rsidRDefault="007E17B8">
      <w:pPr>
        <w:pStyle w:val="TableofFigures"/>
        <w:rPr>
          <w:rFonts w:asciiTheme="minorHAnsi" w:eastAsiaTheme="minorEastAsia" w:hAnsiTheme="minorHAnsi" w:cstheme="minorBidi"/>
          <w:noProof/>
          <w:sz w:val="22"/>
        </w:rPr>
      </w:pPr>
      <w:hyperlink w:anchor="_Toc131591392" w:history="1">
        <w:r w:rsidR="00052A22" w:rsidRPr="00880361">
          <w:rPr>
            <w:rStyle w:val="Hyperlink"/>
            <w:noProof/>
          </w:rPr>
          <w:t>Table 6.3.2</w:t>
        </w:r>
        <w:r w:rsidR="00052A22">
          <w:rPr>
            <w:rFonts w:asciiTheme="minorHAnsi" w:eastAsiaTheme="minorEastAsia" w:hAnsiTheme="minorHAnsi" w:cstheme="minorBidi"/>
            <w:noProof/>
            <w:sz w:val="22"/>
          </w:rPr>
          <w:tab/>
        </w:r>
        <w:r w:rsidR="00052A22" w:rsidRPr="00880361">
          <w:rPr>
            <w:rStyle w:val="Hyperlink"/>
            <w:noProof/>
          </w:rPr>
          <w:t>Change in land area and associated CO</w:t>
        </w:r>
        <w:r w:rsidR="00052A22" w:rsidRPr="00880361">
          <w:rPr>
            <w:rStyle w:val="Hyperlink"/>
            <w:noProof/>
            <w:vertAlign w:val="subscript"/>
          </w:rPr>
          <w:t>2</w:t>
        </w:r>
        <w:r w:rsidR="00052A22" w:rsidRPr="00880361">
          <w:rPr>
            <w:rStyle w:val="Hyperlink"/>
            <w:noProof/>
          </w:rPr>
          <w:t xml:space="preserve"> emissions from carbon stock change between 1990 and 2021 for New Zealand’s</w:t>
        </w:r>
        <w:r w:rsidR="00052A22" w:rsidRPr="00880361">
          <w:rPr>
            <w:rStyle w:val="Hyperlink"/>
            <w:i/>
            <w:noProof/>
          </w:rPr>
          <w:t xml:space="preserve"> Forest land</w:t>
        </w:r>
        <w:r w:rsidR="00052A22">
          <w:rPr>
            <w:noProof/>
            <w:webHidden/>
          </w:rPr>
          <w:tab/>
        </w:r>
        <w:r w:rsidR="00052A22">
          <w:rPr>
            <w:noProof/>
            <w:webHidden/>
          </w:rPr>
          <w:fldChar w:fldCharType="begin"/>
        </w:r>
        <w:r w:rsidR="00052A22">
          <w:rPr>
            <w:noProof/>
            <w:webHidden/>
          </w:rPr>
          <w:instrText xml:space="preserve"> PAGEREF _Toc131591392 \h </w:instrText>
        </w:r>
        <w:r w:rsidR="00052A22">
          <w:rPr>
            <w:noProof/>
            <w:webHidden/>
          </w:rPr>
        </w:r>
        <w:r w:rsidR="00052A22">
          <w:rPr>
            <w:noProof/>
            <w:webHidden/>
          </w:rPr>
          <w:fldChar w:fldCharType="separate"/>
        </w:r>
        <w:r w:rsidR="008F39B8">
          <w:rPr>
            <w:noProof/>
            <w:webHidden/>
          </w:rPr>
          <w:t>254</w:t>
        </w:r>
        <w:r w:rsidR="00052A22">
          <w:rPr>
            <w:noProof/>
            <w:webHidden/>
          </w:rPr>
          <w:fldChar w:fldCharType="end"/>
        </w:r>
      </w:hyperlink>
    </w:p>
    <w:p w14:paraId="293DB64B" w14:textId="358B50AC" w:rsidR="00052A22" w:rsidRDefault="007E17B8">
      <w:pPr>
        <w:pStyle w:val="TableofFigures"/>
        <w:rPr>
          <w:rFonts w:asciiTheme="minorHAnsi" w:eastAsiaTheme="minorEastAsia" w:hAnsiTheme="minorHAnsi" w:cstheme="minorBidi"/>
          <w:noProof/>
          <w:sz w:val="22"/>
        </w:rPr>
      </w:pPr>
      <w:hyperlink w:anchor="_Toc131591393" w:history="1">
        <w:r w:rsidR="00052A22" w:rsidRPr="00880361">
          <w:rPr>
            <w:rStyle w:val="Hyperlink"/>
            <w:noProof/>
          </w:rPr>
          <w:t>Table 6.3.3</w:t>
        </w:r>
        <w:r w:rsidR="00052A22">
          <w:rPr>
            <w:rFonts w:asciiTheme="minorHAnsi" w:eastAsiaTheme="minorEastAsia" w:hAnsiTheme="minorHAnsi" w:cstheme="minorBidi"/>
            <w:noProof/>
            <w:sz w:val="22"/>
          </w:rPr>
          <w:tab/>
        </w:r>
        <w:r w:rsidR="00052A22" w:rsidRPr="00880361">
          <w:rPr>
            <w:rStyle w:val="Hyperlink"/>
            <w:noProof/>
          </w:rPr>
          <w:t>New Zealand’s net carbon stock change by carbon pool for the</w:t>
        </w:r>
        <w:r w:rsidR="00052A22" w:rsidRPr="00880361">
          <w:rPr>
            <w:rStyle w:val="Hyperlink"/>
            <w:rFonts w:cs="Arial Bold"/>
            <w:noProof/>
          </w:rPr>
          <w:t xml:space="preserve"> </w:t>
        </w:r>
        <w:r w:rsidR="00052A22" w:rsidRPr="00880361">
          <w:rPr>
            <w:rStyle w:val="Hyperlink"/>
            <w:rFonts w:cs="Arial Bold"/>
            <w:i/>
            <w:noProof/>
          </w:rPr>
          <w:t>Forest</w:t>
        </w:r>
        <w:r w:rsidR="00052A22" w:rsidRPr="00880361">
          <w:rPr>
            <w:rStyle w:val="Hyperlink"/>
            <w:i/>
            <w:noProof/>
          </w:rPr>
          <w:t xml:space="preserve"> land </w:t>
        </w:r>
        <w:r w:rsidR="00052A22" w:rsidRPr="00880361">
          <w:rPr>
            <w:rStyle w:val="Hyperlink"/>
            <w:noProof/>
          </w:rPr>
          <w:t>category from 1990 to 2021</w:t>
        </w:r>
        <w:r w:rsidR="00052A22">
          <w:rPr>
            <w:noProof/>
            <w:webHidden/>
          </w:rPr>
          <w:tab/>
        </w:r>
        <w:r w:rsidR="00052A22">
          <w:rPr>
            <w:noProof/>
            <w:webHidden/>
          </w:rPr>
          <w:fldChar w:fldCharType="begin"/>
        </w:r>
        <w:r w:rsidR="00052A22">
          <w:rPr>
            <w:noProof/>
            <w:webHidden/>
          </w:rPr>
          <w:instrText xml:space="preserve"> PAGEREF _Toc131591393 \h </w:instrText>
        </w:r>
        <w:r w:rsidR="00052A22">
          <w:rPr>
            <w:noProof/>
            <w:webHidden/>
          </w:rPr>
        </w:r>
        <w:r w:rsidR="00052A22">
          <w:rPr>
            <w:noProof/>
            <w:webHidden/>
          </w:rPr>
          <w:fldChar w:fldCharType="separate"/>
        </w:r>
        <w:r w:rsidR="008F39B8">
          <w:rPr>
            <w:noProof/>
            <w:webHidden/>
          </w:rPr>
          <w:t>254</w:t>
        </w:r>
        <w:r w:rsidR="00052A22">
          <w:rPr>
            <w:noProof/>
            <w:webHidden/>
          </w:rPr>
          <w:fldChar w:fldCharType="end"/>
        </w:r>
      </w:hyperlink>
    </w:p>
    <w:p w14:paraId="3F8712D8" w14:textId="456D9331" w:rsidR="00052A22" w:rsidRDefault="007E17B8">
      <w:pPr>
        <w:pStyle w:val="TableofFigures"/>
        <w:rPr>
          <w:rFonts w:asciiTheme="minorHAnsi" w:eastAsiaTheme="minorEastAsia" w:hAnsiTheme="minorHAnsi" w:cstheme="minorBidi"/>
          <w:noProof/>
          <w:sz w:val="22"/>
        </w:rPr>
      </w:pPr>
      <w:hyperlink w:anchor="_Toc131591394" w:history="1">
        <w:r w:rsidR="00052A22" w:rsidRPr="00880361">
          <w:rPr>
            <w:rStyle w:val="Hyperlink"/>
            <w:noProof/>
          </w:rPr>
          <w:t>Table 6.3.4</w:t>
        </w:r>
        <w:r w:rsidR="00052A22">
          <w:rPr>
            <w:rFonts w:asciiTheme="minorHAnsi" w:eastAsiaTheme="minorEastAsia" w:hAnsiTheme="minorHAnsi" w:cstheme="minorBidi"/>
            <w:noProof/>
            <w:sz w:val="22"/>
          </w:rPr>
          <w:tab/>
        </w:r>
        <w:r w:rsidR="00052A22" w:rsidRPr="00880361">
          <w:rPr>
            <w:rStyle w:val="Hyperlink"/>
            <w:noProof/>
          </w:rPr>
          <w:t xml:space="preserve">New Zealand’s </w:t>
        </w:r>
        <w:r w:rsidR="00052A22" w:rsidRPr="00880361">
          <w:rPr>
            <w:rStyle w:val="Hyperlink"/>
            <w:i/>
            <w:noProof/>
          </w:rPr>
          <w:t xml:space="preserve">Forest land </w:t>
        </w:r>
        <w:r w:rsidR="00052A22" w:rsidRPr="00880361">
          <w:rPr>
            <w:rStyle w:val="Hyperlink"/>
            <w:noProof/>
          </w:rPr>
          <w:t>subject to deforestation, 1990 and 2021</w:t>
        </w:r>
        <w:r w:rsidR="00052A22">
          <w:rPr>
            <w:noProof/>
            <w:webHidden/>
          </w:rPr>
          <w:tab/>
        </w:r>
        <w:r w:rsidR="00052A22">
          <w:rPr>
            <w:noProof/>
            <w:webHidden/>
          </w:rPr>
          <w:fldChar w:fldCharType="begin"/>
        </w:r>
        <w:r w:rsidR="00052A22">
          <w:rPr>
            <w:noProof/>
            <w:webHidden/>
          </w:rPr>
          <w:instrText xml:space="preserve"> PAGEREF _Toc131591394 \h </w:instrText>
        </w:r>
        <w:r w:rsidR="00052A22">
          <w:rPr>
            <w:noProof/>
            <w:webHidden/>
          </w:rPr>
        </w:r>
        <w:r w:rsidR="00052A22">
          <w:rPr>
            <w:noProof/>
            <w:webHidden/>
          </w:rPr>
          <w:fldChar w:fldCharType="separate"/>
        </w:r>
        <w:r w:rsidR="008F39B8">
          <w:rPr>
            <w:noProof/>
            <w:webHidden/>
          </w:rPr>
          <w:t>257</w:t>
        </w:r>
        <w:r w:rsidR="00052A22">
          <w:rPr>
            <w:noProof/>
            <w:webHidden/>
          </w:rPr>
          <w:fldChar w:fldCharType="end"/>
        </w:r>
      </w:hyperlink>
    </w:p>
    <w:p w14:paraId="3BEAB9C4" w14:textId="049BB0E9" w:rsidR="00052A22" w:rsidRDefault="007E17B8">
      <w:pPr>
        <w:pStyle w:val="TableofFigures"/>
        <w:rPr>
          <w:rFonts w:asciiTheme="minorHAnsi" w:eastAsiaTheme="minorEastAsia" w:hAnsiTheme="minorHAnsi" w:cstheme="minorBidi"/>
          <w:noProof/>
          <w:sz w:val="22"/>
        </w:rPr>
      </w:pPr>
      <w:hyperlink w:anchor="_Toc131591395" w:history="1">
        <w:r w:rsidR="00052A22" w:rsidRPr="00880361">
          <w:rPr>
            <w:rStyle w:val="Hyperlink"/>
            <w:noProof/>
          </w:rPr>
          <w:t>Table 6.3.5</w:t>
        </w:r>
        <w:r w:rsidR="00052A22">
          <w:rPr>
            <w:rFonts w:asciiTheme="minorHAnsi" w:eastAsiaTheme="minorEastAsia" w:hAnsiTheme="minorHAnsi" w:cstheme="minorBidi"/>
            <w:noProof/>
            <w:sz w:val="22"/>
          </w:rPr>
          <w:tab/>
        </w:r>
        <w:r w:rsidR="00052A22" w:rsidRPr="00880361">
          <w:rPr>
            <w:rStyle w:val="Hyperlink"/>
            <w:noProof/>
          </w:rPr>
          <w:t>Pre-1990 natural forest subcategories and description</w:t>
        </w:r>
        <w:r w:rsidR="00052A22">
          <w:rPr>
            <w:noProof/>
            <w:webHidden/>
          </w:rPr>
          <w:tab/>
        </w:r>
        <w:r w:rsidR="00052A22">
          <w:rPr>
            <w:noProof/>
            <w:webHidden/>
          </w:rPr>
          <w:fldChar w:fldCharType="begin"/>
        </w:r>
        <w:r w:rsidR="00052A22">
          <w:rPr>
            <w:noProof/>
            <w:webHidden/>
          </w:rPr>
          <w:instrText xml:space="preserve"> PAGEREF _Toc131591395 \h </w:instrText>
        </w:r>
        <w:r w:rsidR="00052A22">
          <w:rPr>
            <w:noProof/>
            <w:webHidden/>
          </w:rPr>
        </w:r>
        <w:r w:rsidR="00052A22">
          <w:rPr>
            <w:noProof/>
            <w:webHidden/>
          </w:rPr>
          <w:fldChar w:fldCharType="separate"/>
        </w:r>
        <w:r w:rsidR="008F39B8">
          <w:rPr>
            <w:noProof/>
            <w:webHidden/>
          </w:rPr>
          <w:t>258</w:t>
        </w:r>
        <w:r w:rsidR="00052A22">
          <w:rPr>
            <w:noProof/>
            <w:webHidden/>
          </w:rPr>
          <w:fldChar w:fldCharType="end"/>
        </w:r>
      </w:hyperlink>
    </w:p>
    <w:p w14:paraId="36E5711D" w14:textId="6DD0B7FB" w:rsidR="00052A22" w:rsidRDefault="007E17B8">
      <w:pPr>
        <w:pStyle w:val="TableofFigures"/>
        <w:rPr>
          <w:rFonts w:asciiTheme="minorHAnsi" w:eastAsiaTheme="minorEastAsia" w:hAnsiTheme="minorHAnsi" w:cstheme="minorBidi"/>
          <w:noProof/>
          <w:sz w:val="22"/>
        </w:rPr>
      </w:pPr>
      <w:hyperlink w:anchor="_Toc131591396" w:history="1">
        <w:r w:rsidR="00052A22" w:rsidRPr="00880361">
          <w:rPr>
            <w:rStyle w:val="Hyperlink"/>
            <w:noProof/>
          </w:rPr>
          <w:t>Table 6.3.6</w:t>
        </w:r>
        <w:r w:rsidR="00052A22">
          <w:rPr>
            <w:rFonts w:asciiTheme="minorHAnsi" w:eastAsiaTheme="minorEastAsia" w:hAnsiTheme="minorHAnsi" w:cstheme="minorBidi"/>
            <w:noProof/>
            <w:sz w:val="22"/>
          </w:rPr>
          <w:tab/>
        </w:r>
        <w:r w:rsidR="00052A22" w:rsidRPr="00880361">
          <w:rPr>
            <w:rStyle w:val="Hyperlink"/>
            <w:noProof/>
          </w:rPr>
          <w:t>Areas of tall and regenerating pre-1990 natural forest in 1990 and 2021</w:t>
        </w:r>
        <w:r w:rsidR="00052A22">
          <w:rPr>
            <w:noProof/>
            <w:webHidden/>
          </w:rPr>
          <w:tab/>
        </w:r>
        <w:r w:rsidR="00052A22">
          <w:rPr>
            <w:noProof/>
            <w:webHidden/>
          </w:rPr>
          <w:fldChar w:fldCharType="begin"/>
        </w:r>
        <w:r w:rsidR="00052A22">
          <w:rPr>
            <w:noProof/>
            <w:webHidden/>
          </w:rPr>
          <w:instrText xml:space="preserve"> PAGEREF _Toc131591396 \h </w:instrText>
        </w:r>
        <w:r w:rsidR="00052A22">
          <w:rPr>
            <w:noProof/>
            <w:webHidden/>
          </w:rPr>
        </w:r>
        <w:r w:rsidR="00052A22">
          <w:rPr>
            <w:noProof/>
            <w:webHidden/>
          </w:rPr>
          <w:fldChar w:fldCharType="separate"/>
        </w:r>
        <w:r w:rsidR="008F39B8">
          <w:rPr>
            <w:noProof/>
            <w:webHidden/>
          </w:rPr>
          <w:t>259</w:t>
        </w:r>
        <w:r w:rsidR="00052A22">
          <w:rPr>
            <w:noProof/>
            <w:webHidden/>
          </w:rPr>
          <w:fldChar w:fldCharType="end"/>
        </w:r>
      </w:hyperlink>
    </w:p>
    <w:p w14:paraId="1B31485E" w14:textId="5665FB21" w:rsidR="00052A22" w:rsidRDefault="007E17B8">
      <w:pPr>
        <w:pStyle w:val="TableofFigures"/>
        <w:rPr>
          <w:rFonts w:asciiTheme="minorHAnsi" w:eastAsiaTheme="minorEastAsia" w:hAnsiTheme="minorHAnsi" w:cstheme="minorBidi"/>
          <w:noProof/>
          <w:sz w:val="22"/>
        </w:rPr>
      </w:pPr>
      <w:hyperlink w:anchor="_Toc131591397" w:history="1">
        <w:r w:rsidR="00052A22" w:rsidRPr="00880361">
          <w:rPr>
            <w:rStyle w:val="Hyperlink"/>
            <w:noProof/>
          </w:rPr>
          <w:t>Table 6.3.7</w:t>
        </w:r>
        <w:r w:rsidR="00052A22">
          <w:rPr>
            <w:rFonts w:asciiTheme="minorHAnsi" w:eastAsiaTheme="minorEastAsia" w:hAnsiTheme="minorHAnsi" w:cstheme="minorBidi"/>
            <w:noProof/>
            <w:sz w:val="22"/>
          </w:rPr>
          <w:tab/>
        </w:r>
        <w:r w:rsidR="00052A22" w:rsidRPr="00880361">
          <w:rPr>
            <w:rStyle w:val="Hyperlink"/>
            <w:noProof/>
          </w:rPr>
          <w:t>New Zealand’s areas of pre-1990 natural forest deforestation estimated by type from 1990</w:t>
        </w:r>
        <w:r w:rsidR="00052A22" w:rsidRPr="00880361">
          <w:rPr>
            <w:rStyle w:val="Hyperlink"/>
            <w:rFonts w:ascii="Arial" w:hAnsi="Arial" w:cs="Arial"/>
            <w:noProof/>
          </w:rPr>
          <w:t> </w:t>
        </w:r>
        <w:r w:rsidR="00052A22" w:rsidRPr="00880361">
          <w:rPr>
            <w:rStyle w:val="Hyperlink"/>
            <w:noProof/>
          </w:rPr>
          <w:t>to</w:t>
        </w:r>
        <w:r w:rsidR="00052A22" w:rsidRPr="00880361">
          <w:rPr>
            <w:rStyle w:val="Hyperlink"/>
            <w:rFonts w:ascii="Arial" w:hAnsi="Arial" w:cs="Arial"/>
            <w:noProof/>
          </w:rPr>
          <w:t> </w:t>
        </w:r>
        <w:r w:rsidR="00052A22" w:rsidRPr="00880361">
          <w:rPr>
            <w:rStyle w:val="Hyperlink"/>
            <w:noProof/>
          </w:rPr>
          <w:t>2021</w:t>
        </w:r>
        <w:r w:rsidR="00052A22">
          <w:rPr>
            <w:noProof/>
            <w:webHidden/>
          </w:rPr>
          <w:tab/>
        </w:r>
        <w:r w:rsidR="00052A22">
          <w:rPr>
            <w:noProof/>
            <w:webHidden/>
          </w:rPr>
          <w:fldChar w:fldCharType="begin"/>
        </w:r>
        <w:r w:rsidR="00052A22">
          <w:rPr>
            <w:noProof/>
            <w:webHidden/>
          </w:rPr>
          <w:instrText xml:space="preserve"> PAGEREF _Toc131591397 \h </w:instrText>
        </w:r>
        <w:r w:rsidR="00052A22">
          <w:rPr>
            <w:noProof/>
            <w:webHidden/>
          </w:rPr>
        </w:r>
        <w:r w:rsidR="00052A22">
          <w:rPr>
            <w:noProof/>
            <w:webHidden/>
          </w:rPr>
          <w:fldChar w:fldCharType="separate"/>
        </w:r>
        <w:r w:rsidR="008F39B8">
          <w:rPr>
            <w:noProof/>
            <w:webHidden/>
          </w:rPr>
          <w:t>259</w:t>
        </w:r>
        <w:r w:rsidR="00052A22">
          <w:rPr>
            <w:noProof/>
            <w:webHidden/>
          </w:rPr>
          <w:fldChar w:fldCharType="end"/>
        </w:r>
      </w:hyperlink>
    </w:p>
    <w:p w14:paraId="4CB20807" w14:textId="79D5EC4E" w:rsidR="00052A22" w:rsidRDefault="007E17B8">
      <w:pPr>
        <w:pStyle w:val="TableofFigures"/>
        <w:rPr>
          <w:rFonts w:asciiTheme="minorHAnsi" w:eastAsiaTheme="minorEastAsia" w:hAnsiTheme="minorHAnsi" w:cstheme="minorBidi"/>
          <w:noProof/>
          <w:sz w:val="22"/>
        </w:rPr>
      </w:pPr>
      <w:hyperlink w:anchor="_Toc131591398" w:history="1">
        <w:r w:rsidR="00052A22" w:rsidRPr="00880361">
          <w:rPr>
            <w:rStyle w:val="Hyperlink"/>
            <w:noProof/>
          </w:rPr>
          <w:t>Table 6.3.8</w:t>
        </w:r>
        <w:r w:rsidR="00052A22">
          <w:rPr>
            <w:rFonts w:asciiTheme="minorHAnsi" w:eastAsiaTheme="minorEastAsia" w:hAnsiTheme="minorHAnsi" w:cstheme="minorBidi"/>
            <w:noProof/>
            <w:sz w:val="22"/>
          </w:rPr>
          <w:tab/>
        </w:r>
        <w:r w:rsidR="00052A22" w:rsidRPr="00880361">
          <w:rPr>
            <w:rStyle w:val="Hyperlink"/>
            <w:noProof/>
          </w:rPr>
          <w:t>Summary of methods used to calculate New Zealand’s forest biomass carbon stock from plot data</w:t>
        </w:r>
        <w:r w:rsidR="00052A22">
          <w:rPr>
            <w:noProof/>
            <w:webHidden/>
          </w:rPr>
          <w:tab/>
        </w:r>
        <w:r w:rsidR="00052A22">
          <w:rPr>
            <w:noProof/>
            <w:webHidden/>
          </w:rPr>
          <w:fldChar w:fldCharType="begin"/>
        </w:r>
        <w:r w:rsidR="00052A22">
          <w:rPr>
            <w:noProof/>
            <w:webHidden/>
          </w:rPr>
          <w:instrText xml:space="preserve"> PAGEREF _Toc131591398 \h </w:instrText>
        </w:r>
        <w:r w:rsidR="00052A22">
          <w:rPr>
            <w:noProof/>
            <w:webHidden/>
          </w:rPr>
        </w:r>
        <w:r w:rsidR="00052A22">
          <w:rPr>
            <w:noProof/>
            <w:webHidden/>
          </w:rPr>
          <w:fldChar w:fldCharType="separate"/>
        </w:r>
        <w:r w:rsidR="008F39B8">
          <w:rPr>
            <w:noProof/>
            <w:webHidden/>
          </w:rPr>
          <w:t>262</w:t>
        </w:r>
        <w:r w:rsidR="00052A22">
          <w:rPr>
            <w:noProof/>
            <w:webHidden/>
          </w:rPr>
          <w:fldChar w:fldCharType="end"/>
        </w:r>
      </w:hyperlink>
    </w:p>
    <w:p w14:paraId="64EAD220" w14:textId="4965FC23" w:rsidR="00052A22" w:rsidRDefault="007E17B8">
      <w:pPr>
        <w:pStyle w:val="TableofFigures"/>
        <w:rPr>
          <w:rFonts w:asciiTheme="minorHAnsi" w:eastAsiaTheme="minorEastAsia" w:hAnsiTheme="minorHAnsi" w:cstheme="minorBidi"/>
          <w:noProof/>
          <w:sz w:val="22"/>
        </w:rPr>
      </w:pPr>
      <w:hyperlink w:anchor="_Toc131591399" w:history="1">
        <w:r w:rsidR="00052A22" w:rsidRPr="00880361">
          <w:rPr>
            <w:rStyle w:val="Hyperlink"/>
            <w:noProof/>
          </w:rPr>
          <w:t>Table 6.3.9</w:t>
        </w:r>
        <w:r w:rsidR="00052A22">
          <w:rPr>
            <w:rFonts w:asciiTheme="minorHAnsi" w:eastAsiaTheme="minorEastAsia" w:hAnsiTheme="minorHAnsi" w:cstheme="minorBidi"/>
            <w:noProof/>
            <w:sz w:val="22"/>
          </w:rPr>
          <w:tab/>
        </w:r>
        <w:r w:rsidR="00052A22" w:rsidRPr="00880361">
          <w:rPr>
            <w:rStyle w:val="Hyperlink"/>
            <w:noProof/>
          </w:rPr>
          <w:t xml:space="preserve">Uncertainty in carbon stock change emissions in 2021 from </w:t>
        </w:r>
        <w:r w:rsidR="00052A22" w:rsidRPr="00880361">
          <w:rPr>
            <w:rStyle w:val="Hyperlink"/>
            <w:i/>
            <w:noProof/>
          </w:rPr>
          <w:t>Forest land</w:t>
        </w:r>
        <w:r w:rsidR="00052A22">
          <w:rPr>
            <w:noProof/>
            <w:webHidden/>
          </w:rPr>
          <w:tab/>
        </w:r>
        <w:r w:rsidR="00052A22">
          <w:rPr>
            <w:noProof/>
            <w:webHidden/>
          </w:rPr>
          <w:fldChar w:fldCharType="begin"/>
        </w:r>
        <w:r w:rsidR="00052A22">
          <w:rPr>
            <w:noProof/>
            <w:webHidden/>
          </w:rPr>
          <w:instrText xml:space="preserve"> PAGEREF _Toc131591399 \h </w:instrText>
        </w:r>
        <w:r w:rsidR="00052A22">
          <w:rPr>
            <w:noProof/>
            <w:webHidden/>
          </w:rPr>
        </w:r>
        <w:r w:rsidR="00052A22">
          <w:rPr>
            <w:noProof/>
            <w:webHidden/>
          </w:rPr>
          <w:fldChar w:fldCharType="separate"/>
        </w:r>
        <w:r w:rsidR="008F39B8">
          <w:rPr>
            <w:noProof/>
            <w:webHidden/>
          </w:rPr>
          <w:t>264</w:t>
        </w:r>
        <w:r w:rsidR="00052A22">
          <w:rPr>
            <w:noProof/>
            <w:webHidden/>
          </w:rPr>
          <w:fldChar w:fldCharType="end"/>
        </w:r>
      </w:hyperlink>
    </w:p>
    <w:p w14:paraId="1F8C10CF" w14:textId="1299F3C9" w:rsidR="00052A22" w:rsidRDefault="007E17B8">
      <w:pPr>
        <w:pStyle w:val="TableofFigures"/>
        <w:rPr>
          <w:rFonts w:asciiTheme="minorHAnsi" w:eastAsiaTheme="minorEastAsia" w:hAnsiTheme="minorHAnsi" w:cstheme="minorBidi"/>
          <w:noProof/>
          <w:sz w:val="22"/>
        </w:rPr>
      </w:pPr>
      <w:hyperlink w:anchor="_Toc131591400" w:history="1">
        <w:r w:rsidR="00052A22" w:rsidRPr="00880361">
          <w:rPr>
            <w:rStyle w:val="Hyperlink"/>
            <w:noProof/>
          </w:rPr>
          <w:t xml:space="preserve">Table 6.3.10 </w:t>
        </w:r>
        <w:r w:rsidR="00052A22">
          <w:rPr>
            <w:rFonts w:asciiTheme="minorHAnsi" w:eastAsiaTheme="minorEastAsia" w:hAnsiTheme="minorHAnsi" w:cstheme="minorBidi"/>
            <w:noProof/>
            <w:sz w:val="22"/>
          </w:rPr>
          <w:tab/>
        </w:r>
        <w:r w:rsidR="00052A22" w:rsidRPr="00880361">
          <w:rPr>
            <w:rStyle w:val="Hyperlink"/>
            <w:noProof/>
          </w:rPr>
          <w:t xml:space="preserve">Recalculations of New Zealand’s estimates for the </w:t>
        </w:r>
        <w:r w:rsidR="00052A22" w:rsidRPr="00880361">
          <w:rPr>
            <w:rStyle w:val="Hyperlink"/>
            <w:i/>
            <w:noProof/>
          </w:rPr>
          <w:t>Forest land</w:t>
        </w:r>
        <w:r w:rsidR="00052A22" w:rsidRPr="00880361">
          <w:rPr>
            <w:rStyle w:val="Hyperlink"/>
            <w:noProof/>
          </w:rPr>
          <w:t xml:space="preserve"> category in 1990 and 2021</w:t>
        </w:r>
        <w:r w:rsidR="00052A22">
          <w:rPr>
            <w:noProof/>
            <w:webHidden/>
          </w:rPr>
          <w:tab/>
        </w:r>
        <w:r w:rsidR="00052A22">
          <w:rPr>
            <w:noProof/>
            <w:webHidden/>
          </w:rPr>
          <w:fldChar w:fldCharType="begin"/>
        </w:r>
        <w:r w:rsidR="00052A22">
          <w:rPr>
            <w:noProof/>
            <w:webHidden/>
          </w:rPr>
          <w:instrText xml:space="preserve"> PAGEREF _Toc131591400 \h </w:instrText>
        </w:r>
        <w:r w:rsidR="00052A22">
          <w:rPr>
            <w:noProof/>
            <w:webHidden/>
          </w:rPr>
        </w:r>
        <w:r w:rsidR="00052A22">
          <w:rPr>
            <w:noProof/>
            <w:webHidden/>
          </w:rPr>
          <w:fldChar w:fldCharType="separate"/>
        </w:r>
        <w:r w:rsidR="008F39B8">
          <w:rPr>
            <w:noProof/>
            <w:webHidden/>
          </w:rPr>
          <w:t>265</w:t>
        </w:r>
        <w:r w:rsidR="00052A22">
          <w:rPr>
            <w:noProof/>
            <w:webHidden/>
          </w:rPr>
          <w:fldChar w:fldCharType="end"/>
        </w:r>
      </w:hyperlink>
    </w:p>
    <w:p w14:paraId="5B6DA05A" w14:textId="64211A51" w:rsidR="00052A22" w:rsidRDefault="007E17B8">
      <w:pPr>
        <w:pStyle w:val="TableofFigures"/>
        <w:rPr>
          <w:rFonts w:asciiTheme="minorHAnsi" w:eastAsiaTheme="minorEastAsia" w:hAnsiTheme="minorHAnsi" w:cstheme="minorBidi"/>
          <w:noProof/>
          <w:sz w:val="22"/>
        </w:rPr>
      </w:pPr>
      <w:hyperlink w:anchor="_Toc131591401" w:history="1">
        <w:r w:rsidR="00052A22" w:rsidRPr="00880361">
          <w:rPr>
            <w:rStyle w:val="Hyperlink"/>
            <w:noProof/>
          </w:rPr>
          <w:t>Table 6.4.1</w:t>
        </w:r>
        <w:r w:rsidR="00052A22">
          <w:rPr>
            <w:rFonts w:asciiTheme="minorHAnsi" w:eastAsiaTheme="minorEastAsia" w:hAnsiTheme="minorHAnsi" w:cstheme="minorBidi"/>
            <w:noProof/>
            <w:sz w:val="22"/>
          </w:rPr>
          <w:tab/>
        </w:r>
        <w:r w:rsidR="00052A22" w:rsidRPr="00880361">
          <w:rPr>
            <w:rStyle w:val="Hyperlink"/>
            <w:noProof/>
          </w:rPr>
          <w:t xml:space="preserve">New Zealand’s land-use change by </w:t>
        </w:r>
        <w:r w:rsidR="00052A22" w:rsidRPr="00880361">
          <w:rPr>
            <w:rStyle w:val="Hyperlink"/>
            <w:i/>
            <w:noProof/>
          </w:rPr>
          <w:t>Cropland</w:t>
        </w:r>
        <w:r w:rsidR="00052A22" w:rsidRPr="00880361">
          <w:rPr>
            <w:rStyle w:val="Hyperlink"/>
            <w:noProof/>
          </w:rPr>
          <w:t xml:space="preserve"> category, and associated  CO</w:t>
        </w:r>
        <w:r w:rsidR="00052A22" w:rsidRPr="00880361">
          <w:rPr>
            <w:rStyle w:val="Hyperlink"/>
            <w:noProof/>
            <w:vertAlign w:val="subscript"/>
          </w:rPr>
          <w:t>2</w:t>
        </w:r>
        <w:r w:rsidR="00052A22" w:rsidRPr="00880361">
          <w:rPr>
            <w:rStyle w:val="Hyperlink"/>
            <w:noProof/>
          </w:rPr>
          <w:t>-e emissions, 1990 and 2021</w:t>
        </w:r>
        <w:r w:rsidR="00052A22">
          <w:rPr>
            <w:noProof/>
            <w:webHidden/>
          </w:rPr>
          <w:tab/>
        </w:r>
        <w:r w:rsidR="00052A22">
          <w:rPr>
            <w:noProof/>
            <w:webHidden/>
          </w:rPr>
          <w:fldChar w:fldCharType="begin"/>
        </w:r>
        <w:r w:rsidR="00052A22">
          <w:rPr>
            <w:noProof/>
            <w:webHidden/>
          </w:rPr>
          <w:instrText xml:space="preserve"> PAGEREF _Toc131591401 \h </w:instrText>
        </w:r>
        <w:r w:rsidR="00052A22">
          <w:rPr>
            <w:noProof/>
            <w:webHidden/>
          </w:rPr>
        </w:r>
        <w:r w:rsidR="00052A22">
          <w:rPr>
            <w:noProof/>
            <w:webHidden/>
          </w:rPr>
          <w:fldChar w:fldCharType="separate"/>
        </w:r>
        <w:r w:rsidR="008F39B8">
          <w:rPr>
            <w:noProof/>
            <w:webHidden/>
          </w:rPr>
          <w:t>268</w:t>
        </w:r>
        <w:r w:rsidR="00052A22">
          <w:rPr>
            <w:noProof/>
            <w:webHidden/>
          </w:rPr>
          <w:fldChar w:fldCharType="end"/>
        </w:r>
      </w:hyperlink>
    </w:p>
    <w:p w14:paraId="17AD7DA8" w14:textId="20101109" w:rsidR="00052A22" w:rsidRDefault="007E17B8">
      <w:pPr>
        <w:pStyle w:val="TableofFigures"/>
        <w:rPr>
          <w:rFonts w:asciiTheme="minorHAnsi" w:eastAsiaTheme="minorEastAsia" w:hAnsiTheme="minorHAnsi" w:cstheme="minorBidi"/>
          <w:noProof/>
          <w:sz w:val="22"/>
        </w:rPr>
      </w:pPr>
      <w:hyperlink w:anchor="_Toc131591402" w:history="1">
        <w:r w:rsidR="00052A22" w:rsidRPr="00880361">
          <w:rPr>
            <w:rStyle w:val="Hyperlink"/>
            <w:noProof/>
          </w:rPr>
          <w:t>Table 6.4.2</w:t>
        </w:r>
        <w:r w:rsidR="00052A22">
          <w:rPr>
            <w:rFonts w:asciiTheme="minorHAnsi" w:eastAsiaTheme="minorEastAsia" w:hAnsiTheme="minorHAnsi" w:cstheme="minorBidi"/>
            <w:noProof/>
            <w:sz w:val="22"/>
          </w:rPr>
          <w:tab/>
        </w:r>
        <w:r w:rsidR="00052A22" w:rsidRPr="00880361">
          <w:rPr>
            <w:rStyle w:val="Hyperlink"/>
            <w:noProof/>
          </w:rPr>
          <w:t>New Zealand’s carbon stock change by carbon pool for the</w:t>
        </w:r>
        <w:r w:rsidR="00052A22" w:rsidRPr="00880361">
          <w:rPr>
            <w:rStyle w:val="Hyperlink"/>
            <w:rFonts w:cs="Arial Bold"/>
            <w:noProof/>
          </w:rPr>
          <w:t xml:space="preserve"> </w:t>
        </w:r>
        <w:r w:rsidR="00052A22" w:rsidRPr="00880361">
          <w:rPr>
            <w:rStyle w:val="Hyperlink"/>
            <w:rFonts w:cs="Arial Bold"/>
            <w:i/>
            <w:noProof/>
          </w:rPr>
          <w:t>Crop</w:t>
        </w:r>
        <w:r w:rsidR="00052A22" w:rsidRPr="00880361">
          <w:rPr>
            <w:rStyle w:val="Hyperlink"/>
            <w:i/>
            <w:noProof/>
          </w:rPr>
          <w:t>land</w:t>
        </w:r>
        <w:r w:rsidR="00052A22" w:rsidRPr="00880361">
          <w:rPr>
            <w:rStyle w:val="Hyperlink"/>
            <w:noProof/>
          </w:rPr>
          <w:t xml:space="preserve"> category from 1990 to 2021</w:t>
        </w:r>
        <w:r w:rsidR="00052A22">
          <w:rPr>
            <w:noProof/>
            <w:webHidden/>
          </w:rPr>
          <w:tab/>
        </w:r>
        <w:r w:rsidR="00052A22">
          <w:rPr>
            <w:noProof/>
            <w:webHidden/>
          </w:rPr>
          <w:fldChar w:fldCharType="begin"/>
        </w:r>
        <w:r w:rsidR="00052A22">
          <w:rPr>
            <w:noProof/>
            <w:webHidden/>
          </w:rPr>
          <w:instrText xml:space="preserve"> PAGEREF _Toc131591402 \h </w:instrText>
        </w:r>
        <w:r w:rsidR="00052A22">
          <w:rPr>
            <w:noProof/>
            <w:webHidden/>
          </w:rPr>
        </w:r>
        <w:r w:rsidR="00052A22">
          <w:rPr>
            <w:noProof/>
            <w:webHidden/>
          </w:rPr>
          <w:fldChar w:fldCharType="separate"/>
        </w:r>
        <w:r w:rsidR="008F39B8">
          <w:rPr>
            <w:noProof/>
            <w:webHidden/>
          </w:rPr>
          <w:t>268</w:t>
        </w:r>
        <w:r w:rsidR="00052A22">
          <w:rPr>
            <w:noProof/>
            <w:webHidden/>
          </w:rPr>
          <w:fldChar w:fldCharType="end"/>
        </w:r>
      </w:hyperlink>
    </w:p>
    <w:p w14:paraId="75BA4B27" w14:textId="41D390E8" w:rsidR="00052A22" w:rsidRDefault="007E17B8">
      <w:pPr>
        <w:pStyle w:val="TableofFigures"/>
        <w:rPr>
          <w:rFonts w:asciiTheme="minorHAnsi" w:eastAsiaTheme="minorEastAsia" w:hAnsiTheme="minorHAnsi" w:cstheme="minorBidi"/>
          <w:noProof/>
          <w:sz w:val="22"/>
        </w:rPr>
      </w:pPr>
      <w:hyperlink w:anchor="_Toc131591403" w:history="1">
        <w:r w:rsidR="00052A22" w:rsidRPr="00880361">
          <w:rPr>
            <w:rStyle w:val="Hyperlink"/>
            <w:noProof/>
          </w:rPr>
          <w:t>Table 6.4.3</w:t>
        </w:r>
        <w:r w:rsidR="00052A22">
          <w:rPr>
            <w:rFonts w:asciiTheme="minorHAnsi" w:eastAsiaTheme="minorEastAsia" w:hAnsiTheme="minorHAnsi" w:cstheme="minorBidi"/>
            <w:noProof/>
            <w:sz w:val="22"/>
          </w:rPr>
          <w:tab/>
        </w:r>
        <w:r w:rsidR="00052A22" w:rsidRPr="00880361">
          <w:rPr>
            <w:rStyle w:val="Hyperlink"/>
            <w:noProof/>
          </w:rPr>
          <w:t xml:space="preserve">New Zealand’s land-use change by </w:t>
        </w:r>
        <w:r w:rsidR="00052A22" w:rsidRPr="00880361">
          <w:rPr>
            <w:rStyle w:val="Hyperlink"/>
            <w:i/>
            <w:noProof/>
          </w:rPr>
          <w:t>Cropland</w:t>
        </w:r>
        <w:r w:rsidR="00052A22" w:rsidRPr="00880361">
          <w:rPr>
            <w:rStyle w:val="Hyperlink"/>
            <w:noProof/>
          </w:rPr>
          <w:t xml:space="preserve"> land use, and associated CO</w:t>
        </w:r>
        <w:r w:rsidR="00052A22" w:rsidRPr="00880361">
          <w:rPr>
            <w:rStyle w:val="Hyperlink"/>
            <w:noProof/>
            <w:vertAlign w:val="subscript"/>
          </w:rPr>
          <w:t>2</w:t>
        </w:r>
        <w:r w:rsidR="00052A22" w:rsidRPr="00880361">
          <w:rPr>
            <w:rStyle w:val="Hyperlink"/>
            <w:noProof/>
          </w:rPr>
          <w:t xml:space="preserve"> emissions from carbon stock change, from 1990 to 2021</w:t>
        </w:r>
        <w:r w:rsidR="00052A22">
          <w:rPr>
            <w:noProof/>
            <w:webHidden/>
          </w:rPr>
          <w:tab/>
        </w:r>
        <w:r w:rsidR="00052A22">
          <w:rPr>
            <w:noProof/>
            <w:webHidden/>
          </w:rPr>
          <w:fldChar w:fldCharType="begin"/>
        </w:r>
        <w:r w:rsidR="00052A22">
          <w:rPr>
            <w:noProof/>
            <w:webHidden/>
          </w:rPr>
          <w:instrText xml:space="preserve"> PAGEREF _Toc131591403 \h </w:instrText>
        </w:r>
        <w:r w:rsidR="00052A22">
          <w:rPr>
            <w:noProof/>
            <w:webHidden/>
          </w:rPr>
        </w:r>
        <w:r w:rsidR="00052A22">
          <w:rPr>
            <w:noProof/>
            <w:webHidden/>
          </w:rPr>
          <w:fldChar w:fldCharType="separate"/>
        </w:r>
        <w:r w:rsidR="008F39B8">
          <w:rPr>
            <w:noProof/>
            <w:webHidden/>
          </w:rPr>
          <w:t>269</w:t>
        </w:r>
        <w:r w:rsidR="00052A22">
          <w:rPr>
            <w:noProof/>
            <w:webHidden/>
          </w:rPr>
          <w:fldChar w:fldCharType="end"/>
        </w:r>
      </w:hyperlink>
    </w:p>
    <w:p w14:paraId="06E20F0F" w14:textId="5C4F57AB" w:rsidR="00052A22" w:rsidRDefault="007E17B8">
      <w:pPr>
        <w:pStyle w:val="TableofFigures"/>
        <w:rPr>
          <w:rFonts w:asciiTheme="minorHAnsi" w:eastAsiaTheme="minorEastAsia" w:hAnsiTheme="minorHAnsi" w:cstheme="minorBidi"/>
          <w:noProof/>
          <w:sz w:val="22"/>
        </w:rPr>
      </w:pPr>
      <w:hyperlink w:anchor="_Toc131591404" w:history="1">
        <w:r w:rsidR="00052A22" w:rsidRPr="00880361">
          <w:rPr>
            <w:rStyle w:val="Hyperlink"/>
            <w:noProof/>
          </w:rPr>
          <w:t>Table 6.4.4</w:t>
        </w:r>
        <w:r w:rsidR="00052A22">
          <w:rPr>
            <w:rFonts w:asciiTheme="minorHAnsi" w:eastAsiaTheme="minorEastAsia" w:hAnsiTheme="minorHAnsi" w:cstheme="minorBidi"/>
            <w:noProof/>
            <w:sz w:val="22"/>
          </w:rPr>
          <w:tab/>
        </w:r>
        <w:r w:rsidR="00052A22" w:rsidRPr="00880361">
          <w:rPr>
            <w:rStyle w:val="Hyperlink"/>
            <w:noProof/>
          </w:rPr>
          <w:t xml:space="preserve">New Zealand’s land-use change for the </w:t>
        </w:r>
        <w:r w:rsidR="00052A22" w:rsidRPr="00880361">
          <w:rPr>
            <w:rStyle w:val="Hyperlink"/>
            <w:i/>
            <w:noProof/>
          </w:rPr>
          <w:t>Cropland</w:t>
        </w:r>
        <w:r w:rsidR="00052A22" w:rsidRPr="00880361">
          <w:rPr>
            <w:rStyle w:val="Hyperlink"/>
            <w:noProof/>
          </w:rPr>
          <w:t xml:space="preserve"> category from 1990 to 2021</w:t>
        </w:r>
        <w:r w:rsidR="00052A22">
          <w:rPr>
            <w:noProof/>
            <w:webHidden/>
          </w:rPr>
          <w:tab/>
        </w:r>
        <w:r w:rsidR="00052A22">
          <w:rPr>
            <w:noProof/>
            <w:webHidden/>
          </w:rPr>
          <w:fldChar w:fldCharType="begin"/>
        </w:r>
        <w:r w:rsidR="00052A22">
          <w:rPr>
            <w:noProof/>
            <w:webHidden/>
          </w:rPr>
          <w:instrText xml:space="preserve"> PAGEREF _Toc131591404 \h </w:instrText>
        </w:r>
        <w:r w:rsidR="00052A22">
          <w:rPr>
            <w:noProof/>
            <w:webHidden/>
          </w:rPr>
        </w:r>
        <w:r w:rsidR="00052A22">
          <w:rPr>
            <w:noProof/>
            <w:webHidden/>
          </w:rPr>
          <w:fldChar w:fldCharType="separate"/>
        </w:r>
        <w:r w:rsidR="008F39B8">
          <w:rPr>
            <w:noProof/>
            <w:webHidden/>
          </w:rPr>
          <w:t>269</w:t>
        </w:r>
        <w:r w:rsidR="00052A22">
          <w:rPr>
            <w:noProof/>
            <w:webHidden/>
          </w:rPr>
          <w:fldChar w:fldCharType="end"/>
        </w:r>
      </w:hyperlink>
    </w:p>
    <w:p w14:paraId="2968578A" w14:textId="241DF940" w:rsidR="00052A22" w:rsidRDefault="007E17B8">
      <w:pPr>
        <w:pStyle w:val="TableofFigures"/>
        <w:rPr>
          <w:rFonts w:asciiTheme="minorHAnsi" w:eastAsiaTheme="minorEastAsia" w:hAnsiTheme="minorHAnsi" w:cstheme="minorBidi"/>
          <w:noProof/>
          <w:sz w:val="22"/>
        </w:rPr>
      </w:pPr>
      <w:hyperlink w:anchor="_Toc131591405" w:history="1">
        <w:r w:rsidR="00052A22" w:rsidRPr="00880361">
          <w:rPr>
            <w:rStyle w:val="Hyperlink"/>
            <w:noProof/>
          </w:rPr>
          <w:t>Table 6.4.5</w:t>
        </w:r>
        <w:r w:rsidR="00052A22">
          <w:rPr>
            <w:rFonts w:asciiTheme="minorHAnsi" w:eastAsiaTheme="minorEastAsia" w:hAnsiTheme="minorHAnsi" w:cstheme="minorBidi"/>
            <w:noProof/>
            <w:sz w:val="22"/>
          </w:rPr>
          <w:tab/>
        </w:r>
        <w:r w:rsidR="00052A22" w:rsidRPr="00880361">
          <w:rPr>
            <w:rStyle w:val="Hyperlink"/>
            <w:noProof/>
          </w:rPr>
          <w:t>Summary of New Zealand’s carbon stock change emission factors for the </w:t>
        </w:r>
        <w:r w:rsidR="00052A22" w:rsidRPr="00880361">
          <w:rPr>
            <w:rStyle w:val="Hyperlink"/>
            <w:i/>
            <w:noProof/>
          </w:rPr>
          <w:t>Cropland</w:t>
        </w:r>
        <w:r w:rsidR="00052A22" w:rsidRPr="00880361">
          <w:rPr>
            <w:rStyle w:val="Hyperlink"/>
            <w:noProof/>
          </w:rPr>
          <w:t xml:space="preserve"> category</w:t>
        </w:r>
        <w:r w:rsidR="00052A22">
          <w:rPr>
            <w:noProof/>
            <w:webHidden/>
          </w:rPr>
          <w:tab/>
        </w:r>
        <w:r w:rsidR="00052A22">
          <w:rPr>
            <w:noProof/>
            <w:webHidden/>
          </w:rPr>
          <w:fldChar w:fldCharType="begin"/>
        </w:r>
        <w:r w:rsidR="00052A22">
          <w:rPr>
            <w:noProof/>
            <w:webHidden/>
          </w:rPr>
          <w:instrText xml:space="preserve"> PAGEREF _Toc131591405 \h </w:instrText>
        </w:r>
        <w:r w:rsidR="00052A22">
          <w:rPr>
            <w:noProof/>
            <w:webHidden/>
          </w:rPr>
        </w:r>
        <w:r w:rsidR="00052A22">
          <w:rPr>
            <w:noProof/>
            <w:webHidden/>
          </w:rPr>
          <w:fldChar w:fldCharType="separate"/>
        </w:r>
        <w:r w:rsidR="008F39B8">
          <w:rPr>
            <w:noProof/>
            <w:webHidden/>
          </w:rPr>
          <w:t>270</w:t>
        </w:r>
        <w:r w:rsidR="00052A22">
          <w:rPr>
            <w:noProof/>
            <w:webHidden/>
          </w:rPr>
          <w:fldChar w:fldCharType="end"/>
        </w:r>
      </w:hyperlink>
    </w:p>
    <w:p w14:paraId="22F31F9A" w14:textId="05758A6B" w:rsidR="00052A22" w:rsidRDefault="007E17B8">
      <w:pPr>
        <w:pStyle w:val="TableofFigures"/>
        <w:rPr>
          <w:rFonts w:asciiTheme="minorHAnsi" w:eastAsiaTheme="minorEastAsia" w:hAnsiTheme="minorHAnsi" w:cstheme="minorBidi"/>
          <w:noProof/>
          <w:sz w:val="22"/>
        </w:rPr>
      </w:pPr>
      <w:hyperlink w:anchor="_Toc131591406" w:history="1">
        <w:r w:rsidR="00052A22" w:rsidRPr="00880361">
          <w:rPr>
            <w:rStyle w:val="Hyperlink"/>
            <w:noProof/>
          </w:rPr>
          <w:t>Table 6.4.6</w:t>
        </w:r>
        <w:r w:rsidR="00052A22">
          <w:rPr>
            <w:rFonts w:asciiTheme="minorHAnsi" w:eastAsiaTheme="minorEastAsia" w:hAnsiTheme="minorHAnsi" w:cstheme="minorBidi"/>
            <w:noProof/>
            <w:sz w:val="22"/>
          </w:rPr>
          <w:tab/>
        </w:r>
        <w:r w:rsidR="00052A22" w:rsidRPr="00880361">
          <w:rPr>
            <w:rStyle w:val="Hyperlink"/>
            <w:noProof/>
          </w:rPr>
          <w:t xml:space="preserve">Uncertainty in net carbon stock change emissions in 2021 for </w:t>
        </w:r>
        <w:r w:rsidR="00052A22" w:rsidRPr="00880361">
          <w:rPr>
            <w:rStyle w:val="Hyperlink"/>
            <w:bCs/>
            <w:noProof/>
          </w:rPr>
          <w:t xml:space="preserve">the </w:t>
        </w:r>
        <w:r w:rsidR="00052A22" w:rsidRPr="00880361">
          <w:rPr>
            <w:rStyle w:val="Hyperlink"/>
            <w:i/>
            <w:noProof/>
          </w:rPr>
          <w:t>Cropland</w:t>
        </w:r>
        <w:r w:rsidR="00052A22" w:rsidRPr="00880361">
          <w:rPr>
            <w:rStyle w:val="Hyperlink"/>
            <w:noProof/>
          </w:rPr>
          <w:t xml:space="preserve"> </w:t>
        </w:r>
        <w:r w:rsidR="00052A22" w:rsidRPr="00880361">
          <w:rPr>
            <w:rStyle w:val="Hyperlink"/>
            <w:bCs/>
            <w:iCs/>
            <w:noProof/>
          </w:rPr>
          <w:t>category</w:t>
        </w:r>
        <w:r w:rsidR="00052A22">
          <w:rPr>
            <w:noProof/>
            <w:webHidden/>
          </w:rPr>
          <w:tab/>
        </w:r>
        <w:r w:rsidR="00052A22">
          <w:rPr>
            <w:noProof/>
            <w:webHidden/>
          </w:rPr>
          <w:fldChar w:fldCharType="begin"/>
        </w:r>
        <w:r w:rsidR="00052A22">
          <w:rPr>
            <w:noProof/>
            <w:webHidden/>
          </w:rPr>
          <w:instrText xml:space="preserve"> PAGEREF _Toc131591406 \h </w:instrText>
        </w:r>
        <w:r w:rsidR="00052A22">
          <w:rPr>
            <w:noProof/>
            <w:webHidden/>
          </w:rPr>
        </w:r>
        <w:r w:rsidR="00052A22">
          <w:rPr>
            <w:noProof/>
            <w:webHidden/>
          </w:rPr>
          <w:fldChar w:fldCharType="separate"/>
        </w:r>
        <w:r w:rsidR="008F39B8">
          <w:rPr>
            <w:noProof/>
            <w:webHidden/>
          </w:rPr>
          <w:t>272</w:t>
        </w:r>
        <w:r w:rsidR="00052A22">
          <w:rPr>
            <w:noProof/>
            <w:webHidden/>
          </w:rPr>
          <w:fldChar w:fldCharType="end"/>
        </w:r>
      </w:hyperlink>
    </w:p>
    <w:p w14:paraId="641021F2" w14:textId="3D9B19A5" w:rsidR="00052A22" w:rsidRDefault="007E17B8">
      <w:pPr>
        <w:pStyle w:val="TableofFigures"/>
        <w:rPr>
          <w:rFonts w:asciiTheme="minorHAnsi" w:eastAsiaTheme="minorEastAsia" w:hAnsiTheme="minorHAnsi" w:cstheme="minorBidi"/>
          <w:noProof/>
          <w:sz w:val="22"/>
        </w:rPr>
      </w:pPr>
      <w:hyperlink w:anchor="_Toc131591407" w:history="1">
        <w:r w:rsidR="00052A22" w:rsidRPr="00880361">
          <w:rPr>
            <w:rStyle w:val="Hyperlink"/>
            <w:noProof/>
          </w:rPr>
          <w:t>Table 6.4.7</w:t>
        </w:r>
        <w:r w:rsidR="00052A22">
          <w:rPr>
            <w:rFonts w:asciiTheme="minorHAnsi" w:eastAsiaTheme="minorEastAsia" w:hAnsiTheme="minorHAnsi" w:cstheme="minorBidi"/>
            <w:noProof/>
            <w:sz w:val="22"/>
          </w:rPr>
          <w:tab/>
        </w:r>
        <w:r w:rsidR="00052A22" w:rsidRPr="00880361">
          <w:rPr>
            <w:rStyle w:val="Hyperlink"/>
            <w:noProof/>
          </w:rPr>
          <w:t xml:space="preserve">Recalculations of New Zealand’s net emissions from the </w:t>
        </w:r>
        <w:r w:rsidR="00052A22" w:rsidRPr="00880361">
          <w:rPr>
            <w:rStyle w:val="Hyperlink"/>
            <w:i/>
            <w:noProof/>
          </w:rPr>
          <w:t>Cropland</w:t>
        </w:r>
        <w:r w:rsidR="00052A22" w:rsidRPr="00880361">
          <w:rPr>
            <w:rStyle w:val="Hyperlink"/>
            <w:noProof/>
          </w:rPr>
          <w:t xml:space="preserve"> category in 1990 and 2020</w:t>
        </w:r>
        <w:r w:rsidR="00052A22">
          <w:rPr>
            <w:noProof/>
            <w:webHidden/>
          </w:rPr>
          <w:tab/>
        </w:r>
        <w:r w:rsidR="00052A22">
          <w:rPr>
            <w:noProof/>
            <w:webHidden/>
          </w:rPr>
          <w:fldChar w:fldCharType="begin"/>
        </w:r>
        <w:r w:rsidR="00052A22">
          <w:rPr>
            <w:noProof/>
            <w:webHidden/>
          </w:rPr>
          <w:instrText xml:space="preserve"> PAGEREF _Toc131591407 \h </w:instrText>
        </w:r>
        <w:r w:rsidR="00052A22">
          <w:rPr>
            <w:noProof/>
            <w:webHidden/>
          </w:rPr>
        </w:r>
        <w:r w:rsidR="00052A22">
          <w:rPr>
            <w:noProof/>
            <w:webHidden/>
          </w:rPr>
          <w:fldChar w:fldCharType="separate"/>
        </w:r>
        <w:r w:rsidR="008F39B8">
          <w:rPr>
            <w:noProof/>
            <w:webHidden/>
          </w:rPr>
          <w:t>273</w:t>
        </w:r>
        <w:r w:rsidR="00052A22">
          <w:rPr>
            <w:noProof/>
            <w:webHidden/>
          </w:rPr>
          <w:fldChar w:fldCharType="end"/>
        </w:r>
      </w:hyperlink>
    </w:p>
    <w:p w14:paraId="59F33A4C" w14:textId="10E4E918" w:rsidR="00052A22" w:rsidRDefault="007E17B8">
      <w:pPr>
        <w:pStyle w:val="TableofFigures"/>
        <w:rPr>
          <w:rFonts w:asciiTheme="minorHAnsi" w:eastAsiaTheme="minorEastAsia" w:hAnsiTheme="minorHAnsi" w:cstheme="minorBidi"/>
          <w:noProof/>
          <w:sz w:val="22"/>
        </w:rPr>
      </w:pPr>
      <w:hyperlink w:anchor="_Toc131591408" w:history="1">
        <w:r w:rsidR="00052A22" w:rsidRPr="00880361">
          <w:rPr>
            <w:rStyle w:val="Hyperlink"/>
            <w:noProof/>
          </w:rPr>
          <w:t>Table 6.5.1</w:t>
        </w:r>
        <w:r w:rsidR="00052A22">
          <w:rPr>
            <w:rFonts w:asciiTheme="minorHAnsi" w:eastAsiaTheme="minorEastAsia" w:hAnsiTheme="minorHAnsi" w:cstheme="minorBidi"/>
            <w:noProof/>
            <w:sz w:val="22"/>
          </w:rPr>
          <w:tab/>
        </w:r>
        <w:r w:rsidR="00052A22" w:rsidRPr="00880361">
          <w:rPr>
            <w:rStyle w:val="Hyperlink"/>
            <w:noProof/>
          </w:rPr>
          <w:t xml:space="preserve">New Zealand’s land-use change for the </w:t>
        </w:r>
        <w:r w:rsidR="00052A22" w:rsidRPr="00880361">
          <w:rPr>
            <w:rStyle w:val="Hyperlink"/>
            <w:i/>
            <w:noProof/>
          </w:rPr>
          <w:t>Grassland</w:t>
        </w:r>
        <w:r w:rsidR="00052A22" w:rsidRPr="00880361">
          <w:rPr>
            <w:rStyle w:val="Hyperlink"/>
            <w:noProof/>
          </w:rPr>
          <w:t xml:space="preserve"> category, and associated CO</w:t>
        </w:r>
        <w:r w:rsidR="00052A22" w:rsidRPr="00880361">
          <w:rPr>
            <w:rStyle w:val="Hyperlink"/>
            <w:noProof/>
            <w:vertAlign w:val="subscript"/>
          </w:rPr>
          <w:t>2</w:t>
        </w:r>
        <w:r w:rsidR="00052A22" w:rsidRPr="00880361">
          <w:rPr>
            <w:rStyle w:val="Hyperlink"/>
            <w:noProof/>
          </w:rPr>
          <w:noBreakHyphen/>
          <w:t>e emissions, from 1990 to 2021</w:t>
        </w:r>
        <w:r w:rsidR="00052A22">
          <w:rPr>
            <w:noProof/>
            <w:webHidden/>
          </w:rPr>
          <w:tab/>
        </w:r>
        <w:r w:rsidR="00052A22">
          <w:rPr>
            <w:noProof/>
            <w:webHidden/>
          </w:rPr>
          <w:fldChar w:fldCharType="begin"/>
        </w:r>
        <w:r w:rsidR="00052A22">
          <w:rPr>
            <w:noProof/>
            <w:webHidden/>
          </w:rPr>
          <w:instrText xml:space="preserve"> PAGEREF _Toc131591408 \h </w:instrText>
        </w:r>
        <w:r w:rsidR="00052A22">
          <w:rPr>
            <w:noProof/>
            <w:webHidden/>
          </w:rPr>
        </w:r>
        <w:r w:rsidR="00052A22">
          <w:rPr>
            <w:noProof/>
            <w:webHidden/>
          </w:rPr>
          <w:fldChar w:fldCharType="separate"/>
        </w:r>
        <w:r w:rsidR="008F39B8">
          <w:rPr>
            <w:noProof/>
            <w:webHidden/>
          </w:rPr>
          <w:t>274</w:t>
        </w:r>
        <w:r w:rsidR="00052A22">
          <w:rPr>
            <w:noProof/>
            <w:webHidden/>
          </w:rPr>
          <w:fldChar w:fldCharType="end"/>
        </w:r>
      </w:hyperlink>
    </w:p>
    <w:p w14:paraId="63105956" w14:textId="756CBAD2" w:rsidR="00052A22" w:rsidRDefault="007E17B8">
      <w:pPr>
        <w:pStyle w:val="TableofFigures"/>
        <w:rPr>
          <w:rFonts w:asciiTheme="minorHAnsi" w:eastAsiaTheme="minorEastAsia" w:hAnsiTheme="minorHAnsi" w:cstheme="minorBidi"/>
          <w:noProof/>
          <w:sz w:val="22"/>
        </w:rPr>
      </w:pPr>
      <w:hyperlink w:anchor="_Toc131591409" w:history="1">
        <w:r w:rsidR="00052A22" w:rsidRPr="00880361">
          <w:rPr>
            <w:rStyle w:val="Hyperlink"/>
            <w:noProof/>
          </w:rPr>
          <w:t>Table 6.5.2</w:t>
        </w:r>
        <w:r w:rsidR="00052A22">
          <w:rPr>
            <w:rFonts w:asciiTheme="minorHAnsi" w:eastAsiaTheme="minorEastAsia" w:hAnsiTheme="minorHAnsi" w:cstheme="minorBidi"/>
            <w:noProof/>
            <w:sz w:val="22"/>
          </w:rPr>
          <w:tab/>
        </w:r>
        <w:r w:rsidR="00052A22" w:rsidRPr="00880361">
          <w:rPr>
            <w:rStyle w:val="Hyperlink"/>
            <w:noProof/>
          </w:rPr>
          <w:t>Grassland with woody biomass sub-classification and description</w:t>
        </w:r>
        <w:r w:rsidR="00052A22">
          <w:rPr>
            <w:noProof/>
            <w:webHidden/>
          </w:rPr>
          <w:tab/>
        </w:r>
        <w:r w:rsidR="00052A22">
          <w:rPr>
            <w:noProof/>
            <w:webHidden/>
          </w:rPr>
          <w:fldChar w:fldCharType="begin"/>
        </w:r>
        <w:r w:rsidR="00052A22">
          <w:rPr>
            <w:noProof/>
            <w:webHidden/>
          </w:rPr>
          <w:instrText xml:space="preserve"> PAGEREF _Toc131591409 \h </w:instrText>
        </w:r>
        <w:r w:rsidR="00052A22">
          <w:rPr>
            <w:noProof/>
            <w:webHidden/>
          </w:rPr>
        </w:r>
        <w:r w:rsidR="00052A22">
          <w:rPr>
            <w:noProof/>
            <w:webHidden/>
          </w:rPr>
          <w:fldChar w:fldCharType="separate"/>
        </w:r>
        <w:r w:rsidR="008F39B8">
          <w:rPr>
            <w:noProof/>
            <w:webHidden/>
          </w:rPr>
          <w:t>275</w:t>
        </w:r>
        <w:r w:rsidR="00052A22">
          <w:rPr>
            <w:noProof/>
            <w:webHidden/>
          </w:rPr>
          <w:fldChar w:fldCharType="end"/>
        </w:r>
      </w:hyperlink>
    </w:p>
    <w:p w14:paraId="05402F62" w14:textId="4F351336" w:rsidR="00052A22" w:rsidRDefault="007E17B8">
      <w:pPr>
        <w:pStyle w:val="TableofFigures"/>
        <w:rPr>
          <w:rFonts w:asciiTheme="minorHAnsi" w:eastAsiaTheme="minorEastAsia" w:hAnsiTheme="minorHAnsi" w:cstheme="minorBidi"/>
          <w:noProof/>
          <w:sz w:val="22"/>
        </w:rPr>
      </w:pPr>
      <w:hyperlink w:anchor="_Toc131591410" w:history="1">
        <w:r w:rsidR="00052A22" w:rsidRPr="00880361">
          <w:rPr>
            <w:rStyle w:val="Hyperlink"/>
            <w:noProof/>
          </w:rPr>
          <w:t>Table 6.5.3</w:t>
        </w:r>
        <w:r w:rsidR="00052A22">
          <w:rPr>
            <w:rFonts w:asciiTheme="minorHAnsi" w:eastAsiaTheme="minorEastAsia" w:hAnsiTheme="minorHAnsi" w:cstheme="minorBidi"/>
            <w:noProof/>
            <w:sz w:val="22"/>
          </w:rPr>
          <w:tab/>
        </w:r>
        <w:r w:rsidR="00052A22" w:rsidRPr="00880361">
          <w:rPr>
            <w:rStyle w:val="Hyperlink"/>
            <w:noProof/>
          </w:rPr>
          <w:t>New Zealand’s carbon stock change by carbon pool for the</w:t>
        </w:r>
        <w:r w:rsidR="00052A22" w:rsidRPr="00880361">
          <w:rPr>
            <w:rStyle w:val="Hyperlink"/>
            <w:rFonts w:cs="Arial Bold"/>
            <w:noProof/>
          </w:rPr>
          <w:t xml:space="preserve"> </w:t>
        </w:r>
        <w:r w:rsidR="00052A22" w:rsidRPr="00880361">
          <w:rPr>
            <w:rStyle w:val="Hyperlink"/>
            <w:rFonts w:cs="Arial Bold"/>
            <w:i/>
            <w:noProof/>
          </w:rPr>
          <w:t>Grassland</w:t>
        </w:r>
        <w:r w:rsidR="00052A22" w:rsidRPr="00880361">
          <w:rPr>
            <w:rStyle w:val="Hyperlink"/>
            <w:noProof/>
          </w:rPr>
          <w:t xml:space="preserve"> category from 1990 to 2021</w:t>
        </w:r>
        <w:r w:rsidR="00052A22">
          <w:rPr>
            <w:noProof/>
            <w:webHidden/>
          </w:rPr>
          <w:tab/>
        </w:r>
        <w:r w:rsidR="00052A22">
          <w:rPr>
            <w:noProof/>
            <w:webHidden/>
          </w:rPr>
          <w:fldChar w:fldCharType="begin"/>
        </w:r>
        <w:r w:rsidR="00052A22">
          <w:rPr>
            <w:noProof/>
            <w:webHidden/>
          </w:rPr>
          <w:instrText xml:space="preserve"> PAGEREF _Toc131591410 \h </w:instrText>
        </w:r>
        <w:r w:rsidR="00052A22">
          <w:rPr>
            <w:noProof/>
            <w:webHidden/>
          </w:rPr>
        </w:r>
        <w:r w:rsidR="00052A22">
          <w:rPr>
            <w:noProof/>
            <w:webHidden/>
          </w:rPr>
          <w:fldChar w:fldCharType="separate"/>
        </w:r>
        <w:r w:rsidR="008F39B8">
          <w:rPr>
            <w:noProof/>
            <w:webHidden/>
          </w:rPr>
          <w:t>275</w:t>
        </w:r>
        <w:r w:rsidR="00052A22">
          <w:rPr>
            <w:noProof/>
            <w:webHidden/>
          </w:rPr>
          <w:fldChar w:fldCharType="end"/>
        </w:r>
      </w:hyperlink>
    </w:p>
    <w:p w14:paraId="0A666EBD" w14:textId="19EAF569" w:rsidR="00052A22" w:rsidRDefault="007E17B8">
      <w:pPr>
        <w:pStyle w:val="TableofFigures"/>
        <w:rPr>
          <w:rFonts w:asciiTheme="minorHAnsi" w:eastAsiaTheme="minorEastAsia" w:hAnsiTheme="minorHAnsi" w:cstheme="minorBidi"/>
          <w:noProof/>
          <w:sz w:val="22"/>
        </w:rPr>
      </w:pPr>
      <w:hyperlink w:anchor="_Toc131591411" w:history="1">
        <w:r w:rsidR="00052A22" w:rsidRPr="00880361">
          <w:rPr>
            <w:rStyle w:val="Hyperlink"/>
            <w:noProof/>
          </w:rPr>
          <w:t>Table 6.5.4</w:t>
        </w:r>
        <w:r w:rsidR="00052A22">
          <w:rPr>
            <w:rFonts w:asciiTheme="minorHAnsi" w:eastAsiaTheme="minorEastAsia" w:hAnsiTheme="minorHAnsi" w:cstheme="minorBidi"/>
            <w:noProof/>
            <w:sz w:val="22"/>
          </w:rPr>
          <w:tab/>
        </w:r>
        <w:r w:rsidR="00052A22" w:rsidRPr="00880361">
          <w:rPr>
            <w:rStyle w:val="Hyperlink"/>
            <w:noProof/>
          </w:rPr>
          <w:t xml:space="preserve">Summary of New Zealand’s biomass emission factors for </w:t>
        </w:r>
        <w:r w:rsidR="00052A22" w:rsidRPr="00880361">
          <w:rPr>
            <w:rStyle w:val="Hyperlink"/>
            <w:i/>
            <w:noProof/>
          </w:rPr>
          <w:t>Grassland</w:t>
        </w:r>
        <w:r w:rsidR="00052A22">
          <w:rPr>
            <w:noProof/>
            <w:webHidden/>
          </w:rPr>
          <w:tab/>
        </w:r>
        <w:r w:rsidR="00052A22">
          <w:rPr>
            <w:noProof/>
            <w:webHidden/>
          </w:rPr>
          <w:fldChar w:fldCharType="begin"/>
        </w:r>
        <w:r w:rsidR="00052A22">
          <w:rPr>
            <w:noProof/>
            <w:webHidden/>
          </w:rPr>
          <w:instrText xml:space="preserve"> PAGEREF _Toc131591411 \h </w:instrText>
        </w:r>
        <w:r w:rsidR="00052A22">
          <w:rPr>
            <w:noProof/>
            <w:webHidden/>
          </w:rPr>
        </w:r>
        <w:r w:rsidR="00052A22">
          <w:rPr>
            <w:noProof/>
            <w:webHidden/>
          </w:rPr>
          <w:fldChar w:fldCharType="separate"/>
        </w:r>
        <w:r w:rsidR="008F39B8">
          <w:rPr>
            <w:noProof/>
            <w:webHidden/>
          </w:rPr>
          <w:t>276</w:t>
        </w:r>
        <w:r w:rsidR="00052A22">
          <w:rPr>
            <w:noProof/>
            <w:webHidden/>
          </w:rPr>
          <w:fldChar w:fldCharType="end"/>
        </w:r>
      </w:hyperlink>
    </w:p>
    <w:p w14:paraId="16B2FB9D" w14:textId="4C2E08D1" w:rsidR="00052A22" w:rsidRDefault="007E17B8">
      <w:pPr>
        <w:pStyle w:val="TableofFigures"/>
        <w:rPr>
          <w:rFonts w:asciiTheme="minorHAnsi" w:eastAsiaTheme="minorEastAsia" w:hAnsiTheme="minorHAnsi" w:cstheme="minorBidi"/>
          <w:noProof/>
          <w:sz w:val="22"/>
        </w:rPr>
      </w:pPr>
      <w:hyperlink w:anchor="_Toc131591412" w:history="1">
        <w:r w:rsidR="00052A22" w:rsidRPr="00880361">
          <w:rPr>
            <w:rStyle w:val="Hyperlink"/>
            <w:noProof/>
          </w:rPr>
          <w:t>Table 6.5.5</w:t>
        </w:r>
        <w:r w:rsidR="00052A22">
          <w:rPr>
            <w:rFonts w:asciiTheme="minorHAnsi" w:eastAsiaTheme="minorEastAsia" w:hAnsiTheme="minorHAnsi" w:cstheme="minorBidi"/>
            <w:noProof/>
            <w:sz w:val="22"/>
          </w:rPr>
          <w:tab/>
        </w:r>
        <w:r w:rsidR="00052A22" w:rsidRPr="00880361">
          <w:rPr>
            <w:rStyle w:val="Hyperlink"/>
            <w:noProof/>
          </w:rPr>
          <w:t xml:space="preserve">Uncertainty in carbon stock change emissions in 2021 for </w:t>
        </w:r>
        <w:r w:rsidR="00052A22" w:rsidRPr="00880361">
          <w:rPr>
            <w:rStyle w:val="Hyperlink"/>
            <w:i/>
            <w:noProof/>
          </w:rPr>
          <w:t>Grassland</w:t>
        </w:r>
        <w:r w:rsidR="00052A22">
          <w:rPr>
            <w:noProof/>
            <w:webHidden/>
          </w:rPr>
          <w:tab/>
        </w:r>
        <w:r w:rsidR="00052A22">
          <w:rPr>
            <w:noProof/>
            <w:webHidden/>
          </w:rPr>
          <w:fldChar w:fldCharType="begin"/>
        </w:r>
        <w:r w:rsidR="00052A22">
          <w:rPr>
            <w:noProof/>
            <w:webHidden/>
          </w:rPr>
          <w:instrText xml:space="preserve"> PAGEREF _Toc131591412 \h </w:instrText>
        </w:r>
        <w:r w:rsidR="00052A22">
          <w:rPr>
            <w:noProof/>
            <w:webHidden/>
          </w:rPr>
        </w:r>
        <w:r w:rsidR="00052A22">
          <w:rPr>
            <w:noProof/>
            <w:webHidden/>
          </w:rPr>
          <w:fldChar w:fldCharType="separate"/>
        </w:r>
        <w:r w:rsidR="008F39B8">
          <w:rPr>
            <w:noProof/>
            <w:webHidden/>
          </w:rPr>
          <w:t>278</w:t>
        </w:r>
        <w:r w:rsidR="00052A22">
          <w:rPr>
            <w:noProof/>
            <w:webHidden/>
          </w:rPr>
          <w:fldChar w:fldCharType="end"/>
        </w:r>
      </w:hyperlink>
    </w:p>
    <w:p w14:paraId="6B6B7D4A" w14:textId="4C39BCA9" w:rsidR="00052A22" w:rsidRDefault="007E17B8">
      <w:pPr>
        <w:pStyle w:val="TableofFigures"/>
        <w:rPr>
          <w:rFonts w:asciiTheme="minorHAnsi" w:eastAsiaTheme="minorEastAsia" w:hAnsiTheme="minorHAnsi" w:cstheme="minorBidi"/>
          <w:noProof/>
          <w:sz w:val="22"/>
        </w:rPr>
      </w:pPr>
      <w:hyperlink w:anchor="_Toc131591413" w:history="1">
        <w:r w:rsidR="00052A22" w:rsidRPr="00880361">
          <w:rPr>
            <w:rStyle w:val="Hyperlink"/>
            <w:noProof/>
          </w:rPr>
          <w:t>Table 6.5.6</w:t>
        </w:r>
        <w:r w:rsidR="00052A22">
          <w:rPr>
            <w:rFonts w:asciiTheme="minorHAnsi" w:eastAsiaTheme="minorEastAsia" w:hAnsiTheme="minorHAnsi" w:cstheme="minorBidi"/>
            <w:noProof/>
            <w:sz w:val="22"/>
          </w:rPr>
          <w:tab/>
        </w:r>
        <w:r w:rsidR="00052A22" w:rsidRPr="00880361">
          <w:rPr>
            <w:rStyle w:val="Hyperlink"/>
            <w:noProof/>
          </w:rPr>
          <w:t xml:space="preserve">Recalculations of New Zealand’s net emissions from the </w:t>
        </w:r>
        <w:r w:rsidR="00052A22" w:rsidRPr="00880361">
          <w:rPr>
            <w:rStyle w:val="Hyperlink"/>
            <w:i/>
            <w:noProof/>
          </w:rPr>
          <w:t>Grassland</w:t>
        </w:r>
        <w:r w:rsidR="00052A22" w:rsidRPr="00880361">
          <w:rPr>
            <w:rStyle w:val="Hyperlink"/>
            <w:noProof/>
          </w:rPr>
          <w:t xml:space="preserve"> category in 1990 and 2020</w:t>
        </w:r>
        <w:r w:rsidR="00052A22">
          <w:rPr>
            <w:noProof/>
            <w:webHidden/>
          </w:rPr>
          <w:tab/>
        </w:r>
        <w:r w:rsidR="00052A22">
          <w:rPr>
            <w:noProof/>
            <w:webHidden/>
          </w:rPr>
          <w:fldChar w:fldCharType="begin"/>
        </w:r>
        <w:r w:rsidR="00052A22">
          <w:rPr>
            <w:noProof/>
            <w:webHidden/>
          </w:rPr>
          <w:instrText xml:space="preserve"> PAGEREF _Toc131591413 \h </w:instrText>
        </w:r>
        <w:r w:rsidR="00052A22">
          <w:rPr>
            <w:noProof/>
            <w:webHidden/>
          </w:rPr>
        </w:r>
        <w:r w:rsidR="00052A22">
          <w:rPr>
            <w:noProof/>
            <w:webHidden/>
          </w:rPr>
          <w:fldChar w:fldCharType="separate"/>
        </w:r>
        <w:r w:rsidR="008F39B8">
          <w:rPr>
            <w:noProof/>
            <w:webHidden/>
          </w:rPr>
          <w:t>279</w:t>
        </w:r>
        <w:r w:rsidR="00052A22">
          <w:rPr>
            <w:noProof/>
            <w:webHidden/>
          </w:rPr>
          <w:fldChar w:fldCharType="end"/>
        </w:r>
      </w:hyperlink>
    </w:p>
    <w:p w14:paraId="15B2761F" w14:textId="5F8C26ED" w:rsidR="00052A22" w:rsidRDefault="007E17B8">
      <w:pPr>
        <w:pStyle w:val="TableofFigures"/>
        <w:rPr>
          <w:rFonts w:asciiTheme="minorHAnsi" w:eastAsiaTheme="minorEastAsia" w:hAnsiTheme="minorHAnsi" w:cstheme="minorBidi"/>
          <w:noProof/>
          <w:sz w:val="22"/>
        </w:rPr>
      </w:pPr>
      <w:hyperlink w:anchor="_Toc131591414" w:history="1">
        <w:r w:rsidR="00052A22" w:rsidRPr="00880361">
          <w:rPr>
            <w:rStyle w:val="Hyperlink"/>
            <w:noProof/>
          </w:rPr>
          <w:t>Table 6.6.1</w:t>
        </w:r>
        <w:r w:rsidR="00052A22">
          <w:rPr>
            <w:rFonts w:asciiTheme="minorHAnsi" w:eastAsiaTheme="minorEastAsia" w:hAnsiTheme="minorHAnsi" w:cstheme="minorBidi"/>
            <w:noProof/>
            <w:sz w:val="22"/>
          </w:rPr>
          <w:tab/>
        </w:r>
        <w:r w:rsidR="00052A22" w:rsidRPr="00880361">
          <w:rPr>
            <w:rStyle w:val="Hyperlink"/>
            <w:noProof/>
          </w:rPr>
          <w:t xml:space="preserve">New Zealand’s land-use change for the </w:t>
        </w:r>
        <w:r w:rsidR="00052A22" w:rsidRPr="00880361">
          <w:rPr>
            <w:rStyle w:val="Hyperlink"/>
            <w:i/>
            <w:noProof/>
          </w:rPr>
          <w:t>Wetlands</w:t>
        </w:r>
        <w:r w:rsidR="00052A22" w:rsidRPr="00880361">
          <w:rPr>
            <w:rStyle w:val="Hyperlink"/>
            <w:noProof/>
          </w:rPr>
          <w:t xml:space="preserve"> category, and associated CO</w:t>
        </w:r>
        <w:r w:rsidR="00052A22" w:rsidRPr="00880361">
          <w:rPr>
            <w:rStyle w:val="Hyperlink"/>
            <w:noProof/>
            <w:vertAlign w:val="subscript"/>
          </w:rPr>
          <w:t>2</w:t>
        </w:r>
        <w:r w:rsidR="00052A22" w:rsidRPr="00880361">
          <w:rPr>
            <w:rStyle w:val="Hyperlink"/>
            <w:noProof/>
          </w:rPr>
          <w:noBreakHyphen/>
          <w:t>e emissions, in 1990 and 2021</w:t>
        </w:r>
        <w:r w:rsidR="00052A22">
          <w:rPr>
            <w:noProof/>
            <w:webHidden/>
          </w:rPr>
          <w:tab/>
        </w:r>
        <w:r w:rsidR="00052A22">
          <w:rPr>
            <w:noProof/>
            <w:webHidden/>
          </w:rPr>
          <w:fldChar w:fldCharType="begin"/>
        </w:r>
        <w:r w:rsidR="00052A22">
          <w:rPr>
            <w:noProof/>
            <w:webHidden/>
          </w:rPr>
          <w:instrText xml:space="preserve"> PAGEREF _Toc131591414 \h </w:instrText>
        </w:r>
        <w:r w:rsidR="00052A22">
          <w:rPr>
            <w:noProof/>
            <w:webHidden/>
          </w:rPr>
        </w:r>
        <w:r w:rsidR="00052A22">
          <w:rPr>
            <w:noProof/>
            <w:webHidden/>
          </w:rPr>
          <w:fldChar w:fldCharType="separate"/>
        </w:r>
        <w:r w:rsidR="008F39B8">
          <w:rPr>
            <w:noProof/>
            <w:webHidden/>
          </w:rPr>
          <w:t>279</w:t>
        </w:r>
        <w:r w:rsidR="00052A22">
          <w:rPr>
            <w:noProof/>
            <w:webHidden/>
          </w:rPr>
          <w:fldChar w:fldCharType="end"/>
        </w:r>
      </w:hyperlink>
    </w:p>
    <w:p w14:paraId="7A6A4F03" w14:textId="00D385EC" w:rsidR="00052A22" w:rsidRDefault="007E17B8">
      <w:pPr>
        <w:pStyle w:val="TableofFigures"/>
        <w:rPr>
          <w:rFonts w:asciiTheme="minorHAnsi" w:eastAsiaTheme="minorEastAsia" w:hAnsiTheme="minorHAnsi" w:cstheme="minorBidi"/>
          <w:noProof/>
          <w:sz w:val="22"/>
        </w:rPr>
      </w:pPr>
      <w:hyperlink w:anchor="_Toc131591415" w:history="1">
        <w:r w:rsidR="00052A22" w:rsidRPr="00880361">
          <w:rPr>
            <w:rStyle w:val="Hyperlink"/>
            <w:noProof/>
          </w:rPr>
          <w:t>Table 6.6.2</w:t>
        </w:r>
        <w:r w:rsidR="00052A22">
          <w:rPr>
            <w:rFonts w:asciiTheme="minorHAnsi" w:eastAsiaTheme="minorEastAsia" w:hAnsiTheme="minorHAnsi" w:cstheme="minorBidi"/>
            <w:noProof/>
            <w:sz w:val="22"/>
          </w:rPr>
          <w:tab/>
        </w:r>
        <w:r w:rsidR="00052A22" w:rsidRPr="00880361">
          <w:rPr>
            <w:rStyle w:val="Hyperlink"/>
            <w:noProof/>
          </w:rPr>
          <w:t xml:space="preserve">New Zealand’s carbon stock change by carbon pool for the </w:t>
        </w:r>
        <w:r w:rsidR="00052A22" w:rsidRPr="00880361">
          <w:rPr>
            <w:rStyle w:val="Hyperlink"/>
            <w:i/>
            <w:noProof/>
          </w:rPr>
          <w:t>Wetlands</w:t>
        </w:r>
        <w:r w:rsidR="00052A22" w:rsidRPr="00880361">
          <w:rPr>
            <w:rStyle w:val="Hyperlink"/>
            <w:noProof/>
          </w:rPr>
          <w:t xml:space="preserve"> category from 1990 to 2021</w:t>
        </w:r>
        <w:r w:rsidR="00052A22">
          <w:rPr>
            <w:noProof/>
            <w:webHidden/>
          </w:rPr>
          <w:tab/>
        </w:r>
        <w:r w:rsidR="00052A22">
          <w:rPr>
            <w:noProof/>
            <w:webHidden/>
          </w:rPr>
          <w:fldChar w:fldCharType="begin"/>
        </w:r>
        <w:r w:rsidR="00052A22">
          <w:rPr>
            <w:noProof/>
            <w:webHidden/>
          </w:rPr>
          <w:instrText xml:space="preserve"> PAGEREF _Toc131591415 \h </w:instrText>
        </w:r>
        <w:r w:rsidR="00052A22">
          <w:rPr>
            <w:noProof/>
            <w:webHidden/>
          </w:rPr>
        </w:r>
        <w:r w:rsidR="00052A22">
          <w:rPr>
            <w:noProof/>
            <w:webHidden/>
          </w:rPr>
          <w:fldChar w:fldCharType="separate"/>
        </w:r>
        <w:r w:rsidR="008F39B8">
          <w:rPr>
            <w:noProof/>
            <w:webHidden/>
          </w:rPr>
          <w:t>280</w:t>
        </w:r>
        <w:r w:rsidR="00052A22">
          <w:rPr>
            <w:noProof/>
            <w:webHidden/>
          </w:rPr>
          <w:fldChar w:fldCharType="end"/>
        </w:r>
      </w:hyperlink>
    </w:p>
    <w:p w14:paraId="5B66186E" w14:textId="2A804A55" w:rsidR="00052A22" w:rsidRDefault="007E17B8">
      <w:pPr>
        <w:pStyle w:val="TableofFigures"/>
        <w:rPr>
          <w:rFonts w:asciiTheme="minorHAnsi" w:eastAsiaTheme="minorEastAsia" w:hAnsiTheme="minorHAnsi" w:cstheme="minorBidi"/>
          <w:noProof/>
          <w:sz w:val="22"/>
        </w:rPr>
      </w:pPr>
      <w:hyperlink w:anchor="_Toc131591416" w:history="1">
        <w:r w:rsidR="00052A22" w:rsidRPr="00880361">
          <w:rPr>
            <w:rStyle w:val="Hyperlink"/>
            <w:noProof/>
          </w:rPr>
          <w:t>Table 6.6.3</w:t>
        </w:r>
        <w:r w:rsidR="00052A22">
          <w:rPr>
            <w:rFonts w:asciiTheme="minorHAnsi" w:eastAsiaTheme="minorEastAsia" w:hAnsiTheme="minorHAnsi" w:cstheme="minorBidi"/>
            <w:noProof/>
            <w:sz w:val="22"/>
          </w:rPr>
          <w:tab/>
        </w:r>
        <w:r w:rsidR="00052A22" w:rsidRPr="00880361">
          <w:rPr>
            <w:rStyle w:val="Hyperlink"/>
            <w:noProof/>
          </w:rPr>
          <w:t xml:space="preserve">Summary of New Zealand’s biomass emission factors for </w:t>
        </w:r>
        <w:r w:rsidR="00052A22" w:rsidRPr="00880361">
          <w:rPr>
            <w:rStyle w:val="Hyperlink"/>
            <w:i/>
            <w:noProof/>
          </w:rPr>
          <w:t>Wetlands</w:t>
        </w:r>
        <w:r w:rsidR="00052A22">
          <w:rPr>
            <w:noProof/>
            <w:webHidden/>
          </w:rPr>
          <w:tab/>
        </w:r>
        <w:r w:rsidR="00052A22">
          <w:rPr>
            <w:noProof/>
            <w:webHidden/>
          </w:rPr>
          <w:fldChar w:fldCharType="begin"/>
        </w:r>
        <w:r w:rsidR="00052A22">
          <w:rPr>
            <w:noProof/>
            <w:webHidden/>
          </w:rPr>
          <w:instrText xml:space="preserve"> PAGEREF _Toc131591416 \h </w:instrText>
        </w:r>
        <w:r w:rsidR="00052A22">
          <w:rPr>
            <w:noProof/>
            <w:webHidden/>
          </w:rPr>
        </w:r>
        <w:r w:rsidR="00052A22">
          <w:rPr>
            <w:noProof/>
            <w:webHidden/>
          </w:rPr>
          <w:fldChar w:fldCharType="separate"/>
        </w:r>
        <w:r w:rsidR="008F39B8">
          <w:rPr>
            <w:noProof/>
            <w:webHidden/>
          </w:rPr>
          <w:t>282</w:t>
        </w:r>
        <w:r w:rsidR="00052A22">
          <w:rPr>
            <w:noProof/>
            <w:webHidden/>
          </w:rPr>
          <w:fldChar w:fldCharType="end"/>
        </w:r>
      </w:hyperlink>
    </w:p>
    <w:p w14:paraId="76C414FD" w14:textId="08849A01" w:rsidR="00052A22" w:rsidRDefault="007E17B8">
      <w:pPr>
        <w:pStyle w:val="TableofFigures"/>
        <w:rPr>
          <w:rFonts w:asciiTheme="minorHAnsi" w:eastAsiaTheme="minorEastAsia" w:hAnsiTheme="minorHAnsi" w:cstheme="minorBidi"/>
          <w:noProof/>
          <w:sz w:val="22"/>
        </w:rPr>
      </w:pPr>
      <w:hyperlink w:anchor="_Toc131591417" w:history="1">
        <w:r w:rsidR="00052A22" w:rsidRPr="00880361">
          <w:rPr>
            <w:rStyle w:val="Hyperlink"/>
            <w:noProof/>
          </w:rPr>
          <w:t>Table 6.6.4</w:t>
        </w:r>
        <w:r w:rsidR="00052A22">
          <w:rPr>
            <w:rFonts w:asciiTheme="minorHAnsi" w:eastAsiaTheme="minorEastAsia" w:hAnsiTheme="minorHAnsi" w:cstheme="minorBidi"/>
            <w:noProof/>
            <w:sz w:val="22"/>
          </w:rPr>
          <w:tab/>
        </w:r>
        <w:r w:rsidR="00052A22" w:rsidRPr="00880361">
          <w:rPr>
            <w:rStyle w:val="Hyperlink"/>
            <w:noProof/>
          </w:rPr>
          <w:t xml:space="preserve">Uncertainty in carbon stock change emissions in 2021 for </w:t>
        </w:r>
        <w:r w:rsidR="00052A22" w:rsidRPr="00880361">
          <w:rPr>
            <w:rStyle w:val="Hyperlink"/>
            <w:i/>
            <w:noProof/>
          </w:rPr>
          <w:t>Wetlands</w:t>
        </w:r>
        <w:r w:rsidR="00052A22">
          <w:rPr>
            <w:noProof/>
            <w:webHidden/>
          </w:rPr>
          <w:tab/>
        </w:r>
        <w:r w:rsidR="00052A22">
          <w:rPr>
            <w:noProof/>
            <w:webHidden/>
          </w:rPr>
          <w:fldChar w:fldCharType="begin"/>
        </w:r>
        <w:r w:rsidR="00052A22">
          <w:rPr>
            <w:noProof/>
            <w:webHidden/>
          </w:rPr>
          <w:instrText xml:space="preserve"> PAGEREF _Toc131591417 \h </w:instrText>
        </w:r>
        <w:r w:rsidR="00052A22">
          <w:rPr>
            <w:noProof/>
            <w:webHidden/>
          </w:rPr>
        </w:r>
        <w:r w:rsidR="00052A22">
          <w:rPr>
            <w:noProof/>
            <w:webHidden/>
          </w:rPr>
          <w:fldChar w:fldCharType="separate"/>
        </w:r>
        <w:r w:rsidR="008F39B8">
          <w:rPr>
            <w:noProof/>
            <w:webHidden/>
          </w:rPr>
          <w:t>283</w:t>
        </w:r>
        <w:r w:rsidR="00052A22">
          <w:rPr>
            <w:noProof/>
            <w:webHidden/>
          </w:rPr>
          <w:fldChar w:fldCharType="end"/>
        </w:r>
      </w:hyperlink>
    </w:p>
    <w:p w14:paraId="5B6636BA" w14:textId="559FE8F6" w:rsidR="00052A22" w:rsidRDefault="007E17B8">
      <w:pPr>
        <w:pStyle w:val="TableofFigures"/>
        <w:rPr>
          <w:rFonts w:asciiTheme="minorHAnsi" w:eastAsiaTheme="minorEastAsia" w:hAnsiTheme="minorHAnsi" w:cstheme="minorBidi"/>
          <w:noProof/>
          <w:sz w:val="22"/>
        </w:rPr>
      </w:pPr>
      <w:hyperlink w:anchor="_Toc131591418" w:history="1">
        <w:r w:rsidR="00052A22" w:rsidRPr="00880361">
          <w:rPr>
            <w:rStyle w:val="Hyperlink"/>
            <w:noProof/>
          </w:rPr>
          <w:t>Table 6.6.5</w:t>
        </w:r>
        <w:r w:rsidR="00052A22">
          <w:rPr>
            <w:rFonts w:asciiTheme="minorHAnsi" w:eastAsiaTheme="minorEastAsia" w:hAnsiTheme="minorHAnsi" w:cstheme="minorBidi"/>
            <w:noProof/>
            <w:sz w:val="22"/>
          </w:rPr>
          <w:tab/>
        </w:r>
        <w:r w:rsidR="00052A22" w:rsidRPr="00880361">
          <w:rPr>
            <w:rStyle w:val="Hyperlink"/>
            <w:noProof/>
          </w:rPr>
          <w:t xml:space="preserve">Recalculations for New Zealand’s net emissions from the </w:t>
        </w:r>
        <w:r w:rsidR="00052A22" w:rsidRPr="00880361">
          <w:rPr>
            <w:rStyle w:val="Hyperlink"/>
            <w:i/>
            <w:noProof/>
          </w:rPr>
          <w:t>Wetlands</w:t>
        </w:r>
        <w:r w:rsidR="00052A22" w:rsidRPr="00880361">
          <w:rPr>
            <w:rStyle w:val="Hyperlink"/>
            <w:noProof/>
          </w:rPr>
          <w:t xml:space="preserve"> category in 1990 and 2020</w:t>
        </w:r>
        <w:r w:rsidR="00052A22">
          <w:rPr>
            <w:noProof/>
            <w:webHidden/>
          </w:rPr>
          <w:tab/>
        </w:r>
        <w:r w:rsidR="00052A22">
          <w:rPr>
            <w:noProof/>
            <w:webHidden/>
          </w:rPr>
          <w:fldChar w:fldCharType="begin"/>
        </w:r>
        <w:r w:rsidR="00052A22">
          <w:rPr>
            <w:noProof/>
            <w:webHidden/>
          </w:rPr>
          <w:instrText xml:space="preserve"> PAGEREF _Toc131591418 \h </w:instrText>
        </w:r>
        <w:r w:rsidR="00052A22">
          <w:rPr>
            <w:noProof/>
            <w:webHidden/>
          </w:rPr>
        </w:r>
        <w:r w:rsidR="00052A22">
          <w:rPr>
            <w:noProof/>
            <w:webHidden/>
          </w:rPr>
          <w:fldChar w:fldCharType="separate"/>
        </w:r>
        <w:r w:rsidR="008F39B8">
          <w:rPr>
            <w:noProof/>
            <w:webHidden/>
          </w:rPr>
          <w:t>283</w:t>
        </w:r>
        <w:r w:rsidR="00052A22">
          <w:rPr>
            <w:noProof/>
            <w:webHidden/>
          </w:rPr>
          <w:fldChar w:fldCharType="end"/>
        </w:r>
      </w:hyperlink>
    </w:p>
    <w:p w14:paraId="7B4E717B" w14:textId="415F40AE" w:rsidR="00052A22" w:rsidRDefault="007E17B8">
      <w:pPr>
        <w:pStyle w:val="TableofFigures"/>
        <w:rPr>
          <w:rFonts w:asciiTheme="minorHAnsi" w:eastAsiaTheme="minorEastAsia" w:hAnsiTheme="minorHAnsi" w:cstheme="minorBidi"/>
          <w:noProof/>
          <w:sz w:val="22"/>
        </w:rPr>
      </w:pPr>
      <w:hyperlink w:anchor="_Toc131591419" w:history="1">
        <w:r w:rsidR="00052A22" w:rsidRPr="00880361">
          <w:rPr>
            <w:rStyle w:val="Hyperlink"/>
            <w:noProof/>
          </w:rPr>
          <w:t>Table 6.7.1</w:t>
        </w:r>
        <w:r w:rsidR="00052A22">
          <w:rPr>
            <w:rFonts w:asciiTheme="minorHAnsi" w:eastAsiaTheme="minorEastAsia" w:hAnsiTheme="minorHAnsi" w:cstheme="minorBidi"/>
            <w:noProof/>
            <w:sz w:val="22"/>
          </w:rPr>
          <w:tab/>
        </w:r>
        <w:r w:rsidR="00052A22" w:rsidRPr="00880361">
          <w:rPr>
            <w:rStyle w:val="Hyperlink"/>
            <w:noProof/>
          </w:rPr>
          <w:t xml:space="preserve">New Zealand’s land-use change for the </w:t>
        </w:r>
        <w:r w:rsidR="00052A22" w:rsidRPr="00880361">
          <w:rPr>
            <w:rStyle w:val="Hyperlink"/>
            <w:i/>
            <w:noProof/>
          </w:rPr>
          <w:t>Settlements</w:t>
        </w:r>
        <w:r w:rsidR="00052A22" w:rsidRPr="00880361">
          <w:rPr>
            <w:rStyle w:val="Hyperlink"/>
            <w:noProof/>
          </w:rPr>
          <w:t xml:space="preserve"> category, and associated CO</w:t>
        </w:r>
        <w:r w:rsidR="00052A22" w:rsidRPr="00880361">
          <w:rPr>
            <w:rStyle w:val="Hyperlink"/>
            <w:noProof/>
            <w:vertAlign w:val="subscript"/>
          </w:rPr>
          <w:t>2</w:t>
        </w:r>
        <w:r w:rsidR="00052A22" w:rsidRPr="00880361">
          <w:rPr>
            <w:rStyle w:val="Hyperlink"/>
            <w:noProof/>
          </w:rPr>
          <w:noBreakHyphen/>
          <w:t>e emissions, from 1990 to 2021</w:t>
        </w:r>
        <w:r w:rsidR="00052A22">
          <w:rPr>
            <w:noProof/>
            <w:webHidden/>
          </w:rPr>
          <w:tab/>
        </w:r>
        <w:r w:rsidR="00052A22">
          <w:rPr>
            <w:noProof/>
            <w:webHidden/>
          </w:rPr>
          <w:fldChar w:fldCharType="begin"/>
        </w:r>
        <w:r w:rsidR="00052A22">
          <w:rPr>
            <w:noProof/>
            <w:webHidden/>
          </w:rPr>
          <w:instrText xml:space="preserve"> PAGEREF _Toc131591419 \h </w:instrText>
        </w:r>
        <w:r w:rsidR="00052A22">
          <w:rPr>
            <w:noProof/>
            <w:webHidden/>
          </w:rPr>
        </w:r>
        <w:r w:rsidR="00052A22">
          <w:rPr>
            <w:noProof/>
            <w:webHidden/>
          </w:rPr>
          <w:fldChar w:fldCharType="separate"/>
        </w:r>
        <w:r w:rsidR="008F39B8">
          <w:rPr>
            <w:noProof/>
            <w:webHidden/>
          </w:rPr>
          <w:t>284</w:t>
        </w:r>
        <w:r w:rsidR="00052A22">
          <w:rPr>
            <w:noProof/>
            <w:webHidden/>
          </w:rPr>
          <w:fldChar w:fldCharType="end"/>
        </w:r>
      </w:hyperlink>
    </w:p>
    <w:p w14:paraId="0B647BD1" w14:textId="25BA99C6" w:rsidR="00052A22" w:rsidRDefault="007E17B8">
      <w:pPr>
        <w:pStyle w:val="TableofFigures"/>
        <w:rPr>
          <w:rFonts w:asciiTheme="minorHAnsi" w:eastAsiaTheme="minorEastAsia" w:hAnsiTheme="minorHAnsi" w:cstheme="minorBidi"/>
          <w:noProof/>
          <w:sz w:val="22"/>
        </w:rPr>
      </w:pPr>
      <w:hyperlink w:anchor="_Toc131591420" w:history="1">
        <w:r w:rsidR="00052A22" w:rsidRPr="00880361">
          <w:rPr>
            <w:rStyle w:val="Hyperlink"/>
            <w:noProof/>
          </w:rPr>
          <w:t>Table 6.7.2</w:t>
        </w:r>
        <w:r w:rsidR="00052A22">
          <w:rPr>
            <w:rFonts w:asciiTheme="minorHAnsi" w:eastAsiaTheme="minorEastAsia" w:hAnsiTheme="minorHAnsi" w:cstheme="minorBidi"/>
            <w:noProof/>
            <w:sz w:val="22"/>
          </w:rPr>
          <w:tab/>
        </w:r>
        <w:r w:rsidR="00052A22" w:rsidRPr="00880361">
          <w:rPr>
            <w:rStyle w:val="Hyperlink"/>
            <w:noProof/>
          </w:rPr>
          <w:t xml:space="preserve">New Zealand’s carbon stock change by carbon pool for the </w:t>
        </w:r>
        <w:r w:rsidR="00052A22" w:rsidRPr="00880361">
          <w:rPr>
            <w:rStyle w:val="Hyperlink"/>
            <w:i/>
            <w:noProof/>
          </w:rPr>
          <w:t>Settlements</w:t>
        </w:r>
        <w:r w:rsidR="00052A22" w:rsidRPr="00880361">
          <w:rPr>
            <w:rStyle w:val="Hyperlink"/>
            <w:noProof/>
          </w:rPr>
          <w:t xml:space="preserve"> category from 1990 to 2021</w:t>
        </w:r>
        <w:r w:rsidR="00052A22">
          <w:rPr>
            <w:noProof/>
            <w:webHidden/>
          </w:rPr>
          <w:tab/>
        </w:r>
        <w:r w:rsidR="00052A22">
          <w:rPr>
            <w:noProof/>
            <w:webHidden/>
          </w:rPr>
          <w:fldChar w:fldCharType="begin"/>
        </w:r>
        <w:r w:rsidR="00052A22">
          <w:rPr>
            <w:noProof/>
            <w:webHidden/>
          </w:rPr>
          <w:instrText xml:space="preserve"> PAGEREF _Toc131591420 \h </w:instrText>
        </w:r>
        <w:r w:rsidR="00052A22">
          <w:rPr>
            <w:noProof/>
            <w:webHidden/>
          </w:rPr>
        </w:r>
        <w:r w:rsidR="00052A22">
          <w:rPr>
            <w:noProof/>
            <w:webHidden/>
          </w:rPr>
          <w:fldChar w:fldCharType="separate"/>
        </w:r>
        <w:r w:rsidR="008F39B8">
          <w:rPr>
            <w:noProof/>
            <w:webHidden/>
          </w:rPr>
          <w:t>284</w:t>
        </w:r>
        <w:r w:rsidR="00052A22">
          <w:rPr>
            <w:noProof/>
            <w:webHidden/>
          </w:rPr>
          <w:fldChar w:fldCharType="end"/>
        </w:r>
      </w:hyperlink>
    </w:p>
    <w:p w14:paraId="28EEA56B" w14:textId="52BACA46" w:rsidR="00052A22" w:rsidRDefault="007E17B8">
      <w:pPr>
        <w:pStyle w:val="TableofFigures"/>
        <w:rPr>
          <w:rFonts w:asciiTheme="minorHAnsi" w:eastAsiaTheme="minorEastAsia" w:hAnsiTheme="minorHAnsi" w:cstheme="minorBidi"/>
          <w:noProof/>
          <w:sz w:val="22"/>
        </w:rPr>
      </w:pPr>
      <w:hyperlink w:anchor="_Toc131591421" w:history="1">
        <w:r w:rsidR="00052A22" w:rsidRPr="00880361">
          <w:rPr>
            <w:rStyle w:val="Hyperlink"/>
            <w:noProof/>
          </w:rPr>
          <w:t>Table 6.7.3</w:t>
        </w:r>
        <w:r w:rsidR="00052A22">
          <w:rPr>
            <w:rFonts w:asciiTheme="minorHAnsi" w:eastAsiaTheme="minorEastAsia" w:hAnsiTheme="minorHAnsi" w:cstheme="minorBidi"/>
            <w:noProof/>
            <w:sz w:val="22"/>
          </w:rPr>
          <w:tab/>
        </w:r>
        <w:r w:rsidR="00052A22" w:rsidRPr="00880361">
          <w:rPr>
            <w:rStyle w:val="Hyperlink"/>
            <w:noProof/>
          </w:rPr>
          <w:t xml:space="preserve">Recalculations for New Zealand’s net emissions from the </w:t>
        </w:r>
        <w:r w:rsidR="00052A22" w:rsidRPr="00880361">
          <w:rPr>
            <w:rStyle w:val="Hyperlink"/>
            <w:i/>
            <w:noProof/>
          </w:rPr>
          <w:t>Settlements</w:t>
        </w:r>
        <w:r w:rsidR="00052A22" w:rsidRPr="00880361">
          <w:rPr>
            <w:rStyle w:val="Hyperlink"/>
            <w:noProof/>
          </w:rPr>
          <w:t xml:space="preserve"> category in 1990 and 2020</w:t>
        </w:r>
        <w:r w:rsidR="00052A22">
          <w:rPr>
            <w:noProof/>
            <w:webHidden/>
          </w:rPr>
          <w:tab/>
        </w:r>
        <w:r w:rsidR="00052A22">
          <w:rPr>
            <w:noProof/>
            <w:webHidden/>
          </w:rPr>
          <w:fldChar w:fldCharType="begin"/>
        </w:r>
        <w:r w:rsidR="00052A22">
          <w:rPr>
            <w:noProof/>
            <w:webHidden/>
          </w:rPr>
          <w:instrText xml:space="preserve"> PAGEREF _Toc131591421 \h </w:instrText>
        </w:r>
        <w:r w:rsidR="00052A22">
          <w:rPr>
            <w:noProof/>
            <w:webHidden/>
          </w:rPr>
        </w:r>
        <w:r w:rsidR="00052A22">
          <w:rPr>
            <w:noProof/>
            <w:webHidden/>
          </w:rPr>
          <w:fldChar w:fldCharType="separate"/>
        </w:r>
        <w:r w:rsidR="008F39B8">
          <w:rPr>
            <w:noProof/>
            <w:webHidden/>
          </w:rPr>
          <w:t>286</w:t>
        </w:r>
        <w:r w:rsidR="00052A22">
          <w:rPr>
            <w:noProof/>
            <w:webHidden/>
          </w:rPr>
          <w:fldChar w:fldCharType="end"/>
        </w:r>
      </w:hyperlink>
    </w:p>
    <w:p w14:paraId="664CBEF4" w14:textId="7A663ED3" w:rsidR="00052A22" w:rsidRDefault="007E17B8">
      <w:pPr>
        <w:pStyle w:val="TableofFigures"/>
        <w:rPr>
          <w:rFonts w:asciiTheme="minorHAnsi" w:eastAsiaTheme="minorEastAsia" w:hAnsiTheme="minorHAnsi" w:cstheme="minorBidi"/>
          <w:noProof/>
          <w:sz w:val="22"/>
        </w:rPr>
      </w:pPr>
      <w:hyperlink w:anchor="_Toc131591422" w:history="1">
        <w:r w:rsidR="00052A22" w:rsidRPr="00880361">
          <w:rPr>
            <w:rStyle w:val="Hyperlink"/>
            <w:noProof/>
          </w:rPr>
          <w:t>Table 6.8.1</w:t>
        </w:r>
        <w:r w:rsidR="00052A22">
          <w:rPr>
            <w:rFonts w:asciiTheme="minorHAnsi" w:eastAsiaTheme="minorEastAsia" w:hAnsiTheme="minorHAnsi" w:cstheme="minorBidi"/>
            <w:noProof/>
            <w:sz w:val="22"/>
          </w:rPr>
          <w:tab/>
        </w:r>
        <w:r w:rsidR="00052A22" w:rsidRPr="00880361">
          <w:rPr>
            <w:rStyle w:val="Hyperlink"/>
            <w:noProof/>
          </w:rPr>
          <w:t xml:space="preserve">New Zealand’s land-use change for the land use category </w:t>
        </w:r>
        <w:r w:rsidR="00052A22" w:rsidRPr="00880361">
          <w:rPr>
            <w:rStyle w:val="Hyperlink"/>
            <w:i/>
            <w:noProof/>
          </w:rPr>
          <w:t>Other land</w:t>
        </w:r>
        <w:r w:rsidR="00052A22" w:rsidRPr="00880361">
          <w:rPr>
            <w:rStyle w:val="Hyperlink"/>
            <w:noProof/>
          </w:rPr>
          <w:t xml:space="preserve"> from 1990 to 2021</w:t>
        </w:r>
        <w:r w:rsidR="00052A22">
          <w:rPr>
            <w:noProof/>
            <w:webHidden/>
          </w:rPr>
          <w:tab/>
        </w:r>
        <w:r w:rsidR="00052A22">
          <w:rPr>
            <w:noProof/>
            <w:webHidden/>
          </w:rPr>
          <w:fldChar w:fldCharType="begin"/>
        </w:r>
        <w:r w:rsidR="00052A22">
          <w:rPr>
            <w:noProof/>
            <w:webHidden/>
          </w:rPr>
          <w:instrText xml:space="preserve"> PAGEREF _Toc131591422 \h </w:instrText>
        </w:r>
        <w:r w:rsidR="00052A22">
          <w:rPr>
            <w:noProof/>
            <w:webHidden/>
          </w:rPr>
        </w:r>
        <w:r w:rsidR="00052A22">
          <w:rPr>
            <w:noProof/>
            <w:webHidden/>
          </w:rPr>
          <w:fldChar w:fldCharType="separate"/>
        </w:r>
        <w:r w:rsidR="008F39B8">
          <w:rPr>
            <w:noProof/>
            <w:webHidden/>
          </w:rPr>
          <w:t>287</w:t>
        </w:r>
        <w:r w:rsidR="00052A22">
          <w:rPr>
            <w:noProof/>
            <w:webHidden/>
          </w:rPr>
          <w:fldChar w:fldCharType="end"/>
        </w:r>
      </w:hyperlink>
    </w:p>
    <w:p w14:paraId="2946829D" w14:textId="72A44EB6" w:rsidR="00052A22" w:rsidRDefault="007E17B8">
      <w:pPr>
        <w:pStyle w:val="TableofFigures"/>
        <w:rPr>
          <w:rFonts w:asciiTheme="minorHAnsi" w:eastAsiaTheme="minorEastAsia" w:hAnsiTheme="minorHAnsi" w:cstheme="minorBidi"/>
          <w:noProof/>
          <w:sz w:val="22"/>
        </w:rPr>
      </w:pPr>
      <w:hyperlink w:anchor="_Toc131591423" w:history="1">
        <w:r w:rsidR="00052A22" w:rsidRPr="00880361">
          <w:rPr>
            <w:rStyle w:val="Hyperlink"/>
            <w:noProof/>
          </w:rPr>
          <w:t>Table 6.8.2</w:t>
        </w:r>
        <w:r w:rsidR="00052A22">
          <w:rPr>
            <w:rFonts w:asciiTheme="minorHAnsi" w:eastAsiaTheme="minorEastAsia" w:hAnsiTheme="minorHAnsi" w:cstheme="minorBidi"/>
            <w:noProof/>
            <w:sz w:val="22"/>
          </w:rPr>
          <w:tab/>
        </w:r>
        <w:r w:rsidR="00052A22" w:rsidRPr="00880361">
          <w:rPr>
            <w:rStyle w:val="Hyperlink"/>
            <w:noProof/>
          </w:rPr>
          <w:t xml:space="preserve">Summary of New Zealand emission factors for the land use category </w:t>
        </w:r>
        <w:r w:rsidR="00052A22" w:rsidRPr="00880361">
          <w:rPr>
            <w:rStyle w:val="Hyperlink"/>
            <w:i/>
            <w:noProof/>
          </w:rPr>
          <w:t>Other land</w:t>
        </w:r>
        <w:r w:rsidR="00052A22">
          <w:rPr>
            <w:noProof/>
            <w:webHidden/>
          </w:rPr>
          <w:tab/>
        </w:r>
        <w:r w:rsidR="00052A22">
          <w:rPr>
            <w:noProof/>
            <w:webHidden/>
          </w:rPr>
          <w:fldChar w:fldCharType="begin"/>
        </w:r>
        <w:r w:rsidR="00052A22">
          <w:rPr>
            <w:noProof/>
            <w:webHidden/>
          </w:rPr>
          <w:instrText xml:space="preserve"> PAGEREF _Toc131591423 \h </w:instrText>
        </w:r>
        <w:r w:rsidR="00052A22">
          <w:rPr>
            <w:noProof/>
            <w:webHidden/>
          </w:rPr>
        </w:r>
        <w:r w:rsidR="00052A22">
          <w:rPr>
            <w:noProof/>
            <w:webHidden/>
          </w:rPr>
          <w:fldChar w:fldCharType="separate"/>
        </w:r>
        <w:r w:rsidR="008F39B8">
          <w:rPr>
            <w:noProof/>
            <w:webHidden/>
          </w:rPr>
          <w:t>287</w:t>
        </w:r>
        <w:r w:rsidR="00052A22">
          <w:rPr>
            <w:noProof/>
            <w:webHidden/>
          </w:rPr>
          <w:fldChar w:fldCharType="end"/>
        </w:r>
      </w:hyperlink>
    </w:p>
    <w:p w14:paraId="110D9110" w14:textId="7698DD64" w:rsidR="00052A22" w:rsidRDefault="007E17B8">
      <w:pPr>
        <w:pStyle w:val="TableofFigures"/>
        <w:rPr>
          <w:rFonts w:asciiTheme="minorHAnsi" w:eastAsiaTheme="minorEastAsia" w:hAnsiTheme="minorHAnsi" w:cstheme="minorBidi"/>
          <w:noProof/>
          <w:sz w:val="22"/>
        </w:rPr>
      </w:pPr>
      <w:hyperlink w:anchor="_Toc131591424" w:history="1">
        <w:r w:rsidR="00052A22" w:rsidRPr="00880361">
          <w:rPr>
            <w:rStyle w:val="Hyperlink"/>
            <w:noProof/>
          </w:rPr>
          <w:t>Table 6.8.3</w:t>
        </w:r>
        <w:r w:rsidR="00052A22">
          <w:rPr>
            <w:rFonts w:asciiTheme="minorHAnsi" w:eastAsiaTheme="minorEastAsia" w:hAnsiTheme="minorHAnsi" w:cstheme="minorBidi"/>
            <w:noProof/>
            <w:sz w:val="22"/>
          </w:rPr>
          <w:tab/>
        </w:r>
        <w:r w:rsidR="00052A22" w:rsidRPr="00880361">
          <w:rPr>
            <w:rStyle w:val="Hyperlink"/>
            <w:noProof/>
          </w:rPr>
          <w:t xml:space="preserve">Recalculations for New Zealand’s net emissions from the </w:t>
        </w:r>
        <w:r w:rsidR="00052A22" w:rsidRPr="00880361">
          <w:rPr>
            <w:rStyle w:val="Hyperlink"/>
            <w:i/>
            <w:noProof/>
          </w:rPr>
          <w:t>Other land</w:t>
        </w:r>
        <w:r w:rsidR="00052A22" w:rsidRPr="00880361">
          <w:rPr>
            <w:rStyle w:val="Hyperlink"/>
            <w:noProof/>
          </w:rPr>
          <w:t xml:space="preserve"> category in 1990 and 2020</w:t>
        </w:r>
        <w:r w:rsidR="00052A22">
          <w:rPr>
            <w:noProof/>
            <w:webHidden/>
          </w:rPr>
          <w:tab/>
        </w:r>
        <w:r w:rsidR="00052A22">
          <w:rPr>
            <w:noProof/>
            <w:webHidden/>
          </w:rPr>
          <w:fldChar w:fldCharType="begin"/>
        </w:r>
        <w:r w:rsidR="00052A22">
          <w:rPr>
            <w:noProof/>
            <w:webHidden/>
          </w:rPr>
          <w:instrText xml:space="preserve"> PAGEREF _Toc131591424 \h </w:instrText>
        </w:r>
        <w:r w:rsidR="00052A22">
          <w:rPr>
            <w:noProof/>
            <w:webHidden/>
          </w:rPr>
        </w:r>
        <w:r w:rsidR="00052A22">
          <w:rPr>
            <w:noProof/>
            <w:webHidden/>
          </w:rPr>
          <w:fldChar w:fldCharType="separate"/>
        </w:r>
        <w:r w:rsidR="008F39B8">
          <w:rPr>
            <w:noProof/>
            <w:webHidden/>
          </w:rPr>
          <w:t>288</w:t>
        </w:r>
        <w:r w:rsidR="00052A22">
          <w:rPr>
            <w:noProof/>
            <w:webHidden/>
          </w:rPr>
          <w:fldChar w:fldCharType="end"/>
        </w:r>
      </w:hyperlink>
    </w:p>
    <w:p w14:paraId="5082C5FD" w14:textId="771BED26" w:rsidR="00052A22" w:rsidRDefault="007E17B8">
      <w:pPr>
        <w:pStyle w:val="TableofFigures"/>
        <w:rPr>
          <w:rFonts w:asciiTheme="minorHAnsi" w:eastAsiaTheme="minorEastAsia" w:hAnsiTheme="minorHAnsi" w:cstheme="minorBidi"/>
          <w:noProof/>
          <w:sz w:val="22"/>
        </w:rPr>
      </w:pPr>
      <w:hyperlink w:anchor="_Toc131591425" w:history="1">
        <w:r w:rsidR="00052A22" w:rsidRPr="00880361">
          <w:rPr>
            <w:rStyle w:val="Hyperlink"/>
            <w:noProof/>
          </w:rPr>
          <w:t>Table 6.9.1</w:t>
        </w:r>
        <w:r w:rsidR="00052A22">
          <w:rPr>
            <w:rFonts w:asciiTheme="minorHAnsi" w:eastAsiaTheme="minorEastAsia" w:hAnsiTheme="minorHAnsi" w:cstheme="minorBidi"/>
            <w:noProof/>
            <w:sz w:val="22"/>
          </w:rPr>
          <w:tab/>
        </w:r>
        <w:r w:rsidR="00052A22" w:rsidRPr="00880361">
          <w:rPr>
            <w:rStyle w:val="Hyperlink"/>
            <w:noProof/>
          </w:rPr>
          <w:t xml:space="preserve">Conversion factors for </w:t>
        </w:r>
        <w:r w:rsidR="00052A22" w:rsidRPr="00880361">
          <w:rPr>
            <w:rStyle w:val="Hyperlink"/>
            <w:i/>
            <w:noProof/>
          </w:rPr>
          <w:t>Harvested wood products</w:t>
        </w:r>
        <w:r w:rsidR="00052A22" w:rsidRPr="00880361">
          <w:rPr>
            <w:rStyle w:val="Hyperlink"/>
            <w:noProof/>
          </w:rPr>
          <w:t xml:space="preserve"> produced from New Zealand wood in New Zealand</w:t>
        </w:r>
        <w:r w:rsidR="00052A22">
          <w:rPr>
            <w:noProof/>
            <w:webHidden/>
          </w:rPr>
          <w:tab/>
        </w:r>
        <w:r w:rsidR="00052A22">
          <w:rPr>
            <w:noProof/>
            <w:webHidden/>
          </w:rPr>
          <w:fldChar w:fldCharType="begin"/>
        </w:r>
        <w:r w:rsidR="00052A22">
          <w:rPr>
            <w:noProof/>
            <w:webHidden/>
          </w:rPr>
          <w:instrText xml:space="preserve"> PAGEREF _Toc131591425 \h </w:instrText>
        </w:r>
        <w:r w:rsidR="00052A22">
          <w:rPr>
            <w:noProof/>
            <w:webHidden/>
          </w:rPr>
        </w:r>
        <w:r w:rsidR="00052A22">
          <w:rPr>
            <w:noProof/>
            <w:webHidden/>
          </w:rPr>
          <w:fldChar w:fldCharType="separate"/>
        </w:r>
        <w:r w:rsidR="008F39B8">
          <w:rPr>
            <w:noProof/>
            <w:webHidden/>
          </w:rPr>
          <w:t>291</w:t>
        </w:r>
        <w:r w:rsidR="00052A22">
          <w:rPr>
            <w:noProof/>
            <w:webHidden/>
          </w:rPr>
          <w:fldChar w:fldCharType="end"/>
        </w:r>
      </w:hyperlink>
    </w:p>
    <w:p w14:paraId="43F25712" w14:textId="2BCE0D33" w:rsidR="00052A22" w:rsidRDefault="007E17B8">
      <w:pPr>
        <w:pStyle w:val="TableofFigures"/>
        <w:rPr>
          <w:rFonts w:asciiTheme="minorHAnsi" w:eastAsiaTheme="minorEastAsia" w:hAnsiTheme="minorHAnsi" w:cstheme="minorBidi"/>
          <w:noProof/>
          <w:sz w:val="22"/>
        </w:rPr>
      </w:pPr>
      <w:hyperlink w:anchor="_Toc131591426" w:history="1">
        <w:r w:rsidR="00052A22" w:rsidRPr="00880361">
          <w:rPr>
            <w:rStyle w:val="Hyperlink"/>
            <w:noProof/>
          </w:rPr>
          <w:t>Table 6.9.2</w:t>
        </w:r>
        <w:r w:rsidR="00052A22">
          <w:rPr>
            <w:rFonts w:asciiTheme="minorHAnsi" w:eastAsiaTheme="minorEastAsia" w:hAnsiTheme="minorHAnsi" w:cstheme="minorBidi"/>
            <w:noProof/>
            <w:sz w:val="22"/>
          </w:rPr>
          <w:tab/>
        </w:r>
        <w:r w:rsidR="00052A22" w:rsidRPr="00880361">
          <w:rPr>
            <w:rStyle w:val="Hyperlink"/>
            <w:noProof/>
          </w:rPr>
          <w:t>Comparison of weighted half-lives for harvested wood products produced in export markets and the defaults applied in the IPCC, 2014 guidance</w:t>
        </w:r>
        <w:r w:rsidR="00052A22">
          <w:rPr>
            <w:noProof/>
            <w:webHidden/>
          </w:rPr>
          <w:tab/>
        </w:r>
        <w:r w:rsidR="00052A22">
          <w:rPr>
            <w:noProof/>
            <w:webHidden/>
          </w:rPr>
          <w:fldChar w:fldCharType="begin"/>
        </w:r>
        <w:r w:rsidR="00052A22">
          <w:rPr>
            <w:noProof/>
            <w:webHidden/>
          </w:rPr>
          <w:instrText xml:space="preserve"> PAGEREF _Toc131591426 \h </w:instrText>
        </w:r>
        <w:r w:rsidR="00052A22">
          <w:rPr>
            <w:noProof/>
            <w:webHidden/>
          </w:rPr>
        </w:r>
        <w:r w:rsidR="00052A22">
          <w:rPr>
            <w:noProof/>
            <w:webHidden/>
          </w:rPr>
          <w:fldChar w:fldCharType="separate"/>
        </w:r>
        <w:r w:rsidR="008F39B8">
          <w:rPr>
            <w:noProof/>
            <w:webHidden/>
          </w:rPr>
          <w:t>292</w:t>
        </w:r>
        <w:r w:rsidR="00052A22">
          <w:rPr>
            <w:noProof/>
            <w:webHidden/>
          </w:rPr>
          <w:fldChar w:fldCharType="end"/>
        </w:r>
      </w:hyperlink>
    </w:p>
    <w:p w14:paraId="4303376A" w14:textId="2FE4ADE3" w:rsidR="00052A22" w:rsidRDefault="007E17B8">
      <w:pPr>
        <w:pStyle w:val="TableofFigures"/>
        <w:rPr>
          <w:rFonts w:asciiTheme="minorHAnsi" w:eastAsiaTheme="minorEastAsia" w:hAnsiTheme="minorHAnsi" w:cstheme="minorBidi"/>
          <w:noProof/>
          <w:sz w:val="22"/>
        </w:rPr>
      </w:pPr>
      <w:hyperlink w:anchor="_Toc131591427" w:history="1">
        <w:r w:rsidR="00052A22" w:rsidRPr="00880361">
          <w:rPr>
            <w:rStyle w:val="Hyperlink"/>
            <w:noProof/>
          </w:rPr>
          <w:t>Table 6.9.3</w:t>
        </w:r>
        <w:r w:rsidR="00052A22">
          <w:rPr>
            <w:rFonts w:asciiTheme="minorHAnsi" w:eastAsiaTheme="minorEastAsia" w:hAnsiTheme="minorHAnsi" w:cstheme="minorBidi"/>
            <w:noProof/>
            <w:sz w:val="22"/>
          </w:rPr>
          <w:tab/>
        </w:r>
        <w:r w:rsidR="00052A22" w:rsidRPr="00880361">
          <w:rPr>
            <w:rStyle w:val="Hyperlink"/>
            <w:noProof/>
          </w:rPr>
          <w:t xml:space="preserve">Recalculations for New Zealand’s net emissions from the </w:t>
        </w:r>
        <w:r w:rsidR="00052A22" w:rsidRPr="00880361">
          <w:rPr>
            <w:rStyle w:val="Hyperlink"/>
            <w:i/>
            <w:noProof/>
          </w:rPr>
          <w:t>Harvested wood products</w:t>
        </w:r>
        <w:r w:rsidR="00052A22" w:rsidRPr="00880361">
          <w:rPr>
            <w:rStyle w:val="Hyperlink"/>
            <w:noProof/>
          </w:rPr>
          <w:t xml:space="preserve"> category in 1990 and 2020</w:t>
        </w:r>
        <w:r w:rsidR="00052A22">
          <w:rPr>
            <w:noProof/>
            <w:webHidden/>
          </w:rPr>
          <w:tab/>
        </w:r>
        <w:r w:rsidR="00052A22">
          <w:rPr>
            <w:noProof/>
            <w:webHidden/>
          </w:rPr>
          <w:fldChar w:fldCharType="begin"/>
        </w:r>
        <w:r w:rsidR="00052A22">
          <w:rPr>
            <w:noProof/>
            <w:webHidden/>
          </w:rPr>
          <w:instrText xml:space="preserve"> PAGEREF _Toc131591427 \h </w:instrText>
        </w:r>
        <w:r w:rsidR="00052A22">
          <w:rPr>
            <w:noProof/>
            <w:webHidden/>
          </w:rPr>
        </w:r>
        <w:r w:rsidR="00052A22">
          <w:rPr>
            <w:noProof/>
            <w:webHidden/>
          </w:rPr>
          <w:fldChar w:fldCharType="separate"/>
        </w:r>
        <w:r w:rsidR="008F39B8">
          <w:rPr>
            <w:noProof/>
            <w:webHidden/>
          </w:rPr>
          <w:t>293</w:t>
        </w:r>
        <w:r w:rsidR="00052A22">
          <w:rPr>
            <w:noProof/>
            <w:webHidden/>
          </w:rPr>
          <w:fldChar w:fldCharType="end"/>
        </w:r>
      </w:hyperlink>
    </w:p>
    <w:p w14:paraId="6D71AA3B" w14:textId="6FF66CEA" w:rsidR="00052A22" w:rsidRDefault="007E17B8">
      <w:pPr>
        <w:pStyle w:val="TableofFigures"/>
        <w:rPr>
          <w:rFonts w:asciiTheme="minorHAnsi" w:eastAsiaTheme="minorEastAsia" w:hAnsiTheme="minorHAnsi" w:cstheme="minorBidi"/>
          <w:noProof/>
          <w:sz w:val="22"/>
        </w:rPr>
      </w:pPr>
      <w:hyperlink w:anchor="_Toc131591428" w:history="1">
        <w:r w:rsidR="00052A22" w:rsidRPr="00880361">
          <w:rPr>
            <w:rStyle w:val="Hyperlink"/>
            <w:noProof/>
          </w:rPr>
          <w:t>Table 6.10.1</w:t>
        </w:r>
        <w:r w:rsidR="00052A22">
          <w:rPr>
            <w:rFonts w:asciiTheme="minorHAnsi" w:eastAsiaTheme="minorEastAsia" w:hAnsiTheme="minorHAnsi" w:cstheme="minorBidi"/>
            <w:noProof/>
            <w:sz w:val="22"/>
          </w:rPr>
          <w:tab/>
        </w:r>
        <w:r w:rsidR="00052A22" w:rsidRPr="00880361">
          <w:rPr>
            <w:rStyle w:val="Hyperlink"/>
            <w:noProof/>
          </w:rPr>
          <w:t>N</w:t>
        </w:r>
        <w:r w:rsidR="00052A22" w:rsidRPr="00880361">
          <w:rPr>
            <w:rStyle w:val="Hyperlink"/>
            <w:noProof/>
            <w:vertAlign w:val="subscript"/>
          </w:rPr>
          <w:t>2</w:t>
        </w:r>
        <w:r w:rsidR="00052A22" w:rsidRPr="00880361">
          <w:rPr>
            <w:rStyle w:val="Hyperlink"/>
            <w:noProof/>
          </w:rPr>
          <w:t>O emissions from soils associated with land-use change reported in the LULUCF sector from 1990 to 2021</w:t>
        </w:r>
        <w:r w:rsidR="00052A22">
          <w:rPr>
            <w:noProof/>
            <w:webHidden/>
          </w:rPr>
          <w:tab/>
        </w:r>
        <w:r w:rsidR="00052A22">
          <w:rPr>
            <w:noProof/>
            <w:webHidden/>
          </w:rPr>
          <w:fldChar w:fldCharType="begin"/>
        </w:r>
        <w:r w:rsidR="00052A22">
          <w:rPr>
            <w:noProof/>
            <w:webHidden/>
          </w:rPr>
          <w:instrText xml:space="preserve"> PAGEREF _Toc131591428 \h </w:instrText>
        </w:r>
        <w:r w:rsidR="00052A22">
          <w:rPr>
            <w:noProof/>
            <w:webHidden/>
          </w:rPr>
        </w:r>
        <w:r w:rsidR="00052A22">
          <w:rPr>
            <w:noProof/>
            <w:webHidden/>
          </w:rPr>
          <w:fldChar w:fldCharType="separate"/>
        </w:r>
        <w:r w:rsidR="008F39B8">
          <w:rPr>
            <w:noProof/>
            <w:webHidden/>
          </w:rPr>
          <w:t>293</w:t>
        </w:r>
        <w:r w:rsidR="00052A22">
          <w:rPr>
            <w:noProof/>
            <w:webHidden/>
          </w:rPr>
          <w:fldChar w:fldCharType="end"/>
        </w:r>
      </w:hyperlink>
    </w:p>
    <w:p w14:paraId="3C9C99A3" w14:textId="03B31722" w:rsidR="00052A22" w:rsidRDefault="007E17B8">
      <w:pPr>
        <w:pStyle w:val="TableofFigures"/>
        <w:rPr>
          <w:rFonts w:asciiTheme="minorHAnsi" w:eastAsiaTheme="minorEastAsia" w:hAnsiTheme="minorHAnsi" w:cstheme="minorBidi"/>
          <w:noProof/>
          <w:sz w:val="22"/>
        </w:rPr>
      </w:pPr>
      <w:hyperlink w:anchor="_Toc131591429" w:history="1">
        <w:r w:rsidR="00052A22" w:rsidRPr="00880361">
          <w:rPr>
            <w:rStyle w:val="Hyperlink"/>
            <w:noProof/>
          </w:rPr>
          <w:t>Table 6.10.2</w:t>
        </w:r>
        <w:r w:rsidR="00052A22">
          <w:rPr>
            <w:rFonts w:asciiTheme="minorHAnsi" w:eastAsiaTheme="minorEastAsia" w:hAnsiTheme="minorHAnsi" w:cstheme="minorBidi"/>
            <w:noProof/>
            <w:sz w:val="22"/>
          </w:rPr>
          <w:tab/>
        </w:r>
        <w:r w:rsidR="00052A22" w:rsidRPr="00880361">
          <w:rPr>
            <w:rStyle w:val="Hyperlink"/>
            <w:noProof/>
          </w:rPr>
          <w:t>Net N</w:t>
        </w:r>
        <w:r w:rsidR="00052A22" w:rsidRPr="00880361">
          <w:rPr>
            <w:rStyle w:val="Hyperlink"/>
            <w:noProof/>
            <w:vertAlign w:val="subscript"/>
          </w:rPr>
          <w:t>2</w:t>
        </w:r>
        <w:r w:rsidR="00052A22" w:rsidRPr="00880361">
          <w:rPr>
            <w:rStyle w:val="Hyperlink"/>
            <w:noProof/>
          </w:rPr>
          <w:t>O emissions from nitrogen in soils associated with land-use change in 2021</w:t>
        </w:r>
        <w:r w:rsidR="00052A22">
          <w:rPr>
            <w:noProof/>
            <w:webHidden/>
          </w:rPr>
          <w:tab/>
        </w:r>
        <w:r w:rsidR="00052A22">
          <w:rPr>
            <w:noProof/>
            <w:webHidden/>
          </w:rPr>
          <w:fldChar w:fldCharType="begin"/>
        </w:r>
        <w:r w:rsidR="00052A22">
          <w:rPr>
            <w:noProof/>
            <w:webHidden/>
          </w:rPr>
          <w:instrText xml:space="preserve"> PAGEREF _Toc131591429 \h </w:instrText>
        </w:r>
        <w:r w:rsidR="00052A22">
          <w:rPr>
            <w:noProof/>
            <w:webHidden/>
          </w:rPr>
        </w:r>
        <w:r w:rsidR="00052A22">
          <w:rPr>
            <w:noProof/>
            <w:webHidden/>
          </w:rPr>
          <w:fldChar w:fldCharType="separate"/>
        </w:r>
        <w:r w:rsidR="008F39B8">
          <w:rPr>
            <w:noProof/>
            <w:webHidden/>
          </w:rPr>
          <w:t>296</w:t>
        </w:r>
        <w:r w:rsidR="00052A22">
          <w:rPr>
            <w:noProof/>
            <w:webHidden/>
          </w:rPr>
          <w:fldChar w:fldCharType="end"/>
        </w:r>
      </w:hyperlink>
    </w:p>
    <w:p w14:paraId="5EBED3F6" w14:textId="5D5A84D1" w:rsidR="00052A22" w:rsidRDefault="007E17B8">
      <w:pPr>
        <w:pStyle w:val="TableofFigures"/>
        <w:rPr>
          <w:rFonts w:asciiTheme="minorHAnsi" w:eastAsiaTheme="minorEastAsia" w:hAnsiTheme="minorHAnsi" w:cstheme="minorBidi"/>
          <w:noProof/>
          <w:sz w:val="22"/>
        </w:rPr>
      </w:pPr>
      <w:hyperlink w:anchor="_Toc131591430" w:history="1">
        <w:r w:rsidR="00052A22" w:rsidRPr="00880361">
          <w:rPr>
            <w:rStyle w:val="Hyperlink"/>
            <w:noProof/>
          </w:rPr>
          <w:t>Table 6.10.3</w:t>
        </w:r>
        <w:r w:rsidR="00052A22">
          <w:rPr>
            <w:rFonts w:asciiTheme="minorHAnsi" w:eastAsiaTheme="minorEastAsia" w:hAnsiTheme="minorHAnsi" w:cstheme="minorBidi"/>
            <w:noProof/>
            <w:sz w:val="22"/>
          </w:rPr>
          <w:tab/>
        </w:r>
        <w:r w:rsidR="00052A22" w:rsidRPr="00880361">
          <w:rPr>
            <w:rStyle w:val="Hyperlink"/>
            <w:noProof/>
          </w:rPr>
          <w:t>Non-CO</w:t>
        </w:r>
        <w:r w:rsidR="00052A22" w:rsidRPr="00880361">
          <w:rPr>
            <w:rStyle w:val="Hyperlink"/>
            <w:noProof/>
            <w:vertAlign w:val="subscript"/>
          </w:rPr>
          <w:t>2</w:t>
        </w:r>
        <w:r w:rsidR="00052A22" w:rsidRPr="00880361">
          <w:rPr>
            <w:rStyle w:val="Hyperlink"/>
            <w:noProof/>
          </w:rPr>
          <w:t xml:space="preserve"> emissions from </w:t>
        </w:r>
        <w:r w:rsidR="00052A22" w:rsidRPr="00880361">
          <w:rPr>
            <w:rStyle w:val="Hyperlink"/>
            <w:i/>
            <w:noProof/>
          </w:rPr>
          <w:t>Biomass burning</w:t>
        </w:r>
        <w:r w:rsidR="00052A22">
          <w:rPr>
            <w:noProof/>
            <w:webHidden/>
          </w:rPr>
          <w:tab/>
        </w:r>
        <w:r w:rsidR="00052A22">
          <w:rPr>
            <w:noProof/>
            <w:webHidden/>
          </w:rPr>
          <w:fldChar w:fldCharType="begin"/>
        </w:r>
        <w:r w:rsidR="00052A22">
          <w:rPr>
            <w:noProof/>
            <w:webHidden/>
          </w:rPr>
          <w:instrText xml:space="preserve"> PAGEREF _Toc131591430 \h </w:instrText>
        </w:r>
        <w:r w:rsidR="00052A22">
          <w:rPr>
            <w:noProof/>
            <w:webHidden/>
          </w:rPr>
        </w:r>
        <w:r w:rsidR="00052A22">
          <w:rPr>
            <w:noProof/>
            <w:webHidden/>
          </w:rPr>
          <w:fldChar w:fldCharType="separate"/>
        </w:r>
        <w:r w:rsidR="008F39B8">
          <w:rPr>
            <w:noProof/>
            <w:webHidden/>
          </w:rPr>
          <w:t>296</w:t>
        </w:r>
        <w:r w:rsidR="00052A22">
          <w:rPr>
            <w:noProof/>
            <w:webHidden/>
          </w:rPr>
          <w:fldChar w:fldCharType="end"/>
        </w:r>
      </w:hyperlink>
    </w:p>
    <w:p w14:paraId="59D664B9" w14:textId="24AA4D8A" w:rsidR="00052A22" w:rsidRDefault="007E17B8">
      <w:pPr>
        <w:pStyle w:val="TableofFigures"/>
        <w:rPr>
          <w:rFonts w:asciiTheme="minorHAnsi" w:eastAsiaTheme="minorEastAsia" w:hAnsiTheme="minorHAnsi" w:cstheme="minorBidi"/>
          <w:noProof/>
          <w:sz w:val="22"/>
        </w:rPr>
      </w:pPr>
      <w:hyperlink w:anchor="_Toc131591431" w:history="1">
        <w:r w:rsidR="00052A22" w:rsidRPr="00880361">
          <w:rPr>
            <w:rStyle w:val="Hyperlink"/>
            <w:noProof/>
          </w:rPr>
          <w:t>Table 6.10.4</w:t>
        </w:r>
        <w:r w:rsidR="00052A22">
          <w:rPr>
            <w:rFonts w:asciiTheme="minorHAnsi" w:eastAsiaTheme="minorEastAsia" w:hAnsiTheme="minorHAnsi" w:cstheme="minorBidi"/>
            <w:noProof/>
            <w:sz w:val="22"/>
          </w:rPr>
          <w:tab/>
        </w:r>
        <w:r w:rsidR="00052A22" w:rsidRPr="00880361">
          <w:rPr>
            <w:rStyle w:val="Hyperlink"/>
            <w:noProof/>
          </w:rPr>
          <w:t xml:space="preserve">Summary of </w:t>
        </w:r>
        <w:r w:rsidR="00052A22" w:rsidRPr="00880361">
          <w:rPr>
            <w:rStyle w:val="Hyperlink"/>
            <w:i/>
            <w:noProof/>
          </w:rPr>
          <w:t>Biomass burning</w:t>
        </w:r>
        <w:r w:rsidR="00052A22" w:rsidRPr="00880361">
          <w:rPr>
            <w:rStyle w:val="Hyperlink"/>
            <w:noProof/>
          </w:rPr>
          <w:t xml:space="preserve"> carbon fractions and emission factors</w:t>
        </w:r>
        <w:r w:rsidR="00052A22">
          <w:rPr>
            <w:noProof/>
            <w:webHidden/>
          </w:rPr>
          <w:tab/>
        </w:r>
        <w:r w:rsidR="00052A22">
          <w:rPr>
            <w:noProof/>
            <w:webHidden/>
          </w:rPr>
          <w:fldChar w:fldCharType="begin"/>
        </w:r>
        <w:r w:rsidR="00052A22">
          <w:rPr>
            <w:noProof/>
            <w:webHidden/>
          </w:rPr>
          <w:instrText xml:space="preserve"> PAGEREF _Toc131591431 \h </w:instrText>
        </w:r>
        <w:r w:rsidR="00052A22">
          <w:rPr>
            <w:noProof/>
            <w:webHidden/>
          </w:rPr>
        </w:r>
        <w:r w:rsidR="00052A22">
          <w:rPr>
            <w:noProof/>
            <w:webHidden/>
          </w:rPr>
          <w:fldChar w:fldCharType="separate"/>
        </w:r>
        <w:r w:rsidR="008F39B8">
          <w:rPr>
            <w:noProof/>
            <w:webHidden/>
          </w:rPr>
          <w:t>298</w:t>
        </w:r>
        <w:r w:rsidR="00052A22">
          <w:rPr>
            <w:noProof/>
            <w:webHidden/>
          </w:rPr>
          <w:fldChar w:fldCharType="end"/>
        </w:r>
      </w:hyperlink>
    </w:p>
    <w:p w14:paraId="10E2FDAD" w14:textId="6667343C" w:rsidR="00052A22" w:rsidRDefault="007E17B8">
      <w:pPr>
        <w:pStyle w:val="TableofFigures"/>
        <w:rPr>
          <w:rFonts w:asciiTheme="minorHAnsi" w:eastAsiaTheme="minorEastAsia" w:hAnsiTheme="minorHAnsi" w:cstheme="minorBidi"/>
          <w:noProof/>
          <w:sz w:val="22"/>
        </w:rPr>
      </w:pPr>
      <w:hyperlink w:anchor="_Toc131591432" w:history="1">
        <w:r w:rsidR="00052A22" w:rsidRPr="00880361">
          <w:rPr>
            <w:rStyle w:val="Hyperlink"/>
            <w:noProof/>
          </w:rPr>
          <w:t>Table 6.10.5</w:t>
        </w:r>
        <w:r w:rsidR="00052A22">
          <w:rPr>
            <w:rFonts w:asciiTheme="minorHAnsi" w:eastAsiaTheme="minorEastAsia" w:hAnsiTheme="minorHAnsi" w:cstheme="minorBidi"/>
            <w:noProof/>
            <w:sz w:val="22"/>
          </w:rPr>
          <w:tab/>
        </w:r>
        <w:r w:rsidR="00052A22" w:rsidRPr="00880361">
          <w:rPr>
            <w:rStyle w:val="Hyperlink"/>
            <w:noProof/>
          </w:rPr>
          <w:t xml:space="preserve">Summary of </w:t>
        </w:r>
        <w:r w:rsidR="00052A22" w:rsidRPr="00880361">
          <w:rPr>
            <w:rStyle w:val="Hyperlink"/>
            <w:i/>
            <w:noProof/>
          </w:rPr>
          <w:t>Biomass burning</w:t>
        </w:r>
        <w:r w:rsidR="00052A22" w:rsidRPr="00880361">
          <w:rPr>
            <w:rStyle w:val="Hyperlink"/>
            <w:noProof/>
          </w:rPr>
          <w:t xml:space="preserve"> combustion factor values</w:t>
        </w:r>
        <w:r w:rsidR="00052A22">
          <w:rPr>
            <w:noProof/>
            <w:webHidden/>
          </w:rPr>
          <w:tab/>
        </w:r>
        <w:r w:rsidR="00052A22">
          <w:rPr>
            <w:noProof/>
            <w:webHidden/>
          </w:rPr>
          <w:fldChar w:fldCharType="begin"/>
        </w:r>
        <w:r w:rsidR="00052A22">
          <w:rPr>
            <w:noProof/>
            <w:webHidden/>
          </w:rPr>
          <w:instrText xml:space="preserve"> PAGEREF _Toc131591432 \h </w:instrText>
        </w:r>
        <w:r w:rsidR="00052A22">
          <w:rPr>
            <w:noProof/>
            <w:webHidden/>
          </w:rPr>
        </w:r>
        <w:r w:rsidR="00052A22">
          <w:rPr>
            <w:noProof/>
            <w:webHidden/>
          </w:rPr>
          <w:fldChar w:fldCharType="separate"/>
        </w:r>
        <w:r w:rsidR="008F39B8">
          <w:rPr>
            <w:noProof/>
            <w:webHidden/>
          </w:rPr>
          <w:t>299</w:t>
        </w:r>
        <w:r w:rsidR="00052A22">
          <w:rPr>
            <w:noProof/>
            <w:webHidden/>
          </w:rPr>
          <w:fldChar w:fldCharType="end"/>
        </w:r>
      </w:hyperlink>
    </w:p>
    <w:p w14:paraId="6F2AA1F9" w14:textId="14926C14" w:rsidR="00052A22" w:rsidRDefault="007E17B8">
      <w:pPr>
        <w:pStyle w:val="TableofFigures"/>
        <w:rPr>
          <w:rFonts w:asciiTheme="minorHAnsi" w:eastAsiaTheme="minorEastAsia" w:hAnsiTheme="minorHAnsi" w:cstheme="minorBidi"/>
          <w:noProof/>
          <w:sz w:val="22"/>
        </w:rPr>
      </w:pPr>
      <w:hyperlink w:anchor="_Toc131591433" w:history="1">
        <w:r w:rsidR="00052A22" w:rsidRPr="00880361">
          <w:rPr>
            <w:rStyle w:val="Hyperlink"/>
            <w:noProof/>
          </w:rPr>
          <w:t xml:space="preserve">Table 7.1.1 </w:t>
        </w:r>
        <w:r w:rsidR="00052A22">
          <w:rPr>
            <w:rFonts w:asciiTheme="minorHAnsi" w:eastAsiaTheme="minorEastAsia" w:hAnsiTheme="minorHAnsi" w:cstheme="minorBidi"/>
            <w:noProof/>
            <w:sz w:val="22"/>
          </w:rPr>
          <w:tab/>
        </w:r>
        <w:r w:rsidR="00052A22" w:rsidRPr="00880361">
          <w:rPr>
            <w:rStyle w:val="Hyperlink"/>
            <w:noProof/>
          </w:rPr>
          <w:t>New Zealand’s greenhouse gas emissions for the Waste sector by source category in 1990 and 2021</w:t>
        </w:r>
        <w:r w:rsidR="00052A22">
          <w:rPr>
            <w:noProof/>
            <w:webHidden/>
          </w:rPr>
          <w:tab/>
        </w:r>
        <w:r w:rsidR="00052A22">
          <w:rPr>
            <w:noProof/>
            <w:webHidden/>
          </w:rPr>
          <w:fldChar w:fldCharType="begin"/>
        </w:r>
        <w:r w:rsidR="00052A22">
          <w:rPr>
            <w:noProof/>
            <w:webHidden/>
          </w:rPr>
          <w:instrText xml:space="preserve"> PAGEREF _Toc131591433 \h </w:instrText>
        </w:r>
        <w:r w:rsidR="00052A22">
          <w:rPr>
            <w:noProof/>
            <w:webHidden/>
          </w:rPr>
        </w:r>
        <w:r w:rsidR="00052A22">
          <w:rPr>
            <w:noProof/>
            <w:webHidden/>
          </w:rPr>
          <w:fldChar w:fldCharType="separate"/>
        </w:r>
        <w:r w:rsidR="008F39B8">
          <w:rPr>
            <w:noProof/>
            <w:webHidden/>
          </w:rPr>
          <w:t>306</w:t>
        </w:r>
        <w:r w:rsidR="00052A22">
          <w:rPr>
            <w:noProof/>
            <w:webHidden/>
          </w:rPr>
          <w:fldChar w:fldCharType="end"/>
        </w:r>
      </w:hyperlink>
    </w:p>
    <w:p w14:paraId="5194BC46" w14:textId="1BC4A0A0" w:rsidR="00052A22" w:rsidRDefault="007E17B8">
      <w:pPr>
        <w:pStyle w:val="TableofFigures"/>
        <w:rPr>
          <w:rFonts w:asciiTheme="minorHAnsi" w:eastAsiaTheme="minorEastAsia" w:hAnsiTheme="minorHAnsi" w:cstheme="minorBidi"/>
          <w:noProof/>
          <w:sz w:val="22"/>
        </w:rPr>
      </w:pPr>
      <w:hyperlink w:anchor="_Toc131591434" w:history="1">
        <w:r w:rsidR="00052A22" w:rsidRPr="00880361">
          <w:rPr>
            <w:rStyle w:val="Hyperlink"/>
            <w:noProof/>
          </w:rPr>
          <w:t xml:space="preserve">Table 7.1.2 </w:t>
        </w:r>
        <w:r w:rsidR="00052A22">
          <w:rPr>
            <w:rFonts w:asciiTheme="minorHAnsi" w:eastAsiaTheme="minorEastAsia" w:hAnsiTheme="minorHAnsi" w:cstheme="minorBidi"/>
            <w:noProof/>
            <w:sz w:val="22"/>
          </w:rPr>
          <w:tab/>
        </w:r>
        <w:r w:rsidR="00052A22" w:rsidRPr="00880361">
          <w:rPr>
            <w:rStyle w:val="Hyperlink"/>
            <w:noProof/>
          </w:rPr>
          <w:t>Key categories in the Waste sector</w:t>
        </w:r>
        <w:r w:rsidR="00052A22">
          <w:rPr>
            <w:noProof/>
            <w:webHidden/>
          </w:rPr>
          <w:tab/>
        </w:r>
        <w:r w:rsidR="00052A22">
          <w:rPr>
            <w:noProof/>
            <w:webHidden/>
          </w:rPr>
          <w:fldChar w:fldCharType="begin"/>
        </w:r>
        <w:r w:rsidR="00052A22">
          <w:rPr>
            <w:noProof/>
            <w:webHidden/>
          </w:rPr>
          <w:instrText xml:space="preserve"> PAGEREF _Toc131591434 \h </w:instrText>
        </w:r>
        <w:r w:rsidR="00052A22">
          <w:rPr>
            <w:noProof/>
            <w:webHidden/>
          </w:rPr>
        </w:r>
        <w:r w:rsidR="00052A22">
          <w:rPr>
            <w:noProof/>
            <w:webHidden/>
          </w:rPr>
          <w:fldChar w:fldCharType="separate"/>
        </w:r>
        <w:r w:rsidR="008F39B8">
          <w:rPr>
            <w:noProof/>
            <w:webHidden/>
          </w:rPr>
          <w:t>307</w:t>
        </w:r>
        <w:r w:rsidR="00052A22">
          <w:rPr>
            <w:noProof/>
            <w:webHidden/>
          </w:rPr>
          <w:fldChar w:fldCharType="end"/>
        </w:r>
      </w:hyperlink>
    </w:p>
    <w:p w14:paraId="5207BC25" w14:textId="42A60799" w:rsidR="00052A22" w:rsidRDefault="007E17B8">
      <w:pPr>
        <w:pStyle w:val="TableofFigures"/>
        <w:rPr>
          <w:rFonts w:asciiTheme="minorHAnsi" w:eastAsiaTheme="minorEastAsia" w:hAnsiTheme="minorHAnsi" w:cstheme="minorBidi"/>
          <w:noProof/>
          <w:sz w:val="22"/>
        </w:rPr>
      </w:pPr>
      <w:hyperlink w:anchor="_Toc131591435" w:history="1">
        <w:r w:rsidR="00052A22" w:rsidRPr="00880361">
          <w:rPr>
            <w:rStyle w:val="Hyperlink"/>
            <w:noProof/>
          </w:rPr>
          <w:t xml:space="preserve">Table 7.2.1 </w:t>
        </w:r>
        <w:r w:rsidR="00052A22">
          <w:rPr>
            <w:rFonts w:asciiTheme="minorHAnsi" w:eastAsiaTheme="minorEastAsia" w:hAnsiTheme="minorHAnsi" w:cstheme="minorBidi"/>
            <w:noProof/>
            <w:sz w:val="22"/>
          </w:rPr>
          <w:tab/>
        </w:r>
        <w:r w:rsidR="00052A22" w:rsidRPr="00880361">
          <w:rPr>
            <w:rStyle w:val="Hyperlink"/>
            <w:noProof/>
          </w:rPr>
          <w:t>Landfill emissions in the common reporting format table</w:t>
        </w:r>
        <w:r w:rsidR="00052A22">
          <w:rPr>
            <w:noProof/>
            <w:webHidden/>
          </w:rPr>
          <w:tab/>
        </w:r>
        <w:r w:rsidR="00052A22">
          <w:rPr>
            <w:noProof/>
            <w:webHidden/>
          </w:rPr>
          <w:fldChar w:fldCharType="begin"/>
        </w:r>
        <w:r w:rsidR="00052A22">
          <w:rPr>
            <w:noProof/>
            <w:webHidden/>
          </w:rPr>
          <w:instrText xml:space="preserve"> PAGEREF _Toc131591435 \h </w:instrText>
        </w:r>
        <w:r w:rsidR="00052A22">
          <w:rPr>
            <w:noProof/>
            <w:webHidden/>
          </w:rPr>
        </w:r>
        <w:r w:rsidR="00052A22">
          <w:rPr>
            <w:noProof/>
            <w:webHidden/>
          </w:rPr>
          <w:fldChar w:fldCharType="separate"/>
        </w:r>
        <w:r w:rsidR="008F39B8">
          <w:rPr>
            <w:noProof/>
            <w:webHidden/>
          </w:rPr>
          <w:t>310</w:t>
        </w:r>
        <w:r w:rsidR="00052A22">
          <w:rPr>
            <w:noProof/>
            <w:webHidden/>
          </w:rPr>
          <w:fldChar w:fldCharType="end"/>
        </w:r>
      </w:hyperlink>
    </w:p>
    <w:p w14:paraId="0DC9B4CE" w14:textId="666953B3" w:rsidR="00052A22" w:rsidRDefault="007E17B8">
      <w:pPr>
        <w:pStyle w:val="TableofFigures"/>
        <w:rPr>
          <w:rFonts w:asciiTheme="minorHAnsi" w:eastAsiaTheme="minorEastAsia" w:hAnsiTheme="minorHAnsi" w:cstheme="minorBidi"/>
          <w:noProof/>
          <w:sz w:val="22"/>
        </w:rPr>
      </w:pPr>
      <w:hyperlink w:anchor="_Toc131591436" w:history="1">
        <w:r w:rsidR="00052A22" w:rsidRPr="00880361">
          <w:rPr>
            <w:rStyle w:val="Hyperlink"/>
            <w:noProof/>
          </w:rPr>
          <w:t xml:space="preserve">Table 7.2.2 </w:t>
        </w:r>
        <w:r w:rsidR="00052A22">
          <w:rPr>
            <w:rFonts w:asciiTheme="minorHAnsi" w:eastAsiaTheme="minorEastAsia" w:hAnsiTheme="minorHAnsi" w:cstheme="minorBidi"/>
            <w:noProof/>
            <w:sz w:val="22"/>
          </w:rPr>
          <w:tab/>
        </w:r>
        <w:r w:rsidR="00052A22" w:rsidRPr="00880361">
          <w:rPr>
            <w:rStyle w:val="Hyperlink"/>
            <w:noProof/>
          </w:rPr>
          <w:t xml:space="preserve">Landfill categories in </w:t>
        </w:r>
        <w:r w:rsidR="00052A22" w:rsidRPr="00880361">
          <w:rPr>
            <w:rStyle w:val="Hyperlink"/>
            <w:bCs/>
            <w:noProof/>
          </w:rPr>
          <w:t>2021</w:t>
        </w:r>
        <w:r w:rsidR="00052A22">
          <w:rPr>
            <w:noProof/>
            <w:webHidden/>
          </w:rPr>
          <w:tab/>
        </w:r>
        <w:r w:rsidR="00052A22">
          <w:rPr>
            <w:noProof/>
            <w:webHidden/>
          </w:rPr>
          <w:fldChar w:fldCharType="begin"/>
        </w:r>
        <w:r w:rsidR="00052A22">
          <w:rPr>
            <w:noProof/>
            <w:webHidden/>
          </w:rPr>
          <w:instrText xml:space="preserve"> PAGEREF _Toc131591436 \h </w:instrText>
        </w:r>
        <w:r w:rsidR="00052A22">
          <w:rPr>
            <w:noProof/>
            <w:webHidden/>
          </w:rPr>
        </w:r>
        <w:r w:rsidR="00052A22">
          <w:rPr>
            <w:noProof/>
            <w:webHidden/>
          </w:rPr>
          <w:fldChar w:fldCharType="separate"/>
        </w:r>
        <w:r w:rsidR="008F39B8">
          <w:rPr>
            <w:noProof/>
            <w:webHidden/>
          </w:rPr>
          <w:t>312</w:t>
        </w:r>
        <w:r w:rsidR="00052A22">
          <w:rPr>
            <w:noProof/>
            <w:webHidden/>
          </w:rPr>
          <w:fldChar w:fldCharType="end"/>
        </w:r>
      </w:hyperlink>
    </w:p>
    <w:p w14:paraId="0E2A02C1" w14:textId="75CDA9A9" w:rsidR="00052A22" w:rsidRDefault="007E17B8">
      <w:pPr>
        <w:pStyle w:val="TableofFigures"/>
        <w:rPr>
          <w:rFonts w:asciiTheme="minorHAnsi" w:eastAsiaTheme="minorEastAsia" w:hAnsiTheme="minorHAnsi" w:cstheme="minorBidi"/>
          <w:noProof/>
          <w:sz w:val="22"/>
        </w:rPr>
      </w:pPr>
      <w:hyperlink w:anchor="_Toc131591437" w:history="1">
        <w:r w:rsidR="00052A22" w:rsidRPr="00880361">
          <w:rPr>
            <w:rStyle w:val="Hyperlink"/>
            <w:noProof/>
          </w:rPr>
          <w:t xml:space="preserve">Table 7.2.3 </w:t>
        </w:r>
        <w:r w:rsidR="00052A22">
          <w:rPr>
            <w:rFonts w:asciiTheme="minorHAnsi" w:eastAsiaTheme="minorEastAsia" w:hAnsiTheme="minorHAnsi" w:cstheme="minorBidi"/>
            <w:noProof/>
            <w:sz w:val="22"/>
          </w:rPr>
          <w:tab/>
        </w:r>
        <w:r w:rsidR="00052A22" w:rsidRPr="00880361">
          <w:rPr>
            <w:rStyle w:val="Hyperlink"/>
            <w:noProof/>
          </w:rPr>
          <w:t>Solid waste deposited to municipal and uncategorised landfills from 1950 to </w:t>
        </w:r>
        <w:r w:rsidR="00052A22" w:rsidRPr="00880361">
          <w:rPr>
            <w:rStyle w:val="Hyperlink"/>
            <w:bCs/>
            <w:noProof/>
          </w:rPr>
          <w:t>2021</w:t>
        </w:r>
        <w:r w:rsidR="00052A22">
          <w:rPr>
            <w:noProof/>
            <w:webHidden/>
          </w:rPr>
          <w:tab/>
        </w:r>
        <w:r w:rsidR="00052A22">
          <w:rPr>
            <w:noProof/>
            <w:webHidden/>
          </w:rPr>
          <w:fldChar w:fldCharType="begin"/>
        </w:r>
        <w:r w:rsidR="00052A22">
          <w:rPr>
            <w:noProof/>
            <w:webHidden/>
          </w:rPr>
          <w:instrText xml:space="preserve"> PAGEREF _Toc131591437 \h </w:instrText>
        </w:r>
        <w:r w:rsidR="00052A22">
          <w:rPr>
            <w:noProof/>
            <w:webHidden/>
          </w:rPr>
        </w:r>
        <w:r w:rsidR="00052A22">
          <w:rPr>
            <w:noProof/>
            <w:webHidden/>
          </w:rPr>
          <w:fldChar w:fldCharType="separate"/>
        </w:r>
        <w:r w:rsidR="008F39B8">
          <w:rPr>
            <w:noProof/>
            <w:webHidden/>
          </w:rPr>
          <w:t>312</w:t>
        </w:r>
        <w:r w:rsidR="00052A22">
          <w:rPr>
            <w:noProof/>
            <w:webHidden/>
          </w:rPr>
          <w:fldChar w:fldCharType="end"/>
        </w:r>
      </w:hyperlink>
    </w:p>
    <w:p w14:paraId="7CB85743" w14:textId="11B22D93" w:rsidR="00052A22" w:rsidRDefault="007E17B8">
      <w:pPr>
        <w:pStyle w:val="TableofFigures"/>
        <w:rPr>
          <w:rFonts w:asciiTheme="minorHAnsi" w:eastAsiaTheme="minorEastAsia" w:hAnsiTheme="minorHAnsi" w:cstheme="minorBidi"/>
          <w:noProof/>
          <w:sz w:val="22"/>
        </w:rPr>
      </w:pPr>
      <w:hyperlink w:anchor="_Toc131591438" w:history="1">
        <w:r w:rsidR="00052A22" w:rsidRPr="00880361">
          <w:rPr>
            <w:rStyle w:val="Hyperlink"/>
            <w:noProof/>
          </w:rPr>
          <w:t xml:space="preserve">Table 7.2.4 </w:t>
        </w:r>
        <w:r w:rsidR="00052A22">
          <w:rPr>
            <w:rFonts w:asciiTheme="minorHAnsi" w:eastAsiaTheme="minorEastAsia" w:hAnsiTheme="minorHAnsi" w:cstheme="minorBidi"/>
            <w:noProof/>
            <w:sz w:val="22"/>
          </w:rPr>
          <w:tab/>
        </w:r>
        <w:r w:rsidR="00052A22" w:rsidRPr="00880361">
          <w:rPr>
            <w:rStyle w:val="Hyperlink"/>
            <w:noProof/>
          </w:rPr>
          <w:t>Solid waste deposited to unmanaged landfills from 1950 to </w:t>
        </w:r>
        <w:r w:rsidR="00052A22" w:rsidRPr="00880361">
          <w:rPr>
            <w:rStyle w:val="Hyperlink"/>
            <w:bCs/>
            <w:noProof/>
          </w:rPr>
          <w:t>2021</w:t>
        </w:r>
        <w:r w:rsidR="00052A22">
          <w:rPr>
            <w:noProof/>
            <w:webHidden/>
          </w:rPr>
          <w:tab/>
        </w:r>
        <w:r w:rsidR="00052A22">
          <w:rPr>
            <w:noProof/>
            <w:webHidden/>
          </w:rPr>
          <w:fldChar w:fldCharType="begin"/>
        </w:r>
        <w:r w:rsidR="00052A22">
          <w:rPr>
            <w:noProof/>
            <w:webHidden/>
          </w:rPr>
          <w:instrText xml:space="preserve"> PAGEREF _Toc131591438 \h </w:instrText>
        </w:r>
        <w:r w:rsidR="00052A22">
          <w:rPr>
            <w:noProof/>
            <w:webHidden/>
          </w:rPr>
        </w:r>
        <w:r w:rsidR="00052A22">
          <w:rPr>
            <w:noProof/>
            <w:webHidden/>
          </w:rPr>
          <w:fldChar w:fldCharType="separate"/>
        </w:r>
        <w:r w:rsidR="008F39B8">
          <w:rPr>
            <w:noProof/>
            <w:webHidden/>
          </w:rPr>
          <w:t>315</w:t>
        </w:r>
        <w:r w:rsidR="00052A22">
          <w:rPr>
            <w:noProof/>
            <w:webHidden/>
          </w:rPr>
          <w:fldChar w:fldCharType="end"/>
        </w:r>
      </w:hyperlink>
    </w:p>
    <w:p w14:paraId="46F8AB89" w14:textId="2540C57A" w:rsidR="00052A22" w:rsidRDefault="007E17B8">
      <w:pPr>
        <w:pStyle w:val="TableofFigures"/>
        <w:rPr>
          <w:rFonts w:asciiTheme="minorHAnsi" w:eastAsiaTheme="minorEastAsia" w:hAnsiTheme="minorHAnsi" w:cstheme="minorBidi"/>
          <w:noProof/>
          <w:sz w:val="22"/>
        </w:rPr>
      </w:pPr>
      <w:hyperlink w:anchor="_Toc131591439" w:history="1">
        <w:r w:rsidR="00052A22" w:rsidRPr="00880361">
          <w:rPr>
            <w:rStyle w:val="Hyperlink"/>
            <w:noProof/>
          </w:rPr>
          <w:t xml:space="preserve">Table 7.2.5 </w:t>
        </w:r>
        <w:r w:rsidR="00052A22">
          <w:rPr>
            <w:rFonts w:asciiTheme="minorHAnsi" w:eastAsiaTheme="minorEastAsia" w:hAnsiTheme="minorHAnsi" w:cstheme="minorBidi"/>
            <w:noProof/>
            <w:sz w:val="22"/>
          </w:rPr>
          <w:tab/>
        </w:r>
        <w:r w:rsidR="00052A22" w:rsidRPr="00880361">
          <w:rPr>
            <w:rStyle w:val="Hyperlink"/>
            <w:noProof/>
          </w:rPr>
          <w:t>Estimated composition of waste to municipal landfills from 1950 to </w:t>
        </w:r>
        <w:r w:rsidR="00052A22" w:rsidRPr="00880361">
          <w:rPr>
            <w:rStyle w:val="Hyperlink"/>
            <w:bCs/>
            <w:noProof/>
          </w:rPr>
          <w:t>2021</w:t>
        </w:r>
        <w:r w:rsidR="00052A22">
          <w:rPr>
            <w:noProof/>
            <w:webHidden/>
          </w:rPr>
          <w:tab/>
        </w:r>
        <w:r w:rsidR="00052A22">
          <w:rPr>
            <w:noProof/>
            <w:webHidden/>
          </w:rPr>
          <w:fldChar w:fldCharType="begin"/>
        </w:r>
        <w:r w:rsidR="00052A22">
          <w:rPr>
            <w:noProof/>
            <w:webHidden/>
          </w:rPr>
          <w:instrText xml:space="preserve"> PAGEREF _Toc131591439 \h </w:instrText>
        </w:r>
        <w:r w:rsidR="00052A22">
          <w:rPr>
            <w:noProof/>
            <w:webHidden/>
          </w:rPr>
        </w:r>
        <w:r w:rsidR="00052A22">
          <w:rPr>
            <w:noProof/>
            <w:webHidden/>
          </w:rPr>
          <w:fldChar w:fldCharType="separate"/>
        </w:r>
        <w:r w:rsidR="008F39B8">
          <w:rPr>
            <w:noProof/>
            <w:webHidden/>
          </w:rPr>
          <w:t>318</w:t>
        </w:r>
        <w:r w:rsidR="00052A22">
          <w:rPr>
            <w:noProof/>
            <w:webHidden/>
          </w:rPr>
          <w:fldChar w:fldCharType="end"/>
        </w:r>
      </w:hyperlink>
    </w:p>
    <w:p w14:paraId="4CD98CE5" w14:textId="1CDD2A0F" w:rsidR="00052A22" w:rsidRDefault="007E17B8">
      <w:pPr>
        <w:pStyle w:val="TableofFigures"/>
        <w:rPr>
          <w:rFonts w:asciiTheme="minorHAnsi" w:eastAsiaTheme="minorEastAsia" w:hAnsiTheme="minorHAnsi" w:cstheme="minorBidi"/>
          <w:noProof/>
          <w:sz w:val="22"/>
        </w:rPr>
      </w:pPr>
      <w:hyperlink w:anchor="_Toc131591440" w:history="1">
        <w:r w:rsidR="00052A22" w:rsidRPr="00880361">
          <w:rPr>
            <w:rStyle w:val="Hyperlink"/>
            <w:noProof/>
          </w:rPr>
          <w:t xml:space="preserve">Table 7.2.6 </w:t>
        </w:r>
        <w:r w:rsidR="00052A22">
          <w:rPr>
            <w:rFonts w:asciiTheme="minorHAnsi" w:eastAsiaTheme="minorEastAsia" w:hAnsiTheme="minorHAnsi" w:cstheme="minorBidi"/>
            <w:noProof/>
            <w:sz w:val="22"/>
          </w:rPr>
          <w:tab/>
        </w:r>
        <w:r w:rsidR="00052A22" w:rsidRPr="00880361">
          <w:rPr>
            <w:rStyle w:val="Hyperlink"/>
            <w:noProof/>
          </w:rPr>
          <w:t>Parameters by waste type that determine the quantity and rate of methane generation</w:t>
        </w:r>
        <w:r w:rsidR="00052A22">
          <w:rPr>
            <w:noProof/>
            <w:webHidden/>
          </w:rPr>
          <w:tab/>
        </w:r>
        <w:r w:rsidR="00052A22">
          <w:rPr>
            <w:noProof/>
            <w:webHidden/>
          </w:rPr>
          <w:fldChar w:fldCharType="begin"/>
        </w:r>
        <w:r w:rsidR="00052A22">
          <w:rPr>
            <w:noProof/>
            <w:webHidden/>
          </w:rPr>
          <w:instrText xml:space="preserve"> PAGEREF _Toc131591440 \h </w:instrText>
        </w:r>
        <w:r w:rsidR="00052A22">
          <w:rPr>
            <w:noProof/>
            <w:webHidden/>
          </w:rPr>
        </w:r>
        <w:r w:rsidR="00052A22">
          <w:rPr>
            <w:noProof/>
            <w:webHidden/>
          </w:rPr>
          <w:fldChar w:fldCharType="separate"/>
        </w:r>
        <w:r w:rsidR="008F39B8">
          <w:rPr>
            <w:noProof/>
            <w:webHidden/>
          </w:rPr>
          <w:t>319</w:t>
        </w:r>
        <w:r w:rsidR="00052A22">
          <w:rPr>
            <w:noProof/>
            <w:webHidden/>
          </w:rPr>
          <w:fldChar w:fldCharType="end"/>
        </w:r>
      </w:hyperlink>
    </w:p>
    <w:p w14:paraId="50FF1D22" w14:textId="6EDBFDA6" w:rsidR="00052A22" w:rsidRDefault="007E17B8">
      <w:pPr>
        <w:pStyle w:val="TableofFigures"/>
        <w:rPr>
          <w:rFonts w:asciiTheme="minorHAnsi" w:eastAsiaTheme="minorEastAsia" w:hAnsiTheme="minorHAnsi" w:cstheme="minorBidi"/>
          <w:noProof/>
          <w:sz w:val="22"/>
        </w:rPr>
      </w:pPr>
      <w:hyperlink w:anchor="_Toc131591441" w:history="1">
        <w:r w:rsidR="00052A22" w:rsidRPr="00880361">
          <w:rPr>
            <w:rStyle w:val="Hyperlink"/>
            <w:noProof/>
          </w:rPr>
          <w:t xml:space="preserve">Table 7.2.7 </w:t>
        </w:r>
        <w:r w:rsidR="00052A22">
          <w:rPr>
            <w:rFonts w:asciiTheme="minorHAnsi" w:eastAsiaTheme="minorEastAsia" w:hAnsiTheme="minorHAnsi" w:cstheme="minorBidi"/>
            <w:noProof/>
            <w:sz w:val="22"/>
          </w:rPr>
          <w:tab/>
        </w:r>
        <w:r w:rsidR="00052A22" w:rsidRPr="00880361">
          <w:rPr>
            <w:rStyle w:val="Hyperlink"/>
            <w:noProof/>
          </w:rPr>
          <w:t>Summary of parameters for municipal landfills</w:t>
        </w:r>
        <w:r w:rsidR="00052A22">
          <w:rPr>
            <w:noProof/>
            <w:webHidden/>
          </w:rPr>
          <w:tab/>
        </w:r>
        <w:r w:rsidR="00052A22">
          <w:rPr>
            <w:noProof/>
            <w:webHidden/>
          </w:rPr>
          <w:fldChar w:fldCharType="begin"/>
        </w:r>
        <w:r w:rsidR="00052A22">
          <w:rPr>
            <w:noProof/>
            <w:webHidden/>
          </w:rPr>
          <w:instrText xml:space="preserve"> PAGEREF _Toc131591441 \h </w:instrText>
        </w:r>
        <w:r w:rsidR="00052A22">
          <w:rPr>
            <w:noProof/>
            <w:webHidden/>
          </w:rPr>
        </w:r>
        <w:r w:rsidR="00052A22">
          <w:rPr>
            <w:noProof/>
            <w:webHidden/>
          </w:rPr>
          <w:fldChar w:fldCharType="separate"/>
        </w:r>
        <w:r w:rsidR="008F39B8">
          <w:rPr>
            <w:noProof/>
            <w:webHidden/>
          </w:rPr>
          <w:t>320</w:t>
        </w:r>
        <w:r w:rsidR="00052A22">
          <w:rPr>
            <w:noProof/>
            <w:webHidden/>
          </w:rPr>
          <w:fldChar w:fldCharType="end"/>
        </w:r>
      </w:hyperlink>
    </w:p>
    <w:p w14:paraId="660D896D" w14:textId="4A1C0638" w:rsidR="00052A22" w:rsidRDefault="007E17B8">
      <w:pPr>
        <w:pStyle w:val="TableofFigures"/>
        <w:rPr>
          <w:rFonts w:asciiTheme="minorHAnsi" w:eastAsiaTheme="minorEastAsia" w:hAnsiTheme="minorHAnsi" w:cstheme="minorBidi"/>
          <w:noProof/>
          <w:sz w:val="22"/>
        </w:rPr>
      </w:pPr>
      <w:hyperlink w:anchor="_Toc131591442" w:history="1">
        <w:r w:rsidR="00052A22" w:rsidRPr="00880361">
          <w:rPr>
            <w:rStyle w:val="Hyperlink"/>
            <w:noProof/>
          </w:rPr>
          <w:t xml:space="preserve">Table 7.2.8 </w:t>
        </w:r>
        <w:r w:rsidR="00052A22">
          <w:rPr>
            <w:rFonts w:asciiTheme="minorHAnsi" w:eastAsiaTheme="minorEastAsia" w:hAnsiTheme="minorHAnsi" w:cstheme="minorBidi"/>
            <w:noProof/>
            <w:sz w:val="22"/>
          </w:rPr>
          <w:tab/>
        </w:r>
        <w:r w:rsidR="00052A22" w:rsidRPr="00880361">
          <w:rPr>
            <w:rStyle w:val="Hyperlink"/>
            <w:noProof/>
          </w:rPr>
          <w:t>Summary of parameters for non-municipal landfills and farm fills</w:t>
        </w:r>
        <w:r w:rsidR="00052A22">
          <w:rPr>
            <w:noProof/>
            <w:webHidden/>
          </w:rPr>
          <w:tab/>
        </w:r>
        <w:r w:rsidR="00052A22">
          <w:rPr>
            <w:noProof/>
            <w:webHidden/>
          </w:rPr>
          <w:fldChar w:fldCharType="begin"/>
        </w:r>
        <w:r w:rsidR="00052A22">
          <w:rPr>
            <w:noProof/>
            <w:webHidden/>
          </w:rPr>
          <w:instrText xml:space="preserve"> PAGEREF _Toc131591442 \h </w:instrText>
        </w:r>
        <w:r w:rsidR="00052A22">
          <w:rPr>
            <w:noProof/>
            <w:webHidden/>
          </w:rPr>
        </w:r>
        <w:r w:rsidR="00052A22">
          <w:rPr>
            <w:noProof/>
            <w:webHidden/>
          </w:rPr>
          <w:fldChar w:fldCharType="separate"/>
        </w:r>
        <w:r w:rsidR="008F39B8">
          <w:rPr>
            <w:noProof/>
            <w:webHidden/>
          </w:rPr>
          <w:t>321</w:t>
        </w:r>
        <w:r w:rsidR="00052A22">
          <w:rPr>
            <w:noProof/>
            <w:webHidden/>
          </w:rPr>
          <w:fldChar w:fldCharType="end"/>
        </w:r>
      </w:hyperlink>
    </w:p>
    <w:p w14:paraId="305DFFE7" w14:textId="76B2931C" w:rsidR="00052A22" w:rsidRDefault="007E17B8">
      <w:pPr>
        <w:pStyle w:val="TableofFigures"/>
        <w:rPr>
          <w:rFonts w:asciiTheme="minorHAnsi" w:eastAsiaTheme="minorEastAsia" w:hAnsiTheme="minorHAnsi" w:cstheme="minorBidi"/>
          <w:noProof/>
          <w:sz w:val="22"/>
        </w:rPr>
      </w:pPr>
      <w:hyperlink w:anchor="_Toc131591443" w:history="1">
        <w:r w:rsidR="00052A22" w:rsidRPr="00880361">
          <w:rPr>
            <w:rStyle w:val="Hyperlink"/>
            <w:noProof/>
          </w:rPr>
          <w:t xml:space="preserve">Table 7.2.9 </w:t>
        </w:r>
        <w:r w:rsidR="00052A22">
          <w:rPr>
            <w:rFonts w:asciiTheme="minorHAnsi" w:eastAsiaTheme="minorEastAsia" w:hAnsiTheme="minorHAnsi" w:cstheme="minorBidi"/>
            <w:noProof/>
            <w:sz w:val="22"/>
          </w:rPr>
          <w:tab/>
        </w:r>
        <w:r w:rsidR="00052A22" w:rsidRPr="00880361">
          <w:rPr>
            <w:rStyle w:val="Hyperlink"/>
            <w:noProof/>
          </w:rPr>
          <w:t xml:space="preserve">Uncertainty in emissions from </w:t>
        </w:r>
        <w:r w:rsidR="00052A22" w:rsidRPr="00880361">
          <w:rPr>
            <w:rStyle w:val="Hyperlink"/>
            <w:i/>
            <w:iCs/>
            <w:noProof/>
          </w:rPr>
          <w:t>Solid waste disposal</w:t>
        </w:r>
        <w:r w:rsidR="00052A22">
          <w:rPr>
            <w:noProof/>
            <w:webHidden/>
          </w:rPr>
          <w:tab/>
        </w:r>
        <w:r w:rsidR="00052A22">
          <w:rPr>
            <w:noProof/>
            <w:webHidden/>
          </w:rPr>
          <w:fldChar w:fldCharType="begin"/>
        </w:r>
        <w:r w:rsidR="00052A22">
          <w:rPr>
            <w:noProof/>
            <w:webHidden/>
          </w:rPr>
          <w:instrText xml:space="preserve"> PAGEREF _Toc131591443 \h </w:instrText>
        </w:r>
        <w:r w:rsidR="00052A22">
          <w:rPr>
            <w:noProof/>
            <w:webHidden/>
          </w:rPr>
        </w:r>
        <w:r w:rsidR="00052A22">
          <w:rPr>
            <w:noProof/>
            <w:webHidden/>
          </w:rPr>
          <w:fldChar w:fldCharType="separate"/>
        </w:r>
        <w:r w:rsidR="008F39B8">
          <w:rPr>
            <w:noProof/>
            <w:webHidden/>
          </w:rPr>
          <w:t>322</w:t>
        </w:r>
        <w:r w:rsidR="00052A22">
          <w:rPr>
            <w:noProof/>
            <w:webHidden/>
          </w:rPr>
          <w:fldChar w:fldCharType="end"/>
        </w:r>
      </w:hyperlink>
    </w:p>
    <w:p w14:paraId="212F0A93" w14:textId="31F33B86" w:rsidR="00052A22" w:rsidRDefault="007E17B8">
      <w:pPr>
        <w:pStyle w:val="TableofFigures"/>
        <w:rPr>
          <w:rFonts w:asciiTheme="minorHAnsi" w:eastAsiaTheme="minorEastAsia" w:hAnsiTheme="minorHAnsi" w:cstheme="minorBidi"/>
          <w:noProof/>
          <w:sz w:val="22"/>
        </w:rPr>
      </w:pPr>
      <w:hyperlink w:anchor="_Toc131591444" w:history="1">
        <w:r w:rsidR="00052A22" w:rsidRPr="00880361">
          <w:rPr>
            <w:rStyle w:val="Hyperlink"/>
            <w:noProof/>
          </w:rPr>
          <w:t xml:space="preserve">Table 7.3.1 </w:t>
        </w:r>
        <w:r w:rsidR="00052A22">
          <w:rPr>
            <w:rFonts w:asciiTheme="minorHAnsi" w:eastAsiaTheme="minorEastAsia" w:hAnsiTheme="minorHAnsi" w:cstheme="minorBidi"/>
            <w:noProof/>
            <w:sz w:val="22"/>
          </w:rPr>
          <w:tab/>
        </w:r>
        <w:r w:rsidR="00052A22" w:rsidRPr="00880361">
          <w:rPr>
            <w:rStyle w:val="Hyperlink"/>
            <w:noProof/>
          </w:rPr>
          <w:t>Emission factors applied to estimate emissions from composting</w:t>
        </w:r>
        <w:r w:rsidR="00052A22">
          <w:rPr>
            <w:noProof/>
            <w:webHidden/>
          </w:rPr>
          <w:tab/>
        </w:r>
        <w:r w:rsidR="00052A22">
          <w:rPr>
            <w:noProof/>
            <w:webHidden/>
          </w:rPr>
          <w:fldChar w:fldCharType="begin"/>
        </w:r>
        <w:r w:rsidR="00052A22">
          <w:rPr>
            <w:noProof/>
            <w:webHidden/>
          </w:rPr>
          <w:instrText xml:space="preserve"> PAGEREF _Toc131591444 \h </w:instrText>
        </w:r>
        <w:r w:rsidR="00052A22">
          <w:rPr>
            <w:noProof/>
            <w:webHidden/>
          </w:rPr>
        </w:r>
        <w:r w:rsidR="00052A22">
          <w:rPr>
            <w:noProof/>
            <w:webHidden/>
          </w:rPr>
          <w:fldChar w:fldCharType="separate"/>
        </w:r>
        <w:r w:rsidR="008F39B8">
          <w:rPr>
            <w:noProof/>
            <w:webHidden/>
          </w:rPr>
          <w:t>324</w:t>
        </w:r>
        <w:r w:rsidR="00052A22">
          <w:rPr>
            <w:noProof/>
            <w:webHidden/>
          </w:rPr>
          <w:fldChar w:fldCharType="end"/>
        </w:r>
      </w:hyperlink>
    </w:p>
    <w:p w14:paraId="24B57216" w14:textId="287DAE4B" w:rsidR="00052A22" w:rsidRDefault="007E17B8">
      <w:pPr>
        <w:pStyle w:val="TableofFigures"/>
        <w:rPr>
          <w:rFonts w:asciiTheme="minorHAnsi" w:eastAsiaTheme="minorEastAsia" w:hAnsiTheme="minorHAnsi" w:cstheme="minorBidi"/>
          <w:noProof/>
          <w:sz w:val="22"/>
        </w:rPr>
      </w:pPr>
      <w:hyperlink w:anchor="_Toc131591445" w:history="1">
        <w:r w:rsidR="00052A22" w:rsidRPr="00880361">
          <w:rPr>
            <w:rStyle w:val="Hyperlink"/>
            <w:noProof/>
          </w:rPr>
          <w:t xml:space="preserve">Table 7.3.2 </w:t>
        </w:r>
        <w:r w:rsidR="00052A22">
          <w:rPr>
            <w:rFonts w:asciiTheme="minorHAnsi" w:eastAsiaTheme="minorEastAsia" w:hAnsiTheme="minorHAnsi" w:cstheme="minorBidi"/>
            <w:noProof/>
            <w:sz w:val="22"/>
          </w:rPr>
          <w:tab/>
        </w:r>
        <w:r w:rsidR="00052A22" w:rsidRPr="00880361">
          <w:rPr>
            <w:rStyle w:val="Hyperlink"/>
            <w:noProof/>
          </w:rPr>
          <w:t>Uncertainty in emissions from composting</w:t>
        </w:r>
        <w:r w:rsidR="00052A22">
          <w:rPr>
            <w:noProof/>
            <w:webHidden/>
          </w:rPr>
          <w:tab/>
        </w:r>
        <w:r w:rsidR="00052A22">
          <w:rPr>
            <w:noProof/>
            <w:webHidden/>
          </w:rPr>
          <w:fldChar w:fldCharType="begin"/>
        </w:r>
        <w:r w:rsidR="00052A22">
          <w:rPr>
            <w:noProof/>
            <w:webHidden/>
          </w:rPr>
          <w:instrText xml:space="preserve"> PAGEREF _Toc131591445 \h </w:instrText>
        </w:r>
        <w:r w:rsidR="00052A22">
          <w:rPr>
            <w:noProof/>
            <w:webHidden/>
          </w:rPr>
        </w:r>
        <w:r w:rsidR="00052A22">
          <w:rPr>
            <w:noProof/>
            <w:webHidden/>
          </w:rPr>
          <w:fldChar w:fldCharType="separate"/>
        </w:r>
        <w:r w:rsidR="008F39B8">
          <w:rPr>
            <w:noProof/>
            <w:webHidden/>
          </w:rPr>
          <w:t>324</w:t>
        </w:r>
        <w:r w:rsidR="00052A22">
          <w:rPr>
            <w:noProof/>
            <w:webHidden/>
          </w:rPr>
          <w:fldChar w:fldCharType="end"/>
        </w:r>
      </w:hyperlink>
    </w:p>
    <w:p w14:paraId="5FE670CF" w14:textId="68E01EE2" w:rsidR="00052A22" w:rsidRDefault="007E17B8">
      <w:pPr>
        <w:pStyle w:val="TableofFigures"/>
        <w:rPr>
          <w:rFonts w:asciiTheme="minorHAnsi" w:eastAsiaTheme="minorEastAsia" w:hAnsiTheme="minorHAnsi" w:cstheme="minorBidi"/>
          <w:noProof/>
          <w:sz w:val="22"/>
        </w:rPr>
      </w:pPr>
      <w:hyperlink w:anchor="_Toc131591446" w:history="1">
        <w:r w:rsidR="00052A22" w:rsidRPr="00880361">
          <w:rPr>
            <w:rStyle w:val="Hyperlink"/>
            <w:noProof/>
          </w:rPr>
          <w:t xml:space="preserve">Table 7.4.1 </w:t>
        </w:r>
        <w:r w:rsidR="00052A22">
          <w:rPr>
            <w:rFonts w:asciiTheme="minorHAnsi" w:eastAsiaTheme="minorEastAsia" w:hAnsiTheme="minorHAnsi" w:cstheme="minorBidi"/>
            <w:noProof/>
            <w:sz w:val="22"/>
          </w:rPr>
          <w:tab/>
        </w:r>
        <w:r w:rsidR="00052A22" w:rsidRPr="00880361">
          <w:rPr>
            <w:rStyle w:val="Hyperlink"/>
            <w:noProof/>
          </w:rPr>
          <w:t>Emissions from Incineration and open burning of waste (5.C)</w:t>
        </w:r>
        <w:r w:rsidR="00052A22">
          <w:rPr>
            <w:noProof/>
            <w:webHidden/>
          </w:rPr>
          <w:tab/>
        </w:r>
        <w:r w:rsidR="00052A22">
          <w:rPr>
            <w:noProof/>
            <w:webHidden/>
          </w:rPr>
          <w:fldChar w:fldCharType="begin"/>
        </w:r>
        <w:r w:rsidR="00052A22">
          <w:rPr>
            <w:noProof/>
            <w:webHidden/>
          </w:rPr>
          <w:instrText xml:space="preserve"> PAGEREF _Toc131591446 \h </w:instrText>
        </w:r>
        <w:r w:rsidR="00052A22">
          <w:rPr>
            <w:noProof/>
            <w:webHidden/>
          </w:rPr>
        </w:r>
        <w:r w:rsidR="00052A22">
          <w:rPr>
            <w:noProof/>
            <w:webHidden/>
          </w:rPr>
          <w:fldChar w:fldCharType="separate"/>
        </w:r>
        <w:r w:rsidR="008F39B8">
          <w:rPr>
            <w:noProof/>
            <w:webHidden/>
          </w:rPr>
          <w:t>326</w:t>
        </w:r>
        <w:r w:rsidR="00052A22">
          <w:rPr>
            <w:noProof/>
            <w:webHidden/>
          </w:rPr>
          <w:fldChar w:fldCharType="end"/>
        </w:r>
      </w:hyperlink>
    </w:p>
    <w:p w14:paraId="2682A598" w14:textId="1CBB5DD8" w:rsidR="00052A22" w:rsidRDefault="007E17B8">
      <w:pPr>
        <w:pStyle w:val="TableofFigures"/>
        <w:rPr>
          <w:rFonts w:asciiTheme="minorHAnsi" w:eastAsiaTheme="minorEastAsia" w:hAnsiTheme="minorHAnsi" w:cstheme="minorBidi"/>
          <w:noProof/>
          <w:sz w:val="22"/>
        </w:rPr>
      </w:pPr>
      <w:hyperlink w:anchor="_Toc131591447" w:history="1">
        <w:r w:rsidR="00052A22" w:rsidRPr="00880361">
          <w:rPr>
            <w:rStyle w:val="Hyperlink"/>
            <w:noProof/>
          </w:rPr>
          <w:t xml:space="preserve">Table 7.4.2 </w:t>
        </w:r>
        <w:r w:rsidR="00052A22">
          <w:rPr>
            <w:rFonts w:asciiTheme="minorHAnsi" w:eastAsiaTheme="minorEastAsia" w:hAnsiTheme="minorHAnsi" w:cstheme="minorBidi"/>
            <w:noProof/>
            <w:sz w:val="22"/>
          </w:rPr>
          <w:tab/>
        </w:r>
        <w:r w:rsidR="00052A22" w:rsidRPr="00880361">
          <w:rPr>
            <w:rStyle w:val="Hyperlink"/>
            <w:noProof/>
          </w:rPr>
          <w:t xml:space="preserve">Amounts of waste incinerated from </w:t>
        </w:r>
        <w:r w:rsidR="00052A22" w:rsidRPr="00880361">
          <w:rPr>
            <w:rStyle w:val="Hyperlink"/>
            <w:bCs/>
            <w:noProof/>
          </w:rPr>
          <w:t>1990</w:t>
        </w:r>
        <w:r w:rsidR="00052A22" w:rsidRPr="00880361">
          <w:rPr>
            <w:rStyle w:val="Hyperlink"/>
            <w:noProof/>
          </w:rPr>
          <w:t> to </w:t>
        </w:r>
        <w:r w:rsidR="00052A22" w:rsidRPr="00880361">
          <w:rPr>
            <w:rStyle w:val="Hyperlink"/>
            <w:bCs/>
            <w:noProof/>
          </w:rPr>
          <w:t>2021</w:t>
        </w:r>
        <w:r w:rsidR="00052A22">
          <w:rPr>
            <w:noProof/>
            <w:webHidden/>
          </w:rPr>
          <w:tab/>
        </w:r>
        <w:r w:rsidR="00052A22">
          <w:rPr>
            <w:noProof/>
            <w:webHidden/>
          </w:rPr>
          <w:fldChar w:fldCharType="begin"/>
        </w:r>
        <w:r w:rsidR="00052A22">
          <w:rPr>
            <w:noProof/>
            <w:webHidden/>
          </w:rPr>
          <w:instrText xml:space="preserve"> PAGEREF _Toc131591447 \h </w:instrText>
        </w:r>
        <w:r w:rsidR="00052A22">
          <w:rPr>
            <w:noProof/>
            <w:webHidden/>
          </w:rPr>
        </w:r>
        <w:r w:rsidR="00052A22">
          <w:rPr>
            <w:noProof/>
            <w:webHidden/>
          </w:rPr>
          <w:fldChar w:fldCharType="separate"/>
        </w:r>
        <w:r w:rsidR="008F39B8">
          <w:rPr>
            <w:noProof/>
            <w:webHidden/>
          </w:rPr>
          <w:t>326</w:t>
        </w:r>
        <w:r w:rsidR="00052A22">
          <w:rPr>
            <w:noProof/>
            <w:webHidden/>
          </w:rPr>
          <w:fldChar w:fldCharType="end"/>
        </w:r>
      </w:hyperlink>
    </w:p>
    <w:p w14:paraId="7D177D60" w14:textId="714E4269" w:rsidR="00052A22" w:rsidRDefault="007E17B8">
      <w:pPr>
        <w:pStyle w:val="TableofFigures"/>
        <w:rPr>
          <w:rFonts w:asciiTheme="minorHAnsi" w:eastAsiaTheme="minorEastAsia" w:hAnsiTheme="minorHAnsi" w:cstheme="minorBidi"/>
          <w:noProof/>
          <w:sz w:val="22"/>
        </w:rPr>
      </w:pPr>
      <w:hyperlink w:anchor="_Toc131591448" w:history="1">
        <w:r w:rsidR="00052A22" w:rsidRPr="00880361">
          <w:rPr>
            <w:rStyle w:val="Hyperlink"/>
            <w:noProof/>
          </w:rPr>
          <w:t xml:space="preserve">Table 7.4.3 </w:t>
        </w:r>
        <w:r w:rsidR="00052A22">
          <w:rPr>
            <w:rFonts w:asciiTheme="minorHAnsi" w:eastAsiaTheme="minorEastAsia" w:hAnsiTheme="minorHAnsi" w:cstheme="minorBidi"/>
            <w:noProof/>
            <w:sz w:val="22"/>
          </w:rPr>
          <w:tab/>
        </w:r>
        <w:r w:rsidR="00052A22" w:rsidRPr="00880361">
          <w:rPr>
            <w:rStyle w:val="Hyperlink"/>
            <w:noProof/>
          </w:rPr>
          <w:t>Values applied to estimate carbon dioxide emissions from open burning of rural waste</w:t>
        </w:r>
        <w:r w:rsidR="00052A22">
          <w:rPr>
            <w:noProof/>
            <w:webHidden/>
          </w:rPr>
          <w:tab/>
        </w:r>
        <w:r w:rsidR="00052A22">
          <w:rPr>
            <w:noProof/>
            <w:webHidden/>
          </w:rPr>
          <w:fldChar w:fldCharType="begin"/>
        </w:r>
        <w:r w:rsidR="00052A22">
          <w:rPr>
            <w:noProof/>
            <w:webHidden/>
          </w:rPr>
          <w:instrText xml:space="preserve"> PAGEREF _Toc131591448 \h </w:instrText>
        </w:r>
        <w:r w:rsidR="00052A22">
          <w:rPr>
            <w:noProof/>
            <w:webHidden/>
          </w:rPr>
        </w:r>
        <w:r w:rsidR="00052A22">
          <w:rPr>
            <w:noProof/>
            <w:webHidden/>
          </w:rPr>
          <w:fldChar w:fldCharType="separate"/>
        </w:r>
        <w:r w:rsidR="008F39B8">
          <w:rPr>
            <w:noProof/>
            <w:webHidden/>
          </w:rPr>
          <w:t>328</w:t>
        </w:r>
        <w:r w:rsidR="00052A22">
          <w:rPr>
            <w:noProof/>
            <w:webHidden/>
          </w:rPr>
          <w:fldChar w:fldCharType="end"/>
        </w:r>
      </w:hyperlink>
    </w:p>
    <w:p w14:paraId="0931BED2" w14:textId="31D81A83" w:rsidR="00052A22" w:rsidRDefault="007E17B8">
      <w:pPr>
        <w:pStyle w:val="TableofFigures"/>
        <w:rPr>
          <w:rFonts w:asciiTheme="minorHAnsi" w:eastAsiaTheme="minorEastAsia" w:hAnsiTheme="minorHAnsi" w:cstheme="minorBidi"/>
          <w:noProof/>
          <w:sz w:val="22"/>
        </w:rPr>
      </w:pPr>
      <w:hyperlink w:anchor="_Toc131591449" w:history="1">
        <w:r w:rsidR="00052A22" w:rsidRPr="00880361">
          <w:rPr>
            <w:rStyle w:val="Hyperlink"/>
            <w:noProof/>
          </w:rPr>
          <w:t xml:space="preserve">Table 7.4.4 </w:t>
        </w:r>
        <w:r w:rsidR="00052A22">
          <w:rPr>
            <w:rFonts w:asciiTheme="minorHAnsi" w:eastAsiaTheme="minorEastAsia" w:hAnsiTheme="minorHAnsi" w:cstheme="minorBidi"/>
            <w:noProof/>
            <w:sz w:val="22"/>
          </w:rPr>
          <w:tab/>
        </w:r>
        <w:r w:rsidR="00052A22" w:rsidRPr="00880361">
          <w:rPr>
            <w:rStyle w:val="Hyperlink"/>
            <w:noProof/>
          </w:rPr>
          <w:t>Parameter values applied to estimate emissions from incineration</w:t>
        </w:r>
        <w:r w:rsidR="00052A22">
          <w:rPr>
            <w:noProof/>
            <w:webHidden/>
          </w:rPr>
          <w:tab/>
        </w:r>
        <w:r w:rsidR="00052A22">
          <w:rPr>
            <w:noProof/>
            <w:webHidden/>
          </w:rPr>
          <w:fldChar w:fldCharType="begin"/>
        </w:r>
        <w:r w:rsidR="00052A22">
          <w:rPr>
            <w:noProof/>
            <w:webHidden/>
          </w:rPr>
          <w:instrText xml:space="preserve"> PAGEREF _Toc131591449 \h </w:instrText>
        </w:r>
        <w:r w:rsidR="00052A22">
          <w:rPr>
            <w:noProof/>
            <w:webHidden/>
          </w:rPr>
        </w:r>
        <w:r w:rsidR="00052A22">
          <w:rPr>
            <w:noProof/>
            <w:webHidden/>
          </w:rPr>
          <w:fldChar w:fldCharType="separate"/>
        </w:r>
        <w:r w:rsidR="008F39B8">
          <w:rPr>
            <w:noProof/>
            <w:webHidden/>
          </w:rPr>
          <w:t>328</w:t>
        </w:r>
        <w:r w:rsidR="00052A22">
          <w:rPr>
            <w:noProof/>
            <w:webHidden/>
          </w:rPr>
          <w:fldChar w:fldCharType="end"/>
        </w:r>
      </w:hyperlink>
    </w:p>
    <w:p w14:paraId="547223FA" w14:textId="5CDC3D31" w:rsidR="00052A22" w:rsidRDefault="007E17B8">
      <w:pPr>
        <w:pStyle w:val="TableofFigures"/>
        <w:rPr>
          <w:rFonts w:asciiTheme="minorHAnsi" w:eastAsiaTheme="minorEastAsia" w:hAnsiTheme="minorHAnsi" w:cstheme="minorBidi"/>
          <w:noProof/>
          <w:sz w:val="22"/>
        </w:rPr>
      </w:pPr>
      <w:hyperlink w:anchor="_Toc131591450" w:history="1">
        <w:r w:rsidR="00052A22" w:rsidRPr="00880361">
          <w:rPr>
            <w:rStyle w:val="Hyperlink"/>
            <w:noProof/>
          </w:rPr>
          <w:t xml:space="preserve">Table 7.4.5 </w:t>
        </w:r>
        <w:r w:rsidR="00052A22">
          <w:rPr>
            <w:rFonts w:asciiTheme="minorHAnsi" w:eastAsiaTheme="minorEastAsia" w:hAnsiTheme="minorHAnsi" w:cstheme="minorBidi"/>
            <w:noProof/>
            <w:sz w:val="22"/>
          </w:rPr>
          <w:tab/>
        </w:r>
        <w:r w:rsidR="00052A22" w:rsidRPr="00880361">
          <w:rPr>
            <w:rStyle w:val="Hyperlink"/>
            <w:noProof/>
          </w:rPr>
          <w:t>Parameters used to estimate emissions from open burning</w:t>
        </w:r>
        <w:r w:rsidR="00052A22">
          <w:rPr>
            <w:noProof/>
            <w:webHidden/>
          </w:rPr>
          <w:tab/>
        </w:r>
        <w:r w:rsidR="00052A22">
          <w:rPr>
            <w:noProof/>
            <w:webHidden/>
          </w:rPr>
          <w:fldChar w:fldCharType="begin"/>
        </w:r>
        <w:r w:rsidR="00052A22">
          <w:rPr>
            <w:noProof/>
            <w:webHidden/>
          </w:rPr>
          <w:instrText xml:space="preserve"> PAGEREF _Toc131591450 \h </w:instrText>
        </w:r>
        <w:r w:rsidR="00052A22">
          <w:rPr>
            <w:noProof/>
            <w:webHidden/>
          </w:rPr>
        </w:r>
        <w:r w:rsidR="00052A22">
          <w:rPr>
            <w:noProof/>
            <w:webHidden/>
          </w:rPr>
          <w:fldChar w:fldCharType="separate"/>
        </w:r>
        <w:r w:rsidR="008F39B8">
          <w:rPr>
            <w:noProof/>
            <w:webHidden/>
          </w:rPr>
          <w:t>329</w:t>
        </w:r>
        <w:r w:rsidR="00052A22">
          <w:rPr>
            <w:noProof/>
            <w:webHidden/>
          </w:rPr>
          <w:fldChar w:fldCharType="end"/>
        </w:r>
      </w:hyperlink>
    </w:p>
    <w:p w14:paraId="39DB15AC" w14:textId="768DAD8C" w:rsidR="00052A22" w:rsidRDefault="007E17B8">
      <w:pPr>
        <w:pStyle w:val="TableofFigures"/>
        <w:rPr>
          <w:rFonts w:asciiTheme="minorHAnsi" w:eastAsiaTheme="minorEastAsia" w:hAnsiTheme="minorHAnsi" w:cstheme="minorBidi"/>
          <w:noProof/>
          <w:sz w:val="22"/>
        </w:rPr>
      </w:pPr>
      <w:hyperlink w:anchor="_Toc131591451" w:history="1">
        <w:r w:rsidR="00052A22" w:rsidRPr="00880361">
          <w:rPr>
            <w:rStyle w:val="Hyperlink"/>
            <w:noProof/>
          </w:rPr>
          <w:t xml:space="preserve">Table 7.4.6 </w:t>
        </w:r>
        <w:r w:rsidR="00052A22">
          <w:rPr>
            <w:rFonts w:asciiTheme="minorHAnsi" w:eastAsiaTheme="minorEastAsia" w:hAnsiTheme="minorHAnsi" w:cstheme="minorBidi"/>
            <w:noProof/>
            <w:sz w:val="22"/>
          </w:rPr>
          <w:tab/>
        </w:r>
        <w:r w:rsidR="00052A22" w:rsidRPr="00880361">
          <w:rPr>
            <w:rStyle w:val="Hyperlink"/>
            <w:noProof/>
          </w:rPr>
          <w:t xml:space="preserve">Uncertainty in emissions from </w:t>
        </w:r>
        <w:r w:rsidR="00052A22" w:rsidRPr="00880361">
          <w:rPr>
            <w:rStyle w:val="Hyperlink"/>
            <w:i/>
            <w:iCs/>
            <w:noProof/>
          </w:rPr>
          <w:t>Incineration and open burning of waste</w:t>
        </w:r>
        <w:r w:rsidR="00052A22">
          <w:rPr>
            <w:noProof/>
            <w:webHidden/>
          </w:rPr>
          <w:tab/>
        </w:r>
        <w:r w:rsidR="00052A22">
          <w:rPr>
            <w:noProof/>
            <w:webHidden/>
          </w:rPr>
          <w:fldChar w:fldCharType="begin"/>
        </w:r>
        <w:r w:rsidR="00052A22">
          <w:rPr>
            <w:noProof/>
            <w:webHidden/>
          </w:rPr>
          <w:instrText xml:space="preserve"> PAGEREF _Toc131591451 \h </w:instrText>
        </w:r>
        <w:r w:rsidR="00052A22">
          <w:rPr>
            <w:noProof/>
            <w:webHidden/>
          </w:rPr>
        </w:r>
        <w:r w:rsidR="00052A22">
          <w:rPr>
            <w:noProof/>
            <w:webHidden/>
          </w:rPr>
          <w:fldChar w:fldCharType="separate"/>
        </w:r>
        <w:r w:rsidR="008F39B8">
          <w:rPr>
            <w:noProof/>
            <w:webHidden/>
          </w:rPr>
          <w:t>330</w:t>
        </w:r>
        <w:r w:rsidR="00052A22">
          <w:rPr>
            <w:noProof/>
            <w:webHidden/>
          </w:rPr>
          <w:fldChar w:fldCharType="end"/>
        </w:r>
      </w:hyperlink>
    </w:p>
    <w:p w14:paraId="24DB37E2" w14:textId="423AA003" w:rsidR="00052A22" w:rsidRDefault="007E17B8">
      <w:pPr>
        <w:pStyle w:val="TableofFigures"/>
        <w:rPr>
          <w:rFonts w:asciiTheme="minorHAnsi" w:eastAsiaTheme="minorEastAsia" w:hAnsiTheme="minorHAnsi" w:cstheme="minorBidi"/>
          <w:noProof/>
          <w:sz w:val="22"/>
        </w:rPr>
      </w:pPr>
      <w:hyperlink w:anchor="_Toc131591452" w:history="1">
        <w:r w:rsidR="00052A22" w:rsidRPr="00880361">
          <w:rPr>
            <w:rStyle w:val="Hyperlink"/>
            <w:noProof/>
          </w:rPr>
          <w:t xml:space="preserve">Table 7.5.1 </w:t>
        </w:r>
        <w:r w:rsidR="00052A22">
          <w:rPr>
            <w:rFonts w:asciiTheme="minorHAnsi" w:eastAsiaTheme="minorEastAsia" w:hAnsiTheme="minorHAnsi" w:cstheme="minorBidi"/>
            <w:noProof/>
            <w:sz w:val="22"/>
          </w:rPr>
          <w:tab/>
        </w:r>
        <w:r w:rsidR="00052A22" w:rsidRPr="00880361">
          <w:rPr>
            <w:rStyle w:val="Hyperlink"/>
            <w:noProof/>
          </w:rPr>
          <w:t xml:space="preserve">Emissions from </w:t>
        </w:r>
        <w:r w:rsidR="00052A22" w:rsidRPr="00880361">
          <w:rPr>
            <w:rStyle w:val="Hyperlink"/>
            <w:i/>
            <w:iCs/>
            <w:noProof/>
          </w:rPr>
          <w:t>Wastewater treatment and discharge</w:t>
        </w:r>
        <w:r w:rsidR="00052A22" w:rsidRPr="00880361">
          <w:rPr>
            <w:rStyle w:val="Hyperlink"/>
            <w:noProof/>
          </w:rPr>
          <w:t xml:space="preserve"> (5.D)</w:t>
        </w:r>
        <w:r w:rsidR="00052A22">
          <w:rPr>
            <w:noProof/>
            <w:webHidden/>
          </w:rPr>
          <w:tab/>
        </w:r>
        <w:r w:rsidR="00052A22">
          <w:rPr>
            <w:noProof/>
            <w:webHidden/>
          </w:rPr>
          <w:fldChar w:fldCharType="begin"/>
        </w:r>
        <w:r w:rsidR="00052A22">
          <w:rPr>
            <w:noProof/>
            <w:webHidden/>
          </w:rPr>
          <w:instrText xml:space="preserve"> PAGEREF _Toc131591452 \h </w:instrText>
        </w:r>
        <w:r w:rsidR="00052A22">
          <w:rPr>
            <w:noProof/>
            <w:webHidden/>
          </w:rPr>
        </w:r>
        <w:r w:rsidR="00052A22">
          <w:rPr>
            <w:noProof/>
            <w:webHidden/>
          </w:rPr>
          <w:fldChar w:fldCharType="separate"/>
        </w:r>
        <w:r w:rsidR="008F39B8">
          <w:rPr>
            <w:noProof/>
            <w:webHidden/>
          </w:rPr>
          <w:t>331</w:t>
        </w:r>
        <w:r w:rsidR="00052A22">
          <w:rPr>
            <w:noProof/>
            <w:webHidden/>
          </w:rPr>
          <w:fldChar w:fldCharType="end"/>
        </w:r>
      </w:hyperlink>
    </w:p>
    <w:p w14:paraId="08FBAF1F" w14:textId="0F01E8D2" w:rsidR="00052A22" w:rsidRDefault="007E17B8">
      <w:pPr>
        <w:pStyle w:val="TableofFigures"/>
        <w:rPr>
          <w:rFonts w:asciiTheme="minorHAnsi" w:eastAsiaTheme="minorEastAsia" w:hAnsiTheme="minorHAnsi" w:cstheme="minorBidi"/>
          <w:noProof/>
          <w:sz w:val="22"/>
        </w:rPr>
      </w:pPr>
      <w:hyperlink w:anchor="_Toc131591453" w:history="1">
        <w:r w:rsidR="00052A22" w:rsidRPr="00880361">
          <w:rPr>
            <w:rStyle w:val="Hyperlink"/>
            <w:noProof/>
          </w:rPr>
          <w:t xml:space="preserve">Table 7.5.2 </w:t>
        </w:r>
        <w:r w:rsidR="00052A22">
          <w:rPr>
            <w:rFonts w:asciiTheme="minorHAnsi" w:eastAsiaTheme="minorEastAsia" w:hAnsiTheme="minorHAnsi" w:cstheme="minorBidi"/>
            <w:noProof/>
            <w:sz w:val="22"/>
          </w:rPr>
          <w:tab/>
        </w:r>
        <w:r w:rsidR="00052A22" w:rsidRPr="00880361">
          <w:rPr>
            <w:rStyle w:val="Hyperlink"/>
            <w:noProof/>
          </w:rPr>
          <w:t>Activity data and key factors for domestic wastewater from 1990 to 2021</w:t>
        </w:r>
        <w:r w:rsidR="00052A22">
          <w:rPr>
            <w:noProof/>
            <w:webHidden/>
          </w:rPr>
          <w:tab/>
        </w:r>
        <w:r w:rsidR="00052A22">
          <w:rPr>
            <w:noProof/>
            <w:webHidden/>
          </w:rPr>
          <w:fldChar w:fldCharType="begin"/>
        </w:r>
        <w:r w:rsidR="00052A22">
          <w:rPr>
            <w:noProof/>
            <w:webHidden/>
          </w:rPr>
          <w:instrText xml:space="preserve"> PAGEREF _Toc131591453 \h </w:instrText>
        </w:r>
        <w:r w:rsidR="00052A22">
          <w:rPr>
            <w:noProof/>
            <w:webHidden/>
          </w:rPr>
        </w:r>
        <w:r w:rsidR="00052A22">
          <w:rPr>
            <w:noProof/>
            <w:webHidden/>
          </w:rPr>
          <w:fldChar w:fldCharType="separate"/>
        </w:r>
        <w:r w:rsidR="008F39B8">
          <w:rPr>
            <w:noProof/>
            <w:webHidden/>
          </w:rPr>
          <w:t>332</w:t>
        </w:r>
        <w:r w:rsidR="00052A22">
          <w:rPr>
            <w:noProof/>
            <w:webHidden/>
          </w:rPr>
          <w:fldChar w:fldCharType="end"/>
        </w:r>
      </w:hyperlink>
    </w:p>
    <w:p w14:paraId="3A79FFD2" w14:textId="507BE217" w:rsidR="00052A22" w:rsidRDefault="007E17B8">
      <w:pPr>
        <w:pStyle w:val="TableofFigures"/>
        <w:rPr>
          <w:rFonts w:asciiTheme="minorHAnsi" w:eastAsiaTheme="minorEastAsia" w:hAnsiTheme="minorHAnsi" w:cstheme="minorBidi"/>
          <w:noProof/>
          <w:sz w:val="22"/>
        </w:rPr>
      </w:pPr>
      <w:hyperlink w:anchor="_Toc131591454" w:history="1">
        <w:r w:rsidR="00052A22" w:rsidRPr="00880361">
          <w:rPr>
            <w:rStyle w:val="Hyperlink"/>
            <w:noProof/>
          </w:rPr>
          <w:t xml:space="preserve">Table 7.5.3 </w:t>
        </w:r>
        <w:r w:rsidR="00052A22">
          <w:rPr>
            <w:rFonts w:asciiTheme="minorHAnsi" w:eastAsiaTheme="minorEastAsia" w:hAnsiTheme="minorHAnsi" w:cstheme="minorBidi"/>
            <w:noProof/>
            <w:sz w:val="22"/>
          </w:rPr>
          <w:tab/>
        </w:r>
        <w:r w:rsidR="00052A22" w:rsidRPr="00880361">
          <w:rPr>
            <w:rStyle w:val="Hyperlink"/>
            <w:noProof/>
          </w:rPr>
          <w:t>Total organic product producing methane from industrial wastewater from 1990 to 2021</w:t>
        </w:r>
        <w:r w:rsidR="00052A22">
          <w:rPr>
            <w:noProof/>
            <w:webHidden/>
          </w:rPr>
          <w:tab/>
        </w:r>
        <w:r w:rsidR="00052A22">
          <w:rPr>
            <w:noProof/>
            <w:webHidden/>
          </w:rPr>
          <w:fldChar w:fldCharType="begin"/>
        </w:r>
        <w:r w:rsidR="00052A22">
          <w:rPr>
            <w:noProof/>
            <w:webHidden/>
          </w:rPr>
          <w:instrText xml:space="preserve"> PAGEREF _Toc131591454 \h </w:instrText>
        </w:r>
        <w:r w:rsidR="00052A22">
          <w:rPr>
            <w:noProof/>
            <w:webHidden/>
          </w:rPr>
        </w:r>
        <w:r w:rsidR="00052A22">
          <w:rPr>
            <w:noProof/>
            <w:webHidden/>
          </w:rPr>
          <w:fldChar w:fldCharType="separate"/>
        </w:r>
        <w:r w:rsidR="008F39B8">
          <w:rPr>
            <w:noProof/>
            <w:webHidden/>
          </w:rPr>
          <w:t>333</w:t>
        </w:r>
        <w:r w:rsidR="00052A22">
          <w:rPr>
            <w:noProof/>
            <w:webHidden/>
          </w:rPr>
          <w:fldChar w:fldCharType="end"/>
        </w:r>
      </w:hyperlink>
    </w:p>
    <w:p w14:paraId="7557E0AB" w14:textId="2320DE69" w:rsidR="00052A22" w:rsidRDefault="007E17B8">
      <w:pPr>
        <w:pStyle w:val="TableofFigures"/>
        <w:rPr>
          <w:rFonts w:asciiTheme="minorHAnsi" w:eastAsiaTheme="minorEastAsia" w:hAnsiTheme="minorHAnsi" w:cstheme="minorBidi"/>
          <w:noProof/>
          <w:sz w:val="22"/>
        </w:rPr>
      </w:pPr>
      <w:hyperlink w:anchor="_Toc131591455" w:history="1">
        <w:r w:rsidR="00052A22" w:rsidRPr="00880361">
          <w:rPr>
            <w:rStyle w:val="Hyperlink"/>
            <w:noProof/>
          </w:rPr>
          <w:t xml:space="preserve">Table 7.5.4 </w:t>
        </w:r>
        <w:r w:rsidR="00052A22">
          <w:rPr>
            <w:rFonts w:asciiTheme="minorHAnsi" w:eastAsiaTheme="minorEastAsia" w:hAnsiTheme="minorHAnsi" w:cstheme="minorBidi"/>
            <w:noProof/>
            <w:sz w:val="22"/>
          </w:rPr>
          <w:tab/>
        </w:r>
        <w:r w:rsidR="00052A22" w:rsidRPr="00880361">
          <w:rPr>
            <w:rStyle w:val="Hyperlink"/>
            <w:noProof/>
          </w:rPr>
          <w:t>Nitrogen (N) in effluent from industrial wastewater from 1990 to 2021</w:t>
        </w:r>
        <w:r w:rsidR="00052A22">
          <w:rPr>
            <w:noProof/>
            <w:webHidden/>
          </w:rPr>
          <w:tab/>
        </w:r>
        <w:r w:rsidR="00052A22">
          <w:rPr>
            <w:noProof/>
            <w:webHidden/>
          </w:rPr>
          <w:fldChar w:fldCharType="begin"/>
        </w:r>
        <w:r w:rsidR="00052A22">
          <w:rPr>
            <w:noProof/>
            <w:webHidden/>
          </w:rPr>
          <w:instrText xml:space="preserve"> PAGEREF _Toc131591455 \h </w:instrText>
        </w:r>
        <w:r w:rsidR="00052A22">
          <w:rPr>
            <w:noProof/>
            <w:webHidden/>
          </w:rPr>
        </w:r>
        <w:r w:rsidR="00052A22">
          <w:rPr>
            <w:noProof/>
            <w:webHidden/>
          </w:rPr>
          <w:fldChar w:fldCharType="separate"/>
        </w:r>
        <w:r w:rsidR="008F39B8">
          <w:rPr>
            <w:noProof/>
            <w:webHidden/>
          </w:rPr>
          <w:t>334</w:t>
        </w:r>
        <w:r w:rsidR="00052A22">
          <w:rPr>
            <w:noProof/>
            <w:webHidden/>
          </w:rPr>
          <w:fldChar w:fldCharType="end"/>
        </w:r>
      </w:hyperlink>
    </w:p>
    <w:p w14:paraId="475307F7" w14:textId="2CBD6BDA" w:rsidR="00052A22" w:rsidRDefault="007E17B8">
      <w:pPr>
        <w:pStyle w:val="TableofFigures"/>
        <w:rPr>
          <w:rFonts w:asciiTheme="minorHAnsi" w:eastAsiaTheme="minorEastAsia" w:hAnsiTheme="minorHAnsi" w:cstheme="minorBidi"/>
          <w:noProof/>
          <w:sz w:val="22"/>
        </w:rPr>
      </w:pPr>
      <w:hyperlink w:anchor="_Toc131591456" w:history="1">
        <w:r w:rsidR="00052A22" w:rsidRPr="00880361">
          <w:rPr>
            <w:rStyle w:val="Hyperlink"/>
            <w:noProof/>
          </w:rPr>
          <w:t xml:space="preserve">Table 7.5.5 </w:t>
        </w:r>
        <w:r w:rsidR="00052A22">
          <w:rPr>
            <w:rFonts w:asciiTheme="minorHAnsi" w:eastAsiaTheme="minorEastAsia" w:hAnsiTheme="minorHAnsi" w:cstheme="minorBidi"/>
            <w:noProof/>
            <w:sz w:val="22"/>
          </w:rPr>
          <w:tab/>
        </w:r>
        <w:r w:rsidR="00052A22" w:rsidRPr="00880361">
          <w:rPr>
            <w:rStyle w:val="Hyperlink"/>
            <w:noProof/>
          </w:rPr>
          <w:t>Methods used for calculating emissions from wastewater treatment</w:t>
        </w:r>
        <w:r w:rsidR="00052A22">
          <w:rPr>
            <w:noProof/>
            <w:webHidden/>
          </w:rPr>
          <w:tab/>
        </w:r>
        <w:r w:rsidR="00052A22">
          <w:rPr>
            <w:noProof/>
            <w:webHidden/>
          </w:rPr>
          <w:fldChar w:fldCharType="begin"/>
        </w:r>
        <w:r w:rsidR="00052A22">
          <w:rPr>
            <w:noProof/>
            <w:webHidden/>
          </w:rPr>
          <w:instrText xml:space="preserve"> PAGEREF _Toc131591456 \h </w:instrText>
        </w:r>
        <w:r w:rsidR="00052A22">
          <w:rPr>
            <w:noProof/>
            <w:webHidden/>
          </w:rPr>
        </w:r>
        <w:r w:rsidR="00052A22">
          <w:rPr>
            <w:noProof/>
            <w:webHidden/>
          </w:rPr>
          <w:fldChar w:fldCharType="separate"/>
        </w:r>
        <w:r w:rsidR="008F39B8">
          <w:rPr>
            <w:noProof/>
            <w:webHidden/>
          </w:rPr>
          <w:t>336</w:t>
        </w:r>
        <w:r w:rsidR="00052A22">
          <w:rPr>
            <w:noProof/>
            <w:webHidden/>
          </w:rPr>
          <w:fldChar w:fldCharType="end"/>
        </w:r>
      </w:hyperlink>
    </w:p>
    <w:p w14:paraId="576574B5" w14:textId="062DCB90" w:rsidR="00052A22" w:rsidRDefault="007E17B8">
      <w:pPr>
        <w:pStyle w:val="TableofFigures"/>
        <w:rPr>
          <w:rFonts w:asciiTheme="minorHAnsi" w:eastAsiaTheme="minorEastAsia" w:hAnsiTheme="minorHAnsi" w:cstheme="minorBidi"/>
          <w:noProof/>
          <w:sz w:val="22"/>
        </w:rPr>
      </w:pPr>
      <w:hyperlink w:anchor="_Toc131591457" w:history="1">
        <w:r w:rsidR="00052A22" w:rsidRPr="00880361">
          <w:rPr>
            <w:rStyle w:val="Hyperlink"/>
            <w:noProof/>
          </w:rPr>
          <w:t xml:space="preserve">Table 7.5.6 </w:t>
        </w:r>
        <w:r w:rsidR="00052A22">
          <w:rPr>
            <w:rFonts w:asciiTheme="minorHAnsi" w:eastAsiaTheme="minorEastAsia" w:hAnsiTheme="minorHAnsi" w:cstheme="minorBidi"/>
            <w:noProof/>
            <w:sz w:val="22"/>
          </w:rPr>
          <w:tab/>
        </w:r>
        <w:r w:rsidR="00052A22" w:rsidRPr="00880361">
          <w:rPr>
            <w:rStyle w:val="Hyperlink"/>
            <w:noProof/>
          </w:rPr>
          <w:t>Parameter values applied by New Zealand for estimating methane emissions for domestic wastewater treatment</w:t>
        </w:r>
        <w:r w:rsidR="00052A22">
          <w:rPr>
            <w:noProof/>
            <w:webHidden/>
          </w:rPr>
          <w:tab/>
        </w:r>
        <w:r w:rsidR="00052A22">
          <w:rPr>
            <w:noProof/>
            <w:webHidden/>
          </w:rPr>
          <w:fldChar w:fldCharType="begin"/>
        </w:r>
        <w:r w:rsidR="00052A22">
          <w:rPr>
            <w:noProof/>
            <w:webHidden/>
          </w:rPr>
          <w:instrText xml:space="preserve"> PAGEREF _Toc131591457 \h </w:instrText>
        </w:r>
        <w:r w:rsidR="00052A22">
          <w:rPr>
            <w:noProof/>
            <w:webHidden/>
          </w:rPr>
        </w:r>
        <w:r w:rsidR="00052A22">
          <w:rPr>
            <w:noProof/>
            <w:webHidden/>
          </w:rPr>
          <w:fldChar w:fldCharType="separate"/>
        </w:r>
        <w:r w:rsidR="008F39B8">
          <w:rPr>
            <w:noProof/>
            <w:webHidden/>
          </w:rPr>
          <w:t>337</w:t>
        </w:r>
        <w:r w:rsidR="00052A22">
          <w:rPr>
            <w:noProof/>
            <w:webHidden/>
          </w:rPr>
          <w:fldChar w:fldCharType="end"/>
        </w:r>
      </w:hyperlink>
    </w:p>
    <w:p w14:paraId="6A3B25C2" w14:textId="2B4701B2" w:rsidR="00052A22" w:rsidRDefault="007E17B8">
      <w:pPr>
        <w:pStyle w:val="TableofFigures"/>
        <w:rPr>
          <w:rFonts w:asciiTheme="minorHAnsi" w:eastAsiaTheme="minorEastAsia" w:hAnsiTheme="minorHAnsi" w:cstheme="minorBidi"/>
          <w:noProof/>
          <w:sz w:val="22"/>
        </w:rPr>
      </w:pPr>
      <w:hyperlink w:anchor="_Toc131591458" w:history="1">
        <w:r w:rsidR="00052A22" w:rsidRPr="00880361">
          <w:rPr>
            <w:rStyle w:val="Hyperlink"/>
            <w:noProof/>
          </w:rPr>
          <w:t xml:space="preserve">Table 7.5.7 </w:t>
        </w:r>
        <w:r w:rsidR="00052A22">
          <w:rPr>
            <w:rFonts w:asciiTheme="minorHAnsi" w:eastAsiaTheme="minorEastAsia" w:hAnsiTheme="minorHAnsi" w:cstheme="minorBidi"/>
            <w:noProof/>
            <w:sz w:val="22"/>
          </w:rPr>
          <w:tab/>
        </w:r>
        <w:r w:rsidR="00052A22" w:rsidRPr="00880361">
          <w:rPr>
            <w:rStyle w:val="Hyperlink"/>
            <w:noProof/>
          </w:rPr>
          <w:t>Parameter values applied by New Zealand for estimating nitrous oxide emissions from domestic and commercial wastewater treatment</w:t>
        </w:r>
        <w:r w:rsidR="00052A22">
          <w:rPr>
            <w:noProof/>
            <w:webHidden/>
          </w:rPr>
          <w:tab/>
        </w:r>
        <w:r w:rsidR="00052A22">
          <w:rPr>
            <w:noProof/>
            <w:webHidden/>
          </w:rPr>
          <w:fldChar w:fldCharType="begin"/>
        </w:r>
        <w:r w:rsidR="00052A22">
          <w:rPr>
            <w:noProof/>
            <w:webHidden/>
          </w:rPr>
          <w:instrText xml:space="preserve"> PAGEREF _Toc131591458 \h </w:instrText>
        </w:r>
        <w:r w:rsidR="00052A22">
          <w:rPr>
            <w:noProof/>
            <w:webHidden/>
          </w:rPr>
        </w:r>
        <w:r w:rsidR="00052A22">
          <w:rPr>
            <w:noProof/>
            <w:webHidden/>
          </w:rPr>
          <w:fldChar w:fldCharType="separate"/>
        </w:r>
        <w:r w:rsidR="008F39B8">
          <w:rPr>
            <w:noProof/>
            <w:webHidden/>
          </w:rPr>
          <w:t>338</w:t>
        </w:r>
        <w:r w:rsidR="00052A22">
          <w:rPr>
            <w:noProof/>
            <w:webHidden/>
          </w:rPr>
          <w:fldChar w:fldCharType="end"/>
        </w:r>
      </w:hyperlink>
    </w:p>
    <w:p w14:paraId="7A2473CA" w14:textId="773C52D0" w:rsidR="00052A22" w:rsidRDefault="007E17B8">
      <w:pPr>
        <w:pStyle w:val="TableofFigures"/>
        <w:rPr>
          <w:rFonts w:asciiTheme="minorHAnsi" w:eastAsiaTheme="minorEastAsia" w:hAnsiTheme="minorHAnsi" w:cstheme="minorBidi"/>
          <w:noProof/>
          <w:sz w:val="22"/>
        </w:rPr>
      </w:pPr>
      <w:hyperlink w:anchor="_Toc131591459" w:history="1">
        <w:r w:rsidR="00052A22" w:rsidRPr="00880361">
          <w:rPr>
            <w:rStyle w:val="Hyperlink"/>
            <w:noProof/>
          </w:rPr>
          <w:t xml:space="preserve">Table 7.5.8 </w:t>
        </w:r>
        <w:r w:rsidR="00052A22">
          <w:rPr>
            <w:rFonts w:asciiTheme="minorHAnsi" w:eastAsiaTheme="minorEastAsia" w:hAnsiTheme="minorHAnsi" w:cstheme="minorBidi"/>
            <w:noProof/>
            <w:sz w:val="22"/>
          </w:rPr>
          <w:tab/>
        </w:r>
        <w:r w:rsidR="00052A22" w:rsidRPr="00880361">
          <w:rPr>
            <w:rStyle w:val="Hyperlink"/>
            <w:noProof/>
          </w:rPr>
          <w:t>Parameter values applied by New Zealand for estimating methane emissions from wastewater treatment by the meat industry</w:t>
        </w:r>
        <w:r w:rsidR="00052A22">
          <w:rPr>
            <w:noProof/>
            <w:webHidden/>
          </w:rPr>
          <w:tab/>
        </w:r>
        <w:r w:rsidR="00052A22">
          <w:rPr>
            <w:noProof/>
            <w:webHidden/>
          </w:rPr>
          <w:fldChar w:fldCharType="begin"/>
        </w:r>
        <w:r w:rsidR="00052A22">
          <w:rPr>
            <w:noProof/>
            <w:webHidden/>
          </w:rPr>
          <w:instrText xml:space="preserve"> PAGEREF _Toc131591459 \h </w:instrText>
        </w:r>
        <w:r w:rsidR="00052A22">
          <w:rPr>
            <w:noProof/>
            <w:webHidden/>
          </w:rPr>
        </w:r>
        <w:r w:rsidR="00052A22">
          <w:rPr>
            <w:noProof/>
            <w:webHidden/>
          </w:rPr>
          <w:fldChar w:fldCharType="separate"/>
        </w:r>
        <w:r w:rsidR="008F39B8">
          <w:rPr>
            <w:noProof/>
            <w:webHidden/>
          </w:rPr>
          <w:t>339</w:t>
        </w:r>
        <w:r w:rsidR="00052A22">
          <w:rPr>
            <w:noProof/>
            <w:webHidden/>
          </w:rPr>
          <w:fldChar w:fldCharType="end"/>
        </w:r>
      </w:hyperlink>
    </w:p>
    <w:p w14:paraId="637B174C" w14:textId="5EE861A7" w:rsidR="00052A22" w:rsidRDefault="007E17B8">
      <w:pPr>
        <w:pStyle w:val="TableofFigures"/>
        <w:rPr>
          <w:rFonts w:asciiTheme="minorHAnsi" w:eastAsiaTheme="minorEastAsia" w:hAnsiTheme="minorHAnsi" w:cstheme="minorBidi"/>
          <w:noProof/>
          <w:sz w:val="22"/>
        </w:rPr>
      </w:pPr>
      <w:hyperlink w:anchor="_Toc131591460" w:history="1">
        <w:r w:rsidR="00052A22" w:rsidRPr="00880361">
          <w:rPr>
            <w:rStyle w:val="Hyperlink"/>
            <w:noProof/>
          </w:rPr>
          <w:t xml:space="preserve">Table 7.5.9 </w:t>
        </w:r>
        <w:r w:rsidR="00052A22">
          <w:rPr>
            <w:rFonts w:asciiTheme="minorHAnsi" w:eastAsiaTheme="minorEastAsia" w:hAnsiTheme="minorHAnsi" w:cstheme="minorBidi"/>
            <w:noProof/>
            <w:sz w:val="22"/>
          </w:rPr>
          <w:tab/>
        </w:r>
        <w:r w:rsidR="00052A22" w:rsidRPr="00880361">
          <w:rPr>
            <w:rStyle w:val="Hyperlink"/>
            <w:noProof/>
          </w:rPr>
          <w:t>Parameter values applied by New Zealand for estimating methane emissions for wastewater treatment by the pulp and paper industry</w:t>
        </w:r>
        <w:r w:rsidR="00052A22">
          <w:rPr>
            <w:noProof/>
            <w:webHidden/>
          </w:rPr>
          <w:tab/>
        </w:r>
        <w:r w:rsidR="00052A22">
          <w:rPr>
            <w:noProof/>
            <w:webHidden/>
          </w:rPr>
          <w:fldChar w:fldCharType="begin"/>
        </w:r>
        <w:r w:rsidR="00052A22">
          <w:rPr>
            <w:noProof/>
            <w:webHidden/>
          </w:rPr>
          <w:instrText xml:space="preserve"> PAGEREF _Toc131591460 \h </w:instrText>
        </w:r>
        <w:r w:rsidR="00052A22">
          <w:rPr>
            <w:noProof/>
            <w:webHidden/>
          </w:rPr>
        </w:r>
        <w:r w:rsidR="00052A22">
          <w:rPr>
            <w:noProof/>
            <w:webHidden/>
          </w:rPr>
          <w:fldChar w:fldCharType="separate"/>
        </w:r>
        <w:r w:rsidR="008F39B8">
          <w:rPr>
            <w:noProof/>
            <w:webHidden/>
          </w:rPr>
          <w:t>339</w:t>
        </w:r>
        <w:r w:rsidR="00052A22">
          <w:rPr>
            <w:noProof/>
            <w:webHidden/>
          </w:rPr>
          <w:fldChar w:fldCharType="end"/>
        </w:r>
      </w:hyperlink>
    </w:p>
    <w:p w14:paraId="0439B5D3" w14:textId="0DDA0BDF" w:rsidR="00052A22" w:rsidRDefault="007E17B8">
      <w:pPr>
        <w:pStyle w:val="TableofFigures"/>
        <w:rPr>
          <w:rFonts w:asciiTheme="minorHAnsi" w:eastAsiaTheme="minorEastAsia" w:hAnsiTheme="minorHAnsi" w:cstheme="minorBidi"/>
          <w:noProof/>
          <w:sz w:val="22"/>
        </w:rPr>
      </w:pPr>
      <w:hyperlink w:anchor="_Toc131591461" w:history="1">
        <w:r w:rsidR="00052A22" w:rsidRPr="00880361">
          <w:rPr>
            <w:rStyle w:val="Hyperlink"/>
            <w:noProof/>
          </w:rPr>
          <w:t xml:space="preserve">Table 7.5.10 </w:t>
        </w:r>
        <w:r w:rsidR="00052A22">
          <w:rPr>
            <w:rFonts w:asciiTheme="minorHAnsi" w:eastAsiaTheme="minorEastAsia" w:hAnsiTheme="minorHAnsi" w:cstheme="minorBidi"/>
            <w:noProof/>
            <w:sz w:val="22"/>
          </w:rPr>
          <w:tab/>
        </w:r>
        <w:r w:rsidR="00052A22" w:rsidRPr="00880361">
          <w:rPr>
            <w:rStyle w:val="Hyperlink"/>
            <w:noProof/>
          </w:rPr>
          <w:t>Parameter values applied by New Zealand for estimating methane emissions for wastewater treatment by the wine industry</w:t>
        </w:r>
        <w:r w:rsidR="00052A22">
          <w:rPr>
            <w:noProof/>
            <w:webHidden/>
          </w:rPr>
          <w:tab/>
        </w:r>
        <w:r w:rsidR="00052A22">
          <w:rPr>
            <w:noProof/>
            <w:webHidden/>
          </w:rPr>
          <w:fldChar w:fldCharType="begin"/>
        </w:r>
        <w:r w:rsidR="00052A22">
          <w:rPr>
            <w:noProof/>
            <w:webHidden/>
          </w:rPr>
          <w:instrText xml:space="preserve"> PAGEREF _Toc131591461 \h </w:instrText>
        </w:r>
        <w:r w:rsidR="00052A22">
          <w:rPr>
            <w:noProof/>
            <w:webHidden/>
          </w:rPr>
        </w:r>
        <w:r w:rsidR="00052A22">
          <w:rPr>
            <w:noProof/>
            <w:webHidden/>
          </w:rPr>
          <w:fldChar w:fldCharType="separate"/>
        </w:r>
        <w:r w:rsidR="008F39B8">
          <w:rPr>
            <w:noProof/>
            <w:webHidden/>
          </w:rPr>
          <w:t>339</w:t>
        </w:r>
        <w:r w:rsidR="00052A22">
          <w:rPr>
            <w:noProof/>
            <w:webHidden/>
          </w:rPr>
          <w:fldChar w:fldCharType="end"/>
        </w:r>
      </w:hyperlink>
    </w:p>
    <w:p w14:paraId="350112C1" w14:textId="63163109" w:rsidR="00052A22" w:rsidRDefault="007E17B8">
      <w:pPr>
        <w:pStyle w:val="TableofFigures"/>
        <w:rPr>
          <w:rFonts w:asciiTheme="minorHAnsi" w:eastAsiaTheme="minorEastAsia" w:hAnsiTheme="minorHAnsi" w:cstheme="minorBidi"/>
          <w:noProof/>
          <w:sz w:val="22"/>
        </w:rPr>
      </w:pPr>
      <w:hyperlink w:anchor="_Toc131591462" w:history="1">
        <w:r w:rsidR="00052A22" w:rsidRPr="00880361">
          <w:rPr>
            <w:rStyle w:val="Hyperlink"/>
            <w:noProof/>
          </w:rPr>
          <w:t xml:space="preserve">Table 7.5.11 </w:t>
        </w:r>
        <w:r w:rsidR="00052A22">
          <w:rPr>
            <w:rFonts w:asciiTheme="minorHAnsi" w:eastAsiaTheme="minorEastAsia" w:hAnsiTheme="minorHAnsi" w:cstheme="minorBidi"/>
            <w:noProof/>
            <w:sz w:val="22"/>
          </w:rPr>
          <w:tab/>
        </w:r>
        <w:r w:rsidR="00052A22" w:rsidRPr="00880361">
          <w:rPr>
            <w:rStyle w:val="Hyperlink"/>
            <w:noProof/>
          </w:rPr>
          <w:t>Parameter values applied by New Zealand for estimating methane emissions for wastewater treatment by the wool scouring industry</w:t>
        </w:r>
        <w:r w:rsidR="00052A22">
          <w:rPr>
            <w:noProof/>
            <w:webHidden/>
          </w:rPr>
          <w:tab/>
        </w:r>
        <w:r w:rsidR="00052A22">
          <w:rPr>
            <w:noProof/>
            <w:webHidden/>
          </w:rPr>
          <w:fldChar w:fldCharType="begin"/>
        </w:r>
        <w:r w:rsidR="00052A22">
          <w:rPr>
            <w:noProof/>
            <w:webHidden/>
          </w:rPr>
          <w:instrText xml:space="preserve"> PAGEREF _Toc131591462 \h </w:instrText>
        </w:r>
        <w:r w:rsidR="00052A22">
          <w:rPr>
            <w:noProof/>
            <w:webHidden/>
          </w:rPr>
        </w:r>
        <w:r w:rsidR="00052A22">
          <w:rPr>
            <w:noProof/>
            <w:webHidden/>
          </w:rPr>
          <w:fldChar w:fldCharType="separate"/>
        </w:r>
        <w:r w:rsidR="008F39B8">
          <w:rPr>
            <w:noProof/>
            <w:webHidden/>
          </w:rPr>
          <w:t>340</w:t>
        </w:r>
        <w:r w:rsidR="00052A22">
          <w:rPr>
            <w:noProof/>
            <w:webHidden/>
          </w:rPr>
          <w:fldChar w:fldCharType="end"/>
        </w:r>
      </w:hyperlink>
    </w:p>
    <w:p w14:paraId="05394B50" w14:textId="4CFCBA6A" w:rsidR="00052A22" w:rsidRDefault="007E17B8">
      <w:pPr>
        <w:pStyle w:val="TableofFigures"/>
        <w:rPr>
          <w:rFonts w:asciiTheme="minorHAnsi" w:eastAsiaTheme="minorEastAsia" w:hAnsiTheme="minorHAnsi" w:cstheme="minorBidi"/>
          <w:noProof/>
          <w:sz w:val="22"/>
        </w:rPr>
      </w:pPr>
      <w:hyperlink w:anchor="_Toc131591463" w:history="1">
        <w:r w:rsidR="00052A22" w:rsidRPr="00880361">
          <w:rPr>
            <w:rStyle w:val="Hyperlink"/>
            <w:noProof/>
          </w:rPr>
          <w:t xml:space="preserve">Table 7.5.12 </w:t>
        </w:r>
        <w:r w:rsidR="00052A22">
          <w:rPr>
            <w:rFonts w:asciiTheme="minorHAnsi" w:eastAsiaTheme="minorEastAsia" w:hAnsiTheme="minorHAnsi" w:cstheme="minorBidi"/>
            <w:noProof/>
            <w:sz w:val="22"/>
          </w:rPr>
          <w:tab/>
        </w:r>
        <w:r w:rsidR="00052A22" w:rsidRPr="00880361">
          <w:rPr>
            <w:rStyle w:val="Hyperlink"/>
            <w:noProof/>
          </w:rPr>
          <w:t>Parameter values applied by New Zealand for estimating methane emissions for wastewater treatment by the leather and skins industry</w:t>
        </w:r>
        <w:r w:rsidR="00052A22">
          <w:rPr>
            <w:noProof/>
            <w:webHidden/>
          </w:rPr>
          <w:tab/>
        </w:r>
        <w:r w:rsidR="00052A22">
          <w:rPr>
            <w:noProof/>
            <w:webHidden/>
          </w:rPr>
          <w:fldChar w:fldCharType="begin"/>
        </w:r>
        <w:r w:rsidR="00052A22">
          <w:rPr>
            <w:noProof/>
            <w:webHidden/>
          </w:rPr>
          <w:instrText xml:space="preserve"> PAGEREF _Toc131591463 \h </w:instrText>
        </w:r>
        <w:r w:rsidR="00052A22">
          <w:rPr>
            <w:noProof/>
            <w:webHidden/>
          </w:rPr>
        </w:r>
        <w:r w:rsidR="00052A22">
          <w:rPr>
            <w:noProof/>
            <w:webHidden/>
          </w:rPr>
          <w:fldChar w:fldCharType="separate"/>
        </w:r>
        <w:r w:rsidR="008F39B8">
          <w:rPr>
            <w:noProof/>
            <w:webHidden/>
          </w:rPr>
          <w:t>340</w:t>
        </w:r>
        <w:r w:rsidR="00052A22">
          <w:rPr>
            <w:noProof/>
            <w:webHidden/>
          </w:rPr>
          <w:fldChar w:fldCharType="end"/>
        </w:r>
      </w:hyperlink>
    </w:p>
    <w:p w14:paraId="020ADD56" w14:textId="054C885B" w:rsidR="00052A22" w:rsidRDefault="007E17B8">
      <w:pPr>
        <w:pStyle w:val="TableofFigures"/>
        <w:rPr>
          <w:rFonts w:asciiTheme="minorHAnsi" w:eastAsiaTheme="minorEastAsia" w:hAnsiTheme="minorHAnsi" w:cstheme="minorBidi"/>
          <w:noProof/>
          <w:sz w:val="22"/>
        </w:rPr>
      </w:pPr>
      <w:hyperlink w:anchor="_Toc131591464" w:history="1">
        <w:r w:rsidR="00052A22" w:rsidRPr="00880361">
          <w:rPr>
            <w:rStyle w:val="Hyperlink"/>
            <w:noProof/>
          </w:rPr>
          <w:t xml:space="preserve">Table 7.5.13 </w:t>
        </w:r>
        <w:r w:rsidR="00052A22">
          <w:rPr>
            <w:rFonts w:asciiTheme="minorHAnsi" w:eastAsiaTheme="minorEastAsia" w:hAnsiTheme="minorHAnsi" w:cstheme="minorBidi"/>
            <w:noProof/>
            <w:sz w:val="22"/>
          </w:rPr>
          <w:tab/>
        </w:r>
        <w:r w:rsidR="00052A22" w:rsidRPr="00880361">
          <w:rPr>
            <w:rStyle w:val="Hyperlink"/>
            <w:noProof/>
          </w:rPr>
          <w:t>Parameter values applied by New Zealand for estimating nitrous oxide emissions for wastewater treatment for the meat industry</w:t>
        </w:r>
        <w:r w:rsidR="00052A22">
          <w:rPr>
            <w:noProof/>
            <w:webHidden/>
          </w:rPr>
          <w:tab/>
        </w:r>
        <w:r w:rsidR="00052A22">
          <w:rPr>
            <w:noProof/>
            <w:webHidden/>
          </w:rPr>
          <w:fldChar w:fldCharType="begin"/>
        </w:r>
        <w:r w:rsidR="00052A22">
          <w:rPr>
            <w:noProof/>
            <w:webHidden/>
          </w:rPr>
          <w:instrText xml:space="preserve"> PAGEREF _Toc131591464 \h </w:instrText>
        </w:r>
        <w:r w:rsidR="00052A22">
          <w:rPr>
            <w:noProof/>
            <w:webHidden/>
          </w:rPr>
        </w:r>
        <w:r w:rsidR="00052A22">
          <w:rPr>
            <w:noProof/>
            <w:webHidden/>
          </w:rPr>
          <w:fldChar w:fldCharType="separate"/>
        </w:r>
        <w:r w:rsidR="008F39B8">
          <w:rPr>
            <w:noProof/>
            <w:webHidden/>
          </w:rPr>
          <w:t>340</w:t>
        </w:r>
        <w:r w:rsidR="00052A22">
          <w:rPr>
            <w:noProof/>
            <w:webHidden/>
          </w:rPr>
          <w:fldChar w:fldCharType="end"/>
        </w:r>
      </w:hyperlink>
    </w:p>
    <w:p w14:paraId="75D9D23A" w14:textId="7B8E3B1D" w:rsidR="00052A22" w:rsidRDefault="007E17B8">
      <w:pPr>
        <w:pStyle w:val="TableofFigures"/>
        <w:rPr>
          <w:rFonts w:asciiTheme="minorHAnsi" w:eastAsiaTheme="minorEastAsia" w:hAnsiTheme="minorHAnsi" w:cstheme="minorBidi"/>
          <w:noProof/>
          <w:sz w:val="22"/>
        </w:rPr>
      </w:pPr>
      <w:hyperlink w:anchor="_Toc131591465" w:history="1">
        <w:r w:rsidR="00052A22" w:rsidRPr="00880361">
          <w:rPr>
            <w:rStyle w:val="Hyperlink"/>
            <w:noProof/>
          </w:rPr>
          <w:t xml:space="preserve">Table 7.5.14 </w:t>
        </w:r>
        <w:r w:rsidR="00052A22">
          <w:rPr>
            <w:rFonts w:asciiTheme="minorHAnsi" w:eastAsiaTheme="minorEastAsia" w:hAnsiTheme="minorHAnsi" w:cstheme="minorBidi"/>
            <w:noProof/>
            <w:sz w:val="22"/>
          </w:rPr>
          <w:tab/>
        </w:r>
        <w:r w:rsidR="00052A22" w:rsidRPr="00880361">
          <w:rPr>
            <w:rStyle w:val="Hyperlink"/>
            <w:noProof/>
          </w:rPr>
          <w:t>Parameter values applied by New Zealand for estimating nitrous oxide emissions for wastewater treatment for the dairy processing industry</w:t>
        </w:r>
        <w:r w:rsidR="00052A22">
          <w:rPr>
            <w:noProof/>
            <w:webHidden/>
          </w:rPr>
          <w:tab/>
        </w:r>
        <w:r w:rsidR="00052A22">
          <w:rPr>
            <w:noProof/>
            <w:webHidden/>
          </w:rPr>
          <w:fldChar w:fldCharType="begin"/>
        </w:r>
        <w:r w:rsidR="00052A22">
          <w:rPr>
            <w:noProof/>
            <w:webHidden/>
          </w:rPr>
          <w:instrText xml:space="preserve"> PAGEREF _Toc131591465 \h </w:instrText>
        </w:r>
        <w:r w:rsidR="00052A22">
          <w:rPr>
            <w:noProof/>
            <w:webHidden/>
          </w:rPr>
        </w:r>
        <w:r w:rsidR="00052A22">
          <w:rPr>
            <w:noProof/>
            <w:webHidden/>
          </w:rPr>
          <w:fldChar w:fldCharType="separate"/>
        </w:r>
        <w:r w:rsidR="008F39B8">
          <w:rPr>
            <w:noProof/>
            <w:webHidden/>
          </w:rPr>
          <w:t>341</w:t>
        </w:r>
        <w:r w:rsidR="00052A22">
          <w:rPr>
            <w:noProof/>
            <w:webHidden/>
          </w:rPr>
          <w:fldChar w:fldCharType="end"/>
        </w:r>
      </w:hyperlink>
    </w:p>
    <w:p w14:paraId="4062FECC" w14:textId="0C9EF0F6" w:rsidR="00052A22" w:rsidRDefault="007E17B8">
      <w:pPr>
        <w:pStyle w:val="TableofFigures"/>
        <w:rPr>
          <w:rFonts w:asciiTheme="minorHAnsi" w:eastAsiaTheme="minorEastAsia" w:hAnsiTheme="minorHAnsi" w:cstheme="minorBidi"/>
          <w:noProof/>
          <w:sz w:val="22"/>
        </w:rPr>
      </w:pPr>
      <w:hyperlink w:anchor="_Toc131591466" w:history="1">
        <w:r w:rsidR="00052A22" w:rsidRPr="00880361">
          <w:rPr>
            <w:rStyle w:val="Hyperlink"/>
            <w:noProof/>
          </w:rPr>
          <w:t xml:space="preserve">Table 7.5.15 </w:t>
        </w:r>
        <w:r w:rsidR="00052A22">
          <w:rPr>
            <w:rFonts w:asciiTheme="minorHAnsi" w:eastAsiaTheme="minorEastAsia" w:hAnsiTheme="minorHAnsi" w:cstheme="minorBidi"/>
            <w:noProof/>
            <w:sz w:val="22"/>
          </w:rPr>
          <w:tab/>
        </w:r>
        <w:r w:rsidR="00052A22" w:rsidRPr="00880361">
          <w:rPr>
            <w:rStyle w:val="Hyperlink"/>
            <w:noProof/>
          </w:rPr>
          <w:t>Parameter values applied by New Zealand for estimating nitrous oxide emissions for wastewater treatment for the leather and skins industry</w:t>
        </w:r>
        <w:r w:rsidR="00052A22">
          <w:rPr>
            <w:noProof/>
            <w:webHidden/>
          </w:rPr>
          <w:tab/>
        </w:r>
        <w:r w:rsidR="00052A22">
          <w:rPr>
            <w:noProof/>
            <w:webHidden/>
          </w:rPr>
          <w:fldChar w:fldCharType="begin"/>
        </w:r>
        <w:r w:rsidR="00052A22">
          <w:rPr>
            <w:noProof/>
            <w:webHidden/>
          </w:rPr>
          <w:instrText xml:space="preserve"> PAGEREF _Toc131591466 \h </w:instrText>
        </w:r>
        <w:r w:rsidR="00052A22">
          <w:rPr>
            <w:noProof/>
            <w:webHidden/>
          </w:rPr>
        </w:r>
        <w:r w:rsidR="00052A22">
          <w:rPr>
            <w:noProof/>
            <w:webHidden/>
          </w:rPr>
          <w:fldChar w:fldCharType="separate"/>
        </w:r>
        <w:r w:rsidR="008F39B8">
          <w:rPr>
            <w:noProof/>
            <w:webHidden/>
          </w:rPr>
          <w:t>341</w:t>
        </w:r>
        <w:r w:rsidR="00052A22">
          <w:rPr>
            <w:noProof/>
            <w:webHidden/>
          </w:rPr>
          <w:fldChar w:fldCharType="end"/>
        </w:r>
      </w:hyperlink>
    </w:p>
    <w:p w14:paraId="30D5AF1A" w14:textId="2A2C71C0" w:rsidR="00052A22" w:rsidRDefault="007E17B8">
      <w:pPr>
        <w:pStyle w:val="TableofFigures"/>
        <w:rPr>
          <w:rFonts w:asciiTheme="minorHAnsi" w:eastAsiaTheme="minorEastAsia" w:hAnsiTheme="minorHAnsi" w:cstheme="minorBidi"/>
          <w:noProof/>
          <w:sz w:val="22"/>
        </w:rPr>
      </w:pPr>
      <w:hyperlink w:anchor="_Toc131591467" w:history="1">
        <w:r w:rsidR="00052A22" w:rsidRPr="00880361">
          <w:rPr>
            <w:rStyle w:val="Hyperlink"/>
            <w:noProof/>
          </w:rPr>
          <w:t xml:space="preserve">Table 7.5.16 </w:t>
        </w:r>
        <w:r w:rsidR="00052A22">
          <w:rPr>
            <w:rFonts w:asciiTheme="minorHAnsi" w:eastAsiaTheme="minorEastAsia" w:hAnsiTheme="minorHAnsi" w:cstheme="minorBidi"/>
            <w:noProof/>
            <w:sz w:val="22"/>
          </w:rPr>
          <w:tab/>
        </w:r>
        <w:r w:rsidR="00052A22" w:rsidRPr="00880361">
          <w:rPr>
            <w:rStyle w:val="Hyperlink"/>
            <w:noProof/>
          </w:rPr>
          <w:t>Uncertainty in emissions from wastewater</w:t>
        </w:r>
        <w:r w:rsidR="00052A22">
          <w:rPr>
            <w:noProof/>
            <w:webHidden/>
          </w:rPr>
          <w:tab/>
        </w:r>
        <w:r w:rsidR="00052A22">
          <w:rPr>
            <w:noProof/>
            <w:webHidden/>
          </w:rPr>
          <w:fldChar w:fldCharType="begin"/>
        </w:r>
        <w:r w:rsidR="00052A22">
          <w:rPr>
            <w:noProof/>
            <w:webHidden/>
          </w:rPr>
          <w:instrText xml:space="preserve"> PAGEREF _Toc131591467 \h </w:instrText>
        </w:r>
        <w:r w:rsidR="00052A22">
          <w:rPr>
            <w:noProof/>
            <w:webHidden/>
          </w:rPr>
        </w:r>
        <w:r w:rsidR="00052A22">
          <w:rPr>
            <w:noProof/>
            <w:webHidden/>
          </w:rPr>
          <w:fldChar w:fldCharType="separate"/>
        </w:r>
        <w:r w:rsidR="008F39B8">
          <w:rPr>
            <w:noProof/>
            <w:webHidden/>
          </w:rPr>
          <w:t>341</w:t>
        </w:r>
        <w:r w:rsidR="00052A22">
          <w:rPr>
            <w:noProof/>
            <w:webHidden/>
          </w:rPr>
          <w:fldChar w:fldCharType="end"/>
        </w:r>
      </w:hyperlink>
    </w:p>
    <w:p w14:paraId="10AB4DDE" w14:textId="60B55F78" w:rsidR="00052A22" w:rsidRDefault="007E17B8">
      <w:pPr>
        <w:pStyle w:val="TableofFigures"/>
        <w:rPr>
          <w:rFonts w:asciiTheme="minorHAnsi" w:eastAsiaTheme="minorEastAsia" w:hAnsiTheme="minorHAnsi" w:cstheme="minorBidi"/>
          <w:noProof/>
          <w:sz w:val="22"/>
        </w:rPr>
      </w:pPr>
      <w:hyperlink w:anchor="_Toc131591468" w:history="1">
        <w:r w:rsidR="00052A22" w:rsidRPr="00880361">
          <w:rPr>
            <w:rStyle w:val="Hyperlink"/>
            <w:noProof/>
          </w:rPr>
          <w:t>Table 8.1.1</w:t>
        </w:r>
        <w:r w:rsidR="00052A22">
          <w:rPr>
            <w:rFonts w:asciiTheme="minorHAnsi" w:eastAsiaTheme="minorEastAsia" w:hAnsiTheme="minorHAnsi" w:cstheme="minorBidi"/>
            <w:noProof/>
            <w:sz w:val="22"/>
          </w:rPr>
          <w:tab/>
        </w:r>
        <w:r w:rsidR="00052A22" w:rsidRPr="00880361">
          <w:rPr>
            <w:rStyle w:val="Hyperlink"/>
            <w:noProof/>
          </w:rPr>
          <w:t>Key sources for activity data in Tokelau</w:t>
        </w:r>
        <w:r w:rsidR="00052A22">
          <w:rPr>
            <w:noProof/>
            <w:webHidden/>
          </w:rPr>
          <w:tab/>
        </w:r>
        <w:r w:rsidR="00052A22">
          <w:rPr>
            <w:noProof/>
            <w:webHidden/>
          </w:rPr>
          <w:fldChar w:fldCharType="begin"/>
        </w:r>
        <w:r w:rsidR="00052A22">
          <w:rPr>
            <w:noProof/>
            <w:webHidden/>
          </w:rPr>
          <w:instrText xml:space="preserve"> PAGEREF _Toc131591468 \h </w:instrText>
        </w:r>
        <w:r w:rsidR="00052A22">
          <w:rPr>
            <w:noProof/>
            <w:webHidden/>
          </w:rPr>
        </w:r>
        <w:r w:rsidR="00052A22">
          <w:rPr>
            <w:noProof/>
            <w:webHidden/>
          </w:rPr>
          <w:fldChar w:fldCharType="separate"/>
        </w:r>
        <w:r w:rsidR="008F39B8">
          <w:rPr>
            <w:noProof/>
            <w:webHidden/>
          </w:rPr>
          <w:t>348</w:t>
        </w:r>
        <w:r w:rsidR="00052A22">
          <w:rPr>
            <w:noProof/>
            <w:webHidden/>
          </w:rPr>
          <w:fldChar w:fldCharType="end"/>
        </w:r>
      </w:hyperlink>
    </w:p>
    <w:p w14:paraId="16D6F3D3" w14:textId="3FD287FD" w:rsidR="00052A22" w:rsidRDefault="007E17B8">
      <w:pPr>
        <w:pStyle w:val="TableofFigures"/>
        <w:rPr>
          <w:rFonts w:asciiTheme="minorHAnsi" w:eastAsiaTheme="minorEastAsia" w:hAnsiTheme="minorHAnsi" w:cstheme="minorBidi"/>
          <w:noProof/>
          <w:sz w:val="22"/>
        </w:rPr>
      </w:pPr>
      <w:hyperlink w:anchor="_Toc131591469" w:history="1">
        <w:r w:rsidR="00052A22" w:rsidRPr="00880361">
          <w:rPr>
            <w:rStyle w:val="Hyperlink"/>
            <w:noProof/>
          </w:rPr>
          <w:t>Table 8.1.2</w:t>
        </w:r>
        <w:r w:rsidR="00052A22">
          <w:rPr>
            <w:rFonts w:asciiTheme="minorHAnsi" w:eastAsiaTheme="minorEastAsia" w:hAnsiTheme="minorHAnsi" w:cstheme="minorBidi"/>
            <w:noProof/>
            <w:sz w:val="22"/>
          </w:rPr>
          <w:tab/>
        </w:r>
        <w:r w:rsidR="00052A22" w:rsidRPr="00880361">
          <w:rPr>
            <w:rStyle w:val="Hyperlink"/>
            <w:noProof/>
          </w:rPr>
          <w:t>Gross emissions from Tokelau by gas in 1990 and 2021</w:t>
        </w:r>
        <w:r w:rsidR="00052A22">
          <w:rPr>
            <w:noProof/>
            <w:webHidden/>
          </w:rPr>
          <w:tab/>
        </w:r>
        <w:r w:rsidR="00052A22">
          <w:rPr>
            <w:noProof/>
            <w:webHidden/>
          </w:rPr>
          <w:fldChar w:fldCharType="begin"/>
        </w:r>
        <w:r w:rsidR="00052A22">
          <w:rPr>
            <w:noProof/>
            <w:webHidden/>
          </w:rPr>
          <w:instrText xml:space="preserve"> PAGEREF _Toc131591469 \h </w:instrText>
        </w:r>
        <w:r w:rsidR="00052A22">
          <w:rPr>
            <w:noProof/>
            <w:webHidden/>
          </w:rPr>
        </w:r>
        <w:r w:rsidR="00052A22">
          <w:rPr>
            <w:noProof/>
            <w:webHidden/>
          </w:rPr>
          <w:fldChar w:fldCharType="separate"/>
        </w:r>
        <w:r w:rsidR="008F39B8">
          <w:rPr>
            <w:noProof/>
            <w:webHidden/>
          </w:rPr>
          <w:t>352</w:t>
        </w:r>
        <w:r w:rsidR="00052A22">
          <w:rPr>
            <w:noProof/>
            <w:webHidden/>
          </w:rPr>
          <w:fldChar w:fldCharType="end"/>
        </w:r>
      </w:hyperlink>
    </w:p>
    <w:p w14:paraId="4F54A5A4" w14:textId="468C640E" w:rsidR="00052A22" w:rsidRDefault="007E17B8">
      <w:pPr>
        <w:pStyle w:val="TableofFigures"/>
        <w:rPr>
          <w:rFonts w:asciiTheme="minorHAnsi" w:eastAsiaTheme="minorEastAsia" w:hAnsiTheme="minorHAnsi" w:cstheme="minorBidi"/>
          <w:noProof/>
          <w:sz w:val="22"/>
        </w:rPr>
      </w:pPr>
      <w:hyperlink w:anchor="_Toc131591470" w:history="1">
        <w:r w:rsidR="00052A22" w:rsidRPr="00880361">
          <w:rPr>
            <w:rStyle w:val="Hyperlink"/>
            <w:noProof/>
          </w:rPr>
          <w:t>Table 8.2.1</w:t>
        </w:r>
        <w:r w:rsidR="00052A22">
          <w:rPr>
            <w:rFonts w:asciiTheme="minorHAnsi" w:eastAsiaTheme="minorEastAsia" w:hAnsiTheme="minorHAnsi" w:cstheme="minorBidi"/>
            <w:noProof/>
            <w:sz w:val="22"/>
          </w:rPr>
          <w:tab/>
        </w:r>
        <w:r w:rsidR="00052A22" w:rsidRPr="00880361">
          <w:rPr>
            <w:rStyle w:val="Hyperlink"/>
            <w:noProof/>
          </w:rPr>
          <w:t xml:space="preserve">Uncertainties for the </w:t>
        </w:r>
        <w:r w:rsidR="00052A22" w:rsidRPr="00880361">
          <w:rPr>
            <w:rStyle w:val="Hyperlink"/>
            <w:i/>
            <w:noProof/>
          </w:rPr>
          <w:t>Energy industries</w:t>
        </w:r>
        <w:r w:rsidR="00052A22" w:rsidRPr="00880361">
          <w:rPr>
            <w:rStyle w:val="Hyperlink"/>
            <w:noProof/>
          </w:rPr>
          <w:t xml:space="preserve"> category</w:t>
        </w:r>
        <w:r w:rsidR="00052A22">
          <w:rPr>
            <w:noProof/>
            <w:webHidden/>
          </w:rPr>
          <w:tab/>
        </w:r>
        <w:r w:rsidR="00052A22">
          <w:rPr>
            <w:noProof/>
            <w:webHidden/>
          </w:rPr>
          <w:fldChar w:fldCharType="begin"/>
        </w:r>
        <w:r w:rsidR="00052A22">
          <w:rPr>
            <w:noProof/>
            <w:webHidden/>
          </w:rPr>
          <w:instrText xml:space="preserve"> PAGEREF _Toc131591470 \h </w:instrText>
        </w:r>
        <w:r w:rsidR="00052A22">
          <w:rPr>
            <w:noProof/>
            <w:webHidden/>
          </w:rPr>
        </w:r>
        <w:r w:rsidR="00052A22">
          <w:rPr>
            <w:noProof/>
            <w:webHidden/>
          </w:rPr>
          <w:fldChar w:fldCharType="separate"/>
        </w:r>
        <w:r w:rsidR="008F39B8">
          <w:rPr>
            <w:noProof/>
            <w:webHidden/>
          </w:rPr>
          <w:t>356</w:t>
        </w:r>
        <w:r w:rsidR="00052A22">
          <w:rPr>
            <w:noProof/>
            <w:webHidden/>
          </w:rPr>
          <w:fldChar w:fldCharType="end"/>
        </w:r>
      </w:hyperlink>
    </w:p>
    <w:p w14:paraId="7D63630F" w14:textId="4C5F71DE" w:rsidR="00052A22" w:rsidRDefault="007E17B8">
      <w:pPr>
        <w:pStyle w:val="TableofFigures"/>
        <w:rPr>
          <w:rFonts w:asciiTheme="minorHAnsi" w:eastAsiaTheme="minorEastAsia" w:hAnsiTheme="minorHAnsi" w:cstheme="minorBidi"/>
          <w:noProof/>
          <w:sz w:val="22"/>
        </w:rPr>
      </w:pPr>
      <w:hyperlink w:anchor="_Toc131591471" w:history="1">
        <w:r w:rsidR="00052A22" w:rsidRPr="00880361">
          <w:rPr>
            <w:rStyle w:val="Hyperlink"/>
            <w:noProof/>
          </w:rPr>
          <w:t>Table 8.2.2</w:t>
        </w:r>
        <w:r w:rsidR="00052A22">
          <w:rPr>
            <w:rFonts w:asciiTheme="minorHAnsi" w:eastAsiaTheme="minorEastAsia" w:hAnsiTheme="minorHAnsi" w:cstheme="minorBidi"/>
            <w:noProof/>
            <w:sz w:val="22"/>
          </w:rPr>
          <w:tab/>
        </w:r>
        <w:r w:rsidR="00052A22" w:rsidRPr="00880361">
          <w:rPr>
            <w:rStyle w:val="Hyperlink"/>
            <w:noProof/>
          </w:rPr>
          <w:t xml:space="preserve">Uncertainties for the </w:t>
        </w:r>
        <w:r w:rsidR="00052A22" w:rsidRPr="00880361">
          <w:rPr>
            <w:rStyle w:val="Hyperlink"/>
            <w:i/>
            <w:noProof/>
          </w:rPr>
          <w:t xml:space="preserve">Other sectors – Residential </w:t>
        </w:r>
        <w:r w:rsidR="00052A22" w:rsidRPr="00880361">
          <w:rPr>
            <w:rStyle w:val="Hyperlink"/>
            <w:noProof/>
          </w:rPr>
          <w:t>category</w:t>
        </w:r>
        <w:r w:rsidR="00052A22">
          <w:rPr>
            <w:noProof/>
            <w:webHidden/>
          </w:rPr>
          <w:tab/>
        </w:r>
        <w:r w:rsidR="00052A22">
          <w:rPr>
            <w:noProof/>
            <w:webHidden/>
          </w:rPr>
          <w:fldChar w:fldCharType="begin"/>
        </w:r>
        <w:r w:rsidR="00052A22">
          <w:rPr>
            <w:noProof/>
            <w:webHidden/>
          </w:rPr>
          <w:instrText xml:space="preserve"> PAGEREF _Toc131591471 \h </w:instrText>
        </w:r>
        <w:r w:rsidR="00052A22">
          <w:rPr>
            <w:noProof/>
            <w:webHidden/>
          </w:rPr>
        </w:r>
        <w:r w:rsidR="00052A22">
          <w:rPr>
            <w:noProof/>
            <w:webHidden/>
          </w:rPr>
          <w:fldChar w:fldCharType="separate"/>
        </w:r>
        <w:r w:rsidR="008F39B8">
          <w:rPr>
            <w:noProof/>
            <w:webHidden/>
          </w:rPr>
          <w:t>358</w:t>
        </w:r>
        <w:r w:rsidR="00052A22">
          <w:rPr>
            <w:noProof/>
            <w:webHidden/>
          </w:rPr>
          <w:fldChar w:fldCharType="end"/>
        </w:r>
      </w:hyperlink>
    </w:p>
    <w:p w14:paraId="68DC3886" w14:textId="0DF3A022" w:rsidR="00052A22" w:rsidRDefault="007E17B8">
      <w:pPr>
        <w:pStyle w:val="TableofFigures"/>
        <w:rPr>
          <w:rFonts w:asciiTheme="minorHAnsi" w:eastAsiaTheme="minorEastAsia" w:hAnsiTheme="minorHAnsi" w:cstheme="minorBidi"/>
          <w:noProof/>
          <w:sz w:val="22"/>
        </w:rPr>
      </w:pPr>
      <w:hyperlink w:anchor="_Toc131591472" w:history="1">
        <w:r w:rsidR="00052A22" w:rsidRPr="00880361">
          <w:rPr>
            <w:rStyle w:val="Hyperlink"/>
            <w:noProof/>
          </w:rPr>
          <w:t>Table 8.2.3</w:t>
        </w:r>
        <w:r w:rsidR="00052A22">
          <w:rPr>
            <w:rFonts w:asciiTheme="minorHAnsi" w:eastAsiaTheme="minorEastAsia" w:hAnsiTheme="minorHAnsi" w:cstheme="minorBidi"/>
            <w:noProof/>
            <w:sz w:val="22"/>
          </w:rPr>
          <w:tab/>
        </w:r>
        <w:r w:rsidR="00052A22" w:rsidRPr="00880361">
          <w:rPr>
            <w:rStyle w:val="Hyperlink"/>
            <w:noProof/>
          </w:rPr>
          <w:t xml:space="preserve">Uncertainties for the </w:t>
        </w:r>
        <w:r w:rsidR="00052A22" w:rsidRPr="00880361">
          <w:rPr>
            <w:rStyle w:val="Hyperlink"/>
            <w:i/>
            <w:noProof/>
            <w:lang w:eastAsia="en-GB"/>
          </w:rPr>
          <w:t xml:space="preserve">Domestic navigation </w:t>
        </w:r>
        <w:r w:rsidR="00052A22" w:rsidRPr="00880361">
          <w:rPr>
            <w:rStyle w:val="Hyperlink"/>
            <w:noProof/>
            <w:lang w:eastAsia="en-GB"/>
          </w:rPr>
          <w:t xml:space="preserve">(diesel) </w:t>
        </w:r>
        <w:r w:rsidR="00052A22" w:rsidRPr="00880361">
          <w:rPr>
            <w:rStyle w:val="Hyperlink"/>
            <w:noProof/>
          </w:rPr>
          <w:t>category</w:t>
        </w:r>
        <w:r w:rsidR="00052A22">
          <w:rPr>
            <w:noProof/>
            <w:webHidden/>
          </w:rPr>
          <w:tab/>
        </w:r>
        <w:r w:rsidR="00052A22">
          <w:rPr>
            <w:noProof/>
            <w:webHidden/>
          </w:rPr>
          <w:fldChar w:fldCharType="begin"/>
        </w:r>
        <w:r w:rsidR="00052A22">
          <w:rPr>
            <w:noProof/>
            <w:webHidden/>
          </w:rPr>
          <w:instrText xml:space="preserve"> PAGEREF _Toc131591472 \h </w:instrText>
        </w:r>
        <w:r w:rsidR="00052A22">
          <w:rPr>
            <w:noProof/>
            <w:webHidden/>
          </w:rPr>
        </w:r>
        <w:r w:rsidR="00052A22">
          <w:rPr>
            <w:noProof/>
            <w:webHidden/>
          </w:rPr>
          <w:fldChar w:fldCharType="separate"/>
        </w:r>
        <w:r w:rsidR="008F39B8">
          <w:rPr>
            <w:noProof/>
            <w:webHidden/>
          </w:rPr>
          <w:t>360</w:t>
        </w:r>
        <w:r w:rsidR="00052A22">
          <w:rPr>
            <w:noProof/>
            <w:webHidden/>
          </w:rPr>
          <w:fldChar w:fldCharType="end"/>
        </w:r>
      </w:hyperlink>
    </w:p>
    <w:p w14:paraId="6371531B" w14:textId="441A2D9D" w:rsidR="00052A22" w:rsidRDefault="007E17B8">
      <w:pPr>
        <w:pStyle w:val="TableofFigures"/>
        <w:rPr>
          <w:rFonts w:asciiTheme="minorHAnsi" w:eastAsiaTheme="minorEastAsia" w:hAnsiTheme="minorHAnsi" w:cstheme="minorBidi"/>
          <w:noProof/>
          <w:sz w:val="22"/>
        </w:rPr>
      </w:pPr>
      <w:hyperlink w:anchor="_Toc131591473" w:history="1">
        <w:r w:rsidR="00052A22" w:rsidRPr="00880361">
          <w:rPr>
            <w:rStyle w:val="Hyperlink"/>
            <w:noProof/>
          </w:rPr>
          <w:t>Table 8.3.1</w:t>
        </w:r>
        <w:r w:rsidR="00052A22">
          <w:rPr>
            <w:rFonts w:asciiTheme="minorHAnsi" w:eastAsiaTheme="minorEastAsia" w:hAnsiTheme="minorHAnsi" w:cstheme="minorBidi"/>
            <w:noProof/>
            <w:sz w:val="22"/>
          </w:rPr>
          <w:tab/>
        </w:r>
        <w:r w:rsidR="00052A22" w:rsidRPr="00880361">
          <w:rPr>
            <w:rStyle w:val="Hyperlink"/>
            <w:noProof/>
          </w:rPr>
          <w:t xml:space="preserve">Uncertainties for </w:t>
        </w:r>
        <w:r w:rsidR="00052A22" w:rsidRPr="00880361">
          <w:rPr>
            <w:rStyle w:val="Hyperlink"/>
            <w:i/>
            <w:noProof/>
          </w:rPr>
          <w:t>Refrigeration and air conditioning</w:t>
        </w:r>
        <w:r w:rsidR="00052A22" w:rsidRPr="00880361">
          <w:rPr>
            <w:rStyle w:val="Hyperlink"/>
            <w:noProof/>
          </w:rPr>
          <w:t xml:space="preserve"> category</w:t>
        </w:r>
        <w:r w:rsidR="00052A22">
          <w:rPr>
            <w:noProof/>
            <w:webHidden/>
          </w:rPr>
          <w:tab/>
        </w:r>
        <w:r w:rsidR="00052A22">
          <w:rPr>
            <w:noProof/>
            <w:webHidden/>
          </w:rPr>
          <w:fldChar w:fldCharType="begin"/>
        </w:r>
        <w:r w:rsidR="00052A22">
          <w:rPr>
            <w:noProof/>
            <w:webHidden/>
          </w:rPr>
          <w:instrText xml:space="preserve"> PAGEREF _Toc131591473 \h </w:instrText>
        </w:r>
        <w:r w:rsidR="00052A22">
          <w:rPr>
            <w:noProof/>
            <w:webHidden/>
          </w:rPr>
        </w:r>
        <w:r w:rsidR="00052A22">
          <w:rPr>
            <w:noProof/>
            <w:webHidden/>
          </w:rPr>
          <w:fldChar w:fldCharType="separate"/>
        </w:r>
        <w:r w:rsidR="008F39B8">
          <w:rPr>
            <w:noProof/>
            <w:webHidden/>
          </w:rPr>
          <w:t>363</w:t>
        </w:r>
        <w:r w:rsidR="00052A22">
          <w:rPr>
            <w:noProof/>
            <w:webHidden/>
          </w:rPr>
          <w:fldChar w:fldCharType="end"/>
        </w:r>
      </w:hyperlink>
    </w:p>
    <w:p w14:paraId="0D8E1844" w14:textId="3B9F813B" w:rsidR="00052A22" w:rsidRDefault="007E17B8">
      <w:pPr>
        <w:pStyle w:val="TableofFigures"/>
        <w:rPr>
          <w:rFonts w:asciiTheme="minorHAnsi" w:eastAsiaTheme="minorEastAsia" w:hAnsiTheme="minorHAnsi" w:cstheme="minorBidi"/>
          <w:noProof/>
          <w:sz w:val="22"/>
        </w:rPr>
      </w:pPr>
      <w:hyperlink w:anchor="_Toc131591474" w:history="1">
        <w:r w:rsidR="00052A22" w:rsidRPr="00880361">
          <w:rPr>
            <w:rStyle w:val="Hyperlink"/>
            <w:noProof/>
          </w:rPr>
          <w:t>Table 8.3.2</w:t>
        </w:r>
        <w:r w:rsidR="00052A22">
          <w:rPr>
            <w:rFonts w:asciiTheme="minorHAnsi" w:eastAsiaTheme="minorEastAsia" w:hAnsiTheme="minorHAnsi" w:cstheme="minorBidi"/>
            <w:noProof/>
            <w:sz w:val="22"/>
          </w:rPr>
          <w:tab/>
        </w:r>
        <w:r w:rsidR="00052A22" w:rsidRPr="00880361">
          <w:rPr>
            <w:rStyle w:val="Hyperlink"/>
            <w:noProof/>
          </w:rPr>
          <w:t xml:space="preserve">Uncertainty in emissions from </w:t>
        </w:r>
        <w:r w:rsidR="00052A22" w:rsidRPr="00880361">
          <w:rPr>
            <w:rStyle w:val="Hyperlink"/>
            <w:i/>
            <w:noProof/>
          </w:rPr>
          <w:t>Other product manufacture and use</w:t>
        </w:r>
        <w:r w:rsidR="00052A22" w:rsidRPr="00880361">
          <w:rPr>
            <w:rStyle w:val="Hyperlink"/>
            <w:noProof/>
          </w:rPr>
          <w:t xml:space="preserve"> category</w:t>
        </w:r>
        <w:r w:rsidR="00052A22">
          <w:rPr>
            <w:noProof/>
            <w:webHidden/>
          </w:rPr>
          <w:tab/>
        </w:r>
        <w:r w:rsidR="00052A22">
          <w:rPr>
            <w:noProof/>
            <w:webHidden/>
          </w:rPr>
          <w:fldChar w:fldCharType="begin"/>
        </w:r>
        <w:r w:rsidR="00052A22">
          <w:rPr>
            <w:noProof/>
            <w:webHidden/>
          </w:rPr>
          <w:instrText xml:space="preserve"> PAGEREF _Toc131591474 \h </w:instrText>
        </w:r>
        <w:r w:rsidR="00052A22">
          <w:rPr>
            <w:noProof/>
            <w:webHidden/>
          </w:rPr>
        </w:r>
        <w:r w:rsidR="00052A22">
          <w:rPr>
            <w:noProof/>
            <w:webHidden/>
          </w:rPr>
          <w:fldChar w:fldCharType="separate"/>
        </w:r>
        <w:r w:rsidR="008F39B8">
          <w:rPr>
            <w:noProof/>
            <w:webHidden/>
          </w:rPr>
          <w:t>364</w:t>
        </w:r>
        <w:r w:rsidR="00052A22">
          <w:rPr>
            <w:noProof/>
            <w:webHidden/>
          </w:rPr>
          <w:fldChar w:fldCharType="end"/>
        </w:r>
      </w:hyperlink>
    </w:p>
    <w:p w14:paraId="1F4599EF" w14:textId="79819E93" w:rsidR="00052A22" w:rsidRDefault="007E17B8">
      <w:pPr>
        <w:pStyle w:val="TableofFigures"/>
        <w:rPr>
          <w:rFonts w:asciiTheme="minorHAnsi" w:eastAsiaTheme="minorEastAsia" w:hAnsiTheme="minorHAnsi" w:cstheme="minorBidi"/>
          <w:noProof/>
          <w:sz w:val="22"/>
        </w:rPr>
      </w:pPr>
      <w:hyperlink w:anchor="_Toc131591475" w:history="1">
        <w:r w:rsidR="00052A22" w:rsidRPr="00880361">
          <w:rPr>
            <w:rStyle w:val="Hyperlink"/>
            <w:noProof/>
          </w:rPr>
          <w:t xml:space="preserve">Table 8.4.1 </w:t>
        </w:r>
        <w:r w:rsidR="00052A22">
          <w:rPr>
            <w:rFonts w:asciiTheme="minorHAnsi" w:eastAsiaTheme="minorEastAsia" w:hAnsiTheme="minorHAnsi" w:cstheme="minorBidi"/>
            <w:noProof/>
            <w:sz w:val="22"/>
          </w:rPr>
          <w:tab/>
        </w:r>
        <w:r w:rsidR="00052A22" w:rsidRPr="00880361">
          <w:rPr>
            <w:rStyle w:val="Hyperlink"/>
            <w:noProof/>
          </w:rPr>
          <w:t>Number of livestock in Tokelau (2016)</w:t>
        </w:r>
        <w:r w:rsidR="00052A22">
          <w:rPr>
            <w:noProof/>
            <w:webHidden/>
          </w:rPr>
          <w:tab/>
        </w:r>
        <w:r w:rsidR="00052A22">
          <w:rPr>
            <w:noProof/>
            <w:webHidden/>
          </w:rPr>
          <w:fldChar w:fldCharType="begin"/>
        </w:r>
        <w:r w:rsidR="00052A22">
          <w:rPr>
            <w:noProof/>
            <w:webHidden/>
          </w:rPr>
          <w:instrText xml:space="preserve"> PAGEREF _Toc131591475 \h </w:instrText>
        </w:r>
        <w:r w:rsidR="00052A22">
          <w:rPr>
            <w:noProof/>
            <w:webHidden/>
          </w:rPr>
        </w:r>
        <w:r w:rsidR="00052A22">
          <w:rPr>
            <w:noProof/>
            <w:webHidden/>
          </w:rPr>
          <w:fldChar w:fldCharType="separate"/>
        </w:r>
        <w:r w:rsidR="008F39B8">
          <w:rPr>
            <w:noProof/>
            <w:webHidden/>
          </w:rPr>
          <w:t>366</w:t>
        </w:r>
        <w:r w:rsidR="00052A22">
          <w:rPr>
            <w:noProof/>
            <w:webHidden/>
          </w:rPr>
          <w:fldChar w:fldCharType="end"/>
        </w:r>
      </w:hyperlink>
    </w:p>
    <w:p w14:paraId="4C2F2643" w14:textId="2532DAF8" w:rsidR="00052A22" w:rsidRDefault="007E17B8">
      <w:pPr>
        <w:pStyle w:val="TableofFigures"/>
        <w:rPr>
          <w:rFonts w:asciiTheme="minorHAnsi" w:eastAsiaTheme="minorEastAsia" w:hAnsiTheme="minorHAnsi" w:cstheme="minorBidi"/>
          <w:noProof/>
          <w:sz w:val="22"/>
        </w:rPr>
      </w:pPr>
      <w:hyperlink w:anchor="_Toc131591476" w:history="1">
        <w:r w:rsidR="00052A22" w:rsidRPr="00880361">
          <w:rPr>
            <w:rStyle w:val="Hyperlink"/>
            <w:rFonts w:eastAsia="Calibri"/>
            <w:noProof/>
          </w:rPr>
          <w:t>Table 8.5.1</w:t>
        </w:r>
        <w:r w:rsidR="00052A22">
          <w:rPr>
            <w:rFonts w:asciiTheme="minorHAnsi" w:eastAsiaTheme="minorEastAsia" w:hAnsiTheme="minorHAnsi" w:cstheme="minorBidi"/>
            <w:noProof/>
            <w:sz w:val="22"/>
          </w:rPr>
          <w:tab/>
        </w:r>
        <w:r w:rsidR="00052A22" w:rsidRPr="00880361">
          <w:rPr>
            <w:rStyle w:val="Hyperlink"/>
            <w:rFonts w:eastAsia="Calibri"/>
            <w:noProof/>
          </w:rPr>
          <w:t>Summary of parameters for uncategorised landfills in Tokelau</w:t>
        </w:r>
        <w:r w:rsidR="00052A22">
          <w:rPr>
            <w:noProof/>
            <w:webHidden/>
          </w:rPr>
          <w:tab/>
        </w:r>
        <w:r w:rsidR="00052A22">
          <w:rPr>
            <w:noProof/>
            <w:webHidden/>
          </w:rPr>
          <w:fldChar w:fldCharType="begin"/>
        </w:r>
        <w:r w:rsidR="00052A22">
          <w:rPr>
            <w:noProof/>
            <w:webHidden/>
          </w:rPr>
          <w:instrText xml:space="preserve"> PAGEREF _Toc131591476 \h </w:instrText>
        </w:r>
        <w:r w:rsidR="00052A22">
          <w:rPr>
            <w:noProof/>
            <w:webHidden/>
          </w:rPr>
        </w:r>
        <w:r w:rsidR="00052A22">
          <w:rPr>
            <w:noProof/>
            <w:webHidden/>
          </w:rPr>
          <w:fldChar w:fldCharType="separate"/>
        </w:r>
        <w:r w:rsidR="008F39B8">
          <w:rPr>
            <w:noProof/>
            <w:webHidden/>
          </w:rPr>
          <w:t>369</w:t>
        </w:r>
        <w:r w:rsidR="00052A22">
          <w:rPr>
            <w:noProof/>
            <w:webHidden/>
          </w:rPr>
          <w:fldChar w:fldCharType="end"/>
        </w:r>
      </w:hyperlink>
    </w:p>
    <w:p w14:paraId="47DBBA45" w14:textId="4D7C3134" w:rsidR="00052A22" w:rsidRDefault="007E17B8">
      <w:pPr>
        <w:pStyle w:val="TableofFigures"/>
        <w:rPr>
          <w:rFonts w:asciiTheme="minorHAnsi" w:eastAsiaTheme="minorEastAsia" w:hAnsiTheme="minorHAnsi" w:cstheme="minorBidi"/>
          <w:noProof/>
          <w:sz w:val="22"/>
        </w:rPr>
      </w:pPr>
      <w:hyperlink w:anchor="_Toc131591477" w:history="1">
        <w:r w:rsidR="00052A22" w:rsidRPr="00880361">
          <w:rPr>
            <w:rStyle w:val="Hyperlink"/>
            <w:noProof/>
          </w:rPr>
          <w:t>Table 8.5.2</w:t>
        </w:r>
        <w:r w:rsidR="00052A22">
          <w:rPr>
            <w:rFonts w:asciiTheme="minorHAnsi" w:eastAsiaTheme="minorEastAsia" w:hAnsiTheme="minorHAnsi" w:cstheme="minorBidi"/>
            <w:noProof/>
            <w:sz w:val="22"/>
          </w:rPr>
          <w:tab/>
        </w:r>
        <w:r w:rsidR="00052A22" w:rsidRPr="00880361">
          <w:rPr>
            <w:rStyle w:val="Hyperlink"/>
            <w:noProof/>
          </w:rPr>
          <w:t xml:space="preserve">Uncertainty in emissions from the </w:t>
        </w:r>
        <w:r w:rsidR="00052A22" w:rsidRPr="00880361">
          <w:rPr>
            <w:rStyle w:val="Hyperlink"/>
            <w:i/>
            <w:noProof/>
          </w:rPr>
          <w:t>Solid waste disposal</w:t>
        </w:r>
        <w:r w:rsidR="00052A22" w:rsidRPr="00880361">
          <w:rPr>
            <w:rStyle w:val="Hyperlink"/>
            <w:noProof/>
          </w:rPr>
          <w:t xml:space="preserve"> category</w:t>
        </w:r>
        <w:r w:rsidR="00052A22">
          <w:rPr>
            <w:noProof/>
            <w:webHidden/>
          </w:rPr>
          <w:tab/>
        </w:r>
        <w:r w:rsidR="00052A22">
          <w:rPr>
            <w:noProof/>
            <w:webHidden/>
          </w:rPr>
          <w:fldChar w:fldCharType="begin"/>
        </w:r>
        <w:r w:rsidR="00052A22">
          <w:rPr>
            <w:noProof/>
            <w:webHidden/>
          </w:rPr>
          <w:instrText xml:space="preserve"> PAGEREF _Toc131591477 \h </w:instrText>
        </w:r>
        <w:r w:rsidR="00052A22">
          <w:rPr>
            <w:noProof/>
            <w:webHidden/>
          </w:rPr>
        </w:r>
        <w:r w:rsidR="00052A22">
          <w:rPr>
            <w:noProof/>
            <w:webHidden/>
          </w:rPr>
          <w:fldChar w:fldCharType="separate"/>
        </w:r>
        <w:r w:rsidR="008F39B8">
          <w:rPr>
            <w:noProof/>
            <w:webHidden/>
          </w:rPr>
          <w:t>369</w:t>
        </w:r>
        <w:r w:rsidR="00052A22">
          <w:rPr>
            <w:noProof/>
            <w:webHidden/>
          </w:rPr>
          <w:fldChar w:fldCharType="end"/>
        </w:r>
      </w:hyperlink>
    </w:p>
    <w:p w14:paraId="5385D26A" w14:textId="19D7CBC7" w:rsidR="00052A22" w:rsidRDefault="007E17B8">
      <w:pPr>
        <w:pStyle w:val="TableofFigures"/>
        <w:rPr>
          <w:rFonts w:asciiTheme="minorHAnsi" w:eastAsiaTheme="minorEastAsia" w:hAnsiTheme="minorHAnsi" w:cstheme="minorBidi"/>
          <w:noProof/>
          <w:sz w:val="22"/>
        </w:rPr>
      </w:pPr>
      <w:hyperlink w:anchor="_Toc131591478" w:history="1">
        <w:r w:rsidR="00052A22" w:rsidRPr="00880361">
          <w:rPr>
            <w:rStyle w:val="Hyperlink"/>
            <w:rFonts w:eastAsia="Calibri" w:cs="Arial"/>
            <w:noProof/>
          </w:rPr>
          <w:t>Table 8.5.3</w:t>
        </w:r>
        <w:r w:rsidR="00052A22">
          <w:rPr>
            <w:rFonts w:asciiTheme="minorHAnsi" w:eastAsiaTheme="minorEastAsia" w:hAnsiTheme="minorHAnsi" w:cstheme="minorBidi"/>
            <w:noProof/>
            <w:sz w:val="22"/>
          </w:rPr>
          <w:tab/>
        </w:r>
        <w:r w:rsidR="00052A22" w:rsidRPr="00880361">
          <w:rPr>
            <w:rStyle w:val="Hyperlink"/>
            <w:rFonts w:eastAsia="Calibri" w:cs="Arial"/>
            <w:noProof/>
          </w:rPr>
          <w:t xml:space="preserve">Composition data and carbon content used for estimating emissions from </w:t>
        </w:r>
        <w:r w:rsidR="00052A22" w:rsidRPr="00880361">
          <w:rPr>
            <w:rStyle w:val="Hyperlink"/>
            <w:rFonts w:eastAsia="Calibri" w:cs="Arial"/>
            <w:i/>
            <w:noProof/>
          </w:rPr>
          <w:t>Open burning of waste</w:t>
        </w:r>
        <w:r w:rsidR="00052A22">
          <w:rPr>
            <w:noProof/>
            <w:webHidden/>
          </w:rPr>
          <w:tab/>
        </w:r>
        <w:r w:rsidR="00052A22">
          <w:rPr>
            <w:noProof/>
            <w:webHidden/>
          </w:rPr>
          <w:fldChar w:fldCharType="begin"/>
        </w:r>
        <w:r w:rsidR="00052A22">
          <w:rPr>
            <w:noProof/>
            <w:webHidden/>
          </w:rPr>
          <w:instrText xml:space="preserve"> PAGEREF _Toc131591478 \h </w:instrText>
        </w:r>
        <w:r w:rsidR="00052A22">
          <w:rPr>
            <w:noProof/>
            <w:webHidden/>
          </w:rPr>
        </w:r>
        <w:r w:rsidR="00052A22">
          <w:rPr>
            <w:noProof/>
            <w:webHidden/>
          </w:rPr>
          <w:fldChar w:fldCharType="separate"/>
        </w:r>
        <w:r w:rsidR="008F39B8">
          <w:rPr>
            <w:noProof/>
            <w:webHidden/>
          </w:rPr>
          <w:t>370</w:t>
        </w:r>
        <w:r w:rsidR="00052A22">
          <w:rPr>
            <w:noProof/>
            <w:webHidden/>
          </w:rPr>
          <w:fldChar w:fldCharType="end"/>
        </w:r>
      </w:hyperlink>
    </w:p>
    <w:p w14:paraId="4FE6152F" w14:textId="5BBEB32F" w:rsidR="00052A22" w:rsidRDefault="007E17B8">
      <w:pPr>
        <w:pStyle w:val="TableofFigures"/>
        <w:rPr>
          <w:rFonts w:asciiTheme="minorHAnsi" w:eastAsiaTheme="minorEastAsia" w:hAnsiTheme="minorHAnsi" w:cstheme="minorBidi"/>
          <w:noProof/>
          <w:sz w:val="22"/>
        </w:rPr>
      </w:pPr>
      <w:hyperlink w:anchor="_Toc131591479" w:history="1">
        <w:r w:rsidR="00052A22" w:rsidRPr="00880361">
          <w:rPr>
            <w:rStyle w:val="Hyperlink"/>
            <w:noProof/>
          </w:rPr>
          <w:t>Table 8.5.4</w:t>
        </w:r>
        <w:r w:rsidR="00052A22">
          <w:rPr>
            <w:rFonts w:asciiTheme="minorHAnsi" w:eastAsiaTheme="minorEastAsia" w:hAnsiTheme="minorHAnsi" w:cstheme="minorBidi"/>
            <w:noProof/>
            <w:sz w:val="22"/>
          </w:rPr>
          <w:tab/>
        </w:r>
        <w:r w:rsidR="00052A22" w:rsidRPr="00880361">
          <w:rPr>
            <w:rStyle w:val="Hyperlink"/>
            <w:noProof/>
          </w:rPr>
          <w:t xml:space="preserve">Uncertainty in emissions from </w:t>
        </w:r>
        <w:r w:rsidR="00052A22" w:rsidRPr="00880361">
          <w:rPr>
            <w:rStyle w:val="Hyperlink"/>
            <w:i/>
            <w:noProof/>
          </w:rPr>
          <w:t>Open burning of waste</w:t>
        </w:r>
        <w:r w:rsidR="00052A22" w:rsidRPr="00880361">
          <w:rPr>
            <w:rStyle w:val="Hyperlink"/>
            <w:noProof/>
          </w:rPr>
          <w:t xml:space="preserve"> for Tokelau</w:t>
        </w:r>
        <w:r w:rsidR="00052A22">
          <w:rPr>
            <w:noProof/>
            <w:webHidden/>
          </w:rPr>
          <w:tab/>
        </w:r>
        <w:r w:rsidR="00052A22">
          <w:rPr>
            <w:noProof/>
            <w:webHidden/>
          </w:rPr>
          <w:fldChar w:fldCharType="begin"/>
        </w:r>
        <w:r w:rsidR="00052A22">
          <w:rPr>
            <w:noProof/>
            <w:webHidden/>
          </w:rPr>
          <w:instrText xml:space="preserve"> PAGEREF _Toc131591479 \h </w:instrText>
        </w:r>
        <w:r w:rsidR="00052A22">
          <w:rPr>
            <w:noProof/>
            <w:webHidden/>
          </w:rPr>
        </w:r>
        <w:r w:rsidR="00052A22">
          <w:rPr>
            <w:noProof/>
            <w:webHidden/>
          </w:rPr>
          <w:fldChar w:fldCharType="separate"/>
        </w:r>
        <w:r w:rsidR="008F39B8">
          <w:rPr>
            <w:noProof/>
            <w:webHidden/>
          </w:rPr>
          <w:t>371</w:t>
        </w:r>
        <w:r w:rsidR="00052A22">
          <w:rPr>
            <w:noProof/>
            <w:webHidden/>
          </w:rPr>
          <w:fldChar w:fldCharType="end"/>
        </w:r>
      </w:hyperlink>
    </w:p>
    <w:p w14:paraId="48C77C66" w14:textId="452EC12A" w:rsidR="00052A22" w:rsidRDefault="007E17B8">
      <w:pPr>
        <w:pStyle w:val="TableofFigures"/>
        <w:rPr>
          <w:rFonts w:asciiTheme="minorHAnsi" w:eastAsiaTheme="minorEastAsia" w:hAnsiTheme="minorHAnsi" w:cstheme="minorBidi"/>
          <w:noProof/>
          <w:sz w:val="22"/>
        </w:rPr>
      </w:pPr>
      <w:hyperlink w:anchor="_Toc131591480" w:history="1">
        <w:r w:rsidR="00052A22" w:rsidRPr="00880361">
          <w:rPr>
            <w:rStyle w:val="Hyperlink"/>
            <w:noProof/>
          </w:rPr>
          <w:t>Table 8.5.5</w:t>
        </w:r>
        <w:r w:rsidR="00052A22">
          <w:rPr>
            <w:rFonts w:asciiTheme="minorHAnsi" w:eastAsiaTheme="minorEastAsia" w:hAnsiTheme="minorHAnsi" w:cstheme="minorBidi"/>
            <w:noProof/>
            <w:sz w:val="22"/>
          </w:rPr>
          <w:tab/>
        </w:r>
        <w:r w:rsidR="00052A22" w:rsidRPr="00880361">
          <w:rPr>
            <w:rStyle w:val="Hyperlink"/>
            <w:noProof/>
          </w:rPr>
          <w:t>Parameters for estimating methane emissions for Tokelau wastewater treatment</w:t>
        </w:r>
        <w:r w:rsidR="00052A22">
          <w:rPr>
            <w:noProof/>
            <w:webHidden/>
          </w:rPr>
          <w:tab/>
        </w:r>
        <w:r w:rsidR="00052A22">
          <w:rPr>
            <w:noProof/>
            <w:webHidden/>
          </w:rPr>
          <w:fldChar w:fldCharType="begin"/>
        </w:r>
        <w:r w:rsidR="00052A22">
          <w:rPr>
            <w:noProof/>
            <w:webHidden/>
          </w:rPr>
          <w:instrText xml:space="preserve"> PAGEREF _Toc131591480 \h </w:instrText>
        </w:r>
        <w:r w:rsidR="00052A22">
          <w:rPr>
            <w:noProof/>
            <w:webHidden/>
          </w:rPr>
        </w:r>
        <w:r w:rsidR="00052A22">
          <w:rPr>
            <w:noProof/>
            <w:webHidden/>
          </w:rPr>
          <w:fldChar w:fldCharType="separate"/>
        </w:r>
        <w:r w:rsidR="008F39B8">
          <w:rPr>
            <w:noProof/>
            <w:webHidden/>
          </w:rPr>
          <w:t>372</w:t>
        </w:r>
        <w:r w:rsidR="00052A22">
          <w:rPr>
            <w:noProof/>
            <w:webHidden/>
          </w:rPr>
          <w:fldChar w:fldCharType="end"/>
        </w:r>
      </w:hyperlink>
    </w:p>
    <w:p w14:paraId="27FC241B" w14:textId="1B2BE7FC" w:rsidR="00052A22" w:rsidRDefault="007E17B8">
      <w:pPr>
        <w:pStyle w:val="TableofFigures"/>
        <w:rPr>
          <w:rFonts w:asciiTheme="minorHAnsi" w:eastAsiaTheme="minorEastAsia" w:hAnsiTheme="minorHAnsi" w:cstheme="minorBidi"/>
          <w:noProof/>
          <w:sz w:val="22"/>
        </w:rPr>
      </w:pPr>
      <w:hyperlink w:anchor="_Toc131591481" w:history="1">
        <w:r w:rsidR="00052A22" w:rsidRPr="00880361">
          <w:rPr>
            <w:rStyle w:val="Hyperlink"/>
            <w:noProof/>
          </w:rPr>
          <w:t>Table 8.5.6</w:t>
        </w:r>
        <w:r w:rsidR="00052A22">
          <w:rPr>
            <w:rFonts w:asciiTheme="minorHAnsi" w:eastAsiaTheme="minorEastAsia" w:hAnsiTheme="minorHAnsi" w:cstheme="minorBidi"/>
            <w:noProof/>
            <w:sz w:val="22"/>
          </w:rPr>
          <w:tab/>
        </w:r>
        <w:r w:rsidR="00052A22" w:rsidRPr="00880361">
          <w:rPr>
            <w:rStyle w:val="Hyperlink"/>
            <w:noProof/>
          </w:rPr>
          <w:t>Parameter values applied for estimating nitrous oxide emissions for Tokelau wastewater treatment</w:t>
        </w:r>
        <w:r w:rsidR="00052A22">
          <w:rPr>
            <w:noProof/>
            <w:webHidden/>
          </w:rPr>
          <w:tab/>
        </w:r>
        <w:r w:rsidR="00052A22">
          <w:rPr>
            <w:noProof/>
            <w:webHidden/>
          </w:rPr>
          <w:fldChar w:fldCharType="begin"/>
        </w:r>
        <w:r w:rsidR="00052A22">
          <w:rPr>
            <w:noProof/>
            <w:webHidden/>
          </w:rPr>
          <w:instrText xml:space="preserve"> PAGEREF _Toc131591481 \h </w:instrText>
        </w:r>
        <w:r w:rsidR="00052A22">
          <w:rPr>
            <w:noProof/>
            <w:webHidden/>
          </w:rPr>
        </w:r>
        <w:r w:rsidR="00052A22">
          <w:rPr>
            <w:noProof/>
            <w:webHidden/>
          </w:rPr>
          <w:fldChar w:fldCharType="separate"/>
        </w:r>
        <w:r w:rsidR="008F39B8">
          <w:rPr>
            <w:noProof/>
            <w:webHidden/>
          </w:rPr>
          <w:t>372</w:t>
        </w:r>
        <w:r w:rsidR="00052A22">
          <w:rPr>
            <w:noProof/>
            <w:webHidden/>
          </w:rPr>
          <w:fldChar w:fldCharType="end"/>
        </w:r>
      </w:hyperlink>
    </w:p>
    <w:p w14:paraId="0F01EB7D" w14:textId="13974044" w:rsidR="00052A22" w:rsidRDefault="007E17B8">
      <w:pPr>
        <w:pStyle w:val="TableofFigures"/>
        <w:rPr>
          <w:rFonts w:asciiTheme="minorHAnsi" w:eastAsiaTheme="minorEastAsia" w:hAnsiTheme="minorHAnsi" w:cstheme="minorBidi"/>
          <w:noProof/>
          <w:sz w:val="22"/>
        </w:rPr>
      </w:pPr>
      <w:hyperlink w:anchor="_Toc131591482" w:history="1">
        <w:r w:rsidR="00052A22" w:rsidRPr="00880361">
          <w:rPr>
            <w:rStyle w:val="Hyperlink"/>
            <w:noProof/>
          </w:rPr>
          <w:t>Table 8.5.7</w:t>
        </w:r>
        <w:r w:rsidR="00052A22">
          <w:rPr>
            <w:rFonts w:asciiTheme="minorHAnsi" w:eastAsiaTheme="minorEastAsia" w:hAnsiTheme="minorHAnsi" w:cstheme="minorBidi"/>
            <w:noProof/>
            <w:sz w:val="22"/>
          </w:rPr>
          <w:tab/>
        </w:r>
        <w:r w:rsidR="00052A22" w:rsidRPr="00880361">
          <w:rPr>
            <w:rStyle w:val="Hyperlink"/>
            <w:noProof/>
          </w:rPr>
          <w:t xml:space="preserve">Uncertainty in emissions from </w:t>
        </w:r>
        <w:r w:rsidR="00052A22" w:rsidRPr="00880361">
          <w:rPr>
            <w:rStyle w:val="Hyperlink"/>
            <w:i/>
            <w:iCs/>
            <w:noProof/>
          </w:rPr>
          <w:t>Domestic</w:t>
        </w:r>
        <w:r w:rsidR="00052A22" w:rsidRPr="00880361">
          <w:rPr>
            <w:rStyle w:val="Hyperlink"/>
            <w:i/>
            <w:noProof/>
          </w:rPr>
          <w:t xml:space="preserve"> wastewater</w:t>
        </w:r>
        <w:r w:rsidR="00052A22">
          <w:rPr>
            <w:noProof/>
            <w:webHidden/>
          </w:rPr>
          <w:tab/>
        </w:r>
        <w:r w:rsidR="00052A22">
          <w:rPr>
            <w:noProof/>
            <w:webHidden/>
          </w:rPr>
          <w:fldChar w:fldCharType="begin"/>
        </w:r>
        <w:r w:rsidR="00052A22">
          <w:rPr>
            <w:noProof/>
            <w:webHidden/>
          </w:rPr>
          <w:instrText xml:space="preserve"> PAGEREF _Toc131591482 \h </w:instrText>
        </w:r>
        <w:r w:rsidR="00052A22">
          <w:rPr>
            <w:noProof/>
            <w:webHidden/>
          </w:rPr>
        </w:r>
        <w:r w:rsidR="00052A22">
          <w:rPr>
            <w:noProof/>
            <w:webHidden/>
          </w:rPr>
          <w:fldChar w:fldCharType="separate"/>
        </w:r>
        <w:r w:rsidR="008F39B8">
          <w:rPr>
            <w:noProof/>
            <w:webHidden/>
          </w:rPr>
          <w:t>373</w:t>
        </w:r>
        <w:r w:rsidR="00052A22">
          <w:rPr>
            <w:noProof/>
            <w:webHidden/>
          </w:rPr>
          <w:fldChar w:fldCharType="end"/>
        </w:r>
      </w:hyperlink>
    </w:p>
    <w:p w14:paraId="57B3DF6B" w14:textId="26713109" w:rsidR="00052A22" w:rsidRDefault="007E17B8">
      <w:pPr>
        <w:pStyle w:val="TableofFigures"/>
        <w:rPr>
          <w:rFonts w:asciiTheme="minorHAnsi" w:eastAsiaTheme="minorEastAsia" w:hAnsiTheme="minorHAnsi" w:cstheme="minorBidi"/>
          <w:noProof/>
          <w:sz w:val="22"/>
        </w:rPr>
      </w:pPr>
      <w:hyperlink w:anchor="_Toc131591483" w:history="1">
        <w:r w:rsidR="00052A22" w:rsidRPr="00880361">
          <w:rPr>
            <w:rStyle w:val="Hyperlink"/>
            <w:noProof/>
          </w:rPr>
          <w:t>Table 10.1.1</w:t>
        </w:r>
        <w:r w:rsidR="00052A22">
          <w:rPr>
            <w:rFonts w:asciiTheme="minorHAnsi" w:eastAsiaTheme="minorEastAsia" w:hAnsiTheme="minorHAnsi" w:cstheme="minorBidi"/>
            <w:noProof/>
            <w:sz w:val="22"/>
          </w:rPr>
          <w:tab/>
        </w:r>
        <w:r w:rsidR="00052A22" w:rsidRPr="00880361">
          <w:rPr>
            <w:rStyle w:val="Hyperlink"/>
            <w:noProof/>
          </w:rPr>
          <w:t>Recalculations that led to the greatest increase in emissions estimates in each sector</w:t>
        </w:r>
        <w:r w:rsidR="00052A22">
          <w:rPr>
            <w:noProof/>
            <w:webHidden/>
          </w:rPr>
          <w:tab/>
        </w:r>
        <w:r w:rsidR="00052A22">
          <w:rPr>
            <w:noProof/>
            <w:webHidden/>
          </w:rPr>
          <w:fldChar w:fldCharType="begin"/>
        </w:r>
        <w:r w:rsidR="00052A22">
          <w:rPr>
            <w:noProof/>
            <w:webHidden/>
          </w:rPr>
          <w:instrText xml:space="preserve"> PAGEREF _Toc131591483 \h </w:instrText>
        </w:r>
        <w:r w:rsidR="00052A22">
          <w:rPr>
            <w:noProof/>
            <w:webHidden/>
          </w:rPr>
        </w:r>
        <w:r w:rsidR="00052A22">
          <w:rPr>
            <w:noProof/>
            <w:webHidden/>
          </w:rPr>
          <w:fldChar w:fldCharType="separate"/>
        </w:r>
        <w:r w:rsidR="008F39B8">
          <w:rPr>
            <w:noProof/>
            <w:webHidden/>
          </w:rPr>
          <w:t>377</w:t>
        </w:r>
        <w:r w:rsidR="00052A22">
          <w:rPr>
            <w:noProof/>
            <w:webHidden/>
          </w:rPr>
          <w:fldChar w:fldCharType="end"/>
        </w:r>
      </w:hyperlink>
    </w:p>
    <w:p w14:paraId="2A8EF0E0" w14:textId="5976483D" w:rsidR="00052A22" w:rsidRDefault="007E17B8">
      <w:pPr>
        <w:pStyle w:val="TableofFigures"/>
        <w:rPr>
          <w:rFonts w:asciiTheme="minorHAnsi" w:eastAsiaTheme="minorEastAsia" w:hAnsiTheme="minorHAnsi" w:cstheme="minorBidi"/>
          <w:noProof/>
          <w:sz w:val="22"/>
        </w:rPr>
      </w:pPr>
      <w:hyperlink w:anchor="_Toc131591484" w:history="1">
        <w:r w:rsidR="00052A22" w:rsidRPr="00880361">
          <w:rPr>
            <w:rStyle w:val="Hyperlink"/>
            <w:noProof/>
          </w:rPr>
          <w:t>Table 10.1.2</w:t>
        </w:r>
        <w:r w:rsidR="00052A22">
          <w:rPr>
            <w:rFonts w:asciiTheme="minorHAnsi" w:eastAsiaTheme="minorEastAsia" w:hAnsiTheme="minorHAnsi" w:cstheme="minorBidi"/>
            <w:noProof/>
            <w:sz w:val="22"/>
          </w:rPr>
          <w:tab/>
        </w:r>
        <w:r w:rsidR="00052A22" w:rsidRPr="00880361">
          <w:rPr>
            <w:rStyle w:val="Hyperlink"/>
            <w:noProof/>
          </w:rPr>
          <w:t>Recalculations that led to the greatest decrease in emissions estimates in each sector</w:t>
        </w:r>
        <w:r w:rsidR="00052A22">
          <w:rPr>
            <w:noProof/>
            <w:webHidden/>
          </w:rPr>
          <w:tab/>
        </w:r>
        <w:r w:rsidR="00052A22">
          <w:rPr>
            <w:noProof/>
            <w:webHidden/>
          </w:rPr>
          <w:fldChar w:fldCharType="begin"/>
        </w:r>
        <w:r w:rsidR="00052A22">
          <w:rPr>
            <w:noProof/>
            <w:webHidden/>
          </w:rPr>
          <w:instrText xml:space="preserve"> PAGEREF _Toc131591484 \h </w:instrText>
        </w:r>
        <w:r w:rsidR="00052A22">
          <w:rPr>
            <w:noProof/>
            <w:webHidden/>
          </w:rPr>
        </w:r>
        <w:r w:rsidR="00052A22">
          <w:rPr>
            <w:noProof/>
            <w:webHidden/>
          </w:rPr>
          <w:fldChar w:fldCharType="separate"/>
        </w:r>
        <w:r w:rsidR="008F39B8">
          <w:rPr>
            <w:noProof/>
            <w:webHidden/>
          </w:rPr>
          <w:t>378</w:t>
        </w:r>
        <w:r w:rsidR="00052A22">
          <w:rPr>
            <w:noProof/>
            <w:webHidden/>
          </w:rPr>
          <w:fldChar w:fldCharType="end"/>
        </w:r>
      </w:hyperlink>
    </w:p>
    <w:p w14:paraId="48BB9585" w14:textId="02737542" w:rsidR="00052A22" w:rsidRDefault="007E17B8">
      <w:pPr>
        <w:pStyle w:val="TableofFigures"/>
        <w:rPr>
          <w:rFonts w:asciiTheme="minorHAnsi" w:eastAsiaTheme="minorEastAsia" w:hAnsiTheme="minorHAnsi" w:cstheme="minorBidi"/>
          <w:noProof/>
          <w:sz w:val="22"/>
        </w:rPr>
      </w:pPr>
      <w:hyperlink w:anchor="_Toc131591485" w:history="1">
        <w:r w:rsidR="00052A22" w:rsidRPr="00880361">
          <w:rPr>
            <w:rStyle w:val="Hyperlink"/>
            <w:noProof/>
          </w:rPr>
          <w:t>Table 10.1.3</w:t>
        </w:r>
        <w:r w:rsidR="00052A22">
          <w:rPr>
            <w:rFonts w:asciiTheme="minorHAnsi" w:eastAsiaTheme="minorEastAsia" w:hAnsiTheme="minorHAnsi" w:cstheme="minorBidi"/>
            <w:noProof/>
            <w:sz w:val="22"/>
          </w:rPr>
          <w:tab/>
        </w:r>
        <w:r w:rsidR="00052A22" w:rsidRPr="00880361">
          <w:rPr>
            <w:rStyle w:val="Hyperlink"/>
            <w:noProof/>
          </w:rPr>
          <w:t>Explanations and justifications for recalculations in the Energy sector</w:t>
        </w:r>
        <w:r w:rsidR="00052A22">
          <w:rPr>
            <w:noProof/>
            <w:webHidden/>
          </w:rPr>
          <w:tab/>
        </w:r>
        <w:r w:rsidR="00052A22">
          <w:rPr>
            <w:noProof/>
            <w:webHidden/>
          </w:rPr>
          <w:fldChar w:fldCharType="begin"/>
        </w:r>
        <w:r w:rsidR="00052A22">
          <w:rPr>
            <w:noProof/>
            <w:webHidden/>
          </w:rPr>
          <w:instrText xml:space="preserve"> PAGEREF _Toc131591485 \h </w:instrText>
        </w:r>
        <w:r w:rsidR="00052A22">
          <w:rPr>
            <w:noProof/>
            <w:webHidden/>
          </w:rPr>
        </w:r>
        <w:r w:rsidR="00052A22">
          <w:rPr>
            <w:noProof/>
            <w:webHidden/>
          </w:rPr>
          <w:fldChar w:fldCharType="separate"/>
        </w:r>
        <w:r w:rsidR="008F39B8">
          <w:rPr>
            <w:noProof/>
            <w:webHidden/>
          </w:rPr>
          <w:t>378</w:t>
        </w:r>
        <w:r w:rsidR="00052A22">
          <w:rPr>
            <w:noProof/>
            <w:webHidden/>
          </w:rPr>
          <w:fldChar w:fldCharType="end"/>
        </w:r>
      </w:hyperlink>
    </w:p>
    <w:p w14:paraId="5F63E87B" w14:textId="405ABC1C" w:rsidR="00052A22" w:rsidRDefault="007E17B8">
      <w:pPr>
        <w:pStyle w:val="TableofFigures"/>
        <w:rPr>
          <w:rFonts w:asciiTheme="minorHAnsi" w:eastAsiaTheme="minorEastAsia" w:hAnsiTheme="minorHAnsi" w:cstheme="minorBidi"/>
          <w:noProof/>
          <w:sz w:val="22"/>
        </w:rPr>
      </w:pPr>
      <w:hyperlink w:anchor="_Toc131591486" w:history="1">
        <w:r w:rsidR="00052A22" w:rsidRPr="00880361">
          <w:rPr>
            <w:rStyle w:val="Hyperlink"/>
            <w:noProof/>
          </w:rPr>
          <w:t>Table 10.1.4</w:t>
        </w:r>
        <w:r w:rsidR="00052A22">
          <w:rPr>
            <w:rFonts w:asciiTheme="minorHAnsi" w:eastAsiaTheme="minorEastAsia" w:hAnsiTheme="minorHAnsi" w:cstheme="minorBidi"/>
            <w:noProof/>
            <w:sz w:val="22"/>
          </w:rPr>
          <w:tab/>
        </w:r>
        <w:r w:rsidR="00052A22" w:rsidRPr="00880361">
          <w:rPr>
            <w:rStyle w:val="Hyperlink"/>
            <w:noProof/>
          </w:rPr>
          <w:t>Explanations and justifications for recalculations in the IPPU sector</w:t>
        </w:r>
        <w:r w:rsidR="00052A22">
          <w:rPr>
            <w:noProof/>
            <w:webHidden/>
          </w:rPr>
          <w:tab/>
        </w:r>
        <w:r w:rsidR="00052A22">
          <w:rPr>
            <w:noProof/>
            <w:webHidden/>
          </w:rPr>
          <w:fldChar w:fldCharType="begin"/>
        </w:r>
        <w:r w:rsidR="00052A22">
          <w:rPr>
            <w:noProof/>
            <w:webHidden/>
          </w:rPr>
          <w:instrText xml:space="preserve"> PAGEREF _Toc131591486 \h </w:instrText>
        </w:r>
        <w:r w:rsidR="00052A22">
          <w:rPr>
            <w:noProof/>
            <w:webHidden/>
          </w:rPr>
        </w:r>
        <w:r w:rsidR="00052A22">
          <w:rPr>
            <w:noProof/>
            <w:webHidden/>
          </w:rPr>
          <w:fldChar w:fldCharType="separate"/>
        </w:r>
        <w:r w:rsidR="008F39B8">
          <w:rPr>
            <w:noProof/>
            <w:webHidden/>
          </w:rPr>
          <w:t>379</w:t>
        </w:r>
        <w:r w:rsidR="00052A22">
          <w:rPr>
            <w:noProof/>
            <w:webHidden/>
          </w:rPr>
          <w:fldChar w:fldCharType="end"/>
        </w:r>
      </w:hyperlink>
    </w:p>
    <w:p w14:paraId="16DA965F" w14:textId="40C5549D" w:rsidR="00052A22" w:rsidRDefault="007E17B8">
      <w:pPr>
        <w:pStyle w:val="TableofFigures"/>
        <w:rPr>
          <w:rFonts w:asciiTheme="minorHAnsi" w:eastAsiaTheme="minorEastAsia" w:hAnsiTheme="minorHAnsi" w:cstheme="minorBidi"/>
          <w:noProof/>
          <w:sz w:val="22"/>
        </w:rPr>
      </w:pPr>
      <w:hyperlink w:anchor="_Toc131591487" w:history="1">
        <w:r w:rsidR="00052A22" w:rsidRPr="00880361">
          <w:rPr>
            <w:rStyle w:val="Hyperlink"/>
            <w:noProof/>
          </w:rPr>
          <w:t>Table 10.1.5</w:t>
        </w:r>
        <w:r w:rsidR="00052A22">
          <w:rPr>
            <w:rFonts w:asciiTheme="minorHAnsi" w:eastAsiaTheme="minorEastAsia" w:hAnsiTheme="minorHAnsi" w:cstheme="minorBidi"/>
            <w:noProof/>
            <w:sz w:val="22"/>
          </w:rPr>
          <w:tab/>
        </w:r>
        <w:r w:rsidR="00052A22" w:rsidRPr="00880361">
          <w:rPr>
            <w:rStyle w:val="Hyperlink"/>
            <w:noProof/>
          </w:rPr>
          <w:t>Comparison of current and previous emissions estimates before and after change to the Frac</w:t>
        </w:r>
        <w:r w:rsidR="00052A22" w:rsidRPr="00880361">
          <w:rPr>
            <w:rStyle w:val="Hyperlink"/>
            <w:noProof/>
            <w:vertAlign w:val="subscript"/>
          </w:rPr>
          <w:t>LEACH</w:t>
        </w:r>
        <w:r w:rsidR="00052A22" w:rsidRPr="00880361">
          <w:rPr>
            <w:rStyle w:val="Hyperlink"/>
            <w:noProof/>
          </w:rPr>
          <w:t xml:space="preserve"> values</w:t>
        </w:r>
        <w:r w:rsidR="00052A22">
          <w:rPr>
            <w:noProof/>
            <w:webHidden/>
          </w:rPr>
          <w:tab/>
        </w:r>
        <w:r w:rsidR="00052A22">
          <w:rPr>
            <w:noProof/>
            <w:webHidden/>
          </w:rPr>
          <w:fldChar w:fldCharType="begin"/>
        </w:r>
        <w:r w:rsidR="00052A22">
          <w:rPr>
            <w:noProof/>
            <w:webHidden/>
          </w:rPr>
          <w:instrText xml:space="preserve"> PAGEREF _Toc131591487 \h </w:instrText>
        </w:r>
        <w:r w:rsidR="00052A22">
          <w:rPr>
            <w:noProof/>
            <w:webHidden/>
          </w:rPr>
        </w:r>
        <w:r w:rsidR="00052A22">
          <w:rPr>
            <w:noProof/>
            <w:webHidden/>
          </w:rPr>
          <w:fldChar w:fldCharType="separate"/>
        </w:r>
        <w:r w:rsidR="008F39B8">
          <w:rPr>
            <w:noProof/>
            <w:webHidden/>
          </w:rPr>
          <w:t>381</w:t>
        </w:r>
        <w:r w:rsidR="00052A22">
          <w:rPr>
            <w:noProof/>
            <w:webHidden/>
          </w:rPr>
          <w:fldChar w:fldCharType="end"/>
        </w:r>
      </w:hyperlink>
    </w:p>
    <w:p w14:paraId="5AC76C43" w14:textId="14DFE84F" w:rsidR="00052A22" w:rsidRDefault="007E17B8">
      <w:pPr>
        <w:pStyle w:val="TableofFigures"/>
        <w:rPr>
          <w:rFonts w:asciiTheme="minorHAnsi" w:eastAsiaTheme="minorEastAsia" w:hAnsiTheme="minorHAnsi" w:cstheme="minorBidi"/>
          <w:noProof/>
          <w:sz w:val="22"/>
        </w:rPr>
      </w:pPr>
      <w:hyperlink w:anchor="_Toc131591488" w:history="1">
        <w:r w:rsidR="00052A22" w:rsidRPr="00880361">
          <w:rPr>
            <w:rStyle w:val="Hyperlink"/>
            <w:noProof/>
          </w:rPr>
          <w:t xml:space="preserve">Table 10.1.6 </w:t>
        </w:r>
        <w:r w:rsidR="00052A22">
          <w:rPr>
            <w:rFonts w:asciiTheme="minorHAnsi" w:eastAsiaTheme="minorEastAsia" w:hAnsiTheme="minorHAnsi" w:cstheme="minorBidi"/>
            <w:noProof/>
            <w:sz w:val="22"/>
          </w:rPr>
          <w:tab/>
        </w:r>
        <w:r w:rsidR="00052A22" w:rsidRPr="00880361">
          <w:rPr>
            <w:rStyle w:val="Hyperlink"/>
            <w:noProof/>
          </w:rPr>
          <w:t>Long-term average monthly distribution of slaughter for mature cows</w:t>
        </w:r>
        <w:r w:rsidR="00052A22">
          <w:rPr>
            <w:noProof/>
            <w:webHidden/>
          </w:rPr>
          <w:tab/>
        </w:r>
        <w:r w:rsidR="00052A22">
          <w:rPr>
            <w:noProof/>
            <w:webHidden/>
          </w:rPr>
          <w:fldChar w:fldCharType="begin"/>
        </w:r>
        <w:r w:rsidR="00052A22">
          <w:rPr>
            <w:noProof/>
            <w:webHidden/>
          </w:rPr>
          <w:instrText xml:space="preserve"> PAGEREF _Toc131591488 \h </w:instrText>
        </w:r>
        <w:r w:rsidR="00052A22">
          <w:rPr>
            <w:noProof/>
            <w:webHidden/>
          </w:rPr>
        </w:r>
        <w:r w:rsidR="00052A22">
          <w:rPr>
            <w:noProof/>
            <w:webHidden/>
          </w:rPr>
          <w:fldChar w:fldCharType="separate"/>
        </w:r>
        <w:r w:rsidR="008F39B8">
          <w:rPr>
            <w:noProof/>
            <w:webHidden/>
          </w:rPr>
          <w:t>382</w:t>
        </w:r>
        <w:r w:rsidR="00052A22">
          <w:rPr>
            <w:noProof/>
            <w:webHidden/>
          </w:rPr>
          <w:fldChar w:fldCharType="end"/>
        </w:r>
      </w:hyperlink>
    </w:p>
    <w:p w14:paraId="2F91378F" w14:textId="60136B17" w:rsidR="00052A22" w:rsidRDefault="007E17B8">
      <w:pPr>
        <w:pStyle w:val="TableofFigures"/>
        <w:rPr>
          <w:rFonts w:asciiTheme="minorHAnsi" w:eastAsiaTheme="minorEastAsia" w:hAnsiTheme="minorHAnsi" w:cstheme="minorBidi"/>
          <w:noProof/>
          <w:sz w:val="22"/>
        </w:rPr>
      </w:pPr>
      <w:hyperlink w:anchor="_Toc131591489" w:history="1">
        <w:r w:rsidR="00052A22" w:rsidRPr="00880361">
          <w:rPr>
            <w:rStyle w:val="Hyperlink"/>
            <w:noProof/>
          </w:rPr>
          <w:t xml:space="preserve">Table 10.1.7 </w:t>
        </w:r>
        <w:r w:rsidR="00052A22">
          <w:rPr>
            <w:rFonts w:asciiTheme="minorHAnsi" w:eastAsiaTheme="minorEastAsia" w:hAnsiTheme="minorHAnsi" w:cstheme="minorBidi"/>
            <w:noProof/>
            <w:sz w:val="22"/>
          </w:rPr>
          <w:tab/>
        </w:r>
        <w:r w:rsidR="00052A22" w:rsidRPr="00880361">
          <w:rPr>
            <w:rStyle w:val="Hyperlink"/>
            <w:noProof/>
          </w:rPr>
          <w:t>Comparison of current and previous emissions estimates before and after the change to the dairy cattle population modelling</w:t>
        </w:r>
        <w:r w:rsidR="00052A22">
          <w:rPr>
            <w:noProof/>
            <w:webHidden/>
          </w:rPr>
          <w:tab/>
        </w:r>
        <w:r w:rsidR="00052A22">
          <w:rPr>
            <w:noProof/>
            <w:webHidden/>
          </w:rPr>
          <w:fldChar w:fldCharType="begin"/>
        </w:r>
        <w:r w:rsidR="00052A22">
          <w:rPr>
            <w:noProof/>
            <w:webHidden/>
          </w:rPr>
          <w:instrText xml:space="preserve"> PAGEREF _Toc131591489 \h </w:instrText>
        </w:r>
        <w:r w:rsidR="00052A22">
          <w:rPr>
            <w:noProof/>
            <w:webHidden/>
          </w:rPr>
        </w:r>
        <w:r w:rsidR="00052A22">
          <w:rPr>
            <w:noProof/>
            <w:webHidden/>
          </w:rPr>
          <w:fldChar w:fldCharType="separate"/>
        </w:r>
        <w:r w:rsidR="008F39B8">
          <w:rPr>
            <w:noProof/>
            <w:webHidden/>
          </w:rPr>
          <w:t>383</w:t>
        </w:r>
        <w:r w:rsidR="00052A22">
          <w:rPr>
            <w:noProof/>
            <w:webHidden/>
          </w:rPr>
          <w:fldChar w:fldCharType="end"/>
        </w:r>
      </w:hyperlink>
    </w:p>
    <w:p w14:paraId="710D2E08" w14:textId="7682E374" w:rsidR="00052A22" w:rsidRDefault="007E17B8">
      <w:pPr>
        <w:pStyle w:val="TableofFigures"/>
        <w:rPr>
          <w:rFonts w:asciiTheme="minorHAnsi" w:eastAsiaTheme="minorEastAsia" w:hAnsiTheme="minorHAnsi" w:cstheme="minorBidi"/>
          <w:noProof/>
          <w:sz w:val="22"/>
        </w:rPr>
      </w:pPr>
      <w:hyperlink w:anchor="_Toc131591490" w:history="1">
        <w:r w:rsidR="00052A22" w:rsidRPr="00880361">
          <w:rPr>
            <w:rStyle w:val="Hyperlink"/>
            <w:noProof/>
          </w:rPr>
          <w:t xml:space="preserve">Table 10.1.8 </w:t>
        </w:r>
        <w:r w:rsidR="00052A22">
          <w:rPr>
            <w:rFonts w:asciiTheme="minorHAnsi" w:eastAsiaTheme="minorEastAsia" w:hAnsiTheme="minorHAnsi" w:cstheme="minorBidi"/>
            <w:noProof/>
            <w:sz w:val="22"/>
          </w:rPr>
          <w:tab/>
        </w:r>
        <w:r w:rsidR="00052A22" w:rsidRPr="00880361">
          <w:rPr>
            <w:rStyle w:val="Hyperlink"/>
            <w:noProof/>
          </w:rPr>
          <w:t>Comparison of current and previous emissions estimates before and after the incorporation of supplementary feeds</w:t>
        </w:r>
        <w:r w:rsidR="00052A22">
          <w:rPr>
            <w:noProof/>
            <w:webHidden/>
          </w:rPr>
          <w:tab/>
        </w:r>
        <w:r w:rsidR="00052A22">
          <w:rPr>
            <w:noProof/>
            <w:webHidden/>
          </w:rPr>
          <w:fldChar w:fldCharType="begin"/>
        </w:r>
        <w:r w:rsidR="00052A22">
          <w:rPr>
            <w:noProof/>
            <w:webHidden/>
          </w:rPr>
          <w:instrText xml:space="preserve"> PAGEREF _Toc131591490 \h </w:instrText>
        </w:r>
        <w:r w:rsidR="00052A22">
          <w:rPr>
            <w:noProof/>
            <w:webHidden/>
          </w:rPr>
        </w:r>
        <w:r w:rsidR="00052A22">
          <w:rPr>
            <w:noProof/>
            <w:webHidden/>
          </w:rPr>
          <w:fldChar w:fldCharType="separate"/>
        </w:r>
        <w:r w:rsidR="008F39B8">
          <w:rPr>
            <w:noProof/>
            <w:webHidden/>
          </w:rPr>
          <w:t>384</w:t>
        </w:r>
        <w:r w:rsidR="00052A22">
          <w:rPr>
            <w:noProof/>
            <w:webHidden/>
          </w:rPr>
          <w:fldChar w:fldCharType="end"/>
        </w:r>
      </w:hyperlink>
    </w:p>
    <w:p w14:paraId="21ABD4E1" w14:textId="005EB580" w:rsidR="00052A22" w:rsidRDefault="007E17B8">
      <w:pPr>
        <w:pStyle w:val="TableofFigures"/>
        <w:rPr>
          <w:rFonts w:asciiTheme="minorHAnsi" w:eastAsiaTheme="minorEastAsia" w:hAnsiTheme="minorHAnsi" w:cstheme="minorBidi"/>
          <w:noProof/>
          <w:sz w:val="22"/>
        </w:rPr>
      </w:pPr>
      <w:hyperlink w:anchor="_Toc131591491" w:history="1">
        <w:r w:rsidR="00052A22" w:rsidRPr="00880361">
          <w:rPr>
            <w:rStyle w:val="Hyperlink"/>
            <w:noProof/>
          </w:rPr>
          <w:t>Table 10.1.9</w:t>
        </w:r>
        <w:r w:rsidR="00052A22">
          <w:rPr>
            <w:rFonts w:asciiTheme="minorHAnsi" w:eastAsiaTheme="minorEastAsia" w:hAnsiTheme="minorHAnsi" w:cstheme="minorBidi"/>
            <w:noProof/>
            <w:sz w:val="22"/>
          </w:rPr>
          <w:tab/>
        </w:r>
        <w:r w:rsidR="00052A22" w:rsidRPr="00880361">
          <w:rPr>
            <w:rStyle w:val="Hyperlink"/>
            <w:noProof/>
          </w:rPr>
          <w:t>Explanations and justifications for recalculations in the LULUCF sector</w:t>
        </w:r>
        <w:r w:rsidR="00052A22">
          <w:rPr>
            <w:noProof/>
            <w:webHidden/>
          </w:rPr>
          <w:tab/>
        </w:r>
        <w:r w:rsidR="00052A22">
          <w:rPr>
            <w:noProof/>
            <w:webHidden/>
          </w:rPr>
          <w:fldChar w:fldCharType="begin"/>
        </w:r>
        <w:r w:rsidR="00052A22">
          <w:rPr>
            <w:noProof/>
            <w:webHidden/>
          </w:rPr>
          <w:instrText xml:space="preserve"> PAGEREF _Toc131591491 \h </w:instrText>
        </w:r>
        <w:r w:rsidR="00052A22">
          <w:rPr>
            <w:noProof/>
            <w:webHidden/>
          </w:rPr>
        </w:r>
        <w:r w:rsidR="00052A22">
          <w:rPr>
            <w:noProof/>
            <w:webHidden/>
          </w:rPr>
          <w:fldChar w:fldCharType="separate"/>
        </w:r>
        <w:r w:rsidR="008F39B8">
          <w:rPr>
            <w:noProof/>
            <w:webHidden/>
          </w:rPr>
          <w:t>386</w:t>
        </w:r>
        <w:r w:rsidR="00052A22">
          <w:rPr>
            <w:noProof/>
            <w:webHidden/>
          </w:rPr>
          <w:fldChar w:fldCharType="end"/>
        </w:r>
      </w:hyperlink>
    </w:p>
    <w:p w14:paraId="58128BD6" w14:textId="70A613F3" w:rsidR="00052A22" w:rsidRDefault="007E17B8">
      <w:pPr>
        <w:pStyle w:val="TableofFigures"/>
        <w:rPr>
          <w:rFonts w:asciiTheme="minorHAnsi" w:eastAsiaTheme="minorEastAsia" w:hAnsiTheme="minorHAnsi" w:cstheme="minorBidi"/>
          <w:noProof/>
          <w:sz w:val="22"/>
        </w:rPr>
      </w:pPr>
      <w:hyperlink w:anchor="_Toc131591492" w:history="1">
        <w:r w:rsidR="00052A22" w:rsidRPr="00880361">
          <w:rPr>
            <w:rStyle w:val="Hyperlink"/>
            <w:noProof/>
          </w:rPr>
          <w:t>Table 10.1.10</w:t>
        </w:r>
        <w:r w:rsidR="00052A22">
          <w:rPr>
            <w:rFonts w:asciiTheme="minorHAnsi" w:eastAsiaTheme="minorEastAsia" w:hAnsiTheme="minorHAnsi" w:cstheme="minorBidi"/>
            <w:noProof/>
            <w:sz w:val="22"/>
          </w:rPr>
          <w:tab/>
        </w:r>
        <w:r w:rsidR="00052A22" w:rsidRPr="00880361">
          <w:rPr>
            <w:rStyle w:val="Hyperlink"/>
            <w:noProof/>
          </w:rPr>
          <w:t>Explanations and justifications for recalculations in the Waste sector</w:t>
        </w:r>
        <w:r w:rsidR="00052A22">
          <w:rPr>
            <w:noProof/>
            <w:webHidden/>
          </w:rPr>
          <w:tab/>
        </w:r>
        <w:r w:rsidR="00052A22">
          <w:rPr>
            <w:noProof/>
            <w:webHidden/>
          </w:rPr>
          <w:fldChar w:fldCharType="begin"/>
        </w:r>
        <w:r w:rsidR="00052A22">
          <w:rPr>
            <w:noProof/>
            <w:webHidden/>
          </w:rPr>
          <w:instrText xml:space="preserve"> PAGEREF _Toc131591492 \h </w:instrText>
        </w:r>
        <w:r w:rsidR="00052A22">
          <w:rPr>
            <w:noProof/>
            <w:webHidden/>
          </w:rPr>
        </w:r>
        <w:r w:rsidR="00052A22">
          <w:rPr>
            <w:noProof/>
            <w:webHidden/>
          </w:rPr>
          <w:fldChar w:fldCharType="separate"/>
        </w:r>
        <w:r w:rsidR="008F39B8">
          <w:rPr>
            <w:noProof/>
            <w:webHidden/>
          </w:rPr>
          <w:t>388</w:t>
        </w:r>
        <w:r w:rsidR="00052A22">
          <w:rPr>
            <w:noProof/>
            <w:webHidden/>
          </w:rPr>
          <w:fldChar w:fldCharType="end"/>
        </w:r>
      </w:hyperlink>
    </w:p>
    <w:p w14:paraId="5A8B7140" w14:textId="0C74566F" w:rsidR="00052A22" w:rsidRDefault="007E17B8">
      <w:pPr>
        <w:pStyle w:val="TableofFigures"/>
        <w:rPr>
          <w:rFonts w:asciiTheme="minorHAnsi" w:eastAsiaTheme="minorEastAsia" w:hAnsiTheme="minorHAnsi" w:cstheme="minorBidi"/>
          <w:noProof/>
          <w:sz w:val="22"/>
        </w:rPr>
      </w:pPr>
      <w:hyperlink w:anchor="_Toc131591493" w:history="1">
        <w:r w:rsidR="00052A22" w:rsidRPr="00880361">
          <w:rPr>
            <w:rStyle w:val="Hyperlink"/>
            <w:noProof/>
          </w:rPr>
          <w:t>Table 10.2.1</w:t>
        </w:r>
        <w:r w:rsidR="00052A22">
          <w:rPr>
            <w:rFonts w:asciiTheme="minorHAnsi" w:eastAsiaTheme="minorEastAsia" w:hAnsiTheme="minorHAnsi" w:cstheme="minorBidi"/>
            <w:noProof/>
            <w:sz w:val="22"/>
          </w:rPr>
          <w:tab/>
        </w:r>
        <w:r w:rsidR="00052A22" w:rsidRPr="00880361">
          <w:rPr>
            <w:rStyle w:val="Hyperlink"/>
            <w:noProof/>
          </w:rPr>
          <w:t>New Zealand’s responses to recommendations in tables 3 and 4 of the 2021 assessment and review report that remain relevant as issues raised in earlier reviews</w:t>
        </w:r>
        <w:r w:rsidR="00052A22">
          <w:rPr>
            <w:noProof/>
            <w:webHidden/>
          </w:rPr>
          <w:tab/>
        </w:r>
        <w:r w:rsidR="00052A22">
          <w:rPr>
            <w:noProof/>
            <w:webHidden/>
          </w:rPr>
          <w:fldChar w:fldCharType="begin"/>
        </w:r>
        <w:r w:rsidR="00052A22">
          <w:rPr>
            <w:noProof/>
            <w:webHidden/>
          </w:rPr>
          <w:instrText xml:space="preserve"> PAGEREF _Toc131591493 \h </w:instrText>
        </w:r>
        <w:r w:rsidR="00052A22">
          <w:rPr>
            <w:noProof/>
            <w:webHidden/>
          </w:rPr>
        </w:r>
        <w:r w:rsidR="00052A22">
          <w:rPr>
            <w:noProof/>
            <w:webHidden/>
          </w:rPr>
          <w:fldChar w:fldCharType="separate"/>
        </w:r>
        <w:r w:rsidR="008F39B8">
          <w:rPr>
            <w:noProof/>
            <w:webHidden/>
          </w:rPr>
          <w:t>389</w:t>
        </w:r>
        <w:r w:rsidR="00052A22">
          <w:rPr>
            <w:noProof/>
            <w:webHidden/>
          </w:rPr>
          <w:fldChar w:fldCharType="end"/>
        </w:r>
      </w:hyperlink>
    </w:p>
    <w:p w14:paraId="32847C4B" w14:textId="22EB20CC" w:rsidR="00052A22" w:rsidRDefault="007E17B8">
      <w:pPr>
        <w:pStyle w:val="TableofFigures"/>
        <w:rPr>
          <w:rFonts w:asciiTheme="minorHAnsi" w:eastAsiaTheme="minorEastAsia" w:hAnsiTheme="minorHAnsi" w:cstheme="minorBidi"/>
          <w:noProof/>
          <w:sz w:val="22"/>
        </w:rPr>
      </w:pPr>
      <w:hyperlink w:anchor="_Toc131591494" w:history="1">
        <w:r w:rsidR="00052A22" w:rsidRPr="00880361">
          <w:rPr>
            <w:rStyle w:val="Hyperlink"/>
            <w:noProof/>
          </w:rPr>
          <w:t>Table 10.2.2</w:t>
        </w:r>
        <w:r w:rsidR="00052A22">
          <w:rPr>
            <w:rFonts w:asciiTheme="minorHAnsi" w:eastAsiaTheme="minorEastAsia" w:hAnsiTheme="minorHAnsi" w:cstheme="minorBidi"/>
            <w:noProof/>
            <w:sz w:val="22"/>
          </w:rPr>
          <w:tab/>
        </w:r>
        <w:r w:rsidR="00052A22" w:rsidRPr="00880361">
          <w:rPr>
            <w:rStyle w:val="Hyperlink"/>
            <w:noProof/>
          </w:rPr>
          <w:t>New Zealand’s responses to recommendations in table 5 of the 2021 assessment review report from the review of New Zealand’s 2021 inventory submission</w:t>
        </w:r>
        <w:r w:rsidR="00052A22">
          <w:rPr>
            <w:noProof/>
            <w:webHidden/>
          </w:rPr>
          <w:tab/>
        </w:r>
        <w:r w:rsidR="00052A22">
          <w:rPr>
            <w:noProof/>
            <w:webHidden/>
          </w:rPr>
          <w:fldChar w:fldCharType="begin"/>
        </w:r>
        <w:r w:rsidR="00052A22">
          <w:rPr>
            <w:noProof/>
            <w:webHidden/>
          </w:rPr>
          <w:instrText xml:space="preserve"> PAGEREF _Toc131591494 \h </w:instrText>
        </w:r>
        <w:r w:rsidR="00052A22">
          <w:rPr>
            <w:noProof/>
            <w:webHidden/>
          </w:rPr>
        </w:r>
        <w:r w:rsidR="00052A22">
          <w:rPr>
            <w:noProof/>
            <w:webHidden/>
          </w:rPr>
          <w:fldChar w:fldCharType="separate"/>
        </w:r>
        <w:r w:rsidR="008F39B8">
          <w:rPr>
            <w:noProof/>
            <w:webHidden/>
          </w:rPr>
          <w:t>403</w:t>
        </w:r>
        <w:r w:rsidR="00052A22">
          <w:rPr>
            <w:noProof/>
            <w:webHidden/>
          </w:rPr>
          <w:fldChar w:fldCharType="end"/>
        </w:r>
      </w:hyperlink>
    </w:p>
    <w:p w14:paraId="1FA10D22" w14:textId="47415E12" w:rsidR="00052A22" w:rsidRDefault="007E17B8">
      <w:pPr>
        <w:pStyle w:val="TableofFigures"/>
        <w:rPr>
          <w:rFonts w:asciiTheme="minorHAnsi" w:eastAsiaTheme="minorEastAsia" w:hAnsiTheme="minorHAnsi" w:cstheme="minorBidi"/>
          <w:noProof/>
          <w:sz w:val="22"/>
        </w:rPr>
      </w:pPr>
      <w:hyperlink w:anchor="_Toc131591495" w:history="1">
        <w:r w:rsidR="00052A22" w:rsidRPr="00880361">
          <w:rPr>
            <w:rStyle w:val="Hyperlink"/>
            <w:noProof/>
          </w:rPr>
          <w:t>Table 11.1.1</w:t>
        </w:r>
        <w:r w:rsidR="00052A22">
          <w:rPr>
            <w:rFonts w:asciiTheme="minorHAnsi" w:eastAsiaTheme="minorEastAsia" w:hAnsiTheme="minorHAnsi" w:cstheme="minorBidi"/>
            <w:noProof/>
            <w:sz w:val="22"/>
          </w:rPr>
          <w:tab/>
        </w:r>
        <w:r w:rsidR="00052A22" w:rsidRPr="00880361">
          <w:rPr>
            <w:rStyle w:val="Hyperlink"/>
            <w:noProof/>
          </w:rPr>
          <w:t>New Zealand’s emissions under Article 3.3 and Article 3.4 of the Kyoto Protocol, in 2021</w:t>
        </w:r>
        <w:r w:rsidR="00052A22">
          <w:rPr>
            <w:noProof/>
            <w:webHidden/>
          </w:rPr>
          <w:tab/>
        </w:r>
        <w:r w:rsidR="00052A22">
          <w:rPr>
            <w:noProof/>
            <w:webHidden/>
          </w:rPr>
          <w:fldChar w:fldCharType="begin"/>
        </w:r>
        <w:r w:rsidR="00052A22">
          <w:rPr>
            <w:noProof/>
            <w:webHidden/>
          </w:rPr>
          <w:instrText xml:space="preserve"> PAGEREF _Toc131591495 \h </w:instrText>
        </w:r>
        <w:r w:rsidR="00052A22">
          <w:rPr>
            <w:noProof/>
            <w:webHidden/>
          </w:rPr>
        </w:r>
        <w:r w:rsidR="00052A22">
          <w:rPr>
            <w:noProof/>
            <w:webHidden/>
          </w:rPr>
          <w:fldChar w:fldCharType="separate"/>
        </w:r>
        <w:r w:rsidR="008F39B8">
          <w:rPr>
            <w:noProof/>
            <w:webHidden/>
          </w:rPr>
          <w:t>410</w:t>
        </w:r>
        <w:r w:rsidR="00052A22">
          <w:rPr>
            <w:noProof/>
            <w:webHidden/>
          </w:rPr>
          <w:fldChar w:fldCharType="end"/>
        </w:r>
      </w:hyperlink>
    </w:p>
    <w:p w14:paraId="00819A90" w14:textId="13C3B61D" w:rsidR="00052A22" w:rsidRDefault="007E17B8">
      <w:pPr>
        <w:pStyle w:val="TableofFigures"/>
        <w:rPr>
          <w:rFonts w:asciiTheme="minorHAnsi" w:eastAsiaTheme="minorEastAsia" w:hAnsiTheme="minorHAnsi" w:cstheme="minorBidi"/>
          <w:noProof/>
          <w:sz w:val="22"/>
        </w:rPr>
      </w:pPr>
      <w:hyperlink w:anchor="_Toc131591496" w:history="1">
        <w:r w:rsidR="00052A22" w:rsidRPr="00880361">
          <w:rPr>
            <w:rStyle w:val="Hyperlink"/>
            <w:noProof/>
          </w:rPr>
          <w:t>Table 11.1.2</w:t>
        </w:r>
        <w:r w:rsidR="00052A22">
          <w:rPr>
            <w:rFonts w:asciiTheme="minorHAnsi" w:eastAsiaTheme="minorEastAsia" w:hAnsiTheme="minorHAnsi" w:cstheme="minorBidi"/>
            <w:noProof/>
            <w:sz w:val="22"/>
          </w:rPr>
          <w:tab/>
        </w:r>
        <w:r w:rsidR="00052A22" w:rsidRPr="00880361">
          <w:rPr>
            <w:rStyle w:val="Hyperlink"/>
            <w:noProof/>
          </w:rPr>
          <w:t>New Zealand’s emissions for 2021 by greenhouse gas source category</w:t>
        </w:r>
        <w:r w:rsidR="00052A22">
          <w:rPr>
            <w:noProof/>
            <w:webHidden/>
          </w:rPr>
          <w:tab/>
        </w:r>
        <w:r w:rsidR="00052A22">
          <w:rPr>
            <w:noProof/>
            <w:webHidden/>
          </w:rPr>
          <w:fldChar w:fldCharType="begin"/>
        </w:r>
        <w:r w:rsidR="00052A22">
          <w:rPr>
            <w:noProof/>
            <w:webHidden/>
          </w:rPr>
          <w:instrText xml:space="preserve"> PAGEREF _Toc131591496 \h </w:instrText>
        </w:r>
        <w:r w:rsidR="00052A22">
          <w:rPr>
            <w:noProof/>
            <w:webHidden/>
          </w:rPr>
        </w:r>
        <w:r w:rsidR="00052A22">
          <w:rPr>
            <w:noProof/>
            <w:webHidden/>
          </w:rPr>
          <w:fldChar w:fldCharType="separate"/>
        </w:r>
        <w:r w:rsidR="008F39B8">
          <w:rPr>
            <w:noProof/>
            <w:webHidden/>
          </w:rPr>
          <w:t>411</w:t>
        </w:r>
        <w:r w:rsidR="00052A22">
          <w:rPr>
            <w:noProof/>
            <w:webHidden/>
          </w:rPr>
          <w:fldChar w:fldCharType="end"/>
        </w:r>
      </w:hyperlink>
    </w:p>
    <w:p w14:paraId="07132530" w14:textId="45A3D487" w:rsidR="00052A22" w:rsidRDefault="007E17B8">
      <w:pPr>
        <w:pStyle w:val="TableofFigures"/>
        <w:rPr>
          <w:rFonts w:asciiTheme="minorHAnsi" w:eastAsiaTheme="minorEastAsia" w:hAnsiTheme="minorHAnsi" w:cstheme="minorBidi"/>
          <w:noProof/>
          <w:sz w:val="22"/>
        </w:rPr>
      </w:pPr>
      <w:hyperlink w:anchor="_Toc131591497" w:history="1">
        <w:r w:rsidR="00052A22" w:rsidRPr="00880361">
          <w:rPr>
            <w:rStyle w:val="Hyperlink"/>
            <w:noProof/>
          </w:rPr>
          <w:t>Table 11.1.3</w:t>
        </w:r>
        <w:r w:rsidR="00052A22">
          <w:rPr>
            <w:rFonts w:asciiTheme="minorHAnsi" w:eastAsiaTheme="minorEastAsia" w:hAnsiTheme="minorHAnsi" w:cstheme="minorBidi"/>
            <w:noProof/>
            <w:sz w:val="22"/>
          </w:rPr>
          <w:tab/>
        </w:r>
        <w:r w:rsidR="00052A22" w:rsidRPr="00880361">
          <w:rPr>
            <w:rStyle w:val="Hyperlink"/>
            <w:noProof/>
          </w:rPr>
          <w:t xml:space="preserve">Parameters defining </w:t>
        </w:r>
        <w:r w:rsidR="00052A22" w:rsidRPr="00880361">
          <w:rPr>
            <w:rStyle w:val="Hyperlink"/>
            <w:i/>
            <w:iCs/>
            <w:noProof/>
          </w:rPr>
          <w:t>Forest land</w:t>
        </w:r>
        <w:r w:rsidR="00052A22" w:rsidRPr="00880361">
          <w:rPr>
            <w:rStyle w:val="Hyperlink"/>
            <w:noProof/>
          </w:rPr>
          <w:t xml:space="preserve"> in New Zealand</w:t>
        </w:r>
        <w:r w:rsidR="00052A22">
          <w:rPr>
            <w:noProof/>
            <w:webHidden/>
          </w:rPr>
          <w:tab/>
        </w:r>
        <w:r w:rsidR="00052A22">
          <w:rPr>
            <w:noProof/>
            <w:webHidden/>
          </w:rPr>
          <w:fldChar w:fldCharType="begin"/>
        </w:r>
        <w:r w:rsidR="00052A22">
          <w:rPr>
            <w:noProof/>
            <w:webHidden/>
          </w:rPr>
          <w:instrText xml:space="preserve"> PAGEREF _Toc131591497 \h </w:instrText>
        </w:r>
        <w:r w:rsidR="00052A22">
          <w:rPr>
            <w:noProof/>
            <w:webHidden/>
          </w:rPr>
        </w:r>
        <w:r w:rsidR="00052A22">
          <w:rPr>
            <w:noProof/>
            <w:webHidden/>
          </w:rPr>
          <w:fldChar w:fldCharType="separate"/>
        </w:r>
        <w:r w:rsidR="008F39B8">
          <w:rPr>
            <w:noProof/>
            <w:webHidden/>
          </w:rPr>
          <w:t>412</w:t>
        </w:r>
        <w:r w:rsidR="00052A22">
          <w:rPr>
            <w:noProof/>
            <w:webHidden/>
          </w:rPr>
          <w:fldChar w:fldCharType="end"/>
        </w:r>
      </w:hyperlink>
    </w:p>
    <w:p w14:paraId="04864FA0" w14:textId="2B679240" w:rsidR="00052A22" w:rsidRDefault="007E17B8">
      <w:pPr>
        <w:pStyle w:val="TableofFigures"/>
        <w:rPr>
          <w:rFonts w:asciiTheme="minorHAnsi" w:eastAsiaTheme="minorEastAsia" w:hAnsiTheme="minorHAnsi" w:cstheme="minorBidi"/>
          <w:noProof/>
          <w:sz w:val="22"/>
        </w:rPr>
      </w:pPr>
      <w:hyperlink w:anchor="_Toc131591498" w:history="1">
        <w:r w:rsidR="00052A22" w:rsidRPr="00880361">
          <w:rPr>
            <w:rStyle w:val="Hyperlink"/>
            <w:noProof/>
          </w:rPr>
          <w:t>Table 11.2.1</w:t>
        </w:r>
        <w:r w:rsidR="00052A22">
          <w:rPr>
            <w:rFonts w:asciiTheme="minorHAnsi" w:eastAsiaTheme="minorEastAsia" w:hAnsiTheme="minorHAnsi" w:cstheme="minorBidi"/>
            <w:noProof/>
            <w:sz w:val="22"/>
          </w:rPr>
          <w:tab/>
        </w:r>
        <w:r w:rsidR="00052A22" w:rsidRPr="00880361">
          <w:rPr>
            <w:rStyle w:val="Hyperlink"/>
            <w:noProof/>
          </w:rPr>
          <w:t>Relationship between mapped land-use changes and activities reported under Article 3.3 and Article 3.4</w:t>
        </w:r>
        <w:r w:rsidR="00052A22">
          <w:rPr>
            <w:noProof/>
            <w:webHidden/>
          </w:rPr>
          <w:tab/>
        </w:r>
        <w:r w:rsidR="00052A22">
          <w:rPr>
            <w:noProof/>
            <w:webHidden/>
          </w:rPr>
          <w:fldChar w:fldCharType="begin"/>
        </w:r>
        <w:r w:rsidR="00052A22">
          <w:rPr>
            <w:noProof/>
            <w:webHidden/>
          </w:rPr>
          <w:instrText xml:space="preserve"> PAGEREF _Toc131591498 \h </w:instrText>
        </w:r>
        <w:r w:rsidR="00052A22">
          <w:rPr>
            <w:noProof/>
            <w:webHidden/>
          </w:rPr>
        </w:r>
        <w:r w:rsidR="00052A22">
          <w:rPr>
            <w:noProof/>
            <w:webHidden/>
          </w:rPr>
          <w:fldChar w:fldCharType="separate"/>
        </w:r>
        <w:r w:rsidR="008F39B8">
          <w:rPr>
            <w:noProof/>
            <w:webHidden/>
          </w:rPr>
          <w:t>414</w:t>
        </w:r>
        <w:r w:rsidR="00052A22">
          <w:rPr>
            <w:noProof/>
            <w:webHidden/>
          </w:rPr>
          <w:fldChar w:fldCharType="end"/>
        </w:r>
      </w:hyperlink>
    </w:p>
    <w:p w14:paraId="2FA95A0C" w14:textId="3E4FE797" w:rsidR="00052A22" w:rsidRDefault="007E17B8">
      <w:pPr>
        <w:pStyle w:val="TableofFigures"/>
        <w:rPr>
          <w:rFonts w:asciiTheme="minorHAnsi" w:eastAsiaTheme="minorEastAsia" w:hAnsiTheme="minorHAnsi" w:cstheme="minorBidi"/>
          <w:noProof/>
          <w:sz w:val="22"/>
        </w:rPr>
      </w:pPr>
      <w:hyperlink w:anchor="_Toc131591499" w:history="1">
        <w:r w:rsidR="00052A22" w:rsidRPr="00880361">
          <w:rPr>
            <w:rStyle w:val="Hyperlink"/>
            <w:noProof/>
          </w:rPr>
          <w:t>Table 11.3.1</w:t>
        </w:r>
        <w:r w:rsidR="00052A22">
          <w:rPr>
            <w:rFonts w:asciiTheme="minorHAnsi" w:eastAsiaTheme="minorEastAsia" w:hAnsiTheme="minorHAnsi" w:cstheme="minorBidi"/>
            <w:noProof/>
            <w:sz w:val="22"/>
          </w:rPr>
          <w:tab/>
        </w:r>
        <w:r w:rsidR="00052A22" w:rsidRPr="00880361">
          <w:rPr>
            <w:rStyle w:val="Hyperlink"/>
            <w:noProof/>
          </w:rPr>
          <w:t xml:space="preserve">New Zealand’s estimated annual area under </w:t>
        </w:r>
        <w:r w:rsidR="00052A22" w:rsidRPr="00880361">
          <w:rPr>
            <w:rStyle w:val="Hyperlink"/>
            <w:i/>
            <w:iCs/>
            <w:noProof/>
          </w:rPr>
          <w:t>Afforestation and reforestation</w:t>
        </w:r>
        <w:r w:rsidR="00052A22" w:rsidRPr="00880361">
          <w:rPr>
            <w:rStyle w:val="Hyperlink"/>
            <w:noProof/>
            <w:vertAlign w:val="subscript"/>
          </w:rPr>
          <w:t xml:space="preserve"> </w:t>
        </w:r>
        <w:r w:rsidR="00052A22" w:rsidRPr="00880361">
          <w:rPr>
            <w:rStyle w:val="Hyperlink"/>
            <w:noProof/>
          </w:rPr>
          <w:t>in 2021</w:t>
        </w:r>
        <w:r w:rsidR="00052A22">
          <w:rPr>
            <w:noProof/>
            <w:webHidden/>
          </w:rPr>
          <w:tab/>
        </w:r>
        <w:r w:rsidR="00052A22">
          <w:rPr>
            <w:noProof/>
            <w:webHidden/>
          </w:rPr>
          <w:fldChar w:fldCharType="begin"/>
        </w:r>
        <w:r w:rsidR="00052A22">
          <w:rPr>
            <w:noProof/>
            <w:webHidden/>
          </w:rPr>
          <w:instrText xml:space="preserve"> PAGEREF _Toc131591499 \h </w:instrText>
        </w:r>
        <w:r w:rsidR="00052A22">
          <w:rPr>
            <w:noProof/>
            <w:webHidden/>
          </w:rPr>
        </w:r>
        <w:r w:rsidR="00052A22">
          <w:rPr>
            <w:noProof/>
            <w:webHidden/>
          </w:rPr>
          <w:fldChar w:fldCharType="separate"/>
        </w:r>
        <w:r w:rsidR="008F39B8">
          <w:rPr>
            <w:noProof/>
            <w:webHidden/>
          </w:rPr>
          <w:t>415</w:t>
        </w:r>
        <w:r w:rsidR="00052A22">
          <w:rPr>
            <w:noProof/>
            <w:webHidden/>
          </w:rPr>
          <w:fldChar w:fldCharType="end"/>
        </w:r>
      </w:hyperlink>
    </w:p>
    <w:p w14:paraId="0EF040F0" w14:textId="7ED2CACE" w:rsidR="00052A22" w:rsidRDefault="007E17B8">
      <w:pPr>
        <w:pStyle w:val="TableofFigures"/>
        <w:rPr>
          <w:rFonts w:asciiTheme="minorHAnsi" w:eastAsiaTheme="minorEastAsia" w:hAnsiTheme="minorHAnsi" w:cstheme="minorBidi"/>
          <w:noProof/>
          <w:sz w:val="22"/>
        </w:rPr>
      </w:pPr>
      <w:hyperlink w:anchor="_Toc131591500" w:history="1">
        <w:r w:rsidR="00052A22" w:rsidRPr="00880361">
          <w:rPr>
            <w:rStyle w:val="Hyperlink"/>
            <w:noProof/>
          </w:rPr>
          <w:t>Table 11.3.2</w:t>
        </w:r>
        <w:r w:rsidR="00052A22">
          <w:rPr>
            <w:rFonts w:asciiTheme="minorHAnsi" w:eastAsiaTheme="minorEastAsia" w:hAnsiTheme="minorHAnsi" w:cstheme="minorBidi"/>
            <w:noProof/>
            <w:sz w:val="22"/>
          </w:rPr>
          <w:tab/>
        </w:r>
        <w:r w:rsidR="00052A22" w:rsidRPr="00880361">
          <w:rPr>
            <w:rStyle w:val="Hyperlink"/>
            <w:noProof/>
          </w:rPr>
          <w:t xml:space="preserve">New Zealand’s estimated annual area under </w:t>
        </w:r>
        <w:r w:rsidR="00052A22" w:rsidRPr="00880361">
          <w:rPr>
            <w:rStyle w:val="Hyperlink"/>
            <w:i/>
            <w:iCs/>
            <w:noProof/>
          </w:rPr>
          <w:t>Afforestation and reforestation</w:t>
        </w:r>
        <w:r w:rsidR="00052A22" w:rsidRPr="00880361">
          <w:rPr>
            <w:rStyle w:val="Hyperlink"/>
            <w:noProof/>
            <w:vertAlign w:val="subscript"/>
          </w:rPr>
          <w:t xml:space="preserve"> </w:t>
        </w:r>
        <w:r w:rsidR="00052A22" w:rsidRPr="00880361">
          <w:rPr>
            <w:rStyle w:val="Hyperlink"/>
            <w:noProof/>
          </w:rPr>
          <w:t>in 2021</w:t>
        </w:r>
        <w:r w:rsidR="00052A22">
          <w:rPr>
            <w:noProof/>
            <w:webHidden/>
          </w:rPr>
          <w:tab/>
        </w:r>
        <w:r w:rsidR="00052A22">
          <w:rPr>
            <w:noProof/>
            <w:webHidden/>
          </w:rPr>
          <w:fldChar w:fldCharType="begin"/>
        </w:r>
        <w:r w:rsidR="00052A22">
          <w:rPr>
            <w:noProof/>
            <w:webHidden/>
          </w:rPr>
          <w:instrText xml:space="preserve"> PAGEREF _Toc131591500 \h </w:instrText>
        </w:r>
        <w:r w:rsidR="00052A22">
          <w:rPr>
            <w:noProof/>
            <w:webHidden/>
          </w:rPr>
        </w:r>
        <w:r w:rsidR="00052A22">
          <w:rPr>
            <w:noProof/>
            <w:webHidden/>
          </w:rPr>
          <w:fldChar w:fldCharType="separate"/>
        </w:r>
        <w:r w:rsidR="008F39B8">
          <w:rPr>
            <w:noProof/>
            <w:webHidden/>
          </w:rPr>
          <w:t>416</w:t>
        </w:r>
        <w:r w:rsidR="00052A22">
          <w:rPr>
            <w:noProof/>
            <w:webHidden/>
          </w:rPr>
          <w:fldChar w:fldCharType="end"/>
        </w:r>
      </w:hyperlink>
    </w:p>
    <w:p w14:paraId="31F7E65B" w14:textId="670B3F2C" w:rsidR="00052A22" w:rsidRDefault="007E17B8">
      <w:pPr>
        <w:pStyle w:val="TableofFigures"/>
        <w:rPr>
          <w:rFonts w:asciiTheme="minorHAnsi" w:eastAsiaTheme="minorEastAsia" w:hAnsiTheme="minorHAnsi" w:cstheme="minorBidi"/>
          <w:noProof/>
          <w:sz w:val="22"/>
        </w:rPr>
      </w:pPr>
      <w:hyperlink w:anchor="_Toc131591501" w:history="1">
        <w:r w:rsidR="00052A22" w:rsidRPr="00880361">
          <w:rPr>
            <w:rStyle w:val="Hyperlink"/>
            <w:noProof/>
          </w:rPr>
          <w:t>Table 11.3.3</w:t>
        </w:r>
        <w:r w:rsidR="00052A22">
          <w:rPr>
            <w:rFonts w:asciiTheme="minorHAnsi" w:eastAsiaTheme="minorEastAsia" w:hAnsiTheme="minorHAnsi" w:cstheme="minorBidi"/>
            <w:noProof/>
            <w:sz w:val="22"/>
          </w:rPr>
          <w:tab/>
        </w:r>
        <w:r w:rsidR="00052A22" w:rsidRPr="00880361">
          <w:rPr>
            <w:rStyle w:val="Hyperlink"/>
            <w:noProof/>
          </w:rPr>
          <w:t xml:space="preserve">New Zealand’s </w:t>
        </w:r>
        <w:r w:rsidR="00052A22" w:rsidRPr="00880361">
          <w:rPr>
            <w:rStyle w:val="Hyperlink"/>
            <w:i/>
            <w:iCs/>
            <w:noProof/>
          </w:rPr>
          <w:t>Afforestation and reforestation</w:t>
        </w:r>
        <w:r w:rsidR="00052A22" w:rsidRPr="00880361">
          <w:rPr>
            <w:rStyle w:val="Hyperlink"/>
            <w:noProof/>
          </w:rPr>
          <w:t xml:space="preserve"> reconciliation between Kyoto Protocol and Intergovernmental Panel on Climate Change Convention reporting in 2021</w:t>
        </w:r>
        <w:r w:rsidR="00052A22">
          <w:rPr>
            <w:noProof/>
            <w:webHidden/>
          </w:rPr>
          <w:tab/>
        </w:r>
        <w:r w:rsidR="00052A22">
          <w:rPr>
            <w:noProof/>
            <w:webHidden/>
          </w:rPr>
          <w:fldChar w:fldCharType="begin"/>
        </w:r>
        <w:r w:rsidR="00052A22">
          <w:rPr>
            <w:noProof/>
            <w:webHidden/>
          </w:rPr>
          <w:instrText xml:space="preserve"> PAGEREF _Toc131591501 \h </w:instrText>
        </w:r>
        <w:r w:rsidR="00052A22">
          <w:rPr>
            <w:noProof/>
            <w:webHidden/>
          </w:rPr>
        </w:r>
        <w:r w:rsidR="00052A22">
          <w:rPr>
            <w:noProof/>
            <w:webHidden/>
          </w:rPr>
          <w:fldChar w:fldCharType="separate"/>
        </w:r>
        <w:r w:rsidR="008F39B8">
          <w:rPr>
            <w:noProof/>
            <w:webHidden/>
          </w:rPr>
          <w:t>416</w:t>
        </w:r>
        <w:r w:rsidR="00052A22">
          <w:rPr>
            <w:noProof/>
            <w:webHidden/>
          </w:rPr>
          <w:fldChar w:fldCharType="end"/>
        </w:r>
      </w:hyperlink>
    </w:p>
    <w:p w14:paraId="0E4D04DF" w14:textId="0CC6D865" w:rsidR="00052A22" w:rsidRDefault="007E17B8">
      <w:pPr>
        <w:pStyle w:val="TableofFigures"/>
        <w:rPr>
          <w:rFonts w:asciiTheme="minorHAnsi" w:eastAsiaTheme="minorEastAsia" w:hAnsiTheme="minorHAnsi" w:cstheme="minorBidi"/>
          <w:noProof/>
          <w:sz w:val="22"/>
        </w:rPr>
      </w:pPr>
      <w:hyperlink w:anchor="_Toc131591502" w:history="1">
        <w:r w:rsidR="00052A22" w:rsidRPr="00880361">
          <w:rPr>
            <w:rStyle w:val="Hyperlink"/>
            <w:noProof/>
          </w:rPr>
          <w:t>Table 11.3.4</w:t>
        </w:r>
        <w:r w:rsidR="00052A22">
          <w:rPr>
            <w:rFonts w:asciiTheme="minorHAnsi" w:eastAsiaTheme="minorEastAsia" w:hAnsiTheme="minorHAnsi" w:cstheme="minorBidi"/>
            <w:noProof/>
            <w:sz w:val="22"/>
          </w:rPr>
          <w:tab/>
        </w:r>
        <w:r w:rsidR="00052A22" w:rsidRPr="00880361">
          <w:rPr>
            <w:rStyle w:val="Hyperlink"/>
            <w:noProof/>
          </w:rPr>
          <w:t>Area of New Zealand subject to deforestation in 2021</w:t>
        </w:r>
        <w:r w:rsidR="00052A22">
          <w:rPr>
            <w:noProof/>
            <w:webHidden/>
          </w:rPr>
          <w:tab/>
        </w:r>
        <w:r w:rsidR="00052A22">
          <w:rPr>
            <w:noProof/>
            <w:webHidden/>
          </w:rPr>
          <w:fldChar w:fldCharType="begin"/>
        </w:r>
        <w:r w:rsidR="00052A22">
          <w:rPr>
            <w:noProof/>
            <w:webHidden/>
          </w:rPr>
          <w:instrText xml:space="preserve"> PAGEREF _Toc131591502 \h </w:instrText>
        </w:r>
        <w:r w:rsidR="00052A22">
          <w:rPr>
            <w:noProof/>
            <w:webHidden/>
          </w:rPr>
        </w:r>
        <w:r w:rsidR="00052A22">
          <w:rPr>
            <w:noProof/>
            <w:webHidden/>
          </w:rPr>
          <w:fldChar w:fldCharType="separate"/>
        </w:r>
        <w:r w:rsidR="008F39B8">
          <w:rPr>
            <w:noProof/>
            <w:webHidden/>
          </w:rPr>
          <w:t>418</w:t>
        </w:r>
        <w:r w:rsidR="00052A22">
          <w:rPr>
            <w:noProof/>
            <w:webHidden/>
          </w:rPr>
          <w:fldChar w:fldCharType="end"/>
        </w:r>
      </w:hyperlink>
    </w:p>
    <w:p w14:paraId="3BC085A3" w14:textId="124F6786" w:rsidR="00052A22" w:rsidRDefault="007E17B8">
      <w:pPr>
        <w:pStyle w:val="TableofFigures"/>
        <w:rPr>
          <w:rFonts w:asciiTheme="minorHAnsi" w:eastAsiaTheme="minorEastAsia" w:hAnsiTheme="minorHAnsi" w:cstheme="minorBidi"/>
          <w:noProof/>
          <w:sz w:val="22"/>
        </w:rPr>
      </w:pPr>
      <w:hyperlink w:anchor="_Toc131591503" w:history="1">
        <w:r w:rsidR="00052A22" w:rsidRPr="00880361">
          <w:rPr>
            <w:rStyle w:val="Hyperlink"/>
            <w:noProof/>
          </w:rPr>
          <w:t>Table 11.3.5</w:t>
        </w:r>
        <w:r w:rsidR="00052A22">
          <w:rPr>
            <w:rFonts w:asciiTheme="minorHAnsi" w:eastAsiaTheme="minorEastAsia" w:hAnsiTheme="minorHAnsi" w:cstheme="minorBidi"/>
            <w:noProof/>
            <w:sz w:val="22"/>
          </w:rPr>
          <w:tab/>
        </w:r>
        <w:r w:rsidR="00052A22" w:rsidRPr="00880361">
          <w:rPr>
            <w:rStyle w:val="Hyperlink"/>
            <w:noProof/>
          </w:rPr>
          <w:t>Carbon equivalent forests (2013 to 2021)</w:t>
        </w:r>
        <w:r w:rsidR="00052A22">
          <w:rPr>
            <w:noProof/>
            <w:webHidden/>
          </w:rPr>
          <w:tab/>
        </w:r>
        <w:r w:rsidR="00052A22">
          <w:rPr>
            <w:noProof/>
            <w:webHidden/>
          </w:rPr>
          <w:fldChar w:fldCharType="begin"/>
        </w:r>
        <w:r w:rsidR="00052A22">
          <w:rPr>
            <w:noProof/>
            <w:webHidden/>
          </w:rPr>
          <w:instrText xml:space="preserve"> PAGEREF _Toc131591503 \h </w:instrText>
        </w:r>
        <w:r w:rsidR="00052A22">
          <w:rPr>
            <w:noProof/>
            <w:webHidden/>
          </w:rPr>
        </w:r>
        <w:r w:rsidR="00052A22">
          <w:rPr>
            <w:noProof/>
            <w:webHidden/>
          </w:rPr>
          <w:fldChar w:fldCharType="separate"/>
        </w:r>
        <w:r w:rsidR="008F39B8">
          <w:rPr>
            <w:noProof/>
            <w:webHidden/>
          </w:rPr>
          <w:t>420</w:t>
        </w:r>
        <w:r w:rsidR="00052A22">
          <w:rPr>
            <w:noProof/>
            <w:webHidden/>
          </w:rPr>
          <w:fldChar w:fldCharType="end"/>
        </w:r>
      </w:hyperlink>
    </w:p>
    <w:p w14:paraId="63D39D42" w14:textId="2AEEE423" w:rsidR="00052A22" w:rsidRDefault="007E17B8">
      <w:pPr>
        <w:pStyle w:val="TableofFigures"/>
        <w:rPr>
          <w:rFonts w:asciiTheme="minorHAnsi" w:eastAsiaTheme="minorEastAsia" w:hAnsiTheme="minorHAnsi" w:cstheme="minorBidi"/>
          <w:noProof/>
          <w:sz w:val="22"/>
        </w:rPr>
      </w:pPr>
      <w:hyperlink w:anchor="_Toc131591504" w:history="1">
        <w:r w:rsidR="00052A22" w:rsidRPr="00880361">
          <w:rPr>
            <w:rStyle w:val="Hyperlink"/>
            <w:noProof/>
          </w:rPr>
          <w:t>Table 11.3.6</w:t>
        </w:r>
        <w:r w:rsidR="00052A22">
          <w:rPr>
            <w:rFonts w:asciiTheme="minorHAnsi" w:eastAsiaTheme="minorEastAsia" w:hAnsiTheme="minorHAnsi" w:cstheme="minorBidi"/>
            <w:noProof/>
            <w:sz w:val="22"/>
          </w:rPr>
          <w:tab/>
        </w:r>
        <w:r w:rsidR="00052A22" w:rsidRPr="00880361">
          <w:rPr>
            <w:rStyle w:val="Hyperlink"/>
            <w:noProof/>
          </w:rPr>
          <w:t>Nitrous oxide emissions from the drainage of organic soils in 2021 by activity</w:t>
        </w:r>
        <w:r w:rsidR="00052A22">
          <w:rPr>
            <w:noProof/>
            <w:webHidden/>
          </w:rPr>
          <w:tab/>
        </w:r>
        <w:r w:rsidR="00052A22">
          <w:rPr>
            <w:noProof/>
            <w:webHidden/>
          </w:rPr>
          <w:fldChar w:fldCharType="begin"/>
        </w:r>
        <w:r w:rsidR="00052A22">
          <w:rPr>
            <w:noProof/>
            <w:webHidden/>
          </w:rPr>
          <w:instrText xml:space="preserve"> PAGEREF _Toc131591504 \h </w:instrText>
        </w:r>
        <w:r w:rsidR="00052A22">
          <w:rPr>
            <w:noProof/>
            <w:webHidden/>
          </w:rPr>
        </w:r>
        <w:r w:rsidR="00052A22">
          <w:rPr>
            <w:noProof/>
            <w:webHidden/>
          </w:rPr>
          <w:fldChar w:fldCharType="separate"/>
        </w:r>
        <w:r w:rsidR="008F39B8">
          <w:rPr>
            <w:noProof/>
            <w:webHidden/>
          </w:rPr>
          <w:t>422</w:t>
        </w:r>
        <w:r w:rsidR="00052A22">
          <w:rPr>
            <w:noProof/>
            <w:webHidden/>
          </w:rPr>
          <w:fldChar w:fldCharType="end"/>
        </w:r>
      </w:hyperlink>
    </w:p>
    <w:p w14:paraId="4844E9CF" w14:textId="4E9D271B" w:rsidR="00052A22" w:rsidRDefault="007E17B8">
      <w:pPr>
        <w:pStyle w:val="TableofFigures"/>
        <w:rPr>
          <w:rFonts w:asciiTheme="minorHAnsi" w:eastAsiaTheme="minorEastAsia" w:hAnsiTheme="minorHAnsi" w:cstheme="minorBidi"/>
          <w:noProof/>
          <w:sz w:val="22"/>
        </w:rPr>
      </w:pPr>
      <w:hyperlink w:anchor="_Toc131591505" w:history="1">
        <w:r w:rsidR="00052A22" w:rsidRPr="00880361">
          <w:rPr>
            <w:rStyle w:val="Hyperlink"/>
            <w:noProof/>
          </w:rPr>
          <w:t>Table 11.3.7</w:t>
        </w:r>
        <w:r w:rsidR="00052A22">
          <w:rPr>
            <w:rFonts w:asciiTheme="minorHAnsi" w:eastAsiaTheme="minorEastAsia" w:hAnsiTheme="minorHAnsi" w:cstheme="minorBidi"/>
            <w:noProof/>
            <w:sz w:val="22"/>
          </w:rPr>
          <w:tab/>
        </w:r>
        <w:r w:rsidR="00052A22" w:rsidRPr="00880361">
          <w:rPr>
            <w:rStyle w:val="Hyperlink"/>
            <w:noProof/>
          </w:rPr>
          <w:t>Nitrous oxide emissions from nitrogen mineralisation and immobilisation soils in 2021 by activity</w:t>
        </w:r>
        <w:r w:rsidR="00052A22">
          <w:rPr>
            <w:noProof/>
            <w:webHidden/>
          </w:rPr>
          <w:tab/>
        </w:r>
        <w:r w:rsidR="00052A22">
          <w:rPr>
            <w:noProof/>
            <w:webHidden/>
          </w:rPr>
          <w:fldChar w:fldCharType="begin"/>
        </w:r>
        <w:r w:rsidR="00052A22">
          <w:rPr>
            <w:noProof/>
            <w:webHidden/>
          </w:rPr>
          <w:instrText xml:space="preserve"> PAGEREF _Toc131591505 \h </w:instrText>
        </w:r>
        <w:r w:rsidR="00052A22">
          <w:rPr>
            <w:noProof/>
            <w:webHidden/>
          </w:rPr>
        </w:r>
        <w:r w:rsidR="00052A22">
          <w:rPr>
            <w:noProof/>
            <w:webHidden/>
          </w:rPr>
          <w:fldChar w:fldCharType="separate"/>
        </w:r>
        <w:r w:rsidR="008F39B8">
          <w:rPr>
            <w:noProof/>
            <w:webHidden/>
          </w:rPr>
          <w:t>423</w:t>
        </w:r>
        <w:r w:rsidR="00052A22">
          <w:rPr>
            <w:noProof/>
            <w:webHidden/>
          </w:rPr>
          <w:fldChar w:fldCharType="end"/>
        </w:r>
      </w:hyperlink>
    </w:p>
    <w:p w14:paraId="16CA7535" w14:textId="49618E64" w:rsidR="00052A22" w:rsidRDefault="007E17B8">
      <w:pPr>
        <w:pStyle w:val="TableofFigures"/>
        <w:rPr>
          <w:rFonts w:asciiTheme="minorHAnsi" w:eastAsiaTheme="minorEastAsia" w:hAnsiTheme="minorHAnsi" w:cstheme="minorBidi"/>
          <w:noProof/>
          <w:sz w:val="22"/>
        </w:rPr>
      </w:pPr>
      <w:hyperlink w:anchor="_Toc131591506" w:history="1">
        <w:r w:rsidR="00052A22" w:rsidRPr="00880361">
          <w:rPr>
            <w:rStyle w:val="Hyperlink"/>
            <w:noProof/>
          </w:rPr>
          <w:t xml:space="preserve">Table 11.4.1 </w:t>
        </w:r>
        <w:r w:rsidR="00052A22">
          <w:rPr>
            <w:rFonts w:asciiTheme="minorHAnsi" w:eastAsiaTheme="minorEastAsia" w:hAnsiTheme="minorHAnsi" w:cstheme="minorBidi"/>
            <w:noProof/>
            <w:sz w:val="22"/>
          </w:rPr>
          <w:tab/>
        </w:r>
        <w:r w:rsidR="00052A22" w:rsidRPr="00880361">
          <w:rPr>
            <w:rStyle w:val="Hyperlink"/>
            <w:noProof/>
          </w:rPr>
          <w:t xml:space="preserve">Uncertainty in New Zealand’s estimates for </w:t>
        </w:r>
        <w:r w:rsidR="00052A22" w:rsidRPr="00880361">
          <w:rPr>
            <w:rStyle w:val="Hyperlink"/>
            <w:i/>
            <w:iCs/>
            <w:noProof/>
          </w:rPr>
          <w:t>Afforestation and reforestation</w:t>
        </w:r>
        <w:r w:rsidR="00052A22" w:rsidRPr="00880361">
          <w:rPr>
            <w:rStyle w:val="Hyperlink"/>
            <w:noProof/>
          </w:rPr>
          <w:t xml:space="preserve">, </w:t>
        </w:r>
        <w:r w:rsidR="00052A22" w:rsidRPr="00880361">
          <w:rPr>
            <w:rStyle w:val="Hyperlink"/>
            <w:i/>
            <w:iCs/>
            <w:noProof/>
          </w:rPr>
          <w:t>Deforestation</w:t>
        </w:r>
        <w:r w:rsidR="00052A22" w:rsidRPr="00880361">
          <w:rPr>
            <w:rStyle w:val="Hyperlink"/>
            <w:noProof/>
          </w:rPr>
          <w:t xml:space="preserve"> and </w:t>
        </w:r>
        <w:r w:rsidR="00052A22" w:rsidRPr="00880361">
          <w:rPr>
            <w:rStyle w:val="Hyperlink"/>
            <w:i/>
            <w:iCs/>
            <w:noProof/>
          </w:rPr>
          <w:t>Forest management</w:t>
        </w:r>
        <w:r w:rsidR="00052A22" w:rsidRPr="00880361">
          <w:rPr>
            <w:rStyle w:val="Hyperlink"/>
            <w:noProof/>
          </w:rPr>
          <w:t xml:space="preserve"> in 2021</w:t>
        </w:r>
        <w:r w:rsidR="00052A22">
          <w:rPr>
            <w:noProof/>
            <w:webHidden/>
          </w:rPr>
          <w:tab/>
        </w:r>
        <w:r w:rsidR="00052A22">
          <w:rPr>
            <w:noProof/>
            <w:webHidden/>
          </w:rPr>
          <w:fldChar w:fldCharType="begin"/>
        </w:r>
        <w:r w:rsidR="00052A22">
          <w:rPr>
            <w:noProof/>
            <w:webHidden/>
          </w:rPr>
          <w:instrText xml:space="preserve"> PAGEREF _Toc131591506 \h </w:instrText>
        </w:r>
        <w:r w:rsidR="00052A22">
          <w:rPr>
            <w:noProof/>
            <w:webHidden/>
          </w:rPr>
        </w:r>
        <w:r w:rsidR="00052A22">
          <w:rPr>
            <w:noProof/>
            <w:webHidden/>
          </w:rPr>
          <w:fldChar w:fldCharType="separate"/>
        </w:r>
        <w:r w:rsidR="008F39B8">
          <w:rPr>
            <w:noProof/>
            <w:webHidden/>
          </w:rPr>
          <w:t>425</w:t>
        </w:r>
        <w:r w:rsidR="00052A22">
          <w:rPr>
            <w:noProof/>
            <w:webHidden/>
          </w:rPr>
          <w:fldChar w:fldCharType="end"/>
        </w:r>
      </w:hyperlink>
    </w:p>
    <w:p w14:paraId="6FFF1EE9" w14:textId="2D22EB1F" w:rsidR="00052A22" w:rsidRDefault="007E17B8">
      <w:pPr>
        <w:pStyle w:val="TableofFigures"/>
        <w:rPr>
          <w:rFonts w:asciiTheme="minorHAnsi" w:eastAsiaTheme="minorEastAsia" w:hAnsiTheme="minorHAnsi" w:cstheme="minorBidi"/>
          <w:noProof/>
          <w:sz w:val="22"/>
        </w:rPr>
      </w:pPr>
      <w:hyperlink w:anchor="_Toc131591507" w:history="1">
        <w:r w:rsidR="00052A22" w:rsidRPr="00880361">
          <w:rPr>
            <w:rStyle w:val="Hyperlink"/>
            <w:noProof/>
          </w:rPr>
          <w:t xml:space="preserve">Table 11.4.2 </w:t>
        </w:r>
        <w:r w:rsidR="00052A22">
          <w:rPr>
            <w:rFonts w:asciiTheme="minorHAnsi" w:eastAsiaTheme="minorEastAsia" w:hAnsiTheme="minorHAnsi" w:cstheme="minorBidi"/>
            <w:noProof/>
            <w:sz w:val="22"/>
          </w:rPr>
          <w:tab/>
        </w:r>
        <w:r w:rsidR="00052A22" w:rsidRPr="00880361">
          <w:rPr>
            <w:rStyle w:val="Hyperlink"/>
            <w:noProof/>
          </w:rPr>
          <w:t xml:space="preserve">Total uncertainty in New Zealand’s estimates for </w:t>
        </w:r>
        <w:r w:rsidR="00052A22" w:rsidRPr="00880361">
          <w:rPr>
            <w:rStyle w:val="Hyperlink"/>
            <w:i/>
            <w:iCs/>
            <w:noProof/>
          </w:rPr>
          <w:t>Afforestation and reforestation</w:t>
        </w:r>
        <w:r w:rsidR="00052A22" w:rsidRPr="00880361">
          <w:rPr>
            <w:rStyle w:val="Hyperlink"/>
            <w:noProof/>
          </w:rPr>
          <w:t xml:space="preserve">, </w:t>
        </w:r>
        <w:r w:rsidR="00052A22" w:rsidRPr="00880361">
          <w:rPr>
            <w:rStyle w:val="Hyperlink"/>
            <w:i/>
            <w:iCs/>
            <w:noProof/>
          </w:rPr>
          <w:t>Deforestation</w:t>
        </w:r>
        <w:r w:rsidR="00052A22" w:rsidRPr="00880361">
          <w:rPr>
            <w:rStyle w:val="Hyperlink"/>
            <w:noProof/>
          </w:rPr>
          <w:t xml:space="preserve"> and </w:t>
        </w:r>
        <w:r w:rsidR="00052A22" w:rsidRPr="00880361">
          <w:rPr>
            <w:rStyle w:val="Hyperlink"/>
            <w:i/>
            <w:iCs/>
            <w:noProof/>
          </w:rPr>
          <w:t>Forest management</w:t>
        </w:r>
        <w:r w:rsidR="00052A22" w:rsidRPr="00880361">
          <w:rPr>
            <w:rStyle w:val="Hyperlink"/>
            <w:noProof/>
          </w:rPr>
          <w:t xml:space="preserve"> in 2021</w:t>
        </w:r>
        <w:r w:rsidR="00052A22">
          <w:rPr>
            <w:noProof/>
            <w:webHidden/>
          </w:rPr>
          <w:tab/>
        </w:r>
        <w:r w:rsidR="00052A22">
          <w:rPr>
            <w:noProof/>
            <w:webHidden/>
          </w:rPr>
          <w:fldChar w:fldCharType="begin"/>
        </w:r>
        <w:r w:rsidR="00052A22">
          <w:rPr>
            <w:noProof/>
            <w:webHidden/>
          </w:rPr>
          <w:instrText xml:space="preserve"> PAGEREF _Toc131591507 \h </w:instrText>
        </w:r>
        <w:r w:rsidR="00052A22">
          <w:rPr>
            <w:noProof/>
            <w:webHidden/>
          </w:rPr>
        </w:r>
        <w:r w:rsidR="00052A22">
          <w:rPr>
            <w:noProof/>
            <w:webHidden/>
          </w:rPr>
          <w:fldChar w:fldCharType="separate"/>
        </w:r>
        <w:r w:rsidR="008F39B8">
          <w:rPr>
            <w:noProof/>
            <w:webHidden/>
          </w:rPr>
          <w:t>425</w:t>
        </w:r>
        <w:r w:rsidR="00052A22">
          <w:rPr>
            <w:noProof/>
            <w:webHidden/>
          </w:rPr>
          <w:fldChar w:fldCharType="end"/>
        </w:r>
      </w:hyperlink>
    </w:p>
    <w:p w14:paraId="2951B460" w14:textId="11C2D013" w:rsidR="00052A22" w:rsidRDefault="007E17B8">
      <w:pPr>
        <w:pStyle w:val="TableofFigures"/>
        <w:rPr>
          <w:rFonts w:asciiTheme="minorHAnsi" w:eastAsiaTheme="minorEastAsia" w:hAnsiTheme="minorHAnsi" w:cstheme="minorBidi"/>
          <w:noProof/>
          <w:sz w:val="22"/>
        </w:rPr>
      </w:pPr>
      <w:hyperlink w:anchor="_Toc131591508" w:history="1">
        <w:r w:rsidR="00052A22" w:rsidRPr="00880361">
          <w:rPr>
            <w:rStyle w:val="Hyperlink"/>
            <w:noProof/>
          </w:rPr>
          <w:t xml:space="preserve">Table 11.5.1 </w:t>
        </w:r>
        <w:r w:rsidR="00052A22">
          <w:rPr>
            <w:rFonts w:asciiTheme="minorHAnsi" w:eastAsiaTheme="minorEastAsia" w:hAnsiTheme="minorHAnsi" w:cstheme="minorBidi"/>
            <w:noProof/>
            <w:sz w:val="22"/>
          </w:rPr>
          <w:tab/>
        </w:r>
        <w:r w:rsidR="00052A22" w:rsidRPr="00880361">
          <w:rPr>
            <w:rStyle w:val="Hyperlink"/>
            <w:noProof/>
          </w:rPr>
          <w:t>Area of land destocked in New Zealand in 2017 to 2019 that has not yet been classified</w:t>
        </w:r>
        <w:r w:rsidR="00052A22">
          <w:rPr>
            <w:noProof/>
            <w:webHidden/>
          </w:rPr>
          <w:tab/>
        </w:r>
        <w:r w:rsidR="00052A22">
          <w:rPr>
            <w:noProof/>
            <w:webHidden/>
          </w:rPr>
          <w:fldChar w:fldCharType="begin"/>
        </w:r>
        <w:r w:rsidR="00052A22">
          <w:rPr>
            <w:noProof/>
            <w:webHidden/>
          </w:rPr>
          <w:instrText xml:space="preserve"> PAGEREF _Toc131591508 \h </w:instrText>
        </w:r>
        <w:r w:rsidR="00052A22">
          <w:rPr>
            <w:noProof/>
            <w:webHidden/>
          </w:rPr>
        </w:r>
        <w:r w:rsidR="00052A22">
          <w:rPr>
            <w:noProof/>
            <w:webHidden/>
          </w:rPr>
          <w:fldChar w:fldCharType="separate"/>
        </w:r>
        <w:r w:rsidR="008F39B8">
          <w:rPr>
            <w:noProof/>
            <w:webHidden/>
          </w:rPr>
          <w:t>429</w:t>
        </w:r>
        <w:r w:rsidR="00052A22">
          <w:rPr>
            <w:noProof/>
            <w:webHidden/>
          </w:rPr>
          <w:fldChar w:fldCharType="end"/>
        </w:r>
      </w:hyperlink>
    </w:p>
    <w:p w14:paraId="3E8197B9" w14:textId="35DA7238" w:rsidR="00052A22" w:rsidRDefault="007E17B8">
      <w:pPr>
        <w:pStyle w:val="TableofFigures"/>
        <w:rPr>
          <w:rFonts w:asciiTheme="minorHAnsi" w:eastAsiaTheme="minorEastAsia" w:hAnsiTheme="minorHAnsi" w:cstheme="minorBidi"/>
          <w:noProof/>
          <w:sz w:val="22"/>
        </w:rPr>
      </w:pPr>
      <w:hyperlink w:anchor="_Toc131591509" w:history="1">
        <w:r w:rsidR="00052A22" w:rsidRPr="00880361">
          <w:rPr>
            <w:rStyle w:val="Hyperlink"/>
            <w:noProof/>
          </w:rPr>
          <w:t>Table 12.2.1</w:t>
        </w:r>
        <w:r w:rsidR="00052A22">
          <w:rPr>
            <w:rFonts w:asciiTheme="minorHAnsi" w:eastAsiaTheme="minorEastAsia" w:hAnsiTheme="minorHAnsi" w:cstheme="minorBidi"/>
            <w:noProof/>
            <w:sz w:val="22"/>
          </w:rPr>
          <w:tab/>
        </w:r>
        <w:r w:rsidR="00052A22" w:rsidRPr="00880361">
          <w:rPr>
            <w:rStyle w:val="Hyperlink"/>
            <w:noProof/>
          </w:rPr>
          <w:t>New Zealand’s submission of the standard electronic format</w:t>
        </w:r>
        <w:r w:rsidR="00052A22">
          <w:rPr>
            <w:noProof/>
            <w:webHidden/>
          </w:rPr>
          <w:tab/>
        </w:r>
        <w:r w:rsidR="00052A22">
          <w:rPr>
            <w:noProof/>
            <w:webHidden/>
          </w:rPr>
          <w:fldChar w:fldCharType="begin"/>
        </w:r>
        <w:r w:rsidR="00052A22">
          <w:rPr>
            <w:noProof/>
            <w:webHidden/>
          </w:rPr>
          <w:instrText xml:space="preserve"> PAGEREF _Toc131591509 \h </w:instrText>
        </w:r>
        <w:r w:rsidR="00052A22">
          <w:rPr>
            <w:noProof/>
            <w:webHidden/>
          </w:rPr>
        </w:r>
        <w:r w:rsidR="00052A22">
          <w:rPr>
            <w:noProof/>
            <w:webHidden/>
          </w:rPr>
          <w:fldChar w:fldCharType="separate"/>
        </w:r>
        <w:r w:rsidR="008F39B8">
          <w:rPr>
            <w:noProof/>
            <w:webHidden/>
          </w:rPr>
          <w:t>434</w:t>
        </w:r>
        <w:r w:rsidR="00052A22">
          <w:rPr>
            <w:noProof/>
            <w:webHidden/>
          </w:rPr>
          <w:fldChar w:fldCharType="end"/>
        </w:r>
      </w:hyperlink>
    </w:p>
    <w:p w14:paraId="0CA66DAD" w14:textId="348D71AE" w:rsidR="00052A22" w:rsidRDefault="007E17B8">
      <w:pPr>
        <w:pStyle w:val="TableofFigures"/>
        <w:rPr>
          <w:rFonts w:asciiTheme="minorHAnsi" w:eastAsiaTheme="minorEastAsia" w:hAnsiTheme="minorHAnsi" w:cstheme="minorBidi"/>
          <w:noProof/>
          <w:sz w:val="22"/>
        </w:rPr>
      </w:pPr>
      <w:hyperlink w:anchor="_Toc131591510" w:history="1">
        <w:r w:rsidR="00052A22" w:rsidRPr="00880361">
          <w:rPr>
            <w:rStyle w:val="Hyperlink"/>
            <w:rFonts w:cs="Calibri"/>
            <w:noProof/>
          </w:rPr>
          <w:t>Table 12.3.1</w:t>
        </w:r>
        <w:r w:rsidR="00052A22">
          <w:rPr>
            <w:rFonts w:asciiTheme="minorHAnsi" w:eastAsiaTheme="minorEastAsia" w:hAnsiTheme="minorHAnsi" w:cstheme="minorBidi"/>
            <w:noProof/>
            <w:sz w:val="22"/>
          </w:rPr>
          <w:tab/>
        </w:r>
        <w:r w:rsidR="00052A22" w:rsidRPr="00880361">
          <w:rPr>
            <w:rStyle w:val="Hyperlink"/>
            <w:rFonts w:cs="Calibri"/>
            <w:noProof/>
          </w:rPr>
          <w:t>Discrepancies and notifications from New Zealand’s national registry</w:t>
        </w:r>
        <w:r w:rsidR="00052A22">
          <w:rPr>
            <w:noProof/>
            <w:webHidden/>
          </w:rPr>
          <w:tab/>
        </w:r>
        <w:r w:rsidR="00052A22">
          <w:rPr>
            <w:noProof/>
            <w:webHidden/>
          </w:rPr>
          <w:fldChar w:fldCharType="begin"/>
        </w:r>
        <w:r w:rsidR="00052A22">
          <w:rPr>
            <w:noProof/>
            <w:webHidden/>
          </w:rPr>
          <w:instrText xml:space="preserve"> PAGEREF _Toc131591510 \h </w:instrText>
        </w:r>
        <w:r w:rsidR="00052A22">
          <w:rPr>
            <w:noProof/>
            <w:webHidden/>
          </w:rPr>
        </w:r>
        <w:r w:rsidR="00052A22">
          <w:rPr>
            <w:noProof/>
            <w:webHidden/>
          </w:rPr>
          <w:fldChar w:fldCharType="separate"/>
        </w:r>
        <w:r w:rsidR="008F39B8">
          <w:rPr>
            <w:noProof/>
            <w:webHidden/>
          </w:rPr>
          <w:t>434</w:t>
        </w:r>
        <w:r w:rsidR="00052A22">
          <w:rPr>
            <w:noProof/>
            <w:webHidden/>
          </w:rPr>
          <w:fldChar w:fldCharType="end"/>
        </w:r>
      </w:hyperlink>
    </w:p>
    <w:p w14:paraId="67CA34AD" w14:textId="3C4EE83E" w:rsidR="00052A22" w:rsidRDefault="007E17B8">
      <w:pPr>
        <w:pStyle w:val="TableofFigures"/>
        <w:rPr>
          <w:rFonts w:asciiTheme="minorHAnsi" w:eastAsiaTheme="minorEastAsia" w:hAnsiTheme="minorHAnsi" w:cstheme="minorBidi"/>
          <w:noProof/>
          <w:sz w:val="22"/>
        </w:rPr>
      </w:pPr>
      <w:hyperlink w:anchor="_Toc131591511" w:history="1">
        <w:r w:rsidR="00052A22" w:rsidRPr="00880361">
          <w:rPr>
            <w:rStyle w:val="Hyperlink"/>
            <w:rFonts w:cs="Calibri"/>
            <w:noProof/>
          </w:rPr>
          <w:t>Table 12.4.1</w:t>
        </w:r>
        <w:r w:rsidR="00052A22">
          <w:rPr>
            <w:rFonts w:asciiTheme="minorHAnsi" w:eastAsiaTheme="minorEastAsia" w:hAnsiTheme="minorHAnsi" w:cstheme="minorBidi"/>
            <w:noProof/>
            <w:sz w:val="22"/>
          </w:rPr>
          <w:tab/>
        </w:r>
        <w:r w:rsidR="00052A22" w:rsidRPr="00880361">
          <w:rPr>
            <w:rStyle w:val="Hyperlink"/>
            <w:rFonts w:cs="Calibri"/>
            <w:noProof/>
          </w:rPr>
          <w:t>List of the publicly accessible information in New Zealand’s national registry</w:t>
        </w:r>
        <w:r w:rsidR="00052A22">
          <w:rPr>
            <w:noProof/>
            <w:webHidden/>
          </w:rPr>
          <w:tab/>
        </w:r>
        <w:r w:rsidR="00052A22">
          <w:rPr>
            <w:noProof/>
            <w:webHidden/>
          </w:rPr>
          <w:fldChar w:fldCharType="begin"/>
        </w:r>
        <w:r w:rsidR="00052A22">
          <w:rPr>
            <w:noProof/>
            <w:webHidden/>
          </w:rPr>
          <w:instrText xml:space="preserve"> PAGEREF _Toc131591511 \h </w:instrText>
        </w:r>
        <w:r w:rsidR="00052A22">
          <w:rPr>
            <w:noProof/>
            <w:webHidden/>
          </w:rPr>
        </w:r>
        <w:r w:rsidR="00052A22">
          <w:rPr>
            <w:noProof/>
            <w:webHidden/>
          </w:rPr>
          <w:fldChar w:fldCharType="separate"/>
        </w:r>
        <w:r w:rsidR="008F39B8">
          <w:rPr>
            <w:noProof/>
            <w:webHidden/>
          </w:rPr>
          <w:t>435</w:t>
        </w:r>
        <w:r w:rsidR="00052A22">
          <w:rPr>
            <w:noProof/>
            <w:webHidden/>
          </w:rPr>
          <w:fldChar w:fldCharType="end"/>
        </w:r>
      </w:hyperlink>
    </w:p>
    <w:p w14:paraId="5353BED7" w14:textId="6DA609DF" w:rsidR="00052A22" w:rsidRDefault="007E17B8">
      <w:pPr>
        <w:pStyle w:val="TableofFigures"/>
        <w:rPr>
          <w:rFonts w:asciiTheme="minorHAnsi" w:eastAsiaTheme="minorEastAsia" w:hAnsiTheme="minorHAnsi" w:cstheme="minorBidi"/>
          <w:noProof/>
          <w:sz w:val="22"/>
        </w:rPr>
      </w:pPr>
      <w:hyperlink w:anchor="_Toc131591512" w:history="1">
        <w:r w:rsidR="00052A22" w:rsidRPr="00880361">
          <w:rPr>
            <w:rStyle w:val="Hyperlink"/>
            <w:noProof/>
          </w:rPr>
          <w:t xml:space="preserve">Table 14.1 </w:t>
        </w:r>
        <w:r w:rsidR="00052A22">
          <w:rPr>
            <w:rFonts w:asciiTheme="minorHAnsi" w:eastAsiaTheme="minorEastAsia" w:hAnsiTheme="minorHAnsi" w:cstheme="minorBidi"/>
            <w:noProof/>
            <w:sz w:val="22"/>
          </w:rPr>
          <w:tab/>
        </w:r>
        <w:r w:rsidR="00052A22" w:rsidRPr="00880361">
          <w:rPr>
            <w:rStyle w:val="Hyperlink"/>
            <w:noProof/>
          </w:rPr>
          <w:t>Changes made to New Zealand’s national registry</w:t>
        </w:r>
        <w:r w:rsidR="00052A22">
          <w:rPr>
            <w:noProof/>
            <w:webHidden/>
          </w:rPr>
          <w:tab/>
        </w:r>
        <w:r w:rsidR="00052A22">
          <w:rPr>
            <w:noProof/>
            <w:webHidden/>
          </w:rPr>
          <w:fldChar w:fldCharType="begin"/>
        </w:r>
        <w:r w:rsidR="00052A22">
          <w:rPr>
            <w:noProof/>
            <w:webHidden/>
          </w:rPr>
          <w:instrText xml:space="preserve"> PAGEREF _Toc131591512 \h </w:instrText>
        </w:r>
        <w:r w:rsidR="00052A22">
          <w:rPr>
            <w:noProof/>
            <w:webHidden/>
          </w:rPr>
        </w:r>
        <w:r w:rsidR="00052A22">
          <w:rPr>
            <w:noProof/>
            <w:webHidden/>
          </w:rPr>
          <w:fldChar w:fldCharType="separate"/>
        </w:r>
        <w:r w:rsidR="008F39B8">
          <w:rPr>
            <w:noProof/>
            <w:webHidden/>
          </w:rPr>
          <w:t>442</w:t>
        </w:r>
        <w:r w:rsidR="00052A22">
          <w:rPr>
            <w:noProof/>
            <w:webHidden/>
          </w:rPr>
          <w:fldChar w:fldCharType="end"/>
        </w:r>
      </w:hyperlink>
    </w:p>
    <w:p w14:paraId="4ECD30D2" w14:textId="3DD0EE07" w:rsidR="00052A22" w:rsidRDefault="007E17B8">
      <w:pPr>
        <w:pStyle w:val="TableofFigures"/>
        <w:rPr>
          <w:rFonts w:asciiTheme="minorHAnsi" w:eastAsiaTheme="minorEastAsia" w:hAnsiTheme="minorHAnsi" w:cstheme="minorBidi"/>
          <w:noProof/>
          <w:sz w:val="22"/>
        </w:rPr>
      </w:pPr>
      <w:hyperlink w:anchor="_Toc131591513" w:history="1">
        <w:r w:rsidR="00052A22" w:rsidRPr="00880361">
          <w:rPr>
            <w:rStyle w:val="Hyperlink"/>
            <w:rFonts w:cs="Calibri"/>
            <w:noProof/>
          </w:rPr>
          <w:t>Table 14.2</w:t>
        </w:r>
        <w:r w:rsidR="00052A22">
          <w:rPr>
            <w:rFonts w:asciiTheme="minorHAnsi" w:eastAsiaTheme="minorEastAsia" w:hAnsiTheme="minorHAnsi" w:cstheme="minorBidi"/>
            <w:noProof/>
            <w:sz w:val="22"/>
          </w:rPr>
          <w:tab/>
        </w:r>
        <w:r w:rsidR="00052A22" w:rsidRPr="00880361">
          <w:rPr>
            <w:rStyle w:val="Hyperlink"/>
            <w:rFonts w:cs="Calibri"/>
            <w:noProof/>
          </w:rPr>
          <w:t>Previous recommendations for New Zealand from the expert review team</w:t>
        </w:r>
        <w:r w:rsidR="00052A22">
          <w:rPr>
            <w:noProof/>
            <w:webHidden/>
          </w:rPr>
          <w:tab/>
        </w:r>
        <w:r w:rsidR="00052A22">
          <w:rPr>
            <w:noProof/>
            <w:webHidden/>
          </w:rPr>
          <w:fldChar w:fldCharType="begin"/>
        </w:r>
        <w:r w:rsidR="00052A22">
          <w:rPr>
            <w:noProof/>
            <w:webHidden/>
          </w:rPr>
          <w:instrText xml:space="preserve"> PAGEREF _Toc131591513 \h </w:instrText>
        </w:r>
        <w:r w:rsidR="00052A22">
          <w:rPr>
            <w:noProof/>
            <w:webHidden/>
          </w:rPr>
        </w:r>
        <w:r w:rsidR="00052A22">
          <w:rPr>
            <w:noProof/>
            <w:webHidden/>
          </w:rPr>
          <w:fldChar w:fldCharType="separate"/>
        </w:r>
        <w:r w:rsidR="008F39B8">
          <w:rPr>
            <w:noProof/>
            <w:webHidden/>
          </w:rPr>
          <w:t>442</w:t>
        </w:r>
        <w:r w:rsidR="00052A22">
          <w:rPr>
            <w:noProof/>
            <w:webHidden/>
          </w:rPr>
          <w:fldChar w:fldCharType="end"/>
        </w:r>
      </w:hyperlink>
    </w:p>
    <w:p w14:paraId="30D6C5A7" w14:textId="57E7E5F9" w:rsidR="00052A22" w:rsidRDefault="007E17B8">
      <w:pPr>
        <w:pStyle w:val="TableofFigures"/>
        <w:rPr>
          <w:rFonts w:asciiTheme="minorHAnsi" w:eastAsiaTheme="minorEastAsia" w:hAnsiTheme="minorHAnsi" w:cstheme="minorBidi"/>
          <w:noProof/>
          <w:sz w:val="22"/>
        </w:rPr>
      </w:pPr>
      <w:hyperlink w:anchor="_Toc131591514" w:history="1">
        <w:r w:rsidR="00052A22" w:rsidRPr="00880361">
          <w:rPr>
            <w:rStyle w:val="Hyperlink"/>
            <w:noProof/>
          </w:rPr>
          <w:t xml:space="preserve">Table 14.3 </w:t>
        </w:r>
        <w:r w:rsidR="00052A22">
          <w:rPr>
            <w:rFonts w:asciiTheme="minorHAnsi" w:eastAsiaTheme="minorEastAsia" w:hAnsiTheme="minorHAnsi" w:cstheme="minorBidi"/>
            <w:noProof/>
            <w:sz w:val="22"/>
          </w:rPr>
          <w:tab/>
        </w:r>
        <w:r w:rsidR="00052A22" w:rsidRPr="00880361">
          <w:rPr>
            <w:rStyle w:val="Hyperlink"/>
            <w:noProof/>
          </w:rPr>
          <w:t>Contact details</w:t>
        </w:r>
        <w:r w:rsidR="00052A22">
          <w:rPr>
            <w:noProof/>
            <w:webHidden/>
          </w:rPr>
          <w:tab/>
        </w:r>
        <w:r w:rsidR="00052A22">
          <w:rPr>
            <w:noProof/>
            <w:webHidden/>
          </w:rPr>
          <w:fldChar w:fldCharType="begin"/>
        </w:r>
        <w:r w:rsidR="00052A22">
          <w:rPr>
            <w:noProof/>
            <w:webHidden/>
          </w:rPr>
          <w:instrText xml:space="preserve"> PAGEREF _Toc131591514 \h </w:instrText>
        </w:r>
        <w:r w:rsidR="00052A22">
          <w:rPr>
            <w:noProof/>
            <w:webHidden/>
          </w:rPr>
        </w:r>
        <w:r w:rsidR="00052A22">
          <w:rPr>
            <w:noProof/>
            <w:webHidden/>
          </w:rPr>
          <w:fldChar w:fldCharType="separate"/>
        </w:r>
        <w:r w:rsidR="008F39B8">
          <w:rPr>
            <w:noProof/>
            <w:webHidden/>
          </w:rPr>
          <w:t>443</w:t>
        </w:r>
        <w:r w:rsidR="00052A22">
          <w:rPr>
            <w:noProof/>
            <w:webHidden/>
          </w:rPr>
          <w:fldChar w:fldCharType="end"/>
        </w:r>
      </w:hyperlink>
    </w:p>
    <w:p w14:paraId="3E6354F0" w14:textId="3A695795" w:rsidR="006E0A2C" w:rsidRPr="00261B7A" w:rsidRDefault="00883E58" w:rsidP="00F42EB7">
      <w:pPr>
        <w:pStyle w:val="BodyText"/>
      </w:pPr>
      <w:r w:rsidRPr="00261B7A">
        <w:rPr>
          <w:rFonts w:ascii="Arial" w:hAnsi="Arial"/>
          <w:sz w:val="20"/>
        </w:rPr>
        <w:fldChar w:fldCharType="end"/>
      </w:r>
    </w:p>
    <w:p w14:paraId="35FC264C" w14:textId="77777777" w:rsidR="00933BA3" w:rsidRPr="00261B7A" w:rsidRDefault="00933BA3" w:rsidP="00F42EB7">
      <w:pPr>
        <w:pStyle w:val="BodyText"/>
        <w:sectPr w:rsidR="00933BA3" w:rsidRPr="00261B7A" w:rsidSect="00715D39">
          <w:footerReference w:type="even" r:id="rId25"/>
          <w:pgSz w:w="11907" w:h="16840" w:code="9"/>
          <w:pgMar w:top="1418" w:right="1701" w:bottom="1418" w:left="1701" w:header="567" w:footer="567" w:gutter="0"/>
          <w:pgNumType w:fmt="lowerRoman"/>
          <w:cols w:space="720"/>
        </w:sectPr>
      </w:pPr>
    </w:p>
    <w:p w14:paraId="77743EBF" w14:textId="7868A514" w:rsidR="00C21B54" w:rsidRPr="00261B7A" w:rsidRDefault="00C21B54" w:rsidP="00A66007">
      <w:pPr>
        <w:pStyle w:val="Heading1"/>
      </w:pPr>
      <w:bookmarkStart w:id="8" w:name="_Toc131591191"/>
      <w:r w:rsidRPr="00261B7A">
        <w:lastRenderedPageBreak/>
        <w:t>Figures</w:t>
      </w:r>
      <w:bookmarkEnd w:id="8"/>
    </w:p>
    <w:p w14:paraId="78686A7A" w14:textId="0599C2CA" w:rsidR="00072983" w:rsidRDefault="00380AD6">
      <w:pPr>
        <w:pStyle w:val="TableofFigures"/>
        <w:rPr>
          <w:rFonts w:asciiTheme="minorHAnsi" w:eastAsiaTheme="minorEastAsia" w:hAnsiTheme="minorHAnsi" w:cstheme="minorBidi"/>
          <w:noProof/>
          <w:sz w:val="22"/>
        </w:rPr>
      </w:pPr>
      <w:r w:rsidRPr="00261B7A">
        <w:rPr>
          <w:rFonts w:ascii="Arial" w:hAnsi="Arial"/>
        </w:rPr>
        <w:fldChar w:fldCharType="begin"/>
      </w:r>
      <w:r w:rsidRPr="00261B7A">
        <w:rPr>
          <w:rFonts w:ascii="Arial" w:hAnsi="Arial"/>
        </w:rPr>
        <w:instrText xml:space="preserve"> TOC \h \z \t "Figure" \c </w:instrText>
      </w:r>
      <w:r w:rsidRPr="00261B7A">
        <w:rPr>
          <w:rFonts w:ascii="Arial" w:hAnsi="Arial"/>
        </w:rPr>
        <w:fldChar w:fldCharType="separate"/>
      </w:r>
      <w:hyperlink w:anchor="_Toc131591515" w:history="1">
        <w:r w:rsidR="00072983" w:rsidRPr="005478EF">
          <w:rPr>
            <w:rStyle w:val="Hyperlink"/>
            <w:bCs/>
            <w:noProof/>
          </w:rPr>
          <w:t>Figure ES 2.1</w:t>
        </w:r>
        <w:r w:rsidR="00072983">
          <w:rPr>
            <w:rFonts w:asciiTheme="minorHAnsi" w:eastAsiaTheme="minorEastAsia" w:hAnsiTheme="minorHAnsi" w:cstheme="minorBidi"/>
            <w:noProof/>
            <w:sz w:val="22"/>
          </w:rPr>
          <w:tab/>
        </w:r>
        <w:r w:rsidR="00072983" w:rsidRPr="005478EF">
          <w:rPr>
            <w:rStyle w:val="Hyperlink"/>
            <w:noProof/>
          </w:rPr>
          <w:t xml:space="preserve">New Zealand’s gross and net emissions (under the Convention) from </w:t>
        </w:r>
        <w:r w:rsidR="00072983" w:rsidRPr="005478EF">
          <w:rPr>
            <w:rStyle w:val="Hyperlink"/>
            <w:bCs/>
            <w:noProof/>
          </w:rPr>
          <w:t>1990</w:t>
        </w:r>
        <w:r w:rsidR="00072983" w:rsidRPr="005478EF">
          <w:rPr>
            <w:rStyle w:val="Hyperlink"/>
            <w:noProof/>
          </w:rPr>
          <w:t xml:space="preserve"> to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_Toc131591515 \h </w:instrText>
        </w:r>
        <w:r w:rsidR="00072983">
          <w:rPr>
            <w:noProof/>
            <w:webHidden/>
          </w:rPr>
        </w:r>
        <w:r w:rsidR="00072983">
          <w:rPr>
            <w:noProof/>
            <w:webHidden/>
          </w:rPr>
          <w:fldChar w:fldCharType="separate"/>
        </w:r>
        <w:r w:rsidR="008F39B8">
          <w:rPr>
            <w:noProof/>
            <w:webHidden/>
          </w:rPr>
          <w:t>xxvi</w:t>
        </w:r>
        <w:r w:rsidR="00072983">
          <w:rPr>
            <w:noProof/>
            <w:webHidden/>
          </w:rPr>
          <w:fldChar w:fldCharType="end"/>
        </w:r>
      </w:hyperlink>
    </w:p>
    <w:p w14:paraId="58C9B9D0" w14:textId="0384687A" w:rsidR="00072983" w:rsidRDefault="007E17B8">
      <w:pPr>
        <w:pStyle w:val="TableofFigures"/>
        <w:rPr>
          <w:rFonts w:asciiTheme="minorHAnsi" w:eastAsiaTheme="minorEastAsia" w:hAnsiTheme="minorHAnsi" w:cstheme="minorBidi"/>
          <w:noProof/>
          <w:sz w:val="22"/>
        </w:rPr>
      </w:pPr>
      <w:hyperlink w:anchor="_Toc131591516" w:history="1">
        <w:r w:rsidR="00072983" w:rsidRPr="005478EF">
          <w:rPr>
            <w:rStyle w:val="Hyperlink"/>
            <w:bCs/>
            <w:noProof/>
          </w:rPr>
          <w:t>Figure ES 3.1</w:t>
        </w:r>
        <w:r w:rsidR="00072983">
          <w:rPr>
            <w:rFonts w:asciiTheme="minorHAnsi" w:eastAsiaTheme="minorEastAsia" w:hAnsiTheme="minorHAnsi" w:cstheme="minorBidi"/>
            <w:noProof/>
            <w:sz w:val="22"/>
          </w:rPr>
          <w:tab/>
        </w:r>
        <w:r w:rsidR="00072983" w:rsidRPr="005478EF">
          <w:rPr>
            <w:rStyle w:val="Hyperlink"/>
            <w:noProof/>
          </w:rPr>
          <w:t xml:space="preserve">New Zealand’s gross emissions by gas in </w:t>
        </w:r>
        <w:r w:rsidR="00072983" w:rsidRPr="005478EF">
          <w:rPr>
            <w:rStyle w:val="Hyperlink"/>
            <w:bCs/>
            <w:noProof/>
          </w:rPr>
          <w:t>1990</w:t>
        </w:r>
        <w:r w:rsidR="00072983" w:rsidRPr="005478EF">
          <w:rPr>
            <w:rStyle w:val="Hyperlink"/>
            <w:noProof/>
          </w:rPr>
          <w:t xml:space="preserve"> and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_Toc131591516 \h </w:instrText>
        </w:r>
        <w:r w:rsidR="00072983">
          <w:rPr>
            <w:noProof/>
            <w:webHidden/>
          </w:rPr>
        </w:r>
        <w:r w:rsidR="00072983">
          <w:rPr>
            <w:noProof/>
            <w:webHidden/>
          </w:rPr>
          <w:fldChar w:fldCharType="separate"/>
        </w:r>
        <w:r w:rsidR="008F39B8">
          <w:rPr>
            <w:noProof/>
            <w:webHidden/>
          </w:rPr>
          <w:t>xxix</w:t>
        </w:r>
        <w:r w:rsidR="00072983">
          <w:rPr>
            <w:noProof/>
            <w:webHidden/>
          </w:rPr>
          <w:fldChar w:fldCharType="end"/>
        </w:r>
      </w:hyperlink>
    </w:p>
    <w:p w14:paraId="4DEA4531" w14:textId="28FC4B56" w:rsidR="00072983" w:rsidRDefault="007E17B8">
      <w:pPr>
        <w:pStyle w:val="TableofFigures"/>
        <w:rPr>
          <w:rFonts w:asciiTheme="minorHAnsi" w:eastAsiaTheme="minorEastAsia" w:hAnsiTheme="minorHAnsi" w:cstheme="minorBidi"/>
          <w:noProof/>
          <w:sz w:val="22"/>
        </w:rPr>
      </w:pPr>
      <w:hyperlink w:anchor="_Toc131591517" w:history="1">
        <w:r w:rsidR="00072983" w:rsidRPr="005478EF">
          <w:rPr>
            <w:rStyle w:val="Hyperlink"/>
            <w:bCs/>
            <w:noProof/>
          </w:rPr>
          <w:t>Figure ES 4.1</w:t>
        </w:r>
        <w:r w:rsidR="00072983">
          <w:rPr>
            <w:rFonts w:asciiTheme="minorHAnsi" w:eastAsiaTheme="minorEastAsia" w:hAnsiTheme="minorHAnsi" w:cstheme="minorBidi"/>
            <w:noProof/>
            <w:sz w:val="22"/>
          </w:rPr>
          <w:tab/>
        </w:r>
        <w:r w:rsidR="00072983" w:rsidRPr="005478EF">
          <w:rPr>
            <w:rStyle w:val="Hyperlink"/>
            <w:noProof/>
          </w:rPr>
          <w:t xml:space="preserve">Trends in New Zealand’s greenhouse gas emissions by sector from </w:t>
        </w:r>
        <w:r w:rsidR="00072983" w:rsidRPr="005478EF">
          <w:rPr>
            <w:rStyle w:val="Hyperlink"/>
            <w:bCs/>
            <w:noProof/>
          </w:rPr>
          <w:t>1990</w:t>
        </w:r>
        <w:r w:rsidR="00072983" w:rsidRPr="005478EF">
          <w:rPr>
            <w:rStyle w:val="Hyperlink"/>
            <w:noProof/>
          </w:rPr>
          <w:t xml:space="preserve"> to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_Toc131591517 \h </w:instrText>
        </w:r>
        <w:r w:rsidR="00072983">
          <w:rPr>
            <w:noProof/>
            <w:webHidden/>
          </w:rPr>
        </w:r>
        <w:r w:rsidR="00072983">
          <w:rPr>
            <w:noProof/>
            <w:webHidden/>
          </w:rPr>
          <w:fldChar w:fldCharType="separate"/>
        </w:r>
        <w:r w:rsidR="008F39B8">
          <w:rPr>
            <w:noProof/>
            <w:webHidden/>
          </w:rPr>
          <w:t>xxx</w:t>
        </w:r>
        <w:r w:rsidR="00072983">
          <w:rPr>
            <w:noProof/>
            <w:webHidden/>
          </w:rPr>
          <w:fldChar w:fldCharType="end"/>
        </w:r>
      </w:hyperlink>
    </w:p>
    <w:p w14:paraId="2F6D4078" w14:textId="2A6C54A2" w:rsidR="00072983" w:rsidRDefault="007E17B8">
      <w:pPr>
        <w:pStyle w:val="TableofFigures"/>
        <w:rPr>
          <w:rFonts w:asciiTheme="minorHAnsi" w:eastAsiaTheme="minorEastAsia" w:hAnsiTheme="minorHAnsi" w:cstheme="minorBidi"/>
          <w:noProof/>
          <w:sz w:val="22"/>
        </w:rPr>
      </w:pPr>
      <w:hyperlink w:anchor="_Toc131591518" w:history="1">
        <w:r w:rsidR="00072983" w:rsidRPr="005478EF">
          <w:rPr>
            <w:rStyle w:val="Hyperlink"/>
            <w:bCs/>
            <w:noProof/>
          </w:rPr>
          <w:t>Figure ES 4.2</w:t>
        </w:r>
        <w:r w:rsidR="00072983">
          <w:rPr>
            <w:rFonts w:asciiTheme="minorHAnsi" w:eastAsiaTheme="minorEastAsia" w:hAnsiTheme="minorHAnsi" w:cstheme="minorBidi"/>
            <w:noProof/>
            <w:sz w:val="22"/>
          </w:rPr>
          <w:tab/>
        </w:r>
        <w:r w:rsidR="00072983" w:rsidRPr="005478EF">
          <w:rPr>
            <w:rStyle w:val="Hyperlink"/>
            <w:noProof/>
          </w:rPr>
          <w:t xml:space="preserve">Change in New Zealand’s emissions by sector, comparing </w:t>
        </w:r>
        <w:r w:rsidR="00072983" w:rsidRPr="005478EF">
          <w:rPr>
            <w:rStyle w:val="Hyperlink"/>
            <w:bCs/>
            <w:noProof/>
          </w:rPr>
          <w:t>1990</w:t>
        </w:r>
        <w:r w:rsidR="00072983" w:rsidRPr="005478EF">
          <w:rPr>
            <w:rStyle w:val="Hyperlink"/>
            <w:noProof/>
          </w:rPr>
          <w:t xml:space="preserve"> and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_Toc131591518 \h </w:instrText>
        </w:r>
        <w:r w:rsidR="00072983">
          <w:rPr>
            <w:noProof/>
            <w:webHidden/>
          </w:rPr>
        </w:r>
        <w:r w:rsidR="00072983">
          <w:rPr>
            <w:noProof/>
            <w:webHidden/>
          </w:rPr>
          <w:fldChar w:fldCharType="separate"/>
        </w:r>
        <w:r w:rsidR="008F39B8">
          <w:rPr>
            <w:noProof/>
            <w:webHidden/>
          </w:rPr>
          <w:t>xxxi</w:t>
        </w:r>
        <w:r w:rsidR="00072983">
          <w:rPr>
            <w:noProof/>
            <w:webHidden/>
          </w:rPr>
          <w:fldChar w:fldCharType="end"/>
        </w:r>
      </w:hyperlink>
    </w:p>
    <w:p w14:paraId="0D4F0301" w14:textId="6BE994D6" w:rsidR="00072983" w:rsidRDefault="007E17B8">
      <w:pPr>
        <w:pStyle w:val="TableofFigures"/>
        <w:rPr>
          <w:rFonts w:asciiTheme="minorHAnsi" w:eastAsiaTheme="minorEastAsia" w:hAnsiTheme="minorHAnsi" w:cstheme="minorBidi"/>
          <w:noProof/>
          <w:sz w:val="22"/>
        </w:rPr>
      </w:pPr>
      <w:hyperlink w:anchor="_Toc131591519" w:history="1">
        <w:r w:rsidR="00072983" w:rsidRPr="005478EF">
          <w:rPr>
            <w:rStyle w:val="Hyperlink"/>
            <w:noProof/>
          </w:rPr>
          <w:t>Table ES 5.1</w:t>
        </w:r>
        <w:r w:rsidR="00072983">
          <w:rPr>
            <w:rFonts w:asciiTheme="minorHAnsi" w:eastAsiaTheme="minorEastAsia" w:hAnsiTheme="minorHAnsi" w:cstheme="minorBidi"/>
            <w:noProof/>
            <w:sz w:val="22"/>
          </w:rPr>
          <w:tab/>
        </w:r>
        <w:r w:rsidR="00072983" w:rsidRPr="005478EF">
          <w:rPr>
            <w:rStyle w:val="Hyperlink"/>
            <w:noProof/>
          </w:rPr>
          <w:t xml:space="preserve">New Zealand’s land use areas for </w:t>
        </w:r>
        <w:r w:rsidR="00072983" w:rsidRPr="005478EF">
          <w:rPr>
            <w:rStyle w:val="Hyperlink"/>
            <w:i/>
            <w:iCs/>
            <w:noProof/>
          </w:rPr>
          <w:t>Afforestation and reforestation</w:t>
        </w:r>
        <w:r w:rsidR="00072983" w:rsidRPr="005478EF">
          <w:rPr>
            <w:rStyle w:val="Hyperlink"/>
            <w:noProof/>
          </w:rPr>
          <w:t xml:space="preserve">, </w:t>
        </w:r>
        <w:r w:rsidR="00072983" w:rsidRPr="005478EF">
          <w:rPr>
            <w:rStyle w:val="Hyperlink"/>
            <w:i/>
            <w:iCs/>
            <w:noProof/>
          </w:rPr>
          <w:t>Deforestation</w:t>
        </w:r>
        <w:r w:rsidR="00072983" w:rsidRPr="005478EF">
          <w:rPr>
            <w:rStyle w:val="Hyperlink"/>
            <w:noProof/>
          </w:rPr>
          <w:t xml:space="preserve"> and </w:t>
        </w:r>
        <w:r w:rsidR="00072983" w:rsidRPr="005478EF">
          <w:rPr>
            <w:rStyle w:val="Hyperlink"/>
            <w:i/>
            <w:iCs/>
            <w:noProof/>
          </w:rPr>
          <w:t>Forest management</w:t>
        </w:r>
        <w:r w:rsidR="00072983">
          <w:rPr>
            <w:noProof/>
            <w:webHidden/>
          </w:rPr>
          <w:tab/>
        </w:r>
        <w:r w:rsidR="00072983">
          <w:rPr>
            <w:noProof/>
            <w:webHidden/>
          </w:rPr>
          <w:fldChar w:fldCharType="begin"/>
        </w:r>
        <w:r w:rsidR="00072983">
          <w:rPr>
            <w:noProof/>
            <w:webHidden/>
          </w:rPr>
          <w:instrText xml:space="preserve"> PAGEREF _Toc131591519 \h </w:instrText>
        </w:r>
        <w:r w:rsidR="00072983">
          <w:rPr>
            <w:noProof/>
            <w:webHidden/>
          </w:rPr>
        </w:r>
        <w:r w:rsidR="00072983">
          <w:rPr>
            <w:noProof/>
            <w:webHidden/>
          </w:rPr>
          <w:fldChar w:fldCharType="separate"/>
        </w:r>
        <w:r w:rsidR="008F39B8">
          <w:rPr>
            <w:noProof/>
            <w:webHidden/>
          </w:rPr>
          <w:t>xxxviii</w:t>
        </w:r>
        <w:r w:rsidR="00072983">
          <w:rPr>
            <w:noProof/>
            <w:webHidden/>
          </w:rPr>
          <w:fldChar w:fldCharType="end"/>
        </w:r>
      </w:hyperlink>
    </w:p>
    <w:p w14:paraId="2B32F4D0" w14:textId="435DBB0F" w:rsidR="00072983" w:rsidRDefault="007E17B8">
      <w:pPr>
        <w:pStyle w:val="TableofFigures"/>
        <w:rPr>
          <w:rFonts w:asciiTheme="minorHAnsi" w:eastAsiaTheme="minorEastAsia" w:hAnsiTheme="minorHAnsi" w:cstheme="minorBidi"/>
          <w:noProof/>
          <w:sz w:val="22"/>
        </w:rPr>
      </w:pPr>
      <w:hyperlink w:anchor="_Toc131591520" w:history="1">
        <w:r w:rsidR="00072983" w:rsidRPr="005478EF">
          <w:rPr>
            <w:rStyle w:val="Hyperlink"/>
            <w:bCs/>
            <w:noProof/>
          </w:rPr>
          <w:t xml:space="preserve">Figure 1.2.1 </w:t>
        </w:r>
        <w:r w:rsidR="00072983">
          <w:rPr>
            <w:rFonts w:asciiTheme="minorHAnsi" w:eastAsiaTheme="minorEastAsia" w:hAnsiTheme="minorHAnsi" w:cstheme="minorBidi"/>
            <w:noProof/>
            <w:sz w:val="22"/>
          </w:rPr>
          <w:tab/>
        </w:r>
        <w:r w:rsidR="00072983" w:rsidRPr="005478EF">
          <w:rPr>
            <w:rStyle w:val="Hyperlink"/>
            <w:bCs/>
            <w:noProof/>
          </w:rPr>
          <w:t>New Zealand’s inventory system at a glance: how different agencies are involved</w:t>
        </w:r>
        <w:r w:rsidR="00072983">
          <w:rPr>
            <w:noProof/>
            <w:webHidden/>
          </w:rPr>
          <w:tab/>
        </w:r>
        <w:r w:rsidR="00072983">
          <w:rPr>
            <w:noProof/>
            <w:webHidden/>
          </w:rPr>
          <w:fldChar w:fldCharType="begin"/>
        </w:r>
        <w:r w:rsidR="00072983">
          <w:rPr>
            <w:noProof/>
            <w:webHidden/>
          </w:rPr>
          <w:instrText xml:space="preserve"> PAGEREF _Toc131591520 \h </w:instrText>
        </w:r>
        <w:r w:rsidR="00072983">
          <w:rPr>
            <w:noProof/>
            <w:webHidden/>
          </w:rPr>
        </w:r>
        <w:r w:rsidR="00072983">
          <w:rPr>
            <w:noProof/>
            <w:webHidden/>
          </w:rPr>
          <w:fldChar w:fldCharType="separate"/>
        </w:r>
        <w:r w:rsidR="008F39B8">
          <w:rPr>
            <w:noProof/>
            <w:webHidden/>
          </w:rPr>
          <w:t>7</w:t>
        </w:r>
        <w:r w:rsidR="00072983">
          <w:rPr>
            <w:noProof/>
            <w:webHidden/>
          </w:rPr>
          <w:fldChar w:fldCharType="end"/>
        </w:r>
      </w:hyperlink>
    </w:p>
    <w:p w14:paraId="5CE692EC" w14:textId="48EE1C32" w:rsidR="00072983" w:rsidRDefault="007E17B8">
      <w:pPr>
        <w:pStyle w:val="TableofFigures"/>
        <w:rPr>
          <w:rFonts w:asciiTheme="minorHAnsi" w:eastAsiaTheme="minorEastAsia" w:hAnsiTheme="minorHAnsi" w:cstheme="minorBidi"/>
          <w:noProof/>
          <w:sz w:val="22"/>
        </w:rPr>
      </w:pPr>
      <w:hyperlink w:anchor="_Toc131591521" w:history="1">
        <w:r w:rsidR="00072983" w:rsidRPr="005478EF">
          <w:rPr>
            <w:rStyle w:val="Hyperlink"/>
            <w:bCs/>
            <w:noProof/>
          </w:rPr>
          <w:t xml:space="preserve">Figure 1.2.2 </w:t>
        </w:r>
        <w:r w:rsidR="00072983">
          <w:rPr>
            <w:rFonts w:asciiTheme="minorHAnsi" w:eastAsiaTheme="minorEastAsia" w:hAnsiTheme="minorHAnsi" w:cstheme="minorBidi"/>
            <w:noProof/>
            <w:sz w:val="22"/>
          </w:rPr>
          <w:tab/>
        </w:r>
        <w:r w:rsidR="00072983" w:rsidRPr="005478EF">
          <w:rPr>
            <w:rStyle w:val="Hyperlink"/>
            <w:bCs/>
            <w:noProof/>
          </w:rPr>
          <w:t>Summary of New Zealand’s inventory planning and preparation</w:t>
        </w:r>
        <w:r w:rsidR="00072983">
          <w:rPr>
            <w:noProof/>
            <w:webHidden/>
          </w:rPr>
          <w:tab/>
        </w:r>
        <w:r w:rsidR="00072983">
          <w:rPr>
            <w:noProof/>
            <w:webHidden/>
          </w:rPr>
          <w:fldChar w:fldCharType="begin"/>
        </w:r>
        <w:r w:rsidR="00072983">
          <w:rPr>
            <w:noProof/>
            <w:webHidden/>
          </w:rPr>
          <w:instrText xml:space="preserve"> PAGEREF _Toc131591521 \h </w:instrText>
        </w:r>
        <w:r w:rsidR="00072983">
          <w:rPr>
            <w:noProof/>
            <w:webHidden/>
          </w:rPr>
        </w:r>
        <w:r w:rsidR="00072983">
          <w:rPr>
            <w:noProof/>
            <w:webHidden/>
          </w:rPr>
          <w:fldChar w:fldCharType="separate"/>
        </w:r>
        <w:r w:rsidR="008F39B8">
          <w:rPr>
            <w:noProof/>
            <w:webHidden/>
          </w:rPr>
          <w:t>8</w:t>
        </w:r>
        <w:r w:rsidR="00072983">
          <w:rPr>
            <w:noProof/>
            <w:webHidden/>
          </w:rPr>
          <w:fldChar w:fldCharType="end"/>
        </w:r>
      </w:hyperlink>
    </w:p>
    <w:p w14:paraId="149F4CE4" w14:textId="662702CB" w:rsidR="00072983" w:rsidRDefault="007E17B8">
      <w:pPr>
        <w:pStyle w:val="TableofFigures"/>
        <w:rPr>
          <w:rFonts w:asciiTheme="minorHAnsi" w:eastAsiaTheme="minorEastAsia" w:hAnsiTheme="minorHAnsi" w:cstheme="minorBidi"/>
          <w:noProof/>
          <w:sz w:val="22"/>
        </w:rPr>
      </w:pPr>
      <w:hyperlink w:anchor="_Toc131591522" w:history="1">
        <w:r w:rsidR="00072983" w:rsidRPr="005478EF">
          <w:rPr>
            <w:rStyle w:val="Hyperlink"/>
            <w:bCs/>
            <w:noProof/>
          </w:rPr>
          <w:t xml:space="preserve">Figure 2.1.1 </w:t>
        </w:r>
        <w:r w:rsidR="00072983">
          <w:rPr>
            <w:rFonts w:asciiTheme="minorHAnsi" w:eastAsiaTheme="minorEastAsia" w:hAnsiTheme="minorHAnsi" w:cstheme="minorBidi"/>
            <w:noProof/>
            <w:sz w:val="22"/>
          </w:rPr>
          <w:tab/>
        </w:r>
        <w:r w:rsidR="00072983" w:rsidRPr="005478EF">
          <w:rPr>
            <w:rStyle w:val="Hyperlink"/>
            <w:bCs/>
            <w:noProof/>
          </w:rPr>
          <w:t>New Zealand’s gross and net emissions (under the Convention) from 1990 to 2021</w:t>
        </w:r>
        <w:r w:rsidR="00072983">
          <w:rPr>
            <w:noProof/>
            <w:webHidden/>
          </w:rPr>
          <w:tab/>
        </w:r>
        <w:r w:rsidR="00072983">
          <w:rPr>
            <w:noProof/>
            <w:webHidden/>
          </w:rPr>
          <w:fldChar w:fldCharType="begin"/>
        </w:r>
        <w:r w:rsidR="00072983">
          <w:rPr>
            <w:noProof/>
            <w:webHidden/>
          </w:rPr>
          <w:instrText xml:space="preserve"> PAGEREF _Toc131591522 \h </w:instrText>
        </w:r>
        <w:r w:rsidR="00072983">
          <w:rPr>
            <w:noProof/>
            <w:webHidden/>
          </w:rPr>
        </w:r>
        <w:r w:rsidR="00072983">
          <w:rPr>
            <w:noProof/>
            <w:webHidden/>
          </w:rPr>
          <w:fldChar w:fldCharType="separate"/>
        </w:r>
        <w:r w:rsidR="008F39B8">
          <w:rPr>
            <w:noProof/>
            <w:webHidden/>
          </w:rPr>
          <w:t>41</w:t>
        </w:r>
        <w:r w:rsidR="00072983">
          <w:rPr>
            <w:noProof/>
            <w:webHidden/>
          </w:rPr>
          <w:fldChar w:fldCharType="end"/>
        </w:r>
      </w:hyperlink>
    </w:p>
    <w:p w14:paraId="3E55828C" w14:textId="6A5E33AC" w:rsidR="00072983" w:rsidRDefault="007E17B8">
      <w:pPr>
        <w:pStyle w:val="TableofFigures"/>
        <w:rPr>
          <w:rFonts w:asciiTheme="minorHAnsi" w:eastAsiaTheme="minorEastAsia" w:hAnsiTheme="minorHAnsi" w:cstheme="minorBidi"/>
          <w:noProof/>
          <w:sz w:val="22"/>
        </w:rPr>
      </w:pPr>
      <w:hyperlink w:anchor="_Toc131591523" w:history="1">
        <w:r w:rsidR="00072983" w:rsidRPr="005478EF">
          <w:rPr>
            <w:rStyle w:val="Hyperlink"/>
            <w:noProof/>
          </w:rPr>
          <w:t xml:space="preserve">Figure 2.2.1 </w:t>
        </w:r>
        <w:r w:rsidR="00072983">
          <w:rPr>
            <w:rFonts w:asciiTheme="minorHAnsi" w:eastAsiaTheme="minorEastAsia" w:hAnsiTheme="minorHAnsi" w:cstheme="minorBidi"/>
            <w:noProof/>
            <w:sz w:val="22"/>
          </w:rPr>
          <w:tab/>
        </w:r>
        <w:r w:rsidR="00072983" w:rsidRPr="005478EF">
          <w:rPr>
            <w:rStyle w:val="Hyperlink"/>
            <w:noProof/>
          </w:rPr>
          <w:t xml:space="preserve">New Zealand’s emissions by sector in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_Toc131591523 \h </w:instrText>
        </w:r>
        <w:r w:rsidR="00072983">
          <w:rPr>
            <w:noProof/>
            <w:webHidden/>
          </w:rPr>
        </w:r>
        <w:r w:rsidR="00072983">
          <w:rPr>
            <w:noProof/>
            <w:webHidden/>
          </w:rPr>
          <w:fldChar w:fldCharType="separate"/>
        </w:r>
        <w:r w:rsidR="008F39B8">
          <w:rPr>
            <w:noProof/>
            <w:webHidden/>
          </w:rPr>
          <w:t>42</w:t>
        </w:r>
        <w:r w:rsidR="00072983">
          <w:rPr>
            <w:noProof/>
            <w:webHidden/>
          </w:rPr>
          <w:fldChar w:fldCharType="end"/>
        </w:r>
      </w:hyperlink>
    </w:p>
    <w:p w14:paraId="717E05C7" w14:textId="53CB9244" w:rsidR="00072983" w:rsidRDefault="007E17B8">
      <w:pPr>
        <w:pStyle w:val="TableofFigures"/>
        <w:rPr>
          <w:rFonts w:asciiTheme="minorHAnsi" w:eastAsiaTheme="minorEastAsia" w:hAnsiTheme="minorHAnsi" w:cstheme="minorBidi"/>
          <w:noProof/>
          <w:sz w:val="22"/>
        </w:rPr>
      </w:pPr>
      <w:hyperlink w:anchor="_Toc131591524" w:history="1">
        <w:r w:rsidR="00072983" w:rsidRPr="005478EF">
          <w:rPr>
            <w:rStyle w:val="Hyperlink"/>
            <w:noProof/>
          </w:rPr>
          <w:t xml:space="preserve">Figure 2.2.2 </w:t>
        </w:r>
        <w:r w:rsidR="00072983">
          <w:rPr>
            <w:rFonts w:asciiTheme="minorHAnsi" w:eastAsiaTheme="minorEastAsia" w:hAnsiTheme="minorHAnsi" w:cstheme="minorBidi"/>
            <w:noProof/>
            <w:sz w:val="22"/>
          </w:rPr>
          <w:tab/>
        </w:r>
        <w:r w:rsidR="00072983" w:rsidRPr="005478EF">
          <w:rPr>
            <w:rStyle w:val="Hyperlink"/>
            <w:noProof/>
          </w:rPr>
          <w:t xml:space="preserve">New Zealand’s gross emissions by gas in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_Toc131591524 \h </w:instrText>
        </w:r>
        <w:r w:rsidR="00072983">
          <w:rPr>
            <w:noProof/>
            <w:webHidden/>
          </w:rPr>
        </w:r>
        <w:r w:rsidR="00072983">
          <w:rPr>
            <w:noProof/>
            <w:webHidden/>
          </w:rPr>
          <w:fldChar w:fldCharType="separate"/>
        </w:r>
        <w:r w:rsidR="008F39B8">
          <w:rPr>
            <w:noProof/>
            <w:webHidden/>
          </w:rPr>
          <w:t>42</w:t>
        </w:r>
        <w:r w:rsidR="00072983">
          <w:rPr>
            <w:noProof/>
            <w:webHidden/>
          </w:rPr>
          <w:fldChar w:fldCharType="end"/>
        </w:r>
      </w:hyperlink>
    </w:p>
    <w:p w14:paraId="0AB0AA18" w14:textId="62BE3D1B" w:rsidR="00072983" w:rsidRDefault="007E17B8">
      <w:pPr>
        <w:pStyle w:val="TableofFigures"/>
        <w:rPr>
          <w:rFonts w:asciiTheme="minorHAnsi" w:eastAsiaTheme="minorEastAsia" w:hAnsiTheme="minorHAnsi" w:cstheme="minorBidi"/>
          <w:noProof/>
          <w:sz w:val="22"/>
        </w:rPr>
      </w:pPr>
      <w:hyperlink w:anchor="_Toc131591525" w:history="1">
        <w:r w:rsidR="00072983" w:rsidRPr="005478EF">
          <w:rPr>
            <w:rStyle w:val="Hyperlink"/>
            <w:bCs/>
            <w:noProof/>
          </w:rPr>
          <w:t>Figure 2.2.3</w:t>
        </w:r>
        <w:r w:rsidR="00072983" w:rsidRPr="005478EF">
          <w:rPr>
            <w:rStyle w:val="Hyperlink"/>
            <w:noProof/>
          </w:rPr>
          <w:t xml:space="preserve"> </w:t>
        </w:r>
        <w:r w:rsidR="00072983">
          <w:rPr>
            <w:rFonts w:asciiTheme="minorHAnsi" w:eastAsiaTheme="minorEastAsia" w:hAnsiTheme="minorHAnsi" w:cstheme="minorBidi"/>
            <w:noProof/>
            <w:sz w:val="22"/>
          </w:rPr>
          <w:tab/>
        </w:r>
        <w:r w:rsidR="00072983" w:rsidRPr="005478EF">
          <w:rPr>
            <w:rStyle w:val="Hyperlink"/>
            <w:noProof/>
          </w:rPr>
          <w:t xml:space="preserve">Trends in New Zealand’s greenhouse gas emissions by sector from </w:t>
        </w:r>
        <w:r w:rsidR="00072983" w:rsidRPr="005478EF">
          <w:rPr>
            <w:rStyle w:val="Hyperlink"/>
            <w:bCs/>
            <w:noProof/>
          </w:rPr>
          <w:t>1990</w:t>
        </w:r>
        <w:r w:rsidR="00072983" w:rsidRPr="005478EF">
          <w:rPr>
            <w:rStyle w:val="Hyperlink"/>
            <w:noProof/>
          </w:rPr>
          <w:t xml:space="preserve"> to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_Toc131591525 \h </w:instrText>
        </w:r>
        <w:r w:rsidR="00072983">
          <w:rPr>
            <w:noProof/>
            <w:webHidden/>
          </w:rPr>
        </w:r>
        <w:r w:rsidR="00072983">
          <w:rPr>
            <w:noProof/>
            <w:webHidden/>
          </w:rPr>
          <w:fldChar w:fldCharType="separate"/>
        </w:r>
        <w:r w:rsidR="008F39B8">
          <w:rPr>
            <w:noProof/>
            <w:webHidden/>
          </w:rPr>
          <w:t>44</w:t>
        </w:r>
        <w:r w:rsidR="00072983">
          <w:rPr>
            <w:noProof/>
            <w:webHidden/>
          </w:rPr>
          <w:fldChar w:fldCharType="end"/>
        </w:r>
      </w:hyperlink>
    </w:p>
    <w:p w14:paraId="367A0581" w14:textId="7079DECB" w:rsidR="00072983" w:rsidRDefault="007E17B8">
      <w:pPr>
        <w:pStyle w:val="TableofFigures"/>
        <w:rPr>
          <w:rFonts w:asciiTheme="minorHAnsi" w:eastAsiaTheme="minorEastAsia" w:hAnsiTheme="minorHAnsi" w:cstheme="minorBidi"/>
          <w:noProof/>
          <w:sz w:val="22"/>
        </w:rPr>
      </w:pPr>
      <w:hyperlink w:anchor="_Toc131591526" w:history="1">
        <w:r w:rsidR="00072983" w:rsidRPr="005478EF">
          <w:rPr>
            <w:rStyle w:val="Hyperlink"/>
            <w:noProof/>
          </w:rPr>
          <w:t xml:space="preserve">Figure 2.2.4 </w:t>
        </w:r>
        <w:r w:rsidR="00072983">
          <w:rPr>
            <w:rFonts w:asciiTheme="minorHAnsi" w:eastAsiaTheme="minorEastAsia" w:hAnsiTheme="minorHAnsi" w:cstheme="minorBidi"/>
            <w:noProof/>
            <w:sz w:val="22"/>
          </w:rPr>
          <w:tab/>
        </w:r>
        <w:r w:rsidR="00072983" w:rsidRPr="005478EF">
          <w:rPr>
            <w:rStyle w:val="Hyperlink"/>
            <w:noProof/>
          </w:rPr>
          <w:t xml:space="preserve">Change in New Zealand’s emissions by sector comparing </w:t>
        </w:r>
        <w:r w:rsidR="00072983" w:rsidRPr="005478EF">
          <w:rPr>
            <w:rStyle w:val="Hyperlink"/>
            <w:bCs/>
            <w:noProof/>
          </w:rPr>
          <w:t>1990</w:t>
        </w:r>
        <w:r w:rsidR="00072983" w:rsidRPr="005478EF">
          <w:rPr>
            <w:rStyle w:val="Hyperlink"/>
            <w:noProof/>
          </w:rPr>
          <w:t xml:space="preserve"> and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_Toc131591526 \h </w:instrText>
        </w:r>
        <w:r w:rsidR="00072983">
          <w:rPr>
            <w:noProof/>
            <w:webHidden/>
          </w:rPr>
        </w:r>
        <w:r w:rsidR="00072983">
          <w:rPr>
            <w:noProof/>
            <w:webHidden/>
          </w:rPr>
          <w:fldChar w:fldCharType="separate"/>
        </w:r>
        <w:r w:rsidR="008F39B8">
          <w:rPr>
            <w:noProof/>
            <w:webHidden/>
          </w:rPr>
          <w:t>45</w:t>
        </w:r>
        <w:r w:rsidR="00072983">
          <w:rPr>
            <w:noProof/>
            <w:webHidden/>
          </w:rPr>
          <w:fldChar w:fldCharType="end"/>
        </w:r>
      </w:hyperlink>
    </w:p>
    <w:p w14:paraId="0231F4D8" w14:textId="52C2733D" w:rsidR="00072983" w:rsidRDefault="007E17B8">
      <w:pPr>
        <w:pStyle w:val="TableofFigures"/>
        <w:rPr>
          <w:rFonts w:asciiTheme="minorHAnsi" w:eastAsiaTheme="minorEastAsia" w:hAnsiTheme="minorHAnsi" w:cstheme="minorBidi"/>
          <w:noProof/>
          <w:sz w:val="22"/>
        </w:rPr>
      </w:pPr>
      <w:hyperlink w:anchor="_Toc131591527" w:history="1">
        <w:r w:rsidR="00072983" w:rsidRPr="005478EF">
          <w:rPr>
            <w:rStyle w:val="Hyperlink"/>
            <w:noProof/>
          </w:rPr>
          <w:t xml:space="preserve">Figure 2.2.5 </w:t>
        </w:r>
        <w:r w:rsidR="00072983">
          <w:rPr>
            <w:rFonts w:asciiTheme="minorHAnsi" w:eastAsiaTheme="minorEastAsia" w:hAnsiTheme="minorHAnsi" w:cstheme="minorBidi"/>
            <w:noProof/>
            <w:sz w:val="22"/>
          </w:rPr>
          <w:tab/>
        </w:r>
        <w:r w:rsidR="00072983" w:rsidRPr="005478EF">
          <w:rPr>
            <w:rStyle w:val="Hyperlink"/>
            <w:noProof/>
          </w:rPr>
          <w:t xml:space="preserve">Absolute change in New Zealand’s gross emissions by sector from </w:t>
        </w:r>
        <w:r w:rsidR="00072983" w:rsidRPr="005478EF">
          <w:rPr>
            <w:rStyle w:val="Hyperlink"/>
            <w:bCs/>
            <w:noProof/>
          </w:rPr>
          <w:t>1990</w:t>
        </w:r>
        <w:r w:rsidR="00072983" w:rsidRPr="005478EF">
          <w:rPr>
            <w:rStyle w:val="Hyperlink"/>
            <w:noProof/>
          </w:rPr>
          <w:t xml:space="preserve"> to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_Toc131591527 \h </w:instrText>
        </w:r>
        <w:r w:rsidR="00072983">
          <w:rPr>
            <w:noProof/>
            <w:webHidden/>
          </w:rPr>
        </w:r>
        <w:r w:rsidR="00072983">
          <w:rPr>
            <w:noProof/>
            <w:webHidden/>
          </w:rPr>
          <w:fldChar w:fldCharType="separate"/>
        </w:r>
        <w:r w:rsidR="008F39B8">
          <w:rPr>
            <w:noProof/>
            <w:webHidden/>
          </w:rPr>
          <w:t>46</w:t>
        </w:r>
        <w:r w:rsidR="00072983">
          <w:rPr>
            <w:noProof/>
            <w:webHidden/>
          </w:rPr>
          <w:fldChar w:fldCharType="end"/>
        </w:r>
      </w:hyperlink>
    </w:p>
    <w:p w14:paraId="518AA0D0" w14:textId="0CFAFB0C" w:rsidR="00072983" w:rsidRDefault="007E17B8">
      <w:pPr>
        <w:pStyle w:val="TableofFigures"/>
        <w:rPr>
          <w:rFonts w:asciiTheme="minorHAnsi" w:eastAsiaTheme="minorEastAsia" w:hAnsiTheme="minorHAnsi" w:cstheme="minorBidi"/>
          <w:noProof/>
          <w:sz w:val="22"/>
        </w:rPr>
      </w:pPr>
      <w:hyperlink w:anchor="_Toc131591528" w:history="1">
        <w:r w:rsidR="00072983" w:rsidRPr="005478EF">
          <w:rPr>
            <w:rStyle w:val="Hyperlink"/>
            <w:noProof/>
          </w:rPr>
          <w:t xml:space="preserve">Figure 2.2.6 </w:t>
        </w:r>
        <w:r w:rsidR="00072983">
          <w:rPr>
            <w:rFonts w:asciiTheme="minorHAnsi" w:eastAsiaTheme="minorEastAsia" w:hAnsiTheme="minorHAnsi" w:cstheme="minorBidi"/>
            <w:noProof/>
            <w:sz w:val="22"/>
          </w:rPr>
          <w:tab/>
        </w:r>
        <w:r w:rsidR="00072983" w:rsidRPr="005478EF">
          <w:rPr>
            <w:rStyle w:val="Hyperlink"/>
            <w:noProof/>
          </w:rPr>
          <w:t xml:space="preserve">Absolute change in net emissions from the LULUCF sector from </w:t>
        </w:r>
        <w:r w:rsidR="00072983" w:rsidRPr="005478EF">
          <w:rPr>
            <w:rStyle w:val="Hyperlink"/>
            <w:bCs/>
            <w:noProof/>
          </w:rPr>
          <w:t>1990</w:t>
        </w:r>
        <w:r w:rsidR="00072983" w:rsidRPr="005478EF">
          <w:rPr>
            <w:rStyle w:val="Hyperlink"/>
            <w:noProof/>
          </w:rPr>
          <w:t xml:space="preserve"> to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_Toc131591528 \h </w:instrText>
        </w:r>
        <w:r w:rsidR="00072983">
          <w:rPr>
            <w:noProof/>
            <w:webHidden/>
          </w:rPr>
        </w:r>
        <w:r w:rsidR="00072983">
          <w:rPr>
            <w:noProof/>
            <w:webHidden/>
          </w:rPr>
          <w:fldChar w:fldCharType="separate"/>
        </w:r>
        <w:r w:rsidR="008F39B8">
          <w:rPr>
            <w:noProof/>
            <w:webHidden/>
          </w:rPr>
          <w:t>47</w:t>
        </w:r>
        <w:r w:rsidR="00072983">
          <w:rPr>
            <w:noProof/>
            <w:webHidden/>
          </w:rPr>
          <w:fldChar w:fldCharType="end"/>
        </w:r>
      </w:hyperlink>
    </w:p>
    <w:p w14:paraId="4E483B0F" w14:textId="55A69090" w:rsidR="00072983" w:rsidRDefault="007E17B8">
      <w:pPr>
        <w:pStyle w:val="TableofFigures"/>
        <w:rPr>
          <w:rFonts w:asciiTheme="minorHAnsi" w:eastAsiaTheme="minorEastAsia" w:hAnsiTheme="minorHAnsi" w:cstheme="minorBidi"/>
          <w:noProof/>
          <w:sz w:val="22"/>
        </w:rPr>
      </w:pPr>
      <w:hyperlink w:anchor="_Toc131591529" w:history="1">
        <w:r w:rsidR="00072983" w:rsidRPr="005478EF">
          <w:rPr>
            <w:rStyle w:val="Hyperlink"/>
            <w:noProof/>
          </w:rPr>
          <w:t xml:space="preserve">Figure 2.2.7 </w:t>
        </w:r>
        <w:r w:rsidR="00072983">
          <w:rPr>
            <w:rFonts w:asciiTheme="minorHAnsi" w:eastAsiaTheme="minorEastAsia" w:hAnsiTheme="minorHAnsi" w:cstheme="minorBidi"/>
            <w:noProof/>
            <w:sz w:val="22"/>
          </w:rPr>
          <w:tab/>
        </w:r>
        <w:r w:rsidR="00072983" w:rsidRPr="005478EF">
          <w:rPr>
            <w:rStyle w:val="Hyperlink"/>
            <w:noProof/>
          </w:rPr>
          <w:t xml:space="preserve">New Zealand’s Energy sector emissions from </w:t>
        </w:r>
        <w:r w:rsidR="00072983" w:rsidRPr="005478EF">
          <w:rPr>
            <w:rStyle w:val="Hyperlink"/>
            <w:bCs/>
            <w:noProof/>
          </w:rPr>
          <w:t>1990</w:t>
        </w:r>
        <w:r w:rsidR="00072983" w:rsidRPr="005478EF">
          <w:rPr>
            <w:rStyle w:val="Hyperlink"/>
            <w:noProof/>
          </w:rPr>
          <w:t xml:space="preserve"> to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_Toc131591529 \h </w:instrText>
        </w:r>
        <w:r w:rsidR="00072983">
          <w:rPr>
            <w:noProof/>
            <w:webHidden/>
          </w:rPr>
        </w:r>
        <w:r w:rsidR="00072983">
          <w:rPr>
            <w:noProof/>
            <w:webHidden/>
          </w:rPr>
          <w:fldChar w:fldCharType="separate"/>
        </w:r>
        <w:r w:rsidR="008F39B8">
          <w:rPr>
            <w:noProof/>
            <w:webHidden/>
          </w:rPr>
          <w:t>48</w:t>
        </w:r>
        <w:r w:rsidR="00072983">
          <w:rPr>
            <w:noProof/>
            <w:webHidden/>
          </w:rPr>
          <w:fldChar w:fldCharType="end"/>
        </w:r>
      </w:hyperlink>
    </w:p>
    <w:p w14:paraId="440E83B8" w14:textId="3C3EC17C" w:rsidR="00072983" w:rsidRDefault="007E17B8">
      <w:pPr>
        <w:pStyle w:val="TableofFigures"/>
        <w:rPr>
          <w:rFonts w:asciiTheme="minorHAnsi" w:eastAsiaTheme="minorEastAsia" w:hAnsiTheme="minorHAnsi" w:cstheme="minorBidi"/>
          <w:noProof/>
          <w:sz w:val="22"/>
        </w:rPr>
      </w:pPr>
      <w:hyperlink w:anchor="_Toc131591530" w:history="1">
        <w:r w:rsidR="00072983" w:rsidRPr="005478EF">
          <w:rPr>
            <w:rStyle w:val="Hyperlink"/>
            <w:noProof/>
          </w:rPr>
          <w:t xml:space="preserve">Figure 2.2.8 </w:t>
        </w:r>
        <w:r w:rsidR="00072983">
          <w:rPr>
            <w:rFonts w:asciiTheme="minorHAnsi" w:eastAsiaTheme="minorEastAsia" w:hAnsiTheme="minorHAnsi" w:cstheme="minorBidi"/>
            <w:noProof/>
            <w:sz w:val="22"/>
          </w:rPr>
          <w:tab/>
        </w:r>
        <w:r w:rsidR="00072983" w:rsidRPr="005478EF">
          <w:rPr>
            <w:rStyle w:val="Hyperlink"/>
            <w:noProof/>
          </w:rPr>
          <w:t xml:space="preserve">New Zealand’s IPPU sector emissions from </w:t>
        </w:r>
        <w:r w:rsidR="00072983" w:rsidRPr="005478EF">
          <w:rPr>
            <w:rStyle w:val="Hyperlink"/>
            <w:bCs/>
            <w:noProof/>
          </w:rPr>
          <w:t>1990</w:t>
        </w:r>
        <w:r w:rsidR="00072983" w:rsidRPr="005478EF">
          <w:rPr>
            <w:rStyle w:val="Hyperlink"/>
            <w:noProof/>
          </w:rPr>
          <w:t xml:space="preserve"> to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_Toc131591530 \h </w:instrText>
        </w:r>
        <w:r w:rsidR="00072983">
          <w:rPr>
            <w:noProof/>
            <w:webHidden/>
          </w:rPr>
        </w:r>
        <w:r w:rsidR="00072983">
          <w:rPr>
            <w:noProof/>
            <w:webHidden/>
          </w:rPr>
          <w:fldChar w:fldCharType="separate"/>
        </w:r>
        <w:r w:rsidR="008F39B8">
          <w:rPr>
            <w:noProof/>
            <w:webHidden/>
          </w:rPr>
          <w:t>50</w:t>
        </w:r>
        <w:r w:rsidR="00072983">
          <w:rPr>
            <w:noProof/>
            <w:webHidden/>
          </w:rPr>
          <w:fldChar w:fldCharType="end"/>
        </w:r>
      </w:hyperlink>
    </w:p>
    <w:p w14:paraId="7BDFF871" w14:textId="411210BD" w:rsidR="00072983" w:rsidRDefault="007E17B8">
      <w:pPr>
        <w:pStyle w:val="TableofFigures"/>
        <w:rPr>
          <w:rFonts w:asciiTheme="minorHAnsi" w:eastAsiaTheme="minorEastAsia" w:hAnsiTheme="minorHAnsi" w:cstheme="minorBidi"/>
          <w:noProof/>
          <w:sz w:val="22"/>
        </w:rPr>
      </w:pPr>
      <w:hyperlink w:anchor="_Toc131591531" w:history="1">
        <w:r w:rsidR="00072983" w:rsidRPr="005478EF">
          <w:rPr>
            <w:rStyle w:val="Hyperlink"/>
            <w:noProof/>
          </w:rPr>
          <w:t xml:space="preserve">Figure 2.2.9 </w:t>
        </w:r>
        <w:r w:rsidR="00072983">
          <w:rPr>
            <w:rFonts w:asciiTheme="minorHAnsi" w:eastAsiaTheme="minorEastAsia" w:hAnsiTheme="minorHAnsi" w:cstheme="minorBidi"/>
            <w:noProof/>
            <w:sz w:val="22"/>
          </w:rPr>
          <w:tab/>
        </w:r>
        <w:r w:rsidR="00072983" w:rsidRPr="005478EF">
          <w:rPr>
            <w:rStyle w:val="Hyperlink"/>
            <w:noProof/>
          </w:rPr>
          <w:t xml:space="preserve">New Zealand’s Agriculture sector emissions from </w:t>
        </w:r>
        <w:r w:rsidR="00072983" w:rsidRPr="005478EF">
          <w:rPr>
            <w:rStyle w:val="Hyperlink"/>
            <w:bCs/>
            <w:noProof/>
          </w:rPr>
          <w:t>1990</w:t>
        </w:r>
        <w:r w:rsidR="00072983" w:rsidRPr="005478EF">
          <w:rPr>
            <w:rStyle w:val="Hyperlink"/>
            <w:noProof/>
          </w:rPr>
          <w:t xml:space="preserve"> to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_Toc131591531 \h </w:instrText>
        </w:r>
        <w:r w:rsidR="00072983">
          <w:rPr>
            <w:noProof/>
            <w:webHidden/>
          </w:rPr>
        </w:r>
        <w:r w:rsidR="00072983">
          <w:rPr>
            <w:noProof/>
            <w:webHidden/>
          </w:rPr>
          <w:fldChar w:fldCharType="separate"/>
        </w:r>
        <w:r w:rsidR="008F39B8">
          <w:rPr>
            <w:noProof/>
            <w:webHidden/>
          </w:rPr>
          <w:t>52</w:t>
        </w:r>
        <w:r w:rsidR="00072983">
          <w:rPr>
            <w:noProof/>
            <w:webHidden/>
          </w:rPr>
          <w:fldChar w:fldCharType="end"/>
        </w:r>
      </w:hyperlink>
    </w:p>
    <w:p w14:paraId="5A4AF5A5" w14:textId="7489F5ED" w:rsidR="00072983" w:rsidRDefault="007E17B8">
      <w:pPr>
        <w:pStyle w:val="TableofFigures"/>
        <w:rPr>
          <w:rFonts w:asciiTheme="minorHAnsi" w:eastAsiaTheme="minorEastAsia" w:hAnsiTheme="minorHAnsi" w:cstheme="minorBidi"/>
          <w:noProof/>
          <w:sz w:val="22"/>
        </w:rPr>
      </w:pPr>
      <w:hyperlink w:anchor="_Toc131591532" w:history="1">
        <w:r w:rsidR="00072983" w:rsidRPr="005478EF">
          <w:rPr>
            <w:rStyle w:val="Hyperlink"/>
            <w:noProof/>
          </w:rPr>
          <w:t xml:space="preserve">Figure 2.2.10 </w:t>
        </w:r>
        <w:r w:rsidR="00072983">
          <w:rPr>
            <w:rFonts w:asciiTheme="minorHAnsi" w:eastAsiaTheme="minorEastAsia" w:hAnsiTheme="minorHAnsi" w:cstheme="minorBidi"/>
            <w:noProof/>
            <w:sz w:val="22"/>
          </w:rPr>
          <w:tab/>
        </w:r>
        <w:r w:rsidR="00072983" w:rsidRPr="005478EF">
          <w:rPr>
            <w:rStyle w:val="Hyperlink"/>
            <w:noProof/>
          </w:rPr>
          <w:t xml:space="preserve">New Zealand’s LULUCF sector net emissions from </w:t>
        </w:r>
        <w:r w:rsidR="00072983" w:rsidRPr="005478EF">
          <w:rPr>
            <w:rStyle w:val="Hyperlink"/>
            <w:bCs/>
            <w:noProof/>
          </w:rPr>
          <w:t>1990</w:t>
        </w:r>
        <w:r w:rsidR="00072983" w:rsidRPr="005478EF">
          <w:rPr>
            <w:rStyle w:val="Hyperlink"/>
            <w:noProof/>
          </w:rPr>
          <w:t xml:space="preserve"> to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_Toc131591532 \h </w:instrText>
        </w:r>
        <w:r w:rsidR="00072983">
          <w:rPr>
            <w:noProof/>
            <w:webHidden/>
          </w:rPr>
        </w:r>
        <w:r w:rsidR="00072983">
          <w:rPr>
            <w:noProof/>
            <w:webHidden/>
          </w:rPr>
          <w:fldChar w:fldCharType="separate"/>
        </w:r>
        <w:r w:rsidR="008F39B8">
          <w:rPr>
            <w:noProof/>
            <w:webHidden/>
          </w:rPr>
          <w:t>54</w:t>
        </w:r>
        <w:r w:rsidR="00072983">
          <w:rPr>
            <w:noProof/>
            <w:webHidden/>
          </w:rPr>
          <w:fldChar w:fldCharType="end"/>
        </w:r>
      </w:hyperlink>
    </w:p>
    <w:p w14:paraId="08BE98AE" w14:textId="51B9CCCB" w:rsidR="00072983" w:rsidRDefault="007E17B8">
      <w:pPr>
        <w:pStyle w:val="TableofFigures"/>
        <w:rPr>
          <w:rFonts w:asciiTheme="minorHAnsi" w:eastAsiaTheme="minorEastAsia" w:hAnsiTheme="minorHAnsi" w:cstheme="minorBidi"/>
          <w:noProof/>
          <w:sz w:val="22"/>
        </w:rPr>
      </w:pPr>
      <w:hyperlink w:anchor="_Toc131591533" w:history="1">
        <w:r w:rsidR="00072983" w:rsidRPr="005478EF">
          <w:rPr>
            <w:rStyle w:val="Hyperlink"/>
            <w:noProof/>
          </w:rPr>
          <w:t xml:space="preserve">Figure 2.2.11 </w:t>
        </w:r>
        <w:r w:rsidR="00072983">
          <w:rPr>
            <w:rFonts w:asciiTheme="minorHAnsi" w:eastAsiaTheme="minorEastAsia" w:hAnsiTheme="minorHAnsi" w:cstheme="minorBidi"/>
            <w:noProof/>
            <w:sz w:val="22"/>
          </w:rPr>
          <w:tab/>
        </w:r>
        <w:r w:rsidR="00072983" w:rsidRPr="005478EF">
          <w:rPr>
            <w:rStyle w:val="Hyperlink"/>
            <w:noProof/>
          </w:rPr>
          <w:t xml:space="preserve">New Zealand’s Waste sector emissions from </w:t>
        </w:r>
        <w:r w:rsidR="00072983" w:rsidRPr="005478EF">
          <w:rPr>
            <w:rStyle w:val="Hyperlink"/>
            <w:bCs/>
            <w:noProof/>
          </w:rPr>
          <w:t>1990</w:t>
        </w:r>
        <w:r w:rsidR="00072983" w:rsidRPr="005478EF">
          <w:rPr>
            <w:rStyle w:val="Hyperlink"/>
            <w:noProof/>
          </w:rPr>
          <w:t xml:space="preserve"> to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_Toc131591533 \h </w:instrText>
        </w:r>
        <w:r w:rsidR="00072983">
          <w:rPr>
            <w:noProof/>
            <w:webHidden/>
          </w:rPr>
        </w:r>
        <w:r w:rsidR="00072983">
          <w:rPr>
            <w:noProof/>
            <w:webHidden/>
          </w:rPr>
          <w:fldChar w:fldCharType="separate"/>
        </w:r>
        <w:r w:rsidR="008F39B8">
          <w:rPr>
            <w:noProof/>
            <w:webHidden/>
          </w:rPr>
          <w:t>56</w:t>
        </w:r>
        <w:r w:rsidR="00072983">
          <w:rPr>
            <w:noProof/>
            <w:webHidden/>
          </w:rPr>
          <w:fldChar w:fldCharType="end"/>
        </w:r>
      </w:hyperlink>
    </w:p>
    <w:p w14:paraId="12F4079B" w14:textId="6F829594" w:rsidR="00072983" w:rsidRDefault="007E17B8">
      <w:pPr>
        <w:pStyle w:val="TableofFigures"/>
        <w:rPr>
          <w:rFonts w:asciiTheme="minorHAnsi" w:eastAsiaTheme="minorEastAsia" w:hAnsiTheme="minorHAnsi" w:cstheme="minorBidi"/>
          <w:noProof/>
          <w:sz w:val="22"/>
        </w:rPr>
      </w:pPr>
      <w:hyperlink w:anchor="_Toc131591534" w:history="1">
        <w:r w:rsidR="00072983" w:rsidRPr="005478EF">
          <w:rPr>
            <w:rStyle w:val="Hyperlink"/>
            <w:noProof/>
          </w:rPr>
          <w:t xml:space="preserve">Figure 2.2.12 </w:t>
        </w:r>
        <w:r w:rsidR="00072983">
          <w:rPr>
            <w:rFonts w:asciiTheme="minorHAnsi" w:eastAsiaTheme="minorEastAsia" w:hAnsiTheme="minorHAnsi" w:cstheme="minorBidi"/>
            <w:noProof/>
            <w:sz w:val="22"/>
          </w:rPr>
          <w:tab/>
        </w:r>
        <w:r w:rsidR="00072983" w:rsidRPr="005478EF">
          <w:rPr>
            <w:rStyle w:val="Hyperlink"/>
            <w:noProof/>
          </w:rPr>
          <w:t xml:space="preserve">Emissions by sector for Tokelau from </w:t>
        </w:r>
        <w:r w:rsidR="00072983" w:rsidRPr="005478EF">
          <w:rPr>
            <w:rStyle w:val="Hyperlink"/>
            <w:bCs/>
            <w:noProof/>
          </w:rPr>
          <w:t>1990</w:t>
        </w:r>
        <w:r w:rsidR="00072983" w:rsidRPr="005478EF">
          <w:rPr>
            <w:rStyle w:val="Hyperlink"/>
            <w:noProof/>
          </w:rPr>
          <w:t xml:space="preserve"> to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_Toc131591534 \h </w:instrText>
        </w:r>
        <w:r w:rsidR="00072983">
          <w:rPr>
            <w:noProof/>
            <w:webHidden/>
          </w:rPr>
        </w:r>
        <w:r w:rsidR="00072983">
          <w:rPr>
            <w:noProof/>
            <w:webHidden/>
          </w:rPr>
          <w:fldChar w:fldCharType="separate"/>
        </w:r>
        <w:r w:rsidR="008F39B8">
          <w:rPr>
            <w:noProof/>
            <w:webHidden/>
          </w:rPr>
          <w:t>58</w:t>
        </w:r>
        <w:r w:rsidR="00072983">
          <w:rPr>
            <w:noProof/>
            <w:webHidden/>
          </w:rPr>
          <w:fldChar w:fldCharType="end"/>
        </w:r>
      </w:hyperlink>
    </w:p>
    <w:p w14:paraId="36D48838" w14:textId="4C2A4024" w:rsidR="00072983" w:rsidRDefault="007E17B8">
      <w:pPr>
        <w:pStyle w:val="TableofFigures"/>
        <w:rPr>
          <w:rFonts w:asciiTheme="minorHAnsi" w:eastAsiaTheme="minorEastAsia" w:hAnsiTheme="minorHAnsi" w:cstheme="minorBidi"/>
          <w:noProof/>
          <w:sz w:val="22"/>
        </w:rPr>
      </w:pPr>
      <w:hyperlink w:anchor="_Toc131591535" w:history="1">
        <w:r w:rsidR="00072983" w:rsidRPr="005478EF">
          <w:rPr>
            <w:rStyle w:val="Hyperlink"/>
            <w:rFonts w:cs="Calibri"/>
            <w:noProof/>
          </w:rPr>
          <w:t>Figure 3.1.1</w:t>
        </w:r>
        <w:r w:rsidR="00072983">
          <w:rPr>
            <w:rFonts w:asciiTheme="minorHAnsi" w:eastAsiaTheme="minorEastAsia" w:hAnsiTheme="minorHAnsi" w:cstheme="minorBidi"/>
            <w:noProof/>
            <w:sz w:val="22"/>
          </w:rPr>
          <w:tab/>
        </w:r>
        <w:r w:rsidR="00072983" w:rsidRPr="005478EF">
          <w:rPr>
            <w:rStyle w:val="Hyperlink"/>
            <w:rFonts w:cs="Calibri"/>
            <w:noProof/>
          </w:rPr>
          <w:t>New Zealand’s Energy sector emissions from 1990 to 2021</w:t>
        </w:r>
        <w:r w:rsidR="00072983">
          <w:rPr>
            <w:noProof/>
            <w:webHidden/>
          </w:rPr>
          <w:tab/>
        </w:r>
        <w:r w:rsidR="00072983">
          <w:rPr>
            <w:noProof/>
            <w:webHidden/>
          </w:rPr>
          <w:fldChar w:fldCharType="begin"/>
        </w:r>
        <w:r w:rsidR="00072983">
          <w:rPr>
            <w:noProof/>
            <w:webHidden/>
          </w:rPr>
          <w:instrText xml:space="preserve"> PAGEREF _Toc131591535 \h </w:instrText>
        </w:r>
        <w:r w:rsidR="00072983">
          <w:rPr>
            <w:noProof/>
            <w:webHidden/>
          </w:rPr>
        </w:r>
        <w:r w:rsidR="00072983">
          <w:rPr>
            <w:noProof/>
            <w:webHidden/>
          </w:rPr>
          <w:fldChar w:fldCharType="separate"/>
        </w:r>
        <w:r w:rsidR="008F39B8">
          <w:rPr>
            <w:noProof/>
            <w:webHidden/>
          </w:rPr>
          <w:t>62</w:t>
        </w:r>
        <w:r w:rsidR="00072983">
          <w:rPr>
            <w:noProof/>
            <w:webHidden/>
          </w:rPr>
          <w:fldChar w:fldCharType="end"/>
        </w:r>
      </w:hyperlink>
    </w:p>
    <w:p w14:paraId="127AAE0E" w14:textId="624EA79D" w:rsidR="00072983" w:rsidRDefault="007E17B8">
      <w:pPr>
        <w:pStyle w:val="TableofFigures"/>
        <w:rPr>
          <w:rFonts w:asciiTheme="minorHAnsi" w:eastAsiaTheme="minorEastAsia" w:hAnsiTheme="minorHAnsi" w:cstheme="minorBidi"/>
          <w:noProof/>
          <w:sz w:val="22"/>
        </w:rPr>
      </w:pPr>
      <w:hyperlink w:anchor="_Toc131591536" w:history="1">
        <w:r w:rsidR="00072983" w:rsidRPr="005478EF">
          <w:rPr>
            <w:rStyle w:val="Hyperlink"/>
            <w:rFonts w:cs="Calibri"/>
            <w:noProof/>
          </w:rPr>
          <w:t>Figure 3.2.1</w:t>
        </w:r>
        <w:r w:rsidR="00072983">
          <w:rPr>
            <w:rFonts w:asciiTheme="minorHAnsi" w:eastAsiaTheme="minorEastAsia" w:hAnsiTheme="minorHAnsi" w:cstheme="minorBidi"/>
            <w:noProof/>
            <w:sz w:val="22"/>
          </w:rPr>
          <w:tab/>
        </w:r>
        <w:r w:rsidR="00072983" w:rsidRPr="005478EF">
          <w:rPr>
            <w:rStyle w:val="Hyperlink"/>
            <w:rFonts w:cs="Calibri"/>
            <w:noProof/>
          </w:rPr>
          <w:t>Natural gas consumption by end use type from 1990 to 2021</w:t>
        </w:r>
        <w:r w:rsidR="00072983">
          <w:rPr>
            <w:noProof/>
            <w:webHidden/>
          </w:rPr>
          <w:tab/>
        </w:r>
        <w:r w:rsidR="00072983">
          <w:rPr>
            <w:noProof/>
            <w:webHidden/>
          </w:rPr>
          <w:fldChar w:fldCharType="begin"/>
        </w:r>
        <w:r w:rsidR="00072983">
          <w:rPr>
            <w:noProof/>
            <w:webHidden/>
          </w:rPr>
          <w:instrText xml:space="preserve"> PAGEREF _Toc131591536 \h </w:instrText>
        </w:r>
        <w:r w:rsidR="00072983">
          <w:rPr>
            <w:noProof/>
            <w:webHidden/>
          </w:rPr>
        </w:r>
        <w:r w:rsidR="00072983">
          <w:rPr>
            <w:noProof/>
            <w:webHidden/>
          </w:rPr>
          <w:fldChar w:fldCharType="separate"/>
        </w:r>
        <w:r w:rsidR="008F39B8">
          <w:rPr>
            <w:noProof/>
            <w:webHidden/>
          </w:rPr>
          <w:t>66</w:t>
        </w:r>
        <w:r w:rsidR="00072983">
          <w:rPr>
            <w:noProof/>
            <w:webHidden/>
          </w:rPr>
          <w:fldChar w:fldCharType="end"/>
        </w:r>
      </w:hyperlink>
    </w:p>
    <w:p w14:paraId="0773FD2C" w14:textId="39FBC7AA" w:rsidR="00072983" w:rsidRDefault="007E17B8">
      <w:pPr>
        <w:pStyle w:val="TableofFigures"/>
        <w:rPr>
          <w:rFonts w:asciiTheme="minorHAnsi" w:eastAsiaTheme="minorEastAsia" w:hAnsiTheme="minorHAnsi" w:cstheme="minorBidi"/>
          <w:noProof/>
          <w:sz w:val="22"/>
        </w:rPr>
      </w:pPr>
      <w:hyperlink w:anchor="_Toc131591537" w:history="1">
        <w:r w:rsidR="00072983" w:rsidRPr="005478EF">
          <w:rPr>
            <w:rStyle w:val="Hyperlink"/>
            <w:rFonts w:cs="Calibri"/>
            <w:noProof/>
          </w:rPr>
          <w:t>Figure 3.3.1</w:t>
        </w:r>
        <w:r w:rsidR="00072983">
          <w:rPr>
            <w:rFonts w:asciiTheme="minorHAnsi" w:eastAsiaTheme="minorEastAsia" w:hAnsiTheme="minorHAnsi" w:cstheme="minorBidi"/>
            <w:noProof/>
            <w:sz w:val="22"/>
          </w:rPr>
          <w:tab/>
        </w:r>
        <w:r w:rsidR="00072983" w:rsidRPr="005478EF">
          <w:rPr>
            <w:rStyle w:val="Hyperlink"/>
            <w:rFonts w:cs="Calibri"/>
            <w:noProof/>
          </w:rPr>
          <w:t>Change in New Zealand’s emissions from the fuel combustion categories from 1990 to 2021</w:t>
        </w:r>
        <w:r w:rsidR="00072983">
          <w:rPr>
            <w:noProof/>
            <w:webHidden/>
          </w:rPr>
          <w:tab/>
        </w:r>
        <w:r w:rsidR="00072983">
          <w:rPr>
            <w:noProof/>
            <w:webHidden/>
          </w:rPr>
          <w:fldChar w:fldCharType="begin"/>
        </w:r>
        <w:r w:rsidR="00072983">
          <w:rPr>
            <w:noProof/>
            <w:webHidden/>
          </w:rPr>
          <w:instrText xml:space="preserve"> PAGEREF _Toc131591537 \h </w:instrText>
        </w:r>
        <w:r w:rsidR="00072983">
          <w:rPr>
            <w:noProof/>
            <w:webHidden/>
          </w:rPr>
        </w:r>
        <w:r w:rsidR="00072983">
          <w:rPr>
            <w:noProof/>
            <w:webHidden/>
          </w:rPr>
          <w:fldChar w:fldCharType="separate"/>
        </w:r>
        <w:r w:rsidR="008F39B8">
          <w:rPr>
            <w:noProof/>
            <w:webHidden/>
          </w:rPr>
          <w:t>68</w:t>
        </w:r>
        <w:r w:rsidR="00072983">
          <w:rPr>
            <w:noProof/>
            <w:webHidden/>
          </w:rPr>
          <w:fldChar w:fldCharType="end"/>
        </w:r>
      </w:hyperlink>
    </w:p>
    <w:p w14:paraId="07C4294D" w14:textId="0A6F2016" w:rsidR="00072983" w:rsidRDefault="007E17B8">
      <w:pPr>
        <w:pStyle w:val="TableofFigures"/>
        <w:rPr>
          <w:rFonts w:asciiTheme="minorHAnsi" w:eastAsiaTheme="minorEastAsia" w:hAnsiTheme="minorHAnsi" w:cstheme="minorBidi"/>
          <w:noProof/>
          <w:sz w:val="22"/>
        </w:rPr>
      </w:pPr>
      <w:hyperlink w:anchor="_Toc131591538" w:history="1">
        <w:r w:rsidR="00072983" w:rsidRPr="005478EF">
          <w:rPr>
            <w:rStyle w:val="Hyperlink"/>
            <w:rFonts w:cs="Calibri"/>
            <w:noProof/>
          </w:rPr>
          <w:t xml:space="preserve">Figure 3.3.2 </w:t>
        </w:r>
        <w:r w:rsidR="00072983">
          <w:rPr>
            <w:rFonts w:asciiTheme="minorHAnsi" w:eastAsiaTheme="minorEastAsia" w:hAnsiTheme="minorHAnsi" w:cstheme="minorBidi"/>
            <w:noProof/>
            <w:sz w:val="22"/>
          </w:rPr>
          <w:tab/>
        </w:r>
        <w:r w:rsidR="00072983" w:rsidRPr="005478EF">
          <w:rPr>
            <w:rStyle w:val="Hyperlink"/>
            <w:rFonts w:cs="Calibri"/>
            <w:noProof/>
          </w:rPr>
          <w:t>Energy sector quality control process map</w:t>
        </w:r>
        <w:r w:rsidR="00072983">
          <w:rPr>
            <w:noProof/>
            <w:webHidden/>
          </w:rPr>
          <w:tab/>
        </w:r>
        <w:r w:rsidR="00072983">
          <w:rPr>
            <w:noProof/>
            <w:webHidden/>
          </w:rPr>
          <w:fldChar w:fldCharType="begin"/>
        </w:r>
        <w:r w:rsidR="00072983">
          <w:rPr>
            <w:noProof/>
            <w:webHidden/>
          </w:rPr>
          <w:instrText xml:space="preserve"> PAGEREF _Toc131591538 \h </w:instrText>
        </w:r>
        <w:r w:rsidR="00072983">
          <w:rPr>
            <w:noProof/>
            <w:webHidden/>
          </w:rPr>
        </w:r>
        <w:r w:rsidR="00072983">
          <w:rPr>
            <w:noProof/>
            <w:webHidden/>
          </w:rPr>
          <w:fldChar w:fldCharType="separate"/>
        </w:r>
        <w:r w:rsidR="008F39B8">
          <w:rPr>
            <w:noProof/>
            <w:webHidden/>
          </w:rPr>
          <w:t>74</w:t>
        </w:r>
        <w:r w:rsidR="00072983">
          <w:rPr>
            <w:noProof/>
            <w:webHidden/>
          </w:rPr>
          <w:fldChar w:fldCharType="end"/>
        </w:r>
      </w:hyperlink>
    </w:p>
    <w:p w14:paraId="0B7117D0" w14:textId="69E264B2" w:rsidR="00072983" w:rsidRDefault="007E17B8">
      <w:pPr>
        <w:pStyle w:val="TableofFigures"/>
        <w:rPr>
          <w:rFonts w:asciiTheme="minorHAnsi" w:eastAsiaTheme="minorEastAsia" w:hAnsiTheme="minorHAnsi" w:cstheme="minorBidi"/>
          <w:noProof/>
          <w:sz w:val="22"/>
        </w:rPr>
      </w:pPr>
      <w:hyperlink w:anchor="_Toc131591539" w:history="1">
        <w:r w:rsidR="00072983" w:rsidRPr="005478EF">
          <w:rPr>
            <w:rStyle w:val="Hyperlink"/>
            <w:rFonts w:cs="Calibri"/>
            <w:noProof/>
          </w:rPr>
          <w:t xml:space="preserve">Figure 3.3.3 </w:t>
        </w:r>
        <w:r w:rsidR="00072983">
          <w:rPr>
            <w:rFonts w:asciiTheme="minorHAnsi" w:eastAsiaTheme="minorEastAsia" w:hAnsiTheme="minorHAnsi" w:cstheme="minorBidi"/>
            <w:noProof/>
            <w:sz w:val="22"/>
          </w:rPr>
          <w:tab/>
        </w:r>
        <w:r w:rsidR="00072983" w:rsidRPr="005478EF">
          <w:rPr>
            <w:rStyle w:val="Hyperlink"/>
            <w:rFonts w:cs="Calibri"/>
            <w:noProof/>
          </w:rPr>
          <w:t>Carbon dioxide implied emission factor (IEF) – liquid fuel combustion from 1990 to 2021</w:t>
        </w:r>
        <w:r w:rsidR="00072983">
          <w:rPr>
            <w:noProof/>
            <w:webHidden/>
          </w:rPr>
          <w:tab/>
        </w:r>
        <w:r w:rsidR="00072983">
          <w:rPr>
            <w:noProof/>
            <w:webHidden/>
          </w:rPr>
          <w:fldChar w:fldCharType="begin"/>
        </w:r>
        <w:r w:rsidR="00072983">
          <w:rPr>
            <w:noProof/>
            <w:webHidden/>
          </w:rPr>
          <w:instrText xml:space="preserve"> PAGEREF _Toc131591539 \h </w:instrText>
        </w:r>
        <w:r w:rsidR="00072983">
          <w:rPr>
            <w:noProof/>
            <w:webHidden/>
          </w:rPr>
        </w:r>
        <w:r w:rsidR="00072983">
          <w:rPr>
            <w:noProof/>
            <w:webHidden/>
          </w:rPr>
          <w:fldChar w:fldCharType="separate"/>
        </w:r>
        <w:r w:rsidR="008F39B8">
          <w:rPr>
            <w:noProof/>
            <w:webHidden/>
          </w:rPr>
          <w:t>75</w:t>
        </w:r>
        <w:r w:rsidR="00072983">
          <w:rPr>
            <w:noProof/>
            <w:webHidden/>
          </w:rPr>
          <w:fldChar w:fldCharType="end"/>
        </w:r>
      </w:hyperlink>
    </w:p>
    <w:p w14:paraId="0CAB39D1" w14:textId="3E7A98E8" w:rsidR="00072983" w:rsidRDefault="007E17B8">
      <w:pPr>
        <w:pStyle w:val="TableofFigures"/>
        <w:rPr>
          <w:rFonts w:asciiTheme="minorHAnsi" w:eastAsiaTheme="minorEastAsia" w:hAnsiTheme="minorHAnsi" w:cstheme="minorBidi"/>
          <w:noProof/>
          <w:sz w:val="22"/>
        </w:rPr>
      </w:pPr>
      <w:hyperlink w:anchor="_Toc131591540" w:history="1">
        <w:r w:rsidR="00072983" w:rsidRPr="005478EF">
          <w:rPr>
            <w:rStyle w:val="Hyperlink"/>
            <w:rFonts w:cs="Calibri"/>
            <w:noProof/>
          </w:rPr>
          <w:t xml:space="preserve">Figure 3.3.4 </w:t>
        </w:r>
        <w:r w:rsidR="00072983">
          <w:rPr>
            <w:rFonts w:asciiTheme="minorHAnsi" w:eastAsiaTheme="minorEastAsia" w:hAnsiTheme="minorHAnsi" w:cstheme="minorBidi"/>
            <w:noProof/>
            <w:sz w:val="22"/>
          </w:rPr>
          <w:tab/>
        </w:r>
        <w:r w:rsidR="00072983" w:rsidRPr="005478EF">
          <w:rPr>
            <w:rStyle w:val="Hyperlink"/>
            <w:rFonts w:cs="Calibri"/>
            <w:noProof/>
          </w:rPr>
          <w:t>Carbon dioxide implied emission factor (IEF) – solid fuel combustion from 1990 to 2021</w:t>
        </w:r>
        <w:r w:rsidR="00072983">
          <w:rPr>
            <w:noProof/>
            <w:webHidden/>
          </w:rPr>
          <w:tab/>
        </w:r>
        <w:r w:rsidR="00072983">
          <w:rPr>
            <w:noProof/>
            <w:webHidden/>
          </w:rPr>
          <w:fldChar w:fldCharType="begin"/>
        </w:r>
        <w:r w:rsidR="00072983">
          <w:rPr>
            <w:noProof/>
            <w:webHidden/>
          </w:rPr>
          <w:instrText xml:space="preserve"> PAGEREF _Toc131591540 \h </w:instrText>
        </w:r>
        <w:r w:rsidR="00072983">
          <w:rPr>
            <w:noProof/>
            <w:webHidden/>
          </w:rPr>
        </w:r>
        <w:r w:rsidR="00072983">
          <w:rPr>
            <w:noProof/>
            <w:webHidden/>
          </w:rPr>
          <w:fldChar w:fldCharType="separate"/>
        </w:r>
        <w:r w:rsidR="008F39B8">
          <w:rPr>
            <w:noProof/>
            <w:webHidden/>
          </w:rPr>
          <w:t>75</w:t>
        </w:r>
        <w:r w:rsidR="00072983">
          <w:rPr>
            <w:noProof/>
            <w:webHidden/>
          </w:rPr>
          <w:fldChar w:fldCharType="end"/>
        </w:r>
      </w:hyperlink>
    </w:p>
    <w:p w14:paraId="1FD5C3B2" w14:textId="06146BE2" w:rsidR="00072983" w:rsidRDefault="007E17B8">
      <w:pPr>
        <w:pStyle w:val="TableofFigures"/>
        <w:rPr>
          <w:rFonts w:asciiTheme="minorHAnsi" w:eastAsiaTheme="minorEastAsia" w:hAnsiTheme="minorHAnsi" w:cstheme="minorBidi"/>
          <w:noProof/>
          <w:sz w:val="22"/>
        </w:rPr>
      </w:pPr>
      <w:hyperlink w:anchor="_Toc131591541" w:history="1">
        <w:r w:rsidR="00072983" w:rsidRPr="005478EF">
          <w:rPr>
            <w:rStyle w:val="Hyperlink"/>
            <w:rFonts w:cs="Calibri"/>
            <w:noProof/>
          </w:rPr>
          <w:t>Figure 3.3.5</w:t>
        </w:r>
        <w:r w:rsidR="00072983">
          <w:rPr>
            <w:rFonts w:asciiTheme="minorHAnsi" w:eastAsiaTheme="minorEastAsia" w:hAnsiTheme="minorHAnsi" w:cstheme="minorBidi"/>
            <w:noProof/>
            <w:sz w:val="22"/>
          </w:rPr>
          <w:tab/>
        </w:r>
        <w:r w:rsidR="00072983" w:rsidRPr="005478EF">
          <w:rPr>
            <w:rStyle w:val="Hyperlink"/>
            <w:rFonts w:cs="Calibri"/>
            <w:noProof/>
            <w:lang w:eastAsia="en-GB"/>
          </w:rPr>
          <w:t xml:space="preserve">Carbon dioxide implied emission factor </w:t>
        </w:r>
        <w:r w:rsidR="00072983" w:rsidRPr="005478EF">
          <w:rPr>
            <w:rStyle w:val="Hyperlink"/>
            <w:rFonts w:cs="Calibri"/>
            <w:noProof/>
          </w:rPr>
          <w:t>(IEF)</w:t>
        </w:r>
        <w:r w:rsidR="00072983" w:rsidRPr="005478EF">
          <w:rPr>
            <w:rStyle w:val="Hyperlink"/>
            <w:rFonts w:cs="Calibri"/>
            <w:noProof/>
            <w:lang w:eastAsia="en-GB"/>
          </w:rPr>
          <w:t xml:space="preserve"> – gaseous fuel combustion </w:t>
        </w:r>
        <w:r w:rsidR="00072983" w:rsidRPr="005478EF">
          <w:rPr>
            <w:rStyle w:val="Hyperlink"/>
            <w:rFonts w:cs="Calibri"/>
            <w:noProof/>
          </w:rPr>
          <w:t>from 1990 to 2021</w:t>
        </w:r>
        <w:r w:rsidR="00072983">
          <w:rPr>
            <w:noProof/>
            <w:webHidden/>
          </w:rPr>
          <w:tab/>
        </w:r>
        <w:r w:rsidR="00072983">
          <w:rPr>
            <w:noProof/>
            <w:webHidden/>
          </w:rPr>
          <w:fldChar w:fldCharType="begin"/>
        </w:r>
        <w:r w:rsidR="00072983">
          <w:rPr>
            <w:noProof/>
            <w:webHidden/>
          </w:rPr>
          <w:instrText xml:space="preserve"> PAGEREF _Toc131591541 \h </w:instrText>
        </w:r>
        <w:r w:rsidR="00072983">
          <w:rPr>
            <w:noProof/>
            <w:webHidden/>
          </w:rPr>
        </w:r>
        <w:r w:rsidR="00072983">
          <w:rPr>
            <w:noProof/>
            <w:webHidden/>
          </w:rPr>
          <w:fldChar w:fldCharType="separate"/>
        </w:r>
        <w:r w:rsidR="008F39B8">
          <w:rPr>
            <w:noProof/>
            <w:webHidden/>
          </w:rPr>
          <w:t>75</w:t>
        </w:r>
        <w:r w:rsidR="00072983">
          <w:rPr>
            <w:noProof/>
            <w:webHidden/>
          </w:rPr>
          <w:fldChar w:fldCharType="end"/>
        </w:r>
      </w:hyperlink>
    </w:p>
    <w:p w14:paraId="66C1430D" w14:textId="154C9EC6" w:rsidR="00072983" w:rsidRDefault="007E17B8">
      <w:pPr>
        <w:pStyle w:val="TableofFigures"/>
        <w:rPr>
          <w:rFonts w:asciiTheme="minorHAnsi" w:eastAsiaTheme="minorEastAsia" w:hAnsiTheme="minorHAnsi" w:cstheme="minorBidi"/>
          <w:noProof/>
          <w:sz w:val="22"/>
        </w:rPr>
      </w:pPr>
      <w:hyperlink w:anchor="_Toc131591542" w:history="1">
        <w:r w:rsidR="00072983" w:rsidRPr="005478EF">
          <w:rPr>
            <w:rStyle w:val="Hyperlink"/>
            <w:rFonts w:cs="Calibri"/>
            <w:noProof/>
          </w:rPr>
          <w:t>Figure 3.3.6</w:t>
        </w:r>
        <w:r w:rsidR="00072983">
          <w:rPr>
            <w:rFonts w:asciiTheme="minorHAnsi" w:eastAsiaTheme="minorEastAsia" w:hAnsiTheme="minorHAnsi" w:cstheme="minorBidi"/>
            <w:noProof/>
            <w:sz w:val="22"/>
          </w:rPr>
          <w:tab/>
        </w:r>
        <w:r w:rsidR="00072983" w:rsidRPr="005478EF">
          <w:rPr>
            <w:rStyle w:val="Hyperlink"/>
            <w:rFonts w:cs="Calibri"/>
            <w:noProof/>
            <w:lang w:eastAsia="en-GB"/>
          </w:rPr>
          <w:t xml:space="preserve">New Zealand’s </w:t>
        </w:r>
        <w:r w:rsidR="00072983" w:rsidRPr="005478EF">
          <w:rPr>
            <w:rStyle w:val="Hyperlink"/>
            <w:rFonts w:cs="Calibri"/>
            <w:noProof/>
          </w:rPr>
          <w:t>electricity</w:t>
        </w:r>
        <w:r w:rsidR="00072983" w:rsidRPr="005478EF">
          <w:rPr>
            <w:rStyle w:val="Hyperlink"/>
            <w:rFonts w:cs="Calibri"/>
            <w:noProof/>
            <w:lang w:eastAsia="en-GB"/>
          </w:rPr>
          <w:t xml:space="preserve"> generation by source from 1990 to 2021</w:t>
        </w:r>
        <w:r w:rsidR="00072983">
          <w:rPr>
            <w:noProof/>
            <w:webHidden/>
          </w:rPr>
          <w:tab/>
        </w:r>
        <w:r w:rsidR="00072983">
          <w:rPr>
            <w:noProof/>
            <w:webHidden/>
          </w:rPr>
          <w:fldChar w:fldCharType="begin"/>
        </w:r>
        <w:r w:rsidR="00072983">
          <w:rPr>
            <w:noProof/>
            <w:webHidden/>
          </w:rPr>
          <w:instrText xml:space="preserve"> PAGEREF _Toc131591542 \h </w:instrText>
        </w:r>
        <w:r w:rsidR="00072983">
          <w:rPr>
            <w:noProof/>
            <w:webHidden/>
          </w:rPr>
        </w:r>
        <w:r w:rsidR="00072983">
          <w:rPr>
            <w:noProof/>
            <w:webHidden/>
          </w:rPr>
          <w:fldChar w:fldCharType="separate"/>
        </w:r>
        <w:r w:rsidR="008F39B8">
          <w:rPr>
            <w:noProof/>
            <w:webHidden/>
          </w:rPr>
          <w:t>78</w:t>
        </w:r>
        <w:r w:rsidR="00072983">
          <w:rPr>
            <w:noProof/>
            <w:webHidden/>
          </w:rPr>
          <w:fldChar w:fldCharType="end"/>
        </w:r>
      </w:hyperlink>
    </w:p>
    <w:p w14:paraId="1F363D31" w14:textId="7234B840" w:rsidR="00072983" w:rsidRDefault="007E17B8">
      <w:pPr>
        <w:pStyle w:val="TableofFigures"/>
        <w:rPr>
          <w:rFonts w:asciiTheme="minorHAnsi" w:eastAsiaTheme="minorEastAsia" w:hAnsiTheme="minorHAnsi" w:cstheme="minorBidi"/>
          <w:noProof/>
          <w:sz w:val="22"/>
        </w:rPr>
      </w:pPr>
      <w:hyperlink w:anchor="_Toc131591543" w:history="1">
        <w:r w:rsidR="00072983" w:rsidRPr="005478EF">
          <w:rPr>
            <w:rStyle w:val="Hyperlink"/>
            <w:rFonts w:cs="Calibri"/>
            <w:noProof/>
          </w:rPr>
          <w:t>Figure 3.3.7</w:t>
        </w:r>
        <w:r w:rsidR="00072983">
          <w:rPr>
            <w:rFonts w:asciiTheme="minorHAnsi" w:eastAsiaTheme="minorEastAsia" w:hAnsiTheme="minorHAnsi" w:cstheme="minorBidi"/>
            <w:noProof/>
            <w:sz w:val="22"/>
          </w:rPr>
          <w:tab/>
        </w:r>
        <w:r w:rsidR="00072983" w:rsidRPr="005478EF">
          <w:rPr>
            <w:rStyle w:val="Hyperlink"/>
            <w:rFonts w:cs="Calibri"/>
            <w:noProof/>
            <w:lang w:eastAsia="en-GB"/>
          </w:rPr>
          <w:t>Decision tree to identify a main activity electricity generator or an autoproducer</w:t>
        </w:r>
        <w:r w:rsidR="00072983">
          <w:rPr>
            <w:noProof/>
            <w:webHidden/>
          </w:rPr>
          <w:tab/>
        </w:r>
        <w:r w:rsidR="00072983">
          <w:rPr>
            <w:noProof/>
            <w:webHidden/>
          </w:rPr>
          <w:fldChar w:fldCharType="begin"/>
        </w:r>
        <w:r w:rsidR="00072983">
          <w:rPr>
            <w:noProof/>
            <w:webHidden/>
          </w:rPr>
          <w:instrText xml:space="preserve"> PAGEREF _Toc131591543 \h </w:instrText>
        </w:r>
        <w:r w:rsidR="00072983">
          <w:rPr>
            <w:noProof/>
            <w:webHidden/>
          </w:rPr>
        </w:r>
        <w:r w:rsidR="00072983">
          <w:rPr>
            <w:noProof/>
            <w:webHidden/>
          </w:rPr>
          <w:fldChar w:fldCharType="separate"/>
        </w:r>
        <w:r w:rsidR="008F39B8">
          <w:rPr>
            <w:noProof/>
            <w:webHidden/>
          </w:rPr>
          <w:t>79</w:t>
        </w:r>
        <w:r w:rsidR="00072983">
          <w:rPr>
            <w:noProof/>
            <w:webHidden/>
          </w:rPr>
          <w:fldChar w:fldCharType="end"/>
        </w:r>
      </w:hyperlink>
    </w:p>
    <w:p w14:paraId="7ED630C0" w14:textId="279B5946" w:rsidR="00072983" w:rsidRDefault="007E17B8">
      <w:pPr>
        <w:pStyle w:val="TableofFigures"/>
        <w:rPr>
          <w:rFonts w:asciiTheme="minorHAnsi" w:eastAsiaTheme="minorEastAsia" w:hAnsiTheme="minorHAnsi" w:cstheme="minorBidi"/>
          <w:noProof/>
          <w:sz w:val="22"/>
        </w:rPr>
      </w:pPr>
      <w:hyperlink w:anchor="_Toc131591544" w:history="1">
        <w:r w:rsidR="00072983" w:rsidRPr="005478EF">
          <w:rPr>
            <w:rStyle w:val="Hyperlink"/>
            <w:noProof/>
          </w:rPr>
          <w:t xml:space="preserve">Figure 3.3.8 </w:t>
        </w:r>
        <w:r w:rsidR="00072983">
          <w:rPr>
            <w:rFonts w:asciiTheme="minorHAnsi" w:eastAsiaTheme="minorEastAsia" w:hAnsiTheme="minorHAnsi" w:cstheme="minorBidi"/>
            <w:noProof/>
            <w:sz w:val="22"/>
          </w:rPr>
          <w:tab/>
        </w:r>
        <w:r w:rsidR="00072983" w:rsidRPr="005478EF">
          <w:rPr>
            <w:rStyle w:val="Hyperlink"/>
            <w:noProof/>
          </w:rPr>
          <w:t xml:space="preserve">Proportions used for </w:t>
        </w:r>
        <w:r w:rsidR="00072983" w:rsidRPr="005478EF">
          <w:rPr>
            <w:rStyle w:val="Hyperlink"/>
            <w:i/>
            <w:iCs/>
            <w:noProof/>
          </w:rPr>
          <w:t>Manufacturing industries and construction</w:t>
        </w:r>
        <w:r w:rsidR="00072983" w:rsidRPr="005478EF">
          <w:rPr>
            <w:rStyle w:val="Hyperlink"/>
            <w:noProof/>
          </w:rPr>
          <w:t xml:space="preserve"> category – Gasoline from 1990 to 2021</w:t>
        </w:r>
        <w:r w:rsidR="00072983">
          <w:rPr>
            <w:noProof/>
            <w:webHidden/>
          </w:rPr>
          <w:tab/>
        </w:r>
        <w:r w:rsidR="00072983">
          <w:rPr>
            <w:noProof/>
            <w:webHidden/>
          </w:rPr>
          <w:fldChar w:fldCharType="begin"/>
        </w:r>
        <w:r w:rsidR="00072983">
          <w:rPr>
            <w:noProof/>
            <w:webHidden/>
          </w:rPr>
          <w:instrText xml:space="preserve"> PAGEREF _Toc131591544 \h </w:instrText>
        </w:r>
        <w:r w:rsidR="00072983">
          <w:rPr>
            <w:noProof/>
            <w:webHidden/>
          </w:rPr>
        </w:r>
        <w:r w:rsidR="00072983">
          <w:rPr>
            <w:noProof/>
            <w:webHidden/>
          </w:rPr>
          <w:fldChar w:fldCharType="separate"/>
        </w:r>
        <w:r w:rsidR="008F39B8">
          <w:rPr>
            <w:noProof/>
            <w:webHidden/>
          </w:rPr>
          <w:t>83</w:t>
        </w:r>
        <w:r w:rsidR="00072983">
          <w:rPr>
            <w:noProof/>
            <w:webHidden/>
          </w:rPr>
          <w:fldChar w:fldCharType="end"/>
        </w:r>
      </w:hyperlink>
    </w:p>
    <w:p w14:paraId="7A193F8A" w14:textId="1538DDA5" w:rsidR="00072983" w:rsidRDefault="007E17B8">
      <w:pPr>
        <w:pStyle w:val="TableofFigures"/>
        <w:rPr>
          <w:rFonts w:asciiTheme="minorHAnsi" w:eastAsiaTheme="minorEastAsia" w:hAnsiTheme="minorHAnsi" w:cstheme="minorBidi"/>
          <w:noProof/>
          <w:sz w:val="22"/>
        </w:rPr>
      </w:pPr>
      <w:hyperlink w:anchor="_Toc131591545" w:history="1">
        <w:r w:rsidR="00072983" w:rsidRPr="005478EF">
          <w:rPr>
            <w:rStyle w:val="Hyperlink"/>
            <w:noProof/>
          </w:rPr>
          <w:t xml:space="preserve">Figure 3.3.9 </w:t>
        </w:r>
        <w:r w:rsidR="00072983">
          <w:rPr>
            <w:rFonts w:asciiTheme="minorHAnsi" w:eastAsiaTheme="minorEastAsia" w:hAnsiTheme="minorHAnsi" w:cstheme="minorBidi"/>
            <w:noProof/>
            <w:sz w:val="22"/>
          </w:rPr>
          <w:tab/>
        </w:r>
        <w:r w:rsidR="00072983" w:rsidRPr="005478EF">
          <w:rPr>
            <w:rStyle w:val="Hyperlink"/>
            <w:noProof/>
          </w:rPr>
          <w:t xml:space="preserve">Proportions used for </w:t>
        </w:r>
        <w:r w:rsidR="00072983" w:rsidRPr="005478EF">
          <w:rPr>
            <w:rStyle w:val="Hyperlink"/>
            <w:i/>
            <w:iCs/>
            <w:noProof/>
          </w:rPr>
          <w:t>Manufacturing industries and construction</w:t>
        </w:r>
        <w:r w:rsidR="00072983" w:rsidRPr="005478EF">
          <w:rPr>
            <w:rStyle w:val="Hyperlink"/>
            <w:noProof/>
          </w:rPr>
          <w:t xml:space="preserve"> category  – Diesel from 1990 to 2021</w:t>
        </w:r>
        <w:r w:rsidR="00072983">
          <w:rPr>
            <w:noProof/>
            <w:webHidden/>
          </w:rPr>
          <w:tab/>
        </w:r>
        <w:r w:rsidR="00072983">
          <w:rPr>
            <w:noProof/>
            <w:webHidden/>
          </w:rPr>
          <w:fldChar w:fldCharType="begin"/>
        </w:r>
        <w:r w:rsidR="00072983">
          <w:rPr>
            <w:noProof/>
            <w:webHidden/>
          </w:rPr>
          <w:instrText xml:space="preserve"> PAGEREF _Toc131591545 \h </w:instrText>
        </w:r>
        <w:r w:rsidR="00072983">
          <w:rPr>
            <w:noProof/>
            <w:webHidden/>
          </w:rPr>
        </w:r>
        <w:r w:rsidR="00072983">
          <w:rPr>
            <w:noProof/>
            <w:webHidden/>
          </w:rPr>
          <w:fldChar w:fldCharType="separate"/>
        </w:r>
        <w:r w:rsidR="008F39B8">
          <w:rPr>
            <w:noProof/>
            <w:webHidden/>
          </w:rPr>
          <w:t>84</w:t>
        </w:r>
        <w:r w:rsidR="00072983">
          <w:rPr>
            <w:noProof/>
            <w:webHidden/>
          </w:rPr>
          <w:fldChar w:fldCharType="end"/>
        </w:r>
      </w:hyperlink>
    </w:p>
    <w:p w14:paraId="35A792D6" w14:textId="0F27A7BC" w:rsidR="00072983" w:rsidRDefault="007E17B8">
      <w:pPr>
        <w:pStyle w:val="TableofFigures"/>
        <w:rPr>
          <w:rFonts w:asciiTheme="minorHAnsi" w:eastAsiaTheme="minorEastAsia" w:hAnsiTheme="minorHAnsi" w:cstheme="minorBidi"/>
          <w:noProof/>
          <w:sz w:val="22"/>
        </w:rPr>
      </w:pPr>
      <w:hyperlink w:anchor="_Toc131591546" w:history="1">
        <w:r w:rsidR="00072983" w:rsidRPr="005478EF">
          <w:rPr>
            <w:rStyle w:val="Hyperlink"/>
            <w:noProof/>
          </w:rPr>
          <w:t xml:space="preserve">Figure 3.3.10 </w:t>
        </w:r>
        <w:r w:rsidR="00072983">
          <w:rPr>
            <w:rFonts w:asciiTheme="minorHAnsi" w:eastAsiaTheme="minorEastAsia" w:hAnsiTheme="minorHAnsi" w:cstheme="minorBidi"/>
            <w:noProof/>
            <w:sz w:val="22"/>
          </w:rPr>
          <w:tab/>
        </w:r>
        <w:r w:rsidR="00072983" w:rsidRPr="005478EF">
          <w:rPr>
            <w:rStyle w:val="Hyperlink"/>
            <w:noProof/>
          </w:rPr>
          <w:t xml:space="preserve">Proportions used for </w:t>
        </w:r>
        <w:r w:rsidR="00072983" w:rsidRPr="005478EF">
          <w:rPr>
            <w:rStyle w:val="Hyperlink"/>
            <w:i/>
            <w:iCs/>
            <w:noProof/>
          </w:rPr>
          <w:t>Manufacturing industries and construction</w:t>
        </w:r>
        <w:r w:rsidR="00072983" w:rsidRPr="005478EF">
          <w:rPr>
            <w:rStyle w:val="Hyperlink"/>
            <w:noProof/>
          </w:rPr>
          <w:t xml:space="preserve"> category – Fuel oil from 1990 to 2021</w:t>
        </w:r>
        <w:r w:rsidR="00072983">
          <w:rPr>
            <w:noProof/>
            <w:webHidden/>
          </w:rPr>
          <w:tab/>
        </w:r>
        <w:r w:rsidR="00072983">
          <w:rPr>
            <w:noProof/>
            <w:webHidden/>
          </w:rPr>
          <w:fldChar w:fldCharType="begin"/>
        </w:r>
        <w:r w:rsidR="00072983">
          <w:rPr>
            <w:noProof/>
            <w:webHidden/>
          </w:rPr>
          <w:instrText xml:space="preserve"> PAGEREF _Toc131591546 \h </w:instrText>
        </w:r>
        <w:r w:rsidR="00072983">
          <w:rPr>
            <w:noProof/>
            <w:webHidden/>
          </w:rPr>
        </w:r>
        <w:r w:rsidR="00072983">
          <w:rPr>
            <w:noProof/>
            <w:webHidden/>
          </w:rPr>
          <w:fldChar w:fldCharType="separate"/>
        </w:r>
        <w:r w:rsidR="008F39B8">
          <w:rPr>
            <w:noProof/>
            <w:webHidden/>
          </w:rPr>
          <w:t>84</w:t>
        </w:r>
        <w:r w:rsidR="00072983">
          <w:rPr>
            <w:noProof/>
            <w:webHidden/>
          </w:rPr>
          <w:fldChar w:fldCharType="end"/>
        </w:r>
      </w:hyperlink>
    </w:p>
    <w:p w14:paraId="78B8DF66" w14:textId="4FAD1E0D" w:rsidR="00072983" w:rsidRDefault="007E17B8">
      <w:pPr>
        <w:pStyle w:val="TableofFigures"/>
        <w:rPr>
          <w:rFonts w:asciiTheme="minorHAnsi" w:eastAsiaTheme="minorEastAsia" w:hAnsiTheme="minorHAnsi" w:cstheme="minorBidi"/>
          <w:noProof/>
          <w:sz w:val="22"/>
        </w:rPr>
      </w:pPr>
      <w:hyperlink w:anchor="_Toc131591547" w:history="1">
        <w:r w:rsidR="00072983" w:rsidRPr="005478EF">
          <w:rPr>
            <w:rStyle w:val="Hyperlink"/>
            <w:rFonts w:cs="Calibri"/>
            <w:noProof/>
          </w:rPr>
          <w:t>Figure 3.3.11</w:t>
        </w:r>
        <w:r w:rsidR="00072983" w:rsidRPr="005478EF">
          <w:rPr>
            <w:rStyle w:val="Hyperlink"/>
            <w:rFonts w:cs="Calibri"/>
            <w:noProof/>
            <w:lang w:eastAsia="en-GB"/>
          </w:rPr>
          <w:t xml:space="preserve"> </w:t>
        </w:r>
        <w:r w:rsidR="00072983">
          <w:rPr>
            <w:rFonts w:asciiTheme="minorHAnsi" w:eastAsiaTheme="minorEastAsia" w:hAnsiTheme="minorHAnsi" w:cstheme="minorBidi"/>
            <w:noProof/>
            <w:sz w:val="22"/>
          </w:rPr>
          <w:tab/>
        </w:r>
        <w:r w:rsidR="00072983" w:rsidRPr="005478EF">
          <w:rPr>
            <w:rStyle w:val="Hyperlink"/>
            <w:rFonts w:cs="Calibri"/>
            <w:noProof/>
            <w:lang w:eastAsia="en-GB"/>
          </w:rPr>
          <w:t>Splicing method decision tree for gasoline emissions</w:t>
        </w:r>
        <w:r w:rsidR="00072983">
          <w:rPr>
            <w:noProof/>
            <w:webHidden/>
          </w:rPr>
          <w:tab/>
        </w:r>
        <w:r w:rsidR="00072983">
          <w:rPr>
            <w:noProof/>
            <w:webHidden/>
          </w:rPr>
          <w:fldChar w:fldCharType="begin"/>
        </w:r>
        <w:r w:rsidR="00072983">
          <w:rPr>
            <w:noProof/>
            <w:webHidden/>
          </w:rPr>
          <w:instrText xml:space="preserve"> PAGEREF _Toc131591547 \h </w:instrText>
        </w:r>
        <w:r w:rsidR="00072983">
          <w:rPr>
            <w:noProof/>
            <w:webHidden/>
          </w:rPr>
        </w:r>
        <w:r w:rsidR="00072983">
          <w:rPr>
            <w:noProof/>
            <w:webHidden/>
          </w:rPr>
          <w:fldChar w:fldCharType="separate"/>
        </w:r>
        <w:r w:rsidR="008F39B8">
          <w:rPr>
            <w:noProof/>
            <w:webHidden/>
          </w:rPr>
          <w:t>89</w:t>
        </w:r>
        <w:r w:rsidR="00072983">
          <w:rPr>
            <w:noProof/>
            <w:webHidden/>
          </w:rPr>
          <w:fldChar w:fldCharType="end"/>
        </w:r>
      </w:hyperlink>
    </w:p>
    <w:p w14:paraId="675F4D14" w14:textId="602823A4" w:rsidR="00072983" w:rsidRDefault="007E17B8">
      <w:pPr>
        <w:pStyle w:val="TableofFigures"/>
        <w:rPr>
          <w:rFonts w:asciiTheme="minorHAnsi" w:eastAsiaTheme="minorEastAsia" w:hAnsiTheme="minorHAnsi" w:cstheme="minorBidi"/>
          <w:noProof/>
          <w:sz w:val="22"/>
        </w:rPr>
      </w:pPr>
      <w:hyperlink w:anchor="_Toc131591548" w:history="1">
        <w:r w:rsidR="00072983" w:rsidRPr="005478EF">
          <w:rPr>
            <w:rStyle w:val="Hyperlink"/>
            <w:rFonts w:cs="Calibri"/>
            <w:noProof/>
          </w:rPr>
          <w:t xml:space="preserve">Figure 3.4.1 </w:t>
        </w:r>
        <w:r w:rsidR="00072983">
          <w:rPr>
            <w:rFonts w:asciiTheme="minorHAnsi" w:eastAsiaTheme="minorEastAsia" w:hAnsiTheme="minorHAnsi" w:cstheme="minorBidi"/>
            <w:noProof/>
            <w:sz w:val="22"/>
          </w:rPr>
          <w:tab/>
        </w:r>
        <w:r w:rsidR="00072983" w:rsidRPr="005478EF">
          <w:rPr>
            <w:rStyle w:val="Hyperlink"/>
            <w:rFonts w:cs="Calibri"/>
            <w:noProof/>
          </w:rPr>
          <w:t xml:space="preserve">Schematic diagram of the use of geothermal fluid for electricity generation – as </w:t>
        </w:r>
        <w:r w:rsidR="00072983" w:rsidRPr="005478EF">
          <w:rPr>
            <w:rStyle w:val="Hyperlink"/>
            <w:rFonts w:cs="Calibri"/>
            <w:noProof/>
            <w:spacing w:val="-2"/>
          </w:rPr>
          <w:t>at Wairakei and Ohaaki geothermal stations (New Zealand Institute of Chemistry, 1998)</w:t>
        </w:r>
        <w:r w:rsidR="00072983">
          <w:rPr>
            <w:noProof/>
            <w:webHidden/>
          </w:rPr>
          <w:tab/>
        </w:r>
        <w:r w:rsidR="00072983">
          <w:rPr>
            <w:noProof/>
            <w:webHidden/>
          </w:rPr>
          <w:fldChar w:fldCharType="begin"/>
        </w:r>
        <w:r w:rsidR="00072983">
          <w:rPr>
            <w:noProof/>
            <w:webHidden/>
          </w:rPr>
          <w:instrText xml:space="preserve"> PAGEREF _Toc131591548 \h </w:instrText>
        </w:r>
        <w:r w:rsidR="00072983">
          <w:rPr>
            <w:noProof/>
            <w:webHidden/>
          </w:rPr>
        </w:r>
        <w:r w:rsidR="00072983">
          <w:rPr>
            <w:noProof/>
            <w:webHidden/>
          </w:rPr>
          <w:fldChar w:fldCharType="separate"/>
        </w:r>
        <w:r w:rsidR="008F39B8">
          <w:rPr>
            <w:noProof/>
            <w:webHidden/>
          </w:rPr>
          <w:t>103</w:t>
        </w:r>
        <w:r w:rsidR="00072983">
          <w:rPr>
            <w:noProof/>
            <w:webHidden/>
          </w:rPr>
          <w:fldChar w:fldCharType="end"/>
        </w:r>
      </w:hyperlink>
    </w:p>
    <w:p w14:paraId="4E1CF060" w14:textId="460F9998" w:rsidR="00072983" w:rsidRDefault="007E17B8">
      <w:pPr>
        <w:pStyle w:val="TableofFigures"/>
        <w:rPr>
          <w:rFonts w:asciiTheme="minorHAnsi" w:eastAsiaTheme="minorEastAsia" w:hAnsiTheme="minorHAnsi" w:cstheme="minorBidi"/>
          <w:noProof/>
          <w:sz w:val="22"/>
        </w:rPr>
      </w:pPr>
      <w:hyperlink w:anchor="_Toc131591549" w:history="1">
        <w:r w:rsidR="00072983" w:rsidRPr="005478EF">
          <w:rPr>
            <w:rStyle w:val="Hyperlink"/>
            <w:noProof/>
          </w:rPr>
          <w:t>Figure 4.1.1</w:t>
        </w:r>
        <w:r w:rsidR="00072983">
          <w:rPr>
            <w:rFonts w:asciiTheme="minorHAnsi" w:eastAsiaTheme="minorEastAsia" w:hAnsiTheme="minorHAnsi" w:cstheme="minorBidi"/>
            <w:noProof/>
            <w:sz w:val="22"/>
          </w:rPr>
          <w:tab/>
        </w:r>
        <w:r w:rsidR="00072983" w:rsidRPr="005478EF">
          <w:rPr>
            <w:rStyle w:val="Hyperlink"/>
            <w:noProof/>
          </w:rPr>
          <w:t>New Zealand’s annual emissions from the IPPU sector from 1990 to 2021</w:t>
        </w:r>
        <w:r w:rsidR="00072983">
          <w:rPr>
            <w:noProof/>
            <w:webHidden/>
          </w:rPr>
          <w:tab/>
        </w:r>
        <w:r w:rsidR="00072983">
          <w:rPr>
            <w:noProof/>
            <w:webHidden/>
          </w:rPr>
          <w:fldChar w:fldCharType="begin"/>
        </w:r>
        <w:r w:rsidR="00072983">
          <w:rPr>
            <w:noProof/>
            <w:webHidden/>
          </w:rPr>
          <w:instrText xml:space="preserve"> PAGEREF _Toc131591549 \h </w:instrText>
        </w:r>
        <w:r w:rsidR="00072983">
          <w:rPr>
            <w:noProof/>
            <w:webHidden/>
          </w:rPr>
        </w:r>
        <w:r w:rsidR="00072983">
          <w:rPr>
            <w:noProof/>
            <w:webHidden/>
          </w:rPr>
          <w:fldChar w:fldCharType="separate"/>
        </w:r>
        <w:r w:rsidR="008F39B8">
          <w:rPr>
            <w:noProof/>
            <w:webHidden/>
          </w:rPr>
          <w:t>111</w:t>
        </w:r>
        <w:r w:rsidR="00072983">
          <w:rPr>
            <w:noProof/>
            <w:webHidden/>
          </w:rPr>
          <w:fldChar w:fldCharType="end"/>
        </w:r>
      </w:hyperlink>
    </w:p>
    <w:p w14:paraId="473E733C" w14:textId="6BB94A89" w:rsidR="00072983" w:rsidRDefault="007E17B8">
      <w:pPr>
        <w:pStyle w:val="TableofFigures"/>
        <w:rPr>
          <w:rFonts w:asciiTheme="minorHAnsi" w:eastAsiaTheme="minorEastAsia" w:hAnsiTheme="minorHAnsi" w:cstheme="minorBidi"/>
          <w:noProof/>
          <w:sz w:val="22"/>
        </w:rPr>
      </w:pPr>
      <w:hyperlink w:anchor="_Toc131591550" w:history="1">
        <w:r w:rsidR="00072983" w:rsidRPr="005478EF">
          <w:rPr>
            <w:rStyle w:val="Hyperlink"/>
            <w:noProof/>
          </w:rPr>
          <w:t>Figure 4.1.2</w:t>
        </w:r>
        <w:r w:rsidR="00072983">
          <w:rPr>
            <w:rFonts w:asciiTheme="minorHAnsi" w:eastAsiaTheme="minorEastAsia" w:hAnsiTheme="minorHAnsi" w:cstheme="minorBidi"/>
            <w:noProof/>
            <w:sz w:val="22"/>
          </w:rPr>
          <w:tab/>
        </w:r>
        <w:r w:rsidR="00072983" w:rsidRPr="005478EF">
          <w:rPr>
            <w:rStyle w:val="Hyperlink"/>
            <w:noProof/>
          </w:rPr>
          <w:t>Change in New Zealand’s emissions from the IPPU sector from 1990 to 2021</w:t>
        </w:r>
        <w:r w:rsidR="00072983">
          <w:rPr>
            <w:noProof/>
            <w:webHidden/>
          </w:rPr>
          <w:tab/>
        </w:r>
        <w:r w:rsidR="00072983">
          <w:rPr>
            <w:noProof/>
            <w:webHidden/>
          </w:rPr>
          <w:fldChar w:fldCharType="begin"/>
        </w:r>
        <w:r w:rsidR="00072983">
          <w:rPr>
            <w:noProof/>
            <w:webHidden/>
          </w:rPr>
          <w:instrText xml:space="preserve"> PAGEREF _Toc131591550 \h </w:instrText>
        </w:r>
        <w:r w:rsidR="00072983">
          <w:rPr>
            <w:noProof/>
            <w:webHidden/>
          </w:rPr>
        </w:r>
        <w:r w:rsidR="00072983">
          <w:rPr>
            <w:noProof/>
            <w:webHidden/>
          </w:rPr>
          <w:fldChar w:fldCharType="separate"/>
        </w:r>
        <w:r w:rsidR="008F39B8">
          <w:rPr>
            <w:noProof/>
            <w:webHidden/>
          </w:rPr>
          <w:t>112</w:t>
        </w:r>
        <w:r w:rsidR="00072983">
          <w:rPr>
            <w:noProof/>
            <w:webHidden/>
          </w:rPr>
          <w:fldChar w:fldCharType="end"/>
        </w:r>
      </w:hyperlink>
    </w:p>
    <w:p w14:paraId="41D78EE7" w14:textId="052896FC" w:rsidR="00072983" w:rsidRDefault="007E17B8">
      <w:pPr>
        <w:pStyle w:val="TableofFigures"/>
        <w:rPr>
          <w:rFonts w:asciiTheme="minorHAnsi" w:eastAsiaTheme="minorEastAsia" w:hAnsiTheme="minorHAnsi" w:cstheme="minorBidi"/>
          <w:noProof/>
          <w:sz w:val="22"/>
        </w:rPr>
      </w:pPr>
      <w:hyperlink w:anchor="_Toc131591551" w:history="1">
        <w:r w:rsidR="00072983" w:rsidRPr="005478EF">
          <w:rPr>
            <w:rStyle w:val="Hyperlink"/>
            <w:noProof/>
          </w:rPr>
          <w:t xml:space="preserve">Figure 4.1.3 </w:t>
        </w:r>
        <w:r w:rsidR="00072983">
          <w:rPr>
            <w:rFonts w:asciiTheme="minorHAnsi" w:eastAsiaTheme="minorEastAsia" w:hAnsiTheme="minorHAnsi" w:cstheme="minorBidi"/>
            <w:noProof/>
            <w:sz w:val="22"/>
          </w:rPr>
          <w:tab/>
        </w:r>
        <w:r w:rsidR="00072983" w:rsidRPr="005478EF">
          <w:rPr>
            <w:rStyle w:val="Hyperlink"/>
            <w:noProof/>
          </w:rPr>
          <w:t>Example: Tier 1 quality checks for the IPPU sector</w:t>
        </w:r>
        <w:r w:rsidR="00072983">
          <w:rPr>
            <w:noProof/>
            <w:webHidden/>
          </w:rPr>
          <w:tab/>
        </w:r>
        <w:r w:rsidR="00072983">
          <w:rPr>
            <w:noProof/>
            <w:webHidden/>
          </w:rPr>
          <w:fldChar w:fldCharType="begin"/>
        </w:r>
        <w:r w:rsidR="00072983">
          <w:rPr>
            <w:noProof/>
            <w:webHidden/>
          </w:rPr>
          <w:instrText xml:space="preserve"> PAGEREF _Toc131591551 \h </w:instrText>
        </w:r>
        <w:r w:rsidR="00072983">
          <w:rPr>
            <w:noProof/>
            <w:webHidden/>
          </w:rPr>
        </w:r>
        <w:r w:rsidR="00072983">
          <w:rPr>
            <w:noProof/>
            <w:webHidden/>
          </w:rPr>
          <w:fldChar w:fldCharType="separate"/>
        </w:r>
        <w:r w:rsidR="008F39B8">
          <w:rPr>
            <w:noProof/>
            <w:webHidden/>
          </w:rPr>
          <w:t>114</w:t>
        </w:r>
        <w:r w:rsidR="00072983">
          <w:rPr>
            <w:noProof/>
            <w:webHidden/>
          </w:rPr>
          <w:fldChar w:fldCharType="end"/>
        </w:r>
      </w:hyperlink>
    </w:p>
    <w:p w14:paraId="0592000D" w14:textId="693E069D" w:rsidR="00072983" w:rsidRDefault="007E17B8">
      <w:pPr>
        <w:pStyle w:val="TableofFigures"/>
        <w:rPr>
          <w:rFonts w:asciiTheme="minorHAnsi" w:eastAsiaTheme="minorEastAsia" w:hAnsiTheme="minorHAnsi" w:cstheme="minorBidi"/>
          <w:noProof/>
          <w:sz w:val="22"/>
        </w:rPr>
      </w:pPr>
      <w:hyperlink w:anchor="_Toc131591552" w:history="1">
        <w:r w:rsidR="00072983" w:rsidRPr="005478EF">
          <w:rPr>
            <w:rStyle w:val="Hyperlink"/>
            <w:noProof/>
          </w:rPr>
          <w:t xml:space="preserve">Figure 4.4.1 </w:t>
        </w:r>
        <w:r w:rsidR="00072983">
          <w:rPr>
            <w:rFonts w:asciiTheme="minorHAnsi" w:eastAsiaTheme="minorEastAsia" w:hAnsiTheme="minorHAnsi" w:cstheme="minorBidi"/>
            <w:noProof/>
            <w:sz w:val="22"/>
          </w:rPr>
          <w:tab/>
        </w:r>
        <w:r w:rsidR="00072983" w:rsidRPr="005478EF">
          <w:rPr>
            <w:rStyle w:val="Hyperlink"/>
            <w:noProof/>
          </w:rPr>
          <w:t>Simplified schematic of iron and steel production in New Zealand</w:t>
        </w:r>
        <w:r w:rsidR="00072983">
          <w:rPr>
            <w:noProof/>
            <w:webHidden/>
          </w:rPr>
          <w:tab/>
        </w:r>
        <w:r w:rsidR="00072983">
          <w:rPr>
            <w:noProof/>
            <w:webHidden/>
          </w:rPr>
          <w:fldChar w:fldCharType="begin"/>
        </w:r>
        <w:r w:rsidR="00072983">
          <w:rPr>
            <w:noProof/>
            <w:webHidden/>
          </w:rPr>
          <w:instrText xml:space="preserve"> PAGEREF _Toc131591552 \h </w:instrText>
        </w:r>
        <w:r w:rsidR="00072983">
          <w:rPr>
            <w:noProof/>
            <w:webHidden/>
          </w:rPr>
        </w:r>
        <w:r w:rsidR="00072983">
          <w:rPr>
            <w:noProof/>
            <w:webHidden/>
          </w:rPr>
          <w:fldChar w:fldCharType="separate"/>
        </w:r>
        <w:r w:rsidR="008F39B8">
          <w:rPr>
            <w:noProof/>
            <w:webHidden/>
          </w:rPr>
          <w:t>125</w:t>
        </w:r>
        <w:r w:rsidR="00072983">
          <w:rPr>
            <w:noProof/>
            <w:webHidden/>
          </w:rPr>
          <w:fldChar w:fldCharType="end"/>
        </w:r>
      </w:hyperlink>
    </w:p>
    <w:p w14:paraId="4D1894D1" w14:textId="489CECC5" w:rsidR="00072983" w:rsidRDefault="007E17B8">
      <w:pPr>
        <w:pStyle w:val="TableofFigures"/>
        <w:rPr>
          <w:rFonts w:asciiTheme="minorHAnsi" w:eastAsiaTheme="minorEastAsia" w:hAnsiTheme="minorHAnsi" w:cstheme="minorBidi"/>
          <w:noProof/>
          <w:sz w:val="22"/>
        </w:rPr>
      </w:pPr>
      <w:hyperlink w:anchor="_Toc131591553" w:history="1">
        <w:r w:rsidR="00072983" w:rsidRPr="005478EF">
          <w:rPr>
            <w:rStyle w:val="Hyperlink"/>
            <w:noProof/>
          </w:rPr>
          <w:t>Figure 5.1.1</w:t>
        </w:r>
        <w:r w:rsidR="00072983">
          <w:rPr>
            <w:rFonts w:asciiTheme="minorHAnsi" w:eastAsiaTheme="minorEastAsia" w:hAnsiTheme="minorHAnsi" w:cstheme="minorBidi"/>
            <w:noProof/>
            <w:sz w:val="22"/>
          </w:rPr>
          <w:tab/>
        </w:r>
        <w:r w:rsidR="00072983" w:rsidRPr="005478EF">
          <w:rPr>
            <w:rStyle w:val="Hyperlink"/>
            <w:noProof/>
          </w:rPr>
          <w:t>Change in New Zealand’s emissions from the Agriculture sector from 1990 to 2021</w:t>
        </w:r>
        <w:r w:rsidR="00072983">
          <w:rPr>
            <w:noProof/>
            <w:webHidden/>
          </w:rPr>
          <w:tab/>
        </w:r>
        <w:r w:rsidR="00072983">
          <w:rPr>
            <w:noProof/>
            <w:webHidden/>
          </w:rPr>
          <w:fldChar w:fldCharType="begin"/>
        </w:r>
        <w:r w:rsidR="00072983">
          <w:rPr>
            <w:noProof/>
            <w:webHidden/>
          </w:rPr>
          <w:instrText xml:space="preserve"> PAGEREF _Toc131591553 \h </w:instrText>
        </w:r>
        <w:r w:rsidR="00072983">
          <w:rPr>
            <w:noProof/>
            <w:webHidden/>
          </w:rPr>
        </w:r>
        <w:r w:rsidR="00072983">
          <w:rPr>
            <w:noProof/>
            <w:webHidden/>
          </w:rPr>
          <w:fldChar w:fldCharType="separate"/>
        </w:r>
        <w:r w:rsidR="008F39B8">
          <w:rPr>
            <w:noProof/>
            <w:webHidden/>
          </w:rPr>
          <w:t>147</w:t>
        </w:r>
        <w:r w:rsidR="00072983">
          <w:rPr>
            <w:noProof/>
            <w:webHidden/>
          </w:rPr>
          <w:fldChar w:fldCharType="end"/>
        </w:r>
      </w:hyperlink>
    </w:p>
    <w:p w14:paraId="4311E234" w14:textId="37CF56A4" w:rsidR="00072983" w:rsidRDefault="007E17B8">
      <w:pPr>
        <w:pStyle w:val="TableofFigures"/>
        <w:rPr>
          <w:rFonts w:asciiTheme="minorHAnsi" w:eastAsiaTheme="minorEastAsia" w:hAnsiTheme="minorHAnsi" w:cstheme="minorBidi"/>
          <w:noProof/>
          <w:sz w:val="22"/>
        </w:rPr>
      </w:pPr>
      <w:hyperlink w:anchor="_Toc131591554" w:history="1">
        <w:r w:rsidR="00072983" w:rsidRPr="005478EF">
          <w:rPr>
            <w:rStyle w:val="Hyperlink"/>
            <w:noProof/>
          </w:rPr>
          <w:t>Figure 5.1.2</w:t>
        </w:r>
        <w:r w:rsidR="00072983">
          <w:rPr>
            <w:rFonts w:asciiTheme="minorHAnsi" w:eastAsiaTheme="minorEastAsia" w:hAnsiTheme="minorHAnsi" w:cstheme="minorBidi"/>
            <w:noProof/>
            <w:sz w:val="22"/>
          </w:rPr>
          <w:tab/>
        </w:r>
        <w:r w:rsidR="00072983" w:rsidRPr="005478EF">
          <w:rPr>
            <w:rStyle w:val="Hyperlink"/>
            <w:noProof/>
          </w:rPr>
          <w:t>New Zealand’s Agriculture sector emissions from 1990 to 2021</w:t>
        </w:r>
        <w:r w:rsidR="00072983">
          <w:rPr>
            <w:noProof/>
            <w:webHidden/>
          </w:rPr>
          <w:tab/>
        </w:r>
        <w:r w:rsidR="00072983">
          <w:rPr>
            <w:noProof/>
            <w:webHidden/>
          </w:rPr>
          <w:fldChar w:fldCharType="begin"/>
        </w:r>
        <w:r w:rsidR="00072983">
          <w:rPr>
            <w:noProof/>
            <w:webHidden/>
          </w:rPr>
          <w:instrText xml:space="preserve"> PAGEREF _Toc131591554 \h </w:instrText>
        </w:r>
        <w:r w:rsidR="00072983">
          <w:rPr>
            <w:noProof/>
            <w:webHidden/>
          </w:rPr>
        </w:r>
        <w:r w:rsidR="00072983">
          <w:rPr>
            <w:noProof/>
            <w:webHidden/>
          </w:rPr>
          <w:fldChar w:fldCharType="separate"/>
        </w:r>
        <w:r w:rsidR="008F39B8">
          <w:rPr>
            <w:noProof/>
            <w:webHidden/>
          </w:rPr>
          <w:t>148</w:t>
        </w:r>
        <w:r w:rsidR="00072983">
          <w:rPr>
            <w:noProof/>
            <w:webHidden/>
          </w:rPr>
          <w:fldChar w:fldCharType="end"/>
        </w:r>
      </w:hyperlink>
    </w:p>
    <w:p w14:paraId="201FBB49" w14:textId="11A81684" w:rsidR="00072983" w:rsidRDefault="007E17B8">
      <w:pPr>
        <w:pStyle w:val="TableofFigures"/>
        <w:rPr>
          <w:rFonts w:asciiTheme="minorHAnsi" w:eastAsiaTheme="minorEastAsia" w:hAnsiTheme="minorHAnsi" w:cstheme="minorBidi"/>
          <w:noProof/>
          <w:sz w:val="22"/>
        </w:rPr>
      </w:pPr>
      <w:hyperlink w:anchor="_Toc131591555" w:history="1">
        <w:r w:rsidR="00072983" w:rsidRPr="005478EF">
          <w:rPr>
            <w:rStyle w:val="Hyperlink"/>
            <w:noProof/>
          </w:rPr>
          <w:t xml:space="preserve">Figure 5.1.3a </w:t>
        </w:r>
        <w:r w:rsidR="00072983">
          <w:rPr>
            <w:rFonts w:asciiTheme="minorHAnsi" w:eastAsiaTheme="minorEastAsia" w:hAnsiTheme="minorHAnsi" w:cstheme="minorBidi"/>
            <w:noProof/>
            <w:sz w:val="22"/>
          </w:rPr>
          <w:tab/>
        </w:r>
        <w:r w:rsidR="00072983" w:rsidRPr="005478EF">
          <w:rPr>
            <w:rStyle w:val="Hyperlink"/>
            <w:noProof/>
          </w:rPr>
          <w:t>Populations of New Zealand’s dairy cattle, beef cattle and deer from 1990 to 2021  (June year ending)</w:t>
        </w:r>
        <w:r w:rsidR="00072983">
          <w:rPr>
            <w:noProof/>
            <w:webHidden/>
          </w:rPr>
          <w:tab/>
        </w:r>
        <w:r w:rsidR="00072983">
          <w:rPr>
            <w:noProof/>
            <w:webHidden/>
          </w:rPr>
          <w:fldChar w:fldCharType="begin"/>
        </w:r>
        <w:r w:rsidR="00072983">
          <w:rPr>
            <w:noProof/>
            <w:webHidden/>
          </w:rPr>
          <w:instrText xml:space="preserve"> PAGEREF _Toc131591555 \h </w:instrText>
        </w:r>
        <w:r w:rsidR="00072983">
          <w:rPr>
            <w:noProof/>
            <w:webHidden/>
          </w:rPr>
        </w:r>
        <w:r w:rsidR="00072983">
          <w:rPr>
            <w:noProof/>
            <w:webHidden/>
          </w:rPr>
          <w:fldChar w:fldCharType="separate"/>
        </w:r>
        <w:r w:rsidR="008F39B8">
          <w:rPr>
            <w:noProof/>
            <w:webHidden/>
          </w:rPr>
          <w:t>149</w:t>
        </w:r>
        <w:r w:rsidR="00072983">
          <w:rPr>
            <w:noProof/>
            <w:webHidden/>
          </w:rPr>
          <w:fldChar w:fldCharType="end"/>
        </w:r>
      </w:hyperlink>
    </w:p>
    <w:p w14:paraId="7C60A38D" w14:textId="27ADFF46" w:rsidR="00072983" w:rsidRDefault="007E17B8">
      <w:pPr>
        <w:pStyle w:val="TableofFigures"/>
        <w:rPr>
          <w:rFonts w:asciiTheme="minorHAnsi" w:eastAsiaTheme="minorEastAsia" w:hAnsiTheme="minorHAnsi" w:cstheme="minorBidi"/>
          <w:noProof/>
          <w:sz w:val="22"/>
        </w:rPr>
      </w:pPr>
      <w:hyperlink w:anchor="_Toc131591556" w:history="1">
        <w:r w:rsidR="00072983" w:rsidRPr="005478EF">
          <w:rPr>
            <w:rStyle w:val="Hyperlink"/>
            <w:noProof/>
          </w:rPr>
          <w:t xml:space="preserve">Figure 5.1.3b </w:t>
        </w:r>
        <w:r w:rsidR="00072983">
          <w:rPr>
            <w:rFonts w:asciiTheme="minorHAnsi" w:eastAsiaTheme="minorEastAsia" w:hAnsiTheme="minorHAnsi" w:cstheme="minorBidi"/>
            <w:noProof/>
            <w:sz w:val="22"/>
          </w:rPr>
          <w:tab/>
        </w:r>
        <w:r w:rsidR="00072983" w:rsidRPr="005478EF">
          <w:rPr>
            <w:rStyle w:val="Hyperlink"/>
            <w:noProof/>
          </w:rPr>
          <w:t>Population of New Zealand’s sheep from 1990 to 2021 (June year ending)</w:t>
        </w:r>
        <w:r w:rsidR="00072983">
          <w:rPr>
            <w:noProof/>
            <w:webHidden/>
          </w:rPr>
          <w:tab/>
        </w:r>
        <w:r w:rsidR="00072983">
          <w:rPr>
            <w:noProof/>
            <w:webHidden/>
          </w:rPr>
          <w:fldChar w:fldCharType="begin"/>
        </w:r>
        <w:r w:rsidR="00072983">
          <w:rPr>
            <w:noProof/>
            <w:webHidden/>
          </w:rPr>
          <w:instrText xml:space="preserve"> PAGEREF _Toc131591556 \h </w:instrText>
        </w:r>
        <w:r w:rsidR="00072983">
          <w:rPr>
            <w:noProof/>
            <w:webHidden/>
          </w:rPr>
        </w:r>
        <w:r w:rsidR="00072983">
          <w:rPr>
            <w:noProof/>
            <w:webHidden/>
          </w:rPr>
          <w:fldChar w:fldCharType="separate"/>
        </w:r>
        <w:r w:rsidR="008F39B8">
          <w:rPr>
            <w:noProof/>
            <w:webHidden/>
          </w:rPr>
          <w:t>150</w:t>
        </w:r>
        <w:r w:rsidR="00072983">
          <w:rPr>
            <w:noProof/>
            <w:webHidden/>
          </w:rPr>
          <w:fldChar w:fldCharType="end"/>
        </w:r>
      </w:hyperlink>
    </w:p>
    <w:p w14:paraId="226F55BB" w14:textId="42BBB005" w:rsidR="00072983" w:rsidRDefault="007E17B8">
      <w:pPr>
        <w:pStyle w:val="TableofFigures"/>
        <w:rPr>
          <w:rFonts w:asciiTheme="minorHAnsi" w:eastAsiaTheme="minorEastAsia" w:hAnsiTheme="minorHAnsi" w:cstheme="minorBidi"/>
          <w:noProof/>
          <w:sz w:val="22"/>
        </w:rPr>
      </w:pPr>
      <w:hyperlink w:anchor="_Toc131591557" w:history="1">
        <w:r w:rsidR="00072983" w:rsidRPr="005478EF">
          <w:rPr>
            <w:rStyle w:val="Hyperlink"/>
            <w:noProof/>
          </w:rPr>
          <w:t>Figure 5.1.4</w:t>
        </w:r>
        <w:r w:rsidR="00072983">
          <w:rPr>
            <w:rFonts w:asciiTheme="minorHAnsi" w:eastAsiaTheme="minorEastAsia" w:hAnsiTheme="minorHAnsi" w:cstheme="minorBidi"/>
            <w:noProof/>
            <w:sz w:val="22"/>
          </w:rPr>
          <w:tab/>
        </w:r>
        <w:r w:rsidR="00072983" w:rsidRPr="005478EF">
          <w:rPr>
            <w:rStyle w:val="Hyperlink"/>
            <w:noProof/>
          </w:rPr>
          <w:t>Dairy milk productivity and implied enteric fermentation methane emission factors for dairy cows from 1990 to 2021</w:t>
        </w:r>
        <w:r w:rsidR="00072983">
          <w:rPr>
            <w:noProof/>
            <w:webHidden/>
          </w:rPr>
          <w:tab/>
        </w:r>
        <w:r w:rsidR="00072983">
          <w:rPr>
            <w:noProof/>
            <w:webHidden/>
          </w:rPr>
          <w:fldChar w:fldCharType="begin"/>
        </w:r>
        <w:r w:rsidR="00072983">
          <w:rPr>
            <w:noProof/>
            <w:webHidden/>
          </w:rPr>
          <w:instrText xml:space="preserve"> PAGEREF _Toc131591557 \h </w:instrText>
        </w:r>
        <w:r w:rsidR="00072983">
          <w:rPr>
            <w:noProof/>
            <w:webHidden/>
          </w:rPr>
        </w:r>
        <w:r w:rsidR="00072983">
          <w:rPr>
            <w:noProof/>
            <w:webHidden/>
          </w:rPr>
          <w:fldChar w:fldCharType="separate"/>
        </w:r>
        <w:r w:rsidR="008F39B8">
          <w:rPr>
            <w:noProof/>
            <w:webHidden/>
          </w:rPr>
          <w:t>151</w:t>
        </w:r>
        <w:r w:rsidR="00072983">
          <w:rPr>
            <w:noProof/>
            <w:webHidden/>
          </w:rPr>
          <w:fldChar w:fldCharType="end"/>
        </w:r>
      </w:hyperlink>
    </w:p>
    <w:p w14:paraId="2438A401" w14:textId="3B83F369" w:rsidR="00072983" w:rsidRDefault="007E17B8">
      <w:pPr>
        <w:pStyle w:val="TableofFigures"/>
        <w:rPr>
          <w:rFonts w:asciiTheme="minorHAnsi" w:eastAsiaTheme="minorEastAsia" w:hAnsiTheme="minorHAnsi" w:cstheme="minorBidi"/>
          <w:noProof/>
          <w:sz w:val="22"/>
        </w:rPr>
      </w:pPr>
      <w:hyperlink w:anchor="_Toc131591558" w:history="1">
        <w:r w:rsidR="00072983" w:rsidRPr="005478EF">
          <w:rPr>
            <w:rStyle w:val="Hyperlink"/>
            <w:noProof/>
          </w:rPr>
          <w:t xml:space="preserve">Figure 5.1.5 </w:t>
        </w:r>
        <w:r w:rsidR="00072983">
          <w:rPr>
            <w:rFonts w:asciiTheme="minorHAnsi" w:eastAsiaTheme="minorEastAsia" w:hAnsiTheme="minorHAnsi" w:cstheme="minorBidi"/>
            <w:noProof/>
            <w:sz w:val="22"/>
          </w:rPr>
          <w:tab/>
        </w:r>
        <w:r w:rsidR="00072983" w:rsidRPr="005478EF">
          <w:rPr>
            <w:rStyle w:val="Hyperlink"/>
            <w:noProof/>
          </w:rPr>
          <w:t>Simplified methodology for calculating emissions for major ruminant livestock categories</w:t>
        </w:r>
        <w:r w:rsidR="00072983">
          <w:rPr>
            <w:noProof/>
            <w:webHidden/>
          </w:rPr>
          <w:tab/>
        </w:r>
        <w:r w:rsidR="00072983">
          <w:rPr>
            <w:noProof/>
            <w:webHidden/>
          </w:rPr>
          <w:fldChar w:fldCharType="begin"/>
        </w:r>
        <w:r w:rsidR="00072983">
          <w:rPr>
            <w:noProof/>
            <w:webHidden/>
          </w:rPr>
          <w:instrText xml:space="preserve"> PAGEREF _Toc131591558 \h </w:instrText>
        </w:r>
        <w:r w:rsidR="00072983">
          <w:rPr>
            <w:noProof/>
            <w:webHidden/>
          </w:rPr>
        </w:r>
        <w:r w:rsidR="00072983">
          <w:rPr>
            <w:noProof/>
            <w:webHidden/>
          </w:rPr>
          <w:fldChar w:fldCharType="separate"/>
        </w:r>
        <w:r w:rsidR="008F39B8">
          <w:rPr>
            <w:noProof/>
            <w:webHidden/>
          </w:rPr>
          <w:t>154</w:t>
        </w:r>
        <w:r w:rsidR="00072983">
          <w:rPr>
            <w:noProof/>
            <w:webHidden/>
          </w:rPr>
          <w:fldChar w:fldCharType="end"/>
        </w:r>
      </w:hyperlink>
    </w:p>
    <w:p w14:paraId="2BF86F44" w14:textId="218EA56F" w:rsidR="00072983" w:rsidRDefault="007E17B8">
      <w:pPr>
        <w:pStyle w:val="TableofFigures"/>
        <w:rPr>
          <w:rFonts w:asciiTheme="minorHAnsi" w:eastAsiaTheme="minorEastAsia" w:hAnsiTheme="minorHAnsi" w:cstheme="minorBidi"/>
          <w:noProof/>
          <w:sz w:val="22"/>
        </w:rPr>
      </w:pPr>
      <w:hyperlink w:anchor="_Toc131591559" w:history="1">
        <w:r w:rsidR="00072983" w:rsidRPr="005478EF">
          <w:rPr>
            <w:rStyle w:val="Hyperlink"/>
            <w:noProof/>
          </w:rPr>
          <w:t xml:space="preserve">Figure 5.1.6 </w:t>
        </w:r>
        <w:r w:rsidR="00072983">
          <w:rPr>
            <w:rFonts w:asciiTheme="minorHAnsi" w:eastAsiaTheme="minorEastAsia" w:hAnsiTheme="minorHAnsi" w:cstheme="minorBidi"/>
            <w:noProof/>
            <w:sz w:val="22"/>
          </w:rPr>
          <w:tab/>
        </w:r>
        <w:r w:rsidR="00072983" w:rsidRPr="005478EF">
          <w:rPr>
            <w:rStyle w:val="Hyperlink"/>
            <w:noProof/>
          </w:rPr>
          <w:t>National monthly milk production in New Zealand from 2019 to 2021</w:t>
        </w:r>
        <w:r w:rsidR="00072983">
          <w:rPr>
            <w:noProof/>
            <w:webHidden/>
          </w:rPr>
          <w:tab/>
        </w:r>
        <w:r w:rsidR="00072983">
          <w:rPr>
            <w:noProof/>
            <w:webHidden/>
          </w:rPr>
          <w:fldChar w:fldCharType="begin"/>
        </w:r>
        <w:r w:rsidR="00072983">
          <w:rPr>
            <w:noProof/>
            <w:webHidden/>
          </w:rPr>
          <w:instrText xml:space="preserve"> PAGEREF _Toc131591559 \h </w:instrText>
        </w:r>
        <w:r w:rsidR="00072983">
          <w:rPr>
            <w:noProof/>
            <w:webHidden/>
          </w:rPr>
        </w:r>
        <w:r w:rsidR="00072983">
          <w:rPr>
            <w:noProof/>
            <w:webHidden/>
          </w:rPr>
          <w:fldChar w:fldCharType="separate"/>
        </w:r>
        <w:r w:rsidR="008F39B8">
          <w:rPr>
            <w:noProof/>
            <w:webHidden/>
          </w:rPr>
          <w:t>158</w:t>
        </w:r>
        <w:r w:rsidR="00072983">
          <w:rPr>
            <w:noProof/>
            <w:webHidden/>
          </w:rPr>
          <w:fldChar w:fldCharType="end"/>
        </w:r>
      </w:hyperlink>
    </w:p>
    <w:p w14:paraId="74D14051" w14:textId="13A3B3C0" w:rsidR="00072983" w:rsidRDefault="007E17B8">
      <w:pPr>
        <w:pStyle w:val="TableofFigures"/>
        <w:rPr>
          <w:rFonts w:asciiTheme="minorHAnsi" w:eastAsiaTheme="minorEastAsia" w:hAnsiTheme="minorHAnsi" w:cstheme="minorBidi"/>
          <w:noProof/>
          <w:sz w:val="22"/>
        </w:rPr>
      </w:pPr>
      <w:hyperlink w:anchor="_Toc131591560" w:history="1">
        <w:r w:rsidR="00072983" w:rsidRPr="005478EF">
          <w:rPr>
            <w:rStyle w:val="Hyperlink"/>
            <w:noProof/>
          </w:rPr>
          <w:t xml:space="preserve">Figure 5.1.7 </w:t>
        </w:r>
        <w:r w:rsidR="00072983">
          <w:rPr>
            <w:rFonts w:asciiTheme="minorHAnsi" w:eastAsiaTheme="minorEastAsia" w:hAnsiTheme="minorHAnsi" w:cstheme="minorBidi"/>
            <w:noProof/>
            <w:sz w:val="22"/>
          </w:rPr>
          <w:tab/>
        </w:r>
        <w:r w:rsidR="00072983" w:rsidRPr="005478EF">
          <w:rPr>
            <w:rStyle w:val="Hyperlink"/>
            <w:noProof/>
          </w:rPr>
          <w:t>Agriculture sectoral approval process for inventory recalculations and improvements</w:t>
        </w:r>
        <w:r w:rsidR="00072983">
          <w:rPr>
            <w:noProof/>
            <w:webHidden/>
          </w:rPr>
          <w:tab/>
        </w:r>
        <w:r w:rsidR="00072983">
          <w:rPr>
            <w:noProof/>
            <w:webHidden/>
          </w:rPr>
          <w:fldChar w:fldCharType="begin"/>
        </w:r>
        <w:r w:rsidR="00072983">
          <w:rPr>
            <w:noProof/>
            <w:webHidden/>
          </w:rPr>
          <w:instrText xml:space="preserve"> PAGEREF _Toc131591560 \h </w:instrText>
        </w:r>
        <w:r w:rsidR="00072983">
          <w:rPr>
            <w:noProof/>
            <w:webHidden/>
          </w:rPr>
        </w:r>
        <w:r w:rsidR="00072983">
          <w:rPr>
            <w:noProof/>
            <w:webHidden/>
          </w:rPr>
          <w:fldChar w:fldCharType="separate"/>
        </w:r>
        <w:r w:rsidR="008F39B8">
          <w:rPr>
            <w:noProof/>
            <w:webHidden/>
          </w:rPr>
          <w:t>164</w:t>
        </w:r>
        <w:r w:rsidR="00072983">
          <w:rPr>
            <w:noProof/>
            <w:webHidden/>
          </w:rPr>
          <w:fldChar w:fldCharType="end"/>
        </w:r>
      </w:hyperlink>
    </w:p>
    <w:p w14:paraId="1A9D619C" w14:textId="76B96C7F" w:rsidR="00072983" w:rsidRDefault="007E17B8">
      <w:pPr>
        <w:pStyle w:val="TableofFigures"/>
        <w:rPr>
          <w:rFonts w:asciiTheme="minorHAnsi" w:eastAsiaTheme="minorEastAsia" w:hAnsiTheme="minorHAnsi" w:cstheme="minorBidi"/>
          <w:noProof/>
          <w:sz w:val="22"/>
        </w:rPr>
      </w:pPr>
      <w:hyperlink w:anchor="_Toc131591561" w:history="1">
        <w:r w:rsidR="00072983" w:rsidRPr="005478EF">
          <w:rPr>
            <w:rStyle w:val="Hyperlink"/>
            <w:noProof/>
          </w:rPr>
          <w:t>Figure 5.2.1</w:t>
        </w:r>
        <w:r w:rsidR="00072983">
          <w:rPr>
            <w:rFonts w:asciiTheme="minorHAnsi" w:eastAsiaTheme="minorEastAsia" w:hAnsiTheme="minorHAnsi" w:cstheme="minorBidi"/>
            <w:noProof/>
            <w:sz w:val="22"/>
          </w:rPr>
          <w:tab/>
        </w:r>
        <w:r w:rsidR="00072983" w:rsidRPr="005478EF">
          <w:rPr>
            <w:rStyle w:val="Hyperlink"/>
            <w:noProof/>
          </w:rPr>
          <w:t>Schematic diagram showing how New Zealand’s emissions from enteric fermentation for cattle and deer are calculated</w:t>
        </w:r>
        <w:r w:rsidR="00072983">
          <w:rPr>
            <w:noProof/>
            <w:webHidden/>
          </w:rPr>
          <w:tab/>
        </w:r>
        <w:r w:rsidR="00072983">
          <w:rPr>
            <w:noProof/>
            <w:webHidden/>
          </w:rPr>
          <w:fldChar w:fldCharType="begin"/>
        </w:r>
        <w:r w:rsidR="00072983">
          <w:rPr>
            <w:noProof/>
            <w:webHidden/>
          </w:rPr>
          <w:instrText xml:space="preserve"> PAGEREF _Toc131591561 \h </w:instrText>
        </w:r>
        <w:r w:rsidR="00072983">
          <w:rPr>
            <w:noProof/>
            <w:webHidden/>
          </w:rPr>
        </w:r>
        <w:r w:rsidR="00072983">
          <w:rPr>
            <w:noProof/>
            <w:webHidden/>
          </w:rPr>
          <w:fldChar w:fldCharType="separate"/>
        </w:r>
        <w:r w:rsidR="008F39B8">
          <w:rPr>
            <w:noProof/>
            <w:webHidden/>
          </w:rPr>
          <w:t>171</w:t>
        </w:r>
        <w:r w:rsidR="00072983">
          <w:rPr>
            <w:noProof/>
            <w:webHidden/>
          </w:rPr>
          <w:fldChar w:fldCharType="end"/>
        </w:r>
      </w:hyperlink>
    </w:p>
    <w:p w14:paraId="22B64CA7" w14:textId="646FEFAF" w:rsidR="00072983" w:rsidRDefault="007E17B8">
      <w:pPr>
        <w:pStyle w:val="TableofFigures"/>
        <w:rPr>
          <w:rFonts w:asciiTheme="minorHAnsi" w:eastAsiaTheme="minorEastAsia" w:hAnsiTheme="minorHAnsi" w:cstheme="minorBidi"/>
          <w:noProof/>
          <w:sz w:val="22"/>
        </w:rPr>
      </w:pPr>
      <w:hyperlink w:anchor="_Toc131591562" w:history="1">
        <w:r w:rsidR="00072983" w:rsidRPr="005478EF">
          <w:rPr>
            <w:rStyle w:val="Hyperlink"/>
            <w:noProof/>
          </w:rPr>
          <w:t>Figure 5.5.1</w:t>
        </w:r>
        <w:r w:rsidR="00072983">
          <w:rPr>
            <w:rFonts w:asciiTheme="minorHAnsi" w:eastAsiaTheme="minorEastAsia" w:hAnsiTheme="minorHAnsi" w:cstheme="minorBidi"/>
            <w:noProof/>
            <w:sz w:val="22"/>
          </w:rPr>
          <w:tab/>
        </w:r>
        <w:r w:rsidR="00072983" w:rsidRPr="005478EF">
          <w:rPr>
            <w:rStyle w:val="Hyperlink"/>
            <w:noProof/>
          </w:rPr>
          <w:t xml:space="preserve">Sources of nitrous oxide emissions from </w:t>
        </w:r>
        <w:r w:rsidR="00072983" w:rsidRPr="005478EF">
          <w:rPr>
            <w:rStyle w:val="Hyperlink"/>
            <w:i/>
            <w:iCs/>
            <w:noProof/>
          </w:rPr>
          <w:t>Agricultural soils</w:t>
        </w:r>
        <w:r w:rsidR="00072983" w:rsidRPr="005478EF">
          <w:rPr>
            <w:rStyle w:val="Hyperlink"/>
            <w:noProof/>
          </w:rPr>
          <w:t>, showing the contribution of each source to emissions through both direct and indirect pathways</w:t>
        </w:r>
        <w:r w:rsidR="00072983">
          <w:rPr>
            <w:noProof/>
            <w:webHidden/>
          </w:rPr>
          <w:tab/>
        </w:r>
        <w:r w:rsidR="00072983">
          <w:rPr>
            <w:noProof/>
            <w:webHidden/>
          </w:rPr>
          <w:fldChar w:fldCharType="begin"/>
        </w:r>
        <w:r w:rsidR="00072983">
          <w:rPr>
            <w:noProof/>
            <w:webHidden/>
          </w:rPr>
          <w:instrText xml:space="preserve"> PAGEREF _Toc131591562 \h </w:instrText>
        </w:r>
        <w:r w:rsidR="00072983">
          <w:rPr>
            <w:noProof/>
            <w:webHidden/>
          </w:rPr>
        </w:r>
        <w:r w:rsidR="00072983">
          <w:rPr>
            <w:noProof/>
            <w:webHidden/>
          </w:rPr>
          <w:fldChar w:fldCharType="separate"/>
        </w:r>
        <w:r w:rsidR="008F39B8">
          <w:rPr>
            <w:noProof/>
            <w:webHidden/>
          </w:rPr>
          <w:t>196</w:t>
        </w:r>
        <w:r w:rsidR="00072983">
          <w:rPr>
            <w:noProof/>
            <w:webHidden/>
          </w:rPr>
          <w:fldChar w:fldCharType="end"/>
        </w:r>
      </w:hyperlink>
    </w:p>
    <w:p w14:paraId="46A7783C" w14:textId="159BA080" w:rsidR="00072983" w:rsidRDefault="007E17B8">
      <w:pPr>
        <w:pStyle w:val="TableofFigures"/>
        <w:rPr>
          <w:rFonts w:asciiTheme="minorHAnsi" w:eastAsiaTheme="minorEastAsia" w:hAnsiTheme="minorHAnsi" w:cstheme="minorBidi"/>
          <w:noProof/>
          <w:sz w:val="22"/>
        </w:rPr>
      </w:pPr>
      <w:hyperlink w:anchor="_Toc131591563" w:history="1">
        <w:r w:rsidR="00072983" w:rsidRPr="005478EF">
          <w:rPr>
            <w:rStyle w:val="Hyperlink"/>
            <w:noProof/>
          </w:rPr>
          <w:t>Figure 5.5.2</w:t>
        </w:r>
        <w:r w:rsidR="00072983">
          <w:rPr>
            <w:rFonts w:asciiTheme="minorHAnsi" w:eastAsiaTheme="minorEastAsia" w:hAnsiTheme="minorHAnsi" w:cstheme="minorBidi"/>
            <w:noProof/>
            <w:sz w:val="22"/>
          </w:rPr>
          <w:tab/>
        </w:r>
        <w:r w:rsidR="00072983" w:rsidRPr="005478EF">
          <w:rPr>
            <w:rStyle w:val="Hyperlink"/>
            <w:noProof/>
          </w:rPr>
          <w:t>Synthetic nitrogen fertiliser use in New Zealand from 1990 to 2021</w:t>
        </w:r>
        <w:r w:rsidR="00072983">
          <w:rPr>
            <w:noProof/>
            <w:webHidden/>
          </w:rPr>
          <w:tab/>
        </w:r>
        <w:r w:rsidR="00072983">
          <w:rPr>
            <w:noProof/>
            <w:webHidden/>
          </w:rPr>
          <w:fldChar w:fldCharType="begin"/>
        </w:r>
        <w:r w:rsidR="00072983">
          <w:rPr>
            <w:noProof/>
            <w:webHidden/>
          </w:rPr>
          <w:instrText xml:space="preserve"> PAGEREF _Toc131591563 \h </w:instrText>
        </w:r>
        <w:r w:rsidR="00072983">
          <w:rPr>
            <w:noProof/>
            <w:webHidden/>
          </w:rPr>
        </w:r>
        <w:r w:rsidR="00072983">
          <w:rPr>
            <w:noProof/>
            <w:webHidden/>
          </w:rPr>
          <w:fldChar w:fldCharType="separate"/>
        </w:r>
        <w:r w:rsidR="008F39B8">
          <w:rPr>
            <w:noProof/>
            <w:webHidden/>
          </w:rPr>
          <w:t>202</w:t>
        </w:r>
        <w:r w:rsidR="00072983">
          <w:rPr>
            <w:noProof/>
            <w:webHidden/>
          </w:rPr>
          <w:fldChar w:fldCharType="end"/>
        </w:r>
      </w:hyperlink>
    </w:p>
    <w:p w14:paraId="21BC8046" w14:textId="70E49E4E" w:rsidR="00072983" w:rsidRDefault="007E17B8">
      <w:pPr>
        <w:pStyle w:val="TableofFigures"/>
        <w:rPr>
          <w:rFonts w:asciiTheme="minorHAnsi" w:eastAsiaTheme="minorEastAsia" w:hAnsiTheme="minorHAnsi" w:cstheme="minorBidi"/>
          <w:noProof/>
          <w:sz w:val="22"/>
        </w:rPr>
      </w:pPr>
      <w:hyperlink w:anchor="_Toc131591564" w:history="1">
        <w:r w:rsidR="00072983" w:rsidRPr="005478EF">
          <w:rPr>
            <w:rStyle w:val="Hyperlink"/>
            <w:noProof/>
          </w:rPr>
          <w:t>Figure 5.5.3</w:t>
        </w:r>
        <w:r w:rsidR="00072983">
          <w:rPr>
            <w:rFonts w:asciiTheme="minorHAnsi" w:eastAsiaTheme="minorEastAsia" w:hAnsiTheme="minorHAnsi" w:cstheme="minorBidi"/>
            <w:noProof/>
            <w:sz w:val="22"/>
          </w:rPr>
          <w:tab/>
        </w:r>
        <w:r w:rsidR="00072983" w:rsidRPr="005478EF">
          <w:rPr>
            <w:rStyle w:val="Hyperlink"/>
            <w:noProof/>
          </w:rPr>
          <w:t>Percentage of synthetic nitrogen fertiliser derived from urea from 1990 to 2021</w:t>
        </w:r>
        <w:r w:rsidR="00072983">
          <w:rPr>
            <w:noProof/>
            <w:webHidden/>
          </w:rPr>
          <w:tab/>
        </w:r>
        <w:r w:rsidR="00072983">
          <w:rPr>
            <w:noProof/>
            <w:webHidden/>
          </w:rPr>
          <w:fldChar w:fldCharType="begin"/>
        </w:r>
        <w:r w:rsidR="00072983">
          <w:rPr>
            <w:noProof/>
            <w:webHidden/>
          </w:rPr>
          <w:instrText xml:space="preserve"> PAGEREF _Toc131591564 \h </w:instrText>
        </w:r>
        <w:r w:rsidR="00072983">
          <w:rPr>
            <w:noProof/>
            <w:webHidden/>
          </w:rPr>
        </w:r>
        <w:r w:rsidR="00072983">
          <w:rPr>
            <w:noProof/>
            <w:webHidden/>
          </w:rPr>
          <w:fldChar w:fldCharType="separate"/>
        </w:r>
        <w:r w:rsidR="008F39B8">
          <w:rPr>
            <w:noProof/>
            <w:webHidden/>
          </w:rPr>
          <w:t>202</w:t>
        </w:r>
        <w:r w:rsidR="00072983">
          <w:rPr>
            <w:noProof/>
            <w:webHidden/>
          </w:rPr>
          <w:fldChar w:fldCharType="end"/>
        </w:r>
      </w:hyperlink>
    </w:p>
    <w:p w14:paraId="5791B52D" w14:textId="682682EB" w:rsidR="00072983" w:rsidRDefault="007E17B8">
      <w:pPr>
        <w:pStyle w:val="TableofFigures"/>
        <w:rPr>
          <w:rFonts w:asciiTheme="minorHAnsi" w:eastAsiaTheme="minorEastAsia" w:hAnsiTheme="minorHAnsi" w:cstheme="minorBidi"/>
          <w:noProof/>
          <w:sz w:val="22"/>
        </w:rPr>
      </w:pPr>
      <w:hyperlink w:anchor="_Toc131591565" w:history="1">
        <w:r w:rsidR="00072983" w:rsidRPr="005478EF">
          <w:rPr>
            <w:rStyle w:val="Hyperlink"/>
            <w:noProof/>
          </w:rPr>
          <w:t>Figure 5.8.1</w:t>
        </w:r>
        <w:r w:rsidR="00072983">
          <w:rPr>
            <w:rFonts w:asciiTheme="minorHAnsi" w:eastAsiaTheme="minorEastAsia" w:hAnsiTheme="minorHAnsi" w:cstheme="minorBidi"/>
            <w:noProof/>
            <w:sz w:val="22"/>
          </w:rPr>
          <w:tab/>
        </w:r>
        <w:r w:rsidR="00072983" w:rsidRPr="005478EF">
          <w:rPr>
            <w:rStyle w:val="Hyperlink"/>
            <w:noProof/>
          </w:rPr>
          <w:t>Limestone usage on agricultural land in New Zealand from 1990 to 2021</w:t>
        </w:r>
        <w:r w:rsidR="00072983">
          <w:rPr>
            <w:noProof/>
            <w:webHidden/>
          </w:rPr>
          <w:tab/>
        </w:r>
        <w:r w:rsidR="00072983">
          <w:rPr>
            <w:noProof/>
            <w:webHidden/>
          </w:rPr>
          <w:fldChar w:fldCharType="begin"/>
        </w:r>
        <w:r w:rsidR="00072983">
          <w:rPr>
            <w:noProof/>
            <w:webHidden/>
          </w:rPr>
          <w:instrText xml:space="preserve"> PAGEREF _Toc131591565 \h </w:instrText>
        </w:r>
        <w:r w:rsidR="00072983">
          <w:rPr>
            <w:noProof/>
            <w:webHidden/>
          </w:rPr>
        </w:r>
        <w:r w:rsidR="00072983">
          <w:rPr>
            <w:noProof/>
            <w:webHidden/>
          </w:rPr>
          <w:fldChar w:fldCharType="separate"/>
        </w:r>
        <w:r w:rsidR="008F39B8">
          <w:rPr>
            <w:noProof/>
            <w:webHidden/>
          </w:rPr>
          <w:t>227</w:t>
        </w:r>
        <w:r w:rsidR="00072983">
          <w:rPr>
            <w:noProof/>
            <w:webHidden/>
          </w:rPr>
          <w:fldChar w:fldCharType="end"/>
        </w:r>
      </w:hyperlink>
    </w:p>
    <w:p w14:paraId="0BE05E96" w14:textId="54FB921A" w:rsidR="00072983" w:rsidRDefault="007E17B8">
      <w:pPr>
        <w:pStyle w:val="TableofFigures"/>
        <w:rPr>
          <w:rFonts w:asciiTheme="minorHAnsi" w:eastAsiaTheme="minorEastAsia" w:hAnsiTheme="minorHAnsi" w:cstheme="minorBidi"/>
          <w:noProof/>
          <w:sz w:val="22"/>
        </w:rPr>
      </w:pPr>
      <w:hyperlink w:anchor="_Toc131591566" w:history="1">
        <w:r w:rsidR="00072983" w:rsidRPr="005478EF">
          <w:rPr>
            <w:rStyle w:val="Hyperlink"/>
            <w:noProof/>
          </w:rPr>
          <w:t>Figure 5.8.2</w:t>
        </w:r>
        <w:r w:rsidR="00072983">
          <w:rPr>
            <w:rFonts w:asciiTheme="minorHAnsi" w:eastAsiaTheme="minorEastAsia" w:hAnsiTheme="minorHAnsi" w:cstheme="minorBidi"/>
            <w:noProof/>
            <w:sz w:val="22"/>
          </w:rPr>
          <w:tab/>
        </w:r>
        <w:r w:rsidR="00072983" w:rsidRPr="005478EF">
          <w:rPr>
            <w:rStyle w:val="Hyperlink"/>
            <w:noProof/>
          </w:rPr>
          <w:t>Dolomite usage on agricultural land in New Zealand from 1990 to 2021</w:t>
        </w:r>
        <w:r w:rsidR="00072983">
          <w:rPr>
            <w:noProof/>
            <w:webHidden/>
          </w:rPr>
          <w:tab/>
        </w:r>
        <w:r w:rsidR="00072983">
          <w:rPr>
            <w:noProof/>
            <w:webHidden/>
          </w:rPr>
          <w:fldChar w:fldCharType="begin"/>
        </w:r>
        <w:r w:rsidR="00072983">
          <w:rPr>
            <w:noProof/>
            <w:webHidden/>
          </w:rPr>
          <w:instrText xml:space="preserve"> PAGEREF _Toc131591566 \h </w:instrText>
        </w:r>
        <w:r w:rsidR="00072983">
          <w:rPr>
            <w:noProof/>
            <w:webHidden/>
          </w:rPr>
        </w:r>
        <w:r w:rsidR="00072983">
          <w:rPr>
            <w:noProof/>
            <w:webHidden/>
          </w:rPr>
          <w:fldChar w:fldCharType="separate"/>
        </w:r>
        <w:r w:rsidR="008F39B8">
          <w:rPr>
            <w:noProof/>
            <w:webHidden/>
          </w:rPr>
          <w:t>228</w:t>
        </w:r>
        <w:r w:rsidR="00072983">
          <w:rPr>
            <w:noProof/>
            <w:webHidden/>
          </w:rPr>
          <w:fldChar w:fldCharType="end"/>
        </w:r>
      </w:hyperlink>
    </w:p>
    <w:p w14:paraId="39994ECC" w14:textId="4EB7289D" w:rsidR="00072983" w:rsidRDefault="007E17B8">
      <w:pPr>
        <w:pStyle w:val="TableofFigures"/>
        <w:rPr>
          <w:rFonts w:asciiTheme="minorHAnsi" w:eastAsiaTheme="minorEastAsia" w:hAnsiTheme="minorHAnsi" w:cstheme="minorBidi"/>
          <w:noProof/>
          <w:sz w:val="22"/>
        </w:rPr>
      </w:pPr>
      <w:hyperlink w:anchor="_Toc131591567" w:history="1">
        <w:r w:rsidR="00072983" w:rsidRPr="005478EF">
          <w:rPr>
            <w:rStyle w:val="Hyperlink"/>
            <w:noProof/>
          </w:rPr>
          <w:t>Figure 6.1.1</w:t>
        </w:r>
        <w:r w:rsidR="00072983">
          <w:rPr>
            <w:rFonts w:asciiTheme="minorHAnsi" w:eastAsiaTheme="minorEastAsia" w:hAnsiTheme="minorHAnsi" w:cstheme="minorBidi"/>
            <w:noProof/>
            <w:sz w:val="22"/>
          </w:rPr>
          <w:tab/>
        </w:r>
        <w:r w:rsidR="00072983" w:rsidRPr="005478EF">
          <w:rPr>
            <w:rStyle w:val="Hyperlink"/>
            <w:noProof/>
          </w:rPr>
          <w:t>New Zealand’s annual emissions from the LULUCF sector from 1990 to 2021</w:t>
        </w:r>
        <w:r w:rsidR="00072983">
          <w:rPr>
            <w:noProof/>
            <w:webHidden/>
          </w:rPr>
          <w:tab/>
        </w:r>
        <w:r w:rsidR="00072983">
          <w:rPr>
            <w:noProof/>
            <w:webHidden/>
          </w:rPr>
          <w:fldChar w:fldCharType="begin"/>
        </w:r>
        <w:r w:rsidR="00072983">
          <w:rPr>
            <w:noProof/>
            <w:webHidden/>
          </w:rPr>
          <w:instrText xml:space="preserve"> PAGEREF _Toc131591567 \h </w:instrText>
        </w:r>
        <w:r w:rsidR="00072983">
          <w:rPr>
            <w:noProof/>
            <w:webHidden/>
          </w:rPr>
        </w:r>
        <w:r w:rsidR="00072983">
          <w:rPr>
            <w:noProof/>
            <w:webHidden/>
          </w:rPr>
          <w:fldChar w:fldCharType="separate"/>
        </w:r>
        <w:r w:rsidR="008F39B8">
          <w:rPr>
            <w:noProof/>
            <w:webHidden/>
          </w:rPr>
          <w:t>239</w:t>
        </w:r>
        <w:r w:rsidR="00072983">
          <w:rPr>
            <w:noProof/>
            <w:webHidden/>
          </w:rPr>
          <w:fldChar w:fldCharType="end"/>
        </w:r>
      </w:hyperlink>
    </w:p>
    <w:p w14:paraId="4970CBB0" w14:textId="3CF5BFCC" w:rsidR="00072983" w:rsidRDefault="007E17B8">
      <w:pPr>
        <w:pStyle w:val="TableofFigures"/>
        <w:rPr>
          <w:rFonts w:asciiTheme="minorHAnsi" w:eastAsiaTheme="minorEastAsia" w:hAnsiTheme="minorHAnsi" w:cstheme="minorBidi"/>
          <w:noProof/>
          <w:sz w:val="22"/>
        </w:rPr>
      </w:pPr>
      <w:hyperlink w:anchor="_Toc131591568" w:history="1">
        <w:r w:rsidR="00072983" w:rsidRPr="005478EF">
          <w:rPr>
            <w:rStyle w:val="Hyperlink"/>
            <w:noProof/>
          </w:rPr>
          <w:t>Figure 6.1.2</w:t>
        </w:r>
        <w:r w:rsidR="00072983">
          <w:rPr>
            <w:rFonts w:asciiTheme="minorHAnsi" w:eastAsiaTheme="minorEastAsia" w:hAnsiTheme="minorHAnsi" w:cstheme="minorBidi"/>
            <w:noProof/>
            <w:sz w:val="22"/>
          </w:rPr>
          <w:tab/>
        </w:r>
        <w:r w:rsidR="00072983" w:rsidRPr="005478EF">
          <w:rPr>
            <w:rStyle w:val="Hyperlink"/>
            <w:noProof/>
          </w:rPr>
          <w:t>Comparison of afforestation and deforestation rates with the changing NZ ETS unit price from 2004 to 2020</w:t>
        </w:r>
        <w:r w:rsidR="00072983">
          <w:rPr>
            <w:noProof/>
            <w:webHidden/>
          </w:rPr>
          <w:tab/>
        </w:r>
        <w:r w:rsidR="00072983">
          <w:rPr>
            <w:noProof/>
            <w:webHidden/>
          </w:rPr>
          <w:fldChar w:fldCharType="begin"/>
        </w:r>
        <w:r w:rsidR="00072983">
          <w:rPr>
            <w:noProof/>
            <w:webHidden/>
          </w:rPr>
          <w:instrText xml:space="preserve"> PAGEREF _Toc131591568 \h </w:instrText>
        </w:r>
        <w:r w:rsidR="00072983">
          <w:rPr>
            <w:noProof/>
            <w:webHidden/>
          </w:rPr>
        </w:r>
        <w:r w:rsidR="00072983">
          <w:rPr>
            <w:noProof/>
            <w:webHidden/>
          </w:rPr>
          <w:fldChar w:fldCharType="separate"/>
        </w:r>
        <w:r w:rsidR="008F39B8">
          <w:rPr>
            <w:noProof/>
            <w:webHidden/>
          </w:rPr>
          <w:t>241</w:t>
        </w:r>
        <w:r w:rsidR="00072983">
          <w:rPr>
            <w:noProof/>
            <w:webHidden/>
          </w:rPr>
          <w:fldChar w:fldCharType="end"/>
        </w:r>
      </w:hyperlink>
    </w:p>
    <w:p w14:paraId="07430824" w14:textId="35C1099E" w:rsidR="00072983" w:rsidRDefault="007E17B8">
      <w:pPr>
        <w:pStyle w:val="TableofFigures"/>
        <w:rPr>
          <w:rFonts w:asciiTheme="minorHAnsi" w:eastAsiaTheme="minorEastAsia" w:hAnsiTheme="minorHAnsi" w:cstheme="minorBidi"/>
          <w:noProof/>
          <w:sz w:val="22"/>
        </w:rPr>
      </w:pPr>
      <w:hyperlink w:anchor="_Toc131591569" w:history="1">
        <w:r w:rsidR="00072983" w:rsidRPr="005478EF">
          <w:rPr>
            <w:rStyle w:val="Hyperlink"/>
            <w:noProof/>
          </w:rPr>
          <w:t>Figure 6.2.1</w:t>
        </w:r>
        <w:r w:rsidR="00072983">
          <w:rPr>
            <w:rFonts w:asciiTheme="minorHAnsi" w:eastAsiaTheme="minorEastAsia" w:hAnsiTheme="minorHAnsi" w:cstheme="minorBidi"/>
            <w:noProof/>
            <w:sz w:val="22"/>
          </w:rPr>
          <w:tab/>
        </w:r>
        <w:r w:rsidR="00072983" w:rsidRPr="005478EF">
          <w:rPr>
            <w:rStyle w:val="Hyperlink"/>
            <w:noProof/>
          </w:rPr>
          <w:t>Land use map of New Zealand as at 31 December 2016</w:t>
        </w:r>
        <w:r w:rsidR="00072983">
          <w:rPr>
            <w:noProof/>
            <w:webHidden/>
          </w:rPr>
          <w:tab/>
        </w:r>
        <w:r w:rsidR="00072983">
          <w:rPr>
            <w:noProof/>
            <w:webHidden/>
          </w:rPr>
          <w:fldChar w:fldCharType="begin"/>
        </w:r>
        <w:r w:rsidR="00072983">
          <w:rPr>
            <w:noProof/>
            <w:webHidden/>
          </w:rPr>
          <w:instrText xml:space="preserve"> PAGEREF _Toc131591569 \h </w:instrText>
        </w:r>
        <w:r w:rsidR="00072983">
          <w:rPr>
            <w:noProof/>
            <w:webHidden/>
          </w:rPr>
        </w:r>
        <w:r w:rsidR="00072983">
          <w:rPr>
            <w:noProof/>
            <w:webHidden/>
          </w:rPr>
          <w:fldChar w:fldCharType="separate"/>
        </w:r>
        <w:r w:rsidR="008F39B8">
          <w:rPr>
            <w:noProof/>
            <w:webHidden/>
          </w:rPr>
          <w:t>248</w:t>
        </w:r>
        <w:r w:rsidR="00072983">
          <w:rPr>
            <w:noProof/>
            <w:webHidden/>
          </w:rPr>
          <w:fldChar w:fldCharType="end"/>
        </w:r>
      </w:hyperlink>
    </w:p>
    <w:p w14:paraId="319C0174" w14:textId="5091C93D" w:rsidR="00072983" w:rsidRDefault="007E17B8">
      <w:pPr>
        <w:pStyle w:val="TableofFigures"/>
        <w:rPr>
          <w:rFonts w:asciiTheme="minorHAnsi" w:eastAsiaTheme="minorEastAsia" w:hAnsiTheme="minorHAnsi" w:cstheme="minorBidi"/>
          <w:noProof/>
          <w:sz w:val="22"/>
        </w:rPr>
      </w:pPr>
      <w:hyperlink w:anchor="_Toc131591570" w:history="1">
        <w:r w:rsidR="00072983" w:rsidRPr="005478EF">
          <w:rPr>
            <w:rStyle w:val="Hyperlink"/>
            <w:noProof/>
          </w:rPr>
          <w:t>Figure 6.3.1</w:t>
        </w:r>
        <w:r w:rsidR="00072983">
          <w:rPr>
            <w:rFonts w:asciiTheme="minorHAnsi" w:eastAsiaTheme="minorEastAsia" w:hAnsiTheme="minorHAnsi" w:cstheme="minorBidi"/>
            <w:noProof/>
            <w:sz w:val="22"/>
          </w:rPr>
          <w:tab/>
        </w:r>
        <w:r w:rsidR="00072983" w:rsidRPr="005478EF">
          <w:rPr>
            <w:rStyle w:val="Hyperlink"/>
            <w:noProof/>
          </w:rPr>
          <w:t>Annual areas of afforestation/reforestation in New Zealand from 1990 to 2021</w:t>
        </w:r>
        <w:r w:rsidR="00072983">
          <w:rPr>
            <w:noProof/>
            <w:webHidden/>
          </w:rPr>
          <w:tab/>
        </w:r>
        <w:r w:rsidR="00072983">
          <w:rPr>
            <w:noProof/>
            <w:webHidden/>
          </w:rPr>
          <w:fldChar w:fldCharType="begin"/>
        </w:r>
        <w:r w:rsidR="00072983">
          <w:rPr>
            <w:noProof/>
            <w:webHidden/>
          </w:rPr>
          <w:instrText xml:space="preserve"> PAGEREF _Toc131591570 \h </w:instrText>
        </w:r>
        <w:r w:rsidR="00072983">
          <w:rPr>
            <w:noProof/>
            <w:webHidden/>
          </w:rPr>
        </w:r>
        <w:r w:rsidR="00072983">
          <w:rPr>
            <w:noProof/>
            <w:webHidden/>
          </w:rPr>
          <w:fldChar w:fldCharType="separate"/>
        </w:r>
        <w:r w:rsidR="008F39B8">
          <w:rPr>
            <w:noProof/>
            <w:webHidden/>
          </w:rPr>
          <w:t>255</w:t>
        </w:r>
        <w:r w:rsidR="00072983">
          <w:rPr>
            <w:noProof/>
            <w:webHidden/>
          </w:rPr>
          <w:fldChar w:fldCharType="end"/>
        </w:r>
      </w:hyperlink>
    </w:p>
    <w:p w14:paraId="48F097B5" w14:textId="13152C18" w:rsidR="00072983" w:rsidRDefault="007E17B8">
      <w:pPr>
        <w:pStyle w:val="TableofFigures"/>
        <w:rPr>
          <w:rFonts w:asciiTheme="minorHAnsi" w:eastAsiaTheme="minorEastAsia" w:hAnsiTheme="minorHAnsi" w:cstheme="minorBidi"/>
          <w:noProof/>
          <w:sz w:val="22"/>
        </w:rPr>
      </w:pPr>
      <w:hyperlink w:anchor="_Toc131591571" w:history="1">
        <w:r w:rsidR="00072983" w:rsidRPr="005478EF">
          <w:rPr>
            <w:rStyle w:val="Hyperlink"/>
            <w:noProof/>
          </w:rPr>
          <w:t>Figure 6.3.2</w:t>
        </w:r>
        <w:r w:rsidR="00072983">
          <w:rPr>
            <w:rFonts w:asciiTheme="minorHAnsi" w:eastAsiaTheme="minorEastAsia" w:hAnsiTheme="minorHAnsi" w:cstheme="minorBidi"/>
            <w:noProof/>
            <w:sz w:val="22"/>
          </w:rPr>
          <w:tab/>
        </w:r>
        <w:r w:rsidR="00072983" w:rsidRPr="005478EF">
          <w:rPr>
            <w:rStyle w:val="Hyperlink"/>
            <w:noProof/>
          </w:rPr>
          <w:t>New Zealand’s net carbon dioxide removals by post-1989 planted forests from 1990 to 2021</w:t>
        </w:r>
        <w:r w:rsidR="00072983">
          <w:rPr>
            <w:noProof/>
            <w:webHidden/>
          </w:rPr>
          <w:tab/>
        </w:r>
        <w:r w:rsidR="00072983">
          <w:rPr>
            <w:noProof/>
            <w:webHidden/>
          </w:rPr>
          <w:fldChar w:fldCharType="begin"/>
        </w:r>
        <w:r w:rsidR="00072983">
          <w:rPr>
            <w:noProof/>
            <w:webHidden/>
          </w:rPr>
          <w:instrText xml:space="preserve"> PAGEREF _Toc131591571 \h </w:instrText>
        </w:r>
        <w:r w:rsidR="00072983">
          <w:rPr>
            <w:noProof/>
            <w:webHidden/>
          </w:rPr>
        </w:r>
        <w:r w:rsidR="00072983">
          <w:rPr>
            <w:noProof/>
            <w:webHidden/>
          </w:rPr>
          <w:fldChar w:fldCharType="separate"/>
        </w:r>
        <w:r w:rsidR="008F39B8">
          <w:rPr>
            <w:noProof/>
            <w:webHidden/>
          </w:rPr>
          <w:t>256</w:t>
        </w:r>
        <w:r w:rsidR="00072983">
          <w:rPr>
            <w:noProof/>
            <w:webHidden/>
          </w:rPr>
          <w:fldChar w:fldCharType="end"/>
        </w:r>
      </w:hyperlink>
    </w:p>
    <w:p w14:paraId="50F8C90E" w14:textId="4DD08769" w:rsidR="00072983" w:rsidRDefault="007E17B8">
      <w:pPr>
        <w:pStyle w:val="TableofFigures"/>
        <w:rPr>
          <w:rFonts w:asciiTheme="minorHAnsi" w:eastAsiaTheme="minorEastAsia" w:hAnsiTheme="minorHAnsi" w:cstheme="minorBidi"/>
          <w:noProof/>
          <w:sz w:val="22"/>
        </w:rPr>
      </w:pPr>
      <w:hyperlink w:anchor="_Toc131591572" w:history="1">
        <w:r w:rsidR="00072983" w:rsidRPr="005478EF">
          <w:rPr>
            <w:rStyle w:val="Hyperlink"/>
            <w:noProof/>
          </w:rPr>
          <w:t>Figure 6.3.3</w:t>
        </w:r>
        <w:r w:rsidR="00072983">
          <w:rPr>
            <w:rFonts w:asciiTheme="minorHAnsi" w:eastAsiaTheme="minorEastAsia" w:hAnsiTheme="minorHAnsi" w:cstheme="minorBidi"/>
            <w:noProof/>
            <w:sz w:val="22"/>
          </w:rPr>
          <w:tab/>
        </w:r>
        <w:r w:rsidR="00072983" w:rsidRPr="005478EF">
          <w:rPr>
            <w:rStyle w:val="Hyperlink"/>
            <w:noProof/>
          </w:rPr>
          <w:t>New Zealand’s area of planted forest harvest (inclusive of deforestation) from 1990 to 2021</w:t>
        </w:r>
        <w:r w:rsidR="00072983">
          <w:rPr>
            <w:noProof/>
            <w:webHidden/>
          </w:rPr>
          <w:tab/>
        </w:r>
        <w:r w:rsidR="00072983">
          <w:rPr>
            <w:noProof/>
            <w:webHidden/>
          </w:rPr>
          <w:fldChar w:fldCharType="begin"/>
        </w:r>
        <w:r w:rsidR="00072983">
          <w:rPr>
            <w:noProof/>
            <w:webHidden/>
          </w:rPr>
          <w:instrText xml:space="preserve"> PAGEREF _Toc131591572 \h </w:instrText>
        </w:r>
        <w:r w:rsidR="00072983">
          <w:rPr>
            <w:noProof/>
            <w:webHidden/>
          </w:rPr>
        </w:r>
        <w:r w:rsidR="00072983">
          <w:rPr>
            <w:noProof/>
            <w:webHidden/>
          </w:rPr>
          <w:fldChar w:fldCharType="separate"/>
        </w:r>
        <w:r w:rsidR="008F39B8">
          <w:rPr>
            <w:noProof/>
            <w:webHidden/>
          </w:rPr>
          <w:t>257</w:t>
        </w:r>
        <w:r w:rsidR="00072983">
          <w:rPr>
            <w:noProof/>
            <w:webHidden/>
          </w:rPr>
          <w:fldChar w:fldCharType="end"/>
        </w:r>
      </w:hyperlink>
    </w:p>
    <w:p w14:paraId="7345F0CE" w14:textId="7A147E53" w:rsidR="00072983" w:rsidRDefault="007E17B8">
      <w:pPr>
        <w:pStyle w:val="TableofFigures"/>
        <w:rPr>
          <w:rFonts w:asciiTheme="minorHAnsi" w:eastAsiaTheme="minorEastAsia" w:hAnsiTheme="minorHAnsi" w:cstheme="minorBidi"/>
          <w:noProof/>
          <w:sz w:val="22"/>
        </w:rPr>
      </w:pPr>
      <w:hyperlink w:anchor="_Toc131591573" w:history="1">
        <w:r w:rsidR="00072983" w:rsidRPr="005478EF">
          <w:rPr>
            <w:rStyle w:val="Hyperlink"/>
            <w:noProof/>
          </w:rPr>
          <w:t>Figure 6.3.4</w:t>
        </w:r>
        <w:r w:rsidR="00072983">
          <w:rPr>
            <w:rFonts w:asciiTheme="minorHAnsi" w:eastAsiaTheme="minorEastAsia" w:hAnsiTheme="minorHAnsi" w:cstheme="minorBidi"/>
            <w:noProof/>
            <w:sz w:val="22"/>
          </w:rPr>
          <w:tab/>
        </w:r>
        <w:r w:rsidR="00072983" w:rsidRPr="005478EF">
          <w:rPr>
            <w:rStyle w:val="Hyperlink"/>
            <w:noProof/>
          </w:rPr>
          <w:t xml:space="preserve">New Zealand’s area of deforestation since 1990, by </w:t>
        </w:r>
        <w:r w:rsidR="00072983" w:rsidRPr="005478EF">
          <w:rPr>
            <w:rStyle w:val="Hyperlink"/>
            <w:i/>
            <w:noProof/>
          </w:rPr>
          <w:t>Forest land</w:t>
        </w:r>
        <w:r w:rsidR="00072983" w:rsidRPr="005478EF">
          <w:rPr>
            <w:rStyle w:val="Hyperlink"/>
            <w:noProof/>
          </w:rPr>
          <w:t xml:space="preserve"> category</w:t>
        </w:r>
        <w:r w:rsidR="00072983">
          <w:rPr>
            <w:noProof/>
            <w:webHidden/>
          </w:rPr>
          <w:tab/>
        </w:r>
        <w:r w:rsidR="00072983">
          <w:rPr>
            <w:noProof/>
            <w:webHidden/>
          </w:rPr>
          <w:fldChar w:fldCharType="begin"/>
        </w:r>
        <w:r w:rsidR="00072983">
          <w:rPr>
            <w:noProof/>
            <w:webHidden/>
          </w:rPr>
          <w:instrText xml:space="preserve"> PAGEREF _Toc131591573 \h </w:instrText>
        </w:r>
        <w:r w:rsidR="00072983">
          <w:rPr>
            <w:noProof/>
            <w:webHidden/>
          </w:rPr>
        </w:r>
        <w:r w:rsidR="00072983">
          <w:rPr>
            <w:noProof/>
            <w:webHidden/>
          </w:rPr>
          <w:fldChar w:fldCharType="separate"/>
        </w:r>
        <w:r w:rsidR="008F39B8">
          <w:rPr>
            <w:noProof/>
            <w:webHidden/>
          </w:rPr>
          <w:t>258</w:t>
        </w:r>
        <w:r w:rsidR="00072983">
          <w:rPr>
            <w:noProof/>
            <w:webHidden/>
          </w:rPr>
          <w:fldChar w:fldCharType="end"/>
        </w:r>
      </w:hyperlink>
    </w:p>
    <w:p w14:paraId="5D33FD0E" w14:textId="36EFB490" w:rsidR="00072983" w:rsidRDefault="007E17B8">
      <w:pPr>
        <w:pStyle w:val="TableofFigures"/>
        <w:rPr>
          <w:rFonts w:asciiTheme="minorHAnsi" w:eastAsiaTheme="minorEastAsia" w:hAnsiTheme="minorHAnsi" w:cstheme="minorBidi"/>
          <w:noProof/>
          <w:sz w:val="22"/>
        </w:rPr>
      </w:pPr>
      <w:hyperlink w:anchor="_Toc131591574" w:history="1">
        <w:r w:rsidR="00072983" w:rsidRPr="005478EF">
          <w:rPr>
            <w:rStyle w:val="Hyperlink"/>
            <w:noProof/>
          </w:rPr>
          <w:t>Figure 6.3.5</w:t>
        </w:r>
        <w:r w:rsidR="00072983">
          <w:rPr>
            <w:rFonts w:asciiTheme="minorHAnsi" w:eastAsiaTheme="minorEastAsia" w:hAnsiTheme="minorHAnsi" w:cstheme="minorBidi"/>
            <w:noProof/>
            <w:sz w:val="22"/>
          </w:rPr>
          <w:tab/>
        </w:r>
        <w:r w:rsidR="00072983" w:rsidRPr="005478EF">
          <w:rPr>
            <w:rStyle w:val="Hyperlink"/>
            <w:noProof/>
          </w:rPr>
          <w:t>Location of New Zealand’s pre-1990 forest carbon monitoring plots</w:t>
        </w:r>
        <w:r w:rsidR="00072983">
          <w:rPr>
            <w:noProof/>
            <w:webHidden/>
          </w:rPr>
          <w:tab/>
        </w:r>
        <w:r w:rsidR="00072983">
          <w:rPr>
            <w:noProof/>
            <w:webHidden/>
          </w:rPr>
          <w:fldChar w:fldCharType="begin"/>
        </w:r>
        <w:r w:rsidR="00072983">
          <w:rPr>
            <w:noProof/>
            <w:webHidden/>
          </w:rPr>
          <w:instrText xml:space="preserve"> PAGEREF _Toc131591574 \h </w:instrText>
        </w:r>
        <w:r w:rsidR="00072983">
          <w:rPr>
            <w:noProof/>
            <w:webHidden/>
          </w:rPr>
        </w:r>
        <w:r w:rsidR="00072983">
          <w:rPr>
            <w:noProof/>
            <w:webHidden/>
          </w:rPr>
          <w:fldChar w:fldCharType="separate"/>
        </w:r>
        <w:r w:rsidR="008F39B8">
          <w:rPr>
            <w:noProof/>
            <w:webHidden/>
          </w:rPr>
          <w:t>260</w:t>
        </w:r>
        <w:r w:rsidR="00072983">
          <w:rPr>
            <w:noProof/>
            <w:webHidden/>
          </w:rPr>
          <w:fldChar w:fldCharType="end"/>
        </w:r>
      </w:hyperlink>
    </w:p>
    <w:p w14:paraId="2E7FE36B" w14:textId="77910464" w:rsidR="00072983" w:rsidRDefault="007E17B8">
      <w:pPr>
        <w:pStyle w:val="TableofFigures"/>
        <w:rPr>
          <w:rFonts w:asciiTheme="minorHAnsi" w:eastAsiaTheme="minorEastAsia" w:hAnsiTheme="minorHAnsi" w:cstheme="minorBidi"/>
          <w:noProof/>
          <w:sz w:val="22"/>
        </w:rPr>
      </w:pPr>
      <w:hyperlink w:anchor="_Toc131591575" w:history="1">
        <w:r w:rsidR="00072983" w:rsidRPr="005478EF">
          <w:rPr>
            <w:rStyle w:val="Hyperlink"/>
            <w:noProof/>
          </w:rPr>
          <w:t>Figure 6.3.6</w:t>
        </w:r>
        <w:r w:rsidR="00072983">
          <w:rPr>
            <w:rFonts w:asciiTheme="minorHAnsi" w:eastAsiaTheme="minorEastAsia" w:hAnsiTheme="minorHAnsi" w:cstheme="minorBidi"/>
            <w:noProof/>
            <w:sz w:val="22"/>
          </w:rPr>
          <w:tab/>
        </w:r>
        <w:r w:rsidR="00072983" w:rsidRPr="005478EF">
          <w:rPr>
            <w:rStyle w:val="Hyperlink"/>
            <w:noProof/>
          </w:rPr>
          <w:t>Location of New Zealand’s post-1989 forest plots</w:t>
        </w:r>
        <w:r w:rsidR="00072983">
          <w:rPr>
            <w:noProof/>
            <w:webHidden/>
          </w:rPr>
          <w:tab/>
        </w:r>
        <w:r w:rsidR="00072983">
          <w:rPr>
            <w:noProof/>
            <w:webHidden/>
          </w:rPr>
          <w:fldChar w:fldCharType="begin"/>
        </w:r>
        <w:r w:rsidR="00072983">
          <w:rPr>
            <w:noProof/>
            <w:webHidden/>
          </w:rPr>
          <w:instrText xml:space="preserve"> PAGEREF _Toc131591575 \h </w:instrText>
        </w:r>
        <w:r w:rsidR="00072983">
          <w:rPr>
            <w:noProof/>
            <w:webHidden/>
          </w:rPr>
        </w:r>
        <w:r w:rsidR="00072983">
          <w:rPr>
            <w:noProof/>
            <w:webHidden/>
          </w:rPr>
          <w:fldChar w:fldCharType="separate"/>
        </w:r>
        <w:r w:rsidR="008F39B8">
          <w:rPr>
            <w:noProof/>
            <w:webHidden/>
          </w:rPr>
          <w:t>261</w:t>
        </w:r>
        <w:r w:rsidR="00072983">
          <w:rPr>
            <w:noProof/>
            <w:webHidden/>
          </w:rPr>
          <w:fldChar w:fldCharType="end"/>
        </w:r>
      </w:hyperlink>
    </w:p>
    <w:p w14:paraId="7B4457D5" w14:textId="0702B47D" w:rsidR="00072983" w:rsidRDefault="007E17B8">
      <w:pPr>
        <w:pStyle w:val="TableofFigures"/>
        <w:rPr>
          <w:rFonts w:asciiTheme="minorHAnsi" w:eastAsiaTheme="minorEastAsia" w:hAnsiTheme="minorHAnsi" w:cstheme="minorBidi"/>
          <w:noProof/>
          <w:sz w:val="22"/>
        </w:rPr>
      </w:pPr>
      <w:hyperlink w:anchor="_Toc131591576" w:history="1">
        <w:r w:rsidR="00072983" w:rsidRPr="005478EF">
          <w:rPr>
            <w:rStyle w:val="Hyperlink"/>
            <w:noProof/>
          </w:rPr>
          <w:t>Figure 6.9.1</w:t>
        </w:r>
        <w:r w:rsidR="00072983">
          <w:rPr>
            <w:rFonts w:asciiTheme="minorHAnsi" w:eastAsiaTheme="minorEastAsia" w:hAnsiTheme="minorHAnsi" w:cstheme="minorBidi"/>
            <w:noProof/>
            <w:sz w:val="22"/>
          </w:rPr>
          <w:tab/>
        </w:r>
        <w:r w:rsidR="00072983" w:rsidRPr="005478EF">
          <w:rPr>
            <w:rStyle w:val="Hyperlink"/>
            <w:noProof/>
          </w:rPr>
          <w:t>Volume of roundwood produced and exported from 1990 to 2021</w:t>
        </w:r>
        <w:r w:rsidR="00072983">
          <w:rPr>
            <w:noProof/>
            <w:webHidden/>
          </w:rPr>
          <w:tab/>
        </w:r>
        <w:r w:rsidR="00072983">
          <w:rPr>
            <w:noProof/>
            <w:webHidden/>
          </w:rPr>
          <w:fldChar w:fldCharType="begin"/>
        </w:r>
        <w:r w:rsidR="00072983">
          <w:rPr>
            <w:noProof/>
            <w:webHidden/>
          </w:rPr>
          <w:instrText xml:space="preserve"> PAGEREF _Toc131591576 \h </w:instrText>
        </w:r>
        <w:r w:rsidR="00072983">
          <w:rPr>
            <w:noProof/>
            <w:webHidden/>
          </w:rPr>
        </w:r>
        <w:r w:rsidR="00072983">
          <w:rPr>
            <w:noProof/>
            <w:webHidden/>
          </w:rPr>
          <w:fldChar w:fldCharType="separate"/>
        </w:r>
        <w:r w:rsidR="008F39B8">
          <w:rPr>
            <w:noProof/>
            <w:webHidden/>
          </w:rPr>
          <w:t>289</w:t>
        </w:r>
        <w:r w:rsidR="00072983">
          <w:rPr>
            <w:noProof/>
            <w:webHidden/>
          </w:rPr>
          <w:fldChar w:fldCharType="end"/>
        </w:r>
      </w:hyperlink>
    </w:p>
    <w:p w14:paraId="07EA9007" w14:textId="69701CF9" w:rsidR="00072983" w:rsidRDefault="007E17B8">
      <w:pPr>
        <w:pStyle w:val="TableofFigures"/>
        <w:rPr>
          <w:rFonts w:asciiTheme="minorHAnsi" w:eastAsiaTheme="minorEastAsia" w:hAnsiTheme="minorHAnsi" w:cstheme="minorBidi"/>
          <w:noProof/>
          <w:sz w:val="22"/>
        </w:rPr>
      </w:pPr>
      <w:hyperlink w:anchor="_Toc131591577" w:history="1">
        <w:r w:rsidR="00072983" w:rsidRPr="005478EF">
          <w:rPr>
            <w:rStyle w:val="Hyperlink"/>
            <w:noProof/>
          </w:rPr>
          <w:t xml:space="preserve">Figure 7.1.1 </w:t>
        </w:r>
        <w:r w:rsidR="00072983">
          <w:rPr>
            <w:rFonts w:asciiTheme="minorHAnsi" w:eastAsiaTheme="minorEastAsia" w:hAnsiTheme="minorHAnsi" w:cstheme="minorBidi"/>
            <w:noProof/>
            <w:sz w:val="22"/>
          </w:rPr>
          <w:tab/>
        </w:r>
        <w:r w:rsidR="00072983" w:rsidRPr="005478EF">
          <w:rPr>
            <w:rStyle w:val="Hyperlink"/>
            <w:noProof/>
          </w:rPr>
          <w:t>Flows of solid waste generation and disposal in New Zealand</w:t>
        </w:r>
        <w:r w:rsidR="00072983">
          <w:rPr>
            <w:noProof/>
            <w:webHidden/>
          </w:rPr>
          <w:tab/>
        </w:r>
        <w:r w:rsidR="00072983">
          <w:rPr>
            <w:noProof/>
            <w:webHidden/>
          </w:rPr>
          <w:fldChar w:fldCharType="begin"/>
        </w:r>
        <w:r w:rsidR="00072983">
          <w:rPr>
            <w:noProof/>
            <w:webHidden/>
          </w:rPr>
          <w:instrText xml:space="preserve"> PAGEREF _Toc131591577 \h </w:instrText>
        </w:r>
        <w:r w:rsidR="00072983">
          <w:rPr>
            <w:noProof/>
            <w:webHidden/>
          </w:rPr>
        </w:r>
        <w:r w:rsidR="00072983">
          <w:rPr>
            <w:noProof/>
            <w:webHidden/>
          </w:rPr>
          <w:fldChar w:fldCharType="separate"/>
        </w:r>
        <w:r w:rsidR="008F39B8">
          <w:rPr>
            <w:noProof/>
            <w:webHidden/>
          </w:rPr>
          <w:t>305</w:t>
        </w:r>
        <w:r w:rsidR="00072983">
          <w:rPr>
            <w:noProof/>
            <w:webHidden/>
          </w:rPr>
          <w:fldChar w:fldCharType="end"/>
        </w:r>
      </w:hyperlink>
    </w:p>
    <w:p w14:paraId="4CA40395" w14:textId="65ABD4D1" w:rsidR="00072983" w:rsidRDefault="007E17B8">
      <w:pPr>
        <w:pStyle w:val="TableofFigures"/>
        <w:rPr>
          <w:rFonts w:asciiTheme="minorHAnsi" w:eastAsiaTheme="minorEastAsia" w:hAnsiTheme="minorHAnsi" w:cstheme="minorBidi"/>
          <w:noProof/>
          <w:sz w:val="22"/>
        </w:rPr>
      </w:pPr>
      <w:hyperlink w:anchor="_Toc131591578" w:history="1">
        <w:r w:rsidR="00072983" w:rsidRPr="005478EF">
          <w:rPr>
            <w:rStyle w:val="Hyperlink"/>
            <w:noProof/>
          </w:rPr>
          <w:t xml:space="preserve">Figure 7.1.2 </w:t>
        </w:r>
        <w:r w:rsidR="00072983">
          <w:rPr>
            <w:rFonts w:asciiTheme="minorHAnsi" w:eastAsiaTheme="minorEastAsia" w:hAnsiTheme="minorHAnsi" w:cstheme="minorBidi"/>
            <w:noProof/>
            <w:sz w:val="22"/>
          </w:rPr>
          <w:tab/>
        </w:r>
        <w:r w:rsidR="00072983" w:rsidRPr="005478EF">
          <w:rPr>
            <w:rStyle w:val="Hyperlink"/>
            <w:noProof/>
          </w:rPr>
          <w:t xml:space="preserve">Profile of emissions from New Zealand’s Waste sector by source category from </w:t>
        </w:r>
        <w:r w:rsidR="00072983" w:rsidRPr="005478EF">
          <w:rPr>
            <w:rStyle w:val="Hyperlink"/>
            <w:bCs/>
            <w:noProof/>
          </w:rPr>
          <w:t>1990</w:t>
        </w:r>
        <w:r w:rsidR="00072983" w:rsidRPr="005478EF">
          <w:rPr>
            <w:rStyle w:val="Hyperlink"/>
            <w:noProof/>
          </w:rPr>
          <w:t> to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_Toc131591578 \h </w:instrText>
        </w:r>
        <w:r w:rsidR="00072983">
          <w:rPr>
            <w:noProof/>
            <w:webHidden/>
          </w:rPr>
        </w:r>
        <w:r w:rsidR="00072983">
          <w:rPr>
            <w:noProof/>
            <w:webHidden/>
          </w:rPr>
          <w:fldChar w:fldCharType="separate"/>
        </w:r>
        <w:r w:rsidR="008F39B8">
          <w:rPr>
            <w:noProof/>
            <w:webHidden/>
          </w:rPr>
          <w:t>306</w:t>
        </w:r>
        <w:r w:rsidR="00072983">
          <w:rPr>
            <w:noProof/>
            <w:webHidden/>
          </w:rPr>
          <w:fldChar w:fldCharType="end"/>
        </w:r>
      </w:hyperlink>
    </w:p>
    <w:p w14:paraId="4B2A36F5" w14:textId="649D9D05" w:rsidR="00072983" w:rsidRDefault="007E17B8">
      <w:pPr>
        <w:pStyle w:val="TableofFigures"/>
        <w:rPr>
          <w:rFonts w:asciiTheme="minorHAnsi" w:eastAsiaTheme="minorEastAsia" w:hAnsiTheme="minorHAnsi" w:cstheme="minorBidi"/>
          <w:noProof/>
          <w:sz w:val="22"/>
        </w:rPr>
      </w:pPr>
      <w:hyperlink w:anchor="_Toc131591579" w:history="1">
        <w:r w:rsidR="00072983" w:rsidRPr="005478EF">
          <w:rPr>
            <w:rStyle w:val="Hyperlink"/>
            <w:noProof/>
          </w:rPr>
          <w:t xml:space="preserve">Figure 7.1.3 </w:t>
        </w:r>
        <w:r w:rsidR="00072983">
          <w:rPr>
            <w:rFonts w:asciiTheme="minorHAnsi" w:eastAsiaTheme="minorEastAsia" w:hAnsiTheme="minorHAnsi" w:cstheme="minorBidi"/>
            <w:noProof/>
            <w:sz w:val="22"/>
          </w:rPr>
          <w:tab/>
        </w:r>
        <w:r w:rsidR="00072983" w:rsidRPr="005478EF">
          <w:rPr>
            <w:rStyle w:val="Hyperlink"/>
            <w:noProof/>
          </w:rPr>
          <w:t>Change in New Zealand’s emissions from the Waste sector by source category from </w:t>
        </w:r>
        <w:r w:rsidR="00072983" w:rsidRPr="005478EF">
          <w:rPr>
            <w:rStyle w:val="Hyperlink"/>
            <w:bCs/>
            <w:noProof/>
          </w:rPr>
          <w:t>1990</w:t>
        </w:r>
        <w:r w:rsidR="00072983" w:rsidRPr="005478EF">
          <w:rPr>
            <w:rStyle w:val="Hyperlink"/>
            <w:noProof/>
          </w:rPr>
          <w:t> to </w:t>
        </w:r>
        <w:r w:rsidR="00072983" w:rsidRPr="005478EF">
          <w:rPr>
            <w:rStyle w:val="Hyperlink"/>
            <w:bCs/>
            <w:noProof/>
          </w:rPr>
          <w:t>2021</w:t>
        </w:r>
        <w:r w:rsidR="00072983">
          <w:rPr>
            <w:noProof/>
            <w:webHidden/>
          </w:rPr>
          <w:tab/>
        </w:r>
        <w:r w:rsidR="00072983">
          <w:rPr>
            <w:noProof/>
            <w:webHidden/>
          </w:rPr>
          <w:fldChar w:fldCharType="begin"/>
        </w:r>
        <w:r w:rsidR="00072983">
          <w:rPr>
            <w:noProof/>
            <w:webHidden/>
          </w:rPr>
          <w:instrText xml:space="preserve"> PAGEREF _Toc131591579 \h </w:instrText>
        </w:r>
        <w:r w:rsidR="00072983">
          <w:rPr>
            <w:noProof/>
            <w:webHidden/>
          </w:rPr>
        </w:r>
        <w:r w:rsidR="00072983">
          <w:rPr>
            <w:noProof/>
            <w:webHidden/>
          </w:rPr>
          <w:fldChar w:fldCharType="separate"/>
        </w:r>
        <w:r w:rsidR="008F39B8">
          <w:rPr>
            <w:noProof/>
            <w:webHidden/>
          </w:rPr>
          <w:t>307</w:t>
        </w:r>
        <w:r w:rsidR="00072983">
          <w:rPr>
            <w:noProof/>
            <w:webHidden/>
          </w:rPr>
          <w:fldChar w:fldCharType="end"/>
        </w:r>
      </w:hyperlink>
    </w:p>
    <w:p w14:paraId="2D8B27F3" w14:textId="7527E52C" w:rsidR="00072983" w:rsidRDefault="007E17B8">
      <w:pPr>
        <w:pStyle w:val="TableofFigures"/>
        <w:rPr>
          <w:rFonts w:asciiTheme="minorHAnsi" w:eastAsiaTheme="minorEastAsia" w:hAnsiTheme="minorHAnsi" w:cstheme="minorBidi"/>
          <w:noProof/>
          <w:sz w:val="22"/>
        </w:rPr>
      </w:pPr>
      <w:hyperlink w:anchor="_Toc131591580" w:history="1">
        <w:r w:rsidR="00072983" w:rsidRPr="005478EF">
          <w:rPr>
            <w:rStyle w:val="Hyperlink"/>
            <w:noProof/>
          </w:rPr>
          <w:t xml:space="preserve">Figure 7.1.4 </w:t>
        </w:r>
        <w:r w:rsidR="00072983">
          <w:rPr>
            <w:rFonts w:asciiTheme="minorHAnsi" w:eastAsiaTheme="minorEastAsia" w:hAnsiTheme="minorHAnsi" w:cstheme="minorBidi"/>
            <w:noProof/>
            <w:sz w:val="22"/>
          </w:rPr>
          <w:tab/>
        </w:r>
        <w:r w:rsidR="00072983" w:rsidRPr="005478EF">
          <w:rPr>
            <w:rStyle w:val="Hyperlink"/>
            <w:noProof/>
          </w:rPr>
          <w:t>Tier 1 quality checks for the Waste sector</w:t>
        </w:r>
        <w:r w:rsidR="00072983">
          <w:rPr>
            <w:noProof/>
            <w:webHidden/>
          </w:rPr>
          <w:tab/>
        </w:r>
        <w:r w:rsidR="00072983">
          <w:rPr>
            <w:noProof/>
            <w:webHidden/>
          </w:rPr>
          <w:fldChar w:fldCharType="begin"/>
        </w:r>
        <w:r w:rsidR="00072983">
          <w:rPr>
            <w:noProof/>
            <w:webHidden/>
          </w:rPr>
          <w:instrText xml:space="preserve"> PAGEREF _Toc131591580 \h </w:instrText>
        </w:r>
        <w:r w:rsidR="00072983">
          <w:rPr>
            <w:noProof/>
            <w:webHidden/>
          </w:rPr>
        </w:r>
        <w:r w:rsidR="00072983">
          <w:rPr>
            <w:noProof/>
            <w:webHidden/>
          </w:rPr>
          <w:fldChar w:fldCharType="separate"/>
        </w:r>
        <w:r w:rsidR="008F39B8">
          <w:rPr>
            <w:noProof/>
            <w:webHidden/>
          </w:rPr>
          <w:t>309</w:t>
        </w:r>
        <w:r w:rsidR="00072983">
          <w:rPr>
            <w:noProof/>
            <w:webHidden/>
          </w:rPr>
          <w:fldChar w:fldCharType="end"/>
        </w:r>
      </w:hyperlink>
    </w:p>
    <w:p w14:paraId="4E88720A" w14:textId="23CFF780" w:rsidR="00072983" w:rsidRDefault="007E17B8">
      <w:pPr>
        <w:pStyle w:val="TableofFigures"/>
        <w:rPr>
          <w:rFonts w:asciiTheme="minorHAnsi" w:eastAsiaTheme="minorEastAsia" w:hAnsiTheme="minorHAnsi" w:cstheme="minorBidi"/>
          <w:noProof/>
          <w:sz w:val="22"/>
        </w:rPr>
      </w:pPr>
      <w:hyperlink w:anchor="_Toc131591581" w:history="1">
        <w:r w:rsidR="00072983" w:rsidRPr="005478EF">
          <w:rPr>
            <w:rStyle w:val="Hyperlink"/>
            <w:noProof/>
          </w:rPr>
          <w:t xml:space="preserve">Figure 8.1.1 </w:t>
        </w:r>
        <w:r w:rsidR="00072983">
          <w:rPr>
            <w:rFonts w:asciiTheme="minorHAnsi" w:eastAsiaTheme="minorEastAsia" w:hAnsiTheme="minorHAnsi" w:cstheme="minorBidi"/>
            <w:noProof/>
            <w:sz w:val="22"/>
          </w:rPr>
          <w:tab/>
        </w:r>
        <w:r w:rsidR="00072983" w:rsidRPr="005478EF">
          <w:rPr>
            <w:rStyle w:val="Hyperlink"/>
            <w:noProof/>
          </w:rPr>
          <w:t>Map of Tokelau</w:t>
        </w:r>
        <w:r w:rsidR="00072983">
          <w:rPr>
            <w:noProof/>
            <w:webHidden/>
          </w:rPr>
          <w:tab/>
        </w:r>
        <w:r w:rsidR="00072983">
          <w:rPr>
            <w:noProof/>
            <w:webHidden/>
          </w:rPr>
          <w:fldChar w:fldCharType="begin"/>
        </w:r>
        <w:r w:rsidR="00072983">
          <w:rPr>
            <w:noProof/>
            <w:webHidden/>
          </w:rPr>
          <w:instrText xml:space="preserve"> PAGEREF _Toc131591581 \h </w:instrText>
        </w:r>
        <w:r w:rsidR="00072983">
          <w:rPr>
            <w:noProof/>
            <w:webHidden/>
          </w:rPr>
        </w:r>
        <w:r w:rsidR="00072983">
          <w:rPr>
            <w:noProof/>
            <w:webHidden/>
          </w:rPr>
          <w:fldChar w:fldCharType="separate"/>
        </w:r>
        <w:r w:rsidR="008F39B8">
          <w:rPr>
            <w:noProof/>
            <w:webHidden/>
          </w:rPr>
          <w:t>345</w:t>
        </w:r>
        <w:r w:rsidR="00072983">
          <w:rPr>
            <w:noProof/>
            <w:webHidden/>
          </w:rPr>
          <w:fldChar w:fldCharType="end"/>
        </w:r>
      </w:hyperlink>
    </w:p>
    <w:p w14:paraId="638BBE86" w14:textId="26406169" w:rsidR="00072983" w:rsidRDefault="007E17B8">
      <w:pPr>
        <w:pStyle w:val="TableofFigures"/>
        <w:rPr>
          <w:rFonts w:asciiTheme="minorHAnsi" w:eastAsiaTheme="minorEastAsia" w:hAnsiTheme="minorHAnsi" w:cstheme="minorBidi"/>
          <w:noProof/>
          <w:sz w:val="22"/>
        </w:rPr>
      </w:pPr>
      <w:hyperlink w:anchor="_Toc131591582" w:history="1">
        <w:r w:rsidR="00072983" w:rsidRPr="005478EF">
          <w:rPr>
            <w:rStyle w:val="Hyperlink"/>
            <w:noProof/>
          </w:rPr>
          <w:t xml:space="preserve">Figure 8.1.2 </w:t>
        </w:r>
        <w:r w:rsidR="00072983">
          <w:rPr>
            <w:rFonts w:asciiTheme="minorHAnsi" w:eastAsiaTheme="minorEastAsia" w:hAnsiTheme="minorHAnsi" w:cstheme="minorBidi"/>
            <w:noProof/>
            <w:sz w:val="22"/>
          </w:rPr>
          <w:tab/>
        </w:r>
        <w:r w:rsidR="00072983" w:rsidRPr="005478EF">
          <w:rPr>
            <w:rStyle w:val="Hyperlink"/>
            <w:noProof/>
          </w:rPr>
          <w:t>Tokelau’s emissions by gas in 2021</w:t>
        </w:r>
        <w:r w:rsidR="00072983">
          <w:rPr>
            <w:noProof/>
            <w:webHidden/>
          </w:rPr>
          <w:tab/>
        </w:r>
        <w:r w:rsidR="00072983">
          <w:rPr>
            <w:noProof/>
            <w:webHidden/>
          </w:rPr>
          <w:fldChar w:fldCharType="begin"/>
        </w:r>
        <w:r w:rsidR="00072983">
          <w:rPr>
            <w:noProof/>
            <w:webHidden/>
          </w:rPr>
          <w:instrText xml:space="preserve"> PAGEREF _Toc131591582 \h </w:instrText>
        </w:r>
        <w:r w:rsidR="00072983">
          <w:rPr>
            <w:noProof/>
            <w:webHidden/>
          </w:rPr>
        </w:r>
        <w:r w:rsidR="00072983">
          <w:rPr>
            <w:noProof/>
            <w:webHidden/>
          </w:rPr>
          <w:fldChar w:fldCharType="separate"/>
        </w:r>
        <w:r w:rsidR="008F39B8">
          <w:rPr>
            <w:noProof/>
            <w:webHidden/>
          </w:rPr>
          <w:t>351</w:t>
        </w:r>
        <w:r w:rsidR="00072983">
          <w:rPr>
            <w:noProof/>
            <w:webHidden/>
          </w:rPr>
          <w:fldChar w:fldCharType="end"/>
        </w:r>
      </w:hyperlink>
    </w:p>
    <w:p w14:paraId="0319132B" w14:textId="1F523C73" w:rsidR="00072983" w:rsidRDefault="007E17B8">
      <w:pPr>
        <w:pStyle w:val="TableofFigures"/>
        <w:rPr>
          <w:rFonts w:asciiTheme="minorHAnsi" w:eastAsiaTheme="minorEastAsia" w:hAnsiTheme="minorHAnsi" w:cstheme="minorBidi"/>
          <w:noProof/>
          <w:sz w:val="22"/>
        </w:rPr>
      </w:pPr>
      <w:hyperlink w:anchor="_Toc131591583" w:history="1">
        <w:r w:rsidR="00072983" w:rsidRPr="005478EF">
          <w:rPr>
            <w:rStyle w:val="Hyperlink"/>
            <w:noProof/>
          </w:rPr>
          <w:t xml:space="preserve">Figure 8.1.3 </w:t>
        </w:r>
        <w:r w:rsidR="00072983">
          <w:rPr>
            <w:rFonts w:asciiTheme="minorHAnsi" w:eastAsiaTheme="minorEastAsia" w:hAnsiTheme="minorHAnsi" w:cstheme="minorBidi"/>
            <w:noProof/>
            <w:sz w:val="22"/>
          </w:rPr>
          <w:tab/>
        </w:r>
        <w:r w:rsidR="00072983" w:rsidRPr="005478EF">
          <w:rPr>
            <w:rStyle w:val="Hyperlink"/>
            <w:noProof/>
          </w:rPr>
          <w:t>Tokelau’s emissions by sector in 2021</w:t>
        </w:r>
        <w:r w:rsidR="00072983">
          <w:rPr>
            <w:noProof/>
            <w:webHidden/>
          </w:rPr>
          <w:tab/>
        </w:r>
        <w:r w:rsidR="00072983">
          <w:rPr>
            <w:noProof/>
            <w:webHidden/>
          </w:rPr>
          <w:fldChar w:fldCharType="begin"/>
        </w:r>
        <w:r w:rsidR="00072983">
          <w:rPr>
            <w:noProof/>
            <w:webHidden/>
          </w:rPr>
          <w:instrText xml:space="preserve"> PAGEREF _Toc131591583 \h </w:instrText>
        </w:r>
        <w:r w:rsidR="00072983">
          <w:rPr>
            <w:noProof/>
            <w:webHidden/>
          </w:rPr>
        </w:r>
        <w:r w:rsidR="00072983">
          <w:rPr>
            <w:noProof/>
            <w:webHidden/>
          </w:rPr>
          <w:fldChar w:fldCharType="separate"/>
        </w:r>
        <w:r w:rsidR="008F39B8">
          <w:rPr>
            <w:noProof/>
            <w:webHidden/>
          </w:rPr>
          <w:t>351</w:t>
        </w:r>
        <w:r w:rsidR="00072983">
          <w:rPr>
            <w:noProof/>
            <w:webHidden/>
          </w:rPr>
          <w:fldChar w:fldCharType="end"/>
        </w:r>
      </w:hyperlink>
    </w:p>
    <w:p w14:paraId="74010F17" w14:textId="79D46CB2" w:rsidR="00072983" w:rsidRDefault="007E17B8">
      <w:pPr>
        <w:pStyle w:val="TableofFigures"/>
        <w:rPr>
          <w:rFonts w:asciiTheme="minorHAnsi" w:eastAsiaTheme="minorEastAsia" w:hAnsiTheme="minorHAnsi" w:cstheme="minorBidi"/>
          <w:noProof/>
          <w:sz w:val="22"/>
        </w:rPr>
      </w:pPr>
      <w:hyperlink w:anchor="_Toc131591584" w:history="1">
        <w:r w:rsidR="00072983" w:rsidRPr="005478EF">
          <w:rPr>
            <w:rStyle w:val="Hyperlink"/>
            <w:rFonts w:eastAsia="Calibri"/>
            <w:noProof/>
          </w:rPr>
          <w:t xml:space="preserve">Figure 8.1.4 </w:t>
        </w:r>
        <w:r w:rsidR="00072983">
          <w:rPr>
            <w:rFonts w:asciiTheme="minorHAnsi" w:eastAsiaTheme="minorEastAsia" w:hAnsiTheme="minorHAnsi" w:cstheme="minorBidi"/>
            <w:noProof/>
            <w:sz w:val="22"/>
          </w:rPr>
          <w:tab/>
        </w:r>
        <w:r w:rsidR="00072983" w:rsidRPr="005478EF">
          <w:rPr>
            <w:rStyle w:val="Hyperlink"/>
            <w:rFonts w:eastAsia="Calibri"/>
            <w:noProof/>
          </w:rPr>
          <w:t>Emissions by sector for Tokelau (kt CO</w:t>
        </w:r>
        <w:r w:rsidR="00072983" w:rsidRPr="005478EF">
          <w:rPr>
            <w:rStyle w:val="Hyperlink"/>
            <w:rFonts w:eastAsia="Calibri"/>
            <w:noProof/>
            <w:vertAlign w:val="subscript"/>
          </w:rPr>
          <w:t>2</w:t>
        </w:r>
        <w:r w:rsidR="00072983" w:rsidRPr="005478EF">
          <w:rPr>
            <w:rStyle w:val="Hyperlink"/>
            <w:rFonts w:eastAsia="Calibri"/>
            <w:noProof/>
          </w:rPr>
          <w:t>-e) from 1990 to 2021</w:t>
        </w:r>
        <w:r w:rsidR="00072983">
          <w:rPr>
            <w:noProof/>
            <w:webHidden/>
          </w:rPr>
          <w:tab/>
        </w:r>
        <w:r w:rsidR="00072983">
          <w:rPr>
            <w:noProof/>
            <w:webHidden/>
          </w:rPr>
          <w:fldChar w:fldCharType="begin"/>
        </w:r>
        <w:r w:rsidR="00072983">
          <w:rPr>
            <w:noProof/>
            <w:webHidden/>
          </w:rPr>
          <w:instrText xml:space="preserve"> PAGEREF _Toc131591584 \h </w:instrText>
        </w:r>
        <w:r w:rsidR="00072983">
          <w:rPr>
            <w:noProof/>
            <w:webHidden/>
          </w:rPr>
        </w:r>
        <w:r w:rsidR="00072983">
          <w:rPr>
            <w:noProof/>
            <w:webHidden/>
          </w:rPr>
          <w:fldChar w:fldCharType="separate"/>
        </w:r>
        <w:r w:rsidR="008F39B8">
          <w:rPr>
            <w:noProof/>
            <w:webHidden/>
          </w:rPr>
          <w:t>352</w:t>
        </w:r>
        <w:r w:rsidR="00072983">
          <w:rPr>
            <w:noProof/>
            <w:webHidden/>
          </w:rPr>
          <w:fldChar w:fldCharType="end"/>
        </w:r>
      </w:hyperlink>
    </w:p>
    <w:p w14:paraId="67ACE795" w14:textId="68124785" w:rsidR="00072983" w:rsidRDefault="007E17B8">
      <w:pPr>
        <w:pStyle w:val="TableofFigures"/>
        <w:rPr>
          <w:rFonts w:asciiTheme="minorHAnsi" w:eastAsiaTheme="minorEastAsia" w:hAnsiTheme="minorHAnsi" w:cstheme="minorBidi"/>
          <w:noProof/>
          <w:sz w:val="22"/>
        </w:rPr>
      </w:pPr>
      <w:hyperlink w:anchor="_Toc131591585" w:history="1">
        <w:r w:rsidR="00072983" w:rsidRPr="005478EF">
          <w:rPr>
            <w:rStyle w:val="Hyperlink"/>
            <w:noProof/>
          </w:rPr>
          <w:t xml:space="preserve">Figure 8.2.1 </w:t>
        </w:r>
        <w:r w:rsidR="00072983">
          <w:rPr>
            <w:rFonts w:asciiTheme="minorHAnsi" w:eastAsiaTheme="minorEastAsia" w:hAnsiTheme="minorHAnsi" w:cstheme="minorBidi"/>
            <w:noProof/>
            <w:sz w:val="22"/>
          </w:rPr>
          <w:tab/>
        </w:r>
        <w:r w:rsidR="00072983" w:rsidRPr="005478EF">
          <w:rPr>
            <w:rStyle w:val="Hyperlink"/>
            <w:noProof/>
          </w:rPr>
          <w:t>Cluster block diagram for Tokelau’s solar project</w:t>
        </w:r>
        <w:r w:rsidR="00072983">
          <w:rPr>
            <w:noProof/>
            <w:webHidden/>
          </w:rPr>
          <w:tab/>
        </w:r>
        <w:r w:rsidR="00072983">
          <w:rPr>
            <w:noProof/>
            <w:webHidden/>
          </w:rPr>
          <w:fldChar w:fldCharType="begin"/>
        </w:r>
        <w:r w:rsidR="00072983">
          <w:rPr>
            <w:noProof/>
            <w:webHidden/>
          </w:rPr>
          <w:instrText xml:space="preserve"> PAGEREF _Toc131591585 \h </w:instrText>
        </w:r>
        <w:r w:rsidR="00072983">
          <w:rPr>
            <w:noProof/>
            <w:webHidden/>
          </w:rPr>
        </w:r>
        <w:r w:rsidR="00072983">
          <w:rPr>
            <w:noProof/>
            <w:webHidden/>
          </w:rPr>
          <w:fldChar w:fldCharType="separate"/>
        </w:r>
        <w:r w:rsidR="008F39B8">
          <w:rPr>
            <w:noProof/>
            <w:webHidden/>
          </w:rPr>
          <w:t>354</w:t>
        </w:r>
        <w:r w:rsidR="00072983">
          <w:rPr>
            <w:noProof/>
            <w:webHidden/>
          </w:rPr>
          <w:fldChar w:fldCharType="end"/>
        </w:r>
      </w:hyperlink>
    </w:p>
    <w:p w14:paraId="6F3D2434" w14:textId="0356015A" w:rsidR="00072983" w:rsidRDefault="007E17B8">
      <w:pPr>
        <w:pStyle w:val="TableofFigures"/>
        <w:rPr>
          <w:rFonts w:asciiTheme="minorHAnsi" w:eastAsiaTheme="minorEastAsia" w:hAnsiTheme="minorHAnsi" w:cstheme="minorBidi"/>
          <w:noProof/>
          <w:sz w:val="22"/>
        </w:rPr>
      </w:pPr>
      <w:hyperlink w:anchor="_Toc131591586" w:history="1">
        <w:r w:rsidR="00072983" w:rsidRPr="005478EF">
          <w:rPr>
            <w:rStyle w:val="Hyperlink"/>
            <w:rFonts w:eastAsia="Calibri"/>
            <w:noProof/>
          </w:rPr>
          <w:t xml:space="preserve">Figure 8.2.2 </w:t>
        </w:r>
        <w:r w:rsidR="00072983">
          <w:rPr>
            <w:rFonts w:asciiTheme="minorHAnsi" w:eastAsiaTheme="minorEastAsia" w:hAnsiTheme="minorHAnsi" w:cstheme="minorBidi"/>
            <w:noProof/>
            <w:sz w:val="22"/>
          </w:rPr>
          <w:tab/>
        </w:r>
        <w:r w:rsidR="00072983" w:rsidRPr="005478EF">
          <w:rPr>
            <w:rStyle w:val="Hyperlink"/>
            <w:rFonts w:eastAsia="Calibri"/>
            <w:noProof/>
          </w:rPr>
          <w:t>Energy emissions by category for Tokelau (kt CO</w:t>
        </w:r>
        <w:r w:rsidR="00072983" w:rsidRPr="005478EF">
          <w:rPr>
            <w:rStyle w:val="Hyperlink"/>
            <w:rFonts w:eastAsia="Calibri"/>
            <w:noProof/>
            <w:vertAlign w:val="subscript"/>
          </w:rPr>
          <w:t>2</w:t>
        </w:r>
        <w:r w:rsidR="00072983" w:rsidRPr="005478EF">
          <w:rPr>
            <w:rStyle w:val="Hyperlink"/>
            <w:rFonts w:eastAsia="Calibri"/>
            <w:noProof/>
          </w:rPr>
          <w:t>-e) from 1990 to 2021</w:t>
        </w:r>
        <w:r w:rsidR="00072983">
          <w:rPr>
            <w:noProof/>
            <w:webHidden/>
          </w:rPr>
          <w:tab/>
        </w:r>
        <w:r w:rsidR="00072983">
          <w:rPr>
            <w:noProof/>
            <w:webHidden/>
          </w:rPr>
          <w:fldChar w:fldCharType="begin"/>
        </w:r>
        <w:r w:rsidR="00072983">
          <w:rPr>
            <w:noProof/>
            <w:webHidden/>
          </w:rPr>
          <w:instrText xml:space="preserve"> PAGEREF _Toc131591586 \h </w:instrText>
        </w:r>
        <w:r w:rsidR="00072983">
          <w:rPr>
            <w:noProof/>
            <w:webHidden/>
          </w:rPr>
        </w:r>
        <w:r w:rsidR="00072983">
          <w:rPr>
            <w:noProof/>
            <w:webHidden/>
          </w:rPr>
          <w:fldChar w:fldCharType="separate"/>
        </w:r>
        <w:r w:rsidR="008F39B8">
          <w:rPr>
            <w:noProof/>
            <w:webHidden/>
          </w:rPr>
          <w:t>355</w:t>
        </w:r>
        <w:r w:rsidR="00072983">
          <w:rPr>
            <w:noProof/>
            <w:webHidden/>
          </w:rPr>
          <w:fldChar w:fldCharType="end"/>
        </w:r>
      </w:hyperlink>
    </w:p>
    <w:p w14:paraId="17A2E05F" w14:textId="32064DA6" w:rsidR="00072983" w:rsidRDefault="007E17B8">
      <w:pPr>
        <w:pStyle w:val="TableofFigures"/>
        <w:rPr>
          <w:rFonts w:asciiTheme="minorHAnsi" w:eastAsiaTheme="minorEastAsia" w:hAnsiTheme="minorHAnsi" w:cstheme="minorBidi"/>
          <w:noProof/>
          <w:sz w:val="22"/>
        </w:rPr>
      </w:pPr>
      <w:hyperlink w:anchor="_Toc131591587" w:history="1">
        <w:r w:rsidR="00072983" w:rsidRPr="005478EF">
          <w:rPr>
            <w:rStyle w:val="Hyperlink"/>
            <w:rFonts w:eastAsia="Calibri"/>
            <w:noProof/>
          </w:rPr>
          <w:t xml:space="preserve">Figure 8.3.1 </w:t>
        </w:r>
        <w:r w:rsidR="00072983">
          <w:rPr>
            <w:rFonts w:asciiTheme="minorHAnsi" w:eastAsiaTheme="minorEastAsia" w:hAnsiTheme="minorHAnsi" w:cstheme="minorBidi"/>
            <w:noProof/>
            <w:sz w:val="22"/>
          </w:rPr>
          <w:tab/>
        </w:r>
        <w:r w:rsidR="00072983" w:rsidRPr="005478EF">
          <w:rPr>
            <w:rStyle w:val="Hyperlink"/>
            <w:rFonts w:eastAsia="Calibri"/>
            <w:noProof/>
          </w:rPr>
          <w:t>IPPU emissions by category for Tokelau (kt CO</w:t>
        </w:r>
        <w:r w:rsidR="00072983" w:rsidRPr="005478EF">
          <w:rPr>
            <w:rStyle w:val="Hyperlink"/>
            <w:rFonts w:eastAsia="Calibri"/>
            <w:noProof/>
            <w:vertAlign w:val="subscript"/>
          </w:rPr>
          <w:t>2</w:t>
        </w:r>
        <w:r w:rsidR="00072983" w:rsidRPr="005478EF">
          <w:rPr>
            <w:rStyle w:val="Hyperlink"/>
            <w:rFonts w:eastAsia="Calibri"/>
            <w:noProof/>
          </w:rPr>
          <w:t>-e) from 1990 to 2021</w:t>
        </w:r>
        <w:r w:rsidR="00072983">
          <w:rPr>
            <w:noProof/>
            <w:webHidden/>
          </w:rPr>
          <w:tab/>
        </w:r>
        <w:r w:rsidR="00072983">
          <w:rPr>
            <w:noProof/>
            <w:webHidden/>
          </w:rPr>
          <w:fldChar w:fldCharType="begin"/>
        </w:r>
        <w:r w:rsidR="00072983">
          <w:rPr>
            <w:noProof/>
            <w:webHidden/>
          </w:rPr>
          <w:instrText xml:space="preserve"> PAGEREF _Toc131591587 \h </w:instrText>
        </w:r>
        <w:r w:rsidR="00072983">
          <w:rPr>
            <w:noProof/>
            <w:webHidden/>
          </w:rPr>
        </w:r>
        <w:r w:rsidR="00072983">
          <w:rPr>
            <w:noProof/>
            <w:webHidden/>
          </w:rPr>
          <w:fldChar w:fldCharType="separate"/>
        </w:r>
        <w:r w:rsidR="008F39B8">
          <w:rPr>
            <w:noProof/>
            <w:webHidden/>
          </w:rPr>
          <w:t>361</w:t>
        </w:r>
        <w:r w:rsidR="00072983">
          <w:rPr>
            <w:noProof/>
            <w:webHidden/>
          </w:rPr>
          <w:fldChar w:fldCharType="end"/>
        </w:r>
      </w:hyperlink>
    </w:p>
    <w:p w14:paraId="5E864B31" w14:textId="72DDBC39" w:rsidR="00072983" w:rsidRDefault="007E17B8">
      <w:pPr>
        <w:pStyle w:val="TableofFigures"/>
        <w:rPr>
          <w:rFonts w:asciiTheme="minorHAnsi" w:eastAsiaTheme="minorEastAsia" w:hAnsiTheme="minorHAnsi" w:cstheme="minorBidi"/>
          <w:noProof/>
          <w:sz w:val="22"/>
        </w:rPr>
      </w:pPr>
      <w:hyperlink w:anchor="_Toc131591588" w:history="1">
        <w:r w:rsidR="00072983" w:rsidRPr="005478EF">
          <w:rPr>
            <w:rStyle w:val="Hyperlink"/>
            <w:rFonts w:eastAsia="Calibri"/>
            <w:noProof/>
          </w:rPr>
          <w:t xml:space="preserve">Figure 8.3.2 </w:t>
        </w:r>
        <w:r w:rsidR="00072983">
          <w:rPr>
            <w:rFonts w:asciiTheme="minorHAnsi" w:eastAsiaTheme="minorEastAsia" w:hAnsiTheme="minorHAnsi" w:cstheme="minorBidi"/>
            <w:noProof/>
            <w:sz w:val="22"/>
          </w:rPr>
          <w:tab/>
        </w:r>
        <w:r w:rsidR="00072983" w:rsidRPr="005478EF">
          <w:rPr>
            <w:rStyle w:val="Hyperlink"/>
            <w:rFonts w:eastAsia="Calibri"/>
            <w:noProof/>
          </w:rPr>
          <w:t>Agriculture emissions by category for Tokelau (kt CO</w:t>
        </w:r>
        <w:r w:rsidR="00072983" w:rsidRPr="005478EF">
          <w:rPr>
            <w:rStyle w:val="Hyperlink"/>
            <w:rFonts w:eastAsia="Calibri"/>
            <w:noProof/>
            <w:vertAlign w:val="subscript"/>
          </w:rPr>
          <w:t>2</w:t>
        </w:r>
        <w:r w:rsidR="00072983" w:rsidRPr="005478EF">
          <w:rPr>
            <w:rStyle w:val="Hyperlink"/>
            <w:rFonts w:eastAsia="Calibri"/>
            <w:noProof/>
          </w:rPr>
          <w:t>-e) from 1990 to 2021</w:t>
        </w:r>
        <w:r w:rsidR="00072983">
          <w:rPr>
            <w:noProof/>
            <w:webHidden/>
          </w:rPr>
          <w:tab/>
        </w:r>
        <w:r w:rsidR="00072983">
          <w:rPr>
            <w:noProof/>
            <w:webHidden/>
          </w:rPr>
          <w:fldChar w:fldCharType="begin"/>
        </w:r>
        <w:r w:rsidR="00072983">
          <w:rPr>
            <w:noProof/>
            <w:webHidden/>
          </w:rPr>
          <w:instrText xml:space="preserve"> PAGEREF _Toc131591588 \h </w:instrText>
        </w:r>
        <w:r w:rsidR="00072983">
          <w:rPr>
            <w:noProof/>
            <w:webHidden/>
          </w:rPr>
        </w:r>
        <w:r w:rsidR="00072983">
          <w:rPr>
            <w:noProof/>
            <w:webHidden/>
          </w:rPr>
          <w:fldChar w:fldCharType="separate"/>
        </w:r>
        <w:r w:rsidR="008F39B8">
          <w:rPr>
            <w:noProof/>
            <w:webHidden/>
          </w:rPr>
          <w:t>365</w:t>
        </w:r>
        <w:r w:rsidR="00072983">
          <w:rPr>
            <w:noProof/>
            <w:webHidden/>
          </w:rPr>
          <w:fldChar w:fldCharType="end"/>
        </w:r>
      </w:hyperlink>
    </w:p>
    <w:p w14:paraId="60FF76DB" w14:textId="4924BFD7" w:rsidR="00072983" w:rsidRDefault="007E17B8">
      <w:pPr>
        <w:pStyle w:val="TableofFigures"/>
        <w:rPr>
          <w:rFonts w:asciiTheme="minorHAnsi" w:eastAsiaTheme="minorEastAsia" w:hAnsiTheme="minorHAnsi" w:cstheme="minorBidi"/>
          <w:noProof/>
          <w:sz w:val="22"/>
        </w:rPr>
      </w:pPr>
      <w:hyperlink w:anchor="_Toc131591589" w:history="1">
        <w:r w:rsidR="00072983" w:rsidRPr="005478EF">
          <w:rPr>
            <w:rStyle w:val="Hyperlink"/>
            <w:rFonts w:eastAsia="Calibri"/>
            <w:noProof/>
          </w:rPr>
          <w:t xml:space="preserve">Figure 8.5.1 </w:t>
        </w:r>
        <w:r w:rsidR="00072983">
          <w:rPr>
            <w:rFonts w:asciiTheme="minorHAnsi" w:eastAsiaTheme="minorEastAsia" w:hAnsiTheme="minorHAnsi" w:cstheme="minorBidi"/>
            <w:noProof/>
            <w:sz w:val="22"/>
          </w:rPr>
          <w:tab/>
        </w:r>
        <w:r w:rsidR="00072983" w:rsidRPr="005478EF">
          <w:rPr>
            <w:rStyle w:val="Hyperlink"/>
            <w:rFonts w:eastAsia="Calibri"/>
            <w:noProof/>
          </w:rPr>
          <w:t>Waste sector emissions by category for Tokelau (kt CO</w:t>
        </w:r>
        <w:r w:rsidR="00072983" w:rsidRPr="005478EF">
          <w:rPr>
            <w:rStyle w:val="Hyperlink"/>
            <w:rFonts w:eastAsia="Calibri"/>
            <w:noProof/>
            <w:vertAlign w:val="subscript"/>
          </w:rPr>
          <w:t>2</w:t>
        </w:r>
        <w:r w:rsidR="00072983" w:rsidRPr="005478EF">
          <w:rPr>
            <w:rStyle w:val="Hyperlink"/>
            <w:rFonts w:eastAsia="Calibri"/>
            <w:noProof/>
          </w:rPr>
          <w:t>-e) from 1990 to 2021</w:t>
        </w:r>
        <w:r w:rsidR="00072983">
          <w:rPr>
            <w:noProof/>
            <w:webHidden/>
          </w:rPr>
          <w:tab/>
        </w:r>
        <w:r w:rsidR="00072983">
          <w:rPr>
            <w:noProof/>
            <w:webHidden/>
          </w:rPr>
          <w:fldChar w:fldCharType="begin"/>
        </w:r>
        <w:r w:rsidR="00072983">
          <w:rPr>
            <w:noProof/>
            <w:webHidden/>
          </w:rPr>
          <w:instrText xml:space="preserve"> PAGEREF _Toc131591589 \h </w:instrText>
        </w:r>
        <w:r w:rsidR="00072983">
          <w:rPr>
            <w:noProof/>
            <w:webHidden/>
          </w:rPr>
        </w:r>
        <w:r w:rsidR="00072983">
          <w:rPr>
            <w:noProof/>
            <w:webHidden/>
          </w:rPr>
          <w:fldChar w:fldCharType="separate"/>
        </w:r>
        <w:r w:rsidR="008F39B8">
          <w:rPr>
            <w:noProof/>
            <w:webHidden/>
          </w:rPr>
          <w:t>368</w:t>
        </w:r>
        <w:r w:rsidR="00072983">
          <w:rPr>
            <w:noProof/>
            <w:webHidden/>
          </w:rPr>
          <w:fldChar w:fldCharType="end"/>
        </w:r>
      </w:hyperlink>
    </w:p>
    <w:p w14:paraId="437FAA84" w14:textId="3D3ABF55" w:rsidR="00072983" w:rsidRDefault="007E17B8">
      <w:pPr>
        <w:pStyle w:val="TableofFigures"/>
        <w:rPr>
          <w:rFonts w:asciiTheme="minorHAnsi" w:eastAsiaTheme="minorEastAsia" w:hAnsiTheme="minorHAnsi" w:cstheme="minorBidi"/>
          <w:noProof/>
          <w:sz w:val="22"/>
        </w:rPr>
      </w:pPr>
      <w:hyperlink w:anchor="_Toc131591590" w:history="1">
        <w:r w:rsidR="00072983" w:rsidRPr="005478EF">
          <w:rPr>
            <w:rStyle w:val="Hyperlink"/>
            <w:noProof/>
          </w:rPr>
          <w:t>Figure 10.1.1</w:t>
        </w:r>
        <w:r w:rsidR="00072983">
          <w:rPr>
            <w:rFonts w:asciiTheme="minorHAnsi" w:eastAsiaTheme="minorEastAsia" w:hAnsiTheme="minorHAnsi" w:cstheme="minorBidi"/>
            <w:noProof/>
            <w:sz w:val="22"/>
          </w:rPr>
          <w:tab/>
        </w:r>
        <w:r w:rsidR="00072983" w:rsidRPr="005478EF">
          <w:rPr>
            <w:rStyle w:val="Hyperlink"/>
            <w:noProof/>
          </w:rPr>
          <w:t>Effect of recalculations on New Zealand’s gross greenhouse gas emissions estimates from 1990 to 2020</w:t>
        </w:r>
        <w:r w:rsidR="00072983">
          <w:rPr>
            <w:noProof/>
            <w:webHidden/>
          </w:rPr>
          <w:tab/>
        </w:r>
        <w:r w:rsidR="00072983">
          <w:rPr>
            <w:noProof/>
            <w:webHidden/>
          </w:rPr>
          <w:fldChar w:fldCharType="begin"/>
        </w:r>
        <w:r w:rsidR="00072983">
          <w:rPr>
            <w:noProof/>
            <w:webHidden/>
          </w:rPr>
          <w:instrText xml:space="preserve"> PAGEREF _Toc131591590 \h </w:instrText>
        </w:r>
        <w:r w:rsidR="00072983">
          <w:rPr>
            <w:noProof/>
            <w:webHidden/>
          </w:rPr>
        </w:r>
        <w:r w:rsidR="00072983">
          <w:rPr>
            <w:noProof/>
            <w:webHidden/>
          </w:rPr>
          <w:fldChar w:fldCharType="separate"/>
        </w:r>
        <w:r w:rsidR="008F39B8">
          <w:rPr>
            <w:noProof/>
            <w:webHidden/>
          </w:rPr>
          <w:t>377</w:t>
        </w:r>
        <w:r w:rsidR="00072983">
          <w:rPr>
            <w:noProof/>
            <w:webHidden/>
          </w:rPr>
          <w:fldChar w:fldCharType="end"/>
        </w:r>
      </w:hyperlink>
    </w:p>
    <w:p w14:paraId="13BD6691" w14:textId="33E62D7D" w:rsidR="00072983" w:rsidRDefault="007E17B8">
      <w:pPr>
        <w:pStyle w:val="TableofFigures"/>
        <w:rPr>
          <w:rFonts w:asciiTheme="minorHAnsi" w:eastAsiaTheme="minorEastAsia" w:hAnsiTheme="minorHAnsi" w:cstheme="minorBidi"/>
          <w:noProof/>
          <w:sz w:val="22"/>
        </w:rPr>
      </w:pPr>
      <w:hyperlink w:anchor="_Toc131591591" w:history="1">
        <w:r w:rsidR="00072983" w:rsidRPr="005478EF">
          <w:rPr>
            <w:rStyle w:val="Hyperlink"/>
            <w:bCs/>
            <w:noProof/>
          </w:rPr>
          <w:t>Figure 10.1.2</w:t>
        </w:r>
        <w:r w:rsidR="00072983">
          <w:rPr>
            <w:rFonts w:asciiTheme="minorHAnsi" w:eastAsiaTheme="minorEastAsia" w:hAnsiTheme="minorHAnsi" w:cstheme="minorBidi"/>
            <w:noProof/>
            <w:sz w:val="22"/>
          </w:rPr>
          <w:tab/>
        </w:r>
        <w:r w:rsidR="00072983" w:rsidRPr="005478EF">
          <w:rPr>
            <w:rStyle w:val="Hyperlink"/>
            <w:bCs/>
            <w:noProof/>
          </w:rPr>
          <w:t>Effect of changes to activity data on emissions estimates from New Zealand’s Energy sector from 1990 to 20</w:t>
        </w:r>
        <w:r w:rsidR="00072983" w:rsidRPr="005478EF">
          <w:rPr>
            <w:rStyle w:val="Hyperlink"/>
            <w:noProof/>
          </w:rPr>
          <w:t>20</w:t>
        </w:r>
        <w:r w:rsidR="00072983">
          <w:rPr>
            <w:noProof/>
            <w:webHidden/>
          </w:rPr>
          <w:tab/>
        </w:r>
        <w:r w:rsidR="00072983">
          <w:rPr>
            <w:noProof/>
            <w:webHidden/>
          </w:rPr>
          <w:fldChar w:fldCharType="begin"/>
        </w:r>
        <w:r w:rsidR="00072983">
          <w:rPr>
            <w:noProof/>
            <w:webHidden/>
          </w:rPr>
          <w:instrText xml:space="preserve"> PAGEREF _Toc131591591 \h </w:instrText>
        </w:r>
        <w:r w:rsidR="00072983">
          <w:rPr>
            <w:noProof/>
            <w:webHidden/>
          </w:rPr>
        </w:r>
        <w:r w:rsidR="00072983">
          <w:rPr>
            <w:noProof/>
            <w:webHidden/>
          </w:rPr>
          <w:fldChar w:fldCharType="separate"/>
        </w:r>
        <w:r w:rsidR="008F39B8">
          <w:rPr>
            <w:noProof/>
            <w:webHidden/>
          </w:rPr>
          <w:t>379</w:t>
        </w:r>
        <w:r w:rsidR="00072983">
          <w:rPr>
            <w:noProof/>
            <w:webHidden/>
          </w:rPr>
          <w:fldChar w:fldCharType="end"/>
        </w:r>
      </w:hyperlink>
    </w:p>
    <w:p w14:paraId="64148FA2" w14:textId="679CFF0D" w:rsidR="00072983" w:rsidRDefault="007E17B8">
      <w:pPr>
        <w:pStyle w:val="TableofFigures"/>
        <w:rPr>
          <w:rFonts w:asciiTheme="minorHAnsi" w:eastAsiaTheme="minorEastAsia" w:hAnsiTheme="minorHAnsi" w:cstheme="minorBidi"/>
          <w:noProof/>
          <w:sz w:val="22"/>
        </w:rPr>
      </w:pPr>
      <w:hyperlink w:anchor="_Toc131591592" w:history="1">
        <w:r w:rsidR="00072983" w:rsidRPr="005478EF">
          <w:rPr>
            <w:rStyle w:val="Hyperlink"/>
            <w:noProof/>
          </w:rPr>
          <w:t>Figure 10.1.3</w:t>
        </w:r>
        <w:r w:rsidR="00072983">
          <w:rPr>
            <w:rFonts w:asciiTheme="minorHAnsi" w:eastAsiaTheme="minorEastAsia" w:hAnsiTheme="minorHAnsi" w:cstheme="minorBidi"/>
            <w:noProof/>
            <w:sz w:val="22"/>
          </w:rPr>
          <w:tab/>
        </w:r>
        <w:r w:rsidR="00072983" w:rsidRPr="005478EF">
          <w:rPr>
            <w:rStyle w:val="Hyperlink"/>
            <w:noProof/>
          </w:rPr>
          <w:t>Effect of recalculations on emissions estimates from the IPPU sector from 1990 to 2020</w:t>
        </w:r>
        <w:r w:rsidR="00072983">
          <w:rPr>
            <w:noProof/>
            <w:webHidden/>
          </w:rPr>
          <w:tab/>
        </w:r>
        <w:r w:rsidR="00072983">
          <w:rPr>
            <w:noProof/>
            <w:webHidden/>
          </w:rPr>
          <w:fldChar w:fldCharType="begin"/>
        </w:r>
        <w:r w:rsidR="00072983">
          <w:rPr>
            <w:noProof/>
            <w:webHidden/>
          </w:rPr>
          <w:instrText xml:space="preserve"> PAGEREF _Toc131591592 \h </w:instrText>
        </w:r>
        <w:r w:rsidR="00072983">
          <w:rPr>
            <w:noProof/>
            <w:webHidden/>
          </w:rPr>
        </w:r>
        <w:r w:rsidR="00072983">
          <w:rPr>
            <w:noProof/>
            <w:webHidden/>
          </w:rPr>
          <w:fldChar w:fldCharType="separate"/>
        </w:r>
        <w:r w:rsidR="008F39B8">
          <w:rPr>
            <w:noProof/>
            <w:webHidden/>
          </w:rPr>
          <w:t>380</w:t>
        </w:r>
        <w:r w:rsidR="00072983">
          <w:rPr>
            <w:noProof/>
            <w:webHidden/>
          </w:rPr>
          <w:fldChar w:fldCharType="end"/>
        </w:r>
      </w:hyperlink>
    </w:p>
    <w:p w14:paraId="03D71438" w14:textId="25DE92A6" w:rsidR="00072983" w:rsidRDefault="007E17B8">
      <w:pPr>
        <w:pStyle w:val="TableofFigures"/>
        <w:rPr>
          <w:rFonts w:asciiTheme="minorHAnsi" w:eastAsiaTheme="minorEastAsia" w:hAnsiTheme="minorHAnsi" w:cstheme="minorBidi"/>
          <w:noProof/>
          <w:sz w:val="22"/>
        </w:rPr>
      </w:pPr>
      <w:hyperlink w:anchor="_Toc131591593" w:history="1">
        <w:r w:rsidR="00072983" w:rsidRPr="005478EF">
          <w:rPr>
            <w:rStyle w:val="Hyperlink"/>
            <w:noProof/>
          </w:rPr>
          <w:t>Figure 10.1.4</w:t>
        </w:r>
        <w:r w:rsidR="00072983">
          <w:rPr>
            <w:rFonts w:asciiTheme="minorHAnsi" w:eastAsiaTheme="minorEastAsia" w:hAnsiTheme="minorHAnsi" w:cstheme="minorBidi"/>
            <w:noProof/>
            <w:sz w:val="22"/>
          </w:rPr>
          <w:tab/>
        </w:r>
        <w:r w:rsidR="00072983" w:rsidRPr="005478EF">
          <w:rPr>
            <w:rStyle w:val="Hyperlink"/>
            <w:noProof/>
          </w:rPr>
          <w:t>Effect of recalculations on emissions estimates from New Zealand’s Agriculture sector from 1990 to 2020</w:t>
        </w:r>
        <w:r w:rsidR="00072983">
          <w:rPr>
            <w:noProof/>
            <w:webHidden/>
          </w:rPr>
          <w:tab/>
        </w:r>
        <w:r w:rsidR="00072983">
          <w:rPr>
            <w:noProof/>
            <w:webHidden/>
          </w:rPr>
          <w:fldChar w:fldCharType="begin"/>
        </w:r>
        <w:r w:rsidR="00072983">
          <w:rPr>
            <w:noProof/>
            <w:webHidden/>
          </w:rPr>
          <w:instrText xml:space="preserve"> PAGEREF _Toc131591593 \h </w:instrText>
        </w:r>
        <w:r w:rsidR="00072983">
          <w:rPr>
            <w:noProof/>
            <w:webHidden/>
          </w:rPr>
        </w:r>
        <w:r w:rsidR="00072983">
          <w:rPr>
            <w:noProof/>
            <w:webHidden/>
          </w:rPr>
          <w:fldChar w:fldCharType="separate"/>
        </w:r>
        <w:r w:rsidR="008F39B8">
          <w:rPr>
            <w:noProof/>
            <w:webHidden/>
          </w:rPr>
          <w:t>385</w:t>
        </w:r>
        <w:r w:rsidR="00072983">
          <w:rPr>
            <w:noProof/>
            <w:webHidden/>
          </w:rPr>
          <w:fldChar w:fldCharType="end"/>
        </w:r>
      </w:hyperlink>
    </w:p>
    <w:p w14:paraId="6D2F5E11" w14:textId="0B58435A" w:rsidR="00072983" w:rsidRDefault="007E17B8">
      <w:pPr>
        <w:pStyle w:val="TableofFigures"/>
        <w:rPr>
          <w:rFonts w:asciiTheme="minorHAnsi" w:eastAsiaTheme="minorEastAsia" w:hAnsiTheme="minorHAnsi" w:cstheme="minorBidi"/>
          <w:noProof/>
          <w:sz w:val="22"/>
        </w:rPr>
      </w:pPr>
      <w:hyperlink w:anchor="_Toc131591594" w:history="1">
        <w:r w:rsidR="00072983" w:rsidRPr="005478EF">
          <w:rPr>
            <w:rStyle w:val="Hyperlink"/>
            <w:bCs/>
            <w:noProof/>
          </w:rPr>
          <w:t>Figure 10.1.5</w:t>
        </w:r>
        <w:r w:rsidR="00072983">
          <w:rPr>
            <w:rFonts w:asciiTheme="minorHAnsi" w:eastAsiaTheme="minorEastAsia" w:hAnsiTheme="minorHAnsi" w:cstheme="minorBidi"/>
            <w:noProof/>
            <w:sz w:val="22"/>
          </w:rPr>
          <w:tab/>
        </w:r>
        <w:r w:rsidR="00072983" w:rsidRPr="005478EF">
          <w:rPr>
            <w:rStyle w:val="Hyperlink"/>
            <w:bCs/>
            <w:noProof/>
          </w:rPr>
          <w:t>Effect of recalculations on net emissions estimates from New Zealand’s LULUCF sector from 1990 to 2020</w:t>
        </w:r>
        <w:r w:rsidR="00072983">
          <w:rPr>
            <w:noProof/>
            <w:webHidden/>
          </w:rPr>
          <w:tab/>
        </w:r>
        <w:r w:rsidR="00072983">
          <w:rPr>
            <w:noProof/>
            <w:webHidden/>
          </w:rPr>
          <w:fldChar w:fldCharType="begin"/>
        </w:r>
        <w:r w:rsidR="00072983">
          <w:rPr>
            <w:noProof/>
            <w:webHidden/>
          </w:rPr>
          <w:instrText xml:space="preserve"> PAGEREF _Toc131591594 \h </w:instrText>
        </w:r>
        <w:r w:rsidR="00072983">
          <w:rPr>
            <w:noProof/>
            <w:webHidden/>
          </w:rPr>
        </w:r>
        <w:r w:rsidR="00072983">
          <w:rPr>
            <w:noProof/>
            <w:webHidden/>
          </w:rPr>
          <w:fldChar w:fldCharType="separate"/>
        </w:r>
        <w:r w:rsidR="008F39B8">
          <w:rPr>
            <w:noProof/>
            <w:webHidden/>
          </w:rPr>
          <w:t>386</w:t>
        </w:r>
        <w:r w:rsidR="00072983">
          <w:rPr>
            <w:noProof/>
            <w:webHidden/>
          </w:rPr>
          <w:fldChar w:fldCharType="end"/>
        </w:r>
      </w:hyperlink>
    </w:p>
    <w:p w14:paraId="4D389515" w14:textId="6640CBBB" w:rsidR="00072983" w:rsidRDefault="007E17B8">
      <w:pPr>
        <w:pStyle w:val="TableofFigures"/>
        <w:rPr>
          <w:rFonts w:asciiTheme="minorHAnsi" w:eastAsiaTheme="minorEastAsia" w:hAnsiTheme="minorHAnsi" w:cstheme="minorBidi"/>
          <w:noProof/>
          <w:sz w:val="22"/>
        </w:rPr>
      </w:pPr>
      <w:hyperlink w:anchor="_Toc131591595" w:history="1">
        <w:r w:rsidR="00072983" w:rsidRPr="005478EF">
          <w:rPr>
            <w:rStyle w:val="Hyperlink"/>
            <w:bCs/>
            <w:noProof/>
          </w:rPr>
          <w:t>Figure 10.1.6</w:t>
        </w:r>
        <w:r w:rsidR="00072983">
          <w:rPr>
            <w:rFonts w:asciiTheme="minorHAnsi" w:eastAsiaTheme="minorEastAsia" w:hAnsiTheme="minorHAnsi" w:cstheme="minorBidi"/>
            <w:noProof/>
            <w:sz w:val="22"/>
          </w:rPr>
          <w:tab/>
        </w:r>
        <w:r w:rsidR="00072983" w:rsidRPr="005478EF">
          <w:rPr>
            <w:rStyle w:val="Hyperlink"/>
            <w:bCs/>
            <w:noProof/>
          </w:rPr>
          <w:t>Effect of recalculations on emissions estimates from New Zealand’s Waste sector from 1990 to 2020</w:t>
        </w:r>
        <w:r w:rsidR="00072983">
          <w:rPr>
            <w:noProof/>
            <w:webHidden/>
          </w:rPr>
          <w:tab/>
        </w:r>
        <w:r w:rsidR="00072983">
          <w:rPr>
            <w:noProof/>
            <w:webHidden/>
          </w:rPr>
          <w:fldChar w:fldCharType="begin"/>
        </w:r>
        <w:r w:rsidR="00072983">
          <w:rPr>
            <w:noProof/>
            <w:webHidden/>
          </w:rPr>
          <w:instrText xml:space="preserve"> PAGEREF _Toc131591595 \h </w:instrText>
        </w:r>
        <w:r w:rsidR="00072983">
          <w:rPr>
            <w:noProof/>
            <w:webHidden/>
          </w:rPr>
        </w:r>
        <w:r w:rsidR="00072983">
          <w:rPr>
            <w:noProof/>
            <w:webHidden/>
          </w:rPr>
          <w:fldChar w:fldCharType="separate"/>
        </w:r>
        <w:r w:rsidR="008F39B8">
          <w:rPr>
            <w:noProof/>
            <w:webHidden/>
          </w:rPr>
          <w:t>387</w:t>
        </w:r>
        <w:r w:rsidR="00072983">
          <w:rPr>
            <w:noProof/>
            <w:webHidden/>
          </w:rPr>
          <w:fldChar w:fldCharType="end"/>
        </w:r>
      </w:hyperlink>
    </w:p>
    <w:p w14:paraId="0EBC177B" w14:textId="212BDD74" w:rsidR="00072983" w:rsidRDefault="007E17B8">
      <w:pPr>
        <w:pStyle w:val="TableofFigures"/>
        <w:rPr>
          <w:rFonts w:asciiTheme="minorHAnsi" w:eastAsiaTheme="minorEastAsia" w:hAnsiTheme="minorHAnsi" w:cstheme="minorBidi"/>
          <w:noProof/>
          <w:sz w:val="22"/>
        </w:rPr>
      </w:pPr>
      <w:hyperlink w:anchor="_Toc131591596" w:history="1">
        <w:r w:rsidR="00072983" w:rsidRPr="005478EF">
          <w:rPr>
            <w:rStyle w:val="Hyperlink"/>
            <w:bCs/>
            <w:noProof/>
          </w:rPr>
          <w:t>Figure 10.1.7</w:t>
        </w:r>
        <w:r w:rsidR="00072983">
          <w:rPr>
            <w:rFonts w:asciiTheme="minorHAnsi" w:eastAsiaTheme="minorEastAsia" w:hAnsiTheme="minorHAnsi" w:cstheme="minorBidi"/>
            <w:noProof/>
            <w:sz w:val="22"/>
          </w:rPr>
          <w:tab/>
        </w:r>
        <w:r w:rsidR="00072983" w:rsidRPr="005478EF">
          <w:rPr>
            <w:rStyle w:val="Hyperlink"/>
            <w:bCs/>
            <w:noProof/>
          </w:rPr>
          <w:t>Effect of recalculations on emissions estimates from the Tokelau sector from 1990 to 2020</w:t>
        </w:r>
        <w:r w:rsidR="00072983">
          <w:rPr>
            <w:noProof/>
            <w:webHidden/>
          </w:rPr>
          <w:tab/>
        </w:r>
        <w:r w:rsidR="00072983">
          <w:rPr>
            <w:noProof/>
            <w:webHidden/>
          </w:rPr>
          <w:fldChar w:fldCharType="begin"/>
        </w:r>
        <w:r w:rsidR="00072983">
          <w:rPr>
            <w:noProof/>
            <w:webHidden/>
          </w:rPr>
          <w:instrText xml:space="preserve"> PAGEREF _Toc131591596 \h </w:instrText>
        </w:r>
        <w:r w:rsidR="00072983">
          <w:rPr>
            <w:noProof/>
            <w:webHidden/>
          </w:rPr>
        </w:r>
        <w:r w:rsidR="00072983">
          <w:rPr>
            <w:noProof/>
            <w:webHidden/>
          </w:rPr>
          <w:fldChar w:fldCharType="separate"/>
        </w:r>
        <w:r w:rsidR="008F39B8">
          <w:rPr>
            <w:noProof/>
            <w:webHidden/>
          </w:rPr>
          <w:t>388</w:t>
        </w:r>
        <w:r w:rsidR="00072983">
          <w:rPr>
            <w:noProof/>
            <w:webHidden/>
          </w:rPr>
          <w:fldChar w:fldCharType="end"/>
        </w:r>
      </w:hyperlink>
    </w:p>
    <w:p w14:paraId="60DD7CC8" w14:textId="3E817149" w:rsidR="00072983" w:rsidRDefault="007E17B8">
      <w:pPr>
        <w:pStyle w:val="TableofFigures"/>
        <w:rPr>
          <w:rFonts w:asciiTheme="minorHAnsi" w:eastAsiaTheme="minorEastAsia" w:hAnsiTheme="minorHAnsi" w:cstheme="minorBidi"/>
          <w:noProof/>
          <w:sz w:val="22"/>
        </w:rPr>
      </w:pPr>
      <w:hyperlink w:anchor="_Toc131591597" w:history="1">
        <w:r w:rsidR="00072983" w:rsidRPr="005478EF">
          <w:rPr>
            <w:rStyle w:val="Hyperlink"/>
            <w:noProof/>
          </w:rPr>
          <w:t>Figure 11.5.1</w:t>
        </w:r>
        <w:r w:rsidR="00072983">
          <w:rPr>
            <w:rFonts w:asciiTheme="minorHAnsi" w:eastAsiaTheme="minorEastAsia" w:hAnsiTheme="minorHAnsi" w:cstheme="minorBidi"/>
            <w:noProof/>
            <w:sz w:val="22"/>
          </w:rPr>
          <w:tab/>
        </w:r>
        <w:r w:rsidR="00072983" w:rsidRPr="005478EF">
          <w:rPr>
            <w:rStyle w:val="Hyperlink"/>
            <w:noProof/>
          </w:rPr>
          <w:t>Verification of deforestation in New Zealand</w:t>
        </w:r>
        <w:r w:rsidR="00072983">
          <w:rPr>
            <w:noProof/>
            <w:webHidden/>
          </w:rPr>
          <w:tab/>
        </w:r>
        <w:r w:rsidR="00072983">
          <w:rPr>
            <w:noProof/>
            <w:webHidden/>
          </w:rPr>
          <w:fldChar w:fldCharType="begin"/>
        </w:r>
        <w:r w:rsidR="00072983">
          <w:rPr>
            <w:noProof/>
            <w:webHidden/>
          </w:rPr>
          <w:instrText xml:space="preserve"> PAGEREF _Toc131591597 \h </w:instrText>
        </w:r>
        <w:r w:rsidR="00072983">
          <w:rPr>
            <w:noProof/>
            <w:webHidden/>
          </w:rPr>
        </w:r>
        <w:r w:rsidR="00072983">
          <w:rPr>
            <w:noProof/>
            <w:webHidden/>
          </w:rPr>
          <w:fldChar w:fldCharType="separate"/>
        </w:r>
        <w:r w:rsidR="008F39B8">
          <w:rPr>
            <w:noProof/>
            <w:webHidden/>
          </w:rPr>
          <w:t>428</w:t>
        </w:r>
        <w:r w:rsidR="00072983">
          <w:rPr>
            <w:noProof/>
            <w:webHidden/>
          </w:rPr>
          <w:fldChar w:fldCharType="end"/>
        </w:r>
      </w:hyperlink>
    </w:p>
    <w:p w14:paraId="773853FE" w14:textId="2C090037" w:rsidR="00C21B54" w:rsidRPr="00261B7A" w:rsidRDefault="00380AD6" w:rsidP="004514FB">
      <w:pPr>
        <w:pStyle w:val="BodyText"/>
      </w:pPr>
      <w:r w:rsidRPr="00261B7A">
        <w:fldChar w:fldCharType="end"/>
      </w:r>
    </w:p>
    <w:p w14:paraId="0B3774DA" w14:textId="77777777" w:rsidR="004514FB" w:rsidRPr="00261B7A" w:rsidRDefault="004514FB" w:rsidP="004514FB">
      <w:pPr>
        <w:pStyle w:val="BodyText"/>
        <w:sectPr w:rsidR="004514FB" w:rsidRPr="00261B7A" w:rsidSect="00715D39">
          <w:footerReference w:type="even" r:id="rId26"/>
          <w:pgSz w:w="11907" w:h="16840" w:code="9"/>
          <w:pgMar w:top="1418" w:right="1701" w:bottom="1418" w:left="1701" w:header="567" w:footer="567" w:gutter="0"/>
          <w:pgNumType w:fmt="lowerRoman"/>
          <w:cols w:space="720"/>
        </w:sectPr>
      </w:pPr>
    </w:p>
    <w:p w14:paraId="138DA126" w14:textId="77777777" w:rsidR="00C82DF6" w:rsidRPr="00261B7A" w:rsidRDefault="00C82DF6" w:rsidP="00A66007">
      <w:pPr>
        <w:pStyle w:val="Heading1"/>
      </w:pPr>
      <w:bookmarkStart w:id="9" w:name="_Toc99659084"/>
      <w:bookmarkStart w:id="10" w:name="_Toc131591192"/>
      <w:r w:rsidRPr="00261B7A">
        <w:lastRenderedPageBreak/>
        <w:t>Abbreviations</w:t>
      </w:r>
      <w:bookmarkEnd w:id="9"/>
      <w:bookmarkEnd w:id="10"/>
    </w:p>
    <w:tbl>
      <w:tblPr>
        <w:tblW w:w="8618" w:type="dxa"/>
        <w:tblCellMar>
          <w:left w:w="57" w:type="dxa"/>
          <w:right w:w="57" w:type="dxa"/>
        </w:tblCellMar>
        <w:tblLook w:val="04A0" w:firstRow="1" w:lastRow="0" w:firstColumn="1" w:lastColumn="0" w:noHBand="0" w:noVBand="1"/>
      </w:tblPr>
      <w:tblGrid>
        <w:gridCol w:w="1526"/>
        <w:gridCol w:w="7092"/>
      </w:tblGrid>
      <w:tr w:rsidR="00C82DF6" w:rsidRPr="00261B7A" w14:paraId="5EF30815" w14:textId="77777777" w:rsidTr="004610C9">
        <w:tc>
          <w:tcPr>
            <w:tcW w:w="1526" w:type="dxa"/>
            <w:shd w:val="clear" w:color="auto" w:fill="auto"/>
          </w:tcPr>
          <w:p w14:paraId="3B6BF0E4"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AAP</w:t>
            </w:r>
          </w:p>
        </w:tc>
        <w:tc>
          <w:tcPr>
            <w:tcW w:w="7092" w:type="dxa"/>
            <w:shd w:val="clear" w:color="auto" w:fill="auto"/>
          </w:tcPr>
          <w:p w14:paraId="37053C9C"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average animal population</w:t>
            </w:r>
          </w:p>
        </w:tc>
      </w:tr>
      <w:tr w:rsidR="00C82DF6" w:rsidRPr="00261B7A" w14:paraId="553E486A" w14:textId="77777777" w:rsidTr="004610C9">
        <w:tc>
          <w:tcPr>
            <w:tcW w:w="1526" w:type="dxa"/>
            <w:shd w:val="clear" w:color="auto" w:fill="auto"/>
          </w:tcPr>
          <w:p w14:paraId="2C89FE8C"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AAU</w:t>
            </w:r>
          </w:p>
        </w:tc>
        <w:tc>
          <w:tcPr>
            <w:tcW w:w="7092" w:type="dxa"/>
            <w:shd w:val="clear" w:color="auto" w:fill="auto"/>
          </w:tcPr>
          <w:p w14:paraId="44F7106F"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assigned amount unit</w:t>
            </w:r>
          </w:p>
        </w:tc>
      </w:tr>
      <w:tr w:rsidR="00C82DF6" w:rsidRPr="00261B7A" w14:paraId="459BDE48" w14:textId="77777777" w:rsidTr="004610C9">
        <w:tc>
          <w:tcPr>
            <w:tcW w:w="1526" w:type="dxa"/>
            <w:shd w:val="clear" w:color="auto" w:fill="auto"/>
          </w:tcPr>
          <w:p w14:paraId="516CFF65"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AD</w:t>
            </w:r>
          </w:p>
        </w:tc>
        <w:tc>
          <w:tcPr>
            <w:tcW w:w="7092" w:type="dxa"/>
            <w:shd w:val="clear" w:color="auto" w:fill="auto"/>
          </w:tcPr>
          <w:p w14:paraId="5D8EAD51"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activity data</w:t>
            </w:r>
          </w:p>
        </w:tc>
      </w:tr>
      <w:tr w:rsidR="00C82DF6" w:rsidRPr="00261B7A" w14:paraId="1C8F10A0" w14:textId="77777777" w:rsidTr="004610C9">
        <w:tc>
          <w:tcPr>
            <w:tcW w:w="1526" w:type="dxa"/>
            <w:shd w:val="clear" w:color="auto" w:fill="auto"/>
          </w:tcPr>
          <w:p w14:paraId="07AB528A"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AGB</w:t>
            </w:r>
          </w:p>
        </w:tc>
        <w:tc>
          <w:tcPr>
            <w:tcW w:w="7092" w:type="dxa"/>
            <w:shd w:val="clear" w:color="auto" w:fill="auto"/>
          </w:tcPr>
          <w:p w14:paraId="528A3E91"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above-ground biomass</w:t>
            </w:r>
          </w:p>
        </w:tc>
      </w:tr>
      <w:tr w:rsidR="00C82DF6" w:rsidRPr="00261B7A" w14:paraId="0922856B" w14:textId="77777777" w:rsidTr="004610C9">
        <w:tc>
          <w:tcPr>
            <w:tcW w:w="1526" w:type="dxa"/>
            <w:shd w:val="clear" w:color="auto" w:fill="auto"/>
          </w:tcPr>
          <w:p w14:paraId="377D9CB2"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AIC</w:t>
            </w:r>
          </w:p>
        </w:tc>
        <w:tc>
          <w:tcPr>
            <w:tcW w:w="7092" w:type="dxa"/>
            <w:shd w:val="clear" w:color="auto" w:fill="auto"/>
          </w:tcPr>
          <w:p w14:paraId="68F138F2"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Akaike information criterion</w:t>
            </w:r>
          </w:p>
        </w:tc>
      </w:tr>
      <w:tr w:rsidR="00C82DF6" w:rsidRPr="00261B7A" w14:paraId="3B38CAC0" w14:textId="77777777" w:rsidTr="004610C9">
        <w:tc>
          <w:tcPr>
            <w:tcW w:w="1526" w:type="dxa"/>
            <w:shd w:val="clear" w:color="auto" w:fill="auto"/>
          </w:tcPr>
          <w:p w14:paraId="0C6503C2" w14:textId="77777777" w:rsidR="00C82DF6" w:rsidRPr="00261B7A" w:rsidRDefault="00C82DF6" w:rsidP="003A763F">
            <w:pPr>
              <w:pStyle w:val="BodyText"/>
              <w:spacing w:after="0"/>
              <w:rPr>
                <w:rFonts w:eastAsia="Calibri" w:cs="Calibri"/>
                <w:b/>
                <w:bCs/>
                <w:sz w:val="20"/>
                <w:szCs w:val="20"/>
              </w:rPr>
            </w:pPr>
            <w:r w:rsidRPr="00261B7A">
              <w:rPr>
                <w:rFonts w:cs="Calibri"/>
                <w:b/>
                <w:bCs/>
                <w:spacing w:val="-2"/>
                <w:sz w:val="20"/>
                <w:szCs w:val="20"/>
              </w:rPr>
              <w:t>ANZSIC</w:t>
            </w:r>
          </w:p>
        </w:tc>
        <w:tc>
          <w:tcPr>
            <w:tcW w:w="7092" w:type="dxa"/>
            <w:shd w:val="clear" w:color="auto" w:fill="auto"/>
          </w:tcPr>
          <w:p w14:paraId="1A4DF18F" w14:textId="77777777" w:rsidR="00C82DF6" w:rsidRPr="00261B7A" w:rsidRDefault="00C82DF6" w:rsidP="003A763F">
            <w:pPr>
              <w:pStyle w:val="BodyText"/>
              <w:spacing w:after="0"/>
              <w:rPr>
                <w:rFonts w:eastAsia="Calibri" w:cs="Calibri"/>
                <w:sz w:val="20"/>
                <w:szCs w:val="20"/>
              </w:rPr>
            </w:pPr>
            <w:r w:rsidRPr="00261B7A">
              <w:rPr>
                <w:rFonts w:cs="Calibri"/>
                <w:spacing w:val="-2"/>
                <w:sz w:val="20"/>
                <w:szCs w:val="20"/>
              </w:rPr>
              <w:t>Australian and New Zealand Standard Industrial Classification</w:t>
            </w:r>
          </w:p>
        </w:tc>
      </w:tr>
      <w:tr w:rsidR="00C82DF6" w:rsidRPr="00261B7A" w14:paraId="05133861" w14:textId="77777777" w:rsidTr="004610C9">
        <w:tc>
          <w:tcPr>
            <w:tcW w:w="1526" w:type="dxa"/>
            <w:shd w:val="clear" w:color="auto" w:fill="auto"/>
          </w:tcPr>
          <w:p w14:paraId="0CC6EC63" w14:textId="3AA7B3A2" w:rsidR="00C82DF6" w:rsidRPr="00261B7A" w:rsidRDefault="00F03C8D" w:rsidP="003A763F">
            <w:pPr>
              <w:pStyle w:val="BodyText"/>
              <w:spacing w:after="0"/>
              <w:rPr>
                <w:rFonts w:eastAsia="Calibri" w:cs="Calibri"/>
                <w:b/>
                <w:sz w:val="20"/>
                <w:szCs w:val="20"/>
              </w:rPr>
            </w:pPr>
            <w:r w:rsidRPr="00261B7A">
              <w:rPr>
                <w:rFonts w:eastAsia="Calibri" w:cs="Calibri"/>
                <w:b/>
                <w:sz w:val="20"/>
                <w:szCs w:val="20"/>
              </w:rPr>
              <w:t>APC</w:t>
            </w:r>
          </w:p>
        </w:tc>
        <w:tc>
          <w:tcPr>
            <w:tcW w:w="7092" w:type="dxa"/>
            <w:shd w:val="clear" w:color="auto" w:fill="auto"/>
          </w:tcPr>
          <w:p w14:paraId="46675420"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Agricultural Production Census</w:t>
            </w:r>
          </w:p>
        </w:tc>
      </w:tr>
      <w:tr w:rsidR="00C82DF6" w:rsidRPr="00261B7A" w14:paraId="39595B47" w14:textId="77777777" w:rsidTr="004610C9">
        <w:tc>
          <w:tcPr>
            <w:tcW w:w="1526" w:type="dxa"/>
            <w:shd w:val="clear" w:color="auto" w:fill="auto"/>
          </w:tcPr>
          <w:p w14:paraId="4D66922A"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APEC</w:t>
            </w:r>
          </w:p>
        </w:tc>
        <w:tc>
          <w:tcPr>
            <w:tcW w:w="7092" w:type="dxa"/>
            <w:shd w:val="clear" w:color="auto" w:fill="auto"/>
          </w:tcPr>
          <w:p w14:paraId="7302468C"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 xml:space="preserve">Asia-Pacific Economic Cooperation </w:t>
            </w:r>
          </w:p>
        </w:tc>
      </w:tr>
      <w:tr w:rsidR="00C82DF6" w:rsidRPr="00261B7A" w14:paraId="369D8D7F" w14:textId="77777777" w:rsidTr="004610C9">
        <w:tc>
          <w:tcPr>
            <w:tcW w:w="1526" w:type="dxa"/>
            <w:shd w:val="clear" w:color="auto" w:fill="auto"/>
          </w:tcPr>
          <w:p w14:paraId="340F745B"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APS</w:t>
            </w:r>
          </w:p>
        </w:tc>
        <w:tc>
          <w:tcPr>
            <w:tcW w:w="7092" w:type="dxa"/>
            <w:shd w:val="clear" w:color="auto" w:fill="auto"/>
          </w:tcPr>
          <w:p w14:paraId="4FEF9E6D"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Agricultural Production Survey</w:t>
            </w:r>
          </w:p>
        </w:tc>
      </w:tr>
      <w:tr w:rsidR="00C82DF6" w:rsidRPr="00261B7A" w14:paraId="11B7714C" w14:textId="77777777" w:rsidTr="004610C9">
        <w:tc>
          <w:tcPr>
            <w:tcW w:w="1526" w:type="dxa"/>
            <w:shd w:val="clear" w:color="auto" w:fill="auto"/>
          </w:tcPr>
          <w:p w14:paraId="554A0911"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ARR </w:t>
            </w:r>
          </w:p>
        </w:tc>
        <w:tc>
          <w:tcPr>
            <w:tcW w:w="7092" w:type="dxa"/>
            <w:shd w:val="clear" w:color="auto" w:fill="auto"/>
          </w:tcPr>
          <w:p w14:paraId="144AB967"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assessment review report</w:t>
            </w:r>
          </w:p>
        </w:tc>
      </w:tr>
      <w:tr w:rsidR="00C82DF6" w:rsidRPr="00261B7A" w14:paraId="773A0FCF" w14:textId="77777777" w:rsidTr="004610C9">
        <w:tc>
          <w:tcPr>
            <w:tcW w:w="1526" w:type="dxa"/>
            <w:shd w:val="clear" w:color="auto" w:fill="auto"/>
          </w:tcPr>
          <w:p w14:paraId="45823206" w14:textId="01F6DAAF" w:rsidR="00C82DF6" w:rsidRPr="00261B7A" w:rsidRDefault="008B148C" w:rsidP="003A763F">
            <w:pPr>
              <w:pStyle w:val="BodyText"/>
              <w:spacing w:after="0"/>
              <w:rPr>
                <w:rFonts w:eastAsia="Calibri" w:cs="Calibri"/>
                <w:b/>
                <w:sz w:val="20"/>
                <w:szCs w:val="20"/>
              </w:rPr>
            </w:pPr>
            <w:r w:rsidRPr="00261B7A">
              <w:rPr>
                <w:rFonts w:eastAsia="Calibri"/>
                <w:b/>
                <w:bCs/>
              </w:rPr>
              <w:t>BGB</w:t>
            </w:r>
          </w:p>
        </w:tc>
        <w:tc>
          <w:tcPr>
            <w:tcW w:w="7092" w:type="dxa"/>
            <w:shd w:val="clear" w:color="auto" w:fill="auto"/>
          </w:tcPr>
          <w:p w14:paraId="2EC5D99C" w14:textId="2EF60978" w:rsidR="00C82DF6" w:rsidRPr="00261B7A" w:rsidRDefault="00DC2EE6" w:rsidP="003A763F">
            <w:pPr>
              <w:pStyle w:val="BodyText"/>
              <w:spacing w:after="0"/>
              <w:rPr>
                <w:rFonts w:eastAsia="Calibri" w:cs="Calibri"/>
                <w:sz w:val="20"/>
                <w:szCs w:val="20"/>
              </w:rPr>
            </w:pPr>
            <w:r w:rsidRPr="00261B7A">
              <w:rPr>
                <w:rFonts w:eastAsia="Calibri" w:cs="Calibri"/>
                <w:sz w:val="20"/>
                <w:szCs w:val="20"/>
              </w:rPr>
              <w:t>below-ground biomass</w:t>
            </w:r>
          </w:p>
        </w:tc>
      </w:tr>
      <w:tr w:rsidR="00C82DF6" w:rsidRPr="00261B7A" w14:paraId="009DE1B7" w14:textId="77777777" w:rsidTr="004610C9">
        <w:tc>
          <w:tcPr>
            <w:tcW w:w="1526" w:type="dxa"/>
            <w:shd w:val="clear" w:color="auto" w:fill="auto"/>
          </w:tcPr>
          <w:p w14:paraId="097D65C0"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BOD</w:t>
            </w:r>
          </w:p>
        </w:tc>
        <w:tc>
          <w:tcPr>
            <w:tcW w:w="7092" w:type="dxa"/>
            <w:shd w:val="clear" w:color="auto" w:fill="auto"/>
          </w:tcPr>
          <w:p w14:paraId="2AB51972"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biochemical oxygen demand</w:t>
            </w:r>
          </w:p>
        </w:tc>
      </w:tr>
      <w:tr w:rsidR="00C82DF6" w:rsidRPr="00261B7A" w14:paraId="69BCB6DB" w14:textId="77777777" w:rsidTr="004610C9">
        <w:tc>
          <w:tcPr>
            <w:tcW w:w="1526" w:type="dxa"/>
            <w:shd w:val="clear" w:color="auto" w:fill="auto"/>
          </w:tcPr>
          <w:p w14:paraId="43E8DEE8"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BRANZ</w:t>
            </w:r>
          </w:p>
        </w:tc>
        <w:tc>
          <w:tcPr>
            <w:tcW w:w="7092" w:type="dxa"/>
            <w:shd w:val="clear" w:color="auto" w:fill="auto"/>
          </w:tcPr>
          <w:p w14:paraId="57BC3150"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Building Research Association of New Zealand</w:t>
            </w:r>
          </w:p>
        </w:tc>
      </w:tr>
      <w:tr w:rsidR="00C82DF6" w:rsidRPr="00261B7A" w14:paraId="74B92A69" w14:textId="77777777" w:rsidTr="004610C9">
        <w:tc>
          <w:tcPr>
            <w:tcW w:w="1526" w:type="dxa"/>
            <w:shd w:val="clear" w:color="auto" w:fill="auto"/>
          </w:tcPr>
          <w:p w14:paraId="07BFE5E0" w14:textId="6B3D3E12" w:rsidR="00C82DF6" w:rsidRPr="00261B7A" w:rsidRDefault="004F25FA" w:rsidP="003A763F">
            <w:pPr>
              <w:pStyle w:val="BodyText"/>
              <w:spacing w:after="0"/>
              <w:rPr>
                <w:rFonts w:eastAsia="Calibri" w:cs="Calibri"/>
                <w:b/>
                <w:sz w:val="20"/>
                <w:szCs w:val="20"/>
              </w:rPr>
            </w:pPr>
            <w:r>
              <w:rPr>
                <w:rFonts w:eastAsia="Calibri" w:cs="Calibri"/>
                <w:b/>
                <w:sz w:val="20"/>
                <w:szCs w:val="20"/>
              </w:rPr>
              <w:t>C</w:t>
            </w:r>
          </w:p>
        </w:tc>
        <w:tc>
          <w:tcPr>
            <w:tcW w:w="7092" w:type="dxa"/>
            <w:shd w:val="clear" w:color="auto" w:fill="auto"/>
          </w:tcPr>
          <w:p w14:paraId="67E26E95" w14:textId="7BFE76C4" w:rsidR="00C82DF6" w:rsidRPr="00261B7A" w:rsidRDefault="004F25FA" w:rsidP="003A763F">
            <w:pPr>
              <w:pStyle w:val="BodyText"/>
              <w:spacing w:after="0"/>
              <w:rPr>
                <w:rFonts w:eastAsia="Calibri" w:cs="Calibri"/>
                <w:sz w:val="20"/>
                <w:szCs w:val="20"/>
              </w:rPr>
            </w:pPr>
            <w:r>
              <w:rPr>
                <w:rFonts w:eastAsia="Calibri" w:cs="Calibri"/>
                <w:sz w:val="20"/>
                <w:szCs w:val="20"/>
              </w:rPr>
              <w:t>c</w:t>
            </w:r>
            <w:r w:rsidR="00C82DF6" w:rsidRPr="00261B7A">
              <w:rPr>
                <w:rFonts w:eastAsia="Calibri" w:cs="Calibri"/>
                <w:sz w:val="20"/>
                <w:szCs w:val="20"/>
              </w:rPr>
              <w:t>arbon</w:t>
            </w:r>
          </w:p>
        </w:tc>
      </w:tr>
      <w:tr w:rsidR="00C82DF6" w:rsidRPr="00261B7A" w14:paraId="22EFA0F5" w14:textId="77777777" w:rsidTr="004610C9">
        <w:tc>
          <w:tcPr>
            <w:tcW w:w="1526" w:type="dxa"/>
            <w:shd w:val="clear" w:color="auto" w:fill="auto"/>
          </w:tcPr>
          <w:p w14:paraId="7E9CE7A4" w14:textId="77777777" w:rsidR="00C82DF6" w:rsidRPr="00261B7A" w:rsidRDefault="00C82DF6" w:rsidP="003A763F">
            <w:pPr>
              <w:pStyle w:val="BodyText"/>
              <w:spacing w:after="0"/>
              <w:rPr>
                <w:rFonts w:eastAsia="Calibri" w:cs="Calibri"/>
                <w:b/>
                <w:sz w:val="20"/>
                <w:szCs w:val="20"/>
              </w:rPr>
            </w:pPr>
            <w:r w:rsidRPr="00261B7A">
              <w:rPr>
                <w:rFonts w:cs="Calibri"/>
                <w:b/>
                <w:sz w:val="20"/>
                <w:szCs w:val="20"/>
              </w:rPr>
              <w:t>C</w:t>
            </w:r>
            <w:r w:rsidRPr="00261B7A">
              <w:rPr>
                <w:rFonts w:cs="Calibri"/>
                <w:b/>
                <w:sz w:val="20"/>
                <w:szCs w:val="20"/>
                <w:vertAlign w:val="subscript"/>
              </w:rPr>
              <w:t>2</w:t>
            </w:r>
            <w:r w:rsidRPr="00261B7A">
              <w:rPr>
                <w:rFonts w:cs="Calibri"/>
                <w:b/>
                <w:sz w:val="20"/>
                <w:szCs w:val="20"/>
              </w:rPr>
              <w:t>F</w:t>
            </w:r>
            <w:r w:rsidRPr="00261B7A">
              <w:rPr>
                <w:rFonts w:cs="Calibri"/>
                <w:b/>
                <w:sz w:val="20"/>
                <w:szCs w:val="20"/>
                <w:vertAlign w:val="subscript"/>
              </w:rPr>
              <w:t>6</w:t>
            </w:r>
          </w:p>
        </w:tc>
        <w:tc>
          <w:tcPr>
            <w:tcW w:w="7092" w:type="dxa"/>
            <w:shd w:val="clear" w:color="auto" w:fill="auto"/>
          </w:tcPr>
          <w:p w14:paraId="646F7530"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perfluoroethane</w:t>
            </w:r>
          </w:p>
        </w:tc>
      </w:tr>
      <w:tr w:rsidR="00C82DF6" w:rsidRPr="00261B7A" w14:paraId="2B3DE8F4" w14:textId="77777777" w:rsidTr="004610C9">
        <w:tc>
          <w:tcPr>
            <w:tcW w:w="1526" w:type="dxa"/>
            <w:shd w:val="clear" w:color="auto" w:fill="auto"/>
          </w:tcPr>
          <w:p w14:paraId="5DFEADC5" w14:textId="77777777" w:rsidR="00C82DF6" w:rsidRPr="00261B7A" w:rsidRDefault="00C82DF6" w:rsidP="003A763F">
            <w:pPr>
              <w:pStyle w:val="BodyText"/>
              <w:spacing w:after="0"/>
              <w:rPr>
                <w:rFonts w:cs="Calibri"/>
                <w:b/>
                <w:sz w:val="20"/>
                <w:szCs w:val="20"/>
              </w:rPr>
            </w:pPr>
            <w:r w:rsidRPr="00261B7A">
              <w:rPr>
                <w:rFonts w:cs="Calibri"/>
                <w:b/>
                <w:sz w:val="20"/>
                <w:szCs w:val="20"/>
              </w:rPr>
              <w:t>C</w:t>
            </w:r>
            <w:r w:rsidRPr="00261B7A">
              <w:rPr>
                <w:rFonts w:cs="Calibri"/>
                <w:b/>
                <w:sz w:val="20"/>
                <w:szCs w:val="20"/>
                <w:vertAlign w:val="subscript"/>
              </w:rPr>
              <w:t>3</w:t>
            </w:r>
            <w:r w:rsidRPr="00261B7A">
              <w:rPr>
                <w:rFonts w:cs="Calibri"/>
                <w:b/>
                <w:sz w:val="20"/>
                <w:szCs w:val="20"/>
              </w:rPr>
              <w:t>F</w:t>
            </w:r>
            <w:r w:rsidRPr="00261B7A">
              <w:rPr>
                <w:rFonts w:cs="Calibri"/>
                <w:b/>
                <w:sz w:val="20"/>
                <w:szCs w:val="20"/>
                <w:vertAlign w:val="subscript"/>
              </w:rPr>
              <w:t>8</w:t>
            </w:r>
          </w:p>
        </w:tc>
        <w:tc>
          <w:tcPr>
            <w:tcW w:w="7092" w:type="dxa"/>
            <w:shd w:val="clear" w:color="auto" w:fill="auto"/>
          </w:tcPr>
          <w:p w14:paraId="0E5D4572" w14:textId="77777777" w:rsidR="00C82DF6" w:rsidRPr="00261B7A" w:rsidRDefault="00C82DF6" w:rsidP="003A763F">
            <w:pPr>
              <w:pStyle w:val="BodyText"/>
              <w:spacing w:after="0"/>
              <w:rPr>
                <w:rFonts w:cs="Calibri"/>
                <w:sz w:val="20"/>
                <w:szCs w:val="20"/>
              </w:rPr>
            </w:pPr>
            <w:r w:rsidRPr="00261B7A">
              <w:rPr>
                <w:rFonts w:cs="Calibri"/>
                <w:sz w:val="20"/>
                <w:szCs w:val="20"/>
              </w:rPr>
              <w:t xml:space="preserve">perfluoropropane </w:t>
            </w:r>
          </w:p>
        </w:tc>
      </w:tr>
      <w:tr w:rsidR="00C82DF6" w:rsidRPr="00261B7A" w14:paraId="4BDC7CD7" w14:textId="77777777" w:rsidTr="004610C9">
        <w:tc>
          <w:tcPr>
            <w:tcW w:w="1526" w:type="dxa"/>
            <w:shd w:val="clear" w:color="auto" w:fill="auto"/>
          </w:tcPr>
          <w:p w14:paraId="13471283" w14:textId="77777777" w:rsidR="00C82DF6" w:rsidRPr="00261B7A" w:rsidRDefault="00C82DF6" w:rsidP="003A763F">
            <w:pPr>
              <w:pStyle w:val="BodyText"/>
              <w:spacing w:after="0"/>
              <w:rPr>
                <w:rFonts w:eastAsia="Calibri" w:cs="Calibri"/>
                <w:b/>
                <w:sz w:val="20"/>
                <w:szCs w:val="20"/>
              </w:rPr>
            </w:pPr>
            <w:r w:rsidRPr="00261B7A">
              <w:rPr>
                <w:rFonts w:cs="Calibri"/>
                <w:b/>
                <w:sz w:val="20"/>
                <w:szCs w:val="20"/>
              </w:rPr>
              <w:t>CaO</w:t>
            </w:r>
          </w:p>
        </w:tc>
        <w:tc>
          <w:tcPr>
            <w:tcW w:w="7092" w:type="dxa"/>
            <w:shd w:val="clear" w:color="auto" w:fill="auto"/>
          </w:tcPr>
          <w:p w14:paraId="289DE164"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 xml:space="preserve">calcium oxide </w:t>
            </w:r>
          </w:p>
        </w:tc>
      </w:tr>
      <w:tr w:rsidR="00C82DF6" w:rsidRPr="00261B7A" w14:paraId="1E115705" w14:textId="77777777" w:rsidTr="004610C9">
        <w:tc>
          <w:tcPr>
            <w:tcW w:w="1526" w:type="dxa"/>
            <w:shd w:val="clear" w:color="auto" w:fill="auto"/>
          </w:tcPr>
          <w:p w14:paraId="64AE10D5" w14:textId="77777777" w:rsidR="00C82DF6" w:rsidRPr="00261B7A" w:rsidRDefault="00C82DF6" w:rsidP="003A763F">
            <w:pPr>
              <w:pStyle w:val="BodyText"/>
              <w:spacing w:after="0"/>
              <w:rPr>
                <w:rFonts w:cs="Calibri"/>
                <w:b/>
                <w:sz w:val="20"/>
                <w:szCs w:val="20"/>
              </w:rPr>
            </w:pPr>
            <w:r w:rsidRPr="00261B7A">
              <w:rPr>
                <w:rFonts w:cs="Calibri"/>
                <w:b/>
                <w:sz w:val="20"/>
                <w:szCs w:val="20"/>
              </w:rPr>
              <w:t>Ca(OH)</w:t>
            </w:r>
            <w:r w:rsidRPr="00261B7A">
              <w:rPr>
                <w:rFonts w:cs="Calibri"/>
                <w:b/>
                <w:sz w:val="20"/>
                <w:szCs w:val="20"/>
                <w:vertAlign w:val="subscript"/>
              </w:rPr>
              <w:t>2</w:t>
            </w:r>
          </w:p>
        </w:tc>
        <w:tc>
          <w:tcPr>
            <w:tcW w:w="7092" w:type="dxa"/>
            <w:shd w:val="clear" w:color="auto" w:fill="auto"/>
          </w:tcPr>
          <w:p w14:paraId="04C89539" w14:textId="77777777" w:rsidR="00C82DF6" w:rsidRPr="00261B7A" w:rsidRDefault="00C82DF6" w:rsidP="003A763F">
            <w:pPr>
              <w:pStyle w:val="BodyText"/>
              <w:spacing w:after="0"/>
              <w:rPr>
                <w:rFonts w:cs="Calibri"/>
                <w:sz w:val="20"/>
                <w:szCs w:val="20"/>
              </w:rPr>
            </w:pPr>
            <w:r w:rsidRPr="00261B7A">
              <w:rPr>
                <w:rFonts w:cs="Calibri"/>
                <w:sz w:val="20"/>
                <w:szCs w:val="20"/>
              </w:rPr>
              <w:t>calcium hydroxide</w:t>
            </w:r>
          </w:p>
        </w:tc>
      </w:tr>
      <w:tr w:rsidR="00C82DF6" w:rsidRPr="00261B7A" w14:paraId="3F1FA96B" w14:textId="77777777" w:rsidTr="004610C9">
        <w:tc>
          <w:tcPr>
            <w:tcW w:w="1526" w:type="dxa"/>
            <w:shd w:val="clear" w:color="auto" w:fill="auto"/>
          </w:tcPr>
          <w:p w14:paraId="1A440DD8" w14:textId="77777777" w:rsidR="00C82DF6" w:rsidRPr="00261B7A" w:rsidRDefault="00C82DF6" w:rsidP="003A763F">
            <w:pPr>
              <w:pStyle w:val="BodyText"/>
              <w:spacing w:after="0"/>
              <w:rPr>
                <w:rFonts w:cs="Calibri"/>
                <w:b/>
                <w:sz w:val="20"/>
                <w:szCs w:val="20"/>
              </w:rPr>
            </w:pPr>
            <w:r w:rsidRPr="00261B7A">
              <w:rPr>
                <w:rFonts w:cs="Calibri"/>
                <w:b/>
                <w:sz w:val="20"/>
                <w:szCs w:val="20"/>
              </w:rPr>
              <w:t>CCF</w:t>
            </w:r>
            <w:r w:rsidRPr="00261B7A">
              <w:rPr>
                <w:rFonts w:cs="Calibri"/>
                <w:b/>
                <w:sz w:val="20"/>
                <w:szCs w:val="20"/>
                <w:vertAlign w:val="subscript"/>
              </w:rPr>
              <w:t>i</w:t>
            </w:r>
          </w:p>
        </w:tc>
        <w:tc>
          <w:tcPr>
            <w:tcW w:w="7092" w:type="dxa"/>
            <w:shd w:val="clear" w:color="auto" w:fill="auto"/>
          </w:tcPr>
          <w:p w14:paraId="3FD3E5B2" w14:textId="77777777" w:rsidR="00C82DF6" w:rsidRPr="00261B7A" w:rsidRDefault="00C82DF6" w:rsidP="003A763F">
            <w:pPr>
              <w:pStyle w:val="BodyText"/>
              <w:spacing w:after="0"/>
              <w:rPr>
                <w:rFonts w:cs="Calibri"/>
                <w:sz w:val="20"/>
                <w:szCs w:val="20"/>
              </w:rPr>
            </w:pPr>
            <w:r w:rsidRPr="00261B7A">
              <w:rPr>
                <w:rFonts w:cs="Calibri"/>
                <w:spacing w:val="-2"/>
                <w:sz w:val="20"/>
                <w:szCs w:val="20"/>
              </w:rPr>
              <w:t>carbon content factor</w:t>
            </w:r>
          </w:p>
        </w:tc>
      </w:tr>
      <w:tr w:rsidR="00C82DF6" w:rsidRPr="00261B7A" w14:paraId="3870B300" w14:textId="77777777" w:rsidTr="004610C9">
        <w:tc>
          <w:tcPr>
            <w:tcW w:w="1526" w:type="dxa"/>
            <w:shd w:val="clear" w:color="auto" w:fill="auto"/>
          </w:tcPr>
          <w:p w14:paraId="3CB339D9" w14:textId="77777777" w:rsidR="00C82DF6" w:rsidRPr="00261B7A" w:rsidRDefault="00C82DF6" w:rsidP="003A763F">
            <w:pPr>
              <w:pStyle w:val="BodyText"/>
              <w:spacing w:after="0"/>
              <w:rPr>
                <w:rFonts w:cs="Calibri"/>
                <w:b/>
                <w:sz w:val="20"/>
                <w:szCs w:val="20"/>
              </w:rPr>
            </w:pPr>
            <w:r w:rsidRPr="00261B7A">
              <w:rPr>
                <w:rFonts w:cs="Calibri"/>
                <w:b/>
                <w:sz w:val="20"/>
                <w:szCs w:val="20"/>
              </w:rPr>
              <w:t>CDM</w:t>
            </w:r>
          </w:p>
        </w:tc>
        <w:tc>
          <w:tcPr>
            <w:tcW w:w="7092" w:type="dxa"/>
            <w:shd w:val="clear" w:color="auto" w:fill="auto"/>
          </w:tcPr>
          <w:p w14:paraId="42BF1AB7" w14:textId="77777777" w:rsidR="00C82DF6" w:rsidRPr="00261B7A" w:rsidRDefault="00C82DF6" w:rsidP="003A763F">
            <w:pPr>
              <w:pStyle w:val="BodyText"/>
              <w:spacing w:after="0"/>
              <w:rPr>
                <w:rFonts w:cs="Calibri"/>
                <w:sz w:val="20"/>
                <w:szCs w:val="20"/>
              </w:rPr>
            </w:pPr>
            <w:r w:rsidRPr="00261B7A">
              <w:rPr>
                <w:rFonts w:cs="Calibri"/>
                <w:sz w:val="20"/>
                <w:szCs w:val="20"/>
              </w:rPr>
              <w:t>Clean Development Mechanism</w:t>
            </w:r>
          </w:p>
        </w:tc>
      </w:tr>
      <w:tr w:rsidR="00C82DF6" w:rsidRPr="00261B7A" w14:paraId="59CCA6CE" w14:textId="77777777" w:rsidTr="004610C9">
        <w:tc>
          <w:tcPr>
            <w:tcW w:w="1526" w:type="dxa"/>
            <w:shd w:val="clear" w:color="auto" w:fill="auto"/>
          </w:tcPr>
          <w:p w14:paraId="568FDCA4"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CEF </w:t>
            </w:r>
          </w:p>
        </w:tc>
        <w:tc>
          <w:tcPr>
            <w:tcW w:w="7092" w:type="dxa"/>
            <w:shd w:val="clear" w:color="auto" w:fill="auto"/>
          </w:tcPr>
          <w:p w14:paraId="68107104"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carbon equivalent forest</w:t>
            </w:r>
          </w:p>
        </w:tc>
      </w:tr>
      <w:tr w:rsidR="00C82DF6" w:rsidRPr="00261B7A" w14:paraId="3C705D4A" w14:textId="77777777" w:rsidTr="004610C9">
        <w:tc>
          <w:tcPr>
            <w:tcW w:w="1526" w:type="dxa"/>
            <w:shd w:val="clear" w:color="auto" w:fill="auto"/>
          </w:tcPr>
          <w:p w14:paraId="1B280C72"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CEF</w:t>
            </w:r>
            <w:r w:rsidRPr="00261B7A">
              <w:rPr>
                <w:rFonts w:eastAsia="Calibri" w:cs="Calibri"/>
                <w:b/>
                <w:sz w:val="20"/>
                <w:szCs w:val="20"/>
                <w:vertAlign w:val="subscript"/>
              </w:rPr>
              <w:t>HC</w:t>
            </w:r>
            <w:r w:rsidRPr="00261B7A">
              <w:rPr>
                <w:rFonts w:eastAsia="Calibri" w:cs="Calibri"/>
                <w:b/>
                <w:sz w:val="20"/>
                <w:szCs w:val="20"/>
              </w:rPr>
              <w:t xml:space="preserve"> </w:t>
            </w:r>
          </w:p>
        </w:tc>
        <w:tc>
          <w:tcPr>
            <w:tcW w:w="7092" w:type="dxa"/>
            <w:shd w:val="clear" w:color="auto" w:fill="auto"/>
          </w:tcPr>
          <w:p w14:paraId="6A72428F"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carbon equivalent forest (harvested and converted)</w:t>
            </w:r>
          </w:p>
        </w:tc>
      </w:tr>
      <w:tr w:rsidR="00C82DF6" w:rsidRPr="00261B7A" w14:paraId="60EF0DA8" w14:textId="77777777" w:rsidTr="004610C9">
        <w:tc>
          <w:tcPr>
            <w:tcW w:w="1526" w:type="dxa"/>
            <w:shd w:val="clear" w:color="auto" w:fill="auto"/>
          </w:tcPr>
          <w:p w14:paraId="31470B09"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CER</w:t>
            </w:r>
          </w:p>
        </w:tc>
        <w:tc>
          <w:tcPr>
            <w:tcW w:w="7092" w:type="dxa"/>
            <w:shd w:val="clear" w:color="auto" w:fill="auto"/>
          </w:tcPr>
          <w:p w14:paraId="0D7F1FAE"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 xml:space="preserve">certified emission reduction unit </w:t>
            </w:r>
          </w:p>
        </w:tc>
      </w:tr>
      <w:tr w:rsidR="00C82DF6" w:rsidRPr="00261B7A" w14:paraId="654686C8" w14:textId="77777777" w:rsidTr="004610C9">
        <w:tc>
          <w:tcPr>
            <w:tcW w:w="1526" w:type="dxa"/>
            <w:shd w:val="clear" w:color="auto" w:fill="auto"/>
          </w:tcPr>
          <w:p w14:paraId="4DEBCFC1" w14:textId="77777777" w:rsidR="00C82DF6" w:rsidRPr="00261B7A" w:rsidRDefault="00C82DF6" w:rsidP="003A763F">
            <w:pPr>
              <w:pStyle w:val="BodyText"/>
              <w:spacing w:after="0"/>
              <w:rPr>
                <w:rFonts w:eastAsia="Calibri" w:cs="Calibri"/>
                <w:b/>
                <w:sz w:val="20"/>
                <w:szCs w:val="20"/>
              </w:rPr>
            </w:pPr>
            <w:r w:rsidRPr="00261B7A">
              <w:rPr>
                <w:rFonts w:cs="Calibri"/>
                <w:b/>
                <w:sz w:val="20"/>
                <w:szCs w:val="20"/>
              </w:rPr>
              <w:t>CF</w:t>
            </w:r>
            <w:r w:rsidRPr="00261B7A">
              <w:rPr>
                <w:rFonts w:cs="Calibri"/>
                <w:b/>
                <w:sz w:val="20"/>
                <w:szCs w:val="20"/>
                <w:vertAlign w:val="subscript"/>
              </w:rPr>
              <w:t>4</w:t>
            </w:r>
          </w:p>
        </w:tc>
        <w:tc>
          <w:tcPr>
            <w:tcW w:w="7092" w:type="dxa"/>
            <w:shd w:val="clear" w:color="auto" w:fill="auto"/>
          </w:tcPr>
          <w:p w14:paraId="6A8E0444"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perfluoromethane</w:t>
            </w:r>
          </w:p>
        </w:tc>
      </w:tr>
      <w:tr w:rsidR="00C82DF6" w:rsidRPr="00261B7A" w14:paraId="1EC5C29F" w14:textId="77777777" w:rsidTr="004610C9">
        <w:tc>
          <w:tcPr>
            <w:tcW w:w="1526" w:type="dxa"/>
            <w:shd w:val="clear" w:color="auto" w:fill="auto"/>
          </w:tcPr>
          <w:p w14:paraId="5DAD9DF1" w14:textId="77777777" w:rsidR="00C82DF6" w:rsidRPr="00261B7A" w:rsidRDefault="00C82DF6" w:rsidP="003A763F">
            <w:pPr>
              <w:pStyle w:val="BodyText"/>
              <w:spacing w:after="0"/>
              <w:rPr>
                <w:rFonts w:eastAsia="Calibri" w:cs="Calibri"/>
                <w:b/>
                <w:sz w:val="20"/>
                <w:szCs w:val="20"/>
              </w:rPr>
            </w:pPr>
            <w:r w:rsidRPr="00261B7A">
              <w:rPr>
                <w:rFonts w:cs="Calibri"/>
                <w:b/>
                <w:sz w:val="20"/>
                <w:szCs w:val="20"/>
              </w:rPr>
              <w:t>CFC</w:t>
            </w:r>
          </w:p>
        </w:tc>
        <w:tc>
          <w:tcPr>
            <w:tcW w:w="7092" w:type="dxa"/>
            <w:shd w:val="clear" w:color="auto" w:fill="auto"/>
          </w:tcPr>
          <w:p w14:paraId="689106FB"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chlorofluorocarbon</w:t>
            </w:r>
          </w:p>
        </w:tc>
      </w:tr>
      <w:tr w:rsidR="00C82DF6" w:rsidRPr="00261B7A" w14:paraId="3BA7E4D0" w14:textId="77777777" w:rsidTr="004610C9">
        <w:tc>
          <w:tcPr>
            <w:tcW w:w="1526" w:type="dxa"/>
            <w:shd w:val="clear" w:color="auto" w:fill="auto"/>
          </w:tcPr>
          <w:p w14:paraId="23C815C5"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CH</w:t>
            </w:r>
            <w:r w:rsidRPr="00261B7A">
              <w:rPr>
                <w:rFonts w:eastAsia="Calibri" w:cs="Calibri"/>
                <w:b/>
                <w:sz w:val="20"/>
                <w:szCs w:val="20"/>
                <w:vertAlign w:val="subscript"/>
              </w:rPr>
              <w:t>4</w:t>
            </w:r>
          </w:p>
        </w:tc>
        <w:tc>
          <w:tcPr>
            <w:tcW w:w="7092" w:type="dxa"/>
            <w:shd w:val="clear" w:color="auto" w:fill="auto"/>
          </w:tcPr>
          <w:p w14:paraId="4DF7EF65"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methane</w:t>
            </w:r>
          </w:p>
        </w:tc>
      </w:tr>
      <w:tr w:rsidR="00C82DF6" w:rsidRPr="00261B7A" w14:paraId="305782D8" w14:textId="77777777" w:rsidTr="004610C9">
        <w:tc>
          <w:tcPr>
            <w:tcW w:w="1526" w:type="dxa"/>
            <w:shd w:val="clear" w:color="auto" w:fill="auto"/>
          </w:tcPr>
          <w:p w14:paraId="3301C15A"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CMP </w:t>
            </w:r>
          </w:p>
        </w:tc>
        <w:tc>
          <w:tcPr>
            <w:tcW w:w="7092" w:type="dxa"/>
            <w:shd w:val="clear" w:color="auto" w:fill="auto"/>
          </w:tcPr>
          <w:p w14:paraId="65635F9A"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Conference of the Parties serving as the meeting of the Parties to the Kyoto Protocol</w:t>
            </w:r>
          </w:p>
        </w:tc>
      </w:tr>
      <w:tr w:rsidR="00C82DF6" w:rsidRPr="00261B7A" w14:paraId="1481F865" w14:textId="77777777" w:rsidTr="004610C9">
        <w:tc>
          <w:tcPr>
            <w:tcW w:w="1526" w:type="dxa"/>
            <w:shd w:val="clear" w:color="auto" w:fill="auto"/>
          </w:tcPr>
          <w:p w14:paraId="28436187" w14:textId="77777777" w:rsidR="00C82DF6" w:rsidRPr="00261B7A" w:rsidRDefault="00C82DF6" w:rsidP="003A763F">
            <w:pPr>
              <w:pStyle w:val="BodyText"/>
              <w:spacing w:after="0"/>
              <w:rPr>
                <w:rFonts w:eastAsia="Calibri" w:cs="Calibri"/>
                <w:b/>
                <w:sz w:val="20"/>
                <w:szCs w:val="20"/>
              </w:rPr>
            </w:pPr>
            <w:r w:rsidRPr="00261B7A">
              <w:rPr>
                <w:rFonts w:cs="Calibri"/>
                <w:b/>
                <w:sz w:val="20"/>
                <w:szCs w:val="20"/>
                <w:lang w:eastAsia="en-GB"/>
              </w:rPr>
              <w:t>CNG</w:t>
            </w:r>
          </w:p>
        </w:tc>
        <w:tc>
          <w:tcPr>
            <w:tcW w:w="7092" w:type="dxa"/>
            <w:shd w:val="clear" w:color="auto" w:fill="auto"/>
          </w:tcPr>
          <w:p w14:paraId="3C012F57" w14:textId="77777777" w:rsidR="00C82DF6" w:rsidRPr="00261B7A" w:rsidRDefault="00C82DF6" w:rsidP="003A763F">
            <w:pPr>
              <w:pStyle w:val="BodyText"/>
              <w:spacing w:after="0"/>
              <w:rPr>
                <w:rFonts w:eastAsia="Calibri" w:cs="Calibri"/>
                <w:sz w:val="20"/>
                <w:szCs w:val="20"/>
              </w:rPr>
            </w:pPr>
            <w:r w:rsidRPr="00261B7A">
              <w:rPr>
                <w:rFonts w:cs="Calibri"/>
                <w:sz w:val="20"/>
                <w:szCs w:val="20"/>
                <w:lang w:eastAsia="en-GB"/>
              </w:rPr>
              <w:t>compressed natural gas</w:t>
            </w:r>
          </w:p>
        </w:tc>
      </w:tr>
      <w:tr w:rsidR="00C82DF6" w:rsidRPr="00261B7A" w14:paraId="12F6411A" w14:textId="77777777" w:rsidTr="004610C9">
        <w:tc>
          <w:tcPr>
            <w:tcW w:w="1526" w:type="dxa"/>
            <w:shd w:val="clear" w:color="auto" w:fill="auto"/>
          </w:tcPr>
          <w:p w14:paraId="592301B9"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CO </w:t>
            </w:r>
          </w:p>
        </w:tc>
        <w:tc>
          <w:tcPr>
            <w:tcW w:w="7092" w:type="dxa"/>
            <w:shd w:val="clear" w:color="auto" w:fill="auto"/>
          </w:tcPr>
          <w:p w14:paraId="2F05F78A"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carbon monoxide</w:t>
            </w:r>
          </w:p>
        </w:tc>
      </w:tr>
      <w:tr w:rsidR="00C82DF6" w:rsidRPr="00261B7A" w14:paraId="26163D65" w14:textId="77777777" w:rsidTr="004610C9">
        <w:tc>
          <w:tcPr>
            <w:tcW w:w="1526" w:type="dxa"/>
            <w:shd w:val="clear" w:color="auto" w:fill="auto"/>
          </w:tcPr>
          <w:p w14:paraId="0C2C3F5E"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COD</w:t>
            </w:r>
          </w:p>
        </w:tc>
        <w:tc>
          <w:tcPr>
            <w:tcW w:w="7092" w:type="dxa"/>
            <w:shd w:val="clear" w:color="auto" w:fill="auto"/>
          </w:tcPr>
          <w:p w14:paraId="1887A01D"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chemical oxygen demand</w:t>
            </w:r>
          </w:p>
        </w:tc>
      </w:tr>
      <w:tr w:rsidR="00C82DF6" w:rsidRPr="00261B7A" w14:paraId="4EA01EB3" w14:textId="77777777" w:rsidTr="004610C9">
        <w:tc>
          <w:tcPr>
            <w:tcW w:w="1526" w:type="dxa"/>
            <w:shd w:val="clear" w:color="auto" w:fill="auto"/>
          </w:tcPr>
          <w:p w14:paraId="3E3E22C2"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COP</w:t>
            </w:r>
          </w:p>
        </w:tc>
        <w:tc>
          <w:tcPr>
            <w:tcW w:w="7092" w:type="dxa"/>
            <w:shd w:val="clear" w:color="auto" w:fill="auto"/>
          </w:tcPr>
          <w:p w14:paraId="70C848DC"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Conference of the Parties</w:t>
            </w:r>
          </w:p>
        </w:tc>
      </w:tr>
      <w:tr w:rsidR="00C82DF6" w:rsidRPr="00261B7A" w14:paraId="341CE886" w14:textId="77777777" w:rsidTr="004610C9">
        <w:tc>
          <w:tcPr>
            <w:tcW w:w="1526" w:type="dxa"/>
            <w:shd w:val="clear" w:color="auto" w:fill="auto"/>
          </w:tcPr>
          <w:p w14:paraId="6FC69FC0"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CO</w:t>
            </w:r>
            <w:r w:rsidRPr="00261B7A">
              <w:rPr>
                <w:rFonts w:eastAsia="Calibri" w:cs="Calibri"/>
                <w:b/>
                <w:sz w:val="20"/>
                <w:szCs w:val="20"/>
                <w:vertAlign w:val="subscript"/>
              </w:rPr>
              <w:t>2</w:t>
            </w:r>
            <w:r w:rsidRPr="00261B7A">
              <w:rPr>
                <w:rFonts w:eastAsia="Calibri" w:cs="Calibri"/>
                <w:b/>
                <w:sz w:val="20"/>
                <w:szCs w:val="20"/>
              </w:rPr>
              <w:t xml:space="preserve"> </w:t>
            </w:r>
          </w:p>
        </w:tc>
        <w:tc>
          <w:tcPr>
            <w:tcW w:w="7092" w:type="dxa"/>
            <w:shd w:val="clear" w:color="auto" w:fill="auto"/>
          </w:tcPr>
          <w:p w14:paraId="31EB8A14"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carbon dioxide</w:t>
            </w:r>
          </w:p>
        </w:tc>
      </w:tr>
      <w:tr w:rsidR="00C82DF6" w:rsidRPr="00261B7A" w14:paraId="083E88D8" w14:textId="77777777" w:rsidTr="004610C9">
        <w:tc>
          <w:tcPr>
            <w:tcW w:w="1526" w:type="dxa"/>
            <w:shd w:val="clear" w:color="auto" w:fill="auto"/>
          </w:tcPr>
          <w:p w14:paraId="54112C8D"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CO</w:t>
            </w:r>
            <w:r w:rsidRPr="00261B7A">
              <w:rPr>
                <w:rFonts w:eastAsia="Calibri" w:cs="Calibri"/>
                <w:b/>
                <w:sz w:val="20"/>
                <w:szCs w:val="20"/>
                <w:vertAlign w:val="subscript"/>
              </w:rPr>
              <w:t>2</w:t>
            </w:r>
            <w:r w:rsidRPr="00261B7A">
              <w:rPr>
                <w:rFonts w:eastAsia="Calibri" w:cs="Calibri"/>
                <w:b/>
                <w:sz w:val="20"/>
                <w:szCs w:val="20"/>
              </w:rPr>
              <w:t>-e</w:t>
            </w:r>
          </w:p>
        </w:tc>
        <w:tc>
          <w:tcPr>
            <w:tcW w:w="7092" w:type="dxa"/>
            <w:shd w:val="clear" w:color="auto" w:fill="auto"/>
          </w:tcPr>
          <w:p w14:paraId="31E70F31"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carbon dioxide equivalent</w:t>
            </w:r>
          </w:p>
        </w:tc>
      </w:tr>
      <w:tr w:rsidR="00C82DF6" w:rsidRPr="00261B7A" w14:paraId="0B9A5795" w14:textId="77777777" w:rsidTr="004610C9">
        <w:tc>
          <w:tcPr>
            <w:tcW w:w="1526" w:type="dxa"/>
            <w:shd w:val="clear" w:color="auto" w:fill="auto"/>
          </w:tcPr>
          <w:p w14:paraId="6214893A"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CP1</w:t>
            </w:r>
          </w:p>
        </w:tc>
        <w:tc>
          <w:tcPr>
            <w:tcW w:w="7092" w:type="dxa"/>
            <w:shd w:val="clear" w:color="auto" w:fill="auto"/>
          </w:tcPr>
          <w:p w14:paraId="48E17034"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first commitment period under the Kyoto Protocol</w:t>
            </w:r>
          </w:p>
        </w:tc>
      </w:tr>
      <w:tr w:rsidR="00C82DF6" w:rsidRPr="00261B7A" w14:paraId="39D7E2F5" w14:textId="77777777" w:rsidTr="004610C9">
        <w:tc>
          <w:tcPr>
            <w:tcW w:w="1526" w:type="dxa"/>
            <w:shd w:val="clear" w:color="auto" w:fill="auto"/>
          </w:tcPr>
          <w:p w14:paraId="3B1E96B1"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CP2</w:t>
            </w:r>
          </w:p>
        </w:tc>
        <w:tc>
          <w:tcPr>
            <w:tcW w:w="7092" w:type="dxa"/>
            <w:shd w:val="clear" w:color="auto" w:fill="auto"/>
          </w:tcPr>
          <w:p w14:paraId="1F87DA8C"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second commitment period under the Kyoto Protocol</w:t>
            </w:r>
          </w:p>
        </w:tc>
      </w:tr>
      <w:tr w:rsidR="00C82DF6" w:rsidRPr="00261B7A" w14:paraId="00F8C461" w14:textId="77777777" w:rsidTr="004610C9">
        <w:tc>
          <w:tcPr>
            <w:tcW w:w="1526" w:type="dxa"/>
            <w:shd w:val="clear" w:color="auto" w:fill="auto"/>
          </w:tcPr>
          <w:p w14:paraId="2A2AB064"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lastRenderedPageBreak/>
              <w:t>CRA</w:t>
            </w:r>
          </w:p>
        </w:tc>
        <w:tc>
          <w:tcPr>
            <w:tcW w:w="7092" w:type="dxa"/>
            <w:shd w:val="clear" w:color="auto" w:fill="auto"/>
          </w:tcPr>
          <w:p w14:paraId="42BDA892"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Calculation and Reporting Application</w:t>
            </w:r>
          </w:p>
        </w:tc>
      </w:tr>
      <w:tr w:rsidR="00C82DF6" w:rsidRPr="00261B7A" w14:paraId="20B22184" w14:textId="77777777" w:rsidTr="004610C9">
        <w:tc>
          <w:tcPr>
            <w:tcW w:w="1526" w:type="dxa"/>
            <w:shd w:val="clear" w:color="auto" w:fill="auto"/>
          </w:tcPr>
          <w:p w14:paraId="629280D2"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CRF </w:t>
            </w:r>
          </w:p>
        </w:tc>
        <w:tc>
          <w:tcPr>
            <w:tcW w:w="7092" w:type="dxa"/>
            <w:shd w:val="clear" w:color="auto" w:fill="auto"/>
          </w:tcPr>
          <w:p w14:paraId="2964F25A"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common reporting format</w:t>
            </w:r>
          </w:p>
        </w:tc>
      </w:tr>
      <w:tr w:rsidR="00C82DF6" w:rsidRPr="00261B7A" w14:paraId="0394D269" w14:textId="77777777" w:rsidTr="004610C9">
        <w:tc>
          <w:tcPr>
            <w:tcW w:w="1526" w:type="dxa"/>
            <w:shd w:val="clear" w:color="auto" w:fill="auto"/>
          </w:tcPr>
          <w:p w14:paraId="6CBC8EFB" w14:textId="77777777" w:rsidR="00C82DF6" w:rsidRPr="00261B7A" w:rsidRDefault="00C82DF6" w:rsidP="003A763F">
            <w:pPr>
              <w:pStyle w:val="BodyText"/>
              <w:spacing w:after="0"/>
              <w:rPr>
                <w:rFonts w:cs="Calibri"/>
                <w:b/>
                <w:bCs/>
                <w:sz w:val="20"/>
                <w:szCs w:val="20"/>
              </w:rPr>
            </w:pPr>
            <w:r w:rsidRPr="00261B7A">
              <w:rPr>
                <w:rFonts w:cs="Calibri"/>
                <w:b/>
                <w:bCs/>
                <w:sz w:val="20"/>
                <w:szCs w:val="20"/>
              </w:rPr>
              <w:t>CSC</w:t>
            </w:r>
          </w:p>
        </w:tc>
        <w:tc>
          <w:tcPr>
            <w:tcW w:w="7092" w:type="dxa"/>
            <w:shd w:val="clear" w:color="auto" w:fill="auto"/>
          </w:tcPr>
          <w:p w14:paraId="18C61EB5" w14:textId="77777777" w:rsidR="00C82DF6" w:rsidRPr="00261B7A" w:rsidRDefault="00C82DF6" w:rsidP="003A763F">
            <w:pPr>
              <w:pStyle w:val="BodyText"/>
              <w:spacing w:after="0"/>
              <w:rPr>
                <w:rFonts w:cs="Calibri"/>
                <w:sz w:val="20"/>
                <w:szCs w:val="20"/>
              </w:rPr>
            </w:pPr>
            <w:r w:rsidRPr="00261B7A">
              <w:rPr>
                <w:rFonts w:cs="Calibri"/>
                <w:sz w:val="20"/>
                <w:szCs w:val="20"/>
              </w:rPr>
              <w:t>carbon stock change</w:t>
            </w:r>
          </w:p>
        </w:tc>
      </w:tr>
      <w:tr w:rsidR="00C82DF6" w:rsidRPr="00261B7A" w14:paraId="5C9535F5" w14:textId="77777777" w:rsidTr="004610C9">
        <w:tc>
          <w:tcPr>
            <w:tcW w:w="1526" w:type="dxa"/>
            <w:shd w:val="clear" w:color="auto" w:fill="auto"/>
          </w:tcPr>
          <w:p w14:paraId="7F58B2A6" w14:textId="77777777" w:rsidR="00C82DF6" w:rsidRPr="00261B7A" w:rsidRDefault="00C82DF6" w:rsidP="003A763F">
            <w:pPr>
              <w:pStyle w:val="BodyText"/>
              <w:spacing w:after="0"/>
              <w:rPr>
                <w:rFonts w:eastAsia="Calibri" w:cs="Calibri"/>
                <w:b/>
                <w:bCs/>
                <w:sz w:val="20"/>
                <w:szCs w:val="20"/>
              </w:rPr>
            </w:pPr>
            <w:r w:rsidRPr="00261B7A">
              <w:rPr>
                <w:rFonts w:cs="Calibri"/>
                <w:b/>
                <w:bCs/>
                <w:sz w:val="20"/>
                <w:szCs w:val="20"/>
              </w:rPr>
              <w:t>CSIRO</w:t>
            </w:r>
          </w:p>
        </w:tc>
        <w:tc>
          <w:tcPr>
            <w:tcW w:w="7092" w:type="dxa"/>
            <w:shd w:val="clear" w:color="auto" w:fill="auto"/>
          </w:tcPr>
          <w:p w14:paraId="08CA8677"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Commonwealth Scientific and Industrial Research Organisation</w:t>
            </w:r>
          </w:p>
        </w:tc>
      </w:tr>
      <w:tr w:rsidR="00C82DF6" w:rsidRPr="00261B7A" w14:paraId="2A08931C" w14:textId="77777777" w:rsidTr="004610C9">
        <w:tc>
          <w:tcPr>
            <w:tcW w:w="1526" w:type="dxa"/>
            <w:shd w:val="clear" w:color="auto" w:fill="auto"/>
          </w:tcPr>
          <w:p w14:paraId="6343D0B8"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DCD</w:t>
            </w:r>
          </w:p>
        </w:tc>
        <w:tc>
          <w:tcPr>
            <w:tcW w:w="7092" w:type="dxa"/>
            <w:shd w:val="clear" w:color="auto" w:fill="auto"/>
          </w:tcPr>
          <w:p w14:paraId="3BAAFF15"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dicyandiamide</w:t>
            </w:r>
          </w:p>
        </w:tc>
      </w:tr>
      <w:tr w:rsidR="00C82DF6" w:rsidRPr="00261B7A" w14:paraId="4C11EE60" w14:textId="77777777" w:rsidTr="004610C9">
        <w:tc>
          <w:tcPr>
            <w:tcW w:w="1526" w:type="dxa"/>
            <w:shd w:val="clear" w:color="auto" w:fill="auto"/>
          </w:tcPr>
          <w:p w14:paraId="260061C8" w14:textId="77777777" w:rsidR="00C82DF6" w:rsidRPr="00261B7A" w:rsidRDefault="00C82DF6" w:rsidP="003A763F">
            <w:pPr>
              <w:pStyle w:val="BodyText"/>
              <w:spacing w:after="0"/>
              <w:rPr>
                <w:rFonts w:eastAsia="Calibri" w:cs="Calibri"/>
                <w:b/>
                <w:bCs/>
                <w:sz w:val="20"/>
                <w:szCs w:val="20"/>
              </w:rPr>
            </w:pPr>
            <w:r w:rsidRPr="00261B7A">
              <w:rPr>
                <w:rFonts w:cs="Calibri"/>
                <w:b/>
                <w:bCs/>
                <w:spacing w:val="-2"/>
                <w:sz w:val="20"/>
                <w:szCs w:val="20"/>
              </w:rPr>
              <w:t>DDOC</w:t>
            </w:r>
          </w:p>
        </w:tc>
        <w:tc>
          <w:tcPr>
            <w:tcW w:w="7092" w:type="dxa"/>
            <w:shd w:val="clear" w:color="auto" w:fill="auto"/>
          </w:tcPr>
          <w:p w14:paraId="77B3E981" w14:textId="77777777" w:rsidR="00C82DF6" w:rsidRPr="00261B7A" w:rsidRDefault="00C82DF6" w:rsidP="003A763F">
            <w:pPr>
              <w:pStyle w:val="BodyText"/>
              <w:spacing w:after="0"/>
              <w:rPr>
                <w:rFonts w:eastAsia="Calibri" w:cs="Calibri"/>
                <w:sz w:val="20"/>
                <w:szCs w:val="20"/>
              </w:rPr>
            </w:pPr>
            <w:r w:rsidRPr="00261B7A">
              <w:rPr>
                <w:rFonts w:cs="Calibri"/>
                <w:spacing w:val="-2"/>
                <w:sz w:val="20"/>
                <w:szCs w:val="20"/>
              </w:rPr>
              <w:t>decomposable degradable organic carbon</w:t>
            </w:r>
          </w:p>
        </w:tc>
      </w:tr>
      <w:tr w:rsidR="00C82DF6" w:rsidRPr="00261B7A" w14:paraId="31ACF031" w14:textId="77777777" w:rsidTr="004610C9">
        <w:tc>
          <w:tcPr>
            <w:tcW w:w="1526" w:type="dxa"/>
            <w:shd w:val="clear" w:color="auto" w:fill="auto"/>
          </w:tcPr>
          <w:p w14:paraId="66F2C418"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DEF</w:t>
            </w:r>
          </w:p>
        </w:tc>
        <w:tc>
          <w:tcPr>
            <w:tcW w:w="7092" w:type="dxa"/>
            <w:shd w:val="clear" w:color="auto" w:fill="auto"/>
          </w:tcPr>
          <w:p w14:paraId="0A59CA27"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diesel exhaust fluid</w:t>
            </w:r>
          </w:p>
        </w:tc>
      </w:tr>
      <w:tr w:rsidR="00C82DF6" w:rsidRPr="00261B7A" w14:paraId="73586EB7" w14:textId="77777777" w:rsidTr="004610C9">
        <w:tc>
          <w:tcPr>
            <w:tcW w:w="1526" w:type="dxa"/>
            <w:shd w:val="clear" w:color="auto" w:fill="auto"/>
          </w:tcPr>
          <w:p w14:paraId="52876037"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DMD</w:t>
            </w:r>
          </w:p>
        </w:tc>
        <w:tc>
          <w:tcPr>
            <w:tcW w:w="7092" w:type="dxa"/>
            <w:shd w:val="clear" w:color="auto" w:fill="auto"/>
          </w:tcPr>
          <w:p w14:paraId="2E8304B5"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dry-matter digestibility</w:t>
            </w:r>
          </w:p>
        </w:tc>
      </w:tr>
      <w:tr w:rsidR="00C82DF6" w:rsidRPr="00261B7A" w14:paraId="5249B27B" w14:textId="77777777" w:rsidTr="004610C9">
        <w:tc>
          <w:tcPr>
            <w:tcW w:w="1526" w:type="dxa"/>
            <w:shd w:val="clear" w:color="auto" w:fill="auto"/>
          </w:tcPr>
          <w:p w14:paraId="229C4FF4"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DMI</w:t>
            </w:r>
          </w:p>
        </w:tc>
        <w:tc>
          <w:tcPr>
            <w:tcW w:w="7092" w:type="dxa"/>
            <w:shd w:val="clear" w:color="auto" w:fill="auto"/>
          </w:tcPr>
          <w:p w14:paraId="61B405A7"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dry-matter intake</w:t>
            </w:r>
          </w:p>
        </w:tc>
      </w:tr>
      <w:tr w:rsidR="00C82DF6" w:rsidRPr="00261B7A" w14:paraId="155155EE" w14:textId="77777777" w:rsidTr="004610C9">
        <w:tc>
          <w:tcPr>
            <w:tcW w:w="1526" w:type="dxa"/>
            <w:shd w:val="clear" w:color="auto" w:fill="auto"/>
          </w:tcPr>
          <w:p w14:paraId="7050F837" w14:textId="77777777" w:rsidR="00C82DF6" w:rsidRPr="00261B7A" w:rsidRDefault="00C82DF6" w:rsidP="003A763F">
            <w:pPr>
              <w:pStyle w:val="BodyText"/>
              <w:spacing w:after="0"/>
              <w:rPr>
                <w:rFonts w:eastAsia="Calibri" w:cs="Calibri"/>
                <w:b/>
                <w:sz w:val="20"/>
                <w:szCs w:val="20"/>
              </w:rPr>
            </w:pPr>
            <w:r w:rsidRPr="00261B7A">
              <w:rPr>
                <w:rFonts w:cs="Calibri"/>
                <w:b/>
                <w:sz w:val="20"/>
                <w:szCs w:val="20"/>
              </w:rPr>
              <w:t>DOC</w:t>
            </w:r>
          </w:p>
        </w:tc>
        <w:tc>
          <w:tcPr>
            <w:tcW w:w="7092" w:type="dxa"/>
            <w:shd w:val="clear" w:color="auto" w:fill="auto"/>
          </w:tcPr>
          <w:p w14:paraId="6D4F4685"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degradable organic carbon</w:t>
            </w:r>
          </w:p>
        </w:tc>
      </w:tr>
      <w:tr w:rsidR="00C82DF6" w:rsidRPr="00261B7A" w14:paraId="1AB5CA66" w14:textId="77777777" w:rsidTr="004610C9">
        <w:tc>
          <w:tcPr>
            <w:tcW w:w="1526" w:type="dxa"/>
            <w:shd w:val="clear" w:color="auto" w:fill="auto"/>
          </w:tcPr>
          <w:p w14:paraId="6C5A3771" w14:textId="77777777" w:rsidR="00C82DF6" w:rsidRPr="00261B7A" w:rsidRDefault="00C82DF6" w:rsidP="003A763F">
            <w:pPr>
              <w:pStyle w:val="BodyText"/>
              <w:spacing w:after="0"/>
              <w:rPr>
                <w:rFonts w:cs="Calibri"/>
                <w:b/>
                <w:bCs/>
                <w:sz w:val="20"/>
                <w:szCs w:val="20"/>
              </w:rPr>
            </w:pPr>
            <w:r w:rsidRPr="00261B7A">
              <w:rPr>
                <w:rFonts w:cs="Calibri"/>
                <w:b/>
                <w:bCs/>
                <w:sz w:val="20"/>
                <w:szCs w:val="20"/>
              </w:rPr>
              <w:t>DOCf</w:t>
            </w:r>
          </w:p>
        </w:tc>
        <w:tc>
          <w:tcPr>
            <w:tcW w:w="7092" w:type="dxa"/>
            <w:shd w:val="clear" w:color="auto" w:fill="auto"/>
          </w:tcPr>
          <w:p w14:paraId="5C0DDBCA" w14:textId="77777777" w:rsidR="00C82DF6" w:rsidRPr="00261B7A" w:rsidRDefault="00C82DF6" w:rsidP="003A763F">
            <w:pPr>
              <w:pStyle w:val="BodyText"/>
              <w:spacing w:after="0"/>
              <w:rPr>
                <w:rFonts w:cs="Calibri"/>
                <w:sz w:val="20"/>
                <w:szCs w:val="20"/>
              </w:rPr>
            </w:pPr>
            <w:r w:rsidRPr="00261B7A">
              <w:rPr>
                <w:rFonts w:cs="Calibri"/>
                <w:sz w:val="20"/>
                <w:szCs w:val="20"/>
              </w:rPr>
              <w:t>fraction of degradable organic carbon</w:t>
            </w:r>
          </w:p>
        </w:tc>
      </w:tr>
      <w:tr w:rsidR="00C82DF6" w:rsidRPr="00261B7A" w14:paraId="68E6F6F4" w14:textId="77777777" w:rsidTr="004610C9">
        <w:tc>
          <w:tcPr>
            <w:tcW w:w="1526" w:type="dxa"/>
            <w:shd w:val="clear" w:color="auto" w:fill="auto"/>
          </w:tcPr>
          <w:p w14:paraId="4B2261C1"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DPFI</w:t>
            </w:r>
          </w:p>
        </w:tc>
        <w:tc>
          <w:tcPr>
            <w:tcW w:w="7092" w:type="dxa"/>
            <w:shd w:val="clear" w:color="auto" w:fill="auto"/>
          </w:tcPr>
          <w:p w14:paraId="010CF385" w14:textId="570FA705"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 xml:space="preserve">Delivery of Petroleum Fuels by Industry </w:t>
            </w:r>
            <w:r w:rsidR="007D314C" w:rsidRPr="00261B7A">
              <w:rPr>
                <w:rFonts w:eastAsia="Calibri" w:cs="Calibri"/>
                <w:sz w:val="20"/>
                <w:szCs w:val="20"/>
              </w:rPr>
              <w:t>survey</w:t>
            </w:r>
          </w:p>
        </w:tc>
      </w:tr>
      <w:tr w:rsidR="00C82DF6" w:rsidRPr="00261B7A" w14:paraId="1CEE622E" w14:textId="77777777" w:rsidTr="004610C9">
        <w:tc>
          <w:tcPr>
            <w:tcW w:w="1526" w:type="dxa"/>
            <w:shd w:val="clear" w:color="auto" w:fill="auto"/>
          </w:tcPr>
          <w:p w14:paraId="7F9CCCF9"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EEZ</w:t>
            </w:r>
          </w:p>
        </w:tc>
        <w:tc>
          <w:tcPr>
            <w:tcW w:w="7092" w:type="dxa"/>
            <w:shd w:val="clear" w:color="auto" w:fill="auto"/>
          </w:tcPr>
          <w:p w14:paraId="3D706C0F"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Exclusive Economic Zone</w:t>
            </w:r>
          </w:p>
        </w:tc>
      </w:tr>
      <w:tr w:rsidR="00C82DF6" w:rsidRPr="00261B7A" w14:paraId="14BA98ED" w14:textId="77777777" w:rsidTr="004610C9">
        <w:tc>
          <w:tcPr>
            <w:tcW w:w="1526" w:type="dxa"/>
            <w:shd w:val="clear" w:color="auto" w:fill="auto"/>
          </w:tcPr>
          <w:p w14:paraId="00393351"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EF </w:t>
            </w:r>
          </w:p>
        </w:tc>
        <w:tc>
          <w:tcPr>
            <w:tcW w:w="7092" w:type="dxa"/>
            <w:shd w:val="clear" w:color="auto" w:fill="auto"/>
          </w:tcPr>
          <w:p w14:paraId="2D724B2C"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emission factor</w:t>
            </w:r>
          </w:p>
        </w:tc>
      </w:tr>
      <w:tr w:rsidR="00C82DF6" w:rsidRPr="00261B7A" w14:paraId="5298020C" w14:textId="77777777" w:rsidTr="004610C9">
        <w:tc>
          <w:tcPr>
            <w:tcW w:w="1526" w:type="dxa"/>
            <w:shd w:val="clear" w:color="auto" w:fill="auto"/>
          </w:tcPr>
          <w:p w14:paraId="558977F7"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EF</w:t>
            </w:r>
            <w:r w:rsidRPr="00261B7A">
              <w:rPr>
                <w:rFonts w:eastAsia="Calibri" w:cs="Calibri"/>
                <w:b/>
                <w:sz w:val="20"/>
                <w:szCs w:val="20"/>
                <w:vertAlign w:val="subscript"/>
              </w:rPr>
              <w:t>3</w:t>
            </w:r>
          </w:p>
        </w:tc>
        <w:tc>
          <w:tcPr>
            <w:tcW w:w="7092" w:type="dxa"/>
            <w:shd w:val="clear" w:color="auto" w:fill="auto"/>
          </w:tcPr>
          <w:p w14:paraId="15CC1D98"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emission factor for N</w:t>
            </w:r>
            <w:r w:rsidRPr="00261B7A">
              <w:rPr>
                <w:rFonts w:cs="Calibri"/>
                <w:sz w:val="20"/>
                <w:szCs w:val="20"/>
                <w:vertAlign w:val="subscript"/>
              </w:rPr>
              <w:t>2</w:t>
            </w:r>
            <w:r w:rsidRPr="00261B7A">
              <w:rPr>
                <w:rFonts w:cs="Calibri"/>
                <w:sz w:val="20"/>
                <w:szCs w:val="20"/>
              </w:rPr>
              <w:t>O emissions from urine and dung nitrogen</w:t>
            </w:r>
          </w:p>
        </w:tc>
      </w:tr>
      <w:tr w:rsidR="00C82DF6" w:rsidRPr="00261B7A" w14:paraId="512F799D" w14:textId="77777777" w:rsidTr="004610C9">
        <w:tc>
          <w:tcPr>
            <w:tcW w:w="1526" w:type="dxa"/>
            <w:shd w:val="clear" w:color="auto" w:fill="auto"/>
          </w:tcPr>
          <w:p w14:paraId="2C93582F" w14:textId="77777777" w:rsidR="00C82DF6" w:rsidRPr="00261B7A" w:rsidRDefault="00C82DF6" w:rsidP="003A763F">
            <w:pPr>
              <w:pStyle w:val="BodyText"/>
              <w:spacing w:after="0"/>
              <w:rPr>
                <w:rFonts w:eastAsia="Calibri" w:cs="Calibri"/>
                <w:b/>
                <w:bCs/>
                <w:sz w:val="20"/>
                <w:szCs w:val="20"/>
              </w:rPr>
            </w:pPr>
            <w:r w:rsidRPr="00261B7A">
              <w:rPr>
                <w:rFonts w:cs="Calibri"/>
                <w:b/>
                <w:bCs/>
                <w:sz w:val="20"/>
                <w:szCs w:val="20"/>
              </w:rPr>
              <w:t>EF</w:t>
            </w:r>
            <w:r w:rsidRPr="00261B7A">
              <w:rPr>
                <w:rFonts w:cs="Calibri"/>
                <w:b/>
                <w:bCs/>
                <w:sz w:val="20"/>
                <w:szCs w:val="20"/>
                <w:vertAlign w:val="subscript"/>
              </w:rPr>
              <w:t>3,PRP</w:t>
            </w:r>
          </w:p>
        </w:tc>
        <w:tc>
          <w:tcPr>
            <w:tcW w:w="7092" w:type="dxa"/>
            <w:shd w:val="clear" w:color="auto" w:fill="auto"/>
          </w:tcPr>
          <w:p w14:paraId="2BAAC40A"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emission factor for N</w:t>
            </w:r>
            <w:r w:rsidRPr="00261B7A">
              <w:rPr>
                <w:rFonts w:cs="Calibri"/>
                <w:sz w:val="20"/>
                <w:szCs w:val="20"/>
                <w:vertAlign w:val="subscript"/>
              </w:rPr>
              <w:t>2</w:t>
            </w:r>
            <w:r w:rsidRPr="00261B7A">
              <w:rPr>
                <w:rFonts w:cs="Calibri"/>
                <w:sz w:val="20"/>
                <w:szCs w:val="20"/>
              </w:rPr>
              <w:t>O emissions from urine and dung nitrogen deposited on pasture, range and paddock by grazing animals</w:t>
            </w:r>
          </w:p>
        </w:tc>
      </w:tr>
      <w:tr w:rsidR="00C82DF6" w:rsidRPr="00261B7A" w14:paraId="6F5D813A" w14:textId="77777777" w:rsidTr="004610C9">
        <w:tc>
          <w:tcPr>
            <w:tcW w:w="1526" w:type="dxa"/>
            <w:shd w:val="clear" w:color="auto" w:fill="auto"/>
          </w:tcPr>
          <w:p w14:paraId="25596EE7"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EPA</w:t>
            </w:r>
          </w:p>
        </w:tc>
        <w:tc>
          <w:tcPr>
            <w:tcW w:w="7092" w:type="dxa"/>
            <w:shd w:val="clear" w:color="auto" w:fill="auto"/>
          </w:tcPr>
          <w:p w14:paraId="730058D9"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Environmental Protection Authority</w:t>
            </w:r>
          </w:p>
        </w:tc>
      </w:tr>
      <w:tr w:rsidR="00C82DF6" w:rsidRPr="00261B7A" w14:paraId="2E1589F8" w14:textId="77777777" w:rsidTr="004610C9">
        <w:tc>
          <w:tcPr>
            <w:tcW w:w="1526" w:type="dxa"/>
            <w:shd w:val="clear" w:color="auto" w:fill="auto"/>
          </w:tcPr>
          <w:p w14:paraId="71338CC5"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ERT </w:t>
            </w:r>
          </w:p>
        </w:tc>
        <w:tc>
          <w:tcPr>
            <w:tcW w:w="7092" w:type="dxa"/>
            <w:shd w:val="clear" w:color="auto" w:fill="auto"/>
          </w:tcPr>
          <w:p w14:paraId="61AC67C3"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expert review team</w:t>
            </w:r>
          </w:p>
        </w:tc>
      </w:tr>
      <w:tr w:rsidR="00C82DF6" w:rsidRPr="00261B7A" w14:paraId="62160140" w14:textId="77777777" w:rsidTr="004610C9">
        <w:tc>
          <w:tcPr>
            <w:tcW w:w="1526" w:type="dxa"/>
            <w:shd w:val="clear" w:color="auto" w:fill="auto"/>
          </w:tcPr>
          <w:p w14:paraId="0B5AB8AD"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ERU</w:t>
            </w:r>
          </w:p>
        </w:tc>
        <w:tc>
          <w:tcPr>
            <w:tcW w:w="7092" w:type="dxa"/>
            <w:shd w:val="clear" w:color="auto" w:fill="auto"/>
          </w:tcPr>
          <w:p w14:paraId="326B8690"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emission reduction unit</w:t>
            </w:r>
          </w:p>
        </w:tc>
      </w:tr>
      <w:tr w:rsidR="00C82DF6" w:rsidRPr="00261B7A" w14:paraId="6EBAC791" w14:textId="77777777" w:rsidTr="004610C9">
        <w:tc>
          <w:tcPr>
            <w:tcW w:w="1526" w:type="dxa"/>
            <w:shd w:val="clear" w:color="auto" w:fill="auto"/>
          </w:tcPr>
          <w:p w14:paraId="013AE446"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ETS</w:t>
            </w:r>
          </w:p>
        </w:tc>
        <w:tc>
          <w:tcPr>
            <w:tcW w:w="7092" w:type="dxa"/>
            <w:shd w:val="clear" w:color="auto" w:fill="auto"/>
          </w:tcPr>
          <w:p w14:paraId="4B53F3BF"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Emissions Trading Scheme</w:t>
            </w:r>
          </w:p>
        </w:tc>
      </w:tr>
      <w:tr w:rsidR="00C82DF6" w:rsidRPr="00261B7A" w14:paraId="391D29BF" w14:textId="77777777" w:rsidTr="004610C9">
        <w:tc>
          <w:tcPr>
            <w:tcW w:w="1526" w:type="dxa"/>
            <w:shd w:val="clear" w:color="auto" w:fill="auto"/>
          </w:tcPr>
          <w:p w14:paraId="0E870189"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FAME</w:t>
            </w:r>
          </w:p>
        </w:tc>
        <w:tc>
          <w:tcPr>
            <w:tcW w:w="7092" w:type="dxa"/>
            <w:shd w:val="clear" w:color="auto" w:fill="auto"/>
          </w:tcPr>
          <w:p w14:paraId="6C52A1FC"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fatty acid methyl ester</w:t>
            </w:r>
          </w:p>
        </w:tc>
      </w:tr>
      <w:tr w:rsidR="00C82DF6" w:rsidRPr="00261B7A" w14:paraId="0E27EB95" w14:textId="77777777" w:rsidTr="004610C9">
        <w:tc>
          <w:tcPr>
            <w:tcW w:w="1526" w:type="dxa"/>
            <w:shd w:val="clear" w:color="auto" w:fill="auto"/>
          </w:tcPr>
          <w:p w14:paraId="0B61252B"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FAOSTAT </w:t>
            </w:r>
          </w:p>
        </w:tc>
        <w:tc>
          <w:tcPr>
            <w:tcW w:w="7092" w:type="dxa"/>
            <w:shd w:val="clear" w:color="auto" w:fill="auto"/>
          </w:tcPr>
          <w:p w14:paraId="28DBAA7B"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Database produced by the Statistics Division of the Food and Agriculture Organization the United Nations</w:t>
            </w:r>
          </w:p>
        </w:tc>
      </w:tr>
      <w:tr w:rsidR="00C82DF6" w:rsidRPr="00261B7A" w14:paraId="0782BC7B" w14:textId="77777777" w:rsidTr="004610C9">
        <w:tc>
          <w:tcPr>
            <w:tcW w:w="1526" w:type="dxa"/>
            <w:shd w:val="clear" w:color="auto" w:fill="auto"/>
          </w:tcPr>
          <w:p w14:paraId="2C855DC4"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FDM</w:t>
            </w:r>
          </w:p>
        </w:tc>
        <w:tc>
          <w:tcPr>
            <w:tcW w:w="7092" w:type="dxa"/>
            <w:shd w:val="clear" w:color="auto" w:fill="auto"/>
          </w:tcPr>
          <w:p w14:paraId="136AE93E"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faecal dry matter</w:t>
            </w:r>
          </w:p>
        </w:tc>
      </w:tr>
      <w:tr w:rsidR="00C82DF6" w:rsidRPr="00261B7A" w14:paraId="456CEF8A" w14:textId="77777777" w:rsidTr="004610C9">
        <w:tc>
          <w:tcPr>
            <w:tcW w:w="1526" w:type="dxa"/>
            <w:shd w:val="clear" w:color="auto" w:fill="auto"/>
          </w:tcPr>
          <w:p w14:paraId="3D855CB4"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FENZ</w:t>
            </w:r>
          </w:p>
        </w:tc>
        <w:tc>
          <w:tcPr>
            <w:tcW w:w="7092" w:type="dxa"/>
            <w:shd w:val="clear" w:color="auto" w:fill="auto"/>
          </w:tcPr>
          <w:p w14:paraId="40422AB3"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Fire and Emergency New Zealand</w:t>
            </w:r>
          </w:p>
        </w:tc>
      </w:tr>
      <w:tr w:rsidR="00C82DF6" w:rsidRPr="00261B7A" w14:paraId="329427E9" w14:textId="77777777" w:rsidTr="004610C9">
        <w:tc>
          <w:tcPr>
            <w:tcW w:w="1526" w:type="dxa"/>
            <w:shd w:val="clear" w:color="auto" w:fill="auto"/>
          </w:tcPr>
          <w:p w14:paraId="7F2E6B27"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FMRL</w:t>
            </w:r>
          </w:p>
        </w:tc>
        <w:tc>
          <w:tcPr>
            <w:tcW w:w="7092" w:type="dxa"/>
            <w:shd w:val="clear" w:color="auto" w:fill="auto"/>
          </w:tcPr>
          <w:p w14:paraId="32D1B832"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forest management reference level</w:t>
            </w:r>
          </w:p>
        </w:tc>
      </w:tr>
      <w:tr w:rsidR="00C82DF6" w:rsidRPr="00261B7A" w14:paraId="51341DCC" w14:textId="77777777" w:rsidTr="004610C9">
        <w:tc>
          <w:tcPr>
            <w:tcW w:w="1526" w:type="dxa"/>
            <w:shd w:val="clear" w:color="auto" w:fill="auto"/>
          </w:tcPr>
          <w:p w14:paraId="78CBF600"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FFSR</w:t>
            </w:r>
          </w:p>
        </w:tc>
        <w:tc>
          <w:tcPr>
            <w:tcW w:w="7092" w:type="dxa"/>
            <w:shd w:val="clear" w:color="auto" w:fill="auto"/>
          </w:tcPr>
          <w:p w14:paraId="43A94E78"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Fossil Fuel Subsidy Reform</w:t>
            </w:r>
          </w:p>
        </w:tc>
      </w:tr>
      <w:tr w:rsidR="00C82DF6" w:rsidRPr="00261B7A" w14:paraId="565CC7DD" w14:textId="77777777" w:rsidTr="004610C9">
        <w:tc>
          <w:tcPr>
            <w:tcW w:w="1526" w:type="dxa"/>
            <w:shd w:val="clear" w:color="auto" w:fill="auto"/>
          </w:tcPr>
          <w:p w14:paraId="5767EA88"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FMRL</w:t>
            </w:r>
            <w:r w:rsidRPr="00261B7A">
              <w:rPr>
                <w:rFonts w:eastAsia="Calibri" w:cs="Calibri"/>
                <w:b/>
                <w:i/>
                <w:sz w:val="20"/>
                <w:szCs w:val="20"/>
                <w:vertAlign w:val="subscript"/>
              </w:rPr>
              <w:t>corr</w:t>
            </w:r>
          </w:p>
        </w:tc>
        <w:tc>
          <w:tcPr>
            <w:tcW w:w="7092" w:type="dxa"/>
            <w:shd w:val="clear" w:color="auto" w:fill="auto"/>
          </w:tcPr>
          <w:p w14:paraId="489D51ED"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technically corrected forest management reference level</w:t>
            </w:r>
          </w:p>
        </w:tc>
      </w:tr>
      <w:tr w:rsidR="00C82DF6" w:rsidRPr="00261B7A" w14:paraId="011FD9FA" w14:textId="77777777" w:rsidTr="004610C9">
        <w:tc>
          <w:tcPr>
            <w:tcW w:w="1526" w:type="dxa"/>
            <w:shd w:val="clear" w:color="auto" w:fill="auto"/>
          </w:tcPr>
          <w:p w14:paraId="406C5029"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FOD</w:t>
            </w:r>
          </w:p>
        </w:tc>
        <w:tc>
          <w:tcPr>
            <w:tcW w:w="7092" w:type="dxa"/>
            <w:shd w:val="clear" w:color="auto" w:fill="auto"/>
          </w:tcPr>
          <w:p w14:paraId="164C1DCC"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 xml:space="preserve">first order decay </w:t>
            </w:r>
          </w:p>
        </w:tc>
      </w:tr>
      <w:tr w:rsidR="00C82DF6" w:rsidRPr="00261B7A" w14:paraId="78231ED0" w14:textId="77777777" w:rsidTr="004610C9">
        <w:tc>
          <w:tcPr>
            <w:tcW w:w="1526" w:type="dxa"/>
            <w:shd w:val="clear" w:color="auto" w:fill="auto"/>
          </w:tcPr>
          <w:p w14:paraId="3DFA0E82"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FOLPI </w:t>
            </w:r>
          </w:p>
        </w:tc>
        <w:tc>
          <w:tcPr>
            <w:tcW w:w="7092" w:type="dxa"/>
            <w:shd w:val="clear" w:color="auto" w:fill="auto"/>
          </w:tcPr>
          <w:p w14:paraId="3D0B5E08"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Forestry-Oriented Linear Programming Interpreter</w:t>
            </w:r>
          </w:p>
        </w:tc>
      </w:tr>
      <w:tr w:rsidR="00C82DF6" w:rsidRPr="00261B7A" w14:paraId="08A41B79" w14:textId="77777777" w:rsidTr="004610C9">
        <w:tc>
          <w:tcPr>
            <w:tcW w:w="1526" w:type="dxa"/>
            <w:shd w:val="clear" w:color="auto" w:fill="auto"/>
          </w:tcPr>
          <w:p w14:paraId="7661FD75"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GDP</w:t>
            </w:r>
          </w:p>
        </w:tc>
        <w:tc>
          <w:tcPr>
            <w:tcW w:w="7092" w:type="dxa"/>
            <w:shd w:val="clear" w:color="auto" w:fill="auto"/>
          </w:tcPr>
          <w:p w14:paraId="284560ED"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gross domestic product</w:t>
            </w:r>
          </w:p>
        </w:tc>
      </w:tr>
      <w:tr w:rsidR="00C82DF6" w:rsidRPr="00261B7A" w14:paraId="3175D404" w14:textId="77777777" w:rsidTr="004610C9">
        <w:tc>
          <w:tcPr>
            <w:tcW w:w="1526" w:type="dxa"/>
            <w:shd w:val="clear" w:color="auto" w:fill="auto"/>
          </w:tcPr>
          <w:p w14:paraId="1ABEAD5A"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GEI</w:t>
            </w:r>
          </w:p>
        </w:tc>
        <w:tc>
          <w:tcPr>
            <w:tcW w:w="7092" w:type="dxa"/>
            <w:shd w:val="clear" w:color="auto" w:fill="auto"/>
          </w:tcPr>
          <w:p w14:paraId="200D189C"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gross energy intake</w:t>
            </w:r>
          </w:p>
        </w:tc>
      </w:tr>
      <w:tr w:rsidR="00C82DF6" w:rsidRPr="00261B7A" w14:paraId="3A96CDA2" w14:textId="77777777" w:rsidTr="004610C9">
        <w:tc>
          <w:tcPr>
            <w:tcW w:w="1526" w:type="dxa"/>
            <w:shd w:val="clear" w:color="auto" w:fill="auto"/>
          </w:tcPr>
          <w:p w14:paraId="105371E7"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Gg</w:t>
            </w:r>
          </w:p>
        </w:tc>
        <w:tc>
          <w:tcPr>
            <w:tcW w:w="7092" w:type="dxa"/>
            <w:shd w:val="clear" w:color="auto" w:fill="auto"/>
          </w:tcPr>
          <w:p w14:paraId="6C45533A"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gigagram(s)</w:t>
            </w:r>
          </w:p>
        </w:tc>
      </w:tr>
      <w:tr w:rsidR="00C82DF6" w:rsidRPr="00261B7A" w14:paraId="77BA1210" w14:textId="77777777" w:rsidTr="004610C9">
        <w:tc>
          <w:tcPr>
            <w:tcW w:w="1526" w:type="dxa"/>
            <w:shd w:val="clear" w:color="auto" w:fill="auto"/>
          </w:tcPr>
          <w:p w14:paraId="465B998A"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GHG</w:t>
            </w:r>
          </w:p>
        </w:tc>
        <w:tc>
          <w:tcPr>
            <w:tcW w:w="7092" w:type="dxa"/>
            <w:shd w:val="clear" w:color="auto" w:fill="auto"/>
          </w:tcPr>
          <w:p w14:paraId="431E2D3B"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greenhouse gas</w:t>
            </w:r>
          </w:p>
        </w:tc>
      </w:tr>
      <w:tr w:rsidR="00C82DF6" w:rsidRPr="00261B7A" w14:paraId="1B8E73CD" w14:textId="77777777" w:rsidTr="004610C9">
        <w:tc>
          <w:tcPr>
            <w:tcW w:w="1526" w:type="dxa"/>
            <w:shd w:val="clear" w:color="auto" w:fill="auto"/>
          </w:tcPr>
          <w:p w14:paraId="3853E3A7"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GIS</w:t>
            </w:r>
          </w:p>
        </w:tc>
        <w:tc>
          <w:tcPr>
            <w:tcW w:w="7092" w:type="dxa"/>
            <w:shd w:val="clear" w:color="auto" w:fill="auto"/>
          </w:tcPr>
          <w:p w14:paraId="0551509E"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geographic information system</w:t>
            </w:r>
          </w:p>
        </w:tc>
      </w:tr>
      <w:tr w:rsidR="00C82DF6" w:rsidRPr="00261B7A" w14:paraId="3164A7E2" w14:textId="77777777" w:rsidTr="004610C9">
        <w:tc>
          <w:tcPr>
            <w:tcW w:w="1526" w:type="dxa"/>
            <w:shd w:val="clear" w:color="auto" w:fill="auto"/>
          </w:tcPr>
          <w:p w14:paraId="42FD2E01"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GJ</w:t>
            </w:r>
          </w:p>
        </w:tc>
        <w:tc>
          <w:tcPr>
            <w:tcW w:w="7092" w:type="dxa"/>
            <w:shd w:val="clear" w:color="auto" w:fill="auto"/>
          </w:tcPr>
          <w:p w14:paraId="05DAAE7D"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gigajoule(s)</w:t>
            </w:r>
          </w:p>
        </w:tc>
      </w:tr>
      <w:tr w:rsidR="00C82DF6" w:rsidRPr="00261B7A" w14:paraId="7CFB5437" w14:textId="77777777" w:rsidTr="004610C9">
        <w:tc>
          <w:tcPr>
            <w:tcW w:w="1526" w:type="dxa"/>
            <w:shd w:val="clear" w:color="auto" w:fill="auto"/>
          </w:tcPr>
          <w:p w14:paraId="7D8964F6" w14:textId="77777777" w:rsidR="00C82DF6" w:rsidRPr="00261B7A" w:rsidRDefault="00C82DF6" w:rsidP="003A763F">
            <w:pPr>
              <w:pStyle w:val="BodyText"/>
              <w:spacing w:after="0"/>
              <w:rPr>
                <w:rFonts w:cs="Calibri"/>
                <w:b/>
                <w:sz w:val="20"/>
                <w:szCs w:val="20"/>
              </w:rPr>
            </w:pPr>
            <w:r w:rsidRPr="00261B7A">
              <w:rPr>
                <w:rFonts w:cs="Calibri"/>
                <w:b/>
                <w:sz w:val="20"/>
                <w:szCs w:val="20"/>
              </w:rPr>
              <w:t>GPS</w:t>
            </w:r>
          </w:p>
        </w:tc>
        <w:tc>
          <w:tcPr>
            <w:tcW w:w="7092" w:type="dxa"/>
            <w:shd w:val="clear" w:color="auto" w:fill="auto"/>
          </w:tcPr>
          <w:p w14:paraId="1AF325BC"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global positioning system</w:t>
            </w:r>
          </w:p>
        </w:tc>
      </w:tr>
      <w:tr w:rsidR="00C82DF6" w:rsidRPr="00261B7A" w14:paraId="1118E8CC" w14:textId="77777777" w:rsidTr="004610C9">
        <w:tc>
          <w:tcPr>
            <w:tcW w:w="1526" w:type="dxa"/>
            <w:shd w:val="clear" w:color="auto" w:fill="auto"/>
          </w:tcPr>
          <w:p w14:paraId="50DAC7A7" w14:textId="77777777" w:rsidR="00C82DF6" w:rsidRPr="00261B7A" w:rsidRDefault="00C82DF6" w:rsidP="003A763F">
            <w:pPr>
              <w:pStyle w:val="BodyText"/>
              <w:spacing w:after="0"/>
              <w:rPr>
                <w:rFonts w:cs="Calibri"/>
                <w:b/>
                <w:sz w:val="20"/>
                <w:szCs w:val="20"/>
              </w:rPr>
            </w:pPr>
            <w:r w:rsidRPr="00261B7A">
              <w:rPr>
                <w:rFonts w:cs="Calibri"/>
                <w:b/>
                <w:sz w:val="20"/>
                <w:szCs w:val="20"/>
              </w:rPr>
              <w:t>GRA</w:t>
            </w:r>
          </w:p>
        </w:tc>
        <w:tc>
          <w:tcPr>
            <w:tcW w:w="7092" w:type="dxa"/>
            <w:shd w:val="clear" w:color="auto" w:fill="auto"/>
          </w:tcPr>
          <w:p w14:paraId="742A2D4D"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Global Research Alliance on Agricultural Greenhouse Gases</w:t>
            </w:r>
          </w:p>
        </w:tc>
      </w:tr>
      <w:tr w:rsidR="00C82DF6" w:rsidRPr="00261B7A" w14:paraId="4B242678" w14:textId="77777777" w:rsidTr="004610C9">
        <w:tc>
          <w:tcPr>
            <w:tcW w:w="1526" w:type="dxa"/>
            <w:shd w:val="clear" w:color="auto" w:fill="auto"/>
          </w:tcPr>
          <w:p w14:paraId="03A79D79" w14:textId="77777777" w:rsidR="00C82DF6" w:rsidRPr="00261B7A" w:rsidRDefault="00C82DF6" w:rsidP="003A763F">
            <w:pPr>
              <w:pStyle w:val="BodyText"/>
              <w:spacing w:after="0"/>
              <w:rPr>
                <w:rFonts w:cs="Calibri"/>
                <w:b/>
                <w:sz w:val="20"/>
                <w:szCs w:val="20"/>
              </w:rPr>
            </w:pPr>
            <w:r w:rsidRPr="00261B7A">
              <w:rPr>
                <w:rFonts w:cs="Calibri"/>
                <w:b/>
                <w:sz w:val="20"/>
                <w:szCs w:val="20"/>
              </w:rPr>
              <w:lastRenderedPageBreak/>
              <w:t>GST</w:t>
            </w:r>
          </w:p>
        </w:tc>
        <w:tc>
          <w:tcPr>
            <w:tcW w:w="7092" w:type="dxa"/>
            <w:shd w:val="clear" w:color="auto" w:fill="auto"/>
          </w:tcPr>
          <w:p w14:paraId="5050E9BF"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 xml:space="preserve">goods and services tax </w:t>
            </w:r>
          </w:p>
        </w:tc>
      </w:tr>
      <w:tr w:rsidR="00C82DF6" w:rsidRPr="00261B7A" w14:paraId="1217990A" w14:textId="77777777" w:rsidTr="004610C9">
        <w:tc>
          <w:tcPr>
            <w:tcW w:w="1526" w:type="dxa"/>
            <w:shd w:val="clear" w:color="auto" w:fill="auto"/>
          </w:tcPr>
          <w:p w14:paraId="44E49A84" w14:textId="77777777" w:rsidR="00C82DF6" w:rsidRPr="00261B7A" w:rsidRDefault="00C82DF6" w:rsidP="003A763F">
            <w:pPr>
              <w:pStyle w:val="BodyText"/>
              <w:spacing w:after="0"/>
              <w:rPr>
                <w:rFonts w:cs="Calibri"/>
                <w:b/>
                <w:sz w:val="20"/>
                <w:szCs w:val="20"/>
              </w:rPr>
            </w:pPr>
            <w:r w:rsidRPr="00261B7A">
              <w:rPr>
                <w:rFonts w:cs="Calibri"/>
                <w:b/>
                <w:sz w:val="20"/>
                <w:szCs w:val="20"/>
              </w:rPr>
              <w:t>G20</w:t>
            </w:r>
          </w:p>
        </w:tc>
        <w:tc>
          <w:tcPr>
            <w:tcW w:w="7092" w:type="dxa"/>
            <w:shd w:val="clear" w:color="auto" w:fill="auto"/>
          </w:tcPr>
          <w:p w14:paraId="11089A64"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Group of Twenty</w:t>
            </w:r>
          </w:p>
        </w:tc>
      </w:tr>
      <w:tr w:rsidR="00C82DF6" w:rsidRPr="00261B7A" w14:paraId="29F5ACE7" w14:textId="77777777" w:rsidTr="004610C9">
        <w:tc>
          <w:tcPr>
            <w:tcW w:w="1526" w:type="dxa"/>
            <w:shd w:val="clear" w:color="auto" w:fill="auto"/>
          </w:tcPr>
          <w:p w14:paraId="2E56DCA4"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ha</w:t>
            </w:r>
          </w:p>
        </w:tc>
        <w:tc>
          <w:tcPr>
            <w:tcW w:w="7092" w:type="dxa"/>
            <w:shd w:val="clear" w:color="auto" w:fill="auto"/>
          </w:tcPr>
          <w:p w14:paraId="555B4868"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hectare(s)</w:t>
            </w:r>
          </w:p>
        </w:tc>
      </w:tr>
      <w:tr w:rsidR="00C82DF6" w:rsidRPr="00261B7A" w14:paraId="1B23634B" w14:textId="77777777" w:rsidTr="004610C9">
        <w:tc>
          <w:tcPr>
            <w:tcW w:w="1526" w:type="dxa"/>
            <w:shd w:val="clear" w:color="auto" w:fill="auto"/>
          </w:tcPr>
          <w:p w14:paraId="50F6DBB4"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HCFC</w:t>
            </w:r>
          </w:p>
        </w:tc>
        <w:tc>
          <w:tcPr>
            <w:tcW w:w="7092" w:type="dxa"/>
            <w:shd w:val="clear" w:color="auto" w:fill="auto"/>
          </w:tcPr>
          <w:p w14:paraId="295774AA"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hydrochlorofluorocarbon</w:t>
            </w:r>
          </w:p>
        </w:tc>
      </w:tr>
      <w:tr w:rsidR="00C82DF6" w:rsidRPr="00261B7A" w14:paraId="54A032A3" w14:textId="77777777" w:rsidTr="004610C9">
        <w:tc>
          <w:tcPr>
            <w:tcW w:w="1526" w:type="dxa"/>
            <w:shd w:val="clear" w:color="auto" w:fill="auto"/>
          </w:tcPr>
          <w:p w14:paraId="37A4FD4D"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HFC</w:t>
            </w:r>
          </w:p>
        </w:tc>
        <w:tc>
          <w:tcPr>
            <w:tcW w:w="7092" w:type="dxa"/>
            <w:shd w:val="clear" w:color="auto" w:fill="auto"/>
          </w:tcPr>
          <w:p w14:paraId="4F9650A2"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hydrofluorocarbon</w:t>
            </w:r>
          </w:p>
        </w:tc>
      </w:tr>
      <w:tr w:rsidR="00C82DF6" w:rsidRPr="00261B7A" w14:paraId="66FB9C54" w14:textId="77777777" w:rsidTr="004610C9">
        <w:tc>
          <w:tcPr>
            <w:tcW w:w="1526" w:type="dxa"/>
            <w:shd w:val="clear" w:color="auto" w:fill="auto"/>
          </w:tcPr>
          <w:p w14:paraId="20C3849D"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HFO</w:t>
            </w:r>
          </w:p>
        </w:tc>
        <w:tc>
          <w:tcPr>
            <w:tcW w:w="7092" w:type="dxa"/>
            <w:shd w:val="clear" w:color="auto" w:fill="auto"/>
          </w:tcPr>
          <w:p w14:paraId="07C33602"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hydrofluoroolefin</w:t>
            </w:r>
          </w:p>
        </w:tc>
      </w:tr>
      <w:tr w:rsidR="00C82DF6" w:rsidRPr="00261B7A" w14:paraId="6F181D8B" w14:textId="77777777" w:rsidTr="004610C9">
        <w:tc>
          <w:tcPr>
            <w:tcW w:w="1526" w:type="dxa"/>
            <w:shd w:val="clear" w:color="auto" w:fill="auto"/>
          </w:tcPr>
          <w:p w14:paraId="5DA925CB"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IAE</w:t>
            </w:r>
          </w:p>
        </w:tc>
        <w:tc>
          <w:tcPr>
            <w:tcW w:w="7092" w:type="dxa"/>
            <w:shd w:val="clear" w:color="auto" w:fill="auto"/>
          </w:tcPr>
          <w:p w14:paraId="3D1BD070" w14:textId="77777777" w:rsidR="00C82DF6" w:rsidRPr="00261B7A" w:rsidRDefault="00C82DF6" w:rsidP="003A763F">
            <w:pPr>
              <w:pStyle w:val="BodyText"/>
              <w:spacing w:after="0"/>
              <w:rPr>
                <w:rFonts w:eastAsia="Calibri" w:cs="Calibri"/>
                <w:sz w:val="20"/>
                <w:szCs w:val="20"/>
              </w:rPr>
            </w:pPr>
            <w:r w:rsidRPr="00261B7A">
              <w:rPr>
                <w:rFonts w:cs="Calibri"/>
                <w:sz w:val="20"/>
                <w:szCs w:val="20"/>
                <w:lang w:eastAsia="en-GB"/>
              </w:rPr>
              <w:t>International Energy Agency</w:t>
            </w:r>
          </w:p>
        </w:tc>
      </w:tr>
      <w:tr w:rsidR="00C82DF6" w:rsidRPr="00261B7A" w14:paraId="46F2B734" w14:textId="77777777" w:rsidTr="004610C9">
        <w:tc>
          <w:tcPr>
            <w:tcW w:w="1526" w:type="dxa"/>
            <w:shd w:val="clear" w:color="auto" w:fill="auto"/>
          </w:tcPr>
          <w:p w14:paraId="0B325AEE"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IDC</w:t>
            </w:r>
          </w:p>
        </w:tc>
        <w:tc>
          <w:tcPr>
            <w:tcW w:w="7092" w:type="dxa"/>
            <w:shd w:val="clear" w:color="auto" w:fill="auto"/>
          </w:tcPr>
          <w:p w14:paraId="25D712A3" w14:textId="77777777" w:rsidR="00C82DF6" w:rsidRPr="00261B7A" w:rsidRDefault="00C82DF6" w:rsidP="003A763F">
            <w:pPr>
              <w:pStyle w:val="BodyText"/>
              <w:spacing w:after="0"/>
              <w:rPr>
                <w:rFonts w:cs="Calibri"/>
                <w:sz w:val="20"/>
                <w:szCs w:val="20"/>
                <w:lang w:eastAsia="en-GB"/>
              </w:rPr>
            </w:pPr>
            <w:r w:rsidRPr="00261B7A">
              <w:rPr>
                <w:rFonts w:cs="Calibri"/>
                <w:sz w:val="20"/>
                <w:szCs w:val="20"/>
                <w:lang w:eastAsia="en-GB"/>
              </w:rPr>
              <w:t>International Development Cooperation</w:t>
            </w:r>
          </w:p>
        </w:tc>
      </w:tr>
      <w:tr w:rsidR="00C82DF6" w:rsidRPr="00261B7A" w14:paraId="70F02AEB" w14:textId="77777777" w:rsidTr="004610C9">
        <w:tc>
          <w:tcPr>
            <w:tcW w:w="1526" w:type="dxa"/>
            <w:shd w:val="clear" w:color="auto" w:fill="auto"/>
          </w:tcPr>
          <w:p w14:paraId="686B2460"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IE</w:t>
            </w:r>
          </w:p>
        </w:tc>
        <w:tc>
          <w:tcPr>
            <w:tcW w:w="7092" w:type="dxa"/>
            <w:shd w:val="clear" w:color="auto" w:fill="auto"/>
          </w:tcPr>
          <w:p w14:paraId="715F5296"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included elsewhere</w:t>
            </w:r>
          </w:p>
        </w:tc>
      </w:tr>
      <w:tr w:rsidR="00C82DF6" w:rsidRPr="00261B7A" w14:paraId="36FD2716" w14:textId="77777777" w:rsidTr="004610C9">
        <w:tc>
          <w:tcPr>
            <w:tcW w:w="1526" w:type="dxa"/>
            <w:shd w:val="clear" w:color="auto" w:fill="auto"/>
          </w:tcPr>
          <w:p w14:paraId="48AB5EE6"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IEF</w:t>
            </w:r>
          </w:p>
        </w:tc>
        <w:tc>
          <w:tcPr>
            <w:tcW w:w="7092" w:type="dxa"/>
            <w:shd w:val="clear" w:color="auto" w:fill="auto"/>
          </w:tcPr>
          <w:p w14:paraId="71647C30"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implied emission factor</w:t>
            </w:r>
          </w:p>
        </w:tc>
      </w:tr>
      <w:tr w:rsidR="00C82DF6" w:rsidRPr="00261B7A" w14:paraId="3B46168D" w14:textId="77777777" w:rsidTr="004610C9">
        <w:tc>
          <w:tcPr>
            <w:tcW w:w="1526" w:type="dxa"/>
            <w:shd w:val="clear" w:color="auto" w:fill="auto"/>
          </w:tcPr>
          <w:p w14:paraId="28D15554"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IPCC </w:t>
            </w:r>
          </w:p>
        </w:tc>
        <w:tc>
          <w:tcPr>
            <w:tcW w:w="7092" w:type="dxa"/>
            <w:shd w:val="clear" w:color="auto" w:fill="auto"/>
          </w:tcPr>
          <w:p w14:paraId="01C3454C"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Intergovernmental Panel on Climate Change</w:t>
            </w:r>
          </w:p>
        </w:tc>
      </w:tr>
      <w:tr w:rsidR="00C82DF6" w:rsidRPr="00261B7A" w14:paraId="5FB05CE1" w14:textId="77777777" w:rsidTr="004610C9">
        <w:tc>
          <w:tcPr>
            <w:tcW w:w="1526" w:type="dxa"/>
            <w:shd w:val="clear" w:color="auto" w:fill="auto"/>
          </w:tcPr>
          <w:p w14:paraId="0ADC03EF"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IPPU </w:t>
            </w:r>
          </w:p>
        </w:tc>
        <w:tc>
          <w:tcPr>
            <w:tcW w:w="7092" w:type="dxa"/>
            <w:shd w:val="clear" w:color="auto" w:fill="auto"/>
          </w:tcPr>
          <w:p w14:paraId="358F90BC"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Industrial Processes and Product Use</w:t>
            </w:r>
          </w:p>
        </w:tc>
      </w:tr>
      <w:tr w:rsidR="00C82DF6" w:rsidRPr="00261B7A" w14:paraId="43977488" w14:textId="77777777" w:rsidTr="004610C9">
        <w:tc>
          <w:tcPr>
            <w:tcW w:w="1526" w:type="dxa"/>
            <w:shd w:val="clear" w:color="auto" w:fill="auto"/>
          </w:tcPr>
          <w:p w14:paraId="0BE802C0" w14:textId="77777777" w:rsidR="00C82DF6" w:rsidRPr="00261B7A" w:rsidRDefault="00C82DF6" w:rsidP="003A763F">
            <w:pPr>
              <w:pStyle w:val="BodyText"/>
              <w:spacing w:after="0"/>
              <w:rPr>
                <w:rFonts w:eastAsia="Calibri" w:cs="Calibri"/>
                <w:b/>
                <w:sz w:val="20"/>
                <w:szCs w:val="20"/>
              </w:rPr>
            </w:pPr>
            <w:r w:rsidRPr="00261B7A">
              <w:rPr>
                <w:rFonts w:cs="Calibri"/>
                <w:b/>
                <w:sz w:val="20"/>
                <w:szCs w:val="20"/>
              </w:rPr>
              <w:t>IRENA</w:t>
            </w:r>
          </w:p>
        </w:tc>
        <w:tc>
          <w:tcPr>
            <w:tcW w:w="7092" w:type="dxa"/>
            <w:shd w:val="clear" w:color="auto" w:fill="auto"/>
          </w:tcPr>
          <w:p w14:paraId="5EBE3F83"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 xml:space="preserve">International Renewable Energy Agency </w:t>
            </w:r>
          </w:p>
        </w:tc>
      </w:tr>
      <w:tr w:rsidR="00C82DF6" w:rsidRPr="00261B7A" w14:paraId="33826F91" w14:textId="77777777" w:rsidTr="004610C9">
        <w:tc>
          <w:tcPr>
            <w:tcW w:w="1526" w:type="dxa"/>
            <w:shd w:val="clear" w:color="auto" w:fill="auto"/>
          </w:tcPr>
          <w:p w14:paraId="245E6D7C" w14:textId="77777777" w:rsidR="00C82DF6" w:rsidRPr="00261B7A" w:rsidRDefault="00C82DF6" w:rsidP="003A763F">
            <w:pPr>
              <w:pStyle w:val="BodyText"/>
              <w:spacing w:after="0"/>
              <w:rPr>
                <w:rFonts w:cs="Calibri"/>
                <w:b/>
                <w:sz w:val="20"/>
                <w:szCs w:val="20"/>
              </w:rPr>
            </w:pPr>
            <w:r w:rsidRPr="00261B7A">
              <w:rPr>
                <w:rFonts w:cs="Calibri"/>
                <w:b/>
                <w:sz w:val="20"/>
                <w:szCs w:val="20"/>
              </w:rPr>
              <w:t>kg</w:t>
            </w:r>
          </w:p>
        </w:tc>
        <w:tc>
          <w:tcPr>
            <w:tcW w:w="7092" w:type="dxa"/>
            <w:shd w:val="clear" w:color="auto" w:fill="auto"/>
          </w:tcPr>
          <w:p w14:paraId="559AECFC" w14:textId="77777777" w:rsidR="00C82DF6" w:rsidRPr="00261B7A" w:rsidRDefault="00C82DF6" w:rsidP="003A763F">
            <w:pPr>
              <w:pStyle w:val="BodyText"/>
              <w:spacing w:after="0"/>
              <w:rPr>
                <w:rFonts w:cs="Calibri"/>
                <w:sz w:val="20"/>
                <w:szCs w:val="20"/>
              </w:rPr>
            </w:pPr>
            <w:r w:rsidRPr="00261B7A">
              <w:rPr>
                <w:rFonts w:cs="Calibri"/>
                <w:sz w:val="20"/>
                <w:szCs w:val="20"/>
              </w:rPr>
              <w:t>kilogram(s)</w:t>
            </w:r>
          </w:p>
        </w:tc>
      </w:tr>
      <w:tr w:rsidR="00C82DF6" w:rsidRPr="00261B7A" w14:paraId="4E640E8D" w14:textId="77777777" w:rsidTr="004610C9">
        <w:tc>
          <w:tcPr>
            <w:tcW w:w="1526" w:type="dxa"/>
            <w:shd w:val="clear" w:color="auto" w:fill="auto"/>
          </w:tcPr>
          <w:p w14:paraId="2DFED65C" w14:textId="77777777" w:rsidR="00C82DF6" w:rsidRPr="00261B7A" w:rsidRDefault="00C82DF6" w:rsidP="003A763F">
            <w:pPr>
              <w:pStyle w:val="BodyText"/>
              <w:spacing w:after="0"/>
              <w:rPr>
                <w:rFonts w:cs="Calibri"/>
                <w:b/>
                <w:sz w:val="20"/>
                <w:szCs w:val="20"/>
              </w:rPr>
            </w:pPr>
            <w:r w:rsidRPr="00261B7A">
              <w:rPr>
                <w:rFonts w:cs="Calibri"/>
                <w:b/>
                <w:sz w:val="20"/>
                <w:szCs w:val="20"/>
              </w:rPr>
              <w:t>kha</w:t>
            </w:r>
          </w:p>
        </w:tc>
        <w:tc>
          <w:tcPr>
            <w:tcW w:w="7092" w:type="dxa"/>
            <w:shd w:val="clear" w:color="auto" w:fill="auto"/>
          </w:tcPr>
          <w:p w14:paraId="2472423E" w14:textId="77777777" w:rsidR="00C82DF6" w:rsidRPr="00261B7A" w:rsidRDefault="00C82DF6" w:rsidP="003A763F">
            <w:pPr>
              <w:pStyle w:val="BodyText"/>
              <w:spacing w:after="0"/>
              <w:rPr>
                <w:rFonts w:cs="Calibri"/>
                <w:sz w:val="20"/>
                <w:szCs w:val="20"/>
              </w:rPr>
            </w:pPr>
            <w:r w:rsidRPr="00261B7A">
              <w:rPr>
                <w:rFonts w:cs="Calibri"/>
                <w:sz w:val="20"/>
                <w:szCs w:val="20"/>
              </w:rPr>
              <w:t>kilohectare(s)</w:t>
            </w:r>
          </w:p>
        </w:tc>
      </w:tr>
      <w:tr w:rsidR="00C82DF6" w:rsidRPr="00261B7A" w14:paraId="409B60C8" w14:textId="77777777" w:rsidTr="004610C9">
        <w:tc>
          <w:tcPr>
            <w:tcW w:w="1526" w:type="dxa"/>
            <w:shd w:val="clear" w:color="auto" w:fill="auto"/>
          </w:tcPr>
          <w:p w14:paraId="6F8F22BE" w14:textId="77777777" w:rsidR="00C82DF6" w:rsidRPr="00261B7A" w:rsidRDefault="00C82DF6" w:rsidP="003A763F">
            <w:pPr>
              <w:pStyle w:val="BodyText"/>
              <w:spacing w:after="0"/>
              <w:rPr>
                <w:rFonts w:cs="Calibri"/>
                <w:b/>
                <w:sz w:val="20"/>
                <w:szCs w:val="20"/>
              </w:rPr>
            </w:pPr>
            <w:r w:rsidRPr="00261B7A">
              <w:rPr>
                <w:rFonts w:cs="Calibri"/>
                <w:b/>
                <w:sz w:val="20"/>
                <w:szCs w:val="20"/>
              </w:rPr>
              <w:t>kJ</w:t>
            </w:r>
          </w:p>
        </w:tc>
        <w:tc>
          <w:tcPr>
            <w:tcW w:w="7092" w:type="dxa"/>
            <w:shd w:val="clear" w:color="auto" w:fill="auto"/>
          </w:tcPr>
          <w:p w14:paraId="6134C5F6" w14:textId="77777777" w:rsidR="00C82DF6" w:rsidRPr="00261B7A" w:rsidRDefault="00C82DF6" w:rsidP="003A763F">
            <w:pPr>
              <w:pStyle w:val="BodyText"/>
              <w:spacing w:after="0"/>
              <w:rPr>
                <w:rFonts w:cs="Calibri"/>
                <w:sz w:val="20"/>
                <w:szCs w:val="20"/>
              </w:rPr>
            </w:pPr>
            <w:r w:rsidRPr="00261B7A">
              <w:rPr>
                <w:rFonts w:cs="Calibri"/>
                <w:sz w:val="20"/>
                <w:szCs w:val="20"/>
              </w:rPr>
              <w:t>kilojoule(s)</w:t>
            </w:r>
          </w:p>
        </w:tc>
      </w:tr>
      <w:tr w:rsidR="00C82DF6" w:rsidRPr="00261B7A" w14:paraId="2314CF25" w14:textId="77777777" w:rsidTr="004610C9">
        <w:tc>
          <w:tcPr>
            <w:tcW w:w="1526" w:type="dxa"/>
            <w:shd w:val="clear" w:color="auto" w:fill="auto"/>
          </w:tcPr>
          <w:p w14:paraId="23DCC082"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KP</w:t>
            </w:r>
          </w:p>
        </w:tc>
        <w:tc>
          <w:tcPr>
            <w:tcW w:w="7092" w:type="dxa"/>
            <w:shd w:val="clear" w:color="auto" w:fill="auto"/>
          </w:tcPr>
          <w:p w14:paraId="66D20B9F"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Kyoto Protocol</w:t>
            </w:r>
          </w:p>
        </w:tc>
      </w:tr>
      <w:tr w:rsidR="00C82DF6" w:rsidRPr="00261B7A" w14:paraId="17C7583C" w14:textId="77777777" w:rsidTr="004610C9">
        <w:tc>
          <w:tcPr>
            <w:tcW w:w="1526" w:type="dxa"/>
            <w:shd w:val="clear" w:color="auto" w:fill="auto"/>
          </w:tcPr>
          <w:p w14:paraId="705B85FF"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KP-LULUCF</w:t>
            </w:r>
          </w:p>
        </w:tc>
        <w:tc>
          <w:tcPr>
            <w:tcW w:w="7092" w:type="dxa"/>
            <w:shd w:val="clear" w:color="auto" w:fill="auto"/>
          </w:tcPr>
          <w:p w14:paraId="02307363"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Land Use, Land-Use Change and Forestry activities under the Kyoto Protocol</w:t>
            </w:r>
          </w:p>
        </w:tc>
      </w:tr>
      <w:tr w:rsidR="00C82DF6" w:rsidRPr="00261B7A" w14:paraId="77802330" w14:textId="77777777" w:rsidTr="004610C9">
        <w:tc>
          <w:tcPr>
            <w:tcW w:w="1526" w:type="dxa"/>
            <w:shd w:val="clear" w:color="auto" w:fill="auto"/>
          </w:tcPr>
          <w:p w14:paraId="5590C346"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kt</w:t>
            </w:r>
          </w:p>
        </w:tc>
        <w:tc>
          <w:tcPr>
            <w:tcW w:w="7092" w:type="dxa"/>
            <w:shd w:val="clear" w:color="auto" w:fill="auto"/>
          </w:tcPr>
          <w:p w14:paraId="2DA03E3B"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kilotonne(s)</w:t>
            </w:r>
          </w:p>
        </w:tc>
      </w:tr>
      <w:tr w:rsidR="00C82DF6" w:rsidRPr="00261B7A" w14:paraId="39B0C95E" w14:textId="77777777" w:rsidTr="004610C9">
        <w:tc>
          <w:tcPr>
            <w:tcW w:w="1526" w:type="dxa"/>
            <w:shd w:val="clear" w:color="auto" w:fill="auto"/>
          </w:tcPr>
          <w:p w14:paraId="09D2ECC4"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LCDB</w:t>
            </w:r>
          </w:p>
        </w:tc>
        <w:tc>
          <w:tcPr>
            <w:tcW w:w="7092" w:type="dxa"/>
            <w:shd w:val="clear" w:color="auto" w:fill="auto"/>
          </w:tcPr>
          <w:p w14:paraId="7BD1C649"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Land Cover Database</w:t>
            </w:r>
          </w:p>
        </w:tc>
      </w:tr>
      <w:tr w:rsidR="00C82DF6" w:rsidRPr="00261B7A" w14:paraId="13B4A736" w14:textId="77777777" w:rsidTr="004610C9">
        <w:tc>
          <w:tcPr>
            <w:tcW w:w="1526" w:type="dxa"/>
            <w:shd w:val="clear" w:color="auto" w:fill="auto"/>
          </w:tcPr>
          <w:p w14:paraId="4E29F5E3"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lCER </w:t>
            </w:r>
          </w:p>
        </w:tc>
        <w:tc>
          <w:tcPr>
            <w:tcW w:w="7092" w:type="dxa"/>
            <w:shd w:val="clear" w:color="auto" w:fill="auto"/>
          </w:tcPr>
          <w:p w14:paraId="3ACADE08"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long-term certified emission reduction unit</w:t>
            </w:r>
          </w:p>
        </w:tc>
      </w:tr>
      <w:tr w:rsidR="00C82DF6" w:rsidRPr="00261B7A" w14:paraId="2FDEB21B" w14:textId="77777777" w:rsidTr="004610C9">
        <w:tc>
          <w:tcPr>
            <w:tcW w:w="1526" w:type="dxa"/>
            <w:shd w:val="clear" w:color="auto" w:fill="auto"/>
          </w:tcPr>
          <w:p w14:paraId="147F6EFA"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LFG</w:t>
            </w:r>
          </w:p>
        </w:tc>
        <w:tc>
          <w:tcPr>
            <w:tcW w:w="7092" w:type="dxa"/>
            <w:shd w:val="clear" w:color="auto" w:fill="auto"/>
          </w:tcPr>
          <w:p w14:paraId="77D134AC"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landfill gas</w:t>
            </w:r>
          </w:p>
        </w:tc>
      </w:tr>
      <w:tr w:rsidR="00C82DF6" w:rsidRPr="00261B7A" w14:paraId="4CFFE8E4" w14:textId="77777777" w:rsidTr="004610C9">
        <w:tc>
          <w:tcPr>
            <w:tcW w:w="1526" w:type="dxa"/>
            <w:shd w:val="clear" w:color="auto" w:fill="auto"/>
          </w:tcPr>
          <w:p w14:paraId="0D6386F6"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LIC</w:t>
            </w:r>
          </w:p>
        </w:tc>
        <w:tc>
          <w:tcPr>
            <w:tcW w:w="7092" w:type="dxa"/>
            <w:shd w:val="clear" w:color="auto" w:fill="auto"/>
          </w:tcPr>
          <w:p w14:paraId="3E3D33FB"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Livestock Improvement Corporation</w:t>
            </w:r>
          </w:p>
        </w:tc>
      </w:tr>
      <w:tr w:rsidR="00C82DF6" w:rsidRPr="00261B7A" w14:paraId="5A838889" w14:textId="77777777" w:rsidTr="004610C9">
        <w:tc>
          <w:tcPr>
            <w:tcW w:w="1526" w:type="dxa"/>
            <w:shd w:val="clear" w:color="auto" w:fill="auto"/>
          </w:tcPr>
          <w:p w14:paraId="10966253"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LiDAR</w:t>
            </w:r>
          </w:p>
        </w:tc>
        <w:tc>
          <w:tcPr>
            <w:tcW w:w="7092" w:type="dxa"/>
            <w:shd w:val="clear" w:color="auto" w:fill="auto"/>
          </w:tcPr>
          <w:p w14:paraId="7446C86A"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Light Detection and Ranging</w:t>
            </w:r>
          </w:p>
        </w:tc>
      </w:tr>
      <w:tr w:rsidR="00C82DF6" w:rsidRPr="00261B7A" w14:paraId="3806DF0F" w14:textId="77777777" w:rsidTr="004610C9">
        <w:tc>
          <w:tcPr>
            <w:tcW w:w="1526" w:type="dxa"/>
            <w:shd w:val="clear" w:color="auto" w:fill="auto"/>
          </w:tcPr>
          <w:p w14:paraId="0319DDB2" w14:textId="77777777" w:rsidR="00C82DF6" w:rsidRPr="00261B7A" w:rsidRDefault="00C82DF6" w:rsidP="003A763F">
            <w:pPr>
              <w:pStyle w:val="BodyText"/>
              <w:spacing w:after="0"/>
              <w:rPr>
                <w:rFonts w:eastAsia="Calibri" w:cs="Calibri"/>
                <w:b/>
                <w:sz w:val="20"/>
                <w:szCs w:val="20"/>
              </w:rPr>
            </w:pPr>
            <w:r w:rsidRPr="00261B7A">
              <w:rPr>
                <w:rFonts w:cs="Calibri"/>
                <w:b/>
                <w:sz w:val="20"/>
                <w:szCs w:val="20"/>
                <w:lang w:eastAsia="en-GB"/>
              </w:rPr>
              <w:t>LPG</w:t>
            </w:r>
          </w:p>
        </w:tc>
        <w:tc>
          <w:tcPr>
            <w:tcW w:w="7092" w:type="dxa"/>
            <w:shd w:val="clear" w:color="auto" w:fill="auto"/>
          </w:tcPr>
          <w:p w14:paraId="125A94B0"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liquefied petroleu</w:t>
            </w:r>
            <w:r w:rsidRPr="00261B7A">
              <w:rPr>
                <w:rFonts w:cs="Calibri"/>
                <w:sz w:val="20"/>
                <w:szCs w:val="20"/>
                <w:lang w:eastAsia="en-GB"/>
              </w:rPr>
              <w:t>m gas</w:t>
            </w:r>
          </w:p>
        </w:tc>
      </w:tr>
      <w:tr w:rsidR="00C82DF6" w:rsidRPr="00261B7A" w14:paraId="59D131EF" w14:textId="77777777" w:rsidTr="004610C9">
        <w:tc>
          <w:tcPr>
            <w:tcW w:w="1526" w:type="dxa"/>
            <w:shd w:val="clear" w:color="auto" w:fill="auto"/>
          </w:tcPr>
          <w:p w14:paraId="7AA818FD"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LUCAS</w:t>
            </w:r>
          </w:p>
        </w:tc>
        <w:tc>
          <w:tcPr>
            <w:tcW w:w="7092" w:type="dxa"/>
            <w:shd w:val="clear" w:color="auto" w:fill="auto"/>
          </w:tcPr>
          <w:p w14:paraId="1DD39A3F"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Land Use and Carbon Analysis System</w:t>
            </w:r>
          </w:p>
        </w:tc>
      </w:tr>
      <w:tr w:rsidR="00C82DF6" w:rsidRPr="00261B7A" w14:paraId="79159E08" w14:textId="77777777" w:rsidTr="004610C9">
        <w:tc>
          <w:tcPr>
            <w:tcW w:w="1526" w:type="dxa"/>
            <w:shd w:val="clear" w:color="auto" w:fill="auto"/>
          </w:tcPr>
          <w:p w14:paraId="49758FDD"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LUE</w:t>
            </w:r>
          </w:p>
        </w:tc>
        <w:tc>
          <w:tcPr>
            <w:tcW w:w="7092" w:type="dxa"/>
            <w:shd w:val="clear" w:color="auto" w:fill="auto"/>
          </w:tcPr>
          <w:p w14:paraId="3E1CFCA8"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land use effect</w:t>
            </w:r>
          </w:p>
        </w:tc>
      </w:tr>
      <w:tr w:rsidR="00C82DF6" w:rsidRPr="00261B7A" w14:paraId="7B91E009" w14:textId="77777777" w:rsidTr="004610C9">
        <w:tc>
          <w:tcPr>
            <w:tcW w:w="1526" w:type="dxa"/>
            <w:shd w:val="clear" w:color="auto" w:fill="auto"/>
          </w:tcPr>
          <w:p w14:paraId="4D5C936A"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LULUCF</w:t>
            </w:r>
          </w:p>
        </w:tc>
        <w:tc>
          <w:tcPr>
            <w:tcW w:w="7092" w:type="dxa"/>
            <w:shd w:val="clear" w:color="auto" w:fill="auto"/>
          </w:tcPr>
          <w:p w14:paraId="739022BF"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Land Use, Land-Use Change and Forestry</w:t>
            </w:r>
          </w:p>
        </w:tc>
      </w:tr>
      <w:tr w:rsidR="00C82DF6" w:rsidRPr="00261B7A" w14:paraId="0E62F210" w14:textId="77777777" w:rsidTr="004610C9">
        <w:tc>
          <w:tcPr>
            <w:tcW w:w="1526" w:type="dxa"/>
            <w:shd w:val="clear" w:color="auto" w:fill="auto"/>
          </w:tcPr>
          <w:p w14:paraId="264CB3C7"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LUM</w:t>
            </w:r>
          </w:p>
        </w:tc>
        <w:tc>
          <w:tcPr>
            <w:tcW w:w="7092" w:type="dxa"/>
            <w:shd w:val="clear" w:color="auto" w:fill="auto"/>
          </w:tcPr>
          <w:p w14:paraId="6799B288"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land use map</w:t>
            </w:r>
          </w:p>
        </w:tc>
      </w:tr>
      <w:tr w:rsidR="00C82DF6" w:rsidRPr="00261B7A" w14:paraId="7C1B8080" w14:textId="77777777" w:rsidTr="004610C9">
        <w:tc>
          <w:tcPr>
            <w:tcW w:w="1526" w:type="dxa"/>
            <w:shd w:val="clear" w:color="auto" w:fill="auto"/>
          </w:tcPr>
          <w:p w14:paraId="04ECFD73"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MBIE </w:t>
            </w:r>
          </w:p>
        </w:tc>
        <w:tc>
          <w:tcPr>
            <w:tcW w:w="7092" w:type="dxa"/>
            <w:shd w:val="clear" w:color="auto" w:fill="auto"/>
          </w:tcPr>
          <w:p w14:paraId="12C3C9A5"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Ministry of Business, Innovation and Employment</w:t>
            </w:r>
          </w:p>
        </w:tc>
      </w:tr>
      <w:tr w:rsidR="00C82DF6" w:rsidRPr="00261B7A" w14:paraId="725BB58C" w14:textId="77777777" w:rsidTr="004610C9">
        <w:tc>
          <w:tcPr>
            <w:tcW w:w="1526" w:type="dxa"/>
            <w:shd w:val="clear" w:color="auto" w:fill="auto"/>
          </w:tcPr>
          <w:p w14:paraId="461DAC3B"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MCF</w:t>
            </w:r>
          </w:p>
        </w:tc>
        <w:tc>
          <w:tcPr>
            <w:tcW w:w="7092" w:type="dxa"/>
            <w:shd w:val="clear" w:color="auto" w:fill="auto"/>
          </w:tcPr>
          <w:p w14:paraId="7B65257A"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methane conversion factor</w:t>
            </w:r>
          </w:p>
        </w:tc>
      </w:tr>
      <w:tr w:rsidR="00C82DF6" w:rsidRPr="00261B7A" w14:paraId="1A1DA420" w14:textId="77777777" w:rsidTr="004610C9">
        <w:tc>
          <w:tcPr>
            <w:tcW w:w="1526" w:type="dxa"/>
            <w:shd w:val="clear" w:color="auto" w:fill="auto"/>
          </w:tcPr>
          <w:p w14:paraId="4350C25B"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MDI</w:t>
            </w:r>
          </w:p>
        </w:tc>
        <w:tc>
          <w:tcPr>
            <w:tcW w:w="7092" w:type="dxa"/>
            <w:shd w:val="clear" w:color="auto" w:fill="auto"/>
          </w:tcPr>
          <w:p w14:paraId="0C3CF8B3"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metered dose inhaler</w:t>
            </w:r>
          </w:p>
        </w:tc>
      </w:tr>
      <w:tr w:rsidR="00C82DF6" w:rsidRPr="00261B7A" w14:paraId="24449B54" w14:textId="77777777" w:rsidTr="004610C9">
        <w:tc>
          <w:tcPr>
            <w:tcW w:w="1526" w:type="dxa"/>
            <w:shd w:val="clear" w:color="auto" w:fill="auto"/>
          </w:tcPr>
          <w:p w14:paraId="7E2E22D5"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MDO</w:t>
            </w:r>
          </w:p>
        </w:tc>
        <w:tc>
          <w:tcPr>
            <w:tcW w:w="7092" w:type="dxa"/>
            <w:shd w:val="clear" w:color="auto" w:fill="auto"/>
          </w:tcPr>
          <w:p w14:paraId="4AFB42F5"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marine diesel oil</w:t>
            </w:r>
          </w:p>
        </w:tc>
      </w:tr>
      <w:tr w:rsidR="00C82DF6" w:rsidRPr="00261B7A" w14:paraId="7D999E80" w14:textId="77777777" w:rsidTr="004610C9">
        <w:tc>
          <w:tcPr>
            <w:tcW w:w="1526" w:type="dxa"/>
            <w:shd w:val="clear" w:color="auto" w:fill="auto"/>
          </w:tcPr>
          <w:p w14:paraId="7707B5B0"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ME</w:t>
            </w:r>
          </w:p>
        </w:tc>
        <w:tc>
          <w:tcPr>
            <w:tcW w:w="7092" w:type="dxa"/>
            <w:shd w:val="clear" w:color="auto" w:fill="auto"/>
          </w:tcPr>
          <w:p w14:paraId="7DD20869"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metabolisable energy</w:t>
            </w:r>
          </w:p>
        </w:tc>
      </w:tr>
      <w:tr w:rsidR="00C82DF6" w:rsidRPr="00261B7A" w14:paraId="60F6D348" w14:textId="77777777" w:rsidTr="004610C9">
        <w:tc>
          <w:tcPr>
            <w:tcW w:w="1526" w:type="dxa"/>
            <w:shd w:val="clear" w:color="auto" w:fill="auto"/>
          </w:tcPr>
          <w:p w14:paraId="0962862B"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MFAT</w:t>
            </w:r>
          </w:p>
        </w:tc>
        <w:tc>
          <w:tcPr>
            <w:tcW w:w="7092" w:type="dxa"/>
            <w:shd w:val="clear" w:color="auto" w:fill="auto"/>
          </w:tcPr>
          <w:p w14:paraId="23C1E83B"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Ministry of Foreign Affairs and Trade</w:t>
            </w:r>
          </w:p>
        </w:tc>
      </w:tr>
      <w:tr w:rsidR="00C82DF6" w:rsidRPr="00261B7A" w14:paraId="624DF350" w14:textId="77777777" w:rsidTr="004610C9">
        <w:tc>
          <w:tcPr>
            <w:tcW w:w="1526" w:type="dxa"/>
            <w:shd w:val="clear" w:color="auto" w:fill="auto"/>
          </w:tcPr>
          <w:p w14:paraId="781465AB"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MfE</w:t>
            </w:r>
          </w:p>
        </w:tc>
        <w:tc>
          <w:tcPr>
            <w:tcW w:w="7092" w:type="dxa"/>
            <w:shd w:val="clear" w:color="auto" w:fill="auto"/>
          </w:tcPr>
          <w:p w14:paraId="418D3C45"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Ministry for the Environment</w:t>
            </w:r>
          </w:p>
        </w:tc>
      </w:tr>
      <w:tr w:rsidR="00C82DF6" w:rsidRPr="00261B7A" w14:paraId="5C58522D" w14:textId="77777777" w:rsidTr="004610C9">
        <w:tc>
          <w:tcPr>
            <w:tcW w:w="1526" w:type="dxa"/>
            <w:shd w:val="clear" w:color="auto" w:fill="auto"/>
          </w:tcPr>
          <w:p w14:paraId="637C3281" w14:textId="77777777" w:rsidR="00C82DF6" w:rsidRPr="00261B7A" w:rsidRDefault="00C82DF6" w:rsidP="003A763F">
            <w:pPr>
              <w:pStyle w:val="BodyText"/>
              <w:spacing w:after="0"/>
              <w:rPr>
                <w:rFonts w:eastAsia="Calibri" w:cs="Calibri"/>
                <w:b/>
                <w:sz w:val="20"/>
                <w:szCs w:val="20"/>
              </w:rPr>
            </w:pPr>
            <w:r w:rsidRPr="00261B7A">
              <w:rPr>
                <w:rFonts w:cs="Calibri"/>
                <w:b/>
                <w:sz w:val="20"/>
                <w:szCs w:val="20"/>
              </w:rPr>
              <w:t>MgO</w:t>
            </w:r>
          </w:p>
        </w:tc>
        <w:tc>
          <w:tcPr>
            <w:tcW w:w="7092" w:type="dxa"/>
            <w:shd w:val="clear" w:color="auto" w:fill="auto"/>
          </w:tcPr>
          <w:p w14:paraId="2EAA7507"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magnesium oxide</w:t>
            </w:r>
          </w:p>
        </w:tc>
      </w:tr>
      <w:tr w:rsidR="00C82DF6" w:rsidRPr="00261B7A" w14:paraId="5D152721" w14:textId="77777777" w:rsidTr="004610C9">
        <w:tc>
          <w:tcPr>
            <w:tcW w:w="1526" w:type="dxa"/>
            <w:shd w:val="clear" w:color="auto" w:fill="auto"/>
          </w:tcPr>
          <w:p w14:paraId="435570DF" w14:textId="77777777" w:rsidR="00C82DF6" w:rsidRPr="00261B7A" w:rsidRDefault="00C82DF6" w:rsidP="003A763F">
            <w:pPr>
              <w:pStyle w:val="BodyText"/>
              <w:spacing w:after="0"/>
              <w:rPr>
                <w:rFonts w:cs="Calibri"/>
                <w:b/>
                <w:sz w:val="20"/>
                <w:szCs w:val="20"/>
              </w:rPr>
            </w:pPr>
            <w:r w:rsidRPr="00261B7A">
              <w:rPr>
                <w:rFonts w:cs="Calibri"/>
                <w:b/>
                <w:sz w:val="20"/>
                <w:szCs w:val="20"/>
              </w:rPr>
              <w:t>MiCORE</w:t>
            </w:r>
          </w:p>
        </w:tc>
        <w:tc>
          <w:tcPr>
            <w:tcW w:w="7092" w:type="dxa"/>
            <w:shd w:val="clear" w:color="auto" w:fill="auto"/>
          </w:tcPr>
          <w:p w14:paraId="3FD803C3" w14:textId="77777777" w:rsidR="00C82DF6" w:rsidRPr="00261B7A" w:rsidRDefault="00C82DF6" w:rsidP="003A763F">
            <w:pPr>
              <w:pStyle w:val="BodyText"/>
              <w:spacing w:after="0"/>
              <w:rPr>
                <w:rFonts w:cs="Calibri"/>
                <w:sz w:val="20"/>
                <w:szCs w:val="20"/>
              </w:rPr>
            </w:pPr>
            <w:r w:rsidRPr="00261B7A">
              <w:rPr>
                <w:rFonts w:cs="Calibri"/>
                <w:sz w:val="20"/>
                <w:szCs w:val="20"/>
              </w:rPr>
              <w:t>Ministry of Climate, Oceans and Resilience (Tokelau)</w:t>
            </w:r>
          </w:p>
        </w:tc>
      </w:tr>
      <w:tr w:rsidR="00C82DF6" w:rsidRPr="00261B7A" w14:paraId="426E551B" w14:textId="77777777" w:rsidTr="004610C9">
        <w:tc>
          <w:tcPr>
            <w:tcW w:w="1526" w:type="dxa"/>
            <w:shd w:val="clear" w:color="auto" w:fill="auto"/>
          </w:tcPr>
          <w:p w14:paraId="0F8B0E48" w14:textId="77777777" w:rsidR="00C82DF6" w:rsidRPr="00261B7A" w:rsidRDefault="00C82DF6" w:rsidP="003A763F">
            <w:pPr>
              <w:pStyle w:val="BodyText"/>
              <w:spacing w:after="0"/>
              <w:rPr>
                <w:rFonts w:cs="Calibri"/>
                <w:b/>
                <w:sz w:val="20"/>
                <w:szCs w:val="20"/>
              </w:rPr>
            </w:pPr>
            <w:r w:rsidRPr="00261B7A">
              <w:rPr>
                <w:rFonts w:cs="Calibri"/>
                <w:b/>
                <w:sz w:val="20"/>
                <w:szCs w:val="20"/>
              </w:rPr>
              <w:lastRenderedPageBreak/>
              <w:t>MJ</w:t>
            </w:r>
          </w:p>
        </w:tc>
        <w:tc>
          <w:tcPr>
            <w:tcW w:w="7092" w:type="dxa"/>
            <w:shd w:val="clear" w:color="auto" w:fill="auto"/>
          </w:tcPr>
          <w:p w14:paraId="64AFAC35" w14:textId="77777777" w:rsidR="00C82DF6" w:rsidRPr="00261B7A" w:rsidRDefault="00C82DF6" w:rsidP="003A763F">
            <w:pPr>
              <w:pStyle w:val="BodyText"/>
              <w:spacing w:after="0"/>
              <w:rPr>
                <w:rFonts w:cs="Calibri"/>
                <w:sz w:val="20"/>
                <w:szCs w:val="20"/>
              </w:rPr>
            </w:pPr>
            <w:r w:rsidRPr="00261B7A">
              <w:rPr>
                <w:rFonts w:cs="Calibri"/>
                <w:sz w:val="20"/>
                <w:szCs w:val="20"/>
              </w:rPr>
              <w:t>megajoule(s)</w:t>
            </w:r>
          </w:p>
        </w:tc>
      </w:tr>
      <w:tr w:rsidR="00C82DF6" w:rsidRPr="00261B7A" w14:paraId="6B65F4FC" w14:textId="77777777" w:rsidTr="004610C9">
        <w:tc>
          <w:tcPr>
            <w:tcW w:w="1526" w:type="dxa"/>
            <w:shd w:val="clear" w:color="auto" w:fill="auto"/>
          </w:tcPr>
          <w:p w14:paraId="1DC3BD36"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MOS</w:t>
            </w:r>
          </w:p>
        </w:tc>
        <w:tc>
          <w:tcPr>
            <w:tcW w:w="7092" w:type="dxa"/>
            <w:shd w:val="clear" w:color="auto" w:fill="auto"/>
          </w:tcPr>
          <w:p w14:paraId="793E7045" w14:textId="70ACCEC4"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 xml:space="preserve">Monthly Oil Supply </w:t>
            </w:r>
            <w:r w:rsidR="009B3B3A" w:rsidRPr="00261B7A">
              <w:rPr>
                <w:rFonts w:eastAsia="Calibri" w:cs="Calibri"/>
                <w:sz w:val="20"/>
                <w:szCs w:val="20"/>
              </w:rPr>
              <w:t>survey</w:t>
            </w:r>
          </w:p>
        </w:tc>
      </w:tr>
      <w:tr w:rsidR="00C82DF6" w:rsidRPr="00261B7A" w14:paraId="2845203C" w14:textId="77777777" w:rsidTr="004610C9">
        <w:tc>
          <w:tcPr>
            <w:tcW w:w="1526" w:type="dxa"/>
            <w:shd w:val="clear" w:color="auto" w:fill="auto"/>
          </w:tcPr>
          <w:p w14:paraId="4174535E"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MPI</w:t>
            </w:r>
          </w:p>
        </w:tc>
        <w:tc>
          <w:tcPr>
            <w:tcW w:w="7092" w:type="dxa"/>
            <w:shd w:val="clear" w:color="auto" w:fill="auto"/>
          </w:tcPr>
          <w:p w14:paraId="26AF25AD"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Ministry for Primary Industries</w:t>
            </w:r>
          </w:p>
        </w:tc>
      </w:tr>
      <w:tr w:rsidR="00C82DF6" w:rsidRPr="00261B7A" w14:paraId="50CAC292" w14:textId="77777777" w:rsidTr="004610C9">
        <w:tc>
          <w:tcPr>
            <w:tcW w:w="1526" w:type="dxa"/>
            <w:shd w:val="clear" w:color="auto" w:fill="auto"/>
          </w:tcPr>
          <w:p w14:paraId="7EF27516"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MSW</w:t>
            </w:r>
          </w:p>
        </w:tc>
        <w:tc>
          <w:tcPr>
            <w:tcW w:w="7092" w:type="dxa"/>
            <w:shd w:val="clear" w:color="auto" w:fill="auto"/>
          </w:tcPr>
          <w:p w14:paraId="3682BE49"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municipal waste disposal</w:t>
            </w:r>
          </w:p>
        </w:tc>
      </w:tr>
      <w:tr w:rsidR="00C82DF6" w:rsidRPr="00261B7A" w14:paraId="09E58817" w14:textId="77777777" w:rsidTr="004610C9">
        <w:tc>
          <w:tcPr>
            <w:tcW w:w="1526" w:type="dxa"/>
            <w:shd w:val="clear" w:color="auto" w:fill="auto"/>
          </w:tcPr>
          <w:p w14:paraId="0D9742E5"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Mt</w:t>
            </w:r>
          </w:p>
        </w:tc>
        <w:tc>
          <w:tcPr>
            <w:tcW w:w="7092" w:type="dxa"/>
            <w:shd w:val="clear" w:color="auto" w:fill="auto"/>
          </w:tcPr>
          <w:p w14:paraId="7EEDF539"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megatonne(s) or million tonne(s)</w:t>
            </w:r>
          </w:p>
        </w:tc>
      </w:tr>
      <w:tr w:rsidR="00C82DF6" w:rsidRPr="00261B7A" w14:paraId="71CE04CF" w14:textId="77777777" w:rsidTr="004610C9">
        <w:tc>
          <w:tcPr>
            <w:tcW w:w="1526" w:type="dxa"/>
            <w:shd w:val="clear" w:color="auto" w:fill="auto"/>
          </w:tcPr>
          <w:p w14:paraId="45A2A1E9"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MW</w:t>
            </w:r>
          </w:p>
        </w:tc>
        <w:tc>
          <w:tcPr>
            <w:tcW w:w="7092" w:type="dxa"/>
            <w:shd w:val="clear" w:color="auto" w:fill="auto"/>
          </w:tcPr>
          <w:p w14:paraId="0B2A5365"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megawatt(s)</w:t>
            </w:r>
          </w:p>
        </w:tc>
      </w:tr>
      <w:tr w:rsidR="00C82DF6" w:rsidRPr="00261B7A" w14:paraId="7BD5BA1E" w14:textId="77777777" w:rsidTr="004610C9">
        <w:tc>
          <w:tcPr>
            <w:tcW w:w="1526" w:type="dxa"/>
            <w:shd w:val="clear" w:color="auto" w:fill="auto"/>
          </w:tcPr>
          <w:p w14:paraId="079B5F1B"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N</w:t>
            </w:r>
          </w:p>
        </w:tc>
        <w:tc>
          <w:tcPr>
            <w:tcW w:w="7092" w:type="dxa"/>
            <w:shd w:val="clear" w:color="auto" w:fill="auto"/>
          </w:tcPr>
          <w:p w14:paraId="6E9C437B"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nitrogen</w:t>
            </w:r>
          </w:p>
        </w:tc>
      </w:tr>
      <w:tr w:rsidR="00C82DF6" w:rsidRPr="00261B7A" w14:paraId="58CEF4DA" w14:textId="77777777" w:rsidTr="004610C9">
        <w:tc>
          <w:tcPr>
            <w:tcW w:w="1526" w:type="dxa"/>
            <w:shd w:val="clear" w:color="auto" w:fill="auto"/>
          </w:tcPr>
          <w:p w14:paraId="51521B97"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N</w:t>
            </w:r>
            <w:r w:rsidRPr="00261B7A">
              <w:rPr>
                <w:rFonts w:eastAsia="Calibri" w:cs="Calibri"/>
                <w:b/>
                <w:sz w:val="20"/>
                <w:szCs w:val="20"/>
                <w:vertAlign w:val="subscript"/>
              </w:rPr>
              <w:t>2</w:t>
            </w:r>
            <w:r w:rsidRPr="00261B7A">
              <w:rPr>
                <w:rFonts w:eastAsia="Calibri" w:cs="Calibri"/>
                <w:b/>
                <w:sz w:val="20"/>
                <w:szCs w:val="20"/>
              </w:rPr>
              <w:t xml:space="preserve">O </w:t>
            </w:r>
          </w:p>
        </w:tc>
        <w:tc>
          <w:tcPr>
            <w:tcW w:w="7092" w:type="dxa"/>
            <w:shd w:val="clear" w:color="auto" w:fill="auto"/>
          </w:tcPr>
          <w:p w14:paraId="55F95216"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nitrous oxide</w:t>
            </w:r>
          </w:p>
        </w:tc>
      </w:tr>
      <w:tr w:rsidR="00C82DF6" w:rsidRPr="00261B7A" w14:paraId="431E5059" w14:textId="77777777" w:rsidTr="004610C9">
        <w:tc>
          <w:tcPr>
            <w:tcW w:w="1526" w:type="dxa"/>
            <w:shd w:val="clear" w:color="auto" w:fill="auto"/>
          </w:tcPr>
          <w:p w14:paraId="16942764"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NA </w:t>
            </w:r>
          </w:p>
        </w:tc>
        <w:tc>
          <w:tcPr>
            <w:tcW w:w="7092" w:type="dxa"/>
            <w:shd w:val="clear" w:color="auto" w:fill="auto"/>
          </w:tcPr>
          <w:p w14:paraId="4CB7D2C9"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not applicable</w:t>
            </w:r>
          </w:p>
        </w:tc>
      </w:tr>
      <w:tr w:rsidR="00C82DF6" w:rsidRPr="00261B7A" w14:paraId="06FCCE79" w14:textId="77777777" w:rsidTr="004610C9">
        <w:tc>
          <w:tcPr>
            <w:tcW w:w="1526" w:type="dxa"/>
            <w:shd w:val="clear" w:color="auto" w:fill="auto"/>
          </w:tcPr>
          <w:p w14:paraId="7CFD2C50"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NE</w:t>
            </w:r>
          </w:p>
        </w:tc>
        <w:tc>
          <w:tcPr>
            <w:tcW w:w="7092" w:type="dxa"/>
            <w:shd w:val="clear" w:color="auto" w:fill="auto"/>
          </w:tcPr>
          <w:p w14:paraId="1799EBEE"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not estimated</w:t>
            </w:r>
          </w:p>
        </w:tc>
      </w:tr>
      <w:tr w:rsidR="00C82DF6" w:rsidRPr="00261B7A" w14:paraId="6A49BBBC" w14:textId="77777777" w:rsidTr="004610C9">
        <w:tc>
          <w:tcPr>
            <w:tcW w:w="1526" w:type="dxa"/>
            <w:shd w:val="clear" w:color="auto" w:fill="auto"/>
          </w:tcPr>
          <w:p w14:paraId="2B89B699"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NEFD </w:t>
            </w:r>
          </w:p>
        </w:tc>
        <w:tc>
          <w:tcPr>
            <w:tcW w:w="7092" w:type="dxa"/>
            <w:shd w:val="clear" w:color="auto" w:fill="auto"/>
          </w:tcPr>
          <w:p w14:paraId="5D2EDFBA"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National Exotic Forest Description</w:t>
            </w:r>
          </w:p>
        </w:tc>
      </w:tr>
      <w:tr w:rsidR="00C82DF6" w:rsidRPr="00261B7A" w14:paraId="1DAC1FD4" w14:textId="77777777" w:rsidTr="004610C9">
        <w:tc>
          <w:tcPr>
            <w:tcW w:w="1526" w:type="dxa"/>
            <w:shd w:val="clear" w:color="auto" w:fill="auto"/>
          </w:tcPr>
          <w:p w14:paraId="29B3FAFB" w14:textId="77777777" w:rsidR="00C82DF6" w:rsidRPr="00261B7A" w:rsidRDefault="00C82DF6" w:rsidP="003A763F">
            <w:pPr>
              <w:pStyle w:val="BodyText"/>
              <w:spacing w:after="0"/>
              <w:rPr>
                <w:rFonts w:eastAsia="Calibri" w:cs="Calibri"/>
                <w:b/>
                <w:sz w:val="20"/>
                <w:szCs w:val="20"/>
              </w:rPr>
            </w:pPr>
            <w:r w:rsidRPr="00261B7A">
              <w:rPr>
                <w:rFonts w:cs="Calibri"/>
                <w:b/>
                <w:sz w:val="20"/>
                <w:szCs w:val="20"/>
              </w:rPr>
              <w:t>N</w:t>
            </w:r>
            <w:r w:rsidRPr="00261B7A">
              <w:rPr>
                <w:rFonts w:cs="Calibri"/>
                <w:b/>
                <w:sz w:val="20"/>
                <w:szCs w:val="20"/>
                <w:vertAlign w:val="subscript"/>
              </w:rPr>
              <w:t>ex</w:t>
            </w:r>
          </w:p>
        </w:tc>
        <w:tc>
          <w:tcPr>
            <w:tcW w:w="7092" w:type="dxa"/>
            <w:shd w:val="clear" w:color="auto" w:fill="auto"/>
          </w:tcPr>
          <w:p w14:paraId="78B0474C"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 xml:space="preserve">nitrogen excretion rates </w:t>
            </w:r>
          </w:p>
        </w:tc>
      </w:tr>
      <w:tr w:rsidR="00C82DF6" w:rsidRPr="00261B7A" w14:paraId="1F346727" w14:textId="77777777" w:rsidTr="004610C9">
        <w:tc>
          <w:tcPr>
            <w:tcW w:w="1526" w:type="dxa"/>
            <w:shd w:val="clear" w:color="auto" w:fill="auto"/>
          </w:tcPr>
          <w:p w14:paraId="6F4DCD2C"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NF</w:t>
            </w:r>
            <w:r w:rsidRPr="00261B7A">
              <w:rPr>
                <w:rFonts w:eastAsia="Calibri" w:cs="Calibri"/>
                <w:b/>
                <w:sz w:val="20"/>
                <w:szCs w:val="20"/>
                <w:vertAlign w:val="subscript"/>
              </w:rPr>
              <w:t>3</w:t>
            </w:r>
          </w:p>
        </w:tc>
        <w:tc>
          <w:tcPr>
            <w:tcW w:w="7092" w:type="dxa"/>
            <w:shd w:val="clear" w:color="auto" w:fill="auto"/>
          </w:tcPr>
          <w:p w14:paraId="16C503ED"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nitrogen trifluoride</w:t>
            </w:r>
          </w:p>
        </w:tc>
      </w:tr>
      <w:tr w:rsidR="00C82DF6" w:rsidRPr="00261B7A" w14:paraId="30855EFB" w14:textId="77777777" w:rsidTr="004610C9">
        <w:tc>
          <w:tcPr>
            <w:tcW w:w="1526" w:type="dxa"/>
            <w:shd w:val="clear" w:color="auto" w:fill="auto"/>
          </w:tcPr>
          <w:p w14:paraId="386604A8" w14:textId="77777777" w:rsidR="00C82DF6" w:rsidRPr="00261B7A" w:rsidRDefault="00C82DF6" w:rsidP="003A763F">
            <w:pPr>
              <w:pStyle w:val="BodyText"/>
              <w:spacing w:after="0"/>
              <w:rPr>
                <w:rFonts w:eastAsia="Calibri" w:cs="Calibri"/>
                <w:b/>
                <w:sz w:val="20"/>
                <w:szCs w:val="20"/>
              </w:rPr>
            </w:pPr>
            <w:r w:rsidRPr="00261B7A">
              <w:rPr>
                <w:rFonts w:cs="Calibri"/>
                <w:b/>
                <w:sz w:val="20"/>
                <w:szCs w:val="20"/>
              </w:rPr>
              <w:t>NH</w:t>
            </w:r>
            <w:r w:rsidRPr="00261B7A">
              <w:rPr>
                <w:rFonts w:cs="Calibri"/>
                <w:b/>
                <w:sz w:val="20"/>
                <w:szCs w:val="20"/>
                <w:vertAlign w:val="subscript"/>
              </w:rPr>
              <w:t>3</w:t>
            </w:r>
          </w:p>
        </w:tc>
        <w:tc>
          <w:tcPr>
            <w:tcW w:w="7092" w:type="dxa"/>
            <w:shd w:val="clear" w:color="auto" w:fill="auto"/>
          </w:tcPr>
          <w:p w14:paraId="3CCD716E"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ammonia</w:t>
            </w:r>
          </w:p>
        </w:tc>
      </w:tr>
      <w:tr w:rsidR="00C82DF6" w:rsidRPr="00261B7A" w14:paraId="60BB5743" w14:textId="77777777" w:rsidTr="004610C9">
        <w:tc>
          <w:tcPr>
            <w:tcW w:w="1526" w:type="dxa"/>
            <w:shd w:val="clear" w:color="auto" w:fill="auto"/>
          </w:tcPr>
          <w:p w14:paraId="07998ABE"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NIR</w:t>
            </w:r>
          </w:p>
        </w:tc>
        <w:tc>
          <w:tcPr>
            <w:tcW w:w="7092" w:type="dxa"/>
            <w:shd w:val="clear" w:color="auto" w:fill="auto"/>
          </w:tcPr>
          <w:p w14:paraId="286C6069"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national inventory report</w:t>
            </w:r>
          </w:p>
        </w:tc>
      </w:tr>
      <w:tr w:rsidR="00C82DF6" w:rsidRPr="00261B7A" w14:paraId="747EF663" w14:textId="77777777" w:rsidTr="004610C9">
        <w:tc>
          <w:tcPr>
            <w:tcW w:w="1526" w:type="dxa"/>
            <w:shd w:val="clear" w:color="auto" w:fill="auto"/>
          </w:tcPr>
          <w:p w14:paraId="0E0F8B3F"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NMVOC</w:t>
            </w:r>
          </w:p>
        </w:tc>
        <w:tc>
          <w:tcPr>
            <w:tcW w:w="7092" w:type="dxa"/>
            <w:shd w:val="clear" w:color="auto" w:fill="auto"/>
          </w:tcPr>
          <w:p w14:paraId="055DA491"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non-methane volatile organic compound</w:t>
            </w:r>
          </w:p>
        </w:tc>
      </w:tr>
      <w:tr w:rsidR="00C82DF6" w:rsidRPr="00261B7A" w14:paraId="6AB16E65" w14:textId="77777777" w:rsidTr="004610C9">
        <w:tc>
          <w:tcPr>
            <w:tcW w:w="1526" w:type="dxa"/>
            <w:shd w:val="clear" w:color="auto" w:fill="auto"/>
          </w:tcPr>
          <w:p w14:paraId="45BF1825"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NO</w:t>
            </w:r>
          </w:p>
        </w:tc>
        <w:tc>
          <w:tcPr>
            <w:tcW w:w="7092" w:type="dxa"/>
            <w:shd w:val="clear" w:color="auto" w:fill="auto"/>
          </w:tcPr>
          <w:p w14:paraId="4F0E17BC"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not occurring</w:t>
            </w:r>
          </w:p>
        </w:tc>
      </w:tr>
      <w:tr w:rsidR="00C82DF6" w:rsidRPr="00261B7A" w14:paraId="7B23ED2C" w14:textId="77777777" w:rsidTr="004610C9">
        <w:tc>
          <w:tcPr>
            <w:tcW w:w="1526" w:type="dxa"/>
            <w:shd w:val="clear" w:color="auto" w:fill="auto"/>
          </w:tcPr>
          <w:p w14:paraId="33E5167F"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NO</w:t>
            </w:r>
            <w:r w:rsidRPr="00261B7A">
              <w:rPr>
                <w:rFonts w:eastAsia="Calibri" w:cs="Calibri"/>
                <w:b/>
                <w:sz w:val="20"/>
                <w:szCs w:val="20"/>
                <w:vertAlign w:val="subscript"/>
              </w:rPr>
              <w:t>3</w:t>
            </w:r>
          </w:p>
        </w:tc>
        <w:tc>
          <w:tcPr>
            <w:tcW w:w="7092" w:type="dxa"/>
            <w:shd w:val="clear" w:color="auto" w:fill="auto"/>
          </w:tcPr>
          <w:p w14:paraId="769CDF00"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nitrate</w:t>
            </w:r>
          </w:p>
        </w:tc>
      </w:tr>
      <w:tr w:rsidR="00C82DF6" w:rsidRPr="00261B7A" w14:paraId="18E319C4" w14:textId="77777777" w:rsidTr="004610C9">
        <w:tc>
          <w:tcPr>
            <w:tcW w:w="1526" w:type="dxa"/>
            <w:shd w:val="clear" w:color="auto" w:fill="auto"/>
          </w:tcPr>
          <w:p w14:paraId="2C4E99A9"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NO</w:t>
            </w:r>
            <w:r w:rsidRPr="00261B7A">
              <w:rPr>
                <w:rFonts w:eastAsia="Calibri" w:cs="Calibri"/>
                <w:b/>
                <w:sz w:val="20"/>
                <w:szCs w:val="20"/>
                <w:vertAlign w:val="subscript"/>
              </w:rPr>
              <w:t>x</w:t>
            </w:r>
          </w:p>
        </w:tc>
        <w:tc>
          <w:tcPr>
            <w:tcW w:w="7092" w:type="dxa"/>
            <w:shd w:val="clear" w:color="auto" w:fill="auto"/>
          </w:tcPr>
          <w:p w14:paraId="5E69B8CB"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nitrogen oxides (other than nitrous oxide)</w:t>
            </w:r>
          </w:p>
        </w:tc>
      </w:tr>
      <w:tr w:rsidR="00E91580" w:rsidRPr="00261B7A" w14:paraId="22CA2870" w14:textId="77777777" w:rsidTr="004610C9">
        <w:tc>
          <w:tcPr>
            <w:tcW w:w="1526" w:type="dxa"/>
            <w:shd w:val="clear" w:color="auto" w:fill="auto"/>
          </w:tcPr>
          <w:p w14:paraId="511F54BF" w14:textId="6406F66B" w:rsidR="00E91580" w:rsidRPr="00261B7A" w:rsidRDefault="00E91580" w:rsidP="003A763F">
            <w:pPr>
              <w:pStyle w:val="BodyText"/>
              <w:spacing w:after="0"/>
              <w:rPr>
                <w:rFonts w:eastAsia="Calibri" w:cs="Calibri"/>
                <w:b/>
                <w:sz w:val="20"/>
                <w:szCs w:val="20"/>
              </w:rPr>
            </w:pPr>
            <w:r w:rsidRPr="00261B7A">
              <w:rPr>
                <w:rFonts w:eastAsia="Calibri" w:cs="Calibri"/>
                <w:b/>
                <w:sz w:val="20"/>
                <w:szCs w:val="20"/>
              </w:rPr>
              <w:t>NSO</w:t>
            </w:r>
          </w:p>
        </w:tc>
        <w:tc>
          <w:tcPr>
            <w:tcW w:w="7092" w:type="dxa"/>
            <w:shd w:val="clear" w:color="auto" w:fill="auto"/>
          </w:tcPr>
          <w:p w14:paraId="3A0311AF" w14:textId="1E742AA6" w:rsidR="00E91580" w:rsidRPr="00261B7A" w:rsidRDefault="00E91580" w:rsidP="003A763F">
            <w:pPr>
              <w:pStyle w:val="BodyText"/>
              <w:spacing w:after="0"/>
              <w:rPr>
                <w:rFonts w:eastAsia="Calibri" w:cs="Calibri"/>
                <w:sz w:val="20"/>
                <w:szCs w:val="20"/>
              </w:rPr>
            </w:pPr>
            <w:r w:rsidRPr="00261B7A">
              <w:rPr>
                <w:rFonts w:eastAsia="Calibri" w:cs="Calibri"/>
                <w:sz w:val="20"/>
                <w:szCs w:val="20"/>
              </w:rPr>
              <w:t>National Statistics Office (Tokelau)</w:t>
            </w:r>
          </w:p>
        </w:tc>
      </w:tr>
      <w:tr w:rsidR="00C82DF6" w:rsidRPr="00261B7A" w14:paraId="04280531" w14:textId="77777777" w:rsidTr="004610C9">
        <w:tc>
          <w:tcPr>
            <w:tcW w:w="1526" w:type="dxa"/>
            <w:shd w:val="clear" w:color="auto" w:fill="auto"/>
          </w:tcPr>
          <w:p w14:paraId="5B603BC2"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NZAGRC</w:t>
            </w:r>
          </w:p>
        </w:tc>
        <w:tc>
          <w:tcPr>
            <w:tcW w:w="7092" w:type="dxa"/>
            <w:shd w:val="clear" w:color="auto" w:fill="auto"/>
          </w:tcPr>
          <w:p w14:paraId="15E16D3A"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New Zealand Agricultural Greenhouse Gas Research Centre</w:t>
            </w:r>
          </w:p>
        </w:tc>
      </w:tr>
      <w:tr w:rsidR="00C82DF6" w:rsidRPr="00261B7A" w14:paraId="03D68405" w14:textId="77777777" w:rsidTr="004610C9">
        <w:tc>
          <w:tcPr>
            <w:tcW w:w="1526" w:type="dxa"/>
            <w:shd w:val="clear" w:color="auto" w:fill="auto"/>
          </w:tcPr>
          <w:p w14:paraId="0E5BE858" w14:textId="77777777" w:rsidR="00C82DF6" w:rsidRPr="00261B7A" w:rsidRDefault="00C82DF6" w:rsidP="003A763F">
            <w:pPr>
              <w:pStyle w:val="BodyText"/>
              <w:spacing w:after="0"/>
              <w:rPr>
                <w:rFonts w:eastAsia="Calibri" w:cs="Calibri"/>
                <w:b/>
                <w:sz w:val="20"/>
                <w:szCs w:val="20"/>
              </w:rPr>
            </w:pPr>
            <w:r w:rsidRPr="00261B7A">
              <w:rPr>
                <w:rFonts w:cs="Calibri"/>
                <w:b/>
                <w:sz w:val="20"/>
                <w:szCs w:val="20"/>
              </w:rPr>
              <w:t>NZAS</w:t>
            </w:r>
          </w:p>
        </w:tc>
        <w:tc>
          <w:tcPr>
            <w:tcW w:w="7092" w:type="dxa"/>
            <w:shd w:val="clear" w:color="auto" w:fill="auto"/>
          </w:tcPr>
          <w:p w14:paraId="76ED2CA4"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New Zealand Aluminium Smelters Limited</w:t>
            </w:r>
          </w:p>
        </w:tc>
      </w:tr>
      <w:tr w:rsidR="00C82DF6" w:rsidRPr="00261B7A" w14:paraId="4249EE74" w14:textId="77777777" w:rsidTr="004610C9">
        <w:tc>
          <w:tcPr>
            <w:tcW w:w="1526" w:type="dxa"/>
            <w:shd w:val="clear" w:color="auto" w:fill="auto"/>
          </w:tcPr>
          <w:p w14:paraId="579371C8"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NZ ETS </w:t>
            </w:r>
          </w:p>
        </w:tc>
        <w:tc>
          <w:tcPr>
            <w:tcW w:w="7092" w:type="dxa"/>
            <w:shd w:val="clear" w:color="auto" w:fill="auto"/>
          </w:tcPr>
          <w:p w14:paraId="4E80E7D0"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New Zealand Emissions Trading Scheme</w:t>
            </w:r>
          </w:p>
        </w:tc>
      </w:tr>
      <w:tr w:rsidR="00C82DF6" w:rsidRPr="00261B7A" w14:paraId="08944058" w14:textId="77777777" w:rsidTr="004610C9">
        <w:tc>
          <w:tcPr>
            <w:tcW w:w="1526" w:type="dxa"/>
            <w:shd w:val="clear" w:color="auto" w:fill="auto"/>
          </w:tcPr>
          <w:p w14:paraId="294DB474"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NZLRI</w:t>
            </w:r>
          </w:p>
        </w:tc>
        <w:tc>
          <w:tcPr>
            <w:tcW w:w="7092" w:type="dxa"/>
            <w:shd w:val="clear" w:color="auto" w:fill="auto"/>
          </w:tcPr>
          <w:p w14:paraId="25109797"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New Zealand Land Resource Inventory</w:t>
            </w:r>
          </w:p>
        </w:tc>
      </w:tr>
      <w:tr w:rsidR="00C82DF6" w:rsidRPr="00261B7A" w14:paraId="31C6AE4A" w14:textId="77777777" w:rsidTr="004610C9">
        <w:tc>
          <w:tcPr>
            <w:tcW w:w="1526" w:type="dxa"/>
            <w:shd w:val="clear" w:color="auto" w:fill="auto"/>
          </w:tcPr>
          <w:p w14:paraId="3A752432"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NZU</w:t>
            </w:r>
          </w:p>
        </w:tc>
        <w:tc>
          <w:tcPr>
            <w:tcW w:w="7092" w:type="dxa"/>
            <w:shd w:val="clear" w:color="auto" w:fill="auto"/>
          </w:tcPr>
          <w:p w14:paraId="3AFA5CCB"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New Zealand Unit</w:t>
            </w:r>
          </w:p>
        </w:tc>
      </w:tr>
      <w:tr w:rsidR="00C82DF6" w:rsidRPr="00261B7A" w14:paraId="5F501A9B" w14:textId="77777777" w:rsidTr="004610C9">
        <w:tc>
          <w:tcPr>
            <w:tcW w:w="1526" w:type="dxa"/>
            <w:shd w:val="clear" w:color="auto" w:fill="auto"/>
          </w:tcPr>
          <w:p w14:paraId="2E191EDB"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ODS</w:t>
            </w:r>
          </w:p>
        </w:tc>
        <w:tc>
          <w:tcPr>
            <w:tcW w:w="7092" w:type="dxa"/>
            <w:shd w:val="clear" w:color="auto" w:fill="auto"/>
          </w:tcPr>
          <w:p w14:paraId="14C18676"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ozone depleting substances</w:t>
            </w:r>
          </w:p>
        </w:tc>
      </w:tr>
      <w:tr w:rsidR="00C82DF6" w:rsidRPr="00261B7A" w14:paraId="1BE1391A" w14:textId="77777777" w:rsidTr="004610C9">
        <w:tc>
          <w:tcPr>
            <w:tcW w:w="1526" w:type="dxa"/>
            <w:shd w:val="clear" w:color="auto" w:fill="auto"/>
          </w:tcPr>
          <w:p w14:paraId="1F199FED"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OECD</w:t>
            </w:r>
          </w:p>
        </w:tc>
        <w:tc>
          <w:tcPr>
            <w:tcW w:w="7092" w:type="dxa"/>
            <w:shd w:val="clear" w:color="auto" w:fill="auto"/>
          </w:tcPr>
          <w:p w14:paraId="351904FD"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 xml:space="preserve">Organisation for Economic Co-operation and Development </w:t>
            </w:r>
          </w:p>
        </w:tc>
      </w:tr>
      <w:tr w:rsidR="00C82DF6" w:rsidRPr="00261B7A" w14:paraId="03BEF601" w14:textId="77777777" w:rsidTr="004610C9">
        <w:tc>
          <w:tcPr>
            <w:tcW w:w="1526" w:type="dxa"/>
            <w:shd w:val="clear" w:color="auto" w:fill="auto"/>
          </w:tcPr>
          <w:p w14:paraId="2A585018"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PFC</w:t>
            </w:r>
          </w:p>
        </w:tc>
        <w:tc>
          <w:tcPr>
            <w:tcW w:w="7092" w:type="dxa"/>
            <w:shd w:val="clear" w:color="auto" w:fill="auto"/>
          </w:tcPr>
          <w:p w14:paraId="190584A9"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perfluorocarbon</w:t>
            </w:r>
          </w:p>
        </w:tc>
      </w:tr>
      <w:tr w:rsidR="00C82DF6" w:rsidRPr="00261B7A" w14:paraId="0052FCC8" w14:textId="77777777" w:rsidTr="004610C9">
        <w:tc>
          <w:tcPr>
            <w:tcW w:w="1526" w:type="dxa"/>
            <w:shd w:val="clear" w:color="auto" w:fill="auto"/>
          </w:tcPr>
          <w:p w14:paraId="4FF03717" w14:textId="77777777" w:rsidR="00C82DF6" w:rsidRPr="00261B7A" w:rsidRDefault="00C82DF6" w:rsidP="003A763F">
            <w:pPr>
              <w:pStyle w:val="BodyText"/>
              <w:spacing w:after="0"/>
              <w:rPr>
                <w:rFonts w:eastAsia="Calibri" w:cs="Calibri"/>
                <w:b/>
                <w:bCs/>
                <w:sz w:val="20"/>
                <w:szCs w:val="20"/>
              </w:rPr>
            </w:pPr>
            <w:r w:rsidRPr="00261B7A">
              <w:rPr>
                <w:rFonts w:cs="Calibri"/>
                <w:b/>
                <w:bCs/>
                <w:sz w:val="20"/>
                <w:szCs w:val="20"/>
              </w:rPr>
              <w:t>PGgRc</w:t>
            </w:r>
          </w:p>
        </w:tc>
        <w:tc>
          <w:tcPr>
            <w:tcW w:w="7092" w:type="dxa"/>
            <w:shd w:val="clear" w:color="auto" w:fill="auto"/>
          </w:tcPr>
          <w:p w14:paraId="4D7E4612"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Pastoral Greenhouse Gas Research Consortium</w:t>
            </w:r>
          </w:p>
        </w:tc>
      </w:tr>
      <w:tr w:rsidR="00C82DF6" w:rsidRPr="00261B7A" w14:paraId="7EE4FC5B" w14:textId="77777777" w:rsidTr="004610C9">
        <w:tc>
          <w:tcPr>
            <w:tcW w:w="1526" w:type="dxa"/>
            <w:shd w:val="clear" w:color="auto" w:fill="auto"/>
          </w:tcPr>
          <w:p w14:paraId="0AB828C6"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PJ</w:t>
            </w:r>
          </w:p>
        </w:tc>
        <w:tc>
          <w:tcPr>
            <w:tcW w:w="7092" w:type="dxa"/>
            <w:shd w:val="clear" w:color="auto" w:fill="auto"/>
          </w:tcPr>
          <w:p w14:paraId="5600FC89"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petajoule(s)</w:t>
            </w:r>
          </w:p>
        </w:tc>
      </w:tr>
      <w:tr w:rsidR="00C82DF6" w:rsidRPr="00261B7A" w14:paraId="61D465BA" w14:textId="77777777" w:rsidTr="004610C9">
        <w:tc>
          <w:tcPr>
            <w:tcW w:w="1526" w:type="dxa"/>
            <w:shd w:val="clear" w:color="auto" w:fill="auto"/>
          </w:tcPr>
          <w:p w14:paraId="31B235DB" w14:textId="77777777" w:rsidR="00C82DF6" w:rsidRPr="00261B7A" w:rsidRDefault="00C82DF6" w:rsidP="003A763F">
            <w:pPr>
              <w:pStyle w:val="BodyText"/>
              <w:spacing w:after="0"/>
              <w:rPr>
                <w:rFonts w:eastAsia="Calibri" w:cs="Calibri"/>
                <w:b/>
                <w:sz w:val="20"/>
                <w:szCs w:val="20"/>
                <w:highlight w:val="yellow"/>
              </w:rPr>
            </w:pPr>
            <w:r w:rsidRPr="00261B7A">
              <w:rPr>
                <w:rFonts w:eastAsia="Calibri" w:cs="Calibri"/>
                <w:b/>
                <w:sz w:val="20"/>
                <w:szCs w:val="20"/>
              </w:rPr>
              <w:t>PRIF</w:t>
            </w:r>
          </w:p>
        </w:tc>
        <w:tc>
          <w:tcPr>
            <w:tcW w:w="7092" w:type="dxa"/>
            <w:shd w:val="clear" w:color="auto" w:fill="auto"/>
          </w:tcPr>
          <w:p w14:paraId="1CC8E3B5" w14:textId="77777777" w:rsidR="00C82DF6" w:rsidRPr="00261B7A" w:rsidRDefault="00C82DF6" w:rsidP="003A763F">
            <w:pPr>
              <w:pStyle w:val="BodyText"/>
              <w:spacing w:after="0"/>
              <w:rPr>
                <w:rFonts w:eastAsia="Calibri" w:cs="Calibri"/>
                <w:sz w:val="20"/>
                <w:szCs w:val="20"/>
                <w:highlight w:val="yellow"/>
              </w:rPr>
            </w:pPr>
            <w:r w:rsidRPr="00261B7A">
              <w:rPr>
                <w:rFonts w:eastAsia="Calibri" w:cs="Calibri"/>
                <w:sz w:val="20"/>
                <w:szCs w:val="20"/>
              </w:rPr>
              <w:t>Pacific Regional Infrastructure Facility</w:t>
            </w:r>
          </w:p>
        </w:tc>
      </w:tr>
      <w:tr w:rsidR="00C82DF6" w:rsidRPr="00261B7A" w14:paraId="4658C12B" w14:textId="77777777" w:rsidTr="004610C9">
        <w:tc>
          <w:tcPr>
            <w:tcW w:w="1526" w:type="dxa"/>
            <w:shd w:val="clear" w:color="auto" w:fill="auto"/>
          </w:tcPr>
          <w:p w14:paraId="2C4F7BA5"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PSP</w:t>
            </w:r>
          </w:p>
        </w:tc>
        <w:tc>
          <w:tcPr>
            <w:tcW w:w="7092" w:type="dxa"/>
            <w:shd w:val="clear" w:color="auto" w:fill="auto"/>
          </w:tcPr>
          <w:p w14:paraId="00473213"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permanent sample plot</w:t>
            </w:r>
          </w:p>
        </w:tc>
      </w:tr>
      <w:tr w:rsidR="00C82DF6" w:rsidRPr="00261B7A" w14:paraId="3F6C97DD" w14:textId="77777777" w:rsidTr="004610C9">
        <w:tc>
          <w:tcPr>
            <w:tcW w:w="1526" w:type="dxa"/>
            <w:shd w:val="clear" w:color="auto" w:fill="auto"/>
          </w:tcPr>
          <w:p w14:paraId="55F7664A"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PV</w:t>
            </w:r>
          </w:p>
        </w:tc>
        <w:tc>
          <w:tcPr>
            <w:tcW w:w="7092" w:type="dxa"/>
            <w:shd w:val="clear" w:color="auto" w:fill="auto"/>
          </w:tcPr>
          <w:p w14:paraId="0F1BFAAE"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photovoltaics</w:t>
            </w:r>
          </w:p>
        </w:tc>
      </w:tr>
      <w:tr w:rsidR="00C82DF6" w:rsidRPr="00261B7A" w14:paraId="5F5E44CE" w14:textId="77777777" w:rsidTr="004610C9">
        <w:tc>
          <w:tcPr>
            <w:tcW w:w="1526" w:type="dxa"/>
            <w:shd w:val="clear" w:color="auto" w:fill="auto"/>
          </w:tcPr>
          <w:p w14:paraId="440ACB08"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QA</w:t>
            </w:r>
          </w:p>
        </w:tc>
        <w:tc>
          <w:tcPr>
            <w:tcW w:w="7092" w:type="dxa"/>
            <w:shd w:val="clear" w:color="auto" w:fill="auto"/>
          </w:tcPr>
          <w:p w14:paraId="6D1BD243"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quality assurance</w:t>
            </w:r>
          </w:p>
        </w:tc>
      </w:tr>
      <w:tr w:rsidR="00C82DF6" w:rsidRPr="00261B7A" w14:paraId="514F19A0" w14:textId="77777777" w:rsidTr="004610C9">
        <w:tc>
          <w:tcPr>
            <w:tcW w:w="1526" w:type="dxa"/>
            <w:shd w:val="clear" w:color="auto" w:fill="auto"/>
          </w:tcPr>
          <w:p w14:paraId="3E828567"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QC </w:t>
            </w:r>
          </w:p>
        </w:tc>
        <w:tc>
          <w:tcPr>
            <w:tcW w:w="7092" w:type="dxa"/>
            <w:shd w:val="clear" w:color="auto" w:fill="auto"/>
          </w:tcPr>
          <w:p w14:paraId="30448FD8"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quality control</w:t>
            </w:r>
          </w:p>
        </w:tc>
      </w:tr>
      <w:tr w:rsidR="00C82DF6" w:rsidRPr="00261B7A" w14:paraId="2251DC4B" w14:textId="77777777" w:rsidTr="004610C9">
        <w:tc>
          <w:tcPr>
            <w:tcW w:w="1526" w:type="dxa"/>
            <w:shd w:val="clear" w:color="auto" w:fill="auto"/>
          </w:tcPr>
          <w:p w14:paraId="6296E5E4"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RGG</w:t>
            </w:r>
          </w:p>
        </w:tc>
        <w:tc>
          <w:tcPr>
            <w:tcW w:w="7092" w:type="dxa"/>
            <w:shd w:val="clear" w:color="auto" w:fill="auto"/>
          </w:tcPr>
          <w:p w14:paraId="51FE42B4"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 xml:space="preserve">Reporting Governance Group </w:t>
            </w:r>
          </w:p>
        </w:tc>
      </w:tr>
      <w:tr w:rsidR="00C82DF6" w:rsidRPr="00261B7A" w14:paraId="6CA84E82" w14:textId="77777777" w:rsidTr="004610C9">
        <w:tc>
          <w:tcPr>
            <w:tcW w:w="1526" w:type="dxa"/>
            <w:shd w:val="clear" w:color="auto" w:fill="auto"/>
          </w:tcPr>
          <w:p w14:paraId="397CE81D"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RMU</w:t>
            </w:r>
          </w:p>
        </w:tc>
        <w:tc>
          <w:tcPr>
            <w:tcW w:w="7092" w:type="dxa"/>
            <w:shd w:val="clear" w:color="auto" w:fill="auto"/>
          </w:tcPr>
          <w:p w14:paraId="07E1633A"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removal unit</w:t>
            </w:r>
          </w:p>
        </w:tc>
      </w:tr>
      <w:tr w:rsidR="00C82DF6" w:rsidRPr="00261B7A" w14:paraId="4381E20E" w14:textId="77777777" w:rsidTr="004610C9">
        <w:tc>
          <w:tcPr>
            <w:tcW w:w="1526" w:type="dxa"/>
            <w:shd w:val="clear" w:color="auto" w:fill="auto"/>
          </w:tcPr>
          <w:p w14:paraId="0FD8B20A"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SDGs</w:t>
            </w:r>
          </w:p>
        </w:tc>
        <w:tc>
          <w:tcPr>
            <w:tcW w:w="7092" w:type="dxa"/>
            <w:shd w:val="clear" w:color="auto" w:fill="auto"/>
          </w:tcPr>
          <w:p w14:paraId="0732D0D3"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Sustainable Development Goals</w:t>
            </w:r>
          </w:p>
        </w:tc>
      </w:tr>
      <w:tr w:rsidR="00C82DF6" w:rsidRPr="00261B7A" w14:paraId="0A471E0C" w14:textId="77777777" w:rsidTr="004610C9">
        <w:tc>
          <w:tcPr>
            <w:tcW w:w="1526" w:type="dxa"/>
            <w:shd w:val="clear" w:color="auto" w:fill="auto"/>
          </w:tcPr>
          <w:p w14:paraId="68C9FDCA"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lastRenderedPageBreak/>
              <w:t>SEF</w:t>
            </w:r>
          </w:p>
        </w:tc>
        <w:tc>
          <w:tcPr>
            <w:tcW w:w="7092" w:type="dxa"/>
            <w:shd w:val="clear" w:color="auto" w:fill="auto"/>
          </w:tcPr>
          <w:p w14:paraId="281A0BE5"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standard electronic format</w:t>
            </w:r>
          </w:p>
        </w:tc>
      </w:tr>
      <w:tr w:rsidR="00C82DF6" w:rsidRPr="00261B7A" w14:paraId="174D2D51" w14:textId="77777777" w:rsidTr="004610C9">
        <w:tc>
          <w:tcPr>
            <w:tcW w:w="1526" w:type="dxa"/>
            <w:shd w:val="clear" w:color="auto" w:fill="auto"/>
          </w:tcPr>
          <w:p w14:paraId="65585B45"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SF</w:t>
            </w:r>
            <w:r w:rsidRPr="00261B7A">
              <w:rPr>
                <w:rFonts w:eastAsia="Calibri" w:cs="Calibri"/>
                <w:b/>
                <w:sz w:val="20"/>
                <w:szCs w:val="20"/>
                <w:vertAlign w:val="subscript"/>
              </w:rPr>
              <w:t>6</w:t>
            </w:r>
          </w:p>
        </w:tc>
        <w:tc>
          <w:tcPr>
            <w:tcW w:w="7092" w:type="dxa"/>
            <w:shd w:val="clear" w:color="auto" w:fill="auto"/>
          </w:tcPr>
          <w:p w14:paraId="09B246A7"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sulphur hexafluoride</w:t>
            </w:r>
          </w:p>
        </w:tc>
      </w:tr>
      <w:tr w:rsidR="00C82DF6" w:rsidRPr="00261B7A" w14:paraId="481C8A50" w14:textId="77777777" w:rsidTr="004610C9">
        <w:tc>
          <w:tcPr>
            <w:tcW w:w="1526" w:type="dxa"/>
            <w:shd w:val="clear" w:color="auto" w:fill="auto"/>
          </w:tcPr>
          <w:p w14:paraId="06D03C32"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SIDS</w:t>
            </w:r>
          </w:p>
        </w:tc>
        <w:tc>
          <w:tcPr>
            <w:tcW w:w="7092" w:type="dxa"/>
            <w:shd w:val="clear" w:color="auto" w:fill="auto"/>
          </w:tcPr>
          <w:p w14:paraId="7DA1ED60"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Small Island Developing States</w:t>
            </w:r>
          </w:p>
        </w:tc>
      </w:tr>
      <w:tr w:rsidR="00C82DF6" w:rsidRPr="00261B7A" w14:paraId="15113869" w14:textId="77777777" w:rsidTr="004610C9">
        <w:tc>
          <w:tcPr>
            <w:tcW w:w="1526" w:type="dxa"/>
            <w:shd w:val="clear" w:color="auto" w:fill="auto"/>
          </w:tcPr>
          <w:p w14:paraId="09F30472"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SO</w:t>
            </w:r>
            <w:r w:rsidRPr="00261B7A">
              <w:rPr>
                <w:rFonts w:eastAsia="Calibri" w:cs="Calibri"/>
                <w:b/>
                <w:sz w:val="20"/>
                <w:szCs w:val="20"/>
                <w:vertAlign w:val="subscript"/>
              </w:rPr>
              <w:t>2</w:t>
            </w:r>
          </w:p>
        </w:tc>
        <w:tc>
          <w:tcPr>
            <w:tcW w:w="7092" w:type="dxa"/>
            <w:shd w:val="clear" w:color="auto" w:fill="auto"/>
          </w:tcPr>
          <w:p w14:paraId="4AFE33AC"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sulphur dioxide</w:t>
            </w:r>
          </w:p>
        </w:tc>
      </w:tr>
      <w:tr w:rsidR="00C82DF6" w:rsidRPr="00261B7A" w14:paraId="639C4673" w14:textId="77777777" w:rsidTr="004610C9">
        <w:tc>
          <w:tcPr>
            <w:tcW w:w="1526" w:type="dxa"/>
            <w:shd w:val="clear" w:color="auto" w:fill="auto"/>
          </w:tcPr>
          <w:p w14:paraId="50ADCF56"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SOC</w:t>
            </w:r>
          </w:p>
        </w:tc>
        <w:tc>
          <w:tcPr>
            <w:tcW w:w="7092" w:type="dxa"/>
            <w:shd w:val="clear" w:color="auto" w:fill="auto"/>
          </w:tcPr>
          <w:p w14:paraId="36F8031D"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soil organic carbon</w:t>
            </w:r>
          </w:p>
        </w:tc>
      </w:tr>
      <w:tr w:rsidR="00C82DF6" w:rsidRPr="00261B7A" w14:paraId="5B0D72B7" w14:textId="77777777" w:rsidTr="004610C9">
        <w:tc>
          <w:tcPr>
            <w:tcW w:w="1526" w:type="dxa"/>
            <w:shd w:val="clear" w:color="auto" w:fill="auto"/>
          </w:tcPr>
          <w:p w14:paraId="7D479E96"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Soil CMS</w:t>
            </w:r>
          </w:p>
        </w:tc>
        <w:tc>
          <w:tcPr>
            <w:tcW w:w="7092" w:type="dxa"/>
            <w:shd w:val="clear" w:color="auto" w:fill="auto"/>
          </w:tcPr>
          <w:p w14:paraId="3F9BE783"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Soil Carbon Monitoring System</w:t>
            </w:r>
          </w:p>
        </w:tc>
      </w:tr>
      <w:tr w:rsidR="00C82DF6" w:rsidRPr="00261B7A" w14:paraId="2BCC8278" w14:textId="77777777" w:rsidTr="004610C9">
        <w:tc>
          <w:tcPr>
            <w:tcW w:w="1526" w:type="dxa"/>
            <w:shd w:val="clear" w:color="auto" w:fill="auto"/>
          </w:tcPr>
          <w:p w14:paraId="6E452904" w14:textId="77777777" w:rsidR="00C82DF6" w:rsidRPr="00261B7A" w:rsidRDefault="00C82DF6" w:rsidP="003A763F">
            <w:pPr>
              <w:pStyle w:val="BodyText"/>
              <w:spacing w:after="0"/>
              <w:rPr>
                <w:rFonts w:eastAsia="Calibri" w:cs="Calibri"/>
                <w:b/>
                <w:bCs/>
                <w:sz w:val="20"/>
                <w:szCs w:val="20"/>
              </w:rPr>
            </w:pPr>
            <w:r w:rsidRPr="00261B7A">
              <w:rPr>
                <w:rFonts w:cs="Calibri"/>
                <w:b/>
                <w:bCs/>
                <w:sz w:val="20"/>
                <w:szCs w:val="20"/>
              </w:rPr>
              <w:t>SWDS</w:t>
            </w:r>
          </w:p>
        </w:tc>
        <w:tc>
          <w:tcPr>
            <w:tcW w:w="7092" w:type="dxa"/>
            <w:shd w:val="clear" w:color="auto" w:fill="auto"/>
          </w:tcPr>
          <w:p w14:paraId="6E436D7F"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solid waste disposable sites</w:t>
            </w:r>
          </w:p>
        </w:tc>
      </w:tr>
      <w:tr w:rsidR="00C82DF6" w:rsidRPr="00261B7A" w14:paraId="3D62B0A7" w14:textId="77777777" w:rsidTr="004610C9">
        <w:tc>
          <w:tcPr>
            <w:tcW w:w="1526" w:type="dxa"/>
            <w:shd w:val="clear" w:color="auto" w:fill="auto"/>
          </w:tcPr>
          <w:p w14:paraId="5FB60DA2"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t</w:t>
            </w:r>
          </w:p>
        </w:tc>
        <w:tc>
          <w:tcPr>
            <w:tcW w:w="7092" w:type="dxa"/>
            <w:shd w:val="clear" w:color="auto" w:fill="auto"/>
          </w:tcPr>
          <w:p w14:paraId="6635EA19"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tonne(s)</w:t>
            </w:r>
          </w:p>
        </w:tc>
      </w:tr>
      <w:tr w:rsidR="00C82DF6" w:rsidRPr="00261B7A" w14:paraId="0F197D04" w14:textId="77777777" w:rsidTr="004610C9">
        <w:tc>
          <w:tcPr>
            <w:tcW w:w="1526" w:type="dxa"/>
            <w:shd w:val="clear" w:color="auto" w:fill="auto"/>
          </w:tcPr>
          <w:p w14:paraId="0E1FBBE8" w14:textId="07326214"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t</w:t>
            </w:r>
            <w:r w:rsidR="00835D67" w:rsidRPr="00261B7A">
              <w:rPr>
                <w:rFonts w:eastAsia="Calibri" w:cs="Calibri"/>
                <w:b/>
                <w:sz w:val="20"/>
                <w:szCs w:val="20"/>
              </w:rPr>
              <w:t xml:space="preserve"> </w:t>
            </w:r>
            <w:r w:rsidRPr="00261B7A">
              <w:rPr>
                <w:rFonts w:eastAsia="Calibri" w:cs="Calibri"/>
                <w:b/>
                <w:sz w:val="20"/>
                <w:szCs w:val="20"/>
              </w:rPr>
              <w:t>C</w:t>
            </w:r>
          </w:p>
        </w:tc>
        <w:tc>
          <w:tcPr>
            <w:tcW w:w="7092" w:type="dxa"/>
            <w:shd w:val="clear" w:color="auto" w:fill="auto"/>
          </w:tcPr>
          <w:p w14:paraId="72786076"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tonne(s) carbon</w:t>
            </w:r>
          </w:p>
        </w:tc>
      </w:tr>
      <w:tr w:rsidR="00C82DF6" w:rsidRPr="00261B7A" w14:paraId="1EFE69DE" w14:textId="77777777" w:rsidTr="004610C9">
        <w:tc>
          <w:tcPr>
            <w:tcW w:w="1526" w:type="dxa"/>
            <w:shd w:val="clear" w:color="auto" w:fill="auto"/>
          </w:tcPr>
          <w:p w14:paraId="5FDDB687"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TACCC</w:t>
            </w:r>
          </w:p>
        </w:tc>
        <w:tc>
          <w:tcPr>
            <w:tcW w:w="7092" w:type="dxa"/>
            <w:shd w:val="clear" w:color="auto" w:fill="auto"/>
          </w:tcPr>
          <w:p w14:paraId="57B03C19"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transparency, accuracy, completeness, consistency and comparability</w:t>
            </w:r>
          </w:p>
        </w:tc>
      </w:tr>
      <w:tr w:rsidR="00C82DF6" w:rsidRPr="00261B7A" w14:paraId="482E4198" w14:textId="77777777" w:rsidTr="004610C9">
        <w:tc>
          <w:tcPr>
            <w:tcW w:w="1526" w:type="dxa"/>
            <w:shd w:val="clear" w:color="auto" w:fill="auto"/>
          </w:tcPr>
          <w:p w14:paraId="21303ADF"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tCER </w:t>
            </w:r>
          </w:p>
        </w:tc>
        <w:tc>
          <w:tcPr>
            <w:tcW w:w="7092" w:type="dxa"/>
            <w:shd w:val="clear" w:color="auto" w:fill="auto"/>
          </w:tcPr>
          <w:p w14:paraId="524F52F4"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temporary certified emission reduction unit</w:t>
            </w:r>
          </w:p>
        </w:tc>
      </w:tr>
      <w:tr w:rsidR="00C82DF6" w:rsidRPr="00261B7A" w14:paraId="1EA02D7D" w14:textId="77777777" w:rsidTr="004610C9">
        <w:tc>
          <w:tcPr>
            <w:tcW w:w="1526" w:type="dxa"/>
            <w:shd w:val="clear" w:color="auto" w:fill="auto"/>
          </w:tcPr>
          <w:p w14:paraId="31972DBA"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TJ</w:t>
            </w:r>
          </w:p>
        </w:tc>
        <w:tc>
          <w:tcPr>
            <w:tcW w:w="7092" w:type="dxa"/>
            <w:shd w:val="clear" w:color="auto" w:fill="auto"/>
          </w:tcPr>
          <w:p w14:paraId="0FC1F351"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terajoule(s)</w:t>
            </w:r>
          </w:p>
        </w:tc>
      </w:tr>
      <w:tr w:rsidR="00C82DF6" w:rsidRPr="00261B7A" w14:paraId="2E10734B" w14:textId="77777777" w:rsidTr="004610C9">
        <w:tc>
          <w:tcPr>
            <w:tcW w:w="1526" w:type="dxa"/>
            <w:shd w:val="clear" w:color="auto" w:fill="auto"/>
          </w:tcPr>
          <w:p w14:paraId="01FDDDB2"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TOW</w:t>
            </w:r>
          </w:p>
        </w:tc>
        <w:tc>
          <w:tcPr>
            <w:tcW w:w="7092" w:type="dxa"/>
            <w:shd w:val="clear" w:color="auto" w:fill="auto"/>
          </w:tcPr>
          <w:p w14:paraId="032E9B82"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total organic product in wastewater</w:t>
            </w:r>
          </w:p>
        </w:tc>
      </w:tr>
      <w:tr w:rsidR="00C82DF6" w:rsidRPr="00261B7A" w14:paraId="172CCFC6" w14:textId="77777777" w:rsidTr="004610C9">
        <w:tc>
          <w:tcPr>
            <w:tcW w:w="1526" w:type="dxa"/>
            <w:shd w:val="clear" w:color="auto" w:fill="auto"/>
          </w:tcPr>
          <w:p w14:paraId="4823BD09"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UEF</w:t>
            </w:r>
          </w:p>
        </w:tc>
        <w:tc>
          <w:tcPr>
            <w:tcW w:w="7092" w:type="dxa"/>
            <w:shd w:val="clear" w:color="auto" w:fill="auto"/>
          </w:tcPr>
          <w:p w14:paraId="1E17EEB1"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unique emission factor</w:t>
            </w:r>
          </w:p>
        </w:tc>
      </w:tr>
      <w:tr w:rsidR="00C82DF6" w:rsidRPr="00261B7A" w14:paraId="68AEE911" w14:textId="77777777" w:rsidTr="004610C9">
        <w:tc>
          <w:tcPr>
            <w:tcW w:w="1526" w:type="dxa"/>
            <w:shd w:val="clear" w:color="auto" w:fill="auto"/>
          </w:tcPr>
          <w:p w14:paraId="2D2B9FBE"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 xml:space="preserve">UNFCCC </w:t>
            </w:r>
          </w:p>
        </w:tc>
        <w:tc>
          <w:tcPr>
            <w:tcW w:w="7092" w:type="dxa"/>
            <w:shd w:val="clear" w:color="auto" w:fill="auto"/>
          </w:tcPr>
          <w:p w14:paraId="7D9C1A6E" w14:textId="77777777" w:rsidR="00C82DF6" w:rsidRPr="00261B7A" w:rsidRDefault="00C82DF6" w:rsidP="003A763F">
            <w:pPr>
              <w:pStyle w:val="BodyText"/>
              <w:spacing w:after="0"/>
              <w:rPr>
                <w:rFonts w:eastAsia="Calibri" w:cs="Calibri"/>
                <w:sz w:val="20"/>
                <w:szCs w:val="20"/>
              </w:rPr>
            </w:pPr>
            <w:r w:rsidRPr="00261B7A">
              <w:rPr>
                <w:rFonts w:eastAsia="Calibri" w:cs="Calibri"/>
                <w:sz w:val="20"/>
                <w:szCs w:val="20"/>
              </w:rPr>
              <w:t xml:space="preserve">United Nations Framework Convention on Climate Change </w:t>
            </w:r>
          </w:p>
        </w:tc>
      </w:tr>
      <w:tr w:rsidR="00C82DF6" w:rsidRPr="00261B7A" w14:paraId="5E47CE85" w14:textId="77777777" w:rsidTr="004610C9">
        <w:tc>
          <w:tcPr>
            <w:tcW w:w="1526" w:type="dxa"/>
            <w:shd w:val="clear" w:color="auto" w:fill="auto"/>
          </w:tcPr>
          <w:p w14:paraId="19301BCD" w14:textId="77777777" w:rsidR="00C82DF6" w:rsidRPr="00261B7A" w:rsidRDefault="00C82DF6" w:rsidP="003A763F">
            <w:pPr>
              <w:pStyle w:val="BodyText"/>
              <w:spacing w:after="0"/>
              <w:rPr>
                <w:rFonts w:eastAsia="Calibri" w:cs="Calibri"/>
                <w:b/>
                <w:sz w:val="20"/>
                <w:szCs w:val="20"/>
              </w:rPr>
            </w:pPr>
            <w:r w:rsidRPr="00261B7A">
              <w:rPr>
                <w:rFonts w:eastAsia="Calibri" w:cs="Calibri"/>
                <w:b/>
                <w:sz w:val="20"/>
                <w:szCs w:val="20"/>
              </w:rPr>
              <w:t>WTO</w:t>
            </w:r>
          </w:p>
        </w:tc>
        <w:tc>
          <w:tcPr>
            <w:tcW w:w="7092" w:type="dxa"/>
            <w:shd w:val="clear" w:color="auto" w:fill="auto"/>
          </w:tcPr>
          <w:p w14:paraId="65A74D27" w14:textId="77777777" w:rsidR="00C82DF6" w:rsidRPr="00261B7A" w:rsidRDefault="00C82DF6" w:rsidP="003A763F">
            <w:pPr>
              <w:pStyle w:val="BodyText"/>
              <w:spacing w:after="0"/>
              <w:rPr>
                <w:rFonts w:eastAsia="Calibri" w:cs="Calibri"/>
                <w:sz w:val="20"/>
                <w:szCs w:val="20"/>
              </w:rPr>
            </w:pPr>
            <w:r w:rsidRPr="00261B7A">
              <w:rPr>
                <w:rFonts w:cs="Calibri"/>
                <w:sz w:val="20"/>
                <w:szCs w:val="20"/>
              </w:rPr>
              <w:t>World Trade Organization</w:t>
            </w:r>
          </w:p>
        </w:tc>
      </w:tr>
    </w:tbl>
    <w:p w14:paraId="03CAC01A" w14:textId="77777777" w:rsidR="00C82DF6" w:rsidRPr="00261B7A" w:rsidRDefault="00C82DF6" w:rsidP="00C82DF6"/>
    <w:p w14:paraId="46FB35D4" w14:textId="77777777" w:rsidR="00C21B54" w:rsidRPr="00261B7A" w:rsidRDefault="00C21B54" w:rsidP="004514FB">
      <w:pPr>
        <w:pStyle w:val="BodyText"/>
      </w:pPr>
    </w:p>
    <w:p w14:paraId="2E4CD7EA" w14:textId="77777777" w:rsidR="006E0A2C" w:rsidRPr="00261B7A" w:rsidRDefault="006E0A2C" w:rsidP="006E0A2C">
      <w:pPr>
        <w:sectPr w:rsidR="006E0A2C" w:rsidRPr="00261B7A" w:rsidSect="00715D39">
          <w:footerReference w:type="even" r:id="rId27"/>
          <w:pgSz w:w="11907" w:h="16840" w:code="9"/>
          <w:pgMar w:top="1418" w:right="1701" w:bottom="1418" w:left="1701" w:header="567" w:footer="567" w:gutter="0"/>
          <w:pgNumType w:fmt="lowerRoman"/>
          <w:cols w:space="720"/>
        </w:sectPr>
      </w:pPr>
    </w:p>
    <w:p w14:paraId="6C7046EF" w14:textId="77777777" w:rsidR="00EC31F9" w:rsidRPr="00261B7A" w:rsidRDefault="00EC31F9" w:rsidP="00EC31F9">
      <w:pPr>
        <w:pStyle w:val="Heading1"/>
      </w:pPr>
      <w:bookmarkStart w:id="11" w:name="_Toc131591193"/>
      <w:bookmarkStart w:id="12" w:name="executive-summary"/>
      <w:r w:rsidRPr="00261B7A">
        <w:lastRenderedPageBreak/>
        <w:t>Executive summary</w:t>
      </w:r>
      <w:bookmarkEnd w:id="11"/>
    </w:p>
    <w:p w14:paraId="2A5E20C2" w14:textId="77777777" w:rsidR="00EC31F9" w:rsidRPr="00261B7A" w:rsidRDefault="00EC31F9" w:rsidP="00EC31F9">
      <w:pPr>
        <w:pStyle w:val="BodyText"/>
        <w:spacing w:before="0" w:after="240"/>
      </w:pPr>
      <w:r w:rsidRPr="00261B7A">
        <w:t>The 2023 inventory submission contains national greenhouse gas emission estimates for the period 1990 to 2021.</w:t>
      </w:r>
    </w:p>
    <w:tbl>
      <w:tblPr>
        <w:tblStyle w:val="TableGrid"/>
        <w:tblW w:w="0" w:type="auto"/>
        <w:tblLook w:val="04A0" w:firstRow="1" w:lastRow="0" w:firstColumn="1" w:lastColumn="0" w:noHBand="0" w:noVBand="1"/>
      </w:tblPr>
      <w:tblGrid>
        <w:gridCol w:w="8495"/>
      </w:tblGrid>
      <w:tr w:rsidR="00292C6C" w:rsidRPr="00261B7A" w14:paraId="4B183D08" w14:textId="77777777" w:rsidTr="00A32ADC">
        <w:trPr>
          <w:trHeight w:val="11030"/>
        </w:trPr>
        <w:tc>
          <w:tcPr>
            <w:tcW w:w="8495" w:type="dxa"/>
            <w:tcBorders>
              <w:top w:val="single" w:sz="4" w:space="0" w:color="D2DDE1" w:themeColor="background2"/>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781B7589" w14:textId="77777777" w:rsidR="00EC31F9" w:rsidRPr="00261B7A" w:rsidRDefault="00EC31F9" w:rsidP="008C3B2C">
            <w:pPr>
              <w:pStyle w:val="Keypointshead"/>
              <w:spacing w:before="240" w:after="80"/>
              <w:rPr>
                <w:color w:val="1B556B" w:themeColor="text2"/>
                <w:sz w:val="20"/>
                <w:szCs w:val="20"/>
              </w:rPr>
            </w:pPr>
            <w:r w:rsidRPr="00261B7A">
              <w:rPr>
                <w:color w:val="1B556B" w:themeColor="text2"/>
                <w:sz w:val="20"/>
                <w:szCs w:val="20"/>
              </w:rPr>
              <w:t>Key points</w:t>
            </w:r>
          </w:p>
          <w:p w14:paraId="5078F869" w14:textId="77777777" w:rsidR="00EC31F9" w:rsidRPr="00261B7A" w:rsidRDefault="00EC31F9" w:rsidP="008C3B2C">
            <w:pPr>
              <w:pStyle w:val="Keypointshead"/>
              <w:spacing w:before="0"/>
              <w:rPr>
                <w:color w:val="1B556B" w:themeColor="text2"/>
              </w:rPr>
            </w:pPr>
            <w:r w:rsidRPr="00261B7A">
              <w:rPr>
                <w:bCs/>
                <w:color w:val="1B556B" w:themeColor="text2"/>
              </w:rPr>
              <w:t>In 2021</w:t>
            </w:r>
          </w:p>
          <w:p w14:paraId="4BDEC6DC" w14:textId="77777777" w:rsidR="00EC31F9" w:rsidRPr="00261B7A" w:rsidRDefault="00EC31F9" w:rsidP="008C3B2C">
            <w:pPr>
              <w:pStyle w:val="Keypointsbullet"/>
              <w:numPr>
                <w:ilvl w:val="0"/>
                <w:numId w:val="31"/>
              </w:numPr>
              <w:spacing w:before="80"/>
              <w:ind w:left="568" w:hanging="284"/>
              <w:rPr>
                <w:color w:val="1B556B" w:themeColor="text2"/>
              </w:rPr>
            </w:pPr>
            <w:r w:rsidRPr="00261B7A">
              <w:rPr>
                <w:color w:val="1B556B" w:themeColor="text2"/>
              </w:rPr>
              <w:t>New Zealand’s gross greenhouse gas emissions were 76,825 kilotonnes carbon dioxide equivalent (kt CO</w:t>
            </w:r>
            <w:r w:rsidRPr="00261B7A">
              <w:rPr>
                <w:color w:val="1B556B" w:themeColor="text2"/>
                <w:vertAlign w:val="subscript"/>
              </w:rPr>
              <w:t>2</w:t>
            </w:r>
            <w:r w:rsidRPr="00261B7A">
              <w:rPr>
                <w:color w:val="1B556B" w:themeColor="text2"/>
              </w:rPr>
              <w:t>-e), comprising 45 per cent carbon dioxide, 43 per cent methane, 10 per cent nitrous oxide and 2 per cent fluorinated gases.</w:t>
            </w:r>
          </w:p>
          <w:p w14:paraId="3C7FC348" w14:textId="77777777" w:rsidR="00EC31F9" w:rsidRPr="00261B7A" w:rsidRDefault="00EC31F9" w:rsidP="008C3B2C">
            <w:pPr>
              <w:pStyle w:val="Keypointsbullet"/>
              <w:numPr>
                <w:ilvl w:val="0"/>
                <w:numId w:val="31"/>
              </w:numPr>
              <w:spacing w:before="80"/>
              <w:ind w:left="568" w:hanging="284"/>
              <w:rPr>
                <w:color w:val="1B556B" w:themeColor="text2"/>
              </w:rPr>
            </w:pPr>
            <w:r w:rsidRPr="00261B7A">
              <w:rPr>
                <w:color w:val="1B556B" w:themeColor="text2"/>
              </w:rPr>
              <w:t>The Agriculture sector, at 49 per cent, and Energy sector, at 41 per cent, were the two largest contributors to gross emissions.</w:t>
            </w:r>
          </w:p>
          <w:p w14:paraId="0C738770" w14:textId="77777777" w:rsidR="00EC31F9" w:rsidRPr="00261B7A" w:rsidRDefault="00EC31F9" w:rsidP="008C3B2C">
            <w:pPr>
              <w:pStyle w:val="Keypointsbullet"/>
              <w:numPr>
                <w:ilvl w:val="0"/>
                <w:numId w:val="31"/>
              </w:numPr>
              <w:spacing w:before="80"/>
              <w:ind w:left="568" w:hanging="284"/>
              <w:rPr>
                <w:color w:val="1B556B" w:themeColor="text2"/>
              </w:rPr>
            </w:pPr>
            <w:r w:rsidRPr="00261B7A">
              <w:rPr>
                <w:color w:val="1B556B" w:themeColor="text2"/>
              </w:rPr>
              <w:t>The Land Use, Land-Use Change and Forestry (LULUCF) sector offset 27 per cent of New Zealand’s gross emissions.</w:t>
            </w:r>
          </w:p>
          <w:p w14:paraId="471F84D7" w14:textId="77777777" w:rsidR="00EC31F9" w:rsidRPr="00261B7A" w:rsidRDefault="00EC31F9" w:rsidP="008C3B2C">
            <w:pPr>
              <w:pStyle w:val="Keypointsbullet"/>
              <w:numPr>
                <w:ilvl w:val="0"/>
                <w:numId w:val="31"/>
              </w:numPr>
              <w:spacing w:before="80" w:after="80"/>
              <w:ind w:left="568" w:hanging="284"/>
              <w:rPr>
                <w:color w:val="1B556B" w:themeColor="text2"/>
              </w:rPr>
            </w:pPr>
            <w:r w:rsidRPr="00261B7A">
              <w:rPr>
                <w:color w:val="1B556B" w:themeColor="text2"/>
              </w:rPr>
              <w:t>New Zealand’s net emissions were 55,746 kt CO</w:t>
            </w:r>
            <w:r w:rsidRPr="00261B7A">
              <w:rPr>
                <w:color w:val="1B556B" w:themeColor="text2"/>
                <w:vertAlign w:val="subscript"/>
              </w:rPr>
              <w:t>2</w:t>
            </w:r>
            <w:r w:rsidRPr="00261B7A">
              <w:rPr>
                <w:color w:val="1B556B" w:themeColor="text2"/>
              </w:rPr>
              <w:t>-e.</w:t>
            </w:r>
          </w:p>
          <w:p w14:paraId="1F380BF1" w14:textId="77777777" w:rsidR="00EC31F9" w:rsidRPr="00261B7A" w:rsidRDefault="00EC31F9" w:rsidP="008C3B2C">
            <w:pPr>
              <w:pStyle w:val="Keypointshead"/>
              <w:rPr>
                <w:color w:val="1B556B" w:themeColor="text2"/>
              </w:rPr>
            </w:pPr>
            <w:r w:rsidRPr="00261B7A">
              <w:rPr>
                <w:bCs/>
                <w:color w:val="1B556B" w:themeColor="text2"/>
              </w:rPr>
              <w:t>Since 1990</w:t>
            </w:r>
          </w:p>
          <w:p w14:paraId="442EDC3D" w14:textId="77777777" w:rsidR="00EC31F9" w:rsidRPr="00261B7A" w:rsidRDefault="00EC31F9" w:rsidP="008C3B2C">
            <w:pPr>
              <w:pStyle w:val="Keypointsbullet"/>
              <w:numPr>
                <w:ilvl w:val="0"/>
                <w:numId w:val="31"/>
              </w:numPr>
              <w:spacing w:before="80"/>
              <w:ind w:left="568" w:hanging="284"/>
              <w:rPr>
                <w:color w:val="1B556B" w:themeColor="text2"/>
              </w:rPr>
            </w:pPr>
            <w:r w:rsidRPr="00261B7A">
              <w:rPr>
                <w:color w:val="1B556B" w:themeColor="text2"/>
              </w:rPr>
              <w:t xml:space="preserve">New Zealand’s gross and net emissions peaked in 2006. </w:t>
            </w:r>
          </w:p>
          <w:p w14:paraId="54C3F922" w14:textId="77777777" w:rsidR="00EC31F9" w:rsidRPr="00261B7A" w:rsidRDefault="00EC31F9" w:rsidP="008C3B2C">
            <w:pPr>
              <w:pStyle w:val="Keypointsbullet"/>
              <w:numPr>
                <w:ilvl w:val="0"/>
                <w:numId w:val="31"/>
              </w:numPr>
              <w:spacing w:before="80"/>
              <w:ind w:left="568" w:hanging="284"/>
              <w:rPr>
                <w:color w:val="1B556B" w:themeColor="text2"/>
              </w:rPr>
            </w:pPr>
            <w:r w:rsidRPr="00261B7A">
              <w:rPr>
                <w:color w:val="1B556B" w:themeColor="text2"/>
              </w:rPr>
              <w:t>New Zealand’s gross emissions increased by 19 per cent (12,105 kt CO</w:t>
            </w:r>
            <w:r w:rsidRPr="00261B7A">
              <w:rPr>
                <w:color w:val="1B556B" w:themeColor="text2"/>
                <w:vertAlign w:val="subscript"/>
              </w:rPr>
              <w:t>2</w:t>
            </w:r>
            <w:r w:rsidRPr="00261B7A">
              <w:rPr>
                <w:color w:val="1B556B" w:themeColor="text2"/>
              </w:rPr>
              <w:t>-e). The five emissions sources that contributed the most to this increase were:</w:t>
            </w:r>
          </w:p>
          <w:p w14:paraId="7D39798B" w14:textId="0D8D7B27" w:rsidR="00EC31F9" w:rsidRPr="00261B7A" w:rsidRDefault="00EC31F9" w:rsidP="008C3B2C">
            <w:pPr>
              <w:pStyle w:val="Keypointsub-bullet"/>
              <w:spacing w:before="80"/>
              <w:ind w:left="851" w:hanging="284"/>
              <w:rPr>
                <w:color w:val="1B556B" w:themeColor="text2"/>
                <w:spacing w:val="-2"/>
              </w:rPr>
            </w:pPr>
            <w:r w:rsidRPr="00261B7A">
              <w:rPr>
                <w:color w:val="1B556B" w:themeColor="text2"/>
                <w:spacing w:val="-2"/>
              </w:rPr>
              <w:t xml:space="preserve">enteric fermentation from an increase in the dairy cattle population (methane) </w:t>
            </w:r>
          </w:p>
          <w:p w14:paraId="20F8D4CA" w14:textId="7D76165D" w:rsidR="00EC31F9" w:rsidRPr="00261B7A" w:rsidRDefault="00EC31F9" w:rsidP="008C3B2C">
            <w:pPr>
              <w:pStyle w:val="Keypointsub-bullet"/>
              <w:spacing w:before="80"/>
              <w:ind w:left="851" w:hanging="284"/>
              <w:rPr>
                <w:color w:val="1B556B" w:themeColor="text2"/>
              </w:rPr>
            </w:pPr>
            <w:r w:rsidRPr="00261B7A">
              <w:rPr>
                <w:color w:val="1B556B" w:themeColor="text2"/>
              </w:rPr>
              <w:t xml:space="preserve">fuel use in road transport due to traffic growth (carbon dioxide) </w:t>
            </w:r>
          </w:p>
          <w:p w14:paraId="050816A3" w14:textId="619738E6" w:rsidR="00EC31F9" w:rsidRPr="00261B7A" w:rsidRDefault="00EC31F9" w:rsidP="008C3B2C">
            <w:pPr>
              <w:pStyle w:val="Keypointsub-bullet"/>
              <w:spacing w:before="80"/>
              <w:ind w:left="851" w:hanging="284"/>
              <w:rPr>
                <w:color w:val="1B556B" w:themeColor="text2"/>
              </w:rPr>
            </w:pPr>
            <w:r w:rsidRPr="00261B7A">
              <w:rPr>
                <w:color w:val="1B556B" w:themeColor="text2"/>
              </w:rPr>
              <w:t xml:space="preserve">increased fertiliser use on agricultural soils (nitrous oxide) </w:t>
            </w:r>
          </w:p>
          <w:p w14:paraId="2259291C" w14:textId="4218D7F8" w:rsidR="00EC31F9" w:rsidRPr="00261B7A" w:rsidRDefault="00EC31F9" w:rsidP="008C3B2C">
            <w:pPr>
              <w:pStyle w:val="Keypointsub-bullet"/>
              <w:spacing w:before="80"/>
              <w:ind w:left="851" w:hanging="284"/>
              <w:rPr>
                <w:color w:val="1B556B" w:themeColor="text2"/>
              </w:rPr>
            </w:pPr>
            <w:r w:rsidRPr="00261B7A">
              <w:rPr>
                <w:color w:val="1B556B" w:themeColor="text2"/>
              </w:rPr>
              <w:t xml:space="preserve">fuel use in manufacturing industries and construction due to economic growth (carbon dioxide) </w:t>
            </w:r>
          </w:p>
          <w:p w14:paraId="518ACBFF" w14:textId="29804AD1" w:rsidR="00EC31F9" w:rsidRPr="00261B7A" w:rsidRDefault="00EC31F9" w:rsidP="008C3B2C">
            <w:pPr>
              <w:pStyle w:val="Keypointsub-bullet"/>
              <w:spacing w:before="80"/>
              <w:ind w:left="851" w:hanging="284"/>
              <w:rPr>
                <w:color w:val="1B556B" w:themeColor="text2"/>
              </w:rPr>
            </w:pPr>
            <w:r w:rsidRPr="00261B7A">
              <w:rPr>
                <w:color w:val="1B556B" w:themeColor="text2"/>
              </w:rPr>
              <w:t>industrial and household refrigeration and air-conditioning systems from increased use of hydrofluorocarbon refrigerants that replaced ozone depleting substances.</w:t>
            </w:r>
          </w:p>
          <w:p w14:paraId="54C0D1A6" w14:textId="77777777" w:rsidR="00EC31F9" w:rsidRPr="00261B7A" w:rsidRDefault="00EC31F9" w:rsidP="008C3B2C">
            <w:pPr>
              <w:pStyle w:val="Keypointsbullet"/>
              <w:numPr>
                <w:ilvl w:val="0"/>
                <w:numId w:val="31"/>
              </w:numPr>
              <w:spacing w:before="80"/>
              <w:ind w:left="568" w:hanging="284"/>
              <w:rPr>
                <w:color w:val="1B556B" w:themeColor="text2"/>
              </w:rPr>
            </w:pPr>
            <w:r w:rsidRPr="00261B7A">
              <w:rPr>
                <w:color w:val="1B556B" w:themeColor="text2"/>
              </w:rPr>
              <w:t>Emissions from the Waste sector decreased by 18 per cent (730 kt CO</w:t>
            </w:r>
            <w:r w:rsidRPr="00261B7A">
              <w:rPr>
                <w:color w:val="1B556B" w:themeColor="text2"/>
                <w:vertAlign w:val="subscript"/>
              </w:rPr>
              <w:t>2</w:t>
            </w:r>
            <w:r w:rsidRPr="00261B7A">
              <w:rPr>
                <w:color w:val="1B556B" w:themeColor="text2"/>
              </w:rPr>
              <w:t>-e) due to ongoing improvements in the management of solid waste disposal at municipal landfills.</w:t>
            </w:r>
          </w:p>
          <w:p w14:paraId="0437A93F" w14:textId="77777777" w:rsidR="00EC31F9" w:rsidRPr="00261B7A" w:rsidRDefault="00EC31F9" w:rsidP="008C3B2C">
            <w:pPr>
              <w:pStyle w:val="Keypointsbullet"/>
              <w:numPr>
                <w:ilvl w:val="0"/>
                <w:numId w:val="31"/>
              </w:numPr>
              <w:spacing w:before="80" w:after="80"/>
              <w:ind w:left="568" w:hanging="284"/>
              <w:rPr>
                <w:color w:val="1B556B" w:themeColor="text2"/>
              </w:rPr>
            </w:pPr>
            <w:r w:rsidRPr="00261B7A">
              <w:rPr>
                <w:color w:val="1B556B" w:themeColor="text2"/>
              </w:rPr>
              <w:t>New Zealand’s net emissions increased by 25 per cent (11,198 kt CO</w:t>
            </w:r>
            <w:r w:rsidRPr="00261B7A">
              <w:rPr>
                <w:color w:val="1B556B" w:themeColor="text2"/>
                <w:vertAlign w:val="subscript"/>
              </w:rPr>
              <w:t>2</w:t>
            </w:r>
            <w:r w:rsidRPr="00261B7A">
              <w:rPr>
                <w:color w:val="1B556B" w:themeColor="text2"/>
              </w:rPr>
              <w:t xml:space="preserve">-e) due to the underlying increase in gross emissions. </w:t>
            </w:r>
          </w:p>
          <w:p w14:paraId="6664847D" w14:textId="77777777" w:rsidR="00EC31F9" w:rsidRPr="00261B7A" w:rsidRDefault="00EC31F9" w:rsidP="000F09B5">
            <w:pPr>
              <w:pStyle w:val="Keypointshead"/>
              <w:rPr>
                <w:color w:val="1B556B" w:themeColor="text2"/>
              </w:rPr>
            </w:pPr>
            <w:r w:rsidRPr="00261B7A">
              <w:rPr>
                <w:color w:val="1B556B" w:themeColor="text2"/>
              </w:rPr>
              <w:t>Between 2020 and 2021</w:t>
            </w:r>
          </w:p>
          <w:p w14:paraId="393BAEDD" w14:textId="77777777" w:rsidR="00EC31F9" w:rsidRPr="00261B7A" w:rsidRDefault="00EC31F9" w:rsidP="008C3B2C">
            <w:pPr>
              <w:pStyle w:val="Keypointsbullet"/>
              <w:numPr>
                <w:ilvl w:val="0"/>
                <w:numId w:val="31"/>
              </w:numPr>
              <w:spacing w:before="80"/>
              <w:ind w:left="568" w:hanging="284"/>
              <w:rPr>
                <w:color w:val="1B556B" w:themeColor="text2"/>
              </w:rPr>
            </w:pPr>
            <w:r w:rsidRPr="00261B7A">
              <w:rPr>
                <w:color w:val="1B556B" w:themeColor="text2"/>
              </w:rPr>
              <w:t>Gross emissions decreased by 0.7 per cent, which was largely because of a decrease in emissions from the Agriculture sector (by 1.5 per cent or 574 kt CO</w:t>
            </w:r>
            <w:r w:rsidRPr="00261B7A">
              <w:rPr>
                <w:color w:val="1B556B" w:themeColor="text2"/>
                <w:vertAlign w:val="subscript"/>
              </w:rPr>
              <w:t>2</w:t>
            </w:r>
            <w:r w:rsidRPr="00261B7A">
              <w:rPr>
                <w:color w:val="1B556B" w:themeColor="text2"/>
              </w:rPr>
              <w:t>-e). The decrease in Agriculture sector emissions was driven mainly by:</w:t>
            </w:r>
          </w:p>
          <w:p w14:paraId="41B02D00" w14:textId="04951E88" w:rsidR="00EC31F9" w:rsidRPr="00261B7A" w:rsidRDefault="00EC31F9" w:rsidP="008C3B2C">
            <w:pPr>
              <w:pStyle w:val="Keypointsub-bullet"/>
              <w:ind w:left="851" w:hanging="284"/>
              <w:rPr>
                <w:color w:val="1B556B" w:themeColor="text2"/>
              </w:rPr>
            </w:pPr>
            <w:r w:rsidRPr="00261B7A">
              <w:rPr>
                <w:color w:val="1B556B" w:themeColor="text2"/>
              </w:rPr>
              <w:t>lower dairy cattle emissions (23</w:t>
            </w:r>
            <w:r w:rsidR="00E03B9F" w:rsidRPr="00261B7A">
              <w:rPr>
                <w:color w:val="1B556B" w:themeColor="text2"/>
              </w:rPr>
              <w:t>7</w:t>
            </w:r>
            <w:r w:rsidRPr="00261B7A">
              <w:rPr>
                <w:color w:val="1B556B" w:themeColor="text2"/>
              </w:rPr>
              <w:t xml:space="preserve"> kt CO</w:t>
            </w:r>
            <w:r w:rsidRPr="00261B7A">
              <w:rPr>
                <w:color w:val="1B556B" w:themeColor="text2"/>
                <w:vertAlign w:val="subscript"/>
              </w:rPr>
              <w:t>2</w:t>
            </w:r>
            <w:r w:rsidRPr="00261B7A">
              <w:rPr>
                <w:color w:val="1B556B" w:themeColor="text2"/>
              </w:rPr>
              <w:t xml:space="preserve">-e) due to a decrease in the dairy cattle population </w:t>
            </w:r>
          </w:p>
          <w:p w14:paraId="1EBB353D" w14:textId="0A35D3C4" w:rsidR="00EC31F9" w:rsidRPr="00261B7A" w:rsidRDefault="00EC31F9" w:rsidP="008C3B2C">
            <w:pPr>
              <w:pStyle w:val="Keypointsub-bullet"/>
              <w:ind w:left="851" w:hanging="284"/>
              <w:rPr>
                <w:color w:val="1B556B" w:themeColor="text2"/>
              </w:rPr>
            </w:pPr>
            <w:r w:rsidRPr="00261B7A">
              <w:rPr>
                <w:color w:val="1B556B" w:themeColor="text2"/>
              </w:rPr>
              <w:t>lower synthetic nitrogen fertiliser emissions (17</w:t>
            </w:r>
            <w:r w:rsidR="00B66C44" w:rsidRPr="00261B7A">
              <w:rPr>
                <w:color w:val="1B556B" w:themeColor="text2"/>
              </w:rPr>
              <w:t>8</w:t>
            </w:r>
            <w:r w:rsidRPr="00261B7A">
              <w:rPr>
                <w:color w:val="1B556B" w:themeColor="text2"/>
              </w:rPr>
              <w:t xml:space="preserve"> kt CO</w:t>
            </w:r>
            <w:r w:rsidRPr="00261B7A">
              <w:rPr>
                <w:color w:val="1B556B" w:themeColor="text2"/>
                <w:vertAlign w:val="subscript"/>
              </w:rPr>
              <w:t>2</w:t>
            </w:r>
            <w:r w:rsidRPr="00261B7A">
              <w:rPr>
                <w:color w:val="1B556B" w:themeColor="text2"/>
              </w:rPr>
              <w:t xml:space="preserve">-e) due to a decrease in fertiliser use </w:t>
            </w:r>
          </w:p>
          <w:p w14:paraId="0EF62FA4" w14:textId="78A50314" w:rsidR="00EC31F9" w:rsidRPr="00261B7A" w:rsidRDefault="00EC31F9" w:rsidP="008C3B2C">
            <w:pPr>
              <w:pStyle w:val="Keypointsub-bullet"/>
              <w:ind w:left="851" w:hanging="284"/>
              <w:rPr>
                <w:color w:val="1B556B" w:themeColor="text2"/>
              </w:rPr>
            </w:pPr>
            <w:r w:rsidRPr="00261B7A">
              <w:rPr>
                <w:color w:val="1B556B" w:themeColor="text2"/>
              </w:rPr>
              <w:t>lower sheep emissions (16</w:t>
            </w:r>
            <w:r w:rsidR="00792F64" w:rsidRPr="00261B7A">
              <w:rPr>
                <w:color w:val="1B556B" w:themeColor="text2"/>
              </w:rPr>
              <w:t>1</w:t>
            </w:r>
            <w:r w:rsidRPr="00261B7A">
              <w:rPr>
                <w:color w:val="1B556B" w:themeColor="text2"/>
              </w:rPr>
              <w:t xml:space="preserve"> kt CO</w:t>
            </w:r>
            <w:r w:rsidRPr="00261B7A">
              <w:rPr>
                <w:color w:val="1B556B" w:themeColor="text2"/>
                <w:vertAlign w:val="subscript"/>
              </w:rPr>
              <w:t>2</w:t>
            </w:r>
            <w:r w:rsidRPr="00261B7A">
              <w:rPr>
                <w:color w:val="1B556B" w:themeColor="text2"/>
              </w:rPr>
              <w:t>-e) due to a decrease in the sheep population.</w:t>
            </w:r>
          </w:p>
          <w:p w14:paraId="158E6F30" w14:textId="77777777" w:rsidR="00EC31F9" w:rsidRPr="00261B7A" w:rsidRDefault="00EC31F9" w:rsidP="008C3B2C">
            <w:pPr>
              <w:pStyle w:val="Keypointsbullet"/>
              <w:numPr>
                <w:ilvl w:val="0"/>
                <w:numId w:val="31"/>
              </w:numPr>
              <w:spacing w:before="80"/>
              <w:ind w:left="568" w:hanging="284"/>
              <w:rPr>
                <w:color w:val="1B556B" w:themeColor="text2"/>
              </w:rPr>
            </w:pPr>
            <w:r w:rsidRPr="00261B7A">
              <w:rPr>
                <w:color w:val="1B556B" w:themeColor="text2"/>
              </w:rPr>
              <w:t>Emissions from the Energy, Industrial Processes and Product Use, and Waste sectors changed by small annual variations of 0.3 per cent (93 kt CO</w:t>
            </w:r>
            <w:r w:rsidRPr="00261B7A">
              <w:rPr>
                <w:color w:val="1B556B" w:themeColor="text2"/>
                <w:vertAlign w:val="subscript"/>
              </w:rPr>
              <w:t>2</w:t>
            </w:r>
            <w:r w:rsidRPr="00261B7A">
              <w:rPr>
                <w:color w:val="1B556B" w:themeColor="text2"/>
              </w:rPr>
              <w:t>-e), 0.6 per cent (27 kt CO</w:t>
            </w:r>
            <w:r w:rsidRPr="00261B7A">
              <w:rPr>
                <w:color w:val="1B556B" w:themeColor="text2"/>
                <w:vertAlign w:val="subscript"/>
              </w:rPr>
              <w:t>2</w:t>
            </w:r>
            <w:r w:rsidRPr="00261B7A">
              <w:rPr>
                <w:color w:val="1B556B" w:themeColor="text2"/>
              </w:rPr>
              <w:t xml:space="preserve">-e) and –1.6 per cent </w:t>
            </w:r>
            <w:r w:rsidRPr="00261B7A">
              <w:rPr>
                <w:color w:val="1B556B" w:themeColor="text2"/>
              </w:rPr>
              <w:br/>
              <w:t>(–52 kt CO</w:t>
            </w:r>
            <w:r w:rsidRPr="00261B7A">
              <w:rPr>
                <w:color w:val="1B556B" w:themeColor="text2"/>
                <w:vertAlign w:val="subscript"/>
              </w:rPr>
              <w:t>2</w:t>
            </w:r>
            <w:r w:rsidRPr="00261B7A">
              <w:rPr>
                <w:color w:val="1B556B" w:themeColor="text2"/>
              </w:rPr>
              <w:t>-e), respectively.</w:t>
            </w:r>
          </w:p>
          <w:p w14:paraId="144C384A" w14:textId="77777777" w:rsidR="00EC31F9" w:rsidRPr="00261B7A" w:rsidRDefault="00EC31F9" w:rsidP="00A32ADC">
            <w:pPr>
              <w:pStyle w:val="Keypointsbullet"/>
              <w:numPr>
                <w:ilvl w:val="0"/>
                <w:numId w:val="31"/>
              </w:numPr>
              <w:spacing w:before="80" w:after="180"/>
              <w:ind w:left="568" w:hanging="284"/>
              <w:rPr>
                <w:color w:val="1B556B" w:themeColor="text2"/>
              </w:rPr>
            </w:pPr>
            <w:r w:rsidRPr="00261B7A">
              <w:rPr>
                <w:color w:val="1B556B" w:themeColor="text2"/>
              </w:rPr>
              <w:t>Net emissions increased by 3 per cent (1,658 kt CO</w:t>
            </w:r>
            <w:r w:rsidRPr="00261B7A">
              <w:rPr>
                <w:color w:val="1B556B" w:themeColor="text2"/>
                <w:vertAlign w:val="subscript"/>
              </w:rPr>
              <w:t>2</w:t>
            </w:r>
            <w:r w:rsidRPr="00261B7A">
              <w:rPr>
                <w:color w:val="1B556B" w:themeColor="text2"/>
              </w:rPr>
              <w:t>-e), due to the overall decrease in net removals of 9 per cent (2,164 kt CO</w:t>
            </w:r>
            <w:r w:rsidRPr="00261B7A">
              <w:rPr>
                <w:color w:val="1B556B" w:themeColor="text2"/>
                <w:vertAlign w:val="subscript"/>
              </w:rPr>
              <w:t>2</w:t>
            </w:r>
            <w:r w:rsidRPr="00261B7A">
              <w:rPr>
                <w:color w:val="1B556B" w:themeColor="text2"/>
              </w:rPr>
              <w:t>-e) from the LULUCF sector. This was driven by an increase in harvesting of post-1989 planted forests as harvest rates returned to business as usual in 2021. In 2020, harvest rates reduced slightly due to COVID-19 restrictions.</w:t>
            </w:r>
          </w:p>
        </w:tc>
      </w:tr>
      <w:tr w:rsidR="003E152D" w:rsidRPr="003E152D" w14:paraId="730CAA7E" w14:textId="77777777" w:rsidTr="00A32ADC">
        <w:trPr>
          <w:trHeight w:val="2466"/>
        </w:trPr>
        <w:tc>
          <w:tcPr>
            <w:tcW w:w="8495" w:type="dxa"/>
            <w:tcBorders>
              <w:top w:val="single" w:sz="4" w:space="0" w:color="D2DDE1" w:themeColor="background2"/>
              <w:left w:val="single" w:sz="4" w:space="0" w:color="D2DDE1" w:themeColor="background2"/>
              <w:bottom w:val="single" w:sz="4" w:space="0" w:color="D2DDE1" w:themeColor="background2"/>
              <w:right w:val="single" w:sz="4" w:space="0" w:color="D2DDE1" w:themeColor="background2"/>
            </w:tcBorders>
            <w:shd w:val="clear" w:color="auto" w:fill="D2DDE1" w:themeFill="background2"/>
          </w:tcPr>
          <w:p w14:paraId="7BEA470D" w14:textId="77777777" w:rsidR="00EC31F9" w:rsidRPr="003E152D" w:rsidRDefault="00EC31F9" w:rsidP="00B41908">
            <w:pPr>
              <w:pStyle w:val="Keypointshead"/>
              <w:keepNext/>
              <w:spacing w:before="180"/>
              <w:rPr>
                <w:color w:val="1B556B" w:themeColor="text2"/>
                <w:sz w:val="20"/>
                <w:szCs w:val="20"/>
              </w:rPr>
            </w:pPr>
            <w:r w:rsidRPr="003E152D">
              <w:rPr>
                <w:color w:val="1B556B" w:themeColor="text2"/>
              </w:rPr>
              <w:lastRenderedPageBreak/>
              <w:t>Methodological changes</w:t>
            </w:r>
          </w:p>
          <w:p w14:paraId="65B4B42F" w14:textId="77777777" w:rsidR="00EC31F9" w:rsidRPr="003E152D" w:rsidRDefault="00EC31F9" w:rsidP="008C3B2C">
            <w:pPr>
              <w:pStyle w:val="Keypointsbullet"/>
              <w:numPr>
                <w:ilvl w:val="0"/>
                <w:numId w:val="31"/>
              </w:numPr>
              <w:spacing w:before="80"/>
              <w:ind w:left="568" w:hanging="284"/>
              <w:rPr>
                <w:color w:val="1B556B" w:themeColor="text2"/>
              </w:rPr>
            </w:pPr>
            <w:r w:rsidRPr="003E152D">
              <w:rPr>
                <w:color w:val="1B556B" w:themeColor="text2"/>
              </w:rPr>
              <w:t>Improvements were introduced to the inventory this year that required emissions estimates to be recalculated across the time series back to 1990. The improvements that had the largest impacts on inventory estimates were:</w:t>
            </w:r>
          </w:p>
          <w:p w14:paraId="60714FA8" w14:textId="77777777" w:rsidR="00EC31F9" w:rsidRPr="003E152D" w:rsidRDefault="00EC31F9" w:rsidP="008C3B2C">
            <w:pPr>
              <w:pStyle w:val="Keypointsub-bullet"/>
              <w:spacing w:before="80"/>
              <w:ind w:left="851" w:hanging="284"/>
              <w:rPr>
                <w:color w:val="1B556B" w:themeColor="text2"/>
              </w:rPr>
            </w:pPr>
            <w:r w:rsidRPr="003E152D">
              <w:rPr>
                <w:color w:val="1B556B" w:themeColor="text2"/>
              </w:rPr>
              <w:t xml:space="preserve">the inclusion of non-pasture feed activities in the Agriculture Inventory Model (AIM) for dairy cattle, sheep and beef operations </w:t>
            </w:r>
          </w:p>
          <w:p w14:paraId="7609BF0A" w14:textId="77777777" w:rsidR="00EC31F9" w:rsidRPr="003E152D" w:rsidRDefault="00EC31F9" w:rsidP="008C3B2C">
            <w:pPr>
              <w:pStyle w:val="Keypointsub-bullet"/>
              <w:spacing w:before="80"/>
              <w:ind w:left="851" w:hanging="284"/>
              <w:rPr>
                <w:color w:val="1B556B" w:themeColor="text2"/>
              </w:rPr>
            </w:pPr>
            <w:r w:rsidRPr="003E152D">
              <w:rPr>
                <w:color w:val="1B556B" w:themeColor="text2"/>
              </w:rPr>
              <w:t xml:space="preserve">improved estimates of within-year dairy cattle population change </w:t>
            </w:r>
          </w:p>
          <w:p w14:paraId="6EF2C8C2" w14:textId="77777777" w:rsidR="00EC31F9" w:rsidRPr="003E152D" w:rsidRDefault="00EC31F9" w:rsidP="00B41908">
            <w:pPr>
              <w:pStyle w:val="Keypointsub-bullet"/>
              <w:spacing w:before="80" w:after="120"/>
              <w:ind w:left="851" w:hanging="284"/>
              <w:rPr>
                <w:color w:val="1B556B" w:themeColor="text2"/>
                <w:sz w:val="20"/>
                <w:szCs w:val="20"/>
              </w:rPr>
            </w:pPr>
            <w:r w:rsidRPr="003E152D">
              <w:rPr>
                <w:color w:val="1B556B" w:themeColor="text2"/>
              </w:rPr>
              <w:t>improved modelling methods for estimating planted forest harvest and deforestation area.</w:t>
            </w:r>
          </w:p>
        </w:tc>
      </w:tr>
    </w:tbl>
    <w:p w14:paraId="47F592E4" w14:textId="77777777" w:rsidR="00EC31F9" w:rsidRPr="00261B7A" w:rsidRDefault="00EC31F9" w:rsidP="00EC31F9">
      <w:pPr>
        <w:pStyle w:val="Heading2"/>
        <w:spacing w:before="480"/>
      </w:pPr>
      <w:bookmarkStart w:id="13" w:name="_Toc131591194"/>
      <w:r w:rsidRPr="00261B7A">
        <w:t>ES.1</w:t>
      </w:r>
      <w:r w:rsidRPr="00261B7A">
        <w:tab/>
        <w:t>Background</w:t>
      </w:r>
      <w:bookmarkEnd w:id="13"/>
    </w:p>
    <w:p w14:paraId="33111D0E" w14:textId="77777777" w:rsidR="00EC31F9" w:rsidRPr="00261B7A" w:rsidRDefault="00EC31F9" w:rsidP="00EC31F9">
      <w:pPr>
        <w:pStyle w:val="BodyText"/>
      </w:pPr>
      <w:r w:rsidRPr="00261B7A">
        <w:t>New Zealand’s Greenhouse Gas Inventory (the inventory) is the official annual estimate of all anthropogenic (human-induced) emissions and removals of greenhouse gases (GHGs) in New Zealand.</w:t>
      </w:r>
    </w:p>
    <w:p w14:paraId="32946EF7" w14:textId="77777777" w:rsidR="00EC31F9" w:rsidRPr="00261B7A" w:rsidRDefault="00EC31F9" w:rsidP="00EC31F9">
      <w:pPr>
        <w:pStyle w:val="BodyText"/>
      </w:pPr>
      <w:r w:rsidRPr="00261B7A">
        <w:t>The inventory provides the official basis for measuring New Zealand’s progress under the United Nations Framework Convention on Climate Change (the Convention) and for tracking its emissions reduction targets.</w:t>
      </w:r>
    </w:p>
    <w:p w14:paraId="0371BB26" w14:textId="77777777" w:rsidR="00EC31F9" w:rsidRPr="00261B7A" w:rsidRDefault="00EC31F9" w:rsidP="00EC31F9">
      <w:pPr>
        <w:pStyle w:val="BodyText"/>
      </w:pPr>
      <w:r w:rsidRPr="00261B7A">
        <w:t xml:space="preserve">New Zealand ratified the Convention on 16 September 1993 and the Paris Agreement on 4 October 2016. This commits New Zealand to submitting an inventory under the Convention by 15 April of each year. </w:t>
      </w:r>
    </w:p>
    <w:p w14:paraId="3D2543DF" w14:textId="77777777" w:rsidR="00EC31F9" w:rsidRPr="00261B7A" w:rsidRDefault="00EC31F9" w:rsidP="00EC31F9">
      <w:pPr>
        <w:pStyle w:val="BodyText"/>
      </w:pPr>
      <w:r w:rsidRPr="00261B7A">
        <w:t xml:space="preserve">On 13 November 2017, New Zealand’s ratification of the Convention and the Paris Agreement </w:t>
      </w:r>
      <w:r w:rsidRPr="00261B7A">
        <w:rPr>
          <w:spacing w:val="-2"/>
        </w:rPr>
        <w:t>was extended to include Tokelau. Therefore, starting from the 2019 submission, GHG emissions</w:t>
      </w:r>
      <w:r w:rsidRPr="00261B7A">
        <w:t xml:space="preserve"> and removals estimates from Tokelau have been included in New Zealand’s inventory.</w:t>
      </w:r>
    </w:p>
    <w:p w14:paraId="59A99C26" w14:textId="77777777" w:rsidR="00EC31F9" w:rsidRPr="00261B7A" w:rsidRDefault="00EC31F9" w:rsidP="00EC31F9">
      <w:pPr>
        <w:pStyle w:val="BodyText"/>
      </w:pPr>
      <w:r w:rsidRPr="00261B7A">
        <w:t>The inventory adheres to the reporting requirements as agreed under the Convention by including a comprehensive and detailed set of methodologies for estimating national sources and sinks of anthropogenic GHGs, and a common and consistent format that enables Parties to the Convention to compare the relative contribution of different emissions sources and GHGs to climate change.</w:t>
      </w:r>
    </w:p>
    <w:p w14:paraId="5AD84B59" w14:textId="77777777" w:rsidR="00EC31F9" w:rsidRPr="00261B7A" w:rsidRDefault="00EC31F9" w:rsidP="00EC31F9">
      <w:pPr>
        <w:pStyle w:val="BodyText"/>
      </w:pPr>
      <w:r w:rsidRPr="00261B7A">
        <w:t>The inventory submission is comprised of a national inventory report and a set of common reporting format (CRF) tables. The national inventory report is a narrative that presents key findings, major emissions trends and methodologies for estimating emissions and removals. It also includes sections on the inventory uncertainties, recalculations and improvements. The CRF contains inventory data that cover all emissions and removals in New Zealand. In addition, data on emission units and emission reduction units in the national registry, and any unit transfers between the registers of different countries, are included in this submission.</w:t>
      </w:r>
    </w:p>
    <w:p w14:paraId="36CF849A" w14:textId="77777777" w:rsidR="00EC31F9" w:rsidRPr="00261B7A" w:rsidRDefault="00EC31F9" w:rsidP="00EC31F9">
      <w:pPr>
        <w:pStyle w:val="BodyText"/>
      </w:pPr>
      <w:bookmarkStart w:id="14" w:name="es.1-background"/>
      <w:r w:rsidRPr="00261B7A">
        <w:t>Inventory reporting under the Convention covers seven direct GHGs: carbon dioxide (CO</w:t>
      </w:r>
      <w:r w:rsidRPr="00261B7A">
        <w:rPr>
          <w:vertAlign w:val="subscript"/>
        </w:rPr>
        <w:t>2</w:t>
      </w:r>
      <w:r w:rsidRPr="00261B7A">
        <w:t>), methane (CH</w:t>
      </w:r>
      <w:r w:rsidRPr="00261B7A">
        <w:rPr>
          <w:vertAlign w:val="subscript"/>
        </w:rPr>
        <w:t>4</w:t>
      </w:r>
      <w:r w:rsidRPr="00261B7A">
        <w:t>), nitrous oxide (N</w:t>
      </w:r>
      <w:r w:rsidRPr="00261B7A">
        <w:rPr>
          <w:vertAlign w:val="subscript"/>
        </w:rPr>
        <w:t>2</w:t>
      </w:r>
      <w:r w:rsidRPr="00261B7A">
        <w:t>O), hydrofluorocarbons (HFCs), perfluorocarbons (PFCs), sulphur hexafluoride (SF</w:t>
      </w:r>
      <w:r w:rsidRPr="00261B7A">
        <w:rPr>
          <w:vertAlign w:val="subscript"/>
        </w:rPr>
        <w:t>6</w:t>
      </w:r>
      <w:r w:rsidRPr="00261B7A">
        <w:t>) and nitrogen trifluoride (NF</w:t>
      </w:r>
      <w:r w:rsidRPr="00261B7A">
        <w:rPr>
          <w:vertAlign w:val="subscript"/>
        </w:rPr>
        <w:t>3</w:t>
      </w:r>
      <w:r w:rsidRPr="00261B7A">
        <w:t>). These are the most important GHGs directly emitted by humans. Indirect GHGs are also included in this report; however, only emissions and removals of the direct GHGs are included in estimates of total national emissions under the Convention.</w:t>
      </w:r>
    </w:p>
    <w:p w14:paraId="521ED7AB" w14:textId="77777777" w:rsidR="00EC31F9" w:rsidRPr="00261B7A" w:rsidRDefault="00EC31F9" w:rsidP="00EC31F9">
      <w:pPr>
        <w:pStyle w:val="BodyText"/>
      </w:pPr>
      <w:r w:rsidRPr="00261B7A">
        <w:t>New Zealand’s GHGs are reported under five sectors: Energy; Industrial Processes and Product Use (IPPU); Agriculture; Land Use, Land-Use Change and Forestry (LULUCF); and Waste. Tokelau’s emissions are also reported separately by sector as ‘Other’.</w:t>
      </w:r>
    </w:p>
    <w:p w14:paraId="04449F28" w14:textId="77777777" w:rsidR="00EC31F9" w:rsidRPr="00261B7A" w:rsidRDefault="00EC31F9" w:rsidP="00EC31F9">
      <w:pPr>
        <w:pStyle w:val="Heading2"/>
      </w:pPr>
      <w:bookmarkStart w:id="15" w:name="_Toc131591195"/>
      <w:bookmarkStart w:id="16" w:name="es.2-national-trends"/>
      <w:bookmarkEnd w:id="14"/>
      <w:r w:rsidRPr="00261B7A">
        <w:lastRenderedPageBreak/>
        <w:t>ES.2</w:t>
      </w:r>
      <w:r w:rsidRPr="00261B7A">
        <w:tab/>
        <w:t>National trends</w:t>
      </w:r>
      <w:bookmarkEnd w:id="15"/>
    </w:p>
    <w:p w14:paraId="579A6173" w14:textId="77777777" w:rsidR="00EC31F9" w:rsidRPr="00261B7A" w:rsidRDefault="00EC31F9" w:rsidP="00EC31F9">
      <w:pPr>
        <w:pStyle w:val="Heading4"/>
      </w:pPr>
      <w:r w:rsidRPr="00261B7A">
        <w:t>Gross emissions</w:t>
      </w:r>
    </w:p>
    <w:p w14:paraId="58996127" w14:textId="77777777" w:rsidR="00EC31F9" w:rsidRPr="00261B7A" w:rsidRDefault="00EC31F9" w:rsidP="00EC31F9">
      <w:pPr>
        <w:pStyle w:val="BodyText"/>
      </w:pPr>
      <w:r w:rsidRPr="00261B7A">
        <w:t>Gross emissions include those from the Energy, IPPU, Agriculture and Waste sectors, and Tokelau, but do not include emissions and removals from the LULUCF sector (UNFCCC, 2013).</w:t>
      </w:r>
    </w:p>
    <w:p w14:paraId="0F30EFFC" w14:textId="77777777" w:rsidR="00EC31F9" w:rsidRPr="00261B7A" w:rsidRDefault="00EC31F9" w:rsidP="00EC31F9">
      <w:pPr>
        <w:pStyle w:val="Heading5"/>
      </w:pPr>
      <w:r w:rsidRPr="00261B7A">
        <w:t>1990–2021</w:t>
      </w:r>
    </w:p>
    <w:p w14:paraId="63734FB7" w14:textId="77777777" w:rsidR="00EC31F9" w:rsidRPr="00261B7A" w:rsidRDefault="00EC31F9" w:rsidP="00EC31F9">
      <w:pPr>
        <w:pStyle w:val="BodyText"/>
      </w:pPr>
      <w:r w:rsidRPr="00261B7A">
        <w:t>In 1990, New Zealand’s gross GHG emissions were 64,720.1 kilotonnes carbon dioxide equivalent (kt CO</w:t>
      </w:r>
      <w:r w:rsidRPr="00261B7A">
        <w:rPr>
          <w:vertAlign w:val="subscript"/>
        </w:rPr>
        <w:t>2</w:t>
      </w:r>
      <w:r w:rsidRPr="00261B7A">
        <w:t>-e). Between 1990 and 2021, GHG emissions increased by 18.7 per cent (12,104.5 kt CO</w:t>
      </w:r>
      <w:r w:rsidRPr="00261B7A">
        <w:rPr>
          <w:vertAlign w:val="subscript"/>
        </w:rPr>
        <w:t>2</w:t>
      </w:r>
      <w:r w:rsidRPr="00261B7A">
        <w:t>-e) to 76,824.6 kt CO</w:t>
      </w:r>
      <w:r w:rsidRPr="00261B7A">
        <w:rPr>
          <w:vertAlign w:val="subscript"/>
        </w:rPr>
        <w:t>2</w:t>
      </w:r>
      <w:r w:rsidRPr="00261B7A">
        <w:t>-e in 2021 (see figure ES 2.1; and chapter 2, figure 2.1.1). From 1990 to 2021, the average annual growth in gross emissions was 0.6 per cent.</w:t>
      </w:r>
    </w:p>
    <w:p w14:paraId="59C61006" w14:textId="77777777" w:rsidR="00EC31F9" w:rsidRPr="00261B7A" w:rsidRDefault="00EC31F9" w:rsidP="00EC31F9">
      <w:pPr>
        <w:pStyle w:val="BodyText"/>
      </w:pPr>
      <w:r w:rsidRPr="00261B7A">
        <w:t xml:space="preserve">The emissions categories that contributed the most to this increase in gross emissions were: </w:t>
      </w:r>
      <w:r w:rsidRPr="00261B7A">
        <w:rPr>
          <w:i/>
          <w:iCs/>
        </w:rPr>
        <w:t>Enteric fermentation</w:t>
      </w:r>
      <w:r w:rsidRPr="00261B7A">
        <w:rPr>
          <w:rStyle w:val="FootnoteReference"/>
        </w:rPr>
        <w:footnoteReference w:id="1"/>
      </w:r>
      <w:r w:rsidRPr="00261B7A">
        <w:t xml:space="preserve"> from </w:t>
      </w:r>
      <w:r w:rsidRPr="00261B7A">
        <w:rPr>
          <w:i/>
          <w:iCs/>
        </w:rPr>
        <w:t>Dairy cattle</w:t>
      </w:r>
      <w:r w:rsidRPr="00261B7A">
        <w:t xml:space="preserve">, </w:t>
      </w:r>
      <w:r w:rsidRPr="00261B7A">
        <w:rPr>
          <w:i/>
          <w:iCs/>
        </w:rPr>
        <w:t>Road transportation</w:t>
      </w:r>
      <w:r w:rsidRPr="00261B7A">
        <w:t xml:space="preserve">, </w:t>
      </w:r>
      <w:r w:rsidRPr="00261B7A">
        <w:rPr>
          <w:i/>
          <w:iCs/>
        </w:rPr>
        <w:t>Agricultural soils</w:t>
      </w:r>
      <w:r w:rsidRPr="00261B7A">
        <w:t xml:space="preserve">, </w:t>
      </w:r>
      <w:r w:rsidRPr="00261B7A">
        <w:rPr>
          <w:i/>
          <w:iCs/>
        </w:rPr>
        <w:t>Manufacturing industries and construction</w:t>
      </w:r>
      <w:r w:rsidRPr="00261B7A">
        <w:t xml:space="preserve"> (particularly from the </w:t>
      </w:r>
      <w:r w:rsidRPr="00261B7A">
        <w:rPr>
          <w:i/>
          <w:iCs/>
        </w:rPr>
        <w:t>Chemicals</w:t>
      </w:r>
      <w:r w:rsidRPr="00261B7A">
        <w:t xml:space="preserve"> category) and </w:t>
      </w:r>
      <w:r w:rsidRPr="00261B7A">
        <w:rPr>
          <w:i/>
          <w:iCs/>
        </w:rPr>
        <w:t>Product uses as substitutes for ODS</w:t>
      </w:r>
      <w:r w:rsidRPr="00261B7A">
        <w:t>.</w:t>
      </w:r>
      <w:r w:rsidRPr="00261B7A">
        <w:rPr>
          <w:rStyle w:val="FootnoteReference"/>
        </w:rPr>
        <w:footnoteReference w:id="2"/>
      </w:r>
    </w:p>
    <w:p w14:paraId="1E618947" w14:textId="77777777" w:rsidR="00EC31F9" w:rsidRPr="00261B7A" w:rsidRDefault="00EC31F9" w:rsidP="00EC31F9">
      <w:pPr>
        <w:pStyle w:val="Figure"/>
      </w:pPr>
      <w:bookmarkStart w:id="17" w:name="_Toc131591515"/>
      <w:r w:rsidRPr="00261B7A">
        <w:rPr>
          <w:bCs/>
        </w:rPr>
        <w:t>Figure ES 2.1</w:t>
      </w:r>
      <w:r w:rsidRPr="00261B7A">
        <w:tab/>
        <w:t xml:space="preserve">New Zealand’s gross and net emissions (under the Convention) from </w:t>
      </w:r>
      <w:r w:rsidRPr="00261B7A">
        <w:rPr>
          <w:bCs/>
        </w:rPr>
        <w:t>1990</w:t>
      </w:r>
      <w:r w:rsidRPr="00261B7A">
        <w:t xml:space="preserve"> to </w:t>
      </w:r>
      <w:r w:rsidRPr="00261B7A">
        <w:rPr>
          <w:bCs/>
        </w:rPr>
        <w:t>2021</w:t>
      </w:r>
      <w:bookmarkEnd w:id="17"/>
    </w:p>
    <w:p w14:paraId="1EDC2D21" w14:textId="77777777" w:rsidR="00EC31F9" w:rsidRPr="00261B7A" w:rsidRDefault="00EC31F9" w:rsidP="003D6B32">
      <w:pPr>
        <w:pStyle w:val="BodyText"/>
        <w:jc w:val="center"/>
      </w:pPr>
      <w:r w:rsidRPr="00261B7A">
        <w:rPr>
          <w:noProof/>
        </w:rPr>
        <w:drawing>
          <wp:inline distT="0" distB="0" distL="0" distR="0" wp14:anchorId="54493777" wp14:editId="24FAD788">
            <wp:extent cx="5144947" cy="3773347"/>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25" name="Picture" descr="code/graphs/images/es_2_1_crf.png"/>
                    <pic:cNvPicPr>
                      <a:picLocks noChangeAspect="1" noChangeArrowheads="1"/>
                    </pic:cNvPicPr>
                  </pic:nvPicPr>
                  <pic:blipFill rotWithShape="1">
                    <a:blip r:embed="rId28"/>
                    <a:srcRect b="2425"/>
                    <a:stretch/>
                  </pic:blipFill>
                  <pic:spPr bwMode="auto">
                    <a:xfrm>
                      <a:off x="0" y="0"/>
                      <a:ext cx="5150329" cy="3777294"/>
                    </a:xfrm>
                    <a:prstGeom prst="rect">
                      <a:avLst/>
                    </a:prstGeom>
                    <a:noFill/>
                    <a:ln>
                      <a:noFill/>
                    </a:ln>
                    <a:extLst>
                      <a:ext uri="{53640926-AAD7-44D8-BBD7-CCE9431645EC}">
                        <a14:shadowObscured xmlns:a14="http://schemas.microsoft.com/office/drawing/2010/main"/>
                      </a:ext>
                    </a:extLst>
                  </pic:spPr>
                </pic:pic>
              </a:graphicData>
            </a:graphic>
          </wp:inline>
        </w:drawing>
      </w:r>
    </w:p>
    <w:p w14:paraId="7FBC17A3" w14:textId="77777777" w:rsidR="00EC31F9" w:rsidRPr="00261B7A" w:rsidRDefault="00EC31F9" w:rsidP="00EC31F9">
      <w:pPr>
        <w:pStyle w:val="Heading5"/>
      </w:pPr>
      <w:r w:rsidRPr="00261B7A">
        <w:lastRenderedPageBreak/>
        <w:t>2020–2021</w:t>
      </w:r>
    </w:p>
    <w:p w14:paraId="6DE3C172" w14:textId="3B7B659D" w:rsidR="00EC31F9" w:rsidRPr="00261B7A" w:rsidRDefault="00EC31F9" w:rsidP="003D6B32">
      <w:pPr>
        <w:pStyle w:val="BodyText"/>
        <w:keepNext/>
        <w:keepLines/>
      </w:pPr>
      <w:r w:rsidRPr="00261B7A">
        <w:t>Between 2020 and 2021, New Zealand’s gross emissions decreased by 0.7 per cent (506.1</w:t>
      </w:r>
      <w:r w:rsidR="003D6B32" w:rsidRPr="00261B7A">
        <w:t> </w:t>
      </w:r>
      <w:r w:rsidRPr="00261B7A">
        <w:t>kt CO</w:t>
      </w:r>
      <w:r w:rsidRPr="00261B7A">
        <w:rPr>
          <w:vertAlign w:val="subscript"/>
        </w:rPr>
        <w:t>2</w:t>
      </w:r>
      <w:r w:rsidRPr="00261B7A">
        <w:t>-e). The main cause was a decrease in emissions from the Agriculture sector of 1.5</w:t>
      </w:r>
      <w:r w:rsidR="003D6B32" w:rsidRPr="00261B7A">
        <w:t> </w:t>
      </w:r>
      <w:r w:rsidRPr="00261B7A">
        <w:t>per cent (574.1 kt CO</w:t>
      </w:r>
      <w:r w:rsidRPr="00261B7A">
        <w:rPr>
          <w:vertAlign w:val="subscript"/>
        </w:rPr>
        <w:t>2</w:t>
      </w:r>
      <w:r w:rsidRPr="00261B7A">
        <w:t>-e) due to a decrease in fertiliser use and reduced populations of dairy cattle and sheep. The largest contributors to the overall decrease in emissions were from:</w:t>
      </w:r>
    </w:p>
    <w:p w14:paraId="55812EB8" w14:textId="673E519F" w:rsidR="00EC31F9" w:rsidRPr="00261B7A" w:rsidRDefault="00EC31F9" w:rsidP="00EC31F9">
      <w:pPr>
        <w:pStyle w:val="Bullet"/>
      </w:pPr>
      <w:r w:rsidRPr="00261B7A">
        <w:rPr>
          <w:i/>
          <w:iCs/>
        </w:rPr>
        <w:t>Agricultur</w:t>
      </w:r>
      <w:r w:rsidR="00CB4E18" w:rsidRPr="00261B7A">
        <w:rPr>
          <w:i/>
          <w:iCs/>
        </w:rPr>
        <w:t>al</w:t>
      </w:r>
      <w:r w:rsidRPr="00261B7A">
        <w:rPr>
          <w:i/>
          <w:iCs/>
        </w:rPr>
        <w:t xml:space="preserve"> soils</w:t>
      </w:r>
      <w:r w:rsidRPr="00261B7A">
        <w:t xml:space="preserve"> (N</w:t>
      </w:r>
      <w:r w:rsidRPr="00261B7A">
        <w:rPr>
          <w:vertAlign w:val="subscript"/>
        </w:rPr>
        <w:t>2</w:t>
      </w:r>
      <w:r w:rsidRPr="00261B7A">
        <w:t>O)</w:t>
      </w:r>
    </w:p>
    <w:p w14:paraId="57EA2FDE" w14:textId="77777777" w:rsidR="00EC31F9" w:rsidRPr="00261B7A" w:rsidRDefault="00EC31F9" w:rsidP="00EC31F9">
      <w:pPr>
        <w:pStyle w:val="Bullet"/>
      </w:pPr>
      <w:r w:rsidRPr="00261B7A">
        <w:rPr>
          <w:i/>
          <w:iCs/>
        </w:rPr>
        <w:t>Manufacturing industries and construction</w:t>
      </w:r>
      <w:r w:rsidRPr="00261B7A">
        <w:t xml:space="preserve"> (CO</w:t>
      </w:r>
      <w:r w:rsidRPr="00261B7A">
        <w:rPr>
          <w:vertAlign w:val="subscript"/>
        </w:rPr>
        <w:t>2</w:t>
      </w:r>
      <w:r w:rsidRPr="00261B7A">
        <w:t>)</w:t>
      </w:r>
    </w:p>
    <w:p w14:paraId="4E3B4E7C" w14:textId="77777777" w:rsidR="00EC31F9" w:rsidRPr="00261B7A" w:rsidRDefault="00EC31F9" w:rsidP="00EC31F9">
      <w:pPr>
        <w:pStyle w:val="Bullet"/>
      </w:pPr>
      <w:r w:rsidRPr="00261B7A">
        <w:rPr>
          <w:i/>
          <w:iCs/>
        </w:rPr>
        <w:t>Public electricity and heat production</w:t>
      </w:r>
      <w:r w:rsidRPr="00261B7A">
        <w:t xml:space="preserve"> (CO</w:t>
      </w:r>
      <w:r w:rsidRPr="00261B7A">
        <w:rPr>
          <w:vertAlign w:val="subscript"/>
        </w:rPr>
        <w:t>2</w:t>
      </w:r>
      <w:r w:rsidRPr="00261B7A">
        <w:t>).</w:t>
      </w:r>
    </w:p>
    <w:p w14:paraId="543EC808" w14:textId="77777777" w:rsidR="00EC31F9" w:rsidRPr="00261B7A" w:rsidRDefault="00EC31F9" w:rsidP="00EC31F9">
      <w:pPr>
        <w:pStyle w:val="BodyText"/>
      </w:pPr>
      <w:r w:rsidRPr="00261B7A">
        <w:t xml:space="preserve">The reductions in the </w:t>
      </w:r>
      <w:r w:rsidRPr="00261B7A">
        <w:rPr>
          <w:i/>
          <w:iCs/>
        </w:rPr>
        <w:t>Manufacturing industries and construction</w:t>
      </w:r>
      <w:r w:rsidRPr="00261B7A">
        <w:t xml:space="preserve"> category were largely driven by a decrease in emissions from the </w:t>
      </w:r>
      <w:r w:rsidRPr="00261B7A">
        <w:rPr>
          <w:i/>
          <w:iCs/>
        </w:rPr>
        <w:t>Chemicals</w:t>
      </w:r>
      <w:r w:rsidRPr="00261B7A">
        <w:t xml:space="preserve"> category of 17.6 per cent (272.5 kt CO</w:t>
      </w:r>
      <w:r w:rsidRPr="00261B7A">
        <w:rPr>
          <w:vertAlign w:val="subscript"/>
        </w:rPr>
        <w:t>2</w:t>
      </w:r>
      <w:r w:rsidRPr="00261B7A">
        <w:t>-e) from 2020 levels. This drop was mostly due to the closure of Methanex’s Waitara Valley methanol production plant.</w:t>
      </w:r>
    </w:p>
    <w:p w14:paraId="078CC4B5" w14:textId="77777777" w:rsidR="00EC31F9" w:rsidRPr="00261B7A" w:rsidRDefault="00EC31F9" w:rsidP="00EC31F9">
      <w:pPr>
        <w:pStyle w:val="BodyText"/>
      </w:pPr>
      <w:r w:rsidRPr="00261B7A">
        <w:t xml:space="preserve">The reductions in </w:t>
      </w:r>
      <w:r w:rsidRPr="00261B7A">
        <w:rPr>
          <w:i/>
          <w:iCs/>
        </w:rPr>
        <w:t>Public electricity and heat production</w:t>
      </w:r>
      <w:r w:rsidRPr="00261B7A">
        <w:t xml:space="preserve"> were due to the increased share of electricity generated from renewable energy sources over this period, which displaced gas and coal-fired electricity generation.</w:t>
      </w:r>
    </w:p>
    <w:p w14:paraId="3E631983" w14:textId="77777777" w:rsidR="00EC31F9" w:rsidRPr="00261B7A" w:rsidRDefault="00EC31F9" w:rsidP="00EC31F9">
      <w:pPr>
        <w:pStyle w:val="BodyText"/>
      </w:pPr>
      <w:r w:rsidRPr="00261B7A">
        <w:t>Emissions from the Energy and IPPU sectors increased by 0.3 and 0.6 per cent respectively, while emissions from the Waste sector and Tokelau decreased by 1.6 and 9.5 per cent respectively.</w:t>
      </w:r>
    </w:p>
    <w:p w14:paraId="7AD6948C" w14:textId="77777777" w:rsidR="00EC31F9" w:rsidRPr="00261B7A" w:rsidRDefault="00EC31F9" w:rsidP="00EC31F9">
      <w:pPr>
        <w:pStyle w:val="BodyText"/>
      </w:pPr>
      <w:r w:rsidRPr="00261B7A">
        <w:t>New Zealand’s COVID-19 response and protection framework</w:t>
      </w:r>
      <w:r w:rsidRPr="00261B7A">
        <w:rPr>
          <w:rStyle w:val="FootnoteReference"/>
        </w:rPr>
        <w:footnoteReference w:id="3"/>
      </w:r>
      <w:r w:rsidRPr="00261B7A">
        <w:t xml:space="preserve"> remained in place for the 2021 year. The pandemic continued to impact emissions in 2021, although to a lesser extent than in 2020. On 17 August 2021, all of New Zealand moved to the highest level of restriction.</w:t>
      </w:r>
      <w:r w:rsidRPr="00261B7A">
        <w:rPr>
          <w:rStyle w:val="FootnoteReference"/>
        </w:rPr>
        <w:footnoteReference w:id="4"/>
      </w:r>
      <w:r w:rsidRPr="00261B7A">
        <w:t xml:space="preserve"> The northern regions, including Auckland, remained under tighter restrictions on activities and movements for the rest of the year. While some parts of the economy rebounded, others continued to be impacted by New Zealand’s COVID-19 response measures and the associated disruptions to global supply chains continued.</w:t>
      </w:r>
    </w:p>
    <w:p w14:paraId="150DB686" w14:textId="77777777" w:rsidR="00EC31F9" w:rsidRPr="00261B7A" w:rsidRDefault="00EC31F9" w:rsidP="00EC31F9">
      <w:pPr>
        <w:pStyle w:val="Heading4"/>
      </w:pPr>
      <w:bookmarkStart w:id="18" w:name="X3a60496ea61900d773b3eb72738d5a1d237439b"/>
      <w:r w:rsidRPr="00261B7A">
        <w:t>Net emissions – reporting under the Convention</w:t>
      </w:r>
    </w:p>
    <w:p w14:paraId="4A1FE94D" w14:textId="77777777" w:rsidR="00EC31F9" w:rsidRPr="00261B7A" w:rsidRDefault="00EC31F9" w:rsidP="00EC31F9">
      <w:pPr>
        <w:pStyle w:val="BodyText"/>
      </w:pPr>
      <w:r w:rsidRPr="00261B7A">
        <w:t>Net emissions include gross emissions as defined above (i.e., from the Energy, IPPU, Agriculture and Waste sectors, including Tokelau) and net emissions from the LULUCF sector, as reported under the Convention.</w:t>
      </w:r>
    </w:p>
    <w:p w14:paraId="454618C5" w14:textId="77777777" w:rsidR="00EC31F9" w:rsidRPr="00261B7A" w:rsidRDefault="00EC31F9" w:rsidP="00EC31F9">
      <w:pPr>
        <w:pStyle w:val="BodyText"/>
      </w:pPr>
      <w:r w:rsidRPr="00261B7A">
        <w:t>In 1990, New Zealand’s net emissions were 44,548.8 kt CO</w:t>
      </w:r>
      <w:r w:rsidRPr="00261B7A">
        <w:rPr>
          <w:vertAlign w:val="subscript"/>
        </w:rPr>
        <w:t>2</w:t>
      </w:r>
      <w:r w:rsidRPr="00261B7A">
        <w:t>-e. Between 1990 and 2021, net GHG emissions increased by 25.1 per cent (11,197.6 kt CO</w:t>
      </w:r>
      <w:r w:rsidRPr="00261B7A">
        <w:rPr>
          <w:vertAlign w:val="subscript"/>
        </w:rPr>
        <w:t>2</w:t>
      </w:r>
      <w:r w:rsidRPr="00261B7A">
        <w:t>-e) to 55,746.4 kt CO</w:t>
      </w:r>
      <w:r w:rsidRPr="00261B7A">
        <w:rPr>
          <w:vertAlign w:val="subscript"/>
        </w:rPr>
        <w:t>2</w:t>
      </w:r>
      <w:r w:rsidRPr="00261B7A">
        <w:t>-e (see figure ES 2.1; and chapter 2, figure 2.1.1).</w:t>
      </w:r>
    </w:p>
    <w:p w14:paraId="2D3129B0" w14:textId="77777777" w:rsidR="00EC31F9" w:rsidRPr="00261B7A" w:rsidRDefault="00EC31F9" w:rsidP="00EC31F9">
      <w:pPr>
        <w:pStyle w:val="BodyText"/>
      </w:pPr>
      <w:r w:rsidRPr="00261B7A">
        <w:t xml:space="preserve">The four categories that contributed the most to the increase in net emissions between 1990 and 2021 were: </w:t>
      </w:r>
      <w:r w:rsidRPr="00261B7A">
        <w:rPr>
          <w:i/>
          <w:iCs/>
        </w:rPr>
        <w:t>Land converted to forest land</w:t>
      </w:r>
      <w:r w:rsidRPr="00261B7A">
        <w:t xml:space="preserve">, </w:t>
      </w:r>
      <w:r w:rsidRPr="00261B7A">
        <w:rPr>
          <w:i/>
          <w:iCs/>
        </w:rPr>
        <w:t>Enteric fermentation from dairy cattle</w:t>
      </w:r>
      <w:r w:rsidRPr="00261B7A">
        <w:t xml:space="preserve">, </w:t>
      </w:r>
      <w:r w:rsidRPr="00261B7A">
        <w:rPr>
          <w:i/>
          <w:iCs/>
        </w:rPr>
        <w:t>Road transportation</w:t>
      </w:r>
      <w:r w:rsidRPr="00261B7A">
        <w:t xml:space="preserve"> and </w:t>
      </w:r>
      <w:r w:rsidRPr="00261B7A">
        <w:rPr>
          <w:i/>
          <w:iCs/>
        </w:rPr>
        <w:t>Agricultural soils</w:t>
      </w:r>
      <w:r w:rsidRPr="00261B7A">
        <w:t>.</w:t>
      </w:r>
    </w:p>
    <w:p w14:paraId="521922E6" w14:textId="77777777" w:rsidR="00EC31F9" w:rsidRPr="00261B7A" w:rsidRDefault="00EC31F9" w:rsidP="00EC31F9">
      <w:pPr>
        <w:pStyle w:val="Heading4"/>
      </w:pPr>
      <w:bookmarkStart w:id="19" w:name="X010b79f78fdfcb5466e09a04a2f41133282a5e4"/>
      <w:bookmarkEnd w:id="18"/>
      <w:r w:rsidRPr="00261B7A">
        <w:lastRenderedPageBreak/>
        <w:t>Net emissions – reporting under the Kyoto Protocol</w:t>
      </w:r>
    </w:p>
    <w:p w14:paraId="295CA2DB" w14:textId="77777777" w:rsidR="00EC31F9" w:rsidRPr="00261B7A" w:rsidRDefault="00EC31F9" w:rsidP="00EC31F9">
      <w:pPr>
        <w:pStyle w:val="BodyText"/>
      </w:pPr>
      <w:r w:rsidRPr="00261B7A">
        <w:t>Reporting for the second commitment period (CP2) of the Kyoto Protocol (2013 to 2020) was covered in the previous (2022) inventory submission. While no further commitments have been taken under the Kyoto Protocol, it remains in force and therefore reporting requirements remain in place. In 2021, net removals were –26,854.5 kt CO</w:t>
      </w:r>
      <w:r w:rsidRPr="00261B7A">
        <w:rPr>
          <w:vertAlign w:val="subscript"/>
        </w:rPr>
        <w:t>2</w:t>
      </w:r>
      <w:r w:rsidRPr="00261B7A">
        <w:t>-e from land subject to afforestation, reforestation, deforestation and forest management activities (see section ES.5 and chapter 11 for further detail).</w:t>
      </w:r>
    </w:p>
    <w:p w14:paraId="61E0621B" w14:textId="77777777" w:rsidR="00EC31F9" w:rsidRPr="00261B7A" w:rsidRDefault="00EC31F9" w:rsidP="00EC31F9">
      <w:pPr>
        <w:pStyle w:val="Heading2"/>
      </w:pPr>
      <w:bookmarkStart w:id="20" w:name="_Toc131591196"/>
      <w:bookmarkStart w:id="21" w:name="es.3-greenhouse-gas-trends"/>
      <w:bookmarkEnd w:id="16"/>
      <w:bookmarkEnd w:id="19"/>
      <w:r w:rsidRPr="00261B7A">
        <w:t>ES.3</w:t>
      </w:r>
      <w:r w:rsidRPr="00261B7A">
        <w:tab/>
        <w:t>Greenhouse gas trends</w:t>
      </w:r>
      <w:bookmarkEnd w:id="20"/>
    </w:p>
    <w:p w14:paraId="782088A3" w14:textId="77777777" w:rsidR="00EC31F9" w:rsidRPr="00261B7A" w:rsidRDefault="00EC31F9" w:rsidP="00EC31F9">
      <w:pPr>
        <w:pStyle w:val="BodyText"/>
      </w:pPr>
      <w:r w:rsidRPr="00261B7A">
        <w:t>Inventory reporting under the Convention covers the following direct GHGs: CO</w:t>
      </w:r>
      <w:r w:rsidRPr="00261B7A">
        <w:rPr>
          <w:vertAlign w:val="subscript"/>
        </w:rPr>
        <w:t>2</w:t>
      </w:r>
      <w:r w:rsidRPr="00261B7A">
        <w:t>, CH</w:t>
      </w:r>
      <w:r w:rsidRPr="00261B7A">
        <w:rPr>
          <w:vertAlign w:val="subscript"/>
        </w:rPr>
        <w:t>4</w:t>
      </w:r>
      <w:r w:rsidRPr="00261B7A">
        <w:t>, N</w:t>
      </w:r>
      <w:r w:rsidRPr="00261B7A">
        <w:rPr>
          <w:vertAlign w:val="subscript"/>
        </w:rPr>
        <w:t>2</w:t>
      </w:r>
      <w:r w:rsidRPr="00261B7A">
        <w:t>O, SF</w:t>
      </w:r>
      <w:r w:rsidRPr="00261B7A">
        <w:rPr>
          <w:vertAlign w:val="subscript"/>
        </w:rPr>
        <w:t>6</w:t>
      </w:r>
      <w:r w:rsidRPr="00261B7A">
        <w:t>, PFCs, HFCs and NF</w:t>
      </w:r>
      <w:r w:rsidRPr="00261B7A">
        <w:rPr>
          <w:vertAlign w:val="subscript"/>
        </w:rPr>
        <w:t>3</w:t>
      </w:r>
      <w:r w:rsidRPr="00261B7A">
        <w:t>. No NF</w:t>
      </w:r>
      <w:r w:rsidRPr="00261B7A">
        <w:rPr>
          <w:vertAlign w:val="subscript"/>
        </w:rPr>
        <w:t>3</w:t>
      </w:r>
      <w:r w:rsidRPr="00261B7A">
        <w:t xml:space="preserve"> data are included in this report because NF</w:t>
      </w:r>
      <w:r w:rsidRPr="00261B7A">
        <w:rPr>
          <w:vertAlign w:val="subscript"/>
        </w:rPr>
        <w:t>3</w:t>
      </w:r>
      <w:r w:rsidRPr="00261B7A">
        <w:t xml:space="preserve"> emissions do not occur in New Zealand.</w:t>
      </w:r>
    </w:p>
    <w:p w14:paraId="1326C576" w14:textId="77777777" w:rsidR="00EC31F9" w:rsidRPr="00261B7A" w:rsidRDefault="00EC31F9" w:rsidP="00EC31F9">
      <w:pPr>
        <w:pStyle w:val="BodyText"/>
      </w:pPr>
      <w:r w:rsidRPr="00261B7A">
        <w:t>Table ES 3.1 provides a summary of emissions for each gas in 1990 and 2021 and the changes since 1990. This is also illustrated in figure ES 3.1.</w:t>
      </w:r>
    </w:p>
    <w:p w14:paraId="5171F73D" w14:textId="77777777" w:rsidR="00EC31F9" w:rsidRPr="00261B7A" w:rsidRDefault="00EC31F9" w:rsidP="00EC31F9">
      <w:pPr>
        <w:pStyle w:val="Table"/>
      </w:pPr>
      <w:bookmarkStart w:id="22" w:name="_Toc131591306"/>
      <w:r w:rsidRPr="00261B7A">
        <w:rPr>
          <w:bCs/>
        </w:rPr>
        <w:t>Table ES 3.1</w:t>
      </w:r>
      <w:r w:rsidRPr="00261B7A">
        <w:tab/>
        <w:t xml:space="preserve">New Zealand’s gross emissions by gas in </w:t>
      </w:r>
      <w:r w:rsidRPr="00261B7A">
        <w:rPr>
          <w:bCs/>
        </w:rPr>
        <w:t>1990</w:t>
      </w:r>
      <w:r w:rsidRPr="00261B7A">
        <w:t xml:space="preserve"> and </w:t>
      </w:r>
      <w:r w:rsidRPr="00261B7A">
        <w:rPr>
          <w:bCs/>
        </w:rPr>
        <w:t>2021</w:t>
      </w:r>
      <w:bookmarkEnd w:id="22"/>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507"/>
        <w:gridCol w:w="1165"/>
        <w:gridCol w:w="830"/>
        <w:gridCol w:w="2220"/>
        <w:gridCol w:w="1772"/>
      </w:tblGrid>
      <w:tr w:rsidR="00EC31F9" w:rsidRPr="00261B7A" w14:paraId="429A53DF" w14:textId="77777777" w:rsidTr="000F09B5">
        <w:trPr>
          <w:tblHeader/>
        </w:trPr>
        <w:tc>
          <w:tcPr>
            <w:tcW w:w="0" w:type="auto"/>
            <w:shd w:val="clear" w:color="auto" w:fill="1B556B"/>
            <w:tcMar>
              <w:top w:w="0" w:type="dxa"/>
              <w:left w:w="108" w:type="dxa"/>
              <w:bottom w:w="0" w:type="dxa"/>
              <w:right w:w="108" w:type="dxa"/>
            </w:tcMar>
          </w:tcPr>
          <w:p w14:paraId="1C26C1EB" w14:textId="77777777" w:rsidR="00EC31F9" w:rsidRPr="00261B7A" w:rsidRDefault="00EC31F9" w:rsidP="00BE2B02">
            <w:pPr>
              <w:pStyle w:val="TableText"/>
              <w:rPr>
                <w:b/>
                <w:bCs/>
                <w:color w:val="FFFFFF" w:themeColor="background1"/>
              </w:rPr>
            </w:pPr>
            <w:r w:rsidRPr="00261B7A">
              <w:rPr>
                <w:rFonts w:eastAsia="Calibri"/>
                <w:b/>
                <w:bCs/>
                <w:color w:val="FFFFFF" w:themeColor="background1"/>
              </w:rPr>
              <w:t>Direct greenhouse gas emissions</w:t>
            </w:r>
          </w:p>
        </w:tc>
        <w:tc>
          <w:tcPr>
            <w:tcW w:w="0" w:type="auto"/>
            <w:shd w:val="clear" w:color="auto" w:fill="1B556B"/>
            <w:tcMar>
              <w:top w:w="0" w:type="dxa"/>
              <w:left w:w="108" w:type="dxa"/>
              <w:bottom w:w="0" w:type="dxa"/>
              <w:right w:w="108" w:type="dxa"/>
            </w:tcMar>
          </w:tcPr>
          <w:p w14:paraId="15EA1749" w14:textId="77777777" w:rsidR="00EC31F9" w:rsidRPr="00261B7A" w:rsidRDefault="00EC31F9" w:rsidP="00BE2B02">
            <w:pPr>
              <w:pStyle w:val="TableText"/>
              <w:jc w:val="right"/>
              <w:rPr>
                <w:b/>
                <w:bCs/>
                <w:color w:val="FFFFFF" w:themeColor="background1"/>
              </w:rPr>
            </w:pPr>
            <w:r w:rsidRPr="00261B7A">
              <w:rPr>
                <w:rFonts w:eastAsia="Calibri"/>
                <w:b/>
                <w:bCs/>
                <w:color w:val="FFFFFF" w:themeColor="background1"/>
              </w:rPr>
              <w:t>1990</w:t>
            </w:r>
          </w:p>
        </w:tc>
        <w:tc>
          <w:tcPr>
            <w:tcW w:w="0" w:type="auto"/>
            <w:shd w:val="clear" w:color="auto" w:fill="1B556B"/>
            <w:tcMar>
              <w:top w:w="0" w:type="dxa"/>
              <w:left w:w="108" w:type="dxa"/>
              <w:bottom w:w="0" w:type="dxa"/>
              <w:right w:w="108" w:type="dxa"/>
            </w:tcMar>
          </w:tcPr>
          <w:p w14:paraId="508C06DD" w14:textId="77777777" w:rsidR="00EC31F9" w:rsidRPr="00261B7A" w:rsidRDefault="00EC31F9" w:rsidP="00BE2B02">
            <w:pPr>
              <w:pStyle w:val="TableText"/>
              <w:jc w:val="right"/>
              <w:rPr>
                <w:b/>
                <w:bCs/>
                <w:color w:val="FFFFFF" w:themeColor="background1"/>
              </w:rPr>
            </w:pPr>
            <w:r w:rsidRPr="00261B7A">
              <w:rPr>
                <w:rFonts w:eastAsia="Calibri"/>
                <w:b/>
                <w:bCs/>
                <w:color w:val="FFFFFF" w:themeColor="background1"/>
              </w:rPr>
              <w:t>2021</w:t>
            </w:r>
          </w:p>
        </w:tc>
        <w:tc>
          <w:tcPr>
            <w:tcW w:w="0" w:type="auto"/>
            <w:shd w:val="clear" w:color="auto" w:fill="1B556B"/>
            <w:tcMar>
              <w:top w:w="0" w:type="dxa"/>
              <w:left w:w="108" w:type="dxa"/>
              <w:bottom w:w="0" w:type="dxa"/>
              <w:right w:w="108" w:type="dxa"/>
            </w:tcMar>
          </w:tcPr>
          <w:p w14:paraId="26F020BB" w14:textId="77777777" w:rsidR="00EC31F9" w:rsidRPr="00261B7A" w:rsidRDefault="00EC31F9" w:rsidP="00BE2B02">
            <w:pPr>
              <w:pStyle w:val="TableText"/>
              <w:jc w:val="right"/>
              <w:rPr>
                <w:b/>
                <w:bCs/>
                <w:color w:val="FFFFFF" w:themeColor="background1"/>
              </w:rPr>
            </w:pPr>
            <w:r w:rsidRPr="00261B7A">
              <w:rPr>
                <w:rFonts w:eastAsia="Calibri"/>
                <w:b/>
                <w:bCs/>
                <w:color w:val="FFFFFF" w:themeColor="background1"/>
              </w:rPr>
              <w:t>Change from 1990 (kt CO</w:t>
            </w:r>
            <w:r w:rsidRPr="00261B7A">
              <w:rPr>
                <w:rFonts w:eastAsia="Calibri"/>
                <w:b/>
                <w:bCs/>
                <w:color w:val="FFFFFF" w:themeColor="background1"/>
                <w:vertAlign w:val="subscript"/>
              </w:rPr>
              <w:t>2</w:t>
            </w:r>
            <w:r w:rsidRPr="00261B7A">
              <w:rPr>
                <w:rFonts w:eastAsia="Calibri"/>
                <w:b/>
                <w:bCs/>
                <w:color w:val="FFFFFF" w:themeColor="background1"/>
              </w:rPr>
              <w:t>-e)</w:t>
            </w:r>
          </w:p>
        </w:tc>
        <w:tc>
          <w:tcPr>
            <w:tcW w:w="0" w:type="auto"/>
            <w:shd w:val="clear" w:color="auto" w:fill="1B556B"/>
            <w:tcMar>
              <w:top w:w="0" w:type="dxa"/>
              <w:left w:w="108" w:type="dxa"/>
              <w:bottom w:w="0" w:type="dxa"/>
              <w:right w:w="108" w:type="dxa"/>
            </w:tcMar>
          </w:tcPr>
          <w:p w14:paraId="6524749B" w14:textId="77777777" w:rsidR="00EC31F9" w:rsidRPr="00261B7A" w:rsidRDefault="00EC31F9" w:rsidP="00BE2B02">
            <w:pPr>
              <w:pStyle w:val="TableText"/>
              <w:jc w:val="right"/>
              <w:rPr>
                <w:b/>
                <w:bCs/>
                <w:color w:val="FFFFFF" w:themeColor="background1"/>
              </w:rPr>
            </w:pPr>
            <w:r w:rsidRPr="00261B7A">
              <w:rPr>
                <w:rFonts w:eastAsia="Calibri"/>
                <w:b/>
                <w:bCs/>
                <w:color w:val="FFFFFF" w:themeColor="background1"/>
              </w:rPr>
              <w:t>Change from 1990 (%)</w:t>
            </w:r>
          </w:p>
        </w:tc>
      </w:tr>
      <w:tr w:rsidR="00EC31F9" w:rsidRPr="00261B7A" w14:paraId="53FAA90F" w14:textId="77777777" w:rsidTr="000F09B5">
        <w:tc>
          <w:tcPr>
            <w:tcW w:w="0" w:type="auto"/>
            <w:shd w:val="clear" w:color="auto" w:fill="FFFFFF"/>
            <w:tcMar>
              <w:top w:w="0" w:type="dxa"/>
              <w:left w:w="108" w:type="dxa"/>
              <w:bottom w:w="0" w:type="dxa"/>
              <w:right w:w="108" w:type="dxa"/>
            </w:tcMar>
          </w:tcPr>
          <w:p w14:paraId="35906BA0" w14:textId="77777777" w:rsidR="00EC31F9" w:rsidRPr="00261B7A" w:rsidRDefault="00EC31F9" w:rsidP="00BE2B02">
            <w:pPr>
              <w:pStyle w:val="TableText"/>
            </w:pPr>
            <w:r w:rsidRPr="00261B7A">
              <w:rPr>
                <w:rFonts w:eastAsia="Calibri"/>
                <w:color w:val="000000"/>
              </w:rPr>
              <w:t>CO</w:t>
            </w:r>
            <w:r w:rsidRPr="00261B7A">
              <w:rPr>
                <w:rFonts w:eastAsia="Calibri"/>
                <w:color w:val="000000"/>
                <w:vertAlign w:val="subscript"/>
              </w:rPr>
              <w:t>2</w:t>
            </w:r>
          </w:p>
        </w:tc>
        <w:tc>
          <w:tcPr>
            <w:tcW w:w="0" w:type="auto"/>
            <w:shd w:val="clear" w:color="auto" w:fill="FFFFFF"/>
            <w:tcMar>
              <w:top w:w="0" w:type="dxa"/>
              <w:left w:w="108" w:type="dxa"/>
              <w:bottom w:w="0" w:type="dxa"/>
              <w:right w:w="108" w:type="dxa"/>
            </w:tcMar>
          </w:tcPr>
          <w:p w14:paraId="007DBC42" w14:textId="77777777" w:rsidR="00EC31F9" w:rsidRPr="00261B7A" w:rsidRDefault="00EC31F9" w:rsidP="00BE2B02">
            <w:pPr>
              <w:pStyle w:val="TableText"/>
              <w:jc w:val="right"/>
            </w:pPr>
            <w:r w:rsidRPr="00261B7A">
              <w:rPr>
                <w:rFonts w:eastAsia="Calibri"/>
                <w:color w:val="000000"/>
              </w:rPr>
              <w:t>25,502.5</w:t>
            </w:r>
          </w:p>
        </w:tc>
        <w:tc>
          <w:tcPr>
            <w:tcW w:w="0" w:type="auto"/>
            <w:shd w:val="clear" w:color="auto" w:fill="FFFFFF"/>
            <w:tcMar>
              <w:top w:w="0" w:type="dxa"/>
              <w:left w:w="108" w:type="dxa"/>
              <w:bottom w:w="0" w:type="dxa"/>
              <w:right w:w="108" w:type="dxa"/>
            </w:tcMar>
          </w:tcPr>
          <w:p w14:paraId="72ABEF5D" w14:textId="77777777" w:rsidR="00EC31F9" w:rsidRPr="00261B7A" w:rsidRDefault="00EC31F9" w:rsidP="00BE2B02">
            <w:pPr>
              <w:pStyle w:val="TableText"/>
              <w:jc w:val="right"/>
            </w:pPr>
            <w:r w:rsidRPr="00261B7A">
              <w:rPr>
                <w:rFonts w:eastAsia="Calibri"/>
                <w:color w:val="000000"/>
              </w:rPr>
              <w:t>34,318.0</w:t>
            </w:r>
          </w:p>
        </w:tc>
        <w:tc>
          <w:tcPr>
            <w:tcW w:w="0" w:type="auto"/>
            <w:shd w:val="clear" w:color="auto" w:fill="FFFFFF"/>
            <w:tcMar>
              <w:top w:w="0" w:type="dxa"/>
              <w:left w:w="108" w:type="dxa"/>
              <w:bottom w:w="0" w:type="dxa"/>
              <w:right w:w="108" w:type="dxa"/>
            </w:tcMar>
          </w:tcPr>
          <w:p w14:paraId="490AB640" w14:textId="77777777" w:rsidR="00EC31F9" w:rsidRPr="00261B7A" w:rsidRDefault="00EC31F9" w:rsidP="00BE2B02">
            <w:pPr>
              <w:pStyle w:val="TableText"/>
              <w:jc w:val="right"/>
            </w:pPr>
            <w:r w:rsidRPr="00261B7A">
              <w:rPr>
                <w:rFonts w:eastAsia="Calibri"/>
                <w:color w:val="000000"/>
              </w:rPr>
              <w:t>8,815.5</w:t>
            </w:r>
          </w:p>
        </w:tc>
        <w:tc>
          <w:tcPr>
            <w:tcW w:w="0" w:type="auto"/>
            <w:shd w:val="clear" w:color="auto" w:fill="FFFFFF"/>
            <w:tcMar>
              <w:top w:w="0" w:type="dxa"/>
              <w:left w:w="108" w:type="dxa"/>
              <w:bottom w:w="0" w:type="dxa"/>
              <w:right w:w="108" w:type="dxa"/>
            </w:tcMar>
          </w:tcPr>
          <w:p w14:paraId="3AFE972F" w14:textId="77777777" w:rsidR="00EC31F9" w:rsidRPr="00261B7A" w:rsidRDefault="00EC31F9" w:rsidP="00BE2B02">
            <w:pPr>
              <w:pStyle w:val="TableText"/>
              <w:jc w:val="right"/>
            </w:pPr>
            <w:r w:rsidRPr="00261B7A">
              <w:rPr>
                <w:rFonts w:eastAsia="Calibri"/>
                <w:color w:val="000000"/>
              </w:rPr>
              <w:t>34.6</w:t>
            </w:r>
          </w:p>
        </w:tc>
      </w:tr>
      <w:tr w:rsidR="00EC31F9" w:rsidRPr="00261B7A" w14:paraId="2416F6FD" w14:textId="77777777" w:rsidTr="000F09B5">
        <w:tc>
          <w:tcPr>
            <w:tcW w:w="0" w:type="auto"/>
            <w:shd w:val="clear" w:color="auto" w:fill="FFFFFF"/>
            <w:tcMar>
              <w:top w:w="0" w:type="dxa"/>
              <w:left w:w="108" w:type="dxa"/>
              <w:bottom w:w="0" w:type="dxa"/>
              <w:right w:w="108" w:type="dxa"/>
            </w:tcMar>
          </w:tcPr>
          <w:p w14:paraId="52348D20" w14:textId="77777777" w:rsidR="00EC31F9" w:rsidRPr="00261B7A" w:rsidRDefault="00EC31F9" w:rsidP="00BE2B02">
            <w:pPr>
              <w:pStyle w:val="TableText"/>
            </w:pPr>
            <w:r w:rsidRPr="00261B7A">
              <w:rPr>
                <w:rFonts w:eastAsia="Calibri"/>
                <w:color w:val="000000"/>
              </w:rPr>
              <w:t>CH</w:t>
            </w:r>
            <w:r w:rsidRPr="00261B7A">
              <w:rPr>
                <w:rFonts w:eastAsia="Calibri"/>
                <w:color w:val="000000"/>
                <w:vertAlign w:val="subscript"/>
              </w:rPr>
              <w:t>4</w:t>
            </w:r>
          </w:p>
        </w:tc>
        <w:tc>
          <w:tcPr>
            <w:tcW w:w="0" w:type="auto"/>
            <w:shd w:val="clear" w:color="auto" w:fill="FFFFFF"/>
            <w:tcMar>
              <w:top w:w="0" w:type="dxa"/>
              <w:left w:w="108" w:type="dxa"/>
              <w:bottom w:w="0" w:type="dxa"/>
              <w:right w:w="108" w:type="dxa"/>
            </w:tcMar>
          </w:tcPr>
          <w:p w14:paraId="4516D4F3" w14:textId="77777777" w:rsidR="00EC31F9" w:rsidRPr="00261B7A" w:rsidRDefault="00EC31F9" w:rsidP="00BE2B02">
            <w:pPr>
              <w:pStyle w:val="TableText"/>
              <w:jc w:val="right"/>
            </w:pPr>
            <w:r w:rsidRPr="00261B7A">
              <w:rPr>
                <w:rFonts w:eastAsia="Calibri"/>
                <w:color w:val="000000"/>
              </w:rPr>
              <w:t>32,580.7</w:t>
            </w:r>
          </w:p>
        </w:tc>
        <w:tc>
          <w:tcPr>
            <w:tcW w:w="0" w:type="auto"/>
            <w:shd w:val="clear" w:color="auto" w:fill="FFFFFF"/>
            <w:tcMar>
              <w:top w:w="0" w:type="dxa"/>
              <w:left w:w="108" w:type="dxa"/>
              <w:bottom w:w="0" w:type="dxa"/>
              <w:right w:w="108" w:type="dxa"/>
            </w:tcMar>
          </w:tcPr>
          <w:p w14:paraId="17F43D54" w14:textId="77777777" w:rsidR="00EC31F9" w:rsidRPr="00261B7A" w:rsidRDefault="00EC31F9" w:rsidP="00BE2B02">
            <w:pPr>
              <w:pStyle w:val="TableText"/>
              <w:jc w:val="right"/>
            </w:pPr>
            <w:r w:rsidRPr="00261B7A">
              <w:rPr>
                <w:rFonts w:eastAsia="Calibri"/>
                <w:color w:val="000000"/>
              </w:rPr>
              <w:t>33,019.3</w:t>
            </w:r>
          </w:p>
        </w:tc>
        <w:tc>
          <w:tcPr>
            <w:tcW w:w="0" w:type="auto"/>
            <w:shd w:val="clear" w:color="auto" w:fill="FFFFFF"/>
            <w:tcMar>
              <w:top w:w="0" w:type="dxa"/>
              <w:left w:w="108" w:type="dxa"/>
              <w:bottom w:w="0" w:type="dxa"/>
              <w:right w:w="108" w:type="dxa"/>
            </w:tcMar>
          </w:tcPr>
          <w:p w14:paraId="0FE18B32" w14:textId="77777777" w:rsidR="00EC31F9" w:rsidRPr="00261B7A" w:rsidRDefault="00EC31F9" w:rsidP="00BE2B02">
            <w:pPr>
              <w:pStyle w:val="TableText"/>
              <w:jc w:val="right"/>
            </w:pPr>
            <w:r w:rsidRPr="00261B7A">
              <w:rPr>
                <w:rFonts w:eastAsia="Calibri"/>
                <w:color w:val="000000"/>
              </w:rPr>
              <w:t>438.6</w:t>
            </w:r>
          </w:p>
        </w:tc>
        <w:tc>
          <w:tcPr>
            <w:tcW w:w="0" w:type="auto"/>
            <w:shd w:val="clear" w:color="auto" w:fill="FFFFFF"/>
            <w:tcMar>
              <w:top w:w="0" w:type="dxa"/>
              <w:left w:w="108" w:type="dxa"/>
              <w:bottom w:w="0" w:type="dxa"/>
              <w:right w:w="108" w:type="dxa"/>
            </w:tcMar>
          </w:tcPr>
          <w:p w14:paraId="5AA5C22C" w14:textId="77777777" w:rsidR="00EC31F9" w:rsidRPr="00261B7A" w:rsidRDefault="00EC31F9" w:rsidP="00BE2B02">
            <w:pPr>
              <w:pStyle w:val="TableText"/>
              <w:jc w:val="right"/>
            </w:pPr>
            <w:r w:rsidRPr="00261B7A">
              <w:rPr>
                <w:rFonts w:eastAsia="Calibri"/>
                <w:color w:val="000000"/>
              </w:rPr>
              <w:t>1.3</w:t>
            </w:r>
          </w:p>
        </w:tc>
      </w:tr>
      <w:tr w:rsidR="00EC31F9" w:rsidRPr="00261B7A" w14:paraId="1D5E56DE" w14:textId="77777777" w:rsidTr="000F09B5">
        <w:tc>
          <w:tcPr>
            <w:tcW w:w="0" w:type="auto"/>
            <w:shd w:val="clear" w:color="auto" w:fill="FFFFFF"/>
            <w:tcMar>
              <w:top w:w="0" w:type="dxa"/>
              <w:left w:w="108" w:type="dxa"/>
              <w:bottom w:w="0" w:type="dxa"/>
              <w:right w:w="108" w:type="dxa"/>
            </w:tcMar>
          </w:tcPr>
          <w:p w14:paraId="200E1C0F" w14:textId="77777777" w:rsidR="00EC31F9" w:rsidRPr="00261B7A" w:rsidRDefault="00EC31F9" w:rsidP="00BE2B02">
            <w:pPr>
              <w:pStyle w:val="TableText"/>
            </w:pPr>
            <w:r w:rsidRPr="00261B7A">
              <w:rPr>
                <w:rFonts w:eastAsia="Calibri"/>
                <w:color w:val="000000"/>
              </w:rPr>
              <w:t>N</w:t>
            </w:r>
            <w:r w:rsidRPr="00261B7A">
              <w:rPr>
                <w:rFonts w:eastAsia="Calibri"/>
                <w:color w:val="000000"/>
                <w:vertAlign w:val="subscript"/>
              </w:rPr>
              <w:t>2</w:t>
            </w:r>
            <w:r w:rsidRPr="00261B7A">
              <w:rPr>
                <w:rFonts w:eastAsia="Calibri"/>
                <w:color w:val="000000"/>
              </w:rPr>
              <w:t>O</w:t>
            </w:r>
          </w:p>
        </w:tc>
        <w:tc>
          <w:tcPr>
            <w:tcW w:w="0" w:type="auto"/>
            <w:shd w:val="clear" w:color="auto" w:fill="FFFFFF"/>
            <w:tcMar>
              <w:top w:w="0" w:type="dxa"/>
              <w:left w:w="108" w:type="dxa"/>
              <w:bottom w:w="0" w:type="dxa"/>
              <w:right w:w="108" w:type="dxa"/>
            </w:tcMar>
          </w:tcPr>
          <w:p w14:paraId="58571E40" w14:textId="77777777" w:rsidR="00EC31F9" w:rsidRPr="00261B7A" w:rsidRDefault="00EC31F9" w:rsidP="00BE2B02">
            <w:pPr>
              <w:pStyle w:val="TableText"/>
              <w:jc w:val="right"/>
            </w:pPr>
            <w:r w:rsidRPr="00261B7A">
              <w:rPr>
                <w:rFonts w:eastAsia="Calibri"/>
                <w:color w:val="000000"/>
              </w:rPr>
              <w:t>5,706.9</w:t>
            </w:r>
          </w:p>
        </w:tc>
        <w:tc>
          <w:tcPr>
            <w:tcW w:w="0" w:type="auto"/>
            <w:shd w:val="clear" w:color="auto" w:fill="FFFFFF"/>
            <w:tcMar>
              <w:top w:w="0" w:type="dxa"/>
              <w:left w:w="108" w:type="dxa"/>
              <w:bottom w:w="0" w:type="dxa"/>
              <w:right w:w="108" w:type="dxa"/>
            </w:tcMar>
          </w:tcPr>
          <w:p w14:paraId="21305CF0" w14:textId="77777777" w:rsidR="00EC31F9" w:rsidRPr="00261B7A" w:rsidRDefault="00EC31F9" w:rsidP="00BE2B02">
            <w:pPr>
              <w:pStyle w:val="TableText"/>
              <w:jc w:val="right"/>
            </w:pPr>
            <w:r w:rsidRPr="00261B7A">
              <w:rPr>
                <w:rFonts w:eastAsia="Calibri"/>
                <w:color w:val="000000"/>
              </w:rPr>
              <w:t>7,937.6</w:t>
            </w:r>
          </w:p>
        </w:tc>
        <w:tc>
          <w:tcPr>
            <w:tcW w:w="0" w:type="auto"/>
            <w:shd w:val="clear" w:color="auto" w:fill="FFFFFF"/>
            <w:tcMar>
              <w:top w:w="0" w:type="dxa"/>
              <w:left w:w="108" w:type="dxa"/>
              <w:bottom w:w="0" w:type="dxa"/>
              <w:right w:w="108" w:type="dxa"/>
            </w:tcMar>
          </w:tcPr>
          <w:p w14:paraId="576A14F0" w14:textId="77777777" w:rsidR="00EC31F9" w:rsidRPr="00261B7A" w:rsidRDefault="00EC31F9" w:rsidP="00BE2B02">
            <w:pPr>
              <w:pStyle w:val="TableText"/>
              <w:jc w:val="right"/>
            </w:pPr>
            <w:r w:rsidRPr="00261B7A">
              <w:rPr>
                <w:rFonts w:eastAsia="Calibri"/>
                <w:color w:val="000000"/>
              </w:rPr>
              <w:t>2,230.7</w:t>
            </w:r>
          </w:p>
        </w:tc>
        <w:tc>
          <w:tcPr>
            <w:tcW w:w="0" w:type="auto"/>
            <w:shd w:val="clear" w:color="auto" w:fill="FFFFFF"/>
            <w:tcMar>
              <w:top w:w="0" w:type="dxa"/>
              <w:left w:w="108" w:type="dxa"/>
              <w:bottom w:w="0" w:type="dxa"/>
              <w:right w:w="108" w:type="dxa"/>
            </w:tcMar>
          </w:tcPr>
          <w:p w14:paraId="1BB22C68" w14:textId="77777777" w:rsidR="00EC31F9" w:rsidRPr="00261B7A" w:rsidRDefault="00EC31F9" w:rsidP="00BE2B02">
            <w:pPr>
              <w:pStyle w:val="TableText"/>
              <w:jc w:val="right"/>
            </w:pPr>
            <w:r w:rsidRPr="00261B7A">
              <w:rPr>
                <w:rFonts w:eastAsia="Calibri"/>
                <w:color w:val="000000"/>
              </w:rPr>
              <w:t>39.1</w:t>
            </w:r>
          </w:p>
        </w:tc>
      </w:tr>
      <w:tr w:rsidR="00EC31F9" w:rsidRPr="00261B7A" w14:paraId="31A3CFFD" w14:textId="77777777" w:rsidTr="000F09B5">
        <w:tc>
          <w:tcPr>
            <w:tcW w:w="0" w:type="auto"/>
            <w:shd w:val="clear" w:color="auto" w:fill="FFFFFF"/>
            <w:tcMar>
              <w:top w:w="0" w:type="dxa"/>
              <w:left w:w="108" w:type="dxa"/>
              <w:bottom w:w="0" w:type="dxa"/>
              <w:right w:w="108" w:type="dxa"/>
            </w:tcMar>
          </w:tcPr>
          <w:p w14:paraId="47374842" w14:textId="77777777" w:rsidR="00EC31F9" w:rsidRPr="00261B7A" w:rsidRDefault="00EC31F9" w:rsidP="00BE2B02">
            <w:pPr>
              <w:pStyle w:val="TableText"/>
            </w:pPr>
            <w:r w:rsidRPr="00261B7A">
              <w:rPr>
                <w:rFonts w:eastAsia="Calibri"/>
                <w:color w:val="000000"/>
              </w:rPr>
              <w:t>HFCs</w:t>
            </w:r>
          </w:p>
        </w:tc>
        <w:tc>
          <w:tcPr>
            <w:tcW w:w="0" w:type="auto"/>
            <w:shd w:val="clear" w:color="auto" w:fill="FFFFFF"/>
            <w:tcMar>
              <w:top w:w="0" w:type="dxa"/>
              <w:left w:w="108" w:type="dxa"/>
              <w:bottom w:w="0" w:type="dxa"/>
              <w:right w:w="108" w:type="dxa"/>
            </w:tcMar>
          </w:tcPr>
          <w:p w14:paraId="2EDBDC00" w14:textId="77777777" w:rsidR="00EC31F9" w:rsidRPr="00261B7A" w:rsidRDefault="00EC31F9" w:rsidP="00BE2B02">
            <w:pPr>
              <w:pStyle w:val="TableText"/>
              <w:jc w:val="right"/>
            </w:pPr>
            <w:r w:rsidRPr="00261B7A">
              <w:rPr>
                <w:rFonts w:eastAsia="Calibri"/>
                <w:color w:val="000000"/>
              </w:rPr>
              <w:t>Not occurring</w:t>
            </w:r>
          </w:p>
        </w:tc>
        <w:tc>
          <w:tcPr>
            <w:tcW w:w="0" w:type="auto"/>
            <w:shd w:val="clear" w:color="auto" w:fill="FFFFFF"/>
            <w:tcMar>
              <w:top w:w="0" w:type="dxa"/>
              <w:left w:w="108" w:type="dxa"/>
              <w:bottom w:w="0" w:type="dxa"/>
              <w:right w:w="108" w:type="dxa"/>
            </w:tcMar>
          </w:tcPr>
          <w:p w14:paraId="4393C58A" w14:textId="77777777" w:rsidR="00EC31F9" w:rsidRPr="00261B7A" w:rsidRDefault="00EC31F9" w:rsidP="00BE2B02">
            <w:pPr>
              <w:pStyle w:val="TableText"/>
              <w:jc w:val="right"/>
            </w:pPr>
            <w:r w:rsidRPr="00261B7A">
              <w:rPr>
                <w:rFonts w:eastAsia="Calibri"/>
                <w:color w:val="000000"/>
              </w:rPr>
              <w:t>1,483.2</w:t>
            </w:r>
          </w:p>
        </w:tc>
        <w:tc>
          <w:tcPr>
            <w:tcW w:w="0" w:type="auto"/>
            <w:shd w:val="clear" w:color="auto" w:fill="FFFFFF"/>
            <w:tcMar>
              <w:top w:w="0" w:type="dxa"/>
              <w:left w:w="108" w:type="dxa"/>
              <w:bottom w:w="0" w:type="dxa"/>
              <w:right w:w="108" w:type="dxa"/>
            </w:tcMar>
          </w:tcPr>
          <w:p w14:paraId="170E1B4C" w14:textId="77777777" w:rsidR="00EC31F9" w:rsidRPr="00261B7A" w:rsidRDefault="00EC31F9" w:rsidP="00BE2B02">
            <w:pPr>
              <w:pStyle w:val="TableText"/>
              <w:jc w:val="right"/>
            </w:pPr>
            <w:r w:rsidRPr="00261B7A">
              <w:rPr>
                <w:rFonts w:eastAsia="Calibri"/>
                <w:color w:val="000000"/>
              </w:rPr>
              <w:t>1,483.2</w:t>
            </w:r>
          </w:p>
        </w:tc>
        <w:tc>
          <w:tcPr>
            <w:tcW w:w="0" w:type="auto"/>
            <w:shd w:val="clear" w:color="auto" w:fill="FFFFFF"/>
            <w:tcMar>
              <w:top w:w="0" w:type="dxa"/>
              <w:left w:w="108" w:type="dxa"/>
              <w:bottom w:w="0" w:type="dxa"/>
              <w:right w:w="108" w:type="dxa"/>
            </w:tcMar>
          </w:tcPr>
          <w:p w14:paraId="1339F61F" w14:textId="77777777" w:rsidR="00EC31F9" w:rsidRPr="00261B7A" w:rsidRDefault="00EC31F9" w:rsidP="00BE2B02">
            <w:pPr>
              <w:pStyle w:val="TableText"/>
              <w:jc w:val="right"/>
            </w:pPr>
            <w:r w:rsidRPr="00261B7A">
              <w:rPr>
                <w:rFonts w:eastAsia="Calibri"/>
                <w:color w:val="000000"/>
              </w:rPr>
              <w:t>NA</w:t>
            </w:r>
          </w:p>
        </w:tc>
      </w:tr>
      <w:tr w:rsidR="00EC31F9" w:rsidRPr="00261B7A" w14:paraId="2264052A" w14:textId="77777777" w:rsidTr="000F09B5">
        <w:tc>
          <w:tcPr>
            <w:tcW w:w="0" w:type="auto"/>
            <w:shd w:val="clear" w:color="auto" w:fill="FFFFFF"/>
            <w:tcMar>
              <w:top w:w="0" w:type="dxa"/>
              <w:left w:w="108" w:type="dxa"/>
              <w:bottom w:w="0" w:type="dxa"/>
              <w:right w:w="108" w:type="dxa"/>
            </w:tcMar>
          </w:tcPr>
          <w:p w14:paraId="746EF6BF" w14:textId="77777777" w:rsidR="00EC31F9" w:rsidRPr="00261B7A" w:rsidRDefault="00EC31F9" w:rsidP="00BE2B02">
            <w:pPr>
              <w:pStyle w:val="TableText"/>
            </w:pPr>
            <w:r w:rsidRPr="00261B7A">
              <w:rPr>
                <w:rFonts w:eastAsia="Calibri"/>
                <w:color w:val="000000"/>
              </w:rPr>
              <w:t>PFCs</w:t>
            </w:r>
          </w:p>
        </w:tc>
        <w:tc>
          <w:tcPr>
            <w:tcW w:w="0" w:type="auto"/>
            <w:shd w:val="clear" w:color="auto" w:fill="FFFFFF"/>
            <w:tcMar>
              <w:top w:w="0" w:type="dxa"/>
              <w:left w:w="108" w:type="dxa"/>
              <w:bottom w:w="0" w:type="dxa"/>
              <w:right w:w="108" w:type="dxa"/>
            </w:tcMar>
          </w:tcPr>
          <w:p w14:paraId="5FFCF56C" w14:textId="77777777" w:rsidR="00EC31F9" w:rsidRPr="00261B7A" w:rsidRDefault="00EC31F9" w:rsidP="00BE2B02">
            <w:pPr>
              <w:pStyle w:val="TableText"/>
              <w:jc w:val="right"/>
            </w:pPr>
            <w:r w:rsidRPr="00261B7A">
              <w:rPr>
                <w:rFonts w:eastAsia="Calibri"/>
                <w:color w:val="000000"/>
              </w:rPr>
              <w:t>909.9</w:t>
            </w:r>
          </w:p>
        </w:tc>
        <w:tc>
          <w:tcPr>
            <w:tcW w:w="0" w:type="auto"/>
            <w:shd w:val="clear" w:color="auto" w:fill="FFFFFF"/>
            <w:tcMar>
              <w:top w:w="0" w:type="dxa"/>
              <w:left w:w="108" w:type="dxa"/>
              <w:bottom w:w="0" w:type="dxa"/>
              <w:right w:w="108" w:type="dxa"/>
            </w:tcMar>
          </w:tcPr>
          <w:p w14:paraId="066009C7" w14:textId="77777777" w:rsidR="00EC31F9" w:rsidRPr="00261B7A" w:rsidRDefault="00EC31F9" w:rsidP="00BE2B02">
            <w:pPr>
              <w:pStyle w:val="TableText"/>
              <w:jc w:val="right"/>
            </w:pPr>
            <w:r w:rsidRPr="00261B7A">
              <w:rPr>
                <w:rFonts w:eastAsia="Calibri"/>
                <w:color w:val="000000"/>
              </w:rPr>
              <w:t>50.7</w:t>
            </w:r>
          </w:p>
        </w:tc>
        <w:tc>
          <w:tcPr>
            <w:tcW w:w="0" w:type="auto"/>
            <w:shd w:val="clear" w:color="auto" w:fill="FFFFFF"/>
            <w:tcMar>
              <w:top w:w="0" w:type="dxa"/>
              <w:left w:w="108" w:type="dxa"/>
              <w:bottom w:w="0" w:type="dxa"/>
              <w:right w:w="108" w:type="dxa"/>
            </w:tcMar>
          </w:tcPr>
          <w:p w14:paraId="2D63CD18" w14:textId="77777777" w:rsidR="00EC31F9" w:rsidRPr="00261B7A" w:rsidRDefault="00EC31F9" w:rsidP="00BE2B02">
            <w:pPr>
              <w:pStyle w:val="TableText"/>
              <w:jc w:val="right"/>
            </w:pPr>
            <w:r w:rsidRPr="00261B7A">
              <w:rPr>
                <w:rFonts w:eastAsia="Calibri"/>
                <w:color w:val="000000"/>
              </w:rPr>
              <w:t>–859.3</w:t>
            </w:r>
          </w:p>
        </w:tc>
        <w:tc>
          <w:tcPr>
            <w:tcW w:w="0" w:type="auto"/>
            <w:shd w:val="clear" w:color="auto" w:fill="FFFFFF"/>
            <w:tcMar>
              <w:top w:w="0" w:type="dxa"/>
              <w:left w:w="108" w:type="dxa"/>
              <w:bottom w:w="0" w:type="dxa"/>
              <w:right w:w="108" w:type="dxa"/>
            </w:tcMar>
          </w:tcPr>
          <w:p w14:paraId="68BFD53A" w14:textId="77777777" w:rsidR="00EC31F9" w:rsidRPr="00261B7A" w:rsidRDefault="00EC31F9" w:rsidP="00BE2B02">
            <w:pPr>
              <w:pStyle w:val="TableText"/>
              <w:jc w:val="right"/>
            </w:pPr>
            <w:r w:rsidRPr="00261B7A">
              <w:rPr>
                <w:rFonts w:eastAsia="Calibri"/>
                <w:color w:val="000000"/>
              </w:rPr>
              <w:t>–94.4</w:t>
            </w:r>
          </w:p>
        </w:tc>
      </w:tr>
      <w:tr w:rsidR="00EC31F9" w:rsidRPr="00261B7A" w14:paraId="0038F689" w14:textId="77777777" w:rsidTr="000F09B5">
        <w:tc>
          <w:tcPr>
            <w:tcW w:w="0" w:type="auto"/>
            <w:shd w:val="clear" w:color="auto" w:fill="FFFFFF"/>
            <w:tcMar>
              <w:top w:w="0" w:type="dxa"/>
              <w:left w:w="108" w:type="dxa"/>
              <w:bottom w:w="0" w:type="dxa"/>
              <w:right w:w="108" w:type="dxa"/>
            </w:tcMar>
          </w:tcPr>
          <w:p w14:paraId="7226CFBB" w14:textId="77777777" w:rsidR="00EC31F9" w:rsidRPr="00261B7A" w:rsidRDefault="00EC31F9" w:rsidP="00BE2B02">
            <w:pPr>
              <w:pStyle w:val="TableText"/>
            </w:pPr>
            <w:r w:rsidRPr="00261B7A">
              <w:rPr>
                <w:rFonts w:eastAsia="Calibri"/>
                <w:color w:val="000000"/>
              </w:rPr>
              <w:t>SF</w:t>
            </w:r>
            <w:r w:rsidRPr="00261B7A">
              <w:rPr>
                <w:rFonts w:eastAsia="Calibri"/>
                <w:color w:val="000000"/>
                <w:vertAlign w:val="subscript"/>
              </w:rPr>
              <w:t>6</w:t>
            </w:r>
          </w:p>
        </w:tc>
        <w:tc>
          <w:tcPr>
            <w:tcW w:w="0" w:type="auto"/>
            <w:shd w:val="clear" w:color="auto" w:fill="FFFFFF"/>
            <w:tcMar>
              <w:top w:w="0" w:type="dxa"/>
              <w:left w:w="108" w:type="dxa"/>
              <w:bottom w:w="0" w:type="dxa"/>
              <w:right w:w="108" w:type="dxa"/>
            </w:tcMar>
          </w:tcPr>
          <w:p w14:paraId="55FC30F8" w14:textId="77777777" w:rsidR="00EC31F9" w:rsidRPr="00261B7A" w:rsidRDefault="00EC31F9" w:rsidP="00BE2B02">
            <w:pPr>
              <w:pStyle w:val="TableText"/>
              <w:jc w:val="right"/>
            </w:pPr>
            <w:r w:rsidRPr="00261B7A">
              <w:rPr>
                <w:rFonts w:eastAsia="Calibri"/>
                <w:color w:val="000000"/>
              </w:rPr>
              <w:t>20.0</w:t>
            </w:r>
          </w:p>
        </w:tc>
        <w:tc>
          <w:tcPr>
            <w:tcW w:w="0" w:type="auto"/>
            <w:shd w:val="clear" w:color="auto" w:fill="FFFFFF"/>
            <w:tcMar>
              <w:top w:w="0" w:type="dxa"/>
              <w:left w:w="108" w:type="dxa"/>
              <w:bottom w:w="0" w:type="dxa"/>
              <w:right w:w="108" w:type="dxa"/>
            </w:tcMar>
          </w:tcPr>
          <w:p w14:paraId="46EF73A2" w14:textId="77777777" w:rsidR="00EC31F9" w:rsidRPr="00261B7A" w:rsidRDefault="00EC31F9" w:rsidP="00BE2B02">
            <w:pPr>
              <w:pStyle w:val="TableText"/>
              <w:jc w:val="right"/>
            </w:pPr>
            <w:r w:rsidRPr="00261B7A">
              <w:rPr>
                <w:rFonts w:eastAsia="Calibri"/>
                <w:color w:val="000000"/>
              </w:rPr>
              <w:t>15.7</w:t>
            </w:r>
          </w:p>
        </w:tc>
        <w:tc>
          <w:tcPr>
            <w:tcW w:w="0" w:type="auto"/>
            <w:shd w:val="clear" w:color="auto" w:fill="FFFFFF"/>
            <w:tcMar>
              <w:top w:w="0" w:type="dxa"/>
              <w:left w:w="108" w:type="dxa"/>
              <w:bottom w:w="0" w:type="dxa"/>
              <w:right w:w="108" w:type="dxa"/>
            </w:tcMar>
          </w:tcPr>
          <w:p w14:paraId="6B33EA03" w14:textId="77777777" w:rsidR="00EC31F9" w:rsidRPr="00261B7A" w:rsidRDefault="00EC31F9" w:rsidP="00BE2B02">
            <w:pPr>
              <w:pStyle w:val="TableText"/>
              <w:jc w:val="right"/>
            </w:pPr>
            <w:r w:rsidRPr="00261B7A">
              <w:rPr>
                <w:rFonts w:eastAsia="Calibri"/>
                <w:color w:val="000000"/>
              </w:rPr>
              <w:t>–4.2</w:t>
            </w:r>
          </w:p>
        </w:tc>
        <w:tc>
          <w:tcPr>
            <w:tcW w:w="0" w:type="auto"/>
            <w:shd w:val="clear" w:color="auto" w:fill="FFFFFF"/>
            <w:tcMar>
              <w:top w:w="0" w:type="dxa"/>
              <w:left w:w="108" w:type="dxa"/>
              <w:bottom w:w="0" w:type="dxa"/>
              <w:right w:w="108" w:type="dxa"/>
            </w:tcMar>
          </w:tcPr>
          <w:p w14:paraId="41A55EF7" w14:textId="77777777" w:rsidR="00EC31F9" w:rsidRPr="00261B7A" w:rsidRDefault="00EC31F9" w:rsidP="00BE2B02">
            <w:pPr>
              <w:pStyle w:val="TableText"/>
              <w:jc w:val="right"/>
            </w:pPr>
            <w:r w:rsidRPr="00261B7A">
              <w:rPr>
                <w:rFonts w:eastAsia="Calibri"/>
                <w:color w:val="000000"/>
              </w:rPr>
              <w:t>–21.2</w:t>
            </w:r>
          </w:p>
        </w:tc>
      </w:tr>
      <w:tr w:rsidR="00EC31F9" w:rsidRPr="00261B7A" w14:paraId="08496D6F" w14:textId="77777777" w:rsidTr="000F09B5">
        <w:tc>
          <w:tcPr>
            <w:tcW w:w="0" w:type="auto"/>
            <w:shd w:val="clear" w:color="auto" w:fill="FFFFFF"/>
            <w:tcMar>
              <w:top w:w="0" w:type="dxa"/>
              <w:left w:w="108" w:type="dxa"/>
              <w:bottom w:w="0" w:type="dxa"/>
              <w:right w:w="108" w:type="dxa"/>
            </w:tcMar>
          </w:tcPr>
          <w:p w14:paraId="2456A037" w14:textId="77777777" w:rsidR="00EC31F9" w:rsidRPr="00261B7A" w:rsidRDefault="00EC31F9" w:rsidP="00BE2B02">
            <w:pPr>
              <w:pStyle w:val="Tableboldblue"/>
            </w:pPr>
            <w:r w:rsidRPr="00261B7A">
              <w:rPr>
                <w:rFonts w:eastAsia="Calibri"/>
              </w:rPr>
              <w:t>Gross, all gases</w:t>
            </w:r>
          </w:p>
        </w:tc>
        <w:tc>
          <w:tcPr>
            <w:tcW w:w="0" w:type="auto"/>
            <w:shd w:val="clear" w:color="auto" w:fill="FFFFFF"/>
            <w:tcMar>
              <w:top w:w="0" w:type="dxa"/>
              <w:left w:w="108" w:type="dxa"/>
              <w:bottom w:w="0" w:type="dxa"/>
              <w:right w:w="108" w:type="dxa"/>
            </w:tcMar>
          </w:tcPr>
          <w:p w14:paraId="2A4D2B89" w14:textId="77777777" w:rsidR="00EC31F9" w:rsidRPr="00261B7A" w:rsidRDefault="00EC31F9" w:rsidP="00BE2B02">
            <w:pPr>
              <w:pStyle w:val="Tableboldblue"/>
              <w:jc w:val="right"/>
            </w:pPr>
            <w:r w:rsidRPr="00261B7A">
              <w:rPr>
                <w:rFonts w:eastAsia="Calibri"/>
                <w:color w:val="1B556B"/>
              </w:rPr>
              <w:t>64,720.1</w:t>
            </w:r>
          </w:p>
        </w:tc>
        <w:tc>
          <w:tcPr>
            <w:tcW w:w="0" w:type="auto"/>
            <w:shd w:val="clear" w:color="auto" w:fill="FFFFFF"/>
            <w:tcMar>
              <w:top w:w="0" w:type="dxa"/>
              <w:left w:w="108" w:type="dxa"/>
              <w:bottom w:w="0" w:type="dxa"/>
              <w:right w:w="108" w:type="dxa"/>
            </w:tcMar>
          </w:tcPr>
          <w:p w14:paraId="6D8BE88E" w14:textId="77777777" w:rsidR="00EC31F9" w:rsidRPr="00261B7A" w:rsidRDefault="00EC31F9" w:rsidP="00BE2B02">
            <w:pPr>
              <w:pStyle w:val="Tableboldblue"/>
              <w:jc w:val="right"/>
            </w:pPr>
            <w:r w:rsidRPr="00261B7A">
              <w:rPr>
                <w:rFonts w:eastAsia="Calibri"/>
                <w:color w:val="1B556B"/>
              </w:rPr>
              <w:t>76,824.6</w:t>
            </w:r>
          </w:p>
        </w:tc>
        <w:tc>
          <w:tcPr>
            <w:tcW w:w="0" w:type="auto"/>
            <w:shd w:val="clear" w:color="auto" w:fill="FFFFFF"/>
            <w:tcMar>
              <w:top w:w="0" w:type="dxa"/>
              <w:left w:w="108" w:type="dxa"/>
              <w:bottom w:w="0" w:type="dxa"/>
              <w:right w:w="108" w:type="dxa"/>
            </w:tcMar>
          </w:tcPr>
          <w:p w14:paraId="2B657BDC" w14:textId="77777777" w:rsidR="00EC31F9" w:rsidRPr="00261B7A" w:rsidRDefault="00EC31F9" w:rsidP="00BE2B02">
            <w:pPr>
              <w:pStyle w:val="Tableboldblue"/>
              <w:jc w:val="right"/>
            </w:pPr>
            <w:r w:rsidRPr="00261B7A">
              <w:rPr>
                <w:rFonts w:eastAsia="Calibri"/>
                <w:color w:val="1B556B"/>
              </w:rPr>
              <w:t>12,104.5</w:t>
            </w:r>
          </w:p>
        </w:tc>
        <w:tc>
          <w:tcPr>
            <w:tcW w:w="0" w:type="auto"/>
            <w:shd w:val="clear" w:color="auto" w:fill="FFFFFF"/>
            <w:tcMar>
              <w:top w:w="0" w:type="dxa"/>
              <w:left w:w="108" w:type="dxa"/>
              <w:bottom w:w="0" w:type="dxa"/>
              <w:right w:w="108" w:type="dxa"/>
            </w:tcMar>
          </w:tcPr>
          <w:p w14:paraId="6F4D6C87" w14:textId="77777777" w:rsidR="00EC31F9" w:rsidRPr="00261B7A" w:rsidRDefault="00EC31F9" w:rsidP="00BE2B02">
            <w:pPr>
              <w:pStyle w:val="Tableboldblue"/>
              <w:jc w:val="right"/>
            </w:pPr>
            <w:r w:rsidRPr="00261B7A">
              <w:rPr>
                <w:rFonts w:eastAsia="Calibri"/>
                <w:color w:val="1B556B"/>
              </w:rPr>
              <w:t>18.7</w:t>
            </w:r>
          </w:p>
        </w:tc>
      </w:tr>
    </w:tbl>
    <w:p w14:paraId="03F7EE81" w14:textId="77777777" w:rsidR="00EC31F9" w:rsidRPr="00261B7A" w:rsidRDefault="00EC31F9" w:rsidP="00EC31F9">
      <w:pPr>
        <w:pStyle w:val="Noteundertable"/>
      </w:pPr>
      <w:r w:rsidRPr="00261B7A">
        <w:rPr>
          <w:b/>
          <w:bCs/>
        </w:rPr>
        <w:t>Note:</w:t>
      </w:r>
      <w:r w:rsidRPr="00261B7A">
        <w:t xml:space="preserve"> </w:t>
      </w:r>
      <w:r w:rsidRPr="00261B7A">
        <w:tab/>
        <w:t>Gross emissions exclude net removal/s from the LULUCF sector. The percentage change for HFCs is not applicable (NA) because no emissions of HFCs occurred in 1990. Columns may not total due to rounding. Percentages presented are calculated from unrounded values.</w:t>
      </w:r>
    </w:p>
    <w:p w14:paraId="598580A9" w14:textId="77777777" w:rsidR="00EC31F9" w:rsidRPr="00261B7A" w:rsidRDefault="00EC31F9" w:rsidP="00EC31F9">
      <w:pPr>
        <w:pStyle w:val="BodyText"/>
        <w:rPr>
          <w:rFonts w:eastAsiaTheme="minorHAnsi"/>
        </w:rPr>
      </w:pPr>
      <w:r w:rsidRPr="00261B7A">
        <w:t>Figure ES 3.1 presents for each gas the absolute change in gross emissions (LULUCF is excluded from the estimate of gross emissions), and the change between 1990 and 2021 estimates in kt CO</w:t>
      </w:r>
      <w:r w:rsidRPr="00261B7A">
        <w:rPr>
          <w:vertAlign w:val="subscript"/>
        </w:rPr>
        <w:t>2</w:t>
      </w:r>
      <w:r w:rsidRPr="00261B7A">
        <w:t>-e.</w:t>
      </w:r>
    </w:p>
    <w:p w14:paraId="71A5BD44" w14:textId="77777777" w:rsidR="00EC31F9" w:rsidRPr="00261B7A" w:rsidRDefault="00EC31F9" w:rsidP="00EC31F9">
      <w:pPr>
        <w:pStyle w:val="Figure"/>
        <w:spacing w:after="80"/>
      </w:pPr>
      <w:bookmarkStart w:id="23" w:name="_Toc131591516"/>
      <w:r w:rsidRPr="00261B7A">
        <w:rPr>
          <w:bCs/>
        </w:rPr>
        <w:lastRenderedPageBreak/>
        <w:t>Figure ES 3.1</w:t>
      </w:r>
      <w:r w:rsidRPr="00261B7A">
        <w:tab/>
        <w:t xml:space="preserve">New Zealand’s gross emissions by gas in </w:t>
      </w:r>
      <w:r w:rsidRPr="00261B7A">
        <w:rPr>
          <w:bCs/>
        </w:rPr>
        <w:t>1990</w:t>
      </w:r>
      <w:r w:rsidRPr="00261B7A">
        <w:t xml:space="preserve"> and </w:t>
      </w:r>
      <w:r w:rsidRPr="00261B7A">
        <w:rPr>
          <w:bCs/>
        </w:rPr>
        <w:t>2021</w:t>
      </w:r>
      <w:bookmarkEnd w:id="23"/>
    </w:p>
    <w:p w14:paraId="7E5ACCCA" w14:textId="77777777" w:rsidR="00EC31F9" w:rsidRPr="00261B7A" w:rsidRDefault="00EC31F9" w:rsidP="00EC31F9">
      <w:pPr>
        <w:pStyle w:val="BodyText"/>
        <w:jc w:val="center"/>
      </w:pPr>
      <w:r w:rsidRPr="00261B7A">
        <w:rPr>
          <w:noProof/>
        </w:rPr>
        <w:drawing>
          <wp:inline distT="0" distB="0" distL="0" distR="0" wp14:anchorId="48519A2F" wp14:editId="219D250C">
            <wp:extent cx="5125315" cy="3611301"/>
            <wp:effectExtent l="0" t="0" r="0" b="8255"/>
            <wp:docPr id="1331020912" name="Picture 133102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b="2252"/>
                    <a:stretch/>
                  </pic:blipFill>
                  <pic:spPr bwMode="auto">
                    <a:xfrm>
                      <a:off x="0" y="0"/>
                      <a:ext cx="5157930" cy="3634282"/>
                    </a:xfrm>
                    <a:prstGeom prst="rect">
                      <a:avLst/>
                    </a:prstGeom>
                    <a:ln>
                      <a:noFill/>
                    </a:ln>
                    <a:extLst>
                      <a:ext uri="{53640926-AAD7-44D8-BBD7-CCE9431645EC}">
                        <a14:shadowObscured xmlns:a14="http://schemas.microsoft.com/office/drawing/2010/main"/>
                      </a:ext>
                    </a:extLst>
                  </pic:spPr>
                </pic:pic>
              </a:graphicData>
            </a:graphic>
          </wp:inline>
        </w:drawing>
      </w:r>
    </w:p>
    <w:p w14:paraId="7C6F6195" w14:textId="77777777" w:rsidR="00EC31F9" w:rsidRPr="00261B7A" w:rsidRDefault="00EC31F9" w:rsidP="00EC31F9">
      <w:pPr>
        <w:pStyle w:val="BodyText"/>
      </w:pPr>
      <w:r w:rsidRPr="00261B7A">
        <w:t>In 1990, CH</w:t>
      </w:r>
      <w:r w:rsidRPr="00261B7A">
        <w:rPr>
          <w:vertAlign w:val="subscript"/>
        </w:rPr>
        <w:t>4</w:t>
      </w:r>
      <w:r w:rsidRPr="00261B7A">
        <w:t xml:space="preserve"> made up the largest proportion of gross emissions, whereas in 2021, CO</w:t>
      </w:r>
      <w:r w:rsidRPr="00261B7A">
        <w:rPr>
          <w:vertAlign w:val="subscript"/>
        </w:rPr>
        <w:t>2</w:t>
      </w:r>
      <w:r w:rsidRPr="00261B7A">
        <w:t xml:space="preserve"> contributed the largest proportion of gross emissions (see figure ES 3.1). While emissions of CH</w:t>
      </w:r>
      <w:r w:rsidRPr="00261B7A">
        <w:rPr>
          <w:vertAlign w:val="subscript"/>
        </w:rPr>
        <w:t>4</w:t>
      </w:r>
      <w:r w:rsidRPr="00261B7A">
        <w:t xml:space="preserve"> have also increased over this time, the proportion of CH</w:t>
      </w:r>
      <w:r w:rsidRPr="00261B7A">
        <w:rPr>
          <w:vertAlign w:val="subscript"/>
        </w:rPr>
        <w:t>4</w:t>
      </w:r>
      <w:r w:rsidRPr="00261B7A">
        <w:t xml:space="preserve"> relative to other gases in the inventory has decreased over the time series. Carbon dioxide emissions have increased by a greater amount over the period.</w:t>
      </w:r>
    </w:p>
    <w:p w14:paraId="57FF893D" w14:textId="77777777" w:rsidR="00EC31F9" w:rsidRPr="00261B7A" w:rsidRDefault="00EC31F9" w:rsidP="00EC31F9">
      <w:pPr>
        <w:pStyle w:val="BodyText"/>
      </w:pPr>
      <w:r w:rsidRPr="00261B7A">
        <w:t>This trend reflects the increase in CO</w:t>
      </w:r>
      <w:r w:rsidRPr="00261B7A">
        <w:rPr>
          <w:vertAlign w:val="subscript"/>
        </w:rPr>
        <w:t>2</w:t>
      </w:r>
      <w:r w:rsidRPr="00261B7A">
        <w:t xml:space="preserve"> emissions from the Energy sector as the biggest contributor of CO</w:t>
      </w:r>
      <w:r w:rsidRPr="00261B7A">
        <w:rPr>
          <w:vertAlign w:val="subscript"/>
        </w:rPr>
        <w:t>2</w:t>
      </w:r>
      <w:r w:rsidRPr="00261B7A">
        <w:t xml:space="preserve"> to New Zealand’s gross emissions (ranging between 87.0 per cent and 89.0 per cent of gross CO</w:t>
      </w:r>
      <w:r w:rsidRPr="00261B7A">
        <w:rPr>
          <w:vertAlign w:val="subscript"/>
        </w:rPr>
        <w:t>2</w:t>
      </w:r>
      <w:r w:rsidRPr="00261B7A">
        <w:t xml:space="preserve"> emissions across the entire time series).</w:t>
      </w:r>
    </w:p>
    <w:p w14:paraId="0140C999" w14:textId="77777777" w:rsidR="00EC31F9" w:rsidRPr="00261B7A" w:rsidRDefault="00EC31F9" w:rsidP="00EC31F9">
      <w:pPr>
        <w:pStyle w:val="BodyText"/>
      </w:pPr>
      <w:r w:rsidRPr="00261B7A">
        <w:t>In 2021, removals from the LULUCF sector were –21,078.2 kt CO</w:t>
      </w:r>
      <w:r w:rsidRPr="00261B7A">
        <w:rPr>
          <w:vertAlign w:val="subscript"/>
        </w:rPr>
        <w:t>2</w:t>
      </w:r>
      <w:r w:rsidRPr="00261B7A">
        <w:t>-e. This offset 27.4 per cent of New Zealand’s gross emissions.</w:t>
      </w:r>
    </w:p>
    <w:p w14:paraId="2D829D4B" w14:textId="77777777" w:rsidR="00EC31F9" w:rsidRPr="00261B7A" w:rsidRDefault="00EC31F9" w:rsidP="00EC31F9">
      <w:pPr>
        <w:pStyle w:val="BodyText"/>
      </w:pPr>
      <w:r w:rsidRPr="00261B7A">
        <w:t>Between 1990 and 2021, the amount of CO</w:t>
      </w:r>
      <w:r w:rsidRPr="00261B7A">
        <w:rPr>
          <w:vertAlign w:val="subscript"/>
        </w:rPr>
        <w:t>2</w:t>
      </w:r>
      <w:r w:rsidRPr="00261B7A">
        <w:t>-e removed from the atmosphere by the LULUCF sector increased by 4.5 per cent (906.9 kt CO</w:t>
      </w:r>
      <w:r w:rsidRPr="00261B7A">
        <w:rPr>
          <w:vertAlign w:val="subscript"/>
        </w:rPr>
        <w:t>2</w:t>
      </w:r>
      <w:r w:rsidRPr="00261B7A">
        <w:t>-e) from the 1990 level of 20,171.2 kt CO</w:t>
      </w:r>
      <w:r w:rsidRPr="00261B7A">
        <w:rPr>
          <w:vertAlign w:val="subscript"/>
        </w:rPr>
        <w:t>2</w:t>
      </w:r>
      <w:r w:rsidRPr="00261B7A">
        <w:t>-e. This is largely due to an increase in the production of harvested wood products, which have compensated for the emissions from the increase in forest harvesting.</w:t>
      </w:r>
    </w:p>
    <w:p w14:paraId="06D90E42" w14:textId="77777777" w:rsidR="00EC31F9" w:rsidRPr="00261B7A" w:rsidRDefault="00EC31F9" w:rsidP="00EC31F9">
      <w:pPr>
        <w:pStyle w:val="Heading4"/>
      </w:pPr>
      <w:bookmarkStart w:id="24" w:name="indirect-gases"/>
      <w:r w:rsidRPr="00261B7A">
        <w:t>Indirect gases</w:t>
      </w:r>
    </w:p>
    <w:p w14:paraId="5004A7F2" w14:textId="77777777" w:rsidR="00EC31F9" w:rsidRPr="00261B7A" w:rsidRDefault="00EC31F9" w:rsidP="00EC31F9">
      <w:pPr>
        <w:pStyle w:val="BodyText"/>
      </w:pPr>
      <w:r w:rsidRPr="00261B7A">
        <w:rPr>
          <w:spacing w:val="-2"/>
        </w:rPr>
        <w:t>Indirect GHGs are included in inventory reporting but are not counted in emissions totals. These indirect gases are: carbon monoxide (CO), sulphur dioxide (SO</w:t>
      </w:r>
      <w:r w:rsidRPr="00261B7A">
        <w:rPr>
          <w:spacing w:val="-2"/>
          <w:vertAlign w:val="subscript"/>
        </w:rPr>
        <w:t>2</w:t>
      </w:r>
      <w:r w:rsidRPr="00261B7A">
        <w:rPr>
          <w:spacing w:val="-2"/>
        </w:rPr>
        <w:t>), oxides of nitrogen (NO</w:t>
      </w:r>
      <w:r w:rsidRPr="00261B7A">
        <w:rPr>
          <w:spacing w:val="-2"/>
          <w:vertAlign w:val="subscript"/>
        </w:rPr>
        <w:t>X</w:t>
      </w:r>
      <w:r w:rsidRPr="00261B7A">
        <w:rPr>
          <w:spacing w:val="-2"/>
        </w:rPr>
        <w:t>)</w:t>
      </w:r>
      <w:r w:rsidRPr="00261B7A">
        <w:t xml:space="preserve"> and non-methane volatile organic compounds (NMVOCs). Table ES 3.2 summarises New Zealand’s indirect GHG emissions in 1990 and 2021 as well as the change between these years.</w:t>
      </w:r>
    </w:p>
    <w:p w14:paraId="5DABC651" w14:textId="0FD186A2" w:rsidR="00EC31F9" w:rsidRPr="00261B7A" w:rsidRDefault="00EC31F9" w:rsidP="00EC31F9">
      <w:pPr>
        <w:pStyle w:val="Table"/>
      </w:pPr>
      <w:bookmarkStart w:id="25" w:name="_Toc131591307"/>
      <w:r w:rsidRPr="00261B7A">
        <w:rPr>
          <w:bCs/>
        </w:rPr>
        <w:lastRenderedPageBreak/>
        <w:t>Table ES 3.2</w:t>
      </w:r>
      <w:r w:rsidRPr="00261B7A">
        <w:tab/>
        <w:t xml:space="preserve">New Zealand’s indirect greenhouse gas emissions (excluding LULUCF) in </w:t>
      </w:r>
      <w:r w:rsidRPr="00261B7A">
        <w:rPr>
          <w:bCs/>
        </w:rPr>
        <w:t>1990</w:t>
      </w:r>
      <w:r w:rsidR="00504BF3" w:rsidRPr="00261B7A">
        <w:t> </w:t>
      </w:r>
      <w:r w:rsidRPr="00261B7A">
        <w:t>and</w:t>
      </w:r>
      <w:r w:rsidR="00504BF3" w:rsidRPr="00261B7A">
        <w:t> </w:t>
      </w:r>
      <w:r w:rsidRPr="00261B7A">
        <w:rPr>
          <w:bCs/>
        </w:rPr>
        <w:t>2021</w:t>
      </w:r>
      <w:bookmarkEnd w:id="25"/>
      <w:r w:rsidRPr="00261B7A">
        <w:rPr>
          <w:bCs/>
        </w:rPr>
        <w:t xml:space="preserve"> </w:t>
      </w:r>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623"/>
        <w:gridCol w:w="612"/>
        <w:gridCol w:w="612"/>
        <w:gridCol w:w="2877"/>
        <w:gridCol w:w="1770"/>
      </w:tblGrid>
      <w:tr w:rsidR="00EC31F9" w:rsidRPr="00261B7A" w14:paraId="010F0F67" w14:textId="77777777" w:rsidTr="000F09B5">
        <w:trPr>
          <w:tblHeader/>
        </w:trPr>
        <w:tc>
          <w:tcPr>
            <w:tcW w:w="0" w:type="auto"/>
            <w:shd w:val="clear" w:color="auto" w:fill="1B556B"/>
            <w:tcMar>
              <w:top w:w="0" w:type="dxa"/>
              <w:left w:w="108" w:type="dxa"/>
              <w:bottom w:w="0" w:type="dxa"/>
              <w:right w:w="108" w:type="dxa"/>
            </w:tcMar>
          </w:tcPr>
          <w:p w14:paraId="21E3FA07" w14:textId="77777777" w:rsidR="00EC31F9" w:rsidRPr="00261B7A" w:rsidRDefault="00EC31F9" w:rsidP="00BE2B02">
            <w:pPr>
              <w:pStyle w:val="TableText"/>
              <w:keepNext/>
              <w:spacing w:before="50" w:after="50"/>
              <w:rPr>
                <w:b/>
                <w:bCs/>
                <w:color w:val="FFFFFF" w:themeColor="background1"/>
              </w:rPr>
            </w:pPr>
            <w:r w:rsidRPr="00261B7A">
              <w:rPr>
                <w:rFonts w:eastAsia="Calibri"/>
                <w:b/>
                <w:bCs/>
                <w:color w:val="FFFFFF" w:themeColor="background1"/>
              </w:rPr>
              <w:t>Indirect greenhouse gas emissions</w:t>
            </w:r>
          </w:p>
        </w:tc>
        <w:tc>
          <w:tcPr>
            <w:tcW w:w="0" w:type="auto"/>
            <w:shd w:val="clear" w:color="auto" w:fill="1B556B"/>
            <w:tcMar>
              <w:top w:w="0" w:type="dxa"/>
              <w:left w:w="108" w:type="dxa"/>
              <w:bottom w:w="0" w:type="dxa"/>
              <w:right w:w="108" w:type="dxa"/>
            </w:tcMar>
          </w:tcPr>
          <w:p w14:paraId="41FBA7E6" w14:textId="77777777" w:rsidR="00EC31F9" w:rsidRPr="00261B7A" w:rsidRDefault="00EC31F9" w:rsidP="00BE2B02">
            <w:pPr>
              <w:pStyle w:val="TableText"/>
              <w:keepNext/>
              <w:spacing w:before="50" w:after="50"/>
              <w:rPr>
                <w:b/>
                <w:bCs/>
                <w:color w:val="FFFFFF" w:themeColor="background1"/>
              </w:rPr>
            </w:pPr>
            <w:r w:rsidRPr="00261B7A">
              <w:rPr>
                <w:rFonts w:eastAsia="Calibri"/>
                <w:b/>
                <w:bCs/>
                <w:color w:val="FFFFFF" w:themeColor="background1"/>
              </w:rPr>
              <w:t>1990</w:t>
            </w:r>
          </w:p>
        </w:tc>
        <w:tc>
          <w:tcPr>
            <w:tcW w:w="0" w:type="auto"/>
            <w:shd w:val="clear" w:color="auto" w:fill="1B556B"/>
            <w:tcMar>
              <w:top w:w="0" w:type="dxa"/>
              <w:left w:w="108" w:type="dxa"/>
              <w:bottom w:w="0" w:type="dxa"/>
              <w:right w:w="108" w:type="dxa"/>
            </w:tcMar>
          </w:tcPr>
          <w:p w14:paraId="6E64F5B9" w14:textId="77777777" w:rsidR="00EC31F9" w:rsidRPr="00261B7A" w:rsidRDefault="00EC31F9" w:rsidP="00BE2B02">
            <w:pPr>
              <w:pStyle w:val="TableText"/>
              <w:keepNext/>
              <w:spacing w:before="50" w:after="50"/>
              <w:rPr>
                <w:b/>
                <w:bCs/>
                <w:color w:val="FFFFFF" w:themeColor="background1"/>
              </w:rPr>
            </w:pPr>
            <w:r w:rsidRPr="00261B7A">
              <w:rPr>
                <w:rFonts w:eastAsia="Calibri"/>
                <w:b/>
                <w:bCs/>
                <w:color w:val="FFFFFF" w:themeColor="background1"/>
              </w:rPr>
              <w:t>2021</w:t>
            </w:r>
          </w:p>
        </w:tc>
        <w:tc>
          <w:tcPr>
            <w:tcW w:w="0" w:type="auto"/>
            <w:shd w:val="clear" w:color="auto" w:fill="1B556B"/>
            <w:tcMar>
              <w:top w:w="0" w:type="dxa"/>
              <w:left w:w="108" w:type="dxa"/>
              <w:bottom w:w="0" w:type="dxa"/>
              <w:right w:w="108" w:type="dxa"/>
            </w:tcMar>
          </w:tcPr>
          <w:p w14:paraId="3233ABE0" w14:textId="77777777" w:rsidR="00EC31F9" w:rsidRPr="00261B7A" w:rsidRDefault="00EC31F9" w:rsidP="00BE2B02">
            <w:pPr>
              <w:pStyle w:val="TableText"/>
              <w:keepNext/>
              <w:spacing w:before="50" w:after="50"/>
              <w:rPr>
                <w:b/>
                <w:bCs/>
                <w:color w:val="FFFFFF" w:themeColor="background1"/>
              </w:rPr>
            </w:pPr>
            <w:r w:rsidRPr="00261B7A">
              <w:rPr>
                <w:rFonts w:eastAsia="Calibri"/>
                <w:b/>
                <w:bCs/>
                <w:color w:val="FFFFFF" w:themeColor="background1"/>
              </w:rPr>
              <w:t>Change from 1990 (kt CO</w:t>
            </w:r>
            <w:r w:rsidRPr="00261B7A">
              <w:rPr>
                <w:rFonts w:eastAsia="Calibri"/>
                <w:b/>
                <w:bCs/>
                <w:color w:val="FFFFFF" w:themeColor="background1"/>
                <w:vertAlign w:val="subscript"/>
              </w:rPr>
              <w:t>2</w:t>
            </w:r>
            <w:r w:rsidRPr="00261B7A">
              <w:rPr>
                <w:rFonts w:eastAsia="Calibri"/>
                <w:b/>
                <w:bCs/>
                <w:color w:val="FFFFFF" w:themeColor="background1"/>
              </w:rPr>
              <w:t>-equivalent)</w:t>
            </w:r>
          </w:p>
        </w:tc>
        <w:tc>
          <w:tcPr>
            <w:tcW w:w="0" w:type="auto"/>
            <w:shd w:val="clear" w:color="auto" w:fill="1B556B"/>
            <w:tcMar>
              <w:top w:w="0" w:type="dxa"/>
              <w:left w:w="108" w:type="dxa"/>
              <w:bottom w:w="0" w:type="dxa"/>
              <w:right w:w="108" w:type="dxa"/>
            </w:tcMar>
          </w:tcPr>
          <w:p w14:paraId="035578FC" w14:textId="77777777" w:rsidR="00EC31F9" w:rsidRPr="00261B7A" w:rsidRDefault="00EC31F9" w:rsidP="00BE2B02">
            <w:pPr>
              <w:pStyle w:val="TableText"/>
              <w:keepNext/>
              <w:spacing w:before="50" w:after="50"/>
              <w:rPr>
                <w:b/>
                <w:bCs/>
                <w:color w:val="FFFFFF" w:themeColor="background1"/>
              </w:rPr>
            </w:pPr>
            <w:r w:rsidRPr="00261B7A">
              <w:rPr>
                <w:rFonts w:eastAsia="Calibri"/>
                <w:b/>
                <w:bCs/>
                <w:color w:val="FFFFFF" w:themeColor="background1"/>
              </w:rPr>
              <w:t>Change from 1990 (%)</w:t>
            </w:r>
          </w:p>
        </w:tc>
      </w:tr>
      <w:tr w:rsidR="00EC31F9" w:rsidRPr="00261B7A" w14:paraId="78A20FA0" w14:textId="77777777" w:rsidTr="000F09B5">
        <w:tc>
          <w:tcPr>
            <w:tcW w:w="0" w:type="auto"/>
            <w:shd w:val="clear" w:color="auto" w:fill="FFFFFF"/>
            <w:tcMar>
              <w:top w:w="0" w:type="dxa"/>
              <w:left w:w="108" w:type="dxa"/>
              <w:bottom w:w="0" w:type="dxa"/>
              <w:right w:w="108" w:type="dxa"/>
            </w:tcMar>
          </w:tcPr>
          <w:p w14:paraId="39CE8A35" w14:textId="77777777" w:rsidR="00EC31F9" w:rsidRPr="00261B7A" w:rsidRDefault="00EC31F9" w:rsidP="00BE2B02">
            <w:pPr>
              <w:pStyle w:val="TableText"/>
              <w:keepNext/>
              <w:spacing w:before="50" w:after="50"/>
            </w:pPr>
            <w:r w:rsidRPr="00261B7A">
              <w:rPr>
                <w:rFonts w:eastAsia="Calibri"/>
                <w:color w:val="000000"/>
              </w:rPr>
              <w:t>CO</w:t>
            </w:r>
          </w:p>
        </w:tc>
        <w:tc>
          <w:tcPr>
            <w:tcW w:w="0" w:type="auto"/>
            <w:shd w:val="clear" w:color="auto" w:fill="FFFFFF"/>
            <w:tcMar>
              <w:top w:w="0" w:type="dxa"/>
              <w:left w:w="108" w:type="dxa"/>
              <w:bottom w:w="0" w:type="dxa"/>
              <w:right w:w="108" w:type="dxa"/>
            </w:tcMar>
          </w:tcPr>
          <w:p w14:paraId="4398D80A" w14:textId="77777777" w:rsidR="00EC31F9" w:rsidRPr="00261B7A" w:rsidRDefault="00EC31F9" w:rsidP="00BE2B02">
            <w:pPr>
              <w:pStyle w:val="TableText"/>
              <w:keepNext/>
              <w:spacing w:before="50" w:after="50"/>
            </w:pPr>
            <w:r w:rsidRPr="00261B7A">
              <w:rPr>
                <w:rFonts w:eastAsia="Calibri"/>
                <w:color w:val="000000"/>
              </w:rPr>
              <w:t>604.2</w:t>
            </w:r>
          </w:p>
        </w:tc>
        <w:tc>
          <w:tcPr>
            <w:tcW w:w="0" w:type="auto"/>
            <w:shd w:val="clear" w:color="auto" w:fill="FFFFFF"/>
            <w:tcMar>
              <w:top w:w="0" w:type="dxa"/>
              <w:left w:w="108" w:type="dxa"/>
              <w:bottom w:w="0" w:type="dxa"/>
              <w:right w:w="108" w:type="dxa"/>
            </w:tcMar>
          </w:tcPr>
          <w:p w14:paraId="59A4D332" w14:textId="77777777" w:rsidR="00EC31F9" w:rsidRPr="00261B7A" w:rsidRDefault="00EC31F9" w:rsidP="00BE2B02">
            <w:pPr>
              <w:pStyle w:val="TableText"/>
              <w:keepNext/>
              <w:spacing w:before="50" w:after="50"/>
            </w:pPr>
            <w:r w:rsidRPr="00261B7A">
              <w:rPr>
                <w:rFonts w:eastAsia="Calibri"/>
                <w:color w:val="000000"/>
              </w:rPr>
              <w:t>670.3</w:t>
            </w:r>
          </w:p>
        </w:tc>
        <w:tc>
          <w:tcPr>
            <w:tcW w:w="0" w:type="auto"/>
            <w:shd w:val="clear" w:color="auto" w:fill="FFFFFF"/>
            <w:tcMar>
              <w:top w:w="0" w:type="dxa"/>
              <w:left w:w="108" w:type="dxa"/>
              <w:bottom w:w="0" w:type="dxa"/>
              <w:right w:w="108" w:type="dxa"/>
            </w:tcMar>
          </w:tcPr>
          <w:p w14:paraId="2346FDA8" w14:textId="77777777" w:rsidR="00EC31F9" w:rsidRPr="00261B7A" w:rsidRDefault="00EC31F9" w:rsidP="00BE2B02">
            <w:pPr>
              <w:pStyle w:val="TableText"/>
              <w:keepNext/>
              <w:spacing w:before="50" w:after="50"/>
            </w:pPr>
            <w:r w:rsidRPr="00261B7A">
              <w:rPr>
                <w:rFonts w:eastAsia="Calibri"/>
                <w:color w:val="000000"/>
              </w:rPr>
              <w:t>66.1</w:t>
            </w:r>
          </w:p>
        </w:tc>
        <w:tc>
          <w:tcPr>
            <w:tcW w:w="0" w:type="auto"/>
            <w:shd w:val="clear" w:color="auto" w:fill="FFFFFF"/>
            <w:tcMar>
              <w:top w:w="0" w:type="dxa"/>
              <w:left w:w="108" w:type="dxa"/>
              <w:bottom w:w="0" w:type="dxa"/>
              <w:right w:w="108" w:type="dxa"/>
            </w:tcMar>
          </w:tcPr>
          <w:p w14:paraId="757DDD5C" w14:textId="77777777" w:rsidR="00EC31F9" w:rsidRPr="00261B7A" w:rsidRDefault="00EC31F9" w:rsidP="00BE2B02">
            <w:pPr>
              <w:pStyle w:val="TableText"/>
              <w:keepNext/>
              <w:spacing w:before="50" w:after="50"/>
            </w:pPr>
            <w:r w:rsidRPr="00261B7A">
              <w:rPr>
                <w:rFonts w:eastAsia="Calibri"/>
                <w:color w:val="000000"/>
              </w:rPr>
              <w:t>10.9</w:t>
            </w:r>
          </w:p>
        </w:tc>
      </w:tr>
      <w:tr w:rsidR="00EC31F9" w:rsidRPr="00261B7A" w14:paraId="5544A80F" w14:textId="77777777" w:rsidTr="000F09B5">
        <w:tc>
          <w:tcPr>
            <w:tcW w:w="0" w:type="auto"/>
            <w:shd w:val="clear" w:color="auto" w:fill="FFFFFF"/>
            <w:tcMar>
              <w:top w:w="0" w:type="dxa"/>
              <w:left w:w="108" w:type="dxa"/>
              <w:bottom w:w="0" w:type="dxa"/>
              <w:right w:w="108" w:type="dxa"/>
            </w:tcMar>
          </w:tcPr>
          <w:p w14:paraId="7C3E5B0B" w14:textId="77777777" w:rsidR="00EC31F9" w:rsidRPr="00261B7A" w:rsidRDefault="00EC31F9" w:rsidP="00BE2B02">
            <w:pPr>
              <w:pStyle w:val="TableText"/>
              <w:spacing w:before="50" w:after="50"/>
            </w:pPr>
            <w:r w:rsidRPr="00261B7A">
              <w:rPr>
                <w:rFonts w:eastAsia="Calibri"/>
                <w:color w:val="000000"/>
              </w:rPr>
              <w:t>NMVOCs</w:t>
            </w:r>
          </w:p>
        </w:tc>
        <w:tc>
          <w:tcPr>
            <w:tcW w:w="0" w:type="auto"/>
            <w:shd w:val="clear" w:color="auto" w:fill="FFFFFF"/>
            <w:tcMar>
              <w:top w:w="0" w:type="dxa"/>
              <w:left w:w="108" w:type="dxa"/>
              <w:bottom w:w="0" w:type="dxa"/>
              <w:right w:w="108" w:type="dxa"/>
            </w:tcMar>
          </w:tcPr>
          <w:p w14:paraId="7F37A0D0" w14:textId="77777777" w:rsidR="00EC31F9" w:rsidRPr="00261B7A" w:rsidRDefault="00EC31F9" w:rsidP="00BE2B02">
            <w:pPr>
              <w:pStyle w:val="TableText"/>
              <w:spacing w:before="50" w:after="50"/>
            </w:pPr>
            <w:r w:rsidRPr="00261B7A">
              <w:rPr>
                <w:rFonts w:eastAsia="Calibri"/>
                <w:color w:val="000000"/>
              </w:rPr>
              <w:t>143.7</w:t>
            </w:r>
          </w:p>
        </w:tc>
        <w:tc>
          <w:tcPr>
            <w:tcW w:w="0" w:type="auto"/>
            <w:shd w:val="clear" w:color="auto" w:fill="FFFFFF"/>
            <w:tcMar>
              <w:top w:w="0" w:type="dxa"/>
              <w:left w:w="108" w:type="dxa"/>
              <w:bottom w:w="0" w:type="dxa"/>
              <w:right w:w="108" w:type="dxa"/>
            </w:tcMar>
          </w:tcPr>
          <w:p w14:paraId="14215A74" w14:textId="77777777" w:rsidR="00EC31F9" w:rsidRPr="00261B7A" w:rsidRDefault="00EC31F9" w:rsidP="00BE2B02">
            <w:pPr>
              <w:pStyle w:val="TableText"/>
              <w:spacing w:before="50" w:after="50"/>
            </w:pPr>
            <w:r w:rsidRPr="00261B7A">
              <w:rPr>
                <w:rFonts w:eastAsia="Calibri"/>
                <w:color w:val="000000"/>
              </w:rPr>
              <w:t>178.8</w:t>
            </w:r>
          </w:p>
        </w:tc>
        <w:tc>
          <w:tcPr>
            <w:tcW w:w="0" w:type="auto"/>
            <w:shd w:val="clear" w:color="auto" w:fill="FFFFFF"/>
            <w:tcMar>
              <w:top w:w="0" w:type="dxa"/>
              <w:left w:w="108" w:type="dxa"/>
              <w:bottom w:w="0" w:type="dxa"/>
              <w:right w:w="108" w:type="dxa"/>
            </w:tcMar>
          </w:tcPr>
          <w:p w14:paraId="5E97D69A" w14:textId="77777777" w:rsidR="00EC31F9" w:rsidRPr="00261B7A" w:rsidRDefault="00EC31F9" w:rsidP="00BE2B02">
            <w:pPr>
              <w:pStyle w:val="TableText"/>
              <w:spacing w:before="50" w:after="50"/>
            </w:pPr>
            <w:r w:rsidRPr="00261B7A">
              <w:rPr>
                <w:rFonts w:eastAsia="Calibri"/>
                <w:color w:val="000000"/>
              </w:rPr>
              <w:t>35.1</w:t>
            </w:r>
          </w:p>
        </w:tc>
        <w:tc>
          <w:tcPr>
            <w:tcW w:w="0" w:type="auto"/>
            <w:shd w:val="clear" w:color="auto" w:fill="FFFFFF"/>
            <w:tcMar>
              <w:top w:w="0" w:type="dxa"/>
              <w:left w:w="108" w:type="dxa"/>
              <w:bottom w:w="0" w:type="dxa"/>
              <w:right w:w="108" w:type="dxa"/>
            </w:tcMar>
          </w:tcPr>
          <w:p w14:paraId="0210B036" w14:textId="77777777" w:rsidR="00EC31F9" w:rsidRPr="00261B7A" w:rsidRDefault="00EC31F9" w:rsidP="00BE2B02">
            <w:pPr>
              <w:pStyle w:val="TableText"/>
              <w:spacing w:before="50" w:after="50"/>
            </w:pPr>
            <w:r w:rsidRPr="00261B7A">
              <w:rPr>
                <w:rFonts w:eastAsia="Calibri"/>
                <w:color w:val="000000"/>
              </w:rPr>
              <w:t>24.4</w:t>
            </w:r>
          </w:p>
        </w:tc>
      </w:tr>
      <w:tr w:rsidR="00EC31F9" w:rsidRPr="00261B7A" w14:paraId="7F506CA3" w14:textId="77777777" w:rsidTr="000F09B5">
        <w:tc>
          <w:tcPr>
            <w:tcW w:w="0" w:type="auto"/>
            <w:shd w:val="clear" w:color="auto" w:fill="FFFFFF"/>
            <w:tcMar>
              <w:top w:w="0" w:type="dxa"/>
              <w:left w:w="108" w:type="dxa"/>
              <w:bottom w:w="0" w:type="dxa"/>
              <w:right w:w="108" w:type="dxa"/>
            </w:tcMar>
          </w:tcPr>
          <w:p w14:paraId="45F03A3E" w14:textId="77777777" w:rsidR="00EC31F9" w:rsidRPr="00261B7A" w:rsidRDefault="00EC31F9" w:rsidP="00BE2B02">
            <w:pPr>
              <w:pStyle w:val="TableText"/>
              <w:spacing w:before="50" w:after="50"/>
            </w:pPr>
            <w:r w:rsidRPr="00261B7A">
              <w:rPr>
                <w:rFonts w:eastAsia="Calibri"/>
                <w:color w:val="000000"/>
              </w:rPr>
              <w:t>NO</w:t>
            </w:r>
            <w:r w:rsidRPr="00261B7A">
              <w:rPr>
                <w:rFonts w:eastAsia="Calibri"/>
                <w:color w:val="000000"/>
                <w:vertAlign w:val="subscript"/>
              </w:rPr>
              <w:t>X</w:t>
            </w:r>
          </w:p>
        </w:tc>
        <w:tc>
          <w:tcPr>
            <w:tcW w:w="0" w:type="auto"/>
            <w:shd w:val="clear" w:color="auto" w:fill="FFFFFF"/>
            <w:tcMar>
              <w:top w:w="0" w:type="dxa"/>
              <w:left w:w="108" w:type="dxa"/>
              <w:bottom w:w="0" w:type="dxa"/>
              <w:right w:w="108" w:type="dxa"/>
            </w:tcMar>
          </w:tcPr>
          <w:p w14:paraId="2BF7317E" w14:textId="77777777" w:rsidR="00EC31F9" w:rsidRPr="00261B7A" w:rsidRDefault="00EC31F9" w:rsidP="00BE2B02">
            <w:pPr>
              <w:pStyle w:val="TableText"/>
              <w:spacing w:before="50" w:after="50"/>
            </w:pPr>
            <w:r w:rsidRPr="00261B7A">
              <w:rPr>
                <w:rFonts w:eastAsia="Calibri"/>
                <w:color w:val="000000"/>
              </w:rPr>
              <w:t>102.0</w:t>
            </w:r>
          </w:p>
        </w:tc>
        <w:tc>
          <w:tcPr>
            <w:tcW w:w="0" w:type="auto"/>
            <w:shd w:val="clear" w:color="auto" w:fill="FFFFFF"/>
            <w:tcMar>
              <w:top w:w="0" w:type="dxa"/>
              <w:left w:w="108" w:type="dxa"/>
              <w:bottom w:w="0" w:type="dxa"/>
              <w:right w:w="108" w:type="dxa"/>
            </w:tcMar>
          </w:tcPr>
          <w:p w14:paraId="453287DD" w14:textId="77777777" w:rsidR="00EC31F9" w:rsidRPr="00261B7A" w:rsidRDefault="00EC31F9" w:rsidP="00BE2B02">
            <w:pPr>
              <w:pStyle w:val="TableText"/>
              <w:spacing w:before="50" w:after="50"/>
            </w:pPr>
            <w:r w:rsidRPr="00261B7A">
              <w:rPr>
                <w:rFonts w:eastAsia="Calibri"/>
                <w:color w:val="000000"/>
              </w:rPr>
              <w:t>164.1</w:t>
            </w:r>
          </w:p>
        </w:tc>
        <w:tc>
          <w:tcPr>
            <w:tcW w:w="0" w:type="auto"/>
            <w:shd w:val="clear" w:color="auto" w:fill="FFFFFF"/>
            <w:tcMar>
              <w:top w:w="0" w:type="dxa"/>
              <w:left w:w="108" w:type="dxa"/>
              <w:bottom w:w="0" w:type="dxa"/>
              <w:right w:w="108" w:type="dxa"/>
            </w:tcMar>
          </w:tcPr>
          <w:p w14:paraId="3E930200" w14:textId="77777777" w:rsidR="00EC31F9" w:rsidRPr="00261B7A" w:rsidRDefault="00EC31F9" w:rsidP="00BE2B02">
            <w:pPr>
              <w:pStyle w:val="TableText"/>
              <w:spacing w:before="50" w:after="50"/>
            </w:pPr>
            <w:r w:rsidRPr="00261B7A">
              <w:rPr>
                <w:rFonts w:eastAsia="Calibri"/>
                <w:color w:val="000000"/>
              </w:rPr>
              <w:t>62.1</w:t>
            </w:r>
          </w:p>
        </w:tc>
        <w:tc>
          <w:tcPr>
            <w:tcW w:w="0" w:type="auto"/>
            <w:shd w:val="clear" w:color="auto" w:fill="FFFFFF"/>
            <w:tcMar>
              <w:top w:w="0" w:type="dxa"/>
              <w:left w:w="108" w:type="dxa"/>
              <w:bottom w:w="0" w:type="dxa"/>
              <w:right w:w="108" w:type="dxa"/>
            </w:tcMar>
          </w:tcPr>
          <w:p w14:paraId="28C0963D" w14:textId="77777777" w:rsidR="00EC31F9" w:rsidRPr="00261B7A" w:rsidRDefault="00EC31F9" w:rsidP="00BE2B02">
            <w:pPr>
              <w:pStyle w:val="TableText"/>
              <w:spacing w:before="50" w:after="50"/>
            </w:pPr>
            <w:r w:rsidRPr="00261B7A">
              <w:rPr>
                <w:rFonts w:eastAsia="Calibri"/>
                <w:color w:val="000000"/>
              </w:rPr>
              <w:t>60.9</w:t>
            </w:r>
          </w:p>
        </w:tc>
      </w:tr>
      <w:tr w:rsidR="00EC31F9" w:rsidRPr="00261B7A" w14:paraId="62721BF3" w14:textId="77777777" w:rsidTr="000F09B5">
        <w:tc>
          <w:tcPr>
            <w:tcW w:w="0" w:type="auto"/>
            <w:shd w:val="clear" w:color="auto" w:fill="FFFFFF"/>
            <w:tcMar>
              <w:top w:w="0" w:type="dxa"/>
              <w:left w:w="108" w:type="dxa"/>
              <w:bottom w:w="0" w:type="dxa"/>
              <w:right w:w="108" w:type="dxa"/>
            </w:tcMar>
          </w:tcPr>
          <w:p w14:paraId="4B64982F" w14:textId="77777777" w:rsidR="00EC31F9" w:rsidRPr="00261B7A" w:rsidRDefault="00EC31F9" w:rsidP="00BE2B02">
            <w:pPr>
              <w:pStyle w:val="TableText"/>
              <w:spacing w:before="50" w:after="50"/>
            </w:pPr>
            <w:r w:rsidRPr="00261B7A">
              <w:rPr>
                <w:rFonts w:eastAsia="Calibri"/>
                <w:color w:val="000000"/>
              </w:rPr>
              <w:t>SO</w:t>
            </w:r>
            <w:r w:rsidRPr="00261B7A">
              <w:rPr>
                <w:rFonts w:eastAsia="Calibri"/>
                <w:color w:val="000000"/>
                <w:vertAlign w:val="subscript"/>
              </w:rPr>
              <w:t>2</w:t>
            </w:r>
          </w:p>
        </w:tc>
        <w:tc>
          <w:tcPr>
            <w:tcW w:w="0" w:type="auto"/>
            <w:shd w:val="clear" w:color="auto" w:fill="FFFFFF"/>
            <w:tcMar>
              <w:top w:w="0" w:type="dxa"/>
              <w:left w:w="108" w:type="dxa"/>
              <w:bottom w:w="0" w:type="dxa"/>
              <w:right w:w="108" w:type="dxa"/>
            </w:tcMar>
          </w:tcPr>
          <w:p w14:paraId="6D2F1D5C" w14:textId="77777777" w:rsidR="00EC31F9" w:rsidRPr="00261B7A" w:rsidRDefault="00EC31F9" w:rsidP="00BE2B02">
            <w:pPr>
              <w:pStyle w:val="TableText"/>
              <w:spacing w:before="50" w:after="50"/>
            </w:pPr>
            <w:r w:rsidRPr="00261B7A">
              <w:rPr>
                <w:rFonts w:eastAsia="Calibri"/>
                <w:color w:val="000000"/>
              </w:rPr>
              <w:t xml:space="preserve"> 58.6</w:t>
            </w:r>
          </w:p>
        </w:tc>
        <w:tc>
          <w:tcPr>
            <w:tcW w:w="0" w:type="auto"/>
            <w:shd w:val="clear" w:color="auto" w:fill="FFFFFF"/>
            <w:tcMar>
              <w:top w:w="0" w:type="dxa"/>
              <w:left w:w="108" w:type="dxa"/>
              <w:bottom w:w="0" w:type="dxa"/>
              <w:right w:w="108" w:type="dxa"/>
            </w:tcMar>
          </w:tcPr>
          <w:p w14:paraId="43864DE7" w14:textId="77777777" w:rsidR="00EC31F9" w:rsidRPr="00261B7A" w:rsidRDefault="00EC31F9" w:rsidP="00BE2B02">
            <w:pPr>
              <w:pStyle w:val="TableText"/>
              <w:spacing w:before="50" w:after="50"/>
            </w:pPr>
            <w:r w:rsidRPr="00261B7A">
              <w:rPr>
                <w:rFonts w:eastAsia="Calibri"/>
                <w:color w:val="000000"/>
              </w:rPr>
              <w:t xml:space="preserve"> 72.1</w:t>
            </w:r>
          </w:p>
        </w:tc>
        <w:tc>
          <w:tcPr>
            <w:tcW w:w="0" w:type="auto"/>
            <w:shd w:val="clear" w:color="auto" w:fill="FFFFFF"/>
            <w:tcMar>
              <w:top w:w="0" w:type="dxa"/>
              <w:left w:w="108" w:type="dxa"/>
              <w:bottom w:w="0" w:type="dxa"/>
              <w:right w:w="108" w:type="dxa"/>
            </w:tcMar>
          </w:tcPr>
          <w:p w14:paraId="12677DF3" w14:textId="77777777" w:rsidR="00EC31F9" w:rsidRPr="00261B7A" w:rsidRDefault="00EC31F9" w:rsidP="00BE2B02">
            <w:pPr>
              <w:pStyle w:val="TableText"/>
              <w:spacing w:before="50" w:after="50"/>
            </w:pPr>
            <w:r w:rsidRPr="00261B7A">
              <w:rPr>
                <w:rFonts w:eastAsia="Calibri"/>
                <w:color w:val="000000"/>
              </w:rPr>
              <w:t>13.5</w:t>
            </w:r>
          </w:p>
        </w:tc>
        <w:tc>
          <w:tcPr>
            <w:tcW w:w="0" w:type="auto"/>
            <w:shd w:val="clear" w:color="auto" w:fill="FFFFFF"/>
            <w:tcMar>
              <w:top w:w="0" w:type="dxa"/>
              <w:left w:w="108" w:type="dxa"/>
              <w:bottom w:w="0" w:type="dxa"/>
              <w:right w:w="108" w:type="dxa"/>
            </w:tcMar>
          </w:tcPr>
          <w:p w14:paraId="27577D64" w14:textId="77777777" w:rsidR="00EC31F9" w:rsidRPr="00261B7A" w:rsidRDefault="00EC31F9" w:rsidP="00BE2B02">
            <w:pPr>
              <w:pStyle w:val="TableText"/>
              <w:spacing w:before="50" w:after="50"/>
            </w:pPr>
            <w:r w:rsidRPr="00261B7A">
              <w:rPr>
                <w:rFonts w:eastAsia="Calibri"/>
                <w:color w:val="000000"/>
              </w:rPr>
              <w:t>23.1</w:t>
            </w:r>
          </w:p>
        </w:tc>
      </w:tr>
    </w:tbl>
    <w:p w14:paraId="4EA72313" w14:textId="77777777" w:rsidR="00EC31F9" w:rsidRPr="00261B7A" w:rsidRDefault="00EC31F9" w:rsidP="00EC31F9">
      <w:pPr>
        <w:pStyle w:val="Noteundertable"/>
      </w:pPr>
      <w:r w:rsidRPr="00261B7A">
        <w:rPr>
          <w:b/>
          <w:bCs/>
        </w:rPr>
        <w:t>Note:</w:t>
      </w:r>
      <w:r w:rsidRPr="00261B7A">
        <w:t xml:space="preserve"> </w:t>
      </w:r>
      <w:r w:rsidRPr="00261B7A">
        <w:tab/>
        <w:t>Columns may not total due to rounding. Percentages presented are calculated from unrounded values.</w:t>
      </w:r>
    </w:p>
    <w:p w14:paraId="7CF97C05" w14:textId="77777777" w:rsidR="00EC31F9" w:rsidRPr="00261B7A" w:rsidRDefault="00EC31F9" w:rsidP="00BE2B02">
      <w:pPr>
        <w:pStyle w:val="Heading2"/>
        <w:tabs>
          <w:tab w:val="clear" w:pos="851"/>
          <w:tab w:val="left" w:pos="964"/>
        </w:tabs>
      </w:pPr>
      <w:bookmarkStart w:id="26" w:name="_Toc131591197"/>
      <w:bookmarkStart w:id="27" w:name="es.4-sector-trends"/>
      <w:bookmarkEnd w:id="21"/>
      <w:bookmarkEnd w:id="24"/>
      <w:r w:rsidRPr="00261B7A">
        <w:t>ES.4</w:t>
      </w:r>
      <w:r w:rsidRPr="00261B7A">
        <w:tab/>
        <w:t>Sector trends</w:t>
      </w:r>
      <w:bookmarkEnd w:id="26"/>
    </w:p>
    <w:p w14:paraId="0A17D025" w14:textId="77777777" w:rsidR="00EC31F9" w:rsidRPr="00261B7A" w:rsidRDefault="00EC31F9" w:rsidP="00EC31F9">
      <w:pPr>
        <w:pStyle w:val="BodyText"/>
      </w:pPr>
      <w:r w:rsidRPr="00261B7A">
        <w:t>Figure ES 4.1 and figure 2.2.3 (chapter 2) show the contribution to net emissions that each inventory sector made. The Agriculture and Energy sectors dominated New Zealand’s gross emissions. Together, these sectors produced almost 90 per cent of New Zealand’s annual gross GHG emissions from 1990 to 2021. The IPPU and Waste sectors produced relatively small amounts of GHGs, contributing between 4 per cent and 6 per cent of the annual gross emissions for the entire time series.</w:t>
      </w:r>
    </w:p>
    <w:p w14:paraId="4E98C686" w14:textId="77777777" w:rsidR="00EC31F9" w:rsidRPr="00261B7A" w:rsidRDefault="00EC31F9" w:rsidP="00EC31F9">
      <w:pPr>
        <w:pStyle w:val="BodyText"/>
      </w:pPr>
      <w:r w:rsidRPr="00261B7A">
        <w:t>Conversely, the LULUCF sector was a net sink of GHG emissions between 1990 and 2021.</w:t>
      </w:r>
    </w:p>
    <w:p w14:paraId="5604ED87" w14:textId="77777777" w:rsidR="00EC31F9" w:rsidRPr="00261B7A" w:rsidRDefault="00EC31F9" w:rsidP="00EC31F9">
      <w:pPr>
        <w:pStyle w:val="Figure"/>
      </w:pPr>
      <w:bookmarkStart w:id="28" w:name="_Toc131591517"/>
      <w:r w:rsidRPr="00261B7A">
        <w:rPr>
          <w:bCs/>
        </w:rPr>
        <w:t>Figure ES 4.1</w:t>
      </w:r>
      <w:r w:rsidRPr="00261B7A">
        <w:tab/>
        <w:t xml:space="preserve">Trends in New Zealand’s greenhouse gas emissions by sector from </w:t>
      </w:r>
      <w:r w:rsidRPr="00261B7A">
        <w:rPr>
          <w:bCs/>
        </w:rPr>
        <w:t>1990</w:t>
      </w:r>
      <w:r w:rsidRPr="00261B7A">
        <w:t xml:space="preserve"> to </w:t>
      </w:r>
      <w:r w:rsidRPr="00261B7A">
        <w:rPr>
          <w:bCs/>
        </w:rPr>
        <w:t>2021</w:t>
      </w:r>
      <w:bookmarkEnd w:id="28"/>
    </w:p>
    <w:p w14:paraId="16192EA2" w14:textId="77777777" w:rsidR="00EC31F9" w:rsidRPr="00261B7A" w:rsidRDefault="00EC31F9" w:rsidP="00EC31F9">
      <w:pPr>
        <w:pStyle w:val="BodyText"/>
      </w:pPr>
      <w:r w:rsidRPr="00261B7A">
        <w:rPr>
          <w:noProof/>
        </w:rPr>
        <w:drawing>
          <wp:inline distT="0" distB="0" distL="0" distR="0" wp14:anchorId="5202C0CF" wp14:editId="4EABA2C9">
            <wp:extent cx="5289630" cy="3802284"/>
            <wp:effectExtent l="0" t="0" r="6350" b="8255"/>
            <wp:docPr id="14" name="Picture 14"/>
            <wp:cNvGraphicFramePr/>
            <a:graphic xmlns:a="http://schemas.openxmlformats.org/drawingml/2006/main">
              <a:graphicData uri="http://schemas.openxmlformats.org/drawingml/2006/picture">
                <pic:pic xmlns:pic="http://schemas.openxmlformats.org/drawingml/2006/picture">
                  <pic:nvPicPr>
                    <pic:cNvPr id="43" name="Picture" descr="code/graphs/images/es_4_1_crf.png"/>
                    <pic:cNvPicPr>
                      <a:picLocks noChangeAspect="1" noChangeArrowheads="1"/>
                    </pic:cNvPicPr>
                  </pic:nvPicPr>
                  <pic:blipFill rotWithShape="1">
                    <a:blip r:embed="rId30"/>
                    <a:srcRect b="2271"/>
                    <a:stretch/>
                  </pic:blipFill>
                  <pic:spPr bwMode="auto">
                    <a:xfrm>
                      <a:off x="0" y="0"/>
                      <a:ext cx="5296556" cy="3807263"/>
                    </a:xfrm>
                    <a:prstGeom prst="rect">
                      <a:avLst/>
                    </a:prstGeom>
                    <a:noFill/>
                    <a:ln>
                      <a:noFill/>
                    </a:ln>
                    <a:extLst>
                      <a:ext uri="{53640926-AAD7-44D8-BBD7-CCE9431645EC}">
                        <a14:shadowObscured xmlns:a14="http://schemas.microsoft.com/office/drawing/2010/main"/>
                      </a:ext>
                    </a:extLst>
                  </pic:spPr>
                </pic:pic>
              </a:graphicData>
            </a:graphic>
          </wp:inline>
        </w:drawing>
      </w:r>
    </w:p>
    <w:p w14:paraId="5F1EC77B" w14:textId="77777777" w:rsidR="00EC31F9" w:rsidRPr="00261B7A" w:rsidRDefault="00EC31F9" w:rsidP="00EC31F9">
      <w:pPr>
        <w:pStyle w:val="Noteundertable"/>
      </w:pPr>
      <w:r w:rsidRPr="00261B7A">
        <w:rPr>
          <w:b/>
          <w:bCs/>
        </w:rPr>
        <w:t>Note:</w:t>
      </w:r>
      <w:r w:rsidRPr="00261B7A">
        <w:t xml:space="preserve"> </w:t>
      </w:r>
      <w:r w:rsidRPr="00261B7A">
        <w:tab/>
        <w:t>Net removals from the LULUCF sector are as reported under the Convention (chapter 6).</w:t>
      </w:r>
    </w:p>
    <w:p w14:paraId="3AD7903A" w14:textId="77777777" w:rsidR="00EC31F9" w:rsidRPr="00261B7A" w:rsidRDefault="00EC31F9" w:rsidP="00EC31F9">
      <w:pPr>
        <w:pStyle w:val="BodyText"/>
      </w:pPr>
      <w:r w:rsidRPr="00261B7A">
        <w:t>Table ES 4.1 and figure ES 4.2 summarise emissions by sector in 1990 and 2021 as well as the change between those years. A more detailed description of the emissions trends for each sector is presented in chapter 2.</w:t>
      </w:r>
    </w:p>
    <w:p w14:paraId="7AC4D30A" w14:textId="77777777" w:rsidR="00EC31F9" w:rsidRPr="00261B7A" w:rsidRDefault="00EC31F9" w:rsidP="00EC31F9">
      <w:pPr>
        <w:pStyle w:val="Table"/>
      </w:pPr>
      <w:bookmarkStart w:id="29" w:name="_Toc131591308"/>
      <w:r w:rsidRPr="00261B7A">
        <w:rPr>
          <w:bCs/>
        </w:rPr>
        <w:lastRenderedPageBreak/>
        <w:t>Table ES 4.1</w:t>
      </w:r>
      <w:r w:rsidRPr="00261B7A">
        <w:tab/>
        <w:t xml:space="preserve">New Zealand’s emissions by sector in </w:t>
      </w:r>
      <w:r w:rsidRPr="00261B7A">
        <w:rPr>
          <w:bCs/>
        </w:rPr>
        <w:t>1990</w:t>
      </w:r>
      <w:r w:rsidRPr="00261B7A">
        <w:t xml:space="preserve"> and </w:t>
      </w:r>
      <w:r w:rsidRPr="00261B7A">
        <w:rPr>
          <w:bCs/>
        </w:rPr>
        <w:t>2021</w:t>
      </w:r>
      <w:bookmarkEnd w:id="29"/>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276"/>
        <w:gridCol w:w="1134"/>
        <w:gridCol w:w="1134"/>
        <w:gridCol w:w="2941"/>
        <w:gridCol w:w="2020"/>
      </w:tblGrid>
      <w:tr w:rsidR="00EC31F9" w:rsidRPr="00261B7A" w14:paraId="1061106E" w14:textId="77777777" w:rsidTr="000F09B5">
        <w:trPr>
          <w:tblHeader/>
        </w:trPr>
        <w:tc>
          <w:tcPr>
            <w:tcW w:w="1276" w:type="dxa"/>
            <w:shd w:val="clear" w:color="auto" w:fill="1B556B"/>
            <w:tcMar>
              <w:top w:w="0" w:type="dxa"/>
              <w:left w:w="108" w:type="dxa"/>
              <w:bottom w:w="0" w:type="dxa"/>
              <w:right w:w="108" w:type="dxa"/>
            </w:tcMar>
          </w:tcPr>
          <w:p w14:paraId="6BE11BE5" w14:textId="77777777" w:rsidR="00EC31F9" w:rsidRPr="00261B7A" w:rsidRDefault="00EC31F9" w:rsidP="009526D5">
            <w:pPr>
              <w:pStyle w:val="TableText"/>
              <w:spacing w:before="30" w:after="30"/>
              <w:rPr>
                <w:b/>
                <w:bCs/>
                <w:color w:val="FFFFFF" w:themeColor="background1"/>
              </w:rPr>
            </w:pPr>
            <w:r w:rsidRPr="00261B7A">
              <w:rPr>
                <w:rFonts w:eastAsia="Calibri"/>
                <w:b/>
                <w:bCs/>
                <w:color w:val="FFFFFF" w:themeColor="background1"/>
              </w:rPr>
              <w:t>Sector</w:t>
            </w:r>
          </w:p>
        </w:tc>
        <w:tc>
          <w:tcPr>
            <w:tcW w:w="1134" w:type="dxa"/>
            <w:shd w:val="clear" w:color="auto" w:fill="1B556B"/>
            <w:tcMar>
              <w:top w:w="0" w:type="dxa"/>
              <w:left w:w="108" w:type="dxa"/>
              <w:bottom w:w="0" w:type="dxa"/>
              <w:right w:w="108" w:type="dxa"/>
            </w:tcMar>
          </w:tcPr>
          <w:p w14:paraId="35F8045F" w14:textId="77777777" w:rsidR="00EC31F9" w:rsidRPr="00261B7A" w:rsidRDefault="00EC31F9" w:rsidP="009526D5">
            <w:pPr>
              <w:pStyle w:val="TableText"/>
              <w:spacing w:before="30" w:after="30"/>
              <w:jc w:val="right"/>
              <w:rPr>
                <w:b/>
                <w:bCs/>
                <w:color w:val="FFFFFF" w:themeColor="background1"/>
              </w:rPr>
            </w:pPr>
            <w:r w:rsidRPr="00261B7A">
              <w:rPr>
                <w:rFonts w:eastAsia="Calibri"/>
                <w:b/>
                <w:bCs/>
                <w:color w:val="FFFFFF" w:themeColor="background1"/>
              </w:rPr>
              <w:t>1990</w:t>
            </w:r>
          </w:p>
        </w:tc>
        <w:tc>
          <w:tcPr>
            <w:tcW w:w="1134" w:type="dxa"/>
            <w:shd w:val="clear" w:color="auto" w:fill="1B556B"/>
            <w:tcMar>
              <w:top w:w="0" w:type="dxa"/>
              <w:left w:w="108" w:type="dxa"/>
              <w:bottom w:w="0" w:type="dxa"/>
              <w:right w:w="108" w:type="dxa"/>
            </w:tcMar>
          </w:tcPr>
          <w:p w14:paraId="06CC84CF" w14:textId="77777777" w:rsidR="00EC31F9" w:rsidRPr="00261B7A" w:rsidRDefault="00EC31F9" w:rsidP="009526D5">
            <w:pPr>
              <w:pStyle w:val="TableText"/>
              <w:spacing w:before="30" w:after="30"/>
              <w:jc w:val="right"/>
              <w:rPr>
                <w:b/>
                <w:bCs/>
                <w:color w:val="FFFFFF" w:themeColor="background1"/>
              </w:rPr>
            </w:pPr>
            <w:r w:rsidRPr="00261B7A">
              <w:rPr>
                <w:rFonts w:eastAsia="Calibri"/>
                <w:b/>
                <w:bCs/>
                <w:color w:val="FFFFFF" w:themeColor="background1"/>
              </w:rPr>
              <w:t>2021</w:t>
            </w:r>
          </w:p>
        </w:tc>
        <w:tc>
          <w:tcPr>
            <w:tcW w:w="2941" w:type="dxa"/>
            <w:shd w:val="clear" w:color="auto" w:fill="1B556B"/>
            <w:tcMar>
              <w:top w:w="0" w:type="dxa"/>
              <w:left w:w="108" w:type="dxa"/>
              <w:bottom w:w="0" w:type="dxa"/>
              <w:right w:w="108" w:type="dxa"/>
            </w:tcMar>
          </w:tcPr>
          <w:p w14:paraId="6F0FB9EF" w14:textId="77777777" w:rsidR="00EC31F9" w:rsidRPr="00261B7A" w:rsidRDefault="00EC31F9" w:rsidP="009526D5">
            <w:pPr>
              <w:pStyle w:val="TableText"/>
              <w:spacing w:before="30" w:after="30"/>
              <w:jc w:val="right"/>
              <w:rPr>
                <w:b/>
                <w:bCs/>
                <w:color w:val="FFFFFF" w:themeColor="background1"/>
              </w:rPr>
            </w:pPr>
            <w:r w:rsidRPr="00261B7A">
              <w:rPr>
                <w:rFonts w:eastAsia="Calibri"/>
                <w:b/>
                <w:bCs/>
                <w:color w:val="FFFFFF" w:themeColor="background1"/>
              </w:rPr>
              <w:t>Change from 1990 (kt CO</w:t>
            </w:r>
            <w:r w:rsidRPr="00261B7A">
              <w:rPr>
                <w:rFonts w:eastAsia="Calibri"/>
                <w:b/>
                <w:bCs/>
                <w:color w:val="FFFFFF" w:themeColor="background1"/>
                <w:vertAlign w:val="subscript"/>
              </w:rPr>
              <w:t>2</w:t>
            </w:r>
            <w:r w:rsidRPr="00261B7A">
              <w:rPr>
                <w:rFonts w:eastAsia="Calibri"/>
                <w:b/>
                <w:bCs/>
                <w:color w:val="FFFFFF" w:themeColor="background1"/>
              </w:rPr>
              <w:t>-equivalent)</w:t>
            </w:r>
          </w:p>
        </w:tc>
        <w:tc>
          <w:tcPr>
            <w:tcW w:w="0" w:type="auto"/>
            <w:shd w:val="clear" w:color="auto" w:fill="1B556B"/>
            <w:tcMar>
              <w:top w:w="0" w:type="dxa"/>
              <w:left w:w="108" w:type="dxa"/>
              <w:bottom w:w="0" w:type="dxa"/>
              <w:right w:w="108" w:type="dxa"/>
            </w:tcMar>
          </w:tcPr>
          <w:p w14:paraId="495D03A1" w14:textId="77777777" w:rsidR="00EC31F9" w:rsidRPr="00261B7A" w:rsidRDefault="00EC31F9" w:rsidP="009526D5">
            <w:pPr>
              <w:pStyle w:val="TableText"/>
              <w:spacing w:before="30" w:after="30"/>
              <w:jc w:val="right"/>
              <w:rPr>
                <w:b/>
                <w:bCs/>
                <w:color w:val="FFFFFF" w:themeColor="background1"/>
              </w:rPr>
            </w:pPr>
            <w:r w:rsidRPr="00261B7A">
              <w:rPr>
                <w:rFonts w:eastAsia="Calibri"/>
                <w:b/>
                <w:bCs/>
                <w:color w:val="FFFFFF" w:themeColor="background1"/>
              </w:rPr>
              <w:t>Change from 1990 (%)</w:t>
            </w:r>
          </w:p>
        </w:tc>
      </w:tr>
      <w:tr w:rsidR="00EC31F9" w:rsidRPr="00261B7A" w14:paraId="525947DF" w14:textId="77777777" w:rsidTr="000F09B5">
        <w:tc>
          <w:tcPr>
            <w:tcW w:w="1276" w:type="dxa"/>
            <w:shd w:val="clear" w:color="auto" w:fill="FFFFFF"/>
            <w:tcMar>
              <w:top w:w="0" w:type="dxa"/>
              <w:left w:w="108" w:type="dxa"/>
              <w:bottom w:w="0" w:type="dxa"/>
              <w:right w:w="108" w:type="dxa"/>
            </w:tcMar>
          </w:tcPr>
          <w:p w14:paraId="76C016BD" w14:textId="77777777" w:rsidR="00EC31F9" w:rsidRPr="00261B7A" w:rsidRDefault="00EC31F9" w:rsidP="009526D5">
            <w:pPr>
              <w:pStyle w:val="TableText"/>
              <w:spacing w:before="30" w:after="30"/>
            </w:pPr>
            <w:r w:rsidRPr="00261B7A">
              <w:rPr>
                <w:rFonts w:eastAsia="Calibri"/>
                <w:color w:val="000000"/>
              </w:rPr>
              <w:t>Energy</w:t>
            </w:r>
          </w:p>
        </w:tc>
        <w:tc>
          <w:tcPr>
            <w:tcW w:w="1134" w:type="dxa"/>
            <w:shd w:val="clear" w:color="auto" w:fill="FFFFFF"/>
            <w:tcMar>
              <w:top w:w="0" w:type="dxa"/>
              <w:left w:w="108" w:type="dxa"/>
              <w:bottom w:w="0" w:type="dxa"/>
              <w:right w:w="108" w:type="dxa"/>
            </w:tcMar>
          </w:tcPr>
          <w:p w14:paraId="42353524" w14:textId="77777777" w:rsidR="00EC31F9" w:rsidRPr="00261B7A" w:rsidRDefault="00EC31F9" w:rsidP="009526D5">
            <w:pPr>
              <w:pStyle w:val="TableText"/>
              <w:spacing w:before="30" w:after="30"/>
              <w:jc w:val="right"/>
            </w:pPr>
            <w:r w:rsidRPr="00261B7A">
              <w:rPr>
                <w:rFonts w:eastAsia="Calibri"/>
                <w:color w:val="000000"/>
              </w:rPr>
              <w:t>23,880.3</w:t>
            </w:r>
          </w:p>
        </w:tc>
        <w:tc>
          <w:tcPr>
            <w:tcW w:w="1134" w:type="dxa"/>
            <w:shd w:val="clear" w:color="auto" w:fill="FFFFFF"/>
            <w:tcMar>
              <w:top w:w="0" w:type="dxa"/>
              <w:left w:w="108" w:type="dxa"/>
              <w:bottom w:w="0" w:type="dxa"/>
              <w:right w:w="108" w:type="dxa"/>
            </w:tcMar>
          </w:tcPr>
          <w:p w14:paraId="0E446FE3" w14:textId="77777777" w:rsidR="00EC31F9" w:rsidRPr="00261B7A" w:rsidRDefault="00EC31F9" w:rsidP="009526D5">
            <w:pPr>
              <w:pStyle w:val="TableText"/>
              <w:spacing w:before="30" w:after="30"/>
              <w:jc w:val="right"/>
            </w:pPr>
            <w:r w:rsidRPr="00261B7A">
              <w:rPr>
                <w:rFonts w:eastAsia="Calibri"/>
                <w:color w:val="000000"/>
              </w:rPr>
              <w:t>31,210.1</w:t>
            </w:r>
          </w:p>
        </w:tc>
        <w:tc>
          <w:tcPr>
            <w:tcW w:w="2941" w:type="dxa"/>
            <w:shd w:val="clear" w:color="auto" w:fill="FFFFFF"/>
            <w:tcMar>
              <w:top w:w="0" w:type="dxa"/>
              <w:left w:w="108" w:type="dxa"/>
              <w:bottom w:w="0" w:type="dxa"/>
              <w:right w:w="108" w:type="dxa"/>
            </w:tcMar>
          </w:tcPr>
          <w:p w14:paraId="728507B7" w14:textId="77777777" w:rsidR="00EC31F9" w:rsidRPr="00261B7A" w:rsidRDefault="00EC31F9" w:rsidP="009526D5">
            <w:pPr>
              <w:pStyle w:val="TableText"/>
              <w:spacing w:before="30" w:after="30"/>
              <w:jc w:val="right"/>
            </w:pPr>
            <w:r w:rsidRPr="00261B7A">
              <w:rPr>
                <w:rFonts w:eastAsia="Calibri"/>
                <w:color w:val="000000"/>
              </w:rPr>
              <w:t>7,329.8</w:t>
            </w:r>
          </w:p>
        </w:tc>
        <w:tc>
          <w:tcPr>
            <w:tcW w:w="0" w:type="auto"/>
            <w:shd w:val="clear" w:color="auto" w:fill="FFFFFF"/>
            <w:tcMar>
              <w:top w:w="0" w:type="dxa"/>
              <w:left w:w="108" w:type="dxa"/>
              <w:bottom w:w="0" w:type="dxa"/>
              <w:right w:w="108" w:type="dxa"/>
            </w:tcMar>
          </w:tcPr>
          <w:p w14:paraId="7485F6C8" w14:textId="77777777" w:rsidR="00EC31F9" w:rsidRPr="00261B7A" w:rsidRDefault="00EC31F9" w:rsidP="009526D5">
            <w:pPr>
              <w:pStyle w:val="TableText"/>
              <w:spacing w:before="30" w:after="30"/>
              <w:jc w:val="right"/>
            </w:pPr>
            <w:r w:rsidRPr="00261B7A">
              <w:rPr>
                <w:rFonts w:eastAsia="Calibri"/>
                <w:color w:val="000000"/>
              </w:rPr>
              <w:t>30.7</w:t>
            </w:r>
          </w:p>
        </w:tc>
      </w:tr>
      <w:tr w:rsidR="00EC31F9" w:rsidRPr="00261B7A" w14:paraId="5D9B67BE" w14:textId="77777777" w:rsidTr="000F09B5">
        <w:tc>
          <w:tcPr>
            <w:tcW w:w="1276" w:type="dxa"/>
            <w:shd w:val="clear" w:color="auto" w:fill="FFFFFF"/>
            <w:tcMar>
              <w:top w:w="0" w:type="dxa"/>
              <w:left w:w="108" w:type="dxa"/>
              <w:bottom w:w="0" w:type="dxa"/>
              <w:right w:w="108" w:type="dxa"/>
            </w:tcMar>
          </w:tcPr>
          <w:p w14:paraId="46272189" w14:textId="77777777" w:rsidR="00EC31F9" w:rsidRPr="00261B7A" w:rsidRDefault="00EC31F9" w:rsidP="009526D5">
            <w:pPr>
              <w:pStyle w:val="TableText"/>
              <w:spacing w:before="30" w:after="30"/>
            </w:pPr>
            <w:r w:rsidRPr="00261B7A">
              <w:rPr>
                <w:rFonts w:eastAsia="Calibri"/>
                <w:color w:val="000000"/>
              </w:rPr>
              <w:t>IPPU</w:t>
            </w:r>
          </w:p>
        </w:tc>
        <w:tc>
          <w:tcPr>
            <w:tcW w:w="1134" w:type="dxa"/>
            <w:shd w:val="clear" w:color="auto" w:fill="FFFFFF"/>
            <w:tcMar>
              <w:top w:w="0" w:type="dxa"/>
              <w:left w:w="108" w:type="dxa"/>
              <w:bottom w:w="0" w:type="dxa"/>
              <w:right w:w="108" w:type="dxa"/>
            </w:tcMar>
          </w:tcPr>
          <w:p w14:paraId="663E5158" w14:textId="77777777" w:rsidR="00EC31F9" w:rsidRPr="00261B7A" w:rsidRDefault="00EC31F9" w:rsidP="009526D5">
            <w:pPr>
              <w:pStyle w:val="TableText"/>
              <w:spacing w:before="30" w:after="30"/>
              <w:jc w:val="right"/>
            </w:pPr>
            <w:r w:rsidRPr="00261B7A">
              <w:rPr>
                <w:rFonts w:eastAsia="Calibri"/>
                <w:color w:val="000000"/>
              </w:rPr>
              <w:t>3,579.9</w:t>
            </w:r>
          </w:p>
        </w:tc>
        <w:tc>
          <w:tcPr>
            <w:tcW w:w="1134" w:type="dxa"/>
            <w:shd w:val="clear" w:color="auto" w:fill="FFFFFF"/>
            <w:tcMar>
              <w:top w:w="0" w:type="dxa"/>
              <w:left w:w="108" w:type="dxa"/>
              <w:bottom w:w="0" w:type="dxa"/>
              <w:right w:w="108" w:type="dxa"/>
            </w:tcMar>
          </w:tcPr>
          <w:p w14:paraId="7FC38F3B" w14:textId="77777777" w:rsidR="00EC31F9" w:rsidRPr="00261B7A" w:rsidRDefault="00EC31F9" w:rsidP="009526D5">
            <w:pPr>
              <w:pStyle w:val="TableText"/>
              <w:spacing w:before="30" w:after="30"/>
              <w:jc w:val="right"/>
            </w:pPr>
            <w:r w:rsidRPr="00261B7A">
              <w:rPr>
                <w:rFonts w:eastAsia="Calibri"/>
                <w:color w:val="000000"/>
              </w:rPr>
              <w:t>4,609.6</w:t>
            </w:r>
          </w:p>
        </w:tc>
        <w:tc>
          <w:tcPr>
            <w:tcW w:w="2941" w:type="dxa"/>
            <w:shd w:val="clear" w:color="auto" w:fill="FFFFFF"/>
            <w:tcMar>
              <w:top w:w="0" w:type="dxa"/>
              <w:left w:w="108" w:type="dxa"/>
              <w:bottom w:w="0" w:type="dxa"/>
              <w:right w:w="108" w:type="dxa"/>
            </w:tcMar>
          </w:tcPr>
          <w:p w14:paraId="0C5ACAB7" w14:textId="77777777" w:rsidR="00EC31F9" w:rsidRPr="00261B7A" w:rsidRDefault="00EC31F9" w:rsidP="009526D5">
            <w:pPr>
              <w:pStyle w:val="TableText"/>
              <w:spacing w:before="30" w:after="30"/>
              <w:jc w:val="right"/>
            </w:pPr>
            <w:r w:rsidRPr="00261B7A">
              <w:rPr>
                <w:rFonts w:eastAsia="Calibri"/>
                <w:color w:val="000000"/>
              </w:rPr>
              <w:t>1,029.7</w:t>
            </w:r>
          </w:p>
        </w:tc>
        <w:tc>
          <w:tcPr>
            <w:tcW w:w="0" w:type="auto"/>
            <w:shd w:val="clear" w:color="auto" w:fill="FFFFFF"/>
            <w:tcMar>
              <w:top w:w="0" w:type="dxa"/>
              <w:left w:w="108" w:type="dxa"/>
              <w:bottom w:w="0" w:type="dxa"/>
              <w:right w:w="108" w:type="dxa"/>
            </w:tcMar>
          </w:tcPr>
          <w:p w14:paraId="121F80C3" w14:textId="77777777" w:rsidR="00EC31F9" w:rsidRPr="00261B7A" w:rsidRDefault="00EC31F9" w:rsidP="009526D5">
            <w:pPr>
              <w:pStyle w:val="TableText"/>
              <w:spacing w:before="30" w:after="30"/>
              <w:jc w:val="right"/>
            </w:pPr>
            <w:r w:rsidRPr="00261B7A">
              <w:rPr>
                <w:rFonts w:eastAsia="Calibri"/>
                <w:color w:val="000000"/>
              </w:rPr>
              <w:t>28.8</w:t>
            </w:r>
          </w:p>
        </w:tc>
      </w:tr>
      <w:tr w:rsidR="00EC31F9" w:rsidRPr="00261B7A" w14:paraId="1625A2BD" w14:textId="77777777" w:rsidTr="000F09B5">
        <w:tc>
          <w:tcPr>
            <w:tcW w:w="1276" w:type="dxa"/>
            <w:shd w:val="clear" w:color="auto" w:fill="FFFFFF"/>
            <w:tcMar>
              <w:top w:w="0" w:type="dxa"/>
              <w:left w:w="108" w:type="dxa"/>
              <w:bottom w:w="0" w:type="dxa"/>
              <w:right w:w="108" w:type="dxa"/>
            </w:tcMar>
          </w:tcPr>
          <w:p w14:paraId="2DE7D8FD" w14:textId="77777777" w:rsidR="00EC31F9" w:rsidRPr="00261B7A" w:rsidRDefault="00EC31F9" w:rsidP="009526D5">
            <w:pPr>
              <w:pStyle w:val="TableText"/>
              <w:spacing w:before="30" w:after="30"/>
            </w:pPr>
            <w:r w:rsidRPr="00261B7A">
              <w:rPr>
                <w:rFonts w:eastAsia="Calibri"/>
                <w:color w:val="000000"/>
              </w:rPr>
              <w:t>Agriculture</w:t>
            </w:r>
          </w:p>
        </w:tc>
        <w:tc>
          <w:tcPr>
            <w:tcW w:w="1134" w:type="dxa"/>
            <w:shd w:val="clear" w:color="auto" w:fill="FFFFFF"/>
            <w:tcMar>
              <w:top w:w="0" w:type="dxa"/>
              <w:left w:w="108" w:type="dxa"/>
              <w:bottom w:w="0" w:type="dxa"/>
              <w:right w:w="108" w:type="dxa"/>
            </w:tcMar>
          </w:tcPr>
          <w:p w14:paraId="327C2A24" w14:textId="77777777" w:rsidR="00EC31F9" w:rsidRPr="00261B7A" w:rsidRDefault="00EC31F9" w:rsidP="009526D5">
            <w:pPr>
              <w:pStyle w:val="TableText"/>
              <w:spacing w:before="30" w:after="30"/>
              <w:jc w:val="right"/>
            </w:pPr>
            <w:r w:rsidRPr="00261B7A">
              <w:rPr>
                <w:rFonts w:eastAsia="Calibri"/>
                <w:color w:val="000000"/>
              </w:rPr>
              <w:t>33,312.0</w:t>
            </w:r>
          </w:p>
        </w:tc>
        <w:tc>
          <w:tcPr>
            <w:tcW w:w="1134" w:type="dxa"/>
            <w:shd w:val="clear" w:color="auto" w:fill="FFFFFF"/>
            <w:tcMar>
              <w:top w:w="0" w:type="dxa"/>
              <w:left w:w="108" w:type="dxa"/>
              <w:bottom w:w="0" w:type="dxa"/>
              <w:right w:w="108" w:type="dxa"/>
            </w:tcMar>
          </w:tcPr>
          <w:p w14:paraId="606984D0" w14:textId="77777777" w:rsidR="00EC31F9" w:rsidRPr="00261B7A" w:rsidRDefault="00EC31F9" w:rsidP="009526D5">
            <w:pPr>
              <w:pStyle w:val="TableText"/>
              <w:spacing w:before="30" w:after="30"/>
              <w:jc w:val="right"/>
            </w:pPr>
            <w:r w:rsidRPr="00261B7A">
              <w:rPr>
                <w:rFonts w:eastAsia="Calibri"/>
                <w:color w:val="000000"/>
              </w:rPr>
              <w:t>37,786.1</w:t>
            </w:r>
          </w:p>
        </w:tc>
        <w:tc>
          <w:tcPr>
            <w:tcW w:w="2941" w:type="dxa"/>
            <w:shd w:val="clear" w:color="auto" w:fill="FFFFFF"/>
            <w:tcMar>
              <w:top w:w="0" w:type="dxa"/>
              <w:left w:w="108" w:type="dxa"/>
              <w:bottom w:w="0" w:type="dxa"/>
              <w:right w:w="108" w:type="dxa"/>
            </w:tcMar>
          </w:tcPr>
          <w:p w14:paraId="4B190251" w14:textId="77777777" w:rsidR="00EC31F9" w:rsidRPr="00261B7A" w:rsidRDefault="00EC31F9" w:rsidP="009526D5">
            <w:pPr>
              <w:pStyle w:val="TableText"/>
              <w:spacing w:before="30" w:after="30"/>
              <w:jc w:val="right"/>
            </w:pPr>
            <w:r w:rsidRPr="00261B7A">
              <w:rPr>
                <w:rFonts w:eastAsia="Calibri"/>
                <w:color w:val="000000"/>
              </w:rPr>
              <w:t>4,474.1</w:t>
            </w:r>
          </w:p>
        </w:tc>
        <w:tc>
          <w:tcPr>
            <w:tcW w:w="0" w:type="auto"/>
            <w:shd w:val="clear" w:color="auto" w:fill="FFFFFF"/>
            <w:tcMar>
              <w:top w:w="0" w:type="dxa"/>
              <w:left w:w="108" w:type="dxa"/>
              <w:bottom w:w="0" w:type="dxa"/>
              <w:right w:w="108" w:type="dxa"/>
            </w:tcMar>
          </w:tcPr>
          <w:p w14:paraId="197AC6B4" w14:textId="77777777" w:rsidR="00EC31F9" w:rsidRPr="00261B7A" w:rsidRDefault="00EC31F9" w:rsidP="009526D5">
            <w:pPr>
              <w:pStyle w:val="TableText"/>
              <w:spacing w:before="30" w:after="30"/>
              <w:jc w:val="right"/>
            </w:pPr>
            <w:r w:rsidRPr="00261B7A">
              <w:rPr>
                <w:rFonts w:eastAsia="Calibri"/>
                <w:color w:val="000000"/>
              </w:rPr>
              <w:t>13.4</w:t>
            </w:r>
          </w:p>
        </w:tc>
      </w:tr>
      <w:tr w:rsidR="00EC31F9" w:rsidRPr="00261B7A" w14:paraId="3C2C5825" w14:textId="77777777" w:rsidTr="000F09B5">
        <w:tc>
          <w:tcPr>
            <w:tcW w:w="1276" w:type="dxa"/>
            <w:shd w:val="clear" w:color="auto" w:fill="FFFFFF"/>
            <w:tcMar>
              <w:top w:w="0" w:type="dxa"/>
              <w:left w:w="108" w:type="dxa"/>
              <w:bottom w:w="0" w:type="dxa"/>
              <w:right w:w="108" w:type="dxa"/>
            </w:tcMar>
          </w:tcPr>
          <w:p w14:paraId="3CE0DABE" w14:textId="77777777" w:rsidR="00EC31F9" w:rsidRPr="00261B7A" w:rsidRDefault="00EC31F9" w:rsidP="009526D5">
            <w:pPr>
              <w:pStyle w:val="TableText"/>
              <w:spacing w:before="30" w:after="30"/>
            </w:pPr>
            <w:r w:rsidRPr="00261B7A">
              <w:rPr>
                <w:rFonts w:eastAsia="Calibri"/>
                <w:color w:val="000000"/>
              </w:rPr>
              <w:t>Waste</w:t>
            </w:r>
          </w:p>
        </w:tc>
        <w:tc>
          <w:tcPr>
            <w:tcW w:w="1134" w:type="dxa"/>
            <w:shd w:val="clear" w:color="auto" w:fill="FFFFFF"/>
            <w:tcMar>
              <w:top w:w="0" w:type="dxa"/>
              <w:left w:w="108" w:type="dxa"/>
              <w:bottom w:w="0" w:type="dxa"/>
              <w:right w:w="108" w:type="dxa"/>
            </w:tcMar>
          </w:tcPr>
          <w:p w14:paraId="193479B3" w14:textId="77777777" w:rsidR="00EC31F9" w:rsidRPr="00261B7A" w:rsidRDefault="00EC31F9" w:rsidP="009526D5">
            <w:pPr>
              <w:pStyle w:val="TableText"/>
              <w:spacing w:before="30" w:after="30"/>
              <w:jc w:val="right"/>
            </w:pPr>
            <w:r w:rsidRPr="00261B7A">
              <w:rPr>
                <w:rFonts w:eastAsia="Calibri"/>
                <w:color w:val="000000"/>
              </w:rPr>
              <w:t>3,944.6</w:t>
            </w:r>
          </w:p>
        </w:tc>
        <w:tc>
          <w:tcPr>
            <w:tcW w:w="1134" w:type="dxa"/>
            <w:shd w:val="clear" w:color="auto" w:fill="FFFFFF"/>
            <w:tcMar>
              <w:top w:w="0" w:type="dxa"/>
              <w:left w:w="108" w:type="dxa"/>
              <w:bottom w:w="0" w:type="dxa"/>
              <w:right w:w="108" w:type="dxa"/>
            </w:tcMar>
          </w:tcPr>
          <w:p w14:paraId="0D2D973B" w14:textId="77777777" w:rsidR="00EC31F9" w:rsidRPr="00261B7A" w:rsidRDefault="00EC31F9" w:rsidP="009526D5">
            <w:pPr>
              <w:pStyle w:val="TableText"/>
              <w:spacing w:before="30" w:after="30"/>
              <w:jc w:val="right"/>
            </w:pPr>
            <w:r w:rsidRPr="00261B7A">
              <w:rPr>
                <w:rFonts w:eastAsia="Calibri"/>
                <w:color w:val="000000"/>
              </w:rPr>
              <w:t>3,214.9</w:t>
            </w:r>
          </w:p>
        </w:tc>
        <w:tc>
          <w:tcPr>
            <w:tcW w:w="2941" w:type="dxa"/>
            <w:shd w:val="clear" w:color="auto" w:fill="FFFFFF"/>
            <w:tcMar>
              <w:top w:w="0" w:type="dxa"/>
              <w:left w:w="108" w:type="dxa"/>
              <w:bottom w:w="0" w:type="dxa"/>
              <w:right w:w="108" w:type="dxa"/>
            </w:tcMar>
          </w:tcPr>
          <w:p w14:paraId="290F65B0" w14:textId="77777777" w:rsidR="00EC31F9" w:rsidRPr="00261B7A" w:rsidRDefault="00EC31F9" w:rsidP="009526D5">
            <w:pPr>
              <w:pStyle w:val="TableText"/>
              <w:spacing w:before="30" w:after="30"/>
              <w:jc w:val="right"/>
            </w:pPr>
            <w:r w:rsidRPr="00261B7A">
              <w:rPr>
                <w:rFonts w:eastAsia="Calibri"/>
                <w:color w:val="000000"/>
              </w:rPr>
              <w:t>–729.7</w:t>
            </w:r>
          </w:p>
        </w:tc>
        <w:tc>
          <w:tcPr>
            <w:tcW w:w="0" w:type="auto"/>
            <w:shd w:val="clear" w:color="auto" w:fill="FFFFFF"/>
            <w:tcMar>
              <w:top w:w="0" w:type="dxa"/>
              <w:left w:w="108" w:type="dxa"/>
              <w:bottom w:w="0" w:type="dxa"/>
              <w:right w:w="108" w:type="dxa"/>
            </w:tcMar>
          </w:tcPr>
          <w:p w14:paraId="4EBCCDB4" w14:textId="77777777" w:rsidR="00EC31F9" w:rsidRPr="00261B7A" w:rsidRDefault="00EC31F9" w:rsidP="009526D5">
            <w:pPr>
              <w:pStyle w:val="TableText"/>
              <w:spacing w:before="30" w:after="30"/>
              <w:jc w:val="right"/>
            </w:pPr>
            <w:r w:rsidRPr="00261B7A">
              <w:rPr>
                <w:rFonts w:eastAsia="Calibri"/>
                <w:color w:val="000000"/>
              </w:rPr>
              <w:t>–18.5</w:t>
            </w:r>
          </w:p>
        </w:tc>
      </w:tr>
      <w:tr w:rsidR="00EC31F9" w:rsidRPr="00261B7A" w14:paraId="1AA0C292" w14:textId="77777777" w:rsidTr="000F09B5">
        <w:tc>
          <w:tcPr>
            <w:tcW w:w="1276" w:type="dxa"/>
            <w:shd w:val="clear" w:color="auto" w:fill="FFFFFF"/>
            <w:tcMar>
              <w:top w:w="0" w:type="dxa"/>
              <w:left w:w="108" w:type="dxa"/>
              <w:bottom w:w="0" w:type="dxa"/>
              <w:right w:w="108" w:type="dxa"/>
            </w:tcMar>
          </w:tcPr>
          <w:p w14:paraId="0C3E508C" w14:textId="77777777" w:rsidR="00EC31F9" w:rsidRPr="00261B7A" w:rsidRDefault="00EC31F9" w:rsidP="009526D5">
            <w:pPr>
              <w:pStyle w:val="TableText"/>
              <w:spacing w:before="30" w:after="30"/>
            </w:pPr>
            <w:r w:rsidRPr="00261B7A">
              <w:rPr>
                <w:rFonts w:eastAsia="Calibri"/>
                <w:color w:val="000000"/>
              </w:rPr>
              <w:t>Tokelau</w:t>
            </w:r>
          </w:p>
        </w:tc>
        <w:tc>
          <w:tcPr>
            <w:tcW w:w="1134" w:type="dxa"/>
            <w:shd w:val="clear" w:color="auto" w:fill="FFFFFF"/>
            <w:tcMar>
              <w:top w:w="0" w:type="dxa"/>
              <w:left w:w="108" w:type="dxa"/>
              <w:bottom w:w="0" w:type="dxa"/>
              <w:right w:w="108" w:type="dxa"/>
            </w:tcMar>
          </w:tcPr>
          <w:p w14:paraId="4DA4BAD0" w14:textId="77777777" w:rsidR="00EC31F9" w:rsidRPr="00261B7A" w:rsidRDefault="00EC31F9" w:rsidP="009526D5">
            <w:pPr>
              <w:pStyle w:val="TableText"/>
              <w:spacing w:before="30" w:after="30"/>
              <w:jc w:val="right"/>
            </w:pPr>
            <w:r w:rsidRPr="00261B7A">
              <w:rPr>
                <w:rFonts w:eastAsia="Calibri"/>
                <w:color w:val="000000"/>
              </w:rPr>
              <w:t>3.2</w:t>
            </w:r>
          </w:p>
        </w:tc>
        <w:tc>
          <w:tcPr>
            <w:tcW w:w="1134" w:type="dxa"/>
            <w:shd w:val="clear" w:color="auto" w:fill="FFFFFF"/>
            <w:tcMar>
              <w:top w:w="0" w:type="dxa"/>
              <w:left w:w="108" w:type="dxa"/>
              <w:bottom w:w="0" w:type="dxa"/>
              <w:right w:w="108" w:type="dxa"/>
            </w:tcMar>
          </w:tcPr>
          <w:p w14:paraId="439FA0FE" w14:textId="77777777" w:rsidR="00EC31F9" w:rsidRPr="00261B7A" w:rsidRDefault="00EC31F9" w:rsidP="009526D5">
            <w:pPr>
              <w:pStyle w:val="TableText"/>
              <w:spacing w:before="30" w:after="30"/>
              <w:jc w:val="right"/>
            </w:pPr>
            <w:r w:rsidRPr="00261B7A">
              <w:rPr>
                <w:rFonts w:eastAsia="Calibri"/>
                <w:color w:val="000000"/>
              </w:rPr>
              <w:t>3.8</w:t>
            </w:r>
          </w:p>
        </w:tc>
        <w:tc>
          <w:tcPr>
            <w:tcW w:w="2941" w:type="dxa"/>
            <w:shd w:val="clear" w:color="auto" w:fill="FFFFFF"/>
            <w:tcMar>
              <w:top w:w="0" w:type="dxa"/>
              <w:left w:w="108" w:type="dxa"/>
              <w:bottom w:w="0" w:type="dxa"/>
              <w:right w:w="108" w:type="dxa"/>
            </w:tcMar>
          </w:tcPr>
          <w:p w14:paraId="5DF00B89" w14:textId="77777777" w:rsidR="00EC31F9" w:rsidRPr="00261B7A" w:rsidRDefault="00EC31F9" w:rsidP="009526D5">
            <w:pPr>
              <w:pStyle w:val="TableText"/>
              <w:spacing w:before="30" w:after="30"/>
              <w:jc w:val="right"/>
            </w:pPr>
            <w:r w:rsidRPr="00261B7A">
              <w:rPr>
                <w:rFonts w:eastAsia="Calibri"/>
                <w:color w:val="000000"/>
              </w:rPr>
              <w:t>0.6</w:t>
            </w:r>
          </w:p>
        </w:tc>
        <w:tc>
          <w:tcPr>
            <w:tcW w:w="0" w:type="auto"/>
            <w:shd w:val="clear" w:color="auto" w:fill="FFFFFF"/>
            <w:tcMar>
              <w:top w:w="0" w:type="dxa"/>
              <w:left w:w="108" w:type="dxa"/>
              <w:bottom w:w="0" w:type="dxa"/>
              <w:right w:w="108" w:type="dxa"/>
            </w:tcMar>
          </w:tcPr>
          <w:p w14:paraId="5CF769C0" w14:textId="77777777" w:rsidR="00EC31F9" w:rsidRPr="00261B7A" w:rsidRDefault="00EC31F9" w:rsidP="009526D5">
            <w:pPr>
              <w:pStyle w:val="TableText"/>
              <w:spacing w:before="30" w:after="30"/>
              <w:jc w:val="right"/>
            </w:pPr>
            <w:r w:rsidRPr="00261B7A">
              <w:rPr>
                <w:rFonts w:eastAsia="Calibri"/>
                <w:color w:val="000000"/>
              </w:rPr>
              <w:t>19.4</w:t>
            </w:r>
          </w:p>
        </w:tc>
      </w:tr>
      <w:tr w:rsidR="00EC31F9" w:rsidRPr="00261B7A" w14:paraId="4ECA10B6" w14:textId="77777777" w:rsidTr="000F09B5">
        <w:tc>
          <w:tcPr>
            <w:tcW w:w="1276" w:type="dxa"/>
            <w:shd w:val="clear" w:color="auto" w:fill="FFFFFF"/>
            <w:tcMar>
              <w:top w:w="0" w:type="dxa"/>
              <w:left w:w="108" w:type="dxa"/>
              <w:bottom w:w="0" w:type="dxa"/>
              <w:right w:w="108" w:type="dxa"/>
            </w:tcMar>
          </w:tcPr>
          <w:p w14:paraId="24550A05" w14:textId="77777777" w:rsidR="00EC31F9" w:rsidRPr="00261B7A" w:rsidRDefault="00EC31F9" w:rsidP="009526D5">
            <w:pPr>
              <w:pStyle w:val="Tableboldblue"/>
              <w:spacing w:before="30" w:after="30"/>
            </w:pPr>
            <w:r w:rsidRPr="00261B7A">
              <w:rPr>
                <w:rFonts w:eastAsia="Calibri"/>
              </w:rPr>
              <w:t>Gross</w:t>
            </w:r>
          </w:p>
        </w:tc>
        <w:tc>
          <w:tcPr>
            <w:tcW w:w="1134" w:type="dxa"/>
            <w:shd w:val="clear" w:color="auto" w:fill="FFFFFF"/>
            <w:tcMar>
              <w:top w:w="0" w:type="dxa"/>
              <w:left w:w="108" w:type="dxa"/>
              <w:bottom w:w="0" w:type="dxa"/>
              <w:right w:w="108" w:type="dxa"/>
            </w:tcMar>
          </w:tcPr>
          <w:p w14:paraId="6D6E3762" w14:textId="77777777" w:rsidR="00EC31F9" w:rsidRPr="00261B7A" w:rsidRDefault="00EC31F9" w:rsidP="009526D5">
            <w:pPr>
              <w:pStyle w:val="Tableboldblue"/>
              <w:spacing w:before="30" w:after="30"/>
              <w:jc w:val="right"/>
            </w:pPr>
            <w:r w:rsidRPr="00261B7A">
              <w:rPr>
                <w:rFonts w:eastAsia="Calibri"/>
              </w:rPr>
              <w:t>64,720.1</w:t>
            </w:r>
          </w:p>
        </w:tc>
        <w:tc>
          <w:tcPr>
            <w:tcW w:w="1134" w:type="dxa"/>
            <w:shd w:val="clear" w:color="auto" w:fill="FFFFFF"/>
            <w:tcMar>
              <w:top w:w="0" w:type="dxa"/>
              <w:left w:w="108" w:type="dxa"/>
              <w:bottom w:w="0" w:type="dxa"/>
              <w:right w:w="108" w:type="dxa"/>
            </w:tcMar>
          </w:tcPr>
          <w:p w14:paraId="384F9513" w14:textId="77777777" w:rsidR="00EC31F9" w:rsidRPr="00261B7A" w:rsidRDefault="00EC31F9" w:rsidP="009526D5">
            <w:pPr>
              <w:pStyle w:val="Tableboldblue"/>
              <w:spacing w:before="30" w:after="30"/>
              <w:jc w:val="right"/>
            </w:pPr>
            <w:r w:rsidRPr="00261B7A">
              <w:rPr>
                <w:rFonts w:eastAsia="Calibri"/>
              </w:rPr>
              <w:t>76,824.6</w:t>
            </w:r>
          </w:p>
        </w:tc>
        <w:tc>
          <w:tcPr>
            <w:tcW w:w="2941" w:type="dxa"/>
            <w:shd w:val="clear" w:color="auto" w:fill="FFFFFF"/>
            <w:tcMar>
              <w:top w:w="0" w:type="dxa"/>
              <w:left w:w="108" w:type="dxa"/>
              <w:bottom w:w="0" w:type="dxa"/>
              <w:right w:w="108" w:type="dxa"/>
            </w:tcMar>
          </w:tcPr>
          <w:p w14:paraId="6016D816" w14:textId="77777777" w:rsidR="00EC31F9" w:rsidRPr="00261B7A" w:rsidRDefault="00EC31F9" w:rsidP="009526D5">
            <w:pPr>
              <w:pStyle w:val="Tableboldblue"/>
              <w:spacing w:before="30" w:after="30"/>
              <w:jc w:val="right"/>
            </w:pPr>
            <w:r w:rsidRPr="00261B7A">
              <w:rPr>
                <w:rFonts w:eastAsia="Calibri"/>
              </w:rPr>
              <w:t>12,104.5</w:t>
            </w:r>
          </w:p>
        </w:tc>
        <w:tc>
          <w:tcPr>
            <w:tcW w:w="0" w:type="auto"/>
            <w:shd w:val="clear" w:color="auto" w:fill="FFFFFF"/>
            <w:tcMar>
              <w:top w:w="0" w:type="dxa"/>
              <w:left w:w="108" w:type="dxa"/>
              <w:bottom w:w="0" w:type="dxa"/>
              <w:right w:w="108" w:type="dxa"/>
            </w:tcMar>
          </w:tcPr>
          <w:p w14:paraId="676CAA31" w14:textId="77777777" w:rsidR="00EC31F9" w:rsidRPr="00261B7A" w:rsidRDefault="00EC31F9" w:rsidP="009526D5">
            <w:pPr>
              <w:pStyle w:val="Tableboldblue"/>
              <w:spacing w:before="30" w:after="30"/>
              <w:jc w:val="right"/>
            </w:pPr>
            <w:r w:rsidRPr="00261B7A">
              <w:rPr>
                <w:rFonts w:eastAsia="Calibri"/>
              </w:rPr>
              <w:t>18.7</w:t>
            </w:r>
          </w:p>
        </w:tc>
      </w:tr>
      <w:tr w:rsidR="00EC31F9" w:rsidRPr="00261B7A" w14:paraId="43284F31" w14:textId="77777777" w:rsidTr="000F09B5">
        <w:tc>
          <w:tcPr>
            <w:tcW w:w="1276" w:type="dxa"/>
            <w:shd w:val="clear" w:color="auto" w:fill="FFFFFF"/>
            <w:tcMar>
              <w:top w:w="0" w:type="dxa"/>
              <w:left w:w="108" w:type="dxa"/>
              <w:bottom w:w="0" w:type="dxa"/>
              <w:right w:w="108" w:type="dxa"/>
            </w:tcMar>
          </w:tcPr>
          <w:p w14:paraId="38EFFA13" w14:textId="77777777" w:rsidR="00EC31F9" w:rsidRPr="00261B7A" w:rsidRDefault="00EC31F9" w:rsidP="009526D5">
            <w:pPr>
              <w:pStyle w:val="TableText"/>
              <w:spacing w:before="30" w:after="30"/>
            </w:pPr>
            <w:r w:rsidRPr="00261B7A">
              <w:rPr>
                <w:rFonts w:eastAsia="Calibri"/>
                <w:color w:val="000000"/>
              </w:rPr>
              <w:t>LULUCF</w:t>
            </w:r>
          </w:p>
        </w:tc>
        <w:tc>
          <w:tcPr>
            <w:tcW w:w="1134" w:type="dxa"/>
            <w:shd w:val="clear" w:color="auto" w:fill="FFFFFF"/>
            <w:tcMar>
              <w:top w:w="0" w:type="dxa"/>
              <w:left w:w="108" w:type="dxa"/>
              <w:bottom w:w="0" w:type="dxa"/>
              <w:right w:w="108" w:type="dxa"/>
            </w:tcMar>
          </w:tcPr>
          <w:p w14:paraId="69596A37" w14:textId="77777777" w:rsidR="00EC31F9" w:rsidRPr="00261B7A" w:rsidRDefault="00EC31F9" w:rsidP="009526D5">
            <w:pPr>
              <w:pStyle w:val="TableText"/>
              <w:spacing w:before="30" w:after="30"/>
              <w:jc w:val="right"/>
            </w:pPr>
            <w:r w:rsidRPr="00261B7A">
              <w:rPr>
                <w:rFonts w:eastAsia="Calibri"/>
                <w:color w:val="000000"/>
              </w:rPr>
              <w:t>–20,171.2</w:t>
            </w:r>
          </w:p>
        </w:tc>
        <w:tc>
          <w:tcPr>
            <w:tcW w:w="1134" w:type="dxa"/>
            <w:shd w:val="clear" w:color="auto" w:fill="FFFFFF"/>
            <w:tcMar>
              <w:top w:w="0" w:type="dxa"/>
              <w:left w:w="108" w:type="dxa"/>
              <w:bottom w:w="0" w:type="dxa"/>
              <w:right w:w="108" w:type="dxa"/>
            </w:tcMar>
          </w:tcPr>
          <w:p w14:paraId="264CAC7B" w14:textId="77777777" w:rsidR="00EC31F9" w:rsidRPr="00261B7A" w:rsidRDefault="00EC31F9" w:rsidP="009526D5">
            <w:pPr>
              <w:pStyle w:val="TableText"/>
              <w:spacing w:before="30" w:after="30"/>
              <w:jc w:val="right"/>
            </w:pPr>
            <w:r w:rsidRPr="00261B7A">
              <w:rPr>
                <w:rFonts w:eastAsia="Calibri"/>
                <w:color w:val="000000"/>
              </w:rPr>
              <w:t>–21,078.2</w:t>
            </w:r>
          </w:p>
        </w:tc>
        <w:tc>
          <w:tcPr>
            <w:tcW w:w="2941" w:type="dxa"/>
            <w:shd w:val="clear" w:color="auto" w:fill="FFFFFF"/>
            <w:tcMar>
              <w:top w:w="0" w:type="dxa"/>
              <w:left w:w="108" w:type="dxa"/>
              <w:bottom w:w="0" w:type="dxa"/>
              <w:right w:w="108" w:type="dxa"/>
            </w:tcMar>
          </w:tcPr>
          <w:p w14:paraId="66819EC2" w14:textId="77777777" w:rsidR="00EC31F9" w:rsidRPr="00261B7A" w:rsidRDefault="00EC31F9" w:rsidP="009526D5">
            <w:pPr>
              <w:pStyle w:val="TableText"/>
              <w:spacing w:before="30" w:after="30"/>
              <w:jc w:val="right"/>
            </w:pPr>
            <w:r w:rsidRPr="00261B7A">
              <w:rPr>
                <w:rFonts w:eastAsia="Calibri"/>
                <w:color w:val="000000"/>
              </w:rPr>
              <w:t>–906.9</w:t>
            </w:r>
          </w:p>
        </w:tc>
        <w:tc>
          <w:tcPr>
            <w:tcW w:w="0" w:type="auto"/>
            <w:shd w:val="clear" w:color="auto" w:fill="FFFFFF"/>
            <w:tcMar>
              <w:top w:w="0" w:type="dxa"/>
              <w:left w:w="108" w:type="dxa"/>
              <w:bottom w:w="0" w:type="dxa"/>
              <w:right w:w="108" w:type="dxa"/>
            </w:tcMar>
          </w:tcPr>
          <w:p w14:paraId="15B45B89" w14:textId="77777777" w:rsidR="00EC31F9" w:rsidRPr="00261B7A" w:rsidRDefault="00EC31F9" w:rsidP="009526D5">
            <w:pPr>
              <w:pStyle w:val="TableText"/>
              <w:spacing w:before="30" w:after="30"/>
              <w:jc w:val="right"/>
            </w:pPr>
            <w:r w:rsidRPr="00261B7A">
              <w:rPr>
                <w:rFonts w:eastAsia="Calibri"/>
                <w:color w:val="000000"/>
              </w:rPr>
              <w:t>–4.5</w:t>
            </w:r>
          </w:p>
        </w:tc>
      </w:tr>
      <w:tr w:rsidR="00EC31F9" w:rsidRPr="00261B7A" w14:paraId="7C7652CB" w14:textId="77777777" w:rsidTr="000F09B5">
        <w:tc>
          <w:tcPr>
            <w:tcW w:w="1276" w:type="dxa"/>
            <w:shd w:val="clear" w:color="auto" w:fill="FFFFFF"/>
            <w:tcMar>
              <w:top w:w="0" w:type="dxa"/>
              <w:left w:w="108" w:type="dxa"/>
              <w:bottom w:w="0" w:type="dxa"/>
              <w:right w:w="108" w:type="dxa"/>
            </w:tcMar>
          </w:tcPr>
          <w:p w14:paraId="7C72DC05" w14:textId="77777777" w:rsidR="00EC31F9" w:rsidRPr="00261B7A" w:rsidRDefault="00EC31F9" w:rsidP="009526D5">
            <w:pPr>
              <w:pStyle w:val="Tableboldblue"/>
              <w:spacing w:before="30" w:after="30"/>
            </w:pPr>
            <w:r w:rsidRPr="00261B7A">
              <w:rPr>
                <w:rFonts w:eastAsia="Calibri"/>
              </w:rPr>
              <w:t>Net</w:t>
            </w:r>
          </w:p>
        </w:tc>
        <w:tc>
          <w:tcPr>
            <w:tcW w:w="1134" w:type="dxa"/>
            <w:shd w:val="clear" w:color="auto" w:fill="FFFFFF"/>
            <w:tcMar>
              <w:top w:w="0" w:type="dxa"/>
              <w:left w:w="108" w:type="dxa"/>
              <w:bottom w:w="0" w:type="dxa"/>
              <w:right w:w="108" w:type="dxa"/>
            </w:tcMar>
          </w:tcPr>
          <w:p w14:paraId="5D6FA81F" w14:textId="77777777" w:rsidR="00EC31F9" w:rsidRPr="00261B7A" w:rsidRDefault="00EC31F9" w:rsidP="009526D5">
            <w:pPr>
              <w:pStyle w:val="Tableboldblue"/>
              <w:spacing w:before="30" w:after="30"/>
              <w:jc w:val="right"/>
            </w:pPr>
            <w:r w:rsidRPr="00261B7A">
              <w:rPr>
                <w:rFonts w:eastAsia="Calibri"/>
              </w:rPr>
              <w:t>44,548.8</w:t>
            </w:r>
          </w:p>
        </w:tc>
        <w:tc>
          <w:tcPr>
            <w:tcW w:w="1134" w:type="dxa"/>
            <w:shd w:val="clear" w:color="auto" w:fill="FFFFFF"/>
            <w:tcMar>
              <w:top w:w="0" w:type="dxa"/>
              <w:left w:w="108" w:type="dxa"/>
              <w:bottom w:w="0" w:type="dxa"/>
              <w:right w:w="108" w:type="dxa"/>
            </w:tcMar>
          </w:tcPr>
          <w:p w14:paraId="1F91944A" w14:textId="77777777" w:rsidR="00EC31F9" w:rsidRPr="00261B7A" w:rsidRDefault="00EC31F9" w:rsidP="009526D5">
            <w:pPr>
              <w:pStyle w:val="Tableboldblue"/>
              <w:spacing w:before="30" w:after="30"/>
              <w:jc w:val="right"/>
            </w:pPr>
            <w:r w:rsidRPr="00261B7A">
              <w:rPr>
                <w:rFonts w:eastAsia="Calibri"/>
              </w:rPr>
              <w:t>55,746.4</w:t>
            </w:r>
          </w:p>
        </w:tc>
        <w:tc>
          <w:tcPr>
            <w:tcW w:w="2941" w:type="dxa"/>
            <w:shd w:val="clear" w:color="auto" w:fill="FFFFFF"/>
            <w:tcMar>
              <w:top w:w="0" w:type="dxa"/>
              <w:left w:w="108" w:type="dxa"/>
              <w:bottom w:w="0" w:type="dxa"/>
              <w:right w:w="108" w:type="dxa"/>
            </w:tcMar>
          </w:tcPr>
          <w:p w14:paraId="2EF2AB5B" w14:textId="77777777" w:rsidR="00EC31F9" w:rsidRPr="00261B7A" w:rsidRDefault="00EC31F9" w:rsidP="009526D5">
            <w:pPr>
              <w:pStyle w:val="Tableboldblue"/>
              <w:spacing w:before="30" w:after="30"/>
              <w:jc w:val="right"/>
            </w:pPr>
            <w:r w:rsidRPr="00261B7A">
              <w:rPr>
                <w:rFonts w:eastAsia="Calibri"/>
              </w:rPr>
              <w:t>11,197.6</w:t>
            </w:r>
          </w:p>
        </w:tc>
        <w:tc>
          <w:tcPr>
            <w:tcW w:w="0" w:type="auto"/>
            <w:shd w:val="clear" w:color="auto" w:fill="FFFFFF"/>
            <w:tcMar>
              <w:top w:w="0" w:type="dxa"/>
              <w:left w:w="108" w:type="dxa"/>
              <w:bottom w:w="0" w:type="dxa"/>
              <w:right w:w="108" w:type="dxa"/>
            </w:tcMar>
          </w:tcPr>
          <w:p w14:paraId="2EA49F0C" w14:textId="77777777" w:rsidR="00EC31F9" w:rsidRPr="00261B7A" w:rsidRDefault="00EC31F9" w:rsidP="009526D5">
            <w:pPr>
              <w:pStyle w:val="Tableboldblue"/>
              <w:spacing w:before="30" w:after="30"/>
              <w:jc w:val="right"/>
            </w:pPr>
            <w:r w:rsidRPr="00261B7A">
              <w:rPr>
                <w:rFonts w:eastAsia="Calibri"/>
              </w:rPr>
              <w:t>25.1</w:t>
            </w:r>
          </w:p>
        </w:tc>
      </w:tr>
    </w:tbl>
    <w:p w14:paraId="625321DE" w14:textId="77777777" w:rsidR="00EC31F9" w:rsidRPr="00261B7A" w:rsidRDefault="00EC31F9" w:rsidP="00EC31F9">
      <w:pPr>
        <w:pStyle w:val="Noteundertable"/>
      </w:pPr>
      <w:r w:rsidRPr="00261B7A">
        <w:rPr>
          <w:b/>
          <w:bCs/>
        </w:rPr>
        <w:t>Note:</w:t>
      </w:r>
      <w:r w:rsidRPr="00261B7A">
        <w:t xml:space="preserve"> </w:t>
      </w:r>
      <w:r w:rsidRPr="00261B7A">
        <w:tab/>
        <w:t>Net emissions from the LULUCF sector are reported as a negative number because the sector removes more CO</w:t>
      </w:r>
      <w:r w:rsidRPr="00261B7A">
        <w:rPr>
          <w:vertAlign w:val="subscript"/>
        </w:rPr>
        <w:t>2</w:t>
      </w:r>
      <w:r w:rsidRPr="00261B7A">
        <w:t xml:space="preserve"> from the atmosphere than it emits (see chapter 6). Columns may not total due to rounding. Percentages presented are calculated from unrounded values. For Tokelau contributions, see chapter 2, table 2.1.1.</w:t>
      </w:r>
    </w:p>
    <w:p w14:paraId="2A471FAF" w14:textId="77777777" w:rsidR="00EC31F9" w:rsidRPr="00261B7A" w:rsidRDefault="00EC31F9" w:rsidP="00EC31F9">
      <w:pPr>
        <w:pStyle w:val="BodyText"/>
        <w:keepNext/>
      </w:pPr>
      <w:r w:rsidRPr="00261B7A">
        <w:t>Figure ES 4.2 presents the emissions estimates for each sector for 1990 and 2021, and the change between 1990 and 2021 estimates in kt CO</w:t>
      </w:r>
      <w:r w:rsidRPr="00261B7A">
        <w:rPr>
          <w:vertAlign w:val="subscript"/>
        </w:rPr>
        <w:t>2</w:t>
      </w:r>
      <w:r w:rsidRPr="00261B7A">
        <w:t>-e.</w:t>
      </w:r>
    </w:p>
    <w:p w14:paraId="059754D8" w14:textId="77777777" w:rsidR="00EC31F9" w:rsidRPr="00261B7A" w:rsidRDefault="00EC31F9" w:rsidP="00EC31F9">
      <w:pPr>
        <w:pStyle w:val="Figure"/>
      </w:pPr>
      <w:bookmarkStart w:id="30" w:name="_Toc131591518"/>
      <w:r w:rsidRPr="00261B7A">
        <w:rPr>
          <w:bCs/>
        </w:rPr>
        <w:t>Figure ES 4.2</w:t>
      </w:r>
      <w:r w:rsidRPr="00261B7A">
        <w:tab/>
        <w:t xml:space="preserve">Change in New Zealand’s emissions by sector, comparing </w:t>
      </w:r>
      <w:r w:rsidRPr="00261B7A">
        <w:rPr>
          <w:bCs/>
        </w:rPr>
        <w:t>1990</w:t>
      </w:r>
      <w:r w:rsidRPr="00261B7A">
        <w:t xml:space="preserve"> and </w:t>
      </w:r>
      <w:r w:rsidRPr="00261B7A">
        <w:rPr>
          <w:bCs/>
        </w:rPr>
        <w:t>2021</w:t>
      </w:r>
      <w:bookmarkEnd w:id="30"/>
    </w:p>
    <w:p w14:paraId="199E94E6" w14:textId="77777777" w:rsidR="00EC31F9" w:rsidRPr="00261B7A" w:rsidRDefault="00EC31F9" w:rsidP="00EC31F9">
      <w:pPr>
        <w:pStyle w:val="BodyText"/>
        <w:jc w:val="center"/>
      </w:pPr>
      <w:r w:rsidRPr="00261B7A">
        <w:rPr>
          <w:noProof/>
        </w:rPr>
        <w:drawing>
          <wp:inline distT="0" distB="0" distL="0" distR="0" wp14:anchorId="2990CDD7" wp14:editId="56A3EE78">
            <wp:extent cx="5208608" cy="3744410"/>
            <wp:effectExtent l="0" t="0" r="0" b="8890"/>
            <wp:docPr id="46" name="Picture 46"/>
            <wp:cNvGraphicFramePr/>
            <a:graphic xmlns:a="http://schemas.openxmlformats.org/drawingml/2006/main">
              <a:graphicData uri="http://schemas.openxmlformats.org/drawingml/2006/picture">
                <pic:pic xmlns:pic="http://schemas.openxmlformats.org/drawingml/2006/picture">
                  <pic:nvPicPr>
                    <pic:cNvPr id="46" name="Picture" descr="code/graphs/images/es_4_3_crf.png"/>
                    <pic:cNvPicPr>
                      <a:picLocks noChangeAspect="1" noChangeArrowheads="1"/>
                    </pic:cNvPicPr>
                  </pic:nvPicPr>
                  <pic:blipFill rotWithShape="1">
                    <a:blip r:embed="rId31"/>
                    <a:srcRect b="2070"/>
                    <a:stretch/>
                  </pic:blipFill>
                  <pic:spPr bwMode="auto">
                    <a:xfrm>
                      <a:off x="0" y="0"/>
                      <a:ext cx="5217449" cy="3750766"/>
                    </a:xfrm>
                    <a:prstGeom prst="rect">
                      <a:avLst/>
                    </a:prstGeom>
                    <a:noFill/>
                    <a:ln>
                      <a:noFill/>
                    </a:ln>
                    <a:extLst>
                      <a:ext uri="{53640926-AAD7-44D8-BBD7-CCE9431645EC}">
                        <a14:shadowObscured xmlns:a14="http://schemas.microsoft.com/office/drawing/2010/main"/>
                      </a:ext>
                    </a:extLst>
                  </pic:spPr>
                </pic:pic>
              </a:graphicData>
            </a:graphic>
          </wp:inline>
        </w:drawing>
      </w:r>
    </w:p>
    <w:p w14:paraId="0A92FE2D" w14:textId="4B8F2991" w:rsidR="00C13D6E" w:rsidRPr="00261B7A" w:rsidRDefault="00C13D6E" w:rsidP="006A2D0E">
      <w:pPr>
        <w:pStyle w:val="Noteundertable"/>
        <w:spacing w:after="0"/>
        <w:rPr>
          <w:b/>
          <w:bCs/>
        </w:rPr>
      </w:pPr>
      <w:r w:rsidRPr="00261B7A">
        <w:rPr>
          <w:b/>
          <w:bCs/>
        </w:rPr>
        <w:t>Note:</w:t>
      </w:r>
      <w:r w:rsidRPr="00261B7A">
        <w:tab/>
      </w:r>
      <w:r w:rsidR="006A2D0E" w:rsidRPr="00261B7A">
        <w:t>The Tokelau sector is not visible, due to its small total emissions value</w:t>
      </w:r>
      <w:r w:rsidR="0049233C" w:rsidRPr="00261B7A">
        <w:t>.</w:t>
      </w:r>
    </w:p>
    <w:p w14:paraId="73C2F865" w14:textId="77777777" w:rsidR="00EC31F9" w:rsidRPr="00261B7A" w:rsidRDefault="00EC31F9" w:rsidP="00EC31F9">
      <w:pPr>
        <w:pStyle w:val="Heading4"/>
      </w:pPr>
      <w:bookmarkStart w:id="31" w:name="energy-chapter-3"/>
      <w:bookmarkStart w:id="32" w:name="sector-specific-trends"/>
      <w:r w:rsidRPr="00261B7A">
        <w:t>Energy (chapter 3)</w:t>
      </w:r>
    </w:p>
    <w:p w14:paraId="19C0276A" w14:textId="77777777" w:rsidR="00EC31F9" w:rsidRPr="00261B7A" w:rsidRDefault="00EC31F9" w:rsidP="00EC31F9">
      <w:pPr>
        <w:pStyle w:val="Heading5"/>
        <w:spacing w:before="180"/>
      </w:pPr>
      <w:r w:rsidRPr="00261B7A">
        <w:t>2021</w:t>
      </w:r>
    </w:p>
    <w:p w14:paraId="7BB4D68F" w14:textId="77777777" w:rsidR="00EC31F9" w:rsidRPr="00261B7A" w:rsidRDefault="00EC31F9" w:rsidP="00EC31F9">
      <w:pPr>
        <w:pStyle w:val="BodyText"/>
        <w:spacing w:before="100" w:after="100"/>
      </w:pPr>
      <w:r w:rsidRPr="00261B7A">
        <w:t>In 2021, emissions from the Energy sector contributed 40.6 per cent or 31,210.1 kt CO</w:t>
      </w:r>
      <w:r w:rsidRPr="00261B7A">
        <w:rPr>
          <w:vertAlign w:val="subscript"/>
        </w:rPr>
        <w:t>2</w:t>
      </w:r>
      <w:r w:rsidRPr="00261B7A">
        <w:t>-e of New Zealand’s gross GHG emissions (see chapter 2, figure 2.2.1).</w:t>
      </w:r>
    </w:p>
    <w:p w14:paraId="63982FF9" w14:textId="77777777" w:rsidR="00EC31F9" w:rsidRPr="00261B7A" w:rsidRDefault="00EC31F9" w:rsidP="00EC31F9">
      <w:pPr>
        <w:pStyle w:val="BodyText"/>
        <w:spacing w:before="100" w:after="100"/>
      </w:pPr>
      <w:r w:rsidRPr="00261B7A">
        <w:t xml:space="preserve">The largest sources of emissions in the Energy sector were the </w:t>
      </w:r>
      <w:r w:rsidRPr="00261B7A">
        <w:rPr>
          <w:i/>
          <w:iCs/>
        </w:rPr>
        <w:t>Road transportation</w:t>
      </w:r>
      <w:r w:rsidRPr="00261B7A">
        <w:t xml:space="preserve"> category, contributing 40.5 per cent (12,654.9 kt CO</w:t>
      </w:r>
      <w:r w:rsidRPr="00261B7A">
        <w:rPr>
          <w:vertAlign w:val="subscript"/>
        </w:rPr>
        <w:t>2</w:t>
      </w:r>
      <w:r w:rsidRPr="00261B7A">
        <w:t xml:space="preserve">-e), and the </w:t>
      </w:r>
      <w:r w:rsidRPr="00261B7A">
        <w:rPr>
          <w:i/>
          <w:iCs/>
        </w:rPr>
        <w:t>Manufacturing industries and construction</w:t>
      </w:r>
      <w:r w:rsidRPr="00261B7A">
        <w:t xml:space="preserve"> category, contributing 20.2 per cent (6,302.0 kt CO</w:t>
      </w:r>
      <w:r w:rsidRPr="00261B7A">
        <w:rPr>
          <w:vertAlign w:val="subscript"/>
        </w:rPr>
        <w:t>2</w:t>
      </w:r>
      <w:r w:rsidRPr="00261B7A">
        <w:t>-e).</w:t>
      </w:r>
    </w:p>
    <w:p w14:paraId="60753F64" w14:textId="77777777" w:rsidR="00EC31F9" w:rsidRPr="00261B7A" w:rsidRDefault="00EC31F9" w:rsidP="00EC31F9">
      <w:pPr>
        <w:pStyle w:val="Heading5"/>
      </w:pPr>
      <w:r w:rsidRPr="00261B7A">
        <w:lastRenderedPageBreak/>
        <w:t>1990–2021</w:t>
      </w:r>
    </w:p>
    <w:p w14:paraId="0D0DDAAA" w14:textId="77777777" w:rsidR="00EC31F9" w:rsidRPr="00261B7A" w:rsidRDefault="00EC31F9" w:rsidP="00EC31F9">
      <w:pPr>
        <w:pStyle w:val="BodyText"/>
      </w:pPr>
      <w:r w:rsidRPr="00261B7A">
        <w:t>In 2021, emissions from the Energy sector were 31,210.1 kt CO</w:t>
      </w:r>
      <w:r w:rsidRPr="00261B7A">
        <w:rPr>
          <w:vertAlign w:val="subscript"/>
        </w:rPr>
        <w:t>2</w:t>
      </w:r>
      <w:r w:rsidRPr="00261B7A">
        <w:t>-e, an increase of 30.7 per cent (7,329.8 kt CO</w:t>
      </w:r>
      <w:r w:rsidRPr="00261B7A">
        <w:rPr>
          <w:vertAlign w:val="subscript"/>
        </w:rPr>
        <w:t>2</w:t>
      </w:r>
      <w:r w:rsidRPr="00261B7A">
        <w:t>-e) from the 1990 level of 23,880.3 kt CO</w:t>
      </w:r>
      <w:r w:rsidRPr="00261B7A">
        <w:rPr>
          <w:vertAlign w:val="subscript"/>
        </w:rPr>
        <w:t>2</w:t>
      </w:r>
      <w:r w:rsidRPr="00261B7A">
        <w:t>-e. This growth in emissions is primarily from increases in:</w:t>
      </w:r>
    </w:p>
    <w:p w14:paraId="678A5E7B" w14:textId="77777777" w:rsidR="00EC31F9" w:rsidRPr="00261B7A" w:rsidRDefault="00EC31F9" w:rsidP="00EC31F9">
      <w:pPr>
        <w:pStyle w:val="Bullet"/>
      </w:pPr>
      <w:r w:rsidRPr="00261B7A">
        <w:rPr>
          <w:i/>
          <w:iCs/>
        </w:rPr>
        <w:t xml:space="preserve">Road transportation </w:t>
      </w:r>
      <w:r w:rsidRPr="00261B7A">
        <w:t>(85.3 per cent; 5,825.8 kt CO</w:t>
      </w:r>
      <w:r w:rsidRPr="00261B7A">
        <w:rPr>
          <w:vertAlign w:val="subscript"/>
        </w:rPr>
        <w:t>2</w:t>
      </w:r>
      <w:r w:rsidRPr="00261B7A">
        <w:t>-e)</w:t>
      </w:r>
    </w:p>
    <w:p w14:paraId="425793C3" w14:textId="77777777" w:rsidR="00EC31F9" w:rsidRPr="00261B7A" w:rsidRDefault="00EC31F9" w:rsidP="00EC31F9">
      <w:pPr>
        <w:pStyle w:val="Bullet"/>
      </w:pPr>
      <w:r w:rsidRPr="00261B7A">
        <w:rPr>
          <w:i/>
          <w:iCs/>
        </w:rPr>
        <w:t xml:space="preserve">Food processing, beverages and tobacco </w:t>
      </w:r>
      <w:r w:rsidRPr="00261B7A">
        <w:t>(67.4 per cent; 1,127.5 kt CO</w:t>
      </w:r>
      <w:r w:rsidRPr="00261B7A">
        <w:rPr>
          <w:vertAlign w:val="subscript"/>
        </w:rPr>
        <w:t>2</w:t>
      </w:r>
      <w:r w:rsidRPr="00261B7A">
        <w:t>-e)</w:t>
      </w:r>
    </w:p>
    <w:p w14:paraId="34CC7C14" w14:textId="77777777" w:rsidR="00EC31F9" w:rsidRPr="00261B7A" w:rsidRDefault="00EC31F9" w:rsidP="00EC31F9">
      <w:pPr>
        <w:pStyle w:val="Bullet"/>
        <w:rPr>
          <w:iCs/>
        </w:rPr>
      </w:pPr>
      <w:r w:rsidRPr="00261B7A">
        <w:rPr>
          <w:i/>
          <w:iCs/>
        </w:rPr>
        <w:t xml:space="preserve">Public electricity and heat production </w:t>
      </w:r>
      <w:r w:rsidRPr="00261B7A">
        <w:t>(26.5 per cent; 926.5 kt CO</w:t>
      </w:r>
      <w:r w:rsidRPr="00261B7A">
        <w:rPr>
          <w:vertAlign w:val="subscript"/>
        </w:rPr>
        <w:t>2</w:t>
      </w:r>
      <w:r w:rsidRPr="00261B7A">
        <w:t>-e)</w:t>
      </w:r>
      <w:r w:rsidRPr="00261B7A">
        <w:rPr>
          <w:i/>
        </w:rPr>
        <w:t>.</w:t>
      </w:r>
    </w:p>
    <w:p w14:paraId="23C0D5BF" w14:textId="15586D9A" w:rsidR="00EC31F9" w:rsidRPr="00261B7A" w:rsidRDefault="00EC31F9" w:rsidP="00EC31F9">
      <w:pPr>
        <w:pStyle w:val="BodyText"/>
      </w:pPr>
      <w:r w:rsidRPr="00261B7A">
        <w:t xml:space="preserve">In 2021, emissions from </w:t>
      </w:r>
      <w:r w:rsidRPr="00261B7A">
        <w:rPr>
          <w:i/>
          <w:iCs/>
        </w:rPr>
        <w:t>Manufacture of solid fuels and other energy industries,</w:t>
      </w:r>
      <w:r w:rsidRPr="00261B7A">
        <w:t xml:space="preserve"> a historically significant contributor to New Zealand’s emissions, were lower than the 1990 level by 85.3</w:t>
      </w:r>
      <w:r w:rsidR="00BE2B02" w:rsidRPr="00261B7A">
        <w:t> </w:t>
      </w:r>
      <w:r w:rsidRPr="00261B7A">
        <w:t>per</w:t>
      </w:r>
      <w:r w:rsidR="00BE2B02" w:rsidRPr="00261B7A">
        <w:t> </w:t>
      </w:r>
      <w:r w:rsidRPr="00261B7A">
        <w:t>cent (1,463.9 kt CO</w:t>
      </w:r>
      <w:r w:rsidRPr="00261B7A">
        <w:rPr>
          <w:vertAlign w:val="subscript"/>
        </w:rPr>
        <w:t>2</w:t>
      </w:r>
      <w:r w:rsidRPr="00261B7A">
        <w:t>-e). This decrease is primarily due to the cessation of synthetic gasoline production in 1997.</w:t>
      </w:r>
    </w:p>
    <w:p w14:paraId="37D4C8FE" w14:textId="77777777" w:rsidR="00EC31F9" w:rsidRPr="00261B7A" w:rsidRDefault="00EC31F9" w:rsidP="00EC31F9">
      <w:pPr>
        <w:pStyle w:val="BodyText"/>
      </w:pPr>
      <w:r w:rsidRPr="00261B7A">
        <w:t>Figure 2.2.7 (chapter 2) shows the Energy sector emissions time series from 1990 to 2021. Emissions increased from 1990 to around 2005, before decreasing slightly and then remaining steady until the present day.</w:t>
      </w:r>
    </w:p>
    <w:p w14:paraId="792F927C" w14:textId="77777777" w:rsidR="00EC31F9" w:rsidRPr="00261B7A" w:rsidRDefault="00EC31F9" w:rsidP="00EC31F9">
      <w:pPr>
        <w:pStyle w:val="Heading5"/>
      </w:pPr>
      <w:r w:rsidRPr="00261B7A">
        <w:t>2020–2021</w:t>
      </w:r>
    </w:p>
    <w:p w14:paraId="31139390" w14:textId="77777777" w:rsidR="00EC31F9" w:rsidRPr="00261B7A" w:rsidRDefault="00EC31F9" w:rsidP="00EC31F9">
      <w:pPr>
        <w:pStyle w:val="BodyText"/>
      </w:pPr>
      <w:r w:rsidRPr="00261B7A">
        <w:t>Between 2020 and 2021, emissions from the Energy sector increased by 0.3 per cent (93.2 kt CO</w:t>
      </w:r>
      <w:r w:rsidRPr="00261B7A">
        <w:rPr>
          <w:vertAlign w:val="subscript"/>
        </w:rPr>
        <w:t>2</w:t>
      </w:r>
      <w:r w:rsidRPr="00261B7A">
        <w:t>-e). This is primarily due to the 5.0 per cent (606.2 kt CO</w:t>
      </w:r>
      <w:r w:rsidRPr="00261B7A">
        <w:rPr>
          <w:vertAlign w:val="subscript"/>
        </w:rPr>
        <w:t>2</w:t>
      </w:r>
      <w:r w:rsidRPr="00261B7A">
        <w:t xml:space="preserve">-e) increase in emissions from category 1.A.3.b </w:t>
      </w:r>
      <w:r w:rsidRPr="00261B7A">
        <w:rPr>
          <w:i/>
          <w:iCs/>
        </w:rPr>
        <w:t>Road transportation</w:t>
      </w:r>
      <w:r w:rsidRPr="00261B7A">
        <w:t>, followed by a 42.7 per cent (118.1 kt CO</w:t>
      </w:r>
      <w:r w:rsidRPr="00261B7A">
        <w:rPr>
          <w:vertAlign w:val="subscript"/>
        </w:rPr>
        <w:t>2</w:t>
      </w:r>
      <w:r w:rsidRPr="00261B7A">
        <w:t xml:space="preserve">-e) increase from category 1.A.2.f </w:t>
      </w:r>
      <w:r w:rsidRPr="00261B7A">
        <w:rPr>
          <w:i/>
          <w:iCs/>
        </w:rPr>
        <w:t>Non-metallic minerals</w:t>
      </w:r>
      <w:r w:rsidRPr="00261B7A">
        <w:t xml:space="preserve">. The increase was partially offset by category 1.A.2.c </w:t>
      </w:r>
      <w:r w:rsidRPr="00261B7A">
        <w:rPr>
          <w:i/>
          <w:iCs/>
        </w:rPr>
        <w:t>Chemicals</w:t>
      </w:r>
      <w:r w:rsidRPr="00261B7A">
        <w:t>, which decreased by 17.6 per cent (272.5 kt CO</w:t>
      </w:r>
      <w:r w:rsidRPr="00261B7A">
        <w:rPr>
          <w:vertAlign w:val="subscript"/>
        </w:rPr>
        <w:t>2</w:t>
      </w:r>
      <w:r w:rsidRPr="00261B7A">
        <w:t>-e). A 4.4 per cent (200.9 kt CO</w:t>
      </w:r>
      <w:r w:rsidRPr="00261B7A">
        <w:rPr>
          <w:vertAlign w:val="subscript"/>
        </w:rPr>
        <w:t>2</w:t>
      </w:r>
      <w:r w:rsidRPr="00261B7A">
        <w:t xml:space="preserve">-e) decrease also occurred in emissions from category 1.A.1.a </w:t>
      </w:r>
      <w:r w:rsidRPr="00261B7A">
        <w:rPr>
          <w:i/>
          <w:iCs/>
        </w:rPr>
        <w:t>Public electricity and heat production</w:t>
      </w:r>
      <w:r w:rsidRPr="00261B7A">
        <w:t>.</w:t>
      </w:r>
    </w:p>
    <w:p w14:paraId="5710C02C" w14:textId="77777777" w:rsidR="00EC31F9" w:rsidRPr="00261B7A" w:rsidRDefault="00EC31F9" w:rsidP="00EC31F9">
      <w:pPr>
        <w:pStyle w:val="BodyText"/>
      </w:pPr>
      <w:r w:rsidRPr="00261B7A">
        <w:t>The 2020 calendar year saw disruptions to economic activity in New Zealand, with the effects of the COVID-19 pandemic being felt by the Energy sector throughout the year. The sector saw a rebound during 2021, but consumption remained below pre-2020 levels. All of New Zealand moved to Alert Level 4</w:t>
      </w:r>
      <w:r w:rsidRPr="00261B7A">
        <w:rPr>
          <w:rStyle w:val="FootnoteReference"/>
        </w:rPr>
        <w:footnoteReference w:id="5"/>
      </w:r>
      <w:r w:rsidRPr="00261B7A">
        <w:t xml:space="preserve"> on 17 August 2021. The northern regions of New Zealand, including </w:t>
      </w:r>
      <w:r w:rsidRPr="00261B7A">
        <w:rPr>
          <w:spacing w:val="-2"/>
        </w:rPr>
        <w:t>Auckland, remained under tighter restrictions on activities and movements for the rest of 2021.</w:t>
      </w:r>
    </w:p>
    <w:p w14:paraId="38A92F0D" w14:textId="77777777" w:rsidR="00EC31F9" w:rsidRPr="00261B7A" w:rsidRDefault="00EC31F9" w:rsidP="00EC31F9">
      <w:pPr>
        <w:pStyle w:val="BodyText"/>
      </w:pPr>
      <w:r w:rsidRPr="00261B7A">
        <w:t>Restrictions on activities and movements as part of the response to the COVID-19 pandemic also affected the commercial and industrial sectors. Industries that were deemed non-essential faced restrictions on their operations, and continued disruptions to global supply chains affected business activity in New Zealand. The combination of COVID-19-related restrictions and global supply chain disruptions contributed significantly to decreases in business activity for basic metals and the mining sectors in particular.</w:t>
      </w:r>
    </w:p>
    <w:p w14:paraId="4D7EE21C" w14:textId="77777777" w:rsidR="00EC31F9" w:rsidRPr="00261B7A" w:rsidRDefault="00EC31F9" w:rsidP="00EC31F9">
      <w:pPr>
        <w:pStyle w:val="Heading4"/>
      </w:pPr>
      <w:bookmarkStart w:id="33" w:name="ippu-chapter-4"/>
      <w:bookmarkEnd w:id="31"/>
      <w:r w:rsidRPr="00261B7A">
        <w:t>IPPU (chapter 4)</w:t>
      </w:r>
    </w:p>
    <w:p w14:paraId="17B52497" w14:textId="77777777" w:rsidR="00EC31F9" w:rsidRPr="00261B7A" w:rsidRDefault="00EC31F9" w:rsidP="00EC31F9">
      <w:pPr>
        <w:pStyle w:val="Heading5"/>
        <w:spacing w:before="180"/>
      </w:pPr>
      <w:r w:rsidRPr="00261B7A">
        <w:t>2021</w:t>
      </w:r>
    </w:p>
    <w:p w14:paraId="1B497539" w14:textId="24A3DFE0" w:rsidR="00EC31F9" w:rsidRPr="00261B7A" w:rsidRDefault="00EC31F9" w:rsidP="00EC31F9">
      <w:pPr>
        <w:pStyle w:val="BodyText"/>
      </w:pPr>
      <w:r w:rsidRPr="00261B7A">
        <w:t>In 2021, emissions in the IPPU sector contributed 6.0 per cent (4,609.6 kt CO</w:t>
      </w:r>
      <w:r w:rsidRPr="00261B7A">
        <w:rPr>
          <w:vertAlign w:val="subscript"/>
        </w:rPr>
        <w:t>2</w:t>
      </w:r>
      <w:r w:rsidRPr="00261B7A">
        <w:t>-e) of New</w:t>
      </w:r>
      <w:r w:rsidR="00BE2B02" w:rsidRPr="00261B7A">
        <w:t> </w:t>
      </w:r>
      <w:r w:rsidRPr="00261B7A">
        <w:t>Zealand’s gross GHG emissions.</w:t>
      </w:r>
    </w:p>
    <w:p w14:paraId="6C22C04E" w14:textId="77777777" w:rsidR="00EC31F9" w:rsidRPr="00261B7A" w:rsidRDefault="00EC31F9" w:rsidP="00EC31F9">
      <w:pPr>
        <w:pStyle w:val="BodyText"/>
      </w:pPr>
      <w:r w:rsidRPr="00261B7A">
        <w:lastRenderedPageBreak/>
        <w:t xml:space="preserve">The largest category was the </w:t>
      </w:r>
      <w:r w:rsidRPr="00261B7A">
        <w:rPr>
          <w:i/>
          <w:iCs/>
        </w:rPr>
        <w:t>Metal industry</w:t>
      </w:r>
      <w:r w:rsidRPr="00261B7A">
        <w:t>, with substantial CO</w:t>
      </w:r>
      <w:r w:rsidRPr="00261B7A">
        <w:rPr>
          <w:vertAlign w:val="subscript"/>
        </w:rPr>
        <w:t>2</w:t>
      </w:r>
      <w:r w:rsidRPr="00261B7A">
        <w:t xml:space="preserve"> emissions from the </w:t>
      </w:r>
      <w:r w:rsidRPr="00261B7A">
        <w:rPr>
          <w:i/>
          <w:iCs/>
        </w:rPr>
        <w:t>Iron and steel production</w:t>
      </w:r>
      <w:r w:rsidRPr="00261B7A">
        <w:t xml:space="preserve"> and </w:t>
      </w:r>
      <w:r w:rsidRPr="00261B7A">
        <w:rPr>
          <w:i/>
          <w:iCs/>
        </w:rPr>
        <w:t>Aluminium production</w:t>
      </w:r>
      <w:r w:rsidRPr="00261B7A">
        <w:t xml:space="preserve"> categories, as well as PFCs from the </w:t>
      </w:r>
      <w:r w:rsidRPr="00261B7A">
        <w:rPr>
          <w:i/>
          <w:iCs/>
        </w:rPr>
        <w:t>Aluminium production</w:t>
      </w:r>
      <w:r w:rsidRPr="00261B7A">
        <w:t xml:space="preserve"> category in earlier years. The </w:t>
      </w:r>
      <w:r w:rsidRPr="00261B7A">
        <w:rPr>
          <w:i/>
          <w:iCs/>
        </w:rPr>
        <w:t>Mineral industry</w:t>
      </w:r>
      <w:r w:rsidRPr="00261B7A">
        <w:t xml:space="preserve"> and </w:t>
      </w:r>
      <w:r w:rsidRPr="00261B7A">
        <w:rPr>
          <w:i/>
          <w:iCs/>
        </w:rPr>
        <w:t>Chemical industry</w:t>
      </w:r>
      <w:r w:rsidRPr="00261B7A">
        <w:t xml:space="preserve"> categories also contributed significant CO</w:t>
      </w:r>
      <w:r w:rsidRPr="00261B7A">
        <w:rPr>
          <w:vertAlign w:val="subscript"/>
        </w:rPr>
        <w:t>2</w:t>
      </w:r>
      <w:r w:rsidRPr="00261B7A">
        <w:t xml:space="preserve"> emissions. Most of the non-CO</w:t>
      </w:r>
      <w:r w:rsidRPr="00261B7A">
        <w:rPr>
          <w:vertAlign w:val="subscript"/>
        </w:rPr>
        <w:t>2</w:t>
      </w:r>
      <w:r w:rsidRPr="00261B7A">
        <w:t xml:space="preserve"> emissions came from the </w:t>
      </w:r>
      <w:r w:rsidRPr="00261B7A">
        <w:rPr>
          <w:i/>
          <w:iCs/>
        </w:rPr>
        <w:t>Product uses as substitutes for ODS</w:t>
      </w:r>
      <w:r w:rsidRPr="00261B7A">
        <w:t xml:space="preserve"> category.</w:t>
      </w:r>
    </w:p>
    <w:p w14:paraId="0C385DCF" w14:textId="77777777" w:rsidR="00EC31F9" w:rsidRPr="00261B7A" w:rsidRDefault="00EC31F9" w:rsidP="00EC31F9">
      <w:pPr>
        <w:pStyle w:val="BodyText"/>
      </w:pPr>
      <w:r w:rsidRPr="00261B7A">
        <w:t>The IPPU sector also produced smaller amounts of CH</w:t>
      </w:r>
      <w:r w:rsidRPr="00261B7A">
        <w:rPr>
          <w:vertAlign w:val="subscript"/>
        </w:rPr>
        <w:t>4</w:t>
      </w:r>
      <w:r w:rsidRPr="00261B7A">
        <w:t xml:space="preserve"> from methanol production and N</w:t>
      </w:r>
      <w:r w:rsidRPr="00261B7A">
        <w:rPr>
          <w:vertAlign w:val="subscript"/>
        </w:rPr>
        <w:t>2</w:t>
      </w:r>
      <w:r w:rsidRPr="00261B7A">
        <w:t xml:space="preserve">O used for medical applications in the </w:t>
      </w:r>
      <w:r w:rsidRPr="00261B7A">
        <w:rPr>
          <w:i/>
          <w:iCs/>
        </w:rPr>
        <w:t>Other product manufacture and use</w:t>
      </w:r>
      <w:r w:rsidRPr="00261B7A">
        <w:t xml:space="preserve"> category.</w:t>
      </w:r>
    </w:p>
    <w:p w14:paraId="69739035" w14:textId="77777777" w:rsidR="00EC31F9" w:rsidRPr="00261B7A" w:rsidRDefault="00EC31F9" w:rsidP="00EC31F9">
      <w:pPr>
        <w:pStyle w:val="BodyText"/>
      </w:pPr>
      <w:r w:rsidRPr="00261B7A">
        <w:t xml:space="preserve">Coal and natural gas are also used on a significant scale for energy in these industries, and related emissions are reported under the Energy sector in the category </w:t>
      </w:r>
      <w:r w:rsidRPr="00261B7A">
        <w:rPr>
          <w:i/>
          <w:iCs/>
        </w:rPr>
        <w:t>Manufacturing industries and construction</w:t>
      </w:r>
      <w:r w:rsidRPr="00261B7A">
        <w:t>.</w:t>
      </w:r>
    </w:p>
    <w:p w14:paraId="1170426F" w14:textId="77777777" w:rsidR="00EC31F9" w:rsidRPr="00261B7A" w:rsidRDefault="00EC31F9" w:rsidP="00EC31F9">
      <w:pPr>
        <w:pStyle w:val="Heading5"/>
      </w:pPr>
      <w:r w:rsidRPr="00261B7A">
        <w:t>1990–2021</w:t>
      </w:r>
    </w:p>
    <w:p w14:paraId="1AB1557F" w14:textId="77777777" w:rsidR="00EC31F9" w:rsidRPr="00261B7A" w:rsidRDefault="00EC31F9" w:rsidP="00EC31F9">
      <w:pPr>
        <w:pStyle w:val="BodyText"/>
      </w:pPr>
      <w:r w:rsidRPr="00261B7A">
        <w:t>Emissions from the IPPU sector in 2021 were 4,609.6 kt CO</w:t>
      </w:r>
      <w:r w:rsidRPr="00261B7A">
        <w:rPr>
          <w:vertAlign w:val="subscript"/>
        </w:rPr>
        <w:t>2</w:t>
      </w:r>
      <w:r w:rsidRPr="00261B7A">
        <w:t>-e, 28.8 per cent (1,029.7 kt CO</w:t>
      </w:r>
      <w:r w:rsidRPr="00261B7A">
        <w:rPr>
          <w:vertAlign w:val="subscript"/>
        </w:rPr>
        <w:t>2</w:t>
      </w:r>
      <w:r w:rsidRPr="00261B7A">
        <w:t>-e) higher than emissions in 1990 (3,579.9 kt CO</w:t>
      </w:r>
      <w:r w:rsidRPr="00261B7A">
        <w:rPr>
          <w:vertAlign w:val="subscript"/>
        </w:rPr>
        <w:t>2</w:t>
      </w:r>
      <w:r w:rsidRPr="00261B7A">
        <w:t xml:space="preserve">-e). This increase was mainly driven by increasing emissions from the </w:t>
      </w:r>
      <w:r w:rsidRPr="00261B7A">
        <w:rPr>
          <w:i/>
          <w:iCs/>
        </w:rPr>
        <w:t>Product uses as substitutes for ODS</w:t>
      </w:r>
      <w:r w:rsidRPr="00261B7A">
        <w:t xml:space="preserve"> category, due to the introduction of HFCs to replace ODS in refrigeration and air conditioning, and the increased use of household and commercial air conditioning.</w:t>
      </w:r>
    </w:p>
    <w:p w14:paraId="2029B351" w14:textId="77777777" w:rsidR="00EC31F9" w:rsidRPr="00261B7A" w:rsidRDefault="00EC31F9" w:rsidP="00EC31F9">
      <w:pPr>
        <w:pStyle w:val="BodyText"/>
      </w:pPr>
      <w:r w:rsidRPr="00261B7A">
        <w:t xml:space="preserve">Carbon dioxide emissions also increased due to the growing production of metals, lime and cement, but these increases were at a slower rate. In 2020 and 2021, the increase was offset by reduced emissions due to COVID-19 restrictions and the progressive shutdown of the Marsden Point oil refinery. There has been a substantial reduction in emissions of PFCs due to improved management of anode effects in the </w:t>
      </w:r>
      <w:r w:rsidRPr="00261B7A">
        <w:rPr>
          <w:i/>
          <w:iCs/>
        </w:rPr>
        <w:t xml:space="preserve">Aluminium production </w:t>
      </w:r>
      <w:r w:rsidRPr="00261B7A">
        <w:t>category</w:t>
      </w:r>
      <w:r w:rsidRPr="00261B7A">
        <w:rPr>
          <w:i/>
          <w:iCs/>
        </w:rPr>
        <w:t>,</w:t>
      </w:r>
      <w:r w:rsidRPr="00261B7A">
        <w:t xml:space="preserve"> and some reduction in emissions of N</w:t>
      </w:r>
      <w:r w:rsidRPr="00261B7A">
        <w:rPr>
          <w:vertAlign w:val="subscript"/>
        </w:rPr>
        <w:t>2</w:t>
      </w:r>
      <w:r w:rsidRPr="00261B7A">
        <w:t xml:space="preserve">O used for medical applications in the </w:t>
      </w:r>
      <w:r w:rsidRPr="00261B7A">
        <w:rPr>
          <w:i/>
          <w:iCs/>
        </w:rPr>
        <w:t>Other product manufacture and use</w:t>
      </w:r>
      <w:r w:rsidRPr="00261B7A">
        <w:t xml:space="preserve"> category.</w:t>
      </w:r>
    </w:p>
    <w:p w14:paraId="7AD0FD85" w14:textId="77777777" w:rsidR="00EC31F9" w:rsidRPr="00261B7A" w:rsidRDefault="00EC31F9" w:rsidP="00EC31F9">
      <w:pPr>
        <w:pStyle w:val="Heading5"/>
      </w:pPr>
      <w:r w:rsidRPr="00261B7A">
        <w:t>2020–2021</w:t>
      </w:r>
    </w:p>
    <w:p w14:paraId="3E9AC204" w14:textId="77777777" w:rsidR="00EC31F9" w:rsidRPr="00261B7A" w:rsidRDefault="00EC31F9" w:rsidP="00EC31F9">
      <w:pPr>
        <w:pStyle w:val="BodyText"/>
      </w:pPr>
      <w:r w:rsidRPr="00261B7A">
        <w:t>Between 2020 and 2021, emissions from the IPPU sector increased by 0.6 per cent (26.7 kt CO</w:t>
      </w:r>
      <w:r w:rsidRPr="00261B7A">
        <w:rPr>
          <w:vertAlign w:val="subscript"/>
        </w:rPr>
        <w:t>2</w:t>
      </w:r>
      <w:r w:rsidRPr="00261B7A">
        <w:t>-e).</w:t>
      </w:r>
    </w:p>
    <w:p w14:paraId="5211E01B" w14:textId="77777777" w:rsidR="00EC31F9" w:rsidRPr="00261B7A" w:rsidRDefault="00EC31F9" w:rsidP="00EC31F9">
      <w:pPr>
        <w:pStyle w:val="BodyText"/>
      </w:pPr>
      <w:r w:rsidRPr="00261B7A">
        <w:t>This change was the result of a return to normal rates of production and emissions from the </w:t>
      </w:r>
      <w:r w:rsidRPr="00261B7A">
        <w:rPr>
          <w:i/>
          <w:iCs/>
        </w:rPr>
        <w:t>Metal industry</w:t>
      </w:r>
      <w:r w:rsidRPr="00261B7A">
        <w:t xml:space="preserve"> and other categories, following plant shutdowns related to COVID-19 restrictions in 2020. New Zealand had a national lockdown in force from 26 March to 27 May 2020. Emissions from the Marsden Point oil refinery, however, remained at lower levels as the company prepared to shut the plant down in March 2022.</w:t>
      </w:r>
    </w:p>
    <w:p w14:paraId="12CF3EAF" w14:textId="77777777" w:rsidR="00EC31F9" w:rsidRPr="00261B7A" w:rsidRDefault="00EC31F9" w:rsidP="00EC31F9">
      <w:pPr>
        <w:pStyle w:val="Heading4"/>
      </w:pPr>
      <w:bookmarkStart w:id="34" w:name="agriculture-chapter-5"/>
      <w:bookmarkEnd w:id="33"/>
      <w:r w:rsidRPr="00261B7A">
        <w:t>Agriculture (chapter 5)</w:t>
      </w:r>
    </w:p>
    <w:p w14:paraId="33A46F01" w14:textId="77777777" w:rsidR="00EC31F9" w:rsidRPr="00261B7A" w:rsidRDefault="00EC31F9" w:rsidP="00EC31F9">
      <w:pPr>
        <w:pStyle w:val="Heading5"/>
        <w:spacing w:before="180"/>
      </w:pPr>
      <w:r w:rsidRPr="00261B7A">
        <w:t>2021</w:t>
      </w:r>
    </w:p>
    <w:p w14:paraId="46435261" w14:textId="77777777" w:rsidR="00EC31F9" w:rsidRPr="00261B7A" w:rsidRDefault="00EC31F9" w:rsidP="00EC31F9">
      <w:pPr>
        <w:pStyle w:val="BodyText"/>
      </w:pPr>
      <w:r w:rsidRPr="00261B7A">
        <w:t>In 2021, emissions from the Agriculture sector totalled 37,786.1 kt CO</w:t>
      </w:r>
      <w:r w:rsidRPr="00261B7A">
        <w:rPr>
          <w:vertAlign w:val="subscript"/>
        </w:rPr>
        <w:t>2</w:t>
      </w:r>
      <w:r w:rsidRPr="00261B7A">
        <w:t>-e, representing 49.2 per cent of New Zealand’s gross emissions in 2021.</w:t>
      </w:r>
    </w:p>
    <w:p w14:paraId="1FBC24FD" w14:textId="25B5614E" w:rsidR="00EC31F9" w:rsidRPr="00261B7A" w:rsidRDefault="00EC31F9" w:rsidP="00EC31F9">
      <w:pPr>
        <w:pStyle w:val="BodyText"/>
        <w:spacing w:before="0"/>
      </w:pPr>
      <w:r w:rsidRPr="00261B7A">
        <w:rPr>
          <w:i/>
          <w:iCs/>
        </w:rPr>
        <w:t>Enteric fermentation</w:t>
      </w:r>
      <w:r w:rsidRPr="00261B7A">
        <w:t xml:space="preserve"> was the main source of Agriculture emissions, contributing 73.7</w:t>
      </w:r>
      <w:r w:rsidR="009E50B0" w:rsidRPr="00261B7A">
        <w:t> </w:t>
      </w:r>
      <w:r w:rsidRPr="00261B7A">
        <w:t>per cent</w:t>
      </w:r>
      <w:r w:rsidR="009E50B0" w:rsidRPr="00261B7A">
        <w:t> </w:t>
      </w:r>
      <w:r w:rsidRPr="00261B7A">
        <w:t>(27,859.0 kt CO</w:t>
      </w:r>
      <w:r w:rsidRPr="00261B7A">
        <w:rPr>
          <w:vertAlign w:val="subscript"/>
        </w:rPr>
        <w:t>2</w:t>
      </w:r>
      <w:r w:rsidRPr="00261B7A">
        <w:t xml:space="preserve">-e) of the sector’s total. </w:t>
      </w:r>
      <w:r w:rsidRPr="00261B7A">
        <w:rPr>
          <w:i/>
          <w:iCs/>
        </w:rPr>
        <w:t>Agricultural soils</w:t>
      </w:r>
      <w:r w:rsidRPr="00261B7A">
        <w:t xml:space="preserve"> contributed 19.4 per cent (</w:t>
      </w:r>
      <w:r w:rsidRPr="00261B7A">
        <w:rPr>
          <w:rFonts w:cs="Calibri"/>
        </w:rPr>
        <w:t>7,315.2 kt CO</w:t>
      </w:r>
      <w:r w:rsidRPr="00261B7A">
        <w:rPr>
          <w:rFonts w:cs="Calibri"/>
          <w:vertAlign w:val="subscript"/>
        </w:rPr>
        <w:t>2</w:t>
      </w:r>
      <w:r w:rsidRPr="00261B7A">
        <w:rPr>
          <w:rFonts w:cs="Calibri"/>
        </w:rPr>
        <w:t>-e</w:t>
      </w:r>
      <w:r w:rsidRPr="00261B7A">
        <w:t xml:space="preserve">), followed by </w:t>
      </w:r>
      <w:r w:rsidRPr="00261B7A">
        <w:rPr>
          <w:i/>
          <w:iCs/>
        </w:rPr>
        <w:t>Manure management</w:t>
      </w:r>
      <w:r w:rsidRPr="00261B7A">
        <w:t xml:space="preserve"> at 4.4 per cent (</w:t>
      </w:r>
      <w:r w:rsidRPr="00261B7A">
        <w:rPr>
          <w:rFonts w:cs="Calibri"/>
          <w:color w:val="000000"/>
        </w:rPr>
        <w:t>1,680.5 kt CO</w:t>
      </w:r>
      <w:r w:rsidRPr="00261B7A">
        <w:rPr>
          <w:rFonts w:cs="Calibri"/>
          <w:color w:val="000000"/>
          <w:vertAlign w:val="subscript"/>
        </w:rPr>
        <w:t>2</w:t>
      </w:r>
      <w:r w:rsidRPr="00261B7A">
        <w:rPr>
          <w:rFonts w:cs="Calibri"/>
        </w:rPr>
        <w:t>-e</w:t>
      </w:r>
      <w:r w:rsidRPr="00261B7A">
        <w:t xml:space="preserve">) of the sector’s total emissions. </w:t>
      </w:r>
      <w:r w:rsidRPr="00261B7A">
        <w:rPr>
          <w:i/>
          <w:iCs/>
        </w:rPr>
        <w:t>Urea application</w:t>
      </w:r>
      <w:r w:rsidRPr="00261B7A">
        <w:t xml:space="preserve"> and </w:t>
      </w:r>
      <w:r w:rsidRPr="00261B7A">
        <w:rPr>
          <w:i/>
          <w:iCs/>
        </w:rPr>
        <w:t>Liming</w:t>
      </w:r>
      <w:r w:rsidRPr="00261B7A">
        <w:t xml:space="preserve"> contributed 1.5 per cent (553.2 kt CO</w:t>
      </w:r>
      <w:r w:rsidRPr="00261B7A">
        <w:rPr>
          <w:vertAlign w:val="subscript"/>
        </w:rPr>
        <w:t>2</w:t>
      </w:r>
      <w:r w:rsidRPr="00261B7A">
        <w:t>-e)</w:t>
      </w:r>
      <w:r w:rsidRPr="00261B7A">
        <w:rPr>
          <w:vertAlign w:val="subscript"/>
        </w:rPr>
        <w:t xml:space="preserve"> </w:t>
      </w:r>
      <w:r w:rsidRPr="00261B7A">
        <w:t>and 0.9 per cent (</w:t>
      </w:r>
      <w:r w:rsidRPr="00261B7A">
        <w:rPr>
          <w:rFonts w:cs="Calibri"/>
        </w:rPr>
        <w:t>355.6 kt CO</w:t>
      </w:r>
      <w:r w:rsidRPr="00261B7A">
        <w:rPr>
          <w:rFonts w:cs="Calibri"/>
          <w:vertAlign w:val="subscript"/>
        </w:rPr>
        <w:t>2</w:t>
      </w:r>
      <w:r w:rsidRPr="00261B7A">
        <w:t>-e</w:t>
      </w:r>
      <w:r w:rsidRPr="00261B7A">
        <w:rPr>
          <w:rFonts w:cs="Calibri"/>
        </w:rPr>
        <w:t xml:space="preserve">) </w:t>
      </w:r>
      <w:r w:rsidRPr="00261B7A">
        <w:t xml:space="preserve">respectively. </w:t>
      </w:r>
      <w:r w:rsidRPr="00261B7A">
        <w:rPr>
          <w:i/>
          <w:iCs/>
        </w:rPr>
        <w:t>Field burning of agricultural residues</w:t>
      </w:r>
      <w:r w:rsidRPr="00261B7A">
        <w:t xml:space="preserve"> contributed the remaining 0.1 per cent (</w:t>
      </w:r>
      <w:r w:rsidRPr="00261B7A">
        <w:rPr>
          <w:rFonts w:cs="Calibri"/>
        </w:rPr>
        <w:t>22.6 kt CO</w:t>
      </w:r>
      <w:r w:rsidRPr="00261B7A">
        <w:rPr>
          <w:rFonts w:cs="Calibri"/>
          <w:vertAlign w:val="subscript"/>
        </w:rPr>
        <w:t>2</w:t>
      </w:r>
      <w:r w:rsidRPr="00261B7A">
        <w:t>-e</w:t>
      </w:r>
      <w:r w:rsidRPr="00261B7A">
        <w:rPr>
          <w:rFonts w:cs="Calibri"/>
        </w:rPr>
        <w:t>)</w:t>
      </w:r>
      <w:r w:rsidRPr="00261B7A">
        <w:t>.</w:t>
      </w:r>
    </w:p>
    <w:p w14:paraId="0FE3B7E8" w14:textId="77777777" w:rsidR="00EC31F9" w:rsidRPr="00261B7A" w:rsidRDefault="00EC31F9" w:rsidP="009E50B0">
      <w:pPr>
        <w:pStyle w:val="BodyText"/>
        <w:spacing w:after="100"/>
      </w:pPr>
      <w:r w:rsidRPr="00261B7A">
        <w:lastRenderedPageBreak/>
        <w:t xml:space="preserve">Methane emissions from </w:t>
      </w:r>
      <w:r w:rsidRPr="00261B7A">
        <w:rPr>
          <w:i/>
          <w:iCs/>
        </w:rPr>
        <w:t>Enteric fermentation</w:t>
      </w:r>
      <w:r w:rsidRPr="00261B7A">
        <w:t xml:space="preserve"> contributed 36.3 per cent (</w:t>
      </w:r>
      <w:r w:rsidRPr="00261B7A">
        <w:rPr>
          <w:rFonts w:cs="Calibri"/>
        </w:rPr>
        <w:t>27,859.0 kt CO</w:t>
      </w:r>
      <w:r w:rsidRPr="00261B7A">
        <w:rPr>
          <w:rFonts w:cs="Calibri"/>
          <w:vertAlign w:val="subscript"/>
        </w:rPr>
        <w:t>2</w:t>
      </w:r>
      <w:r w:rsidRPr="00261B7A">
        <w:rPr>
          <w:rFonts w:cs="Calibri"/>
        </w:rPr>
        <w:t xml:space="preserve">-e) </w:t>
      </w:r>
      <w:r w:rsidRPr="00261B7A">
        <w:t>of New Zealand’s gross emissions, and N</w:t>
      </w:r>
      <w:r w:rsidRPr="00261B7A">
        <w:rPr>
          <w:vertAlign w:val="subscript"/>
        </w:rPr>
        <w:t>2</w:t>
      </w:r>
      <w:r w:rsidRPr="00261B7A">
        <w:t xml:space="preserve">O emissions from the </w:t>
      </w:r>
      <w:r w:rsidRPr="00261B7A">
        <w:rPr>
          <w:i/>
          <w:iCs/>
        </w:rPr>
        <w:t>Agricultural soils</w:t>
      </w:r>
      <w:r w:rsidRPr="00261B7A">
        <w:t xml:space="preserve"> category contributed 9.5 per cent (</w:t>
      </w:r>
      <w:r w:rsidRPr="00261B7A">
        <w:rPr>
          <w:rFonts w:cs="Calibri"/>
        </w:rPr>
        <w:t>7,315.2 kt CO</w:t>
      </w:r>
      <w:r w:rsidRPr="00261B7A">
        <w:rPr>
          <w:rFonts w:cs="Calibri"/>
          <w:vertAlign w:val="subscript"/>
        </w:rPr>
        <w:t>2</w:t>
      </w:r>
      <w:r w:rsidRPr="00261B7A">
        <w:rPr>
          <w:rFonts w:cs="Calibri"/>
        </w:rPr>
        <w:t>-e)</w:t>
      </w:r>
      <w:r w:rsidRPr="00261B7A">
        <w:t>.</w:t>
      </w:r>
    </w:p>
    <w:p w14:paraId="2E130963" w14:textId="77777777" w:rsidR="00EC31F9" w:rsidRPr="00261B7A" w:rsidRDefault="00EC31F9" w:rsidP="00EC31F9">
      <w:pPr>
        <w:pStyle w:val="Heading5"/>
      </w:pPr>
      <w:r w:rsidRPr="00261B7A">
        <w:t>1990–2021</w:t>
      </w:r>
    </w:p>
    <w:p w14:paraId="2B5BE718" w14:textId="77777777" w:rsidR="00EC31F9" w:rsidRPr="00261B7A" w:rsidRDefault="00EC31F9" w:rsidP="009E50B0">
      <w:pPr>
        <w:pStyle w:val="BodyText"/>
        <w:spacing w:before="100" w:after="100"/>
      </w:pPr>
      <w:r w:rsidRPr="00261B7A">
        <w:t>In 2021, New Zealand’s Agriculture sector emissions were 37,786.1 kt CO</w:t>
      </w:r>
      <w:r w:rsidRPr="00261B7A">
        <w:rPr>
          <w:vertAlign w:val="subscript"/>
        </w:rPr>
        <w:t>2</w:t>
      </w:r>
      <w:r w:rsidRPr="00261B7A">
        <w:t>-e, 13.4 per cent (4,474.1 kt CO</w:t>
      </w:r>
      <w:r w:rsidRPr="00261B7A">
        <w:rPr>
          <w:vertAlign w:val="subscript"/>
        </w:rPr>
        <w:t>2</w:t>
      </w:r>
      <w:r w:rsidRPr="00261B7A">
        <w:t>-e) above the 1990 level of 33,312.0 kt CO</w:t>
      </w:r>
      <w:r w:rsidRPr="00261B7A">
        <w:rPr>
          <w:vertAlign w:val="subscript"/>
        </w:rPr>
        <w:t>2</w:t>
      </w:r>
      <w:r w:rsidRPr="00261B7A">
        <w:t>-e.</w:t>
      </w:r>
    </w:p>
    <w:p w14:paraId="7FBD4C2C" w14:textId="77777777" w:rsidR="00EC31F9" w:rsidRPr="00261B7A" w:rsidRDefault="00EC31F9" w:rsidP="009E50B0">
      <w:pPr>
        <w:pStyle w:val="BodyText"/>
        <w:spacing w:before="100" w:after="100"/>
      </w:pPr>
      <w:r w:rsidRPr="00261B7A">
        <w:t>The greatest contributions to the increase since 1990 were a 40.2 per cent (2,098.3 kt CO</w:t>
      </w:r>
      <w:r w:rsidRPr="00261B7A">
        <w:rPr>
          <w:vertAlign w:val="subscript"/>
        </w:rPr>
        <w:t>2</w:t>
      </w:r>
      <w:r w:rsidRPr="00261B7A">
        <w:t>-e) increase in N</w:t>
      </w:r>
      <w:r w:rsidRPr="00261B7A">
        <w:rPr>
          <w:vertAlign w:val="subscript"/>
        </w:rPr>
        <w:t>2</w:t>
      </w:r>
      <w:r w:rsidRPr="00261B7A">
        <w:t xml:space="preserve">O emissions from </w:t>
      </w:r>
      <w:r w:rsidRPr="00261B7A">
        <w:rPr>
          <w:i/>
          <w:iCs/>
        </w:rPr>
        <w:t>Agricultural soils,</w:t>
      </w:r>
      <w:r w:rsidRPr="00261B7A">
        <w:t xml:space="preserve"> and a 117.7 per cent (849.9 kt CO</w:t>
      </w:r>
      <w:r w:rsidRPr="00261B7A">
        <w:rPr>
          <w:vertAlign w:val="subscript"/>
        </w:rPr>
        <w:t>2</w:t>
      </w:r>
      <w:r w:rsidRPr="00261B7A">
        <w:t>-e) increase in CH</w:t>
      </w:r>
      <w:r w:rsidRPr="00261B7A">
        <w:rPr>
          <w:vertAlign w:val="subscript"/>
        </w:rPr>
        <w:t>4</w:t>
      </w:r>
      <w:r w:rsidRPr="00261B7A">
        <w:t xml:space="preserve"> emissions from </w:t>
      </w:r>
      <w:r w:rsidRPr="00261B7A">
        <w:rPr>
          <w:i/>
        </w:rPr>
        <w:t>Manure management</w:t>
      </w:r>
      <w:r w:rsidRPr="00261B7A">
        <w:t>.</w:t>
      </w:r>
    </w:p>
    <w:p w14:paraId="1C2026A1" w14:textId="77777777" w:rsidR="00EC31F9" w:rsidRPr="00261B7A" w:rsidRDefault="00EC31F9" w:rsidP="009E50B0">
      <w:pPr>
        <w:pStyle w:val="BodyText"/>
        <w:spacing w:before="100" w:after="100"/>
      </w:pPr>
      <w:r w:rsidRPr="00261B7A">
        <w:t>The increase in N</w:t>
      </w:r>
      <w:r w:rsidRPr="00261B7A">
        <w:rPr>
          <w:vertAlign w:val="subscript"/>
        </w:rPr>
        <w:t>2</w:t>
      </w:r>
      <w:r w:rsidRPr="00261B7A">
        <w:t xml:space="preserve">O emissions from </w:t>
      </w:r>
      <w:r w:rsidRPr="00261B7A">
        <w:rPr>
          <w:i/>
          <w:iCs/>
        </w:rPr>
        <w:t>Agricultural soils</w:t>
      </w:r>
      <w:r w:rsidRPr="00261B7A">
        <w:t xml:space="preserve"> was primarily a result of increased application of synthetic nitrogen fertiliser by around 644 per cent since 1990. This is partly due to an increase in dairy farming, as well as a general increase in fertiliser use on farms.</w:t>
      </w:r>
    </w:p>
    <w:p w14:paraId="18769EAB" w14:textId="77777777" w:rsidR="00EC31F9" w:rsidRPr="00261B7A" w:rsidRDefault="00EC31F9" w:rsidP="009E50B0">
      <w:pPr>
        <w:pStyle w:val="BodyText"/>
        <w:spacing w:before="100" w:after="100"/>
      </w:pPr>
      <w:r w:rsidRPr="00261B7A">
        <w:t xml:space="preserve">The increase in emissions from </w:t>
      </w:r>
      <w:r w:rsidRPr="00261B7A">
        <w:rPr>
          <w:i/>
          <w:iCs/>
        </w:rPr>
        <w:t>Enteric fermentation</w:t>
      </w:r>
      <w:r w:rsidRPr="00261B7A">
        <w:t xml:space="preserve"> was driven by an increase in dairy cattle numbers, which was partially offset by a decrease in beef cattle and sheep numbers. Stock numbers have also reduced as a result of several voluntary initiatives driven by agricultural sector groups, which have focused on improving livestock genetics and championing the uptake of more sustainable farming practices. Alongside this, changes in New Zealand’s regulatory environment, including improvements to freshwater quality and the New Zealand Emissions Trading Scheme (NZ ETS), are also likely to have led to reductions in stock numbers. The increasing carbon price in the NZ ETS has affected land-use change, with rising afforestation rates impacting stock numbers.</w:t>
      </w:r>
    </w:p>
    <w:p w14:paraId="19B1D818" w14:textId="77777777" w:rsidR="00EC31F9" w:rsidRPr="00261B7A" w:rsidRDefault="00EC31F9" w:rsidP="00EC31F9">
      <w:pPr>
        <w:pStyle w:val="Heading5"/>
      </w:pPr>
      <w:r w:rsidRPr="00261B7A">
        <w:t>2020–2021</w:t>
      </w:r>
    </w:p>
    <w:p w14:paraId="56BBDF9E" w14:textId="77777777" w:rsidR="00EC31F9" w:rsidRPr="00261B7A" w:rsidRDefault="00EC31F9" w:rsidP="009E50B0">
      <w:pPr>
        <w:pStyle w:val="BodyText"/>
        <w:spacing w:after="100"/>
      </w:pPr>
      <w:r w:rsidRPr="00261B7A">
        <w:t>Between 2020 and 2021, total agricultural emissions decreased by 1.5 per cent (574.1 kt CO</w:t>
      </w:r>
      <w:r w:rsidRPr="00261B7A">
        <w:rPr>
          <w:vertAlign w:val="subscript"/>
        </w:rPr>
        <w:t>2</w:t>
      </w:r>
      <w:r w:rsidRPr="00261B7A">
        <w:rPr>
          <w:vertAlign w:val="subscript"/>
        </w:rPr>
        <w:noBreakHyphen/>
      </w:r>
      <w:r w:rsidRPr="00261B7A">
        <w:t>e) largely due to a decrease in emissions from dairy cattle, sheep and synthetic nitrogen fertiliser. Specifically:</w:t>
      </w:r>
    </w:p>
    <w:p w14:paraId="007E9482" w14:textId="77777777" w:rsidR="00EC31F9" w:rsidRPr="00261B7A" w:rsidRDefault="00EC31F9" w:rsidP="009E50B0">
      <w:pPr>
        <w:pStyle w:val="Bullet"/>
        <w:spacing w:after="100"/>
      </w:pPr>
      <w:r w:rsidRPr="00261B7A">
        <w:t>dairy cattle emissions decreased by 1.3 per cent (236.9 kt CO</w:t>
      </w:r>
      <w:r w:rsidRPr="00261B7A">
        <w:rPr>
          <w:vertAlign w:val="subscript"/>
        </w:rPr>
        <w:t>2</w:t>
      </w:r>
      <w:r w:rsidRPr="00261B7A">
        <w:t>-e), due to a decrease in the dairy cattle population</w:t>
      </w:r>
    </w:p>
    <w:p w14:paraId="1313E61E" w14:textId="77777777" w:rsidR="00EC31F9" w:rsidRPr="00261B7A" w:rsidRDefault="00EC31F9" w:rsidP="009E50B0">
      <w:pPr>
        <w:pStyle w:val="Bullet"/>
        <w:spacing w:after="100"/>
      </w:pPr>
      <w:r w:rsidRPr="00261B7A">
        <w:t>synthetic nitrogen fertiliser emissions decreased by 9.5 per cent (177.9 kt CO</w:t>
      </w:r>
      <w:r w:rsidRPr="00261B7A">
        <w:rPr>
          <w:vertAlign w:val="subscript"/>
        </w:rPr>
        <w:t>2</w:t>
      </w:r>
      <w:r w:rsidRPr="00261B7A">
        <w:t>-e), due to a decrease in fertiliser use</w:t>
      </w:r>
    </w:p>
    <w:p w14:paraId="7D6FCAC9" w14:textId="77777777" w:rsidR="00EC31F9" w:rsidRPr="00261B7A" w:rsidRDefault="00EC31F9" w:rsidP="009E50B0">
      <w:pPr>
        <w:pStyle w:val="Bullet"/>
        <w:spacing w:after="100"/>
      </w:pPr>
      <w:r w:rsidRPr="00261B7A">
        <w:t>sheep emissions decreased by 1.8 per cent (160.6 kt CO</w:t>
      </w:r>
      <w:r w:rsidRPr="00261B7A">
        <w:rPr>
          <w:vertAlign w:val="subscript"/>
        </w:rPr>
        <w:t>2</w:t>
      </w:r>
      <w:r w:rsidRPr="00261B7A">
        <w:t>-e), due to a further decrease in the sheep population.</w:t>
      </w:r>
    </w:p>
    <w:p w14:paraId="44C38E12" w14:textId="77777777" w:rsidR="00EC31F9" w:rsidRPr="00261B7A" w:rsidRDefault="00EC31F9" w:rsidP="009E50B0">
      <w:pPr>
        <w:pStyle w:val="BodyText"/>
        <w:spacing w:after="100"/>
      </w:pPr>
      <w:r w:rsidRPr="00261B7A">
        <w:t>Emissions from other activities had minor increases and were not enough to offset the overall decrease in agricultural emissions. Some of these increases include:</w:t>
      </w:r>
    </w:p>
    <w:p w14:paraId="1D2E3350" w14:textId="77777777" w:rsidR="00EC31F9" w:rsidRPr="00261B7A" w:rsidRDefault="00EC31F9" w:rsidP="009E50B0">
      <w:pPr>
        <w:pStyle w:val="Bullet"/>
        <w:spacing w:after="100"/>
      </w:pPr>
      <w:r w:rsidRPr="00261B7A">
        <w:t>beef cattle emissions, which increased by 0.7 per cent (48.9 kt CO</w:t>
      </w:r>
      <w:r w:rsidRPr="00261B7A">
        <w:rPr>
          <w:vertAlign w:val="subscript"/>
        </w:rPr>
        <w:t>2</w:t>
      </w:r>
      <w:r w:rsidRPr="00261B7A">
        <w:t>-e), due to a slight increase in the beef cattle population</w:t>
      </w:r>
    </w:p>
    <w:p w14:paraId="107357B0" w14:textId="77777777" w:rsidR="00EC31F9" w:rsidRPr="00261B7A" w:rsidRDefault="00EC31F9" w:rsidP="009E50B0">
      <w:pPr>
        <w:pStyle w:val="Bullet"/>
        <w:spacing w:after="100"/>
      </w:pPr>
      <w:r w:rsidRPr="00261B7A">
        <w:t>urea emissions, which increased by 2.1 per cent (11.2 kt CO</w:t>
      </w:r>
      <w:r w:rsidRPr="00261B7A">
        <w:rPr>
          <w:vertAlign w:val="subscript"/>
        </w:rPr>
        <w:t>2</w:t>
      </w:r>
      <w:r w:rsidRPr="00261B7A">
        <w:t>-e), due to a small increase in the use of urea.</w:t>
      </w:r>
    </w:p>
    <w:p w14:paraId="33F7A353" w14:textId="77777777" w:rsidR="00EC31F9" w:rsidRPr="00261B7A" w:rsidRDefault="00EC31F9" w:rsidP="00EC31F9">
      <w:pPr>
        <w:pStyle w:val="Heading4"/>
      </w:pPr>
      <w:bookmarkStart w:id="35" w:name="lulucf-chapter-6"/>
      <w:bookmarkEnd w:id="34"/>
      <w:r w:rsidRPr="00261B7A">
        <w:t>LULUCF (chapter 6)</w:t>
      </w:r>
    </w:p>
    <w:p w14:paraId="3E417D52" w14:textId="77777777" w:rsidR="00EC31F9" w:rsidRPr="00261B7A" w:rsidRDefault="00EC31F9" w:rsidP="009E50B0">
      <w:pPr>
        <w:pStyle w:val="BodyText"/>
        <w:spacing w:before="100"/>
      </w:pPr>
      <w:r w:rsidRPr="00261B7A">
        <w:t>The following information on LULUCF summarises reporting under the Convention. The Kyoto Protocol remains in force and reporting requirements remain in place. New Zealand, therefore, continues its reporting on LULUCF activities under the Kyoto Protocol in section ES.5 as well as in: chapter 2, section 2.3; and chapter 11.</w:t>
      </w:r>
    </w:p>
    <w:p w14:paraId="71718848" w14:textId="77777777" w:rsidR="00EC31F9" w:rsidRPr="00261B7A" w:rsidRDefault="00EC31F9" w:rsidP="00EC31F9">
      <w:pPr>
        <w:pStyle w:val="Heading5"/>
      </w:pPr>
      <w:r w:rsidRPr="00261B7A">
        <w:lastRenderedPageBreak/>
        <w:t>2021</w:t>
      </w:r>
    </w:p>
    <w:p w14:paraId="2B8615AA" w14:textId="77777777" w:rsidR="00EC31F9" w:rsidRPr="00261B7A" w:rsidRDefault="00EC31F9" w:rsidP="00EC31F9">
      <w:pPr>
        <w:pStyle w:val="BodyText"/>
      </w:pPr>
      <w:r w:rsidRPr="00261B7A">
        <w:t>In 2021, net emissions from the LULUCF sector were –21,078.2 kt CO</w:t>
      </w:r>
      <w:r w:rsidRPr="00261B7A">
        <w:rPr>
          <w:vertAlign w:val="subscript"/>
        </w:rPr>
        <w:t>2</w:t>
      </w:r>
      <w:r w:rsidRPr="00261B7A">
        <w:t>-e, or 27.4 per cent of New Zealand’s gross GHG emissions. This comprises net removals of –21,358.2 kt of CO</w:t>
      </w:r>
      <w:r w:rsidRPr="00261B7A">
        <w:rPr>
          <w:vertAlign w:val="subscript"/>
        </w:rPr>
        <w:t>2</w:t>
      </w:r>
      <w:r w:rsidRPr="00261B7A">
        <w:t>, and emissions of 32.6 kt CO</w:t>
      </w:r>
      <w:r w:rsidRPr="00261B7A">
        <w:rPr>
          <w:vertAlign w:val="subscript"/>
        </w:rPr>
        <w:t>2</w:t>
      </w:r>
      <w:r w:rsidRPr="00261B7A">
        <w:t>-e of CH</w:t>
      </w:r>
      <w:r w:rsidRPr="00261B7A">
        <w:rPr>
          <w:vertAlign w:val="subscript"/>
        </w:rPr>
        <w:t>4</w:t>
      </w:r>
      <w:r w:rsidRPr="00261B7A">
        <w:t xml:space="preserve"> and 247.4 kt CO</w:t>
      </w:r>
      <w:r w:rsidRPr="00261B7A">
        <w:rPr>
          <w:vertAlign w:val="subscript"/>
        </w:rPr>
        <w:t>2</w:t>
      </w:r>
      <w:r w:rsidRPr="00261B7A">
        <w:t>-e of N</w:t>
      </w:r>
      <w:r w:rsidRPr="00261B7A">
        <w:rPr>
          <w:vertAlign w:val="subscript"/>
        </w:rPr>
        <w:t>2</w:t>
      </w:r>
      <w:r w:rsidRPr="00261B7A">
        <w:t xml:space="preserve">O. </w:t>
      </w:r>
    </w:p>
    <w:p w14:paraId="51F9D6A0" w14:textId="77777777" w:rsidR="00EC31F9" w:rsidRPr="00261B7A" w:rsidRDefault="00EC31F9" w:rsidP="00EC31F9">
      <w:pPr>
        <w:pStyle w:val="BodyText"/>
      </w:pPr>
      <w:r w:rsidRPr="00261B7A">
        <w:t xml:space="preserve">The category contributing the most to both removals and emissions is </w:t>
      </w:r>
      <w:r w:rsidRPr="00261B7A">
        <w:rPr>
          <w:i/>
          <w:iCs/>
        </w:rPr>
        <w:t>Forest land remaining forest land</w:t>
      </w:r>
      <w:r w:rsidRPr="00261B7A">
        <w:t xml:space="preserve">. This is because of large removals from the growth of all forests on </w:t>
      </w:r>
      <w:r w:rsidRPr="00261B7A">
        <w:rPr>
          <w:i/>
          <w:iCs/>
        </w:rPr>
        <w:t>Forest land remaining forest land</w:t>
      </w:r>
      <w:r w:rsidRPr="00261B7A" w:rsidDel="002E0D51">
        <w:t xml:space="preserve"> </w:t>
      </w:r>
      <w:r w:rsidRPr="00261B7A">
        <w:t>and large emissions from the sustainable harvest of New Zealand’s plantation forests.</w:t>
      </w:r>
    </w:p>
    <w:p w14:paraId="78AB96FB" w14:textId="77777777" w:rsidR="00EC31F9" w:rsidRPr="00261B7A" w:rsidRDefault="00EC31F9" w:rsidP="00EC31F9">
      <w:pPr>
        <w:pStyle w:val="Heading5"/>
      </w:pPr>
      <w:r w:rsidRPr="00261B7A">
        <w:t>1990–2021</w:t>
      </w:r>
    </w:p>
    <w:p w14:paraId="69CC19BC" w14:textId="77777777" w:rsidR="00EC31F9" w:rsidRPr="00261B7A" w:rsidRDefault="00EC31F9" w:rsidP="00EC31F9">
      <w:pPr>
        <w:pStyle w:val="BodyText"/>
        <w:spacing w:before="100" w:after="100"/>
      </w:pPr>
      <w:r w:rsidRPr="00261B7A">
        <w:t>Net emissions from the LULUCF sector were –21,078.2 kt CO</w:t>
      </w:r>
      <w:r w:rsidRPr="00261B7A">
        <w:rPr>
          <w:vertAlign w:val="subscript"/>
        </w:rPr>
        <w:t>2</w:t>
      </w:r>
      <w:r w:rsidRPr="00261B7A">
        <w:t>-e in 2021, a 4.5 per cent (906.9 kt CO</w:t>
      </w:r>
      <w:r w:rsidRPr="00261B7A">
        <w:rPr>
          <w:vertAlign w:val="subscript"/>
        </w:rPr>
        <w:t>2</w:t>
      </w:r>
      <w:r w:rsidRPr="00261B7A">
        <w:t>-e) decrease from the 1990 level of –20,171.2 kt CO</w:t>
      </w:r>
      <w:r w:rsidRPr="00261B7A">
        <w:rPr>
          <w:vertAlign w:val="subscript"/>
        </w:rPr>
        <w:t>2</w:t>
      </w:r>
      <w:r w:rsidRPr="00261B7A">
        <w:t>-e. This is largely due to removals from forest growth and an increase in the production of harvested wood products, which have compensated for some of the emissions from the increase in forest harvesting.</w:t>
      </w:r>
    </w:p>
    <w:p w14:paraId="5604398E" w14:textId="77777777" w:rsidR="00EC31F9" w:rsidRPr="00261B7A" w:rsidRDefault="00EC31F9" w:rsidP="00EC31F9">
      <w:pPr>
        <w:pStyle w:val="BodyText"/>
        <w:spacing w:before="100" w:after="100"/>
      </w:pPr>
      <w:r w:rsidRPr="00261B7A">
        <w:t>Emissions in the LULUCF sector are primarily driven by the harvest of production forests, deforestation and the decomposition of organic material following these activities. Removals are primarily from the sequestration of carbon that occurs due to plant growth and the increase in the size of the harvested wood products pool. Nitrous oxide is emitted from soils as a by-product of nitrification and denitrification, and through the burning of organic matter. Other gases released during biomass burning include CH</w:t>
      </w:r>
      <w:r w:rsidRPr="00261B7A">
        <w:rPr>
          <w:vertAlign w:val="subscript"/>
        </w:rPr>
        <w:t>4</w:t>
      </w:r>
      <w:r w:rsidRPr="00261B7A">
        <w:t>, CO, other oxides of nitrogen (NO</w:t>
      </w:r>
      <w:r w:rsidRPr="00261B7A">
        <w:rPr>
          <w:vertAlign w:val="subscript"/>
        </w:rPr>
        <w:t>x</w:t>
      </w:r>
      <w:r w:rsidRPr="00261B7A">
        <w:t>) and NMVOCs.</w:t>
      </w:r>
    </w:p>
    <w:p w14:paraId="7B20EAE1" w14:textId="77777777" w:rsidR="00EC31F9" w:rsidRPr="00261B7A" w:rsidRDefault="00EC31F9" w:rsidP="00EC31F9">
      <w:pPr>
        <w:pStyle w:val="BodyText"/>
        <w:spacing w:before="100" w:after="100"/>
      </w:pPr>
      <w:r w:rsidRPr="00261B7A">
        <w:t xml:space="preserve">The fluctuations in net emissions from the LULUCF sector (see chapter 2, figure 2.2.10) are primarily influenced by afforestation, harvesting and deforestation rates. Harvesting rates are driven by several factors, particularly forest age and log prices. </w:t>
      </w:r>
    </w:p>
    <w:p w14:paraId="38DFA1F7" w14:textId="77777777" w:rsidR="00EC31F9" w:rsidRPr="00261B7A" w:rsidRDefault="00EC31F9" w:rsidP="00EC31F9">
      <w:pPr>
        <w:pStyle w:val="BodyText"/>
        <w:spacing w:before="100" w:after="100"/>
      </w:pPr>
      <w:r w:rsidRPr="00261B7A">
        <w:t xml:space="preserve">Net emissions in the LULUCF sector have been generally increasing over the past decade. Current harvest rates are near historic high levels due to the significant land-use changes to forest land that occurred from the 1980s to the early 1990s. The production forests that were </w:t>
      </w:r>
      <w:r w:rsidRPr="00261B7A">
        <w:rPr>
          <w:spacing w:val="-2"/>
        </w:rPr>
        <w:t>established during this period have progressively been reaching maturity, and that will continu</w:t>
      </w:r>
      <w:r w:rsidRPr="00261B7A">
        <w:t>e into the 2020s. As the high harvesting rates continue, the average age of the planted forest estate as a whole is reduced each year, as harvested forests are replanted. Young stands have low growth rates compared with older stands. Harvest and replanting cycles of New Zealand’s planted forests will continue to affect the trajectory of New Zealand’s net emissions in the future due to their uneven age-class profile.</w:t>
      </w:r>
    </w:p>
    <w:p w14:paraId="76554DAE" w14:textId="77777777" w:rsidR="00EC31F9" w:rsidRPr="00261B7A" w:rsidRDefault="00EC31F9" w:rsidP="00EC31F9">
      <w:pPr>
        <w:pStyle w:val="BodyText"/>
        <w:spacing w:before="100" w:after="100"/>
      </w:pPr>
      <w:r w:rsidRPr="00261B7A">
        <w:rPr>
          <w:spacing w:val="-2"/>
        </w:rPr>
        <w:t>Deforestation rates are driven by the relative profitability of forestry compared with alternative</w:t>
      </w:r>
      <w:r w:rsidRPr="00261B7A">
        <w:t xml:space="preserve"> land uses. The increase in net emissions between 2004 and 2007 was mainly due to the increase in planted forest deforestation that occurred in the lead-up to 2008, and the introduction of the NZ ETS.</w:t>
      </w:r>
      <w:r w:rsidRPr="00261B7A">
        <w:rPr>
          <w:rStyle w:val="FootnoteReference"/>
        </w:rPr>
        <w:footnoteReference w:id="6"/>
      </w:r>
      <w:r w:rsidRPr="00261B7A">
        <w:t xml:space="preserve"> </w:t>
      </w:r>
    </w:p>
    <w:p w14:paraId="4191FAF5" w14:textId="77777777" w:rsidR="00EC31F9" w:rsidRPr="00261B7A" w:rsidRDefault="00EC31F9" w:rsidP="00EC31F9">
      <w:pPr>
        <w:pStyle w:val="BodyText"/>
        <w:spacing w:before="100" w:after="100"/>
      </w:pPr>
      <w:r w:rsidRPr="00261B7A">
        <w:t>From 2019 onwards, rates of afforestation have significantly increased. This is likely due to policy initiatives incentivising afforestation as well as higher carbon prices in the NZ ETS.</w:t>
      </w:r>
    </w:p>
    <w:p w14:paraId="18554E77" w14:textId="77777777" w:rsidR="00EC31F9" w:rsidRPr="00261B7A" w:rsidRDefault="00EC31F9" w:rsidP="00EC31F9">
      <w:pPr>
        <w:pStyle w:val="Heading5"/>
      </w:pPr>
      <w:r w:rsidRPr="00261B7A">
        <w:lastRenderedPageBreak/>
        <w:t>2020–2021</w:t>
      </w:r>
    </w:p>
    <w:p w14:paraId="1BAFED52" w14:textId="77777777" w:rsidR="00EC31F9" w:rsidRPr="00261B7A" w:rsidRDefault="00EC31F9" w:rsidP="009E50B0">
      <w:pPr>
        <w:pStyle w:val="BodyText"/>
        <w:keepNext/>
        <w:spacing w:before="100" w:after="100"/>
      </w:pPr>
      <w:r w:rsidRPr="00261B7A">
        <w:t>Net emissions from the LULUCF sector increased between 2020 and 2021 by 9.3 per cent (2,163.9 kt CO</w:t>
      </w:r>
      <w:r w:rsidRPr="00261B7A">
        <w:rPr>
          <w:vertAlign w:val="subscript"/>
        </w:rPr>
        <w:t>2</w:t>
      </w:r>
      <w:r w:rsidRPr="00261B7A">
        <w:t>-e).</w:t>
      </w:r>
    </w:p>
    <w:p w14:paraId="47301E35" w14:textId="77777777" w:rsidR="00EC31F9" w:rsidRPr="00261B7A" w:rsidRDefault="00EC31F9" w:rsidP="00EC31F9">
      <w:pPr>
        <w:pStyle w:val="BodyText"/>
        <w:spacing w:before="100" w:after="100"/>
      </w:pPr>
      <w:r w:rsidRPr="00261B7A">
        <w:t xml:space="preserve">The largest change occurred in the </w:t>
      </w:r>
      <w:r w:rsidRPr="00261B7A">
        <w:rPr>
          <w:i/>
          <w:iCs/>
        </w:rPr>
        <w:t>Forest land</w:t>
      </w:r>
      <w:r w:rsidRPr="00261B7A">
        <w:t xml:space="preserve"> category, with an increase in emissions of 4,882.0 kt CO</w:t>
      </w:r>
      <w:r w:rsidRPr="00261B7A">
        <w:rPr>
          <w:vertAlign w:val="subscript"/>
        </w:rPr>
        <w:t>2</w:t>
      </w:r>
      <w:r w:rsidRPr="00261B7A">
        <w:t xml:space="preserve">-e. The main reason for this change was an increase in harvest emissions between these years. In 2021, harvesting activities rebounded following the 2020 drop due to the COVID-19 restrictions. This impact was exacerbated by the ongoing high rate of harvesting occurring in New Zealand’s production forests. As a result, the planted forest estate is composed of a higher proportion of young forest stands, which grow more slowly and sequester less carbon than older stands. The </w:t>
      </w:r>
      <w:r w:rsidRPr="00261B7A">
        <w:rPr>
          <w:i/>
          <w:iCs/>
        </w:rPr>
        <w:t>Harvested wood products</w:t>
      </w:r>
      <w:r w:rsidRPr="00261B7A">
        <w:t xml:space="preserve"> category had the second-largest change, with a decrease in emissions of 1,824.3 kt CO</w:t>
      </w:r>
      <w:r w:rsidRPr="00261B7A">
        <w:rPr>
          <w:vertAlign w:val="subscript"/>
        </w:rPr>
        <w:t>2</w:t>
      </w:r>
      <w:r w:rsidRPr="00261B7A">
        <w:t>-e, which was also driven by the harvest rate.</w:t>
      </w:r>
    </w:p>
    <w:p w14:paraId="1C03B2AB" w14:textId="77777777" w:rsidR="00EC31F9" w:rsidRPr="00261B7A" w:rsidRDefault="00EC31F9" w:rsidP="00EC31F9">
      <w:pPr>
        <w:pStyle w:val="Heading4"/>
      </w:pPr>
      <w:bookmarkStart w:id="36" w:name="waste-chapter-7"/>
      <w:bookmarkEnd w:id="35"/>
      <w:r w:rsidRPr="00261B7A">
        <w:t>Waste (chapter 7)</w:t>
      </w:r>
    </w:p>
    <w:p w14:paraId="54EA14AC" w14:textId="77777777" w:rsidR="00EC31F9" w:rsidRPr="00261B7A" w:rsidRDefault="00EC31F9" w:rsidP="00EC31F9">
      <w:pPr>
        <w:pStyle w:val="Heading5"/>
        <w:spacing w:before="180"/>
      </w:pPr>
      <w:r w:rsidRPr="00261B7A">
        <w:t>2021</w:t>
      </w:r>
    </w:p>
    <w:p w14:paraId="3328006C" w14:textId="234E3585" w:rsidR="00EC31F9" w:rsidRPr="00261B7A" w:rsidRDefault="00EC31F9" w:rsidP="009E50B0">
      <w:pPr>
        <w:pStyle w:val="BodyText"/>
        <w:spacing w:before="100" w:after="100"/>
      </w:pPr>
      <w:r w:rsidRPr="00261B7A">
        <w:t>In 2021, emissions from the Waste sector contributed 4.2 per cent (3,214.9 kt CO</w:t>
      </w:r>
      <w:r w:rsidRPr="00261B7A">
        <w:rPr>
          <w:vertAlign w:val="subscript"/>
        </w:rPr>
        <w:t>2</w:t>
      </w:r>
      <w:r w:rsidRPr="00261B7A">
        <w:t xml:space="preserve">-e) of New Zealand’s gross GHG emissions. The largest source category is </w:t>
      </w:r>
      <w:r w:rsidRPr="00261B7A">
        <w:rPr>
          <w:i/>
          <w:iCs/>
        </w:rPr>
        <w:t>Solid waste disposal</w:t>
      </w:r>
      <w:r w:rsidRPr="00261B7A">
        <w:t xml:space="preserve">, as shown in </w:t>
      </w:r>
      <w:r w:rsidR="00C955DE" w:rsidRPr="00261B7A">
        <w:t xml:space="preserve">chapter 7, </w:t>
      </w:r>
      <w:r w:rsidRPr="00261B7A">
        <w:t>table 7.1.1.</w:t>
      </w:r>
    </w:p>
    <w:p w14:paraId="20A50554" w14:textId="77777777" w:rsidR="00EC31F9" w:rsidRPr="00261B7A" w:rsidRDefault="00EC31F9" w:rsidP="00EC31F9">
      <w:pPr>
        <w:pStyle w:val="Heading5"/>
      </w:pPr>
      <w:r w:rsidRPr="00261B7A">
        <w:t>1990–2021</w:t>
      </w:r>
    </w:p>
    <w:p w14:paraId="75CA360A" w14:textId="77777777" w:rsidR="00EC31F9" w:rsidRPr="00261B7A" w:rsidRDefault="00EC31F9" w:rsidP="009E50B0">
      <w:pPr>
        <w:pStyle w:val="BodyText"/>
        <w:spacing w:before="100" w:after="100"/>
      </w:pPr>
      <w:r w:rsidRPr="00261B7A">
        <w:t>Emissions from the Waste sector decreased by 18.5 per cent (729.7 kt CO</w:t>
      </w:r>
      <w:r w:rsidRPr="00261B7A">
        <w:rPr>
          <w:vertAlign w:val="subscript"/>
        </w:rPr>
        <w:t>2</w:t>
      </w:r>
      <w:r w:rsidRPr="00261B7A">
        <w:t>-e), from 3,944.6 kt CO</w:t>
      </w:r>
      <w:r w:rsidRPr="00261B7A">
        <w:rPr>
          <w:vertAlign w:val="subscript"/>
        </w:rPr>
        <w:t>2</w:t>
      </w:r>
      <w:r w:rsidRPr="00261B7A">
        <w:t>-e in 1990 to 3,214.9 kt CO</w:t>
      </w:r>
      <w:r w:rsidRPr="00261B7A">
        <w:rPr>
          <w:vertAlign w:val="subscript"/>
        </w:rPr>
        <w:t>2</w:t>
      </w:r>
      <w:r w:rsidRPr="00261B7A">
        <w:t>-e in 2021.</w:t>
      </w:r>
    </w:p>
    <w:p w14:paraId="69880542" w14:textId="77777777" w:rsidR="00EC31F9" w:rsidRPr="00261B7A" w:rsidRDefault="00EC31F9" w:rsidP="009E50B0">
      <w:pPr>
        <w:pStyle w:val="BodyText"/>
        <w:spacing w:before="100" w:after="100"/>
      </w:pPr>
      <w:r w:rsidRPr="00261B7A">
        <w:t>Annual emissions increased between 1990 and 2002, peaking at 4,470.0 kt CO</w:t>
      </w:r>
      <w:r w:rsidRPr="00261B7A">
        <w:rPr>
          <w:vertAlign w:val="subscript"/>
        </w:rPr>
        <w:t>2</w:t>
      </w:r>
      <w:r w:rsidRPr="00261B7A">
        <w:t>-e in 2002, and have generally decreased since that time. Growth in population and economic activity since 1990 has resulted in increasing volumes of solid waste and wastewater for the whole of the time series. Ongoing improvements in the management of solid waste disposal at municipal landfills have meant total Waste sector emissions have been trending down since 2005, in spite of increasing volumes of solid waste and wastewater. The reduction in emissions is primarily the result of increased CH</w:t>
      </w:r>
      <w:r w:rsidRPr="00261B7A">
        <w:rPr>
          <w:vertAlign w:val="subscript"/>
        </w:rPr>
        <w:t>4</w:t>
      </w:r>
      <w:r w:rsidRPr="00261B7A">
        <w:t xml:space="preserve"> recovery, driven by the National Environmental Standards for Air Quality introduced in 2004 and also by the NZ ETS since 2013. The trends are shown in: chapter 2, figure 2.2.11; and chapter 7, figures 7.1.2 and 7.1.3.</w:t>
      </w:r>
    </w:p>
    <w:p w14:paraId="223E96E9" w14:textId="77777777" w:rsidR="00EC31F9" w:rsidRPr="00261B7A" w:rsidRDefault="00EC31F9" w:rsidP="00EC31F9">
      <w:pPr>
        <w:pStyle w:val="Heading5"/>
      </w:pPr>
      <w:r w:rsidRPr="00261B7A">
        <w:t>2020–2021</w:t>
      </w:r>
    </w:p>
    <w:p w14:paraId="56302BA1" w14:textId="77777777" w:rsidR="00EC31F9" w:rsidRPr="00261B7A" w:rsidRDefault="00EC31F9" w:rsidP="009E50B0">
      <w:pPr>
        <w:pStyle w:val="BodyText"/>
        <w:spacing w:before="100" w:after="100"/>
      </w:pPr>
      <w:r w:rsidRPr="00261B7A">
        <w:t>Between 2020 and 2021, emissions from the Waste sector decreased by 1.6 per cent (51.6 kt CO</w:t>
      </w:r>
      <w:r w:rsidRPr="00261B7A">
        <w:rPr>
          <w:vertAlign w:val="subscript"/>
        </w:rPr>
        <w:t>2</w:t>
      </w:r>
      <w:r w:rsidRPr="00261B7A">
        <w:t>-e). This decrease is largely the result of decreases in CH</w:t>
      </w:r>
      <w:r w:rsidRPr="00261B7A">
        <w:rPr>
          <w:vertAlign w:val="subscript"/>
        </w:rPr>
        <w:t>4</w:t>
      </w:r>
      <w:r w:rsidRPr="00261B7A">
        <w:t xml:space="preserve"> emissions in the </w:t>
      </w:r>
      <w:r w:rsidRPr="00261B7A">
        <w:rPr>
          <w:i/>
          <w:iCs/>
        </w:rPr>
        <w:t>Managed waste disposal sites</w:t>
      </w:r>
      <w:r w:rsidRPr="00261B7A">
        <w:t xml:space="preserve"> category, which are mainly due to increasing landfill gas capture and changes in the composition of waste, with a reduction in the proportion of garden, food and paper waste disposed to those sites.</w:t>
      </w:r>
    </w:p>
    <w:p w14:paraId="1106A82B" w14:textId="77777777" w:rsidR="00EC31F9" w:rsidRPr="00261B7A" w:rsidRDefault="00EC31F9" w:rsidP="00EC31F9">
      <w:pPr>
        <w:pStyle w:val="Heading4"/>
      </w:pPr>
      <w:bookmarkStart w:id="37" w:name="other-tokelau-chapter-8"/>
      <w:bookmarkEnd w:id="36"/>
      <w:r w:rsidRPr="00261B7A">
        <w:t>Other (Tokelau – chapter 8)</w:t>
      </w:r>
    </w:p>
    <w:p w14:paraId="476E2395" w14:textId="77777777" w:rsidR="00EC31F9" w:rsidRPr="00261B7A" w:rsidRDefault="00EC31F9" w:rsidP="009E50B0">
      <w:pPr>
        <w:pStyle w:val="Heading5"/>
        <w:spacing w:before="180"/>
      </w:pPr>
      <w:r w:rsidRPr="00261B7A">
        <w:t>2021</w:t>
      </w:r>
    </w:p>
    <w:p w14:paraId="6757DA2D" w14:textId="77777777" w:rsidR="00EC31F9" w:rsidRPr="00261B7A" w:rsidRDefault="00EC31F9" w:rsidP="009E50B0">
      <w:pPr>
        <w:pStyle w:val="BodyText"/>
        <w:spacing w:before="100" w:after="100"/>
      </w:pPr>
      <w:r w:rsidRPr="00261B7A">
        <w:t>In 2021, emissions from the Tokelau sector contributed 0.005 per cent (3.78 kt CO</w:t>
      </w:r>
      <w:r w:rsidRPr="00261B7A">
        <w:rPr>
          <w:vertAlign w:val="subscript"/>
        </w:rPr>
        <w:t>2</w:t>
      </w:r>
      <w:r w:rsidRPr="00261B7A">
        <w:t>-e) of New Zealand’s gross GHG emissions.</w:t>
      </w:r>
    </w:p>
    <w:p w14:paraId="3059E264" w14:textId="77777777" w:rsidR="00EC31F9" w:rsidRPr="00261B7A" w:rsidRDefault="00EC31F9" w:rsidP="009E50B0">
      <w:pPr>
        <w:pStyle w:val="BodyText"/>
        <w:spacing w:before="100" w:after="100"/>
      </w:pPr>
      <w:r w:rsidRPr="00261B7A">
        <w:t xml:space="preserve">The largest source category is </w:t>
      </w:r>
      <w:r w:rsidRPr="00261B7A">
        <w:rPr>
          <w:i/>
          <w:iCs/>
        </w:rPr>
        <w:t>Domestic navigation</w:t>
      </w:r>
      <w:r w:rsidRPr="00261B7A">
        <w:t>, which contributed 69.0 per cent (1.38 kt CO</w:t>
      </w:r>
      <w:r w:rsidRPr="00261B7A">
        <w:rPr>
          <w:vertAlign w:val="subscript"/>
        </w:rPr>
        <w:t>2</w:t>
      </w:r>
      <w:r w:rsidRPr="00261B7A">
        <w:t>-e) of all energy emissions and 36.6 per cent of gross emissions from Tokelau.</w:t>
      </w:r>
    </w:p>
    <w:p w14:paraId="034EDB57" w14:textId="77777777" w:rsidR="00EC31F9" w:rsidRPr="00261B7A" w:rsidRDefault="00EC31F9" w:rsidP="00EC31F9">
      <w:pPr>
        <w:pStyle w:val="BodyText"/>
      </w:pPr>
      <w:r w:rsidRPr="00261B7A">
        <w:lastRenderedPageBreak/>
        <w:t>Carbon dioxide dominated emissions from Tokelau, contributing 53.6 per cent (2.03 kt CO</w:t>
      </w:r>
      <w:r w:rsidRPr="00261B7A">
        <w:rPr>
          <w:vertAlign w:val="subscript"/>
        </w:rPr>
        <w:t>2</w:t>
      </w:r>
      <w:r w:rsidRPr="00261B7A">
        <w:t>-e) of its total emissions in 2021. At 1.99 kt CO</w:t>
      </w:r>
      <w:r w:rsidRPr="00261B7A">
        <w:rPr>
          <w:vertAlign w:val="subscript"/>
        </w:rPr>
        <w:t>2</w:t>
      </w:r>
      <w:r w:rsidRPr="00261B7A">
        <w:t>-e, the Energy sector contributed 98.1 per cent of total CO</w:t>
      </w:r>
      <w:r w:rsidRPr="00261B7A">
        <w:rPr>
          <w:vertAlign w:val="subscript"/>
        </w:rPr>
        <w:t>2</w:t>
      </w:r>
      <w:r w:rsidRPr="00261B7A">
        <w:t xml:space="preserve"> emissions, mostly from </w:t>
      </w:r>
      <w:r w:rsidRPr="00261B7A">
        <w:rPr>
          <w:i/>
          <w:iCs/>
        </w:rPr>
        <w:t>Domestic navigation,</w:t>
      </w:r>
      <w:r w:rsidRPr="00261B7A">
        <w:t xml:space="preserve"> with the remaining 1.9 per cent (0.04 kt CO</w:t>
      </w:r>
      <w:r w:rsidRPr="00261B7A">
        <w:rPr>
          <w:vertAlign w:val="subscript"/>
        </w:rPr>
        <w:t>2</w:t>
      </w:r>
      <w:r w:rsidRPr="00261B7A">
        <w:t xml:space="preserve">-e) coming from </w:t>
      </w:r>
      <w:r w:rsidRPr="00261B7A">
        <w:rPr>
          <w:i/>
          <w:iCs/>
        </w:rPr>
        <w:t>Open burning of waste</w:t>
      </w:r>
      <w:r w:rsidRPr="00261B7A">
        <w:t xml:space="preserve"> in the Waste sector.</w:t>
      </w:r>
    </w:p>
    <w:p w14:paraId="03415740" w14:textId="77777777" w:rsidR="00EC31F9" w:rsidRPr="00261B7A" w:rsidRDefault="00EC31F9" w:rsidP="00EC31F9">
      <w:pPr>
        <w:pStyle w:val="BodyText"/>
      </w:pPr>
      <w:r w:rsidRPr="00261B7A">
        <w:t>Methane emissions contributed 39.1 per cent (1.48 kt CO</w:t>
      </w:r>
      <w:r w:rsidRPr="00261B7A">
        <w:rPr>
          <w:vertAlign w:val="subscript"/>
        </w:rPr>
        <w:t>2</w:t>
      </w:r>
      <w:r w:rsidRPr="00261B7A">
        <w:t>-e) to the total emissions from Tokelau. The Agriculture sector in Tokelau contributed 55.8 per cent of CH</w:t>
      </w:r>
      <w:r w:rsidRPr="00261B7A">
        <w:rPr>
          <w:vertAlign w:val="subscript"/>
        </w:rPr>
        <w:t>4</w:t>
      </w:r>
      <w:r w:rsidRPr="00261B7A">
        <w:t xml:space="preserve"> emissions (0.82 kt CO</w:t>
      </w:r>
      <w:r w:rsidRPr="00261B7A">
        <w:rPr>
          <w:vertAlign w:val="subscript"/>
        </w:rPr>
        <w:t>2</w:t>
      </w:r>
      <w:r w:rsidRPr="00261B7A">
        <w:t xml:space="preserve">-e), which mostly came from </w:t>
      </w:r>
      <w:r w:rsidRPr="00261B7A">
        <w:rPr>
          <w:i/>
          <w:iCs/>
        </w:rPr>
        <w:t>Manure management</w:t>
      </w:r>
      <w:r w:rsidRPr="00261B7A">
        <w:t>. A significant portion of CH</w:t>
      </w:r>
      <w:r w:rsidRPr="00261B7A">
        <w:rPr>
          <w:vertAlign w:val="subscript"/>
        </w:rPr>
        <w:t>4</w:t>
      </w:r>
      <w:r w:rsidRPr="00261B7A">
        <w:t xml:space="preserve"> emissions, 43.8 per cent (0.65 kt CO</w:t>
      </w:r>
      <w:r w:rsidRPr="00261B7A">
        <w:rPr>
          <w:vertAlign w:val="subscript"/>
        </w:rPr>
        <w:t>2</w:t>
      </w:r>
      <w:r w:rsidRPr="00261B7A">
        <w:t xml:space="preserve">-e), came from the Waste sector, largely from </w:t>
      </w:r>
      <w:r w:rsidRPr="00261B7A">
        <w:rPr>
          <w:i/>
          <w:iCs/>
        </w:rPr>
        <w:t>Solid waste disposal</w:t>
      </w:r>
      <w:r w:rsidRPr="00261B7A">
        <w:t>. The Energy sector contributed the remaining 0.4 per cent of CH</w:t>
      </w:r>
      <w:r w:rsidRPr="00261B7A">
        <w:rPr>
          <w:vertAlign w:val="subscript"/>
        </w:rPr>
        <w:t>4</w:t>
      </w:r>
      <w:r w:rsidRPr="00261B7A">
        <w:t xml:space="preserve"> emissions (0.01 kt CO</w:t>
      </w:r>
      <w:r w:rsidRPr="00261B7A">
        <w:rPr>
          <w:vertAlign w:val="subscript"/>
        </w:rPr>
        <w:t>2</w:t>
      </w:r>
      <w:r w:rsidRPr="00261B7A">
        <w:t xml:space="preserve">-e), which mostly came from </w:t>
      </w:r>
      <w:r w:rsidRPr="00261B7A">
        <w:rPr>
          <w:i/>
          <w:iCs/>
        </w:rPr>
        <w:t>Domestic navigation</w:t>
      </w:r>
      <w:r w:rsidRPr="00261B7A">
        <w:t>.</w:t>
      </w:r>
    </w:p>
    <w:p w14:paraId="7CBCE008" w14:textId="77777777" w:rsidR="00EC31F9" w:rsidRPr="00261B7A" w:rsidRDefault="00EC31F9" w:rsidP="00EC31F9">
      <w:pPr>
        <w:pStyle w:val="BodyText"/>
      </w:pPr>
      <w:r w:rsidRPr="00261B7A">
        <w:t>Nitrous oxide emissions contributed 1.2 per cent (0.05 kt CO</w:t>
      </w:r>
      <w:r w:rsidRPr="00261B7A">
        <w:rPr>
          <w:vertAlign w:val="subscript"/>
        </w:rPr>
        <w:t>2</w:t>
      </w:r>
      <w:r w:rsidRPr="00261B7A">
        <w:t xml:space="preserve">-e) to the total emissions from Tokelau. The </w:t>
      </w:r>
      <w:r w:rsidRPr="00261B7A">
        <w:rPr>
          <w:i/>
          <w:iCs/>
        </w:rPr>
        <w:t>Medical applications</w:t>
      </w:r>
      <w:r w:rsidRPr="00261B7A">
        <w:t xml:space="preserve"> category in the IPPU sector contributed the largest amount of N</w:t>
      </w:r>
      <w:r w:rsidRPr="00261B7A">
        <w:rPr>
          <w:vertAlign w:val="subscript"/>
        </w:rPr>
        <w:t>2</w:t>
      </w:r>
      <w:r w:rsidRPr="00261B7A">
        <w:t>O, 47.9 per cent (0.02 kt CO</w:t>
      </w:r>
      <w:r w:rsidRPr="00261B7A">
        <w:rPr>
          <w:vertAlign w:val="subscript"/>
        </w:rPr>
        <w:t>2</w:t>
      </w:r>
      <w:r w:rsidRPr="00261B7A">
        <w:t>-e) of the total N</w:t>
      </w:r>
      <w:r w:rsidRPr="00261B7A">
        <w:rPr>
          <w:vertAlign w:val="subscript"/>
        </w:rPr>
        <w:t>2</w:t>
      </w:r>
      <w:r w:rsidRPr="00261B7A">
        <w:t>O. The Energy sector contributed a further 27.3 per cent (0.01 kt CO</w:t>
      </w:r>
      <w:r w:rsidRPr="00261B7A">
        <w:rPr>
          <w:vertAlign w:val="subscript"/>
        </w:rPr>
        <w:t>2</w:t>
      </w:r>
      <w:r w:rsidRPr="00261B7A">
        <w:t xml:space="preserve">-e), which was largely from </w:t>
      </w:r>
      <w:r w:rsidRPr="00261B7A">
        <w:rPr>
          <w:i/>
          <w:iCs/>
        </w:rPr>
        <w:t>Domestic navigation</w:t>
      </w:r>
      <w:r w:rsidRPr="00261B7A">
        <w:t>. The Waste sector contributed the remaining 24.7 per cent of N</w:t>
      </w:r>
      <w:r w:rsidRPr="00261B7A">
        <w:rPr>
          <w:vertAlign w:val="subscript"/>
        </w:rPr>
        <w:t>2</w:t>
      </w:r>
      <w:r w:rsidRPr="00261B7A">
        <w:t>O (0.01 kt CO</w:t>
      </w:r>
      <w:r w:rsidRPr="00261B7A">
        <w:rPr>
          <w:vertAlign w:val="subscript"/>
        </w:rPr>
        <w:t>2</w:t>
      </w:r>
      <w:r w:rsidRPr="00261B7A">
        <w:t xml:space="preserve">-e) from </w:t>
      </w:r>
      <w:r w:rsidRPr="00261B7A">
        <w:rPr>
          <w:i/>
          <w:iCs/>
        </w:rPr>
        <w:t>Open burning</w:t>
      </w:r>
      <w:r w:rsidRPr="00261B7A">
        <w:t>.</w:t>
      </w:r>
    </w:p>
    <w:p w14:paraId="74EB8311" w14:textId="77777777" w:rsidR="00EC31F9" w:rsidRPr="00261B7A" w:rsidRDefault="00EC31F9" w:rsidP="00EC31F9">
      <w:pPr>
        <w:pStyle w:val="BodyText"/>
      </w:pPr>
      <w:r w:rsidRPr="00261B7A">
        <w:t>Emissions of fluorinated gases from Tokelau consisted of HFC emissions only, contributing 6.2 per cent (0.23 kt CO</w:t>
      </w:r>
      <w:r w:rsidRPr="00261B7A">
        <w:rPr>
          <w:vertAlign w:val="subscript"/>
        </w:rPr>
        <w:t>2</w:t>
      </w:r>
      <w:r w:rsidRPr="00261B7A">
        <w:t>-e) to the total emissions from Tokelau. These emissions largely resulted from the use of air conditioning. Emissions of PFCs, nitrogen trifluoride and sulphur hexafluoride are not occurring in Tokelau.</w:t>
      </w:r>
    </w:p>
    <w:p w14:paraId="0A101898" w14:textId="77777777" w:rsidR="00EC31F9" w:rsidRPr="00261B7A" w:rsidRDefault="00EC31F9" w:rsidP="00EC31F9">
      <w:pPr>
        <w:pStyle w:val="Heading5"/>
      </w:pPr>
      <w:r w:rsidRPr="00261B7A">
        <w:t>1990–2021</w:t>
      </w:r>
    </w:p>
    <w:p w14:paraId="268C249C" w14:textId="6FB08370" w:rsidR="00EC31F9" w:rsidRPr="00261B7A" w:rsidRDefault="00EC31F9" w:rsidP="00EC31F9">
      <w:pPr>
        <w:pStyle w:val="BodyText"/>
      </w:pPr>
      <w:r w:rsidRPr="00261B7A">
        <w:t>In 1990, total emissions from Tokelau were 3.17 kt CO</w:t>
      </w:r>
      <w:r w:rsidRPr="00261B7A">
        <w:rPr>
          <w:vertAlign w:val="subscript"/>
        </w:rPr>
        <w:t>2</w:t>
      </w:r>
      <w:r w:rsidRPr="00261B7A">
        <w:t>-e. Between 1990 and 2021, the total emissions increased by 19.4 per cent (0.61 kt CO</w:t>
      </w:r>
      <w:r w:rsidRPr="00261B7A">
        <w:rPr>
          <w:vertAlign w:val="subscript"/>
        </w:rPr>
        <w:t>2</w:t>
      </w:r>
      <w:r w:rsidRPr="00261B7A">
        <w:t>-e) to 3.78 kt CO</w:t>
      </w:r>
      <w:r w:rsidRPr="00261B7A">
        <w:rPr>
          <w:vertAlign w:val="subscript"/>
        </w:rPr>
        <w:t>2</w:t>
      </w:r>
      <w:r w:rsidRPr="00261B7A">
        <w:t>-e (chapter 8</w:t>
      </w:r>
      <w:r w:rsidR="00F06C1C" w:rsidRPr="00261B7A">
        <w:t>, table 8.1.1</w:t>
      </w:r>
      <w:r w:rsidRPr="00261B7A">
        <w:t>). From 1990 to 2021, the average annual increase in gross emissions was 0.75 per cent.</w:t>
      </w:r>
    </w:p>
    <w:p w14:paraId="696540A6" w14:textId="77777777" w:rsidR="00EC31F9" w:rsidRPr="00261B7A" w:rsidRDefault="00EC31F9" w:rsidP="00EC31F9">
      <w:pPr>
        <w:pStyle w:val="BodyText"/>
      </w:pPr>
      <w:r w:rsidRPr="00261B7A">
        <w:t xml:space="preserve">The emissions categories that contributed the most to this change were </w:t>
      </w:r>
      <w:r w:rsidRPr="00261B7A">
        <w:rPr>
          <w:i/>
          <w:iCs/>
        </w:rPr>
        <w:t>Domestic navigation</w:t>
      </w:r>
      <w:r w:rsidRPr="00261B7A">
        <w:t xml:space="preserve"> and </w:t>
      </w:r>
      <w:r w:rsidRPr="00261B7A">
        <w:rPr>
          <w:i/>
          <w:iCs/>
        </w:rPr>
        <w:t>Electricity generation</w:t>
      </w:r>
      <w:r w:rsidRPr="00261B7A">
        <w:t>.</w:t>
      </w:r>
    </w:p>
    <w:p w14:paraId="6C6E012F" w14:textId="77777777" w:rsidR="00EC31F9" w:rsidRPr="00261B7A" w:rsidRDefault="00EC31F9" w:rsidP="00EC31F9">
      <w:pPr>
        <w:pStyle w:val="BodyText"/>
      </w:pPr>
      <w:r w:rsidRPr="00261B7A">
        <w:t xml:space="preserve">The changes in </w:t>
      </w:r>
      <w:r w:rsidRPr="00261B7A">
        <w:rPr>
          <w:i/>
          <w:iCs/>
        </w:rPr>
        <w:t>Domestic navigation</w:t>
      </w:r>
      <w:r w:rsidRPr="00261B7A">
        <w:t xml:space="preserve"> were a result of Tokelau gaining ownership and use of the ferry </w:t>
      </w:r>
      <w:r w:rsidRPr="00261B7A">
        <w:rPr>
          <w:i/>
          <w:iCs/>
        </w:rPr>
        <w:t>Mataliki</w:t>
      </w:r>
      <w:r w:rsidRPr="00261B7A">
        <w:t xml:space="preserve"> in 2016, cargo vessel </w:t>
      </w:r>
      <w:r w:rsidRPr="00261B7A">
        <w:rPr>
          <w:i/>
          <w:iCs/>
        </w:rPr>
        <w:t>Kalopaga</w:t>
      </w:r>
      <w:r w:rsidRPr="00261B7A">
        <w:t xml:space="preserve"> in 2018 and </w:t>
      </w:r>
      <w:r w:rsidRPr="00261B7A">
        <w:rPr>
          <w:i/>
          <w:iCs/>
        </w:rPr>
        <w:t>Fetu o te Moana</w:t>
      </w:r>
      <w:r w:rsidRPr="00261B7A">
        <w:t xml:space="preserve"> in 2019, which led to an increasing number of sea voyages between the atolls and so increased transport emissions. Emissions from Tokelau’s IPPU sector have also increased mainly due to the introduction of air conditioning after 2006. Further changes in Tokelau’s Energy sector emissions are, first, a significant rise (by nearly 400 per cent) and then a major drop (by 82.5 per cent) in the consumption of imported petroleum products used for electricity production in Tokelau. Emissions from Tokelau’s Agriculture sector decreased slightly as a result of a reduced swine population.</w:t>
      </w:r>
    </w:p>
    <w:p w14:paraId="533062F5" w14:textId="77777777" w:rsidR="00EC31F9" w:rsidRPr="00261B7A" w:rsidRDefault="00EC31F9" w:rsidP="00EC31F9">
      <w:pPr>
        <w:pStyle w:val="Heading5"/>
      </w:pPr>
      <w:r w:rsidRPr="00261B7A">
        <w:t>2020–2021</w:t>
      </w:r>
    </w:p>
    <w:p w14:paraId="025126A7" w14:textId="77777777" w:rsidR="00EC31F9" w:rsidRPr="00261B7A" w:rsidRDefault="00EC31F9" w:rsidP="00EC31F9">
      <w:pPr>
        <w:pStyle w:val="BodyText"/>
      </w:pPr>
      <w:r w:rsidRPr="00261B7A">
        <w:t>Total Tokelau emissions in 2021 were 9.5 per cent (0.40 kt CO</w:t>
      </w:r>
      <w:r w:rsidRPr="00261B7A">
        <w:rPr>
          <w:vertAlign w:val="subscript"/>
        </w:rPr>
        <w:t>2</w:t>
      </w:r>
      <w:r w:rsidRPr="00261B7A">
        <w:t>-e) lower than emissions in 2020. The lower emissions were largely the result of decreases in CO</w:t>
      </w:r>
      <w:r w:rsidRPr="00261B7A">
        <w:rPr>
          <w:vertAlign w:val="subscript"/>
        </w:rPr>
        <w:t>2</w:t>
      </w:r>
      <w:r w:rsidRPr="00261B7A">
        <w:t xml:space="preserve"> emissions in the </w:t>
      </w:r>
      <w:r w:rsidRPr="00261B7A">
        <w:rPr>
          <w:i/>
          <w:iCs/>
        </w:rPr>
        <w:t>Domestic navigation</w:t>
      </w:r>
      <w:r w:rsidRPr="00261B7A">
        <w:t xml:space="preserve"> category.</w:t>
      </w:r>
    </w:p>
    <w:p w14:paraId="7E447961" w14:textId="77777777" w:rsidR="00EC31F9" w:rsidRPr="00261B7A" w:rsidRDefault="00EC31F9" w:rsidP="00AB66B2">
      <w:pPr>
        <w:pStyle w:val="Heading2"/>
        <w:tabs>
          <w:tab w:val="clear" w:pos="851"/>
          <w:tab w:val="left" w:pos="993"/>
        </w:tabs>
      </w:pPr>
      <w:bookmarkStart w:id="38" w:name="_Toc131591198"/>
      <w:bookmarkStart w:id="39" w:name="Xe61861c086d75407fde7e209cbdfcbc398e0b07"/>
      <w:bookmarkEnd w:id="27"/>
      <w:bookmarkEnd w:id="32"/>
      <w:bookmarkEnd w:id="37"/>
      <w:r w:rsidRPr="00261B7A">
        <w:lastRenderedPageBreak/>
        <w:t>ES.5</w:t>
      </w:r>
      <w:r w:rsidRPr="00261B7A">
        <w:tab/>
        <w:t>Activities under Article 3.3 and Article 3.4 of the Kyoto Protocol (chapter 11)</w:t>
      </w:r>
      <w:bookmarkEnd w:id="38"/>
    </w:p>
    <w:p w14:paraId="23F17E98" w14:textId="77777777" w:rsidR="00EC31F9" w:rsidRPr="00261B7A" w:rsidRDefault="00EC31F9" w:rsidP="00EC31F9">
      <w:pPr>
        <w:pStyle w:val="BodyText"/>
      </w:pPr>
      <w:r w:rsidRPr="00261B7A">
        <w:t xml:space="preserve">Reporting for CP2 of the Kyoto Protocol (2013 to 2020) was covered in the previous inventory submission. No further commitments have been taken under the Kyoto Protocol. New Zealand has taken its next emissions reduction target under the Paris Agreement, reporting for which </w:t>
      </w:r>
      <w:r w:rsidRPr="00261B7A">
        <w:rPr>
          <w:spacing w:val="-2"/>
        </w:rPr>
        <w:t>begins in 2024. The 1997 Kyoto Protocol, however, technically remains in force and its reporting</w:t>
      </w:r>
      <w:r w:rsidRPr="00261B7A">
        <w:t xml:space="preserve"> requirements still apply. New Zealand, therefore, continues to provide supplementary information required under the Kyoto Protocol in this submission. </w:t>
      </w:r>
    </w:p>
    <w:p w14:paraId="02925D79" w14:textId="77777777" w:rsidR="00EC31F9" w:rsidRPr="00261B7A" w:rsidRDefault="00EC31F9" w:rsidP="00EC31F9">
      <w:pPr>
        <w:pStyle w:val="BodyText"/>
      </w:pPr>
      <w:r w:rsidRPr="00261B7A">
        <w:t>New Zealand reports on activities under Articles 3.3 and 3.4 of the Kyoto Protocol for the year 2021 (table ES.5.1). The Ministry for the Environment monitors trends in land use by tracking forest land use and periodically producing land use maps. This information is supplemented by forestry statistics produced by the Ministry for Primary Industries. These data sources are used to detect the following trends in land use.</w:t>
      </w:r>
    </w:p>
    <w:p w14:paraId="44188CAD" w14:textId="77777777" w:rsidR="00EC31F9" w:rsidRPr="00261B7A" w:rsidRDefault="00EC31F9" w:rsidP="00EC31F9">
      <w:pPr>
        <w:pStyle w:val="Heading5"/>
      </w:pPr>
      <w:r w:rsidRPr="00261B7A">
        <w:t>Afforestation and reforestation</w:t>
      </w:r>
    </w:p>
    <w:p w14:paraId="7CD998A5" w14:textId="77777777" w:rsidR="00EC31F9" w:rsidRPr="00261B7A" w:rsidRDefault="00EC31F9" w:rsidP="00EC31F9">
      <w:pPr>
        <w:pStyle w:val="BodyText"/>
      </w:pPr>
      <w:r w:rsidRPr="00261B7A">
        <w:t>The provisional estimate</w:t>
      </w:r>
      <w:r w:rsidRPr="00261B7A">
        <w:rPr>
          <w:rStyle w:val="FootnoteReference"/>
        </w:rPr>
        <w:footnoteReference w:id="7"/>
      </w:r>
      <w:r w:rsidRPr="00261B7A">
        <w:t xml:space="preserve"> of </w:t>
      </w:r>
      <w:r w:rsidRPr="00261B7A">
        <w:rPr>
          <w:i/>
          <w:iCs/>
        </w:rPr>
        <w:t>Afforestation and reforestation</w:t>
      </w:r>
      <w:r w:rsidRPr="00261B7A">
        <w:t xml:space="preserve"> for 2021 is 54,268 hectares. In 2021, net removals were </w:t>
      </w:r>
      <w:r w:rsidRPr="00261B7A">
        <w:rPr>
          <w:rFonts w:cs="Calibri"/>
          <w:color w:val="000000"/>
          <w:szCs w:val="16"/>
        </w:rPr>
        <w:t xml:space="preserve">11,488.3 </w:t>
      </w:r>
      <w:r w:rsidRPr="00261B7A">
        <w:t>kt CO</w:t>
      </w:r>
      <w:r w:rsidRPr="00261B7A">
        <w:rPr>
          <w:vertAlign w:val="subscript"/>
        </w:rPr>
        <w:t>2</w:t>
      </w:r>
      <w:r w:rsidRPr="00261B7A">
        <w:t>-e.</w:t>
      </w:r>
    </w:p>
    <w:p w14:paraId="42C1F3F1" w14:textId="77777777" w:rsidR="00EC31F9" w:rsidRPr="00261B7A" w:rsidRDefault="00EC31F9" w:rsidP="00EC31F9">
      <w:pPr>
        <w:pStyle w:val="Heading5"/>
      </w:pPr>
      <w:r w:rsidRPr="00261B7A">
        <w:t>Deforestation</w:t>
      </w:r>
    </w:p>
    <w:p w14:paraId="25B84416" w14:textId="77777777" w:rsidR="00EC31F9" w:rsidRPr="00261B7A" w:rsidRDefault="00EC31F9" w:rsidP="00EC31F9">
      <w:pPr>
        <w:pStyle w:val="BodyText"/>
      </w:pPr>
      <w:r w:rsidRPr="00261B7A">
        <w:t xml:space="preserve">The provisional estimated area subject to </w:t>
      </w:r>
      <w:r w:rsidRPr="00261B7A">
        <w:rPr>
          <w:i/>
          <w:iCs/>
        </w:rPr>
        <w:t>Deforestation</w:t>
      </w:r>
      <w:r w:rsidRPr="00261B7A">
        <w:t xml:space="preserve"> in 2021 was 2,493 hectares. In 2021, net emissions from </w:t>
      </w:r>
      <w:r w:rsidRPr="00261B7A">
        <w:rPr>
          <w:i/>
          <w:iCs/>
        </w:rPr>
        <w:t>Deforestation</w:t>
      </w:r>
      <w:r w:rsidRPr="00261B7A">
        <w:t xml:space="preserve"> were 1,391.0 kt CO</w:t>
      </w:r>
      <w:r w:rsidRPr="00261B7A">
        <w:rPr>
          <w:vertAlign w:val="subscript"/>
        </w:rPr>
        <w:t>2</w:t>
      </w:r>
      <w:r w:rsidRPr="00261B7A">
        <w:t>-e.</w:t>
      </w:r>
    </w:p>
    <w:p w14:paraId="2918CA2C" w14:textId="77777777" w:rsidR="00EC31F9" w:rsidRPr="00261B7A" w:rsidRDefault="00EC31F9" w:rsidP="00EC31F9">
      <w:pPr>
        <w:pStyle w:val="Heading5"/>
      </w:pPr>
      <w:r w:rsidRPr="00261B7A">
        <w:t>Forest management</w:t>
      </w:r>
    </w:p>
    <w:p w14:paraId="3710CD15" w14:textId="77777777" w:rsidR="00EC31F9" w:rsidRPr="00261B7A" w:rsidRDefault="00EC31F9" w:rsidP="00EC31F9">
      <w:pPr>
        <w:pStyle w:val="BodyText"/>
      </w:pPr>
      <w:r w:rsidRPr="00261B7A">
        <w:t xml:space="preserve">The total area reported under </w:t>
      </w:r>
      <w:r w:rsidRPr="00261B7A">
        <w:rPr>
          <w:i/>
          <w:iCs/>
        </w:rPr>
        <w:t>Forest management</w:t>
      </w:r>
      <w:r w:rsidRPr="00261B7A">
        <w:t xml:space="preserve"> at the end of 2021 was 9,195,721 hectares, equivalent to 34.2 per cent of New Zealand’s total land area. This category includes all land that was forest at 1 January 1990 and has not been deforested since 1990. Net removals on this land in 2021 were 16,757.3 kt CO</w:t>
      </w:r>
      <w:r w:rsidRPr="00261B7A">
        <w:rPr>
          <w:vertAlign w:val="subscript"/>
        </w:rPr>
        <w:t>2</w:t>
      </w:r>
      <w:r w:rsidRPr="00261B7A">
        <w:t>-e, including net removals of 7,823.3 kt CO</w:t>
      </w:r>
      <w:r w:rsidRPr="00261B7A">
        <w:rPr>
          <w:vertAlign w:val="subscript"/>
        </w:rPr>
        <w:t>2</w:t>
      </w:r>
      <w:r w:rsidRPr="00261B7A">
        <w:t xml:space="preserve">-e from the </w:t>
      </w:r>
      <w:r w:rsidRPr="00261B7A">
        <w:rPr>
          <w:i/>
          <w:iCs/>
        </w:rPr>
        <w:t>Harvested wood products</w:t>
      </w:r>
      <w:r w:rsidRPr="00261B7A">
        <w:t xml:space="preserve"> category.</w:t>
      </w:r>
    </w:p>
    <w:p w14:paraId="1A9862F7" w14:textId="364A17C5" w:rsidR="00EC31F9" w:rsidRPr="00261B7A" w:rsidRDefault="00EC31F9" w:rsidP="00EC31F9">
      <w:pPr>
        <w:pStyle w:val="Figure"/>
      </w:pPr>
      <w:bookmarkStart w:id="40" w:name="_Toc131591519"/>
      <w:r w:rsidRPr="00261B7A">
        <w:t>Table ES 5.1</w:t>
      </w:r>
      <w:r w:rsidRPr="00261B7A">
        <w:tab/>
        <w:t xml:space="preserve">New Zealand’s land use areas for </w:t>
      </w:r>
      <w:r w:rsidRPr="00261B7A">
        <w:rPr>
          <w:i/>
          <w:iCs/>
        </w:rPr>
        <w:t>Afforestation and reforestation</w:t>
      </w:r>
      <w:r w:rsidRPr="00261B7A">
        <w:t xml:space="preserve">, </w:t>
      </w:r>
      <w:r w:rsidRPr="00261B7A">
        <w:rPr>
          <w:i/>
          <w:iCs/>
        </w:rPr>
        <w:t>Deforestation</w:t>
      </w:r>
      <w:r w:rsidRPr="00261B7A">
        <w:t xml:space="preserve"> and </w:t>
      </w:r>
      <w:r w:rsidRPr="00261B7A">
        <w:rPr>
          <w:i/>
          <w:iCs/>
        </w:rPr>
        <w:t>Forest</w:t>
      </w:r>
      <w:r w:rsidR="00AB66B2" w:rsidRPr="00261B7A">
        <w:rPr>
          <w:i/>
          <w:iCs/>
        </w:rPr>
        <w:t> </w:t>
      </w:r>
      <w:r w:rsidRPr="00261B7A">
        <w:rPr>
          <w:i/>
          <w:iCs/>
        </w:rPr>
        <w:t>management</w:t>
      </w:r>
      <w:bookmarkEnd w:id="40"/>
    </w:p>
    <w:tbl>
      <w:tblPr>
        <w:tblW w:w="5103" w:type="dxa"/>
        <w:jc w:val="center"/>
        <w:tblLayout w:type="fixed"/>
        <w:tblCellMar>
          <w:left w:w="85" w:type="dxa"/>
          <w:right w:w="85" w:type="dxa"/>
        </w:tblCellMar>
        <w:tblLook w:val="04A0" w:firstRow="1" w:lastRow="0" w:firstColumn="1" w:lastColumn="0" w:noHBand="0" w:noVBand="1"/>
      </w:tblPr>
      <w:tblGrid>
        <w:gridCol w:w="3363"/>
        <w:gridCol w:w="1740"/>
      </w:tblGrid>
      <w:tr w:rsidR="00EC31F9" w:rsidRPr="00261B7A" w14:paraId="319F6BC0" w14:textId="77777777" w:rsidTr="00E7129D">
        <w:trPr>
          <w:tblHeader/>
          <w:jc w:val="center"/>
        </w:trPr>
        <w:tc>
          <w:tcPr>
            <w:tcW w:w="3220" w:type="dxa"/>
            <w:tcBorders>
              <w:top w:val="single" w:sz="4" w:space="0" w:color="1B556B"/>
              <w:left w:val="nil"/>
              <w:bottom w:val="single" w:sz="4" w:space="0" w:color="1B556B"/>
              <w:right w:val="nil"/>
            </w:tcBorders>
            <w:shd w:val="clear" w:color="000000" w:fill="1B556B"/>
            <w:vAlign w:val="center"/>
            <w:hideMark/>
          </w:tcPr>
          <w:p w14:paraId="63196A61" w14:textId="77777777" w:rsidR="00EC31F9" w:rsidRPr="00261B7A" w:rsidRDefault="00EC31F9" w:rsidP="000F09B5">
            <w:pPr>
              <w:pStyle w:val="TableTextBold"/>
              <w:spacing w:before="50" w:after="50"/>
              <w:rPr>
                <w:rFonts w:cs="Calibri"/>
                <w:noProof w:val="0"/>
                <w:color w:val="FFFFFF"/>
                <w:szCs w:val="16"/>
              </w:rPr>
            </w:pPr>
            <w:r w:rsidRPr="00261B7A">
              <w:rPr>
                <w:rFonts w:cs="Calibri"/>
                <w:noProof w:val="0"/>
                <w:color w:val="FFFFFF"/>
                <w:szCs w:val="16"/>
              </w:rPr>
              <w:t>Activity </w:t>
            </w:r>
          </w:p>
        </w:tc>
        <w:tc>
          <w:tcPr>
            <w:tcW w:w="1666" w:type="dxa"/>
            <w:tcBorders>
              <w:top w:val="single" w:sz="4" w:space="0" w:color="1B556B"/>
              <w:left w:val="nil"/>
              <w:bottom w:val="single" w:sz="4" w:space="0" w:color="1B556B"/>
              <w:right w:val="nil"/>
            </w:tcBorders>
            <w:shd w:val="clear" w:color="000000" w:fill="1B556B"/>
          </w:tcPr>
          <w:p w14:paraId="61130478" w14:textId="77777777" w:rsidR="00EC31F9" w:rsidRPr="00261B7A" w:rsidRDefault="00EC31F9" w:rsidP="000F09B5">
            <w:pPr>
              <w:pStyle w:val="TableTextBold"/>
              <w:spacing w:before="50" w:after="50"/>
              <w:jc w:val="right"/>
              <w:rPr>
                <w:rFonts w:cs="Calibri"/>
                <w:noProof w:val="0"/>
                <w:color w:val="FFFFFF"/>
                <w:szCs w:val="16"/>
                <w:vertAlign w:val="superscript"/>
              </w:rPr>
            </w:pPr>
            <w:r w:rsidRPr="00261B7A">
              <w:rPr>
                <w:rFonts w:cs="Calibri"/>
                <w:noProof w:val="0"/>
                <w:color w:val="FFFFFF"/>
                <w:szCs w:val="16"/>
              </w:rPr>
              <w:t>2021</w:t>
            </w:r>
            <w:r w:rsidRPr="00261B7A">
              <w:rPr>
                <w:rFonts w:cs="Calibri"/>
                <w:noProof w:val="0"/>
                <w:color w:val="FFFFFF"/>
                <w:szCs w:val="16"/>
                <w:vertAlign w:val="superscript"/>
              </w:rPr>
              <w:t>P</w:t>
            </w:r>
          </w:p>
        </w:tc>
      </w:tr>
      <w:tr w:rsidR="00EC31F9" w:rsidRPr="00261B7A" w14:paraId="60ACDFA2" w14:textId="77777777" w:rsidTr="000F09B5">
        <w:trPr>
          <w:jc w:val="center"/>
        </w:trPr>
        <w:tc>
          <w:tcPr>
            <w:tcW w:w="3220" w:type="dxa"/>
            <w:tcBorders>
              <w:top w:val="single" w:sz="4" w:space="0" w:color="1B556B"/>
              <w:left w:val="nil"/>
              <w:bottom w:val="single" w:sz="4" w:space="0" w:color="1B556B"/>
              <w:right w:val="nil"/>
            </w:tcBorders>
            <w:shd w:val="clear" w:color="auto" w:fill="auto"/>
            <w:vAlign w:val="center"/>
            <w:hideMark/>
          </w:tcPr>
          <w:p w14:paraId="4BF57DC4" w14:textId="77777777" w:rsidR="00EC31F9" w:rsidRPr="00261B7A" w:rsidRDefault="00EC31F9" w:rsidP="000F09B5">
            <w:pPr>
              <w:pStyle w:val="TableTextBold"/>
              <w:spacing w:before="50" w:after="50"/>
              <w:rPr>
                <w:rFonts w:cs="Calibri"/>
                <w:noProof w:val="0"/>
                <w:szCs w:val="16"/>
              </w:rPr>
            </w:pPr>
            <w:r w:rsidRPr="00261B7A">
              <w:rPr>
                <w:rFonts w:cs="Calibri"/>
                <w:noProof w:val="0"/>
                <w:szCs w:val="16"/>
              </w:rPr>
              <w:t>Afforestation and reforestation</w:t>
            </w:r>
          </w:p>
        </w:tc>
        <w:tc>
          <w:tcPr>
            <w:tcW w:w="1666" w:type="dxa"/>
            <w:tcBorders>
              <w:top w:val="single" w:sz="4" w:space="0" w:color="1B556B"/>
              <w:left w:val="nil"/>
              <w:bottom w:val="single" w:sz="4" w:space="0" w:color="1B556B"/>
              <w:right w:val="nil"/>
            </w:tcBorders>
            <w:shd w:val="clear" w:color="auto" w:fill="auto"/>
          </w:tcPr>
          <w:p w14:paraId="23E699F4" w14:textId="77777777" w:rsidR="00EC31F9" w:rsidRPr="00261B7A" w:rsidRDefault="00EC31F9" w:rsidP="000F09B5">
            <w:pPr>
              <w:pStyle w:val="TableText"/>
              <w:spacing w:before="50" w:after="50"/>
            </w:pPr>
          </w:p>
        </w:tc>
      </w:tr>
      <w:tr w:rsidR="00EC31F9" w:rsidRPr="00261B7A" w14:paraId="3DD62AD4" w14:textId="77777777" w:rsidTr="000F09B5">
        <w:trPr>
          <w:jc w:val="center"/>
        </w:trPr>
        <w:tc>
          <w:tcPr>
            <w:tcW w:w="3220" w:type="dxa"/>
            <w:tcBorders>
              <w:top w:val="single" w:sz="4" w:space="0" w:color="1B556B"/>
              <w:left w:val="nil"/>
              <w:right w:val="nil"/>
            </w:tcBorders>
            <w:shd w:val="clear" w:color="auto" w:fill="auto"/>
            <w:vAlign w:val="center"/>
            <w:hideMark/>
          </w:tcPr>
          <w:p w14:paraId="630C3A51" w14:textId="77777777" w:rsidR="00EC31F9" w:rsidRPr="00261B7A" w:rsidRDefault="00EC31F9" w:rsidP="000F09B5">
            <w:pPr>
              <w:pStyle w:val="TableText"/>
              <w:spacing w:before="50" w:after="50"/>
              <w:rPr>
                <w:rFonts w:cs="Calibri"/>
                <w:szCs w:val="16"/>
              </w:rPr>
            </w:pPr>
            <w:r w:rsidRPr="00261B7A">
              <w:rPr>
                <w:rFonts w:cs="Calibri"/>
                <w:szCs w:val="16"/>
              </w:rPr>
              <w:t>Net cumulative area since 1990 (ha)</w:t>
            </w:r>
          </w:p>
        </w:tc>
        <w:tc>
          <w:tcPr>
            <w:tcW w:w="1666" w:type="dxa"/>
            <w:tcBorders>
              <w:top w:val="single" w:sz="4" w:space="0" w:color="1B556B"/>
              <w:left w:val="nil"/>
              <w:right w:val="nil"/>
            </w:tcBorders>
            <w:shd w:val="clear" w:color="auto" w:fill="auto"/>
            <w:vAlign w:val="center"/>
          </w:tcPr>
          <w:p w14:paraId="672627EA" w14:textId="77777777" w:rsidR="00EC31F9" w:rsidRPr="00261B7A" w:rsidRDefault="00EC31F9" w:rsidP="000F09B5">
            <w:pPr>
              <w:pStyle w:val="TableText"/>
              <w:spacing w:before="50" w:after="50"/>
              <w:jc w:val="right"/>
            </w:pPr>
            <w:r w:rsidRPr="00261B7A">
              <w:rPr>
                <w:rFonts w:cs="Calibri"/>
                <w:color w:val="000000"/>
                <w:szCs w:val="16"/>
              </w:rPr>
              <w:t>824,073</w:t>
            </w:r>
          </w:p>
        </w:tc>
      </w:tr>
      <w:tr w:rsidR="00EC31F9" w:rsidRPr="00261B7A" w14:paraId="15BFE99E" w14:textId="77777777" w:rsidTr="000F09B5">
        <w:trPr>
          <w:jc w:val="center"/>
        </w:trPr>
        <w:tc>
          <w:tcPr>
            <w:tcW w:w="3220" w:type="dxa"/>
            <w:tcBorders>
              <w:left w:val="nil"/>
              <w:right w:val="nil"/>
            </w:tcBorders>
            <w:shd w:val="clear" w:color="auto" w:fill="auto"/>
            <w:vAlign w:val="center"/>
            <w:hideMark/>
          </w:tcPr>
          <w:p w14:paraId="5C35D34B" w14:textId="77777777" w:rsidR="00EC31F9" w:rsidRPr="00261B7A" w:rsidRDefault="00EC31F9" w:rsidP="000F09B5">
            <w:pPr>
              <w:pStyle w:val="TableText"/>
              <w:spacing w:before="50" w:after="50"/>
            </w:pPr>
            <w:r w:rsidRPr="00261B7A">
              <w:t>Area in calendar year (ha)</w:t>
            </w:r>
          </w:p>
        </w:tc>
        <w:tc>
          <w:tcPr>
            <w:tcW w:w="1666" w:type="dxa"/>
            <w:tcBorders>
              <w:left w:val="nil"/>
              <w:right w:val="nil"/>
            </w:tcBorders>
            <w:shd w:val="clear" w:color="auto" w:fill="auto"/>
            <w:vAlign w:val="center"/>
          </w:tcPr>
          <w:p w14:paraId="17F7BAA4" w14:textId="77777777" w:rsidR="00EC31F9" w:rsidRPr="00261B7A" w:rsidRDefault="00EC31F9" w:rsidP="000F09B5">
            <w:pPr>
              <w:pStyle w:val="TableText"/>
              <w:spacing w:before="50" w:after="50"/>
              <w:jc w:val="right"/>
            </w:pPr>
            <w:r w:rsidRPr="00261B7A">
              <w:rPr>
                <w:rFonts w:cs="Calibri"/>
                <w:color w:val="000000"/>
                <w:szCs w:val="16"/>
              </w:rPr>
              <w:t>54,268</w:t>
            </w:r>
          </w:p>
        </w:tc>
      </w:tr>
      <w:tr w:rsidR="00EC31F9" w:rsidRPr="00261B7A" w14:paraId="0BEAA5D7" w14:textId="77777777" w:rsidTr="000F09B5">
        <w:trPr>
          <w:jc w:val="center"/>
        </w:trPr>
        <w:tc>
          <w:tcPr>
            <w:tcW w:w="3220" w:type="dxa"/>
            <w:tcBorders>
              <w:left w:val="nil"/>
              <w:bottom w:val="single" w:sz="4" w:space="0" w:color="1B556B"/>
              <w:right w:val="nil"/>
            </w:tcBorders>
            <w:shd w:val="clear" w:color="auto" w:fill="auto"/>
            <w:vAlign w:val="center"/>
            <w:hideMark/>
          </w:tcPr>
          <w:p w14:paraId="7E72032C" w14:textId="77777777" w:rsidR="00EC31F9" w:rsidRPr="00261B7A" w:rsidRDefault="00EC31F9" w:rsidP="000F09B5">
            <w:pPr>
              <w:pStyle w:val="TableText"/>
              <w:spacing w:before="50" w:after="50"/>
              <w:rPr>
                <w:rFonts w:cs="Calibri"/>
                <w:szCs w:val="16"/>
              </w:rPr>
            </w:pPr>
            <w:r w:rsidRPr="00261B7A">
              <w:rPr>
                <w:rFonts w:cs="Calibri"/>
                <w:szCs w:val="16"/>
              </w:rPr>
              <w:t>Net emissions in calendar year (kt CO</w:t>
            </w:r>
            <w:r w:rsidRPr="00261B7A">
              <w:rPr>
                <w:rFonts w:cs="Calibri"/>
                <w:szCs w:val="16"/>
                <w:vertAlign w:val="subscript"/>
              </w:rPr>
              <w:t>2</w:t>
            </w:r>
            <w:r w:rsidRPr="00261B7A">
              <w:rPr>
                <w:rFonts w:cs="Calibri"/>
                <w:szCs w:val="16"/>
              </w:rPr>
              <w:t>-e)</w:t>
            </w:r>
          </w:p>
        </w:tc>
        <w:tc>
          <w:tcPr>
            <w:tcW w:w="1666" w:type="dxa"/>
            <w:tcBorders>
              <w:left w:val="nil"/>
              <w:bottom w:val="single" w:sz="4" w:space="0" w:color="1B556B"/>
              <w:right w:val="nil"/>
            </w:tcBorders>
            <w:shd w:val="clear" w:color="auto" w:fill="auto"/>
            <w:vAlign w:val="center"/>
          </w:tcPr>
          <w:p w14:paraId="76F0B8B3" w14:textId="77777777" w:rsidR="00EC31F9" w:rsidRPr="00261B7A" w:rsidRDefault="00EC31F9" w:rsidP="000F09B5">
            <w:pPr>
              <w:pStyle w:val="TableText"/>
              <w:spacing w:before="50" w:after="50"/>
              <w:jc w:val="right"/>
            </w:pPr>
            <w:r w:rsidRPr="00261B7A">
              <w:rPr>
                <w:rFonts w:cs="Calibri"/>
                <w:color w:val="000000"/>
                <w:szCs w:val="16"/>
              </w:rPr>
              <w:t xml:space="preserve">–11,488.3 </w:t>
            </w:r>
          </w:p>
        </w:tc>
      </w:tr>
      <w:tr w:rsidR="00EC31F9" w:rsidRPr="00261B7A" w14:paraId="4DF9870B" w14:textId="77777777" w:rsidTr="000F09B5">
        <w:trPr>
          <w:jc w:val="center"/>
        </w:trPr>
        <w:tc>
          <w:tcPr>
            <w:tcW w:w="3220" w:type="dxa"/>
            <w:tcBorders>
              <w:top w:val="single" w:sz="4" w:space="0" w:color="1B556B"/>
              <w:left w:val="nil"/>
              <w:bottom w:val="single" w:sz="4" w:space="0" w:color="1B556B"/>
              <w:right w:val="nil"/>
            </w:tcBorders>
            <w:shd w:val="clear" w:color="auto" w:fill="auto"/>
            <w:vAlign w:val="center"/>
            <w:hideMark/>
          </w:tcPr>
          <w:p w14:paraId="43E8D17E" w14:textId="77777777" w:rsidR="00EC31F9" w:rsidRPr="00261B7A" w:rsidRDefault="00EC31F9" w:rsidP="000F09B5">
            <w:pPr>
              <w:pStyle w:val="TableTextBold"/>
              <w:spacing w:before="50" w:after="50"/>
              <w:rPr>
                <w:rFonts w:cs="Calibri"/>
                <w:noProof w:val="0"/>
                <w:szCs w:val="16"/>
              </w:rPr>
            </w:pPr>
            <w:r w:rsidRPr="00261B7A">
              <w:rPr>
                <w:rFonts w:cs="Calibri"/>
                <w:noProof w:val="0"/>
                <w:szCs w:val="16"/>
              </w:rPr>
              <w:t>Deforestation</w:t>
            </w:r>
          </w:p>
        </w:tc>
        <w:tc>
          <w:tcPr>
            <w:tcW w:w="1666" w:type="dxa"/>
            <w:tcBorders>
              <w:top w:val="single" w:sz="4" w:space="0" w:color="1B556B"/>
              <w:left w:val="nil"/>
              <w:bottom w:val="single" w:sz="4" w:space="0" w:color="1B556B"/>
              <w:right w:val="nil"/>
            </w:tcBorders>
            <w:shd w:val="clear" w:color="auto" w:fill="auto"/>
          </w:tcPr>
          <w:p w14:paraId="55B9A4F1" w14:textId="77777777" w:rsidR="00EC31F9" w:rsidRPr="00261B7A" w:rsidRDefault="00EC31F9" w:rsidP="000F09B5">
            <w:pPr>
              <w:pStyle w:val="TableTextBold"/>
              <w:spacing w:before="50" w:after="50"/>
              <w:jc w:val="right"/>
              <w:rPr>
                <w:rFonts w:cs="Calibri"/>
                <w:noProof w:val="0"/>
                <w:szCs w:val="16"/>
              </w:rPr>
            </w:pPr>
          </w:p>
        </w:tc>
      </w:tr>
      <w:tr w:rsidR="00EC31F9" w:rsidRPr="00261B7A" w14:paraId="2514E8DF" w14:textId="77777777" w:rsidTr="000F09B5">
        <w:trPr>
          <w:jc w:val="center"/>
        </w:trPr>
        <w:tc>
          <w:tcPr>
            <w:tcW w:w="3220" w:type="dxa"/>
            <w:tcBorders>
              <w:top w:val="single" w:sz="4" w:space="0" w:color="1B556B"/>
              <w:left w:val="nil"/>
              <w:right w:val="nil"/>
            </w:tcBorders>
            <w:shd w:val="clear" w:color="auto" w:fill="auto"/>
            <w:vAlign w:val="center"/>
            <w:hideMark/>
          </w:tcPr>
          <w:p w14:paraId="78BE947F" w14:textId="77777777" w:rsidR="00EC31F9" w:rsidRPr="00261B7A" w:rsidRDefault="00EC31F9" w:rsidP="000F09B5">
            <w:pPr>
              <w:pStyle w:val="TableText"/>
              <w:spacing w:before="50" w:after="50"/>
              <w:rPr>
                <w:rFonts w:cs="Calibri"/>
                <w:szCs w:val="16"/>
              </w:rPr>
            </w:pPr>
            <w:r w:rsidRPr="00261B7A">
              <w:rPr>
                <w:rFonts w:cs="Calibri"/>
                <w:szCs w:val="16"/>
              </w:rPr>
              <w:t>Net cumulative area since 1990 (ha)</w:t>
            </w:r>
          </w:p>
        </w:tc>
        <w:tc>
          <w:tcPr>
            <w:tcW w:w="1666" w:type="dxa"/>
            <w:tcBorders>
              <w:top w:val="single" w:sz="4" w:space="0" w:color="1B556B"/>
              <w:left w:val="nil"/>
              <w:right w:val="nil"/>
            </w:tcBorders>
            <w:shd w:val="clear" w:color="auto" w:fill="auto"/>
            <w:vAlign w:val="center"/>
          </w:tcPr>
          <w:p w14:paraId="4253D4BB" w14:textId="77777777" w:rsidR="00EC31F9" w:rsidRPr="00261B7A" w:rsidRDefault="00EC31F9" w:rsidP="000F09B5">
            <w:pPr>
              <w:pStyle w:val="TableText"/>
              <w:spacing w:before="50" w:after="50"/>
              <w:jc w:val="right"/>
            </w:pPr>
            <w:r w:rsidRPr="00261B7A">
              <w:rPr>
                <w:rFonts w:cs="Calibri"/>
                <w:color w:val="000000"/>
                <w:szCs w:val="16"/>
              </w:rPr>
              <w:t>224,591</w:t>
            </w:r>
          </w:p>
        </w:tc>
      </w:tr>
      <w:tr w:rsidR="00EC31F9" w:rsidRPr="00261B7A" w14:paraId="45FFAC41" w14:textId="77777777" w:rsidTr="000F09B5">
        <w:trPr>
          <w:jc w:val="center"/>
        </w:trPr>
        <w:tc>
          <w:tcPr>
            <w:tcW w:w="3220" w:type="dxa"/>
            <w:tcBorders>
              <w:left w:val="nil"/>
              <w:right w:val="nil"/>
            </w:tcBorders>
            <w:shd w:val="clear" w:color="auto" w:fill="auto"/>
            <w:vAlign w:val="center"/>
            <w:hideMark/>
          </w:tcPr>
          <w:p w14:paraId="2E366BCF" w14:textId="77777777" w:rsidR="00EC31F9" w:rsidRPr="00261B7A" w:rsidRDefault="00EC31F9" w:rsidP="000F09B5">
            <w:pPr>
              <w:pStyle w:val="TableText"/>
              <w:spacing w:before="50" w:after="50"/>
              <w:rPr>
                <w:rFonts w:cs="Calibri"/>
                <w:szCs w:val="16"/>
              </w:rPr>
            </w:pPr>
            <w:r w:rsidRPr="00261B7A">
              <w:rPr>
                <w:rFonts w:cs="Calibri"/>
                <w:szCs w:val="16"/>
              </w:rPr>
              <w:t>Area in calendar year (ha)</w:t>
            </w:r>
          </w:p>
        </w:tc>
        <w:tc>
          <w:tcPr>
            <w:tcW w:w="1666" w:type="dxa"/>
            <w:tcBorders>
              <w:left w:val="nil"/>
              <w:right w:val="nil"/>
            </w:tcBorders>
            <w:shd w:val="clear" w:color="auto" w:fill="auto"/>
            <w:vAlign w:val="center"/>
          </w:tcPr>
          <w:p w14:paraId="78D2B1E6" w14:textId="77777777" w:rsidR="00EC31F9" w:rsidRPr="00261B7A" w:rsidRDefault="00EC31F9" w:rsidP="000F09B5">
            <w:pPr>
              <w:pStyle w:val="TableText"/>
              <w:spacing w:before="50" w:after="50"/>
              <w:jc w:val="right"/>
            </w:pPr>
            <w:r w:rsidRPr="00261B7A">
              <w:rPr>
                <w:rFonts w:cs="Calibri"/>
                <w:color w:val="000000"/>
                <w:szCs w:val="16"/>
              </w:rPr>
              <w:t xml:space="preserve"> 2,493 </w:t>
            </w:r>
          </w:p>
        </w:tc>
      </w:tr>
      <w:tr w:rsidR="00EC31F9" w:rsidRPr="00261B7A" w14:paraId="134F313D" w14:textId="77777777" w:rsidTr="000F09B5">
        <w:trPr>
          <w:jc w:val="center"/>
        </w:trPr>
        <w:tc>
          <w:tcPr>
            <w:tcW w:w="3220" w:type="dxa"/>
            <w:tcBorders>
              <w:left w:val="nil"/>
              <w:bottom w:val="single" w:sz="4" w:space="0" w:color="1B556B"/>
              <w:right w:val="nil"/>
            </w:tcBorders>
            <w:shd w:val="clear" w:color="auto" w:fill="auto"/>
            <w:vAlign w:val="center"/>
            <w:hideMark/>
          </w:tcPr>
          <w:p w14:paraId="7C80226F" w14:textId="77777777" w:rsidR="00EC31F9" w:rsidRPr="00261B7A" w:rsidRDefault="00EC31F9" w:rsidP="000F09B5">
            <w:pPr>
              <w:pStyle w:val="TableText"/>
              <w:spacing w:before="50" w:after="50"/>
              <w:rPr>
                <w:rFonts w:cs="Calibri"/>
                <w:szCs w:val="16"/>
              </w:rPr>
            </w:pPr>
            <w:r w:rsidRPr="00261B7A">
              <w:rPr>
                <w:rFonts w:cs="Calibri"/>
                <w:szCs w:val="16"/>
              </w:rPr>
              <w:t>Net emissions in calendar year (kt CO</w:t>
            </w:r>
            <w:r w:rsidRPr="00261B7A">
              <w:rPr>
                <w:rFonts w:cs="Calibri"/>
                <w:szCs w:val="16"/>
                <w:vertAlign w:val="subscript"/>
              </w:rPr>
              <w:t>2</w:t>
            </w:r>
            <w:r w:rsidRPr="00261B7A">
              <w:rPr>
                <w:rFonts w:cs="Calibri"/>
                <w:szCs w:val="16"/>
              </w:rPr>
              <w:t>-e)</w:t>
            </w:r>
          </w:p>
        </w:tc>
        <w:tc>
          <w:tcPr>
            <w:tcW w:w="1666" w:type="dxa"/>
            <w:tcBorders>
              <w:left w:val="nil"/>
              <w:bottom w:val="single" w:sz="4" w:space="0" w:color="1B556B"/>
              <w:right w:val="nil"/>
            </w:tcBorders>
            <w:shd w:val="clear" w:color="auto" w:fill="auto"/>
            <w:vAlign w:val="center"/>
          </w:tcPr>
          <w:p w14:paraId="5AB600F2" w14:textId="77777777" w:rsidR="00EC31F9" w:rsidRPr="00261B7A" w:rsidRDefault="00EC31F9" w:rsidP="000F09B5">
            <w:pPr>
              <w:pStyle w:val="TableText"/>
              <w:spacing w:before="50" w:after="50"/>
              <w:jc w:val="right"/>
            </w:pPr>
            <w:r w:rsidRPr="00261B7A">
              <w:rPr>
                <w:rFonts w:cs="Calibri"/>
                <w:color w:val="000000"/>
                <w:szCs w:val="16"/>
              </w:rPr>
              <w:t>1,391.0</w:t>
            </w:r>
          </w:p>
        </w:tc>
      </w:tr>
      <w:tr w:rsidR="00EC31F9" w:rsidRPr="00261B7A" w14:paraId="718C0D16" w14:textId="77777777" w:rsidTr="000F09B5">
        <w:trPr>
          <w:trHeight w:val="194"/>
          <w:jc w:val="center"/>
        </w:trPr>
        <w:tc>
          <w:tcPr>
            <w:tcW w:w="3220" w:type="dxa"/>
            <w:tcBorders>
              <w:top w:val="single" w:sz="4" w:space="0" w:color="1B556B"/>
              <w:left w:val="nil"/>
              <w:bottom w:val="single" w:sz="4" w:space="0" w:color="1B556B"/>
              <w:right w:val="nil"/>
            </w:tcBorders>
            <w:shd w:val="clear" w:color="auto" w:fill="auto"/>
            <w:vAlign w:val="center"/>
            <w:hideMark/>
          </w:tcPr>
          <w:p w14:paraId="6020A529" w14:textId="77777777" w:rsidR="00EC31F9" w:rsidRPr="00261B7A" w:rsidRDefault="00EC31F9" w:rsidP="00E7129D">
            <w:pPr>
              <w:pStyle w:val="TableTextBold"/>
              <w:keepNext/>
              <w:spacing w:before="50" w:after="50"/>
              <w:rPr>
                <w:rFonts w:cs="Calibri"/>
                <w:noProof w:val="0"/>
                <w:szCs w:val="16"/>
              </w:rPr>
            </w:pPr>
            <w:r w:rsidRPr="00261B7A">
              <w:rPr>
                <w:rFonts w:cs="Calibri"/>
                <w:noProof w:val="0"/>
                <w:szCs w:val="16"/>
              </w:rPr>
              <w:lastRenderedPageBreak/>
              <w:t>Forest management</w:t>
            </w:r>
          </w:p>
        </w:tc>
        <w:tc>
          <w:tcPr>
            <w:tcW w:w="1666" w:type="dxa"/>
            <w:tcBorders>
              <w:top w:val="single" w:sz="4" w:space="0" w:color="1B556B"/>
              <w:left w:val="nil"/>
              <w:bottom w:val="single" w:sz="4" w:space="0" w:color="1B556B"/>
              <w:right w:val="nil"/>
            </w:tcBorders>
            <w:shd w:val="clear" w:color="auto" w:fill="auto"/>
          </w:tcPr>
          <w:p w14:paraId="5F6CF1FB" w14:textId="77777777" w:rsidR="00EC31F9" w:rsidRPr="00261B7A" w:rsidRDefault="00EC31F9" w:rsidP="00E7129D">
            <w:pPr>
              <w:pStyle w:val="TableTextBold"/>
              <w:keepNext/>
              <w:spacing w:before="50" w:after="50"/>
              <w:jc w:val="right"/>
              <w:rPr>
                <w:rFonts w:cs="Calibri"/>
                <w:noProof w:val="0"/>
                <w:szCs w:val="16"/>
              </w:rPr>
            </w:pPr>
          </w:p>
        </w:tc>
      </w:tr>
      <w:tr w:rsidR="00EC31F9" w:rsidRPr="00261B7A" w14:paraId="1914C820" w14:textId="77777777" w:rsidTr="000F09B5">
        <w:trPr>
          <w:jc w:val="center"/>
        </w:trPr>
        <w:tc>
          <w:tcPr>
            <w:tcW w:w="3220" w:type="dxa"/>
            <w:tcBorders>
              <w:top w:val="single" w:sz="4" w:space="0" w:color="1B556B"/>
              <w:left w:val="nil"/>
              <w:right w:val="nil"/>
            </w:tcBorders>
            <w:shd w:val="clear" w:color="auto" w:fill="auto"/>
            <w:vAlign w:val="center"/>
            <w:hideMark/>
          </w:tcPr>
          <w:p w14:paraId="24DEFC35" w14:textId="77777777" w:rsidR="00EC31F9" w:rsidRPr="00261B7A" w:rsidRDefault="00EC31F9" w:rsidP="00E7129D">
            <w:pPr>
              <w:pStyle w:val="TableText"/>
              <w:keepNext/>
              <w:spacing w:before="50" w:after="50"/>
              <w:rPr>
                <w:rFonts w:cs="Calibri"/>
                <w:szCs w:val="16"/>
              </w:rPr>
            </w:pPr>
            <w:r w:rsidRPr="00261B7A">
              <w:rPr>
                <w:rFonts w:cs="Calibri"/>
                <w:szCs w:val="16"/>
              </w:rPr>
              <w:t>Area included (ha)</w:t>
            </w:r>
          </w:p>
        </w:tc>
        <w:tc>
          <w:tcPr>
            <w:tcW w:w="1666" w:type="dxa"/>
            <w:tcBorders>
              <w:top w:val="single" w:sz="4" w:space="0" w:color="1B556B"/>
              <w:left w:val="nil"/>
              <w:right w:val="nil"/>
            </w:tcBorders>
            <w:shd w:val="clear" w:color="auto" w:fill="auto"/>
            <w:vAlign w:val="center"/>
          </w:tcPr>
          <w:p w14:paraId="197E306F" w14:textId="77777777" w:rsidR="00EC31F9" w:rsidRPr="00261B7A" w:rsidRDefault="00EC31F9" w:rsidP="00E7129D">
            <w:pPr>
              <w:pStyle w:val="TableText"/>
              <w:keepNext/>
              <w:spacing w:before="50" w:after="50"/>
              <w:jc w:val="right"/>
              <w:rPr>
                <w:rFonts w:cs="Calibri"/>
                <w:szCs w:val="16"/>
              </w:rPr>
            </w:pPr>
            <w:r w:rsidRPr="00261B7A">
              <w:rPr>
                <w:rFonts w:cs="Calibri"/>
                <w:color w:val="444444"/>
                <w:szCs w:val="16"/>
                <w:shd w:val="clear" w:color="auto" w:fill="FFFFFF"/>
              </w:rPr>
              <w:t>9,195,721</w:t>
            </w:r>
          </w:p>
        </w:tc>
      </w:tr>
      <w:tr w:rsidR="00EC31F9" w:rsidRPr="00261B7A" w14:paraId="1851F6E4" w14:textId="77777777" w:rsidTr="000F09B5">
        <w:trPr>
          <w:jc w:val="center"/>
        </w:trPr>
        <w:tc>
          <w:tcPr>
            <w:tcW w:w="3220" w:type="dxa"/>
            <w:tcBorders>
              <w:left w:val="nil"/>
              <w:bottom w:val="single" w:sz="4" w:space="0" w:color="1B556B"/>
              <w:right w:val="nil"/>
            </w:tcBorders>
            <w:shd w:val="clear" w:color="auto" w:fill="auto"/>
            <w:vAlign w:val="center"/>
            <w:hideMark/>
          </w:tcPr>
          <w:p w14:paraId="4D4E3723" w14:textId="77777777" w:rsidR="00EC31F9" w:rsidRPr="00261B7A" w:rsidRDefault="00EC31F9" w:rsidP="000F09B5">
            <w:pPr>
              <w:pStyle w:val="TableText"/>
              <w:spacing w:before="50" w:after="50"/>
              <w:rPr>
                <w:rFonts w:cs="Calibri"/>
                <w:szCs w:val="16"/>
              </w:rPr>
            </w:pPr>
            <w:r w:rsidRPr="00261B7A">
              <w:rPr>
                <w:rFonts w:cs="Calibri"/>
                <w:szCs w:val="16"/>
              </w:rPr>
              <w:t>Net emissions in calendar year (kt CO</w:t>
            </w:r>
            <w:r w:rsidRPr="00261B7A">
              <w:rPr>
                <w:rFonts w:cs="Calibri"/>
                <w:szCs w:val="16"/>
                <w:vertAlign w:val="subscript"/>
              </w:rPr>
              <w:t>2</w:t>
            </w:r>
            <w:r w:rsidRPr="00261B7A">
              <w:rPr>
                <w:rFonts w:cs="Calibri"/>
                <w:szCs w:val="16"/>
              </w:rPr>
              <w:t>-e)</w:t>
            </w:r>
          </w:p>
        </w:tc>
        <w:tc>
          <w:tcPr>
            <w:tcW w:w="1666" w:type="dxa"/>
            <w:tcBorders>
              <w:left w:val="nil"/>
              <w:bottom w:val="single" w:sz="4" w:space="0" w:color="1B556B"/>
              <w:right w:val="nil"/>
            </w:tcBorders>
            <w:shd w:val="clear" w:color="auto" w:fill="auto"/>
            <w:vAlign w:val="center"/>
          </w:tcPr>
          <w:p w14:paraId="4CA60671" w14:textId="77777777" w:rsidR="00EC31F9" w:rsidRPr="00261B7A" w:rsidRDefault="00EC31F9" w:rsidP="000F09B5">
            <w:pPr>
              <w:pStyle w:val="TableText"/>
              <w:spacing w:before="50" w:after="50"/>
              <w:jc w:val="right"/>
              <w:rPr>
                <w:rFonts w:cs="Calibri"/>
              </w:rPr>
            </w:pPr>
            <w:r w:rsidRPr="00261B7A">
              <w:rPr>
                <w:rFonts w:cs="Calibri"/>
                <w:color w:val="000000"/>
                <w:szCs w:val="16"/>
              </w:rPr>
              <w:t xml:space="preserve">–16,757.3 </w:t>
            </w:r>
          </w:p>
        </w:tc>
      </w:tr>
      <w:tr w:rsidR="00EC31F9" w:rsidRPr="00261B7A" w14:paraId="06952E0F" w14:textId="77777777" w:rsidTr="000F09B5">
        <w:trPr>
          <w:jc w:val="center"/>
        </w:trPr>
        <w:tc>
          <w:tcPr>
            <w:tcW w:w="3220" w:type="dxa"/>
            <w:tcBorders>
              <w:top w:val="single" w:sz="4" w:space="0" w:color="1B556B"/>
              <w:left w:val="nil"/>
              <w:bottom w:val="single" w:sz="4" w:space="0" w:color="1B556B"/>
              <w:right w:val="nil"/>
            </w:tcBorders>
            <w:shd w:val="clear" w:color="auto" w:fill="auto"/>
            <w:vAlign w:val="center"/>
            <w:hideMark/>
          </w:tcPr>
          <w:p w14:paraId="1B795A81" w14:textId="77777777" w:rsidR="00EC31F9" w:rsidRPr="00261B7A" w:rsidRDefault="00EC31F9" w:rsidP="000F09B5">
            <w:pPr>
              <w:pStyle w:val="Tableboldblue"/>
            </w:pPr>
            <w:r w:rsidRPr="00261B7A">
              <w:t>Total area included (ha)</w:t>
            </w:r>
          </w:p>
        </w:tc>
        <w:tc>
          <w:tcPr>
            <w:tcW w:w="1666" w:type="dxa"/>
            <w:tcBorders>
              <w:top w:val="single" w:sz="4" w:space="0" w:color="1B556B"/>
              <w:left w:val="nil"/>
              <w:bottom w:val="single" w:sz="4" w:space="0" w:color="1B556B"/>
              <w:right w:val="nil"/>
            </w:tcBorders>
            <w:shd w:val="clear" w:color="auto" w:fill="auto"/>
            <w:vAlign w:val="center"/>
          </w:tcPr>
          <w:p w14:paraId="1991B9E4" w14:textId="77777777" w:rsidR="00EC31F9" w:rsidRPr="00261B7A" w:rsidRDefault="00EC31F9" w:rsidP="000F09B5">
            <w:pPr>
              <w:pStyle w:val="Tableboldblue"/>
              <w:jc w:val="right"/>
              <w:rPr>
                <w:rFonts w:cs="Calibri"/>
              </w:rPr>
            </w:pPr>
            <w:r w:rsidRPr="00261B7A">
              <w:rPr>
                <w:rFonts w:cs="Calibri"/>
                <w:color w:val="1B556B"/>
                <w:szCs w:val="16"/>
              </w:rPr>
              <w:t>10,360,974</w:t>
            </w:r>
          </w:p>
        </w:tc>
      </w:tr>
      <w:tr w:rsidR="00EC31F9" w:rsidRPr="00261B7A" w14:paraId="18E16484" w14:textId="77777777" w:rsidTr="000F09B5">
        <w:trPr>
          <w:jc w:val="center"/>
        </w:trPr>
        <w:tc>
          <w:tcPr>
            <w:tcW w:w="3220" w:type="dxa"/>
            <w:tcBorders>
              <w:top w:val="single" w:sz="4" w:space="0" w:color="1B556B"/>
              <w:left w:val="nil"/>
              <w:bottom w:val="single" w:sz="4" w:space="0" w:color="1B556B"/>
              <w:right w:val="nil"/>
            </w:tcBorders>
            <w:shd w:val="clear" w:color="auto" w:fill="auto"/>
            <w:vAlign w:val="center"/>
            <w:hideMark/>
          </w:tcPr>
          <w:p w14:paraId="24149AD7" w14:textId="77777777" w:rsidR="00EC31F9" w:rsidRPr="00261B7A" w:rsidRDefault="00EC31F9" w:rsidP="000F09B5">
            <w:pPr>
              <w:pStyle w:val="Tableboldblue"/>
            </w:pPr>
            <w:r w:rsidRPr="00261B7A">
              <w:t>Net emissions in calendar year (kt CO</w:t>
            </w:r>
            <w:r w:rsidRPr="00261B7A">
              <w:rPr>
                <w:vertAlign w:val="subscript"/>
              </w:rPr>
              <w:t>2</w:t>
            </w:r>
            <w:r w:rsidRPr="00261B7A">
              <w:t>-e)</w:t>
            </w:r>
          </w:p>
        </w:tc>
        <w:tc>
          <w:tcPr>
            <w:tcW w:w="1666" w:type="dxa"/>
            <w:tcBorders>
              <w:top w:val="single" w:sz="4" w:space="0" w:color="1B556B"/>
              <w:left w:val="nil"/>
              <w:bottom w:val="single" w:sz="4" w:space="0" w:color="1B556B"/>
              <w:right w:val="nil"/>
            </w:tcBorders>
            <w:shd w:val="clear" w:color="auto" w:fill="auto"/>
            <w:vAlign w:val="center"/>
          </w:tcPr>
          <w:p w14:paraId="4584F615" w14:textId="77777777" w:rsidR="00EC31F9" w:rsidRPr="00261B7A" w:rsidRDefault="00EC31F9" w:rsidP="000F09B5">
            <w:pPr>
              <w:pStyle w:val="Tableboldblue"/>
              <w:jc w:val="right"/>
              <w:rPr>
                <w:rFonts w:cs="Calibri"/>
              </w:rPr>
            </w:pPr>
            <w:r w:rsidRPr="00261B7A">
              <w:rPr>
                <w:rFonts w:cs="Calibri"/>
                <w:szCs w:val="16"/>
              </w:rPr>
              <w:t>–</w:t>
            </w:r>
            <w:r w:rsidRPr="00261B7A">
              <w:rPr>
                <w:rFonts w:cs="Calibri"/>
                <w:color w:val="1B556B"/>
                <w:szCs w:val="16"/>
              </w:rPr>
              <w:t xml:space="preserve">26,854.5 </w:t>
            </w:r>
          </w:p>
        </w:tc>
      </w:tr>
    </w:tbl>
    <w:p w14:paraId="19D9CA1D" w14:textId="77777777" w:rsidR="00EC31F9" w:rsidRPr="00261B7A" w:rsidRDefault="00EC31F9" w:rsidP="00EC31F9">
      <w:pPr>
        <w:pStyle w:val="Noteundertable"/>
        <w:keepLines/>
      </w:pPr>
      <w:bookmarkStart w:id="41" w:name="emissions-and-removals-in-2021"/>
      <w:r w:rsidRPr="00261B7A">
        <w:rPr>
          <w:b/>
        </w:rPr>
        <w:t>Note:</w:t>
      </w:r>
      <w:r w:rsidRPr="00261B7A">
        <w:t xml:space="preserve"> </w:t>
      </w:r>
      <w:r w:rsidRPr="00261B7A">
        <w:tab/>
        <w:t xml:space="preserve">Where net emissions result in removals, they are expressed as a negative value as per section 2.2.3 of the Intergovernmental Panel on Climate Change Guidelines (IPCC, 2006). Columns may not total due to rounding. P = figures for 2021 are provisional. </w:t>
      </w:r>
      <w:r w:rsidRPr="00261B7A">
        <w:rPr>
          <w:i/>
          <w:iCs/>
        </w:rPr>
        <w:t>Afforestation and deforestation</w:t>
      </w:r>
      <w:r w:rsidRPr="00261B7A">
        <w:t xml:space="preserve"> activity differs from that in chapter 6 because carbon equivalent forests are reported separately.</w:t>
      </w:r>
    </w:p>
    <w:p w14:paraId="532B69D0" w14:textId="77777777" w:rsidR="00EC31F9" w:rsidRPr="00261B7A" w:rsidRDefault="00EC31F9" w:rsidP="00EC31F9">
      <w:pPr>
        <w:pStyle w:val="Heading2"/>
      </w:pPr>
      <w:bookmarkStart w:id="42" w:name="_Toc131591199"/>
      <w:bookmarkStart w:id="43" w:name="es.6-improvements-introduced"/>
      <w:bookmarkEnd w:id="39"/>
      <w:bookmarkEnd w:id="41"/>
      <w:r w:rsidRPr="00261B7A">
        <w:t>ES.6</w:t>
      </w:r>
      <w:r w:rsidRPr="00261B7A">
        <w:tab/>
        <w:t>Improvements introduced</w:t>
      </w:r>
      <w:bookmarkEnd w:id="42"/>
    </w:p>
    <w:p w14:paraId="43874201" w14:textId="77777777" w:rsidR="00EC31F9" w:rsidRPr="00261B7A" w:rsidRDefault="00EC31F9" w:rsidP="00EC31F9">
      <w:pPr>
        <w:pStyle w:val="BodyText"/>
      </w:pPr>
      <w:r w:rsidRPr="00261B7A">
        <w:t xml:space="preserve">The inventory follows a process of continuous improvement consistent with the Intergovernmental Panel on Climate Change (IPCC) principles. The IPCC 2006 Guidelines (IPCC, 2006) provide guidance on building and maintaining inventories that are consistent, comparable, complete, accurate and transparent in a manner that improves inventory quality </w:t>
      </w:r>
      <w:r w:rsidRPr="00261B7A">
        <w:rPr>
          <w:spacing w:val="-2"/>
        </w:rPr>
        <w:t>over time. A range of improvements have been made to the inventory since the last submission</w:t>
      </w:r>
      <w:r w:rsidRPr="00261B7A">
        <w:t>. Improvements are made from year to year, to follow recommendations from international expert review teams, correct errors and implement additional changes planned by the agencies involved in preparing the inventory.</w:t>
      </w:r>
    </w:p>
    <w:p w14:paraId="36FBFA5A" w14:textId="77777777" w:rsidR="00EC31F9" w:rsidRPr="00261B7A" w:rsidRDefault="00EC31F9" w:rsidP="00EC31F9">
      <w:pPr>
        <w:pStyle w:val="BodyText"/>
      </w:pPr>
      <w:r w:rsidRPr="00261B7A">
        <w:t>When improvements are made, it is good practice to recalculate the whole time series from 1990 to the current inventory year to ensure a consistent time series. This means estimates of emissions and/or removals in a given year may differ from emissions and/or removals reported in the previous submission.</w:t>
      </w:r>
    </w:p>
    <w:p w14:paraId="7BC02E4D" w14:textId="77777777" w:rsidR="00EC31F9" w:rsidRPr="00261B7A" w:rsidRDefault="00EC31F9" w:rsidP="00EC31F9">
      <w:pPr>
        <w:pStyle w:val="BodyText"/>
      </w:pPr>
      <w:r w:rsidRPr="00261B7A">
        <w:t>The main improvements by sector are outlined below. Chapter 10 provides information on all recalculations made to the estimates.</w:t>
      </w:r>
    </w:p>
    <w:p w14:paraId="16BD377C" w14:textId="77777777" w:rsidR="00EC31F9" w:rsidRPr="00261B7A" w:rsidRDefault="00EC31F9" w:rsidP="00EC31F9">
      <w:pPr>
        <w:pStyle w:val="Heading4"/>
      </w:pPr>
      <w:bookmarkStart w:id="44" w:name="energy-chapter-3-1"/>
      <w:r w:rsidRPr="00261B7A">
        <w:t>Energy (chapter 3)</w:t>
      </w:r>
    </w:p>
    <w:p w14:paraId="74065F18" w14:textId="77777777" w:rsidR="00EC31F9" w:rsidRPr="00261B7A" w:rsidRDefault="00EC31F9" w:rsidP="00EC31F9">
      <w:pPr>
        <w:pStyle w:val="BodyText"/>
      </w:pPr>
      <w:r w:rsidRPr="00261B7A">
        <w:t>An improvement to the estimation of fugitive emissions from natural gas distribution networks has been introduced for the 2023 submission. Other improvements in accuracy have resulted from the standard revision of activity data. Energy activity data for the years 1990 to 2020 have been updated according to the latest energy statistics published by the Ministry of Business, Innovation and Employment (MBIE, 2021).</w:t>
      </w:r>
    </w:p>
    <w:p w14:paraId="337B0DC3" w14:textId="77777777" w:rsidR="00EC31F9" w:rsidRPr="00261B7A" w:rsidRDefault="00EC31F9" w:rsidP="00EC31F9">
      <w:pPr>
        <w:pStyle w:val="BodyText"/>
      </w:pPr>
      <w:r w:rsidRPr="00261B7A">
        <w:t xml:space="preserve">Projects to implement further improvements for the reference approach and sectoral approach are ongoing. Improvements have been made to the data management system for tracking and calculating emissions within the Energy sector. A further project to streamline and simplify the GHG reporting data system was completed in 2021. This project identified a number of minor inconsistencies, which were then addressed. Several upstream data systems, </w:t>
      </w:r>
      <w:r w:rsidRPr="00261B7A">
        <w:rPr>
          <w:spacing w:val="-2"/>
        </w:rPr>
        <w:t>including the energy balance tables, have also been improved. Furthermore, work is progressing</w:t>
      </w:r>
      <w:r w:rsidRPr="00261B7A">
        <w:t xml:space="preserve"> well on the construction of a new, comprehensive system for the data management of fuel properties. It is expected to be commissioned before the next submission. All source-specific planned improvements are discussed in their corresponding sections in chapter 3.</w:t>
      </w:r>
    </w:p>
    <w:p w14:paraId="12CBB700" w14:textId="77777777" w:rsidR="00EC31F9" w:rsidRPr="00261B7A" w:rsidRDefault="00EC31F9" w:rsidP="00EC31F9">
      <w:pPr>
        <w:pStyle w:val="BodyText"/>
      </w:pPr>
      <w:r w:rsidRPr="00261B7A">
        <w:t>Changes to activity data in the Energy sector have resulted in a 0.01 per cent (2.4 kt CO</w:t>
      </w:r>
      <w:r w:rsidRPr="00261B7A">
        <w:rPr>
          <w:vertAlign w:val="subscript"/>
        </w:rPr>
        <w:t>2</w:t>
      </w:r>
      <w:r w:rsidRPr="00261B7A">
        <w:t>-e) increase in estimated energy emissions in 1990 and a 1.1 per cent (344.5 kt CO</w:t>
      </w:r>
      <w:r w:rsidRPr="00261B7A">
        <w:rPr>
          <w:vertAlign w:val="subscript"/>
        </w:rPr>
        <w:t>2</w:t>
      </w:r>
      <w:r w:rsidRPr="00261B7A">
        <w:t>-e) decrease in estimated energy emissions in 2020.</w:t>
      </w:r>
    </w:p>
    <w:p w14:paraId="2C384794" w14:textId="77777777" w:rsidR="00EC31F9" w:rsidRPr="00261B7A" w:rsidRDefault="00EC31F9" w:rsidP="00EC31F9">
      <w:pPr>
        <w:pStyle w:val="Heading4"/>
      </w:pPr>
      <w:bookmarkStart w:id="45" w:name="ippu-chapter-4-1"/>
      <w:bookmarkEnd w:id="44"/>
      <w:r w:rsidRPr="00261B7A">
        <w:lastRenderedPageBreak/>
        <w:t>IPPU (chapter 4)</w:t>
      </w:r>
    </w:p>
    <w:p w14:paraId="061EC4AC" w14:textId="7DB852C9" w:rsidR="00EC31F9" w:rsidRPr="00261B7A" w:rsidRDefault="00EC31F9" w:rsidP="00EC31F9">
      <w:pPr>
        <w:pStyle w:val="BodyText"/>
      </w:pPr>
      <w:r w:rsidRPr="00261B7A">
        <w:t xml:space="preserve">For the 2023 submission, amounts of refrigerant added to equipment in the </w:t>
      </w:r>
      <w:r w:rsidRPr="00261B7A">
        <w:rPr>
          <w:i/>
          <w:iCs/>
        </w:rPr>
        <w:t>Refrigeration and air conditioning</w:t>
      </w:r>
      <w:r w:rsidRPr="00261B7A">
        <w:t xml:space="preserve"> category were re-estimated to better account for changes in stocks held by importers and users. </w:t>
      </w:r>
      <w:r w:rsidR="00001E97" w:rsidRPr="00261B7A">
        <w:t>C</w:t>
      </w:r>
      <w:r w:rsidRPr="00261B7A">
        <w:t>hapter 4</w:t>
      </w:r>
      <w:r w:rsidR="00001E97" w:rsidRPr="00261B7A">
        <w:t>, section 4.1.7</w:t>
      </w:r>
      <w:r w:rsidRPr="00261B7A">
        <w:t xml:space="preserve"> contains more details about improvements and recalculations for the IPPU sector.</w:t>
      </w:r>
    </w:p>
    <w:p w14:paraId="656BAE08" w14:textId="77777777" w:rsidR="00EC31F9" w:rsidRPr="00261B7A" w:rsidRDefault="00EC31F9" w:rsidP="00EC31F9">
      <w:pPr>
        <w:pStyle w:val="BodyText"/>
      </w:pPr>
      <w:r w:rsidRPr="00261B7A">
        <w:t>Improvements and recalculations made in the IPPU sector have resulted in no change for 1990 and a 0.8 per cent (35.5 kt CO</w:t>
      </w:r>
      <w:r w:rsidRPr="00261B7A">
        <w:rPr>
          <w:vertAlign w:val="subscript"/>
        </w:rPr>
        <w:t>2</w:t>
      </w:r>
      <w:r w:rsidRPr="00261B7A">
        <w:t>-e) decrease in emissions estimates for 2020.</w:t>
      </w:r>
    </w:p>
    <w:p w14:paraId="6F0067E8" w14:textId="77777777" w:rsidR="00EC31F9" w:rsidRPr="00261B7A" w:rsidRDefault="00EC31F9" w:rsidP="00EC31F9">
      <w:pPr>
        <w:pStyle w:val="Heading4"/>
      </w:pPr>
      <w:bookmarkStart w:id="46" w:name="agriculture-chapter-5-1"/>
      <w:bookmarkEnd w:id="45"/>
      <w:r w:rsidRPr="00261B7A">
        <w:t>Agriculture (chapter 5)</w:t>
      </w:r>
    </w:p>
    <w:p w14:paraId="7D9F2AE9" w14:textId="77777777" w:rsidR="00EC31F9" w:rsidRPr="00261B7A" w:rsidRDefault="00EC31F9" w:rsidP="00EC31F9">
      <w:pPr>
        <w:pStyle w:val="BodyText"/>
      </w:pPr>
      <w:r w:rsidRPr="00261B7A">
        <w:t>New Zealand has made the following improvements and corrections to the Agriculture sector.</w:t>
      </w:r>
    </w:p>
    <w:p w14:paraId="5E3E21C2" w14:textId="77777777" w:rsidR="00EC31F9" w:rsidRPr="00261B7A" w:rsidRDefault="00EC31F9" w:rsidP="00EC31F9">
      <w:pPr>
        <w:pStyle w:val="Bullet"/>
      </w:pPr>
      <w:r w:rsidRPr="00261B7A">
        <w:t>Frac</w:t>
      </w:r>
      <w:r w:rsidRPr="00261B7A">
        <w:rPr>
          <w:vertAlign w:val="subscript"/>
        </w:rPr>
        <w:t>LEACH</w:t>
      </w:r>
      <w:r w:rsidRPr="00261B7A">
        <w:t xml:space="preserve"> values for grazing system and synthetic nitrogen have been updated for the entire time series (from 1990 to 2021). For details on this improvement, see: chapter 5, section 5.5.5; chapter 10, section 10.1.3; and annex 3.</w:t>
      </w:r>
    </w:p>
    <w:p w14:paraId="10A1E5B9" w14:textId="77777777" w:rsidR="00EC31F9" w:rsidRPr="00261B7A" w:rsidRDefault="00EC31F9" w:rsidP="00EC31F9">
      <w:pPr>
        <w:pStyle w:val="Bullet"/>
      </w:pPr>
      <w:r w:rsidRPr="00261B7A">
        <w:t>An improved dairy cattle population model has been implemented for the entire time series (1990 to 2021). For details on this improvement, see: chapter 5, section 5.1.4; chapter 10, section 10.1.3; and annex 3.</w:t>
      </w:r>
    </w:p>
    <w:p w14:paraId="2DF6A04F" w14:textId="77777777" w:rsidR="00EC31F9" w:rsidRPr="00261B7A" w:rsidRDefault="00EC31F9" w:rsidP="00EC31F9">
      <w:pPr>
        <w:pStyle w:val="Bullet"/>
      </w:pPr>
      <w:r w:rsidRPr="00261B7A">
        <w:t xml:space="preserve">Feed quality values have been updated for </w:t>
      </w:r>
      <w:r w:rsidRPr="00261B7A">
        <w:rPr>
          <w:i/>
          <w:iCs/>
        </w:rPr>
        <w:t>Dairy cattle</w:t>
      </w:r>
      <w:r w:rsidRPr="00261B7A">
        <w:t xml:space="preserve">, </w:t>
      </w:r>
      <w:r w:rsidRPr="00261B7A">
        <w:rPr>
          <w:i/>
          <w:iCs/>
        </w:rPr>
        <w:t>Non-dairy</w:t>
      </w:r>
      <w:r w:rsidRPr="00261B7A">
        <w:t xml:space="preserve"> (beef) </w:t>
      </w:r>
      <w:r w:rsidRPr="00261B7A">
        <w:rPr>
          <w:i/>
          <w:iCs/>
        </w:rPr>
        <w:t>cattle</w:t>
      </w:r>
      <w:r w:rsidRPr="00261B7A">
        <w:t xml:space="preserve"> and </w:t>
      </w:r>
      <w:r w:rsidRPr="00261B7A">
        <w:rPr>
          <w:i/>
          <w:iCs/>
        </w:rPr>
        <w:t>Sheep</w:t>
      </w:r>
      <w:r w:rsidRPr="00261B7A">
        <w:t xml:space="preserve"> to reflect pasture and non-pasture feed use for the entire time series (1990 to 2021). For details on this improvement, see: chapter 5, section 5.1.3; chapter 10, section 10.1.3; and annex 3.</w:t>
      </w:r>
    </w:p>
    <w:p w14:paraId="6970AFB8" w14:textId="77777777" w:rsidR="00EC31F9" w:rsidRPr="00261B7A" w:rsidRDefault="00EC31F9" w:rsidP="00EC31F9">
      <w:pPr>
        <w:pStyle w:val="Bullet"/>
      </w:pPr>
      <w:r w:rsidRPr="00261B7A">
        <w:t>Minor errors in the deer calculations have been corrected for the entire time series (1990 to 2021) and some activity data have been revised.</w:t>
      </w:r>
    </w:p>
    <w:p w14:paraId="23120874" w14:textId="77777777" w:rsidR="00EC31F9" w:rsidRPr="00261B7A" w:rsidRDefault="00EC31F9" w:rsidP="00EC31F9">
      <w:pPr>
        <w:pStyle w:val="BodyText"/>
      </w:pPr>
      <w:r w:rsidRPr="00261B7A">
        <w:t>Improvements and recalculations made to the Agriculture sector in the 2023 submission have resulted in a 1.4 per cent (480.8 kt CO</w:t>
      </w:r>
      <w:r w:rsidRPr="00261B7A">
        <w:rPr>
          <w:vertAlign w:val="subscript"/>
        </w:rPr>
        <w:t>2</w:t>
      </w:r>
      <w:r w:rsidRPr="00261B7A">
        <w:t>-e) decrease in estimated agricultural emissions in 1990 and a 2.7 per cent (1,065.4 kt CO</w:t>
      </w:r>
      <w:r w:rsidRPr="00261B7A">
        <w:rPr>
          <w:vertAlign w:val="subscript"/>
        </w:rPr>
        <w:t>2</w:t>
      </w:r>
      <w:r w:rsidRPr="00261B7A">
        <w:t>-e) decrease in estimated agricultural emissions in 2020.</w:t>
      </w:r>
    </w:p>
    <w:p w14:paraId="05DAFF1E" w14:textId="77777777" w:rsidR="00EC31F9" w:rsidRPr="00261B7A" w:rsidRDefault="00EC31F9" w:rsidP="00EC31F9">
      <w:pPr>
        <w:pStyle w:val="Heading4"/>
      </w:pPr>
      <w:bookmarkStart w:id="47" w:name="lulucf-chapter-6-1"/>
      <w:bookmarkEnd w:id="46"/>
      <w:r w:rsidRPr="00261B7A">
        <w:t>LULUCF (chapter 6)</w:t>
      </w:r>
    </w:p>
    <w:p w14:paraId="3D79E57C" w14:textId="77777777" w:rsidR="00EC31F9" w:rsidRPr="00261B7A" w:rsidRDefault="00EC31F9" w:rsidP="00EC31F9">
      <w:pPr>
        <w:pStyle w:val="BodyText"/>
      </w:pPr>
      <w:r w:rsidRPr="00261B7A">
        <w:t>The main differences between the 2023 submission and estimates of New Zealand’s LULUCF net removals reported in the 2022 submission are as follows.</w:t>
      </w:r>
    </w:p>
    <w:p w14:paraId="086599BF" w14:textId="77777777" w:rsidR="00EC31F9" w:rsidRPr="00261B7A" w:rsidRDefault="00EC31F9" w:rsidP="00EC31F9">
      <w:pPr>
        <w:pStyle w:val="Bullet"/>
      </w:pPr>
      <w:r w:rsidRPr="00261B7A">
        <w:t xml:space="preserve">Improvements to the method used to estimate deforestation for unmapped years have led to an increase in the estimated deforestation area for 2020. The overall net impact of </w:t>
      </w:r>
      <w:r w:rsidRPr="00261B7A">
        <w:rPr>
          <w:spacing w:val="-2"/>
        </w:rPr>
        <w:t>this change to the LULUCF sector was an increase of 209 kt CO</w:t>
      </w:r>
      <w:r w:rsidRPr="00261B7A">
        <w:rPr>
          <w:spacing w:val="-2"/>
          <w:vertAlign w:val="subscript"/>
        </w:rPr>
        <w:t>2</w:t>
      </w:r>
      <w:r w:rsidRPr="00261B7A">
        <w:rPr>
          <w:spacing w:val="-2"/>
        </w:rPr>
        <w:t>-e in 2020. This improvement</w:t>
      </w:r>
      <w:r w:rsidRPr="00261B7A">
        <w:t xml:space="preserve"> was also largely responsible for the 41.2 per cent increase in emissions reported in the </w:t>
      </w:r>
      <w:r w:rsidRPr="00261B7A">
        <w:rPr>
          <w:i/>
          <w:iCs/>
        </w:rPr>
        <w:t>Grassland</w:t>
      </w:r>
      <w:r w:rsidRPr="00261B7A">
        <w:t xml:space="preserve"> category for 2020 (given most deforested land is converted to grassland) (see chapter 6, section 6.3.5).</w:t>
      </w:r>
    </w:p>
    <w:p w14:paraId="3CC7E3BE" w14:textId="1784B1B9" w:rsidR="00EC31F9" w:rsidRPr="00261B7A" w:rsidRDefault="00EC31F9" w:rsidP="00EC31F9">
      <w:pPr>
        <w:pStyle w:val="Bullet"/>
      </w:pPr>
      <w:r w:rsidRPr="00261B7A">
        <w:t xml:space="preserve">A change was made in the estimated pre-1990 planted forest harvest area in 1988 to 1989. This drove an increase </w:t>
      </w:r>
      <w:r w:rsidR="009A4C65" w:rsidRPr="00261B7A">
        <w:t xml:space="preserve">in </w:t>
      </w:r>
      <w:r w:rsidRPr="00261B7A">
        <w:t xml:space="preserve">the estimated deadwood decay in 1990, which increased the 1990 emissions estimate for the </w:t>
      </w:r>
      <w:r w:rsidRPr="00261B7A">
        <w:rPr>
          <w:i/>
          <w:iCs/>
        </w:rPr>
        <w:t>Forest land</w:t>
      </w:r>
      <w:r w:rsidRPr="00261B7A">
        <w:t xml:space="preserve"> category (see chapter 6, section 6.3.6).</w:t>
      </w:r>
    </w:p>
    <w:p w14:paraId="5B78C212" w14:textId="12FF1C88" w:rsidR="00EC31F9" w:rsidRPr="00261B7A" w:rsidRDefault="00EC31F9" w:rsidP="00EC31F9">
      <w:pPr>
        <w:pStyle w:val="Bullet"/>
      </w:pPr>
      <w:r w:rsidRPr="00261B7A">
        <w:t>This submission used country-specific above- and below-ground biomass carbon stocks for</w:t>
      </w:r>
      <w:r w:rsidR="00C74517" w:rsidRPr="00261B7A">
        <w:t> </w:t>
      </w:r>
      <w:r w:rsidRPr="00261B7A">
        <w:t>vegetated wetlands (Easdale et al., unpublished). Above-ground biomass carbon stocks</w:t>
      </w:r>
      <w:r w:rsidR="00C74517" w:rsidRPr="00261B7A">
        <w:t> </w:t>
      </w:r>
      <w:r w:rsidRPr="00261B7A">
        <w:t xml:space="preserve">were estimated as 20.22 </w:t>
      </w:r>
      <w:r w:rsidRPr="00261B7A">
        <w:rPr>
          <w:rFonts w:cs="Arial"/>
        </w:rPr>
        <w:t>tonnes of carbon per hectare</w:t>
      </w:r>
      <w:r w:rsidRPr="00261B7A">
        <w:t xml:space="preserve"> (tC ha</w:t>
      </w:r>
      <w:r w:rsidRPr="00261B7A">
        <w:rPr>
          <w:vertAlign w:val="superscript"/>
        </w:rPr>
        <w:t>-1</w:t>
      </w:r>
      <w:r w:rsidRPr="00261B7A">
        <w:t>) (11.07–29.38, at the</w:t>
      </w:r>
      <w:r w:rsidR="00C74517" w:rsidRPr="00261B7A">
        <w:t> </w:t>
      </w:r>
      <w:r w:rsidRPr="00261B7A">
        <w:t>95 per cent confidence interval) and below-ground estimated as 7.40 tonnes C ha</w:t>
      </w:r>
      <w:r w:rsidRPr="00261B7A">
        <w:rPr>
          <w:vertAlign w:val="superscript"/>
        </w:rPr>
        <w:t>-1</w:t>
      </w:r>
      <w:r w:rsidRPr="00261B7A">
        <w:t xml:space="preserve"> (1.85–12.9, nominal error range). Previous submissions used a value of 0 for the carbon stock and carbon stock change of vegetated wetlands, which meant any emissions and</w:t>
      </w:r>
      <w:r w:rsidR="00C74517" w:rsidRPr="00261B7A">
        <w:t> </w:t>
      </w:r>
      <w:r w:rsidRPr="00261B7A">
        <w:t xml:space="preserve">removals for land transitioning in to and out of this class were not estimated </w:t>
      </w:r>
      <w:r w:rsidRPr="00261B7A">
        <w:lastRenderedPageBreak/>
        <w:t>(see</w:t>
      </w:r>
      <w:r w:rsidR="00C74517" w:rsidRPr="00261B7A">
        <w:t> </w:t>
      </w:r>
      <w:r w:rsidRPr="00261B7A">
        <w:t>chapter 6, section 6.6.5). The overall net impact of this change to the LULUCF sector was a decrease of 16 kt CO</w:t>
      </w:r>
      <w:r w:rsidRPr="00261B7A">
        <w:rPr>
          <w:vertAlign w:val="subscript"/>
        </w:rPr>
        <w:t>2</w:t>
      </w:r>
      <w:r w:rsidRPr="00261B7A">
        <w:t>-e in 2020 and a decrease of 39 kt CO</w:t>
      </w:r>
      <w:r w:rsidRPr="00261B7A">
        <w:rPr>
          <w:vertAlign w:val="subscript"/>
        </w:rPr>
        <w:t>2</w:t>
      </w:r>
      <w:r w:rsidRPr="00261B7A">
        <w:t>-e in 1990.</w:t>
      </w:r>
    </w:p>
    <w:p w14:paraId="42BA0268" w14:textId="6D0C0753" w:rsidR="00EC31F9" w:rsidRPr="00261B7A" w:rsidRDefault="00245086" w:rsidP="00C74517">
      <w:pPr>
        <w:pStyle w:val="BodyText"/>
        <w:spacing w:before="100" w:after="100"/>
      </w:pPr>
      <w:r w:rsidRPr="00261B7A">
        <w:t>C</w:t>
      </w:r>
      <w:r w:rsidR="00EC31F9" w:rsidRPr="00261B7A">
        <w:t>hapter 6</w:t>
      </w:r>
      <w:r w:rsidRPr="00261B7A">
        <w:t>, section 6.1.4</w:t>
      </w:r>
      <w:r w:rsidR="00EC31F9" w:rsidRPr="00261B7A">
        <w:t xml:space="preserve"> contains more details about improvements and recalculations for the LULUCF sector.</w:t>
      </w:r>
    </w:p>
    <w:p w14:paraId="74FB2FC3" w14:textId="77777777" w:rsidR="00EC31F9" w:rsidRPr="00261B7A" w:rsidRDefault="00EC31F9" w:rsidP="00C74517">
      <w:pPr>
        <w:pStyle w:val="BodyText"/>
        <w:spacing w:before="100" w:after="100"/>
      </w:pPr>
      <w:r w:rsidRPr="00261B7A">
        <w:t>Improvements made to the LULUCF sector resulted in a 5.0 per cent (1,058.0 kt CO</w:t>
      </w:r>
      <w:r w:rsidRPr="00261B7A">
        <w:rPr>
          <w:vertAlign w:val="subscript"/>
        </w:rPr>
        <w:t>2</w:t>
      </w:r>
      <w:r w:rsidRPr="00261B7A">
        <w:t>-e) decrease in net LULUCF removal estimates in 1990, and a 0.3 per cent (71.2 kt CO</w:t>
      </w:r>
      <w:r w:rsidRPr="00261B7A">
        <w:rPr>
          <w:vertAlign w:val="subscript"/>
        </w:rPr>
        <w:t>2</w:t>
      </w:r>
      <w:r w:rsidRPr="00261B7A">
        <w:t>-e) decrease in net LULUCF removal estimates in 2020.</w:t>
      </w:r>
    </w:p>
    <w:p w14:paraId="63643FD4" w14:textId="77777777" w:rsidR="00EC31F9" w:rsidRPr="00261B7A" w:rsidRDefault="00EC31F9" w:rsidP="00EC31F9">
      <w:pPr>
        <w:pStyle w:val="Heading4"/>
      </w:pPr>
      <w:bookmarkStart w:id="48" w:name="waste-chapter-7-1"/>
      <w:bookmarkEnd w:id="47"/>
      <w:r w:rsidRPr="00261B7A">
        <w:t>Waste (chapter 7)</w:t>
      </w:r>
    </w:p>
    <w:p w14:paraId="17F188C0" w14:textId="77777777" w:rsidR="00EC31F9" w:rsidRPr="00261B7A" w:rsidRDefault="00EC31F9" w:rsidP="00C74517">
      <w:pPr>
        <w:pStyle w:val="BodyText"/>
        <w:spacing w:before="100" w:after="100"/>
      </w:pPr>
      <w:r w:rsidRPr="00261B7A">
        <w:t>Improvements and recalculations made to estimates in the Waste sector resulted in a 0.04 per cent (1.5 kt CO</w:t>
      </w:r>
      <w:r w:rsidRPr="00261B7A">
        <w:rPr>
          <w:vertAlign w:val="subscript"/>
        </w:rPr>
        <w:t>2</w:t>
      </w:r>
      <w:r w:rsidRPr="00261B7A">
        <w:t>-e) increase in emissions in 1990 and a 0.1 per cent (2.4 kt CO</w:t>
      </w:r>
      <w:r w:rsidRPr="00261B7A">
        <w:rPr>
          <w:vertAlign w:val="subscript"/>
        </w:rPr>
        <w:t>2</w:t>
      </w:r>
      <w:r w:rsidRPr="00261B7A">
        <w:t>-e) decrease in emissions in 2020.</w:t>
      </w:r>
    </w:p>
    <w:p w14:paraId="2817F456" w14:textId="77777777" w:rsidR="00EC31F9" w:rsidRPr="00261B7A" w:rsidRDefault="00EC31F9" w:rsidP="00C74517">
      <w:pPr>
        <w:pStyle w:val="BodyText"/>
        <w:spacing w:before="100" w:after="100"/>
      </w:pPr>
      <w:r w:rsidRPr="00261B7A">
        <w:t>Minor changes have been made that affect emissions as follows.</w:t>
      </w:r>
    </w:p>
    <w:p w14:paraId="3A053EC4" w14:textId="77777777" w:rsidR="00EC31F9" w:rsidRPr="00261B7A" w:rsidRDefault="00EC31F9" w:rsidP="00EC31F9">
      <w:pPr>
        <w:pStyle w:val="Bullet"/>
      </w:pPr>
      <w:r w:rsidRPr="00261B7A">
        <w:t xml:space="preserve">Activity data for </w:t>
      </w:r>
      <w:r w:rsidRPr="00261B7A">
        <w:rPr>
          <w:i/>
          <w:iCs/>
        </w:rPr>
        <w:t>Managed waste disposal sites</w:t>
      </w:r>
      <w:r w:rsidRPr="00261B7A">
        <w:t xml:space="preserve"> were revised for 2018, 2019 and 2020 to remove small amounts of cover material that should not be included in the waste tonnage.</w:t>
      </w:r>
    </w:p>
    <w:p w14:paraId="7645AF87" w14:textId="77777777" w:rsidR="00EC31F9" w:rsidRPr="00261B7A" w:rsidRDefault="00EC31F9" w:rsidP="00EC31F9">
      <w:pPr>
        <w:pStyle w:val="Bullet"/>
      </w:pPr>
      <w:r w:rsidRPr="00261B7A">
        <w:t xml:space="preserve">The Coulson Road landfill within the </w:t>
      </w:r>
      <w:r w:rsidRPr="00261B7A">
        <w:rPr>
          <w:i/>
          <w:iCs/>
        </w:rPr>
        <w:t>Managed waste disposal sites</w:t>
      </w:r>
      <w:r w:rsidRPr="00261B7A">
        <w:t xml:space="preserve"> category stopped accepting waste in 2019. Therefore, the landfill gas capture rate was revised for the period of gas capture operation, beginning in 2018, from 68 per cent to 52 per cent (which is the value for closed sites). Furthermore, the Victoria Flats landfill had a gas capture system installed during 2021 and the estimate for 2021 reflects this.</w:t>
      </w:r>
    </w:p>
    <w:p w14:paraId="6A6BD570" w14:textId="77777777" w:rsidR="00EC31F9" w:rsidRPr="00261B7A" w:rsidRDefault="00EC31F9" w:rsidP="00EC31F9">
      <w:pPr>
        <w:pStyle w:val="Bullet"/>
      </w:pPr>
      <w:r w:rsidRPr="00261B7A">
        <w:t xml:space="preserve">Activity data for </w:t>
      </w:r>
      <w:r w:rsidRPr="00261B7A">
        <w:rPr>
          <w:i/>
          <w:iCs/>
        </w:rPr>
        <w:t>Composting</w:t>
      </w:r>
      <w:r w:rsidRPr="00261B7A">
        <w:t xml:space="preserve"> were revised upward to account for the effects of policy actions beginning in 2020.</w:t>
      </w:r>
    </w:p>
    <w:p w14:paraId="45E80C38" w14:textId="77777777" w:rsidR="00EC31F9" w:rsidRPr="00261B7A" w:rsidRDefault="00EC31F9" w:rsidP="00EC31F9">
      <w:pPr>
        <w:pStyle w:val="Bullet"/>
      </w:pPr>
      <w:r w:rsidRPr="00261B7A">
        <w:t xml:space="preserve">Activity data for </w:t>
      </w:r>
      <w:r w:rsidRPr="00261B7A">
        <w:rPr>
          <w:i/>
          <w:iCs/>
        </w:rPr>
        <w:t>Industrial wastewater</w:t>
      </w:r>
      <w:r w:rsidRPr="00261B7A">
        <w:t xml:space="preserve"> were revised for the paper and paperboard and wood pulp industries due to revised statistics.</w:t>
      </w:r>
    </w:p>
    <w:p w14:paraId="722994B6" w14:textId="77777777" w:rsidR="00EC31F9" w:rsidRPr="00261B7A" w:rsidRDefault="00EC31F9" w:rsidP="00EC31F9">
      <w:pPr>
        <w:pStyle w:val="BodyText"/>
      </w:pPr>
      <w:r w:rsidRPr="00261B7A">
        <w:t>Further details can be found under methodological issues for each source category and also in chapter 10.</w:t>
      </w:r>
    </w:p>
    <w:p w14:paraId="403AF830" w14:textId="77777777" w:rsidR="00EC31F9" w:rsidRPr="00261B7A" w:rsidRDefault="00EC31F9" w:rsidP="00EC31F9">
      <w:pPr>
        <w:pStyle w:val="Heading4"/>
      </w:pPr>
      <w:bookmarkStart w:id="49" w:name="other-tokelau-chapter-8-1"/>
      <w:bookmarkEnd w:id="48"/>
      <w:r w:rsidRPr="00261B7A">
        <w:t>Other (Tokelau – chapter 8)</w:t>
      </w:r>
    </w:p>
    <w:p w14:paraId="31501CD5" w14:textId="77777777" w:rsidR="00EC31F9" w:rsidRPr="00261B7A" w:rsidRDefault="00EC31F9" w:rsidP="00EC31F9">
      <w:pPr>
        <w:pStyle w:val="BodyText"/>
      </w:pPr>
      <w:r w:rsidRPr="00261B7A">
        <w:t>Recalculations made to emissions estimates in Tokelau resulted in no change for 1990 and a 0.004 per cent (0.0002 kt CO</w:t>
      </w:r>
      <w:r w:rsidRPr="00261B7A">
        <w:rPr>
          <w:vertAlign w:val="subscript"/>
        </w:rPr>
        <w:t>2</w:t>
      </w:r>
      <w:r w:rsidRPr="00261B7A">
        <w:t>-e) increase in emissions in 2020.</w:t>
      </w:r>
    </w:p>
    <w:p w14:paraId="696EF796" w14:textId="77777777" w:rsidR="00EC31F9" w:rsidRPr="00261B7A" w:rsidRDefault="00EC31F9" w:rsidP="00EC31F9">
      <w:pPr>
        <w:pStyle w:val="Heading4"/>
      </w:pPr>
      <w:bookmarkStart w:id="50" w:name="Xfefb940a4f195fdf3cba221b6def840433b79bc"/>
      <w:bookmarkEnd w:id="49"/>
      <w:r w:rsidRPr="00261B7A">
        <w:t>Improvements to national inventory system</w:t>
      </w:r>
    </w:p>
    <w:p w14:paraId="611D1805" w14:textId="77777777" w:rsidR="00EC31F9" w:rsidRPr="00261B7A" w:rsidRDefault="00EC31F9" w:rsidP="00C74517">
      <w:pPr>
        <w:pStyle w:val="BodyText"/>
      </w:pPr>
      <w:r w:rsidRPr="00261B7A">
        <w:t>No changes were made in the legal or institutional arrangements in the national inventory system since the 2022 submission.</w:t>
      </w:r>
    </w:p>
    <w:p w14:paraId="342F728D" w14:textId="77777777" w:rsidR="00EC31F9" w:rsidRPr="00261B7A" w:rsidRDefault="00EC31F9" w:rsidP="00EC31F9">
      <w:pPr>
        <w:pStyle w:val="Heading2"/>
      </w:pPr>
      <w:bookmarkStart w:id="51" w:name="_Toc131591200"/>
      <w:bookmarkStart w:id="52" w:name="X94dfde0b0b37efd291022644587edd0f4723674"/>
      <w:bookmarkEnd w:id="43"/>
      <w:bookmarkEnd w:id="50"/>
      <w:r w:rsidRPr="00261B7A">
        <w:t>ES.7</w:t>
      </w:r>
      <w:r w:rsidRPr="00261B7A">
        <w:tab/>
        <w:t>National registry (chapters 12 and 14)</w:t>
      </w:r>
      <w:bookmarkEnd w:id="51"/>
    </w:p>
    <w:p w14:paraId="1B4A52EE" w14:textId="56724A56" w:rsidR="00EC31F9" w:rsidRPr="00261B7A" w:rsidRDefault="00EC31F9" w:rsidP="00EC31F9">
      <w:pPr>
        <w:pStyle w:val="BodyText"/>
      </w:pPr>
      <w:r w:rsidRPr="00261B7A">
        <w:t>The national registry (the New Zealand Emissions Trading Register or the Register) is New Zealand’s online facility to manage the accounting, reporting and reconciliation of emissions, unit holdings and transactions as part of the NZ ETS. The Environmental Protection</w:t>
      </w:r>
      <w:r w:rsidR="00E64EA3" w:rsidRPr="00261B7A">
        <w:t xml:space="preserve"> </w:t>
      </w:r>
      <w:r w:rsidRPr="00261B7A">
        <w:t>Authority is designated as the agency responsible for implementing and operating</w:t>
      </w:r>
      <w:r w:rsidR="00C74517" w:rsidRPr="00261B7A">
        <w:t> </w:t>
      </w:r>
      <w:r w:rsidRPr="00261B7A">
        <w:t>New Zealand’s national registry under the Kyoto Protocol. The Register is electronic</w:t>
      </w:r>
      <w:r w:rsidR="00C74517" w:rsidRPr="00261B7A">
        <w:t> </w:t>
      </w:r>
      <w:r w:rsidRPr="00261B7A">
        <w:t>and accessible via the internet (</w:t>
      </w:r>
      <w:hyperlink r:id="rId32">
        <w:r w:rsidRPr="00261B7A">
          <w:rPr>
            <w:rStyle w:val="Hyperlink"/>
          </w:rPr>
          <w:t>www.emissionsregister.govt.nz</w:t>
        </w:r>
      </w:hyperlink>
      <w:r w:rsidRPr="00261B7A">
        <w:t>).</w:t>
      </w:r>
    </w:p>
    <w:p w14:paraId="0D5C47C9" w14:textId="77777777" w:rsidR="00EC31F9" w:rsidRPr="00261B7A" w:rsidRDefault="00EC31F9" w:rsidP="00EC31F9">
      <w:pPr>
        <w:pStyle w:val="BodyText"/>
      </w:pPr>
      <w:r w:rsidRPr="00261B7A">
        <w:lastRenderedPageBreak/>
        <w:t>In January 2008, New Zealand’s national registry was issued with New Zealand’s assigned amount of 309,564,733 metric tonnes CO</w:t>
      </w:r>
      <w:r w:rsidRPr="00261B7A">
        <w:rPr>
          <w:vertAlign w:val="subscript"/>
        </w:rPr>
        <w:t>2</w:t>
      </w:r>
      <w:r w:rsidRPr="00261B7A">
        <w:t>-e for the first commitment period (CP1, covering the five-year period 2008 to 2012).</w:t>
      </w:r>
    </w:p>
    <w:p w14:paraId="283A9CE6" w14:textId="77777777" w:rsidR="00EC31F9" w:rsidRPr="00261B7A" w:rsidRDefault="00EC31F9" w:rsidP="00EC31F9">
      <w:pPr>
        <w:pStyle w:val="BodyText"/>
      </w:pPr>
      <w:r w:rsidRPr="00261B7A">
        <w:t>At the beginning of the 2022 calendar year, New Zealand’s national registry held 308,343,858 CP1 assigned amount units (AAUs), 110,744,560 CP1 emission reduction units (ERUs), 21,685,909 CP1 certified emission reduction units (CERs) and 100,845,399 CP1 removal units (RMUs). The number and mix of units held at the end of 2022 were the same as at the beginning of 2022, because no international transactions occurred during this period, and this value includes the units retired to meet CP1 obligations. No CP2 units were held by New Zealand in 2022.</w:t>
      </w:r>
    </w:p>
    <w:p w14:paraId="6BA1E3D7" w14:textId="77777777" w:rsidR="00EC31F9" w:rsidRPr="00261B7A" w:rsidRDefault="00EC31F9" w:rsidP="00EC31F9">
      <w:pPr>
        <w:pStyle w:val="BodyText"/>
      </w:pPr>
      <w:r w:rsidRPr="00261B7A">
        <w:t>At the end of 2022, the units held in New Zealand’s national registry remained at 308,343,858 AAUs, 110,744,560 ERUs, 21,685,909 CERs and 100,845,399 RMUs.</w:t>
      </w:r>
    </w:p>
    <w:p w14:paraId="3CAEA977" w14:textId="77777777" w:rsidR="00EC31F9" w:rsidRPr="00261B7A" w:rsidRDefault="00EC31F9" w:rsidP="00EC31F9">
      <w:pPr>
        <w:pStyle w:val="BodyText"/>
      </w:pPr>
      <w:r w:rsidRPr="00261B7A">
        <w:t>New Zealand’s national registry did not hold any temporary CERs or long-term CERs during 2022.</w:t>
      </w:r>
    </w:p>
    <w:p w14:paraId="13A80589" w14:textId="77777777" w:rsidR="00EC31F9" w:rsidRPr="00261B7A" w:rsidRDefault="00EC31F9" w:rsidP="00EC31F9">
      <w:pPr>
        <w:pStyle w:val="BodyText"/>
      </w:pPr>
      <w:r w:rsidRPr="00261B7A">
        <w:t>For further information, refer to chapters 12 and 14.</w:t>
      </w:r>
    </w:p>
    <w:p w14:paraId="2FE9214D" w14:textId="77777777" w:rsidR="00EC31F9" w:rsidRPr="00261B7A" w:rsidRDefault="00EC31F9" w:rsidP="00C74517">
      <w:pPr>
        <w:pStyle w:val="BodyText"/>
      </w:pPr>
      <w:bookmarkStart w:id="53" w:name="executive-summary-references"/>
      <w:bookmarkEnd w:id="52"/>
      <w:r w:rsidRPr="00261B7A">
        <w:br w:type="page"/>
      </w:r>
    </w:p>
    <w:p w14:paraId="1DAF5A38" w14:textId="77777777" w:rsidR="00EC31F9" w:rsidRPr="00261B7A" w:rsidRDefault="00EC31F9" w:rsidP="00EC31F9">
      <w:pPr>
        <w:pStyle w:val="Heading2"/>
        <w:spacing w:after="480"/>
      </w:pPr>
      <w:bookmarkStart w:id="54" w:name="_Toc131591201"/>
      <w:r w:rsidRPr="00261B7A">
        <w:lastRenderedPageBreak/>
        <w:t>Executive summary: References</w:t>
      </w:r>
      <w:bookmarkEnd w:id="54"/>
    </w:p>
    <w:p w14:paraId="6B24E89D" w14:textId="367D36D2" w:rsidR="00EC31F9" w:rsidRPr="00261B7A" w:rsidRDefault="00EC31F9" w:rsidP="00EC31F9">
      <w:pPr>
        <w:pStyle w:val="References"/>
        <w:rPr>
          <w:szCs w:val="20"/>
        </w:rPr>
      </w:pPr>
      <w:r w:rsidRPr="00261B7A">
        <w:rPr>
          <w:szCs w:val="20"/>
        </w:rPr>
        <w:t>Easdale TA, Burge OR, Wiser S, Richardson SJ. Unpublished. Carbon Assessment of Wetland Vegetation.</w:t>
      </w:r>
      <w:r w:rsidR="00C74517" w:rsidRPr="00261B7A">
        <w:rPr>
          <w:szCs w:val="20"/>
        </w:rPr>
        <w:t> </w:t>
      </w:r>
      <w:r w:rsidRPr="00261B7A">
        <w:rPr>
          <w:szCs w:val="20"/>
        </w:rPr>
        <w:t>Contract report LC4173 prepared for the Ministry for the Environment by Landcare Research New Zealand Ltd in 2022.</w:t>
      </w:r>
    </w:p>
    <w:p w14:paraId="01FCB9D0" w14:textId="77777777" w:rsidR="00EC31F9" w:rsidRPr="00261B7A" w:rsidRDefault="00EC31F9" w:rsidP="00EC31F9">
      <w:pPr>
        <w:pStyle w:val="References"/>
      </w:pPr>
      <w:r w:rsidRPr="00261B7A">
        <w:t xml:space="preserve">IPCC. 2006. Eggleston HS, Buendia L, Miwa K, Ngara T, Tanabe K (eds). </w:t>
      </w:r>
      <w:r w:rsidRPr="00261B7A">
        <w:rPr>
          <w:i/>
          <w:iCs/>
        </w:rPr>
        <w:t>2006 IPCC Guidelines for National Greenhouse Gas Inventories. Volume 4. Agriculture, Forestry and Other Land Use.</w:t>
      </w:r>
      <w:r w:rsidRPr="00261B7A">
        <w:t xml:space="preserve"> IPCC National Greenhouse Gas Inventories Programme. Japan: Institute for Global Environmental Strategies for IPCC.</w:t>
      </w:r>
    </w:p>
    <w:p w14:paraId="57710DE5" w14:textId="77777777" w:rsidR="00EC31F9" w:rsidRPr="00261B7A" w:rsidRDefault="00EC31F9" w:rsidP="00EC31F9">
      <w:pPr>
        <w:pStyle w:val="References"/>
      </w:pPr>
      <w:r w:rsidRPr="00261B7A">
        <w:t xml:space="preserve">Manley B. 2021. </w:t>
      </w:r>
      <w:r w:rsidRPr="00261B7A">
        <w:rPr>
          <w:i/>
          <w:iCs/>
        </w:rPr>
        <w:t>Afforestation and Deforestation Intentions Survey 2020</w:t>
      </w:r>
      <w:r w:rsidRPr="00261B7A">
        <w:t>. Wellington: Ministry for Primary Industries.</w:t>
      </w:r>
    </w:p>
    <w:p w14:paraId="272EDFEA" w14:textId="77777777" w:rsidR="00EC31F9" w:rsidRPr="00261B7A" w:rsidRDefault="00EC31F9" w:rsidP="00EC31F9">
      <w:pPr>
        <w:pStyle w:val="References"/>
      </w:pPr>
      <w:r w:rsidRPr="00261B7A">
        <w:t xml:space="preserve">MBIE. 2022. </w:t>
      </w:r>
      <w:r w:rsidRPr="00261B7A">
        <w:rPr>
          <w:i/>
          <w:iCs/>
        </w:rPr>
        <w:t>Energy in New Zealand</w:t>
      </w:r>
      <w:r w:rsidRPr="00261B7A">
        <w:t xml:space="preserve">. Wellington: Ministry of Business, Innovation and Employment. Retrieved from </w:t>
      </w:r>
      <w:hyperlink r:id="rId33" w:history="1">
        <w:r w:rsidRPr="00261B7A">
          <w:rPr>
            <w:rStyle w:val="Hyperlink"/>
          </w:rPr>
          <w:t>www.mbie.govt.nz/building-and-energy/energy-and-natural-resources/energy-statistics-and-modelling/energy-publications-and-technical-papers/energy-in-new-zealand/</w:t>
        </w:r>
      </w:hyperlink>
      <w:r w:rsidRPr="00261B7A">
        <w:t xml:space="preserve"> (September 2022).</w:t>
      </w:r>
    </w:p>
    <w:p w14:paraId="4C50D6B2" w14:textId="77777777" w:rsidR="00EC31F9" w:rsidRPr="00261B7A" w:rsidRDefault="00EC31F9" w:rsidP="00EC31F9">
      <w:pPr>
        <w:pStyle w:val="References"/>
      </w:pPr>
      <w:r w:rsidRPr="00261B7A">
        <w:t xml:space="preserve">UNFCCC. 2013. FCCC/CP/2013/10/Add.3. </w:t>
      </w:r>
      <w:r w:rsidRPr="00261B7A">
        <w:rPr>
          <w:i/>
          <w:iCs/>
        </w:rPr>
        <w:t>Report of the Conference of the Parties on its nineteenth session, held in Warsaw from 11 to 23 November 2013: Addendum; Decision 24/CP.19 Revision of the UNFCCC reporting guidelines on annual inventories for Parties included in Annex I to the Convention</w:t>
      </w:r>
      <w:r w:rsidRPr="00261B7A">
        <w:t>.</w:t>
      </w:r>
      <w:bookmarkEnd w:id="12"/>
      <w:bookmarkEnd w:id="53"/>
    </w:p>
    <w:p w14:paraId="284F00FE" w14:textId="77777777" w:rsidR="00D36D68" w:rsidRPr="00261B7A" w:rsidRDefault="00D36D68" w:rsidP="00D36D68"/>
    <w:p w14:paraId="0347D83D" w14:textId="77777777" w:rsidR="00D36D68" w:rsidRPr="00261B7A" w:rsidRDefault="00D36D68" w:rsidP="00D36D68"/>
    <w:p w14:paraId="2BFDEF95" w14:textId="77777777" w:rsidR="009F5DA6" w:rsidRPr="00261B7A" w:rsidRDefault="009F5DA6" w:rsidP="00D36D68">
      <w:pPr>
        <w:pStyle w:val="Heading1"/>
        <w:sectPr w:rsidR="009F5DA6" w:rsidRPr="00261B7A" w:rsidSect="00445CC7">
          <w:headerReference w:type="even" r:id="rId34"/>
          <w:headerReference w:type="default" r:id="rId35"/>
          <w:footerReference w:type="even" r:id="rId36"/>
          <w:footerReference w:type="default" r:id="rId37"/>
          <w:pgSz w:w="11907" w:h="16840" w:code="9"/>
          <w:pgMar w:top="1418" w:right="1701" w:bottom="1418" w:left="1701" w:header="567" w:footer="567" w:gutter="0"/>
          <w:pgNumType w:fmt="lowerRoman"/>
          <w:cols w:space="720"/>
        </w:sectPr>
      </w:pPr>
    </w:p>
    <w:p w14:paraId="4D801CC7" w14:textId="77777777" w:rsidR="006611EE" w:rsidRPr="00261B7A" w:rsidRDefault="006611EE" w:rsidP="006611EE">
      <w:pPr>
        <w:pStyle w:val="Heading1"/>
      </w:pPr>
      <w:bookmarkStart w:id="55" w:name="_Toc131591202"/>
      <w:bookmarkStart w:id="56" w:name="chapter-1-introduction"/>
      <w:r w:rsidRPr="00261B7A">
        <w:lastRenderedPageBreak/>
        <w:t>Chapter 1: Introduction</w:t>
      </w:r>
      <w:bookmarkEnd w:id="55"/>
    </w:p>
    <w:p w14:paraId="46DCCD0B" w14:textId="77777777" w:rsidR="006611EE" w:rsidRPr="00261B7A" w:rsidRDefault="006611EE" w:rsidP="006611EE">
      <w:pPr>
        <w:pStyle w:val="Heading2"/>
        <w:spacing w:before="240"/>
      </w:pPr>
      <w:bookmarkStart w:id="57" w:name="_Toc131591203"/>
      <w:bookmarkStart w:id="58" w:name="background"/>
      <w:r w:rsidRPr="00261B7A">
        <w:t>1.1</w:t>
      </w:r>
      <w:r w:rsidRPr="00261B7A">
        <w:tab/>
        <w:t>Background</w:t>
      </w:r>
      <w:bookmarkEnd w:id="57"/>
    </w:p>
    <w:p w14:paraId="1FB2F52A" w14:textId="3EFFBEE6" w:rsidR="006611EE" w:rsidRPr="00261B7A" w:rsidRDefault="006611EE" w:rsidP="006611EE">
      <w:pPr>
        <w:pStyle w:val="BodyText"/>
      </w:pPr>
      <w:r w:rsidRPr="00261B7A">
        <w:t xml:space="preserve">Greenhouse gases (GHGs) in </w:t>
      </w:r>
      <w:r w:rsidR="00FC6468" w:rsidRPr="00261B7A">
        <w:t xml:space="preserve">the </w:t>
      </w:r>
      <w:r w:rsidRPr="00261B7A">
        <w:t xml:space="preserve">Earth’s atmosphere trap warmth from the sun and make life </w:t>
      </w:r>
      <w:r w:rsidRPr="00261B7A">
        <w:rPr>
          <w:spacing w:val="-2"/>
        </w:rPr>
        <w:t>as we know it possible. The Intergovernmental Panel on Climate Change (IPCC) Sixth Assessment</w:t>
      </w:r>
      <w:r w:rsidRPr="00261B7A">
        <w:t xml:space="preserve"> Report (IPCC, 2021) confirms that the evidence showing humans have an influence on the climate system is unequivocal. Human-induced climate change is evident in extreme weather events all around the world. Events such as heatwaves, severe rainfall and droughts have </w:t>
      </w:r>
      <w:r w:rsidRPr="00261B7A">
        <w:rPr>
          <w:spacing w:val="-2"/>
        </w:rPr>
        <w:t>become more frequent and extreme as a result of climate change and will continue to intensify</w:t>
      </w:r>
      <w:r w:rsidRPr="00261B7A">
        <w:t>.</w:t>
      </w:r>
    </w:p>
    <w:p w14:paraId="2F7421C1" w14:textId="77777777" w:rsidR="006611EE" w:rsidRPr="00261B7A" w:rsidRDefault="006611EE" w:rsidP="006611EE">
      <w:pPr>
        <w:pStyle w:val="BodyText"/>
      </w:pPr>
      <w:r w:rsidRPr="00261B7A">
        <w:t>Some of the changes to the climate system, including sea-level rise and loss of glaciers, are irreversible over centuries to millennia. The rate and magnitude of these committed changes, however, still depend on future greenhouse gas emissions. While the IPCC (2021) revised its estimate upwards of how much warming has occurred already, scenarios show that we can still limit warming to 1.5°C. To do that, the world must achieve net zero carbon dioxide (CO</w:t>
      </w:r>
      <w:r w:rsidRPr="00261B7A">
        <w:rPr>
          <w:vertAlign w:val="subscript"/>
        </w:rPr>
        <w:t>2</w:t>
      </w:r>
      <w:r w:rsidRPr="00261B7A">
        <w:t>) emissions by around 2050 along with deep reductions in other greenhouse gases (IPCC, 2022).</w:t>
      </w:r>
    </w:p>
    <w:p w14:paraId="153FA642" w14:textId="77777777" w:rsidR="006611EE" w:rsidRPr="00261B7A" w:rsidRDefault="006611EE" w:rsidP="006611EE">
      <w:pPr>
        <w:pStyle w:val="Heading3"/>
      </w:pPr>
      <w:bookmarkStart w:id="59" w:name="X4dac08bfba5c2a4ded8b3b0ba006c0f41387bd8"/>
      <w:r w:rsidRPr="00261B7A">
        <w:t>1.1.1</w:t>
      </w:r>
      <w:r w:rsidRPr="00261B7A">
        <w:tab/>
        <w:t>United Nations Framework Convention on Climate Change</w:t>
      </w:r>
    </w:p>
    <w:p w14:paraId="45D9EDD8" w14:textId="77777777" w:rsidR="006611EE" w:rsidRPr="00261B7A" w:rsidRDefault="006611EE" w:rsidP="006611EE">
      <w:pPr>
        <w:pStyle w:val="BodyText"/>
      </w:pPr>
      <w:r w:rsidRPr="00261B7A">
        <w:t xml:space="preserve">The IPCC assesses the science of climate change. In 1990, it concluded that human-induced climate change was a threat to our future. In response, the United Nations General Assembly </w:t>
      </w:r>
      <w:r w:rsidRPr="00261B7A">
        <w:rPr>
          <w:spacing w:val="-2"/>
        </w:rPr>
        <w:t>convened a series of meetings that culminated in the adoption of the United Nations Framework</w:t>
      </w:r>
      <w:r w:rsidRPr="00261B7A">
        <w:t xml:space="preserve"> Convention on Climate Change (UNFCCC or the Convention) at the Earth Summit in Rio de Janeiro in May 1992.</w:t>
      </w:r>
    </w:p>
    <w:p w14:paraId="54865654" w14:textId="77777777" w:rsidR="006611EE" w:rsidRPr="00261B7A" w:rsidRDefault="006611EE" w:rsidP="006611EE">
      <w:pPr>
        <w:pStyle w:val="BodyText"/>
      </w:pPr>
      <w:r w:rsidRPr="00261B7A">
        <w:t>The Convention has been signed and ratified by 197 nations, including New Zealand, and took effect on 21 March 1994.</w:t>
      </w:r>
    </w:p>
    <w:p w14:paraId="40AAACB5" w14:textId="77777777" w:rsidR="006611EE" w:rsidRPr="00261B7A" w:rsidRDefault="006611EE" w:rsidP="006611EE">
      <w:pPr>
        <w:pStyle w:val="BodyText"/>
      </w:pPr>
      <w:r w:rsidRPr="00261B7A">
        <w:t>The main objective of the Convention (UNFCCC, 1992, Article 2) is to achieve:</w:t>
      </w:r>
    </w:p>
    <w:p w14:paraId="6EB06D93" w14:textId="77777777" w:rsidR="006611EE" w:rsidRPr="00261B7A" w:rsidRDefault="006611EE" w:rsidP="003E1E5A">
      <w:pPr>
        <w:pStyle w:val="Quote"/>
        <w:spacing w:before="120"/>
      </w:pPr>
      <w:r w:rsidRPr="00261B7A">
        <w:t>… stabilization of greenhouse gas concentrations in the atmosphere at a level that would prevent dangerous anthropogenic interference with the climate system. Such a level should be achieved within a time-frame sufficient to allow ecosystems to adapt naturally to climate change, to ensure that food production is not threatened and to enable economic development to proceed in a sustainable manner.</w:t>
      </w:r>
    </w:p>
    <w:p w14:paraId="016887BC" w14:textId="73D4E0FD" w:rsidR="006611EE" w:rsidRPr="00261B7A" w:rsidRDefault="006611EE" w:rsidP="006611EE">
      <w:pPr>
        <w:pStyle w:val="BodyText"/>
      </w:pPr>
      <w:r w:rsidRPr="00261B7A">
        <w:t>All countries that ratify the Convention (the Parties) are required to take action to address</w:t>
      </w:r>
      <w:r w:rsidR="003E1E5A" w:rsidRPr="00261B7A">
        <w:t> </w:t>
      </w:r>
      <w:r w:rsidRPr="00261B7A">
        <w:t>climate change, including by monitoring trends in anthropogenic GHG emissions. Producing the annual inventory of GHG emissions and removals fulfils this obligation. Parties</w:t>
      </w:r>
      <w:r w:rsidR="003E1E5A" w:rsidRPr="00261B7A">
        <w:t> </w:t>
      </w:r>
      <w:r w:rsidRPr="00261B7A">
        <w:t>are also obliged to protect and enhance carbon sinks and reservoirs, for example, forests, and implement measures that assist in national and/or regional climate change adaptation and mitigation. In addition, Parties listed in Annex II</w:t>
      </w:r>
      <w:r w:rsidRPr="00261B7A">
        <w:rPr>
          <w:rStyle w:val="FootnoteReference"/>
        </w:rPr>
        <w:footnoteReference w:id="8"/>
      </w:r>
      <w:r w:rsidRPr="00261B7A">
        <w:t xml:space="preserve"> to the Convention </w:t>
      </w:r>
      <w:r w:rsidRPr="00261B7A">
        <w:lastRenderedPageBreak/>
        <w:t>commit</w:t>
      </w:r>
      <w:r w:rsidR="003E1E5A" w:rsidRPr="00261B7A">
        <w:t> </w:t>
      </w:r>
      <w:r w:rsidRPr="00261B7A">
        <w:t>to</w:t>
      </w:r>
      <w:r w:rsidR="003E1E5A" w:rsidRPr="00261B7A">
        <w:t> </w:t>
      </w:r>
      <w:r w:rsidRPr="00261B7A">
        <w:t>providing technology transfer, capacity building and financial assistance to non</w:t>
      </w:r>
      <w:r w:rsidR="003E1E5A" w:rsidRPr="00261B7A">
        <w:noBreakHyphen/>
      </w:r>
      <w:r w:rsidRPr="00261B7A">
        <w:t>Annex I</w:t>
      </w:r>
      <w:r w:rsidRPr="00261B7A">
        <w:rPr>
          <w:rStyle w:val="FootnoteReference"/>
        </w:rPr>
        <w:footnoteReference w:id="9"/>
      </w:r>
      <w:r w:rsidRPr="00261B7A">
        <w:t xml:space="preserve"> Parties (developing country Parties).</w:t>
      </w:r>
    </w:p>
    <w:p w14:paraId="222BD6FE" w14:textId="77777777" w:rsidR="006611EE" w:rsidRPr="00261B7A" w:rsidRDefault="006611EE" w:rsidP="006611EE">
      <w:pPr>
        <w:pStyle w:val="BodyText"/>
      </w:pPr>
      <w:r w:rsidRPr="00261B7A">
        <w:t>Annex I Parties also agreed to aim to return GHG emissions to 1990 levels by the year 2000. Only a few Annex I Parties made appreciable progress towards achieving this aim. The international community recognised that the existing commitments in the Convention were not enough to ensure GHGs would be stabilised at a safe level. In response, in 1995 Parties launched a new round of talks to provide stronger and more detailed commitments for Annex I Parties. After two-and-a-half years of negotiations, the Kyoto Protocol was adopted in Kyoto, Japan on 11 December 1997. New Zealand ratified the Kyoto Protocol on 19 December 2002. The Protocol came into force on 16 February 2005.</w:t>
      </w:r>
    </w:p>
    <w:p w14:paraId="06E3A1C0" w14:textId="77777777" w:rsidR="006611EE" w:rsidRPr="00261B7A" w:rsidRDefault="006611EE" w:rsidP="006611EE">
      <w:pPr>
        <w:pStyle w:val="BodyText"/>
      </w:pPr>
      <w:r w:rsidRPr="00261B7A">
        <w:t xml:space="preserve">To accelerate and intensify the actions and investments needed for a sustainable low-carbon future, Parties to the Convention reached a landmark agreement in Paris, France, on 12 December 2015 – the Paris Agreement. New Zealand ratified the Paris Agreement on 4 October 2016. One result of the extension (as of 13 November 2017) of New Zealand’s </w:t>
      </w:r>
      <w:r w:rsidRPr="00261B7A">
        <w:rPr>
          <w:spacing w:val="-2"/>
        </w:rPr>
        <w:t>ratification of the Convention and the Paris Agreement to include Tokelau is that New Zealand’s</w:t>
      </w:r>
      <w:r w:rsidRPr="00261B7A">
        <w:t xml:space="preserve"> national inventory now includes GHG emissions and removals estimates from Tokelau. Since the 2019 submission, the inventory has included gross emissions from Tokelau.</w:t>
      </w:r>
    </w:p>
    <w:p w14:paraId="65C0E8B3" w14:textId="77777777" w:rsidR="006611EE" w:rsidRPr="00261B7A" w:rsidRDefault="006611EE" w:rsidP="006611EE">
      <w:pPr>
        <w:pStyle w:val="Heading3"/>
      </w:pPr>
      <w:bookmarkStart w:id="60" w:name="kyoto-protocol"/>
      <w:bookmarkEnd w:id="59"/>
      <w:r w:rsidRPr="00261B7A">
        <w:t>1.1.2</w:t>
      </w:r>
      <w:r w:rsidRPr="00261B7A">
        <w:tab/>
        <w:t>Kyoto Protocol</w:t>
      </w:r>
    </w:p>
    <w:p w14:paraId="34AC0816" w14:textId="77777777" w:rsidR="006611EE" w:rsidRPr="00261B7A" w:rsidRDefault="006611EE" w:rsidP="006611EE">
      <w:pPr>
        <w:pStyle w:val="BodyText"/>
      </w:pPr>
      <w:r w:rsidRPr="00261B7A">
        <w:t>The Kyoto Protocol operationalised the Convention by committing industrialised countries and countries with economies in transition to limit and reduce greenhouse gases emissions in accordance with agreed individual targets. The Convention itself only asks those countries to adopt policies and measures on mitigation and to report periodically.</w:t>
      </w:r>
    </w:p>
    <w:p w14:paraId="46BF091C" w14:textId="77777777" w:rsidR="006611EE" w:rsidRPr="00261B7A" w:rsidRDefault="006611EE" w:rsidP="006611EE">
      <w:pPr>
        <w:pStyle w:val="BodyText"/>
      </w:pPr>
      <w:r w:rsidRPr="00261B7A">
        <w:t xml:space="preserve">The Kyoto Protocol expanded on the Convention’s objectives, principles and institutions. Only Parties to the Convention that have also become Parties to the Protocol (by ratifying, accepting, approving or acceding to it) are bound by the Protocol’s commitments, noting that GHG targets in the Kyoto Protocol just applied to developed countries, or ‘Annex I Parties’ to the Convention. </w:t>
      </w:r>
    </w:p>
    <w:p w14:paraId="29CD5E33" w14:textId="77777777" w:rsidR="006611EE" w:rsidRPr="00261B7A" w:rsidRDefault="006611EE" w:rsidP="006611EE">
      <w:pPr>
        <w:pStyle w:val="BodyText"/>
      </w:pPr>
      <w:r w:rsidRPr="00261B7A">
        <w:t>The Kyoto Protocol placed a greater responsibility on Annex I Parties under the principle of “common but differentiated responsibility and respective capabilities”. This recognised that these Parties are largely responsible for the current high levels of greenhouse gas emissions in the atmosphere.</w:t>
      </w:r>
    </w:p>
    <w:p w14:paraId="46A39B00" w14:textId="77777777" w:rsidR="006611EE" w:rsidRPr="00261B7A" w:rsidRDefault="006611EE" w:rsidP="006611EE">
      <w:pPr>
        <w:pStyle w:val="BodyText"/>
      </w:pPr>
      <w:r w:rsidRPr="00261B7A">
        <w:t xml:space="preserve">New Zealand continues to be a Party to the Kyoto Protocol. While there are no current commitments in place, our reporting obligations under the Kyoto Protocol remain. </w:t>
      </w:r>
    </w:p>
    <w:p w14:paraId="0D7E2BFD" w14:textId="77777777" w:rsidR="006611EE" w:rsidRPr="00261B7A" w:rsidRDefault="006611EE" w:rsidP="006611EE">
      <w:pPr>
        <w:pStyle w:val="BodyText"/>
      </w:pPr>
      <w:r w:rsidRPr="00261B7A">
        <w:t xml:space="preserve">New Zealand has, therefore, completed supplementary activity-based reporting for Land Use, Land-Use Change and Forestry (LULUCF) as required under the Kyoto Protocol for the categories </w:t>
      </w:r>
      <w:r w:rsidRPr="00261B7A">
        <w:rPr>
          <w:i/>
          <w:iCs/>
        </w:rPr>
        <w:t>Afforestation and reforestation</w:t>
      </w:r>
      <w:r w:rsidRPr="00261B7A">
        <w:t xml:space="preserve"> and </w:t>
      </w:r>
      <w:r w:rsidRPr="00261B7A">
        <w:rPr>
          <w:i/>
          <w:iCs/>
        </w:rPr>
        <w:t>Deforestation</w:t>
      </w:r>
      <w:r w:rsidRPr="00261B7A">
        <w:t xml:space="preserve">, and for </w:t>
      </w:r>
      <w:r w:rsidRPr="00261B7A">
        <w:rPr>
          <w:i/>
          <w:iCs/>
        </w:rPr>
        <w:t>Forest management</w:t>
      </w:r>
      <w:r w:rsidRPr="00261B7A">
        <w:t xml:space="preserve"> for the 2021 reporting year. The definitions of afforestation, reforestation, deforestation and forest management activities are consistent with Decision 16/CMP.1 (UNFCCC, 2005a).</w:t>
      </w:r>
    </w:p>
    <w:p w14:paraId="3C6A4C59" w14:textId="77777777" w:rsidR="006611EE" w:rsidRPr="00261B7A" w:rsidRDefault="006611EE" w:rsidP="006611EE">
      <w:pPr>
        <w:pStyle w:val="BodyText"/>
        <w:spacing w:before="100" w:after="100"/>
      </w:pPr>
      <w:r w:rsidRPr="00261B7A">
        <w:lastRenderedPageBreak/>
        <w:t xml:space="preserve">The information reported in this submission that relates to the Kyoto Protocol is provided to meet reporting obligations only. </w:t>
      </w:r>
    </w:p>
    <w:p w14:paraId="54FFB817" w14:textId="77777777" w:rsidR="006611EE" w:rsidRPr="00261B7A" w:rsidRDefault="006611EE" w:rsidP="006611EE">
      <w:pPr>
        <w:pStyle w:val="BodyText"/>
        <w:spacing w:before="100" w:after="100"/>
      </w:pPr>
      <w:r w:rsidRPr="00261B7A">
        <w:t xml:space="preserve">As the accounting rules New Zealand applied under the Kyoto Protocol (for the period 2013 to 2020) differ from those that will be applied under the Paris Agreement, the numbers provided in this inventory cannot be used to track progress towards New Zealand’s first Nationally Determined Contribution (NDC). New Zealand’s approach to LULUCF accounting under the </w:t>
      </w:r>
      <w:r w:rsidRPr="00261B7A">
        <w:rPr>
          <w:spacing w:val="-2"/>
        </w:rPr>
        <w:t>Paris Agreement is outlined in its first NDC</w:t>
      </w:r>
      <w:r w:rsidRPr="00261B7A">
        <w:rPr>
          <w:rStyle w:val="FootnoteReference"/>
          <w:spacing w:val="-2"/>
        </w:rPr>
        <w:footnoteReference w:id="10"/>
      </w:r>
      <w:r w:rsidRPr="00261B7A">
        <w:rPr>
          <w:spacing w:val="-2"/>
        </w:rPr>
        <w:t xml:space="preserve"> and will be fully described in its first communication</w:t>
      </w:r>
      <w:r w:rsidRPr="00261B7A">
        <w:t xml:space="preserve"> under the Paris Agreement. </w:t>
      </w:r>
    </w:p>
    <w:p w14:paraId="71462850" w14:textId="77777777" w:rsidR="006611EE" w:rsidRPr="00261B7A" w:rsidRDefault="006611EE" w:rsidP="006611EE">
      <w:pPr>
        <w:pStyle w:val="Heading3"/>
        <w:spacing w:before="320"/>
      </w:pPr>
      <w:bookmarkStart w:id="61" w:name="the-inventory"/>
      <w:bookmarkEnd w:id="60"/>
      <w:r w:rsidRPr="00261B7A">
        <w:t>1.1.3</w:t>
      </w:r>
      <w:r w:rsidRPr="00261B7A">
        <w:tab/>
        <w:t>The inventory</w:t>
      </w:r>
    </w:p>
    <w:p w14:paraId="2B857CB9" w14:textId="77777777" w:rsidR="006611EE" w:rsidRPr="00261B7A" w:rsidRDefault="006611EE" w:rsidP="006611EE">
      <w:pPr>
        <w:pStyle w:val="BodyText"/>
      </w:pPr>
      <w:r w:rsidRPr="00261B7A">
        <w:t xml:space="preserve">The Convention covers emissions and removals of all anthropogenic GHGs not controlled by the Montreal Protocol. </w:t>
      </w:r>
      <w:r w:rsidRPr="00261B7A">
        <w:rPr>
          <w:i/>
          <w:iCs/>
        </w:rPr>
        <w:t>New Zealand’s Greenhouse Gas Inventory</w:t>
      </w:r>
      <w:r w:rsidRPr="00261B7A">
        <w:t xml:space="preserve"> (the inventory) is the official annual report of these emissions and removals in New Zealand.</w:t>
      </w:r>
    </w:p>
    <w:p w14:paraId="3B0EA232" w14:textId="77777777" w:rsidR="006611EE" w:rsidRPr="00261B7A" w:rsidRDefault="006611EE" w:rsidP="006611EE">
      <w:pPr>
        <w:pStyle w:val="BodyText"/>
      </w:pPr>
      <w:r w:rsidRPr="00261B7A">
        <w:t xml:space="preserve">The methodologies, content and format of the inventory are described in the 2006 IPCC Guidelines (IPCC, 2006) and in reporting guidelines agreed by the Conference of the Parties to the Convention and Conference of the Parties serving as the meeting of the Parties to the Kyoto Protocol (CMP). The most recent reporting guidelines for inventory reporting under the </w:t>
      </w:r>
      <w:r w:rsidRPr="00261B7A">
        <w:rPr>
          <w:spacing w:val="-2"/>
        </w:rPr>
        <w:t>Convention are FCCC/CP/2013/10/Add.3 (UNFCCC, 2013a). In accordance with UNFCCC (2013a</w:t>
      </w:r>
      <w:r w:rsidRPr="00261B7A">
        <w:t>), New Zealand follows the 2006 IPCC Guidelines (IPCC, 2006) in preparing the inventory and applies the 100-year global warming potential values from the IPCC Fourth Assessment Report (IPCC, 2007).</w:t>
      </w:r>
    </w:p>
    <w:p w14:paraId="3B711B9A" w14:textId="77777777" w:rsidR="006611EE" w:rsidRPr="00261B7A" w:rsidRDefault="006611EE" w:rsidP="006611EE">
      <w:pPr>
        <w:pStyle w:val="BodyText"/>
      </w:pPr>
      <w:r w:rsidRPr="00261B7A">
        <w:t>A complete inventory submission contains two main components: the national inventory report (NIR) and the common reporting format (CRF) tables. Reporting for the second commitment period (CP2) of the Kyoto Protocol (2013 to 2020) was covered in the previous inventory submission. The standard electronic format (SEF) tables submitted with the previous inventory show holdings and transactions of units transferred and acquired under the Kyoto Protocol.</w:t>
      </w:r>
    </w:p>
    <w:p w14:paraId="7D3CA8B3" w14:textId="77777777" w:rsidR="006611EE" w:rsidRPr="00261B7A" w:rsidRDefault="006611EE" w:rsidP="006611EE">
      <w:pPr>
        <w:pStyle w:val="BodyText"/>
      </w:pPr>
      <w:r w:rsidRPr="00261B7A">
        <w:t>Inventories are subject to a technical review process administered by the UNFCCC secretariat. The results of these reviews are available on the Convention website (</w:t>
      </w:r>
      <w:hyperlink r:id="rId38" w:history="1">
        <w:r w:rsidRPr="00261B7A">
          <w:rPr>
            <w:rStyle w:val="Hyperlink"/>
          </w:rPr>
          <w:t>www.unfccc.int</w:t>
        </w:r>
      </w:hyperlink>
      <w:r w:rsidRPr="00261B7A">
        <w:t>).</w:t>
      </w:r>
    </w:p>
    <w:p w14:paraId="1B20DF5A" w14:textId="77777777" w:rsidR="006611EE" w:rsidRPr="00261B7A" w:rsidRDefault="006611EE" w:rsidP="006611EE">
      <w:pPr>
        <w:pStyle w:val="BodyText"/>
      </w:pPr>
      <w:r w:rsidRPr="00261B7A">
        <w:t>The inventory reports on emissions and removals of the gases carbon dioxide (CO</w:t>
      </w:r>
      <w:r w:rsidRPr="00261B7A">
        <w:rPr>
          <w:vertAlign w:val="subscript"/>
        </w:rPr>
        <w:t>2</w:t>
      </w:r>
      <w:r w:rsidRPr="00261B7A">
        <w:t>), methane (CH</w:t>
      </w:r>
      <w:r w:rsidRPr="00261B7A">
        <w:rPr>
          <w:vertAlign w:val="subscript"/>
        </w:rPr>
        <w:t>4</w:t>
      </w:r>
      <w:r w:rsidRPr="00261B7A">
        <w:t>), nitrous oxide (N</w:t>
      </w:r>
      <w:r w:rsidRPr="00261B7A">
        <w:rPr>
          <w:vertAlign w:val="subscript"/>
        </w:rPr>
        <w:t>2</w:t>
      </w:r>
      <w:r w:rsidRPr="00261B7A">
        <w:t>O), hydrofluorocarbons (HFCs), perfluorocarbons (PFCs), sulphur hexafluoride (SF</w:t>
      </w:r>
      <w:r w:rsidRPr="00261B7A">
        <w:rPr>
          <w:vertAlign w:val="subscript"/>
        </w:rPr>
        <w:t>6</w:t>
      </w:r>
      <w:r w:rsidRPr="00261B7A">
        <w:t>) and nitrogen trifluoride (NF</w:t>
      </w:r>
      <w:r w:rsidRPr="00261B7A">
        <w:rPr>
          <w:vertAlign w:val="subscript"/>
        </w:rPr>
        <w:t>3</w:t>
      </w:r>
      <w:r w:rsidRPr="00261B7A">
        <w:t>).</w:t>
      </w:r>
      <w:r w:rsidRPr="00261B7A">
        <w:rPr>
          <w:rStyle w:val="FootnoteReference"/>
        </w:rPr>
        <w:footnoteReference w:id="11"/>
      </w:r>
      <w:r w:rsidRPr="00261B7A">
        <w:t xml:space="preserve"> The indirect GHGs,</w:t>
      </w:r>
      <w:r w:rsidRPr="00261B7A">
        <w:rPr>
          <w:rStyle w:val="FootnoteReference"/>
        </w:rPr>
        <w:footnoteReference w:id="12"/>
      </w:r>
      <w:r w:rsidRPr="00261B7A">
        <w:t xml:space="preserve"> carbon monoxide (CO), sulphur dioxide (SO</w:t>
      </w:r>
      <w:r w:rsidRPr="00261B7A">
        <w:rPr>
          <w:vertAlign w:val="subscript"/>
        </w:rPr>
        <w:t>2</w:t>
      </w:r>
      <w:r w:rsidRPr="00261B7A">
        <w:t>), oxides of nitrogen (NO</w:t>
      </w:r>
      <w:r w:rsidRPr="00261B7A">
        <w:rPr>
          <w:vertAlign w:val="subscript"/>
        </w:rPr>
        <w:t>X</w:t>
      </w:r>
      <w:r w:rsidRPr="00261B7A">
        <w:t>) and non-methane volatile organic compounds (NMVOCs), are also included. Only emissions and removals of the direct GHGs (CO</w:t>
      </w:r>
      <w:r w:rsidRPr="00261B7A">
        <w:rPr>
          <w:vertAlign w:val="subscript"/>
        </w:rPr>
        <w:t>2</w:t>
      </w:r>
      <w:r w:rsidRPr="00261B7A">
        <w:t>, CH</w:t>
      </w:r>
      <w:r w:rsidRPr="00261B7A">
        <w:rPr>
          <w:vertAlign w:val="subscript"/>
        </w:rPr>
        <w:t>4</w:t>
      </w:r>
      <w:r w:rsidRPr="00261B7A">
        <w:t>, N</w:t>
      </w:r>
      <w:r w:rsidRPr="00261B7A">
        <w:rPr>
          <w:vertAlign w:val="subscript"/>
        </w:rPr>
        <w:t>2</w:t>
      </w:r>
      <w:r w:rsidRPr="00261B7A">
        <w:t>O, SF</w:t>
      </w:r>
      <w:r w:rsidRPr="00261B7A">
        <w:rPr>
          <w:vertAlign w:val="subscript"/>
        </w:rPr>
        <w:t>6</w:t>
      </w:r>
      <w:r w:rsidRPr="00261B7A">
        <w:t>, PFCs, HFCs and NF</w:t>
      </w:r>
      <w:r w:rsidRPr="00261B7A">
        <w:rPr>
          <w:vertAlign w:val="subscript"/>
        </w:rPr>
        <w:t>3</w:t>
      </w:r>
      <w:r w:rsidRPr="00261B7A">
        <w:t>) are reported in total gross and net emissions under the Convention. The gases are reported under five sectors and gross emissions include those from Energy, Industrial Processes and Product Use (IPPU), Agriculture and Waste, but do not include emissions and removals from the LULUCF sector (UNFCCC, 2013a).</w:t>
      </w:r>
    </w:p>
    <w:p w14:paraId="57255124" w14:textId="77777777" w:rsidR="006611EE" w:rsidRPr="00261B7A" w:rsidRDefault="006611EE" w:rsidP="006611EE">
      <w:pPr>
        <w:pStyle w:val="BodyText"/>
      </w:pPr>
      <w:r w:rsidRPr="00261B7A">
        <w:lastRenderedPageBreak/>
        <w:t>Since the 2019 submission, GHG emissions from Tokelau, New Zealand’s overseas dependent territory,</w:t>
      </w:r>
      <w:r w:rsidRPr="00261B7A">
        <w:rPr>
          <w:rStyle w:val="FootnoteReference"/>
        </w:rPr>
        <w:footnoteReference w:id="13"/>
      </w:r>
      <w:r w:rsidRPr="00261B7A">
        <w:t xml:space="preserve"> have been included in the inventory.</w:t>
      </w:r>
    </w:p>
    <w:p w14:paraId="4DA6BCED" w14:textId="77777777" w:rsidR="006611EE" w:rsidRPr="00261B7A" w:rsidRDefault="006611EE" w:rsidP="006611EE">
      <w:pPr>
        <w:pStyle w:val="Heading3"/>
      </w:pPr>
      <w:bookmarkStart w:id="62" w:name="supplementary-information-required"/>
      <w:bookmarkEnd w:id="61"/>
      <w:r w:rsidRPr="00261B7A">
        <w:t>1.1.4</w:t>
      </w:r>
      <w:r w:rsidRPr="00261B7A">
        <w:tab/>
        <w:t>Supplementary information required</w:t>
      </w:r>
    </w:p>
    <w:p w14:paraId="10AAAAB0" w14:textId="77777777" w:rsidR="006611EE" w:rsidRPr="00261B7A" w:rsidRDefault="006611EE" w:rsidP="006611EE">
      <w:pPr>
        <w:pStyle w:val="BodyText"/>
      </w:pPr>
      <w:r w:rsidRPr="00261B7A">
        <w:t>Following guidelines adopted by the CMP for reporting under Article 7.1 of the Kyoto Protocol, New Zealand includes supplementary information in its annual inventory submission.</w:t>
      </w:r>
    </w:p>
    <w:p w14:paraId="7E62EC90" w14:textId="77777777" w:rsidR="006611EE" w:rsidRPr="00261B7A" w:rsidRDefault="006611EE" w:rsidP="006611EE">
      <w:pPr>
        <w:pStyle w:val="BodyText"/>
      </w:pPr>
      <w:r w:rsidRPr="00261B7A">
        <w:t>The supplementary information covers:</w:t>
      </w:r>
    </w:p>
    <w:p w14:paraId="341A4D38" w14:textId="77777777" w:rsidR="006611EE" w:rsidRPr="00261B7A" w:rsidRDefault="006611EE" w:rsidP="006611EE">
      <w:pPr>
        <w:pStyle w:val="Bullet"/>
      </w:pPr>
      <w:r w:rsidRPr="00261B7A">
        <w:t>information on emissions and removals for each activity under Article 3.3, and forest management activities under Article 3.4 (chapter 11)</w:t>
      </w:r>
    </w:p>
    <w:p w14:paraId="70112F63" w14:textId="77777777" w:rsidR="006611EE" w:rsidRPr="00261B7A" w:rsidRDefault="006611EE" w:rsidP="006611EE">
      <w:pPr>
        <w:pStyle w:val="Bullet"/>
      </w:pPr>
      <w:r w:rsidRPr="00261B7A">
        <w:t>holdings and transactions of units transferred and acquired under Kyoto Protocol mechanisms (chapter 12)</w:t>
      </w:r>
    </w:p>
    <w:p w14:paraId="5E53E532" w14:textId="77777777" w:rsidR="006611EE" w:rsidRPr="00261B7A" w:rsidRDefault="006611EE" w:rsidP="006611EE">
      <w:pPr>
        <w:pStyle w:val="Bullet"/>
      </w:pPr>
      <w:r w:rsidRPr="00261B7A">
        <w:t>significant changes to the national system for estimating emissions and removals (chapter 13) and to the Kyoto Protocol unit registry (chapter 14)</w:t>
      </w:r>
    </w:p>
    <w:p w14:paraId="538C8F4C" w14:textId="77777777" w:rsidR="006611EE" w:rsidRPr="00261B7A" w:rsidRDefault="006611EE" w:rsidP="006611EE">
      <w:pPr>
        <w:pStyle w:val="Bullet"/>
      </w:pPr>
      <w:r w:rsidRPr="00261B7A">
        <w:t>information related to the implementation of Article 3.14 on the minimisation of adverse impacts on developing country Parties (chapter 15).</w:t>
      </w:r>
    </w:p>
    <w:p w14:paraId="5262322C" w14:textId="77777777" w:rsidR="006611EE" w:rsidRPr="00261B7A" w:rsidRDefault="006611EE" w:rsidP="006611EE">
      <w:pPr>
        <w:pStyle w:val="Heading2"/>
      </w:pPr>
      <w:bookmarkStart w:id="63" w:name="_Toc131591204"/>
      <w:bookmarkStart w:id="64" w:name="X3d8ef0902c11d2c20ca27020f96f283b7720eed"/>
      <w:bookmarkEnd w:id="58"/>
      <w:bookmarkEnd w:id="62"/>
      <w:r w:rsidRPr="00261B7A">
        <w:t>1.2</w:t>
      </w:r>
      <w:r w:rsidRPr="00261B7A">
        <w:tab/>
        <w:t>Description of the national inventory arrangements</w:t>
      </w:r>
      <w:bookmarkEnd w:id="63"/>
    </w:p>
    <w:p w14:paraId="1C2B9A7A" w14:textId="77777777" w:rsidR="006611EE" w:rsidRPr="00261B7A" w:rsidRDefault="006611EE" w:rsidP="006611EE">
      <w:pPr>
        <w:pStyle w:val="Heading3"/>
        <w:spacing w:before="240"/>
      </w:pPr>
      <w:bookmarkStart w:id="65" w:name="Xcd9072cb7f9986ae7704ae8a82e4c52ab339908"/>
      <w:r w:rsidRPr="00261B7A">
        <w:t>1.2.1</w:t>
      </w:r>
      <w:r w:rsidRPr="00261B7A">
        <w:tab/>
        <w:t>Institutional, legal and procedural arrangements</w:t>
      </w:r>
    </w:p>
    <w:p w14:paraId="4FD201A7" w14:textId="77777777" w:rsidR="006611EE" w:rsidRPr="00261B7A" w:rsidRDefault="006611EE" w:rsidP="006611EE">
      <w:pPr>
        <w:pStyle w:val="BodyText"/>
      </w:pPr>
      <w:r w:rsidRPr="00261B7A">
        <w:t>In 2002, New Zealand enacted the Climate Change Response Act 2002 (the Act).</w:t>
      </w:r>
      <w:r w:rsidRPr="00261B7A">
        <w:rPr>
          <w:rStyle w:val="FootnoteReference"/>
        </w:rPr>
        <w:footnoteReference w:id="14"/>
      </w:r>
      <w:r w:rsidRPr="00261B7A">
        <w:t xml:space="preserve"> This enabled New Zealand to meet its international obligations under the Convention and Kyoto Protocol. The Act has subsequently been amended to enable New Zealand to meet its obligations under the Paris Agreement. A Prime Ministerial directive for the administration of the Act named the Ministry for the Environment (MfE) as New Zealand’s ‘inventory agency’. Part 3, section 32, of the Act specifies the following functions and requirements.</w:t>
      </w:r>
    </w:p>
    <w:p w14:paraId="46963A83" w14:textId="77777777" w:rsidR="006611EE" w:rsidRPr="00261B7A" w:rsidRDefault="006611EE" w:rsidP="00B85E7F">
      <w:pPr>
        <w:pStyle w:val="Numberedparagraph"/>
      </w:pPr>
      <w:r w:rsidRPr="00261B7A">
        <w:t>The primary functions of New Zealand’s inventory agency are to:</w:t>
      </w:r>
    </w:p>
    <w:p w14:paraId="0C4F7B13" w14:textId="77777777" w:rsidR="006611EE" w:rsidRPr="00261B7A" w:rsidRDefault="006611EE" w:rsidP="006611EE">
      <w:pPr>
        <w:pStyle w:val="Sub-lista"/>
        <w:tabs>
          <w:tab w:val="clear" w:pos="397"/>
          <w:tab w:val="num" w:pos="794"/>
        </w:tabs>
        <w:ind w:left="794"/>
      </w:pPr>
      <w:r w:rsidRPr="00261B7A">
        <w:t>estimate annually New Zealand’s human-induced emissions by sources and removals by sinks of greenhouse gases</w:t>
      </w:r>
    </w:p>
    <w:p w14:paraId="60314651" w14:textId="77777777" w:rsidR="006611EE" w:rsidRPr="00261B7A" w:rsidRDefault="006611EE" w:rsidP="006611EE">
      <w:pPr>
        <w:pStyle w:val="Sub-lista"/>
        <w:tabs>
          <w:tab w:val="clear" w:pos="397"/>
          <w:tab w:val="num" w:pos="794"/>
        </w:tabs>
        <w:ind w:left="794"/>
      </w:pPr>
      <w:r w:rsidRPr="00261B7A">
        <w:t>prepare all of the following reports for the purpose of discharging New Zealand’s obligations:</w:t>
      </w:r>
    </w:p>
    <w:p w14:paraId="5D637707" w14:textId="77777777" w:rsidR="006611EE" w:rsidRPr="00261B7A" w:rsidRDefault="006611EE" w:rsidP="006611EE">
      <w:pPr>
        <w:pStyle w:val="Sub-listi"/>
        <w:numPr>
          <w:ilvl w:val="0"/>
          <w:numId w:val="30"/>
        </w:numPr>
        <w:tabs>
          <w:tab w:val="clear" w:pos="1191"/>
        </w:tabs>
      </w:pPr>
      <w:r w:rsidRPr="00261B7A">
        <w:t>New Zealand’s annual inventory report under Articles 4 and 12 of the Convention and Article 7.1 of the Kyoto Protocol, including (but not limited to) the quantities of long-term certified emission reduction units and temporary certified emission reduction units that have expired or have been replaced, retired or cancelled</w:t>
      </w:r>
    </w:p>
    <w:p w14:paraId="4BDA2D12" w14:textId="77777777" w:rsidR="006611EE" w:rsidRPr="00261B7A" w:rsidRDefault="006611EE" w:rsidP="006611EE">
      <w:pPr>
        <w:pStyle w:val="Sub-listi"/>
        <w:numPr>
          <w:ilvl w:val="0"/>
          <w:numId w:val="30"/>
        </w:numPr>
        <w:tabs>
          <w:tab w:val="clear" w:pos="1191"/>
        </w:tabs>
      </w:pPr>
      <w:r w:rsidRPr="00261B7A">
        <w:lastRenderedPageBreak/>
        <w:t>report of information by New Zealand under Article 13 of the Paris Agreement</w:t>
      </w:r>
      <w:r w:rsidRPr="00261B7A">
        <w:rPr>
          <w:rStyle w:val="FootnoteReference"/>
        </w:rPr>
        <w:footnoteReference w:id="15"/>
      </w:r>
    </w:p>
    <w:p w14:paraId="0BFFEA1A" w14:textId="77777777" w:rsidR="006611EE" w:rsidRPr="00261B7A" w:rsidRDefault="006611EE" w:rsidP="006611EE">
      <w:pPr>
        <w:pStyle w:val="Sub-listi"/>
        <w:numPr>
          <w:ilvl w:val="0"/>
          <w:numId w:val="30"/>
        </w:numPr>
        <w:tabs>
          <w:tab w:val="clear" w:pos="1191"/>
        </w:tabs>
      </w:pPr>
      <w:r w:rsidRPr="00261B7A">
        <w:t>New Zealand’s national communication (or periodic report) under Article 7.2 of the Kyoto Protocol and Article 12 of the Convention.</w:t>
      </w:r>
    </w:p>
    <w:p w14:paraId="73C4A3C2" w14:textId="77777777" w:rsidR="006611EE" w:rsidRPr="00261B7A" w:rsidRDefault="006611EE" w:rsidP="00B85E7F">
      <w:pPr>
        <w:pStyle w:val="Numberedparagraph"/>
      </w:pPr>
      <w:r w:rsidRPr="00261B7A">
        <w:t>In carrying out its functions, the inventory agency must:</w:t>
      </w:r>
    </w:p>
    <w:p w14:paraId="59CB5225" w14:textId="77777777" w:rsidR="006611EE" w:rsidRPr="00261B7A" w:rsidRDefault="006611EE" w:rsidP="00517C59">
      <w:pPr>
        <w:pStyle w:val="Sub-lista"/>
        <w:numPr>
          <w:ilvl w:val="0"/>
          <w:numId w:val="32"/>
        </w:numPr>
        <w:tabs>
          <w:tab w:val="clear" w:pos="397"/>
        </w:tabs>
        <w:ind w:left="794"/>
      </w:pPr>
      <w:r w:rsidRPr="00261B7A">
        <w:t>identify source categories</w:t>
      </w:r>
    </w:p>
    <w:p w14:paraId="681B3B44" w14:textId="77777777" w:rsidR="006611EE" w:rsidRPr="00261B7A" w:rsidRDefault="006611EE" w:rsidP="006611EE">
      <w:pPr>
        <w:pStyle w:val="Sub-lista"/>
        <w:tabs>
          <w:tab w:val="clear" w:pos="397"/>
          <w:tab w:val="num" w:pos="794"/>
        </w:tabs>
        <w:ind w:left="794"/>
      </w:pPr>
      <w:r w:rsidRPr="00261B7A">
        <w:t>collect data by means of:</w:t>
      </w:r>
    </w:p>
    <w:p w14:paraId="77BD9A22" w14:textId="77777777" w:rsidR="006611EE" w:rsidRPr="00261B7A" w:rsidRDefault="006611EE" w:rsidP="00517C59">
      <w:pPr>
        <w:pStyle w:val="Sub-listi"/>
        <w:numPr>
          <w:ilvl w:val="0"/>
          <w:numId w:val="33"/>
        </w:numPr>
      </w:pPr>
      <w:r w:rsidRPr="00261B7A">
        <w:t>voluntary collection</w:t>
      </w:r>
    </w:p>
    <w:p w14:paraId="3FCF02E9" w14:textId="77777777" w:rsidR="006611EE" w:rsidRPr="00261B7A" w:rsidRDefault="006611EE" w:rsidP="00517C59">
      <w:pPr>
        <w:pStyle w:val="Sub-listi"/>
        <w:numPr>
          <w:ilvl w:val="0"/>
          <w:numId w:val="33"/>
        </w:numPr>
      </w:pPr>
      <w:r w:rsidRPr="00261B7A">
        <w:t>collection from government agencies and other agencies that hold relevant information</w:t>
      </w:r>
    </w:p>
    <w:p w14:paraId="03AF8887" w14:textId="77777777" w:rsidR="006611EE" w:rsidRPr="00261B7A" w:rsidRDefault="006611EE" w:rsidP="00517C59">
      <w:pPr>
        <w:pStyle w:val="Sub-listi"/>
        <w:numPr>
          <w:ilvl w:val="0"/>
          <w:numId w:val="33"/>
        </w:numPr>
      </w:pPr>
      <w:r w:rsidRPr="00261B7A">
        <w:t>collection in accordance with regulations made under this Part (if any)</w:t>
      </w:r>
    </w:p>
    <w:p w14:paraId="00155B65" w14:textId="77777777" w:rsidR="006611EE" w:rsidRPr="00261B7A" w:rsidRDefault="006611EE" w:rsidP="006611EE">
      <w:pPr>
        <w:pStyle w:val="Sub-lista"/>
        <w:tabs>
          <w:tab w:val="clear" w:pos="397"/>
          <w:tab w:val="num" w:pos="794"/>
        </w:tabs>
        <w:ind w:left="794"/>
      </w:pPr>
      <w:r w:rsidRPr="00261B7A">
        <w:t>estimate the emissions and removals by sinks for each source category</w:t>
      </w:r>
    </w:p>
    <w:p w14:paraId="4E5FD595" w14:textId="77777777" w:rsidR="006611EE" w:rsidRPr="00261B7A" w:rsidRDefault="006611EE" w:rsidP="006611EE">
      <w:pPr>
        <w:pStyle w:val="Sub-lista"/>
        <w:tabs>
          <w:tab w:val="clear" w:pos="397"/>
          <w:tab w:val="num" w:pos="794"/>
        </w:tabs>
        <w:ind w:left="794"/>
      </w:pPr>
      <w:r w:rsidRPr="00261B7A">
        <w:t>undertake assessments on uncertainties</w:t>
      </w:r>
    </w:p>
    <w:p w14:paraId="4D918F32" w14:textId="77777777" w:rsidR="006611EE" w:rsidRPr="00261B7A" w:rsidRDefault="006611EE" w:rsidP="006611EE">
      <w:pPr>
        <w:pStyle w:val="Sub-lista"/>
        <w:tabs>
          <w:tab w:val="clear" w:pos="397"/>
          <w:tab w:val="num" w:pos="794"/>
        </w:tabs>
        <w:ind w:left="794"/>
      </w:pPr>
      <w:r w:rsidRPr="00261B7A">
        <w:t>undertake procedures to verify the data</w:t>
      </w:r>
    </w:p>
    <w:p w14:paraId="642F3F03" w14:textId="77777777" w:rsidR="006611EE" w:rsidRPr="00261B7A" w:rsidRDefault="006611EE" w:rsidP="006611EE">
      <w:pPr>
        <w:pStyle w:val="Sub-lista"/>
        <w:tabs>
          <w:tab w:val="clear" w:pos="397"/>
          <w:tab w:val="num" w:pos="794"/>
        </w:tabs>
        <w:ind w:left="794"/>
      </w:pPr>
      <w:r w:rsidRPr="00261B7A">
        <w:t>retain information and documents to show how the estimates were determined.</w:t>
      </w:r>
    </w:p>
    <w:p w14:paraId="03914BBB" w14:textId="77777777" w:rsidR="006611EE" w:rsidRPr="00261B7A" w:rsidRDefault="006611EE" w:rsidP="006611EE">
      <w:pPr>
        <w:pStyle w:val="BodyText"/>
      </w:pPr>
      <w:r w:rsidRPr="00261B7A">
        <w:t>Compliance provisions in section 36 of the Act authorise inspectors to collect information needed to estimate emissions or removals of GHGs.</w:t>
      </w:r>
    </w:p>
    <w:p w14:paraId="7812FF26" w14:textId="77777777" w:rsidR="006611EE" w:rsidRPr="00261B7A" w:rsidRDefault="006611EE" w:rsidP="006611EE">
      <w:pPr>
        <w:pStyle w:val="Heading3"/>
      </w:pPr>
      <w:bookmarkStart w:id="66" w:name="X66a5f8ee1ef6794df3c860c9737842c37eb9602"/>
      <w:bookmarkEnd w:id="65"/>
      <w:r w:rsidRPr="00261B7A">
        <w:t>1.2.2</w:t>
      </w:r>
      <w:r w:rsidRPr="00261B7A">
        <w:tab/>
        <w:t>Inventory planning, preparation and management</w:t>
      </w:r>
    </w:p>
    <w:p w14:paraId="0BD35A2E" w14:textId="77777777" w:rsidR="006611EE" w:rsidRPr="00261B7A" w:rsidRDefault="006611EE" w:rsidP="006611EE">
      <w:pPr>
        <w:pStyle w:val="BodyText"/>
      </w:pPr>
      <w:r w:rsidRPr="00261B7A">
        <w:rPr>
          <w:spacing w:val="-2"/>
        </w:rPr>
        <w:t>New Zealand has a national system in place for inventorying anthropogenic emissions by sources</w:t>
      </w:r>
      <w:r w:rsidRPr="00261B7A">
        <w:t xml:space="preserve"> and removals by sinks of all GHGs not controlled by the Montreal Protocol. New Zealand provided a full description of the national system in its initial report under the Kyoto Protocol (Ministry for the Environment, 2006). Changes to the national system are documented in section 1.2.4 and chapter 13.</w:t>
      </w:r>
    </w:p>
    <w:p w14:paraId="4637567A" w14:textId="77777777" w:rsidR="006611EE" w:rsidRPr="00261B7A" w:rsidRDefault="006611EE" w:rsidP="006611EE">
      <w:pPr>
        <w:pStyle w:val="BodyText"/>
      </w:pPr>
      <w:r w:rsidRPr="00261B7A">
        <w:t>New Zealand maintains a set of guidelines that document the tasks required to officially submit the national inventory. These guidelines cover multiple aspects of the production of the inventory: inventory management, inventory planning and preparation, quality assurance and quality control (QA/QC) processes, communication and error management. The guidelines are a living document that is updated as required.</w:t>
      </w:r>
    </w:p>
    <w:p w14:paraId="53FD4FE6" w14:textId="77777777" w:rsidR="006611EE" w:rsidRPr="00261B7A" w:rsidRDefault="006611EE" w:rsidP="006611EE">
      <w:pPr>
        <w:pStyle w:val="Heading4"/>
      </w:pPr>
      <w:bookmarkStart w:id="67" w:name="inventory-management"/>
      <w:r w:rsidRPr="00261B7A">
        <w:t>Inventory management</w:t>
      </w:r>
    </w:p>
    <w:p w14:paraId="37EF12A2" w14:textId="77777777" w:rsidR="006611EE" w:rsidRPr="00261B7A" w:rsidRDefault="006611EE" w:rsidP="006611EE">
      <w:pPr>
        <w:pStyle w:val="BodyText"/>
      </w:pPr>
      <w:r w:rsidRPr="00261B7A">
        <w:t>New Zealand applies a hybrid (centralised/distributed) approach to the production of the inventory. MfE, as New Zealand’s inventory agency, manages and coordinates the inventory production, compiles and publishes the inventory, and submits it to the UNFCCC secretariat, in a centralised manner. The National Inventory Compiler is based at MfE. A number of designated government departments carry out sector-specific work, which includes obtaining and processing activity data, estimating emissions, preparing sectoral CRF or SEF tables and writing sectoral inventory chapters. Arrangements with these government departments have evolved and continue to do so, as resources and capacity allow, in response to growing understanding of the reporting requirements and when those requirements change.</w:t>
      </w:r>
    </w:p>
    <w:p w14:paraId="69AA8FCA" w14:textId="77777777" w:rsidR="006611EE" w:rsidRPr="00261B7A" w:rsidRDefault="006611EE" w:rsidP="006611EE">
      <w:pPr>
        <w:pStyle w:val="BodyText"/>
        <w:spacing w:after="100"/>
      </w:pPr>
      <w:r w:rsidRPr="00261B7A">
        <w:lastRenderedPageBreak/>
        <w:t>Inventory governance within each sector, as well as sector-level quality control, is managed by the department responsible for the sector. The Reporting Governance Group (RGG) provides cross-agency governance over the climate change reporting, modelling and projections of GHG emissions and removals. The RGG is chaired by the manager of the inventory compilation team (within MfE). Its membership includes representation from the Ministry for Primary Industries (MPI), the Ministry of Business, Innovation and Employment (MBIE) and the Environmental Protection Authority (EPA), as well as observers (Ministry of Foreign Affairs and Trade (MFAT), Government of Tokelau and Stats NZ). The main roles and expectations of the RGG include:</w:t>
      </w:r>
    </w:p>
    <w:p w14:paraId="4F5B2866" w14:textId="77777777" w:rsidR="006611EE" w:rsidRPr="00261B7A" w:rsidRDefault="006611EE" w:rsidP="006611EE">
      <w:pPr>
        <w:pStyle w:val="Bullet"/>
        <w:spacing w:after="100"/>
      </w:pPr>
      <w:r w:rsidRPr="00261B7A">
        <w:t>guiding, conferring and approving (on the basis of advice from technical experts) major inventory recalculations and improvements; GHG emissions projections and their assumptions; analytical systems and tools for climate change reporting; planning and priorities; key messages; and management of stakeholders and risks</w:t>
      </w:r>
    </w:p>
    <w:p w14:paraId="7729C018" w14:textId="77777777" w:rsidR="006611EE" w:rsidRPr="00261B7A" w:rsidRDefault="006611EE" w:rsidP="006611EE">
      <w:pPr>
        <w:pStyle w:val="Bullet"/>
        <w:spacing w:after="100"/>
      </w:pPr>
      <w:r w:rsidRPr="00261B7A">
        <w:t>focusing on the delivery of reporting commitments to meet national and international requirements</w:t>
      </w:r>
    </w:p>
    <w:p w14:paraId="17BB6044" w14:textId="77777777" w:rsidR="006611EE" w:rsidRPr="00261B7A" w:rsidRDefault="006611EE" w:rsidP="006611EE">
      <w:pPr>
        <w:pStyle w:val="Bullet"/>
        <w:spacing w:after="100"/>
      </w:pPr>
      <w:r w:rsidRPr="00261B7A">
        <w:t>providing reporting leadership and guidance to analysts and technical specialists involved in this work</w:t>
      </w:r>
    </w:p>
    <w:p w14:paraId="0A68DAD0" w14:textId="77777777" w:rsidR="006611EE" w:rsidRPr="00261B7A" w:rsidRDefault="006611EE" w:rsidP="006611EE">
      <w:pPr>
        <w:pStyle w:val="Bullet"/>
        <w:spacing w:after="100"/>
      </w:pPr>
      <w:r w:rsidRPr="00261B7A">
        <w:t>sharing information, providing feedback and resolving any differences among agencies that impact on the delivery of the inventory work programme</w:t>
      </w:r>
    </w:p>
    <w:p w14:paraId="739F0353" w14:textId="77777777" w:rsidR="006611EE" w:rsidRPr="00261B7A" w:rsidRDefault="006611EE" w:rsidP="006611EE">
      <w:pPr>
        <w:pStyle w:val="Bullet"/>
      </w:pPr>
      <w:r w:rsidRPr="00261B7A">
        <w:t>monitoring and reporting to a Climate Change Directors Group (a cross-agency group that oversees New Zealand’s international and domestic climate change policy) on the ‘big picture’ of the reporting work programme, direction, progress in delivery and capability to deliver.</w:t>
      </w:r>
    </w:p>
    <w:p w14:paraId="364F75F9" w14:textId="77777777" w:rsidR="006611EE" w:rsidRPr="00261B7A" w:rsidRDefault="006611EE" w:rsidP="006611EE">
      <w:pPr>
        <w:pStyle w:val="BodyText"/>
        <w:spacing w:after="100"/>
      </w:pPr>
      <w:r w:rsidRPr="00261B7A">
        <w:t>In addition to its overall inventory coordination role, MfE compiles estimates for:</w:t>
      </w:r>
    </w:p>
    <w:p w14:paraId="216D9DD0" w14:textId="77777777" w:rsidR="006611EE" w:rsidRPr="00261B7A" w:rsidRDefault="006611EE" w:rsidP="006611EE">
      <w:pPr>
        <w:pStyle w:val="Bullet"/>
        <w:spacing w:after="100"/>
      </w:pPr>
      <w:r w:rsidRPr="00261B7A">
        <w:t>emissions for the IPPU sector (non-CO</w:t>
      </w:r>
      <w:r w:rsidRPr="00261B7A">
        <w:rPr>
          <w:vertAlign w:val="subscript"/>
        </w:rPr>
        <w:t>2</w:t>
      </w:r>
      <w:r w:rsidRPr="00261B7A">
        <w:t xml:space="preserve"> gases through industry surveys and CO</w:t>
      </w:r>
      <w:r w:rsidRPr="00261B7A">
        <w:rPr>
          <w:vertAlign w:val="subscript"/>
        </w:rPr>
        <w:t>2</w:t>
      </w:r>
      <w:r w:rsidRPr="00261B7A">
        <w:t xml:space="preserve"> data provided by MBIE and the EPA)</w:t>
      </w:r>
    </w:p>
    <w:p w14:paraId="054BEB90" w14:textId="77777777" w:rsidR="006611EE" w:rsidRPr="00261B7A" w:rsidRDefault="006611EE" w:rsidP="006611EE">
      <w:pPr>
        <w:pStyle w:val="Bullet"/>
        <w:spacing w:after="100"/>
      </w:pPr>
      <w:r w:rsidRPr="00261B7A">
        <w:t>emissions for the Waste sector</w:t>
      </w:r>
    </w:p>
    <w:p w14:paraId="4C98B33A" w14:textId="77777777" w:rsidR="006611EE" w:rsidRPr="00261B7A" w:rsidRDefault="006611EE" w:rsidP="006611EE">
      <w:pPr>
        <w:pStyle w:val="Bullet"/>
      </w:pPr>
      <w:r w:rsidRPr="00261B7A">
        <w:t>emissions and removals for the LULUCF sector.</w:t>
      </w:r>
    </w:p>
    <w:p w14:paraId="19208F97" w14:textId="77777777" w:rsidR="006611EE" w:rsidRPr="00261B7A" w:rsidRDefault="006611EE" w:rsidP="006611EE">
      <w:pPr>
        <w:pStyle w:val="BodyText"/>
        <w:spacing w:after="100"/>
      </w:pPr>
      <w:r w:rsidRPr="00261B7A">
        <w:t>MfE conducts field measurement programmes and undertakes land use mapping from satellite imagery to estimate the emissions and removals from the LULUCF sector. This is supplemented with data from forestry grant schemes, harvested wood products production and non-CO</w:t>
      </w:r>
      <w:r w:rsidRPr="00261B7A">
        <w:rPr>
          <w:vertAlign w:val="subscript"/>
        </w:rPr>
        <w:t>2</w:t>
      </w:r>
      <w:r w:rsidRPr="00261B7A">
        <w:t xml:space="preserve"> emissions that are collected through surveys of the sector.</w:t>
      </w:r>
    </w:p>
    <w:p w14:paraId="11314D54" w14:textId="77777777" w:rsidR="006611EE" w:rsidRPr="00261B7A" w:rsidRDefault="006611EE" w:rsidP="006611EE">
      <w:pPr>
        <w:pStyle w:val="BodyText"/>
        <w:spacing w:after="100"/>
      </w:pPr>
      <w:r w:rsidRPr="00261B7A">
        <w:t>MfE coordinates the preparation of Tokelau’s inventory data and information with the Tokelau Ministry of Climate, Oceans and Resilience (MiCORE).</w:t>
      </w:r>
    </w:p>
    <w:p w14:paraId="2B704F35" w14:textId="77777777" w:rsidR="006611EE" w:rsidRPr="00261B7A" w:rsidRDefault="006611EE" w:rsidP="006611EE">
      <w:pPr>
        <w:pStyle w:val="BodyText"/>
        <w:spacing w:after="100"/>
      </w:pPr>
      <w:r w:rsidRPr="00261B7A">
        <w:t>MBIE estimates all emissions from the Energy sector and CO</w:t>
      </w:r>
      <w:r w:rsidRPr="00261B7A">
        <w:rPr>
          <w:vertAlign w:val="subscript"/>
        </w:rPr>
        <w:t>2</w:t>
      </w:r>
      <w:r w:rsidRPr="00261B7A">
        <w:t xml:space="preserve"> emissions from the IPPU sector, based in part on New Zealand Emissions Trading Scheme (NZ ETS) returns.</w:t>
      </w:r>
    </w:p>
    <w:p w14:paraId="0E9B66DE" w14:textId="77777777" w:rsidR="006611EE" w:rsidRPr="00261B7A" w:rsidRDefault="006611EE" w:rsidP="006611EE">
      <w:pPr>
        <w:pStyle w:val="BodyText"/>
        <w:spacing w:after="100"/>
      </w:pPr>
      <w:r w:rsidRPr="00261B7A">
        <w:t>MPI estimates emissions from the Agriculture sector. The estimates are underpinned by research and modelling undertaken at New Zealand’s Crown research institutes, universities and private research companies, and survey data collected by the national statistics agency Stats NZ and key sector organisations.</w:t>
      </w:r>
    </w:p>
    <w:p w14:paraId="7AC6187A" w14:textId="77777777" w:rsidR="006611EE" w:rsidRPr="00261B7A" w:rsidRDefault="006611EE" w:rsidP="006611EE">
      <w:pPr>
        <w:pStyle w:val="BodyText"/>
        <w:spacing w:after="100"/>
      </w:pPr>
      <w:r w:rsidRPr="00261B7A">
        <w:t>MFAT provides information on the minimisation of adverse impacts under Article 13.4 of the Kyoto Protocol, as reported in chapter 15.</w:t>
      </w:r>
    </w:p>
    <w:p w14:paraId="1CA60B9D" w14:textId="77777777" w:rsidR="006611EE" w:rsidRPr="00261B7A" w:rsidRDefault="006611EE" w:rsidP="006611EE">
      <w:pPr>
        <w:pStyle w:val="BodyText"/>
      </w:pPr>
      <w:r w:rsidRPr="00261B7A">
        <w:t>MiCORE and the Tokelau National Statistics Office coordinate efforts in activity data collection and data processing to estimate emissions from Tokelau for all inventory sectors.</w:t>
      </w:r>
    </w:p>
    <w:p w14:paraId="2918534A" w14:textId="77777777" w:rsidR="006611EE" w:rsidRPr="00261B7A" w:rsidRDefault="006611EE" w:rsidP="006611EE">
      <w:pPr>
        <w:pStyle w:val="BodyText"/>
      </w:pPr>
      <w:r w:rsidRPr="00261B7A">
        <w:lastRenderedPageBreak/>
        <w:t>The Climate Change Response Act 2002 establishes the requirement for a registry and a registrar. The EPA is the designated agency responsible for implementing and operating New Zealand’s national registry, the New Zealand Emissions Trading Register (the Register). The Register is electronic and accessible via the internet (</w:t>
      </w:r>
      <w:hyperlink r:id="rId39">
        <w:r w:rsidRPr="00261B7A">
          <w:rPr>
            <w:rStyle w:val="Hyperlink"/>
          </w:rPr>
          <w:t>www.emissionsregister.govt.nz</w:t>
        </w:r>
      </w:hyperlink>
      <w:r w:rsidRPr="00261B7A">
        <w:t>). Information on the annual holdings and transactions of transferred and acquired Kyoto Protocol units is provided in chapters 12 and 14.</w:t>
      </w:r>
    </w:p>
    <w:p w14:paraId="253FFBC7" w14:textId="77777777" w:rsidR="006611EE" w:rsidRPr="00261B7A" w:rsidRDefault="006611EE" w:rsidP="006611EE">
      <w:pPr>
        <w:pStyle w:val="BodyText"/>
      </w:pPr>
      <w:r w:rsidRPr="00261B7A">
        <w:t>The above arrangements are presented in figure 1.2.1, which shows the specific responsibilities of different agencies involved in the inventory production as well as their contribution to the submission.</w:t>
      </w:r>
    </w:p>
    <w:p w14:paraId="22AAB61F" w14:textId="77777777" w:rsidR="006611EE" w:rsidRPr="00261B7A" w:rsidRDefault="006611EE" w:rsidP="006611EE">
      <w:pPr>
        <w:pStyle w:val="Figure"/>
        <w:ind w:left="0" w:firstLine="0"/>
      </w:pPr>
      <w:bookmarkStart w:id="68" w:name="_Toc130898879"/>
      <w:bookmarkStart w:id="69" w:name="_Toc131591520"/>
      <w:bookmarkStart w:id="70" w:name="inventory-planning"/>
      <w:bookmarkStart w:id="71" w:name="inventory-planning-and-preparation"/>
      <w:bookmarkEnd w:id="67"/>
      <w:r w:rsidRPr="00261B7A">
        <w:rPr>
          <w:bCs/>
        </w:rPr>
        <w:t xml:space="preserve">Figure 1.2.1 </w:t>
      </w:r>
      <w:r w:rsidRPr="00261B7A">
        <w:rPr>
          <w:bCs/>
        </w:rPr>
        <w:tab/>
        <w:t>New Zealand’s inventory system at a glance: how different agencies are involved</w:t>
      </w:r>
      <w:bookmarkEnd w:id="68"/>
      <w:bookmarkEnd w:id="69"/>
    </w:p>
    <w:p w14:paraId="0A1978EA" w14:textId="77777777" w:rsidR="006611EE" w:rsidRPr="00261B7A" w:rsidRDefault="006611EE" w:rsidP="006611EE">
      <w:pPr>
        <w:pStyle w:val="BodyText"/>
      </w:pPr>
      <w:r w:rsidRPr="00261B7A">
        <w:object w:dxaOrig="10344" w:dyaOrig="10884" w14:anchorId="12A48B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pt;height:436.5pt" o:ole="">
            <v:imagedata r:id="rId40" o:title=""/>
          </v:shape>
          <o:OLEObject Type="Embed" ProgID="Visio.Drawing.15" ShapeID="_x0000_i1025" DrawAspect="Content" ObjectID="_1742911564" r:id="rId41"/>
        </w:object>
      </w:r>
    </w:p>
    <w:p w14:paraId="0E405E96" w14:textId="70EE41EA" w:rsidR="006611EE" w:rsidRPr="00261B7A" w:rsidRDefault="006611EE" w:rsidP="006611EE">
      <w:pPr>
        <w:pStyle w:val="Noteundertable"/>
      </w:pPr>
      <w:r w:rsidRPr="00261B7A">
        <w:rPr>
          <w:b/>
          <w:bCs/>
        </w:rPr>
        <w:t>Note:</w:t>
      </w:r>
      <w:r w:rsidRPr="00261B7A">
        <w:t xml:space="preserve"> </w:t>
      </w:r>
      <w:r w:rsidR="00680A08" w:rsidRPr="00261B7A">
        <w:tab/>
      </w:r>
      <w:r w:rsidRPr="00261B7A">
        <w:t>EPA = Environmental Protection Authority; NZ ETS = New Zealand Emissions Trading Scheme; IPPU = Industrial Processes and Product Use; KP-LULUCF = Land Use, Land-Use Change and Forestry activities under the Kyoto Protocol; LULUCF = Land Use, Land-Use Change and Forestry; MBIE = Ministry of Business, Innovation and Employment; MFAT = Ministry of Foreign Affairs and Trade; MfE = Ministry for the Environment; MiCORE = Ministry of Climate, Oceans and Resilience (Tokelau); MPI = Ministry for Primary Industries; QC = quality control; registry = New Zealand Emissions Trading Register.</w:t>
      </w:r>
    </w:p>
    <w:p w14:paraId="56794F19" w14:textId="77777777" w:rsidR="006611EE" w:rsidRPr="00261B7A" w:rsidRDefault="006611EE" w:rsidP="006611EE">
      <w:pPr>
        <w:pStyle w:val="Heading4"/>
      </w:pPr>
      <w:r w:rsidRPr="00261B7A">
        <w:lastRenderedPageBreak/>
        <w:t>Inventory planning and preparation</w:t>
      </w:r>
    </w:p>
    <w:p w14:paraId="06DC4B2D" w14:textId="77777777" w:rsidR="006611EE" w:rsidRPr="00261B7A" w:rsidRDefault="006611EE" w:rsidP="006611EE">
      <w:pPr>
        <w:pStyle w:val="BodyText"/>
      </w:pPr>
      <w:r w:rsidRPr="00261B7A">
        <w:t>Figure 1.2.2 summarises the inventory planning and preparation process.</w:t>
      </w:r>
    </w:p>
    <w:p w14:paraId="4C3CAFB3" w14:textId="77777777" w:rsidR="006611EE" w:rsidRPr="00261B7A" w:rsidRDefault="006611EE" w:rsidP="006611EE">
      <w:pPr>
        <w:pStyle w:val="Figure"/>
      </w:pPr>
      <w:bookmarkStart w:id="72" w:name="_Toc130898880"/>
      <w:bookmarkStart w:id="73" w:name="_Toc131591521"/>
      <w:r w:rsidRPr="00261B7A">
        <w:rPr>
          <w:bCs/>
        </w:rPr>
        <w:t xml:space="preserve">Figure 1.2.2 </w:t>
      </w:r>
      <w:r w:rsidRPr="00261B7A">
        <w:rPr>
          <w:bCs/>
        </w:rPr>
        <w:tab/>
        <w:t>Summary of New Zealand’s inventory planning and preparation</w:t>
      </w:r>
      <w:bookmarkEnd w:id="72"/>
      <w:bookmarkEnd w:id="73"/>
    </w:p>
    <w:p w14:paraId="4F2D4243" w14:textId="77777777" w:rsidR="006611EE" w:rsidRPr="00261B7A" w:rsidRDefault="006611EE" w:rsidP="006611EE">
      <w:pPr>
        <w:pStyle w:val="BodyText"/>
      </w:pPr>
      <w:r w:rsidRPr="00261B7A">
        <w:rPr>
          <w:noProof/>
        </w:rPr>
        <w:drawing>
          <wp:inline distT="0" distB="0" distL="0" distR="0" wp14:anchorId="066B5B1D" wp14:editId="5F9313D1">
            <wp:extent cx="5400675" cy="6401435"/>
            <wp:effectExtent l="0" t="0" r="9525" b="0"/>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675" cy="6401435"/>
                    </a:xfrm>
                    <a:prstGeom prst="rect">
                      <a:avLst/>
                    </a:prstGeom>
                    <a:noFill/>
                    <a:ln>
                      <a:noFill/>
                    </a:ln>
                  </pic:spPr>
                </pic:pic>
              </a:graphicData>
            </a:graphic>
          </wp:inline>
        </w:drawing>
      </w:r>
    </w:p>
    <w:p w14:paraId="1653F52F" w14:textId="77777777" w:rsidR="006611EE" w:rsidRPr="00261B7A" w:rsidRDefault="006611EE" w:rsidP="006611EE">
      <w:pPr>
        <w:pStyle w:val="Noteundertable"/>
      </w:pPr>
      <w:r w:rsidRPr="00261B7A">
        <w:rPr>
          <w:b/>
          <w:bCs/>
        </w:rPr>
        <w:t>Note:</w:t>
      </w:r>
      <w:r w:rsidRPr="00261B7A">
        <w:t xml:space="preserve"> </w:t>
      </w:r>
      <w:r w:rsidRPr="00261B7A">
        <w:tab/>
        <w:t>CRF = common reporting format; NIR = National Inventory Report; PR = peer review; QC = quality control.</w:t>
      </w:r>
    </w:p>
    <w:p w14:paraId="2DF1D4AE" w14:textId="77777777" w:rsidR="006611EE" w:rsidRPr="00261B7A" w:rsidRDefault="006611EE" w:rsidP="006611EE">
      <w:pPr>
        <w:pStyle w:val="Heading5"/>
      </w:pPr>
      <w:r w:rsidRPr="00261B7A">
        <w:t>Inventory planning</w:t>
      </w:r>
    </w:p>
    <w:p w14:paraId="3178F16D" w14:textId="77777777" w:rsidR="006611EE" w:rsidRPr="00261B7A" w:rsidRDefault="006611EE" w:rsidP="006611EE">
      <w:pPr>
        <w:pStyle w:val="BodyText"/>
      </w:pPr>
      <w:r w:rsidRPr="00261B7A">
        <w:t>Inventory planning is a two-phase process. The first phase, sectoral planning, involves planning for the inventory compilation at the sector level. This includes planning for technical projects, actions and procedures that are specific to each sector. The second phase, national compilation and publication planning, involves planning for the cross-sectoral compilation.</w:t>
      </w:r>
    </w:p>
    <w:p w14:paraId="07D2B0C0" w14:textId="77777777" w:rsidR="006611EE" w:rsidRPr="00261B7A" w:rsidRDefault="006611EE" w:rsidP="0061651C">
      <w:pPr>
        <w:pStyle w:val="BodyText"/>
        <w:spacing w:after="100"/>
      </w:pPr>
      <w:r w:rsidRPr="00261B7A">
        <w:lastRenderedPageBreak/>
        <w:t>Once the sectoral planning is complete, the plans are coordinated between the agencies and adjustments are made as necessary. This usually happens through a lessons learned workshop and a production planning workshop. The lessons learned workshop is dedicated to analysing what worked well and what did not in the previous inventory cycle. During the production planning workshop, the following are discussed and agreed:</w:t>
      </w:r>
    </w:p>
    <w:p w14:paraId="38D37A89" w14:textId="77777777" w:rsidR="006611EE" w:rsidRPr="00261B7A" w:rsidRDefault="006611EE" w:rsidP="0061651C">
      <w:pPr>
        <w:pStyle w:val="Bullet"/>
        <w:spacing w:after="100"/>
      </w:pPr>
      <w:r w:rsidRPr="00261B7A">
        <w:t>inventory deliverables</w:t>
      </w:r>
    </w:p>
    <w:p w14:paraId="2410A9DF" w14:textId="77777777" w:rsidR="006611EE" w:rsidRPr="00261B7A" w:rsidRDefault="006611EE" w:rsidP="0061651C">
      <w:pPr>
        <w:pStyle w:val="Bullet"/>
        <w:spacing w:after="100"/>
      </w:pPr>
      <w:r w:rsidRPr="00261B7A">
        <w:t>QC deliverables</w:t>
      </w:r>
    </w:p>
    <w:p w14:paraId="2E518A28" w14:textId="77777777" w:rsidR="006611EE" w:rsidRPr="00261B7A" w:rsidRDefault="006611EE" w:rsidP="0061651C">
      <w:pPr>
        <w:pStyle w:val="Bullet"/>
        <w:spacing w:after="100"/>
      </w:pPr>
      <w:r w:rsidRPr="00261B7A">
        <w:t>schedule of major milestones</w:t>
      </w:r>
    </w:p>
    <w:p w14:paraId="092DF893" w14:textId="77777777" w:rsidR="006611EE" w:rsidRPr="00261B7A" w:rsidRDefault="006611EE" w:rsidP="0061651C">
      <w:pPr>
        <w:pStyle w:val="Bullet"/>
        <w:spacing w:after="100"/>
      </w:pPr>
      <w:r w:rsidRPr="00261B7A">
        <w:t>changes to chapter structure</w:t>
      </w:r>
    </w:p>
    <w:p w14:paraId="43A5E34A" w14:textId="77777777" w:rsidR="006611EE" w:rsidRPr="00261B7A" w:rsidRDefault="006611EE" w:rsidP="0061651C">
      <w:pPr>
        <w:pStyle w:val="Bullet"/>
        <w:spacing w:after="100"/>
      </w:pPr>
      <w:r w:rsidRPr="00261B7A">
        <w:t>approach for solving problems during inventory preparation.</w:t>
      </w:r>
    </w:p>
    <w:p w14:paraId="4E0D5716" w14:textId="2DEE41A4" w:rsidR="006611EE" w:rsidRPr="00261B7A" w:rsidRDefault="006611EE" w:rsidP="0061651C">
      <w:pPr>
        <w:pStyle w:val="BodyText"/>
        <w:spacing w:after="100"/>
      </w:pPr>
      <w:r w:rsidRPr="00261B7A">
        <w:t>The second phase of the inventory planning, the national compilation and publication planning, is comprised of two workshops. The first workshop, scheduled towards the end of</w:t>
      </w:r>
      <w:r w:rsidR="00680A08" w:rsidRPr="00261B7A">
        <w:t> </w:t>
      </w:r>
      <w:r w:rsidRPr="00261B7A">
        <w:t>each calendar year, is dedicated to cross-sectoral compilation and publication planning. Participants include MfE’s publication and public liaison teams as well as the inventory production team. Timelines discussed and agreed cover:</w:t>
      </w:r>
    </w:p>
    <w:p w14:paraId="70D2D296" w14:textId="77777777" w:rsidR="006611EE" w:rsidRPr="00261B7A" w:rsidRDefault="006611EE" w:rsidP="0061651C">
      <w:pPr>
        <w:pStyle w:val="Bullet"/>
        <w:spacing w:after="100"/>
      </w:pPr>
      <w:r w:rsidRPr="00261B7A">
        <w:t>national compilation</w:t>
      </w:r>
    </w:p>
    <w:p w14:paraId="62E5BE66" w14:textId="77777777" w:rsidR="006611EE" w:rsidRPr="00261B7A" w:rsidRDefault="006611EE" w:rsidP="0061651C">
      <w:pPr>
        <w:pStyle w:val="Bullet"/>
        <w:spacing w:after="100"/>
      </w:pPr>
      <w:r w:rsidRPr="00261B7A">
        <w:t>publication</w:t>
      </w:r>
    </w:p>
    <w:p w14:paraId="22C63D47" w14:textId="77777777" w:rsidR="006611EE" w:rsidRPr="00261B7A" w:rsidRDefault="006611EE" w:rsidP="0061651C">
      <w:pPr>
        <w:pStyle w:val="Bullet"/>
        <w:spacing w:after="100"/>
      </w:pPr>
      <w:r w:rsidRPr="00261B7A">
        <w:t>public relations.</w:t>
      </w:r>
    </w:p>
    <w:p w14:paraId="2A2987B0" w14:textId="77777777" w:rsidR="006611EE" w:rsidRPr="00261B7A" w:rsidRDefault="006611EE" w:rsidP="0061651C">
      <w:pPr>
        <w:pStyle w:val="BodyText"/>
        <w:spacing w:after="100"/>
      </w:pPr>
      <w:r w:rsidRPr="00261B7A">
        <w:t>Lessons learned are also considered in developing the plan.</w:t>
      </w:r>
    </w:p>
    <w:p w14:paraId="16473BF0" w14:textId="17577879" w:rsidR="006611EE" w:rsidRPr="00261B7A" w:rsidRDefault="006611EE" w:rsidP="0061651C">
      <w:pPr>
        <w:pStyle w:val="BodyText"/>
        <w:spacing w:after="100"/>
      </w:pPr>
      <w:r w:rsidRPr="00261B7A">
        <w:t>The second workshop in the second phase of the inventory planning is dedicated to key messages for the inventory, which is an integral part of the cross-sectoral compilation. The</w:t>
      </w:r>
      <w:r w:rsidR="003970F7" w:rsidRPr="00261B7A">
        <w:t> </w:t>
      </w:r>
      <w:r w:rsidRPr="00261B7A">
        <w:t>workshop’s output is the set of key inventory messages agreed among the sector leads, National Inventory Compiler and primary peer reviewers. The key messages are used for both the NIR and the inventory summary on MfE’s website, which presents a brief description of the</w:t>
      </w:r>
      <w:r w:rsidR="003970F7" w:rsidRPr="00261B7A">
        <w:t> </w:t>
      </w:r>
      <w:r w:rsidRPr="00261B7A">
        <w:t>inventory findings.</w:t>
      </w:r>
    </w:p>
    <w:p w14:paraId="45D3273A" w14:textId="77777777" w:rsidR="006611EE" w:rsidRPr="00261B7A" w:rsidRDefault="006611EE" w:rsidP="0061651C">
      <w:pPr>
        <w:pStyle w:val="BodyText"/>
        <w:spacing w:after="100"/>
      </w:pPr>
      <w:r w:rsidRPr="00261B7A">
        <w:t>The inventory planning process for Tokelau is governed by a Memorandum of Understanding between New Zealand and Tokelau. For further information, see chapter 8.</w:t>
      </w:r>
    </w:p>
    <w:p w14:paraId="5094A905" w14:textId="77777777" w:rsidR="006611EE" w:rsidRPr="00261B7A" w:rsidRDefault="006611EE" w:rsidP="006611EE">
      <w:pPr>
        <w:pStyle w:val="Heading5"/>
      </w:pPr>
      <w:bookmarkStart w:id="74" w:name="inventory-preparation"/>
      <w:bookmarkEnd w:id="70"/>
      <w:r w:rsidRPr="00261B7A">
        <w:t>Inventory preparation</w:t>
      </w:r>
    </w:p>
    <w:p w14:paraId="7225138F" w14:textId="77777777" w:rsidR="006611EE" w:rsidRPr="00261B7A" w:rsidRDefault="006611EE" w:rsidP="0061651C">
      <w:pPr>
        <w:pStyle w:val="BodyText"/>
        <w:spacing w:before="100" w:after="100"/>
      </w:pPr>
      <w:r w:rsidRPr="00261B7A">
        <w:t>The inventory preparation cycle has three phases: data collection and preliminary processing, final data processing and chapter preparation, and the national inventory compilation.</w:t>
      </w:r>
    </w:p>
    <w:p w14:paraId="136C40A0" w14:textId="77777777" w:rsidR="006611EE" w:rsidRPr="00261B7A" w:rsidRDefault="006611EE" w:rsidP="0061651C">
      <w:pPr>
        <w:pStyle w:val="BodyText"/>
        <w:spacing w:before="100" w:after="100"/>
      </w:pPr>
      <w:r w:rsidRPr="00261B7A">
        <w:t>The first phase, data collection and preliminary processing (June to October), includes data cleansing, data checks and preliminary formatting of data for further use. This phase may also include analysing potential improvements and related recalculations involved in the inventory.</w:t>
      </w:r>
    </w:p>
    <w:p w14:paraId="3AF7EE5A" w14:textId="77777777" w:rsidR="006611EE" w:rsidRPr="00261B7A" w:rsidRDefault="006611EE" w:rsidP="0061651C">
      <w:pPr>
        <w:pStyle w:val="BodyText"/>
        <w:spacing w:before="100" w:after="100"/>
      </w:pPr>
      <w:r w:rsidRPr="00261B7A">
        <w:rPr>
          <w:spacing w:val="-2"/>
        </w:rPr>
        <w:t>The second phase of the inventory preparation (October to January) includes final data processing</w:t>
      </w:r>
      <w:r w:rsidRPr="00261B7A">
        <w:t xml:space="preserve"> and drafting of sector chapters. During this phase, emissions estimates are finalised, final data quality control and verification are performed, data are loaded into the CRF Reporter and sector chapters are updated, reviewed and approved.</w:t>
      </w:r>
    </w:p>
    <w:p w14:paraId="547FBD53" w14:textId="77777777" w:rsidR="006611EE" w:rsidRPr="00261B7A" w:rsidRDefault="006611EE" w:rsidP="0061651C">
      <w:pPr>
        <w:pStyle w:val="BodyText"/>
        <w:spacing w:before="100" w:after="100"/>
      </w:pPr>
      <w:r w:rsidRPr="00261B7A">
        <w:t xml:space="preserve">The final phase of the inventory preparation (February to April) includes cross-sector analyses, national inventory compilation and publication, and the production of supplementary material </w:t>
      </w:r>
      <w:r w:rsidRPr="00261B7A">
        <w:rPr>
          <w:spacing w:val="-2"/>
        </w:rPr>
        <w:t>for New Zealand’s Minister of Climate Change and the general public. Since 2020, the inventory</w:t>
      </w:r>
      <w:r w:rsidRPr="00261B7A">
        <w:t xml:space="preserve"> compilation team has been developing and implementing new automated processes for the compilation of some of its cross-sector chapters.</w:t>
      </w:r>
    </w:p>
    <w:p w14:paraId="438EEFB2" w14:textId="77777777" w:rsidR="006611EE" w:rsidRPr="00261B7A" w:rsidRDefault="006611EE" w:rsidP="006611EE">
      <w:pPr>
        <w:pStyle w:val="BodyText"/>
      </w:pPr>
      <w:r w:rsidRPr="00261B7A">
        <w:lastRenderedPageBreak/>
        <w:t>Tokelau follows the same inventory preparation cycle. The inventory data from Tokelau are prepared in November and undergo the same processes as the rest of the inventory.</w:t>
      </w:r>
    </w:p>
    <w:p w14:paraId="5D8E51A2" w14:textId="77777777" w:rsidR="006611EE" w:rsidRPr="00261B7A" w:rsidRDefault="006611EE" w:rsidP="006611EE">
      <w:pPr>
        <w:pStyle w:val="BodyText"/>
      </w:pPr>
      <w:r w:rsidRPr="00261B7A">
        <w:t xml:space="preserve">During the inventory planning and preparation cycles, the National Inventory Compiler, technical lead and inventory project manager have regular meetings with sector leads and experts to ensure that all issues are addressed and the production proceeds as planned. The inventory QC manager also has regular meetings with sector leads to monitor QC processes </w:t>
      </w:r>
      <w:r w:rsidRPr="00261B7A">
        <w:rPr>
          <w:spacing w:val="-2"/>
        </w:rPr>
        <w:t>and procedures that are in place to ensure the quality of the final product meets the Convention</w:t>
      </w:r>
      <w:r w:rsidRPr="00261B7A">
        <w:t xml:space="preserve"> standards and the QC deliverables are produced according to the agreed plan. The National Inventory Compiler, technical lead and the QC manager provide technical support and advice to the sector leads when required.</w:t>
      </w:r>
    </w:p>
    <w:p w14:paraId="37DEA91D" w14:textId="77777777" w:rsidR="006611EE" w:rsidRPr="00261B7A" w:rsidRDefault="006611EE" w:rsidP="006611EE">
      <w:pPr>
        <w:pStyle w:val="Heading3"/>
      </w:pPr>
      <w:bookmarkStart w:id="75" w:name="X722f3597d7002e4931c785416b4c553dac341c5"/>
      <w:bookmarkEnd w:id="66"/>
      <w:bookmarkEnd w:id="71"/>
      <w:bookmarkEnd w:id="74"/>
      <w:r w:rsidRPr="00261B7A">
        <w:t>1.2.3</w:t>
      </w:r>
      <w:r w:rsidRPr="00261B7A">
        <w:tab/>
        <w:t>Quality assurance and quality control and verification plan</w:t>
      </w:r>
    </w:p>
    <w:p w14:paraId="740AA1A3" w14:textId="77777777" w:rsidR="006611EE" w:rsidRPr="00261B7A" w:rsidRDefault="006611EE" w:rsidP="006611EE">
      <w:pPr>
        <w:pStyle w:val="BodyText"/>
      </w:pPr>
      <w:r w:rsidRPr="00261B7A">
        <w:t>Quality assurance</w:t>
      </w:r>
      <w:r w:rsidRPr="00261B7A">
        <w:rPr>
          <w:rStyle w:val="FootnoteReference"/>
        </w:rPr>
        <w:footnoteReference w:id="16"/>
      </w:r>
      <w:r w:rsidRPr="00261B7A">
        <w:t xml:space="preserve"> and quality control</w:t>
      </w:r>
      <w:r w:rsidRPr="00261B7A">
        <w:rPr>
          <w:rStyle w:val="FootnoteReference"/>
        </w:rPr>
        <w:footnoteReference w:id="17"/>
      </w:r>
      <w:r w:rsidRPr="00261B7A">
        <w:t xml:space="preserve"> are integral parts of preparing New Zealand’s inventory. MfE’s QA/QC plan, following reporting guidelines under the Convention (UNFCCC, 2006, 2013a), formalises the documentation and archiving of the QA/QC procedures. This plan has been updated over time as the QC tools have been developed and, where possible, automated. Details of the QA/QC activities performed during the compilation of the 2023 submission are discussed in the relevant sections below. Examples of QC checks are provided in the Excel spreadsheets accompanying this submission.</w:t>
      </w:r>
    </w:p>
    <w:p w14:paraId="56E7DDD4" w14:textId="77777777" w:rsidR="006611EE" w:rsidRPr="00261B7A" w:rsidRDefault="006611EE" w:rsidP="006611EE">
      <w:pPr>
        <w:pStyle w:val="Heading4"/>
      </w:pPr>
      <w:bookmarkStart w:id="76" w:name="quality-control"/>
      <w:r w:rsidRPr="00261B7A">
        <w:t>Quality control</w:t>
      </w:r>
    </w:p>
    <w:p w14:paraId="1835F259" w14:textId="77777777" w:rsidR="006611EE" w:rsidRPr="00261B7A" w:rsidRDefault="006611EE" w:rsidP="006611EE">
      <w:pPr>
        <w:pStyle w:val="BodyText"/>
      </w:pPr>
      <w:r w:rsidRPr="00261B7A">
        <w:t>The focus of New Zealand’s QC plan is to meet the transparency, accuracy, completeness, consistency and comparability (TACCC) principles while ensuring efficient use of resources, and to mitigate QC-related risks in the inventory planning and preparation process.</w:t>
      </w:r>
    </w:p>
    <w:p w14:paraId="689EFC1F" w14:textId="77777777" w:rsidR="006611EE" w:rsidRPr="00261B7A" w:rsidRDefault="006611EE" w:rsidP="006611EE">
      <w:pPr>
        <w:pStyle w:val="BodyText"/>
      </w:pPr>
      <w:r w:rsidRPr="00261B7A">
        <w:t>The main elements of the plan include:</w:t>
      </w:r>
    </w:p>
    <w:p w14:paraId="363B2F84" w14:textId="77777777" w:rsidR="006611EE" w:rsidRPr="00261B7A" w:rsidRDefault="006611EE" w:rsidP="006611EE">
      <w:pPr>
        <w:pStyle w:val="Bullet"/>
      </w:pPr>
      <w:r w:rsidRPr="00261B7A">
        <w:t>revising the QC deliverables to ensure they are fit for purpose, well supported with relevant templates, and adapted to the changes in the inventory software tools</w:t>
      </w:r>
    </w:p>
    <w:p w14:paraId="179AB744" w14:textId="77777777" w:rsidR="006611EE" w:rsidRPr="00261B7A" w:rsidRDefault="006611EE" w:rsidP="006611EE">
      <w:pPr>
        <w:pStyle w:val="Bullet"/>
      </w:pPr>
      <w:r w:rsidRPr="00261B7A">
        <w:t>reinforcing the error-checking process by providing dedicated personnel and support to the sector leads</w:t>
      </w:r>
    </w:p>
    <w:p w14:paraId="25757D27" w14:textId="77777777" w:rsidR="006611EE" w:rsidRPr="00261B7A" w:rsidRDefault="006611EE" w:rsidP="006611EE">
      <w:pPr>
        <w:pStyle w:val="Bullet"/>
      </w:pPr>
      <w:r w:rsidRPr="00261B7A">
        <w:t>applying automated inventory tools, where available, to minimise the number of errors during data transfers</w:t>
      </w:r>
    </w:p>
    <w:p w14:paraId="274F05A7" w14:textId="77777777" w:rsidR="006611EE" w:rsidRPr="00261B7A" w:rsidRDefault="006611EE" w:rsidP="006611EE">
      <w:pPr>
        <w:pStyle w:val="Bullet"/>
      </w:pPr>
      <w:r w:rsidRPr="00261B7A">
        <w:t>adjusting QC tools to accommodate any changes in the CRF Reporter software that have been introduced since the previous submission</w:t>
      </w:r>
    </w:p>
    <w:p w14:paraId="1D98B242" w14:textId="77777777" w:rsidR="006611EE" w:rsidRPr="00261B7A" w:rsidRDefault="006611EE" w:rsidP="006611EE">
      <w:pPr>
        <w:pStyle w:val="Bullet"/>
      </w:pPr>
      <w:r w:rsidRPr="00261B7A">
        <w:t>performing CRF data integrity checks and adhering to the reporting guidelines once data compilation in each sector is complete</w:t>
      </w:r>
    </w:p>
    <w:p w14:paraId="05FB589C" w14:textId="77777777" w:rsidR="006611EE" w:rsidRPr="00261B7A" w:rsidRDefault="006611EE" w:rsidP="0061651C">
      <w:pPr>
        <w:pStyle w:val="Bullet"/>
      </w:pPr>
      <w:r w:rsidRPr="00261B7A">
        <w:t>ensuring the chapters in the inventory and their structure demonstrate transparency of the methods and incorporate suggestions from previous inventory reviews.</w:t>
      </w:r>
    </w:p>
    <w:p w14:paraId="168308DB" w14:textId="77777777" w:rsidR="006611EE" w:rsidRPr="00261B7A" w:rsidRDefault="006611EE" w:rsidP="006611EE">
      <w:pPr>
        <w:pStyle w:val="BodyText"/>
      </w:pPr>
      <w:r w:rsidRPr="00261B7A">
        <w:lastRenderedPageBreak/>
        <w:t>Completion of the IPCC 2006 Tier 1 QC check sheets for each sector is the responsibility of the sector leads (see table 1.2.1 for a list of the responsible agencies). The Tier 1 checks are in line with the 2006 IPCC Guidelines (IPCC, 2006). Wherever possible, manual checking is replaced by, or supplemented with, automated checks.</w:t>
      </w:r>
    </w:p>
    <w:p w14:paraId="3BF7652B" w14:textId="77777777" w:rsidR="006611EE" w:rsidRPr="00261B7A" w:rsidRDefault="006611EE" w:rsidP="006611EE">
      <w:pPr>
        <w:pStyle w:val="BodyText"/>
      </w:pPr>
      <w:r w:rsidRPr="00261B7A">
        <w:t xml:space="preserve">The sectoral contributions to the inventory – that is, sector chapters and data preparation </w:t>
      </w:r>
      <w:r w:rsidRPr="00261B7A">
        <w:br/>
        <w:t>– and Tier 1 QC checks are signed off by the responsible agency before final approval of the inventory by the national inventory agency (MfE) and submission to the UNFCCC secretariat.</w:t>
      </w:r>
    </w:p>
    <w:p w14:paraId="1CF0F186" w14:textId="77777777" w:rsidR="006611EE" w:rsidRPr="00261B7A" w:rsidRDefault="006611EE" w:rsidP="006611EE">
      <w:pPr>
        <w:pStyle w:val="BodyText"/>
      </w:pPr>
      <w:r w:rsidRPr="00261B7A">
        <w:t>MfE uses the QC-checking procedures included in the CRF Reporter to ensure the data submitted to the UNFCCC secretariat are complete. In addition, data in the CRF tables are checked for anomalies, errors and omissions.</w:t>
      </w:r>
    </w:p>
    <w:p w14:paraId="626E5F6B" w14:textId="77777777" w:rsidR="006611EE" w:rsidRPr="00261B7A" w:rsidRDefault="006611EE" w:rsidP="006611EE">
      <w:pPr>
        <w:pStyle w:val="BodyText"/>
      </w:pPr>
      <w:r w:rsidRPr="00261B7A">
        <w:t xml:space="preserve">After the CRF data is compiled in each inventory sector, MfE personnel review the CRF data for </w:t>
      </w:r>
      <w:r w:rsidRPr="00261B7A">
        <w:rPr>
          <w:spacing w:val="-2"/>
        </w:rPr>
        <w:t>each sector and category for data integrity and time-series consistency before sector finalisatio</w:t>
      </w:r>
      <w:r w:rsidRPr="00261B7A">
        <w:t>n. The purpose of this review is to ensure that the CRF Reporter does not contain blank entries in the reported categories, and that all instances of using the ‘IE’ (included elsewhere) and ‘NE’ (not estimated) notation keys for GHG emissions, as well as large variations in the implied emission factors, have been explained. The results of these checks are provided to the sector leads so they could make any corrections and include the relevant references and explanations, if required, in order to finalise the CRF data for each inventory sector.</w:t>
      </w:r>
    </w:p>
    <w:p w14:paraId="3F4F7F7C" w14:textId="77777777" w:rsidR="006611EE" w:rsidRPr="00261B7A" w:rsidRDefault="006611EE" w:rsidP="006611EE">
      <w:pPr>
        <w:pStyle w:val="BodyText"/>
      </w:pPr>
      <w:r w:rsidRPr="00261B7A">
        <w:t>Annex 6 contains details of the QA/QC processes applied during the preparation of the inventory.</w:t>
      </w:r>
    </w:p>
    <w:p w14:paraId="67DA9C4C" w14:textId="77777777" w:rsidR="006611EE" w:rsidRPr="00261B7A" w:rsidRDefault="006611EE" w:rsidP="006611EE">
      <w:pPr>
        <w:pStyle w:val="Table"/>
      </w:pPr>
      <w:bookmarkStart w:id="77" w:name="_Toc130898913"/>
      <w:bookmarkStart w:id="78" w:name="_Toc131591309"/>
      <w:r w:rsidRPr="00261B7A">
        <w:t xml:space="preserve">Table 1.2.1 </w:t>
      </w:r>
      <w:r w:rsidRPr="00261B7A">
        <w:tab/>
        <w:t>Agency responsible for each sector</w:t>
      </w:r>
      <w:bookmarkEnd w:id="77"/>
      <w:bookmarkEnd w:id="78"/>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371"/>
        <w:gridCol w:w="5134"/>
      </w:tblGrid>
      <w:tr w:rsidR="006611EE" w:rsidRPr="00261B7A" w14:paraId="4BF3F938" w14:textId="77777777" w:rsidTr="000F09B5">
        <w:trPr>
          <w:tblHeader/>
        </w:trPr>
        <w:tc>
          <w:tcPr>
            <w:tcW w:w="0" w:type="auto"/>
            <w:shd w:val="clear" w:color="auto" w:fill="1B556B"/>
            <w:tcMar>
              <w:top w:w="0" w:type="dxa"/>
              <w:left w:w="108" w:type="dxa"/>
              <w:bottom w:w="0" w:type="dxa"/>
              <w:right w:w="108" w:type="dxa"/>
            </w:tcMar>
          </w:tcPr>
          <w:p w14:paraId="48AB1129" w14:textId="77777777" w:rsidR="006611EE" w:rsidRPr="00261B7A" w:rsidRDefault="006611EE" w:rsidP="0061651C">
            <w:pPr>
              <w:pStyle w:val="TableText"/>
              <w:spacing w:before="40" w:after="40"/>
              <w:rPr>
                <w:b/>
                <w:bCs/>
                <w:color w:val="FFFFFF" w:themeColor="background1"/>
              </w:rPr>
            </w:pPr>
            <w:r w:rsidRPr="00261B7A">
              <w:rPr>
                <w:rFonts w:eastAsia="Calibri"/>
                <w:b/>
                <w:bCs/>
                <w:color w:val="FFFFFF" w:themeColor="background1"/>
              </w:rPr>
              <w:t>Responsibility</w:t>
            </w:r>
          </w:p>
        </w:tc>
        <w:tc>
          <w:tcPr>
            <w:tcW w:w="0" w:type="auto"/>
            <w:shd w:val="clear" w:color="auto" w:fill="1B556B"/>
            <w:tcMar>
              <w:top w:w="0" w:type="dxa"/>
              <w:left w:w="108" w:type="dxa"/>
              <w:bottom w:w="0" w:type="dxa"/>
              <w:right w:w="108" w:type="dxa"/>
            </w:tcMar>
          </w:tcPr>
          <w:p w14:paraId="65BE2DE8" w14:textId="77777777" w:rsidR="006611EE" w:rsidRPr="00261B7A" w:rsidRDefault="006611EE" w:rsidP="0061651C">
            <w:pPr>
              <w:pStyle w:val="TableText"/>
              <w:spacing w:before="40" w:after="40"/>
              <w:rPr>
                <w:b/>
                <w:bCs/>
                <w:color w:val="FFFFFF" w:themeColor="background1"/>
              </w:rPr>
            </w:pPr>
            <w:r w:rsidRPr="00261B7A">
              <w:rPr>
                <w:rFonts w:eastAsia="Calibri"/>
                <w:b/>
                <w:bCs/>
                <w:color w:val="FFFFFF" w:themeColor="background1"/>
              </w:rPr>
              <w:t>Responsible New Zealand agency</w:t>
            </w:r>
          </w:p>
        </w:tc>
      </w:tr>
      <w:tr w:rsidR="006611EE" w:rsidRPr="00261B7A" w14:paraId="69E70CE1" w14:textId="77777777" w:rsidTr="000F09B5">
        <w:tc>
          <w:tcPr>
            <w:tcW w:w="0" w:type="auto"/>
            <w:shd w:val="clear" w:color="auto" w:fill="FFFFFF"/>
            <w:tcMar>
              <w:top w:w="0" w:type="dxa"/>
              <w:left w:w="108" w:type="dxa"/>
              <w:bottom w:w="0" w:type="dxa"/>
              <w:right w:w="108" w:type="dxa"/>
            </w:tcMar>
          </w:tcPr>
          <w:p w14:paraId="69ACAE4F" w14:textId="77777777" w:rsidR="006611EE" w:rsidRPr="00261B7A" w:rsidRDefault="006611EE" w:rsidP="0061651C">
            <w:pPr>
              <w:pStyle w:val="TableText"/>
              <w:spacing w:before="40" w:after="40"/>
            </w:pPr>
            <w:r w:rsidRPr="00261B7A">
              <w:rPr>
                <w:rFonts w:eastAsia="Calibri"/>
                <w:color w:val="000000"/>
              </w:rPr>
              <w:t>Energy sector</w:t>
            </w:r>
          </w:p>
        </w:tc>
        <w:tc>
          <w:tcPr>
            <w:tcW w:w="0" w:type="auto"/>
            <w:shd w:val="clear" w:color="auto" w:fill="FFFFFF"/>
            <w:tcMar>
              <w:top w:w="0" w:type="dxa"/>
              <w:left w:w="108" w:type="dxa"/>
              <w:bottom w:w="0" w:type="dxa"/>
              <w:right w:w="108" w:type="dxa"/>
            </w:tcMar>
          </w:tcPr>
          <w:p w14:paraId="20A80C28" w14:textId="77777777" w:rsidR="006611EE" w:rsidRPr="00261B7A" w:rsidRDefault="006611EE" w:rsidP="0061651C">
            <w:pPr>
              <w:pStyle w:val="TableText"/>
              <w:spacing w:before="40" w:after="40"/>
            </w:pPr>
            <w:r w:rsidRPr="00261B7A">
              <w:rPr>
                <w:rFonts w:eastAsia="Calibri"/>
                <w:color w:val="000000"/>
              </w:rPr>
              <w:t>Ministry of Business, Innovation and Employment</w:t>
            </w:r>
          </w:p>
        </w:tc>
      </w:tr>
      <w:tr w:rsidR="006611EE" w:rsidRPr="00261B7A" w14:paraId="5CCF5E99" w14:textId="77777777" w:rsidTr="000F09B5">
        <w:tc>
          <w:tcPr>
            <w:tcW w:w="0" w:type="auto"/>
            <w:shd w:val="clear" w:color="auto" w:fill="FFFFFF"/>
            <w:tcMar>
              <w:top w:w="0" w:type="dxa"/>
              <w:left w:w="108" w:type="dxa"/>
              <w:bottom w:w="0" w:type="dxa"/>
              <w:right w:w="108" w:type="dxa"/>
            </w:tcMar>
          </w:tcPr>
          <w:p w14:paraId="5FE61656" w14:textId="77777777" w:rsidR="006611EE" w:rsidRPr="00261B7A" w:rsidRDefault="006611EE" w:rsidP="0061651C">
            <w:pPr>
              <w:pStyle w:val="TableText"/>
              <w:spacing w:before="40" w:after="40"/>
            </w:pPr>
            <w:r w:rsidRPr="00261B7A">
              <w:rPr>
                <w:rFonts w:eastAsia="Calibri"/>
                <w:color w:val="000000"/>
              </w:rPr>
              <w:t>IPPU sector</w:t>
            </w:r>
          </w:p>
        </w:tc>
        <w:tc>
          <w:tcPr>
            <w:tcW w:w="0" w:type="auto"/>
            <w:shd w:val="clear" w:color="auto" w:fill="FFFFFF"/>
            <w:tcMar>
              <w:top w:w="0" w:type="dxa"/>
              <w:left w:w="108" w:type="dxa"/>
              <w:bottom w:w="0" w:type="dxa"/>
              <w:right w:w="108" w:type="dxa"/>
            </w:tcMar>
          </w:tcPr>
          <w:p w14:paraId="18F3D216" w14:textId="77777777" w:rsidR="006611EE" w:rsidRPr="00261B7A" w:rsidRDefault="006611EE" w:rsidP="0061651C">
            <w:pPr>
              <w:pStyle w:val="TableText"/>
              <w:spacing w:before="40" w:after="40"/>
            </w:pPr>
            <w:r w:rsidRPr="00261B7A">
              <w:rPr>
                <w:rFonts w:eastAsia="Calibri"/>
                <w:color w:val="000000"/>
              </w:rPr>
              <w:t>Ministry for the Environment</w:t>
            </w:r>
          </w:p>
        </w:tc>
      </w:tr>
      <w:tr w:rsidR="006611EE" w:rsidRPr="00261B7A" w14:paraId="6797C41F" w14:textId="77777777" w:rsidTr="000F09B5">
        <w:tc>
          <w:tcPr>
            <w:tcW w:w="0" w:type="auto"/>
            <w:shd w:val="clear" w:color="auto" w:fill="FFFFFF"/>
            <w:tcMar>
              <w:top w:w="0" w:type="dxa"/>
              <w:left w:w="108" w:type="dxa"/>
              <w:bottom w:w="0" w:type="dxa"/>
              <w:right w:w="108" w:type="dxa"/>
            </w:tcMar>
          </w:tcPr>
          <w:p w14:paraId="1A6CEDCC" w14:textId="77777777" w:rsidR="006611EE" w:rsidRPr="00261B7A" w:rsidRDefault="006611EE" w:rsidP="0061651C">
            <w:pPr>
              <w:pStyle w:val="TableText"/>
              <w:spacing w:before="40" w:after="40"/>
            </w:pPr>
            <w:r w:rsidRPr="00261B7A">
              <w:rPr>
                <w:rFonts w:eastAsia="Calibri"/>
                <w:color w:val="000000"/>
              </w:rPr>
              <w:t>LULUCF sector and KP-LULUCF</w:t>
            </w:r>
          </w:p>
        </w:tc>
        <w:tc>
          <w:tcPr>
            <w:tcW w:w="0" w:type="auto"/>
            <w:shd w:val="clear" w:color="auto" w:fill="FFFFFF"/>
            <w:tcMar>
              <w:top w:w="0" w:type="dxa"/>
              <w:left w:w="108" w:type="dxa"/>
              <w:bottom w:w="0" w:type="dxa"/>
              <w:right w:w="108" w:type="dxa"/>
            </w:tcMar>
          </w:tcPr>
          <w:p w14:paraId="5FEB7942" w14:textId="77777777" w:rsidR="006611EE" w:rsidRPr="00261B7A" w:rsidRDefault="006611EE" w:rsidP="0061651C">
            <w:pPr>
              <w:pStyle w:val="TableText"/>
              <w:spacing w:before="40" w:after="40"/>
            </w:pPr>
            <w:r w:rsidRPr="00261B7A">
              <w:rPr>
                <w:rFonts w:eastAsia="Calibri"/>
                <w:color w:val="000000"/>
              </w:rPr>
              <w:t>Ministry for the Environment</w:t>
            </w:r>
          </w:p>
        </w:tc>
      </w:tr>
      <w:tr w:rsidR="006611EE" w:rsidRPr="00261B7A" w14:paraId="07F66086" w14:textId="77777777" w:rsidTr="000F09B5">
        <w:tc>
          <w:tcPr>
            <w:tcW w:w="0" w:type="auto"/>
            <w:shd w:val="clear" w:color="auto" w:fill="FFFFFF"/>
            <w:tcMar>
              <w:top w:w="0" w:type="dxa"/>
              <w:left w:w="108" w:type="dxa"/>
              <w:bottom w:w="0" w:type="dxa"/>
              <w:right w:w="108" w:type="dxa"/>
            </w:tcMar>
          </w:tcPr>
          <w:p w14:paraId="444BCFB9" w14:textId="77777777" w:rsidR="006611EE" w:rsidRPr="00261B7A" w:rsidRDefault="006611EE" w:rsidP="0061651C">
            <w:pPr>
              <w:pStyle w:val="TableText"/>
              <w:spacing w:before="40" w:after="40"/>
            </w:pPr>
            <w:r w:rsidRPr="00261B7A">
              <w:rPr>
                <w:rFonts w:eastAsia="Calibri"/>
                <w:color w:val="000000"/>
              </w:rPr>
              <w:t>Waste sector</w:t>
            </w:r>
          </w:p>
        </w:tc>
        <w:tc>
          <w:tcPr>
            <w:tcW w:w="0" w:type="auto"/>
            <w:shd w:val="clear" w:color="auto" w:fill="FFFFFF"/>
            <w:tcMar>
              <w:top w:w="0" w:type="dxa"/>
              <w:left w:w="108" w:type="dxa"/>
              <w:bottom w:w="0" w:type="dxa"/>
              <w:right w:w="108" w:type="dxa"/>
            </w:tcMar>
          </w:tcPr>
          <w:p w14:paraId="2B6CCCB7" w14:textId="77777777" w:rsidR="006611EE" w:rsidRPr="00261B7A" w:rsidRDefault="006611EE" w:rsidP="0061651C">
            <w:pPr>
              <w:pStyle w:val="TableText"/>
              <w:spacing w:before="40" w:after="40"/>
            </w:pPr>
            <w:r w:rsidRPr="00261B7A">
              <w:rPr>
                <w:rFonts w:eastAsia="Calibri"/>
                <w:color w:val="000000"/>
              </w:rPr>
              <w:t>Ministry for the Environment</w:t>
            </w:r>
          </w:p>
        </w:tc>
      </w:tr>
      <w:tr w:rsidR="006611EE" w:rsidRPr="00261B7A" w14:paraId="0D3BB257" w14:textId="77777777" w:rsidTr="000F09B5">
        <w:tc>
          <w:tcPr>
            <w:tcW w:w="0" w:type="auto"/>
            <w:shd w:val="clear" w:color="auto" w:fill="FFFFFF"/>
            <w:tcMar>
              <w:top w:w="0" w:type="dxa"/>
              <w:left w:w="108" w:type="dxa"/>
              <w:bottom w:w="0" w:type="dxa"/>
              <w:right w:w="108" w:type="dxa"/>
            </w:tcMar>
          </w:tcPr>
          <w:p w14:paraId="11E1B891" w14:textId="77777777" w:rsidR="006611EE" w:rsidRPr="00261B7A" w:rsidRDefault="006611EE" w:rsidP="0061651C">
            <w:pPr>
              <w:pStyle w:val="TableText"/>
              <w:spacing w:before="40" w:after="40"/>
            </w:pPr>
            <w:r w:rsidRPr="00261B7A">
              <w:rPr>
                <w:rFonts w:eastAsia="Calibri"/>
                <w:color w:val="000000"/>
              </w:rPr>
              <w:t>Tokelau</w:t>
            </w:r>
          </w:p>
        </w:tc>
        <w:tc>
          <w:tcPr>
            <w:tcW w:w="0" w:type="auto"/>
            <w:shd w:val="clear" w:color="auto" w:fill="FFFFFF"/>
            <w:tcMar>
              <w:top w:w="0" w:type="dxa"/>
              <w:left w:w="108" w:type="dxa"/>
              <w:bottom w:w="0" w:type="dxa"/>
              <w:right w:w="108" w:type="dxa"/>
            </w:tcMar>
          </w:tcPr>
          <w:p w14:paraId="1B725BE2" w14:textId="77777777" w:rsidR="006611EE" w:rsidRPr="00261B7A" w:rsidRDefault="006611EE" w:rsidP="0061651C">
            <w:pPr>
              <w:pStyle w:val="TableText"/>
              <w:spacing w:before="40" w:after="40"/>
            </w:pPr>
            <w:r w:rsidRPr="00261B7A">
              <w:rPr>
                <w:rFonts w:eastAsia="Calibri"/>
                <w:color w:val="000000"/>
              </w:rPr>
              <w:t>Ministry for the Environment, Tokelau Government</w:t>
            </w:r>
          </w:p>
        </w:tc>
      </w:tr>
      <w:tr w:rsidR="006611EE" w:rsidRPr="00261B7A" w14:paraId="056D3E8D" w14:textId="77777777" w:rsidTr="000F09B5">
        <w:tc>
          <w:tcPr>
            <w:tcW w:w="0" w:type="auto"/>
            <w:shd w:val="clear" w:color="auto" w:fill="FFFFFF"/>
            <w:tcMar>
              <w:top w:w="0" w:type="dxa"/>
              <w:left w:w="108" w:type="dxa"/>
              <w:bottom w:w="0" w:type="dxa"/>
              <w:right w:w="108" w:type="dxa"/>
            </w:tcMar>
          </w:tcPr>
          <w:p w14:paraId="463560CA" w14:textId="77777777" w:rsidR="006611EE" w:rsidRPr="00261B7A" w:rsidRDefault="006611EE" w:rsidP="0061651C">
            <w:pPr>
              <w:pStyle w:val="TableText"/>
              <w:spacing w:before="40" w:after="40"/>
            </w:pPr>
            <w:r w:rsidRPr="00261B7A">
              <w:rPr>
                <w:rFonts w:eastAsia="Calibri"/>
                <w:color w:val="000000"/>
              </w:rPr>
              <w:t>Agriculture sector</w:t>
            </w:r>
          </w:p>
        </w:tc>
        <w:tc>
          <w:tcPr>
            <w:tcW w:w="0" w:type="auto"/>
            <w:shd w:val="clear" w:color="auto" w:fill="FFFFFF"/>
            <w:tcMar>
              <w:top w:w="0" w:type="dxa"/>
              <w:left w:w="108" w:type="dxa"/>
              <w:bottom w:w="0" w:type="dxa"/>
              <w:right w:w="108" w:type="dxa"/>
            </w:tcMar>
          </w:tcPr>
          <w:p w14:paraId="08CEED2B" w14:textId="77777777" w:rsidR="006611EE" w:rsidRPr="00261B7A" w:rsidRDefault="006611EE" w:rsidP="0061651C">
            <w:pPr>
              <w:pStyle w:val="TableText"/>
              <w:spacing w:before="40" w:after="40"/>
            </w:pPr>
            <w:r w:rsidRPr="00261B7A">
              <w:rPr>
                <w:rFonts w:eastAsia="Calibri"/>
                <w:color w:val="000000"/>
              </w:rPr>
              <w:t>Ministry for Primary Industries</w:t>
            </w:r>
          </w:p>
        </w:tc>
      </w:tr>
      <w:tr w:rsidR="006611EE" w:rsidRPr="00261B7A" w14:paraId="3837DB4E" w14:textId="77777777" w:rsidTr="000F09B5">
        <w:tc>
          <w:tcPr>
            <w:tcW w:w="0" w:type="auto"/>
            <w:shd w:val="clear" w:color="auto" w:fill="FFFFFF"/>
            <w:tcMar>
              <w:top w:w="0" w:type="dxa"/>
              <w:left w:w="108" w:type="dxa"/>
              <w:bottom w:w="0" w:type="dxa"/>
              <w:right w:w="108" w:type="dxa"/>
            </w:tcMar>
          </w:tcPr>
          <w:p w14:paraId="4B0555FA" w14:textId="77777777" w:rsidR="006611EE" w:rsidRPr="00261B7A" w:rsidRDefault="006611EE" w:rsidP="0061651C">
            <w:pPr>
              <w:pStyle w:val="TableText"/>
              <w:spacing w:before="40" w:after="40"/>
            </w:pPr>
            <w:r w:rsidRPr="00261B7A">
              <w:rPr>
                <w:rFonts w:eastAsia="Calibri"/>
                <w:color w:val="000000"/>
              </w:rPr>
              <w:t>Registry</w:t>
            </w:r>
          </w:p>
        </w:tc>
        <w:tc>
          <w:tcPr>
            <w:tcW w:w="0" w:type="auto"/>
            <w:shd w:val="clear" w:color="auto" w:fill="FFFFFF"/>
            <w:tcMar>
              <w:top w:w="0" w:type="dxa"/>
              <w:left w:w="108" w:type="dxa"/>
              <w:bottom w:w="0" w:type="dxa"/>
              <w:right w:w="108" w:type="dxa"/>
            </w:tcMar>
          </w:tcPr>
          <w:p w14:paraId="26C03ED9" w14:textId="77777777" w:rsidR="006611EE" w:rsidRPr="00261B7A" w:rsidRDefault="006611EE" w:rsidP="0061651C">
            <w:pPr>
              <w:pStyle w:val="TableText"/>
              <w:spacing w:before="40" w:after="40"/>
            </w:pPr>
            <w:r w:rsidRPr="00261B7A">
              <w:rPr>
                <w:rFonts w:eastAsia="Calibri"/>
                <w:color w:val="000000"/>
              </w:rPr>
              <w:t>Environmental Protection Authority</w:t>
            </w:r>
          </w:p>
        </w:tc>
      </w:tr>
      <w:tr w:rsidR="006611EE" w:rsidRPr="00261B7A" w14:paraId="076BE99E" w14:textId="77777777" w:rsidTr="000F09B5">
        <w:tc>
          <w:tcPr>
            <w:tcW w:w="0" w:type="auto"/>
            <w:shd w:val="clear" w:color="auto" w:fill="FFFFFF"/>
            <w:tcMar>
              <w:top w:w="0" w:type="dxa"/>
              <w:left w:w="108" w:type="dxa"/>
              <w:bottom w:w="0" w:type="dxa"/>
              <w:right w:w="108" w:type="dxa"/>
            </w:tcMar>
          </w:tcPr>
          <w:p w14:paraId="51E51C52" w14:textId="77777777" w:rsidR="006611EE" w:rsidRPr="00261B7A" w:rsidRDefault="006611EE" w:rsidP="0061651C">
            <w:pPr>
              <w:pStyle w:val="TableText"/>
              <w:spacing w:before="40" w:after="40"/>
            </w:pPr>
            <w:r w:rsidRPr="00261B7A">
              <w:rPr>
                <w:rFonts w:eastAsia="Calibri"/>
                <w:color w:val="000000"/>
              </w:rPr>
              <w:t>Minimisation of adverse impacts</w:t>
            </w:r>
          </w:p>
        </w:tc>
        <w:tc>
          <w:tcPr>
            <w:tcW w:w="0" w:type="auto"/>
            <w:shd w:val="clear" w:color="auto" w:fill="FFFFFF"/>
            <w:tcMar>
              <w:top w:w="0" w:type="dxa"/>
              <w:left w:w="108" w:type="dxa"/>
              <w:bottom w:w="0" w:type="dxa"/>
              <w:right w:w="108" w:type="dxa"/>
            </w:tcMar>
          </w:tcPr>
          <w:p w14:paraId="5D7C5F96" w14:textId="77777777" w:rsidR="006611EE" w:rsidRPr="00261B7A" w:rsidRDefault="006611EE" w:rsidP="0061651C">
            <w:pPr>
              <w:pStyle w:val="TableText"/>
              <w:spacing w:before="40" w:after="40"/>
            </w:pPr>
            <w:r w:rsidRPr="00261B7A">
              <w:rPr>
                <w:rFonts w:eastAsia="Calibri"/>
                <w:color w:val="000000"/>
              </w:rPr>
              <w:t>Ministry of Foreign Affairs and Trade </w:t>
            </w:r>
          </w:p>
        </w:tc>
      </w:tr>
      <w:tr w:rsidR="006611EE" w:rsidRPr="00261B7A" w14:paraId="574E49BC" w14:textId="77777777" w:rsidTr="000F09B5">
        <w:tc>
          <w:tcPr>
            <w:tcW w:w="0" w:type="auto"/>
            <w:shd w:val="clear" w:color="auto" w:fill="FFFFFF"/>
            <w:tcMar>
              <w:top w:w="0" w:type="dxa"/>
              <w:left w:w="108" w:type="dxa"/>
              <w:bottom w:w="0" w:type="dxa"/>
              <w:right w:w="108" w:type="dxa"/>
            </w:tcMar>
          </w:tcPr>
          <w:p w14:paraId="51EE09FF" w14:textId="77777777" w:rsidR="006611EE" w:rsidRPr="00261B7A" w:rsidRDefault="006611EE" w:rsidP="0061651C">
            <w:pPr>
              <w:pStyle w:val="TableText"/>
              <w:spacing w:before="40" w:after="40"/>
            </w:pPr>
            <w:r w:rsidRPr="00261B7A">
              <w:rPr>
                <w:rFonts w:eastAsia="Calibri"/>
                <w:color w:val="000000"/>
              </w:rPr>
              <w:t>National inventory agency</w:t>
            </w:r>
          </w:p>
        </w:tc>
        <w:tc>
          <w:tcPr>
            <w:tcW w:w="0" w:type="auto"/>
            <w:shd w:val="clear" w:color="auto" w:fill="FFFFFF"/>
            <w:tcMar>
              <w:top w:w="0" w:type="dxa"/>
              <w:left w:w="108" w:type="dxa"/>
              <w:bottom w:w="0" w:type="dxa"/>
              <w:right w:w="108" w:type="dxa"/>
            </w:tcMar>
          </w:tcPr>
          <w:p w14:paraId="34024CEF" w14:textId="77777777" w:rsidR="006611EE" w:rsidRPr="00261B7A" w:rsidRDefault="006611EE" w:rsidP="0061651C">
            <w:pPr>
              <w:pStyle w:val="TableText"/>
              <w:spacing w:before="40" w:after="40"/>
            </w:pPr>
            <w:r w:rsidRPr="00261B7A">
              <w:rPr>
                <w:rFonts w:eastAsia="Calibri"/>
                <w:color w:val="000000"/>
              </w:rPr>
              <w:t>Ministry for the Environment</w:t>
            </w:r>
          </w:p>
        </w:tc>
      </w:tr>
    </w:tbl>
    <w:p w14:paraId="716F9420" w14:textId="77777777" w:rsidR="006611EE" w:rsidRPr="00261B7A" w:rsidRDefault="006611EE" w:rsidP="006611EE">
      <w:pPr>
        <w:pStyle w:val="BodyText"/>
        <w:spacing w:before="240"/>
      </w:pPr>
      <w:r w:rsidRPr="00261B7A">
        <w:t>The Energy and Agriculture activity data provided by Stats NZ are official national statistics (Tier 1). As such, they are subject to their own rigorous QA/QC procedures.</w:t>
      </w:r>
    </w:p>
    <w:p w14:paraId="60927FDE" w14:textId="77777777" w:rsidR="006611EE" w:rsidRPr="00261B7A" w:rsidRDefault="006611EE" w:rsidP="006611EE">
      <w:pPr>
        <w:pStyle w:val="BodyText"/>
      </w:pPr>
      <w:r w:rsidRPr="00261B7A">
        <w:t>Human population and animal production statistics provided by Stats NZ are also used for estimating emissions from the Waste sector.</w:t>
      </w:r>
    </w:p>
    <w:p w14:paraId="6F404562" w14:textId="77777777" w:rsidR="006611EE" w:rsidRPr="00261B7A" w:rsidRDefault="006611EE" w:rsidP="006611EE">
      <w:pPr>
        <w:pStyle w:val="BodyText"/>
      </w:pPr>
      <w:r w:rsidRPr="00261B7A">
        <w:t>Tokelau’s activity data undergo QC processes at the Tokelau National Statistics Office. Tokelau’s inventory estimates in the CRF undergo QA/QC processes that are similar to those of other inventory sectors.</w:t>
      </w:r>
    </w:p>
    <w:p w14:paraId="0FB2A35C" w14:textId="77777777" w:rsidR="006611EE" w:rsidRPr="00261B7A" w:rsidRDefault="006611EE" w:rsidP="006611EE">
      <w:pPr>
        <w:pStyle w:val="Heading4"/>
      </w:pPr>
      <w:bookmarkStart w:id="79" w:name="quality-assurance"/>
      <w:bookmarkEnd w:id="76"/>
      <w:r w:rsidRPr="00261B7A">
        <w:t>Quality assurance</w:t>
      </w:r>
    </w:p>
    <w:p w14:paraId="5331C37B" w14:textId="77777777" w:rsidR="006611EE" w:rsidRPr="00261B7A" w:rsidRDefault="006611EE" w:rsidP="006611EE">
      <w:pPr>
        <w:pStyle w:val="BodyText"/>
      </w:pPr>
      <w:r w:rsidRPr="00261B7A">
        <w:t xml:space="preserve">New Zealand’s QA system includes prioritisation of improvements, processes around accepting improvements into the inventory, in-depth review of sector inventories or their components every 5 to 10 years, and improving the expertise of key contributors to the </w:t>
      </w:r>
      <w:r w:rsidRPr="00261B7A">
        <w:lastRenderedPageBreak/>
        <w:t>inventory. The government audit agency (Audit New Zealand) makes annual audits of the inventory performance. New Zealand also considers the international inventory reviews performed by the expert review teams under the Convention as an important element of QA. The main aspects of QA are explained in detail below.</w:t>
      </w:r>
    </w:p>
    <w:p w14:paraId="37253554" w14:textId="77777777" w:rsidR="006611EE" w:rsidRPr="00261B7A" w:rsidRDefault="006611EE" w:rsidP="006611EE">
      <w:pPr>
        <w:pStyle w:val="BodyText"/>
      </w:pPr>
      <w:r w:rsidRPr="00261B7A">
        <w:t>All sector leads are encouraged to schedule QA audits of their systems at least every five years.</w:t>
      </w:r>
    </w:p>
    <w:p w14:paraId="297BA3B8" w14:textId="77777777" w:rsidR="006611EE" w:rsidRPr="00261B7A" w:rsidRDefault="006611EE" w:rsidP="006611EE">
      <w:pPr>
        <w:pStyle w:val="BodyText"/>
      </w:pPr>
      <w:r w:rsidRPr="00261B7A">
        <w:t>The Energy sector lead discussed sectoral issues with the Danish inventory team during bilateral meetings in 2017 dedicated to different aspects of the Energy sectoral inventory. Specific issues were: data sources, data collection and verification processes; using NZ ETS data for higher-tier methods in the Energy sector; applying higher-tier methods for road transport; disaggregation of non-road liquid fuel use; and fugitive emissions from fuels. In 2019, an external consultant was contracted to review and develop a QA plan for the Energy sector. Most recommendations from that review have already been implemented, and work continues on addressing the remaining issues.</w:t>
      </w:r>
    </w:p>
    <w:p w14:paraId="07449946" w14:textId="77777777" w:rsidR="006611EE" w:rsidRPr="00261B7A" w:rsidRDefault="006611EE" w:rsidP="006611EE">
      <w:pPr>
        <w:pStyle w:val="BodyText"/>
      </w:pPr>
      <w:r w:rsidRPr="00261B7A">
        <w:t>The Agriculture sector completed a major QA review of its calculation models with an external party in 2013. Since then, other QA activities for Agriculture have included a bilateral review with Australia in 2014, and an external review of equations used to determine metabolisable energy requirements in 2016. For more information, see chapter 5, section 5.1.6.</w:t>
      </w:r>
    </w:p>
    <w:p w14:paraId="6DB8B438" w14:textId="77777777" w:rsidR="006611EE" w:rsidRPr="00261B7A" w:rsidRDefault="006611EE" w:rsidP="006611EE">
      <w:pPr>
        <w:pStyle w:val="Heading5"/>
      </w:pPr>
      <w:bookmarkStart w:id="80" w:name="prioritisation-of-improvements"/>
      <w:r w:rsidRPr="00261B7A">
        <w:t>Prioritisation of improvements</w:t>
      </w:r>
    </w:p>
    <w:p w14:paraId="61E6C579" w14:textId="77777777" w:rsidR="006611EE" w:rsidRPr="00261B7A" w:rsidRDefault="006611EE" w:rsidP="006611EE">
      <w:pPr>
        <w:pStyle w:val="BodyText"/>
      </w:pPr>
      <w:r w:rsidRPr="00261B7A">
        <w:t>Priorities for the development of the inventory are guided by:</w:t>
      </w:r>
    </w:p>
    <w:p w14:paraId="6D3299FB" w14:textId="77777777" w:rsidR="006611EE" w:rsidRPr="00261B7A" w:rsidRDefault="006611EE" w:rsidP="006611EE">
      <w:pPr>
        <w:pStyle w:val="Bullet"/>
      </w:pPr>
      <w:r w:rsidRPr="00261B7A">
        <w:t>the results of key category analyses (level and trend)</w:t>
      </w:r>
    </w:p>
    <w:p w14:paraId="494A2905" w14:textId="77777777" w:rsidR="006611EE" w:rsidRPr="00261B7A" w:rsidRDefault="006611EE" w:rsidP="006611EE">
      <w:pPr>
        <w:pStyle w:val="Bullet"/>
      </w:pPr>
      <w:r w:rsidRPr="00261B7A">
        <w:t>the degree of improvement to be achieved for existing emissions and removal estimates</w:t>
      </w:r>
    </w:p>
    <w:p w14:paraId="3D1481F4" w14:textId="77777777" w:rsidR="006611EE" w:rsidRPr="00261B7A" w:rsidRDefault="006611EE" w:rsidP="006611EE">
      <w:pPr>
        <w:pStyle w:val="Bullet"/>
      </w:pPr>
      <w:r w:rsidRPr="00261B7A">
        <w:t>the availability of resources required to implement the change</w:t>
      </w:r>
    </w:p>
    <w:p w14:paraId="56CA3F03" w14:textId="77777777" w:rsidR="006611EE" w:rsidRPr="00261B7A" w:rsidRDefault="006611EE" w:rsidP="006611EE">
      <w:pPr>
        <w:pStyle w:val="Bullet"/>
      </w:pPr>
      <w:r w:rsidRPr="00261B7A">
        <w:t>recommendations from previous international reviews of the inventory.</w:t>
      </w:r>
    </w:p>
    <w:p w14:paraId="27E039F9" w14:textId="77777777" w:rsidR="006611EE" w:rsidRPr="00261B7A" w:rsidRDefault="006611EE" w:rsidP="006611EE">
      <w:pPr>
        <w:pStyle w:val="BodyText"/>
      </w:pPr>
      <w:r w:rsidRPr="00261B7A">
        <w:t xml:space="preserve">Uncertainties are also considered in prioritising improvements. For example, if a change in a methodological approach may lead to a significant increase in uncertainty of the estimates, </w:t>
      </w:r>
      <w:r w:rsidRPr="00261B7A">
        <w:rPr>
          <w:spacing w:val="-2"/>
        </w:rPr>
        <w:t>then the proposed change may be rejected on the basis of an undesired increase in uncertainty.</w:t>
      </w:r>
      <w:r w:rsidRPr="00261B7A">
        <w:t xml:space="preserve"> Otherwise, if the proposed improvement is not expected to affect the uncertainty significantly or will reduce uncertainty, then the change is likely to be accepted. Sectors are encouraged to develop annual inventory improvement and QA and QC plans to reflect current and future development of the inventory.</w:t>
      </w:r>
    </w:p>
    <w:p w14:paraId="601CBDCD" w14:textId="77777777" w:rsidR="006611EE" w:rsidRPr="00261B7A" w:rsidRDefault="006611EE" w:rsidP="006611EE">
      <w:pPr>
        <w:pStyle w:val="Heading5"/>
      </w:pPr>
      <w:bookmarkStart w:id="81" w:name="Xd4042aa741d773d9c1b3b9e3747cdd2889229e4"/>
      <w:bookmarkEnd w:id="80"/>
      <w:r w:rsidRPr="00261B7A">
        <w:t>Acceptance of improvements and recalculations</w:t>
      </w:r>
    </w:p>
    <w:p w14:paraId="49AA5217" w14:textId="77777777" w:rsidR="006611EE" w:rsidRPr="00261B7A" w:rsidRDefault="006611EE" w:rsidP="006611EE">
      <w:pPr>
        <w:pStyle w:val="BodyText"/>
      </w:pPr>
      <w:r w:rsidRPr="00261B7A">
        <w:t>All proposed improvements in the inventory undergo peer review by an independent expert or a group of experts. The change will be included in the inventory only if the peer reviewer concludes that the change is consistent with 2006 IPCC Guidelines (IPCC, 2006) for the preparation and continuous improvement of national greenhouse gas inventories.</w:t>
      </w:r>
    </w:p>
    <w:p w14:paraId="261C166C" w14:textId="77777777" w:rsidR="006611EE" w:rsidRPr="00261B7A" w:rsidRDefault="006611EE" w:rsidP="006611EE">
      <w:pPr>
        <w:pStyle w:val="BodyText"/>
      </w:pPr>
      <w:r w:rsidRPr="00261B7A">
        <w:t>Given the significance of the Agriculture sector to New Zealand’s emissions, the Government established the Agriculture Inventory Advisory Panel. The Panel is an independent group of experts, who assess if proposed improvements and recalculations in the sector’s emissions are scientifically robust enough to include in the inventory. Reports and/or papers on proposed changes must be peer reviewed before they are presented to the Panel. The Panel then advises MPI of its recommendations. Refer to chapter 5, section 5.1.5 for further details.</w:t>
      </w:r>
    </w:p>
    <w:p w14:paraId="1E94ED73" w14:textId="77777777" w:rsidR="006611EE" w:rsidRPr="00261B7A" w:rsidRDefault="006611EE" w:rsidP="006611EE">
      <w:pPr>
        <w:pStyle w:val="BodyText"/>
      </w:pPr>
      <w:r w:rsidRPr="00261B7A">
        <w:lastRenderedPageBreak/>
        <w:t>All recalculations for and improvements to the inventory require the approval of the RGG. The recalculations need to be sufficiently explained in terms of improving one or more of the TACCC principles. If, due to the recalculations, emissions from the recalculated category are higher than 500 kilotonnes carbon dioxide equivalent (kt CO</w:t>
      </w:r>
      <w:r w:rsidRPr="00261B7A">
        <w:rPr>
          <w:vertAlign w:val="subscript"/>
        </w:rPr>
        <w:t>2</w:t>
      </w:r>
      <w:r w:rsidRPr="00261B7A">
        <w:t>-e), the results of and reasons for the recalculations are recorded in the recalculation form. The recalculations and explanations are documented and archived for future reference.</w:t>
      </w:r>
    </w:p>
    <w:p w14:paraId="526621CE" w14:textId="77777777" w:rsidR="006611EE" w:rsidRPr="00261B7A" w:rsidRDefault="006611EE" w:rsidP="006611EE">
      <w:pPr>
        <w:pStyle w:val="Heading4"/>
      </w:pPr>
      <w:bookmarkStart w:id="82" w:name="verification-activities"/>
      <w:bookmarkEnd w:id="79"/>
      <w:bookmarkEnd w:id="81"/>
      <w:r w:rsidRPr="00261B7A">
        <w:t>Verification activities</w:t>
      </w:r>
    </w:p>
    <w:p w14:paraId="332BAB30" w14:textId="77777777" w:rsidR="006611EE" w:rsidRPr="00261B7A" w:rsidRDefault="006611EE" w:rsidP="006611EE">
      <w:pPr>
        <w:pStyle w:val="BodyText"/>
      </w:pPr>
      <w:r w:rsidRPr="00261B7A">
        <w:t xml:space="preserve">Where relevant, further verification activities carried out for a sector are discussed in the </w:t>
      </w:r>
      <w:r w:rsidRPr="00261B7A">
        <w:rPr>
          <w:spacing w:val="-2"/>
        </w:rPr>
        <w:t>sector-specific chapters of this report. Section 1.9.2 provides information about the verificatio</w:t>
      </w:r>
      <w:r w:rsidRPr="00261B7A">
        <w:t>n method that has become available for the inventory by using data from the NZ ETS.</w:t>
      </w:r>
    </w:p>
    <w:p w14:paraId="2D5311A0" w14:textId="77777777" w:rsidR="006611EE" w:rsidRPr="00261B7A" w:rsidRDefault="006611EE" w:rsidP="006611EE">
      <w:pPr>
        <w:pStyle w:val="BodyText"/>
      </w:pPr>
      <w:r w:rsidRPr="00261B7A">
        <w:t>In the Energy sector, the reference approach is used to verify the emissions estimates for CO</w:t>
      </w:r>
      <w:r w:rsidRPr="00261B7A">
        <w:rPr>
          <w:vertAlign w:val="subscript"/>
        </w:rPr>
        <w:t>2</w:t>
      </w:r>
      <w:r w:rsidRPr="00261B7A">
        <w:t xml:space="preserve"> obtained from the sectoral approach.</w:t>
      </w:r>
    </w:p>
    <w:p w14:paraId="66D80203" w14:textId="77777777" w:rsidR="006611EE" w:rsidRPr="00261B7A" w:rsidRDefault="006611EE" w:rsidP="006611EE">
      <w:pPr>
        <w:pStyle w:val="Heading4"/>
      </w:pPr>
      <w:bookmarkStart w:id="83" w:name="treatment-of-confidentiality-issues"/>
      <w:bookmarkEnd w:id="82"/>
      <w:r w:rsidRPr="00261B7A">
        <w:t>Treatment of confidentiality issues</w:t>
      </w:r>
    </w:p>
    <w:p w14:paraId="07D21398" w14:textId="77777777" w:rsidR="006611EE" w:rsidRPr="00261B7A" w:rsidRDefault="006611EE" w:rsidP="006611EE">
      <w:pPr>
        <w:pStyle w:val="BodyText"/>
      </w:pPr>
      <w:r w:rsidRPr="00261B7A">
        <w:t>When specific emissions and activity data in the inventory can result in identifying individuals and/or individual businesses and, therefore, affect their wellbeing, commercial interest in trade and/or negotiations, those data are considered to be confidential.</w:t>
      </w:r>
    </w:p>
    <w:p w14:paraId="21467447" w14:textId="77777777" w:rsidR="006611EE" w:rsidRPr="00261B7A" w:rsidRDefault="006611EE" w:rsidP="006611EE">
      <w:pPr>
        <w:pStyle w:val="BodyText"/>
      </w:pPr>
      <w:r w:rsidRPr="00261B7A">
        <w:rPr>
          <w:rFonts w:asciiTheme="minorHAnsi" w:eastAsiaTheme="minorEastAsia" w:hAnsiTheme="minorHAnsi" w:cstheme="majorBidi"/>
          <w:lang w:eastAsia="en-US"/>
        </w:rPr>
        <w:t xml:space="preserve">The inventory is a Tier 1 statistic under New Zealand’s official statistics system. The inventory compilation process adheres to the </w:t>
      </w:r>
      <w:r w:rsidRPr="00261B7A">
        <w:rPr>
          <w:rFonts w:asciiTheme="minorHAnsi" w:eastAsiaTheme="minorEastAsia" w:hAnsiTheme="minorHAnsi" w:cstheme="majorBidi"/>
          <w:i/>
          <w:lang w:eastAsia="en-US"/>
        </w:rPr>
        <w:t>Principles and Protocols for Producers of Tier 1 Statistics</w:t>
      </w:r>
      <w:r w:rsidRPr="00261B7A">
        <w:rPr>
          <w:rFonts w:asciiTheme="minorHAnsi" w:eastAsiaTheme="minorEastAsia" w:hAnsiTheme="minorHAnsi" w:cstheme="majorBidi"/>
          <w:lang w:eastAsia="en-US"/>
        </w:rPr>
        <w:t xml:space="preserve"> </w:t>
      </w:r>
      <w:r w:rsidRPr="00261B7A">
        <w:t>(Stats NZ, 2007). The relevant definition of confidentiality (protocol 4) is as follows.</w:t>
      </w:r>
    </w:p>
    <w:p w14:paraId="26E79B44" w14:textId="77777777" w:rsidR="006611EE" w:rsidRPr="00261B7A" w:rsidRDefault="006611EE" w:rsidP="006611EE">
      <w:pPr>
        <w:pStyle w:val="Bullet"/>
      </w:pPr>
      <w:r w:rsidRPr="00261B7A">
        <w:t>Confidentiality refers to the protection of individuals’ and organisations’ information, and ensuring that the information is not made available or disclosed to unauthorised individuals or entities.</w:t>
      </w:r>
    </w:p>
    <w:p w14:paraId="1E3C4085" w14:textId="77777777" w:rsidR="006611EE" w:rsidRPr="00261B7A" w:rsidRDefault="006611EE" w:rsidP="006611EE">
      <w:pPr>
        <w:pStyle w:val="Bullet"/>
      </w:pPr>
      <w:r w:rsidRPr="00261B7A">
        <w:t>The protection of respondents’ information is a cornerstone of maintaining the integrity of the Official Statistics System.</w:t>
      </w:r>
    </w:p>
    <w:p w14:paraId="0883E65E" w14:textId="77777777" w:rsidR="006611EE" w:rsidRPr="00261B7A" w:rsidRDefault="006611EE" w:rsidP="006611EE">
      <w:pPr>
        <w:pStyle w:val="BodyText"/>
      </w:pPr>
      <w:r w:rsidRPr="00261B7A">
        <w:t>Confidential data are aggregated so as to draw out the information that is important to the user, without disclosing confidential data (IPCC, 2006). For New Zealand, confidentiality issues largely apply to sources of emissions in the Energy and IPPU sectors, where an entire industry or source category is often represented by just one or two companies. Therefore, a practice of presenting information as an ‘industry average’ is often not applicable in New Zealand because this would breach business confidentiality. Confidential information is held by the agencies preparing the inventory sector estimates (MPI, MBIE, EPA and MfE), and each agency has security procedures (e.g., password-restricted access to files on computers) to keep the data confidential.</w:t>
      </w:r>
    </w:p>
    <w:p w14:paraId="47295287" w14:textId="77777777" w:rsidR="006611EE" w:rsidRPr="00261B7A" w:rsidRDefault="006611EE" w:rsidP="006611EE">
      <w:pPr>
        <w:pStyle w:val="BodyText"/>
      </w:pPr>
      <w:r w:rsidRPr="00261B7A">
        <w:t>To protect the confidentiality of businesses that contribute data to the inventory, two approaches are used.</w:t>
      </w:r>
    </w:p>
    <w:p w14:paraId="174FEF98" w14:textId="77777777" w:rsidR="006611EE" w:rsidRPr="00261B7A" w:rsidRDefault="006611EE" w:rsidP="006611EE">
      <w:pPr>
        <w:pStyle w:val="Bullet"/>
      </w:pPr>
      <w:r w:rsidRPr="00261B7A">
        <w:t>Where emissions cannot be reported without compromising confidentiality, the corresponding activity data are not reported and are marked as confidential in the CRF tables.</w:t>
      </w:r>
    </w:p>
    <w:p w14:paraId="70A758EE" w14:textId="77777777" w:rsidR="006611EE" w:rsidRPr="00261B7A" w:rsidRDefault="006611EE" w:rsidP="006611EE">
      <w:pPr>
        <w:pStyle w:val="Bullet"/>
      </w:pPr>
      <w:r w:rsidRPr="00261B7A">
        <w:t>Where reporting emissions data would risk breaching confidentiality, the emissions data are aggregated with other emissions from a different source category. The notation key ‘IE’ is used.</w:t>
      </w:r>
    </w:p>
    <w:p w14:paraId="5F0BA3EF" w14:textId="77777777" w:rsidR="006611EE" w:rsidRPr="00261B7A" w:rsidRDefault="006611EE" w:rsidP="006611EE">
      <w:pPr>
        <w:pStyle w:val="BodyText"/>
      </w:pPr>
      <w:r w:rsidRPr="00261B7A">
        <w:rPr>
          <w:spacing w:val="-2"/>
        </w:rPr>
        <w:lastRenderedPageBreak/>
        <w:t xml:space="preserve">In the IPPU sector, activity data for the categories </w:t>
      </w:r>
      <w:r w:rsidRPr="00261B7A">
        <w:rPr>
          <w:i/>
          <w:iCs/>
          <w:spacing w:val="-2"/>
        </w:rPr>
        <w:t>Iron and steel production</w:t>
      </w:r>
      <w:r w:rsidRPr="00261B7A">
        <w:rPr>
          <w:spacing w:val="-2"/>
        </w:rPr>
        <w:t xml:space="preserve">, </w:t>
      </w:r>
      <w:r w:rsidRPr="00261B7A">
        <w:rPr>
          <w:i/>
          <w:iCs/>
          <w:spacing w:val="-2"/>
        </w:rPr>
        <w:t>Cement productio</w:t>
      </w:r>
      <w:r w:rsidRPr="00261B7A">
        <w:rPr>
          <w:i/>
          <w:iCs/>
        </w:rPr>
        <w:t>n</w:t>
      </w:r>
      <w:r w:rsidRPr="00261B7A">
        <w:t xml:space="preserve"> and </w:t>
      </w:r>
      <w:r w:rsidRPr="00261B7A">
        <w:rPr>
          <w:i/>
          <w:iCs/>
        </w:rPr>
        <w:t>Glass production</w:t>
      </w:r>
      <w:r w:rsidRPr="00261B7A">
        <w:t xml:space="preserve"> are marked as confidential. Emissions for </w:t>
      </w:r>
      <w:r w:rsidRPr="00261B7A">
        <w:rPr>
          <w:i/>
          <w:iCs/>
        </w:rPr>
        <w:t>Glass production</w:t>
      </w:r>
      <w:r w:rsidRPr="00261B7A">
        <w:t xml:space="preserve"> are reported under the </w:t>
      </w:r>
      <w:r w:rsidRPr="00261B7A">
        <w:rPr>
          <w:i/>
          <w:iCs/>
        </w:rPr>
        <w:t>Other uses of carbonates</w:t>
      </w:r>
      <w:r w:rsidRPr="00261B7A">
        <w:t xml:space="preserve"> category. Emissions from natural gas used as fuel in </w:t>
      </w:r>
      <w:r w:rsidRPr="00261B7A">
        <w:rPr>
          <w:i/>
          <w:iCs/>
        </w:rPr>
        <w:t>Ammonia production</w:t>
      </w:r>
      <w:r w:rsidRPr="00261B7A">
        <w:t xml:space="preserve"> are reported in the Energy sector.</w:t>
      </w:r>
    </w:p>
    <w:p w14:paraId="5C9D033B" w14:textId="7778C653" w:rsidR="006611EE" w:rsidRPr="00261B7A" w:rsidRDefault="006611EE" w:rsidP="006611EE">
      <w:pPr>
        <w:pStyle w:val="Heading3"/>
      </w:pPr>
      <w:bookmarkStart w:id="84" w:name="X4f8f91a13464da7240f59eb505c948e76b7a652"/>
      <w:bookmarkEnd w:id="75"/>
      <w:bookmarkEnd w:id="83"/>
      <w:r w:rsidRPr="00261B7A">
        <w:t>1.2.4</w:t>
      </w:r>
      <w:r w:rsidRPr="00261B7A">
        <w:tab/>
        <w:t>Changes in national inventory arrangements since the</w:t>
      </w:r>
      <w:r w:rsidR="0061651C" w:rsidRPr="00261B7A">
        <w:t> </w:t>
      </w:r>
      <w:r w:rsidRPr="00261B7A">
        <w:t>previous annual greenhouse gas inventory submission</w:t>
      </w:r>
    </w:p>
    <w:p w14:paraId="0E91CE7F" w14:textId="77777777" w:rsidR="006611EE" w:rsidRPr="00261B7A" w:rsidRDefault="006611EE" w:rsidP="006611EE">
      <w:pPr>
        <w:pStyle w:val="BodyText"/>
      </w:pPr>
      <w:r w:rsidRPr="00261B7A">
        <w:t>No changes have been made in the legal or institutional arrangements in the national inventory system since the last (2022) submission.</w:t>
      </w:r>
    </w:p>
    <w:p w14:paraId="0AAB8C5F" w14:textId="77777777" w:rsidR="006611EE" w:rsidRPr="00261B7A" w:rsidRDefault="006611EE" w:rsidP="006611EE">
      <w:pPr>
        <w:pStyle w:val="Heading2"/>
      </w:pPr>
      <w:bookmarkStart w:id="85" w:name="_Toc131591205"/>
      <w:bookmarkStart w:id="86" w:name="X1f491e03dacef9b92f948d6be6f0685beea979b"/>
      <w:bookmarkEnd w:id="64"/>
      <w:bookmarkEnd w:id="84"/>
      <w:r w:rsidRPr="00261B7A">
        <w:t>1.3</w:t>
      </w:r>
      <w:r w:rsidRPr="00261B7A">
        <w:tab/>
        <w:t>Inventory preparation: data collection, processing and storage</w:t>
      </w:r>
      <w:bookmarkEnd w:id="85"/>
    </w:p>
    <w:p w14:paraId="7234CEC2" w14:textId="77777777" w:rsidR="006611EE" w:rsidRPr="00261B7A" w:rsidRDefault="006611EE" w:rsidP="006611EE">
      <w:pPr>
        <w:pStyle w:val="BodyText"/>
      </w:pPr>
      <w:r w:rsidRPr="00261B7A">
        <w:t>Inventory planning and preparation are described in section 1.2.2.</w:t>
      </w:r>
    </w:p>
    <w:p w14:paraId="6EECD5CB" w14:textId="77777777" w:rsidR="006611EE" w:rsidRPr="00261B7A" w:rsidRDefault="006611EE" w:rsidP="006611EE">
      <w:pPr>
        <w:pStyle w:val="BodyText"/>
      </w:pPr>
      <w:r w:rsidRPr="00261B7A">
        <w:t xml:space="preserve">The National Inventory Compiler coordinates the calculation of level and trend uncertainties, </w:t>
      </w:r>
      <w:r w:rsidRPr="00261B7A">
        <w:rPr>
          <w:spacing w:val="-2"/>
        </w:rPr>
        <w:t>along with key category assessment, and finalises the inventory. The inventory is then approved</w:t>
      </w:r>
      <w:r w:rsidRPr="00261B7A">
        <w:t xml:space="preserve"> for publication by the New Zealand Secretary for the Environment before submission to the UNFCCC secretariat.</w:t>
      </w:r>
    </w:p>
    <w:p w14:paraId="0ED2CD8D" w14:textId="77777777" w:rsidR="006611EE" w:rsidRPr="00261B7A" w:rsidRDefault="006611EE" w:rsidP="006611EE">
      <w:pPr>
        <w:pStyle w:val="BodyText"/>
      </w:pPr>
      <w:r w:rsidRPr="00261B7A">
        <w:t>The inventory and all required data for the submission are stored at MfE in a restricted file system. The inventory is published on the MfE and Convention websites.</w:t>
      </w:r>
    </w:p>
    <w:p w14:paraId="482456FD" w14:textId="77777777" w:rsidR="006611EE" w:rsidRPr="00261B7A" w:rsidRDefault="006611EE" w:rsidP="006611EE">
      <w:pPr>
        <w:pStyle w:val="Heading4"/>
      </w:pPr>
      <w:bookmarkStart w:id="87" w:name="data-archiving-security-and-recovery"/>
      <w:r w:rsidRPr="00261B7A">
        <w:t>Data archiving, security and recovery</w:t>
      </w:r>
    </w:p>
    <w:p w14:paraId="352A0DAA" w14:textId="77777777" w:rsidR="006611EE" w:rsidRPr="00261B7A" w:rsidRDefault="006611EE" w:rsidP="006611EE">
      <w:pPr>
        <w:pStyle w:val="BodyText"/>
      </w:pPr>
      <w:r w:rsidRPr="00261B7A">
        <w:t>To provide data security and file recovery for the inventory, the information and data are held in secured locations in MfE’s Microsoft 365 (M365) environment. MfE’s security policies and settings, including version control and retention, protect against data breach and data loss.</w:t>
      </w:r>
      <w:r w:rsidRPr="00261B7A" w:rsidDel="00C91731">
        <w:t xml:space="preserve"> </w:t>
      </w:r>
    </w:p>
    <w:p w14:paraId="295AFFDC" w14:textId="77777777" w:rsidR="006611EE" w:rsidRPr="00261B7A" w:rsidRDefault="006611EE" w:rsidP="006611EE">
      <w:pPr>
        <w:pStyle w:val="BodyText"/>
      </w:pPr>
      <w:r w:rsidRPr="00261B7A">
        <w:t>New Zealand’s inventory archiving system reflects the distributed system as follows.</w:t>
      </w:r>
    </w:p>
    <w:p w14:paraId="2316713E" w14:textId="77777777" w:rsidR="006611EE" w:rsidRPr="00261B7A" w:rsidRDefault="006611EE" w:rsidP="006611EE">
      <w:pPr>
        <w:pStyle w:val="Bullet"/>
      </w:pPr>
      <w:r w:rsidRPr="00261B7A">
        <w:t>All files for the inventory are stored in MfE’s secure file management system and backed up on several different devices held in different locations. This covers all data files and supplementary materials as part of the submission for the inventory, CRF tables, database back-up files from the CRF Reporter, sectoral chapters, the compiled inventory, confirmations of sign-off, communication between New Zealand’s inventory team and the expert review team, national inventory system, process maps, project planning and documentation, and other related documents for the inventory.</w:t>
      </w:r>
    </w:p>
    <w:p w14:paraId="2F031497" w14:textId="77777777" w:rsidR="006611EE" w:rsidRPr="00261B7A" w:rsidRDefault="006611EE" w:rsidP="006611EE">
      <w:pPr>
        <w:pStyle w:val="Bullet"/>
      </w:pPr>
      <w:r w:rsidRPr="00261B7A">
        <w:t>Each sectoral agency keeps its data in secure file systems, including communication with contractors, activity data, emission factors, preliminary calculations and specific software applications containing sectoral data models.</w:t>
      </w:r>
    </w:p>
    <w:p w14:paraId="2439C01F" w14:textId="77777777" w:rsidR="006611EE" w:rsidRPr="00261B7A" w:rsidRDefault="006611EE" w:rsidP="006611EE">
      <w:pPr>
        <w:pStyle w:val="Bullet"/>
      </w:pPr>
      <w:r w:rsidRPr="00261B7A">
        <w:t xml:space="preserve">Each of the agencies involved in the preparation of the inventory has security procedures </w:t>
      </w:r>
      <w:r w:rsidRPr="00261B7A">
        <w:rPr>
          <w:spacing w:val="-2"/>
        </w:rPr>
        <w:t>in case of natural disasters, fire, flood or other accidents, which are kept at a high standard</w:t>
      </w:r>
      <w:r w:rsidRPr="00261B7A">
        <w:t>.</w:t>
      </w:r>
    </w:p>
    <w:p w14:paraId="568C21E1" w14:textId="77777777" w:rsidR="006611EE" w:rsidRPr="00261B7A" w:rsidRDefault="006611EE" w:rsidP="006611EE">
      <w:pPr>
        <w:pStyle w:val="Heading2"/>
      </w:pPr>
      <w:bookmarkStart w:id="88" w:name="_Toc131591206"/>
      <w:bookmarkStart w:id="89" w:name="methodologies-and-data-sources-used"/>
      <w:bookmarkEnd w:id="86"/>
      <w:bookmarkEnd w:id="87"/>
      <w:r w:rsidRPr="00261B7A">
        <w:t>1.4</w:t>
      </w:r>
      <w:r w:rsidRPr="00261B7A">
        <w:tab/>
        <w:t>Methodologies and data sources used</w:t>
      </w:r>
      <w:bookmarkEnd w:id="88"/>
    </w:p>
    <w:p w14:paraId="58FC8C8E" w14:textId="77777777" w:rsidR="006611EE" w:rsidRPr="00261B7A" w:rsidRDefault="006611EE" w:rsidP="0061651C">
      <w:pPr>
        <w:pStyle w:val="BodyText"/>
        <w:spacing w:after="100"/>
      </w:pPr>
      <w:r w:rsidRPr="00261B7A">
        <w:t xml:space="preserve">The guiding documents in the inventory’s preparation are the </w:t>
      </w:r>
      <w:r w:rsidRPr="00261B7A">
        <w:rPr>
          <w:i/>
          <w:iCs/>
        </w:rPr>
        <w:t>2006 IPCC Guidelines for National Greenhouse Gas Inventories</w:t>
      </w:r>
      <w:r w:rsidRPr="00261B7A">
        <w:t xml:space="preserve"> (IPCC, 2006), the </w:t>
      </w:r>
      <w:r w:rsidRPr="00261B7A">
        <w:rPr>
          <w:i/>
          <w:iCs/>
        </w:rPr>
        <w:t>2013 Revised Supplementary Methods and Good Practice Guidance Arising from the Kyoto Protocol</w:t>
      </w:r>
      <w:r w:rsidRPr="00261B7A">
        <w:t xml:space="preserve"> (IPCC, 2014), the revised </w:t>
      </w:r>
      <w:r w:rsidRPr="00261B7A">
        <w:rPr>
          <w:i/>
          <w:iCs/>
        </w:rPr>
        <w:t xml:space="preserve">UNFCCC </w:t>
      </w:r>
      <w:r w:rsidRPr="00261B7A">
        <w:rPr>
          <w:i/>
          <w:iCs/>
        </w:rPr>
        <w:lastRenderedPageBreak/>
        <w:t>reporting guidelines on annual inventories for Parties included in Annex I to the Convention</w:t>
      </w:r>
      <w:r w:rsidRPr="00261B7A">
        <w:t xml:space="preserve"> (UNFCCC, 2013a) and the Kyoto Protocol decisions on reporting and review (UNFCCC, 2005a–k, 2012, 2013b, 2016a, 2016b).</w:t>
      </w:r>
    </w:p>
    <w:p w14:paraId="6BA8F8ED" w14:textId="4624C1D8" w:rsidR="006611EE" w:rsidRPr="00261B7A" w:rsidRDefault="006611EE" w:rsidP="0061651C">
      <w:pPr>
        <w:pStyle w:val="BodyText"/>
        <w:spacing w:after="100"/>
      </w:pPr>
      <w:r w:rsidRPr="00261B7A">
        <w:t>The guiding documents provide a number of possible methodologies for calculating emissions or removals from a given category</w:t>
      </w:r>
      <w:r w:rsidR="006B4602" w:rsidRPr="00261B7A">
        <w:t xml:space="preserve"> </w:t>
      </w:r>
      <w:r w:rsidRPr="00261B7A">
        <w:t>(IPCC, 2006). In most cases, these possibilities represent calculations of the same form where the differences are in the level of detail at which the calculations are carried out. The methodologies are provided in a structure of three tiers that describe and connect the various levels of detail at which estimates can be made. The choice of method depends on factors such as the importance of the inventory category and the availability of data. The tiered structure ensures that estimates calculated at a highly detailed level can be aggregated up to a common minimum level of detail for comparison with all other reporting countries. The methods for estimating emissions and/or removals are distinguished between the tiers as follows.</w:t>
      </w:r>
    </w:p>
    <w:p w14:paraId="4C629807" w14:textId="77777777" w:rsidR="006611EE" w:rsidRPr="00261B7A" w:rsidRDefault="006611EE" w:rsidP="0061651C">
      <w:pPr>
        <w:pStyle w:val="Bullet"/>
        <w:spacing w:after="100"/>
      </w:pPr>
      <w:r w:rsidRPr="00261B7A">
        <w:t>Tier 1 methods apply IPCC default emission factors and use IPCC default methods.</w:t>
      </w:r>
    </w:p>
    <w:p w14:paraId="7D6F2F2A" w14:textId="77777777" w:rsidR="006611EE" w:rsidRPr="00261B7A" w:rsidRDefault="006611EE" w:rsidP="0061651C">
      <w:pPr>
        <w:pStyle w:val="Bullet"/>
        <w:spacing w:after="100"/>
      </w:pPr>
      <w:r w:rsidRPr="00261B7A">
        <w:t>Tier 2 methods apply country-specific emission factors and use IPCC default methods.</w:t>
      </w:r>
    </w:p>
    <w:p w14:paraId="2D714A4E" w14:textId="77777777" w:rsidR="006611EE" w:rsidRPr="00261B7A" w:rsidRDefault="006611EE" w:rsidP="0061651C">
      <w:pPr>
        <w:pStyle w:val="Bullet"/>
        <w:spacing w:after="100"/>
      </w:pPr>
      <w:r w:rsidRPr="00261B7A">
        <w:t>Tier 3 methods apply country-specific emission factors and use country-specific methods.</w:t>
      </w:r>
    </w:p>
    <w:p w14:paraId="6E3C697A" w14:textId="77777777" w:rsidR="006611EE" w:rsidRPr="00261B7A" w:rsidRDefault="006611EE" w:rsidP="0061651C">
      <w:pPr>
        <w:pStyle w:val="BodyText"/>
        <w:spacing w:after="100"/>
      </w:pPr>
      <w:r w:rsidRPr="00261B7A">
        <w:t>This section provides a brief description of the methodology for each sector in the inventory. Refer to each sector chapter for more detail.</w:t>
      </w:r>
    </w:p>
    <w:p w14:paraId="1EA750AD" w14:textId="77777777" w:rsidR="006611EE" w:rsidRPr="00261B7A" w:rsidRDefault="006611EE" w:rsidP="006611EE">
      <w:pPr>
        <w:pStyle w:val="Heading4"/>
      </w:pPr>
      <w:r w:rsidRPr="00261B7A">
        <w:t>Energy</w:t>
      </w:r>
    </w:p>
    <w:p w14:paraId="13CED14B" w14:textId="77777777" w:rsidR="006611EE" w:rsidRPr="00261B7A" w:rsidRDefault="006611EE" w:rsidP="006611EE">
      <w:pPr>
        <w:pStyle w:val="BodyText"/>
      </w:pPr>
      <w:r w:rsidRPr="00261B7A">
        <w:t>Greenhouse gas emissions from the Energy sector are calculated using a detailed sectoral approach. This bottom-up approach is demand based and involves processing energy data collected on a regular basis through various surveys. For verification, New Zealand also applies the IPCC reference approach to estimate CO</w:t>
      </w:r>
      <w:r w:rsidRPr="00261B7A">
        <w:rPr>
          <w:vertAlign w:val="subscript"/>
        </w:rPr>
        <w:t>2</w:t>
      </w:r>
      <w:r w:rsidRPr="00261B7A">
        <w:t xml:space="preserve"> emissions from fuel combustion for the time series 1990 to 2021 (see annex 4).</w:t>
      </w:r>
    </w:p>
    <w:p w14:paraId="003FF8ED" w14:textId="77777777" w:rsidR="006611EE" w:rsidRPr="00261B7A" w:rsidRDefault="006611EE" w:rsidP="006611EE">
      <w:pPr>
        <w:pStyle w:val="BodyText"/>
      </w:pPr>
      <w:r w:rsidRPr="00261B7A">
        <w:t xml:space="preserve">The activity data used for the sectoral approach are referred to as ‘observed’ energy-use figures. These are based on surveys and questionnaires administered by MBIE. The differences between ‘calculated’ and ‘observed’ figures are reported as statistical differences in the energy balance tables released along with </w:t>
      </w:r>
      <w:r w:rsidRPr="00261B7A">
        <w:rPr>
          <w:i/>
          <w:iCs/>
        </w:rPr>
        <w:t>Energy in New Zealand</w:t>
      </w:r>
      <w:r w:rsidRPr="00261B7A">
        <w:t xml:space="preserve"> (MBIE, 2022). Note that due to the intervening time, between the publication of </w:t>
      </w:r>
      <w:r w:rsidRPr="00261B7A">
        <w:rPr>
          <w:i/>
          <w:iCs/>
        </w:rPr>
        <w:t>Energy in New Zealand</w:t>
      </w:r>
      <w:r w:rsidRPr="00261B7A">
        <w:t xml:space="preserve"> and the preparation of this submission, some data revisions may have occurred.</w:t>
      </w:r>
    </w:p>
    <w:p w14:paraId="313D44EF" w14:textId="77777777" w:rsidR="006611EE" w:rsidRPr="00261B7A" w:rsidRDefault="006611EE" w:rsidP="006611EE">
      <w:pPr>
        <w:pStyle w:val="Heading4"/>
      </w:pPr>
      <w:bookmarkStart w:id="90" w:name="ippu"/>
      <w:r w:rsidRPr="00261B7A">
        <w:t>IPPU</w:t>
      </w:r>
    </w:p>
    <w:p w14:paraId="168A5E71" w14:textId="77777777" w:rsidR="006611EE" w:rsidRPr="00261B7A" w:rsidRDefault="006611EE" w:rsidP="006611EE">
      <w:pPr>
        <w:pStyle w:val="BodyText"/>
      </w:pPr>
      <w:r w:rsidRPr="00261B7A">
        <w:t xml:space="preserve">Activity data in the IPPU sector have been derived from a variety of sources. In the </w:t>
      </w:r>
      <w:r w:rsidRPr="00261B7A">
        <w:rPr>
          <w:i/>
          <w:iCs/>
        </w:rPr>
        <w:t>Mineral industry</w:t>
      </w:r>
      <w:r w:rsidRPr="00261B7A">
        <w:t xml:space="preserve"> category, the primary data source is emissions data reported under the NZ ETS. For the </w:t>
      </w:r>
      <w:r w:rsidRPr="00261B7A">
        <w:rPr>
          <w:i/>
          <w:iCs/>
        </w:rPr>
        <w:t>Chemical industry</w:t>
      </w:r>
      <w:r w:rsidRPr="00261B7A">
        <w:t xml:space="preserve"> and </w:t>
      </w:r>
      <w:r w:rsidRPr="00261B7A">
        <w:rPr>
          <w:i/>
          <w:iCs/>
        </w:rPr>
        <w:t>Metal industry</w:t>
      </w:r>
      <w:r w:rsidRPr="00261B7A">
        <w:t xml:space="preserve"> categories, data (including activity data) are provided </w:t>
      </w:r>
      <w:r w:rsidRPr="00261B7A">
        <w:rPr>
          <w:spacing w:val="-2"/>
        </w:rPr>
        <w:t xml:space="preserve">to MBIE in response to an annual survey. For some large-scale activities in the </w:t>
      </w:r>
      <w:r w:rsidRPr="00261B7A">
        <w:rPr>
          <w:i/>
          <w:iCs/>
          <w:spacing w:val="-2"/>
        </w:rPr>
        <w:t>Mineral industr</w:t>
      </w:r>
      <w:r w:rsidRPr="00261B7A">
        <w:rPr>
          <w:i/>
          <w:iCs/>
        </w:rPr>
        <w:t>y</w:t>
      </w:r>
      <w:r w:rsidRPr="00261B7A">
        <w:t xml:space="preserve">, </w:t>
      </w:r>
      <w:r w:rsidRPr="00261B7A">
        <w:rPr>
          <w:i/>
          <w:iCs/>
        </w:rPr>
        <w:t>Chemical industry</w:t>
      </w:r>
      <w:r w:rsidRPr="00261B7A">
        <w:t xml:space="preserve"> and </w:t>
      </w:r>
      <w:r w:rsidRPr="00261B7A">
        <w:rPr>
          <w:i/>
          <w:iCs/>
        </w:rPr>
        <w:t>Metal industry</w:t>
      </w:r>
      <w:r w:rsidRPr="00261B7A">
        <w:t xml:space="preserve"> categories, which are carried out by only one or two companies in New Zealand, activity data are reported as confidential in the CRF tables.</w:t>
      </w:r>
    </w:p>
    <w:p w14:paraId="5555E034" w14:textId="77777777" w:rsidR="006611EE" w:rsidRPr="00261B7A" w:rsidRDefault="006611EE" w:rsidP="006611EE">
      <w:pPr>
        <w:pStyle w:val="BodyText"/>
      </w:pPr>
      <w:r w:rsidRPr="00261B7A">
        <w:t xml:space="preserve">Emissions data for </w:t>
      </w:r>
      <w:r w:rsidRPr="00261B7A">
        <w:rPr>
          <w:i/>
          <w:iCs/>
        </w:rPr>
        <w:t>Glass production</w:t>
      </w:r>
      <w:r w:rsidRPr="00261B7A">
        <w:t xml:space="preserve"> (2.A.3) are reported in the </w:t>
      </w:r>
      <w:r w:rsidRPr="00261B7A">
        <w:rPr>
          <w:i/>
          <w:iCs/>
        </w:rPr>
        <w:t>Other process uses of carbonates</w:t>
      </w:r>
      <w:r w:rsidRPr="00261B7A">
        <w:t xml:space="preserve"> category (2.A.4 ) to aggregate the data with other sources and preserve confidentiality. Fuel-related emissions from ammonia production are reported in the Energy sector. Also, data on emissions from hydrogen-making at the Marsden Point oil refinery are reported in the </w:t>
      </w:r>
      <w:r w:rsidRPr="00261B7A">
        <w:rPr>
          <w:i/>
          <w:iCs/>
        </w:rPr>
        <w:t>Chemical industry</w:t>
      </w:r>
      <w:r w:rsidRPr="00261B7A">
        <w:t xml:space="preserve"> source category. This allows data from New Zealand’s only industrial hydrogen-making process, which is smaller in scale than refining, to be aggregated and kept confidential.</w:t>
      </w:r>
    </w:p>
    <w:p w14:paraId="5A870BD9" w14:textId="77777777" w:rsidR="006611EE" w:rsidRPr="00261B7A" w:rsidRDefault="006611EE" w:rsidP="006611EE">
      <w:pPr>
        <w:pStyle w:val="BodyText"/>
      </w:pPr>
      <w:r w:rsidRPr="00261B7A">
        <w:lastRenderedPageBreak/>
        <w:t xml:space="preserve">For the </w:t>
      </w:r>
      <w:r w:rsidRPr="00261B7A">
        <w:rPr>
          <w:i/>
          <w:iCs/>
        </w:rPr>
        <w:t>Product uses as substitutes for ODS</w:t>
      </w:r>
      <w:r w:rsidRPr="00261B7A">
        <w:rPr>
          <w:rStyle w:val="FootnoteReference"/>
        </w:rPr>
        <w:footnoteReference w:id="18"/>
      </w:r>
      <w:r w:rsidRPr="00261B7A">
        <w:t xml:space="preserve"> category, updated activity data have been obtained through a detailed annual survey covering the electrical, refrigeration and other industry participants (Verum Group Ltd, unpublished), as well as importers of HFCs and other substances in this category. New Zealand uses a combination of Tier 1 and Tier 2 methodologies for the IPPU sector. Tier 2 methods are used for all key categories.</w:t>
      </w:r>
    </w:p>
    <w:p w14:paraId="09DE5F53" w14:textId="77777777" w:rsidR="006611EE" w:rsidRPr="00261B7A" w:rsidRDefault="006611EE" w:rsidP="006611EE">
      <w:pPr>
        <w:pStyle w:val="BodyText"/>
      </w:pPr>
      <w:r w:rsidRPr="00261B7A">
        <w:t xml:space="preserve">For the small amounts of indirect GHG emissions reported in the </w:t>
      </w:r>
      <w:r w:rsidRPr="00261B7A">
        <w:rPr>
          <w:i/>
          <w:iCs/>
        </w:rPr>
        <w:t>Chemical industry</w:t>
      </w:r>
      <w:r w:rsidRPr="00261B7A">
        <w:t xml:space="preserve"> category and the </w:t>
      </w:r>
      <w:r w:rsidRPr="00261B7A">
        <w:rPr>
          <w:i/>
          <w:iCs/>
        </w:rPr>
        <w:t>Other product manufacture and use</w:t>
      </w:r>
      <w:r w:rsidRPr="00261B7A">
        <w:t xml:space="preserve"> category, data were obtained in 2006 by a detailed industry survey and analysis (CRL Energy Ltd, unpublished). Emissions and activity data have been extrapolated since 2006.</w:t>
      </w:r>
    </w:p>
    <w:p w14:paraId="32FB9E50" w14:textId="77777777" w:rsidR="006611EE" w:rsidRPr="00261B7A" w:rsidRDefault="006611EE" w:rsidP="006611EE">
      <w:pPr>
        <w:pStyle w:val="BodyText"/>
      </w:pPr>
      <w:r w:rsidRPr="00261B7A">
        <w:t>Country-specific emission factors have been used where available, including for emissions of indirect GHGs.</w:t>
      </w:r>
    </w:p>
    <w:bookmarkEnd w:id="90"/>
    <w:p w14:paraId="79F52E83" w14:textId="77777777" w:rsidR="006611EE" w:rsidRPr="00261B7A" w:rsidRDefault="006611EE" w:rsidP="006611EE">
      <w:pPr>
        <w:pStyle w:val="Heading4"/>
      </w:pPr>
      <w:r w:rsidRPr="00261B7A">
        <w:t>Agriculture</w:t>
      </w:r>
    </w:p>
    <w:p w14:paraId="4E06546B" w14:textId="77777777" w:rsidR="006611EE" w:rsidRPr="00261B7A" w:rsidRDefault="006611EE" w:rsidP="006611EE">
      <w:pPr>
        <w:pStyle w:val="BodyText"/>
      </w:pPr>
      <w:r w:rsidRPr="00261B7A">
        <w:t>New Zealand has developed a largely Tier 2 (with some Tier 1 aspects and other aspects reflecting Tier 3) methodology with country-specific emission factors for a range of emissions sources. This methodology uses detailed data on livestock population and production to calculate livestock energy requirements for four major livestock categories (</w:t>
      </w:r>
      <w:r w:rsidRPr="00261B7A">
        <w:rPr>
          <w:i/>
          <w:iCs/>
        </w:rPr>
        <w:t>Dairy cattle, Non</w:t>
      </w:r>
      <w:r w:rsidRPr="00261B7A">
        <w:rPr>
          <w:i/>
          <w:iCs/>
        </w:rPr>
        <w:noBreakHyphen/>
        <w:t>dairy</w:t>
      </w:r>
      <w:r w:rsidRPr="00261B7A">
        <w:t xml:space="preserve"> (beef)</w:t>
      </w:r>
      <w:r w:rsidRPr="00261B7A">
        <w:rPr>
          <w:i/>
          <w:iCs/>
        </w:rPr>
        <w:t xml:space="preserve"> cattle, Sheep and Deer</w:t>
      </w:r>
      <w:r w:rsidRPr="00261B7A">
        <w:t xml:space="preserve">). Other livestock are classified as ‘minor’ due to their small total contribution to agricultural emissions and are outlined below. Animal population data are collected by Stats NZ. Productivity data are available from the Livestock Improvement Corporation and industry organisations, such as Beef + Lamb New Zealand Ltd and Dairy NZ, which regularly collect animal sector statistics. Statistics on animal carcass weights are collected by MPI and are used to derive live weights. </w:t>
      </w:r>
    </w:p>
    <w:p w14:paraId="63E17E63" w14:textId="77777777" w:rsidR="006611EE" w:rsidRPr="00261B7A" w:rsidRDefault="006611EE" w:rsidP="006611EE">
      <w:pPr>
        <w:pStyle w:val="BodyText"/>
      </w:pPr>
      <w:r w:rsidRPr="00261B7A">
        <w:t>Other livestock species combined (</w:t>
      </w:r>
      <w:r w:rsidRPr="00261B7A">
        <w:rPr>
          <w:i/>
          <w:iCs/>
        </w:rPr>
        <w:t>Swine</w:t>
      </w:r>
      <w:r w:rsidRPr="00261B7A">
        <w:t xml:space="preserve">, </w:t>
      </w:r>
      <w:r w:rsidRPr="00261B7A">
        <w:rPr>
          <w:i/>
          <w:iCs/>
        </w:rPr>
        <w:t>Goats</w:t>
      </w:r>
      <w:r w:rsidRPr="00261B7A">
        <w:t xml:space="preserve">, </w:t>
      </w:r>
      <w:r w:rsidRPr="00261B7A">
        <w:rPr>
          <w:i/>
          <w:iCs/>
        </w:rPr>
        <w:t>Horses</w:t>
      </w:r>
      <w:r w:rsidRPr="00261B7A">
        <w:t xml:space="preserve">, </w:t>
      </w:r>
      <w:r w:rsidRPr="00261B7A">
        <w:rPr>
          <w:i/>
          <w:iCs/>
        </w:rPr>
        <w:t>Llamas</w:t>
      </w:r>
      <w:r w:rsidRPr="00261B7A">
        <w:t xml:space="preserve"> </w:t>
      </w:r>
      <w:r w:rsidRPr="00261B7A">
        <w:rPr>
          <w:i/>
          <w:iCs/>
        </w:rPr>
        <w:t>and</w:t>
      </w:r>
      <w:r w:rsidRPr="00261B7A">
        <w:t xml:space="preserve"> </w:t>
      </w:r>
      <w:r w:rsidRPr="00261B7A">
        <w:rPr>
          <w:i/>
          <w:iCs/>
        </w:rPr>
        <w:t>alpacas</w:t>
      </w:r>
      <w:r w:rsidRPr="00261B7A">
        <w:t xml:space="preserve">, </w:t>
      </w:r>
      <w:r w:rsidRPr="00261B7A">
        <w:rPr>
          <w:i/>
          <w:iCs/>
        </w:rPr>
        <w:t>Mules and asses</w:t>
      </w:r>
      <w:r w:rsidRPr="00261B7A">
        <w:t xml:space="preserve"> and </w:t>
      </w:r>
      <w:r w:rsidRPr="00261B7A">
        <w:rPr>
          <w:i/>
          <w:iCs/>
        </w:rPr>
        <w:t>Poultry</w:t>
      </w:r>
      <w:r w:rsidRPr="00261B7A">
        <w:t xml:space="preserve">) account for only 0.5 per cent of New Zealand’s agriculture emissions. Emissions from these minor livestock species are estimated using Tier 1 methods. Where information is available, New Zealand has used country-specific emission methodology and factors. There is no known farming of fur-bearing animals in New Zealand. </w:t>
      </w:r>
    </w:p>
    <w:p w14:paraId="5CBA7CEC" w14:textId="77777777" w:rsidR="006611EE" w:rsidRPr="00261B7A" w:rsidRDefault="006611EE" w:rsidP="006611EE">
      <w:pPr>
        <w:pStyle w:val="BodyText"/>
      </w:pPr>
      <w:r w:rsidRPr="00261B7A">
        <w:rPr>
          <w:spacing w:val="-2"/>
        </w:rPr>
        <w:t xml:space="preserve">For estimating emissions from the </w:t>
      </w:r>
      <w:r w:rsidRPr="00261B7A">
        <w:rPr>
          <w:i/>
          <w:iCs/>
          <w:spacing w:val="-2"/>
        </w:rPr>
        <w:t>Agricultural soils</w:t>
      </w:r>
      <w:r w:rsidRPr="00261B7A">
        <w:rPr>
          <w:spacing w:val="-2"/>
        </w:rPr>
        <w:t xml:space="preserve"> category, New Zealand uses methodologie</w:t>
      </w:r>
      <w:r w:rsidRPr="00261B7A">
        <w:t>s based on the 2006 IPCC Guidelines (IPCC, 2006), the outputs of the Tier 2 livestock population characterisation, modelling of the livestock nutrition and energy requirements, and data on the application of nitrogen fertilisers. New Zealand uses a combination of default and country-specific emission factors and parameters to calculate N</w:t>
      </w:r>
      <w:r w:rsidRPr="00261B7A">
        <w:rPr>
          <w:vertAlign w:val="subscript"/>
        </w:rPr>
        <w:t>2</w:t>
      </w:r>
      <w:r w:rsidRPr="00261B7A">
        <w:t xml:space="preserve">O emissions from the </w:t>
      </w:r>
      <w:r w:rsidRPr="00261B7A">
        <w:rPr>
          <w:i/>
          <w:iCs/>
        </w:rPr>
        <w:t>Agricultural soils</w:t>
      </w:r>
      <w:r w:rsidRPr="00261B7A">
        <w:t xml:space="preserve"> category. Details on these emission factors and parameters are given in chapter 5 (tables 5.5.2, 5.5.3 and 5.5.4) and annex 3 (tables A3.1.5, A3.1.6 and A3.1.7). Chapter 5, table 5.5.5 contains the parameters used to estimate emissions where specific mitigation technologies are used. Activity data for the </w:t>
      </w:r>
      <w:r w:rsidRPr="00261B7A">
        <w:rPr>
          <w:i/>
          <w:iCs/>
        </w:rPr>
        <w:t>Liming</w:t>
      </w:r>
      <w:r w:rsidRPr="00261B7A">
        <w:t xml:space="preserve"> category are obtained from Stats NZ, and activity data on the use of synthetic fertiliser containing nitrogen are provided by the Fertiliser Association of New Zealand. A Tier 2 (model) approach is used to calculate emissions from the </w:t>
      </w:r>
      <w:r w:rsidRPr="00261B7A">
        <w:rPr>
          <w:i/>
          <w:iCs/>
        </w:rPr>
        <w:t>Burning of agricultural residues</w:t>
      </w:r>
      <w:r w:rsidRPr="00261B7A">
        <w:t xml:space="preserve"> category. No rice cultivation or CO</w:t>
      </w:r>
      <w:r w:rsidRPr="00261B7A">
        <w:rPr>
          <w:vertAlign w:val="subscript"/>
        </w:rPr>
        <w:t>2</w:t>
      </w:r>
      <w:r w:rsidRPr="00261B7A">
        <w:t xml:space="preserve"> emissions from other carbon-containing fertilisers occur in New Zealand.</w:t>
      </w:r>
    </w:p>
    <w:p w14:paraId="79574538" w14:textId="77777777" w:rsidR="006611EE" w:rsidRPr="00261B7A" w:rsidRDefault="006611EE" w:rsidP="006611EE">
      <w:pPr>
        <w:pStyle w:val="Heading4"/>
      </w:pPr>
      <w:bookmarkStart w:id="91" w:name="lulucf-and-kp-lulucf"/>
      <w:r w:rsidRPr="00261B7A">
        <w:lastRenderedPageBreak/>
        <w:t>LULUCF and KP-LULUCF</w:t>
      </w:r>
    </w:p>
    <w:p w14:paraId="24076D3B" w14:textId="77777777" w:rsidR="006611EE" w:rsidRPr="00261B7A" w:rsidRDefault="006611EE" w:rsidP="006611EE">
      <w:pPr>
        <w:pStyle w:val="BodyText"/>
      </w:pPr>
      <w:r w:rsidRPr="00261B7A">
        <w:t xml:space="preserve">New Zealand uses a combination of Tier 1, Tier 2 and Tier 3 methodologies for estimating emissions and removals for the LULUCF sector under the Convention and for Article 3.3 and Article 3.4 activities under the Kyoto Protocol (KP-LULUCF activities). Tier 2 or Tier 3 approaches have been applied to estimate biomass carbon in the pools with the most living biomass at maturity: </w:t>
      </w:r>
      <w:r w:rsidRPr="00261B7A">
        <w:rPr>
          <w:i/>
          <w:iCs/>
        </w:rPr>
        <w:t>Pre-1990 natural forest</w:t>
      </w:r>
      <w:r w:rsidRPr="00261B7A">
        <w:t xml:space="preserve">, </w:t>
      </w:r>
      <w:r w:rsidRPr="00261B7A">
        <w:rPr>
          <w:i/>
          <w:iCs/>
        </w:rPr>
        <w:t>Pre-1990 planted forest</w:t>
      </w:r>
      <w:r w:rsidRPr="00261B7A">
        <w:t xml:space="preserve">, </w:t>
      </w:r>
      <w:r w:rsidRPr="00261B7A">
        <w:rPr>
          <w:i/>
          <w:iCs/>
        </w:rPr>
        <w:t>Post-1989 natural forest</w:t>
      </w:r>
      <w:r w:rsidRPr="00261B7A">
        <w:t xml:space="preserve">, </w:t>
      </w:r>
      <w:r w:rsidRPr="00261B7A">
        <w:rPr>
          <w:i/>
          <w:iCs/>
        </w:rPr>
        <w:t>Post-1989 planted forest</w:t>
      </w:r>
      <w:r w:rsidRPr="00261B7A">
        <w:t xml:space="preserve">, </w:t>
      </w:r>
      <w:r w:rsidRPr="00261B7A">
        <w:rPr>
          <w:i/>
          <w:iCs/>
        </w:rPr>
        <w:t>Perennial cropland</w:t>
      </w:r>
      <w:r w:rsidRPr="00261B7A">
        <w:t xml:space="preserve"> and </w:t>
      </w:r>
      <w:r w:rsidRPr="00261B7A">
        <w:rPr>
          <w:i/>
          <w:iCs/>
        </w:rPr>
        <w:t>Grassland with woody biomass</w:t>
      </w:r>
      <w:r w:rsidRPr="00261B7A">
        <w:t xml:space="preserve">. For all other land-use categories, a Tier 1 approach is used for estimating biomass carbon. A Tier 2 modelling approach has also been used to estimate carbon changes in the mineral soil component of the soil organic matter pool, while Tier 1 is used for organic soils. Furthermore, a Tier 2 approach has been used to estimate carbon stock changes in the </w:t>
      </w:r>
      <w:r w:rsidRPr="00261B7A">
        <w:rPr>
          <w:i/>
          <w:iCs/>
        </w:rPr>
        <w:t>Harvested wood products</w:t>
      </w:r>
      <w:r w:rsidRPr="00261B7A">
        <w:t xml:space="preserve"> category.</w:t>
      </w:r>
    </w:p>
    <w:p w14:paraId="4BF63BE3" w14:textId="77777777" w:rsidR="006611EE" w:rsidRPr="00261B7A" w:rsidRDefault="006611EE" w:rsidP="006611EE">
      <w:pPr>
        <w:pStyle w:val="BodyText"/>
      </w:pPr>
      <w:r w:rsidRPr="00261B7A">
        <w:t>New Zealand has established a data collection and modelling program for the LULUCF sector called the Land Use and Carbon Analysis System (LUCAS). The LUCAS program includes:</w:t>
      </w:r>
    </w:p>
    <w:p w14:paraId="406449EF" w14:textId="77777777" w:rsidR="006611EE" w:rsidRPr="00261B7A" w:rsidRDefault="006611EE" w:rsidP="006611EE">
      <w:pPr>
        <w:pStyle w:val="Bullet"/>
      </w:pPr>
      <w:r w:rsidRPr="00261B7A">
        <w:t>use of field plot measurements for natural and planted forests</w:t>
      </w:r>
    </w:p>
    <w:p w14:paraId="627520D3" w14:textId="77777777" w:rsidR="006611EE" w:rsidRPr="00261B7A" w:rsidRDefault="006611EE" w:rsidP="006611EE">
      <w:pPr>
        <w:pStyle w:val="Bullet"/>
      </w:pPr>
      <w:r w:rsidRPr="00261B7A">
        <w:t>use of allometric models and a forest carbon modelling system to estimate carbon stock and carbon stock change in natural and planted forests respectively (Paul et al., 2020, unpublished(a), unpublished(b), unpublished(c); Paul and Wakelin, unpublished)</w:t>
      </w:r>
    </w:p>
    <w:p w14:paraId="42793809" w14:textId="77777777" w:rsidR="006611EE" w:rsidRPr="00261B7A" w:rsidRDefault="006611EE" w:rsidP="006611EE">
      <w:pPr>
        <w:pStyle w:val="Bullet"/>
      </w:pPr>
      <w:r w:rsidRPr="00261B7A">
        <w:t>wall-to-wall land use mapping for 1990, 2008, 2012 and 2016 using satellite and aircraft remotely sensed imagery, with additional information on post-1989 forest afforestation and deforestation of planted forest used for estimating the change</w:t>
      </w:r>
    </w:p>
    <w:p w14:paraId="3F679500" w14:textId="77777777" w:rsidR="006611EE" w:rsidRPr="00261B7A" w:rsidRDefault="006611EE" w:rsidP="006611EE">
      <w:pPr>
        <w:pStyle w:val="Bullet"/>
      </w:pPr>
      <w:r w:rsidRPr="00261B7A">
        <w:t>development of databases and applications to store and process all data associated with LULUCF activities.</w:t>
      </w:r>
    </w:p>
    <w:bookmarkEnd w:id="91"/>
    <w:p w14:paraId="03CBF1C7" w14:textId="77777777" w:rsidR="006611EE" w:rsidRPr="00261B7A" w:rsidRDefault="006611EE" w:rsidP="006611EE">
      <w:pPr>
        <w:pStyle w:val="Heading4"/>
      </w:pPr>
      <w:r w:rsidRPr="00261B7A">
        <w:t>Waste</w:t>
      </w:r>
    </w:p>
    <w:p w14:paraId="42070B6D" w14:textId="77777777" w:rsidR="006611EE" w:rsidRPr="00261B7A" w:rsidRDefault="006611EE" w:rsidP="006611EE">
      <w:pPr>
        <w:pStyle w:val="BodyText"/>
      </w:pPr>
      <w:r w:rsidRPr="00261B7A">
        <w:t>Activity data have come from a variety of sources. Municipal solid waste disposal data, from mandatory reporting under the Waste Minimisation Act 2008 and from the NZ ETS, were used for the years for which they are available (2010 onwards). Activity data for all other sources were based on specific surveys. Interpolation based on gross domestic product (GDP) or population is used for other years.</w:t>
      </w:r>
    </w:p>
    <w:p w14:paraId="234E2DEA" w14:textId="77777777" w:rsidR="006611EE" w:rsidRPr="00261B7A" w:rsidRDefault="006611EE" w:rsidP="006611EE">
      <w:pPr>
        <w:pStyle w:val="BodyText"/>
      </w:pPr>
      <w:r w:rsidRPr="00261B7A">
        <w:t xml:space="preserve">New Zealand uses Tier 2 methodologies for estimating emissions from the </w:t>
      </w:r>
      <w:r w:rsidRPr="00261B7A">
        <w:rPr>
          <w:i/>
          <w:iCs/>
        </w:rPr>
        <w:t>Solid waste disposal</w:t>
      </w:r>
      <w:r w:rsidRPr="00261B7A">
        <w:t xml:space="preserve"> source category, which is a key category, and for some wastewater emissions. Tier 1 methods are used to estimate other emissions from the Waste sector.</w:t>
      </w:r>
    </w:p>
    <w:p w14:paraId="09443145" w14:textId="77777777" w:rsidR="006611EE" w:rsidRPr="00261B7A" w:rsidRDefault="006611EE" w:rsidP="006611EE">
      <w:pPr>
        <w:pStyle w:val="BodyText"/>
      </w:pPr>
      <w:r w:rsidRPr="00261B7A">
        <w:t>Country-specific emission factors have been used where available, including parameters for municipal waste (Eunomia, unpublished) and for treatment of some types of industrial wastewater (Cardno, unpublished).</w:t>
      </w:r>
    </w:p>
    <w:p w14:paraId="1822CD94" w14:textId="77777777" w:rsidR="006611EE" w:rsidRPr="00261B7A" w:rsidRDefault="006611EE" w:rsidP="006611EE">
      <w:pPr>
        <w:pStyle w:val="BodyText"/>
      </w:pPr>
      <w:r w:rsidRPr="00261B7A">
        <w:t>Methodological issues are discussed under each source category in chapter 7.</w:t>
      </w:r>
    </w:p>
    <w:p w14:paraId="0A35725F" w14:textId="77777777" w:rsidR="006611EE" w:rsidRPr="00261B7A" w:rsidRDefault="006611EE" w:rsidP="006611EE">
      <w:pPr>
        <w:pStyle w:val="Heading4"/>
      </w:pPr>
      <w:r w:rsidRPr="00261B7A">
        <w:t>Other sector (Tokelau)</w:t>
      </w:r>
    </w:p>
    <w:p w14:paraId="3F71648D" w14:textId="77777777" w:rsidR="006611EE" w:rsidRPr="00261B7A" w:rsidRDefault="006611EE" w:rsidP="006611EE">
      <w:pPr>
        <w:pStyle w:val="BodyText"/>
      </w:pPr>
      <w:r w:rsidRPr="00261B7A">
        <w:t>The Tokelau National Statistics Office collects and processes activity data from Tokelau for inventory preparation. Chapter 8, table 8.1.2 contains the key sources of the activity data from Tokelau used in Tokelau’s GHG inventory.</w:t>
      </w:r>
    </w:p>
    <w:p w14:paraId="7C2B5E58" w14:textId="77777777" w:rsidR="006611EE" w:rsidRPr="00261B7A" w:rsidRDefault="006611EE" w:rsidP="006611EE">
      <w:pPr>
        <w:pStyle w:val="Heading2"/>
      </w:pPr>
      <w:bookmarkStart w:id="92" w:name="_Toc131591207"/>
      <w:bookmarkStart w:id="93" w:name="key-categories"/>
      <w:bookmarkEnd w:id="89"/>
      <w:r w:rsidRPr="00261B7A">
        <w:lastRenderedPageBreak/>
        <w:t>1.5</w:t>
      </w:r>
      <w:r w:rsidRPr="00261B7A">
        <w:tab/>
        <w:t>Key categories</w:t>
      </w:r>
      <w:bookmarkEnd w:id="92"/>
    </w:p>
    <w:p w14:paraId="26CF501B" w14:textId="77777777" w:rsidR="006611EE" w:rsidRPr="00261B7A" w:rsidRDefault="006611EE" w:rsidP="006611EE">
      <w:pPr>
        <w:pStyle w:val="Heading3"/>
        <w:spacing w:before="240"/>
      </w:pPr>
      <w:bookmarkStart w:id="94" w:name="reporting-under-the-convention"/>
      <w:r w:rsidRPr="00261B7A">
        <w:t>1.5.1</w:t>
      </w:r>
      <w:r w:rsidRPr="00261B7A">
        <w:tab/>
        <w:t>Reporting under the Convention</w:t>
      </w:r>
    </w:p>
    <w:p w14:paraId="7A40D247" w14:textId="77777777" w:rsidR="006611EE" w:rsidRPr="00261B7A" w:rsidRDefault="006611EE" w:rsidP="006611EE">
      <w:pPr>
        <w:pStyle w:val="BodyText"/>
      </w:pPr>
      <w:r w:rsidRPr="00261B7A">
        <w:t>The 2006 IPCC Guidelines (IPCC, 2006) identify a key category as one that is prioritised within the national inventory system because its estimate has a significant influence on a country’s total inventory of direct greenhouse gases in terms of the absolute level of emissions, the trend in emissions, or both.</w:t>
      </w:r>
    </w:p>
    <w:p w14:paraId="23CFF005" w14:textId="77777777" w:rsidR="006611EE" w:rsidRPr="00261B7A" w:rsidRDefault="006611EE" w:rsidP="006611EE">
      <w:pPr>
        <w:pStyle w:val="BodyText"/>
      </w:pPr>
      <w:r w:rsidRPr="00261B7A">
        <w:t>Key categories identified within the inventory are used to prioritise inventory improvements.</w:t>
      </w:r>
    </w:p>
    <w:p w14:paraId="7B37BDF7" w14:textId="77777777" w:rsidR="006611EE" w:rsidRPr="00261B7A" w:rsidRDefault="006611EE" w:rsidP="006611EE">
      <w:pPr>
        <w:pStyle w:val="BodyText"/>
      </w:pPr>
      <w:r w:rsidRPr="00261B7A">
        <w:t>The key categories in the inventory have been assessed using the approach 1 level (L1) and approach 1 trend (T1) methodologies from the 2006 IPCC Guidelines (IPCC, 2006). This is because some categories in the inventory apply default uncertainty values for emissions estimates, and developing country-specific uncertainty values is resource prohibitive.</w:t>
      </w:r>
    </w:p>
    <w:p w14:paraId="247F97E1" w14:textId="77777777" w:rsidR="006611EE" w:rsidRPr="00261B7A" w:rsidRDefault="006611EE" w:rsidP="006611EE">
      <w:pPr>
        <w:pStyle w:val="BodyText"/>
      </w:pPr>
      <w:r w:rsidRPr="00261B7A">
        <w:t xml:space="preserve">The key category analysis identifies key categories of emissions and removals as those that sum to 95 per cent of the gross or net level of emissions and those that are within the top 95 per cent of the categories that contribute to the change between 1990 and 2021, or the trend of emissions. New Zealand does not currently use qualitative assessment to identify any key categories. The key categories identified in the 2021 year are summarised in table 1.5.1. </w:t>
      </w:r>
    </w:p>
    <w:p w14:paraId="4DF262FC" w14:textId="77777777" w:rsidR="006611EE" w:rsidRPr="00261B7A" w:rsidRDefault="006611EE" w:rsidP="006611EE">
      <w:pPr>
        <w:pStyle w:val="BodyText"/>
      </w:pPr>
      <w:r w:rsidRPr="00261B7A">
        <w:t>In accordance with the 2006 IPCC Guidelines (IPCC, 2006), the key category analysis is performed once for the inventory excluding the LULUCF sector and then repeated for the inventory including the LULUCF sector. Non-LULUCF categories that are identified as key in the first analysis are still counted even when they are not identified as a key category in the analysis that includes the LULUCF sector.</w:t>
      </w:r>
    </w:p>
    <w:p w14:paraId="66CC4BFD" w14:textId="77777777" w:rsidR="006611EE" w:rsidRPr="00261B7A" w:rsidRDefault="006611EE" w:rsidP="006611EE">
      <w:pPr>
        <w:pStyle w:val="BodyText"/>
      </w:pPr>
      <w:r w:rsidRPr="00261B7A">
        <w:t xml:space="preserve">The key category analysis performed for the inventory differs from that produced in the CRF </w:t>
      </w:r>
      <w:r w:rsidRPr="00261B7A">
        <w:rPr>
          <w:spacing w:val="-2"/>
        </w:rPr>
        <w:t>tables, because the level of aggregation of categories is adjusted to better reflect New Zealand’s</w:t>
      </w:r>
      <w:r w:rsidRPr="00261B7A">
        <w:t xml:space="preserve"> emissions profile. Specifically, a large proportion of emissions from the Energy and Agriculture sectors is disaggregated further than the key category analysis generated in the CRF tables, to allow for a more evenly proportioned analysis of categories.</w:t>
      </w:r>
    </w:p>
    <w:p w14:paraId="468C1F12" w14:textId="77777777" w:rsidR="006611EE" w:rsidRPr="00261B7A" w:rsidRDefault="006611EE" w:rsidP="006611EE">
      <w:pPr>
        <w:pStyle w:val="BodyText"/>
      </w:pPr>
      <w:r w:rsidRPr="00261B7A">
        <w:t>Table 1.5.2(a) identifies that the major contributions to the level analysis of net emissions for 2021 are:</w:t>
      </w:r>
    </w:p>
    <w:p w14:paraId="0890E08A" w14:textId="77777777" w:rsidR="006611EE" w:rsidRPr="00261B7A" w:rsidRDefault="006611EE" w:rsidP="006611EE">
      <w:pPr>
        <w:pStyle w:val="Bullet"/>
      </w:pPr>
      <w:r w:rsidRPr="00261B7A">
        <w:t>CH</w:t>
      </w:r>
      <w:r w:rsidRPr="00261B7A">
        <w:rPr>
          <w:vertAlign w:val="subscript"/>
        </w:rPr>
        <w:t>4</w:t>
      </w:r>
      <w:r w:rsidRPr="00261B7A">
        <w:t xml:space="preserve"> emissions from </w:t>
      </w:r>
      <w:r w:rsidRPr="00261B7A">
        <w:rPr>
          <w:i/>
          <w:iCs/>
        </w:rPr>
        <w:t>Dairy cattle – Enteric fermentation</w:t>
      </w:r>
      <w:r w:rsidRPr="00261B7A">
        <w:t xml:space="preserve"> (12.7 per cent)</w:t>
      </w:r>
    </w:p>
    <w:p w14:paraId="3902D04C" w14:textId="77777777" w:rsidR="006611EE" w:rsidRPr="00261B7A" w:rsidRDefault="006611EE" w:rsidP="006611EE">
      <w:pPr>
        <w:pStyle w:val="Bullet"/>
      </w:pPr>
      <w:r w:rsidRPr="00261B7A">
        <w:t>CO</w:t>
      </w:r>
      <w:r w:rsidRPr="00261B7A">
        <w:rPr>
          <w:vertAlign w:val="subscript"/>
        </w:rPr>
        <w:t>2</w:t>
      </w:r>
      <w:r w:rsidRPr="00261B7A">
        <w:t xml:space="preserve"> emissions from </w:t>
      </w:r>
      <w:r w:rsidRPr="00261B7A">
        <w:rPr>
          <w:i/>
          <w:iCs/>
        </w:rPr>
        <w:t>Road transportation – Liquid fuels</w:t>
      </w:r>
      <w:r w:rsidRPr="00261B7A">
        <w:t xml:space="preserve"> (11.9 per cent)</w:t>
      </w:r>
    </w:p>
    <w:p w14:paraId="3BFDB5FF" w14:textId="77777777" w:rsidR="006611EE" w:rsidRPr="00261B7A" w:rsidRDefault="006611EE" w:rsidP="006611EE">
      <w:pPr>
        <w:pStyle w:val="Bullet"/>
      </w:pPr>
      <w:r w:rsidRPr="00261B7A">
        <w:t>CO</w:t>
      </w:r>
      <w:r w:rsidRPr="00261B7A">
        <w:rPr>
          <w:vertAlign w:val="subscript"/>
        </w:rPr>
        <w:t>2</w:t>
      </w:r>
      <w:r w:rsidRPr="00261B7A">
        <w:t xml:space="preserve"> emissions from </w:t>
      </w:r>
      <w:r w:rsidRPr="00261B7A">
        <w:rPr>
          <w:i/>
          <w:iCs/>
        </w:rPr>
        <w:t>Forest land remaining forest land</w:t>
      </w:r>
      <w:r w:rsidRPr="00261B7A">
        <w:t xml:space="preserve"> (11.6 per cent)</w:t>
      </w:r>
    </w:p>
    <w:p w14:paraId="0F3BCEEE" w14:textId="77777777" w:rsidR="006611EE" w:rsidRPr="00261B7A" w:rsidRDefault="006611EE" w:rsidP="006611EE">
      <w:pPr>
        <w:pStyle w:val="Bullet"/>
      </w:pPr>
      <w:r w:rsidRPr="00261B7A">
        <w:t>CO</w:t>
      </w:r>
      <w:r w:rsidRPr="00261B7A">
        <w:rPr>
          <w:vertAlign w:val="subscript"/>
        </w:rPr>
        <w:t>2</w:t>
      </w:r>
      <w:r w:rsidRPr="00261B7A">
        <w:t xml:space="preserve"> emissions from </w:t>
      </w:r>
      <w:r w:rsidRPr="00261B7A">
        <w:rPr>
          <w:i/>
          <w:iCs/>
        </w:rPr>
        <w:t>Harvested wood products</w:t>
      </w:r>
      <w:r w:rsidRPr="00261B7A">
        <w:t xml:space="preserve"> (8.2 per cent).</w:t>
      </w:r>
    </w:p>
    <w:p w14:paraId="047E4B65" w14:textId="77777777" w:rsidR="006611EE" w:rsidRPr="00261B7A" w:rsidRDefault="006611EE" w:rsidP="006611EE">
      <w:pPr>
        <w:pStyle w:val="BodyText"/>
      </w:pPr>
      <w:r w:rsidRPr="00261B7A">
        <w:t>As detailed in table 1.5.3(a), the key categories that were identified as having the largest relative influence on the trend, when compared with the average change in net emissions from 1990 to 2021, are:</w:t>
      </w:r>
    </w:p>
    <w:p w14:paraId="7C1F0761" w14:textId="77777777" w:rsidR="006611EE" w:rsidRPr="00261B7A" w:rsidRDefault="006611EE" w:rsidP="006611EE">
      <w:pPr>
        <w:pStyle w:val="Bullet"/>
      </w:pPr>
      <w:r w:rsidRPr="00261B7A">
        <w:t>CO</w:t>
      </w:r>
      <w:r w:rsidRPr="00261B7A">
        <w:rPr>
          <w:vertAlign w:val="subscript"/>
        </w:rPr>
        <w:t>2</w:t>
      </w:r>
      <w:r w:rsidRPr="00261B7A">
        <w:t xml:space="preserve"> emissions from </w:t>
      </w:r>
      <w:r w:rsidRPr="00261B7A">
        <w:rPr>
          <w:i/>
          <w:iCs/>
        </w:rPr>
        <w:t>Forest land remaining forest land</w:t>
      </w:r>
      <w:r w:rsidRPr="00261B7A">
        <w:t xml:space="preserve"> (15.5 per cent as a decrease)</w:t>
      </w:r>
    </w:p>
    <w:p w14:paraId="4D6AFC17" w14:textId="77777777" w:rsidR="006611EE" w:rsidRPr="00261B7A" w:rsidRDefault="006611EE" w:rsidP="006611EE">
      <w:pPr>
        <w:pStyle w:val="Bullet"/>
      </w:pPr>
      <w:r w:rsidRPr="00261B7A">
        <w:t>CH</w:t>
      </w:r>
      <w:r w:rsidRPr="00261B7A">
        <w:rPr>
          <w:vertAlign w:val="subscript"/>
        </w:rPr>
        <w:t>4</w:t>
      </w:r>
      <w:r w:rsidRPr="00261B7A">
        <w:t xml:space="preserve"> emissions from </w:t>
      </w:r>
      <w:r w:rsidRPr="00261B7A">
        <w:rPr>
          <w:i/>
          <w:iCs/>
        </w:rPr>
        <w:t>Sheep – Enteric fermentation</w:t>
      </w:r>
      <w:r w:rsidRPr="00261B7A">
        <w:t xml:space="preserve"> (13.4 per cent as a decrease)</w:t>
      </w:r>
    </w:p>
    <w:p w14:paraId="1C55CEE8" w14:textId="77777777" w:rsidR="006611EE" w:rsidRPr="00261B7A" w:rsidRDefault="006611EE" w:rsidP="006611EE">
      <w:pPr>
        <w:pStyle w:val="Bullet"/>
      </w:pPr>
      <w:r w:rsidRPr="00261B7A">
        <w:t>CO</w:t>
      </w:r>
      <w:r w:rsidRPr="00261B7A">
        <w:rPr>
          <w:vertAlign w:val="subscript"/>
        </w:rPr>
        <w:t>2</w:t>
      </w:r>
      <w:r w:rsidRPr="00261B7A">
        <w:t xml:space="preserve"> emissions from </w:t>
      </w:r>
      <w:r w:rsidRPr="00261B7A">
        <w:rPr>
          <w:i/>
          <w:iCs/>
        </w:rPr>
        <w:t>Forest land – Land converted to forest land</w:t>
      </w:r>
      <w:r w:rsidRPr="00261B7A">
        <w:t xml:space="preserve"> (13.4 per cent as an increase)</w:t>
      </w:r>
    </w:p>
    <w:p w14:paraId="22EF57E0" w14:textId="77777777" w:rsidR="006611EE" w:rsidRPr="00261B7A" w:rsidRDefault="006611EE" w:rsidP="006611EE">
      <w:pPr>
        <w:pStyle w:val="Bullet"/>
      </w:pPr>
      <w:r w:rsidRPr="00261B7A">
        <w:t>CO</w:t>
      </w:r>
      <w:r w:rsidRPr="00261B7A">
        <w:rPr>
          <w:vertAlign w:val="subscript"/>
        </w:rPr>
        <w:t>2</w:t>
      </w:r>
      <w:r w:rsidRPr="00261B7A">
        <w:t xml:space="preserve"> emissions from </w:t>
      </w:r>
      <w:r w:rsidRPr="00261B7A">
        <w:rPr>
          <w:i/>
          <w:iCs/>
        </w:rPr>
        <w:t>Forest land – Harvested wood products</w:t>
      </w:r>
      <w:r w:rsidRPr="00261B7A">
        <w:t xml:space="preserve"> (9.1 per cent as a decrease).</w:t>
      </w:r>
    </w:p>
    <w:p w14:paraId="530AEBB0" w14:textId="77777777" w:rsidR="006611EE" w:rsidRPr="00261B7A" w:rsidRDefault="006611EE" w:rsidP="006611EE">
      <w:pPr>
        <w:pStyle w:val="BodyText"/>
      </w:pPr>
      <w:r w:rsidRPr="00261B7A">
        <w:lastRenderedPageBreak/>
        <w:t>For gross emissions, table 1.5.2(b) identifies that the major contributions to the level analysis for 2021 are:</w:t>
      </w:r>
    </w:p>
    <w:p w14:paraId="6500AB6F" w14:textId="77777777" w:rsidR="006611EE" w:rsidRPr="00261B7A" w:rsidRDefault="006611EE" w:rsidP="006611EE">
      <w:pPr>
        <w:pStyle w:val="Bullet"/>
      </w:pPr>
      <w:r w:rsidRPr="00261B7A">
        <w:t>CH</w:t>
      </w:r>
      <w:r w:rsidRPr="00261B7A">
        <w:rPr>
          <w:vertAlign w:val="subscript"/>
        </w:rPr>
        <w:t>4</w:t>
      </w:r>
      <w:r w:rsidRPr="00261B7A">
        <w:t xml:space="preserve"> emissions from </w:t>
      </w:r>
      <w:r w:rsidRPr="00261B7A">
        <w:rPr>
          <w:i/>
          <w:iCs/>
        </w:rPr>
        <w:t>Dairy cattle</w:t>
      </w:r>
      <w:r w:rsidRPr="00261B7A">
        <w:t xml:space="preserve"> – </w:t>
      </w:r>
      <w:r w:rsidRPr="00261B7A">
        <w:rPr>
          <w:i/>
          <w:iCs/>
        </w:rPr>
        <w:t>Enteric fermentation</w:t>
      </w:r>
      <w:r w:rsidRPr="00261B7A">
        <w:t xml:space="preserve"> (17.4 per cent)</w:t>
      </w:r>
    </w:p>
    <w:p w14:paraId="65BD9BC3" w14:textId="77777777" w:rsidR="006611EE" w:rsidRPr="00261B7A" w:rsidRDefault="006611EE" w:rsidP="006611EE">
      <w:pPr>
        <w:pStyle w:val="Bullet"/>
      </w:pPr>
      <w:r w:rsidRPr="00261B7A">
        <w:t>CO</w:t>
      </w:r>
      <w:r w:rsidRPr="00261B7A">
        <w:rPr>
          <w:vertAlign w:val="subscript"/>
        </w:rPr>
        <w:t>2</w:t>
      </w:r>
      <w:r w:rsidRPr="00261B7A">
        <w:t xml:space="preserve"> emissions from </w:t>
      </w:r>
      <w:r w:rsidRPr="00261B7A">
        <w:rPr>
          <w:i/>
          <w:iCs/>
        </w:rPr>
        <w:t>Road transportation – Liquid fuels</w:t>
      </w:r>
      <w:r w:rsidRPr="00261B7A">
        <w:t xml:space="preserve"> (16.3 per cent)</w:t>
      </w:r>
    </w:p>
    <w:p w14:paraId="360D6AE5" w14:textId="77777777" w:rsidR="006611EE" w:rsidRPr="00261B7A" w:rsidRDefault="006611EE" w:rsidP="006611EE">
      <w:pPr>
        <w:pStyle w:val="Bullet"/>
      </w:pPr>
      <w:r w:rsidRPr="00261B7A">
        <w:t>CH</w:t>
      </w:r>
      <w:r w:rsidRPr="00261B7A">
        <w:rPr>
          <w:vertAlign w:val="subscript"/>
        </w:rPr>
        <w:t>4</w:t>
      </w:r>
      <w:r w:rsidRPr="00261B7A">
        <w:t xml:space="preserve"> emissions from </w:t>
      </w:r>
      <w:r w:rsidRPr="00261B7A">
        <w:rPr>
          <w:i/>
          <w:iCs/>
        </w:rPr>
        <w:t>Sheep – Enteric fermentation</w:t>
      </w:r>
      <w:r w:rsidRPr="00261B7A">
        <w:t xml:space="preserve"> (10.4 per cent)</w:t>
      </w:r>
    </w:p>
    <w:p w14:paraId="3BCAB1FA" w14:textId="77777777" w:rsidR="006611EE" w:rsidRPr="00261B7A" w:rsidRDefault="006611EE" w:rsidP="006611EE">
      <w:pPr>
        <w:pStyle w:val="Bullet"/>
      </w:pPr>
      <w:r w:rsidRPr="00261B7A">
        <w:t>CH</w:t>
      </w:r>
      <w:r w:rsidRPr="00261B7A">
        <w:rPr>
          <w:vertAlign w:val="subscript"/>
        </w:rPr>
        <w:t>4</w:t>
      </w:r>
      <w:r w:rsidRPr="00261B7A">
        <w:t xml:space="preserve"> emissions from </w:t>
      </w:r>
      <w:r w:rsidRPr="00261B7A">
        <w:rPr>
          <w:i/>
          <w:iCs/>
        </w:rPr>
        <w:t>Non-dairy</w:t>
      </w:r>
      <w:r w:rsidRPr="00261B7A">
        <w:t xml:space="preserve"> (beef) </w:t>
      </w:r>
      <w:r w:rsidRPr="00261B7A">
        <w:rPr>
          <w:i/>
          <w:iCs/>
        </w:rPr>
        <w:t>cattle – Enteric fermentation</w:t>
      </w:r>
      <w:r w:rsidRPr="00261B7A">
        <w:t xml:space="preserve"> (7.7 per cent).</w:t>
      </w:r>
    </w:p>
    <w:p w14:paraId="6A1A950A" w14:textId="77777777" w:rsidR="006611EE" w:rsidRPr="00261B7A" w:rsidRDefault="006611EE" w:rsidP="006611EE">
      <w:pPr>
        <w:pStyle w:val="BodyText"/>
      </w:pPr>
      <w:r w:rsidRPr="00261B7A">
        <w:t>As detailed in table 1.5.3(b), the key categories that were identified as having the largest relative influence on the trend, when compared with the average change in gross emissions from 1990 to 2021, are:</w:t>
      </w:r>
    </w:p>
    <w:p w14:paraId="18D49CF1" w14:textId="77777777" w:rsidR="006611EE" w:rsidRPr="00261B7A" w:rsidRDefault="006611EE" w:rsidP="006611EE">
      <w:pPr>
        <w:pStyle w:val="Bullet"/>
      </w:pPr>
      <w:r w:rsidRPr="00261B7A">
        <w:t>CH</w:t>
      </w:r>
      <w:r w:rsidRPr="00261B7A">
        <w:rPr>
          <w:vertAlign w:val="subscript"/>
        </w:rPr>
        <w:t>4</w:t>
      </w:r>
      <w:r w:rsidRPr="00261B7A">
        <w:t xml:space="preserve"> emissions from </w:t>
      </w:r>
      <w:r w:rsidRPr="00261B7A">
        <w:rPr>
          <w:i/>
          <w:iCs/>
        </w:rPr>
        <w:t>Sheep</w:t>
      </w:r>
      <w:r w:rsidRPr="00261B7A">
        <w:t xml:space="preserve"> – </w:t>
      </w:r>
      <w:r w:rsidRPr="00261B7A">
        <w:rPr>
          <w:i/>
          <w:iCs/>
        </w:rPr>
        <w:t>Enteric fermentation</w:t>
      </w:r>
      <w:r w:rsidRPr="00261B7A">
        <w:t xml:space="preserve"> (21.5 per cent as a decrease)</w:t>
      </w:r>
    </w:p>
    <w:p w14:paraId="2F958A24" w14:textId="77777777" w:rsidR="006611EE" w:rsidRPr="00261B7A" w:rsidRDefault="006611EE" w:rsidP="006611EE">
      <w:pPr>
        <w:pStyle w:val="Bullet"/>
      </w:pPr>
      <w:r w:rsidRPr="00261B7A">
        <w:t>CH</w:t>
      </w:r>
      <w:r w:rsidRPr="00261B7A">
        <w:rPr>
          <w:vertAlign w:val="subscript"/>
        </w:rPr>
        <w:t>4</w:t>
      </w:r>
      <w:r w:rsidRPr="00261B7A">
        <w:t xml:space="preserve"> emissions from </w:t>
      </w:r>
      <w:r w:rsidRPr="00261B7A">
        <w:rPr>
          <w:i/>
          <w:iCs/>
        </w:rPr>
        <w:t>Dairy cattle</w:t>
      </w:r>
      <w:r w:rsidRPr="00261B7A">
        <w:t xml:space="preserve"> – </w:t>
      </w:r>
      <w:r w:rsidRPr="00261B7A">
        <w:rPr>
          <w:i/>
          <w:iCs/>
        </w:rPr>
        <w:t>Enteric fermentation</w:t>
      </w:r>
      <w:r w:rsidRPr="00261B7A">
        <w:t xml:space="preserve"> (14.8 per cent as an increase)</w:t>
      </w:r>
    </w:p>
    <w:p w14:paraId="16E15096" w14:textId="77777777" w:rsidR="006611EE" w:rsidRPr="00261B7A" w:rsidRDefault="006611EE" w:rsidP="006611EE">
      <w:pPr>
        <w:pStyle w:val="Bullet"/>
      </w:pPr>
      <w:r w:rsidRPr="00261B7A">
        <w:t>CO</w:t>
      </w:r>
      <w:r w:rsidRPr="00261B7A">
        <w:rPr>
          <w:vertAlign w:val="subscript"/>
        </w:rPr>
        <w:t>2</w:t>
      </w:r>
      <w:r w:rsidRPr="00261B7A">
        <w:t xml:space="preserve"> emissions from </w:t>
      </w:r>
      <w:r w:rsidRPr="00261B7A">
        <w:rPr>
          <w:i/>
          <w:iCs/>
        </w:rPr>
        <w:t>Road transportation – Liquid fuels</w:t>
      </w:r>
      <w:r w:rsidRPr="00261B7A">
        <w:t xml:space="preserve"> (11.4 per cent as an increase)</w:t>
      </w:r>
    </w:p>
    <w:p w14:paraId="5CDD453C" w14:textId="77777777" w:rsidR="006611EE" w:rsidRPr="00261B7A" w:rsidRDefault="006611EE" w:rsidP="006611EE">
      <w:pPr>
        <w:pStyle w:val="Bullet"/>
      </w:pPr>
      <w:r w:rsidRPr="00261B7A">
        <w:t>CO</w:t>
      </w:r>
      <w:r w:rsidRPr="00261B7A">
        <w:rPr>
          <w:vertAlign w:val="subscript"/>
        </w:rPr>
        <w:t>2</w:t>
      </w:r>
      <w:r w:rsidRPr="00261B7A">
        <w:t xml:space="preserve"> emissions from</w:t>
      </w:r>
      <w:r w:rsidRPr="00261B7A">
        <w:rPr>
          <w:i/>
          <w:iCs/>
        </w:rPr>
        <w:t xml:space="preserve"> Energy industries – Manufacture of solid fuels</w:t>
      </w:r>
      <w:r w:rsidRPr="00261B7A">
        <w:t xml:space="preserve"> and </w:t>
      </w:r>
      <w:r w:rsidRPr="00261B7A">
        <w:rPr>
          <w:i/>
          <w:iCs/>
        </w:rPr>
        <w:t>Other energy industries – Gaseous fuels</w:t>
      </w:r>
      <w:r w:rsidRPr="00261B7A">
        <w:t xml:space="preserve"> (4.3 per cent as a decrease).</w:t>
      </w:r>
    </w:p>
    <w:p w14:paraId="2FB5F839" w14:textId="77777777" w:rsidR="006611EE" w:rsidRPr="00261B7A" w:rsidRDefault="006611EE" w:rsidP="006611EE">
      <w:pPr>
        <w:pStyle w:val="Table"/>
      </w:pPr>
      <w:bookmarkStart w:id="95" w:name="_Toc130898914"/>
      <w:bookmarkStart w:id="96" w:name="_Toc131591310"/>
      <w:r w:rsidRPr="00261B7A">
        <w:t>Table 1.5.1</w:t>
      </w:r>
      <w:r w:rsidRPr="00261B7A">
        <w:tab/>
        <w:t xml:space="preserve">Summary of New Zealand’s key categories for the </w:t>
      </w:r>
      <w:r w:rsidRPr="00261B7A">
        <w:rPr>
          <w:bCs/>
        </w:rPr>
        <w:t>2021</w:t>
      </w:r>
      <w:r w:rsidRPr="00261B7A">
        <w:t xml:space="preserve"> level assessment and the trend assessment for 1990 to </w:t>
      </w:r>
      <w:r w:rsidRPr="00261B7A">
        <w:rPr>
          <w:bCs/>
        </w:rPr>
        <w:t>2021</w:t>
      </w:r>
      <w:r w:rsidRPr="00261B7A">
        <w:t xml:space="preserve"> (including LULUCF activities)</w:t>
      </w:r>
      <w:bookmarkEnd w:id="95"/>
      <w:bookmarkEnd w:id="96"/>
    </w:p>
    <w:tbl>
      <w:tblPr>
        <w:tblW w:w="8505" w:type="dxa"/>
        <w:tblBorders>
          <w:top w:val="single" w:sz="4" w:space="0" w:color="1B556B"/>
          <w:bottom w:val="single" w:sz="4" w:space="0" w:color="1B556B"/>
          <w:insideH w:val="single" w:sz="4" w:space="0" w:color="1B556B"/>
        </w:tblBorders>
        <w:tblCellMar>
          <w:right w:w="85" w:type="dxa"/>
        </w:tblCellMar>
        <w:tblLook w:val="0420" w:firstRow="1" w:lastRow="0" w:firstColumn="0" w:lastColumn="0" w:noHBand="0" w:noVBand="1"/>
      </w:tblPr>
      <w:tblGrid>
        <w:gridCol w:w="1641"/>
        <w:gridCol w:w="5214"/>
        <w:gridCol w:w="532"/>
        <w:gridCol w:w="1118"/>
      </w:tblGrid>
      <w:tr w:rsidR="006611EE" w:rsidRPr="00261B7A" w14:paraId="62C5AE48" w14:textId="77777777" w:rsidTr="000F09B5">
        <w:trPr>
          <w:tblHeader/>
        </w:trPr>
        <w:tc>
          <w:tcPr>
            <w:tcW w:w="1588" w:type="dxa"/>
            <w:shd w:val="clear" w:color="auto" w:fill="1B556B"/>
          </w:tcPr>
          <w:p w14:paraId="73006BFC" w14:textId="77777777" w:rsidR="006611EE" w:rsidRPr="00261B7A" w:rsidRDefault="006611EE" w:rsidP="000F09B5">
            <w:pPr>
              <w:pStyle w:val="TableText"/>
              <w:spacing w:before="50" w:after="50"/>
              <w:rPr>
                <w:rFonts w:cs="Calibri"/>
                <w:b/>
                <w:bCs/>
                <w:color w:val="FFFFFF" w:themeColor="background1"/>
                <w:szCs w:val="16"/>
              </w:rPr>
            </w:pPr>
            <w:r w:rsidRPr="00261B7A">
              <w:rPr>
                <w:rFonts w:eastAsia="Calibri" w:cs="Calibri"/>
                <w:b/>
                <w:bCs/>
                <w:color w:val="FFFFFF" w:themeColor="background1"/>
                <w:szCs w:val="16"/>
              </w:rPr>
              <w:t>Quantitative method used: IPCC Tier 1</w:t>
            </w:r>
          </w:p>
        </w:tc>
        <w:tc>
          <w:tcPr>
            <w:tcW w:w="5046" w:type="dxa"/>
            <w:shd w:val="clear" w:color="auto" w:fill="1B556B"/>
          </w:tcPr>
          <w:p w14:paraId="723B951C" w14:textId="77777777" w:rsidR="006611EE" w:rsidRPr="00261B7A" w:rsidRDefault="006611EE" w:rsidP="000F09B5">
            <w:pPr>
              <w:pStyle w:val="TableText"/>
              <w:spacing w:before="50" w:after="50"/>
              <w:rPr>
                <w:rFonts w:cs="Calibri"/>
                <w:b/>
                <w:bCs/>
                <w:color w:val="FFFFFF" w:themeColor="background1"/>
                <w:szCs w:val="16"/>
              </w:rPr>
            </w:pPr>
          </w:p>
        </w:tc>
        <w:tc>
          <w:tcPr>
            <w:tcW w:w="454" w:type="dxa"/>
            <w:shd w:val="clear" w:color="auto" w:fill="1B556B"/>
          </w:tcPr>
          <w:p w14:paraId="72D44908" w14:textId="77777777" w:rsidR="006611EE" w:rsidRPr="00261B7A" w:rsidRDefault="006611EE" w:rsidP="00FE7C63">
            <w:pPr>
              <w:pStyle w:val="TableText"/>
              <w:spacing w:before="50" w:after="50"/>
              <w:jc w:val="center"/>
              <w:rPr>
                <w:rFonts w:cs="Calibri"/>
                <w:b/>
                <w:bCs/>
                <w:color w:val="FFFFFF" w:themeColor="background1"/>
                <w:szCs w:val="16"/>
              </w:rPr>
            </w:pPr>
          </w:p>
        </w:tc>
        <w:tc>
          <w:tcPr>
            <w:tcW w:w="851" w:type="dxa"/>
            <w:shd w:val="clear" w:color="auto" w:fill="1B556B"/>
          </w:tcPr>
          <w:p w14:paraId="5502AD78" w14:textId="77777777" w:rsidR="006611EE" w:rsidRPr="00261B7A" w:rsidRDefault="006611EE" w:rsidP="000F09B5">
            <w:pPr>
              <w:pStyle w:val="TableText"/>
              <w:spacing w:before="50" w:after="50"/>
              <w:rPr>
                <w:rFonts w:cs="Calibri"/>
                <w:b/>
                <w:bCs/>
                <w:color w:val="FFFFFF" w:themeColor="background1"/>
                <w:szCs w:val="16"/>
              </w:rPr>
            </w:pPr>
          </w:p>
        </w:tc>
      </w:tr>
      <w:tr w:rsidR="006611EE" w:rsidRPr="00261B7A" w14:paraId="281D6FF5" w14:textId="77777777" w:rsidTr="000F09B5">
        <w:tc>
          <w:tcPr>
            <w:tcW w:w="1588" w:type="dxa"/>
            <w:shd w:val="clear" w:color="auto" w:fill="FFFFFF"/>
            <w:vAlign w:val="bottom"/>
          </w:tcPr>
          <w:p w14:paraId="54BBEA41" w14:textId="77777777" w:rsidR="006611EE" w:rsidRPr="00261B7A" w:rsidRDefault="006611EE" w:rsidP="000F09B5">
            <w:pPr>
              <w:pStyle w:val="TableText"/>
              <w:spacing w:before="50" w:after="50"/>
              <w:rPr>
                <w:rFonts w:cs="Calibri"/>
                <w:b/>
                <w:bCs/>
                <w:szCs w:val="16"/>
              </w:rPr>
            </w:pPr>
            <w:r w:rsidRPr="00261B7A">
              <w:rPr>
                <w:rFonts w:eastAsia="Calibri" w:cs="Calibri"/>
                <w:b/>
                <w:bCs/>
                <w:color w:val="000000"/>
                <w:szCs w:val="16"/>
              </w:rPr>
              <w:t>CRF Category code</w:t>
            </w:r>
          </w:p>
        </w:tc>
        <w:tc>
          <w:tcPr>
            <w:tcW w:w="5046" w:type="dxa"/>
            <w:shd w:val="clear" w:color="auto" w:fill="FFFFFF"/>
            <w:vAlign w:val="bottom"/>
          </w:tcPr>
          <w:p w14:paraId="4816A13F" w14:textId="77777777" w:rsidR="006611EE" w:rsidRPr="00261B7A" w:rsidRDefault="006611EE" w:rsidP="000F09B5">
            <w:pPr>
              <w:pStyle w:val="TableText"/>
              <w:spacing w:before="50" w:after="50"/>
              <w:rPr>
                <w:rFonts w:cs="Calibri"/>
                <w:b/>
                <w:bCs/>
                <w:szCs w:val="16"/>
              </w:rPr>
            </w:pPr>
            <w:r w:rsidRPr="00261B7A">
              <w:rPr>
                <w:rFonts w:eastAsia="Calibri" w:cs="Calibri"/>
                <w:b/>
                <w:bCs/>
                <w:color w:val="000000"/>
                <w:szCs w:val="16"/>
              </w:rPr>
              <w:t>IPCC Category</w:t>
            </w:r>
          </w:p>
        </w:tc>
        <w:tc>
          <w:tcPr>
            <w:tcW w:w="454" w:type="dxa"/>
            <w:shd w:val="clear" w:color="auto" w:fill="FFFFFF"/>
            <w:vAlign w:val="bottom"/>
          </w:tcPr>
          <w:p w14:paraId="2734BB5D" w14:textId="77777777" w:rsidR="006611EE" w:rsidRPr="00261B7A" w:rsidRDefault="006611EE" w:rsidP="00FE7C63">
            <w:pPr>
              <w:pStyle w:val="TableText"/>
              <w:spacing w:before="50" w:after="50"/>
              <w:jc w:val="center"/>
              <w:rPr>
                <w:rFonts w:cs="Calibri"/>
                <w:b/>
                <w:bCs/>
                <w:szCs w:val="16"/>
              </w:rPr>
            </w:pPr>
            <w:r w:rsidRPr="00261B7A">
              <w:rPr>
                <w:rFonts w:eastAsia="Calibri" w:cs="Calibri"/>
                <w:b/>
                <w:bCs/>
                <w:color w:val="000000"/>
                <w:szCs w:val="16"/>
              </w:rPr>
              <w:t>Gas</w:t>
            </w:r>
          </w:p>
        </w:tc>
        <w:tc>
          <w:tcPr>
            <w:tcW w:w="851" w:type="dxa"/>
            <w:shd w:val="clear" w:color="auto" w:fill="FFFFFF"/>
            <w:vAlign w:val="bottom"/>
          </w:tcPr>
          <w:p w14:paraId="2D04B195" w14:textId="77777777" w:rsidR="006611EE" w:rsidRPr="00261B7A" w:rsidRDefault="006611EE" w:rsidP="000F09B5">
            <w:pPr>
              <w:pStyle w:val="TableText"/>
              <w:spacing w:before="50" w:after="50"/>
              <w:rPr>
                <w:rFonts w:cs="Calibri"/>
                <w:b/>
                <w:bCs/>
                <w:szCs w:val="16"/>
              </w:rPr>
            </w:pPr>
            <w:r w:rsidRPr="00261B7A">
              <w:rPr>
                <w:rFonts w:eastAsia="Calibri" w:cs="Calibri"/>
                <w:b/>
                <w:bCs/>
                <w:color w:val="000000"/>
                <w:szCs w:val="16"/>
              </w:rPr>
              <w:t>Criteria for identification</w:t>
            </w:r>
          </w:p>
        </w:tc>
      </w:tr>
      <w:tr w:rsidR="006611EE" w:rsidRPr="00261B7A" w14:paraId="20CC815B" w14:textId="77777777" w:rsidTr="000F09B5">
        <w:tc>
          <w:tcPr>
            <w:tcW w:w="1588" w:type="dxa"/>
            <w:shd w:val="clear" w:color="auto" w:fill="FFFFFF"/>
          </w:tcPr>
          <w:p w14:paraId="0C5CC0C8" w14:textId="77777777" w:rsidR="006611EE" w:rsidRPr="00261B7A" w:rsidRDefault="006611EE" w:rsidP="000F09B5">
            <w:pPr>
              <w:pStyle w:val="TableText"/>
              <w:spacing w:before="50" w:after="50"/>
              <w:rPr>
                <w:rFonts w:cs="Calibri"/>
                <w:b/>
                <w:bCs/>
                <w:szCs w:val="16"/>
              </w:rPr>
            </w:pPr>
            <w:r w:rsidRPr="00261B7A">
              <w:rPr>
                <w:rFonts w:eastAsia="Calibri" w:cs="Calibri"/>
                <w:b/>
                <w:bCs/>
                <w:color w:val="000000"/>
                <w:szCs w:val="16"/>
              </w:rPr>
              <w:t>Energy</w:t>
            </w:r>
          </w:p>
        </w:tc>
        <w:tc>
          <w:tcPr>
            <w:tcW w:w="5046" w:type="dxa"/>
            <w:shd w:val="clear" w:color="auto" w:fill="FFFFFF"/>
          </w:tcPr>
          <w:p w14:paraId="5D5C63AA" w14:textId="77777777" w:rsidR="006611EE" w:rsidRPr="00261B7A" w:rsidRDefault="006611EE" w:rsidP="000F09B5">
            <w:pPr>
              <w:pStyle w:val="TableText"/>
              <w:spacing w:before="50" w:after="50"/>
              <w:rPr>
                <w:rFonts w:cs="Calibri"/>
                <w:b/>
                <w:bCs/>
                <w:szCs w:val="16"/>
              </w:rPr>
            </w:pPr>
          </w:p>
        </w:tc>
        <w:tc>
          <w:tcPr>
            <w:tcW w:w="454" w:type="dxa"/>
            <w:shd w:val="clear" w:color="auto" w:fill="FFFFFF"/>
          </w:tcPr>
          <w:p w14:paraId="3C6854A3" w14:textId="77777777" w:rsidR="006611EE" w:rsidRPr="00261B7A" w:rsidRDefault="006611EE" w:rsidP="00FE7C63">
            <w:pPr>
              <w:pStyle w:val="TableText"/>
              <w:spacing w:before="50" w:after="50"/>
              <w:jc w:val="center"/>
              <w:rPr>
                <w:rFonts w:cs="Calibri"/>
                <w:b/>
                <w:bCs/>
                <w:szCs w:val="16"/>
              </w:rPr>
            </w:pPr>
          </w:p>
        </w:tc>
        <w:tc>
          <w:tcPr>
            <w:tcW w:w="851" w:type="dxa"/>
            <w:shd w:val="clear" w:color="auto" w:fill="FFFFFF"/>
          </w:tcPr>
          <w:p w14:paraId="0983CFEE" w14:textId="77777777" w:rsidR="006611EE" w:rsidRPr="00261B7A" w:rsidRDefault="006611EE" w:rsidP="000F09B5">
            <w:pPr>
              <w:pStyle w:val="TableText"/>
              <w:spacing w:before="50" w:after="50"/>
              <w:rPr>
                <w:rFonts w:cs="Calibri"/>
                <w:b/>
                <w:bCs/>
                <w:szCs w:val="16"/>
              </w:rPr>
            </w:pPr>
          </w:p>
        </w:tc>
      </w:tr>
      <w:tr w:rsidR="006611EE" w:rsidRPr="00261B7A" w14:paraId="153806A8" w14:textId="77777777" w:rsidTr="000F09B5">
        <w:tc>
          <w:tcPr>
            <w:tcW w:w="1588" w:type="dxa"/>
            <w:shd w:val="clear" w:color="auto" w:fill="FFFFFF"/>
          </w:tcPr>
          <w:p w14:paraId="608B33C2"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1.A.1.a</w:t>
            </w:r>
          </w:p>
        </w:tc>
        <w:tc>
          <w:tcPr>
            <w:tcW w:w="5046" w:type="dxa"/>
            <w:shd w:val="clear" w:color="auto" w:fill="FFFFFF"/>
          </w:tcPr>
          <w:p w14:paraId="574D800D"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Energy Industries – Public Electricity and Heat Production Solid Fuels</w:t>
            </w:r>
          </w:p>
        </w:tc>
        <w:tc>
          <w:tcPr>
            <w:tcW w:w="454" w:type="dxa"/>
            <w:shd w:val="clear" w:color="auto" w:fill="FFFFFF"/>
          </w:tcPr>
          <w:p w14:paraId="5336661D"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68F835E2"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42E63BFF" w14:textId="77777777" w:rsidTr="000F09B5">
        <w:tc>
          <w:tcPr>
            <w:tcW w:w="1588" w:type="dxa"/>
            <w:shd w:val="clear" w:color="auto" w:fill="FFFFFF"/>
          </w:tcPr>
          <w:p w14:paraId="21640F8F"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1.A.1.a</w:t>
            </w:r>
          </w:p>
        </w:tc>
        <w:tc>
          <w:tcPr>
            <w:tcW w:w="5046" w:type="dxa"/>
            <w:shd w:val="clear" w:color="auto" w:fill="FFFFFF"/>
          </w:tcPr>
          <w:p w14:paraId="16B5A117"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Energy Industries – Public Electricity and Heat Production Gaseous Fuels</w:t>
            </w:r>
          </w:p>
        </w:tc>
        <w:tc>
          <w:tcPr>
            <w:tcW w:w="454" w:type="dxa"/>
            <w:shd w:val="clear" w:color="auto" w:fill="FFFFFF"/>
          </w:tcPr>
          <w:p w14:paraId="50F1B56A"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63C976FA"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4DB1C8CF" w14:textId="77777777" w:rsidTr="000F09B5">
        <w:tc>
          <w:tcPr>
            <w:tcW w:w="1588" w:type="dxa"/>
            <w:shd w:val="clear" w:color="auto" w:fill="FFFFFF"/>
          </w:tcPr>
          <w:p w14:paraId="1598840D"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1.A.1.b</w:t>
            </w:r>
          </w:p>
        </w:tc>
        <w:tc>
          <w:tcPr>
            <w:tcW w:w="5046" w:type="dxa"/>
            <w:shd w:val="clear" w:color="auto" w:fill="FFFFFF"/>
          </w:tcPr>
          <w:p w14:paraId="170E951B"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Energy Industries – Petroleum Refining Liquid Fuels</w:t>
            </w:r>
          </w:p>
        </w:tc>
        <w:tc>
          <w:tcPr>
            <w:tcW w:w="454" w:type="dxa"/>
            <w:shd w:val="clear" w:color="auto" w:fill="FFFFFF"/>
          </w:tcPr>
          <w:p w14:paraId="257AF0FF"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787C2559"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10659C1F" w14:textId="77777777" w:rsidTr="000F09B5">
        <w:tc>
          <w:tcPr>
            <w:tcW w:w="1588" w:type="dxa"/>
            <w:shd w:val="clear" w:color="auto" w:fill="FFFFFF"/>
          </w:tcPr>
          <w:p w14:paraId="3871823E"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1.A.1.b</w:t>
            </w:r>
          </w:p>
        </w:tc>
        <w:tc>
          <w:tcPr>
            <w:tcW w:w="5046" w:type="dxa"/>
            <w:shd w:val="clear" w:color="auto" w:fill="FFFFFF"/>
          </w:tcPr>
          <w:p w14:paraId="759E6494"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Energy Industries – Petroleum Refining Gaseous Fuels</w:t>
            </w:r>
          </w:p>
        </w:tc>
        <w:tc>
          <w:tcPr>
            <w:tcW w:w="454" w:type="dxa"/>
            <w:shd w:val="clear" w:color="auto" w:fill="FFFFFF"/>
          </w:tcPr>
          <w:p w14:paraId="58857CB9"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140EA1E5"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T1</w:t>
            </w:r>
          </w:p>
        </w:tc>
      </w:tr>
      <w:tr w:rsidR="006611EE" w:rsidRPr="00261B7A" w14:paraId="78CAD649" w14:textId="77777777" w:rsidTr="000F09B5">
        <w:tc>
          <w:tcPr>
            <w:tcW w:w="1588" w:type="dxa"/>
            <w:shd w:val="clear" w:color="auto" w:fill="FFFFFF"/>
          </w:tcPr>
          <w:p w14:paraId="25230125"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1.A.1.c</w:t>
            </w:r>
          </w:p>
        </w:tc>
        <w:tc>
          <w:tcPr>
            <w:tcW w:w="5046" w:type="dxa"/>
            <w:shd w:val="clear" w:color="auto" w:fill="FFFFFF"/>
          </w:tcPr>
          <w:p w14:paraId="4AEF9E8A"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Energy Industries – Manufacture of Solid Fuels and Other Energy Industries Gaseous Fuels</w:t>
            </w:r>
          </w:p>
        </w:tc>
        <w:tc>
          <w:tcPr>
            <w:tcW w:w="454" w:type="dxa"/>
            <w:shd w:val="clear" w:color="auto" w:fill="FFFFFF"/>
          </w:tcPr>
          <w:p w14:paraId="65A1F384"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1107F190"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3F49268C" w14:textId="77777777" w:rsidTr="000F09B5">
        <w:tc>
          <w:tcPr>
            <w:tcW w:w="1588" w:type="dxa"/>
            <w:shd w:val="clear" w:color="auto" w:fill="FFFFFF"/>
          </w:tcPr>
          <w:p w14:paraId="188B9879"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1.A.2.c</w:t>
            </w:r>
          </w:p>
        </w:tc>
        <w:tc>
          <w:tcPr>
            <w:tcW w:w="5046" w:type="dxa"/>
            <w:shd w:val="clear" w:color="auto" w:fill="FFFFFF"/>
          </w:tcPr>
          <w:p w14:paraId="3E650770"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Manufacturing Industries and Construction – Chemicals Gaseous Fuels</w:t>
            </w:r>
          </w:p>
        </w:tc>
        <w:tc>
          <w:tcPr>
            <w:tcW w:w="454" w:type="dxa"/>
            <w:shd w:val="clear" w:color="auto" w:fill="FFFFFF"/>
          </w:tcPr>
          <w:p w14:paraId="44DB3758"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28E6F4C6"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4B09E330" w14:textId="77777777" w:rsidTr="000F09B5">
        <w:tc>
          <w:tcPr>
            <w:tcW w:w="1588" w:type="dxa"/>
            <w:shd w:val="clear" w:color="auto" w:fill="FFFFFF"/>
          </w:tcPr>
          <w:p w14:paraId="7458A1CC"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1.A.2.d</w:t>
            </w:r>
          </w:p>
        </w:tc>
        <w:tc>
          <w:tcPr>
            <w:tcW w:w="5046" w:type="dxa"/>
            <w:shd w:val="clear" w:color="auto" w:fill="FFFFFF"/>
          </w:tcPr>
          <w:p w14:paraId="07440041"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Manufacturing Industries and Construction – Pulp, Paper and Print Gaseous Fuels</w:t>
            </w:r>
          </w:p>
        </w:tc>
        <w:tc>
          <w:tcPr>
            <w:tcW w:w="454" w:type="dxa"/>
            <w:shd w:val="clear" w:color="auto" w:fill="FFFFFF"/>
          </w:tcPr>
          <w:p w14:paraId="56CA7BE1"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30FF3E68"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64C891F5" w14:textId="77777777" w:rsidTr="000F09B5">
        <w:tc>
          <w:tcPr>
            <w:tcW w:w="1588" w:type="dxa"/>
            <w:shd w:val="clear" w:color="auto" w:fill="FFFFFF"/>
          </w:tcPr>
          <w:p w14:paraId="555D863F"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1.A.2.d</w:t>
            </w:r>
          </w:p>
        </w:tc>
        <w:tc>
          <w:tcPr>
            <w:tcW w:w="5046" w:type="dxa"/>
            <w:shd w:val="clear" w:color="auto" w:fill="FFFFFF"/>
          </w:tcPr>
          <w:p w14:paraId="7FF4089B"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Manufacturing Industries and Construction – Pulp, Paper and Print Solid Fuels</w:t>
            </w:r>
          </w:p>
        </w:tc>
        <w:tc>
          <w:tcPr>
            <w:tcW w:w="454" w:type="dxa"/>
            <w:shd w:val="clear" w:color="auto" w:fill="FFFFFF"/>
          </w:tcPr>
          <w:p w14:paraId="4FFB2DD3"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7219D9E1"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T1</w:t>
            </w:r>
          </w:p>
        </w:tc>
      </w:tr>
      <w:tr w:rsidR="006611EE" w:rsidRPr="00261B7A" w14:paraId="4BE7715E" w14:textId="77777777" w:rsidTr="000F09B5">
        <w:tc>
          <w:tcPr>
            <w:tcW w:w="1588" w:type="dxa"/>
            <w:shd w:val="clear" w:color="auto" w:fill="FFFFFF"/>
          </w:tcPr>
          <w:p w14:paraId="7D9462B4"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1.A.2.e</w:t>
            </w:r>
          </w:p>
        </w:tc>
        <w:tc>
          <w:tcPr>
            <w:tcW w:w="5046" w:type="dxa"/>
            <w:shd w:val="clear" w:color="auto" w:fill="FFFFFF"/>
          </w:tcPr>
          <w:p w14:paraId="409B9983"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Manufacturing Industries and Construction – Food Processing, Beverages and Tobacco Solid Fuels</w:t>
            </w:r>
          </w:p>
        </w:tc>
        <w:tc>
          <w:tcPr>
            <w:tcW w:w="454" w:type="dxa"/>
            <w:shd w:val="clear" w:color="auto" w:fill="FFFFFF"/>
          </w:tcPr>
          <w:p w14:paraId="2C5D15D3"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0A1B1453"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270D1AE5" w14:textId="77777777" w:rsidTr="000F09B5">
        <w:tc>
          <w:tcPr>
            <w:tcW w:w="1588" w:type="dxa"/>
            <w:shd w:val="clear" w:color="auto" w:fill="FFFFFF"/>
          </w:tcPr>
          <w:p w14:paraId="08F50C5A"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1.A.2.e</w:t>
            </w:r>
          </w:p>
        </w:tc>
        <w:tc>
          <w:tcPr>
            <w:tcW w:w="5046" w:type="dxa"/>
            <w:shd w:val="clear" w:color="auto" w:fill="FFFFFF"/>
          </w:tcPr>
          <w:p w14:paraId="3BE78D12"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Manufacturing Industries and Construction – Food Processing, Beverages and Tobacco Gaseous Fuels</w:t>
            </w:r>
          </w:p>
        </w:tc>
        <w:tc>
          <w:tcPr>
            <w:tcW w:w="454" w:type="dxa"/>
            <w:shd w:val="clear" w:color="auto" w:fill="FFFFFF"/>
          </w:tcPr>
          <w:p w14:paraId="3D1BC41B"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6D3F0E1B"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2C95D1AC" w14:textId="77777777" w:rsidTr="000F09B5">
        <w:tc>
          <w:tcPr>
            <w:tcW w:w="1588" w:type="dxa"/>
            <w:shd w:val="clear" w:color="auto" w:fill="FFFFFF"/>
          </w:tcPr>
          <w:p w14:paraId="3CCD8B0C"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1.A.2.e</w:t>
            </w:r>
          </w:p>
        </w:tc>
        <w:tc>
          <w:tcPr>
            <w:tcW w:w="5046" w:type="dxa"/>
            <w:shd w:val="clear" w:color="auto" w:fill="FFFFFF"/>
          </w:tcPr>
          <w:p w14:paraId="345C2C9E"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Manufacturing Industries and Construction – Food Processing, Beverages and Tobacco Liquid Fuels</w:t>
            </w:r>
          </w:p>
        </w:tc>
        <w:tc>
          <w:tcPr>
            <w:tcW w:w="454" w:type="dxa"/>
            <w:shd w:val="clear" w:color="auto" w:fill="FFFFFF"/>
          </w:tcPr>
          <w:p w14:paraId="4F287A65"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5EEC5C17"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w:t>
            </w:r>
          </w:p>
        </w:tc>
      </w:tr>
      <w:tr w:rsidR="006611EE" w:rsidRPr="00261B7A" w14:paraId="23090F7C" w14:textId="77777777" w:rsidTr="000F09B5">
        <w:tc>
          <w:tcPr>
            <w:tcW w:w="1588" w:type="dxa"/>
            <w:shd w:val="clear" w:color="auto" w:fill="FFFFFF"/>
          </w:tcPr>
          <w:p w14:paraId="0A997BDE"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1.A.2.f</w:t>
            </w:r>
          </w:p>
        </w:tc>
        <w:tc>
          <w:tcPr>
            <w:tcW w:w="5046" w:type="dxa"/>
            <w:shd w:val="clear" w:color="auto" w:fill="FFFFFF"/>
          </w:tcPr>
          <w:p w14:paraId="3D31B8F5"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Manufacturing Industries and Construction – Non-metallic Minerals Solid Fuels</w:t>
            </w:r>
          </w:p>
        </w:tc>
        <w:tc>
          <w:tcPr>
            <w:tcW w:w="454" w:type="dxa"/>
            <w:shd w:val="clear" w:color="auto" w:fill="FFFFFF"/>
          </w:tcPr>
          <w:p w14:paraId="37916985"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6089D6FA"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T1</w:t>
            </w:r>
          </w:p>
        </w:tc>
      </w:tr>
      <w:tr w:rsidR="006611EE" w:rsidRPr="00261B7A" w14:paraId="6FC59A6F" w14:textId="77777777" w:rsidTr="000F09B5">
        <w:tc>
          <w:tcPr>
            <w:tcW w:w="1588" w:type="dxa"/>
            <w:shd w:val="clear" w:color="auto" w:fill="FFFFFF"/>
          </w:tcPr>
          <w:p w14:paraId="2DA3D9A5"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1.A.2.g.iii</w:t>
            </w:r>
          </w:p>
        </w:tc>
        <w:tc>
          <w:tcPr>
            <w:tcW w:w="5046" w:type="dxa"/>
            <w:shd w:val="clear" w:color="auto" w:fill="FFFFFF"/>
          </w:tcPr>
          <w:p w14:paraId="01E1615E"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Other (please specify) – Mining (excluding fuels) and Quarrying Liquid Fuels</w:t>
            </w:r>
          </w:p>
        </w:tc>
        <w:tc>
          <w:tcPr>
            <w:tcW w:w="454" w:type="dxa"/>
            <w:shd w:val="clear" w:color="auto" w:fill="FFFFFF"/>
          </w:tcPr>
          <w:p w14:paraId="3E60FF22"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2A2886BC"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5CC018B3" w14:textId="77777777" w:rsidTr="000F09B5">
        <w:tc>
          <w:tcPr>
            <w:tcW w:w="1588" w:type="dxa"/>
            <w:shd w:val="clear" w:color="auto" w:fill="FFFFFF"/>
          </w:tcPr>
          <w:p w14:paraId="0AC280C0"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1.A.2.g.v</w:t>
            </w:r>
          </w:p>
        </w:tc>
        <w:tc>
          <w:tcPr>
            <w:tcW w:w="5046" w:type="dxa"/>
            <w:shd w:val="clear" w:color="auto" w:fill="FFFFFF"/>
          </w:tcPr>
          <w:p w14:paraId="62D1F2EE"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Other (please specify) – Construction</w:t>
            </w:r>
          </w:p>
        </w:tc>
        <w:tc>
          <w:tcPr>
            <w:tcW w:w="454" w:type="dxa"/>
            <w:shd w:val="clear" w:color="auto" w:fill="FFFFFF"/>
          </w:tcPr>
          <w:p w14:paraId="2B61829B"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56DC4E99"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6B100AE2" w14:textId="77777777" w:rsidTr="000F09B5">
        <w:tc>
          <w:tcPr>
            <w:tcW w:w="1588" w:type="dxa"/>
            <w:shd w:val="clear" w:color="auto" w:fill="FFFFFF"/>
          </w:tcPr>
          <w:p w14:paraId="5080720E"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1.A.2.g.viii</w:t>
            </w:r>
          </w:p>
        </w:tc>
        <w:tc>
          <w:tcPr>
            <w:tcW w:w="5046" w:type="dxa"/>
            <w:shd w:val="clear" w:color="auto" w:fill="FFFFFF"/>
          </w:tcPr>
          <w:p w14:paraId="6AA4538F"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Other (please specify) – Other (please specify) Liquid Fuels</w:t>
            </w:r>
          </w:p>
        </w:tc>
        <w:tc>
          <w:tcPr>
            <w:tcW w:w="454" w:type="dxa"/>
            <w:shd w:val="clear" w:color="auto" w:fill="FFFFFF"/>
          </w:tcPr>
          <w:p w14:paraId="3D2671F0"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06EDC7A0"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50729927" w14:textId="77777777" w:rsidTr="000F09B5">
        <w:tc>
          <w:tcPr>
            <w:tcW w:w="1588" w:type="dxa"/>
            <w:shd w:val="clear" w:color="auto" w:fill="FFFFFF"/>
          </w:tcPr>
          <w:p w14:paraId="617E5E0F"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1.A.2.g.viii</w:t>
            </w:r>
          </w:p>
        </w:tc>
        <w:tc>
          <w:tcPr>
            <w:tcW w:w="5046" w:type="dxa"/>
            <w:shd w:val="clear" w:color="auto" w:fill="FFFFFF"/>
          </w:tcPr>
          <w:p w14:paraId="47EB5D42"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Other (please specify) – Other (please specify) Solid Fuels</w:t>
            </w:r>
          </w:p>
        </w:tc>
        <w:tc>
          <w:tcPr>
            <w:tcW w:w="454" w:type="dxa"/>
            <w:shd w:val="clear" w:color="auto" w:fill="FFFFFF"/>
          </w:tcPr>
          <w:p w14:paraId="2B6597D3"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737E543D"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T1</w:t>
            </w:r>
          </w:p>
        </w:tc>
      </w:tr>
      <w:tr w:rsidR="006611EE" w:rsidRPr="00261B7A" w14:paraId="2E451119" w14:textId="77777777" w:rsidTr="000F09B5">
        <w:tc>
          <w:tcPr>
            <w:tcW w:w="1588" w:type="dxa"/>
            <w:shd w:val="clear" w:color="auto" w:fill="FFFFFF"/>
          </w:tcPr>
          <w:p w14:paraId="576A43B6"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1.A.3.a</w:t>
            </w:r>
          </w:p>
        </w:tc>
        <w:tc>
          <w:tcPr>
            <w:tcW w:w="5046" w:type="dxa"/>
            <w:shd w:val="clear" w:color="auto" w:fill="FFFFFF"/>
          </w:tcPr>
          <w:p w14:paraId="22B46F17"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Domestic Aviation – Jet Kerosene</w:t>
            </w:r>
          </w:p>
        </w:tc>
        <w:tc>
          <w:tcPr>
            <w:tcW w:w="454" w:type="dxa"/>
            <w:shd w:val="clear" w:color="auto" w:fill="FFFFFF"/>
          </w:tcPr>
          <w:p w14:paraId="7F169440"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204265B8"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0DFB0BBD" w14:textId="77777777" w:rsidTr="000F09B5">
        <w:tc>
          <w:tcPr>
            <w:tcW w:w="1588" w:type="dxa"/>
            <w:shd w:val="clear" w:color="auto" w:fill="FFFFFF"/>
          </w:tcPr>
          <w:p w14:paraId="2AADA9F9"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1.A.3.b</w:t>
            </w:r>
          </w:p>
        </w:tc>
        <w:tc>
          <w:tcPr>
            <w:tcW w:w="5046" w:type="dxa"/>
            <w:shd w:val="clear" w:color="auto" w:fill="FFFFFF"/>
          </w:tcPr>
          <w:p w14:paraId="635E90A5"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Transport – Road Transportation Liquid Fuels</w:t>
            </w:r>
          </w:p>
        </w:tc>
        <w:tc>
          <w:tcPr>
            <w:tcW w:w="454" w:type="dxa"/>
            <w:shd w:val="clear" w:color="auto" w:fill="FFFFFF"/>
          </w:tcPr>
          <w:p w14:paraId="3DDFE5F4"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51859D94"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715F2B94" w14:textId="77777777" w:rsidTr="000F09B5">
        <w:tc>
          <w:tcPr>
            <w:tcW w:w="1588" w:type="dxa"/>
            <w:shd w:val="clear" w:color="auto" w:fill="FFFFFF"/>
          </w:tcPr>
          <w:p w14:paraId="72FE0462"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lastRenderedPageBreak/>
              <w:t>1.A.3.b</w:t>
            </w:r>
          </w:p>
        </w:tc>
        <w:tc>
          <w:tcPr>
            <w:tcW w:w="5046" w:type="dxa"/>
            <w:shd w:val="clear" w:color="auto" w:fill="FFFFFF"/>
          </w:tcPr>
          <w:p w14:paraId="15FB22AF"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Transport – Road Transportation Gaseous Fuels</w:t>
            </w:r>
          </w:p>
        </w:tc>
        <w:tc>
          <w:tcPr>
            <w:tcW w:w="454" w:type="dxa"/>
            <w:shd w:val="clear" w:color="auto" w:fill="FFFFFF"/>
          </w:tcPr>
          <w:p w14:paraId="5E6E4972"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48048B42"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T1</w:t>
            </w:r>
          </w:p>
        </w:tc>
      </w:tr>
      <w:tr w:rsidR="006611EE" w:rsidRPr="00261B7A" w14:paraId="0CA50BE8" w14:textId="77777777" w:rsidTr="000F09B5">
        <w:tc>
          <w:tcPr>
            <w:tcW w:w="1588" w:type="dxa"/>
            <w:shd w:val="clear" w:color="auto" w:fill="FFFFFF"/>
          </w:tcPr>
          <w:p w14:paraId="6B17CD57"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1.A.3.d</w:t>
            </w:r>
          </w:p>
        </w:tc>
        <w:tc>
          <w:tcPr>
            <w:tcW w:w="5046" w:type="dxa"/>
            <w:shd w:val="clear" w:color="auto" w:fill="FFFFFF"/>
          </w:tcPr>
          <w:p w14:paraId="0B2D771F"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Domestic Navigation – Residual Fuel Oil</w:t>
            </w:r>
          </w:p>
        </w:tc>
        <w:tc>
          <w:tcPr>
            <w:tcW w:w="454" w:type="dxa"/>
            <w:shd w:val="clear" w:color="auto" w:fill="FFFFFF"/>
          </w:tcPr>
          <w:p w14:paraId="6A3FA51E"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26AE6D55"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w:t>
            </w:r>
          </w:p>
        </w:tc>
      </w:tr>
      <w:tr w:rsidR="006611EE" w:rsidRPr="00261B7A" w14:paraId="59736C12" w14:textId="77777777" w:rsidTr="000F09B5">
        <w:tc>
          <w:tcPr>
            <w:tcW w:w="1588" w:type="dxa"/>
            <w:shd w:val="clear" w:color="auto" w:fill="FFFFFF"/>
          </w:tcPr>
          <w:p w14:paraId="32C67556"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1.A.4.a</w:t>
            </w:r>
          </w:p>
        </w:tc>
        <w:tc>
          <w:tcPr>
            <w:tcW w:w="5046" w:type="dxa"/>
            <w:shd w:val="clear" w:color="auto" w:fill="FFFFFF"/>
          </w:tcPr>
          <w:p w14:paraId="0290249C"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Other Sectors – Commercial/Institutional Liquid Fuels</w:t>
            </w:r>
          </w:p>
        </w:tc>
        <w:tc>
          <w:tcPr>
            <w:tcW w:w="454" w:type="dxa"/>
            <w:shd w:val="clear" w:color="auto" w:fill="FFFFFF"/>
          </w:tcPr>
          <w:p w14:paraId="6ED92945"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1C11298B"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56B190A5" w14:textId="77777777" w:rsidTr="000F09B5">
        <w:tc>
          <w:tcPr>
            <w:tcW w:w="1588" w:type="dxa"/>
            <w:shd w:val="clear" w:color="auto" w:fill="FFFFFF"/>
          </w:tcPr>
          <w:p w14:paraId="3C05DFAE"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1.A.4.a</w:t>
            </w:r>
          </w:p>
        </w:tc>
        <w:tc>
          <w:tcPr>
            <w:tcW w:w="5046" w:type="dxa"/>
            <w:shd w:val="clear" w:color="auto" w:fill="FFFFFF"/>
          </w:tcPr>
          <w:p w14:paraId="4862FAB1"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Other Sectors – Commercial/Institutional Gaseous Fuels</w:t>
            </w:r>
          </w:p>
        </w:tc>
        <w:tc>
          <w:tcPr>
            <w:tcW w:w="454" w:type="dxa"/>
            <w:shd w:val="clear" w:color="auto" w:fill="FFFFFF"/>
          </w:tcPr>
          <w:p w14:paraId="18382208"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3C7E5C8E"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79DB2C0A" w14:textId="77777777" w:rsidTr="000F09B5">
        <w:tc>
          <w:tcPr>
            <w:tcW w:w="1588" w:type="dxa"/>
            <w:shd w:val="clear" w:color="auto" w:fill="FFFFFF"/>
          </w:tcPr>
          <w:p w14:paraId="7506FAB5"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1.A.4.a</w:t>
            </w:r>
          </w:p>
        </w:tc>
        <w:tc>
          <w:tcPr>
            <w:tcW w:w="5046" w:type="dxa"/>
            <w:shd w:val="clear" w:color="auto" w:fill="FFFFFF"/>
          </w:tcPr>
          <w:p w14:paraId="27CCD9C2"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Other Sectors – Commercial/Institutional Solid Fuels</w:t>
            </w:r>
          </w:p>
        </w:tc>
        <w:tc>
          <w:tcPr>
            <w:tcW w:w="454" w:type="dxa"/>
            <w:shd w:val="clear" w:color="auto" w:fill="FFFFFF"/>
          </w:tcPr>
          <w:p w14:paraId="78CA9F72"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1053CC8E"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T1</w:t>
            </w:r>
          </w:p>
        </w:tc>
      </w:tr>
      <w:tr w:rsidR="006611EE" w:rsidRPr="00261B7A" w14:paraId="0571DD08" w14:textId="77777777" w:rsidTr="000F09B5">
        <w:tc>
          <w:tcPr>
            <w:tcW w:w="1588" w:type="dxa"/>
            <w:shd w:val="clear" w:color="auto" w:fill="FFFFFF"/>
          </w:tcPr>
          <w:p w14:paraId="68356E45"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1.A.4.b</w:t>
            </w:r>
          </w:p>
        </w:tc>
        <w:tc>
          <w:tcPr>
            <w:tcW w:w="5046" w:type="dxa"/>
            <w:shd w:val="clear" w:color="auto" w:fill="FFFFFF"/>
          </w:tcPr>
          <w:p w14:paraId="64D449F8"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Other Sectors – Residential Liquid Fuels</w:t>
            </w:r>
          </w:p>
        </w:tc>
        <w:tc>
          <w:tcPr>
            <w:tcW w:w="454" w:type="dxa"/>
            <w:shd w:val="clear" w:color="auto" w:fill="FFFFFF"/>
          </w:tcPr>
          <w:p w14:paraId="3F26A76E"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48F1F5DC"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5D53E9A5" w14:textId="77777777" w:rsidTr="000F09B5">
        <w:tc>
          <w:tcPr>
            <w:tcW w:w="1588" w:type="dxa"/>
            <w:shd w:val="clear" w:color="auto" w:fill="FFFFFF"/>
          </w:tcPr>
          <w:p w14:paraId="7C3922CA"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1.A.4.b</w:t>
            </w:r>
          </w:p>
        </w:tc>
        <w:tc>
          <w:tcPr>
            <w:tcW w:w="5046" w:type="dxa"/>
            <w:shd w:val="clear" w:color="auto" w:fill="FFFFFF"/>
          </w:tcPr>
          <w:p w14:paraId="36F8AA00"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Other Sectors – Residential Gaseous Fuels</w:t>
            </w:r>
          </w:p>
        </w:tc>
        <w:tc>
          <w:tcPr>
            <w:tcW w:w="454" w:type="dxa"/>
            <w:shd w:val="clear" w:color="auto" w:fill="FFFFFF"/>
          </w:tcPr>
          <w:p w14:paraId="7C9E9D56"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6C06D630"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30BE0278" w14:textId="77777777" w:rsidTr="000F09B5">
        <w:tc>
          <w:tcPr>
            <w:tcW w:w="1588" w:type="dxa"/>
            <w:shd w:val="clear" w:color="auto" w:fill="FFFFFF"/>
          </w:tcPr>
          <w:p w14:paraId="773742AB"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1.A.4.b</w:t>
            </w:r>
          </w:p>
        </w:tc>
        <w:tc>
          <w:tcPr>
            <w:tcW w:w="5046" w:type="dxa"/>
            <w:shd w:val="clear" w:color="auto" w:fill="FFFFFF"/>
          </w:tcPr>
          <w:p w14:paraId="1E059142"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Other Sectors – Residential Solid Fuels</w:t>
            </w:r>
          </w:p>
        </w:tc>
        <w:tc>
          <w:tcPr>
            <w:tcW w:w="454" w:type="dxa"/>
            <w:shd w:val="clear" w:color="auto" w:fill="FFFFFF"/>
          </w:tcPr>
          <w:p w14:paraId="56A2639F"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2ED4B204"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T1</w:t>
            </w:r>
          </w:p>
        </w:tc>
      </w:tr>
      <w:tr w:rsidR="006611EE" w:rsidRPr="00261B7A" w14:paraId="4FD896EF" w14:textId="77777777" w:rsidTr="000F09B5">
        <w:tc>
          <w:tcPr>
            <w:tcW w:w="1588" w:type="dxa"/>
            <w:shd w:val="clear" w:color="auto" w:fill="FFFFFF"/>
          </w:tcPr>
          <w:p w14:paraId="04718638"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1.A.4.c</w:t>
            </w:r>
          </w:p>
        </w:tc>
        <w:tc>
          <w:tcPr>
            <w:tcW w:w="5046" w:type="dxa"/>
            <w:shd w:val="clear" w:color="auto" w:fill="FFFFFF"/>
          </w:tcPr>
          <w:p w14:paraId="1236D6E8"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Other Sectors – Agriculture/Forestry/Fishing Liquid Fuels</w:t>
            </w:r>
          </w:p>
        </w:tc>
        <w:tc>
          <w:tcPr>
            <w:tcW w:w="454" w:type="dxa"/>
            <w:shd w:val="clear" w:color="auto" w:fill="FFFFFF"/>
          </w:tcPr>
          <w:p w14:paraId="5CDF3D79"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7B4637D3"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w:t>
            </w:r>
          </w:p>
        </w:tc>
      </w:tr>
      <w:tr w:rsidR="006611EE" w:rsidRPr="00261B7A" w14:paraId="00250767" w14:textId="77777777" w:rsidTr="000F09B5">
        <w:tc>
          <w:tcPr>
            <w:tcW w:w="1588" w:type="dxa"/>
            <w:shd w:val="clear" w:color="auto" w:fill="FFFFFF"/>
          </w:tcPr>
          <w:p w14:paraId="43231D46"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1.A.4.c</w:t>
            </w:r>
          </w:p>
        </w:tc>
        <w:tc>
          <w:tcPr>
            <w:tcW w:w="5046" w:type="dxa"/>
            <w:shd w:val="clear" w:color="auto" w:fill="FFFFFF"/>
          </w:tcPr>
          <w:p w14:paraId="3526E717"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Other Sectors – Agriculture/Forestry/Fishing Solid Fuels</w:t>
            </w:r>
          </w:p>
        </w:tc>
        <w:tc>
          <w:tcPr>
            <w:tcW w:w="454" w:type="dxa"/>
            <w:shd w:val="clear" w:color="auto" w:fill="FFFFFF"/>
          </w:tcPr>
          <w:p w14:paraId="307C1CF9"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2470381A"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T1</w:t>
            </w:r>
          </w:p>
        </w:tc>
      </w:tr>
      <w:tr w:rsidR="006611EE" w:rsidRPr="00261B7A" w14:paraId="598A226D" w14:textId="77777777" w:rsidTr="000F09B5">
        <w:tc>
          <w:tcPr>
            <w:tcW w:w="1588" w:type="dxa"/>
            <w:shd w:val="clear" w:color="auto" w:fill="FFFFFF"/>
          </w:tcPr>
          <w:p w14:paraId="2799B89C"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1.B.1.a.1</w:t>
            </w:r>
          </w:p>
        </w:tc>
        <w:tc>
          <w:tcPr>
            <w:tcW w:w="5046" w:type="dxa"/>
            <w:shd w:val="clear" w:color="auto" w:fill="FFFFFF"/>
          </w:tcPr>
          <w:p w14:paraId="4F4C095F"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Coal Mining and Handling – Underground Mines</w:t>
            </w:r>
          </w:p>
        </w:tc>
        <w:tc>
          <w:tcPr>
            <w:tcW w:w="454" w:type="dxa"/>
            <w:shd w:val="clear" w:color="auto" w:fill="FFFFFF"/>
          </w:tcPr>
          <w:p w14:paraId="33105B6D"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CH</w:t>
            </w:r>
            <w:r w:rsidRPr="00261B7A">
              <w:rPr>
                <w:rFonts w:eastAsia="Calibri" w:cs="Calibri"/>
                <w:color w:val="000000"/>
                <w:szCs w:val="16"/>
                <w:vertAlign w:val="subscript"/>
              </w:rPr>
              <w:t>4</w:t>
            </w:r>
          </w:p>
        </w:tc>
        <w:tc>
          <w:tcPr>
            <w:tcW w:w="851" w:type="dxa"/>
            <w:shd w:val="clear" w:color="auto" w:fill="FFFFFF"/>
          </w:tcPr>
          <w:p w14:paraId="15903D3E"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T1</w:t>
            </w:r>
          </w:p>
        </w:tc>
      </w:tr>
      <w:tr w:rsidR="006611EE" w:rsidRPr="00261B7A" w14:paraId="788AFE94" w14:textId="77777777" w:rsidTr="000F09B5">
        <w:tc>
          <w:tcPr>
            <w:tcW w:w="1588" w:type="dxa"/>
            <w:shd w:val="clear" w:color="auto" w:fill="FFFFFF"/>
          </w:tcPr>
          <w:p w14:paraId="2357A490"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1.B.2.b.5</w:t>
            </w:r>
          </w:p>
        </w:tc>
        <w:tc>
          <w:tcPr>
            <w:tcW w:w="5046" w:type="dxa"/>
            <w:shd w:val="clear" w:color="auto" w:fill="FFFFFF"/>
          </w:tcPr>
          <w:p w14:paraId="7450F08A"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Natural Gas – Distribution</w:t>
            </w:r>
          </w:p>
        </w:tc>
        <w:tc>
          <w:tcPr>
            <w:tcW w:w="454" w:type="dxa"/>
            <w:shd w:val="clear" w:color="auto" w:fill="FFFFFF"/>
          </w:tcPr>
          <w:p w14:paraId="6028E23B"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CH</w:t>
            </w:r>
            <w:r w:rsidRPr="00261B7A">
              <w:rPr>
                <w:rFonts w:eastAsia="Calibri" w:cs="Calibri"/>
                <w:color w:val="000000"/>
                <w:szCs w:val="16"/>
                <w:vertAlign w:val="subscript"/>
              </w:rPr>
              <w:t>4</w:t>
            </w:r>
          </w:p>
        </w:tc>
        <w:tc>
          <w:tcPr>
            <w:tcW w:w="851" w:type="dxa"/>
            <w:shd w:val="clear" w:color="auto" w:fill="FFFFFF"/>
          </w:tcPr>
          <w:p w14:paraId="1B7BD444"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T1</w:t>
            </w:r>
          </w:p>
        </w:tc>
      </w:tr>
      <w:tr w:rsidR="006611EE" w:rsidRPr="00261B7A" w14:paraId="087724D3" w14:textId="77777777" w:rsidTr="000F09B5">
        <w:tc>
          <w:tcPr>
            <w:tcW w:w="1588" w:type="dxa"/>
            <w:shd w:val="clear" w:color="auto" w:fill="FFFFFF"/>
          </w:tcPr>
          <w:p w14:paraId="075577B8"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1.B.2.c.1.ii</w:t>
            </w:r>
          </w:p>
        </w:tc>
        <w:tc>
          <w:tcPr>
            <w:tcW w:w="5046" w:type="dxa"/>
            <w:shd w:val="clear" w:color="auto" w:fill="FFFFFF"/>
          </w:tcPr>
          <w:p w14:paraId="74DE7C5F"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Venting – Gas</w:t>
            </w:r>
          </w:p>
        </w:tc>
        <w:tc>
          <w:tcPr>
            <w:tcW w:w="454" w:type="dxa"/>
            <w:shd w:val="clear" w:color="auto" w:fill="FFFFFF"/>
          </w:tcPr>
          <w:p w14:paraId="16564100"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0608537A"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46A60A56" w14:textId="77777777" w:rsidTr="000F09B5">
        <w:tc>
          <w:tcPr>
            <w:tcW w:w="1588" w:type="dxa"/>
            <w:shd w:val="clear" w:color="auto" w:fill="FFFFFF"/>
          </w:tcPr>
          <w:p w14:paraId="5DCC5A4A"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1.B.2.c.2.iii</w:t>
            </w:r>
          </w:p>
        </w:tc>
        <w:tc>
          <w:tcPr>
            <w:tcW w:w="5046" w:type="dxa"/>
            <w:shd w:val="clear" w:color="auto" w:fill="FFFFFF"/>
          </w:tcPr>
          <w:p w14:paraId="03B0A619"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Flaring – Combined</w:t>
            </w:r>
          </w:p>
        </w:tc>
        <w:tc>
          <w:tcPr>
            <w:tcW w:w="454" w:type="dxa"/>
            <w:shd w:val="clear" w:color="auto" w:fill="FFFFFF"/>
          </w:tcPr>
          <w:p w14:paraId="2AE0BF10"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0B0E8236"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T1</w:t>
            </w:r>
          </w:p>
        </w:tc>
      </w:tr>
      <w:tr w:rsidR="006611EE" w:rsidRPr="00261B7A" w14:paraId="79590190" w14:textId="77777777" w:rsidTr="000F09B5">
        <w:tc>
          <w:tcPr>
            <w:tcW w:w="1588" w:type="dxa"/>
            <w:shd w:val="clear" w:color="auto" w:fill="FFFFFF"/>
          </w:tcPr>
          <w:p w14:paraId="6AE77256"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1.B.2.d</w:t>
            </w:r>
          </w:p>
        </w:tc>
        <w:tc>
          <w:tcPr>
            <w:tcW w:w="5046" w:type="dxa"/>
            <w:shd w:val="clear" w:color="auto" w:fill="FFFFFF"/>
          </w:tcPr>
          <w:p w14:paraId="4C1A3910"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Other (please specify) – Geothermal</w:t>
            </w:r>
          </w:p>
        </w:tc>
        <w:tc>
          <w:tcPr>
            <w:tcW w:w="454" w:type="dxa"/>
            <w:shd w:val="clear" w:color="auto" w:fill="FFFFFF"/>
          </w:tcPr>
          <w:p w14:paraId="250C0357"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58E8E2FE"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1EEB2D09" w14:textId="77777777" w:rsidTr="000F09B5">
        <w:tc>
          <w:tcPr>
            <w:tcW w:w="1588" w:type="dxa"/>
            <w:shd w:val="clear" w:color="auto" w:fill="FFFFFF"/>
          </w:tcPr>
          <w:p w14:paraId="669DE29A" w14:textId="77777777" w:rsidR="006611EE" w:rsidRPr="00261B7A" w:rsidRDefault="006611EE" w:rsidP="000F09B5">
            <w:pPr>
              <w:pStyle w:val="TableText"/>
              <w:spacing w:before="50" w:after="50"/>
              <w:rPr>
                <w:rFonts w:cs="Calibri"/>
                <w:b/>
                <w:bCs/>
                <w:szCs w:val="16"/>
              </w:rPr>
            </w:pPr>
            <w:r w:rsidRPr="00261B7A">
              <w:rPr>
                <w:rFonts w:eastAsia="Calibri" w:cs="Calibri"/>
                <w:b/>
                <w:bCs/>
                <w:color w:val="000000"/>
                <w:szCs w:val="16"/>
              </w:rPr>
              <w:t>IPPU</w:t>
            </w:r>
          </w:p>
        </w:tc>
        <w:tc>
          <w:tcPr>
            <w:tcW w:w="5046" w:type="dxa"/>
            <w:shd w:val="clear" w:color="auto" w:fill="FFFFFF"/>
          </w:tcPr>
          <w:p w14:paraId="520B205C" w14:textId="77777777" w:rsidR="006611EE" w:rsidRPr="00261B7A" w:rsidRDefault="006611EE" w:rsidP="000F09B5">
            <w:pPr>
              <w:pStyle w:val="TableText"/>
              <w:spacing w:before="50" w:after="50"/>
              <w:rPr>
                <w:rFonts w:cs="Calibri"/>
                <w:b/>
                <w:bCs/>
                <w:szCs w:val="16"/>
              </w:rPr>
            </w:pPr>
          </w:p>
        </w:tc>
        <w:tc>
          <w:tcPr>
            <w:tcW w:w="454" w:type="dxa"/>
            <w:shd w:val="clear" w:color="auto" w:fill="FFFFFF"/>
          </w:tcPr>
          <w:p w14:paraId="0FE55147" w14:textId="77777777" w:rsidR="006611EE" w:rsidRPr="00261B7A" w:rsidRDefault="006611EE" w:rsidP="00FE7C63">
            <w:pPr>
              <w:pStyle w:val="TableText"/>
              <w:spacing w:before="50" w:after="50"/>
              <w:jc w:val="center"/>
              <w:rPr>
                <w:rFonts w:cs="Calibri"/>
                <w:b/>
                <w:bCs/>
                <w:szCs w:val="16"/>
              </w:rPr>
            </w:pPr>
          </w:p>
        </w:tc>
        <w:tc>
          <w:tcPr>
            <w:tcW w:w="851" w:type="dxa"/>
            <w:shd w:val="clear" w:color="auto" w:fill="FFFFFF"/>
          </w:tcPr>
          <w:p w14:paraId="6B6BBAD3" w14:textId="77777777" w:rsidR="006611EE" w:rsidRPr="00261B7A" w:rsidRDefault="006611EE" w:rsidP="000F09B5">
            <w:pPr>
              <w:pStyle w:val="TableText"/>
              <w:spacing w:before="50" w:after="50"/>
              <w:rPr>
                <w:rFonts w:cs="Calibri"/>
                <w:b/>
                <w:bCs/>
                <w:szCs w:val="16"/>
              </w:rPr>
            </w:pPr>
          </w:p>
        </w:tc>
      </w:tr>
      <w:tr w:rsidR="006611EE" w:rsidRPr="00261B7A" w14:paraId="1873C687" w14:textId="77777777" w:rsidTr="000F09B5">
        <w:tc>
          <w:tcPr>
            <w:tcW w:w="1588" w:type="dxa"/>
            <w:shd w:val="clear" w:color="auto" w:fill="FFFFFF"/>
          </w:tcPr>
          <w:p w14:paraId="3F2B79D4"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2.A.1</w:t>
            </w:r>
          </w:p>
        </w:tc>
        <w:tc>
          <w:tcPr>
            <w:tcW w:w="5046" w:type="dxa"/>
            <w:shd w:val="clear" w:color="auto" w:fill="FFFFFF"/>
          </w:tcPr>
          <w:p w14:paraId="01ED7F67"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Mineral Industry – Cement Production</w:t>
            </w:r>
          </w:p>
        </w:tc>
        <w:tc>
          <w:tcPr>
            <w:tcW w:w="454" w:type="dxa"/>
            <w:shd w:val="clear" w:color="auto" w:fill="FFFFFF"/>
          </w:tcPr>
          <w:p w14:paraId="0F3D4D8A"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3DD466AD"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5CE9B6C6" w14:textId="77777777" w:rsidTr="000F09B5">
        <w:tc>
          <w:tcPr>
            <w:tcW w:w="1588" w:type="dxa"/>
            <w:shd w:val="clear" w:color="auto" w:fill="FFFFFF"/>
          </w:tcPr>
          <w:p w14:paraId="2C93EE0E"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2.B.10</w:t>
            </w:r>
          </w:p>
        </w:tc>
        <w:tc>
          <w:tcPr>
            <w:tcW w:w="5046" w:type="dxa"/>
            <w:shd w:val="clear" w:color="auto" w:fill="FFFFFF"/>
          </w:tcPr>
          <w:p w14:paraId="42204DBA"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Chemical Industry – Other (please specify)</w:t>
            </w:r>
          </w:p>
        </w:tc>
        <w:tc>
          <w:tcPr>
            <w:tcW w:w="454" w:type="dxa"/>
            <w:shd w:val="clear" w:color="auto" w:fill="FFFFFF"/>
          </w:tcPr>
          <w:p w14:paraId="6C52ACB6"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3AB8C1A5"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T1</w:t>
            </w:r>
          </w:p>
        </w:tc>
      </w:tr>
      <w:tr w:rsidR="006611EE" w:rsidRPr="00261B7A" w14:paraId="0F6C66AE" w14:textId="77777777" w:rsidTr="000F09B5">
        <w:tc>
          <w:tcPr>
            <w:tcW w:w="1588" w:type="dxa"/>
            <w:shd w:val="clear" w:color="auto" w:fill="FFFFFF"/>
          </w:tcPr>
          <w:p w14:paraId="0D15AFFC"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2.C.1</w:t>
            </w:r>
          </w:p>
        </w:tc>
        <w:tc>
          <w:tcPr>
            <w:tcW w:w="5046" w:type="dxa"/>
            <w:shd w:val="clear" w:color="auto" w:fill="FFFFFF"/>
          </w:tcPr>
          <w:p w14:paraId="140D1929"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Metal Industry – Iron and Steel Production</w:t>
            </w:r>
          </w:p>
        </w:tc>
        <w:tc>
          <w:tcPr>
            <w:tcW w:w="454" w:type="dxa"/>
            <w:shd w:val="clear" w:color="auto" w:fill="FFFFFF"/>
          </w:tcPr>
          <w:p w14:paraId="558AFFBA"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5081677F"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7A19553A" w14:textId="77777777" w:rsidTr="000F09B5">
        <w:tc>
          <w:tcPr>
            <w:tcW w:w="1588" w:type="dxa"/>
            <w:shd w:val="clear" w:color="auto" w:fill="FFFFFF"/>
          </w:tcPr>
          <w:p w14:paraId="4CABD822"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2.C.3</w:t>
            </w:r>
          </w:p>
        </w:tc>
        <w:tc>
          <w:tcPr>
            <w:tcW w:w="5046" w:type="dxa"/>
            <w:shd w:val="clear" w:color="auto" w:fill="FFFFFF"/>
          </w:tcPr>
          <w:p w14:paraId="778F6FA8"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Metal Industry – Aluminium Production</w:t>
            </w:r>
          </w:p>
        </w:tc>
        <w:tc>
          <w:tcPr>
            <w:tcW w:w="454" w:type="dxa"/>
            <w:shd w:val="clear" w:color="auto" w:fill="FFFFFF"/>
          </w:tcPr>
          <w:p w14:paraId="54BB8208"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38784C71"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w:t>
            </w:r>
          </w:p>
        </w:tc>
      </w:tr>
      <w:tr w:rsidR="006611EE" w:rsidRPr="00261B7A" w14:paraId="6BBD7CD6" w14:textId="77777777" w:rsidTr="000F09B5">
        <w:tc>
          <w:tcPr>
            <w:tcW w:w="1588" w:type="dxa"/>
            <w:shd w:val="clear" w:color="auto" w:fill="FFFFFF"/>
          </w:tcPr>
          <w:p w14:paraId="38E78B88"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2.C.3</w:t>
            </w:r>
          </w:p>
        </w:tc>
        <w:tc>
          <w:tcPr>
            <w:tcW w:w="5046" w:type="dxa"/>
            <w:shd w:val="clear" w:color="auto" w:fill="FFFFFF"/>
          </w:tcPr>
          <w:p w14:paraId="25E0A4D1"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Metal Industry – Aluminium Production</w:t>
            </w:r>
          </w:p>
        </w:tc>
        <w:tc>
          <w:tcPr>
            <w:tcW w:w="454" w:type="dxa"/>
            <w:shd w:val="clear" w:color="auto" w:fill="FFFFFF"/>
          </w:tcPr>
          <w:p w14:paraId="361FB98C"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PFCs</w:t>
            </w:r>
          </w:p>
        </w:tc>
        <w:tc>
          <w:tcPr>
            <w:tcW w:w="851" w:type="dxa"/>
            <w:shd w:val="clear" w:color="auto" w:fill="FFFFFF"/>
          </w:tcPr>
          <w:p w14:paraId="7A1DFE9B"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T1</w:t>
            </w:r>
          </w:p>
        </w:tc>
      </w:tr>
      <w:tr w:rsidR="006611EE" w:rsidRPr="00261B7A" w14:paraId="173152CF" w14:textId="77777777" w:rsidTr="000F09B5">
        <w:tc>
          <w:tcPr>
            <w:tcW w:w="1588" w:type="dxa"/>
            <w:shd w:val="clear" w:color="auto" w:fill="FFFFFF"/>
          </w:tcPr>
          <w:p w14:paraId="5F6B19BF"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2.F.1</w:t>
            </w:r>
          </w:p>
        </w:tc>
        <w:tc>
          <w:tcPr>
            <w:tcW w:w="5046" w:type="dxa"/>
            <w:shd w:val="clear" w:color="auto" w:fill="FFFFFF"/>
          </w:tcPr>
          <w:p w14:paraId="2AC7A5E8"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Product Uses as Substitutes for ODS – Refrigeration and Air conditioning</w:t>
            </w:r>
          </w:p>
        </w:tc>
        <w:tc>
          <w:tcPr>
            <w:tcW w:w="454" w:type="dxa"/>
            <w:shd w:val="clear" w:color="auto" w:fill="FFFFFF"/>
          </w:tcPr>
          <w:p w14:paraId="48346FE0"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HFCs</w:t>
            </w:r>
          </w:p>
        </w:tc>
        <w:tc>
          <w:tcPr>
            <w:tcW w:w="851" w:type="dxa"/>
            <w:shd w:val="clear" w:color="auto" w:fill="FFFFFF"/>
          </w:tcPr>
          <w:p w14:paraId="1EB4BFDD"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 T1</w:t>
            </w:r>
          </w:p>
        </w:tc>
      </w:tr>
      <w:tr w:rsidR="006611EE" w:rsidRPr="00261B7A" w14:paraId="4061CF04" w14:textId="77777777" w:rsidTr="000F09B5">
        <w:tc>
          <w:tcPr>
            <w:tcW w:w="1588" w:type="dxa"/>
            <w:shd w:val="clear" w:color="auto" w:fill="FFFFFF"/>
          </w:tcPr>
          <w:p w14:paraId="5A429AA7" w14:textId="77777777" w:rsidR="006611EE" w:rsidRPr="00261B7A" w:rsidRDefault="006611EE" w:rsidP="000F09B5">
            <w:pPr>
              <w:pStyle w:val="TableText"/>
              <w:spacing w:before="50" w:after="50"/>
              <w:rPr>
                <w:rFonts w:cs="Calibri"/>
                <w:b/>
                <w:bCs/>
                <w:szCs w:val="16"/>
              </w:rPr>
            </w:pPr>
            <w:r w:rsidRPr="00261B7A">
              <w:rPr>
                <w:rFonts w:eastAsia="Calibri" w:cs="Calibri"/>
                <w:b/>
                <w:bCs/>
                <w:color w:val="000000"/>
                <w:szCs w:val="16"/>
              </w:rPr>
              <w:t>Agriculture</w:t>
            </w:r>
          </w:p>
        </w:tc>
        <w:tc>
          <w:tcPr>
            <w:tcW w:w="5046" w:type="dxa"/>
            <w:shd w:val="clear" w:color="auto" w:fill="FFFFFF"/>
          </w:tcPr>
          <w:p w14:paraId="4833CF23" w14:textId="77777777" w:rsidR="006611EE" w:rsidRPr="00261B7A" w:rsidRDefault="006611EE" w:rsidP="000F09B5">
            <w:pPr>
              <w:pStyle w:val="TableText"/>
              <w:spacing w:before="50" w:after="50"/>
              <w:rPr>
                <w:rFonts w:cs="Calibri"/>
                <w:b/>
                <w:bCs/>
                <w:szCs w:val="16"/>
              </w:rPr>
            </w:pPr>
          </w:p>
        </w:tc>
        <w:tc>
          <w:tcPr>
            <w:tcW w:w="454" w:type="dxa"/>
            <w:shd w:val="clear" w:color="auto" w:fill="FFFFFF"/>
          </w:tcPr>
          <w:p w14:paraId="069E3CB9" w14:textId="77777777" w:rsidR="006611EE" w:rsidRPr="00261B7A" w:rsidRDefault="006611EE" w:rsidP="00FE7C63">
            <w:pPr>
              <w:pStyle w:val="TableText"/>
              <w:spacing w:before="50" w:after="50"/>
              <w:jc w:val="center"/>
              <w:rPr>
                <w:rFonts w:cs="Calibri"/>
                <w:b/>
                <w:bCs/>
                <w:szCs w:val="16"/>
              </w:rPr>
            </w:pPr>
          </w:p>
        </w:tc>
        <w:tc>
          <w:tcPr>
            <w:tcW w:w="851" w:type="dxa"/>
            <w:shd w:val="clear" w:color="auto" w:fill="FFFFFF"/>
          </w:tcPr>
          <w:p w14:paraId="7F8C31DC" w14:textId="77777777" w:rsidR="006611EE" w:rsidRPr="00261B7A" w:rsidRDefault="006611EE" w:rsidP="000F09B5">
            <w:pPr>
              <w:pStyle w:val="TableText"/>
              <w:spacing w:before="50" w:after="50"/>
              <w:rPr>
                <w:rFonts w:cs="Calibri"/>
                <w:b/>
                <w:bCs/>
                <w:szCs w:val="16"/>
              </w:rPr>
            </w:pPr>
          </w:p>
        </w:tc>
      </w:tr>
      <w:tr w:rsidR="006611EE" w:rsidRPr="00261B7A" w14:paraId="3F30C2F2" w14:textId="77777777" w:rsidTr="000F09B5">
        <w:tc>
          <w:tcPr>
            <w:tcW w:w="1588" w:type="dxa"/>
            <w:shd w:val="clear" w:color="auto" w:fill="FFFFFF"/>
          </w:tcPr>
          <w:p w14:paraId="034F9D4E"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3.A.1</w:t>
            </w:r>
          </w:p>
        </w:tc>
        <w:tc>
          <w:tcPr>
            <w:tcW w:w="5046" w:type="dxa"/>
            <w:shd w:val="clear" w:color="auto" w:fill="FFFFFF"/>
          </w:tcPr>
          <w:p w14:paraId="20526C70"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Option A – Dairy Cattle</w:t>
            </w:r>
          </w:p>
        </w:tc>
        <w:tc>
          <w:tcPr>
            <w:tcW w:w="454" w:type="dxa"/>
            <w:shd w:val="clear" w:color="auto" w:fill="FFFFFF"/>
          </w:tcPr>
          <w:p w14:paraId="1516D9E3"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CH</w:t>
            </w:r>
            <w:r w:rsidRPr="00261B7A">
              <w:rPr>
                <w:rFonts w:eastAsia="Calibri" w:cs="Calibri"/>
                <w:color w:val="000000"/>
                <w:szCs w:val="16"/>
                <w:vertAlign w:val="subscript"/>
              </w:rPr>
              <w:t>4</w:t>
            </w:r>
          </w:p>
        </w:tc>
        <w:tc>
          <w:tcPr>
            <w:tcW w:w="851" w:type="dxa"/>
            <w:shd w:val="clear" w:color="auto" w:fill="FFFFFF"/>
          </w:tcPr>
          <w:p w14:paraId="28B191BD"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 T1</w:t>
            </w:r>
          </w:p>
        </w:tc>
      </w:tr>
      <w:tr w:rsidR="006611EE" w:rsidRPr="00261B7A" w14:paraId="7212A5AA" w14:textId="77777777" w:rsidTr="000F09B5">
        <w:tc>
          <w:tcPr>
            <w:tcW w:w="1588" w:type="dxa"/>
            <w:shd w:val="clear" w:color="auto" w:fill="FFFFFF"/>
          </w:tcPr>
          <w:p w14:paraId="4CB39C19"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3.A.1</w:t>
            </w:r>
          </w:p>
        </w:tc>
        <w:tc>
          <w:tcPr>
            <w:tcW w:w="5046" w:type="dxa"/>
            <w:shd w:val="clear" w:color="auto" w:fill="FFFFFF"/>
          </w:tcPr>
          <w:p w14:paraId="21785149"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Option A – Non-Dairy Cattle</w:t>
            </w:r>
          </w:p>
        </w:tc>
        <w:tc>
          <w:tcPr>
            <w:tcW w:w="454" w:type="dxa"/>
            <w:shd w:val="clear" w:color="auto" w:fill="FFFFFF"/>
          </w:tcPr>
          <w:p w14:paraId="1FD32E12"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CH</w:t>
            </w:r>
            <w:r w:rsidRPr="00261B7A">
              <w:rPr>
                <w:rFonts w:eastAsia="Calibri" w:cs="Calibri"/>
                <w:color w:val="000000"/>
                <w:szCs w:val="16"/>
                <w:vertAlign w:val="subscript"/>
              </w:rPr>
              <w:t>4</w:t>
            </w:r>
          </w:p>
        </w:tc>
        <w:tc>
          <w:tcPr>
            <w:tcW w:w="851" w:type="dxa"/>
            <w:shd w:val="clear" w:color="auto" w:fill="FFFFFF"/>
          </w:tcPr>
          <w:p w14:paraId="039B2622"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 T1</w:t>
            </w:r>
          </w:p>
        </w:tc>
      </w:tr>
      <w:tr w:rsidR="006611EE" w:rsidRPr="00261B7A" w14:paraId="32C1597D" w14:textId="77777777" w:rsidTr="000F09B5">
        <w:tc>
          <w:tcPr>
            <w:tcW w:w="1588" w:type="dxa"/>
            <w:shd w:val="clear" w:color="auto" w:fill="FFFFFF"/>
          </w:tcPr>
          <w:p w14:paraId="506A5741"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3.A.2</w:t>
            </w:r>
          </w:p>
        </w:tc>
        <w:tc>
          <w:tcPr>
            <w:tcW w:w="5046" w:type="dxa"/>
            <w:shd w:val="clear" w:color="auto" w:fill="FFFFFF"/>
          </w:tcPr>
          <w:p w14:paraId="1AA2330E"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Other (please specify) – Sheep</w:t>
            </w:r>
          </w:p>
        </w:tc>
        <w:tc>
          <w:tcPr>
            <w:tcW w:w="454" w:type="dxa"/>
            <w:shd w:val="clear" w:color="auto" w:fill="FFFFFF"/>
          </w:tcPr>
          <w:p w14:paraId="5B8D5CC7"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CH</w:t>
            </w:r>
            <w:r w:rsidRPr="00261B7A">
              <w:rPr>
                <w:rFonts w:eastAsia="Calibri" w:cs="Calibri"/>
                <w:color w:val="000000"/>
                <w:szCs w:val="16"/>
                <w:vertAlign w:val="subscript"/>
              </w:rPr>
              <w:t>4</w:t>
            </w:r>
          </w:p>
        </w:tc>
        <w:tc>
          <w:tcPr>
            <w:tcW w:w="851" w:type="dxa"/>
            <w:shd w:val="clear" w:color="auto" w:fill="FFFFFF"/>
          </w:tcPr>
          <w:p w14:paraId="592D1D13"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 T1</w:t>
            </w:r>
          </w:p>
        </w:tc>
      </w:tr>
      <w:tr w:rsidR="006611EE" w:rsidRPr="00261B7A" w14:paraId="61D98DC2" w14:textId="77777777" w:rsidTr="000F09B5">
        <w:tc>
          <w:tcPr>
            <w:tcW w:w="1588" w:type="dxa"/>
            <w:shd w:val="clear" w:color="auto" w:fill="FFFFFF"/>
          </w:tcPr>
          <w:p w14:paraId="3E92E65A"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3.A.4</w:t>
            </w:r>
          </w:p>
        </w:tc>
        <w:tc>
          <w:tcPr>
            <w:tcW w:w="5046" w:type="dxa"/>
            <w:shd w:val="clear" w:color="auto" w:fill="FFFFFF"/>
          </w:tcPr>
          <w:p w14:paraId="249BF1A6"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Other Livestock – Deer</w:t>
            </w:r>
          </w:p>
        </w:tc>
        <w:tc>
          <w:tcPr>
            <w:tcW w:w="454" w:type="dxa"/>
            <w:shd w:val="clear" w:color="auto" w:fill="FFFFFF"/>
          </w:tcPr>
          <w:p w14:paraId="0D9236D0"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CH</w:t>
            </w:r>
            <w:r w:rsidRPr="00261B7A">
              <w:rPr>
                <w:rFonts w:eastAsia="Calibri" w:cs="Calibri"/>
                <w:color w:val="000000"/>
                <w:szCs w:val="16"/>
                <w:vertAlign w:val="subscript"/>
              </w:rPr>
              <w:t>4</w:t>
            </w:r>
          </w:p>
        </w:tc>
        <w:tc>
          <w:tcPr>
            <w:tcW w:w="851" w:type="dxa"/>
            <w:shd w:val="clear" w:color="auto" w:fill="FFFFFF"/>
          </w:tcPr>
          <w:p w14:paraId="3D4D844F"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w:t>
            </w:r>
          </w:p>
        </w:tc>
      </w:tr>
      <w:tr w:rsidR="006611EE" w:rsidRPr="00261B7A" w14:paraId="1D519719" w14:textId="77777777" w:rsidTr="000F09B5">
        <w:tc>
          <w:tcPr>
            <w:tcW w:w="1588" w:type="dxa"/>
            <w:shd w:val="clear" w:color="auto" w:fill="FFFFFF"/>
          </w:tcPr>
          <w:p w14:paraId="72203B1E"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3.A.4</w:t>
            </w:r>
          </w:p>
        </w:tc>
        <w:tc>
          <w:tcPr>
            <w:tcW w:w="5046" w:type="dxa"/>
            <w:shd w:val="clear" w:color="auto" w:fill="FFFFFF"/>
          </w:tcPr>
          <w:p w14:paraId="5988E076"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Other Livestock – Goats</w:t>
            </w:r>
          </w:p>
        </w:tc>
        <w:tc>
          <w:tcPr>
            <w:tcW w:w="454" w:type="dxa"/>
            <w:shd w:val="clear" w:color="auto" w:fill="FFFFFF"/>
          </w:tcPr>
          <w:p w14:paraId="731804BA"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CH</w:t>
            </w:r>
            <w:r w:rsidRPr="00261B7A">
              <w:rPr>
                <w:rFonts w:eastAsia="Calibri" w:cs="Calibri"/>
                <w:color w:val="000000"/>
                <w:szCs w:val="16"/>
                <w:vertAlign w:val="subscript"/>
              </w:rPr>
              <w:t>4</w:t>
            </w:r>
          </w:p>
        </w:tc>
        <w:tc>
          <w:tcPr>
            <w:tcW w:w="851" w:type="dxa"/>
            <w:shd w:val="clear" w:color="auto" w:fill="FFFFFF"/>
          </w:tcPr>
          <w:p w14:paraId="7B7A490E"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T1</w:t>
            </w:r>
          </w:p>
        </w:tc>
      </w:tr>
      <w:tr w:rsidR="006611EE" w:rsidRPr="00261B7A" w14:paraId="32BD97DD" w14:textId="77777777" w:rsidTr="000F09B5">
        <w:tc>
          <w:tcPr>
            <w:tcW w:w="1588" w:type="dxa"/>
            <w:shd w:val="clear" w:color="auto" w:fill="FFFFFF"/>
          </w:tcPr>
          <w:p w14:paraId="5E1E5B0B"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3.B.1.1</w:t>
            </w:r>
          </w:p>
        </w:tc>
        <w:tc>
          <w:tcPr>
            <w:tcW w:w="5046" w:type="dxa"/>
            <w:shd w:val="clear" w:color="auto" w:fill="FFFFFF"/>
          </w:tcPr>
          <w:p w14:paraId="4D97A158"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Option A – Dairy Cattle</w:t>
            </w:r>
          </w:p>
        </w:tc>
        <w:tc>
          <w:tcPr>
            <w:tcW w:w="454" w:type="dxa"/>
            <w:shd w:val="clear" w:color="auto" w:fill="FFFFFF"/>
          </w:tcPr>
          <w:p w14:paraId="4D157978"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CH</w:t>
            </w:r>
            <w:r w:rsidRPr="00261B7A">
              <w:rPr>
                <w:rFonts w:eastAsia="Calibri" w:cs="Calibri"/>
                <w:color w:val="000000"/>
                <w:szCs w:val="16"/>
                <w:vertAlign w:val="subscript"/>
              </w:rPr>
              <w:t>4</w:t>
            </w:r>
          </w:p>
        </w:tc>
        <w:tc>
          <w:tcPr>
            <w:tcW w:w="851" w:type="dxa"/>
            <w:shd w:val="clear" w:color="auto" w:fill="FFFFFF"/>
          </w:tcPr>
          <w:p w14:paraId="4BE1DBE4"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 T1</w:t>
            </w:r>
          </w:p>
        </w:tc>
      </w:tr>
      <w:tr w:rsidR="006611EE" w:rsidRPr="00261B7A" w14:paraId="2EE7E113" w14:textId="77777777" w:rsidTr="000F09B5">
        <w:tc>
          <w:tcPr>
            <w:tcW w:w="1588" w:type="dxa"/>
            <w:shd w:val="clear" w:color="auto" w:fill="FFFFFF"/>
          </w:tcPr>
          <w:p w14:paraId="2E77D18D"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3.D.1.1</w:t>
            </w:r>
          </w:p>
        </w:tc>
        <w:tc>
          <w:tcPr>
            <w:tcW w:w="5046" w:type="dxa"/>
            <w:shd w:val="clear" w:color="auto" w:fill="FFFFFF"/>
          </w:tcPr>
          <w:p w14:paraId="45AEE703"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Direct N</w:t>
            </w:r>
            <w:r w:rsidRPr="00261B7A">
              <w:rPr>
                <w:rFonts w:eastAsia="Calibri" w:cs="Calibri"/>
                <w:color w:val="000000"/>
                <w:szCs w:val="16"/>
                <w:vertAlign w:val="subscript"/>
              </w:rPr>
              <w:t>2</w:t>
            </w:r>
            <w:r w:rsidRPr="00261B7A">
              <w:rPr>
                <w:rFonts w:eastAsia="Calibri" w:cs="Calibri"/>
                <w:color w:val="000000"/>
                <w:szCs w:val="16"/>
              </w:rPr>
              <w:t>O Emissions From Managed Soils – Inorganic N Fertilisers</w:t>
            </w:r>
          </w:p>
        </w:tc>
        <w:tc>
          <w:tcPr>
            <w:tcW w:w="454" w:type="dxa"/>
            <w:shd w:val="clear" w:color="auto" w:fill="FFFFFF"/>
          </w:tcPr>
          <w:p w14:paraId="61E1414B"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N</w:t>
            </w:r>
            <w:r w:rsidRPr="00261B7A">
              <w:rPr>
                <w:rFonts w:eastAsia="Calibri" w:cs="Calibri"/>
                <w:color w:val="000000"/>
                <w:szCs w:val="16"/>
                <w:vertAlign w:val="subscript"/>
              </w:rPr>
              <w:t>2</w:t>
            </w:r>
            <w:r w:rsidRPr="00261B7A">
              <w:rPr>
                <w:rFonts w:eastAsia="Calibri" w:cs="Calibri"/>
                <w:color w:val="000000"/>
                <w:szCs w:val="16"/>
              </w:rPr>
              <w:t>O</w:t>
            </w:r>
          </w:p>
        </w:tc>
        <w:tc>
          <w:tcPr>
            <w:tcW w:w="851" w:type="dxa"/>
            <w:shd w:val="clear" w:color="auto" w:fill="FFFFFF"/>
          </w:tcPr>
          <w:p w14:paraId="1992C6F8"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 T1</w:t>
            </w:r>
          </w:p>
        </w:tc>
      </w:tr>
      <w:tr w:rsidR="006611EE" w:rsidRPr="00261B7A" w14:paraId="1D53A552" w14:textId="77777777" w:rsidTr="000F09B5">
        <w:tc>
          <w:tcPr>
            <w:tcW w:w="1588" w:type="dxa"/>
            <w:shd w:val="clear" w:color="auto" w:fill="FFFFFF"/>
          </w:tcPr>
          <w:p w14:paraId="10B26C99"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3.D.1.3</w:t>
            </w:r>
          </w:p>
        </w:tc>
        <w:tc>
          <w:tcPr>
            <w:tcW w:w="5046" w:type="dxa"/>
            <w:shd w:val="clear" w:color="auto" w:fill="FFFFFF"/>
          </w:tcPr>
          <w:p w14:paraId="27FCE321"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Direct N</w:t>
            </w:r>
            <w:r w:rsidRPr="00261B7A">
              <w:rPr>
                <w:rFonts w:eastAsia="Calibri" w:cs="Calibri"/>
                <w:color w:val="000000"/>
                <w:szCs w:val="16"/>
                <w:vertAlign w:val="subscript"/>
              </w:rPr>
              <w:t>2</w:t>
            </w:r>
            <w:r w:rsidRPr="00261B7A">
              <w:rPr>
                <w:rFonts w:eastAsia="Calibri" w:cs="Calibri"/>
                <w:color w:val="000000"/>
                <w:szCs w:val="16"/>
              </w:rPr>
              <w:t>O Emissions From Managed Soils – Urine and Dung Deposited by Grazing Animals</w:t>
            </w:r>
          </w:p>
        </w:tc>
        <w:tc>
          <w:tcPr>
            <w:tcW w:w="454" w:type="dxa"/>
            <w:shd w:val="clear" w:color="auto" w:fill="FFFFFF"/>
          </w:tcPr>
          <w:p w14:paraId="2BA22FA6"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N</w:t>
            </w:r>
            <w:r w:rsidRPr="00261B7A">
              <w:rPr>
                <w:rFonts w:eastAsia="Calibri" w:cs="Calibri"/>
                <w:color w:val="000000"/>
                <w:szCs w:val="16"/>
                <w:vertAlign w:val="subscript"/>
              </w:rPr>
              <w:t>2</w:t>
            </w:r>
            <w:r w:rsidRPr="00261B7A">
              <w:rPr>
                <w:rFonts w:eastAsia="Calibri" w:cs="Calibri"/>
                <w:color w:val="000000"/>
                <w:szCs w:val="16"/>
              </w:rPr>
              <w:t>O</w:t>
            </w:r>
          </w:p>
        </w:tc>
        <w:tc>
          <w:tcPr>
            <w:tcW w:w="851" w:type="dxa"/>
            <w:shd w:val="clear" w:color="auto" w:fill="FFFFFF"/>
          </w:tcPr>
          <w:p w14:paraId="080AB1CC"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 T1</w:t>
            </w:r>
          </w:p>
        </w:tc>
      </w:tr>
      <w:tr w:rsidR="006611EE" w:rsidRPr="00261B7A" w14:paraId="4F32287B" w14:textId="77777777" w:rsidTr="000F09B5">
        <w:tc>
          <w:tcPr>
            <w:tcW w:w="1588" w:type="dxa"/>
            <w:shd w:val="clear" w:color="auto" w:fill="FFFFFF"/>
          </w:tcPr>
          <w:p w14:paraId="2CF9F5D6"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3.D.1.4</w:t>
            </w:r>
          </w:p>
        </w:tc>
        <w:tc>
          <w:tcPr>
            <w:tcW w:w="5046" w:type="dxa"/>
            <w:shd w:val="clear" w:color="auto" w:fill="FFFFFF"/>
          </w:tcPr>
          <w:p w14:paraId="0C58CB51"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Direct N</w:t>
            </w:r>
            <w:r w:rsidRPr="00261B7A">
              <w:rPr>
                <w:rFonts w:eastAsia="Calibri" w:cs="Calibri"/>
                <w:color w:val="000000"/>
                <w:szCs w:val="16"/>
                <w:vertAlign w:val="subscript"/>
              </w:rPr>
              <w:t>2</w:t>
            </w:r>
            <w:r w:rsidRPr="00261B7A">
              <w:rPr>
                <w:rFonts w:eastAsia="Calibri" w:cs="Calibri"/>
                <w:color w:val="000000"/>
                <w:szCs w:val="16"/>
              </w:rPr>
              <w:t>O Emissions From Managed Soils – Crop Residues</w:t>
            </w:r>
          </w:p>
        </w:tc>
        <w:tc>
          <w:tcPr>
            <w:tcW w:w="454" w:type="dxa"/>
            <w:shd w:val="clear" w:color="auto" w:fill="FFFFFF"/>
          </w:tcPr>
          <w:p w14:paraId="457C9B39"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N</w:t>
            </w:r>
            <w:r w:rsidRPr="00261B7A">
              <w:rPr>
                <w:rFonts w:eastAsia="Calibri" w:cs="Calibri"/>
                <w:color w:val="000000"/>
                <w:szCs w:val="16"/>
                <w:vertAlign w:val="subscript"/>
              </w:rPr>
              <w:t>2</w:t>
            </w:r>
            <w:r w:rsidRPr="00261B7A">
              <w:rPr>
                <w:rFonts w:eastAsia="Calibri" w:cs="Calibri"/>
                <w:color w:val="000000"/>
                <w:szCs w:val="16"/>
              </w:rPr>
              <w:t>O</w:t>
            </w:r>
          </w:p>
        </w:tc>
        <w:tc>
          <w:tcPr>
            <w:tcW w:w="851" w:type="dxa"/>
            <w:shd w:val="clear" w:color="auto" w:fill="FFFFFF"/>
          </w:tcPr>
          <w:p w14:paraId="585BA768"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w:t>
            </w:r>
          </w:p>
        </w:tc>
      </w:tr>
      <w:tr w:rsidR="006611EE" w:rsidRPr="00261B7A" w14:paraId="4343B7E5" w14:textId="77777777" w:rsidTr="000F09B5">
        <w:tc>
          <w:tcPr>
            <w:tcW w:w="1588" w:type="dxa"/>
            <w:shd w:val="clear" w:color="auto" w:fill="FFFFFF"/>
          </w:tcPr>
          <w:p w14:paraId="5247DF82"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3.D.1.6</w:t>
            </w:r>
          </w:p>
        </w:tc>
        <w:tc>
          <w:tcPr>
            <w:tcW w:w="5046" w:type="dxa"/>
            <w:shd w:val="clear" w:color="auto" w:fill="FFFFFF"/>
          </w:tcPr>
          <w:p w14:paraId="2A565C7D"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Direct N</w:t>
            </w:r>
            <w:r w:rsidRPr="00261B7A">
              <w:rPr>
                <w:rFonts w:eastAsia="Calibri" w:cs="Calibri"/>
                <w:color w:val="000000"/>
                <w:szCs w:val="16"/>
                <w:vertAlign w:val="subscript"/>
              </w:rPr>
              <w:t>2</w:t>
            </w:r>
            <w:r w:rsidRPr="00261B7A">
              <w:rPr>
                <w:rFonts w:eastAsia="Calibri" w:cs="Calibri"/>
                <w:color w:val="000000"/>
                <w:szCs w:val="16"/>
              </w:rPr>
              <w:t>O Emissions From Managed Soils – Cultivation of Organic Soils</w:t>
            </w:r>
          </w:p>
        </w:tc>
        <w:tc>
          <w:tcPr>
            <w:tcW w:w="454" w:type="dxa"/>
            <w:shd w:val="clear" w:color="auto" w:fill="FFFFFF"/>
          </w:tcPr>
          <w:p w14:paraId="4E26EE38"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N</w:t>
            </w:r>
            <w:r w:rsidRPr="00261B7A">
              <w:rPr>
                <w:rFonts w:eastAsia="Calibri" w:cs="Calibri"/>
                <w:color w:val="000000"/>
                <w:szCs w:val="16"/>
                <w:vertAlign w:val="subscript"/>
              </w:rPr>
              <w:t>2</w:t>
            </w:r>
            <w:r w:rsidRPr="00261B7A">
              <w:rPr>
                <w:rFonts w:eastAsia="Calibri" w:cs="Calibri"/>
                <w:color w:val="000000"/>
                <w:szCs w:val="16"/>
              </w:rPr>
              <w:t>O</w:t>
            </w:r>
          </w:p>
        </w:tc>
        <w:tc>
          <w:tcPr>
            <w:tcW w:w="851" w:type="dxa"/>
            <w:shd w:val="clear" w:color="auto" w:fill="FFFFFF"/>
          </w:tcPr>
          <w:p w14:paraId="468DA6C5"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 T1</w:t>
            </w:r>
          </w:p>
        </w:tc>
      </w:tr>
      <w:tr w:rsidR="006611EE" w:rsidRPr="00261B7A" w14:paraId="32F87530" w14:textId="77777777" w:rsidTr="000F09B5">
        <w:tc>
          <w:tcPr>
            <w:tcW w:w="1588" w:type="dxa"/>
            <w:shd w:val="clear" w:color="auto" w:fill="FFFFFF"/>
          </w:tcPr>
          <w:p w14:paraId="17F2AE5A"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3.D.2.1</w:t>
            </w:r>
          </w:p>
        </w:tc>
        <w:tc>
          <w:tcPr>
            <w:tcW w:w="5046" w:type="dxa"/>
            <w:shd w:val="clear" w:color="auto" w:fill="FFFFFF"/>
          </w:tcPr>
          <w:p w14:paraId="54176439"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Indirect N</w:t>
            </w:r>
            <w:r w:rsidRPr="00261B7A">
              <w:rPr>
                <w:rFonts w:eastAsia="Calibri" w:cs="Calibri"/>
                <w:color w:val="000000"/>
                <w:szCs w:val="16"/>
                <w:vertAlign w:val="subscript"/>
              </w:rPr>
              <w:t>2</w:t>
            </w:r>
            <w:r w:rsidRPr="00261B7A">
              <w:rPr>
                <w:rFonts w:eastAsia="Calibri" w:cs="Calibri"/>
                <w:color w:val="000000"/>
                <w:szCs w:val="16"/>
              </w:rPr>
              <w:t>O Emissions From Managed Soils – Atmospheric Deposition</w:t>
            </w:r>
          </w:p>
        </w:tc>
        <w:tc>
          <w:tcPr>
            <w:tcW w:w="454" w:type="dxa"/>
            <w:shd w:val="clear" w:color="auto" w:fill="FFFFFF"/>
          </w:tcPr>
          <w:p w14:paraId="206CBB05"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N</w:t>
            </w:r>
            <w:r w:rsidRPr="00261B7A">
              <w:rPr>
                <w:rFonts w:eastAsia="Calibri" w:cs="Calibri"/>
                <w:color w:val="000000"/>
                <w:szCs w:val="16"/>
                <w:vertAlign w:val="subscript"/>
              </w:rPr>
              <w:t>2</w:t>
            </w:r>
            <w:r w:rsidRPr="00261B7A">
              <w:rPr>
                <w:rFonts w:eastAsia="Calibri" w:cs="Calibri"/>
                <w:color w:val="000000"/>
                <w:szCs w:val="16"/>
              </w:rPr>
              <w:t>O</w:t>
            </w:r>
          </w:p>
        </w:tc>
        <w:tc>
          <w:tcPr>
            <w:tcW w:w="851" w:type="dxa"/>
            <w:shd w:val="clear" w:color="auto" w:fill="FFFFFF"/>
          </w:tcPr>
          <w:p w14:paraId="064F8044"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w:t>
            </w:r>
          </w:p>
        </w:tc>
      </w:tr>
      <w:tr w:rsidR="006611EE" w:rsidRPr="00261B7A" w14:paraId="708D0B80" w14:textId="77777777" w:rsidTr="000F09B5">
        <w:tc>
          <w:tcPr>
            <w:tcW w:w="1588" w:type="dxa"/>
            <w:shd w:val="clear" w:color="auto" w:fill="FFFFFF"/>
          </w:tcPr>
          <w:p w14:paraId="00B48D08"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3.D.2.2</w:t>
            </w:r>
          </w:p>
        </w:tc>
        <w:tc>
          <w:tcPr>
            <w:tcW w:w="5046" w:type="dxa"/>
            <w:shd w:val="clear" w:color="auto" w:fill="FFFFFF"/>
          </w:tcPr>
          <w:p w14:paraId="2993102C"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Indirect N</w:t>
            </w:r>
            <w:r w:rsidRPr="00261B7A">
              <w:rPr>
                <w:rFonts w:eastAsia="Calibri" w:cs="Calibri"/>
                <w:color w:val="000000"/>
                <w:szCs w:val="16"/>
                <w:vertAlign w:val="subscript"/>
              </w:rPr>
              <w:t>2</w:t>
            </w:r>
            <w:r w:rsidRPr="00261B7A">
              <w:rPr>
                <w:rFonts w:eastAsia="Calibri" w:cs="Calibri"/>
                <w:color w:val="000000"/>
                <w:szCs w:val="16"/>
              </w:rPr>
              <w:t>O Emissions From Managed Soils – Nitrogen Leaching and Run</w:t>
            </w:r>
            <w:r w:rsidRPr="00261B7A">
              <w:rPr>
                <w:rFonts w:eastAsia="Calibri" w:cs="Calibri"/>
                <w:color w:val="000000"/>
                <w:szCs w:val="16"/>
              </w:rPr>
              <w:noBreakHyphen/>
              <w:t>off</w:t>
            </w:r>
          </w:p>
        </w:tc>
        <w:tc>
          <w:tcPr>
            <w:tcW w:w="454" w:type="dxa"/>
            <w:shd w:val="clear" w:color="auto" w:fill="FFFFFF"/>
          </w:tcPr>
          <w:p w14:paraId="09E03E88"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N</w:t>
            </w:r>
            <w:r w:rsidRPr="00261B7A">
              <w:rPr>
                <w:rFonts w:eastAsia="Calibri" w:cs="Calibri"/>
                <w:color w:val="000000"/>
                <w:szCs w:val="16"/>
                <w:vertAlign w:val="subscript"/>
              </w:rPr>
              <w:t>2</w:t>
            </w:r>
            <w:r w:rsidRPr="00261B7A">
              <w:rPr>
                <w:rFonts w:eastAsia="Calibri" w:cs="Calibri"/>
                <w:color w:val="000000"/>
                <w:szCs w:val="16"/>
              </w:rPr>
              <w:t>O</w:t>
            </w:r>
          </w:p>
        </w:tc>
        <w:tc>
          <w:tcPr>
            <w:tcW w:w="851" w:type="dxa"/>
            <w:shd w:val="clear" w:color="auto" w:fill="FFFFFF"/>
          </w:tcPr>
          <w:p w14:paraId="7ACB9E83"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w:t>
            </w:r>
          </w:p>
        </w:tc>
      </w:tr>
      <w:tr w:rsidR="006611EE" w:rsidRPr="00261B7A" w14:paraId="73EC0CD2" w14:textId="77777777" w:rsidTr="000F09B5">
        <w:tc>
          <w:tcPr>
            <w:tcW w:w="1588" w:type="dxa"/>
            <w:shd w:val="clear" w:color="auto" w:fill="FFFFFF"/>
          </w:tcPr>
          <w:p w14:paraId="6DFF1220"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3.G</w:t>
            </w:r>
          </w:p>
        </w:tc>
        <w:tc>
          <w:tcPr>
            <w:tcW w:w="5046" w:type="dxa"/>
            <w:shd w:val="clear" w:color="auto" w:fill="FFFFFF"/>
          </w:tcPr>
          <w:p w14:paraId="6D6753BA"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Agriculture – Liming</w:t>
            </w:r>
          </w:p>
        </w:tc>
        <w:tc>
          <w:tcPr>
            <w:tcW w:w="454" w:type="dxa"/>
            <w:shd w:val="clear" w:color="auto" w:fill="FFFFFF"/>
          </w:tcPr>
          <w:p w14:paraId="3003FB63"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23CFBF56"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w:t>
            </w:r>
          </w:p>
        </w:tc>
      </w:tr>
      <w:tr w:rsidR="006611EE" w:rsidRPr="00261B7A" w14:paraId="0E6E39B2" w14:textId="77777777" w:rsidTr="000F09B5">
        <w:tc>
          <w:tcPr>
            <w:tcW w:w="1588" w:type="dxa"/>
            <w:shd w:val="clear" w:color="auto" w:fill="FFFFFF"/>
          </w:tcPr>
          <w:p w14:paraId="41B4D88A"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3.H</w:t>
            </w:r>
          </w:p>
        </w:tc>
        <w:tc>
          <w:tcPr>
            <w:tcW w:w="5046" w:type="dxa"/>
            <w:shd w:val="clear" w:color="auto" w:fill="FFFFFF"/>
          </w:tcPr>
          <w:p w14:paraId="51E3F089"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Agriculture – Urea Application</w:t>
            </w:r>
          </w:p>
        </w:tc>
        <w:tc>
          <w:tcPr>
            <w:tcW w:w="454" w:type="dxa"/>
            <w:shd w:val="clear" w:color="auto" w:fill="FFFFFF"/>
          </w:tcPr>
          <w:p w14:paraId="308F9FC5"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10F126E8"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 T1</w:t>
            </w:r>
          </w:p>
        </w:tc>
      </w:tr>
      <w:tr w:rsidR="006611EE" w:rsidRPr="00261B7A" w14:paraId="5838EDAB" w14:textId="77777777" w:rsidTr="000F09B5">
        <w:tc>
          <w:tcPr>
            <w:tcW w:w="1588" w:type="dxa"/>
            <w:shd w:val="clear" w:color="auto" w:fill="FFFFFF"/>
          </w:tcPr>
          <w:p w14:paraId="35A829F9" w14:textId="77777777" w:rsidR="006611EE" w:rsidRPr="00261B7A" w:rsidRDefault="006611EE" w:rsidP="000F09B5">
            <w:pPr>
              <w:pStyle w:val="TableText"/>
              <w:spacing w:before="40" w:after="50"/>
              <w:rPr>
                <w:rFonts w:cs="Calibri"/>
                <w:b/>
                <w:bCs/>
                <w:szCs w:val="16"/>
              </w:rPr>
            </w:pPr>
            <w:r w:rsidRPr="00261B7A">
              <w:rPr>
                <w:rFonts w:eastAsia="Calibri" w:cs="Calibri"/>
                <w:b/>
                <w:bCs/>
                <w:color w:val="000000"/>
                <w:szCs w:val="16"/>
              </w:rPr>
              <w:t>LULUCF</w:t>
            </w:r>
          </w:p>
        </w:tc>
        <w:tc>
          <w:tcPr>
            <w:tcW w:w="5046" w:type="dxa"/>
            <w:shd w:val="clear" w:color="auto" w:fill="FFFFFF"/>
          </w:tcPr>
          <w:p w14:paraId="0F5EF3CD" w14:textId="77777777" w:rsidR="006611EE" w:rsidRPr="00261B7A" w:rsidRDefault="006611EE" w:rsidP="000F09B5">
            <w:pPr>
              <w:pStyle w:val="TableText"/>
              <w:spacing w:before="40" w:after="50"/>
              <w:rPr>
                <w:rFonts w:cs="Calibri"/>
                <w:b/>
                <w:bCs/>
                <w:szCs w:val="16"/>
              </w:rPr>
            </w:pPr>
          </w:p>
        </w:tc>
        <w:tc>
          <w:tcPr>
            <w:tcW w:w="454" w:type="dxa"/>
            <w:shd w:val="clear" w:color="auto" w:fill="FFFFFF"/>
          </w:tcPr>
          <w:p w14:paraId="48BBB7BE" w14:textId="77777777" w:rsidR="006611EE" w:rsidRPr="00261B7A" w:rsidRDefault="006611EE" w:rsidP="00FE7C63">
            <w:pPr>
              <w:pStyle w:val="TableText"/>
              <w:spacing w:before="40" w:after="50"/>
              <w:jc w:val="center"/>
              <w:rPr>
                <w:rFonts w:cs="Calibri"/>
                <w:b/>
                <w:bCs/>
                <w:szCs w:val="16"/>
              </w:rPr>
            </w:pPr>
          </w:p>
        </w:tc>
        <w:tc>
          <w:tcPr>
            <w:tcW w:w="851" w:type="dxa"/>
            <w:shd w:val="clear" w:color="auto" w:fill="FFFFFF"/>
          </w:tcPr>
          <w:p w14:paraId="6484DDAC" w14:textId="77777777" w:rsidR="006611EE" w:rsidRPr="00261B7A" w:rsidRDefault="006611EE" w:rsidP="000F09B5">
            <w:pPr>
              <w:pStyle w:val="TableText"/>
              <w:spacing w:before="40" w:after="50"/>
              <w:rPr>
                <w:rFonts w:cs="Calibri"/>
                <w:b/>
                <w:bCs/>
                <w:szCs w:val="16"/>
              </w:rPr>
            </w:pPr>
          </w:p>
        </w:tc>
      </w:tr>
      <w:tr w:rsidR="006611EE" w:rsidRPr="00261B7A" w14:paraId="65FA137E" w14:textId="77777777" w:rsidTr="000F09B5">
        <w:tc>
          <w:tcPr>
            <w:tcW w:w="1588" w:type="dxa"/>
            <w:shd w:val="clear" w:color="auto" w:fill="FFFFFF"/>
          </w:tcPr>
          <w:p w14:paraId="1B029F53"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4.A.1</w:t>
            </w:r>
          </w:p>
        </w:tc>
        <w:tc>
          <w:tcPr>
            <w:tcW w:w="5046" w:type="dxa"/>
            <w:shd w:val="clear" w:color="auto" w:fill="FFFFFF"/>
          </w:tcPr>
          <w:p w14:paraId="4EA703B3"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Forest Land – Forest Land Remaining Forest Land</w:t>
            </w:r>
          </w:p>
        </w:tc>
        <w:tc>
          <w:tcPr>
            <w:tcW w:w="454" w:type="dxa"/>
            <w:shd w:val="clear" w:color="auto" w:fill="FFFFFF"/>
          </w:tcPr>
          <w:p w14:paraId="7845CDFB"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28FBFBDD"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 T1</w:t>
            </w:r>
          </w:p>
        </w:tc>
      </w:tr>
      <w:tr w:rsidR="006611EE" w:rsidRPr="00261B7A" w14:paraId="19C53425" w14:textId="77777777" w:rsidTr="000F09B5">
        <w:tc>
          <w:tcPr>
            <w:tcW w:w="1588" w:type="dxa"/>
            <w:shd w:val="clear" w:color="auto" w:fill="FFFFFF"/>
          </w:tcPr>
          <w:p w14:paraId="45CAAA2E"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4.A.2</w:t>
            </w:r>
          </w:p>
        </w:tc>
        <w:tc>
          <w:tcPr>
            <w:tcW w:w="5046" w:type="dxa"/>
            <w:shd w:val="clear" w:color="auto" w:fill="FFFFFF"/>
          </w:tcPr>
          <w:p w14:paraId="0AEF85A6"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Forest Land – Land Converted to Forest Land</w:t>
            </w:r>
          </w:p>
        </w:tc>
        <w:tc>
          <w:tcPr>
            <w:tcW w:w="454" w:type="dxa"/>
            <w:shd w:val="clear" w:color="auto" w:fill="FFFFFF"/>
          </w:tcPr>
          <w:p w14:paraId="21E6EA1A"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32AFB526"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 T1</w:t>
            </w:r>
          </w:p>
        </w:tc>
      </w:tr>
      <w:tr w:rsidR="006611EE" w:rsidRPr="00261B7A" w14:paraId="1FD39F5B" w14:textId="77777777" w:rsidTr="000F09B5">
        <w:tc>
          <w:tcPr>
            <w:tcW w:w="1588" w:type="dxa"/>
            <w:shd w:val="clear" w:color="auto" w:fill="FFFFFF"/>
          </w:tcPr>
          <w:p w14:paraId="3D6E31E7"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4.B.1</w:t>
            </w:r>
          </w:p>
        </w:tc>
        <w:tc>
          <w:tcPr>
            <w:tcW w:w="5046" w:type="dxa"/>
            <w:shd w:val="clear" w:color="auto" w:fill="FFFFFF"/>
          </w:tcPr>
          <w:p w14:paraId="477D492D"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Cropland – Cropland Remaining Cropland</w:t>
            </w:r>
          </w:p>
        </w:tc>
        <w:tc>
          <w:tcPr>
            <w:tcW w:w="454" w:type="dxa"/>
            <w:shd w:val="clear" w:color="auto" w:fill="FFFFFF"/>
          </w:tcPr>
          <w:p w14:paraId="2C6D3085"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73EB2ABE"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 T1</w:t>
            </w:r>
          </w:p>
        </w:tc>
      </w:tr>
      <w:tr w:rsidR="006611EE" w:rsidRPr="00261B7A" w14:paraId="1F527FE0" w14:textId="77777777" w:rsidTr="000F09B5">
        <w:tc>
          <w:tcPr>
            <w:tcW w:w="1588" w:type="dxa"/>
            <w:shd w:val="clear" w:color="auto" w:fill="FFFFFF"/>
          </w:tcPr>
          <w:p w14:paraId="149521EE"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4.C.1</w:t>
            </w:r>
          </w:p>
        </w:tc>
        <w:tc>
          <w:tcPr>
            <w:tcW w:w="5046" w:type="dxa"/>
            <w:shd w:val="clear" w:color="auto" w:fill="FFFFFF"/>
          </w:tcPr>
          <w:p w14:paraId="38435FF5"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Grassland – Grassland Remaining Grassland</w:t>
            </w:r>
          </w:p>
        </w:tc>
        <w:tc>
          <w:tcPr>
            <w:tcW w:w="454" w:type="dxa"/>
            <w:shd w:val="clear" w:color="auto" w:fill="FFFFFF"/>
          </w:tcPr>
          <w:p w14:paraId="0BC51233"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2257D9FD"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 T1</w:t>
            </w:r>
          </w:p>
        </w:tc>
      </w:tr>
      <w:tr w:rsidR="006611EE" w:rsidRPr="00261B7A" w14:paraId="32E199D1" w14:textId="77777777" w:rsidTr="000F09B5">
        <w:tc>
          <w:tcPr>
            <w:tcW w:w="1588" w:type="dxa"/>
            <w:shd w:val="clear" w:color="auto" w:fill="FFFFFF"/>
          </w:tcPr>
          <w:p w14:paraId="3B007A5C"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4.C.2</w:t>
            </w:r>
          </w:p>
        </w:tc>
        <w:tc>
          <w:tcPr>
            <w:tcW w:w="5046" w:type="dxa"/>
            <w:shd w:val="clear" w:color="auto" w:fill="FFFFFF"/>
          </w:tcPr>
          <w:p w14:paraId="1C62E7ED"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Grassland – Land Converted to Grassland</w:t>
            </w:r>
          </w:p>
        </w:tc>
        <w:tc>
          <w:tcPr>
            <w:tcW w:w="454" w:type="dxa"/>
            <w:shd w:val="clear" w:color="auto" w:fill="FFFFFF"/>
          </w:tcPr>
          <w:p w14:paraId="19683409"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4DA0F4F1"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 T1</w:t>
            </w:r>
          </w:p>
        </w:tc>
      </w:tr>
      <w:tr w:rsidR="006611EE" w:rsidRPr="00261B7A" w14:paraId="37EAC38C" w14:textId="77777777" w:rsidTr="000F09B5">
        <w:tc>
          <w:tcPr>
            <w:tcW w:w="1588" w:type="dxa"/>
            <w:shd w:val="clear" w:color="auto" w:fill="FFFFFF"/>
          </w:tcPr>
          <w:p w14:paraId="13D6BFB8"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4.G</w:t>
            </w:r>
          </w:p>
        </w:tc>
        <w:tc>
          <w:tcPr>
            <w:tcW w:w="5046" w:type="dxa"/>
            <w:shd w:val="clear" w:color="auto" w:fill="FFFFFF"/>
          </w:tcPr>
          <w:p w14:paraId="3085B2B0"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Land Use, Land-Use Change and Forestry – Harvested Wood Products</w:t>
            </w:r>
          </w:p>
        </w:tc>
        <w:tc>
          <w:tcPr>
            <w:tcW w:w="454" w:type="dxa"/>
            <w:shd w:val="clear" w:color="auto" w:fill="FFFFFF"/>
          </w:tcPr>
          <w:p w14:paraId="1424D04C" w14:textId="77777777" w:rsidR="006611EE" w:rsidRPr="00261B7A" w:rsidRDefault="006611EE" w:rsidP="00FE7C63">
            <w:pPr>
              <w:pStyle w:val="TableText"/>
              <w:spacing w:before="4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6357BC96" w14:textId="77777777" w:rsidR="006611EE" w:rsidRPr="00261B7A" w:rsidRDefault="006611EE" w:rsidP="000F09B5">
            <w:pPr>
              <w:pStyle w:val="TableText"/>
              <w:spacing w:before="40" w:after="50"/>
              <w:rPr>
                <w:rFonts w:cs="Calibri"/>
                <w:szCs w:val="16"/>
              </w:rPr>
            </w:pPr>
            <w:r w:rsidRPr="00261B7A">
              <w:rPr>
                <w:rFonts w:eastAsia="Calibri" w:cs="Calibri"/>
                <w:color w:val="000000"/>
                <w:szCs w:val="16"/>
              </w:rPr>
              <w:t>L1, T1</w:t>
            </w:r>
          </w:p>
        </w:tc>
      </w:tr>
      <w:tr w:rsidR="006611EE" w:rsidRPr="00261B7A" w14:paraId="69D5A5CC" w14:textId="77777777" w:rsidTr="000F09B5">
        <w:tc>
          <w:tcPr>
            <w:tcW w:w="1588" w:type="dxa"/>
            <w:shd w:val="clear" w:color="auto" w:fill="FFFFFF"/>
          </w:tcPr>
          <w:p w14:paraId="445CB1C5" w14:textId="77777777" w:rsidR="006611EE" w:rsidRPr="00261B7A" w:rsidRDefault="006611EE" w:rsidP="000F09B5">
            <w:pPr>
              <w:pStyle w:val="TableText"/>
              <w:keepNext/>
              <w:spacing w:before="50" w:after="50"/>
              <w:rPr>
                <w:rFonts w:cs="Calibri"/>
                <w:b/>
                <w:bCs/>
                <w:szCs w:val="16"/>
              </w:rPr>
            </w:pPr>
            <w:r w:rsidRPr="00261B7A">
              <w:rPr>
                <w:rFonts w:eastAsia="Calibri" w:cs="Calibri"/>
                <w:b/>
                <w:bCs/>
                <w:color w:val="000000"/>
                <w:szCs w:val="16"/>
              </w:rPr>
              <w:lastRenderedPageBreak/>
              <w:t>Waste</w:t>
            </w:r>
          </w:p>
        </w:tc>
        <w:tc>
          <w:tcPr>
            <w:tcW w:w="5046" w:type="dxa"/>
            <w:shd w:val="clear" w:color="auto" w:fill="FFFFFF"/>
          </w:tcPr>
          <w:p w14:paraId="331C993A" w14:textId="77777777" w:rsidR="006611EE" w:rsidRPr="00261B7A" w:rsidRDefault="006611EE" w:rsidP="000F09B5">
            <w:pPr>
              <w:pStyle w:val="TableText"/>
              <w:keepNext/>
              <w:spacing w:before="50" w:after="50"/>
              <w:rPr>
                <w:rFonts w:cs="Calibri"/>
                <w:b/>
                <w:bCs/>
                <w:szCs w:val="16"/>
              </w:rPr>
            </w:pPr>
          </w:p>
        </w:tc>
        <w:tc>
          <w:tcPr>
            <w:tcW w:w="454" w:type="dxa"/>
            <w:shd w:val="clear" w:color="auto" w:fill="FFFFFF"/>
          </w:tcPr>
          <w:p w14:paraId="6B2F048F" w14:textId="77777777" w:rsidR="006611EE" w:rsidRPr="00261B7A" w:rsidRDefault="006611EE" w:rsidP="00FE7C63">
            <w:pPr>
              <w:pStyle w:val="TableText"/>
              <w:keepNext/>
              <w:spacing w:before="50" w:after="50"/>
              <w:jc w:val="center"/>
              <w:rPr>
                <w:rFonts w:cs="Calibri"/>
                <w:b/>
                <w:bCs/>
                <w:szCs w:val="16"/>
              </w:rPr>
            </w:pPr>
          </w:p>
        </w:tc>
        <w:tc>
          <w:tcPr>
            <w:tcW w:w="851" w:type="dxa"/>
            <w:shd w:val="clear" w:color="auto" w:fill="FFFFFF"/>
          </w:tcPr>
          <w:p w14:paraId="05CECE86" w14:textId="77777777" w:rsidR="006611EE" w:rsidRPr="00261B7A" w:rsidRDefault="006611EE" w:rsidP="000F09B5">
            <w:pPr>
              <w:pStyle w:val="TableText"/>
              <w:keepNext/>
              <w:spacing w:before="50" w:after="50"/>
              <w:rPr>
                <w:rFonts w:cs="Calibri"/>
                <w:b/>
                <w:bCs/>
                <w:szCs w:val="16"/>
              </w:rPr>
            </w:pPr>
          </w:p>
        </w:tc>
      </w:tr>
      <w:tr w:rsidR="006611EE" w:rsidRPr="00261B7A" w14:paraId="3833687E" w14:textId="77777777" w:rsidTr="000F09B5">
        <w:tc>
          <w:tcPr>
            <w:tcW w:w="1588" w:type="dxa"/>
            <w:shd w:val="clear" w:color="auto" w:fill="FFFFFF"/>
          </w:tcPr>
          <w:p w14:paraId="44466903" w14:textId="77777777" w:rsidR="006611EE" w:rsidRPr="00261B7A" w:rsidRDefault="006611EE" w:rsidP="000F09B5">
            <w:pPr>
              <w:pStyle w:val="TableText"/>
              <w:keepNext/>
              <w:spacing w:before="50" w:after="50"/>
              <w:rPr>
                <w:rFonts w:cs="Calibri"/>
                <w:szCs w:val="16"/>
              </w:rPr>
            </w:pPr>
            <w:r w:rsidRPr="00261B7A">
              <w:rPr>
                <w:rFonts w:eastAsia="Calibri" w:cs="Calibri"/>
                <w:color w:val="000000"/>
                <w:szCs w:val="16"/>
              </w:rPr>
              <w:t>5.A</w:t>
            </w:r>
          </w:p>
        </w:tc>
        <w:tc>
          <w:tcPr>
            <w:tcW w:w="5046" w:type="dxa"/>
            <w:shd w:val="clear" w:color="auto" w:fill="FFFFFF"/>
          </w:tcPr>
          <w:p w14:paraId="5C377320" w14:textId="77777777" w:rsidR="006611EE" w:rsidRPr="00261B7A" w:rsidRDefault="006611EE" w:rsidP="000F09B5">
            <w:pPr>
              <w:pStyle w:val="TableText"/>
              <w:keepNext/>
              <w:spacing w:before="50" w:after="50"/>
              <w:rPr>
                <w:rFonts w:cs="Calibri"/>
                <w:szCs w:val="16"/>
              </w:rPr>
            </w:pPr>
            <w:r w:rsidRPr="00261B7A">
              <w:rPr>
                <w:rFonts w:eastAsia="Calibri" w:cs="Calibri"/>
                <w:color w:val="000000"/>
                <w:szCs w:val="16"/>
              </w:rPr>
              <w:t>Waste – Solid Waste Disposal</w:t>
            </w:r>
          </w:p>
        </w:tc>
        <w:tc>
          <w:tcPr>
            <w:tcW w:w="454" w:type="dxa"/>
            <w:shd w:val="clear" w:color="auto" w:fill="FFFFFF"/>
          </w:tcPr>
          <w:p w14:paraId="56488710" w14:textId="77777777" w:rsidR="006611EE" w:rsidRPr="00261B7A" w:rsidRDefault="006611EE" w:rsidP="00FE7C63">
            <w:pPr>
              <w:pStyle w:val="TableText"/>
              <w:keepNext/>
              <w:spacing w:before="50" w:after="50"/>
              <w:jc w:val="center"/>
              <w:rPr>
                <w:rFonts w:cs="Calibri"/>
                <w:szCs w:val="16"/>
              </w:rPr>
            </w:pPr>
            <w:r w:rsidRPr="00261B7A">
              <w:rPr>
                <w:rFonts w:eastAsia="Calibri" w:cs="Calibri"/>
                <w:color w:val="000000"/>
                <w:szCs w:val="16"/>
              </w:rPr>
              <w:t>CH</w:t>
            </w:r>
            <w:r w:rsidRPr="00261B7A">
              <w:rPr>
                <w:rFonts w:eastAsia="Calibri" w:cs="Calibri"/>
                <w:color w:val="000000"/>
                <w:szCs w:val="16"/>
                <w:vertAlign w:val="subscript"/>
              </w:rPr>
              <w:t>4</w:t>
            </w:r>
          </w:p>
        </w:tc>
        <w:tc>
          <w:tcPr>
            <w:tcW w:w="851" w:type="dxa"/>
            <w:shd w:val="clear" w:color="auto" w:fill="FFFFFF"/>
          </w:tcPr>
          <w:p w14:paraId="377254FE" w14:textId="77777777" w:rsidR="006611EE" w:rsidRPr="00261B7A" w:rsidRDefault="006611EE" w:rsidP="000F09B5">
            <w:pPr>
              <w:pStyle w:val="TableText"/>
              <w:keepNext/>
              <w:spacing w:before="50" w:after="50"/>
              <w:rPr>
                <w:rFonts w:cs="Calibri"/>
                <w:szCs w:val="16"/>
              </w:rPr>
            </w:pPr>
            <w:r w:rsidRPr="00261B7A">
              <w:rPr>
                <w:rFonts w:eastAsia="Calibri" w:cs="Calibri"/>
                <w:color w:val="000000"/>
                <w:szCs w:val="16"/>
              </w:rPr>
              <w:t>L1, T1</w:t>
            </w:r>
          </w:p>
        </w:tc>
      </w:tr>
      <w:tr w:rsidR="006611EE" w:rsidRPr="00261B7A" w14:paraId="289697DF" w14:textId="77777777" w:rsidTr="000F09B5">
        <w:tc>
          <w:tcPr>
            <w:tcW w:w="1588" w:type="dxa"/>
            <w:shd w:val="clear" w:color="auto" w:fill="FFFFFF"/>
          </w:tcPr>
          <w:p w14:paraId="273C89E9"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5.C</w:t>
            </w:r>
          </w:p>
        </w:tc>
        <w:tc>
          <w:tcPr>
            <w:tcW w:w="5046" w:type="dxa"/>
            <w:shd w:val="clear" w:color="auto" w:fill="FFFFFF"/>
          </w:tcPr>
          <w:p w14:paraId="588364D8"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Waste – Incineration and Open Burning of Waste</w:t>
            </w:r>
          </w:p>
        </w:tc>
        <w:tc>
          <w:tcPr>
            <w:tcW w:w="454" w:type="dxa"/>
            <w:shd w:val="clear" w:color="auto" w:fill="FFFFFF"/>
          </w:tcPr>
          <w:p w14:paraId="43C08AF6"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CO</w:t>
            </w:r>
            <w:r w:rsidRPr="00261B7A">
              <w:rPr>
                <w:rFonts w:eastAsia="Calibri" w:cs="Calibri"/>
                <w:color w:val="000000"/>
                <w:szCs w:val="16"/>
                <w:vertAlign w:val="subscript"/>
              </w:rPr>
              <w:t>2</w:t>
            </w:r>
          </w:p>
        </w:tc>
        <w:tc>
          <w:tcPr>
            <w:tcW w:w="851" w:type="dxa"/>
            <w:shd w:val="clear" w:color="auto" w:fill="FFFFFF"/>
          </w:tcPr>
          <w:p w14:paraId="4C9FC6B3"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T1</w:t>
            </w:r>
          </w:p>
        </w:tc>
      </w:tr>
      <w:tr w:rsidR="006611EE" w:rsidRPr="00261B7A" w14:paraId="5B6DE845" w14:textId="77777777" w:rsidTr="000F09B5">
        <w:tc>
          <w:tcPr>
            <w:tcW w:w="1588" w:type="dxa"/>
            <w:shd w:val="clear" w:color="auto" w:fill="FFFFFF"/>
          </w:tcPr>
          <w:p w14:paraId="344D0D7F"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5.D</w:t>
            </w:r>
          </w:p>
        </w:tc>
        <w:tc>
          <w:tcPr>
            <w:tcW w:w="5046" w:type="dxa"/>
            <w:shd w:val="clear" w:color="auto" w:fill="FFFFFF"/>
          </w:tcPr>
          <w:p w14:paraId="0B0B7F8E"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Waste – Wastewater Treatment and Discharge</w:t>
            </w:r>
          </w:p>
        </w:tc>
        <w:tc>
          <w:tcPr>
            <w:tcW w:w="454" w:type="dxa"/>
            <w:shd w:val="clear" w:color="auto" w:fill="FFFFFF"/>
          </w:tcPr>
          <w:p w14:paraId="532929D3" w14:textId="77777777" w:rsidR="006611EE" w:rsidRPr="00261B7A" w:rsidRDefault="006611EE" w:rsidP="00FE7C63">
            <w:pPr>
              <w:pStyle w:val="TableText"/>
              <w:spacing w:before="50" w:after="50"/>
              <w:jc w:val="center"/>
              <w:rPr>
                <w:rFonts w:cs="Calibri"/>
                <w:szCs w:val="16"/>
              </w:rPr>
            </w:pPr>
            <w:r w:rsidRPr="00261B7A">
              <w:rPr>
                <w:rFonts w:eastAsia="Calibri" w:cs="Calibri"/>
                <w:color w:val="000000"/>
                <w:szCs w:val="16"/>
              </w:rPr>
              <w:t>CH</w:t>
            </w:r>
            <w:r w:rsidRPr="00261B7A">
              <w:rPr>
                <w:rFonts w:eastAsia="Calibri" w:cs="Calibri"/>
                <w:color w:val="000000"/>
                <w:szCs w:val="16"/>
                <w:vertAlign w:val="subscript"/>
              </w:rPr>
              <w:t>4</w:t>
            </w:r>
          </w:p>
        </w:tc>
        <w:tc>
          <w:tcPr>
            <w:tcW w:w="851" w:type="dxa"/>
            <w:shd w:val="clear" w:color="auto" w:fill="FFFFFF"/>
          </w:tcPr>
          <w:p w14:paraId="6D36692E" w14:textId="77777777" w:rsidR="006611EE" w:rsidRPr="00261B7A" w:rsidRDefault="006611EE" w:rsidP="000F09B5">
            <w:pPr>
              <w:pStyle w:val="TableText"/>
              <w:spacing w:before="50" w:after="50"/>
              <w:rPr>
                <w:rFonts w:cs="Calibri"/>
                <w:szCs w:val="16"/>
              </w:rPr>
            </w:pPr>
            <w:r w:rsidRPr="00261B7A">
              <w:rPr>
                <w:rFonts w:eastAsia="Calibri" w:cs="Calibri"/>
                <w:color w:val="000000"/>
                <w:szCs w:val="16"/>
              </w:rPr>
              <w:t>L1</w:t>
            </w:r>
          </w:p>
        </w:tc>
      </w:tr>
    </w:tbl>
    <w:p w14:paraId="227481E6" w14:textId="77777777" w:rsidR="006611EE" w:rsidRPr="00261B7A" w:rsidRDefault="006611EE" w:rsidP="006611EE">
      <w:pPr>
        <w:pStyle w:val="Noteundertable"/>
      </w:pPr>
      <w:r w:rsidRPr="00261B7A">
        <w:rPr>
          <w:b/>
          <w:bCs/>
        </w:rPr>
        <w:t>Note:</w:t>
      </w:r>
      <w:r w:rsidRPr="00261B7A">
        <w:t xml:space="preserve"> </w:t>
      </w:r>
      <w:r w:rsidRPr="00261B7A">
        <w:tab/>
        <w:t>L1 means a key category is identified under the level analysis – approach 1 and T1 is trend analysis – approach 1. According to the 2006 IPCC Guidelines (IPCC, 2006), L1 indicates a level assessment for a Tier 1 key category, and T1 indicates a trend assessment for a Tier 1 key category.</w:t>
      </w:r>
    </w:p>
    <w:p w14:paraId="6AA81E6F" w14:textId="52E038D4" w:rsidR="006611EE" w:rsidRPr="00261B7A" w:rsidRDefault="006611EE" w:rsidP="006611EE">
      <w:pPr>
        <w:pStyle w:val="Table"/>
      </w:pPr>
      <w:bookmarkStart w:id="97" w:name="_Toc130898915"/>
      <w:bookmarkStart w:id="98" w:name="_Toc131591311"/>
      <w:r w:rsidRPr="00261B7A">
        <w:t xml:space="preserve">Table 1.5.2(a &amp; b) </w:t>
      </w:r>
      <w:r w:rsidRPr="00261B7A">
        <w:rPr>
          <w:bCs/>
        </w:rPr>
        <w:t>2021</w:t>
      </w:r>
      <w:r w:rsidRPr="00261B7A">
        <w:t xml:space="preserve"> level assessment for New Zealand’s key category analysis including LULUCF (a) and excluding LULUCF (b)</w:t>
      </w:r>
      <w:bookmarkEnd w:id="97"/>
      <w:bookmarkEnd w:id="98"/>
    </w:p>
    <w:p w14:paraId="4EA465E9" w14:textId="77777777" w:rsidR="006611EE" w:rsidRPr="00261B7A" w:rsidRDefault="006611EE" w:rsidP="006611EE">
      <w:pPr>
        <w:pStyle w:val="BodyText"/>
        <w:spacing w:before="0"/>
        <w:rPr>
          <w:b/>
          <w:bCs/>
          <w:sz w:val="18"/>
          <w:szCs w:val="18"/>
        </w:rPr>
      </w:pPr>
      <w:r w:rsidRPr="00261B7A">
        <w:rPr>
          <w:b/>
          <w:bCs/>
          <w:sz w:val="18"/>
          <w:szCs w:val="18"/>
        </w:rPr>
        <w:t>(a)</w:t>
      </w:r>
      <w:r w:rsidRPr="00261B7A">
        <w:rPr>
          <w:b/>
          <w:bCs/>
          <w:sz w:val="18"/>
          <w:szCs w:val="18"/>
        </w:rPr>
        <w:tab/>
        <w:t>IPCC Tier 1 category level assessment – including LULUCF (net emissions): 2021</w:t>
      </w:r>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063"/>
        <w:gridCol w:w="3454"/>
        <w:gridCol w:w="577"/>
        <w:gridCol w:w="1130"/>
        <w:gridCol w:w="1196"/>
        <w:gridCol w:w="1085"/>
      </w:tblGrid>
      <w:tr w:rsidR="006611EE" w:rsidRPr="00261B7A" w14:paraId="7FC6F701" w14:textId="77777777" w:rsidTr="000F09B5">
        <w:trPr>
          <w:tblHeader/>
        </w:trPr>
        <w:tc>
          <w:tcPr>
            <w:tcW w:w="907" w:type="dxa"/>
            <w:shd w:val="clear" w:color="auto" w:fill="1B556B"/>
            <w:tcMar>
              <w:top w:w="0" w:type="dxa"/>
              <w:left w:w="85" w:type="dxa"/>
              <w:bottom w:w="0" w:type="dxa"/>
              <w:right w:w="85" w:type="dxa"/>
            </w:tcMar>
            <w:vAlign w:val="bottom"/>
          </w:tcPr>
          <w:p w14:paraId="13E67077" w14:textId="77777777" w:rsidR="006611EE" w:rsidRPr="00261B7A" w:rsidRDefault="006611EE" w:rsidP="000F09B5">
            <w:pPr>
              <w:pStyle w:val="TableText"/>
              <w:spacing w:before="40" w:after="40"/>
              <w:rPr>
                <w:b/>
                <w:bCs/>
                <w:color w:val="FFFFFF" w:themeColor="background1"/>
              </w:rPr>
            </w:pPr>
            <w:r w:rsidRPr="00261B7A">
              <w:rPr>
                <w:rFonts w:eastAsia="Calibri"/>
                <w:b/>
                <w:bCs/>
                <w:color w:val="FFFFFF" w:themeColor="background1"/>
              </w:rPr>
              <w:t>CRF category code</w:t>
            </w:r>
          </w:p>
        </w:tc>
        <w:tc>
          <w:tcPr>
            <w:tcW w:w="2948" w:type="dxa"/>
            <w:shd w:val="clear" w:color="auto" w:fill="1B556B"/>
            <w:tcMar>
              <w:top w:w="0" w:type="dxa"/>
              <w:left w:w="85" w:type="dxa"/>
              <w:bottom w:w="0" w:type="dxa"/>
              <w:right w:w="85" w:type="dxa"/>
            </w:tcMar>
            <w:vAlign w:val="bottom"/>
          </w:tcPr>
          <w:p w14:paraId="0A755063" w14:textId="77777777" w:rsidR="006611EE" w:rsidRPr="00261B7A" w:rsidRDefault="006611EE" w:rsidP="000F09B5">
            <w:pPr>
              <w:pStyle w:val="TableText"/>
              <w:spacing w:before="40" w:after="40"/>
              <w:rPr>
                <w:b/>
                <w:bCs/>
                <w:color w:val="FFFFFF" w:themeColor="background1"/>
              </w:rPr>
            </w:pPr>
            <w:r w:rsidRPr="00261B7A">
              <w:rPr>
                <w:rFonts w:eastAsia="Calibri"/>
                <w:b/>
                <w:bCs/>
                <w:color w:val="FFFFFF" w:themeColor="background1"/>
              </w:rPr>
              <w:t>IPCC category</w:t>
            </w:r>
          </w:p>
        </w:tc>
        <w:tc>
          <w:tcPr>
            <w:tcW w:w="397" w:type="dxa"/>
            <w:shd w:val="clear" w:color="auto" w:fill="1B556B"/>
            <w:tcMar>
              <w:top w:w="0" w:type="dxa"/>
              <w:left w:w="85" w:type="dxa"/>
              <w:bottom w:w="0" w:type="dxa"/>
              <w:right w:w="85" w:type="dxa"/>
            </w:tcMar>
            <w:vAlign w:val="bottom"/>
          </w:tcPr>
          <w:p w14:paraId="5199A08F" w14:textId="77777777" w:rsidR="006611EE" w:rsidRPr="00261B7A" w:rsidRDefault="006611EE" w:rsidP="000F09B5">
            <w:pPr>
              <w:pStyle w:val="TableText"/>
              <w:spacing w:before="40" w:after="40"/>
              <w:jc w:val="center"/>
              <w:rPr>
                <w:b/>
                <w:bCs/>
                <w:color w:val="FFFFFF" w:themeColor="background1"/>
              </w:rPr>
            </w:pPr>
            <w:r w:rsidRPr="00261B7A">
              <w:rPr>
                <w:rFonts w:eastAsia="Calibri"/>
                <w:b/>
                <w:bCs/>
                <w:color w:val="FFFFFF" w:themeColor="background1"/>
              </w:rPr>
              <w:t>Gas</w:t>
            </w:r>
          </w:p>
        </w:tc>
        <w:tc>
          <w:tcPr>
            <w:tcW w:w="964" w:type="dxa"/>
            <w:shd w:val="clear" w:color="auto" w:fill="1B556B"/>
            <w:tcMar>
              <w:top w:w="0" w:type="dxa"/>
              <w:left w:w="85" w:type="dxa"/>
              <w:bottom w:w="0" w:type="dxa"/>
              <w:right w:w="85" w:type="dxa"/>
            </w:tcMar>
            <w:vAlign w:val="bottom"/>
          </w:tcPr>
          <w:p w14:paraId="0DB16971" w14:textId="77777777" w:rsidR="006611EE" w:rsidRPr="00261B7A" w:rsidRDefault="006611EE" w:rsidP="000F09B5">
            <w:pPr>
              <w:pStyle w:val="TableText"/>
              <w:spacing w:before="40" w:after="40"/>
              <w:jc w:val="right"/>
              <w:rPr>
                <w:b/>
                <w:bCs/>
                <w:color w:val="FFFFFF" w:themeColor="background1"/>
              </w:rPr>
            </w:pPr>
            <w:r w:rsidRPr="00261B7A">
              <w:rPr>
                <w:rFonts w:eastAsia="Calibri"/>
                <w:b/>
                <w:bCs/>
                <w:color w:val="FFFFFF" w:themeColor="background1"/>
              </w:rPr>
              <w:t xml:space="preserve">2021 estimate </w:t>
            </w:r>
            <w:r w:rsidRPr="00261B7A">
              <w:rPr>
                <w:rFonts w:eastAsia="Calibri"/>
                <w:b/>
                <w:bCs/>
                <w:color w:val="FFFFFF" w:themeColor="background1"/>
              </w:rPr>
              <w:br/>
              <w:t>(kt CO</w:t>
            </w:r>
            <w:r w:rsidRPr="00261B7A">
              <w:rPr>
                <w:rFonts w:eastAsia="Calibri"/>
                <w:b/>
                <w:bCs/>
                <w:color w:val="FFFFFF" w:themeColor="background1"/>
                <w:vertAlign w:val="subscript"/>
              </w:rPr>
              <w:t>2</w:t>
            </w:r>
            <w:r w:rsidRPr="00261B7A">
              <w:rPr>
                <w:rFonts w:eastAsia="Calibri"/>
                <w:b/>
                <w:bCs/>
                <w:color w:val="FFFFFF" w:themeColor="background1"/>
              </w:rPr>
              <w:t>-e)</w:t>
            </w:r>
          </w:p>
        </w:tc>
        <w:tc>
          <w:tcPr>
            <w:tcW w:w="1021" w:type="dxa"/>
            <w:shd w:val="clear" w:color="auto" w:fill="1B556B"/>
            <w:tcMar>
              <w:top w:w="0" w:type="dxa"/>
              <w:left w:w="85" w:type="dxa"/>
              <w:bottom w:w="0" w:type="dxa"/>
              <w:right w:w="85" w:type="dxa"/>
            </w:tcMar>
            <w:vAlign w:val="bottom"/>
          </w:tcPr>
          <w:p w14:paraId="6A26BF35" w14:textId="77777777" w:rsidR="006611EE" w:rsidRPr="00261B7A" w:rsidRDefault="006611EE" w:rsidP="000F09B5">
            <w:pPr>
              <w:pStyle w:val="TableText"/>
              <w:spacing w:before="40" w:after="40"/>
              <w:jc w:val="right"/>
              <w:rPr>
                <w:b/>
                <w:bCs/>
                <w:color w:val="FFFFFF" w:themeColor="background1"/>
              </w:rPr>
            </w:pPr>
            <w:r w:rsidRPr="00261B7A">
              <w:rPr>
                <w:rFonts w:eastAsia="Calibri"/>
                <w:b/>
                <w:bCs/>
                <w:color w:val="FFFFFF" w:themeColor="background1"/>
              </w:rPr>
              <w:t>Level assessment (%)</w:t>
            </w:r>
          </w:p>
        </w:tc>
        <w:tc>
          <w:tcPr>
            <w:tcW w:w="567" w:type="dxa"/>
            <w:shd w:val="clear" w:color="auto" w:fill="1B556B"/>
            <w:tcMar>
              <w:top w:w="0" w:type="dxa"/>
              <w:left w:w="85" w:type="dxa"/>
              <w:bottom w:w="0" w:type="dxa"/>
              <w:right w:w="85" w:type="dxa"/>
            </w:tcMar>
            <w:vAlign w:val="bottom"/>
          </w:tcPr>
          <w:p w14:paraId="6B824611" w14:textId="77777777" w:rsidR="006611EE" w:rsidRPr="00261B7A" w:rsidRDefault="006611EE" w:rsidP="000F09B5">
            <w:pPr>
              <w:pStyle w:val="TableText"/>
              <w:spacing w:before="40" w:after="40"/>
              <w:jc w:val="right"/>
              <w:rPr>
                <w:b/>
                <w:bCs/>
                <w:color w:val="FFFFFF" w:themeColor="background1"/>
              </w:rPr>
            </w:pPr>
            <w:r w:rsidRPr="00261B7A">
              <w:rPr>
                <w:rFonts w:eastAsia="Calibri"/>
                <w:b/>
                <w:bCs/>
                <w:color w:val="FFFFFF" w:themeColor="background1"/>
              </w:rPr>
              <w:t>Cumulative total (%)</w:t>
            </w:r>
          </w:p>
        </w:tc>
      </w:tr>
      <w:tr w:rsidR="006611EE" w:rsidRPr="00261B7A" w14:paraId="711B6DED" w14:textId="77777777" w:rsidTr="000F09B5">
        <w:tc>
          <w:tcPr>
            <w:tcW w:w="907" w:type="dxa"/>
            <w:shd w:val="clear" w:color="auto" w:fill="FFFFFF"/>
            <w:tcMar>
              <w:top w:w="0" w:type="dxa"/>
              <w:left w:w="85" w:type="dxa"/>
              <w:bottom w:w="0" w:type="dxa"/>
              <w:right w:w="85" w:type="dxa"/>
            </w:tcMar>
          </w:tcPr>
          <w:p w14:paraId="0EFED2E2" w14:textId="77777777" w:rsidR="006611EE" w:rsidRPr="00261B7A" w:rsidRDefault="006611EE" w:rsidP="000F09B5">
            <w:pPr>
              <w:pStyle w:val="TableText"/>
              <w:spacing w:before="40" w:after="40"/>
              <w:rPr>
                <w:rFonts w:cstheme="minorHAnsi"/>
              </w:rPr>
            </w:pPr>
            <w:r w:rsidRPr="00261B7A">
              <w:rPr>
                <w:rFonts w:cstheme="minorHAnsi"/>
                <w:color w:val="000000"/>
              </w:rPr>
              <w:t>3.A.1</w:t>
            </w:r>
          </w:p>
        </w:tc>
        <w:tc>
          <w:tcPr>
            <w:tcW w:w="2948" w:type="dxa"/>
            <w:shd w:val="clear" w:color="auto" w:fill="FFFFFF"/>
            <w:tcMar>
              <w:top w:w="0" w:type="dxa"/>
              <w:left w:w="85" w:type="dxa"/>
              <w:bottom w:w="0" w:type="dxa"/>
              <w:right w:w="85" w:type="dxa"/>
            </w:tcMar>
          </w:tcPr>
          <w:p w14:paraId="60ECE2C5" w14:textId="77777777" w:rsidR="006611EE" w:rsidRPr="00261B7A" w:rsidRDefault="006611EE" w:rsidP="000F09B5">
            <w:pPr>
              <w:pStyle w:val="TableText"/>
              <w:spacing w:before="40" w:after="40"/>
              <w:rPr>
                <w:rFonts w:cstheme="minorHAnsi"/>
              </w:rPr>
            </w:pPr>
            <w:r w:rsidRPr="00261B7A">
              <w:rPr>
                <w:rFonts w:cstheme="minorHAnsi"/>
                <w:color w:val="000000"/>
              </w:rPr>
              <w:t>Option A – Dairy Cattle</w:t>
            </w:r>
          </w:p>
        </w:tc>
        <w:tc>
          <w:tcPr>
            <w:tcW w:w="397" w:type="dxa"/>
            <w:shd w:val="clear" w:color="auto" w:fill="FFFFFF"/>
            <w:tcMar>
              <w:top w:w="0" w:type="dxa"/>
              <w:left w:w="85" w:type="dxa"/>
              <w:bottom w:w="0" w:type="dxa"/>
              <w:right w:w="85" w:type="dxa"/>
            </w:tcMar>
          </w:tcPr>
          <w:p w14:paraId="7AC48205"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964" w:type="dxa"/>
            <w:shd w:val="clear" w:color="auto" w:fill="FFFFFF"/>
            <w:tcMar>
              <w:top w:w="0" w:type="dxa"/>
              <w:left w:w="85" w:type="dxa"/>
              <w:bottom w:w="0" w:type="dxa"/>
              <w:right w:w="85" w:type="dxa"/>
            </w:tcMar>
          </w:tcPr>
          <w:p w14:paraId="5FBCED94" w14:textId="77777777" w:rsidR="006611EE" w:rsidRPr="00261B7A" w:rsidRDefault="006611EE" w:rsidP="000F09B5">
            <w:pPr>
              <w:pStyle w:val="TableText"/>
              <w:spacing w:before="40" w:after="40"/>
              <w:jc w:val="right"/>
              <w:rPr>
                <w:rFonts w:cstheme="minorHAnsi"/>
              </w:rPr>
            </w:pPr>
            <w:r w:rsidRPr="00261B7A">
              <w:rPr>
                <w:rFonts w:cstheme="minorHAnsi"/>
                <w:color w:val="000000"/>
              </w:rPr>
              <w:t>13,382.5</w:t>
            </w:r>
          </w:p>
        </w:tc>
        <w:tc>
          <w:tcPr>
            <w:tcW w:w="1021" w:type="dxa"/>
            <w:shd w:val="clear" w:color="auto" w:fill="FFFFFF"/>
            <w:tcMar>
              <w:top w:w="0" w:type="dxa"/>
              <w:left w:w="85" w:type="dxa"/>
              <w:bottom w:w="0" w:type="dxa"/>
              <w:right w:w="85" w:type="dxa"/>
            </w:tcMar>
          </w:tcPr>
          <w:p w14:paraId="6DF33907" w14:textId="77777777" w:rsidR="006611EE" w:rsidRPr="00261B7A" w:rsidRDefault="006611EE" w:rsidP="000F09B5">
            <w:pPr>
              <w:pStyle w:val="TableText"/>
              <w:spacing w:before="40" w:after="40"/>
              <w:jc w:val="right"/>
              <w:rPr>
                <w:rFonts w:cstheme="minorHAnsi"/>
              </w:rPr>
            </w:pPr>
            <w:r w:rsidRPr="00261B7A">
              <w:rPr>
                <w:rFonts w:cstheme="minorHAnsi"/>
                <w:color w:val="000000"/>
              </w:rPr>
              <w:t>12.7</w:t>
            </w:r>
          </w:p>
        </w:tc>
        <w:tc>
          <w:tcPr>
            <w:tcW w:w="567" w:type="dxa"/>
            <w:shd w:val="clear" w:color="auto" w:fill="FFFFFF"/>
            <w:tcMar>
              <w:top w:w="0" w:type="dxa"/>
              <w:left w:w="85" w:type="dxa"/>
              <w:bottom w:w="0" w:type="dxa"/>
              <w:right w:w="85" w:type="dxa"/>
            </w:tcMar>
          </w:tcPr>
          <w:p w14:paraId="26DFC1D2" w14:textId="77777777" w:rsidR="006611EE" w:rsidRPr="00261B7A" w:rsidRDefault="006611EE" w:rsidP="000F09B5">
            <w:pPr>
              <w:pStyle w:val="TableText"/>
              <w:spacing w:before="40" w:after="40"/>
              <w:jc w:val="right"/>
              <w:rPr>
                <w:rFonts w:cstheme="minorHAnsi"/>
              </w:rPr>
            </w:pPr>
            <w:r w:rsidRPr="00261B7A">
              <w:rPr>
                <w:rFonts w:cstheme="minorHAnsi"/>
                <w:color w:val="000000"/>
              </w:rPr>
              <w:t>12.7</w:t>
            </w:r>
          </w:p>
        </w:tc>
      </w:tr>
      <w:tr w:rsidR="006611EE" w:rsidRPr="00261B7A" w14:paraId="51CD3CA8" w14:textId="77777777" w:rsidTr="000F09B5">
        <w:tc>
          <w:tcPr>
            <w:tcW w:w="907" w:type="dxa"/>
            <w:shd w:val="clear" w:color="auto" w:fill="FFFFFF"/>
            <w:tcMar>
              <w:top w:w="0" w:type="dxa"/>
              <w:left w:w="85" w:type="dxa"/>
              <w:bottom w:w="0" w:type="dxa"/>
              <w:right w:w="85" w:type="dxa"/>
            </w:tcMar>
          </w:tcPr>
          <w:p w14:paraId="445518BB" w14:textId="77777777" w:rsidR="006611EE" w:rsidRPr="00261B7A" w:rsidRDefault="006611EE" w:rsidP="000F09B5">
            <w:pPr>
              <w:pStyle w:val="TableText"/>
              <w:spacing w:before="40" w:after="40"/>
              <w:rPr>
                <w:rFonts w:cstheme="minorHAnsi"/>
              </w:rPr>
            </w:pPr>
            <w:r w:rsidRPr="00261B7A">
              <w:rPr>
                <w:rFonts w:cstheme="minorHAnsi"/>
                <w:color w:val="000000"/>
              </w:rPr>
              <w:t>1.A.3.b</w:t>
            </w:r>
          </w:p>
        </w:tc>
        <w:tc>
          <w:tcPr>
            <w:tcW w:w="2948" w:type="dxa"/>
            <w:shd w:val="clear" w:color="auto" w:fill="FFFFFF"/>
            <w:tcMar>
              <w:top w:w="0" w:type="dxa"/>
              <w:left w:w="85" w:type="dxa"/>
              <w:bottom w:w="0" w:type="dxa"/>
              <w:right w:w="85" w:type="dxa"/>
            </w:tcMar>
          </w:tcPr>
          <w:p w14:paraId="0FA28CB0" w14:textId="77777777" w:rsidR="006611EE" w:rsidRPr="00261B7A" w:rsidRDefault="006611EE" w:rsidP="000F09B5">
            <w:pPr>
              <w:pStyle w:val="TableText"/>
              <w:spacing w:before="40" w:after="40"/>
              <w:rPr>
                <w:rFonts w:cstheme="minorHAnsi"/>
              </w:rPr>
            </w:pPr>
            <w:r w:rsidRPr="00261B7A">
              <w:rPr>
                <w:rFonts w:cstheme="minorHAnsi"/>
                <w:color w:val="000000"/>
              </w:rPr>
              <w:t>Transport – Road Transportation Liquid Fuels</w:t>
            </w:r>
          </w:p>
        </w:tc>
        <w:tc>
          <w:tcPr>
            <w:tcW w:w="397" w:type="dxa"/>
            <w:shd w:val="clear" w:color="auto" w:fill="FFFFFF"/>
            <w:tcMar>
              <w:top w:w="0" w:type="dxa"/>
              <w:left w:w="85" w:type="dxa"/>
              <w:bottom w:w="0" w:type="dxa"/>
              <w:right w:w="85" w:type="dxa"/>
            </w:tcMar>
          </w:tcPr>
          <w:p w14:paraId="69FBEBBD"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008FAD85" w14:textId="77777777" w:rsidR="006611EE" w:rsidRPr="00261B7A" w:rsidRDefault="006611EE" w:rsidP="000F09B5">
            <w:pPr>
              <w:pStyle w:val="TableText"/>
              <w:spacing w:before="40" w:after="40"/>
              <w:jc w:val="right"/>
              <w:rPr>
                <w:rFonts w:cstheme="minorHAnsi"/>
              </w:rPr>
            </w:pPr>
            <w:r w:rsidRPr="00261B7A">
              <w:rPr>
                <w:rFonts w:cstheme="minorHAnsi"/>
                <w:color w:val="000000"/>
              </w:rPr>
              <w:t>12,555.0</w:t>
            </w:r>
          </w:p>
        </w:tc>
        <w:tc>
          <w:tcPr>
            <w:tcW w:w="1021" w:type="dxa"/>
            <w:shd w:val="clear" w:color="auto" w:fill="FFFFFF"/>
            <w:tcMar>
              <w:top w:w="0" w:type="dxa"/>
              <w:left w:w="85" w:type="dxa"/>
              <w:bottom w:w="0" w:type="dxa"/>
              <w:right w:w="85" w:type="dxa"/>
            </w:tcMar>
          </w:tcPr>
          <w:p w14:paraId="23008476" w14:textId="77777777" w:rsidR="006611EE" w:rsidRPr="00261B7A" w:rsidRDefault="006611EE" w:rsidP="000F09B5">
            <w:pPr>
              <w:pStyle w:val="TableText"/>
              <w:spacing w:before="40" w:after="40"/>
              <w:jc w:val="right"/>
              <w:rPr>
                <w:rFonts w:cstheme="minorHAnsi"/>
              </w:rPr>
            </w:pPr>
            <w:r w:rsidRPr="00261B7A">
              <w:rPr>
                <w:rFonts w:cstheme="minorHAnsi"/>
                <w:color w:val="000000"/>
              </w:rPr>
              <w:t>11.9</w:t>
            </w:r>
          </w:p>
        </w:tc>
        <w:tc>
          <w:tcPr>
            <w:tcW w:w="567" w:type="dxa"/>
            <w:shd w:val="clear" w:color="auto" w:fill="FFFFFF"/>
            <w:tcMar>
              <w:top w:w="0" w:type="dxa"/>
              <w:left w:w="85" w:type="dxa"/>
              <w:bottom w:w="0" w:type="dxa"/>
              <w:right w:w="85" w:type="dxa"/>
            </w:tcMar>
          </w:tcPr>
          <w:p w14:paraId="65E65EBC" w14:textId="77777777" w:rsidR="006611EE" w:rsidRPr="00261B7A" w:rsidRDefault="006611EE" w:rsidP="000F09B5">
            <w:pPr>
              <w:pStyle w:val="TableText"/>
              <w:spacing w:before="40" w:after="40"/>
              <w:jc w:val="right"/>
              <w:rPr>
                <w:rFonts w:cstheme="minorHAnsi"/>
              </w:rPr>
            </w:pPr>
            <w:r w:rsidRPr="00261B7A">
              <w:rPr>
                <w:rFonts w:cstheme="minorHAnsi"/>
                <w:color w:val="000000"/>
              </w:rPr>
              <w:t>24.7</w:t>
            </w:r>
          </w:p>
        </w:tc>
      </w:tr>
      <w:tr w:rsidR="006611EE" w:rsidRPr="00261B7A" w14:paraId="3659AABF" w14:textId="77777777" w:rsidTr="000F09B5">
        <w:tc>
          <w:tcPr>
            <w:tcW w:w="907" w:type="dxa"/>
            <w:shd w:val="clear" w:color="auto" w:fill="FFFFFF"/>
            <w:tcMar>
              <w:top w:w="0" w:type="dxa"/>
              <w:left w:w="85" w:type="dxa"/>
              <w:bottom w:w="0" w:type="dxa"/>
              <w:right w:w="85" w:type="dxa"/>
            </w:tcMar>
          </w:tcPr>
          <w:p w14:paraId="499CDFD5" w14:textId="77777777" w:rsidR="006611EE" w:rsidRPr="00261B7A" w:rsidRDefault="006611EE" w:rsidP="000F09B5">
            <w:pPr>
              <w:pStyle w:val="TableText"/>
              <w:spacing w:before="40" w:after="40"/>
              <w:rPr>
                <w:rFonts w:cstheme="minorHAnsi"/>
              </w:rPr>
            </w:pPr>
            <w:r w:rsidRPr="00261B7A">
              <w:rPr>
                <w:rFonts w:cstheme="minorHAnsi"/>
                <w:color w:val="000000"/>
              </w:rPr>
              <w:t>4.A.1</w:t>
            </w:r>
          </w:p>
        </w:tc>
        <w:tc>
          <w:tcPr>
            <w:tcW w:w="2948" w:type="dxa"/>
            <w:shd w:val="clear" w:color="auto" w:fill="FFFFFF"/>
            <w:tcMar>
              <w:top w:w="0" w:type="dxa"/>
              <w:left w:w="85" w:type="dxa"/>
              <w:bottom w:w="0" w:type="dxa"/>
              <w:right w:w="85" w:type="dxa"/>
            </w:tcMar>
          </w:tcPr>
          <w:p w14:paraId="2243D050" w14:textId="77777777" w:rsidR="006611EE" w:rsidRPr="00261B7A" w:rsidRDefault="006611EE" w:rsidP="000F09B5">
            <w:pPr>
              <w:pStyle w:val="TableText"/>
              <w:spacing w:before="40" w:after="40"/>
              <w:rPr>
                <w:rFonts w:cstheme="minorHAnsi"/>
              </w:rPr>
            </w:pPr>
            <w:r w:rsidRPr="00261B7A">
              <w:rPr>
                <w:rFonts w:cstheme="minorHAnsi"/>
                <w:color w:val="000000"/>
              </w:rPr>
              <w:t>Forest Land – Forest Land Remaining Forest Land</w:t>
            </w:r>
          </w:p>
        </w:tc>
        <w:tc>
          <w:tcPr>
            <w:tcW w:w="397" w:type="dxa"/>
            <w:shd w:val="clear" w:color="auto" w:fill="FFFFFF"/>
            <w:tcMar>
              <w:top w:w="0" w:type="dxa"/>
              <w:left w:w="85" w:type="dxa"/>
              <w:bottom w:w="0" w:type="dxa"/>
              <w:right w:w="85" w:type="dxa"/>
            </w:tcMar>
          </w:tcPr>
          <w:p w14:paraId="1E9B500D"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475AC509" w14:textId="77777777" w:rsidR="006611EE" w:rsidRPr="00261B7A" w:rsidRDefault="006611EE" w:rsidP="000F09B5">
            <w:pPr>
              <w:pStyle w:val="TableText"/>
              <w:spacing w:before="40" w:after="40"/>
              <w:jc w:val="right"/>
              <w:rPr>
                <w:rFonts w:cstheme="minorHAnsi"/>
              </w:rPr>
            </w:pPr>
            <w:r w:rsidRPr="00261B7A">
              <w:rPr>
                <w:rFonts w:cstheme="minorHAnsi"/>
                <w:color w:val="000000"/>
              </w:rPr>
              <w:t>–12,163.5</w:t>
            </w:r>
          </w:p>
        </w:tc>
        <w:tc>
          <w:tcPr>
            <w:tcW w:w="1021" w:type="dxa"/>
            <w:shd w:val="clear" w:color="auto" w:fill="FFFFFF"/>
            <w:tcMar>
              <w:top w:w="0" w:type="dxa"/>
              <w:left w:w="85" w:type="dxa"/>
              <w:bottom w:w="0" w:type="dxa"/>
              <w:right w:w="85" w:type="dxa"/>
            </w:tcMar>
          </w:tcPr>
          <w:p w14:paraId="0045BA99" w14:textId="77777777" w:rsidR="006611EE" w:rsidRPr="00261B7A" w:rsidRDefault="006611EE" w:rsidP="000F09B5">
            <w:pPr>
              <w:pStyle w:val="TableText"/>
              <w:spacing w:before="40" w:after="40"/>
              <w:jc w:val="right"/>
              <w:rPr>
                <w:rFonts w:cstheme="minorHAnsi"/>
              </w:rPr>
            </w:pPr>
            <w:r w:rsidRPr="00261B7A">
              <w:rPr>
                <w:rFonts w:cstheme="minorHAnsi"/>
                <w:color w:val="000000"/>
              </w:rPr>
              <w:t>11.6</w:t>
            </w:r>
          </w:p>
        </w:tc>
        <w:tc>
          <w:tcPr>
            <w:tcW w:w="567" w:type="dxa"/>
            <w:shd w:val="clear" w:color="auto" w:fill="FFFFFF"/>
            <w:tcMar>
              <w:top w:w="0" w:type="dxa"/>
              <w:left w:w="85" w:type="dxa"/>
              <w:bottom w:w="0" w:type="dxa"/>
              <w:right w:w="85" w:type="dxa"/>
            </w:tcMar>
          </w:tcPr>
          <w:p w14:paraId="0E142845" w14:textId="77777777" w:rsidR="006611EE" w:rsidRPr="00261B7A" w:rsidRDefault="006611EE" w:rsidP="000F09B5">
            <w:pPr>
              <w:pStyle w:val="TableText"/>
              <w:spacing w:before="40" w:after="40"/>
              <w:jc w:val="right"/>
              <w:rPr>
                <w:rFonts w:cstheme="minorHAnsi"/>
              </w:rPr>
            </w:pPr>
            <w:r w:rsidRPr="00261B7A">
              <w:rPr>
                <w:rFonts w:cstheme="minorHAnsi"/>
                <w:color w:val="000000"/>
              </w:rPr>
              <w:t>36.3</w:t>
            </w:r>
          </w:p>
        </w:tc>
      </w:tr>
      <w:tr w:rsidR="006611EE" w:rsidRPr="00261B7A" w14:paraId="21F70E14" w14:textId="77777777" w:rsidTr="000F09B5">
        <w:tc>
          <w:tcPr>
            <w:tcW w:w="907" w:type="dxa"/>
            <w:shd w:val="clear" w:color="auto" w:fill="FFFFFF"/>
            <w:tcMar>
              <w:top w:w="0" w:type="dxa"/>
              <w:left w:w="85" w:type="dxa"/>
              <w:bottom w:w="0" w:type="dxa"/>
              <w:right w:w="85" w:type="dxa"/>
            </w:tcMar>
          </w:tcPr>
          <w:p w14:paraId="28F834C4" w14:textId="77777777" w:rsidR="006611EE" w:rsidRPr="00261B7A" w:rsidRDefault="006611EE" w:rsidP="000F09B5">
            <w:pPr>
              <w:pStyle w:val="TableText"/>
              <w:spacing w:before="40" w:after="40"/>
              <w:rPr>
                <w:rFonts w:cstheme="minorHAnsi"/>
              </w:rPr>
            </w:pPr>
            <w:r w:rsidRPr="00261B7A">
              <w:rPr>
                <w:rFonts w:cstheme="minorHAnsi"/>
                <w:color w:val="000000"/>
              </w:rPr>
              <w:t>4.G</w:t>
            </w:r>
          </w:p>
        </w:tc>
        <w:tc>
          <w:tcPr>
            <w:tcW w:w="2948" w:type="dxa"/>
            <w:shd w:val="clear" w:color="auto" w:fill="FFFFFF"/>
            <w:tcMar>
              <w:top w:w="0" w:type="dxa"/>
              <w:left w:w="85" w:type="dxa"/>
              <w:bottom w:w="0" w:type="dxa"/>
              <w:right w:w="85" w:type="dxa"/>
            </w:tcMar>
          </w:tcPr>
          <w:p w14:paraId="550D04EA" w14:textId="77777777" w:rsidR="006611EE" w:rsidRPr="00261B7A" w:rsidRDefault="006611EE" w:rsidP="000F09B5">
            <w:pPr>
              <w:pStyle w:val="TableText"/>
              <w:spacing w:before="40" w:after="40"/>
              <w:rPr>
                <w:rFonts w:cstheme="minorHAnsi"/>
              </w:rPr>
            </w:pPr>
            <w:r w:rsidRPr="00261B7A">
              <w:rPr>
                <w:rFonts w:cstheme="minorHAnsi"/>
                <w:color w:val="000000"/>
              </w:rPr>
              <w:t>Land Use, Land-Use Change and Forestry – Harvested Wood Products</w:t>
            </w:r>
          </w:p>
        </w:tc>
        <w:tc>
          <w:tcPr>
            <w:tcW w:w="397" w:type="dxa"/>
            <w:shd w:val="clear" w:color="auto" w:fill="FFFFFF"/>
            <w:tcMar>
              <w:top w:w="0" w:type="dxa"/>
              <w:left w:w="85" w:type="dxa"/>
              <w:bottom w:w="0" w:type="dxa"/>
              <w:right w:w="85" w:type="dxa"/>
            </w:tcMar>
          </w:tcPr>
          <w:p w14:paraId="6F826A4F"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793548B7" w14:textId="77777777" w:rsidR="006611EE" w:rsidRPr="00261B7A" w:rsidRDefault="006611EE" w:rsidP="000F09B5">
            <w:pPr>
              <w:pStyle w:val="TableText"/>
              <w:spacing w:before="40" w:after="40"/>
              <w:jc w:val="right"/>
              <w:rPr>
                <w:rFonts w:cstheme="minorHAnsi"/>
              </w:rPr>
            </w:pPr>
            <w:r w:rsidRPr="00261B7A">
              <w:rPr>
                <w:rFonts w:cstheme="minorHAnsi"/>
                <w:color w:val="000000"/>
              </w:rPr>
              <w:t>–8,658.8</w:t>
            </w:r>
          </w:p>
        </w:tc>
        <w:tc>
          <w:tcPr>
            <w:tcW w:w="1021" w:type="dxa"/>
            <w:shd w:val="clear" w:color="auto" w:fill="FFFFFF"/>
            <w:tcMar>
              <w:top w:w="0" w:type="dxa"/>
              <w:left w:w="85" w:type="dxa"/>
              <w:bottom w:w="0" w:type="dxa"/>
              <w:right w:w="85" w:type="dxa"/>
            </w:tcMar>
          </w:tcPr>
          <w:p w14:paraId="0C33839A" w14:textId="77777777" w:rsidR="006611EE" w:rsidRPr="00261B7A" w:rsidRDefault="006611EE" w:rsidP="000F09B5">
            <w:pPr>
              <w:pStyle w:val="TableText"/>
              <w:spacing w:before="40" w:after="40"/>
              <w:jc w:val="right"/>
              <w:rPr>
                <w:rFonts w:cstheme="minorHAnsi"/>
              </w:rPr>
            </w:pPr>
            <w:r w:rsidRPr="00261B7A">
              <w:rPr>
                <w:rFonts w:cstheme="minorHAnsi"/>
                <w:color w:val="000000"/>
              </w:rPr>
              <w:t>8.2</w:t>
            </w:r>
          </w:p>
        </w:tc>
        <w:tc>
          <w:tcPr>
            <w:tcW w:w="567" w:type="dxa"/>
            <w:shd w:val="clear" w:color="auto" w:fill="FFFFFF"/>
            <w:tcMar>
              <w:top w:w="0" w:type="dxa"/>
              <w:left w:w="85" w:type="dxa"/>
              <w:bottom w:w="0" w:type="dxa"/>
              <w:right w:w="85" w:type="dxa"/>
            </w:tcMar>
          </w:tcPr>
          <w:p w14:paraId="2F4C6CCF" w14:textId="77777777" w:rsidR="006611EE" w:rsidRPr="00261B7A" w:rsidRDefault="006611EE" w:rsidP="000F09B5">
            <w:pPr>
              <w:pStyle w:val="TableText"/>
              <w:spacing w:before="40" w:after="40"/>
              <w:jc w:val="right"/>
              <w:rPr>
                <w:rFonts w:cstheme="minorHAnsi"/>
              </w:rPr>
            </w:pPr>
            <w:r w:rsidRPr="00261B7A">
              <w:rPr>
                <w:rFonts w:cstheme="minorHAnsi"/>
                <w:color w:val="000000"/>
              </w:rPr>
              <w:t>44.5</w:t>
            </w:r>
          </w:p>
        </w:tc>
      </w:tr>
      <w:tr w:rsidR="006611EE" w:rsidRPr="00261B7A" w14:paraId="49F59F87" w14:textId="77777777" w:rsidTr="000F09B5">
        <w:tc>
          <w:tcPr>
            <w:tcW w:w="907" w:type="dxa"/>
            <w:shd w:val="clear" w:color="auto" w:fill="FFFFFF"/>
            <w:tcMar>
              <w:top w:w="0" w:type="dxa"/>
              <w:left w:w="85" w:type="dxa"/>
              <w:bottom w:w="0" w:type="dxa"/>
              <w:right w:w="85" w:type="dxa"/>
            </w:tcMar>
          </w:tcPr>
          <w:p w14:paraId="1DE3D6AE" w14:textId="77777777" w:rsidR="006611EE" w:rsidRPr="00261B7A" w:rsidRDefault="006611EE" w:rsidP="000F09B5">
            <w:pPr>
              <w:pStyle w:val="TableText"/>
              <w:spacing w:before="40" w:after="40"/>
              <w:rPr>
                <w:rFonts w:cstheme="minorHAnsi"/>
              </w:rPr>
            </w:pPr>
            <w:r w:rsidRPr="00261B7A">
              <w:rPr>
                <w:rFonts w:cstheme="minorHAnsi"/>
                <w:color w:val="000000"/>
              </w:rPr>
              <w:t>3.A.2</w:t>
            </w:r>
          </w:p>
        </w:tc>
        <w:tc>
          <w:tcPr>
            <w:tcW w:w="2948" w:type="dxa"/>
            <w:shd w:val="clear" w:color="auto" w:fill="FFFFFF"/>
            <w:tcMar>
              <w:top w:w="0" w:type="dxa"/>
              <w:left w:w="85" w:type="dxa"/>
              <w:bottom w:w="0" w:type="dxa"/>
              <w:right w:w="85" w:type="dxa"/>
            </w:tcMar>
          </w:tcPr>
          <w:p w14:paraId="48AF9AA4" w14:textId="77777777" w:rsidR="006611EE" w:rsidRPr="00261B7A" w:rsidRDefault="006611EE" w:rsidP="000F09B5">
            <w:pPr>
              <w:pStyle w:val="TableText"/>
              <w:spacing w:before="40" w:after="40"/>
              <w:rPr>
                <w:rFonts w:cstheme="minorHAnsi"/>
              </w:rPr>
            </w:pPr>
            <w:r w:rsidRPr="00261B7A">
              <w:rPr>
                <w:rFonts w:cstheme="minorHAnsi"/>
                <w:color w:val="000000"/>
              </w:rPr>
              <w:t>Other (please specify) – Sheep</w:t>
            </w:r>
          </w:p>
        </w:tc>
        <w:tc>
          <w:tcPr>
            <w:tcW w:w="397" w:type="dxa"/>
            <w:shd w:val="clear" w:color="auto" w:fill="FFFFFF"/>
            <w:tcMar>
              <w:top w:w="0" w:type="dxa"/>
              <w:left w:w="85" w:type="dxa"/>
              <w:bottom w:w="0" w:type="dxa"/>
              <w:right w:w="85" w:type="dxa"/>
            </w:tcMar>
          </w:tcPr>
          <w:p w14:paraId="13CC5FB8"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964" w:type="dxa"/>
            <w:shd w:val="clear" w:color="auto" w:fill="FFFFFF"/>
            <w:tcMar>
              <w:top w:w="0" w:type="dxa"/>
              <w:left w:w="85" w:type="dxa"/>
              <w:bottom w:w="0" w:type="dxa"/>
              <w:right w:w="85" w:type="dxa"/>
            </w:tcMar>
          </w:tcPr>
          <w:p w14:paraId="2280DD07" w14:textId="77777777" w:rsidR="006611EE" w:rsidRPr="00261B7A" w:rsidRDefault="006611EE" w:rsidP="000F09B5">
            <w:pPr>
              <w:pStyle w:val="TableText"/>
              <w:spacing w:before="40" w:after="40"/>
              <w:jc w:val="right"/>
              <w:rPr>
                <w:rFonts w:cstheme="minorHAnsi"/>
              </w:rPr>
            </w:pPr>
            <w:r w:rsidRPr="00261B7A">
              <w:rPr>
                <w:rFonts w:cstheme="minorHAnsi"/>
                <w:color w:val="000000"/>
              </w:rPr>
              <w:t>8,011.9</w:t>
            </w:r>
          </w:p>
        </w:tc>
        <w:tc>
          <w:tcPr>
            <w:tcW w:w="1021" w:type="dxa"/>
            <w:shd w:val="clear" w:color="auto" w:fill="FFFFFF"/>
            <w:tcMar>
              <w:top w:w="0" w:type="dxa"/>
              <w:left w:w="85" w:type="dxa"/>
              <w:bottom w:w="0" w:type="dxa"/>
              <w:right w:w="85" w:type="dxa"/>
            </w:tcMar>
          </w:tcPr>
          <w:p w14:paraId="44AC1E73" w14:textId="77777777" w:rsidR="006611EE" w:rsidRPr="00261B7A" w:rsidRDefault="006611EE" w:rsidP="000F09B5">
            <w:pPr>
              <w:pStyle w:val="TableText"/>
              <w:spacing w:before="40" w:after="40"/>
              <w:jc w:val="right"/>
              <w:rPr>
                <w:rFonts w:cstheme="minorHAnsi"/>
              </w:rPr>
            </w:pPr>
            <w:r w:rsidRPr="00261B7A">
              <w:rPr>
                <w:rFonts w:cstheme="minorHAnsi"/>
                <w:color w:val="000000"/>
              </w:rPr>
              <w:t>7.6</w:t>
            </w:r>
          </w:p>
        </w:tc>
        <w:tc>
          <w:tcPr>
            <w:tcW w:w="567" w:type="dxa"/>
            <w:shd w:val="clear" w:color="auto" w:fill="FFFFFF"/>
            <w:tcMar>
              <w:top w:w="0" w:type="dxa"/>
              <w:left w:w="85" w:type="dxa"/>
              <w:bottom w:w="0" w:type="dxa"/>
              <w:right w:w="85" w:type="dxa"/>
            </w:tcMar>
          </w:tcPr>
          <w:p w14:paraId="1A18F181" w14:textId="77777777" w:rsidR="006611EE" w:rsidRPr="00261B7A" w:rsidRDefault="006611EE" w:rsidP="000F09B5">
            <w:pPr>
              <w:pStyle w:val="TableText"/>
              <w:spacing w:before="40" w:after="40"/>
              <w:jc w:val="right"/>
              <w:rPr>
                <w:rFonts w:cstheme="minorHAnsi"/>
              </w:rPr>
            </w:pPr>
            <w:r w:rsidRPr="00261B7A">
              <w:rPr>
                <w:rFonts w:cstheme="minorHAnsi"/>
                <w:color w:val="000000"/>
              </w:rPr>
              <w:t>52.1</w:t>
            </w:r>
          </w:p>
        </w:tc>
      </w:tr>
      <w:tr w:rsidR="006611EE" w:rsidRPr="00261B7A" w14:paraId="38EC4BA8" w14:textId="77777777" w:rsidTr="000F09B5">
        <w:tc>
          <w:tcPr>
            <w:tcW w:w="907" w:type="dxa"/>
            <w:shd w:val="clear" w:color="auto" w:fill="FFFFFF"/>
            <w:tcMar>
              <w:top w:w="0" w:type="dxa"/>
              <w:left w:w="85" w:type="dxa"/>
              <w:bottom w:w="0" w:type="dxa"/>
              <w:right w:w="85" w:type="dxa"/>
            </w:tcMar>
          </w:tcPr>
          <w:p w14:paraId="6EF5EAB0" w14:textId="77777777" w:rsidR="006611EE" w:rsidRPr="00261B7A" w:rsidRDefault="006611EE" w:rsidP="000F09B5">
            <w:pPr>
              <w:pStyle w:val="TableText"/>
              <w:spacing w:before="40" w:after="40"/>
              <w:rPr>
                <w:rFonts w:cstheme="minorHAnsi"/>
              </w:rPr>
            </w:pPr>
            <w:r w:rsidRPr="00261B7A">
              <w:rPr>
                <w:rFonts w:cstheme="minorHAnsi"/>
                <w:color w:val="000000"/>
              </w:rPr>
              <w:t>3.A.1</w:t>
            </w:r>
          </w:p>
        </w:tc>
        <w:tc>
          <w:tcPr>
            <w:tcW w:w="2948" w:type="dxa"/>
            <w:shd w:val="clear" w:color="auto" w:fill="FFFFFF"/>
            <w:tcMar>
              <w:top w:w="0" w:type="dxa"/>
              <w:left w:w="85" w:type="dxa"/>
              <w:bottom w:w="0" w:type="dxa"/>
              <w:right w:w="85" w:type="dxa"/>
            </w:tcMar>
          </w:tcPr>
          <w:p w14:paraId="6B394A4F" w14:textId="77777777" w:rsidR="006611EE" w:rsidRPr="00261B7A" w:rsidRDefault="006611EE" w:rsidP="000F09B5">
            <w:pPr>
              <w:pStyle w:val="TableText"/>
              <w:spacing w:before="40" w:after="40"/>
              <w:rPr>
                <w:rFonts w:cstheme="minorHAnsi"/>
              </w:rPr>
            </w:pPr>
            <w:r w:rsidRPr="00261B7A">
              <w:rPr>
                <w:rFonts w:cstheme="minorHAnsi"/>
                <w:color w:val="000000"/>
              </w:rPr>
              <w:t>Option A – Non-Dairy Cattle</w:t>
            </w:r>
          </w:p>
        </w:tc>
        <w:tc>
          <w:tcPr>
            <w:tcW w:w="397" w:type="dxa"/>
            <w:shd w:val="clear" w:color="auto" w:fill="FFFFFF"/>
            <w:tcMar>
              <w:top w:w="0" w:type="dxa"/>
              <w:left w:w="85" w:type="dxa"/>
              <w:bottom w:w="0" w:type="dxa"/>
              <w:right w:w="85" w:type="dxa"/>
            </w:tcMar>
          </w:tcPr>
          <w:p w14:paraId="0FE4B9F4"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964" w:type="dxa"/>
            <w:shd w:val="clear" w:color="auto" w:fill="FFFFFF"/>
            <w:tcMar>
              <w:top w:w="0" w:type="dxa"/>
              <w:left w:w="85" w:type="dxa"/>
              <w:bottom w:w="0" w:type="dxa"/>
              <w:right w:w="85" w:type="dxa"/>
            </w:tcMar>
          </w:tcPr>
          <w:p w14:paraId="54BE85DA" w14:textId="77777777" w:rsidR="006611EE" w:rsidRPr="00261B7A" w:rsidRDefault="006611EE" w:rsidP="000F09B5">
            <w:pPr>
              <w:pStyle w:val="TableText"/>
              <w:spacing w:before="40" w:after="40"/>
              <w:jc w:val="right"/>
              <w:rPr>
                <w:rFonts w:cstheme="minorHAnsi"/>
              </w:rPr>
            </w:pPr>
            <w:r w:rsidRPr="00261B7A">
              <w:rPr>
                <w:rFonts w:cstheme="minorHAnsi"/>
                <w:color w:val="000000"/>
              </w:rPr>
              <w:t>5,944.0</w:t>
            </w:r>
          </w:p>
        </w:tc>
        <w:tc>
          <w:tcPr>
            <w:tcW w:w="1021" w:type="dxa"/>
            <w:shd w:val="clear" w:color="auto" w:fill="FFFFFF"/>
            <w:tcMar>
              <w:top w:w="0" w:type="dxa"/>
              <w:left w:w="85" w:type="dxa"/>
              <w:bottom w:w="0" w:type="dxa"/>
              <w:right w:w="85" w:type="dxa"/>
            </w:tcMar>
          </w:tcPr>
          <w:p w14:paraId="2C21EF96" w14:textId="77777777" w:rsidR="006611EE" w:rsidRPr="00261B7A" w:rsidRDefault="006611EE" w:rsidP="000F09B5">
            <w:pPr>
              <w:pStyle w:val="TableText"/>
              <w:spacing w:before="40" w:after="40"/>
              <w:jc w:val="right"/>
              <w:rPr>
                <w:rFonts w:cstheme="minorHAnsi"/>
              </w:rPr>
            </w:pPr>
            <w:r w:rsidRPr="00261B7A">
              <w:rPr>
                <w:rFonts w:cstheme="minorHAnsi"/>
                <w:color w:val="000000"/>
              </w:rPr>
              <w:t>5.7</w:t>
            </w:r>
          </w:p>
        </w:tc>
        <w:tc>
          <w:tcPr>
            <w:tcW w:w="567" w:type="dxa"/>
            <w:shd w:val="clear" w:color="auto" w:fill="FFFFFF"/>
            <w:tcMar>
              <w:top w:w="0" w:type="dxa"/>
              <w:left w:w="85" w:type="dxa"/>
              <w:bottom w:w="0" w:type="dxa"/>
              <w:right w:w="85" w:type="dxa"/>
            </w:tcMar>
          </w:tcPr>
          <w:p w14:paraId="2CF11CD8" w14:textId="77777777" w:rsidR="006611EE" w:rsidRPr="00261B7A" w:rsidRDefault="006611EE" w:rsidP="000F09B5">
            <w:pPr>
              <w:pStyle w:val="TableText"/>
              <w:spacing w:before="40" w:after="40"/>
              <w:jc w:val="right"/>
              <w:rPr>
                <w:rFonts w:cstheme="minorHAnsi"/>
              </w:rPr>
            </w:pPr>
            <w:r w:rsidRPr="00261B7A">
              <w:rPr>
                <w:rFonts w:cstheme="minorHAnsi"/>
                <w:color w:val="000000"/>
              </w:rPr>
              <w:t>57.8</w:t>
            </w:r>
          </w:p>
        </w:tc>
      </w:tr>
      <w:tr w:rsidR="006611EE" w:rsidRPr="00261B7A" w14:paraId="4FA38D2F" w14:textId="77777777" w:rsidTr="000F09B5">
        <w:tc>
          <w:tcPr>
            <w:tcW w:w="907" w:type="dxa"/>
            <w:shd w:val="clear" w:color="auto" w:fill="FFFFFF"/>
            <w:tcMar>
              <w:top w:w="0" w:type="dxa"/>
              <w:left w:w="85" w:type="dxa"/>
              <w:bottom w:w="0" w:type="dxa"/>
              <w:right w:w="85" w:type="dxa"/>
            </w:tcMar>
          </w:tcPr>
          <w:p w14:paraId="5C1F46EB" w14:textId="77777777" w:rsidR="006611EE" w:rsidRPr="00261B7A" w:rsidRDefault="006611EE" w:rsidP="000F09B5">
            <w:pPr>
              <w:pStyle w:val="TableText"/>
              <w:spacing w:before="40" w:after="40"/>
              <w:rPr>
                <w:rFonts w:cstheme="minorHAnsi"/>
              </w:rPr>
            </w:pPr>
            <w:r w:rsidRPr="00261B7A">
              <w:rPr>
                <w:rFonts w:cstheme="minorHAnsi"/>
                <w:color w:val="000000"/>
              </w:rPr>
              <w:t>4.A.2</w:t>
            </w:r>
          </w:p>
        </w:tc>
        <w:tc>
          <w:tcPr>
            <w:tcW w:w="2948" w:type="dxa"/>
            <w:shd w:val="clear" w:color="auto" w:fill="FFFFFF"/>
            <w:tcMar>
              <w:top w:w="0" w:type="dxa"/>
              <w:left w:w="85" w:type="dxa"/>
              <w:bottom w:w="0" w:type="dxa"/>
              <w:right w:w="85" w:type="dxa"/>
            </w:tcMar>
          </w:tcPr>
          <w:p w14:paraId="36F08BE0" w14:textId="77777777" w:rsidR="006611EE" w:rsidRPr="00261B7A" w:rsidRDefault="006611EE" w:rsidP="000F09B5">
            <w:pPr>
              <w:pStyle w:val="TableText"/>
              <w:spacing w:before="40" w:after="40"/>
              <w:rPr>
                <w:rFonts w:cstheme="minorHAnsi"/>
              </w:rPr>
            </w:pPr>
            <w:r w:rsidRPr="00261B7A">
              <w:rPr>
                <w:rFonts w:cstheme="minorHAnsi"/>
                <w:color w:val="000000"/>
              </w:rPr>
              <w:t>Forest Land – Land Converted to Forest Land</w:t>
            </w:r>
          </w:p>
        </w:tc>
        <w:tc>
          <w:tcPr>
            <w:tcW w:w="397" w:type="dxa"/>
            <w:shd w:val="clear" w:color="auto" w:fill="FFFFFF"/>
            <w:tcMar>
              <w:top w:w="0" w:type="dxa"/>
              <w:left w:w="85" w:type="dxa"/>
              <w:bottom w:w="0" w:type="dxa"/>
              <w:right w:w="85" w:type="dxa"/>
            </w:tcMar>
          </w:tcPr>
          <w:p w14:paraId="4532D66F"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4A5933CB" w14:textId="77777777" w:rsidR="006611EE" w:rsidRPr="00261B7A" w:rsidRDefault="006611EE" w:rsidP="000F09B5">
            <w:pPr>
              <w:pStyle w:val="TableText"/>
              <w:spacing w:before="40" w:after="40"/>
              <w:jc w:val="right"/>
              <w:rPr>
                <w:rFonts w:cstheme="minorHAnsi"/>
              </w:rPr>
            </w:pPr>
            <w:r w:rsidRPr="00261B7A">
              <w:rPr>
                <w:rFonts w:cstheme="minorHAnsi"/>
                <w:color w:val="000000"/>
              </w:rPr>
              <w:t>–3,831.3</w:t>
            </w:r>
          </w:p>
        </w:tc>
        <w:tc>
          <w:tcPr>
            <w:tcW w:w="1021" w:type="dxa"/>
            <w:shd w:val="clear" w:color="auto" w:fill="FFFFFF"/>
            <w:tcMar>
              <w:top w:w="0" w:type="dxa"/>
              <w:left w:w="85" w:type="dxa"/>
              <w:bottom w:w="0" w:type="dxa"/>
              <w:right w:w="85" w:type="dxa"/>
            </w:tcMar>
          </w:tcPr>
          <w:p w14:paraId="5B24D9EC" w14:textId="77777777" w:rsidR="006611EE" w:rsidRPr="00261B7A" w:rsidRDefault="006611EE" w:rsidP="000F09B5">
            <w:pPr>
              <w:pStyle w:val="TableText"/>
              <w:spacing w:before="40" w:after="40"/>
              <w:jc w:val="right"/>
              <w:rPr>
                <w:rFonts w:cstheme="minorHAnsi"/>
              </w:rPr>
            </w:pPr>
            <w:r w:rsidRPr="00261B7A">
              <w:rPr>
                <w:rFonts w:cstheme="minorHAnsi"/>
                <w:color w:val="000000"/>
              </w:rPr>
              <w:t>3.6</w:t>
            </w:r>
          </w:p>
        </w:tc>
        <w:tc>
          <w:tcPr>
            <w:tcW w:w="567" w:type="dxa"/>
            <w:shd w:val="clear" w:color="auto" w:fill="FFFFFF"/>
            <w:tcMar>
              <w:top w:w="0" w:type="dxa"/>
              <w:left w:w="85" w:type="dxa"/>
              <w:bottom w:w="0" w:type="dxa"/>
              <w:right w:w="85" w:type="dxa"/>
            </w:tcMar>
          </w:tcPr>
          <w:p w14:paraId="2FC91125" w14:textId="77777777" w:rsidR="006611EE" w:rsidRPr="00261B7A" w:rsidRDefault="006611EE" w:rsidP="000F09B5">
            <w:pPr>
              <w:pStyle w:val="TableText"/>
              <w:spacing w:before="40" w:after="40"/>
              <w:jc w:val="right"/>
              <w:rPr>
                <w:rFonts w:cstheme="minorHAnsi"/>
              </w:rPr>
            </w:pPr>
            <w:r w:rsidRPr="00261B7A">
              <w:rPr>
                <w:rFonts w:cstheme="minorHAnsi"/>
                <w:color w:val="000000"/>
              </w:rPr>
              <w:t>61.4</w:t>
            </w:r>
          </w:p>
        </w:tc>
      </w:tr>
      <w:tr w:rsidR="006611EE" w:rsidRPr="00261B7A" w14:paraId="1855768B" w14:textId="77777777" w:rsidTr="000F09B5">
        <w:tc>
          <w:tcPr>
            <w:tcW w:w="907" w:type="dxa"/>
            <w:shd w:val="clear" w:color="auto" w:fill="FFFFFF"/>
            <w:tcMar>
              <w:top w:w="0" w:type="dxa"/>
              <w:left w:w="85" w:type="dxa"/>
              <w:bottom w:w="0" w:type="dxa"/>
              <w:right w:w="85" w:type="dxa"/>
            </w:tcMar>
          </w:tcPr>
          <w:p w14:paraId="506C2E9F" w14:textId="77777777" w:rsidR="006611EE" w:rsidRPr="00261B7A" w:rsidRDefault="006611EE" w:rsidP="000F09B5">
            <w:pPr>
              <w:pStyle w:val="TableText"/>
              <w:spacing w:before="40" w:after="40"/>
              <w:rPr>
                <w:rFonts w:cstheme="minorHAnsi"/>
              </w:rPr>
            </w:pPr>
            <w:r w:rsidRPr="00261B7A">
              <w:rPr>
                <w:rFonts w:cstheme="minorHAnsi"/>
                <w:color w:val="000000"/>
              </w:rPr>
              <w:t>3.D.1.3</w:t>
            </w:r>
          </w:p>
        </w:tc>
        <w:tc>
          <w:tcPr>
            <w:tcW w:w="2948" w:type="dxa"/>
            <w:shd w:val="clear" w:color="auto" w:fill="FFFFFF"/>
            <w:tcMar>
              <w:top w:w="0" w:type="dxa"/>
              <w:left w:w="85" w:type="dxa"/>
              <w:bottom w:w="0" w:type="dxa"/>
              <w:right w:w="85" w:type="dxa"/>
            </w:tcMar>
          </w:tcPr>
          <w:p w14:paraId="61456ED7" w14:textId="77777777" w:rsidR="006611EE" w:rsidRPr="00261B7A" w:rsidRDefault="006611EE" w:rsidP="000F09B5">
            <w:pPr>
              <w:pStyle w:val="TableText"/>
              <w:spacing w:before="40" w:after="40"/>
              <w:rPr>
                <w:rFonts w:cstheme="minorHAnsi"/>
              </w:rPr>
            </w:pPr>
            <w:r w:rsidRPr="00261B7A">
              <w:rPr>
                <w:rFonts w:cstheme="minorHAnsi"/>
                <w:color w:val="000000"/>
              </w:rPr>
              <w:t>Direct N</w:t>
            </w:r>
            <w:r w:rsidRPr="00261B7A">
              <w:rPr>
                <w:rFonts w:cstheme="minorHAnsi"/>
                <w:color w:val="000000"/>
                <w:vertAlign w:val="subscript"/>
              </w:rPr>
              <w:t>2</w:t>
            </w:r>
            <w:r w:rsidRPr="00261B7A">
              <w:rPr>
                <w:rFonts w:cstheme="minorHAnsi"/>
                <w:color w:val="000000"/>
              </w:rPr>
              <w:t>O Emissions From Managed Soils – Urine and Dung Deposited by Grazing Animals</w:t>
            </w:r>
          </w:p>
        </w:tc>
        <w:tc>
          <w:tcPr>
            <w:tcW w:w="397" w:type="dxa"/>
            <w:shd w:val="clear" w:color="auto" w:fill="FFFFFF"/>
            <w:tcMar>
              <w:top w:w="0" w:type="dxa"/>
              <w:left w:w="85" w:type="dxa"/>
              <w:bottom w:w="0" w:type="dxa"/>
              <w:right w:w="85" w:type="dxa"/>
            </w:tcMar>
          </w:tcPr>
          <w:p w14:paraId="3FBA0938" w14:textId="77777777" w:rsidR="006611EE" w:rsidRPr="00261B7A" w:rsidRDefault="006611EE" w:rsidP="000F09B5">
            <w:pPr>
              <w:pStyle w:val="TableText"/>
              <w:spacing w:before="40" w:after="40"/>
              <w:jc w:val="center"/>
              <w:rPr>
                <w:rFonts w:cstheme="minorHAnsi"/>
              </w:rPr>
            </w:pPr>
            <w:r w:rsidRPr="00261B7A">
              <w:rPr>
                <w:rFonts w:cstheme="minorHAnsi"/>
                <w:color w:val="000000"/>
              </w:rPr>
              <w:t>N</w:t>
            </w:r>
            <w:r w:rsidRPr="00261B7A">
              <w:rPr>
                <w:rFonts w:asciiTheme="minorHAnsi" w:hAnsiTheme="minorHAnsi" w:cstheme="minorHAnsi"/>
                <w:vertAlign w:val="subscript"/>
              </w:rPr>
              <w:t>2</w:t>
            </w:r>
            <w:r w:rsidRPr="00261B7A">
              <w:rPr>
                <w:rFonts w:asciiTheme="minorHAnsi" w:hAnsiTheme="minorHAnsi" w:cstheme="minorHAnsi"/>
              </w:rPr>
              <w:t>O</w:t>
            </w:r>
          </w:p>
        </w:tc>
        <w:tc>
          <w:tcPr>
            <w:tcW w:w="964" w:type="dxa"/>
            <w:shd w:val="clear" w:color="auto" w:fill="FFFFFF"/>
            <w:tcMar>
              <w:top w:w="0" w:type="dxa"/>
              <w:left w:w="85" w:type="dxa"/>
              <w:bottom w:w="0" w:type="dxa"/>
              <w:right w:w="85" w:type="dxa"/>
            </w:tcMar>
          </w:tcPr>
          <w:p w14:paraId="5F007E63" w14:textId="77777777" w:rsidR="006611EE" w:rsidRPr="00261B7A" w:rsidRDefault="006611EE" w:rsidP="000F09B5">
            <w:pPr>
              <w:pStyle w:val="TableText"/>
              <w:spacing w:before="40" w:after="40"/>
              <w:jc w:val="right"/>
              <w:rPr>
                <w:rFonts w:cstheme="minorHAnsi"/>
              </w:rPr>
            </w:pPr>
            <w:r w:rsidRPr="00261B7A">
              <w:rPr>
                <w:rFonts w:cstheme="minorHAnsi"/>
                <w:color w:val="000000"/>
              </w:rPr>
              <w:t>3,510.0</w:t>
            </w:r>
          </w:p>
        </w:tc>
        <w:tc>
          <w:tcPr>
            <w:tcW w:w="1021" w:type="dxa"/>
            <w:shd w:val="clear" w:color="auto" w:fill="FFFFFF"/>
            <w:tcMar>
              <w:top w:w="0" w:type="dxa"/>
              <w:left w:w="85" w:type="dxa"/>
              <w:bottom w:w="0" w:type="dxa"/>
              <w:right w:w="85" w:type="dxa"/>
            </w:tcMar>
          </w:tcPr>
          <w:p w14:paraId="30FD7C06" w14:textId="77777777" w:rsidR="006611EE" w:rsidRPr="00261B7A" w:rsidRDefault="006611EE" w:rsidP="000F09B5">
            <w:pPr>
              <w:pStyle w:val="TableText"/>
              <w:spacing w:before="40" w:after="40"/>
              <w:jc w:val="right"/>
              <w:rPr>
                <w:rFonts w:cstheme="minorHAnsi"/>
              </w:rPr>
            </w:pPr>
            <w:r w:rsidRPr="00261B7A">
              <w:rPr>
                <w:rFonts w:cstheme="minorHAnsi"/>
                <w:color w:val="000000"/>
              </w:rPr>
              <w:t>3.3</w:t>
            </w:r>
          </w:p>
        </w:tc>
        <w:tc>
          <w:tcPr>
            <w:tcW w:w="567" w:type="dxa"/>
            <w:shd w:val="clear" w:color="auto" w:fill="FFFFFF"/>
            <w:tcMar>
              <w:top w:w="0" w:type="dxa"/>
              <w:left w:w="85" w:type="dxa"/>
              <w:bottom w:w="0" w:type="dxa"/>
              <w:right w:w="85" w:type="dxa"/>
            </w:tcMar>
          </w:tcPr>
          <w:p w14:paraId="078BC6C7" w14:textId="77777777" w:rsidR="006611EE" w:rsidRPr="00261B7A" w:rsidRDefault="006611EE" w:rsidP="000F09B5">
            <w:pPr>
              <w:pStyle w:val="TableText"/>
              <w:spacing w:before="40" w:after="40"/>
              <w:jc w:val="right"/>
              <w:rPr>
                <w:rFonts w:cstheme="minorHAnsi"/>
              </w:rPr>
            </w:pPr>
            <w:r w:rsidRPr="00261B7A">
              <w:rPr>
                <w:rFonts w:cstheme="minorHAnsi"/>
                <w:color w:val="000000"/>
              </w:rPr>
              <w:t>64.8</w:t>
            </w:r>
          </w:p>
        </w:tc>
      </w:tr>
      <w:tr w:rsidR="006611EE" w:rsidRPr="00261B7A" w14:paraId="007075BA" w14:textId="77777777" w:rsidTr="000F09B5">
        <w:tc>
          <w:tcPr>
            <w:tcW w:w="907" w:type="dxa"/>
            <w:shd w:val="clear" w:color="auto" w:fill="FFFFFF"/>
            <w:tcMar>
              <w:top w:w="0" w:type="dxa"/>
              <w:left w:w="85" w:type="dxa"/>
              <w:bottom w:w="0" w:type="dxa"/>
              <w:right w:w="85" w:type="dxa"/>
            </w:tcMar>
          </w:tcPr>
          <w:p w14:paraId="21B17975" w14:textId="77777777" w:rsidR="006611EE" w:rsidRPr="00261B7A" w:rsidRDefault="006611EE" w:rsidP="000F09B5">
            <w:pPr>
              <w:pStyle w:val="TableText"/>
              <w:spacing w:before="40" w:after="40"/>
              <w:rPr>
                <w:rFonts w:cstheme="minorHAnsi"/>
              </w:rPr>
            </w:pPr>
            <w:r w:rsidRPr="00261B7A">
              <w:rPr>
                <w:rFonts w:cstheme="minorHAnsi"/>
                <w:color w:val="000000"/>
              </w:rPr>
              <w:t>5.A</w:t>
            </w:r>
          </w:p>
        </w:tc>
        <w:tc>
          <w:tcPr>
            <w:tcW w:w="2948" w:type="dxa"/>
            <w:shd w:val="clear" w:color="auto" w:fill="FFFFFF"/>
            <w:tcMar>
              <w:top w:w="0" w:type="dxa"/>
              <w:left w:w="85" w:type="dxa"/>
              <w:bottom w:w="0" w:type="dxa"/>
              <w:right w:w="85" w:type="dxa"/>
            </w:tcMar>
          </w:tcPr>
          <w:p w14:paraId="308D3181" w14:textId="77777777" w:rsidR="006611EE" w:rsidRPr="00261B7A" w:rsidRDefault="006611EE" w:rsidP="000F09B5">
            <w:pPr>
              <w:pStyle w:val="TableText"/>
              <w:spacing w:before="40" w:after="40"/>
              <w:rPr>
                <w:rFonts w:cstheme="minorHAnsi"/>
              </w:rPr>
            </w:pPr>
            <w:r w:rsidRPr="00261B7A">
              <w:rPr>
                <w:rFonts w:cstheme="minorHAnsi"/>
                <w:color w:val="000000"/>
              </w:rPr>
              <w:t>Waste – Solid Waste Disposal</w:t>
            </w:r>
          </w:p>
        </w:tc>
        <w:tc>
          <w:tcPr>
            <w:tcW w:w="397" w:type="dxa"/>
            <w:shd w:val="clear" w:color="auto" w:fill="FFFFFF"/>
            <w:tcMar>
              <w:top w:w="0" w:type="dxa"/>
              <w:left w:w="85" w:type="dxa"/>
              <w:bottom w:w="0" w:type="dxa"/>
              <w:right w:w="85" w:type="dxa"/>
            </w:tcMar>
          </w:tcPr>
          <w:p w14:paraId="33B0FDF4"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964" w:type="dxa"/>
            <w:shd w:val="clear" w:color="auto" w:fill="FFFFFF"/>
            <w:tcMar>
              <w:top w:w="0" w:type="dxa"/>
              <w:left w:w="85" w:type="dxa"/>
              <w:bottom w:w="0" w:type="dxa"/>
              <w:right w:w="85" w:type="dxa"/>
            </w:tcMar>
          </w:tcPr>
          <w:p w14:paraId="280B362F" w14:textId="77777777" w:rsidR="006611EE" w:rsidRPr="00261B7A" w:rsidRDefault="006611EE" w:rsidP="000F09B5">
            <w:pPr>
              <w:pStyle w:val="TableText"/>
              <w:spacing w:before="40" w:after="40"/>
              <w:jc w:val="right"/>
              <w:rPr>
                <w:rFonts w:cstheme="minorHAnsi"/>
              </w:rPr>
            </w:pPr>
            <w:r w:rsidRPr="00261B7A">
              <w:rPr>
                <w:rFonts w:cstheme="minorHAnsi"/>
                <w:color w:val="000000"/>
              </w:rPr>
              <w:t>2,578.2</w:t>
            </w:r>
          </w:p>
        </w:tc>
        <w:tc>
          <w:tcPr>
            <w:tcW w:w="1021" w:type="dxa"/>
            <w:shd w:val="clear" w:color="auto" w:fill="FFFFFF"/>
            <w:tcMar>
              <w:top w:w="0" w:type="dxa"/>
              <w:left w:w="85" w:type="dxa"/>
              <w:bottom w:w="0" w:type="dxa"/>
              <w:right w:w="85" w:type="dxa"/>
            </w:tcMar>
          </w:tcPr>
          <w:p w14:paraId="512A79EC" w14:textId="77777777" w:rsidR="006611EE" w:rsidRPr="00261B7A" w:rsidRDefault="006611EE" w:rsidP="000F09B5">
            <w:pPr>
              <w:pStyle w:val="TableText"/>
              <w:spacing w:before="40" w:after="40"/>
              <w:jc w:val="right"/>
              <w:rPr>
                <w:rFonts w:cstheme="minorHAnsi"/>
              </w:rPr>
            </w:pPr>
            <w:r w:rsidRPr="00261B7A">
              <w:rPr>
                <w:rFonts w:cstheme="minorHAnsi"/>
                <w:color w:val="000000"/>
              </w:rPr>
              <w:t>2.5</w:t>
            </w:r>
          </w:p>
        </w:tc>
        <w:tc>
          <w:tcPr>
            <w:tcW w:w="567" w:type="dxa"/>
            <w:shd w:val="clear" w:color="auto" w:fill="FFFFFF"/>
            <w:tcMar>
              <w:top w:w="0" w:type="dxa"/>
              <w:left w:w="85" w:type="dxa"/>
              <w:bottom w:w="0" w:type="dxa"/>
              <w:right w:w="85" w:type="dxa"/>
            </w:tcMar>
          </w:tcPr>
          <w:p w14:paraId="65942C32" w14:textId="77777777" w:rsidR="006611EE" w:rsidRPr="00261B7A" w:rsidRDefault="006611EE" w:rsidP="000F09B5">
            <w:pPr>
              <w:pStyle w:val="TableText"/>
              <w:spacing w:before="40" w:after="40"/>
              <w:jc w:val="right"/>
              <w:rPr>
                <w:rFonts w:cstheme="minorHAnsi"/>
              </w:rPr>
            </w:pPr>
            <w:r w:rsidRPr="00261B7A">
              <w:rPr>
                <w:rFonts w:cstheme="minorHAnsi"/>
                <w:color w:val="000000"/>
              </w:rPr>
              <w:t>67.2</w:t>
            </w:r>
          </w:p>
        </w:tc>
      </w:tr>
      <w:tr w:rsidR="006611EE" w:rsidRPr="00261B7A" w14:paraId="2B869DF3" w14:textId="77777777" w:rsidTr="000F09B5">
        <w:tc>
          <w:tcPr>
            <w:tcW w:w="907" w:type="dxa"/>
            <w:shd w:val="clear" w:color="auto" w:fill="FFFFFF"/>
            <w:tcMar>
              <w:top w:w="0" w:type="dxa"/>
              <w:left w:w="85" w:type="dxa"/>
              <w:bottom w:w="0" w:type="dxa"/>
              <w:right w:w="85" w:type="dxa"/>
            </w:tcMar>
          </w:tcPr>
          <w:p w14:paraId="756101D6" w14:textId="77777777" w:rsidR="006611EE" w:rsidRPr="00261B7A" w:rsidRDefault="006611EE" w:rsidP="000F09B5">
            <w:pPr>
              <w:pStyle w:val="TableText"/>
              <w:spacing w:before="40" w:after="40"/>
              <w:rPr>
                <w:rFonts w:cstheme="minorHAnsi"/>
              </w:rPr>
            </w:pPr>
            <w:r w:rsidRPr="00261B7A">
              <w:rPr>
                <w:rFonts w:cstheme="minorHAnsi"/>
                <w:color w:val="000000"/>
              </w:rPr>
              <w:t>1.A.1.a</w:t>
            </w:r>
          </w:p>
        </w:tc>
        <w:tc>
          <w:tcPr>
            <w:tcW w:w="2948" w:type="dxa"/>
            <w:shd w:val="clear" w:color="auto" w:fill="FFFFFF"/>
            <w:tcMar>
              <w:top w:w="0" w:type="dxa"/>
              <w:left w:w="85" w:type="dxa"/>
              <w:bottom w:w="0" w:type="dxa"/>
              <w:right w:w="85" w:type="dxa"/>
            </w:tcMar>
          </w:tcPr>
          <w:p w14:paraId="25906176" w14:textId="77777777" w:rsidR="006611EE" w:rsidRPr="00261B7A" w:rsidRDefault="006611EE" w:rsidP="000F09B5">
            <w:pPr>
              <w:pStyle w:val="TableText"/>
              <w:spacing w:before="40" w:after="40"/>
              <w:rPr>
                <w:rFonts w:cstheme="minorHAnsi"/>
              </w:rPr>
            </w:pPr>
            <w:r w:rsidRPr="00261B7A">
              <w:rPr>
                <w:rFonts w:cstheme="minorHAnsi"/>
                <w:color w:val="000000"/>
              </w:rPr>
              <w:t>Energy Industries – Public Electricity and Heat Production Solid Fuels</w:t>
            </w:r>
          </w:p>
        </w:tc>
        <w:tc>
          <w:tcPr>
            <w:tcW w:w="397" w:type="dxa"/>
            <w:shd w:val="clear" w:color="auto" w:fill="FFFFFF"/>
            <w:tcMar>
              <w:top w:w="0" w:type="dxa"/>
              <w:left w:w="85" w:type="dxa"/>
              <w:bottom w:w="0" w:type="dxa"/>
              <w:right w:w="85" w:type="dxa"/>
            </w:tcMar>
          </w:tcPr>
          <w:p w14:paraId="2EF7AE7B"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6EED6A84" w14:textId="77777777" w:rsidR="006611EE" w:rsidRPr="00261B7A" w:rsidRDefault="006611EE" w:rsidP="000F09B5">
            <w:pPr>
              <w:pStyle w:val="TableText"/>
              <w:spacing w:before="40" w:after="40"/>
              <w:jc w:val="right"/>
              <w:rPr>
                <w:rFonts w:cstheme="minorHAnsi"/>
              </w:rPr>
            </w:pPr>
            <w:r w:rsidRPr="00261B7A">
              <w:rPr>
                <w:rFonts w:cstheme="minorHAnsi"/>
                <w:color w:val="000000"/>
              </w:rPr>
              <w:t>2,346.4</w:t>
            </w:r>
          </w:p>
        </w:tc>
        <w:tc>
          <w:tcPr>
            <w:tcW w:w="1021" w:type="dxa"/>
            <w:shd w:val="clear" w:color="auto" w:fill="FFFFFF"/>
            <w:tcMar>
              <w:top w:w="0" w:type="dxa"/>
              <w:left w:w="85" w:type="dxa"/>
              <w:bottom w:w="0" w:type="dxa"/>
              <w:right w:w="85" w:type="dxa"/>
            </w:tcMar>
          </w:tcPr>
          <w:p w14:paraId="251C2EE2" w14:textId="77777777" w:rsidR="006611EE" w:rsidRPr="00261B7A" w:rsidRDefault="006611EE" w:rsidP="000F09B5">
            <w:pPr>
              <w:pStyle w:val="TableText"/>
              <w:spacing w:before="40" w:after="40"/>
              <w:jc w:val="right"/>
              <w:rPr>
                <w:rFonts w:cstheme="minorHAnsi"/>
              </w:rPr>
            </w:pPr>
            <w:r w:rsidRPr="00261B7A">
              <w:rPr>
                <w:rFonts w:cstheme="minorHAnsi"/>
                <w:color w:val="000000"/>
              </w:rPr>
              <w:t>2.2</w:t>
            </w:r>
          </w:p>
        </w:tc>
        <w:tc>
          <w:tcPr>
            <w:tcW w:w="567" w:type="dxa"/>
            <w:shd w:val="clear" w:color="auto" w:fill="FFFFFF"/>
            <w:tcMar>
              <w:top w:w="0" w:type="dxa"/>
              <w:left w:w="85" w:type="dxa"/>
              <w:bottom w:w="0" w:type="dxa"/>
              <w:right w:w="85" w:type="dxa"/>
            </w:tcMar>
          </w:tcPr>
          <w:p w14:paraId="453F615A" w14:textId="77777777" w:rsidR="006611EE" w:rsidRPr="00261B7A" w:rsidRDefault="006611EE" w:rsidP="000F09B5">
            <w:pPr>
              <w:pStyle w:val="TableText"/>
              <w:spacing w:before="40" w:after="40"/>
              <w:jc w:val="right"/>
              <w:rPr>
                <w:rFonts w:cstheme="minorHAnsi"/>
              </w:rPr>
            </w:pPr>
            <w:r w:rsidRPr="00261B7A">
              <w:rPr>
                <w:rFonts w:cstheme="minorHAnsi"/>
                <w:color w:val="000000"/>
              </w:rPr>
              <w:t>69.5</w:t>
            </w:r>
          </w:p>
        </w:tc>
      </w:tr>
      <w:tr w:rsidR="006611EE" w:rsidRPr="00261B7A" w14:paraId="6DD682E6" w14:textId="77777777" w:rsidTr="000F09B5">
        <w:tc>
          <w:tcPr>
            <w:tcW w:w="907" w:type="dxa"/>
            <w:shd w:val="clear" w:color="auto" w:fill="FFFFFF"/>
            <w:tcMar>
              <w:top w:w="0" w:type="dxa"/>
              <w:left w:w="85" w:type="dxa"/>
              <w:bottom w:w="0" w:type="dxa"/>
              <w:right w:w="85" w:type="dxa"/>
            </w:tcMar>
          </w:tcPr>
          <w:p w14:paraId="66664E77" w14:textId="77777777" w:rsidR="006611EE" w:rsidRPr="00261B7A" w:rsidRDefault="006611EE" w:rsidP="000F09B5">
            <w:pPr>
              <w:pStyle w:val="TableText"/>
              <w:spacing w:before="40" w:after="40"/>
              <w:rPr>
                <w:rFonts w:cstheme="minorHAnsi"/>
              </w:rPr>
            </w:pPr>
            <w:r w:rsidRPr="00261B7A">
              <w:rPr>
                <w:rFonts w:cstheme="minorHAnsi"/>
                <w:color w:val="000000"/>
              </w:rPr>
              <w:t>1.A.1.a</w:t>
            </w:r>
          </w:p>
        </w:tc>
        <w:tc>
          <w:tcPr>
            <w:tcW w:w="2948" w:type="dxa"/>
            <w:shd w:val="clear" w:color="auto" w:fill="FFFFFF"/>
            <w:tcMar>
              <w:top w:w="0" w:type="dxa"/>
              <w:left w:w="85" w:type="dxa"/>
              <w:bottom w:w="0" w:type="dxa"/>
              <w:right w:w="85" w:type="dxa"/>
            </w:tcMar>
          </w:tcPr>
          <w:p w14:paraId="7DDD073D" w14:textId="77777777" w:rsidR="006611EE" w:rsidRPr="00261B7A" w:rsidRDefault="006611EE" w:rsidP="000F09B5">
            <w:pPr>
              <w:pStyle w:val="TableText"/>
              <w:spacing w:before="40" w:after="40"/>
              <w:rPr>
                <w:rFonts w:cstheme="minorHAnsi"/>
              </w:rPr>
            </w:pPr>
            <w:r w:rsidRPr="00261B7A">
              <w:rPr>
                <w:rFonts w:cstheme="minorHAnsi"/>
                <w:color w:val="000000"/>
              </w:rPr>
              <w:t>Energy Industries – Public Electricity and Heat Production Gaseous Fuels</w:t>
            </w:r>
          </w:p>
        </w:tc>
        <w:tc>
          <w:tcPr>
            <w:tcW w:w="397" w:type="dxa"/>
            <w:shd w:val="clear" w:color="auto" w:fill="FFFFFF"/>
            <w:tcMar>
              <w:top w:w="0" w:type="dxa"/>
              <w:left w:w="85" w:type="dxa"/>
              <w:bottom w:w="0" w:type="dxa"/>
              <w:right w:w="85" w:type="dxa"/>
            </w:tcMar>
          </w:tcPr>
          <w:p w14:paraId="236BB176"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7583D0E8" w14:textId="77777777" w:rsidR="006611EE" w:rsidRPr="00261B7A" w:rsidRDefault="006611EE" w:rsidP="000F09B5">
            <w:pPr>
              <w:pStyle w:val="TableText"/>
              <w:spacing w:before="40" w:after="40"/>
              <w:jc w:val="right"/>
              <w:rPr>
                <w:rFonts w:cstheme="minorHAnsi"/>
              </w:rPr>
            </w:pPr>
            <w:r w:rsidRPr="00261B7A">
              <w:rPr>
                <w:rFonts w:cstheme="minorHAnsi"/>
                <w:color w:val="000000"/>
              </w:rPr>
              <w:t>2,035.5</w:t>
            </w:r>
          </w:p>
        </w:tc>
        <w:tc>
          <w:tcPr>
            <w:tcW w:w="1021" w:type="dxa"/>
            <w:shd w:val="clear" w:color="auto" w:fill="FFFFFF"/>
            <w:tcMar>
              <w:top w:w="0" w:type="dxa"/>
              <w:left w:w="85" w:type="dxa"/>
              <w:bottom w:w="0" w:type="dxa"/>
              <w:right w:w="85" w:type="dxa"/>
            </w:tcMar>
          </w:tcPr>
          <w:p w14:paraId="5CF25AB4" w14:textId="77777777" w:rsidR="006611EE" w:rsidRPr="00261B7A" w:rsidRDefault="006611EE" w:rsidP="000F09B5">
            <w:pPr>
              <w:pStyle w:val="TableText"/>
              <w:spacing w:before="40" w:after="40"/>
              <w:jc w:val="right"/>
              <w:rPr>
                <w:rFonts w:cstheme="minorHAnsi"/>
              </w:rPr>
            </w:pPr>
            <w:r w:rsidRPr="00261B7A">
              <w:rPr>
                <w:rFonts w:cstheme="minorHAnsi"/>
                <w:color w:val="000000"/>
              </w:rPr>
              <w:t>1.9</w:t>
            </w:r>
          </w:p>
        </w:tc>
        <w:tc>
          <w:tcPr>
            <w:tcW w:w="567" w:type="dxa"/>
            <w:shd w:val="clear" w:color="auto" w:fill="FFFFFF"/>
            <w:tcMar>
              <w:top w:w="0" w:type="dxa"/>
              <w:left w:w="85" w:type="dxa"/>
              <w:bottom w:w="0" w:type="dxa"/>
              <w:right w:w="85" w:type="dxa"/>
            </w:tcMar>
          </w:tcPr>
          <w:p w14:paraId="588E8022" w14:textId="77777777" w:rsidR="006611EE" w:rsidRPr="00261B7A" w:rsidRDefault="006611EE" w:rsidP="000F09B5">
            <w:pPr>
              <w:pStyle w:val="TableText"/>
              <w:spacing w:before="40" w:after="40"/>
              <w:jc w:val="right"/>
              <w:rPr>
                <w:rFonts w:cstheme="minorHAnsi"/>
              </w:rPr>
            </w:pPr>
            <w:r w:rsidRPr="00261B7A">
              <w:rPr>
                <w:rFonts w:cstheme="minorHAnsi"/>
                <w:color w:val="000000"/>
              </w:rPr>
              <w:t>71.4</w:t>
            </w:r>
          </w:p>
        </w:tc>
      </w:tr>
      <w:tr w:rsidR="006611EE" w:rsidRPr="00261B7A" w14:paraId="26528F30" w14:textId="77777777" w:rsidTr="000F09B5">
        <w:tc>
          <w:tcPr>
            <w:tcW w:w="907" w:type="dxa"/>
            <w:shd w:val="clear" w:color="auto" w:fill="FFFFFF"/>
            <w:tcMar>
              <w:top w:w="0" w:type="dxa"/>
              <w:left w:w="85" w:type="dxa"/>
              <w:bottom w:w="0" w:type="dxa"/>
              <w:right w:w="85" w:type="dxa"/>
            </w:tcMar>
          </w:tcPr>
          <w:p w14:paraId="596896A2" w14:textId="77777777" w:rsidR="006611EE" w:rsidRPr="00261B7A" w:rsidRDefault="006611EE" w:rsidP="000F09B5">
            <w:pPr>
              <w:pStyle w:val="TableText"/>
              <w:spacing w:before="40" w:after="40"/>
              <w:rPr>
                <w:rFonts w:cstheme="minorHAnsi"/>
              </w:rPr>
            </w:pPr>
            <w:r w:rsidRPr="00261B7A">
              <w:rPr>
                <w:rFonts w:cstheme="minorHAnsi"/>
                <w:color w:val="000000"/>
              </w:rPr>
              <w:t>2.C.1</w:t>
            </w:r>
          </w:p>
        </w:tc>
        <w:tc>
          <w:tcPr>
            <w:tcW w:w="2948" w:type="dxa"/>
            <w:shd w:val="clear" w:color="auto" w:fill="FFFFFF"/>
            <w:tcMar>
              <w:top w:w="0" w:type="dxa"/>
              <w:left w:w="85" w:type="dxa"/>
              <w:bottom w:w="0" w:type="dxa"/>
              <w:right w:w="85" w:type="dxa"/>
            </w:tcMar>
          </w:tcPr>
          <w:p w14:paraId="1C67A00B" w14:textId="77777777" w:rsidR="006611EE" w:rsidRPr="00261B7A" w:rsidRDefault="006611EE" w:rsidP="000F09B5">
            <w:pPr>
              <w:pStyle w:val="TableText"/>
              <w:spacing w:before="40" w:after="40"/>
              <w:rPr>
                <w:rFonts w:cstheme="minorHAnsi"/>
              </w:rPr>
            </w:pPr>
            <w:r w:rsidRPr="00261B7A">
              <w:rPr>
                <w:rFonts w:cstheme="minorHAnsi"/>
                <w:color w:val="000000"/>
              </w:rPr>
              <w:t>Metal Industry – Iron and Steel Production</w:t>
            </w:r>
          </w:p>
        </w:tc>
        <w:tc>
          <w:tcPr>
            <w:tcW w:w="397" w:type="dxa"/>
            <w:shd w:val="clear" w:color="auto" w:fill="FFFFFF"/>
            <w:tcMar>
              <w:top w:w="0" w:type="dxa"/>
              <w:left w:w="85" w:type="dxa"/>
              <w:bottom w:w="0" w:type="dxa"/>
              <w:right w:w="85" w:type="dxa"/>
            </w:tcMar>
          </w:tcPr>
          <w:p w14:paraId="4E737BA5"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3F5B44E1" w14:textId="77777777" w:rsidR="006611EE" w:rsidRPr="00261B7A" w:rsidRDefault="006611EE" w:rsidP="000F09B5">
            <w:pPr>
              <w:pStyle w:val="TableText"/>
              <w:spacing w:before="40" w:after="40"/>
              <w:jc w:val="right"/>
              <w:rPr>
                <w:rFonts w:cstheme="minorHAnsi"/>
              </w:rPr>
            </w:pPr>
            <w:r w:rsidRPr="00261B7A">
              <w:rPr>
                <w:rFonts w:cstheme="minorHAnsi"/>
                <w:color w:val="000000"/>
              </w:rPr>
              <w:t>1,718.1</w:t>
            </w:r>
          </w:p>
        </w:tc>
        <w:tc>
          <w:tcPr>
            <w:tcW w:w="1021" w:type="dxa"/>
            <w:shd w:val="clear" w:color="auto" w:fill="FFFFFF"/>
            <w:tcMar>
              <w:top w:w="0" w:type="dxa"/>
              <w:left w:w="85" w:type="dxa"/>
              <w:bottom w:w="0" w:type="dxa"/>
              <w:right w:w="85" w:type="dxa"/>
            </w:tcMar>
          </w:tcPr>
          <w:p w14:paraId="2B6E40B5" w14:textId="77777777" w:rsidR="006611EE" w:rsidRPr="00261B7A" w:rsidRDefault="006611EE" w:rsidP="000F09B5">
            <w:pPr>
              <w:pStyle w:val="TableText"/>
              <w:spacing w:before="40" w:after="40"/>
              <w:jc w:val="right"/>
              <w:rPr>
                <w:rFonts w:cstheme="minorHAnsi"/>
              </w:rPr>
            </w:pPr>
            <w:r w:rsidRPr="00261B7A">
              <w:rPr>
                <w:rFonts w:cstheme="minorHAnsi"/>
                <w:color w:val="000000"/>
              </w:rPr>
              <w:t>1.6</w:t>
            </w:r>
          </w:p>
        </w:tc>
        <w:tc>
          <w:tcPr>
            <w:tcW w:w="567" w:type="dxa"/>
            <w:shd w:val="clear" w:color="auto" w:fill="FFFFFF"/>
            <w:tcMar>
              <w:top w:w="0" w:type="dxa"/>
              <w:left w:w="85" w:type="dxa"/>
              <w:bottom w:w="0" w:type="dxa"/>
              <w:right w:w="85" w:type="dxa"/>
            </w:tcMar>
          </w:tcPr>
          <w:p w14:paraId="3FB538D8" w14:textId="77777777" w:rsidR="006611EE" w:rsidRPr="00261B7A" w:rsidRDefault="006611EE" w:rsidP="000F09B5">
            <w:pPr>
              <w:pStyle w:val="TableText"/>
              <w:spacing w:before="40" w:after="40"/>
              <w:jc w:val="right"/>
              <w:rPr>
                <w:rFonts w:cstheme="minorHAnsi"/>
              </w:rPr>
            </w:pPr>
            <w:r w:rsidRPr="00261B7A">
              <w:rPr>
                <w:rFonts w:cstheme="minorHAnsi"/>
                <w:color w:val="000000"/>
              </w:rPr>
              <w:t>73.0</w:t>
            </w:r>
          </w:p>
        </w:tc>
      </w:tr>
      <w:tr w:rsidR="006611EE" w:rsidRPr="00261B7A" w14:paraId="61D3430A" w14:textId="77777777" w:rsidTr="000F09B5">
        <w:tc>
          <w:tcPr>
            <w:tcW w:w="907" w:type="dxa"/>
            <w:shd w:val="clear" w:color="auto" w:fill="FFFFFF"/>
            <w:tcMar>
              <w:top w:w="0" w:type="dxa"/>
              <w:left w:w="85" w:type="dxa"/>
              <w:bottom w:w="0" w:type="dxa"/>
              <w:right w:w="85" w:type="dxa"/>
            </w:tcMar>
          </w:tcPr>
          <w:p w14:paraId="484BDA50" w14:textId="77777777" w:rsidR="006611EE" w:rsidRPr="00261B7A" w:rsidRDefault="006611EE" w:rsidP="000F09B5">
            <w:pPr>
              <w:pStyle w:val="TableText"/>
              <w:spacing w:before="40" w:after="40"/>
              <w:rPr>
                <w:rFonts w:cstheme="minorHAnsi"/>
              </w:rPr>
            </w:pPr>
            <w:r w:rsidRPr="00261B7A">
              <w:rPr>
                <w:rFonts w:cstheme="minorHAnsi"/>
                <w:color w:val="000000"/>
              </w:rPr>
              <w:t>4.C.2</w:t>
            </w:r>
          </w:p>
        </w:tc>
        <w:tc>
          <w:tcPr>
            <w:tcW w:w="2948" w:type="dxa"/>
            <w:shd w:val="clear" w:color="auto" w:fill="FFFFFF"/>
            <w:tcMar>
              <w:top w:w="0" w:type="dxa"/>
              <w:left w:w="85" w:type="dxa"/>
              <w:bottom w:w="0" w:type="dxa"/>
              <w:right w:w="85" w:type="dxa"/>
            </w:tcMar>
          </w:tcPr>
          <w:p w14:paraId="2102F98B" w14:textId="77777777" w:rsidR="006611EE" w:rsidRPr="00261B7A" w:rsidRDefault="006611EE" w:rsidP="000F09B5">
            <w:pPr>
              <w:pStyle w:val="TableText"/>
              <w:spacing w:before="40" w:after="40"/>
              <w:rPr>
                <w:rFonts w:cstheme="minorHAnsi"/>
              </w:rPr>
            </w:pPr>
            <w:r w:rsidRPr="00261B7A">
              <w:rPr>
                <w:rFonts w:cstheme="minorHAnsi"/>
                <w:color w:val="000000"/>
              </w:rPr>
              <w:t>Grassland – Land Converted to Grassland</w:t>
            </w:r>
          </w:p>
        </w:tc>
        <w:tc>
          <w:tcPr>
            <w:tcW w:w="397" w:type="dxa"/>
            <w:shd w:val="clear" w:color="auto" w:fill="FFFFFF"/>
            <w:tcMar>
              <w:top w:w="0" w:type="dxa"/>
              <w:left w:w="85" w:type="dxa"/>
              <w:bottom w:w="0" w:type="dxa"/>
              <w:right w:w="85" w:type="dxa"/>
            </w:tcMar>
          </w:tcPr>
          <w:p w14:paraId="0A2C121B"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57BF49A8" w14:textId="77777777" w:rsidR="006611EE" w:rsidRPr="00261B7A" w:rsidRDefault="006611EE" w:rsidP="000F09B5">
            <w:pPr>
              <w:pStyle w:val="TableText"/>
              <w:spacing w:before="40" w:after="40"/>
              <w:jc w:val="right"/>
              <w:rPr>
                <w:rFonts w:cstheme="minorHAnsi"/>
              </w:rPr>
            </w:pPr>
            <w:r w:rsidRPr="00261B7A">
              <w:rPr>
                <w:rFonts w:cstheme="minorHAnsi"/>
                <w:color w:val="000000"/>
              </w:rPr>
              <w:t>1,485.2</w:t>
            </w:r>
          </w:p>
        </w:tc>
        <w:tc>
          <w:tcPr>
            <w:tcW w:w="1021" w:type="dxa"/>
            <w:shd w:val="clear" w:color="auto" w:fill="FFFFFF"/>
            <w:tcMar>
              <w:top w:w="0" w:type="dxa"/>
              <w:left w:w="85" w:type="dxa"/>
              <w:bottom w:w="0" w:type="dxa"/>
              <w:right w:w="85" w:type="dxa"/>
            </w:tcMar>
          </w:tcPr>
          <w:p w14:paraId="6079A68B" w14:textId="77777777" w:rsidR="006611EE" w:rsidRPr="00261B7A" w:rsidRDefault="006611EE" w:rsidP="000F09B5">
            <w:pPr>
              <w:pStyle w:val="TableText"/>
              <w:spacing w:before="40" w:after="40"/>
              <w:jc w:val="right"/>
              <w:rPr>
                <w:rFonts w:cstheme="minorHAnsi"/>
              </w:rPr>
            </w:pPr>
            <w:r w:rsidRPr="00261B7A">
              <w:rPr>
                <w:rFonts w:cstheme="minorHAnsi"/>
                <w:color w:val="000000"/>
              </w:rPr>
              <w:t>1.4</w:t>
            </w:r>
          </w:p>
        </w:tc>
        <w:tc>
          <w:tcPr>
            <w:tcW w:w="567" w:type="dxa"/>
            <w:shd w:val="clear" w:color="auto" w:fill="FFFFFF"/>
            <w:tcMar>
              <w:top w:w="0" w:type="dxa"/>
              <w:left w:w="85" w:type="dxa"/>
              <w:bottom w:w="0" w:type="dxa"/>
              <w:right w:w="85" w:type="dxa"/>
            </w:tcMar>
          </w:tcPr>
          <w:p w14:paraId="35F70DA5" w14:textId="77777777" w:rsidR="006611EE" w:rsidRPr="00261B7A" w:rsidRDefault="006611EE" w:rsidP="000F09B5">
            <w:pPr>
              <w:pStyle w:val="TableText"/>
              <w:spacing w:before="40" w:after="40"/>
              <w:jc w:val="right"/>
              <w:rPr>
                <w:rFonts w:cstheme="minorHAnsi"/>
              </w:rPr>
            </w:pPr>
            <w:r w:rsidRPr="00261B7A">
              <w:rPr>
                <w:rFonts w:cstheme="minorHAnsi"/>
                <w:color w:val="000000"/>
              </w:rPr>
              <w:t>74.4</w:t>
            </w:r>
          </w:p>
        </w:tc>
      </w:tr>
      <w:tr w:rsidR="006611EE" w:rsidRPr="00261B7A" w14:paraId="5B9D50D5" w14:textId="77777777" w:rsidTr="000F09B5">
        <w:tc>
          <w:tcPr>
            <w:tcW w:w="907" w:type="dxa"/>
            <w:shd w:val="clear" w:color="auto" w:fill="FFFFFF"/>
            <w:tcMar>
              <w:top w:w="0" w:type="dxa"/>
              <w:left w:w="85" w:type="dxa"/>
              <w:bottom w:w="0" w:type="dxa"/>
              <w:right w:w="85" w:type="dxa"/>
            </w:tcMar>
          </w:tcPr>
          <w:p w14:paraId="00BFB725" w14:textId="77777777" w:rsidR="006611EE" w:rsidRPr="00261B7A" w:rsidRDefault="006611EE" w:rsidP="000F09B5">
            <w:pPr>
              <w:pStyle w:val="TableText"/>
              <w:spacing w:before="40" w:after="40"/>
              <w:rPr>
                <w:rFonts w:cstheme="minorHAnsi"/>
              </w:rPr>
            </w:pPr>
            <w:r w:rsidRPr="00261B7A">
              <w:rPr>
                <w:rFonts w:cstheme="minorHAnsi"/>
                <w:color w:val="000000"/>
              </w:rPr>
              <w:t>1.A.2.e</w:t>
            </w:r>
          </w:p>
        </w:tc>
        <w:tc>
          <w:tcPr>
            <w:tcW w:w="2948" w:type="dxa"/>
            <w:shd w:val="clear" w:color="auto" w:fill="FFFFFF"/>
            <w:tcMar>
              <w:top w:w="0" w:type="dxa"/>
              <w:left w:w="85" w:type="dxa"/>
              <w:bottom w:w="0" w:type="dxa"/>
              <w:right w:w="85" w:type="dxa"/>
            </w:tcMar>
          </w:tcPr>
          <w:p w14:paraId="55E1B81E" w14:textId="77777777" w:rsidR="006611EE" w:rsidRPr="00261B7A" w:rsidRDefault="006611EE" w:rsidP="000F09B5">
            <w:pPr>
              <w:pStyle w:val="TableText"/>
              <w:spacing w:before="40" w:after="40"/>
              <w:rPr>
                <w:rFonts w:cstheme="minorHAnsi"/>
              </w:rPr>
            </w:pPr>
            <w:r w:rsidRPr="00261B7A">
              <w:rPr>
                <w:rFonts w:cstheme="minorHAnsi"/>
                <w:color w:val="000000"/>
              </w:rPr>
              <w:t>Manufacturing Industries and Construction – Food Processing, Beverages and Tobacco Solid Fuels</w:t>
            </w:r>
          </w:p>
        </w:tc>
        <w:tc>
          <w:tcPr>
            <w:tcW w:w="397" w:type="dxa"/>
            <w:shd w:val="clear" w:color="auto" w:fill="FFFFFF"/>
            <w:tcMar>
              <w:top w:w="0" w:type="dxa"/>
              <w:left w:w="85" w:type="dxa"/>
              <w:bottom w:w="0" w:type="dxa"/>
              <w:right w:w="85" w:type="dxa"/>
            </w:tcMar>
          </w:tcPr>
          <w:p w14:paraId="4F614126"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610D2379" w14:textId="77777777" w:rsidR="006611EE" w:rsidRPr="00261B7A" w:rsidRDefault="006611EE" w:rsidP="000F09B5">
            <w:pPr>
              <w:pStyle w:val="TableText"/>
              <w:spacing w:before="40" w:after="40"/>
              <w:jc w:val="right"/>
              <w:rPr>
                <w:rFonts w:cstheme="minorHAnsi"/>
              </w:rPr>
            </w:pPr>
            <w:r w:rsidRPr="00261B7A">
              <w:rPr>
                <w:rFonts w:cstheme="minorHAnsi"/>
                <w:color w:val="000000"/>
              </w:rPr>
              <w:t>1,446.5</w:t>
            </w:r>
          </w:p>
        </w:tc>
        <w:tc>
          <w:tcPr>
            <w:tcW w:w="1021" w:type="dxa"/>
            <w:shd w:val="clear" w:color="auto" w:fill="FFFFFF"/>
            <w:tcMar>
              <w:top w:w="0" w:type="dxa"/>
              <w:left w:w="85" w:type="dxa"/>
              <w:bottom w:w="0" w:type="dxa"/>
              <w:right w:w="85" w:type="dxa"/>
            </w:tcMar>
          </w:tcPr>
          <w:p w14:paraId="5016BC89" w14:textId="77777777" w:rsidR="006611EE" w:rsidRPr="00261B7A" w:rsidRDefault="006611EE" w:rsidP="000F09B5">
            <w:pPr>
              <w:pStyle w:val="TableText"/>
              <w:spacing w:before="40" w:after="40"/>
              <w:jc w:val="right"/>
              <w:rPr>
                <w:rFonts w:cstheme="minorHAnsi"/>
              </w:rPr>
            </w:pPr>
            <w:r w:rsidRPr="00261B7A">
              <w:rPr>
                <w:rFonts w:cstheme="minorHAnsi"/>
                <w:color w:val="000000"/>
              </w:rPr>
              <w:t>1.4</w:t>
            </w:r>
          </w:p>
        </w:tc>
        <w:tc>
          <w:tcPr>
            <w:tcW w:w="567" w:type="dxa"/>
            <w:shd w:val="clear" w:color="auto" w:fill="FFFFFF"/>
            <w:tcMar>
              <w:top w:w="0" w:type="dxa"/>
              <w:left w:w="85" w:type="dxa"/>
              <w:bottom w:w="0" w:type="dxa"/>
              <w:right w:w="85" w:type="dxa"/>
            </w:tcMar>
          </w:tcPr>
          <w:p w14:paraId="134BBCF9" w14:textId="77777777" w:rsidR="006611EE" w:rsidRPr="00261B7A" w:rsidRDefault="006611EE" w:rsidP="000F09B5">
            <w:pPr>
              <w:pStyle w:val="TableText"/>
              <w:spacing w:before="40" w:after="40"/>
              <w:jc w:val="right"/>
              <w:rPr>
                <w:rFonts w:cstheme="minorHAnsi"/>
              </w:rPr>
            </w:pPr>
            <w:r w:rsidRPr="00261B7A">
              <w:rPr>
                <w:rFonts w:cstheme="minorHAnsi"/>
                <w:color w:val="000000"/>
              </w:rPr>
              <w:t>75.8</w:t>
            </w:r>
          </w:p>
        </w:tc>
      </w:tr>
      <w:tr w:rsidR="006611EE" w:rsidRPr="00261B7A" w14:paraId="2CBE9817" w14:textId="77777777" w:rsidTr="000F09B5">
        <w:tc>
          <w:tcPr>
            <w:tcW w:w="907" w:type="dxa"/>
            <w:shd w:val="clear" w:color="auto" w:fill="FFFFFF"/>
            <w:tcMar>
              <w:top w:w="0" w:type="dxa"/>
              <w:left w:w="85" w:type="dxa"/>
              <w:bottom w:w="0" w:type="dxa"/>
              <w:right w:w="85" w:type="dxa"/>
            </w:tcMar>
          </w:tcPr>
          <w:p w14:paraId="3D32D3F2" w14:textId="77777777" w:rsidR="006611EE" w:rsidRPr="00261B7A" w:rsidRDefault="006611EE" w:rsidP="000F09B5">
            <w:pPr>
              <w:pStyle w:val="TableText"/>
              <w:spacing w:before="40" w:after="40"/>
              <w:rPr>
                <w:rFonts w:cstheme="minorHAnsi"/>
              </w:rPr>
            </w:pPr>
            <w:r w:rsidRPr="00261B7A">
              <w:rPr>
                <w:rFonts w:cstheme="minorHAnsi"/>
                <w:color w:val="000000"/>
              </w:rPr>
              <w:t>2.F.1</w:t>
            </w:r>
          </w:p>
        </w:tc>
        <w:tc>
          <w:tcPr>
            <w:tcW w:w="2948" w:type="dxa"/>
            <w:shd w:val="clear" w:color="auto" w:fill="FFFFFF"/>
            <w:tcMar>
              <w:top w:w="0" w:type="dxa"/>
              <w:left w:w="85" w:type="dxa"/>
              <w:bottom w:w="0" w:type="dxa"/>
              <w:right w:w="85" w:type="dxa"/>
            </w:tcMar>
          </w:tcPr>
          <w:p w14:paraId="61F9B936" w14:textId="77777777" w:rsidR="006611EE" w:rsidRPr="00261B7A" w:rsidRDefault="006611EE" w:rsidP="000F09B5">
            <w:pPr>
              <w:pStyle w:val="TableText"/>
              <w:spacing w:before="40" w:after="40"/>
              <w:rPr>
                <w:rFonts w:cstheme="minorHAnsi"/>
              </w:rPr>
            </w:pPr>
            <w:r w:rsidRPr="00261B7A">
              <w:rPr>
                <w:rFonts w:cstheme="minorHAnsi"/>
                <w:color w:val="000000"/>
              </w:rPr>
              <w:t>Product Uses as Substitutes for ODS – Refrigeration and Air conditioning</w:t>
            </w:r>
          </w:p>
        </w:tc>
        <w:tc>
          <w:tcPr>
            <w:tcW w:w="397" w:type="dxa"/>
            <w:shd w:val="clear" w:color="auto" w:fill="FFFFFF"/>
            <w:tcMar>
              <w:top w:w="0" w:type="dxa"/>
              <w:left w:w="85" w:type="dxa"/>
              <w:bottom w:w="0" w:type="dxa"/>
              <w:right w:w="85" w:type="dxa"/>
            </w:tcMar>
          </w:tcPr>
          <w:p w14:paraId="444345B4" w14:textId="77777777" w:rsidR="006611EE" w:rsidRPr="00261B7A" w:rsidRDefault="006611EE" w:rsidP="000F09B5">
            <w:pPr>
              <w:pStyle w:val="TableText"/>
              <w:spacing w:before="40" w:after="40"/>
              <w:jc w:val="center"/>
              <w:rPr>
                <w:rFonts w:cstheme="minorHAnsi"/>
              </w:rPr>
            </w:pPr>
            <w:r w:rsidRPr="00261B7A">
              <w:rPr>
                <w:rFonts w:cstheme="minorHAnsi"/>
                <w:color w:val="000000"/>
              </w:rPr>
              <w:t>HFCs</w:t>
            </w:r>
          </w:p>
        </w:tc>
        <w:tc>
          <w:tcPr>
            <w:tcW w:w="964" w:type="dxa"/>
            <w:shd w:val="clear" w:color="auto" w:fill="FFFFFF"/>
            <w:tcMar>
              <w:top w:w="0" w:type="dxa"/>
              <w:left w:w="85" w:type="dxa"/>
              <w:bottom w:w="0" w:type="dxa"/>
              <w:right w:w="85" w:type="dxa"/>
            </w:tcMar>
          </w:tcPr>
          <w:p w14:paraId="63D5D23F" w14:textId="77777777" w:rsidR="006611EE" w:rsidRPr="00261B7A" w:rsidRDefault="006611EE" w:rsidP="000F09B5">
            <w:pPr>
              <w:pStyle w:val="TableText"/>
              <w:spacing w:before="40" w:after="40"/>
              <w:jc w:val="right"/>
              <w:rPr>
                <w:rFonts w:cstheme="minorHAnsi"/>
              </w:rPr>
            </w:pPr>
            <w:r w:rsidRPr="00261B7A">
              <w:rPr>
                <w:rFonts w:cstheme="minorHAnsi"/>
                <w:color w:val="000000"/>
              </w:rPr>
              <w:t>1,401.8</w:t>
            </w:r>
          </w:p>
        </w:tc>
        <w:tc>
          <w:tcPr>
            <w:tcW w:w="1021" w:type="dxa"/>
            <w:shd w:val="clear" w:color="auto" w:fill="FFFFFF"/>
            <w:tcMar>
              <w:top w:w="0" w:type="dxa"/>
              <w:left w:w="85" w:type="dxa"/>
              <w:bottom w:w="0" w:type="dxa"/>
              <w:right w:w="85" w:type="dxa"/>
            </w:tcMar>
          </w:tcPr>
          <w:p w14:paraId="1CEF9C25" w14:textId="77777777" w:rsidR="006611EE" w:rsidRPr="00261B7A" w:rsidRDefault="006611EE" w:rsidP="000F09B5">
            <w:pPr>
              <w:pStyle w:val="TableText"/>
              <w:spacing w:before="40" w:after="40"/>
              <w:jc w:val="right"/>
              <w:rPr>
                <w:rFonts w:cstheme="minorHAnsi"/>
              </w:rPr>
            </w:pPr>
            <w:r w:rsidRPr="00261B7A">
              <w:rPr>
                <w:rFonts w:cstheme="minorHAnsi"/>
                <w:color w:val="000000"/>
              </w:rPr>
              <w:t>1.3</w:t>
            </w:r>
          </w:p>
        </w:tc>
        <w:tc>
          <w:tcPr>
            <w:tcW w:w="567" w:type="dxa"/>
            <w:shd w:val="clear" w:color="auto" w:fill="FFFFFF"/>
            <w:tcMar>
              <w:top w:w="0" w:type="dxa"/>
              <w:left w:w="85" w:type="dxa"/>
              <w:bottom w:w="0" w:type="dxa"/>
              <w:right w:w="85" w:type="dxa"/>
            </w:tcMar>
          </w:tcPr>
          <w:p w14:paraId="2F460871" w14:textId="77777777" w:rsidR="006611EE" w:rsidRPr="00261B7A" w:rsidRDefault="006611EE" w:rsidP="000F09B5">
            <w:pPr>
              <w:pStyle w:val="TableText"/>
              <w:spacing w:before="40" w:after="40"/>
              <w:jc w:val="right"/>
              <w:rPr>
                <w:rFonts w:cstheme="minorHAnsi"/>
              </w:rPr>
            </w:pPr>
            <w:r w:rsidRPr="00261B7A">
              <w:rPr>
                <w:rFonts w:cstheme="minorHAnsi"/>
                <w:color w:val="000000"/>
              </w:rPr>
              <w:t>77.2</w:t>
            </w:r>
          </w:p>
        </w:tc>
      </w:tr>
      <w:tr w:rsidR="006611EE" w:rsidRPr="00261B7A" w14:paraId="46E67690" w14:textId="77777777" w:rsidTr="000F09B5">
        <w:tc>
          <w:tcPr>
            <w:tcW w:w="907" w:type="dxa"/>
            <w:shd w:val="clear" w:color="auto" w:fill="FFFFFF"/>
            <w:tcMar>
              <w:top w:w="0" w:type="dxa"/>
              <w:left w:w="85" w:type="dxa"/>
              <w:bottom w:w="0" w:type="dxa"/>
              <w:right w:w="85" w:type="dxa"/>
            </w:tcMar>
          </w:tcPr>
          <w:p w14:paraId="26DD774F" w14:textId="77777777" w:rsidR="006611EE" w:rsidRPr="00261B7A" w:rsidRDefault="006611EE" w:rsidP="000F09B5">
            <w:pPr>
              <w:pStyle w:val="TableText"/>
              <w:spacing w:before="40" w:after="40"/>
              <w:rPr>
                <w:rFonts w:cstheme="minorHAnsi"/>
              </w:rPr>
            </w:pPr>
            <w:r w:rsidRPr="00261B7A">
              <w:rPr>
                <w:rFonts w:cstheme="minorHAnsi"/>
                <w:color w:val="000000"/>
              </w:rPr>
              <w:t>3.D.1.1</w:t>
            </w:r>
          </w:p>
        </w:tc>
        <w:tc>
          <w:tcPr>
            <w:tcW w:w="2948" w:type="dxa"/>
            <w:shd w:val="clear" w:color="auto" w:fill="FFFFFF"/>
            <w:tcMar>
              <w:top w:w="0" w:type="dxa"/>
              <w:left w:w="85" w:type="dxa"/>
              <w:bottom w:w="0" w:type="dxa"/>
              <w:right w:w="85" w:type="dxa"/>
            </w:tcMar>
          </w:tcPr>
          <w:p w14:paraId="1936DA15" w14:textId="77777777" w:rsidR="006611EE" w:rsidRPr="00261B7A" w:rsidRDefault="006611EE" w:rsidP="000F09B5">
            <w:pPr>
              <w:pStyle w:val="TableText"/>
              <w:spacing w:before="40" w:after="40"/>
              <w:rPr>
                <w:rFonts w:cstheme="minorHAnsi"/>
              </w:rPr>
            </w:pPr>
            <w:r w:rsidRPr="00261B7A">
              <w:rPr>
                <w:rFonts w:cstheme="minorHAnsi"/>
                <w:color w:val="000000"/>
              </w:rPr>
              <w:t>Direct N</w:t>
            </w:r>
            <w:r w:rsidRPr="00261B7A">
              <w:rPr>
                <w:rFonts w:cstheme="minorHAnsi"/>
                <w:color w:val="000000"/>
                <w:vertAlign w:val="subscript"/>
              </w:rPr>
              <w:t>2</w:t>
            </w:r>
            <w:r w:rsidRPr="00261B7A">
              <w:rPr>
                <w:rFonts w:cstheme="minorHAnsi"/>
                <w:color w:val="000000"/>
              </w:rPr>
              <w:t>O Emissions From Managed Soils – Inorganic N Fertilisers</w:t>
            </w:r>
          </w:p>
        </w:tc>
        <w:tc>
          <w:tcPr>
            <w:tcW w:w="397" w:type="dxa"/>
            <w:shd w:val="clear" w:color="auto" w:fill="FFFFFF"/>
            <w:tcMar>
              <w:top w:w="0" w:type="dxa"/>
              <w:left w:w="85" w:type="dxa"/>
              <w:bottom w:w="0" w:type="dxa"/>
              <w:right w:w="85" w:type="dxa"/>
            </w:tcMar>
          </w:tcPr>
          <w:p w14:paraId="68591CEF" w14:textId="77777777" w:rsidR="006611EE" w:rsidRPr="00261B7A" w:rsidRDefault="006611EE" w:rsidP="000F09B5">
            <w:pPr>
              <w:pStyle w:val="TableText"/>
              <w:spacing w:before="40" w:after="40"/>
              <w:jc w:val="center"/>
              <w:rPr>
                <w:rFonts w:cstheme="minorHAnsi"/>
              </w:rPr>
            </w:pPr>
            <w:r w:rsidRPr="00261B7A">
              <w:rPr>
                <w:rFonts w:cstheme="minorHAnsi"/>
                <w:color w:val="000000"/>
              </w:rPr>
              <w:t>N</w:t>
            </w:r>
            <w:r w:rsidRPr="00261B7A">
              <w:rPr>
                <w:rFonts w:asciiTheme="minorHAnsi" w:hAnsiTheme="minorHAnsi" w:cstheme="minorHAnsi"/>
                <w:vertAlign w:val="subscript"/>
              </w:rPr>
              <w:t>2</w:t>
            </w:r>
            <w:r w:rsidRPr="00261B7A">
              <w:rPr>
                <w:rFonts w:asciiTheme="minorHAnsi" w:hAnsiTheme="minorHAnsi" w:cstheme="minorHAnsi"/>
              </w:rPr>
              <w:t>O</w:t>
            </w:r>
          </w:p>
        </w:tc>
        <w:tc>
          <w:tcPr>
            <w:tcW w:w="964" w:type="dxa"/>
            <w:shd w:val="clear" w:color="auto" w:fill="FFFFFF"/>
            <w:tcMar>
              <w:top w:w="0" w:type="dxa"/>
              <w:left w:w="85" w:type="dxa"/>
              <w:bottom w:w="0" w:type="dxa"/>
              <w:right w:w="85" w:type="dxa"/>
            </w:tcMar>
          </w:tcPr>
          <w:p w14:paraId="3DB7FDB4" w14:textId="77777777" w:rsidR="006611EE" w:rsidRPr="00261B7A" w:rsidRDefault="006611EE" w:rsidP="000F09B5">
            <w:pPr>
              <w:pStyle w:val="TableText"/>
              <w:spacing w:before="40" w:after="40"/>
              <w:jc w:val="right"/>
              <w:rPr>
                <w:rFonts w:cstheme="minorHAnsi"/>
              </w:rPr>
            </w:pPr>
            <w:r w:rsidRPr="00261B7A">
              <w:rPr>
                <w:rFonts w:cstheme="minorHAnsi"/>
                <w:color w:val="000000"/>
              </w:rPr>
              <w:t>1,398.9</w:t>
            </w:r>
          </w:p>
        </w:tc>
        <w:tc>
          <w:tcPr>
            <w:tcW w:w="1021" w:type="dxa"/>
            <w:shd w:val="clear" w:color="auto" w:fill="FFFFFF"/>
            <w:tcMar>
              <w:top w:w="0" w:type="dxa"/>
              <w:left w:w="85" w:type="dxa"/>
              <w:bottom w:w="0" w:type="dxa"/>
              <w:right w:w="85" w:type="dxa"/>
            </w:tcMar>
          </w:tcPr>
          <w:p w14:paraId="568CA60D" w14:textId="77777777" w:rsidR="006611EE" w:rsidRPr="00261B7A" w:rsidRDefault="006611EE" w:rsidP="000F09B5">
            <w:pPr>
              <w:pStyle w:val="TableText"/>
              <w:spacing w:before="40" w:after="40"/>
              <w:jc w:val="right"/>
              <w:rPr>
                <w:rFonts w:cstheme="minorHAnsi"/>
              </w:rPr>
            </w:pPr>
            <w:r w:rsidRPr="00261B7A">
              <w:rPr>
                <w:rFonts w:cstheme="minorHAnsi"/>
                <w:color w:val="000000"/>
              </w:rPr>
              <w:t>1.3</w:t>
            </w:r>
          </w:p>
        </w:tc>
        <w:tc>
          <w:tcPr>
            <w:tcW w:w="567" w:type="dxa"/>
            <w:shd w:val="clear" w:color="auto" w:fill="FFFFFF"/>
            <w:tcMar>
              <w:top w:w="0" w:type="dxa"/>
              <w:left w:w="85" w:type="dxa"/>
              <w:bottom w:w="0" w:type="dxa"/>
              <w:right w:w="85" w:type="dxa"/>
            </w:tcMar>
          </w:tcPr>
          <w:p w14:paraId="6CCB1B62" w14:textId="77777777" w:rsidR="006611EE" w:rsidRPr="00261B7A" w:rsidRDefault="006611EE" w:rsidP="000F09B5">
            <w:pPr>
              <w:pStyle w:val="TableText"/>
              <w:spacing w:before="40" w:after="40"/>
              <w:jc w:val="right"/>
              <w:rPr>
                <w:rFonts w:cstheme="minorHAnsi"/>
              </w:rPr>
            </w:pPr>
            <w:r w:rsidRPr="00261B7A">
              <w:rPr>
                <w:rFonts w:cstheme="minorHAnsi"/>
                <w:color w:val="000000"/>
              </w:rPr>
              <w:t>78.5</w:t>
            </w:r>
          </w:p>
        </w:tc>
      </w:tr>
      <w:tr w:rsidR="006611EE" w:rsidRPr="00261B7A" w14:paraId="5CE832E1" w14:textId="77777777" w:rsidTr="000F09B5">
        <w:tc>
          <w:tcPr>
            <w:tcW w:w="907" w:type="dxa"/>
            <w:shd w:val="clear" w:color="auto" w:fill="FFFFFF"/>
            <w:tcMar>
              <w:top w:w="0" w:type="dxa"/>
              <w:left w:w="85" w:type="dxa"/>
              <w:bottom w:w="0" w:type="dxa"/>
              <w:right w:w="85" w:type="dxa"/>
            </w:tcMar>
          </w:tcPr>
          <w:p w14:paraId="125F44D0" w14:textId="77777777" w:rsidR="006611EE" w:rsidRPr="00261B7A" w:rsidRDefault="006611EE" w:rsidP="000F09B5">
            <w:pPr>
              <w:pStyle w:val="TableText"/>
              <w:spacing w:before="40" w:after="40"/>
              <w:rPr>
                <w:rFonts w:cstheme="minorHAnsi"/>
              </w:rPr>
            </w:pPr>
            <w:r w:rsidRPr="00261B7A">
              <w:rPr>
                <w:rFonts w:cstheme="minorHAnsi"/>
                <w:color w:val="000000"/>
              </w:rPr>
              <w:t>3.B.1.1</w:t>
            </w:r>
          </w:p>
        </w:tc>
        <w:tc>
          <w:tcPr>
            <w:tcW w:w="2948" w:type="dxa"/>
            <w:shd w:val="clear" w:color="auto" w:fill="FFFFFF"/>
            <w:tcMar>
              <w:top w:w="0" w:type="dxa"/>
              <w:left w:w="85" w:type="dxa"/>
              <w:bottom w:w="0" w:type="dxa"/>
              <w:right w:w="85" w:type="dxa"/>
            </w:tcMar>
          </w:tcPr>
          <w:p w14:paraId="6BDF9283" w14:textId="77777777" w:rsidR="006611EE" w:rsidRPr="00261B7A" w:rsidRDefault="006611EE" w:rsidP="000F09B5">
            <w:pPr>
              <w:pStyle w:val="TableText"/>
              <w:spacing w:before="40" w:after="40"/>
              <w:rPr>
                <w:rFonts w:cstheme="minorHAnsi"/>
              </w:rPr>
            </w:pPr>
            <w:r w:rsidRPr="00261B7A">
              <w:rPr>
                <w:rFonts w:cstheme="minorHAnsi"/>
                <w:color w:val="000000"/>
              </w:rPr>
              <w:t>Option A – Dairy Cattle</w:t>
            </w:r>
          </w:p>
        </w:tc>
        <w:tc>
          <w:tcPr>
            <w:tcW w:w="397" w:type="dxa"/>
            <w:shd w:val="clear" w:color="auto" w:fill="FFFFFF"/>
            <w:tcMar>
              <w:top w:w="0" w:type="dxa"/>
              <w:left w:w="85" w:type="dxa"/>
              <w:bottom w:w="0" w:type="dxa"/>
              <w:right w:w="85" w:type="dxa"/>
            </w:tcMar>
          </w:tcPr>
          <w:p w14:paraId="7B049935"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964" w:type="dxa"/>
            <w:shd w:val="clear" w:color="auto" w:fill="FFFFFF"/>
            <w:tcMar>
              <w:top w:w="0" w:type="dxa"/>
              <w:left w:w="85" w:type="dxa"/>
              <w:bottom w:w="0" w:type="dxa"/>
              <w:right w:w="85" w:type="dxa"/>
            </w:tcMar>
          </w:tcPr>
          <w:p w14:paraId="7A767C90" w14:textId="77777777" w:rsidR="006611EE" w:rsidRPr="00261B7A" w:rsidRDefault="006611EE" w:rsidP="000F09B5">
            <w:pPr>
              <w:pStyle w:val="TableText"/>
              <w:spacing w:before="40" w:after="40"/>
              <w:jc w:val="right"/>
              <w:rPr>
                <w:rFonts w:cstheme="minorHAnsi"/>
              </w:rPr>
            </w:pPr>
            <w:r w:rsidRPr="00261B7A">
              <w:rPr>
                <w:rFonts w:cstheme="minorHAnsi"/>
                <w:color w:val="000000"/>
              </w:rPr>
              <w:t>1,341.1</w:t>
            </w:r>
          </w:p>
        </w:tc>
        <w:tc>
          <w:tcPr>
            <w:tcW w:w="1021" w:type="dxa"/>
            <w:shd w:val="clear" w:color="auto" w:fill="FFFFFF"/>
            <w:tcMar>
              <w:top w:w="0" w:type="dxa"/>
              <w:left w:w="85" w:type="dxa"/>
              <w:bottom w:w="0" w:type="dxa"/>
              <w:right w:w="85" w:type="dxa"/>
            </w:tcMar>
          </w:tcPr>
          <w:p w14:paraId="2E959953" w14:textId="77777777" w:rsidR="006611EE" w:rsidRPr="00261B7A" w:rsidRDefault="006611EE" w:rsidP="000F09B5">
            <w:pPr>
              <w:pStyle w:val="TableText"/>
              <w:spacing w:before="40" w:after="40"/>
              <w:jc w:val="right"/>
              <w:rPr>
                <w:rFonts w:cstheme="minorHAnsi"/>
              </w:rPr>
            </w:pPr>
            <w:r w:rsidRPr="00261B7A">
              <w:rPr>
                <w:rFonts w:cstheme="minorHAnsi"/>
                <w:color w:val="000000"/>
              </w:rPr>
              <w:t>1.3</w:t>
            </w:r>
          </w:p>
        </w:tc>
        <w:tc>
          <w:tcPr>
            <w:tcW w:w="567" w:type="dxa"/>
            <w:shd w:val="clear" w:color="auto" w:fill="FFFFFF"/>
            <w:tcMar>
              <w:top w:w="0" w:type="dxa"/>
              <w:left w:w="85" w:type="dxa"/>
              <w:bottom w:w="0" w:type="dxa"/>
              <w:right w:w="85" w:type="dxa"/>
            </w:tcMar>
          </w:tcPr>
          <w:p w14:paraId="3C27C61E" w14:textId="77777777" w:rsidR="006611EE" w:rsidRPr="00261B7A" w:rsidRDefault="006611EE" w:rsidP="000F09B5">
            <w:pPr>
              <w:pStyle w:val="TableText"/>
              <w:spacing w:before="40" w:after="40"/>
              <w:jc w:val="right"/>
              <w:rPr>
                <w:rFonts w:cstheme="minorHAnsi"/>
              </w:rPr>
            </w:pPr>
            <w:r w:rsidRPr="00261B7A">
              <w:rPr>
                <w:rFonts w:cstheme="minorHAnsi"/>
                <w:color w:val="000000"/>
              </w:rPr>
              <w:t>79.8</w:t>
            </w:r>
          </w:p>
        </w:tc>
      </w:tr>
      <w:tr w:rsidR="006611EE" w:rsidRPr="00261B7A" w14:paraId="17185AF2" w14:textId="77777777" w:rsidTr="000F09B5">
        <w:tc>
          <w:tcPr>
            <w:tcW w:w="907" w:type="dxa"/>
            <w:shd w:val="clear" w:color="auto" w:fill="FFFFFF"/>
            <w:tcMar>
              <w:top w:w="0" w:type="dxa"/>
              <w:left w:w="85" w:type="dxa"/>
              <w:bottom w:w="0" w:type="dxa"/>
              <w:right w:w="85" w:type="dxa"/>
            </w:tcMar>
          </w:tcPr>
          <w:p w14:paraId="52F4D49A" w14:textId="77777777" w:rsidR="006611EE" w:rsidRPr="00261B7A" w:rsidRDefault="006611EE" w:rsidP="000F09B5">
            <w:pPr>
              <w:pStyle w:val="TableText"/>
              <w:spacing w:before="40" w:after="40"/>
              <w:rPr>
                <w:rFonts w:cstheme="minorHAnsi"/>
              </w:rPr>
            </w:pPr>
            <w:r w:rsidRPr="00261B7A">
              <w:rPr>
                <w:rFonts w:cstheme="minorHAnsi"/>
                <w:color w:val="000000"/>
              </w:rPr>
              <w:t>1.A.4.b</w:t>
            </w:r>
          </w:p>
        </w:tc>
        <w:tc>
          <w:tcPr>
            <w:tcW w:w="2948" w:type="dxa"/>
            <w:shd w:val="clear" w:color="auto" w:fill="FFFFFF"/>
            <w:tcMar>
              <w:top w:w="0" w:type="dxa"/>
              <w:left w:w="85" w:type="dxa"/>
              <w:bottom w:w="0" w:type="dxa"/>
              <w:right w:w="85" w:type="dxa"/>
            </w:tcMar>
          </w:tcPr>
          <w:p w14:paraId="158D033F" w14:textId="77777777" w:rsidR="006611EE" w:rsidRPr="00261B7A" w:rsidRDefault="006611EE" w:rsidP="000F09B5">
            <w:pPr>
              <w:pStyle w:val="TableText"/>
              <w:spacing w:before="40" w:after="40"/>
              <w:rPr>
                <w:rFonts w:cstheme="minorHAnsi"/>
              </w:rPr>
            </w:pPr>
            <w:r w:rsidRPr="00261B7A">
              <w:rPr>
                <w:rFonts w:cstheme="minorHAnsi"/>
                <w:color w:val="000000"/>
              </w:rPr>
              <w:t>Other Sectors – Residential Liquid Fuels</w:t>
            </w:r>
          </w:p>
        </w:tc>
        <w:tc>
          <w:tcPr>
            <w:tcW w:w="397" w:type="dxa"/>
            <w:shd w:val="clear" w:color="auto" w:fill="FFFFFF"/>
            <w:tcMar>
              <w:top w:w="0" w:type="dxa"/>
              <w:left w:w="85" w:type="dxa"/>
              <w:bottom w:w="0" w:type="dxa"/>
              <w:right w:w="85" w:type="dxa"/>
            </w:tcMar>
          </w:tcPr>
          <w:p w14:paraId="5DC23F8F"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000D2938" w14:textId="77777777" w:rsidR="006611EE" w:rsidRPr="00261B7A" w:rsidRDefault="006611EE" w:rsidP="000F09B5">
            <w:pPr>
              <w:pStyle w:val="TableText"/>
              <w:spacing w:before="40" w:after="40"/>
              <w:jc w:val="right"/>
              <w:rPr>
                <w:rFonts w:cstheme="minorHAnsi"/>
              </w:rPr>
            </w:pPr>
            <w:r w:rsidRPr="00261B7A">
              <w:rPr>
                <w:rFonts w:cstheme="minorHAnsi"/>
                <w:color w:val="000000"/>
              </w:rPr>
              <w:t>1,332.4</w:t>
            </w:r>
          </w:p>
        </w:tc>
        <w:tc>
          <w:tcPr>
            <w:tcW w:w="1021" w:type="dxa"/>
            <w:shd w:val="clear" w:color="auto" w:fill="FFFFFF"/>
            <w:tcMar>
              <w:top w:w="0" w:type="dxa"/>
              <w:left w:w="85" w:type="dxa"/>
              <w:bottom w:w="0" w:type="dxa"/>
              <w:right w:w="85" w:type="dxa"/>
            </w:tcMar>
          </w:tcPr>
          <w:p w14:paraId="13F2FBC6" w14:textId="77777777" w:rsidR="006611EE" w:rsidRPr="00261B7A" w:rsidRDefault="006611EE" w:rsidP="000F09B5">
            <w:pPr>
              <w:pStyle w:val="TableText"/>
              <w:spacing w:before="40" w:after="40"/>
              <w:jc w:val="right"/>
              <w:rPr>
                <w:rFonts w:cstheme="minorHAnsi"/>
              </w:rPr>
            </w:pPr>
            <w:r w:rsidRPr="00261B7A">
              <w:rPr>
                <w:rFonts w:cstheme="minorHAnsi"/>
                <w:color w:val="000000"/>
              </w:rPr>
              <w:t>1.3</w:t>
            </w:r>
          </w:p>
        </w:tc>
        <w:tc>
          <w:tcPr>
            <w:tcW w:w="567" w:type="dxa"/>
            <w:shd w:val="clear" w:color="auto" w:fill="FFFFFF"/>
            <w:tcMar>
              <w:top w:w="0" w:type="dxa"/>
              <w:left w:w="85" w:type="dxa"/>
              <w:bottom w:w="0" w:type="dxa"/>
              <w:right w:w="85" w:type="dxa"/>
            </w:tcMar>
          </w:tcPr>
          <w:p w14:paraId="6BB197C5" w14:textId="77777777" w:rsidR="006611EE" w:rsidRPr="00261B7A" w:rsidRDefault="006611EE" w:rsidP="000F09B5">
            <w:pPr>
              <w:pStyle w:val="TableText"/>
              <w:spacing w:before="40" w:after="40"/>
              <w:jc w:val="right"/>
              <w:rPr>
                <w:rFonts w:cstheme="minorHAnsi"/>
              </w:rPr>
            </w:pPr>
            <w:r w:rsidRPr="00261B7A">
              <w:rPr>
                <w:rFonts w:cstheme="minorHAnsi"/>
                <w:color w:val="000000"/>
              </w:rPr>
              <w:t>81.0</w:t>
            </w:r>
          </w:p>
        </w:tc>
      </w:tr>
      <w:tr w:rsidR="006611EE" w:rsidRPr="00261B7A" w14:paraId="1FAE7411" w14:textId="77777777" w:rsidTr="000F09B5">
        <w:tc>
          <w:tcPr>
            <w:tcW w:w="907" w:type="dxa"/>
            <w:shd w:val="clear" w:color="auto" w:fill="FFFFFF"/>
            <w:tcMar>
              <w:top w:w="0" w:type="dxa"/>
              <w:left w:w="85" w:type="dxa"/>
              <w:bottom w:w="0" w:type="dxa"/>
              <w:right w:w="85" w:type="dxa"/>
            </w:tcMar>
          </w:tcPr>
          <w:p w14:paraId="1C65B96D" w14:textId="77777777" w:rsidR="006611EE" w:rsidRPr="00261B7A" w:rsidRDefault="006611EE" w:rsidP="000F09B5">
            <w:pPr>
              <w:pStyle w:val="TableText"/>
              <w:spacing w:before="40" w:after="40"/>
              <w:rPr>
                <w:rFonts w:cstheme="minorHAnsi"/>
              </w:rPr>
            </w:pPr>
            <w:r w:rsidRPr="00261B7A">
              <w:rPr>
                <w:rFonts w:cstheme="minorHAnsi"/>
                <w:color w:val="000000"/>
              </w:rPr>
              <w:t>1.A.2.c</w:t>
            </w:r>
          </w:p>
        </w:tc>
        <w:tc>
          <w:tcPr>
            <w:tcW w:w="2948" w:type="dxa"/>
            <w:shd w:val="clear" w:color="auto" w:fill="FFFFFF"/>
            <w:tcMar>
              <w:top w:w="0" w:type="dxa"/>
              <w:left w:w="85" w:type="dxa"/>
              <w:bottom w:w="0" w:type="dxa"/>
              <w:right w:w="85" w:type="dxa"/>
            </w:tcMar>
          </w:tcPr>
          <w:p w14:paraId="05875754" w14:textId="77777777" w:rsidR="006611EE" w:rsidRPr="00261B7A" w:rsidRDefault="006611EE" w:rsidP="000F09B5">
            <w:pPr>
              <w:pStyle w:val="TableText"/>
              <w:spacing w:before="40" w:after="40"/>
              <w:rPr>
                <w:rFonts w:cstheme="minorHAnsi"/>
              </w:rPr>
            </w:pPr>
            <w:r w:rsidRPr="00261B7A">
              <w:rPr>
                <w:rFonts w:cstheme="minorHAnsi"/>
                <w:color w:val="000000"/>
              </w:rPr>
              <w:t>Manufacturing Industries and Construction – Chemicals Gaseous Fuels</w:t>
            </w:r>
          </w:p>
        </w:tc>
        <w:tc>
          <w:tcPr>
            <w:tcW w:w="397" w:type="dxa"/>
            <w:shd w:val="clear" w:color="auto" w:fill="FFFFFF"/>
            <w:tcMar>
              <w:top w:w="0" w:type="dxa"/>
              <w:left w:w="85" w:type="dxa"/>
              <w:bottom w:w="0" w:type="dxa"/>
              <w:right w:w="85" w:type="dxa"/>
            </w:tcMar>
          </w:tcPr>
          <w:p w14:paraId="342DE4FE"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5FB6B5F2" w14:textId="77777777" w:rsidR="006611EE" w:rsidRPr="00261B7A" w:rsidRDefault="006611EE" w:rsidP="000F09B5">
            <w:pPr>
              <w:pStyle w:val="TableText"/>
              <w:spacing w:before="40" w:after="40"/>
              <w:jc w:val="right"/>
              <w:rPr>
                <w:rFonts w:cstheme="minorHAnsi"/>
              </w:rPr>
            </w:pPr>
            <w:r w:rsidRPr="00261B7A">
              <w:rPr>
                <w:rFonts w:cstheme="minorHAnsi"/>
                <w:color w:val="000000"/>
              </w:rPr>
              <w:t>1,267.1</w:t>
            </w:r>
          </w:p>
        </w:tc>
        <w:tc>
          <w:tcPr>
            <w:tcW w:w="1021" w:type="dxa"/>
            <w:shd w:val="clear" w:color="auto" w:fill="FFFFFF"/>
            <w:tcMar>
              <w:top w:w="0" w:type="dxa"/>
              <w:left w:w="85" w:type="dxa"/>
              <w:bottom w:w="0" w:type="dxa"/>
              <w:right w:w="85" w:type="dxa"/>
            </w:tcMar>
          </w:tcPr>
          <w:p w14:paraId="7F6EDE4D" w14:textId="77777777" w:rsidR="006611EE" w:rsidRPr="00261B7A" w:rsidRDefault="006611EE" w:rsidP="000F09B5">
            <w:pPr>
              <w:pStyle w:val="TableText"/>
              <w:spacing w:before="40" w:after="40"/>
              <w:jc w:val="right"/>
              <w:rPr>
                <w:rFonts w:cstheme="minorHAnsi"/>
              </w:rPr>
            </w:pPr>
            <w:r w:rsidRPr="00261B7A">
              <w:rPr>
                <w:rFonts w:cstheme="minorHAnsi"/>
                <w:color w:val="000000"/>
              </w:rPr>
              <w:t>1.2</w:t>
            </w:r>
          </w:p>
        </w:tc>
        <w:tc>
          <w:tcPr>
            <w:tcW w:w="567" w:type="dxa"/>
            <w:shd w:val="clear" w:color="auto" w:fill="FFFFFF"/>
            <w:tcMar>
              <w:top w:w="0" w:type="dxa"/>
              <w:left w:w="85" w:type="dxa"/>
              <w:bottom w:w="0" w:type="dxa"/>
              <w:right w:w="85" w:type="dxa"/>
            </w:tcMar>
          </w:tcPr>
          <w:p w14:paraId="5B53248F" w14:textId="77777777" w:rsidR="006611EE" w:rsidRPr="00261B7A" w:rsidRDefault="006611EE" w:rsidP="000F09B5">
            <w:pPr>
              <w:pStyle w:val="TableText"/>
              <w:spacing w:before="40" w:after="40"/>
              <w:jc w:val="right"/>
              <w:rPr>
                <w:rFonts w:cstheme="minorHAnsi"/>
              </w:rPr>
            </w:pPr>
            <w:r w:rsidRPr="00261B7A">
              <w:rPr>
                <w:rFonts w:cstheme="minorHAnsi"/>
                <w:color w:val="000000"/>
              </w:rPr>
              <w:t>82.2</w:t>
            </w:r>
          </w:p>
        </w:tc>
      </w:tr>
      <w:tr w:rsidR="006611EE" w:rsidRPr="00261B7A" w14:paraId="667ECE67" w14:textId="77777777" w:rsidTr="000F09B5">
        <w:tc>
          <w:tcPr>
            <w:tcW w:w="907" w:type="dxa"/>
            <w:shd w:val="clear" w:color="auto" w:fill="FFFFFF"/>
            <w:tcMar>
              <w:top w:w="0" w:type="dxa"/>
              <w:left w:w="85" w:type="dxa"/>
              <w:bottom w:w="0" w:type="dxa"/>
              <w:right w:w="85" w:type="dxa"/>
            </w:tcMar>
          </w:tcPr>
          <w:p w14:paraId="02A77C28" w14:textId="77777777" w:rsidR="006611EE" w:rsidRPr="00261B7A" w:rsidRDefault="006611EE" w:rsidP="000F09B5">
            <w:pPr>
              <w:pStyle w:val="TableText"/>
              <w:spacing w:before="40" w:after="40"/>
              <w:rPr>
                <w:rFonts w:cstheme="minorHAnsi"/>
              </w:rPr>
            </w:pPr>
            <w:r w:rsidRPr="00261B7A">
              <w:rPr>
                <w:rFonts w:cstheme="minorHAnsi"/>
                <w:color w:val="000000"/>
              </w:rPr>
              <w:t>1.A.4.c</w:t>
            </w:r>
          </w:p>
        </w:tc>
        <w:tc>
          <w:tcPr>
            <w:tcW w:w="2948" w:type="dxa"/>
            <w:shd w:val="clear" w:color="auto" w:fill="FFFFFF"/>
            <w:tcMar>
              <w:top w:w="0" w:type="dxa"/>
              <w:left w:w="85" w:type="dxa"/>
              <w:bottom w:w="0" w:type="dxa"/>
              <w:right w:w="85" w:type="dxa"/>
            </w:tcMar>
          </w:tcPr>
          <w:p w14:paraId="6E52C50C" w14:textId="77777777" w:rsidR="006611EE" w:rsidRPr="00261B7A" w:rsidRDefault="006611EE" w:rsidP="000F09B5">
            <w:pPr>
              <w:pStyle w:val="TableText"/>
              <w:spacing w:before="40" w:after="40"/>
              <w:rPr>
                <w:rFonts w:cstheme="minorHAnsi"/>
              </w:rPr>
            </w:pPr>
            <w:r w:rsidRPr="00261B7A">
              <w:rPr>
                <w:rFonts w:cstheme="minorHAnsi"/>
                <w:color w:val="000000"/>
              </w:rPr>
              <w:t>Other Sectors – Agriculture/Forestry/Fishing Liquid Fuels</w:t>
            </w:r>
          </w:p>
        </w:tc>
        <w:tc>
          <w:tcPr>
            <w:tcW w:w="397" w:type="dxa"/>
            <w:shd w:val="clear" w:color="auto" w:fill="FFFFFF"/>
            <w:tcMar>
              <w:top w:w="0" w:type="dxa"/>
              <w:left w:w="85" w:type="dxa"/>
              <w:bottom w:w="0" w:type="dxa"/>
              <w:right w:w="85" w:type="dxa"/>
            </w:tcMar>
          </w:tcPr>
          <w:p w14:paraId="785E583E"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566C2F3E" w14:textId="77777777" w:rsidR="006611EE" w:rsidRPr="00261B7A" w:rsidRDefault="006611EE" w:rsidP="000F09B5">
            <w:pPr>
              <w:pStyle w:val="TableText"/>
              <w:spacing w:before="40" w:after="40"/>
              <w:jc w:val="right"/>
              <w:rPr>
                <w:rFonts w:cstheme="minorHAnsi"/>
              </w:rPr>
            </w:pPr>
            <w:r w:rsidRPr="00261B7A">
              <w:rPr>
                <w:rFonts w:cstheme="minorHAnsi"/>
                <w:color w:val="000000"/>
              </w:rPr>
              <w:t>1,262.5</w:t>
            </w:r>
          </w:p>
        </w:tc>
        <w:tc>
          <w:tcPr>
            <w:tcW w:w="1021" w:type="dxa"/>
            <w:shd w:val="clear" w:color="auto" w:fill="FFFFFF"/>
            <w:tcMar>
              <w:top w:w="0" w:type="dxa"/>
              <w:left w:w="85" w:type="dxa"/>
              <w:bottom w:w="0" w:type="dxa"/>
              <w:right w:w="85" w:type="dxa"/>
            </w:tcMar>
          </w:tcPr>
          <w:p w14:paraId="0F5D4CF2" w14:textId="77777777" w:rsidR="006611EE" w:rsidRPr="00261B7A" w:rsidRDefault="006611EE" w:rsidP="000F09B5">
            <w:pPr>
              <w:pStyle w:val="TableText"/>
              <w:spacing w:before="40" w:after="40"/>
              <w:jc w:val="right"/>
              <w:rPr>
                <w:rFonts w:cstheme="minorHAnsi"/>
              </w:rPr>
            </w:pPr>
            <w:r w:rsidRPr="00261B7A">
              <w:rPr>
                <w:rFonts w:cstheme="minorHAnsi"/>
                <w:color w:val="000000"/>
              </w:rPr>
              <w:t>1.2</w:t>
            </w:r>
          </w:p>
        </w:tc>
        <w:tc>
          <w:tcPr>
            <w:tcW w:w="567" w:type="dxa"/>
            <w:shd w:val="clear" w:color="auto" w:fill="FFFFFF"/>
            <w:tcMar>
              <w:top w:w="0" w:type="dxa"/>
              <w:left w:w="85" w:type="dxa"/>
              <w:bottom w:w="0" w:type="dxa"/>
              <w:right w:w="85" w:type="dxa"/>
            </w:tcMar>
          </w:tcPr>
          <w:p w14:paraId="095D9737" w14:textId="77777777" w:rsidR="006611EE" w:rsidRPr="00261B7A" w:rsidRDefault="006611EE" w:rsidP="000F09B5">
            <w:pPr>
              <w:pStyle w:val="TableText"/>
              <w:spacing w:before="40" w:after="40"/>
              <w:jc w:val="right"/>
              <w:rPr>
                <w:rFonts w:cstheme="minorHAnsi"/>
              </w:rPr>
            </w:pPr>
            <w:r w:rsidRPr="00261B7A">
              <w:rPr>
                <w:rFonts w:cstheme="minorHAnsi"/>
                <w:color w:val="000000"/>
              </w:rPr>
              <w:t>83.4</w:t>
            </w:r>
          </w:p>
        </w:tc>
      </w:tr>
      <w:tr w:rsidR="006611EE" w:rsidRPr="00261B7A" w14:paraId="011F3E6A" w14:textId="77777777" w:rsidTr="000F09B5">
        <w:tc>
          <w:tcPr>
            <w:tcW w:w="907" w:type="dxa"/>
            <w:shd w:val="clear" w:color="auto" w:fill="FFFFFF"/>
            <w:tcMar>
              <w:top w:w="0" w:type="dxa"/>
              <w:left w:w="85" w:type="dxa"/>
              <w:bottom w:w="0" w:type="dxa"/>
              <w:right w:w="85" w:type="dxa"/>
            </w:tcMar>
          </w:tcPr>
          <w:p w14:paraId="29C132D1" w14:textId="77777777" w:rsidR="006611EE" w:rsidRPr="00261B7A" w:rsidRDefault="006611EE" w:rsidP="000F09B5">
            <w:pPr>
              <w:pStyle w:val="TableText"/>
              <w:spacing w:before="40" w:after="40"/>
              <w:rPr>
                <w:rFonts w:cstheme="minorHAnsi"/>
              </w:rPr>
            </w:pPr>
            <w:r w:rsidRPr="00261B7A">
              <w:rPr>
                <w:rFonts w:cstheme="minorHAnsi"/>
                <w:color w:val="000000"/>
              </w:rPr>
              <w:t>4.C.1</w:t>
            </w:r>
          </w:p>
        </w:tc>
        <w:tc>
          <w:tcPr>
            <w:tcW w:w="2948" w:type="dxa"/>
            <w:shd w:val="clear" w:color="auto" w:fill="FFFFFF"/>
            <w:tcMar>
              <w:top w:w="0" w:type="dxa"/>
              <w:left w:w="85" w:type="dxa"/>
              <w:bottom w:w="0" w:type="dxa"/>
              <w:right w:w="85" w:type="dxa"/>
            </w:tcMar>
          </w:tcPr>
          <w:p w14:paraId="73C736E4" w14:textId="77777777" w:rsidR="006611EE" w:rsidRPr="00261B7A" w:rsidRDefault="006611EE" w:rsidP="000F09B5">
            <w:pPr>
              <w:pStyle w:val="TableText"/>
              <w:spacing w:before="40" w:after="40"/>
              <w:rPr>
                <w:rFonts w:cstheme="minorHAnsi"/>
              </w:rPr>
            </w:pPr>
            <w:r w:rsidRPr="00261B7A">
              <w:rPr>
                <w:rFonts w:cstheme="minorHAnsi"/>
                <w:color w:val="000000"/>
              </w:rPr>
              <w:t>Grassland – Grassland Remaining Grassland</w:t>
            </w:r>
          </w:p>
        </w:tc>
        <w:tc>
          <w:tcPr>
            <w:tcW w:w="397" w:type="dxa"/>
            <w:shd w:val="clear" w:color="auto" w:fill="FFFFFF"/>
            <w:tcMar>
              <w:top w:w="0" w:type="dxa"/>
              <w:left w:w="85" w:type="dxa"/>
              <w:bottom w:w="0" w:type="dxa"/>
              <w:right w:w="85" w:type="dxa"/>
            </w:tcMar>
          </w:tcPr>
          <w:p w14:paraId="3C91C728"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3F922CF6" w14:textId="77777777" w:rsidR="006611EE" w:rsidRPr="00261B7A" w:rsidRDefault="006611EE" w:rsidP="000F09B5">
            <w:pPr>
              <w:pStyle w:val="TableText"/>
              <w:spacing w:before="40" w:after="40"/>
              <w:jc w:val="right"/>
              <w:rPr>
                <w:rFonts w:cstheme="minorHAnsi"/>
              </w:rPr>
            </w:pPr>
            <w:r w:rsidRPr="00261B7A">
              <w:rPr>
                <w:rFonts w:cstheme="minorHAnsi"/>
                <w:color w:val="000000"/>
              </w:rPr>
              <w:t>1,222.9</w:t>
            </w:r>
          </w:p>
        </w:tc>
        <w:tc>
          <w:tcPr>
            <w:tcW w:w="1021" w:type="dxa"/>
            <w:shd w:val="clear" w:color="auto" w:fill="FFFFFF"/>
            <w:tcMar>
              <w:top w:w="0" w:type="dxa"/>
              <w:left w:w="85" w:type="dxa"/>
              <w:bottom w:w="0" w:type="dxa"/>
              <w:right w:w="85" w:type="dxa"/>
            </w:tcMar>
          </w:tcPr>
          <w:p w14:paraId="65D3B4A1" w14:textId="77777777" w:rsidR="006611EE" w:rsidRPr="00261B7A" w:rsidRDefault="006611EE" w:rsidP="000F09B5">
            <w:pPr>
              <w:pStyle w:val="TableText"/>
              <w:spacing w:before="40" w:after="40"/>
              <w:jc w:val="right"/>
              <w:rPr>
                <w:rFonts w:cstheme="minorHAnsi"/>
              </w:rPr>
            </w:pPr>
            <w:r w:rsidRPr="00261B7A">
              <w:rPr>
                <w:rFonts w:cstheme="minorHAnsi"/>
                <w:color w:val="000000"/>
              </w:rPr>
              <w:t>1.2</w:t>
            </w:r>
          </w:p>
        </w:tc>
        <w:tc>
          <w:tcPr>
            <w:tcW w:w="567" w:type="dxa"/>
            <w:shd w:val="clear" w:color="auto" w:fill="FFFFFF"/>
            <w:tcMar>
              <w:top w:w="0" w:type="dxa"/>
              <w:left w:w="85" w:type="dxa"/>
              <w:bottom w:w="0" w:type="dxa"/>
              <w:right w:w="85" w:type="dxa"/>
            </w:tcMar>
          </w:tcPr>
          <w:p w14:paraId="05C56779" w14:textId="77777777" w:rsidR="006611EE" w:rsidRPr="00261B7A" w:rsidRDefault="006611EE" w:rsidP="000F09B5">
            <w:pPr>
              <w:pStyle w:val="TableText"/>
              <w:spacing w:before="40" w:after="40"/>
              <w:jc w:val="right"/>
              <w:rPr>
                <w:rFonts w:cstheme="minorHAnsi"/>
              </w:rPr>
            </w:pPr>
            <w:r w:rsidRPr="00261B7A">
              <w:rPr>
                <w:rFonts w:cstheme="minorHAnsi"/>
                <w:color w:val="000000"/>
              </w:rPr>
              <w:t>84.6</w:t>
            </w:r>
          </w:p>
        </w:tc>
      </w:tr>
      <w:tr w:rsidR="006611EE" w:rsidRPr="00261B7A" w14:paraId="6552C5D4" w14:textId="77777777" w:rsidTr="000F09B5">
        <w:tc>
          <w:tcPr>
            <w:tcW w:w="907" w:type="dxa"/>
            <w:shd w:val="clear" w:color="auto" w:fill="FFFFFF"/>
            <w:tcMar>
              <w:top w:w="0" w:type="dxa"/>
              <w:left w:w="85" w:type="dxa"/>
              <w:bottom w:w="0" w:type="dxa"/>
              <w:right w:w="85" w:type="dxa"/>
            </w:tcMar>
          </w:tcPr>
          <w:p w14:paraId="26AA177D" w14:textId="77777777" w:rsidR="006611EE" w:rsidRPr="00261B7A" w:rsidRDefault="006611EE" w:rsidP="000F09B5">
            <w:pPr>
              <w:pStyle w:val="TableText"/>
              <w:spacing w:before="40" w:after="40"/>
              <w:rPr>
                <w:rFonts w:cstheme="minorHAnsi"/>
              </w:rPr>
            </w:pPr>
            <w:r w:rsidRPr="00261B7A">
              <w:rPr>
                <w:rFonts w:cstheme="minorHAnsi"/>
                <w:color w:val="000000"/>
              </w:rPr>
              <w:t>1.A.2.e</w:t>
            </w:r>
          </w:p>
        </w:tc>
        <w:tc>
          <w:tcPr>
            <w:tcW w:w="2948" w:type="dxa"/>
            <w:shd w:val="clear" w:color="auto" w:fill="FFFFFF"/>
            <w:tcMar>
              <w:top w:w="0" w:type="dxa"/>
              <w:left w:w="85" w:type="dxa"/>
              <w:bottom w:w="0" w:type="dxa"/>
              <w:right w:w="85" w:type="dxa"/>
            </w:tcMar>
          </w:tcPr>
          <w:p w14:paraId="6653EBFA" w14:textId="77777777" w:rsidR="006611EE" w:rsidRPr="00261B7A" w:rsidRDefault="006611EE" w:rsidP="000F09B5">
            <w:pPr>
              <w:pStyle w:val="TableText"/>
              <w:spacing w:before="40" w:after="40"/>
              <w:rPr>
                <w:rFonts w:cstheme="minorHAnsi"/>
              </w:rPr>
            </w:pPr>
            <w:r w:rsidRPr="00261B7A">
              <w:rPr>
                <w:rFonts w:cstheme="minorHAnsi"/>
                <w:color w:val="000000"/>
              </w:rPr>
              <w:t>Manufacturing Industries and Construction – Food Processing, Beverages and Tobacco Gaseous Fuels</w:t>
            </w:r>
          </w:p>
        </w:tc>
        <w:tc>
          <w:tcPr>
            <w:tcW w:w="397" w:type="dxa"/>
            <w:shd w:val="clear" w:color="auto" w:fill="FFFFFF"/>
            <w:tcMar>
              <w:top w:w="0" w:type="dxa"/>
              <w:left w:w="85" w:type="dxa"/>
              <w:bottom w:w="0" w:type="dxa"/>
              <w:right w:w="85" w:type="dxa"/>
            </w:tcMar>
          </w:tcPr>
          <w:p w14:paraId="3C90CBCC"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19E7178B" w14:textId="77777777" w:rsidR="006611EE" w:rsidRPr="00261B7A" w:rsidRDefault="006611EE" w:rsidP="000F09B5">
            <w:pPr>
              <w:pStyle w:val="TableText"/>
              <w:spacing w:before="40" w:after="40"/>
              <w:jc w:val="right"/>
              <w:rPr>
                <w:rFonts w:cstheme="minorHAnsi"/>
              </w:rPr>
            </w:pPr>
            <w:r w:rsidRPr="00261B7A">
              <w:rPr>
                <w:rFonts w:cstheme="minorHAnsi"/>
                <w:color w:val="000000"/>
              </w:rPr>
              <w:t>1,053.3</w:t>
            </w:r>
          </w:p>
        </w:tc>
        <w:tc>
          <w:tcPr>
            <w:tcW w:w="1021" w:type="dxa"/>
            <w:shd w:val="clear" w:color="auto" w:fill="FFFFFF"/>
            <w:tcMar>
              <w:top w:w="0" w:type="dxa"/>
              <w:left w:w="85" w:type="dxa"/>
              <w:bottom w:w="0" w:type="dxa"/>
              <w:right w:w="85" w:type="dxa"/>
            </w:tcMar>
          </w:tcPr>
          <w:p w14:paraId="517EFF72" w14:textId="77777777" w:rsidR="006611EE" w:rsidRPr="00261B7A" w:rsidRDefault="006611EE" w:rsidP="000F09B5">
            <w:pPr>
              <w:pStyle w:val="TableText"/>
              <w:spacing w:before="40" w:after="40"/>
              <w:jc w:val="right"/>
              <w:rPr>
                <w:rFonts w:cstheme="minorHAnsi"/>
              </w:rPr>
            </w:pPr>
            <w:r w:rsidRPr="00261B7A">
              <w:rPr>
                <w:rFonts w:cstheme="minorHAnsi"/>
                <w:color w:val="000000"/>
              </w:rPr>
              <w:t>1.0</w:t>
            </w:r>
          </w:p>
        </w:tc>
        <w:tc>
          <w:tcPr>
            <w:tcW w:w="567" w:type="dxa"/>
            <w:shd w:val="clear" w:color="auto" w:fill="FFFFFF"/>
            <w:tcMar>
              <w:top w:w="0" w:type="dxa"/>
              <w:left w:w="85" w:type="dxa"/>
              <w:bottom w:w="0" w:type="dxa"/>
              <w:right w:w="85" w:type="dxa"/>
            </w:tcMar>
          </w:tcPr>
          <w:p w14:paraId="101A8AFD" w14:textId="77777777" w:rsidR="006611EE" w:rsidRPr="00261B7A" w:rsidRDefault="006611EE" w:rsidP="000F09B5">
            <w:pPr>
              <w:pStyle w:val="TableText"/>
              <w:spacing w:before="40" w:after="40"/>
              <w:jc w:val="right"/>
              <w:rPr>
                <w:rFonts w:cstheme="minorHAnsi"/>
              </w:rPr>
            </w:pPr>
            <w:r w:rsidRPr="00261B7A">
              <w:rPr>
                <w:rFonts w:cstheme="minorHAnsi"/>
                <w:color w:val="000000"/>
              </w:rPr>
              <w:t>85.6</w:t>
            </w:r>
          </w:p>
        </w:tc>
      </w:tr>
      <w:tr w:rsidR="006611EE" w:rsidRPr="00261B7A" w14:paraId="64D3EECD" w14:textId="77777777" w:rsidTr="000F09B5">
        <w:tc>
          <w:tcPr>
            <w:tcW w:w="907" w:type="dxa"/>
            <w:shd w:val="clear" w:color="auto" w:fill="FFFFFF"/>
            <w:tcMar>
              <w:top w:w="0" w:type="dxa"/>
              <w:left w:w="85" w:type="dxa"/>
              <w:bottom w:w="0" w:type="dxa"/>
              <w:right w:w="85" w:type="dxa"/>
            </w:tcMar>
          </w:tcPr>
          <w:p w14:paraId="337C3F84" w14:textId="77777777" w:rsidR="006611EE" w:rsidRPr="00261B7A" w:rsidRDefault="006611EE" w:rsidP="000F09B5">
            <w:pPr>
              <w:pStyle w:val="TableText"/>
              <w:spacing w:before="40" w:after="40"/>
              <w:rPr>
                <w:rFonts w:cstheme="minorHAnsi"/>
              </w:rPr>
            </w:pPr>
            <w:r w:rsidRPr="00261B7A">
              <w:rPr>
                <w:rFonts w:cstheme="minorHAnsi"/>
                <w:color w:val="000000"/>
              </w:rPr>
              <w:t>3.D.2.1</w:t>
            </w:r>
          </w:p>
        </w:tc>
        <w:tc>
          <w:tcPr>
            <w:tcW w:w="2948" w:type="dxa"/>
            <w:shd w:val="clear" w:color="auto" w:fill="FFFFFF"/>
            <w:tcMar>
              <w:top w:w="0" w:type="dxa"/>
              <w:left w:w="85" w:type="dxa"/>
              <w:bottom w:w="0" w:type="dxa"/>
              <w:right w:w="85" w:type="dxa"/>
            </w:tcMar>
          </w:tcPr>
          <w:p w14:paraId="409D7B34" w14:textId="77777777" w:rsidR="006611EE" w:rsidRPr="00261B7A" w:rsidRDefault="006611EE" w:rsidP="000F09B5">
            <w:pPr>
              <w:pStyle w:val="TableText"/>
              <w:spacing w:before="40" w:after="40"/>
              <w:rPr>
                <w:rFonts w:cstheme="minorHAnsi"/>
              </w:rPr>
            </w:pPr>
            <w:r w:rsidRPr="00261B7A">
              <w:rPr>
                <w:rFonts w:cstheme="minorHAnsi"/>
                <w:color w:val="000000"/>
              </w:rPr>
              <w:t>Indirect N</w:t>
            </w:r>
            <w:r w:rsidRPr="00261B7A">
              <w:rPr>
                <w:rFonts w:cstheme="minorHAnsi"/>
                <w:color w:val="000000"/>
                <w:vertAlign w:val="subscript"/>
              </w:rPr>
              <w:t>2</w:t>
            </w:r>
            <w:r w:rsidRPr="00261B7A">
              <w:rPr>
                <w:rFonts w:cstheme="minorHAnsi"/>
                <w:color w:val="000000"/>
              </w:rPr>
              <w:t>O Emissions From Managed Soils – Atmospheric Deposition</w:t>
            </w:r>
          </w:p>
        </w:tc>
        <w:tc>
          <w:tcPr>
            <w:tcW w:w="397" w:type="dxa"/>
            <w:shd w:val="clear" w:color="auto" w:fill="FFFFFF"/>
            <w:tcMar>
              <w:top w:w="0" w:type="dxa"/>
              <w:left w:w="85" w:type="dxa"/>
              <w:bottom w:w="0" w:type="dxa"/>
              <w:right w:w="85" w:type="dxa"/>
            </w:tcMar>
          </w:tcPr>
          <w:p w14:paraId="748C41F8" w14:textId="77777777" w:rsidR="006611EE" w:rsidRPr="00261B7A" w:rsidRDefault="006611EE" w:rsidP="000F09B5">
            <w:pPr>
              <w:pStyle w:val="TableText"/>
              <w:spacing w:before="40" w:after="40"/>
              <w:jc w:val="center"/>
              <w:rPr>
                <w:rFonts w:cstheme="minorHAnsi"/>
              </w:rPr>
            </w:pPr>
            <w:r w:rsidRPr="00261B7A">
              <w:rPr>
                <w:rFonts w:cstheme="minorHAnsi"/>
                <w:color w:val="000000"/>
              </w:rPr>
              <w:t>N</w:t>
            </w:r>
            <w:r w:rsidRPr="00261B7A">
              <w:rPr>
                <w:rFonts w:asciiTheme="minorHAnsi" w:hAnsiTheme="minorHAnsi" w:cstheme="minorHAnsi"/>
                <w:vertAlign w:val="subscript"/>
              </w:rPr>
              <w:t>2</w:t>
            </w:r>
            <w:r w:rsidRPr="00261B7A">
              <w:rPr>
                <w:rFonts w:asciiTheme="minorHAnsi" w:hAnsiTheme="minorHAnsi" w:cstheme="minorHAnsi"/>
              </w:rPr>
              <w:t>O</w:t>
            </w:r>
          </w:p>
        </w:tc>
        <w:tc>
          <w:tcPr>
            <w:tcW w:w="964" w:type="dxa"/>
            <w:shd w:val="clear" w:color="auto" w:fill="FFFFFF"/>
            <w:tcMar>
              <w:top w:w="0" w:type="dxa"/>
              <w:left w:w="85" w:type="dxa"/>
              <w:bottom w:w="0" w:type="dxa"/>
              <w:right w:w="85" w:type="dxa"/>
            </w:tcMar>
          </w:tcPr>
          <w:p w14:paraId="43CBBD41" w14:textId="77777777" w:rsidR="006611EE" w:rsidRPr="00261B7A" w:rsidRDefault="006611EE" w:rsidP="000F09B5">
            <w:pPr>
              <w:pStyle w:val="TableText"/>
              <w:spacing w:before="40" w:after="40"/>
              <w:jc w:val="right"/>
              <w:rPr>
                <w:rFonts w:cstheme="minorHAnsi"/>
              </w:rPr>
            </w:pPr>
            <w:r w:rsidRPr="00261B7A">
              <w:rPr>
                <w:rFonts w:cstheme="minorHAnsi"/>
                <w:color w:val="000000"/>
              </w:rPr>
              <w:t>854.7</w:t>
            </w:r>
          </w:p>
        </w:tc>
        <w:tc>
          <w:tcPr>
            <w:tcW w:w="1021" w:type="dxa"/>
            <w:shd w:val="clear" w:color="auto" w:fill="FFFFFF"/>
            <w:tcMar>
              <w:top w:w="0" w:type="dxa"/>
              <w:left w:w="85" w:type="dxa"/>
              <w:bottom w:w="0" w:type="dxa"/>
              <w:right w:w="85" w:type="dxa"/>
            </w:tcMar>
          </w:tcPr>
          <w:p w14:paraId="7A2851AF" w14:textId="77777777" w:rsidR="006611EE" w:rsidRPr="00261B7A" w:rsidRDefault="006611EE" w:rsidP="000F09B5">
            <w:pPr>
              <w:pStyle w:val="TableText"/>
              <w:spacing w:before="40" w:after="40"/>
              <w:jc w:val="right"/>
              <w:rPr>
                <w:rFonts w:cstheme="minorHAnsi"/>
              </w:rPr>
            </w:pPr>
            <w:r w:rsidRPr="00261B7A">
              <w:rPr>
                <w:rFonts w:cstheme="minorHAnsi"/>
                <w:color w:val="000000"/>
              </w:rPr>
              <w:t>0.8</w:t>
            </w:r>
          </w:p>
        </w:tc>
        <w:tc>
          <w:tcPr>
            <w:tcW w:w="567" w:type="dxa"/>
            <w:shd w:val="clear" w:color="auto" w:fill="FFFFFF"/>
            <w:tcMar>
              <w:top w:w="0" w:type="dxa"/>
              <w:left w:w="85" w:type="dxa"/>
              <w:bottom w:w="0" w:type="dxa"/>
              <w:right w:w="85" w:type="dxa"/>
            </w:tcMar>
          </w:tcPr>
          <w:p w14:paraId="77D29610" w14:textId="77777777" w:rsidR="006611EE" w:rsidRPr="00261B7A" w:rsidRDefault="006611EE" w:rsidP="000F09B5">
            <w:pPr>
              <w:pStyle w:val="TableText"/>
              <w:spacing w:before="40" w:after="40"/>
              <w:jc w:val="right"/>
              <w:rPr>
                <w:rFonts w:cstheme="minorHAnsi"/>
              </w:rPr>
            </w:pPr>
            <w:r w:rsidRPr="00261B7A">
              <w:rPr>
                <w:rFonts w:cstheme="minorHAnsi"/>
                <w:color w:val="000000"/>
              </w:rPr>
              <w:t>86.4</w:t>
            </w:r>
          </w:p>
        </w:tc>
      </w:tr>
      <w:tr w:rsidR="006611EE" w:rsidRPr="00261B7A" w14:paraId="5C9522D0" w14:textId="77777777" w:rsidTr="000F09B5">
        <w:tc>
          <w:tcPr>
            <w:tcW w:w="907" w:type="dxa"/>
            <w:shd w:val="clear" w:color="auto" w:fill="FFFFFF"/>
            <w:tcMar>
              <w:top w:w="0" w:type="dxa"/>
              <w:left w:w="85" w:type="dxa"/>
              <w:bottom w:w="0" w:type="dxa"/>
              <w:right w:w="85" w:type="dxa"/>
            </w:tcMar>
          </w:tcPr>
          <w:p w14:paraId="317D2C94" w14:textId="77777777" w:rsidR="006611EE" w:rsidRPr="00261B7A" w:rsidRDefault="006611EE" w:rsidP="000F09B5">
            <w:pPr>
              <w:pStyle w:val="TableText"/>
              <w:spacing w:before="40" w:after="40"/>
              <w:rPr>
                <w:rFonts w:cstheme="minorHAnsi"/>
              </w:rPr>
            </w:pPr>
            <w:r w:rsidRPr="00261B7A">
              <w:rPr>
                <w:rFonts w:cstheme="minorHAnsi"/>
                <w:color w:val="000000"/>
              </w:rPr>
              <w:t>1.A.3.a</w:t>
            </w:r>
          </w:p>
        </w:tc>
        <w:tc>
          <w:tcPr>
            <w:tcW w:w="2948" w:type="dxa"/>
            <w:shd w:val="clear" w:color="auto" w:fill="FFFFFF"/>
            <w:tcMar>
              <w:top w:w="0" w:type="dxa"/>
              <w:left w:w="85" w:type="dxa"/>
              <w:bottom w:w="0" w:type="dxa"/>
              <w:right w:w="85" w:type="dxa"/>
            </w:tcMar>
          </w:tcPr>
          <w:p w14:paraId="2A23F824" w14:textId="77777777" w:rsidR="006611EE" w:rsidRPr="00261B7A" w:rsidRDefault="006611EE" w:rsidP="000F09B5">
            <w:pPr>
              <w:pStyle w:val="TableText"/>
              <w:spacing w:before="40" w:after="40"/>
              <w:rPr>
                <w:rFonts w:cstheme="minorHAnsi"/>
              </w:rPr>
            </w:pPr>
            <w:r w:rsidRPr="00261B7A">
              <w:rPr>
                <w:rFonts w:cstheme="minorHAnsi"/>
                <w:color w:val="000000"/>
              </w:rPr>
              <w:t>Domestic Aviation – Jet Kerosene</w:t>
            </w:r>
          </w:p>
        </w:tc>
        <w:tc>
          <w:tcPr>
            <w:tcW w:w="397" w:type="dxa"/>
            <w:shd w:val="clear" w:color="auto" w:fill="FFFFFF"/>
            <w:tcMar>
              <w:top w:w="0" w:type="dxa"/>
              <w:left w:w="85" w:type="dxa"/>
              <w:bottom w:w="0" w:type="dxa"/>
              <w:right w:w="85" w:type="dxa"/>
            </w:tcMar>
          </w:tcPr>
          <w:p w14:paraId="40F356C4"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5254874D" w14:textId="77777777" w:rsidR="006611EE" w:rsidRPr="00261B7A" w:rsidRDefault="006611EE" w:rsidP="000F09B5">
            <w:pPr>
              <w:pStyle w:val="TableText"/>
              <w:spacing w:before="40" w:after="40"/>
              <w:jc w:val="right"/>
              <w:rPr>
                <w:rFonts w:cstheme="minorHAnsi"/>
              </w:rPr>
            </w:pPr>
            <w:r w:rsidRPr="00261B7A">
              <w:rPr>
                <w:rFonts w:cstheme="minorHAnsi"/>
                <w:color w:val="000000"/>
              </w:rPr>
              <w:t>797.2</w:t>
            </w:r>
          </w:p>
        </w:tc>
        <w:tc>
          <w:tcPr>
            <w:tcW w:w="1021" w:type="dxa"/>
            <w:shd w:val="clear" w:color="auto" w:fill="FFFFFF"/>
            <w:tcMar>
              <w:top w:w="0" w:type="dxa"/>
              <w:left w:w="85" w:type="dxa"/>
              <w:bottom w:w="0" w:type="dxa"/>
              <w:right w:w="85" w:type="dxa"/>
            </w:tcMar>
          </w:tcPr>
          <w:p w14:paraId="0FD7769C" w14:textId="77777777" w:rsidR="006611EE" w:rsidRPr="00261B7A" w:rsidRDefault="006611EE" w:rsidP="000F09B5">
            <w:pPr>
              <w:pStyle w:val="TableText"/>
              <w:spacing w:before="40" w:after="40"/>
              <w:jc w:val="right"/>
              <w:rPr>
                <w:rFonts w:cstheme="minorHAnsi"/>
              </w:rPr>
            </w:pPr>
            <w:r w:rsidRPr="00261B7A">
              <w:rPr>
                <w:rFonts w:cstheme="minorHAnsi"/>
                <w:color w:val="000000"/>
              </w:rPr>
              <w:t>0.8</w:t>
            </w:r>
          </w:p>
        </w:tc>
        <w:tc>
          <w:tcPr>
            <w:tcW w:w="567" w:type="dxa"/>
            <w:shd w:val="clear" w:color="auto" w:fill="FFFFFF"/>
            <w:tcMar>
              <w:top w:w="0" w:type="dxa"/>
              <w:left w:w="85" w:type="dxa"/>
              <w:bottom w:w="0" w:type="dxa"/>
              <w:right w:w="85" w:type="dxa"/>
            </w:tcMar>
          </w:tcPr>
          <w:p w14:paraId="57EDE5C9" w14:textId="77777777" w:rsidR="006611EE" w:rsidRPr="00261B7A" w:rsidRDefault="006611EE" w:rsidP="000F09B5">
            <w:pPr>
              <w:pStyle w:val="TableText"/>
              <w:spacing w:before="40" w:after="40"/>
              <w:jc w:val="right"/>
              <w:rPr>
                <w:rFonts w:cstheme="minorHAnsi"/>
              </w:rPr>
            </w:pPr>
            <w:r w:rsidRPr="00261B7A">
              <w:rPr>
                <w:rFonts w:cstheme="minorHAnsi"/>
                <w:color w:val="000000"/>
              </w:rPr>
              <w:t>87.2</w:t>
            </w:r>
          </w:p>
        </w:tc>
      </w:tr>
      <w:tr w:rsidR="006611EE" w:rsidRPr="00261B7A" w14:paraId="145601AF" w14:textId="77777777" w:rsidTr="000F09B5">
        <w:tc>
          <w:tcPr>
            <w:tcW w:w="907" w:type="dxa"/>
            <w:shd w:val="clear" w:color="auto" w:fill="FFFFFF"/>
            <w:tcMar>
              <w:top w:w="0" w:type="dxa"/>
              <w:left w:w="85" w:type="dxa"/>
              <w:bottom w:w="0" w:type="dxa"/>
              <w:right w:w="85" w:type="dxa"/>
            </w:tcMar>
          </w:tcPr>
          <w:p w14:paraId="60657AC0" w14:textId="77777777" w:rsidR="006611EE" w:rsidRPr="00261B7A" w:rsidRDefault="006611EE" w:rsidP="000F09B5">
            <w:pPr>
              <w:pStyle w:val="TableText"/>
              <w:spacing w:before="40" w:after="40"/>
              <w:rPr>
                <w:rFonts w:cstheme="minorHAnsi"/>
              </w:rPr>
            </w:pPr>
            <w:r w:rsidRPr="00261B7A">
              <w:rPr>
                <w:rFonts w:cstheme="minorHAnsi"/>
                <w:color w:val="000000"/>
              </w:rPr>
              <w:t>1.A.4.a</w:t>
            </w:r>
          </w:p>
        </w:tc>
        <w:tc>
          <w:tcPr>
            <w:tcW w:w="2948" w:type="dxa"/>
            <w:shd w:val="clear" w:color="auto" w:fill="FFFFFF"/>
            <w:tcMar>
              <w:top w:w="0" w:type="dxa"/>
              <w:left w:w="85" w:type="dxa"/>
              <w:bottom w:w="0" w:type="dxa"/>
              <w:right w:w="85" w:type="dxa"/>
            </w:tcMar>
          </w:tcPr>
          <w:p w14:paraId="3022F4E3" w14:textId="77777777" w:rsidR="006611EE" w:rsidRPr="00261B7A" w:rsidRDefault="006611EE" w:rsidP="000F09B5">
            <w:pPr>
              <w:pStyle w:val="TableText"/>
              <w:spacing w:before="40" w:after="40"/>
              <w:rPr>
                <w:rFonts w:cstheme="minorHAnsi"/>
              </w:rPr>
            </w:pPr>
            <w:r w:rsidRPr="00261B7A">
              <w:rPr>
                <w:rFonts w:cstheme="minorHAnsi"/>
                <w:color w:val="000000"/>
              </w:rPr>
              <w:t>Other Sectors – Commercial/Institutional Liquid Fuels</w:t>
            </w:r>
          </w:p>
        </w:tc>
        <w:tc>
          <w:tcPr>
            <w:tcW w:w="397" w:type="dxa"/>
            <w:shd w:val="clear" w:color="auto" w:fill="FFFFFF"/>
            <w:tcMar>
              <w:top w:w="0" w:type="dxa"/>
              <w:left w:w="85" w:type="dxa"/>
              <w:bottom w:w="0" w:type="dxa"/>
              <w:right w:w="85" w:type="dxa"/>
            </w:tcMar>
          </w:tcPr>
          <w:p w14:paraId="481979D6"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1463EAA0" w14:textId="77777777" w:rsidR="006611EE" w:rsidRPr="00261B7A" w:rsidRDefault="006611EE" w:rsidP="000F09B5">
            <w:pPr>
              <w:pStyle w:val="TableText"/>
              <w:spacing w:before="40" w:after="40"/>
              <w:jc w:val="right"/>
              <w:rPr>
                <w:rFonts w:cstheme="minorHAnsi"/>
              </w:rPr>
            </w:pPr>
            <w:r w:rsidRPr="00261B7A">
              <w:rPr>
                <w:rFonts w:cstheme="minorHAnsi"/>
                <w:color w:val="000000"/>
              </w:rPr>
              <w:t>726.4</w:t>
            </w:r>
          </w:p>
        </w:tc>
        <w:tc>
          <w:tcPr>
            <w:tcW w:w="1021" w:type="dxa"/>
            <w:shd w:val="clear" w:color="auto" w:fill="FFFFFF"/>
            <w:tcMar>
              <w:top w:w="0" w:type="dxa"/>
              <w:left w:w="85" w:type="dxa"/>
              <w:bottom w:w="0" w:type="dxa"/>
              <w:right w:w="85" w:type="dxa"/>
            </w:tcMar>
          </w:tcPr>
          <w:p w14:paraId="582CB478" w14:textId="77777777" w:rsidR="006611EE" w:rsidRPr="00261B7A" w:rsidRDefault="006611EE" w:rsidP="000F09B5">
            <w:pPr>
              <w:pStyle w:val="TableText"/>
              <w:spacing w:before="40" w:after="40"/>
              <w:jc w:val="right"/>
              <w:rPr>
                <w:rFonts w:cstheme="minorHAnsi"/>
              </w:rPr>
            </w:pPr>
            <w:r w:rsidRPr="00261B7A">
              <w:rPr>
                <w:rFonts w:cstheme="minorHAnsi"/>
                <w:color w:val="000000"/>
              </w:rPr>
              <w:t>0.7</w:t>
            </w:r>
          </w:p>
        </w:tc>
        <w:tc>
          <w:tcPr>
            <w:tcW w:w="567" w:type="dxa"/>
            <w:shd w:val="clear" w:color="auto" w:fill="FFFFFF"/>
            <w:tcMar>
              <w:top w:w="0" w:type="dxa"/>
              <w:left w:w="85" w:type="dxa"/>
              <w:bottom w:w="0" w:type="dxa"/>
              <w:right w:w="85" w:type="dxa"/>
            </w:tcMar>
          </w:tcPr>
          <w:p w14:paraId="46145036" w14:textId="77777777" w:rsidR="006611EE" w:rsidRPr="00261B7A" w:rsidRDefault="006611EE" w:rsidP="000F09B5">
            <w:pPr>
              <w:pStyle w:val="TableText"/>
              <w:spacing w:before="40" w:after="40"/>
              <w:jc w:val="right"/>
              <w:rPr>
                <w:rFonts w:cstheme="minorHAnsi"/>
              </w:rPr>
            </w:pPr>
            <w:r w:rsidRPr="00261B7A">
              <w:rPr>
                <w:rFonts w:cstheme="minorHAnsi"/>
                <w:color w:val="000000"/>
              </w:rPr>
              <w:t>87.9</w:t>
            </w:r>
          </w:p>
        </w:tc>
      </w:tr>
      <w:tr w:rsidR="006611EE" w:rsidRPr="00261B7A" w14:paraId="6B6CBDF9" w14:textId="77777777" w:rsidTr="000F09B5">
        <w:tc>
          <w:tcPr>
            <w:tcW w:w="907" w:type="dxa"/>
            <w:shd w:val="clear" w:color="auto" w:fill="FFFFFF"/>
            <w:tcMar>
              <w:top w:w="0" w:type="dxa"/>
              <w:left w:w="85" w:type="dxa"/>
              <w:bottom w:w="0" w:type="dxa"/>
              <w:right w:w="85" w:type="dxa"/>
            </w:tcMar>
          </w:tcPr>
          <w:p w14:paraId="428B56CA" w14:textId="77777777" w:rsidR="006611EE" w:rsidRPr="00261B7A" w:rsidRDefault="006611EE" w:rsidP="000F09B5">
            <w:pPr>
              <w:pStyle w:val="TableText"/>
              <w:spacing w:before="40" w:after="40"/>
              <w:rPr>
                <w:rFonts w:cstheme="minorHAnsi"/>
              </w:rPr>
            </w:pPr>
            <w:r w:rsidRPr="00261B7A">
              <w:rPr>
                <w:rFonts w:cstheme="minorHAnsi"/>
                <w:color w:val="000000"/>
              </w:rPr>
              <w:lastRenderedPageBreak/>
              <w:t>3.D.1.6</w:t>
            </w:r>
          </w:p>
        </w:tc>
        <w:tc>
          <w:tcPr>
            <w:tcW w:w="2948" w:type="dxa"/>
            <w:shd w:val="clear" w:color="auto" w:fill="FFFFFF"/>
            <w:tcMar>
              <w:top w:w="0" w:type="dxa"/>
              <w:left w:w="85" w:type="dxa"/>
              <w:bottom w:w="0" w:type="dxa"/>
              <w:right w:w="85" w:type="dxa"/>
            </w:tcMar>
          </w:tcPr>
          <w:p w14:paraId="768D5068" w14:textId="77777777" w:rsidR="006611EE" w:rsidRPr="00261B7A" w:rsidRDefault="006611EE" w:rsidP="000F09B5">
            <w:pPr>
              <w:pStyle w:val="TableText"/>
              <w:spacing w:before="40" w:after="40"/>
              <w:rPr>
                <w:rFonts w:cstheme="minorHAnsi"/>
              </w:rPr>
            </w:pPr>
            <w:r w:rsidRPr="00261B7A">
              <w:rPr>
                <w:rFonts w:cstheme="minorHAnsi"/>
                <w:color w:val="000000"/>
              </w:rPr>
              <w:t>Direct N</w:t>
            </w:r>
            <w:r w:rsidRPr="00261B7A">
              <w:rPr>
                <w:rFonts w:cstheme="minorHAnsi"/>
                <w:color w:val="000000"/>
                <w:vertAlign w:val="subscript"/>
              </w:rPr>
              <w:t>2</w:t>
            </w:r>
            <w:r w:rsidRPr="00261B7A">
              <w:rPr>
                <w:rFonts w:cstheme="minorHAnsi"/>
                <w:color w:val="000000"/>
              </w:rPr>
              <w:t>O Emissions From Managed Soils – Cultivation of Organic Soils</w:t>
            </w:r>
          </w:p>
        </w:tc>
        <w:tc>
          <w:tcPr>
            <w:tcW w:w="397" w:type="dxa"/>
            <w:shd w:val="clear" w:color="auto" w:fill="FFFFFF"/>
            <w:tcMar>
              <w:top w:w="0" w:type="dxa"/>
              <w:left w:w="85" w:type="dxa"/>
              <w:bottom w:w="0" w:type="dxa"/>
              <w:right w:w="85" w:type="dxa"/>
            </w:tcMar>
          </w:tcPr>
          <w:p w14:paraId="26529B7F" w14:textId="77777777" w:rsidR="006611EE" w:rsidRPr="00261B7A" w:rsidRDefault="006611EE" w:rsidP="000F09B5">
            <w:pPr>
              <w:pStyle w:val="TableText"/>
              <w:spacing w:before="40" w:after="40"/>
              <w:jc w:val="center"/>
              <w:rPr>
                <w:rFonts w:cstheme="minorHAnsi"/>
              </w:rPr>
            </w:pPr>
            <w:r w:rsidRPr="00261B7A">
              <w:rPr>
                <w:rFonts w:cstheme="minorHAnsi"/>
                <w:color w:val="000000"/>
              </w:rPr>
              <w:t>N</w:t>
            </w:r>
            <w:r w:rsidRPr="00261B7A">
              <w:rPr>
                <w:rFonts w:asciiTheme="minorHAnsi" w:hAnsiTheme="minorHAnsi" w:cstheme="minorHAnsi"/>
                <w:vertAlign w:val="subscript"/>
              </w:rPr>
              <w:t>2</w:t>
            </w:r>
            <w:r w:rsidRPr="00261B7A">
              <w:rPr>
                <w:rFonts w:asciiTheme="minorHAnsi" w:hAnsiTheme="minorHAnsi" w:cstheme="minorHAnsi"/>
              </w:rPr>
              <w:t>O</w:t>
            </w:r>
          </w:p>
        </w:tc>
        <w:tc>
          <w:tcPr>
            <w:tcW w:w="964" w:type="dxa"/>
            <w:shd w:val="clear" w:color="auto" w:fill="FFFFFF"/>
            <w:tcMar>
              <w:top w:w="0" w:type="dxa"/>
              <w:left w:w="85" w:type="dxa"/>
              <w:bottom w:w="0" w:type="dxa"/>
              <w:right w:w="85" w:type="dxa"/>
            </w:tcMar>
          </w:tcPr>
          <w:p w14:paraId="4A241866" w14:textId="77777777" w:rsidR="006611EE" w:rsidRPr="00261B7A" w:rsidRDefault="006611EE" w:rsidP="000F09B5">
            <w:pPr>
              <w:pStyle w:val="TableText"/>
              <w:spacing w:before="40" w:after="40"/>
              <w:jc w:val="right"/>
              <w:rPr>
                <w:rFonts w:cstheme="minorHAnsi"/>
              </w:rPr>
            </w:pPr>
            <w:r w:rsidRPr="00261B7A">
              <w:rPr>
                <w:rFonts w:cstheme="minorHAnsi"/>
                <w:color w:val="000000"/>
              </w:rPr>
              <w:t>667.4</w:t>
            </w:r>
          </w:p>
        </w:tc>
        <w:tc>
          <w:tcPr>
            <w:tcW w:w="1021" w:type="dxa"/>
            <w:shd w:val="clear" w:color="auto" w:fill="FFFFFF"/>
            <w:tcMar>
              <w:top w:w="0" w:type="dxa"/>
              <w:left w:w="85" w:type="dxa"/>
              <w:bottom w:w="0" w:type="dxa"/>
              <w:right w:w="85" w:type="dxa"/>
            </w:tcMar>
          </w:tcPr>
          <w:p w14:paraId="65C8E2E9" w14:textId="77777777" w:rsidR="006611EE" w:rsidRPr="00261B7A" w:rsidRDefault="006611EE" w:rsidP="000F09B5">
            <w:pPr>
              <w:pStyle w:val="TableText"/>
              <w:spacing w:before="40" w:after="40"/>
              <w:jc w:val="right"/>
              <w:rPr>
                <w:rFonts w:cstheme="minorHAnsi"/>
              </w:rPr>
            </w:pPr>
            <w:r w:rsidRPr="00261B7A">
              <w:rPr>
                <w:rFonts w:cstheme="minorHAnsi"/>
                <w:color w:val="000000"/>
              </w:rPr>
              <w:t>0.6</w:t>
            </w:r>
          </w:p>
        </w:tc>
        <w:tc>
          <w:tcPr>
            <w:tcW w:w="567" w:type="dxa"/>
            <w:shd w:val="clear" w:color="auto" w:fill="FFFFFF"/>
            <w:tcMar>
              <w:top w:w="0" w:type="dxa"/>
              <w:left w:w="85" w:type="dxa"/>
              <w:bottom w:w="0" w:type="dxa"/>
              <w:right w:w="85" w:type="dxa"/>
            </w:tcMar>
          </w:tcPr>
          <w:p w14:paraId="66B5E706" w14:textId="77777777" w:rsidR="006611EE" w:rsidRPr="00261B7A" w:rsidRDefault="006611EE" w:rsidP="000F09B5">
            <w:pPr>
              <w:pStyle w:val="TableText"/>
              <w:spacing w:before="40" w:after="40"/>
              <w:jc w:val="right"/>
              <w:rPr>
                <w:rFonts w:cstheme="minorHAnsi"/>
              </w:rPr>
            </w:pPr>
            <w:r w:rsidRPr="00261B7A">
              <w:rPr>
                <w:rFonts w:cstheme="minorHAnsi"/>
                <w:color w:val="000000"/>
              </w:rPr>
              <w:t>88.5</w:t>
            </w:r>
          </w:p>
        </w:tc>
      </w:tr>
      <w:tr w:rsidR="006611EE" w:rsidRPr="00261B7A" w14:paraId="7904E844" w14:textId="77777777" w:rsidTr="000F09B5">
        <w:tc>
          <w:tcPr>
            <w:tcW w:w="907" w:type="dxa"/>
            <w:shd w:val="clear" w:color="auto" w:fill="FFFFFF"/>
            <w:tcMar>
              <w:top w:w="0" w:type="dxa"/>
              <w:left w:w="85" w:type="dxa"/>
              <w:bottom w:w="0" w:type="dxa"/>
              <w:right w:w="85" w:type="dxa"/>
            </w:tcMar>
          </w:tcPr>
          <w:p w14:paraId="45C0EFC5" w14:textId="77777777" w:rsidR="006611EE" w:rsidRPr="00261B7A" w:rsidRDefault="006611EE" w:rsidP="000F09B5">
            <w:pPr>
              <w:pStyle w:val="TableText"/>
              <w:spacing w:before="40" w:after="40"/>
              <w:rPr>
                <w:rFonts w:cstheme="minorHAnsi"/>
              </w:rPr>
            </w:pPr>
            <w:r w:rsidRPr="00261B7A">
              <w:rPr>
                <w:rFonts w:cstheme="minorHAnsi"/>
                <w:color w:val="000000"/>
              </w:rPr>
              <w:t>1.A.1.b</w:t>
            </w:r>
          </w:p>
        </w:tc>
        <w:tc>
          <w:tcPr>
            <w:tcW w:w="2948" w:type="dxa"/>
            <w:shd w:val="clear" w:color="auto" w:fill="FFFFFF"/>
            <w:tcMar>
              <w:top w:w="0" w:type="dxa"/>
              <w:left w:w="85" w:type="dxa"/>
              <w:bottom w:w="0" w:type="dxa"/>
              <w:right w:w="85" w:type="dxa"/>
            </w:tcMar>
          </w:tcPr>
          <w:p w14:paraId="15BB2B37" w14:textId="77777777" w:rsidR="006611EE" w:rsidRPr="00261B7A" w:rsidRDefault="006611EE" w:rsidP="000F09B5">
            <w:pPr>
              <w:pStyle w:val="TableText"/>
              <w:spacing w:before="40" w:after="40"/>
              <w:rPr>
                <w:rFonts w:cstheme="minorHAnsi"/>
              </w:rPr>
            </w:pPr>
            <w:r w:rsidRPr="00261B7A">
              <w:rPr>
                <w:rFonts w:cstheme="minorHAnsi"/>
                <w:color w:val="000000"/>
              </w:rPr>
              <w:t>Energy Industries – Petroleum Refining Liquid Fuels</w:t>
            </w:r>
          </w:p>
        </w:tc>
        <w:tc>
          <w:tcPr>
            <w:tcW w:w="397" w:type="dxa"/>
            <w:shd w:val="clear" w:color="auto" w:fill="FFFFFF"/>
            <w:tcMar>
              <w:top w:w="0" w:type="dxa"/>
              <w:left w:w="85" w:type="dxa"/>
              <w:bottom w:w="0" w:type="dxa"/>
              <w:right w:w="85" w:type="dxa"/>
            </w:tcMar>
          </w:tcPr>
          <w:p w14:paraId="48759DDE"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63363306" w14:textId="77777777" w:rsidR="006611EE" w:rsidRPr="00261B7A" w:rsidRDefault="006611EE" w:rsidP="000F09B5">
            <w:pPr>
              <w:pStyle w:val="TableText"/>
              <w:spacing w:before="40" w:after="40"/>
              <w:jc w:val="right"/>
              <w:rPr>
                <w:rFonts w:cstheme="minorHAnsi"/>
              </w:rPr>
            </w:pPr>
            <w:r w:rsidRPr="00261B7A">
              <w:rPr>
                <w:rFonts w:cstheme="minorHAnsi"/>
                <w:color w:val="000000"/>
              </w:rPr>
              <w:t>617.3</w:t>
            </w:r>
          </w:p>
        </w:tc>
        <w:tc>
          <w:tcPr>
            <w:tcW w:w="1021" w:type="dxa"/>
            <w:shd w:val="clear" w:color="auto" w:fill="FFFFFF"/>
            <w:tcMar>
              <w:top w:w="0" w:type="dxa"/>
              <w:left w:w="85" w:type="dxa"/>
              <w:bottom w:w="0" w:type="dxa"/>
              <w:right w:w="85" w:type="dxa"/>
            </w:tcMar>
          </w:tcPr>
          <w:p w14:paraId="3150642B" w14:textId="77777777" w:rsidR="006611EE" w:rsidRPr="00261B7A" w:rsidRDefault="006611EE" w:rsidP="000F09B5">
            <w:pPr>
              <w:pStyle w:val="TableText"/>
              <w:spacing w:before="40" w:after="40"/>
              <w:jc w:val="right"/>
              <w:rPr>
                <w:rFonts w:cstheme="minorHAnsi"/>
              </w:rPr>
            </w:pPr>
            <w:r w:rsidRPr="00261B7A">
              <w:rPr>
                <w:rFonts w:cstheme="minorHAnsi"/>
                <w:color w:val="000000"/>
              </w:rPr>
              <w:t>0.6</w:t>
            </w:r>
          </w:p>
        </w:tc>
        <w:tc>
          <w:tcPr>
            <w:tcW w:w="567" w:type="dxa"/>
            <w:shd w:val="clear" w:color="auto" w:fill="FFFFFF"/>
            <w:tcMar>
              <w:top w:w="0" w:type="dxa"/>
              <w:left w:w="85" w:type="dxa"/>
              <w:bottom w:w="0" w:type="dxa"/>
              <w:right w:w="85" w:type="dxa"/>
            </w:tcMar>
          </w:tcPr>
          <w:p w14:paraId="741F8A2D" w14:textId="77777777" w:rsidR="006611EE" w:rsidRPr="00261B7A" w:rsidRDefault="006611EE" w:rsidP="000F09B5">
            <w:pPr>
              <w:pStyle w:val="TableText"/>
              <w:spacing w:before="40" w:after="40"/>
              <w:jc w:val="right"/>
              <w:rPr>
                <w:rFonts w:cstheme="minorHAnsi"/>
              </w:rPr>
            </w:pPr>
            <w:r w:rsidRPr="00261B7A">
              <w:rPr>
                <w:rFonts w:cstheme="minorHAnsi"/>
                <w:color w:val="000000"/>
              </w:rPr>
              <w:t>89.1</w:t>
            </w:r>
          </w:p>
        </w:tc>
      </w:tr>
      <w:tr w:rsidR="006611EE" w:rsidRPr="00261B7A" w14:paraId="16007245" w14:textId="77777777" w:rsidTr="000F09B5">
        <w:tc>
          <w:tcPr>
            <w:tcW w:w="907" w:type="dxa"/>
            <w:shd w:val="clear" w:color="auto" w:fill="FFFFFF"/>
            <w:tcMar>
              <w:top w:w="0" w:type="dxa"/>
              <w:left w:w="85" w:type="dxa"/>
              <w:bottom w:w="0" w:type="dxa"/>
              <w:right w:w="85" w:type="dxa"/>
            </w:tcMar>
          </w:tcPr>
          <w:p w14:paraId="4C4F65B9" w14:textId="77777777" w:rsidR="006611EE" w:rsidRPr="00261B7A" w:rsidRDefault="006611EE" w:rsidP="000F09B5">
            <w:pPr>
              <w:pStyle w:val="TableText"/>
              <w:spacing w:before="40" w:after="40"/>
              <w:rPr>
                <w:rFonts w:cstheme="minorHAnsi"/>
              </w:rPr>
            </w:pPr>
            <w:r w:rsidRPr="00261B7A">
              <w:rPr>
                <w:rFonts w:cstheme="minorHAnsi"/>
                <w:color w:val="000000"/>
              </w:rPr>
              <w:t>3.D.2.2</w:t>
            </w:r>
          </w:p>
        </w:tc>
        <w:tc>
          <w:tcPr>
            <w:tcW w:w="2948" w:type="dxa"/>
            <w:shd w:val="clear" w:color="auto" w:fill="FFFFFF"/>
            <w:tcMar>
              <w:top w:w="0" w:type="dxa"/>
              <w:left w:w="85" w:type="dxa"/>
              <w:bottom w:w="0" w:type="dxa"/>
              <w:right w:w="85" w:type="dxa"/>
            </w:tcMar>
          </w:tcPr>
          <w:p w14:paraId="1CFE4F23" w14:textId="77777777" w:rsidR="006611EE" w:rsidRPr="00261B7A" w:rsidRDefault="006611EE" w:rsidP="000F09B5">
            <w:pPr>
              <w:pStyle w:val="TableText"/>
              <w:spacing w:before="40" w:after="40"/>
              <w:rPr>
                <w:rFonts w:cstheme="minorHAnsi"/>
              </w:rPr>
            </w:pPr>
            <w:r w:rsidRPr="00261B7A">
              <w:rPr>
                <w:rFonts w:cstheme="minorHAnsi"/>
                <w:color w:val="000000"/>
              </w:rPr>
              <w:t>Indirect N</w:t>
            </w:r>
            <w:r w:rsidRPr="00261B7A">
              <w:rPr>
                <w:rFonts w:cstheme="minorHAnsi"/>
                <w:color w:val="000000"/>
                <w:vertAlign w:val="subscript"/>
              </w:rPr>
              <w:t>2</w:t>
            </w:r>
            <w:r w:rsidRPr="00261B7A">
              <w:rPr>
                <w:rFonts w:cstheme="minorHAnsi"/>
                <w:color w:val="000000"/>
              </w:rPr>
              <w:t>O Emissions From Managed Soils – Nitrogen Leaching and Run-off</w:t>
            </w:r>
          </w:p>
        </w:tc>
        <w:tc>
          <w:tcPr>
            <w:tcW w:w="397" w:type="dxa"/>
            <w:shd w:val="clear" w:color="auto" w:fill="FFFFFF"/>
            <w:tcMar>
              <w:top w:w="0" w:type="dxa"/>
              <w:left w:w="85" w:type="dxa"/>
              <w:bottom w:w="0" w:type="dxa"/>
              <w:right w:w="85" w:type="dxa"/>
            </w:tcMar>
          </w:tcPr>
          <w:p w14:paraId="632EBEE4" w14:textId="77777777" w:rsidR="006611EE" w:rsidRPr="00261B7A" w:rsidRDefault="006611EE" w:rsidP="000F09B5">
            <w:pPr>
              <w:pStyle w:val="TableText"/>
              <w:spacing w:before="40" w:after="40"/>
              <w:jc w:val="center"/>
              <w:rPr>
                <w:rFonts w:cstheme="minorHAnsi"/>
              </w:rPr>
            </w:pPr>
            <w:r w:rsidRPr="00261B7A">
              <w:rPr>
                <w:rFonts w:cstheme="minorHAnsi"/>
                <w:color w:val="000000"/>
              </w:rPr>
              <w:t>N</w:t>
            </w:r>
            <w:r w:rsidRPr="00261B7A">
              <w:rPr>
                <w:rFonts w:asciiTheme="minorHAnsi" w:hAnsiTheme="minorHAnsi" w:cstheme="minorHAnsi"/>
                <w:vertAlign w:val="subscript"/>
              </w:rPr>
              <w:t>2</w:t>
            </w:r>
            <w:r w:rsidRPr="00261B7A">
              <w:rPr>
                <w:rFonts w:asciiTheme="minorHAnsi" w:hAnsiTheme="minorHAnsi" w:cstheme="minorHAnsi"/>
              </w:rPr>
              <w:t>O</w:t>
            </w:r>
          </w:p>
        </w:tc>
        <w:tc>
          <w:tcPr>
            <w:tcW w:w="964" w:type="dxa"/>
            <w:shd w:val="clear" w:color="auto" w:fill="FFFFFF"/>
            <w:tcMar>
              <w:top w:w="0" w:type="dxa"/>
              <w:left w:w="85" w:type="dxa"/>
              <w:bottom w:w="0" w:type="dxa"/>
              <w:right w:w="85" w:type="dxa"/>
            </w:tcMar>
          </w:tcPr>
          <w:p w14:paraId="135E0E1E" w14:textId="77777777" w:rsidR="006611EE" w:rsidRPr="00261B7A" w:rsidRDefault="006611EE" w:rsidP="000F09B5">
            <w:pPr>
              <w:pStyle w:val="TableText"/>
              <w:spacing w:before="40" w:after="40"/>
              <w:jc w:val="right"/>
              <w:rPr>
                <w:rFonts w:cstheme="minorHAnsi"/>
              </w:rPr>
            </w:pPr>
            <w:r w:rsidRPr="00261B7A">
              <w:rPr>
                <w:rFonts w:cstheme="minorHAnsi"/>
                <w:color w:val="000000"/>
              </w:rPr>
              <w:t>554.5</w:t>
            </w:r>
          </w:p>
        </w:tc>
        <w:tc>
          <w:tcPr>
            <w:tcW w:w="1021" w:type="dxa"/>
            <w:shd w:val="clear" w:color="auto" w:fill="FFFFFF"/>
            <w:tcMar>
              <w:top w:w="0" w:type="dxa"/>
              <w:left w:w="85" w:type="dxa"/>
              <w:bottom w:w="0" w:type="dxa"/>
              <w:right w:w="85" w:type="dxa"/>
            </w:tcMar>
          </w:tcPr>
          <w:p w14:paraId="1A504DD9" w14:textId="77777777" w:rsidR="006611EE" w:rsidRPr="00261B7A" w:rsidRDefault="006611EE" w:rsidP="000F09B5">
            <w:pPr>
              <w:pStyle w:val="TableText"/>
              <w:spacing w:before="40" w:after="40"/>
              <w:jc w:val="right"/>
              <w:rPr>
                <w:rFonts w:cstheme="minorHAnsi"/>
              </w:rPr>
            </w:pPr>
            <w:r w:rsidRPr="00261B7A">
              <w:rPr>
                <w:rFonts w:cstheme="minorHAnsi"/>
                <w:color w:val="000000"/>
              </w:rPr>
              <w:t>0.5</w:t>
            </w:r>
          </w:p>
        </w:tc>
        <w:tc>
          <w:tcPr>
            <w:tcW w:w="567" w:type="dxa"/>
            <w:shd w:val="clear" w:color="auto" w:fill="FFFFFF"/>
            <w:tcMar>
              <w:top w:w="0" w:type="dxa"/>
              <w:left w:w="85" w:type="dxa"/>
              <w:bottom w:w="0" w:type="dxa"/>
              <w:right w:w="85" w:type="dxa"/>
            </w:tcMar>
          </w:tcPr>
          <w:p w14:paraId="15C7331C" w14:textId="77777777" w:rsidR="006611EE" w:rsidRPr="00261B7A" w:rsidRDefault="006611EE" w:rsidP="000F09B5">
            <w:pPr>
              <w:pStyle w:val="TableText"/>
              <w:spacing w:before="40" w:after="40"/>
              <w:jc w:val="right"/>
              <w:rPr>
                <w:rFonts w:cstheme="minorHAnsi"/>
              </w:rPr>
            </w:pPr>
            <w:r w:rsidRPr="00261B7A">
              <w:rPr>
                <w:rFonts w:cstheme="minorHAnsi"/>
                <w:color w:val="000000"/>
              </w:rPr>
              <w:t>89.6</w:t>
            </w:r>
          </w:p>
        </w:tc>
      </w:tr>
      <w:tr w:rsidR="006611EE" w:rsidRPr="00261B7A" w14:paraId="3017FA42" w14:textId="77777777" w:rsidTr="000F09B5">
        <w:tc>
          <w:tcPr>
            <w:tcW w:w="907" w:type="dxa"/>
            <w:shd w:val="clear" w:color="auto" w:fill="FFFFFF"/>
            <w:tcMar>
              <w:top w:w="0" w:type="dxa"/>
              <w:left w:w="85" w:type="dxa"/>
              <w:bottom w:w="0" w:type="dxa"/>
              <w:right w:w="85" w:type="dxa"/>
            </w:tcMar>
          </w:tcPr>
          <w:p w14:paraId="2A2C8447" w14:textId="77777777" w:rsidR="006611EE" w:rsidRPr="00261B7A" w:rsidRDefault="006611EE" w:rsidP="000F09B5">
            <w:pPr>
              <w:pStyle w:val="TableText"/>
              <w:spacing w:before="40" w:after="40"/>
              <w:rPr>
                <w:rFonts w:cstheme="minorHAnsi"/>
              </w:rPr>
            </w:pPr>
            <w:r w:rsidRPr="00261B7A">
              <w:rPr>
                <w:rFonts w:cstheme="minorHAnsi"/>
                <w:color w:val="000000"/>
              </w:rPr>
              <w:t>3.H</w:t>
            </w:r>
          </w:p>
        </w:tc>
        <w:tc>
          <w:tcPr>
            <w:tcW w:w="2948" w:type="dxa"/>
            <w:shd w:val="clear" w:color="auto" w:fill="FFFFFF"/>
            <w:tcMar>
              <w:top w:w="0" w:type="dxa"/>
              <w:left w:w="85" w:type="dxa"/>
              <w:bottom w:w="0" w:type="dxa"/>
              <w:right w:w="85" w:type="dxa"/>
            </w:tcMar>
          </w:tcPr>
          <w:p w14:paraId="08DB6F03" w14:textId="77777777" w:rsidR="006611EE" w:rsidRPr="00261B7A" w:rsidRDefault="006611EE" w:rsidP="000F09B5">
            <w:pPr>
              <w:pStyle w:val="TableText"/>
              <w:spacing w:before="40" w:after="40"/>
              <w:rPr>
                <w:rFonts w:cstheme="minorHAnsi"/>
              </w:rPr>
            </w:pPr>
            <w:r w:rsidRPr="00261B7A">
              <w:rPr>
                <w:rFonts w:cstheme="minorHAnsi"/>
                <w:color w:val="000000"/>
              </w:rPr>
              <w:t>Agriculture – Urea Application</w:t>
            </w:r>
          </w:p>
        </w:tc>
        <w:tc>
          <w:tcPr>
            <w:tcW w:w="397" w:type="dxa"/>
            <w:shd w:val="clear" w:color="auto" w:fill="FFFFFF"/>
            <w:tcMar>
              <w:top w:w="0" w:type="dxa"/>
              <w:left w:w="85" w:type="dxa"/>
              <w:bottom w:w="0" w:type="dxa"/>
              <w:right w:w="85" w:type="dxa"/>
            </w:tcMar>
          </w:tcPr>
          <w:p w14:paraId="653E8A0C"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2B42E4E6" w14:textId="77777777" w:rsidR="006611EE" w:rsidRPr="00261B7A" w:rsidRDefault="006611EE" w:rsidP="000F09B5">
            <w:pPr>
              <w:pStyle w:val="TableText"/>
              <w:spacing w:before="40" w:after="40"/>
              <w:jc w:val="right"/>
              <w:rPr>
                <w:rFonts w:cstheme="minorHAnsi"/>
              </w:rPr>
            </w:pPr>
            <w:r w:rsidRPr="00261B7A">
              <w:rPr>
                <w:rFonts w:cstheme="minorHAnsi"/>
                <w:color w:val="000000"/>
              </w:rPr>
              <w:t>553.2</w:t>
            </w:r>
          </w:p>
        </w:tc>
        <w:tc>
          <w:tcPr>
            <w:tcW w:w="1021" w:type="dxa"/>
            <w:shd w:val="clear" w:color="auto" w:fill="FFFFFF"/>
            <w:tcMar>
              <w:top w:w="0" w:type="dxa"/>
              <w:left w:w="85" w:type="dxa"/>
              <w:bottom w:w="0" w:type="dxa"/>
              <w:right w:w="85" w:type="dxa"/>
            </w:tcMar>
          </w:tcPr>
          <w:p w14:paraId="40540CAB" w14:textId="77777777" w:rsidR="006611EE" w:rsidRPr="00261B7A" w:rsidRDefault="006611EE" w:rsidP="000F09B5">
            <w:pPr>
              <w:pStyle w:val="TableText"/>
              <w:spacing w:before="40" w:after="40"/>
              <w:jc w:val="right"/>
              <w:rPr>
                <w:rFonts w:cstheme="minorHAnsi"/>
              </w:rPr>
            </w:pPr>
            <w:r w:rsidRPr="00261B7A">
              <w:rPr>
                <w:rFonts w:cstheme="minorHAnsi"/>
                <w:color w:val="000000"/>
              </w:rPr>
              <w:t>0.5</w:t>
            </w:r>
          </w:p>
        </w:tc>
        <w:tc>
          <w:tcPr>
            <w:tcW w:w="567" w:type="dxa"/>
            <w:shd w:val="clear" w:color="auto" w:fill="FFFFFF"/>
            <w:tcMar>
              <w:top w:w="0" w:type="dxa"/>
              <w:left w:w="85" w:type="dxa"/>
              <w:bottom w:w="0" w:type="dxa"/>
              <w:right w:w="85" w:type="dxa"/>
            </w:tcMar>
          </w:tcPr>
          <w:p w14:paraId="7376D00A" w14:textId="77777777" w:rsidR="006611EE" w:rsidRPr="00261B7A" w:rsidRDefault="006611EE" w:rsidP="000F09B5">
            <w:pPr>
              <w:pStyle w:val="TableText"/>
              <w:spacing w:before="40" w:after="40"/>
              <w:jc w:val="right"/>
              <w:rPr>
                <w:rFonts w:cstheme="minorHAnsi"/>
              </w:rPr>
            </w:pPr>
            <w:r w:rsidRPr="00261B7A">
              <w:rPr>
                <w:rFonts w:cstheme="minorHAnsi"/>
                <w:color w:val="000000"/>
              </w:rPr>
              <w:t>90.1</w:t>
            </w:r>
          </w:p>
        </w:tc>
      </w:tr>
      <w:tr w:rsidR="006611EE" w:rsidRPr="00261B7A" w14:paraId="733EBA42" w14:textId="77777777" w:rsidTr="000F09B5">
        <w:tc>
          <w:tcPr>
            <w:tcW w:w="907" w:type="dxa"/>
            <w:shd w:val="clear" w:color="auto" w:fill="FFFFFF"/>
            <w:tcMar>
              <w:top w:w="0" w:type="dxa"/>
              <w:left w:w="85" w:type="dxa"/>
              <w:bottom w:w="0" w:type="dxa"/>
              <w:right w:w="85" w:type="dxa"/>
            </w:tcMar>
          </w:tcPr>
          <w:p w14:paraId="22E87BBD" w14:textId="77777777" w:rsidR="006611EE" w:rsidRPr="00261B7A" w:rsidRDefault="006611EE" w:rsidP="000F09B5">
            <w:pPr>
              <w:pStyle w:val="TableText"/>
              <w:spacing w:before="40" w:after="40"/>
              <w:rPr>
                <w:rFonts w:cstheme="minorHAnsi"/>
              </w:rPr>
            </w:pPr>
            <w:r w:rsidRPr="00261B7A">
              <w:rPr>
                <w:rFonts w:cstheme="minorHAnsi"/>
                <w:color w:val="000000"/>
              </w:rPr>
              <w:t>2.C.3</w:t>
            </w:r>
          </w:p>
        </w:tc>
        <w:tc>
          <w:tcPr>
            <w:tcW w:w="2948" w:type="dxa"/>
            <w:shd w:val="clear" w:color="auto" w:fill="FFFFFF"/>
            <w:tcMar>
              <w:top w:w="0" w:type="dxa"/>
              <w:left w:w="85" w:type="dxa"/>
              <w:bottom w:w="0" w:type="dxa"/>
              <w:right w:w="85" w:type="dxa"/>
            </w:tcMar>
          </w:tcPr>
          <w:p w14:paraId="4BDFB942" w14:textId="77777777" w:rsidR="006611EE" w:rsidRPr="00261B7A" w:rsidRDefault="006611EE" w:rsidP="000F09B5">
            <w:pPr>
              <w:pStyle w:val="TableText"/>
              <w:spacing w:before="40" w:after="40"/>
              <w:rPr>
                <w:rFonts w:cstheme="minorHAnsi"/>
              </w:rPr>
            </w:pPr>
            <w:r w:rsidRPr="00261B7A">
              <w:rPr>
                <w:rFonts w:cstheme="minorHAnsi"/>
                <w:color w:val="000000"/>
              </w:rPr>
              <w:t>Metal Industry – Aluminium Production</w:t>
            </w:r>
          </w:p>
        </w:tc>
        <w:tc>
          <w:tcPr>
            <w:tcW w:w="397" w:type="dxa"/>
            <w:shd w:val="clear" w:color="auto" w:fill="FFFFFF"/>
            <w:tcMar>
              <w:top w:w="0" w:type="dxa"/>
              <w:left w:w="85" w:type="dxa"/>
              <w:bottom w:w="0" w:type="dxa"/>
              <w:right w:w="85" w:type="dxa"/>
            </w:tcMar>
          </w:tcPr>
          <w:p w14:paraId="60D2EA46"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16725C58" w14:textId="77777777" w:rsidR="006611EE" w:rsidRPr="00261B7A" w:rsidRDefault="006611EE" w:rsidP="000F09B5">
            <w:pPr>
              <w:pStyle w:val="TableText"/>
              <w:spacing w:before="40" w:after="40"/>
              <w:jc w:val="right"/>
              <w:rPr>
                <w:rFonts w:cstheme="minorHAnsi"/>
              </w:rPr>
            </w:pPr>
            <w:r w:rsidRPr="00261B7A">
              <w:rPr>
                <w:rFonts w:cstheme="minorHAnsi"/>
                <w:color w:val="000000"/>
              </w:rPr>
              <w:t>541.8</w:t>
            </w:r>
          </w:p>
        </w:tc>
        <w:tc>
          <w:tcPr>
            <w:tcW w:w="1021" w:type="dxa"/>
            <w:shd w:val="clear" w:color="auto" w:fill="FFFFFF"/>
            <w:tcMar>
              <w:top w:w="0" w:type="dxa"/>
              <w:left w:w="85" w:type="dxa"/>
              <w:bottom w:w="0" w:type="dxa"/>
              <w:right w:w="85" w:type="dxa"/>
            </w:tcMar>
          </w:tcPr>
          <w:p w14:paraId="3C4D5870" w14:textId="77777777" w:rsidR="006611EE" w:rsidRPr="00261B7A" w:rsidRDefault="006611EE" w:rsidP="000F09B5">
            <w:pPr>
              <w:pStyle w:val="TableText"/>
              <w:spacing w:before="40" w:after="40"/>
              <w:jc w:val="right"/>
              <w:rPr>
                <w:rFonts w:cstheme="minorHAnsi"/>
              </w:rPr>
            </w:pPr>
            <w:r w:rsidRPr="00261B7A">
              <w:rPr>
                <w:rFonts w:cstheme="minorHAnsi"/>
                <w:color w:val="000000"/>
              </w:rPr>
              <w:t>0.5</w:t>
            </w:r>
          </w:p>
        </w:tc>
        <w:tc>
          <w:tcPr>
            <w:tcW w:w="567" w:type="dxa"/>
            <w:shd w:val="clear" w:color="auto" w:fill="FFFFFF"/>
            <w:tcMar>
              <w:top w:w="0" w:type="dxa"/>
              <w:left w:w="85" w:type="dxa"/>
              <w:bottom w:w="0" w:type="dxa"/>
              <w:right w:w="85" w:type="dxa"/>
            </w:tcMar>
          </w:tcPr>
          <w:p w14:paraId="7E468A90" w14:textId="77777777" w:rsidR="006611EE" w:rsidRPr="00261B7A" w:rsidRDefault="006611EE" w:rsidP="000F09B5">
            <w:pPr>
              <w:pStyle w:val="TableText"/>
              <w:spacing w:before="40" w:after="40"/>
              <w:jc w:val="right"/>
              <w:rPr>
                <w:rFonts w:cstheme="minorHAnsi"/>
              </w:rPr>
            </w:pPr>
            <w:r w:rsidRPr="00261B7A">
              <w:rPr>
                <w:rFonts w:cstheme="minorHAnsi"/>
                <w:color w:val="000000"/>
              </w:rPr>
              <w:t>90.7</w:t>
            </w:r>
          </w:p>
        </w:tc>
      </w:tr>
      <w:tr w:rsidR="006611EE" w:rsidRPr="00261B7A" w14:paraId="7AF2AB72" w14:textId="77777777" w:rsidTr="000F09B5">
        <w:tc>
          <w:tcPr>
            <w:tcW w:w="907" w:type="dxa"/>
            <w:shd w:val="clear" w:color="auto" w:fill="FFFFFF"/>
            <w:tcMar>
              <w:top w:w="0" w:type="dxa"/>
              <w:left w:w="85" w:type="dxa"/>
              <w:bottom w:w="0" w:type="dxa"/>
              <w:right w:w="85" w:type="dxa"/>
            </w:tcMar>
          </w:tcPr>
          <w:p w14:paraId="487C713C" w14:textId="77777777" w:rsidR="006611EE" w:rsidRPr="00261B7A" w:rsidRDefault="006611EE" w:rsidP="000F09B5">
            <w:pPr>
              <w:pStyle w:val="TableText"/>
              <w:spacing w:before="40" w:after="40"/>
              <w:rPr>
                <w:rFonts w:cstheme="minorHAnsi"/>
              </w:rPr>
            </w:pPr>
            <w:r w:rsidRPr="00261B7A">
              <w:rPr>
                <w:rFonts w:cstheme="minorHAnsi"/>
                <w:color w:val="000000"/>
              </w:rPr>
              <w:t>1.A.2.g.v</w:t>
            </w:r>
          </w:p>
        </w:tc>
        <w:tc>
          <w:tcPr>
            <w:tcW w:w="2948" w:type="dxa"/>
            <w:shd w:val="clear" w:color="auto" w:fill="FFFFFF"/>
            <w:tcMar>
              <w:top w:w="0" w:type="dxa"/>
              <w:left w:w="85" w:type="dxa"/>
              <w:bottom w:w="0" w:type="dxa"/>
              <w:right w:w="85" w:type="dxa"/>
            </w:tcMar>
          </w:tcPr>
          <w:p w14:paraId="6910DCFE" w14:textId="77777777" w:rsidR="006611EE" w:rsidRPr="00261B7A" w:rsidRDefault="006611EE" w:rsidP="000F09B5">
            <w:pPr>
              <w:pStyle w:val="TableText"/>
              <w:spacing w:before="40" w:after="40"/>
              <w:rPr>
                <w:rFonts w:cstheme="minorHAnsi"/>
              </w:rPr>
            </w:pPr>
            <w:r w:rsidRPr="00261B7A">
              <w:rPr>
                <w:rFonts w:cstheme="minorHAnsi"/>
                <w:color w:val="000000"/>
              </w:rPr>
              <w:t>Other (please specify) – Construction</w:t>
            </w:r>
          </w:p>
        </w:tc>
        <w:tc>
          <w:tcPr>
            <w:tcW w:w="397" w:type="dxa"/>
            <w:shd w:val="clear" w:color="auto" w:fill="FFFFFF"/>
            <w:tcMar>
              <w:top w:w="0" w:type="dxa"/>
              <w:left w:w="85" w:type="dxa"/>
              <w:bottom w:w="0" w:type="dxa"/>
              <w:right w:w="85" w:type="dxa"/>
            </w:tcMar>
          </w:tcPr>
          <w:p w14:paraId="46FAE014"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21733702" w14:textId="77777777" w:rsidR="006611EE" w:rsidRPr="00261B7A" w:rsidRDefault="006611EE" w:rsidP="000F09B5">
            <w:pPr>
              <w:pStyle w:val="TableText"/>
              <w:spacing w:before="40" w:after="40"/>
              <w:jc w:val="right"/>
              <w:rPr>
                <w:rFonts w:cstheme="minorHAnsi"/>
              </w:rPr>
            </w:pPr>
            <w:r w:rsidRPr="00261B7A">
              <w:rPr>
                <w:rFonts w:cstheme="minorHAnsi"/>
                <w:color w:val="000000"/>
              </w:rPr>
              <w:t>522.6</w:t>
            </w:r>
          </w:p>
        </w:tc>
        <w:tc>
          <w:tcPr>
            <w:tcW w:w="1021" w:type="dxa"/>
            <w:shd w:val="clear" w:color="auto" w:fill="FFFFFF"/>
            <w:tcMar>
              <w:top w:w="0" w:type="dxa"/>
              <w:left w:w="85" w:type="dxa"/>
              <w:bottom w:w="0" w:type="dxa"/>
              <w:right w:w="85" w:type="dxa"/>
            </w:tcMar>
          </w:tcPr>
          <w:p w14:paraId="5C12161A" w14:textId="77777777" w:rsidR="006611EE" w:rsidRPr="00261B7A" w:rsidRDefault="006611EE" w:rsidP="000F09B5">
            <w:pPr>
              <w:pStyle w:val="TableText"/>
              <w:spacing w:before="40" w:after="40"/>
              <w:jc w:val="right"/>
              <w:rPr>
                <w:rFonts w:cstheme="minorHAnsi"/>
              </w:rPr>
            </w:pPr>
            <w:r w:rsidRPr="00261B7A">
              <w:rPr>
                <w:rFonts w:cstheme="minorHAnsi"/>
                <w:color w:val="000000"/>
              </w:rPr>
              <w:t>0.5</w:t>
            </w:r>
          </w:p>
        </w:tc>
        <w:tc>
          <w:tcPr>
            <w:tcW w:w="567" w:type="dxa"/>
            <w:shd w:val="clear" w:color="auto" w:fill="FFFFFF"/>
            <w:tcMar>
              <w:top w:w="0" w:type="dxa"/>
              <w:left w:w="85" w:type="dxa"/>
              <w:bottom w:w="0" w:type="dxa"/>
              <w:right w:w="85" w:type="dxa"/>
            </w:tcMar>
          </w:tcPr>
          <w:p w14:paraId="3CE6BD23" w14:textId="77777777" w:rsidR="006611EE" w:rsidRPr="00261B7A" w:rsidRDefault="006611EE" w:rsidP="000F09B5">
            <w:pPr>
              <w:pStyle w:val="TableText"/>
              <w:spacing w:before="40" w:after="40"/>
              <w:jc w:val="right"/>
              <w:rPr>
                <w:rFonts w:cstheme="minorHAnsi"/>
              </w:rPr>
            </w:pPr>
            <w:r w:rsidRPr="00261B7A">
              <w:rPr>
                <w:rFonts w:cstheme="minorHAnsi"/>
                <w:color w:val="000000"/>
              </w:rPr>
              <w:t>91.2</w:t>
            </w:r>
          </w:p>
        </w:tc>
      </w:tr>
      <w:tr w:rsidR="006611EE" w:rsidRPr="00261B7A" w14:paraId="27EADEA6" w14:textId="77777777" w:rsidTr="000F09B5">
        <w:tc>
          <w:tcPr>
            <w:tcW w:w="907" w:type="dxa"/>
            <w:shd w:val="clear" w:color="auto" w:fill="FFFFFF"/>
            <w:tcMar>
              <w:top w:w="0" w:type="dxa"/>
              <w:left w:w="85" w:type="dxa"/>
              <w:bottom w:w="0" w:type="dxa"/>
              <w:right w:w="85" w:type="dxa"/>
            </w:tcMar>
          </w:tcPr>
          <w:p w14:paraId="4AA83C69" w14:textId="77777777" w:rsidR="006611EE" w:rsidRPr="00261B7A" w:rsidRDefault="006611EE" w:rsidP="000F09B5">
            <w:pPr>
              <w:pStyle w:val="TableText"/>
              <w:spacing w:before="40" w:after="40"/>
              <w:rPr>
                <w:rFonts w:cstheme="minorHAnsi"/>
              </w:rPr>
            </w:pPr>
            <w:r w:rsidRPr="00261B7A">
              <w:rPr>
                <w:rFonts w:cstheme="minorHAnsi"/>
                <w:color w:val="000000"/>
              </w:rPr>
              <w:t>3.A.4</w:t>
            </w:r>
          </w:p>
        </w:tc>
        <w:tc>
          <w:tcPr>
            <w:tcW w:w="2948" w:type="dxa"/>
            <w:shd w:val="clear" w:color="auto" w:fill="FFFFFF"/>
            <w:tcMar>
              <w:top w:w="0" w:type="dxa"/>
              <w:left w:w="85" w:type="dxa"/>
              <w:bottom w:w="0" w:type="dxa"/>
              <w:right w:w="85" w:type="dxa"/>
            </w:tcMar>
          </w:tcPr>
          <w:p w14:paraId="332255B2" w14:textId="77777777" w:rsidR="006611EE" w:rsidRPr="00261B7A" w:rsidRDefault="006611EE" w:rsidP="000F09B5">
            <w:pPr>
              <w:pStyle w:val="TableText"/>
              <w:spacing w:before="40" w:after="40"/>
              <w:rPr>
                <w:rFonts w:cstheme="minorHAnsi"/>
              </w:rPr>
            </w:pPr>
            <w:r w:rsidRPr="00261B7A">
              <w:rPr>
                <w:rFonts w:cstheme="minorHAnsi"/>
                <w:color w:val="000000"/>
              </w:rPr>
              <w:t>Other Livestock – Deer</w:t>
            </w:r>
          </w:p>
        </w:tc>
        <w:tc>
          <w:tcPr>
            <w:tcW w:w="397" w:type="dxa"/>
            <w:shd w:val="clear" w:color="auto" w:fill="FFFFFF"/>
            <w:tcMar>
              <w:top w:w="0" w:type="dxa"/>
              <w:left w:w="85" w:type="dxa"/>
              <w:bottom w:w="0" w:type="dxa"/>
              <w:right w:w="85" w:type="dxa"/>
            </w:tcMar>
          </w:tcPr>
          <w:p w14:paraId="473E676E"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964" w:type="dxa"/>
            <w:shd w:val="clear" w:color="auto" w:fill="FFFFFF"/>
            <w:tcMar>
              <w:top w:w="0" w:type="dxa"/>
              <w:left w:w="85" w:type="dxa"/>
              <w:bottom w:w="0" w:type="dxa"/>
              <w:right w:w="85" w:type="dxa"/>
            </w:tcMar>
          </w:tcPr>
          <w:p w14:paraId="4012B1AA" w14:textId="77777777" w:rsidR="006611EE" w:rsidRPr="00261B7A" w:rsidRDefault="006611EE" w:rsidP="000F09B5">
            <w:pPr>
              <w:pStyle w:val="TableText"/>
              <w:spacing w:before="40" w:after="40"/>
              <w:jc w:val="right"/>
              <w:rPr>
                <w:rFonts w:cstheme="minorHAnsi"/>
              </w:rPr>
            </w:pPr>
            <w:r w:rsidRPr="00261B7A">
              <w:rPr>
                <w:rFonts w:cstheme="minorHAnsi"/>
                <w:color w:val="000000"/>
              </w:rPr>
              <w:t>468.3</w:t>
            </w:r>
          </w:p>
        </w:tc>
        <w:tc>
          <w:tcPr>
            <w:tcW w:w="1021" w:type="dxa"/>
            <w:shd w:val="clear" w:color="auto" w:fill="FFFFFF"/>
            <w:tcMar>
              <w:top w:w="0" w:type="dxa"/>
              <w:left w:w="85" w:type="dxa"/>
              <w:bottom w:w="0" w:type="dxa"/>
              <w:right w:w="85" w:type="dxa"/>
            </w:tcMar>
          </w:tcPr>
          <w:p w14:paraId="2836A445" w14:textId="77777777" w:rsidR="006611EE" w:rsidRPr="00261B7A" w:rsidRDefault="006611EE" w:rsidP="000F09B5">
            <w:pPr>
              <w:pStyle w:val="TableText"/>
              <w:spacing w:before="40" w:after="40"/>
              <w:jc w:val="right"/>
              <w:rPr>
                <w:rFonts w:cstheme="minorHAnsi"/>
              </w:rPr>
            </w:pPr>
            <w:r w:rsidRPr="00261B7A">
              <w:rPr>
                <w:rFonts w:cstheme="minorHAnsi"/>
                <w:color w:val="000000"/>
              </w:rPr>
              <w:t>0.4</w:t>
            </w:r>
          </w:p>
        </w:tc>
        <w:tc>
          <w:tcPr>
            <w:tcW w:w="567" w:type="dxa"/>
            <w:shd w:val="clear" w:color="auto" w:fill="FFFFFF"/>
            <w:tcMar>
              <w:top w:w="0" w:type="dxa"/>
              <w:left w:w="85" w:type="dxa"/>
              <w:bottom w:w="0" w:type="dxa"/>
              <w:right w:w="85" w:type="dxa"/>
            </w:tcMar>
          </w:tcPr>
          <w:p w14:paraId="5348B8EB" w14:textId="77777777" w:rsidR="006611EE" w:rsidRPr="00261B7A" w:rsidRDefault="006611EE" w:rsidP="000F09B5">
            <w:pPr>
              <w:pStyle w:val="TableText"/>
              <w:spacing w:before="40" w:after="40"/>
              <w:jc w:val="right"/>
              <w:rPr>
                <w:rFonts w:cstheme="minorHAnsi"/>
              </w:rPr>
            </w:pPr>
            <w:r w:rsidRPr="00261B7A">
              <w:rPr>
                <w:rFonts w:cstheme="minorHAnsi"/>
                <w:color w:val="000000"/>
              </w:rPr>
              <w:t>91.6</w:t>
            </w:r>
          </w:p>
        </w:tc>
      </w:tr>
      <w:tr w:rsidR="006611EE" w:rsidRPr="00261B7A" w14:paraId="0AD70AE2" w14:textId="77777777" w:rsidTr="000F09B5">
        <w:tc>
          <w:tcPr>
            <w:tcW w:w="907" w:type="dxa"/>
            <w:shd w:val="clear" w:color="auto" w:fill="FFFFFF"/>
            <w:tcMar>
              <w:top w:w="0" w:type="dxa"/>
              <w:left w:w="85" w:type="dxa"/>
              <w:bottom w:w="0" w:type="dxa"/>
              <w:right w:w="85" w:type="dxa"/>
            </w:tcMar>
          </w:tcPr>
          <w:p w14:paraId="786C4085" w14:textId="77777777" w:rsidR="006611EE" w:rsidRPr="00261B7A" w:rsidRDefault="006611EE" w:rsidP="000F09B5">
            <w:pPr>
              <w:pStyle w:val="TableText"/>
              <w:spacing w:before="40" w:after="40"/>
              <w:rPr>
                <w:rFonts w:cstheme="minorHAnsi"/>
              </w:rPr>
            </w:pPr>
            <w:r w:rsidRPr="00261B7A">
              <w:rPr>
                <w:rFonts w:cstheme="minorHAnsi"/>
                <w:color w:val="000000"/>
              </w:rPr>
              <w:t>1.B.2.d</w:t>
            </w:r>
          </w:p>
        </w:tc>
        <w:tc>
          <w:tcPr>
            <w:tcW w:w="2948" w:type="dxa"/>
            <w:shd w:val="clear" w:color="auto" w:fill="FFFFFF"/>
            <w:tcMar>
              <w:top w:w="0" w:type="dxa"/>
              <w:left w:w="85" w:type="dxa"/>
              <w:bottom w:w="0" w:type="dxa"/>
              <w:right w:w="85" w:type="dxa"/>
            </w:tcMar>
          </w:tcPr>
          <w:p w14:paraId="6BF433B0" w14:textId="77777777" w:rsidR="006611EE" w:rsidRPr="00261B7A" w:rsidRDefault="006611EE" w:rsidP="000F09B5">
            <w:pPr>
              <w:pStyle w:val="TableText"/>
              <w:spacing w:before="40" w:after="40"/>
              <w:rPr>
                <w:rFonts w:cstheme="minorHAnsi"/>
              </w:rPr>
            </w:pPr>
            <w:r w:rsidRPr="00261B7A">
              <w:rPr>
                <w:rFonts w:cstheme="minorHAnsi"/>
                <w:color w:val="000000"/>
              </w:rPr>
              <w:t>Other (please specify) – Geothermal</w:t>
            </w:r>
          </w:p>
        </w:tc>
        <w:tc>
          <w:tcPr>
            <w:tcW w:w="397" w:type="dxa"/>
            <w:shd w:val="clear" w:color="auto" w:fill="FFFFFF"/>
            <w:tcMar>
              <w:top w:w="0" w:type="dxa"/>
              <w:left w:w="85" w:type="dxa"/>
              <w:bottom w:w="0" w:type="dxa"/>
              <w:right w:w="85" w:type="dxa"/>
            </w:tcMar>
          </w:tcPr>
          <w:p w14:paraId="126FCD11"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661ACED4" w14:textId="77777777" w:rsidR="006611EE" w:rsidRPr="00261B7A" w:rsidRDefault="006611EE" w:rsidP="000F09B5">
            <w:pPr>
              <w:pStyle w:val="TableText"/>
              <w:spacing w:before="40" w:after="40"/>
              <w:jc w:val="right"/>
              <w:rPr>
                <w:rFonts w:cstheme="minorHAnsi"/>
              </w:rPr>
            </w:pPr>
            <w:r w:rsidRPr="00261B7A">
              <w:rPr>
                <w:rFonts w:cstheme="minorHAnsi"/>
                <w:color w:val="000000"/>
              </w:rPr>
              <w:t>431.6</w:t>
            </w:r>
          </w:p>
        </w:tc>
        <w:tc>
          <w:tcPr>
            <w:tcW w:w="1021" w:type="dxa"/>
            <w:shd w:val="clear" w:color="auto" w:fill="FFFFFF"/>
            <w:tcMar>
              <w:top w:w="0" w:type="dxa"/>
              <w:left w:w="85" w:type="dxa"/>
              <w:bottom w:w="0" w:type="dxa"/>
              <w:right w:w="85" w:type="dxa"/>
            </w:tcMar>
          </w:tcPr>
          <w:p w14:paraId="2D7D8A10" w14:textId="77777777" w:rsidR="006611EE" w:rsidRPr="00261B7A" w:rsidRDefault="006611EE" w:rsidP="000F09B5">
            <w:pPr>
              <w:pStyle w:val="TableText"/>
              <w:spacing w:before="40" w:after="40"/>
              <w:jc w:val="right"/>
              <w:rPr>
                <w:rFonts w:cstheme="minorHAnsi"/>
              </w:rPr>
            </w:pPr>
            <w:r w:rsidRPr="00261B7A">
              <w:rPr>
                <w:rFonts w:cstheme="minorHAnsi"/>
                <w:color w:val="000000"/>
              </w:rPr>
              <w:t>0.4</w:t>
            </w:r>
          </w:p>
        </w:tc>
        <w:tc>
          <w:tcPr>
            <w:tcW w:w="567" w:type="dxa"/>
            <w:shd w:val="clear" w:color="auto" w:fill="FFFFFF"/>
            <w:tcMar>
              <w:top w:w="0" w:type="dxa"/>
              <w:left w:w="85" w:type="dxa"/>
              <w:bottom w:w="0" w:type="dxa"/>
              <w:right w:w="85" w:type="dxa"/>
            </w:tcMar>
          </w:tcPr>
          <w:p w14:paraId="442642A2" w14:textId="77777777" w:rsidR="006611EE" w:rsidRPr="00261B7A" w:rsidRDefault="006611EE" w:rsidP="000F09B5">
            <w:pPr>
              <w:pStyle w:val="TableText"/>
              <w:spacing w:before="40" w:after="40"/>
              <w:jc w:val="right"/>
              <w:rPr>
                <w:rFonts w:cstheme="minorHAnsi"/>
              </w:rPr>
            </w:pPr>
            <w:r w:rsidRPr="00261B7A">
              <w:rPr>
                <w:rFonts w:cstheme="minorHAnsi"/>
                <w:color w:val="000000"/>
              </w:rPr>
              <w:t>92.0</w:t>
            </w:r>
          </w:p>
        </w:tc>
      </w:tr>
      <w:tr w:rsidR="006611EE" w:rsidRPr="00261B7A" w14:paraId="7FA824E3" w14:textId="77777777" w:rsidTr="000F09B5">
        <w:tc>
          <w:tcPr>
            <w:tcW w:w="907" w:type="dxa"/>
            <w:shd w:val="clear" w:color="auto" w:fill="FFFFFF"/>
            <w:tcMar>
              <w:top w:w="0" w:type="dxa"/>
              <w:left w:w="85" w:type="dxa"/>
              <w:bottom w:w="0" w:type="dxa"/>
              <w:right w:w="85" w:type="dxa"/>
            </w:tcMar>
          </w:tcPr>
          <w:p w14:paraId="76C94542" w14:textId="77777777" w:rsidR="006611EE" w:rsidRPr="00261B7A" w:rsidRDefault="006611EE" w:rsidP="000F09B5">
            <w:pPr>
              <w:pStyle w:val="TableText"/>
              <w:spacing w:before="40" w:after="40"/>
              <w:rPr>
                <w:rFonts w:cstheme="minorHAnsi"/>
              </w:rPr>
            </w:pPr>
            <w:r w:rsidRPr="00261B7A">
              <w:rPr>
                <w:rFonts w:cstheme="minorHAnsi"/>
                <w:color w:val="000000"/>
              </w:rPr>
              <w:t>1.A.4.a</w:t>
            </w:r>
          </w:p>
        </w:tc>
        <w:tc>
          <w:tcPr>
            <w:tcW w:w="2948" w:type="dxa"/>
            <w:shd w:val="clear" w:color="auto" w:fill="FFFFFF"/>
            <w:tcMar>
              <w:top w:w="0" w:type="dxa"/>
              <w:left w:w="85" w:type="dxa"/>
              <w:bottom w:w="0" w:type="dxa"/>
              <w:right w:w="85" w:type="dxa"/>
            </w:tcMar>
          </w:tcPr>
          <w:p w14:paraId="2272E7EB" w14:textId="77777777" w:rsidR="006611EE" w:rsidRPr="00261B7A" w:rsidRDefault="006611EE" w:rsidP="000F09B5">
            <w:pPr>
              <w:pStyle w:val="TableText"/>
              <w:spacing w:before="40" w:after="40"/>
              <w:rPr>
                <w:rFonts w:cstheme="minorHAnsi"/>
              </w:rPr>
            </w:pPr>
            <w:r w:rsidRPr="00261B7A">
              <w:rPr>
                <w:rFonts w:cstheme="minorHAnsi"/>
                <w:color w:val="000000"/>
              </w:rPr>
              <w:t>Other Sectors – Commercial/Institutional Gaseous Fuels</w:t>
            </w:r>
          </w:p>
        </w:tc>
        <w:tc>
          <w:tcPr>
            <w:tcW w:w="397" w:type="dxa"/>
            <w:shd w:val="clear" w:color="auto" w:fill="FFFFFF"/>
            <w:tcMar>
              <w:top w:w="0" w:type="dxa"/>
              <w:left w:w="85" w:type="dxa"/>
              <w:bottom w:w="0" w:type="dxa"/>
              <w:right w:w="85" w:type="dxa"/>
            </w:tcMar>
          </w:tcPr>
          <w:p w14:paraId="2D37EE6D"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55C28D15" w14:textId="77777777" w:rsidR="006611EE" w:rsidRPr="00261B7A" w:rsidRDefault="006611EE" w:rsidP="000F09B5">
            <w:pPr>
              <w:pStyle w:val="TableText"/>
              <w:spacing w:before="40" w:after="40"/>
              <w:jc w:val="right"/>
              <w:rPr>
                <w:rFonts w:cstheme="minorHAnsi"/>
              </w:rPr>
            </w:pPr>
            <w:r w:rsidRPr="00261B7A">
              <w:rPr>
                <w:rFonts w:cstheme="minorHAnsi"/>
                <w:color w:val="000000"/>
              </w:rPr>
              <w:t>412.5</w:t>
            </w:r>
          </w:p>
        </w:tc>
        <w:tc>
          <w:tcPr>
            <w:tcW w:w="1021" w:type="dxa"/>
            <w:shd w:val="clear" w:color="auto" w:fill="FFFFFF"/>
            <w:tcMar>
              <w:top w:w="0" w:type="dxa"/>
              <w:left w:w="85" w:type="dxa"/>
              <w:bottom w:w="0" w:type="dxa"/>
              <w:right w:w="85" w:type="dxa"/>
            </w:tcMar>
          </w:tcPr>
          <w:p w14:paraId="23AB5564" w14:textId="77777777" w:rsidR="006611EE" w:rsidRPr="00261B7A" w:rsidRDefault="006611EE" w:rsidP="000F09B5">
            <w:pPr>
              <w:pStyle w:val="TableText"/>
              <w:spacing w:before="40" w:after="40"/>
              <w:jc w:val="right"/>
              <w:rPr>
                <w:rFonts w:cstheme="minorHAnsi"/>
              </w:rPr>
            </w:pPr>
            <w:r w:rsidRPr="00261B7A">
              <w:rPr>
                <w:rFonts w:cstheme="minorHAnsi"/>
                <w:color w:val="000000"/>
              </w:rPr>
              <w:t>0.4</w:t>
            </w:r>
          </w:p>
        </w:tc>
        <w:tc>
          <w:tcPr>
            <w:tcW w:w="567" w:type="dxa"/>
            <w:shd w:val="clear" w:color="auto" w:fill="FFFFFF"/>
            <w:tcMar>
              <w:top w:w="0" w:type="dxa"/>
              <w:left w:w="85" w:type="dxa"/>
              <w:bottom w:w="0" w:type="dxa"/>
              <w:right w:w="85" w:type="dxa"/>
            </w:tcMar>
          </w:tcPr>
          <w:p w14:paraId="7EF7B358" w14:textId="77777777" w:rsidR="006611EE" w:rsidRPr="00261B7A" w:rsidRDefault="006611EE" w:rsidP="000F09B5">
            <w:pPr>
              <w:pStyle w:val="TableText"/>
              <w:spacing w:before="40" w:after="40"/>
              <w:jc w:val="right"/>
              <w:rPr>
                <w:rFonts w:cstheme="minorHAnsi"/>
              </w:rPr>
            </w:pPr>
            <w:r w:rsidRPr="00261B7A">
              <w:rPr>
                <w:rFonts w:cstheme="minorHAnsi"/>
                <w:color w:val="000000"/>
              </w:rPr>
              <w:t>92.4</w:t>
            </w:r>
          </w:p>
        </w:tc>
      </w:tr>
      <w:tr w:rsidR="006611EE" w:rsidRPr="00261B7A" w14:paraId="1CEE5136" w14:textId="77777777" w:rsidTr="000F09B5">
        <w:tc>
          <w:tcPr>
            <w:tcW w:w="907" w:type="dxa"/>
            <w:shd w:val="clear" w:color="auto" w:fill="FFFFFF"/>
            <w:tcMar>
              <w:top w:w="0" w:type="dxa"/>
              <w:left w:w="85" w:type="dxa"/>
              <w:bottom w:w="0" w:type="dxa"/>
              <w:right w:w="85" w:type="dxa"/>
            </w:tcMar>
          </w:tcPr>
          <w:p w14:paraId="709C0449" w14:textId="77777777" w:rsidR="006611EE" w:rsidRPr="00261B7A" w:rsidRDefault="006611EE" w:rsidP="000F09B5">
            <w:pPr>
              <w:pStyle w:val="TableText"/>
              <w:spacing w:before="40" w:after="40"/>
              <w:rPr>
                <w:rFonts w:cstheme="minorHAnsi"/>
              </w:rPr>
            </w:pPr>
            <w:r w:rsidRPr="00261B7A">
              <w:rPr>
                <w:rFonts w:cstheme="minorHAnsi"/>
                <w:color w:val="000000"/>
              </w:rPr>
              <w:t>1.A.4.b</w:t>
            </w:r>
          </w:p>
        </w:tc>
        <w:tc>
          <w:tcPr>
            <w:tcW w:w="2948" w:type="dxa"/>
            <w:shd w:val="clear" w:color="auto" w:fill="FFFFFF"/>
            <w:tcMar>
              <w:top w:w="0" w:type="dxa"/>
              <w:left w:w="85" w:type="dxa"/>
              <w:bottom w:w="0" w:type="dxa"/>
              <w:right w:w="85" w:type="dxa"/>
            </w:tcMar>
          </w:tcPr>
          <w:p w14:paraId="2C5D4D0C" w14:textId="77777777" w:rsidR="006611EE" w:rsidRPr="00261B7A" w:rsidRDefault="006611EE" w:rsidP="000F09B5">
            <w:pPr>
              <w:pStyle w:val="TableText"/>
              <w:spacing w:before="40" w:after="40"/>
              <w:rPr>
                <w:rFonts w:cstheme="minorHAnsi"/>
              </w:rPr>
            </w:pPr>
            <w:r w:rsidRPr="00261B7A">
              <w:rPr>
                <w:rFonts w:cstheme="minorHAnsi"/>
                <w:color w:val="000000"/>
              </w:rPr>
              <w:t>Other Sectors – Residential Gaseous Fuels</w:t>
            </w:r>
          </w:p>
        </w:tc>
        <w:tc>
          <w:tcPr>
            <w:tcW w:w="397" w:type="dxa"/>
            <w:shd w:val="clear" w:color="auto" w:fill="FFFFFF"/>
            <w:tcMar>
              <w:top w:w="0" w:type="dxa"/>
              <w:left w:w="85" w:type="dxa"/>
              <w:bottom w:w="0" w:type="dxa"/>
              <w:right w:w="85" w:type="dxa"/>
            </w:tcMar>
          </w:tcPr>
          <w:p w14:paraId="126187D3"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42A4618D" w14:textId="77777777" w:rsidR="006611EE" w:rsidRPr="00261B7A" w:rsidRDefault="006611EE" w:rsidP="000F09B5">
            <w:pPr>
              <w:pStyle w:val="TableText"/>
              <w:spacing w:before="40" w:after="40"/>
              <w:jc w:val="right"/>
              <w:rPr>
                <w:rFonts w:cstheme="minorHAnsi"/>
              </w:rPr>
            </w:pPr>
            <w:r w:rsidRPr="00261B7A">
              <w:rPr>
                <w:rFonts w:cstheme="minorHAnsi"/>
                <w:color w:val="000000"/>
              </w:rPr>
              <w:t>385.5</w:t>
            </w:r>
          </w:p>
        </w:tc>
        <w:tc>
          <w:tcPr>
            <w:tcW w:w="1021" w:type="dxa"/>
            <w:shd w:val="clear" w:color="auto" w:fill="FFFFFF"/>
            <w:tcMar>
              <w:top w:w="0" w:type="dxa"/>
              <w:left w:w="85" w:type="dxa"/>
              <w:bottom w:w="0" w:type="dxa"/>
              <w:right w:w="85" w:type="dxa"/>
            </w:tcMar>
          </w:tcPr>
          <w:p w14:paraId="373F2508" w14:textId="77777777" w:rsidR="006611EE" w:rsidRPr="00261B7A" w:rsidRDefault="006611EE" w:rsidP="000F09B5">
            <w:pPr>
              <w:pStyle w:val="TableText"/>
              <w:spacing w:before="40" w:after="40"/>
              <w:jc w:val="right"/>
              <w:rPr>
                <w:rFonts w:cstheme="minorHAnsi"/>
              </w:rPr>
            </w:pPr>
            <w:r w:rsidRPr="00261B7A">
              <w:rPr>
                <w:rFonts w:cstheme="minorHAnsi"/>
                <w:color w:val="000000"/>
              </w:rPr>
              <w:t>0.4</w:t>
            </w:r>
          </w:p>
        </w:tc>
        <w:tc>
          <w:tcPr>
            <w:tcW w:w="567" w:type="dxa"/>
            <w:shd w:val="clear" w:color="auto" w:fill="FFFFFF"/>
            <w:tcMar>
              <w:top w:w="0" w:type="dxa"/>
              <w:left w:w="85" w:type="dxa"/>
              <w:bottom w:w="0" w:type="dxa"/>
              <w:right w:w="85" w:type="dxa"/>
            </w:tcMar>
          </w:tcPr>
          <w:p w14:paraId="0C7C7056" w14:textId="77777777" w:rsidR="006611EE" w:rsidRPr="00261B7A" w:rsidRDefault="006611EE" w:rsidP="000F09B5">
            <w:pPr>
              <w:pStyle w:val="TableText"/>
              <w:spacing w:before="40" w:after="40"/>
              <w:jc w:val="right"/>
              <w:rPr>
                <w:rFonts w:cstheme="minorHAnsi"/>
              </w:rPr>
            </w:pPr>
            <w:r w:rsidRPr="00261B7A">
              <w:rPr>
                <w:rFonts w:cstheme="minorHAnsi"/>
                <w:color w:val="000000"/>
              </w:rPr>
              <w:t>92.8</w:t>
            </w:r>
          </w:p>
        </w:tc>
      </w:tr>
      <w:tr w:rsidR="006611EE" w:rsidRPr="00261B7A" w14:paraId="28822B41" w14:textId="77777777" w:rsidTr="000F09B5">
        <w:tc>
          <w:tcPr>
            <w:tcW w:w="907" w:type="dxa"/>
            <w:shd w:val="clear" w:color="auto" w:fill="FFFFFF"/>
            <w:tcMar>
              <w:top w:w="0" w:type="dxa"/>
              <w:left w:w="85" w:type="dxa"/>
              <w:bottom w:w="0" w:type="dxa"/>
              <w:right w:w="85" w:type="dxa"/>
            </w:tcMar>
          </w:tcPr>
          <w:p w14:paraId="7DAE4068" w14:textId="77777777" w:rsidR="006611EE" w:rsidRPr="00261B7A" w:rsidRDefault="006611EE" w:rsidP="000F09B5">
            <w:pPr>
              <w:pStyle w:val="TableText"/>
              <w:spacing w:before="40" w:after="40"/>
              <w:rPr>
                <w:rFonts w:cstheme="minorHAnsi"/>
              </w:rPr>
            </w:pPr>
            <w:r w:rsidRPr="00261B7A">
              <w:rPr>
                <w:rFonts w:cstheme="minorHAnsi"/>
                <w:color w:val="000000"/>
              </w:rPr>
              <w:t>2.A.1</w:t>
            </w:r>
          </w:p>
        </w:tc>
        <w:tc>
          <w:tcPr>
            <w:tcW w:w="2948" w:type="dxa"/>
            <w:shd w:val="clear" w:color="auto" w:fill="FFFFFF"/>
            <w:tcMar>
              <w:top w:w="0" w:type="dxa"/>
              <w:left w:w="85" w:type="dxa"/>
              <w:bottom w:w="0" w:type="dxa"/>
              <w:right w:w="85" w:type="dxa"/>
            </w:tcMar>
          </w:tcPr>
          <w:p w14:paraId="20E9D40A" w14:textId="77777777" w:rsidR="006611EE" w:rsidRPr="00261B7A" w:rsidRDefault="006611EE" w:rsidP="000F09B5">
            <w:pPr>
              <w:pStyle w:val="TableText"/>
              <w:spacing w:before="40" w:after="40"/>
              <w:rPr>
                <w:rFonts w:cstheme="minorHAnsi"/>
              </w:rPr>
            </w:pPr>
            <w:r w:rsidRPr="00261B7A">
              <w:rPr>
                <w:rFonts w:cstheme="minorHAnsi"/>
                <w:color w:val="000000"/>
              </w:rPr>
              <w:t>Mineral Industry – Cement Production</w:t>
            </w:r>
          </w:p>
        </w:tc>
        <w:tc>
          <w:tcPr>
            <w:tcW w:w="397" w:type="dxa"/>
            <w:shd w:val="clear" w:color="auto" w:fill="FFFFFF"/>
            <w:tcMar>
              <w:top w:w="0" w:type="dxa"/>
              <w:left w:w="85" w:type="dxa"/>
              <w:bottom w:w="0" w:type="dxa"/>
              <w:right w:w="85" w:type="dxa"/>
            </w:tcMar>
          </w:tcPr>
          <w:p w14:paraId="457839A8"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3048BA73" w14:textId="77777777" w:rsidR="006611EE" w:rsidRPr="00261B7A" w:rsidRDefault="006611EE" w:rsidP="000F09B5">
            <w:pPr>
              <w:pStyle w:val="TableText"/>
              <w:spacing w:before="40" w:after="40"/>
              <w:jc w:val="right"/>
              <w:rPr>
                <w:rFonts w:cstheme="minorHAnsi"/>
              </w:rPr>
            </w:pPr>
            <w:r w:rsidRPr="00261B7A">
              <w:rPr>
                <w:rFonts w:cstheme="minorHAnsi"/>
                <w:color w:val="000000"/>
              </w:rPr>
              <w:t>369.6</w:t>
            </w:r>
          </w:p>
        </w:tc>
        <w:tc>
          <w:tcPr>
            <w:tcW w:w="1021" w:type="dxa"/>
            <w:shd w:val="clear" w:color="auto" w:fill="FFFFFF"/>
            <w:tcMar>
              <w:top w:w="0" w:type="dxa"/>
              <w:left w:w="85" w:type="dxa"/>
              <w:bottom w:w="0" w:type="dxa"/>
              <w:right w:w="85" w:type="dxa"/>
            </w:tcMar>
          </w:tcPr>
          <w:p w14:paraId="71258E23" w14:textId="77777777" w:rsidR="006611EE" w:rsidRPr="00261B7A" w:rsidRDefault="006611EE" w:rsidP="000F09B5">
            <w:pPr>
              <w:pStyle w:val="TableText"/>
              <w:spacing w:before="40" w:after="40"/>
              <w:jc w:val="right"/>
              <w:rPr>
                <w:rFonts w:cstheme="minorHAnsi"/>
              </w:rPr>
            </w:pPr>
            <w:r w:rsidRPr="00261B7A">
              <w:rPr>
                <w:rFonts w:cstheme="minorHAnsi"/>
                <w:color w:val="000000"/>
              </w:rPr>
              <w:t>0.4</w:t>
            </w:r>
          </w:p>
        </w:tc>
        <w:tc>
          <w:tcPr>
            <w:tcW w:w="567" w:type="dxa"/>
            <w:shd w:val="clear" w:color="auto" w:fill="FFFFFF"/>
            <w:tcMar>
              <w:top w:w="0" w:type="dxa"/>
              <w:left w:w="85" w:type="dxa"/>
              <w:bottom w:w="0" w:type="dxa"/>
              <w:right w:w="85" w:type="dxa"/>
            </w:tcMar>
          </w:tcPr>
          <w:p w14:paraId="48CAD60A" w14:textId="77777777" w:rsidR="006611EE" w:rsidRPr="00261B7A" w:rsidRDefault="006611EE" w:rsidP="000F09B5">
            <w:pPr>
              <w:pStyle w:val="TableText"/>
              <w:spacing w:before="40" w:after="40"/>
              <w:jc w:val="right"/>
              <w:rPr>
                <w:rFonts w:cstheme="minorHAnsi"/>
              </w:rPr>
            </w:pPr>
            <w:r w:rsidRPr="00261B7A">
              <w:rPr>
                <w:rFonts w:cstheme="minorHAnsi"/>
                <w:color w:val="000000"/>
              </w:rPr>
              <w:t>93.1</w:t>
            </w:r>
          </w:p>
        </w:tc>
      </w:tr>
      <w:tr w:rsidR="006611EE" w:rsidRPr="00261B7A" w14:paraId="5784C508" w14:textId="77777777" w:rsidTr="000F09B5">
        <w:tc>
          <w:tcPr>
            <w:tcW w:w="907" w:type="dxa"/>
            <w:shd w:val="clear" w:color="auto" w:fill="FFFFFF"/>
            <w:tcMar>
              <w:top w:w="0" w:type="dxa"/>
              <w:left w:w="85" w:type="dxa"/>
              <w:bottom w:w="0" w:type="dxa"/>
              <w:right w:w="85" w:type="dxa"/>
            </w:tcMar>
          </w:tcPr>
          <w:p w14:paraId="24C22C7D" w14:textId="77777777" w:rsidR="006611EE" w:rsidRPr="00261B7A" w:rsidRDefault="006611EE" w:rsidP="000F09B5">
            <w:pPr>
              <w:pStyle w:val="TableText"/>
              <w:spacing w:before="40" w:after="40"/>
              <w:rPr>
                <w:rFonts w:cstheme="minorHAnsi"/>
              </w:rPr>
            </w:pPr>
            <w:r w:rsidRPr="00261B7A">
              <w:rPr>
                <w:rFonts w:cstheme="minorHAnsi"/>
                <w:color w:val="000000"/>
              </w:rPr>
              <w:t>1.A.2.g.iii</w:t>
            </w:r>
          </w:p>
        </w:tc>
        <w:tc>
          <w:tcPr>
            <w:tcW w:w="2948" w:type="dxa"/>
            <w:shd w:val="clear" w:color="auto" w:fill="FFFFFF"/>
            <w:tcMar>
              <w:top w:w="0" w:type="dxa"/>
              <w:left w:w="85" w:type="dxa"/>
              <w:bottom w:w="0" w:type="dxa"/>
              <w:right w:w="85" w:type="dxa"/>
            </w:tcMar>
          </w:tcPr>
          <w:p w14:paraId="48318303" w14:textId="77777777" w:rsidR="006611EE" w:rsidRPr="00261B7A" w:rsidRDefault="006611EE" w:rsidP="000F09B5">
            <w:pPr>
              <w:pStyle w:val="TableText"/>
              <w:spacing w:before="40" w:after="40"/>
              <w:rPr>
                <w:rFonts w:cstheme="minorHAnsi"/>
              </w:rPr>
            </w:pPr>
            <w:r w:rsidRPr="00261B7A">
              <w:rPr>
                <w:rFonts w:cstheme="minorHAnsi"/>
                <w:color w:val="000000"/>
              </w:rPr>
              <w:t>Other (please specify) – Mining (excluding fuels) and Quarrying Liquid Fuels</w:t>
            </w:r>
          </w:p>
        </w:tc>
        <w:tc>
          <w:tcPr>
            <w:tcW w:w="397" w:type="dxa"/>
            <w:shd w:val="clear" w:color="auto" w:fill="FFFFFF"/>
            <w:tcMar>
              <w:top w:w="0" w:type="dxa"/>
              <w:left w:w="85" w:type="dxa"/>
              <w:bottom w:w="0" w:type="dxa"/>
              <w:right w:w="85" w:type="dxa"/>
            </w:tcMar>
          </w:tcPr>
          <w:p w14:paraId="2E7BEE7F"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637940E5" w14:textId="77777777" w:rsidR="006611EE" w:rsidRPr="00261B7A" w:rsidRDefault="006611EE" w:rsidP="000F09B5">
            <w:pPr>
              <w:pStyle w:val="TableText"/>
              <w:spacing w:before="40" w:after="40"/>
              <w:jc w:val="right"/>
              <w:rPr>
                <w:rFonts w:cstheme="minorHAnsi"/>
              </w:rPr>
            </w:pPr>
            <w:r w:rsidRPr="00261B7A">
              <w:rPr>
                <w:rFonts w:cstheme="minorHAnsi"/>
                <w:color w:val="000000"/>
              </w:rPr>
              <w:t>367.6</w:t>
            </w:r>
          </w:p>
        </w:tc>
        <w:tc>
          <w:tcPr>
            <w:tcW w:w="1021" w:type="dxa"/>
            <w:shd w:val="clear" w:color="auto" w:fill="FFFFFF"/>
            <w:tcMar>
              <w:top w:w="0" w:type="dxa"/>
              <w:left w:w="85" w:type="dxa"/>
              <w:bottom w:w="0" w:type="dxa"/>
              <w:right w:w="85" w:type="dxa"/>
            </w:tcMar>
          </w:tcPr>
          <w:p w14:paraId="3DBB8B53"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567" w:type="dxa"/>
            <w:shd w:val="clear" w:color="auto" w:fill="FFFFFF"/>
            <w:tcMar>
              <w:top w:w="0" w:type="dxa"/>
              <w:left w:w="85" w:type="dxa"/>
              <w:bottom w:w="0" w:type="dxa"/>
              <w:right w:w="85" w:type="dxa"/>
            </w:tcMar>
          </w:tcPr>
          <w:p w14:paraId="5EDCCBD6" w14:textId="77777777" w:rsidR="006611EE" w:rsidRPr="00261B7A" w:rsidRDefault="006611EE" w:rsidP="000F09B5">
            <w:pPr>
              <w:pStyle w:val="TableText"/>
              <w:spacing w:before="40" w:after="40"/>
              <w:jc w:val="right"/>
              <w:rPr>
                <w:rFonts w:cstheme="minorHAnsi"/>
              </w:rPr>
            </w:pPr>
            <w:r w:rsidRPr="00261B7A">
              <w:rPr>
                <w:rFonts w:cstheme="minorHAnsi"/>
                <w:color w:val="000000"/>
              </w:rPr>
              <w:t>93.5</w:t>
            </w:r>
          </w:p>
        </w:tc>
      </w:tr>
      <w:tr w:rsidR="006611EE" w:rsidRPr="00261B7A" w14:paraId="209398A3" w14:textId="77777777" w:rsidTr="000F09B5">
        <w:tc>
          <w:tcPr>
            <w:tcW w:w="907" w:type="dxa"/>
            <w:shd w:val="clear" w:color="auto" w:fill="FFFFFF"/>
            <w:tcMar>
              <w:top w:w="0" w:type="dxa"/>
              <w:left w:w="85" w:type="dxa"/>
              <w:bottom w:w="0" w:type="dxa"/>
              <w:right w:w="85" w:type="dxa"/>
            </w:tcMar>
          </w:tcPr>
          <w:p w14:paraId="1B879A27" w14:textId="77777777" w:rsidR="006611EE" w:rsidRPr="00261B7A" w:rsidRDefault="006611EE" w:rsidP="000F09B5">
            <w:pPr>
              <w:pStyle w:val="TableText"/>
              <w:spacing w:before="40" w:after="40"/>
              <w:rPr>
                <w:rFonts w:cstheme="minorHAnsi"/>
              </w:rPr>
            </w:pPr>
            <w:r w:rsidRPr="00261B7A">
              <w:rPr>
                <w:rFonts w:cstheme="minorHAnsi"/>
                <w:color w:val="000000"/>
              </w:rPr>
              <w:t>3.G</w:t>
            </w:r>
          </w:p>
        </w:tc>
        <w:tc>
          <w:tcPr>
            <w:tcW w:w="2948" w:type="dxa"/>
            <w:shd w:val="clear" w:color="auto" w:fill="FFFFFF"/>
            <w:tcMar>
              <w:top w:w="0" w:type="dxa"/>
              <w:left w:w="85" w:type="dxa"/>
              <w:bottom w:w="0" w:type="dxa"/>
              <w:right w:w="85" w:type="dxa"/>
            </w:tcMar>
          </w:tcPr>
          <w:p w14:paraId="3C318044" w14:textId="77777777" w:rsidR="006611EE" w:rsidRPr="00261B7A" w:rsidRDefault="006611EE" w:rsidP="000F09B5">
            <w:pPr>
              <w:pStyle w:val="TableText"/>
              <w:spacing w:before="40" w:after="40"/>
              <w:rPr>
                <w:rFonts w:cstheme="minorHAnsi"/>
              </w:rPr>
            </w:pPr>
            <w:r w:rsidRPr="00261B7A">
              <w:rPr>
                <w:rFonts w:cstheme="minorHAnsi"/>
                <w:color w:val="000000"/>
              </w:rPr>
              <w:t>Agriculture – Liming</w:t>
            </w:r>
          </w:p>
        </w:tc>
        <w:tc>
          <w:tcPr>
            <w:tcW w:w="397" w:type="dxa"/>
            <w:shd w:val="clear" w:color="auto" w:fill="FFFFFF"/>
            <w:tcMar>
              <w:top w:w="0" w:type="dxa"/>
              <w:left w:w="85" w:type="dxa"/>
              <w:bottom w:w="0" w:type="dxa"/>
              <w:right w:w="85" w:type="dxa"/>
            </w:tcMar>
          </w:tcPr>
          <w:p w14:paraId="52129016"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2D2E7E99" w14:textId="77777777" w:rsidR="006611EE" w:rsidRPr="00261B7A" w:rsidRDefault="006611EE" w:rsidP="000F09B5">
            <w:pPr>
              <w:pStyle w:val="TableText"/>
              <w:spacing w:before="40" w:after="40"/>
              <w:jc w:val="right"/>
              <w:rPr>
                <w:rFonts w:cstheme="minorHAnsi"/>
              </w:rPr>
            </w:pPr>
            <w:r w:rsidRPr="00261B7A">
              <w:rPr>
                <w:rFonts w:cstheme="minorHAnsi"/>
                <w:color w:val="000000"/>
              </w:rPr>
              <w:t>355.6</w:t>
            </w:r>
          </w:p>
        </w:tc>
        <w:tc>
          <w:tcPr>
            <w:tcW w:w="1021" w:type="dxa"/>
            <w:shd w:val="clear" w:color="auto" w:fill="FFFFFF"/>
            <w:tcMar>
              <w:top w:w="0" w:type="dxa"/>
              <w:left w:w="85" w:type="dxa"/>
              <w:bottom w:w="0" w:type="dxa"/>
              <w:right w:w="85" w:type="dxa"/>
            </w:tcMar>
          </w:tcPr>
          <w:p w14:paraId="6BBB8EEB"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567" w:type="dxa"/>
            <w:shd w:val="clear" w:color="auto" w:fill="FFFFFF"/>
            <w:tcMar>
              <w:top w:w="0" w:type="dxa"/>
              <w:left w:w="85" w:type="dxa"/>
              <w:bottom w:w="0" w:type="dxa"/>
              <w:right w:w="85" w:type="dxa"/>
            </w:tcMar>
          </w:tcPr>
          <w:p w14:paraId="1566B753" w14:textId="77777777" w:rsidR="006611EE" w:rsidRPr="00261B7A" w:rsidRDefault="006611EE" w:rsidP="000F09B5">
            <w:pPr>
              <w:pStyle w:val="TableText"/>
              <w:spacing w:before="40" w:after="40"/>
              <w:jc w:val="right"/>
              <w:rPr>
                <w:rFonts w:cstheme="minorHAnsi"/>
              </w:rPr>
            </w:pPr>
            <w:r w:rsidRPr="00261B7A">
              <w:rPr>
                <w:rFonts w:cstheme="minorHAnsi"/>
                <w:color w:val="000000"/>
              </w:rPr>
              <w:t>93.8</w:t>
            </w:r>
          </w:p>
        </w:tc>
      </w:tr>
      <w:tr w:rsidR="006611EE" w:rsidRPr="00261B7A" w14:paraId="3899D5C4" w14:textId="77777777" w:rsidTr="000F09B5">
        <w:tc>
          <w:tcPr>
            <w:tcW w:w="907" w:type="dxa"/>
            <w:shd w:val="clear" w:color="auto" w:fill="FFFFFF"/>
            <w:tcMar>
              <w:top w:w="0" w:type="dxa"/>
              <w:left w:w="85" w:type="dxa"/>
              <w:bottom w:w="0" w:type="dxa"/>
              <w:right w:w="85" w:type="dxa"/>
            </w:tcMar>
          </w:tcPr>
          <w:p w14:paraId="59536281" w14:textId="77777777" w:rsidR="006611EE" w:rsidRPr="00261B7A" w:rsidRDefault="006611EE" w:rsidP="000F09B5">
            <w:pPr>
              <w:pStyle w:val="TableText"/>
              <w:spacing w:before="40" w:after="40"/>
              <w:rPr>
                <w:rFonts w:cstheme="minorHAnsi"/>
              </w:rPr>
            </w:pPr>
            <w:r w:rsidRPr="00261B7A">
              <w:rPr>
                <w:rFonts w:cstheme="minorHAnsi"/>
                <w:color w:val="000000"/>
              </w:rPr>
              <w:t>4.B.1</w:t>
            </w:r>
          </w:p>
        </w:tc>
        <w:tc>
          <w:tcPr>
            <w:tcW w:w="2948" w:type="dxa"/>
            <w:shd w:val="clear" w:color="auto" w:fill="FFFFFF"/>
            <w:tcMar>
              <w:top w:w="0" w:type="dxa"/>
              <w:left w:w="85" w:type="dxa"/>
              <w:bottom w:w="0" w:type="dxa"/>
              <w:right w:w="85" w:type="dxa"/>
            </w:tcMar>
          </w:tcPr>
          <w:p w14:paraId="6EF6DF07" w14:textId="77777777" w:rsidR="006611EE" w:rsidRPr="00261B7A" w:rsidRDefault="006611EE" w:rsidP="000F09B5">
            <w:pPr>
              <w:pStyle w:val="TableText"/>
              <w:spacing w:before="40" w:after="40"/>
              <w:rPr>
                <w:rFonts w:cstheme="minorHAnsi"/>
              </w:rPr>
            </w:pPr>
            <w:r w:rsidRPr="00261B7A">
              <w:rPr>
                <w:rFonts w:cstheme="minorHAnsi"/>
                <w:color w:val="000000"/>
              </w:rPr>
              <w:t>Cropland – Cropland Remaining Cropland</w:t>
            </w:r>
          </w:p>
        </w:tc>
        <w:tc>
          <w:tcPr>
            <w:tcW w:w="397" w:type="dxa"/>
            <w:shd w:val="clear" w:color="auto" w:fill="FFFFFF"/>
            <w:tcMar>
              <w:top w:w="0" w:type="dxa"/>
              <w:left w:w="85" w:type="dxa"/>
              <w:bottom w:w="0" w:type="dxa"/>
              <w:right w:w="85" w:type="dxa"/>
            </w:tcMar>
          </w:tcPr>
          <w:p w14:paraId="0FD70C87"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4808499F" w14:textId="77777777" w:rsidR="006611EE" w:rsidRPr="00261B7A" w:rsidRDefault="006611EE" w:rsidP="000F09B5">
            <w:pPr>
              <w:pStyle w:val="TableText"/>
              <w:spacing w:before="40" w:after="40"/>
              <w:jc w:val="right"/>
              <w:rPr>
                <w:rFonts w:cstheme="minorHAnsi"/>
              </w:rPr>
            </w:pPr>
            <w:r w:rsidRPr="00261B7A">
              <w:rPr>
                <w:rFonts w:cstheme="minorHAnsi"/>
                <w:color w:val="000000"/>
              </w:rPr>
              <w:t>320.7</w:t>
            </w:r>
          </w:p>
        </w:tc>
        <w:tc>
          <w:tcPr>
            <w:tcW w:w="1021" w:type="dxa"/>
            <w:shd w:val="clear" w:color="auto" w:fill="FFFFFF"/>
            <w:tcMar>
              <w:top w:w="0" w:type="dxa"/>
              <w:left w:w="85" w:type="dxa"/>
              <w:bottom w:w="0" w:type="dxa"/>
              <w:right w:w="85" w:type="dxa"/>
            </w:tcMar>
          </w:tcPr>
          <w:p w14:paraId="00FD238B"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567" w:type="dxa"/>
            <w:shd w:val="clear" w:color="auto" w:fill="FFFFFF"/>
            <w:tcMar>
              <w:top w:w="0" w:type="dxa"/>
              <w:left w:w="85" w:type="dxa"/>
              <w:bottom w:w="0" w:type="dxa"/>
              <w:right w:w="85" w:type="dxa"/>
            </w:tcMar>
          </w:tcPr>
          <w:p w14:paraId="0A49499E" w14:textId="77777777" w:rsidR="006611EE" w:rsidRPr="00261B7A" w:rsidRDefault="006611EE" w:rsidP="000F09B5">
            <w:pPr>
              <w:pStyle w:val="TableText"/>
              <w:spacing w:before="40" w:after="40"/>
              <w:jc w:val="right"/>
              <w:rPr>
                <w:rFonts w:cstheme="minorHAnsi"/>
              </w:rPr>
            </w:pPr>
            <w:r w:rsidRPr="00261B7A">
              <w:rPr>
                <w:rFonts w:cstheme="minorHAnsi"/>
                <w:color w:val="000000"/>
              </w:rPr>
              <w:t>94.1</w:t>
            </w:r>
          </w:p>
        </w:tc>
      </w:tr>
      <w:tr w:rsidR="006611EE" w:rsidRPr="00261B7A" w14:paraId="24DF938C" w14:textId="77777777" w:rsidTr="000F09B5">
        <w:tc>
          <w:tcPr>
            <w:tcW w:w="907" w:type="dxa"/>
            <w:shd w:val="clear" w:color="auto" w:fill="FFFFFF"/>
            <w:tcMar>
              <w:top w:w="0" w:type="dxa"/>
              <w:left w:w="85" w:type="dxa"/>
              <w:bottom w:w="0" w:type="dxa"/>
              <w:right w:w="85" w:type="dxa"/>
            </w:tcMar>
          </w:tcPr>
          <w:p w14:paraId="00AA9B5C" w14:textId="77777777" w:rsidR="006611EE" w:rsidRPr="00261B7A" w:rsidRDefault="006611EE" w:rsidP="000F09B5">
            <w:pPr>
              <w:pStyle w:val="TableText"/>
              <w:spacing w:before="40" w:after="40"/>
              <w:rPr>
                <w:rFonts w:cstheme="minorHAnsi"/>
              </w:rPr>
            </w:pPr>
            <w:r w:rsidRPr="00261B7A">
              <w:rPr>
                <w:rFonts w:cstheme="minorHAnsi"/>
                <w:color w:val="000000"/>
              </w:rPr>
              <w:t>1.A.2.e</w:t>
            </w:r>
          </w:p>
        </w:tc>
        <w:tc>
          <w:tcPr>
            <w:tcW w:w="2948" w:type="dxa"/>
            <w:shd w:val="clear" w:color="auto" w:fill="FFFFFF"/>
            <w:tcMar>
              <w:top w:w="0" w:type="dxa"/>
              <w:left w:w="85" w:type="dxa"/>
              <w:bottom w:w="0" w:type="dxa"/>
              <w:right w:w="85" w:type="dxa"/>
            </w:tcMar>
          </w:tcPr>
          <w:p w14:paraId="2C16B772" w14:textId="77777777" w:rsidR="006611EE" w:rsidRPr="00261B7A" w:rsidRDefault="006611EE" w:rsidP="000F09B5">
            <w:pPr>
              <w:pStyle w:val="TableText"/>
              <w:spacing w:before="40" w:after="40"/>
              <w:rPr>
                <w:rFonts w:cstheme="minorHAnsi"/>
              </w:rPr>
            </w:pPr>
            <w:r w:rsidRPr="00261B7A">
              <w:rPr>
                <w:rFonts w:cstheme="minorHAnsi"/>
                <w:color w:val="000000"/>
              </w:rPr>
              <w:t>Manufacturing Industries and Construction – Food Processing, Beverages and Tobacco Liquid Fuels</w:t>
            </w:r>
          </w:p>
        </w:tc>
        <w:tc>
          <w:tcPr>
            <w:tcW w:w="397" w:type="dxa"/>
            <w:shd w:val="clear" w:color="auto" w:fill="FFFFFF"/>
            <w:tcMar>
              <w:top w:w="0" w:type="dxa"/>
              <w:left w:w="85" w:type="dxa"/>
              <w:bottom w:w="0" w:type="dxa"/>
              <w:right w:w="85" w:type="dxa"/>
            </w:tcMar>
          </w:tcPr>
          <w:p w14:paraId="7E884B88"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4DC691CF" w14:textId="77777777" w:rsidR="006611EE" w:rsidRPr="00261B7A" w:rsidRDefault="006611EE" w:rsidP="000F09B5">
            <w:pPr>
              <w:pStyle w:val="TableText"/>
              <w:spacing w:before="40" w:after="40"/>
              <w:jc w:val="right"/>
              <w:rPr>
                <w:rFonts w:cstheme="minorHAnsi"/>
              </w:rPr>
            </w:pPr>
            <w:r w:rsidRPr="00261B7A">
              <w:rPr>
                <w:rFonts w:cstheme="minorHAnsi"/>
                <w:color w:val="000000"/>
              </w:rPr>
              <w:t>287.1</w:t>
            </w:r>
          </w:p>
        </w:tc>
        <w:tc>
          <w:tcPr>
            <w:tcW w:w="1021" w:type="dxa"/>
            <w:shd w:val="clear" w:color="auto" w:fill="FFFFFF"/>
            <w:tcMar>
              <w:top w:w="0" w:type="dxa"/>
              <w:left w:w="85" w:type="dxa"/>
              <w:bottom w:w="0" w:type="dxa"/>
              <w:right w:w="85" w:type="dxa"/>
            </w:tcMar>
          </w:tcPr>
          <w:p w14:paraId="55D49BEC"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567" w:type="dxa"/>
            <w:shd w:val="clear" w:color="auto" w:fill="FFFFFF"/>
            <w:tcMar>
              <w:top w:w="0" w:type="dxa"/>
              <w:left w:w="85" w:type="dxa"/>
              <w:bottom w:w="0" w:type="dxa"/>
              <w:right w:w="85" w:type="dxa"/>
            </w:tcMar>
          </w:tcPr>
          <w:p w14:paraId="586E91E3" w14:textId="77777777" w:rsidR="006611EE" w:rsidRPr="00261B7A" w:rsidRDefault="006611EE" w:rsidP="000F09B5">
            <w:pPr>
              <w:pStyle w:val="TableText"/>
              <w:spacing w:before="40" w:after="40"/>
              <w:jc w:val="right"/>
              <w:rPr>
                <w:rFonts w:cstheme="minorHAnsi"/>
              </w:rPr>
            </w:pPr>
            <w:r w:rsidRPr="00261B7A">
              <w:rPr>
                <w:rFonts w:cstheme="minorHAnsi"/>
                <w:color w:val="000000"/>
              </w:rPr>
              <w:t>94.4</w:t>
            </w:r>
          </w:p>
        </w:tc>
      </w:tr>
      <w:tr w:rsidR="006611EE" w:rsidRPr="00261B7A" w14:paraId="41FFFA59" w14:textId="77777777" w:rsidTr="000F09B5">
        <w:tc>
          <w:tcPr>
            <w:tcW w:w="907" w:type="dxa"/>
            <w:shd w:val="clear" w:color="auto" w:fill="FFFFFF"/>
            <w:tcMar>
              <w:top w:w="0" w:type="dxa"/>
              <w:left w:w="85" w:type="dxa"/>
              <w:bottom w:w="0" w:type="dxa"/>
              <w:right w:w="85" w:type="dxa"/>
            </w:tcMar>
          </w:tcPr>
          <w:p w14:paraId="302C32C9" w14:textId="77777777" w:rsidR="006611EE" w:rsidRPr="00261B7A" w:rsidRDefault="006611EE" w:rsidP="000F09B5">
            <w:pPr>
              <w:pStyle w:val="TableText"/>
              <w:spacing w:before="40" w:after="40"/>
              <w:rPr>
                <w:rFonts w:cstheme="minorHAnsi"/>
              </w:rPr>
            </w:pPr>
            <w:r w:rsidRPr="00261B7A">
              <w:rPr>
                <w:rFonts w:cstheme="minorHAnsi"/>
                <w:color w:val="000000"/>
              </w:rPr>
              <w:t>5.D</w:t>
            </w:r>
          </w:p>
        </w:tc>
        <w:tc>
          <w:tcPr>
            <w:tcW w:w="2948" w:type="dxa"/>
            <w:shd w:val="clear" w:color="auto" w:fill="FFFFFF"/>
            <w:tcMar>
              <w:top w:w="0" w:type="dxa"/>
              <w:left w:w="85" w:type="dxa"/>
              <w:bottom w:w="0" w:type="dxa"/>
              <w:right w:w="85" w:type="dxa"/>
            </w:tcMar>
          </w:tcPr>
          <w:p w14:paraId="2AA50317" w14:textId="77777777" w:rsidR="006611EE" w:rsidRPr="00261B7A" w:rsidRDefault="006611EE" w:rsidP="000F09B5">
            <w:pPr>
              <w:pStyle w:val="TableText"/>
              <w:spacing w:before="40" w:after="40"/>
              <w:rPr>
                <w:rFonts w:cstheme="minorHAnsi"/>
              </w:rPr>
            </w:pPr>
            <w:r w:rsidRPr="00261B7A">
              <w:rPr>
                <w:rFonts w:cstheme="minorHAnsi"/>
                <w:color w:val="000000"/>
              </w:rPr>
              <w:t>Waste – Wastewater Treatment and Discharge</w:t>
            </w:r>
          </w:p>
        </w:tc>
        <w:tc>
          <w:tcPr>
            <w:tcW w:w="397" w:type="dxa"/>
            <w:shd w:val="clear" w:color="auto" w:fill="FFFFFF"/>
            <w:tcMar>
              <w:top w:w="0" w:type="dxa"/>
              <w:left w:w="85" w:type="dxa"/>
              <w:bottom w:w="0" w:type="dxa"/>
              <w:right w:w="85" w:type="dxa"/>
            </w:tcMar>
          </w:tcPr>
          <w:p w14:paraId="17745A6E"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964" w:type="dxa"/>
            <w:shd w:val="clear" w:color="auto" w:fill="FFFFFF"/>
            <w:tcMar>
              <w:top w:w="0" w:type="dxa"/>
              <w:left w:w="85" w:type="dxa"/>
              <w:bottom w:w="0" w:type="dxa"/>
              <w:right w:w="85" w:type="dxa"/>
            </w:tcMar>
          </w:tcPr>
          <w:p w14:paraId="65BDF5F7" w14:textId="77777777" w:rsidR="006611EE" w:rsidRPr="00261B7A" w:rsidRDefault="006611EE" w:rsidP="000F09B5">
            <w:pPr>
              <w:pStyle w:val="TableText"/>
              <w:spacing w:before="40" w:after="40"/>
              <w:jc w:val="right"/>
              <w:rPr>
                <w:rFonts w:cstheme="minorHAnsi"/>
              </w:rPr>
            </w:pPr>
            <w:r w:rsidRPr="00261B7A">
              <w:rPr>
                <w:rFonts w:cstheme="minorHAnsi"/>
                <w:color w:val="000000"/>
              </w:rPr>
              <w:t>256.9</w:t>
            </w:r>
          </w:p>
        </w:tc>
        <w:tc>
          <w:tcPr>
            <w:tcW w:w="1021" w:type="dxa"/>
            <w:shd w:val="clear" w:color="auto" w:fill="FFFFFF"/>
            <w:tcMar>
              <w:top w:w="0" w:type="dxa"/>
              <w:left w:w="85" w:type="dxa"/>
              <w:bottom w:w="0" w:type="dxa"/>
              <w:right w:w="85" w:type="dxa"/>
            </w:tcMar>
          </w:tcPr>
          <w:p w14:paraId="4391F3ED" w14:textId="77777777" w:rsidR="006611EE" w:rsidRPr="00261B7A" w:rsidRDefault="006611EE" w:rsidP="000F09B5">
            <w:pPr>
              <w:pStyle w:val="TableText"/>
              <w:spacing w:before="40" w:after="40"/>
              <w:jc w:val="right"/>
              <w:rPr>
                <w:rFonts w:cstheme="minorHAnsi"/>
              </w:rPr>
            </w:pPr>
            <w:r w:rsidRPr="00261B7A">
              <w:rPr>
                <w:rFonts w:cstheme="minorHAnsi"/>
                <w:color w:val="000000"/>
              </w:rPr>
              <w:t>0.2</w:t>
            </w:r>
          </w:p>
        </w:tc>
        <w:tc>
          <w:tcPr>
            <w:tcW w:w="567" w:type="dxa"/>
            <w:shd w:val="clear" w:color="auto" w:fill="FFFFFF"/>
            <w:tcMar>
              <w:top w:w="0" w:type="dxa"/>
              <w:left w:w="85" w:type="dxa"/>
              <w:bottom w:w="0" w:type="dxa"/>
              <w:right w:w="85" w:type="dxa"/>
            </w:tcMar>
          </w:tcPr>
          <w:p w14:paraId="514793DA" w14:textId="77777777" w:rsidR="006611EE" w:rsidRPr="00261B7A" w:rsidRDefault="006611EE" w:rsidP="000F09B5">
            <w:pPr>
              <w:pStyle w:val="TableText"/>
              <w:spacing w:before="40" w:after="40"/>
              <w:jc w:val="right"/>
              <w:rPr>
                <w:rFonts w:cstheme="minorHAnsi"/>
              </w:rPr>
            </w:pPr>
            <w:r w:rsidRPr="00261B7A">
              <w:rPr>
                <w:rFonts w:cstheme="minorHAnsi"/>
                <w:color w:val="000000"/>
              </w:rPr>
              <w:t>94.6</w:t>
            </w:r>
          </w:p>
        </w:tc>
      </w:tr>
      <w:tr w:rsidR="006611EE" w:rsidRPr="00261B7A" w14:paraId="1084293E" w14:textId="77777777" w:rsidTr="000F09B5">
        <w:tc>
          <w:tcPr>
            <w:tcW w:w="907" w:type="dxa"/>
            <w:shd w:val="clear" w:color="auto" w:fill="FFFFFF"/>
            <w:tcMar>
              <w:top w:w="0" w:type="dxa"/>
              <w:left w:w="85" w:type="dxa"/>
              <w:bottom w:w="0" w:type="dxa"/>
              <w:right w:w="85" w:type="dxa"/>
            </w:tcMar>
          </w:tcPr>
          <w:p w14:paraId="1433EE3E" w14:textId="77777777" w:rsidR="006611EE" w:rsidRPr="00261B7A" w:rsidRDefault="006611EE" w:rsidP="000F09B5">
            <w:pPr>
              <w:pStyle w:val="TableText"/>
              <w:spacing w:before="40" w:after="40"/>
              <w:rPr>
                <w:rFonts w:cstheme="minorHAnsi"/>
              </w:rPr>
            </w:pPr>
            <w:r w:rsidRPr="00261B7A">
              <w:rPr>
                <w:rFonts w:cstheme="minorHAnsi"/>
                <w:color w:val="000000"/>
              </w:rPr>
              <w:t>3.D.1.4</w:t>
            </w:r>
          </w:p>
        </w:tc>
        <w:tc>
          <w:tcPr>
            <w:tcW w:w="2948" w:type="dxa"/>
            <w:shd w:val="clear" w:color="auto" w:fill="FFFFFF"/>
            <w:tcMar>
              <w:top w:w="0" w:type="dxa"/>
              <w:left w:w="85" w:type="dxa"/>
              <w:bottom w:w="0" w:type="dxa"/>
              <w:right w:w="85" w:type="dxa"/>
            </w:tcMar>
          </w:tcPr>
          <w:p w14:paraId="2747860F" w14:textId="77777777" w:rsidR="006611EE" w:rsidRPr="00261B7A" w:rsidRDefault="006611EE" w:rsidP="000F09B5">
            <w:pPr>
              <w:pStyle w:val="TableText"/>
              <w:spacing w:before="40" w:after="40"/>
              <w:rPr>
                <w:rFonts w:cstheme="minorHAnsi"/>
              </w:rPr>
            </w:pPr>
            <w:r w:rsidRPr="00261B7A">
              <w:rPr>
                <w:rFonts w:cstheme="minorHAnsi"/>
                <w:color w:val="000000"/>
              </w:rPr>
              <w:t>Direct N</w:t>
            </w:r>
            <w:r w:rsidRPr="00261B7A">
              <w:rPr>
                <w:rFonts w:cstheme="minorHAnsi"/>
                <w:color w:val="000000"/>
                <w:vertAlign w:val="subscript"/>
              </w:rPr>
              <w:t>2</w:t>
            </w:r>
            <w:r w:rsidRPr="00261B7A">
              <w:rPr>
                <w:rFonts w:cstheme="minorHAnsi"/>
                <w:color w:val="000000"/>
              </w:rPr>
              <w:t>O Emissions From Managed Soils – Crop Residues</w:t>
            </w:r>
          </w:p>
        </w:tc>
        <w:tc>
          <w:tcPr>
            <w:tcW w:w="397" w:type="dxa"/>
            <w:shd w:val="clear" w:color="auto" w:fill="FFFFFF"/>
            <w:tcMar>
              <w:top w:w="0" w:type="dxa"/>
              <w:left w:w="85" w:type="dxa"/>
              <w:bottom w:w="0" w:type="dxa"/>
              <w:right w:w="85" w:type="dxa"/>
            </w:tcMar>
          </w:tcPr>
          <w:p w14:paraId="7DEEB680" w14:textId="77777777" w:rsidR="006611EE" w:rsidRPr="00261B7A" w:rsidRDefault="006611EE" w:rsidP="000F09B5">
            <w:pPr>
              <w:pStyle w:val="TableText"/>
              <w:spacing w:before="40" w:after="40"/>
              <w:jc w:val="center"/>
              <w:rPr>
                <w:rFonts w:cstheme="minorHAnsi"/>
              </w:rPr>
            </w:pPr>
            <w:r w:rsidRPr="00261B7A">
              <w:rPr>
                <w:rFonts w:cstheme="minorHAnsi"/>
                <w:color w:val="000000"/>
              </w:rPr>
              <w:t>N</w:t>
            </w:r>
            <w:r w:rsidRPr="00261B7A">
              <w:rPr>
                <w:rFonts w:asciiTheme="minorHAnsi" w:hAnsiTheme="minorHAnsi" w:cstheme="minorHAnsi"/>
                <w:vertAlign w:val="subscript"/>
              </w:rPr>
              <w:t>2</w:t>
            </w:r>
            <w:r w:rsidRPr="00261B7A">
              <w:rPr>
                <w:rFonts w:asciiTheme="minorHAnsi" w:hAnsiTheme="minorHAnsi" w:cstheme="minorHAnsi"/>
              </w:rPr>
              <w:t>O</w:t>
            </w:r>
          </w:p>
        </w:tc>
        <w:tc>
          <w:tcPr>
            <w:tcW w:w="964" w:type="dxa"/>
            <w:shd w:val="clear" w:color="auto" w:fill="FFFFFF"/>
            <w:tcMar>
              <w:top w:w="0" w:type="dxa"/>
              <w:left w:w="85" w:type="dxa"/>
              <w:bottom w:w="0" w:type="dxa"/>
              <w:right w:w="85" w:type="dxa"/>
            </w:tcMar>
          </w:tcPr>
          <w:p w14:paraId="49DC5086" w14:textId="77777777" w:rsidR="006611EE" w:rsidRPr="00261B7A" w:rsidRDefault="006611EE" w:rsidP="000F09B5">
            <w:pPr>
              <w:pStyle w:val="TableText"/>
              <w:spacing w:before="40" w:after="40"/>
              <w:jc w:val="right"/>
              <w:rPr>
                <w:rFonts w:cstheme="minorHAnsi"/>
              </w:rPr>
            </w:pPr>
            <w:r w:rsidRPr="00261B7A">
              <w:rPr>
                <w:rFonts w:cstheme="minorHAnsi"/>
                <w:color w:val="000000"/>
              </w:rPr>
              <w:t>255.7</w:t>
            </w:r>
          </w:p>
        </w:tc>
        <w:tc>
          <w:tcPr>
            <w:tcW w:w="1021" w:type="dxa"/>
            <w:shd w:val="clear" w:color="auto" w:fill="FFFFFF"/>
            <w:tcMar>
              <w:top w:w="0" w:type="dxa"/>
              <w:left w:w="85" w:type="dxa"/>
              <w:bottom w:w="0" w:type="dxa"/>
              <w:right w:w="85" w:type="dxa"/>
            </w:tcMar>
          </w:tcPr>
          <w:p w14:paraId="240A009E" w14:textId="77777777" w:rsidR="006611EE" w:rsidRPr="00261B7A" w:rsidRDefault="006611EE" w:rsidP="000F09B5">
            <w:pPr>
              <w:pStyle w:val="TableText"/>
              <w:spacing w:before="40" w:after="40"/>
              <w:jc w:val="right"/>
              <w:rPr>
                <w:rFonts w:cstheme="minorHAnsi"/>
              </w:rPr>
            </w:pPr>
            <w:r w:rsidRPr="00261B7A">
              <w:rPr>
                <w:rFonts w:cstheme="minorHAnsi"/>
                <w:color w:val="000000"/>
              </w:rPr>
              <w:t>0.2</w:t>
            </w:r>
          </w:p>
        </w:tc>
        <w:tc>
          <w:tcPr>
            <w:tcW w:w="567" w:type="dxa"/>
            <w:shd w:val="clear" w:color="auto" w:fill="FFFFFF"/>
            <w:tcMar>
              <w:top w:w="0" w:type="dxa"/>
              <w:left w:w="85" w:type="dxa"/>
              <w:bottom w:w="0" w:type="dxa"/>
              <w:right w:w="85" w:type="dxa"/>
            </w:tcMar>
          </w:tcPr>
          <w:p w14:paraId="2EC6825E" w14:textId="77777777" w:rsidR="006611EE" w:rsidRPr="00261B7A" w:rsidRDefault="006611EE" w:rsidP="000F09B5">
            <w:pPr>
              <w:pStyle w:val="TableText"/>
              <w:spacing w:before="40" w:after="40"/>
              <w:jc w:val="right"/>
              <w:rPr>
                <w:rFonts w:cstheme="minorHAnsi"/>
              </w:rPr>
            </w:pPr>
            <w:r w:rsidRPr="00261B7A">
              <w:rPr>
                <w:rFonts w:cstheme="minorHAnsi"/>
                <w:color w:val="000000"/>
              </w:rPr>
              <w:t>94.9</w:t>
            </w:r>
          </w:p>
        </w:tc>
      </w:tr>
      <w:tr w:rsidR="006611EE" w:rsidRPr="00261B7A" w14:paraId="129FF0EF" w14:textId="77777777" w:rsidTr="000F09B5">
        <w:tc>
          <w:tcPr>
            <w:tcW w:w="907" w:type="dxa"/>
            <w:shd w:val="clear" w:color="auto" w:fill="FFFFFF"/>
            <w:tcMar>
              <w:top w:w="0" w:type="dxa"/>
              <w:left w:w="85" w:type="dxa"/>
              <w:bottom w:w="0" w:type="dxa"/>
              <w:right w:w="85" w:type="dxa"/>
            </w:tcMar>
          </w:tcPr>
          <w:p w14:paraId="392EE1E0" w14:textId="77777777" w:rsidR="006611EE" w:rsidRPr="00261B7A" w:rsidRDefault="006611EE" w:rsidP="000F09B5">
            <w:pPr>
              <w:pStyle w:val="TableText"/>
              <w:spacing w:before="40" w:after="40"/>
              <w:rPr>
                <w:rFonts w:cstheme="minorHAnsi"/>
              </w:rPr>
            </w:pPr>
            <w:r w:rsidRPr="00261B7A">
              <w:rPr>
                <w:rFonts w:cstheme="minorHAnsi"/>
                <w:color w:val="000000"/>
              </w:rPr>
              <w:t>1.A.1.c</w:t>
            </w:r>
          </w:p>
        </w:tc>
        <w:tc>
          <w:tcPr>
            <w:tcW w:w="2948" w:type="dxa"/>
            <w:shd w:val="clear" w:color="auto" w:fill="FFFFFF"/>
            <w:tcMar>
              <w:top w:w="0" w:type="dxa"/>
              <w:left w:w="85" w:type="dxa"/>
              <w:bottom w:w="0" w:type="dxa"/>
              <w:right w:w="85" w:type="dxa"/>
            </w:tcMar>
          </w:tcPr>
          <w:p w14:paraId="569C2A9C" w14:textId="77777777" w:rsidR="006611EE" w:rsidRPr="00261B7A" w:rsidRDefault="006611EE" w:rsidP="000F09B5">
            <w:pPr>
              <w:pStyle w:val="TableText"/>
              <w:spacing w:before="40" w:after="40"/>
              <w:rPr>
                <w:rFonts w:cstheme="minorHAnsi"/>
              </w:rPr>
            </w:pPr>
            <w:r w:rsidRPr="00261B7A">
              <w:rPr>
                <w:rFonts w:cstheme="minorHAnsi"/>
                <w:color w:val="000000"/>
              </w:rPr>
              <w:t>Energy Industries – Manufacture of Solid Fuels and Other Energy Industries Gaseous Fuels</w:t>
            </w:r>
          </w:p>
        </w:tc>
        <w:tc>
          <w:tcPr>
            <w:tcW w:w="397" w:type="dxa"/>
            <w:shd w:val="clear" w:color="auto" w:fill="FFFFFF"/>
            <w:tcMar>
              <w:top w:w="0" w:type="dxa"/>
              <w:left w:w="85" w:type="dxa"/>
              <w:bottom w:w="0" w:type="dxa"/>
              <w:right w:w="85" w:type="dxa"/>
            </w:tcMar>
          </w:tcPr>
          <w:p w14:paraId="401B9384"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7CF6F78E" w14:textId="77777777" w:rsidR="006611EE" w:rsidRPr="00261B7A" w:rsidRDefault="006611EE" w:rsidP="000F09B5">
            <w:pPr>
              <w:pStyle w:val="TableText"/>
              <w:spacing w:before="40" w:after="40"/>
              <w:jc w:val="right"/>
              <w:rPr>
                <w:rFonts w:cstheme="minorHAnsi"/>
              </w:rPr>
            </w:pPr>
            <w:r w:rsidRPr="00261B7A">
              <w:rPr>
                <w:rFonts w:cstheme="minorHAnsi"/>
                <w:color w:val="000000"/>
              </w:rPr>
              <w:t>240.4</w:t>
            </w:r>
          </w:p>
        </w:tc>
        <w:tc>
          <w:tcPr>
            <w:tcW w:w="1021" w:type="dxa"/>
            <w:shd w:val="clear" w:color="auto" w:fill="FFFFFF"/>
            <w:tcMar>
              <w:top w:w="0" w:type="dxa"/>
              <w:left w:w="85" w:type="dxa"/>
              <w:bottom w:w="0" w:type="dxa"/>
              <w:right w:w="85" w:type="dxa"/>
            </w:tcMar>
          </w:tcPr>
          <w:p w14:paraId="2984032A" w14:textId="77777777" w:rsidR="006611EE" w:rsidRPr="00261B7A" w:rsidRDefault="006611EE" w:rsidP="000F09B5">
            <w:pPr>
              <w:pStyle w:val="TableText"/>
              <w:spacing w:before="40" w:after="40"/>
              <w:jc w:val="right"/>
              <w:rPr>
                <w:rFonts w:cstheme="minorHAnsi"/>
              </w:rPr>
            </w:pPr>
            <w:r w:rsidRPr="00261B7A">
              <w:rPr>
                <w:rFonts w:cstheme="minorHAnsi"/>
                <w:color w:val="000000"/>
              </w:rPr>
              <w:t>0.2</w:t>
            </w:r>
          </w:p>
        </w:tc>
        <w:tc>
          <w:tcPr>
            <w:tcW w:w="567" w:type="dxa"/>
            <w:shd w:val="clear" w:color="auto" w:fill="FFFFFF"/>
            <w:tcMar>
              <w:top w:w="0" w:type="dxa"/>
              <w:left w:w="85" w:type="dxa"/>
              <w:bottom w:w="0" w:type="dxa"/>
              <w:right w:w="85" w:type="dxa"/>
            </w:tcMar>
          </w:tcPr>
          <w:p w14:paraId="487A3068" w14:textId="77777777" w:rsidR="006611EE" w:rsidRPr="00261B7A" w:rsidRDefault="006611EE" w:rsidP="000F09B5">
            <w:pPr>
              <w:pStyle w:val="TableText"/>
              <w:spacing w:before="40" w:after="40"/>
              <w:jc w:val="right"/>
              <w:rPr>
                <w:rFonts w:cstheme="minorHAnsi"/>
              </w:rPr>
            </w:pPr>
            <w:r w:rsidRPr="00261B7A">
              <w:rPr>
                <w:rFonts w:cstheme="minorHAnsi"/>
                <w:color w:val="000000"/>
              </w:rPr>
              <w:t>95.1</w:t>
            </w:r>
          </w:p>
        </w:tc>
      </w:tr>
    </w:tbl>
    <w:p w14:paraId="1CEAAA90" w14:textId="77777777" w:rsidR="006611EE" w:rsidRPr="00261B7A" w:rsidRDefault="006611EE" w:rsidP="006611EE">
      <w:pPr>
        <w:pStyle w:val="BodyText"/>
        <w:spacing w:before="360"/>
        <w:rPr>
          <w:b/>
          <w:bCs/>
          <w:sz w:val="18"/>
          <w:szCs w:val="18"/>
        </w:rPr>
      </w:pPr>
      <w:r w:rsidRPr="00261B7A">
        <w:rPr>
          <w:b/>
          <w:bCs/>
          <w:sz w:val="18"/>
          <w:szCs w:val="18"/>
        </w:rPr>
        <w:t>(b)</w:t>
      </w:r>
      <w:r w:rsidRPr="00261B7A">
        <w:rPr>
          <w:b/>
          <w:bCs/>
          <w:sz w:val="18"/>
          <w:szCs w:val="18"/>
        </w:rPr>
        <w:tab/>
        <w:t>IPCC Tier 1 category level assessment – excluding LULUCF (gross emissions): 2021</w:t>
      </w:r>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061"/>
        <w:gridCol w:w="3446"/>
        <w:gridCol w:w="596"/>
        <w:gridCol w:w="1127"/>
        <w:gridCol w:w="1193"/>
        <w:gridCol w:w="1082"/>
      </w:tblGrid>
      <w:tr w:rsidR="006611EE" w:rsidRPr="00261B7A" w14:paraId="0AFFC217" w14:textId="77777777" w:rsidTr="000F09B5">
        <w:trPr>
          <w:tblHeader/>
        </w:trPr>
        <w:tc>
          <w:tcPr>
            <w:tcW w:w="907" w:type="dxa"/>
            <w:shd w:val="clear" w:color="auto" w:fill="1B556B"/>
            <w:tcMar>
              <w:top w:w="0" w:type="dxa"/>
              <w:left w:w="85" w:type="dxa"/>
              <w:bottom w:w="0" w:type="dxa"/>
              <w:right w:w="85" w:type="dxa"/>
            </w:tcMar>
            <w:vAlign w:val="bottom"/>
          </w:tcPr>
          <w:p w14:paraId="719E1074" w14:textId="77777777" w:rsidR="006611EE" w:rsidRPr="00261B7A" w:rsidRDefault="006611EE" w:rsidP="000F09B5">
            <w:pPr>
              <w:pStyle w:val="TableText"/>
              <w:spacing w:before="40" w:after="40"/>
              <w:rPr>
                <w:b/>
                <w:bCs/>
                <w:color w:val="FFFFFF" w:themeColor="background1"/>
              </w:rPr>
            </w:pPr>
            <w:r w:rsidRPr="00261B7A">
              <w:rPr>
                <w:rFonts w:eastAsia="Calibri"/>
                <w:b/>
                <w:bCs/>
                <w:color w:val="FFFFFF" w:themeColor="background1"/>
              </w:rPr>
              <w:t>CRF category code</w:t>
            </w:r>
          </w:p>
        </w:tc>
        <w:tc>
          <w:tcPr>
            <w:tcW w:w="2948" w:type="dxa"/>
            <w:shd w:val="clear" w:color="auto" w:fill="1B556B"/>
            <w:tcMar>
              <w:top w:w="0" w:type="dxa"/>
              <w:left w:w="85" w:type="dxa"/>
              <w:bottom w:w="0" w:type="dxa"/>
              <w:right w:w="85" w:type="dxa"/>
            </w:tcMar>
            <w:vAlign w:val="bottom"/>
          </w:tcPr>
          <w:p w14:paraId="57EA308B" w14:textId="77777777" w:rsidR="006611EE" w:rsidRPr="00261B7A" w:rsidRDefault="006611EE" w:rsidP="000F09B5">
            <w:pPr>
              <w:pStyle w:val="TableText"/>
              <w:spacing w:before="40" w:after="40"/>
              <w:rPr>
                <w:b/>
                <w:bCs/>
                <w:color w:val="FFFFFF" w:themeColor="background1"/>
              </w:rPr>
            </w:pPr>
            <w:r w:rsidRPr="00261B7A">
              <w:rPr>
                <w:rFonts w:eastAsia="Calibri"/>
                <w:b/>
                <w:bCs/>
                <w:color w:val="FFFFFF" w:themeColor="background1"/>
              </w:rPr>
              <w:t>IPCC category</w:t>
            </w:r>
          </w:p>
        </w:tc>
        <w:tc>
          <w:tcPr>
            <w:tcW w:w="510" w:type="dxa"/>
            <w:shd w:val="clear" w:color="auto" w:fill="1B556B"/>
            <w:tcMar>
              <w:top w:w="0" w:type="dxa"/>
              <w:left w:w="85" w:type="dxa"/>
              <w:bottom w:w="0" w:type="dxa"/>
              <w:right w:w="85" w:type="dxa"/>
            </w:tcMar>
            <w:vAlign w:val="bottom"/>
          </w:tcPr>
          <w:p w14:paraId="4E552ED2" w14:textId="77777777" w:rsidR="006611EE" w:rsidRPr="00261B7A" w:rsidRDefault="006611EE" w:rsidP="000F09B5">
            <w:pPr>
              <w:pStyle w:val="TableText"/>
              <w:spacing w:before="40" w:after="40"/>
              <w:jc w:val="center"/>
              <w:rPr>
                <w:b/>
                <w:bCs/>
                <w:color w:val="FFFFFF" w:themeColor="background1"/>
              </w:rPr>
            </w:pPr>
            <w:r w:rsidRPr="00261B7A">
              <w:rPr>
                <w:rFonts w:eastAsia="Calibri"/>
                <w:b/>
                <w:bCs/>
                <w:color w:val="FFFFFF" w:themeColor="background1"/>
              </w:rPr>
              <w:t>Gas</w:t>
            </w:r>
          </w:p>
        </w:tc>
        <w:tc>
          <w:tcPr>
            <w:tcW w:w="964" w:type="dxa"/>
            <w:shd w:val="clear" w:color="auto" w:fill="1B556B"/>
            <w:tcMar>
              <w:top w:w="0" w:type="dxa"/>
              <w:left w:w="85" w:type="dxa"/>
              <w:bottom w:w="0" w:type="dxa"/>
              <w:right w:w="85" w:type="dxa"/>
            </w:tcMar>
            <w:vAlign w:val="bottom"/>
          </w:tcPr>
          <w:p w14:paraId="34F1FE77" w14:textId="77777777" w:rsidR="006611EE" w:rsidRPr="00261B7A" w:rsidRDefault="006611EE" w:rsidP="000F09B5">
            <w:pPr>
              <w:pStyle w:val="TableText"/>
              <w:spacing w:before="40" w:after="40"/>
              <w:jc w:val="right"/>
              <w:rPr>
                <w:b/>
                <w:bCs/>
                <w:color w:val="FFFFFF" w:themeColor="background1"/>
              </w:rPr>
            </w:pPr>
            <w:r w:rsidRPr="00261B7A">
              <w:rPr>
                <w:rFonts w:eastAsia="Calibri"/>
                <w:b/>
                <w:bCs/>
                <w:color w:val="FFFFFF" w:themeColor="background1"/>
              </w:rPr>
              <w:t xml:space="preserve">2021 estimate </w:t>
            </w:r>
            <w:r w:rsidRPr="00261B7A">
              <w:rPr>
                <w:rFonts w:eastAsia="Calibri"/>
                <w:b/>
                <w:bCs/>
                <w:color w:val="FFFFFF" w:themeColor="background1"/>
              </w:rPr>
              <w:br/>
              <w:t>(kt CO</w:t>
            </w:r>
            <w:r w:rsidRPr="00261B7A">
              <w:rPr>
                <w:rFonts w:eastAsia="Calibri"/>
                <w:b/>
                <w:bCs/>
                <w:color w:val="FFFFFF" w:themeColor="background1"/>
                <w:vertAlign w:val="subscript"/>
              </w:rPr>
              <w:t>2</w:t>
            </w:r>
            <w:r w:rsidRPr="00261B7A">
              <w:rPr>
                <w:rFonts w:eastAsia="Calibri"/>
                <w:b/>
                <w:bCs/>
                <w:color w:val="FFFFFF" w:themeColor="background1"/>
              </w:rPr>
              <w:t>-e)</w:t>
            </w:r>
          </w:p>
        </w:tc>
        <w:tc>
          <w:tcPr>
            <w:tcW w:w="1021" w:type="dxa"/>
            <w:shd w:val="clear" w:color="auto" w:fill="1B556B"/>
            <w:tcMar>
              <w:top w:w="0" w:type="dxa"/>
              <w:left w:w="85" w:type="dxa"/>
              <w:bottom w:w="0" w:type="dxa"/>
              <w:right w:w="85" w:type="dxa"/>
            </w:tcMar>
            <w:vAlign w:val="bottom"/>
          </w:tcPr>
          <w:p w14:paraId="42BBDC58" w14:textId="77777777" w:rsidR="006611EE" w:rsidRPr="00261B7A" w:rsidRDefault="006611EE" w:rsidP="000F09B5">
            <w:pPr>
              <w:pStyle w:val="TableText"/>
              <w:spacing w:before="40" w:after="40"/>
              <w:jc w:val="right"/>
              <w:rPr>
                <w:b/>
                <w:bCs/>
                <w:color w:val="FFFFFF" w:themeColor="background1"/>
              </w:rPr>
            </w:pPr>
            <w:r w:rsidRPr="00261B7A">
              <w:rPr>
                <w:rFonts w:eastAsia="Calibri"/>
                <w:b/>
                <w:bCs/>
                <w:color w:val="FFFFFF" w:themeColor="background1"/>
              </w:rPr>
              <w:t>Level assessment (%)</w:t>
            </w:r>
          </w:p>
        </w:tc>
        <w:tc>
          <w:tcPr>
            <w:tcW w:w="907" w:type="dxa"/>
            <w:shd w:val="clear" w:color="auto" w:fill="1B556B"/>
            <w:tcMar>
              <w:top w:w="0" w:type="dxa"/>
              <w:left w:w="85" w:type="dxa"/>
              <w:bottom w:w="0" w:type="dxa"/>
              <w:right w:w="85" w:type="dxa"/>
            </w:tcMar>
            <w:vAlign w:val="bottom"/>
          </w:tcPr>
          <w:p w14:paraId="3C00EFE4" w14:textId="77777777" w:rsidR="006611EE" w:rsidRPr="00261B7A" w:rsidRDefault="006611EE" w:rsidP="000F09B5">
            <w:pPr>
              <w:pStyle w:val="TableText"/>
              <w:spacing w:before="40" w:after="40"/>
              <w:jc w:val="right"/>
              <w:rPr>
                <w:b/>
                <w:bCs/>
                <w:color w:val="FFFFFF" w:themeColor="background1"/>
              </w:rPr>
            </w:pPr>
            <w:r w:rsidRPr="00261B7A">
              <w:rPr>
                <w:rFonts w:eastAsia="Calibri"/>
                <w:b/>
                <w:bCs/>
                <w:color w:val="FFFFFF" w:themeColor="background1"/>
              </w:rPr>
              <w:t>Cumulative total (%)</w:t>
            </w:r>
          </w:p>
        </w:tc>
      </w:tr>
      <w:tr w:rsidR="006611EE" w:rsidRPr="00261B7A" w14:paraId="699E839E" w14:textId="77777777" w:rsidTr="000F09B5">
        <w:tc>
          <w:tcPr>
            <w:tcW w:w="907" w:type="dxa"/>
            <w:shd w:val="clear" w:color="auto" w:fill="FFFFFF"/>
            <w:tcMar>
              <w:top w:w="0" w:type="dxa"/>
              <w:left w:w="85" w:type="dxa"/>
              <w:bottom w:w="0" w:type="dxa"/>
              <w:right w:w="85" w:type="dxa"/>
            </w:tcMar>
          </w:tcPr>
          <w:p w14:paraId="10C5B20B" w14:textId="77777777" w:rsidR="006611EE" w:rsidRPr="00261B7A" w:rsidRDefault="006611EE" w:rsidP="000F09B5">
            <w:pPr>
              <w:pStyle w:val="TableText"/>
              <w:spacing w:before="40" w:after="40"/>
              <w:rPr>
                <w:rFonts w:cstheme="minorHAnsi"/>
              </w:rPr>
            </w:pPr>
            <w:r w:rsidRPr="00261B7A">
              <w:rPr>
                <w:rFonts w:cstheme="minorHAnsi"/>
                <w:color w:val="000000"/>
              </w:rPr>
              <w:t>3.A.1</w:t>
            </w:r>
          </w:p>
        </w:tc>
        <w:tc>
          <w:tcPr>
            <w:tcW w:w="2948" w:type="dxa"/>
            <w:shd w:val="clear" w:color="auto" w:fill="FFFFFF"/>
            <w:tcMar>
              <w:top w:w="0" w:type="dxa"/>
              <w:left w:w="85" w:type="dxa"/>
              <w:bottom w:w="0" w:type="dxa"/>
              <w:right w:w="85" w:type="dxa"/>
            </w:tcMar>
          </w:tcPr>
          <w:p w14:paraId="0B4C00A1" w14:textId="77777777" w:rsidR="006611EE" w:rsidRPr="00261B7A" w:rsidRDefault="006611EE" w:rsidP="000F09B5">
            <w:pPr>
              <w:pStyle w:val="TableText"/>
              <w:spacing w:before="40" w:after="40"/>
              <w:rPr>
                <w:rFonts w:cstheme="minorHAnsi"/>
              </w:rPr>
            </w:pPr>
            <w:r w:rsidRPr="00261B7A">
              <w:rPr>
                <w:rFonts w:cstheme="minorHAnsi"/>
                <w:color w:val="000000"/>
              </w:rPr>
              <w:t>Option A – Dairy Cattle</w:t>
            </w:r>
          </w:p>
        </w:tc>
        <w:tc>
          <w:tcPr>
            <w:tcW w:w="510" w:type="dxa"/>
            <w:shd w:val="clear" w:color="auto" w:fill="FFFFFF"/>
            <w:tcMar>
              <w:top w:w="0" w:type="dxa"/>
              <w:left w:w="85" w:type="dxa"/>
              <w:bottom w:w="0" w:type="dxa"/>
              <w:right w:w="85" w:type="dxa"/>
            </w:tcMar>
          </w:tcPr>
          <w:p w14:paraId="7DC0CF8A"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964" w:type="dxa"/>
            <w:shd w:val="clear" w:color="auto" w:fill="FFFFFF"/>
            <w:tcMar>
              <w:top w:w="0" w:type="dxa"/>
              <w:left w:w="85" w:type="dxa"/>
              <w:bottom w:w="0" w:type="dxa"/>
              <w:right w:w="85" w:type="dxa"/>
            </w:tcMar>
          </w:tcPr>
          <w:p w14:paraId="68E6E408" w14:textId="77777777" w:rsidR="006611EE" w:rsidRPr="00261B7A" w:rsidRDefault="006611EE" w:rsidP="000F09B5">
            <w:pPr>
              <w:pStyle w:val="TableText"/>
              <w:spacing w:before="40" w:after="40"/>
              <w:jc w:val="right"/>
              <w:rPr>
                <w:rFonts w:cstheme="minorHAnsi"/>
              </w:rPr>
            </w:pPr>
            <w:r w:rsidRPr="00261B7A">
              <w:rPr>
                <w:rFonts w:cstheme="minorHAnsi"/>
                <w:color w:val="000000"/>
              </w:rPr>
              <w:t>13,382.5</w:t>
            </w:r>
          </w:p>
        </w:tc>
        <w:tc>
          <w:tcPr>
            <w:tcW w:w="1021" w:type="dxa"/>
            <w:shd w:val="clear" w:color="auto" w:fill="FFFFFF"/>
            <w:tcMar>
              <w:top w:w="0" w:type="dxa"/>
              <w:left w:w="85" w:type="dxa"/>
              <w:bottom w:w="0" w:type="dxa"/>
              <w:right w:w="85" w:type="dxa"/>
            </w:tcMar>
          </w:tcPr>
          <w:p w14:paraId="7CC6ED54" w14:textId="77777777" w:rsidR="006611EE" w:rsidRPr="00261B7A" w:rsidRDefault="006611EE" w:rsidP="000F09B5">
            <w:pPr>
              <w:pStyle w:val="TableText"/>
              <w:spacing w:before="40" w:after="40"/>
              <w:jc w:val="right"/>
              <w:rPr>
                <w:rFonts w:cstheme="minorHAnsi"/>
              </w:rPr>
            </w:pPr>
            <w:r w:rsidRPr="00261B7A">
              <w:rPr>
                <w:rFonts w:cstheme="minorHAnsi"/>
                <w:color w:val="000000"/>
              </w:rPr>
              <w:t>17.4</w:t>
            </w:r>
          </w:p>
        </w:tc>
        <w:tc>
          <w:tcPr>
            <w:tcW w:w="907" w:type="dxa"/>
            <w:shd w:val="clear" w:color="auto" w:fill="FFFFFF"/>
            <w:tcMar>
              <w:top w:w="0" w:type="dxa"/>
              <w:left w:w="85" w:type="dxa"/>
              <w:bottom w:w="0" w:type="dxa"/>
              <w:right w:w="85" w:type="dxa"/>
            </w:tcMar>
          </w:tcPr>
          <w:p w14:paraId="768BBB54" w14:textId="77777777" w:rsidR="006611EE" w:rsidRPr="00261B7A" w:rsidRDefault="006611EE" w:rsidP="000F09B5">
            <w:pPr>
              <w:pStyle w:val="TableText"/>
              <w:spacing w:before="40" w:after="40"/>
              <w:jc w:val="right"/>
              <w:rPr>
                <w:rFonts w:cstheme="minorHAnsi"/>
              </w:rPr>
            </w:pPr>
            <w:r w:rsidRPr="00261B7A">
              <w:rPr>
                <w:rFonts w:cstheme="minorHAnsi"/>
                <w:color w:val="000000"/>
              </w:rPr>
              <w:t>17.4</w:t>
            </w:r>
          </w:p>
        </w:tc>
      </w:tr>
      <w:tr w:rsidR="006611EE" w:rsidRPr="00261B7A" w14:paraId="42D64ADE" w14:textId="77777777" w:rsidTr="000F09B5">
        <w:tc>
          <w:tcPr>
            <w:tcW w:w="907" w:type="dxa"/>
            <w:shd w:val="clear" w:color="auto" w:fill="FFFFFF"/>
            <w:tcMar>
              <w:top w:w="0" w:type="dxa"/>
              <w:left w:w="85" w:type="dxa"/>
              <w:bottom w:w="0" w:type="dxa"/>
              <w:right w:w="85" w:type="dxa"/>
            </w:tcMar>
          </w:tcPr>
          <w:p w14:paraId="012C3937" w14:textId="77777777" w:rsidR="006611EE" w:rsidRPr="00261B7A" w:rsidRDefault="006611EE" w:rsidP="000F09B5">
            <w:pPr>
              <w:pStyle w:val="TableText"/>
              <w:spacing w:before="40" w:after="40"/>
              <w:rPr>
                <w:rFonts w:cstheme="minorHAnsi"/>
              </w:rPr>
            </w:pPr>
            <w:r w:rsidRPr="00261B7A">
              <w:rPr>
                <w:rFonts w:cstheme="minorHAnsi"/>
                <w:color w:val="000000"/>
              </w:rPr>
              <w:t>1.A.3.b</w:t>
            </w:r>
          </w:p>
        </w:tc>
        <w:tc>
          <w:tcPr>
            <w:tcW w:w="2948" w:type="dxa"/>
            <w:shd w:val="clear" w:color="auto" w:fill="FFFFFF"/>
            <w:tcMar>
              <w:top w:w="0" w:type="dxa"/>
              <w:left w:w="85" w:type="dxa"/>
              <w:bottom w:w="0" w:type="dxa"/>
              <w:right w:w="85" w:type="dxa"/>
            </w:tcMar>
          </w:tcPr>
          <w:p w14:paraId="189BAD47" w14:textId="77777777" w:rsidR="006611EE" w:rsidRPr="00261B7A" w:rsidRDefault="006611EE" w:rsidP="000F09B5">
            <w:pPr>
              <w:pStyle w:val="TableText"/>
              <w:spacing w:before="40" w:after="40"/>
              <w:rPr>
                <w:rFonts w:cstheme="minorHAnsi"/>
              </w:rPr>
            </w:pPr>
            <w:r w:rsidRPr="00261B7A">
              <w:rPr>
                <w:rFonts w:cstheme="minorHAnsi"/>
                <w:color w:val="000000"/>
              </w:rPr>
              <w:t>Transport – Road Transportation Liquid Fuels</w:t>
            </w:r>
          </w:p>
        </w:tc>
        <w:tc>
          <w:tcPr>
            <w:tcW w:w="510" w:type="dxa"/>
            <w:shd w:val="clear" w:color="auto" w:fill="FFFFFF"/>
            <w:tcMar>
              <w:top w:w="0" w:type="dxa"/>
              <w:left w:w="85" w:type="dxa"/>
              <w:bottom w:w="0" w:type="dxa"/>
              <w:right w:w="85" w:type="dxa"/>
            </w:tcMar>
          </w:tcPr>
          <w:p w14:paraId="27533C69"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3F414F4A" w14:textId="77777777" w:rsidR="006611EE" w:rsidRPr="00261B7A" w:rsidRDefault="006611EE" w:rsidP="000F09B5">
            <w:pPr>
              <w:pStyle w:val="TableText"/>
              <w:spacing w:before="40" w:after="40"/>
              <w:jc w:val="right"/>
              <w:rPr>
                <w:rFonts w:cstheme="minorHAnsi"/>
              </w:rPr>
            </w:pPr>
            <w:r w:rsidRPr="00261B7A">
              <w:rPr>
                <w:rFonts w:cstheme="minorHAnsi"/>
                <w:color w:val="000000"/>
              </w:rPr>
              <w:t>12,555.0</w:t>
            </w:r>
          </w:p>
        </w:tc>
        <w:tc>
          <w:tcPr>
            <w:tcW w:w="1021" w:type="dxa"/>
            <w:shd w:val="clear" w:color="auto" w:fill="FFFFFF"/>
            <w:tcMar>
              <w:top w:w="0" w:type="dxa"/>
              <w:left w:w="85" w:type="dxa"/>
              <w:bottom w:w="0" w:type="dxa"/>
              <w:right w:w="85" w:type="dxa"/>
            </w:tcMar>
          </w:tcPr>
          <w:p w14:paraId="478BA27C" w14:textId="77777777" w:rsidR="006611EE" w:rsidRPr="00261B7A" w:rsidRDefault="006611EE" w:rsidP="000F09B5">
            <w:pPr>
              <w:pStyle w:val="TableText"/>
              <w:spacing w:before="40" w:after="40"/>
              <w:jc w:val="right"/>
              <w:rPr>
                <w:rFonts w:cstheme="minorHAnsi"/>
              </w:rPr>
            </w:pPr>
            <w:r w:rsidRPr="00261B7A">
              <w:rPr>
                <w:rFonts w:cstheme="minorHAnsi"/>
                <w:color w:val="000000"/>
              </w:rPr>
              <w:t>16.3</w:t>
            </w:r>
          </w:p>
        </w:tc>
        <w:tc>
          <w:tcPr>
            <w:tcW w:w="907" w:type="dxa"/>
            <w:shd w:val="clear" w:color="auto" w:fill="FFFFFF"/>
            <w:tcMar>
              <w:top w:w="0" w:type="dxa"/>
              <w:left w:w="85" w:type="dxa"/>
              <w:bottom w:w="0" w:type="dxa"/>
              <w:right w:w="85" w:type="dxa"/>
            </w:tcMar>
          </w:tcPr>
          <w:p w14:paraId="52E5540D" w14:textId="77777777" w:rsidR="006611EE" w:rsidRPr="00261B7A" w:rsidRDefault="006611EE" w:rsidP="000F09B5">
            <w:pPr>
              <w:pStyle w:val="TableText"/>
              <w:spacing w:before="40" w:after="40"/>
              <w:jc w:val="right"/>
              <w:rPr>
                <w:rFonts w:cstheme="minorHAnsi"/>
              </w:rPr>
            </w:pPr>
            <w:r w:rsidRPr="00261B7A">
              <w:rPr>
                <w:rFonts w:cstheme="minorHAnsi"/>
                <w:color w:val="000000"/>
              </w:rPr>
              <w:t>33.8</w:t>
            </w:r>
          </w:p>
        </w:tc>
      </w:tr>
      <w:tr w:rsidR="006611EE" w:rsidRPr="00261B7A" w14:paraId="07B9E324" w14:textId="77777777" w:rsidTr="000F09B5">
        <w:tc>
          <w:tcPr>
            <w:tcW w:w="907" w:type="dxa"/>
            <w:shd w:val="clear" w:color="auto" w:fill="FFFFFF"/>
            <w:tcMar>
              <w:top w:w="0" w:type="dxa"/>
              <w:left w:w="85" w:type="dxa"/>
              <w:bottom w:w="0" w:type="dxa"/>
              <w:right w:w="85" w:type="dxa"/>
            </w:tcMar>
          </w:tcPr>
          <w:p w14:paraId="3202FFD0" w14:textId="77777777" w:rsidR="006611EE" w:rsidRPr="00261B7A" w:rsidRDefault="006611EE" w:rsidP="000F09B5">
            <w:pPr>
              <w:pStyle w:val="TableText"/>
              <w:spacing w:before="40" w:after="40"/>
              <w:rPr>
                <w:rFonts w:cstheme="minorHAnsi"/>
              </w:rPr>
            </w:pPr>
            <w:r w:rsidRPr="00261B7A">
              <w:rPr>
                <w:rFonts w:cstheme="minorHAnsi"/>
                <w:color w:val="000000"/>
              </w:rPr>
              <w:t>3.A.2</w:t>
            </w:r>
          </w:p>
        </w:tc>
        <w:tc>
          <w:tcPr>
            <w:tcW w:w="2948" w:type="dxa"/>
            <w:shd w:val="clear" w:color="auto" w:fill="FFFFFF"/>
            <w:tcMar>
              <w:top w:w="0" w:type="dxa"/>
              <w:left w:w="85" w:type="dxa"/>
              <w:bottom w:w="0" w:type="dxa"/>
              <w:right w:w="85" w:type="dxa"/>
            </w:tcMar>
          </w:tcPr>
          <w:p w14:paraId="381CAE3F" w14:textId="77777777" w:rsidR="006611EE" w:rsidRPr="00261B7A" w:rsidRDefault="006611EE" w:rsidP="000F09B5">
            <w:pPr>
              <w:pStyle w:val="TableText"/>
              <w:spacing w:before="40" w:after="40"/>
              <w:rPr>
                <w:rFonts w:cstheme="minorHAnsi"/>
              </w:rPr>
            </w:pPr>
            <w:r w:rsidRPr="00261B7A">
              <w:rPr>
                <w:rFonts w:cstheme="minorHAnsi"/>
                <w:color w:val="000000"/>
              </w:rPr>
              <w:t>Other (please specify) – Sheep</w:t>
            </w:r>
          </w:p>
        </w:tc>
        <w:tc>
          <w:tcPr>
            <w:tcW w:w="510" w:type="dxa"/>
            <w:shd w:val="clear" w:color="auto" w:fill="FFFFFF"/>
            <w:tcMar>
              <w:top w:w="0" w:type="dxa"/>
              <w:left w:w="85" w:type="dxa"/>
              <w:bottom w:w="0" w:type="dxa"/>
              <w:right w:w="85" w:type="dxa"/>
            </w:tcMar>
          </w:tcPr>
          <w:p w14:paraId="3F557F01"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964" w:type="dxa"/>
            <w:shd w:val="clear" w:color="auto" w:fill="FFFFFF"/>
            <w:tcMar>
              <w:top w:w="0" w:type="dxa"/>
              <w:left w:w="85" w:type="dxa"/>
              <w:bottom w:w="0" w:type="dxa"/>
              <w:right w:w="85" w:type="dxa"/>
            </w:tcMar>
          </w:tcPr>
          <w:p w14:paraId="4DF61437" w14:textId="77777777" w:rsidR="006611EE" w:rsidRPr="00261B7A" w:rsidRDefault="006611EE" w:rsidP="000F09B5">
            <w:pPr>
              <w:pStyle w:val="TableText"/>
              <w:spacing w:before="40" w:after="40"/>
              <w:jc w:val="right"/>
              <w:rPr>
                <w:rFonts w:cstheme="minorHAnsi"/>
              </w:rPr>
            </w:pPr>
            <w:r w:rsidRPr="00261B7A">
              <w:rPr>
                <w:rFonts w:cstheme="minorHAnsi"/>
                <w:color w:val="000000"/>
              </w:rPr>
              <w:t>8,011.9</w:t>
            </w:r>
          </w:p>
        </w:tc>
        <w:tc>
          <w:tcPr>
            <w:tcW w:w="1021" w:type="dxa"/>
            <w:shd w:val="clear" w:color="auto" w:fill="FFFFFF"/>
            <w:tcMar>
              <w:top w:w="0" w:type="dxa"/>
              <w:left w:w="85" w:type="dxa"/>
              <w:bottom w:w="0" w:type="dxa"/>
              <w:right w:w="85" w:type="dxa"/>
            </w:tcMar>
          </w:tcPr>
          <w:p w14:paraId="74726D6D" w14:textId="77777777" w:rsidR="006611EE" w:rsidRPr="00261B7A" w:rsidRDefault="006611EE" w:rsidP="000F09B5">
            <w:pPr>
              <w:pStyle w:val="TableText"/>
              <w:spacing w:before="40" w:after="40"/>
              <w:jc w:val="right"/>
              <w:rPr>
                <w:rFonts w:cstheme="minorHAnsi"/>
              </w:rPr>
            </w:pPr>
            <w:r w:rsidRPr="00261B7A">
              <w:rPr>
                <w:rFonts w:cstheme="minorHAnsi"/>
                <w:color w:val="000000"/>
              </w:rPr>
              <w:t>10.4</w:t>
            </w:r>
          </w:p>
        </w:tc>
        <w:tc>
          <w:tcPr>
            <w:tcW w:w="907" w:type="dxa"/>
            <w:shd w:val="clear" w:color="auto" w:fill="FFFFFF"/>
            <w:tcMar>
              <w:top w:w="0" w:type="dxa"/>
              <w:left w:w="85" w:type="dxa"/>
              <w:bottom w:w="0" w:type="dxa"/>
              <w:right w:w="85" w:type="dxa"/>
            </w:tcMar>
          </w:tcPr>
          <w:p w14:paraId="64DCDA91" w14:textId="77777777" w:rsidR="006611EE" w:rsidRPr="00261B7A" w:rsidRDefault="006611EE" w:rsidP="000F09B5">
            <w:pPr>
              <w:pStyle w:val="TableText"/>
              <w:spacing w:before="40" w:after="40"/>
              <w:jc w:val="right"/>
              <w:rPr>
                <w:rFonts w:cstheme="minorHAnsi"/>
              </w:rPr>
            </w:pPr>
            <w:r w:rsidRPr="00261B7A">
              <w:rPr>
                <w:rFonts w:cstheme="minorHAnsi"/>
                <w:color w:val="000000"/>
              </w:rPr>
              <w:t>44.2</w:t>
            </w:r>
          </w:p>
        </w:tc>
      </w:tr>
      <w:tr w:rsidR="006611EE" w:rsidRPr="00261B7A" w14:paraId="307029E2" w14:textId="77777777" w:rsidTr="000F09B5">
        <w:tc>
          <w:tcPr>
            <w:tcW w:w="907" w:type="dxa"/>
            <w:shd w:val="clear" w:color="auto" w:fill="FFFFFF"/>
            <w:tcMar>
              <w:top w:w="0" w:type="dxa"/>
              <w:left w:w="85" w:type="dxa"/>
              <w:bottom w:w="0" w:type="dxa"/>
              <w:right w:w="85" w:type="dxa"/>
            </w:tcMar>
          </w:tcPr>
          <w:p w14:paraId="014B963A" w14:textId="77777777" w:rsidR="006611EE" w:rsidRPr="00261B7A" w:rsidRDefault="006611EE" w:rsidP="000F09B5">
            <w:pPr>
              <w:pStyle w:val="TableText"/>
              <w:spacing w:before="40" w:after="40"/>
              <w:rPr>
                <w:rFonts w:cstheme="minorHAnsi"/>
              </w:rPr>
            </w:pPr>
            <w:r w:rsidRPr="00261B7A">
              <w:rPr>
                <w:rFonts w:cstheme="minorHAnsi"/>
                <w:color w:val="000000"/>
              </w:rPr>
              <w:t>3.A.1</w:t>
            </w:r>
          </w:p>
        </w:tc>
        <w:tc>
          <w:tcPr>
            <w:tcW w:w="2948" w:type="dxa"/>
            <w:shd w:val="clear" w:color="auto" w:fill="FFFFFF"/>
            <w:tcMar>
              <w:top w:w="0" w:type="dxa"/>
              <w:left w:w="85" w:type="dxa"/>
              <w:bottom w:w="0" w:type="dxa"/>
              <w:right w:w="85" w:type="dxa"/>
            </w:tcMar>
          </w:tcPr>
          <w:p w14:paraId="4BCEE0BF" w14:textId="77777777" w:rsidR="006611EE" w:rsidRPr="00261B7A" w:rsidRDefault="006611EE" w:rsidP="000F09B5">
            <w:pPr>
              <w:pStyle w:val="TableText"/>
              <w:spacing w:before="40" w:after="40"/>
              <w:rPr>
                <w:rFonts w:cstheme="minorHAnsi"/>
              </w:rPr>
            </w:pPr>
            <w:r w:rsidRPr="00261B7A">
              <w:rPr>
                <w:rFonts w:cstheme="minorHAnsi"/>
                <w:color w:val="000000"/>
              </w:rPr>
              <w:t>Option A – Non-Dairy Cattle</w:t>
            </w:r>
          </w:p>
        </w:tc>
        <w:tc>
          <w:tcPr>
            <w:tcW w:w="510" w:type="dxa"/>
            <w:shd w:val="clear" w:color="auto" w:fill="FFFFFF"/>
            <w:tcMar>
              <w:top w:w="0" w:type="dxa"/>
              <w:left w:w="85" w:type="dxa"/>
              <w:bottom w:w="0" w:type="dxa"/>
              <w:right w:w="85" w:type="dxa"/>
            </w:tcMar>
          </w:tcPr>
          <w:p w14:paraId="5A90E9A3"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964" w:type="dxa"/>
            <w:shd w:val="clear" w:color="auto" w:fill="FFFFFF"/>
            <w:tcMar>
              <w:top w:w="0" w:type="dxa"/>
              <w:left w:w="85" w:type="dxa"/>
              <w:bottom w:w="0" w:type="dxa"/>
              <w:right w:w="85" w:type="dxa"/>
            </w:tcMar>
          </w:tcPr>
          <w:p w14:paraId="045FE6E3" w14:textId="77777777" w:rsidR="006611EE" w:rsidRPr="00261B7A" w:rsidRDefault="006611EE" w:rsidP="000F09B5">
            <w:pPr>
              <w:pStyle w:val="TableText"/>
              <w:spacing w:before="40" w:after="40"/>
              <w:jc w:val="right"/>
              <w:rPr>
                <w:rFonts w:cstheme="minorHAnsi"/>
              </w:rPr>
            </w:pPr>
            <w:r w:rsidRPr="00261B7A">
              <w:rPr>
                <w:rFonts w:cstheme="minorHAnsi"/>
                <w:color w:val="000000"/>
              </w:rPr>
              <w:t>5,944.0</w:t>
            </w:r>
          </w:p>
        </w:tc>
        <w:tc>
          <w:tcPr>
            <w:tcW w:w="1021" w:type="dxa"/>
            <w:shd w:val="clear" w:color="auto" w:fill="FFFFFF"/>
            <w:tcMar>
              <w:top w:w="0" w:type="dxa"/>
              <w:left w:w="85" w:type="dxa"/>
              <w:bottom w:w="0" w:type="dxa"/>
              <w:right w:w="85" w:type="dxa"/>
            </w:tcMar>
          </w:tcPr>
          <w:p w14:paraId="6E294FAE" w14:textId="77777777" w:rsidR="006611EE" w:rsidRPr="00261B7A" w:rsidRDefault="006611EE" w:rsidP="000F09B5">
            <w:pPr>
              <w:pStyle w:val="TableText"/>
              <w:spacing w:before="40" w:after="40"/>
              <w:jc w:val="right"/>
              <w:rPr>
                <w:rFonts w:cstheme="minorHAnsi"/>
              </w:rPr>
            </w:pPr>
            <w:r w:rsidRPr="00261B7A">
              <w:rPr>
                <w:rFonts w:cstheme="minorHAnsi"/>
                <w:color w:val="000000"/>
              </w:rPr>
              <w:t>7.7</w:t>
            </w:r>
          </w:p>
        </w:tc>
        <w:tc>
          <w:tcPr>
            <w:tcW w:w="907" w:type="dxa"/>
            <w:shd w:val="clear" w:color="auto" w:fill="FFFFFF"/>
            <w:tcMar>
              <w:top w:w="0" w:type="dxa"/>
              <w:left w:w="85" w:type="dxa"/>
              <w:bottom w:w="0" w:type="dxa"/>
              <w:right w:w="85" w:type="dxa"/>
            </w:tcMar>
          </w:tcPr>
          <w:p w14:paraId="41E2AF69" w14:textId="77777777" w:rsidR="006611EE" w:rsidRPr="00261B7A" w:rsidRDefault="006611EE" w:rsidP="000F09B5">
            <w:pPr>
              <w:pStyle w:val="TableText"/>
              <w:spacing w:before="40" w:after="40"/>
              <w:jc w:val="right"/>
              <w:rPr>
                <w:rFonts w:cstheme="minorHAnsi"/>
              </w:rPr>
            </w:pPr>
            <w:r w:rsidRPr="00261B7A">
              <w:rPr>
                <w:rFonts w:cstheme="minorHAnsi"/>
                <w:color w:val="000000"/>
              </w:rPr>
              <w:t>51.9</w:t>
            </w:r>
          </w:p>
        </w:tc>
      </w:tr>
      <w:tr w:rsidR="006611EE" w:rsidRPr="00261B7A" w14:paraId="4E856928" w14:textId="77777777" w:rsidTr="000F09B5">
        <w:tc>
          <w:tcPr>
            <w:tcW w:w="907" w:type="dxa"/>
            <w:shd w:val="clear" w:color="auto" w:fill="FFFFFF"/>
            <w:tcMar>
              <w:top w:w="0" w:type="dxa"/>
              <w:left w:w="85" w:type="dxa"/>
              <w:bottom w:w="0" w:type="dxa"/>
              <w:right w:w="85" w:type="dxa"/>
            </w:tcMar>
          </w:tcPr>
          <w:p w14:paraId="5A039BAA" w14:textId="77777777" w:rsidR="006611EE" w:rsidRPr="00261B7A" w:rsidRDefault="006611EE" w:rsidP="000F09B5">
            <w:pPr>
              <w:pStyle w:val="TableText"/>
              <w:spacing w:before="40" w:after="40"/>
              <w:rPr>
                <w:rFonts w:cstheme="minorHAnsi"/>
              </w:rPr>
            </w:pPr>
            <w:r w:rsidRPr="00261B7A">
              <w:rPr>
                <w:rFonts w:cstheme="minorHAnsi"/>
                <w:color w:val="000000"/>
              </w:rPr>
              <w:t>3.D.1.3</w:t>
            </w:r>
          </w:p>
        </w:tc>
        <w:tc>
          <w:tcPr>
            <w:tcW w:w="2948" w:type="dxa"/>
            <w:shd w:val="clear" w:color="auto" w:fill="FFFFFF"/>
            <w:tcMar>
              <w:top w:w="0" w:type="dxa"/>
              <w:left w:w="85" w:type="dxa"/>
              <w:bottom w:w="0" w:type="dxa"/>
              <w:right w:w="85" w:type="dxa"/>
            </w:tcMar>
          </w:tcPr>
          <w:p w14:paraId="5777BD6C" w14:textId="77777777" w:rsidR="006611EE" w:rsidRPr="00261B7A" w:rsidRDefault="006611EE" w:rsidP="000F09B5">
            <w:pPr>
              <w:pStyle w:val="TableText"/>
              <w:spacing w:before="40" w:after="40"/>
              <w:rPr>
                <w:rFonts w:cstheme="minorHAnsi"/>
              </w:rPr>
            </w:pPr>
            <w:r w:rsidRPr="00261B7A">
              <w:rPr>
                <w:rFonts w:cstheme="minorHAnsi"/>
                <w:color w:val="000000"/>
              </w:rPr>
              <w:t>Direct N</w:t>
            </w:r>
            <w:r w:rsidRPr="00261B7A">
              <w:rPr>
                <w:rFonts w:cstheme="minorHAnsi"/>
                <w:color w:val="000000"/>
                <w:vertAlign w:val="subscript"/>
              </w:rPr>
              <w:t>2</w:t>
            </w:r>
            <w:r w:rsidRPr="00261B7A">
              <w:rPr>
                <w:rFonts w:cstheme="minorHAnsi"/>
                <w:color w:val="000000"/>
              </w:rPr>
              <w:t>O Emissions From Managed Soils – Urine and Dung Deposited by Grazing Animals</w:t>
            </w:r>
          </w:p>
        </w:tc>
        <w:tc>
          <w:tcPr>
            <w:tcW w:w="510" w:type="dxa"/>
            <w:shd w:val="clear" w:color="auto" w:fill="FFFFFF"/>
            <w:tcMar>
              <w:top w:w="0" w:type="dxa"/>
              <w:left w:w="85" w:type="dxa"/>
              <w:bottom w:w="0" w:type="dxa"/>
              <w:right w:w="85" w:type="dxa"/>
            </w:tcMar>
          </w:tcPr>
          <w:p w14:paraId="27AAAAF5" w14:textId="77777777" w:rsidR="006611EE" w:rsidRPr="00261B7A" w:rsidRDefault="006611EE" w:rsidP="000F09B5">
            <w:pPr>
              <w:pStyle w:val="TableText"/>
              <w:spacing w:before="40" w:after="40"/>
              <w:jc w:val="center"/>
              <w:rPr>
                <w:rFonts w:cstheme="minorHAnsi"/>
              </w:rPr>
            </w:pPr>
            <w:r w:rsidRPr="00261B7A">
              <w:rPr>
                <w:rFonts w:cstheme="minorHAnsi"/>
                <w:color w:val="000000"/>
              </w:rPr>
              <w:t>N</w:t>
            </w:r>
            <w:r w:rsidRPr="00261B7A">
              <w:rPr>
                <w:rFonts w:asciiTheme="minorHAnsi" w:hAnsiTheme="minorHAnsi" w:cstheme="minorHAnsi"/>
                <w:vertAlign w:val="subscript"/>
              </w:rPr>
              <w:t>2</w:t>
            </w:r>
            <w:r w:rsidRPr="00261B7A">
              <w:rPr>
                <w:rFonts w:asciiTheme="minorHAnsi" w:hAnsiTheme="minorHAnsi" w:cstheme="minorHAnsi"/>
              </w:rPr>
              <w:t>O</w:t>
            </w:r>
          </w:p>
        </w:tc>
        <w:tc>
          <w:tcPr>
            <w:tcW w:w="964" w:type="dxa"/>
            <w:shd w:val="clear" w:color="auto" w:fill="FFFFFF"/>
            <w:tcMar>
              <w:top w:w="0" w:type="dxa"/>
              <w:left w:w="85" w:type="dxa"/>
              <w:bottom w:w="0" w:type="dxa"/>
              <w:right w:w="85" w:type="dxa"/>
            </w:tcMar>
          </w:tcPr>
          <w:p w14:paraId="596D40DC" w14:textId="77777777" w:rsidR="006611EE" w:rsidRPr="00261B7A" w:rsidRDefault="006611EE" w:rsidP="000F09B5">
            <w:pPr>
              <w:pStyle w:val="TableText"/>
              <w:spacing w:before="40" w:after="40"/>
              <w:jc w:val="right"/>
              <w:rPr>
                <w:rFonts w:cstheme="minorHAnsi"/>
              </w:rPr>
            </w:pPr>
            <w:r w:rsidRPr="00261B7A">
              <w:rPr>
                <w:rFonts w:cstheme="minorHAnsi"/>
                <w:color w:val="000000"/>
              </w:rPr>
              <w:t>3,510.0</w:t>
            </w:r>
          </w:p>
        </w:tc>
        <w:tc>
          <w:tcPr>
            <w:tcW w:w="1021" w:type="dxa"/>
            <w:shd w:val="clear" w:color="auto" w:fill="FFFFFF"/>
            <w:tcMar>
              <w:top w:w="0" w:type="dxa"/>
              <w:left w:w="85" w:type="dxa"/>
              <w:bottom w:w="0" w:type="dxa"/>
              <w:right w:w="85" w:type="dxa"/>
            </w:tcMar>
          </w:tcPr>
          <w:p w14:paraId="4F5E192E" w14:textId="77777777" w:rsidR="006611EE" w:rsidRPr="00261B7A" w:rsidRDefault="006611EE" w:rsidP="000F09B5">
            <w:pPr>
              <w:pStyle w:val="TableText"/>
              <w:spacing w:before="40" w:after="40"/>
              <w:jc w:val="right"/>
              <w:rPr>
                <w:rFonts w:cstheme="minorHAnsi"/>
              </w:rPr>
            </w:pPr>
            <w:r w:rsidRPr="00261B7A">
              <w:rPr>
                <w:rFonts w:cstheme="minorHAnsi"/>
                <w:color w:val="000000"/>
              </w:rPr>
              <w:t>4.6</w:t>
            </w:r>
          </w:p>
        </w:tc>
        <w:tc>
          <w:tcPr>
            <w:tcW w:w="907" w:type="dxa"/>
            <w:shd w:val="clear" w:color="auto" w:fill="FFFFFF"/>
            <w:tcMar>
              <w:top w:w="0" w:type="dxa"/>
              <w:left w:w="85" w:type="dxa"/>
              <w:bottom w:w="0" w:type="dxa"/>
              <w:right w:w="85" w:type="dxa"/>
            </w:tcMar>
          </w:tcPr>
          <w:p w14:paraId="67F8CAB5" w14:textId="77777777" w:rsidR="006611EE" w:rsidRPr="00261B7A" w:rsidRDefault="006611EE" w:rsidP="000F09B5">
            <w:pPr>
              <w:pStyle w:val="TableText"/>
              <w:spacing w:before="40" w:after="40"/>
              <w:jc w:val="right"/>
              <w:rPr>
                <w:rFonts w:cstheme="minorHAnsi"/>
              </w:rPr>
            </w:pPr>
            <w:r w:rsidRPr="00261B7A">
              <w:rPr>
                <w:rFonts w:cstheme="minorHAnsi"/>
                <w:color w:val="000000"/>
              </w:rPr>
              <w:t>56.5</w:t>
            </w:r>
          </w:p>
        </w:tc>
      </w:tr>
      <w:tr w:rsidR="006611EE" w:rsidRPr="00261B7A" w14:paraId="3734C6CE" w14:textId="77777777" w:rsidTr="000F09B5">
        <w:tc>
          <w:tcPr>
            <w:tcW w:w="907" w:type="dxa"/>
            <w:shd w:val="clear" w:color="auto" w:fill="FFFFFF"/>
            <w:tcMar>
              <w:top w:w="0" w:type="dxa"/>
              <w:left w:w="85" w:type="dxa"/>
              <w:bottom w:w="0" w:type="dxa"/>
              <w:right w:w="85" w:type="dxa"/>
            </w:tcMar>
          </w:tcPr>
          <w:p w14:paraId="6F1FF07B" w14:textId="77777777" w:rsidR="006611EE" w:rsidRPr="00261B7A" w:rsidRDefault="006611EE" w:rsidP="000F09B5">
            <w:pPr>
              <w:pStyle w:val="TableText"/>
              <w:spacing w:before="40" w:after="40"/>
              <w:rPr>
                <w:rFonts w:cstheme="minorHAnsi"/>
              </w:rPr>
            </w:pPr>
            <w:r w:rsidRPr="00261B7A">
              <w:rPr>
                <w:rFonts w:cstheme="minorHAnsi"/>
                <w:color w:val="000000"/>
              </w:rPr>
              <w:t>5.A</w:t>
            </w:r>
          </w:p>
        </w:tc>
        <w:tc>
          <w:tcPr>
            <w:tcW w:w="2948" w:type="dxa"/>
            <w:shd w:val="clear" w:color="auto" w:fill="FFFFFF"/>
            <w:tcMar>
              <w:top w:w="0" w:type="dxa"/>
              <w:left w:w="85" w:type="dxa"/>
              <w:bottom w:w="0" w:type="dxa"/>
              <w:right w:w="85" w:type="dxa"/>
            </w:tcMar>
          </w:tcPr>
          <w:p w14:paraId="37598D6E" w14:textId="77777777" w:rsidR="006611EE" w:rsidRPr="00261B7A" w:rsidRDefault="006611EE" w:rsidP="000F09B5">
            <w:pPr>
              <w:pStyle w:val="TableText"/>
              <w:spacing w:before="40" w:after="40"/>
              <w:rPr>
                <w:rFonts w:cstheme="minorHAnsi"/>
              </w:rPr>
            </w:pPr>
            <w:r w:rsidRPr="00261B7A">
              <w:rPr>
                <w:rFonts w:cstheme="minorHAnsi"/>
                <w:color w:val="000000"/>
              </w:rPr>
              <w:t>Waste – Solid Waste Disposal</w:t>
            </w:r>
          </w:p>
        </w:tc>
        <w:tc>
          <w:tcPr>
            <w:tcW w:w="510" w:type="dxa"/>
            <w:shd w:val="clear" w:color="auto" w:fill="FFFFFF"/>
            <w:tcMar>
              <w:top w:w="0" w:type="dxa"/>
              <w:left w:w="85" w:type="dxa"/>
              <w:bottom w:w="0" w:type="dxa"/>
              <w:right w:w="85" w:type="dxa"/>
            </w:tcMar>
          </w:tcPr>
          <w:p w14:paraId="01937A6C"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964" w:type="dxa"/>
            <w:shd w:val="clear" w:color="auto" w:fill="FFFFFF"/>
            <w:tcMar>
              <w:top w:w="0" w:type="dxa"/>
              <w:left w:w="85" w:type="dxa"/>
              <w:bottom w:w="0" w:type="dxa"/>
              <w:right w:w="85" w:type="dxa"/>
            </w:tcMar>
          </w:tcPr>
          <w:p w14:paraId="11CC4353" w14:textId="77777777" w:rsidR="006611EE" w:rsidRPr="00261B7A" w:rsidRDefault="006611EE" w:rsidP="000F09B5">
            <w:pPr>
              <w:pStyle w:val="TableText"/>
              <w:spacing w:before="40" w:after="40"/>
              <w:jc w:val="right"/>
              <w:rPr>
                <w:rFonts w:cstheme="minorHAnsi"/>
              </w:rPr>
            </w:pPr>
            <w:r w:rsidRPr="00261B7A">
              <w:rPr>
                <w:rFonts w:cstheme="minorHAnsi"/>
                <w:color w:val="000000"/>
              </w:rPr>
              <w:t>2,578.2</w:t>
            </w:r>
          </w:p>
        </w:tc>
        <w:tc>
          <w:tcPr>
            <w:tcW w:w="1021" w:type="dxa"/>
            <w:shd w:val="clear" w:color="auto" w:fill="FFFFFF"/>
            <w:tcMar>
              <w:top w:w="0" w:type="dxa"/>
              <w:left w:w="85" w:type="dxa"/>
              <w:bottom w:w="0" w:type="dxa"/>
              <w:right w:w="85" w:type="dxa"/>
            </w:tcMar>
          </w:tcPr>
          <w:p w14:paraId="643F8292" w14:textId="77777777" w:rsidR="006611EE" w:rsidRPr="00261B7A" w:rsidRDefault="006611EE" w:rsidP="000F09B5">
            <w:pPr>
              <w:pStyle w:val="TableText"/>
              <w:spacing w:before="40" w:after="40"/>
              <w:jc w:val="right"/>
              <w:rPr>
                <w:rFonts w:cstheme="minorHAnsi"/>
              </w:rPr>
            </w:pPr>
            <w:r w:rsidRPr="00261B7A">
              <w:rPr>
                <w:rFonts w:cstheme="minorHAnsi"/>
                <w:color w:val="000000"/>
              </w:rPr>
              <w:t>3.4</w:t>
            </w:r>
          </w:p>
        </w:tc>
        <w:tc>
          <w:tcPr>
            <w:tcW w:w="907" w:type="dxa"/>
            <w:shd w:val="clear" w:color="auto" w:fill="FFFFFF"/>
            <w:tcMar>
              <w:top w:w="0" w:type="dxa"/>
              <w:left w:w="85" w:type="dxa"/>
              <w:bottom w:w="0" w:type="dxa"/>
              <w:right w:w="85" w:type="dxa"/>
            </w:tcMar>
          </w:tcPr>
          <w:p w14:paraId="738101F3" w14:textId="77777777" w:rsidR="006611EE" w:rsidRPr="00261B7A" w:rsidRDefault="006611EE" w:rsidP="000F09B5">
            <w:pPr>
              <w:pStyle w:val="TableText"/>
              <w:spacing w:before="40" w:after="40"/>
              <w:jc w:val="right"/>
              <w:rPr>
                <w:rFonts w:cstheme="minorHAnsi"/>
              </w:rPr>
            </w:pPr>
            <w:r w:rsidRPr="00261B7A">
              <w:rPr>
                <w:rFonts w:cstheme="minorHAnsi"/>
                <w:color w:val="000000"/>
              </w:rPr>
              <w:t>59.9</w:t>
            </w:r>
          </w:p>
        </w:tc>
      </w:tr>
      <w:tr w:rsidR="006611EE" w:rsidRPr="00261B7A" w14:paraId="1A6E6843" w14:textId="77777777" w:rsidTr="000F09B5">
        <w:tc>
          <w:tcPr>
            <w:tcW w:w="907" w:type="dxa"/>
            <w:shd w:val="clear" w:color="auto" w:fill="FFFFFF"/>
            <w:tcMar>
              <w:top w:w="0" w:type="dxa"/>
              <w:left w:w="85" w:type="dxa"/>
              <w:bottom w:w="0" w:type="dxa"/>
              <w:right w:w="85" w:type="dxa"/>
            </w:tcMar>
          </w:tcPr>
          <w:p w14:paraId="7EBBACAA" w14:textId="77777777" w:rsidR="006611EE" w:rsidRPr="00261B7A" w:rsidRDefault="006611EE" w:rsidP="000F09B5">
            <w:pPr>
              <w:pStyle w:val="TableText"/>
              <w:spacing w:before="40" w:after="40"/>
              <w:rPr>
                <w:rFonts w:cstheme="minorHAnsi"/>
              </w:rPr>
            </w:pPr>
            <w:r w:rsidRPr="00261B7A">
              <w:rPr>
                <w:rFonts w:cstheme="minorHAnsi"/>
                <w:color w:val="000000"/>
              </w:rPr>
              <w:t>1.A.1.a</w:t>
            </w:r>
          </w:p>
        </w:tc>
        <w:tc>
          <w:tcPr>
            <w:tcW w:w="2948" w:type="dxa"/>
            <w:shd w:val="clear" w:color="auto" w:fill="FFFFFF"/>
            <w:tcMar>
              <w:top w:w="0" w:type="dxa"/>
              <w:left w:w="85" w:type="dxa"/>
              <w:bottom w:w="0" w:type="dxa"/>
              <w:right w:w="85" w:type="dxa"/>
            </w:tcMar>
          </w:tcPr>
          <w:p w14:paraId="00DC022D" w14:textId="77777777" w:rsidR="006611EE" w:rsidRPr="00261B7A" w:rsidRDefault="006611EE" w:rsidP="000F09B5">
            <w:pPr>
              <w:pStyle w:val="TableText"/>
              <w:spacing w:before="40" w:after="40"/>
              <w:rPr>
                <w:rFonts w:cstheme="minorHAnsi"/>
              </w:rPr>
            </w:pPr>
            <w:r w:rsidRPr="00261B7A">
              <w:rPr>
                <w:rFonts w:cstheme="minorHAnsi"/>
                <w:color w:val="000000"/>
              </w:rPr>
              <w:t>Energy Industries – Public Electricity and Heat Production Solid Fuels</w:t>
            </w:r>
          </w:p>
        </w:tc>
        <w:tc>
          <w:tcPr>
            <w:tcW w:w="510" w:type="dxa"/>
            <w:shd w:val="clear" w:color="auto" w:fill="FFFFFF"/>
            <w:tcMar>
              <w:top w:w="0" w:type="dxa"/>
              <w:left w:w="85" w:type="dxa"/>
              <w:bottom w:w="0" w:type="dxa"/>
              <w:right w:w="85" w:type="dxa"/>
            </w:tcMar>
          </w:tcPr>
          <w:p w14:paraId="134C3B1D"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6E8474F1" w14:textId="77777777" w:rsidR="006611EE" w:rsidRPr="00261B7A" w:rsidRDefault="006611EE" w:rsidP="000F09B5">
            <w:pPr>
              <w:pStyle w:val="TableText"/>
              <w:spacing w:before="40" w:after="40"/>
              <w:jc w:val="right"/>
              <w:rPr>
                <w:rFonts w:cstheme="minorHAnsi"/>
              </w:rPr>
            </w:pPr>
            <w:r w:rsidRPr="00261B7A">
              <w:rPr>
                <w:rFonts w:cstheme="minorHAnsi"/>
                <w:color w:val="000000"/>
              </w:rPr>
              <w:t>2,346.4</w:t>
            </w:r>
          </w:p>
        </w:tc>
        <w:tc>
          <w:tcPr>
            <w:tcW w:w="1021" w:type="dxa"/>
            <w:shd w:val="clear" w:color="auto" w:fill="FFFFFF"/>
            <w:tcMar>
              <w:top w:w="0" w:type="dxa"/>
              <w:left w:w="85" w:type="dxa"/>
              <w:bottom w:w="0" w:type="dxa"/>
              <w:right w:w="85" w:type="dxa"/>
            </w:tcMar>
          </w:tcPr>
          <w:p w14:paraId="6A8729BC" w14:textId="77777777" w:rsidR="006611EE" w:rsidRPr="00261B7A" w:rsidRDefault="006611EE" w:rsidP="000F09B5">
            <w:pPr>
              <w:pStyle w:val="TableText"/>
              <w:spacing w:before="40" w:after="40"/>
              <w:jc w:val="right"/>
              <w:rPr>
                <w:rFonts w:cstheme="minorHAnsi"/>
              </w:rPr>
            </w:pPr>
            <w:r w:rsidRPr="00261B7A">
              <w:rPr>
                <w:rFonts w:cstheme="minorHAnsi"/>
                <w:color w:val="000000"/>
              </w:rPr>
              <w:t>3.1</w:t>
            </w:r>
          </w:p>
        </w:tc>
        <w:tc>
          <w:tcPr>
            <w:tcW w:w="907" w:type="dxa"/>
            <w:shd w:val="clear" w:color="auto" w:fill="FFFFFF"/>
            <w:tcMar>
              <w:top w:w="0" w:type="dxa"/>
              <w:left w:w="85" w:type="dxa"/>
              <w:bottom w:w="0" w:type="dxa"/>
              <w:right w:w="85" w:type="dxa"/>
            </w:tcMar>
          </w:tcPr>
          <w:p w14:paraId="5E591458" w14:textId="77777777" w:rsidR="006611EE" w:rsidRPr="00261B7A" w:rsidRDefault="006611EE" w:rsidP="000F09B5">
            <w:pPr>
              <w:pStyle w:val="TableText"/>
              <w:spacing w:before="40" w:after="40"/>
              <w:jc w:val="right"/>
              <w:rPr>
                <w:rFonts w:cstheme="minorHAnsi"/>
              </w:rPr>
            </w:pPr>
            <w:r w:rsidRPr="00261B7A">
              <w:rPr>
                <w:rFonts w:cstheme="minorHAnsi"/>
                <w:color w:val="000000"/>
              </w:rPr>
              <w:t>62.9</w:t>
            </w:r>
          </w:p>
        </w:tc>
      </w:tr>
      <w:tr w:rsidR="006611EE" w:rsidRPr="00261B7A" w14:paraId="1E1CE23F" w14:textId="77777777" w:rsidTr="000F09B5">
        <w:tc>
          <w:tcPr>
            <w:tcW w:w="907" w:type="dxa"/>
            <w:shd w:val="clear" w:color="auto" w:fill="FFFFFF"/>
            <w:tcMar>
              <w:top w:w="0" w:type="dxa"/>
              <w:left w:w="85" w:type="dxa"/>
              <w:bottom w:w="0" w:type="dxa"/>
              <w:right w:w="85" w:type="dxa"/>
            </w:tcMar>
          </w:tcPr>
          <w:p w14:paraId="18A28239" w14:textId="77777777" w:rsidR="006611EE" w:rsidRPr="00261B7A" w:rsidRDefault="006611EE" w:rsidP="000F09B5">
            <w:pPr>
              <w:pStyle w:val="TableText"/>
              <w:spacing w:before="40" w:after="40"/>
              <w:rPr>
                <w:rFonts w:cstheme="minorHAnsi"/>
              </w:rPr>
            </w:pPr>
            <w:r w:rsidRPr="00261B7A">
              <w:rPr>
                <w:rFonts w:cstheme="minorHAnsi"/>
                <w:color w:val="000000"/>
              </w:rPr>
              <w:t>1.A.1.a</w:t>
            </w:r>
          </w:p>
        </w:tc>
        <w:tc>
          <w:tcPr>
            <w:tcW w:w="2948" w:type="dxa"/>
            <w:shd w:val="clear" w:color="auto" w:fill="FFFFFF"/>
            <w:tcMar>
              <w:top w:w="0" w:type="dxa"/>
              <w:left w:w="85" w:type="dxa"/>
              <w:bottom w:w="0" w:type="dxa"/>
              <w:right w:w="85" w:type="dxa"/>
            </w:tcMar>
          </w:tcPr>
          <w:p w14:paraId="2D6A7ACF" w14:textId="77777777" w:rsidR="006611EE" w:rsidRPr="00261B7A" w:rsidRDefault="006611EE" w:rsidP="000F09B5">
            <w:pPr>
              <w:pStyle w:val="TableText"/>
              <w:spacing w:before="40" w:after="40"/>
              <w:rPr>
                <w:rFonts w:cstheme="minorHAnsi"/>
              </w:rPr>
            </w:pPr>
            <w:r w:rsidRPr="00261B7A">
              <w:rPr>
                <w:rFonts w:cstheme="minorHAnsi"/>
                <w:color w:val="000000"/>
              </w:rPr>
              <w:t>Energy Industries – Public Electricity and Heat Production Gaseous Fuels</w:t>
            </w:r>
          </w:p>
        </w:tc>
        <w:tc>
          <w:tcPr>
            <w:tcW w:w="510" w:type="dxa"/>
            <w:shd w:val="clear" w:color="auto" w:fill="FFFFFF"/>
            <w:tcMar>
              <w:top w:w="0" w:type="dxa"/>
              <w:left w:w="85" w:type="dxa"/>
              <w:bottom w:w="0" w:type="dxa"/>
              <w:right w:w="85" w:type="dxa"/>
            </w:tcMar>
          </w:tcPr>
          <w:p w14:paraId="68F61038"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42D916F3" w14:textId="77777777" w:rsidR="006611EE" w:rsidRPr="00261B7A" w:rsidRDefault="006611EE" w:rsidP="000F09B5">
            <w:pPr>
              <w:pStyle w:val="TableText"/>
              <w:spacing w:before="40" w:after="40"/>
              <w:jc w:val="right"/>
              <w:rPr>
                <w:rFonts w:cstheme="minorHAnsi"/>
              </w:rPr>
            </w:pPr>
            <w:r w:rsidRPr="00261B7A">
              <w:rPr>
                <w:rFonts w:cstheme="minorHAnsi"/>
                <w:color w:val="000000"/>
              </w:rPr>
              <w:t>2,035.5</w:t>
            </w:r>
          </w:p>
        </w:tc>
        <w:tc>
          <w:tcPr>
            <w:tcW w:w="1021" w:type="dxa"/>
            <w:shd w:val="clear" w:color="auto" w:fill="FFFFFF"/>
            <w:tcMar>
              <w:top w:w="0" w:type="dxa"/>
              <w:left w:w="85" w:type="dxa"/>
              <w:bottom w:w="0" w:type="dxa"/>
              <w:right w:w="85" w:type="dxa"/>
            </w:tcMar>
          </w:tcPr>
          <w:p w14:paraId="1D52439E" w14:textId="77777777" w:rsidR="006611EE" w:rsidRPr="00261B7A" w:rsidRDefault="006611EE" w:rsidP="000F09B5">
            <w:pPr>
              <w:pStyle w:val="TableText"/>
              <w:spacing w:before="40" w:after="40"/>
              <w:jc w:val="right"/>
              <w:rPr>
                <w:rFonts w:cstheme="minorHAnsi"/>
              </w:rPr>
            </w:pPr>
            <w:r w:rsidRPr="00261B7A">
              <w:rPr>
                <w:rFonts w:cstheme="minorHAnsi"/>
                <w:color w:val="000000"/>
              </w:rPr>
              <w:t>2.6</w:t>
            </w:r>
          </w:p>
        </w:tc>
        <w:tc>
          <w:tcPr>
            <w:tcW w:w="907" w:type="dxa"/>
            <w:shd w:val="clear" w:color="auto" w:fill="FFFFFF"/>
            <w:tcMar>
              <w:top w:w="0" w:type="dxa"/>
              <w:left w:w="85" w:type="dxa"/>
              <w:bottom w:w="0" w:type="dxa"/>
              <w:right w:w="85" w:type="dxa"/>
            </w:tcMar>
          </w:tcPr>
          <w:p w14:paraId="77F8C7FB" w14:textId="77777777" w:rsidR="006611EE" w:rsidRPr="00261B7A" w:rsidRDefault="006611EE" w:rsidP="000F09B5">
            <w:pPr>
              <w:pStyle w:val="TableText"/>
              <w:spacing w:before="40" w:after="40"/>
              <w:jc w:val="right"/>
              <w:rPr>
                <w:rFonts w:cstheme="minorHAnsi"/>
              </w:rPr>
            </w:pPr>
            <w:r w:rsidRPr="00261B7A">
              <w:rPr>
                <w:rFonts w:cstheme="minorHAnsi"/>
                <w:color w:val="000000"/>
              </w:rPr>
              <w:t>65.6</w:t>
            </w:r>
          </w:p>
        </w:tc>
      </w:tr>
      <w:tr w:rsidR="006611EE" w:rsidRPr="00261B7A" w14:paraId="3A9526FD" w14:textId="77777777" w:rsidTr="000F09B5">
        <w:tc>
          <w:tcPr>
            <w:tcW w:w="907" w:type="dxa"/>
            <w:shd w:val="clear" w:color="auto" w:fill="FFFFFF"/>
            <w:tcMar>
              <w:top w:w="0" w:type="dxa"/>
              <w:left w:w="85" w:type="dxa"/>
              <w:bottom w:w="0" w:type="dxa"/>
              <w:right w:w="85" w:type="dxa"/>
            </w:tcMar>
          </w:tcPr>
          <w:p w14:paraId="55203A51" w14:textId="77777777" w:rsidR="006611EE" w:rsidRPr="00261B7A" w:rsidRDefault="006611EE" w:rsidP="000F09B5">
            <w:pPr>
              <w:pStyle w:val="TableText"/>
              <w:spacing w:before="40" w:after="40"/>
              <w:rPr>
                <w:rFonts w:cstheme="minorHAnsi"/>
              </w:rPr>
            </w:pPr>
            <w:r w:rsidRPr="00261B7A">
              <w:rPr>
                <w:rFonts w:cstheme="minorHAnsi"/>
                <w:color w:val="000000"/>
              </w:rPr>
              <w:t>2.C.1</w:t>
            </w:r>
          </w:p>
        </w:tc>
        <w:tc>
          <w:tcPr>
            <w:tcW w:w="2948" w:type="dxa"/>
            <w:shd w:val="clear" w:color="auto" w:fill="FFFFFF"/>
            <w:tcMar>
              <w:top w:w="0" w:type="dxa"/>
              <w:left w:w="85" w:type="dxa"/>
              <w:bottom w:w="0" w:type="dxa"/>
              <w:right w:w="85" w:type="dxa"/>
            </w:tcMar>
          </w:tcPr>
          <w:p w14:paraId="506A0E71" w14:textId="77777777" w:rsidR="006611EE" w:rsidRPr="00261B7A" w:rsidRDefault="006611EE" w:rsidP="000F09B5">
            <w:pPr>
              <w:pStyle w:val="TableText"/>
              <w:spacing w:before="40" w:after="40"/>
              <w:rPr>
                <w:rFonts w:cstheme="minorHAnsi"/>
              </w:rPr>
            </w:pPr>
            <w:r w:rsidRPr="00261B7A">
              <w:rPr>
                <w:rFonts w:cstheme="minorHAnsi"/>
                <w:color w:val="000000"/>
              </w:rPr>
              <w:t>Metal Industry – Iron and Steel Production</w:t>
            </w:r>
          </w:p>
        </w:tc>
        <w:tc>
          <w:tcPr>
            <w:tcW w:w="510" w:type="dxa"/>
            <w:shd w:val="clear" w:color="auto" w:fill="FFFFFF"/>
            <w:tcMar>
              <w:top w:w="0" w:type="dxa"/>
              <w:left w:w="85" w:type="dxa"/>
              <w:bottom w:w="0" w:type="dxa"/>
              <w:right w:w="85" w:type="dxa"/>
            </w:tcMar>
          </w:tcPr>
          <w:p w14:paraId="0FB8D6CD"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41153078" w14:textId="77777777" w:rsidR="006611EE" w:rsidRPr="00261B7A" w:rsidRDefault="006611EE" w:rsidP="000F09B5">
            <w:pPr>
              <w:pStyle w:val="TableText"/>
              <w:spacing w:before="40" w:after="40"/>
              <w:jc w:val="right"/>
              <w:rPr>
                <w:rFonts w:cstheme="minorHAnsi"/>
              </w:rPr>
            </w:pPr>
            <w:r w:rsidRPr="00261B7A">
              <w:rPr>
                <w:rFonts w:cstheme="minorHAnsi"/>
                <w:color w:val="000000"/>
              </w:rPr>
              <w:t>1,718.1</w:t>
            </w:r>
          </w:p>
        </w:tc>
        <w:tc>
          <w:tcPr>
            <w:tcW w:w="1021" w:type="dxa"/>
            <w:shd w:val="clear" w:color="auto" w:fill="FFFFFF"/>
            <w:tcMar>
              <w:top w:w="0" w:type="dxa"/>
              <w:left w:w="85" w:type="dxa"/>
              <w:bottom w:w="0" w:type="dxa"/>
              <w:right w:w="85" w:type="dxa"/>
            </w:tcMar>
          </w:tcPr>
          <w:p w14:paraId="64F135B2" w14:textId="77777777" w:rsidR="006611EE" w:rsidRPr="00261B7A" w:rsidRDefault="006611EE" w:rsidP="000F09B5">
            <w:pPr>
              <w:pStyle w:val="TableText"/>
              <w:spacing w:before="40" w:after="40"/>
              <w:jc w:val="right"/>
              <w:rPr>
                <w:rFonts w:cstheme="minorHAnsi"/>
              </w:rPr>
            </w:pPr>
            <w:r w:rsidRPr="00261B7A">
              <w:rPr>
                <w:rFonts w:cstheme="minorHAnsi"/>
                <w:color w:val="000000"/>
              </w:rPr>
              <w:t>2.2</w:t>
            </w:r>
          </w:p>
        </w:tc>
        <w:tc>
          <w:tcPr>
            <w:tcW w:w="907" w:type="dxa"/>
            <w:shd w:val="clear" w:color="auto" w:fill="FFFFFF"/>
            <w:tcMar>
              <w:top w:w="0" w:type="dxa"/>
              <w:left w:w="85" w:type="dxa"/>
              <w:bottom w:w="0" w:type="dxa"/>
              <w:right w:w="85" w:type="dxa"/>
            </w:tcMar>
          </w:tcPr>
          <w:p w14:paraId="14A5E028" w14:textId="77777777" w:rsidR="006611EE" w:rsidRPr="00261B7A" w:rsidRDefault="006611EE" w:rsidP="000F09B5">
            <w:pPr>
              <w:pStyle w:val="TableText"/>
              <w:spacing w:before="40" w:after="40"/>
              <w:jc w:val="right"/>
              <w:rPr>
                <w:rFonts w:cstheme="minorHAnsi"/>
              </w:rPr>
            </w:pPr>
            <w:r w:rsidRPr="00261B7A">
              <w:rPr>
                <w:rFonts w:cstheme="minorHAnsi"/>
                <w:color w:val="000000"/>
              </w:rPr>
              <w:t>67.8</w:t>
            </w:r>
          </w:p>
        </w:tc>
      </w:tr>
      <w:tr w:rsidR="006611EE" w:rsidRPr="00261B7A" w14:paraId="0324D1F0" w14:textId="77777777" w:rsidTr="000F09B5">
        <w:tc>
          <w:tcPr>
            <w:tcW w:w="907" w:type="dxa"/>
            <w:shd w:val="clear" w:color="auto" w:fill="FFFFFF"/>
            <w:tcMar>
              <w:top w:w="0" w:type="dxa"/>
              <w:left w:w="85" w:type="dxa"/>
              <w:bottom w:w="0" w:type="dxa"/>
              <w:right w:w="85" w:type="dxa"/>
            </w:tcMar>
          </w:tcPr>
          <w:p w14:paraId="07058431" w14:textId="77777777" w:rsidR="006611EE" w:rsidRPr="00261B7A" w:rsidRDefault="006611EE" w:rsidP="000F09B5">
            <w:pPr>
              <w:pStyle w:val="TableText"/>
              <w:spacing w:before="40" w:after="40"/>
              <w:rPr>
                <w:rFonts w:cstheme="minorHAnsi"/>
              </w:rPr>
            </w:pPr>
            <w:r w:rsidRPr="00261B7A">
              <w:rPr>
                <w:rFonts w:cstheme="minorHAnsi"/>
                <w:color w:val="000000"/>
              </w:rPr>
              <w:t>1.A.2.e</w:t>
            </w:r>
          </w:p>
        </w:tc>
        <w:tc>
          <w:tcPr>
            <w:tcW w:w="2948" w:type="dxa"/>
            <w:shd w:val="clear" w:color="auto" w:fill="FFFFFF"/>
            <w:tcMar>
              <w:top w:w="0" w:type="dxa"/>
              <w:left w:w="85" w:type="dxa"/>
              <w:bottom w:w="0" w:type="dxa"/>
              <w:right w:w="85" w:type="dxa"/>
            </w:tcMar>
          </w:tcPr>
          <w:p w14:paraId="79ACFBD4" w14:textId="77777777" w:rsidR="006611EE" w:rsidRPr="00261B7A" w:rsidRDefault="006611EE" w:rsidP="000F09B5">
            <w:pPr>
              <w:pStyle w:val="TableText"/>
              <w:spacing w:before="40" w:after="40"/>
              <w:rPr>
                <w:rFonts w:cstheme="minorHAnsi"/>
              </w:rPr>
            </w:pPr>
            <w:r w:rsidRPr="00261B7A">
              <w:rPr>
                <w:rFonts w:cstheme="minorHAnsi"/>
                <w:color w:val="000000"/>
              </w:rPr>
              <w:t>Manufacturing Industries and Construction – Food Processing, Beverages and Tobacco Solid Fuels</w:t>
            </w:r>
          </w:p>
        </w:tc>
        <w:tc>
          <w:tcPr>
            <w:tcW w:w="510" w:type="dxa"/>
            <w:shd w:val="clear" w:color="auto" w:fill="FFFFFF"/>
            <w:tcMar>
              <w:top w:w="0" w:type="dxa"/>
              <w:left w:w="85" w:type="dxa"/>
              <w:bottom w:w="0" w:type="dxa"/>
              <w:right w:w="85" w:type="dxa"/>
            </w:tcMar>
          </w:tcPr>
          <w:p w14:paraId="7C45DE69"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1F725FA7" w14:textId="77777777" w:rsidR="006611EE" w:rsidRPr="00261B7A" w:rsidRDefault="006611EE" w:rsidP="000F09B5">
            <w:pPr>
              <w:pStyle w:val="TableText"/>
              <w:spacing w:before="40" w:after="40"/>
              <w:jc w:val="right"/>
              <w:rPr>
                <w:rFonts w:cstheme="minorHAnsi"/>
              </w:rPr>
            </w:pPr>
            <w:r w:rsidRPr="00261B7A">
              <w:rPr>
                <w:rFonts w:cstheme="minorHAnsi"/>
                <w:color w:val="000000"/>
              </w:rPr>
              <w:t>1,446.5</w:t>
            </w:r>
          </w:p>
        </w:tc>
        <w:tc>
          <w:tcPr>
            <w:tcW w:w="1021" w:type="dxa"/>
            <w:shd w:val="clear" w:color="auto" w:fill="FFFFFF"/>
            <w:tcMar>
              <w:top w:w="0" w:type="dxa"/>
              <w:left w:w="85" w:type="dxa"/>
              <w:bottom w:w="0" w:type="dxa"/>
              <w:right w:w="85" w:type="dxa"/>
            </w:tcMar>
          </w:tcPr>
          <w:p w14:paraId="01CC46BD" w14:textId="77777777" w:rsidR="006611EE" w:rsidRPr="00261B7A" w:rsidRDefault="006611EE" w:rsidP="000F09B5">
            <w:pPr>
              <w:pStyle w:val="TableText"/>
              <w:spacing w:before="40" w:after="40"/>
              <w:jc w:val="right"/>
              <w:rPr>
                <w:rFonts w:cstheme="minorHAnsi"/>
              </w:rPr>
            </w:pPr>
            <w:r w:rsidRPr="00261B7A">
              <w:rPr>
                <w:rFonts w:cstheme="minorHAnsi"/>
                <w:color w:val="000000"/>
              </w:rPr>
              <w:t>1.9</w:t>
            </w:r>
          </w:p>
        </w:tc>
        <w:tc>
          <w:tcPr>
            <w:tcW w:w="907" w:type="dxa"/>
            <w:shd w:val="clear" w:color="auto" w:fill="FFFFFF"/>
            <w:tcMar>
              <w:top w:w="0" w:type="dxa"/>
              <w:left w:w="85" w:type="dxa"/>
              <w:bottom w:w="0" w:type="dxa"/>
              <w:right w:w="85" w:type="dxa"/>
            </w:tcMar>
          </w:tcPr>
          <w:p w14:paraId="14C27590" w14:textId="77777777" w:rsidR="006611EE" w:rsidRPr="00261B7A" w:rsidRDefault="006611EE" w:rsidP="000F09B5">
            <w:pPr>
              <w:pStyle w:val="TableText"/>
              <w:spacing w:before="40" w:after="40"/>
              <w:jc w:val="right"/>
              <w:rPr>
                <w:rFonts w:cstheme="minorHAnsi"/>
              </w:rPr>
            </w:pPr>
            <w:r w:rsidRPr="00261B7A">
              <w:rPr>
                <w:rFonts w:cstheme="minorHAnsi"/>
                <w:color w:val="000000"/>
              </w:rPr>
              <w:t>69.7</w:t>
            </w:r>
          </w:p>
        </w:tc>
      </w:tr>
      <w:tr w:rsidR="006611EE" w:rsidRPr="00261B7A" w14:paraId="07281A4C" w14:textId="77777777" w:rsidTr="000F09B5">
        <w:tc>
          <w:tcPr>
            <w:tcW w:w="907" w:type="dxa"/>
            <w:shd w:val="clear" w:color="auto" w:fill="FFFFFF"/>
            <w:tcMar>
              <w:top w:w="0" w:type="dxa"/>
              <w:left w:w="85" w:type="dxa"/>
              <w:bottom w:w="0" w:type="dxa"/>
              <w:right w:w="85" w:type="dxa"/>
            </w:tcMar>
          </w:tcPr>
          <w:p w14:paraId="36968648" w14:textId="77777777" w:rsidR="006611EE" w:rsidRPr="00261B7A" w:rsidRDefault="006611EE" w:rsidP="000F09B5">
            <w:pPr>
              <w:pStyle w:val="TableText"/>
              <w:spacing w:before="40" w:after="40"/>
              <w:rPr>
                <w:rFonts w:cstheme="minorHAnsi"/>
              </w:rPr>
            </w:pPr>
            <w:r w:rsidRPr="00261B7A">
              <w:rPr>
                <w:rFonts w:cstheme="minorHAnsi"/>
                <w:color w:val="000000"/>
              </w:rPr>
              <w:t>2.F.1</w:t>
            </w:r>
          </w:p>
        </w:tc>
        <w:tc>
          <w:tcPr>
            <w:tcW w:w="2948" w:type="dxa"/>
            <w:shd w:val="clear" w:color="auto" w:fill="FFFFFF"/>
            <w:tcMar>
              <w:top w:w="0" w:type="dxa"/>
              <w:left w:w="85" w:type="dxa"/>
              <w:bottom w:w="0" w:type="dxa"/>
              <w:right w:w="85" w:type="dxa"/>
            </w:tcMar>
          </w:tcPr>
          <w:p w14:paraId="47AA446F" w14:textId="77777777" w:rsidR="006611EE" w:rsidRPr="00261B7A" w:rsidRDefault="006611EE" w:rsidP="000F09B5">
            <w:pPr>
              <w:pStyle w:val="TableText"/>
              <w:spacing w:before="40" w:after="40"/>
              <w:rPr>
                <w:rFonts w:cstheme="minorHAnsi"/>
              </w:rPr>
            </w:pPr>
            <w:r w:rsidRPr="00261B7A">
              <w:rPr>
                <w:rFonts w:cstheme="minorHAnsi"/>
                <w:color w:val="000000"/>
              </w:rPr>
              <w:t>Product Uses as Substitutes for ODS – Refrigeration and Air conditioning</w:t>
            </w:r>
          </w:p>
        </w:tc>
        <w:tc>
          <w:tcPr>
            <w:tcW w:w="510" w:type="dxa"/>
            <w:shd w:val="clear" w:color="auto" w:fill="FFFFFF"/>
            <w:tcMar>
              <w:top w:w="0" w:type="dxa"/>
              <w:left w:w="85" w:type="dxa"/>
              <w:bottom w:w="0" w:type="dxa"/>
              <w:right w:w="85" w:type="dxa"/>
            </w:tcMar>
          </w:tcPr>
          <w:p w14:paraId="6A1043B8" w14:textId="77777777" w:rsidR="006611EE" w:rsidRPr="00261B7A" w:rsidRDefault="006611EE" w:rsidP="000F09B5">
            <w:pPr>
              <w:pStyle w:val="TableText"/>
              <w:spacing w:before="40" w:after="40"/>
              <w:jc w:val="center"/>
              <w:rPr>
                <w:rFonts w:cstheme="minorHAnsi"/>
              </w:rPr>
            </w:pPr>
            <w:r w:rsidRPr="00261B7A">
              <w:rPr>
                <w:rFonts w:cstheme="minorHAnsi"/>
                <w:color w:val="000000"/>
              </w:rPr>
              <w:t>HFCs</w:t>
            </w:r>
          </w:p>
        </w:tc>
        <w:tc>
          <w:tcPr>
            <w:tcW w:w="964" w:type="dxa"/>
            <w:shd w:val="clear" w:color="auto" w:fill="FFFFFF"/>
            <w:tcMar>
              <w:top w:w="0" w:type="dxa"/>
              <w:left w:w="85" w:type="dxa"/>
              <w:bottom w:w="0" w:type="dxa"/>
              <w:right w:w="85" w:type="dxa"/>
            </w:tcMar>
          </w:tcPr>
          <w:p w14:paraId="0D02CB2E" w14:textId="77777777" w:rsidR="006611EE" w:rsidRPr="00261B7A" w:rsidRDefault="006611EE" w:rsidP="000F09B5">
            <w:pPr>
              <w:pStyle w:val="TableText"/>
              <w:spacing w:before="40" w:after="40"/>
              <w:jc w:val="right"/>
              <w:rPr>
                <w:rFonts w:cstheme="minorHAnsi"/>
              </w:rPr>
            </w:pPr>
            <w:r w:rsidRPr="00261B7A">
              <w:rPr>
                <w:rFonts w:cstheme="minorHAnsi"/>
                <w:color w:val="000000"/>
              </w:rPr>
              <w:t>1,401.8</w:t>
            </w:r>
          </w:p>
        </w:tc>
        <w:tc>
          <w:tcPr>
            <w:tcW w:w="1021" w:type="dxa"/>
            <w:shd w:val="clear" w:color="auto" w:fill="FFFFFF"/>
            <w:tcMar>
              <w:top w:w="0" w:type="dxa"/>
              <w:left w:w="85" w:type="dxa"/>
              <w:bottom w:w="0" w:type="dxa"/>
              <w:right w:w="85" w:type="dxa"/>
            </w:tcMar>
          </w:tcPr>
          <w:p w14:paraId="3F395550" w14:textId="77777777" w:rsidR="006611EE" w:rsidRPr="00261B7A" w:rsidRDefault="006611EE" w:rsidP="000F09B5">
            <w:pPr>
              <w:pStyle w:val="TableText"/>
              <w:spacing w:before="40" w:after="40"/>
              <w:jc w:val="right"/>
              <w:rPr>
                <w:rFonts w:cstheme="minorHAnsi"/>
              </w:rPr>
            </w:pPr>
            <w:r w:rsidRPr="00261B7A">
              <w:rPr>
                <w:rFonts w:cstheme="minorHAnsi"/>
                <w:color w:val="000000"/>
              </w:rPr>
              <w:t>1.8</w:t>
            </w:r>
          </w:p>
        </w:tc>
        <w:tc>
          <w:tcPr>
            <w:tcW w:w="907" w:type="dxa"/>
            <w:shd w:val="clear" w:color="auto" w:fill="FFFFFF"/>
            <w:tcMar>
              <w:top w:w="0" w:type="dxa"/>
              <w:left w:w="85" w:type="dxa"/>
              <w:bottom w:w="0" w:type="dxa"/>
              <w:right w:w="85" w:type="dxa"/>
            </w:tcMar>
          </w:tcPr>
          <w:p w14:paraId="158AC158" w14:textId="77777777" w:rsidR="006611EE" w:rsidRPr="00261B7A" w:rsidRDefault="006611EE" w:rsidP="000F09B5">
            <w:pPr>
              <w:pStyle w:val="TableText"/>
              <w:spacing w:before="40" w:after="40"/>
              <w:jc w:val="right"/>
              <w:rPr>
                <w:rFonts w:cstheme="minorHAnsi"/>
              </w:rPr>
            </w:pPr>
            <w:r w:rsidRPr="00261B7A">
              <w:rPr>
                <w:rFonts w:cstheme="minorHAnsi"/>
                <w:color w:val="000000"/>
              </w:rPr>
              <w:t>71.5</w:t>
            </w:r>
          </w:p>
        </w:tc>
      </w:tr>
      <w:tr w:rsidR="006611EE" w:rsidRPr="00261B7A" w14:paraId="6B7E4F19" w14:textId="77777777" w:rsidTr="000F09B5">
        <w:tc>
          <w:tcPr>
            <w:tcW w:w="907" w:type="dxa"/>
            <w:shd w:val="clear" w:color="auto" w:fill="FFFFFF"/>
            <w:tcMar>
              <w:top w:w="0" w:type="dxa"/>
              <w:left w:w="85" w:type="dxa"/>
              <w:bottom w:w="0" w:type="dxa"/>
              <w:right w:w="85" w:type="dxa"/>
            </w:tcMar>
          </w:tcPr>
          <w:p w14:paraId="28859A78" w14:textId="77777777" w:rsidR="006611EE" w:rsidRPr="00261B7A" w:rsidRDefault="006611EE" w:rsidP="000F09B5">
            <w:pPr>
              <w:pStyle w:val="TableText"/>
              <w:spacing w:before="40" w:after="40"/>
              <w:rPr>
                <w:rFonts w:cstheme="minorHAnsi"/>
              </w:rPr>
            </w:pPr>
            <w:r w:rsidRPr="00261B7A">
              <w:rPr>
                <w:rFonts w:cstheme="minorHAnsi"/>
                <w:color w:val="000000"/>
              </w:rPr>
              <w:t>3.D.1.1</w:t>
            </w:r>
          </w:p>
        </w:tc>
        <w:tc>
          <w:tcPr>
            <w:tcW w:w="2948" w:type="dxa"/>
            <w:shd w:val="clear" w:color="auto" w:fill="FFFFFF"/>
            <w:tcMar>
              <w:top w:w="0" w:type="dxa"/>
              <w:left w:w="85" w:type="dxa"/>
              <w:bottom w:w="0" w:type="dxa"/>
              <w:right w:w="85" w:type="dxa"/>
            </w:tcMar>
          </w:tcPr>
          <w:p w14:paraId="2883C4AA" w14:textId="77777777" w:rsidR="006611EE" w:rsidRPr="00261B7A" w:rsidRDefault="006611EE" w:rsidP="000F09B5">
            <w:pPr>
              <w:pStyle w:val="TableText"/>
              <w:spacing w:before="40" w:after="40"/>
              <w:rPr>
                <w:rFonts w:cstheme="minorHAnsi"/>
              </w:rPr>
            </w:pPr>
            <w:r w:rsidRPr="00261B7A">
              <w:rPr>
                <w:rFonts w:cstheme="minorHAnsi"/>
                <w:color w:val="000000"/>
              </w:rPr>
              <w:t>Direct N</w:t>
            </w:r>
            <w:r w:rsidRPr="00261B7A">
              <w:rPr>
                <w:rFonts w:cstheme="minorHAnsi"/>
                <w:color w:val="000000"/>
                <w:vertAlign w:val="subscript"/>
              </w:rPr>
              <w:t>2</w:t>
            </w:r>
            <w:r w:rsidRPr="00261B7A">
              <w:rPr>
                <w:rFonts w:cstheme="minorHAnsi"/>
                <w:color w:val="000000"/>
              </w:rPr>
              <w:t>O Emissions From Managed Soils – Inorganic N Fertilizers</w:t>
            </w:r>
          </w:p>
        </w:tc>
        <w:tc>
          <w:tcPr>
            <w:tcW w:w="510" w:type="dxa"/>
            <w:shd w:val="clear" w:color="auto" w:fill="FFFFFF"/>
            <w:tcMar>
              <w:top w:w="0" w:type="dxa"/>
              <w:left w:w="85" w:type="dxa"/>
              <w:bottom w:w="0" w:type="dxa"/>
              <w:right w:w="85" w:type="dxa"/>
            </w:tcMar>
          </w:tcPr>
          <w:p w14:paraId="621C63C8" w14:textId="77777777" w:rsidR="006611EE" w:rsidRPr="00261B7A" w:rsidRDefault="006611EE" w:rsidP="000F09B5">
            <w:pPr>
              <w:pStyle w:val="TableText"/>
              <w:spacing w:before="40" w:after="40"/>
              <w:jc w:val="center"/>
              <w:rPr>
                <w:rFonts w:cstheme="minorHAnsi"/>
              </w:rPr>
            </w:pPr>
            <w:r w:rsidRPr="00261B7A">
              <w:rPr>
                <w:rFonts w:cstheme="minorHAnsi"/>
                <w:color w:val="000000"/>
              </w:rPr>
              <w:t>N</w:t>
            </w:r>
            <w:r w:rsidRPr="00261B7A">
              <w:rPr>
                <w:rFonts w:asciiTheme="minorHAnsi" w:hAnsiTheme="minorHAnsi" w:cstheme="minorHAnsi"/>
                <w:vertAlign w:val="subscript"/>
              </w:rPr>
              <w:t>2</w:t>
            </w:r>
            <w:r w:rsidRPr="00261B7A">
              <w:rPr>
                <w:rFonts w:asciiTheme="minorHAnsi" w:hAnsiTheme="minorHAnsi" w:cstheme="minorHAnsi"/>
              </w:rPr>
              <w:t>O</w:t>
            </w:r>
          </w:p>
        </w:tc>
        <w:tc>
          <w:tcPr>
            <w:tcW w:w="964" w:type="dxa"/>
            <w:shd w:val="clear" w:color="auto" w:fill="FFFFFF"/>
            <w:tcMar>
              <w:top w:w="0" w:type="dxa"/>
              <w:left w:w="85" w:type="dxa"/>
              <w:bottom w:w="0" w:type="dxa"/>
              <w:right w:w="85" w:type="dxa"/>
            </w:tcMar>
          </w:tcPr>
          <w:p w14:paraId="762CC812" w14:textId="77777777" w:rsidR="006611EE" w:rsidRPr="00261B7A" w:rsidRDefault="006611EE" w:rsidP="000F09B5">
            <w:pPr>
              <w:pStyle w:val="TableText"/>
              <w:spacing w:before="40" w:after="40"/>
              <w:jc w:val="right"/>
              <w:rPr>
                <w:rFonts w:cstheme="minorHAnsi"/>
              </w:rPr>
            </w:pPr>
            <w:r w:rsidRPr="00261B7A">
              <w:rPr>
                <w:rFonts w:cstheme="minorHAnsi"/>
                <w:color w:val="000000"/>
              </w:rPr>
              <w:t>1,398.9</w:t>
            </w:r>
          </w:p>
        </w:tc>
        <w:tc>
          <w:tcPr>
            <w:tcW w:w="1021" w:type="dxa"/>
            <w:shd w:val="clear" w:color="auto" w:fill="FFFFFF"/>
            <w:tcMar>
              <w:top w:w="0" w:type="dxa"/>
              <w:left w:w="85" w:type="dxa"/>
              <w:bottom w:w="0" w:type="dxa"/>
              <w:right w:w="85" w:type="dxa"/>
            </w:tcMar>
          </w:tcPr>
          <w:p w14:paraId="2F044144" w14:textId="77777777" w:rsidR="006611EE" w:rsidRPr="00261B7A" w:rsidRDefault="006611EE" w:rsidP="000F09B5">
            <w:pPr>
              <w:pStyle w:val="TableText"/>
              <w:spacing w:before="40" w:after="40"/>
              <w:jc w:val="right"/>
              <w:rPr>
                <w:rFonts w:cstheme="minorHAnsi"/>
              </w:rPr>
            </w:pPr>
            <w:r w:rsidRPr="00261B7A">
              <w:rPr>
                <w:rFonts w:cstheme="minorHAnsi"/>
                <w:color w:val="000000"/>
              </w:rPr>
              <w:t>1.8</w:t>
            </w:r>
          </w:p>
        </w:tc>
        <w:tc>
          <w:tcPr>
            <w:tcW w:w="907" w:type="dxa"/>
            <w:shd w:val="clear" w:color="auto" w:fill="FFFFFF"/>
            <w:tcMar>
              <w:top w:w="0" w:type="dxa"/>
              <w:left w:w="85" w:type="dxa"/>
              <w:bottom w:w="0" w:type="dxa"/>
              <w:right w:w="85" w:type="dxa"/>
            </w:tcMar>
          </w:tcPr>
          <w:p w14:paraId="5148A8BE" w14:textId="77777777" w:rsidR="006611EE" w:rsidRPr="00261B7A" w:rsidRDefault="006611EE" w:rsidP="000F09B5">
            <w:pPr>
              <w:pStyle w:val="TableText"/>
              <w:spacing w:before="40" w:after="40"/>
              <w:jc w:val="right"/>
              <w:rPr>
                <w:rFonts w:cstheme="minorHAnsi"/>
              </w:rPr>
            </w:pPr>
            <w:r w:rsidRPr="00261B7A">
              <w:rPr>
                <w:rFonts w:cstheme="minorHAnsi"/>
                <w:color w:val="000000"/>
              </w:rPr>
              <w:t>73.3</w:t>
            </w:r>
          </w:p>
        </w:tc>
      </w:tr>
      <w:tr w:rsidR="006611EE" w:rsidRPr="00261B7A" w14:paraId="3CA10A84" w14:textId="77777777" w:rsidTr="000F09B5">
        <w:tc>
          <w:tcPr>
            <w:tcW w:w="907" w:type="dxa"/>
            <w:shd w:val="clear" w:color="auto" w:fill="FFFFFF"/>
            <w:tcMar>
              <w:top w:w="0" w:type="dxa"/>
              <w:left w:w="85" w:type="dxa"/>
              <w:bottom w:w="0" w:type="dxa"/>
              <w:right w:w="85" w:type="dxa"/>
            </w:tcMar>
          </w:tcPr>
          <w:p w14:paraId="67AD5642" w14:textId="77777777" w:rsidR="006611EE" w:rsidRPr="00261B7A" w:rsidRDefault="006611EE" w:rsidP="000F09B5">
            <w:pPr>
              <w:pStyle w:val="TableText"/>
              <w:spacing w:before="40" w:after="40"/>
              <w:rPr>
                <w:rFonts w:cstheme="minorHAnsi"/>
              </w:rPr>
            </w:pPr>
            <w:r w:rsidRPr="00261B7A">
              <w:rPr>
                <w:rFonts w:cstheme="minorHAnsi"/>
                <w:color w:val="000000"/>
              </w:rPr>
              <w:t>3.B.1.1</w:t>
            </w:r>
          </w:p>
        </w:tc>
        <w:tc>
          <w:tcPr>
            <w:tcW w:w="2948" w:type="dxa"/>
            <w:shd w:val="clear" w:color="auto" w:fill="FFFFFF"/>
            <w:tcMar>
              <w:top w:w="0" w:type="dxa"/>
              <w:left w:w="85" w:type="dxa"/>
              <w:bottom w:w="0" w:type="dxa"/>
              <w:right w:w="85" w:type="dxa"/>
            </w:tcMar>
          </w:tcPr>
          <w:p w14:paraId="7FD31CA1" w14:textId="77777777" w:rsidR="006611EE" w:rsidRPr="00261B7A" w:rsidRDefault="006611EE" w:rsidP="000F09B5">
            <w:pPr>
              <w:pStyle w:val="TableText"/>
              <w:spacing w:before="40" w:after="40"/>
              <w:rPr>
                <w:rFonts w:cstheme="minorHAnsi"/>
              </w:rPr>
            </w:pPr>
            <w:r w:rsidRPr="00261B7A">
              <w:rPr>
                <w:rFonts w:cstheme="minorHAnsi"/>
                <w:color w:val="000000"/>
              </w:rPr>
              <w:t>Option A – Dairy Cattle</w:t>
            </w:r>
          </w:p>
        </w:tc>
        <w:tc>
          <w:tcPr>
            <w:tcW w:w="510" w:type="dxa"/>
            <w:shd w:val="clear" w:color="auto" w:fill="FFFFFF"/>
            <w:tcMar>
              <w:top w:w="0" w:type="dxa"/>
              <w:left w:w="85" w:type="dxa"/>
              <w:bottom w:w="0" w:type="dxa"/>
              <w:right w:w="85" w:type="dxa"/>
            </w:tcMar>
          </w:tcPr>
          <w:p w14:paraId="60FE59F4"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964" w:type="dxa"/>
            <w:shd w:val="clear" w:color="auto" w:fill="FFFFFF"/>
            <w:tcMar>
              <w:top w:w="0" w:type="dxa"/>
              <w:left w:w="85" w:type="dxa"/>
              <w:bottom w:w="0" w:type="dxa"/>
              <w:right w:w="85" w:type="dxa"/>
            </w:tcMar>
          </w:tcPr>
          <w:p w14:paraId="18CDBD16" w14:textId="77777777" w:rsidR="006611EE" w:rsidRPr="00261B7A" w:rsidRDefault="006611EE" w:rsidP="000F09B5">
            <w:pPr>
              <w:pStyle w:val="TableText"/>
              <w:spacing w:before="40" w:after="40"/>
              <w:jc w:val="right"/>
              <w:rPr>
                <w:rFonts w:cstheme="minorHAnsi"/>
              </w:rPr>
            </w:pPr>
            <w:r w:rsidRPr="00261B7A">
              <w:rPr>
                <w:rFonts w:cstheme="minorHAnsi"/>
                <w:color w:val="000000"/>
              </w:rPr>
              <w:t>1,341.1</w:t>
            </w:r>
          </w:p>
        </w:tc>
        <w:tc>
          <w:tcPr>
            <w:tcW w:w="1021" w:type="dxa"/>
            <w:shd w:val="clear" w:color="auto" w:fill="FFFFFF"/>
            <w:tcMar>
              <w:top w:w="0" w:type="dxa"/>
              <w:left w:w="85" w:type="dxa"/>
              <w:bottom w:w="0" w:type="dxa"/>
              <w:right w:w="85" w:type="dxa"/>
            </w:tcMar>
          </w:tcPr>
          <w:p w14:paraId="27DBA77F" w14:textId="77777777" w:rsidR="006611EE" w:rsidRPr="00261B7A" w:rsidRDefault="006611EE" w:rsidP="000F09B5">
            <w:pPr>
              <w:pStyle w:val="TableText"/>
              <w:spacing w:before="40" w:after="40"/>
              <w:jc w:val="right"/>
              <w:rPr>
                <w:rFonts w:cstheme="minorHAnsi"/>
              </w:rPr>
            </w:pPr>
            <w:r w:rsidRPr="00261B7A">
              <w:rPr>
                <w:rFonts w:cstheme="minorHAnsi"/>
                <w:color w:val="000000"/>
              </w:rPr>
              <w:t>1.7</w:t>
            </w:r>
          </w:p>
        </w:tc>
        <w:tc>
          <w:tcPr>
            <w:tcW w:w="907" w:type="dxa"/>
            <w:shd w:val="clear" w:color="auto" w:fill="FFFFFF"/>
            <w:tcMar>
              <w:top w:w="0" w:type="dxa"/>
              <w:left w:w="85" w:type="dxa"/>
              <w:bottom w:w="0" w:type="dxa"/>
              <w:right w:w="85" w:type="dxa"/>
            </w:tcMar>
          </w:tcPr>
          <w:p w14:paraId="30B576F3" w14:textId="77777777" w:rsidR="006611EE" w:rsidRPr="00261B7A" w:rsidRDefault="006611EE" w:rsidP="000F09B5">
            <w:pPr>
              <w:pStyle w:val="TableText"/>
              <w:spacing w:before="40" w:after="40"/>
              <w:jc w:val="right"/>
              <w:rPr>
                <w:rFonts w:cstheme="minorHAnsi"/>
              </w:rPr>
            </w:pPr>
            <w:r w:rsidRPr="00261B7A">
              <w:rPr>
                <w:rFonts w:cstheme="minorHAnsi"/>
                <w:color w:val="000000"/>
              </w:rPr>
              <w:t>75.1</w:t>
            </w:r>
          </w:p>
        </w:tc>
      </w:tr>
      <w:tr w:rsidR="006611EE" w:rsidRPr="00261B7A" w14:paraId="0D6854F7" w14:textId="77777777" w:rsidTr="000F09B5">
        <w:tc>
          <w:tcPr>
            <w:tcW w:w="907" w:type="dxa"/>
            <w:shd w:val="clear" w:color="auto" w:fill="FFFFFF"/>
            <w:tcMar>
              <w:top w:w="0" w:type="dxa"/>
              <w:left w:w="85" w:type="dxa"/>
              <w:bottom w:w="0" w:type="dxa"/>
              <w:right w:w="85" w:type="dxa"/>
            </w:tcMar>
          </w:tcPr>
          <w:p w14:paraId="091D3350" w14:textId="77777777" w:rsidR="006611EE" w:rsidRPr="00261B7A" w:rsidRDefault="006611EE" w:rsidP="000F09B5">
            <w:pPr>
              <w:pStyle w:val="TableText"/>
              <w:spacing w:before="40" w:after="40"/>
              <w:rPr>
                <w:rFonts w:cstheme="minorHAnsi"/>
              </w:rPr>
            </w:pPr>
            <w:r w:rsidRPr="00261B7A">
              <w:rPr>
                <w:rFonts w:cstheme="minorHAnsi"/>
                <w:color w:val="000000"/>
              </w:rPr>
              <w:t>1.A.4.b</w:t>
            </w:r>
          </w:p>
        </w:tc>
        <w:tc>
          <w:tcPr>
            <w:tcW w:w="2948" w:type="dxa"/>
            <w:shd w:val="clear" w:color="auto" w:fill="FFFFFF"/>
            <w:tcMar>
              <w:top w:w="0" w:type="dxa"/>
              <w:left w:w="85" w:type="dxa"/>
              <w:bottom w:w="0" w:type="dxa"/>
              <w:right w:w="85" w:type="dxa"/>
            </w:tcMar>
          </w:tcPr>
          <w:p w14:paraId="404630DF" w14:textId="77777777" w:rsidR="006611EE" w:rsidRPr="00261B7A" w:rsidRDefault="006611EE" w:rsidP="000F09B5">
            <w:pPr>
              <w:pStyle w:val="TableText"/>
              <w:spacing w:before="40" w:after="40"/>
              <w:rPr>
                <w:rFonts w:cstheme="minorHAnsi"/>
              </w:rPr>
            </w:pPr>
            <w:r w:rsidRPr="00261B7A">
              <w:rPr>
                <w:rFonts w:cstheme="minorHAnsi"/>
                <w:color w:val="000000"/>
              </w:rPr>
              <w:t>Other Sectors – Residential Liquid Fuels</w:t>
            </w:r>
          </w:p>
        </w:tc>
        <w:tc>
          <w:tcPr>
            <w:tcW w:w="510" w:type="dxa"/>
            <w:shd w:val="clear" w:color="auto" w:fill="FFFFFF"/>
            <w:tcMar>
              <w:top w:w="0" w:type="dxa"/>
              <w:left w:w="85" w:type="dxa"/>
              <w:bottom w:w="0" w:type="dxa"/>
              <w:right w:w="85" w:type="dxa"/>
            </w:tcMar>
          </w:tcPr>
          <w:p w14:paraId="5FCDA650"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6F7239F4" w14:textId="77777777" w:rsidR="006611EE" w:rsidRPr="00261B7A" w:rsidRDefault="006611EE" w:rsidP="000F09B5">
            <w:pPr>
              <w:pStyle w:val="TableText"/>
              <w:spacing w:before="40" w:after="40"/>
              <w:jc w:val="right"/>
              <w:rPr>
                <w:rFonts w:cstheme="minorHAnsi"/>
              </w:rPr>
            </w:pPr>
            <w:r w:rsidRPr="00261B7A">
              <w:rPr>
                <w:rFonts w:cstheme="minorHAnsi"/>
                <w:color w:val="000000"/>
              </w:rPr>
              <w:t>1,332.4</w:t>
            </w:r>
          </w:p>
        </w:tc>
        <w:tc>
          <w:tcPr>
            <w:tcW w:w="1021" w:type="dxa"/>
            <w:shd w:val="clear" w:color="auto" w:fill="FFFFFF"/>
            <w:tcMar>
              <w:top w:w="0" w:type="dxa"/>
              <w:left w:w="85" w:type="dxa"/>
              <w:bottom w:w="0" w:type="dxa"/>
              <w:right w:w="85" w:type="dxa"/>
            </w:tcMar>
          </w:tcPr>
          <w:p w14:paraId="0C263F41" w14:textId="77777777" w:rsidR="006611EE" w:rsidRPr="00261B7A" w:rsidRDefault="006611EE" w:rsidP="000F09B5">
            <w:pPr>
              <w:pStyle w:val="TableText"/>
              <w:spacing w:before="40" w:after="40"/>
              <w:jc w:val="right"/>
              <w:rPr>
                <w:rFonts w:cstheme="minorHAnsi"/>
              </w:rPr>
            </w:pPr>
            <w:r w:rsidRPr="00261B7A">
              <w:rPr>
                <w:rFonts w:cstheme="minorHAnsi"/>
                <w:color w:val="000000"/>
              </w:rPr>
              <w:t>1.7</w:t>
            </w:r>
          </w:p>
        </w:tc>
        <w:tc>
          <w:tcPr>
            <w:tcW w:w="907" w:type="dxa"/>
            <w:shd w:val="clear" w:color="auto" w:fill="FFFFFF"/>
            <w:tcMar>
              <w:top w:w="0" w:type="dxa"/>
              <w:left w:w="85" w:type="dxa"/>
              <w:bottom w:w="0" w:type="dxa"/>
              <w:right w:w="85" w:type="dxa"/>
            </w:tcMar>
          </w:tcPr>
          <w:p w14:paraId="32554C99" w14:textId="77777777" w:rsidR="006611EE" w:rsidRPr="00261B7A" w:rsidRDefault="006611EE" w:rsidP="000F09B5">
            <w:pPr>
              <w:pStyle w:val="TableText"/>
              <w:spacing w:before="40" w:after="40"/>
              <w:jc w:val="right"/>
              <w:rPr>
                <w:rFonts w:cstheme="minorHAnsi"/>
              </w:rPr>
            </w:pPr>
            <w:r w:rsidRPr="00261B7A">
              <w:rPr>
                <w:rFonts w:cstheme="minorHAnsi"/>
                <w:color w:val="000000"/>
              </w:rPr>
              <w:t>76.8</w:t>
            </w:r>
          </w:p>
        </w:tc>
      </w:tr>
      <w:tr w:rsidR="006611EE" w:rsidRPr="00261B7A" w14:paraId="155D4B1C" w14:textId="77777777" w:rsidTr="000F09B5">
        <w:tc>
          <w:tcPr>
            <w:tcW w:w="907" w:type="dxa"/>
            <w:shd w:val="clear" w:color="auto" w:fill="FFFFFF"/>
            <w:tcMar>
              <w:top w:w="0" w:type="dxa"/>
              <w:left w:w="85" w:type="dxa"/>
              <w:bottom w:w="0" w:type="dxa"/>
              <w:right w:w="85" w:type="dxa"/>
            </w:tcMar>
          </w:tcPr>
          <w:p w14:paraId="769030DD" w14:textId="77777777" w:rsidR="006611EE" w:rsidRPr="00261B7A" w:rsidRDefault="006611EE" w:rsidP="000F09B5">
            <w:pPr>
              <w:pStyle w:val="TableText"/>
              <w:spacing w:before="40" w:after="40"/>
              <w:rPr>
                <w:rFonts w:cstheme="minorHAnsi"/>
              </w:rPr>
            </w:pPr>
            <w:r w:rsidRPr="00261B7A">
              <w:rPr>
                <w:rFonts w:cstheme="minorHAnsi"/>
                <w:color w:val="000000"/>
              </w:rPr>
              <w:lastRenderedPageBreak/>
              <w:t>1.A.2.c</w:t>
            </w:r>
          </w:p>
        </w:tc>
        <w:tc>
          <w:tcPr>
            <w:tcW w:w="2948" w:type="dxa"/>
            <w:shd w:val="clear" w:color="auto" w:fill="FFFFFF"/>
            <w:tcMar>
              <w:top w:w="0" w:type="dxa"/>
              <w:left w:w="85" w:type="dxa"/>
              <w:bottom w:w="0" w:type="dxa"/>
              <w:right w:w="85" w:type="dxa"/>
            </w:tcMar>
          </w:tcPr>
          <w:p w14:paraId="14AF83C7" w14:textId="77777777" w:rsidR="006611EE" w:rsidRPr="00261B7A" w:rsidRDefault="006611EE" w:rsidP="000F09B5">
            <w:pPr>
              <w:pStyle w:val="TableText"/>
              <w:spacing w:before="40" w:after="40"/>
              <w:rPr>
                <w:rFonts w:cstheme="minorHAnsi"/>
              </w:rPr>
            </w:pPr>
            <w:r w:rsidRPr="00261B7A">
              <w:rPr>
                <w:rFonts w:cstheme="minorHAnsi"/>
                <w:color w:val="000000"/>
              </w:rPr>
              <w:t>Manufacturing Industries and Construction – Chemicals Gaseous Fuels</w:t>
            </w:r>
          </w:p>
        </w:tc>
        <w:tc>
          <w:tcPr>
            <w:tcW w:w="510" w:type="dxa"/>
            <w:shd w:val="clear" w:color="auto" w:fill="FFFFFF"/>
            <w:tcMar>
              <w:top w:w="0" w:type="dxa"/>
              <w:left w:w="85" w:type="dxa"/>
              <w:bottom w:w="0" w:type="dxa"/>
              <w:right w:w="85" w:type="dxa"/>
            </w:tcMar>
          </w:tcPr>
          <w:p w14:paraId="2C5F1594"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56CB8FA7" w14:textId="77777777" w:rsidR="006611EE" w:rsidRPr="00261B7A" w:rsidRDefault="006611EE" w:rsidP="000F09B5">
            <w:pPr>
              <w:pStyle w:val="TableText"/>
              <w:spacing w:before="40" w:after="40"/>
              <w:jc w:val="right"/>
              <w:rPr>
                <w:rFonts w:cstheme="minorHAnsi"/>
              </w:rPr>
            </w:pPr>
            <w:r w:rsidRPr="00261B7A">
              <w:rPr>
                <w:rFonts w:cstheme="minorHAnsi"/>
                <w:color w:val="000000"/>
              </w:rPr>
              <w:t>1,267.1</w:t>
            </w:r>
          </w:p>
        </w:tc>
        <w:tc>
          <w:tcPr>
            <w:tcW w:w="1021" w:type="dxa"/>
            <w:shd w:val="clear" w:color="auto" w:fill="FFFFFF"/>
            <w:tcMar>
              <w:top w:w="0" w:type="dxa"/>
              <w:left w:w="85" w:type="dxa"/>
              <w:bottom w:w="0" w:type="dxa"/>
              <w:right w:w="85" w:type="dxa"/>
            </w:tcMar>
          </w:tcPr>
          <w:p w14:paraId="5A52DF0B" w14:textId="77777777" w:rsidR="006611EE" w:rsidRPr="00261B7A" w:rsidRDefault="006611EE" w:rsidP="000F09B5">
            <w:pPr>
              <w:pStyle w:val="TableText"/>
              <w:spacing w:before="40" w:after="40"/>
              <w:jc w:val="right"/>
              <w:rPr>
                <w:rFonts w:cstheme="minorHAnsi"/>
              </w:rPr>
            </w:pPr>
            <w:r w:rsidRPr="00261B7A">
              <w:rPr>
                <w:rFonts w:cstheme="minorHAnsi"/>
                <w:color w:val="000000"/>
              </w:rPr>
              <w:t>1.6</w:t>
            </w:r>
          </w:p>
        </w:tc>
        <w:tc>
          <w:tcPr>
            <w:tcW w:w="907" w:type="dxa"/>
            <w:shd w:val="clear" w:color="auto" w:fill="FFFFFF"/>
            <w:tcMar>
              <w:top w:w="0" w:type="dxa"/>
              <w:left w:w="85" w:type="dxa"/>
              <w:bottom w:w="0" w:type="dxa"/>
              <w:right w:w="85" w:type="dxa"/>
            </w:tcMar>
          </w:tcPr>
          <w:p w14:paraId="38439FFC" w14:textId="77777777" w:rsidR="006611EE" w:rsidRPr="00261B7A" w:rsidRDefault="006611EE" w:rsidP="000F09B5">
            <w:pPr>
              <w:pStyle w:val="TableText"/>
              <w:spacing w:before="40" w:after="40"/>
              <w:jc w:val="right"/>
              <w:rPr>
                <w:rFonts w:cstheme="minorHAnsi"/>
              </w:rPr>
            </w:pPr>
            <w:r w:rsidRPr="00261B7A">
              <w:rPr>
                <w:rFonts w:cstheme="minorHAnsi"/>
                <w:color w:val="000000"/>
              </w:rPr>
              <w:t>78.5</w:t>
            </w:r>
          </w:p>
        </w:tc>
      </w:tr>
      <w:tr w:rsidR="006611EE" w:rsidRPr="00261B7A" w14:paraId="3273CC5E" w14:textId="77777777" w:rsidTr="000F09B5">
        <w:tc>
          <w:tcPr>
            <w:tcW w:w="907" w:type="dxa"/>
            <w:shd w:val="clear" w:color="auto" w:fill="FFFFFF"/>
            <w:tcMar>
              <w:top w:w="0" w:type="dxa"/>
              <w:left w:w="85" w:type="dxa"/>
              <w:bottom w:w="0" w:type="dxa"/>
              <w:right w:w="85" w:type="dxa"/>
            </w:tcMar>
          </w:tcPr>
          <w:p w14:paraId="37172C5E" w14:textId="77777777" w:rsidR="006611EE" w:rsidRPr="00261B7A" w:rsidRDefault="006611EE" w:rsidP="000F09B5">
            <w:pPr>
              <w:pStyle w:val="TableText"/>
              <w:spacing w:before="40" w:after="40"/>
              <w:rPr>
                <w:rFonts w:cstheme="minorHAnsi"/>
              </w:rPr>
            </w:pPr>
            <w:r w:rsidRPr="00261B7A">
              <w:rPr>
                <w:rFonts w:cstheme="minorHAnsi"/>
                <w:color w:val="000000"/>
              </w:rPr>
              <w:t>1.A.4.c</w:t>
            </w:r>
          </w:p>
        </w:tc>
        <w:tc>
          <w:tcPr>
            <w:tcW w:w="2948" w:type="dxa"/>
            <w:shd w:val="clear" w:color="auto" w:fill="FFFFFF"/>
            <w:tcMar>
              <w:top w:w="0" w:type="dxa"/>
              <w:left w:w="85" w:type="dxa"/>
              <w:bottom w:w="0" w:type="dxa"/>
              <w:right w:w="85" w:type="dxa"/>
            </w:tcMar>
          </w:tcPr>
          <w:p w14:paraId="0F0DD8A9" w14:textId="77777777" w:rsidR="006611EE" w:rsidRPr="00261B7A" w:rsidRDefault="006611EE" w:rsidP="000F09B5">
            <w:pPr>
              <w:pStyle w:val="TableText"/>
              <w:spacing w:before="40" w:after="40"/>
              <w:rPr>
                <w:rFonts w:cstheme="minorHAnsi"/>
              </w:rPr>
            </w:pPr>
            <w:r w:rsidRPr="00261B7A">
              <w:rPr>
                <w:rFonts w:cstheme="minorHAnsi"/>
                <w:color w:val="000000"/>
              </w:rPr>
              <w:t>Other Sectors – Agriculture/Forestry/Fishing Liquid Fuels</w:t>
            </w:r>
          </w:p>
        </w:tc>
        <w:tc>
          <w:tcPr>
            <w:tcW w:w="510" w:type="dxa"/>
            <w:shd w:val="clear" w:color="auto" w:fill="FFFFFF"/>
            <w:tcMar>
              <w:top w:w="0" w:type="dxa"/>
              <w:left w:w="85" w:type="dxa"/>
              <w:bottom w:w="0" w:type="dxa"/>
              <w:right w:w="85" w:type="dxa"/>
            </w:tcMar>
          </w:tcPr>
          <w:p w14:paraId="213D7BF3"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4EC8E7BA" w14:textId="77777777" w:rsidR="006611EE" w:rsidRPr="00261B7A" w:rsidRDefault="006611EE" w:rsidP="000F09B5">
            <w:pPr>
              <w:pStyle w:val="TableText"/>
              <w:spacing w:before="40" w:after="40"/>
              <w:jc w:val="right"/>
              <w:rPr>
                <w:rFonts w:cstheme="minorHAnsi"/>
              </w:rPr>
            </w:pPr>
            <w:r w:rsidRPr="00261B7A">
              <w:rPr>
                <w:rFonts w:cstheme="minorHAnsi"/>
                <w:color w:val="000000"/>
              </w:rPr>
              <w:t>1,262.5</w:t>
            </w:r>
          </w:p>
        </w:tc>
        <w:tc>
          <w:tcPr>
            <w:tcW w:w="1021" w:type="dxa"/>
            <w:shd w:val="clear" w:color="auto" w:fill="FFFFFF"/>
            <w:tcMar>
              <w:top w:w="0" w:type="dxa"/>
              <w:left w:w="85" w:type="dxa"/>
              <w:bottom w:w="0" w:type="dxa"/>
              <w:right w:w="85" w:type="dxa"/>
            </w:tcMar>
          </w:tcPr>
          <w:p w14:paraId="0C6EAB3B" w14:textId="77777777" w:rsidR="006611EE" w:rsidRPr="00261B7A" w:rsidRDefault="006611EE" w:rsidP="000F09B5">
            <w:pPr>
              <w:pStyle w:val="TableText"/>
              <w:spacing w:before="40" w:after="40"/>
              <w:jc w:val="right"/>
              <w:rPr>
                <w:rFonts w:cstheme="minorHAnsi"/>
              </w:rPr>
            </w:pPr>
            <w:r w:rsidRPr="00261B7A">
              <w:rPr>
                <w:rFonts w:cstheme="minorHAnsi"/>
                <w:color w:val="000000"/>
              </w:rPr>
              <w:t>1.6</w:t>
            </w:r>
          </w:p>
        </w:tc>
        <w:tc>
          <w:tcPr>
            <w:tcW w:w="907" w:type="dxa"/>
            <w:shd w:val="clear" w:color="auto" w:fill="FFFFFF"/>
            <w:tcMar>
              <w:top w:w="0" w:type="dxa"/>
              <w:left w:w="85" w:type="dxa"/>
              <w:bottom w:w="0" w:type="dxa"/>
              <w:right w:w="85" w:type="dxa"/>
            </w:tcMar>
          </w:tcPr>
          <w:p w14:paraId="0CABB60D" w14:textId="77777777" w:rsidR="006611EE" w:rsidRPr="00261B7A" w:rsidRDefault="006611EE" w:rsidP="000F09B5">
            <w:pPr>
              <w:pStyle w:val="TableText"/>
              <w:spacing w:before="40" w:after="40"/>
              <w:jc w:val="right"/>
              <w:rPr>
                <w:rFonts w:cstheme="minorHAnsi"/>
              </w:rPr>
            </w:pPr>
            <w:r w:rsidRPr="00261B7A">
              <w:rPr>
                <w:rFonts w:cstheme="minorHAnsi"/>
                <w:color w:val="000000"/>
              </w:rPr>
              <w:t>80.1</w:t>
            </w:r>
          </w:p>
        </w:tc>
      </w:tr>
      <w:tr w:rsidR="006611EE" w:rsidRPr="00261B7A" w14:paraId="7127A334" w14:textId="77777777" w:rsidTr="000F09B5">
        <w:tc>
          <w:tcPr>
            <w:tcW w:w="907" w:type="dxa"/>
            <w:shd w:val="clear" w:color="auto" w:fill="FFFFFF"/>
            <w:tcMar>
              <w:top w:w="0" w:type="dxa"/>
              <w:left w:w="85" w:type="dxa"/>
              <w:bottom w:w="0" w:type="dxa"/>
              <w:right w:w="85" w:type="dxa"/>
            </w:tcMar>
          </w:tcPr>
          <w:p w14:paraId="1F73FC1B" w14:textId="77777777" w:rsidR="006611EE" w:rsidRPr="00261B7A" w:rsidRDefault="006611EE" w:rsidP="000F09B5">
            <w:pPr>
              <w:pStyle w:val="TableText"/>
              <w:spacing w:before="40" w:after="40"/>
              <w:rPr>
                <w:rFonts w:cstheme="minorHAnsi"/>
              </w:rPr>
            </w:pPr>
            <w:r w:rsidRPr="00261B7A">
              <w:rPr>
                <w:rFonts w:cstheme="minorHAnsi"/>
                <w:color w:val="000000"/>
              </w:rPr>
              <w:t>1.A.2.e</w:t>
            </w:r>
          </w:p>
        </w:tc>
        <w:tc>
          <w:tcPr>
            <w:tcW w:w="2948" w:type="dxa"/>
            <w:shd w:val="clear" w:color="auto" w:fill="FFFFFF"/>
            <w:tcMar>
              <w:top w:w="0" w:type="dxa"/>
              <w:left w:w="85" w:type="dxa"/>
              <w:bottom w:w="0" w:type="dxa"/>
              <w:right w:w="85" w:type="dxa"/>
            </w:tcMar>
          </w:tcPr>
          <w:p w14:paraId="3F9B5600" w14:textId="77777777" w:rsidR="006611EE" w:rsidRPr="00261B7A" w:rsidRDefault="006611EE" w:rsidP="000F09B5">
            <w:pPr>
              <w:pStyle w:val="TableText"/>
              <w:spacing w:before="40" w:after="40"/>
              <w:rPr>
                <w:rFonts w:cstheme="minorHAnsi"/>
              </w:rPr>
            </w:pPr>
            <w:r w:rsidRPr="00261B7A">
              <w:rPr>
                <w:rFonts w:cstheme="minorHAnsi"/>
                <w:color w:val="000000"/>
              </w:rPr>
              <w:t>Manufacturing Industries and Construction – Food Processing, Beverages and Tobacco Gaseous Fuels</w:t>
            </w:r>
          </w:p>
        </w:tc>
        <w:tc>
          <w:tcPr>
            <w:tcW w:w="510" w:type="dxa"/>
            <w:shd w:val="clear" w:color="auto" w:fill="FFFFFF"/>
            <w:tcMar>
              <w:top w:w="0" w:type="dxa"/>
              <w:left w:w="85" w:type="dxa"/>
              <w:bottom w:w="0" w:type="dxa"/>
              <w:right w:w="85" w:type="dxa"/>
            </w:tcMar>
          </w:tcPr>
          <w:p w14:paraId="453F0EB3"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1F23B48F" w14:textId="77777777" w:rsidR="006611EE" w:rsidRPr="00261B7A" w:rsidRDefault="006611EE" w:rsidP="000F09B5">
            <w:pPr>
              <w:pStyle w:val="TableText"/>
              <w:spacing w:before="40" w:after="40"/>
              <w:jc w:val="right"/>
              <w:rPr>
                <w:rFonts w:cstheme="minorHAnsi"/>
              </w:rPr>
            </w:pPr>
            <w:r w:rsidRPr="00261B7A">
              <w:rPr>
                <w:rFonts w:cstheme="minorHAnsi"/>
                <w:color w:val="000000"/>
              </w:rPr>
              <w:t>1,053.3</w:t>
            </w:r>
          </w:p>
        </w:tc>
        <w:tc>
          <w:tcPr>
            <w:tcW w:w="1021" w:type="dxa"/>
            <w:shd w:val="clear" w:color="auto" w:fill="FFFFFF"/>
            <w:tcMar>
              <w:top w:w="0" w:type="dxa"/>
              <w:left w:w="85" w:type="dxa"/>
              <w:bottom w:w="0" w:type="dxa"/>
              <w:right w:w="85" w:type="dxa"/>
            </w:tcMar>
          </w:tcPr>
          <w:p w14:paraId="37D28906" w14:textId="77777777" w:rsidR="006611EE" w:rsidRPr="00261B7A" w:rsidRDefault="006611EE" w:rsidP="000F09B5">
            <w:pPr>
              <w:pStyle w:val="TableText"/>
              <w:spacing w:before="40" w:after="40"/>
              <w:jc w:val="right"/>
              <w:rPr>
                <w:rFonts w:cstheme="minorHAnsi"/>
              </w:rPr>
            </w:pPr>
            <w:r w:rsidRPr="00261B7A">
              <w:rPr>
                <w:rFonts w:cstheme="minorHAnsi"/>
                <w:color w:val="000000"/>
              </w:rPr>
              <w:t>1.4</w:t>
            </w:r>
          </w:p>
        </w:tc>
        <w:tc>
          <w:tcPr>
            <w:tcW w:w="907" w:type="dxa"/>
            <w:shd w:val="clear" w:color="auto" w:fill="FFFFFF"/>
            <w:tcMar>
              <w:top w:w="0" w:type="dxa"/>
              <w:left w:w="85" w:type="dxa"/>
              <w:bottom w:w="0" w:type="dxa"/>
              <w:right w:w="85" w:type="dxa"/>
            </w:tcMar>
          </w:tcPr>
          <w:p w14:paraId="22DF7210" w14:textId="77777777" w:rsidR="006611EE" w:rsidRPr="00261B7A" w:rsidRDefault="006611EE" w:rsidP="000F09B5">
            <w:pPr>
              <w:pStyle w:val="TableText"/>
              <w:spacing w:before="40" w:after="40"/>
              <w:jc w:val="right"/>
              <w:rPr>
                <w:rFonts w:cstheme="minorHAnsi"/>
              </w:rPr>
            </w:pPr>
            <w:r w:rsidRPr="00261B7A">
              <w:rPr>
                <w:rFonts w:cstheme="minorHAnsi"/>
                <w:color w:val="000000"/>
              </w:rPr>
              <w:t>81.5</w:t>
            </w:r>
          </w:p>
        </w:tc>
      </w:tr>
      <w:tr w:rsidR="006611EE" w:rsidRPr="00261B7A" w14:paraId="3AC789B8" w14:textId="77777777" w:rsidTr="000F09B5">
        <w:tc>
          <w:tcPr>
            <w:tcW w:w="907" w:type="dxa"/>
            <w:shd w:val="clear" w:color="auto" w:fill="FFFFFF"/>
            <w:tcMar>
              <w:top w:w="0" w:type="dxa"/>
              <w:left w:w="85" w:type="dxa"/>
              <w:bottom w:w="0" w:type="dxa"/>
              <w:right w:w="85" w:type="dxa"/>
            </w:tcMar>
          </w:tcPr>
          <w:p w14:paraId="18AD0877" w14:textId="77777777" w:rsidR="006611EE" w:rsidRPr="00261B7A" w:rsidRDefault="006611EE" w:rsidP="000F09B5">
            <w:pPr>
              <w:pStyle w:val="TableText"/>
              <w:spacing w:before="40" w:after="40"/>
              <w:rPr>
                <w:rFonts w:cstheme="minorHAnsi"/>
              </w:rPr>
            </w:pPr>
            <w:r w:rsidRPr="00261B7A">
              <w:rPr>
                <w:rFonts w:cstheme="minorHAnsi"/>
                <w:color w:val="000000"/>
              </w:rPr>
              <w:t>3.D.2.1</w:t>
            </w:r>
          </w:p>
        </w:tc>
        <w:tc>
          <w:tcPr>
            <w:tcW w:w="2948" w:type="dxa"/>
            <w:shd w:val="clear" w:color="auto" w:fill="FFFFFF"/>
            <w:tcMar>
              <w:top w:w="0" w:type="dxa"/>
              <w:left w:w="85" w:type="dxa"/>
              <w:bottom w:w="0" w:type="dxa"/>
              <w:right w:w="85" w:type="dxa"/>
            </w:tcMar>
          </w:tcPr>
          <w:p w14:paraId="412A7966" w14:textId="77777777" w:rsidR="006611EE" w:rsidRPr="00261B7A" w:rsidRDefault="006611EE" w:rsidP="000F09B5">
            <w:pPr>
              <w:pStyle w:val="TableText"/>
              <w:spacing w:before="40" w:after="40"/>
              <w:rPr>
                <w:rFonts w:cstheme="minorHAnsi"/>
              </w:rPr>
            </w:pPr>
            <w:r w:rsidRPr="00261B7A">
              <w:rPr>
                <w:rFonts w:cstheme="minorHAnsi"/>
                <w:color w:val="000000"/>
              </w:rPr>
              <w:t>Indirect N</w:t>
            </w:r>
            <w:r w:rsidRPr="00261B7A">
              <w:rPr>
                <w:rFonts w:cstheme="minorHAnsi"/>
                <w:color w:val="000000"/>
                <w:vertAlign w:val="subscript"/>
              </w:rPr>
              <w:t>2</w:t>
            </w:r>
            <w:r w:rsidRPr="00261B7A">
              <w:rPr>
                <w:rFonts w:cstheme="minorHAnsi"/>
                <w:color w:val="000000"/>
              </w:rPr>
              <w:t>O Emissions From Managed Soils – Atmospheric Deposition</w:t>
            </w:r>
          </w:p>
        </w:tc>
        <w:tc>
          <w:tcPr>
            <w:tcW w:w="510" w:type="dxa"/>
            <w:shd w:val="clear" w:color="auto" w:fill="FFFFFF"/>
            <w:tcMar>
              <w:top w:w="0" w:type="dxa"/>
              <w:left w:w="85" w:type="dxa"/>
              <w:bottom w:w="0" w:type="dxa"/>
              <w:right w:w="85" w:type="dxa"/>
            </w:tcMar>
          </w:tcPr>
          <w:p w14:paraId="1580126D" w14:textId="77777777" w:rsidR="006611EE" w:rsidRPr="00261B7A" w:rsidRDefault="006611EE" w:rsidP="000F09B5">
            <w:pPr>
              <w:pStyle w:val="TableText"/>
              <w:spacing w:before="40" w:after="40"/>
              <w:jc w:val="center"/>
              <w:rPr>
                <w:rFonts w:cstheme="minorHAnsi"/>
              </w:rPr>
            </w:pPr>
            <w:r w:rsidRPr="00261B7A">
              <w:rPr>
                <w:rFonts w:cstheme="minorHAnsi"/>
                <w:color w:val="000000"/>
              </w:rPr>
              <w:t>N</w:t>
            </w:r>
            <w:r w:rsidRPr="00261B7A">
              <w:rPr>
                <w:rFonts w:asciiTheme="minorHAnsi" w:hAnsiTheme="minorHAnsi" w:cstheme="minorHAnsi"/>
                <w:vertAlign w:val="subscript"/>
              </w:rPr>
              <w:t>2</w:t>
            </w:r>
            <w:r w:rsidRPr="00261B7A">
              <w:rPr>
                <w:rFonts w:asciiTheme="minorHAnsi" w:hAnsiTheme="minorHAnsi" w:cstheme="minorHAnsi"/>
              </w:rPr>
              <w:t>O</w:t>
            </w:r>
          </w:p>
        </w:tc>
        <w:tc>
          <w:tcPr>
            <w:tcW w:w="964" w:type="dxa"/>
            <w:shd w:val="clear" w:color="auto" w:fill="FFFFFF"/>
            <w:tcMar>
              <w:top w:w="0" w:type="dxa"/>
              <w:left w:w="85" w:type="dxa"/>
              <w:bottom w:w="0" w:type="dxa"/>
              <w:right w:w="85" w:type="dxa"/>
            </w:tcMar>
          </w:tcPr>
          <w:p w14:paraId="6D4FA74D" w14:textId="77777777" w:rsidR="006611EE" w:rsidRPr="00261B7A" w:rsidRDefault="006611EE" w:rsidP="000F09B5">
            <w:pPr>
              <w:pStyle w:val="TableText"/>
              <w:spacing w:before="40" w:after="40"/>
              <w:jc w:val="right"/>
              <w:rPr>
                <w:rFonts w:cstheme="minorHAnsi"/>
              </w:rPr>
            </w:pPr>
            <w:r w:rsidRPr="00261B7A">
              <w:rPr>
                <w:rFonts w:cstheme="minorHAnsi"/>
                <w:color w:val="000000"/>
              </w:rPr>
              <w:t>854.7</w:t>
            </w:r>
          </w:p>
        </w:tc>
        <w:tc>
          <w:tcPr>
            <w:tcW w:w="1021" w:type="dxa"/>
            <w:shd w:val="clear" w:color="auto" w:fill="FFFFFF"/>
            <w:tcMar>
              <w:top w:w="0" w:type="dxa"/>
              <w:left w:w="85" w:type="dxa"/>
              <w:bottom w:w="0" w:type="dxa"/>
              <w:right w:w="85" w:type="dxa"/>
            </w:tcMar>
          </w:tcPr>
          <w:p w14:paraId="23D22EA9" w14:textId="77777777" w:rsidR="006611EE" w:rsidRPr="00261B7A" w:rsidRDefault="006611EE" w:rsidP="000F09B5">
            <w:pPr>
              <w:pStyle w:val="TableText"/>
              <w:spacing w:before="40" w:after="40"/>
              <w:jc w:val="right"/>
              <w:rPr>
                <w:rFonts w:cstheme="minorHAnsi"/>
              </w:rPr>
            </w:pPr>
            <w:r w:rsidRPr="00261B7A">
              <w:rPr>
                <w:rFonts w:cstheme="minorHAnsi"/>
                <w:color w:val="000000"/>
              </w:rPr>
              <w:t>1.1</w:t>
            </w:r>
          </w:p>
        </w:tc>
        <w:tc>
          <w:tcPr>
            <w:tcW w:w="907" w:type="dxa"/>
            <w:shd w:val="clear" w:color="auto" w:fill="FFFFFF"/>
            <w:tcMar>
              <w:top w:w="0" w:type="dxa"/>
              <w:left w:w="85" w:type="dxa"/>
              <w:bottom w:w="0" w:type="dxa"/>
              <w:right w:w="85" w:type="dxa"/>
            </w:tcMar>
          </w:tcPr>
          <w:p w14:paraId="5154BC45" w14:textId="77777777" w:rsidR="006611EE" w:rsidRPr="00261B7A" w:rsidRDefault="006611EE" w:rsidP="000F09B5">
            <w:pPr>
              <w:pStyle w:val="TableText"/>
              <w:spacing w:before="40" w:after="40"/>
              <w:jc w:val="right"/>
              <w:rPr>
                <w:rFonts w:cstheme="minorHAnsi"/>
              </w:rPr>
            </w:pPr>
            <w:r w:rsidRPr="00261B7A">
              <w:rPr>
                <w:rFonts w:cstheme="minorHAnsi"/>
                <w:color w:val="000000"/>
              </w:rPr>
              <w:t>82.6</w:t>
            </w:r>
          </w:p>
        </w:tc>
      </w:tr>
      <w:tr w:rsidR="006611EE" w:rsidRPr="00261B7A" w14:paraId="7B518649" w14:textId="77777777" w:rsidTr="000F09B5">
        <w:tc>
          <w:tcPr>
            <w:tcW w:w="907" w:type="dxa"/>
            <w:shd w:val="clear" w:color="auto" w:fill="FFFFFF"/>
            <w:tcMar>
              <w:top w:w="0" w:type="dxa"/>
              <w:left w:w="85" w:type="dxa"/>
              <w:bottom w:w="0" w:type="dxa"/>
              <w:right w:w="85" w:type="dxa"/>
            </w:tcMar>
          </w:tcPr>
          <w:p w14:paraId="13FB2BD7" w14:textId="77777777" w:rsidR="006611EE" w:rsidRPr="00261B7A" w:rsidRDefault="006611EE" w:rsidP="000F09B5">
            <w:pPr>
              <w:pStyle w:val="TableText"/>
              <w:spacing w:before="40" w:after="40"/>
              <w:rPr>
                <w:rFonts w:cstheme="minorHAnsi"/>
              </w:rPr>
            </w:pPr>
            <w:r w:rsidRPr="00261B7A">
              <w:rPr>
                <w:rFonts w:cstheme="minorHAnsi"/>
                <w:color w:val="000000"/>
              </w:rPr>
              <w:t>1.A.3.a</w:t>
            </w:r>
          </w:p>
        </w:tc>
        <w:tc>
          <w:tcPr>
            <w:tcW w:w="2948" w:type="dxa"/>
            <w:shd w:val="clear" w:color="auto" w:fill="FFFFFF"/>
            <w:tcMar>
              <w:top w:w="0" w:type="dxa"/>
              <w:left w:w="85" w:type="dxa"/>
              <w:bottom w:w="0" w:type="dxa"/>
              <w:right w:w="85" w:type="dxa"/>
            </w:tcMar>
          </w:tcPr>
          <w:p w14:paraId="25CDA256" w14:textId="77777777" w:rsidR="006611EE" w:rsidRPr="00261B7A" w:rsidRDefault="006611EE" w:rsidP="000F09B5">
            <w:pPr>
              <w:pStyle w:val="TableText"/>
              <w:spacing w:before="40" w:after="40"/>
              <w:rPr>
                <w:rFonts w:cstheme="minorHAnsi"/>
              </w:rPr>
            </w:pPr>
            <w:r w:rsidRPr="00261B7A">
              <w:rPr>
                <w:rFonts w:cstheme="minorHAnsi"/>
                <w:color w:val="000000"/>
              </w:rPr>
              <w:t>Domestic Aviation – Jet Kerosene</w:t>
            </w:r>
          </w:p>
        </w:tc>
        <w:tc>
          <w:tcPr>
            <w:tcW w:w="510" w:type="dxa"/>
            <w:shd w:val="clear" w:color="auto" w:fill="FFFFFF"/>
            <w:tcMar>
              <w:top w:w="0" w:type="dxa"/>
              <w:left w:w="85" w:type="dxa"/>
              <w:bottom w:w="0" w:type="dxa"/>
              <w:right w:w="85" w:type="dxa"/>
            </w:tcMar>
          </w:tcPr>
          <w:p w14:paraId="5CD97ECE"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1EE27C34" w14:textId="77777777" w:rsidR="006611EE" w:rsidRPr="00261B7A" w:rsidRDefault="006611EE" w:rsidP="000F09B5">
            <w:pPr>
              <w:pStyle w:val="TableText"/>
              <w:spacing w:before="40" w:after="40"/>
              <w:jc w:val="right"/>
              <w:rPr>
                <w:rFonts w:cstheme="minorHAnsi"/>
              </w:rPr>
            </w:pPr>
            <w:r w:rsidRPr="00261B7A">
              <w:rPr>
                <w:rFonts w:cstheme="minorHAnsi"/>
                <w:color w:val="000000"/>
              </w:rPr>
              <w:t>797.2</w:t>
            </w:r>
          </w:p>
        </w:tc>
        <w:tc>
          <w:tcPr>
            <w:tcW w:w="1021" w:type="dxa"/>
            <w:shd w:val="clear" w:color="auto" w:fill="FFFFFF"/>
            <w:tcMar>
              <w:top w:w="0" w:type="dxa"/>
              <w:left w:w="85" w:type="dxa"/>
              <w:bottom w:w="0" w:type="dxa"/>
              <w:right w:w="85" w:type="dxa"/>
            </w:tcMar>
          </w:tcPr>
          <w:p w14:paraId="71C3A8C9" w14:textId="77777777" w:rsidR="006611EE" w:rsidRPr="00261B7A" w:rsidRDefault="006611EE" w:rsidP="000F09B5">
            <w:pPr>
              <w:pStyle w:val="TableText"/>
              <w:spacing w:before="40" w:after="40"/>
              <w:jc w:val="right"/>
              <w:rPr>
                <w:rFonts w:cstheme="minorHAnsi"/>
              </w:rPr>
            </w:pPr>
            <w:r w:rsidRPr="00261B7A">
              <w:rPr>
                <w:rFonts w:cstheme="minorHAnsi"/>
                <w:color w:val="000000"/>
              </w:rPr>
              <w:t>1.0</w:t>
            </w:r>
          </w:p>
        </w:tc>
        <w:tc>
          <w:tcPr>
            <w:tcW w:w="907" w:type="dxa"/>
            <w:shd w:val="clear" w:color="auto" w:fill="FFFFFF"/>
            <w:tcMar>
              <w:top w:w="0" w:type="dxa"/>
              <w:left w:w="85" w:type="dxa"/>
              <w:bottom w:w="0" w:type="dxa"/>
              <w:right w:w="85" w:type="dxa"/>
            </w:tcMar>
          </w:tcPr>
          <w:p w14:paraId="7A2F1550" w14:textId="77777777" w:rsidR="006611EE" w:rsidRPr="00261B7A" w:rsidRDefault="006611EE" w:rsidP="000F09B5">
            <w:pPr>
              <w:pStyle w:val="TableText"/>
              <w:spacing w:before="40" w:after="40"/>
              <w:jc w:val="right"/>
              <w:rPr>
                <w:rFonts w:cstheme="minorHAnsi"/>
              </w:rPr>
            </w:pPr>
            <w:r w:rsidRPr="00261B7A">
              <w:rPr>
                <w:rFonts w:cstheme="minorHAnsi"/>
                <w:color w:val="000000"/>
              </w:rPr>
              <w:t>83.6</w:t>
            </w:r>
          </w:p>
        </w:tc>
      </w:tr>
      <w:tr w:rsidR="006611EE" w:rsidRPr="00261B7A" w14:paraId="078AA9C6" w14:textId="77777777" w:rsidTr="000F09B5">
        <w:tc>
          <w:tcPr>
            <w:tcW w:w="907" w:type="dxa"/>
            <w:shd w:val="clear" w:color="auto" w:fill="FFFFFF"/>
            <w:tcMar>
              <w:top w:w="0" w:type="dxa"/>
              <w:left w:w="85" w:type="dxa"/>
              <w:bottom w:w="0" w:type="dxa"/>
              <w:right w:w="85" w:type="dxa"/>
            </w:tcMar>
          </w:tcPr>
          <w:p w14:paraId="019991D7" w14:textId="77777777" w:rsidR="006611EE" w:rsidRPr="00261B7A" w:rsidRDefault="006611EE" w:rsidP="000F09B5">
            <w:pPr>
              <w:pStyle w:val="TableText"/>
              <w:spacing w:before="40" w:after="40"/>
              <w:rPr>
                <w:rFonts w:cstheme="minorHAnsi"/>
              </w:rPr>
            </w:pPr>
            <w:r w:rsidRPr="00261B7A">
              <w:rPr>
                <w:rFonts w:cstheme="minorHAnsi"/>
                <w:color w:val="000000"/>
              </w:rPr>
              <w:t>1.A.4.a</w:t>
            </w:r>
          </w:p>
        </w:tc>
        <w:tc>
          <w:tcPr>
            <w:tcW w:w="2948" w:type="dxa"/>
            <w:shd w:val="clear" w:color="auto" w:fill="FFFFFF"/>
            <w:tcMar>
              <w:top w:w="0" w:type="dxa"/>
              <w:left w:w="85" w:type="dxa"/>
              <w:bottom w:w="0" w:type="dxa"/>
              <w:right w:w="85" w:type="dxa"/>
            </w:tcMar>
          </w:tcPr>
          <w:p w14:paraId="7B7C8732" w14:textId="77777777" w:rsidR="006611EE" w:rsidRPr="00261B7A" w:rsidRDefault="006611EE" w:rsidP="000F09B5">
            <w:pPr>
              <w:pStyle w:val="TableText"/>
              <w:spacing w:before="40" w:after="40"/>
              <w:rPr>
                <w:rFonts w:cstheme="minorHAnsi"/>
              </w:rPr>
            </w:pPr>
            <w:r w:rsidRPr="00261B7A">
              <w:rPr>
                <w:rFonts w:cstheme="minorHAnsi"/>
                <w:color w:val="000000"/>
              </w:rPr>
              <w:t>Other Sectors – Commercial/Institutional Liquid Fuels</w:t>
            </w:r>
          </w:p>
        </w:tc>
        <w:tc>
          <w:tcPr>
            <w:tcW w:w="510" w:type="dxa"/>
            <w:shd w:val="clear" w:color="auto" w:fill="FFFFFF"/>
            <w:tcMar>
              <w:top w:w="0" w:type="dxa"/>
              <w:left w:w="85" w:type="dxa"/>
              <w:bottom w:w="0" w:type="dxa"/>
              <w:right w:w="85" w:type="dxa"/>
            </w:tcMar>
          </w:tcPr>
          <w:p w14:paraId="735B7BCD"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17A96FC5" w14:textId="77777777" w:rsidR="006611EE" w:rsidRPr="00261B7A" w:rsidRDefault="006611EE" w:rsidP="000F09B5">
            <w:pPr>
              <w:pStyle w:val="TableText"/>
              <w:spacing w:before="40" w:after="40"/>
              <w:jc w:val="right"/>
              <w:rPr>
                <w:rFonts w:cstheme="minorHAnsi"/>
              </w:rPr>
            </w:pPr>
            <w:r w:rsidRPr="00261B7A">
              <w:rPr>
                <w:rFonts w:cstheme="minorHAnsi"/>
                <w:color w:val="000000"/>
              </w:rPr>
              <w:t>726.4</w:t>
            </w:r>
          </w:p>
        </w:tc>
        <w:tc>
          <w:tcPr>
            <w:tcW w:w="1021" w:type="dxa"/>
            <w:shd w:val="clear" w:color="auto" w:fill="FFFFFF"/>
            <w:tcMar>
              <w:top w:w="0" w:type="dxa"/>
              <w:left w:w="85" w:type="dxa"/>
              <w:bottom w:w="0" w:type="dxa"/>
              <w:right w:w="85" w:type="dxa"/>
            </w:tcMar>
          </w:tcPr>
          <w:p w14:paraId="5A319BA0" w14:textId="77777777" w:rsidR="006611EE" w:rsidRPr="00261B7A" w:rsidRDefault="006611EE" w:rsidP="000F09B5">
            <w:pPr>
              <w:pStyle w:val="TableText"/>
              <w:spacing w:before="40" w:after="40"/>
              <w:jc w:val="right"/>
              <w:rPr>
                <w:rFonts w:cstheme="minorHAnsi"/>
              </w:rPr>
            </w:pPr>
            <w:r w:rsidRPr="00261B7A">
              <w:rPr>
                <w:rFonts w:cstheme="minorHAnsi"/>
                <w:color w:val="000000"/>
              </w:rPr>
              <w:t>0.9</w:t>
            </w:r>
          </w:p>
        </w:tc>
        <w:tc>
          <w:tcPr>
            <w:tcW w:w="907" w:type="dxa"/>
            <w:shd w:val="clear" w:color="auto" w:fill="FFFFFF"/>
            <w:tcMar>
              <w:top w:w="0" w:type="dxa"/>
              <w:left w:w="85" w:type="dxa"/>
              <w:bottom w:w="0" w:type="dxa"/>
              <w:right w:w="85" w:type="dxa"/>
            </w:tcMar>
          </w:tcPr>
          <w:p w14:paraId="3C2C38C5" w14:textId="77777777" w:rsidR="006611EE" w:rsidRPr="00261B7A" w:rsidRDefault="006611EE" w:rsidP="000F09B5">
            <w:pPr>
              <w:pStyle w:val="TableText"/>
              <w:spacing w:before="40" w:after="40"/>
              <w:jc w:val="right"/>
              <w:rPr>
                <w:rFonts w:cstheme="minorHAnsi"/>
              </w:rPr>
            </w:pPr>
            <w:r w:rsidRPr="00261B7A">
              <w:rPr>
                <w:rFonts w:cstheme="minorHAnsi"/>
                <w:color w:val="000000"/>
              </w:rPr>
              <w:t>84.6</w:t>
            </w:r>
          </w:p>
        </w:tc>
      </w:tr>
      <w:tr w:rsidR="006611EE" w:rsidRPr="00261B7A" w14:paraId="4C66384D" w14:textId="77777777" w:rsidTr="000F09B5">
        <w:tc>
          <w:tcPr>
            <w:tcW w:w="907" w:type="dxa"/>
            <w:shd w:val="clear" w:color="auto" w:fill="FFFFFF"/>
            <w:tcMar>
              <w:top w:w="0" w:type="dxa"/>
              <w:left w:w="85" w:type="dxa"/>
              <w:bottom w:w="0" w:type="dxa"/>
              <w:right w:w="85" w:type="dxa"/>
            </w:tcMar>
          </w:tcPr>
          <w:p w14:paraId="6D9FB9FD" w14:textId="77777777" w:rsidR="006611EE" w:rsidRPr="00261B7A" w:rsidRDefault="006611EE" w:rsidP="000F09B5">
            <w:pPr>
              <w:pStyle w:val="TableText"/>
              <w:spacing w:before="40" w:after="40"/>
              <w:rPr>
                <w:rFonts w:cstheme="minorHAnsi"/>
              </w:rPr>
            </w:pPr>
            <w:r w:rsidRPr="00261B7A">
              <w:rPr>
                <w:rFonts w:cstheme="minorHAnsi"/>
                <w:color w:val="000000"/>
              </w:rPr>
              <w:t>3.D.1.6</w:t>
            </w:r>
          </w:p>
        </w:tc>
        <w:tc>
          <w:tcPr>
            <w:tcW w:w="2948" w:type="dxa"/>
            <w:shd w:val="clear" w:color="auto" w:fill="FFFFFF"/>
            <w:tcMar>
              <w:top w:w="0" w:type="dxa"/>
              <w:left w:w="85" w:type="dxa"/>
              <w:bottom w:w="0" w:type="dxa"/>
              <w:right w:w="85" w:type="dxa"/>
            </w:tcMar>
          </w:tcPr>
          <w:p w14:paraId="23AF0D6E" w14:textId="77777777" w:rsidR="006611EE" w:rsidRPr="00261B7A" w:rsidRDefault="006611EE" w:rsidP="000F09B5">
            <w:pPr>
              <w:pStyle w:val="TableText"/>
              <w:spacing w:before="40" w:after="40"/>
              <w:rPr>
                <w:rFonts w:cstheme="minorHAnsi"/>
              </w:rPr>
            </w:pPr>
            <w:r w:rsidRPr="00261B7A">
              <w:rPr>
                <w:rFonts w:cstheme="minorHAnsi"/>
                <w:color w:val="000000"/>
              </w:rPr>
              <w:t>Direct N</w:t>
            </w:r>
            <w:r w:rsidRPr="00261B7A">
              <w:rPr>
                <w:rFonts w:cstheme="minorHAnsi"/>
                <w:color w:val="000000"/>
                <w:vertAlign w:val="subscript"/>
              </w:rPr>
              <w:t>2</w:t>
            </w:r>
            <w:r w:rsidRPr="00261B7A">
              <w:rPr>
                <w:rFonts w:cstheme="minorHAnsi"/>
                <w:color w:val="000000"/>
              </w:rPr>
              <w:t>O Emissions From Managed Soils – Cultivation of Organic Soils</w:t>
            </w:r>
          </w:p>
        </w:tc>
        <w:tc>
          <w:tcPr>
            <w:tcW w:w="510" w:type="dxa"/>
            <w:shd w:val="clear" w:color="auto" w:fill="FFFFFF"/>
            <w:tcMar>
              <w:top w:w="0" w:type="dxa"/>
              <w:left w:w="85" w:type="dxa"/>
              <w:bottom w:w="0" w:type="dxa"/>
              <w:right w:w="85" w:type="dxa"/>
            </w:tcMar>
          </w:tcPr>
          <w:p w14:paraId="0DA30BCE" w14:textId="77777777" w:rsidR="006611EE" w:rsidRPr="00261B7A" w:rsidRDefault="006611EE" w:rsidP="000F09B5">
            <w:pPr>
              <w:pStyle w:val="TableText"/>
              <w:spacing w:before="40" w:after="40"/>
              <w:jc w:val="center"/>
              <w:rPr>
                <w:rFonts w:cstheme="minorHAnsi"/>
              </w:rPr>
            </w:pPr>
            <w:r w:rsidRPr="00261B7A">
              <w:rPr>
                <w:rFonts w:cstheme="minorHAnsi"/>
                <w:color w:val="000000"/>
              </w:rPr>
              <w:t>N</w:t>
            </w:r>
            <w:r w:rsidRPr="00261B7A">
              <w:rPr>
                <w:rFonts w:asciiTheme="minorHAnsi" w:hAnsiTheme="minorHAnsi" w:cstheme="minorHAnsi"/>
                <w:vertAlign w:val="subscript"/>
              </w:rPr>
              <w:t>2</w:t>
            </w:r>
            <w:r w:rsidRPr="00261B7A">
              <w:rPr>
                <w:rFonts w:asciiTheme="minorHAnsi" w:hAnsiTheme="minorHAnsi" w:cstheme="minorHAnsi"/>
              </w:rPr>
              <w:t>O</w:t>
            </w:r>
          </w:p>
        </w:tc>
        <w:tc>
          <w:tcPr>
            <w:tcW w:w="964" w:type="dxa"/>
            <w:shd w:val="clear" w:color="auto" w:fill="FFFFFF"/>
            <w:tcMar>
              <w:top w:w="0" w:type="dxa"/>
              <w:left w:w="85" w:type="dxa"/>
              <w:bottom w:w="0" w:type="dxa"/>
              <w:right w:w="85" w:type="dxa"/>
            </w:tcMar>
          </w:tcPr>
          <w:p w14:paraId="4308A551" w14:textId="77777777" w:rsidR="006611EE" w:rsidRPr="00261B7A" w:rsidRDefault="006611EE" w:rsidP="000F09B5">
            <w:pPr>
              <w:pStyle w:val="TableText"/>
              <w:spacing w:before="40" w:after="40"/>
              <w:jc w:val="right"/>
              <w:rPr>
                <w:rFonts w:cstheme="minorHAnsi"/>
              </w:rPr>
            </w:pPr>
            <w:r w:rsidRPr="00261B7A">
              <w:rPr>
                <w:rFonts w:cstheme="minorHAnsi"/>
                <w:color w:val="000000"/>
              </w:rPr>
              <w:t>667.4</w:t>
            </w:r>
          </w:p>
        </w:tc>
        <w:tc>
          <w:tcPr>
            <w:tcW w:w="1021" w:type="dxa"/>
            <w:shd w:val="clear" w:color="auto" w:fill="FFFFFF"/>
            <w:tcMar>
              <w:top w:w="0" w:type="dxa"/>
              <w:left w:w="85" w:type="dxa"/>
              <w:bottom w:w="0" w:type="dxa"/>
              <w:right w:w="85" w:type="dxa"/>
            </w:tcMar>
          </w:tcPr>
          <w:p w14:paraId="3DBAF934" w14:textId="77777777" w:rsidR="006611EE" w:rsidRPr="00261B7A" w:rsidRDefault="006611EE" w:rsidP="000F09B5">
            <w:pPr>
              <w:pStyle w:val="TableText"/>
              <w:spacing w:before="40" w:after="40"/>
              <w:jc w:val="right"/>
              <w:rPr>
                <w:rFonts w:cstheme="minorHAnsi"/>
              </w:rPr>
            </w:pPr>
            <w:r w:rsidRPr="00261B7A">
              <w:rPr>
                <w:rFonts w:cstheme="minorHAnsi"/>
                <w:color w:val="000000"/>
              </w:rPr>
              <w:t>0.9</w:t>
            </w:r>
          </w:p>
        </w:tc>
        <w:tc>
          <w:tcPr>
            <w:tcW w:w="907" w:type="dxa"/>
            <w:shd w:val="clear" w:color="auto" w:fill="FFFFFF"/>
            <w:tcMar>
              <w:top w:w="0" w:type="dxa"/>
              <w:left w:w="85" w:type="dxa"/>
              <w:bottom w:w="0" w:type="dxa"/>
              <w:right w:w="85" w:type="dxa"/>
            </w:tcMar>
          </w:tcPr>
          <w:p w14:paraId="48F7257E" w14:textId="77777777" w:rsidR="006611EE" w:rsidRPr="00261B7A" w:rsidRDefault="006611EE" w:rsidP="000F09B5">
            <w:pPr>
              <w:pStyle w:val="TableText"/>
              <w:spacing w:before="40" w:after="40"/>
              <w:jc w:val="right"/>
              <w:rPr>
                <w:rFonts w:cstheme="minorHAnsi"/>
              </w:rPr>
            </w:pPr>
            <w:r w:rsidRPr="00261B7A">
              <w:rPr>
                <w:rFonts w:cstheme="minorHAnsi"/>
                <w:color w:val="000000"/>
              </w:rPr>
              <w:t>85.4</w:t>
            </w:r>
          </w:p>
        </w:tc>
      </w:tr>
      <w:tr w:rsidR="006611EE" w:rsidRPr="00261B7A" w14:paraId="5723A95D" w14:textId="77777777" w:rsidTr="000F09B5">
        <w:tc>
          <w:tcPr>
            <w:tcW w:w="907" w:type="dxa"/>
            <w:shd w:val="clear" w:color="auto" w:fill="FFFFFF"/>
            <w:tcMar>
              <w:top w:w="0" w:type="dxa"/>
              <w:left w:w="85" w:type="dxa"/>
              <w:bottom w:w="0" w:type="dxa"/>
              <w:right w:w="85" w:type="dxa"/>
            </w:tcMar>
          </w:tcPr>
          <w:p w14:paraId="088AC089" w14:textId="77777777" w:rsidR="006611EE" w:rsidRPr="00261B7A" w:rsidRDefault="006611EE" w:rsidP="000F09B5">
            <w:pPr>
              <w:pStyle w:val="TableText"/>
              <w:spacing w:before="40" w:after="40"/>
              <w:rPr>
                <w:rFonts w:cstheme="minorHAnsi"/>
              </w:rPr>
            </w:pPr>
            <w:r w:rsidRPr="00261B7A">
              <w:rPr>
                <w:rFonts w:cstheme="minorHAnsi"/>
                <w:color w:val="000000"/>
              </w:rPr>
              <w:t>1.A.1.b</w:t>
            </w:r>
          </w:p>
        </w:tc>
        <w:tc>
          <w:tcPr>
            <w:tcW w:w="2948" w:type="dxa"/>
            <w:shd w:val="clear" w:color="auto" w:fill="FFFFFF"/>
            <w:tcMar>
              <w:top w:w="0" w:type="dxa"/>
              <w:left w:w="85" w:type="dxa"/>
              <w:bottom w:w="0" w:type="dxa"/>
              <w:right w:w="85" w:type="dxa"/>
            </w:tcMar>
          </w:tcPr>
          <w:p w14:paraId="4E090416" w14:textId="77777777" w:rsidR="006611EE" w:rsidRPr="00261B7A" w:rsidRDefault="006611EE" w:rsidP="000F09B5">
            <w:pPr>
              <w:pStyle w:val="TableText"/>
              <w:spacing w:before="40" w:after="40"/>
              <w:rPr>
                <w:rFonts w:cstheme="minorHAnsi"/>
              </w:rPr>
            </w:pPr>
            <w:r w:rsidRPr="00261B7A">
              <w:rPr>
                <w:rFonts w:cstheme="minorHAnsi"/>
                <w:color w:val="000000"/>
              </w:rPr>
              <w:t>Energy Industries – Petroleum Refining Liquid Fuels</w:t>
            </w:r>
          </w:p>
        </w:tc>
        <w:tc>
          <w:tcPr>
            <w:tcW w:w="510" w:type="dxa"/>
            <w:shd w:val="clear" w:color="auto" w:fill="FFFFFF"/>
            <w:tcMar>
              <w:top w:w="0" w:type="dxa"/>
              <w:left w:w="85" w:type="dxa"/>
              <w:bottom w:w="0" w:type="dxa"/>
              <w:right w:w="85" w:type="dxa"/>
            </w:tcMar>
          </w:tcPr>
          <w:p w14:paraId="4AEEA24C"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3FD52370" w14:textId="77777777" w:rsidR="006611EE" w:rsidRPr="00261B7A" w:rsidRDefault="006611EE" w:rsidP="000F09B5">
            <w:pPr>
              <w:pStyle w:val="TableText"/>
              <w:spacing w:before="40" w:after="40"/>
              <w:jc w:val="right"/>
              <w:rPr>
                <w:rFonts w:cstheme="minorHAnsi"/>
              </w:rPr>
            </w:pPr>
            <w:r w:rsidRPr="00261B7A">
              <w:rPr>
                <w:rFonts w:cstheme="minorHAnsi"/>
                <w:color w:val="000000"/>
              </w:rPr>
              <w:t>617.3</w:t>
            </w:r>
          </w:p>
        </w:tc>
        <w:tc>
          <w:tcPr>
            <w:tcW w:w="1021" w:type="dxa"/>
            <w:shd w:val="clear" w:color="auto" w:fill="FFFFFF"/>
            <w:tcMar>
              <w:top w:w="0" w:type="dxa"/>
              <w:left w:w="85" w:type="dxa"/>
              <w:bottom w:w="0" w:type="dxa"/>
              <w:right w:w="85" w:type="dxa"/>
            </w:tcMar>
          </w:tcPr>
          <w:p w14:paraId="6EBD53C1" w14:textId="77777777" w:rsidR="006611EE" w:rsidRPr="00261B7A" w:rsidRDefault="006611EE" w:rsidP="000F09B5">
            <w:pPr>
              <w:pStyle w:val="TableText"/>
              <w:spacing w:before="40" w:after="40"/>
              <w:jc w:val="right"/>
              <w:rPr>
                <w:rFonts w:cstheme="minorHAnsi"/>
              </w:rPr>
            </w:pPr>
            <w:r w:rsidRPr="00261B7A">
              <w:rPr>
                <w:rFonts w:cstheme="minorHAnsi"/>
                <w:color w:val="000000"/>
              </w:rPr>
              <w:t>0.8</w:t>
            </w:r>
          </w:p>
        </w:tc>
        <w:tc>
          <w:tcPr>
            <w:tcW w:w="907" w:type="dxa"/>
            <w:shd w:val="clear" w:color="auto" w:fill="FFFFFF"/>
            <w:tcMar>
              <w:top w:w="0" w:type="dxa"/>
              <w:left w:w="85" w:type="dxa"/>
              <w:bottom w:w="0" w:type="dxa"/>
              <w:right w:w="85" w:type="dxa"/>
            </w:tcMar>
          </w:tcPr>
          <w:p w14:paraId="70430BAC" w14:textId="77777777" w:rsidR="006611EE" w:rsidRPr="00261B7A" w:rsidRDefault="006611EE" w:rsidP="000F09B5">
            <w:pPr>
              <w:pStyle w:val="TableText"/>
              <w:spacing w:before="40" w:after="40"/>
              <w:jc w:val="right"/>
              <w:rPr>
                <w:rFonts w:cstheme="minorHAnsi"/>
              </w:rPr>
            </w:pPr>
            <w:r w:rsidRPr="00261B7A">
              <w:rPr>
                <w:rFonts w:cstheme="minorHAnsi"/>
                <w:color w:val="000000"/>
              </w:rPr>
              <w:t>86.2</w:t>
            </w:r>
          </w:p>
        </w:tc>
      </w:tr>
      <w:tr w:rsidR="006611EE" w:rsidRPr="00261B7A" w14:paraId="37D30003" w14:textId="77777777" w:rsidTr="000F09B5">
        <w:tc>
          <w:tcPr>
            <w:tcW w:w="907" w:type="dxa"/>
            <w:shd w:val="clear" w:color="auto" w:fill="FFFFFF"/>
            <w:tcMar>
              <w:top w:w="0" w:type="dxa"/>
              <w:left w:w="85" w:type="dxa"/>
              <w:bottom w:w="0" w:type="dxa"/>
              <w:right w:w="85" w:type="dxa"/>
            </w:tcMar>
          </w:tcPr>
          <w:p w14:paraId="0E253393" w14:textId="77777777" w:rsidR="006611EE" w:rsidRPr="00261B7A" w:rsidRDefault="006611EE" w:rsidP="000F09B5">
            <w:pPr>
              <w:pStyle w:val="TableText"/>
              <w:spacing w:before="40" w:after="40"/>
              <w:rPr>
                <w:rFonts w:cstheme="minorHAnsi"/>
              </w:rPr>
            </w:pPr>
            <w:r w:rsidRPr="00261B7A">
              <w:rPr>
                <w:rFonts w:cstheme="minorHAnsi"/>
                <w:color w:val="000000"/>
              </w:rPr>
              <w:t>3.D.2.2</w:t>
            </w:r>
          </w:p>
        </w:tc>
        <w:tc>
          <w:tcPr>
            <w:tcW w:w="2948" w:type="dxa"/>
            <w:shd w:val="clear" w:color="auto" w:fill="FFFFFF"/>
            <w:tcMar>
              <w:top w:w="0" w:type="dxa"/>
              <w:left w:w="85" w:type="dxa"/>
              <w:bottom w:w="0" w:type="dxa"/>
              <w:right w:w="85" w:type="dxa"/>
            </w:tcMar>
          </w:tcPr>
          <w:p w14:paraId="44383943" w14:textId="77777777" w:rsidR="006611EE" w:rsidRPr="00261B7A" w:rsidRDefault="006611EE" w:rsidP="000F09B5">
            <w:pPr>
              <w:pStyle w:val="TableText"/>
              <w:spacing w:before="40" w:after="40"/>
              <w:rPr>
                <w:rFonts w:cstheme="minorHAnsi"/>
              </w:rPr>
            </w:pPr>
            <w:r w:rsidRPr="00261B7A">
              <w:rPr>
                <w:rFonts w:cstheme="minorHAnsi"/>
                <w:color w:val="000000"/>
              </w:rPr>
              <w:t>Indirect N</w:t>
            </w:r>
            <w:r w:rsidRPr="00261B7A">
              <w:rPr>
                <w:rFonts w:cstheme="minorHAnsi"/>
                <w:color w:val="000000"/>
                <w:vertAlign w:val="subscript"/>
              </w:rPr>
              <w:t>2</w:t>
            </w:r>
            <w:r w:rsidRPr="00261B7A">
              <w:rPr>
                <w:rFonts w:cstheme="minorHAnsi"/>
                <w:color w:val="000000"/>
              </w:rPr>
              <w:t>O Emissions From Managed Soils – Nitrogen Leaching and Run-off</w:t>
            </w:r>
          </w:p>
        </w:tc>
        <w:tc>
          <w:tcPr>
            <w:tcW w:w="510" w:type="dxa"/>
            <w:shd w:val="clear" w:color="auto" w:fill="FFFFFF"/>
            <w:tcMar>
              <w:top w:w="0" w:type="dxa"/>
              <w:left w:w="85" w:type="dxa"/>
              <w:bottom w:w="0" w:type="dxa"/>
              <w:right w:w="85" w:type="dxa"/>
            </w:tcMar>
          </w:tcPr>
          <w:p w14:paraId="3BF99548" w14:textId="77777777" w:rsidR="006611EE" w:rsidRPr="00261B7A" w:rsidRDefault="006611EE" w:rsidP="000F09B5">
            <w:pPr>
              <w:pStyle w:val="TableText"/>
              <w:spacing w:before="40" w:after="40"/>
              <w:jc w:val="center"/>
              <w:rPr>
                <w:rFonts w:cstheme="minorHAnsi"/>
              </w:rPr>
            </w:pPr>
            <w:r w:rsidRPr="00261B7A">
              <w:rPr>
                <w:rFonts w:cstheme="minorHAnsi"/>
                <w:color w:val="000000"/>
              </w:rPr>
              <w:t>N</w:t>
            </w:r>
            <w:r w:rsidRPr="00261B7A">
              <w:rPr>
                <w:rFonts w:asciiTheme="minorHAnsi" w:hAnsiTheme="minorHAnsi" w:cstheme="minorHAnsi"/>
                <w:vertAlign w:val="subscript"/>
              </w:rPr>
              <w:t>2</w:t>
            </w:r>
            <w:r w:rsidRPr="00261B7A">
              <w:rPr>
                <w:rFonts w:asciiTheme="minorHAnsi" w:hAnsiTheme="minorHAnsi" w:cstheme="minorHAnsi"/>
              </w:rPr>
              <w:t>O</w:t>
            </w:r>
          </w:p>
        </w:tc>
        <w:tc>
          <w:tcPr>
            <w:tcW w:w="964" w:type="dxa"/>
            <w:shd w:val="clear" w:color="auto" w:fill="FFFFFF"/>
            <w:tcMar>
              <w:top w:w="0" w:type="dxa"/>
              <w:left w:w="85" w:type="dxa"/>
              <w:bottom w:w="0" w:type="dxa"/>
              <w:right w:w="85" w:type="dxa"/>
            </w:tcMar>
          </w:tcPr>
          <w:p w14:paraId="70E0D21B" w14:textId="77777777" w:rsidR="006611EE" w:rsidRPr="00261B7A" w:rsidRDefault="006611EE" w:rsidP="000F09B5">
            <w:pPr>
              <w:pStyle w:val="TableText"/>
              <w:spacing w:before="40" w:after="40"/>
              <w:jc w:val="right"/>
              <w:rPr>
                <w:rFonts w:cstheme="minorHAnsi"/>
              </w:rPr>
            </w:pPr>
            <w:r w:rsidRPr="00261B7A">
              <w:rPr>
                <w:rFonts w:cstheme="minorHAnsi"/>
                <w:color w:val="000000"/>
              </w:rPr>
              <w:t>554.5</w:t>
            </w:r>
          </w:p>
        </w:tc>
        <w:tc>
          <w:tcPr>
            <w:tcW w:w="1021" w:type="dxa"/>
            <w:shd w:val="clear" w:color="auto" w:fill="FFFFFF"/>
            <w:tcMar>
              <w:top w:w="0" w:type="dxa"/>
              <w:left w:w="85" w:type="dxa"/>
              <w:bottom w:w="0" w:type="dxa"/>
              <w:right w:w="85" w:type="dxa"/>
            </w:tcMar>
          </w:tcPr>
          <w:p w14:paraId="7BE945AC" w14:textId="77777777" w:rsidR="006611EE" w:rsidRPr="00261B7A" w:rsidRDefault="006611EE" w:rsidP="000F09B5">
            <w:pPr>
              <w:pStyle w:val="TableText"/>
              <w:spacing w:before="40" w:after="40"/>
              <w:jc w:val="right"/>
              <w:rPr>
                <w:rFonts w:cstheme="minorHAnsi"/>
              </w:rPr>
            </w:pPr>
            <w:r w:rsidRPr="00261B7A">
              <w:rPr>
                <w:rFonts w:cstheme="minorHAnsi"/>
                <w:color w:val="000000"/>
              </w:rPr>
              <w:t>0.7</w:t>
            </w:r>
          </w:p>
        </w:tc>
        <w:tc>
          <w:tcPr>
            <w:tcW w:w="907" w:type="dxa"/>
            <w:shd w:val="clear" w:color="auto" w:fill="FFFFFF"/>
            <w:tcMar>
              <w:top w:w="0" w:type="dxa"/>
              <w:left w:w="85" w:type="dxa"/>
              <w:bottom w:w="0" w:type="dxa"/>
              <w:right w:w="85" w:type="dxa"/>
            </w:tcMar>
          </w:tcPr>
          <w:p w14:paraId="3F22DF08" w14:textId="77777777" w:rsidR="006611EE" w:rsidRPr="00261B7A" w:rsidRDefault="006611EE" w:rsidP="000F09B5">
            <w:pPr>
              <w:pStyle w:val="TableText"/>
              <w:spacing w:before="40" w:after="40"/>
              <w:jc w:val="right"/>
              <w:rPr>
                <w:rFonts w:cstheme="minorHAnsi"/>
              </w:rPr>
            </w:pPr>
            <w:r w:rsidRPr="00261B7A">
              <w:rPr>
                <w:rFonts w:cstheme="minorHAnsi"/>
                <w:color w:val="000000"/>
              </w:rPr>
              <w:t>87.0</w:t>
            </w:r>
          </w:p>
        </w:tc>
      </w:tr>
      <w:tr w:rsidR="006611EE" w:rsidRPr="00261B7A" w14:paraId="246A8A57" w14:textId="77777777" w:rsidTr="000F09B5">
        <w:tc>
          <w:tcPr>
            <w:tcW w:w="907" w:type="dxa"/>
            <w:shd w:val="clear" w:color="auto" w:fill="FFFFFF"/>
            <w:tcMar>
              <w:top w:w="0" w:type="dxa"/>
              <w:left w:w="85" w:type="dxa"/>
              <w:bottom w:w="0" w:type="dxa"/>
              <w:right w:w="85" w:type="dxa"/>
            </w:tcMar>
          </w:tcPr>
          <w:p w14:paraId="34B43F38" w14:textId="77777777" w:rsidR="006611EE" w:rsidRPr="00261B7A" w:rsidRDefault="006611EE" w:rsidP="000F09B5">
            <w:pPr>
              <w:pStyle w:val="TableText"/>
              <w:spacing w:before="40" w:after="40"/>
              <w:rPr>
                <w:rFonts w:cstheme="minorHAnsi"/>
              </w:rPr>
            </w:pPr>
            <w:r w:rsidRPr="00261B7A">
              <w:rPr>
                <w:rFonts w:cstheme="minorHAnsi"/>
                <w:color w:val="000000"/>
              </w:rPr>
              <w:t>3.H</w:t>
            </w:r>
          </w:p>
        </w:tc>
        <w:tc>
          <w:tcPr>
            <w:tcW w:w="2948" w:type="dxa"/>
            <w:shd w:val="clear" w:color="auto" w:fill="FFFFFF"/>
            <w:tcMar>
              <w:top w:w="0" w:type="dxa"/>
              <w:left w:w="85" w:type="dxa"/>
              <w:bottom w:w="0" w:type="dxa"/>
              <w:right w:w="85" w:type="dxa"/>
            </w:tcMar>
          </w:tcPr>
          <w:p w14:paraId="01EA0FCE" w14:textId="77777777" w:rsidR="006611EE" w:rsidRPr="00261B7A" w:rsidRDefault="006611EE" w:rsidP="000F09B5">
            <w:pPr>
              <w:pStyle w:val="TableText"/>
              <w:spacing w:before="40" w:after="40"/>
              <w:rPr>
                <w:rFonts w:cstheme="minorHAnsi"/>
              </w:rPr>
            </w:pPr>
            <w:r w:rsidRPr="00261B7A">
              <w:rPr>
                <w:rFonts w:cstheme="minorHAnsi"/>
                <w:color w:val="000000"/>
              </w:rPr>
              <w:t>Agriculture – Urea Application</w:t>
            </w:r>
          </w:p>
        </w:tc>
        <w:tc>
          <w:tcPr>
            <w:tcW w:w="510" w:type="dxa"/>
            <w:shd w:val="clear" w:color="auto" w:fill="FFFFFF"/>
            <w:tcMar>
              <w:top w:w="0" w:type="dxa"/>
              <w:left w:w="85" w:type="dxa"/>
              <w:bottom w:w="0" w:type="dxa"/>
              <w:right w:w="85" w:type="dxa"/>
            </w:tcMar>
          </w:tcPr>
          <w:p w14:paraId="0B6CF7C1"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6E695724" w14:textId="77777777" w:rsidR="006611EE" w:rsidRPr="00261B7A" w:rsidRDefault="006611EE" w:rsidP="000F09B5">
            <w:pPr>
              <w:pStyle w:val="TableText"/>
              <w:spacing w:before="40" w:after="40"/>
              <w:jc w:val="right"/>
              <w:rPr>
                <w:rFonts w:cstheme="minorHAnsi"/>
              </w:rPr>
            </w:pPr>
            <w:r w:rsidRPr="00261B7A">
              <w:rPr>
                <w:rFonts w:cstheme="minorHAnsi"/>
                <w:color w:val="000000"/>
              </w:rPr>
              <w:t>553.2</w:t>
            </w:r>
          </w:p>
        </w:tc>
        <w:tc>
          <w:tcPr>
            <w:tcW w:w="1021" w:type="dxa"/>
            <w:shd w:val="clear" w:color="auto" w:fill="FFFFFF"/>
            <w:tcMar>
              <w:top w:w="0" w:type="dxa"/>
              <w:left w:w="85" w:type="dxa"/>
              <w:bottom w:w="0" w:type="dxa"/>
              <w:right w:w="85" w:type="dxa"/>
            </w:tcMar>
          </w:tcPr>
          <w:p w14:paraId="5A410178" w14:textId="77777777" w:rsidR="006611EE" w:rsidRPr="00261B7A" w:rsidRDefault="006611EE" w:rsidP="000F09B5">
            <w:pPr>
              <w:pStyle w:val="TableText"/>
              <w:spacing w:before="40" w:after="40"/>
              <w:jc w:val="right"/>
              <w:rPr>
                <w:rFonts w:cstheme="minorHAnsi"/>
              </w:rPr>
            </w:pPr>
            <w:r w:rsidRPr="00261B7A">
              <w:rPr>
                <w:rFonts w:cstheme="minorHAnsi"/>
                <w:color w:val="000000"/>
              </w:rPr>
              <w:t>0.7</w:t>
            </w:r>
          </w:p>
        </w:tc>
        <w:tc>
          <w:tcPr>
            <w:tcW w:w="907" w:type="dxa"/>
            <w:shd w:val="clear" w:color="auto" w:fill="FFFFFF"/>
            <w:tcMar>
              <w:top w:w="0" w:type="dxa"/>
              <w:left w:w="85" w:type="dxa"/>
              <w:bottom w:w="0" w:type="dxa"/>
              <w:right w:w="85" w:type="dxa"/>
            </w:tcMar>
          </w:tcPr>
          <w:p w14:paraId="0AE23DD3" w14:textId="77777777" w:rsidR="006611EE" w:rsidRPr="00261B7A" w:rsidRDefault="006611EE" w:rsidP="000F09B5">
            <w:pPr>
              <w:pStyle w:val="TableText"/>
              <w:spacing w:before="40" w:after="40"/>
              <w:jc w:val="right"/>
              <w:rPr>
                <w:rFonts w:cstheme="minorHAnsi"/>
              </w:rPr>
            </w:pPr>
            <w:r w:rsidRPr="00261B7A">
              <w:rPr>
                <w:rFonts w:cstheme="minorHAnsi"/>
                <w:color w:val="000000"/>
              </w:rPr>
              <w:t>87.7</w:t>
            </w:r>
          </w:p>
        </w:tc>
      </w:tr>
      <w:tr w:rsidR="006611EE" w:rsidRPr="00261B7A" w14:paraId="14E5F12C" w14:textId="77777777" w:rsidTr="000F09B5">
        <w:tc>
          <w:tcPr>
            <w:tcW w:w="907" w:type="dxa"/>
            <w:shd w:val="clear" w:color="auto" w:fill="FFFFFF"/>
            <w:tcMar>
              <w:top w:w="0" w:type="dxa"/>
              <w:left w:w="85" w:type="dxa"/>
              <w:bottom w:w="0" w:type="dxa"/>
              <w:right w:w="85" w:type="dxa"/>
            </w:tcMar>
          </w:tcPr>
          <w:p w14:paraId="2649F869" w14:textId="77777777" w:rsidR="006611EE" w:rsidRPr="00261B7A" w:rsidRDefault="006611EE" w:rsidP="000F09B5">
            <w:pPr>
              <w:pStyle w:val="TableText"/>
              <w:spacing w:before="40" w:after="40"/>
              <w:rPr>
                <w:rFonts w:cstheme="minorHAnsi"/>
              </w:rPr>
            </w:pPr>
            <w:r w:rsidRPr="00261B7A">
              <w:rPr>
                <w:rFonts w:cstheme="minorHAnsi"/>
                <w:color w:val="000000"/>
              </w:rPr>
              <w:t>2.C.3</w:t>
            </w:r>
          </w:p>
        </w:tc>
        <w:tc>
          <w:tcPr>
            <w:tcW w:w="2948" w:type="dxa"/>
            <w:shd w:val="clear" w:color="auto" w:fill="FFFFFF"/>
            <w:tcMar>
              <w:top w:w="0" w:type="dxa"/>
              <w:left w:w="85" w:type="dxa"/>
              <w:bottom w:w="0" w:type="dxa"/>
              <w:right w:w="85" w:type="dxa"/>
            </w:tcMar>
          </w:tcPr>
          <w:p w14:paraId="7ECB8E96" w14:textId="77777777" w:rsidR="006611EE" w:rsidRPr="00261B7A" w:rsidRDefault="006611EE" w:rsidP="000F09B5">
            <w:pPr>
              <w:pStyle w:val="TableText"/>
              <w:spacing w:before="40" w:after="40"/>
              <w:rPr>
                <w:rFonts w:cstheme="minorHAnsi"/>
              </w:rPr>
            </w:pPr>
            <w:r w:rsidRPr="00261B7A">
              <w:rPr>
                <w:rFonts w:cstheme="minorHAnsi"/>
                <w:color w:val="000000"/>
              </w:rPr>
              <w:t>Metal Industry – Aluminium Production</w:t>
            </w:r>
          </w:p>
        </w:tc>
        <w:tc>
          <w:tcPr>
            <w:tcW w:w="510" w:type="dxa"/>
            <w:shd w:val="clear" w:color="auto" w:fill="FFFFFF"/>
            <w:tcMar>
              <w:top w:w="0" w:type="dxa"/>
              <w:left w:w="85" w:type="dxa"/>
              <w:bottom w:w="0" w:type="dxa"/>
              <w:right w:w="85" w:type="dxa"/>
            </w:tcMar>
          </w:tcPr>
          <w:p w14:paraId="622A0468"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00F7E3A0" w14:textId="77777777" w:rsidR="006611EE" w:rsidRPr="00261B7A" w:rsidRDefault="006611EE" w:rsidP="000F09B5">
            <w:pPr>
              <w:pStyle w:val="TableText"/>
              <w:spacing w:before="40" w:after="40"/>
              <w:jc w:val="right"/>
              <w:rPr>
                <w:rFonts w:cstheme="minorHAnsi"/>
              </w:rPr>
            </w:pPr>
            <w:r w:rsidRPr="00261B7A">
              <w:rPr>
                <w:rFonts w:cstheme="minorHAnsi"/>
                <w:color w:val="000000"/>
              </w:rPr>
              <w:t>541.8</w:t>
            </w:r>
          </w:p>
        </w:tc>
        <w:tc>
          <w:tcPr>
            <w:tcW w:w="1021" w:type="dxa"/>
            <w:shd w:val="clear" w:color="auto" w:fill="FFFFFF"/>
            <w:tcMar>
              <w:top w:w="0" w:type="dxa"/>
              <w:left w:w="85" w:type="dxa"/>
              <w:bottom w:w="0" w:type="dxa"/>
              <w:right w:w="85" w:type="dxa"/>
            </w:tcMar>
          </w:tcPr>
          <w:p w14:paraId="40E41C6F" w14:textId="77777777" w:rsidR="006611EE" w:rsidRPr="00261B7A" w:rsidRDefault="006611EE" w:rsidP="000F09B5">
            <w:pPr>
              <w:pStyle w:val="TableText"/>
              <w:spacing w:before="40" w:after="40"/>
              <w:jc w:val="right"/>
              <w:rPr>
                <w:rFonts w:cstheme="minorHAnsi"/>
              </w:rPr>
            </w:pPr>
            <w:r w:rsidRPr="00261B7A">
              <w:rPr>
                <w:rFonts w:cstheme="minorHAnsi"/>
                <w:color w:val="000000"/>
              </w:rPr>
              <w:t>0.7</w:t>
            </w:r>
          </w:p>
        </w:tc>
        <w:tc>
          <w:tcPr>
            <w:tcW w:w="907" w:type="dxa"/>
            <w:shd w:val="clear" w:color="auto" w:fill="FFFFFF"/>
            <w:tcMar>
              <w:top w:w="0" w:type="dxa"/>
              <w:left w:w="85" w:type="dxa"/>
              <w:bottom w:w="0" w:type="dxa"/>
              <w:right w:w="85" w:type="dxa"/>
            </w:tcMar>
          </w:tcPr>
          <w:p w14:paraId="0A23A7B8" w14:textId="77777777" w:rsidR="006611EE" w:rsidRPr="00261B7A" w:rsidRDefault="006611EE" w:rsidP="000F09B5">
            <w:pPr>
              <w:pStyle w:val="TableText"/>
              <w:spacing w:before="40" w:after="40"/>
              <w:jc w:val="right"/>
              <w:rPr>
                <w:rFonts w:cstheme="minorHAnsi"/>
              </w:rPr>
            </w:pPr>
            <w:r w:rsidRPr="00261B7A">
              <w:rPr>
                <w:rFonts w:cstheme="minorHAnsi"/>
                <w:color w:val="000000"/>
              </w:rPr>
              <w:t>88.4</w:t>
            </w:r>
          </w:p>
        </w:tc>
      </w:tr>
      <w:tr w:rsidR="006611EE" w:rsidRPr="00261B7A" w14:paraId="3B25ED49" w14:textId="77777777" w:rsidTr="000F09B5">
        <w:tc>
          <w:tcPr>
            <w:tcW w:w="907" w:type="dxa"/>
            <w:shd w:val="clear" w:color="auto" w:fill="FFFFFF"/>
            <w:tcMar>
              <w:top w:w="0" w:type="dxa"/>
              <w:left w:w="85" w:type="dxa"/>
              <w:bottom w:w="0" w:type="dxa"/>
              <w:right w:w="85" w:type="dxa"/>
            </w:tcMar>
          </w:tcPr>
          <w:p w14:paraId="5461E8B8" w14:textId="77777777" w:rsidR="006611EE" w:rsidRPr="00261B7A" w:rsidRDefault="006611EE" w:rsidP="000F09B5">
            <w:pPr>
              <w:pStyle w:val="TableText"/>
              <w:spacing w:before="40" w:after="40"/>
              <w:rPr>
                <w:rFonts w:cstheme="minorHAnsi"/>
              </w:rPr>
            </w:pPr>
            <w:r w:rsidRPr="00261B7A">
              <w:rPr>
                <w:rFonts w:cstheme="minorHAnsi"/>
                <w:color w:val="000000"/>
              </w:rPr>
              <w:t>1.A.2.g.v</w:t>
            </w:r>
          </w:p>
        </w:tc>
        <w:tc>
          <w:tcPr>
            <w:tcW w:w="2948" w:type="dxa"/>
            <w:shd w:val="clear" w:color="auto" w:fill="FFFFFF"/>
            <w:tcMar>
              <w:top w:w="0" w:type="dxa"/>
              <w:left w:w="85" w:type="dxa"/>
              <w:bottom w:w="0" w:type="dxa"/>
              <w:right w:w="85" w:type="dxa"/>
            </w:tcMar>
          </w:tcPr>
          <w:p w14:paraId="4B29BC7A" w14:textId="77777777" w:rsidR="006611EE" w:rsidRPr="00261B7A" w:rsidRDefault="006611EE" w:rsidP="000F09B5">
            <w:pPr>
              <w:pStyle w:val="TableText"/>
              <w:spacing w:before="40" w:after="40"/>
              <w:rPr>
                <w:rFonts w:cstheme="minorHAnsi"/>
              </w:rPr>
            </w:pPr>
            <w:r w:rsidRPr="00261B7A">
              <w:rPr>
                <w:rFonts w:cstheme="minorHAnsi"/>
                <w:color w:val="000000"/>
              </w:rPr>
              <w:t>Other (please specify) – Construction</w:t>
            </w:r>
          </w:p>
        </w:tc>
        <w:tc>
          <w:tcPr>
            <w:tcW w:w="510" w:type="dxa"/>
            <w:shd w:val="clear" w:color="auto" w:fill="FFFFFF"/>
            <w:tcMar>
              <w:top w:w="0" w:type="dxa"/>
              <w:left w:w="85" w:type="dxa"/>
              <w:bottom w:w="0" w:type="dxa"/>
              <w:right w:w="85" w:type="dxa"/>
            </w:tcMar>
          </w:tcPr>
          <w:p w14:paraId="1B3061CC"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2A24A1E8" w14:textId="77777777" w:rsidR="006611EE" w:rsidRPr="00261B7A" w:rsidRDefault="006611EE" w:rsidP="000F09B5">
            <w:pPr>
              <w:pStyle w:val="TableText"/>
              <w:spacing w:before="40" w:after="40"/>
              <w:jc w:val="right"/>
              <w:rPr>
                <w:rFonts w:cstheme="minorHAnsi"/>
              </w:rPr>
            </w:pPr>
            <w:r w:rsidRPr="00261B7A">
              <w:rPr>
                <w:rFonts w:cstheme="minorHAnsi"/>
                <w:color w:val="000000"/>
              </w:rPr>
              <w:t>522.6</w:t>
            </w:r>
          </w:p>
        </w:tc>
        <w:tc>
          <w:tcPr>
            <w:tcW w:w="1021" w:type="dxa"/>
            <w:shd w:val="clear" w:color="auto" w:fill="FFFFFF"/>
            <w:tcMar>
              <w:top w:w="0" w:type="dxa"/>
              <w:left w:w="85" w:type="dxa"/>
              <w:bottom w:w="0" w:type="dxa"/>
              <w:right w:w="85" w:type="dxa"/>
            </w:tcMar>
          </w:tcPr>
          <w:p w14:paraId="5A64101B" w14:textId="77777777" w:rsidR="006611EE" w:rsidRPr="00261B7A" w:rsidRDefault="006611EE" w:rsidP="000F09B5">
            <w:pPr>
              <w:pStyle w:val="TableText"/>
              <w:spacing w:before="40" w:after="40"/>
              <w:jc w:val="right"/>
              <w:rPr>
                <w:rFonts w:cstheme="minorHAnsi"/>
              </w:rPr>
            </w:pPr>
            <w:r w:rsidRPr="00261B7A">
              <w:rPr>
                <w:rFonts w:cstheme="minorHAnsi"/>
                <w:color w:val="000000"/>
              </w:rPr>
              <w:t>0.7</w:t>
            </w:r>
          </w:p>
        </w:tc>
        <w:tc>
          <w:tcPr>
            <w:tcW w:w="907" w:type="dxa"/>
            <w:shd w:val="clear" w:color="auto" w:fill="FFFFFF"/>
            <w:tcMar>
              <w:top w:w="0" w:type="dxa"/>
              <w:left w:w="85" w:type="dxa"/>
              <w:bottom w:w="0" w:type="dxa"/>
              <w:right w:w="85" w:type="dxa"/>
            </w:tcMar>
          </w:tcPr>
          <w:p w14:paraId="4BCAB8F2" w14:textId="77777777" w:rsidR="006611EE" w:rsidRPr="00261B7A" w:rsidRDefault="006611EE" w:rsidP="000F09B5">
            <w:pPr>
              <w:pStyle w:val="TableText"/>
              <w:spacing w:before="40" w:after="40"/>
              <w:jc w:val="right"/>
              <w:rPr>
                <w:rFonts w:cstheme="minorHAnsi"/>
              </w:rPr>
            </w:pPr>
            <w:r w:rsidRPr="00261B7A">
              <w:rPr>
                <w:rFonts w:cstheme="minorHAnsi"/>
                <w:color w:val="000000"/>
              </w:rPr>
              <w:t>89.1</w:t>
            </w:r>
          </w:p>
        </w:tc>
      </w:tr>
      <w:tr w:rsidR="006611EE" w:rsidRPr="00261B7A" w14:paraId="127B70CD" w14:textId="77777777" w:rsidTr="000F09B5">
        <w:tc>
          <w:tcPr>
            <w:tcW w:w="907" w:type="dxa"/>
            <w:shd w:val="clear" w:color="auto" w:fill="FFFFFF"/>
            <w:tcMar>
              <w:top w:w="0" w:type="dxa"/>
              <w:left w:w="85" w:type="dxa"/>
              <w:bottom w:w="0" w:type="dxa"/>
              <w:right w:w="85" w:type="dxa"/>
            </w:tcMar>
          </w:tcPr>
          <w:p w14:paraId="390CED66" w14:textId="77777777" w:rsidR="006611EE" w:rsidRPr="00261B7A" w:rsidRDefault="006611EE" w:rsidP="000F09B5">
            <w:pPr>
              <w:pStyle w:val="TableText"/>
              <w:spacing w:before="40" w:after="40"/>
              <w:rPr>
                <w:rFonts w:cstheme="minorHAnsi"/>
              </w:rPr>
            </w:pPr>
            <w:r w:rsidRPr="00261B7A">
              <w:rPr>
                <w:rFonts w:cstheme="minorHAnsi"/>
                <w:color w:val="000000"/>
              </w:rPr>
              <w:t>3.A.4</w:t>
            </w:r>
          </w:p>
        </w:tc>
        <w:tc>
          <w:tcPr>
            <w:tcW w:w="2948" w:type="dxa"/>
            <w:shd w:val="clear" w:color="auto" w:fill="FFFFFF"/>
            <w:tcMar>
              <w:top w:w="0" w:type="dxa"/>
              <w:left w:w="85" w:type="dxa"/>
              <w:bottom w:w="0" w:type="dxa"/>
              <w:right w:w="85" w:type="dxa"/>
            </w:tcMar>
          </w:tcPr>
          <w:p w14:paraId="3FFC40C4" w14:textId="77777777" w:rsidR="006611EE" w:rsidRPr="00261B7A" w:rsidRDefault="006611EE" w:rsidP="000F09B5">
            <w:pPr>
              <w:pStyle w:val="TableText"/>
              <w:spacing w:before="40" w:after="40"/>
              <w:rPr>
                <w:rFonts w:cstheme="minorHAnsi"/>
              </w:rPr>
            </w:pPr>
            <w:r w:rsidRPr="00261B7A">
              <w:rPr>
                <w:rFonts w:cstheme="minorHAnsi"/>
                <w:color w:val="000000"/>
              </w:rPr>
              <w:t>Other Livestock – Deer</w:t>
            </w:r>
          </w:p>
        </w:tc>
        <w:tc>
          <w:tcPr>
            <w:tcW w:w="510" w:type="dxa"/>
            <w:shd w:val="clear" w:color="auto" w:fill="FFFFFF"/>
            <w:tcMar>
              <w:top w:w="0" w:type="dxa"/>
              <w:left w:w="85" w:type="dxa"/>
              <w:bottom w:w="0" w:type="dxa"/>
              <w:right w:w="85" w:type="dxa"/>
            </w:tcMar>
          </w:tcPr>
          <w:p w14:paraId="4B4D6975"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964" w:type="dxa"/>
            <w:shd w:val="clear" w:color="auto" w:fill="FFFFFF"/>
            <w:tcMar>
              <w:top w:w="0" w:type="dxa"/>
              <w:left w:w="85" w:type="dxa"/>
              <w:bottom w:w="0" w:type="dxa"/>
              <w:right w:w="85" w:type="dxa"/>
            </w:tcMar>
          </w:tcPr>
          <w:p w14:paraId="73D38791" w14:textId="77777777" w:rsidR="006611EE" w:rsidRPr="00261B7A" w:rsidRDefault="006611EE" w:rsidP="000F09B5">
            <w:pPr>
              <w:pStyle w:val="TableText"/>
              <w:spacing w:before="40" w:after="40"/>
              <w:jc w:val="right"/>
              <w:rPr>
                <w:rFonts w:cstheme="minorHAnsi"/>
              </w:rPr>
            </w:pPr>
            <w:r w:rsidRPr="00261B7A">
              <w:rPr>
                <w:rFonts w:cstheme="minorHAnsi"/>
                <w:color w:val="000000"/>
              </w:rPr>
              <w:t>468.3</w:t>
            </w:r>
          </w:p>
        </w:tc>
        <w:tc>
          <w:tcPr>
            <w:tcW w:w="1021" w:type="dxa"/>
            <w:shd w:val="clear" w:color="auto" w:fill="FFFFFF"/>
            <w:tcMar>
              <w:top w:w="0" w:type="dxa"/>
              <w:left w:w="85" w:type="dxa"/>
              <w:bottom w:w="0" w:type="dxa"/>
              <w:right w:w="85" w:type="dxa"/>
            </w:tcMar>
          </w:tcPr>
          <w:p w14:paraId="1504AC41" w14:textId="77777777" w:rsidR="006611EE" w:rsidRPr="00261B7A" w:rsidRDefault="006611EE" w:rsidP="000F09B5">
            <w:pPr>
              <w:pStyle w:val="TableText"/>
              <w:spacing w:before="40" w:after="40"/>
              <w:jc w:val="right"/>
              <w:rPr>
                <w:rFonts w:cstheme="minorHAnsi"/>
              </w:rPr>
            </w:pPr>
            <w:r w:rsidRPr="00261B7A">
              <w:rPr>
                <w:rFonts w:cstheme="minorHAnsi"/>
                <w:color w:val="000000"/>
              </w:rPr>
              <w:t>0.6</w:t>
            </w:r>
          </w:p>
        </w:tc>
        <w:tc>
          <w:tcPr>
            <w:tcW w:w="907" w:type="dxa"/>
            <w:shd w:val="clear" w:color="auto" w:fill="FFFFFF"/>
            <w:tcMar>
              <w:top w:w="0" w:type="dxa"/>
              <w:left w:w="85" w:type="dxa"/>
              <w:bottom w:w="0" w:type="dxa"/>
              <w:right w:w="85" w:type="dxa"/>
            </w:tcMar>
          </w:tcPr>
          <w:p w14:paraId="6F5106B6" w14:textId="77777777" w:rsidR="006611EE" w:rsidRPr="00261B7A" w:rsidRDefault="006611EE" w:rsidP="000F09B5">
            <w:pPr>
              <w:pStyle w:val="TableText"/>
              <w:spacing w:before="40" w:after="40"/>
              <w:jc w:val="right"/>
              <w:rPr>
                <w:rFonts w:cstheme="minorHAnsi"/>
              </w:rPr>
            </w:pPr>
            <w:r w:rsidRPr="00261B7A">
              <w:rPr>
                <w:rFonts w:cstheme="minorHAnsi"/>
                <w:color w:val="000000"/>
              </w:rPr>
              <w:t>89.7</w:t>
            </w:r>
          </w:p>
        </w:tc>
      </w:tr>
      <w:tr w:rsidR="006611EE" w:rsidRPr="00261B7A" w14:paraId="7A1546BE" w14:textId="77777777" w:rsidTr="000F09B5">
        <w:tc>
          <w:tcPr>
            <w:tcW w:w="907" w:type="dxa"/>
            <w:shd w:val="clear" w:color="auto" w:fill="FFFFFF"/>
            <w:tcMar>
              <w:top w:w="0" w:type="dxa"/>
              <w:left w:w="85" w:type="dxa"/>
              <w:bottom w:w="0" w:type="dxa"/>
              <w:right w:w="85" w:type="dxa"/>
            </w:tcMar>
          </w:tcPr>
          <w:p w14:paraId="24A3258B" w14:textId="77777777" w:rsidR="006611EE" w:rsidRPr="00261B7A" w:rsidRDefault="006611EE" w:rsidP="000F09B5">
            <w:pPr>
              <w:pStyle w:val="TableText"/>
              <w:spacing w:before="40" w:after="40"/>
              <w:rPr>
                <w:rFonts w:cstheme="minorHAnsi"/>
              </w:rPr>
            </w:pPr>
            <w:r w:rsidRPr="00261B7A">
              <w:rPr>
                <w:rFonts w:cstheme="minorHAnsi"/>
                <w:color w:val="000000"/>
              </w:rPr>
              <w:t>1.B.2.d</w:t>
            </w:r>
          </w:p>
        </w:tc>
        <w:tc>
          <w:tcPr>
            <w:tcW w:w="2948" w:type="dxa"/>
            <w:shd w:val="clear" w:color="auto" w:fill="FFFFFF"/>
            <w:tcMar>
              <w:top w:w="0" w:type="dxa"/>
              <w:left w:w="85" w:type="dxa"/>
              <w:bottom w:w="0" w:type="dxa"/>
              <w:right w:w="85" w:type="dxa"/>
            </w:tcMar>
          </w:tcPr>
          <w:p w14:paraId="21E3FA66" w14:textId="77777777" w:rsidR="006611EE" w:rsidRPr="00261B7A" w:rsidRDefault="006611EE" w:rsidP="000F09B5">
            <w:pPr>
              <w:pStyle w:val="TableText"/>
              <w:spacing w:before="40" w:after="40"/>
              <w:rPr>
                <w:rFonts w:cstheme="minorHAnsi"/>
              </w:rPr>
            </w:pPr>
            <w:r w:rsidRPr="00261B7A">
              <w:rPr>
                <w:rFonts w:cstheme="minorHAnsi"/>
                <w:color w:val="000000"/>
              </w:rPr>
              <w:t>Other (please specify) – Geothermal</w:t>
            </w:r>
          </w:p>
        </w:tc>
        <w:tc>
          <w:tcPr>
            <w:tcW w:w="510" w:type="dxa"/>
            <w:shd w:val="clear" w:color="auto" w:fill="FFFFFF"/>
            <w:tcMar>
              <w:top w:w="0" w:type="dxa"/>
              <w:left w:w="85" w:type="dxa"/>
              <w:bottom w:w="0" w:type="dxa"/>
              <w:right w:w="85" w:type="dxa"/>
            </w:tcMar>
          </w:tcPr>
          <w:p w14:paraId="4209D7AC"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0EA3B94E" w14:textId="77777777" w:rsidR="006611EE" w:rsidRPr="00261B7A" w:rsidRDefault="006611EE" w:rsidP="000F09B5">
            <w:pPr>
              <w:pStyle w:val="TableText"/>
              <w:spacing w:before="40" w:after="40"/>
              <w:jc w:val="right"/>
              <w:rPr>
                <w:rFonts w:cstheme="minorHAnsi"/>
              </w:rPr>
            </w:pPr>
            <w:r w:rsidRPr="00261B7A">
              <w:rPr>
                <w:rFonts w:cstheme="minorHAnsi"/>
                <w:color w:val="000000"/>
              </w:rPr>
              <w:t>431.6</w:t>
            </w:r>
          </w:p>
        </w:tc>
        <w:tc>
          <w:tcPr>
            <w:tcW w:w="1021" w:type="dxa"/>
            <w:shd w:val="clear" w:color="auto" w:fill="FFFFFF"/>
            <w:tcMar>
              <w:top w:w="0" w:type="dxa"/>
              <w:left w:w="85" w:type="dxa"/>
              <w:bottom w:w="0" w:type="dxa"/>
              <w:right w:w="85" w:type="dxa"/>
            </w:tcMar>
          </w:tcPr>
          <w:p w14:paraId="3A089451" w14:textId="77777777" w:rsidR="006611EE" w:rsidRPr="00261B7A" w:rsidRDefault="006611EE" w:rsidP="000F09B5">
            <w:pPr>
              <w:pStyle w:val="TableText"/>
              <w:spacing w:before="40" w:after="40"/>
              <w:jc w:val="right"/>
              <w:rPr>
                <w:rFonts w:cstheme="minorHAnsi"/>
              </w:rPr>
            </w:pPr>
            <w:r w:rsidRPr="00261B7A">
              <w:rPr>
                <w:rFonts w:cstheme="minorHAnsi"/>
                <w:color w:val="000000"/>
              </w:rPr>
              <w:t>0.6</w:t>
            </w:r>
          </w:p>
        </w:tc>
        <w:tc>
          <w:tcPr>
            <w:tcW w:w="907" w:type="dxa"/>
            <w:shd w:val="clear" w:color="auto" w:fill="FFFFFF"/>
            <w:tcMar>
              <w:top w:w="0" w:type="dxa"/>
              <w:left w:w="85" w:type="dxa"/>
              <w:bottom w:w="0" w:type="dxa"/>
              <w:right w:w="85" w:type="dxa"/>
            </w:tcMar>
          </w:tcPr>
          <w:p w14:paraId="762EBCFE" w14:textId="77777777" w:rsidR="006611EE" w:rsidRPr="00261B7A" w:rsidRDefault="006611EE" w:rsidP="000F09B5">
            <w:pPr>
              <w:pStyle w:val="TableText"/>
              <w:spacing w:before="40" w:after="40"/>
              <w:jc w:val="right"/>
              <w:rPr>
                <w:rFonts w:cstheme="minorHAnsi"/>
              </w:rPr>
            </w:pPr>
            <w:r w:rsidRPr="00261B7A">
              <w:rPr>
                <w:rFonts w:cstheme="minorHAnsi"/>
                <w:color w:val="000000"/>
              </w:rPr>
              <w:t>90.2</w:t>
            </w:r>
          </w:p>
        </w:tc>
      </w:tr>
      <w:tr w:rsidR="006611EE" w:rsidRPr="00261B7A" w14:paraId="77F388D9" w14:textId="77777777" w:rsidTr="000F09B5">
        <w:tc>
          <w:tcPr>
            <w:tcW w:w="907" w:type="dxa"/>
            <w:shd w:val="clear" w:color="auto" w:fill="FFFFFF"/>
            <w:tcMar>
              <w:top w:w="0" w:type="dxa"/>
              <w:left w:w="85" w:type="dxa"/>
              <w:bottom w:w="0" w:type="dxa"/>
              <w:right w:w="85" w:type="dxa"/>
            </w:tcMar>
          </w:tcPr>
          <w:p w14:paraId="1D47EB93" w14:textId="77777777" w:rsidR="006611EE" w:rsidRPr="00261B7A" w:rsidRDefault="006611EE" w:rsidP="000F09B5">
            <w:pPr>
              <w:pStyle w:val="TableText"/>
              <w:spacing w:before="40" w:after="40"/>
              <w:rPr>
                <w:rFonts w:cstheme="minorHAnsi"/>
              </w:rPr>
            </w:pPr>
            <w:r w:rsidRPr="00261B7A">
              <w:rPr>
                <w:rFonts w:cstheme="minorHAnsi"/>
                <w:color w:val="000000"/>
              </w:rPr>
              <w:t>1.A.4.a</w:t>
            </w:r>
          </w:p>
        </w:tc>
        <w:tc>
          <w:tcPr>
            <w:tcW w:w="2948" w:type="dxa"/>
            <w:shd w:val="clear" w:color="auto" w:fill="FFFFFF"/>
            <w:tcMar>
              <w:top w:w="0" w:type="dxa"/>
              <w:left w:w="85" w:type="dxa"/>
              <w:bottom w:w="0" w:type="dxa"/>
              <w:right w:w="85" w:type="dxa"/>
            </w:tcMar>
          </w:tcPr>
          <w:p w14:paraId="6B252650" w14:textId="77777777" w:rsidR="006611EE" w:rsidRPr="00261B7A" w:rsidRDefault="006611EE" w:rsidP="000F09B5">
            <w:pPr>
              <w:pStyle w:val="TableText"/>
              <w:spacing w:before="40" w:after="40"/>
              <w:rPr>
                <w:rFonts w:cstheme="minorHAnsi"/>
              </w:rPr>
            </w:pPr>
            <w:r w:rsidRPr="00261B7A">
              <w:rPr>
                <w:rFonts w:cstheme="minorHAnsi"/>
                <w:color w:val="000000"/>
              </w:rPr>
              <w:t>Other Sectors – Commercial/Institutional Gaseous Fuels</w:t>
            </w:r>
          </w:p>
        </w:tc>
        <w:tc>
          <w:tcPr>
            <w:tcW w:w="510" w:type="dxa"/>
            <w:shd w:val="clear" w:color="auto" w:fill="FFFFFF"/>
            <w:tcMar>
              <w:top w:w="0" w:type="dxa"/>
              <w:left w:w="85" w:type="dxa"/>
              <w:bottom w:w="0" w:type="dxa"/>
              <w:right w:w="85" w:type="dxa"/>
            </w:tcMar>
          </w:tcPr>
          <w:p w14:paraId="0B3BC8F2"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0F98A563" w14:textId="77777777" w:rsidR="006611EE" w:rsidRPr="00261B7A" w:rsidRDefault="006611EE" w:rsidP="000F09B5">
            <w:pPr>
              <w:pStyle w:val="TableText"/>
              <w:spacing w:before="40" w:after="40"/>
              <w:jc w:val="right"/>
              <w:rPr>
                <w:rFonts w:cstheme="minorHAnsi"/>
              </w:rPr>
            </w:pPr>
            <w:r w:rsidRPr="00261B7A">
              <w:rPr>
                <w:rFonts w:cstheme="minorHAnsi"/>
                <w:color w:val="000000"/>
              </w:rPr>
              <w:t>412.5</w:t>
            </w:r>
          </w:p>
        </w:tc>
        <w:tc>
          <w:tcPr>
            <w:tcW w:w="1021" w:type="dxa"/>
            <w:shd w:val="clear" w:color="auto" w:fill="FFFFFF"/>
            <w:tcMar>
              <w:top w:w="0" w:type="dxa"/>
              <w:left w:w="85" w:type="dxa"/>
              <w:bottom w:w="0" w:type="dxa"/>
              <w:right w:w="85" w:type="dxa"/>
            </w:tcMar>
          </w:tcPr>
          <w:p w14:paraId="6E0D86A7" w14:textId="77777777" w:rsidR="006611EE" w:rsidRPr="00261B7A" w:rsidRDefault="006611EE" w:rsidP="000F09B5">
            <w:pPr>
              <w:pStyle w:val="TableText"/>
              <w:spacing w:before="40" w:after="40"/>
              <w:jc w:val="right"/>
              <w:rPr>
                <w:rFonts w:cstheme="minorHAnsi"/>
              </w:rPr>
            </w:pPr>
            <w:r w:rsidRPr="00261B7A">
              <w:rPr>
                <w:rFonts w:cstheme="minorHAnsi"/>
                <w:color w:val="000000"/>
              </w:rPr>
              <w:t>0.5</w:t>
            </w:r>
          </w:p>
        </w:tc>
        <w:tc>
          <w:tcPr>
            <w:tcW w:w="907" w:type="dxa"/>
            <w:shd w:val="clear" w:color="auto" w:fill="FFFFFF"/>
            <w:tcMar>
              <w:top w:w="0" w:type="dxa"/>
              <w:left w:w="85" w:type="dxa"/>
              <w:bottom w:w="0" w:type="dxa"/>
              <w:right w:w="85" w:type="dxa"/>
            </w:tcMar>
          </w:tcPr>
          <w:p w14:paraId="17F39DA5" w14:textId="77777777" w:rsidR="006611EE" w:rsidRPr="00261B7A" w:rsidRDefault="006611EE" w:rsidP="000F09B5">
            <w:pPr>
              <w:pStyle w:val="TableText"/>
              <w:spacing w:before="40" w:after="40"/>
              <w:jc w:val="right"/>
              <w:rPr>
                <w:rFonts w:cstheme="minorHAnsi"/>
              </w:rPr>
            </w:pPr>
            <w:r w:rsidRPr="00261B7A">
              <w:rPr>
                <w:rFonts w:cstheme="minorHAnsi"/>
                <w:color w:val="000000"/>
              </w:rPr>
              <w:t>90.8</w:t>
            </w:r>
          </w:p>
        </w:tc>
      </w:tr>
      <w:tr w:rsidR="006611EE" w:rsidRPr="00261B7A" w14:paraId="4C041457" w14:textId="77777777" w:rsidTr="000F09B5">
        <w:tc>
          <w:tcPr>
            <w:tcW w:w="907" w:type="dxa"/>
            <w:shd w:val="clear" w:color="auto" w:fill="FFFFFF"/>
            <w:tcMar>
              <w:top w:w="0" w:type="dxa"/>
              <w:left w:w="85" w:type="dxa"/>
              <w:bottom w:w="0" w:type="dxa"/>
              <w:right w:w="85" w:type="dxa"/>
            </w:tcMar>
          </w:tcPr>
          <w:p w14:paraId="54D5D8BA" w14:textId="77777777" w:rsidR="006611EE" w:rsidRPr="00261B7A" w:rsidRDefault="006611EE" w:rsidP="000F09B5">
            <w:pPr>
              <w:pStyle w:val="TableText"/>
              <w:spacing w:before="40" w:after="40"/>
              <w:rPr>
                <w:rFonts w:cstheme="minorHAnsi"/>
              </w:rPr>
            </w:pPr>
            <w:r w:rsidRPr="00261B7A">
              <w:rPr>
                <w:rFonts w:cstheme="minorHAnsi"/>
                <w:color w:val="000000"/>
              </w:rPr>
              <w:t>1.A.4.b</w:t>
            </w:r>
          </w:p>
        </w:tc>
        <w:tc>
          <w:tcPr>
            <w:tcW w:w="2948" w:type="dxa"/>
            <w:shd w:val="clear" w:color="auto" w:fill="FFFFFF"/>
            <w:tcMar>
              <w:top w:w="0" w:type="dxa"/>
              <w:left w:w="85" w:type="dxa"/>
              <w:bottom w:w="0" w:type="dxa"/>
              <w:right w:w="85" w:type="dxa"/>
            </w:tcMar>
          </w:tcPr>
          <w:p w14:paraId="2AE846FE" w14:textId="77777777" w:rsidR="006611EE" w:rsidRPr="00261B7A" w:rsidRDefault="006611EE" w:rsidP="000F09B5">
            <w:pPr>
              <w:pStyle w:val="TableText"/>
              <w:spacing w:before="40" w:after="40"/>
              <w:rPr>
                <w:rFonts w:cstheme="minorHAnsi"/>
              </w:rPr>
            </w:pPr>
            <w:r w:rsidRPr="00261B7A">
              <w:rPr>
                <w:rFonts w:cstheme="minorHAnsi"/>
                <w:color w:val="000000"/>
              </w:rPr>
              <w:t>Other Sectors – Residential Gaseous Fuels</w:t>
            </w:r>
          </w:p>
        </w:tc>
        <w:tc>
          <w:tcPr>
            <w:tcW w:w="510" w:type="dxa"/>
            <w:shd w:val="clear" w:color="auto" w:fill="FFFFFF"/>
            <w:tcMar>
              <w:top w:w="0" w:type="dxa"/>
              <w:left w:w="85" w:type="dxa"/>
              <w:bottom w:w="0" w:type="dxa"/>
              <w:right w:w="85" w:type="dxa"/>
            </w:tcMar>
          </w:tcPr>
          <w:p w14:paraId="2BF83592"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6C2BFDD3" w14:textId="77777777" w:rsidR="006611EE" w:rsidRPr="00261B7A" w:rsidRDefault="006611EE" w:rsidP="000F09B5">
            <w:pPr>
              <w:pStyle w:val="TableText"/>
              <w:spacing w:before="40" w:after="40"/>
              <w:jc w:val="right"/>
              <w:rPr>
                <w:rFonts w:cstheme="minorHAnsi"/>
              </w:rPr>
            </w:pPr>
            <w:r w:rsidRPr="00261B7A">
              <w:rPr>
                <w:rFonts w:cstheme="minorHAnsi"/>
                <w:color w:val="000000"/>
              </w:rPr>
              <w:t>385.5</w:t>
            </w:r>
          </w:p>
        </w:tc>
        <w:tc>
          <w:tcPr>
            <w:tcW w:w="1021" w:type="dxa"/>
            <w:shd w:val="clear" w:color="auto" w:fill="FFFFFF"/>
            <w:tcMar>
              <w:top w:w="0" w:type="dxa"/>
              <w:left w:w="85" w:type="dxa"/>
              <w:bottom w:w="0" w:type="dxa"/>
              <w:right w:w="85" w:type="dxa"/>
            </w:tcMar>
          </w:tcPr>
          <w:p w14:paraId="6EB5750C" w14:textId="77777777" w:rsidR="006611EE" w:rsidRPr="00261B7A" w:rsidRDefault="006611EE" w:rsidP="000F09B5">
            <w:pPr>
              <w:pStyle w:val="TableText"/>
              <w:spacing w:before="40" w:after="40"/>
              <w:jc w:val="right"/>
              <w:rPr>
                <w:rFonts w:cstheme="minorHAnsi"/>
              </w:rPr>
            </w:pPr>
            <w:r w:rsidRPr="00261B7A">
              <w:rPr>
                <w:rFonts w:cstheme="minorHAnsi"/>
                <w:color w:val="000000"/>
              </w:rPr>
              <w:t>0.5</w:t>
            </w:r>
          </w:p>
        </w:tc>
        <w:tc>
          <w:tcPr>
            <w:tcW w:w="907" w:type="dxa"/>
            <w:shd w:val="clear" w:color="auto" w:fill="FFFFFF"/>
            <w:tcMar>
              <w:top w:w="0" w:type="dxa"/>
              <w:left w:w="85" w:type="dxa"/>
              <w:bottom w:w="0" w:type="dxa"/>
              <w:right w:w="85" w:type="dxa"/>
            </w:tcMar>
          </w:tcPr>
          <w:p w14:paraId="42582EB1" w14:textId="77777777" w:rsidR="006611EE" w:rsidRPr="00261B7A" w:rsidRDefault="006611EE" w:rsidP="000F09B5">
            <w:pPr>
              <w:pStyle w:val="TableText"/>
              <w:spacing w:before="40" w:after="40"/>
              <w:jc w:val="right"/>
              <w:rPr>
                <w:rFonts w:cstheme="minorHAnsi"/>
              </w:rPr>
            </w:pPr>
            <w:r w:rsidRPr="00261B7A">
              <w:rPr>
                <w:rFonts w:cstheme="minorHAnsi"/>
                <w:color w:val="000000"/>
              </w:rPr>
              <w:t>91.3</w:t>
            </w:r>
          </w:p>
        </w:tc>
      </w:tr>
      <w:tr w:rsidR="006611EE" w:rsidRPr="00261B7A" w14:paraId="25A8A3F3" w14:textId="77777777" w:rsidTr="000F09B5">
        <w:tc>
          <w:tcPr>
            <w:tcW w:w="907" w:type="dxa"/>
            <w:shd w:val="clear" w:color="auto" w:fill="FFFFFF"/>
            <w:tcMar>
              <w:top w:w="0" w:type="dxa"/>
              <w:left w:w="85" w:type="dxa"/>
              <w:bottom w:w="0" w:type="dxa"/>
              <w:right w:w="85" w:type="dxa"/>
            </w:tcMar>
          </w:tcPr>
          <w:p w14:paraId="538D37DA" w14:textId="77777777" w:rsidR="006611EE" w:rsidRPr="00261B7A" w:rsidRDefault="006611EE" w:rsidP="000F09B5">
            <w:pPr>
              <w:pStyle w:val="TableText"/>
              <w:spacing w:before="40" w:after="40"/>
              <w:rPr>
                <w:rFonts w:cstheme="minorHAnsi"/>
              </w:rPr>
            </w:pPr>
            <w:r w:rsidRPr="00261B7A">
              <w:rPr>
                <w:rFonts w:cstheme="minorHAnsi"/>
                <w:color w:val="000000"/>
              </w:rPr>
              <w:t>2.A.1</w:t>
            </w:r>
          </w:p>
        </w:tc>
        <w:tc>
          <w:tcPr>
            <w:tcW w:w="2948" w:type="dxa"/>
            <w:shd w:val="clear" w:color="auto" w:fill="FFFFFF"/>
            <w:tcMar>
              <w:top w:w="0" w:type="dxa"/>
              <w:left w:w="85" w:type="dxa"/>
              <w:bottom w:w="0" w:type="dxa"/>
              <w:right w:w="85" w:type="dxa"/>
            </w:tcMar>
          </w:tcPr>
          <w:p w14:paraId="6BA495C3" w14:textId="77777777" w:rsidR="006611EE" w:rsidRPr="00261B7A" w:rsidRDefault="006611EE" w:rsidP="000F09B5">
            <w:pPr>
              <w:pStyle w:val="TableText"/>
              <w:spacing w:before="40" w:after="40"/>
              <w:rPr>
                <w:rFonts w:cstheme="minorHAnsi"/>
              </w:rPr>
            </w:pPr>
            <w:r w:rsidRPr="00261B7A">
              <w:rPr>
                <w:rFonts w:cstheme="minorHAnsi"/>
                <w:color w:val="000000"/>
              </w:rPr>
              <w:t>Mineral Industry – Cement Production</w:t>
            </w:r>
          </w:p>
        </w:tc>
        <w:tc>
          <w:tcPr>
            <w:tcW w:w="510" w:type="dxa"/>
            <w:shd w:val="clear" w:color="auto" w:fill="FFFFFF"/>
            <w:tcMar>
              <w:top w:w="0" w:type="dxa"/>
              <w:left w:w="85" w:type="dxa"/>
              <w:bottom w:w="0" w:type="dxa"/>
              <w:right w:w="85" w:type="dxa"/>
            </w:tcMar>
          </w:tcPr>
          <w:p w14:paraId="24124570"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6BFEAD3B" w14:textId="77777777" w:rsidR="006611EE" w:rsidRPr="00261B7A" w:rsidRDefault="006611EE" w:rsidP="000F09B5">
            <w:pPr>
              <w:pStyle w:val="TableText"/>
              <w:spacing w:before="40" w:after="40"/>
              <w:jc w:val="right"/>
              <w:rPr>
                <w:rFonts w:cstheme="minorHAnsi"/>
              </w:rPr>
            </w:pPr>
            <w:r w:rsidRPr="00261B7A">
              <w:rPr>
                <w:rFonts w:cstheme="minorHAnsi"/>
                <w:color w:val="000000"/>
              </w:rPr>
              <w:t>369.6</w:t>
            </w:r>
          </w:p>
        </w:tc>
        <w:tc>
          <w:tcPr>
            <w:tcW w:w="1021" w:type="dxa"/>
            <w:shd w:val="clear" w:color="auto" w:fill="FFFFFF"/>
            <w:tcMar>
              <w:top w:w="0" w:type="dxa"/>
              <w:left w:w="85" w:type="dxa"/>
              <w:bottom w:w="0" w:type="dxa"/>
              <w:right w:w="85" w:type="dxa"/>
            </w:tcMar>
          </w:tcPr>
          <w:p w14:paraId="24489E95" w14:textId="77777777" w:rsidR="006611EE" w:rsidRPr="00261B7A" w:rsidRDefault="006611EE" w:rsidP="000F09B5">
            <w:pPr>
              <w:pStyle w:val="TableText"/>
              <w:spacing w:before="40" w:after="40"/>
              <w:jc w:val="right"/>
              <w:rPr>
                <w:rFonts w:cstheme="minorHAnsi"/>
              </w:rPr>
            </w:pPr>
            <w:r w:rsidRPr="00261B7A">
              <w:rPr>
                <w:rFonts w:cstheme="minorHAnsi"/>
                <w:color w:val="000000"/>
              </w:rPr>
              <w:t>0.5</w:t>
            </w:r>
          </w:p>
        </w:tc>
        <w:tc>
          <w:tcPr>
            <w:tcW w:w="907" w:type="dxa"/>
            <w:shd w:val="clear" w:color="auto" w:fill="FFFFFF"/>
            <w:tcMar>
              <w:top w:w="0" w:type="dxa"/>
              <w:left w:w="85" w:type="dxa"/>
              <w:bottom w:w="0" w:type="dxa"/>
              <w:right w:w="85" w:type="dxa"/>
            </w:tcMar>
          </w:tcPr>
          <w:p w14:paraId="10F86E35" w14:textId="77777777" w:rsidR="006611EE" w:rsidRPr="00261B7A" w:rsidRDefault="006611EE" w:rsidP="000F09B5">
            <w:pPr>
              <w:pStyle w:val="TableText"/>
              <w:spacing w:before="40" w:after="40"/>
              <w:jc w:val="right"/>
              <w:rPr>
                <w:rFonts w:cstheme="minorHAnsi"/>
              </w:rPr>
            </w:pPr>
            <w:r w:rsidRPr="00261B7A">
              <w:rPr>
                <w:rFonts w:cstheme="minorHAnsi"/>
                <w:color w:val="000000"/>
              </w:rPr>
              <w:t>91.8</w:t>
            </w:r>
          </w:p>
        </w:tc>
      </w:tr>
      <w:tr w:rsidR="006611EE" w:rsidRPr="00261B7A" w14:paraId="5CD8F990" w14:textId="77777777" w:rsidTr="000F09B5">
        <w:tc>
          <w:tcPr>
            <w:tcW w:w="907" w:type="dxa"/>
            <w:shd w:val="clear" w:color="auto" w:fill="FFFFFF"/>
            <w:tcMar>
              <w:top w:w="0" w:type="dxa"/>
              <w:left w:w="85" w:type="dxa"/>
              <w:bottom w:w="0" w:type="dxa"/>
              <w:right w:w="85" w:type="dxa"/>
            </w:tcMar>
          </w:tcPr>
          <w:p w14:paraId="51A659B3" w14:textId="77777777" w:rsidR="006611EE" w:rsidRPr="00261B7A" w:rsidRDefault="006611EE" w:rsidP="000F09B5">
            <w:pPr>
              <w:pStyle w:val="TableText"/>
              <w:spacing w:before="40" w:after="40"/>
              <w:rPr>
                <w:rFonts w:cstheme="minorHAnsi"/>
              </w:rPr>
            </w:pPr>
            <w:r w:rsidRPr="00261B7A">
              <w:rPr>
                <w:rFonts w:cstheme="minorHAnsi"/>
                <w:color w:val="000000"/>
              </w:rPr>
              <w:t>1.A.2.g.iii</w:t>
            </w:r>
          </w:p>
        </w:tc>
        <w:tc>
          <w:tcPr>
            <w:tcW w:w="2948" w:type="dxa"/>
            <w:shd w:val="clear" w:color="auto" w:fill="FFFFFF"/>
            <w:tcMar>
              <w:top w:w="0" w:type="dxa"/>
              <w:left w:w="85" w:type="dxa"/>
              <w:bottom w:w="0" w:type="dxa"/>
              <w:right w:w="85" w:type="dxa"/>
            </w:tcMar>
          </w:tcPr>
          <w:p w14:paraId="75CBF93F" w14:textId="77777777" w:rsidR="006611EE" w:rsidRPr="00261B7A" w:rsidRDefault="006611EE" w:rsidP="000F09B5">
            <w:pPr>
              <w:pStyle w:val="TableText"/>
              <w:spacing w:before="40" w:after="40"/>
              <w:rPr>
                <w:rFonts w:cstheme="minorHAnsi"/>
              </w:rPr>
            </w:pPr>
            <w:r w:rsidRPr="00261B7A">
              <w:rPr>
                <w:rFonts w:cstheme="minorHAnsi"/>
                <w:color w:val="000000"/>
              </w:rPr>
              <w:t>Other (please specify) – Mining (excluding fuels) and Quarrying Liquid Fuels</w:t>
            </w:r>
          </w:p>
        </w:tc>
        <w:tc>
          <w:tcPr>
            <w:tcW w:w="510" w:type="dxa"/>
            <w:shd w:val="clear" w:color="auto" w:fill="FFFFFF"/>
            <w:tcMar>
              <w:top w:w="0" w:type="dxa"/>
              <w:left w:w="85" w:type="dxa"/>
              <w:bottom w:w="0" w:type="dxa"/>
              <w:right w:w="85" w:type="dxa"/>
            </w:tcMar>
          </w:tcPr>
          <w:p w14:paraId="2D25E232"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216358D4" w14:textId="77777777" w:rsidR="006611EE" w:rsidRPr="00261B7A" w:rsidRDefault="006611EE" w:rsidP="000F09B5">
            <w:pPr>
              <w:pStyle w:val="TableText"/>
              <w:spacing w:before="40" w:after="40"/>
              <w:jc w:val="right"/>
              <w:rPr>
                <w:rFonts w:cstheme="minorHAnsi"/>
              </w:rPr>
            </w:pPr>
            <w:r w:rsidRPr="00261B7A">
              <w:rPr>
                <w:rFonts w:cstheme="minorHAnsi"/>
                <w:color w:val="000000"/>
              </w:rPr>
              <w:t>367.6</w:t>
            </w:r>
          </w:p>
        </w:tc>
        <w:tc>
          <w:tcPr>
            <w:tcW w:w="1021" w:type="dxa"/>
            <w:shd w:val="clear" w:color="auto" w:fill="FFFFFF"/>
            <w:tcMar>
              <w:top w:w="0" w:type="dxa"/>
              <w:left w:w="85" w:type="dxa"/>
              <w:bottom w:w="0" w:type="dxa"/>
              <w:right w:w="85" w:type="dxa"/>
            </w:tcMar>
          </w:tcPr>
          <w:p w14:paraId="7B538D7C" w14:textId="77777777" w:rsidR="006611EE" w:rsidRPr="00261B7A" w:rsidRDefault="006611EE" w:rsidP="000F09B5">
            <w:pPr>
              <w:pStyle w:val="TableText"/>
              <w:spacing w:before="40" w:after="40"/>
              <w:jc w:val="right"/>
              <w:rPr>
                <w:rFonts w:cstheme="minorHAnsi"/>
              </w:rPr>
            </w:pPr>
            <w:r w:rsidRPr="00261B7A">
              <w:rPr>
                <w:rFonts w:cstheme="minorHAnsi"/>
                <w:color w:val="000000"/>
              </w:rPr>
              <w:t>0.5</w:t>
            </w:r>
          </w:p>
        </w:tc>
        <w:tc>
          <w:tcPr>
            <w:tcW w:w="907" w:type="dxa"/>
            <w:shd w:val="clear" w:color="auto" w:fill="FFFFFF"/>
            <w:tcMar>
              <w:top w:w="0" w:type="dxa"/>
              <w:left w:w="85" w:type="dxa"/>
              <w:bottom w:w="0" w:type="dxa"/>
              <w:right w:w="85" w:type="dxa"/>
            </w:tcMar>
          </w:tcPr>
          <w:p w14:paraId="4F67D165" w14:textId="77777777" w:rsidR="006611EE" w:rsidRPr="00261B7A" w:rsidRDefault="006611EE" w:rsidP="000F09B5">
            <w:pPr>
              <w:pStyle w:val="TableText"/>
              <w:spacing w:before="40" w:after="40"/>
              <w:jc w:val="right"/>
              <w:rPr>
                <w:rFonts w:cstheme="minorHAnsi"/>
              </w:rPr>
            </w:pPr>
            <w:r w:rsidRPr="00261B7A">
              <w:rPr>
                <w:rFonts w:cstheme="minorHAnsi"/>
                <w:color w:val="000000"/>
              </w:rPr>
              <w:t>92.2</w:t>
            </w:r>
          </w:p>
        </w:tc>
      </w:tr>
      <w:tr w:rsidR="006611EE" w:rsidRPr="00261B7A" w14:paraId="39853B41" w14:textId="77777777" w:rsidTr="000F09B5">
        <w:tc>
          <w:tcPr>
            <w:tcW w:w="907" w:type="dxa"/>
            <w:shd w:val="clear" w:color="auto" w:fill="FFFFFF"/>
            <w:tcMar>
              <w:top w:w="0" w:type="dxa"/>
              <w:left w:w="85" w:type="dxa"/>
              <w:bottom w:w="0" w:type="dxa"/>
              <w:right w:w="85" w:type="dxa"/>
            </w:tcMar>
          </w:tcPr>
          <w:p w14:paraId="0AEAFC68" w14:textId="77777777" w:rsidR="006611EE" w:rsidRPr="00261B7A" w:rsidRDefault="006611EE" w:rsidP="000F09B5">
            <w:pPr>
              <w:pStyle w:val="TableText"/>
              <w:spacing w:before="40" w:after="40"/>
              <w:rPr>
                <w:rFonts w:cstheme="minorHAnsi"/>
              </w:rPr>
            </w:pPr>
            <w:r w:rsidRPr="00261B7A">
              <w:rPr>
                <w:rFonts w:cstheme="minorHAnsi"/>
                <w:color w:val="000000"/>
              </w:rPr>
              <w:t>3.G</w:t>
            </w:r>
          </w:p>
        </w:tc>
        <w:tc>
          <w:tcPr>
            <w:tcW w:w="2948" w:type="dxa"/>
            <w:shd w:val="clear" w:color="auto" w:fill="FFFFFF"/>
            <w:tcMar>
              <w:top w:w="0" w:type="dxa"/>
              <w:left w:w="85" w:type="dxa"/>
              <w:bottom w:w="0" w:type="dxa"/>
              <w:right w:w="85" w:type="dxa"/>
            </w:tcMar>
          </w:tcPr>
          <w:p w14:paraId="73E1D541" w14:textId="77777777" w:rsidR="006611EE" w:rsidRPr="00261B7A" w:rsidRDefault="006611EE" w:rsidP="000F09B5">
            <w:pPr>
              <w:pStyle w:val="TableText"/>
              <w:spacing w:before="40" w:after="40"/>
              <w:rPr>
                <w:rFonts w:cstheme="minorHAnsi"/>
              </w:rPr>
            </w:pPr>
            <w:r w:rsidRPr="00261B7A">
              <w:rPr>
                <w:rFonts w:cstheme="minorHAnsi"/>
                <w:color w:val="000000"/>
              </w:rPr>
              <w:t>Agriculture – Liming</w:t>
            </w:r>
          </w:p>
        </w:tc>
        <w:tc>
          <w:tcPr>
            <w:tcW w:w="510" w:type="dxa"/>
            <w:shd w:val="clear" w:color="auto" w:fill="FFFFFF"/>
            <w:tcMar>
              <w:top w:w="0" w:type="dxa"/>
              <w:left w:w="85" w:type="dxa"/>
              <w:bottom w:w="0" w:type="dxa"/>
              <w:right w:w="85" w:type="dxa"/>
            </w:tcMar>
          </w:tcPr>
          <w:p w14:paraId="39BF16A6"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72D4B7D7" w14:textId="77777777" w:rsidR="006611EE" w:rsidRPr="00261B7A" w:rsidRDefault="006611EE" w:rsidP="000F09B5">
            <w:pPr>
              <w:pStyle w:val="TableText"/>
              <w:spacing w:before="40" w:after="40"/>
              <w:jc w:val="right"/>
              <w:rPr>
                <w:rFonts w:cstheme="minorHAnsi"/>
              </w:rPr>
            </w:pPr>
            <w:r w:rsidRPr="00261B7A">
              <w:rPr>
                <w:rFonts w:cstheme="minorHAnsi"/>
                <w:color w:val="000000"/>
              </w:rPr>
              <w:t>355.6</w:t>
            </w:r>
          </w:p>
        </w:tc>
        <w:tc>
          <w:tcPr>
            <w:tcW w:w="1021" w:type="dxa"/>
            <w:shd w:val="clear" w:color="auto" w:fill="FFFFFF"/>
            <w:tcMar>
              <w:top w:w="0" w:type="dxa"/>
              <w:left w:w="85" w:type="dxa"/>
              <w:bottom w:w="0" w:type="dxa"/>
              <w:right w:w="85" w:type="dxa"/>
            </w:tcMar>
          </w:tcPr>
          <w:p w14:paraId="659DB5A1" w14:textId="77777777" w:rsidR="006611EE" w:rsidRPr="00261B7A" w:rsidRDefault="006611EE" w:rsidP="000F09B5">
            <w:pPr>
              <w:pStyle w:val="TableText"/>
              <w:spacing w:before="40" w:after="40"/>
              <w:jc w:val="right"/>
              <w:rPr>
                <w:rFonts w:cstheme="minorHAnsi"/>
              </w:rPr>
            </w:pPr>
            <w:r w:rsidRPr="00261B7A">
              <w:rPr>
                <w:rFonts w:cstheme="minorHAnsi"/>
                <w:color w:val="000000"/>
              </w:rPr>
              <w:t>0.5</w:t>
            </w:r>
          </w:p>
        </w:tc>
        <w:tc>
          <w:tcPr>
            <w:tcW w:w="907" w:type="dxa"/>
            <w:shd w:val="clear" w:color="auto" w:fill="FFFFFF"/>
            <w:tcMar>
              <w:top w:w="0" w:type="dxa"/>
              <w:left w:w="85" w:type="dxa"/>
              <w:bottom w:w="0" w:type="dxa"/>
              <w:right w:w="85" w:type="dxa"/>
            </w:tcMar>
          </w:tcPr>
          <w:p w14:paraId="6E4DCB82" w14:textId="77777777" w:rsidR="006611EE" w:rsidRPr="00261B7A" w:rsidRDefault="006611EE" w:rsidP="000F09B5">
            <w:pPr>
              <w:pStyle w:val="TableText"/>
              <w:spacing w:before="40" w:after="40"/>
              <w:jc w:val="right"/>
              <w:rPr>
                <w:rFonts w:cstheme="minorHAnsi"/>
              </w:rPr>
            </w:pPr>
            <w:r w:rsidRPr="00261B7A">
              <w:rPr>
                <w:rFonts w:cstheme="minorHAnsi"/>
                <w:color w:val="000000"/>
              </w:rPr>
              <w:t>92.7</w:t>
            </w:r>
          </w:p>
        </w:tc>
      </w:tr>
      <w:tr w:rsidR="006611EE" w:rsidRPr="00261B7A" w14:paraId="33BBD8E5" w14:textId="77777777" w:rsidTr="000F09B5">
        <w:tc>
          <w:tcPr>
            <w:tcW w:w="907" w:type="dxa"/>
            <w:shd w:val="clear" w:color="auto" w:fill="FFFFFF"/>
            <w:tcMar>
              <w:top w:w="0" w:type="dxa"/>
              <w:left w:w="85" w:type="dxa"/>
              <w:bottom w:w="0" w:type="dxa"/>
              <w:right w:w="85" w:type="dxa"/>
            </w:tcMar>
          </w:tcPr>
          <w:p w14:paraId="473EFE5C" w14:textId="77777777" w:rsidR="006611EE" w:rsidRPr="00261B7A" w:rsidRDefault="006611EE" w:rsidP="000F09B5">
            <w:pPr>
              <w:pStyle w:val="TableText"/>
              <w:spacing w:before="40" w:after="40"/>
              <w:rPr>
                <w:rFonts w:cstheme="minorHAnsi"/>
              </w:rPr>
            </w:pPr>
            <w:r w:rsidRPr="00261B7A">
              <w:rPr>
                <w:rFonts w:cstheme="minorHAnsi"/>
                <w:color w:val="000000"/>
              </w:rPr>
              <w:t>1.A.2.e</w:t>
            </w:r>
          </w:p>
        </w:tc>
        <w:tc>
          <w:tcPr>
            <w:tcW w:w="2948" w:type="dxa"/>
            <w:shd w:val="clear" w:color="auto" w:fill="FFFFFF"/>
            <w:tcMar>
              <w:top w:w="0" w:type="dxa"/>
              <w:left w:w="85" w:type="dxa"/>
              <w:bottom w:w="0" w:type="dxa"/>
              <w:right w:w="85" w:type="dxa"/>
            </w:tcMar>
          </w:tcPr>
          <w:p w14:paraId="56B0EFC7" w14:textId="77777777" w:rsidR="006611EE" w:rsidRPr="00261B7A" w:rsidRDefault="006611EE" w:rsidP="000F09B5">
            <w:pPr>
              <w:pStyle w:val="TableText"/>
              <w:spacing w:before="40" w:after="40"/>
              <w:rPr>
                <w:rFonts w:cstheme="minorHAnsi"/>
              </w:rPr>
            </w:pPr>
            <w:r w:rsidRPr="00261B7A">
              <w:rPr>
                <w:rFonts w:cstheme="minorHAnsi"/>
                <w:color w:val="000000"/>
              </w:rPr>
              <w:t>Manufacturing Industries and Construction – Food Processing, Beverages and Tobacco Liquid Fuels</w:t>
            </w:r>
          </w:p>
        </w:tc>
        <w:tc>
          <w:tcPr>
            <w:tcW w:w="510" w:type="dxa"/>
            <w:shd w:val="clear" w:color="auto" w:fill="FFFFFF"/>
            <w:tcMar>
              <w:top w:w="0" w:type="dxa"/>
              <w:left w:w="85" w:type="dxa"/>
              <w:bottom w:w="0" w:type="dxa"/>
              <w:right w:w="85" w:type="dxa"/>
            </w:tcMar>
          </w:tcPr>
          <w:p w14:paraId="5CEB95C2"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54DD25F7" w14:textId="77777777" w:rsidR="006611EE" w:rsidRPr="00261B7A" w:rsidRDefault="006611EE" w:rsidP="000F09B5">
            <w:pPr>
              <w:pStyle w:val="TableText"/>
              <w:spacing w:before="40" w:after="40"/>
              <w:jc w:val="right"/>
              <w:rPr>
                <w:rFonts w:cstheme="minorHAnsi"/>
              </w:rPr>
            </w:pPr>
            <w:r w:rsidRPr="00261B7A">
              <w:rPr>
                <w:rFonts w:cstheme="minorHAnsi"/>
                <w:color w:val="000000"/>
              </w:rPr>
              <w:t>287.1</w:t>
            </w:r>
          </w:p>
        </w:tc>
        <w:tc>
          <w:tcPr>
            <w:tcW w:w="1021" w:type="dxa"/>
            <w:shd w:val="clear" w:color="auto" w:fill="FFFFFF"/>
            <w:tcMar>
              <w:top w:w="0" w:type="dxa"/>
              <w:left w:w="85" w:type="dxa"/>
              <w:bottom w:w="0" w:type="dxa"/>
              <w:right w:w="85" w:type="dxa"/>
            </w:tcMar>
          </w:tcPr>
          <w:p w14:paraId="4306638D" w14:textId="77777777" w:rsidR="006611EE" w:rsidRPr="00261B7A" w:rsidRDefault="006611EE" w:rsidP="000F09B5">
            <w:pPr>
              <w:pStyle w:val="TableText"/>
              <w:spacing w:before="40" w:after="40"/>
              <w:jc w:val="right"/>
              <w:rPr>
                <w:rFonts w:cstheme="minorHAnsi"/>
              </w:rPr>
            </w:pPr>
            <w:r w:rsidRPr="00261B7A">
              <w:rPr>
                <w:rFonts w:cstheme="minorHAnsi"/>
                <w:color w:val="000000"/>
              </w:rPr>
              <w:t>0.4</w:t>
            </w:r>
          </w:p>
        </w:tc>
        <w:tc>
          <w:tcPr>
            <w:tcW w:w="907" w:type="dxa"/>
            <w:shd w:val="clear" w:color="auto" w:fill="FFFFFF"/>
            <w:tcMar>
              <w:top w:w="0" w:type="dxa"/>
              <w:left w:w="85" w:type="dxa"/>
              <w:bottom w:w="0" w:type="dxa"/>
              <w:right w:w="85" w:type="dxa"/>
            </w:tcMar>
          </w:tcPr>
          <w:p w14:paraId="6725E47F" w14:textId="77777777" w:rsidR="006611EE" w:rsidRPr="00261B7A" w:rsidRDefault="006611EE" w:rsidP="000F09B5">
            <w:pPr>
              <w:pStyle w:val="TableText"/>
              <w:spacing w:before="40" w:after="40"/>
              <w:jc w:val="right"/>
              <w:rPr>
                <w:rFonts w:cstheme="minorHAnsi"/>
              </w:rPr>
            </w:pPr>
            <w:r w:rsidRPr="00261B7A">
              <w:rPr>
                <w:rFonts w:cstheme="minorHAnsi"/>
                <w:color w:val="000000"/>
              </w:rPr>
              <w:t>93.1</w:t>
            </w:r>
          </w:p>
        </w:tc>
      </w:tr>
      <w:tr w:rsidR="006611EE" w:rsidRPr="00261B7A" w14:paraId="359FA77C" w14:textId="77777777" w:rsidTr="000F09B5">
        <w:tc>
          <w:tcPr>
            <w:tcW w:w="907" w:type="dxa"/>
            <w:shd w:val="clear" w:color="auto" w:fill="FFFFFF"/>
            <w:tcMar>
              <w:top w:w="0" w:type="dxa"/>
              <w:left w:w="85" w:type="dxa"/>
              <w:bottom w:w="0" w:type="dxa"/>
              <w:right w:w="85" w:type="dxa"/>
            </w:tcMar>
          </w:tcPr>
          <w:p w14:paraId="487C8D3A" w14:textId="77777777" w:rsidR="006611EE" w:rsidRPr="00261B7A" w:rsidRDefault="006611EE" w:rsidP="000F09B5">
            <w:pPr>
              <w:pStyle w:val="TableText"/>
              <w:spacing w:before="40" w:after="40"/>
              <w:rPr>
                <w:rFonts w:cstheme="minorHAnsi"/>
              </w:rPr>
            </w:pPr>
            <w:r w:rsidRPr="00261B7A">
              <w:rPr>
                <w:rFonts w:cstheme="minorHAnsi"/>
                <w:color w:val="000000"/>
              </w:rPr>
              <w:t>5.D</w:t>
            </w:r>
          </w:p>
        </w:tc>
        <w:tc>
          <w:tcPr>
            <w:tcW w:w="2948" w:type="dxa"/>
            <w:shd w:val="clear" w:color="auto" w:fill="FFFFFF"/>
            <w:tcMar>
              <w:top w:w="0" w:type="dxa"/>
              <w:left w:w="85" w:type="dxa"/>
              <w:bottom w:w="0" w:type="dxa"/>
              <w:right w:w="85" w:type="dxa"/>
            </w:tcMar>
          </w:tcPr>
          <w:p w14:paraId="6D42C136" w14:textId="77777777" w:rsidR="006611EE" w:rsidRPr="00261B7A" w:rsidRDefault="006611EE" w:rsidP="000F09B5">
            <w:pPr>
              <w:pStyle w:val="TableText"/>
              <w:spacing w:before="40" w:after="40"/>
              <w:rPr>
                <w:rFonts w:cstheme="minorHAnsi"/>
              </w:rPr>
            </w:pPr>
            <w:r w:rsidRPr="00261B7A">
              <w:rPr>
                <w:rFonts w:cstheme="minorHAnsi"/>
                <w:color w:val="000000"/>
              </w:rPr>
              <w:t>Waste – Wastewater Treatment and Discharge</w:t>
            </w:r>
          </w:p>
        </w:tc>
        <w:tc>
          <w:tcPr>
            <w:tcW w:w="510" w:type="dxa"/>
            <w:shd w:val="clear" w:color="auto" w:fill="FFFFFF"/>
            <w:tcMar>
              <w:top w:w="0" w:type="dxa"/>
              <w:left w:w="85" w:type="dxa"/>
              <w:bottom w:w="0" w:type="dxa"/>
              <w:right w:w="85" w:type="dxa"/>
            </w:tcMar>
          </w:tcPr>
          <w:p w14:paraId="34FB17F9"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964" w:type="dxa"/>
            <w:shd w:val="clear" w:color="auto" w:fill="FFFFFF"/>
            <w:tcMar>
              <w:top w:w="0" w:type="dxa"/>
              <w:left w:w="85" w:type="dxa"/>
              <w:bottom w:w="0" w:type="dxa"/>
              <w:right w:w="85" w:type="dxa"/>
            </w:tcMar>
          </w:tcPr>
          <w:p w14:paraId="1FD37FE7" w14:textId="77777777" w:rsidR="006611EE" w:rsidRPr="00261B7A" w:rsidRDefault="006611EE" w:rsidP="000F09B5">
            <w:pPr>
              <w:pStyle w:val="TableText"/>
              <w:spacing w:before="40" w:after="40"/>
              <w:jc w:val="right"/>
              <w:rPr>
                <w:rFonts w:cstheme="minorHAnsi"/>
              </w:rPr>
            </w:pPr>
            <w:r w:rsidRPr="00261B7A">
              <w:rPr>
                <w:rFonts w:cstheme="minorHAnsi"/>
                <w:color w:val="000000"/>
              </w:rPr>
              <w:t>256.9</w:t>
            </w:r>
          </w:p>
        </w:tc>
        <w:tc>
          <w:tcPr>
            <w:tcW w:w="1021" w:type="dxa"/>
            <w:shd w:val="clear" w:color="auto" w:fill="FFFFFF"/>
            <w:tcMar>
              <w:top w:w="0" w:type="dxa"/>
              <w:left w:w="85" w:type="dxa"/>
              <w:bottom w:w="0" w:type="dxa"/>
              <w:right w:w="85" w:type="dxa"/>
            </w:tcMar>
          </w:tcPr>
          <w:p w14:paraId="0FDE8F99"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907" w:type="dxa"/>
            <w:shd w:val="clear" w:color="auto" w:fill="FFFFFF"/>
            <w:tcMar>
              <w:top w:w="0" w:type="dxa"/>
              <w:left w:w="85" w:type="dxa"/>
              <w:bottom w:w="0" w:type="dxa"/>
              <w:right w:w="85" w:type="dxa"/>
            </w:tcMar>
          </w:tcPr>
          <w:p w14:paraId="6837896A" w14:textId="77777777" w:rsidR="006611EE" w:rsidRPr="00261B7A" w:rsidRDefault="006611EE" w:rsidP="000F09B5">
            <w:pPr>
              <w:pStyle w:val="TableText"/>
              <w:spacing w:before="40" w:after="40"/>
              <w:jc w:val="right"/>
              <w:rPr>
                <w:rFonts w:cstheme="minorHAnsi"/>
              </w:rPr>
            </w:pPr>
            <w:r w:rsidRPr="00261B7A">
              <w:rPr>
                <w:rFonts w:cstheme="minorHAnsi"/>
                <w:color w:val="000000"/>
              </w:rPr>
              <w:t>93.4</w:t>
            </w:r>
          </w:p>
        </w:tc>
      </w:tr>
      <w:tr w:rsidR="006611EE" w:rsidRPr="00261B7A" w14:paraId="249DF270" w14:textId="77777777" w:rsidTr="000F09B5">
        <w:tc>
          <w:tcPr>
            <w:tcW w:w="907" w:type="dxa"/>
            <w:shd w:val="clear" w:color="auto" w:fill="FFFFFF"/>
            <w:tcMar>
              <w:top w:w="0" w:type="dxa"/>
              <w:left w:w="85" w:type="dxa"/>
              <w:bottom w:w="0" w:type="dxa"/>
              <w:right w:w="85" w:type="dxa"/>
            </w:tcMar>
          </w:tcPr>
          <w:p w14:paraId="48E9232D" w14:textId="77777777" w:rsidR="006611EE" w:rsidRPr="00261B7A" w:rsidRDefault="006611EE" w:rsidP="000F09B5">
            <w:pPr>
              <w:pStyle w:val="TableText"/>
              <w:spacing w:before="40" w:after="40"/>
              <w:rPr>
                <w:rFonts w:cstheme="minorHAnsi"/>
              </w:rPr>
            </w:pPr>
            <w:r w:rsidRPr="00261B7A">
              <w:rPr>
                <w:rFonts w:cstheme="minorHAnsi"/>
                <w:color w:val="000000"/>
              </w:rPr>
              <w:t>3.D.1.4</w:t>
            </w:r>
          </w:p>
        </w:tc>
        <w:tc>
          <w:tcPr>
            <w:tcW w:w="2948" w:type="dxa"/>
            <w:shd w:val="clear" w:color="auto" w:fill="FFFFFF"/>
            <w:tcMar>
              <w:top w:w="0" w:type="dxa"/>
              <w:left w:w="85" w:type="dxa"/>
              <w:bottom w:w="0" w:type="dxa"/>
              <w:right w:w="85" w:type="dxa"/>
            </w:tcMar>
          </w:tcPr>
          <w:p w14:paraId="32F75B1A" w14:textId="77777777" w:rsidR="006611EE" w:rsidRPr="00261B7A" w:rsidRDefault="006611EE" w:rsidP="000F09B5">
            <w:pPr>
              <w:pStyle w:val="TableText"/>
              <w:spacing w:before="40" w:after="40"/>
              <w:rPr>
                <w:rFonts w:cstheme="minorHAnsi"/>
              </w:rPr>
            </w:pPr>
            <w:r w:rsidRPr="00261B7A">
              <w:rPr>
                <w:rFonts w:cstheme="minorHAnsi"/>
                <w:color w:val="000000"/>
              </w:rPr>
              <w:t>Direct N</w:t>
            </w:r>
            <w:r w:rsidRPr="00261B7A">
              <w:rPr>
                <w:rFonts w:cstheme="minorHAnsi"/>
                <w:color w:val="000000"/>
                <w:vertAlign w:val="subscript"/>
              </w:rPr>
              <w:t>2</w:t>
            </w:r>
            <w:r w:rsidRPr="00261B7A">
              <w:rPr>
                <w:rFonts w:cstheme="minorHAnsi"/>
                <w:color w:val="000000"/>
              </w:rPr>
              <w:t>O Emissions From Managed Soils – Crop Residues</w:t>
            </w:r>
          </w:p>
        </w:tc>
        <w:tc>
          <w:tcPr>
            <w:tcW w:w="510" w:type="dxa"/>
            <w:shd w:val="clear" w:color="auto" w:fill="FFFFFF"/>
            <w:tcMar>
              <w:top w:w="0" w:type="dxa"/>
              <w:left w:w="85" w:type="dxa"/>
              <w:bottom w:w="0" w:type="dxa"/>
              <w:right w:w="85" w:type="dxa"/>
            </w:tcMar>
          </w:tcPr>
          <w:p w14:paraId="566EC18C" w14:textId="77777777" w:rsidR="006611EE" w:rsidRPr="00261B7A" w:rsidRDefault="006611EE" w:rsidP="000F09B5">
            <w:pPr>
              <w:pStyle w:val="TableText"/>
              <w:spacing w:before="40" w:after="40"/>
              <w:jc w:val="center"/>
              <w:rPr>
                <w:rFonts w:cstheme="minorHAnsi"/>
              </w:rPr>
            </w:pPr>
            <w:r w:rsidRPr="00261B7A">
              <w:rPr>
                <w:rFonts w:cstheme="minorHAnsi"/>
                <w:color w:val="000000"/>
              </w:rPr>
              <w:t>N</w:t>
            </w:r>
            <w:r w:rsidRPr="00261B7A">
              <w:rPr>
                <w:rFonts w:asciiTheme="minorHAnsi" w:hAnsiTheme="minorHAnsi" w:cstheme="minorHAnsi"/>
                <w:vertAlign w:val="subscript"/>
              </w:rPr>
              <w:t>2</w:t>
            </w:r>
            <w:r w:rsidRPr="00261B7A">
              <w:rPr>
                <w:rFonts w:asciiTheme="minorHAnsi" w:hAnsiTheme="minorHAnsi" w:cstheme="minorHAnsi"/>
              </w:rPr>
              <w:t>O</w:t>
            </w:r>
          </w:p>
        </w:tc>
        <w:tc>
          <w:tcPr>
            <w:tcW w:w="964" w:type="dxa"/>
            <w:shd w:val="clear" w:color="auto" w:fill="FFFFFF"/>
            <w:tcMar>
              <w:top w:w="0" w:type="dxa"/>
              <w:left w:w="85" w:type="dxa"/>
              <w:bottom w:w="0" w:type="dxa"/>
              <w:right w:w="85" w:type="dxa"/>
            </w:tcMar>
          </w:tcPr>
          <w:p w14:paraId="7203EE2D" w14:textId="77777777" w:rsidR="006611EE" w:rsidRPr="00261B7A" w:rsidRDefault="006611EE" w:rsidP="000F09B5">
            <w:pPr>
              <w:pStyle w:val="TableText"/>
              <w:spacing w:before="40" w:after="40"/>
              <w:jc w:val="right"/>
              <w:rPr>
                <w:rFonts w:cstheme="minorHAnsi"/>
              </w:rPr>
            </w:pPr>
            <w:r w:rsidRPr="00261B7A">
              <w:rPr>
                <w:rFonts w:cstheme="minorHAnsi"/>
                <w:color w:val="000000"/>
              </w:rPr>
              <w:t>255.7</w:t>
            </w:r>
          </w:p>
        </w:tc>
        <w:tc>
          <w:tcPr>
            <w:tcW w:w="1021" w:type="dxa"/>
            <w:shd w:val="clear" w:color="auto" w:fill="FFFFFF"/>
            <w:tcMar>
              <w:top w:w="0" w:type="dxa"/>
              <w:left w:w="85" w:type="dxa"/>
              <w:bottom w:w="0" w:type="dxa"/>
              <w:right w:w="85" w:type="dxa"/>
            </w:tcMar>
          </w:tcPr>
          <w:p w14:paraId="1BD517C8"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907" w:type="dxa"/>
            <w:shd w:val="clear" w:color="auto" w:fill="FFFFFF"/>
            <w:tcMar>
              <w:top w:w="0" w:type="dxa"/>
              <w:left w:w="85" w:type="dxa"/>
              <w:bottom w:w="0" w:type="dxa"/>
              <w:right w:w="85" w:type="dxa"/>
            </w:tcMar>
          </w:tcPr>
          <w:p w14:paraId="58FE08A1" w14:textId="77777777" w:rsidR="006611EE" w:rsidRPr="00261B7A" w:rsidRDefault="006611EE" w:rsidP="000F09B5">
            <w:pPr>
              <w:pStyle w:val="TableText"/>
              <w:spacing w:before="40" w:after="40"/>
              <w:jc w:val="right"/>
              <w:rPr>
                <w:rFonts w:cstheme="minorHAnsi"/>
              </w:rPr>
            </w:pPr>
            <w:r w:rsidRPr="00261B7A">
              <w:rPr>
                <w:rFonts w:cstheme="minorHAnsi"/>
                <w:color w:val="000000"/>
              </w:rPr>
              <w:t>93.7</w:t>
            </w:r>
          </w:p>
        </w:tc>
      </w:tr>
      <w:tr w:rsidR="006611EE" w:rsidRPr="00261B7A" w14:paraId="3BE8C4A3" w14:textId="77777777" w:rsidTr="000F09B5">
        <w:tc>
          <w:tcPr>
            <w:tcW w:w="907" w:type="dxa"/>
            <w:shd w:val="clear" w:color="auto" w:fill="FFFFFF"/>
            <w:tcMar>
              <w:top w:w="0" w:type="dxa"/>
              <w:left w:w="85" w:type="dxa"/>
              <w:bottom w:w="0" w:type="dxa"/>
              <w:right w:w="85" w:type="dxa"/>
            </w:tcMar>
          </w:tcPr>
          <w:p w14:paraId="5A6A8662" w14:textId="77777777" w:rsidR="006611EE" w:rsidRPr="00261B7A" w:rsidRDefault="006611EE" w:rsidP="000F09B5">
            <w:pPr>
              <w:pStyle w:val="TableText"/>
              <w:spacing w:before="40" w:after="40"/>
              <w:rPr>
                <w:rFonts w:cstheme="minorHAnsi"/>
              </w:rPr>
            </w:pPr>
            <w:r w:rsidRPr="00261B7A">
              <w:rPr>
                <w:rFonts w:cstheme="minorHAnsi"/>
                <w:color w:val="000000"/>
              </w:rPr>
              <w:t>1.A.1.c</w:t>
            </w:r>
          </w:p>
        </w:tc>
        <w:tc>
          <w:tcPr>
            <w:tcW w:w="2948" w:type="dxa"/>
            <w:shd w:val="clear" w:color="auto" w:fill="FFFFFF"/>
            <w:tcMar>
              <w:top w:w="0" w:type="dxa"/>
              <w:left w:w="85" w:type="dxa"/>
              <w:bottom w:w="0" w:type="dxa"/>
              <w:right w:w="85" w:type="dxa"/>
            </w:tcMar>
          </w:tcPr>
          <w:p w14:paraId="43B23352" w14:textId="77777777" w:rsidR="006611EE" w:rsidRPr="00261B7A" w:rsidRDefault="006611EE" w:rsidP="000F09B5">
            <w:pPr>
              <w:pStyle w:val="TableText"/>
              <w:spacing w:before="40" w:after="40"/>
              <w:rPr>
                <w:rFonts w:cstheme="minorHAnsi"/>
              </w:rPr>
            </w:pPr>
            <w:r w:rsidRPr="00261B7A">
              <w:rPr>
                <w:rFonts w:cstheme="minorHAnsi"/>
                <w:color w:val="000000"/>
              </w:rPr>
              <w:t>Energy Industries – Manufacture of Solid Fuels and Other Energy Industries Gaseous Fuels</w:t>
            </w:r>
          </w:p>
        </w:tc>
        <w:tc>
          <w:tcPr>
            <w:tcW w:w="510" w:type="dxa"/>
            <w:shd w:val="clear" w:color="auto" w:fill="FFFFFF"/>
            <w:tcMar>
              <w:top w:w="0" w:type="dxa"/>
              <w:left w:w="85" w:type="dxa"/>
              <w:bottom w:w="0" w:type="dxa"/>
              <w:right w:w="85" w:type="dxa"/>
            </w:tcMar>
          </w:tcPr>
          <w:p w14:paraId="2667A2D6"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70DEC19B" w14:textId="77777777" w:rsidR="006611EE" w:rsidRPr="00261B7A" w:rsidRDefault="006611EE" w:rsidP="000F09B5">
            <w:pPr>
              <w:pStyle w:val="TableText"/>
              <w:spacing w:before="40" w:after="40"/>
              <w:jc w:val="right"/>
              <w:rPr>
                <w:rFonts w:cstheme="minorHAnsi"/>
              </w:rPr>
            </w:pPr>
            <w:r w:rsidRPr="00261B7A">
              <w:rPr>
                <w:rFonts w:cstheme="minorHAnsi"/>
                <w:color w:val="000000"/>
              </w:rPr>
              <w:t>240.4</w:t>
            </w:r>
          </w:p>
        </w:tc>
        <w:tc>
          <w:tcPr>
            <w:tcW w:w="1021" w:type="dxa"/>
            <w:shd w:val="clear" w:color="auto" w:fill="FFFFFF"/>
            <w:tcMar>
              <w:top w:w="0" w:type="dxa"/>
              <w:left w:w="85" w:type="dxa"/>
              <w:bottom w:w="0" w:type="dxa"/>
              <w:right w:w="85" w:type="dxa"/>
            </w:tcMar>
          </w:tcPr>
          <w:p w14:paraId="2CB65DA8"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907" w:type="dxa"/>
            <w:shd w:val="clear" w:color="auto" w:fill="FFFFFF"/>
            <w:tcMar>
              <w:top w:w="0" w:type="dxa"/>
              <w:left w:w="85" w:type="dxa"/>
              <w:bottom w:w="0" w:type="dxa"/>
              <w:right w:w="85" w:type="dxa"/>
            </w:tcMar>
          </w:tcPr>
          <w:p w14:paraId="6B33C3BB" w14:textId="77777777" w:rsidR="006611EE" w:rsidRPr="00261B7A" w:rsidRDefault="006611EE" w:rsidP="000F09B5">
            <w:pPr>
              <w:pStyle w:val="TableText"/>
              <w:spacing w:before="40" w:after="40"/>
              <w:jc w:val="right"/>
              <w:rPr>
                <w:rFonts w:cstheme="minorHAnsi"/>
              </w:rPr>
            </w:pPr>
            <w:r w:rsidRPr="00261B7A">
              <w:rPr>
                <w:rFonts w:cstheme="minorHAnsi"/>
                <w:color w:val="000000"/>
              </w:rPr>
              <w:t>94.0</w:t>
            </w:r>
          </w:p>
        </w:tc>
      </w:tr>
      <w:tr w:rsidR="006611EE" w:rsidRPr="00261B7A" w14:paraId="7903EB28" w14:textId="77777777" w:rsidTr="000F09B5">
        <w:tc>
          <w:tcPr>
            <w:tcW w:w="907" w:type="dxa"/>
            <w:shd w:val="clear" w:color="auto" w:fill="FFFFFF"/>
            <w:tcMar>
              <w:top w:w="0" w:type="dxa"/>
              <w:left w:w="85" w:type="dxa"/>
              <w:bottom w:w="0" w:type="dxa"/>
              <w:right w:w="85" w:type="dxa"/>
            </w:tcMar>
          </w:tcPr>
          <w:p w14:paraId="6BCC63AD" w14:textId="77777777" w:rsidR="006611EE" w:rsidRPr="00261B7A" w:rsidRDefault="006611EE" w:rsidP="000F09B5">
            <w:pPr>
              <w:pStyle w:val="TableText"/>
              <w:spacing w:before="40" w:after="40"/>
              <w:rPr>
                <w:rFonts w:cstheme="minorHAnsi"/>
              </w:rPr>
            </w:pPr>
            <w:r w:rsidRPr="00261B7A">
              <w:rPr>
                <w:rFonts w:cstheme="minorHAnsi"/>
                <w:color w:val="000000"/>
              </w:rPr>
              <w:t>1.B.2.c.1.ii</w:t>
            </w:r>
          </w:p>
        </w:tc>
        <w:tc>
          <w:tcPr>
            <w:tcW w:w="2948" w:type="dxa"/>
            <w:shd w:val="clear" w:color="auto" w:fill="FFFFFF"/>
            <w:tcMar>
              <w:top w:w="0" w:type="dxa"/>
              <w:left w:w="85" w:type="dxa"/>
              <w:bottom w:w="0" w:type="dxa"/>
              <w:right w:w="85" w:type="dxa"/>
            </w:tcMar>
          </w:tcPr>
          <w:p w14:paraId="1B18C21C" w14:textId="77777777" w:rsidR="006611EE" w:rsidRPr="00261B7A" w:rsidRDefault="006611EE" w:rsidP="000F09B5">
            <w:pPr>
              <w:pStyle w:val="TableText"/>
              <w:spacing w:before="40" w:after="40"/>
              <w:rPr>
                <w:rFonts w:cstheme="minorHAnsi"/>
              </w:rPr>
            </w:pPr>
            <w:r w:rsidRPr="00261B7A">
              <w:rPr>
                <w:rFonts w:cstheme="minorHAnsi"/>
                <w:color w:val="000000"/>
              </w:rPr>
              <w:t>Venting – Gas</w:t>
            </w:r>
          </w:p>
        </w:tc>
        <w:tc>
          <w:tcPr>
            <w:tcW w:w="510" w:type="dxa"/>
            <w:shd w:val="clear" w:color="auto" w:fill="FFFFFF"/>
            <w:tcMar>
              <w:top w:w="0" w:type="dxa"/>
              <w:left w:w="85" w:type="dxa"/>
              <w:bottom w:w="0" w:type="dxa"/>
              <w:right w:w="85" w:type="dxa"/>
            </w:tcMar>
          </w:tcPr>
          <w:p w14:paraId="1FDB7322"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40DC935A" w14:textId="77777777" w:rsidR="006611EE" w:rsidRPr="00261B7A" w:rsidRDefault="006611EE" w:rsidP="000F09B5">
            <w:pPr>
              <w:pStyle w:val="TableText"/>
              <w:spacing w:before="40" w:after="40"/>
              <w:jc w:val="right"/>
              <w:rPr>
                <w:rFonts w:cstheme="minorHAnsi"/>
              </w:rPr>
            </w:pPr>
            <w:r w:rsidRPr="00261B7A">
              <w:rPr>
                <w:rFonts w:cstheme="minorHAnsi"/>
                <w:color w:val="000000"/>
              </w:rPr>
              <w:t>234.2</w:t>
            </w:r>
          </w:p>
        </w:tc>
        <w:tc>
          <w:tcPr>
            <w:tcW w:w="1021" w:type="dxa"/>
            <w:shd w:val="clear" w:color="auto" w:fill="FFFFFF"/>
            <w:tcMar>
              <w:top w:w="0" w:type="dxa"/>
              <w:left w:w="85" w:type="dxa"/>
              <w:bottom w:w="0" w:type="dxa"/>
              <w:right w:w="85" w:type="dxa"/>
            </w:tcMar>
          </w:tcPr>
          <w:p w14:paraId="690DBFC8"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907" w:type="dxa"/>
            <w:shd w:val="clear" w:color="auto" w:fill="FFFFFF"/>
            <w:tcMar>
              <w:top w:w="0" w:type="dxa"/>
              <w:left w:w="85" w:type="dxa"/>
              <w:bottom w:w="0" w:type="dxa"/>
              <w:right w:w="85" w:type="dxa"/>
            </w:tcMar>
          </w:tcPr>
          <w:p w14:paraId="4F833E90" w14:textId="77777777" w:rsidR="006611EE" w:rsidRPr="00261B7A" w:rsidRDefault="006611EE" w:rsidP="000F09B5">
            <w:pPr>
              <w:pStyle w:val="TableText"/>
              <w:spacing w:before="40" w:after="40"/>
              <w:jc w:val="right"/>
              <w:rPr>
                <w:rFonts w:cstheme="minorHAnsi"/>
              </w:rPr>
            </w:pPr>
            <w:r w:rsidRPr="00261B7A">
              <w:rPr>
                <w:rFonts w:cstheme="minorHAnsi"/>
                <w:color w:val="000000"/>
              </w:rPr>
              <w:t>94.4</w:t>
            </w:r>
          </w:p>
        </w:tc>
      </w:tr>
      <w:tr w:rsidR="006611EE" w:rsidRPr="00261B7A" w14:paraId="685E1FA7" w14:textId="77777777" w:rsidTr="000F09B5">
        <w:tc>
          <w:tcPr>
            <w:tcW w:w="907" w:type="dxa"/>
            <w:shd w:val="clear" w:color="auto" w:fill="FFFFFF"/>
            <w:tcMar>
              <w:top w:w="0" w:type="dxa"/>
              <w:left w:w="85" w:type="dxa"/>
              <w:bottom w:w="0" w:type="dxa"/>
              <w:right w:w="85" w:type="dxa"/>
            </w:tcMar>
          </w:tcPr>
          <w:p w14:paraId="26615D5C" w14:textId="77777777" w:rsidR="006611EE" w:rsidRPr="00261B7A" w:rsidRDefault="006611EE" w:rsidP="000F09B5">
            <w:pPr>
              <w:pStyle w:val="TableText"/>
              <w:spacing w:before="40" w:after="40"/>
              <w:rPr>
                <w:rFonts w:cstheme="minorHAnsi"/>
              </w:rPr>
            </w:pPr>
            <w:r w:rsidRPr="00261B7A">
              <w:rPr>
                <w:rFonts w:cstheme="minorHAnsi"/>
                <w:color w:val="000000"/>
              </w:rPr>
              <w:t>1.A.2.g.viii</w:t>
            </w:r>
          </w:p>
        </w:tc>
        <w:tc>
          <w:tcPr>
            <w:tcW w:w="2948" w:type="dxa"/>
            <w:shd w:val="clear" w:color="auto" w:fill="FFFFFF"/>
            <w:tcMar>
              <w:top w:w="0" w:type="dxa"/>
              <w:left w:w="85" w:type="dxa"/>
              <w:bottom w:w="0" w:type="dxa"/>
              <w:right w:w="85" w:type="dxa"/>
            </w:tcMar>
          </w:tcPr>
          <w:p w14:paraId="004767C5" w14:textId="77777777" w:rsidR="006611EE" w:rsidRPr="00261B7A" w:rsidRDefault="006611EE" w:rsidP="000F09B5">
            <w:pPr>
              <w:pStyle w:val="TableText"/>
              <w:spacing w:before="40" w:after="40"/>
              <w:rPr>
                <w:rFonts w:cstheme="minorHAnsi"/>
              </w:rPr>
            </w:pPr>
            <w:r w:rsidRPr="00261B7A">
              <w:rPr>
                <w:rFonts w:cstheme="minorHAnsi"/>
                <w:color w:val="000000"/>
              </w:rPr>
              <w:t>Other (please specify) – Other (please specify) Liquid Fuels</w:t>
            </w:r>
          </w:p>
        </w:tc>
        <w:tc>
          <w:tcPr>
            <w:tcW w:w="510" w:type="dxa"/>
            <w:shd w:val="clear" w:color="auto" w:fill="FFFFFF"/>
            <w:tcMar>
              <w:top w:w="0" w:type="dxa"/>
              <w:left w:w="85" w:type="dxa"/>
              <w:bottom w:w="0" w:type="dxa"/>
              <w:right w:w="85" w:type="dxa"/>
            </w:tcMar>
          </w:tcPr>
          <w:p w14:paraId="4E649FC5"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0552330B" w14:textId="77777777" w:rsidR="006611EE" w:rsidRPr="00261B7A" w:rsidRDefault="006611EE" w:rsidP="000F09B5">
            <w:pPr>
              <w:pStyle w:val="TableText"/>
              <w:spacing w:before="40" w:after="40"/>
              <w:jc w:val="right"/>
              <w:rPr>
                <w:rFonts w:cstheme="minorHAnsi"/>
              </w:rPr>
            </w:pPr>
            <w:r w:rsidRPr="00261B7A">
              <w:rPr>
                <w:rFonts w:cstheme="minorHAnsi"/>
                <w:color w:val="000000"/>
              </w:rPr>
              <w:t>221.0</w:t>
            </w:r>
          </w:p>
        </w:tc>
        <w:tc>
          <w:tcPr>
            <w:tcW w:w="1021" w:type="dxa"/>
            <w:shd w:val="clear" w:color="auto" w:fill="FFFFFF"/>
            <w:tcMar>
              <w:top w:w="0" w:type="dxa"/>
              <w:left w:w="85" w:type="dxa"/>
              <w:bottom w:w="0" w:type="dxa"/>
              <w:right w:w="85" w:type="dxa"/>
            </w:tcMar>
          </w:tcPr>
          <w:p w14:paraId="3D7CF321"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907" w:type="dxa"/>
            <w:shd w:val="clear" w:color="auto" w:fill="FFFFFF"/>
            <w:tcMar>
              <w:top w:w="0" w:type="dxa"/>
              <w:left w:w="85" w:type="dxa"/>
              <w:bottom w:w="0" w:type="dxa"/>
              <w:right w:w="85" w:type="dxa"/>
            </w:tcMar>
          </w:tcPr>
          <w:p w14:paraId="7D88136C" w14:textId="77777777" w:rsidR="006611EE" w:rsidRPr="00261B7A" w:rsidRDefault="006611EE" w:rsidP="000F09B5">
            <w:pPr>
              <w:pStyle w:val="TableText"/>
              <w:spacing w:before="40" w:after="40"/>
              <w:jc w:val="right"/>
              <w:rPr>
                <w:rFonts w:cstheme="minorHAnsi"/>
              </w:rPr>
            </w:pPr>
            <w:r w:rsidRPr="00261B7A">
              <w:rPr>
                <w:rFonts w:cstheme="minorHAnsi"/>
                <w:color w:val="000000"/>
              </w:rPr>
              <w:t>94.6</w:t>
            </w:r>
          </w:p>
        </w:tc>
      </w:tr>
      <w:tr w:rsidR="006611EE" w:rsidRPr="00261B7A" w14:paraId="2E8AB921" w14:textId="77777777" w:rsidTr="000F09B5">
        <w:tc>
          <w:tcPr>
            <w:tcW w:w="907" w:type="dxa"/>
            <w:shd w:val="clear" w:color="auto" w:fill="FFFFFF"/>
            <w:tcMar>
              <w:top w:w="0" w:type="dxa"/>
              <w:left w:w="85" w:type="dxa"/>
              <w:bottom w:w="0" w:type="dxa"/>
              <w:right w:w="85" w:type="dxa"/>
            </w:tcMar>
          </w:tcPr>
          <w:p w14:paraId="7DF12899" w14:textId="77777777" w:rsidR="006611EE" w:rsidRPr="00261B7A" w:rsidRDefault="006611EE" w:rsidP="000F09B5">
            <w:pPr>
              <w:pStyle w:val="TableText"/>
              <w:spacing w:before="40" w:after="40"/>
              <w:rPr>
                <w:rFonts w:cstheme="minorHAnsi"/>
              </w:rPr>
            </w:pPr>
            <w:r w:rsidRPr="00261B7A">
              <w:rPr>
                <w:rFonts w:cstheme="minorHAnsi"/>
                <w:color w:val="000000"/>
              </w:rPr>
              <w:t>1.A.3.d</w:t>
            </w:r>
          </w:p>
        </w:tc>
        <w:tc>
          <w:tcPr>
            <w:tcW w:w="2948" w:type="dxa"/>
            <w:shd w:val="clear" w:color="auto" w:fill="FFFFFF"/>
            <w:tcMar>
              <w:top w:w="0" w:type="dxa"/>
              <w:left w:w="85" w:type="dxa"/>
              <w:bottom w:w="0" w:type="dxa"/>
              <w:right w:w="85" w:type="dxa"/>
            </w:tcMar>
          </w:tcPr>
          <w:p w14:paraId="27AF7B1B" w14:textId="77777777" w:rsidR="006611EE" w:rsidRPr="00261B7A" w:rsidRDefault="006611EE" w:rsidP="000F09B5">
            <w:pPr>
              <w:pStyle w:val="TableText"/>
              <w:spacing w:before="40" w:after="40"/>
              <w:rPr>
                <w:rFonts w:cstheme="minorHAnsi"/>
              </w:rPr>
            </w:pPr>
            <w:r w:rsidRPr="00261B7A">
              <w:rPr>
                <w:rFonts w:cstheme="minorHAnsi"/>
                <w:color w:val="000000"/>
              </w:rPr>
              <w:t>Domestic Navigation – Residual Fuel Oil</w:t>
            </w:r>
          </w:p>
        </w:tc>
        <w:tc>
          <w:tcPr>
            <w:tcW w:w="510" w:type="dxa"/>
            <w:shd w:val="clear" w:color="auto" w:fill="FFFFFF"/>
            <w:tcMar>
              <w:top w:w="0" w:type="dxa"/>
              <w:left w:w="85" w:type="dxa"/>
              <w:bottom w:w="0" w:type="dxa"/>
              <w:right w:w="85" w:type="dxa"/>
            </w:tcMar>
          </w:tcPr>
          <w:p w14:paraId="121288AA"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6C118AAB" w14:textId="77777777" w:rsidR="006611EE" w:rsidRPr="00261B7A" w:rsidRDefault="006611EE" w:rsidP="000F09B5">
            <w:pPr>
              <w:pStyle w:val="TableText"/>
              <w:spacing w:before="40" w:after="40"/>
              <w:jc w:val="right"/>
              <w:rPr>
                <w:rFonts w:cstheme="minorHAnsi"/>
              </w:rPr>
            </w:pPr>
            <w:r w:rsidRPr="00261B7A">
              <w:rPr>
                <w:rFonts w:cstheme="minorHAnsi"/>
                <w:color w:val="000000"/>
              </w:rPr>
              <w:t>201.3</w:t>
            </w:r>
          </w:p>
        </w:tc>
        <w:tc>
          <w:tcPr>
            <w:tcW w:w="1021" w:type="dxa"/>
            <w:shd w:val="clear" w:color="auto" w:fill="FFFFFF"/>
            <w:tcMar>
              <w:top w:w="0" w:type="dxa"/>
              <w:left w:w="85" w:type="dxa"/>
              <w:bottom w:w="0" w:type="dxa"/>
              <w:right w:w="85" w:type="dxa"/>
            </w:tcMar>
          </w:tcPr>
          <w:p w14:paraId="7801A2B3"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907" w:type="dxa"/>
            <w:shd w:val="clear" w:color="auto" w:fill="FFFFFF"/>
            <w:tcMar>
              <w:top w:w="0" w:type="dxa"/>
              <w:left w:w="85" w:type="dxa"/>
              <w:bottom w:w="0" w:type="dxa"/>
              <w:right w:w="85" w:type="dxa"/>
            </w:tcMar>
          </w:tcPr>
          <w:p w14:paraId="71CBB279" w14:textId="77777777" w:rsidR="006611EE" w:rsidRPr="00261B7A" w:rsidRDefault="006611EE" w:rsidP="000F09B5">
            <w:pPr>
              <w:pStyle w:val="TableText"/>
              <w:spacing w:before="40" w:after="40"/>
              <w:jc w:val="right"/>
              <w:rPr>
                <w:rFonts w:cstheme="minorHAnsi"/>
              </w:rPr>
            </w:pPr>
            <w:r w:rsidRPr="00261B7A">
              <w:rPr>
                <w:rFonts w:cstheme="minorHAnsi"/>
                <w:color w:val="000000"/>
              </w:rPr>
              <w:t>94.9</w:t>
            </w:r>
          </w:p>
        </w:tc>
      </w:tr>
      <w:tr w:rsidR="006611EE" w:rsidRPr="00261B7A" w14:paraId="275AC175" w14:textId="77777777" w:rsidTr="000F09B5">
        <w:tc>
          <w:tcPr>
            <w:tcW w:w="907" w:type="dxa"/>
            <w:shd w:val="clear" w:color="auto" w:fill="FFFFFF"/>
            <w:tcMar>
              <w:top w:w="0" w:type="dxa"/>
              <w:left w:w="85" w:type="dxa"/>
              <w:bottom w:w="0" w:type="dxa"/>
              <w:right w:w="85" w:type="dxa"/>
            </w:tcMar>
          </w:tcPr>
          <w:p w14:paraId="1AECF37E" w14:textId="77777777" w:rsidR="006611EE" w:rsidRPr="00261B7A" w:rsidRDefault="006611EE" w:rsidP="000F09B5">
            <w:pPr>
              <w:pStyle w:val="TableText"/>
              <w:spacing w:before="40" w:after="40"/>
              <w:rPr>
                <w:rFonts w:cstheme="minorHAnsi"/>
              </w:rPr>
            </w:pPr>
            <w:r w:rsidRPr="00261B7A">
              <w:rPr>
                <w:rFonts w:cstheme="minorHAnsi"/>
                <w:color w:val="000000"/>
              </w:rPr>
              <w:t>1.A.2.d</w:t>
            </w:r>
          </w:p>
        </w:tc>
        <w:tc>
          <w:tcPr>
            <w:tcW w:w="2948" w:type="dxa"/>
            <w:shd w:val="clear" w:color="auto" w:fill="FFFFFF"/>
            <w:tcMar>
              <w:top w:w="0" w:type="dxa"/>
              <w:left w:w="85" w:type="dxa"/>
              <w:bottom w:w="0" w:type="dxa"/>
              <w:right w:w="85" w:type="dxa"/>
            </w:tcMar>
          </w:tcPr>
          <w:p w14:paraId="0F45EDB6" w14:textId="77777777" w:rsidR="006611EE" w:rsidRPr="00261B7A" w:rsidRDefault="006611EE" w:rsidP="000F09B5">
            <w:pPr>
              <w:pStyle w:val="TableText"/>
              <w:spacing w:before="40" w:after="40"/>
              <w:rPr>
                <w:rFonts w:cstheme="minorHAnsi"/>
              </w:rPr>
            </w:pPr>
            <w:r w:rsidRPr="00261B7A">
              <w:rPr>
                <w:rFonts w:cstheme="minorHAnsi"/>
                <w:color w:val="000000"/>
              </w:rPr>
              <w:t>Manufacturing Industries and Construction – Pulp, Paper and Print Gaseous Fuels</w:t>
            </w:r>
          </w:p>
        </w:tc>
        <w:tc>
          <w:tcPr>
            <w:tcW w:w="510" w:type="dxa"/>
            <w:shd w:val="clear" w:color="auto" w:fill="FFFFFF"/>
            <w:tcMar>
              <w:top w:w="0" w:type="dxa"/>
              <w:left w:w="85" w:type="dxa"/>
              <w:bottom w:w="0" w:type="dxa"/>
              <w:right w:w="85" w:type="dxa"/>
            </w:tcMar>
          </w:tcPr>
          <w:p w14:paraId="08BD16CB"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964" w:type="dxa"/>
            <w:shd w:val="clear" w:color="auto" w:fill="FFFFFF"/>
            <w:tcMar>
              <w:top w:w="0" w:type="dxa"/>
              <w:left w:w="85" w:type="dxa"/>
              <w:bottom w:w="0" w:type="dxa"/>
              <w:right w:w="85" w:type="dxa"/>
            </w:tcMar>
          </w:tcPr>
          <w:p w14:paraId="59201BA6" w14:textId="77777777" w:rsidR="006611EE" w:rsidRPr="00261B7A" w:rsidRDefault="006611EE" w:rsidP="000F09B5">
            <w:pPr>
              <w:pStyle w:val="TableText"/>
              <w:spacing w:before="40" w:after="40"/>
              <w:jc w:val="right"/>
              <w:rPr>
                <w:rFonts w:cstheme="minorHAnsi"/>
              </w:rPr>
            </w:pPr>
            <w:r w:rsidRPr="00261B7A">
              <w:rPr>
                <w:rFonts w:cstheme="minorHAnsi"/>
                <w:color w:val="000000"/>
              </w:rPr>
              <w:t>194.9</w:t>
            </w:r>
          </w:p>
        </w:tc>
        <w:tc>
          <w:tcPr>
            <w:tcW w:w="1021" w:type="dxa"/>
            <w:shd w:val="clear" w:color="auto" w:fill="FFFFFF"/>
            <w:tcMar>
              <w:top w:w="0" w:type="dxa"/>
              <w:left w:w="85" w:type="dxa"/>
              <w:bottom w:w="0" w:type="dxa"/>
              <w:right w:w="85" w:type="dxa"/>
            </w:tcMar>
          </w:tcPr>
          <w:p w14:paraId="3FD18818"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907" w:type="dxa"/>
            <w:shd w:val="clear" w:color="auto" w:fill="FFFFFF"/>
            <w:tcMar>
              <w:top w:w="0" w:type="dxa"/>
              <w:left w:w="85" w:type="dxa"/>
              <w:bottom w:w="0" w:type="dxa"/>
              <w:right w:w="85" w:type="dxa"/>
            </w:tcMar>
          </w:tcPr>
          <w:p w14:paraId="645EE3EC" w14:textId="77777777" w:rsidR="006611EE" w:rsidRPr="00261B7A" w:rsidRDefault="006611EE" w:rsidP="000F09B5">
            <w:pPr>
              <w:pStyle w:val="TableText"/>
              <w:spacing w:before="40" w:after="40"/>
              <w:jc w:val="right"/>
              <w:rPr>
                <w:rFonts w:cstheme="minorHAnsi"/>
              </w:rPr>
            </w:pPr>
            <w:r w:rsidRPr="00261B7A">
              <w:rPr>
                <w:rFonts w:cstheme="minorHAnsi"/>
                <w:color w:val="000000"/>
              </w:rPr>
              <w:t>95.2</w:t>
            </w:r>
          </w:p>
        </w:tc>
      </w:tr>
    </w:tbl>
    <w:p w14:paraId="5FBC6E7C" w14:textId="7EF0FF8B" w:rsidR="006611EE" w:rsidRPr="00261B7A" w:rsidRDefault="006611EE" w:rsidP="00504BF3">
      <w:pPr>
        <w:pStyle w:val="Table"/>
        <w:spacing w:before="360"/>
        <w:ind w:left="1276" w:hanging="1276"/>
      </w:pPr>
      <w:bookmarkStart w:id="99" w:name="_Toc130898916"/>
      <w:bookmarkStart w:id="100" w:name="_Toc131591312"/>
      <w:r w:rsidRPr="00261B7A">
        <w:lastRenderedPageBreak/>
        <w:t xml:space="preserve">Table 1.5.3(a &amp; b) </w:t>
      </w:r>
      <w:r w:rsidRPr="00261B7A">
        <w:rPr>
          <w:bCs/>
        </w:rPr>
        <w:t>1990</w:t>
      </w:r>
      <w:r w:rsidRPr="00261B7A">
        <w:t>–</w:t>
      </w:r>
      <w:r w:rsidRPr="00261B7A">
        <w:rPr>
          <w:bCs/>
        </w:rPr>
        <w:t>2021</w:t>
      </w:r>
      <w:r w:rsidRPr="00261B7A">
        <w:t xml:space="preserve"> trend assessment for New Zealand’s key category analysis including LULUCF (a) and</w:t>
      </w:r>
      <w:r w:rsidR="00DC76DE" w:rsidRPr="00261B7A">
        <w:t> </w:t>
      </w:r>
      <w:r w:rsidRPr="00261B7A">
        <w:t>excluding LULUCF (b)</w:t>
      </w:r>
      <w:bookmarkEnd w:id="99"/>
      <w:bookmarkEnd w:id="100"/>
    </w:p>
    <w:p w14:paraId="5AE761BD" w14:textId="77777777" w:rsidR="006611EE" w:rsidRPr="00261B7A" w:rsidRDefault="006611EE" w:rsidP="00DC76DE">
      <w:pPr>
        <w:pStyle w:val="BodyText"/>
        <w:keepNext/>
        <w:spacing w:before="0"/>
        <w:rPr>
          <w:b/>
          <w:bCs/>
          <w:sz w:val="18"/>
          <w:szCs w:val="18"/>
        </w:rPr>
      </w:pPr>
      <w:r w:rsidRPr="00261B7A">
        <w:rPr>
          <w:b/>
          <w:bCs/>
          <w:sz w:val="18"/>
          <w:szCs w:val="18"/>
        </w:rPr>
        <w:t>(a)</w:t>
      </w:r>
      <w:r w:rsidRPr="00261B7A">
        <w:rPr>
          <w:b/>
          <w:bCs/>
          <w:sz w:val="18"/>
          <w:szCs w:val="18"/>
        </w:rPr>
        <w:tab/>
        <w:t>IPCC Tier 1 category trend assessment – including LULUCF (net emissions)</w:t>
      </w:r>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851"/>
        <w:gridCol w:w="2567"/>
        <w:gridCol w:w="513"/>
        <w:gridCol w:w="856"/>
        <w:gridCol w:w="856"/>
        <w:gridCol w:w="943"/>
        <w:gridCol w:w="1005"/>
        <w:gridCol w:w="914"/>
      </w:tblGrid>
      <w:tr w:rsidR="006611EE" w:rsidRPr="00261B7A" w14:paraId="190793B5" w14:textId="77777777" w:rsidTr="000F09B5">
        <w:trPr>
          <w:tblHeader/>
        </w:trPr>
        <w:tc>
          <w:tcPr>
            <w:tcW w:w="567" w:type="dxa"/>
            <w:shd w:val="clear" w:color="auto" w:fill="1B556B"/>
            <w:tcMar>
              <w:top w:w="0" w:type="dxa"/>
              <w:left w:w="85" w:type="dxa"/>
              <w:bottom w:w="0" w:type="dxa"/>
              <w:right w:w="85" w:type="dxa"/>
            </w:tcMar>
            <w:vAlign w:val="bottom"/>
          </w:tcPr>
          <w:p w14:paraId="799D6F91" w14:textId="77777777" w:rsidR="006611EE" w:rsidRPr="00261B7A" w:rsidRDefault="006611EE" w:rsidP="000F09B5">
            <w:pPr>
              <w:pStyle w:val="TableText"/>
              <w:keepNext/>
              <w:spacing w:before="40" w:after="40"/>
              <w:rPr>
                <w:rFonts w:cs="Calibri"/>
                <w:b/>
                <w:bCs/>
                <w:color w:val="FFFFFF" w:themeColor="background1"/>
                <w:szCs w:val="16"/>
              </w:rPr>
            </w:pPr>
            <w:r w:rsidRPr="00261B7A">
              <w:rPr>
                <w:rFonts w:eastAsia="Calibri" w:cs="Calibri"/>
                <w:b/>
                <w:bCs/>
                <w:color w:val="FFFFFF" w:themeColor="background1"/>
                <w:szCs w:val="16"/>
              </w:rPr>
              <w:t>CRF category code</w:t>
            </w:r>
          </w:p>
        </w:tc>
        <w:tc>
          <w:tcPr>
            <w:tcW w:w="2552" w:type="dxa"/>
            <w:shd w:val="clear" w:color="auto" w:fill="1B556B"/>
            <w:tcMar>
              <w:top w:w="0" w:type="dxa"/>
              <w:left w:w="85" w:type="dxa"/>
              <w:bottom w:w="0" w:type="dxa"/>
              <w:right w:w="85" w:type="dxa"/>
            </w:tcMar>
            <w:vAlign w:val="bottom"/>
          </w:tcPr>
          <w:p w14:paraId="27CDFAB3" w14:textId="77777777" w:rsidR="006611EE" w:rsidRPr="00261B7A" w:rsidRDefault="006611EE" w:rsidP="000F09B5">
            <w:pPr>
              <w:pStyle w:val="TableText"/>
              <w:keepNext/>
              <w:spacing w:before="40" w:after="40"/>
              <w:rPr>
                <w:rFonts w:cs="Calibri"/>
                <w:b/>
                <w:bCs/>
                <w:color w:val="FFFFFF" w:themeColor="background1"/>
                <w:szCs w:val="16"/>
              </w:rPr>
            </w:pPr>
            <w:r w:rsidRPr="00261B7A">
              <w:rPr>
                <w:rFonts w:eastAsia="Calibri" w:cs="Calibri"/>
                <w:b/>
                <w:bCs/>
                <w:color w:val="FFFFFF" w:themeColor="background1"/>
                <w:szCs w:val="16"/>
              </w:rPr>
              <w:t>IPCC category</w:t>
            </w:r>
          </w:p>
        </w:tc>
        <w:tc>
          <w:tcPr>
            <w:tcW w:w="510" w:type="dxa"/>
            <w:shd w:val="clear" w:color="auto" w:fill="1B556B"/>
            <w:tcMar>
              <w:top w:w="0" w:type="dxa"/>
              <w:left w:w="85" w:type="dxa"/>
              <w:bottom w:w="0" w:type="dxa"/>
              <w:right w:w="85" w:type="dxa"/>
            </w:tcMar>
            <w:vAlign w:val="bottom"/>
          </w:tcPr>
          <w:p w14:paraId="24176398" w14:textId="77777777" w:rsidR="006611EE" w:rsidRPr="00261B7A" w:rsidRDefault="006611EE" w:rsidP="000F09B5">
            <w:pPr>
              <w:pStyle w:val="TableText"/>
              <w:keepNext/>
              <w:spacing w:before="40" w:after="40"/>
              <w:jc w:val="center"/>
              <w:rPr>
                <w:rFonts w:cs="Calibri"/>
                <w:b/>
                <w:bCs/>
                <w:color w:val="FFFFFF" w:themeColor="background1"/>
                <w:szCs w:val="16"/>
              </w:rPr>
            </w:pPr>
            <w:r w:rsidRPr="00261B7A">
              <w:rPr>
                <w:rFonts w:eastAsia="Calibri" w:cs="Calibri"/>
                <w:b/>
                <w:bCs/>
                <w:color w:val="FFFFFF" w:themeColor="background1"/>
                <w:szCs w:val="16"/>
              </w:rPr>
              <w:t>Gas</w:t>
            </w:r>
          </w:p>
        </w:tc>
        <w:tc>
          <w:tcPr>
            <w:tcW w:w="851" w:type="dxa"/>
            <w:shd w:val="clear" w:color="auto" w:fill="1B556B"/>
            <w:tcMar>
              <w:top w:w="0" w:type="dxa"/>
              <w:left w:w="85" w:type="dxa"/>
              <w:bottom w:w="0" w:type="dxa"/>
              <w:right w:w="85" w:type="dxa"/>
            </w:tcMar>
            <w:vAlign w:val="bottom"/>
          </w:tcPr>
          <w:p w14:paraId="30548B65" w14:textId="77777777" w:rsidR="006611EE" w:rsidRPr="00261B7A" w:rsidRDefault="006611EE" w:rsidP="000F09B5">
            <w:pPr>
              <w:pStyle w:val="TableText"/>
              <w:keepNext/>
              <w:spacing w:before="40" w:after="40"/>
              <w:jc w:val="right"/>
              <w:rPr>
                <w:rFonts w:cs="Calibri"/>
                <w:b/>
                <w:bCs/>
                <w:color w:val="FFFFFF" w:themeColor="background1"/>
                <w:szCs w:val="16"/>
              </w:rPr>
            </w:pPr>
            <w:r w:rsidRPr="00261B7A">
              <w:rPr>
                <w:rFonts w:eastAsia="Calibri" w:cs="Calibri"/>
                <w:b/>
                <w:bCs/>
                <w:color w:val="FFFFFF" w:themeColor="background1"/>
                <w:szCs w:val="16"/>
              </w:rPr>
              <w:t>1990 estimate (kt CO</w:t>
            </w:r>
            <w:r w:rsidRPr="00261B7A">
              <w:rPr>
                <w:rFonts w:eastAsia="Calibri" w:cs="Calibri"/>
                <w:b/>
                <w:bCs/>
                <w:color w:val="FFFFFF" w:themeColor="background1"/>
                <w:szCs w:val="16"/>
                <w:vertAlign w:val="subscript"/>
              </w:rPr>
              <w:t>2</w:t>
            </w:r>
            <w:r w:rsidRPr="00261B7A">
              <w:rPr>
                <w:rFonts w:eastAsia="Calibri" w:cs="Calibri"/>
                <w:b/>
                <w:bCs/>
                <w:color w:val="FFFFFF" w:themeColor="background1"/>
                <w:szCs w:val="16"/>
              </w:rPr>
              <w:t>-e)</w:t>
            </w:r>
          </w:p>
        </w:tc>
        <w:tc>
          <w:tcPr>
            <w:tcW w:w="851" w:type="dxa"/>
            <w:shd w:val="clear" w:color="auto" w:fill="1B556B"/>
            <w:tcMar>
              <w:top w:w="0" w:type="dxa"/>
              <w:left w:w="85" w:type="dxa"/>
              <w:bottom w:w="0" w:type="dxa"/>
              <w:right w:w="85" w:type="dxa"/>
            </w:tcMar>
            <w:vAlign w:val="bottom"/>
          </w:tcPr>
          <w:p w14:paraId="36747EFA" w14:textId="77777777" w:rsidR="006611EE" w:rsidRPr="00261B7A" w:rsidRDefault="006611EE" w:rsidP="000F09B5">
            <w:pPr>
              <w:pStyle w:val="TableText"/>
              <w:keepNext/>
              <w:spacing w:before="40" w:after="40"/>
              <w:jc w:val="right"/>
              <w:rPr>
                <w:rFonts w:cs="Calibri"/>
                <w:b/>
                <w:bCs/>
                <w:color w:val="FFFFFF" w:themeColor="background1"/>
                <w:szCs w:val="16"/>
              </w:rPr>
            </w:pPr>
            <w:r w:rsidRPr="00261B7A">
              <w:rPr>
                <w:rFonts w:eastAsia="Calibri" w:cs="Calibri"/>
                <w:b/>
                <w:bCs/>
                <w:color w:val="FFFFFF" w:themeColor="background1"/>
                <w:szCs w:val="16"/>
              </w:rPr>
              <w:t>2021 estimate (kt CO</w:t>
            </w:r>
            <w:r w:rsidRPr="00261B7A">
              <w:rPr>
                <w:rFonts w:eastAsia="Calibri" w:cs="Calibri"/>
                <w:b/>
                <w:bCs/>
                <w:color w:val="FFFFFF" w:themeColor="background1"/>
                <w:szCs w:val="16"/>
                <w:vertAlign w:val="subscript"/>
              </w:rPr>
              <w:t>2</w:t>
            </w:r>
            <w:r w:rsidRPr="00261B7A">
              <w:rPr>
                <w:rFonts w:eastAsia="Calibri" w:cs="Calibri"/>
                <w:b/>
                <w:bCs/>
                <w:color w:val="FFFFFF" w:themeColor="background1"/>
                <w:szCs w:val="16"/>
              </w:rPr>
              <w:t>-e)</w:t>
            </w:r>
          </w:p>
        </w:tc>
        <w:tc>
          <w:tcPr>
            <w:tcW w:w="680" w:type="dxa"/>
            <w:shd w:val="clear" w:color="auto" w:fill="1B556B"/>
            <w:tcMar>
              <w:top w:w="0" w:type="dxa"/>
              <w:left w:w="85" w:type="dxa"/>
              <w:bottom w:w="0" w:type="dxa"/>
              <w:right w:w="85" w:type="dxa"/>
            </w:tcMar>
            <w:vAlign w:val="bottom"/>
          </w:tcPr>
          <w:p w14:paraId="2E381C21" w14:textId="77777777" w:rsidR="006611EE" w:rsidRPr="00261B7A" w:rsidRDefault="006611EE" w:rsidP="000F09B5">
            <w:pPr>
              <w:pStyle w:val="TableText"/>
              <w:keepNext/>
              <w:spacing w:before="40" w:after="40"/>
              <w:jc w:val="right"/>
              <w:rPr>
                <w:rFonts w:cs="Calibri"/>
                <w:b/>
                <w:bCs/>
                <w:color w:val="FFFFFF" w:themeColor="background1"/>
                <w:szCs w:val="16"/>
              </w:rPr>
            </w:pPr>
            <w:r w:rsidRPr="00261B7A">
              <w:rPr>
                <w:rFonts w:eastAsia="Calibri" w:cs="Calibri"/>
                <w:b/>
                <w:bCs/>
                <w:color w:val="FFFFFF" w:themeColor="background1"/>
                <w:szCs w:val="16"/>
              </w:rPr>
              <w:t>Trend assessment</w:t>
            </w:r>
          </w:p>
        </w:tc>
        <w:tc>
          <w:tcPr>
            <w:tcW w:w="680" w:type="dxa"/>
            <w:shd w:val="clear" w:color="auto" w:fill="1B556B"/>
            <w:tcMar>
              <w:top w:w="0" w:type="dxa"/>
              <w:left w:w="85" w:type="dxa"/>
              <w:bottom w:w="0" w:type="dxa"/>
              <w:right w:w="85" w:type="dxa"/>
            </w:tcMar>
            <w:vAlign w:val="bottom"/>
          </w:tcPr>
          <w:p w14:paraId="399BF9A0" w14:textId="77777777" w:rsidR="006611EE" w:rsidRPr="00261B7A" w:rsidRDefault="006611EE" w:rsidP="000F09B5">
            <w:pPr>
              <w:pStyle w:val="TableText"/>
              <w:keepNext/>
              <w:spacing w:before="40" w:after="40"/>
              <w:jc w:val="right"/>
              <w:rPr>
                <w:rFonts w:cs="Calibri"/>
                <w:b/>
                <w:bCs/>
                <w:color w:val="FFFFFF" w:themeColor="background1"/>
                <w:szCs w:val="16"/>
              </w:rPr>
            </w:pPr>
            <w:r w:rsidRPr="00261B7A">
              <w:rPr>
                <w:rFonts w:eastAsia="Calibri" w:cs="Calibri"/>
                <w:b/>
                <w:bCs/>
                <w:color w:val="FFFFFF" w:themeColor="background1"/>
                <w:szCs w:val="16"/>
              </w:rPr>
              <w:t>Absolute contribution to trend (%)</w:t>
            </w:r>
          </w:p>
        </w:tc>
        <w:tc>
          <w:tcPr>
            <w:tcW w:w="680" w:type="dxa"/>
            <w:shd w:val="clear" w:color="auto" w:fill="1B556B"/>
            <w:tcMar>
              <w:top w:w="0" w:type="dxa"/>
              <w:left w:w="85" w:type="dxa"/>
              <w:bottom w:w="0" w:type="dxa"/>
              <w:right w:w="85" w:type="dxa"/>
            </w:tcMar>
            <w:vAlign w:val="bottom"/>
          </w:tcPr>
          <w:p w14:paraId="2FC44E96" w14:textId="77777777" w:rsidR="006611EE" w:rsidRPr="00261B7A" w:rsidRDefault="006611EE" w:rsidP="000F09B5">
            <w:pPr>
              <w:pStyle w:val="TableText"/>
              <w:keepNext/>
              <w:spacing w:before="40" w:after="40"/>
              <w:jc w:val="right"/>
              <w:rPr>
                <w:rFonts w:cs="Calibri"/>
                <w:b/>
                <w:bCs/>
                <w:color w:val="FFFFFF" w:themeColor="background1"/>
                <w:szCs w:val="16"/>
              </w:rPr>
            </w:pPr>
            <w:r w:rsidRPr="00261B7A">
              <w:rPr>
                <w:rFonts w:eastAsia="Calibri" w:cs="Calibri"/>
                <w:b/>
                <w:bCs/>
                <w:color w:val="FFFFFF" w:themeColor="background1"/>
                <w:szCs w:val="16"/>
              </w:rPr>
              <w:t>Absolute cumulative total (%)</w:t>
            </w:r>
          </w:p>
        </w:tc>
      </w:tr>
      <w:tr w:rsidR="006611EE" w:rsidRPr="00261B7A" w14:paraId="251AC09C" w14:textId="77777777" w:rsidTr="000F09B5">
        <w:tc>
          <w:tcPr>
            <w:tcW w:w="567" w:type="dxa"/>
            <w:shd w:val="clear" w:color="auto" w:fill="FFFFFF"/>
            <w:tcMar>
              <w:top w:w="0" w:type="dxa"/>
              <w:left w:w="85" w:type="dxa"/>
              <w:bottom w:w="0" w:type="dxa"/>
              <w:right w:w="85" w:type="dxa"/>
            </w:tcMar>
          </w:tcPr>
          <w:p w14:paraId="52BA379B" w14:textId="77777777" w:rsidR="006611EE" w:rsidRPr="00261B7A" w:rsidRDefault="006611EE" w:rsidP="000F09B5">
            <w:pPr>
              <w:pStyle w:val="TableText"/>
              <w:keepNext/>
              <w:spacing w:before="40" w:after="40"/>
              <w:rPr>
                <w:rFonts w:cs="Calibri"/>
                <w:szCs w:val="16"/>
              </w:rPr>
            </w:pPr>
            <w:r w:rsidRPr="00261B7A">
              <w:rPr>
                <w:rFonts w:cs="Calibri"/>
                <w:szCs w:val="16"/>
              </w:rPr>
              <w:t>4.A.1</w:t>
            </w:r>
          </w:p>
        </w:tc>
        <w:tc>
          <w:tcPr>
            <w:tcW w:w="2552" w:type="dxa"/>
            <w:shd w:val="clear" w:color="auto" w:fill="FFFFFF"/>
            <w:tcMar>
              <w:top w:w="0" w:type="dxa"/>
              <w:left w:w="85" w:type="dxa"/>
              <w:bottom w:w="0" w:type="dxa"/>
              <w:right w:w="85" w:type="dxa"/>
            </w:tcMar>
          </w:tcPr>
          <w:p w14:paraId="4CF41FA2" w14:textId="77777777" w:rsidR="006611EE" w:rsidRPr="00261B7A" w:rsidRDefault="006611EE" w:rsidP="000F09B5">
            <w:pPr>
              <w:pStyle w:val="TableText"/>
              <w:keepNext/>
              <w:spacing w:before="40" w:after="40"/>
              <w:rPr>
                <w:rFonts w:cs="Calibri"/>
                <w:szCs w:val="16"/>
              </w:rPr>
            </w:pPr>
            <w:r w:rsidRPr="00261B7A">
              <w:rPr>
                <w:rFonts w:cs="Calibri"/>
                <w:szCs w:val="16"/>
              </w:rPr>
              <w:t>Forest Land – Forest Land Remaining Forest Land</w:t>
            </w:r>
          </w:p>
        </w:tc>
        <w:tc>
          <w:tcPr>
            <w:tcW w:w="510" w:type="dxa"/>
            <w:shd w:val="clear" w:color="auto" w:fill="FFFFFF"/>
            <w:tcMar>
              <w:top w:w="0" w:type="dxa"/>
              <w:left w:w="85" w:type="dxa"/>
              <w:bottom w:w="0" w:type="dxa"/>
              <w:right w:w="85" w:type="dxa"/>
            </w:tcMar>
          </w:tcPr>
          <w:p w14:paraId="4C6E5A06" w14:textId="77777777" w:rsidR="006611EE" w:rsidRPr="00261B7A" w:rsidRDefault="006611EE" w:rsidP="000F09B5">
            <w:pPr>
              <w:pStyle w:val="TableText"/>
              <w:keepN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40807FA8" w14:textId="77777777" w:rsidR="006611EE" w:rsidRPr="00261B7A" w:rsidRDefault="006611EE" w:rsidP="000F09B5">
            <w:pPr>
              <w:pStyle w:val="TableText"/>
              <w:keepNext/>
              <w:spacing w:before="40" w:after="40"/>
              <w:jc w:val="right"/>
              <w:rPr>
                <w:rFonts w:cs="Calibri"/>
                <w:szCs w:val="16"/>
              </w:rPr>
            </w:pPr>
            <w:r w:rsidRPr="00261B7A">
              <w:rPr>
                <w:rFonts w:cs="Calibri"/>
                <w:szCs w:val="16"/>
              </w:rPr>
              <w:t>–784.0</w:t>
            </w:r>
          </w:p>
        </w:tc>
        <w:tc>
          <w:tcPr>
            <w:tcW w:w="851" w:type="dxa"/>
            <w:shd w:val="clear" w:color="auto" w:fill="FFFFFF"/>
            <w:tcMar>
              <w:top w:w="0" w:type="dxa"/>
              <w:left w:w="85" w:type="dxa"/>
              <w:bottom w:w="0" w:type="dxa"/>
              <w:right w:w="85" w:type="dxa"/>
            </w:tcMar>
          </w:tcPr>
          <w:p w14:paraId="1CAE23F4" w14:textId="77777777" w:rsidR="006611EE" w:rsidRPr="00261B7A" w:rsidRDefault="006611EE" w:rsidP="000F09B5">
            <w:pPr>
              <w:pStyle w:val="TableText"/>
              <w:keepNext/>
              <w:spacing w:before="40" w:after="40"/>
              <w:jc w:val="right"/>
              <w:rPr>
                <w:rFonts w:cs="Calibri"/>
                <w:szCs w:val="16"/>
              </w:rPr>
            </w:pPr>
            <w:r w:rsidRPr="00261B7A">
              <w:rPr>
                <w:rFonts w:cs="Calibri"/>
                <w:szCs w:val="16"/>
              </w:rPr>
              <w:t>–12,163.5</w:t>
            </w:r>
          </w:p>
        </w:tc>
        <w:tc>
          <w:tcPr>
            <w:tcW w:w="680" w:type="dxa"/>
            <w:shd w:val="clear" w:color="auto" w:fill="FFFFFF"/>
            <w:tcMar>
              <w:top w:w="0" w:type="dxa"/>
              <w:left w:w="85" w:type="dxa"/>
              <w:bottom w:w="0" w:type="dxa"/>
              <w:right w:w="85" w:type="dxa"/>
            </w:tcMar>
          </w:tcPr>
          <w:p w14:paraId="5FA60BE6" w14:textId="77777777" w:rsidR="006611EE" w:rsidRPr="00261B7A" w:rsidRDefault="006611EE" w:rsidP="000F09B5">
            <w:pPr>
              <w:pStyle w:val="TableText"/>
              <w:keepNext/>
              <w:spacing w:before="40" w:after="40"/>
              <w:jc w:val="right"/>
              <w:rPr>
                <w:rFonts w:cs="Calibri"/>
                <w:szCs w:val="16"/>
              </w:rPr>
            </w:pPr>
            <w:r w:rsidRPr="00261B7A">
              <w:rPr>
                <w:rFonts w:cs="Calibri"/>
                <w:szCs w:val="16"/>
              </w:rPr>
              <w:t>0.131</w:t>
            </w:r>
          </w:p>
        </w:tc>
        <w:tc>
          <w:tcPr>
            <w:tcW w:w="680" w:type="dxa"/>
            <w:shd w:val="clear" w:color="auto" w:fill="FFFFFF"/>
            <w:tcMar>
              <w:top w:w="0" w:type="dxa"/>
              <w:left w:w="85" w:type="dxa"/>
              <w:bottom w:w="0" w:type="dxa"/>
              <w:right w:w="85" w:type="dxa"/>
            </w:tcMar>
          </w:tcPr>
          <w:p w14:paraId="0023629B" w14:textId="77777777" w:rsidR="006611EE" w:rsidRPr="00261B7A" w:rsidRDefault="006611EE" w:rsidP="000F09B5">
            <w:pPr>
              <w:pStyle w:val="TableText"/>
              <w:keepNext/>
              <w:spacing w:before="40" w:after="40"/>
              <w:jc w:val="right"/>
              <w:rPr>
                <w:rFonts w:cs="Calibri"/>
                <w:szCs w:val="16"/>
              </w:rPr>
            </w:pPr>
            <w:r w:rsidRPr="00261B7A">
              <w:rPr>
                <w:rFonts w:cs="Calibri"/>
                <w:szCs w:val="16"/>
              </w:rPr>
              <w:t>15.5</w:t>
            </w:r>
          </w:p>
        </w:tc>
        <w:tc>
          <w:tcPr>
            <w:tcW w:w="680" w:type="dxa"/>
            <w:shd w:val="clear" w:color="auto" w:fill="FFFFFF"/>
            <w:tcMar>
              <w:top w:w="0" w:type="dxa"/>
              <w:left w:w="85" w:type="dxa"/>
              <w:bottom w:w="0" w:type="dxa"/>
              <w:right w:w="85" w:type="dxa"/>
            </w:tcMar>
          </w:tcPr>
          <w:p w14:paraId="688A84EF" w14:textId="77777777" w:rsidR="006611EE" w:rsidRPr="00261B7A" w:rsidRDefault="006611EE" w:rsidP="000F09B5">
            <w:pPr>
              <w:pStyle w:val="TableText"/>
              <w:keepNext/>
              <w:spacing w:before="40" w:after="40"/>
              <w:jc w:val="right"/>
              <w:rPr>
                <w:rFonts w:cs="Calibri"/>
                <w:szCs w:val="16"/>
              </w:rPr>
            </w:pPr>
            <w:r w:rsidRPr="00261B7A">
              <w:rPr>
                <w:rFonts w:cs="Calibri"/>
                <w:szCs w:val="16"/>
              </w:rPr>
              <w:t>15.5</w:t>
            </w:r>
          </w:p>
        </w:tc>
      </w:tr>
      <w:tr w:rsidR="006611EE" w:rsidRPr="00261B7A" w14:paraId="47242D22" w14:textId="77777777" w:rsidTr="000F09B5">
        <w:tc>
          <w:tcPr>
            <w:tcW w:w="567" w:type="dxa"/>
            <w:shd w:val="clear" w:color="auto" w:fill="FFFFFF"/>
            <w:tcMar>
              <w:top w:w="0" w:type="dxa"/>
              <w:left w:w="85" w:type="dxa"/>
              <w:bottom w:w="0" w:type="dxa"/>
              <w:right w:w="85" w:type="dxa"/>
            </w:tcMar>
          </w:tcPr>
          <w:p w14:paraId="0E5BE53C" w14:textId="77777777" w:rsidR="006611EE" w:rsidRPr="00261B7A" w:rsidRDefault="006611EE" w:rsidP="00DC76DE">
            <w:pPr>
              <w:pStyle w:val="TableText"/>
              <w:keepNext/>
              <w:spacing w:before="40" w:after="40"/>
              <w:rPr>
                <w:rFonts w:cs="Calibri"/>
                <w:szCs w:val="16"/>
              </w:rPr>
            </w:pPr>
            <w:r w:rsidRPr="00261B7A">
              <w:rPr>
                <w:rFonts w:cs="Calibri"/>
                <w:szCs w:val="16"/>
              </w:rPr>
              <w:t>3.A.2</w:t>
            </w:r>
          </w:p>
        </w:tc>
        <w:tc>
          <w:tcPr>
            <w:tcW w:w="2552" w:type="dxa"/>
            <w:shd w:val="clear" w:color="auto" w:fill="FFFFFF"/>
            <w:tcMar>
              <w:top w:w="0" w:type="dxa"/>
              <w:left w:w="85" w:type="dxa"/>
              <w:bottom w:w="0" w:type="dxa"/>
              <w:right w:w="85" w:type="dxa"/>
            </w:tcMar>
          </w:tcPr>
          <w:p w14:paraId="7675E9FD" w14:textId="77777777" w:rsidR="006611EE" w:rsidRPr="00261B7A" w:rsidRDefault="006611EE" w:rsidP="00DC76DE">
            <w:pPr>
              <w:pStyle w:val="TableText"/>
              <w:keepNext/>
              <w:spacing w:before="40" w:after="40"/>
              <w:rPr>
                <w:rFonts w:cs="Calibri"/>
                <w:szCs w:val="16"/>
              </w:rPr>
            </w:pPr>
            <w:r w:rsidRPr="00261B7A">
              <w:rPr>
                <w:rFonts w:cs="Calibri"/>
                <w:szCs w:val="16"/>
              </w:rPr>
              <w:t>Other (please specify) – Sheep</w:t>
            </w:r>
          </w:p>
        </w:tc>
        <w:tc>
          <w:tcPr>
            <w:tcW w:w="510" w:type="dxa"/>
            <w:shd w:val="clear" w:color="auto" w:fill="FFFFFF"/>
            <w:tcMar>
              <w:top w:w="0" w:type="dxa"/>
              <w:left w:w="85" w:type="dxa"/>
              <w:bottom w:w="0" w:type="dxa"/>
              <w:right w:w="85" w:type="dxa"/>
            </w:tcMar>
          </w:tcPr>
          <w:p w14:paraId="249E7BC8" w14:textId="77777777" w:rsidR="006611EE" w:rsidRPr="00261B7A" w:rsidRDefault="006611EE" w:rsidP="00DC76DE">
            <w:pPr>
              <w:pStyle w:val="TableText"/>
              <w:keepNext/>
              <w:spacing w:before="40" w:after="40"/>
              <w:jc w:val="center"/>
              <w:rPr>
                <w:rFonts w:cs="Calibri"/>
                <w:szCs w:val="16"/>
              </w:rPr>
            </w:pPr>
            <w:r w:rsidRPr="00261B7A">
              <w:rPr>
                <w:rFonts w:cs="Calibri"/>
                <w:szCs w:val="16"/>
              </w:rPr>
              <w:t>CH</w:t>
            </w:r>
            <w:r w:rsidRPr="00261B7A">
              <w:rPr>
                <w:rFonts w:cs="Calibri"/>
                <w:szCs w:val="16"/>
                <w:vertAlign w:val="subscript"/>
              </w:rPr>
              <w:t>4</w:t>
            </w:r>
          </w:p>
        </w:tc>
        <w:tc>
          <w:tcPr>
            <w:tcW w:w="851" w:type="dxa"/>
            <w:shd w:val="clear" w:color="auto" w:fill="FFFFFF"/>
            <w:tcMar>
              <w:top w:w="0" w:type="dxa"/>
              <w:left w:w="85" w:type="dxa"/>
              <w:bottom w:w="0" w:type="dxa"/>
              <w:right w:w="85" w:type="dxa"/>
            </w:tcMar>
          </w:tcPr>
          <w:p w14:paraId="6EFF7EA5" w14:textId="77777777" w:rsidR="006611EE" w:rsidRPr="00261B7A" w:rsidRDefault="006611EE" w:rsidP="00DC76DE">
            <w:pPr>
              <w:pStyle w:val="TableText"/>
              <w:keepNext/>
              <w:spacing w:before="40" w:after="40"/>
              <w:jc w:val="right"/>
              <w:rPr>
                <w:rFonts w:cs="Calibri"/>
                <w:szCs w:val="16"/>
              </w:rPr>
            </w:pPr>
            <w:r w:rsidRPr="00261B7A">
              <w:rPr>
                <w:rFonts w:cs="Calibri"/>
                <w:szCs w:val="16"/>
              </w:rPr>
              <w:t>14,407.4</w:t>
            </w:r>
          </w:p>
        </w:tc>
        <w:tc>
          <w:tcPr>
            <w:tcW w:w="851" w:type="dxa"/>
            <w:shd w:val="clear" w:color="auto" w:fill="FFFFFF"/>
            <w:tcMar>
              <w:top w:w="0" w:type="dxa"/>
              <w:left w:w="85" w:type="dxa"/>
              <w:bottom w:w="0" w:type="dxa"/>
              <w:right w:w="85" w:type="dxa"/>
            </w:tcMar>
          </w:tcPr>
          <w:p w14:paraId="5AAA7BB9" w14:textId="77777777" w:rsidR="006611EE" w:rsidRPr="00261B7A" w:rsidRDefault="006611EE" w:rsidP="00DC76DE">
            <w:pPr>
              <w:pStyle w:val="TableText"/>
              <w:keepNext/>
              <w:spacing w:before="40" w:after="40"/>
              <w:jc w:val="right"/>
              <w:rPr>
                <w:rFonts w:cs="Calibri"/>
                <w:szCs w:val="16"/>
              </w:rPr>
            </w:pPr>
            <w:r w:rsidRPr="00261B7A">
              <w:rPr>
                <w:rFonts w:cs="Calibri"/>
                <w:szCs w:val="16"/>
              </w:rPr>
              <w:t>8,011.9</w:t>
            </w:r>
          </w:p>
        </w:tc>
        <w:tc>
          <w:tcPr>
            <w:tcW w:w="680" w:type="dxa"/>
            <w:shd w:val="clear" w:color="auto" w:fill="FFFFFF"/>
            <w:tcMar>
              <w:top w:w="0" w:type="dxa"/>
              <w:left w:w="85" w:type="dxa"/>
              <w:bottom w:w="0" w:type="dxa"/>
              <w:right w:w="85" w:type="dxa"/>
            </w:tcMar>
          </w:tcPr>
          <w:p w14:paraId="595944BE" w14:textId="77777777" w:rsidR="006611EE" w:rsidRPr="00261B7A" w:rsidRDefault="006611EE" w:rsidP="00DC76DE">
            <w:pPr>
              <w:pStyle w:val="TableText"/>
              <w:keepNext/>
              <w:spacing w:before="40" w:after="40"/>
              <w:jc w:val="right"/>
              <w:rPr>
                <w:rFonts w:cs="Calibri"/>
                <w:szCs w:val="16"/>
              </w:rPr>
            </w:pPr>
            <w:r w:rsidRPr="00261B7A">
              <w:rPr>
                <w:rFonts w:cs="Calibri"/>
                <w:szCs w:val="16"/>
              </w:rPr>
              <w:t>0.114</w:t>
            </w:r>
          </w:p>
        </w:tc>
        <w:tc>
          <w:tcPr>
            <w:tcW w:w="680" w:type="dxa"/>
            <w:shd w:val="clear" w:color="auto" w:fill="FFFFFF"/>
            <w:tcMar>
              <w:top w:w="0" w:type="dxa"/>
              <w:left w:w="85" w:type="dxa"/>
              <w:bottom w:w="0" w:type="dxa"/>
              <w:right w:w="85" w:type="dxa"/>
            </w:tcMar>
          </w:tcPr>
          <w:p w14:paraId="50AF1360" w14:textId="77777777" w:rsidR="006611EE" w:rsidRPr="00261B7A" w:rsidRDefault="006611EE" w:rsidP="00DC76DE">
            <w:pPr>
              <w:pStyle w:val="TableText"/>
              <w:keepNext/>
              <w:spacing w:before="40" w:after="40"/>
              <w:jc w:val="right"/>
              <w:rPr>
                <w:rFonts w:cs="Calibri"/>
                <w:szCs w:val="16"/>
              </w:rPr>
            </w:pPr>
            <w:r w:rsidRPr="00261B7A">
              <w:rPr>
                <w:rFonts w:cs="Calibri"/>
                <w:szCs w:val="16"/>
              </w:rPr>
              <w:t>13.4</w:t>
            </w:r>
          </w:p>
        </w:tc>
        <w:tc>
          <w:tcPr>
            <w:tcW w:w="680" w:type="dxa"/>
            <w:shd w:val="clear" w:color="auto" w:fill="FFFFFF"/>
            <w:tcMar>
              <w:top w:w="0" w:type="dxa"/>
              <w:left w:w="85" w:type="dxa"/>
              <w:bottom w:w="0" w:type="dxa"/>
              <w:right w:w="85" w:type="dxa"/>
            </w:tcMar>
          </w:tcPr>
          <w:p w14:paraId="6787285C" w14:textId="77777777" w:rsidR="006611EE" w:rsidRPr="00261B7A" w:rsidRDefault="006611EE" w:rsidP="00DC76DE">
            <w:pPr>
              <w:pStyle w:val="TableText"/>
              <w:keepNext/>
              <w:spacing w:before="40" w:after="40"/>
              <w:jc w:val="right"/>
              <w:rPr>
                <w:rFonts w:cs="Calibri"/>
                <w:szCs w:val="16"/>
              </w:rPr>
            </w:pPr>
            <w:r w:rsidRPr="00261B7A">
              <w:rPr>
                <w:rFonts w:cs="Calibri"/>
                <w:szCs w:val="16"/>
              </w:rPr>
              <w:t>28.9</w:t>
            </w:r>
          </w:p>
        </w:tc>
      </w:tr>
      <w:tr w:rsidR="006611EE" w:rsidRPr="00261B7A" w14:paraId="1E0F3447" w14:textId="77777777" w:rsidTr="000F09B5">
        <w:tc>
          <w:tcPr>
            <w:tcW w:w="567" w:type="dxa"/>
            <w:shd w:val="clear" w:color="auto" w:fill="FFFFFF"/>
            <w:tcMar>
              <w:top w:w="0" w:type="dxa"/>
              <w:left w:w="85" w:type="dxa"/>
              <w:bottom w:w="0" w:type="dxa"/>
              <w:right w:w="85" w:type="dxa"/>
            </w:tcMar>
          </w:tcPr>
          <w:p w14:paraId="51E457C7" w14:textId="77777777" w:rsidR="006611EE" w:rsidRPr="00261B7A" w:rsidRDefault="006611EE" w:rsidP="000F09B5">
            <w:pPr>
              <w:pStyle w:val="TableText"/>
              <w:spacing w:before="40" w:after="40"/>
              <w:rPr>
                <w:rFonts w:cs="Calibri"/>
                <w:szCs w:val="16"/>
              </w:rPr>
            </w:pPr>
            <w:r w:rsidRPr="00261B7A">
              <w:rPr>
                <w:rFonts w:cs="Calibri"/>
                <w:szCs w:val="16"/>
              </w:rPr>
              <w:t>4.A.2</w:t>
            </w:r>
          </w:p>
        </w:tc>
        <w:tc>
          <w:tcPr>
            <w:tcW w:w="2552" w:type="dxa"/>
            <w:shd w:val="clear" w:color="auto" w:fill="FFFFFF"/>
            <w:tcMar>
              <w:top w:w="0" w:type="dxa"/>
              <w:left w:w="85" w:type="dxa"/>
              <w:bottom w:w="0" w:type="dxa"/>
              <w:right w:w="85" w:type="dxa"/>
            </w:tcMar>
          </w:tcPr>
          <w:p w14:paraId="400852BF" w14:textId="77777777" w:rsidR="006611EE" w:rsidRPr="00261B7A" w:rsidRDefault="006611EE" w:rsidP="000F09B5">
            <w:pPr>
              <w:pStyle w:val="TableText"/>
              <w:spacing w:before="40" w:after="40"/>
              <w:rPr>
                <w:rFonts w:cs="Calibri"/>
                <w:szCs w:val="16"/>
              </w:rPr>
            </w:pPr>
            <w:r w:rsidRPr="00261B7A">
              <w:rPr>
                <w:rFonts w:cs="Calibri"/>
                <w:szCs w:val="16"/>
              </w:rPr>
              <w:t>Forest Land – Land Converted to Forest Land</w:t>
            </w:r>
          </w:p>
        </w:tc>
        <w:tc>
          <w:tcPr>
            <w:tcW w:w="510" w:type="dxa"/>
            <w:shd w:val="clear" w:color="auto" w:fill="FFFFFF"/>
            <w:tcMar>
              <w:top w:w="0" w:type="dxa"/>
              <w:left w:w="85" w:type="dxa"/>
              <w:bottom w:w="0" w:type="dxa"/>
              <w:right w:w="85" w:type="dxa"/>
            </w:tcMar>
          </w:tcPr>
          <w:p w14:paraId="1A5B40FB"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39D89D9F" w14:textId="77777777" w:rsidR="006611EE" w:rsidRPr="00261B7A" w:rsidRDefault="006611EE" w:rsidP="000F09B5">
            <w:pPr>
              <w:pStyle w:val="TableText"/>
              <w:spacing w:before="40" w:after="40"/>
              <w:jc w:val="right"/>
              <w:rPr>
                <w:rFonts w:cs="Calibri"/>
                <w:szCs w:val="16"/>
              </w:rPr>
            </w:pPr>
            <w:r w:rsidRPr="00261B7A">
              <w:rPr>
                <w:rFonts w:cs="Calibri"/>
                <w:szCs w:val="16"/>
              </w:rPr>
              <w:t>–18,491.9</w:t>
            </w:r>
          </w:p>
        </w:tc>
        <w:tc>
          <w:tcPr>
            <w:tcW w:w="851" w:type="dxa"/>
            <w:shd w:val="clear" w:color="auto" w:fill="FFFFFF"/>
            <w:tcMar>
              <w:top w:w="0" w:type="dxa"/>
              <w:left w:w="85" w:type="dxa"/>
              <w:bottom w:w="0" w:type="dxa"/>
              <w:right w:w="85" w:type="dxa"/>
            </w:tcMar>
          </w:tcPr>
          <w:p w14:paraId="4623BEB1" w14:textId="77777777" w:rsidR="006611EE" w:rsidRPr="00261B7A" w:rsidRDefault="006611EE" w:rsidP="000F09B5">
            <w:pPr>
              <w:pStyle w:val="TableText"/>
              <w:spacing w:before="40" w:after="40"/>
              <w:jc w:val="right"/>
              <w:rPr>
                <w:rFonts w:cs="Calibri"/>
                <w:szCs w:val="16"/>
              </w:rPr>
            </w:pPr>
            <w:r w:rsidRPr="00261B7A">
              <w:rPr>
                <w:rFonts w:cs="Calibri"/>
                <w:szCs w:val="16"/>
              </w:rPr>
              <w:t>–3,831.3</w:t>
            </w:r>
          </w:p>
        </w:tc>
        <w:tc>
          <w:tcPr>
            <w:tcW w:w="680" w:type="dxa"/>
            <w:shd w:val="clear" w:color="auto" w:fill="FFFFFF"/>
            <w:tcMar>
              <w:top w:w="0" w:type="dxa"/>
              <w:left w:w="85" w:type="dxa"/>
              <w:bottom w:w="0" w:type="dxa"/>
              <w:right w:w="85" w:type="dxa"/>
            </w:tcMar>
          </w:tcPr>
          <w:p w14:paraId="645775A6" w14:textId="77777777" w:rsidR="006611EE" w:rsidRPr="00261B7A" w:rsidRDefault="006611EE" w:rsidP="000F09B5">
            <w:pPr>
              <w:pStyle w:val="TableText"/>
              <w:spacing w:before="40" w:after="40"/>
              <w:jc w:val="right"/>
              <w:rPr>
                <w:rFonts w:cs="Calibri"/>
                <w:szCs w:val="16"/>
              </w:rPr>
            </w:pPr>
            <w:r w:rsidRPr="00261B7A">
              <w:rPr>
                <w:rFonts w:cs="Calibri"/>
                <w:szCs w:val="16"/>
              </w:rPr>
              <w:t>0.114</w:t>
            </w:r>
          </w:p>
        </w:tc>
        <w:tc>
          <w:tcPr>
            <w:tcW w:w="680" w:type="dxa"/>
            <w:shd w:val="clear" w:color="auto" w:fill="FFFFFF"/>
            <w:tcMar>
              <w:top w:w="0" w:type="dxa"/>
              <w:left w:w="85" w:type="dxa"/>
              <w:bottom w:w="0" w:type="dxa"/>
              <w:right w:w="85" w:type="dxa"/>
            </w:tcMar>
          </w:tcPr>
          <w:p w14:paraId="0A4949FC" w14:textId="77777777" w:rsidR="006611EE" w:rsidRPr="00261B7A" w:rsidRDefault="006611EE" w:rsidP="000F09B5">
            <w:pPr>
              <w:pStyle w:val="TableText"/>
              <w:spacing w:before="40" w:after="40"/>
              <w:jc w:val="right"/>
              <w:rPr>
                <w:rFonts w:cs="Calibri"/>
                <w:szCs w:val="16"/>
              </w:rPr>
            </w:pPr>
            <w:r w:rsidRPr="00261B7A">
              <w:rPr>
                <w:rFonts w:cs="Calibri"/>
                <w:szCs w:val="16"/>
              </w:rPr>
              <w:t>13.4</w:t>
            </w:r>
          </w:p>
        </w:tc>
        <w:tc>
          <w:tcPr>
            <w:tcW w:w="680" w:type="dxa"/>
            <w:shd w:val="clear" w:color="auto" w:fill="FFFFFF"/>
            <w:tcMar>
              <w:top w:w="0" w:type="dxa"/>
              <w:left w:w="85" w:type="dxa"/>
              <w:bottom w:w="0" w:type="dxa"/>
              <w:right w:w="85" w:type="dxa"/>
            </w:tcMar>
          </w:tcPr>
          <w:p w14:paraId="38A7F282" w14:textId="77777777" w:rsidR="006611EE" w:rsidRPr="00261B7A" w:rsidRDefault="006611EE" w:rsidP="000F09B5">
            <w:pPr>
              <w:pStyle w:val="TableText"/>
              <w:spacing w:before="40" w:after="40"/>
              <w:jc w:val="right"/>
              <w:rPr>
                <w:rFonts w:cs="Calibri"/>
                <w:szCs w:val="16"/>
              </w:rPr>
            </w:pPr>
            <w:r w:rsidRPr="00261B7A">
              <w:rPr>
                <w:rFonts w:cs="Calibri"/>
                <w:szCs w:val="16"/>
              </w:rPr>
              <w:t>42.4</w:t>
            </w:r>
          </w:p>
        </w:tc>
      </w:tr>
      <w:tr w:rsidR="006611EE" w:rsidRPr="00261B7A" w14:paraId="08DA3385" w14:textId="77777777" w:rsidTr="000F09B5">
        <w:tc>
          <w:tcPr>
            <w:tcW w:w="567" w:type="dxa"/>
            <w:shd w:val="clear" w:color="auto" w:fill="FFFFFF"/>
            <w:tcMar>
              <w:top w:w="0" w:type="dxa"/>
              <w:left w:w="85" w:type="dxa"/>
              <w:bottom w:w="0" w:type="dxa"/>
              <w:right w:w="85" w:type="dxa"/>
            </w:tcMar>
          </w:tcPr>
          <w:p w14:paraId="48555378" w14:textId="77777777" w:rsidR="006611EE" w:rsidRPr="00261B7A" w:rsidRDefault="006611EE" w:rsidP="000F09B5">
            <w:pPr>
              <w:pStyle w:val="TableText"/>
              <w:spacing w:before="40" w:after="40"/>
              <w:rPr>
                <w:rFonts w:cs="Calibri"/>
                <w:szCs w:val="16"/>
              </w:rPr>
            </w:pPr>
            <w:r w:rsidRPr="00261B7A">
              <w:rPr>
                <w:rFonts w:cs="Calibri"/>
                <w:szCs w:val="16"/>
              </w:rPr>
              <w:t>4.G</w:t>
            </w:r>
          </w:p>
        </w:tc>
        <w:tc>
          <w:tcPr>
            <w:tcW w:w="2552" w:type="dxa"/>
            <w:shd w:val="clear" w:color="auto" w:fill="FFFFFF"/>
            <w:tcMar>
              <w:top w:w="0" w:type="dxa"/>
              <w:left w:w="85" w:type="dxa"/>
              <w:bottom w:w="0" w:type="dxa"/>
              <w:right w:w="85" w:type="dxa"/>
            </w:tcMar>
          </w:tcPr>
          <w:p w14:paraId="0C700DF8" w14:textId="77777777" w:rsidR="006611EE" w:rsidRPr="00261B7A" w:rsidRDefault="006611EE" w:rsidP="000F09B5">
            <w:pPr>
              <w:pStyle w:val="TableText"/>
              <w:spacing w:before="40" w:after="40"/>
              <w:rPr>
                <w:rFonts w:cs="Calibri"/>
                <w:szCs w:val="16"/>
              </w:rPr>
            </w:pPr>
            <w:r w:rsidRPr="00261B7A">
              <w:rPr>
                <w:rFonts w:cs="Calibri"/>
                <w:szCs w:val="16"/>
              </w:rPr>
              <w:t>Land Use, Land-Use Change and Forestry – Harvested Wood Products</w:t>
            </w:r>
          </w:p>
        </w:tc>
        <w:tc>
          <w:tcPr>
            <w:tcW w:w="510" w:type="dxa"/>
            <w:shd w:val="clear" w:color="auto" w:fill="FFFFFF"/>
            <w:tcMar>
              <w:top w:w="0" w:type="dxa"/>
              <w:left w:w="85" w:type="dxa"/>
              <w:bottom w:w="0" w:type="dxa"/>
              <w:right w:w="85" w:type="dxa"/>
            </w:tcMar>
          </w:tcPr>
          <w:p w14:paraId="41D4A1BC"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154D7D72" w14:textId="77777777" w:rsidR="006611EE" w:rsidRPr="00261B7A" w:rsidRDefault="006611EE" w:rsidP="000F09B5">
            <w:pPr>
              <w:pStyle w:val="TableText"/>
              <w:spacing w:before="40" w:after="40"/>
              <w:jc w:val="right"/>
              <w:rPr>
                <w:rFonts w:cs="Calibri"/>
                <w:szCs w:val="16"/>
              </w:rPr>
            </w:pPr>
            <w:r w:rsidRPr="00261B7A">
              <w:rPr>
                <w:rFonts w:cs="Calibri"/>
                <w:szCs w:val="16"/>
              </w:rPr>
              <w:t>–2,481.2</w:t>
            </w:r>
          </w:p>
        </w:tc>
        <w:tc>
          <w:tcPr>
            <w:tcW w:w="851" w:type="dxa"/>
            <w:shd w:val="clear" w:color="auto" w:fill="FFFFFF"/>
            <w:tcMar>
              <w:top w:w="0" w:type="dxa"/>
              <w:left w:w="85" w:type="dxa"/>
              <w:bottom w:w="0" w:type="dxa"/>
              <w:right w:w="85" w:type="dxa"/>
            </w:tcMar>
          </w:tcPr>
          <w:p w14:paraId="58D23137" w14:textId="77777777" w:rsidR="006611EE" w:rsidRPr="00261B7A" w:rsidRDefault="006611EE" w:rsidP="000F09B5">
            <w:pPr>
              <w:pStyle w:val="TableText"/>
              <w:spacing w:before="40" w:after="40"/>
              <w:jc w:val="right"/>
              <w:rPr>
                <w:rFonts w:cs="Calibri"/>
                <w:szCs w:val="16"/>
              </w:rPr>
            </w:pPr>
            <w:r w:rsidRPr="00261B7A">
              <w:rPr>
                <w:rFonts w:cs="Calibri"/>
                <w:szCs w:val="16"/>
              </w:rPr>
              <w:t>–8,658.8</w:t>
            </w:r>
          </w:p>
        </w:tc>
        <w:tc>
          <w:tcPr>
            <w:tcW w:w="680" w:type="dxa"/>
            <w:shd w:val="clear" w:color="auto" w:fill="FFFFFF"/>
            <w:tcMar>
              <w:top w:w="0" w:type="dxa"/>
              <w:left w:w="85" w:type="dxa"/>
              <w:bottom w:w="0" w:type="dxa"/>
              <w:right w:w="85" w:type="dxa"/>
            </w:tcMar>
          </w:tcPr>
          <w:p w14:paraId="12B6EAAB" w14:textId="77777777" w:rsidR="006611EE" w:rsidRPr="00261B7A" w:rsidRDefault="006611EE" w:rsidP="000F09B5">
            <w:pPr>
              <w:pStyle w:val="TableText"/>
              <w:spacing w:before="40" w:after="40"/>
              <w:jc w:val="right"/>
              <w:rPr>
                <w:rFonts w:cs="Calibri"/>
                <w:szCs w:val="16"/>
              </w:rPr>
            </w:pPr>
            <w:r w:rsidRPr="00261B7A">
              <w:rPr>
                <w:rFonts w:cs="Calibri"/>
                <w:szCs w:val="16"/>
              </w:rPr>
              <w:t>0.077</w:t>
            </w:r>
          </w:p>
        </w:tc>
        <w:tc>
          <w:tcPr>
            <w:tcW w:w="680" w:type="dxa"/>
            <w:shd w:val="clear" w:color="auto" w:fill="FFFFFF"/>
            <w:tcMar>
              <w:top w:w="0" w:type="dxa"/>
              <w:left w:w="85" w:type="dxa"/>
              <w:bottom w:w="0" w:type="dxa"/>
              <w:right w:w="85" w:type="dxa"/>
            </w:tcMar>
          </w:tcPr>
          <w:p w14:paraId="0E5553E0" w14:textId="77777777" w:rsidR="006611EE" w:rsidRPr="00261B7A" w:rsidRDefault="006611EE" w:rsidP="000F09B5">
            <w:pPr>
              <w:pStyle w:val="TableText"/>
              <w:spacing w:before="40" w:after="40"/>
              <w:jc w:val="right"/>
              <w:rPr>
                <w:rFonts w:cs="Calibri"/>
                <w:szCs w:val="16"/>
              </w:rPr>
            </w:pPr>
            <w:r w:rsidRPr="00261B7A">
              <w:rPr>
                <w:rFonts w:cs="Calibri"/>
                <w:szCs w:val="16"/>
              </w:rPr>
              <w:t>9.1</w:t>
            </w:r>
          </w:p>
        </w:tc>
        <w:tc>
          <w:tcPr>
            <w:tcW w:w="680" w:type="dxa"/>
            <w:shd w:val="clear" w:color="auto" w:fill="FFFFFF"/>
            <w:tcMar>
              <w:top w:w="0" w:type="dxa"/>
              <w:left w:w="85" w:type="dxa"/>
              <w:bottom w:w="0" w:type="dxa"/>
              <w:right w:w="85" w:type="dxa"/>
            </w:tcMar>
          </w:tcPr>
          <w:p w14:paraId="7A7F833A" w14:textId="77777777" w:rsidR="006611EE" w:rsidRPr="00261B7A" w:rsidRDefault="006611EE" w:rsidP="000F09B5">
            <w:pPr>
              <w:pStyle w:val="TableText"/>
              <w:spacing w:before="40" w:after="40"/>
              <w:jc w:val="right"/>
              <w:rPr>
                <w:rFonts w:cs="Calibri"/>
                <w:szCs w:val="16"/>
              </w:rPr>
            </w:pPr>
            <w:r w:rsidRPr="00261B7A">
              <w:rPr>
                <w:rFonts w:cs="Calibri"/>
                <w:szCs w:val="16"/>
              </w:rPr>
              <w:t>51.5</w:t>
            </w:r>
          </w:p>
        </w:tc>
      </w:tr>
      <w:tr w:rsidR="006611EE" w:rsidRPr="00261B7A" w14:paraId="41918E8B" w14:textId="77777777" w:rsidTr="000F09B5">
        <w:tc>
          <w:tcPr>
            <w:tcW w:w="567" w:type="dxa"/>
            <w:shd w:val="clear" w:color="auto" w:fill="FFFFFF"/>
            <w:tcMar>
              <w:top w:w="0" w:type="dxa"/>
              <w:left w:w="85" w:type="dxa"/>
              <w:bottom w:w="0" w:type="dxa"/>
              <w:right w:w="85" w:type="dxa"/>
            </w:tcMar>
          </w:tcPr>
          <w:p w14:paraId="35F73B13" w14:textId="77777777" w:rsidR="006611EE" w:rsidRPr="00261B7A" w:rsidRDefault="006611EE" w:rsidP="000F09B5">
            <w:pPr>
              <w:pStyle w:val="TableText"/>
              <w:spacing w:before="40" w:after="40"/>
              <w:rPr>
                <w:rFonts w:cs="Calibri"/>
                <w:szCs w:val="16"/>
              </w:rPr>
            </w:pPr>
            <w:r w:rsidRPr="00261B7A">
              <w:rPr>
                <w:rFonts w:cs="Calibri"/>
                <w:szCs w:val="16"/>
              </w:rPr>
              <w:t>3.A.1</w:t>
            </w:r>
          </w:p>
        </w:tc>
        <w:tc>
          <w:tcPr>
            <w:tcW w:w="2552" w:type="dxa"/>
            <w:shd w:val="clear" w:color="auto" w:fill="FFFFFF"/>
            <w:tcMar>
              <w:top w:w="0" w:type="dxa"/>
              <w:left w:w="85" w:type="dxa"/>
              <w:bottom w:w="0" w:type="dxa"/>
              <w:right w:w="85" w:type="dxa"/>
            </w:tcMar>
          </w:tcPr>
          <w:p w14:paraId="68A225DC" w14:textId="77777777" w:rsidR="006611EE" w:rsidRPr="00261B7A" w:rsidRDefault="006611EE" w:rsidP="000F09B5">
            <w:pPr>
              <w:pStyle w:val="TableText"/>
              <w:spacing w:before="40" w:after="40"/>
              <w:rPr>
                <w:rFonts w:cs="Calibri"/>
                <w:szCs w:val="16"/>
              </w:rPr>
            </w:pPr>
            <w:r w:rsidRPr="00261B7A">
              <w:rPr>
                <w:rFonts w:cs="Calibri"/>
                <w:szCs w:val="16"/>
              </w:rPr>
              <w:t>Option A – Dairy Cattle</w:t>
            </w:r>
          </w:p>
        </w:tc>
        <w:tc>
          <w:tcPr>
            <w:tcW w:w="510" w:type="dxa"/>
            <w:shd w:val="clear" w:color="auto" w:fill="FFFFFF"/>
            <w:tcMar>
              <w:top w:w="0" w:type="dxa"/>
              <w:left w:w="85" w:type="dxa"/>
              <w:bottom w:w="0" w:type="dxa"/>
              <w:right w:w="85" w:type="dxa"/>
            </w:tcMar>
          </w:tcPr>
          <w:p w14:paraId="2F936095" w14:textId="77777777" w:rsidR="006611EE" w:rsidRPr="00261B7A" w:rsidRDefault="006611EE" w:rsidP="000F09B5">
            <w:pPr>
              <w:pStyle w:val="TableText"/>
              <w:spacing w:before="40" w:after="40"/>
              <w:jc w:val="center"/>
              <w:rPr>
                <w:rFonts w:cs="Calibri"/>
                <w:szCs w:val="16"/>
              </w:rPr>
            </w:pPr>
            <w:r w:rsidRPr="00261B7A">
              <w:rPr>
                <w:rFonts w:cs="Calibri"/>
                <w:szCs w:val="16"/>
              </w:rPr>
              <w:t>CH</w:t>
            </w:r>
            <w:r w:rsidRPr="00261B7A">
              <w:rPr>
                <w:rFonts w:cs="Calibri"/>
                <w:szCs w:val="16"/>
                <w:vertAlign w:val="subscript"/>
              </w:rPr>
              <w:t>4</w:t>
            </w:r>
          </w:p>
        </w:tc>
        <w:tc>
          <w:tcPr>
            <w:tcW w:w="851" w:type="dxa"/>
            <w:shd w:val="clear" w:color="auto" w:fill="FFFFFF"/>
            <w:tcMar>
              <w:top w:w="0" w:type="dxa"/>
              <w:left w:w="85" w:type="dxa"/>
              <w:bottom w:w="0" w:type="dxa"/>
              <w:right w:w="85" w:type="dxa"/>
            </w:tcMar>
          </w:tcPr>
          <w:p w14:paraId="43ED110A" w14:textId="77777777" w:rsidR="006611EE" w:rsidRPr="00261B7A" w:rsidRDefault="006611EE" w:rsidP="000F09B5">
            <w:pPr>
              <w:pStyle w:val="TableText"/>
              <w:spacing w:before="40" w:after="40"/>
              <w:jc w:val="right"/>
              <w:rPr>
                <w:rFonts w:cs="Calibri"/>
                <w:szCs w:val="16"/>
              </w:rPr>
            </w:pPr>
            <w:r w:rsidRPr="00261B7A">
              <w:rPr>
                <w:rFonts w:cs="Calibri"/>
                <w:szCs w:val="16"/>
              </w:rPr>
              <w:t>6,012.9</w:t>
            </w:r>
          </w:p>
        </w:tc>
        <w:tc>
          <w:tcPr>
            <w:tcW w:w="851" w:type="dxa"/>
            <w:shd w:val="clear" w:color="auto" w:fill="FFFFFF"/>
            <w:tcMar>
              <w:top w:w="0" w:type="dxa"/>
              <w:left w:w="85" w:type="dxa"/>
              <w:bottom w:w="0" w:type="dxa"/>
              <w:right w:w="85" w:type="dxa"/>
            </w:tcMar>
          </w:tcPr>
          <w:p w14:paraId="78B38F76" w14:textId="77777777" w:rsidR="006611EE" w:rsidRPr="00261B7A" w:rsidRDefault="006611EE" w:rsidP="000F09B5">
            <w:pPr>
              <w:pStyle w:val="TableText"/>
              <w:spacing w:before="40" w:after="40"/>
              <w:jc w:val="right"/>
              <w:rPr>
                <w:rFonts w:cs="Calibri"/>
                <w:szCs w:val="16"/>
              </w:rPr>
            </w:pPr>
            <w:r w:rsidRPr="00261B7A">
              <w:rPr>
                <w:rFonts w:cs="Calibri"/>
                <w:szCs w:val="16"/>
              </w:rPr>
              <w:t>13,382.5</w:t>
            </w:r>
          </w:p>
        </w:tc>
        <w:tc>
          <w:tcPr>
            <w:tcW w:w="680" w:type="dxa"/>
            <w:shd w:val="clear" w:color="auto" w:fill="FFFFFF"/>
            <w:tcMar>
              <w:top w:w="0" w:type="dxa"/>
              <w:left w:w="85" w:type="dxa"/>
              <w:bottom w:w="0" w:type="dxa"/>
              <w:right w:w="85" w:type="dxa"/>
            </w:tcMar>
          </w:tcPr>
          <w:p w14:paraId="1B93921D" w14:textId="77777777" w:rsidR="006611EE" w:rsidRPr="00261B7A" w:rsidRDefault="006611EE" w:rsidP="000F09B5">
            <w:pPr>
              <w:pStyle w:val="TableText"/>
              <w:spacing w:before="40" w:after="40"/>
              <w:jc w:val="right"/>
              <w:rPr>
                <w:rFonts w:cs="Calibri"/>
                <w:szCs w:val="16"/>
              </w:rPr>
            </w:pPr>
            <w:r w:rsidRPr="00261B7A">
              <w:rPr>
                <w:rFonts w:cs="Calibri"/>
                <w:szCs w:val="16"/>
              </w:rPr>
              <w:t>0.066</w:t>
            </w:r>
          </w:p>
        </w:tc>
        <w:tc>
          <w:tcPr>
            <w:tcW w:w="680" w:type="dxa"/>
            <w:shd w:val="clear" w:color="auto" w:fill="FFFFFF"/>
            <w:tcMar>
              <w:top w:w="0" w:type="dxa"/>
              <w:left w:w="85" w:type="dxa"/>
              <w:bottom w:w="0" w:type="dxa"/>
              <w:right w:w="85" w:type="dxa"/>
            </w:tcMar>
          </w:tcPr>
          <w:p w14:paraId="075919E9" w14:textId="77777777" w:rsidR="006611EE" w:rsidRPr="00261B7A" w:rsidRDefault="006611EE" w:rsidP="000F09B5">
            <w:pPr>
              <w:pStyle w:val="TableText"/>
              <w:spacing w:before="40" w:after="40"/>
              <w:jc w:val="right"/>
              <w:rPr>
                <w:rFonts w:cs="Calibri"/>
                <w:szCs w:val="16"/>
              </w:rPr>
            </w:pPr>
            <w:r w:rsidRPr="00261B7A">
              <w:rPr>
                <w:rFonts w:cs="Calibri"/>
                <w:szCs w:val="16"/>
              </w:rPr>
              <w:t>7.9</w:t>
            </w:r>
          </w:p>
        </w:tc>
        <w:tc>
          <w:tcPr>
            <w:tcW w:w="680" w:type="dxa"/>
            <w:shd w:val="clear" w:color="auto" w:fill="FFFFFF"/>
            <w:tcMar>
              <w:top w:w="0" w:type="dxa"/>
              <w:left w:w="85" w:type="dxa"/>
              <w:bottom w:w="0" w:type="dxa"/>
              <w:right w:w="85" w:type="dxa"/>
            </w:tcMar>
          </w:tcPr>
          <w:p w14:paraId="0043BC0A" w14:textId="77777777" w:rsidR="006611EE" w:rsidRPr="00261B7A" w:rsidRDefault="006611EE" w:rsidP="000F09B5">
            <w:pPr>
              <w:pStyle w:val="TableText"/>
              <w:spacing w:before="40" w:after="40"/>
              <w:jc w:val="right"/>
              <w:rPr>
                <w:rFonts w:cs="Calibri"/>
                <w:szCs w:val="16"/>
              </w:rPr>
            </w:pPr>
            <w:r w:rsidRPr="00261B7A">
              <w:rPr>
                <w:rFonts w:cs="Calibri"/>
                <w:szCs w:val="16"/>
              </w:rPr>
              <w:t>59.3</w:t>
            </w:r>
          </w:p>
        </w:tc>
      </w:tr>
      <w:tr w:rsidR="006611EE" w:rsidRPr="00261B7A" w14:paraId="43764085" w14:textId="77777777" w:rsidTr="000F09B5">
        <w:tc>
          <w:tcPr>
            <w:tcW w:w="567" w:type="dxa"/>
            <w:shd w:val="clear" w:color="auto" w:fill="FFFFFF"/>
            <w:tcMar>
              <w:top w:w="0" w:type="dxa"/>
              <w:left w:w="85" w:type="dxa"/>
              <w:bottom w:w="0" w:type="dxa"/>
              <w:right w:w="85" w:type="dxa"/>
            </w:tcMar>
          </w:tcPr>
          <w:p w14:paraId="08164C35" w14:textId="77777777" w:rsidR="006611EE" w:rsidRPr="00261B7A" w:rsidRDefault="006611EE" w:rsidP="000F09B5">
            <w:pPr>
              <w:pStyle w:val="TableText"/>
              <w:spacing w:before="40" w:after="40"/>
              <w:rPr>
                <w:rFonts w:cs="Calibri"/>
                <w:szCs w:val="16"/>
              </w:rPr>
            </w:pPr>
            <w:r w:rsidRPr="00261B7A">
              <w:rPr>
                <w:rFonts w:cs="Calibri"/>
                <w:szCs w:val="16"/>
              </w:rPr>
              <w:t>1.A.3.b</w:t>
            </w:r>
          </w:p>
        </w:tc>
        <w:tc>
          <w:tcPr>
            <w:tcW w:w="2552" w:type="dxa"/>
            <w:shd w:val="clear" w:color="auto" w:fill="FFFFFF"/>
            <w:tcMar>
              <w:top w:w="0" w:type="dxa"/>
              <w:left w:w="85" w:type="dxa"/>
              <w:bottom w:w="0" w:type="dxa"/>
              <w:right w:w="85" w:type="dxa"/>
            </w:tcMar>
          </w:tcPr>
          <w:p w14:paraId="5A7649B8" w14:textId="77777777" w:rsidR="006611EE" w:rsidRPr="00261B7A" w:rsidRDefault="006611EE" w:rsidP="000F09B5">
            <w:pPr>
              <w:pStyle w:val="TableText"/>
              <w:spacing w:before="40" w:after="40"/>
              <w:rPr>
                <w:rFonts w:cs="Calibri"/>
                <w:szCs w:val="16"/>
              </w:rPr>
            </w:pPr>
            <w:r w:rsidRPr="00261B7A">
              <w:rPr>
                <w:rFonts w:cs="Calibri"/>
                <w:szCs w:val="16"/>
              </w:rPr>
              <w:t>Transport – Road Transportation Liquid Fuels</w:t>
            </w:r>
          </w:p>
        </w:tc>
        <w:tc>
          <w:tcPr>
            <w:tcW w:w="510" w:type="dxa"/>
            <w:shd w:val="clear" w:color="auto" w:fill="FFFFFF"/>
            <w:tcMar>
              <w:top w:w="0" w:type="dxa"/>
              <w:left w:w="85" w:type="dxa"/>
              <w:bottom w:w="0" w:type="dxa"/>
              <w:right w:w="85" w:type="dxa"/>
            </w:tcMar>
          </w:tcPr>
          <w:p w14:paraId="06F70817"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4DFE1194" w14:textId="77777777" w:rsidR="006611EE" w:rsidRPr="00261B7A" w:rsidRDefault="006611EE" w:rsidP="000F09B5">
            <w:pPr>
              <w:pStyle w:val="TableText"/>
              <w:spacing w:before="40" w:after="40"/>
              <w:jc w:val="right"/>
              <w:rPr>
                <w:rFonts w:cs="Calibri"/>
                <w:szCs w:val="16"/>
              </w:rPr>
            </w:pPr>
            <w:r w:rsidRPr="00261B7A">
              <w:rPr>
                <w:rFonts w:cs="Calibri"/>
                <w:szCs w:val="16"/>
              </w:rPr>
              <w:t>6,519.0</w:t>
            </w:r>
          </w:p>
        </w:tc>
        <w:tc>
          <w:tcPr>
            <w:tcW w:w="851" w:type="dxa"/>
            <w:shd w:val="clear" w:color="auto" w:fill="FFFFFF"/>
            <w:tcMar>
              <w:top w:w="0" w:type="dxa"/>
              <w:left w:w="85" w:type="dxa"/>
              <w:bottom w:w="0" w:type="dxa"/>
              <w:right w:w="85" w:type="dxa"/>
            </w:tcMar>
          </w:tcPr>
          <w:p w14:paraId="26F52F96" w14:textId="77777777" w:rsidR="006611EE" w:rsidRPr="00261B7A" w:rsidRDefault="006611EE" w:rsidP="000F09B5">
            <w:pPr>
              <w:pStyle w:val="TableText"/>
              <w:spacing w:before="40" w:after="40"/>
              <w:jc w:val="right"/>
              <w:rPr>
                <w:rFonts w:cs="Calibri"/>
                <w:szCs w:val="16"/>
              </w:rPr>
            </w:pPr>
            <w:r w:rsidRPr="00261B7A">
              <w:rPr>
                <w:rFonts w:cs="Calibri"/>
                <w:szCs w:val="16"/>
              </w:rPr>
              <w:t>12,555.0</w:t>
            </w:r>
          </w:p>
        </w:tc>
        <w:tc>
          <w:tcPr>
            <w:tcW w:w="680" w:type="dxa"/>
            <w:shd w:val="clear" w:color="auto" w:fill="FFFFFF"/>
            <w:tcMar>
              <w:top w:w="0" w:type="dxa"/>
              <w:left w:w="85" w:type="dxa"/>
              <w:bottom w:w="0" w:type="dxa"/>
              <w:right w:w="85" w:type="dxa"/>
            </w:tcMar>
          </w:tcPr>
          <w:p w14:paraId="272F58A6" w14:textId="77777777" w:rsidR="006611EE" w:rsidRPr="00261B7A" w:rsidRDefault="006611EE" w:rsidP="000F09B5">
            <w:pPr>
              <w:pStyle w:val="TableText"/>
              <w:spacing w:before="40" w:after="40"/>
              <w:jc w:val="right"/>
              <w:rPr>
                <w:rFonts w:cs="Calibri"/>
                <w:szCs w:val="16"/>
              </w:rPr>
            </w:pPr>
            <w:r w:rsidRPr="00261B7A">
              <w:rPr>
                <w:rFonts w:cs="Calibri"/>
                <w:szCs w:val="16"/>
              </w:rPr>
              <w:t>0.050</w:t>
            </w:r>
          </w:p>
        </w:tc>
        <w:tc>
          <w:tcPr>
            <w:tcW w:w="680" w:type="dxa"/>
            <w:shd w:val="clear" w:color="auto" w:fill="FFFFFF"/>
            <w:tcMar>
              <w:top w:w="0" w:type="dxa"/>
              <w:left w:w="85" w:type="dxa"/>
              <w:bottom w:w="0" w:type="dxa"/>
              <w:right w:w="85" w:type="dxa"/>
            </w:tcMar>
          </w:tcPr>
          <w:p w14:paraId="5E6892E6" w14:textId="77777777" w:rsidR="006611EE" w:rsidRPr="00261B7A" w:rsidRDefault="006611EE" w:rsidP="000F09B5">
            <w:pPr>
              <w:pStyle w:val="TableText"/>
              <w:spacing w:before="40" w:after="40"/>
              <w:jc w:val="right"/>
              <w:rPr>
                <w:rFonts w:cs="Calibri"/>
                <w:szCs w:val="16"/>
              </w:rPr>
            </w:pPr>
            <w:r w:rsidRPr="00261B7A">
              <w:rPr>
                <w:rFonts w:cs="Calibri"/>
                <w:szCs w:val="16"/>
              </w:rPr>
              <w:t>5.9</w:t>
            </w:r>
          </w:p>
        </w:tc>
        <w:tc>
          <w:tcPr>
            <w:tcW w:w="680" w:type="dxa"/>
            <w:shd w:val="clear" w:color="auto" w:fill="FFFFFF"/>
            <w:tcMar>
              <w:top w:w="0" w:type="dxa"/>
              <w:left w:w="85" w:type="dxa"/>
              <w:bottom w:w="0" w:type="dxa"/>
              <w:right w:w="85" w:type="dxa"/>
            </w:tcMar>
          </w:tcPr>
          <w:p w14:paraId="6CD85D0A" w14:textId="77777777" w:rsidR="006611EE" w:rsidRPr="00261B7A" w:rsidRDefault="006611EE" w:rsidP="000F09B5">
            <w:pPr>
              <w:pStyle w:val="TableText"/>
              <w:spacing w:before="40" w:after="40"/>
              <w:jc w:val="right"/>
              <w:rPr>
                <w:rFonts w:cs="Calibri"/>
                <w:szCs w:val="16"/>
              </w:rPr>
            </w:pPr>
            <w:r w:rsidRPr="00261B7A">
              <w:rPr>
                <w:rFonts w:cs="Calibri"/>
                <w:szCs w:val="16"/>
              </w:rPr>
              <w:t>65.2</w:t>
            </w:r>
          </w:p>
        </w:tc>
      </w:tr>
      <w:tr w:rsidR="006611EE" w:rsidRPr="00261B7A" w14:paraId="54BD3A8C" w14:textId="77777777" w:rsidTr="000F09B5">
        <w:tc>
          <w:tcPr>
            <w:tcW w:w="567" w:type="dxa"/>
            <w:shd w:val="clear" w:color="auto" w:fill="FFFFFF"/>
            <w:tcMar>
              <w:top w:w="0" w:type="dxa"/>
              <w:left w:w="85" w:type="dxa"/>
              <w:bottom w:w="0" w:type="dxa"/>
              <w:right w:w="85" w:type="dxa"/>
            </w:tcMar>
          </w:tcPr>
          <w:p w14:paraId="2A95F9C5" w14:textId="77777777" w:rsidR="006611EE" w:rsidRPr="00261B7A" w:rsidRDefault="006611EE" w:rsidP="000F09B5">
            <w:pPr>
              <w:pStyle w:val="TableText"/>
              <w:spacing w:before="40" w:after="40"/>
              <w:rPr>
                <w:rFonts w:cs="Calibri"/>
                <w:szCs w:val="16"/>
              </w:rPr>
            </w:pPr>
            <w:r w:rsidRPr="00261B7A">
              <w:rPr>
                <w:rFonts w:cs="Calibri"/>
                <w:szCs w:val="16"/>
              </w:rPr>
              <w:t>1.A.1.c</w:t>
            </w:r>
          </w:p>
        </w:tc>
        <w:tc>
          <w:tcPr>
            <w:tcW w:w="2552" w:type="dxa"/>
            <w:shd w:val="clear" w:color="auto" w:fill="FFFFFF"/>
            <w:tcMar>
              <w:top w:w="0" w:type="dxa"/>
              <w:left w:w="85" w:type="dxa"/>
              <w:bottom w:w="0" w:type="dxa"/>
              <w:right w:w="85" w:type="dxa"/>
            </w:tcMar>
          </w:tcPr>
          <w:p w14:paraId="569BD108" w14:textId="77777777" w:rsidR="006611EE" w:rsidRPr="00261B7A" w:rsidRDefault="006611EE" w:rsidP="000F09B5">
            <w:pPr>
              <w:pStyle w:val="TableText"/>
              <w:spacing w:before="40" w:after="40"/>
              <w:rPr>
                <w:rFonts w:cs="Calibri"/>
                <w:szCs w:val="16"/>
              </w:rPr>
            </w:pPr>
            <w:r w:rsidRPr="00261B7A">
              <w:rPr>
                <w:rFonts w:cs="Calibri"/>
                <w:szCs w:val="16"/>
              </w:rPr>
              <w:t>Energy Industries – Manufacture of Solid Fuels and Other Energy Industries Gaseous Fuels</w:t>
            </w:r>
          </w:p>
        </w:tc>
        <w:tc>
          <w:tcPr>
            <w:tcW w:w="510" w:type="dxa"/>
            <w:shd w:val="clear" w:color="auto" w:fill="FFFFFF"/>
            <w:tcMar>
              <w:top w:w="0" w:type="dxa"/>
              <w:left w:w="85" w:type="dxa"/>
              <w:bottom w:w="0" w:type="dxa"/>
              <w:right w:w="85" w:type="dxa"/>
            </w:tcMar>
          </w:tcPr>
          <w:p w14:paraId="32AF1146"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01367D74" w14:textId="77777777" w:rsidR="006611EE" w:rsidRPr="00261B7A" w:rsidRDefault="006611EE" w:rsidP="000F09B5">
            <w:pPr>
              <w:pStyle w:val="TableText"/>
              <w:spacing w:before="40" w:after="40"/>
              <w:jc w:val="right"/>
              <w:rPr>
                <w:rFonts w:cs="Calibri"/>
                <w:szCs w:val="16"/>
              </w:rPr>
            </w:pPr>
            <w:r w:rsidRPr="00261B7A">
              <w:rPr>
                <w:rFonts w:cs="Calibri"/>
                <w:szCs w:val="16"/>
              </w:rPr>
              <w:t>1,715.3</w:t>
            </w:r>
          </w:p>
        </w:tc>
        <w:tc>
          <w:tcPr>
            <w:tcW w:w="851" w:type="dxa"/>
            <w:shd w:val="clear" w:color="auto" w:fill="FFFFFF"/>
            <w:tcMar>
              <w:top w:w="0" w:type="dxa"/>
              <w:left w:w="85" w:type="dxa"/>
              <w:bottom w:w="0" w:type="dxa"/>
              <w:right w:w="85" w:type="dxa"/>
            </w:tcMar>
          </w:tcPr>
          <w:p w14:paraId="22778882" w14:textId="77777777" w:rsidR="006611EE" w:rsidRPr="00261B7A" w:rsidRDefault="006611EE" w:rsidP="000F09B5">
            <w:pPr>
              <w:pStyle w:val="TableText"/>
              <w:spacing w:before="40" w:after="40"/>
              <w:jc w:val="right"/>
              <w:rPr>
                <w:rFonts w:cs="Calibri"/>
                <w:szCs w:val="16"/>
              </w:rPr>
            </w:pPr>
            <w:r w:rsidRPr="00261B7A">
              <w:rPr>
                <w:rFonts w:cs="Calibri"/>
                <w:szCs w:val="16"/>
              </w:rPr>
              <w:t>240.4</w:t>
            </w:r>
          </w:p>
        </w:tc>
        <w:tc>
          <w:tcPr>
            <w:tcW w:w="680" w:type="dxa"/>
            <w:shd w:val="clear" w:color="auto" w:fill="FFFFFF"/>
            <w:tcMar>
              <w:top w:w="0" w:type="dxa"/>
              <w:left w:w="85" w:type="dxa"/>
              <w:bottom w:w="0" w:type="dxa"/>
              <w:right w:w="85" w:type="dxa"/>
            </w:tcMar>
          </w:tcPr>
          <w:p w14:paraId="5EBCB400" w14:textId="77777777" w:rsidR="006611EE" w:rsidRPr="00261B7A" w:rsidRDefault="006611EE" w:rsidP="000F09B5">
            <w:pPr>
              <w:pStyle w:val="TableText"/>
              <w:spacing w:before="40" w:after="40"/>
              <w:jc w:val="right"/>
              <w:rPr>
                <w:rFonts w:cs="Calibri"/>
                <w:szCs w:val="16"/>
              </w:rPr>
            </w:pPr>
            <w:r w:rsidRPr="00261B7A">
              <w:rPr>
                <w:rFonts w:cs="Calibri"/>
                <w:szCs w:val="16"/>
              </w:rPr>
              <w:t>0.022</w:t>
            </w:r>
          </w:p>
        </w:tc>
        <w:tc>
          <w:tcPr>
            <w:tcW w:w="680" w:type="dxa"/>
            <w:shd w:val="clear" w:color="auto" w:fill="FFFFFF"/>
            <w:tcMar>
              <w:top w:w="0" w:type="dxa"/>
              <w:left w:w="85" w:type="dxa"/>
              <w:bottom w:w="0" w:type="dxa"/>
              <w:right w:w="85" w:type="dxa"/>
            </w:tcMar>
          </w:tcPr>
          <w:p w14:paraId="08524200" w14:textId="77777777" w:rsidR="006611EE" w:rsidRPr="00261B7A" w:rsidRDefault="006611EE" w:rsidP="000F09B5">
            <w:pPr>
              <w:pStyle w:val="TableText"/>
              <w:spacing w:before="40" w:after="40"/>
              <w:jc w:val="right"/>
              <w:rPr>
                <w:rFonts w:cs="Calibri"/>
                <w:szCs w:val="16"/>
              </w:rPr>
            </w:pPr>
            <w:r w:rsidRPr="00261B7A">
              <w:rPr>
                <w:rFonts w:cs="Calibri"/>
                <w:szCs w:val="16"/>
              </w:rPr>
              <w:t>2.6</w:t>
            </w:r>
          </w:p>
        </w:tc>
        <w:tc>
          <w:tcPr>
            <w:tcW w:w="680" w:type="dxa"/>
            <w:shd w:val="clear" w:color="auto" w:fill="FFFFFF"/>
            <w:tcMar>
              <w:top w:w="0" w:type="dxa"/>
              <w:left w:w="85" w:type="dxa"/>
              <w:bottom w:w="0" w:type="dxa"/>
              <w:right w:w="85" w:type="dxa"/>
            </w:tcMar>
          </w:tcPr>
          <w:p w14:paraId="56BABBA3" w14:textId="77777777" w:rsidR="006611EE" w:rsidRPr="00261B7A" w:rsidRDefault="006611EE" w:rsidP="000F09B5">
            <w:pPr>
              <w:pStyle w:val="TableText"/>
              <w:spacing w:before="40" w:after="40"/>
              <w:jc w:val="right"/>
              <w:rPr>
                <w:rFonts w:cs="Calibri"/>
                <w:szCs w:val="16"/>
              </w:rPr>
            </w:pPr>
            <w:r w:rsidRPr="00261B7A">
              <w:rPr>
                <w:rFonts w:cs="Calibri"/>
                <w:szCs w:val="16"/>
              </w:rPr>
              <w:t>67.8</w:t>
            </w:r>
          </w:p>
        </w:tc>
      </w:tr>
      <w:tr w:rsidR="006611EE" w:rsidRPr="00261B7A" w14:paraId="2575665D" w14:textId="77777777" w:rsidTr="000F09B5">
        <w:tc>
          <w:tcPr>
            <w:tcW w:w="567" w:type="dxa"/>
            <w:shd w:val="clear" w:color="auto" w:fill="FFFFFF"/>
            <w:tcMar>
              <w:top w:w="0" w:type="dxa"/>
              <w:left w:w="85" w:type="dxa"/>
              <w:bottom w:w="0" w:type="dxa"/>
              <w:right w:w="85" w:type="dxa"/>
            </w:tcMar>
          </w:tcPr>
          <w:p w14:paraId="7A7C00FF" w14:textId="77777777" w:rsidR="006611EE" w:rsidRPr="00261B7A" w:rsidDel="00FD7684" w:rsidRDefault="006611EE" w:rsidP="000F09B5">
            <w:pPr>
              <w:pStyle w:val="TableText"/>
              <w:spacing w:before="40" w:after="40"/>
              <w:rPr>
                <w:rFonts w:eastAsia="Calibri" w:cs="Calibri"/>
                <w:color w:val="000000"/>
                <w:szCs w:val="16"/>
              </w:rPr>
            </w:pPr>
            <w:r w:rsidRPr="00261B7A">
              <w:rPr>
                <w:rFonts w:cs="Calibri"/>
                <w:szCs w:val="16"/>
              </w:rPr>
              <w:t>1.A.1.a</w:t>
            </w:r>
          </w:p>
        </w:tc>
        <w:tc>
          <w:tcPr>
            <w:tcW w:w="2552" w:type="dxa"/>
            <w:shd w:val="clear" w:color="auto" w:fill="FFFFFF"/>
            <w:tcMar>
              <w:top w:w="0" w:type="dxa"/>
              <w:left w:w="85" w:type="dxa"/>
              <w:bottom w:w="0" w:type="dxa"/>
              <w:right w:w="85" w:type="dxa"/>
            </w:tcMar>
          </w:tcPr>
          <w:p w14:paraId="023F254F" w14:textId="77777777" w:rsidR="006611EE" w:rsidRPr="00261B7A" w:rsidDel="00FD7684" w:rsidRDefault="006611EE" w:rsidP="000F09B5">
            <w:pPr>
              <w:pStyle w:val="TableText"/>
              <w:spacing w:before="40" w:after="40"/>
              <w:rPr>
                <w:rFonts w:eastAsia="Calibri" w:cs="Calibri"/>
                <w:color w:val="000000"/>
                <w:szCs w:val="16"/>
              </w:rPr>
            </w:pPr>
            <w:r w:rsidRPr="00261B7A">
              <w:rPr>
                <w:rFonts w:cs="Calibri"/>
                <w:szCs w:val="16"/>
              </w:rPr>
              <w:t>Energy Industries – Public Electricity and Heat Production Solid Fuels</w:t>
            </w:r>
          </w:p>
        </w:tc>
        <w:tc>
          <w:tcPr>
            <w:tcW w:w="510" w:type="dxa"/>
            <w:shd w:val="clear" w:color="auto" w:fill="FFFFFF"/>
            <w:tcMar>
              <w:top w:w="0" w:type="dxa"/>
              <w:left w:w="85" w:type="dxa"/>
              <w:bottom w:w="0" w:type="dxa"/>
              <w:right w:w="85" w:type="dxa"/>
            </w:tcMar>
          </w:tcPr>
          <w:p w14:paraId="4B87061D" w14:textId="77777777" w:rsidR="006611EE" w:rsidRPr="00261B7A" w:rsidDel="00FD7684" w:rsidRDefault="006611EE" w:rsidP="000F09B5">
            <w:pPr>
              <w:pStyle w:val="TableText"/>
              <w:spacing w:before="40" w:after="40"/>
              <w:jc w:val="center"/>
              <w:rPr>
                <w:rFonts w:eastAsia="Calibri" w:cs="Calibri"/>
                <w:color w:val="000000"/>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16026C25" w14:textId="77777777" w:rsidR="006611EE" w:rsidRPr="00261B7A" w:rsidDel="00FD7684" w:rsidRDefault="006611EE" w:rsidP="000F09B5">
            <w:pPr>
              <w:pStyle w:val="TableText"/>
              <w:spacing w:before="40" w:after="40"/>
              <w:jc w:val="right"/>
              <w:rPr>
                <w:rFonts w:eastAsia="Calibri" w:cs="Calibri"/>
                <w:color w:val="000000"/>
                <w:szCs w:val="16"/>
              </w:rPr>
            </w:pPr>
            <w:r w:rsidRPr="00261B7A">
              <w:rPr>
                <w:rFonts w:cs="Calibri"/>
                <w:szCs w:val="16"/>
              </w:rPr>
              <w:t>474.8</w:t>
            </w:r>
          </w:p>
        </w:tc>
        <w:tc>
          <w:tcPr>
            <w:tcW w:w="851" w:type="dxa"/>
            <w:shd w:val="clear" w:color="auto" w:fill="FFFFFF"/>
            <w:tcMar>
              <w:top w:w="0" w:type="dxa"/>
              <w:left w:w="85" w:type="dxa"/>
              <w:bottom w:w="0" w:type="dxa"/>
              <w:right w:w="85" w:type="dxa"/>
            </w:tcMar>
          </w:tcPr>
          <w:p w14:paraId="75FB773E" w14:textId="77777777" w:rsidR="006611EE" w:rsidRPr="00261B7A" w:rsidDel="00FD7684" w:rsidRDefault="006611EE" w:rsidP="000F09B5">
            <w:pPr>
              <w:pStyle w:val="TableText"/>
              <w:spacing w:before="40" w:after="40"/>
              <w:jc w:val="right"/>
              <w:rPr>
                <w:rFonts w:eastAsia="Calibri" w:cs="Calibri"/>
                <w:color w:val="000000"/>
                <w:szCs w:val="16"/>
              </w:rPr>
            </w:pPr>
            <w:r w:rsidRPr="00261B7A">
              <w:rPr>
                <w:rFonts w:cs="Calibri"/>
                <w:szCs w:val="16"/>
              </w:rPr>
              <w:t>2,346.4</w:t>
            </w:r>
          </w:p>
        </w:tc>
        <w:tc>
          <w:tcPr>
            <w:tcW w:w="680" w:type="dxa"/>
            <w:shd w:val="clear" w:color="auto" w:fill="FFFFFF"/>
            <w:tcMar>
              <w:top w:w="0" w:type="dxa"/>
              <w:left w:w="85" w:type="dxa"/>
              <w:bottom w:w="0" w:type="dxa"/>
              <w:right w:w="85" w:type="dxa"/>
            </w:tcMar>
          </w:tcPr>
          <w:p w14:paraId="4B1A8161" w14:textId="77777777" w:rsidR="006611EE" w:rsidRPr="00261B7A" w:rsidDel="00FD7684" w:rsidRDefault="006611EE" w:rsidP="000F09B5">
            <w:pPr>
              <w:pStyle w:val="TableText"/>
              <w:spacing w:before="40" w:after="40"/>
              <w:jc w:val="right"/>
              <w:rPr>
                <w:rFonts w:eastAsia="Calibri" w:cs="Calibri"/>
                <w:color w:val="000000"/>
                <w:szCs w:val="16"/>
              </w:rPr>
            </w:pPr>
            <w:r w:rsidRPr="00261B7A">
              <w:rPr>
                <w:rFonts w:cs="Calibri"/>
                <w:szCs w:val="16"/>
              </w:rPr>
              <w:t>0.020</w:t>
            </w:r>
          </w:p>
        </w:tc>
        <w:tc>
          <w:tcPr>
            <w:tcW w:w="680" w:type="dxa"/>
            <w:shd w:val="clear" w:color="auto" w:fill="FFFFFF"/>
            <w:tcMar>
              <w:top w:w="0" w:type="dxa"/>
              <w:left w:w="85" w:type="dxa"/>
              <w:bottom w:w="0" w:type="dxa"/>
              <w:right w:w="85" w:type="dxa"/>
            </w:tcMar>
          </w:tcPr>
          <w:p w14:paraId="52E249D1" w14:textId="77777777" w:rsidR="006611EE" w:rsidRPr="00261B7A" w:rsidDel="00FD7684" w:rsidRDefault="006611EE" w:rsidP="000F09B5">
            <w:pPr>
              <w:pStyle w:val="TableText"/>
              <w:spacing w:before="40" w:after="40"/>
              <w:jc w:val="right"/>
              <w:rPr>
                <w:rFonts w:eastAsia="Calibri" w:cs="Calibri"/>
                <w:color w:val="000000"/>
                <w:szCs w:val="16"/>
              </w:rPr>
            </w:pPr>
            <w:r w:rsidRPr="00261B7A">
              <w:rPr>
                <w:rFonts w:cs="Calibri"/>
                <w:szCs w:val="16"/>
              </w:rPr>
              <w:t>2.3</w:t>
            </w:r>
          </w:p>
        </w:tc>
        <w:tc>
          <w:tcPr>
            <w:tcW w:w="680" w:type="dxa"/>
            <w:shd w:val="clear" w:color="auto" w:fill="FFFFFF"/>
            <w:tcMar>
              <w:top w:w="0" w:type="dxa"/>
              <w:left w:w="85" w:type="dxa"/>
              <w:bottom w:w="0" w:type="dxa"/>
              <w:right w:w="85" w:type="dxa"/>
            </w:tcMar>
          </w:tcPr>
          <w:p w14:paraId="4E36C020" w14:textId="77777777" w:rsidR="006611EE" w:rsidRPr="00261B7A" w:rsidDel="00FD7684" w:rsidRDefault="006611EE" w:rsidP="000F09B5">
            <w:pPr>
              <w:pStyle w:val="TableText"/>
              <w:spacing w:before="40" w:after="40"/>
              <w:jc w:val="right"/>
              <w:rPr>
                <w:rFonts w:eastAsia="Calibri" w:cs="Calibri"/>
                <w:color w:val="000000"/>
                <w:szCs w:val="16"/>
              </w:rPr>
            </w:pPr>
            <w:r w:rsidRPr="00261B7A">
              <w:rPr>
                <w:rFonts w:cs="Calibri"/>
                <w:szCs w:val="16"/>
              </w:rPr>
              <w:t>70.1</w:t>
            </w:r>
          </w:p>
        </w:tc>
      </w:tr>
      <w:tr w:rsidR="006611EE" w:rsidRPr="00261B7A" w14:paraId="4F5A1D8F" w14:textId="77777777" w:rsidTr="000F09B5">
        <w:tc>
          <w:tcPr>
            <w:tcW w:w="567" w:type="dxa"/>
            <w:shd w:val="clear" w:color="auto" w:fill="FFFFFF"/>
            <w:tcMar>
              <w:top w:w="0" w:type="dxa"/>
              <w:left w:w="85" w:type="dxa"/>
              <w:bottom w:w="0" w:type="dxa"/>
              <w:right w:w="85" w:type="dxa"/>
            </w:tcMar>
          </w:tcPr>
          <w:p w14:paraId="23E4D65A" w14:textId="77777777" w:rsidR="006611EE" w:rsidRPr="00261B7A" w:rsidRDefault="006611EE" w:rsidP="000F09B5">
            <w:pPr>
              <w:pStyle w:val="TableText"/>
              <w:spacing w:before="40" w:after="40"/>
              <w:rPr>
                <w:rFonts w:cs="Calibri"/>
                <w:szCs w:val="16"/>
              </w:rPr>
            </w:pPr>
            <w:r w:rsidRPr="00261B7A">
              <w:rPr>
                <w:rFonts w:cs="Calibri"/>
                <w:szCs w:val="16"/>
              </w:rPr>
              <w:t>1.A.1.a</w:t>
            </w:r>
          </w:p>
        </w:tc>
        <w:tc>
          <w:tcPr>
            <w:tcW w:w="2552" w:type="dxa"/>
            <w:shd w:val="clear" w:color="auto" w:fill="FFFFFF"/>
            <w:tcMar>
              <w:top w:w="0" w:type="dxa"/>
              <w:left w:w="85" w:type="dxa"/>
              <w:bottom w:w="0" w:type="dxa"/>
              <w:right w:w="85" w:type="dxa"/>
            </w:tcMar>
          </w:tcPr>
          <w:p w14:paraId="1D0008FF" w14:textId="77777777" w:rsidR="006611EE" w:rsidRPr="00261B7A" w:rsidRDefault="006611EE" w:rsidP="000F09B5">
            <w:pPr>
              <w:pStyle w:val="TableText"/>
              <w:spacing w:before="40" w:after="40"/>
              <w:rPr>
                <w:rFonts w:cs="Calibri"/>
                <w:szCs w:val="16"/>
              </w:rPr>
            </w:pPr>
            <w:r w:rsidRPr="00261B7A">
              <w:rPr>
                <w:rFonts w:cs="Calibri"/>
                <w:szCs w:val="16"/>
              </w:rPr>
              <w:t>Energy Industries – Public Electricity and Heat Production Gaseous Fuels</w:t>
            </w:r>
          </w:p>
        </w:tc>
        <w:tc>
          <w:tcPr>
            <w:tcW w:w="510" w:type="dxa"/>
            <w:shd w:val="clear" w:color="auto" w:fill="FFFFFF"/>
            <w:tcMar>
              <w:top w:w="0" w:type="dxa"/>
              <w:left w:w="85" w:type="dxa"/>
              <w:bottom w:w="0" w:type="dxa"/>
              <w:right w:w="85" w:type="dxa"/>
            </w:tcMar>
          </w:tcPr>
          <w:p w14:paraId="2565F15C"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52E91E47" w14:textId="77777777" w:rsidR="006611EE" w:rsidRPr="00261B7A" w:rsidRDefault="006611EE" w:rsidP="000F09B5">
            <w:pPr>
              <w:pStyle w:val="TableText"/>
              <w:spacing w:before="40" w:after="40"/>
              <w:jc w:val="right"/>
              <w:rPr>
                <w:rFonts w:cs="Calibri"/>
                <w:szCs w:val="16"/>
              </w:rPr>
            </w:pPr>
            <w:r w:rsidRPr="00261B7A">
              <w:rPr>
                <w:rFonts w:cs="Calibri"/>
                <w:szCs w:val="16"/>
              </w:rPr>
              <w:t>2,999.6</w:t>
            </w:r>
          </w:p>
        </w:tc>
        <w:tc>
          <w:tcPr>
            <w:tcW w:w="851" w:type="dxa"/>
            <w:shd w:val="clear" w:color="auto" w:fill="FFFFFF"/>
            <w:tcMar>
              <w:top w:w="0" w:type="dxa"/>
              <w:left w:w="85" w:type="dxa"/>
              <w:bottom w:w="0" w:type="dxa"/>
              <w:right w:w="85" w:type="dxa"/>
            </w:tcMar>
          </w:tcPr>
          <w:p w14:paraId="543B6B0D" w14:textId="77777777" w:rsidR="006611EE" w:rsidRPr="00261B7A" w:rsidRDefault="006611EE" w:rsidP="000F09B5">
            <w:pPr>
              <w:pStyle w:val="TableText"/>
              <w:spacing w:before="40" w:after="40"/>
              <w:jc w:val="right"/>
              <w:rPr>
                <w:rFonts w:cs="Calibri"/>
                <w:szCs w:val="16"/>
              </w:rPr>
            </w:pPr>
            <w:r w:rsidRPr="00261B7A">
              <w:rPr>
                <w:rFonts w:cs="Calibri"/>
                <w:szCs w:val="16"/>
              </w:rPr>
              <w:t>2,035.5</w:t>
            </w:r>
          </w:p>
        </w:tc>
        <w:tc>
          <w:tcPr>
            <w:tcW w:w="680" w:type="dxa"/>
            <w:shd w:val="clear" w:color="auto" w:fill="FFFFFF"/>
            <w:tcMar>
              <w:top w:w="0" w:type="dxa"/>
              <w:left w:w="85" w:type="dxa"/>
              <w:bottom w:w="0" w:type="dxa"/>
              <w:right w:w="85" w:type="dxa"/>
            </w:tcMar>
          </w:tcPr>
          <w:p w14:paraId="0686A2B9" w14:textId="77777777" w:rsidR="006611EE" w:rsidRPr="00261B7A" w:rsidRDefault="006611EE" w:rsidP="000F09B5">
            <w:pPr>
              <w:pStyle w:val="TableText"/>
              <w:spacing w:before="40" w:after="40"/>
              <w:jc w:val="right"/>
              <w:rPr>
                <w:rFonts w:cs="Calibri"/>
                <w:szCs w:val="16"/>
              </w:rPr>
            </w:pPr>
            <w:r w:rsidRPr="00261B7A">
              <w:rPr>
                <w:rFonts w:cs="Calibri"/>
                <w:szCs w:val="16"/>
              </w:rPr>
              <w:t>0.020</w:t>
            </w:r>
          </w:p>
        </w:tc>
        <w:tc>
          <w:tcPr>
            <w:tcW w:w="680" w:type="dxa"/>
            <w:shd w:val="clear" w:color="auto" w:fill="FFFFFF"/>
            <w:tcMar>
              <w:top w:w="0" w:type="dxa"/>
              <w:left w:w="85" w:type="dxa"/>
              <w:bottom w:w="0" w:type="dxa"/>
              <w:right w:w="85" w:type="dxa"/>
            </w:tcMar>
          </w:tcPr>
          <w:p w14:paraId="761D543E" w14:textId="77777777" w:rsidR="006611EE" w:rsidRPr="00261B7A" w:rsidRDefault="006611EE" w:rsidP="000F09B5">
            <w:pPr>
              <w:pStyle w:val="TableText"/>
              <w:spacing w:before="40" w:after="40"/>
              <w:jc w:val="right"/>
              <w:rPr>
                <w:rFonts w:cs="Calibri"/>
                <w:szCs w:val="16"/>
              </w:rPr>
            </w:pPr>
            <w:r w:rsidRPr="00261B7A">
              <w:rPr>
                <w:rFonts w:cs="Calibri"/>
                <w:szCs w:val="16"/>
              </w:rPr>
              <w:t>2.3</w:t>
            </w:r>
          </w:p>
        </w:tc>
        <w:tc>
          <w:tcPr>
            <w:tcW w:w="680" w:type="dxa"/>
            <w:shd w:val="clear" w:color="auto" w:fill="FFFFFF"/>
            <w:tcMar>
              <w:top w:w="0" w:type="dxa"/>
              <w:left w:w="85" w:type="dxa"/>
              <w:bottom w:w="0" w:type="dxa"/>
              <w:right w:w="85" w:type="dxa"/>
            </w:tcMar>
          </w:tcPr>
          <w:p w14:paraId="5E35C1D6" w14:textId="77777777" w:rsidR="006611EE" w:rsidRPr="00261B7A" w:rsidRDefault="006611EE" w:rsidP="000F09B5">
            <w:pPr>
              <w:pStyle w:val="TableText"/>
              <w:spacing w:before="40" w:after="40"/>
              <w:jc w:val="right"/>
              <w:rPr>
                <w:rFonts w:cs="Calibri"/>
                <w:szCs w:val="16"/>
              </w:rPr>
            </w:pPr>
            <w:r w:rsidRPr="00261B7A">
              <w:rPr>
                <w:rFonts w:cs="Calibri"/>
                <w:szCs w:val="16"/>
              </w:rPr>
              <w:t>72.4</w:t>
            </w:r>
          </w:p>
        </w:tc>
      </w:tr>
      <w:tr w:rsidR="006611EE" w:rsidRPr="00261B7A" w14:paraId="15BBA28C" w14:textId="77777777" w:rsidTr="000F09B5">
        <w:tc>
          <w:tcPr>
            <w:tcW w:w="567" w:type="dxa"/>
            <w:shd w:val="clear" w:color="auto" w:fill="FFFFFF"/>
            <w:tcMar>
              <w:top w:w="0" w:type="dxa"/>
              <w:left w:w="85" w:type="dxa"/>
              <w:bottom w:w="0" w:type="dxa"/>
              <w:right w:w="85" w:type="dxa"/>
            </w:tcMar>
          </w:tcPr>
          <w:p w14:paraId="4F2CE997" w14:textId="77777777" w:rsidR="006611EE" w:rsidRPr="00261B7A" w:rsidRDefault="006611EE" w:rsidP="000F09B5">
            <w:pPr>
              <w:pStyle w:val="TableText"/>
              <w:spacing w:before="40" w:after="40"/>
              <w:rPr>
                <w:rFonts w:cs="Calibri"/>
                <w:szCs w:val="16"/>
              </w:rPr>
            </w:pPr>
            <w:r w:rsidRPr="00261B7A">
              <w:rPr>
                <w:rFonts w:cs="Calibri"/>
                <w:szCs w:val="16"/>
              </w:rPr>
              <w:t>5.A</w:t>
            </w:r>
          </w:p>
        </w:tc>
        <w:tc>
          <w:tcPr>
            <w:tcW w:w="2552" w:type="dxa"/>
            <w:shd w:val="clear" w:color="auto" w:fill="FFFFFF"/>
            <w:tcMar>
              <w:top w:w="0" w:type="dxa"/>
              <w:left w:w="85" w:type="dxa"/>
              <w:bottom w:w="0" w:type="dxa"/>
              <w:right w:w="85" w:type="dxa"/>
            </w:tcMar>
          </w:tcPr>
          <w:p w14:paraId="090A1C40" w14:textId="77777777" w:rsidR="006611EE" w:rsidRPr="00261B7A" w:rsidRDefault="006611EE" w:rsidP="000F09B5">
            <w:pPr>
              <w:pStyle w:val="TableText"/>
              <w:spacing w:before="40" w:after="40"/>
              <w:rPr>
                <w:rFonts w:cs="Calibri"/>
                <w:szCs w:val="16"/>
              </w:rPr>
            </w:pPr>
            <w:r w:rsidRPr="00261B7A">
              <w:rPr>
                <w:rFonts w:cs="Calibri"/>
                <w:szCs w:val="16"/>
              </w:rPr>
              <w:t>Waste – Solid Waste Disposal</w:t>
            </w:r>
          </w:p>
        </w:tc>
        <w:tc>
          <w:tcPr>
            <w:tcW w:w="510" w:type="dxa"/>
            <w:shd w:val="clear" w:color="auto" w:fill="FFFFFF"/>
            <w:tcMar>
              <w:top w:w="0" w:type="dxa"/>
              <w:left w:w="85" w:type="dxa"/>
              <w:bottom w:w="0" w:type="dxa"/>
              <w:right w:w="85" w:type="dxa"/>
            </w:tcMar>
          </w:tcPr>
          <w:p w14:paraId="63EA8748" w14:textId="77777777" w:rsidR="006611EE" w:rsidRPr="00261B7A" w:rsidRDefault="006611EE" w:rsidP="000F09B5">
            <w:pPr>
              <w:pStyle w:val="TableText"/>
              <w:spacing w:before="40" w:after="40"/>
              <w:jc w:val="center"/>
              <w:rPr>
                <w:rFonts w:cs="Calibri"/>
                <w:szCs w:val="16"/>
              </w:rPr>
            </w:pPr>
            <w:r w:rsidRPr="00261B7A">
              <w:rPr>
                <w:rFonts w:cs="Calibri"/>
                <w:szCs w:val="16"/>
              </w:rPr>
              <w:t>CH</w:t>
            </w:r>
            <w:r w:rsidRPr="00261B7A">
              <w:rPr>
                <w:rFonts w:cs="Calibri"/>
                <w:szCs w:val="16"/>
                <w:vertAlign w:val="subscript"/>
              </w:rPr>
              <w:t>4</w:t>
            </w:r>
          </w:p>
        </w:tc>
        <w:tc>
          <w:tcPr>
            <w:tcW w:w="851" w:type="dxa"/>
            <w:shd w:val="clear" w:color="auto" w:fill="FFFFFF"/>
            <w:tcMar>
              <w:top w:w="0" w:type="dxa"/>
              <w:left w:w="85" w:type="dxa"/>
              <w:bottom w:w="0" w:type="dxa"/>
              <w:right w:w="85" w:type="dxa"/>
            </w:tcMar>
          </w:tcPr>
          <w:p w14:paraId="3754D2A9" w14:textId="77777777" w:rsidR="006611EE" w:rsidRPr="00261B7A" w:rsidRDefault="006611EE" w:rsidP="000F09B5">
            <w:pPr>
              <w:pStyle w:val="TableText"/>
              <w:spacing w:before="40" w:after="40"/>
              <w:jc w:val="right"/>
              <w:rPr>
                <w:rFonts w:cs="Calibri"/>
                <w:szCs w:val="16"/>
              </w:rPr>
            </w:pPr>
            <w:r w:rsidRPr="00261B7A">
              <w:rPr>
                <w:rFonts w:cs="Calibri"/>
                <w:szCs w:val="16"/>
              </w:rPr>
              <w:t>3,318.2</w:t>
            </w:r>
          </w:p>
        </w:tc>
        <w:tc>
          <w:tcPr>
            <w:tcW w:w="851" w:type="dxa"/>
            <w:shd w:val="clear" w:color="auto" w:fill="FFFFFF"/>
            <w:tcMar>
              <w:top w:w="0" w:type="dxa"/>
              <w:left w:w="85" w:type="dxa"/>
              <w:bottom w:w="0" w:type="dxa"/>
              <w:right w:w="85" w:type="dxa"/>
            </w:tcMar>
          </w:tcPr>
          <w:p w14:paraId="4C2280C0" w14:textId="77777777" w:rsidR="006611EE" w:rsidRPr="00261B7A" w:rsidRDefault="006611EE" w:rsidP="000F09B5">
            <w:pPr>
              <w:pStyle w:val="TableText"/>
              <w:spacing w:before="40" w:after="40"/>
              <w:jc w:val="right"/>
              <w:rPr>
                <w:rFonts w:cs="Calibri"/>
                <w:szCs w:val="16"/>
              </w:rPr>
            </w:pPr>
            <w:r w:rsidRPr="00261B7A">
              <w:rPr>
                <w:rFonts w:cs="Calibri"/>
                <w:szCs w:val="16"/>
              </w:rPr>
              <w:t>2,578.2</w:t>
            </w:r>
          </w:p>
        </w:tc>
        <w:tc>
          <w:tcPr>
            <w:tcW w:w="680" w:type="dxa"/>
            <w:shd w:val="clear" w:color="auto" w:fill="FFFFFF"/>
            <w:tcMar>
              <w:top w:w="0" w:type="dxa"/>
              <w:left w:w="85" w:type="dxa"/>
              <w:bottom w:w="0" w:type="dxa"/>
              <w:right w:w="85" w:type="dxa"/>
            </w:tcMar>
          </w:tcPr>
          <w:p w14:paraId="62B21A0B" w14:textId="77777777" w:rsidR="006611EE" w:rsidRPr="00261B7A" w:rsidRDefault="006611EE" w:rsidP="000F09B5">
            <w:pPr>
              <w:pStyle w:val="TableText"/>
              <w:spacing w:before="40" w:after="40"/>
              <w:jc w:val="right"/>
              <w:rPr>
                <w:rFonts w:cs="Calibri"/>
                <w:szCs w:val="16"/>
              </w:rPr>
            </w:pPr>
            <w:r w:rsidRPr="00261B7A">
              <w:rPr>
                <w:rFonts w:cs="Calibri"/>
                <w:szCs w:val="16"/>
              </w:rPr>
              <w:t>0.018</w:t>
            </w:r>
          </w:p>
        </w:tc>
        <w:tc>
          <w:tcPr>
            <w:tcW w:w="680" w:type="dxa"/>
            <w:shd w:val="clear" w:color="auto" w:fill="FFFFFF"/>
            <w:tcMar>
              <w:top w:w="0" w:type="dxa"/>
              <w:left w:w="85" w:type="dxa"/>
              <w:bottom w:w="0" w:type="dxa"/>
              <w:right w:w="85" w:type="dxa"/>
            </w:tcMar>
          </w:tcPr>
          <w:p w14:paraId="659DFF18" w14:textId="77777777" w:rsidR="006611EE" w:rsidRPr="00261B7A" w:rsidRDefault="006611EE" w:rsidP="000F09B5">
            <w:pPr>
              <w:pStyle w:val="TableText"/>
              <w:spacing w:before="40" w:after="40"/>
              <w:jc w:val="right"/>
              <w:rPr>
                <w:rFonts w:cs="Calibri"/>
                <w:szCs w:val="16"/>
              </w:rPr>
            </w:pPr>
            <w:r w:rsidRPr="00261B7A">
              <w:rPr>
                <w:rFonts w:cs="Calibri"/>
                <w:szCs w:val="16"/>
              </w:rPr>
              <w:t>2.1</w:t>
            </w:r>
          </w:p>
        </w:tc>
        <w:tc>
          <w:tcPr>
            <w:tcW w:w="680" w:type="dxa"/>
            <w:shd w:val="clear" w:color="auto" w:fill="FFFFFF"/>
            <w:tcMar>
              <w:top w:w="0" w:type="dxa"/>
              <w:left w:w="85" w:type="dxa"/>
              <w:bottom w:w="0" w:type="dxa"/>
              <w:right w:w="85" w:type="dxa"/>
            </w:tcMar>
          </w:tcPr>
          <w:p w14:paraId="79503985" w14:textId="77777777" w:rsidR="006611EE" w:rsidRPr="00261B7A" w:rsidRDefault="006611EE" w:rsidP="000F09B5">
            <w:pPr>
              <w:pStyle w:val="TableText"/>
              <w:spacing w:before="40" w:after="40"/>
              <w:jc w:val="right"/>
              <w:rPr>
                <w:rFonts w:cs="Calibri"/>
                <w:szCs w:val="16"/>
              </w:rPr>
            </w:pPr>
            <w:r w:rsidRPr="00261B7A">
              <w:rPr>
                <w:rFonts w:cs="Calibri"/>
                <w:szCs w:val="16"/>
              </w:rPr>
              <w:t>74.6</w:t>
            </w:r>
          </w:p>
        </w:tc>
      </w:tr>
      <w:tr w:rsidR="006611EE" w:rsidRPr="00261B7A" w14:paraId="224790AF" w14:textId="77777777" w:rsidTr="000F09B5">
        <w:tc>
          <w:tcPr>
            <w:tcW w:w="567" w:type="dxa"/>
            <w:shd w:val="clear" w:color="auto" w:fill="FFFFFF"/>
            <w:tcMar>
              <w:top w:w="0" w:type="dxa"/>
              <w:left w:w="85" w:type="dxa"/>
              <w:bottom w:w="0" w:type="dxa"/>
              <w:right w:w="85" w:type="dxa"/>
            </w:tcMar>
          </w:tcPr>
          <w:p w14:paraId="5A5798D1" w14:textId="77777777" w:rsidR="006611EE" w:rsidRPr="00261B7A" w:rsidRDefault="006611EE" w:rsidP="000F09B5">
            <w:pPr>
              <w:pStyle w:val="TableText"/>
              <w:spacing w:before="40" w:after="40"/>
              <w:rPr>
                <w:rFonts w:cs="Calibri"/>
                <w:szCs w:val="16"/>
              </w:rPr>
            </w:pPr>
            <w:r w:rsidRPr="00261B7A">
              <w:rPr>
                <w:rFonts w:cs="Calibri"/>
                <w:szCs w:val="16"/>
              </w:rPr>
              <w:t>2.F.1</w:t>
            </w:r>
          </w:p>
        </w:tc>
        <w:tc>
          <w:tcPr>
            <w:tcW w:w="2552" w:type="dxa"/>
            <w:shd w:val="clear" w:color="auto" w:fill="FFFFFF"/>
            <w:tcMar>
              <w:top w:w="0" w:type="dxa"/>
              <w:left w:w="85" w:type="dxa"/>
              <w:bottom w:w="0" w:type="dxa"/>
              <w:right w:w="85" w:type="dxa"/>
            </w:tcMar>
          </w:tcPr>
          <w:p w14:paraId="6D8E8076" w14:textId="77777777" w:rsidR="006611EE" w:rsidRPr="00261B7A" w:rsidRDefault="006611EE" w:rsidP="000F09B5">
            <w:pPr>
              <w:pStyle w:val="TableText"/>
              <w:spacing w:before="40" w:after="40"/>
              <w:rPr>
                <w:rFonts w:cs="Calibri"/>
                <w:szCs w:val="16"/>
              </w:rPr>
            </w:pPr>
            <w:r w:rsidRPr="00261B7A">
              <w:rPr>
                <w:rFonts w:cs="Calibri"/>
                <w:szCs w:val="16"/>
              </w:rPr>
              <w:t>Product Uses as Substitutes for ODS – Refrigeration and Air Conditioning</w:t>
            </w:r>
          </w:p>
        </w:tc>
        <w:tc>
          <w:tcPr>
            <w:tcW w:w="510" w:type="dxa"/>
            <w:shd w:val="clear" w:color="auto" w:fill="FFFFFF"/>
            <w:tcMar>
              <w:top w:w="0" w:type="dxa"/>
              <w:left w:w="85" w:type="dxa"/>
              <w:bottom w:w="0" w:type="dxa"/>
              <w:right w:w="85" w:type="dxa"/>
            </w:tcMar>
          </w:tcPr>
          <w:p w14:paraId="0EE31659" w14:textId="77777777" w:rsidR="006611EE" w:rsidRPr="00261B7A" w:rsidRDefault="006611EE" w:rsidP="000F09B5">
            <w:pPr>
              <w:pStyle w:val="TableText"/>
              <w:spacing w:before="40" w:after="40"/>
              <w:jc w:val="center"/>
              <w:rPr>
                <w:rFonts w:cs="Calibri"/>
                <w:szCs w:val="16"/>
              </w:rPr>
            </w:pPr>
            <w:r w:rsidRPr="00261B7A">
              <w:rPr>
                <w:rFonts w:cs="Calibri"/>
                <w:szCs w:val="16"/>
              </w:rPr>
              <w:t>HFCs</w:t>
            </w:r>
          </w:p>
        </w:tc>
        <w:tc>
          <w:tcPr>
            <w:tcW w:w="851" w:type="dxa"/>
            <w:shd w:val="clear" w:color="auto" w:fill="FFFFFF"/>
            <w:tcMar>
              <w:top w:w="0" w:type="dxa"/>
              <w:left w:w="85" w:type="dxa"/>
              <w:bottom w:w="0" w:type="dxa"/>
              <w:right w:w="85" w:type="dxa"/>
            </w:tcMar>
          </w:tcPr>
          <w:p w14:paraId="38DD01F7" w14:textId="77777777" w:rsidR="006611EE" w:rsidRPr="00261B7A" w:rsidRDefault="006611EE" w:rsidP="000F09B5">
            <w:pPr>
              <w:pStyle w:val="TableText"/>
              <w:spacing w:before="40" w:after="40"/>
              <w:jc w:val="right"/>
              <w:rPr>
                <w:rFonts w:cs="Calibri"/>
                <w:szCs w:val="16"/>
              </w:rPr>
            </w:pPr>
            <w:r w:rsidRPr="00261B7A">
              <w:rPr>
                <w:rFonts w:cs="Calibri"/>
                <w:szCs w:val="16"/>
              </w:rPr>
              <w:t>0.0</w:t>
            </w:r>
          </w:p>
        </w:tc>
        <w:tc>
          <w:tcPr>
            <w:tcW w:w="851" w:type="dxa"/>
            <w:shd w:val="clear" w:color="auto" w:fill="FFFFFF"/>
            <w:tcMar>
              <w:top w:w="0" w:type="dxa"/>
              <w:left w:w="85" w:type="dxa"/>
              <w:bottom w:w="0" w:type="dxa"/>
              <w:right w:w="85" w:type="dxa"/>
            </w:tcMar>
          </w:tcPr>
          <w:p w14:paraId="11A12BF6" w14:textId="77777777" w:rsidR="006611EE" w:rsidRPr="00261B7A" w:rsidRDefault="006611EE" w:rsidP="000F09B5">
            <w:pPr>
              <w:pStyle w:val="TableText"/>
              <w:spacing w:before="40" w:after="40"/>
              <w:jc w:val="right"/>
              <w:rPr>
                <w:rFonts w:cs="Calibri"/>
                <w:szCs w:val="16"/>
              </w:rPr>
            </w:pPr>
            <w:r w:rsidRPr="00261B7A">
              <w:rPr>
                <w:rFonts w:cs="Calibri"/>
                <w:szCs w:val="16"/>
              </w:rPr>
              <w:t>1,401.8</w:t>
            </w:r>
          </w:p>
        </w:tc>
        <w:tc>
          <w:tcPr>
            <w:tcW w:w="680" w:type="dxa"/>
            <w:shd w:val="clear" w:color="auto" w:fill="FFFFFF"/>
            <w:tcMar>
              <w:top w:w="0" w:type="dxa"/>
              <w:left w:w="85" w:type="dxa"/>
              <w:bottom w:w="0" w:type="dxa"/>
              <w:right w:w="85" w:type="dxa"/>
            </w:tcMar>
          </w:tcPr>
          <w:p w14:paraId="6F203DED" w14:textId="77777777" w:rsidR="006611EE" w:rsidRPr="00261B7A" w:rsidRDefault="006611EE" w:rsidP="000F09B5">
            <w:pPr>
              <w:pStyle w:val="TableText"/>
              <w:spacing w:before="40" w:after="40"/>
              <w:jc w:val="right"/>
              <w:rPr>
                <w:rFonts w:cs="Calibri"/>
                <w:szCs w:val="16"/>
              </w:rPr>
            </w:pPr>
            <w:r w:rsidRPr="00261B7A">
              <w:rPr>
                <w:rFonts w:cs="Calibri"/>
                <w:szCs w:val="16"/>
              </w:rPr>
              <w:t>0.016</w:t>
            </w:r>
          </w:p>
        </w:tc>
        <w:tc>
          <w:tcPr>
            <w:tcW w:w="680" w:type="dxa"/>
            <w:shd w:val="clear" w:color="auto" w:fill="FFFFFF"/>
            <w:tcMar>
              <w:top w:w="0" w:type="dxa"/>
              <w:left w:w="85" w:type="dxa"/>
              <w:bottom w:w="0" w:type="dxa"/>
              <w:right w:w="85" w:type="dxa"/>
            </w:tcMar>
          </w:tcPr>
          <w:p w14:paraId="42F4AAD4" w14:textId="77777777" w:rsidR="006611EE" w:rsidRPr="00261B7A" w:rsidRDefault="006611EE" w:rsidP="000F09B5">
            <w:pPr>
              <w:pStyle w:val="TableText"/>
              <w:spacing w:before="40" w:after="40"/>
              <w:jc w:val="right"/>
              <w:rPr>
                <w:rFonts w:cs="Calibri"/>
                <w:szCs w:val="16"/>
              </w:rPr>
            </w:pPr>
            <w:r w:rsidRPr="00261B7A">
              <w:rPr>
                <w:rFonts w:cs="Calibri"/>
                <w:szCs w:val="16"/>
              </w:rPr>
              <w:t>1.9</w:t>
            </w:r>
          </w:p>
        </w:tc>
        <w:tc>
          <w:tcPr>
            <w:tcW w:w="680" w:type="dxa"/>
            <w:shd w:val="clear" w:color="auto" w:fill="FFFFFF"/>
            <w:tcMar>
              <w:top w:w="0" w:type="dxa"/>
              <w:left w:w="85" w:type="dxa"/>
              <w:bottom w:w="0" w:type="dxa"/>
              <w:right w:w="85" w:type="dxa"/>
            </w:tcMar>
          </w:tcPr>
          <w:p w14:paraId="3F4A5910" w14:textId="77777777" w:rsidR="006611EE" w:rsidRPr="00261B7A" w:rsidRDefault="006611EE" w:rsidP="000F09B5">
            <w:pPr>
              <w:pStyle w:val="TableText"/>
              <w:spacing w:before="40" w:after="40"/>
              <w:jc w:val="right"/>
              <w:rPr>
                <w:rFonts w:cs="Calibri"/>
                <w:szCs w:val="16"/>
              </w:rPr>
            </w:pPr>
            <w:r w:rsidRPr="00261B7A">
              <w:rPr>
                <w:rFonts w:cs="Calibri"/>
                <w:szCs w:val="16"/>
              </w:rPr>
              <w:t>76.4</w:t>
            </w:r>
          </w:p>
        </w:tc>
      </w:tr>
      <w:tr w:rsidR="006611EE" w:rsidRPr="00261B7A" w14:paraId="56A6FFED" w14:textId="77777777" w:rsidTr="000F09B5">
        <w:tc>
          <w:tcPr>
            <w:tcW w:w="567" w:type="dxa"/>
            <w:shd w:val="clear" w:color="auto" w:fill="FFFFFF"/>
            <w:tcMar>
              <w:top w:w="0" w:type="dxa"/>
              <w:left w:w="85" w:type="dxa"/>
              <w:bottom w:w="0" w:type="dxa"/>
              <w:right w:w="85" w:type="dxa"/>
            </w:tcMar>
          </w:tcPr>
          <w:p w14:paraId="2E864332" w14:textId="77777777" w:rsidR="006611EE" w:rsidRPr="00261B7A" w:rsidRDefault="006611EE" w:rsidP="000F09B5">
            <w:pPr>
              <w:pStyle w:val="TableText"/>
              <w:spacing w:before="40" w:after="40"/>
              <w:rPr>
                <w:rFonts w:cs="Calibri"/>
                <w:szCs w:val="16"/>
              </w:rPr>
            </w:pPr>
            <w:r w:rsidRPr="00261B7A">
              <w:rPr>
                <w:rFonts w:cs="Calibri"/>
                <w:szCs w:val="16"/>
              </w:rPr>
              <w:t>3.A.1</w:t>
            </w:r>
          </w:p>
        </w:tc>
        <w:tc>
          <w:tcPr>
            <w:tcW w:w="2552" w:type="dxa"/>
            <w:shd w:val="clear" w:color="auto" w:fill="FFFFFF"/>
            <w:tcMar>
              <w:top w:w="0" w:type="dxa"/>
              <w:left w:w="85" w:type="dxa"/>
              <w:bottom w:w="0" w:type="dxa"/>
              <w:right w:w="85" w:type="dxa"/>
            </w:tcMar>
          </w:tcPr>
          <w:p w14:paraId="6FCCA2CA" w14:textId="77777777" w:rsidR="006611EE" w:rsidRPr="00261B7A" w:rsidRDefault="006611EE" w:rsidP="000F09B5">
            <w:pPr>
              <w:pStyle w:val="TableText"/>
              <w:spacing w:before="40" w:after="40"/>
              <w:rPr>
                <w:rFonts w:cs="Calibri"/>
                <w:szCs w:val="16"/>
              </w:rPr>
            </w:pPr>
            <w:r w:rsidRPr="00261B7A">
              <w:rPr>
                <w:rFonts w:cs="Calibri"/>
                <w:szCs w:val="16"/>
              </w:rPr>
              <w:t>Option A – Non-Dairy Cattle</w:t>
            </w:r>
          </w:p>
        </w:tc>
        <w:tc>
          <w:tcPr>
            <w:tcW w:w="510" w:type="dxa"/>
            <w:shd w:val="clear" w:color="auto" w:fill="FFFFFF"/>
            <w:tcMar>
              <w:top w:w="0" w:type="dxa"/>
              <w:left w:w="85" w:type="dxa"/>
              <w:bottom w:w="0" w:type="dxa"/>
              <w:right w:w="85" w:type="dxa"/>
            </w:tcMar>
          </w:tcPr>
          <w:p w14:paraId="188E001E" w14:textId="77777777" w:rsidR="006611EE" w:rsidRPr="00261B7A" w:rsidRDefault="006611EE" w:rsidP="000F09B5">
            <w:pPr>
              <w:pStyle w:val="TableText"/>
              <w:spacing w:before="40" w:after="40"/>
              <w:jc w:val="center"/>
              <w:rPr>
                <w:rFonts w:cs="Calibri"/>
                <w:szCs w:val="16"/>
              </w:rPr>
            </w:pPr>
            <w:r w:rsidRPr="00261B7A">
              <w:rPr>
                <w:rFonts w:cs="Calibri"/>
                <w:szCs w:val="16"/>
              </w:rPr>
              <w:t>CH</w:t>
            </w:r>
            <w:r w:rsidRPr="00261B7A">
              <w:rPr>
                <w:rFonts w:cs="Calibri"/>
                <w:szCs w:val="16"/>
                <w:vertAlign w:val="subscript"/>
              </w:rPr>
              <w:t>4</w:t>
            </w:r>
          </w:p>
        </w:tc>
        <w:tc>
          <w:tcPr>
            <w:tcW w:w="851" w:type="dxa"/>
            <w:shd w:val="clear" w:color="auto" w:fill="FFFFFF"/>
            <w:tcMar>
              <w:top w:w="0" w:type="dxa"/>
              <w:left w:w="85" w:type="dxa"/>
              <w:bottom w:w="0" w:type="dxa"/>
              <w:right w:w="85" w:type="dxa"/>
            </w:tcMar>
          </w:tcPr>
          <w:p w14:paraId="1AA7458F" w14:textId="77777777" w:rsidR="006611EE" w:rsidRPr="00261B7A" w:rsidRDefault="006611EE" w:rsidP="000F09B5">
            <w:pPr>
              <w:pStyle w:val="TableText"/>
              <w:spacing w:before="40" w:after="40"/>
              <w:jc w:val="right"/>
              <w:rPr>
                <w:rFonts w:cs="Calibri"/>
                <w:szCs w:val="16"/>
              </w:rPr>
            </w:pPr>
            <w:r w:rsidRPr="00261B7A">
              <w:rPr>
                <w:rFonts w:cs="Calibri"/>
                <w:szCs w:val="16"/>
              </w:rPr>
              <w:t>5,861.6</w:t>
            </w:r>
          </w:p>
        </w:tc>
        <w:tc>
          <w:tcPr>
            <w:tcW w:w="851" w:type="dxa"/>
            <w:shd w:val="clear" w:color="auto" w:fill="FFFFFF"/>
            <w:tcMar>
              <w:top w:w="0" w:type="dxa"/>
              <w:left w:w="85" w:type="dxa"/>
              <w:bottom w:w="0" w:type="dxa"/>
              <w:right w:w="85" w:type="dxa"/>
            </w:tcMar>
          </w:tcPr>
          <w:p w14:paraId="1E243D71" w14:textId="77777777" w:rsidR="006611EE" w:rsidRPr="00261B7A" w:rsidRDefault="006611EE" w:rsidP="000F09B5">
            <w:pPr>
              <w:pStyle w:val="TableText"/>
              <w:spacing w:before="40" w:after="40"/>
              <w:jc w:val="right"/>
              <w:rPr>
                <w:rFonts w:cs="Calibri"/>
                <w:szCs w:val="16"/>
              </w:rPr>
            </w:pPr>
            <w:r w:rsidRPr="00261B7A">
              <w:rPr>
                <w:rFonts w:cs="Calibri"/>
                <w:szCs w:val="16"/>
              </w:rPr>
              <w:t>5,944.0</w:t>
            </w:r>
          </w:p>
        </w:tc>
        <w:tc>
          <w:tcPr>
            <w:tcW w:w="680" w:type="dxa"/>
            <w:shd w:val="clear" w:color="auto" w:fill="FFFFFF"/>
            <w:tcMar>
              <w:top w:w="0" w:type="dxa"/>
              <w:left w:w="85" w:type="dxa"/>
              <w:bottom w:w="0" w:type="dxa"/>
              <w:right w:w="85" w:type="dxa"/>
            </w:tcMar>
          </w:tcPr>
          <w:p w14:paraId="6F55DE42" w14:textId="77777777" w:rsidR="006611EE" w:rsidRPr="00261B7A" w:rsidRDefault="006611EE" w:rsidP="000F09B5">
            <w:pPr>
              <w:pStyle w:val="TableText"/>
              <w:spacing w:before="40" w:after="40"/>
              <w:jc w:val="right"/>
              <w:rPr>
                <w:rFonts w:cs="Calibri"/>
                <w:szCs w:val="16"/>
              </w:rPr>
            </w:pPr>
            <w:r w:rsidRPr="00261B7A">
              <w:rPr>
                <w:rFonts w:cs="Calibri"/>
                <w:szCs w:val="16"/>
              </w:rPr>
              <w:t>0.016</w:t>
            </w:r>
          </w:p>
        </w:tc>
        <w:tc>
          <w:tcPr>
            <w:tcW w:w="680" w:type="dxa"/>
            <w:shd w:val="clear" w:color="auto" w:fill="FFFFFF"/>
            <w:tcMar>
              <w:top w:w="0" w:type="dxa"/>
              <w:left w:w="85" w:type="dxa"/>
              <w:bottom w:w="0" w:type="dxa"/>
              <w:right w:w="85" w:type="dxa"/>
            </w:tcMar>
          </w:tcPr>
          <w:p w14:paraId="4C3C6B62" w14:textId="77777777" w:rsidR="006611EE" w:rsidRPr="00261B7A" w:rsidRDefault="006611EE" w:rsidP="000F09B5">
            <w:pPr>
              <w:pStyle w:val="TableText"/>
              <w:spacing w:before="40" w:after="40"/>
              <w:jc w:val="right"/>
              <w:rPr>
                <w:rFonts w:cs="Calibri"/>
                <w:szCs w:val="16"/>
              </w:rPr>
            </w:pPr>
            <w:r w:rsidRPr="00261B7A">
              <w:rPr>
                <w:rFonts w:cs="Calibri"/>
                <w:szCs w:val="16"/>
              </w:rPr>
              <w:t>1.9</w:t>
            </w:r>
          </w:p>
        </w:tc>
        <w:tc>
          <w:tcPr>
            <w:tcW w:w="680" w:type="dxa"/>
            <w:shd w:val="clear" w:color="auto" w:fill="FFFFFF"/>
            <w:tcMar>
              <w:top w:w="0" w:type="dxa"/>
              <w:left w:w="85" w:type="dxa"/>
              <w:bottom w:w="0" w:type="dxa"/>
              <w:right w:w="85" w:type="dxa"/>
            </w:tcMar>
          </w:tcPr>
          <w:p w14:paraId="44F06D89" w14:textId="77777777" w:rsidR="006611EE" w:rsidRPr="00261B7A" w:rsidRDefault="006611EE" w:rsidP="000F09B5">
            <w:pPr>
              <w:pStyle w:val="TableText"/>
              <w:spacing w:before="40" w:after="40"/>
              <w:jc w:val="right"/>
              <w:rPr>
                <w:rFonts w:cs="Calibri"/>
                <w:szCs w:val="16"/>
              </w:rPr>
            </w:pPr>
            <w:r w:rsidRPr="00261B7A">
              <w:rPr>
                <w:rFonts w:cs="Calibri"/>
                <w:szCs w:val="16"/>
              </w:rPr>
              <w:t>78.3</w:t>
            </w:r>
          </w:p>
        </w:tc>
      </w:tr>
      <w:tr w:rsidR="006611EE" w:rsidRPr="00261B7A" w14:paraId="0A1FE87A" w14:textId="77777777" w:rsidTr="000F09B5">
        <w:tc>
          <w:tcPr>
            <w:tcW w:w="567" w:type="dxa"/>
            <w:shd w:val="clear" w:color="auto" w:fill="FFFFFF"/>
            <w:tcMar>
              <w:top w:w="0" w:type="dxa"/>
              <w:left w:w="85" w:type="dxa"/>
              <w:bottom w:w="0" w:type="dxa"/>
              <w:right w:w="85" w:type="dxa"/>
            </w:tcMar>
          </w:tcPr>
          <w:p w14:paraId="5FB51B29" w14:textId="77777777" w:rsidR="006611EE" w:rsidRPr="00261B7A" w:rsidRDefault="006611EE" w:rsidP="000F09B5">
            <w:pPr>
              <w:pStyle w:val="TableText"/>
              <w:spacing w:before="40" w:after="40"/>
              <w:rPr>
                <w:rFonts w:cs="Calibri"/>
                <w:szCs w:val="16"/>
              </w:rPr>
            </w:pPr>
            <w:r w:rsidRPr="00261B7A">
              <w:rPr>
                <w:rFonts w:cs="Calibri"/>
                <w:szCs w:val="16"/>
              </w:rPr>
              <w:t>3.D.1.1</w:t>
            </w:r>
          </w:p>
        </w:tc>
        <w:tc>
          <w:tcPr>
            <w:tcW w:w="2552" w:type="dxa"/>
            <w:shd w:val="clear" w:color="auto" w:fill="FFFFFF"/>
            <w:tcMar>
              <w:top w:w="0" w:type="dxa"/>
              <w:left w:w="85" w:type="dxa"/>
              <w:bottom w:w="0" w:type="dxa"/>
              <w:right w:w="85" w:type="dxa"/>
            </w:tcMar>
          </w:tcPr>
          <w:p w14:paraId="41DFDB98" w14:textId="77777777" w:rsidR="006611EE" w:rsidRPr="00261B7A" w:rsidRDefault="006611EE" w:rsidP="000F09B5">
            <w:pPr>
              <w:pStyle w:val="TableText"/>
              <w:spacing w:before="40" w:after="40"/>
              <w:rPr>
                <w:rFonts w:cs="Calibri"/>
                <w:szCs w:val="16"/>
              </w:rPr>
            </w:pPr>
            <w:r w:rsidRPr="00261B7A">
              <w:rPr>
                <w:rFonts w:cs="Calibri"/>
                <w:szCs w:val="16"/>
              </w:rPr>
              <w:t>Direct N</w:t>
            </w:r>
            <w:r w:rsidRPr="00261B7A">
              <w:rPr>
                <w:rFonts w:cs="Calibri"/>
                <w:szCs w:val="16"/>
                <w:vertAlign w:val="subscript"/>
              </w:rPr>
              <w:t>2</w:t>
            </w:r>
            <w:r w:rsidRPr="00261B7A">
              <w:rPr>
                <w:rFonts w:cs="Calibri"/>
                <w:szCs w:val="16"/>
              </w:rPr>
              <w:t>O Emissions From Managed Soils – Inorganic N Fertilisers</w:t>
            </w:r>
          </w:p>
        </w:tc>
        <w:tc>
          <w:tcPr>
            <w:tcW w:w="510" w:type="dxa"/>
            <w:shd w:val="clear" w:color="auto" w:fill="FFFFFF"/>
            <w:tcMar>
              <w:top w:w="0" w:type="dxa"/>
              <w:left w:w="85" w:type="dxa"/>
              <w:bottom w:w="0" w:type="dxa"/>
              <w:right w:w="85" w:type="dxa"/>
            </w:tcMar>
          </w:tcPr>
          <w:p w14:paraId="43F83F0B" w14:textId="77777777" w:rsidR="006611EE" w:rsidRPr="00261B7A" w:rsidRDefault="006611EE" w:rsidP="000F09B5">
            <w:pPr>
              <w:pStyle w:val="TableText"/>
              <w:spacing w:before="40" w:after="40"/>
              <w:jc w:val="center"/>
              <w:rPr>
                <w:rFonts w:cs="Calibri"/>
                <w:szCs w:val="16"/>
              </w:rPr>
            </w:pPr>
            <w:r w:rsidRPr="00261B7A">
              <w:rPr>
                <w:rFonts w:cs="Calibri"/>
                <w:szCs w:val="16"/>
              </w:rPr>
              <w:t>N</w:t>
            </w:r>
            <w:r w:rsidRPr="00261B7A">
              <w:rPr>
                <w:rFonts w:cs="Calibri"/>
                <w:szCs w:val="16"/>
                <w:vertAlign w:val="subscript"/>
              </w:rPr>
              <w:t>2</w:t>
            </w:r>
            <w:r w:rsidRPr="00261B7A">
              <w:rPr>
                <w:rFonts w:cs="Calibri"/>
                <w:szCs w:val="16"/>
              </w:rPr>
              <w:t>O</w:t>
            </w:r>
          </w:p>
        </w:tc>
        <w:tc>
          <w:tcPr>
            <w:tcW w:w="851" w:type="dxa"/>
            <w:shd w:val="clear" w:color="auto" w:fill="FFFFFF"/>
            <w:tcMar>
              <w:top w:w="0" w:type="dxa"/>
              <w:left w:w="85" w:type="dxa"/>
              <w:bottom w:w="0" w:type="dxa"/>
              <w:right w:w="85" w:type="dxa"/>
            </w:tcMar>
          </w:tcPr>
          <w:p w14:paraId="25976742" w14:textId="77777777" w:rsidR="006611EE" w:rsidRPr="00261B7A" w:rsidRDefault="006611EE" w:rsidP="000F09B5">
            <w:pPr>
              <w:pStyle w:val="TableText"/>
              <w:spacing w:before="40" w:after="40"/>
              <w:jc w:val="right"/>
              <w:rPr>
                <w:rFonts w:cs="Calibri"/>
                <w:szCs w:val="16"/>
              </w:rPr>
            </w:pPr>
            <w:r w:rsidRPr="00261B7A">
              <w:rPr>
                <w:rFonts w:cs="Calibri"/>
                <w:szCs w:val="16"/>
              </w:rPr>
              <w:t>230.3</w:t>
            </w:r>
          </w:p>
        </w:tc>
        <w:tc>
          <w:tcPr>
            <w:tcW w:w="851" w:type="dxa"/>
            <w:shd w:val="clear" w:color="auto" w:fill="FFFFFF"/>
            <w:tcMar>
              <w:top w:w="0" w:type="dxa"/>
              <w:left w:w="85" w:type="dxa"/>
              <w:bottom w:w="0" w:type="dxa"/>
              <w:right w:w="85" w:type="dxa"/>
            </w:tcMar>
          </w:tcPr>
          <w:p w14:paraId="3C6115C9" w14:textId="77777777" w:rsidR="006611EE" w:rsidRPr="00261B7A" w:rsidRDefault="006611EE" w:rsidP="000F09B5">
            <w:pPr>
              <w:pStyle w:val="TableText"/>
              <w:spacing w:before="40" w:after="40"/>
              <w:jc w:val="right"/>
              <w:rPr>
                <w:rFonts w:cs="Calibri"/>
                <w:szCs w:val="16"/>
              </w:rPr>
            </w:pPr>
            <w:r w:rsidRPr="00261B7A">
              <w:rPr>
                <w:rFonts w:cs="Calibri"/>
                <w:szCs w:val="16"/>
              </w:rPr>
              <w:t>1,398.9</w:t>
            </w:r>
          </w:p>
        </w:tc>
        <w:tc>
          <w:tcPr>
            <w:tcW w:w="680" w:type="dxa"/>
            <w:shd w:val="clear" w:color="auto" w:fill="FFFFFF"/>
            <w:tcMar>
              <w:top w:w="0" w:type="dxa"/>
              <w:left w:w="85" w:type="dxa"/>
              <w:bottom w:w="0" w:type="dxa"/>
              <w:right w:w="85" w:type="dxa"/>
            </w:tcMar>
          </w:tcPr>
          <w:p w14:paraId="738D8C72" w14:textId="77777777" w:rsidR="006611EE" w:rsidRPr="00261B7A" w:rsidRDefault="006611EE" w:rsidP="000F09B5">
            <w:pPr>
              <w:pStyle w:val="TableText"/>
              <w:spacing w:before="40" w:after="40"/>
              <w:jc w:val="right"/>
              <w:rPr>
                <w:rFonts w:cs="Calibri"/>
                <w:szCs w:val="16"/>
              </w:rPr>
            </w:pPr>
            <w:r w:rsidRPr="00261B7A">
              <w:rPr>
                <w:rFonts w:cs="Calibri"/>
                <w:szCs w:val="16"/>
              </w:rPr>
              <w:t>0.013</w:t>
            </w:r>
          </w:p>
        </w:tc>
        <w:tc>
          <w:tcPr>
            <w:tcW w:w="680" w:type="dxa"/>
            <w:shd w:val="clear" w:color="auto" w:fill="FFFFFF"/>
            <w:tcMar>
              <w:top w:w="0" w:type="dxa"/>
              <w:left w:w="85" w:type="dxa"/>
              <w:bottom w:w="0" w:type="dxa"/>
              <w:right w:w="85" w:type="dxa"/>
            </w:tcMar>
          </w:tcPr>
          <w:p w14:paraId="1851D5BF" w14:textId="77777777" w:rsidR="006611EE" w:rsidRPr="00261B7A" w:rsidRDefault="006611EE" w:rsidP="000F09B5">
            <w:pPr>
              <w:pStyle w:val="TableText"/>
              <w:spacing w:before="40" w:after="40"/>
              <w:jc w:val="right"/>
              <w:rPr>
                <w:rFonts w:cs="Calibri"/>
                <w:szCs w:val="16"/>
              </w:rPr>
            </w:pPr>
            <w:r w:rsidRPr="00261B7A">
              <w:rPr>
                <w:rFonts w:cs="Calibri"/>
                <w:szCs w:val="16"/>
              </w:rPr>
              <w:t>1.5</w:t>
            </w:r>
          </w:p>
        </w:tc>
        <w:tc>
          <w:tcPr>
            <w:tcW w:w="680" w:type="dxa"/>
            <w:shd w:val="clear" w:color="auto" w:fill="FFFFFF"/>
            <w:tcMar>
              <w:top w:w="0" w:type="dxa"/>
              <w:left w:w="85" w:type="dxa"/>
              <w:bottom w:w="0" w:type="dxa"/>
              <w:right w:w="85" w:type="dxa"/>
            </w:tcMar>
          </w:tcPr>
          <w:p w14:paraId="1681BC42" w14:textId="77777777" w:rsidR="006611EE" w:rsidRPr="00261B7A" w:rsidRDefault="006611EE" w:rsidP="000F09B5">
            <w:pPr>
              <w:pStyle w:val="TableText"/>
              <w:spacing w:before="40" w:after="40"/>
              <w:jc w:val="right"/>
              <w:rPr>
                <w:rFonts w:cs="Calibri"/>
                <w:szCs w:val="16"/>
              </w:rPr>
            </w:pPr>
            <w:r w:rsidRPr="00261B7A">
              <w:rPr>
                <w:rFonts w:cs="Calibri"/>
                <w:szCs w:val="16"/>
              </w:rPr>
              <w:t>79.8</w:t>
            </w:r>
          </w:p>
        </w:tc>
      </w:tr>
      <w:tr w:rsidR="006611EE" w:rsidRPr="00261B7A" w14:paraId="258C1873" w14:textId="77777777" w:rsidTr="000F09B5">
        <w:tc>
          <w:tcPr>
            <w:tcW w:w="567" w:type="dxa"/>
            <w:shd w:val="clear" w:color="auto" w:fill="FFFFFF"/>
            <w:tcMar>
              <w:top w:w="0" w:type="dxa"/>
              <w:left w:w="85" w:type="dxa"/>
              <w:bottom w:w="0" w:type="dxa"/>
              <w:right w:w="85" w:type="dxa"/>
            </w:tcMar>
          </w:tcPr>
          <w:p w14:paraId="05264227" w14:textId="77777777" w:rsidR="006611EE" w:rsidRPr="00261B7A" w:rsidRDefault="006611EE" w:rsidP="000F09B5">
            <w:pPr>
              <w:pStyle w:val="TableText"/>
              <w:spacing w:before="40" w:after="40"/>
              <w:rPr>
                <w:rFonts w:cs="Calibri"/>
                <w:szCs w:val="16"/>
              </w:rPr>
            </w:pPr>
            <w:r w:rsidRPr="00261B7A">
              <w:rPr>
                <w:rFonts w:cs="Calibri"/>
                <w:szCs w:val="16"/>
              </w:rPr>
              <w:t>2.C.3</w:t>
            </w:r>
          </w:p>
        </w:tc>
        <w:tc>
          <w:tcPr>
            <w:tcW w:w="2552" w:type="dxa"/>
            <w:shd w:val="clear" w:color="auto" w:fill="FFFFFF"/>
            <w:tcMar>
              <w:top w:w="0" w:type="dxa"/>
              <w:left w:w="85" w:type="dxa"/>
              <w:bottom w:w="0" w:type="dxa"/>
              <w:right w:w="85" w:type="dxa"/>
            </w:tcMar>
          </w:tcPr>
          <w:p w14:paraId="27C47DA1" w14:textId="77777777" w:rsidR="006611EE" w:rsidRPr="00261B7A" w:rsidRDefault="006611EE" w:rsidP="000F09B5">
            <w:pPr>
              <w:pStyle w:val="TableText"/>
              <w:spacing w:before="40" w:after="40"/>
              <w:rPr>
                <w:rFonts w:cs="Calibri"/>
                <w:szCs w:val="16"/>
              </w:rPr>
            </w:pPr>
            <w:r w:rsidRPr="00261B7A">
              <w:rPr>
                <w:rFonts w:cs="Calibri"/>
                <w:szCs w:val="16"/>
              </w:rPr>
              <w:t>Metal Industry – Aluminium Production</w:t>
            </w:r>
          </w:p>
        </w:tc>
        <w:tc>
          <w:tcPr>
            <w:tcW w:w="510" w:type="dxa"/>
            <w:shd w:val="clear" w:color="auto" w:fill="FFFFFF"/>
            <w:tcMar>
              <w:top w:w="0" w:type="dxa"/>
              <w:left w:w="85" w:type="dxa"/>
              <w:bottom w:w="0" w:type="dxa"/>
              <w:right w:w="85" w:type="dxa"/>
            </w:tcMar>
          </w:tcPr>
          <w:p w14:paraId="38144A74" w14:textId="77777777" w:rsidR="006611EE" w:rsidRPr="00261B7A" w:rsidRDefault="006611EE" w:rsidP="000F09B5">
            <w:pPr>
              <w:pStyle w:val="TableText"/>
              <w:spacing w:before="40" w:after="40"/>
              <w:jc w:val="center"/>
              <w:rPr>
                <w:rFonts w:cs="Calibri"/>
                <w:szCs w:val="16"/>
              </w:rPr>
            </w:pPr>
            <w:r w:rsidRPr="00261B7A">
              <w:rPr>
                <w:rFonts w:cs="Calibri"/>
                <w:szCs w:val="16"/>
              </w:rPr>
              <w:t>PFCs</w:t>
            </w:r>
          </w:p>
        </w:tc>
        <w:tc>
          <w:tcPr>
            <w:tcW w:w="851" w:type="dxa"/>
            <w:shd w:val="clear" w:color="auto" w:fill="FFFFFF"/>
            <w:tcMar>
              <w:top w:w="0" w:type="dxa"/>
              <w:left w:w="85" w:type="dxa"/>
              <w:bottom w:w="0" w:type="dxa"/>
              <w:right w:w="85" w:type="dxa"/>
            </w:tcMar>
          </w:tcPr>
          <w:p w14:paraId="7D790A1F" w14:textId="77777777" w:rsidR="006611EE" w:rsidRPr="00261B7A" w:rsidRDefault="006611EE" w:rsidP="000F09B5">
            <w:pPr>
              <w:pStyle w:val="TableText"/>
              <w:spacing w:before="40" w:after="40"/>
              <w:jc w:val="right"/>
              <w:rPr>
                <w:rFonts w:cs="Calibri"/>
                <w:szCs w:val="16"/>
              </w:rPr>
            </w:pPr>
            <w:r w:rsidRPr="00261B7A">
              <w:rPr>
                <w:rFonts w:cs="Calibri"/>
                <w:szCs w:val="16"/>
              </w:rPr>
              <w:t>909.9</w:t>
            </w:r>
          </w:p>
        </w:tc>
        <w:tc>
          <w:tcPr>
            <w:tcW w:w="851" w:type="dxa"/>
            <w:shd w:val="clear" w:color="auto" w:fill="FFFFFF"/>
            <w:tcMar>
              <w:top w:w="0" w:type="dxa"/>
              <w:left w:w="85" w:type="dxa"/>
              <w:bottom w:w="0" w:type="dxa"/>
              <w:right w:w="85" w:type="dxa"/>
            </w:tcMar>
          </w:tcPr>
          <w:p w14:paraId="27863A21" w14:textId="77777777" w:rsidR="006611EE" w:rsidRPr="00261B7A" w:rsidRDefault="006611EE" w:rsidP="000F09B5">
            <w:pPr>
              <w:pStyle w:val="TableText"/>
              <w:spacing w:before="40" w:after="40"/>
              <w:jc w:val="right"/>
              <w:rPr>
                <w:rFonts w:cs="Calibri"/>
                <w:szCs w:val="16"/>
              </w:rPr>
            </w:pPr>
            <w:r w:rsidRPr="00261B7A">
              <w:rPr>
                <w:rFonts w:cs="Calibri"/>
                <w:szCs w:val="16"/>
              </w:rPr>
              <w:t>50.7</w:t>
            </w:r>
          </w:p>
        </w:tc>
        <w:tc>
          <w:tcPr>
            <w:tcW w:w="680" w:type="dxa"/>
            <w:shd w:val="clear" w:color="auto" w:fill="FFFFFF"/>
            <w:tcMar>
              <w:top w:w="0" w:type="dxa"/>
              <w:left w:w="85" w:type="dxa"/>
              <w:bottom w:w="0" w:type="dxa"/>
              <w:right w:w="85" w:type="dxa"/>
            </w:tcMar>
          </w:tcPr>
          <w:p w14:paraId="6370C8FF" w14:textId="77777777" w:rsidR="006611EE" w:rsidRPr="00261B7A" w:rsidRDefault="006611EE" w:rsidP="000F09B5">
            <w:pPr>
              <w:pStyle w:val="TableText"/>
              <w:spacing w:before="40" w:after="40"/>
              <w:jc w:val="right"/>
              <w:rPr>
                <w:rFonts w:cs="Calibri"/>
                <w:szCs w:val="16"/>
              </w:rPr>
            </w:pPr>
            <w:r w:rsidRPr="00261B7A">
              <w:rPr>
                <w:rFonts w:cs="Calibri"/>
                <w:szCs w:val="16"/>
              </w:rPr>
              <w:t>0.012</w:t>
            </w:r>
          </w:p>
        </w:tc>
        <w:tc>
          <w:tcPr>
            <w:tcW w:w="680" w:type="dxa"/>
            <w:shd w:val="clear" w:color="auto" w:fill="FFFFFF"/>
            <w:tcMar>
              <w:top w:w="0" w:type="dxa"/>
              <w:left w:w="85" w:type="dxa"/>
              <w:bottom w:w="0" w:type="dxa"/>
              <w:right w:w="85" w:type="dxa"/>
            </w:tcMar>
          </w:tcPr>
          <w:p w14:paraId="78DBC3A3" w14:textId="77777777" w:rsidR="006611EE" w:rsidRPr="00261B7A" w:rsidRDefault="006611EE" w:rsidP="000F09B5">
            <w:pPr>
              <w:pStyle w:val="TableText"/>
              <w:spacing w:before="40" w:after="40"/>
              <w:jc w:val="right"/>
              <w:rPr>
                <w:rFonts w:cs="Calibri"/>
                <w:szCs w:val="16"/>
              </w:rPr>
            </w:pPr>
            <w:r w:rsidRPr="00261B7A">
              <w:rPr>
                <w:rFonts w:cs="Calibri"/>
                <w:szCs w:val="16"/>
              </w:rPr>
              <w:t>1.5</w:t>
            </w:r>
          </w:p>
        </w:tc>
        <w:tc>
          <w:tcPr>
            <w:tcW w:w="680" w:type="dxa"/>
            <w:shd w:val="clear" w:color="auto" w:fill="FFFFFF"/>
            <w:tcMar>
              <w:top w:w="0" w:type="dxa"/>
              <w:left w:w="85" w:type="dxa"/>
              <w:bottom w:w="0" w:type="dxa"/>
              <w:right w:w="85" w:type="dxa"/>
            </w:tcMar>
          </w:tcPr>
          <w:p w14:paraId="21ED3EBA" w14:textId="77777777" w:rsidR="006611EE" w:rsidRPr="00261B7A" w:rsidRDefault="006611EE" w:rsidP="000F09B5">
            <w:pPr>
              <w:pStyle w:val="TableText"/>
              <w:spacing w:before="40" w:after="40"/>
              <w:jc w:val="right"/>
              <w:rPr>
                <w:rFonts w:cs="Calibri"/>
                <w:szCs w:val="16"/>
              </w:rPr>
            </w:pPr>
            <w:r w:rsidRPr="00261B7A">
              <w:rPr>
                <w:rFonts w:cs="Calibri"/>
                <w:szCs w:val="16"/>
              </w:rPr>
              <w:t>81.2</w:t>
            </w:r>
          </w:p>
        </w:tc>
      </w:tr>
      <w:tr w:rsidR="006611EE" w:rsidRPr="00261B7A" w14:paraId="1C0B4BBC" w14:textId="77777777" w:rsidTr="000F09B5">
        <w:tc>
          <w:tcPr>
            <w:tcW w:w="567" w:type="dxa"/>
            <w:shd w:val="clear" w:color="auto" w:fill="FFFFFF"/>
            <w:tcMar>
              <w:top w:w="0" w:type="dxa"/>
              <w:left w:w="85" w:type="dxa"/>
              <w:bottom w:w="0" w:type="dxa"/>
              <w:right w:w="85" w:type="dxa"/>
            </w:tcMar>
          </w:tcPr>
          <w:p w14:paraId="0A92B412" w14:textId="77777777" w:rsidR="006611EE" w:rsidRPr="00261B7A" w:rsidRDefault="006611EE" w:rsidP="000F09B5">
            <w:pPr>
              <w:pStyle w:val="TableText"/>
              <w:spacing w:before="40" w:after="40"/>
              <w:rPr>
                <w:rFonts w:cs="Calibri"/>
                <w:szCs w:val="16"/>
              </w:rPr>
            </w:pPr>
            <w:r w:rsidRPr="00261B7A">
              <w:rPr>
                <w:rFonts w:cs="Calibri"/>
                <w:szCs w:val="16"/>
              </w:rPr>
              <w:t>4.C.2</w:t>
            </w:r>
          </w:p>
        </w:tc>
        <w:tc>
          <w:tcPr>
            <w:tcW w:w="2552" w:type="dxa"/>
            <w:shd w:val="clear" w:color="auto" w:fill="FFFFFF"/>
            <w:tcMar>
              <w:top w:w="0" w:type="dxa"/>
              <w:left w:w="85" w:type="dxa"/>
              <w:bottom w:w="0" w:type="dxa"/>
              <w:right w:w="85" w:type="dxa"/>
            </w:tcMar>
          </w:tcPr>
          <w:p w14:paraId="3912C42C" w14:textId="77777777" w:rsidR="006611EE" w:rsidRPr="00261B7A" w:rsidRDefault="006611EE" w:rsidP="000F09B5">
            <w:pPr>
              <w:pStyle w:val="TableText"/>
              <w:spacing w:before="40" w:after="40"/>
              <w:rPr>
                <w:rFonts w:cs="Calibri"/>
                <w:szCs w:val="16"/>
              </w:rPr>
            </w:pPr>
            <w:r w:rsidRPr="00261B7A">
              <w:rPr>
                <w:rFonts w:cs="Calibri"/>
                <w:szCs w:val="16"/>
              </w:rPr>
              <w:t>Grassland – Land Converted to Grassland</w:t>
            </w:r>
          </w:p>
        </w:tc>
        <w:tc>
          <w:tcPr>
            <w:tcW w:w="510" w:type="dxa"/>
            <w:shd w:val="clear" w:color="auto" w:fill="FFFFFF"/>
            <w:tcMar>
              <w:top w:w="0" w:type="dxa"/>
              <w:left w:w="85" w:type="dxa"/>
              <w:bottom w:w="0" w:type="dxa"/>
              <w:right w:w="85" w:type="dxa"/>
            </w:tcMar>
          </w:tcPr>
          <w:p w14:paraId="1FFC9737"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3841DA8B" w14:textId="77777777" w:rsidR="006611EE" w:rsidRPr="00261B7A" w:rsidRDefault="006611EE" w:rsidP="000F09B5">
            <w:pPr>
              <w:pStyle w:val="TableText"/>
              <w:spacing w:before="40" w:after="40"/>
              <w:jc w:val="right"/>
              <w:rPr>
                <w:rFonts w:cs="Calibri"/>
                <w:szCs w:val="16"/>
              </w:rPr>
            </w:pPr>
            <w:r w:rsidRPr="00261B7A">
              <w:rPr>
                <w:rFonts w:cs="Calibri"/>
                <w:szCs w:val="16"/>
              </w:rPr>
              <w:t>422.4</w:t>
            </w:r>
          </w:p>
        </w:tc>
        <w:tc>
          <w:tcPr>
            <w:tcW w:w="851" w:type="dxa"/>
            <w:shd w:val="clear" w:color="auto" w:fill="FFFFFF"/>
            <w:tcMar>
              <w:top w:w="0" w:type="dxa"/>
              <w:left w:w="85" w:type="dxa"/>
              <w:bottom w:w="0" w:type="dxa"/>
              <w:right w:w="85" w:type="dxa"/>
            </w:tcMar>
          </w:tcPr>
          <w:p w14:paraId="5169DDDD" w14:textId="77777777" w:rsidR="006611EE" w:rsidRPr="00261B7A" w:rsidRDefault="006611EE" w:rsidP="000F09B5">
            <w:pPr>
              <w:pStyle w:val="TableText"/>
              <w:spacing w:before="40" w:after="40"/>
              <w:jc w:val="right"/>
              <w:rPr>
                <w:rFonts w:cs="Calibri"/>
                <w:szCs w:val="16"/>
              </w:rPr>
            </w:pPr>
            <w:r w:rsidRPr="00261B7A">
              <w:rPr>
                <w:rFonts w:cs="Calibri"/>
                <w:szCs w:val="16"/>
              </w:rPr>
              <w:t>1,485.2</w:t>
            </w:r>
          </w:p>
        </w:tc>
        <w:tc>
          <w:tcPr>
            <w:tcW w:w="680" w:type="dxa"/>
            <w:shd w:val="clear" w:color="auto" w:fill="FFFFFF"/>
            <w:tcMar>
              <w:top w:w="0" w:type="dxa"/>
              <w:left w:w="85" w:type="dxa"/>
              <w:bottom w:w="0" w:type="dxa"/>
              <w:right w:w="85" w:type="dxa"/>
            </w:tcMar>
          </w:tcPr>
          <w:p w14:paraId="6571392E" w14:textId="77777777" w:rsidR="006611EE" w:rsidRPr="00261B7A" w:rsidRDefault="006611EE" w:rsidP="000F09B5">
            <w:pPr>
              <w:pStyle w:val="TableText"/>
              <w:spacing w:before="40" w:after="40"/>
              <w:jc w:val="right"/>
              <w:rPr>
                <w:rFonts w:cs="Calibri"/>
                <w:szCs w:val="16"/>
              </w:rPr>
            </w:pPr>
            <w:r w:rsidRPr="00261B7A">
              <w:rPr>
                <w:rFonts w:cs="Calibri"/>
                <w:szCs w:val="16"/>
              </w:rPr>
              <w:t>0.011</w:t>
            </w:r>
          </w:p>
        </w:tc>
        <w:tc>
          <w:tcPr>
            <w:tcW w:w="680" w:type="dxa"/>
            <w:shd w:val="clear" w:color="auto" w:fill="FFFFFF"/>
            <w:tcMar>
              <w:top w:w="0" w:type="dxa"/>
              <w:left w:w="85" w:type="dxa"/>
              <w:bottom w:w="0" w:type="dxa"/>
              <w:right w:w="85" w:type="dxa"/>
            </w:tcMar>
          </w:tcPr>
          <w:p w14:paraId="43AB8801" w14:textId="77777777" w:rsidR="006611EE" w:rsidRPr="00261B7A" w:rsidRDefault="006611EE" w:rsidP="000F09B5">
            <w:pPr>
              <w:pStyle w:val="TableText"/>
              <w:spacing w:before="40" w:after="40"/>
              <w:jc w:val="right"/>
              <w:rPr>
                <w:rFonts w:cs="Calibri"/>
                <w:szCs w:val="16"/>
              </w:rPr>
            </w:pPr>
            <w:r w:rsidRPr="00261B7A">
              <w:rPr>
                <w:rFonts w:cs="Calibri"/>
                <w:szCs w:val="16"/>
              </w:rPr>
              <w:t>1.3</w:t>
            </w:r>
          </w:p>
        </w:tc>
        <w:tc>
          <w:tcPr>
            <w:tcW w:w="680" w:type="dxa"/>
            <w:shd w:val="clear" w:color="auto" w:fill="FFFFFF"/>
            <w:tcMar>
              <w:top w:w="0" w:type="dxa"/>
              <w:left w:w="85" w:type="dxa"/>
              <w:bottom w:w="0" w:type="dxa"/>
              <w:right w:w="85" w:type="dxa"/>
            </w:tcMar>
          </w:tcPr>
          <w:p w14:paraId="268D7697" w14:textId="77777777" w:rsidR="006611EE" w:rsidRPr="00261B7A" w:rsidRDefault="006611EE" w:rsidP="000F09B5">
            <w:pPr>
              <w:pStyle w:val="TableText"/>
              <w:spacing w:before="40" w:after="40"/>
              <w:jc w:val="right"/>
              <w:rPr>
                <w:rFonts w:cs="Calibri"/>
                <w:szCs w:val="16"/>
              </w:rPr>
            </w:pPr>
            <w:r w:rsidRPr="00261B7A">
              <w:rPr>
                <w:rFonts w:cs="Calibri"/>
                <w:szCs w:val="16"/>
              </w:rPr>
              <w:t>82.5</w:t>
            </w:r>
          </w:p>
        </w:tc>
      </w:tr>
      <w:tr w:rsidR="006611EE" w:rsidRPr="00261B7A" w14:paraId="6530D414" w14:textId="77777777" w:rsidTr="000F09B5">
        <w:tc>
          <w:tcPr>
            <w:tcW w:w="567" w:type="dxa"/>
            <w:shd w:val="clear" w:color="auto" w:fill="FFFFFF"/>
            <w:tcMar>
              <w:top w:w="0" w:type="dxa"/>
              <w:left w:w="85" w:type="dxa"/>
              <w:bottom w:w="0" w:type="dxa"/>
              <w:right w:w="85" w:type="dxa"/>
            </w:tcMar>
          </w:tcPr>
          <w:p w14:paraId="78652CB5" w14:textId="77777777" w:rsidR="006611EE" w:rsidRPr="00261B7A" w:rsidRDefault="006611EE" w:rsidP="000F09B5">
            <w:pPr>
              <w:pStyle w:val="TableText"/>
              <w:spacing w:before="40" w:after="40"/>
              <w:rPr>
                <w:rFonts w:cs="Calibri"/>
                <w:szCs w:val="16"/>
              </w:rPr>
            </w:pPr>
            <w:r w:rsidRPr="00261B7A">
              <w:rPr>
                <w:rFonts w:cs="Calibri"/>
                <w:szCs w:val="16"/>
              </w:rPr>
              <w:t>4.C.1</w:t>
            </w:r>
          </w:p>
        </w:tc>
        <w:tc>
          <w:tcPr>
            <w:tcW w:w="2552" w:type="dxa"/>
            <w:shd w:val="clear" w:color="auto" w:fill="FFFFFF"/>
            <w:tcMar>
              <w:top w:w="0" w:type="dxa"/>
              <w:left w:w="85" w:type="dxa"/>
              <w:bottom w:w="0" w:type="dxa"/>
              <w:right w:w="85" w:type="dxa"/>
            </w:tcMar>
          </w:tcPr>
          <w:p w14:paraId="5C710B8C" w14:textId="77777777" w:rsidR="006611EE" w:rsidRPr="00261B7A" w:rsidRDefault="006611EE" w:rsidP="000F09B5">
            <w:pPr>
              <w:pStyle w:val="TableText"/>
              <w:spacing w:before="40" w:after="40"/>
              <w:rPr>
                <w:rFonts w:cs="Calibri"/>
                <w:szCs w:val="16"/>
              </w:rPr>
            </w:pPr>
            <w:r w:rsidRPr="00261B7A">
              <w:rPr>
                <w:rFonts w:cs="Calibri"/>
                <w:szCs w:val="16"/>
              </w:rPr>
              <w:t>Grassland – Grassland Remaining Grassland</w:t>
            </w:r>
          </w:p>
        </w:tc>
        <w:tc>
          <w:tcPr>
            <w:tcW w:w="510" w:type="dxa"/>
            <w:shd w:val="clear" w:color="auto" w:fill="FFFFFF"/>
            <w:tcMar>
              <w:top w:w="0" w:type="dxa"/>
              <w:left w:w="85" w:type="dxa"/>
              <w:bottom w:w="0" w:type="dxa"/>
              <w:right w:w="85" w:type="dxa"/>
            </w:tcMar>
          </w:tcPr>
          <w:p w14:paraId="77D4D3FF"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3AD5CB2F" w14:textId="77777777" w:rsidR="006611EE" w:rsidRPr="00261B7A" w:rsidRDefault="006611EE" w:rsidP="000F09B5">
            <w:pPr>
              <w:pStyle w:val="TableText"/>
              <w:spacing w:before="40" w:after="40"/>
              <w:jc w:val="right"/>
              <w:rPr>
                <w:rFonts w:cs="Calibri"/>
                <w:szCs w:val="16"/>
              </w:rPr>
            </w:pPr>
            <w:r w:rsidRPr="00261B7A">
              <w:rPr>
                <w:rFonts w:cs="Calibri"/>
                <w:szCs w:val="16"/>
              </w:rPr>
              <w:t>219.6</w:t>
            </w:r>
          </w:p>
        </w:tc>
        <w:tc>
          <w:tcPr>
            <w:tcW w:w="851" w:type="dxa"/>
            <w:shd w:val="clear" w:color="auto" w:fill="FFFFFF"/>
            <w:tcMar>
              <w:top w:w="0" w:type="dxa"/>
              <w:left w:w="85" w:type="dxa"/>
              <w:bottom w:w="0" w:type="dxa"/>
              <w:right w:w="85" w:type="dxa"/>
            </w:tcMar>
          </w:tcPr>
          <w:p w14:paraId="36E09321" w14:textId="77777777" w:rsidR="006611EE" w:rsidRPr="00261B7A" w:rsidRDefault="006611EE" w:rsidP="000F09B5">
            <w:pPr>
              <w:pStyle w:val="TableText"/>
              <w:spacing w:before="40" w:after="40"/>
              <w:jc w:val="right"/>
              <w:rPr>
                <w:rFonts w:cs="Calibri"/>
                <w:szCs w:val="16"/>
              </w:rPr>
            </w:pPr>
            <w:r w:rsidRPr="00261B7A">
              <w:rPr>
                <w:rFonts w:cs="Calibri"/>
                <w:szCs w:val="16"/>
              </w:rPr>
              <w:t>1,222.9</w:t>
            </w:r>
          </w:p>
        </w:tc>
        <w:tc>
          <w:tcPr>
            <w:tcW w:w="680" w:type="dxa"/>
            <w:shd w:val="clear" w:color="auto" w:fill="FFFFFF"/>
            <w:tcMar>
              <w:top w:w="0" w:type="dxa"/>
              <w:left w:w="85" w:type="dxa"/>
              <w:bottom w:w="0" w:type="dxa"/>
              <w:right w:w="85" w:type="dxa"/>
            </w:tcMar>
          </w:tcPr>
          <w:p w14:paraId="607936A6" w14:textId="77777777" w:rsidR="006611EE" w:rsidRPr="00261B7A" w:rsidRDefault="006611EE" w:rsidP="000F09B5">
            <w:pPr>
              <w:pStyle w:val="TableText"/>
              <w:spacing w:before="40" w:after="40"/>
              <w:jc w:val="right"/>
              <w:rPr>
                <w:rFonts w:cs="Calibri"/>
                <w:szCs w:val="16"/>
              </w:rPr>
            </w:pPr>
            <w:r w:rsidRPr="00261B7A">
              <w:rPr>
                <w:rFonts w:cs="Calibri"/>
                <w:szCs w:val="16"/>
              </w:rPr>
              <w:t>0.011</w:t>
            </w:r>
          </w:p>
        </w:tc>
        <w:tc>
          <w:tcPr>
            <w:tcW w:w="680" w:type="dxa"/>
            <w:shd w:val="clear" w:color="auto" w:fill="FFFFFF"/>
            <w:tcMar>
              <w:top w:w="0" w:type="dxa"/>
              <w:left w:w="85" w:type="dxa"/>
              <w:bottom w:w="0" w:type="dxa"/>
              <w:right w:w="85" w:type="dxa"/>
            </w:tcMar>
          </w:tcPr>
          <w:p w14:paraId="25325A18" w14:textId="77777777" w:rsidR="006611EE" w:rsidRPr="00261B7A" w:rsidRDefault="006611EE" w:rsidP="000F09B5">
            <w:pPr>
              <w:pStyle w:val="TableText"/>
              <w:spacing w:before="40" w:after="40"/>
              <w:jc w:val="right"/>
              <w:rPr>
                <w:rFonts w:cs="Calibri"/>
                <w:szCs w:val="16"/>
              </w:rPr>
            </w:pPr>
            <w:r w:rsidRPr="00261B7A">
              <w:rPr>
                <w:rFonts w:cs="Calibri"/>
                <w:szCs w:val="16"/>
              </w:rPr>
              <w:t>1.3</w:t>
            </w:r>
          </w:p>
        </w:tc>
        <w:tc>
          <w:tcPr>
            <w:tcW w:w="680" w:type="dxa"/>
            <w:shd w:val="clear" w:color="auto" w:fill="FFFFFF"/>
            <w:tcMar>
              <w:top w:w="0" w:type="dxa"/>
              <w:left w:w="85" w:type="dxa"/>
              <w:bottom w:w="0" w:type="dxa"/>
              <w:right w:w="85" w:type="dxa"/>
            </w:tcMar>
          </w:tcPr>
          <w:p w14:paraId="17B711C1" w14:textId="77777777" w:rsidR="006611EE" w:rsidRPr="00261B7A" w:rsidRDefault="006611EE" w:rsidP="000F09B5">
            <w:pPr>
              <w:pStyle w:val="TableText"/>
              <w:spacing w:before="40" w:after="40"/>
              <w:jc w:val="right"/>
              <w:rPr>
                <w:rFonts w:cs="Calibri"/>
                <w:szCs w:val="16"/>
              </w:rPr>
            </w:pPr>
            <w:r w:rsidRPr="00261B7A">
              <w:rPr>
                <w:rFonts w:cs="Calibri"/>
                <w:szCs w:val="16"/>
              </w:rPr>
              <w:t>83.8</w:t>
            </w:r>
          </w:p>
        </w:tc>
      </w:tr>
      <w:tr w:rsidR="006611EE" w:rsidRPr="00261B7A" w14:paraId="76F1E997" w14:textId="77777777" w:rsidTr="000F09B5">
        <w:tc>
          <w:tcPr>
            <w:tcW w:w="567" w:type="dxa"/>
            <w:shd w:val="clear" w:color="auto" w:fill="FFFFFF"/>
            <w:tcMar>
              <w:top w:w="0" w:type="dxa"/>
              <w:left w:w="85" w:type="dxa"/>
              <w:bottom w:w="0" w:type="dxa"/>
              <w:right w:w="85" w:type="dxa"/>
            </w:tcMar>
          </w:tcPr>
          <w:p w14:paraId="1D450199" w14:textId="77777777" w:rsidR="006611EE" w:rsidRPr="00261B7A" w:rsidRDefault="006611EE" w:rsidP="000F09B5">
            <w:pPr>
              <w:pStyle w:val="TableText"/>
              <w:spacing w:before="40" w:after="40"/>
              <w:rPr>
                <w:rFonts w:cs="Calibri"/>
                <w:szCs w:val="16"/>
              </w:rPr>
            </w:pPr>
            <w:r w:rsidRPr="00261B7A">
              <w:rPr>
                <w:rFonts w:cs="Calibri"/>
                <w:szCs w:val="16"/>
              </w:rPr>
              <w:t>3.B.1.1</w:t>
            </w:r>
          </w:p>
        </w:tc>
        <w:tc>
          <w:tcPr>
            <w:tcW w:w="2552" w:type="dxa"/>
            <w:shd w:val="clear" w:color="auto" w:fill="FFFFFF"/>
            <w:tcMar>
              <w:top w:w="0" w:type="dxa"/>
              <w:left w:w="85" w:type="dxa"/>
              <w:bottom w:w="0" w:type="dxa"/>
              <w:right w:w="85" w:type="dxa"/>
            </w:tcMar>
          </w:tcPr>
          <w:p w14:paraId="7B5B077F" w14:textId="77777777" w:rsidR="006611EE" w:rsidRPr="00261B7A" w:rsidRDefault="006611EE" w:rsidP="000F09B5">
            <w:pPr>
              <w:pStyle w:val="TableText"/>
              <w:spacing w:before="40" w:after="40"/>
              <w:rPr>
                <w:rFonts w:cs="Calibri"/>
                <w:szCs w:val="16"/>
              </w:rPr>
            </w:pPr>
            <w:r w:rsidRPr="00261B7A">
              <w:rPr>
                <w:rFonts w:cs="Calibri"/>
                <w:szCs w:val="16"/>
              </w:rPr>
              <w:t>Option A – Dairy Cattle</w:t>
            </w:r>
          </w:p>
        </w:tc>
        <w:tc>
          <w:tcPr>
            <w:tcW w:w="510" w:type="dxa"/>
            <w:shd w:val="clear" w:color="auto" w:fill="FFFFFF"/>
            <w:tcMar>
              <w:top w:w="0" w:type="dxa"/>
              <w:left w:w="85" w:type="dxa"/>
              <w:bottom w:w="0" w:type="dxa"/>
              <w:right w:w="85" w:type="dxa"/>
            </w:tcMar>
          </w:tcPr>
          <w:p w14:paraId="6E3B86D3" w14:textId="77777777" w:rsidR="006611EE" w:rsidRPr="00261B7A" w:rsidRDefault="006611EE" w:rsidP="000F09B5">
            <w:pPr>
              <w:pStyle w:val="TableText"/>
              <w:spacing w:before="40" w:after="40"/>
              <w:jc w:val="center"/>
              <w:rPr>
                <w:rFonts w:cs="Calibri"/>
                <w:szCs w:val="16"/>
              </w:rPr>
            </w:pPr>
            <w:r w:rsidRPr="00261B7A">
              <w:rPr>
                <w:rFonts w:cs="Calibri"/>
                <w:szCs w:val="16"/>
              </w:rPr>
              <w:t>CH</w:t>
            </w:r>
            <w:r w:rsidRPr="00261B7A">
              <w:rPr>
                <w:rFonts w:cs="Calibri"/>
                <w:szCs w:val="16"/>
                <w:vertAlign w:val="subscript"/>
              </w:rPr>
              <w:t>4</w:t>
            </w:r>
          </w:p>
        </w:tc>
        <w:tc>
          <w:tcPr>
            <w:tcW w:w="851" w:type="dxa"/>
            <w:shd w:val="clear" w:color="auto" w:fill="FFFFFF"/>
            <w:tcMar>
              <w:top w:w="0" w:type="dxa"/>
              <w:left w:w="85" w:type="dxa"/>
              <w:bottom w:w="0" w:type="dxa"/>
              <w:right w:w="85" w:type="dxa"/>
            </w:tcMar>
          </w:tcPr>
          <w:p w14:paraId="7CB037DF" w14:textId="77777777" w:rsidR="006611EE" w:rsidRPr="00261B7A" w:rsidRDefault="006611EE" w:rsidP="000F09B5">
            <w:pPr>
              <w:pStyle w:val="TableText"/>
              <w:spacing w:before="40" w:after="40"/>
              <w:jc w:val="right"/>
              <w:rPr>
                <w:rFonts w:cs="Calibri"/>
                <w:szCs w:val="16"/>
              </w:rPr>
            </w:pPr>
            <w:r w:rsidRPr="00261B7A">
              <w:rPr>
                <w:rFonts w:cs="Calibri"/>
                <w:szCs w:val="16"/>
              </w:rPr>
              <w:t>413.8</w:t>
            </w:r>
          </w:p>
        </w:tc>
        <w:tc>
          <w:tcPr>
            <w:tcW w:w="851" w:type="dxa"/>
            <w:shd w:val="clear" w:color="auto" w:fill="FFFFFF"/>
            <w:tcMar>
              <w:top w:w="0" w:type="dxa"/>
              <w:left w:w="85" w:type="dxa"/>
              <w:bottom w:w="0" w:type="dxa"/>
              <w:right w:w="85" w:type="dxa"/>
            </w:tcMar>
          </w:tcPr>
          <w:p w14:paraId="0F5C6385" w14:textId="77777777" w:rsidR="006611EE" w:rsidRPr="00261B7A" w:rsidRDefault="006611EE" w:rsidP="000F09B5">
            <w:pPr>
              <w:pStyle w:val="TableText"/>
              <w:spacing w:before="40" w:after="40"/>
              <w:jc w:val="right"/>
              <w:rPr>
                <w:rFonts w:cs="Calibri"/>
                <w:szCs w:val="16"/>
              </w:rPr>
            </w:pPr>
            <w:r w:rsidRPr="00261B7A">
              <w:rPr>
                <w:rFonts w:cs="Calibri"/>
                <w:szCs w:val="16"/>
              </w:rPr>
              <w:t>1,341.1</w:t>
            </w:r>
          </w:p>
        </w:tc>
        <w:tc>
          <w:tcPr>
            <w:tcW w:w="680" w:type="dxa"/>
            <w:shd w:val="clear" w:color="auto" w:fill="FFFFFF"/>
            <w:tcMar>
              <w:top w:w="0" w:type="dxa"/>
              <w:left w:w="85" w:type="dxa"/>
              <w:bottom w:w="0" w:type="dxa"/>
              <w:right w:w="85" w:type="dxa"/>
            </w:tcMar>
          </w:tcPr>
          <w:p w14:paraId="6662A262" w14:textId="77777777" w:rsidR="006611EE" w:rsidRPr="00261B7A" w:rsidRDefault="006611EE" w:rsidP="000F09B5">
            <w:pPr>
              <w:pStyle w:val="TableText"/>
              <w:spacing w:before="40" w:after="40"/>
              <w:jc w:val="right"/>
              <w:rPr>
                <w:rFonts w:cs="Calibri"/>
                <w:szCs w:val="16"/>
              </w:rPr>
            </w:pPr>
            <w:r w:rsidRPr="00261B7A">
              <w:rPr>
                <w:rFonts w:cs="Calibri"/>
                <w:szCs w:val="16"/>
              </w:rPr>
              <w:t>0.009</w:t>
            </w:r>
          </w:p>
        </w:tc>
        <w:tc>
          <w:tcPr>
            <w:tcW w:w="680" w:type="dxa"/>
            <w:shd w:val="clear" w:color="auto" w:fill="FFFFFF"/>
            <w:tcMar>
              <w:top w:w="0" w:type="dxa"/>
              <w:left w:w="85" w:type="dxa"/>
              <w:bottom w:w="0" w:type="dxa"/>
              <w:right w:w="85" w:type="dxa"/>
            </w:tcMar>
          </w:tcPr>
          <w:p w14:paraId="70FC64DD" w14:textId="77777777" w:rsidR="006611EE" w:rsidRPr="00261B7A" w:rsidRDefault="006611EE" w:rsidP="000F09B5">
            <w:pPr>
              <w:pStyle w:val="TableText"/>
              <w:spacing w:before="40" w:after="40"/>
              <w:jc w:val="right"/>
              <w:rPr>
                <w:rFonts w:cs="Calibri"/>
                <w:szCs w:val="16"/>
              </w:rPr>
            </w:pPr>
            <w:r w:rsidRPr="00261B7A">
              <w:rPr>
                <w:rFonts w:cs="Calibri"/>
                <w:szCs w:val="16"/>
              </w:rPr>
              <w:t>1.1</w:t>
            </w:r>
          </w:p>
        </w:tc>
        <w:tc>
          <w:tcPr>
            <w:tcW w:w="680" w:type="dxa"/>
            <w:shd w:val="clear" w:color="auto" w:fill="FFFFFF"/>
            <w:tcMar>
              <w:top w:w="0" w:type="dxa"/>
              <w:left w:w="85" w:type="dxa"/>
              <w:bottom w:w="0" w:type="dxa"/>
              <w:right w:w="85" w:type="dxa"/>
            </w:tcMar>
          </w:tcPr>
          <w:p w14:paraId="1DB65545" w14:textId="77777777" w:rsidR="006611EE" w:rsidRPr="00261B7A" w:rsidRDefault="006611EE" w:rsidP="000F09B5">
            <w:pPr>
              <w:pStyle w:val="TableText"/>
              <w:spacing w:before="40" w:after="40"/>
              <w:jc w:val="right"/>
              <w:rPr>
                <w:rFonts w:cs="Calibri"/>
                <w:szCs w:val="16"/>
              </w:rPr>
            </w:pPr>
            <w:r w:rsidRPr="00261B7A">
              <w:rPr>
                <w:rFonts w:cs="Calibri"/>
                <w:szCs w:val="16"/>
              </w:rPr>
              <w:t>84.9</w:t>
            </w:r>
          </w:p>
        </w:tc>
      </w:tr>
      <w:tr w:rsidR="006611EE" w:rsidRPr="00261B7A" w14:paraId="02A2D26E" w14:textId="77777777" w:rsidTr="000F09B5">
        <w:tc>
          <w:tcPr>
            <w:tcW w:w="567" w:type="dxa"/>
            <w:shd w:val="clear" w:color="auto" w:fill="FFFFFF"/>
            <w:tcMar>
              <w:top w:w="0" w:type="dxa"/>
              <w:left w:w="85" w:type="dxa"/>
              <w:bottom w:w="0" w:type="dxa"/>
              <w:right w:w="85" w:type="dxa"/>
            </w:tcMar>
          </w:tcPr>
          <w:p w14:paraId="399B4888" w14:textId="77777777" w:rsidR="006611EE" w:rsidRPr="00261B7A" w:rsidRDefault="006611EE" w:rsidP="000F09B5">
            <w:pPr>
              <w:pStyle w:val="TableText"/>
              <w:spacing w:before="40" w:after="40"/>
              <w:rPr>
                <w:rFonts w:cs="Calibri"/>
                <w:szCs w:val="16"/>
              </w:rPr>
            </w:pPr>
            <w:r w:rsidRPr="00261B7A">
              <w:rPr>
                <w:rFonts w:cs="Calibri"/>
                <w:szCs w:val="16"/>
              </w:rPr>
              <w:t>1.A.2.g.viii</w:t>
            </w:r>
          </w:p>
        </w:tc>
        <w:tc>
          <w:tcPr>
            <w:tcW w:w="2552" w:type="dxa"/>
            <w:shd w:val="clear" w:color="auto" w:fill="FFFFFF"/>
            <w:tcMar>
              <w:top w:w="0" w:type="dxa"/>
              <w:left w:w="85" w:type="dxa"/>
              <w:bottom w:w="0" w:type="dxa"/>
              <w:right w:w="85" w:type="dxa"/>
            </w:tcMar>
          </w:tcPr>
          <w:p w14:paraId="153A5ADB" w14:textId="77777777" w:rsidR="006611EE" w:rsidRPr="00261B7A" w:rsidRDefault="006611EE" w:rsidP="000F09B5">
            <w:pPr>
              <w:pStyle w:val="TableText"/>
              <w:spacing w:before="40" w:after="40"/>
              <w:rPr>
                <w:rFonts w:cs="Calibri"/>
                <w:szCs w:val="16"/>
              </w:rPr>
            </w:pPr>
            <w:r w:rsidRPr="00261B7A">
              <w:rPr>
                <w:rFonts w:cs="Calibri"/>
                <w:szCs w:val="16"/>
              </w:rPr>
              <w:t>Other (please specify) – Other (please specify) Solid Fuels</w:t>
            </w:r>
          </w:p>
        </w:tc>
        <w:tc>
          <w:tcPr>
            <w:tcW w:w="510" w:type="dxa"/>
            <w:shd w:val="clear" w:color="auto" w:fill="FFFFFF"/>
            <w:tcMar>
              <w:top w:w="0" w:type="dxa"/>
              <w:left w:w="85" w:type="dxa"/>
              <w:bottom w:w="0" w:type="dxa"/>
              <w:right w:w="85" w:type="dxa"/>
            </w:tcMar>
          </w:tcPr>
          <w:p w14:paraId="7ABC480A"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2424A896" w14:textId="77777777" w:rsidR="006611EE" w:rsidRPr="00261B7A" w:rsidRDefault="006611EE" w:rsidP="000F09B5">
            <w:pPr>
              <w:pStyle w:val="TableText"/>
              <w:spacing w:before="40" w:after="40"/>
              <w:jc w:val="right"/>
              <w:rPr>
                <w:rFonts w:cs="Calibri"/>
                <w:szCs w:val="16"/>
              </w:rPr>
            </w:pPr>
            <w:r w:rsidRPr="00261B7A">
              <w:rPr>
                <w:rFonts w:cs="Calibri"/>
                <w:szCs w:val="16"/>
              </w:rPr>
              <w:t>731.1</w:t>
            </w:r>
          </w:p>
        </w:tc>
        <w:tc>
          <w:tcPr>
            <w:tcW w:w="851" w:type="dxa"/>
            <w:shd w:val="clear" w:color="auto" w:fill="FFFFFF"/>
            <w:tcMar>
              <w:top w:w="0" w:type="dxa"/>
              <w:left w:w="85" w:type="dxa"/>
              <w:bottom w:w="0" w:type="dxa"/>
              <w:right w:w="85" w:type="dxa"/>
            </w:tcMar>
          </w:tcPr>
          <w:p w14:paraId="2D644D32" w14:textId="77777777" w:rsidR="006611EE" w:rsidRPr="00261B7A" w:rsidRDefault="006611EE" w:rsidP="000F09B5">
            <w:pPr>
              <w:pStyle w:val="TableText"/>
              <w:spacing w:before="40" w:after="40"/>
              <w:jc w:val="right"/>
              <w:rPr>
                <w:rFonts w:cs="Calibri"/>
                <w:szCs w:val="16"/>
              </w:rPr>
            </w:pPr>
            <w:r w:rsidRPr="00261B7A">
              <w:rPr>
                <w:rFonts w:cs="Calibri"/>
                <w:szCs w:val="16"/>
              </w:rPr>
              <w:t>104.4</w:t>
            </w:r>
          </w:p>
        </w:tc>
        <w:tc>
          <w:tcPr>
            <w:tcW w:w="680" w:type="dxa"/>
            <w:shd w:val="clear" w:color="auto" w:fill="FFFFFF"/>
            <w:tcMar>
              <w:top w:w="0" w:type="dxa"/>
              <w:left w:w="85" w:type="dxa"/>
              <w:bottom w:w="0" w:type="dxa"/>
              <w:right w:w="85" w:type="dxa"/>
            </w:tcMar>
          </w:tcPr>
          <w:p w14:paraId="7BF254AC" w14:textId="77777777" w:rsidR="006611EE" w:rsidRPr="00261B7A" w:rsidRDefault="006611EE" w:rsidP="000F09B5">
            <w:pPr>
              <w:pStyle w:val="TableText"/>
              <w:spacing w:before="40" w:after="40"/>
              <w:jc w:val="right"/>
              <w:rPr>
                <w:rFonts w:cs="Calibri"/>
                <w:szCs w:val="16"/>
              </w:rPr>
            </w:pPr>
            <w:r w:rsidRPr="00261B7A">
              <w:rPr>
                <w:rFonts w:cs="Calibri"/>
                <w:szCs w:val="16"/>
              </w:rPr>
              <w:t>0.009</w:t>
            </w:r>
          </w:p>
        </w:tc>
        <w:tc>
          <w:tcPr>
            <w:tcW w:w="680" w:type="dxa"/>
            <w:shd w:val="clear" w:color="auto" w:fill="FFFFFF"/>
            <w:tcMar>
              <w:top w:w="0" w:type="dxa"/>
              <w:left w:w="85" w:type="dxa"/>
              <w:bottom w:w="0" w:type="dxa"/>
              <w:right w:w="85" w:type="dxa"/>
            </w:tcMar>
          </w:tcPr>
          <w:p w14:paraId="1AA73EB3" w14:textId="77777777" w:rsidR="006611EE" w:rsidRPr="00261B7A" w:rsidRDefault="006611EE" w:rsidP="000F09B5">
            <w:pPr>
              <w:pStyle w:val="TableText"/>
              <w:spacing w:before="40" w:after="40"/>
              <w:jc w:val="right"/>
              <w:rPr>
                <w:rFonts w:cs="Calibri"/>
                <w:szCs w:val="16"/>
              </w:rPr>
            </w:pPr>
            <w:r w:rsidRPr="00261B7A">
              <w:rPr>
                <w:rFonts w:cs="Calibri"/>
                <w:szCs w:val="16"/>
              </w:rPr>
              <w:t>1.1</w:t>
            </w:r>
          </w:p>
        </w:tc>
        <w:tc>
          <w:tcPr>
            <w:tcW w:w="680" w:type="dxa"/>
            <w:shd w:val="clear" w:color="auto" w:fill="FFFFFF"/>
            <w:tcMar>
              <w:top w:w="0" w:type="dxa"/>
              <w:left w:w="85" w:type="dxa"/>
              <w:bottom w:w="0" w:type="dxa"/>
              <w:right w:w="85" w:type="dxa"/>
            </w:tcMar>
          </w:tcPr>
          <w:p w14:paraId="1D1D2861" w14:textId="77777777" w:rsidR="006611EE" w:rsidRPr="00261B7A" w:rsidRDefault="006611EE" w:rsidP="000F09B5">
            <w:pPr>
              <w:pStyle w:val="TableText"/>
              <w:spacing w:before="40" w:after="40"/>
              <w:jc w:val="right"/>
              <w:rPr>
                <w:rFonts w:cs="Calibri"/>
                <w:szCs w:val="16"/>
              </w:rPr>
            </w:pPr>
            <w:r w:rsidRPr="00261B7A">
              <w:rPr>
                <w:rFonts w:cs="Calibri"/>
                <w:szCs w:val="16"/>
              </w:rPr>
              <w:t>86.0</w:t>
            </w:r>
          </w:p>
        </w:tc>
      </w:tr>
      <w:tr w:rsidR="006611EE" w:rsidRPr="00261B7A" w14:paraId="163CE09A" w14:textId="77777777" w:rsidTr="000F09B5">
        <w:tc>
          <w:tcPr>
            <w:tcW w:w="567" w:type="dxa"/>
            <w:shd w:val="clear" w:color="auto" w:fill="FFFFFF"/>
            <w:tcMar>
              <w:top w:w="0" w:type="dxa"/>
              <w:left w:w="85" w:type="dxa"/>
              <w:bottom w:w="0" w:type="dxa"/>
              <w:right w:w="85" w:type="dxa"/>
            </w:tcMar>
          </w:tcPr>
          <w:p w14:paraId="3B6F7A7C" w14:textId="77777777" w:rsidR="006611EE" w:rsidRPr="00261B7A" w:rsidRDefault="006611EE" w:rsidP="000F09B5">
            <w:pPr>
              <w:pStyle w:val="TableText"/>
              <w:spacing w:before="40" w:after="40"/>
              <w:rPr>
                <w:rFonts w:cs="Calibri"/>
                <w:szCs w:val="16"/>
              </w:rPr>
            </w:pPr>
            <w:r w:rsidRPr="00261B7A">
              <w:rPr>
                <w:rFonts w:cs="Calibri"/>
                <w:szCs w:val="16"/>
              </w:rPr>
              <w:t>1.A.2.c</w:t>
            </w:r>
          </w:p>
        </w:tc>
        <w:tc>
          <w:tcPr>
            <w:tcW w:w="2552" w:type="dxa"/>
            <w:shd w:val="clear" w:color="auto" w:fill="FFFFFF"/>
            <w:tcMar>
              <w:top w:w="0" w:type="dxa"/>
              <w:left w:w="85" w:type="dxa"/>
              <w:bottom w:w="0" w:type="dxa"/>
              <w:right w:w="85" w:type="dxa"/>
            </w:tcMar>
          </w:tcPr>
          <w:p w14:paraId="3EBACD8D" w14:textId="77777777" w:rsidR="006611EE" w:rsidRPr="00261B7A" w:rsidRDefault="006611EE" w:rsidP="000F09B5">
            <w:pPr>
              <w:pStyle w:val="TableText"/>
              <w:spacing w:before="40" w:after="40"/>
              <w:rPr>
                <w:rFonts w:cs="Calibri"/>
                <w:szCs w:val="16"/>
              </w:rPr>
            </w:pPr>
            <w:r w:rsidRPr="00261B7A">
              <w:rPr>
                <w:rFonts w:cs="Calibri"/>
                <w:szCs w:val="16"/>
              </w:rPr>
              <w:t>Manufacturing Industries and Construction – Chemicals Gaseous Fuels</w:t>
            </w:r>
          </w:p>
        </w:tc>
        <w:tc>
          <w:tcPr>
            <w:tcW w:w="510" w:type="dxa"/>
            <w:shd w:val="clear" w:color="auto" w:fill="FFFFFF"/>
            <w:tcMar>
              <w:top w:w="0" w:type="dxa"/>
              <w:left w:w="85" w:type="dxa"/>
              <w:bottom w:w="0" w:type="dxa"/>
              <w:right w:w="85" w:type="dxa"/>
            </w:tcMar>
          </w:tcPr>
          <w:p w14:paraId="1F6C7749"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1F28F5ED" w14:textId="77777777" w:rsidR="006611EE" w:rsidRPr="00261B7A" w:rsidRDefault="006611EE" w:rsidP="000F09B5">
            <w:pPr>
              <w:pStyle w:val="TableText"/>
              <w:spacing w:before="40" w:after="40"/>
              <w:jc w:val="right"/>
              <w:rPr>
                <w:rFonts w:cs="Calibri"/>
                <w:szCs w:val="16"/>
              </w:rPr>
            </w:pPr>
            <w:r w:rsidRPr="00261B7A">
              <w:rPr>
                <w:rFonts w:cs="Calibri"/>
                <w:szCs w:val="16"/>
              </w:rPr>
              <w:t>524.8</w:t>
            </w:r>
          </w:p>
        </w:tc>
        <w:tc>
          <w:tcPr>
            <w:tcW w:w="851" w:type="dxa"/>
            <w:shd w:val="clear" w:color="auto" w:fill="FFFFFF"/>
            <w:tcMar>
              <w:top w:w="0" w:type="dxa"/>
              <w:left w:w="85" w:type="dxa"/>
              <w:bottom w:w="0" w:type="dxa"/>
              <w:right w:w="85" w:type="dxa"/>
            </w:tcMar>
          </w:tcPr>
          <w:p w14:paraId="016F46BD" w14:textId="77777777" w:rsidR="006611EE" w:rsidRPr="00261B7A" w:rsidRDefault="006611EE" w:rsidP="000F09B5">
            <w:pPr>
              <w:pStyle w:val="TableText"/>
              <w:spacing w:before="40" w:after="40"/>
              <w:jc w:val="right"/>
              <w:rPr>
                <w:rFonts w:cs="Calibri"/>
                <w:szCs w:val="16"/>
              </w:rPr>
            </w:pPr>
            <w:r w:rsidRPr="00261B7A">
              <w:rPr>
                <w:rFonts w:cs="Calibri"/>
                <w:szCs w:val="16"/>
              </w:rPr>
              <w:t>1,267.1</w:t>
            </w:r>
          </w:p>
        </w:tc>
        <w:tc>
          <w:tcPr>
            <w:tcW w:w="680" w:type="dxa"/>
            <w:shd w:val="clear" w:color="auto" w:fill="FFFFFF"/>
            <w:tcMar>
              <w:top w:w="0" w:type="dxa"/>
              <w:left w:w="85" w:type="dxa"/>
              <w:bottom w:w="0" w:type="dxa"/>
              <w:right w:w="85" w:type="dxa"/>
            </w:tcMar>
          </w:tcPr>
          <w:p w14:paraId="24F978A2" w14:textId="77777777" w:rsidR="006611EE" w:rsidRPr="00261B7A" w:rsidRDefault="006611EE" w:rsidP="000F09B5">
            <w:pPr>
              <w:pStyle w:val="TableText"/>
              <w:spacing w:before="40" w:after="40"/>
              <w:jc w:val="right"/>
              <w:rPr>
                <w:rFonts w:cs="Calibri"/>
                <w:szCs w:val="16"/>
              </w:rPr>
            </w:pPr>
            <w:r w:rsidRPr="00261B7A">
              <w:rPr>
                <w:rFonts w:cs="Calibri"/>
                <w:szCs w:val="16"/>
              </w:rPr>
              <w:t>0.007</w:t>
            </w:r>
          </w:p>
        </w:tc>
        <w:tc>
          <w:tcPr>
            <w:tcW w:w="680" w:type="dxa"/>
            <w:shd w:val="clear" w:color="auto" w:fill="FFFFFF"/>
            <w:tcMar>
              <w:top w:w="0" w:type="dxa"/>
              <w:left w:w="85" w:type="dxa"/>
              <w:bottom w:w="0" w:type="dxa"/>
              <w:right w:w="85" w:type="dxa"/>
            </w:tcMar>
          </w:tcPr>
          <w:p w14:paraId="1195ACA2" w14:textId="77777777" w:rsidR="006611EE" w:rsidRPr="00261B7A" w:rsidRDefault="006611EE" w:rsidP="000F09B5">
            <w:pPr>
              <w:pStyle w:val="TableText"/>
              <w:spacing w:before="40" w:after="40"/>
              <w:jc w:val="right"/>
              <w:rPr>
                <w:rFonts w:cs="Calibri"/>
                <w:szCs w:val="16"/>
              </w:rPr>
            </w:pPr>
            <w:r w:rsidRPr="00261B7A">
              <w:rPr>
                <w:rFonts w:cs="Calibri"/>
                <w:szCs w:val="16"/>
              </w:rPr>
              <w:t>0.8</w:t>
            </w:r>
          </w:p>
        </w:tc>
        <w:tc>
          <w:tcPr>
            <w:tcW w:w="680" w:type="dxa"/>
            <w:shd w:val="clear" w:color="auto" w:fill="FFFFFF"/>
            <w:tcMar>
              <w:top w:w="0" w:type="dxa"/>
              <w:left w:w="85" w:type="dxa"/>
              <w:bottom w:w="0" w:type="dxa"/>
              <w:right w:w="85" w:type="dxa"/>
            </w:tcMar>
          </w:tcPr>
          <w:p w14:paraId="360C704C" w14:textId="77777777" w:rsidR="006611EE" w:rsidRPr="00261B7A" w:rsidRDefault="006611EE" w:rsidP="000F09B5">
            <w:pPr>
              <w:pStyle w:val="TableText"/>
              <w:spacing w:before="40" w:after="40"/>
              <w:jc w:val="right"/>
              <w:rPr>
                <w:rFonts w:cs="Calibri"/>
                <w:szCs w:val="16"/>
              </w:rPr>
            </w:pPr>
            <w:r w:rsidRPr="00261B7A">
              <w:rPr>
                <w:rFonts w:cs="Calibri"/>
                <w:szCs w:val="16"/>
              </w:rPr>
              <w:t>86.8</w:t>
            </w:r>
          </w:p>
        </w:tc>
      </w:tr>
      <w:tr w:rsidR="006611EE" w:rsidRPr="00261B7A" w14:paraId="4A1D9F65" w14:textId="77777777" w:rsidTr="000F09B5">
        <w:tc>
          <w:tcPr>
            <w:tcW w:w="567" w:type="dxa"/>
            <w:shd w:val="clear" w:color="auto" w:fill="FFFFFF"/>
            <w:tcMar>
              <w:top w:w="0" w:type="dxa"/>
              <w:left w:w="85" w:type="dxa"/>
              <w:bottom w:w="0" w:type="dxa"/>
              <w:right w:w="85" w:type="dxa"/>
            </w:tcMar>
          </w:tcPr>
          <w:p w14:paraId="38812C98" w14:textId="77777777" w:rsidR="006611EE" w:rsidRPr="00261B7A" w:rsidRDefault="006611EE" w:rsidP="000F09B5">
            <w:pPr>
              <w:pStyle w:val="TableText"/>
              <w:spacing w:before="40" w:after="40"/>
              <w:rPr>
                <w:rFonts w:cs="Calibri"/>
                <w:szCs w:val="16"/>
              </w:rPr>
            </w:pPr>
            <w:r w:rsidRPr="00261B7A">
              <w:rPr>
                <w:rFonts w:cs="Calibri"/>
                <w:szCs w:val="16"/>
              </w:rPr>
              <w:t>3.H</w:t>
            </w:r>
          </w:p>
        </w:tc>
        <w:tc>
          <w:tcPr>
            <w:tcW w:w="2552" w:type="dxa"/>
            <w:shd w:val="clear" w:color="auto" w:fill="FFFFFF"/>
            <w:tcMar>
              <w:top w:w="0" w:type="dxa"/>
              <w:left w:w="85" w:type="dxa"/>
              <w:bottom w:w="0" w:type="dxa"/>
              <w:right w:w="85" w:type="dxa"/>
            </w:tcMar>
          </w:tcPr>
          <w:p w14:paraId="4E9882FB" w14:textId="77777777" w:rsidR="006611EE" w:rsidRPr="00261B7A" w:rsidRDefault="006611EE" w:rsidP="000F09B5">
            <w:pPr>
              <w:pStyle w:val="TableText"/>
              <w:spacing w:before="40" w:after="40"/>
              <w:rPr>
                <w:rFonts w:cs="Calibri"/>
                <w:szCs w:val="16"/>
              </w:rPr>
            </w:pPr>
            <w:r w:rsidRPr="00261B7A">
              <w:rPr>
                <w:rFonts w:cs="Calibri"/>
                <w:szCs w:val="16"/>
              </w:rPr>
              <w:t>Agriculture – Urea Application</w:t>
            </w:r>
          </w:p>
        </w:tc>
        <w:tc>
          <w:tcPr>
            <w:tcW w:w="510" w:type="dxa"/>
            <w:shd w:val="clear" w:color="auto" w:fill="FFFFFF"/>
            <w:tcMar>
              <w:top w:w="0" w:type="dxa"/>
              <w:left w:w="85" w:type="dxa"/>
              <w:bottom w:w="0" w:type="dxa"/>
              <w:right w:w="85" w:type="dxa"/>
            </w:tcMar>
          </w:tcPr>
          <w:p w14:paraId="4BE5C720"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4914FEB3" w14:textId="77777777" w:rsidR="006611EE" w:rsidRPr="00261B7A" w:rsidRDefault="006611EE" w:rsidP="000F09B5">
            <w:pPr>
              <w:pStyle w:val="TableText"/>
              <w:spacing w:before="40" w:after="40"/>
              <w:jc w:val="right"/>
              <w:rPr>
                <w:rFonts w:cs="Calibri"/>
                <w:szCs w:val="16"/>
              </w:rPr>
            </w:pPr>
            <w:r w:rsidRPr="00261B7A">
              <w:rPr>
                <w:rFonts w:cs="Calibri"/>
                <w:szCs w:val="16"/>
              </w:rPr>
              <w:t>39.2</w:t>
            </w:r>
          </w:p>
        </w:tc>
        <w:tc>
          <w:tcPr>
            <w:tcW w:w="851" w:type="dxa"/>
            <w:shd w:val="clear" w:color="auto" w:fill="FFFFFF"/>
            <w:tcMar>
              <w:top w:w="0" w:type="dxa"/>
              <w:left w:w="85" w:type="dxa"/>
              <w:bottom w:w="0" w:type="dxa"/>
              <w:right w:w="85" w:type="dxa"/>
            </w:tcMar>
          </w:tcPr>
          <w:p w14:paraId="457BFE55" w14:textId="77777777" w:rsidR="006611EE" w:rsidRPr="00261B7A" w:rsidRDefault="006611EE" w:rsidP="000F09B5">
            <w:pPr>
              <w:pStyle w:val="TableText"/>
              <w:spacing w:before="40" w:after="40"/>
              <w:jc w:val="right"/>
              <w:rPr>
                <w:rFonts w:cs="Calibri"/>
                <w:szCs w:val="16"/>
              </w:rPr>
            </w:pPr>
            <w:r w:rsidRPr="00261B7A">
              <w:rPr>
                <w:rFonts w:cs="Calibri"/>
                <w:szCs w:val="16"/>
              </w:rPr>
              <w:t>553.2</w:t>
            </w:r>
          </w:p>
        </w:tc>
        <w:tc>
          <w:tcPr>
            <w:tcW w:w="680" w:type="dxa"/>
            <w:shd w:val="clear" w:color="auto" w:fill="FFFFFF"/>
            <w:tcMar>
              <w:top w:w="0" w:type="dxa"/>
              <w:left w:w="85" w:type="dxa"/>
              <w:bottom w:w="0" w:type="dxa"/>
              <w:right w:w="85" w:type="dxa"/>
            </w:tcMar>
          </w:tcPr>
          <w:p w14:paraId="40D8CC89" w14:textId="77777777" w:rsidR="006611EE" w:rsidRPr="00261B7A" w:rsidRDefault="006611EE" w:rsidP="000F09B5">
            <w:pPr>
              <w:pStyle w:val="TableText"/>
              <w:spacing w:before="40" w:after="40"/>
              <w:jc w:val="right"/>
              <w:rPr>
                <w:rFonts w:cs="Calibri"/>
                <w:szCs w:val="16"/>
              </w:rPr>
            </w:pPr>
            <w:r w:rsidRPr="00261B7A">
              <w:rPr>
                <w:rFonts w:cs="Calibri"/>
                <w:szCs w:val="16"/>
              </w:rPr>
              <w:t>0.006</w:t>
            </w:r>
          </w:p>
        </w:tc>
        <w:tc>
          <w:tcPr>
            <w:tcW w:w="680" w:type="dxa"/>
            <w:shd w:val="clear" w:color="auto" w:fill="FFFFFF"/>
            <w:tcMar>
              <w:top w:w="0" w:type="dxa"/>
              <w:left w:w="85" w:type="dxa"/>
              <w:bottom w:w="0" w:type="dxa"/>
              <w:right w:w="85" w:type="dxa"/>
            </w:tcMar>
          </w:tcPr>
          <w:p w14:paraId="582B6C73" w14:textId="77777777" w:rsidR="006611EE" w:rsidRPr="00261B7A" w:rsidRDefault="006611EE" w:rsidP="000F09B5">
            <w:pPr>
              <w:pStyle w:val="TableText"/>
              <w:spacing w:before="40" w:after="40"/>
              <w:jc w:val="right"/>
              <w:rPr>
                <w:rFonts w:cs="Calibri"/>
                <w:szCs w:val="16"/>
              </w:rPr>
            </w:pPr>
            <w:r w:rsidRPr="00261B7A">
              <w:rPr>
                <w:rFonts w:cs="Calibri"/>
                <w:szCs w:val="16"/>
              </w:rPr>
              <w:t>0.7</w:t>
            </w:r>
          </w:p>
        </w:tc>
        <w:tc>
          <w:tcPr>
            <w:tcW w:w="680" w:type="dxa"/>
            <w:shd w:val="clear" w:color="auto" w:fill="FFFFFF"/>
            <w:tcMar>
              <w:top w:w="0" w:type="dxa"/>
              <w:left w:w="85" w:type="dxa"/>
              <w:bottom w:w="0" w:type="dxa"/>
              <w:right w:w="85" w:type="dxa"/>
            </w:tcMar>
          </w:tcPr>
          <w:p w14:paraId="14EC58F6" w14:textId="77777777" w:rsidR="006611EE" w:rsidRPr="00261B7A" w:rsidRDefault="006611EE" w:rsidP="000F09B5">
            <w:pPr>
              <w:pStyle w:val="TableText"/>
              <w:spacing w:before="40" w:after="40"/>
              <w:jc w:val="right"/>
              <w:rPr>
                <w:rFonts w:cs="Calibri"/>
                <w:szCs w:val="16"/>
              </w:rPr>
            </w:pPr>
            <w:r w:rsidRPr="00261B7A">
              <w:rPr>
                <w:rFonts w:cs="Calibri"/>
                <w:szCs w:val="16"/>
              </w:rPr>
              <w:t>87.5</w:t>
            </w:r>
          </w:p>
        </w:tc>
      </w:tr>
      <w:tr w:rsidR="006611EE" w:rsidRPr="00261B7A" w14:paraId="261DC9DA" w14:textId="77777777" w:rsidTr="000F09B5">
        <w:tc>
          <w:tcPr>
            <w:tcW w:w="567" w:type="dxa"/>
            <w:shd w:val="clear" w:color="auto" w:fill="FFFFFF"/>
            <w:tcMar>
              <w:top w:w="0" w:type="dxa"/>
              <w:left w:w="85" w:type="dxa"/>
              <w:bottom w:w="0" w:type="dxa"/>
              <w:right w:w="85" w:type="dxa"/>
            </w:tcMar>
          </w:tcPr>
          <w:p w14:paraId="6D78D136" w14:textId="77777777" w:rsidR="006611EE" w:rsidRPr="00261B7A" w:rsidRDefault="006611EE" w:rsidP="000F09B5">
            <w:pPr>
              <w:pStyle w:val="TableText"/>
              <w:spacing w:before="40" w:after="40"/>
              <w:rPr>
                <w:rFonts w:cs="Calibri"/>
                <w:szCs w:val="16"/>
              </w:rPr>
            </w:pPr>
            <w:r w:rsidRPr="00261B7A">
              <w:rPr>
                <w:rFonts w:cs="Calibri"/>
                <w:szCs w:val="16"/>
              </w:rPr>
              <w:t>1.A.2.e</w:t>
            </w:r>
          </w:p>
        </w:tc>
        <w:tc>
          <w:tcPr>
            <w:tcW w:w="2552" w:type="dxa"/>
            <w:shd w:val="clear" w:color="auto" w:fill="FFFFFF"/>
            <w:tcMar>
              <w:top w:w="0" w:type="dxa"/>
              <w:left w:w="85" w:type="dxa"/>
              <w:bottom w:w="0" w:type="dxa"/>
              <w:right w:w="85" w:type="dxa"/>
            </w:tcMar>
          </w:tcPr>
          <w:p w14:paraId="4EFEF78E" w14:textId="77777777" w:rsidR="006611EE" w:rsidRPr="00261B7A" w:rsidRDefault="006611EE" w:rsidP="000F09B5">
            <w:pPr>
              <w:pStyle w:val="TableText"/>
              <w:spacing w:before="40" w:after="40"/>
              <w:rPr>
                <w:rFonts w:cs="Calibri"/>
                <w:szCs w:val="16"/>
              </w:rPr>
            </w:pPr>
            <w:r w:rsidRPr="00261B7A">
              <w:rPr>
                <w:rFonts w:cs="Calibri"/>
                <w:szCs w:val="16"/>
              </w:rPr>
              <w:t>Manufacturing Industries and Construction – Food Processing, Beverages and Tobacco Gaseous Fuels</w:t>
            </w:r>
          </w:p>
        </w:tc>
        <w:tc>
          <w:tcPr>
            <w:tcW w:w="510" w:type="dxa"/>
            <w:shd w:val="clear" w:color="auto" w:fill="FFFFFF"/>
            <w:tcMar>
              <w:top w:w="0" w:type="dxa"/>
              <w:left w:w="85" w:type="dxa"/>
              <w:bottom w:w="0" w:type="dxa"/>
              <w:right w:w="85" w:type="dxa"/>
            </w:tcMar>
          </w:tcPr>
          <w:p w14:paraId="266BF501"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16A2E8DA" w14:textId="77777777" w:rsidR="006611EE" w:rsidRPr="00261B7A" w:rsidRDefault="006611EE" w:rsidP="000F09B5">
            <w:pPr>
              <w:pStyle w:val="TableText"/>
              <w:spacing w:before="40" w:after="40"/>
              <w:jc w:val="right"/>
              <w:rPr>
                <w:rFonts w:cs="Calibri"/>
                <w:szCs w:val="16"/>
              </w:rPr>
            </w:pPr>
            <w:r w:rsidRPr="00261B7A">
              <w:rPr>
                <w:rFonts w:cs="Calibri"/>
                <w:szCs w:val="16"/>
              </w:rPr>
              <w:t>443.4</w:t>
            </w:r>
          </w:p>
        </w:tc>
        <w:tc>
          <w:tcPr>
            <w:tcW w:w="851" w:type="dxa"/>
            <w:shd w:val="clear" w:color="auto" w:fill="FFFFFF"/>
            <w:tcMar>
              <w:top w:w="0" w:type="dxa"/>
              <w:left w:w="85" w:type="dxa"/>
              <w:bottom w:w="0" w:type="dxa"/>
              <w:right w:w="85" w:type="dxa"/>
            </w:tcMar>
          </w:tcPr>
          <w:p w14:paraId="02CBC399" w14:textId="77777777" w:rsidR="006611EE" w:rsidRPr="00261B7A" w:rsidRDefault="006611EE" w:rsidP="000F09B5">
            <w:pPr>
              <w:pStyle w:val="TableText"/>
              <w:spacing w:before="40" w:after="40"/>
              <w:jc w:val="right"/>
              <w:rPr>
                <w:rFonts w:cs="Calibri"/>
                <w:szCs w:val="16"/>
              </w:rPr>
            </w:pPr>
            <w:r w:rsidRPr="00261B7A">
              <w:rPr>
                <w:rFonts w:cs="Calibri"/>
                <w:szCs w:val="16"/>
              </w:rPr>
              <w:t>1,053.3</w:t>
            </w:r>
          </w:p>
        </w:tc>
        <w:tc>
          <w:tcPr>
            <w:tcW w:w="680" w:type="dxa"/>
            <w:shd w:val="clear" w:color="auto" w:fill="FFFFFF"/>
            <w:tcMar>
              <w:top w:w="0" w:type="dxa"/>
              <w:left w:w="85" w:type="dxa"/>
              <w:bottom w:w="0" w:type="dxa"/>
              <w:right w:w="85" w:type="dxa"/>
            </w:tcMar>
          </w:tcPr>
          <w:p w14:paraId="5E1B743C" w14:textId="77777777" w:rsidR="006611EE" w:rsidRPr="00261B7A" w:rsidRDefault="006611EE" w:rsidP="000F09B5">
            <w:pPr>
              <w:pStyle w:val="TableText"/>
              <w:spacing w:before="40" w:after="40"/>
              <w:jc w:val="right"/>
              <w:rPr>
                <w:rFonts w:cs="Calibri"/>
                <w:szCs w:val="16"/>
              </w:rPr>
            </w:pPr>
            <w:r w:rsidRPr="00261B7A">
              <w:rPr>
                <w:rFonts w:cs="Calibri"/>
                <w:szCs w:val="16"/>
              </w:rPr>
              <w:t>0.006</w:t>
            </w:r>
          </w:p>
        </w:tc>
        <w:tc>
          <w:tcPr>
            <w:tcW w:w="680" w:type="dxa"/>
            <w:shd w:val="clear" w:color="auto" w:fill="FFFFFF"/>
            <w:tcMar>
              <w:top w:w="0" w:type="dxa"/>
              <w:left w:w="85" w:type="dxa"/>
              <w:bottom w:w="0" w:type="dxa"/>
              <w:right w:w="85" w:type="dxa"/>
            </w:tcMar>
          </w:tcPr>
          <w:p w14:paraId="5E470FB8" w14:textId="77777777" w:rsidR="006611EE" w:rsidRPr="00261B7A" w:rsidRDefault="006611EE" w:rsidP="000F09B5">
            <w:pPr>
              <w:pStyle w:val="TableText"/>
              <w:spacing w:before="40" w:after="40"/>
              <w:jc w:val="right"/>
              <w:rPr>
                <w:rFonts w:cs="Calibri"/>
                <w:szCs w:val="16"/>
              </w:rPr>
            </w:pPr>
            <w:r w:rsidRPr="00261B7A">
              <w:rPr>
                <w:rFonts w:cs="Calibri"/>
                <w:szCs w:val="16"/>
              </w:rPr>
              <w:t>0.7</w:t>
            </w:r>
          </w:p>
        </w:tc>
        <w:tc>
          <w:tcPr>
            <w:tcW w:w="680" w:type="dxa"/>
            <w:shd w:val="clear" w:color="auto" w:fill="FFFFFF"/>
            <w:tcMar>
              <w:top w:w="0" w:type="dxa"/>
              <w:left w:w="85" w:type="dxa"/>
              <w:bottom w:w="0" w:type="dxa"/>
              <w:right w:w="85" w:type="dxa"/>
            </w:tcMar>
          </w:tcPr>
          <w:p w14:paraId="6732E23A" w14:textId="77777777" w:rsidR="006611EE" w:rsidRPr="00261B7A" w:rsidRDefault="006611EE" w:rsidP="000F09B5">
            <w:pPr>
              <w:pStyle w:val="TableText"/>
              <w:spacing w:before="40" w:after="40"/>
              <w:jc w:val="right"/>
              <w:rPr>
                <w:rFonts w:cs="Calibri"/>
                <w:szCs w:val="16"/>
              </w:rPr>
            </w:pPr>
            <w:r w:rsidRPr="00261B7A">
              <w:rPr>
                <w:rFonts w:cs="Calibri"/>
                <w:szCs w:val="16"/>
              </w:rPr>
              <w:t>88.1</w:t>
            </w:r>
          </w:p>
        </w:tc>
      </w:tr>
      <w:tr w:rsidR="006611EE" w:rsidRPr="00261B7A" w14:paraId="188DF8D3" w14:textId="77777777" w:rsidTr="000F09B5">
        <w:tc>
          <w:tcPr>
            <w:tcW w:w="567" w:type="dxa"/>
            <w:shd w:val="clear" w:color="auto" w:fill="FFFFFF"/>
            <w:tcMar>
              <w:top w:w="0" w:type="dxa"/>
              <w:left w:w="85" w:type="dxa"/>
              <w:bottom w:w="0" w:type="dxa"/>
              <w:right w:w="85" w:type="dxa"/>
            </w:tcMar>
          </w:tcPr>
          <w:p w14:paraId="5FD5708F" w14:textId="77777777" w:rsidR="006611EE" w:rsidRPr="00261B7A" w:rsidRDefault="006611EE" w:rsidP="000F09B5">
            <w:pPr>
              <w:pStyle w:val="TableText"/>
              <w:spacing w:before="40" w:after="40"/>
              <w:rPr>
                <w:rFonts w:cs="Calibri"/>
                <w:szCs w:val="16"/>
              </w:rPr>
            </w:pPr>
            <w:r w:rsidRPr="00261B7A">
              <w:rPr>
                <w:rFonts w:cs="Calibri"/>
                <w:szCs w:val="16"/>
              </w:rPr>
              <w:t>1.A.4.b</w:t>
            </w:r>
          </w:p>
        </w:tc>
        <w:tc>
          <w:tcPr>
            <w:tcW w:w="2552" w:type="dxa"/>
            <w:shd w:val="clear" w:color="auto" w:fill="FFFFFF"/>
            <w:tcMar>
              <w:top w:w="0" w:type="dxa"/>
              <w:left w:w="85" w:type="dxa"/>
              <w:bottom w:w="0" w:type="dxa"/>
              <w:right w:w="85" w:type="dxa"/>
            </w:tcMar>
          </w:tcPr>
          <w:p w14:paraId="1A4BF8EA" w14:textId="77777777" w:rsidR="006611EE" w:rsidRPr="00261B7A" w:rsidRDefault="006611EE" w:rsidP="000F09B5">
            <w:pPr>
              <w:pStyle w:val="TableText"/>
              <w:spacing w:before="40" w:after="40"/>
              <w:rPr>
                <w:rFonts w:cs="Calibri"/>
                <w:szCs w:val="16"/>
              </w:rPr>
            </w:pPr>
            <w:r w:rsidRPr="00261B7A">
              <w:rPr>
                <w:rFonts w:cs="Calibri"/>
                <w:szCs w:val="16"/>
              </w:rPr>
              <w:t>Other Sectors – Residential Solid Fuels</w:t>
            </w:r>
          </w:p>
        </w:tc>
        <w:tc>
          <w:tcPr>
            <w:tcW w:w="510" w:type="dxa"/>
            <w:shd w:val="clear" w:color="auto" w:fill="FFFFFF"/>
            <w:tcMar>
              <w:top w:w="0" w:type="dxa"/>
              <w:left w:w="85" w:type="dxa"/>
              <w:bottom w:w="0" w:type="dxa"/>
              <w:right w:w="85" w:type="dxa"/>
            </w:tcMar>
          </w:tcPr>
          <w:p w14:paraId="6F98F01D"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594070D6" w14:textId="77777777" w:rsidR="006611EE" w:rsidRPr="00261B7A" w:rsidRDefault="006611EE" w:rsidP="000F09B5">
            <w:pPr>
              <w:pStyle w:val="TableText"/>
              <w:spacing w:before="40" w:after="40"/>
              <w:jc w:val="right"/>
              <w:rPr>
                <w:rFonts w:cs="Calibri"/>
                <w:szCs w:val="16"/>
              </w:rPr>
            </w:pPr>
            <w:r w:rsidRPr="00261B7A">
              <w:rPr>
                <w:rFonts w:cs="Calibri"/>
                <w:szCs w:val="16"/>
              </w:rPr>
              <w:t>344.9</w:t>
            </w:r>
          </w:p>
        </w:tc>
        <w:tc>
          <w:tcPr>
            <w:tcW w:w="851" w:type="dxa"/>
            <w:shd w:val="clear" w:color="auto" w:fill="FFFFFF"/>
            <w:tcMar>
              <w:top w:w="0" w:type="dxa"/>
              <w:left w:w="85" w:type="dxa"/>
              <w:bottom w:w="0" w:type="dxa"/>
              <w:right w:w="85" w:type="dxa"/>
            </w:tcMar>
          </w:tcPr>
          <w:p w14:paraId="18359597" w14:textId="77777777" w:rsidR="006611EE" w:rsidRPr="00261B7A" w:rsidRDefault="006611EE" w:rsidP="000F09B5">
            <w:pPr>
              <w:pStyle w:val="TableText"/>
              <w:spacing w:before="40" w:after="40"/>
              <w:jc w:val="right"/>
              <w:rPr>
                <w:rFonts w:cs="Calibri"/>
                <w:szCs w:val="16"/>
              </w:rPr>
            </w:pPr>
            <w:r w:rsidRPr="00261B7A">
              <w:rPr>
                <w:rFonts w:cs="Calibri"/>
                <w:szCs w:val="16"/>
              </w:rPr>
              <w:t>21.8</w:t>
            </w:r>
          </w:p>
        </w:tc>
        <w:tc>
          <w:tcPr>
            <w:tcW w:w="680" w:type="dxa"/>
            <w:shd w:val="clear" w:color="auto" w:fill="FFFFFF"/>
            <w:tcMar>
              <w:top w:w="0" w:type="dxa"/>
              <w:left w:w="85" w:type="dxa"/>
              <w:bottom w:w="0" w:type="dxa"/>
              <w:right w:w="85" w:type="dxa"/>
            </w:tcMar>
          </w:tcPr>
          <w:p w14:paraId="5AB87F25" w14:textId="77777777" w:rsidR="006611EE" w:rsidRPr="00261B7A" w:rsidRDefault="006611EE" w:rsidP="000F09B5">
            <w:pPr>
              <w:pStyle w:val="TableText"/>
              <w:spacing w:before="40" w:after="40"/>
              <w:jc w:val="right"/>
              <w:rPr>
                <w:rFonts w:cs="Calibri"/>
                <w:szCs w:val="16"/>
              </w:rPr>
            </w:pPr>
            <w:r w:rsidRPr="00261B7A">
              <w:rPr>
                <w:rFonts w:cs="Calibri"/>
                <w:szCs w:val="16"/>
              </w:rPr>
              <w:t>0.005</w:t>
            </w:r>
          </w:p>
        </w:tc>
        <w:tc>
          <w:tcPr>
            <w:tcW w:w="680" w:type="dxa"/>
            <w:shd w:val="clear" w:color="auto" w:fill="FFFFFF"/>
            <w:tcMar>
              <w:top w:w="0" w:type="dxa"/>
              <w:left w:w="85" w:type="dxa"/>
              <w:bottom w:w="0" w:type="dxa"/>
              <w:right w:w="85" w:type="dxa"/>
            </w:tcMar>
          </w:tcPr>
          <w:p w14:paraId="72F29E9B" w14:textId="77777777" w:rsidR="006611EE" w:rsidRPr="00261B7A" w:rsidRDefault="006611EE" w:rsidP="000F09B5">
            <w:pPr>
              <w:pStyle w:val="TableText"/>
              <w:spacing w:before="40" w:after="40"/>
              <w:jc w:val="right"/>
              <w:rPr>
                <w:rFonts w:cs="Calibri"/>
                <w:szCs w:val="16"/>
              </w:rPr>
            </w:pPr>
            <w:r w:rsidRPr="00261B7A">
              <w:rPr>
                <w:rFonts w:cs="Calibri"/>
                <w:szCs w:val="16"/>
              </w:rPr>
              <w:t>0.5</w:t>
            </w:r>
          </w:p>
        </w:tc>
        <w:tc>
          <w:tcPr>
            <w:tcW w:w="680" w:type="dxa"/>
            <w:shd w:val="clear" w:color="auto" w:fill="FFFFFF"/>
            <w:tcMar>
              <w:top w:w="0" w:type="dxa"/>
              <w:left w:w="85" w:type="dxa"/>
              <w:bottom w:w="0" w:type="dxa"/>
              <w:right w:w="85" w:type="dxa"/>
            </w:tcMar>
          </w:tcPr>
          <w:p w14:paraId="60BB9D4A" w14:textId="77777777" w:rsidR="006611EE" w:rsidRPr="00261B7A" w:rsidRDefault="006611EE" w:rsidP="000F09B5">
            <w:pPr>
              <w:pStyle w:val="TableText"/>
              <w:spacing w:before="40" w:after="40"/>
              <w:jc w:val="right"/>
              <w:rPr>
                <w:rFonts w:cs="Calibri"/>
                <w:szCs w:val="16"/>
              </w:rPr>
            </w:pPr>
            <w:r w:rsidRPr="00261B7A">
              <w:rPr>
                <w:rFonts w:cs="Calibri"/>
                <w:szCs w:val="16"/>
              </w:rPr>
              <w:t>88.7</w:t>
            </w:r>
          </w:p>
        </w:tc>
      </w:tr>
      <w:tr w:rsidR="006611EE" w:rsidRPr="00261B7A" w14:paraId="001C864F" w14:textId="77777777" w:rsidTr="000F09B5">
        <w:tc>
          <w:tcPr>
            <w:tcW w:w="567" w:type="dxa"/>
            <w:shd w:val="clear" w:color="auto" w:fill="FFFFFF"/>
            <w:tcMar>
              <w:top w:w="0" w:type="dxa"/>
              <w:left w:w="85" w:type="dxa"/>
              <w:bottom w:w="0" w:type="dxa"/>
              <w:right w:w="85" w:type="dxa"/>
            </w:tcMar>
          </w:tcPr>
          <w:p w14:paraId="198F816F" w14:textId="77777777" w:rsidR="006611EE" w:rsidRPr="00261B7A" w:rsidRDefault="006611EE" w:rsidP="000F09B5">
            <w:pPr>
              <w:pStyle w:val="TableText"/>
              <w:spacing w:before="40" w:after="40"/>
              <w:rPr>
                <w:rFonts w:cs="Calibri"/>
                <w:szCs w:val="16"/>
              </w:rPr>
            </w:pPr>
            <w:r w:rsidRPr="00261B7A">
              <w:rPr>
                <w:rFonts w:cs="Calibri"/>
                <w:szCs w:val="16"/>
              </w:rPr>
              <w:t>1.B.1.a.1</w:t>
            </w:r>
          </w:p>
        </w:tc>
        <w:tc>
          <w:tcPr>
            <w:tcW w:w="2552" w:type="dxa"/>
            <w:shd w:val="clear" w:color="auto" w:fill="FFFFFF"/>
            <w:tcMar>
              <w:top w:w="0" w:type="dxa"/>
              <w:left w:w="85" w:type="dxa"/>
              <w:bottom w:w="0" w:type="dxa"/>
              <w:right w:w="85" w:type="dxa"/>
            </w:tcMar>
          </w:tcPr>
          <w:p w14:paraId="31653D71" w14:textId="77777777" w:rsidR="006611EE" w:rsidRPr="00261B7A" w:rsidRDefault="006611EE" w:rsidP="000F09B5">
            <w:pPr>
              <w:pStyle w:val="TableText"/>
              <w:spacing w:before="40" w:after="40"/>
              <w:rPr>
                <w:rFonts w:cs="Calibri"/>
                <w:szCs w:val="16"/>
              </w:rPr>
            </w:pPr>
            <w:r w:rsidRPr="00261B7A">
              <w:rPr>
                <w:rFonts w:cs="Calibri"/>
                <w:szCs w:val="16"/>
              </w:rPr>
              <w:t>Coal Mining and Handling – Underground Mines</w:t>
            </w:r>
          </w:p>
        </w:tc>
        <w:tc>
          <w:tcPr>
            <w:tcW w:w="510" w:type="dxa"/>
            <w:shd w:val="clear" w:color="auto" w:fill="FFFFFF"/>
            <w:tcMar>
              <w:top w:w="0" w:type="dxa"/>
              <w:left w:w="85" w:type="dxa"/>
              <w:bottom w:w="0" w:type="dxa"/>
              <w:right w:w="85" w:type="dxa"/>
            </w:tcMar>
          </w:tcPr>
          <w:p w14:paraId="13F2E1C9" w14:textId="77777777" w:rsidR="006611EE" w:rsidRPr="00261B7A" w:rsidRDefault="006611EE" w:rsidP="000F09B5">
            <w:pPr>
              <w:pStyle w:val="TableText"/>
              <w:spacing w:before="40" w:after="40"/>
              <w:jc w:val="center"/>
              <w:rPr>
                <w:rFonts w:cs="Calibri"/>
                <w:szCs w:val="16"/>
              </w:rPr>
            </w:pPr>
            <w:r w:rsidRPr="00261B7A">
              <w:rPr>
                <w:rFonts w:cs="Calibri"/>
                <w:szCs w:val="16"/>
              </w:rPr>
              <w:t>CH</w:t>
            </w:r>
            <w:r w:rsidRPr="00261B7A">
              <w:rPr>
                <w:rFonts w:cs="Calibri"/>
                <w:szCs w:val="16"/>
                <w:vertAlign w:val="subscript"/>
              </w:rPr>
              <w:t>4</w:t>
            </w:r>
          </w:p>
        </w:tc>
        <w:tc>
          <w:tcPr>
            <w:tcW w:w="851" w:type="dxa"/>
            <w:shd w:val="clear" w:color="auto" w:fill="FFFFFF"/>
            <w:tcMar>
              <w:top w:w="0" w:type="dxa"/>
              <w:left w:w="85" w:type="dxa"/>
              <w:bottom w:w="0" w:type="dxa"/>
              <w:right w:w="85" w:type="dxa"/>
            </w:tcMar>
          </w:tcPr>
          <w:p w14:paraId="67CC854E" w14:textId="77777777" w:rsidR="006611EE" w:rsidRPr="00261B7A" w:rsidRDefault="006611EE" w:rsidP="000F09B5">
            <w:pPr>
              <w:pStyle w:val="TableText"/>
              <w:spacing w:before="40" w:after="40"/>
              <w:jc w:val="right"/>
              <w:rPr>
                <w:rFonts w:cs="Calibri"/>
                <w:szCs w:val="16"/>
              </w:rPr>
            </w:pPr>
            <w:r w:rsidRPr="00261B7A">
              <w:rPr>
                <w:rFonts w:cs="Calibri"/>
                <w:szCs w:val="16"/>
              </w:rPr>
              <w:t>289.6</w:t>
            </w:r>
          </w:p>
        </w:tc>
        <w:tc>
          <w:tcPr>
            <w:tcW w:w="851" w:type="dxa"/>
            <w:shd w:val="clear" w:color="auto" w:fill="FFFFFF"/>
            <w:tcMar>
              <w:top w:w="0" w:type="dxa"/>
              <w:left w:w="85" w:type="dxa"/>
              <w:bottom w:w="0" w:type="dxa"/>
              <w:right w:w="85" w:type="dxa"/>
            </w:tcMar>
          </w:tcPr>
          <w:p w14:paraId="2C22DE66" w14:textId="77777777" w:rsidR="006611EE" w:rsidRPr="00261B7A" w:rsidRDefault="006611EE" w:rsidP="000F09B5">
            <w:pPr>
              <w:pStyle w:val="TableText"/>
              <w:spacing w:before="40" w:after="40"/>
              <w:jc w:val="right"/>
              <w:rPr>
                <w:rFonts w:cs="Calibri"/>
                <w:szCs w:val="16"/>
              </w:rPr>
            </w:pPr>
            <w:r w:rsidRPr="00261B7A">
              <w:rPr>
                <w:rFonts w:cs="Calibri"/>
                <w:szCs w:val="16"/>
              </w:rPr>
              <w:t>0.0</w:t>
            </w:r>
          </w:p>
        </w:tc>
        <w:tc>
          <w:tcPr>
            <w:tcW w:w="680" w:type="dxa"/>
            <w:shd w:val="clear" w:color="auto" w:fill="FFFFFF"/>
            <w:tcMar>
              <w:top w:w="0" w:type="dxa"/>
              <w:left w:w="85" w:type="dxa"/>
              <w:bottom w:w="0" w:type="dxa"/>
              <w:right w:w="85" w:type="dxa"/>
            </w:tcMar>
          </w:tcPr>
          <w:p w14:paraId="50BAB975" w14:textId="77777777" w:rsidR="006611EE" w:rsidRPr="00261B7A" w:rsidRDefault="006611EE" w:rsidP="000F09B5">
            <w:pPr>
              <w:pStyle w:val="TableText"/>
              <w:spacing w:before="40" w:after="40"/>
              <w:jc w:val="right"/>
              <w:rPr>
                <w:rFonts w:cs="Calibri"/>
                <w:szCs w:val="16"/>
              </w:rPr>
            </w:pPr>
            <w:r w:rsidRPr="00261B7A">
              <w:rPr>
                <w:rFonts w:cs="Calibri"/>
                <w:szCs w:val="16"/>
              </w:rPr>
              <w:t>0.004</w:t>
            </w:r>
          </w:p>
        </w:tc>
        <w:tc>
          <w:tcPr>
            <w:tcW w:w="680" w:type="dxa"/>
            <w:shd w:val="clear" w:color="auto" w:fill="FFFFFF"/>
            <w:tcMar>
              <w:top w:w="0" w:type="dxa"/>
              <w:left w:w="85" w:type="dxa"/>
              <w:bottom w:w="0" w:type="dxa"/>
              <w:right w:w="85" w:type="dxa"/>
            </w:tcMar>
          </w:tcPr>
          <w:p w14:paraId="2669A582" w14:textId="77777777" w:rsidR="006611EE" w:rsidRPr="00261B7A" w:rsidRDefault="006611EE" w:rsidP="000F09B5">
            <w:pPr>
              <w:pStyle w:val="TableText"/>
              <w:spacing w:before="40" w:after="40"/>
              <w:jc w:val="right"/>
              <w:rPr>
                <w:rFonts w:cs="Calibri"/>
                <w:szCs w:val="16"/>
              </w:rPr>
            </w:pPr>
            <w:r w:rsidRPr="00261B7A">
              <w:rPr>
                <w:rFonts w:cs="Calibri"/>
                <w:szCs w:val="16"/>
              </w:rPr>
              <w:t>0.5</w:t>
            </w:r>
          </w:p>
        </w:tc>
        <w:tc>
          <w:tcPr>
            <w:tcW w:w="680" w:type="dxa"/>
            <w:shd w:val="clear" w:color="auto" w:fill="FFFFFF"/>
            <w:tcMar>
              <w:top w:w="0" w:type="dxa"/>
              <w:left w:w="85" w:type="dxa"/>
              <w:bottom w:w="0" w:type="dxa"/>
              <w:right w:w="85" w:type="dxa"/>
            </w:tcMar>
          </w:tcPr>
          <w:p w14:paraId="3DFF2433" w14:textId="77777777" w:rsidR="006611EE" w:rsidRPr="00261B7A" w:rsidRDefault="006611EE" w:rsidP="000F09B5">
            <w:pPr>
              <w:pStyle w:val="TableText"/>
              <w:spacing w:before="40" w:after="40"/>
              <w:jc w:val="right"/>
              <w:rPr>
                <w:rFonts w:cs="Calibri"/>
                <w:szCs w:val="16"/>
              </w:rPr>
            </w:pPr>
            <w:r w:rsidRPr="00261B7A">
              <w:rPr>
                <w:rFonts w:cs="Calibri"/>
                <w:szCs w:val="16"/>
              </w:rPr>
              <w:t>89.2</w:t>
            </w:r>
          </w:p>
        </w:tc>
      </w:tr>
      <w:tr w:rsidR="006611EE" w:rsidRPr="00261B7A" w14:paraId="73D821B0" w14:textId="77777777" w:rsidTr="000F09B5">
        <w:tc>
          <w:tcPr>
            <w:tcW w:w="567" w:type="dxa"/>
            <w:shd w:val="clear" w:color="auto" w:fill="FFFFFF"/>
            <w:tcMar>
              <w:top w:w="0" w:type="dxa"/>
              <w:left w:w="85" w:type="dxa"/>
              <w:bottom w:w="0" w:type="dxa"/>
              <w:right w:w="85" w:type="dxa"/>
            </w:tcMar>
          </w:tcPr>
          <w:p w14:paraId="615926A4" w14:textId="77777777" w:rsidR="006611EE" w:rsidRPr="00261B7A" w:rsidRDefault="006611EE" w:rsidP="000F09B5">
            <w:pPr>
              <w:pStyle w:val="TableText"/>
              <w:spacing w:before="40" w:after="40"/>
              <w:rPr>
                <w:rFonts w:cs="Calibri"/>
                <w:szCs w:val="16"/>
              </w:rPr>
            </w:pPr>
            <w:r w:rsidRPr="00261B7A">
              <w:rPr>
                <w:rFonts w:cs="Calibri"/>
                <w:szCs w:val="16"/>
              </w:rPr>
              <w:t>1.A.1.b</w:t>
            </w:r>
          </w:p>
        </w:tc>
        <w:tc>
          <w:tcPr>
            <w:tcW w:w="2552" w:type="dxa"/>
            <w:shd w:val="clear" w:color="auto" w:fill="FFFFFF"/>
            <w:tcMar>
              <w:top w:w="0" w:type="dxa"/>
              <w:left w:w="85" w:type="dxa"/>
              <w:bottom w:w="0" w:type="dxa"/>
              <w:right w:w="85" w:type="dxa"/>
            </w:tcMar>
          </w:tcPr>
          <w:p w14:paraId="342C4649" w14:textId="77777777" w:rsidR="006611EE" w:rsidRPr="00261B7A" w:rsidRDefault="006611EE" w:rsidP="000F09B5">
            <w:pPr>
              <w:pStyle w:val="TableText"/>
              <w:spacing w:before="40" w:after="40"/>
              <w:rPr>
                <w:rFonts w:cs="Calibri"/>
                <w:szCs w:val="16"/>
              </w:rPr>
            </w:pPr>
            <w:r w:rsidRPr="00261B7A">
              <w:rPr>
                <w:rFonts w:cs="Calibri"/>
                <w:szCs w:val="16"/>
              </w:rPr>
              <w:t>Energy Industries – Petroleum Refining Liquid Fuels</w:t>
            </w:r>
          </w:p>
        </w:tc>
        <w:tc>
          <w:tcPr>
            <w:tcW w:w="510" w:type="dxa"/>
            <w:shd w:val="clear" w:color="auto" w:fill="FFFFFF"/>
            <w:tcMar>
              <w:top w:w="0" w:type="dxa"/>
              <w:left w:w="85" w:type="dxa"/>
              <w:bottom w:w="0" w:type="dxa"/>
              <w:right w:w="85" w:type="dxa"/>
            </w:tcMar>
          </w:tcPr>
          <w:p w14:paraId="2191252E"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584C1433" w14:textId="77777777" w:rsidR="006611EE" w:rsidRPr="00261B7A" w:rsidRDefault="006611EE" w:rsidP="000F09B5">
            <w:pPr>
              <w:pStyle w:val="TableText"/>
              <w:spacing w:before="40" w:after="40"/>
              <w:jc w:val="right"/>
              <w:rPr>
                <w:rFonts w:cs="Calibri"/>
                <w:szCs w:val="16"/>
              </w:rPr>
            </w:pPr>
            <w:r w:rsidRPr="00261B7A">
              <w:rPr>
                <w:rFonts w:cs="Calibri"/>
                <w:szCs w:val="16"/>
              </w:rPr>
              <w:t>778.9</w:t>
            </w:r>
          </w:p>
        </w:tc>
        <w:tc>
          <w:tcPr>
            <w:tcW w:w="851" w:type="dxa"/>
            <w:shd w:val="clear" w:color="auto" w:fill="FFFFFF"/>
            <w:tcMar>
              <w:top w:w="0" w:type="dxa"/>
              <w:left w:w="85" w:type="dxa"/>
              <w:bottom w:w="0" w:type="dxa"/>
              <w:right w:w="85" w:type="dxa"/>
            </w:tcMar>
          </w:tcPr>
          <w:p w14:paraId="79AFD518" w14:textId="77777777" w:rsidR="006611EE" w:rsidRPr="00261B7A" w:rsidRDefault="006611EE" w:rsidP="000F09B5">
            <w:pPr>
              <w:pStyle w:val="TableText"/>
              <w:spacing w:before="40" w:after="40"/>
              <w:jc w:val="right"/>
              <w:rPr>
                <w:rFonts w:cs="Calibri"/>
                <w:szCs w:val="16"/>
              </w:rPr>
            </w:pPr>
            <w:r w:rsidRPr="00261B7A">
              <w:rPr>
                <w:rFonts w:cs="Calibri"/>
                <w:szCs w:val="16"/>
              </w:rPr>
              <w:t>617.3</w:t>
            </w:r>
          </w:p>
        </w:tc>
        <w:tc>
          <w:tcPr>
            <w:tcW w:w="680" w:type="dxa"/>
            <w:shd w:val="clear" w:color="auto" w:fill="FFFFFF"/>
            <w:tcMar>
              <w:top w:w="0" w:type="dxa"/>
              <w:left w:w="85" w:type="dxa"/>
              <w:bottom w:w="0" w:type="dxa"/>
              <w:right w:w="85" w:type="dxa"/>
            </w:tcMar>
          </w:tcPr>
          <w:p w14:paraId="698F017D" w14:textId="77777777" w:rsidR="006611EE" w:rsidRPr="00261B7A" w:rsidRDefault="006611EE" w:rsidP="000F09B5">
            <w:pPr>
              <w:pStyle w:val="TableText"/>
              <w:spacing w:before="40" w:after="40"/>
              <w:jc w:val="right"/>
              <w:rPr>
                <w:rFonts w:cs="Calibri"/>
                <w:szCs w:val="16"/>
              </w:rPr>
            </w:pPr>
            <w:r w:rsidRPr="00261B7A">
              <w:rPr>
                <w:rFonts w:cs="Calibri"/>
                <w:szCs w:val="16"/>
              </w:rPr>
              <w:t>0.004</w:t>
            </w:r>
          </w:p>
        </w:tc>
        <w:tc>
          <w:tcPr>
            <w:tcW w:w="680" w:type="dxa"/>
            <w:shd w:val="clear" w:color="auto" w:fill="FFFFFF"/>
            <w:tcMar>
              <w:top w:w="0" w:type="dxa"/>
              <w:left w:w="85" w:type="dxa"/>
              <w:bottom w:w="0" w:type="dxa"/>
              <w:right w:w="85" w:type="dxa"/>
            </w:tcMar>
          </w:tcPr>
          <w:p w14:paraId="2E38F759" w14:textId="77777777" w:rsidR="006611EE" w:rsidRPr="00261B7A" w:rsidRDefault="006611EE" w:rsidP="000F09B5">
            <w:pPr>
              <w:pStyle w:val="TableText"/>
              <w:spacing w:before="40" w:after="40"/>
              <w:jc w:val="right"/>
              <w:rPr>
                <w:rFonts w:cs="Calibri"/>
                <w:szCs w:val="16"/>
              </w:rPr>
            </w:pPr>
            <w:r w:rsidRPr="00261B7A">
              <w:rPr>
                <w:rFonts w:cs="Calibri"/>
                <w:szCs w:val="16"/>
              </w:rPr>
              <w:t>0.5</w:t>
            </w:r>
          </w:p>
        </w:tc>
        <w:tc>
          <w:tcPr>
            <w:tcW w:w="680" w:type="dxa"/>
            <w:shd w:val="clear" w:color="auto" w:fill="FFFFFF"/>
            <w:tcMar>
              <w:top w:w="0" w:type="dxa"/>
              <w:left w:w="85" w:type="dxa"/>
              <w:bottom w:w="0" w:type="dxa"/>
              <w:right w:w="85" w:type="dxa"/>
            </w:tcMar>
          </w:tcPr>
          <w:p w14:paraId="5A75CA20" w14:textId="77777777" w:rsidR="006611EE" w:rsidRPr="00261B7A" w:rsidRDefault="006611EE" w:rsidP="000F09B5">
            <w:pPr>
              <w:pStyle w:val="TableText"/>
              <w:spacing w:before="40" w:after="40"/>
              <w:jc w:val="right"/>
              <w:rPr>
                <w:rFonts w:cs="Calibri"/>
                <w:szCs w:val="16"/>
              </w:rPr>
            </w:pPr>
            <w:r w:rsidRPr="00261B7A">
              <w:rPr>
                <w:rFonts w:cs="Calibri"/>
                <w:szCs w:val="16"/>
              </w:rPr>
              <w:t>89.7</w:t>
            </w:r>
          </w:p>
        </w:tc>
      </w:tr>
      <w:tr w:rsidR="006611EE" w:rsidRPr="00261B7A" w14:paraId="23EAC46C" w14:textId="77777777" w:rsidTr="000F09B5">
        <w:tc>
          <w:tcPr>
            <w:tcW w:w="567" w:type="dxa"/>
            <w:shd w:val="clear" w:color="auto" w:fill="FFFFFF"/>
            <w:tcMar>
              <w:top w:w="0" w:type="dxa"/>
              <w:left w:w="85" w:type="dxa"/>
              <w:bottom w:w="0" w:type="dxa"/>
              <w:right w:w="85" w:type="dxa"/>
            </w:tcMar>
          </w:tcPr>
          <w:p w14:paraId="459144A3" w14:textId="77777777" w:rsidR="006611EE" w:rsidRPr="00261B7A" w:rsidRDefault="006611EE" w:rsidP="000F09B5">
            <w:pPr>
              <w:pStyle w:val="TableText"/>
              <w:spacing w:before="40" w:after="40"/>
              <w:rPr>
                <w:rFonts w:cs="Calibri"/>
                <w:szCs w:val="16"/>
              </w:rPr>
            </w:pPr>
            <w:r w:rsidRPr="00261B7A">
              <w:rPr>
                <w:rFonts w:cs="Calibri"/>
                <w:szCs w:val="16"/>
              </w:rPr>
              <w:t>1.A.3.a</w:t>
            </w:r>
          </w:p>
        </w:tc>
        <w:tc>
          <w:tcPr>
            <w:tcW w:w="2552" w:type="dxa"/>
            <w:shd w:val="clear" w:color="auto" w:fill="FFFFFF"/>
            <w:tcMar>
              <w:top w:w="0" w:type="dxa"/>
              <w:left w:w="85" w:type="dxa"/>
              <w:bottom w:w="0" w:type="dxa"/>
              <w:right w:w="85" w:type="dxa"/>
            </w:tcMar>
          </w:tcPr>
          <w:p w14:paraId="71030A09" w14:textId="77777777" w:rsidR="006611EE" w:rsidRPr="00261B7A" w:rsidRDefault="006611EE" w:rsidP="000F09B5">
            <w:pPr>
              <w:pStyle w:val="TableText"/>
              <w:spacing w:before="40" w:after="40"/>
              <w:rPr>
                <w:rFonts w:cs="Calibri"/>
                <w:szCs w:val="16"/>
              </w:rPr>
            </w:pPr>
            <w:r w:rsidRPr="00261B7A">
              <w:rPr>
                <w:rFonts w:cs="Calibri"/>
                <w:szCs w:val="16"/>
              </w:rPr>
              <w:t>Domestic Aviation – Jet Kerosene</w:t>
            </w:r>
          </w:p>
        </w:tc>
        <w:tc>
          <w:tcPr>
            <w:tcW w:w="510" w:type="dxa"/>
            <w:shd w:val="clear" w:color="auto" w:fill="FFFFFF"/>
            <w:tcMar>
              <w:top w:w="0" w:type="dxa"/>
              <w:left w:w="85" w:type="dxa"/>
              <w:bottom w:w="0" w:type="dxa"/>
              <w:right w:w="85" w:type="dxa"/>
            </w:tcMar>
          </w:tcPr>
          <w:p w14:paraId="1CA4FFE5"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00F9BB27" w14:textId="77777777" w:rsidR="006611EE" w:rsidRPr="00261B7A" w:rsidRDefault="006611EE" w:rsidP="000F09B5">
            <w:pPr>
              <w:pStyle w:val="TableText"/>
              <w:spacing w:before="40" w:after="40"/>
              <w:jc w:val="right"/>
              <w:rPr>
                <w:rFonts w:cs="Calibri"/>
                <w:szCs w:val="16"/>
              </w:rPr>
            </w:pPr>
            <w:r w:rsidRPr="00261B7A">
              <w:rPr>
                <w:rFonts w:cs="Calibri"/>
                <w:szCs w:val="16"/>
              </w:rPr>
              <w:t>892.6</w:t>
            </w:r>
          </w:p>
        </w:tc>
        <w:tc>
          <w:tcPr>
            <w:tcW w:w="851" w:type="dxa"/>
            <w:shd w:val="clear" w:color="auto" w:fill="FFFFFF"/>
            <w:tcMar>
              <w:top w:w="0" w:type="dxa"/>
              <w:left w:w="85" w:type="dxa"/>
              <w:bottom w:w="0" w:type="dxa"/>
              <w:right w:w="85" w:type="dxa"/>
            </w:tcMar>
          </w:tcPr>
          <w:p w14:paraId="078D7B2C" w14:textId="77777777" w:rsidR="006611EE" w:rsidRPr="00261B7A" w:rsidRDefault="006611EE" w:rsidP="000F09B5">
            <w:pPr>
              <w:pStyle w:val="TableText"/>
              <w:spacing w:before="40" w:after="40"/>
              <w:jc w:val="right"/>
              <w:rPr>
                <w:rFonts w:cs="Calibri"/>
                <w:szCs w:val="16"/>
              </w:rPr>
            </w:pPr>
            <w:r w:rsidRPr="00261B7A">
              <w:rPr>
                <w:rFonts w:cs="Calibri"/>
                <w:szCs w:val="16"/>
              </w:rPr>
              <w:t>797.2</w:t>
            </w:r>
          </w:p>
        </w:tc>
        <w:tc>
          <w:tcPr>
            <w:tcW w:w="680" w:type="dxa"/>
            <w:shd w:val="clear" w:color="auto" w:fill="FFFFFF"/>
            <w:tcMar>
              <w:top w:w="0" w:type="dxa"/>
              <w:left w:w="85" w:type="dxa"/>
              <w:bottom w:w="0" w:type="dxa"/>
              <w:right w:w="85" w:type="dxa"/>
            </w:tcMar>
          </w:tcPr>
          <w:p w14:paraId="59BAFCB5" w14:textId="77777777" w:rsidR="006611EE" w:rsidRPr="00261B7A" w:rsidRDefault="006611EE" w:rsidP="000F09B5">
            <w:pPr>
              <w:pStyle w:val="TableText"/>
              <w:spacing w:before="40" w:after="40"/>
              <w:jc w:val="right"/>
              <w:rPr>
                <w:rFonts w:cs="Calibri"/>
                <w:szCs w:val="16"/>
              </w:rPr>
            </w:pPr>
            <w:r w:rsidRPr="00261B7A">
              <w:rPr>
                <w:rFonts w:cs="Calibri"/>
                <w:szCs w:val="16"/>
              </w:rPr>
              <w:t>0.004</w:t>
            </w:r>
          </w:p>
        </w:tc>
        <w:tc>
          <w:tcPr>
            <w:tcW w:w="680" w:type="dxa"/>
            <w:shd w:val="clear" w:color="auto" w:fill="FFFFFF"/>
            <w:tcMar>
              <w:top w:w="0" w:type="dxa"/>
              <w:left w:w="85" w:type="dxa"/>
              <w:bottom w:w="0" w:type="dxa"/>
              <w:right w:w="85" w:type="dxa"/>
            </w:tcMar>
          </w:tcPr>
          <w:p w14:paraId="757D9A28" w14:textId="77777777" w:rsidR="006611EE" w:rsidRPr="00261B7A" w:rsidRDefault="006611EE" w:rsidP="000F09B5">
            <w:pPr>
              <w:pStyle w:val="TableText"/>
              <w:spacing w:before="40" w:after="40"/>
              <w:jc w:val="right"/>
              <w:rPr>
                <w:rFonts w:cs="Calibri"/>
                <w:szCs w:val="16"/>
              </w:rPr>
            </w:pPr>
            <w:r w:rsidRPr="00261B7A">
              <w:rPr>
                <w:rFonts w:cs="Calibri"/>
                <w:szCs w:val="16"/>
              </w:rPr>
              <w:t>0.4</w:t>
            </w:r>
          </w:p>
        </w:tc>
        <w:tc>
          <w:tcPr>
            <w:tcW w:w="680" w:type="dxa"/>
            <w:shd w:val="clear" w:color="auto" w:fill="FFFFFF"/>
            <w:tcMar>
              <w:top w:w="0" w:type="dxa"/>
              <w:left w:w="85" w:type="dxa"/>
              <w:bottom w:w="0" w:type="dxa"/>
              <w:right w:w="85" w:type="dxa"/>
            </w:tcMar>
          </w:tcPr>
          <w:p w14:paraId="6E8FF65A" w14:textId="77777777" w:rsidR="006611EE" w:rsidRPr="00261B7A" w:rsidRDefault="006611EE" w:rsidP="000F09B5">
            <w:pPr>
              <w:pStyle w:val="TableText"/>
              <w:spacing w:before="40" w:after="40"/>
              <w:jc w:val="right"/>
              <w:rPr>
                <w:rFonts w:cs="Calibri"/>
                <w:szCs w:val="16"/>
              </w:rPr>
            </w:pPr>
            <w:r w:rsidRPr="00261B7A">
              <w:rPr>
                <w:rFonts w:cs="Calibri"/>
                <w:szCs w:val="16"/>
              </w:rPr>
              <w:t>90.1</w:t>
            </w:r>
          </w:p>
        </w:tc>
      </w:tr>
      <w:tr w:rsidR="006611EE" w:rsidRPr="00261B7A" w14:paraId="6EF4BB96" w14:textId="77777777" w:rsidTr="000F09B5">
        <w:tc>
          <w:tcPr>
            <w:tcW w:w="567" w:type="dxa"/>
            <w:shd w:val="clear" w:color="auto" w:fill="FFFFFF"/>
            <w:tcMar>
              <w:top w:w="0" w:type="dxa"/>
              <w:left w:w="85" w:type="dxa"/>
              <w:bottom w:w="0" w:type="dxa"/>
              <w:right w:w="85" w:type="dxa"/>
            </w:tcMar>
          </w:tcPr>
          <w:p w14:paraId="007E221A" w14:textId="77777777" w:rsidR="006611EE" w:rsidRPr="00261B7A" w:rsidRDefault="006611EE" w:rsidP="000F09B5">
            <w:pPr>
              <w:pStyle w:val="TableText"/>
              <w:spacing w:before="40" w:after="40"/>
              <w:rPr>
                <w:rFonts w:cs="Calibri"/>
                <w:szCs w:val="16"/>
              </w:rPr>
            </w:pPr>
            <w:r w:rsidRPr="00261B7A">
              <w:rPr>
                <w:rFonts w:cs="Calibri"/>
                <w:szCs w:val="16"/>
              </w:rPr>
              <w:t>1.A.4.b</w:t>
            </w:r>
          </w:p>
        </w:tc>
        <w:tc>
          <w:tcPr>
            <w:tcW w:w="2552" w:type="dxa"/>
            <w:shd w:val="clear" w:color="auto" w:fill="FFFFFF"/>
            <w:tcMar>
              <w:top w:w="0" w:type="dxa"/>
              <w:left w:w="85" w:type="dxa"/>
              <w:bottom w:w="0" w:type="dxa"/>
              <w:right w:w="85" w:type="dxa"/>
            </w:tcMar>
          </w:tcPr>
          <w:p w14:paraId="01EF0223" w14:textId="77777777" w:rsidR="006611EE" w:rsidRPr="00261B7A" w:rsidRDefault="006611EE" w:rsidP="000F09B5">
            <w:pPr>
              <w:pStyle w:val="TableText"/>
              <w:spacing w:before="40" w:after="40"/>
              <w:rPr>
                <w:rFonts w:cs="Calibri"/>
                <w:szCs w:val="16"/>
              </w:rPr>
            </w:pPr>
            <w:r w:rsidRPr="00261B7A">
              <w:rPr>
                <w:rFonts w:cs="Calibri"/>
                <w:szCs w:val="16"/>
              </w:rPr>
              <w:t>Other Sectors – Residential Liquid Fuels</w:t>
            </w:r>
          </w:p>
        </w:tc>
        <w:tc>
          <w:tcPr>
            <w:tcW w:w="510" w:type="dxa"/>
            <w:shd w:val="clear" w:color="auto" w:fill="FFFFFF"/>
            <w:tcMar>
              <w:top w:w="0" w:type="dxa"/>
              <w:left w:w="85" w:type="dxa"/>
              <w:bottom w:w="0" w:type="dxa"/>
              <w:right w:w="85" w:type="dxa"/>
            </w:tcMar>
          </w:tcPr>
          <w:p w14:paraId="49319F27"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0FB3877A" w14:textId="77777777" w:rsidR="006611EE" w:rsidRPr="00261B7A" w:rsidRDefault="006611EE" w:rsidP="000F09B5">
            <w:pPr>
              <w:pStyle w:val="TableText"/>
              <w:spacing w:before="40" w:after="40"/>
              <w:jc w:val="right"/>
              <w:rPr>
                <w:rFonts w:cs="Calibri"/>
                <w:szCs w:val="16"/>
              </w:rPr>
            </w:pPr>
            <w:r w:rsidRPr="00261B7A">
              <w:rPr>
                <w:rFonts w:cs="Calibri"/>
                <w:szCs w:val="16"/>
              </w:rPr>
              <w:t>814.5</w:t>
            </w:r>
          </w:p>
        </w:tc>
        <w:tc>
          <w:tcPr>
            <w:tcW w:w="851" w:type="dxa"/>
            <w:shd w:val="clear" w:color="auto" w:fill="FFFFFF"/>
            <w:tcMar>
              <w:top w:w="0" w:type="dxa"/>
              <w:left w:w="85" w:type="dxa"/>
              <w:bottom w:w="0" w:type="dxa"/>
              <w:right w:w="85" w:type="dxa"/>
            </w:tcMar>
          </w:tcPr>
          <w:p w14:paraId="7561188D" w14:textId="77777777" w:rsidR="006611EE" w:rsidRPr="00261B7A" w:rsidRDefault="006611EE" w:rsidP="000F09B5">
            <w:pPr>
              <w:pStyle w:val="TableText"/>
              <w:spacing w:before="40" w:after="40"/>
              <w:jc w:val="right"/>
              <w:rPr>
                <w:rFonts w:cs="Calibri"/>
                <w:szCs w:val="16"/>
              </w:rPr>
            </w:pPr>
            <w:r w:rsidRPr="00261B7A">
              <w:rPr>
                <w:rFonts w:cs="Calibri"/>
                <w:szCs w:val="16"/>
              </w:rPr>
              <w:t>1,332.4</w:t>
            </w:r>
          </w:p>
        </w:tc>
        <w:tc>
          <w:tcPr>
            <w:tcW w:w="680" w:type="dxa"/>
            <w:shd w:val="clear" w:color="auto" w:fill="FFFFFF"/>
            <w:tcMar>
              <w:top w:w="0" w:type="dxa"/>
              <w:left w:w="85" w:type="dxa"/>
              <w:bottom w:w="0" w:type="dxa"/>
              <w:right w:w="85" w:type="dxa"/>
            </w:tcMar>
          </w:tcPr>
          <w:p w14:paraId="28F7D322" w14:textId="77777777" w:rsidR="006611EE" w:rsidRPr="00261B7A" w:rsidRDefault="006611EE" w:rsidP="000F09B5">
            <w:pPr>
              <w:pStyle w:val="TableText"/>
              <w:spacing w:before="40" w:after="40"/>
              <w:jc w:val="right"/>
              <w:rPr>
                <w:rFonts w:cs="Calibri"/>
                <w:szCs w:val="16"/>
              </w:rPr>
            </w:pPr>
            <w:r w:rsidRPr="00261B7A">
              <w:rPr>
                <w:rFonts w:cs="Calibri"/>
                <w:szCs w:val="16"/>
              </w:rPr>
              <w:t>0.004</w:t>
            </w:r>
          </w:p>
        </w:tc>
        <w:tc>
          <w:tcPr>
            <w:tcW w:w="680" w:type="dxa"/>
            <w:shd w:val="clear" w:color="auto" w:fill="FFFFFF"/>
            <w:tcMar>
              <w:top w:w="0" w:type="dxa"/>
              <w:left w:w="85" w:type="dxa"/>
              <w:bottom w:w="0" w:type="dxa"/>
              <w:right w:w="85" w:type="dxa"/>
            </w:tcMar>
          </w:tcPr>
          <w:p w14:paraId="466B8735" w14:textId="77777777" w:rsidR="006611EE" w:rsidRPr="00261B7A" w:rsidRDefault="006611EE" w:rsidP="000F09B5">
            <w:pPr>
              <w:pStyle w:val="TableText"/>
              <w:spacing w:before="40" w:after="40"/>
              <w:jc w:val="right"/>
              <w:rPr>
                <w:rFonts w:cs="Calibri"/>
                <w:szCs w:val="16"/>
              </w:rPr>
            </w:pPr>
            <w:r w:rsidRPr="00261B7A">
              <w:rPr>
                <w:rFonts w:cs="Calibri"/>
                <w:szCs w:val="16"/>
              </w:rPr>
              <w:t>0.4</w:t>
            </w:r>
          </w:p>
        </w:tc>
        <w:tc>
          <w:tcPr>
            <w:tcW w:w="680" w:type="dxa"/>
            <w:shd w:val="clear" w:color="auto" w:fill="FFFFFF"/>
            <w:tcMar>
              <w:top w:w="0" w:type="dxa"/>
              <w:left w:w="85" w:type="dxa"/>
              <w:bottom w:w="0" w:type="dxa"/>
              <w:right w:w="85" w:type="dxa"/>
            </w:tcMar>
          </w:tcPr>
          <w:p w14:paraId="262EDD83" w14:textId="77777777" w:rsidR="006611EE" w:rsidRPr="00261B7A" w:rsidRDefault="006611EE" w:rsidP="000F09B5">
            <w:pPr>
              <w:pStyle w:val="TableText"/>
              <w:spacing w:before="40" w:after="40"/>
              <w:jc w:val="right"/>
              <w:rPr>
                <w:rFonts w:cs="Calibri"/>
                <w:szCs w:val="16"/>
              </w:rPr>
            </w:pPr>
            <w:r w:rsidRPr="00261B7A">
              <w:rPr>
                <w:rFonts w:cs="Calibri"/>
                <w:szCs w:val="16"/>
              </w:rPr>
              <w:t>90.5</w:t>
            </w:r>
          </w:p>
        </w:tc>
      </w:tr>
      <w:tr w:rsidR="006611EE" w:rsidRPr="00261B7A" w14:paraId="6A2D4E49" w14:textId="77777777" w:rsidTr="000F09B5">
        <w:tc>
          <w:tcPr>
            <w:tcW w:w="567" w:type="dxa"/>
            <w:shd w:val="clear" w:color="auto" w:fill="FFFFFF"/>
            <w:tcMar>
              <w:top w:w="0" w:type="dxa"/>
              <w:left w:w="85" w:type="dxa"/>
              <w:bottom w:w="0" w:type="dxa"/>
              <w:right w:w="85" w:type="dxa"/>
            </w:tcMar>
          </w:tcPr>
          <w:p w14:paraId="3DCD50E5" w14:textId="77777777" w:rsidR="006611EE" w:rsidRPr="00261B7A" w:rsidRDefault="006611EE" w:rsidP="000F09B5">
            <w:pPr>
              <w:pStyle w:val="TableText"/>
              <w:spacing w:before="40" w:after="40"/>
              <w:rPr>
                <w:rFonts w:cs="Calibri"/>
                <w:szCs w:val="16"/>
              </w:rPr>
            </w:pPr>
            <w:r w:rsidRPr="00261B7A">
              <w:rPr>
                <w:rFonts w:cs="Calibri"/>
                <w:szCs w:val="16"/>
              </w:rPr>
              <w:t>1.B.2.b.5</w:t>
            </w:r>
          </w:p>
        </w:tc>
        <w:tc>
          <w:tcPr>
            <w:tcW w:w="2552" w:type="dxa"/>
            <w:shd w:val="clear" w:color="auto" w:fill="FFFFFF"/>
            <w:tcMar>
              <w:top w:w="0" w:type="dxa"/>
              <w:left w:w="85" w:type="dxa"/>
              <w:bottom w:w="0" w:type="dxa"/>
              <w:right w:w="85" w:type="dxa"/>
            </w:tcMar>
          </w:tcPr>
          <w:p w14:paraId="08A52E25" w14:textId="77777777" w:rsidR="006611EE" w:rsidRPr="00261B7A" w:rsidRDefault="006611EE" w:rsidP="000F09B5">
            <w:pPr>
              <w:pStyle w:val="TableText"/>
              <w:spacing w:before="40" w:after="40"/>
              <w:rPr>
                <w:rFonts w:cs="Calibri"/>
                <w:szCs w:val="16"/>
              </w:rPr>
            </w:pPr>
            <w:r w:rsidRPr="00261B7A">
              <w:rPr>
                <w:rFonts w:cs="Calibri"/>
                <w:szCs w:val="16"/>
              </w:rPr>
              <w:t>Natural Gas – Distribution</w:t>
            </w:r>
          </w:p>
        </w:tc>
        <w:tc>
          <w:tcPr>
            <w:tcW w:w="510" w:type="dxa"/>
            <w:shd w:val="clear" w:color="auto" w:fill="FFFFFF"/>
            <w:tcMar>
              <w:top w:w="0" w:type="dxa"/>
              <w:left w:w="85" w:type="dxa"/>
              <w:bottom w:w="0" w:type="dxa"/>
              <w:right w:w="85" w:type="dxa"/>
            </w:tcMar>
          </w:tcPr>
          <w:p w14:paraId="43E809D2" w14:textId="77777777" w:rsidR="006611EE" w:rsidRPr="00261B7A" w:rsidRDefault="006611EE" w:rsidP="000F09B5">
            <w:pPr>
              <w:pStyle w:val="TableText"/>
              <w:spacing w:before="40" w:after="40"/>
              <w:jc w:val="center"/>
              <w:rPr>
                <w:rFonts w:cs="Calibri"/>
                <w:szCs w:val="16"/>
              </w:rPr>
            </w:pPr>
            <w:r w:rsidRPr="00261B7A">
              <w:rPr>
                <w:rFonts w:cs="Calibri"/>
                <w:szCs w:val="16"/>
              </w:rPr>
              <w:t>CH</w:t>
            </w:r>
            <w:r w:rsidRPr="00261B7A">
              <w:rPr>
                <w:rFonts w:cs="Calibri"/>
                <w:szCs w:val="16"/>
                <w:vertAlign w:val="subscript"/>
              </w:rPr>
              <w:t>4</w:t>
            </w:r>
          </w:p>
        </w:tc>
        <w:tc>
          <w:tcPr>
            <w:tcW w:w="851" w:type="dxa"/>
            <w:shd w:val="clear" w:color="auto" w:fill="FFFFFF"/>
            <w:tcMar>
              <w:top w:w="0" w:type="dxa"/>
              <w:left w:w="85" w:type="dxa"/>
              <w:bottom w:w="0" w:type="dxa"/>
              <w:right w:w="85" w:type="dxa"/>
            </w:tcMar>
          </w:tcPr>
          <w:p w14:paraId="37CDA8F6" w14:textId="77777777" w:rsidR="006611EE" w:rsidRPr="00261B7A" w:rsidRDefault="006611EE" w:rsidP="000F09B5">
            <w:pPr>
              <w:pStyle w:val="TableText"/>
              <w:spacing w:before="40" w:after="40"/>
              <w:jc w:val="right"/>
              <w:rPr>
                <w:rFonts w:cs="Calibri"/>
                <w:szCs w:val="16"/>
              </w:rPr>
            </w:pPr>
            <w:r w:rsidRPr="00261B7A">
              <w:rPr>
                <w:rFonts w:cs="Calibri"/>
                <w:szCs w:val="16"/>
              </w:rPr>
              <w:t>277.5</w:t>
            </w:r>
          </w:p>
        </w:tc>
        <w:tc>
          <w:tcPr>
            <w:tcW w:w="851" w:type="dxa"/>
            <w:shd w:val="clear" w:color="auto" w:fill="FFFFFF"/>
            <w:tcMar>
              <w:top w:w="0" w:type="dxa"/>
              <w:left w:w="85" w:type="dxa"/>
              <w:bottom w:w="0" w:type="dxa"/>
              <w:right w:w="85" w:type="dxa"/>
            </w:tcMar>
          </w:tcPr>
          <w:p w14:paraId="67D7BFE1" w14:textId="77777777" w:rsidR="006611EE" w:rsidRPr="00261B7A" w:rsidRDefault="006611EE" w:rsidP="000F09B5">
            <w:pPr>
              <w:pStyle w:val="TableText"/>
              <w:spacing w:before="40" w:after="40"/>
              <w:jc w:val="right"/>
              <w:rPr>
                <w:rFonts w:cs="Calibri"/>
                <w:szCs w:val="16"/>
              </w:rPr>
            </w:pPr>
            <w:r w:rsidRPr="00261B7A">
              <w:rPr>
                <w:rFonts w:cs="Calibri"/>
                <w:szCs w:val="16"/>
              </w:rPr>
              <w:t>39.1</w:t>
            </w:r>
          </w:p>
        </w:tc>
        <w:tc>
          <w:tcPr>
            <w:tcW w:w="680" w:type="dxa"/>
            <w:shd w:val="clear" w:color="auto" w:fill="FFFFFF"/>
            <w:tcMar>
              <w:top w:w="0" w:type="dxa"/>
              <w:left w:w="85" w:type="dxa"/>
              <w:bottom w:w="0" w:type="dxa"/>
              <w:right w:w="85" w:type="dxa"/>
            </w:tcMar>
          </w:tcPr>
          <w:p w14:paraId="5AE904C3" w14:textId="77777777" w:rsidR="006611EE" w:rsidRPr="00261B7A" w:rsidRDefault="006611EE" w:rsidP="000F09B5">
            <w:pPr>
              <w:pStyle w:val="TableText"/>
              <w:spacing w:before="40" w:after="40"/>
              <w:jc w:val="right"/>
              <w:rPr>
                <w:rFonts w:cs="Calibri"/>
                <w:szCs w:val="16"/>
              </w:rPr>
            </w:pPr>
            <w:r w:rsidRPr="00261B7A">
              <w:rPr>
                <w:rFonts w:cs="Calibri"/>
                <w:szCs w:val="16"/>
              </w:rPr>
              <w:t>0.003</w:t>
            </w:r>
          </w:p>
        </w:tc>
        <w:tc>
          <w:tcPr>
            <w:tcW w:w="680" w:type="dxa"/>
            <w:shd w:val="clear" w:color="auto" w:fill="FFFFFF"/>
            <w:tcMar>
              <w:top w:w="0" w:type="dxa"/>
              <w:left w:w="85" w:type="dxa"/>
              <w:bottom w:w="0" w:type="dxa"/>
              <w:right w:w="85" w:type="dxa"/>
            </w:tcMar>
          </w:tcPr>
          <w:p w14:paraId="38688781" w14:textId="77777777" w:rsidR="006611EE" w:rsidRPr="00261B7A" w:rsidRDefault="006611EE" w:rsidP="000F09B5">
            <w:pPr>
              <w:pStyle w:val="TableText"/>
              <w:spacing w:before="40" w:after="40"/>
              <w:jc w:val="right"/>
              <w:rPr>
                <w:rFonts w:cs="Calibri"/>
                <w:szCs w:val="16"/>
              </w:rPr>
            </w:pPr>
            <w:r w:rsidRPr="00261B7A">
              <w:rPr>
                <w:rFonts w:cs="Calibri"/>
                <w:szCs w:val="16"/>
              </w:rPr>
              <w:t>0.4</w:t>
            </w:r>
          </w:p>
        </w:tc>
        <w:tc>
          <w:tcPr>
            <w:tcW w:w="680" w:type="dxa"/>
            <w:shd w:val="clear" w:color="auto" w:fill="FFFFFF"/>
            <w:tcMar>
              <w:top w:w="0" w:type="dxa"/>
              <w:left w:w="85" w:type="dxa"/>
              <w:bottom w:w="0" w:type="dxa"/>
              <w:right w:w="85" w:type="dxa"/>
            </w:tcMar>
          </w:tcPr>
          <w:p w14:paraId="1D233176" w14:textId="77777777" w:rsidR="006611EE" w:rsidRPr="00261B7A" w:rsidRDefault="006611EE" w:rsidP="000F09B5">
            <w:pPr>
              <w:pStyle w:val="TableText"/>
              <w:spacing w:before="40" w:after="40"/>
              <w:jc w:val="right"/>
              <w:rPr>
                <w:rFonts w:cs="Calibri"/>
                <w:szCs w:val="16"/>
              </w:rPr>
            </w:pPr>
            <w:r w:rsidRPr="00261B7A">
              <w:rPr>
                <w:rFonts w:cs="Calibri"/>
                <w:szCs w:val="16"/>
              </w:rPr>
              <w:t>90.9</w:t>
            </w:r>
          </w:p>
        </w:tc>
      </w:tr>
      <w:tr w:rsidR="006611EE" w:rsidRPr="00261B7A" w14:paraId="501CB62B" w14:textId="77777777" w:rsidTr="000F09B5">
        <w:tc>
          <w:tcPr>
            <w:tcW w:w="567" w:type="dxa"/>
            <w:shd w:val="clear" w:color="auto" w:fill="FFFFFF"/>
            <w:tcMar>
              <w:top w:w="0" w:type="dxa"/>
              <w:left w:w="85" w:type="dxa"/>
              <w:bottom w:w="0" w:type="dxa"/>
              <w:right w:w="85" w:type="dxa"/>
            </w:tcMar>
          </w:tcPr>
          <w:p w14:paraId="67213F3A" w14:textId="77777777" w:rsidR="006611EE" w:rsidRPr="00261B7A" w:rsidRDefault="006611EE" w:rsidP="000F09B5">
            <w:pPr>
              <w:pStyle w:val="TableText"/>
              <w:spacing w:before="40" w:after="40"/>
              <w:rPr>
                <w:rFonts w:cs="Calibri"/>
                <w:szCs w:val="16"/>
              </w:rPr>
            </w:pPr>
            <w:r w:rsidRPr="00261B7A">
              <w:rPr>
                <w:rFonts w:cs="Calibri"/>
                <w:szCs w:val="16"/>
              </w:rPr>
              <w:lastRenderedPageBreak/>
              <w:t>1.A.2.f</w:t>
            </w:r>
          </w:p>
        </w:tc>
        <w:tc>
          <w:tcPr>
            <w:tcW w:w="2552" w:type="dxa"/>
            <w:shd w:val="clear" w:color="auto" w:fill="FFFFFF"/>
            <w:tcMar>
              <w:top w:w="0" w:type="dxa"/>
              <w:left w:w="85" w:type="dxa"/>
              <w:bottom w:w="0" w:type="dxa"/>
              <w:right w:w="85" w:type="dxa"/>
            </w:tcMar>
          </w:tcPr>
          <w:p w14:paraId="018385D1" w14:textId="77777777" w:rsidR="006611EE" w:rsidRPr="00261B7A" w:rsidRDefault="006611EE" w:rsidP="000F09B5">
            <w:pPr>
              <w:pStyle w:val="TableText"/>
              <w:spacing w:before="40" w:after="40"/>
              <w:rPr>
                <w:rFonts w:cs="Calibri"/>
                <w:szCs w:val="16"/>
              </w:rPr>
            </w:pPr>
            <w:r w:rsidRPr="00261B7A">
              <w:rPr>
                <w:rFonts w:cs="Calibri"/>
                <w:szCs w:val="16"/>
              </w:rPr>
              <w:t>Manufacturing Industries and Construction – Non-metallic Minerals Solid Fuels</w:t>
            </w:r>
          </w:p>
        </w:tc>
        <w:tc>
          <w:tcPr>
            <w:tcW w:w="510" w:type="dxa"/>
            <w:shd w:val="clear" w:color="auto" w:fill="FFFFFF"/>
            <w:tcMar>
              <w:top w:w="0" w:type="dxa"/>
              <w:left w:w="85" w:type="dxa"/>
              <w:bottom w:w="0" w:type="dxa"/>
              <w:right w:w="85" w:type="dxa"/>
            </w:tcMar>
          </w:tcPr>
          <w:p w14:paraId="2DB14C10"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05BFD0F1" w14:textId="77777777" w:rsidR="006611EE" w:rsidRPr="00261B7A" w:rsidRDefault="006611EE" w:rsidP="000F09B5">
            <w:pPr>
              <w:pStyle w:val="TableText"/>
              <w:spacing w:before="40" w:after="40"/>
              <w:jc w:val="right"/>
              <w:rPr>
                <w:rFonts w:cs="Calibri"/>
                <w:szCs w:val="16"/>
              </w:rPr>
            </w:pPr>
            <w:r w:rsidRPr="00261B7A">
              <w:rPr>
                <w:rFonts w:cs="Calibri"/>
                <w:szCs w:val="16"/>
              </w:rPr>
              <w:t>382.9</w:t>
            </w:r>
          </w:p>
        </w:tc>
        <w:tc>
          <w:tcPr>
            <w:tcW w:w="851" w:type="dxa"/>
            <w:shd w:val="clear" w:color="auto" w:fill="FFFFFF"/>
            <w:tcMar>
              <w:top w:w="0" w:type="dxa"/>
              <w:left w:w="85" w:type="dxa"/>
              <w:bottom w:w="0" w:type="dxa"/>
              <w:right w:w="85" w:type="dxa"/>
            </w:tcMar>
          </w:tcPr>
          <w:p w14:paraId="2ABF6556" w14:textId="77777777" w:rsidR="006611EE" w:rsidRPr="00261B7A" w:rsidRDefault="006611EE" w:rsidP="000F09B5">
            <w:pPr>
              <w:pStyle w:val="TableText"/>
              <w:spacing w:before="40" w:after="40"/>
              <w:jc w:val="right"/>
              <w:rPr>
                <w:rFonts w:cs="Calibri"/>
                <w:szCs w:val="16"/>
              </w:rPr>
            </w:pPr>
            <w:r w:rsidRPr="00261B7A">
              <w:rPr>
                <w:rFonts w:cs="Calibri"/>
                <w:szCs w:val="16"/>
              </w:rPr>
              <w:t>187.7</w:t>
            </w:r>
          </w:p>
        </w:tc>
        <w:tc>
          <w:tcPr>
            <w:tcW w:w="680" w:type="dxa"/>
            <w:shd w:val="clear" w:color="auto" w:fill="FFFFFF"/>
            <w:tcMar>
              <w:top w:w="0" w:type="dxa"/>
              <w:left w:w="85" w:type="dxa"/>
              <w:bottom w:w="0" w:type="dxa"/>
              <w:right w:w="85" w:type="dxa"/>
            </w:tcMar>
          </w:tcPr>
          <w:p w14:paraId="0B9F63C8" w14:textId="77777777" w:rsidR="006611EE" w:rsidRPr="00261B7A" w:rsidRDefault="006611EE" w:rsidP="000F09B5">
            <w:pPr>
              <w:pStyle w:val="TableText"/>
              <w:spacing w:before="40" w:after="40"/>
              <w:jc w:val="right"/>
              <w:rPr>
                <w:rFonts w:cs="Calibri"/>
                <w:szCs w:val="16"/>
              </w:rPr>
            </w:pPr>
            <w:r w:rsidRPr="00261B7A">
              <w:rPr>
                <w:rFonts w:cs="Calibri"/>
                <w:szCs w:val="16"/>
              </w:rPr>
              <w:t>0.003</w:t>
            </w:r>
          </w:p>
        </w:tc>
        <w:tc>
          <w:tcPr>
            <w:tcW w:w="680" w:type="dxa"/>
            <w:shd w:val="clear" w:color="auto" w:fill="FFFFFF"/>
            <w:tcMar>
              <w:top w:w="0" w:type="dxa"/>
              <w:left w:w="85" w:type="dxa"/>
              <w:bottom w:w="0" w:type="dxa"/>
              <w:right w:w="85" w:type="dxa"/>
            </w:tcMar>
          </w:tcPr>
          <w:p w14:paraId="7CC3AF14" w14:textId="77777777" w:rsidR="006611EE" w:rsidRPr="00261B7A" w:rsidRDefault="006611EE" w:rsidP="000F09B5">
            <w:pPr>
              <w:pStyle w:val="TableText"/>
              <w:spacing w:before="40" w:after="40"/>
              <w:jc w:val="right"/>
              <w:rPr>
                <w:rFonts w:cs="Calibri"/>
                <w:szCs w:val="16"/>
              </w:rPr>
            </w:pPr>
            <w:r w:rsidRPr="00261B7A">
              <w:rPr>
                <w:rFonts w:cs="Calibri"/>
                <w:szCs w:val="16"/>
              </w:rPr>
              <w:t>0.4</w:t>
            </w:r>
          </w:p>
        </w:tc>
        <w:tc>
          <w:tcPr>
            <w:tcW w:w="680" w:type="dxa"/>
            <w:shd w:val="clear" w:color="auto" w:fill="FFFFFF"/>
            <w:tcMar>
              <w:top w:w="0" w:type="dxa"/>
              <w:left w:w="85" w:type="dxa"/>
              <w:bottom w:w="0" w:type="dxa"/>
              <w:right w:w="85" w:type="dxa"/>
            </w:tcMar>
          </w:tcPr>
          <w:p w14:paraId="7A209C65" w14:textId="77777777" w:rsidR="006611EE" w:rsidRPr="00261B7A" w:rsidRDefault="006611EE" w:rsidP="000F09B5">
            <w:pPr>
              <w:pStyle w:val="TableText"/>
              <w:spacing w:before="40" w:after="40"/>
              <w:jc w:val="right"/>
              <w:rPr>
                <w:rFonts w:cs="Calibri"/>
                <w:szCs w:val="16"/>
              </w:rPr>
            </w:pPr>
            <w:r w:rsidRPr="00261B7A">
              <w:rPr>
                <w:rFonts w:cs="Calibri"/>
                <w:szCs w:val="16"/>
              </w:rPr>
              <w:t>91.3</w:t>
            </w:r>
          </w:p>
        </w:tc>
      </w:tr>
      <w:tr w:rsidR="006611EE" w:rsidRPr="00261B7A" w14:paraId="52A88346" w14:textId="77777777" w:rsidTr="000F09B5">
        <w:tc>
          <w:tcPr>
            <w:tcW w:w="567" w:type="dxa"/>
            <w:shd w:val="clear" w:color="auto" w:fill="FFFFFF"/>
            <w:tcMar>
              <w:top w:w="0" w:type="dxa"/>
              <w:left w:w="85" w:type="dxa"/>
              <w:bottom w:w="0" w:type="dxa"/>
              <w:right w:w="85" w:type="dxa"/>
            </w:tcMar>
          </w:tcPr>
          <w:p w14:paraId="7885639D" w14:textId="77777777" w:rsidR="006611EE" w:rsidRPr="00261B7A" w:rsidRDefault="006611EE" w:rsidP="000F09B5">
            <w:pPr>
              <w:pStyle w:val="TableText"/>
              <w:spacing w:before="40" w:after="40"/>
              <w:rPr>
                <w:rFonts w:cs="Calibri"/>
                <w:szCs w:val="16"/>
              </w:rPr>
            </w:pPr>
            <w:r w:rsidRPr="00261B7A">
              <w:rPr>
                <w:rFonts w:cs="Calibri"/>
                <w:szCs w:val="16"/>
              </w:rPr>
              <w:t>1.A.2.e</w:t>
            </w:r>
          </w:p>
        </w:tc>
        <w:tc>
          <w:tcPr>
            <w:tcW w:w="2552" w:type="dxa"/>
            <w:shd w:val="clear" w:color="auto" w:fill="FFFFFF"/>
            <w:tcMar>
              <w:top w:w="0" w:type="dxa"/>
              <w:left w:w="85" w:type="dxa"/>
              <w:bottom w:w="0" w:type="dxa"/>
              <w:right w:w="85" w:type="dxa"/>
            </w:tcMar>
          </w:tcPr>
          <w:p w14:paraId="304B6FA1" w14:textId="77777777" w:rsidR="006611EE" w:rsidRPr="00261B7A" w:rsidRDefault="006611EE" w:rsidP="000F09B5">
            <w:pPr>
              <w:pStyle w:val="TableText"/>
              <w:spacing w:before="40" w:after="40"/>
              <w:rPr>
                <w:rFonts w:cs="Calibri"/>
                <w:szCs w:val="16"/>
              </w:rPr>
            </w:pPr>
            <w:r w:rsidRPr="00261B7A">
              <w:rPr>
                <w:rFonts w:cs="Calibri"/>
                <w:szCs w:val="16"/>
              </w:rPr>
              <w:t>Manufacturing Industries and Construction – Food Processing, Beverages and Tobacco Solid Fuels</w:t>
            </w:r>
          </w:p>
        </w:tc>
        <w:tc>
          <w:tcPr>
            <w:tcW w:w="510" w:type="dxa"/>
            <w:shd w:val="clear" w:color="auto" w:fill="FFFFFF"/>
            <w:tcMar>
              <w:top w:w="0" w:type="dxa"/>
              <w:left w:w="85" w:type="dxa"/>
              <w:bottom w:w="0" w:type="dxa"/>
              <w:right w:w="85" w:type="dxa"/>
            </w:tcMar>
          </w:tcPr>
          <w:p w14:paraId="5906350D"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5E2E0B16" w14:textId="77777777" w:rsidR="006611EE" w:rsidRPr="00261B7A" w:rsidRDefault="006611EE" w:rsidP="000F09B5">
            <w:pPr>
              <w:pStyle w:val="TableText"/>
              <w:spacing w:before="40" w:after="40"/>
              <w:jc w:val="right"/>
              <w:rPr>
                <w:rFonts w:cs="Calibri"/>
                <w:szCs w:val="16"/>
              </w:rPr>
            </w:pPr>
            <w:r w:rsidRPr="00261B7A">
              <w:rPr>
                <w:rFonts w:cs="Calibri"/>
                <w:szCs w:val="16"/>
              </w:rPr>
              <w:t>938.6</w:t>
            </w:r>
          </w:p>
        </w:tc>
        <w:tc>
          <w:tcPr>
            <w:tcW w:w="851" w:type="dxa"/>
            <w:shd w:val="clear" w:color="auto" w:fill="FFFFFF"/>
            <w:tcMar>
              <w:top w:w="0" w:type="dxa"/>
              <w:left w:w="85" w:type="dxa"/>
              <w:bottom w:w="0" w:type="dxa"/>
              <w:right w:w="85" w:type="dxa"/>
            </w:tcMar>
          </w:tcPr>
          <w:p w14:paraId="276C4341" w14:textId="77777777" w:rsidR="006611EE" w:rsidRPr="00261B7A" w:rsidRDefault="006611EE" w:rsidP="000F09B5">
            <w:pPr>
              <w:pStyle w:val="TableText"/>
              <w:spacing w:before="40" w:after="40"/>
              <w:jc w:val="right"/>
              <w:rPr>
                <w:rFonts w:cs="Calibri"/>
                <w:szCs w:val="16"/>
              </w:rPr>
            </w:pPr>
            <w:r w:rsidRPr="00261B7A">
              <w:rPr>
                <w:rFonts w:cs="Calibri"/>
                <w:szCs w:val="16"/>
              </w:rPr>
              <w:t>1,446.5</w:t>
            </w:r>
          </w:p>
        </w:tc>
        <w:tc>
          <w:tcPr>
            <w:tcW w:w="680" w:type="dxa"/>
            <w:shd w:val="clear" w:color="auto" w:fill="FFFFFF"/>
            <w:tcMar>
              <w:top w:w="0" w:type="dxa"/>
              <w:left w:w="85" w:type="dxa"/>
              <w:bottom w:w="0" w:type="dxa"/>
              <w:right w:w="85" w:type="dxa"/>
            </w:tcMar>
          </w:tcPr>
          <w:p w14:paraId="7F5CDC8A" w14:textId="77777777" w:rsidR="006611EE" w:rsidRPr="00261B7A" w:rsidRDefault="006611EE" w:rsidP="000F09B5">
            <w:pPr>
              <w:pStyle w:val="TableText"/>
              <w:spacing w:before="40" w:after="40"/>
              <w:jc w:val="right"/>
              <w:rPr>
                <w:rFonts w:cs="Calibri"/>
                <w:szCs w:val="16"/>
              </w:rPr>
            </w:pPr>
            <w:r w:rsidRPr="00261B7A">
              <w:rPr>
                <w:rFonts w:cs="Calibri"/>
                <w:szCs w:val="16"/>
              </w:rPr>
              <w:t>0.003</w:t>
            </w:r>
          </w:p>
        </w:tc>
        <w:tc>
          <w:tcPr>
            <w:tcW w:w="680" w:type="dxa"/>
            <w:shd w:val="clear" w:color="auto" w:fill="FFFFFF"/>
            <w:tcMar>
              <w:top w:w="0" w:type="dxa"/>
              <w:left w:w="85" w:type="dxa"/>
              <w:bottom w:w="0" w:type="dxa"/>
              <w:right w:w="85" w:type="dxa"/>
            </w:tcMar>
          </w:tcPr>
          <w:p w14:paraId="2885A8B9" w14:textId="77777777" w:rsidR="006611EE" w:rsidRPr="00261B7A" w:rsidRDefault="006611EE" w:rsidP="000F09B5">
            <w:pPr>
              <w:pStyle w:val="TableText"/>
              <w:spacing w:before="40" w:after="40"/>
              <w:jc w:val="right"/>
              <w:rPr>
                <w:rFonts w:cs="Calibri"/>
                <w:szCs w:val="16"/>
              </w:rPr>
            </w:pPr>
            <w:r w:rsidRPr="00261B7A">
              <w:rPr>
                <w:rFonts w:cs="Calibri"/>
                <w:szCs w:val="16"/>
              </w:rPr>
              <w:t>0.4</w:t>
            </w:r>
          </w:p>
        </w:tc>
        <w:tc>
          <w:tcPr>
            <w:tcW w:w="680" w:type="dxa"/>
            <w:shd w:val="clear" w:color="auto" w:fill="FFFFFF"/>
            <w:tcMar>
              <w:top w:w="0" w:type="dxa"/>
              <w:left w:w="85" w:type="dxa"/>
              <w:bottom w:w="0" w:type="dxa"/>
              <w:right w:w="85" w:type="dxa"/>
            </w:tcMar>
          </w:tcPr>
          <w:p w14:paraId="2AA68E29" w14:textId="77777777" w:rsidR="006611EE" w:rsidRPr="00261B7A" w:rsidRDefault="006611EE" w:rsidP="000F09B5">
            <w:pPr>
              <w:pStyle w:val="TableText"/>
              <w:spacing w:before="40" w:after="40"/>
              <w:jc w:val="right"/>
              <w:rPr>
                <w:rFonts w:cs="Calibri"/>
                <w:szCs w:val="16"/>
              </w:rPr>
            </w:pPr>
            <w:r w:rsidRPr="00261B7A">
              <w:rPr>
                <w:rFonts w:cs="Calibri"/>
                <w:szCs w:val="16"/>
              </w:rPr>
              <w:t>91.7</w:t>
            </w:r>
          </w:p>
        </w:tc>
      </w:tr>
      <w:tr w:rsidR="006611EE" w:rsidRPr="00261B7A" w14:paraId="1BC45D04" w14:textId="77777777" w:rsidTr="000F09B5">
        <w:tc>
          <w:tcPr>
            <w:tcW w:w="567" w:type="dxa"/>
            <w:shd w:val="clear" w:color="auto" w:fill="FFFFFF"/>
            <w:tcMar>
              <w:top w:w="0" w:type="dxa"/>
              <w:left w:w="85" w:type="dxa"/>
              <w:bottom w:w="0" w:type="dxa"/>
              <w:right w:w="85" w:type="dxa"/>
            </w:tcMar>
          </w:tcPr>
          <w:p w14:paraId="25C1001B" w14:textId="77777777" w:rsidR="006611EE" w:rsidRPr="00261B7A" w:rsidRDefault="006611EE" w:rsidP="000F09B5">
            <w:pPr>
              <w:pStyle w:val="TableText"/>
              <w:spacing w:before="40" w:after="40"/>
              <w:rPr>
                <w:rFonts w:cs="Calibri"/>
                <w:szCs w:val="16"/>
              </w:rPr>
            </w:pPr>
            <w:r w:rsidRPr="00261B7A">
              <w:rPr>
                <w:rFonts w:cs="Calibri"/>
                <w:szCs w:val="16"/>
              </w:rPr>
              <w:t>1.A.2.g.iii</w:t>
            </w:r>
          </w:p>
        </w:tc>
        <w:tc>
          <w:tcPr>
            <w:tcW w:w="2552" w:type="dxa"/>
            <w:shd w:val="clear" w:color="auto" w:fill="FFFFFF"/>
            <w:tcMar>
              <w:top w:w="0" w:type="dxa"/>
              <w:left w:w="85" w:type="dxa"/>
              <w:bottom w:w="0" w:type="dxa"/>
              <w:right w:w="85" w:type="dxa"/>
            </w:tcMar>
          </w:tcPr>
          <w:p w14:paraId="782DBFF5" w14:textId="77777777" w:rsidR="006611EE" w:rsidRPr="00261B7A" w:rsidRDefault="006611EE" w:rsidP="000F09B5">
            <w:pPr>
              <w:pStyle w:val="TableText"/>
              <w:spacing w:before="40" w:after="40"/>
              <w:rPr>
                <w:rFonts w:cs="Calibri"/>
                <w:szCs w:val="16"/>
              </w:rPr>
            </w:pPr>
            <w:r w:rsidRPr="00261B7A">
              <w:rPr>
                <w:rFonts w:cs="Calibri"/>
                <w:szCs w:val="16"/>
              </w:rPr>
              <w:t>Other (please specify) – Mining (excluding fuels) and Quarrying Liquid Fuels</w:t>
            </w:r>
          </w:p>
        </w:tc>
        <w:tc>
          <w:tcPr>
            <w:tcW w:w="510" w:type="dxa"/>
            <w:shd w:val="clear" w:color="auto" w:fill="FFFFFF"/>
            <w:tcMar>
              <w:top w:w="0" w:type="dxa"/>
              <w:left w:w="85" w:type="dxa"/>
              <w:bottom w:w="0" w:type="dxa"/>
              <w:right w:w="85" w:type="dxa"/>
            </w:tcMar>
          </w:tcPr>
          <w:p w14:paraId="0E2A0408"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7CE95B47" w14:textId="77777777" w:rsidR="006611EE" w:rsidRPr="00261B7A" w:rsidRDefault="006611EE" w:rsidP="000F09B5">
            <w:pPr>
              <w:pStyle w:val="TableText"/>
              <w:spacing w:before="40" w:after="40"/>
              <w:jc w:val="right"/>
              <w:rPr>
                <w:rFonts w:cs="Calibri"/>
                <w:szCs w:val="16"/>
              </w:rPr>
            </w:pPr>
            <w:r w:rsidRPr="00261B7A">
              <w:rPr>
                <w:rFonts w:cs="Calibri"/>
                <w:szCs w:val="16"/>
              </w:rPr>
              <w:t>94.1</w:t>
            </w:r>
          </w:p>
        </w:tc>
        <w:tc>
          <w:tcPr>
            <w:tcW w:w="851" w:type="dxa"/>
            <w:shd w:val="clear" w:color="auto" w:fill="FFFFFF"/>
            <w:tcMar>
              <w:top w:w="0" w:type="dxa"/>
              <w:left w:w="85" w:type="dxa"/>
              <w:bottom w:w="0" w:type="dxa"/>
              <w:right w:w="85" w:type="dxa"/>
            </w:tcMar>
          </w:tcPr>
          <w:p w14:paraId="1F5FB1B9" w14:textId="77777777" w:rsidR="006611EE" w:rsidRPr="00261B7A" w:rsidRDefault="006611EE" w:rsidP="000F09B5">
            <w:pPr>
              <w:pStyle w:val="TableText"/>
              <w:spacing w:before="40" w:after="40"/>
              <w:jc w:val="right"/>
              <w:rPr>
                <w:rFonts w:cs="Calibri"/>
                <w:szCs w:val="16"/>
              </w:rPr>
            </w:pPr>
            <w:r w:rsidRPr="00261B7A">
              <w:rPr>
                <w:rFonts w:cs="Calibri"/>
                <w:szCs w:val="16"/>
              </w:rPr>
              <w:t>367.6</w:t>
            </w:r>
          </w:p>
        </w:tc>
        <w:tc>
          <w:tcPr>
            <w:tcW w:w="680" w:type="dxa"/>
            <w:shd w:val="clear" w:color="auto" w:fill="FFFFFF"/>
            <w:tcMar>
              <w:top w:w="0" w:type="dxa"/>
              <w:left w:w="85" w:type="dxa"/>
              <w:bottom w:w="0" w:type="dxa"/>
              <w:right w:w="85" w:type="dxa"/>
            </w:tcMar>
          </w:tcPr>
          <w:p w14:paraId="3531D4A8" w14:textId="77777777" w:rsidR="006611EE" w:rsidRPr="00261B7A" w:rsidRDefault="006611EE" w:rsidP="000F09B5">
            <w:pPr>
              <w:pStyle w:val="TableText"/>
              <w:spacing w:before="40" w:after="40"/>
              <w:jc w:val="right"/>
              <w:rPr>
                <w:rFonts w:cs="Calibri"/>
                <w:szCs w:val="16"/>
              </w:rPr>
            </w:pPr>
            <w:r w:rsidRPr="00261B7A">
              <w:rPr>
                <w:rFonts w:cs="Calibri"/>
                <w:szCs w:val="16"/>
              </w:rPr>
              <w:t>0.003</w:t>
            </w:r>
          </w:p>
        </w:tc>
        <w:tc>
          <w:tcPr>
            <w:tcW w:w="680" w:type="dxa"/>
            <w:shd w:val="clear" w:color="auto" w:fill="FFFFFF"/>
            <w:tcMar>
              <w:top w:w="0" w:type="dxa"/>
              <w:left w:w="85" w:type="dxa"/>
              <w:bottom w:w="0" w:type="dxa"/>
              <w:right w:w="85" w:type="dxa"/>
            </w:tcMar>
          </w:tcPr>
          <w:p w14:paraId="53B811B0" w14:textId="77777777" w:rsidR="006611EE" w:rsidRPr="00261B7A" w:rsidRDefault="006611EE" w:rsidP="000F09B5">
            <w:pPr>
              <w:pStyle w:val="TableText"/>
              <w:spacing w:before="40" w:after="40"/>
              <w:jc w:val="right"/>
              <w:rPr>
                <w:rFonts w:cs="Calibri"/>
                <w:szCs w:val="16"/>
              </w:rPr>
            </w:pPr>
            <w:r w:rsidRPr="00261B7A">
              <w:rPr>
                <w:rFonts w:cs="Calibri"/>
                <w:szCs w:val="16"/>
              </w:rPr>
              <w:t>0.3</w:t>
            </w:r>
          </w:p>
        </w:tc>
        <w:tc>
          <w:tcPr>
            <w:tcW w:w="680" w:type="dxa"/>
            <w:shd w:val="clear" w:color="auto" w:fill="FFFFFF"/>
            <w:tcMar>
              <w:top w:w="0" w:type="dxa"/>
              <w:left w:w="85" w:type="dxa"/>
              <w:bottom w:w="0" w:type="dxa"/>
              <w:right w:w="85" w:type="dxa"/>
            </w:tcMar>
          </w:tcPr>
          <w:p w14:paraId="578B72EA" w14:textId="77777777" w:rsidR="006611EE" w:rsidRPr="00261B7A" w:rsidRDefault="006611EE" w:rsidP="000F09B5">
            <w:pPr>
              <w:pStyle w:val="TableText"/>
              <w:spacing w:before="40" w:after="40"/>
              <w:jc w:val="right"/>
              <w:rPr>
                <w:rFonts w:cs="Calibri"/>
                <w:szCs w:val="16"/>
              </w:rPr>
            </w:pPr>
            <w:r w:rsidRPr="00261B7A">
              <w:rPr>
                <w:rFonts w:cs="Calibri"/>
                <w:szCs w:val="16"/>
              </w:rPr>
              <w:t>92.0</w:t>
            </w:r>
          </w:p>
        </w:tc>
      </w:tr>
      <w:tr w:rsidR="006611EE" w:rsidRPr="00261B7A" w14:paraId="3051FAA8" w14:textId="77777777" w:rsidTr="000F09B5">
        <w:tc>
          <w:tcPr>
            <w:tcW w:w="567" w:type="dxa"/>
            <w:shd w:val="clear" w:color="auto" w:fill="FFFFFF"/>
            <w:tcMar>
              <w:top w:w="0" w:type="dxa"/>
              <w:left w:w="85" w:type="dxa"/>
              <w:bottom w:w="0" w:type="dxa"/>
              <w:right w:w="85" w:type="dxa"/>
            </w:tcMar>
          </w:tcPr>
          <w:p w14:paraId="57312C68" w14:textId="77777777" w:rsidR="006611EE" w:rsidRPr="00261B7A" w:rsidRDefault="006611EE" w:rsidP="000F09B5">
            <w:pPr>
              <w:pStyle w:val="TableText"/>
              <w:spacing w:before="40" w:after="40"/>
              <w:rPr>
                <w:rFonts w:cs="Calibri"/>
                <w:szCs w:val="16"/>
              </w:rPr>
            </w:pPr>
            <w:r w:rsidRPr="00261B7A">
              <w:rPr>
                <w:rFonts w:cs="Calibri"/>
                <w:szCs w:val="16"/>
              </w:rPr>
              <w:t>1.A.2.d</w:t>
            </w:r>
          </w:p>
        </w:tc>
        <w:tc>
          <w:tcPr>
            <w:tcW w:w="2552" w:type="dxa"/>
            <w:shd w:val="clear" w:color="auto" w:fill="FFFFFF"/>
            <w:tcMar>
              <w:top w:w="0" w:type="dxa"/>
              <w:left w:w="85" w:type="dxa"/>
              <w:bottom w:w="0" w:type="dxa"/>
              <w:right w:w="85" w:type="dxa"/>
            </w:tcMar>
          </w:tcPr>
          <w:p w14:paraId="14817657" w14:textId="77777777" w:rsidR="006611EE" w:rsidRPr="00261B7A" w:rsidRDefault="006611EE" w:rsidP="000F09B5">
            <w:pPr>
              <w:pStyle w:val="TableText"/>
              <w:spacing w:before="40" w:after="40"/>
              <w:rPr>
                <w:rFonts w:cs="Calibri"/>
                <w:szCs w:val="16"/>
              </w:rPr>
            </w:pPr>
            <w:r w:rsidRPr="00261B7A">
              <w:rPr>
                <w:rFonts w:cs="Calibri"/>
                <w:szCs w:val="16"/>
              </w:rPr>
              <w:t>Manufacturing Industries and Construction – Pulp, Paper and Print Gaseous Fuels</w:t>
            </w:r>
          </w:p>
        </w:tc>
        <w:tc>
          <w:tcPr>
            <w:tcW w:w="510" w:type="dxa"/>
            <w:shd w:val="clear" w:color="auto" w:fill="FFFFFF"/>
            <w:tcMar>
              <w:top w:w="0" w:type="dxa"/>
              <w:left w:w="85" w:type="dxa"/>
              <w:bottom w:w="0" w:type="dxa"/>
              <w:right w:w="85" w:type="dxa"/>
            </w:tcMar>
          </w:tcPr>
          <w:p w14:paraId="45A591F1"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7BDC9613" w14:textId="77777777" w:rsidR="006611EE" w:rsidRPr="00261B7A" w:rsidRDefault="006611EE" w:rsidP="000F09B5">
            <w:pPr>
              <w:pStyle w:val="TableText"/>
              <w:spacing w:before="40" w:after="40"/>
              <w:jc w:val="right"/>
              <w:rPr>
                <w:rFonts w:cs="Calibri"/>
                <w:szCs w:val="16"/>
              </w:rPr>
            </w:pPr>
            <w:r w:rsidRPr="00261B7A">
              <w:rPr>
                <w:rFonts w:cs="Calibri"/>
                <w:szCs w:val="16"/>
              </w:rPr>
              <w:t>347.6</w:t>
            </w:r>
          </w:p>
        </w:tc>
        <w:tc>
          <w:tcPr>
            <w:tcW w:w="851" w:type="dxa"/>
            <w:shd w:val="clear" w:color="auto" w:fill="FFFFFF"/>
            <w:tcMar>
              <w:top w:w="0" w:type="dxa"/>
              <w:left w:w="85" w:type="dxa"/>
              <w:bottom w:w="0" w:type="dxa"/>
              <w:right w:w="85" w:type="dxa"/>
            </w:tcMar>
          </w:tcPr>
          <w:p w14:paraId="58765AB3" w14:textId="77777777" w:rsidR="006611EE" w:rsidRPr="00261B7A" w:rsidRDefault="006611EE" w:rsidP="000F09B5">
            <w:pPr>
              <w:pStyle w:val="TableText"/>
              <w:spacing w:before="40" w:after="40"/>
              <w:jc w:val="right"/>
              <w:rPr>
                <w:rFonts w:cs="Calibri"/>
                <w:szCs w:val="16"/>
              </w:rPr>
            </w:pPr>
            <w:r w:rsidRPr="00261B7A">
              <w:rPr>
                <w:rFonts w:cs="Calibri"/>
                <w:szCs w:val="16"/>
              </w:rPr>
              <w:t>194.9</w:t>
            </w:r>
          </w:p>
        </w:tc>
        <w:tc>
          <w:tcPr>
            <w:tcW w:w="680" w:type="dxa"/>
            <w:shd w:val="clear" w:color="auto" w:fill="FFFFFF"/>
            <w:tcMar>
              <w:top w:w="0" w:type="dxa"/>
              <w:left w:w="85" w:type="dxa"/>
              <w:bottom w:w="0" w:type="dxa"/>
              <w:right w:w="85" w:type="dxa"/>
            </w:tcMar>
          </w:tcPr>
          <w:p w14:paraId="4F827259" w14:textId="77777777" w:rsidR="006611EE" w:rsidRPr="00261B7A" w:rsidRDefault="006611EE" w:rsidP="000F09B5">
            <w:pPr>
              <w:pStyle w:val="TableText"/>
              <w:spacing w:before="40" w:after="40"/>
              <w:jc w:val="right"/>
              <w:rPr>
                <w:rFonts w:cs="Calibri"/>
                <w:szCs w:val="16"/>
              </w:rPr>
            </w:pPr>
            <w:r w:rsidRPr="00261B7A">
              <w:rPr>
                <w:rFonts w:cs="Calibri"/>
                <w:szCs w:val="16"/>
              </w:rPr>
              <w:t>0.003</w:t>
            </w:r>
          </w:p>
        </w:tc>
        <w:tc>
          <w:tcPr>
            <w:tcW w:w="680" w:type="dxa"/>
            <w:shd w:val="clear" w:color="auto" w:fill="FFFFFF"/>
            <w:tcMar>
              <w:top w:w="0" w:type="dxa"/>
              <w:left w:w="85" w:type="dxa"/>
              <w:bottom w:w="0" w:type="dxa"/>
              <w:right w:w="85" w:type="dxa"/>
            </w:tcMar>
          </w:tcPr>
          <w:p w14:paraId="5A699AB2" w14:textId="77777777" w:rsidR="006611EE" w:rsidRPr="00261B7A" w:rsidRDefault="006611EE" w:rsidP="000F09B5">
            <w:pPr>
              <w:pStyle w:val="TableText"/>
              <w:spacing w:before="40" w:after="40"/>
              <w:jc w:val="right"/>
              <w:rPr>
                <w:rFonts w:cs="Calibri"/>
                <w:szCs w:val="16"/>
              </w:rPr>
            </w:pPr>
            <w:r w:rsidRPr="00261B7A">
              <w:rPr>
                <w:rFonts w:cs="Calibri"/>
                <w:szCs w:val="16"/>
              </w:rPr>
              <w:t>0.3</w:t>
            </w:r>
          </w:p>
        </w:tc>
        <w:tc>
          <w:tcPr>
            <w:tcW w:w="680" w:type="dxa"/>
            <w:shd w:val="clear" w:color="auto" w:fill="FFFFFF"/>
            <w:tcMar>
              <w:top w:w="0" w:type="dxa"/>
              <w:left w:w="85" w:type="dxa"/>
              <w:bottom w:w="0" w:type="dxa"/>
              <w:right w:w="85" w:type="dxa"/>
            </w:tcMar>
          </w:tcPr>
          <w:p w14:paraId="20607AC1" w14:textId="77777777" w:rsidR="006611EE" w:rsidRPr="00261B7A" w:rsidRDefault="006611EE" w:rsidP="000F09B5">
            <w:pPr>
              <w:pStyle w:val="TableText"/>
              <w:spacing w:before="40" w:after="40"/>
              <w:jc w:val="right"/>
              <w:rPr>
                <w:rFonts w:cs="Calibri"/>
                <w:szCs w:val="16"/>
              </w:rPr>
            </w:pPr>
            <w:r w:rsidRPr="00261B7A">
              <w:rPr>
                <w:rFonts w:cs="Calibri"/>
                <w:szCs w:val="16"/>
              </w:rPr>
              <w:t>92.3</w:t>
            </w:r>
          </w:p>
        </w:tc>
      </w:tr>
      <w:tr w:rsidR="006611EE" w:rsidRPr="00261B7A" w14:paraId="123678CE" w14:textId="77777777" w:rsidTr="000F09B5">
        <w:tc>
          <w:tcPr>
            <w:tcW w:w="567" w:type="dxa"/>
            <w:shd w:val="clear" w:color="auto" w:fill="FFFFFF"/>
            <w:tcMar>
              <w:top w:w="0" w:type="dxa"/>
              <w:left w:w="85" w:type="dxa"/>
              <w:bottom w:w="0" w:type="dxa"/>
              <w:right w:w="85" w:type="dxa"/>
            </w:tcMar>
          </w:tcPr>
          <w:p w14:paraId="5409CFE1" w14:textId="77777777" w:rsidR="006611EE" w:rsidRPr="00261B7A" w:rsidRDefault="006611EE" w:rsidP="000F09B5">
            <w:pPr>
              <w:pStyle w:val="TableText"/>
              <w:spacing w:before="40" w:after="40"/>
              <w:rPr>
                <w:rFonts w:cs="Calibri"/>
                <w:szCs w:val="16"/>
              </w:rPr>
            </w:pPr>
            <w:r w:rsidRPr="00261B7A">
              <w:rPr>
                <w:rFonts w:cs="Calibri"/>
                <w:szCs w:val="16"/>
              </w:rPr>
              <w:t>3.A.4</w:t>
            </w:r>
          </w:p>
        </w:tc>
        <w:tc>
          <w:tcPr>
            <w:tcW w:w="2552" w:type="dxa"/>
            <w:shd w:val="clear" w:color="auto" w:fill="FFFFFF"/>
            <w:tcMar>
              <w:top w:w="0" w:type="dxa"/>
              <w:left w:w="85" w:type="dxa"/>
              <w:bottom w:w="0" w:type="dxa"/>
              <w:right w:w="85" w:type="dxa"/>
            </w:tcMar>
          </w:tcPr>
          <w:p w14:paraId="1778C435" w14:textId="77777777" w:rsidR="006611EE" w:rsidRPr="00261B7A" w:rsidRDefault="006611EE" w:rsidP="000F09B5">
            <w:pPr>
              <w:pStyle w:val="TableText"/>
              <w:spacing w:before="40" w:after="40"/>
              <w:rPr>
                <w:rFonts w:cs="Calibri"/>
                <w:szCs w:val="16"/>
              </w:rPr>
            </w:pPr>
            <w:r w:rsidRPr="00261B7A">
              <w:rPr>
                <w:rFonts w:cs="Calibri"/>
                <w:szCs w:val="16"/>
              </w:rPr>
              <w:t>Other Livestock – Goats</w:t>
            </w:r>
          </w:p>
        </w:tc>
        <w:tc>
          <w:tcPr>
            <w:tcW w:w="510" w:type="dxa"/>
            <w:shd w:val="clear" w:color="auto" w:fill="FFFFFF"/>
            <w:tcMar>
              <w:top w:w="0" w:type="dxa"/>
              <w:left w:w="85" w:type="dxa"/>
              <w:bottom w:w="0" w:type="dxa"/>
              <w:right w:w="85" w:type="dxa"/>
            </w:tcMar>
          </w:tcPr>
          <w:p w14:paraId="0F0BD416" w14:textId="77777777" w:rsidR="006611EE" w:rsidRPr="00261B7A" w:rsidRDefault="006611EE" w:rsidP="000F09B5">
            <w:pPr>
              <w:pStyle w:val="TableText"/>
              <w:spacing w:before="40" w:after="40"/>
              <w:jc w:val="center"/>
              <w:rPr>
                <w:rFonts w:cs="Calibri"/>
                <w:szCs w:val="16"/>
              </w:rPr>
            </w:pPr>
            <w:r w:rsidRPr="00261B7A">
              <w:rPr>
                <w:rFonts w:cs="Calibri"/>
                <w:szCs w:val="16"/>
              </w:rPr>
              <w:t>CH</w:t>
            </w:r>
            <w:r w:rsidRPr="00261B7A">
              <w:rPr>
                <w:rFonts w:cs="Calibri"/>
                <w:szCs w:val="16"/>
                <w:vertAlign w:val="subscript"/>
              </w:rPr>
              <w:t>4</w:t>
            </w:r>
          </w:p>
        </w:tc>
        <w:tc>
          <w:tcPr>
            <w:tcW w:w="851" w:type="dxa"/>
            <w:shd w:val="clear" w:color="auto" w:fill="FFFFFF"/>
            <w:tcMar>
              <w:top w:w="0" w:type="dxa"/>
              <w:left w:w="85" w:type="dxa"/>
              <w:bottom w:w="0" w:type="dxa"/>
              <w:right w:w="85" w:type="dxa"/>
            </w:tcMar>
          </w:tcPr>
          <w:p w14:paraId="53D4179F" w14:textId="77777777" w:rsidR="006611EE" w:rsidRPr="00261B7A" w:rsidRDefault="006611EE" w:rsidP="000F09B5">
            <w:pPr>
              <w:pStyle w:val="TableText"/>
              <w:spacing w:before="40" w:after="40"/>
              <w:jc w:val="right"/>
              <w:rPr>
                <w:rFonts w:cs="Calibri"/>
                <w:szCs w:val="16"/>
              </w:rPr>
            </w:pPr>
            <w:r w:rsidRPr="00261B7A">
              <w:rPr>
                <w:rFonts w:cs="Calibri"/>
                <w:szCs w:val="16"/>
              </w:rPr>
              <w:t>196.6</w:t>
            </w:r>
          </w:p>
        </w:tc>
        <w:tc>
          <w:tcPr>
            <w:tcW w:w="851" w:type="dxa"/>
            <w:shd w:val="clear" w:color="auto" w:fill="FFFFFF"/>
            <w:tcMar>
              <w:top w:w="0" w:type="dxa"/>
              <w:left w:w="85" w:type="dxa"/>
              <w:bottom w:w="0" w:type="dxa"/>
              <w:right w:w="85" w:type="dxa"/>
            </w:tcMar>
          </w:tcPr>
          <w:p w14:paraId="0A9B217B" w14:textId="77777777" w:rsidR="006611EE" w:rsidRPr="00261B7A" w:rsidRDefault="006611EE" w:rsidP="000F09B5">
            <w:pPr>
              <w:pStyle w:val="TableText"/>
              <w:spacing w:before="40" w:after="40"/>
              <w:jc w:val="right"/>
              <w:rPr>
                <w:rFonts w:cs="Calibri"/>
                <w:szCs w:val="16"/>
              </w:rPr>
            </w:pPr>
            <w:r w:rsidRPr="00261B7A">
              <w:rPr>
                <w:rFonts w:cs="Calibri"/>
                <w:szCs w:val="16"/>
              </w:rPr>
              <w:t>26.1</w:t>
            </w:r>
          </w:p>
        </w:tc>
        <w:tc>
          <w:tcPr>
            <w:tcW w:w="680" w:type="dxa"/>
            <w:shd w:val="clear" w:color="auto" w:fill="FFFFFF"/>
            <w:tcMar>
              <w:top w:w="0" w:type="dxa"/>
              <w:left w:w="85" w:type="dxa"/>
              <w:bottom w:w="0" w:type="dxa"/>
              <w:right w:w="85" w:type="dxa"/>
            </w:tcMar>
          </w:tcPr>
          <w:p w14:paraId="7C6022AD" w14:textId="77777777" w:rsidR="006611EE" w:rsidRPr="00261B7A" w:rsidRDefault="006611EE" w:rsidP="000F09B5">
            <w:pPr>
              <w:pStyle w:val="TableText"/>
              <w:spacing w:before="40" w:after="40"/>
              <w:jc w:val="right"/>
              <w:rPr>
                <w:rFonts w:cs="Calibri"/>
                <w:szCs w:val="16"/>
              </w:rPr>
            </w:pPr>
            <w:r w:rsidRPr="00261B7A">
              <w:rPr>
                <w:rFonts w:cs="Calibri"/>
                <w:szCs w:val="16"/>
              </w:rPr>
              <w:t>0.002</w:t>
            </w:r>
          </w:p>
        </w:tc>
        <w:tc>
          <w:tcPr>
            <w:tcW w:w="680" w:type="dxa"/>
            <w:shd w:val="clear" w:color="auto" w:fill="FFFFFF"/>
            <w:tcMar>
              <w:top w:w="0" w:type="dxa"/>
              <w:left w:w="85" w:type="dxa"/>
              <w:bottom w:w="0" w:type="dxa"/>
              <w:right w:w="85" w:type="dxa"/>
            </w:tcMar>
          </w:tcPr>
          <w:p w14:paraId="0F1F537E" w14:textId="77777777" w:rsidR="006611EE" w:rsidRPr="00261B7A" w:rsidRDefault="006611EE" w:rsidP="000F09B5">
            <w:pPr>
              <w:pStyle w:val="TableText"/>
              <w:spacing w:before="40" w:after="40"/>
              <w:jc w:val="right"/>
              <w:rPr>
                <w:rFonts w:cs="Calibri"/>
                <w:szCs w:val="16"/>
              </w:rPr>
            </w:pPr>
            <w:r w:rsidRPr="00261B7A">
              <w:rPr>
                <w:rFonts w:cs="Calibri"/>
                <w:szCs w:val="16"/>
              </w:rPr>
              <w:t>0.3</w:t>
            </w:r>
          </w:p>
        </w:tc>
        <w:tc>
          <w:tcPr>
            <w:tcW w:w="680" w:type="dxa"/>
            <w:shd w:val="clear" w:color="auto" w:fill="FFFFFF"/>
            <w:tcMar>
              <w:top w:w="0" w:type="dxa"/>
              <w:left w:w="85" w:type="dxa"/>
              <w:bottom w:w="0" w:type="dxa"/>
              <w:right w:w="85" w:type="dxa"/>
            </w:tcMar>
          </w:tcPr>
          <w:p w14:paraId="3FD2BA00" w14:textId="77777777" w:rsidR="006611EE" w:rsidRPr="00261B7A" w:rsidRDefault="006611EE" w:rsidP="000F09B5">
            <w:pPr>
              <w:pStyle w:val="TableText"/>
              <w:spacing w:before="40" w:after="40"/>
              <w:jc w:val="right"/>
              <w:rPr>
                <w:rFonts w:cs="Calibri"/>
                <w:szCs w:val="16"/>
              </w:rPr>
            </w:pPr>
            <w:r w:rsidRPr="00261B7A">
              <w:rPr>
                <w:rFonts w:cs="Calibri"/>
                <w:szCs w:val="16"/>
              </w:rPr>
              <w:t>92.6</w:t>
            </w:r>
          </w:p>
        </w:tc>
      </w:tr>
      <w:tr w:rsidR="006611EE" w:rsidRPr="00261B7A" w14:paraId="4ADE51FF" w14:textId="77777777" w:rsidTr="000F09B5">
        <w:tc>
          <w:tcPr>
            <w:tcW w:w="567" w:type="dxa"/>
            <w:shd w:val="clear" w:color="auto" w:fill="FFFFFF"/>
            <w:tcMar>
              <w:top w:w="0" w:type="dxa"/>
              <w:left w:w="85" w:type="dxa"/>
              <w:bottom w:w="0" w:type="dxa"/>
              <w:right w:w="85" w:type="dxa"/>
            </w:tcMar>
          </w:tcPr>
          <w:p w14:paraId="4EC53267" w14:textId="77777777" w:rsidR="006611EE" w:rsidRPr="00261B7A" w:rsidRDefault="006611EE" w:rsidP="000F09B5">
            <w:pPr>
              <w:pStyle w:val="TableText"/>
              <w:spacing w:before="40" w:after="40"/>
              <w:rPr>
                <w:rFonts w:cs="Calibri"/>
                <w:szCs w:val="16"/>
              </w:rPr>
            </w:pPr>
            <w:r w:rsidRPr="00261B7A">
              <w:rPr>
                <w:rFonts w:cs="Calibri"/>
                <w:szCs w:val="16"/>
              </w:rPr>
              <w:t>1.A.2.g.v</w:t>
            </w:r>
          </w:p>
        </w:tc>
        <w:tc>
          <w:tcPr>
            <w:tcW w:w="2552" w:type="dxa"/>
            <w:shd w:val="clear" w:color="auto" w:fill="FFFFFF"/>
            <w:tcMar>
              <w:top w:w="0" w:type="dxa"/>
              <w:left w:w="85" w:type="dxa"/>
              <w:bottom w:w="0" w:type="dxa"/>
              <w:right w:w="85" w:type="dxa"/>
            </w:tcMar>
          </w:tcPr>
          <w:p w14:paraId="7E2B82C4" w14:textId="77777777" w:rsidR="006611EE" w:rsidRPr="00261B7A" w:rsidRDefault="006611EE" w:rsidP="000F09B5">
            <w:pPr>
              <w:pStyle w:val="TableText"/>
              <w:spacing w:before="40" w:after="40"/>
              <w:rPr>
                <w:rFonts w:cs="Calibri"/>
                <w:szCs w:val="16"/>
              </w:rPr>
            </w:pPr>
            <w:r w:rsidRPr="00261B7A">
              <w:rPr>
                <w:rFonts w:cs="Calibri"/>
                <w:szCs w:val="16"/>
              </w:rPr>
              <w:t>Other (please specify) – Construction</w:t>
            </w:r>
          </w:p>
        </w:tc>
        <w:tc>
          <w:tcPr>
            <w:tcW w:w="510" w:type="dxa"/>
            <w:shd w:val="clear" w:color="auto" w:fill="FFFFFF"/>
            <w:tcMar>
              <w:top w:w="0" w:type="dxa"/>
              <w:left w:w="85" w:type="dxa"/>
              <w:bottom w:w="0" w:type="dxa"/>
              <w:right w:w="85" w:type="dxa"/>
            </w:tcMar>
          </w:tcPr>
          <w:p w14:paraId="664481E0"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6D376522" w14:textId="77777777" w:rsidR="006611EE" w:rsidRPr="00261B7A" w:rsidRDefault="006611EE" w:rsidP="000F09B5">
            <w:pPr>
              <w:pStyle w:val="TableText"/>
              <w:spacing w:before="40" w:after="40"/>
              <w:jc w:val="right"/>
              <w:rPr>
                <w:rFonts w:cs="Calibri"/>
                <w:szCs w:val="16"/>
              </w:rPr>
            </w:pPr>
            <w:r w:rsidRPr="00261B7A">
              <w:rPr>
                <w:rFonts w:cs="Calibri"/>
                <w:szCs w:val="16"/>
              </w:rPr>
              <w:t>245.0</w:t>
            </w:r>
          </w:p>
        </w:tc>
        <w:tc>
          <w:tcPr>
            <w:tcW w:w="851" w:type="dxa"/>
            <w:shd w:val="clear" w:color="auto" w:fill="FFFFFF"/>
            <w:tcMar>
              <w:top w:w="0" w:type="dxa"/>
              <w:left w:w="85" w:type="dxa"/>
              <w:bottom w:w="0" w:type="dxa"/>
              <w:right w:w="85" w:type="dxa"/>
            </w:tcMar>
          </w:tcPr>
          <w:p w14:paraId="012FC5BD" w14:textId="77777777" w:rsidR="006611EE" w:rsidRPr="00261B7A" w:rsidRDefault="006611EE" w:rsidP="000F09B5">
            <w:pPr>
              <w:pStyle w:val="TableText"/>
              <w:spacing w:before="40" w:after="40"/>
              <w:jc w:val="right"/>
              <w:rPr>
                <w:rFonts w:cs="Calibri"/>
                <w:szCs w:val="16"/>
              </w:rPr>
            </w:pPr>
            <w:r w:rsidRPr="00261B7A">
              <w:rPr>
                <w:rFonts w:cs="Calibri"/>
                <w:szCs w:val="16"/>
              </w:rPr>
              <w:t>522.6</w:t>
            </w:r>
          </w:p>
        </w:tc>
        <w:tc>
          <w:tcPr>
            <w:tcW w:w="680" w:type="dxa"/>
            <w:shd w:val="clear" w:color="auto" w:fill="FFFFFF"/>
            <w:tcMar>
              <w:top w:w="0" w:type="dxa"/>
              <w:left w:w="85" w:type="dxa"/>
              <w:bottom w:w="0" w:type="dxa"/>
              <w:right w:w="85" w:type="dxa"/>
            </w:tcMar>
          </w:tcPr>
          <w:p w14:paraId="20C184DB" w14:textId="77777777" w:rsidR="006611EE" w:rsidRPr="00261B7A" w:rsidRDefault="006611EE" w:rsidP="000F09B5">
            <w:pPr>
              <w:pStyle w:val="TableText"/>
              <w:spacing w:before="40" w:after="40"/>
              <w:jc w:val="right"/>
              <w:rPr>
                <w:rFonts w:cs="Calibri"/>
                <w:szCs w:val="16"/>
              </w:rPr>
            </w:pPr>
            <w:r w:rsidRPr="00261B7A">
              <w:rPr>
                <w:rFonts w:cs="Calibri"/>
                <w:szCs w:val="16"/>
              </w:rPr>
              <w:t>0.002</w:t>
            </w:r>
          </w:p>
        </w:tc>
        <w:tc>
          <w:tcPr>
            <w:tcW w:w="680" w:type="dxa"/>
            <w:shd w:val="clear" w:color="auto" w:fill="FFFFFF"/>
            <w:tcMar>
              <w:top w:w="0" w:type="dxa"/>
              <w:left w:w="85" w:type="dxa"/>
              <w:bottom w:w="0" w:type="dxa"/>
              <w:right w:w="85" w:type="dxa"/>
            </w:tcMar>
          </w:tcPr>
          <w:p w14:paraId="3B128AF2" w14:textId="77777777" w:rsidR="006611EE" w:rsidRPr="00261B7A" w:rsidRDefault="006611EE" w:rsidP="000F09B5">
            <w:pPr>
              <w:pStyle w:val="TableText"/>
              <w:spacing w:before="40" w:after="40"/>
              <w:jc w:val="right"/>
              <w:rPr>
                <w:rFonts w:cs="Calibri"/>
                <w:szCs w:val="16"/>
              </w:rPr>
            </w:pPr>
            <w:r w:rsidRPr="00261B7A">
              <w:rPr>
                <w:rFonts w:cs="Calibri"/>
                <w:szCs w:val="16"/>
              </w:rPr>
              <w:t>0.3</w:t>
            </w:r>
          </w:p>
        </w:tc>
        <w:tc>
          <w:tcPr>
            <w:tcW w:w="680" w:type="dxa"/>
            <w:shd w:val="clear" w:color="auto" w:fill="FFFFFF"/>
            <w:tcMar>
              <w:top w:w="0" w:type="dxa"/>
              <w:left w:w="85" w:type="dxa"/>
              <w:bottom w:w="0" w:type="dxa"/>
              <w:right w:w="85" w:type="dxa"/>
            </w:tcMar>
          </w:tcPr>
          <w:p w14:paraId="51692C89" w14:textId="77777777" w:rsidR="006611EE" w:rsidRPr="00261B7A" w:rsidRDefault="006611EE" w:rsidP="000F09B5">
            <w:pPr>
              <w:pStyle w:val="TableText"/>
              <w:spacing w:before="40" w:after="40"/>
              <w:jc w:val="right"/>
              <w:rPr>
                <w:rFonts w:cs="Calibri"/>
                <w:szCs w:val="16"/>
              </w:rPr>
            </w:pPr>
            <w:r w:rsidRPr="00261B7A">
              <w:rPr>
                <w:rFonts w:cs="Calibri"/>
                <w:szCs w:val="16"/>
              </w:rPr>
              <w:t>92.9</w:t>
            </w:r>
          </w:p>
        </w:tc>
      </w:tr>
      <w:tr w:rsidR="006611EE" w:rsidRPr="00261B7A" w14:paraId="04E5DC2A" w14:textId="77777777" w:rsidTr="000F09B5">
        <w:tc>
          <w:tcPr>
            <w:tcW w:w="567" w:type="dxa"/>
            <w:shd w:val="clear" w:color="auto" w:fill="FFFFFF"/>
            <w:tcMar>
              <w:top w:w="0" w:type="dxa"/>
              <w:left w:w="85" w:type="dxa"/>
              <w:bottom w:w="0" w:type="dxa"/>
              <w:right w:w="85" w:type="dxa"/>
            </w:tcMar>
          </w:tcPr>
          <w:p w14:paraId="4DFC6F64" w14:textId="77777777" w:rsidR="006611EE" w:rsidRPr="00261B7A" w:rsidRDefault="006611EE" w:rsidP="000F09B5">
            <w:pPr>
              <w:pStyle w:val="TableText"/>
              <w:spacing w:before="40" w:after="40"/>
              <w:rPr>
                <w:rFonts w:cs="Calibri"/>
                <w:szCs w:val="16"/>
              </w:rPr>
            </w:pPr>
            <w:r w:rsidRPr="00261B7A">
              <w:rPr>
                <w:rFonts w:cs="Calibri"/>
                <w:szCs w:val="16"/>
              </w:rPr>
              <w:t>3.D.1.3</w:t>
            </w:r>
          </w:p>
        </w:tc>
        <w:tc>
          <w:tcPr>
            <w:tcW w:w="2552" w:type="dxa"/>
            <w:shd w:val="clear" w:color="auto" w:fill="FFFFFF"/>
            <w:tcMar>
              <w:top w:w="0" w:type="dxa"/>
              <w:left w:w="85" w:type="dxa"/>
              <w:bottom w:w="0" w:type="dxa"/>
              <w:right w:w="85" w:type="dxa"/>
            </w:tcMar>
          </w:tcPr>
          <w:p w14:paraId="684A1B4E" w14:textId="77777777" w:rsidR="006611EE" w:rsidRPr="00261B7A" w:rsidRDefault="006611EE" w:rsidP="000F09B5">
            <w:pPr>
              <w:pStyle w:val="TableText"/>
              <w:spacing w:before="40" w:after="40"/>
              <w:rPr>
                <w:rFonts w:cs="Calibri"/>
                <w:szCs w:val="16"/>
              </w:rPr>
            </w:pPr>
            <w:r w:rsidRPr="00261B7A">
              <w:rPr>
                <w:rFonts w:cs="Calibri"/>
                <w:szCs w:val="16"/>
              </w:rPr>
              <w:t>Direct N</w:t>
            </w:r>
            <w:r w:rsidRPr="00261B7A">
              <w:rPr>
                <w:rFonts w:cs="Calibri"/>
                <w:szCs w:val="16"/>
                <w:vertAlign w:val="subscript"/>
              </w:rPr>
              <w:t>2</w:t>
            </w:r>
            <w:r w:rsidRPr="00261B7A">
              <w:rPr>
                <w:rFonts w:cs="Calibri"/>
                <w:szCs w:val="16"/>
              </w:rPr>
              <w:t>O Emissions From Managed Soils – Urine and Dung Deposited by Grazing Animals</w:t>
            </w:r>
          </w:p>
        </w:tc>
        <w:tc>
          <w:tcPr>
            <w:tcW w:w="510" w:type="dxa"/>
            <w:shd w:val="clear" w:color="auto" w:fill="FFFFFF"/>
            <w:tcMar>
              <w:top w:w="0" w:type="dxa"/>
              <w:left w:w="85" w:type="dxa"/>
              <w:bottom w:w="0" w:type="dxa"/>
              <w:right w:w="85" w:type="dxa"/>
            </w:tcMar>
          </w:tcPr>
          <w:p w14:paraId="7E066037" w14:textId="77777777" w:rsidR="006611EE" w:rsidRPr="00261B7A" w:rsidRDefault="006611EE" w:rsidP="000F09B5">
            <w:pPr>
              <w:pStyle w:val="TableText"/>
              <w:spacing w:before="40" w:after="40"/>
              <w:jc w:val="center"/>
              <w:rPr>
                <w:rFonts w:cs="Calibri"/>
                <w:szCs w:val="16"/>
              </w:rPr>
            </w:pPr>
            <w:r w:rsidRPr="00261B7A">
              <w:rPr>
                <w:rFonts w:cs="Calibri"/>
                <w:szCs w:val="16"/>
              </w:rPr>
              <w:t>N</w:t>
            </w:r>
            <w:r w:rsidRPr="00261B7A">
              <w:rPr>
                <w:rFonts w:cs="Calibri"/>
                <w:szCs w:val="16"/>
                <w:vertAlign w:val="subscript"/>
              </w:rPr>
              <w:t>2</w:t>
            </w:r>
            <w:r w:rsidRPr="00261B7A">
              <w:rPr>
                <w:rFonts w:cs="Calibri"/>
                <w:szCs w:val="16"/>
              </w:rPr>
              <w:t>O</w:t>
            </w:r>
          </w:p>
        </w:tc>
        <w:tc>
          <w:tcPr>
            <w:tcW w:w="851" w:type="dxa"/>
            <w:shd w:val="clear" w:color="auto" w:fill="FFFFFF"/>
            <w:tcMar>
              <w:top w:w="0" w:type="dxa"/>
              <w:left w:w="85" w:type="dxa"/>
              <w:bottom w:w="0" w:type="dxa"/>
              <w:right w:w="85" w:type="dxa"/>
            </w:tcMar>
          </w:tcPr>
          <w:p w14:paraId="55A618DD" w14:textId="77777777" w:rsidR="006611EE" w:rsidRPr="00261B7A" w:rsidRDefault="006611EE" w:rsidP="000F09B5">
            <w:pPr>
              <w:pStyle w:val="TableText"/>
              <w:spacing w:before="40" w:after="40"/>
              <w:jc w:val="right"/>
              <w:rPr>
                <w:rFonts w:cs="Calibri"/>
                <w:szCs w:val="16"/>
              </w:rPr>
            </w:pPr>
            <w:r w:rsidRPr="00261B7A">
              <w:rPr>
                <w:rFonts w:cs="Calibri"/>
                <w:szCs w:val="16"/>
              </w:rPr>
              <w:t>2,959.6</w:t>
            </w:r>
          </w:p>
        </w:tc>
        <w:tc>
          <w:tcPr>
            <w:tcW w:w="851" w:type="dxa"/>
            <w:shd w:val="clear" w:color="auto" w:fill="FFFFFF"/>
            <w:tcMar>
              <w:top w:w="0" w:type="dxa"/>
              <w:left w:w="85" w:type="dxa"/>
              <w:bottom w:w="0" w:type="dxa"/>
              <w:right w:w="85" w:type="dxa"/>
            </w:tcMar>
          </w:tcPr>
          <w:p w14:paraId="6014ABED" w14:textId="77777777" w:rsidR="006611EE" w:rsidRPr="00261B7A" w:rsidRDefault="006611EE" w:rsidP="000F09B5">
            <w:pPr>
              <w:pStyle w:val="TableText"/>
              <w:spacing w:before="40" w:after="40"/>
              <w:jc w:val="right"/>
              <w:rPr>
                <w:rFonts w:cs="Calibri"/>
                <w:szCs w:val="16"/>
              </w:rPr>
            </w:pPr>
            <w:r w:rsidRPr="00261B7A">
              <w:rPr>
                <w:rFonts w:cs="Calibri"/>
                <w:szCs w:val="16"/>
              </w:rPr>
              <w:t>3,510.0</w:t>
            </w:r>
          </w:p>
        </w:tc>
        <w:tc>
          <w:tcPr>
            <w:tcW w:w="680" w:type="dxa"/>
            <w:shd w:val="clear" w:color="auto" w:fill="FFFFFF"/>
            <w:tcMar>
              <w:top w:w="0" w:type="dxa"/>
              <w:left w:w="85" w:type="dxa"/>
              <w:bottom w:w="0" w:type="dxa"/>
              <w:right w:w="85" w:type="dxa"/>
            </w:tcMar>
          </w:tcPr>
          <w:p w14:paraId="1414948B" w14:textId="77777777" w:rsidR="006611EE" w:rsidRPr="00261B7A" w:rsidRDefault="006611EE" w:rsidP="000F09B5">
            <w:pPr>
              <w:pStyle w:val="TableText"/>
              <w:spacing w:before="40" w:after="40"/>
              <w:jc w:val="right"/>
              <w:rPr>
                <w:rFonts w:cs="Calibri"/>
                <w:szCs w:val="16"/>
              </w:rPr>
            </w:pPr>
            <w:r w:rsidRPr="00261B7A">
              <w:rPr>
                <w:rFonts w:cs="Calibri"/>
                <w:szCs w:val="16"/>
              </w:rPr>
              <w:t>0.002</w:t>
            </w:r>
          </w:p>
        </w:tc>
        <w:tc>
          <w:tcPr>
            <w:tcW w:w="680" w:type="dxa"/>
            <w:shd w:val="clear" w:color="auto" w:fill="FFFFFF"/>
            <w:tcMar>
              <w:top w:w="0" w:type="dxa"/>
              <w:left w:w="85" w:type="dxa"/>
              <w:bottom w:w="0" w:type="dxa"/>
              <w:right w:w="85" w:type="dxa"/>
            </w:tcMar>
          </w:tcPr>
          <w:p w14:paraId="74934C1E" w14:textId="77777777" w:rsidR="006611EE" w:rsidRPr="00261B7A" w:rsidRDefault="006611EE" w:rsidP="000F09B5">
            <w:pPr>
              <w:pStyle w:val="TableText"/>
              <w:spacing w:before="40" w:after="40"/>
              <w:jc w:val="right"/>
              <w:rPr>
                <w:rFonts w:cs="Calibri"/>
                <w:szCs w:val="16"/>
              </w:rPr>
            </w:pPr>
            <w:r w:rsidRPr="00261B7A">
              <w:rPr>
                <w:rFonts w:cs="Calibri"/>
                <w:szCs w:val="16"/>
              </w:rPr>
              <w:t>0.3</w:t>
            </w:r>
          </w:p>
        </w:tc>
        <w:tc>
          <w:tcPr>
            <w:tcW w:w="680" w:type="dxa"/>
            <w:shd w:val="clear" w:color="auto" w:fill="FFFFFF"/>
            <w:tcMar>
              <w:top w:w="0" w:type="dxa"/>
              <w:left w:w="85" w:type="dxa"/>
              <w:bottom w:w="0" w:type="dxa"/>
              <w:right w:w="85" w:type="dxa"/>
            </w:tcMar>
          </w:tcPr>
          <w:p w14:paraId="51DC20DF" w14:textId="77777777" w:rsidR="006611EE" w:rsidRPr="00261B7A" w:rsidRDefault="006611EE" w:rsidP="000F09B5">
            <w:pPr>
              <w:pStyle w:val="TableText"/>
              <w:spacing w:before="40" w:after="40"/>
              <w:jc w:val="right"/>
              <w:rPr>
                <w:rFonts w:cs="Calibri"/>
                <w:szCs w:val="16"/>
              </w:rPr>
            </w:pPr>
            <w:r w:rsidRPr="00261B7A">
              <w:rPr>
                <w:rFonts w:cs="Calibri"/>
                <w:szCs w:val="16"/>
              </w:rPr>
              <w:t>93.2</w:t>
            </w:r>
          </w:p>
        </w:tc>
      </w:tr>
      <w:tr w:rsidR="006611EE" w:rsidRPr="00261B7A" w14:paraId="630A1B91" w14:textId="77777777" w:rsidTr="000F09B5">
        <w:tc>
          <w:tcPr>
            <w:tcW w:w="567" w:type="dxa"/>
            <w:shd w:val="clear" w:color="auto" w:fill="FFFFFF"/>
            <w:tcMar>
              <w:top w:w="0" w:type="dxa"/>
              <w:left w:w="85" w:type="dxa"/>
              <w:bottom w:w="0" w:type="dxa"/>
              <w:right w:w="85" w:type="dxa"/>
            </w:tcMar>
          </w:tcPr>
          <w:p w14:paraId="013BDFE0" w14:textId="77777777" w:rsidR="006611EE" w:rsidRPr="00261B7A" w:rsidRDefault="006611EE" w:rsidP="000F09B5">
            <w:pPr>
              <w:pStyle w:val="TableText"/>
              <w:spacing w:before="40" w:after="40"/>
              <w:rPr>
                <w:rFonts w:cs="Calibri"/>
                <w:szCs w:val="16"/>
              </w:rPr>
            </w:pPr>
            <w:r w:rsidRPr="00261B7A">
              <w:rPr>
                <w:rFonts w:cs="Calibri"/>
                <w:szCs w:val="16"/>
              </w:rPr>
              <w:t>2.A.1</w:t>
            </w:r>
          </w:p>
        </w:tc>
        <w:tc>
          <w:tcPr>
            <w:tcW w:w="2552" w:type="dxa"/>
            <w:shd w:val="clear" w:color="auto" w:fill="FFFFFF"/>
            <w:tcMar>
              <w:top w:w="0" w:type="dxa"/>
              <w:left w:w="85" w:type="dxa"/>
              <w:bottom w:w="0" w:type="dxa"/>
              <w:right w:w="85" w:type="dxa"/>
            </w:tcMar>
          </w:tcPr>
          <w:p w14:paraId="710832B8" w14:textId="77777777" w:rsidR="006611EE" w:rsidRPr="00261B7A" w:rsidRDefault="006611EE" w:rsidP="000F09B5">
            <w:pPr>
              <w:pStyle w:val="TableText"/>
              <w:spacing w:before="40" w:after="40"/>
              <w:rPr>
                <w:rFonts w:cs="Calibri"/>
                <w:szCs w:val="16"/>
              </w:rPr>
            </w:pPr>
            <w:r w:rsidRPr="00261B7A">
              <w:rPr>
                <w:rFonts w:cs="Calibri"/>
                <w:szCs w:val="16"/>
              </w:rPr>
              <w:t>Mineral Industry – Cement Production</w:t>
            </w:r>
          </w:p>
        </w:tc>
        <w:tc>
          <w:tcPr>
            <w:tcW w:w="510" w:type="dxa"/>
            <w:shd w:val="clear" w:color="auto" w:fill="FFFFFF"/>
            <w:tcMar>
              <w:top w:w="0" w:type="dxa"/>
              <w:left w:w="85" w:type="dxa"/>
              <w:bottom w:w="0" w:type="dxa"/>
              <w:right w:w="85" w:type="dxa"/>
            </w:tcMar>
          </w:tcPr>
          <w:p w14:paraId="628EAC56"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16764F6A" w14:textId="77777777" w:rsidR="006611EE" w:rsidRPr="00261B7A" w:rsidRDefault="006611EE" w:rsidP="000F09B5">
            <w:pPr>
              <w:pStyle w:val="TableText"/>
              <w:spacing w:before="40" w:after="40"/>
              <w:jc w:val="right"/>
              <w:rPr>
                <w:rFonts w:cs="Calibri"/>
                <w:szCs w:val="16"/>
              </w:rPr>
            </w:pPr>
            <w:r w:rsidRPr="00261B7A">
              <w:rPr>
                <w:rFonts w:cs="Calibri"/>
                <w:szCs w:val="16"/>
              </w:rPr>
              <w:t>448.7</w:t>
            </w:r>
          </w:p>
        </w:tc>
        <w:tc>
          <w:tcPr>
            <w:tcW w:w="851" w:type="dxa"/>
            <w:shd w:val="clear" w:color="auto" w:fill="FFFFFF"/>
            <w:tcMar>
              <w:top w:w="0" w:type="dxa"/>
              <w:left w:w="85" w:type="dxa"/>
              <w:bottom w:w="0" w:type="dxa"/>
              <w:right w:w="85" w:type="dxa"/>
            </w:tcMar>
          </w:tcPr>
          <w:p w14:paraId="53D145C3" w14:textId="77777777" w:rsidR="006611EE" w:rsidRPr="00261B7A" w:rsidRDefault="006611EE" w:rsidP="000F09B5">
            <w:pPr>
              <w:pStyle w:val="TableText"/>
              <w:spacing w:before="40" w:after="40"/>
              <w:jc w:val="right"/>
              <w:rPr>
                <w:rFonts w:cs="Calibri"/>
                <w:szCs w:val="16"/>
              </w:rPr>
            </w:pPr>
            <w:r w:rsidRPr="00261B7A">
              <w:rPr>
                <w:rFonts w:cs="Calibri"/>
                <w:szCs w:val="16"/>
              </w:rPr>
              <w:t>369.6</w:t>
            </w:r>
          </w:p>
        </w:tc>
        <w:tc>
          <w:tcPr>
            <w:tcW w:w="680" w:type="dxa"/>
            <w:shd w:val="clear" w:color="auto" w:fill="FFFFFF"/>
            <w:tcMar>
              <w:top w:w="0" w:type="dxa"/>
              <w:left w:w="85" w:type="dxa"/>
              <w:bottom w:w="0" w:type="dxa"/>
              <w:right w:w="85" w:type="dxa"/>
            </w:tcMar>
          </w:tcPr>
          <w:p w14:paraId="1E6E22C8" w14:textId="77777777" w:rsidR="006611EE" w:rsidRPr="00261B7A" w:rsidRDefault="006611EE" w:rsidP="000F09B5">
            <w:pPr>
              <w:pStyle w:val="TableText"/>
              <w:spacing w:before="40" w:after="40"/>
              <w:jc w:val="right"/>
              <w:rPr>
                <w:rFonts w:cs="Calibri"/>
                <w:szCs w:val="16"/>
              </w:rPr>
            </w:pPr>
            <w:r w:rsidRPr="00261B7A">
              <w:rPr>
                <w:rFonts w:cs="Calibri"/>
                <w:szCs w:val="16"/>
              </w:rPr>
              <w:t>0.002</w:t>
            </w:r>
          </w:p>
        </w:tc>
        <w:tc>
          <w:tcPr>
            <w:tcW w:w="680" w:type="dxa"/>
            <w:shd w:val="clear" w:color="auto" w:fill="FFFFFF"/>
            <w:tcMar>
              <w:top w:w="0" w:type="dxa"/>
              <w:left w:w="85" w:type="dxa"/>
              <w:bottom w:w="0" w:type="dxa"/>
              <w:right w:w="85" w:type="dxa"/>
            </w:tcMar>
          </w:tcPr>
          <w:p w14:paraId="02391D70" w14:textId="77777777" w:rsidR="006611EE" w:rsidRPr="00261B7A" w:rsidRDefault="006611EE" w:rsidP="000F09B5">
            <w:pPr>
              <w:pStyle w:val="TableText"/>
              <w:spacing w:before="40" w:after="40"/>
              <w:jc w:val="right"/>
              <w:rPr>
                <w:rFonts w:cs="Calibri"/>
                <w:szCs w:val="16"/>
              </w:rPr>
            </w:pPr>
            <w:r w:rsidRPr="00261B7A">
              <w:rPr>
                <w:rFonts w:cs="Calibri"/>
                <w:szCs w:val="16"/>
              </w:rPr>
              <w:t>0.3</w:t>
            </w:r>
          </w:p>
        </w:tc>
        <w:tc>
          <w:tcPr>
            <w:tcW w:w="680" w:type="dxa"/>
            <w:shd w:val="clear" w:color="auto" w:fill="FFFFFF"/>
            <w:tcMar>
              <w:top w:w="0" w:type="dxa"/>
              <w:left w:w="85" w:type="dxa"/>
              <w:bottom w:w="0" w:type="dxa"/>
              <w:right w:w="85" w:type="dxa"/>
            </w:tcMar>
          </w:tcPr>
          <w:p w14:paraId="642B0FCD" w14:textId="77777777" w:rsidR="006611EE" w:rsidRPr="00261B7A" w:rsidRDefault="006611EE" w:rsidP="000F09B5">
            <w:pPr>
              <w:pStyle w:val="TableText"/>
              <w:spacing w:before="40" w:after="40"/>
              <w:jc w:val="right"/>
              <w:rPr>
                <w:rFonts w:cs="Calibri"/>
                <w:szCs w:val="16"/>
              </w:rPr>
            </w:pPr>
            <w:r w:rsidRPr="00261B7A">
              <w:rPr>
                <w:rFonts w:cs="Calibri"/>
                <w:szCs w:val="16"/>
              </w:rPr>
              <w:t>93.4</w:t>
            </w:r>
          </w:p>
        </w:tc>
      </w:tr>
      <w:tr w:rsidR="006611EE" w:rsidRPr="00261B7A" w14:paraId="5B9ADA46" w14:textId="77777777" w:rsidTr="000F09B5">
        <w:tc>
          <w:tcPr>
            <w:tcW w:w="567" w:type="dxa"/>
            <w:shd w:val="clear" w:color="auto" w:fill="FFFFFF"/>
            <w:tcMar>
              <w:top w:w="0" w:type="dxa"/>
              <w:left w:w="85" w:type="dxa"/>
              <w:bottom w:w="0" w:type="dxa"/>
              <w:right w:w="85" w:type="dxa"/>
            </w:tcMar>
          </w:tcPr>
          <w:p w14:paraId="15D07055" w14:textId="77777777" w:rsidR="006611EE" w:rsidRPr="00261B7A" w:rsidRDefault="006611EE" w:rsidP="000F09B5">
            <w:pPr>
              <w:pStyle w:val="TableText"/>
              <w:spacing w:before="40" w:after="40"/>
              <w:rPr>
                <w:rFonts w:cs="Calibri"/>
                <w:szCs w:val="16"/>
              </w:rPr>
            </w:pPr>
            <w:r w:rsidRPr="00261B7A">
              <w:rPr>
                <w:rFonts w:cs="Calibri"/>
                <w:szCs w:val="16"/>
              </w:rPr>
              <w:t>1.A.3.b</w:t>
            </w:r>
          </w:p>
        </w:tc>
        <w:tc>
          <w:tcPr>
            <w:tcW w:w="2552" w:type="dxa"/>
            <w:shd w:val="clear" w:color="auto" w:fill="FFFFFF"/>
            <w:tcMar>
              <w:top w:w="0" w:type="dxa"/>
              <w:left w:w="85" w:type="dxa"/>
              <w:bottom w:w="0" w:type="dxa"/>
              <w:right w:w="85" w:type="dxa"/>
            </w:tcMar>
          </w:tcPr>
          <w:p w14:paraId="78721A82" w14:textId="77777777" w:rsidR="006611EE" w:rsidRPr="00261B7A" w:rsidRDefault="006611EE" w:rsidP="000F09B5">
            <w:pPr>
              <w:pStyle w:val="TableText"/>
              <w:spacing w:before="40" w:after="40"/>
              <w:rPr>
                <w:rFonts w:cs="Calibri"/>
                <w:szCs w:val="16"/>
              </w:rPr>
            </w:pPr>
            <w:r w:rsidRPr="00261B7A">
              <w:rPr>
                <w:rFonts w:cs="Calibri"/>
                <w:szCs w:val="16"/>
              </w:rPr>
              <w:t>Transport – Road Transportation Gaseous Fuels</w:t>
            </w:r>
          </w:p>
        </w:tc>
        <w:tc>
          <w:tcPr>
            <w:tcW w:w="510" w:type="dxa"/>
            <w:shd w:val="clear" w:color="auto" w:fill="FFFFFF"/>
            <w:tcMar>
              <w:top w:w="0" w:type="dxa"/>
              <w:left w:w="85" w:type="dxa"/>
              <w:bottom w:w="0" w:type="dxa"/>
              <w:right w:w="85" w:type="dxa"/>
            </w:tcMar>
          </w:tcPr>
          <w:p w14:paraId="4C6FDED1"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7AC3DFD9" w14:textId="77777777" w:rsidR="006611EE" w:rsidRPr="00261B7A" w:rsidRDefault="006611EE" w:rsidP="000F09B5">
            <w:pPr>
              <w:pStyle w:val="TableText"/>
              <w:spacing w:before="40" w:after="40"/>
              <w:jc w:val="right"/>
              <w:rPr>
                <w:rFonts w:cs="Calibri"/>
                <w:szCs w:val="16"/>
              </w:rPr>
            </w:pPr>
            <w:r w:rsidRPr="00261B7A">
              <w:rPr>
                <w:rFonts w:cs="Calibri"/>
                <w:szCs w:val="16"/>
              </w:rPr>
              <w:t>140.3</w:t>
            </w:r>
          </w:p>
        </w:tc>
        <w:tc>
          <w:tcPr>
            <w:tcW w:w="851" w:type="dxa"/>
            <w:shd w:val="clear" w:color="auto" w:fill="FFFFFF"/>
            <w:tcMar>
              <w:top w:w="0" w:type="dxa"/>
              <w:left w:w="85" w:type="dxa"/>
              <w:bottom w:w="0" w:type="dxa"/>
              <w:right w:w="85" w:type="dxa"/>
            </w:tcMar>
          </w:tcPr>
          <w:p w14:paraId="476F8590" w14:textId="77777777" w:rsidR="006611EE" w:rsidRPr="00261B7A" w:rsidRDefault="006611EE" w:rsidP="000F09B5">
            <w:pPr>
              <w:pStyle w:val="TableText"/>
              <w:spacing w:before="40" w:after="40"/>
              <w:jc w:val="right"/>
              <w:rPr>
                <w:rFonts w:cs="Calibri"/>
                <w:szCs w:val="16"/>
              </w:rPr>
            </w:pPr>
            <w:r w:rsidRPr="00261B7A">
              <w:rPr>
                <w:rFonts w:cs="Calibri"/>
                <w:szCs w:val="16"/>
              </w:rPr>
              <w:t>0.0</w:t>
            </w:r>
          </w:p>
        </w:tc>
        <w:tc>
          <w:tcPr>
            <w:tcW w:w="680" w:type="dxa"/>
            <w:shd w:val="clear" w:color="auto" w:fill="FFFFFF"/>
            <w:tcMar>
              <w:top w:w="0" w:type="dxa"/>
              <w:left w:w="85" w:type="dxa"/>
              <w:bottom w:w="0" w:type="dxa"/>
              <w:right w:w="85" w:type="dxa"/>
            </w:tcMar>
          </w:tcPr>
          <w:p w14:paraId="1C63B75D" w14:textId="77777777" w:rsidR="006611EE" w:rsidRPr="00261B7A" w:rsidRDefault="006611EE" w:rsidP="000F09B5">
            <w:pPr>
              <w:pStyle w:val="TableText"/>
              <w:spacing w:before="40" w:after="40"/>
              <w:jc w:val="right"/>
              <w:rPr>
                <w:rFonts w:cs="Calibri"/>
                <w:szCs w:val="16"/>
              </w:rPr>
            </w:pPr>
            <w:r w:rsidRPr="00261B7A">
              <w:rPr>
                <w:rFonts w:cs="Calibri"/>
                <w:szCs w:val="16"/>
              </w:rPr>
              <w:t>0.002</w:t>
            </w:r>
          </w:p>
        </w:tc>
        <w:tc>
          <w:tcPr>
            <w:tcW w:w="680" w:type="dxa"/>
            <w:shd w:val="clear" w:color="auto" w:fill="FFFFFF"/>
            <w:tcMar>
              <w:top w:w="0" w:type="dxa"/>
              <w:left w:w="85" w:type="dxa"/>
              <w:bottom w:w="0" w:type="dxa"/>
              <w:right w:w="85" w:type="dxa"/>
            </w:tcMar>
          </w:tcPr>
          <w:p w14:paraId="387E1A4A" w14:textId="77777777" w:rsidR="006611EE" w:rsidRPr="00261B7A" w:rsidRDefault="006611EE" w:rsidP="000F09B5">
            <w:pPr>
              <w:pStyle w:val="TableText"/>
              <w:spacing w:before="40" w:after="40"/>
              <w:jc w:val="right"/>
              <w:rPr>
                <w:rFonts w:cs="Calibri"/>
                <w:szCs w:val="16"/>
              </w:rPr>
            </w:pPr>
            <w:r w:rsidRPr="00261B7A">
              <w:rPr>
                <w:rFonts w:cs="Calibri"/>
                <w:szCs w:val="16"/>
              </w:rPr>
              <w:t>0.2</w:t>
            </w:r>
          </w:p>
        </w:tc>
        <w:tc>
          <w:tcPr>
            <w:tcW w:w="680" w:type="dxa"/>
            <w:shd w:val="clear" w:color="auto" w:fill="FFFFFF"/>
            <w:tcMar>
              <w:top w:w="0" w:type="dxa"/>
              <w:left w:w="85" w:type="dxa"/>
              <w:bottom w:w="0" w:type="dxa"/>
              <w:right w:w="85" w:type="dxa"/>
            </w:tcMar>
          </w:tcPr>
          <w:p w14:paraId="58C368DD" w14:textId="77777777" w:rsidR="006611EE" w:rsidRPr="00261B7A" w:rsidRDefault="006611EE" w:rsidP="000F09B5">
            <w:pPr>
              <w:pStyle w:val="TableText"/>
              <w:spacing w:before="40" w:after="40"/>
              <w:jc w:val="right"/>
              <w:rPr>
                <w:rFonts w:cs="Calibri"/>
                <w:szCs w:val="16"/>
              </w:rPr>
            </w:pPr>
            <w:r w:rsidRPr="00261B7A">
              <w:rPr>
                <w:rFonts w:cs="Calibri"/>
                <w:szCs w:val="16"/>
              </w:rPr>
              <w:t>93.7</w:t>
            </w:r>
          </w:p>
        </w:tc>
      </w:tr>
      <w:tr w:rsidR="006611EE" w:rsidRPr="00261B7A" w14:paraId="26C9C617" w14:textId="77777777" w:rsidTr="000F09B5">
        <w:tc>
          <w:tcPr>
            <w:tcW w:w="567" w:type="dxa"/>
            <w:shd w:val="clear" w:color="auto" w:fill="FFFFFF"/>
            <w:tcMar>
              <w:top w:w="0" w:type="dxa"/>
              <w:left w:w="85" w:type="dxa"/>
              <w:bottom w:w="0" w:type="dxa"/>
              <w:right w:w="85" w:type="dxa"/>
            </w:tcMar>
          </w:tcPr>
          <w:p w14:paraId="5EB49029" w14:textId="77777777" w:rsidR="006611EE" w:rsidRPr="00261B7A" w:rsidRDefault="006611EE" w:rsidP="000F09B5">
            <w:pPr>
              <w:pStyle w:val="TableText"/>
              <w:spacing w:before="40" w:after="40"/>
              <w:rPr>
                <w:rFonts w:cs="Calibri"/>
                <w:szCs w:val="16"/>
              </w:rPr>
            </w:pPr>
            <w:r w:rsidRPr="00261B7A">
              <w:rPr>
                <w:rFonts w:cs="Calibri"/>
                <w:szCs w:val="16"/>
              </w:rPr>
              <w:t>3.D.1.6</w:t>
            </w:r>
          </w:p>
        </w:tc>
        <w:tc>
          <w:tcPr>
            <w:tcW w:w="2552" w:type="dxa"/>
            <w:shd w:val="clear" w:color="auto" w:fill="FFFFFF"/>
            <w:tcMar>
              <w:top w:w="0" w:type="dxa"/>
              <w:left w:w="85" w:type="dxa"/>
              <w:bottom w:w="0" w:type="dxa"/>
              <w:right w:w="85" w:type="dxa"/>
            </w:tcMar>
          </w:tcPr>
          <w:p w14:paraId="500B61D7" w14:textId="77777777" w:rsidR="006611EE" w:rsidRPr="00261B7A" w:rsidRDefault="006611EE" w:rsidP="000F09B5">
            <w:pPr>
              <w:pStyle w:val="TableText"/>
              <w:spacing w:before="40" w:after="40"/>
              <w:rPr>
                <w:rFonts w:cs="Calibri"/>
                <w:szCs w:val="16"/>
              </w:rPr>
            </w:pPr>
            <w:r w:rsidRPr="00261B7A">
              <w:rPr>
                <w:rFonts w:cs="Calibri"/>
                <w:szCs w:val="16"/>
              </w:rPr>
              <w:t>Direct N</w:t>
            </w:r>
            <w:r w:rsidRPr="00261B7A">
              <w:rPr>
                <w:rFonts w:cs="Calibri"/>
                <w:szCs w:val="16"/>
                <w:vertAlign w:val="subscript"/>
              </w:rPr>
              <w:t>2</w:t>
            </w:r>
            <w:r w:rsidRPr="00261B7A">
              <w:rPr>
                <w:rFonts w:cs="Calibri"/>
                <w:szCs w:val="16"/>
              </w:rPr>
              <w:t>O Emissions From Managed Soils – Cultivation of Organic Soils</w:t>
            </w:r>
          </w:p>
        </w:tc>
        <w:tc>
          <w:tcPr>
            <w:tcW w:w="510" w:type="dxa"/>
            <w:shd w:val="clear" w:color="auto" w:fill="FFFFFF"/>
            <w:tcMar>
              <w:top w:w="0" w:type="dxa"/>
              <w:left w:w="85" w:type="dxa"/>
              <w:bottom w:w="0" w:type="dxa"/>
              <w:right w:w="85" w:type="dxa"/>
            </w:tcMar>
          </w:tcPr>
          <w:p w14:paraId="5FB552FD" w14:textId="77777777" w:rsidR="006611EE" w:rsidRPr="00261B7A" w:rsidRDefault="006611EE" w:rsidP="000F09B5">
            <w:pPr>
              <w:pStyle w:val="TableText"/>
              <w:spacing w:before="40" w:after="40"/>
              <w:jc w:val="center"/>
              <w:rPr>
                <w:rFonts w:cs="Calibri"/>
                <w:szCs w:val="16"/>
              </w:rPr>
            </w:pPr>
            <w:r w:rsidRPr="00261B7A">
              <w:rPr>
                <w:rFonts w:cs="Calibri"/>
                <w:szCs w:val="16"/>
              </w:rPr>
              <w:t>N</w:t>
            </w:r>
            <w:r w:rsidRPr="00261B7A">
              <w:rPr>
                <w:rFonts w:cs="Calibri"/>
                <w:szCs w:val="16"/>
                <w:vertAlign w:val="subscript"/>
              </w:rPr>
              <w:t>2</w:t>
            </w:r>
            <w:r w:rsidRPr="00261B7A">
              <w:rPr>
                <w:rFonts w:cs="Calibri"/>
                <w:szCs w:val="16"/>
              </w:rPr>
              <w:t>O</w:t>
            </w:r>
          </w:p>
        </w:tc>
        <w:tc>
          <w:tcPr>
            <w:tcW w:w="851" w:type="dxa"/>
            <w:shd w:val="clear" w:color="auto" w:fill="FFFFFF"/>
            <w:tcMar>
              <w:top w:w="0" w:type="dxa"/>
              <w:left w:w="85" w:type="dxa"/>
              <w:bottom w:w="0" w:type="dxa"/>
              <w:right w:w="85" w:type="dxa"/>
            </w:tcMar>
          </w:tcPr>
          <w:p w14:paraId="4A3DA49A" w14:textId="77777777" w:rsidR="006611EE" w:rsidRPr="00261B7A" w:rsidRDefault="006611EE" w:rsidP="000F09B5">
            <w:pPr>
              <w:pStyle w:val="TableText"/>
              <w:spacing w:before="40" w:after="40"/>
              <w:jc w:val="right"/>
              <w:rPr>
                <w:rFonts w:cs="Calibri"/>
                <w:szCs w:val="16"/>
              </w:rPr>
            </w:pPr>
            <w:r w:rsidRPr="00261B7A">
              <w:rPr>
                <w:rFonts w:cs="Calibri"/>
                <w:szCs w:val="16"/>
              </w:rPr>
              <w:t>658.7</w:t>
            </w:r>
          </w:p>
        </w:tc>
        <w:tc>
          <w:tcPr>
            <w:tcW w:w="851" w:type="dxa"/>
            <w:shd w:val="clear" w:color="auto" w:fill="FFFFFF"/>
            <w:tcMar>
              <w:top w:w="0" w:type="dxa"/>
              <w:left w:w="85" w:type="dxa"/>
              <w:bottom w:w="0" w:type="dxa"/>
              <w:right w:w="85" w:type="dxa"/>
            </w:tcMar>
          </w:tcPr>
          <w:p w14:paraId="39E088FA" w14:textId="77777777" w:rsidR="006611EE" w:rsidRPr="00261B7A" w:rsidRDefault="006611EE" w:rsidP="000F09B5">
            <w:pPr>
              <w:pStyle w:val="TableText"/>
              <w:spacing w:before="40" w:after="40"/>
              <w:jc w:val="right"/>
              <w:rPr>
                <w:rFonts w:cs="Calibri"/>
                <w:szCs w:val="16"/>
              </w:rPr>
            </w:pPr>
            <w:r w:rsidRPr="00261B7A">
              <w:rPr>
                <w:rFonts w:cs="Calibri"/>
                <w:szCs w:val="16"/>
              </w:rPr>
              <w:t>667.4</w:t>
            </w:r>
          </w:p>
        </w:tc>
        <w:tc>
          <w:tcPr>
            <w:tcW w:w="680" w:type="dxa"/>
            <w:shd w:val="clear" w:color="auto" w:fill="FFFFFF"/>
            <w:tcMar>
              <w:top w:w="0" w:type="dxa"/>
              <w:left w:w="85" w:type="dxa"/>
              <w:bottom w:w="0" w:type="dxa"/>
              <w:right w:w="85" w:type="dxa"/>
            </w:tcMar>
          </w:tcPr>
          <w:p w14:paraId="75F3C146" w14:textId="77777777" w:rsidR="006611EE" w:rsidRPr="00261B7A" w:rsidRDefault="006611EE" w:rsidP="000F09B5">
            <w:pPr>
              <w:pStyle w:val="TableText"/>
              <w:spacing w:before="40" w:after="40"/>
              <w:jc w:val="right"/>
              <w:rPr>
                <w:rFonts w:cs="Calibri"/>
                <w:szCs w:val="16"/>
              </w:rPr>
            </w:pPr>
            <w:r w:rsidRPr="00261B7A">
              <w:rPr>
                <w:rFonts w:cs="Calibri"/>
                <w:szCs w:val="16"/>
              </w:rPr>
              <w:t>0.002</w:t>
            </w:r>
          </w:p>
        </w:tc>
        <w:tc>
          <w:tcPr>
            <w:tcW w:w="680" w:type="dxa"/>
            <w:shd w:val="clear" w:color="auto" w:fill="FFFFFF"/>
            <w:tcMar>
              <w:top w:w="0" w:type="dxa"/>
              <w:left w:w="85" w:type="dxa"/>
              <w:bottom w:w="0" w:type="dxa"/>
              <w:right w:w="85" w:type="dxa"/>
            </w:tcMar>
          </w:tcPr>
          <w:p w14:paraId="234A8E32" w14:textId="77777777" w:rsidR="006611EE" w:rsidRPr="00261B7A" w:rsidRDefault="006611EE" w:rsidP="000F09B5">
            <w:pPr>
              <w:pStyle w:val="TableText"/>
              <w:spacing w:before="40" w:after="40"/>
              <w:jc w:val="right"/>
              <w:rPr>
                <w:rFonts w:cs="Calibri"/>
                <w:szCs w:val="16"/>
              </w:rPr>
            </w:pPr>
            <w:r w:rsidRPr="00261B7A">
              <w:rPr>
                <w:rFonts w:cs="Calibri"/>
                <w:szCs w:val="16"/>
              </w:rPr>
              <w:t>0.2</w:t>
            </w:r>
          </w:p>
        </w:tc>
        <w:tc>
          <w:tcPr>
            <w:tcW w:w="680" w:type="dxa"/>
            <w:shd w:val="clear" w:color="auto" w:fill="FFFFFF"/>
            <w:tcMar>
              <w:top w:w="0" w:type="dxa"/>
              <w:left w:w="85" w:type="dxa"/>
              <w:bottom w:w="0" w:type="dxa"/>
              <w:right w:w="85" w:type="dxa"/>
            </w:tcMar>
          </w:tcPr>
          <w:p w14:paraId="7E3DE010" w14:textId="77777777" w:rsidR="006611EE" w:rsidRPr="00261B7A" w:rsidRDefault="006611EE" w:rsidP="000F09B5">
            <w:pPr>
              <w:pStyle w:val="TableText"/>
              <w:spacing w:before="40" w:after="40"/>
              <w:jc w:val="right"/>
              <w:rPr>
                <w:rFonts w:cs="Calibri"/>
                <w:szCs w:val="16"/>
              </w:rPr>
            </w:pPr>
            <w:r w:rsidRPr="00261B7A">
              <w:rPr>
                <w:rFonts w:cs="Calibri"/>
                <w:szCs w:val="16"/>
              </w:rPr>
              <w:t>93.9</w:t>
            </w:r>
          </w:p>
        </w:tc>
      </w:tr>
      <w:tr w:rsidR="006611EE" w:rsidRPr="00261B7A" w14:paraId="3B91DF0B" w14:textId="77777777" w:rsidTr="000F09B5">
        <w:tc>
          <w:tcPr>
            <w:tcW w:w="567" w:type="dxa"/>
            <w:shd w:val="clear" w:color="auto" w:fill="FFFFFF"/>
            <w:tcMar>
              <w:top w:w="0" w:type="dxa"/>
              <w:left w:w="85" w:type="dxa"/>
              <w:bottom w:w="0" w:type="dxa"/>
              <w:right w:w="85" w:type="dxa"/>
            </w:tcMar>
          </w:tcPr>
          <w:p w14:paraId="25C138FF" w14:textId="77777777" w:rsidR="006611EE" w:rsidRPr="00261B7A" w:rsidRDefault="006611EE" w:rsidP="000F09B5">
            <w:pPr>
              <w:pStyle w:val="TableText"/>
              <w:spacing w:before="40" w:after="40"/>
              <w:rPr>
                <w:rFonts w:cs="Calibri"/>
                <w:szCs w:val="16"/>
              </w:rPr>
            </w:pPr>
            <w:r w:rsidRPr="00261B7A">
              <w:rPr>
                <w:rFonts w:cs="Calibri"/>
                <w:szCs w:val="16"/>
              </w:rPr>
              <w:t>1.A.2.g.viii</w:t>
            </w:r>
          </w:p>
        </w:tc>
        <w:tc>
          <w:tcPr>
            <w:tcW w:w="2552" w:type="dxa"/>
            <w:shd w:val="clear" w:color="auto" w:fill="FFFFFF"/>
            <w:tcMar>
              <w:top w:w="0" w:type="dxa"/>
              <w:left w:w="85" w:type="dxa"/>
              <w:bottom w:w="0" w:type="dxa"/>
              <w:right w:w="85" w:type="dxa"/>
            </w:tcMar>
          </w:tcPr>
          <w:p w14:paraId="00B463E9" w14:textId="77777777" w:rsidR="006611EE" w:rsidRPr="00261B7A" w:rsidRDefault="006611EE" w:rsidP="000F09B5">
            <w:pPr>
              <w:pStyle w:val="TableText"/>
              <w:spacing w:before="40" w:after="40"/>
              <w:rPr>
                <w:rFonts w:cs="Calibri"/>
                <w:szCs w:val="16"/>
              </w:rPr>
            </w:pPr>
            <w:r w:rsidRPr="00261B7A">
              <w:rPr>
                <w:rFonts w:cs="Calibri"/>
                <w:szCs w:val="16"/>
              </w:rPr>
              <w:t>Other (please specify) – Other (please specify) Liquid Fuels</w:t>
            </w:r>
          </w:p>
        </w:tc>
        <w:tc>
          <w:tcPr>
            <w:tcW w:w="510" w:type="dxa"/>
            <w:shd w:val="clear" w:color="auto" w:fill="FFFFFF"/>
            <w:tcMar>
              <w:top w:w="0" w:type="dxa"/>
              <w:left w:w="85" w:type="dxa"/>
              <w:bottom w:w="0" w:type="dxa"/>
              <w:right w:w="85" w:type="dxa"/>
            </w:tcMar>
          </w:tcPr>
          <w:p w14:paraId="236989E2"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22DB6B56" w14:textId="77777777" w:rsidR="006611EE" w:rsidRPr="00261B7A" w:rsidRDefault="006611EE" w:rsidP="000F09B5">
            <w:pPr>
              <w:pStyle w:val="TableText"/>
              <w:spacing w:before="40" w:after="40"/>
              <w:jc w:val="right"/>
              <w:rPr>
                <w:rFonts w:cs="Calibri"/>
                <w:szCs w:val="16"/>
              </w:rPr>
            </w:pPr>
            <w:r w:rsidRPr="00261B7A">
              <w:rPr>
                <w:rFonts w:cs="Calibri"/>
                <w:szCs w:val="16"/>
              </w:rPr>
              <w:t>52.3</w:t>
            </w:r>
          </w:p>
        </w:tc>
        <w:tc>
          <w:tcPr>
            <w:tcW w:w="851" w:type="dxa"/>
            <w:shd w:val="clear" w:color="auto" w:fill="FFFFFF"/>
            <w:tcMar>
              <w:top w:w="0" w:type="dxa"/>
              <w:left w:w="85" w:type="dxa"/>
              <w:bottom w:w="0" w:type="dxa"/>
              <w:right w:w="85" w:type="dxa"/>
            </w:tcMar>
          </w:tcPr>
          <w:p w14:paraId="56B1851D" w14:textId="77777777" w:rsidR="006611EE" w:rsidRPr="00261B7A" w:rsidRDefault="006611EE" w:rsidP="000F09B5">
            <w:pPr>
              <w:pStyle w:val="TableText"/>
              <w:spacing w:before="40" w:after="40"/>
              <w:jc w:val="right"/>
              <w:rPr>
                <w:rFonts w:cs="Calibri"/>
                <w:szCs w:val="16"/>
              </w:rPr>
            </w:pPr>
            <w:r w:rsidRPr="00261B7A">
              <w:rPr>
                <w:rFonts w:cs="Calibri"/>
                <w:szCs w:val="16"/>
              </w:rPr>
              <w:t>221.0</w:t>
            </w:r>
          </w:p>
        </w:tc>
        <w:tc>
          <w:tcPr>
            <w:tcW w:w="680" w:type="dxa"/>
            <w:shd w:val="clear" w:color="auto" w:fill="FFFFFF"/>
            <w:tcMar>
              <w:top w:w="0" w:type="dxa"/>
              <w:left w:w="85" w:type="dxa"/>
              <w:bottom w:w="0" w:type="dxa"/>
              <w:right w:w="85" w:type="dxa"/>
            </w:tcMar>
          </w:tcPr>
          <w:p w14:paraId="734C9AF0" w14:textId="77777777" w:rsidR="006611EE" w:rsidRPr="00261B7A" w:rsidRDefault="006611EE" w:rsidP="000F09B5">
            <w:pPr>
              <w:pStyle w:val="TableText"/>
              <w:spacing w:before="40" w:after="40"/>
              <w:jc w:val="right"/>
              <w:rPr>
                <w:rFonts w:cs="Calibri"/>
                <w:szCs w:val="16"/>
              </w:rPr>
            </w:pPr>
            <w:r w:rsidRPr="00261B7A">
              <w:rPr>
                <w:rFonts w:cs="Calibri"/>
                <w:szCs w:val="16"/>
              </w:rPr>
              <w:t>0.002</w:t>
            </w:r>
          </w:p>
        </w:tc>
        <w:tc>
          <w:tcPr>
            <w:tcW w:w="680" w:type="dxa"/>
            <w:shd w:val="clear" w:color="auto" w:fill="FFFFFF"/>
            <w:tcMar>
              <w:top w:w="0" w:type="dxa"/>
              <w:left w:w="85" w:type="dxa"/>
              <w:bottom w:w="0" w:type="dxa"/>
              <w:right w:w="85" w:type="dxa"/>
            </w:tcMar>
          </w:tcPr>
          <w:p w14:paraId="5CE0D2D6" w14:textId="77777777" w:rsidR="006611EE" w:rsidRPr="00261B7A" w:rsidRDefault="006611EE" w:rsidP="000F09B5">
            <w:pPr>
              <w:pStyle w:val="TableText"/>
              <w:spacing w:before="40" w:after="40"/>
              <w:jc w:val="right"/>
              <w:rPr>
                <w:rFonts w:cs="Calibri"/>
                <w:szCs w:val="16"/>
              </w:rPr>
            </w:pPr>
            <w:r w:rsidRPr="00261B7A">
              <w:rPr>
                <w:rFonts w:cs="Calibri"/>
                <w:szCs w:val="16"/>
              </w:rPr>
              <w:t>0.2</w:t>
            </w:r>
          </w:p>
        </w:tc>
        <w:tc>
          <w:tcPr>
            <w:tcW w:w="680" w:type="dxa"/>
            <w:shd w:val="clear" w:color="auto" w:fill="FFFFFF"/>
            <w:tcMar>
              <w:top w:w="0" w:type="dxa"/>
              <w:left w:w="85" w:type="dxa"/>
              <w:bottom w:w="0" w:type="dxa"/>
              <w:right w:w="85" w:type="dxa"/>
            </w:tcMar>
          </w:tcPr>
          <w:p w14:paraId="38053A14" w14:textId="77777777" w:rsidR="006611EE" w:rsidRPr="00261B7A" w:rsidRDefault="006611EE" w:rsidP="000F09B5">
            <w:pPr>
              <w:pStyle w:val="TableText"/>
              <w:spacing w:before="40" w:after="40"/>
              <w:jc w:val="right"/>
              <w:rPr>
                <w:rFonts w:cs="Calibri"/>
                <w:szCs w:val="16"/>
              </w:rPr>
            </w:pPr>
            <w:r w:rsidRPr="00261B7A">
              <w:rPr>
                <w:rFonts w:cs="Calibri"/>
                <w:szCs w:val="16"/>
              </w:rPr>
              <w:t>94.1</w:t>
            </w:r>
          </w:p>
        </w:tc>
      </w:tr>
      <w:tr w:rsidR="006611EE" w:rsidRPr="00261B7A" w14:paraId="1B2AAA99" w14:textId="77777777" w:rsidTr="000F09B5">
        <w:tc>
          <w:tcPr>
            <w:tcW w:w="567" w:type="dxa"/>
            <w:shd w:val="clear" w:color="auto" w:fill="FFFFFF"/>
            <w:tcMar>
              <w:top w:w="0" w:type="dxa"/>
              <w:left w:w="85" w:type="dxa"/>
              <w:bottom w:w="0" w:type="dxa"/>
              <w:right w:w="85" w:type="dxa"/>
            </w:tcMar>
          </w:tcPr>
          <w:p w14:paraId="6626714D" w14:textId="77777777" w:rsidR="006611EE" w:rsidRPr="00261B7A" w:rsidDel="00FD7684" w:rsidRDefault="006611EE" w:rsidP="000F09B5">
            <w:pPr>
              <w:pStyle w:val="TableText"/>
              <w:spacing w:before="40" w:after="40"/>
              <w:rPr>
                <w:rFonts w:eastAsia="Calibri" w:cs="Calibri"/>
                <w:color w:val="000000"/>
                <w:szCs w:val="16"/>
              </w:rPr>
            </w:pPr>
            <w:r w:rsidRPr="00261B7A">
              <w:rPr>
                <w:rFonts w:cs="Calibri"/>
                <w:szCs w:val="16"/>
              </w:rPr>
              <w:t>1.A.4.b</w:t>
            </w:r>
          </w:p>
        </w:tc>
        <w:tc>
          <w:tcPr>
            <w:tcW w:w="2552" w:type="dxa"/>
            <w:shd w:val="clear" w:color="auto" w:fill="FFFFFF"/>
            <w:tcMar>
              <w:top w:w="0" w:type="dxa"/>
              <w:left w:w="85" w:type="dxa"/>
              <w:bottom w:w="0" w:type="dxa"/>
              <w:right w:w="85" w:type="dxa"/>
            </w:tcMar>
          </w:tcPr>
          <w:p w14:paraId="6BD57BAD" w14:textId="77777777" w:rsidR="006611EE" w:rsidRPr="00261B7A" w:rsidDel="00FD7684" w:rsidRDefault="006611EE" w:rsidP="000F09B5">
            <w:pPr>
              <w:pStyle w:val="TableText"/>
              <w:spacing w:before="40" w:after="40"/>
              <w:rPr>
                <w:rFonts w:eastAsia="Calibri" w:cs="Calibri"/>
                <w:color w:val="000000"/>
                <w:szCs w:val="16"/>
              </w:rPr>
            </w:pPr>
            <w:r w:rsidRPr="00261B7A">
              <w:rPr>
                <w:rFonts w:cs="Calibri"/>
                <w:szCs w:val="16"/>
              </w:rPr>
              <w:t>Other Sectors – Residential Gaseous Fuels</w:t>
            </w:r>
          </w:p>
        </w:tc>
        <w:tc>
          <w:tcPr>
            <w:tcW w:w="510" w:type="dxa"/>
            <w:shd w:val="clear" w:color="auto" w:fill="FFFFFF"/>
            <w:tcMar>
              <w:top w:w="0" w:type="dxa"/>
              <w:left w:w="85" w:type="dxa"/>
              <w:bottom w:w="0" w:type="dxa"/>
              <w:right w:w="85" w:type="dxa"/>
            </w:tcMar>
          </w:tcPr>
          <w:p w14:paraId="77F67A7B" w14:textId="77777777" w:rsidR="006611EE" w:rsidRPr="00261B7A" w:rsidDel="00FD7684" w:rsidRDefault="006611EE" w:rsidP="000F09B5">
            <w:pPr>
              <w:pStyle w:val="TableText"/>
              <w:spacing w:before="40" w:after="40"/>
              <w:jc w:val="center"/>
              <w:rPr>
                <w:rFonts w:eastAsia="Calibri" w:cs="Calibri"/>
                <w:color w:val="000000"/>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45C5AA68" w14:textId="77777777" w:rsidR="006611EE" w:rsidRPr="00261B7A" w:rsidDel="00FD7684" w:rsidRDefault="006611EE" w:rsidP="000F09B5">
            <w:pPr>
              <w:pStyle w:val="TableText"/>
              <w:spacing w:before="40" w:after="40"/>
              <w:jc w:val="right"/>
              <w:rPr>
                <w:rFonts w:eastAsia="Calibri" w:cs="Calibri"/>
                <w:color w:val="000000"/>
                <w:szCs w:val="16"/>
              </w:rPr>
            </w:pPr>
            <w:r w:rsidRPr="00261B7A">
              <w:rPr>
                <w:rFonts w:cs="Calibri"/>
                <w:szCs w:val="16"/>
              </w:rPr>
              <w:t>184.9</w:t>
            </w:r>
          </w:p>
        </w:tc>
        <w:tc>
          <w:tcPr>
            <w:tcW w:w="851" w:type="dxa"/>
            <w:shd w:val="clear" w:color="auto" w:fill="FFFFFF"/>
            <w:tcMar>
              <w:top w:w="0" w:type="dxa"/>
              <w:left w:w="85" w:type="dxa"/>
              <w:bottom w:w="0" w:type="dxa"/>
              <w:right w:w="85" w:type="dxa"/>
            </w:tcMar>
          </w:tcPr>
          <w:p w14:paraId="4B273D02" w14:textId="77777777" w:rsidR="006611EE" w:rsidRPr="00261B7A" w:rsidDel="00FD7684" w:rsidRDefault="006611EE" w:rsidP="000F09B5">
            <w:pPr>
              <w:pStyle w:val="TableText"/>
              <w:spacing w:before="40" w:after="40"/>
              <w:jc w:val="right"/>
              <w:rPr>
                <w:rFonts w:eastAsia="Calibri" w:cs="Calibri"/>
                <w:color w:val="000000"/>
                <w:szCs w:val="16"/>
              </w:rPr>
            </w:pPr>
            <w:r w:rsidRPr="00261B7A">
              <w:rPr>
                <w:rFonts w:cs="Calibri"/>
                <w:szCs w:val="16"/>
              </w:rPr>
              <w:t>385.5</w:t>
            </w:r>
          </w:p>
        </w:tc>
        <w:tc>
          <w:tcPr>
            <w:tcW w:w="680" w:type="dxa"/>
            <w:shd w:val="clear" w:color="auto" w:fill="FFFFFF"/>
            <w:tcMar>
              <w:top w:w="0" w:type="dxa"/>
              <w:left w:w="85" w:type="dxa"/>
              <w:bottom w:w="0" w:type="dxa"/>
              <w:right w:w="85" w:type="dxa"/>
            </w:tcMar>
          </w:tcPr>
          <w:p w14:paraId="3B5C5EC7" w14:textId="77777777" w:rsidR="006611EE" w:rsidRPr="00261B7A" w:rsidDel="00FD7684" w:rsidRDefault="006611EE" w:rsidP="000F09B5">
            <w:pPr>
              <w:pStyle w:val="TableText"/>
              <w:spacing w:before="40" w:after="40"/>
              <w:jc w:val="right"/>
              <w:rPr>
                <w:rFonts w:eastAsia="Calibri" w:cs="Calibri"/>
                <w:color w:val="000000"/>
                <w:szCs w:val="16"/>
              </w:rPr>
            </w:pPr>
            <w:r w:rsidRPr="00261B7A">
              <w:rPr>
                <w:rFonts w:cs="Calibri"/>
                <w:szCs w:val="16"/>
              </w:rPr>
              <w:t>0.002</w:t>
            </w:r>
          </w:p>
        </w:tc>
        <w:tc>
          <w:tcPr>
            <w:tcW w:w="680" w:type="dxa"/>
            <w:shd w:val="clear" w:color="auto" w:fill="FFFFFF"/>
            <w:tcMar>
              <w:top w:w="0" w:type="dxa"/>
              <w:left w:w="85" w:type="dxa"/>
              <w:bottom w:w="0" w:type="dxa"/>
              <w:right w:w="85" w:type="dxa"/>
            </w:tcMar>
          </w:tcPr>
          <w:p w14:paraId="61ACC518" w14:textId="77777777" w:rsidR="006611EE" w:rsidRPr="00261B7A" w:rsidDel="00FD7684" w:rsidRDefault="006611EE" w:rsidP="000F09B5">
            <w:pPr>
              <w:pStyle w:val="TableText"/>
              <w:spacing w:before="40" w:after="40"/>
              <w:jc w:val="right"/>
              <w:rPr>
                <w:rFonts w:eastAsia="Calibri" w:cs="Calibri"/>
                <w:color w:val="000000"/>
                <w:szCs w:val="16"/>
              </w:rPr>
            </w:pPr>
            <w:r w:rsidRPr="00261B7A">
              <w:rPr>
                <w:rFonts w:cs="Calibri"/>
                <w:szCs w:val="16"/>
              </w:rPr>
              <w:t>0.2</w:t>
            </w:r>
          </w:p>
        </w:tc>
        <w:tc>
          <w:tcPr>
            <w:tcW w:w="680" w:type="dxa"/>
            <w:shd w:val="clear" w:color="auto" w:fill="FFFFFF"/>
            <w:tcMar>
              <w:top w:w="0" w:type="dxa"/>
              <w:left w:w="85" w:type="dxa"/>
              <w:bottom w:w="0" w:type="dxa"/>
              <w:right w:w="85" w:type="dxa"/>
            </w:tcMar>
          </w:tcPr>
          <w:p w14:paraId="3C120A87" w14:textId="77777777" w:rsidR="006611EE" w:rsidRPr="00261B7A" w:rsidDel="00FD7684" w:rsidRDefault="006611EE" w:rsidP="000F09B5">
            <w:pPr>
              <w:pStyle w:val="TableText"/>
              <w:spacing w:before="40" w:after="40"/>
              <w:jc w:val="right"/>
              <w:rPr>
                <w:rFonts w:eastAsia="Calibri" w:cs="Calibri"/>
                <w:color w:val="000000"/>
                <w:szCs w:val="16"/>
              </w:rPr>
            </w:pPr>
            <w:r w:rsidRPr="00261B7A">
              <w:rPr>
                <w:rFonts w:cs="Calibri"/>
                <w:szCs w:val="16"/>
              </w:rPr>
              <w:t>94.3</w:t>
            </w:r>
          </w:p>
        </w:tc>
      </w:tr>
      <w:tr w:rsidR="006611EE" w:rsidRPr="00261B7A" w14:paraId="3397AA6E" w14:textId="77777777" w:rsidTr="000F09B5">
        <w:tc>
          <w:tcPr>
            <w:tcW w:w="567" w:type="dxa"/>
            <w:shd w:val="clear" w:color="auto" w:fill="FFFFFF"/>
            <w:tcMar>
              <w:top w:w="0" w:type="dxa"/>
              <w:left w:w="85" w:type="dxa"/>
              <w:bottom w:w="0" w:type="dxa"/>
              <w:right w:w="85" w:type="dxa"/>
            </w:tcMar>
          </w:tcPr>
          <w:p w14:paraId="4EDF62FB" w14:textId="77777777" w:rsidR="006611EE" w:rsidRPr="00261B7A" w:rsidRDefault="006611EE" w:rsidP="000F09B5">
            <w:pPr>
              <w:pStyle w:val="TableText"/>
              <w:spacing w:before="40" w:after="40"/>
              <w:rPr>
                <w:rFonts w:cs="Calibri"/>
                <w:szCs w:val="16"/>
              </w:rPr>
            </w:pPr>
            <w:r w:rsidRPr="00261B7A">
              <w:rPr>
                <w:rFonts w:cs="Calibri"/>
                <w:szCs w:val="16"/>
              </w:rPr>
              <w:t>2.B.10</w:t>
            </w:r>
          </w:p>
        </w:tc>
        <w:tc>
          <w:tcPr>
            <w:tcW w:w="2552" w:type="dxa"/>
            <w:shd w:val="clear" w:color="auto" w:fill="FFFFFF"/>
            <w:tcMar>
              <w:top w:w="0" w:type="dxa"/>
              <w:left w:w="85" w:type="dxa"/>
              <w:bottom w:w="0" w:type="dxa"/>
              <w:right w:w="85" w:type="dxa"/>
            </w:tcMar>
          </w:tcPr>
          <w:p w14:paraId="6AE52840" w14:textId="77777777" w:rsidR="006611EE" w:rsidRPr="00261B7A" w:rsidRDefault="006611EE" w:rsidP="000F09B5">
            <w:pPr>
              <w:pStyle w:val="TableText"/>
              <w:spacing w:before="40" w:after="40"/>
              <w:rPr>
                <w:rFonts w:cs="Calibri"/>
                <w:szCs w:val="16"/>
              </w:rPr>
            </w:pPr>
            <w:r w:rsidRPr="00261B7A">
              <w:rPr>
                <w:rFonts w:cs="Calibri"/>
                <w:szCs w:val="16"/>
              </w:rPr>
              <w:t>Chemical Industry – Other (please specify)</w:t>
            </w:r>
          </w:p>
        </w:tc>
        <w:tc>
          <w:tcPr>
            <w:tcW w:w="510" w:type="dxa"/>
            <w:shd w:val="clear" w:color="auto" w:fill="FFFFFF"/>
            <w:tcMar>
              <w:top w:w="0" w:type="dxa"/>
              <w:left w:w="85" w:type="dxa"/>
              <w:bottom w:w="0" w:type="dxa"/>
              <w:right w:w="85" w:type="dxa"/>
            </w:tcMar>
          </w:tcPr>
          <w:p w14:paraId="7445FCC2"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3BFE92B1" w14:textId="77777777" w:rsidR="006611EE" w:rsidRPr="00261B7A" w:rsidRDefault="006611EE" w:rsidP="000F09B5">
            <w:pPr>
              <w:pStyle w:val="TableText"/>
              <w:spacing w:before="40" w:after="40"/>
              <w:jc w:val="right"/>
              <w:rPr>
                <w:rFonts w:cs="Calibri"/>
                <w:szCs w:val="16"/>
              </w:rPr>
            </w:pPr>
            <w:r w:rsidRPr="00261B7A">
              <w:rPr>
                <w:rFonts w:cs="Calibri"/>
                <w:szCs w:val="16"/>
              </w:rPr>
              <w:t>152.3</w:t>
            </w:r>
          </w:p>
        </w:tc>
        <w:tc>
          <w:tcPr>
            <w:tcW w:w="851" w:type="dxa"/>
            <w:shd w:val="clear" w:color="auto" w:fill="FFFFFF"/>
            <w:tcMar>
              <w:top w:w="0" w:type="dxa"/>
              <w:left w:w="85" w:type="dxa"/>
              <w:bottom w:w="0" w:type="dxa"/>
              <w:right w:w="85" w:type="dxa"/>
            </w:tcMar>
          </w:tcPr>
          <w:p w14:paraId="304E5FA7" w14:textId="77777777" w:rsidR="006611EE" w:rsidRPr="00261B7A" w:rsidRDefault="006611EE" w:rsidP="000F09B5">
            <w:pPr>
              <w:pStyle w:val="TableText"/>
              <w:spacing w:before="40" w:after="40"/>
              <w:jc w:val="right"/>
              <w:rPr>
                <w:rFonts w:cs="Calibri"/>
                <w:szCs w:val="16"/>
              </w:rPr>
            </w:pPr>
            <w:r w:rsidRPr="00261B7A">
              <w:rPr>
                <w:rFonts w:cs="Calibri"/>
                <w:szCs w:val="16"/>
              </w:rPr>
              <w:t>43.4</w:t>
            </w:r>
          </w:p>
        </w:tc>
        <w:tc>
          <w:tcPr>
            <w:tcW w:w="680" w:type="dxa"/>
            <w:shd w:val="clear" w:color="auto" w:fill="FFFFFF"/>
            <w:tcMar>
              <w:top w:w="0" w:type="dxa"/>
              <w:left w:w="85" w:type="dxa"/>
              <w:bottom w:w="0" w:type="dxa"/>
              <w:right w:w="85" w:type="dxa"/>
            </w:tcMar>
          </w:tcPr>
          <w:p w14:paraId="49B84ADB" w14:textId="77777777" w:rsidR="006611EE" w:rsidRPr="00261B7A" w:rsidRDefault="006611EE" w:rsidP="000F09B5">
            <w:pPr>
              <w:pStyle w:val="TableText"/>
              <w:spacing w:before="40" w:after="40"/>
              <w:jc w:val="right"/>
              <w:rPr>
                <w:rFonts w:cs="Calibri"/>
                <w:szCs w:val="16"/>
              </w:rPr>
            </w:pPr>
            <w:r w:rsidRPr="00261B7A">
              <w:rPr>
                <w:rFonts w:cs="Calibri"/>
                <w:szCs w:val="16"/>
              </w:rPr>
              <w:t>0.002</w:t>
            </w:r>
          </w:p>
        </w:tc>
        <w:tc>
          <w:tcPr>
            <w:tcW w:w="680" w:type="dxa"/>
            <w:shd w:val="clear" w:color="auto" w:fill="FFFFFF"/>
            <w:tcMar>
              <w:top w:w="0" w:type="dxa"/>
              <w:left w:w="85" w:type="dxa"/>
              <w:bottom w:w="0" w:type="dxa"/>
              <w:right w:w="85" w:type="dxa"/>
            </w:tcMar>
          </w:tcPr>
          <w:p w14:paraId="3E1C8E72" w14:textId="77777777" w:rsidR="006611EE" w:rsidRPr="00261B7A" w:rsidRDefault="006611EE" w:rsidP="000F09B5">
            <w:pPr>
              <w:pStyle w:val="TableText"/>
              <w:spacing w:before="40" w:after="40"/>
              <w:jc w:val="right"/>
              <w:rPr>
                <w:rFonts w:cs="Calibri"/>
                <w:szCs w:val="16"/>
              </w:rPr>
            </w:pPr>
            <w:r w:rsidRPr="00261B7A">
              <w:rPr>
                <w:rFonts w:cs="Calibri"/>
                <w:szCs w:val="16"/>
              </w:rPr>
              <w:t>0.2</w:t>
            </w:r>
          </w:p>
        </w:tc>
        <w:tc>
          <w:tcPr>
            <w:tcW w:w="680" w:type="dxa"/>
            <w:shd w:val="clear" w:color="auto" w:fill="FFFFFF"/>
            <w:tcMar>
              <w:top w:w="0" w:type="dxa"/>
              <w:left w:w="85" w:type="dxa"/>
              <w:bottom w:w="0" w:type="dxa"/>
              <w:right w:w="85" w:type="dxa"/>
            </w:tcMar>
          </w:tcPr>
          <w:p w14:paraId="689191EA" w14:textId="77777777" w:rsidR="006611EE" w:rsidRPr="00261B7A" w:rsidRDefault="006611EE" w:rsidP="000F09B5">
            <w:pPr>
              <w:pStyle w:val="TableText"/>
              <w:spacing w:before="40" w:after="40"/>
              <w:jc w:val="right"/>
              <w:rPr>
                <w:rFonts w:cs="Calibri"/>
                <w:szCs w:val="16"/>
              </w:rPr>
            </w:pPr>
            <w:r w:rsidRPr="00261B7A">
              <w:rPr>
                <w:rFonts w:cs="Calibri"/>
                <w:szCs w:val="16"/>
              </w:rPr>
              <w:t>94.5</w:t>
            </w:r>
          </w:p>
        </w:tc>
      </w:tr>
      <w:tr w:rsidR="006611EE" w:rsidRPr="00261B7A" w14:paraId="584D6789" w14:textId="77777777" w:rsidTr="000F09B5">
        <w:tc>
          <w:tcPr>
            <w:tcW w:w="567" w:type="dxa"/>
            <w:shd w:val="clear" w:color="auto" w:fill="FFFFFF"/>
            <w:tcMar>
              <w:top w:w="0" w:type="dxa"/>
              <w:left w:w="85" w:type="dxa"/>
              <w:bottom w:w="0" w:type="dxa"/>
              <w:right w:w="85" w:type="dxa"/>
            </w:tcMar>
          </w:tcPr>
          <w:p w14:paraId="5C72116E" w14:textId="77777777" w:rsidR="006611EE" w:rsidRPr="00261B7A" w:rsidRDefault="006611EE" w:rsidP="000F09B5">
            <w:pPr>
              <w:pStyle w:val="TableText"/>
              <w:spacing w:before="40" w:after="40"/>
              <w:rPr>
                <w:rFonts w:cs="Calibri"/>
                <w:szCs w:val="16"/>
              </w:rPr>
            </w:pPr>
            <w:r w:rsidRPr="00261B7A">
              <w:rPr>
                <w:rFonts w:cs="Calibri"/>
                <w:szCs w:val="16"/>
              </w:rPr>
              <w:t>1.B.2.d</w:t>
            </w:r>
          </w:p>
        </w:tc>
        <w:tc>
          <w:tcPr>
            <w:tcW w:w="2552" w:type="dxa"/>
            <w:shd w:val="clear" w:color="auto" w:fill="FFFFFF"/>
            <w:tcMar>
              <w:top w:w="0" w:type="dxa"/>
              <w:left w:w="85" w:type="dxa"/>
              <w:bottom w:w="0" w:type="dxa"/>
              <w:right w:w="85" w:type="dxa"/>
            </w:tcMar>
          </w:tcPr>
          <w:p w14:paraId="1F139024" w14:textId="77777777" w:rsidR="006611EE" w:rsidRPr="00261B7A" w:rsidRDefault="006611EE" w:rsidP="000F09B5">
            <w:pPr>
              <w:pStyle w:val="TableText"/>
              <w:spacing w:before="40" w:after="40"/>
              <w:rPr>
                <w:rFonts w:cs="Calibri"/>
                <w:szCs w:val="16"/>
              </w:rPr>
            </w:pPr>
            <w:r w:rsidRPr="00261B7A">
              <w:rPr>
                <w:rFonts w:cs="Calibri"/>
                <w:szCs w:val="16"/>
              </w:rPr>
              <w:t>Other (please specify) – Geothermal</w:t>
            </w:r>
          </w:p>
        </w:tc>
        <w:tc>
          <w:tcPr>
            <w:tcW w:w="510" w:type="dxa"/>
            <w:shd w:val="clear" w:color="auto" w:fill="FFFFFF"/>
            <w:tcMar>
              <w:top w:w="0" w:type="dxa"/>
              <w:left w:w="85" w:type="dxa"/>
              <w:bottom w:w="0" w:type="dxa"/>
              <w:right w:w="85" w:type="dxa"/>
            </w:tcMar>
          </w:tcPr>
          <w:p w14:paraId="4C8D6D20"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68A0395E" w14:textId="77777777" w:rsidR="006611EE" w:rsidRPr="00261B7A" w:rsidRDefault="006611EE" w:rsidP="000F09B5">
            <w:pPr>
              <w:pStyle w:val="TableText"/>
              <w:spacing w:before="40" w:after="40"/>
              <w:jc w:val="right"/>
              <w:rPr>
                <w:rFonts w:cs="Calibri"/>
                <w:szCs w:val="16"/>
              </w:rPr>
            </w:pPr>
            <w:r w:rsidRPr="00261B7A">
              <w:rPr>
                <w:rFonts w:cs="Calibri"/>
                <w:szCs w:val="16"/>
              </w:rPr>
              <w:t>228.6</w:t>
            </w:r>
          </w:p>
        </w:tc>
        <w:tc>
          <w:tcPr>
            <w:tcW w:w="851" w:type="dxa"/>
            <w:shd w:val="clear" w:color="auto" w:fill="FFFFFF"/>
            <w:tcMar>
              <w:top w:w="0" w:type="dxa"/>
              <w:left w:w="85" w:type="dxa"/>
              <w:bottom w:w="0" w:type="dxa"/>
              <w:right w:w="85" w:type="dxa"/>
            </w:tcMar>
          </w:tcPr>
          <w:p w14:paraId="65C5B5B2" w14:textId="77777777" w:rsidR="006611EE" w:rsidRPr="00261B7A" w:rsidRDefault="006611EE" w:rsidP="000F09B5">
            <w:pPr>
              <w:pStyle w:val="TableText"/>
              <w:spacing w:before="40" w:after="40"/>
              <w:jc w:val="right"/>
              <w:rPr>
                <w:rFonts w:cs="Calibri"/>
                <w:szCs w:val="16"/>
              </w:rPr>
            </w:pPr>
            <w:r w:rsidRPr="00261B7A">
              <w:rPr>
                <w:rFonts w:cs="Calibri"/>
                <w:szCs w:val="16"/>
              </w:rPr>
              <w:t>431.6</w:t>
            </w:r>
          </w:p>
        </w:tc>
        <w:tc>
          <w:tcPr>
            <w:tcW w:w="680" w:type="dxa"/>
            <w:shd w:val="clear" w:color="auto" w:fill="FFFFFF"/>
            <w:tcMar>
              <w:top w:w="0" w:type="dxa"/>
              <w:left w:w="85" w:type="dxa"/>
              <w:bottom w:w="0" w:type="dxa"/>
              <w:right w:w="85" w:type="dxa"/>
            </w:tcMar>
          </w:tcPr>
          <w:p w14:paraId="6CD852BD" w14:textId="77777777" w:rsidR="006611EE" w:rsidRPr="00261B7A" w:rsidRDefault="006611EE" w:rsidP="000F09B5">
            <w:pPr>
              <w:pStyle w:val="TableText"/>
              <w:spacing w:before="40" w:after="40"/>
              <w:jc w:val="right"/>
              <w:rPr>
                <w:rFonts w:cs="Calibri"/>
                <w:szCs w:val="16"/>
              </w:rPr>
            </w:pPr>
            <w:r w:rsidRPr="00261B7A">
              <w:rPr>
                <w:rFonts w:cs="Calibri"/>
                <w:szCs w:val="16"/>
              </w:rPr>
              <w:t>0.002</w:t>
            </w:r>
          </w:p>
        </w:tc>
        <w:tc>
          <w:tcPr>
            <w:tcW w:w="680" w:type="dxa"/>
            <w:shd w:val="clear" w:color="auto" w:fill="FFFFFF"/>
            <w:tcMar>
              <w:top w:w="0" w:type="dxa"/>
              <w:left w:w="85" w:type="dxa"/>
              <w:bottom w:w="0" w:type="dxa"/>
              <w:right w:w="85" w:type="dxa"/>
            </w:tcMar>
          </w:tcPr>
          <w:p w14:paraId="41EB1E23" w14:textId="77777777" w:rsidR="006611EE" w:rsidRPr="00261B7A" w:rsidRDefault="006611EE" w:rsidP="000F09B5">
            <w:pPr>
              <w:pStyle w:val="TableText"/>
              <w:spacing w:before="40" w:after="40"/>
              <w:jc w:val="right"/>
              <w:rPr>
                <w:rFonts w:cs="Calibri"/>
                <w:szCs w:val="16"/>
              </w:rPr>
            </w:pPr>
            <w:r w:rsidRPr="00261B7A">
              <w:rPr>
                <w:rFonts w:cs="Calibri"/>
                <w:szCs w:val="16"/>
              </w:rPr>
              <w:t>0.2</w:t>
            </w:r>
          </w:p>
        </w:tc>
        <w:tc>
          <w:tcPr>
            <w:tcW w:w="680" w:type="dxa"/>
            <w:shd w:val="clear" w:color="auto" w:fill="FFFFFF"/>
            <w:tcMar>
              <w:top w:w="0" w:type="dxa"/>
              <w:left w:w="85" w:type="dxa"/>
              <w:bottom w:w="0" w:type="dxa"/>
              <w:right w:w="85" w:type="dxa"/>
            </w:tcMar>
          </w:tcPr>
          <w:p w14:paraId="73EFF9C1" w14:textId="77777777" w:rsidR="006611EE" w:rsidRPr="00261B7A" w:rsidRDefault="006611EE" w:rsidP="000F09B5">
            <w:pPr>
              <w:pStyle w:val="TableText"/>
              <w:spacing w:before="40" w:after="40"/>
              <w:jc w:val="right"/>
              <w:rPr>
                <w:rFonts w:cs="Calibri"/>
                <w:szCs w:val="16"/>
              </w:rPr>
            </w:pPr>
            <w:r w:rsidRPr="00261B7A">
              <w:rPr>
                <w:rFonts w:cs="Calibri"/>
                <w:szCs w:val="16"/>
              </w:rPr>
              <w:t>94.7</w:t>
            </w:r>
          </w:p>
        </w:tc>
      </w:tr>
      <w:tr w:rsidR="006611EE" w:rsidRPr="00261B7A" w14:paraId="4633587C" w14:textId="77777777" w:rsidTr="000F09B5">
        <w:tc>
          <w:tcPr>
            <w:tcW w:w="567" w:type="dxa"/>
            <w:shd w:val="clear" w:color="auto" w:fill="FFFFFF"/>
            <w:tcMar>
              <w:top w:w="0" w:type="dxa"/>
              <w:left w:w="85" w:type="dxa"/>
              <w:bottom w:w="0" w:type="dxa"/>
              <w:right w:w="85" w:type="dxa"/>
            </w:tcMar>
          </w:tcPr>
          <w:p w14:paraId="2C89C784" w14:textId="77777777" w:rsidR="006611EE" w:rsidRPr="00261B7A" w:rsidRDefault="006611EE" w:rsidP="000F09B5">
            <w:pPr>
              <w:pStyle w:val="TableText"/>
              <w:spacing w:before="40" w:after="40"/>
              <w:rPr>
                <w:rFonts w:cs="Calibri"/>
                <w:szCs w:val="16"/>
              </w:rPr>
            </w:pPr>
            <w:r w:rsidRPr="00261B7A">
              <w:rPr>
                <w:rFonts w:cs="Calibri"/>
                <w:szCs w:val="16"/>
              </w:rPr>
              <w:t>1.A.4.a</w:t>
            </w:r>
          </w:p>
        </w:tc>
        <w:tc>
          <w:tcPr>
            <w:tcW w:w="2552" w:type="dxa"/>
            <w:shd w:val="clear" w:color="auto" w:fill="FFFFFF"/>
            <w:tcMar>
              <w:top w:w="0" w:type="dxa"/>
              <w:left w:w="85" w:type="dxa"/>
              <w:bottom w:w="0" w:type="dxa"/>
              <w:right w:w="85" w:type="dxa"/>
            </w:tcMar>
          </w:tcPr>
          <w:p w14:paraId="3CB7D723" w14:textId="77777777" w:rsidR="006611EE" w:rsidRPr="00261B7A" w:rsidRDefault="006611EE" w:rsidP="000F09B5">
            <w:pPr>
              <w:pStyle w:val="TableText"/>
              <w:spacing w:before="40" w:after="40"/>
              <w:rPr>
                <w:rFonts w:cs="Calibri"/>
                <w:szCs w:val="16"/>
              </w:rPr>
            </w:pPr>
            <w:r w:rsidRPr="00261B7A">
              <w:rPr>
                <w:rFonts w:cs="Calibri"/>
                <w:szCs w:val="16"/>
              </w:rPr>
              <w:t>Other Sectors – Commercial/Institutional Solid Fuels</w:t>
            </w:r>
          </w:p>
        </w:tc>
        <w:tc>
          <w:tcPr>
            <w:tcW w:w="510" w:type="dxa"/>
            <w:shd w:val="clear" w:color="auto" w:fill="FFFFFF"/>
            <w:tcMar>
              <w:top w:w="0" w:type="dxa"/>
              <w:left w:w="85" w:type="dxa"/>
              <w:bottom w:w="0" w:type="dxa"/>
              <w:right w:w="85" w:type="dxa"/>
            </w:tcMar>
          </w:tcPr>
          <w:p w14:paraId="73C53ECA"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7106CCDB" w14:textId="77777777" w:rsidR="006611EE" w:rsidRPr="00261B7A" w:rsidRDefault="006611EE" w:rsidP="000F09B5">
            <w:pPr>
              <w:pStyle w:val="TableText"/>
              <w:spacing w:before="40" w:after="40"/>
              <w:jc w:val="right"/>
              <w:rPr>
                <w:rFonts w:cs="Calibri"/>
                <w:szCs w:val="16"/>
              </w:rPr>
            </w:pPr>
            <w:r w:rsidRPr="00261B7A">
              <w:rPr>
                <w:rFonts w:cs="Calibri"/>
                <w:szCs w:val="16"/>
              </w:rPr>
              <w:t>142.2</w:t>
            </w:r>
          </w:p>
        </w:tc>
        <w:tc>
          <w:tcPr>
            <w:tcW w:w="851" w:type="dxa"/>
            <w:shd w:val="clear" w:color="auto" w:fill="FFFFFF"/>
            <w:tcMar>
              <w:top w:w="0" w:type="dxa"/>
              <w:left w:w="85" w:type="dxa"/>
              <w:bottom w:w="0" w:type="dxa"/>
              <w:right w:w="85" w:type="dxa"/>
            </w:tcMar>
          </w:tcPr>
          <w:p w14:paraId="2CEDE8F8" w14:textId="77777777" w:rsidR="006611EE" w:rsidRPr="00261B7A" w:rsidRDefault="006611EE" w:rsidP="000F09B5">
            <w:pPr>
              <w:pStyle w:val="TableText"/>
              <w:spacing w:before="40" w:after="40"/>
              <w:jc w:val="right"/>
              <w:rPr>
                <w:rFonts w:cs="Calibri"/>
                <w:szCs w:val="16"/>
              </w:rPr>
            </w:pPr>
            <w:r w:rsidRPr="00261B7A">
              <w:rPr>
                <w:rFonts w:cs="Calibri"/>
                <w:szCs w:val="16"/>
              </w:rPr>
              <w:t>44.8</w:t>
            </w:r>
          </w:p>
        </w:tc>
        <w:tc>
          <w:tcPr>
            <w:tcW w:w="680" w:type="dxa"/>
            <w:shd w:val="clear" w:color="auto" w:fill="FFFFFF"/>
            <w:tcMar>
              <w:top w:w="0" w:type="dxa"/>
              <w:left w:w="85" w:type="dxa"/>
              <w:bottom w:w="0" w:type="dxa"/>
              <w:right w:w="85" w:type="dxa"/>
            </w:tcMar>
          </w:tcPr>
          <w:p w14:paraId="3E0F2BDD" w14:textId="77777777" w:rsidR="006611EE" w:rsidRPr="00261B7A" w:rsidRDefault="006611EE" w:rsidP="000F09B5">
            <w:pPr>
              <w:pStyle w:val="TableText"/>
              <w:spacing w:before="40" w:after="40"/>
              <w:jc w:val="right"/>
              <w:rPr>
                <w:rFonts w:cs="Calibri"/>
                <w:szCs w:val="16"/>
              </w:rPr>
            </w:pPr>
            <w:r w:rsidRPr="00261B7A">
              <w:rPr>
                <w:rFonts w:cs="Calibri"/>
                <w:szCs w:val="16"/>
              </w:rPr>
              <w:t>0.002</w:t>
            </w:r>
          </w:p>
        </w:tc>
        <w:tc>
          <w:tcPr>
            <w:tcW w:w="680" w:type="dxa"/>
            <w:shd w:val="clear" w:color="auto" w:fill="FFFFFF"/>
            <w:tcMar>
              <w:top w:w="0" w:type="dxa"/>
              <w:left w:w="85" w:type="dxa"/>
              <w:bottom w:w="0" w:type="dxa"/>
              <w:right w:w="85" w:type="dxa"/>
            </w:tcMar>
          </w:tcPr>
          <w:p w14:paraId="671298D8" w14:textId="77777777" w:rsidR="006611EE" w:rsidRPr="00261B7A" w:rsidRDefault="006611EE" w:rsidP="000F09B5">
            <w:pPr>
              <w:pStyle w:val="TableText"/>
              <w:spacing w:before="40" w:after="40"/>
              <w:jc w:val="right"/>
              <w:rPr>
                <w:rFonts w:cs="Calibri"/>
                <w:szCs w:val="16"/>
              </w:rPr>
            </w:pPr>
            <w:r w:rsidRPr="00261B7A">
              <w:rPr>
                <w:rFonts w:cs="Calibri"/>
                <w:szCs w:val="16"/>
              </w:rPr>
              <w:t>0.2</w:t>
            </w:r>
          </w:p>
        </w:tc>
        <w:tc>
          <w:tcPr>
            <w:tcW w:w="680" w:type="dxa"/>
            <w:shd w:val="clear" w:color="auto" w:fill="FFFFFF"/>
            <w:tcMar>
              <w:top w:w="0" w:type="dxa"/>
              <w:left w:w="85" w:type="dxa"/>
              <w:bottom w:w="0" w:type="dxa"/>
              <w:right w:w="85" w:type="dxa"/>
            </w:tcMar>
          </w:tcPr>
          <w:p w14:paraId="4F7E9552" w14:textId="77777777" w:rsidR="006611EE" w:rsidRPr="00261B7A" w:rsidRDefault="006611EE" w:rsidP="000F09B5">
            <w:pPr>
              <w:pStyle w:val="TableText"/>
              <w:spacing w:before="40" w:after="40"/>
              <w:jc w:val="right"/>
              <w:rPr>
                <w:rFonts w:cs="Calibri"/>
                <w:szCs w:val="16"/>
              </w:rPr>
            </w:pPr>
            <w:r w:rsidRPr="00261B7A">
              <w:rPr>
                <w:rFonts w:cs="Calibri"/>
                <w:szCs w:val="16"/>
              </w:rPr>
              <w:t>94.9</w:t>
            </w:r>
          </w:p>
        </w:tc>
      </w:tr>
      <w:tr w:rsidR="006611EE" w:rsidRPr="00261B7A" w14:paraId="25A4ED0E" w14:textId="77777777" w:rsidTr="000F09B5">
        <w:tc>
          <w:tcPr>
            <w:tcW w:w="567" w:type="dxa"/>
            <w:shd w:val="clear" w:color="auto" w:fill="FFFFFF"/>
            <w:tcMar>
              <w:top w:w="0" w:type="dxa"/>
              <w:left w:w="85" w:type="dxa"/>
              <w:bottom w:w="0" w:type="dxa"/>
              <w:right w:w="85" w:type="dxa"/>
            </w:tcMar>
          </w:tcPr>
          <w:p w14:paraId="3AD663E4" w14:textId="77777777" w:rsidR="006611EE" w:rsidRPr="00261B7A" w:rsidRDefault="006611EE" w:rsidP="000F09B5">
            <w:pPr>
              <w:pStyle w:val="TableText"/>
              <w:spacing w:before="40" w:after="40"/>
              <w:rPr>
                <w:rFonts w:cs="Calibri"/>
                <w:szCs w:val="16"/>
              </w:rPr>
            </w:pPr>
            <w:r w:rsidRPr="00261B7A">
              <w:rPr>
                <w:rFonts w:cs="Calibri"/>
                <w:szCs w:val="16"/>
              </w:rPr>
              <w:t>4.B.1</w:t>
            </w:r>
          </w:p>
        </w:tc>
        <w:tc>
          <w:tcPr>
            <w:tcW w:w="2552" w:type="dxa"/>
            <w:shd w:val="clear" w:color="auto" w:fill="FFFFFF"/>
            <w:tcMar>
              <w:top w:w="0" w:type="dxa"/>
              <w:left w:w="85" w:type="dxa"/>
              <w:bottom w:w="0" w:type="dxa"/>
              <w:right w:w="85" w:type="dxa"/>
            </w:tcMar>
          </w:tcPr>
          <w:p w14:paraId="4DC2E94F" w14:textId="77777777" w:rsidR="006611EE" w:rsidRPr="00261B7A" w:rsidRDefault="006611EE" w:rsidP="000F09B5">
            <w:pPr>
              <w:pStyle w:val="TableText"/>
              <w:spacing w:before="40" w:after="40"/>
              <w:rPr>
                <w:rFonts w:cs="Calibri"/>
                <w:szCs w:val="16"/>
              </w:rPr>
            </w:pPr>
            <w:r w:rsidRPr="00261B7A">
              <w:rPr>
                <w:rFonts w:cs="Calibri"/>
                <w:szCs w:val="16"/>
              </w:rPr>
              <w:t>Cropland – Cropland Remaining Cropland</w:t>
            </w:r>
          </w:p>
        </w:tc>
        <w:tc>
          <w:tcPr>
            <w:tcW w:w="510" w:type="dxa"/>
            <w:shd w:val="clear" w:color="auto" w:fill="FFFFFF"/>
            <w:tcMar>
              <w:top w:w="0" w:type="dxa"/>
              <w:left w:w="85" w:type="dxa"/>
              <w:bottom w:w="0" w:type="dxa"/>
              <w:right w:w="85" w:type="dxa"/>
            </w:tcMar>
          </w:tcPr>
          <w:p w14:paraId="497D607A" w14:textId="77777777" w:rsidR="006611EE" w:rsidRPr="00261B7A" w:rsidRDefault="006611EE" w:rsidP="000F09B5">
            <w:pPr>
              <w:pStyle w:val="TableText"/>
              <w:spacing w:before="40" w:after="40"/>
              <w:jc w:val="center"/>
              <w:rPr>
                <w:rFonts w:cs="Calibri"/>
                <w:szCs w:val="16"/>
              </w:rPr>
            </w:pPr>
            <w:r w:rsidRPr="00261B7A">
              <w:rPr>
                <w:rFonts w:cs="Calibri"/>
                <w:szCs w:val="16"/>
              </w:rPr>
              <w:t>CO</w:t>
            </w:r>
            <w:r w:rsidRPr="00261B7A">
              <w:rPr>
                <w:rFonts w:cs="Calibri"/>
                <w:szCs w:val="16"/>
                <w:vertAlign w:val="subscript"/>
              </w:rPr>
              <w:t>2</w:t>
            </w:r>
          </w:p>
        </w:tc>
        <w:tc>
          <w:tcPr>
            <w:tcW w:w="851" w:type="dxa"/>
            <w:shd w:val="clear" w:color="auto" w:fill="FFFFFF"/>
            <w:tcMar>
              <w:top w:w="0" w:type="dxa"/>
              <w:left w:w="85" w:type="dxa"/>
              <w:bottom w:w="0" w:type="dxa"/>
              <w:right w:w="85" w:type="dxa"/>
            </w:tcMar>
          </w:tcPr>
          <w:p w14:paraId="69EB0DEC" w14:textId="77777777" w:rsidR="006611EE" w:rsidRPr="00261B7A" w:rsidRDefault="006611EE" w:rsidP="000F09B5">
            <w:pPr>
              <w:pStyle w:val="TableText"/>
              <w:spacing w:before="40" w:after="40"/>
              <w:jc w:val="right"/>
              <w:rPr>
                <w:rFonts w:cs="Calibri"/>
                <w:szCs w:val="16"/>
              </w:rPr>
            </w:pPr>
            <w:r w:rsidRPr="00261B7A">
              <w:rPr>
                <w:rFonts w:cs="Calibri"/>
                <w:szCs w:val="16"/>
              </w:rPr>
              <w:t>351.2</w:t>
            </w:r>
          </w:p>
        </w:tc>
        <w:tc>
          <w:tcPr>
            <w:tcW w:w="851" w:type="dxa"/>
            <w:shd w:val="clear" w:color="auto" w:fill="FFFFFF"/>
            <w:tcMar>
              <w:top w:w="0" w:type="dxa"/>
              <w:left w:w="85" w:type="dxa"/>
              <w:bottom w:w="0" w:type="dxa"/>
              <w:right w:w="85" w:type="dxa"/>
            </w:tcMar>
          </w:tcPr>
          <w:p w14:paraId="7981FC42" w14:textId="77777777" w:rsidR="006611EE" w:rsidRPr="00261B7A" w:rsidRDefault="006611EE" w:rsidP="000F09B5">
            <w:pPr>
              <w:pStyle w:val="TableText"/>
              <w:spacing w:before="40" w:after="40"/>
              <w:jc w:val="right"/>
              <w:rPr>
                <w:rFonts w:cs="Calibri"/>
                <w:szCs w:val="16"/>
              </w:rPr>
            </w:pPr>
            <w:r w:rsidRPr="00261B7A">
              <w:rPr>
                <w:rFonts w:cs="Calibri"/>
                <w:szCs w:val="16"/>
              </w:rPr>
              <w:t>320.7</w:t>
            </w:r>
          </w:p>
        </w:tc>
        <w:tc>
          <w:tcPr>
            <w:tcW w:w="680" w:type="dxa"/>
            <w:shd w:val="clear" w:color="auto" w:fill="FFFFFF"/>
            <w:tcMar>
              <w:top w:w="0" w:type="dxa"/>
              <w:left w:w="85" w:type="dxa"/>
              <w:bottom w:w="0" w:type="dxa"/>
              <w:right w:w="85" w:type="dxa"/>
            </w:tcMar>
          </w:tcPr>
          <w:p w14:paraId="0AB774E7" w14:textId="77777777" w:rsidR="006611EE" w:rsidRPr="00261B7A" w:rsidRDefault="006611EE" w:rsidP="000F09B5">
            <w:pPr>
              <w:pStyle w:val="TableText"/>
              <w:spacing w:before="40" w:after="40"/>
              <w:jc w:val="right"/>
              <w:rPr>
                <w:rFonts w:cs="Calibri"/>
                <w:szCs w:val="16"/>
              </w:rPr>
            </w:pPr>
            <w:r w:rsidRPr="00261B7A">
              <w:rPr>
                <w:rFonts w:cs="Calibri"/>
                <w:szCs w:val="16"/>
              </w:rPr>
              <w:t>0.001</w:t>
            </w:r>
          </w:p>
        </w:tc>
        <w:tc>
          <w:tcPr>
            <w:tcW w:w="680" w:type="dxa"/>
            <w:shd w:val="clear" w:color="auto" w:fill="FFFFFF"/>
            <w:tcMar>
              <w:top w:w="0" w:type="dxa"/>
              <w:left w:w="85" w:type="dxa"/>
              <w:bottom w:w="0" w:type="dxa"/>
              <w:right w:w="85" w:type="dxa"/>
            </w:tcMar>
          </w:tcPr>
          <w:p w14:paraId="3B0C7E63" w14:textId="77777777" w:rsidR="006611EE" w:rsidRPr="00261B7A" w:rsidRDefault="006611EE" w:rsidP="000F09B5">
            <w:pPr>
              <w:pStyle w:val="TableText"/>
              <w:spacing w:before="40" w:after="40"/>
              <w:jc w:val="right"/>
              <w:rPr>
                <w:rFonts w:cs="Calibri"/>
                <w:szCs w:val="16"/>
              </w:rPr>
            </w:pPr>
            <w:r w:rsidRPr="00261B7A">
              <w:rPr>
                <w:rFonts w:cs="Calibri"/>
                <w:szCs w:val="16"/>
              </w:rPr>
              <w:t>0.2</w:t>
            </w:r>
          </w:p>
        </w:tc>
        <w:tc>
          <w:tcPr>
            <w:tcW w:w="680" w:type="dxa"/>
            <w:shd w:val="clear" w:color="auto" w:fill="FFFFFF"/>
            <w:tcMar>
              <w:top w:w="0" w:type="dxa"/>
              <w:left w:w="85" w:type="dxa"/>
              <w:bottom w:w="0" w:type="dxa"/>
              <w:right w:w="85" w:type="dxa"/>
            </w:tcMar>
          </w:tcPr>
          <w:p w14:paraId="695965D8" w14:textId="77777777" w:rsidR="006611EE" w:rsidRPr="00261B7A" w:rsidRDefault="006611EE" w:rsidP="000F09B5">
            <w:pPr>
              <w:pStyle w:val="TableText"/>
              <w:spacing w:before="40" w:after="40"/>
              <w:jc w:val="right"/>
              <w:rPr>
                <w:rFonts w:cs="Calibri"/>
                <w:szCs w:val="16"/>
              </w:rPr>
            </w:pPr>
            <w:r w:rsidRPr="00261B7A">
              <w:rPr>
                <w:rFonts w:cs="Calibri"/>
                <w:szCs w:val="16"/>
              </w:rPr>
              <w:t>95.0</w:t>
            </w:r>
          </w:p>
        </w:tc>
      </w:tr>
    </w:tbl>
    <w:p w14:paraId="432706E8" w14:textId="77777777" w:rsidR="006611EE" w:rsidRPr="00261B7A" w:rsidRDefault="006611EE" w:rsidP="006611EE">
      <w:pPr>
        <w:pStyle w:val="BodyText"/>
        <w:spacing w:before="0" w:after="0"/>
      </w:pPr>
    </w:p>
    <w:p w14:paraId="4B40BD6F" w14:textId="77777777" w:rsidR="006611EE" w:rsidRPr="00261B7A" w:rsidRDefault="006611EE" w:rsidP="006611EE">
      <w:pPr>
        <w:pStyle w:val="BodyText"/>
        <w:rPr>
          <w:b/>
          <w:bCs/>
          <w:sz w:val="18"/>
          <w:szCs w:val="18"/>
        </w:rPr>
      </w:pPr>
      <w:r w:rsidRPr="00261B7A">
        <w:rPr>
          <w:b/>
          <w:bCs/>
          <w:sz w:val="18"/>
          <w:szCs w:val="18"/>
        </w:rPr>
        <w:t>(b)</w:t>
      </w:r>
      <w:r w:rsidRPr="00261B7A">
        <w:rPr>
          <w:b/>
          <w:bCs/>
          <w:sz w:val="18"/>
          <w:szCs w:val="18"/>
        </w:rPr>
        <w:tab/>
        <w:t>IPCC Tier 1 category trend assessment – excluding LULUCF (gross emissions)</w:t>
      </w:r>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907"/>
        <w:gridCol w:w="2510"/>
        <w:gridCol w:w="525"/>
        <w:gridCol w:w="817"/>
        <w:gridCol w:w="817"/>
        <w:gridCol w:w="965"/>
        <w:gridCol w:w="1028"/>
        <w:gridCol w:w="936"/>
      </w:tblGrid>
      <w:tr w:rsidR="006611EE" w:rsidRPr="00261B7A" w14:paraId="3540DAA2" w14:textId="77777777" w:rsidTr="000F09B5">
        <w:trPr>
          <w:tblHeader/>
        </w:trPr>
        <w:tc>
          <w:tcPr>
            <w:tcW w:w="567" w:type="dxa"/>
            <w:shd w:val="clear" w:color="auto" w:fill="1B556B"/>
            <w:tcMar>
              <w:top w:w="0" w:type="dxa"/>
              <w:left w:w="85" w:type="dxa"/>
              <w:bottom w:w="0" w:type="dxa"/>
              <w:right w:w="85" w:type="dxa"/>
            </w:tcMar>
            <w:vAlign w:val="bottom"/>
          </w:tcPr>
          <w:p w14:paraId="0DB02C49" w14:textId="77777777" w:rsidR="006611EE" w:rsidRPr="00261B7A" w:rsidRDefault="006611EE" w:rsidP="000F09B5">
            <w:pPr>
              <w:pStyle w:val="TableText"/>
              <w:spacing w:before="40" w:after="40"/>
              <w:rPr>
                <w:b/>
                <w:bCs/>
                <w:color w:val="FFFFFF" w:themeColor="background1"/>
              </w:rPr>
            </w:pPr>
            <w:r w:rsidRPr="00261B7A">
              <w:rPr>
                <w:rFonts w:eastAsia="Calibri"/>
                <w:b/>
                <w:bCs/>
                <w:color w:val="FFFFFF" w:themeColor="background1"/>
              </w:rPr>
              <w:t>CRF category code</w:t>
            </w:r>
          </w:p>
        </w:tc>
        <w:tc>
          <w:tcPr>
            <w:tcW w:w="2438" w:type="dxa"/>
            <w:shd w:val="clear" w:color="auto" w:fill="1B556B"/>
            <w:tcMar>
              <w:top w:w="0" w:type="dxa"/>
              <w:left w:w="85" w:type="dxa"/>
              <w:bottom w:w="0" w:type="dxa"/>
              <w:right w:w="85" w:type="dxa"/>
            </w:tcMar>
            <w:vAlign w:val="bottom"/>
          </w:tcPr>
          <w:p w14:paraId="3A9FA1A5" w14:textId="77777777" w:rsidR="006611EE" w:rsidRPr="00261B7A" w:rsidRDefault="006611EE" w:rsidP="000F09B5">
            <w:pPr>
              <w:pStyle w:val="TableText"/>
              <w:spacing w:before="40" w:after="40"/>
              <w:rPr>
                <w:b/>
                <w:bCs/>
                <w:color w:val="FFFFFF" w:themeColor="background1"/>
              </w:rPr>
            </w:pPr>
            <w:r w:rsidRPr="00261B7A">
              <w:rPr>
                <w:rFonts w:eastAsia="Calibri"/>
                <w:b/>
                <w:bCs/>
                <w:color w:val="FFFFFF" w:themeColor="background1"/>
              </w:rPr>
              <w:t>IPCC category</w:t>
            </w:r>
          </w:p>
        </w:tc>
        <w:tc>
          <w:tcPr>
            <w:tcW w:w="510" w:type="dxa"/>
            <w:shd w:val="clear" w:color="auto" w:fill="1B556B"/>
            <w:tcMar>
              <w:top w:w="0" w:type="dxa"/>
              <w:left w:w="85" w:type="dxa"/>
              <w:bottom w:w="0" w:type="dxa"/>
              <w:right w:w="85" w:type="dxa"/>
            </w:tcMar>
            <w:vAlign w:val="bottom"/>
          </w:tcPr>
          <w:p w14:paraId="19090877" w14:textId="77777777" w:rsidR="006611EE" w:rsidRPr="00261B7A" w:rsidRDefault="006611EE" w:rsidP="000F09B5">
            <w:pPr>
              <w:pStyle w:val="TableText"/>
              <w:spacing w:before="40" w:after="40"/>
              <w:jc w:val="center"/>
              <w:rPr>
                <w:b/>
                <w:bCs/>
                <w:color w:val="FFFFFF" w:themeColor="background1"/>
              </w:rPr>
            </w:pPr>
            <w:r w:rsidRPr="00261B7A">
              <w:rPr>
                <w:rFonts w:eastAsia="Calibri"/>
                <w:b/>
                <w:bCs/>
                <w:color w:val="FFFFFF" w:themeColor="background1"/>
              </w:rPr>
              <w:t>Gas</w:t>
            </w:r>
          </w:p>
        </w:tc>
        <w:tc>
          <w:tcPr>
            <w:tcW w:w="794" w:type="dxa"/>
            <w:shd w:val="clear" w:color="auto" w:fill="1B556B"/>
            <w:tcMar>
              <w:top w:w="0" w:type="dxa"/>
              <w:left w:w="85" w:type="dxa"/>
              <w:bottom w:w="0" w:type="dxa"/>
              <w:right w:w="85" w:type="dxa"/>
            </w:tcMar>
            <w:vAlign w:val="bottom"/>
          </w:tcPr>
          <w:p w14:paraId="0A9688B0" w14:textId="77777777" w:rsidR="006611EE" w:rsidRPr="00261B7A" w:rsidRDefault="006611EE" w:rsidP="000F09B5">
            <w:pPr>
              <w:pStyle w:val="TableText"/>
              <w:spacing w:before="40" w:after="40"/>
              <w:jc w:val="right"/>
              <w:rPr>
                <w:b/>
                <w:bCs/>
                <w:color w:val="FFFFFF" w:themeColor="background1"/>
              </w:rPr>
            </w:pPr>
            <w:r w:rsidRPr="00261B7A">
              <w:rPr>
                <w:rFonts w:eastAsia="Calibri"/>
                <w:b/>
                <w:bCs/>
                <w:color w:val="FFFFFF" w:themeColor="background1"/>
              </w:rPr>
              <w:t>1990 estimate (kt CO</w:t>
            </w:r>
            <w:r w:rsidRPr="00261B7A">
              <w:rPr>
                <w:rFonts w:eastAsia="Calibri"/>
                <w:b/>
                <w:bCs/>
                <w:color w:val="FFFFFF" w:themeColor="background1"/>
                <w:vertAlign w:val="subscript"/>
              </w:rPr>
              <w:t>2</w:t>
            </w:r>
            <w:r w:rsidRPr="00261B7A">
              <w:rPr>
                <w:rFonts w:eastAsia="Calibri"/>
                <w:b/>
                <w:bCs/>
                <w:color w:val="FFFFFF" w:themeColor="background1"/>
              </w:rPr>
              <w:t>-e)</w:t>
            </w:r>
          </w:p>
        </w:tc>
        <w:tc>
          <w:tcPr>
            <w:tcW w:w="794" w:type="dxa"/>
            <w:shd w:val="clear" w:color="auto" w:fill="1B556B"/>
            <w:tcMar>
              <w:top w:w="0" w:type="dxa"/>
              <w:left w:w="85" w:type="dxa"/>
              <w:bottom w:w="0" w:type="dxa"/>
              <w:right w:w="85" w:type="dxa"/>
            </w:tcMar>
            <w:vAlign w:val="bottom"/>
          </w:tcPr>
          <w:p w14:paraId="4C06780B" w14:textId="77777777" w:rsidR="006611EE" w:rsidRPr="00261B7A" w:rsidRDefault="006611EE" w:rsidP="000F09B5">
            <w:pPr>
              <w:pStyle w:val="TableText"/>
              <w:spacing w:before="40" w:after="40"/>
              <w:jc w:val="right"/>
              <w:rPr>
                <w:b/>
                <w:bCs/>
                <w:color w:val="FFFFFF" w:themeColor="background1"/>
              </w:rPr>
            </w:pPr>
            <w:r w:rsidRPr="00261B7A">
              <w:rPr>
                <w:rFonts w:eastAsia="Calibri"/>
                <w:b/>
                <w:bCs/>
                <w:color w:val="FFFFFF" w:themeColor="background1"/>
              </w:rPr>
              <w:t>2021 estimate (kt CO</w:t>
            </w:r>
            <w:r w:rsidRPr="00261B7A">
              <w:rPr>
                <w:rFonts w:eastAsia="Calibri"/>
                <w:b/>
                <w:bCs/>
                <w:color w:val="FFFFFF" w:themeColor="background1"/>
                <w:vertAlign w:val="subscript"/>
              </w:rPr>
              <w:t>2</w:t>
            </w:r>
            <w:r w:rsidRPr="00261B7A">
              <w:rPr>
                <w:rFonts w:eastAsia="Calibri"/>
                <w:b/>
                <w:bCs/>
                <w:color w:val="FFFFFF" w:themeColor="background1"/>
              </w:rPr>
              <w:t>-e)</w:t>
            </w:r>
          </w:p>
        </w:tc>
        <w:tc>
          <w:tcPr>
            <w:tcW w:w="794" w:type="dxa"/>
            <w:shd w:val="clear" w:color="auto" w:fill="1B556B"/>
            <w:tcMar>
              <w:top w:w="0" w:type="dxa"/>
              <w:left w:w="85" w:type="dxa"/>
              <w:bottom w:w="0" w:type="dxa"/>
              <w:right w:w="85" w:type="dxa"/>
            </w:tcMar>
            <w:vAlign w:val="bottom"/>
          </w:tcPr>
          <w:p w14:paraId="2F380900" w14:textId="77777777" w:rsidR="006611EE" w:rsidRPr="00261B7A" w:rsidRDefault="006611EE" w:rsidP="000F09B5">
            <w:pPr>
              <w:pStyle w:val="TableText"/>
              <w:spacing w:before="40" w:after="40"/>
              <w:jc w:val="right"/>
              <w:rPr>
                <w:b/>
                <w:bCs/>
                <w:color w:val="FFFFFF" w:themeColor="background1"/>
              </w:rPr>
            </w:pPr>
            <w:r w:rsidRPr="00261B7A">
              <w:rPr>
                <w:rFonts w:eastAsia="Calibri"/>
                <w:b/>
                <w:bCs/>
                <w:color w:val="FFFFFF" w:themeColor="background1"/>
              </w:rPr>
              <w:t>Trend assessment</w:t>
            </w:r>
          </w:p>
        </w:tc>
        <w:tc>
          <w:tcPr>
            <w:tcW w:w="680" w:type="dxa"/>
            <w:shd w:val="clear" w:color="auto" w:fill="1B556B"/>
            <w:tcMar>
              <w:top w:w="0" w:type="dxa"/>
              <w:left w:w="85" w:type="dxa"/>
              <w:bottom w:w="0" w:type="dxa"/>
              <w:right w:w="85" w:type="dxa"/>
            </w:tcMar>
            <w:vAlign w:val="bottom"/>
          </w:tcPr>
          <w:p w14:paraId="13BE1806" w14:textId="77777777" w:rsidR="006611EE" w:rsidRPr="00261B7A" w:rsidRDefault="006611EE" w:rsidP="000F09B5">
            <w:pPr>
              <w:pStyle w:val="TableText"/>
              <w:spacing w:before="40" w:after="40"/>
              <w:jc w:val="right"/>
              <w:rPr>
                <w:b/>
                <w:bCs/>
                <w:color w:val="FFFFFF" w:themeColor="background1"/>
              </w:rPr>
            </w:pPr>
            <w:r w:rsidRPr="00261B7A">
              <w:rPr>
                <w:rFonts w:eastAsia="Calibri"/>
                <w:b/>
                <w:bCs/>
                <w:color w:val="FFFFFF" w:themeColor="background1"/>
              </w:rPr>
              <w:t>Absolute contribution to trend (%)</w:t>
            </w:r>
          </w:p>
        </w:tc>
        <w:tc>
          <w:tcPr>
            <w:tcW w:w="680" w:type="dxa"/>
            <w:shd w:val="clear" w:color="auto" w:fill="1B556B"/>
            <w:tcMar>
              <w:top w:w="0" w:type="dxa"/>
              <w:left w:w="85" w:type="dxa"/>
              <w:bottom w:w="0" w:type="dxa"/>
              <w:right w:w="85" w:type="dxa"/>
            </w:tcMar>
            <w:vAlign w:val="bottom"/>
          </w:tcPr>
          <w:p w14:paraId="7EAC5B8B" w14:textId="77777777" w:rsidR="006611EE" w:rsidRPr="00261B7A" w:rsidRDefault="006611EE" w:rsidP="000F09B5">
            <w:pPr>
              <w:pStyle w:val="TableText"/>
              <w:spacing w:before="40" w:after="40"/>
              <w:jc w:val="right"/>
              <w:rPr>
                <w:b/>
                <w:bCs/>
                <w:color w:val="FFFFFF" w:themeColor="background1"/>
              </w:rPr>
            </w:pPr>
            <w:r w:rsidRPr="00261B7A">
              <w:rPr>
                <w:rFonts w:eastAsia="Calibri"/>
                <w:b/>
                <w:bCs/>
                <w:color w:val="FFFFFF" w:themeColor="background1"/>
              </w:rPr>
              <w:t>Absolute cumulative total (%)</w:t>
            </w:r>
          </w:p>
        </w:tc>
      </w:tr>
      <w:tr w:rsidR="006611EE" w:rsidRPr="00261B7A" w14:paraId="5DC9D105" w14:textId="77777777" w:rsidTr="000F09B5">
        <w:tc>
          <w:tcPr>
            <w:tcW w:w="567" w:type="dxa"/>
            <w:shd w:val="clear" w:color="auto" w:fill="FFFFFF"/>
            <w:tcMar>
              <w:top w:w="0" w:type="dxa"/>
              <w:left w:w="85" w:type="dxa"/>
              <w:bottom w:w="0" w:type="dxa"/>
              <w:right w:w="85" w:type="dxa"/>
            </w:tcMar>
          </w:tcPr>
          <w:p w14:paraId="14104B80" w14:textId="77777777" w:rsidR="006611EE" w:rsidRPr="00261B7A" w:rsidRDefault="006611EE" w:rsidP="000F09B5">
            <w:pPr>
              <w:pStyle w:val="TableText"/>
              <w:spacing w:before="40" w:after="40"/>
              <w:rPr>
                <w:rFonts w:cstheme="minorHAnsi"/>
              </w:rPr>
            </w:pPr>
            <w:r w:rsidRPr="00261B7A">
              <w:rPr>
                <w:rFonts w:cstheme="minorHAnsi"/>
                <w:color w:val="000000"/>
              </w:rPr>
              <w:t>3.A.2</w:t>
            </w:r>
          </w:p>
        </w:tc>
        <w:tc>
          <w:tcPr>
            <w:tcW w:w="2438" w:type="dxa"/>
            <w:shd w:val="clear" w:color="auto" w:fill="FFFFFF"/>
            <w:tcMar>
              <w:top w:w="0" w:type="dxa"/>
              <w:left w:w="85" w:type="dxa"/>
              <w:bottom w:w="0" w:type="dxa"/>
              <w:right w:w="85" w:type="dxa"/>
            </w:tcMar>
          </w:tcPr>
          <w:p w14:paraId="502D2E63" w14:textId="77777777" w:rsidR="006611EE" w:rsidRPr="00261B7A" w:rsidRDefault="006611EE" w:rsidP="000F09B5">
            <w:pPr>
              <w:pStyle w:val="TableText"/>
              <w:spacing w:before="40" w:after="40"/>
              <w:rPr>
                <w:rFonts w:cstheme="minorHAnsi"/>
              </w:rPr>
            </w:pPr>
            <w:r w:rsidRPr="00261B7A">
              <w:rPr>
                <w:rFonts w:cstheme="minorHAnsi"/>
                <w:color w:val="000000"/>
              </w:rPr>
              <w:t>Other (please specify) – Sheep</w:t>
            </w:r>
          </w:p>
        </w:tc>
        <w:tc>
          <w:tcPr>
            <w:tcW w:w="510" w:type="dxa"/>
            <w:shd w:val="clear" w:color="auto" w:fill="FFFFFF"/>
            <w:tcMar>
              <w:top w:w="0" w:type="dxa"/>
              <w:left w:w="85" w:type="dxa"/>
              <w:bottom w:w="0" w:type="dxa"/>
              <w:right w:w="85" w:type="dxa"/>
            </w:tcMar>
          </w:tcPr>
          <w:p w14:paraId="70597157"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794" w:type="dxa"/>
            <w:shd w:val="clear" w:color="auto" w:fill="FFFFFF"/>
            <w:tcMar>
              <w:top w:w="0" w:type="dxa"/>
              <w:left w:w="85" w:type="dxa"/>
              <w:bottom w:w="0" w:type="dxa"/>
              <w:right w:w="85" w:type="dxa"/>
            </w:tcMar>
          </w:tcPr>
          <w:p w14:paraId="325E0D98" w14:textId="77777777" w:rsidR="006611EE" w:rsidRPr="00261B7A" w:rsidRDefault="006611EE" w:rsidP="000F09B5">
            <w:pPr>
              <w:pStyle w:val="TableText"/>
              <w:spacing w:before="40" w:after="40"/>
              <w:jc w:val="right"/>
              <w:rPr>
                <w:rFonts w:cstheme="minorHAnsi"/>
              </w:rPr>
            </w:pPr>
            <w:r w:rsidRPr="00261B7A">
              <w:rPr>
                <w:rFonts w:cstheme="minorHAnsi"/>
                <w:color w:val="000000"/>
              </w:rPr>
              <w:t>14,407.4</w:t>
            </w:r>
          </w:p>
        </w:tc>
        <w:tc>
          <w:tcPr>
            <w:tcW w:w="794" w:type="dxa"/>
            <w:shd w:val="clear" w:color="auto" w:fill="FFFFFF"/>
            <w:tcMar>
              <w:top w:w="0" w:type="dxa"/>
              <w:left w:w="85" w:type="dxa"/>
              <w:bottom w:w="0" w:type="dxa"/>
              <w:right w:w="85" w:type="dxa"/>
            </w:tcMar>
          </w:tcPr>
          <w:p w14:paraId="5D3C44C7" w14:textId="77777777" w:rsidR="006611EE" w:rsidRPr="00261B7A" w:rsidRDefault="006611EE" w:rsidP="000F09B5">
            <w:pPr>
              <w:pStyle w:val="TableText"/>
              <w:spacing w:before="40" w:after="40"/>
              <w:jc w:val="right"/>
              <w:rPr>
                <w:rFonts w:cstheme="minorHAnsi"/>
              </w:rPr>
            </w:pPr>
            <w:r w:rsidRPr="00261B7A">
              <w:rPr>
                <w:rFonts w:cstheme="minorHAnsi"/>
                <w:color w:val="000000"/>
              </w:rPr>
              <w:t>8,011.9</w:t>
            </w:r>
          </w:p>
        </w:tc>
        <w:tc>
          <w:tcPr>
            <w:tcW w:w="794" w:type="dxa"/>
            <w:shd w:val="clear" w:color="auto" w:fill="FFFFFF"/>
            <w:tcMar>
              <w:top w:w="0" w:type="dxa"/>
              <w:left w:w="85" w:type="dxa"/>
              <w:bottom w:w="0" w:type="dxa"/>
              <w:right w:w="85" w:type="dxa"/>
            </w:tcMar>
          </w:tcPr>
          <w:p w14:paraId="6C2767D9" w14:textId="77777777" w:rsidR="006611EE" w:rsidRPr="00261B7A" w:rsidRDefault="006611EE" w:rsidP="000F09B5">
            <w:pPr>
              <w:pStyle w:val="TableText"/>
              <w:spacing w:before="40" w:after="40"/>
              <w:jc w:val="right"/>
              <w:rPr>
                <w:rFonts w:cstheme="minorHAnsi"/>
              </w:rPr>
            </w:pPr>
            <w:r w:rsidRPr="00261B7A">
              <w:rPr>
                <w:rFonts w:cstheme="minorHAnsi"/>
                <w:color w:val="000000"/>
              </w:rPr>
              <w:t>0.140</w:t>
            </w:r>
          </w:p>
        </w:tc>
        <w:tc>
          <w:tcPr>
            <w:tcW w:w="680" w:type="dxa"/>
            <w:shd w:val="clear" w:color="auto" w:fill="FFFFFF"/>
            <w:tcMar>
              <w:top w:w="0" w:type="dxa"/>
              <w:left w:w="85" w:type="dxa"/>
              <w:bottom w:w="0" w:type="dxa"/>
              <w:right w:w="85" w:type="dxa"/>
            </w:tcMar>
          </w:tcPr>
          <w:p w14:paraId="3EC7DCB4" w14:textId="77777777" w:rsidR="006611EE" w:rsidRPr="00261B7A" w:rsidRDefault="006611EE" w:rsidP="000F09B5">
            <w:pPr>
              <w:pStyle w:val="TableText"/>
              <w:spacing w:before="40" w:after="40"/>
              <w:jc w:val="right"/>
              <w:rPr>
                <w:rFonts w:cstheme="minorHAnsi"/>
              </w:rPr>
            </w:pPr>
            <w:r w:rsidRPr="00261B7A">
              <w:rPr>
                <w:rFonts w:cstheme="minorHAnsi"/>
                <w:color w:val="000000"/>
              </w:rPr>
              <w:t>21.5</w:t>
            </w:r>
          </w:p>
        </w:tc>
        <w:tc>
          <w:tcPr>
            <w:tcW w:w="680" w:type="dxa"/>
            <w:shd w:val="clear" w:color="auto" w:fill="FFFFFF"/>
            <w:tcMar>
              <w:top w:w="0" w:type="dxa"/>
              <w:left w:w="85" w:type="dxa"/>
              <w:bottom w:w="0" w:type="dxa"/>
              <w:right w:w="85" w:type="dxa"/>
            </w:tcMar>
          </w:tcPr>
          <w:p w14:paraId="146ABC63" w14:textId="77777777" w:rsidR="006611EE" w:rsidRPr="00261B7A" w:rsidRDefault="006611EE" w:rsidP="000F09B5">
            <w:pPr>
              <w:pStyle w:val="TableText"/>
              <w:spacing w:before="40" w:after="40"/>
              <w:jc w:val="right"/>
              <w:rPr>
                <w:rFonts w:cstheme="minorHAnsi"/>
              </w:rPr>
            </w:pPr>
            <w:r w:rsidRPr="00261B7A">
              <w:rPr>
                <w:rFonts w:cstheme="minorHAnsi"/>
                <w:color w:val="000000"/>
              </w:rPr>
              <w:t>21.5</w:t>
            </w:r>
          </w:p>
        </w:tc>
      </w:tr>
      <w:tr w:rsidR="006611EE" w:rsidRPr="00261B7A" w14:paraId="52E65895" w14:textId="77777777" w:rsidTr="000F09B5">
        <w:tc>
          <w:tcPr>
            <w:tcW w:w="567" w:type="dxa"/>
            <w:shd w:val="clear" w:color="auto" w:fill="FFFFFF"/>
            <w:tcMar>
              <w:top w:w="0" w:type="dxa"/>
              <w:left w:w="85" w:type="dxa"/>
              <w:bottom w:w="0" w:type="dxa"/>
              <w:right w:w="85" w:type="dxa"/>
            </w:tcMar>
          </w:tcPr>
          <w:p w14:paraId="2264895B" w14:textId="77777777" w:rsidR="006611EE" w:rsidRPr="00261B7A" w:rsidRDefault="006611EE" w:rsidP="000F09B5">
            <w:pPr>
              <w:pStyle w:val="TableText"/>
              <w:spacing w:before="40" w:after="40"/>
              <w:rPr>
                <w:rFonts w:cstheme="minorHAnsi"/>
              </w:rPr>
            </w:pPr>
            <w:r w:rsidRPr="00261B7A">
              <w:rPr>
                <w:rFonts w:cstheme="minorHAnsi"/>
                <w:color w:val="000000"/>
              </w:rPr>
              <w:t>3.A.1</w:t>
            </w:r>
          </w:p>
        </w:tc>
        <w:tc>
          <w:tcPr>
            <w:tcW w:w="2438" w:type="dxa"/>
            <w:shd w:val="clear" w:color="auto" w:fill="FFFFFF"/>
            <w:tcMar>
              <w:top w:w="0" w:type="dxa"/>
              <w:left w:w="85" w:type="dxa"/>
              <w:bottom w:w="0" w:type="dxa"/>
              <w:right w:w="85" w:type="dxa"/>
            </w:tcMar>
          </w:tcPr>
          <w:p w14:paraId="05F6280D" w14:textId="77777777" w:rsidR="006611EE" w:rsidRPr="00261B7A" w:rsidRDefault="006611EE" w:rsidP="000F09B5">
            <w:pPr>
              <w:pStyle w:val="TableText"/>
              <w:spacing w:before="40" w:after="40"/>
              <w:rPr>
                <w:rFonts w:cstheme="minorHAnsi"/>
              </w:rPr>
            </w:pPr>
            <w:r w:rsidRPr="00261B7A">
              <w:rPr>
                <w:rFonts w:cstheme="minorHAnsi"/>
                <w:color w:val="000000"/>
              </w:rPr>
              <w:t>Option A – Dairy Cattle</w:t>
            </w:r>
          </w:p>
        </w:tc>
        <w:tc>
          <w:tcPr>
            <w:tcW w:w="510" w:type="dxa"/>
            <w:shd w:val="clear" w:color="auto" w:fill="FFFFFF"/>
            <w:tcMar>
              <w:top w:w="0" w:type="dxa"/>
              <w:left w:w="85" w:type="dxa"/>
              <w:bottom w:w="0" w:type="dxa"/>
              <w:right w:w="85" w:type="dxa"/>
            </w:tcMar>
          </w:tcPr>
          <w:p w14:paraId="4F6B32D8"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794" w:type="dxa"/>
            <w:shd w:val="clear" w:color="auto" w:fill="FFFFFF"/>
            <w:tcMar>
              <w:top w:w="0" w:type="dxa"/>
              <w:left w:w="85" w:type="dxa"/>
              <w:bottom w:w="0" w:type="dxa"/>
              <w:right w:w="85" w:type="dxa"/>
            </w:tcMar>
          </w:tcPr>
          <w:p w14:paraId="5E8A642E" w14:textId="77777777" w:rsidR="006611EE" w:rsidRPr="00261B7A" w:rsidRDefault="006611EE" w:rsidP="000F09B5">
            <w:pPr>
              <w:pStyle w:val="TableText"/>
              <w:spacing w:before="40" w:after="40"/>
              <w:jc w:val="right"/>
              <w:rPr>
                <w:rFonts w:cstheme="minorHAnsi"/>
              </w:rPr>
            </w:pPr>
            <w:r w:rsidRPr="00261B7A">
              <w:rPr>
                <w:rFonts w:cstheme="minorHAnsi"/>
                <w:color w:val="000000"/>
              </w:rPr>
              <w:t>6,012.9</w:t>
            </w:r>
          </w:p>
        </w:tc>
        <w:tc>
          <w:tcPr>
            <w:tcW w:w="794" w:type="dxa"/>
            <w:shd w:val="clear" w:color="auto" w:fill="FFFFFF"/>
            <w:tcMar>
              <w:top w:w="0" w:type="dxa"/>
              <w:left w:w="85" w:type="dxa"/>
              <w:bottom w:w="0" w:type="dxa"/>
              <w:right w:w="85" w:type="dxa"/>
            </w:tcMar>
          </w:tcPr>
          <w:p w14:paraId="7E321F22" w14:textId="77777777" w:rsidR="006611EE" w:rsidRPr="00261B7A" w:rsidRDefault="006611EE" w:rsidP="000F09B5">
            <w:pPr>
              <w:pStyle w:val="TableText"/>
              <w:spacing w:before="40" w:after="40"/>
              <w:jc w:val="right"/>
              <w:rPr>
                <w:rFonts w:cstheme="minorHAnsi"/>
              </w:rPr>
            </w:pPr>
            <w:r w:rsidRPr="00261B7A">
              <w:rPr>
                <w:rFonts w:cstheme="minorHAnsi"/>
                <w:color w:val="000000"/>
              </w:rPr>
              <w:t>13,382.5</w:t>
            </w:r>
          </w:p>
        </w:tc>
        <w:tc>
          <w:tcPr>
            <w:tcW w:w="794" w:type="dxa"/>
            <w:shd w:val="clear" w:color="auto" w:fill="FFFFFF"/>
            <w:tcMar>
              <w:top w:w="0" w:type="dxa"/>
              <w:left w:w="85" w:type="dxa"/>
              <w:bottom w:w="0" w:type="dxa"/>
              <w:right w:w="85" w:type="dxa"/>
            </w:tcMar>
          </w:tcPr>
          <w:p w14:paraId="63E1672A" w14:textId="77777777" w:rsidR="006611EE" w:rsidRPr="00261B7A" w:rsidRDefault="006611EE" w:rsidP="000F09B5">
            <w:pPr>
              <w:pStyle w:val="TableText"/>
              <w:spacing w:before="40" w:after="40"/>
              <w:jc w:val="right"/>
              <w:rPr>
                <w:rFonts w:cstheme="minorHAnsi"/>
              </w:rPr>
            </w:pPr>
            <w:r w:rsidRPr="00261B7A">
              <w:rPr>
                <w:rFonts w:cstheme="minorHAnsi"/>
                <w:color w:val="000000"/>
              </w:rPr>
              <w:t>0.096</w:t>
            </w:r>
          </w:p>
        </w:tc>
        <w:tc>
          <w:tcPr>
            <w:tcW w:w="680" w:type="dxa"/>
            <w:shd w:val="clear" w:color="auto" w:fill="FFFFFF"/>
            <w:tcMar>
              <w:top w:w="0" w:type="dxa"/>
              <w:left w:w="85" w:type="dxa"/>
              <w:bottom w:w="0" w:type="dxa"/>
              <w:right w:w="85" w:type="dxa"/>
            </w:tcMar>
          </w:tcPr>
          <w:p w14:paraId="593FB45C" w14:textId="77777777" w:rsidR="006611EE" w:rsidRPr="00261B7A" w:rsidRDefault="006611EE" w:rsidP="000F09B5">
            <w:pPr>
              <w:pStyle w:val="TableText"/>
              <w:spacing w:before="40" w:after="40"/>
              <w:jc w:val="right"/>
              <w:rPr>
                <w:rFonts w:cstheme="minorHAnsi"/>
              </w:rPr>
            </w:pPr>
            <w:r w:rsidRPr="00261B7A">
              <w:rPr>
                <w:rFonts w:cstheme="minorHAnsi"/>
                <w:color w:val="000000"/>
              </w:rPr>
              <w:t>14.8</w:t>
            </w:r>
          </w:p>
        </w:tc>
        <w:tc>
          <w:tcPr>
            <w:tcW w:w="680" w:type="dxa"/>
            <w:shd w:val="clear" w:color="auto" w:fill="FFFFFF"/>
            <w:tcMar>
              <w:top w:w="0" w:type="dxa"/>
              <w:left w:w="85" w:type="dxa"/>
              <w:bottom w:w="0" w:type="dxa"/>
              <w:right w:w="85" w:type="dxa"/>
            </w:tcMar>
          </w:tcPr>
          <w:p w14:paraId="7BF72228" w14:textId="77777777" w:rsidR="006611EE" w:rsidRPr="00261B7A" w:rsidRDefault="006611EE" w:rsidP="000F09B5">
            <w:pPr>
              <w:pStyle w:val="TableText"/>
              <w:spacing w:before="40" w:after="40"/>
              <w:jc w:val="right"/>
              <w:rPr>
                <w:rFonts w:cstheme="minorHAnsi"/>
              </w:rPr>
            </w:pPr>
            <w:r w:rsidRPr="00261B7A">
              <w:rPr>
                <w:rFonts w:cstheme="minorHAnsi"/>
                <w:color w:val="000000"/>
              </w:rPr>
              <w:t>36.3</w:t>
            </w:r>
          </w:p>
        </w:tc>
      </w:tr>
      <w:tr w:rsidR="006611EE" w:rsidRPr="00261B7A" w14:paraId="3F66D83A" w14:textId="77777777" w:rsidTr="000F09B5">
        <w:tc>
          <w:tcPr>
            <w:tcW w:w="567" w:type="dxa"/>
            <w:shd w:val="clear" w:color="auto" w:fill="FFFFFF"/>
            <w:tcMar>
              <w:top w:w="0" w:type="dxa"/>
              <w:left w:w="85" w:type="dxa"/>
              <w:bottom w:w="0" w:type="dxa"/>
              <w:right w:w="85" w:type="dxa"/>
            </w:tcMar>
          </w:tcPr>
          <w:p w14:paraId="69E1364D" w14:textId="77777777" w:rsidR="006611EE" w:rsidRPr="00261B7A" w:rsidRDefault="006611EE" w:rsidP="000F09B5">
            <w:pPr>
              <w:pStyle w:val="TableText"/>
              <w:spacing w:before="40" w:after="40"/>
              <w:rPr>
                <w:rFonts w:cstheme="minorHAnsi"/>
              </w:rPr>
            </w:pPr>
            <w:r w:rsidRPr="00261B7A">
              <w:rPr>
                <w:rFonts w:cstheme="minorHAnsi"/>
                <w:color w:val="000000"/>
              </w:rPr>
              <w:t>1.A.3.b</w:t>
            </w:r>
          </w:p>
        </w:tc>
        <w:tc>
          <w:tcPr>
            <w:tcW w:w="2438" w:type="dxa"/>
            <w:shd w:val="clear" w:color="auto" w:fill="FFFFFF"/>
            <w:tcMar>
              <w:top w:w="0" w:type="dxa"/>
              <w:left w:w="85" w:type="dxa"/>
              <w:bottom w:w="0" w:type="dxa"/>
              <w:right w:w="85" w:type="dxa"/>
            </w:tcMar>
          </w:tcPr>
          <w:p w14:paraId="7FED1092" w14:textId="77777777" w:rsidR="006611EE" w:rsidRPr="00261B7A" w:rsidRDefault="006611EE" w:rsidP="000F09B5">
            <w:pPr>
              <w:pStyle w:val="TableText"/>
              <w:spacing w:before="40" w:after="40"/>
              <w:rPr>
                <w:rFonts w:cstheme="minorHAnsi"/>
              </w:rPr>
            </w:pPr>
            <w:r w:rsidRPr="00261B7A">
              <w:rPr>
                <w:rFonts w:cstheme="minorHAnsi"/>
                <w:color w:val="000000"/>
              </w:rPr>
              <w:t>Transport – Road Transportation Liquid Fuels</w:t>
            </w:r>
          </w:p>
        </w:tc>
        <w:tc>
          <w:tcPr>
            <w:tcW w:w="510" w:type="dxa"/>
            <w:shd w:val="clear" w:color="auto" w:fill="FFFFFF"/>
            <w:tcMar>
              <w:top w:w="0" w:type="dxa"/>
              <w:left w:w="85" w:type="dxa"/>
              <w:bottom w:w="0" w:type="dxa"/>
              <w:right w:w="85" w:type="dxa"/>
            </w:tcMar>
          </w:tcPr>
          <w:p w14:paraId="44A1A0C2"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07A105BA" w14:textId="77777777" w:rsidR="006611EE" w:rsidRPr="00261B7A" w:rsidRDefault="006611EE" w:rsidP="000F09B5">
            <w:pPr>
              <w:pStyle w:val="TableText"/>
              <w:spacing w:before="40" w:after="40"/>
              <w:jc w:val="right"/>
              <w:rPr>
                <w:rFonts w:cstheme="minorHAnsi"/>
              </w:rPr>
            </w:pPr>
            <w:r w:rsidRPr="00261B7A">
              <w:rPr>
                <w:rFonts w:cstheme="minorHAnsi"/>
                <w:color w:val="000000"/>
              </w:rPr>
              <w:t>6,519.0</w:t>
            </w:r>
          </w:p>
        </w:tc>
        <w:tc>
          <w:tcPr>
            <w:tcW w:w="794" w:type="dxa"/>
            <w:shd w:val="clear" w:color="auto" w:fill="FFFFFF"/>
            <w:tcMar>
              <w:top w:w="0" w:type="dxa"/>
              <w:left w:w="85" w:type="dxa"/>
              <w:bottom w:w="0" w:type="dxa"/>
              <w:right w:w="85" w:type="dxa"/>
            </w:tcMar>
          </w:tcPr>
          <w:p w14:paraId="47655C7A" w14:textId="77777777" w:rsidR="006611EE" w:rsidRPr="00261B7A" w:rsidRDefault="006611EE" w:rsidP="000F09B5">
            <w:pPr>
              <w:pStyle w:val="TableText"/>
              <w:spacing w:before="40" w:after="40"/>
              <w:jc w:val="right"/>
              <w:rPr>
                <w:rFonts w:cstheme="minorHAnsi"/>
              </w:rPr>
            </w:pPr>
            <w:r w:rsidRPr="00261B7A">
              <w:rPr>
                <w:rFonts w:cstheme="minorHAnsi"/>
                <w:color w:val="000000"/>
              </w:rPr>
              <w:t>12,555.0</w:t>
            </w:r>
          </w:p>
        </w:tc>
        <w:tc>
          <w:tcPr>
            <w:tcW w:w="794" w:type="dxa"/>
            <w:shd w:val="clear" w:color="auto" w:fill="FFFFFF"/>
            <w:tcMar>
              <w:top w:w="0" w:type="dxa"/>
              <w:left w:w="85" w:type="dxa"/>
              <w:bottom w:w="0" w:type="dxa"/>
              <w:right w:w="85" w:type="dxa"/>
            </w:tcMar>
          </w:tcPr>
          <w:p w14:paraId="16999F19" w14:textId="77777777" w:rsidR="006611EE" w:rsidRPr="00261B7A" w:rsidRDefault="006611EE" w:rsidP="000F09B5">
            <w:pPr>
              <w:pStyle w:val="TableText"/>
              <w:spacing w:before="40" w:after="40"/>
              <w:jc w:val="right"/>
              <w:rPr>
                <w:rFonts w:cstheme="minorHAnsi"/>
              </w:rPr>
            </w:pPr>
            <w:r w:rsidRPr="00261B7A">
              <w:rPr>
                <w:rFonts w:cstheme="minorHAnsi"/>
                <w:color w:val="000000"/>
              </w:rPr>
              <w:t>0.074</w:t>
            </w:r>
          </w:p>
        </w:tc>
        <w:tc>
          <w:tcPr>
            <w:tcW w:w="680" w:type="dxa"/>
            <w:shd w:val="clear" w:color="auto" w:fill="FFFFFF"/>
            <w:tcMar>
              <w:top w:w="0" w:type="dxa"/>
              <w:left w:w="85" w:type="dxa"/>
              <w:bottom w:w="0" w:type="dxa"/>
              <w:right w:w="85" w:type="dxa"/>
            </w:tcMar>
          </w:tcPr>
          <w:p w14:paraId="1E792F57" w14:textId="77777777" w:rsidR="006611EE" w:rsidRPr="00261B7A" w:rsidRDefault="006611EE" w:rsidP="000F09B5">
            <w:pPr>
              <w:pStyle w:val="TableText"/>
              <w:spacing w:before="40" w:after="40"/>
              <w:jc w:val="right"/>
              <w:rPr>
                <w:rFonts w:cstheme="minorHAnsi"/>
              </w:rPr>
            </w:pPr>
            <w:r w:rsidRPr="00261B7A">
              <w:rPr>
                <w:rFonts w:cstheme="minorHAnsi"/>
                <w:color w:val="000000"/>
              </w:rPr>
              <w:t>11.4</w:t>
            </w:r>
          </w:p>
        </w:tc>
        <w:tc>
          <w:tcPr>
            <w:tcW w:w="680" w:type="dxa"/>
            <w:shd w:val="clear" w:color="auto" w:fill="FFFFFF"/>
            <w:tcMar>
              <w:top w:w="0" w:type="dxa"/>
              <w:left w:w="85" w:type="dxa"/>
              <w:bottom w:w="0" w:type="dxa"/>
              <w:right w:w="85" w:type="dxa"/>
            </w:tcMar>
          </w:tcPr>
          <w:p w14:paraId="2A19EB5B" w14:textId="77777777" w:rsidR="006611EE" w:rsidRPr="00261B7A" w:rsidRDefault="006611EE" w:rsidP="000F09B5">
            <w:pPr>
              <w:pStyle w:val="TableText"/>
              <w:spacing w:before="40" w:after="40"/>
              <w:jc w:val="right"/>
              <w:rPr>
                <w:rFonts w:cstheme="minorHAnsi"/>
              </w:rPr>
            </w:pPr>
            <w:r w:rsidRPr="00261B7A">
              <w:rPr>
                <w:rFonts w:cstheme="minorHAnsi"/>
                <w:color w:val="000000"/>
              </w:rPr>
              <w:t>47.7</w:t>
            </w:r>
          </w:p>
        </w:tc>
      </w:tr>
      <w:tr w:rsidR="006611EE" w:rsidRPr="00261B7A" w14:paraId="038FE66D" w14:textId="77777777" w:rsidTr="000F09B5">
        <w:tc>
          <w:tcPr>
            <w:tcW w:w="567" w:type="dxa"/>
            <w:shd w:val="clear" w:color="auto" w:fill="FFFFFF"/>
            <w:tcMar>
              <w:top w:w="0" w:type="dxa"/>
              <w:left w:w="85" w:type="dxa"/>
              <w:bottom w:w="0" w:type="dxa"/>
              <w:right w:w="85" w:type="dxa"/>
            </w:tcMar>
          </w:tcPr>
          <w:p w14:paraId="6781FE90" w14:textId="77777777" w:rsidR="006611EE" w:rsidRPr="00261B7A" w:rsidRDefault="006611EE" w:rsidP="000F09B5">
            <w:pPr>
              <w:pStyle w:val="TableText"/>
              <w:spacing w:before="40" w:after="40"/>
              <w:rPr>
                <w:rFonts w:cstheme="minorHAnsi"/>
              </w:rPr>
            </w:pPr>
            <w:r w:rsidRPr="00261B7A">
              <w:rPr>
                <w:rFonts w:cstheme="minorHAnsi"/>
                <w:color w:val="000000"/>
              </w:rPr>
              <w:t>1.A.1.c</w:t>
            </w:r>
          </w:p>
        </w:tc>
        <w:tc>
          <w:tcPr>
            <w:tcW w:w="2438" w:type="dxa"/>
            <w:shd w:val="clear" w:color="auto" w:fill="FFFFFF"/>
            <w:tcMar>
              <w:top w:w="0" w:type="dxa"/>
              <w:left w:w="85" w:type="dxa"/>
              <w:bottom w:w="0" w:type="dxa"/>
              <w:right w:w="85" w:type="dxa"/>
            </w:tcMar>
          </w:tcPr>
          <w:p w14:paraId="010FBDD2" w14:textId="77777777" w:rsidR="006611EE" w:rsidRPr="00261B7A" w:rsidRDefault="006611EE" w:rsidP="000F09B5">
            <w:pPr>
              <w:pStyle w:val="TableText"/>
              <w:spacing w:before="40" w:after="40"/>
              <w:rPr>
                <w:rFonts w:cstheme="minorHAnsi"/>
              </w:rPr>
            </w:pPr>
            <w:r w:rsidRPr="00261B7A">
              <w:rPr>
                <w:rFonts w:cstheme="minorHAnsi"/>
                <w:color w:val="000000"/>
              </w:rPr>
              <w:t>Energy Industries – Manufacture of Solid Fuels and Other Energy Industries Gaseous Fuels</w:t>
            </w:r>
          </w:p>
        </w:tc>
        <w:tc>
          <w:tcPr>
            <w:tcW w:w="510" w:type="dxa"/>
            <w:shd w:val="clear" w:color="auto" w:fill="FFFFFF"/>
            <w:tcMar>
              <w:top w:w="0" w:type="dxa"/>
              <w:left w:w="85" w:type="dxa"/>
              <w:bottom w:w="0" w:type="dxa"/>
              <w:right w:w="85" w:type="dxa"/>
            </w:tcMar>
          </w:tcPr>
          <w:p w14:paraId="53F1DD28"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00BE2665" w14:textId="77777777" w:rsidR="006611EE" w:rsidRPr="00261B7A" w:rsidRDefault="006611EE" w:rsidP="000F09B5">
            <w:pPr>
              <w:pStyle w:val="TableText"/>
              <w:spacing w:before="40" w:after="40"/>
              <w:jc w:val="right"/>
              <w:rPr>
                <w:rFonts w:cstheme="minorHAnsi"/>
              </w:rPr>
            </w:pPr>
            <w:r w:rsidRPr="00261B7A">
              <w:rPr>
                <w:rFonts w:cstheme="minorHAnsi"/>
                <w:color w:val="000000"/>
              </w:rPr>
              <w:t>1,715.3</w:t>
            </w:r>
          </w:p>
        </w:tc>
        <w:tc>
          <w:tcPr>
            <w:tcW w:w="794" w:type="dxa"/>
            <w:shd w:val="clear" w:color="auto" w:fill="FFFFFF"/>
            <w:tcMar>
              <w:top w:w="0" w:type="dxa"/>
              <w:left w:w="85" w:type="dxa"/>
              <w:bottom w:w="0" w:type="dxa"/>
              <w:right w:w="85" w:type="dxa"/>
            </w:tcMar>
          </w:tcPr>
          <w:p w14:paraId="19D3ADFC" w14:textId="77777777" w:rsidR="006611EE" w:rsidRPr="00261B7A" w:rsidRDefault="006611EE" w:rsidP="000F09B5">
            <w:pPr>
              <w:pStyle w:val="TableText"/>
              <w:spacing w:before="40" w:after="40"/>
              <w:jc w:val="right"/>
              <w:rPr>
                <w:rFonts w:cstheme="minorHAnsi"/>
              </w:rPr>
            </w:pPr>
            <w:r w:rsidRPr="00261B7A">
              <w:rPr>
                <w:rFonts w:cstheme="minorHAnsi"/>
                <w:color w:val="000000"/>
              </w:rPr>
              <w:t>240.4</w:t>
            </w:r>
          </w:p>
        </w:tc>
        <w:tc>
          <w:tcPr>
            <w:tcW w:w="794" w:type="dxa"/>
            <w:shd w:val="clear" w:color="auto" w:fill="FFFFFF"/>
            <w:tcMar>
              <w:top w:w="0" w:type="dxa"/>
              <w:left w:w="85" w:type="dxa"/>
              <w:bottom w:w="0" w:type="dxa"/>
              <w:right w:w="85" w:type="dxa"/>
            </w:tcMar>
          </w:tcPr>
          <w:p w14:paraId="68C6665A" w14:textId="77777777" w:rsidR="006611EE" w:rsidRPr="00261B7A" w:rsidRDefault="006611EE" w:rsidP="000F09B5">
            <w:pPr>
              <w:pStyle w:val="TableText"/>
              <w:spacing w:before="40" w:after="40"/>
              <w:jc w:val="right"/>
              <w:rPr>
                <w:rFonts w:cstheme="minorHAnsi"/>
              </w:rPr>
            </w:pPr>
            <w:r w:rsidRPr="00261B7A">
              <w:rPr>
                <w:rFonts w:cstheme="minorHAnsi"/>
                <w:color w:val="000000"/>
              </w:rPr>
              <w:t>0.028</w:t>
            </w:r>
          </w:p>
        </w:tc>
        <w:tc>
          <w:tcPr>
            <w:tcW w:w="680" w:type="dxa"/>
            <w:shd w:val="clear" w:color="auto" w:fill="FFFFFF"/>
            <w:tcMar>
              <w:top w:w="0" w:type="dxa"/>
              <w:left w:w="85" w:type="dxa"/>
              <w:bottom w:w="0" w:type="dxa"/>
              <w:right w:w="85" w:type="dxa"/>
            </w:tcMar>
          </w:tcPr>
          <w:p w14:paraId="1E516CD1" w14:textId="77777777" w:rsidR="006611EE" w:rsidRPr="00261B7A" w:rsidRDefault="006611EE" w:rsidP="000F09B5">
            <w:pPr>
              <w:pStyle w:val="TableText"/>
              <w:spacing w:before="40" w:after="40"/>
              <w:jc w:val="right"/>
              <w:rPr>
                <w:rFonts w:cstheme="minorHAnsi"/>
              </w:rPr>
            </w:pPr>
            <w:r w:rsidRPr="00261B7A">
              <w:rPr>
                <w:rFonts w:cstheme="minorHAnsi"/>
                <w:color w:val="000000"/>
              </w:rPr>
              <w:t>4.3</w:t>
            </w:r>
          </w:p>
        </w:tc>
        <w:tc>
          <w:tcPr>
            <w:tcW w:w="680" w:type="dxa"/>
            <w:shd w:val="clear" w:color="auto" w:fill="FFFFFF"/>
            <w:tcMar>
              <w:top w:w="0" w:type="dxa"/>
              <w:left w:w="85" w:type="dxa"/>
              <w:bottom w:w="0" w:type="dxa"/>
              <w:right w:w="85" w:type="dxa"/>
            </w:tcMar>
          </w:tcPr>
          <w:p w14:paraId="34C84F1D" w14:textId="77777777" w:rsidR="006611EE" w:rsidRPr="00261B7A" w:rsidRDefault="006611EE" w:rsidP="000F09B5">
            <w:pPr>
              <w:pStyle w:val="TableText"/>
              <w:spacing w:before="40" w:after="40"/>
              <w:jc w:val="right"/>
              <w:rPr>
                <w:rFonts w:cstheme="minorHAnsi"/>
              </w:rPr>
            </w:pPr>
            <w:r w:rsidRPr="00261B7A">
              <w:rPr>
                <w:rFonts w:cstheme="minorHAnsi"/>
                <w:color w:val="000000"/>
              </w:rPr>
              <w:t>52.0</w:t>
            </w:r>
          </w:p>
        </w:tc>
      </w:tr>
      <w:tr w:rsidR="006611EE" w:rsidRPr="00261B7A" w14:paraId="14B78336" w14:textId="77777777" w:rsidTr="000F09B5">
        <w:tc>
          <w:tcPr>
            <w:tcW w:w="567" w:type="dxa"/>
            <w:shd w:val="clear" w:color="auto" w:fill="FFFFFF"/>
            <w:tcMar>
              <w:top w:w="0" w:type="dxa"/>
              <w:left w:w="85" w:type="dxa"/>
              <w:bottom w:w="0" w:type="dxa"/>
              <w:right w:w="85" w:type="dxa"/>
            </w:tcMar>
          </w:tcPr>
          <w:p w14:paraId="4287A3BD" w14:textId="77777777" w:rsidR="006611EE" w:rsidRPr="00261B7A" w:rsidRDefault="006611EE" w:rsidP="000F09B5">
            <w:pPr>
              <w:pStyle w:val="TableText"/>
              <w:spacing w:before="40" w:after="40"/>
              <w:rPr>
                <w:rFonts w:cstheme="minorHAnsi"/>
              </w:rPr>
            </w:pPr>
            <w:r w:rsidRPr="00261B7A">
              <w:rPr>
                <w:rFonts w:cstheme="minorHAnsi"/>
                <w:color w:val="000000"/>
              </w:rPr>
              <w:t>1.A.1.a</w:t>
            </w:r>
          </w:p>
        </w:tc>
        <w:tc>
          <w:tcPr>
            <w:tcW w:w="2438" w:type="dxa"/>
            <w:shd w:val="clear" w:color="auto" w:fill="FFFFFF"/>
            <w:tcMar>
              <w:top w:w="0" w:type="dxa"/>
              <w:left w:w="85" w:type="dxa"/>
              <w:bottom w:w="0" w:type="dxa"/>
              <w:right w:w="85" w:type="dxa"/>
            </w:tcMar>
          </w:tcPr>
          <w:p w14:paraId="68A14FB7" w14:textId="77777777" w:rsidR="006611EE" w:rsidRPr="00261B7A" w:rsidRDefault="006611EE" w:rsidP="000F09B5">
            <w:pPr>
              <w:pStyle w:val="TableText"/>
              <w:spacing w:before="40" w:after="40"/>
              <w:rPr>
                <w:rFonts w:cstheme="minorHAnsi"/>
              </w:rPr>
            </w:pPr>
            <w:r w:rsidRPr="00261B7A">
              <w:rPr>
                <w:rFonts w:cstheme="minorHAnsi"/>
                <w:color w:val="000000"/>
              </w:rPr>
              <w:t>Energy Industries – Public Electricity and Heat Production Solid Fuels</w:t>
            </w:r>
          </w:p>
        </w:tc>
        <w:tc>
          <w:tcPr>
            <w:tcW w:w="510" w:type="dxa"/>
            <w:shd w:val="clear" w:color="auto" w:fill="FFFFFF"/>
            <w:tcMar>
              <w:top w:w="0" w:type="dxa"/>
              <w:left w:w="85" w:type="dxa"/>
              <w:bottom w:w="0" w:type="dxa"/>
              <w:right w:w="85" w:type="dxa"/>
            </w:tcMar>
          </w:tcPr>
          <w:p w14:paraId="0F7C1951"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26E3F93E" w14:textId="77777777" w:rsidR="006611EE" w:rsidRPr="00261B7A" w:rsidRDefault="006611EE" w:rsidP="000F09B5">
            <w:pPr>
              <w:pStyle w:val="TableText"/>
              <w:spacing w:before="40" w:after="40"/>
              <w:jc w:val="right"/>
              <w:rPr>
                <w:rFonts w:cstheme="minorHAnsi"/>
              </w:rPr>
            </w:pPr>
            <w:r w:rsidRPr="00261B7A">
              <w:rPr>
                <w:rFonts w:cstheme="minorHAnsi"/>
                <w:color w:val="000000"/>
              </w:rPr>
              <w:t>474.8</w:t>
            </w:r>
          </w:p>
        </w:tc>
        <w:tc>
          <w:tcPr>
            <w:tcW w:w="794" w:type="dxa"/>
            <w:shd w:val="clear" w:color="auto" w:fill="FFFFFF"/>
            <w:tcMar>
              <w:top w:w="0" w:type="dxa"/>
              <w:left w:w="85" w:type="dxa"/>
              <w:bottom w:w="0" w:type="dxa"/>
              <w:right w:w="85" w:type="dxa"/>
            </w:tcMar>
          </w:tcPr>
          <w:p w14:paraId="12DD7793" w14:textId="77777777" w:rsidR="006611EE" w:rsidRPr="00261B7A" w:rsidRDefault="006611EE" w:rsidP="000F09B5">
            <w:pPr>
              <w:pStyle w:val="TableText"/>
              <w:spacing w:before="40" w:after="40"/>
              <w:jc w:val="right"/>
              <w:rPr>
                <w:rFonts w:cstheme="minorHAnsi"/>
              </w:rPr>
            </w:pPr>
            <w:r w:rsidRPr="00261B7A">
              <w:rPr>
                <w:rFonts w:cstheme="minorHAnsi"/>
                <w:color w:val="000000"/>
              </w:rPr>
              <w:t>2,346.4</w:t>
            </w:r>
          </w:p>
        </w:tc>
        <w:tc>
          <w:tcPr>
            <w:tcW w:w="794" w:type="dxa"/>
            <w:shd w:val="clear" w:color="auto" w:fill="FFFFFF"/>
            <w:tcMar>
              <w:top w:w="0" w:type="dxa"/>
              <w:left w:w="85" w:type="dxa"/>
              <w:bottom w:w="0" w:type="dxa"/>
              <w:right w:w="85" w:type="dxa"/>
            </w:tcMar>
          </w:tcPr>
          <w:p w14:paraId="5540F0C8" w14:textId="77777777" w:rsidR="006611EE" w:rsidRPr="00261B7A" w:rsidRDefault="006611EE" w:rsidP="000F09B5">
            <w:pPr>
              <w:pStyle w:val="TableText"/>
              <w:spacing w:before="40" w:after="40"/>
              <w:jc w:val="right"/>
              <w:rPr>
                <w:rFonts w:cstheme="minorHAnsi"/>
              </w:rPr>
            </w:pPr>
            <w:r w:rsidRPr="00261B7A">
              <w:rPr>
                <w:rFonts w:cstheme="minorHAnsi"/>
                <w:color w:val="000000"/>
              </w:rPr>
              <w:t>0.028</w:t>
            </w:r>
          </w:p>
        </w:tc>
        <w:tc>
          <w:tcPr>
            <w:tcW w:w="680" w:type="dxa"/>
            <w:shd w:val="clear" w:color="auto" w:fill="FFFFFF"/>
            <w:tcMar>
              <w:top w:w="0" w:type="dxa"/>
              <w:left w:w="85" w:type="dxa"/>
              <w:bottom w:w="0" w:type="dxa"/>
              <w:right w:w="85" w:type="dxa"/>
            </w:tcMar>
          </w:tcPr>
          <w:p w14:paraId="37621335" w14:textId="77777777" w:rsidR="006611EE" w:rsidRPr="00261B7A" w:rsidRDefault="006611EE" w:rsidP="000F09B5">
            <w:pPr>
              <w:pStyle w:val="TableText"/>
              <w:spacing w:before="40" w:after="40"/>
              <w:jc w:val="right"/>
              <w:rPr>
                <w:rFonts w:cstheme="minorHAnsi"/>
              </w:rPr>
            </w:pPr>
            <w:r w:rsidRPr="00261B7A">
              <w:rPr>
                <w:rFonts w:cstheme="minorHAnsi"/>
                <w:color w:val="000000"/>
              </w:rPr>
              <w:t>4.2</w:t>
            </w:r>
          </w:p>
        </w:tc>
        <w:tc>
          <w:tcPr>
            <w:tcW w:w="680" w:type="dxa"/>
            <w:shd w:val="clear" w:color="auto" w:fill="FFFFFF"/>
            <w:tcMar>
              <w:top w:w="0" w:type="dxa"/>
              <w:left w:w="85" w:type="dxa"/>
              <w:bottom w:w="0" w:type="dxa"/>
              <w:right w:w="85" w:type="dxa"/>
            </w:tcMar>
          </w:tcPr>
          <w:p w14:paraId="488796F8" w14:textId="77777777" w:rsidR="006611EE" w:rsidRPr="00261B7A" w:rsidRDefault="006611EE" w:rsidP="000F09B5">
            <w:pPr>
              <w:pStyle w:val="TableText"/>
              <w:spacing w:before="40" w:after="40"/>
              <w:jc w:val="right"/>
              <w:rPr>
                <w:rFonts w:cstheme="minorHAnsi"/>
              </w:rPr>
            </w:pPr>
            <w:r w:rsidRPr="00261B7A">
              <w:rPr>
                <w:rFonts w:cstheme="minorHAnsi"/>
                <w:color w:val="000000"/>
              </w:rPr>
              <w:t>56.2</w:t>
            </w:r>
          </w:p>
        </w:tc>
      </w:tr>
      <w:tr w:rsidR="006611EE" w:rsidRPr="00261B7A" w14:paraId="654E5266" w14:textId="77777777" w:rsidTr="000F09B5">
        <w:tc>
          <w:tcPr>
            <w:tcW w:w="567" w:type="dxa"/>
            <w:shd w:val="clear" w:color="auto" w:fill="FFFFFF"/>
            <w:tcMar>
              <w:top w:w="0" w:type="dxa"/>
              <w:left w:w="85" w:type="dxa"/>
              <w:bottom w:w="0" w:type="dxa"/>
              <w:right w:w="85" w:type="dxa"/>
            </w:tcMar>
          </w:tcPr>
          <w:p w14:paraId="5F315D4C" w14:textId="77777777" w:rsidR="006611EE" w:rsidRPr="00261B7A" w:rsidRDefault="006611EE" w:rsidP="000F09B5">
            <w:pPr>
              <w:pStyle w:val="TableText"/>
              <w:spacing w:before="40" w:after="40"/>
              <w:rPr>
                <w:rFonts w:cstheme="minorHAnsi"/>
              </w:rPr>
            </w:pPr>
            <w:r w:rsidRPr="00261B7A">
              <w:rPr>
                <w:rFonts w:cstheme="minorHAnsi"/>
                <w:color w:val="000000"/>
              </w:rPr>
              <w:t>1.A.1.a</w:t>
            </w:r>
          </w:p>
        </w:tc>
        <w:tc>
          <w:tcPr>
            <w:tcW w:w="2438" w:type="dxa"/>
            <w:shd w:val="clear" w:color="auto" w:fill="FFFFFF"/>
            <w:tcMar>
              <w:top w:w="0" w:type="dxa"/>
              <w:left w:w="85" w:type="dxa"/>
              <w:bottom w:w="0" w:type="dxa"/>
              <w:right w:w="85" w:type="dxa"/>
            </w:tcMar>
          </w:tcPr>
          <w:p w14:paraId="03D50CAC" w14:textId="77777777" w:rsidR="006611EE" w:rsidRPr="00261B7A" w:rsidRDefault="006611EE" w:rsidP="000F09B5">
            <w:pPr>
              <w:pStyle w:val="TableText"/>
              <w:spacing w:before="40" w:after="40"/>
              <w:rPr>
                <w:rFonts w:cstheme="minorHAnsi"/>
              </w:rPr>
            </w:pPr>
            <w:r w:rsidRPr="00261B7A">
              <w:rPr>
                <w:rFonts w:cstheme="minorHAnsi"/>
                <w:color w:val="000000"/>
              </w:rPr>
              <w:t>Energy Industries – Public Electricity and Heat Production Gaseous Fuels</w:t>
            </w:r>
          </w:p>
        </w:tc>
        <w:tc>
          <w:tcPr>
            <w:tcW w:w="510" w:type="dxa"/>
            <w:shd w:val="clear" w:color="auto" w:fill="FFFFFF"/>
            <w:tcMar>
              <w:top w:w="0" w:type="dxa"/>
              <w:left w:w="85" w:type="dxa"/>
              <w:bottom w:w="0" w:type="dxa"/>
              <w:right w:w="85" w:type="dxa"/>
            </w:tcMar>
          </w:tcPr>
          <w:p w14:paraId="1F53D0B8"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6D7AD917" w14:textId="77777777" w:rsidR="006611EE" w:rsidRPr="00261B7A" w:rsidRDefault="006611EE" w:rsidP="000F09B5">
            <w:pPr>
              <w:pStyle w:val="TableText"/>
              <w:spacing w:before="40" w:after="40"/>
              <w:jc w:val="right"/>
              <w:rPr>
                <w:rFonts w:cstheme="minorHAnsi"/>
              </w:rPr>
            </w:pPr>
            <w:r w:rsidRPr="00261B7A">
              <w:rPr>
                <w:rFonts w:cstheme="minorHAnsi"/>
                <w:color w:val="000000"/>
              </w:rPr>
              <w:t>2,999.6</w:t>
            </w:r>
          </w:p>
        </w:tc>
        <w:tc>
          <w:tcPr>
            <w:tcW w:w="794" w:type="dxa"/>
            <w:shd w:val="clear" w:color="auto" w:fill="FFFFFF"/>
            <w:tcMar>
              <w:top w:w="0" w:type="dxa"/>
              <w:left w:w="85" w:type="dxa"/>
              <w:bottom w:w="0" w:type="dxa"/>
              <w:right w:w="85" w:type="dxa"/>
            </w:tcMar>
          </w:tcPr>
          <w:p w14:paraId="1CE734AE" w14:textId="77777777" w:rsidR="006611EE" w:rsidRPr="00261B7A" w:rsidRDefault="006611EE" w:rsidP="000F09B5">
            <w:pPr>
              <w:pStyle w:val="TableText"/>
              <w:spacing w:before="40" w:after="40"/>
              <w:jc w:val="right"/>
              <w:rPr>
                <w:rFonts w:cstheme="minorHAnsi"/>
              </w:rPr>
            </w:pPr>
            <w:r w:rsidRPr="00261B7A">
              <w:rPr>
                <w:rFonts w:cstheme="minorHAnsi"/>
                <w:color w:val="000000"/>
              </w:rPr>
              <w:t>2,035.5</w:t>
            </w:r>
          </w:p>
        </w:tc>
        <w:tc>
          <w:tcPr>
            <w:tcW w:w="794" w:type="dxa"/>
            <w:shd w:val="clear" w:color="auto" w:fill="FFFFFF"/>
            <w:tcMar>
              <w:top w:w="0" w:type="dxa"/>
              <w:left w:w="85" w:type="dxa"/>
              <w:bottom w:w="0" w:type="dxa"/>
              <w:right w:w="85" w:type="dxa"/>
            </w:tcMar>
          </w:tcPr>
          <w:p w14:paraId="6CDCAB49" w14:textId="77777777" w:rsidR="006611EE" w:rsidRPr="00261B7A" w:rsidRDefault="006611EE" w:rsidP="000F09B5">
            <w:pPr>
              <w:pStyle w:val="TableText"/>
              <w:spacing w:before="40" w:after="40"/>
              <w:jc w:val="right"/>
              <w:rPr>
                <w:rFonts w:cstheme="minorHAnsi"/>
              </w:rPr>
            </w:pPr>
            <w:r w:rsidRPr="00261B7A">
              <w:rPr>
                <w:rFonts w:cstheme="minorHAnsi"/>
                <w:color w:val="000000"/>
              </w:rPr>
              <w:t>0.024</w:t>
            </w:r>
          </w:p>
        </w:tc>
        <w:tc>
          <w:tcPr>
            <w:tcW w:w="680" w:type="dxa"/>
            <w:shd w:val="clear" w:color="auto" w:fill="FFFFFF"/>
            <w:tcMar>
              <w:top w:w="0" w:type="dxa"/>
              <w:left w:w="85" w:type="dxa"/>
              <w:bottom w:w="0" w:type="dxa"/>
              <w:right w:w="85" w:type="dxa"/>
            </w:tcMar>
          </w:tcPr>
          <w:p w14:paraId="68A3F293" w14:textId="77777777" w:rsidR="006611EE" w:rsidRPr="00261B7A" w:rsidRDefault="006611EE" w:rsidP="000F09B5">
            <w:pPr>
              <w:pStyle w:val="TableText"/>
              <w:spacing w:before="40" w:after="40"/>
              <w:jc w:val="right"/>
              <w:rPr>
                <w:rFonts w:cstheme="minorHAnsi"/>
              </w:rPr>
            </w:pPr>
            <w:r w:rsidRPr="00261B7A">
              <w:rPr>
                <w:rFonts w:cstheme="minorHAnsi"/>
                <w:color w:val="000000"/>
              </w:rPr>
              <w:t>3.6</w:t>
            </w:r>
          </w:p>
        </w:tc>
        <w:tc>
          <w:tcPr>
            <w:tcW w:w="680" w:type="dxa"/>
            <w:shd w:val="clear" w:color="auto" w:fill="FFFFFF"/>
            <w:tcMar>
              <w:top w:w="0" w:type="dxa"/>
              <w:left w:w="85" w:type="dxa"/>
              <w:bottom w:w="0" w:type="dxa"/>
              <w:right w:w="85" w:type="dxa"/>
            </w:tcMar>
          </w:tcPr>
          <w:p w14:paraId="749DD055" w14:textId="77777777" w:rsidR="006611EE" w:rsidRPr="00261B7A" w:rsidRDefault="006611EE" w:rsidP="000F09B5">
            <w:pPr>
              <w:pStyle w:val="TableText"/>
              <w:spacing w:before="40" w:after="40"/>
              <w:jc w:val="right"/>
              <w:rPr>
                <w:rFonts w:cstheme="minorHAnsi"/>
              </w:rPr>
            </w:pPr>
            <w:r w:rsidRPr="00261B7A">
              <w:rPr>
                <w:rFonts w:cstheme="minorHAnsi"/>
                <w:color w:val="000000"/>
              </w:rPr>
              <w:t>59.8</w:t>
            </w:r>
          </w:p>
        </w:tc>
      </w:tr>
      <w:tr w:rsidR="006611EE" w:rsidRPr="00261B7A" w14:paraId="15E76995" w14:textId="77777777" w:rsidTr="000F09B5">
        <w:tc>
          <w:tcPr>
            <w:tcW w:w="567" w:type="dxa"/>
            <w:shd w:val="clear" w:color="auto" w:fill="FFFFFF"/>
            <w:tcMar>
              <w:top w:w="0" w:type="dxa"/>
              <w:left w:w="85" w:type="dxa"/>
              <w:bottom w:w="0" w:type="dxa"/>
              <w:right w:w="85" w:type="dxa"/>
            </w:tcMar>
          </w:tcPr>
          <w:p w14:paraId="08BC0746" w14:textId="77777777" w:rsidR="006611EE" w:rsidRPr="00261B7A" w:rsidRDefault="006611EE" w:rsidP="000F09B5">
            <w:pPr>
              <w:pStyle w:val="TableText"/>
              <w:spacing w:before="40" w:after="40"/>
              <w:rPr>
                <w:rFonts w:cstheme="minorHAnsi"/>
              </w:rPr>
            </w:pPr>
            <w:r w:rsidRPr="00261B7A">
              <w:rPr>
                <w:rFonts w:cstheme="minorHAnsi"/>
                <w:color w:val="000000"/>
              </w:rPr>
              <w:t>2.F.1</w:t>
            </w:r>
          </w:p>
        </w:tc>
        <w:tc>
          <w:tcPr>
            <w:tcW w:w="2438" w:type="dxa"/>
            <w:shd w:val="clear" w:color="auto" w:fill="FFFFFF"/>
            <w:tcMar>
              <w:top w:w="0" w:type="dxa"/>
              <w:left w:w="85" w:type="dxa"/>
              <w:bottom w:w="0" w:type="dxa"/>
              <w:right w:w="85" w:type="dxa"/>
            </w:tcMar>
          </w:tcPr>
          <w:p w14:paraId="306FB158" w14:textId="77777777" w:rsidR="006611EE" w:rsidRPr="00261B7A" w:rsidRDefault="006611EE" w:rsidP="000F09B5">
            <w:pPr>
              <w:pStyle w:val="TableText"/>
              <w:spacing w:before="40" w:after="40"/>
              <w:rPr>
                <w:rFonts w:cstheme="minorHAnsi"/>
              </w:rPr>
            </w:pPr>
            <w:r w:rsidRPr="00261B7A">
              <w:rPr>
                <w:rFonts w:cstheme="minorHAnsi"/>
                <w:color w:val="000000"/>
              </w:rPr>
              <w:t>Product Uses as Substitutes for ODS – Refrigeration and Air Conditioning</w:t>
            </w:r>
          </w:p>
        </w:tc>
        <w:tc>
          <w:tcPr>
            <w:tcW w:w="510" w:type="dxa"/>
            <w:shd w:val="clear" w:color="auto" w:fill="FFFFFF"/>
            <w:tcMar>
              <w:top w:w="0" w:type="dxa"/>
              <w:left w:w="85" w:type="dxa"/>
              <w:bottom w:w="0" w:type="dxa"/>
              <w:right w:w="85" w:type="dxa"/>
            </w:tcMar>
          </w:tcPr>
          <w:p w14:paraId="47F33730" w14:textId="77777777" w:rsidR="006611EE" w:rsidRPr="00261B7A" w:rsidRDefault="006611EE" w:rsidP="000F09B5">
            <w:pPr>
              <w:pStyle w:val="TableText"/>
              <w:spacing w:before="40" w:after="40"/>
              <w:jc w:val="center"/>
              <w:rPr>
                <w:rFonts w:cstheme="minorHAnsi"/>
              </w:rPr>
            </w:pPr>
            <w:r w:rsidRPr="00261B7A">
              <w:rPr>
                <w:rFonts w:cstheme="minorHAnsi"/>
                <w:color w:val="000000"/>
              </w:rPr>
              <w:t>HFCs</w:t>
            </w:r>
          </w:p>
        </w:tc>
        <w:tc>
          <w:tcPr>
            <w:tcW w:w="794" w:type="dxa"/>
            <w:shd w:val="clear" w:color="auto" w:fill="FFFFFF"/>
            <w:tcMar>
              <w:top w:w="0" w:type="dxa"/>
              <w:left w:w="85" w:type="dxa"/>
              <w:bottom w:w="0" w:type="dxa"/>
              <w:right w:w="85" w:type="dxa"/>
            </w:tcMar>
          </w:tcPr>
          <w:p w14:paraId="58990B72" w14:textId="77777777" w:rsidR="006611EE" w:rsidRPr="00261B7A" w:rsidRDefault="006611EE" w:rsidP="000F09B5">
            <w:pPr>
              <w:pStyle w:val="TableText"/>
              <w:spacing w:before="40" w:after="40"/>
              <w:jc w:val="right"/>
              <w:rPr>
                <w:rFonts w:cstheme="minorHAnsi"/>
              </w:rPr>
            </w:pPr>
            <w:r w:rsidRPr="00261B7A">
              <w:rPr>
                <w:rFonts w:cstheme="minorHAnsi"/>
                <w:color w:val="000000"/>
              </w:rPr>
              <w:t>0.0</w:t>
            </w:r>
          </w:p>
        </w:tc>
        <w:tc>
          <w:tcPr>
            <w:tcW w:w="794" w:type="dxa"/>
            <w:shd w:val="clear" w:color="auto" w:fill="FFFFFF"/>
            <w:tcMar>
              <w:top w:w="0" w:type="dxa"/>
              <w:left w:w="85" w:type="dxa"/>
              <w:bottom w:w="0" w:type="dxa"/>
              <w:right w:w="85" w:type="dxa"/>
            </w:tcMar>
          </w:tcPr>
          <w:p w14:paraId="0258FA8C" w14:textId="77777777" w:rsidR="006611EE" w:rsidRPr="00261B7A" w:rsidRDefault="006611EE" w:rsidP="000F09B5">
            <w:pPr>
              <w:pStyle w:val="TableText"/>
              <w:spacing w:before="40" w:after="40"/>
              <w:jc w:val="right"/>
              <w:rPr>
                <w:rFonts w:cstheme="minorHAnsi"/>
              </w:rPr>
            </w:pPr>
            <w:r w:rsidRPr="00261B7A">
              <w:rPr>
                <w:rFonts w:cstheme="minorHAnsi"/>
                <w:color w:val="000000"/>
              </w:rPr>
              <w:t>1,401.8</w:t>
            </w:r>
          </w:p>
        </w:tc>
        <w:tc>
          <w:tcPr>
            <w:tcW w:w="794" w:type="dxa"/>
            <w:shd w:val="clear" w:color="auto" w:fill="FFFFFF"/>
            <w:tcMar>
              <w:top w:w="0" w:type="dxa"/>
              <w:left w:w="85" w:type="dxa"/>
              <w:bottom w:w="0" w:type="dxa"/>
              <w:right w:w="85" w:type="dxa"/>
            </w:tcMar>
          </w:tcPr>
          <w:p w14:paraId="2A907014" w14:textId="77777777" w:rsidR="006611EE" w:rsidRPr="00261B7A" w:rsidRDefault="006611EE" w:rsidP="000F09B5">
            <w:pPr>
              <w:pStyle w:val="TableText"/>
              <w:spacing w:before="40" w:after="40"/>
              <w:jc w:val="right"/>
              <w:rPr>
                <w:rFonts w:cstheme="minorHAnsi"/>
              </w:rPr>
            </w:pPr>
            <w:r w:rsidRPr="00261B7A">
              <w:rPr>
                <w:rFonts w:cstheme="minorHAnsi"/>
                <w:color w:val="000000"/>
              </w:rPr>
              <w:t>0.022</w:t>
            </w:r>
          </w:p>
        </w:tc>
        <w:tc>
          <w:tcPr>
            <w:tcW w:w="680" w:type="dxa"/>
            <w:shd w:val="clear" w:color="auto" w:fill="FFFFFF"/>
            <w:tcMar>
              <w:top w:w="0" w:type="dxa"/>
              <w:left w:w="85" w:type="dxa"/>
              <w:bottom w:w="0" w:type="dxa"/>
              <w:right w:w="85" w:type="dxa"/>
            </w:tcMar>
          </w:tcPr>
          <w:p w14:paraId="022870FC" w14:textId="77777777" w:rsidR="006611EE" w:rsidRPr="00261B7A" w:rsidRDefault="006611EE" w:rsidP="000F09B5">
            <w:pPr>
              <w:pStyle w:val="TableText"/>
              <w:spacing w:before="40" w:after="40"/>
              <w:jc w:val="right"/>
              <w:rPr>
                <w:rFonts w:cstheme="minorHAnsi"/>
              </w:rPr>
            </w:pPr>
            <w:r w:rsidRPr="00261B7A">
              <w:rPr>
                <w:rFonts w:cstheme="minorHAnsi"/>
                <w:color w:val="000000"/>
              </w:rPr>
              <w:t>3.3</w:t>
            </w:r>
          </w:p>
        </w:tc>
        <w:tc>
          <w:tcPr>
            <w:tcW w:w="680" w:type="dxa"/>
            <w:shd w:val="clear" w:color="auto" w:fill="FFFFFF"/>
            <w:tcMar>
              <w:top w:w="0" w:type="dxa"/>
              <w:left w:w="85" w:type="dxa"/>
              <w:bottom w:w="0" w:type="dxa"/>
              <w:right w:w="85" w:type="dxa"/>
            </w:tcMar>
          </w:tcPr>
          <w:p w14:paraId="64832320" w14:textId="77777777" w:rsidR="006611EE" w:rsidRPr="00261B7A" w:rsidRDefault="006611EE" w:rsidP="000F09B5">
            <w:pPr>
              <w:pStyle w:val="TableText"/>
              <w:spacing w:before="40" w:after="40"/>
              <w:jc w:val="right"/>
              <w:rPr>
                <w:rFonts w:cstheme="minorHAnsi"/>
              </w:rPr>
            </w:pPr>
            <w:r w:rsidRPr="00261B7A">
              <w:rPr>
                <w:rFonts w:cstheme="minorHAnsi"/>
                <w:color w:val="000000"/>
              </w:rPr>
              <w:t>63.1</w:t>
            </w:r>
          </w:p>
        </w:tc>
      </w:tr>
      <w:tr w:rsidR="006611EE" w:rsidRPr="00261B7A" w14:paraId="4B027DE9" w14:textId="77777777" w:rsidTr="000F09B5">
        <w:tc>
          <w:tcPr>
            <w:tcW w:w="567" w:type="dxa"/>
            <w:shd w:val="clear" w:color="auto" w:fill="FFFFFF"/>
            <w:tcMar>
              <w:top w:w="0" w:type="dxa"/>
              <w:left w:w="85" w:type="dxa"/>
              <w:bottom w:w="0" w:type="dxa"/>
              <w:right w:w="85" w:type="dxa"/>
            </w:tcMar>
          </w:tcPr>
          <w:p w14:paraId="69CA3345" w14:textId="77777777" w:rsidR="006611EE" w:rsidRPr="00261B7A" w:rsidRDefault="006611EE" w:rsidP="000F09B5">
            <w:pPr>
              <w:pStyle w:val="TableText"/>
              <w:spacing w:before="40" w:after="40"/>
              <w:rPr>
                <w:rFonts w:cstheme="minorHAnsi"/>
              </w:rPr>
            </w:pPr>
            <w:r w:rsidRPr="00261B7A">
              <w:rPr>
                <w:rFonts w:cstheme="minorHAnsi"/>
                <w:color w:val="000000"/>
              </w:rPr>
              <w:lastRenderedPageBreak/>
              <w:t>5.A</w:t>
            </w:r>
          </w:p>
        </w:tc>
        <w:tc>
          <w:tcPr>
            <w:tcW w:w="2438" w:type="dxa"/>
            <w:shd w:val="clear" w:color="auto" w:fill="FFFFFF"/>
            <w:tcMar>
              <w:top w:w="0" w:type="dxa"/>
              <w:left w:w="85" w:type="dxa"/>
              <w:bottom w:w="0" w:type="dxa"/>
              <w:right w:w="85" w:type="dxa"/>
            </w:tcMar>
          </w:tcPr>
          <w:p w14:paraId="0D1DDC79" w14:textId="77777777" w:rsidR="006611EE" w:rsidRPr="00261B7A" w:rsidRDefault="006611EE" w:rsidP="000F09B5">
            <w:pPr>
              <w:pStyle w:val="TableText"/>
              <w:spacing w:before="40" w:after="40"/>
              <w:rPr>
                <w:rFonts w:cstheme="minorHAnsi"/>
              </w:rPr>
            </w:pPr>
            <w:r w:rsidRPr="00261B7A">
              <w:rPr>
                <w:rFonts w:cstheme="minorHAnsi"/>
                <w:color w:val="000000"/>
              </w:rPr>
              <w:t>Waste – Solid Waste Disposal</w:t>
            </w:r>
          </w:p>
        </w:tc>
        <w:tc>
          <w:tcPr>
            <w:tcW w:w="510" w:type="dxa"/>
            <w:shd w:val="clear" w:color="auto" w:fill="FFFFFF"/>
            <w:tcMar>
              <w:top w:w="0" w:type="dxa"/>
              <w:left w:w="85" w:type="dxa"/>
              <w:bottom w:w="0" w:type="dxa"/>
              <w:right w:w="85" w:type="dxa"/>
            </w:tcMar>
          </w:tcPr>
          <w:p w14:paraId="4D9FD1D7"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794" w:type="dxa"/>
            <w:shd w:val="clear" w:color="auto" w:fill="FFFFFF"/>
            <w:tcMar>
              <w:top w:w="0" w:type="dxa"/>
              <w:left w:w="85" w:type="dxa"/>
              <w:bottom w:w="0" w:type="dxa"/>
              <w:right w:w="85" w:type="dxa"/>
            </w:tcMar>
          </w:tcPr>
          <w:p w14:paraId="074214AD" w14:textId="77777777" w:rsidR="006611EE" w:rsidRPr="00261B7A" w:rsidRDefault="006611EE" w:rsidP="000F09B5">
            <w:pPr>
              <w:pStyle w:val="TableText"/>
              <w:spacing w:before="40" w:after="40"/>
              <w:jc w:val="right"/>
              <w:rPr>
                <w:rFonts w:cstheme="minorHAnsi"/>
              </w:rPr>
            </w:pPr>
            <w:r w:rsidRPr="00261B7A">
              <w:rPr>
                <w:rFonts w:cstheme="minorHAnsi"/>
                <w:color w:val="000000"/>
              </w:rPr>
              <w:t>3,318.2</w:t>
            </w:r>
          </w:p>
        </w:tc>
        <w:tc>
          <w:tcPr>
            <w:tcW w:w="794" w:type="dxa"/>
            <w:shd w:val="clear" w:color="auto" w:fill="FFFFFF"/>
            <w:tcMar>
              <w:top w:w="0" w:type="dxa"/>
              <w:left w:w="85" w:type="dxa"/>
              <w:bottom w:w="0" w:type="dxa"/>
              <w:right w:w="85" w:type="dxa"/>
            </w:tcMar>
          </w:tcPr>
          <w:p w14:paraId="0D1FF616" w14:textId="77777777" w:rsidR="006611EE" w:rsidRPr="00261B7A" w:rsidRDefault="006611EE" w:rsidP="000F09B5">
            <w:pPr>
              <w:pStyle w:val="TableText"/>
              <w:spacing w:before="40" w:after="40"/>
              <w:jc w:val="right"/>
              <w:rPr>
                <w:rFonts w:cstheme="minorHAnsi"/>
              </w:rPr>
            </w:pPr>
            <w:r w:rsidRPr="00261B7A">
              <w:rPr>
                <w:rFonts w:cstheme="minorHAnsi"/>
                <w:color w:val="000000"/>
              </w:rPr>
              <w:t>2,578.2</w:t>
            </w:r>
          </w:p>
        </w:tc>
        <w:tc>
          <w:tcPr>
            <w:tcW w:w="794" w:type="dxa"/>
            <w:shd w:val="clear" w:color="auto" w:fill="FFFFFF"/>
            <w:tcMar>
              <w:top w:w="0" w:type="dxa"/>
              <w:left w:w="85" w:type="dxa"/>
              <w:bottom w:w="0" w:type="dxa"/>
              <w:right w:w="85" w:type="dxa"/>
            </w:tcMar>
          </w:tcPr>
          <w:p w14:paraId="1E30572D" w14:textId="77777777" w:rsidR="006611EE" w:rsidRPr="00261B7A" w:rsidRDefault="006611EE" w:rsidP="000F09B5">
            <w:pPr>
              <w:pStyle w:val="TableText"/>
              <w:spacing w:before="40" w:after="40"/>
              <w:jc w:val="right"/>
              <w:rPr>
                <w:rFonts w:cstheme="minorHAnsi"/>
              </w:rPr>
            </w:pPr>
            <w:r w:rsidRPr="00261B7A">
              <w:rPr>
                <w:rFonts w:cstheme="minorHAnsi"/>
                <w:color w:val="000000"/>
              </w:rPr>
              <w:t>0.021</w:t>
            </w:r>
          </w:p>
        </w:tc>
        <w:tc>
          <w:tcPr>
            <w:tcW w:w="680" w:type="dxa"/>
            <w:shd w:val="clear" w:color="auto" w:fill="FFFFFF"/>
            <w:tcMar>
              <w:top w:w="0" w:type="dxa"/>
              <w:left w:w="85" w:type="dxa"/>
              <w:bottom w:w="0" w:type="dxa"/>
              <w:right w:w="85" w:type="dxa"/>
            </w:tcMar>
          </w:tcPr>
          <w:p w14:paraId="3F8D2121" w14:textId="77777777" w:rsidR="006611EE" w:rsidRPr="00261B7A" w:rsidRDefault="006611EE" w:rsidP="000F09B5">
            <w:pPr>
              <w:pStyle w:val="TableText"/>
              <w:spacing w:before="40" w:after="40"/>
              <w:jc w:val="right"/>
              <w:rPr>
                <w:rFonts w:cstheme="minorHAnsi"/>
              </w:rPr>
            </w:pPr>
            <w:r w:rsidRPr="00261B7A">
              <w:rPr>
                <w:rFonts w:cstheme="minorHAnsi"/>
                <w:color w:val="000000"/>
              </w:rPr>
              <w:t>3.2</w:t>
            </w:r>
          </w:p>
        </w:tc>
        <w:tc>
          <w:tcPr>
            <w:tcW w:w="680" w:type="dxa"/>
            <w:shd w:val="clear" w:color="auto" w:fill="FFFFFF"/>
            <w:tcMar>
              <w:top w:w="0" w:type="dxa"/>
              <w:left w:w="85" w:type="dxa"/>
              <w:bottom w:w="0" w:type="dxa"/>
              <w:right w:w="85" w:type="dxa"/>
            </w:tcMar>
          </w:tcPr>
          <w:p w14:paraId="243CC947" w14:textId="77777777" w:rsidR="006611EE" w:rsidRPr="00261B7A" w:rsidRDefault="006611EE" w:rsidP="000F09B5">
            <w:pPr>
              <w:pStyle w:val="TableText"/>
              <w:spacing w:before="40" w:after="40"/>
              <w:jc w:val="right"/>
              <w:rPr>
                <w:rFonts w:cstheme="minorHAnsi"/>
              </w:rPr>
            </w:pPr>
            <w:r w:rsidRPr="00261B7A">
              <w:rPr>
                <w:rFonts w:cstheme="minorHAnsi"/>
                <w:color w:val="000000"/>
              </w:rPr>
              <w:t>66.4</w:t>
            </w:r>
          </w:p>
        </w:tc>
      </w:tr>
      <w:tr w:rsidR="006611EE" w:rsidRPr="00261B7A" w14:paraId="2146FBD4" w14:textId="77777777" w:rsidTr="000F09B5">
        <w:tc>
          <w:tcPr>
            <w:tcW w:w="567" w:type="dxa"/>
            <w:shd w:val="clear" w:color="auto" w:fill="FFFFFF"/>
            <w:tcMar>
              <w:top w:w="0" w:type="dxa"/>
              <w:left w:w="85" w:type="dxa"/>
              <w:bottom w:w="0" w:type="dxa"/>
              <w:right w:w="85" w:type="dxa"/>
            </w:tcMar>
          </w:tcPr>
          <w:p w14:paraId="39A53AAC" w14:textId="77777777" w:rsidR="006611EE" w:rsidRPr="00261B7A" w:rsidRDefault="006611EE" w:rsidP="000F09B5">
            <w:pPr>
              <w:pStyle w:val="TableText"/>
              <w:spacing w:before="40" w:after="40"/>
              <w:rPr>
                <w:rFonts w:cstheme="minorHAnsi"/>
              </w:rPr>
            </w:pPr>
            <w:r w:rsidRPr="00261B7A">
              <w:rPr>
                <w:rFonts w:cstheme="minorHAnsi"/>
                <w:color w:val="000000"/>
              </w:rPr>
              <w:t>3.D.1.1</w:t>
            </w:r>
          </w:p>
        </w:tc>
        <w:tc>
          <w:tcPr>
            <w:tcW w:w="2438" w:type="dxa"/>
            <w:shd w:val="clear" w:color="auto" w:fill="FFFFFF"/>
            <w:tcMar>
              <w:top w:w="0" w:type="dxa"/>
              <w:left w:w="85" w:type="dxa"/>
              <w:bottom w:w="0" w:type="dxa"/>
              <w:right w:w="85" w:type="dxa"/>
            </w:tcMar>
          </w:tcPr>
          <w:p w14:paraId="12C8A8F6" w14:textId="77777777" w:rsidR="006611EE" w:rsidRPr="00261B7A" w:rsidRDefault="006611EE" w:rsidP="000F09B5">
            <w:pPr>
              <w:pStyle w:val="TableText"/>
              <w:spacing w:before="40" w:after="40"/>
              <w:rPr>
                <w:rFonts w:cstheme="minorHAnsi"/>
              </w:rPr>
            </w:pPr>
            <w:r w:rsidRPr="00261B7A">
              <w:rPr>
                <w:rFonts w:cstheme="minorHAnsi"/>
                <w:color w:val="000000"/>
              </w:rPr>
              <w:t>Direct N</w:t>
            </w:r>
            <w:r w:rsidRPr="00261B7A">
              <w:rPr>
                <w:rFonts w:cstheme="minorHAnsi"/>
                <w:color w:val="000000"/>
                <w:vertAlign w:val="subscript"/>
              </w:rPr>
              <w:t>2</w:t>
            </w:r>
            <w:r w:rsidRPr="00261B7A">
              <w:rPr>
                <w:rFonts w:cstheme="minorHAnsi"/>
                <w:color w:val="000000"/>
              </w:rPr>
              <w:t>O Emissions From Managed Soils – Inorganic N Fertilisers</w:t>
            </w:r>
          </w:p>
        </w:tc>
        <w:tc>
          <w:tcPr>
            <w:tcW w:w="510" w:type="dxa"/>
            <w:shd w:val="clear" w:color="auto" w:fill="FFFFFF"/>
            <w:tcMar>
              <w:top w:w="0" w:type="dxa"/>
              <w:left w:w="85" w:type="dxa"/>
              <w:bottom w:w="0" w:type="dxa"/>
              <w:right w:w="85" w:type="dxa"/>
            </w:tcMar>
          </w:tcPr>
          <w:p w14:paraId="37069BFE" w14:textId="77777777" w:rsidR="006611EE" w:rsidRPr="00261B7A" w:rsidRDefault="006611EE" w:rsidP="000F09B5">
            <w:pPr>
              <w:pStyle w:val="TableText"/>
              <w:spacing w:before="40" w:after="40"/>
              <w:jc w:val="center"/>
              <w:rPr>
                <w:rFonts w:cstheme="minorHAnsi"/>
              </w:rPr>
            </w:pPr>
            <w:r w:rsidRPr="00261B7A">
              <w:rPr>
                <w:rFonts w:cstheme="minorHAnsi"/>
                <w:color w:val="000000"/>
              </w:rPr>
              <w:t>N</w:t>
            </w:r>
            <w:r w:rsidRPr="00261B7A">
              <w:rPr>
                <w:rFonts w:asciiTheme="minorHAnsi" w:hAnsiTheme="minorHAnsi" w:cstheme="minorHAnsi"/>
                <w:vertAlign w:val="subscript"/>
              </w:rPr>
              <w:t>2</w:t>
            </w:r>
            <w:r w:rsidRPr="00261B7A">
              <w:rPr>
                <w:rFonts w:asciiTheme="minorHAnsi" w:hAnsiTheme="minorHAnsi" w:cstheme="minorHAnsi"/>
              </w:rPr>
              <w:t>O</w:t>
            </w:r>
          </w:p>
        </w:tc>
        <w:tc>
          <w:tcPr>
            <w:tcW w:w="794" w:type="dxa"/>
            <w:shd w:val="clear" w:color="auto" w:fill="FFFFFF"/>
            <w:tcMar>
              <w:top w:w="0" w:type="dxa"/>
              <w:left w:w="85" w:type="dxa"/>
              <w:bottom w:w="0" w:type="dxa"/>
              <w:right w:w="85" w:type="dxa"/>
            </w:tcMar>
          </w:tcPr>
          <w:p w14:paraId="139B22B6" w14:textId="77777777" w:rsidR="006611EE" w:rsidRPr="00261B7A" w:rsidRDefault="006611EE" w:rsidP="000F09B5">
            <w:pPr>
              <w:pStyle w:val="TableText"/>
              <w:spacing w:before="40" w:after="40"/>
              <w:jc w:val="right"/>
              <w:rPr>
                <w:rFonts w:cstheme="minorHAnsi"/>
              </w:rPr>
            </w:pPr>
            <w:r w:rsidRPr="00261B7A">
              <w:rPr>
                <w:rFonts w:cstheme="minorHAnsi"/>
                <w:color w:val="000000"/>
              </w:rPr>
              <w:t>230.3</w:t>
            </w:r>
          </w:p>
        </w:tc>
        <w:tc>
          <w:tcPr>
            <w:tcW w:w="794" w:type="dxa"/>
            <w:shd w:val="clear" w:color="auto" w:fill="FFFFFF"/>
            <w:tcMar>
              <w:top w:w="0" w:type="dxa"/>
              <w:left w:w="85" w:type="dxa"/>
              <w:bottom w:w="0" w:type="dxa"/>
              <w:right w:w="85" w:type="dxa"/>
            </w:tcMar>
          </w:tcPr>
          <w:p w14:paraId="418F65E0" w14:textId="77777777" w:rsidR="006611EE" w:rsidRPr="00261B7A" w:rsidRDefault="006611EE" w:rsidP="000F09B5">
            <w:pPr>
              <w:pStyle w:val="TableText"/>
              <w:spacing w:before="40" w:after="40"/>
              <w:jc w:val="right"/>
              <w:rPr>
                <w:rFonts w:cstheme="minorHAnsi"/>
              </w:rPr>
            </w:pPr>
            <w:r w:rsidRPr="00261B7A">
              <w:rPr>
                <w:rFonts w:cstheme="minorHAnsi"/>
                <w:color w:val="000000"/>
              </w:rPr>
              <w:t>1,398.9</w:t>
            </w:r>
          </w:p>
        </w:tc>
        <w:tc>
          <w:tcPr>
            <w:tcW w:w="794" w:type="dxa"/>
            <w:shd w:val="clear" w:color="auto" w:fill="FFFFFF"/>
            <w:tcMar>
              <w:top w:w="0" w:type="dxa"/>
              <w:left w:w="85" w:type="dxa"/>
              <w:bottom w:w="0" w:type="dxa"/>
              <w:right w:w="85" w:type="dxa"/>
            </w:tcMar>
          </w:tcPr>
          <w:p w14:paraId="35442056" w14:textId="77777777" w:rsidR="006611EE" w:rsidRPr="00261B7A" w:rsidRDefault="006611EE" w:rsidP="000F09B5">
            <w:pPr>
              <w:pStyle w:val="TableText"/>
              <w:spacing w:before="40" w:after="40"/>
              <w:jc w:val="right"/>
              <w:rPr>
                <w:rFonts w:cstheme="minorHAnsi"/>
              </w:rPr>
            </w:pPr>
            <w:r w:rsidRPr="00261B7A">
              <w:rPr>
                <w:rFonts w:cstheme="minorHAnsi"/>
                <w:color w:val="000000"/>
              </w:rPr>
              <w:t>0.017</w:t>
            </w:r>
          </w:p>
        </w:tc>
        <w:tc>
          <w:tcPr>
            <w:tcW w:w="680" w:type="dxa"/>
            <w:shd w:val="clear" w:color="auto" w:fill="FFFFFF"/>
            <w:tcMar>
              <w:top w:w="0" w:type="dxa"/>
              <w:left w:w="85" w:type="dxa"/>
              <w:bottom w:w="0" w:type="dxa"/>
              <w:right w:w="85" w:type="dxa"/>
            </w:tcMar>
          </w:tcPr>
          <w:p w14:paraId="1199548B" w14:textId="77777777" w:rsidR="006611EE" w:rsidRPr="00261B7A" w:rsidRDefault="006611EE" w:rsidP="000F09B5">
            <w:pPr>
              <w:pStyle w:val="TableText"/>
              <w:spacing w:before="40" w:after="40"/>
              <w:jc w:val="right"/>
              <w:rPr>
                <w:rFonts w:cstheme="minorHAnsi"/>
              </w:rPr>
            </w:pPr>
            <w:r w:rsidRPr="00261B7A">
              <w:rPr>
                <w:rFonts w:cstheme="minorHAnsi"/>
                <w:color w:val="000000"/>
              </w:rPr>
              <w:t>2.7</w:t>
            </w:r>
          </w:p>
        </w:tc>
        <w:tc>
          <w:tcPr>
            <w:tcW w:w="680" w:type="dxa"/>
            <w:shd w:val="clear" w:color="auto" w:fill="FFFFFF"/>
            <w:tcMar>
              <w:top w:w="0" w:type="dxa"/>
              <w:left w:w="85" w:type="dxa"/>
              <w:bottom w:w="0" w:type="dxa"/>
              <w:right w:w="85" w:type="dxa"/>
            </w:tcMar>
          </w:tcPr>
          <w:p w14:paraId="424D0F0B" w14:textId="77777777" w:rsidR="006611EE" w:rsidRPr="00261B7A" w:rsidRDefault="006611EE" w:rsidP="000F09B5">
            <w:pPr>
              <w:pStyle w:val="TableText"/>
              <w:spacing w:before="40" w:after="40"/>
              <w:jc w:val="right"/>
              <w:rPr>
                <w:rFonts w:cstheme="minorHAnsi"/>
              </w:rPr>
            </w:pPr>
            <w:r w:rsidRPr="00261B7A">
              <w:rPr>
                <w:rFonts w:cstheme="minorHAnsi"/>
                <w:color w:val="000000"/>
              </w:rPr>
              <w:t>69.0</w:t>
            </w:r>
          </w:p>
        </w:tc>
      </w:tr>
      <w:tr w:rsidR="006611EE" w:rsidRPr="00261B7A" w14:paraId="12ABD038" w14:textId="77777777" w:rsidTr="000F09B5">
        <w:tc>
          <w:tcPr>
            <w:tcW w:w="567" w:type="dxa"/>
            <w:shd w:val="clear" w:color="auto" w:fill="FFFFFF"/>
            <w:tcMar>
              <w:top w:w="0" w:type="dxa"/>
              <w:left w:w="85" w:type="dxa"/>
              <w:bottom w:w="0" w:type="dxa"/>
              <w:right w:w="85" w:type="dxa"/>
            </w:tcMar>
          </w:tcPr>
          <w:p w14:paraId="3B37BDE5" w14:textId="77777777" w:rsidR="006611EE" w:rsidRPr="00261B7A" w:rsidRDefault="006611EE" w:rsidP="000F09B5">
            <w:pPr>
              <w:pStyle w:val="TableText"/>
              <w:spacing w:before="40" w:after="40"/>
              <w:rPr>
                <w:rFonts w:cstheme="minorHAnsi"/>
              </w:rPr>
            </w:pPr>
            <w:r w:rsidRPr="00261B7A">
              <w:rPr>
                <w:rFonts w:cstheme="minorHAnsi"/>
                <w:color w:val="000000"/>
              </w:rPr>
              <w:t>2.C.3</w:t>
            </w:r>
          </w:p>
        </w:tc>
        <w:tc>
          <w:tcPr>
            <w:tcW w:w="2438" w:type="dxa"/>
            <w:shd w:val="clear" w:color="auto" w:fill="FFFFFF"/>
            <w:tcMar>
              <w:top w:w="0" w:type="dxa"/>
              <w:left w:w="85" w:type="dxa"/>
              <w:bottom w:w="0" w:type="dxa"/>
              <w:right w:w="85" w:type="dxa"/>
            </w:tcMar>
          </w:tcPr>
          <w:p w14:paraId="647CD7C6" w14:textId="77777777" w:rsidR="006611EE" w:rsidRPr="00261B7A" w:rsidRDefault="006611EE" w:rsidP="000F09B5">
            <w:pPr>
              <w:pStyle w:val="TableText"/>
              <w:spacing w:before="40" w:after="40"/>
              <w:rPr>
                <w:rFonts w:cstheme="minorHAnsi"/>
              </w:rPr>
            </w:pPr>
            <w:r w:rsidRPr="00261B7A">
              <w:rPr>
                <w:rFonts w:cstheme="minorHAnsi"/>
                <w:color w:val="000000"/>
              </w:rPr>
              <w:t>Metal Industry – Aluminium Production</w:t>
            </w:r>
          </w:p>
        </w:tc>
        <w:tc>
          <w:tcPr>
            <w:tcW w:w="510" w:type="dxa"/>
            <w:shd w:val="clear" w:color="auto" w:fill="FFFFFF"/>
            <w:tcMar>
              <w:top w:w="0" w:type="dxa"/>
              <w:left w:w="85" w:type="dxa"/>
              <w:bottom w:w="0" w:type="dxa"/>
              <w:right w:w="85" w:type="dxa"/>
            </w:tcMar>
          </w:tcPr>
          <w:p w14:paraId="246EC21D" w14:textId="77777777" w:rsidR="006611EE" w:rsidRPr="00261B7A" w:rsidRDefault="006611EE" w:rsidP="000F09B5">
            <w:pPr>
              <w:pStyle w:val="TableText"/>
              <w:spacing w:before="40" w:after="40"/>
              <w:jc w:val="center"/>
              <w:rPr>
                <w:rFonts w:cstheme="minorHAnsi"/>
              </w:rPr>
            </w:pPr>
            <w:r w:rsidRPr="00261B7A">
              <w:rPr>
                <w:rFonts w:cstheme="minorHAnsi"/>
                <w:color w:val="000000"/>
              </w:rPr>
              <w:t>PFCs</w:t>
            </w:r>
          </w:p>
        </w:tc>
        <w:tc>
          <w:tcPr>
            <w:tcW w:w="794" w:type="dxa"/>
            <w:shd w:val="clear" w:color="auto" w:fill="FFFFFF"/>
            <w:tcMar>
              <w:top w:w="0" w:type="dxa"/>
              <w:left w:w="85" w:type="dxa"/>
              <w:bottom w:w="0" w:type="dxa"/>
              <w:right w:w="85" w:type="dxa"/>
            </w:tcMar>
          </w:tcPr>
          <w:p w14:paraId="48199DB0" w14:textId="77777777" w:rsidR="006611EE" w:rsidRPr="00261B7A" w:rsidRDefault="006611EE" w:rsidP="000F09B5">
            <w:pPr>
              <w:pStyle w:val="TableText"/>
              <w:spacing w:before="40" w:after="40"/>
              <w:jc w:val="right"/>
              <w:rPr>
                <w:rFonts w:cstheme="minorHAnsi"/>
              </w:rPr>
            </w:pPr>
            <w:r w:rsidRPr="00261B7A">
              <w:rPr>
                <w:rFonts w:cstheme="minorHAnsi"/>
                <w:color w:val="000000"/>
              </w:rPr>
              <w:t>909.9</w:t>
            </w:r>
          </w:p>
        </w:tc>
        <w:tc>
          <w:tcPr>
            <w:tcW w:w="794" w:type="dxa"/>
            <w:shd w:val="clear" w:color="auto" w:fill="FFFFFF"/>
            <w:tcMar>
              <w:top w:w="0" w:type="dxa"/>
              <w:left w:w="85" w:type="dxa"/>
              <w:bottom w:w="0" w:type="dxa"/>
              <w:right w:w="85" w:type="dxa"/>
            </w:tcMar>
          </w:tcPr>
          <w:p w14:paraId="19C349E6" w14:textId="77777777" w:rsidR="006611EE" w:rsidRPr="00261B7A" w:rsidRDefault="006611EE" w:rsidP="000F09B5">
            <w:pPr>
              <w:pStyle w:val="TableText"/>
              <w:spacing w:before="40" w:after="40"/>
              <w:jc w:val="right"/>
              <w:rPr>
                <w:rFonts w:cstheme="minorHAnsi"/>
              </w:rPr>
            </w:pPr>
            <w:r w:rsidRPr="00261B7A">
              <w:rPr>
                <w:rFonts w:cstheme="minorHAnsi"/>
                <w:color w:val="000000"/>
              </w:rPr>
              <w:t>50.7</w:t>
            </w:r>
          </w:p>
        </w:tc>
        <w:tc>
          <w:tcPr>
            <w:tcW w:w="794" w:type="dxa"/>
            <w:shd w:val="clear" w:color="auto" w:fill="FFFFFF"/>
            <w:tcMar>
              <w:top w:w="0" w:type="dxa"/>
              <w:left w:w="85" w:type="dxa"/>
              <w:bottom w:w="0" w:type="dxa"/>
              <w:right w:w="85" w:type="dxa"/>
            </w:tcMar>
          </w:tcPr>
          <w:p w14:paraId="73F6B1AD" w14:textId="77777777" w:rsidR="006611EE" w:rsidRPr="00261B7A" w:rsidRDefault="006611EE" w:rsidP="000F09B5">
            <w:pPr>
              <w:pStyle w:val="TableText"/>
              <w:spacing w:before="40" w:after="40"/>
              <w:jc w:val="right"/>
              <w:rPr>
                <w:rFonts w:cstheme="minorHAnsi"/>
              </w:rPr>
            </w:pPr>
            <w:r w:rsidRPr="00261B7A">
              <w:rPr>
                <w:rFonts w:cstheme="minorHAnsi"/>
                <w:color w:val="000000"/>
              </w:rPr>
              <w:t>0.016</w:t>
            </w:r>
          </w:p>
        </w:tc>
        <w:tc>
          <w:tcPr>
            <w:tcW w:w="680" w:type="dxa"/>
            <w:shd w:val="clear" w:color="auto" w:fill="FFFFFF"/>
            <w:tcMar>
              <w:top w:w="0" w:type="dxa"/>
              <w:left w:w="85" w:type="dxa"/>
              <w:bottom w:w="0" w:type="dxa"/>
              <w:right w:w="85" w:type="dxa"/>
            </w:tcMar>
          </w:tcPr>
          <w:p w14:paraId="5A0B31BB" w14:textId="77777777" w:rsidR="006611EE" w:rsidRPr="00261B7A" w:rsidRDefault="006611EE" w:rsidP="000F09B5">
            <w:pPr>
              <w:pStyle w:val="TableText"/>
              <w:spacing w:before="40" w:after="40"/>
              <w:jc w:val="right"/>
              <w:rPr>
                <w:rFonts w:cstheme="minorHAnsi"/>
              </w:rPr>
            </w:pPr>
            <w:r w:rsidRPr="00261B7A">
              <w:rPr>
                <w:rFonts w:cstheme="minorHAnsi"/>
                <w:color w:val="000000"/>
              </w:rPr>
              <w:t>2.4</w:t>
            </w:r>
          </w:p>
        </w:tc>
        <w:tc>
          <w:tcPr>
            <w:tcW w:w="680" w:type="dxa"/>
            <w:shd w:val="clear" w:color="auto" w:fill="FFFFFF"/>
            <w:tcMar>
              <w:top w:w="0" w:type="dxa"/>
              <w:left w:w="85" w:type="dxa"/>
              <w:bottom w:w="0" w:type="dxa"/>
              <w:right w:w="85" w:type="dxa"/>
            </w:tcMar>
          </w:tcPr>
          <w:p w14:paraId="7A7FC4BF" w14:textId="77777777" w:rsidR="006611EE" w:rsidRPr="00261B7A" w:rsidRDefault="006611EE" w:rsidP="000F09B5">
            <w:pPr>
              <w:pStyle w:val="TableText"/>
              <w:spacing w:before="40" w:after="40"/>
              <w:jc w:val="right"/>
              <w:rPr>
                <w:rFonts w:cstheme="minorHAnsi"/>
              </w:rPr>
            </w:pPr>
            <w:r w:rsidRPr="00261B7A">
              <w:rPr>
                <w:rFonts w:cstheme="minorHAnsi"/>
                <w:color w:val="000000"/>
              </w:rPr>
              <w:t>71.5</w:t>
            </w:r>
          </w:p>
        </w:tc>
      </w:tr>
      <w:tr w:rsidR="006611EE" w:rsidRPr="00261B7A" w14:paraId="1C7A279C" w14:textId="77777777" w:rsidTr="000F09B5">
        <w:tc>
          <w:tcPr>
            <w:tcW w:w="567" w:type="dxa"/>
            <w:shd w:val="clear" w:color="auto" w:fill="FFFFFF"/>
            <w:tcMar>
              <w:top w:w="0" w:type="dxa"/>
              <w:left w:w="85" w:type="dxa"/>
              <w:bottom w:w="0" w:type="dxa"/>
              <w:right w:w="85" w:type="dxa"/>
            </w:tcMar>
          </w:tcPr>
          <w:p w14:paraId="645FBF7F" w14:textId="77777777" w:rsidR="006611EE" w:rsidRPr="00261B7A" w:rsidRDefault="006611EE" w:rsidP="000F09B5">
            <w:pPr>
              <w:pStyle w:val="TableText"/>
              <w:spacing w:before="40" w:after="40"/>
              <w:rPr>
                <w:rFonts w:cstheme="minorHAnsi"/>
              </w:rPr>
            </w:pPr>
            <w:r w:rsidRPr="00261B7A">
              <w:rPr>
                <w:rFonts w:cstheme="minorHAnsi"/>
                <w:color w:val="000000"/>
              </w:rPr>
              <w:t>3.A.1</w:t>
            </w:r>
          </w:p>
        </w:tc>
        <w:tc>
          <w:tcPr>
            <w:tcW w:w="2438" w:type="dxa"/>
            <w:shd w:val="clear" w:color="auto" w:fill="FFFFFF"/>
            <w:tcMar>
              <w:top w:w="0" w:type="dxa"/>
              <w:left w:w="85" w:type="dxa"/>
              <w:bottom w:w="0" w:type="dxa"/>
              <w:right w:w="85" w:type="dxa"/>
            </w:tcMar>
          </w:tcPr>
          <w:p w14:paraId="48424C18" w14:textId="77777777" w:rsidR="006611EE" w:rsidRPr="00261B7A" w:rsidRDefault="006611EE" w:rsidP="000F09B5">
            <w:pPr>
              <w:pStyle w:val="TableText"/>
              <w:spacing w:before="40" w:after="40"/>
              <w:rPr>
                <w:rFonts w:cstheme="minorHAnsi"/>
              </w:rPr>
            </w:pPr>
            <w:r w:rsidRPr="00261B7A">
              <w:rPr>
                <w:rFonts w:cstheme="minorHAnsi"/>
                <w:color w:val="000000"/>
              </w:rPr>
              <w:t>Option A – Non-Dairy Cattle</w:t>
            </w:r>
          </w:p>
        </w:tc>
        <w:tc>
          <w:tcPr>
            <w:tcW w:w="510" w:type="dxa"/>
            <w:shd w:val="clear" w:color="auto" w:fill="FFFFFF"/>
            <w:tcMar>
              <w:top w:w="0" w:type="dxa"/>
              <w:left w:w="85" w:type="dxa"/>
              <w:bottom w:w="0" w:type="dxa"/>
              <w:right w:w="85" w:type="dxa"/>
            </w:tcMar>
          </w:tcPr>
          <w:p w14:paraId="326E1035"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794" w:type="dxa"/>
            <w:shd w:val="clear" w:color="auto" w:fill="FFFFFF"/>
            <w:tcMar>
              <w:top w:w="0" w:type="dxa"/>
              <w:left w:w="85" w:type="dxa"/>
              <w:bottom w:w="0" w:type="dxa"/>
              <w:right w:w="85" w:type="dxa"/>
            </w:tcMar>
          </w:tcPr>
          <w:p w14:paraId="437092C7" w14:textId="77777777" w:rsidR="006611EE" w:rsidRPr="00261B7A" w:rsidRDefault="006611EE" w:rsidP="000F09B5">
            <w:pPr>
              <w:pStyle w:val="TableText"/>
              <w:spacing w:before="40" w:after="40"/>
              <w:jc w:val="right"/>
              <w:rPr>
                <w:rFonts w:cstheme="minorHAnsi"/>
              </w:rPr>
            </w:pPr>
            <w:r w:rsidRPr="00261B7A">
              <w:rPr>
                <w:rFonts w:cstheme="minorHAnsi"/>
                <w:color w:val="000000"/>
              </w:rPr>
              <w:t>5,861.6</w:t>
            </w:r>
          </w:p>
        </w:tc>
        <w:tc>
          <w:tcPr>
            <w:tcW w:w="794" w:type="dxa"/>
            <w:shd w:val="clear" w:color="auto" w:fill="FFFFFF"/>
            <w:tcMar>
              <w:top w:w="0" w:type="dxa"/>
              <w:left w:w="85" w:type="dxa"/>
              <w:bottom w:w="0" w:type="dxa"/>
              <w:right w:w="85" w:type="dxa"/>
            </w:tcMar>
          </w:tcPr>
          <w:p w14:paraId="50BBA7BF" w14:textId="77777777" w:rsidR="006611EE" w:rsidRPr="00261B7A" w:rsidRDefault="006611EE" w:rsidP="000F09B5">
            <w:pPr>
              <w:pStyle w:val="TableText"/>
              <w:spacing w:before="40" w:after="40"/>
              <w:jc w:val="right"/>
              <w:rPr>
                <w:rFonts w:cstheme="minorHAnsi"/>
              </w:rPr>
            </w:pPr>
            <w:r w:rsidRPr="00261B7A">
              <w:rPr>
                <w:rFonts w:cstheme="minorHAnsi"/>
                <w:color w:val="000000"/>
              </w:rPr>
              <w:t>5,944.0</w:t>
            </w:r>
          </w:p>
        </w:tc>
        <w:tc>
          <w:tcPr>
            <w:tcW w:w="794" w:type="dxa"/>
            <w:shd w:val="clear" w:color="auto" w:fill="FFFFFF"/>
            <w:tcMar>
              <w:top w:w="0" w:type="dxa"/>
              <w:left w:w="85" w:type="dxa"/>
              <w:bottom w:w="0" w:type="dxa"/>
              <w:right w:w="85" w:type="dxa"/>
            </w:tcMar>
          </w:tcPr>
          <w:p w14:paraId="4A1F20DB" w14:textId="77777777" w:rsidR="006611EE" w:rsidRPr="00261B7A" w:rsidRDefault="006611EE" w:rsidP="000F09B5">
            <w:pPr>
              <w:pStyle w:val="TableText"/>
              <w:spacing w:before="40" w:after="40"/>
              <w:jc w:val="right"/>
              <w:rPr>
                <w:rFonts w:cstheme="minorHAnsi"/>
              </w:rPr>
            </w:pPr>
            <w:r w:rsidRPr="00261B7A">
              <w:rPr>
                <w:rFonts w:cstheme="minorHAnsi"/>
                <w:color w:val="000000"/>
              </w:rPr>
              <w:t>0.016</w:t>
            </w:r>
          </w:p>
        </w:tc>
        <w:tc>
          <w:tcPr>
            <w:tcW w:w="680" w:type="dxa"/>
            <w:shd w:val="clear" w:color="auto" w:fill="FFFFFF"/>
            <w:tcMar>
              <w:top w:w="0" w:type="dxa"/>
              <w:left w:w="85" w:type="dxa"/>
              <w:bottom w:w="0" w:type="dxa"/>
              <w:right w:w="85" w:type="dxa"/>
            </w:tcMar>
          </w:tcPr>
          <w:p w14:paraId="273C3C90" w14:textId="77777777" w:rsidR="006611EE" w:rsidRPr="00261B7A" w:rsidRDefault="006611EE" w:rsidP="000F09B5">
            <w:pPr>
              <w:pStyle w:val="TableText"/>
              <w:spacing w:before="40" w:after="40"/>
              <w:jc w:val="right"/>
              <w:rPr>
                <w:rFonts w:cstheme="minorHAnsi"/>
              </w:rPr>
            </w:pPr>
            <w:r w:rsidRPr="00261B7A">
              <w:rPr>
                <w:rFonts w:cstheme="minorHAnsi"/>
                <w:color w:val="000000"/>
              </w:rPr>
              <w:t>2.4</w:t>
            </w:r>
          </w:p>
        </w:tc>
        <w:tc>
          <w:tcPr>
            <w:tcW w:w="680" w:type="dxa"/>
            <w:shd w:val="clear" w:color="auto" w:fill="FFFFFF"/>
            <w:tcMar>
              <w:top w:w="0" w:type="dxa"/>
              <w:left w:w="85" w:type="dxa"/>
              <w:bottom w:w="0" w:type="dxa"/>
              <w:right w:w="85" w:type="dxa"/>
            </w:tcMar>
          </w:tcPr>
          <w:p w14:paraId="4CEC3355" w14:textId="77777777" w:rsidR="006611EE" w:rsidRPr="00261B7A" w:rsidRDefault="006611EE" w:rsidP="000F09B5">
            <w:pPr>
              <w:pStyle w:val="TableText"/>
              <w:spacing w:before="40" w:after="40"/>
              <w:jc w:val="right"/>
              <w:rPr>
                <w:rFonts w:cstheme="minorHAnsi"/>
              </w:rPr>
            </w:pPr>
            <w:r w:rsidRPr="00261B7A">
              <w:rPr>
                <w:rFonts w:cstheme="minorHAnsi"/>
                <w:color w:val="000000"/>
              </w:rPr>
              <w:t>73.9</w:t>
            </w:r>
          </w:p>
        </w:tc>
      </w:tr>
      <w:tr w:rsidR="006611EE" w:rsidRPr="00261B7A" w14:paraId="1DA18647" w14:textId="77777777" w:rsidTr="000F09B5">
        <w:tc>
          <w:tcPr>
            <w:tcW w:w="567" w:type="dxa"/>
            <w:shd w:val="clear" w:color="auto" w:fill="FFFFFF"/>
            <w:tcMar>
              <w:top w:w="0" w:type="dxa"/>
              <w:left w:w="85" w:type="dxa"/>
              <w:bottom w:w="0" w:type="dxa"/>
              <w:right w:w="85" w:type="dxa"/>
            </w:tcMar>
          </w:tcPr>
          <w:p w14:paraId="154E5C73" w14:textId="77777777" w:rsidR="006611EE" w:rsidRPr="00261B7A" w:rsidRDefault="006611EE" w:rsidP="000F09B5">
            <w:pPr>
              <w:pStyle w:val="TableText"/>
              <w:spacing w:before="40" w:after="40"/>
              <w:rPr>
                <w:rFonts w:cstheme="minorHAnsi"/>
              </w:rPr>
            </w:pPr>
            <w:r w:rsidRPr="00261B7A">
              <w:rPr>
                <w:rFonts w:cstheme="minorHAnsi"/>
                <w:color w:val="000000"/>
              </w:rPr>
              <w:t>3.B.1.1</w:t>
            </w:r>
          </w:p>
        </w:tc>
        <w:tc>
          <w:tcPr>
            <w:tcW w:w="2438" w:type="dxa"/>
            <w:shd w:val="clear" w:color="auto" w:fill="FFFFFF"/>
            <w:tcMar>
              <w:top w:w="0" w:type="dxa"/>
              <w:left w:w="85" w:type="dxa"/>
              <w:bottom w:w="0" w:type="dxa"/>
              <w:right w:w="85" w:type="dxa"/>
            </w:tcMar>
          </w:tcPr>
          <w:p w14:paraId="7A3D53E8" w14:textId="77777777" w:rsidR="006611EE" w:rsidRPr="00261B7A" w:rsidRDefault="006611EE" w:rsidP="000F09B5">
            <w:pPr>
              <w:pStyle w:val="TableText"/>
              <w:spacing w:before="40" w:after="40"/>
              <w:rPr>
                <w:rFonts w:cstheme="minorHAnsi"/>
              </w:rPr>
            </w:pPr>
            <w:r w:rsidRPr="00261B7A">
              <w:rPr>
                <w:rFonts w:cstheme="minorHAnsi"/>
                <w:color w:val="000000"/>
              </w:rPr>
              <w:t>Option A – Dairy Cattle</w:t>
            </w:r>
          </w:p>
        </w:tc>
        <w:tc>
          <w:tcPr>
            <w:tcW w:w="510" w:type="dxa"/>
            <w:shd w:val="clear" w:color="auto" w:fill="FFFFFF"/>
            <w:tcMar>
              <w:top w:w="0" w:type="dxa"/>
              <w:left w:w="85" w:type="dxa"/>
              <w:bottom w:w="0" w:type="dxa"/>
              <w:right w:w="85" w:type="dxa"/>
            </w:tcMar>
          </w:tcPr>
          <w:p w14:paraId="1DC8EAF6"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794" w:type="dxa"/>
            <w:shd w:val="clear" w:color="auto" w:fill="FFFFFF"/>
            <w:tcMar>
              <w:top w:w="0" w:type="dxa"/>
              <w:left w:w="85" w:type="dxa"/>
              <w:bottom w:w="0" w:type="dxa"/>
              <w:right w:w="85" w:type="dxa"/>
            </w:tcMar>
          </w:tcPr>
          <w:p w14:paraId="3FEAA6A0" w14:textId="77777777" w:rsidR="006611EE" w:rsidRPr="00261B7A" w:rsidRDefault="006611EE" w:rsidP="000F09B5">
            <w:pPr>
              <w:pStyle w:val="TableText"/>
              <w:spacing w:before="40" w:after="40"/>
              <w:jc w:val="right"/>
              <w:rPr>
                <w:rFonts w:cstheme="minorHAnsi"/>
              </w:rPr>
            </w:pPr>
            <w:r w:rsidRPr="00261B7A">
              <w:rPr>
                <w:rFonts w:cstheme="minorHAnsi"/>
                <w:color w:val="000000"/>
              </w:rPr>
              <w:t>413.8</w:t>
            </w:r>
          </w:p>
        </w:tc>
        <w:tc>
          <w:tcPr>
            <w:tcW w:w="794" w:type="dxa"/>
            <w:shd w:val="clear" w:color="auto" w:fill="FFFFFF"/>
            <w:tcMar>
              <w:top w:w="0" w:type="dxa"/>
              <w:left w:w="85" w:type="dxa"/>
              <w:bottom w:w="0" w:type="dxa"/>
              <w:right w:w="85" w:type="dxa"/>
            </w:tcMar>
          </w:tcPr>
          <w:p w14:paraId="28071800" w14:textId="77777777" w:rsidR="006611EE" w:rsidRPr="00261B7A" w:rsidRDefault="006611EE" w:rsidP="000F09B5">
            <w:pPr>
              <w:pStyle w:val="TableText"/>
              <w:spacing w:before="40" w:after="40"/>
              <w:jc w:val="right"/>
              <w:rPr>
                <w:rFonts w:cstheme="minorHAnsi"/>
              </w:rPr>
            </w:pPr>
            <w:r w:rsidRPr="00261B7A">
              <w:rPr>
                <w:rFonts w:cstheme="minorHAnsi"/>
                <w:color w:val="000000"/>
              </w:rPr>
              <w:t>1,341.1</w:t>
            </w:r>
          </w:p>
        </w:tc>
        <w:tc>
          <w:tcPr>
            <w:tcW w:w="794" w:type="dxa"/>
            <w:shd w:val="clear" w:color="auto" w:fill="FFFFFF"/>
            <w:tcMar>
              <w:top w:w="0" w:type="dxa"/>
              <w:left w:w="85" w:type="dxa"/>
              <w:bottom w:w="0" w:type="dxa"/>
              <w:right w:w="85" w:type="dxa"/>
            </w:tcMar>
          </w:tcPr>
          <w:p w14:paraId="3330839B" w14:textId="77777777" w:rsidR="006611EE" w:rsidRPr="00261B7A" w:rsidRDefault="006611EE" w:rsidP="000F09B5">
            <w:pPr>
              <w:pStyle w:val="TableText"/>
              <w:spacing w:before="40" w:after="40"/>
              <w:jc w:val="right"/>
              <w:rPr>
                <w:rFonts w:cstheme="minorHAnsi"/>
              </w:rPr>
            </w:pPr>
            <w:r w:rsidRPr="00261B7A">
              <w:rPr>
                <w:rFonts w:cstheme="minorHAnsi"/>
                <w:color w:val="000000"/>
              </w:rPr>
              <w:t>0.013</w:t>
            </w:r>
          </w:p>
        </w:tc>
        <w:tc>
          <w:tcPr>
            <w:tcW w:w="680" w:type="dxa"/>
            <w:shd w:val="clear" w:color="auto" w:fill="FFFFFF"/>
            <w:tcMar>
              <w:top w:w="0" w:type="dxa"/>
              <w:left w:w="85" w:type="dxa"/>
              <w:bottom w:w="0" w:type="dxa"/>
              <w:right w:w="85" w:type="dxa"/>
            </w:tcMar>
          </w:tcPr>
          <w:p w14:paraId="67358F59" w14:textId="77777777" w:rsidR="006611EE" w:rsidRPr="00261B7A" w:rsidRDefault="006611EE" w:rsidP="000F09B5">
            <w:pPr>
              <w:pStyle w:val="TableText"/>
              <w:spacing w:before="40" w:after="40"/>
              <w:jc w:val="right"/>
              <w:rPr>
                <w:rFonts w:cstheme="minorHAnsi"/>
              </w:rPr>
            </w:pPr>
            <w:r w:rsidRPr="00261B7A">
              <w:rPr>
                <w:rFonts w:cstheme="minorHAnsi"/>
                <w:color w:val="000000"/>
              </w:rPr>
              <w:t>2.0</w:t>
            </w:r>
          </w:p>
        </w:tc>
        <w:tc>
          <w:tcPr>
            <w:tcW w:w="680" w:type="dxa"/>
            <w:shd w:val="clear" w:color="auto" w:fill="FFFFFF"/>
            <w:tcMar>
              <w:top w:w="0" w:type="dxa"/>
              <w:left w:w="85" w:type="dxa"/>
              <w:bottom w:w="0" w:type="dxa"/>
              <w:right w:w="85" w:type="dxa"/>
            </w:tcMar>
          </w:tcPr>
          <w:p w14:paraId="0CC93276" w14:textId="77777777" w:rsidR="006611EE" w:rsidRPr="00261B7A" w:rsidRDefault="006611EE" w:rsidP="000F09B5">
            <w:pPr>
              <w:pStyle w:val="TableText"/>
              <w:spacing w:before="40" w:after="40"/>
              <w:jc w:val="right"/>
              <w:rPr>
                <w:rFonts w:cstheme="minorHAnsi"/>
              </w:rPr>
            </w:pPr>
            <w:r w:rsidRPr="00261B7A">
              <w:rPr>
                <w:rFonts w:cstheme="minorHAnsi"/>
                <w:color w:val="000000"/>
              </w:rPr>
              <w:t>75.9</w:t>
            </w:r>
          </w:p>
        </w:tc>
      </w:tr>
      <w:tr w:rsidR="006611EE" w:rsidRPr="00261B7A" w14:paraId="1A934902" w14:textId="77777777" w:rsidTr="000F09B5">
        <w:tc>
          <w:tcPr>
            <w:tcW w:w="567" w:type="dxa"/>
            <w:shd w:val="clear" w:color="auto" w:fill="FFFFFF"/>
            <w:tcMar>
              <w:top w:w="0" w:type="dxa"/>
              <w:left w:w="85" w:type="dxa"/>
              <w:bottom w:w="0" w:type="dxa"/>
              <w:right w:w="85" w:type="dxa"/>
            </w:tcMar>
          </w:tcPr>
          <w:p w14:paraId="58A9081D" w14:textId="77777777" w:rsidR="006611EE" w:rsidRPr="00261B7A" w:rsidRDefault="006611EE" w:rsidP="000F09B5">
            <w:pPr>
              <w:pStyle w:val="TableText"/>
              <w:spacing w:before="40" w:after="40"/>
              <w:rPr>
                <w:rFonts w:cstheme="minorHAnsi"/>
              </w:rPr>
            </w:pPr>
            <w:r w:rsidRPr="00261B7A">
              <w:rPr>
                <w:rFonts w:cstheme="minorHAnsi"/>
                <w:color w:val="000000"/>
              </w:rPr>
              <w:t>1.A.2.g.viii</w:t>
            </w:r>
          </w:p>
        </w:tc>
        <w:tc>
          <w:tcPr>
            <w:tcW w:w="2438" w:type="dxa"/>
            <w:shd w:val="clear" w:color="auto" w:fill="FFFFFF"/>
            <w:tcMar>
              <w:top w:w="0" w:type="dxa"/>
              <w:left w:w="85" w:type="dxa"/>
              <w:bottom w:w="0" w:type="dxa"/>
              <w:right w:w="85" w:type="dxa"/>
            </w:tcMar>
          </w:tcPr>
          <w:p w14:paraId="67A934D2" w14:textId="77777777" w:rsidR="006611EE" w:rsidRPr="00261B7A" w:rsidRDefault="006611EE" w:rsidP="000F09B5">
            <w:pPr>
              <w:pStyle w:val="TableText"/>
              <w:spacing w:before="40" w:after="40"/>
              <w:rPr>
                <w:rFonts w:cstheme="minorHAnsi"/>
              </w:rPr>
            </w:pPr>
            <w:r w:rsidRPr="00261B7A">
              <w:rPr>
                <w:rFonts w:cstheme="minorHAnsi"/>
                <w:color w:val="000000"/>
              </w:rPr>
              <w:t>Other (please specify) – Other (please specify) Solid Fuels</w:t>
            </w:r>
          </w:p>
        </w:tc>
        <w:tc>
          <w:tcPr>
            <w:tcW w:w="510" w:type="dxa"/>
            <w:shd w:val="clear" w:color="auto" w:fill="FFFFFF"/>
            <w:tcMar>
              <w:top w:w="0" w:type="dxa"/>
              <w:left w:w="85" w:type="dxa"/>
              <w:bottom w:w="0" w:type="dxa"/>
              <w:right w:w="85" w:type="dxa"/>
            </w:tcMar>
          </w:tcPr>
          <w:p w14:paraId="615C58E5"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2ECB25A7" w14:textId="77777777" w:rsidR="006611EE" w:rsidRPr="00261B7A" w:rsidRDefault="006611EE" w:rsidP="000F09B5">
            <w:pPr>
              <w:pStyle w:val="TableText"/>
              <w:spacing w:before="40" w:after="40"/>
              <w:jc w:val="right"/>
              <w:rPr>
                <w:rFonts w:cstheme="minorHAnsi"/>
              </w:rPr>
            </w:pPr>
            <w:r w:rsidRPr="00261B7A">
              <w:rPr>
                <w:rFonts w:cstheme="minorHAnsi"/>
                <w:color w:val="000000"/>
              </w:rPr>
              <w:t>731.1</w:t>
            </w:r>
          </w:p>
        </w:tc>
        <w:tc>
          <w:tcPr>
            <w:tcW w:w="794" w:type="dxa"/>
            <w:shd w:val="clear" w:color="auto" w:fill="FFFFFF"/>
            <w:tcMar>
              <w:top w:w="0" w:type="dxa"/>
              <w:left w:w="85" w:type="dxa"/>
              <w:bottom w:w="0" w:type="dxa"/>
              <w:right w:w="85" w:type="dxa"/>
            </w:tcMar>
          </w:tcPr>
          <w:p w14:paraId="4270570D" w14:textId="77777777" w:rsidR="006611EE" w:rsidRPr="00261B7A" w:rsidRDefault="006611EE" w:rsidP="000F09B5">
            <w:pPr>
              <w:pStyle w:val="TableText"/>
              <w:spacing w:before="40" w:after="40"/>
              <w:jc w:val="right"/>
              <w:rPr>
                <w:rFonts w:cstheme="minorHAnsi"/>
              </w:rPr>
            </w:pPr>
            <w:r w:rsidRPr="00261B7A">
              <w:rPr>
                <w:rFonts w:cstheme="minorHAnsi"/>
                <w:color w:val="000000"/>
              </w:rPr>
              <w:t>104.4</w:t>
            </w:r>
          </w:p>
        </w:tc>
        <w:tc>
          <w:tcPr>
            <w:tcW w:w="794" w:type="dxa"/>
            <w:shd w:val="clear" w:color="auto" w:fill="FFFFFF"/>
            <w:tcMar>
              <w:top w:w="0" w:type="dxa"/>
              <w:left w:w="85" w:type="dxa"/>
              <w:bottom w:w="0" w:type="dxa"/>
              <w:right w:w="85" w:type="dxa"/>
            </w:tcMar>
          </w:tcPr>
          <w:p w14:paraId="6AC87053" w14:textId="77777777" w:rsidR="006611EE" w:rsidRPr="00261B7A" w:rsidRDefault="006611EE" w:rsidP="000F09B5">
            <w:pPr>
              <w:pStyle w:val="TableText"/>
              <w:spacing w:before="40" w:after="40"/>
              <w:jc w:val="right"/>
              <w:rPr>
                <w:rFonts w:cstheme="minorHAnsi"/>
              </w:rPr>
            </w:pPr>
            <w:r w:rsidRPr="00261B7A">
              <w:rPr>
                <w:rFonts w:cstheme="minorHAnsi"/>
                <w:color w:val="000000"/>
              </w:rPr>
              <w:t>0.012</w:t>
            </w:r>
          </w:p>
        </w:tc>
        <w:tc>
          <w:tcPr>
            <w:tcW w:w="680" w:type="dxa"/>
            <w:shd w:val="clear" w:color="auto" w:fill="FFFFFF"/>
            <w:tcMar>
              <w:top w:w="0" w:type="dxa"/>
              <w:left w:w="85" w:type="dxa"/>
              <w:bottom w:w="0" w:type="dxa"/>
              <w:right w:w="85" w:type="dxa"/>
            </w:tcMar>
          </w:tcPr>
          <w:p w14:paraId="268A21DB" w14:textId="77777777" w:rsidR="006611EE" w:rsidRPr="00261B7A" w:rsidRDefault="006611EE" w:rsidP="000F09B5">
            <w:pPr>
              <w:pStyle w:val="TableText"/>
              <w:spacing w:before="40" w:after="40"/>
              <w:jc w:val="right"/>
              <w:rPr>
                <w:rFonts w:cstheme="minorHAnsi"/>
              </w:rPr>
            </w:pPr>
            <w:r w:rsidRPr="00261B7A">
              <w:rPr>
                <w:rFonts w:cstheme="minorHAnsi"/>
                <w:color w:val="000000"/>
              </w:rPr>
              <w:t>1.8</w:t>
            </w:r>
          </w:p>
        </w:tc>
        <w:tc>
          <w:tcPr>
            <w:tcW w:w="680" w:type="dxa"/>
            <w:shd w:val="clear" w:color="auto" w:fill="FFFFFF"/>
            <w:tcMar>
              <w:top w:w="0" w:type="dxa"/>
              <w:left w:w="85" w:type="dxa"/>
              <w:bottom w:w="0" w:type="dxa"/>
              <w:right w:w="85" w:type="dxa"/>
            </w:tcMar>
          </w:tcPr>
          <w:p w14:paraId="1C419239" w14:textId="77777777" w:rsidR="006611EE" w:rsidRPr="00261B7A" w:rsidRDefault="006611EE" w:rsidP="000F09B5">
            <w:pPr>
              <w:pStyle w:val="TableText"/>
              <w:spacing w:before="40" w:after="40"/>
              <w:jc w:val="right"/>
              <w:rPr>
                <w:rFonts w:cstheme="minorHAnsi"/>
              </w:rPr>
            </w:pPr>
            <w:r w:rsidRPr="00261B7A">
              <w:rPr>
                <w:rFonts w:cstheme="minorHAnsi"/>
                <w:color w:val="000000"/>
              </w:rPr>
              <w:t>77.7</w:t>
            </w:r>
          </w:p>
        </w:tc>
      </w:tr>
      <w:tr w:rsidR="006611EE" w:rsidRPr="00261B7A" w14:paraId="220187C3" w14:textId="77777777" w:rsidTr="000F09B5">
        <w:tc>
          <w:tcPr>
            <w:tcW w:w="567" w:type="dxa"/>
            <w:shd w:val="clear" w:color="auto" w:fill="FFFFFF"/>
            <w:tcMar>
              <w:top w:w="0" w:type="dxa"/>
              <w:left w:w="85" w:type="dxa"/>
              <w:bottom w:w="0" w:type="dxa"/>
              <w:right w:w="85" w:type="dxa"/>
            </w:tcMar>
          </w:tcPr>
          <w:p w14:paraId="1F64A353" w14:textId="77777777" w:rsidR="006611EE" w:rsidRPr="00261B7A" w:rsidRDefault="006611EE" w:rsidP="000F09B5">
            <w:pPr>
              <w:pStyle w:val="TableText"/>
              <w:spacing w:before="40" w:after="40"/>
              <w:rPr>
                <w:rFonts w:cstheme="minorHAnsi"/>
              </w:rPr>
            </w:pPr>
            <w:r w:rsidRPr="00261B7A">
              <w:rPr>
                <w:rFonts w:cstheme="minorHAnsi"/>
                <w:color w:val="000000"/>
              </w:rPr>
              <w:t>1.A.2.c</w:t>
            </w:r>
          </w:p>
        </w:tc>
        <w:tc>
          <w:tcPr>
            <w:tcW w:w="2438" w:type="dxa"/>
            <w:shd w:val="clear" w:color="auto" w:fill="FFFFFF"/>
            <w:tcMar>
              <w:top w:w="0" w:type="dxa"/>
              <w:left w:w="85" w:type="dxa"/>
              <w:bottom w:w="0" w:type="dxa"/>
              <w:right w:w="85" w:type="dxa"/>
            </w:tcMar>
          </w:tcPr>
          <w:p w14:paraId="72DA7992" w14:textId="77777777" w:rsidR="006611EE" w:rsidRPr="00261B7A" w:rsidRDefault="006611EE" w:rsidP="000F09B5">
            <w:pPr>
              <w:pStyle w:val="TableText"/>
              <w:spacing w:before="40" w:after="40"/>
              <w:rPr>
                <w:rFonts w:cstheme="minorHAnsi"/>
              </w:rPr>
            </w:pPr>
            <w:r w:rsidRPr="00261B7A">
              <w:rPr>
                <w:rFonts w:cstheme="minorHAnsi"/>
                <w:color w:val="000000"/>
              </w:rPr>
              <w:t>Manufacturing Industries and Construction – Chemicals Gaseous Fuels</w:t>
            </w:r>
          </w:p>
        </w:tc>
        <w:tc>
          <w:tcPr>
            <w:tcW w:w="510" w:type="dxa"/>
            <w:shd w:val="clear" w:color="auto" w:fill="FFFFFF"/>
            <w:tcMar>
              <w:top w:w="0" w:type="dxa"/>
              <w:left w:w="85" w:type="dxa"/>
              <w:bottom w:w="0" w:type="dxa"/>
              <w:right w:w="85" w:type="dxa"/>
            </w:tcMar>
          </w:tcPr>
          <w:p w14:paraId="4276CEC0"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62E66733" w14:textId="77777777" w:rsidR="006611EE" w:rsidRPr="00261B7A" w:rsidRDefault="006611EE" w:rsidP="000F09B5">
            <w:pPr>
              <w:pStyle w:val="TableText"/>
              <w:spacing w:before="40" w:after="40"/>
              <w:jc w:val="right"/>
              <w:rPr>
                <w:rFonts w:cstheme="minorHAnsi"/>
              </w:rPr>
            </w:pPr>
            <w:r w:rsidRPr="00261B7A">
              <w:rPr>
                <w:rFonts w:cstheme="minorHAnsi"/>
                <w:color w:val="000000"/>
              </w:rPr>
              <w:t>524.8</w:t>
            </w:r>
          </w:p>
        </w:tc>
        <w:tc>
          <w:tcPr>
            <w:tcW w:w="794" w:type="dxa"/>
            <w:shd w:val="clear" w:color="auto" w:fill="FFFFFF"/>
            <w:tcMar>
              <w:top w:w="0" w:type="dxa"/>
              <w:left w:w="85" w:type="dxa"/>
              <w:bottom w:w="0" w:type="dxa"/>
              <w:right w:w="85" w:type="dxa"/>
            </w:tcMar>
          </w:tcPr>
          <w:p w14:paraId="3C120C5C" w14:textId="77777777" w:rsidR="006611EE" w:rsidRPr="00261B7A" w:rsidRDefault="006611EE" w:rsidP="000F09B5">
            <w:pPr>
              <w:pStyle w:val="TableText"/>
              <w:spacing w:before="40" w:after="40"/>
              <w:jc w:val="right"/>
              <w:rPr>
                <w:rFonts w:cstheme="minorHAnsi"/>
              </w:rPr>
            </w:pPr>
            <w:r w:rsidRPr="00261B7A">
              <w:rPr>
                <w:rFonts w:cstheme="minorHAnsi"/>
                <w:color w:val="000000"/>
              </w:rPr>
              <w:t>1,267.1</w:t>
            </w:r>
          </w:p>
        </w:tc>
        <w:tc>
          <w:tcPr>
            <w:tcW w:w="794" w:type="dxa"/>
            <w:shd w:val="clear" w:color="auto" w:fill="FFFFFF"/>
            <w:tcMar>
              <w:top w:w="0" w:type="dxa"/>
              <w:left w:w="85" w:type="dxa"/>
              <w:bottom w:w="0" w:type="dxa"/>
              <w:right w:w="85" w:type="dxa"/>
            </w:tcMar>
          </w:tcPr>
          <w:p w14:paraId="1B70F06D" w14:textId="77777777" w:rsidR="006611EE" w:rsidRPr="00261B7A" w:rsidRDefault="006611EE" w:rsidP="000F09B5">
            <w:pPr>
              <w:pStyle w:val="TableText"/>
              <w:spacing w:before="40" w:after="40"/>
              <w:jc w:val="right"/>
              <w:rPr>
                <w:rFonts w:cstheme="minorHAnsi"/>
              </w:rPr>
            </w:pPr>
            <w:r w:rsidRPr="00261B7A">
              <w:rPr>
                <w:rFonts w:cstheme="minorHAnsi"/>
                <w:color w:val="000000"/>
              </w:rPr>
              <w:t>0.010</w:t>
            </w:r>
          </w:p>
        </w:tc>
        <w:tc>
          <w:tcPr>
            <w:tcW w:w="680" w:type="dxa"/>
            <w:shd w:val="clear" w:color="auto" w:fill="FFFFFF"/>
            <w:tcMar>
              <w:top w:w="0" w:type="dxa"/>
              <w:left w:w="85" w:type="dxa"/>
              <w:bottom w:w="0" w:type="dxa"/>
              <w:right w:w="85" w:type="dxa"/>
            </w:tcMar>
          </w:tcPr>
          <w:p w14:paraId="56C4589E" w14:textId="77777777" w:rsidR="006611EE" w:rsidRPr="00261B7A" w:rsidRDefault="006611EE" w:rsidP="000F09B5">
            <w:pPr>
              <w:pStyle w:val="TableText"/>
              <w:spacing w:before="40" w:after="40"/>
              <w:jc w:val="right"/>
              <w:rPr>
                <w:rFonts w:cstheme="minorHAnsi"/>
              </w:rPr>
            </w:pPr>
            <w:r w:rsidRPr="00261B7A">
              <w:rPr>
                <w:rFonts w:cstheme="minorHAnsi"/>
                <w:color w:val="000000"/>
              </w:rPr>
              <w:t>1.5</w:t>
            </w:r>
          </w:p>
        </w:tc>
        <w:tc>
          <w:tcPr>
            <w:tcW w:w="680" w:type="dxa"/>
            <w:shd w:val="clear" w:color="auto" w:fill="FFFFFF"/>
            <w:tcMar>
              <w:top w:w="0" w:type="dxa"/>
              <w:left w:w="85" w:type="dxa"/>
              <w:bottom w:w="0" w:type="dxa"/>
              <w:right w:w="85" w:type="dxa"/>
            </w:tcMar>
          </w:tcPr>
          <w:p w14:paraId="45888921" w14:textId="77777777" w:rsidR="006611EE" w:rsidRPr="00261B7A" w:rsidRDefault="006611EE" w:rsidP="000F09B5">
            <w:pPr>
              <w:pStyle w:val="TableText"/>
              <w:spacing w:before="40" w:after="40"/>
              <w:jc w:val="right"/>
              <w:rPr>
                <w:rFonts w:cstheme="minorHAnsi"/>
              </w:rPr>
            </w:pPr>
            <w:r w:rsidRPr="00261B7A">
              <w:rPr>
                <w:rFonts w:cstheme="minorHAnsi"/>
                <w:color w:val="000000"/>
              </w:rPr>
              <w:t>79.2</w:t>
            </w:r>
          </w:p>
        </w:tc>
      </w:tr>
      <w:tr w:rsidR="006611EE" w:rsidRPr="00261B7A" w14:paraId="5D59F567" w14:textId="77777777" w:rsidTr="000F09B5">
        <w:tc>
          <w:tcPr>
            <w:tcW w:w="567" w:type="dxa"/>
            <w:shd w:val="clear" w:color="auto" w:fill="FFFFFF"/>
            <w:tcMar>
              <w:top w:w="0" w:type="dxa"/>
              <w:left w:w="85" w:type="dxa"/>
              <w:bottom w:w="0" w:type="dxa"/>
              <w:right w:w="85" w:type="dxa"/>
            </w:tcMar>
          </w:tcPr>
          <w:p w14:paraId="2FC21656" w14:textId="77777777" w:rsidR="006611EE" w:rsidRPr="00261B7A" w:rsidRDefault="006611EE" w:rsidP="000F09B5">
            <w:pPr>
              <w:pStyle w:val="TableText"/>
              <w:spacing w:before="40" w:after="40"/>
              <w:rPr>
                <w:rFonts w:cstheme="minorHAnsi"/>
              </w:rPr>
            </w:pPr>
            <w:r w:rsidRPr="00261B7A">
              <w:rPr>
                <w:rFonts w:cstheme="minorHAnsi"/>
                <w:color w:val="000000"/>
              </w:rPr>
              <w:t>1.A.2.e</w:t>
            </w:r>
          </w:p>
        </w:tc>
        <w:tc>
          <w:tcPr>
            <w:tcW w:w="2438" w:type="dxa"/>
            <w:shd w:val="clear" w:color="auto" w:fill="FFFFFF"/>
            <w:tcMar>
              <w:top w:w="0" w:type="dxa"/>
              <w:left w:w="85" w:type="dxa"/>
              <w:bottom w:w="0" w:type="dxa"/>
              <w:right w:w="85" w:type="dxa"/>
            </w:tcMar>
          </w:tcPr>
          <w:p w14:paraId="43DFBA8F" w14:textId="77777777" w:rsidR="006611EE" w:rsidRPr="00261B7A" w:rsidRDefault="006611EE" w:rsidP="000F09B5">
            <w:pPr>
              <w:pStyle w:val="TableText"/>
              <w:spacing w:before="40" w:after="40"/>
              <w:rPr>
                <w:rFonts w:cstheme="minorHAnsi"/>
              </w:rPr>
            </w:pPr>
            <w:r w:rsidRPr="00261B7A">
              <w:rPr>
                <w:rFonts w:cstheme="minorHAnsi"/>
                <w:color w:val="000000"/>
              </w:rPr>
              <w:t>Manufacturing Industries and Construction – Food Processing, Beverages and Tobacco Gaseous Fuels</w:t>
            </w:r>
          </w:p>
        </w:tc>
        <w:tc>
          <w:tcPr>
            <w:tcW w:w="510" w:type="dxa"/>
            <w:shd w:val="clear" w:color="auto" w:fill="FFFFFF"/>
            <w:tcMar>
              <w:top w:w="0" w:type="dxa"/>
              <w:left w:w="85" w:type="dxa"/>
              <w:bottom w:w="0" w:type="dxa"/>
              <w:right w:w="85" w:type="dxa"/>
            </w:tcMar>
          </w:tcPr>
          <w:p w14:paraId="7904C734"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475B0C21" w14:textId="77777777" w:rsidR="006611EE" w:rsidRPr="00261B7A" w:rsidRDefault="006611EE" w:rsidP="000F09B5">
            <w:pPr>
              <w:pStyle w:val="TableText"/>
              <w:spacing w:before="40" w:after="40"/>
              <w:jc w:val="right"/>
              <w:rPr>
                <w:rFonts w:cstheme="minorHAnsi"/>
              </w:rPr>
            </w:pPr>
            <w:r w:rsidRPr="00261B7A">
              <w:rPr>
                <w:rFonts w:cstheme="minorHAnsi"/>
                <w:color w:val="000000"/>
              </w:rPr>
              <w:t>443.4</w:t>
            </w:r>
          </w:p>
        </w:tc>
        <w:tc>
          <w:tcPr>
            <w:tcW w:w="794" w:type="dxa"/>
            <w:shd w:val="clear" w:color="auto" w:fill="FFFFFF"/>
            <w:tcMar>
              <w:top w:w="0" w:type="dxa"/>
              <w:left w:w="85" w:type="dxa"/>
              <w:bottom w:w="0" w:type="dxa"/>
              <w:right w:w="85" w:type="dxa"/>
            </w:tcMar>
          </w:tcPr>
          <w:p w14:paraId="0AED19BF" w14:textId="77777777" w:rsidR="006611EE" w:rsidRPr="00261B7A" w:rsidRDefault="006611EE" w:rsidP="000F09B5">
            <w:pPr>
              <w:pStyle w:val="TableText"/>
              <w:spacing w:before="40" w:after="40"/>
              <w:jc w:val="right"/>
              <w:rPr>
                <w:rFonts w:cstheme="minorHAnsi"/>
              </w:rPr>
            </w:pPr>
            <w:r w:rsidRPr="00261B7A">
              <w:rPr>
                <w:rFonts w:cstheme="minorHAnsi"/>
                <w:color w:val="000000"/>
              </w:rPr>
              <w:t>1,053.3</w:t>
            </w:r>
          </w:p>
        </w:tc>
        <w:tc>
          <w:tcPr>
            <w:tcW w:w="794" w:type="dxa"/>
            <w:shd w:val="clear" w:color="auto" w:fill="FFFFFF"/>
            <w:tcMar>
              <w:top w:w="0" w:type="dxa"/>
              <w:left w:w="85" w:type="dxa"/>
              <w:bottom w:w="0" w:type="dxa"/>
              <w:right w:w="85" w:type="dxa"/>
            </w:tcMar>
          </w:tcPr>
          <w:p w14:paraId="45015A00" w14:textId="77777777" w:rsidR="006611EE" w:rsidRPr="00261B7A" w:rsidRDefault="006611EE" w:rsidP="000F09B5">
            <w:pPr>
              <w:pStyle w:val="TableText"/>
              <w:spacing w:before="40" w:after="40"/>
              <w:jc w:val="right"/>
              <w:rPr>
                <w:rFonts w:cstheme="minorHAnsi"/>
              </w:rPr>
            </w:pPr>
            <w:r w:rsidRPr="00261B7A">
              <w:rPr>
                <w:rFonts w:cstheme="minorHAnsi"/>
                <w:color w:val="000000"/>
              </w:rPr>
              <w:t>0.008</w:t>
            </w:r>
          </w:p>
        </w:tc>
        <w:tc>
          <w:tcPr>
            <w:tcW w:w="680" w:type="dxa"/>
            <w:shd w:val="clear" w:color="auto" w:fill="FFFFFF"/>
            <w:tcMar>
              <w:top w:w="0" w:type="dxa"/>
              <w:left w:w="85" w:type="dxa"/>
              <w:bottom w:w="0" w:type="dxa"/>
              <w:right w:w="85" w:type="dxa"/>
            </w:tcMar>
          </w:tcPr>
          <w:p w14:paraId="5FE692E1" w14:textId="77777777" w:rsidR="006611EE" w:rsidRPr="00261B7A" w:rsidRDefault="006611EE" w:rsidP="000F09B5">
            <w:pPr>
              <w:pStyle w:val="TableText"/>
              <w:spacing w:before="40" w:after="40"/>
              <w:jc w:val="right"/>
              <w:rPr>
                <w:rFonts w:cstheme="minorHAnsi"/>
              </w:rPr>
            </w:pPr>
            <w:r w:rsidRPr="00261B7A">
              <w:rPr>
                <w:rFonts w:cstheme="minorHAnsi"/>
                <w:color w:val="000000"/>
              </w:rPr>
              <w:t>1.2</w:t>
            </w:r>
          </w:p>
        </w:tc>
        <w:tc>
          <w:tcPr>
            <w:tcW w:w="680" w:type="dxa"/>
            <w:shd w:val="clear" w:color="auto" w:fill="FFFFFF"/>
            <w:tcMar>
              <w:top w:w="0" w:type="dxa"/>
              <w:left w:w="85" w:type="dxa"/>
              <w:bottom w:w="0" w:type="dxa"/>
              <w:right w:w="85" w:type="dxa"/>
            </w:tcMar>
          </w:tcPr>
          <w:p w14:paraId="2B9DBC9F" w14:textId="77777777" w:rsidR="006611EE" w:rsidRPr="00261B7A" w:rsidRDefault="006611EE" w:rsidP="000F09B5">
            <w:pPr>
              <w:pStyle w:val="TableText"/>
              <w:spacing w:before="40" w:after="40"/>
              <w:jc w:val="right"/>
              <w:rPr>
                <w:rFonts w:cstheme="minorHAnsi"/>
              </w:rPr>
            </w:pPr>
            <w:r w:rsidRPr="00261B7A">
              <w:rPr>
                <w:rFonts w:cstheme="minorHAnsi"/>
                <w:color w:val="000000"/>
              </w:rPr>
              <w:t>80.5</w:t>
            </w:r>
          </w:p>
        </w:tc>
      </w:tr>
      <w:tr w:rsidR="006611EE" w:rsidRPr="00261B7A" w14:paraId="0E49EA40" w14:textId="77777777" w:rsidTr="000F09B5">
        <w:tc>
          <w:tcPr>
            <w:tcW w:w="567" w:type="dxa"/>
            <w:shd w:val="clear" w:color="auto" w:fill="FFFFFF"/>
            <w:tcMar>
              <w:top w:w="0" w:type="dxa"/>
              <w:left w:w="85" w:type="dxa"/>
              <w:bottom w:w="0" w:type="dxa"/>
              <w:right w:w="85" w:type="dxa"/>
            </w:tcMar>
          </w:tcPr>
          <w:p w14:paraId="5F2861DC" w14:textId="77777777" w:rsidR="006611EE" w:rsidRPr="00261B7A" w:rsidRDefault="006611EE" w:rsidP="000F09B5">
            <w:pPr>
              <w:pStyle w:val="TableText"/>
              <w:spacing w:before="40" w:after="40"/>
              <w:rPr>
                <w:rFonts w:cstheme="minorHAnsi"/>
              </w:rPr>
            </w:pPr>
            <w:r w:rsidRPr="00261B7A">
              <w:rPr>
                <w:rFonts w:cstheme="minorHAnsi"/>
                <w:color w:val="000000"/>
              </w:rPr>
              <w:t>3.H</w:t>
            </w:r>
          </w:p>
        </w:tc>
        <w:tc>
          <w:tcPr>
            <w:tcW w:w="2438" w:type="dxa"/>
            <w:shd w:val="clear" w:color="auto" w:fill="FFFFFF"/>
            <w:tcMar>
              <w:top w:w="0" w:type="dxa"/>
              <w:left w:w="85" w:type="dxa"/>
              <w:bottom w:w="0" w:type="dxa"/>
              <w:right w:w="85" w:type="dxa"/>
            </w:tcMar>
          </w:tcPr>
          <w:p w14:paraId="2B3F0EEA" w14:textId="77777777" w:rsidR="006611EE" w:rsidRPr="00261B7A" w:rsidRDefault="006611EE" w:rsidP="000F09B5">
            <w:pPr>
              <w:pStyle w:val="TableText"/>
              <w:spacing w:before="40" w:after="40"/>
              <w:rPr>
                <w:rFonts w:cstheme="minorHAnsi"/>
              </w:rPr>
            </w:pPr>
            <w:r w:rsidRPr="00261B7A">
              <w:rPr>
                <w:rFonts w:cstheme="minorHAnsi"/>
                <w:color w:val="000000"/>
              </w:rPr>
              <w:t>Agriculture – Urea Application</w:t>
            </w:r>
          </w:p>
        </w:tc>
        <w:tc>
          <w:tcPr>
            <w:tcW w:w="510" w:type="dxa"/>
            <w:shd w:val="clear" w:color="auto" w:fill="FFFFFF"/>
            <w:tcMar>
              <w:top w:w="0" w:type="dxa"/>
              <w:left w:w="85" w:type="dxa"/>
              <w:bottom w:w="0" w:type="dxa"/>
              <w:right w:w="85" w:type="dxa"/>
            </w:tcMar>
          </w:tcPr>
          <w:p w14:paraId="2D2BE041"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0746EEC4" w14:textId="77777777" w:rsidR="006611EE" w:rsidRPr="00261B7A" w:rsidRDefault="006611EE" w:rsidP="000F09B5">
            <w:pPr>
              <w:pStyle w:val="TableText"/>
              <w:spacing w:before="40" w:after="40"/>
              <w:jc w:val="right"/>
              <w:rPr>
                <w:rFonts w:cstheme="minorHAnsi"/>
              </w:rPr>
            </w:pPr>
            <w:r w:rsidRPr="00261B7A">
              <w:rPr>
                <w:rFonts w:cstheme="minorHAnsi"/>
                <w:color w:val="000000"/>
              </w:rPr>
              <w:t>39.2</w:t>
            </w:r>
          </w:p>
        </w:tc>
        <w:tc>
          <w:tcPr>
            <w:tcW w:w="794" w:type="dxa"/>
            <w:shd w:val="clear" w:color="auto" w:fill="FFFFFF"/>
            <w:tcMar>
              <w:top w:w="0" w:type="dxa"/>
              <w:left w:w="85" w:type="dxa"/>
              <w:bottom w:w="0" w:type="dxa"/>
              <w:right w:w="85" w:type="dxa"/>
            </w:tcMar>
          </w:tcPr>
          <w:p w14:paraId="47427DD0" w14:textId="77777777" w:rsidR="006611EE" w:rsidRPr="00261B7A" w:rsidRDefault="006611EE" w:rsidP="000F09B5">
            <w:pPr>
              <w:pStyle w:val="TableText"/>
              <w:spacing w:before="40" w:after="40"/>
              <w:jc w:val="right"/>
              <w:rPr>
                <w:rFonts w:cstheme="minorHAnsi"/>
              </w:rPr>
            </w:pPr>
            <w:r w:rsidRPr="00261B7A">
              <w:rPr>
                <w:rFonts w:cstheme="minorHAnsi"/>
                <w:color w:val="000000"/>
              </w:rPr>
              <w:t>553.2</w:t>
            </w:r>
          </w:p>
        </w:tc>
        <w:tc>
          <w:tcPr>
            <w:tcW w:w="794" w:type="dxa"/>
            <w:shd w:val="clear" w:color="auto" w:fill="FFFFFF"/>
            <w:tcMar>
              <w:top w:w="0" w:type="dxa"/>
              <w:left w:w="85" w:type="dxa"/>
              <w:bottom w:w="0" w:type="dxa"/>
              <w:right w:w="85" w:type="dxa"/>
            </w:tcMar>
          </w:tcPr>
          <w:p w14:paraId="5CE17FA2" w14:textId="77777777" w:rsidR="006611EE" w:rsidRPr="00261B7A" w:rsidRDefault="006611EE" w:rsidP="000F09B5">
            <w:pPr>
              <w:pStyle w:val="TableText"/>
              <w:spacing w:before="40" w:after="40"/>
              <w:jc w:val="right"/>
              <w:rPr>
                <w:rFonts w:cstheme="minorHAnsi"/>
              </w:rPr>
            </w:pPr>
            <w:r w:rsidRPr="00261B7A">
              <w:rPr>
                <w:rFonts w:cstheme="minorHAnsi"/>
                <w:color w:val="000000"/>
              </w:rPr>
              <w:t>0.008</w:t>
            </w:r>
          </w:p>
        </w:tc>
        <w:tc>
          <w:tcPr>
            <w:tcW w:w="680" w:type="dxa"/>
            <w:shd w:val="clear" w:color="auto" w:fill="FFFFFF"/>
            <w:tcMar>
              <w:top w:w="0" w:type="dxa"/>
              <w:left w:w="85" w:type="dxa"/>
              <w:bottom w:w="0" w:type="dxa"/>
              <w:right w:w="85" w:type="dxa"/>
            </w:tcMar>
          </w:tcPr>
          <w:p w14:paraId="51EA5958" w14:textId="77777777" w:rsidR="006611EE" w:rsidRPr="00261B7A" w:rsidRDefault="006611EE" w:rsidP="000F09B5">
            <w:pPr>
              <w:pStyle w:val="TableText"/>
              <w:spacing w:before="40" w:after="40"/>
              <w:jc w:val="right"/>
              <w:rPr>
                <w:rFonts w:cstheme="minorHAnsi"/>
              </w:rPr>
            </w:pPr>
            <w:r w:rsidRPr="00261B7A">
              <w:rPr>
                <w:rFonts w:cstheme="minorHAnsi"/>
                <w:color w:val="000000"/>
              </w:rPr>
              <w:t>1.2</w:t>
            </w:r>
          </w:p>
        </w:tc>
        <w:tc>
          <w:tcPr>
            <w:tcW w:w="680" w:type="dxa"/>
            <w:shd w:val="clear" w:color="auto" w:fill="FFFFFF"/>
            <w:tcMar>
              <w:top w:w="0" w:type="dxa"/>
              <w:left w:w="85" w:type="dxa"/>
              <w:bottom w:w="0" w:type="dxa"/>
              <w:right w:w="85" w:type="dxa"/>
            </w:tcMar>
          </w:tcPr>
          <w:p w14:paraId="26726999" w14:textId="77777777" w:rsidR="006611EE" w:rsidRPr="00261B7A" w:rsidRDefault="006611EE" w:rsidP="000F09B5">
            <w:pPr>
              <w:pStyle w:val="TableText"/>
              <w:spacing w:before="40" w:after="40"/>
              <w:jc w:val="right"/>
              <w:rPr>
                <w:rFonts w:cstheme="minorHAnsi"/>
              </w:rPr>
            </w:pPr>
            <w:r w:rsidRPr="00261B7A">
              <w:rPr>
                <w:rFonts w:cstheme="minorHAnsi"/>
                <w:color w:val="000000"/>
              </w:rPr>
              <w:t>81.7</w:t>
            </w:r>
          </w:p>
        </w:tc>
      </w:tr>
      <w:tr w:rsidR="006611EE" w:rsidRPr="00261B7A" w14:paraId="0F966A5D" w14:textId="77777777" w:rsidTr="000F09B5">
        <w:tc>
          <w:tcPr>
            <w:tcW w:w="567" w:type="dxa"/>
            <w:shd w:val="clear" w:color="auto" w:fill="FFFFFF"/>
            <w:tcMar>
              <w:top w:w="0" w:type="dxa"/>
              <w:left w:w="85" w:type="dxa"/>
              <w:bottom w:w="0" w:type="dxa"/>
              <w:right w:w="85" w:type="dxa"/>
            </w:tcMar>
          </w:tcPr>
          <w:p w14:paraId="44AC60A8" w14:textId="77777777" w:rsidR="006611EE" w:rsidRPr="00261B7A" w:rsidRDefault="006611EE" w:rsidP="000F09B5">
            <w:pPr>
              <w:pStyle w:val="TableText"/>
              <w:spacing w:before="40" w:after="40"/>
              <w:rPr>
                <w:rFonts w:cstheme="minorHAnsi"/>
              </w:rPr>
            </w:pPr>
            <w:r w:rsidRPr="00261B7A">
              <w:rPr>
                <w:rFonts w:cstheme="minorHAnsi"/>
                <w:color w:val="000000"/>
              </w:rPr>
              <w:t>1.A.4.b</w:t>
            </w:r>
          </w:p>
        </w:tc>
        <w:tc>
          <w:tcPr>
            <w:tcW w:w="2438" w:type="dxa"/>
            <w:shd w:val="clear" w:color="auto" w:fill="FFFFFF"/>
            <w:tcMar>
              <w:top w:w="0" w:type="dxa"/>
              <w:left w:w="85" w:type="dxa"/>
              <w:bottom w:w="0" w:type="dxa"/>
              <w:right w:w="85" w:type="dxa"/>
            </w:tcMar>
          </w:tcPr>
          <w:p w14:paraId="2404EAD8" w14:textId="77777777" w:rsidR="006611EE" w:rsidRPr="00261B7A" w:rsidRDefault="006611EE" w:rsidP="000F09B5">
            <w:pPr>
              <w:pStyle w:val="TableText"/>
              <w:spacing w:before="40" w:after="40"/>
              <w:rPr>
                <w:rFonts w:cstheme="minorHAnsi"/>
              </w:rPr>
            </w:pPr>
            <w:r w:rsidRPr="00261B7A">
              <w:rPr>
                <w:rFonts w:cstheme="minorHAnsi"/>
                <w:color w:val="000000"/>
              </w:rPr>
              <w:t>Other Sectors – Residential Solid Fuels</w:t>
            </w:r>
          </w:p>
        </w:tc>
        <w:tc>
          <w:tcPr>
            <w:tcW w:w="510" w:type="dxa"/>
            <w:shd w:val="clear" w:color="auto" w:fill="FFFFFF"/>
            <w:tcMar>
              <w:top w:w="0" w:type="dxa"/>
              <w:left w:w="85" w:type="dxa"/>
              <w:bottom w:w="0" w:type="dxa"/>
              <w:right w:w="85" w:type="dxa"/>
            </w:tcMar>
          </w:tcPr>
          <w:p w14:paraId="6BB223D4"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2C15612C" w14:textId="77777777" w:rsidR="006611EE" w:rsidRPr="00261B7A" w:rsidRDefault="006611EE" w:rsidP="000F09B5">
            <w:pPr>
              <w:pStyle w:val="TableText"/>
              <w:spacing w:before="40" w:after="40"/>
              <w:jc w:val="right"/>
              <w:rPr>
                <w:rFonts w:cstheme="minorHAnsi"/>
              </w:rPr>
            </w:pPr>
            <w:r w:rsidRPr="00261B7A">
              <w:rPr>
                <w:rFonts w:cstheme="minorHAnsi"/>
                <w:color w:val="000000"/>
              </w:rPr>
              <w:t>344.9</w:t>
            </w:r>
          </w:p>
        </w:tc>
        <w:tc>
          <w:tcPr>
            <w:tcW w:w="794" w:type="dxa"/>
            <w:shd w:val="clear" w:color="auto" w:fill="FFFFFF"/>
            <w:tcMar>
              <w:top w:w="0" w:type="dxa"/>
              <w:left w:w="85" w:type="dxa"/>
              <w:bottom w:w="0" w:type="dxa"/>
              <w:right w:w="85" w:type="dxa"/>
            </w:tcMar>
          </w:tcPr>
          <w:p w14:paraId="4B3D90DA" w14:textId="77777777" w:rsidR="006611EE" w:rsidRPr="00261B7A" w:rsidRDefault="006611EE" w:rsidP="000F09B5">
            <w:pPr>
              <w:pStyle w:val="TableText"/>
              <w:spacing w:before="40" w:after="40"/>
              <w:jc w:val="right"/>
              <w:rPr>
                <w:rFonts w:cstheme="minorHAnsi"/>
              </w:rPr>
            </w:pPr>
            <w:r w:rsidRPr="00261B7A">
              <w:rPr>
                <w:rFonts w:cstheme="minorHAnsi"/>
                <w:color w:val="000000"/>
              </w:rPr>
              <w:t>21.8</w:t>
            </w:r>
          </w:p>
        </w:tc>
        <w:tc>
          <w:tcPr>
            <w:tcW w:w="794" w:type="dxa"/>
            <w:shd w:val="clear" w:color="auto" w:fill="FFFFFF"/>
            <w:tcMar>
              <w:top w:w="0" w:type="dxa"/>
              <w:left w:w="85" w:type="dxa"/>
              <w:bottom w:w="0" w:type="dxa"/>
              <w:right w:w="85" w:type="dxa"/>
            </w:tcMar>
          </w:tcPr>
          <w:p w14:paraId="13EADA0F" w14:textId="77777777" w:rsidR="006611EE" w:rsidRPr="00261B7A" w:rsidRDefault="006611EE" w:rsidP="000F09B5">
            <w:pPr>
              <w:pStyle w:val="TableText"/>
              <w:spacing w:before="40" w:after="40"/>
              <w:jc w:val="right"/>
              <w:rPr>
                <w:rFonts w:cstheme="minorHAnsi"/>
              </w:rPr>
            </w:pPr>
            <w:r w:rsidRPr="00261B7A">
              <w:rPr>
                <w:rFonts w:cstheme="minorHAnsi"/>
                <w:color w:val="000000"/>
              </w:rPr>
              <w:t>0.006</w:t>
            </w:r>
          </w:p>
        </w:tc>
        <w:tc>
          <w:tcPr>
            <w:tcW w:w="680" w:type="dxa"/>
            <w:shd w:val="clear" w:color="auto" w:fill="FFFFFF"/>
            <w:tcMar>
              <w:top w:w="0" w:type="dxa"/>
              <w:left w:w="85" w:type="dxa"/>
              <w:bottom w:w="0" w:type="dxa"/>
              <w:right w:w="85" w:type="dxa"/>
            </w:tcMar>
          </w:tcPr>
          <w:p w14:paraId="33BC2347" w14:textId="77777777" w:rsidR="006611EE" w:rsidRPr="00261B7A" w:rsidRDefault="006611EE" w:rsidP="000F09B5">
            <w:pPr>
              <w:pStyle w:val="TableText"/>
              <w:spacing w:before="40" w:after="40"/>
              <w:jc w:val="right"/>
              <w:rPr>
                <w:rFonts w:cstheme="minorHAnsi"/>
              </w:rPr>
            </w:pPr>
            <w:r w:rsidRPr="00261B7A">
              <w:rPr>
                <w:rFonts w:cstheme="minorHAnsi"/>
                <w:color w:val="000000"/>
              </w:rPr>
              <w:t>0.9</w:t>
            </w:r>
          </w:p>
        </w:tc>
        <w:tc>
          <w:tcPr>
            <w:tcW w:w="680" w:type="dxa"/>
            <w:shd w:val="clear" w:color="auto" w:fill="FFFFFF"/>
            <w:tcMar>
              <w:top w:w="0" w:type="dxa"/>
              <w:left w:w="85" w:type="dxa"/>
              <w:bottom w:w="0" w:type="dxa"/>
              <w:right w:w="85" w:type="dxa"/>
            </w:tcMar>
          </w:tcPr>
          <w:p w14:paraId="53A22C9D" w14:textId="77777777" w:rsidR="006611EE" w:rsidRPr="00261B7A" w:rsidRDefault="006611EE" w:rsidP="000F09B5">
            <w:pPr>
              <w:pStyle w:val="TableText"/>
              <w:spacing w:before="40" w:after="40"/>
              <w:jc w:val="right"/>
              <w:rPr>
                <w:rFonts w:cstheme="minorHAnsi"/>
              </w:rPr>
            </w:pPr>
            <w:r w:rsidRPr="00261B7A">
              <w:rPr>
                <w:rFonts w:cstheme="minorHAnsi"/>
                <w:color w:val="000000"/>
              </w:rPr>
              <w:t>82.6</w:t>
            </w:r>
          </w:p>
        </w:tc>
      </w:tr>
      <w:tr w:rsidR="006611EE" w:rsidRPr="00261B7A" w14:paraId="547B4AFE" w14:textId="77777777" w:rsidTr="000F09B5">
        <w:tc>
          <w:tcPr>
            <w:tcW w:w="567" w:type="dxa"/>
            <w:shd w:val="clear" w:color="auto" w:fill="FFFFFF"/>
            <w:tcMar>
              <w:top w:w="0" w:type="dxa"/>
              <w:left w:w="85" w:type="dxa"/>
              <w:bottom w:w="0" w:type="dxa"/>
              <w:right w:w="85" w:type="dxa"/>
            </w:tcMar>
          </w:tcPr>
          <w:p w14:paraId="187B37C5" w14:textId="77777777" w:rsidR="006611EE" w:rsidRPr="00261B7A" w:rsidRDefault="006611EE" w:rsidP="000F09B5">
            <w:pPr>
              <w:pStyle w:val="TableText"/>
              <w:spacing w:before="40" w:after="40"/>
              <w:rPr>
                <w:rFonts w:cstheme="minorHAnsi"/>
              </w:rPr>
            </w:pPr>
            <w:r w:rsidRPr="00261B7A">
              <w:rPr>
                <w:rFonts w:cstheme="minorHAnsi"/>
                <w:color w:val="000000"/>
              </w:rPr>
              <w:t>1.A.4.b</w:t>
            </w:r>
          </w:p>
        </w:tc>
        <w:tc>
          <w:tcPr>
            <w:tcW w:w="2438" w:type="dxa"/>
            <w:shd w:val="clear" w:color="auto" w:fill="FFFFFF"/>
            <w:tcMar>
              <w:top w:w="0" w:type="dxa"/>
              <w:left w:w="85" w:type="dxa"/>
              <w:bottom w:w="0" w:type="dxa"/>
              <w:right w:w="85" w:type="dxa"/>
            </w:tcMar>
          </w:tcPr>
          <w:p w14:paraId="4A174D11" w14:textId="77777777" w:rsidR="006611EE" w:rsidRPr="00261B7A" w:rsidRDefault="006611EE" w:rsidP="000F09B5">
            <w:pPr>
              <w:pStyle w:val="TableText"/>
              <w:spacing w:before="40" w:after="40"/>
              <w:rPr>
                <w:rFonts w:cstheme="minorHAnsi"/>
              </w:rPr>
            </w:pPr>
            <w:r w:rsidRPr="00261B7A">
              <w:rPr>
                <w:rFonts w:cstheme="minorHAnsi"/>
                <w:color w:val="000000"/>
              </w:rPr>
              <w:t>Other Sectors – Residential Liquid Fuels</w:t>
            </w:r>
          </w:p>
        </w:tc>
        <w:tc>
          <w:tcPr>
            <w:tcW w:w="510" w:type="dxa"/>
            <w:shd w:val="clear" w:color="auto" w:fill="FFFFFF"/>
            <w:tcMar>
              <w:top w:w="0" w:type="dxa"/>
              <w:left w:w="85" w:type="dxa"/>
              <w:bottom w:w="0" w:type="dxa"/>
              <w:right w:w="85" w:type="dxa"/>
            </w:tcMar>
          </w:tcPr>
          <w:p w14:paraId="7AF47078"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0E8BAFFF" w14:textId="77777777" w:rsidR="006611EE" w:rsidRPr="00261B7A" w:rsidRDefault="006611EE" w:rsidP="000F09B5">
            <w:pPr>
              <w:pStyle w:val="TableText"/>
              <w:spacing w:before="40" w:after="40"/>
              <w:jc w:val="right"/>
              <w:rPr>
                <w:rFonts w:cstheme="minorHAnsi"/>
              </w:rPr>
            </w:pPr>
            <w:r w:rsidRPr="00261B7A">
              <w:rPr>
                <w:rFonts w:cstheme="minorHAnsi"/>
                <w:color w:val="000000"/>
              </w:rPr>
              <w:t>814.5</w:t>
            </w:r>
          </w:p>
        </w:tc>
        <w:tc>
          <w:tcPr>
            <w:tcW w:w="794" w:type="dxa"/>
            <w:shd w:val="clear" w:color="auto" w:fill="FFFFFF"/>
            <w:tcMar>
              <w:top w:w="0" w:type="dxa"/>
              <w:left w:w="85" w:type="dxa"/>
              <w:bottom w:w="0" w:type="dxa"/>
              <w:right w:w="85" w:type="dxa"/>
            </w:tcMar>
          </w:tcPr>
          <w:p w14:paraId="1FEB7B9E" w14:textId="77777777" w:rsidR="006611EE" w:rsidRPr="00261B7A" w:rsidRDefault="006611EE" w:rsidP="000F09B5">
            <w:pPr>
              <w:pStyle w:val="TableText"/>
              <w:spacing w:before="40" w:after="40"/>
              <w:jc w:val="right"/>
              <w:rPr>
                <w:rFonts w:cstheme="minorHAnsi"/>
              </w:rPr>
            </w:pPr>
            <w:r w:rsidRPr="00261B7A">
              <w:rPr>
                <w:rFonts w:cstheme="minorHAnsi"/>
                <w:color w:val="000000"/>
              </w:rPr>
              <w:t>1,332.4</w:t>
            </w:r>
          </w:p>
        </w:tc>
        <w:tc>
          <w:tcPr>
            <w:tcW w:w="794" w:type="dxa"/>
            <w:shd w:val="clear" w:color="auto" w:fill="FFFFFF"/>
            <w:tcMar>
              <w:top w:w="0" w:type="dxa"/>
              <w:left w:w="85" w:type="dxa"/>
              <w:bottom w:w="0" w:type="dxa"/>
              <w:right w:w="85" w:type="dxa"/>
            </w:tcMar>
          </w:tcPr>
          <w:p w14:paraId="27F215CC" w14:textId="77777777" w:rsidR="006611EE" w:rsidRPr="00261B7A" w:rsidRDefault="006611EE" w:rsidP="000F09B5">
            <w:pPr>
              <w:pStyle w:val="TableText"/>
              <w:spacing w:before="40" w:after="40"/>
              <w:jc w:val="right"/>
              <w:rPr>
                <w:rFonts w:cstheme="minorHAnsi"/>
              </w:rPr>
            </w:pPr>
            <w:r w:rsidRPr="00261B7A">
              <w:rPr>
                <w:rFonts w:cstheme="minorHAnsi"/>
                <w:color w:val="000000"/>
              </w:rPr>
              <w:t>0.006</w:t>
            </w:r>
          </w:p>
        </w:tc>
        <w:tc>
          <w:tcPr>
            <w:tcW w:w="680" w:type="dxa"/>
            <w:shd w:val="clear" w:color="auto" w:fill="FFFFFF"/>
            <w:tcMar>
              <w:top w:w="0" w:type="dxa"/>
              <w:left w:w="85" w:type="dxa"/>
              <w:bottom w:w="0" w:type="dxa"/>
              <w:right w:w="85" w:type="dxa"/>
            </w:tcMar>
          </w:tcPr>
          <w:p w14:paraId="0D3AEBD5" w14:textId="77777777" w:rsidR="006611EE" w:rsidRPr="00261B7A" w:rsidRDefault="006611EE" w:rsidP="000F09B5">
            <w:pPr>
              <w:pStyle w:val="TableText"/>
              <w:spacing w:before="40" w:after="40"/>
              <w:jc w:val="right"/>
              <w:rPr>
                <w:rFonts w:cstheme="minorHAnsi"/>
              </w:rPr>
            </w:pPr>
            <w:r w:rsidRPr="00261B7A">
              <w:rPr>
                <w:rFonts w:cstheme="minorHAnsi"/>
                <w:color w:val="000000"/>
              </w:rPr>
              <w:t>0.9</w:t>
            </w:r>
          </w:p>
        </w:tc>
        <w:tc>
          <w:tcPr>
            <w:tcW w:w="680" w:type="dxa"/>
            <w:shd w:val="clear" w:color="auto" w:fill="FFFFFF"/>
            <w:tcMar>
              <w:top w:w="0" w:type="dxa"/>
              <w:left w:w="85" w:type="dxa"/>
              <w:bottom w:w="0" w:type="dxa"/>
              <w:right w:w="85" w:type="dxa"/>
            </w:tcMar>
          </w:tcPr>
          <w:p w14:paraId="2876111D" w14:textId="77777777" w:rsidR="006611EE" w:rsidRPr="00261B7A" w:rsidRDefault="006611EE" w:rsidP="000F09B5">
            <w:pPr>
              <w:pStyle w:val="TableText"/>
              <w:spacing w:before="40" w:after="40"/>
              <w:jc w:val="right"/>
              <w:rPr>
                <w:rFonts w:cstheme="minorHAnsi"/>
              </w:rPr>
            </w:pPr>
            <w:r w:rsidRPr="00261B7A">
              <w:rPr>
                <w:rFonts w:cstheme="minorHAnsi"/>
                <w:color w:val="000000"/>
              </w:rPr>
              <w:t>83.5</w:t>
            </w:r>
          </w:p>
        </w:tc>
      </w:tr>
      <w:tr w:rsidR="006611EE" w:rsidRPr="00261B7A" w14:paraId="79C43042" w14:textId="77777777" w:rsidTr="000F09B5">
        <w:tc>
          <w:tcPr>
            <w:tcW w:w="567" w:type="dxa"/>
            <w:shd w:val="clear" w:color="auto" w:fill="FFFFFF"/>
            <w:tcMar>
              <w:top w:w="0" w:type="dxa"/>
              <w:left w:w="85" w:type="dxa"/>
              <w:bottom w:w="0" w:type="dxa"/>
              <w:right w:w="85" w:type="dxa"/>
            </w:tcMar>
          </w:tcPr>
          <w:p w14:paraId="18F8DABA" w14:textId="77777777" w:rsidR="006611EE" w:rsidRPr="00261B7A" w:rsidRDefault="006611EE" w:rsidP="000F09B5">
            <w:pPr>
              <w:pStyle w:val="TableText"/>
              <w:spacing w:before="40" w:after="40"/>
              <w:rPr>
                <w:rFonts w:cstheme="minorHAnsi"/>
              </w:rPr>
            </w:pPr>
            <w:r w:rsidRPr="00261B7A">
              <w:rPr>
                <w:rFonts w:cstheme="minorHAnsi"/>
                <w:color w:val="000000"/>
              </w:rPr>
              <w:t>1.B.1.a.1</w:t>
            </w:r>
          </w:p>
        </w:tc>
        <w:tc>
          <w:tcPr>
            <w:tcW w:w="2438" w:type="dxa"/>
            <w:shd w:val="clear" w:color="auto" w:fill="FFFFFF"/>
            <w:tcMar>
              <w:top w:w="0" w:type="dxa"/>
              <w:left w:w="85" w:type="dxa"/>
              <w:bottom w:w="0" w:type="dxa"/>
              <w:right w:w="85" w:type="dxa"/>
            </w:tcMar>
          </w:tcPr>
          <w:p w14:paraId="1DEBCCFE" w14:textId="77777777" w:rsidR="006611EE" w:rsidRPr="00261B7A" w:rsidRDefault="006611EE" w:rsidP="000F09B5">
            <w:pPr>
              <w:pStyle w:val="TableText"/>
              <w:spacing w:before="40" w:after="40"/>
              <w:rPr>
                <w:rFonts w:cstheme="minorHAnsi"/>
              </w:rPr>
            </w:pPr>
            <w:r w:rsidRPr="00261B7A">
              <w:rPr>
                <w:rFonts w:cstheme="minorHAnsi"/>
                <w:color w:val="000000"/>
              </w:rPr>
              <w:t>Coal Mining and Handling – Underground Mines</w:t>
            </w:r>
          </w:p>
        </w:tc>
        <w:tc>
          <w:tcPr>
            <w:tcW w:w="510" w:type="dxa"/>
            <w:shd w:val="clear" w:color="auto" w:fill="FFFFFF"/>
            <w:tcMar>
              <w:top w:w="0" w:type="dxa"/>
              <w:left w:w="85" w:type="dxa"/>
              <w:bottom w:w="0" w:type="dxa"/>
              <w:right w:w="85" w:type="dxa"/>
            </w:tcMar>
          </w:tcPr>
          <w:p w14:paraId="7A23E152"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794" w:type="dxa"/>
            <w:shd w:val="clear" w:color="auto" w:fill="FFFFFF"/>
            <w:tcMar>
              <w:top w:w="0" w:type="dxa"/>
              <w:left w:w="85" w:type="dxa"/>
              <w:bottom w:w="0" w:type="dxa"/>
              <w:right w:w="85" w:type="dxa"/>
            </w:tcMar>
          </w:tcPr>
          <w:p w14:paraId="4D87F7B5" w14:textId="77777777" w:rsidR="006611EE" w:rsidRPr="00261B7A" w:rsidRDefault="006611EE" w:rsidP="000F09B5">
            <w:pPr>
              <w:pStyle w:val="TableText"/>
              <w:spacing w:before="40" w:after="40"/>
              <w:jc w:val="right"/>
              <w:rPr>
                <w:rFonts w:cstheme="minorHAnsi"/>
              </w:rPr>
            </w:pPr>
            <w:r w:rsidRPr="00261B7A">
              <w:rPr>
                <w:rFonts w:cstheme="minorHAnsi"/>
                <w:color w:val="000000"/>
              </w:rPr>
              <w:t>289.6</w:t>
            </w:r>
          </w:p>
        </w:tc>
        <w:tc>
          <w:tcPr>
            <w:tcW w:w="794" w:type="dxa"/>
            <w:shd w:val="clear" w:color="auto" w:fill="FFFFFF"/>
            <w:tcMar>
              <w:top w:w="0" w:type="dxa"/>
              <w:left w:w="85" w:type="dxa"/>
              <w:bottom w:w="0" w:type="dxa"/>
              <w:right w:w="85" w:type="dxa"/>
            </w:tcMar>
          </w:tcPr>
          <w:p w14:paraId="7436AA66" w14:textId="77777777" w:rsidR="006611EE" w:rsidRPr="00261B7A" w:rsidRDefault="006611EE" w:rsidP="000F09B5">
            <w:pPr>
              <w:pStyle w:val="TableText"/>
              <w:spacing w:before="40" w:after="40"/>
              <w:jc w:val="right"/>
              <w:rPr>
                <w:rFonts w:cstheme="minorHAnsi"/>
              </w:rPr>
            </w:pPr>
            <w:r w:rsidRPr="00261B7A">
              <w:rPr>
                <w:rFonts w:cstheme="minorHAnsi"/>
                <w:color w:val="000000"/>
              </w:rPr>
              <w:t>0.0</w:t>
            </w:r>
          </w:p>
        </w:tc>
        <w:tc>
          <w:tcPr>
            <w:tcW w:w="794" w:type="dxa"/>
            <w:shd w:val="clear" w:color="auto" w:fill="FFFFFF"/>
            <w:tcMar>
              <w:top w:w="0" w:type="dxa"/>
              <w:left w:w="85" w:type="dxa"/>
              <w:bottom w:w="0" w:type="dxa"/>
              <w:right w:w="85" w:type="dxa"/>
            </w:tcMar>
          </w:tcPr>
          <w:p w14:paraId="70340E7A" w14:textId="77777777" w:rsidR="006611EE" w:rsidRPr="00261B7A" w:rsidRDefault="006611EE" w:rsidP="000F09B5">
            <w:pPr>
              <w:pStyle w:val="TableText"/>
              <w:spacing w:before="40" w:after="40"/>
              <w:jc w:val="right"/>
              <w:rPr>
                <w:rFonts w:cstheme="minorHAnsi"/>
              </w:rPr>
            </w:pPr>
            <w:r w:rsidRPr="00261B7A">
              <w:rPr>
                <w:rFonts w:cstheme="minorHAnsi"/>
                <w:color w:val="000000"/>
              </w:rPr>
              <w:t>0.005</w:t>
            </w:r>
          </w:p>
        </w:tc>
        <w:tc>
          <w:tcPr>
            <w:tcW w:w="680" w:type="dxa"/>
            <w:shd w:val="clear" w:color="auto" w:fill="FFFFFF"/>
            <w:tcMar>
              <w:top w:w="0" w:type="dxa"/>
              <w:left w:w="85" w:type="dxa"/>
              <w:bottom w:w="0" w:type="dxa"/>
              <w:right w:w="85" w:type="dxa"/>
            </w:tcMar>
          </w:tcPr>
          <w:p w14:paraId="181C4F3D" w14:textId="77777777" w:rsidR="006611EE" w:rsidRPr="00261B7A" w:rsidRDefault="006611EE" w:rsidP="000F09B5">
            <w:pPr>
              <w:pStyle w:val="TableText"/>
              <w:spacing w:before="40" w:after="40"/>
              <w:jc w:val="right"/>
              <w:rPr>
                <w:rFonts w:cstheme="minorHAnsi"/>
              </w:rPr>
            </w:pPr>
            <w:r w:rsidRPr="00261B7A">
              <w:rPr>
                <w:rFonts w:cstheme="minorHAnsi"/>
                <w:color w:val="000000"/>
              </w:rPr>
              <w:t>0.8</w:t>
            </w:r>
          </w:p>
        </w:tc>
        <w:tc>
          <w:tcPr>
            <w:tcW w:w="680" w:type="dxa"/>
            <w:shd w:val="clear" w:color="auto" w:fill="FFFFFF"/>
            <w:tcMar>
              <w:top w:w="0" w:type="dxa"/>
              <w:left w:w="85" w:type="dxa"/>
              <w:bottom w:w="0" w:type="dxa"/>
              <w:right w:w="85" w:type="dxa"/>
            </w:tcMar>
          </w:tcPr>
          <w:p w14:paraId="1118A6D0" w14:textId="77777777" w:rsidR="006611EE" w:rsidRPr="00261B7A" w:rsidRDefault="006611EE" w:rsidP="000F09B5">
            <w:pPr>
              <w:pStyle w:val="TableText"/>
              <w:spacing w:before="40" w:after="40"/>
              <w:jc w:val="right"/>
              <w:rPr>
                <w:rFonts w:cstheme="minorHAnsi"/>
              </w:rPr>
            </w:pPr>
            <w:r w:rsidRPr="00261B7A">
              <w:rPr>
                <w:rFonts w:cstheme="minorHAnsi"/>
                <w:color w:val="000000"/>
              </w:rPr>
              <w:t>84.3</w:t>
            </w:r>
          </w:p>
        </w:tc>
      </w:tr>
      <w:tr w:rsidR="006611EE" w:rsidRPr="00261B7A" w14:paraId="5AA40814" w14:textId="77777777" w:rsidTr="000F09B5">
        <w:tc>
          <w:tcPr>
            <w:tcW w:w="567" w:type="dxa"/>
            <w:shd w:val="clear" w:color="auto" w:fill="FFFFFF"/>
            <w:tcMar>
              <w:top w:w="0" w:type="dxa"/>
              <w:left w:w="85" w:type="dxa"/>
              <w:bottom w:w="0" w:type="dxa"/>
              <w:right w:w="85" w:type="dxa"/>
            </w:tcMar>
          </w:tcPr>
          <w:p w14:paraId="767C44BE" w14:textId="77777777" w:rsidR="006611EE" w:rsidRPr="00261B7A" w:rsidRDefault="006611EE" w:rsidP="000F09B5">
            <w:pPr>
              <w:pStyle w:val="TableText"/>
              <w:spacing w:before="40" w:after="40"/>
              <w:rPr>
                <w:rFonts w:cstheme="minorHAnsi"/>
              </w:rPr>
            </w:pPr>
            <w:r w:rsidRPr="00261B7A">
              <w:rPr>
                <w:rFonts w:cstheme="minorHAnsi"/>
                <w:color w:val="000000"/>
              </w:rPr>
              <w:t>1.A.2.e</w:t>
            </w:r>
          </w:p>
        </w:tc>
        <w:tc>
          <w:tcPr>
            <w:tcW w:w="2438" w:type="dxa"/>
            <w:shd w:val="clear" w:color="auto" w:fill="FFFFFF"/>
            <w:tcMar>
              <w:top w:w="0" w:type="dxa"/>
              <w:left w:w="85" w:type="dxa"/>
              <w:bottom w:w="0" w:type="dxa"/>
              <w:right w:w="85" w:type="dxa"/>
            </w:tcMar>
          </w:tcPr>
          <w:p w14:paraId="1866151A" w14:textId="77777777" w:rsidR="006611EE" w:rsidRPr="00261B7A" w:rsidRDefault="006611EE" w:rsidP="000F09B5">
            <w:pPr>
              <w:pStyle w:val="TableText"/>
              <w:spacing w:before="40" w:after="40"/>
              <w:rPr>
                <w:rFonts w:cstheme="minorHAnsi"/>
              </w:rPr>
            </w:pPr>
            <w:r w:rsidRPr="00261B7A">
              <w:rPr>
                <w:rFonts w:cstheme="minorHAnsi"/>
                <w:color w:val="000000"/>
              </w:rPr>
              <w:t>Manufacturing Industries and Construction – Food Processing, Beverages and Tobacco Solid Fuels</w:t>
            </w:r>
          </w:p>
        </w:tc>
        <w:tc>
          <w:tcPr>
            <w:tcW w:w="510" w:type="dxa"/>
            <w:shd w:val="clear" w:color="auto" w:fill="FFFFFF"/>
            <w:tcMar>
              <w:top w:w="0" w:type="dxa"/>
              <w:left w:w="85" w:type="dxa"/>
              <w:bottom w:w="0" w:type="dxa"/>
              <w:right w:w="85" w:type="dxa"/>
            </w:tcMar>
          </w:tcPr>
          <w:p w14:paraId="1F444576"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1929907E" w14:textId="77777777" w:rsidR="006611EE" w:rsidRPr="00261B7A" w:rsidRDefault="006611EE" w:rsidP="000F09B5">
            <w:pPr>
              <w:pStyle w:val="TableText"/>
              <w:spacing w:before="40" w:after="40"/>
              <w:jc w:val="right"/>
              <w:rPr>
                <w:rFonts w:cstheme="minorHAnsi"/>
              </w:rPr>
            </w:pPr>
            <w:r w:rsidRPr="00261B7A">
              <w:rPr>
                <w:rFonts w:cstheme="minorHAnsi"/>
                <w:color w:val="000000"/>
              </w:rPr>
              <w:t>938.6</w:t>
            </w:r>
          </w:p>
        </w:tc>
        <w:tc>
          <w:tcPr>
            <w:tcW w:w="794" w:type="dxa"/>
            <w:shd w:val="clear" w:color="auto" w:fill="FFFFFF"/>
            <w:tcMar>
              <w:top w:w="0" w:type="dxa"/>
              <w:left w:w="85" w:type="dxa"/>
              <w:bottom w:w="0" w:type="dxa"/>
              <w:right w:w="85" w:type="dxa"/>
            </w:tcMar>
          </w:tcPr>
          <w:p w14:paraId="6A98F655" w14:textId="77777777" w:rsidR="006611EE" w:rsidRPr="00261B7A" w:rsidRDefault="006611EE" w:rsidP="000F09B5">
            <w:pPr>
              <w:pStyle w:val="TableText"/>
              <w:spacing w:before="40" w:after="40"/>
              <w:jc w:val="right"/>
              <w:rPr>
                <w:rFonts w:cstheme="minorHAnsi"/>
              </w:rPr>
            </w:pPr>
            <w:r w:rsidRPr="00261B7A">
              <w:rPr>
                <w:rFonts w:cstheme="minorHAnsi"/>
                <w:color w:val="000000"/>
              </w:rPr>
              <w:t>1,446.5</w:t>
            </w:r>
          </w:p>
        </w:tc>
        <w:tc>
          <w:tcPr>
            <w:tcW w:w="794" w:type="dxa"/>
            <w:shd w:val="clear" w:color="auto" w:fill="FFFFFF"/>
            <w:tcMar>
              <w:top w:w="0" w:type="dxa"/>
              <w:left w:w="85" w:type="dxa"/>
              <w:bottom w:w="0" w:type="dxa"/>
              <w:right w:w="85" w:type="dxa"/>
            </w:tcMar>
          </w:tcPr>
          <w:p w14:paraId="092EFC70" w14:textId="77777777" w:rsidR="006611EE" w:rsidRPr="00261B7A" w:rsidRDefault="006611EE" w:rsidP="000F09B5">
            <w:pPr>
              <w:pStyle w:val="TableText"/>
              <w:spacing w:before="40" w:after="40"/>
              <w:jc w:val="right"/>
              <w:rPr>
                <w:rFonts w:cstheme="minorHAnsi"/>
              </w:rPr>
            </w:pPr>
            <w:r w:rsidRPr="00261B7A">
              <w:rPr>
                <w:rFonts w:cstheme="minorHAnsi"/>
                <w:color w:val="000000"/>
              </w:rPr>
              <w:t>0.005</w:t>
            </w:r>
          </w:p>
        </w:tc>
        <w:tc>
          <w:tcPr>
            <w:tcW w:w="680" w:type="dxa"/>
            <w:shd w:val="clear" w:color="auto" w:fill="FFFFFF"/>
            <w:tcMar>
              <w:top w:w="0" w:type="dxa"/>
              <w:left w:w="85" w:type="dxa"/>
              <w:bottom w:w="0" w:type="dxa"/>
              <w:right w:w="85" w:type="dxa"/>
            </w:tcMar>
          </w:tcPr>
          <w:p w14:paraId="6A971B31" w14:textId="77777777" w:rsidR="006611EE" w:rsidRPr="00261B7A" w:rsidRDefault="006611EE" w:rsidP="000F09B5">
            <w:pPr>
              <w:pStyle w:val="TableText"/>
              <w:spacing w:before="40" w:after="40"/>
              <w:jc w:val="right"/>
              <w:rPr>
                <w:rFonts w:cstheme="minorHAnsi"/>
              </w:rPr>
            </w:pPr>
            <w:r w:rsidRPr="00261B7A">
              <w:rPr>
                <w:rFonts w:cstheme="minorHAnsi"/>
                <w:color w:val="000000"/>
              </w:rPr>
              <w:t>0.8</w:t>
            </w:r>
          </w:p>
        </w:tc>
        <w:tc>
          <w:tcPr>
            <w:tcW w:w="680" w:type="dxa"/>
            <w:shd w:val="clear" w:color="auto" w:fill="FFFFFF"/>
            <w:tcMar>
              <w:top w:w="0" w:type="dxa"/>
              <w:left w:w="85" w:type="dxa"/>
              <w:bottom w:w="0" w:type="dxa"/>
              <w:right w:w="85" w:type="dxa"/>
            </w:tcMar>
          </w:tcPr>
          <w:p w14:paraId="41FB2415" w14:textId="77777777" w:rsidR="006611EE" w:rsidRPr="00261B7A" w:rsidRDefault="006611EE" w:rsidP="000F09B5">
            <w:pPr>
              <w:pStyle w:val="TableText"/>
              <w:spacing w:before="40" w:after="40"/>
              <w:jc w:val="right"/>
              <w:rPr>
                <w:rFonts w:cstheme="minorHAnsi"/>
              </w:rPr>
            </w:pPr>
            <w:r w:rsidRPr="00261B7A">
              <w:rPr>
                <w:rFonts w:cstheme="minorHAnsi"/>
                <w:color w:val="000000"/>
              </w:rPr>
              <w:t>85.1</w:t>
            </w:r>
          </w:p>
        </w:tc>
      </w:tr>
      <w:tr w:rsidR="006611EE" w:rsidRPr="00261B7A" w14:paraId="192043D7" w14:textId="77777777" w:rsidTr="000F09B5">
        <w:tc>
          <w:tcPr>
            <w:tcW w:w="567" w:type="dxa"/>
            <w:shd w:val="clear" w:color="auto" w:fill="FFFFFF"/>
            <w:tcMar>
              <w:top w:w="0" w:type="dxa"/>
              <w:left w:w="85" w:type="dxa"/>
              <w:bottom w:w="0" w:type="dxa"/>
              <w:right w:w="85" w:type="dxa"/>
            </w:tcMar>
          </w:tcPr>
          <w:p w14:paraId="61D6C7EC" w14:textId="77777777" w:rsidR="006611EE" w:rsidRPr="00261B7A" w:rsidRDefault="006611EE" w:rsidP="000F09B5">
            <w:pPr>
              <w:pStyle w:val="TableText"/>
              <w:spacing w:before="40" w:after="40"/>
              <w:rPr>
                <w:rFonts w:cstheme="minorHAnsi"/>
              </w:rPr>
            </w:pPr>
            <w:r w:rsidRPr="00261B7A">
              <w:rPr>
                <w:rFonts w:cstheme="minorHAnsi"/>
                <w:color w:val="000000"/>
              </w:rPr>
              <w:t>1.A.1.b</w:t>
            </w:r>
          </w:p>
        </w:tc>
        <w:tc>
          <w:tcPr>
            <w:tcW w:w="2438" w:type="dxa"/>
            <w:shd w:val="clear" w:color="auto" w:fill="FFFFFF"/>
            <w:tcMar>
              <w:top w:w="0" w:type="dxa"/>
              <w:left w:w="85" w:type="dxa"/>
              <w:bottom w:w="0" w:type="dxa"/>
              <w:right w:w="85" w:type="dxa"/>
            </w:tcMar>
          </w:tcPr>
          <w:p w14:paraId="07C08EB7" w14:textId="77777777" w:rsidR="006611EE" w:rsidRPr="00261B7A" w:rsidRDefault="006611EE" w:rsidP="000F09B5">
            <w:pPr>
              <w:pStyle w:val="TableText"/>
              <w:spacing w:before="40" w:after="40"/>
              <w:rPr>
                <w:rFonts w:cstheme="minorHAnsi"/>
              </w:rPr>
            </w:pPr>
            <w:r w:rsidRPr="00261B7A">
              <w:rPr>
                <w:rFonts w:cstheme="minorHAnsi"/>
                <w:color w:val="000000"/>
              </w:rPr>
              <w:t>Energy Industries – Petroleum Refining Liquid Fuels</w:t>
            </w:r>
          </w:p>
        </w:tc>
        <w:tc>
          <w:tcPr>
            <w:tcW w:w="510" w:type="dxa"/>
            <w:shd w:val="clear" w:color="auto" w:fill="FFFFFF"/>
            <w:tcMar>
              <w:top w:w="0" w:type="dxa"/>
              <w:left w:w="85" w:type="dxa"/>
              <w:bottom w:w="0" w:type="dxa"/>
              <w:right w:w="85" w:type="dxa"/>
            </w:tcMar>
          </w:tcPr>
          <w:p w14:paraId="012FBE21"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1F9D9B95" w14:textId="77777777" w:rsidR="006611EE" w:rsidRPr="00261B7A" w:rsidRDefault="006611EE" w:rsidP="000F09B5">
            <w:pPr>
              <w:pStyle w:val="TableText"/>
              <w:spacing w:before="40" w:after="40"/>
              <w:jc w:val="right"/>
              <w:rPr>
                <w:rFonts w:cstheme="minorHAnsi"/>
              </w:rPr>
            </w:pPr>
            <w:r w:rsidRPr="00261B7A">
              <w:rPr>
                <w:rFonts w:cstheme="minorHAnsi"/>
                <w:color w:val="000000"/>
              </w:rPr>
              <w:t>778.9</w:t>
            </w:r>
          </w:p>
        </w:tc>
        <w:tc>
          <w:tcPr>
            <w:tcW w:w="794" w:type="dxa"/>
            <w:shd w:val="clear" w:color="auto" w:fill="FFFFFF"/>
            <w:tcMar>
              <w:top w:w="0" w:type="dxa"/>
              <w:left w:w="85" w:type="dxa"/>
              <w:bottom w:w="0" w:type="dxa"/>
              <w:right w:w="85" w:type="dxa"/>
            </w:tcMar>
          </w:tcPr>
          <w:p w14:paraId="7C666151" w14:textId="77777777" w:rsidR="006611EE" w:rsidRPr="00261B7A" w:rsidRDefault="006611EE" w:rsidP="000F09B5">
            <w:pPr>
              <w:pStyle w:val="TableText"/>
              <w:spacing w:before="40" w:after="40"/>
              <w:jc w:val="right"/>
              <w:rPr>
                <w:rFonts w:cstheme="minorHAnsi"/>
              </w:rPr>
            </w:pPr>
            <w:r w:rsidRPr="00261B7A">
              <w:rPr>
                <w:rFonts w:cstheme="minorHAnsi"/>
                <w:color w:val="000000"/>
              </w:rPr>
              <w:t>617.3</w:t>
            </w:r>
          </w:p>
        </w:tc>
        <w:tc>
          <w:tcPr>
            <w:tcW w:w="794" w:type="dxa"/>
            <w:shd w:val="clear" w:color="auto" w:fill="FFFFFF"/>
            <w:tcMar>
              <w:top w:w="0" w:type="dxa"/>
              <w:left w:w="85" w:type="dxa"/>
              <w:bottom w:w="0" w:type="dxa"/>
              <w:right w:w="85" w:type="dxa"/>
            </w:tcMar>
          </w:tcPr>
          <w:p w14:paraId="7EB062FC" w14:textId="77777777" w:rsidR="006611EE" w:rsidRPr="00261B7A" w:rsidRDefault="006611EE" w:rsidP="000F09B5">
            <w:pPr>
              <w:pStyle w:val="TableText"/>
              <w:spacing w:before="40" w:after="40"/>
              <w:jc w:val="right"/>
              <w:rPr>
                <w:rFonts w:cstheme="minorHAnsi"/>
              </w:rPr>
            </w:pPr>
            <w:r w:rsidRPr="00261B7A">
              <w:rPr>
                <w:rFonts w:cstheme="minorHAnsi"/>
                <w:color w:val="000000"/>
              </w:rPr>
              <w:t>0.005</w:t>
            </w:r>
          </w:p>
        </w:tc>
        <w:tc>
          <w:tcPr>
            <w:tcW w:w="680" w:type="dxa"/>
            <w:shd w:val="clear" w:color="auto" w:fill="FFFFFF"/>
            <w:tcMar>
              <w:top w:w="0" w:type="dxa"/>
              <w:left w:w="85" w:type="dxa"/>
              <w:bottom w:w="0" w:type="dxa"/>
              <w:right w:w="85" w:type="dxa"/>
            </w:tcMar>
          </w:tcPr>
          <w:p w14:paraId="4FD25E33" w14:textId="77777777" w:rsidR="006611EE" w:rsidRPr="00261B7A" w:rsidRDefault="006611EE" w:rsidP="000F09B5">
            <w:pPr>
              <w:pStyle w:val="TableText"/>
              <w:spacing w:before="40" w:after="40"/>
              <w:jc w:val="right"/>
              <w:rPr>
                <w:rFonts w:cstheme="minorHAnsi"/>
              </w:rPr>
            </w:pPr>
            <w:r w:rsidRPr="00261B7A">
              <w:rPr>
                <w:rFonts w:cstheme="minorHAnsi"/>
                <w:color w:val="000000"/>
              </w:rPr>
              <w:t>0.7</w:t>
            </w:r>
          </w:p>
        </w:tc>
        <w:tc>
          <w:tcPr>
            <w:tcW w:w="680" w:type="dxa"/>
            <w:shd w:val="clear" w:color="auto" w:fill="FFFFFF"/>
            <w:tcMar>
              <w:top w:w="0" w:type="dxa"/>
              <w:left w:w="85" w:type="dxa"/>
              <w:bottom w:w="0" w:type="dxa"/>
              <w:right w:w="85" w:type="dxa"/>
            </w:tcMar>
          </w:tcPr>
          <w:p w14:paraId="54749FB8" w14:textId="77777777" w:rsidR="006611EE" w:rsidRPr="00261B7A" w:rsidRDefault="006611EE" w:rsidP="000F09B5">
            <w:pPr>
              <w:pStyle w:val="TableText"/>
              <w:spacing w:before="40" w:after="40"/>
              <w:jc w:val="right"/>
              <w:rPr>
                <w:rFonts w:cstheme="minorHAnsi"/>
              </w:rPr>
            </w:pPr>
            <w:r w:rsidRPr="00261B7A">
              <w:rPr>
                <w:rFonts w:cstheme="minorHAnsi"/>
                <w:color w:val="000000"/>
              </w:rPr>
              <w:t>85.8</w:t>
            </w:r>
          </w:p>
        </w:tc>
      </w:tr>
      <w:tr w:rsidR="006611EE" w:rsidRPr="00261B7A" w14:paraId="03E06104" w14:textId="77777777" w:rsidTr="000F09B5">
        <w:tc>
          <w:tcPr>
            <w:tcW w:w="567" w:type="dxa"/>
            <w:shd w:val="clear" w:color="auto" w:fill="FFFFFF"/>
            <w:tcMar>
              <w:top w:w="0" w:type="dxa"/>
              <w:left w:w="85" w:type="dxa"/>
              <w:bottom w:w="0" w:type="dxa"/>
              <w:right w:w="85" w:type="dxa"/>
            </w:tcMar>
          </w:tcPr>
          <w:p w14:paraId="05D75B76" w14:textId="77777777" w:rsidR="006611EE" w:rsidRPr="00261B7A" w:rsidRDefault="006611EE" w:rsidP="000F09B5">
            <w:pPr>
              <w:pStyle w:val="TableText"/>
              <w:spacing w:before="40" w:after="40"/>
              <w:rPr>
                <w:rFonts w:cstheme="minorHAnsi"/>
              </w:rPr>
            </w:pPr>
            <w:r w:rsidRPr="00261B7A">
              <w:rPr>
                <w:rFonts w:cstheme="minorHAnsi"/>
                <w:color w:val="000000"/>
              </w:rPr>
              <w:t>1.B.2.b.5</w:t>
            </w:r>
          </w:p>
        </w:tc>
        <w:tc>
          <w:tcPr>
            <w:tcW w:w="2438" w:type="dxa"/>
            <w:shd w:val="clear" w:color="auto" w:fill="FFFFFF"/>
            <w:tcMar>
              <w:top w:w="0" w:type="dxa"/>
              <w:left w:w="85" w:type="dxa"/>
              <w:bottom w:w="0" w:type="dxa"/>
              <w:right w:w="85" w:type="dxa"/>
            </w:tcMar>
          </w:tcPr>
          <w:p w14:paraId="31DC74DE" w14:textId="77777777" w:rsidR="006611EE" w:rsidRPr="00261B7A" w:rsidRDefault="006611EE" w:rsidP="000F09B5">
            <w:pPr>
              <w:pStyle w:val="TableText"/>
              <w:spacing w:before="40" w:after="40"/>
              <w:rPr>
                <w:rFonts w:cstheme="minorHAnsi"/>
              </w:rPr>
            </w:pPr>
            <w:r w:rsidRPr="00261B7A">
              <w:rPr>
                <w:rFonts w:cstheme="minorHAnsi"/>
                <w:color w:val="000000"/>
              </w:rPr>
              <w:t>Natural Gas – Distribution</w:t>
            </w:r>
          </w:p>
        </w:tc>
        <w:tc>
          <w:tcPr>
            <w:tcW w:w="510" w:type="dxa"/>
            <w:shd w:val="clear" w:color="auto" w:fill="FFFFFF"/>
            <w:tcMar>
              <w:top w:w="0" w:type="dxa"/>
              <w:left w:w="85" w:type="dxa"/>
              <w:bottom w:w="0" w:type="dxa"/>
              <w:right w:w="85" w:type="dxa"/>
            </w:tcMar>
          </w:tcPr>
          <w:p w14:paraId="717C288F"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794" w:type="dxa"/>
            <w:shd w:val="clear" w:color="auto" w:fill="FFFFFF"/>
            <w:tcMar>
              <w:top w:w="0" w:type="dxa"/>
              <w:left w:w="85" w:type="dxa"/>
              <w:bottom w:w="0" w:type="dxa"/>
              <w:right w:w="85" w:type="dxa"/>
            </w:tcMar>
          </w:tcPr>
          <w:p w14:paraId="432CF3D4" w14:textId="77777777" w:rsidR="006611EE" w:rsidRPr="00261B7A" w:rsidRDefault="006611EE" w:rsidP="000F09B5">
            <w:pPr>
              <w:pStyle w:val="TableText"/>
              <w:spacing w:before="40" w:after="40"/>
              <w:jc w:val="right"/>
              <w:rPr>
                <w:rFonts w:cstheme="minorHAnsi"/>
              </w:rPr>
            </w:pPr>
            <w:r w:rsidRPr="00261B7A">
              <w:rPr>
                <w:rFonts w:cstheme="minorHAnsi"/>
                <w:color w:val="000000"/>
              </w:rPr>
              <w:t>277.5</w:t>
            </w:r>
          </w:p>
        </w:tc>
        <w:tc>
          <w:tcPr>
            <w:tcW w:w="794" w:type="dxa"/>
            <w:shd w:val="clear" w:color="auto" w:fill="FFFFFF"/>
            <w:tcMar>
              <w:top w:w="0" w:type="dxa"/>
              <w:left w:w="85" w:type="dxa"/>
              <w:bottom w:w="0" w:type="dxa"/>
              <w:right w:w="85" w:type="dxa"/>
            </w:tcMar>
          </w:tcPr>
          <w:p w14:paraId="2E92EBDA" w14:textId="77777777" w:rsidR="006611EE" w:rsidRPr="00261B7A" w:rsidRDefault="006611EE" w:rsidP="000F09B5">
            <w:pPr>
              <w:pStyle w:val="TableText"/>
              <w:spacing w:before="40" w:after="40"/>
              <w:jc w:val="right"/>
              <w:rPr>
                <w:rFonts w:cstheme="minorHAnsi"/>
              </w:rPr>
            </w:pPr>
            <w:r w:rsidRPr="00261B7A">
              <w:rPr>
                <w:rFonts w:cstheme="minorHAnsi"/>
                <w:color w:val="000000"/>
              </w:rPr>
              <w:t>39.1</w:t>
            </w:r>
          </w:p>
        </w:tc>
        <w:tc>
          <w:tcPr>
            <w:tcW w:w="794" w:type="dxa"/>
            <w:shd w:val="clear" w:color="auto" w:fill="FFFFFF"/>
            <w:tcMar>
              <w:top w:w="0" w:type="dxa"/>
              <w:left w:w="85" w:type="dxa"/>
              <w:bottom w:w="0" w:type="dxa"/>
              <w:right w:w="85" w:type="dxa"/>
            </w:tcMar>
          </w:tcPr>
          <w:p w14:paraId="556EC9E2" w14:textId="77777777" w:rsidR="006611EE" w:rsidRPr="00261B7A" w:rsidRDefault="006611EE" w:rsidP="000F09B5">
            <w:pPr>
              <w:pStyle w:val="TableText"/>
              <w:spacing w:before="40" w:after="40"/>
              <w:jc w:val="right"/>
              <w:rPr>
                <w:rFonts w:cstheme="minorHAnsi"/>
              </w:rPr>
            </w:pPr>
            <w:r w:rsidRPr="00261B7A">
              <w:rPr>
                <w:rFonts w:cstheme="minorHAnsi"/>
                <w:color w:val="000000"/>
              </w:rPr>
              <w:t>0.004</w:t>
            </w:r>
          </w:p>
        </w:tc>
        <w:tc>
          <w:tcPr>
            <w:tcW w:w="680" w:type="dxa"/>
            <w:shd w:val="clear" w:color="auto" w:fill="FFFFFF"/>
            <w:tcMar>
              <w:top w:w="0" w:type="dxa"/>
              <w:left w:w="85" w:type="dxa"/>
              <w:bottom w:w="0" w:type="dxa"/>
              <w:right w:w="85" w:type="dxa"/>
            </w:tcMar>
          </w:tcPr>
          <w:p w14:paraId="1643CC14" w14:textId="77777777" w:rsidR="006611EE" w:rsidRPr="00261B7A" w:rsidRDefault="006611EE" w:rsidP="000F09B5">
            <w:pPr>
              <w:pStyle w:val="TableText"/>
              <w:spacing w:before="40" w:after="40"/>
              <w:jc w:val="right"/>
              <w:rPr>
                <w:rFonts w:cstheme="minorHAnsi"/>
              </w:rPr>
            </w:pPr>
            <w:r w:rsidRPr="00261B7A">
              <w:rPr>
                <w:rFonts w:cstheme="minorHAnsi"/>
                <w:color w:val="000000"/>
              </w:rPr>
              <w:t>0.7</w:t>
            </w:r>
          </w:p>
        </w:tc>
        <w:tc>
          <w:tcPr>
            <w:tcW w:w="680" w:type="dxa"/>
            <w:shd w:val="clear" w:color="auto" w:fill="FFFFFF"/>
            <w:tcMar>
              <w:top w:w="0" w:type="dxa"/>
              <w:left w:w="85" w:type="dxa"/>
              <w:bottom w:w="0" w:type="dxa"/>
              <w:right w:w="85" w:type="dxa"/>
            </w:tcMar>
          </w:tcPr>
          <w:p w14:paraId="41F8E119" w14:textId="77777777" w:rsidR="006611EE" w:rsidRPr="00261B7A" w:rsidRDefault="006611EE" w:rsidP="000F09B5">
            <w:pPr>
              <w:pStyle w:val="TableText"/>
              <w:spacing w:before="40" w:after="40"/>
              <w:jc w:val="right"/>
              <w:rPr>
                <w:rFonts w:cstheme="minorHAnsi"/>
              </w:rPr>
            </w:pPr>
            <w:r w:rsidRPr="00261B7A">
              <w:rPr>
                <w:rFonts w:cstheme="minorHAnsi"/>
                <w:color w:val="000000"/>
              </w:rPr>
              <w:t>86.5</w:t>
            </w:r>
          </w:p>
        </w:tc>
      </w:tr>
      <w:tr w:rsidR="006611EE" w:rsidRPr="00261B7A" w14:paraId="358376A4" w14:textId="77777777" w:rsidTr="000F09B5">
        <w:tc>
          <w:tcPr>
            <w:tcW w:w="567" w:type="dxa"/>
            <w:shd w:val="clear" w:color="auto" w:fill="FFFFFF"/>
            <w:tcMar>
              <w:top w:w="0" w:type="dxa"/>
              <w:left w:w="85" w:type="dxa"/>
              <w:bottom w:w="0" w:type="dxa"/>
              <w:right w:w="85" w:type="dxa"/>
            </w:tcMar>
          </w:tcPr>
          <w:p w14:paraId="51F67D44" w14:textId="77777777" w:rsidR="006611EE" w:rsidRPr="00261B7A" w:rsidRDefault="006611EE" w:rsidP="000F09B5">
            <w:pPr>
              <w:pStyle w:val="TableText"/>
              <w:spacing w:before="40" w:after="40"/>
              <w:rPr>
                <w:rFonts w:cstheme="minorHAnsi"/>
              </w:rPr>
            </w:pPr>
            <w:r w:rsidRPr="00261B7A">
              <w:rPr>
                <w:rFonts w:cstheme="minorHAnsi"/>
                <w:color w:val="000000"/>
              </w:rPr>
              <w:t>1.A.2.f</w:t>
            </w:r>
          </w:p>
        </w:tc>
        <w:tc>
          <w:tcPr>
            <w:tcW w:w="2438" w:type="dxa"/>
            <w:shd w:val="clear" w:color="auto" w:fill="FFFFFF"/>
            <w:tcMar>
              <w:top w:w="0" w:type="dxa"/>
              <w:left w:w="85" w:type="dxa"/>
              <w:bottom w:w="0" w:type="dxa"/>
              <w:right w:w="85" w:type="dxa"/>
            </w:tcMar>
          </w:tcPr>
          <w:p w14:paraId="783076FC" w14:textId="77777777" w:rsidR="006611EE" w:rsidRPr="00261B7A" w:rsidRDefault="006611EE" w:rsidP="000F09B5">
            <w:pPr>
              <w:pStyle w:val="TableText"/>
              <w:spacing w:before="40" w:after="40"/>
              <w:rPr>
                <w:rFonts w:cstheme="minorHAnsi"/>
              </w:rPr>
            </w:pPr>
            <w:r w:rsidRPr="00261B7A">
              <w:rPr>
                <w:rFonts w:cstheme="minorHAnsi"/>
                <w:color w:val="000000"/>
              </w:rPr>
              <w:t>Manufacturing Industries and Construction – Non-metallic Minerals Solid Fuels</w:t>
            </w:r>
          </w:p>
        </w:tc>
        <w:tc>
          <w:tcPr>
            <w:tcW w:w="510" w:type="dxa"/>
            <w:shd w:val="clear" w:color="auto" w:fill="FFFFFF"/>
            <w:tcMar>
              <w:top w:w="0" w:type="dxa"/>
              <w:left w:w="85" w:type="dxa"/>
              <w:bottom w:w="0" w:type="dxa"/>
              <w:right w:w="85" w:type="dxa"/>
            </w:tcMar>
          </w:tcPr>
          <w:p w14:paraId="7651A737"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3588EAFB" w14:textId="77777777" w:rsidR="006611EE" w:rsidRPr="00261B7A" w:rsidRDefault="006611EE" w:rsidP="000F09B5">
            <w:pPr>
              <w:pStyle w:val="TableText"/>
              <w:spacing w:before="40" w:after="40"/>
              <w:jc w:val="right"/>
              <w:rPr>
                <w:rFonts w:cstheme="minorHAnsi"/>
              </w:rPr>
            </w:pPr>
            <w:r w:rsidRPr="00261B7A">
              <w:rPr>
                <w:rFonts w:cstheme="minorHAnsi"/>
                <w:color w:val="000000"/>
              </w:rPr>
              <w:t>382.9</w:t>
            </w:r>
          </w:p>
        </w:tc>
        <w:tc>
          <w:tcPr>
            <w:tcW w:w="794" w:type="dxa"/>
            <w:shd w:val="clear" w:color="auto" w:fill="FFFFFF"/>
            <w:tcMar>
              <w:top w:w="0" w:type="dxa"/>
              <w:left w:w="85" w:type="dxa"/>
              <w:bottom w:w="0" w:type="dxa"/>
              <w:right w:w="85" w:type="dxa"/>
            </w:tcMar>
          </w:tcPr>
          <w:p w14:paraId="60AB7EB7" w14:textId="77777777" w:rsidR="006611EE" w:rsidRPr="00261B7A" w:rsidRDefault="006611EE" w:rsidP="000F09B5">
            <w:pPr>
              <w:pStyle w:val="TableText"/>
              <w:spacing w:before="40" w:after="40"/>
              <w:jc w:val="right"/>
              <w:rPr>
                <w:rFonts w:cstheme="minorHAnsi"/>
              </w:rPr>
            </w:pPr>
            <w:r w:rsidRPr="00261B7A">
              <w:rPr>
                <w:rFonts w:cstheme="minorHAnsi"/>
                <w:color w:val="000000"/>
              </w:rPr>
              <w:t>187.7</w:t>
            </w:r>
          </w:p>
        </w:tc>
        <w:tc>
          <w:tcPr>
            <w:tcW w:w="794" w:type="dxa"/>
            <w:shd w:val="clear" w:color="auto" w:fill="FFFFFF"/>
            <w:tcMar>
              <w:top w:w="0" w:type="dxa"/>
              <w:left w:w="85" w:type="dxa"/>
              <w:bottom w:w="0" w:type="dxa"/>
              <w:right w:w="85" w:type="dxa"/>
            </w:tcMar>
          </w:tcPr>
          <w:p w14:paraId="2E292306" w14:textId="77777777" w:rsidR="006611EE" w:rsidRPr="00261B7A" w:rsidRDefault="006611EE" w:rsidP="000F09B5">
            <w:pPr>
              <w:pStyle w:val="TableText"/>
              <w:spacing w:before="40" w:after="40"/>
              <w:jc w:val="right"/>
              <w:rPr>
                <w:rFonts w:cstheme="minorHAnsi"/>
              </w:rPr>
            </w:pPr>
            <w:r w:rsidRPr="00261B7A">
              <w:rPr>
                <w:rFonts w:cstheme="minorHAnsi"/>
                <w:color w:val="000000"/>
              </w:rPr>
              <w:t>0.004</w:t>
            </w:r>
          </w:p>
        </w:tc>
        <w:tc>
          <w:tcPr>
            <w:tcW w:w="680" w:type="dxa"/>
            <w:shd w:val="clear" w:color="auto" w:fill="FFFFFF"/>
            <w:tcMar>
              <w:top w:w="0" w:type="dxa"/>
              <w:left w:w="85" w:type="dxa"/>
              <w:bottom w:w="0" w:type="dxa"/>
              <w:right w:w="85" w:type="dxa"/>
            </w:tcMar>
          </w:tcPr>
          <w:p w14:paraId="7B317046" w14:textId="77777777" w:rsidR="006611EE" w:rsidRPr="00261B7A" w:rsidRDefault="006611EE" w:rsidP="000F09B5">
            <w:pPr>
              <w:pStyle w:val="TableText"/>
              <w:spacing w:before="40" w:after="40"/>
              <w:jc w:val="right"/>
              <w:rPr>
                <w:rFonts w:cstheme="minorHAnsi"/>
              </w:rPr>
            </w:pPr>
            <w:r w:rsidRPr="00261B7A">
              <w:rPr>
                <w:rFonts w:cstheme="minorHAnsi"/>
                <w:color w:val="000000"/>
              </w:rPr>
              <w:t>0.6</w:t>
            </w:r>
          </w:p>
        </w:tc>
        <w:tc>
          <w:tcPr>
            <w:tcW w:w="680" w:type="dxa"/>
            <w:shd w:val="clear" w:color="auto" w:fill="FFFFFF"/>
            <w:tcMar>
              <w:top w:w="0" w:type="dxa"/>
              <w:left w:w="85" w:type="dxa"/>
              <w:bottom w:w="0" w:type="dxa"/>
              <w:right w:w="85" w:type="dxa"/>
            </w:tcMar>
          </w:tcPr>
          <w:p w14:paraId="32AD1821" w14:textId="77777777" w:rsidR="006611EE" w:rsidRPr="00261B7A" w:rsidRDefault="006611EE" w:rsidP="000F09B5">
            <w:pPr>
              <w:pStyle w:val="TableText"/>
              <w:spacing w:before="40" w:after="40"/>
              <w:jc w:val="right"/>
              <w:rPr>
                <w:rFonts w:cstheme="minorHAnsi"/>
              </w:rPr>
            </w:pPr>
            <w:r w:rsidRPr="00261B7A">
              <w:rPr>
                <w:rFonts w:cstheme="minorHAnsi"/>
                <w:color w:val="000000"/>
              </w:rPr>
              <w:t>87.1</w:t>
            </w:r>
          </w:p>
        </w:tc>
      </w:tr>
      <w:tr w:rsidR="006611EE" w:rsidRPr="00261B7A" w14:paraId="05882718" w14:textId="77777777" w:rsidTr="000F09B5">
        <w:tc>
          <w:tcPr>
            <w:tcW w:w="567" w:type="dxa"/>
            <w:shd w:val="clear" w:color="auto" w:fill="FFFFFF"/>
            <w:tcMar>
              <w:top w:w="0" w:type="dxa"/>
              <w:left w:w="85" w:type="dxa"/>
              <w:bottom w:w="0" w:type="dxa"/>
              <w:right w:w="85" w:type="dxa"/>
            </w:tcMar>
          </w:tcPr>
          <w:p w14:paraId="0F6B4474" w14:textId="77777777" w:rsidR="006611EE" w:rsidRPr="00261B7A" w:rsidRDefault="006611EE" w:rsidP="000F09B5">
            <w:pPr>
              <w:pStyle w:val="TableText"/>
              <w:spacing w:before="40" w:after="40"/>
              <w:rPr>
                <w:rFonts w:cstheme="minorHAnsi"/>
              </w:rPr>
            </w:pPr>
            <w:r w:rsidRPr="00261B7A">
              <w:rPr>
                <w:rFonts w:cstheme="minorHAnsi"/>
                <w:color w:val="000000"/>
              </w:rPr>
              <w:t>1.A.3.a</w:t>
            </w:r>
          </w:p>
        </w:tc>
        <w:tc>
          <w:tcPr>
            <w:tcW w:w="2438" w:type="dxa"/>
            <w:shd w:val="clear" w:color="auto" w:fill="FFFFFF"/>
            <w:tcMar>
              <w:top w:w="0" w:type="dxa"/>
              <w:left w:w="85" w:type="dxa"/>
              <w:bottom w:w="0" w:type="dxa"/>
              <w:right w:w="85" w:type="dxa"/>
            </w:tcMar>
          </w:tcPr>
          <w:p w14:paraId="212DC593" w14:textId="77777777" w:rsidR="006611EE" w:rsidRPr="00261B7A" w:rsidRDefault="006611EE" w:rsidP="000F09B5">
            <w:pPr>
              <w:pStyle w:val="TableText"/>
              <w:spacing w:before="40" w:after="40"/>
              <w:rPr>
                <w:rFonts w:cstheme="minorHAnsi"/>
              </w:rPr>
            </w:pPr>
            <w:r w:rsidRPr="00261B7A">
              <w:rPr>
                <w:rFonts w:cstheme="minorHAnsi"/>
                <w:color w:val="000000"/>
              </w:rPr>
              <w:t>Domestic Aviation – Jet Kerosene</w:t>
            </w:r>
          </w:p>
        </w:tc>
        <w:tc>
          <w:tcPr>
            <w:tcW w:w="510" w:type="dxa"/>
            <w:shd w:val="clear" w:color="auto" w:fill="FFFFFF"/>
            <w:tcMar>
              <w:top w:w="0" w:type="dxa"/>
              <w:left w:w="85" w:type="dxa"/>
              <w:bottom w:w="0" w:type="dxa"/>
              <w:right w:w="85" w:type="dxa"/>
            </w:tcMar>
          </w:tcPr>
          <w:p w14:paraId="74014B0D"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70A929D4" w14:textId="77777777" w:rsidR="006611EE" w:rsidRPr="00261B7A" w:rsidRDefault="006611EE" w:rsidP="000F09B5">
            <w:pPr>
              <w:pStyle w:val="TableText"/>
              <w:spacing w:before="40" w:after="40"/>
              <w:jc w:val="right"/>
              <w:rPr>
                <w:rFonts w:cstheme="minorHAnsi"/>
              </w:rPr>
            </w:pPr>
            <w:r w:rsidRPr="00261B7A">
              <w:rPr>
                <w:rFonts w:cstheme="minorHAnsi"/>
                <w:color w:val="000000"/>
              </w:rPr>
              <w:t>892.6</w:t>
            </w:r>
          </w:p>
        </w:tc>
        <w:tc>
          <w:tcPr>
            <w:tcW w:w="794" w:type="dxa"/>
            <w:shd w:val="clear" w:color="auto" w:fill="FFFFFF"/>
            <w:tcMar>
              <w:top w:w="0" w:type="dxa"/>
              <w:left w:w="85" w:type="dxa"/>
              <w:bottom w:w="0" w:type="dxa"/>
              <w:right w:w="85" w:type="dxa"/>
            </w:tcMar>
          </w:tcPr>
          <w:p w14:paraId="24B6B0D0" w14:textId="77777777" w:rsidR="006611EE" w:rsidRPr="00261B7A" w:rsidRDefault="006611EE" w:rsidP="000F09B5">
            <w:pPr>
              <w:pStyle w:val="TableText"/>
              <w:spacing w:before="40" w:after="40"/>
              <w:jc w:val="right"/>
              <w:rPr>
                <w:rFonts w:cstheme="minorHAnsi"/>
              </w:rPr>
            </w:pPr>
            <w:r w:rsidRPr="00261B7A">
              <w:rPr>
                <w:rFonts w:cstheme="minorHAnsi"/>
                <w:color w:val="000000"/>
              </w:rPr>
              <w:t>797.2</w:t>
            </w:r>
          </w:p>
        </w:tc>
        <w:tc>
          <w:tcPr>
            <w:tcW w:w="794" w:type="dxa"/>
            <w:shd w:val="clear" w:color="auto" w:fill="FFFFFF"/>
            <w:tcMar>
              <w:top w:w="0" w:type="dxa"/>
              <w:left w:w="85" w:type="dxa"/>
              <w:bottom w:w="0" w:type="dxa"/>
              <w:right w:w="85" w:type="dxa"/>
            </w:tcMar>
          </w:tcPr>
          <w:p w14:paraId="0FA9ECB7" w14:textId="77777777" w:rsidR="006611EE" w:rsidRPr="00261B7A" w:rsidRDefault="006611EE" w:rsidP="000F09B5">
            <w:pPr>
              <w:pStyle w:val="TableText"/>
              <w:spacing w:before="40" w:after="40"/>
              <w:jc w:val="right"/>
              <w:rPr>
                <w:rFonts w:cstheme="minorHAnsi"/>
              </w:rPr>
            </w:pPr>
            <w:r w:rsidRPr="00261B7A">
              <w:rPr>
                <w:rFonts w:cstheme="minorHAnsi"/>
                <w:color w:val="000000"/>
              </w:rPr>
              <w:t>0.004</w:t>
            </w:r>
          </w:p>
        </w:tc>
        <w:tc>
          <w:tcPr>
            <w:tcW w:w="680" w:type="dxa"/>
            <w:shd w:val="clear" w:color="auto" w:fill="FFFFFF"/>
            <w:tcMar>
              <w:top w:w="0" w:type="dxa"/>
              <w:left w:w="85" w:type="dxa"/>
              <w:bottom w:w="0" w:type="dxa"/>
              <w:right w:w="85" w:type="dxa"/>
            </w:tcMar>
          </w:tcPr>
          <w:p w14:paraId="04EAD118" w14:textId="77777777" w:rsidR="006611EE" w:rsidRPr="00261B7A" w:rsidRDefault="006611EE" w:rsidP="000F09B5">
            <w:pPr>
              <w:pStyle w:val="TableText"/>
              <w:spacing w:before="40" w:after="40"/>
              <w:jc w:val="right"/>
              <w:rPr>
                <w:rFonts w:cstheme="minorHAnsi"/>
              </w:rPr>
            </w:pPr>
            <w:r w:rsidRPr="00261B7A">
              <w:rPr>
                <w:rFonts w:cstheme="minorHAnsi"/>
                <w:color w:val="000000"/>
              </w:rPr>
              <w:t>0.6</w:t>
            </w:r>
          </w:p>
        </w:tc>
        <w:tc>
          <w:tcPr>
            <w:tcW w:w="680" w:type="dxa"/>
            <w:shd w:val="clear" w:color="auto" w:fill="FFFFFF"/>
            <w:tcMar>
              <w:top w:w="0" w:type="dxa"/>
              <w:left w:w="85" w:type="dxa"/>
              <w:bottom w:w="0" w:type="dxa"/>
              <w:right w:w="85" w:type="dxa"/>
            </w:tcMar>
          </w:tcPr>
          <w:p w14:paraId="3F644A6E" w14:textId="77777777" w:rsidR="006611EE" w:rsidRPr="00261B7A" w:rsidRDefault="006611EE" w:rsidP="000F09B5">
            <w:pPr>
              <w:pStyle w:val="TableText"/>
              <w:spacing w:before="40" w:after="40"/>
              <w:jc w:val="right"/>
              <w:rPr>
                <w:rFonts w:cstheme="minorHAnsi"/>
              </w:rPr>
            </w:pPr>
            <w:r w:rsidRPr="00261B7A">
              <w:rPr>
                <w:rFonts w:cstheme="minorHAnsi"/>
                <w:color w:val="000000"/>
              </w:rPr>
              <w:t>87.7</w:t>
            </w:r>
          </w:p>
        </w:tc>
      </w:tr>
      <w:tr w:rsidR="006611EE" w:rsidRPr="00261B7A" w14:paraId="4768018A" w14:textId="77777777" w:rsidTr="000F09B5">
        <w:tc>
          <w:tcPr>
            <w:tcW w:w="567" w:type="dxa"/>
            <w:shd w:val="clear" w:color="auto" w:fill="FFFFFF"/>
            <w:tcMar>
              <w:top w:w="0" w:type="dxa"/>
              <w:left w:w="85" w:type="dxa"/>
              <w:bottom w:w="0" w:type="dxa"/>
              <w:right w:w="85" w:type="dxa"/>
            </w:tcMar>
          </w:tcPr>
          <w:p w14:paraId="535081FC" w14:textId="77777777" w:rsidR="006611EE" w:rsidRPr="00261B7A" w:rsidRDefault="006611EE" w:rsidP="000F09B5">
            <w:pPr>
              <w:pStyle w:val="TableText"/>
              <w:spacing w:before="40" w:after="40"/>
              <w:rPr>
                <w:rFonts w:cstheme="minorHAnsi"/>
              </w:rPr>
            </w:pPr>
            <w:r w:rsidRPr="00261B7A">
              <w:rPr>
                <w:rFonts w:cstheme="minorHAnsi"/>
                <w:color w:val="000000"/>
              </w:rPr>
              <w:t>1.A.2.g.iii</w:t>
            </w:r>
          </w:p>
        </w:tc>
        <w:tc>
          <w:tcPr>
            <w:tcW w:w="2438" w:type="dxa"/>
            <w:shd w:val="clear" w:color="auto" w:fill="FFFFFF"/>
            <w:tcMar>
              <w:top w:w="0" w:type="dxa"/>
              <w:left w:w="85" w:type="dxa"/>
              <w:bottom w:w="0" w:type="dxa"/>
              <w:right w:w="85" w:type="dxa"/>
            </w:tcMar>
          </w:tcPr>
          <w:p w14:paraId="52977836" w14:textId="77777777" w:rsidR="006611EE" w:rsidRPr="00261B7A" w:rsidRDefault="006611EE" w:rsidP="000F09B5">
            <w:pPr>
              <w:pStyle w:val="TableText"/>
              <w:spacing w:before="40" w:after="40"/>
              <w:rPr>
                <w:rFonts w:cstheme="minorHAnsi"/>
              </w:rPr>
            </w:pPr>
            <w:r w:rsidRPr="00261B7A">
              <w:rPr>
                <w:rFonts w:cstheme="minorHAnsi"/>
                <w:color w:val="000000"/>
              </w:rPr>
              <w:t>Other (please specify) – Mining (excluding fuels) and Quarrying Liquid Fuels</w:t>
            </w:r>
          </w:p>
        </w:tc>
        <w:tc>
          <w:tcPr>
            <w:tcW w:w="510" w:type="dxa"/>
            <w:shd w:val="clear" w:color="auto" w:fill="FFFFFF"/>
            <w:tcMar>
              <w:top w:w="0" w:type="dxa"/>
              <w:left w:w="85" w:type="dxa"/>
              <w:bottom w:w="0" w:type="dxa"/>
              <w:right w:w="85" w:type="dxa"/>
            </w:tcMar>
          </w:tcPr>
          <w:p w14:paraId="17EB9D64"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4501BCC6" w14:textId="77777777" w:rsidR="006611EE" w:rsidRPr="00261B7A" w:rsidRDefault="006611EE" w:rsidP="000F09B5">
            <w:pPr>
              <w:pStyle w:val="TableText"/>
              <w:spacing w:before="40" w:after="40"/>
              <w:jc w:val="right"/>
              <w:rPr>
                <w:rFonts w:cstheme="minorHAnsi"/>
              </w:rPr>
            </w:pPr>
            <w:r w:rsidRPr="00261B7A">
              <w:rPr>
                <w:rFonts w:cstheme="minorHAnsi"/>
                <w:color w:val="000000"/>
              </w:rPr>
              <w:t>94.1</w:t>
            </w:r>
          </w:p>
        </w:tc>
        <w:tc>
          <w:tcPr>
            <w:tcW w:w="794" w:type="dxa"/>
            <w:shd w:val="clear" w:color="auto" w:fill="FFFFFF"/>
            <w:tcMar>
              <w:top w:w="0" w:type="dxa"/>
              <w:left w:w="85" w:type="dxa"/>
              <w:bottom w:w="0" w:type="dxa"/>
              <w:right w:w="85" w:type="dxa"/>
            </w:tcMar>
          </w:tcPr>
          <w:p w14:paraId="6EB3E1A7" w14:textId="77777777" w:rsidR="006611EE" w:rsidRPr="00261B7A" w:rsidRDefault="006611EE" w:rsidP="000F09B5">
            <w:pPr>
              <w:pStyle w:val="TableText"/>
              <w:spacing w:before="40" w:after="40"/>
              <w:jc w:val="right"/>
              <w:rPr>
                <w:rFonts w:cstheme="minorHAnsi"/>
              </w:rPr>
            </w:pPr>
            <w:r w:rsidRPr="00261B7A">
              <w:rPr>
                <w:rFonts w:cstheme="minorHAnsi"/>
                <w:color w:val="000000"/>
              </w:rPr>
              <w:t>367.6</w:t>
            </w:r>
          </w:p>
        </w:tc>
        <w:tc>
          <w:tcPr>
            <w:tcW w:w="794" w:type="dxa"/>
            <w:shd w:val="clear" w:color="auto" w:fill="FFFFFF"/>
            <w:tcMar>
              <w:top w:w="0" w:type="dxa"/>
              <w:left w:w="85" w:type="dxa"/>
              <w:bottom w:w="0" w:type="dxa"/>
              <w:right w:w="85" w:type="dxa"/>
            </w:tcMar>
          </w:tcPr>
          <w:p w14:paraId="05E4A8D3" w14:textId="77777777" w:rsidR="006611EE" w:rsidRPr="00261B7A" w:rsidRDefault="006611EE" w:rsidP="000F09B5">
            <w:pPr>
              <w:pStyle w:val="TableText"/>
              <w:spacing w:before="40" w:after="40"/>
              <w:jc w:val="right"/>
              <w:rPr>
                <w:rFonts w:cstheme="minorHAnsi"/>
              </w:rPr>
            </w:pPr>
            <w:r w:rsidRPr="00261B7A">
              <w:rPr>
                <w:rFonts w:cstheme="minorHAnsi"/>
                <w:color w:val="000000"/>
              </w:rPr>
              <w:t>0.004</w:t>
            </w:r>
          </w:p>
        </w:tc>
        <w:tc>
          <w:tcPr>
            <w:tcW w:w="680" w:type="dxa"/>
            <w:shd w:val="clear" w:color="auto" w:fill="FFFFFF"/>
            <w:tcMar>
              <w:top w:w="0" w:type="dxa"/>
              <w:left w:w="85" w:type="dxa"/>
              <w:bottom w:w="0" w:type="dxa"/>
              <w:right w:w="85" w:type="dxa"/>
            </w:tcMar>
          </w:tcPr>
          <w:p w14:paraId="302D6285" w14:textId="77777777" w:rsidR="006611EE" w:rsidRPr="00261B7A" w:rsidRDefault="006611EE" w:rsidP="000F09B5">
            <w:pPr>
              <w:pStyle w:val="TableText"/>
              <w:spacing w:before="40" w:after="40"/>
              <w:jc w:val="right"/>
              <w:rPr>
                <w:rFonts w:cstheme="minorHAnsi"/>
              </w:rPr>
            </w:pPr>
            <w:r w:rsidRPr="00261B7A">
              <w:rPr>
                <w:rFonts w:cstheme="minorHAnsi"/>
                <w:color w:val="000000"/>
              </w:rPr>
              <w:t>0.6</w:t>
            </w:r>
          </w:p>
        </w:tc>
        <w:tc>
          <w:tcPr>
            <w:tcW w:w="680" w:type="dxa"/>
            <w:shd w:val="clear" w:color="auto" w:fill="FFFFFF"/>
            <w:tcMar>
              <w:top w:w="0" w:type="dxa"/>
              <w:left w:w="85" w:type="dxa"/>
              <w:bottom w:w="0" w:type="dxa"/>
              <w:right w:w="85" w:type="dxa"/>
            </w:tcMar>
          </w:tcPr>
          <w:p w14:paraId="5829672D" w14:textId="77777777" w:rsidR="006611EE" w:rsidRPr="00261B7A" w:rsidRDefault="006611EE" w:rsidP="000F09B5">
            <w:pPr>
              <w:pStyle w:val="TableText"/>
              <w:spacing w:before="40" w:after="40"/>
              <w:jc w:val="right"/>
              <w:rPr>
                <w:rFonts w:cstheme="minorHAnsi"/>
              </w:rPr>
            </w:pPr>
            <w:r w:rsidRPr="00261B7A">
              <w:rPr>
                <w:rFonts w:cstheme="minorHAnsi"/>
                <w:color w:val="000000"/>
              </w:rPr>
              <w:t>88.3</w:t>
            </w:r>
          </w:p>
        </w:tc>
      </w:tr>
      <w:tr w:rsidR="006611EE" w:rsidRPr="00261B7A" w14:paraId="6B1070AD" w14:textId="77777777" w:rsidTr="000F09B5">
        <w:tc>
          <w:tcPr>
            <w:tcW w:w="567" w:type="dxa"/>
            <w:shd w:val="clear" w:color="auto" w:fill="FFFFFF"/>
            <w:tcMar>
              <w:top w:w="0" w:type="dxa"/>
              <w:left w:w="85" w:type="dxa"/>
              <w:bottom w:w="0" w:type="dxa"/>
              <w:right w:w="85" w:type="dxa"/>
            </w:tcMar>
          </w:tcPr>
          <w:p w14:paraId="7C0FDCF3" w14:textId="77777777" w:rsidR="006611EE" w:rsidRPr="00261B7A" w:rsidRDefault="006611EE" w:rsidP="000F09B5">
            <w:pPr>
              <w:pStyle w:val="TableText"/>
              <w:spacing w:before="40" w:after="40"/>
              <w:rPr>
                <w:rFonts w:cstheme="minorHAnsi"/>
              </w:rPr>
            </w:pPr>
            <w:r w:rsidRPr="00261B7A">
              <w:rPr>
                <w:rFonts w:cstheme="minorHAnsi"/>
                <w:color w:val="000000"/>
              </w:rPr>
              <w:t>1.A.2.g.v</w:t>
            </w:r>
          </w:p>
        </w:tc>
        <w:tc>
          <w:tcPr>
            <w:tcW w:w="2438" w:type="dxa"/>
            <w:shd w:val="clear" w:color="auto" w:fill="FFFFFF"/>
            <w:tcMar>
              <w:top w:w="0" w:type="dxa"/>
              <w:left w:w="85" w:type="dxa"/>
              <w:bottom w:w="0" w:type="dxa"/>
              <w:right w:w="85" w:type="dxa"/>
            </w:tcMar>
          </w:tcPr>
          <w:p w14:paraId="079C63F8" w14:textId="77777777" w:rsidR="006611EE" w:rsidRPr="00261B7A" w:rsidRDefault="006611EE" w:rsidP="000F09B5">
            <w:pPr>
              <w:pStyle w:val="TableText"/>
              <w:spacing w:before="40" w:after="40"/>
              <w:rPr>
                <w:rFonts w:cstheme="minorHAnsi"/>
              </w:rPr>
            </w:pPr>
            <w:r w:rsidRPr="00261B7A">
              <w:rPr>
                <w:rFonts w:cstheme="minorHAnsi"/>
                <w:color w:val="000000"/>
              </w:rPr>
              <w:t>Other (please specify) – Construction</w:t>
            </w:r>
          </w:p>
        </w:tc>
        <w:tc>
          <w:tcPr>
            <w:tcW w:w="510" w:type="dxa"/>
            <w:shd w:val="clear" w:color="auto" w:fill="FFFFFF"/>
            <w:tcMar>
              <w:top w:w="0" w:type="dxa"/>
              <w:left w:w="85" w:type="dxa"/>
              <w:bottom w:w="0" w:type="dxa"/>
              <w:right w:w="85" w:type="dxa"/>
            </w:tcMar>
          </w:tcPr>
          <w:p w14:paraId="15B3E728"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31B796A4" w14:textId="77777777" w:rsidR="006611EE" w:rsidRPr="00261B7A" w:rsidRDefault="006611EE" w:rsidP="000F09B5">
            <w:pPr>
              <w:pStyle w:val="TableText"/>
              <w:spacing w:before="40" w:after="40"/>
              <w:jc w:val="right"/>
              <w:rPr>
                <w:rFonts w:cstheme="minorHAnsi"/>
              </w:rPr>
            </w:pPr>
            <w:r w:rsidRPr="00261B7A">
              <w:rPr>
                <w:rFonts w:cstheme="minorHAnsi"/>
                <w:color w:val="000000"/>
              </w:rPr>
              <w:t>245.0</w:t>
            </w:r>
          </w:p>
        </w:tc>
        <w:tc>
          <w:tcPr>
            <w:tcW w:w="794" w:type="dxa"/>
            <w:shd w:val="clear" w:color="auto" w:fill="FFFFFF"/>
            <w:tcMar>
              <w:top w:w="0" w:type="dxa"/>
              <w:left w:w="85" w:type="dxa"/>
              <w:bottom w:w="0" w:type="dxa"/>
              <w:right w:w="85" w:type="dxa"/>
            </w:tcMar>
          </w:tcPr>
          <w:p w14:paraId="6B1AD264" w14:textId="77777777" w:rsidR="006611EE" w:rsidRPr="00261B7A" w:rsidRDefault="006611EE" w:rsidP="000F09B5">
            <w:pPr>
              <w:pStyle w:val="TableText"/>
              <w:spacing w:before="40" w:after="40"/>
              <w:jc w:val="right"/>
              <w:rPr>
                <w:rFonts w:cstheme="minorHAnsi"/>
              </w:rPr>
            </w:pPr>
            <w:r w:rsidRPr="00261B7A">
              <w:rPr>
                <w:rFonts w:cstheme="minorHAnsi"/>
                <w:color w:val="000000"/>
              </w:rPr>
              <w:t>522.6</w:t>
            </w:r>
          </w:p>
        </w:tc>
        <w:tc>
          <w:tcPr>
            <w:tcW w:w="794" w:type="dxa"/>
            <w:shd w:val="clear" w:color="auto" w:fill="FFFFFF"/>
            <w:tcMar>
              <w:top w:w="0" w:type="dxa"/>
              <w:left w:w="85" w:type="dxa"/>
              <w:bottom w:w="0" w:type="dxa"/>
              <w:right w:w="85" w:type="dxa"/>
            </w:tcMar>
          </w:tcPr>
          <w:p w14:paraId="7F0624BC" w14:textId="77777777" w:rsidR="006611EE" w:rsidRPr="00261B7A" w:rsidRDefault="006611EE" w:rsidP="000F09B5">
            <w:pPr>
              <w:pStyle w:val="TableText"/>
              <w:spacing w:before="40" w:after="40"/>
              <w:jc w:val="right"/>
              <w:rPr>
                <w:rFonts w:cstheme="minorHAnsi"/>
              </w:rPr>
            </w:pPr>
            <w:r w:rsidRPr="00261B7A">
              <w:rPr>
                <w:rFonts w:cstheme="minorHAnsi"/>
                <w:color w:val="000000"/>
              </w:rPr>
              <w:t>0.004</w:t>
            </w:r>
          </w:p>
        </w:tc>
        <w:tc>
          <w:tcPr>
            <w:tcW w:w="680" w:type="dxa"/>
            <w:shd w:val="clear" w:color="auto" w:fill="FFFFFF"/>
            <w:tcMar>
              <w:top w:w="0" w:type="dxa"/>
              <w:left w:w="85" w:type="dxa"/>
              <w:bottom w:w="0" w:type="dxa"/>
              <w:right w:w="85" w:type="dxa"/>
            </w:tcMar>
          </w:tcPr>
          <w:p w14:paraId="29BC3B68" w14:textId="77777777" w:rsidR="006611EE" w:rsidRPr="00261B7A" w:rsidRDefault="006611EE" w:rsidP="000F09B5">
            <w:pPr>
              <w:pStyle w:val="TableText"/>
              <w:spacing w:before="40" w:after="40"/>
              <w:jc w:val="right"/>
              <w:rPr>
                <w:rFonts w:cstheme="minorHAnsi"/>
              </w:rPr>
            </w:pPr>
            <w:r w:rsidRPr="00261B7A">
              <w:rPr>
                <w:rFonts w:cstheme="minorHAnsi"/>
                <w:color w:val="000000"/>
              </w:rPr>
              <w:t>0.5</w:t>
            </w:r>
          </w:p>
        </w:tc>
        <w:tc>
          <w:tcPr>
            <w:tcW w:w="680" w:type="dxa"/>
            <w:shd w:val="clear" w:color="auto" w:fill="FFFFFF"/>
            <w:tcMar>
              <w:top w:w="0" w:type="dxa"/>
              <w:left w:w="85" w:type="dxa"/>
              <w:bottom w:w="0" w:type="dxa"/>
              <w:right w:w="85" w:type="dxa"/>
            </w:tcMar>
          </w:tcPr>
          <w:p w14:paraId="353FC90B" w14:textId="77777777" w:rsidR="006611EE" w:rsidRPr="00261B7A" w:rsidRDefault="006611EE" w:rsidP="000F09B5">
            <w:pPr>
              <w:pStyle w:val="TableText"/>
              <w:spacing w:before="40" w:after="40"/>
              <w:jc w:val="right"/>
              <w:rPr>
                <w:rFonts w:cstheme="minorHAnsi"/>
              </w:rPr>
            </w:pPr>
            <w:r w:rsidRPr="00261B7A">
              <w:rPr>
                <w:rFonts w:cstheme="minorHAnsi"/>
                <w:color w:val="000000"/>
              </w:rPr>
              <w:t>88.9</w:t>
            </w:r>
          </w:p>
        </w:tc>
      </w:tr>
      <w:tr w:rsidR="006611EE" w:rsidRPr="00261B7A" w14:paraId="4E0F89D1" w14:textId="77777777" w:rsidTr="000F09B5">
        <w:tc>
          <w:tcPr>
            <w:tcW w:w="567" w:type="dxa"/>
            <w:shd w:val="clear" w:color="auto" w:fill="FFFFFF"/>
            <w:tcMar>
              <w:top w:w="0" w:type="dxa"/>
              <w:left w:w="85" w:type="dxa"/>
              <w:bottom w:w="0" w:type="dxa"/>
              <w:right w:w="85" w:type="dxa"/>
            </w:tcMar>
          </w:tcPr>
          <w:p w14:paraId="70BF9A33" w14:textId="77777777" w:rsidR="006611EE" w:rsidRPr="00261B7A" w:rsidRDefault="006611EE" w:rsidP="000F09B5">
            <w:pPr>
              <w:pStyle w:val="TableText"/>
              <w:spacing w:before="40" w:after="40"/>
              <w:rPr>
                <w:rFonts w:cstheme="minorHAnsi"/>
              </w:rPr>
            </w:pPr>
            <w:r w:rsidRPr="00261B7A">
              <w:rPr>
                <w:rFonts w:cstheme="minorHAnsi"/>
                <w:color w:val="000000"/>
              </w:rPr>
              <w:t>1.A.2.d</w:t>
            </w:r>
          </w:p>
        </w:tc>
        <w:tc>
          <w:tcPr>
            <w:tcW w:w="2438" w:type="dxa"/>
            <w:shd w:val="clear" w:color="auto" w:fill="FFFFFF"/>
            <w:tcMar>
              <w:top w:w="0" w:type="dxa"/>
              <w:left w:w="85" w:type="dxa"/>
              <w:bottom w:w="0" w:type="dxa"/>
              <w:right w:w="85" w:type="dxa"/>
            </w:tcMar>
          </w:tcPr>
          <w:p w14:paraId="018B9263" w14:textId="77777777" w:rsidR="006611EE" w:rsidRPr="00261B7A" w:rsidRDefault="006611EE" w:rsidP="000F09B5">
            <w:pPr>
              <w:pStyle w:val="TableText"/>
              <w:spacing w:before="40" w:after="40"/>
              <w:rPr>
                <w:rFonts w:cstheme="minorHAnsi"/>
              </w:rPr>
            </w:pPr>
            <w:r w:rsidRPr="00261B7A">
              <w:rPr>
                <w:rFonts w:cstheme="minorHAnsi"/>
                <w:color w:val="000000"/>
              </w:rPr>
              <w:t>Manufacturing Industries and Construction – Pulp, Paper and Print Gaseous Fuels</w:t>
            </w:r>
          </w:p>
        </w:tc>
        <w:tc>
          <w:tcPr>
            <w:tcW w:w="510" w:type="dxa"/>
            <w:shd w:val="clear" w:color="auto" w:fill="FFFFFF"/>
            <w:tcMar>
              <w:top w:w="0" w:type="dxa"/>
              <w:left w:w="85" w:type="dxa"/>
              <w:bottom w:w="0" w:type="dxa"/>
              <w:right w:w="85" w:type="dxa"/>
            </w:tcMar>
          </w:tcPr>
          <w:p w14:paraId="627B9D2E"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3B49D6E9" w14:textId="77777777" w:rsidR="006611EE" w:rsidRPr="00261B7A" w:rsidRDefault="006611EE" w:rsidP="000F09B5">
            <w:pPr>
              <w:pStyle w:val="TableText"/>
              <w:spacing w:before="40" w:after="40"/>
              <w:jc w:val="right"/>
              <w:rPr>
                <w:rFonts w:cstheme="minorHAnsi"/>
              </w:rPr>
            </w:pPr>
            <w:r w:rsidRPr="00261B7A">
              <w:rPr>
                <w:rFonts w:cstheme="minorHAnsi"/>
                <w:color w:val="000000"/>
              </w:rPr>
              <w:t>347.6</w:t>
            </w:r>
          </w:p>
        </w:tc>
        <w:tc>
          <w:tcPr>
            <w:tcW w:w="794" w:type="dxa"/>
            <w:shd w:val="clear" w:color="auto" w:fill="FFFFFF"/>
            <w:tcMar>
              <w:top w:w="0" w:type="dxa"/>
              <w:left w:w="85" w:type="dxa"/>
              <w:bottom w:w="0" w:type="dxa"/>
              <w:right w:w="85" w:type="dxa"/>
            </w:tcMar>
          </w:tcPr>
          <w:p w14:paraId="1AC68ED9" w14:textId="77777777" w:rsidR="006611EE" w:rsidRPr="00261B7A" w:rsidRDefault="006611EE" w:rsidP="000F09B5">
            <w:pPr>
              <w:pStyle w:val="TableText"/>
              <w:spacing w:before="40" w:after="40"/>
              <w:jc w:val="right"/>
              <w:rPr>
                <w:rFonts w:cstheme="minorHAnsi"/>
              </w:rPr>
            </w:pPr>
            <w:r w:rsidRPr="00261B7A">
              <w:rPr>
                <w:rFonts w:cstheme="minorHAnsi"/>
                <w:color w:val="000000"/>
              </w:rPr>
              <w:t>194.9</w:t>
            </w:r>
          </w:p>
        </w:tc>
        <w:tc>
          <w:tcPr>
            <w:tcW w:w="794" w:type="dxa"/>
            <w:shd w:val="clear" w:color="auto" w:fill="FFFFFF"/>
            <w:tcMar>
              <w:top w:w="0" w:type="dxa"/>
              <w:left w:w="85" w:type="dxa"/>
              <w:bottom w:w="0" w:type="dxa"/>
              <w:right w:w="85" w:type="dxa"/>
            </w:tcMar>
          </w:tcPr>
          <w:p w14:paraId="4E62EB61" w14:textId="77777777" w:rsidR="006611EE" w:rsidRPr="00261B7A" w:rsidRDefault="006611EE" w:rsidP="000F09B5">
            <w:pPr>
              <w:pStyle w:val="TableText"/>
              <w:spacing w:before="40" w:after="40"/>
              <w:jc w:val="right"/>
              <w:rPr>
                <w:rFonts w:cstheme="minorHAnsi"/>
              </w:rPr>
            </w:pPr>
            <w:r w:rsidRPr="00261B7A">
              <w:rPr>
                <w:rFonts w:cstheme="minorHAnsi"/>
                <w:color w:val="000000"/>
              </w:rPr>
              <w:t>0.003</w:t>
            </w:r>
          </w:p>
        </w:tc>
        <w:tc>
          <w:tcPr>
            <w:tcW w:w="680" w:type="dxa"/>
            <w:shd w:val="clear" w:color="auto" w:fill="FFFFFF"/>
            <w:tcMar>
              <w:top w:w="0" w:type="dxa"/>
              <w:left w:w="85" w:type="dxa"/>
              <w:bottom w:w="0" w:type="dxa"/>
              <w:right w:w="85" w:type="dxa"/>
            </w:tcMar>
          </w:tcPr>
          <w:p w14:paraId="43ECCC31" w14:textId="77777777" w:rsidR="006611EE" w:rsidRPr="00261B7A" w:rsidRDefault="006611EE" w:rsidP="000F09B5">
            <w:pPr>
              <w:pStyle w:val="TableText"/>
              <w:spacing w:before="40" w:after="40"/>
              <w:jc w:val="right"/>
              <w:rPr>
                <w:rFonts w:cstheme="minorHAnsi"/>
              </w:rPr>
            </w:pPr>
            <w:r w:rsidRPr="00261B7A">
              <w:rPr>
                <w:rFonts w:cstheme="minorHAnsi"/>
                <w:color w:val="000000"/>
              </w:rPr>
              <w:t>0.5</w:t>
            </w:r>
          </w:p>
        </w:tc>
        <w:tc>
          <w:tcPr>
            <w:tcW w:w="680" w:type="dxa"/>
            <w:shd w:val="clear" w:color="auto" w:fill="FFFFFF"/>
            <w:tcMar>
              <w:top w:w="0" w:type="dxa"/>
              <w:left w:w="85" w:type="dxa"/>
              <w:bottom w:w="0" w:type="dxa"/>
              <w:right w:w="85" w:type="dxa"/>
            </w:tcMar>
          </w:tcPr>
          <w:p w14:paraId="6E62597A" w14:textId="77777777" w:rsidR="006611EE" w:rsidRPr="00261B7A" w:rsidRDefault="006611EE" w:rsidP="000F09B5">
            <w:pPr>
              <w:pStyle w:val="TableText"/>
              <w:spacing w:before="40" w:after="40"/>
              <w:jc w:val="right"/>
              <w:rPr>
                <w:rFonts w:cstheme="minorHAnsi"/>
              </w:rPr>
            </w:pPr>
            <w:r w:rsidRPr="00261B7A">
              <w:rPr>
                <w:rFonts w:cstheme="minorHAnsi"/>
                <w:color w:val="000000"/>
              </w:rPr>
              <w:t>89.4</w:t>
            </w:r>
          </w:p>
        </w:tc>
      </w:tr>
      <w:tr w:rsidR="006611EE" w:rsidRPr="00261B7A" w14:paraId="6C9B046D" w14:textId="77777777" w:rsidTr="000F09B5">
        <w:tc>
          <w:tcPr>
            <w:tcW w:w="567" w:type="dxa"/>
            <w:shd w:val="clear" w:color="auto" w:fill="FFFFFF"/>
            <w:tcMar>
              <w:top w:w="0" w:type="dxa"/>
              <w:left w:w="85" w:type="dxa"/>
              <w:bottom w:w="0" w:type="dxa"/>
              <w:right w:w="85" w:type="dxa"/>
            </w:tcMar>
          </w:tcPr>
          <w:p w14:paraId="4526F15D" w14:textId="77777777" w:rsidR="006611EE" w:rsidRPr="00261B7A" w:rsidRDefault="006611EE" w:rsidP="000F09B5">
            <w:pPr>
              <w:pStyle w:val="TableText"/>
              <w:spacing w:before="40" w:after="40"/>
              <w:rPr>
                <w:rFonts w:cstheme="minorHAnsi"/>
              </w:rPr>
            </w:pPr>
            <w:r w:rsidRPr="00261B7A">
              <w:rPr>
                <w:rFonts w:cstheme="minorHAnsi"/>
                <w:color w:val="000000"/>
              </w:rPr>
              <w:t>3.A.4</w:t>
            </w:r>
          </w:p>
        </w:tc>
        <w:tc>
          <w:tcPr>
            <w:tcW w:w="2438" w:type="dxa"/>
            <w:shd w:val="clear" w:color="auto" w:fill="FFFFFF"/>
            <w:tcMar>
              <w:top w:w="0" w:type="dxa"/>
              <w:left w:w="85" w:type="dxa"/>
              <w:bottom w:w="0" w:type="dxa"/>
              <w:right w:w="85" w:type="dxa"/>
            </w:tcMar>
          </w:tcPr>
          <w:p w14:paraId="02065FD8" w14:textId="77777777" w:rsidR="006611EE" w:rsidRPr="00261B7A" w:rsidRDefault="006611EE" w:rsidP="000F09B5">
            <w:pPr>
              <w:pStyle w:val="TableText"/>
              <w:spacing w:before="40" w:after="40"/>
              <w:rPr>
                <w:rFonts w:cstheme="minorHAnsi"/>
              </w:rPr>
            </w:pPr>
            <w:r w:rsidRPr="00261B7A">
              <w:rPr>
                <w:rFonts w:cstheme="minorHAnsi"/>
                <w:color w:val="000000"/>
              </w:rPr>
              <w:t>Other Livestock – Goats</w:t>
            </w:r>
          </w:p>
        </w:tc>
        <w:tc>
          <w:tcPr>
            <w:tcW w:w="510" w:type="dxa"/>
            <w:shd w:val="clear" w:color="auto" w:fill="FFFFFF"/>
            <w:tcMar>
              <w:top w:w="0" w:type="dxa"/>
              <w:left w:w="85" w:type="dxa"/>
              <w:bottom w:w="0" w:type="dxa"/>
              <w:right w:w="85" w:type="dxa"/>
            </w:tcMar>
          </w:tcPr>
          <w:p w14:paraId="499799E4" w14:textId="77777777" w:rsidR="006611EE" w:rsidRPr="00261B7A" w:rsidRDefault="006611EE" w:rsidP="000F09B5">
            <w:pPr>
              <w:pStyle w:val="TableText"/>
              <w:spacing w:before="40" w:after="40"/>
              <w:jc w:val="center"/>
              <w:rPr>
                <w:rFonts w:cstheme="minorHAnsi"/>
              </w:rPr>
            </w:pPr>
            <w:r w:rsidRPr="00261B7A">
              <w:rPr>
                <w:rFonts w:cstheme="minorHAnsi"/>
                <w:color w:val="000000"/>
              </w:rPr>
              <w:t>CH</w:t>
            </w:r>
            <w:r w:rsidRPr="00261B7A">
              <w:rPr>
                <w:rFonts w:asciiTheme="minorHAnsi" w:hAnsiTheme="minorHAnsi" w:cstheme="minorHAnsi"/>
                <w:vertAlign w:val="subscript"/>
              </w:rPr>
              <w:t>4</w:t>
            </w:r>
          </w:p>
        </w:tc>
        <w:tc>
          <w:tcPr>
            <w:tcW w:w="794" w:type="dxa"/>
            <w:shd w:val="clear" w:color="auto" w:fill="FFFFFF"/>
            <w:tcMar>
              <w:top w:w="0" w:type="dxa"/>
              <w:left w:w="85" w:type="dxa"/>
              <w:bottom w:w="0" w:type="dxa"/>
              <w:right w:w="85" w:type="dxa"/>
            </w:tcMar>
          </w:tcPr>
          <w:p w14:paraId="57F7910D" w14:textId="77777777" w:rsidR="006611EE" w:rsidRPr="00261B7A" w:rsidRDefault="006611EE" w:rsidP="000F09B5">
            <w:pPr>
              <w:pStyle w:val="TableText"/>
              <w:spacing w:before="40" w:after="40"/>
              <w:jc w:val="right"/>
              <w:rPr>
                <w:rFonts w:cstheme="minorHAnsi"/>
              </w:rPr>
            </w:pPr>
            <w:r w:rsidRPr="00261B7A">
              <w:rPr>
                <w:rFonts w:cstheme="minorHAnsi"/>
                <w:color w:val="000000"/>
              </w:rPr>
              <w:t>196.6</w:t>
            </w:r>
          </w:p>
        </w:tc>
        <w:tc>
          <w:tcPr>
            <w:tcW w:w="794" w:type="dxa"/>
            <w:shd w:val="clear" w:color="auto" w:fill="FFFFFF"/>
            <w:tcMar>
              <w:top w:w="0" w:type="dxa"/>
              <w:left w:w="85" w:type="dxa"/>
              <w:bottom w:w="0" w:type="dxa"/>
              <w:right w:w="85" w:type="dxa"/>
            </w:tcMar>
          </w:tcPr>
          <w:p w14:paraId="4F848CAB" w14:textId="77777777" w:rsidR="006611EE" w:rsidRPr="00261B7A" w:rsidRDefault="006611EE" w:rsidP="000F09B5">
            <w:pPr>
              <w:pStyle w:val="TableText"/>
              <w:spacing w:before="40" w:after="40"/>
              <w:jc w:val="right"/>
              <w:rPr>
                <w:rFonts w:cstheme="minorHAnsi"/>
              </w:rPr>
            </w:pPr>
            <w:r w:rsidRPr="00261B7A">
              <w:rPr>
                <w:rFonts w:cstheme="minorHAnsi"/>
                <w:color w:val="000000"/>
              </w:rPr>
              <w:t>26.1</w:t>
            </w:r>
          </w:p>
        </w:tc>
        <w:tc>
          <w:tcPr>
            <w:tcW w:w="794" w:type="dxa"/>
            <w:shd w:val="clear" w:color="auto" w:fill="FFFFFF"/>
            <w:tcMar>
              <w:top w:w="0" w:type="dxa"/>
              <w:left w:w="85" w:type="dxa"/>
              <w:bottom w:w="0" w:type="dxa"/>
              <w:right w:w="85" w:type="dxa"/>
            </w:tcMar>
          </w:tcPr>
          <w:p w14:paraId="2B155A02" w14:textId="77777777" w:rsidR="006611EE" w:rsidRPr="00261B7A" w:rsidRDefault="006611EE" w:rsidP="000F09B5">
            <w:pPr>
              <w:pStyle w:val="TableText"/>
              <w:spacing w:before="40" w:after="40"/>
              <w:jc w:val="right"/>
              <w:rPr>
                <w:rFonts w:cstheme="minorHAnsi"/>
              </w:rPr>
            </w:pPr>
            <w:r w:rsidRPr="00261B7A">
              <w:rPr>
                <w:rFonts w:cstheme="minorHAnsi"/>
                <w:color w:val="000000"/>
              </w:rPr>
              <w:t>0.003</w:t>
            </w:r>
          </w:p>
        </w:tc>
        <w:tc>
          <w:tcPr>
            <w:tcW w:w="680" w:type="dxa"/>
            <w:shd w:val="clear" w:color="auto" w:fill="FFFFFF"/>
            <w:tcMar>
              <w:top w:w="0" w:type="dxa"/>
              <w:left w:w="85" w:type="dxa"/>
              <w:bottom w:w="0" w:type="dxa"/>
              <w:right w:w="85" w:type="dxa"/>
            </w:tcMar>
          </w:tcPr>
          <w:p w14:paraId="6D2AC90E" w14:textId="77777777" w:rsidR="006611EE" w:rsidRPr="00261B7A" w:rsidRDefault="006611EE" w:rsidP="000F09B5">
            <w:pPr>
              <w:pStyle w:val="TableText"/>
              <w:spacing w:before="40" w:after="40"/>
              <w:jc w:val="right"/>
              <w:rPr>
                <w:rFonts w:cstheme="minorHAnsi"/>
              </w:rPr>
            </w:pPr>
            <w:r w:rsidRPr="00261B7A">
              <w:rPr>
                <w:rFonts w:cstheme="minorHAnsi"/>
                <w:color w:val="000000"/>
              </w:rPr>
              <w:t>0.5</w:t>
            </w:r>
          </w:p>
        </w:tc>
        <w:tc>
          <w:tcPr>
            <w:tcW w:w="680" w:type="dxa"/>
            <w:shd w:val="clear" w:color="auto" w:fill="FFFFFF"/>
            <w:tcMar>
              <w:top w:w="0" w:type="dxa"/>
              <w:left w:w="85" w:type="dxa"/>
              <w:bottom w:w="0" w:type="dxa"/>
              <w:right w:w="85" w:type="dxa"/>
            </w:tcMar>
          </w:tcPr>
          <w:p w14:paraId="1D6FFF1F" w14:textId="77777777" w:rsidR="006611EE" w:rsidRPr="00261B7A" w:rsidRDefault="006611EE" w:rsidP="000F09B5">
            <w:pPr>
              <w:pStyle w:val="TableText"/>
              <w:spacing w:before="40" w:after="40"/>
              <w:jc w:val="right"/>
              <w:rPr>
                <w:rFonts w:cstheme="minorHAnsi"/>
              </w:rPr>
            </w:pPr>
            <w:r w:rsidRPr="00261B7A">
              <w:rPr>
                <w:rFonts w:cstheme="minorHAnsi"/>
                <w:color w:val="000000"/>
              </w:rPr>
              <w:t>89.9</w:t>
            </w:r>
          </w:p>
        </w:tc>
      </w:tr>
      <w:tr w:rsidR="006611EE" w:rsidRPr="00261B7A" w14:paraId="37BF9F1C" w14:textId="77777777" w:rsidTr="000F09B5">
        <w:tc>
          <w:tcPr>
            <w:tcW w:w="567" w:type="dxa"/>
            <w:shd w:val="clear" w:color="auto" w:fill="FFFFFF"/>
            <w:tcMar>
              <w:top w:w="0" w:type="dxa"/>
              <w:left w:w="85" w:type="dxa"/>
              <w:bottom w:w="0" w:type="dxa"/>
              <w:right w:w="85" w:type="dxa"/>
            </w:tcMar>
          </w:tcPr>
          <w:p w14:paraId="1205C455" w14:textId="77777777" w:rsidR="006611EE" w:rsidRPr="00261B7A" w:rsidRDefault="006611EE" w:rsidP="000F09B5">
            <w:pPr>
              <w:pStyle w:val="TableText"/>
              <w:spacing w:before="40" w:after="40"/>
              <w:rPr>
                <w:rFonts w:cstheme="minorHAnsi"/>
              </w:rPr>
            </w:pPr>
            <w:r w:rsidRPr="00261B7A">
              <w:rPr>
                <w:rFonts w:cstheme="minorHAnsi"/>
                <w:color w:val="000000"/>
              </w:rPr>
              <w:t>2.C.1</w:t>
            </w:r>
          </w:p>
        </w:tc>
        <w:tc>
          <w:tcPr>
            <w:tcW w:w="2438" w:type="dxa"/>
            <w:shd w:val="clear" w:color="auto" w:fill="FFFFFF"/>
            <w:tcMar>
              <w:top w:w="0" w:type="dxa"/>
              <w:left w:w="85" w:type="dxa"/>
              <w:bottom w:w="0" w:type="dxa"/>
              <w:right w:w="85" w:type="dxa"/>
            </w:tcMar>
          </w:tcPr>
          <w:p w14:paraId="0249B8BD" w14:textId="77777777" w:rsidR="006611EE" w:rsidRPr="00261B7A" w:rsidRDefault="006611EE" w:rsidP="000F09B5">
            <w:pPr>
              <w:pStyle w:val="TableText"/>
              <w:spacing w:before="40" w:after="40"/>
              <w:rPr>
                <w:rFonts w:cstheme="minorHAnsi"/>
              </w:rPr>
            </w:pPr>
            <w:r w:rsidRPr="00261B7A">
              <w:rPr>
                <w:rFonts w:cstheme="minorHAnsi"/>
                <w:color w:val="000000"/>
              </w:rPr>
              <w:t>Metal Industry – Iron and Steel Production</w:t>
            </w:r>
          </w:p>
        </w:tc>
        <w:tc>
          <w:tcPr>
            <w:tcW w:w="510" w:type="dxa"/>
            <w:shd w:val="clear" w:color="auto" w:fill="FFFFFF"/>
            <w:tcMar>
              <w:top w:w="0" w:type="dxa"/>
              <w:left w:w="85" w:type="dxa"/>
              <w:bottom w:w="0" w:type="dxa"/>
              <w:right w:w="85" w:type="dxa"/>
            </w:tcMar>
          </w:tcPr>
          <w:p w14:paraId="6140E58D"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11B34997" w14:textId="77777777" w:rsidR="006611EE" w:rsidRPr="00261B7A" w:rsidRDefault="006611EE" w:rsidP="000F09B5">
            <w:pPr>
              <w:pStyle w:val="TableText"/>
              <w:spacing w:before="40" w:after="40"/>
              <w:jc w:val="right"/>
              <w:rPr>
                <w:rFonts w:cstheme="minorHAnsi"/>
              </w:rPr>
            </w:pPr>
            <w:r w:rsidRPr="00261B7A">
              <w:rPr>
                <w:rFonts w:cstheme="minorHAnsi"/>
                <w:color w:val="000000"/>
              </w:rPr>
              <w:t>1,306.7</w:t>
            </w:r>
          </w:p>
        </w:tc>
        <w:tc>
          <w:tcPr>
            <w:tcW w:w="794" w:type="dxa"/>
            <w:shd w:val="clear" w:color="auto" w:fill="FFFFFF"/>
            <w:tcMar>
              <w:top w:w="0" w:type="dxa"/>
              <w:left w:w="85" w:type="dxa"/>
              <w:bottom w:w="0" w:type="dxa"/>
              <w:right w:w="85" w:type="dxa"/>
            </w:tcMar>
          </w:tcPr>
          <w:p w14:paraId="261AD789" w14:textId="77777777" w:rsidR="006611EE" w:rsidRPr="00261B7A" w:rsidRDefault="006611EE" w:rsidP="000F09B5">
            <w:pPr>
              <w:pStyle w:val="TableText"/>
              <w:spacing w:before="40" w:after="40"/>
              <w:jc w:val="right"/>
              <w:rPr>
                <w:rFonts w:cstheme="minorHAnsi"/>
              </w:rPr>
            </w:pPr>
            <w:r w:rsidRPr="00261B7A">
              <w:rPr>
                <w:rFonts w:cstheme="minorHAnsi"/>
                <w:color w:val="000000"/>
              </w:rPr>
              <w:t>1,718.1</w:t>
            </w:r>
          </w:p>
        </w:tc>
        <w:tc>
          <w:tcPr>
            <w:tcW w:w="794" w:type="dxa"/>
            <w:shd w:val="clear" w:color="auto" w:fill="FFFFFF"/>
            <w:tcMar>
              <w:top w:w="0" w:type="dxa"/>
              <w:left w:w="85" w:type="dxa"/>
              <w:bottom w:w="0" w:type="dxa"/>
              <w:right w:w="85" w:type="dxa"/>
            </w:tcMar>
          </w:tcPr>
          <w:p w14:paraId="6ECB66A7" w14:textId="77777777" w:rsidR="006611EE" w:rsidRPr="00261B7A" w:rsidRDefault="006611EE" w:rsidP="000F09B5">
            <w:pPr>
              <w:pStyle w:val="TableText"/>
              <w:spacing w:before="40" w:after="40"/>
              <w:jc w:val="right"/>
              <w:rPr>
                <w:rFonts w:cstheme="minorHAnsi"/>
              </w:rPr>
            </w:pPr>
            <w:r w:rsidRPr="00261B7A">
              <w:rPr>
                <w:rFonts w:cstheme="minorHAnsi"/>
                <w:color w:val="000000"/>
              </w:rPr>
              <w:t>0.003</w:t>
            </w:r>
          </w:p>
        </w:tc>
        <w:tc>
          <w:tcPr>
            <w:tcW w:w="680" w:type="dxa"/>
            <w:shd w:val="clear" w:color="auto" w:fill="FFFFFF"/>
            <w:tcMar>
              <w:top w:w="0" w:type="dxa"/>
              <w:left w:w="85" w:type="dxa"/>
              <w:bottom w:w="0" w:type="dxa"/>
              <w:right w:w="85" w:type="dxa"/>
            </w:tcMar>
          </w:tcPr>
          <w:p w14:paraId="0C2E043D" w14:textId="77777777" w:rsidR="006611EE" w:rsidRPr="00261B7A" w:rsidRDefault="006611EE" w:rsidP="000F09B5">
            <w:pPr>
              <w:pStyle w:val="TableText"/>
              <w:spacing w:before="40" w:after="40"/>
              <w:jc w:val="right"/>
              <w:rPr>
                <w:rFonts w:cstheme="minorHAnsi"/>
              </w:rPr>
            </w:pPr>
            <w:r w:rsidRPr="00261B7A">
              <w:rPr>
                <w:rFonts w:cstheme="minorHAnsi"/>
                <w:color w:val="000000"/>
              </w:rPr>
              <w:t>0.4</w:t>
            </w:r>
          </w:p>
        </w:tc>
        <w:tc>
          <w:tcPr>
            <w:tcW w:w="680" w:type="dxa"/>
            <w:shd w:val="clear" w:color="auto" w:fill="FFFFFF"/>
            <w:tcMar>
              <w:top w:w="0" w:type="dxa"/>
              <w:left w:w="85" w:type="dxa"/>
              <w:bottom w:w="0" w:type="dxa"/>
              <w:right w:w="85" w:type="dxa"/>
            </w:tcMar>
          </w:tcPr>
          <w:p w14:paraId="5C655D78" w14:textId="77777777" w:rsidR="006611EE" w:rsidRPr="00261B7A" w:rsidRDefault="006611EE" w:rsidP="000F09B5">
            <w:pPr>
              <w:pStyle w:val="TableText"/>
              <w:spacing w:before="40" w:after="40"/>
              <w:jc w:val="right"/>
              <w:rPr>
                <w:rFonts w:cstheme="minorHAnsi"/>
              </w:rPr>
            </w:pPr>
            <w:r w:rsidRPr="00261B7A">
              <w:rPr>
                <w:rFonts w:cstheme="minorHAnsi"/>
                <w:color w:val="000000"/>
              </w:rPr>
              <w:t>90.3</w:t>
            </w:r>
          </w:p>
        </w:tc>
      </w:tr>
      <w:tr w:rsidR="006611EE" w:rsidRPr="00261B7A" w14:paraId="487FC927" w14:textId="77777777" w:rsidTr="000F09B5">
        <w:tc>
          <w:tcPr>
            <w:tcW w:w="567" w:type="dxa"/>
            <w:shd w:val="clear" w:color="auto" w:fill="FFFFFF"/>
            <w:tcMar>
              <w:top w:w="0" w:type="dxa"/>
              <w:left w:w="85" w:type="dxa"/>
              <w:bottom w:w="0" w:type="dxa"/>
              <w:right w:w="85" w:type="dxa"/>
            </w:tcMar>
          </w:tcPr>
          <w:p w14:paraId="4D47B8D5" w14:textId="77777777" w:rsidR="006611EE" w:rsidRPr="00261B7A" w:rsidRDefault="006611EE" w:rsidP="000F09B5">
            <w:pPr>
              <w:pStyle w:val="TableText"/>
              <w:spacing w:before="40" w:after="40"/>
              <w:rPr>
                <w:rFonts w:cstheme="minorHAnsi"/>
              </w:rPr>
            </w:pPr>
            <w:r w:rsidRPr="00261B7A">
              <w:rPr>
                <w:rFonts w:cstheme="minorHAnsi"/>
                <w:color w:val="000000"/>
              </w:rPr>
              <w:t>1.A.3.b</w:t>
            </w:r>
          </w:p>
        </w:tc>
        <w:tc>
          <w:tcPr>
            <w:tcW w:w="2438" w:type="dxa"/>
            <w:shd w:val="clear" w:color="auto" w:fill="FFFFFF"/>
            <w:tcMar>
              <w:top w:w="0" w:type="dxa"/>
              <w:left w:w="85" w:type="dxa"/>
              <w:bottom w:w="0" w:type="dxa"/>
              <w:right w:w="85" w:type="dxa"/>
            </w:tcMar>
          </w:tcPr>
          <w:p w14:paraId="538A9E0B" w14:textId="77777777" w:rsidR="006611EE" w:rsidRPr="00261B7A" w:rsidRDefault="006611EE" w:rsidP="000F09B5">
            <w:pPr>
              <w:pStyle w:val="TableText"/>
              <w:spacing w:before="40" w:after="40"/>
              <w:rPr>
                <w:rFonts w:cstheme="minorHAnsi"/>
              </w:rPr>
            </w:pPr>
            <w:r w:rsidRPr="00261B7A">
              <w:rPr>
                <w:rFonts w:cstheme="minorHAnsi"/>
                <w:color w:val="000000"/>
              </w:rPr>
              <w:t>Transport – Road Transportation Gaseous Fuels</w:t>
            </w:r>
          </w:p>
        </w:tc>
        <w:tc>
          <w:tcPr>
            <w:tcW w:w="510" w:type="dxa"/>
            <w:shd w:val="clear" w:color="auto" w:fill="FFFFFF"/>
            <w:tcMar>
              <w:top w:w="0" w:type="dxa"/>
              <w:left w:w="85" w:type="dxa"/>
              <w:bottom w:w="0" w:type="dxa"/>
              <w:right w:w="85" w:type="dxa"/>
            </w:tcMar>
          </w:tcPr>
          <w:p w14:paraId="07DDDD99"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658AE2A3" w14:textId="77777777" w:rsidR="006611EE" w:rsidRPr="00261B7A" w:rsidRDefault="006611EE" w:rsidP="000F09B5">
            <w:pPr>
              <w:pStyle w:val="TableText"/>
              <w:spacing w:before="40" w:after="40"/>
              <w:jc w:val="right"/>
              <w:rPr>
                <w:rFonts w:cstheme="minorHAnsi"/>
              </w:rPr>
            </w:pPr>
            <w:r w:rsidRPr="00261B7A">
              <w:rPr>
                <w:rFonts w:cstheme="minorHAnsi"/>
                <w:color w:val="000000"/>
              </w:rPr>
              <w:t>140.3</w:t>
            </w:r>
          </w:p>
        </w:tc>
        <w:tc>
          <w:tcPr>
            <w:tcW w:w="794" w:type="dxa"/>
            <w:shd w:val="clear" w:color="auto" w:fill="FFFFFF"/>
            <w:tcMar>
              <w:top w:w="0" w:type="dxa"/>
              <w:left w:w="85" w:type="dxa"/>
              <w:bottom w:w="0" w:type="dxa"/>
              <w:right w:w="85" w:type="dxa"/>
            </w:tcMar>
          </w:tcPr>
          <w:p w14:paraId="1C257FED" w14:textId="77777777" w:rsidR="006611EE" w:rsidRPr="00261B7A" w:rsidRDefault="006611EE" w:rsidP="000F09B5">
            <w:pPr>
              <w:pStyle w:val="TableText"/>
              <w:spacing w:before="40" w:after="40"/>
              <w:jc w:val="right"/>
              <w:rPr>
                <w:rFonts w:cstheme="minorHAnsi"/>
              </w:rPr>
            </w:pPr>
            <w:r w:rsidRPr="00261B7A">
              <w:rPr>
                <w:rFonts w:cstheme="minorHAnsi"/>
                <w:color w:val="000000"/>
              </w:rPr>
              <w:t>0.0</w:t>
            </w:r>
          </w:p>
        </w:tc>
        <w:tc>
          <w:tcPr>
            <w:tcW w:w="794" w:type="dxa"/>
            <w:shd w:val="clear" w:color="auto" w:fill="FFFFFF"/>
            <w:tcMar>
              <w:top w:w="0" w:type="dxa"/>
              <w:left w:w="85" w:type="dxa"/>
              <w:bottom w:w="0" w:type="dxa"/>
              <w:right w:w="85" w:type="dxa"/>
            </w:tcMar>
          </w:tcPr>
          <w:p w14:paraId="65A97279" w14:textId="77777777" w:rsidR="006611EE" w:rsidRPr="00261B7A" w:rsidRDefault="006611EE" w:rsidP="000F09B5">
            <w:pPr>
              <w:pStyle w:val="TableText"/>
              <w:spacing w:before="40" w:after="40"/>
              <w:jc w:val="right"/>
              <w:rPr>
                <w:rFonts w:cstheme="minorHAnsi"/>
              </w:rPr>
            </w:pPr>
            <w:r w:rsidRPr="00261B7A">
              <w:rPr>
                <w:rFonts w:cstheme="minorHAnsi"/>
                <w:color w:val="000000"/>
              </w:rPr>
              <w:t>0.003</w:t>
            </w:r>
          </w:p>
        </w:tc>
        <w:tc>
          <w:tcPr>
            <w:tcW w:w="680" w:type="dxa"/>
            <w:shd w:val="clear" w:color="auto" w:fill="FFFFFF"/>
            <w:tcMar>
              <w:top w:w="0" w:type="dxa"/>
              <w:left w:w="85" w:type="dxa"/>
              <w:bottom w:w="0" w:type="dxa"/>
              <w:right w:w="85" w:type="dxa"/>
            </w:tcMar>
          </w:tcPr>
          <w:p w14:paraId="309981D2" w14:textId="77777777" w:rsidR="006611EE" w:rsidRPr="00261B7A" w:rsidRDefault="006611EE" w:rsidP="000F09B5">
            <w:pPr>
              <w:pStyle w:val="TableText"/>
              <w:spacing w:before="40" w:after="40"/>
              <w:jc w:val="right"/>
              <w:rPr>
                <w:rFonts w:cstheme="minorHAnsi"/>
              </w:rPr>
            </w:pPr>
            <w:r w:rsidRPr="00261B7A">
              <w:rPr>
                <w:rFonts w:cstheme="minorHAnsi"/>
                <w:color w:val="000000"/>
              </w:rPr>
              <w:t>0.4</w:t>
            </w:r>
          </w:p>
        </w:tc>
        <w:tc>
          <w:tcPr>
            <w:tcW w:w="680" w:type="dxa"/>
            <w:shd w:val="clear" w:color="auto" w:fill="FFFFFF"/>
            <w:tcMar>
              <w:top w:w="0" w:type="dxa"/>
              <w:left w:w="85" w:type="dxa"/>
              <w:bottom w:w="0" w:type="dxa"/>
              <w:right w:w="85" w:type="dxa"/>
            </w:tcMar>
          </w:tcPr>
          <w:p w14:paraId="0C16246B" w14:textId="77777777" w:rsidR="006611EE" w:rsidRPr="00261B7A" w:rsidRDefault="006611EE" w:rsidP="000F09B5">
            <w:pPr>
              <w:pStyle w:val="TableText"/>
              <w:spacing w:before="40" w:after="40"/>
              <w:jc w:val="right"/>
              <w:rPr>
                <w:rFonts w:cstheme="minorHAnsi"/>
              </w:rPr>
            </w:pPr>
            <w:r w:rsidRPr="00261B7A">
              <w:rPr>
                <w:rFonts w:cstheme="minorHAnsi"/>
                <w:color w:val="000000"/>
              </w:rPr>
              <w:t>90.7</w:t>
            </w:r>
          </w:p>
        </w:tc>
      </w:tr>
      <w:tr w:rsidR="006611EE" w:rsidRPr="00261B7A" w14:paraId="0D623A7F" w14:textId="77777777" w:rsidTr="000F09B5">
        <w:tc>
          <w:tcPr>
            <w:tcW w:w="567" w:type="dxa"/>
            <w:shd w:val="clear" w:color="auto" w:fill="FFFFFF"/>
            <w:tcMar>
              <w:top w:w="0" w:type="dxa"/>
              <w:left w:w="85" w:type="dxa"/>
              <w:bottom w:w="0" w:type="dxa"/>
              <w:right w:w="85" w:type="dxa"/>
            </w:tcMar>
          </w:tcPr>
          <w:p w14:paraId="6954C46B" w14:textId="77777777" w:rsidR="006611EE" w:rsidRPr="00261B7A" w:rsidRDefault="006611EE" w:rsidP="000F09B5">
            <w:pPr>
              <w:pStyle w:val="TableText"/>
              <w:spacing w:before="40" w:after="40"/>
              <w:rPr>
                <w:rFonts w:cstheme="minorHAnsi"/>
              </w:rPr>
            </w:pPr>
            <w:r w:rsidRPr="00261B7A">
              <w:rPr>
                <w:rFonts w:cstheme="minorHAnsi"/>
                <w:color w:val="000000"/>
              </w:rPr>
              <w:t>1.A.4.b</w:t>
            </w:r>
          </w:p>
        </w:tc>
        <w:tc>
          <w:tcPr>
            <w:tcW w:w="2438" w:type="dxa"/>
            <w:shd w:val="clear" w:color="auto" w:fill="FFFFFF"/>
            <w:tcMar>
              <w:top w:w="0" w:type="dxa"/>
              <w:left w:w="85" w:type="dxa"/>
              <w:bottom w:w="0" w:type="dxa"/>
              <w:right w:w="85" w:type="dxa"/>
            </w:tcMar>
          </w:tcPr>
          <w:p w14:paraId="7400223F" w14:textId="77777777" w:rsidR="006611EE" w:rsidRPr="00261B7A" w:rsidRDefault="006611EE" w:rsidP="000F09B5">
            <w:pPr>
              <w:pStyle w:val="TableText"/>
              <w:spacing w:before="40" w:after="40"/>
              <w:rPr>
                <w:rFonts w:cstheme="minorHAnsi"/>
              </w:rPr>
            </w:pPr>
            <w:r w:rsidRPr="00261B7A">
              <w:rPr>
                <w:rFonts w:cstheme="minorHAnsi"/>
                <w:color w:val="000000"/>
              </w:rPr>
              <w:t>Other Sectors – Residential Gaseous Fuels</w:t>
            </w:r>
          </w:p>
        </w:tc>
        <w:tc>
          <w:tcPr>
            <w:tcW w:w="510" w:type="dxa"/>
            <w:shd w:val="clear" w:color="auto" w:fill="FFFFFF"/>
            <w:tcMar>
              <w:top w:w="0" w:type="dxa"/>
              <w:left w:w="85" w:type="dxa"/>
              <w:bottom w:w="0" w:type="dxa"/>
              <w:right w:w="85" w:type="dxa"/>
            </w:tcMar>
          </w:tcPr>
          <w:p w14:paraId="442EC1DF"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50D072EF" w14:textId="77777777" w:rsidR="006611EE" w:rsidRPr="00261B7A" w:rsidRDefault="006611EE" w:rsidP="000F09B5">
            <w:pPr>
              <w:pStyle w:val="TableText"/>
              <w:spacing w:before="40" w:after="40"/>
              <w:jc w:val="right"/>
              <w:rPr>
                <w:rFonts w:cstheme="minorHAnsi"/>
              </w:rPr>
            </w:pPr>
            <w:r w:rsidRPr="00261B7A">
              <w:rPr>
                <w:rFonts w:cstheme="minorHAnsi"/>
                <w:color w:val="000000"/>
              </w:rPr>
              <w:t>184.9</w:t>
            </w:r>
          </w:p>
        </w:tc>
        <w:tc>
          <w:tcPr>
            <w:tcW w:w="794" w:type="dxa"/>
            <w:shd w:val="clear" w:color="auto" w:fill="FFFFFF"/>
            <w:tcMar>
              <w:top w:w="0" w:type="dxa"/>
              <w:left w:w="85" w:type="dxa"/>
              <w:bottom w:w="0" w:type="dxa"/>
              <w:right w:w="85" w:type="dxa"/>
            </w:tcMar>
          </w:tcPr>
          <w:p w14:paraId="67D61C61" w14:textId="77777777" w:rsidR="006611EE" w:rsidRPr="00261B7A" w:rsidRDefault="006611EE" w:rsidP="000F09B5">
            <w:pPr>
              <w:pStyle w:val="TableText"/>
              <w:spacing w:before="40" w:after="40"/>
              <w:jc w:val="right"/>
              <w:rPr>
                <w:rFonts w:cstheme="minorHAnsi"/>
              </w:rPr>
            </w:pPr>
            <w:r w:rsidRPr="00261B7A">
              <w:rPr>
                <w:rFonts w:cstheme="minorHAnsi"/>
                <w:color w:val="000000"/>
              </w:rPr>
              <w:t>385.5</w:t>
            </w:r>
          </w:p>
        </w:tc>
        <w:tc>
          <w:tcPr>
            <w:tcW w:w="794" w:type="dxa"/>
            <w:shd w:val="clear" w:color="auto" w:fill="FFFFFF"/>
            <w:tcMar>
              <w:top w:w="0" w:type="dxa"/>
              <w:left w:w="85" w:type="dxa"/>
              <w:bottom w:w="0" w:type="dxa"/>
              <w:right w:w="85" w:type="dxa"/>
            </w:tcMar>
          </w:tcPr>
          <w:p w14:paraId="1C0BA21D" w14:textId="77777777" w:rsidR="006611EE" w:rsidRPr="00261B7A" w:rsidRDefault="006611EE" w:rsidP="000F09B5">
            <w:pPr>
              <w:pStyle w:val="TableText"/>
              <w:spacing w:before="40" w:after="40"/>
              <w:jc w:val="right"/>
              <w:rPr>
                <w:rFonts w:cstheme="minorHAnsi"/>
              </w:rPr>
            </w:pPr>
            <w:r w:rsidRPr="00261B7A">
              <w:rPr>
                <w:rFonts w:cstheme="minorHAnsi"/>
                <w:color w:val="000000"/>
              </w:rPr>
              <w:t>0.003</w:t>
            </w:r>
          </w:p>
        </w:tc>
        <w:tc>
          <w:tcPr>
            <w:tcW w:w="680" w:type="dxa"/>
            <w:shd w:val="clear" w:color="auto" w:fill="FFFFFF"/>
            <w:tcMar>
              <w:top w:w="0" w:type="dxa"/>
              <w:left w:w="85" w:type="dxa"/>
              <w:bottom w:w="0" w:type="dxa"/>
              <w:right w:w="85" w:type="dxa"/>
            </w:tcMar>
          </w:tcPr>
          <w:p w14:paraId="0556E318" w14:textId="77777777" w:rsidR="006611EE" w:rsidRPr="00261B7A" w:rsidRDefault="006611EE" w:rsidP="000F09B5">
            <w:pPr>
              <w:pStyle w:val="TableText"/>
              <w:spacing w:before="40" w:after="40"/>
              <w:jc w:val="right"/>
              <w:rPr>
                <w:rFonts w:cstheme="minorHAnsi"/>
              </w:rPr>
            </w:pPr>
            <w:r w:rsidRPr="00261B7A">
              <w:rPr>
                <w:rFonts w:cstheme="minorHAnsi"/>
                <w:color w:val="000000"/>
              </w:rPr>
              <w:t>0.4</w:t>
            </w:r>
          </w:p>
        </w:tc>
        <w:tc>
          <w:tcPr>
            <w:tcW w:w="680" w:type="dxa"/>
            <w:shd w:val="clear" w:color="auto" w:fill="FFFFFF"/>
            <w:tcMar>
              <w:top w:w="0" w:type="dxa"/>
              <w:left w:w="85" w:type="dxa"/>
              <w:bottom w:w="0" w:type="dxa"/>
              <w:right w:w="85" w:type="dxa"/>
            </w:tcMar>
          </w:tcPr>
          <w:p w14:paraId="7152B7CD" w14:textId="77777777" w:rsidR="006611EE" w:rsidRPr="00261B7A" w:rsidRDefault="006611EE" w:rsidP="000F09B5">
            <w:pPr>
              <w:pStyle w:val="TableText"/>
              <w:spacing w:before="40" w:after="40"/>
              <w:jc w:val="right"/>
              <w:rPr>
                <w:rFonts w:cstheme="minorHAnsi"/>
              </w:rPr>
            </w:pPr>
            <w:r w:rsidRPr="00261B7A">
              <w:rPr>
                <w:rFonts w:cstheme="minorHAnsi"/>
                <w:color w:val="000000"/>
              </w:rPr>
              <w:t>91.1</w:t>
            </w:r>
          </w:p>
        </w:tc>
      </w:tr>
      <w:tr w:rsidR="006611EE" w:rsidRPr="00261B7A" w14:paraId="3D3105FD" w14:textId="77777777" w:rsidTr="000F09B5">
        <w:tc>
          <w:tcPr>
            <w:tcW w:w="567" w:type="dxa"/>
            <w:shd w:val="clear" w:color="auto" w:fill="FFFFFF"/>
            <w:tcMar>
              <w:top w:w="0" w:type="dxa"/>
              <w:left w:w="85" w:type="dxa"/>
              <w:bottom w:w="0" w:type="dxa"/>
              <w:right w:w="85" w:type="dxa"/>
            </w:tcMar>
          </w:tcPr>
          <w:p w14:paraId="0C6AD9E7" w14:textId="77777777" w:rsidR="006611EE" w:rsidRPr="00261B7A" w:rsidRDefault="006611EE" w:rsidP="000F09B5">
            <w:pPr>
              <w:pStyle w:val="TableText"/>
              <w:spacing w:before="40" w:after="40"/>
              <w:rPr>
                <w:rFonts w:cstheme="minorHAnsi"/>
              </w:rPr>
            </w:pPr>
            <w:r w:rsidRPr="00261B7A">
              <w:rPr>
                <w:rFonts w:cstheme="minorHAnsi"/>
                <w:color w:val="000000"/>
              </w:rPr>
              <w:t>2.A.1</w:t>
            </w:r>
          </w:p>
        </w:tc>
        <w:tc>
          <w:tcPr>
            <w:tcW w:w="2438" w:type="dxa"/>
            <w:shd w:val="clear" w:color="auto" w:fill="FFFFFF"/>
            <w:tcMar>
              <w:top w:w="0" w:type="dxa"/>
              <w:left w:w="85" w:type="dxa"/>
              <w:bottom w:w="0" w:type="dxa"/>
              <w:right w:w="85" w:type="dxa"/>
            </w:tcMar>
          </w:tcPr>
          <w:p w14:paraId="7A363C7F" w14:textId="77777777" w:rsidR="006611EE" w:rsidRPr="00261B7A" w:rsidRDefault="006611EE" w:rsidP="000F09B5">
            <w:pPr>
              <w:pStyle w:val="TableText"/>
              <w:spacing w:before="40" w:after="40"/>
              <w:rPr>
                <w:rFonts w:cstheme="minorHAnsi"/>
              </w:rPr>
            </w:pPr>
            <w:r w:rsidRPr="00261B7A">
              <w:rPr>
                <w:rFonts w:cstheme="minorHAnsi"/>
                <w:color w:val="000000"/>
              </w:rPr>
              <w:t>Mineral Industry – Cement Production</w:t>
            </w:r>
          </w:p>
        </w:tc>
        <w:tc>
          <w:tcPr>
            <w:tcW w:w="510" w:type="dxa"/>
            <w:shd w:val="clear" w:color="auto" w:fill="FFFFFF"/>
            <w:tcMar>
              <w:top w:w="0" w:type="dxa"/>
              <w:left w:w="85" w:type="dxa"/>
              <w:bottom w:w="0" w:type="dxa"/>
              <w:right w:w="85" w:type="dxa"/>
            </w:tcMar>
          </w:tcPr>
          <w:p w14:paraId="0DBBBC37"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763048FE" w14:textId="77777777" w:rsidR="006611EE" w:rsidRPr="00261B7A" w:rsidRDefault="006611EE" w:rsidP="000F09B5">
            <w:pPr>
              <w:pStyle w:val="TableText"/>
              <w:spacing w:before="40" w:after="40"/>
              <w:jc w:val="right"/>
              <w:rPr>
                <w:rFonts w:cstheme="minorHAnsi"/>
              </w:rPr>
            </w:pPr>
            <w:r w:rsidRPr="00261B7A">
              <w:rPr>
                <w:rFonts w:cstheme="minorHAnsi"/>
                <w:color w:val="000000"/>
              </w:rPr>
              <w:t>448.7</w:t>
            </w:r>
          </w:p>
        </w:tc>
        <w:tc>
          <w:tcPr>
            <w:tcW w:w="794" w:type="dxa"/>
            <w:shd w:val="clear" w:color="auto" w:fill="FFFFFF"/>
            <w:tcMar>
              <w:top w:w="0" w:type="dxa"/>
              <w:left w:w="85" w:type="dxa"/>
              <w:bottom w:w="0" w:type="dxa"/>
              <w:right w:w="85" w:type="dxa"/>
            </w:tcMar>
          </w:tcPr>
          <w:p w14:paraId="356D2F43" w14:textId="77777777" w:rsidR="006611EE" w:rsidRPr="00261B7A" w:rsidRDefault="006611EE" w:rsidP="000F09B5">
            <w:pPr>
              <w:pStyle w:val="TableText"/>
              <w:spacing w:before="40" w:after="40"/>
              <w:jc w:val="right"/>
              <w:rPr>
                <w:rFonts w:cstheme="minorHAnsi"/>
              </w:rPr>
            </w:pPr>
            <w:r w:rsidRPr="00261B7A">
              <w:rPr>
                <w:rFonts w:cstheme="minorHAnsi"/>
                <w:color w:val="000000"/>
              </w:rPr>
              <w:t>369.6</w:t>
            </w:r>
          </w:p>
        </w:tc>
        <w:tc>
          <w:tcPr>
            <w:tcW w:w="794" w:type="dxa"/>
            <w:shd w:val="clear" w:color="auto" w:fill="FFFFFF"/>
            <w:tcMar>
              <w:top w:w="0" w:type="dxa"/>
              <w:left w:w="85" w:type="dxa"/>
              <w:bottom w:w="0" w:type="dxa"/>
              <w:right w:w="85" w:type="dxa"/>
            </w:tcMar>
          </w:tcPr>
          <w:p w14:paraId="38BAE1E6" w14:textId="77777777" w:rsidR="006611EE" w:rsidRPr="00261B7A" w:rsidRDefault="006611EE" w:rsidP="000F09B5">
            <w:pPr>
              <w:pStyle w:val="TableText"/>
              <w:spacing w:before="40" w:after="40"/>
              <w:jc w:val="right"/>
              <w:rPr>
                <w:rFonts w:cstheme="minorHAnsi"/>
              </w:rPr>
            </w:pPr>
            <w:r w:rsidRPr="00261B7A">
              <w:rPr>
                <w:rFonts w:cstheme="minorHAnsi"/>
                <w:color w:val="000000"/>
              </w:rPr>
              <w:t>0.003</w:t>
            </w:r>
          </w:p>
        </w:tc>
        <w:tc>
          <w:tcPr>
            <w:tcW w:w="680" w:type="dxa"/>
            <w:shd w:val="clear" w:color="auto" w:fill="FFFFFF"/>
            <w:tcMar>
              <w:top w:w="0" w:type="dxa"/>
              <w:left w:w="85" w:type="dxa"/>
              <w:bottom w:w="0" w:type="dxa"/>
              <w:right w:w="85" w:type="dxa"/>
            </w:tcMar>
          </w:tcPr>
          <w:p w14:paraId="7479161C" w14:textId="77777777" w:rsidR="006611EE" w:rsidRPr="00261B7A" w:rsidRDefault="006611EE" w:rsidP="000F09B5">
            <w:pPr>
              <w:pStyle w:val="TableText"/>
              <w:spacing w:before="40" w:after="40"/>
              <w:jc w:val="right"/>
              <w:rPr>
                <w:rFonts w:cstheme="minorHAnsi"/>
              </w:rPr>
            </w:pPr>
            <w:r w:rsidRPr="00261B7A">
              <w:rPr>
                <w:rFonts w:cstheme="minorHAnsi"/>
                <w:color w:val="000000"/>
              </w:rPr>
              <w:t>0.4</w:t>
            </w:r>
          </w:p>
        </w:tc>
        <w:tc>
          <w:tcPr>
            <w:tcW w:w="680" w:type="dxa"/>
            <w:shd w:val="clear" w:color="auto" w:fill="FFFFFF"/>
            <w:tcMar>
              <w:top w:w="0" w:type="dxa"/>
              <w:left w:w="85" w:type="dxa"/>
              <w:bottom w:w="0" w:type="dxa"/>
              <w:right w:w="85" w:type="dxa"/>
            </w:tcMar>
          </w:tcPr>
          <w:p w14:paraId="64521D0A" w14:textId="77777777" w:rsidR="006611EE" w:rsidRPr="00261B7A" w:rsidRDefault="006611EE" w:rsidP="000F09B5">
            <w:pPr>
              <w:pStyle w:val="TableText"/>
              <w:spacing w:before="40" w:after="40"/>
              <w:jc w:val="right"/>
              <w:rPr>
                <w:rFonts w:cstheme="minorHAnsi"/>
              </w:rPr>
            </w:pPr>
            <w:r w:rsidRPr="00261B7A">
              <w:rPr>
                <w:rFonts w:cstheme="minorHAnsi"/>
                <w:color w:val="000000"/>
              </w:rPr>
              <w:t>91.5</w:t>
            </w:r>
          </w:p>
        </w:tc>
      </w:tr>
      <w:tr w:rsidR="006611EE" w:rsidRPr="00261B7A" w14:paraId="122CE0EB" w14:textId="77777777" w:rsidTr="000F09B5">
        <w:tc>
          <w:tcPr>
            <w:tcW w:w="567" w:type="dxa"/>
            <w:shd w:val="clear" w:color="auto" w:fill="FFFFFF"/>
            <w:tcMar>
              <w:top w:w="0" w:type="dxa"/>
              <w:left w:w="85" w:type="dxa"/>
              <w:bottom w:w="0" w:type="dxa"/>
              <w:right w:w="85" w:type="dxa"/>
            </w:tcMar>
          </w:tcPr>
          <w:p w14:paraId="1CBF9055" w14:textId="77777777" w:rsidR="006611EE" w:rsidRPr="00261B7A" w:rsidRDefault="006611EE" w:rsidP="000F09B5">
            <w:pPr>
              <w:pStyle w:val="TableText"/>
              <w:spacing w:before="40" w:after="40"/>
              <w:rPr>
                <w:rFonts w:cstheme="minorHAnsi"/>
              </w:rPr>
            </w:pPr>
            <w:r w:rsidRPr="00261B7A">
              <w:rPr>
                <w:rFonts w:cstheme="minorHAnsi"/>
                <w:color w:val="000000"/>
              </w:rPr>
              <w:t>1.B.2.d</w:t>
            </w:r>
          </w:p>
        </w:tc>
        <w:tc>
          <w:tcPr>
            <w:tcW w:w="2438" w:type="dxa"/>
            <w:shd w:val="clear" w:color="auto" w:fill="FFFFFF"/>
            <w:tcMar>
              <w:top w:w="0" w:type="dxa"/>
              <w:left w:w="85" w:type="dxa"/>
              <w:bottom w:w="0" w:type="dxa"/>
              <w:right w:w="85" w:type="dxa"/>
            </w:tcMar>
          </w:tcPr>
          <w:p w14:paraId="7C10C30C" w14:textId="77777777" w:rsidR="006611EE" w:rsidRPr="00261B7A" w:rsidRDefault="006611EE" w:rsidP="000F09B5">
            <w:pPr>
              <w:pStyle w:val="TableText"/>
              <w:spacing w:before="40" w:after="40"/>
              <w:rPr>
                <w:rFonts w:cstheme="minorHAnsi"/>
              </w:rPr>
            </w:pPr>
            <w:r w:rsidRPr="00261B7A">
              <w:rPr>
                <w:rFonts w:cstheme="minorHAnsi"/>
                <w:color w:val="000000"/>
              </w:rPr>
              <w:t>Other (please specify) – Geothermal</w:t>
            </w:r>
          </w:p>
        </w:tc>
        <w:tc>
          <w:tcPr>
            <w:tcW w:w="510" w:type="dxa"/>
            <w:shd w:val="clear" w:color="auto" w:fill="FFFFFF"/>
            <w:tcMar>
              <w:top w:w="0" w:type="dxa"/>
              <w:left w:w="85" w:type="dxa"/>
              <w:bottom w:w="0" w:type="dxa"/>
              <w:right w:w="85" w:type="dxa"/>
            </w:tcMar>
          </w:tcPr>
          <w:p w14:paraId="2A17B014"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69CAA789" w14:textId="77777777" w:rsidR="006611EE" w:rsidRPr="00261B7A" w:rsidRDefault="006611EE" w:rsidP="000F09B5">
            <w:pPr>
              <w:pStyle w:val="TableText"/>
              <w:spacing w:before="40" w:after="40"/>
              <w:jc w:val="right"/>
              <w:rPr>
                <w:rFonts w:cstheme="minorHAnsi"/>
              </w:rPr>
            </w:pPr>
            <w:r w:rsidRPr="00261B7A">
              <w:rPr>
                <w:rFonts w:cstheme="minorHAnsi"/>
                <w:color w:val="000000"/>
              </w:rPr>
              <w:t>228.6</w:t>
            </w:r>
          </w:p>
        </w:tc>
        <w:tc>
          <w:tcPr>
            <w:tcW w:w="794" w:type="dxa"/>
            <w:shd w:val="clear" w:color="auto" w:fill="FFFFFF"/>
            <w:tcMar>
              <w:top w:w="0" w:type="dxa"/>
              <w:left w:w="85" w:type="dxa"/>
              <w:bottom w:w="0" w:type="dxa"/>
              <w:right w:w="85" w:type="dxa"/>
            </w:tcMar>
          </w:tcPr>
          <w:p w14:paraId="1E8A1C6C" w14:textId="77777777" w:rsidR="006611EE" w:rsidRPr="00261B7A" w:rsidRDefault="006611EE" w:rsidP="000F09B5">
            <w:pPr>
              <w:pStyle w:val="TableText"/>
              <w:spacing w:before="40" w:after="40"/>
              <w:jc w:val="right"/>
              <w:rPr>
                <w:rFonts w:cstheme="minorHAnsi"/>
              </w:rPr>
            </w:pPr>
            <w:r w:rsidRPr="00261B7A">
              <w:rPr>
                <w:rFonts w:cstheme="minorHAnsi"/>
                <w:color w:val="000000"/>
              </w:rPr>
              <w:t>431.6</w:t>
            </w:r>
          </w:p>
        </w:tc>
        <w:tc>
          <w:tcPr>
            <w:tcW w:w="794" w:type="dxa"/>
            <w:shd w:val="clear" w:color="auto" w:fill="FFFFFF"/>
            <w:tcMar>
              <w:top w:w="0" w:type="dxa"/>
              <w:left w:w="85" w:type="dxa"/>
              <w:bottom w:w="0" w:type="dxa"/>
              <w:right w:w="85" w:type="dxa"/>
            </w:tcMar>
          </w:tcPr>
          <w:p w14:paraId="3371130F" w14:textId="77777777" w:rsidR="006611EE" w:rsidRPr="00261B7A" w:rsidRDefault="006611EE" w:rsidP="000F09B5">
            <w:pPr>
              <w:pStyle w:val="TableText"/>
              <w:spacing w:before="40" w:after="40"/>
              <w:jc w:val="right"/>
              <w:rPr>
                <w:rFonts w:cstheme="minorHAnsi"/>
              </w:rPr>
            </w:pPr>
            <w:r w:rsidRPr="00261B7A">
              <w:rPr>
                <w:rFonts w:cstheme="minorHAnsi"/>
                <w:color w:val="000000"/>
              </w:rPr>
              <w:t>0.002</w:t>
            </w:r>
          </w:p>
        </w:tc>
        <w:tc>
          <w:tcPr>
            <w:tcW w:w="680" w:type="dxa"/>
            <w:shd w:val="clear" w:color="auto" w:fill="FFFFFF"/>
            <w:tcMar>
              <w:top w:w="0" w:type="dxa"/>
              <w:left w:w="85" w:type="dxa"/>
              <w:bottom w:w="0" w:type="dxa"/>
              <w:right w:w="85" w:type="dxa"/>
            </w:tcMar>
          </w:tcPr>
          <w:p w14:paraId="13F4E64B" w14:textId="77777777" w:rsidR="006611EE" w:rsidRPr="00261B7A" w:rsidRDefault="006611EE" w:rsidP="000F09B5">
            <w:pPr>
              <w:pStyle w:val="TableText"/>
              <w:spacing w:before="40" w:after="40"/>
              <w:jc w:val="right"/>
              <w:rPr>
                <w:rFonts w:cstheme="minorHAnsi"/>
              </w:rPr>
            </w:pPr>
            <w:r w:rsidRPr="00261B7A">
              <w:rPr>
                <w:rFonts w:cstheme="minorHAnsi"/>
                <w:color w:val="000000"/>
              </w:rPr>
              <w:t>0.4</w:t>
            </w:r>
          </w:p>
        </w:tc>
        <w:tc>
          <w:tcPr>
            <w:tcW w:w="680" w:type="dxa"/>
            <w:shd w:val="clear" w:color="auto" w:fill="FFFFFF"/>
            <w:tcMar>
              <w:top w:w="0" w:type="dxa"/>
              <w:left w:w="85" w:type="dxa"/>
              <w:bottom w:w="0" w:type="dxa"/>
              <w:right w:w="85" w:type="dxa"/>
            </w:tcMar>
          </w:tcPr>
          <w:p w14:paraId="3533756F" w14:textId="77777777" w:rsidR="006611EE" w:rsidRPr="00261B7A" w:rsidRDefault="006611EE" w:rsidP="000F09B5">
            <w:pPr>
              <w:pStyle w:val="TableText"/>
              <w:spacing w:before="40" w:after="40"/>
              <w:jc w:val="right"/>
              <w:rPr>
                <w:rFonts w:cstheme="minorHAnsi"/>
              </w:rPr>
            </w:pPr>
            <w:r w:rsidRPr="00261B7A">
              <w:rPr>
                <w:rFonts w:cstheme="minorHAnsi"/>
                <w:color w:val="000000"/>
              </w:rPr>
              <w:t>91.8</w:t>
            </w:r>
          </w:p>
        </w:tc>
      </w:tr>
      <w:tr w:rsidR="006611EE" w:rsidRPr="00261B7A" w14:paraId="1351133C" w14:textId="77777777" w:rsidTr="000F09B5">
        <w:tc>
          <w:tcPr>
            <w:tcW w:w="567" w:type="dxa"/>
            <w:shd w:val="clear" w:color="auto" w:fill="FFFFFF"/>
            <w:tcMar>
              <w:top w:w="0" w:type="dxa"/>
              <w:left w:w="85" w:type="dxa"/>
              <w:bottom w:w="0" w:type="dxa"/>
              <w:right w:w="85" w:type="dxa"/>
            </w:tcMar>
          </w:tcPr>
          <w:p w14:paraId="5EBD56AF" w14:textId="77777777" w:rsidR="006611EE" w:rsidRPr="00261B7A" w:rsidRDefault="006611EE" w:rsidP="000F09B5">
            <w:pPr>
              <w:pStyle w:val="TableText"/>
              <w:spacing w:before="40" w:after="40"/>
              <w:rPr>
                <w:rFonts w:cstheme="minorHAnsi"/>
              </w:rPr>
            </w:pPr>
            <w:r w:rsidRPr="00261B7A">
              <w:rPr>
                <w:rFonts w:cstheme="minorHAnsi"/>
                <w:color w:val="000000"/>
              </w:rPr>
              <w:t>1.A.2.g.viii</w:t>
            </w:r>
          </w:p>
        </w:tc>
        <w:tc>
          <w:tcPr>
            <w:tcW w:w="2438" w:type="dxa"/>
            <w:shd w:val="clear" w:color="auto" w:fill="FFFFFF"/>
            <w:tcMar>
              <w:top w:w="0" w:type="dxa"/>
              <w:left w:w="85" w:type="dxa"/>
              <w:bottom w:w="0" w:type="dxa"/>
              <w:right w:w="85" w:type="dxa"/>
            </w:tcMar>
          </w:tcPr>
          <w:p w14:paraId="20B36413" w14:textId="77777777" w:rsidR="006611EE" w:rsidRPr="00261B7A" w:rsidRDefault="006611EE" w:rsidP="000F09B5">
            <w:pPr>
              <w:pStyle w:val="TableText"/>
              <w:spacing w:before="40" w:after="40"/>
              <w:rPr>
                <w:rFonts w:cstheme="minorHAnsi"/>
              </w:rPr>
            </w:pPr>
            <w:r w:rsidRPr="00261B7A">
              <w:rPr>
                <w:rFonts w:cstheme="minorHAnsi"/>
                <w:color w:val="000000"/>
              </w:rPr>
              <w:t>Other (please specify) – Other (please specify) Liquid Fuels</w:t>
            </w:r>
          </w:p>
        </w:tc>
        <w:tc>
          <w:tcPr>
            <w:tcW w:w="510" w:type="dxa"/>
            <w:shd w:val="clear" w:color="auto" w:fill="FFFFFF"/>
            <w:tcMar>
              <w:top w:w="0" w:type="dxa"/>
              <w:left w:w="85" w:type="dxa"/>
              <w:bottom w:w="0" w:type="dxa"/>
              <w:right w:w="85" w:type="dxa"/>
            </w:tcMar>
          </w:tcPr>
          <w:p w14:paraId="1D12E0FB"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784DB9DF" w14:textId="77777777" w:rsidR="006611EE" w:rsidRPr="00261B7A" w:rsidRDefault="006611EE" w:rsidP="000F09B5">
            <w:pPr>
              <w:pStyle w:val="TableText"/>
              <w:spacing w:before="40" w:after="40"/>
              <w:jc w:val="right"/>
              <w:rPr>
                <w:rFonts w:cstheme="minorHAnsi"/>
              </w:rPr>
            </w:pPr>
            <w:r w:rsidRPr="00261B7A">
              <w:rPr>
                <w:rFonts w:cstheme="minorHAnsi"/>
                <w:color w:val="000000"/>
              </w:rPr>
              <w:t>52.3</w:t>
            </w:r>
          </w:p>
        </w:tc>
        <w:tc>
          <w:tcPr>
            <w:tcW w:w="794" w:type="dxa"/>
            <w:shd w:val="clear" w:color="auto" w:fill="FFFFFF"/>
            <w:tcMar>
              <w:top w:w="0" w:type="dxa"/>
              <w:left w:w="85" w:type="dxa"/>
              <w:bottom w:w="0" w:type="dxa"/>
              <w:right w:w="85" w:type="dxa"/>
            </w:tcMar>
          </w:tcPr>
          <w:p w14:paraId="58E0A528" w14:textId="77777777" w:rsidR="006611EE" w:rsidRPr="00261B7A" w:rsidRDefault="006611EE" w:rsidP="000F09B5">
            <w:pPr>
              <w:pStyle w:val="TableText"/>
              <w:spacing w:before="40" w:after="40"/>
              <w:jc w:val="right"/>
              <w:rPr>
                <w:rFonts w:cstheme="minorHAnsi"/>
              </w:rPr>
            </w:pPr>
            <w:r w:rsidRPr="00261B7A">
              <w:rPr>
                <w:rFonts w:cstheme="minorHAnsi"/>
                <w:color w:val="000000"/>
              </w:rPr>
              <w:t>221.0</w:t>
            </w:r>
          </w:p>
        </w:tc>
        <w:tc>
          <w:tcPr>
            <w:tcW w:w="794" w:type="dxa"/>
            <w:shd w:val="clear" w:color="auto" w:fill="FFFFFF"/>
            <w:tcMar>
              <w:top w:w="0" w:type="dxa"/>
              <w:left w:w="85" w:type="dxa"/>
              <w:bottom w:w="0" w:type="dxa"/>
              <w:right w:w="85" w:type="dxa"/>
            </w:tcMar>
          </w:tcPr>
          <w:p w14:paraId="3D2CE731" w14:textId="77777777" w:rsidR="006611EE" w:rsidRPr="00261B7A" w:rsidRDefault="006611EE" w:rsidP="000F09B5">
            <w:pPr>
              <w:pStyle w:val="TableText"/>
              <w:spacing w:before="40" w:after="40"/>
              <w:jc w:val="right"/>
              <w:rPr>
                <w:rFonts w:cstheme="minorHAnsi"/>
              </w:rPr>
            </w:pPr>
            <w:r w:rsidRPr="00261B7A">
              <w:rPr>
                <w:rFonts w:cstheme="minorHAnsi"/>
                <w:color w:val="000000"/>
              </w:rPr>
              <w:t>0.002</w:t>
            </w:r>
          </w:p>
        </w:tc>
        <w:tc>
          <w:tcPr>
            <w:tcW w:w="680" w:type="dxa"/>
            <w:shd w:val="clear" w:color="auto" w:fill="FFFFFF"/>
            <w:tcMar>
              <w:top w:w="0" w:type="dxa"/>
              <w:left w:w="85" w:type="dxa"/>
              <w:bottom w:w="0" w:type="dxa"/>
              <w:right w:w="85" w:type="dxa"/>
            </w:tcMar>
          </w:tcPr>
          <w:p w14:paraId="7EAE1FB5" w14:textId="77777777" w:rsidR="006611EE" w:rsidRPr="00261B7A" w:rsidRDefault="006611EE" w:rsidP="000F09B5">
            <w:pPr>
              <w:pStyle w:val="TableText"/>
              <w:spacing w:before="40" w:after="40"/>
              <w:jc w:val="right"/>
              <w:rPr>
                <w:rFonts w:cstheme="minorHAnsi"/>
              </w:rPr>
            </w:pPr>
            <w:r w:rsidRPr="00261B7A">
              <w:rPr>
                <w:rFonts w:cstheme="minorHAnsi"/>
                <w:color w:val="000000"/>
              </w:rPr>
              <w:t>0.4</w:t>
            </w:r>
          </w:p>
        </w:tc>
        <w:tc>
          <w:tcPr>
            <w:tcW w:w="680" w:type="dxa"/>
            <w:shd w:val="clear" w:color="auto" w:fill="FFFFFF"/>
            <w:tcMar>
              <w:top w:w="0" w:type="dxa"/>
              <w:left w:w="85" w:type="dxa"/>
              <w:bottom w:w="0" w:type="dxa"/>
              <w:right w:w="85" w:type="dxa"/>
            </w:tcMar>
          </w:tcPr>
          <w:p w14:paraId="79036BF2" w14:textId="77777777" w:rsidR="006611EE" w:rsidRPr="00261B7A" w:rsidRDefault="006611EE" w:rsidP="000F09B5">
            <w:pPr>
              <w:pStyle w:val="TableText"/>
              <w:spacing w:before="40" w:after="40"/>
              <w:jc w:val="right"/>
              <w:rPr>
                <w:rFonts w:cstheme="minorHAnsi"/>
              </w:rPr>
            </w:pPr>
            <w:r w:rsidRPr="00261B7A">
              <w:rPr>
                <w:rFonts w:cstheme="minorHAnsi"/>
                <w:color w:val="000000"/>
              </w:rPr>
              <w:t>92.2</w:t>
            </w:r>
          </w:p>
        </w:tc>
      </w:tr>
      <w:tr w:rsidR="006611EE" w:rsidRPr="00261B7A" w14:paraId="36BABB35" w14:textId="77777777" w:rsidTr="000F09B5">
        <w:tc>
          <w:tcPr>
            <w:tcW w:w="567" w:type="dxa"/>
            <w:shd w:val="clear" w:color="auto" w:fill="FFFFFF"/>
            <w:tcMar>
              <w:top w:w="0" w:type="dxa"/>
              <w:left w:w="85" w:type="dxa"/>
              <w:bottom w:w="0" w:type="dxa"/>
              <w:right w:w="85" w:type="dxa"/>
            </w:tcMar>
          </w:tcPr>
          <w:p w14:paraId="285BA310" w14:textId="77777777" w:rsidR="006611EE" w:rsidRPr="00261B7A" w:rsidRDefault="006611EE" w:rsidP="000F09B5">
            <w:pPr>
              <w:pStyle w:val="TableText"/>
              <w:spacing w:before="40" w:after="40"/>
              <w:rPr>
                <w:rFonts w:cstheme="minorHAnsi"/>
              </w:rPr>
            </w:pPr>
            <w:r w:rsidRPr="00261B7A">
              <w:rPr>
                <w:rFonts w:cstheme="minorHAnsi"/>
                <w:color w:val="000000"/>
              </w:rPr>
              <w:lastRenderedPageBreak/>
              <w:t>2.B.10</w:t>
            </w:r>
          </w:p>
        </w:tc>
        <w:tc>
          <w:tcPr>
            <w:tcW w:w="2438" w:type="dxa"/>
            <w:shd w:val="clear" w:color="auto" w:fill="FFFFFF"/>
            <w:tcMar>
              <w:top w:w="0" w:type="dxa"/>
              <w:left w:w="85" w:type="dxa"/>
              <w:bottom w:w="0" w:type="dxa"/>
              <w:right w:w="85" w:type="dxa"/>
            </w:tcMar>
          </w:tcPr>
          <w:p w14:paraId="5E8B747A" w14:textId="77777777" w:rsidR="006611EE" w:rsidRPr="00261B7A" w:rsidRDefault="006611EE" w:rsidP="000F09B5">
            <w:pPr>
              <w:pStyle w:val="TableText"/>
              <w:spacing w:before="40" w:after="40"/>
              <w:rPr>
                <w:rFonts w:cstheme="minorHAnsi"/>
              </w:rPr>
            </w:pPr>
            <w:r w:rsidRPr="00261B7A">
              <w:rPr>
                <w:rFonts w:cstheme="minorHAnsi"/>
                <w:color w:val="000000"/>
              </w:rPr>
              <w:t>Chemical Industry – Other (please specify)</w:t>
            </w:r>
          </w:p>
        </w:tc>
        <w:tc>
          <w:tcPr>
            <w:tcW w:w="510" w:type="dxa"/>
            <w:shd w:val="clear" w:color="auto" w:fill="FFFFFF"/>
            <w:tcMar>
              <w:top w:w="0" w:type="dxa"/>
              <w:left w:w="85" w:type="dxa"/>
              <w:bottom w:w="0" w:type="dxa"/>
              <w:right w:w="85" w:type="dxa"/>
            </w:tcMar>
          </w:tcPr>
          <w:p w14:paraId="27005A18"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538D022A" w14:textId="77777777" w:rsidR="006611EE" w:rsidRPr="00261B7A" w:rsidRDefault="006611EE" w:rsidP="000F09B5">
            <w:pPr>
              <w:pStyle w:val="TableText"/>
              <w:spacing w:before="40" w:after="40"/>
              <w:jc w:val="right"/>
              <w:rPr>
                <w:rFonts w:cstheme="minorHAnsi"/>
              </w:rPr>
            </w:pPr>
            <w:r w:rsidRPr="00261B7A">
              <w:rPr>
                <w:rFonts w:cstheme="minorHAnsi"/>
                <w:color w:val="000000"/>
              </w:rPr>
              <w:t>152.3</w:t>
            </w:r>
          </w:p>
        </w:tc>
        <w:tc>
          <w:tcPr>
            <w:tcW w:w="794" w:type="dxa"/>
            <w:shd w:val="clear" w:color="auto" w:fill="FFFFFF"/>
            <w:tcMar>
              <w:top w:w="0" w:type="dxa"/>
              <w:left w:w="85" w:type="dxa"/>
              <w:bottom w:w="0" w:type="dxa"/>
              <w:right w:w="85" w:type="dxa"/>
            </w:tcMar>
          </w:tcPr>
          <w:p w14:paraId="6398EEFB" w14:textId="77777777" w:rsidR="006611EE" w:rsidRPr="00261B7A" w:rsidRDefault="006611EE" w:rsidP="000F09B5">
            <w:pPr>
              <w:pStyle w:val="TableText"/>
              <w:spacing w:before="40" w:after="40"/>
              <w:jc w:val="right"/>
              <w:rPr>
                <w:rFonts w:cstheme="minorHAnsi"/>
              </w:rPr>
            </w:pPr>
            <w:r w:rsidRPr="00261B7A">
              <w:rPr>
                <w:rFonts w:cstheme="minorHAnsi"/>
                <w:color w:val="000000"/>
              </w:rPr>
              <w:t>43.4</w:t>
            </w:r>
          </w:p>
        </w:tc>
        <w:tc>
          <w:tcPr>
            <w:tcW w:w="794" w:type="dxa"/>
            <w:shd w:val="clear" w:color="auto" w:fill="FFFFFF"/>
            <w:tcMar>
              <w:top w:w="0" w:type="dxa"/>
              <w:left w:w="85" w:type="dxa"/>
              <w:bottom w:w="0" w:type="dxa"/>
              <w:right w:w="85" w:type="dxa"/>
            </w:tcMar>
          </w:tcPr>
          <w:p w14:paraId="7D14F855" w14:textId="77777777" w:rsidR="006611EE" w:rsidRPr="00261B7A" w:rsidRDefault="006611EE" w:rsidP="000F09B5">
            <w:pPr>
              <w:pStyle w:val="TableText"/>
              <w:spacing w:before="40" w:after="40"/>
              <w:jc w:val="right"/>
              <w:rPr>
                <w:rFonts w:cstheme="minorHAnsi"/>
              </w:rPr>
            </w:pPr>
            <w:r w:rsidRPr="00261B7A">
              <w:rPr>
                <w:rFonts w:cstheme="minorHAnsi"/>
                <w:color w:val="000000"/>
              </w:rPr>
              <w:t>0.002</w:t>
            </w:r>
          </w:p>
        </w:tc>
        <w:tc>
          <w:tcPr>
            <w:tcW w:w="680" w:type="dxa"/>
            <w:shd w:val="clear" w:color="auto" w:fill="FFFFFF"/>
            <w:tcMar>
              <w:top w:w="0" w:type="dxa"/>
              <w:left w:w="85" w:type="dxa"/>
              <w:bottom w:w="0" w:type="dxa"/>
              <w:right w:w="85" w:type="dxa"/>
            </w:tcMar>
          </w:tcPr>
          <w:p w14:paraId="2887DD53"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680" w:type="dxa"/>
            <w:shd w:val="clear" w:color="auto" w:fill="FFFFFF"/>
            <w:tcMar>
              <w:top w:w="0" w:type="dxa"/>
              <w:left w:w="85" w:type="dxa"/>
              <w:bottom w:w="0" w:type="dxa"/>
              <w:right w:w="85" w:type="dxa"/>
            </w:tcMar>
          </w:tcPr>
          <w:p w14:paraId="7F428A25" w14:textId="77777777" w:rsidR="006611EE" w:rsidRPr="00261B7A" w:rsidRDefault="006611EE" w:rsidP="000F09B5">
            <w:pPr>
              <w:pStyle w:val="TableText"/>
              <w:spacing w:before="40" w:after="40"/>
              <w:jc w:val="right"/>
              <w:rPr>
                <w:rFonts w:cstheme="minorHAnsi"/>
              </w:rPr>
            </w:pPr>
            <w:r w:rsidRPr="00261B7A">
              <w:rPr>
                <w:rFonts w:cstheme="minorHAnsi"/>
                <w:color w:val="000000"/>
              </w:rPr>
              <w:t>92.5</w:t>
            </w:r>
          </w:p>
        </w:tc>
      </w:tr>
      <w:tr w:rsidR="006611EE" w:rsidRPr="00261B7A" w14:paraId="079DA84C" w14:textId="77777777" w:rsidTr="000F09B5">
        <w:tc>
          <w:tcPr>
            <w:tcW w:w="567" w:type="dxa"/>
            <w:shd w:val="clear" w:color="auto" w:fill="FFFFFF"/>
            <w:tcMar>
              <w:top w:w="0" w:type="dxa"/>
              <w:left w:w="85" w:type="dxa"/>
              <w:bottom w:w="0" w:type="dxa"/>
              <w:right w:w="85" w:type="dxa"/>
            </w:tcMar>
          </w:tcPr>
          <w:p w14:paraId="34ACAD35" w14:textId="77777777" w:rsidR="006611EE" w:rsidRPr="00261B7A" w:rsidRDefault="006611EE" w:rsidP="000F09B5">
            <w:pPr>
              <w:pStyle w:val="TableText"/>
              <w:spacing w:before="40" w:after="40"/>
              <w:rPr>
                <w:rFonts w:cstheme="minorHAnsi"/>
              </w:rPr>
            </w:pPr>
            <w:r w:rsidRPr="00261B7A">
              <w:rPr>
                <w:rFonts w:cstheme="minorHAnsi"/>
                <w:color w:val="000000"/>
              </w:rPr>
              <w:t>1.A.4.a</w:t>
            </w:r>
          </w:p>
        </w:tc>
        <w:tc>
          <w:tcPr>
            <w:tcW w:w="2438" w:type="dxa"/>
            <w:shd w:val="clear" w:color="auto" w:fill="FFFFFF"/>
            <w:tcMar>
              <w:top w:w="0" w:type="dxa"/>
              <w:left w:w="85" w:type="dxa"/>
              <w:bottom w:w="0" w:type="dxa"/>
              <w:right w:w="85" w:type="dxa"/>
            </w:tcMar>
          </w:tcPr>
          <w:p w14:paraId="5F7D92A2" w14:textId="77777777" w:rsidR="006611EE" w:rsidRPr="00261B7A" w:rsidRDefault="006611EE" w:rsidP="000F09B5">
            <w:pPr>
              <w:pStyle w:val="TableText"/>
              <w:spacing w:before="40" w:after="40"/>
              <w:rPr>
                <w:rFonts w:cstheme="minorHAnsi"/>
              </w:rPr>
            </w:pPr>
            <w:r w:rsidRPr="00261B7A">
              <w:rPr>
                <w:rFonts w:cstheme="minorHAnsi"/>
                <w:color w:val="000000"/>
              </w:rPr>
              <w:t>Other Sectors – Commercial/ Institutional Gaseous Fuels</w:t>
            </w:r>
          </w:p>
        </w:tc>
        <w:tc>
          <w:tcPr>
            <w:tcW w:w="510" w:type="dxa"/>
            <w:shd w:val="clear" w:color="auto" w:fill="FFFFFF"/>
            <w:tcMar>
              <w:top w:w="0" w:type="dxa"/>
              <w:left w:w="85" w:type="dxa"/>
              <w:bottom w:w="0" w:type="dxa"/>
              <w:right w:w="85" w:type="dxa"/>
            </w:tcMar>
          </w:tcPr>
          <w:p w14:paraId="6F6F3C85"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1971BB32" w14:textId="77777777" w:rsidR="006611EE" w:rsidRPr="00261B7A" w:rsidRDefault="006611EE" w:rsidP="000F09B5">
            <w:pPr>
              <w:pStyle w:val="TableText"/>
              <w:spacing w:before="40" w:after="40"/>
              <w:jc w:val="right"/>
              <w:rPr>
                <w:rFonts w:cstheme="minorHAnsi"/>
              </w:rPr>
            </w:pPr>
            <w:r w:rsidRPr="00261B7A">
              <w:rPr>
                <w:rFonts w:cstheme="minorHAnsi"/>
                <w:color w:val="000000"/>
              </w:rPr>
              <w:t>235.2</w:t>
            </w:r>
          </w:p>
        </w:tc>
        <w:tc>
          <w:tcPr>
            <w:tcW w:w="794" w:type="dxa"/>
            <w:shd w:val="clear" w:color="auto" w:fill="FFFFFF"/>
            <w:tcMar>
              <w:top w:w="0" w:type="dxa"/>
              <w:left w:w="85" w:type="dxa"/>
              <w:bottom w:w="0" w:type="dxa"/>
              <w:right w:w="85" w:type="dxa"/>
            </w:tcMar>
          </w:tcPr>
          <w:p w14:paraId="3B2730D3" w14:textId="77777777" w:rsidR="006611EE" w:rsidRPr="00261B7A" w:rsidRDefault="006611EE" w:rsidP="000F09B5">
            <w:pPr>
              <w:pStyle w:val="TableText"/>
              <w:spacing w:before="40" w:after="40"/>
              <w:jc w:val="right"/>
              <w:rPr>
                <w:rFonts w:cstheme="minorHAnsi"/>
              </w:rPr>
            </w:pPr>
            <w:r w:rsidRPr="00261B7A">
              <w:rPr>
                <w:rFonts w:cstheme="minorHAnsi"/>
                <w:color w:val="000000"/>
              </w:rPr>
              <w:t>412.5</w:t>
            </w:r>
          </w:p>
        </w:tc>
        <w:tc>
          <w:tcPr>
            <w:tcW w:w="794" w:type="dxa"/>
            <w:shd w:val="clear" w:color="auto" w:fill="FFFFFF"/>
            <w:tcMar>
              <w:top w:w="0" w:type="dxa"/>
              <w:left w:w="85" w:type="dxa"/>
              <w:bottom w:w="0" w:type="dxa"/>
              <w:right w:w="85" w:type="dxa"/>
            </w:tcMar>
          </w:tcPr>
          <w:p w14:paraId="6988E950" w14:textId="77777777" w:rsidR="006611EE" w:rsidRPr="00261B7A" w:rsidRDefault="006611EE" w:rsidP="000F09B5">
            <w:pPr>
              <w:pStyle w:val="TableText"/>
              <w:spacing w:before="40" w:after="40"/>
              <w:jc w:val="right"/>
              <w:rPr>
                <w:rFonts w:cstheme="minorHAnsi"/>
              </w:rPr>
            </w:pPr>
            <w:r w:rsidRPr="00261B7A">
              <w:rPr>
                <w:rFonts w:cstheme="minorHAnsi"/>
                <w:color w:val="000000"/>
              </w:rPr>
              <w:t>0.002</w:t>
            </w:r>
          </w:p>
        </w:tc>
        <w:tc>
          <w:tcPr>
            <w:tcW w:w="680" w:type="dxa"/>
            <w:shd w:val="clear" w:color="auto" w:fill="FFFFFF"/>
            <w:tcMar>
              <w:top w:w="0" w:type="dxa"/>
              <w:left w:w="85" w:type="dxa"/>
              <w:bottom w:w="0" w:type="dxa"/>
              <w:right w:w="85" w:type="dxa"/>
            </w:tcMar>
          </w:tcPr>
          <w:p w14:paraId="446B9A06"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680" w:type="dxa"/>
            <w:shd w:val="clear" w:color="auto" w:fill="FFFFFF"/>
            <w:tcMar>
              <w:top w:w="0" w:type="dxa"/>
              <w:left w:w="85" w:type="dxa"/>
              <w:bottom w:w="0" w:type="dxa"/>
              <w:right w:w="85" w:type="dxa"/>
            </w:tcMar>
          </w:tcPr>
          <w:p w14:paraId="6F00AA99" w14:textId="77777777" w:rsidR="006611EE" w:rsidRPr="00261B7A" w:rsidRDefault="006611EE" w:rsidP="000F09B5">
            <w:pPr>
              <w:pStyle w:val="TableText"/>
              <w:spacing w:before="40" w:after="40"/>
              <w:jc w:val="right"/>
              <w:rPr>
                <w:rFonts w:cstheme="minorHAnsi"/>
              </w:rPr>
            </w:pPr>
            <w:r w:rsidRPr="00261B7A">
              <w:rPr>
                <w:rFonts w:cstheme="minorHAnsi"/>
                <w:color w:val="000000"/>
              </w:rPr>
              <w:t>92.8</w:t>
            </w:r>
          </w:p>
        </w:tc>
      </w:tr>
      <w:tr w:rsidR="006611EE" w:rsidRPr="00261B7A" w14:paraId="33F3422C" w14:textId="77777777" w:rsidTr="000F09B5">
        <w:tc>
          <w:tcPr>
            <w:tcW w:w="567" w:type="dxa"/>
            <w:shd w:val="clear" w:color="auto" w:fill="FFFFFF"/>
            <w:tcMar>
              <w:top w:w="0" w:type="dxa"/>
              <w:left w:w="85" w:type="dxa"/>
              <w:bottom w:w="0" w:type="dxa"/>
              <w:right w:w="85" w:type="dxa"/>
            </w:tcMar>
          </w:tcPr>
          <w:p w14:paraId="464E10B3" w14:textId="77777777" w:rsidR="006611EE" w:rsidRPr="00261B7A" w:rsidRDefault="006611EE" w:rsidP="000F09B5">
            <w:pPr>
              <w:pStyle w:val="TableText"/>
              <w:spacing w:before="40" w:after="40"/>
              <w:rPr>
                <w:rFonts w:cstheme="minorHAnsi"/>
              </w:rPr>
            </w:pPr>
            <w:r w:rsidRPr="00261B7A">
              <w:rPr>
                <w:rFonts w:cstheme="minorHAnsi"/>
                <w:color w:val="000000"/>
              </w:rPr>
              <w:t>1.A.4.a</w:t>
            </w:r>
          </w:p>
        </w:tc>
        <w:tc>
          <w:tcPr>
            <w:tcW w:w="2438" w:type="dxa"/>
            <w:shd w:val="clear" w:color="auto" w:fill="FFFFFF"/>
            <w:tcMar>
              <w:top w:w="0" w:type="dxa"/>
              <w:left w:w="85" w:type="dxa"/>
              <w:bottom w:w="0" w:type="dxa"/>
              <w:right w:w="85" w:type="dxa"/>
            </w:tcMar>
          </w:tcPr>
          <w:p w14:paraId="3BE3797F" w14:textId="77777777" w:rsidR="006611EE" w:rsidRPr="00261B7A" w:rsidRDefault="006611EE" w:rsidP="000F09B5">
            <w:pPr>
              <w:pStyle w:val="TableText"/>
              <w:spacing w:before="40" w:after="40"/>
              <w:rPr>
                <w:rFonts w:cstheme="minorHAnsi"/>
              </w:rPr>
            </w:pPr>
            <w:r w:rsidRPr="00261B7A">
              <w:rPr>
                <w:rFonts w:cstheme="minorHAnsi"/>
                <w:color w:val="000000"/>
              </w:rPr>
              <w:t>Other Sectors – Commercial/ Institutional Liquid Fuels</w:t>
            </w:r>
          </w:p>
        </w:tc>
        <w:tc>
          <w:tcPr>
            <w:tcW w:w="510" w:type="dxa"/>
            <w:shd w:val="clear" w:color="auto" w:fill="FFFFFF"/>
            <w:tcMar>
              <w:top w:w="0" w:type="dxa"/>
              <w:left w:w="85" w:type="dxa"/>
              <w:bottom w:w="0" w:type="dxa"/>
              <w:right w:w="85" w:type="dxa"/>
            </w:tcMar>
          </w:tcPr>
          <w:p w14:paraId="20B8C824"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6BE2E019" w14:textId="77777777" w:rsidR="006611EE" w:rsidRPr="00261B7A" w:rsidRDefault="006611EE" w:rsidP="000F09B5">
            <w:pPr>
              <w:pStyle w:val="TableText"/>
              <w:spacing w:before="40" w:after="40"/>
              <w:jc w:val="right"/>
              <w:rPr>
                <w:rFonts w:cstheme="minorHAnsi"/>
              </w:rPr>
            </w:pPr>
            <w:r w:rsidRPr="00261B7A">
              <w:rPr>
                <w:rFonts w:cstheme="minorHAnsi"/>
                <w:color w:val="000000"/>
              </w:rPr>
              <w:t>500.7</w:t>
            </w:r>
          </w:p>
        </w:tc>
        <w:tc>
          <w:tcPr>
            <w:tcW w:w="794" w:type="dxa"/>
            <w:shd w:val="clear" w:color="auto" w:fill="FFFFFF"/>
            <w:tcMar>
              <w:top w:w="0" w:type="dxa"/>
              <w:left w:w="85" w:type="dxa"/>
              <w:bottom w:w="0" w:type="dxa"/>
              <w:right w:w="85" w:type="dxa"/>
            </w:tcMar>
          </w:tcPr>
          <w:p w14:paraId="79BC02CF" w14:textId="77777777" w:rsidR="006611EE" w:rsidRPr="00261B7A" w:rsidRDefault="006611EE" w:rsidP="000F09B5">
            <w:pPr>
              <w:pStyle w:val="TableText"/>
              <w:spacing w:before="40" w:after="40"/>
              <w:jc w:val="right"/>
              <w:rPr>
                <w:rFonts w:cstheme="minorHAnsi"/>
              </w:rPr>
            </w:pPr>
            <w:r w:rsidRPr="00261B7A">
              <w:rPr>
                <w:rFonts w:cstheme="minorHAnsi"/>
                <w:color w:val="000000"/>
              </w:rPr>
              <w:t>726.4</w:t>
            </w:r>
          </w:p>
        </w:tc>
        <w:tc>
          <w:tcPr>
            <w:tcW w:w="794" w:type="dxa"/>
            <w:shd w:val="clear" w:color="auto" w:fill="FFFFFF"/>
            <w:tcMar>
              <w:top w:w="0" w:type="dxa"/>
              <w:left w:w="85" w:type="dxa"/>
              <w:bottom w:w="0" w:type="dxa"/>
              <w:right w:w="85" w:type="dxa"/>
            </w:tcMar>
          </w:tcPr>
          <w:p w14:paraId="3CC4B669" w14:textId="77777777" w:rsidR="006611EE" w:rsidRPr="00261B7A" w:rsidRDefault="006611EE" w:rsidP="000F09B5">
            <w:pPr>
              <w:pStyle w:val="TableText"/>
              <w:spacing w:before="40" w:after="40"/>
              <w:jc w:val="right"/>
              <w:rPr>
                <w:rFonts w:cstheme="minorHAnsi"/>
              </w:rPr>
            </w:pPr>
            <w:r w:rsidRPr="00261B7A">
              <w:rPr>
                <w:rFonts w:cstheme="minorHAnsi"/>
                <w:color w:val="000000"/>
              </w:rPr>
              <w:t>0.002</w:t>
            </w:r>
          </w:p>
        </w:tc>
        <w:tc>
          <w:tcPr>
            <w:tcW w:w="680" w:type="dxa"/>
            <w:shd w:val="clear" w:color="auto" w:fill="FFFFFF"/>
            <w:tcMar>
              <w:top w:w="0" w:type="dxa"/>
              <w:left w:w="85" w:type="dxa"/>
              <w:bottom w:w="0" w:type="dxa"/>
              <w:right w:w="85" w:type="dxa"/>
            </w:tcMar>
          </w:tcPr>
          <w:p w14:paraId="6196B3AF"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680" w:type="dxa"/>
            <w:shd w:val="clear" w:color="auto" w:fill="FFFFFF"/>
            <w:tcMar>
              <w:top w:w="0" w:type="dxa"/>
              <w:left w:w="85" w:type="dxa"/>
              <w:bottom w:w="0" w:type="dxa"/>
              <w:right w:w="85" w:type="dxa"/>
            </w:tcMar>
          </w:tcPr>
          <w:p w14:paraId="6D781CBC" w14:textId="77777777" w:rsidR="006611EE" w:rsidRPr="00261B7A" w:rsidRDefault="006611EE" w:rsidP="000F09B5">
            <w:pPr>
              <w:pStyle w:val="TableText"/>
              <w:spacing w:before="40" w:after="40"/>
              <w:jc w:val="right"/>
              <w:rPr>
                <w:rFonts w:cstheme="minorHAnsi"/>
              </w:rPr>
            </w:pPr>
            <w:r w:rsidRPr="00261B7A">
              <w:rPr>
                <w:rFonts w:cstheme="minorHAnsi"/>
                <w:color w:val="000000"/>
              </w:rPr>
              <w:t>93.2</w:t>
            </w:r>
          </w:p>
        </w:tc>
      </w:tr>
      <w:tr w:rsidR="006611EE" w:rsidRPr="00261B7A" w14:paraId="7964EB8D" w14:textId="77777777" w:rsidTr="000F09B5">
        <w:tc>
          <w:tcPr>
            <w:tcW w:w="567" w:type="dxa"/>
            <w:shd w:val="clear" w:color="auto" w:fill="FFFFFF"/>
            <w:tcMar>
              <w:top w:w="0" w:type="dxa"/>
              <w:left w:w="85" w:type="dxa"/>
              <w:bottom w:w="0" w:type="dxa"/>
              <w:right w:w="85" w:type="dxa"/>
            </w:tcMar>
          </w:tcPr>
          <w:p w14:paraId="163E5ECA" w14:textId="77777777" w:rsidR="006611EE" w:rsidRPr="00261B7A" w:rsidRDefault="006611EE" w:rsidP="000F09B5">
            <w:pPr>
              <w:pStyle w:val="TableText"/>
              <w:spacing w:before="40" w:after="40"/>
              <w:rPr>
                <w:rFonts w:cstheme="minorHAnsi"/>
              </w:rPr>
            </w:pPr>
            <w:r w:rsidRPr="00261B7A">
              <w:rPr>
                <w:rFonts w:cstheme="minorHAnsi"/>
                <w:color w:val="000000"/>
              </w:rPr>
              <w:t>1.A.4.a</w:t>
            </w:r>
          </w:p>
        </w:tc>
        <w:tc>
          <w:tcPr>
            <w:tcW w:w="2438" w:type="dxa"/>
            <w:shd w:val="clear" w:color="auto" w:fill="FFFFFF"/>
            <w:tcMar>
              <w:top w:w="0" w:type="dxa"/>
              <w:left w:w="85" w:type="dxa"/>
              <w:bottom w:w="0" w:type="dxa"/>
              <w:right w:w="85" w:type="dxa"/>
            </w:tcMar>
          </w:tcPr>
          <w:p w14:paraId="71C725D3" w14:textId="77777777" w:rsidR="006611EE" w:rsidRPr="00261B7A" w:rsidRDefault="006611EE" w:rsidP="000F09B5">
            <w:pPr>
              <w:pStyle w:val="TableText"/>
              <w:spacing w:before="40" w:after="40"/>
              <w:rPr>
                <w:rFonts w:cstheme="minorHAnsi"/>
              </w:rPr>
            </w:pPr>
            <w:r w:rsidRPr="00261B7A">
              <w:rPr>
                <w:rFonts w:cstheme="minorHAnsi"/>
                <w:color w:val="000000"/>
              </w:rPr>
              <w:t>Other Sectors – Commercial/ Institutional Solid Fuels</w:t>
            </w:r>
          </w:p>
        </w:tc>
        <w:tc>
          <w:tcPr>
            <w:tcW w:w="510" w:type="dxa"/>
            <w:shd w:val="clear" w:color="auto" w:fill="FFFFFF"/>
            <w:tcMar>
              <w:top w:w="0" w:type="dxa"/>
              <w:left w:w="85" w:type="dxa"/>
              <w:bottom w:w="0" w:type="dxa"/>
              <w:right w:w="85" w:type="dxa"/>
            </w:tcMar>
          </w:tcPr>
          <w:p w14:paraId="00030392"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0EACAB85" w14:textId="77777777" w:rsidR="006611EE" w:rsidRPr="00261B7A" w:rsidRDefault="006611EE" w:rsidP="000F09B5">
            <w:pPr>
              <w:pStyle w:val="TableText"/>
              <w:spacing w:before="40" w:after="40"/>
              <w:jc w:val="right"/>
              <w:rPr>
                <w:rFonts w:cstheme="minorHAnsi"/>
              </w:rPr>
            </w:pPr>
            <w:r w:rsidRPr="00261B7A">
              <w:rPr>
                <w:rFonts w:cstheme="minorHAnsi"/>
                <w:color w:val="000000"/>
              </w:rPr>
              <w:t>142.2</w:t>
            </w:r>
          </w:p>
        </w:tc>
        <w:tc>
          <w:tcPr>
            <w:tcW w:w="794" w:type="dxa"/>
            <w:shd w:val="clear" w:color="auto" w:fill="FFFFFF"/>
            <w:tcMar>
              <w:top w:w="0" w:type="dxa"/>
              <w:left w:w="85" w:type="dxa"/>
              <w:bottom w:w="0" w:type="dxa"/>
              <w:right w:w="85" w:type="dxa"/>
            </w:tcMar>
          </w:tcPr>
          <w:p w14:paraId="113CB8A1" w14:textId="77777777" w:rsidR="006611EE" w:rsidRPr="00261B7A" w:rsidRDefault="006611EE" w:rsidP="000F09B5">
            <w:pPr>
              <w:pStyle w:val="TableText"/>
              <w:spacing w:before="40" w:after="40"/>
              <w:jc w:val="right"/>
              <w:rPr>
                <w:rFonts w:cstheme="minorHAnsi"/>
              </w:rPr>
            </w:pPr>
            <w:r w:rsidRPr="00261B7A">
              <w:rPr>
                <w:rFonts w:cstheme="minorHAnsi"/>
                <w:color w:val="000000"/>
              </w:rPr>
              <w:t>44.8</w:t>
            </w:r>
          </w:p>
        </w:tc>
        <w:tc>
          <w:tcPr>
            <w:tcW w:w="794" w:type="dxa"/>
            <w:shd w:val="clear" w:color="auto" w:fill="FFFFFF"/>
            <w:tcMar>
              <w:top w:w="0" w:type="dxa"/>
              <w:left w:w="85" w:type="dxa"/>
              <w:bottom w:w="0" w:type="dxa"/>
              <w:right w:w="85" w:type="dxa"/>
            </w:tcMar>
          </w:tcPr>
          <w:p w14:paraId="6183B956" w14:textId="77777777" w:rsidR="006611EE" w:rsidRPr="00261B7A" w:rsidRDefault="006611EE" w:rsidP="000F09B5">
            <w:pPr>
              <w:pStyle w:val="TableText"/>
              <w:spacing w:before="40" w:after="40"/>
              <w:jc w:val="right"/>
              <w:rPr>
                <w:rFonts w:cstheme="minorHAnsi"/>
              </w:rPr>
            </w:pPr>
            <w:r w:rsidRPr="00261B7A">
              <w:rPr>
                <w:rFonts w:cstheme="minorHAnsi"/>
                <w:color w:val="000000"/>
              </w:rPr>
              <w:t>0.002</w:t>
            </w:r>
          </w:p>
        </w:tc>
        <w:tc>
          <w:tcPr>
            <w:tcW w:w="680" w:type="dxa"/>
            <w:shd w:val="clear" w:color="auto" w:fill="FFFFFF"/>
            <w:tcMar>
              <w:top w:w="0" w:type="dxa"/>
              <w:left w:w="85" w:type="dxa"/>
              <w:bottom w:w="0" w:type="dxa"/>
              <w:right w:w="85" w:type="dxa"/>
            </w:tcMar>
          </w:tcPr>
          <w:p w14:paraId="156A0D52"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680" w:type="dxa"/>
            <w:shd w:val="clear" w:color="auto" w:fill="FFFFFF"/>
            <w:tcMar>
              <w:top w:w="0" w:type="dxa"/>
              <w:left w:w="85" w:type="dxa"/>
              <w:bottom w:w="0" w:type="dxa"/>
              <w:right w:w="85" w:type="dxa"/>
            </w:tcMar>
          </w:tcPr>
          <w:p w14:paraId="208DC255" w14:textId="77777777" w:rsidR="006611EE" w:rsidRPr="00261B7A" w:rsidRDefault="006611EE" w:rsidP="000F09B5">
            <w:pPr>
              <w:pStyle w:val="TableText"/>
              <w:spacing w:before="40" w:after="40"/>
              <w:jc w:val="right"/>
              <w:rPr>
                <w:rFonts w:cstheme="minorHAnsi"/>
              </w:rPr>
            </w:pPr>
            <w:r w:rsidRPr="00261B7A">
              <w:rPr>
                <w:rFonts w:cstheme="minorHAnsi"/>
                <w:color w:val="000000"/>
              </w:rPr>
              <w:t>93.5</w:t>
            </w:r>
          </w:p>
        </w:tc>
      </w:tr>
      <w:tr w:rsidR="006611EE" w:rsidRPr="00261B7A" w14:paraId="4C8FECA3" w14:textId="77777777" w:rsidTr="000F09B5">
        <w:tc>
          <w:tcPr>
            <w:tcW w:w="567" w:type="dxa"/>
            <w:shd w:val="clear" w:color="auto" w:fill="FFFFFF"/>
            <w:tcMar>
              <w:top w:w="0" w:type="dxa"/>
              <w:left w:w="85" w:type="dxa"/>
              <w:bottom w:w="0" w:type="dxa"/>
              <w:right w:w="85" w:type="dxa"/>
            </w:tcMar>
          </w:tcPr>
          <w:p w14:paraId="2FAD74AA" w14:textId="77777777" w:rsidR="006611EE" w:rsidRPr="00261B7A" w:rsidRDefault="006611EE" w:rsidP="000F09B5">
            <w:pPr>
              <w:pStyle w:val="TableText"/>
              <w:spacing w:before="40" w:after="40"/>
              <w:rPr>
                <w:rFonts w:cstheme="minorHAnsi"/>
              </w:rPr>
            </w:pPr>
            <w:r w:rsidRPr="00261B7A">
              <w:rPr>
                <w:rFonts w:cstheme="minorHAnsi"/>
                <w:color w:val="000000"/>
              </w:rPr>
              <w:t>3.D.1.6</w:t>
            </w:r>
          </w:p>
        </w:tc>
        <w:tc>
          <w:tcPr>
            <w:tcW w:w="2438" w:type="dxa"/>
            <w:shd w:val="clear" w:color="auto" w:fill="FFFFFF"/>
            <w:tcMar>
              <w:top w:w="0" w:type="dxa"/>
              <w:left w:w="85" w:type="dxa"/>
              <w:bottom w:w="0" w:type="dxa"/>
              <w:right w:w="85" w:type="dxa"/>
            </w:tcMar>
          </w:tcPr>
          <w:p w14:paraId="2C615BBA" w14:textId="77777777" w:rsidR="006611EE" w:rsidRPr="00261B7A" w:rsidRDefault="006611EE" w:rsidP="000F09B5">
            <w:pPr>
              <w:pStyle w:val="TableText"/>
              <w:spacing w:before="40" w:after="40"/>
              <w:rPr>
                <w:rFonts w:cstheme="minorHAnsi"/>
              </w:rPr>
            </w:pPr>
            <w:r w:rsidRPr="00261B7A">
              <w:rPr>
                <w:rFonts w:cstheme="minorHAnsi"/>
                <w:color w:val="000000"/>
              </w:rPr>
              <w:t>Direct N</w:t>
            </w:r>
            <w:r w:rsidRPr="00261B7A">
              <w:rPr>
                <w:rFonts w:cstheme="minorHAnsi"/>
                <w:color w:val="000000"/>
                <w:vertAlign w:val="subscript"/>
              </w:rPr>
              <w:t>2</w:t>
            </w:r>
            <w:r w:rsidRPr="00261B7A">
              <w:rPr>
                <w:rFonts w:cstheme="minorHAnsi"/>
                <w:color w:val="000000"/>
              </w:rPr>
              <w:t>O Emissions From Managed Soils – Cultivation of Organic Soils</w:t>
            </w:r>
          </w:p>
        </w:tc>
        <w:tc>
          <w:tcPr>
            <w:tcW w:w="510" w:type="dxa"/>
            <w:shd w:val="clear" w:color="auto" w:fill="FFFFFF"/>
            <w:tcMar>
              <w:top w:w="0" w:type="dxa"/>
              <w:left w:w="85" w:type="dxa"/>
              <w:bottom w:w="0" w:type="dxa"/>
              <w:right w:w="85" w:type="dxa"/>
            </w:tcMar>
          </w:tcPr>
          <w:p w14:paraId="2E08AA5D" w14:textId="77777777" w:rsidR="006611EE" w:rsidRPr="00261B7A" w:rsidRDefault="006611EE" w:rsidP="000F09B5">
            <w:pPr>
              <w:pStyle w:val="TableText"/>
              <w:spacing w:before="40" w:after="40"/>
              <w:jc w:val="center"/>
              <w:rPr>
                <w:rFonts w:cstheme="minorHAnsi"/>
              </w:rPr>
            </w:pPr>
            <w:r w:rsidRPr="00261B7A">
              <w:rPr>
                <w:rFonts w:cstheme="minorHAnsi"/>
                <w:color w:val="000000"/>
              </w:rPr>
              <w:t>N</w:t>
            </w:r>
            <w:r w:rsidRPr="00261B7A">
              <w:rPr>
                <w:rFonts w:asciiTheme="minorHAnsi" w:hAnsiTheme="minorHAnsi" w:cstheme="minorHAnsi"/>
                <w:vertAlign w:val="subscript"/>
              </w:rPr>
              <w:t>2</w:t>
            </w:r>
            <w:r w:rsidRPr="00261B7A">
              <w:rPr>
                <w:rFonts w:asciiTheme="minorHAnsi" w:hAnsiTheme="minorHAnsi" w:cstheme="minorHAnsi"/>
              </w:rPr>
              <w:t>O</w:t>
            </w:r>
          </w:p>
        </w:tc>
        <w:tc>
          <w:tcPr>
            <w:tcW w:w="794" w:type="dxa"/>
            <w:shd w:val="clear" w:color="auto" w:fill="FFFFFF"/>
            <w:tcMar>
              <w:top w:w="0" w:type="dxa"/>
              <w:left w:w="85" w:type="dxa"/>
              <w:bottom w:w="0" w:type="dxa"/>
              <w:right w:w="85" w:type="dxa"/>
            </w:tcMar>
          </w:tcPr>
          <w:p w14:paraId="1D7C89AE" w14:textId="77777777" w:rsidR="006611EE" w:rsidRPr="00261B7A" w:rsidRDefault="006611EE" w:rsidP="000F09B5">
            <w:pPr>
              <w:pStyle w:val="TableText"/>
              <w:spacing w:before="40" w:after="40"/>
              <w:jc w:val="right"/>
              <w:rPr>
                <w:rFonts w:cstheme="minorHAnsi"/>
              </w:rPr>
            </w:pPr>
            <w:r w:rsidRPr="00261B7A">
              <w:rPr>
                <w:rFonts w:cstheme="minorHAnsi"/>
                <w:color w:val="000000"/>
              </w:rPr>
              <w:t>658.7</w:t>
            </w:r>
          </w:p>
        </w:tc>
        <w:tc>
          <w:tcPr>
            <w:tcW w:w="794" w:type="dxa"/>
            <w:shd w:val="clear" w:color="auto" w:fill="FFFFFF"/>
            <w:tcMar>
              <w:top w:w="0" w:type="dxa"/>
              <w:left w:w="85" w:type="dxa"/>
              <w:bottom w:w="0" w:type="dxa"/>
              <w:right w:w="85" w:type="dxa"/>
            </w:tcMar>
          </w:tcPr>
          <w:p w14:paraId="4DBA8E29" w14:textId="77777777" w:rsidR="006611EE" w:rsidRPr="00261B7A" w:rsidRDefault="006611EE" w:rsidP="000F09B5">
            <w:pPr>
              <w:pStyle w:val="TableText"/>
              <w:spacing w:before="40" w:after="40"/>
              <w:jc w:val="right"/>
              <w:rPr>
                <w:rFonts w:cstheme="minorHAnsi"/>
              </w:rPr>
            </w:pPr>
            <w:r w:rsidRPr="00261B7A">
              <w:rPr>
                <w:rFonts w:cstheme="minorHAnsi"/>
                <w:color w:val="000000"/>
              </w:rPr>
              <w:t>667.4</w:t>
            </w:r>
          </w:p>
        </w:tc>
        <w:tc>
          <w:tcPr>
            <w:tcW w:w="794" w:type="dxa"/>
            <w:shd w:val="clear" w:color="auto" w:fill="FFFFFF"/>
            <w:tcMar>
              <w:top w:w="0" w:type="dxa"/>
              <w:left w:w="85" w:type="dxa"/>
              <w:bottom w:w="0" w:type="dxa"/>
              <w:right w:w="85" w:type="dxa"/>
            </w:tcMar>
          </w:tcPr>
          <w:p w14:paraId="08EC8C58" w14:textId="77777777" w:rsidR="006611EE" w:rsidRPr="00261B7A" w:rsidRDefault="006611EE" w:rsidP="000F09B5">
            <w:pPr>
              <w:pStyle w:val="TableText"/>
              <w:spacing w:before="40" w:after="40"/>
              <w:jc w:val="right"/>
              <w:rPr>
                <w:rFonts w:cstheme="minorHAnsi"/>
              </w:rPr>
            </w:pPr>
            <w:r w:rsidRPr="00261B7A">
              <w:rPr>
                <w:rFonts w:cstheme="minorHAnsi"/>
                <w:color w:val="000000"/>
              </w:rPr>
              <w:t>0.002</w:t>
            </w:r>
          </w:p>
        </w:tc>
        <w:tc>
          <w:tcPr>
            <w:tcW w:w="680" w:type="dxa"/>
            <w:shd w:val="clear" w:color="auto" w:fill="FFFFFF"/>
            <w:tcMar>
              <w:top w:w="0" w:type="dxa"/>
              <w:left w:w="85" w:type="dxa"/>
              <w:bottom w:w="0" w:type="dxa"/>
              <w:right w:w="85" w:type="dxa"/>
            </w:tcMar>
          </w:tcPr>
          <w:p w14:paraId="75D0D073"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680" w:type="dxa"/>
            <w:shd w:val="clear" w:color="auto" w:fill="FFFFFF"/>
            <w:tcMar>
              <w:top w:w="0" w:type="dxa"/>
              <w:left w:w="85" w:type="dxa"/>
              <w:bottom w:w="0" w:type="dxa"/>
              <w:right w:w="85" w:type="dxa"/>
            </w:tcMar>
          </w:tcPr>
          <w:p w14:paraId="66D9CCBA" w14:textId="77777777" w:rsidR="006611EE" w:rsidRPr="00261B7A" w:rsidRDefault="006611EE" w:rsidP="000F09B5">
            <w:pPr>
              <w:pStyle w:val="TableText"/>
              <w:spacing w:before="40" w:after="40"/>
              <w:jc w:val="right"/>
              <w:rPr>
                <w:rFonts w:cstheme="minorHAnsi"/>
              </w:rPr>
            </w:pPr>
            <w:r w:rsidRPr="00261B7A">
              <w:rPr>
                <w:rFonts w:cstheme="minorHAnsi"/>
                <w:color w:val="000000"/>
              </w:rPr>
              <w:t>93.7</w:t>
            </w:r>
          </w:p>
        </w:tc>
      </w:tr>
      <w:tr w:rsidR="006611EE" w:rsidRPr="00261B7A" w14:paraId="0F490237" w14:textId="77777777" w:rsidTr="000F09B5">
        <w:tc>
          <w:tcPr>
            <w:tcW w:w="567" w:type="dxa"/>
            <w:shd w:val="clear" w:color="auto" w:fill="FFFFFF"/>
            <w:tcMar>
              <w:top w:w="0" w:type="dxa"/>
              <w:left w:w="85" w:type="dxa"/>
              <w:bottom w:w="0" w:type="dxa"/>
              <w:right w:w="85" w:type="dxa"/>
            </w:tcMar>
          </w:tcPr>
          <w:p w14:paraId="487606BA" w14:textId="77777777" w:rsidR="006611EE" w:rsidRPr="00261B7A" w:rsidRDefault="006611EE" w:rsidP="000F09B5">
            <w:pPr>
              <w:pStyle w:val="TableText"/>
              <w:spacing w:before="40" w:after="40"/>
              <w:rPr>
                <w:rFonts w:cstheme="minorHAnsi"/>
              </w:rPr>
            </w:pPr>
            <w:r w:rsidRPr="00261B7A">
              <w:rPr>
                <w:rFonts w:cstheme="minorHAnsi"/>
                <w:color w:val="000000"/>
              </w:rPr>
              <w:t>1.A.1.b</w:t>
            </w:r>
          </w:p>
        </w:tc>
        <w:tc>
          <w:tcPr>
            <w:tcW w:w="2438" w:type="dxa"/>
            <w:shd w:val="clear" w:color="auto" w:fill="FFFFFF"/>
            <w:tcMar>
              <w:top w:w="0" w:type="dxa"/>
              <w:left w:w="85" w:type="dxa"/>
              <w:bottom w:w="0" w:type="dxa"/>
              <w:right w:w="85" w:type="dxa"/>
            </w:tcMar>
          </w:tcPr>
          <w:p w14:paraId="72ECDB6B" w14:textId="77777777" w:rsidR="006611EE" w:rsidRPr="00261B7A" w:rsidRDefault="006611EE" w:rsidP="000F09B5">
            <w:pPr>
              <w:pStyle w:val="TableText"/>
              <w:spacing w:before="40" w:after="40"/>
              <w:rPr>
                <w:rFonts w:cstheme="minorHAnsi"/>
              </w:rPr>
            </w:pPr>
            <w:r w:rsidRPr="00261B7A">
              <w:rPr>
                <w:rFonts w:cstheme="minorHAnsi"/>
                <w:color w:val="000000"/>
              </w:rPr>
              <w:t>Energy Industries – Petroleum Refining Gaseous Fuels</w:t>
            </w:r>
          </w:p>
        </w:tc>
        <w:tc>
          <w:tcPr>
            <w:tcW w:w="510" w:type="dxa"/>
            <w:shd w:val="clear" w:color="auto" w:fill="FFFFFF"/>
            <w:tcMar>
              <w:top w:w="0" w:type="dxa"/>
              <w:left w:w="85" w:type="dxa"/>
              <w:bottom w:w="0" w:type="dxa"/>
              <w:right w:w="85" w:type="dxa"/>
            </w:tcMar>
          </w:tcPr>
          <w:p w14:paraId="03AA8D83"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410394F6" w14:textId="77777777" w:rsidR="006611EE" w:rsidRPr="00261B7A" w:rsidRDefault="006611EE" w:rsidP="000F09B5">
            <w:pPr>
              <w:pStyle w:val="TableText"/>
              <w:spacing w:before="40" w:after="40"/>
              <w:jc w:val="right"/>
              <w:rPr>
                <w:rFonts w:cstheme="minorHAnsi"/>
              </w:rPr>
            </w:pPr>
            <w:r w:rsidRPr="00261B7A">
              <w:rPr>
                <w:rFonts w:cstheme="minorHAnsi"/>
                <w:color w:val="000000"/>
              </w:rPr>
              <w:t>0.0</w:t>
            </w:r>
          </w:p>
        </w:tc>
        <w:tc>
          <w:tcPr>
            <w:tcW w:w="794" w:type="dxa"/>
            <w:shd w:val="clear" w:color="auto" w:fill="FFFFFF"/>
            <w:tcMar>
              <w:top w:w="0" w:type="dxa"/>
              <w:left w:w="85" w:type="dxa"/>
              <w:bottom w:w="0" w:type="dxa"/>
              <w:right w:w="85" w:type="dxa"/>
            </w:tcMar>
          </w:tcPr>
          <w:p w14:paraId="417667F3" w14:textId="77777777" w:rsidR="006611EE" w:rsidRPr="00261B7A" w:rsidRDefault="006611EE" w:rsidP="000F09B5">
            <w:pPr>
              <w:pStyle w:val="TableText"/>
              <w:spacing w:before="40" w:after="40"/>
              <w:jc w:val="right"/>
              <w:rPr>
                <w:rFonts w:cstheme="minorHAnsi"/>
              </w:rPr>
            </w:pPr>
            <w:r w:rsidRPr="00261B7A">
              <w:rPr>
                <w:rFonts w:cstheme="minorHAnsi"/>
                <w:color w:val="000000"/>
              </w:rPr>
              <w:t>111.7</w:t>
            </w:r>
          </w:p>
        </w:tc>
        <w:tc>
          <w:tcPr>
            <w:tcW w:w="794" w:type="dxa"/>
            <w:shd w:val="clear" w:color="auto" w:fill="FFFFFF"/>
            <w:tcMar>
              <w:top w:w="0" w:type="dxa"/>
              <w:left w:w="85" w:type="dxa"/>
              <w:bottom w:w="0" w:type="dxa"/>
              <w:right w:w="85" w:type="dxa"/>
            </w:tcMar>
          </w:tcPr>
          <w:p w14:paraId="767EB329" w14:textId="77777777" w:rsidR="006611EE" w:rsidRPr="00261B7A" w:rsidRDefault="006611EE" w:rsidP="000F09B5">
            <w:pPr>
              <w:pStyle w:val="TableText"/>
              <w:spacing w:before="40" w:after="40"/>
              <w:jc w:val="right"/>
              <w:rPr>
                <w:rFonts w:cstheme="minorHAnsi"/>
              </w:rPr>
            </w:pPr>
            <w:r w:rsidRPr="00261B7A">
              <w:rPr>
                <w:rFonts w:cstheme="minorHAnsi"/>
                <w:color w:val="000000"/>
              </w:rPr>
              <w:t>0.002</w:t>
            </w:r>
          </w:p>
        </w:tc>
        <w:tc>
          <w:tcPr>
            <w:tcW w:w="680" w:type="dxa"/>
            <w:shd w:val="clear" w:color="auto" w:fill="FFFFFF"/>
            <w:tcMar>
              <w:top w:w="0" w:type="dxa"/>
              <w:left w:w="85" w:type="dxa"/>
              <w:bottom w:w="0" w:type="dxa"/>
              <w:right w:w="85" w:type="dxa"/>
            </w:tcMar>
          </w:tcPr>
          <w:p w14:paraId="75AC1C95" w14:textId="77777777" w:rsidR="006611EE" w:rsidRPr="00261B7A" w:rsidRDefault="006611EE" w:rsidP="000F09B5">
            <w:pPr>
              <w:pStyle w:val="TableText"/>
              <w:spacing w:before="40" w:after="40"/>
              <w:jc w:val="right"/>
              <w:rPr>
                <w:rFonts w:cstheme="minorHAnsi"/>
              </w:rPr>
            </w:pPr>
            <w:r w:rsidRPr="00261B7A">
              <w:rPr>
                <w:rFonts w:cstheme="minorHAnsi"/>
                <w:color w:val="000000"/>
              </w:rPr>
              <w:t>0.3</w:t>
            </w:r>
          </w:p>
        </w:tc>
        <w:tc>
          <w:tcPr>
            <w:tcW w:w="680" w:type="dxa"/>
            <w:shd w:val="clear" w:color="auto" w:fill="FFFFFF"/>
            <w:tcMar>
              <w:top w:w="0" w:type="dxa"/>
              <w:left w:w="85" w:type="dxa"/>
              <w:bottom w:w="0" w:type="dxa"/>
              <w:right w:w="85" w:type="dxa"/>
            </w:tcMar>
          </w:tcPr>
          <w:p w14:paraId="66D18786" w14:textId="77777777" w:rsidR="006611EE" w:rsidRPr="00261B7A" w:rsidRDefault="006611EE" w:rsidP="000F09B5">
            <w:pPr>
              <w:pStyle w:val="TableText"/>
              <w:spacing w:before="40" w:after="40"/>
              <w:jc w:val="right"/>
              <w:rPr>
                <w:rFonts w:cstheme="minorHAnsi"/>
              </w:rPr>
            </w:pPr>
            <w:r w:rsidRPr="00261B7A">
              <w:rPr>
                <w:rFonts w:cstheme="minorHAnsi"/>
                <w:color w:val="000000"/>
              </w:rPr>
              <w:t>94.0</w:t>
            </w:r>
          </w:p>
        </w:tc>
      </w:tr>
      <w:tr w:rsidR="006611EE" w:rsidRPr="00261B7A" w14:paraId="7571CCD3" w14:textId="77777777" w:rsidTr="000F09B5">
        <w:tc>
          <w:tcPr>
            <w:tcW w:w="567" w:type="dxa"/>
            <w:shd w:val="clear" w:color="auto" w:fill="FFFFFF"/>
            <w:tcMar>
              <w:top w:w="0" w:type="dxa"/>
              <w:left w:w="85" w:type="dxa"/>
              <w:bottom w:w="0" w:type="dxa"/>
              <w:right w:w="85" w:type="dxa"/>
            </w:tcMar>
          </w:tcPr>
          <w:p w14:paraId="7EE6A5FC" w14:textId="77777777" w:rsidR="006611EE" w:rsidRPr="00261B7A" w:rsidRDefault="006611EE" w:rsidP="000F09B5">
            <w:pPr>
              <w:pStyle w:val="TableText"/>
              <w:spacing w:before="40" w:after="40"/>
              <w:rPr>
                <w:rFonts w:cstheme="minorHAnsi"/>
              </w:rPr>
            </w:pPr>
            <w:r w:rsidRPr="00261B7A">
              <w:rPr>
                <w:rFonts w:cstheme="minorHAnsi"/>
                <w:color w:val="000000"/>
              </w:rPr>
              <w:t>1.A.2.d</w:t>
            </w:r>
          </w:p>
        </w:tc>
        <w:tc>
          <w:tcPr>
            <w:tcW w:w="2438" w:type="dxa"/>
            <w:shd w:val="clear" w:color="auto" w:fill="FFFFFF"/>
            <w:tcMar>
              <w:top w:w="0" w:type="dxa"/>
              <w:left w:w="85" w:type="dxa"/>
              <w:bottom w:w="0" w:type="dxa"/>
              <w:right w:w="85" w:type="dxa"/>
            </w:tcMar>
          </w:tcPr>
          <w:p w14:paraId="717AA29D" w14:textId="77777777" w:rsidR="006611EE" w:rsidRPr="00261B7A" w:rsidRDefault="006611EE" w:rsidP="000F09B5">
            <w:pPr>
              <w:pStyle w:val="TableText"/>
              <w:spacing w:before="40" w:after="40"/>
              <w:rPr>
                <w:rFonts w:cstheme="minorHAnsi"/>
              </w:rPr>
            </w:pPr>
            <w:r w:rsidRPr="00261B7A">
              <w:rPr>
                <w:rFonts w:cstheme="minorHAnsi"/>
                <w:color w:val="000000"/>
              </w:rPr>
              <w:t>Manufacturing Industries and Construction – Pulp, Paper and Print Solid Fuels</w:t>
            </w:r>
          </w:p>
        </w:tc>
        <w:tc>
          <w:tcPr>
            <w:tcW w:w="510" w:type="dxa"/>
            <w:shd w:val="clear" w:color="auto" w:fill="FFFFFF"/>
            <w:tcMar>
              <w:top w:w="0" w:type="dxa"/>
              <w:left w:w="85" w:type="dxa"/>
              <w:bottom w:w="0" w:type="dxa"/>
              <w:right w:w="85" w:type="dxa"/>
            </w:tcMar>
          </w:tcPr>
          <w:p w14:paraId="08BD5ACC"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6350FE07" w14:textId="77777777" w:rsidR="006611EE" w:rsidRPr="00261B7A" w:rsidRDefault="006611EE" w:rsidP="000F09B5">
            <w:pPr>
              <w:pStyle w:val="TableText"/>
              <w:spacing w:before="40" w:after="40"/>
              <w:jc w:val="right"/>
              <w:rPr>
                <w:rFonts w:cstheme="minorHAnsi"/>
              </w:rPr>
            </w:pPr>
            <w:r w:rsidRPr="00261B7A">
              <w:rPr>
                <w:rFonts w:cstheme="minorHAnsi"/>
                <w:color w:val="000000"/>
              </w:rPr>
              <w:t>109.5</w:t>
            </w:r>
          </w:p>
        </w:tc>
        <w:tc>
          <w:tcPr>
            <w:tcW w:w="794" w:type="dxa"/>
            <w:shd w:val="clear" w:color="auto" w:fill="FFFFFF"/>
            <w:tcMar>
              <w:top w:w="0" w:type="dxa"/>
              <w:left w:w="85" w:type="dxa"/>
              <w:bottom w:w="0" w:type="dxa"/>
              <w:right w:w="85" w:type="dxa"/>
            </w:tcMar>
          </w:tcPr>
          <w:p w14:paraId="352E3C0B" w14:textId="77777777" w:rsidR="006611EE" w:rsidRPr="00261B7A" w:rsidRDefault="006611EE" w:rsidP="000F09B5">
            <w:pPr>
              <w:pStyle w:val="TableText"/>
              <w:spacing w:before="40" w:after="40"/>
              <w:jc w:val="right"/>
              <w:rPr>
                <w:rFonts w:cstheme="minorHAnsi"/>
              </w:rPr>
            </w:pPr>
            <w:r w:rsidRPr="00261B7A">
              <w:rPr>
                <w:rFonts w:cstheme="minorHAnsi"/>
                <w:color w:val="000000"/>
              </w:rPr>
              <w:t>24.8</w:t>
            </w:r>
          </w:p>
        </w:tc>
        <w:tc>
          <w:tcPr>
            <w:tcW w:w="794" w:type="dxa"/>
            <w:shd w:val="clear" w:color="auto" w:fill="FFFFFF"/>
            <w:tcMar>
              <w:top w:w="0" w:type="dxa"/>
              <w:left w:w="85" w:type="dxa"/>
              <w:bottom w:w="0" w:type="dxa"/>
              <w:right w:w="85" w:type="dxa"/>
            </w:tcMar>
          </w:tcPr>
          <w:p w14:paraId="49C2423E" w14:textId="77777777" w:rsidR="006611EE" w:rsidRPr="00261B7A" w:rsidRDefault="006611EE" w:rsidP="000F09B5">
            <w:pPr>
              <w:pStyle w:val="TableText"/>
              <w:spacing w:before="40" w:after="40"/>
              <w:jc w:val="right"/>
              <w:rPr>
                <w:rFonts w:cstheme="minorHAnsi"/>
              </w:rPr>
            </w:pPr>
            <w:r w:rsidRPr="00261B7A">
              <w:rPr>
                <w:rFonts w:cstheme="minorHAnsi"/>
                <w:color w:val="000000"/>
              </w:rPr>
              <w:t>0.002</w:t>
            </w:r>
          </w:p>
        </w:tc>
        <w:tc>
          <w:tcPr>
            <w:tcW w:w="680" w:type="dxa"/>
            <w:shd w:val="clear" w:color="auto" w:fill="FFFFFF"/>
            <w:tcMar>
              <w:top w:w="0" w:type="dxa"/>
              <w:left w:w="85" w:type="dxa"/>
              <w:bottom w:w="0" w:type="dxa"/>
              <w:right w:w="85" w:type="dxa"/>
            </w:tcMar>
          </w:tcPr>
          <w:p w14:paraId="3C7432F8" w14:textId="77777777" w:rsidR="006611EE" w:rsidRPr="00261B7A" w:rsidRDefault="006611EE" w:rsidP="000F09B5">
            <w:pPr>
              <w:pStyle w:val="TableText"/>
              <w:spacing w:before="40" w:after="40"/>
              <w:jc w:val="right"/>
              <w:rPr>
                <w:rFonts w:cstheme="minorHAnsi"/>
              </w:rPr>
            </w:pPr>
            <w:r w:rsidRPr="00261B7A">
              <w:rPr>
                <w:rFonts w:cstheme="minorHAnsi"/>
                <w:color w:val="000000"/>
              </w:rPr>
              <w:t>0.2</w:t>
            </w:r>
          </w:p>
        </w:tc>
        <w:tc>
          <w:tcPr>
            <w:tcW w:w="680" w:type="dxa"/>
            <w:shd w:val="clear" w:color="auto" w:fill="FFFFFF"/>
            <w:tcMar>
              <w:top w:w="0" w:type="dxa"/>
              <w:left w:w="85" w:type="dxa"/>
              <w:bottom w:w="0" w:type="dxa"/>
              <w:right w:w="85" w:type="dxa"/>
            </w:tcMar>
          </w:tcPr>
          <w:p w14:paraId="50D423E4" w14:textId="77777777" w:rsidR="006611EE" w:rsidRPr="00261B7A" w:rsidRDefault="006611EE" w:rsidP="000F09B5">
            <w:pPr>
              <w:pStyle w:val="TableText"/>
              <w:spacing w:before="40" w:after="40"/>
              <w:jc w:val="right"/>
              <w:rPr>
                <w:rFonts w:cstheme="minorHAnsi"/>
              </w:rPr>
            </w:pPr>
            <w:r w:rsidRPr="00261B7A">
              <w:rPr>
                <w:rFonts w:cstheme="minorHAnsi"/>
                <w:color w:val="000000"/>
              </w:rPr>
              <w:t>94.2</w:t>
            </w:r>
          </w:p>
        </w:tc>
      </w:tr>
      <w:tr w:rsidR="006611EE" w:rsidRPr="00261B7A" w14:paraId="5060D4B4" w14:textId="77777777" w:rsidTr="000F09B5">
        <w:tc>
          <w:tcPr>
            <w:tcW w:w="567" w:type="dxa"/>
            <w:shd w:val="clear" w:color="auto" w:fill="FFFFFF"/>
            <w:tcMar>
              <w:top w:w="0" w:type="dxa"/>
              <w:left w:w="85" w:type="dxa"/>
              <w:bottom w:w="0" w:type="dxa"/>
              <w:right w:w="85" w:type="dxa"/>
            </w:tcMar>
          </w:tcPr>
          <w:p w14:paraId="29CBA32E" w14:textId="77777777" w:rsidR="006611EE" w:rsidRPr="00261B7A" w:rsidRDefault="006611EE" w:rsidP="000F09B5">
            <w:pPr>
              <w:pStyle w:val="TableText"/>
              <w:spacing w:before="40" w:after="40"/>
              <w:rPr>
                <w:rFonts w:cstheme="minorHAnsi"/>
              </w:rPr>
            </w:pPr>
            <w:r w:rsidRPr="00261B7A">
              <w:rPr>
                <w:rFonts w:cstheme="minorHAnsi"/>
                <w:color w:val="000000"/>
              </w:rPr>
              <w:t>1.B.2.c.1.ii</w:t>
            </w:r>
          </w:p>
        </w:tc>
        <w:tc>
          <w:tcPr>
            <w:tcW w:w="2438" w:type="dxa"/>
            <w:shd w:val="clear" w:color="auto" w:fill="FFFFFF"/>
            <w:tcMar>
              <w:top w:w="0" w:type="dxa"/>
              <w:left w:w="85" w:type="dxa"/>
              <w:bottom w:w="0" w:type="dxa"/>
              <w:right w:w="85" w:type="dxa"/>
            </w:tcMar>
          </w:tcPr>
          <w:p w14:paraId="043FDE2D" w14:textId="77777777" w:rsidR="006611EE" w:rsidRPr="00261B7A" w:rsidRDefault="006611EE" w:rsidP="000F09B5">
            <w:pPr>
              <w:pStyle w:val="TableText"/>
              <w:spacing w:before="40" w:after="40"/>
              <w:rPr>
                <w:rFonts w:cstheme="minorHAnsi"/>
              </w:rPr>
            </w:pPr>
            <w:r w:rsidRPr="00261B7A">
              <w:rPr>
                <w:rFonts w:cstheme="minorHAnsi"/>
                <w:color w:val="000000"/>
              </w:rPr>
              <w:t>Venting – Gas</w:t>
            </w:r>
          </w:p>
        </w:tc>
        <w:tc>
          <w:tcPr>
            <w:tcW w:w="510" w:type="dxa"/>
            <w:shd w:val="clear" w:color="auto" w:fill="FFFFFF"/>
            <w:tcMar>
              <w:top w:w="0" w:type="dxa"/>
              <w:left w:w="85" w:type="dxa"/>
              <w:bottom w:w="0" w:type="dxa"/>
              <w:right w:w="85" w:type="dxa"/>
            </w:tcMar>
          </w:tcPr>
          <w:p w14:paraId="213B1C3F"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73B763B1" w14:textId="77777777" w:rsidR="006611EE" w:rsidRPr="00261B7A" w:rsidRDefault="006611EE" w:rsidP="000F09B5">
            <w:pPr>
              <w:pStyle w:val="TableText"/>
              <w:spacing w:before="40" w:after="40"/>
              <w:jc w:val="right"/>
              <w:rPr>
                <w:rFonts w:cstheme="minorHAnsi"/>
              </w:rPr>
            </w:pPr>
            <w:r w:rsidRPr="00261B7A">
              <w:rPr>
                <w:rFonts w:cstheme="minorHAnsi"/>
                <w:color w:val="000000"/>
              </w:rPr>
              <w:t>109.3</w:t>
            </w:r>
          </w:p>
        </w:tc>
        <w:tc>
          <w:tcPr>
            <w:tcW w:w="794" w:type="dxa"/>
            <w:shd w:val="clear" w:color="auto" w:fill="FFFFFF"/>
            <w:tcMar>
              <w:top w:w="0" w:type="dxa"/>
              <w:left w:w="85" w:type="dxa"/>
              <w:bottom w:w="0" w:type="dxa"/>
              <w:right w:w="85" w:type="dxa"/>
            </w:tcMar>
          </w:tcPr>
          <w:p w14:paraId="5D787017" w14:textId="77777777" w:rsidR="006611EE" w:rsidRPr="00261B7A" w:rsidRDefault="006611EE" w:rsidP="000F09B5">
            <w:pPr>
              <w:pStyle w:val="TableText"/>
              <w:spacing w:before="40" w:after="40"/>
              <w:jc w:val="right"/>
              <w:rPr>
                <w:rFonts w:cstheme="minorHAnsi"/>
              </w:rPr>
            </w:pPr>
            <w:r w:rsidRPr="00261B7A">
              <w:rPr>
                <w:rFonts w:cstheme="minorHAnsi"/>
                <w:color w:val="000000"/>
              </w:rPr>
              <w:t>234.2</w:t>
            </w:r>
          </w:p>
        </w:tc>
        <w:tc>
          <w:tcPr>
            <w:tcW w:w="794" w:type="dxa"/>
            <w:shd w:val="clear" w:color="auto" w:fill="FFFFFF"/>
            <w:tcMar>
              <w:top w:w="0" w:type="dxa"/>
              <w:left w:w="85" w:type="dxa"/>
              <w:bottom w:w="0" w:type="dxa"/>
              <w:right w:w="85" w:type="dxa"/>
            </w:tcMar>
          </w:tcPr>
          <w:p w14:paraId="707106AF" w14:textId="77777777" w:rsidR="006611EE" w:rsidRPr="00261B7A" w:rsidRDefault="006611EE" w:rsidP="000F09B5">
            <w:pPr>
              <w:pStyle w:val="TableText"/>
              <w:spacing w:before="40" w:after="40"/>
              <w:jc w:val="right"/>
              <w:rPr>
                <w:rFonts w:cstheme="minorHAnsi"/>
              </w:rPr>
            </w:pPr>
            <w:r w:rsidRPr="00261B7A">
              <w:rPr>
                <w:rFonts w:cstheme="minorHAnsi"/>
                <w:color w:val="000000"/>
              </w:rPr>
              <w:t>0.002</w:t>
            </w:r>
          </w:p>
        </w:tc>
        <w:tc>
          <w:tcPr>
            <w:tcW w:w="680" w:type="dxa"/>
            <w:shd w:val="clear" w:color="auto" w:fill="FFFFFF"/>
            <w:tcMar>
              <w:top w:w="0" w:type="dxa"/>
              <w:left w:w="85" w:type="dxa"/>
              <w:bottom w:w="0" w:type="dxa"/>
              <w:right w:w="85" w:type="dxa"/>
            </w:tcMar>
          </w:tcPr>
          <w:p w14:paraId="3B1A49BB" w14:textId="77777777" w:rsidR="006611EE" w:rsidRPr="00261B7A" w:rsidRDefault="006611EE" w:rsidP="000F09B5">
            <w:pPr>
              <w:pStyle w:val="TableText"/>
              <w:spacing w:before="40" w:after="40"/>
              <w:jc w:val="right"/>
              <w:rPr>
                <w:rFonts w:cstheme="minorHAnsi"/>
              </w:rPr>
            </w:pPr>
            <w:r w:rsidRPr="00261B7A">
              <w:rPr>
                <w:rFonts w:cstheme="minorHAnsi"/>
                <w:color w:val="000000"/>
              </w:rPr>
              <w:t>0.2</w:t>
            </w:r>
          </w:p>
        </w:tc>
        <w:tc>
          <w:tcPr>
            <w:tcW w:w="680" w:type="dxa"/>
            <w:shd w:val="clear" w:color="auto" w:fill="FFFFFF"/>
            <w:tcMar>
              <w:top w:w="0" w:type="dxa"/>
              <w:left w:w="85" w:type="dxa"/>
              <w:bottom w:w="0" w:type="dxa"/>
              <w:right w:w="85" w:type="dxa"/>
            </w:tcMar>
          </w:tcPr>
          <w:p w14:paraId="7A8B62F9" w14:textId="77777777" w:rsidR="006611EE" w:rsidRPr="00261B7A" w:rsidRDefault="006611EE" w:rsidP="000F09B5">
            <w:pPr>
              <w:pStyle w:val="TableText"/>
              <w:spacing w:before="40" w:after="40"/>
              <w:jc w:val="right"/>
              <w:rPr>
                <w:rFonts w:cstheme="minorHAnsi"/>
              </w:rPr>
            </w:pPr>
            <w:r w:rsidRPr="00261B7A">
              <w:rPr>
                <w:rFonts w:cstheme="minorHAnsi"/>
                <w:color w:val="000000"/>
              </w:rPr>
              <w:t>94.5</w:t>
            </w:r>
          </w:p>
        </w:tc>
      </w:tr>
      <w:tr w:rsidR="006611EE" w:rsidRPr="00261B7A" w14:paraId="53F1057F" w14:textId="77777777" w:rsidTr="000F09B5">
        <w:tc>
          <w:tcPr>
            <w:tcW w:w="567" w:type="dxa"/>
            <w:shd w:val="clear" w:color="auto" w:fill="FFFFFF"/>
            <w:tcMar>
              <w:top w:w="0" w:type="dxa"/>
              <w:left w:w="85" w:type="dxa"/>
              <w:bottom w:w="0" w:type="dxa"/>
              <w:right w:w="85" w:type="dxa"/>
            </w:tcMar>
          </w:tcPr>
          <w:p w14:paraId="2DCCED1C" w14:textId="77777777" w:rsidR="006611EE" w:rsidRPr="00261B7A" w:rsidRDefault="006611EE" w:rsidP="000F09B5">
            <w:pPr>
              <w:pStyle w:val="TableText"/>
              <w:spacing w:before="40" w:after="40"/>
              <w:rPr>
                <w:rFonts w:cstheme="minorHAnsi"/>
              </w:rPr>
            </w:pPr>
            <w:r w:rsidRPr="00261B7A">
              <w:rPr>
                <w:rFonts w:cstheme="minorHAnsi"/>
                <w:color w:val="000000"/>
              </w:rPr>
              <w:t>1.B.2.c.2.iii</w:t>
            </w:r>
          </w:p>
        </w:tc>
        <w:tc>
          <w:tcPr>
            <w:tcW w:w="2438" w:type="dxa"/>
            <w:shd w:val="clear" w:color="auto" w:fill="FFFFFF"/>
            <w:tcMar>
              <w:top w:w="0" w:type="dxa"/>
              <w:left w:w="85" w:type="dxa"/>
              <w:bottom w:w="0" w:type="dxa"/>
              <w:right w:w="85" w:type="dxa"/>
            </w:tcMar>
          </w:tcPr>
          <w:p w14:paraId="29B11E58" w14:textId="77777777" w:rsidR="006611EE" w:rsidRPr="00261B7A" w:rsidRDefault="006611EE" w:rsidP="000F09B5">
            <w:pPr>
              <w:pStyle w:val="TableText"/>
              <w:spacing w:before="40" w:after="40"/>
              <w:rPr>
                <w:rFonts w:cstheme="minorHAnsi"/>
              </w:rPr>
            </w:pPr>
            <w:r w:rsidRPr="00261B7A">
              <w:rPr>
                <w:rFonts w:cstheme="minorHAnsi"/>
                <w:color w:val="000000"/>
              </w:rPr>
              <w:t>Flaring – Combined</w:t>
            </w:r>
          </w:p>
        </w:tc>
        <w:tc>
          <w:tcPr>
            <w:tcW w:w="510" w:type="dxa"/>
            <w:shd w:val="clear" w:color="auto" w:fill="FFFFFF"/>
            <w:tcMar>
              <w:top w:w="0" w:type="dxa"/>
              <w:left w:w="85" w:type="dxa"/>
              <w:bottom w:w="0" w:type="dxa"/>
              <w:right w:w="85" w:type="dxa"/>
            </w:tcMar>
          </w:tcPr>
          <w:p w14:paraId="0AE5E146"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300002F6" w14:textId="77777777" w:rsidR="006611EE" w:rsidRPr="00261B7A" w:rsidRDefault="006611EE" w:rsidP="000F09B5">
            <w:pPr>
              <w:pStyle w:val="TableText"/>
              <w:spacing w:before="40" w:after="40"/>
              <w:jc w:val="right"/>
              <w:rPr>
                <w:rFonts w:cstheme="minorHAnsi"/>
              </w:rPr>
            </w:pPr>
            <w:r w:rsidRPr="00261B7A">
              <w:rPr>
                <w:rFonts w:cstheme="minorHAnsi"/>
                <w:color w:val="000000"/>
              </w:rPr>
              <w:t>114.1</w:t>
            </w:r>
          </w:p>
        </w:tc>
        <w:tc>
          <w:tcPr>
            <w:tcW w:w="794" w:type="dxa"/>
            <w:shd w:val="clear" w:color="auto" w:fill="FFFFFF"/>
            <w:tcMar>
              <w:top w:w="0" w:type="dxa"/>
              <w:left w:w="85" w:type="dxa"/>
              <w:bottom w:w="0" w:type="dxa"/>
              <w:right w:w="85" w:type="dxa"/>
            </w:tcMar>
          </w:tcPr>
          <w:p w14:paraId="0B7E6A9E" w14:textId="77777777" w:rsidR="006611EE" w:rsidRPr="00261B7A" w:rsidRDefault="006611EE" w:rsidP="000F09B5">
            <w:pPr>
              <w:pStyle w:val="TableText"/>
              <w:spacing w:before="40" w:after="40"/>
              <w:jc w:val="right"/>
              <w:rPr>
                <w:rFonts w:cstheme="minorHAnsi"/>
              </w:rPr>
            </w:pPr>
            <w:r w:rsidRPr="00261B7A">
              <w:rPr>
                <w:rFonts w:cstheme="minorHAnsi"/>
                <w:color w:val="000000"/>
              </w:rPr>
              <w:t>34.3</w:t>
            </w:r>
          </w:p>
        </w:tc>
        <w:tc>
          <w:tcPr>
            <w:tcW w:w="794" w:type="dxa"/>
            <w:shd w:val="clear" w:color="auto" w:fill="FFFFFF"/>
            <w:tcMar>
              <w:top w:w="0" w:type="dxa"/>
              <w:left w:w="85" w:type="dxa"/>
              <w:bottom w:w="0" w:type="dxa"/>
              <w:right w:w="85" w:type="dxa"/>
            </w:tcMar>
          </w:tcPr>
          <w:p w14:paraId="0BCCDB4F" w14:textId="77777777" w:rsidR="006611EE" w:rsidRPr="00261B7A" w:rsidRDefault="006611EE" w:rsidP="000F09B5">
            <w:pPr>
              <w:pStyle w:val="TableText"/>
              <w:spacing w:before="40" w:after="40"/>
              <w:jc w:val="right"/>
              <w:rPr>
                <w:rFonts w:cstheme="minorHAnsi"/>
              </w:rPr>
            </w:pPr>
            <w:r w:rsidRPr="00261B7A">
              <w:rPr>
                <w:rFonts w:cstheme="minorHAnsi"/>
                <w:color w:val="000000"/>
              </w:rPr>
              <w:t>0.002</w:t>
            </w:r>
          </w:p>
        </w:tc>
        <w:tc>
          <w:tcPr>
            <w:tcW w:w="680" w:type="dxa"/>
            <w:shd w:val="clear" w:color="auto" w:fill="FFFFFF"/>
            <w:tcMar>
              <w:top w:w="0" w:type="dxa"/>
              <w:left w:w="85" w:type="dxa"/>
              <w:bottom w:w="0" w:type="dxa"/>
              <w:right w:w="85" w:type="dxa"/>
            </w:tcMar>
          </w:tcPr>
          <w:p w14:paraId="4D062A1C" w14:textId="77777777" w:rsidR="006611EE" w:rsidRPr="00261B7A" w:rsidRDefault="006611EE" w:rsidP="000F09B5">
            <w:pPr>
              <w:pStyle w:val="TableText"/>
              <w:spacing w:before="40" w:after="40"/>
              <w:jc w:val="right"/>
              <w:rPr>
                <w:rFonts w:cstheme="minorHAnsi"/>
              </w:rPr>
            </w:pPr>
            <w:r w:rsidRPr="00261B7A">
              <w:rPr>
                <w:rFonts w:cstheme="minorHAnsi"/>
                <w:color w:val="000000"/>
              </w:rPr>
              <w:t>0.2</w:t>
            </w:r>
          </w:p>
        </w:tc>
        <w:tc>
          <w:tcPr>
            <w:tcW w:w="680" w:type="dxa"/>
            <w:shd w:val="clear" w:color="auto" w:fill="FFFFFF"/>
            <w:tcMar>
              <w:top w:w="0" w:type="dxa"/>
              <w:left w:w="85" w:type="dxa"/>
              <w:bottom w:w="0" w:type="dxa"/>
              <w:right w:w="85" w:type="dxa"/>
            </w:tcMar>
          </w:tcPr>
          <w:p w14:paraId="008A47CC" w14:textId="77777777" w:rsidR="006611EE" w:rsidRPr="00261B7A" w:rsidRDefault="006611EE" w:rsidP="000F09B5">
            <w:pPr>
              <w:pStyle w:val="TableText"/>
              <w:spacing w:before="40" w:after="40"/>
              <w:jc w:val="right"/>
              <w:rPr>
                <w:rFonts w:cstheme="minorHAnsi"/>
              </w:rPr>
            </w:pPr>
            <w:r w:rsidRPr="00261B7A">
              <w:rPr>
                <w:rFonts w:cstheme="minorHAnsi"/>
                <w:color w:val="000000"/>
              </w:rPr>
              <w:t>94.7</w:t>
            </w:r>
          </w:p>
        </w:tc>
      </w:tr>
      <w:tr w:rsidR="006611EE" w:rsidRPr="00261B7A" w14:paraId="7AEAA0CA" w14:textId="77777777" w:rsidTr="000F09B5">
        <w:tc>
          <w:tcPr>
            <w:tcW w:w="567" w:type="dxa"/>
            <w:shd w:val="clear" w:color="auto" w:fill="FFFFFF"/>
            <w:tcMar>
              <w:top w:w="0" w:type="dxa"/>
              <w:left w:w="85" w:type="dxa"/>
              <w:bottom w:w="0" w:type="dxa"/>
              <w:right w:w="85" w:type="dxa"/>
            </w:tcMar>
          </w:tcPr>
          <w:p w14:paraId="606CAF4E" w14:textId="77777777" w:rsidR="006611EE" w:rsidRPr="00261B7A" w:rsidRDefault="006611EE" w:rsidP="000F09B5">
            <w:pPr>
              <w:pStyle w:val="TableText"/>
              <w:spacing w:before="40" w:after="40"/>
              <w:rPr>
                <w:rFonts w:cstheme="minorHAnsi"/>
              </w:rPr>
            </w:pPr>
            <w:r w:rsidRPr="00261B7A">
              <w:rPr>
                <w:rFonts w:cstheme="minorHAnsi"/>
                <w:color w:val="000000"/>
              </w:rPr>
              <w:t>5.C</w:t>
            </w:r>
          </w:p>
        </w:tc>
        <w:tc>
          <w:tcPr>
            <w:tcW w:w="2438" w:type="dxa"/>
            <w:shd w:val="clear" w:color="auto" w:fill="FFFFFF"/>
            <w:tcMar>
              <w:top w:w="0" w:type="dxa"/>
              <w:left w:w="85" w:type="dxa"/>
              <w:bottom w:w="0" w:type="dxa"/>
              <w:right w:w="85" w:type="dxa"/>
            </w:tcMar>
          </w:tcPr>
          <w:p w14:paraId="448E244B" w14:textId="77777777" w:rsidR="006611EE" w:rsidRPr="00261B7A" w:rsidRDefault="006611EE" w:rsidP="000F09B5">
            <w:pPr>
              <w:pStyle w:val="TableText"/>
              <w:spacing w:before="40" w:after="40"/>
              <w:rPr>
                <w:rFonts w:cstheme="minorHAnsi"/>
              </w:rPr>
            </w:pPr>
            <w:r w:rsidRPr="00261B7A">
              <w:rPr>
                <w:rFonts w:cstheme="minorHAnsi"/>
                <w:color w:val="000000"/>
              </w:rPr>
              <w:t>Waste – Incineration and Open Burning of Waste</w:t>
            </w:r>
          </w:p>
        </w:tc>
        <w:tc>
          <w:tcPr>
            <w:tcW w:w="510" w:type="dxa"/>
            <w:shd w:val="clear" w:color="auto" w:fill="FFFFFF"/>
            <w:tcMar>
              <w:top w:w="0" w:type="dxa"/>
              <w:left w:w="85" w:type="dxa"/>
              <w:bottom w:w="0" w:type="dxa"/>
              <w:right w:w="85" w:type="dxa"/>
            </w:tcMar>
          </w:tcPr>
          <w:p w14:paraId="1C132CBC"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26A7F9D2" w14:textId="77777777" w:rsidR="006611EE" w:rsidRPr="00261B7A" w:rsidRDefault="006611EE" w:rsidP="000F09B5">
            <w:pPr>
              <w:pStyle w:val="TableText"/>
              <w:spacing w:before="40" w:after="40"/>
              <w:jc w:val="right"/>
              <w:rPr>
                <w:rFonts w:cstheme="minorHAnsi"/>
              </w:rPr>
            </w:pPr>
            <w:r w:rsidRPr="00261B7A">
              <w:rPr>
                <w:rFonts w:cstheme="minorHAnsi"/>
                <w:color w:val="000000"/>
              </w:rPr>
              <w:t>158.9</w:t>
            </w:r>
          </w:p>
        </w:tc>
        <w:tc>
          <w:tcPr>
            <w:tcW w:w="794" w:type="dxa"/>
            <w:shd w:val="clear" w:color="auto" w:fill="FFFFFF"/>
            <w:tcMar>
              <w:top w:w="0" w:type="dxa"/>
              <w:left w:w="85" w:type="dxa"/>
              <w:bottom w:w="0" w:type="dxa"/>
              <w:right w:w="85" w:type="dxa"/>
            </w:tcMar>
          </w:tcPr>
          <w:p w14:paraId="1527B8BF" w14:textId="77777777" w:rsidR="006611EE" w:rsidRPr="00261B7A" w:rsidRDefault="006611EE" w:rsidP="000F09B5">
            <w:pPr>
              <w:pStyle w:val="TableText"/>
              <w:spacing w:before="40" w:after="40"/>
              <w:jc w:val="right"/>
              <w:rPr>
                <w:rFonts w:cstheme="minorHAnsi"/>
              </w:rPr>
            </w:pPr>
            <w:r w:rsidRPr="00261B7A">
              <w:rPr>
                <w:rFonts w:cstheme="minorHAnsi"/>
                <w:color w:val="000000"/>
              </w:rPr>
              <w:t>90.6</w:t>
            </w:r>
          </w:p>
        </w:tc>
        <w:tc>
          <w:tcPr>
            <w:tcW w:w="794" w:type="dxa"/>
            <w:shd w:val="clear" w:color="auto" w:fill="FFFFFF"/>
            <w:tcMar>
              <w:top w:w="0" w:type="dxa"/>
              <w:left w:w="85" w:type="dxa"/>
              <w:bottom w:w="0" w:type="dxa"/>
              <w:right w:w="85" w:type="dxa"/>
            </w:tcMar>
          </w:tcPr>
          <w:p w14:paraId="2FE7277E" w14:textId="77777777" w:rsidR="006611EE" w:rsidRPr="00261B7A" w:rsidRDefault="006611EE" w:rsidP="000F09B5">
            <w:pPr>
              <w:pStyle w:val="TableText"/>
              <w:spacing w:before="40" w:after="40"/>
              <w:jc w:val="right"/>
              <w:rPr>
                <w:rFonts w:cstheme="minorHAnsi"/>
              </w:rPr>
            </w:pPr>
            <w:r w:rsidRPr="00261B7A">
              <w:rPr>
                <w:rFonts w:cstheme="minorHAnsi"/>
                <w:color w:val="000000"/>
              </w:rPr>
              <w:t>0.002</w:t>
            </w:r>
          </w:p>
        </w:tc>
        <w:tc>
          <w:tcPr>
            <w:tcW w:w="680" w:type="dxa"/>
            <w:shd w:val="clear" w:color="auto" w:fill="FFFFFF"/>
            <w:tcMar>
              <w:top w:w="0" w:type="dxa"/>
              <w:left w:w="85" w:type="dxa"/>
              <w:bottom w:w="0" w:type="dxa"/>
              <w:right w:w="85" w:type="dxa"/>
            </w:tcMar>
          </w:tcPr>
          <w:p w14:paraId="51E2D7C7" w14:textId="77777777" w:rsidR="006611EE" w:rsidRPr="00261B7A" w:rsidRDefault="006611EE" w:rsidP="000F09B5">
            <w:pPr>
              <w:pStyle w:val="TableText"/>
              <w:spacing w:before="40" w:after="40"/>
              <w:jc w:val="right"/>
              <w:rPr>
                <w:rFonts w:cstheme="minorHAnsi"/>
              </w:rPr>
            </w:pPr>
            <w:r w:rsidRPr="00261B7A">
              <w:rPr>
                <w:rFonts w:cstheme="minorHAnsi"/>
                <w:color w:val="000000"/>
              </w:rPr>
              <w:t>0.2</w:t>
            </w:r>
          </w:p>
        </w:tc>
        <w:tc>
          <w:tcPr>
            <w:tcW w:w="680" w:type="dxa"/>
            <w:shd w:val="clear" w:color="auto" w:fill="FFFFFF"/>
            <w:tcMar>
              <w:top w:w="0" w:type="dxa"/>
              <w:left w:w="85" w:type="dxa"/>
              <w:bottom w:w="0" w:type="dxa"/>
              <w:right w:w="85" w:type="dxa"/>
            </w:tcMar>
          </w:tcPr>
          <w:p w14:paraId="067CC051" w14:textId="77777777" w:rsidR="006611EE" w:rsidRPr="00261B7A" w:rsidRDefault="006611EE" w:rsidP="000F09B5">
            <w:pPr>
              <w:pStyle w:val="TableText"/>
              <w:spacing w:before="40" w:after="40"/>
              <w:jc w:val="right"/>
              <w:rPr>
                <w:rFonts w:cstheme="minorHAnsi"/>
              </w:rPr>
            </w:pPr>
            <w:r w:rsidRPr="00261B7A">
              <w:rPr>
                <w:rFonts w:cstheme="minorHAnsi"/>
                <w:color w:val="000000"/>
              </w:rPr>
              <w:t>95.0</w:t>
            </w:r>
          </w:p>
        </w:tc>
      </w:tr>
      <w:tr w:rsidR="006611EE" w:rsidRPr="00261B7A" w14:paraId="3C23F22E" w14:textId="77777777" w:rsidTr="000F09B5">
        <w:tc>
          <w:tcPr>
            <w:tcW w:w="567" w:type="dxa"/>
            <w:shd w:val="clear" w:color="auto" w:fill="FFFFFF"/>
            <w:tcMar>
              <w:top w:w="0" w:type="dxa"/>
              <w:left w:w="85" w:type="dxa"/>
              <w:bottom w:w="0" w:type="dxa"/>
              <w:right w:w="85" w:type="dxa"/>
            </w:tcMar>
          </w:tcPr>
          <w:p w14:paraId="16275C86" w14:textId="77777777" w:rsidR="006611EE" w:rsidRPr="00261B7A" w:rsidRDefault="006611EE" w:rsidP="000F09B5">
            <w:pPr>
              <w:pStyle w:val="TableText"/>
              <w:spacing w:before="40" w:after="40"/>
              <w:rPr>
                <w:rFonts w:cstheme="minorHAnsi"/>
              </w:rPr>
            </w:pPr>
            <w:r w:rsidRPr="00261B7A">
              <w:rPr>
                <w:rFonts w:cstheme="minorHAnsi"/>
                <w:color w:val="000000"/>
              </w:rPr>
              <w:t>1.A.4.c</w:t>
            </w:r>
          </w:p>
        </w:tc>
        <w:tc>
          <w:tcPr>
            <w:tcW w:w="2438" w:type="dxa"/>
            <w:shd w:val="clear" w:color="auto" w:fill="FFFFFF"/>
            <w:tcMar>
              <w:top w:w="0" w:type="dxa"/>
              <w:left w:w="85" w:type="dxa"/>
              <w:bottom w:w="0" w:type="dxa"/>
              <w:right w:w="85" w:type="dxa"/>
            </w:tcMar>
          </w:tcPr>
          <w:p w14:paraId="7F152CF5" w14:textId="77777777" w:rsidR="006611EE" w:rsidRPr="00261B7A" w:rsidRDefault="006611EE" w:rsidP="000F09B5">
            <w:pPr>
              <w:pStyle w:val="TableText"/>
              <w:spacing w:before="40" w:after="40"/>
              <w:rPr>
                <w:rFonts w:cstheme="minorHAnsi"/>
              </w:rPr>
            </w:pPr>
            <w:r w:rsidRPr="00261B7A">
              <w:rPr>
                <w:rFonts w:cstheme="minorHAnsi"/>
                <w:color w:val="000000"/>
              </w:rPr>
              <w:t>Other Sectors – Agriculture/ Forestry/Fishing Solid Fuels</w:t>
            </w:r>
          </w:p>
        </w:tc>
        <w:tc>
          <w:tcPr>
            <w:tcW w:w="510" w:type="dxa"/>
            <w:shd w:val="clear" w:color="auto" w:fill="FFFFFF"/>
            <w:tcMar>
              <w:top w:w="0" w:type="dxa"/>
              <w:left w:w="85" w:type="dxa"/>
              <w:bottom w:w="0" w:type="dxa"/>
              <w:right w:w="85" w:type="dxa"/>
            </w:tcMar>
          </w:tcPr>
          <w:p w14:paraId="6A6AC09E" w14:textId="77777777" w:rsidR="006611EE" w:rsidRPr="00261B7A" w:rsidRDefault="006611EE" w:rsidP="000F09B5">
            <w:pPr>
              <w:pStyle w:val="TableText"/>
              <w:spacing w:before="40" w:after="40"/>
              <w:jc w:val="center"/>
              <w:rPr>
                <w:rFonts w:cstheme="minorHAnsi"/>
              </w:rPr>
            </w:pPr>
            <w:r w:rsidRPr="00261B7A">
              <w:rPr>
                <w:rFonts w:cstheme="minorHAnsi"/>
                <w:color w:val="000000"/>
              </w:rPr>
              <w:t>CO</w:t>
            </w:r>
            <w:r w:rsidRPr="00261B7A">
              <w:rPr>
                <w:rFonts w:asciiTheme="minorHAnsi" w:hAnsiTheme="minorHAnsi" w:cstheme="minorHAnsi"/>
                <w:vertAlign w:val="subscript"/>
              </w:rPr>
              <w:t>2</w:t>
            </w:r>
          </w:p>
        </w:tc>
        <w:tc>
          <w:tcPr>
            <w:tcW w:w="794" w:type="dxa"/>
            <w:shd w:val="clear" w:color="auto" w:fill="FFFFFF"/>
            <w:tcMar>
              <w:top w:w="0" w:type="dxa"/>
              <w:left w:w="85" w:type="dxa"/>
              <w:bottom w:w="0" w:type="dxa"/>
              <w:right w:w="85" w:type="dxa"/>
            </w:tcMar>
          </w:tcPr>
          <w:p w14:paraId="1C6C52EE" w14:textId="77777777" w:rsidR="006611EE" w:rsidRPr="00261B7A" w:rsidRDefault="006611EE" w:rsidP="000F09B5">
            <w:pPr>
              <w:pStyle w:val="TableText"/>
              <w:spacing w:before="40" w:after="40"/>
              <w:jc w:val="right"/>
              <w:rPr>
                <w:rFonts w:cstheme="minorHAnsi"/>
              </w:rPr>
            </w:pPr>
            <w:r w:rsidRPr="00261B7A">
              <w:rPr>
                <w:rFonts w:cstheme="minorHAnsi"/>
                <w:color w:val="000000"/>
              </w:rPr>
              <w:t>35.1</w:t>
            </w:r>
          </w:p>
        </w:tc>
        <w:tc>
          <w:tcPr>
            <w:tcW w:w="794" w:type="dxa"/>
            <w:shd w:val="clear" w:color="auto" w:fill="FFFFFF"/>
            <w:tcMar>
              <w:top w:w="0" w:type="dxa"/>
              <w:left w:w="85" w:type="dxa"/>
              <w:bottom w:w="0" w:type="dxa"/>
              <w:right w:w="85" w:type="dxa"/>
            </w:tcMar>
          </w:tcPr>
          <w:p w14:paraId="02B62CA9" w14:textId="77777777" w:rsidR="006611EE" w:rsidRPr="00261B7A" w:rsidRDefault="006611EE" w:rsidP="000F09B5">
            <w:pPr>
              <w:pStyle w:val="TableText"/>
              <w:spacing w:before="40" w:after="40"/>
              <w:jc w:val="right"/>
              <w:rPr>
                <w:rFonts w:cstheme="minorHAnsi"/>
              </w:rPr>
            </w:pPr>
            <w:r w:rsidRPr="00261B7A">
              <w:rPr>
                <w:rFonts w:cstheme="minorHAnsi"/>
                <w:color w:val="000000"/>
              </w:rPr>
              <w:t>139.3</w:t>
            </w:r>
          </w:p>
        </w:tc>
        <w:tc>
          <w:tcPr>
            <w:tcW w:w="794" w:type="dxa"/>
            <w:shd w:val="clear" w:color="auto" w:fill="FFFFFF"/>
            <w:tcMar>
              <w:top w:w="0" w:type="dxa"/>
              <w:left w:w="85" w:type="dxa"/>
              <w:bottom w:w="0" w:type="dxa"/>
              <w:right w:w="85" w:type="dxa"/>
            </w:tcMar>
          </w:tcPr>
          <w:p w14:paraId="21DC0BB7" w14:textId="77777777" w:rsidR="006611EE" w:rsidRPr="00261B7A" w:rsidRDefault="006611EE" w:rsidP="000F09B5">
            <w:pPr>
              <w:pStyle w:val="TableText"/>
              <w:spacing w:before="40" w:after="40"/>
              <w:jc w:val="right"/>
              <w:rPr>
                <w:rFonts w:cstheme="minorHAnsi"/>
              </w:rPr>
            </w:pPr>
            <w:r w:rsidRPr="00261B7A">
              <w:rPr>
                <w:rFonts w:cstheme="minorHAnsi"/>
                <w:color w:val="000000"/>
              </w:rPr>
              <w:t>0.002</w:t>
            </w:r>
          </w:p>
        </w:tc>
        <w:tc>
          <w:tcPr>
            <w:tcW w:w="680" w:type="dxa"/>
            <w:shd w:val="clear" w:color="auto" w:fill="FFFFFF"/>
            <w:tcMar>
              <w:top w:w="0" w:type="dxa"/>
              <w:left w:w="85" w:type="dxa"/>
              <w:bottom w:w="0" w:type="dxa"/>
              <w:right w:w="85" w:type="dxa"/>
            </w:tcMar>
          </w:tcPr>
          <w:p w14:paraId="11BA276E" w14:textId="77777777" w:rsidR="006611EE" w:rsidRPr="00261B7A" w:rsidRDefault="006611EE" w:rsidP="000F09B5">
            <w:pPr>
              <w:pStyle w:val="TableText"/>
              <w:spacing w:before="40" w:after="40"/>
              <w:jc w:val="right"/>
              <w:rPr>
                <w:rFonts w:cstheme="minorHAnsi"/>
              </w:rPr>
            </w:pPr>
            <w:r w:rsidRPr="00261B7A">
              <w:rPr>
                <w:rFonts w:cstheme="minorHAnsi"/>
                <w:color w:val="000000"/>
              </w:rPr>
              <w:t>0.2</w:t>
            </w:r>
          </w:p>
        </w:tc>
        <w:tc>
          <w:tcPr>
            <w:tcW w:w="680" w:type="dxa"/>
            <w:shd w:val="clear" w:color="auto" w:fill="FFFFFF"/>
            <w:tcMar>
              <w:top w:w="0" w:type="dxa"/>
              <w:left w:w="85" w:type="dxa"/>
              <w:bottom w:w="0" w:type="dxa"/>
              <w:right w:w="85" w:type="dxa"/>
            </w:tcMar>
          </w:tcPr>
          <w:p w14:paraId="2D875711" w14:textId="77777777" w:rsidR="006611EE" w:rsidRPr="00261B7A" w:rsidRDefault="006611EE" w:rsidP="000F09B5">
            <w:pPr>
              <w:pStyle w:val="TableText"/>
              <w:spacing w:before="40" w:after="40"/>
              <w:jc w:val="right"/>
              <w:rPr>
                <w:rFonts w:cstheme="minorHAnsi"/>
              </w:rPr>
            </w:pPr>
            <w:r w:rsidRPr="00261B7A">
              <w:rPr>
                <w:rFonts w:cstheme="minorHAnsi"/>
                <w:color w:val="000000"/>
              </w:rPr>
              <w:t>95.2</w:t>
            </w:r>
          </w:p>
        </w:tc>
      </w:tr>
    </w:tbl>
    <w:p w14:paraId="4A0EA1BB" w14:textId="77777777" w:rsidR="006611EE" w:rsidRPr="00261B7A" w:rsidRDefault="006611EE" w:rsidP="006611EE">
      <w:pPr>
        <w:pStyle w:val="Noteundertable"/>
      </w:pPr>
      <w:r w:rsidRPr="00261B7A">
        <w:rPr>
          <w:b/>
          <w:bCs/>
        </w:rPr>
        <w:t>Note</w:t>
      </w:r>
      <w:r w:rsidRPr="00261B7A">
        <w:t xml:space="preserve">: </w:t>
      </w:r>
      <w:r w:rsidRPr="00261B7A">
        <w:tab/>
        <w:t>Removals from the LULUCF sector are shown as negatives in this table. In line with the methodology for key category analysis, the absolute values for those removals were used for the calculations.</w:t>
      </w:r>
    </w:p>
    <w:p w14:paraId="2E5F66AA" w14:textId="77777777" w:rsidR="006611EE" w:rsidRPr="00261B7A" w:rsidRDefault="006611EE" w:rsidP="00DC76DE">
      <w:pPr>
        <w:pStyle w:val="Heading3"/>
        <w:spacing w:before="240"/>
      </w:pPr>
      <w:bookmarkStart w:id="101" w:name="X7d7a18dce4efa5642ae94cc97a4c86135537a8c"/>
      <w:bookmarkEnd w:id="94"/>
      <w:r w:rsidRPr="00261B7A">
        <w:t>1.5.2</w:t>
      </w:r>
      <w:r w:rsidRPr="00261B7A">
        <w:tab/>
        <w:t>LULUCF activities under the Kyoto Protocol</w:t>
      </w:r>
    </w:p>
    <w:p w14:paraId="1CF25888" w14:textId="77777777" w:rsidR="006611EE" w:rsidRPr="00261B7A" w:rsidRDefault="006611EE" w:rsidP="00517C59">
      <w:pPr>
        <w:pStyle w:val="BodyText"/>
        <w:spacing w:before="100" w:after="100"/>
      </w:pPr>
      <w:r w:rsidRPr="00261B7A">
        <w:t xml:space="preserve">Key categories under the Kyoto Protocol are identified by looking at the assessment of similar categories within the LULUCF sector as reported under the Convention. In 2021, </w:t>
      </w:r>
      <w:r w:rsidRPr="00261B7A">
        <w:rPr>
          <w:i/>
          <w:iCs/>
        </w:rPr>
        <w:t>Afforestation and reforestation</w:t>
      </w:r>
      <w:r w:rsidRPr="00261B7A">
        <w:t xml:space="preserve">, </w:t>
      </w:r>
      <w:r w:rsidRPr="00261B7A">
        <w:rPr>
          <w:i/>
          <w:iCs/>
        </w:rPr>
        <w:t>Deforestation</w:t>
      </w:r>
      <w:r w:rsidRPr="00261B7A">
        <w:t xml:space="preserve"> and </w:t>
      </w:r>
      <w:r w:rsidRPr="00261B7A">
        <w:rPr>
          <w:i/>
          <w:iCs/>
        </w:rPr>
        <w:t>Forest management</w:t>
      </w:r>
      <w:r w:rsidRPr="00261B7A">
        <w:t xml:space="preserve"> were all identified as key categories in both the level and trend assessments.</w:t>
      </w:r>
    </w:p>
    <w:p w14:paraId="183B2BE8" w14:textId="77777777" w:rsidR="006611EE" w:rsidRPr="00261B7A" w:rsidRDefault="006611EE" w:rsidP="006611EE">
      <w:pPr>
        <w:pStyle w:val="Heading2"/>
      </w:pPr>
      <w:bookmarkStart w:id="102" w:name="_Toc131591208"/>
      <w:bookmarkStart w:id="103" w:name="inventory-uncertainty"/>
      <w:bookmarkEnd w:id="93"/>
      <w:bookmarkEnd w:id="101"/>
      <w:r w:rsidRPr="00261B7A">
        <w:t>1.6</w:t>
      </w:r>
      <w:r w:rsidRPr="00261B7A">
        <w:tab/>
        <w:t>Inventory uncertainty</w:t>
      </w:r>
      <w:bookmarkEnd w:id="102"/>
    </w:p>
    <w:p w14:paraId="3110163C" w14:textId="77777777" w:rsidR="006611EE" w:rsidRPr="00261B7A" w:rsidRDefault="006611EE" w:rsidP="00517C59">
      <w:pPr>
        <w:pStyle w:val="Heading3"/>
        <w:spacing w:before="180"/>
      </w:pPr>
      <w:bookmarkStart w:id="104" w:name="reporting-under-the-convention-1"/>
      <w:r w:rsidRPr="00261B7A">
        <w:t>1.6.1</w:t>
      </w:r>
      <w:r w:rsidRPr="00261B7A">
        <w:tab/>
        <w:t>Reporting under the Convention</w:t>
      </w:r>
    </w:p>
    <w:p w14:paraId="5131C30E" w14:textId="77777777" w:rsidR="006611EE" w:rsidRPr="00261B7A" w:rsidRDefault="006611EE" w:rsidP="00517C59">
      <w:pPr>
        <w:pStyle w:val="BodyText"/>
        <w:spacing w:after="100"/>
      </w:pPr>
      <w:r w:rsidRPr="00261B7A">
        <w:t>Uncertainty estimates are an essential element of a complete inventory. The purpose of uncertainty information is not to dispute the validity of the inventory estimates but to help prioritise efforts to improve the accuracy of inventories and guide decisions on methodological choice (IPCC, 2006). Inventories prepared in accordance with the 2006 IPCC Guidelines (IPCC, 2006) will typically contain a wide range of emissions estimates, varying from carefully measured and demonstrably complete data on emissions, to order-of-magnitude estimates for highly variable emissions such as N</w:t>
      </w:r>
      <w:r w:rsidRPr="00261B7A">
        <w:rPr>
          <w:vertAlign w:val="subscript"/>
        </w:rPr>
        <w:t>2</w:t>
      </w:r>
      <w:r w:rsidRPr="00261B7A">
        <w:t>O fluxes from soils and waterways (IPCC, 2006).</w:t>
      </w:r>
    </w:p>
    <w:p w14:paraId="7D14BFF5" w14:textId="77777777" w:rsidR="006611EE" w:rsidRPr="00261B7A" w:rsidRDefault="006611EE" w:rsidP="00517C59">
      <w:pPr>
        <w:pStyle w:val="BodyText"/>
        <w:spacing w:after="100"/>
      </w:pPr>
      <w:r w:rsidRPr="00261B7A">
        <w:t>New Zealand includes an uncertainty analysis of the aggregated figures, as required by the inventory reporting guidelines (UNFCCC, 2013a), applying approach 1 from the 2006 IPCC Guidelines (IPCC, 2006).</w:t>
      </w:r>
    </w:p>
    <w:p w14:paraId="20150BF9" w14:textId="77777777" w:rsidR="006611EE" w:rsidRPr="00261B7A" w:rsidRDefault="006611EE" w:rsidP="00517C59">
      <w:pPr>
        <w:pStyle w:val="BodyText"/>
        <w:spacing w:after="100"/>
      </w:pPr>
      <w:r w:rsidRPr="00261B7A">
        <w:t>Uncertainties in the categories are combined to provide uncertainty estimates for all emissions for the latest reporting year and the base year, and the uncertainty in the trend over time. Annex 2 sets out uncertainties for net emissions, where removals under LULUCF categories are included (table A2.1.1), and gross emissions excluding LULUCF (table A2.1.2).</w:t>
      </w:r>
    </w:p>
    <w:p w14:paraId="62790D92" w14:textId="77777777" w:rsidR="006611EE" w:rsidRPr="00261B7A" w:rsidRDefault="006611EE" w:rsidP="006611EE">
      <w:pPr>
        <w:pStyle w:val="BodyText"/>
      </w:pPr>
      <w:r w:rsidRPr="00261B7A">
        <w:lastRenderedPageBreak/>
        <w:t>In most instances, the uncertainty values are determined by analysis of emission factors or activity data using expert judgement from sectoral or industry experts, or by referring to uncertainty ranges provided in the 2006 IPCC Guidelines (IPCC, 2006). Uncertainties for the source categories were originally determined at the lowest level where information and data were available. The uncertainty estimates within each sector were made by the personnel at the agencies responsible for the sector, which is a part of New Zealand’s national system arrangements.</w:t>
      </w:r>
    </w:p>
    <w:p w14:paraId="590A8A21" w14:textId="77777777" w:rsidR="006611EE" w:rsidRPr="00261B7A" w:rsidRDefault="006611EE" w:rsidP="006611EE">
      <w:pPr>
        <w:pStyle w:val="BodyText"/>
      </w:pPr>
      <w:r w:rsidRPr="00261B7A">
        <w:t>The low-level uncertainties have then been aggregated to various extents by the sector compiling agencies as far as the second-level category for each of CO</w:t>
      </w:r>
      <w:r w:rsidRPr="00261B7A">
        <w:rPr>
          <w:vertAlign w:val="subscript"/>
        </w:rPr>
        <w:t>2</w:t>
      </w:r>
      <w:r w:rsidRPr="00261B7A">
        <w:t>, CH</w:t>
      </w:r>
      <w:r w:rsidRPr="00261B7A">
        <w:rPr>
          <w:vertAlign w:val="subscript"/>
        </w:rPr>
        <w:t>4</w:t>
      </w:r>
      <w:r w:rsidRPr="00261B7A">
        <w:t>, N</w:t>
      </w:r>
      <w:r w:rsidRPr="00261B7A">
        <w:rPr>
          <w:vertAlign w:val="subscript"/>
        </w:rPr>
        <w:t>2</w:t>
      </w:r>
      <w:r w:rsidRPr="00261B7A">
        <w:t>O and SF</w:t>
      </w:r>
      <w:r w:rsidRPr="00261B7A">
        <w:rPr>
          <w:vertAlign w:val="subscript"/>
        </w:rPr>
        <w:t>6</w:t>
      </w:r>
      <w:r w:rsidRPr="00261B7A">
        <w:t xml:space="preserve"> separately and for HFCs and PFCs as groups. These data at the aggregated category level have been submitted to the National Inventory Compiler for performing overall uncertainty calculations for level and trend uncertainties for gross and net emissions (excluding and including LULUCF).</w:t>
      </w:r>
    </w:p>
    <w:p w14:paraId="04620A01" w14:textId="77777777" w:rsidR="006611EE" w:rsidRPr="00261B7A" w:rsidRDefault="006611EE" w:rsidP="006611EE">
      <w:pPr>
        <w:pStyle w:val="BodyText"/>
      </w:pPr>
      <w:r w:rsidRPr="00261B7A">
        <w:t>In most cases, to aggregate uncertainties from subcategories, sectoral compilers used the approach 1 recommended in the 2006 IPCC Guidelines (IPCC, 2006, equation 3.2, page 3.28).</w:t>
      </w:r>
    </w:p>
    <w:p w14:paraId="40267F10" w14:textId="77777777" w:rsidR="006611EE" w:rsidRPr="00261B7A" w:rsidRDefault="006611EE" w:rsidP="006611EE">
      <w:pPr>
        <w:pStyle w:val="BodyText"/>
      </w:pPr>
      <w:r w:rsidRPr="00261B7A">
        <w:t>In the IPPU sector (for the ODS category only), most of the emissions are estimated using a mass balance approach as indicated in chapter 4. This approach uses the data on imports of each gas as the total for all applications for an input. In this calculation, it would not be appropriate to combine the uncertainties for subcategories using the propagation method because they are not independent variables and, therefore, expert judgement on the bulk value of HFCs was used.</w:t>
      </w:r>
    </w:p>
    <w:p w14:paraId="1FE55338" w14:textId="77777777" w:rsidR="006611EE" w:rsidRPr="00261B7A" w:rsidRDefault="006611EE" w:rsidP="006611EE">
      <w:pPr>
        <w:pStyle w:val="BodyText"/>
      </w:pPr>
      <w:r w:rsidRPr="00261B7A">
        <w:t>The uncertainty for CH</w:t>
      </w:r>
      <w:r w:rsidRPr="00261B7A">
        <w:rPr>
          <w:vertAlign w:val="subscript"/>
        </w:rPr>
        <w:t>4</w:t>
      </w:r>
      <w:r w:rsidRPr="00261B7A">
        <w:t xml:space="preserve"> emissions from enteric fermentation was calculated by expressing the </w:t>
      </w:r>
      <w:r w:rsidRPr="00261B7A">
        <w:rPr>
          <w:spacing w:val="-2"/>
        </w:rPr>
        <w:t>coefficient of variation according to the standard error of the CH</w:t>
      </w:r>
      <w:r w:rsidRPr="00261B7A">
        <w:rPr>
          <w:spacing w:val="-2"/>
          <w:vertAlign w:val="subscript"/>
        </w:rPr>
        <w:t>4</w:t>
      </w:r>
      <w:r w:rsidRPr="00261B7A">
        <w:rPr>
          <w:spacing w:val="-2"/>
        </w:rPr>
        <w:t xml:space="preserve"> yield. A Monte Carlo simulation</w:t>
      </w:r>
      <w:r w:rsidRPr="00261B7A">
        <w:t xml:space="preserve"> has been used to determine uncertainty for N</w:t>
      </w:r>
      <w:r w:rsidRPr="00261B7A">
        <w:rPr>
          <w:vertAlign w:val="subscript"/>
        </w:rPr>
        <w:t>2</w:t>
      </w:r>
      <w:r w:rsidRPr="00261B7A">
        <w:t>O from agricultural soils. For the 2012 data, the uncertainty in the annual estimate was calculated using the 95 per cent confidence interval determined from the Monte Carlo simulation as a percentage of the mean value.</w:t>
      </w:r>
    </w:p>
    <w:p w14:paraId="3BB64CFB" w14:textId="0552ECA4" w:rsidR="006611EE" w:rsidRPr="00261B7A" w:rsidRDefault="006611EE" w:rsidP="006611EE">
      <w:pPr>
        <w:pStyle w:val="BodyText"/>
      </w:pPr>
      <w:r w:rsidRPr="00261B7A">
        <w:t>In the LULUCF sector, uncertainties were combined and aggregated using the error propagation procedure outlined in approach 1 in the 2006 IPCC Guidelines (IPCC, 2006, equation 3.1 and equation 3.2, page 3.28). These uncertainties incorporate natural variability, measurement error and model prediction error. The uncertainties in the net carbon emissions for each category in the LULUCF sector are given within the relevant sections of chapter 6. Detailed analysis of LULUCF uncertainties is presented in annex</w:t>
      </w:r>
      <w:r w:rsidR="008367EB" w:rsidRPr="00261B7A">
        <w:t xml:space="preserve"> 3, section</w:t>
      </w:r>
      <w:r w:rsidRPr="00261B7A">
        <w:t xml:space="preserve"> </w:t>
      </w:r>
      <w:r w:rsidR="008367EB" w:rsidRPr="00261B7A">
        <w:t>A</w:t>
      </w:r>
      <w:r w:rsidRPr="00261B7A">
        <w:t>3.2.8.</w:t>
      </w:r>
    </w:p>
    <w:p w14:paraId="5BB41784" w14:textId="77777777" w:rsidR="006611EE" w:rsidRPr="00261B7A" w:rsidRDefault="006611EE" w:rsidP="006611EE">
      <w:pPr>
        <w:pStyle w:val="Heading4"/>
      </w:pPr>
      <w:r w:rsidRPr="00261B7A">
        <w:t>Gross emissions</w:t>
      </w:r>
    </w:p>
    <w:p w14:paraId="26F71718" w14:textId="77777777" w:rsidR="006611EE" w:rsidRPr="00261B7A" w:rsidRDefault="006611EE" w:rsidP="00BC6A36">
      <w:pPr>
        <w:pStyle w:val="Heading5"/>
        <w:spacing w:before="180"/>
      </w:pPr>
      <w:bookmarkStart w:id="105" w:name="uncertainty-in-2021-level-assessment"/>
      <w:r w:rsidRPr="00261B7A">
        <w:t xml:space="preserve">Uncertainty in </w:t>
      </w:r>
      <w:r w:rsidRPr="00261B7A">
        <w:rPr>
          <w:bCs w:val="0"/>
        </w:rPr>
        <w:t>2021</w:t>
      </w:r>
      <w:r w:rsidRPr="00261B7A">
        <w:t xml:space="preserve"> – level assessment</w:t>
      </w:r>
    </w:p>
    <w:p w14:paraId="703DBC06" w14:textId="77777777" w:rsidR="006611EE" w:rsidRPr="00261B7A" w:rsidRDefault="006611EE" w:rsidP="006611EE">
      <w:pPr>
        <w:pStyle w:val="BodyText"/>
      </w:pPr>
      <w:r w:rsidRPr="00261B7A">
        <w:t>The uncertainty in gross emissions (excluding emissions and removals from the LULUCF sector) in 2021 is ±8.5 per cent. This is a decrease of 0.3 per cent from that reported for 2020 in the previous submission. Emissions contributing the most to the overall uncertainty of gross emissions in 2021 were CH</w:t>
      </w:r>
      <w:r w:rsidRPr="00261B7A">
        <w:rPr>
          <w:vertAlign w:val="subscript"/>
        </w:rPr>
        <w:t>4</w:t>
      </w:r>
      <w:r w:rsidRPr="00261B7A">
        <w:t xml:space="preserve"> from </w:t>
      </w:r>
      <w:r w:rsidRPr="00261B7A">
        <w:rPr>
          <w:i/>
          <w:iCs/>
        </w:rPr>
        <w:t>Enteric fermentation</w:t>
      </w:r>
      <w:r w:rsidRPr="00261B7A">
        <w:t xml:space="preserve"> (±16.0 per cent) at 5.8 per cent, N</w:t>
      </w:r>
      <w:r w:rsidRPr="00261B7A">
        <w:rPr>
          <w:vertAlign w:val="subscript"/>
        </w:rPr>
        <w:t>2</w:t>
      </w:r>
      <w:r w:rsidRPr="00261B7A">
        <w:t xml:space="preserve">O from </w:t>
      </w:r>
      <w:r w:rsidRPr="00261B7A">
        <w:rPr>
          <w:i/>
          <w:iCs/>
        </w:rPr>
        <w:t>Agricultural soils</w:t>
      </w:r>
      <w:r w:rsidRPr="00261B7A">
        <w:t xml:space="preserve"> (±55.3 per cent) at 5.3 per cent and CH</w:t>
      </w:r>
      <w:r w:rsidRPr="00261B7A">
        <w:rPr>
          <w:vertAlign w:val="subscript"/>
        </w:rPr>
        <w:t>4</w:t>
      </w:r>
      <w:r w:rsidRPr="00261B7A">
        <w:t xml:space="preserve"> from </w:t>
      </w:r>
      <w:r w:rsidRPr="00261B7A">
        <w:rPr>
          <w:i/>
          <w:iCs/>
        </w:rPr>
        <w:t>Solid waste disposal</w:t>
      </w:r>
      <w:r w:rsidRPr="00261B7A">
        <w:t xml:space="preserve"> (±95.8 per cent) at 3.2 per cent. The uncertainty in these categories reflects the inherent variability when estimating emissions from natural systems.</w:t>
      </w:r>
    </w:p>
    <w:p w14:paraId="0B6316E3" w14:textId="77777777" w:rsidR="006611EE" w:rsidRPr="00261B7A" w:rsidRDefault="006611EE" w:rsidP="006611EE">
      <w:pPr>
        <w:pStyle w:val="Heading5"/>
      </w:pPr>
      <w:bookmarkStart w:id="106" w:name="uncertainty-in-1990-level-assessment"/>
      <w:bookmarkEnd w:id="105"/>
      <w:r w:rsidRPr="00261B7A">
        <w:lastRenderedPageBreak/>
        <w:t>Uncertainty in 1990 – level assessment</w:t>
      </w:r>
    </w:p>
    <w:p w14:paraId="7371BABC" w14:textId="77777777" w:rsidR="006611EE" w:rsidRPr="00261B7A" w:rsidRDefault="006611EE" w:rsidP="006611EE">
      <w:pPr>
        <w:pStyle w:val="BodyText"/>
      </w:pPr>
      <w:r w:rsidRPr="00261B7A">
        <w:t>In 1990, the uncertainty in gross emissions was ±9.5 per cent. This is a decrease of 0.04 per cent from the previous submission. Emissions of CH</w:t>
      </w:r>
      <w:r w:rsidRPr="00261B7A">
        <w:rPr>
          <w:vertAlign w:val="subscript"/>
        </w:rPr>
        <w:t>4</w:t>
      </w:r>
      <w:r w:rsidRPr="00261B7A">
        <w:t xml:space="preserve"> from </w:t>
      </w:r>
      <w:r w:rsidRPr="00261B7A">
        <w:rPr>
          <w:i/>
          <w:iCs/>
        </w:rPr>
        <w:t>Enteric fermentation</w:t>
      </w:r>
      <w:r w:rsidRPr="00261B7A">
        <w:t xml:space="preserve"> contributed 6.7 per cent, CH</w:t>
      </w:r>
      <w:r w:rsidRPr="00261B7A">
        <w:rPr>
          <w:vertAlign w:val="subscript"/>
        </w:rPr>
        <w:t>4</w:t>
      </w:r>
      <w:r w:rsidRPr="00261B7A">
        <w:t xml:space="preserve"> from </w:t>
      </w:r>
      <w:r w:rsidRPr="00261B7A">
        <w:rPr>
          <w:i/>
          <w:iCs/>
        </w:rPr>
        <w:t>Solid waste disposal</w:t>
      </w:r>
      <w:r w:rsidRPr="00261B7A">
        <w:t xml:space="preserve"> contributed 4.9 per cent and N</w:t>
      </w:r>
      <w:r w:rsidRPr="00261B7A">
        <w:rPr>
          <w:vertAlign w:val="subscript"/>
        </w:rPr>
        <w:t>2</w:t>
      </w:r>
      <w:r w:rsidRPr="00261B7A">
        <w:t xml:space="preserve">O from </w:t>
      </w:r>
      <w:r w:rsidRPr="00261B7A">
        <w:rPr>
          <w:i/>
          <w:iCs/>
        </w:rPr>
        <w:t>Agricultural soils</w:t>
      </w:r>
      <w:r w:rsidRPr="00261B7A">
        <w:t xml:space="preserve"> contributed 4.5 per cent to the overall uncertainty of gross emissions in 1990.</w:t>
      </w:r>
    </w:p>
    <w:p w14:paraId="6D15A7F1" w14:textId="77777777" w:rsidR="006611EE" w:rsidRPr="00261B7A" w:rsidRDefault="006611EE" w:rsidP="006611EE">
      <w:pPr>
        <w:pStyle w:val="Heading5"/>
      </w:pPr>
      <w:bookmarkStart w:id="107" w:name="uncertainty-in-the-trend"/>
      <w:bookmarkEnd w:id="106"/>
      <w:r w:rsidRPr="00261B7A">
        <w:t>Uncertainty in the trend</w:t>
      </w:r>
    </w:p>
    <w:p w14:paraId="72D8CD3F" w14:textId="77777777" w:rsidR="006611EE" w:rsidRPr="00261B7A" w:rsidRDefault="006611EE" w:rsidP="006611EE">
      <w:pPr>
        <w:pStyle w:val="BodyText"/>
      </w:pPr>
      <w:r w:rsidRPr="00261B7A">
        <w:t>The trend uncertainty in gross emissions (excluding emissions and removals from the LULUCF sector) from 1990 to 2021 is ±6.1 per cent. This is a decrease of 0.3 per cent from the previous submission. This decrease is primarily due to CH</w:t>
      </w:r>
      <w:r w:rsidRPr="00261B7A">
        <w:rPr>
          <w:vertAlign w:val="subscript"/>
        </w:rPr>
        <w:t>4</w:t>
      </w:r>
      <w:r w:rsidRPr="00261B7A">
        <w:t xml:space="preserve"> in </w:t>
      </w:r>
      <w:r w:rsidRPr="00261B7A">
        <w:rPr>
          <w:i/>
        </w:rPr>
        <w:t>Solid waste disposal</w:t>
      </w:r>
      <w:r w:rsidRPr="00261B7A">
        <w:t xml:space="preserve">, mainly because of an increase in activity data for an underlying category with lower uncertainty than the average for </w:t>
      </w:r>
      <w:r w:rsidRPr="00261B7A">
        <w:rPr>
          <w:i/>
          <w:iCs/>
        </w:rPr>
        <w:t>Solid waste disposal.</w:t>
      </w:r>
      <w:r w:rsidRPr="00261B7A">
        <w:t xml:space="preserve"> As a result, the combined uncertainty </w:t>
      </w:r>
      <w:r w:rsidRPr="00261B7A">
        <w:rPr>
          <w:i/>
          <w:iCs/>
        </w:rPr>
        <w:t>Solid waste disposal</w:t>
      </w:r>
      <w:r w:rsidRPr="00261B7A">
        <w:t xml:space="preserve"> has reduced.</w:t>
      </w:r>
      <w:r w:rsidRPr="00261B7A" w:rsidDel="000B4691">
        <w:t xml:space="preserve"> </w:t>
      </w:r>
    </w:p>
    <w:bookmarkEnd w:id="107"/>
    <w:p w14:paraId="0246DE1B" w14:textId="77777777" w:rsidR="006611EE" w:rsidRPr="00261B7A" w:rsidRDefault="006611EE" w:rsidP="006611EE">
      <w:pPr>
        <w:pStyle w:val="Heading4"/>
      </w:pPr>
      <w:r w:rsidRPr="00261B7A">
        <w:t>Net emissions</w:t>
      </w:r>
    </w:p>
    <w:p w14:paraId="73C35ACB" w14:textId="77777777" w:rsidR="006611EE" w:rsidRPr="00261B7A" w:rsidRDefault="006611EE" w:rsidP="006611EE">
      <w:pPr>
        <w:pStyle w:val="Heading5"/>
        <w:spacing w:before="180"/>
      </w:pPr>
      <w:bookmarkStart w:id="108" w:name="uncertainty-in-2021-level-assessment-1"/>
      <w:r w:rsidRPr="00261B7A">
        <w:t>Uncertainty in 2021 – level assessment</w:t>
      </w:r>
    </w:p>
    <w:p w14:paraId="287F054D" w14:textId="77777777" w:rsidR="006611EE" w:rsidRPr="00261B7A" w:rsidRDefault="006611EE" w:rsidP="006611EE">
      <w:pPr>
        <w:pStyle w:val="BodyText"/>
      </w:pPr>
      <w:r w:rsidRPr="00261B7A">
        <w:t>The uncertainty for New Zealand’s inventory, including emissions and removals from the LULUCF sector, in 2021 is ±28.2 per cent. There has been a 1.3 per cent increase in uncertainty between 2020 and 2021.</w:t>
      </w:r>
    </w:p>
    <w:p w14:paraId="2BFB2694" w14:textId="77777777" w:rsidR="006611EE" w:rsidRPr="00261B7A" w:rsidRDefault="006611EE" w:rsidP="006611EE">
      <w:pPr>
        <w:pStyle w:val="BodyText"/>
      </w:pPr>
      <w:r w:rsidRPr="00261B7A">
        <w:rPr>
          <w:bCs/>
        </w:rPr>
        <w:t xml:space="preserve">This increase is primarily a result of an increase to the LULUCF </w:t>
      </w:r>
      <w:r w:rsidRPr="00261B7A">
        <w:rPr>
          <w:bCs/>
          <w:i/>
        </w:rPr>
        <w:t>Forest land</w:t>
      </w:r>
      <w:r w:rsidRPr="00261B7A">
        <w:rPr>
          <w:bCs/>
        </w:rPr>
        <w:t xml:space="preserve"> uncertainties.</w:t>
      </w:r>
      <w:r w:rsidRPr="00261B7A">
        <w:rPr>
          <w:b/>
          <w:bCs/>
        </w:rPr>
        <w:t xml:space="preserve"> </w:t>
      </w:r>
      <w:r w:rsidRPr="00261B7A">
        <w:t>Emissions contributing the most to the overall uncertainty in net emissions for 2021 were CO</w:t>
      </w:r>
      <w:r w:rsidRPr="00261B7A">
        <w:rPr>
          <w:vertAlign w:val="subscript"/>
        </w:rPr>
        <w:t>2</w:t>
      </w:r>
      <w:r w:rsidRPr="00261B7A">
        <w:t xml:space="preserve"> from </w:t>
      </w:r>
      <w:r w:rsidRPr="00261B7A">
        <w:rPr>
          <w:i/>
          <w:iCs/>
        </w:rPr>
        <w:t>Forest land</w:t>
      </w:r>
      <w:r w:rsidRPr="00261B7A">
        <w:t xml:space="preserve"> (±80.8 per cent) at 23.2 per cent, CO</w:t>
      </w:r>
      <w:r w:rsidRPr="00261B7A">
        <w:rPr>
          <w:vertAlign w:val="subscript"/>
        </w:rPr>
        <w:t>2</w:t>
      </w:r>
      <w:r w:rsidRPr="00261B7A">
        <w:t xml:space="preserve"> from </w:t>
      </w:r>
      <w:r w:rsidRPr="00261B7A">
        <w:rPr>
          <w:i/>
          <w:iCs/>
        </w:rPr>
        <w:t>Harvested wood products</w:t>
      </w:r>
      <w:r w:rsidRPr="00261B7A">
        <w:t xml:space="preserve"> (±68.2 per cent) at 10.6 per cent and CH</w:t>
      </w:r>
      <w:r w:rsidRPr="00261B7A">
        <w:rPr>
          <w:vertAlign w:val="subscript"/>
        </w:rPr>
        <w:t>4</w:t>
      </w:r>
      <w:r w:rsidRPr="00261B7A">
        <w:t xml:space="preserve"> from </w:t>
      </w:r>
      <w:r w:rsidRPr="00261B7A">
        <w:rPr>
          <w:i/>
          <w:iCs/>
        </w:rPr>
        <w:t>Enteric fermentation</w:t>
      </w:r>
      <w:r w:rsidRPr="00261B7A">
        <w:t xml:space="preserve"> (±16.0 per cent) at 8.0 per cent.</w:t>
      </w:r>
    </w:p>
    <w:p w14:paraId="5D03B9CE" w14:textId="77777777" w:rsidR="006611EE" w:rsidRPr="00261B7A" w:rsidRDefault="006611EE" w:rsidP="006611EE">
      <w:pPr>
        <w:pStyle w:val="Heading5"/>
      </w:pPr>
      <w:bookmarkStart w:id="109" w:name="uncertainty-in-1990-level-assessment-1"/>
      <w:bookmarkEnd w:id="108"/>
      <w:r w:rsidRPr="00261B7A">
        <w:t xml:space="preserve">Uncertainty in </w:t>
      </w:r>
      <w:r w:rsidRPr="00261B7A">
        <w:rPr>
          <w:bCs w:val="0"/>
        </w:rPr>
        <w:t>1990</w:t>
      </w:r>
      <w:r w:rsidRPr="00261B7A">
        <w:t xml:space="preserve"> – level assessment</w:t>
      </w:r>
    </w:p>
    <w:p w14:paraId="72FBFCF5" w14:textId="77777777" w:rsidR="006611EE" w:rsidRPr="00261B7A" w:rsidRDefault="006611EE" w:rsidP="006611EE">
      <w:pPr>
        <w:pStyle w:val="BodyText"/>
      </w:pPr>
      <w:r w:rsidRPr="00261B7A">
        <w:t>In 1990, the uncertainty in net emissions was 37.8 per cent. There has been an increase of 5.8 per cent between 2020 and 2021.</w:t>
      </w:r>
    </w:p>
    <w:p w14:paraId="48243D23" w14:textId="77777777" w:rsidR="006611EE" w:rsidRPr="00261B7A" w:rsidRDefault="006611EE" w:rsidP="006611EE">
      <w:pPr>
        <w:pStyle w:val="BodyText"/>
      </w:pPr>
      <w:r w:rsidRPr="00261B7A">
        <w:rPr>
          <w:bCs/>
        </w:rPr>
        <w:t xml:space="preserve">This increase is primarily a result of an increase to the LULUCF </w:t>
      </w:r>
      <w:r w:rsidRPr="00261B7A">
        <w:rPr>
          <w:bCs/>
          <w:i/>
        </w:rPr>
        <w:t>Forest land</w:t>
      </w:r>
      <w:r w:rsidRPr="00261B7A">
        <w:rPr>
          <w:bCs/>
        </w:rPr>
        <w:t xml:space="preserve"> uncertainties.</w:t>
      </w:r>
      <w:r w:rsidRPr="00261B7A">
        <w:t xml:space="preserve"> Emissions of CO</w:t>
      </w:r>
      <w:r w:rsidRPr="00261B7A">
        <w:rPr>
          <w:vertAlign w:val="subscript"/>
        </w:rPr>
        <w:t>2</w:t>
      </w:r>
      <w:r w:rsidRPr="00261B7A">
        <w:t xml:space="preserve"> from </w:t>
      </w:r>
      <w:r w:rsidRPr="00261B7A">
        <w:rPr>
          <w:i/>
          <w:iCs/>
        </w:rPr>
        <w:t>Forest land</w:t>
      </w:r>
      <w:r w:rsidRPr="00261B7A">
        <w:t xml:space="preserve"> contributed 35.0 per cent, CH</w:t>
      </w:r>
      <w:r w:rsidRPr="00261B7A">
        <w:rPr>
          <w:vertAlign w:val="subscript"/>
        </w:rPr>
        <w:t>4</w:t>
      </w:r>
      <w:r w:rsidRPr="00261B7A">
        <w:t xml:space="preserve"> from </w:t>
      </w:r>
      <w:r w:rsidRPr="00261B7A">
        <w:rPr>
          <w:i/>
          <w:iCs/>
        </w:rPr>
        <w:t>Enteric fermentation</w:t>
      </w:r>
      <w:r w:rsidRPr="00261B7A">
        <w:t xml:space="preserve"> 9.7 per cent and CH</w:t>
      </w:r>
      <w:r w:rsidRPr="00261B7A">
        <w:rPr>
          <w:vertAlign w:val="subscript"/>
        </w:rPr>
        <w:t>4</w:t>
      </w:r>
      <w:r w:rsidRPr="00261B7A">
        <w:t xml:space="preserve"> from </w:t>
      </w:r>
      <w:r w:rsidRPr="00261B7A">
        <w:rPr>
          <w:i/>
          <w:iCs/>
        </w:rPr>
        <w:t>Solid waste disposal</w:t>
      </w:r>
      <w:r w:rsidRPr="00261B7A">
        <w:t xml:space="preserve"> 7.1 per cent to the overall uncertainty of net emissions in 1990.</w:t>
      </w:r>
    </w:p>
    <w:p w14:paraId="314A448D" w14:textId="77777777" w:rsidR="006611EE" w:rsidRPr="00261B7A" w:rsidRDefault="006611EE" w:rsidP="006611EE">
      <w:pPr>
        <w:pStyle w:val="Heading5"/>
      </w:pPr>
      <w:bookmarkStart w:id="110" w:name="uncertainty-in-the-trend-1"/>
      <w:bookmarkEnd w:id="109"/>
      <w:r w:rsidRPr="00261B7A">
        <w:t>Uncertainty in the trend</w:t>
      </w:r>
    </w:p>
    <w:p w14:paraId="0934B117" w14:textId="77777777" w:rsidR="006611EE" w:rsidRPr="00261B7A" w:rsidRDefault="006611EE" w:rsidP="006611EE">
      <w:pPr>
        <w:pStyle w:val="BodyText"/>
      </w:pPr>
      <w:r w:rsidRPr="00261B7A">
        <w:t xml:space="preserve">When emissions and removals from the LULUCF sector are included, the overall uncertainty in the trend from 1990 to 2021 is ±19.4 per cent. This is an increase of 5.6 per cent when compared with the uncertainty for 2020. This increase is primarily a result of an increase to the LULUCF </w:t>
      </w:r>
      <w:r w:rsidRPr="00261B7A">
        <w:rPr>
          <w:i/>
        </w:rPr>
        <w:t>Forest land</w:t>
      </w:r>
      <w:r w:rsidRPr="00261B7A">
        <w:t xml:space="preserve"> uncertainties.</w:t>
      </w:r>
    </w:p>
    <w:p w14:paraId="457A66FE" w14:textId="77777777" w:rsidR="006611EE" w:rsidRPr="00261B7A" w:rsidRDefault="006611EE" w:rsidP="006611EE">
      <w:pPr>
        <w:pStyle w:val="Heading3"/>
      </w:pPr>
      <w:bookmarkStart w:id="111" w:name="Xf52f08f0004dd6ef467ac450a618c3f5ca1c703"/>
      <w:bookmarkEnd w:id="104"/>
      <w:bookmarkEnd w:id="110"/>
      <w:r w:rsidRPr="00261B7A">
        <w:t>1.6.2</w:t>
      </w:r>
      <w:r w:rsidRPr="00261B7A">
        <w:tab/>
        <w:t>LULUCF activities under the Kyoto Protocol</w:t>
      </w:r>
    </w:p>
    <w:p w14:paraId="03CDFB7D" w14:textId="77777777" w:rsidR="006611EE" w:rsidRPr="00261B7A" w:rsidRDefault="006611EE" w:rsidP="006611EE">
      <w:pPr>
        <w:pStyle w:val="BodyText"/>
      </w:pPr>
      <w:r w:rsidRPr="00261B7A">
        <w:t xml:space="preserve">The combined uncertainty for net emissions from </w:t>
      </w:r>
      <w:r w:rsidRPr="00261B7A">
        <w:rPr>
          <w:i/>
          <w:iCs/>
        </w:rPr>
        <w:t>Afforestation and reforestation</w:t>
      </w:r>
      <w:r w:rsidRPr="00261B7A">
        <w:t xml:space="preserve"> category activities in 2021 is ±14.7 per cent. The uncertainty for net emissions from the </w:t>
      </w:r>
      <w:r w:rsidRPr="00261B7A">
        <w:rPr>
          <w:i/>
          <w:iCs/>
        </w:rPr>
        <w:t>Deforestation</w:t>
      </w:r>
      <w:r w:rsidRPr="00261B7A">
        <w:t xml:space="preserve"> category in 2021 is ±4.0 per cent.</w:t>
      </w:r>
    </w:p>
    <w:p w14:paraId="10359C64" w14:textId="77777777" w:rsidR="006611EE" w:rsidRPr="00261B7A" w:rsidRDefault="006611EE" w:rsidP="00BC6A36">
      <w:pPr>
        <w:pStyle w:val="BodyText"/>
        <w:spacing w:after="100"/>
      </w:pPr>
      <w:r w:rsidRPr="00261B7A">
        <w:lastRenderedPageBreak/>
        <w:t xml:space="preserve">The uncertainty for net emissions from the </w:t>
      </w:r>
      <w:r w:rsidRPr="00261B7A">
        <w:rPr>
          <w:i/>
          <w:iCs/>
        </w:rPr>
        <w:t>Forest management</w:t>
      </w:r>
      <w:r w:rsidRPr="00261B7A">
        <w:t xml:space="preserve"> category in 2021 is ±56.9 per cent. The uncertainty introduced into net emissions from </w:t>
      </w:r>
      <w:r w:rsidRPr="00261B7A">
        <w:rPr>
          <w:i/>
          <w:iCs/>
        </w:rPr>
        <w:t>Forest management</w:t>
      </w:r>
      <w:r w:rsidRPr="00261B7A">
        <w:t xml:space="preserve"> is high because this category has large emissions from harvesting and large removals from forest growth, leaving relatively small net change. As the uncertainty is calculated on emissions and removals relative to net change, this results in a large uncertainty figure.</w:t>
      </w:r>
    </w:p>
    <w:p w14:paraId="73BD61B8" w14:textId="77777777" w:rsidR="006611EE" w:rsidRPr="00261B7A" w:rsidRDefault="006611EE" w:rsidP="00BC6A36">
      <w:pPr>
        <w:pStyle w:val="BodyText"/>
        <w:spacing w:after="100"/>
      </w:pPr>
      <w:r w:rsidRPr="00261B7A">
        <w:t>Combining these uncertainties gives a total uncertainty estimate in emissions for LULUCF activities under the Kyoto Protocol of ±58.7 per cent.</w:t>
      </w:r>
    </w:p>
    <w:p w14:paraId="435AD54B" w14:textId="77777777" w:rsidR="006611EE" w:rsidRPr="00261B7A" w:rsidRDefault="006611EE" w:rsidP="00BC6A36">
      <w:pPr>
        <w:pStyle w:val="BodyText"/>
        <w:spacing w:after="100"/>
      </w:pPr>
      <w:r w:rsidRPr="00261B7A">
        <w:rPr>
          <w:spacing w:val="-2"/>
        </w:rPr>
        <w:t>Chapter 11, section 11.4.1 provides further information on the uncertainty analysis for activities</w:t>
      </w:r>
      <w:r w:rsidRPr="00261B7A">
        <w:t xml:space="preserve"> under the Kyoto Protocol and how this uncertainty analysis relates to the LULUCF sector.</w:t>
      </w:r>
    </w:p>
    <w:p w14:paraId="0EB5650F" w14:textId="77777777" w:rsidR="006611EE" w:rsidRPr="00261B7A" w:rsidRDefault="006611EE" w:rsidP="006611EE">
      <w:pPr>
        <w:pStyle w:val="Heading2"/>
      </w:pPr>
      <w:bookmarkStart w:id="112" w:name="_Toc131591209"/>
      <w:bookmarkStart w:id="113" w:name="inventory-completeness"/>
      <w:bookmarkEnd w:id="103"/>
      <w:bookmarkEnd w:id="111"/>
      <w:r w:rsidRPr="00261B7A">
        <w:t>1.7</w:t>
      </w:r>
      <w:r w:rsidRPr="00261B7A">
        <w:tab/>
        <w:t>Inventory completeness</w:t>
      </w:r>
      <w:bookmarkEnd w:id="112"/>
    </w:p>
    <w:p w14:paraId="5FF29683" w14:textId="77777777" w:rsidR="006611EE" w:rsidRPr="00261B7A" w:rsidRDefault="006611EE" w:rsidP="00BC6A36">
      <w:pPr>
        <w:pStyle w:val="Heading3"/>
        <w:spacing w:before="180"/>
      </w:pPr>
      <w:bookmarkStart w:id="114" w:name="reporting-under-the-convention-2"/>
      <w:r w:rsidRPr="00261B7A">
        <w:t>1.7.1</w:t>
      </w:r>
      <w:r w:rsidRPr="00261B7A">
        <w:tab/>
        <w:t>Reporting under the Convention</w:t>
      </w:r>
    </w:p>
    <w:p w14:paraId="788503EA" w14:textId="7E3CE705" w:rsidR="006611EE" w:rsidRPr="00261B7A" w:rsidRDefault="006611EE" w:rsidP="00BC6A36">
      <w:pPr>
        <w:pStyle w:val="BodyText"/>
        <w:spacing w:after="100"/>
      </w:pPr>
      <w:r w:rsidRPr="00261B7A">
        <w:t xml:space="preserve">The inventory for the period 1990 to 2021 is complete. In accordance with the 2006 IPCC Guidelines (IPCC, 2006), New Zealand has focused its resources for inventory development in the key categories and non-key categories that are mandatory. Additional information on the use of the notation key ‘NE’ in the context of paragraph 37(b) of the Convention reporting guidelines is presented in annex </w:t>
      </w:r>
      <w:r w:rsidR="00E70703" w:rsidRPr="00261B7A">
        <w:t>6, section A</w:t>
      </w:r>
      <w:r w:rsidRPr="00261B7A">
        <w:t>6.2.</w:t>
      </w:r>
    </w:p>
    <w:p w14:paraId="21F43088" w14:textId="77777777" w:rsidR="006611EE" w:rsidRPr="00261B7A" w:rsidRDefault="006611EE" w:rsidP="00BC6A36">
      <w:pPr>
        <w:pStyle w:val="Heading3"/>
        <w:spacing w:before="320"/>
      </w:pPr>
      <w:bookmarkStart w:id="115" w:name="Xba1d6b5eaf42aff0eececcb6a26927035442eb1"/>
      <w:bookmarkEnd w:id="114"/>
      <w:r w:rsidRPr="00261B7A">
        <w:t>1.7.2</w:t>
      </w:r>
      <w:r w:rsidRPr="00261B7A">
        <w:tab/>
        <w:t>LULUCF activities under the Kyoto Protocol</w:t>
      </w:r>
    </w:p>
    <w:p w14:paraId="2FF68316" w14:textId="77777777" w:rsidR="006611EE" w:rsidRPr="00261B7A" w:rsidRDefault="006611EE" w:rsidP="006611EE">
      <w:pPr>
        <w:pStyle w:val="BodyText"/>
      </w:pPr>
      <w:r w:rsidRPr="00261B7A">
        <w:t xml:space="preserve">New Zealand has included all carbon pools in reporting for Article 3.3 activities and Article 3.4 </w:t>
      </w:r>
      <w:r w:rsidRPr="00261B7A">
        <w:rPr>
          <w:i/>
          <w:iCs/>
        </w:rPr>
        <w:t>Forest management</w:t>
      </w:r>
      <w:r w:rsidRPr="00261B7A">
        <w:t xml:space="preserve"> under the Kyoto Protocol. See chapter 11, section 11.1 for more information.</w:t>
      </w:r>
    </w:p>
    <w:p w14:paraId="1F0FA6E1" w14:textId="77777777" w:rsidR="006611EE" w:rsidRPr="00261B7A" w:rsidRDefault="006611EE" w:rsidP="00BC6A36">
      <w:pPr>
        <w:pStyle w:val="Heading2"/>
        <w:spacing w:before="320"/>
      </w:pPr>
      <w:bookmarkStart w:id="116" w:name="_Toc131591210"/>
      <w:bookmarkStart w:id="117" w:name="national-registry"/>
      <w:bookmarkEnd w:id="113"/>
      <w:bookmarkEnd w:id="115"/>
      <w:r w:rsidRPr="00261B7A">
        <w:t>1.8</w:t>
      </w:r>
      <w:r w:rsidRPr="00261B7A">
        <w:tab/>
        <w:t>National registry</w:t>
      </w:r>
      <w:bookmarkEnd w:id="116"/>
    </w:p>
    <w:p w14:paraId="3681CEF2" w14:textId="77777777" w:rsidR="006611EE" w:rsidRPr="00261B7A" w:rsidRDefault="006611EE" w:rsidP="00BC6A36">
      <w:pPr>
        <w:pStyle w:val="BodyText"/>
        <w:spacing w:before="100" w:after="100"/>
      </w:pPr>
      <w:r w:rsidRPr="00261B7A">
        <w:t>The national registry (the New Zealand Emissions Trading Register) is New Zealand’s online facility to manage the accounting, reporting and reconciliation of emissions, unit holdings and transactions as part of the NZ ETS. The Environmental Protection Authority is designated as the agency responsible for implementing and operating New Zealand’s national registry under the Kyoto Protocol. The Register is electronic and accessible via the internet (</w:t>
      </w:r>
      <w:hyperlink r:id="rId43">
        <w:r w:rsidRPr="00261B7A">
          <w:rPr>
            <w:rStyle w:val="Hyperlink"/>
          </w:rPr>
          <w:t>www.emissionsregister.govt.nz</w:t>
        </w:r>
      </w:hyperlink>
      <w:r w:rsidRPr="00261B7A">
        <w:t>).</w:t>
      </w:r>
    </w:p>
    <w:p w14:paraId="2CECDF26" w14:textId="77777777" w:rsidR="006611EE" w:rsidRPr="00261B7A" w:rsidRDefault="006611EE" w:rsidP="00BC6A36">
      <w:pPr>
        <w:pStyle w:val="BodyText"/>
        <w:spacing w:before="100" w:after="100"/>
      </w:pPr>
      <w:r w:rsidRPr="00261B7A">
        <w:t>In January 2008, New Zealand’s national registry was issued with New Zealand’s assigned amount of 309,564,733 metric tonnes CO</w:t>
      </w:r>
      <w:r w:rsidRPr="00261B7A">
        <w:rPr>
          <w:vertAlign w:val="subscript"/>
        </w:rPr>
        <w:t>2</w:t>
      </w:r>
      <w:r w:rsidRPr="00261B7A">
        <w:t>-e for the first commitment period (CP1) (covering the five-year period 2008 to 2012).</w:t>
      </w:r>
    </w:p>
    <w:p w14:paraId="1639885A" w14:textId="77777777" w:rsidR="006611EE" w:rsidRPr="00261B7A" w:rsidRDefault="006611EE" w:rsidP="00BC6A36">
      <w:pPr>
        <w:pStyle w:val="BodyText"/>
        <w:spacing w:before="100" w:after="100"/>
      </w:pPr>
      <w:r w:rsidRPr="00261B7A">
        <w:t>At the end of CP1, New Zealand retired Kyoto Protocol units in its registry equal to its reported emissions and submitted its true-up report (available on both the MfE and Convention websites) to meet CP1 Kyoto Protocol obligations. While remaining a Party to the Kyoto Protocol, New Zealand did not take a target under the Kyoto Protocol for the second commitment period (CP2). Instead, New Zealand joins countries that have made international pledges under the Convention. As such, New Zealand had no assigned amount for CP2; however, New Zealand has chosen to maintain a registry connected to the International Transaction Log. This is required because the Register continues to hold Kyoto Protocol units, and these must be able to be reconciled via the International Transaction Log. New Zealand also committed to apply the Kyoto Protocol accounting approach for the period 2013 to 2020 (the period covered by CP2).</w:t>
      </w:r>
    </w:p>
    <w:p w14:paraId="3830AC7A" w14:textId="77777777" w:rsidR="006611EE" w:rsidRPr="00261B7A" w:rsidRDefault="006611EE" w:rsidP="006611EE">
      <w:pPr>
        <w:pStyle w:val="BodyText"/>
      </w:pPr>
      <w:r w:rsidRPr="00261B7A">
        <w:lastRenderedPageBreak/>
        <w:t>Although most international unit transfers of Kyoto Protocol units are no longer possible from or to the Register, it is still possible for direct issuance of certified emission reduction units from the Clean Development Mechanism and voluntary unit cancellation transactions to occur. Details of these transactions are included in chapter 12. Also, changes to international trading may occur when new arrangements under Article 6 of the Paris Agreement come into effect.</w:t>
      </w:r>
    </w:p>
    <w:p w14:paraId="3E559E9C" w14:textId="77777777" w:rsidR="006611EE" w:rsidRPr="00261B7A" w:rsidRDefault="006611EE" w:rsidP="006611EE">
      <w:pPr>
        <w:pStyle w:val="BodyText"/>
      </w:pPr>
      <w:r w:rsidRPr="00261B7A">
        <w:t>New Zealand replaced its registry system in August 2016. The Register was tested and reviewed by the UNFCCC secretariat before it went live.</w:t>
      </w:r>
    </w:p>
    <w:p w14:paraId="75B29BCA" w14:textId="20FE4FB7" w:rsidR="006611EE" w:rsidRPr="00261B7A" w:rsidRDefault="006611EE" w:rsidP="006611EE">
      <w:pPr>
        <w:pStyle w:val="BodyText"/>
      </w:pPr>
      <w:r w:rsidRPr="00261B7A">
        <w:t>At the beginning of the calendar year 2022, New Zealand’s national registry held 308,343,858 CP1 assigned amount units (AAUs), 110,744,560 CP1 emission reduction units (ERUs), 21,685,909 CP1 certified emission reduction units (CERs) and 100,845,399 CP1 removal units (RMUs). The number and mix of units held at the end of 2022 were the same as at the beginning of 2022, because no international transactions occurred during this period and this</w:t>
      </w:r>
      <w:r w:rsidR="007D4A33" w:rsidRPr="00261B7A">
        <w:t> </w:t>
      </w:r>
      <w:r w:rsidRPr="00261B7A">
        <w:t>value includes the units retired to meet CP1 obligations. No CP2 units were held by New</w:t>
      </w:r>
      <w:r w:rsidR="007D4A33" w:rsidRPr="00261B7A">
        <w:t> </w:t>
      </w:r>
      <w:r w:rsidRPr="00261B7A">
        <w:t>Zealand in 2022.</w:t>
      </w:r>
    </w:p>
    <w:p w14:paraId="600F7B68" w14:textId="77777777" w:rsidR="006611EE" w:rsidRPr="00261B7A" w:rsidRDefault="006611EE" w:rsidP="006611EE">
      <w:pPr>
        <w:pStyle w:val="BodyText"/>
      </w:pPr>
      <w:r w:rsidRPr="00261B7A">
        <w:t>At the end of 2022, the units held in New Zealand’s national registry remained at 308,343,858 AAUs, 110,744,560 ERUs, 21,685,909 CERs and 100,845,399 RMUs.</w:t>
      </w:r>
    </w:p>
    <w:p w14:paraId="4CFE3BB1" w14:textId="77777777" w:rsidR="006611EE" w:rsidRPr="00261B7A" w:rsidRDefault="006611EE" w:rsidP="006611EE">
      <w:pPr>
        <w:pStyle w:val="BodyText"/>
      </w:pPr>
      <w:r w:rsidRPr="00261B7A">
        <w:t>New Zealand’s national registry did not hold any temporary CERs or long-term CERs during 2022.</w:t>
      </w:r>
    </w:p>
    <w:p w14:paraId="5044D941" w14:textId="77777777" w:rsidR="006611EE" w:rsidRPr="00261B7A" w:rsidRDefault="006611EE" w:rsidP="006611EE">
      <w:pPr>
        <w:pStyle w:val="BodyText"/>
      </w:pPr>
      <w:r w:rsidRPr="00261B7A">
        <w:t>Any changes to the Register are captured in chapter 14 (table 14.3).</w:t>
      </w:r>
    </w:p>
    <w:p w14:paraId="7C4F784A" w14:textId="77777777" w:rsidR="006611EE" w:rsidRPr="00261B7A" w:rsidRDefault="006611EE" w:rsidP="006611EE">
      <w:pPr>
        <w:pStyle w:val="BodyText"/>
      </w:pPr>
      <w:r w:rsidRPr="00261B7A">
        <w:t>For further information on accounting of the Kyoto Protocol units and the national registry, refer to chapters 12 and 14.</w:t>
      </w:r>
    </w:p>
    <w:p w14:paraId="0FC69B62" w14:textId="77777777" w:rsidR="006611EE" w:rsidRPr="00261B7A" w:rsidRDefault="006611EE" w:rsidP="006611EE">
      <w:pPr>
        <w:pStyle w:val="Heading2"/>
      </w:pPr>
      <w:bookmarkStart w:id="118" w:name="_Toc131591211"/>
      <w:bookmarkStart w:id="119" w:name="new-zealands-emissions-trading-scheme"/>
      <w:bookmarkEnd w:id="117"/>
      <w:r w:rsidRPr="00261B7A">
        <w:t>1.9</w:t>
      </w:r>
      <w:r w:rsidRPr="00261B7A">
        <w:tab/>
        <w:t>New Zealand Emissions Trading Scheme</w:t>
      </w:r>
      <w:bookmarkEnd w:id="118"/>
    </w:p>
    <w:p w14:paraId="5143B2AD" w14:textId="77777777" w:rsidR="006611EE" w:rsidRPr="00261B7A" w:rsidRDefault="006611EE" w:rsidP="006611EE">
      <w:pPr>
        <w:pStyle w:val="BodyText"/>
      </w:pPr>
      <w:r w:rsidRPr="00261B7A">
        <w:t>The NZ ETS is one of the Government’s primary tools for reducing greenhouse gas emissions. This section explains the background of the NZ ETS and how the data collected for the NZ ETS have been used to verify CO</w:t>
      </w:r>
      <w:r w:rsidRPr="00261B7A">
        <w:rPr>
          <w:vertAlign w:val="subscript"/>
        </w:rPr>
        <w:t>2</w:t>
      </w:r>
      <w:r w:rsidRPr="00261B7A">
        <w:t xml:space="preserve"> emissions in the Energy and IPPU sectors.</w:t>
      </w:r>
    </w:p>
    <w:p w14:paraId="2D2A79E8" w14:textId="77777777" w:rsidR="006611EE" w:rsidRPr="00261B7A" w:rsidRDefault="006611EE" w:rsidP="006611EE">
      <w:pPr>
        <w:pStyle w:val="Heading3"/>
      </w:pPr>
      <w:bookmarkStart w:id="120" w:name="new-zealand-units"/>
      <w:r w:rsidRPr="00261B7A">
        <w:t>1.9.1</w:t>
      </w:r>
      <w:r w:rsidRPr="00261B7A">
        <w:tab/>
        <w:t>New Zealand Units</w:t>
      </w:r>
    </w:p>
    <w:p w14:paraId="519371B4" w14:textId="77777777" w:rsidR="006611EE" w:rsidRPr="00261B7A" w:rsidRDefault="006611EE" w:rsidP="006611EE">
      <w:pPr>
        <w:pStyle w:val="BodyText"/>
      </w:pPr>
      <w:r w:rsidRPr="00261B7A">
        <w:t>The NZ ETS is based on trading units that represent 1 tonne of CO</w:t>
      </w:r>
      <w:r w:rsidRPr="00261B7A">
        <w:rPr>
          <w:vertAlign w:val="subscript"/>
        </w:rPr>
        <w:t>2</w:t>
      </w:r>
      <w:r w:rsidRPr="00261B7A">
        <w:t>-e, called New Zealand Units (NZUs), which are created and distributed by the New Zealand Government. The scheme was established through an amendment to the Climate Change Response Act 2002</w:t>
      </w:r>
      <w:r w:rsidRPr="00261B7A">
        <w:rPr>
          <w:rStyle w:val="FootnoteReference"/>
        </w:rPr>
        <w:footnoteReference w:id="19"/>
      </w:r>
      <w:r w:rsidRPr="00261B7A">
        <w:t xml:space="preserve"> and came into effect progressively from 2008, with coverage since 2010 of all substantial emissions except agricultural CH</w:t>
      </w:r>
      <w:r w:rsidRPr="00261B7A">
        <w:rPr>
          <w:vertAlign w:val="subscript"/>
        </w:rPr>
        <w:t>4</w:t>
      </w:r>
      <w:r w:rsidRPr="00261B7A">
        <w:t xml:space="preserve"> and N</w:t>
      </w:r>
      <w:r w:rsidRPr="00261B7A">
        <w:rPr>
          <w:vertAlign w:val="subscript"/>
        </w:rPr>
        <w:t>2</w:t>
      </w:r>
      <w:r w:rsidRPr="00261B7A">
        <w:t>O. Sectors under the scheme are required to report on their emissions and surrender units to the Government to cover their emissions. The Government supplies units for emissions removals through forestry and exports of emitting products from New Zealand. Units are also supplied as industrial allocation to firms carrying out activities that are emissions intensive and trade exposed to address the risk of emissions leakage, and via quarterly auctions. The emissions price is determined by the market, based on supply and demand of units, and this price creates a financial incentive for businesses that emit greenhouse gases to invest in technologies and practices that reduce emissions.</w:t>
      </w:r>
    </w:p>
    <w:p w14:paraId="207DD79D" w14:textId="77777777" w:rsidR="006611EE" w:rsidRPr="00261B7A" w:rsidRDefault="006611EE" w:rsidP="006611EE">
      <w:pPr>
        <w:pStyle w:val="BodyText"/>
      </w:pPr>
      <w:r w:rsidRPr="00261B7A">
        <w:lastRenderedPageBreak/>
        <w:t>Amendments to the Climate Change Response Act 2002</w:t>
      </w:r>
      <w:r w:rsidRPr="00261B7A">
        <w:rPr>
          <w:rStyle w:val="FootnoteReference"/>
        </w:rPr>
        <w:footnoteReference w:id="20"/>
      </w:r>
      <w:r w:rsidRPr="00261B7A">
        <w:t xml:space="preserve"> in 2020 made changes to the NZ ETS that have now been implemented. The most significant changes are the introduction of auctioning and caps on the supply of emission units, which took effect from 1 January 2021. The fixed price option, or price ceiling, was increased for 2020 and removed entirely for emissions occurring after 1 January 2021.</w:t>
      </w:r>
    </w:p>
    <w:bookmarkEnd w:id="120"/>
    <w:p w14:paraId="16C577FB" w14:textId="77777777" w:rsidR="006611EE" w:rsidRPr="00261B7A" w:rsidRDefault="006611EE" w:rsidP="006611EE">
      <w:pPr>
        <w:pStyle w:val="Heading3"/>
      </w:pPr>
      <w:r w:rsidRPr="00261B7A">
        <w:t>1.9.2</w:t>
      </w:r>
      <w:r w:rsidRPr="00261B7A">
        <w:tab/>
        <w:t>Verification</w:t>
      </w:r>
    </w:p>
    <w:p w14:paraId="309898C6" w14:textId="77777777" w:rsidR="006611EE" w:rsidRPr="00261B7A" w:rsidRDefault="006611EE" w:rsidP="006611EE">
      <w:pPr>
        <w:pStyle w:val="BodyText"/>
      </w:pPr>
      <w:r w:rsidRPr="00261B7A">
        <w:t>Participants in the NZ ETS are required to record and report the GHG emissions for which they have obligations or the removals for which they can claim NZUs. Participants with obligations are also required to annually surrender NZUs to cover their emissions. How participants estimate their emissions is set out in the regulations prescribed under the Climate Change Response Act 2002. The schedule for sectors entering the NZ ETS is detailed in table 1.9.1.</w:t>
      </w:r>
    </w:p>
    <w:p w14:paraId="6929AD6F" w14:textId="77777777" w:rsidR="006611EE" w:rsidRPr="00261B7A" w:rsidRDefault="006611EE" w:rsidP="006611EE">
      <w:pPr>
        <w:pStyle w:val="BodyText"/>
      </w:pPr>
      <w:r w:rsidRPr="00261B7A">
        <w:t>For this submission, data collected for the NZ ETS were used to verify the inventory estimates for CO</w:t>
      </w:r>
      <w:r w:rsidRPr="00261B7A">
        <w:rPr>
          <w:vertAlign w:val="subscript"/>
        </w:rPr>
        <w:t>2</w:t>
      </w:r>
      <w:r w:rsidRPr="00261B7A">
        <w:t xml:space="preserve"> emissions in the Energy and IPPU sectors (see chapters 3 and 4 for further detail of the verification). Data from the NZ ETS were used as a primary source in the IPPU sector for the cement and lime industries, and in the Waste sector to verify activity data on municipal waste disposal. Data reported under the Waste Minimisation Act 2008 have been used as the primary data (see chapter 7 for details).</w:t>
      </w:r>
    </w:p>
    <w:p w14:paraId="7EEF5C6E" w14:textId="77777777" w:rsidR="006611EE" w:rsidRPr="00261B7A" w:rsidRDefault="006611EE" w:rsidP="006611EE">
      <w:pPr>
        <w:pStyle w:val="BodyText"/>
      </w:pPr>
      <w:r w:rsidRPr="00261B7A">
        <w:t>The NZ ETS data are also used for LULUCF and Kyoto Protocol reporting. Forest age, area and deforestation as reported under the NZ ETS are used for verifying the areas of pre-1990 planted forest, post-1989 forest and deforestation.</w:t>
      </w:r>
    </w:p>
    <w:p w14:paraId="3FB9D163" w14:textId="77777777" w:rsidR="006611EE" w:rsidRPr="00261B7A" w:rsidRDefault="006611EE" w:rsidP="006611EE">
      <w:pPr>
        <w:pStyle w:val="Table"/>
      </w:pPr>
      <w:bookmarkStart w:id="121" w:name="_Toc130898917"/>
      <w:bookmarkStart w:id="122" w:name="_Toc131591313"/>
      <w:r w:rsidRPr="00261B7A">
        <w:t>Table 1.9.1</w:t>
      </w:r>
      <w:r w:rsidRPr="00261B7A">
        <w:tab/>
        <w:t>Dates for sector entry into the New Zealand Emissions Trading Scheme</w:t>
      </w:r>
      <w:bookmarkEnd w:id="121"/>
      <w:bookmarkEnd w:id="122"/>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811"/>
        <w:gridCol w:w="1659"/>
        <w:gridCol w:w="1754"/>
        <w:gridCol w:w="1281"/>
      </w:tblGrid>
      <w:tr w:rsidR="006611EE" w:rsidRPr="00261B7A" w14:paraId="66B41FB2" w14:textId="77777777" w:rsidTr="000F09B5">
        <w:trPr>
          <w:tblHeader/>
        </w:trPr>
        <w:tc>
          <w:tcPr>
            <w:tcW w:w="0" w:type="auto"/>
            <w:shd w:val="clear" w:color="auto" w:fill="1B556B"/>
            <w:tcMar>
              <w:top w:w="0" w:type="dxa"/>
              <w:left w:w="85" w:type="dxa"/>
              <w:bottom w:w="0" w:type="dxa"/>
              <w:right w:w="85" w:type="dxa"/>
            </w:tcMar>
          </w:tcPr>
          <w:p w14:paraId="56A28C52" w14:textId="77777777" w:rsidR="006611EE" w:rsidRPr="00261B7A" w:rsidRDefault="006611EE" w:rsidP="000F09B5">
            <w:pPr>
              <w:pStyle w:val="TableText"/>
              <w:spacing w:before="50" w:after="50"/>
              <w:rPr>
                <w:b/>
                <w:bCs/>
                <w:color w:val="FFFFFF" w:themeColor="background1"/>
              </w:rPr>
            </w:pPr>
            <w:r w:rsidRPr="00261B7A">
              <w:rPr>
                <w:rFonts w:eastAsia="Calibri"/>
                <w:b/>
                <w:bCs/>
                <w:color w:val="FFFFFF" w:themeColor="background1"/>
              </w:rPr>
              <w:t>Sector</w:t>
            </w:r>
          </w:p>
        </w:tc>
        <w:tc>
          <w:tcPr>
            <w:tcW w:w="0" w:type="auto"/>
            <w:shd w:val="clear" w:color="auto" w:fill="1B556B"/>
            <w:tcMar>
              <w:top w:w="0" w:type="dxa"/>
              <w:left w:w="85" w:type="dxa"/>
              <w:bottom w:w="0" w:type="dxa"/>
              <w:right w:w="85" w:type="dxa"/>
            </w:tcMar>
          </w:tcPr>
          <w:p w14:paraId="34EDF8F6" w14:textId="77777777" w:rsidR="006611EE" w:rsidRPr="00261B7A" w:rsidRDefault="006611EE" w:rsidP="000F09B5">
            <w:pPr>
              <w:pStyle w:val="TableText"/>
              <w:spacing w:before="50" w:after="50"/>
              <w:rPr>
                <w:b/>
                <w:bCs/>
                <w:color w:val="FFFFFF" w:themeColor="background1"/>
              </w:rPr>
            </w:pPr>
            <w:r w:rsidRPr="00261B7A">
              <w:rPr>
                <w:rFonts w:eastAsia="Calibri"/>
                <w:b/>
                <w:bCs/>
                <w:color w:val="FFFFFF" w:themeColor="background1"/>
              </w:rPr>
              <w:t>Voluntary reporting</w:t>
            </w:r>
          </w:p>
        </w:tc>
        <w:tc>
          <w:tcPr>
            <w:tcW w:w="0" w:type="auto"/>
            <w:shd w:val="clear" w:color="auto" w:fill="1B556B"/>
            <w:tcMar>
              <w:top w:w="0" w:type="dxa"/>
              <w:left w:w="85" w:type="dxa"/>
              <w:bottom w:w="0" w:type="dxa"/>
              <w:right w:w="85" w:type="dxa"/>
            </w:tcMar>
          </w:tcPr>
          <w:p w14:paraId="2874C0AC" w14:textId="77777777" w:rsidR="006611EE" w:rsidRPr="00261B7A" w:rsidRDefault="006611EE" w:rsidP="000F09B5">
            <w:pPr>
              <w:pStyle w:val="TableText"/>
              <w:spacing w:before="50" w:after="50"/>
              <w:rPr>
                <w:b/>
                <w:bCs/>
                <w:color w:val="FFFFFF" w:themeColor="background1"/>
              </w:rPr>
            </w:pPr>
            <w:r w:rsidRPr="00261B7A">
              <w:rPr>
                <w:rFonts w:eastAsia="Calibri"/>
                <w:b/>
                <w:bCs/>
                <w:color w:val="FFFFFF" w:themeColor="background1"/>
              </w:rPr>
              <w:t>Mandatory reporting</w:t>
            </w:r>
          </w:p>
        </w:tc>
        <w:tc>
          <w:tcPr>
            <w:tcW w:w="0" w:type="auto"/>
            <w:shd w:val="clear" w:color="auto" w:fill="1B556B"/>
            <w:tcMar>
              <w:top w:w="0" w:type="dxa"/>
              <w:left w:w="85" w:type="dxa"/>
              <w:bottom w:w="0" w:type="dxa"/>
              <w:right w:w="85" w:type="dxa"/>
            </w:tcMar>
          </w:tcPr>
          <w:p w14:paraId="22104F04" w14:textId="77777777" w:rsidR="006611EE" w:rsidRPr="00261B7A" w:rsidRDefault="006611EE" w:rsidP="000F09B5">
            <w:pPr>
              <w:pStyle w:val="TableText"/>
              <w:spacing w:before="50" w:after="50"/>
              <w:rPr>
                <w:b/>
                <w:bCs/>
                <w:color w:val="FFFFFF" w:themeColor="background1"/>
              </w:rPr>
            </w:pPr>
            <w:r w:rsidRPr="00261B7A">
              <w:rPr>
                <w:rFonts w:eastAsia="Calibri"/>
                <w:b/>
                <w:bCs/>
                <w:color w:val="FFFFFF" w:themeColor="background1"/>
              </w:rPr>
              <w:t>Obligations</w:t>
            </w:r>
          </w:p>
        </w:tc>
      </w:tr>
      <w:tr w:rsidR="006611EE" w:rsidRPr="00261B7A" w14:paraId="6D157CAB" w14:textId="77777777" w:rsidTr="000F09B5">
        <w:tc>
          <w:tcPr>
            <w:tcW w:w="0" w:type="auto"/>
            <w:shd w:val="clear" w:color="auto" w:fill="FFFFFF"/>
            <w:tcMar>
              <w:top w:w="0" w:type="dxa"/>
              <w:left w:w="85" w:type="dxa"/>
              <w:bottom w:w="0" w:type="dxa"/>
              <w:right w:w="85" w:type="dxa"/>
            </w:tcMar>
          </w:tcPr>
          <w:p w14:paraId="2730E84D" w14:textId="77777777" w:rsidR="006611EE" w:rsidRPr="00261B7A" w:rsidRDefault="006611EE" w:rsidP="000F09B5">
            <w:pPr>
              <w:pStyle w:val="TableText"/>
              <w:spacing w:before="50" w:after="50"/>
            </w:pPr>
            <w:r w:rsidRPr="00261B7A">
              <w:rPr>
                <w:rFonts w:eastAsia="Calibri"/>
                <w:color w:val="000000"/>
              </w:rPr>
              <w:t>Forestry</w:t>
            </w:r>
          </w:p>
        </w:tc>
        <w:tc>
          <w:tcPr>
            <w:tcW w:w="0" w:type="auto"/>
            <w:shd w:val="clear" w:color="auto" w:fill="FFFFFF"/>
            <w:tcMar>
              <w:top w:w="0" w:type="dxa"/>
              <w:left w:w="85" w:type="dxa"/>
              <w:bottom w:w="0" w:type="dxa"/>
              <w:right w:w="85" w:type="dxa"/>
            </w:tcMar>
          </w:tcPr>
          <w:p w14:paraId="1A4C9663" w14:textId="77777777" w:rsidR="006611EE" w:rsidRPr="00261B7A" w:rsidRDefault="006611EE" w:rsidP="000F09B5">
            <w:pPr>
              <w:pStyle w:val="TableText"/>
              <w:spacing w:before="50" w:after="50"/>
            </w:pPr>
            <w:r w:rsidRPr="00261B7A">
              <w:rPr>
                <w:rFonts w:eastAsia="Calibri"/>
                <w:color w:val="000000"/>
              </w:rPr>
              <w:t>–</w:t>
            </w:r>
          </w:p>
        </w:tc>
        <w:tc>
          <w:tcPr>
            <w:tcW w:w="0" w:type="auto"/>
            <w:shd w:val="clear" w:color="auto" w:fill="FFFFFF"/>
            <w:tcMar>
              <w:top w:w="0" w:type="dxa"/>
              <w:left w:w="85" w:type="dxa"/>
              <w:bottom w:w="0" w:type="dxa"/>
              <w:right w:w="85" w:type="dxa"/>
            </w:tcMar>
          </w:tcPr>
          <w:p w14:paraId="0732013A" w14:textId="77777777" w:rsidR="006611EE" w:rsidRPr="00261B7A" w:rsidRDefault="006611EE" w:rsidP="000F09B5">
            <w:pPr>
              <w:pStyle w:val="TableText"/>
              <w:spacing w:before="50" w:after="50"/>
            </w:pPr>
            <w:r w:rsidRPr="00261B7A">
              <w:rPr>
                <w:rFonts w:eastAsia="Calibri"/>
                <w:color w:val="000000"/>
              </w:rPr>
              <w:t>–</w:t>
            </w:r>
          </w:p>
        </w:tc>
        <w:tc>
          <w:tcPr>
            <w:tcW w:w="0" w:type="auto"/>
            <w:shd w:val="clear" w:color="auto" w:fill="FFFFFF"/>
            <w:tcMar>
              <w:top w:w="0" w:type="dxa"/>
              <w:left w:w="85" w:type="dxa"/>
              <w:bottom w:w="0" w:type="dxa"/>
              <w:right w:w="85" w:type="dxa"/>
            </w:tcMar>
          </w:tcPr>
          <w:p w14:paraId="2465B675" w14:textId="77777777" w:rsidR="006611EE" w:rsidRPr="00261B7A" w:rsidRDefault="006611EE" w:rsidP="000F09B5">
            <w:pPr>
              <w:pStyle w:val="TableText"/>
              <w:spacing w:before="50" w:after="50"/>
            </w:pPr>
            <w:r w:rsidRPr="00261B7A">
              <w:rPr>
                <w:rFonts w:eastAsia="Calibri"/>
                <w:color w:val="000000"/>
              </w:rPr>
              <w:t>1 January 2008</w:t>
            </w:r>
          </w:p>
        </w:tc>
      </w:tr>
      <w:tr w:rsidR="006611EE" w:rsidRPr="00261B7A" w14:paraId="4E545227" w14:textId="77777777" w:rsidTr="000F09B5">
        <w:tc>
          <w:tcPr>
            <w:tcW w:w="0" w:type="auto"/>
            <w:shd w:val="clear" w:color="auto" w:fill="FFFFFF"/>
            <w:tcMar>
              <w:top w:w="0" w:type="dxa"/>
              <w:left w:w="85" w:type="dxa"/>
              <w:bottom w:w="0" w:type="dxa"/>
              <w:right w:w="85" w:type="dxa"/>
            </w:tcMar>
          </w:tcPr>
          <w:p w14:paraId="6C5CA7FA" w14:textId="77777777" w:rsidR="006611EE" w:rsidRPr="00261B7A" w:rsidRDefault="006611EE" w:rsidP="000F09B5">
            <w:pPr>
              <w:pStyle w:val="TableText"/>
              <w:spacing w:before="50" w:after="50"/>
            </w:pPr>
            <w:r w:rsidRPr="00261B7A">
              <w:rPr>
                <w:rFonts w:eastAsia="Calibri"/>
                <w:color w:val="000000"/>
              </w:rPr>
              <w:t>Transport fuels</w:t>
            </w:r>
          </w:p>
        </w:tc>
        <w:tc>
          <w:tcPr>
            <w:tcW w:w="0" w:type="auto"/>
            <w:shd w:val="clear" w:color="auto" w:fill="FFFFFF"/>
            <w:tcMar>
              <w:top w:w="0" w:type="dxa"/>
              <w:left w:w="85" w:type="dxa"/>
              <w:bottom w:w="0" w:type="dxa"/>
              <w:right w:w="85" w:type="dxa"/>
            </w:tcMar>
          </w:tcPr>
          <w:p w14:paraId="39A50567" w14:textId="77777777" w:rsidR="006611EE" w:rsidRPr="00261B7A" w:rsidRDefault="006611EE" w:rsidP="000F09B5">
            <w:pPr>
              <w:pStyle w:val="TableText"/>
              <w:spacing w:before="50" w:after="50"/>
            </w:pPr>
            <w:r w:rsidRPr="00261B7A">
              <w:rPr>
                <w:rFonts w:eastAsia="Calibri"/>
                <w:color w:val="000000"/>
              </w:rPr>
              <w:t>–</w:t>
            </w:r>
          </w:p>
        </w:tc>
        <w:tc>
          <w:tcPr>
            <w:tcW w:w="0" w:type="auto"/>
            <w:shd w:val="clear" w:color="auto" w:fill="FFFFFF"/>
            <w:tcMar>
              <w:top w:w="0" w:type="dxa"/>
              <w:left w:w="85" w:type="dxa"/>
              <w:bottom w:w="0" w:type="dxa"/>
              <w:right w:w="85" w:type="dxa"/>
            </w:tcMar>
          </w:tcPr>
          <w:p w14:paraId="0ACD0355" w14:textId="77777777" w:rsidR="006611EE" w:rsidRPr="00261B7A" w:rsidRDefault="006611EE" w:rsidP="000F09B5">
            <w:pPr>
              <w:pStyle w:val="TableText"/>
              <w:spacing w:before="50" w:after="50"/>
            </w:pPr>
            <w:r w:rsidRPr="00261B7A">
              <w:rPr>
                <w:rFonts w:eastAsia="Calibri"/>
                <w:color w:val="000000"/>
              </w:rPr>
              <w:t>1 January 2010</w:t>
            </w:r>
          </w:p>
        </w:tc>
        <w:tc>
          <w:tcPr>
            <w:tcW w:w="0" w:type="auto"/>
            <w:shd w:val="clear" w:color="auto" w:fill="FFFFFF"/>
            <w:tcMar>
              <w:top w:w="0" w:type="dxa"/>
              <w:left w:w="85" w:type="dxa"/>
              <w:bottom w:w="0" w:type="dxa"/>
              <w:right w:w="85" w:type="dxa"/>
            </w:tcMar>
          </w:tcPr>
          <w:p w14:paraId="76058F38" w14:textId="77777777" w:rsidR="006611EE" w:rsidRPr="00261B7A" w:rsidRDefault="006611EE" w:rsidP="000F09B5">
            <w:pPr>
              <w:pStyle w:val="TableText"/>
              <w:spacing w:before="50" w:after="50"/>
            </w:pPr>
            <w:r w:rsidRPr="00261B7A">
              <w:rPr>
                <w:rFonts w:eastAsia="Calibri"/>
                <w:color w:val="000000"/>
              </w:rPr>
              <w:t>1 July 2010</w:t>
            </w:r>
          </w:p>
        </w:tc>
      </w:tr>
      <w:tr w:rsidR="006611EE" w:rsidRPr="00261B7A" w14:paraId="08C1D7B9" w14:textId="77777777" w:rsidTr="000F09B5">
        <w:tc>
          <w:tcPr>
            <w:tcW w:w="0" w:type="auto"/>
            <w:shd w:val="clear" w:color="auto" w:fill="FFFFFF"/>
            <w:tcMar>
              <w:top w:w="0" w:type="dxa"/>
              <w:left w:w="85" w:type="dxa"/>
              <w:bottom w:w="0" w:type="dxa"/>
              <w:right w:w="85" w:type="dxa"/>
            </w:tcMar>
          </w:tcPr>
          <w:p w14:paraId="13E070EC" w14:textId="77777777" w:rsidR="006611EE" w:rsidRPr="00261B7A" w:rsidRDefault="006611EE" w:rsidP="000F09B5">
            <w:pPr>
              <w:pStyle w:val="TableText"/>
              <w:spacing w:before="50" w:after="50"/>
            </w:pPr>
            <w:r w:rsidRPr="00261B7A">
              <w:rPr>
                <w:rFonts w:eastAsia="Calibri"/>
                <w:color w:val="000000"/>
              </w:rPr>
              <w:t>Stationary energy, including electricity production</w:t>
            </w:r>
          </w:p>
        </w:tc>
        <w:tc>
          <w:tcPr>
            <w:tcW w:w="0" w:type="auto"/>
            <w:shd w:val="clear" w:color="auto" w:fill="FFFFFF"/>
            <w:tcMar>
              <w:top w:w="0" w:type="dxa"/>
              <w:left w:w="85" w:type="dxa"/>
              <w:bottom w:w="0" w:type="dxa"/>
              <w:right w:w="85" w:type="dxa"/>
            </w:tcMar>
          </w:tcPr>
          <w:p w14:paraId="2458BD8A" w14:textId="77777777" w:rsidR="006611EE" w:rsidRPr="00261B7A" w:rsidRDefault="006611EE" w:rsidP="000F09B5">
            <w:pPr>
              <w:pStyle w:val="TableText"/>
              <w:spacing w:before="50" w:after="50"/>
            </w:pPr>
            <w:r w:rsidRPr="00261B7A">
              <w:rPr>
                <w:rFonts w:eastAsia="Calibri"/>
                <w:color w:val="000000"/>
              </w:rPr>
              <w:t>–</w:t>
            </w:r>
          </w:p>
        </w:tc>
        <w:tc>
          <w:tcPr>
            <w:tcW w:w="0" w:type="auto"/>
            <w:shd w:val="clear" w:color="auto" w:fill="FFFFFF"/>
            <w:tcMar>
              <w:top w:w="0" w:type="dxa"/>
              <w:left w:w="85" w:type="dxa"/>
              <w:bottom w:w="0" w:type="dxa"/>
              <w:right w:w="85" w:type="dxa"/>
            </w:tcMar>
          </w:tcPr>
          <w:p w14:paraId="7B6C2C9F" w14:textId="77777777" w:rsidR="006611EE" w:rsidRPr="00261B7A" w:rsidRDefault="006611EE" w:rsidP="000F09B5">
            <w:pPr>
              <w:pStyle w:val="TableText"/>
              <w:spacing w:before="50" w:after="50"/>
            </w:pPr>
            <w:r w:rsidRPr="00261B7A">
              <w:rPr>
                <w:rFonts w:eastAsia="Calibri"/>
                <w:color w:val="000000"/>
              </w:rPr>
              <w:t>1 January 2010</w:t>
            </w:r>
          </w:p>
        </w:tc>
        <w:tc>
          <w:tcPr>
            <w:tcW w:w="0" w:type="auto"/>
            <w:shd w:val="clear" w:color="auto" w:fill="FFFFFF"/>
            <w:tcMar>
              <w:top w:w="0" w:type="dxa"/>
              <w:left w:w="85" w:type="dxa"/>
              <w:bottom w:w="0" w:type="dxa"/>
              <w:right w:w="85" w:type="dxa"/>
            </w:tcMar>
          </w:tcPr>
          <w:p w14:paraId="7FF8D9A0" w14:textId="77777777" w:rsidR="006611EE" w:rsidRPr="00261B7A" w:rsidRDefault="006611EE" w:rsidP="000F09B5">
            <w:pPr>
              <w:pStyle w:val="TableText"/>
              <w:spacing w:before="50" w:after="50"/>
            </w:pPr>
            <w:r w:rsidRPr="00261B7A">
              <w:rPr>
                <w:rFonts w:eastAsia="Calibri"/>
                <w:color w:val="000000"/>
              </w:rPr>
              <w:t>1 July 2010</w:t>
            </w:r>
          </w:p>
        </w:tc>
      </w:tr>
      <w:tr w:rsidR="006611EE" w:rsidRPr="00261B7A" w14:paraId="3F80B2A9" w14:textId="77777777" w:rsidTr="000F09B5">
        <w:tc>
          <w:tcPr>
            <w:tcW w:w="0" w:type="auto"/>
            <w:shd w:val="clear" w:color="auto" w:fill="FFFFFF"/>
            <w:tcMar>
              <w:top w:w="0" w:type="dxa"/>
              <w:left w:w="85" w:type="dxa"/>
              <w:bottom w:w="0" w:type="dxa"/>
              <w:right w:w="85" w:type="dxa"/>
            </w:tcMar>
          </w:tcPr>
          <w:p w14:paraId="0F7D8CC8" w14:textId="77777777" w:rsidR="006611EE" w:rsidRPr="00261B7A" w:rsidRDefault="006611EE" w:rsidP="000F09B5">
            <w:pPr>
              <w:pStyle w:val="TableText"/>
              <w:spacing w:before="50" w:after="50"/>
            </w:pPr>
            <w:r w:rsidRPr="00261B7A">
              <w:rPr>
                <w:rFonts w:eastAsia="Calibri"/>
                <w:color w:val="000000"/>
              </w:rPr>
              <w:t>IPPU</w:t>
            </w:r>
          </w:p>
        </w:tc>
        <w:tc>
          <w:tcPr>
            <w:tcW w:w="0" w:type="auto"/>
            <w:shd w:val="clear" w:color="auto" w:fill="FFFFFF"/>
            <w:tcMar>
              <w:top w:w="0" w:type="dxa"/>
              <w:left w:w="85" w:type="dxa"/>
              <w:bottom w:w="0" w:type="dxa"/>
              <w:right w:w="85" w:type="dxa"/>
            </w:tcMar>
          </w:tcPr>
          <w:p w14:paraId="5E8E8D73" w14:textId="77777777" w:rsidR="006611EE" w:rsidRPr="00261B7A" w:rsidRDefault="006611EE" w:rsidP="000F09B5">
            <w:pPr>
              <w:pStyle w:val="TableText"/>
              <w:spacing w:before="50" w:after="50"/>
            </w:pPr>
            <w:r w:rsidRPr="00261B7A">
              <w:rPr>
                <w:rFonts w:eastAsia="Calibri"/>
                <w:color w:val="000000"/>
              </w:rPr>
              <w:t>–</w:t>
            </w:r>
          </w:p>
        </w:tc>
        <w:tc>
          <w:tcPr>
            <w:tcW w:w="0" w:type="auto"/>
            <w:shd w:val="clear" w:color="auto" w:fill="FFFFFF"/>
            <w:tcMar>
              <w:top w:w="0" w:type="dxa"/>
              <w:left w:w="85" w:type="dxa"/>
              <w:bottom w:w="0" w:type="dxa"/>
              <w:right w:w="85" w:type="dxa"/>
            </w:tcMar>
          </w:tcPr>
          <w:p w14:paraId="1DD568D8" w14:textId="77777777" w:rsidR="006611EE" w:rsidRPr="00261B7A" w:rsidRDefault="006611EE" w:rsidP="000F09B5">
            <w:pPr>
              <w:pStyle w:val="TableText"/>
              <w:spacing w:before="50" w:after="50"/>
            </w:pPr>
            <w:r w:rsidRPr="00261B7A">
              <w:rPr>
                <w:rFonts w:eastAsia="Calibri"/>
                <w:color w:val="000000"/>
              </w:rPr>
              <w:t>1 January 2010</w:t>
            </w:r>
          </w:p>
        </w:tc>
        <w:tc>
          <w:tcPr>
            <w:tcW w:w="0" w:type="auto"/>
            <w:shd w:val="clear" w:color="auto" w:fill="FFFFFF"/>
            <w:tcMar>
              <w:top w:w="0" w:type="dxa"/>
              <w:left w:w="85" w:type="dxa"/>
              <w:bottom w:w="0" w:type="dxa"/>
              <w:right w:w="85" w:type="dxa"/>
            </w:tcMar>
          </w:tcPr>
          <w:p w14:paraId="1F23E7CF" w14:textId="77777777" w:rsidR="006611EE" w:rsidRPr="00261B7A" w:rsidRDefault="006611EE" w:rsidP="000F09B5">
            <w:pPr>
              <w:pStyle w:val="TableText"/>
              <w:spacing w:before="50" w:after="50"/>
            </w:pPr>
            <w:r w:rsidRPr="00261B7A">
              <w:rPr>
                <w:rFonts w:eastAsia="Calibri"/>
                <w:color w:val="000000"/>
              </w:rPr>
              <w:t>1 July 2010</w:t>
            </w:r>
          </w:p>
        </w:tc>
      </w:tr>
      <w:tr w:rsidR="006611EE" w:rsidRPr="00261B7A" w14:paraId="5C20CD74" w14:textId="77777777" w:rsidTr="000F09B5">
        <w:tc>
          <w:tcPr>
            <w:tcW w:w="0" w:type="auto"/>
            <w:shd w:val="clear" w:color="auto" w:fill="FFFFFF"/>
            <w:tcMar>
              <w:top w:w="0" w:type="dxa"/>
              <w:left w:w="85" w:type="dxa"/>
              <w:bottom w:w="0" w:type="dxa"/>
              <w:right w:w="85" w:type="dxa"/>
            </w:tcMar>
          </w:tcPr>
          <w:p w14:paraId="4752DBA7" w14:textId="77777777" w:rsidR="006611EE" w:rsidRPr="00261B7A" w:rsidRDefault="006611EE" w:rsidP="000F09B5">
            <w:pPr>
              <w:pStyle w:val="TableText"/>
              <w:spacing w:before="50" w:after="50"/>
            </w:pPr>
            <w:r w:rsidRPr="00261B7A">
              <w:rPr>
                <w:rFonts w:eastAsia="Calibri"/>
                <w:color w:val="000000"/>
              </w:rPr>
              <w:t>Synthetic gases</w:t>
            </w:r>
          </w:p>
        </w:tc>
        <w:tc>
          <w:tcPr>
            <w:tcW w:w="0" w:type="auto"/>
            <w:shd w:val="clear" w:color="auto" w:fill="FFFFFF"/>
            <w:tcMar>
              <w:top w:w="0" w:type="dxa"/>
              <w:left w:w="85" w:type="dxa"/>
              <w:bottom w:w="0" w:type="dxa"/>
              <w:right w:w="85" w:type="dxa"/>
            </w:tcMar>
          </w:tcPr>
          <w:p w14:paraId="50C182D6" w14:textId="77777777" w:rsidR="006611EE" w:rsidRPr="00261B7A" w:rsidRDefault="006611EE" w:rsidP="000F09B5">
            <w:pPr>
              <w:pStyle w:val="TableText"/>
              <w:spacing w:before="50" w:after="50"/>
            </w:pPr>
            <w:r w:rsidRPr="00261B7A">
              <w:rPr>
                <w:rFonts w:eastAsia="Calibri"/>
                <w:color w:val="000000"/>
              </w:rPr>
              <w:t>1 January 2011</w:t>
            </w:r>
          </w:p>
        </w:tc>
        <w:tc>
          <w:tcPr>
            <w:tcW w:w="0" w:type="auto"/>
            <w:shd w:val="clear" w:color="auto" w:fill="FFFFFF"/>
            <w:tcMar>
              <w:top w:w="0" w:type="dxa"/>
              <w:left w:w="85" w:type="dxa"/>
              <w:bottom w:w="0" w:type="dxa"/>
              <w:right w:w="85" w:type="dxa"/>
            </w:tcMar>
          </w:tcPr>
          <w:p w14:paraId="2AC53E89" w14:textId="77777777" w:rsidR="006611EE" w:rsidRPr="00261B7A" w:rsidRDefault="006611EE" w:rsidP="000F09B5">
            <w:pPr>
              <w:pStyle w:val="TableText"/>
              <w:spacing w:before="50" w:after="50"/>
            </w:pPr>
            <w:r w:rsidRPr="00261B7A">
              <w:rPr>
                <w:rFonts w:eastAsia="Calibri"/>
                <w:color w:val="000000"/>
              </w:rPr>
              <w:t>1 January 2012</w:t>
            </w:r>
          </w:p>
        </w:tc>
        <w:tc>
          <w:tcPr>
            <w:tcW w:w="0" w:type="auto"/>
            <w:shd w:val="clear" w:color="auto" w:fill="FFFFFF"/>
            <w:tcMar>
              <w:top w:w="0" w:type="dxa"/>
              <w:left w:w="85" w:type="dxa"/>
              <w:bottom w:w="0" w:type="dxa"/>
              <w:right w:w="85" w:type="dxa"/>
            </w:tcMar>
          </w:tcPr>
          <w:p w14:paraId="6BFCCBBC" w14:textId="77777777" w:rsidR="006611EE" w:rsidRPr="00261B7A" w:rsidRDefault="006611EE" w:rsidP="000F09B5">
            <w:pPr>
              <w:pStyle w:val="TableText"/>
              <w:spacing w:before="50" w:after="50"/>
            </w:pPr>
            <w:r w:rsidRPr="00261B7A">
              <w:rPr>
                <w:rFonts w:eastAsia="Calibri"/>
                <w:color w:val="000000"/>
              </w:rPr>
              <w:t>1 January 2013</w:t>
            </w:r>
          </w:p>
        </w:tc>
      </w:tr>
      <w:tr w:rsidR="006611EE" w:rsidRPr="00261B7A" w14:paraId="676A8F69" w14:textId="77777777" w:rsidTr="000F09B5">
        <w:tc>
          <w:tcPr>
            <w:tcW w:w="0" w:type="auto"/>
            <w:shd w:val="clear" w:color="auto" w:fill="FFFFFF"/>
            <w:tcMar>
              <w:top w:w="0" w:type="dxa"/>
              <w:left w:w="85" w:type="dxa"/>
              <w:bottom w:w="0" w:type="dxa"/>
              <w:right w:w="85" w:type="dxa"/>
            </w:tcMar>
          </w:tcPr>
          <w:p w14:paraId="7176B32E" w14:textId="77777777" w:rsidR="006611EE" w:rsidRPr="00261B7A" w:rsidRDefault="006611EE" w:rsidP="000F09B5">
            <w:pPr>
              <w:pStyle w:val="TableText"/>
              <w:spacing w:before="50" w:after="50"/>
            </w:pPr>
            <w:r w:rsidRPr="00261B7A">
              <w:rPr>
                <w:rFonts w:eastAsia="Calibri"/>
                <w:color w:val="000000"/>
              </w:rPr>
              <w:t>Waste</w:t>
            </w:r>
          </w:p>
        </w:tc>
        <w:tc>
          <w:tcPr>
            <w:tcW w:w="0" w:type="auto"/>
            <w:shd w:val="clear" w:color="auto" w:fill="FFFFFF"/>
            <w:tcMar>
              <w:top w:w="0" w:type="dxa"/>
              <w:left w:w="85" w:type="dxa"/>
              <w:bottom w:w="0" w:type="dxa"/>
              <w:right w:w="85" w:type="dxa"/>
            </w:tcMar>
          </w:tcPr>
          <w:p w14:paraId="71C4D5F5" w14:textId="77777777" w:rsidR="006611EE" w:rsidRPr="00261B7A" w:rsidRDefault="006611EE" w:rsidP="000F09B5">
            <w:pPr>
              <w:pStyle w:val="TableText"/>
              <w:spacing w:before="50" w:after="50"/>
            </w:pPr>
            <w:r w:rsidRPr="00261B7A">
              <w:rPr>
                <w:rFonts w:eastAsia="Calibri"/>
                <w:color w:val="000000"/>
              </w:rPr>
              <w:t>1 January 2011</w:t>
            </w:r>
          </w:p>
        </w:tc>
        <w:tc>
          <w:tcPr>
            <w:tcW w:w="0" w:type="auto"/>
            <w:shd w:val="clear" w:color="auto" w:fill="FFFFFF"/>
            <w:tcMar>
              <w:top w:w="0" w:type="dxa"/>
              <w:left w:w="85" w:type="dxa"/>
              <w:bottom w:w="0" w:type="dxa"/>
              <w:right w:w="85" w:type="dxa"/>
            </w:tcMar>
          </w:tcPr>
          <w:p w14:paraId="275107B9" w14:textId="77777777" w:rsidR="006611EE" w:rsidRPr="00261B7A" w:rsidRDefault="006611EE" w:rsidP="000F09B5">
            <w:pPr>
              <w:pStyle w:val="TableText"/>
              <w:spacing w:before="50" w:after="50"/>
            </w:pPr>
            <w:r w:rsidRPr="00261B7A">
              <w:rPr>
                <w:rFonts w:eastAsia="Calibri"/>
                <w:color w:val="000000"/>
              </w:rPr>
              <w:t>1 January 2012</w:t>
            </w:r>
          </w:p>
        </w:tc>
        <w:tc>
          <w:tcPr>
            <w:tcW w:w="0" w:type="auto"/>
            <w:shd w:val="clear" w:color="auto" w:fill="FFFFFF"/>
            <w:tcMar>
              <w:top w:w="0" w:type="dxa"/>
              <w:left w:w="85" w:type="dxa"/>
              <w:bottom w:w="0" w:type="dxa"/>
              <w:right w:w="85" w:type="dxa"/>
            </w:tcMar>
          </w:tcPr>
          <w:p w14:paraId="6AA21773" w14:textId="77777777" w:rsidR="006611EE" w:rsidRPr="00261B7A" w:rsidRDefault="006611EE" w:rsidP="000F09B5">
            <w:pPr>
              <w:pStyle w:val="TableText"/>
              <w:spacing w:before="50" w:after="50"/>
            </w:pPr>
            <w:r w:rsidRPr="00261B7A">
              <w:rPr>
                <w:rFonts w:eastAsia="Calibri"/>
                <w:color w:val="000000"/>
              </w:rPr>
              <w:t>1 January 2013</w:t>
            </w:r>
          </w:p>
        </w:tc>
      </w:tr>
      <w:tr w:rsidR="006611EE" w:rsidRPr="00261B7A" w14:paraId="2B2BA9D4" w14:textId="77777777" w:rsidTr="000F09B5">
        <w:tc>
          <w:tcPr>
            <w:tcW w:w="0" w:type="auto"/>
            <w:shd w:val="clear" w:color="auto" w:fill="FFFFFF"/>
            <w:tcMar>
              <w:top w:w="0" w:type="dxa"/>
              <w:left w:w="85" w:type="dxa"/>
              <w:bottom w:w="0" w:type="dxa"/>
              <w:right w:w="85" w:type="dxa"/>
            </w:tcMar>
          </w:tcPr>
          <w:p w14:paraId="7E0C99EA" w14:textId="77777777" w:rsidR="006611EE" w:rsidRPr="00261B7A" w:rsidRDefault="006611EE" w:rsidP="000F09B5">
            <w:pPr>
              <w:pStyle w:val="TableText"/>
              <w:spacing w:before="50" w:after="50"/>
            </w:pPr>
            <w:r w:rsidRPr="00261B7A">
              <w:rPr>
                <w:rFonts w:eastAsia="Calibri"/>
                <w:color w:val="000000"/>
              </w:rPr>
              <w:t>Agriculture</w:t>
            </w:r>
          </w:p>
        </w:tc>
        <w:tc>
          <w:tcPr>
            <w:tcW w:w="0" w:type="auto"/>
            <w:shd w:val="clear" w:color="auto" w:fill="FFFFFF"/>
            <w:tcMar>
              <w:top w:w="0" w:type="dxa"/>
              <w:left w:w="85" w:type="dxa"/>
              <w:bottom w:w="0" w:type="dxa"/>
              <w:right w:w="85" w:type="dxa"/>
            </w:tcMar>
          </w:tcPr>
          <w:p w14:paraId="44799FFE" w14:textId="77777777" w:rsidR="006611EE" w:rsidRPr="00261B7A" w:rsidRDefault="006611EE" w:rsidP="000F09B5">
            <w:pPr>
              <w:pStyle w:val="TableText"/>
              <w:spacing w:before="50" w:after="50"/>
            </w:pPr>
            <w:r w:rsidRPr="00261B7A">
              <w:rPr>
                <w:rFonts w:eastAsia="Calibri"/>
                <w:color w:val="000000"/>
              </w:rPr>
              <w:t>1 January 2011</w:t>
            </w:r>
          </w:p>
        </w:tc>
        <w:tc>
          <w:tcPr>
            <w:tcW w:w="0" w:type="auto"/>
            <w:shd w:val="clear" w:color="auto" w:fill="FFFFFF"/>
            <w:tcMar>
              <w:top w:w="0" w:type="dxa"/>
              <w:left w:w="85" w:type="dxa"/>
              <w:bottom w:w="0" w:type="dxa"/>
              <w:right w:w="85" w:type="dxa"/>
            </w:tcMar>
          </w:tcPr>
          <w:p w14:paraId="08FBA207" w14:textId="77777777" w:rsidR="006611EE" w:rsidRPr="00261B7A" w:rsidRDefault="006611EE" w:rsidP="000F09B5">
            <w:pPr>
              <w:pStyle w:val="TableText"/>
              <w:spacing w:before="50" w:after="50"/>
            </w:pPr>
            <w:r w:rsidRPr="00261B7A">
              <w:rPr>
                <w:rFonts w:eastAsia="Calibri"/>
                <w:color w:val="000000"/>
              </w:rPr>
              <w:t>1 January 2012</w:t>
            </w:r>
          </w:p>
        </w:tc>
        <w:tc>
          <w:tcPr>
            <w:tcW w:w="0" w:type="auto"/>
            <w:shd w:val="clear" w:color="auto" w:fill="FFFFFF"/>
            <w:tcMar>
              <w:top w:w="0" w:type="dxa"/>
              <w:left w:w="85" w:type="dxa"/>
              <w:bottom w:w="0" w:type="dxa"/>
              <w:right w:w="85" w:type="dxa"/>
            </w:tcMar>
          </w:tcPr>
          <w:p w14:paraId="38839659" w14:textId="77777777" w:rsidR="006611EE" w:rsidRPr="00261B7A" w:rsidRDefault="006611EE" w:rsidP="000F09B5">
            <w:pPr>
              <w:pStyle w:val="TableText"/>
              <w:spacing w:before="50" w:after="50"/>
            </w:pPr>
            <w:r w:rsidRPr="00261B7A">
              <w:rPr>
                <w:rFonts w:eastAsia="Calibri"/>
                <w:color w:val="000000"/>
              </w:rPr>
              <w:t>–</w:t>
            </w:r>
          </w:p>
        </w:tc>
      </w:tr>
    </w:tbl>
    <w:p w14:paraId="451EE728" w14:textId="77777777" w:rsidR="006611EE" w:rsidRPr="00261B7A" w:rsidRDefault="006611EE" w:rsidP="006611EE">
      <w:pPr>
        <w:pStyle w:val="Heading2"/>
        <w:spacing w:before="400"/>
      </w:pPr>
      <w:bookmarkStart w:id="123" w:name="_Toc131591212"/>
      <w:bookmarkStart w:id="124" w:name="improvements-introduced"/>
      <w:bookmarkEnd w:id="119"/>
      <w:r w:rsidRPr="00261B7A">
        <w:t>1.10</w:t>
      </w:r>
      <w:r w:rsidRPr="00261B7A">
        <w:tab/>
        <w:t>Improvements introduced</w:t>
      </w:r>
      <w:bookmarkEnd w:id="123"/>
    </w:p>
    <w:p w14:paraId="4D96CBC3" w14:textId="77777777" w:rsidR="006611EE" w:rsidRPr="00261B7A" w:rsidRDefault="006611EE" w:rsidP="006611EE">
      <w:pPr>
        <w:pStyle w:val="BodyText"/>
      </w:pPr>
      <w:r w:rsidRPr="00261B7A">
        <w:t>An important part of producing the inventory is improving the accuracy of estimates for emissions and removals. In this inventory, a number of recalculations have been made to the estimates, due to improvements in:</w:t>
      </w:r>
    </w:p>
    <w:p w14:paraId="2D13D6B3" w14:textId="77777777" w:rsidR="006611EE" w:rsidRPr="00261B7A" w:rsidRDefault="006611EE" w:rsidP="006611EE">
      <w:pPr>
        <w:pStyle w:val="Bullet"/>
      </w:pPr>
      <w:r w:rsidRPr="00261B7A">
        <w:t>activity data</w:t>
      </w:r>
    </w:p>
    <w:p w14:paraId="6D206937" w14:textId="77777777" w:rsidR="006611EE" w:rsidRPr="00261B7A" w:rsidRDefault="006611EE" w:rsidP="006611EE">
      <w:pPr>
        <w:pStyle w:val="Bullet"/>
      </w:pPr>
      <w:r w:rsidRPr="00261B7A">
        <w:t>emission factors and/or other parameters</w:t>
      </w:r>
    </w:p>
    <w:p w14:paraId="0F715B2B" w14:textId="77777777" w:rsidR="006611EE" w:rsidRPr="00261B7A" w:rsidRDefault="006611EE" w:rsidP="006611EE">
      <w:pPr>
        <w:pStyle w:val="Bullet"/>
      </w:pPr>
      <w:r w:rsidRPr="00261B7A">
        <w:t>methodologies</w:t>
      </w:r>
    </w:p>
    <w:p w14:paraId="0AC34196" w14:textId="77777777" w:rsidR="006611EE" w:rsidRPr="00261B7A" w:rsidRDefault="006611EE" w:rsidP="006611EE">
      <w:pPr>
        <w:pStyle w:val="Bullet"/>
      </w:pPr>
      <w:r w:rsidRPr="00261B7A">
        <w:t>availability of activity data and emission factors for sources that were previously reported as ‘NE’ because of insufficient data.</w:t>
      </w:r>
    </w:p>
    <w:p w14:paraId="7FB7DD79" w14:textId="77777777" w:rsidR="006611EE" w:rsidRPr="00261B7A" w:rsidRDefault="006611EE" w:rsidP="00D538BE">
      <w:pPr>
        <w:pStyle w:val="BodyText"/>
        <w:spacing w:before="100" w:after="100"/>
      </w:pPr>
      <w:r w:rsidRPr="00261B7A">
        <w:lastRenderedPageBreak/>
        <w:t>It is good practice to recalculate the whole time series, from 1990 to the latest reported year in the inventory, to ensure consistency across the time series. This means estimates of emissions in a given submission year may differ from emissions reported in previous submissions. There may be exceptions to recalculating the entire time series and, where this has occurred, explanations are provided.</w:t>
      </w:r>
    </w:p>
    <w:p w14:paraId="4BB85DD2" w14:textId="77777777" w:rsidR="006611EE" w:rsidRPr="00261B7A" w:rsidRDefault="006611EE" w:rsidP="00D538BE">
      <w:pPr>
        <w:pStyle w:val="BodyText"/>
        <w:spacing w:before="100" w:after="100"/>
      </w:pPr>
      <w:r w:rsidRPr="00261B7A">
        <w:t xml:space="preserve">New Zealand publishes the key methodological changes that are being introduced to the </w:t>
      </w:r>
      <w:r w:rsidRPr="00261B7A">
        <w:rPr>
          <w:spacing w:val="-2"/>
        </w:rPr>
        <w:t>inventory, and their estimated impact on emissions compared with the method used previously</w:t>
      </w:r>
      <w:r w:rsidRPr="00261B7A">
        <w:t>. This information was published before the publication of this inventory to increase the transparency of inventory improvements (Ministry for the Environment, 2023).</w:t>
      </w:r>
    </w:p>
    <w:p w14:paraId="7AF42CA8" w14:textId="77777777" w:rsidR="006611EE" w:rsidRPr="00261B7A" w:rsidRDefault="006611EE" w:rsidP="00D538BE">
      <w:pPr>
        <w:pStyle w:val="BodyText"/>
        <w:spacing w:before="100" w:after="100"/>
      </w:pPr>
      <w:r w:rsidRPr="00261B7A">
        <w:t>Chapter 10 summarises all recalculations made to estimates of emissions and removals.</w:t>
      </w:r>
    </w:p>
    <w:p w14:paraId="04623467" w14:textId="77777777" w:rsidR="006611EE" w:rsidRPr="00261B7A" w:rsidRDefault="006611EE" w:rsidP="00D538BE">
      <w:pPr>
        <w:pStyle w:val="BodyText"/>
        <w:spacing w:before="100" w:after="100"/>
      </w:pPr>
      <w:r w:rsidRPr="00261B7A">
        <w:t>Improvements made to New Zealand’s national registry are described in chapter 14.</w:t>
      </w:r>
    </w:p>
    <w:p w14:paraId="46810133" w14:textId="77777777" w:rsidR="006611EE" w:rsidRPr="00261B7A" w:rsidRDefault="006611EE" w:rsidP="00D538BE">
      <w:pPr>
        <w:pStyle w:val="Heading4"/>
        <w:spacing w:before="180"/>
      </w:pPr>
      <w:bookmarkStart w:id="125" w:name="energy-1"/>
      <w:r w:rsidRPr="00261B7A">
        <w:t>Energy</w:t>
      </w:r>
    </w:p>
    <w:p w14:paraId="5E17DAB1" w14:textId="77777777" w:rsidR="006611EE" w:rsidRPr="00261B7A" w:rsidRDefault="006611EE" w:rsidP="00D538BE">
      <w:pPr>
        <w:pStyle w:val="BodyText"/>
        <w:spacing w:before="100" w:after="100"/>
      </w:pPr>
      <w:r w:rsidRPr="00261B7A">
        <w:t>An improvement to the estimation of fugitive emissions from natural gas distribution networks has been introduced for the 2023 submission. Other improvements in accuracy have resulted from the standard revision of activity data. Energy activity data for the years 1990 to 2020 have been updated according to the latest energy statistics published by MBIE (MBIE, 2022).</w:t>
      </w:r>
    </w:p>
    <w:p w14:paraId="542D97FC" w14:textId="77777777" w:rsidR="006611EE" w:rsidRPr="00261B7A" w:rsidRDefault="006611EE" w:rsidP="00D538BE">
      <w:pPr>
        <w:pStyle w:val="BodyText"/>
        <w:spacing w:before="100" w:after="100"/>
      </w:pPr>
      <w:r w:rsidRPr="00261B7A">
        <w:t>Projects to implement further improvements for the reference approach and sectoral approach are ongoing. Improvements have been made to the data management system for tracking and calculating emissions within the Energy sector. A further project to streamline and simplify the greenhouse gas reporting data system was completed in 2021. This project identified a number of minor inconsistencies, which were then addressed. Several upstream data systems, including the energy balance tables, have also been improved. Furthermore, work is progressing well on the construction of a new, comprehensive system for the data management of fuel properties. It is expected to be commissioned before the next submission. All source-specific planned improvements are discussed in their corresponding sections in chapter 3.</w:t>
      </w:r>
    </w:p>
    <w:p w14:paraId="742C76A9" w14:textId="77777777" w:rsidR="006611EE" w:rsidRPr="00261B7A" w:rsidRDefault="006611EE" w:rsidP="00D538BE">
      <w:pPr>
        <w:pStyle w:val="BodyText"/>
        <w:spacing w:before="100" w:after="100"/>
      </w:pPr>
      <w:r w:rsidRPr="00261B7A">
        <w:t>Changes to activity data in the Energy sector have resulted in a 0.01 per cent (2.4 kt CO</w:t>
      </w:r>
      <w:r w:rsidRPr="00261B7A">
        <w:rPr>
          <w:vertAlign w:val="subscript"/>
        </w:rPr>
        <w:t>2</w:t>
      </w:r>
      <w:r w:rsidRPr="00261B7A">
        <w:t>-e) increase in estimated energy emissions in 1990 and a 1.1 per cent (344.5 kt CO</w:t>
      </w:r>
      <w:r w:rsidRPr="00261B7A">
        <w:rPr>
          <w:vertAlign w:val="subscript"/>
        </w:rPr>
        <w:t>2</w:t>
      </w:r>
      <w:r w:rsidRPr="00261B7A">
        <w:t>-e) decrease in estimated energy emissions in 2020.</w:t>
      </w:r>
    </w:p>
    <w:p w14:paraId="68D1229C" w14:textId="77777777" w:rsidR="006611EE" w:rsidRPr="00261B7A" w:rsidRDefault="006611EE" w:rsidP="00D538BE">
      <w:pPr>
        <w:pStyle w:val="Heading4"/>
        <w:spacing w:before="180"/>
      </w:pPr>
      <w:bookmarkStart w:id="126" w:name="ippu-1"/>
      <w:bookmarkEnd w:id="125"/>
      <w:r w:rsidRPr="00261B7A">
        <w:t>IPPU</w:t>
      </w:r>
    </w:p>
    <w:p w14:paraId="3A29A632" w14:textId="77777777" w:rsidR="006611EE" w:rsidRPr="00261B7A" w:rsidRDefault="006611EE" w:rsidP="00D538BE">
      <w:pPr>
        <w:pStyle w:val="BodyText"/>
        <w:spacing w:before="100" w:after="100"/>
      </w:pPr>
      <w:r w:rsidRPr="00261B7A">
        <w:t xml:space="preserve">For the 2023 submission, amounts of refrigerant added to equipment in the </w:t>
      </w:r>
      <w:r w:rsidRPr="00261B7A">
        <w:rPr>
          <w:i/>
          <w:iCs/>
        </w:rPr>
        <w:t>Refrigeration and air conditioning</w:t>
      </w:r>
      <w:r w:rsidRPr="00261B7A">
        <w:t xml:space="preserve"> category were re-estimated to better account for changes in stocks held by importers and users.</w:t>
      </w:r>
    </w:p>
    <w:p w14:paraId="6AD998BD" w14:textId="77777777" w:rsidR="006611EE" w:rsidRPr="00261B7A" w:rsidRDefault="006611EE" w:rsidP="00D538BE">
      <w:pPr>
        <w:pStyle w:val="BodyText"/>
        <w:spacing w:before="100" w:after="100"/>
      </w:pPr>
      <w:r w:rsidRPr="00261B7A">
        <w:t>Section 4.1.7, chapter 4 contains more details about improvements and recalculations for the IPPU sector.</w:t>
      </w:r>
    </w:p>
    <w:p w14:paraId="38C57CED" w14:textId="77777777" w:rsidR="006611EE" w:rsidRPr="00261B7A" w:rsidRDefault="006611EE" w:rsidP="00D538BE">
      <w:pPr>
        <w:pStyle w:val="BodyText"/>
        <w:spacing w:before="100" w:after="100"/>
      </w:pPr>
      <w:r w:rsidRPr="00261B7A">
        <w:t>Improvements and recalculations made in the IPPU sector have resulted in no change for 1990 and a 0.8 per cent (35.5 kt CO</w:t>
      </w:r>
      <w:r w:rsidRPr="00261B7A">
        <w:rPr>
          <w:vertAlign w:val="subscript"/>
        </w:rPr>
        <w:t>2</w:t>
      </w:r>
      <w:r w:rsidRPr="00261B7A">
        <w:t>-e) decrease in emissions estimates for 2020.</w:t>
      </w:r>
    </w:p>
    <w:p w14:paraId="0B566A17" w14:textId="77777777" w:rsidR="006611EE" w:rsidRPr="00261B7A" w:rsidRDefault="006611EE" w:rsidP="00D538BE">
      <w:pPr>
        <w:pStyle w:val="Heading4"/>
        <w:spacing w:before="180"/>
      </w:pPr>
      <w:bookmarkStart w:id="127" w:name="agriculture-1"/>
      <w:bookmarkEnd w:id="126"/>
      <w:r w:rsidRPr="00261B7A">
        <w:t>Agriculture</w:t>
      </w:r>
    </w:p>
    <w:p w14:paraId="0D30AD9B" w14:textId="77777777" w:rsidR="006611EE" w:rsidRPr="00261B7A" w:rsidRDefault="006611EE" w:rsidP="00D538BE">
      <w:pPr>
        <w:pStyle w:val="BodyText"/>
        <w:spacing w:before="100" w:after="100"/>
      </w:pPr>
      <w:r w:rsidRPr="00261B7A">
        <w:t>New Zealand has made the following improvements and corrections to the Agriculture sector.</w:t>
      </w:r>
    </w:p>
    <w:p w14:paraId="1F80BE18" w14:textId="77777777" w:rsidR="006611EE" w:rsidRPr="00261B7A" w:rsidRDefault="006611EE" w:rsidP="00D538BE">
      <w:pPr>
        <w:pStyle w:val="Bullet"/>
        <w:spacing w:after="100"/>
      </w:pPr>
      <w:r w:rsidRPr="00261B7A">
        <w:t>Frac</w:t>
      </w:r>
      <w:r w:rsidRPr="00261B7A">
        <w:rPr>
          <w:vertAlign w:val="subscript"/>
        </w:rPr>
        <w:t>LEACH</w:t>
      </w:r>
      <w:r w:rsidRPr="00261B7A">
        <w:t xml:space="preserve"> values for grazing system and synthetic nitrogen have been updated for the entire time series (from 1990 to 2021). For details on this improvement, see: chapter 5, section 5.5.5; chapter 10, section 10.1.3; and annex 3.</w:t>
      </w:r>
    </w:p>
    <w:p w14:paraId="29096DB2" w14:textId="77777777" w:rsidR="006611EE" w:rsidRPr="00261B7A" w:rsidRDefault="006611EE" w:rsidP="006611EE">
      <w:pPr>
        <w:pStyle w:val="Bullet"/>
      </w:pPr>
      <w:r w:rsidRPr="00261B7A">
        <w:lastRenderedPageBreak/>
        <w:t>An improved dairy cattle population model has been implemented for the entire time series (1990 to 2021). For details on this improvement, see: chapter 5, section 5.1.4; chapter 10, section 10.1.3; and annex 3.</w:t>
      </w:r>
    </w:p>
    <w:p w14:paraId="69C20A5F" w14:textId="77777777" w:rsidR="006611EE" w:rsidRPr="00261B7A" w:rsidRDefault="006611EE" w:rsidP="006611EE">
      <w:pPr>
        <w:pStyle w:val="Bullet"/>
      </w:pPr>
      <w:r w:rsidRPr="00261B7A">
        <w:t xml:space="preserve">Feed quality values for </w:t>
      </w:r>
      <w:r w:rsidRPr="00261B7A">
        <w:rPr>
          <w:i/>
          <w:iCs/>
        </w:rPr>
        <w:t>Dairy cattle</w:t>
      </w:r>
      <w:r w:rsidRPr="00261B7A">
        <w:t xml:space="preserve">, </w:t>
      </w:r>
      <w:r w:rsidRPr="00261B7A">
        <w:rPr>
          <w:i/>
          <w:iCs/>
        </w:rPr>
        <w:t>Non-dairy</w:t>
      </w:r>
      <w:r w:rsidRPr="00261B7A">
        <w:t xml:space="preserve"> (beef) </w:t>
      </w:r>
      <w:r w:rsidRPr="00261B7A">
        <w:rPr>
          <w:i/>
          <w:iCs/>
        </w:rPr>
        <w:t>cattle</w:t>
      </w:r>
      <w:r w:rsidRPr="00261B7A">
        <w:t xml:space="preserve"> and </w:t>
      </w:r>
      <w:r w:rsidRPr="00261B7A">
        <w:rPr>
          <w:i/>
          <w:iCs/>
        </w:rPr>
        <w:t>Sheep</w:t>
      </w:r>
      <w:r w:rsidRPr="00261B7A">
        <w:t xml:space="preserve"> have been updated to reflect pasture and non-pasture feed use for the entire time series (1990 to 2021). For details on this improvement, see: chapter 5, section 5.1.3; chapter 10, section 10.1.3; and annex 3.</w:t>
      </w:r>
    </w:p>
    <w:p w14:paraId="5414CE01" w14:textId="77777777" w:rsidR="006611EE" w:rsidRPr="00261B7A" w:rsidRDefault="006611EE" w:rsidP="006611EE">
      <w:pPr>
        <w:pStyle w:val="Bullet"/>
      </w:pPr>
      <w:r w:rsidRPr="00261B7A">
        <w:t>Minor errors in the deer calculations have been corrected for the entire time series (1990 to 2021) and some activity data have been revised.</w:t>
      </w:r>
    </w:p>
    <w:p w14:paraId="3D2FE0FE" w14:textId="77777777" w:rsidR="006611EE" w:rsidRPr="00261B7A" w:rsidRDefault="006611EE" w:rsidP="006611EE">
      <w:pPr>
        <w:pStyle w:val="BodyText"/>
      </w:pPr>
      <w:r w:rsidRPr="00261B7A">
        <w:t>Improvements and recalculations made to the Agriculture sector in the 2023 submission have resulted in a 1.4 per cent (480.8 kt CO</w:t>
      </w:r>
      <w:r w:rsidRPr="00261B7A">
        <w:rPr>
          <w:vertAlign w:val="subscript"/>
        </w:rPr>
        <w:t>2</w:t>
      </w:r>
      <w:r w:rsidRPr="00261B7A">
        <w:t>-e) decrease in estimated agricultural emissions in 1990 and a 2.7 per cent (1,065.4 kt CO</w:t>
      </w:r>
      <w:r w:rsidRPr="00261B7A">
        <w:rPr>
          <w:vertAlign w:val="subscript"/>
        </w:rPr>
        <w:t>2</w:t>
      </w:r>
      <w:r w:rsidRPr="00261B7A">
        <w:t>-e) decrease in estimated agricultural emissions in 2020.</w:t>
      </w:r>
    </w:p>
    <w:p w14:paraId="70D747F0" w14:textId="77777777" w:rsidR="006611EE" w:rsidRPr="00261B7A" w:rsidRDefault="006611EE" w:rsidP="006611EE">
      <w:pPr>
        <w:pStyle w:val="Heading4"/>
      </w:pPr>
      <w:bookmarkStart w:id="128" w:name="lulucf"/>
      <w:bookmarkEnd w:id="127"/>
      <w:r w:rsidRPr="00261B7A">
        <w:t>LULUCF</w:t>
      </w:r>
    </w:p>
    <w:p w14:paraId="0DEFAFF6" w14:textId="77777777" w:rsidR="006611EE" w:rsidRPr="00261B7A" w:rsidRDefault="006611EE" w:rsidP="006611EE">
      <w:pPr>
        <w:pStyle w:val="BodyText"/>
      </w:pPr>
      <w:r w:rsidRPr="00261B7A">
        <w:t>The main differences between the 2023 submission and estimates of New Zealand’s LULUCF net removals reported in the 2022 submission are as follows.</w:t>
      </w:r>
    </w:p>
    <w:p w14:paraId="3F3E27E4" w14:textId="77777777" w:rsidR="006611EE" w:rsidRPr="00261B7A" w:rsidRDefault="006611EE" w:rsidP="006611EE">
      <w:pPr>
        <w:pStyle w:val="Bullet"/>
      </w:pPr>
      <w:r w:rsidRPr="00261B7A">
        <w:t>Improvements to the method used to estimate deforestation for unmapped years have led to an increase in the estimated deforestation area for 2020. The overall net impact of this change to the LULUCF sector was an increase of 209 kt CO</w:t>
      </w:r>
      <w:r w:rsidRPr="00261B7A">
        <w:rPr>
          <w:vertAlign w:val="subscript"/>
        </w:rPr>
        <w:t>2</w:t>
      </w:r>
      <w:r w:rsidRPr="00261B7A">
        <w:t xml:space="preserve">-e in 2020. This improvement was also largely responsible for the 41.2 per cent increase in emissions reported in the </w:t>
      </w:r>
      <w:r w:rsidRPr="00261B7A">
        <w:rPr>
          <w:i/>
          <w:iCs/>
        </w:rPr>
        <w:t>Grassland</w:t>
      </w:r>
      <w:r w:rsidRPr="00261B7A">
        <w:t xml:space="preserve"> category for 2020 (given most deforested land is converted to grassland) (see chapter 6, section 6.3.5).</w:t>
      </w:r>
    </w:p>
    <w:p w14:paraId="4E8D2028" w14:textId="77777777" w:rsidR="006611EE" w:rsidRPr="00261B7A" w:rsidRDefault="006611EE" w:rsidP="006611EE">
      <w:pPr>
        <w:pStyle w:val="Bullet"/>
      </w:pPr>
      <w:r w:rsidRPr="00261B7A">
        <w:t>A change in the estimated pre-1990 planted forest harvest area in 1988 to 1989 drove an increase in the estimated deadwood decay in 1990, which increased the 1990 emissions estimate for the</w:t>
      </w:r>
      <w:r w:rsidRPr="00261B7A">
        <w:rPr>
          <w:i/>
          <w:iCs/>
        </w:rPr>
        <w:t xml:space="preserve"> Forest land</w:t>
      </w:r>
      <w:r w:rsidRPr="00261B7A">
        <w:t xml:space="preserve"> category (see chapter 6, section 6.3.6).</w:t>
      </w:r>
    </w:p>
    <w:p w14:paraId="17177F91" w14:textId="77777777" w:rsidR="006611EE" w:rsidRPr="00261B7A" w:rsidRDefault="006611EE" w:rsidP="006611EE">
      <w:pPr>
        <w:pStyle w:val="Bullet"/>
      </w:pPr>
      <w:r w:rsidRPr="00261B7A">
        <w:t xml:space="preserve">This submission used country-specific above- and below-ground biomass carbon stocks for vegetated wetlands (Easdale et al., unpublished). Above-ground biomass carbon stocks were estimated as 20.22 </w:t>
      </w:r>
      <w:r w:rsidRPr="00261B7A">
        <w:rPr>
          <w:rFonts w:cs="Arial"/>
        </w:rPr>
        <w:t>tonnes of carbon per hectare</w:t>
      </w:r>
      <w:r w:rsidRPr="00261B7A">
        <w:t xml:space="preserve"> (t C ha</w:t>
      </w:r>
      <w:r w:rsidRPr="00261B7A">
        <w:rPr>
          <w:vertAlign w:val="superscript"/>
        </w:rPr>
        <w:t>–1</w:t>
      </w:r>
      <w:r w:rsidRPr="00261B7A">
        <w:t>) (11.07 to 29.38, 95 per cent confidence interval) and below-ground as 7.40 tonnes C ha</w:t>
      </w:r>
      <w:r w:rsidRPr="00261B7A">
        <w:rPr>
          <w:vertAlign w:val="superscript"/>
        </w:rPr>
        <w:t>–1</w:t>
      </w:r>
      <w:r w:rsidRPr="00261B7A">
        <w:t xml:space="preserve"> (1.85 to 12.9, nominal error range). Previous submissions used a value of 0 for the carbon stock and carbon stock change of vegetated wetlands, which meant any emissions and removals for land transitioning in to and out of this class were not estimated (see chapter 6, section 6.6.5). The overall net impact of this change to the LULUCF sector was a decrease of 16 kt CO</w:t>
      </w:r>
      <w:r w:rsidRPr="00261B7A">
        <w:rPr>
          <w:vertAlign w:val="subscript"/>
        </w:rPr>
        <w:t>2</w:t>
      </w:r>
      <w:r w:rsidRPr="00261B7A">
        <w:t>-e in 2020 and a decrease of 39 kt CO</w:t>
      </w:r>
      <w:r w:rsidRPr="00261B7A">
        <w:rPr>
          <w:vertAlign w:val="subscript"/>
        </w:rPr>
        <w:t>2</w:t>
      </w:r>
      <w:r w:rsidRPr="00261B7A">
        <w:t>-e in 1990.</w:t>
      </w:r>
    </w:p>
    <w:p w14:paraId="7B8599C4" w14:textId="77777777" w:rsidR="006611EE" w:rsidRPr="00261B7A" w:rsidRDefault="006611EE" w:rsidP="006611EE">
      <w:pPr>
        <w:pStyle w:val="BodyText"/>
      </w:pPr>
      <w:r w:rsidRPr="00261B7A">
        <w:t>Section 6.1.4 in chapter 6 contains more details about improvements and recalculations for the LULUCF sector.</w:t>
      </w:r>
    </w:p>
    <w:p w14:paraId="4F68E7F7" w14:textId="77777777" w:rsidR="006611EE" w:rsidRPr="00261B7A" w:rsidRDefault="006611EE" w:rsidP="006611EE">
      <w:pPr>
        <w:pStyle w:val="BodyText"/>
      </w:pPr>
      <w:r w:rsidRPr="00261B7A">
        <w:rPr>
          <w:spacing w:val="-2"/>
        </w:rPr>
        <w:t>Improvements made to the LULUCF sector resulted in a 5.0 per cent (1,058.0 kt CO</w:t>
      </w:r>
      <w:r w:rsidRPr="00261B7A">
        <w:rPr>
          <w:spacing w:val="-2"/>
          <w:vertAlign w:val="subscript"/>
        </w:rPr>
        <w:t>2</w:t>
      </w:r>
      <w:r w:rsidRPr="00261B7A">
        <w:rPr>
          <w:spacing w:val="-2"/>
        </w:rPr>
        <w:t>-e) decreas</w:t>
      </w:r>
      <w:r w:rsidRPr="00261B7A">
        <w:t>e in net LULUCF removal estimates in 1990, and a 0.3 per cent (71.2 kt CO</w:t>
      </w:r>
      <w:r w:rsidRPr="00261B7A">
        <w:rPr>
          <w:vertAlign w:val="subscript"/>
        </w:rPr>
        <w:t>2</w:t>
      </w:r>
      <w:r w:rsidRPr="00261B7A">
        <w:t>-e) decrease in net LULUCF removal estimates in 2020.</w:t>
      </w:r>
    </w:p>
    <w:p w14:paraId="0697E100" w14:textId="77777777" w:rsidR="006611EE" w:rsidRPr="00261B7A" w:rsidRDefault="006611EE" w:rsidP="006611EE">
      <w:pPr>
        <w:pStyle w:val="Heading4"/>
      </w:pPr>
      <w:bookmarkStart w:id="129" w:name="waste-1"/>
      <w:bookmarkEnd w:id="128"/>
      <w:r w:rsidRPr="00261B7A">
        <w:t>Waste</w:t>
      </w:r>
    </w:p>
    <w:p w14:paraId="0B9F708E" w14:textId="77777777" w:rsidR="006611EE" w:rsidRPr="00261B7A" w:rsidRDefault="006611EE" w:rsidP="006611EE">
      <w:pPr>
        <w:pStyle w:val="BodyText"/>
      </w:pPr>
      <w:r w:rsidRPr="00261B7A">
        <w:t>Improvements and recalculations made to estimates in the Waste sector have resulted in a 0.04 per cent (1.5 kt CO</w:t>
      </w:r>
      <w:r w:rsidRPr="00261B7A">
        <w:rPr>
          <w:vertAlign w:val="subscript"/>
        </w:rPr>
        <w:t>2</w:t>
      </w:r>
      <w:r w:rsidRPr="00261B7A">
        <w:t>-e) increase in emissions in 1990 and a 0.1 per cent (2.4 kt CO</w:t>
      </w:r>
      <w:r w:rsidRPr="00261B7A">
        <w:rPr>
          <w:vertAlign w:val="subscript"/>
        </w:rPr>
        <w:t>2</w:t>
      </w:r>
      <w:r w:rsidRPr="00261B7A">
        <w:t>-e) decrease in emissions in 2020.</w:t>
      </w:r>
    </w:p>
    <w:p w14:paraId="7EADA9DC" w14:textId="77777777" w:rsidR="006611EE" w:rsidRPr="00261B7A" w:rsidRDefault="006611EE" w:rsidP="006611EE">
      <w:pPr>
        <w:pStyle w:val="BodyText"/>
      </w:pPr>
      <w:r w:rsidRPr="00261B7A">
        <w:lastRenderedPageBreak/>
        <w:t>Minor changes have been made that affect emissions as follows.</w:t>
      </w:r>
    </w:p>
    <w:p w14:paraId="675A588D" w14:textId="77777777" w:rsidR="006611EE" w:rsidRPr="00261B7A" w:rsidRDefault="006611EE" w:rsidP="006611EE">
      <w:pPr>
        <w:pStyle w:val="Bullet"/>
      </w:pPr>
      <w:r w:rsidRPr="00261B7A">
        <w:t xml:space="preserve">Activity data for </w:t>
      </w:r>
      <w:r w:rsidRPr="00261B7A">
        <w:rPr>
          <w:i/>
          <w:iCs/>
        </w:rPr>
        <w:t>Managed waste disposal sites</w:t>
      </w:r>
      <w:r w:rsidRPr="00261B7A">
        <w:t xml:space="preserve"> were revised for 2018, 2019 and 2020, to </w:t>
      </w:r>
      <w:r w:rsidRPr="00261B7A">
        <w:rPr>
          <w:spacing w:val="-2"/>
        </w:rPr>
        <w:t>remove small amounts of cover material that should not be included in the waste tonnage</w:t>
      </w:r>
      <w:r w:rsidRPr="00261B7A">
        <w:t>.</w:t>
      </w:r>
    </w:p>
    <w:p w14:paraId="10040E57" w14:textId="77777777" w:rsidR="006611EE" w:rsidRPr="00261B7A" w:rsidRDefault="006611EE" w:rsidP="006611EE">
      <w:pPr>
        <w:pStyle w:val="Bullet"/>
      </w:pPr>
      <w:r w:rsidRPr="00261B7A">
        <w:t xml:space="preserve">The Coulson Road landfill within the </w:t>
      </w:r>
      <w:r w:rsidRPr="00261B7A">
        <w:rPr>
          <w:i/>
          <w:iCs/>
        </w:rPr>
        <w:t>Managed waste disposal sites</w:t>
      </w:r>
      <w:r w:rsidRPr="00261B7A">
        <w:t xml:space="preserve"> category stopped accepting waste in 2019. Therefore, the landfill gas capture rate was revised for the duration of gas capture beginning in 2018, from 68 per cent to 52 per cent, which is the value for closed sites. Furthermore, the Victoria Flats landfill had a gas capture system installed during 2021 and the estimate for 2021 reflects this.</w:t>
      </w:r>
    </w:p>
    <w:p w14:paraId="06A6CF6A" w14:textId="77777777" w:rsidR="006611EE" w:rsidRPr="00261B7A" w:rsidRDefault="006611EE" w:rsidP="006611EE">
      <w:pPr>
        <w:pStyle w:val="Bullet"/>
      </w:pPr>
      <w:r w:rsidRPr="00261B7A">
        <w:t xml:space="preserve">Activity data for </w:t>
      </w:r>
      <w:r w:rsidRPr="00261B7A">
        <w:rPr>
          <w:i/>
          <w:iCs/>
        </w:rPr>
        <w:t>Composting</w:t>
      </w:r>
      <w:r w:rsidRPr="00261B7A">
        <w:t xml:space="preserve"> were revised upward to account for the effects of policy actions beginning in 2020.</w:t>
      </w:r>
    </w:p>
    <w:p w14:paraId="486FC4A3" w14:textId="77777777" w:rsidR="006611EE" w:rsidRPr="00261B7A" w:rsidRDefault="006611EE" w:rsidP="006611EE">
      <w:pPr>
        <w:pStyle w:val="Bullet"/>
      </w:pPr>
      <w:r w:rsidRPr="00261B7A">
        <w:t xml:space="preserve">Activity data for </w:t>
      </w:r>
      <w:r w:rsidRPr="00261B7A">
        <w:rPr>
          <w:i/>
          <w:iCs/>
        </w:rPr>
        <w:t>Industrial wastewater</w:t>
      </w:r>
      <w:r w:rsidRPr="00261B7A">
        <w:t xml:space="preserve"> were revised for the paper and paperboard and wood pulp industries due to revised statistics.</w:t>
      </w:r>
    </w:p>
    <w:p w14:paraId="02D784B9" w14:textId="77777777" w:rsidR="006611EE" w:rsidRPr="00261B7A" w:rsidRDefault="006611EE" w:rsidP="006611EE">
      <w:pPr>
        <w:pStyle w:val="BodyText"/>
      </w:pPr>
      <w:r w:rsidRPr="00261B7A">
        <w:t>Further details can be found under methodological issues for each source category and also in chapter 10.</w:t>
      </w:r>
    </w:p>
    <w:p w14:paraId="210B6914" w14:textId="77777777" w:rsidR="006611EE" w:rsidRPr="00261B7A" w:rsidRDefault="006611EE" w:rsidP="006611EE">
      <w:pPr>
        <w:pStyle w:val="Heading4"/>
      </w:pPr>
      <w:bookmarkStart w:id="130" w:name="other-sector-tokelau-1"/>
      <w:bookmarkEnd w:id="129"/>
      <w:r w:rsidRPr="00261B7A">
        <w:t>Other sector (Tokelau)</w:t>
      </w:r>
    </w:p>
    <w:p w14:paraId="4DCADCC3" w14:textId="77777777" w:rsidR="006611EE" w:rsidRPr="00261B7A" w:rsidRDefault="006611EE" w:rsidP="006611EE">
      <w:pPr>
        <w:pStyle w:val="BodyText"/>
      </w:pPr>
      <w:r w:rsidRPr="00261B7A">
        <w:t>Recalculations made to emissions estimates in Tokelau resulted in no change for 1990 and a 0.004 per cent (0.0002 kt CO</w:t>
      </w:r>
      <w:r w:rsidRPr="00261B7A">
        <w:rPr>
          <w:vertAlign w:val="subscript"/>
        </w:rPr>
        <w:t>2</w:t>
      </w:r>
      <w:r w:rsidRPr="00261B7A">
        <w:t>-e) increase in emissions in 2020.</w:t>
      </w:r>
    </w:p>
    <w:p w14:paraId="7A841408" w14:textId="77777777" w:rsidR="006611EE" w:rsidRPr="00261B7A" w:rsidRDefault="006611EE" w:rsidP="006611EE">
      <w:r w:rsidRPr="00261B7A">
        <w:br w:type="page"/>
      </w:r>
    </w:p>
    <w:p w14:paraId="38016607" w14:textId="77777777" w:rsidR="006611EE" w:rsidRPr="00261B7A" w:rsidRDefault="006611EE" w:rsidP="006611EE">
      <w:pPr>
        <w:pStyle w:val="Heading2"/>
        <w:spacing w:after="480"/>
      </w:pPr>
      <w:bookmarkStart w:id="131" w:name="_Toc131591213"/>
      <w:bookmarkStart w:id="132" w:name="chapter-1-references"/>
      <w:bookmarkEnd w:id="124"/>
      <w:bookmarkEnd w:id="130"/>
      <w:r w:rsidRPr="00261B7A">
        <w:lastRenderedPageBreak/>
        <w:t>Chapter 1: References</w:t>
      </w:r>
      <w:bookmarkEnd w:id="131"/>
    </w:p>
    <w:p w14:paraId="28B3DC68" w14:textId="77777777" w:rsidR="006611EE" w:rsidRPr="00261B7A" w:rsidRDefault="006611EE" w:rsidP="006611EE">
      <w:pPr>
        <w:pStyle w:val="References"/>
      </w:pPr>
      <w:r w:rsidRPr="00261B7A">
        <w:t>Cardno. Unpublished. Greenhouse Gas Emissions from Industrial Wastewater Treatment. Report prepared for the Ministry for the Environment in 2015.</w:t>
      </w:r>
    </w:p>
    <w:p w14:paraId="171B4EA9" w14:textId="77777777" w:rsidR="006611EE" w:rsidRPr="00261B7A" w:rsidRDefault="006611EE" w:rsidP="006611EE">
      <w:pPr>
        <w:pStyle w:val="References"/>
      </w:pPr>
      <w:r w:rsidRPr="00261B7A">
        <w:t>CRL Energy Ltd. Unpublished. Hennessy W, Maxwell D. Inventory of HFC, PFC and SF</w:t>
      </w:r>
      <w:r w:rsidRPr="00261B7A">
        <w:rPr>
          <w:vertAlign w:val="subscript"/>
        </w:rPr>
        <w:t>6</w:t>
      </w:r>
      <w:r w:rsidRPr="00261B7A">
        <w:t xml:space="preserve"> Emissions for New Zealand 2004–2005. Report prepared for the Ministry for the Environment by CRL Energy Ltd in 2006.</w:t>
      </w:r>
    </w:p>
    <w:p w14:paraId="0DA56ACF" w14:textId="77777777" w:rsidR="006611EE" w:rsidRPr="00261B7A" w:rsidRDefault="006611EE" w:rsidP="006611EE">
      <w:pPr>
        <w:pStyle w:val="References"/>
        <w:rPr>
          <w:szCs w:val="20"/>
        </w:rPr>
      </w:pPr>
      <w:r w:rsidRPr="00261B7A">
        <w:rPr>
          <w:szCs w:val="20"/>
        </w:rPr>
        <w:t>Easdale TA, Burge OR, Wiser S, Richardson SJ. Unpublished. Carbon Assessment of Wetland Vegetation. Contract report LC4173 prepared for the Ministry for the Environment by Landcare Research New Zealand Ltd in 2022.</w:t>
      </w:r>
    </w:p>
    <w:p w14:paraId="1DFF50A2" w14:textId="77777777" w:rsidR="006611EE" w:rsidRPr="00261B7A" w:rsidRDefault="006611EE" w:rsidP="006611EE">
      <w:pPr>
        <w:pStyle w:val="References"/>
      </w:pPr>
      <w:r w:rsidRPr="00261B7A">
        <w:t>Eunomia. Unpublished. Improvements to Estimates of Greenhouse Gas Emissions from Landfills. Report prepared for the Ministry for the Environment in 2020.</w:t>
      </w:r>
    </w:p>
    <w:p w14:paraId="66C50AA0" w14:textId="77777777" w:rsidR="006611EE" w:rsidRPr="00261B7A" w:rsidRDefault="006611EE" w:rsidP="006611EE">
      <w:pPr>
        <w:pStyle w:val="References"/>
      </w:pPr>
      <w:r w:rsidRPr="00261B7A">
        <w:t xml:space="preserve">IPCC. 2006. Eggleston HS, Buendia L, Miwa K, Ngara T, Tanabe K (eds). </w:t>
      </w:r>
      <w:r w:rsidRPr="00261B7A">
        <w:rPr>
          <w:i/>
          <w:iCs/>
        </w:rPr>
        <w:t>2006 IPCC Guidelines for National Greenhouse Gas Inventories. Volume 1. General Guidance and Reporting.</w:t>
      </w:r>
      <w:r w:rsidRPr="00261B7A">
        <w:t xml:space="preserve"> IPCC National Greenhouse Gas Inventories Programme. Japan: Institute for Global Environmental Strategies for IPCC.</w:t>
      </w:r>
    </w:p>
    <w:p w14:paraId="303589AC" w14:textId="77777777" w:rsidR="006611EE" w:rsidRPr="00261B7A" w:rsidRDefault="006611EE" w:rsidP="006611EE">
      <w:pPr>
        <w:pStyle w:val="References"/>
      </w:pPr>
      <w:r w:rsidRPr="00261B7A">
        <w:t xml:space="preserve">IPCC. 2007. Forster P, Ramaswamy V, Artaxo P, Berntsen T, Betts R, Fahey DW, Haywood J, Lean J, Lowe DC, Myhre G, Nganga J, Prinn R, Raga G, Schulz M, Van Dorland R. </w:t>
      </w:r>
      <w:r w:rsidRPr="00261B7A">
        <w:rPr>
          <w:i/>
          <w:iCs/>
        </w:rPr>
        <w:t>Changes in Atmospheric Constituents and in Radiative Forcing</w:t>
      </w:r>
      <w:r w:rsidRPr="00261B7A">
        <w:t xml:space="preserve">. In: S Solomon, D Qin, M Manning, Z Chen, M Marquis, KB Averyt, M Tignor and HL Miller (eds) </w:t>
      </w:r>
      <w:r w:rsidRPr="00261B7A">
        <w:rPr>
          <w:i/>
          <w:iCs/>
        </w:rPr>
        <w:t>Climate Change 2007: The Physical Science Basis</w:t>
      </w:r>
      <w:r w:rsidRPr="00261B7A">
        <w:t>.</w:t>
      </w:r>
      <w:r w:rsidRPr="00261B7A">
        <w:rPr>
          <w:i/>
          <w:iCs/>
        </w:rPr>
        <w:t xml:space="preserve"> Contribution of Working Group I to the Fourth Assessment Report of the Intergovernmental Panel on Climate Change</w:t>
      </w:r>
      <w:r w:rsidRPr="00261B7A">
        <w:t>. Cambridge: Cambridge University Press.</w:t>
      </w:r>
    </w:p>
    <w:p w14:paraId="10EF5465" w14:textId="77777777" w:rsidR="006611EE" w:rsidRPr="00261B7A" w:rsidRDefault="006611EE" w:rsidP="006611EE">
      <w:pPr>
        <w:pStyle w:val="References"/>
      </w:pPr>
      <w:r w:rsidRPr="00261B7A">
        <w:t xml:space="preserve">IPCC. 2014. Hiraishi T, Krug T, Tanabe K, Srivastava N, Baasansuren J, Fukuda M, Troxler TG (eds). </w:t>
      </w:r>
      <w:r w:rsidRPr="00261B7A">
        <w:rPr>
          <w:i/>
          <w:iCs/>
        </w:rPr>
        <w:t>2013 Revised Supplementary Methods and Good Practice Guidance Arising from the Kyoto Protocol</w:t>
      </w:r>
      <w:r w:rsidRPr="00261B7A">
        <w:t>. Geneva, Switzerland: IPCC.</w:t>
      </w:r>
    </w:p>
    <w:p w14:paraId="4885500D" w14:textId="77777777" w:rsidR="006611EE" w:rsidRPr="00261B7A" w:rsidRDefault="006611EE" w:rsidP="006611EE">
      <w:pPr>
        <w:pStyle w:val="References"/>
      </w:pPr>
      <w:r w:rsidRPr="00261B7A">
        <w:t xml:space="preserve">IPCC. 2021. Masson-Delmotte V, Zhai P, Pirani A, Connors SL, Péan C, Berger C, Caud N, Chen Y, Goldfarb L, Gomis MI, Huang M, Leitzell K, Lonnoy E, Matthews JBR, Maycock TK, Waterfield T, Yelekçi O, Yu R, Zhou B (eds). Climate Change 2021: The physical science basis. </w:t>
      </w:r>
      <w:r w:rsidRPr="00261B7A">
        <w:rPr>
          <w:i/>
          <w:iCs/>
        </w:rPr>
        <w:t>Contribution of Working Group I to the Sixth Assessment Report of the Intergovernmental Panel on Climate Change.</w:t>
      </w:r>
      <w:r w:rsidRPr="00261B7A">
        <w:t xml:space="preserve"> Cambridge University Press.</w:t>
      </w:r>
    </w:p>
    <w:p w14:paraId="3D5CE6C1" w14:textId="77777777" w:rsidR="006611EE" w:rsidRPr="00261B7A" w:rsidRDefault="006611EE" w:rsidP="006611EE">
      <w:pPr>
        <w:pStyle w:val="References"/>
      </w:pPr>
      <w:r w:rsidRPr="00261B7A">
        <w:t xml:space="preserve">IPCC. 2022. Shukla PR, Skea J, Slade R, Al Khourdajie A, van Diemen R, McCollum D, Pathak M, Some S, Vyas P, Fradera R, Belkacemi M, Hasija A, Lisboa G, Luz S, Malley J (eds.) Climate Change 2022: Mitigation of Climate Change. </w:t>
      </w:r>
      <w:r w:rsidRPr="00261B7A">
        <w:rPr>
          <w:i/>
          <w:iCs/>
        </w:rPr>
        <w:t>Contribution of Working Group III to the Sixth Assessment Report of the Intergovernmental Panel on Climate Change</w:t>
      </w:r>
      <w:r w:rsidRPr="00261B7A">
        <w:t>. Cambridge University Press.</w:t>
      </w:r>
    </w:p>
    <w:p w14:paraId="300D4066" w14:textId="77777777" w:rsidR="006611EE" w:rsidRPr="00261B7A" w:rsidRDefault="006611EE" w:rsidP="006611EE">
      <w:pPr>
        <w:pStyle w:val="References"/>
      </w:pPr>
      <w:r w:rsidRPr="00261B7A">
        <w:t xml:space="preserve">Ministry for the Environment. 2006. </w:t>
      </w:r>
      <w:r w:rsidRPr="00261B7A">
        <w:rPr>
          <w:i/>
          <w:iCs/>
        </w:rPr>
        <w:t>New Zealand’s Initial Report under the Kyoto Protocol: Facilitating the calculation of New Zealand’s assigned amount and demonstrating New Zealand’s capacity to account for its emissions and assigned amount in accordance with Article 7 paragraph 4 of the Kyoto Protocol</w:t>
      </w:r>
      <w:r w:rsidRPr="00261B7A">
        <w:t>. Wellington: Ministry for the Environment.</w:t>
      </w:r>
    </w:p>
    <w:p w14:paraId="076C4B12" w14:textId="77777777" w:rsidR="006611EE" w:rsidRPr="00261B7A" w:rsidRDefault="006611EE" w:rsidP="006611EE">
      <w:pPr>
        <w:pStyle w:val="References"/>
      </w:pPr>
      <w:r w:rsidRPr="00261B7A">
        <w:t xml:space="preserve">Ministry for the Environment. 2023. </w:t>
      </w:r>
      <w:r w:rsidRPr="00261B7A">
        <w:rPr>
          <w:i/>
          <w:iCs/>
        </w:rPr>
        <w:t>Planned Methodological Improvements for Aotearoa New Zealand’s Greenhouse Gas Inventory 1990–2021</w:t>
      </w:r>
      <w:r w:rsidRPr="00261B7A">
        <w:t>. Wellington: Ministry for the Environment.</w:t>
      </w:r>
    </w:p>
    <w:p w14:paraId="6088A5FD" w14:textId="77777777" w:rsidR="006611EE" w:rsidRPr="00261B7A" w:rsidRDefault="006611EE" w:rsidP="006611EE">
      <w:pPr>
        <w:pStyle w:val="References"/>
      </w:pPr>
      <w:r w:rsidRPr="00261B7A">
        <w:t xml:space="preserve">MBIE. 2022. </w:t>
      </w:r>
      <w:r w:rsidRPr="00261B7A">
        <w:rPr>
          <w:i/>
          <w:iCs/>
        </w:rPr>
        <w:t>Energy in New Zealand</w:t>
      </w:r>
      <w:r w:rsidRPr="00261B7A">
        <w:t xml:space="preserve"> 2022. Wellington: Ministry of Business, Innovation and Employment.</w:t>
      </w:r>
    </w:p>
    <w:p w14:paraId="7554BA71" w14:textId="77777777" w:rsidR="006611EE" w:rsidRPr="00261B7A" w:rsidRDefault="006611EE" w:rsidP="006611EE">
      <w:pPr>
        <w:pStyle w:val="References"/>
      </w:pPr>
      <w:r w:rsidRPr="00261B7A">
        <w:t>Paul TSH, Andersen C, Kimberley MO, Dash J, Beets PN. Unpublished(a). Carbon Stock Changes in New Zealand’s Pre-1990 Planted Forests Based on a Periodic Ground Inventory. Report prepared for the Ministry for the Environment by the New Zealand Forest Research Institute Ltd (trading as Scion) in 2016.</w:t>
      </w:r>
    </w:p>
    <w:p w14:paraId="4E817198" w14:textId="77777777" w:rsidR="006611EE" w:rsidRPr="00261B7A" w:rsidRDefault="006611EE" w:rsidP="006611EE">
      <w:pPr>
        <w:pStyle w:val="References"/>
      </w:pPr>
      <w:r w:rsidRPr="00261B7A">
        <w:t>Paul TSH, Beets PN, Kimberley MO. Unpublished(b). Carbon Stocks in New Zealand’s Post-1989 Natural Forest – Analysis of the 2018/2019 forest inventory data. Report prepared for the Ministry for the Environment by the New Zealand Forest Research Institute Ltd (trading as Scion) in 2020.</w:t>
      </w:r>
    </w:p>
    <w:p w14:paraId="56EFA777" w14:textId="77777777" w:rsidR="006611EE" w:rsidRPr="00261B7A" w:rsidRDefault="006611EE" w:rsidP="006611EE">
      <w:pPr>
        <w:pStyle w:val="References"/>
      </w:pPr>
      <w:r w:rsidRPr="00261B7A">
        <w:t>Paul TSH, Kimberley MO, Beets PN. 2020. Natural Forests in New Zealand – a large terrestrial carbon pool in a national state of equilibrium. Manuscript submitted for publication.</w:t>
      </w:r>
    </w:p>
    <w:p w14:paraId="42F85280" w14:textId="77777777" w:rsidR="006611EE" w:rsidRPr="00261B7A" w:rsidRDefault="006611EE" w:rsidP="006611EE">
      <w:pPr>
        <w:pStyle w:val="References"/>
      </w:pPr>
      <w:r w:rsidRPr="00261B7A">
        <w:lastRenderedPageBreak/>
        <w:t>Paul TSH, Kimberley MO, Dodunski C. Unpublished(c). The 2019 NFI Plot Analysis Yield Tables and Carbon Stocks at Measurement. Report prepared for the Ministry for the Environment by New Zealand Forest Research Institute Ltd (trading as Scion) in 2020.</w:t>
      </w:r>
    </w:p>
    <w:p w14:paraId="4B81E346" w14:textId="77777777" w:rsidR="006611EE" w:rsidRPr="00261B7A" w:rsidRDefault="006611EE" w:rsidP="006611EE">
      <w:pPr>
        <w:pStyle w:val="References"/>
      </w:pPr>
      <w:r w:rsidRPr="00261B7A">
        <w:t>Paul TSH, Wakelin SJ. Unpublished. Yield Tables and Approach for Estimating Historic Carbon Stocks in Pre-1990 Planted Forests for Greenhouse Gas Inventory Reporting. Report prepared for the Ministry for the Environment by New Zealand Forest Research Institute Ltd (trading as Scion) in 2020.</w:t>
      </w:r>
    </w:p>
    <w:p w14:paraId="50F8C80D" w14:textId="77777777" w:rsidR="006611EE" w:rsidRPr="00261B7A" w:rsidRDefault="006611EE" w:rsidP="006611EE">
      <w:pPr>
        <w:pStyle w:val="References"/>
      </w:pPr>
      <w:r w:rsidRPr="00261B7A">
        <w:t xml:space="preserve">Stats NZ. 2007. </w:t>
      </w:r>
      <w:r w:rsidRPr="00261B7A">
        <w:rPr>
          <w:i/>
          <w:iCs/>
        </w:rPr>
        <w:t>Principles and Protocols for Producers of Tier 1 Statistics</w:t>
      </w:r>
      <w:r w:rsidRPr="00261B7A">
        <w:t xml:space="preserve">. Wellington: Statistics New Zealand. Retrieved from </w:t>
      </w:r>
      <w:hyperlink r:id="rId44" w:history="1">
        <w:r w:rsidRPr="00261B7A">
          <w:rPr>
            <w:rStyle w:val="Hyperlink"/>
          </w:rPr>
          <w:t>www.stats.govt.nz/assets/Uploads/Principles-and-protocols-for-producers-of-tier-1-stats/principles-and-protocols-for-producers-of-tier-1-stats.pdf</w:t>
        </w:r>
      </w:hyperlink>
      <w:r w:rsidRPr="00261B7A">
        <w:t xml:space="preserve"> (24 March 2023).</w:t>
      </w:r>
    </w:p>
    <w:p w14:paraId="731F6978" w14:textId="77777777" w:rsidR="006611EE" w:rsidRPr="00261B7A" w:rsidRDefault="006611EE" w:rsidP="006611EE">
      <w:pPr>
        <w:pStyle w:val="References"/>
      </w:pPr>
      <w:r w:rsidRPr="00261B7A">
        <w:t xml:space="preserve">UNFCCC. 1992. FCCC/INFORMAL/84 </w:t>
      </w:r>
      <w:r w:rsidRPr="00261B7A">
        <w:rPr>
          <w:i/>
          <w:iCs/>
        </w:rPr>
        <w:t>United Nations Framework Convention on Climate Change</w:t>
      </w:r>
      <w:r w:rsidRPr="00261B7A">
        <w:t xml:space="preserve">. Retrieved from </w:t>
      </w:r>
      <w:hyperlink r:id="rId45" w:history="1">
        <w:r w:rsidRPr="00261B7A">
          <w:rPr>
            <w:rStyle w:val="Hyperlink"/>
          </w:rPr>
          <w:t>unfccc.int/files/essential_background/background_publications_htmlpdf/ application/pdf/conveng.pdf</w:t>
        </w:r>
      </w:hyperlink>
      <w:r w:rsidRPr="00261B7A">
        <w:t xml:space="preserve"> (24 March 2023). </w:t>
      </w:r>
    </w:p>
    <w:p w14:paraId="171E1D21" w14:textId="77777777" w:rsidR="006611EE" w:rsidRPr="00261B7A" w:rsidRDefault="006611EE" w:rsidP="006611EE">
      <w:pPr>
        <w:pStyle w:val="References"/>
      </w:pPr>
      <w:r w:rsidRPr="00261B7A">
        <w:t xml:space="preserve">UNFCCC. 2005a. FCCC/KP/CMP/2005/8/Add.3. </w:t>
      </w:r>
      <w:r w:rsidRPr="00261B7A">
        <w:rPr>
          <w:i/>
          <w:iCs/>
        </w:rPr>
        <w:t>Land use, land-use change and forestry</w:t>
      </w:r>
      <w:r w:rsidRPr="00261B7A">
        <w:t>.</w:t>
      </w:r>
    </w:p>
    <w:p w14:paraId="79502A44" w14:textId="77777777" w:rsidR="006611EE" w:rsidRPr="00261B7A" w:rsidRDefault="006611EE" w:rsidP="006611EE">
      <w:pPr>
        <w:pStyle w:val="References"/>
      </w:pPr>
      <w:r w:rsidRPr="00261B7A">
        <w:t xml:space="preserve">UNFCCC. 2005b. FCCC/KP/CMP/2005/8/Add.2. </w:t>
      </w:r>
      <w:r w:rsidRPr="00261B7A">
        <w:rPr>
          <w:i/>
          <w:iCs/>
        </w:rPr>
        <w:t>Modalities for the accounting of assigned amounts under Article 7, paragraph 4 of the Kyoto Protocol</w:t>
      </w:r>
      <w:r w:rsidRPr="00261B7A">
        <w:t>.</w:t>
      </w:r>
    </w:p>
    <w:p w14:paraId="13726426" w14:textId="77777777" w:rsidR="006611EE" w:rsidRPr="00261B7A" w:rsidRDefault="006611EE" w:rsidP="006611EE">
      <w:pPr>
        <w:pStyle w:val="References"/>
      </w:pPr>
      <w:r w:rsidRPr="00261B7A">
        <w:t xml:space="preserve">UNFCCC. 2005c. FCCC/KP/CMP/2005/8/Add.2. </w:t>
      </w:r>
      <w:r w:rsidRPr="00261B7A">
        <w:rPr>
          <w:i/>
          <w:iCs/>
        </w:rPr>
        <w:t>Standard electronic format for reporting Kyoto Protocol units</w:t>
      </w:r>
      <w:r w:rsidRPr="00261B7A">
        <w:t>.</w:t>
      </w:r>
    </w:p>
    <w:p w14:paraId="2678B995" w14:textId="77777777" w:rsidR="006611EE" w:rsidRPr="00261B7A" w:rsidRDefault="006611EE" w:rsidP="006611EE">
      <w:pPr>
        <w:pStyle w:val="References"/>
      </w:pPr>
      <w:r w:rsidRPr="00261B7A">
        <w:t xml:space="preserve">UNFCCC. 2005d. FCCC/KP/CMP/2005/8/Add.2. </w:t>
      </w:r>
      <w:r w:rsidRPr="00261B7A">
        <w:rPr>
          <w:i/>
          <w:iCs/>
        </w:rPr>
        <w:t>Guidelines for the preparation of the information required under Article 7 of the Kyoto Protocol</w:t>
      </w:r>
      <w:r w:rsidRPr="00261B7A">
        <w:t>.</w:t>
      </w:r>
    </w:p>
    <w:p w14:paraId="00745051" w14:textId="77777777" w:rsidR="006611EE" w:rsidRPr="00261B7A" w:rsidRDefault="006611EE" w:rsidP="006611EE">
      <w:pPr>
        <w:pStyle w:val="References"/>
      </w:pPr>
      <w:r w:rsidRPr="00261B7A">
        <w:t xml:space="preserve">UNFCCC. 2005e. FCCC/KP/CMP/2005/8/Add.3 </w:t>
      </w:r>
      <w:r w:rsidRPr="00261B7A">
        <w:rPr>
          <w:i/>
          <w:iCs/>
        </w:rPr>
        <w:t>Guidelines for national systems under Article 5, paragraph 1 of the Kyoto Protocol</w:t>
      </w:r>
      <w:r w:rsidRPr="00261B7A">
        <w:t>.</w:t>
      </w:r>
    </w:p>
    <w:p w14:paraId="0939D5F9" w14:textId="77777777" w:rsidR="006611EE" w:rsidRPr="00261B7A" w:rsidRDefault="006611EE" w:rsidP="006611EE">
      <w:pPr>
        <w:pStyle w:val="References"/>
      </w:pPr>
      <w:r w:rsidRPr="00261B7A">
        <w:t xml:space="preserve">UNFCCC. 2005f. FCCC/KP/CMP/2005/8/Add.3 </w:t>
      </w:r>
      <w:r w:rsidRPr="00261B7A">
        <w:rPr>
          <w:i/>
          <w:iCs/>
        </w:rPr>
        <w:t>Good practice guidance and adjustments under Article 5, paragraph 2 of the Kyoto Protocol</w:t>
      </w:r>
      <w:r w:rsidRPr="00261B7A">
        <w:t>.</w:t>
      </w:r>
    </w:p>
    <w:p w14:paraId="0AD25AD2" w14:textId="77777777" w:rsidR="006611EE" w:rsidRPr="00261B7A" w:rsidRDefault="006611EE" w:rsidP="006611EE">
      <w:pPr>
        <w:pStyle w:val="References"/>
      </w:pPr>
      <w:r w:rsidRPr="00261B7A">
        <w:t xml:space="preserve">UNFCCC. 2005g. FCCC/KP/CMP/2005/8/Add.3 </w:t>
      </w:r>
      <w:r w:rsidRPr="00261B7A">
        <w:rPr>
          <w:i/>
          <w:iCs/>
        </w:rPr>
        <w:t>Issues relating to adjustments under Article 5, paragraph 2 of the Kyoto Protocol</w:t>
      </w:r>
      <w:r w:rsidRPr="00261B7A">
        <w:t>.</w:t>
      </w:r>
    </w:p>
    <w:p w14:paraId="42F2F375" w14:textId="77777777" w:rsidR="006611EE" w:rsidRPr="00261B7A" w:rsidRDefault="006611EE" w:rsidP="006611EE">
      <w:pPr>
        <w:pStyle w:val="References"/>
      </w:pPr>
      <w:r w:rsidRPr="00261B7A">
        <w:t xml:space="preserve">UNFCCC. 2005h. FCCC/KP/CMP/2005/8/Add.3 </w:t>
      </w:r>
      <w:r w:rsidRPr="00261B7A">
        <w:rPr>
          <w:i/>
          <w:iCs/>
        </w:rPr>
        <w:t>Guidelines for review under Article 8 of the Kyoto Protocol</w:t>
      </w:r>
      <w:r w:rsidRPr="00261B7A">
        <w:t>.</w:t>
      </w:r>
    </w:p>
    <w:p w14:paraId="7D72A46F" w14:textId="77777777" w:rsidR="006611EE" w:rsidRPr="00261B7A" w:rsidRDefault="006611EE" w:rsidP="006611EE">
      <w:pPr>
        <w:pStyle w:val="References"/>
      </w:pPr>
      <w:r w:rsidRPr="00261B7A">
        <w:t xml:space="preserve">UNFCCC. 2005i. FCCC/KP/CMP/2005/8/Add.3 </w:t>
      </w:r>
      <w:r w:rsidRPr="00261B7A">
        <w:rPr>
          <w:i/>
          <w:iCs/>
        </w:rPr>
        <w:t>Terms of service for lead reviewers</w:t>
      </w:r>
      <w:r w:rsidRPr="00261B7A">
        <w:t>.</w:t>
      </w:r>
    </w:p>
    <w:p w14:paraId="321B1F13" w14:textId="77777777" w:rsidR="006611EE" w:rsidRPr="00261B7A" w:rsidRDefault="006611EE" w:rsidP="006611EE">
      <w:pPr>
        <w:pStyle w:val="References"/>
      </w:pPr>
      <w:r w:rsidRPr="00261B7A">
        <w:t xml:space="preserve">UNFCCC. 2005j. FCCC/KP/CMP/2005/8/Add.3 </w:t>
      </w:r>
      <w:r w:rsidRPr="00261B7A">
        <w:rPr>
          <w:i/>
          <w:iCs/>
        </w:rPr>
        <w:t>Issues relating to the implementation of Article 8 of the Kyoto Protocol – 1 (Training programme for members of expert review teams)</w:t>
      </w:r>
      <w:r w:rsidRPr="00261B7A">
        <w:t>.</w:t>
      </w:r>
    </w:p>
    <w:p w14:paraId="5583F358" w14:textId="77777777" w:rsidR="006611EE" w:rsidRPr="00261B7A" w:rsidRDefault="006611EE" w:rsidP="006611EE">
      <w:pPr>
        <w:pStyle w:val="References"/>
      </w:pPr>
      <w:r w:rsidRPr="00261B7A">
        <w:t xml:space="preserve">UNFCCC. 2005k. FCCC/KP/CMP/2005/8/Add.3 </w:t>
      </w:r>
      <w:r w:rsidRPr="00261B7A">
        <w:rPr>
          <w:i/>
          <w:iCs/>
        </w:rPr>
        <w:t>Issues relating to the implementation of Article 8 of the Kyoto Protocol – 2 (Confidential information)</w:t>
      </w:r>
      <w:r w:rsidRPr="00261B7A">
        <w:t>.</w:t>
      </w:r>
    </w:p>
    <w:p w14:paraId="421B4FD5" w14:textId="77777777" w:rsidR="006611EE" w:rsidRPr="00261B7A" w:rsidRDefault="006611EE" w:rsidP="006611EE">
      <w:pPr>
        <w:pStyle w:val="References"/>
      </w:pPr>
      <w:r w:rsidRPr="00261B7A">
        <w:t xml:space="preserve">UNFCCC. 2006. FCCC/SBSTA/2006/9. </w:t>
      </w:r>
      <w:r w:rsidRPr="00261B7A">
        <w:rPr>
          <w:i/>
          <w:iCs/>
        </w:rPr>
        <w:t>Guidelines for the preparation of national communications by Parties included in Annex I to the Convention, Part I: UNFCCC reporting guidelines on annual inventories (following incorporation of the provisions of Decision 13/CP.9)</w:t>
      </w:r>
      <w:r w:rsidRPr="00261B7A">
        <w:t>.</w:t>
      </w:r>
    </w:p>
    <w:p w14:paraId="2CD2888E" w14:textId="77777777" w:rsidR="006611EE" w:rsidRPr="00261B7A" w:rsidRDefault="006611EE" w:rsidP="006611EE">
      <w:pPr>
        <w:pStyle w:val="References"/>
      </w:pPr>
      <w:r w:rsidRPr="00261B7A">
        <w:t xml:space="preserve">UNFCCC. 2012. FCCC/KP/CMP/2011/10/Add.1. </w:t>
      </w:r>
      <w:r w:rsidRPr="00261B7A">
        <w:rPr>
          <w:i/>
          <w:iCs/>
        </w:rPr>
        <w:t>Report of the Conference of the Parties serving as the meeting of the Parties to the Kyoto Protocol on its seventh session, held in Durban from 28 November to 11 December 2011; Decision 2/CMP.7, Land use, land-use change and forestry</w:t>
      </w:r>
      <w:r w:rsidRPr="00261B7A">
        <w:t>.</w:t>
      </w:r>
    </w:p>
    <w:p w14:paraId="23CD71D3" w14:textId="77777777" w:rsidR="006611EE" w:rsidRPr="00261B7A" w:rsidRDefault="006611EE" w:rsidP="006611EE">
      <w:pPr>
        <w:pStyle w:val="References"/>
      </w:pPr>
      <w:r w:rsidRPr="00261B7A">
        <w:t xml:space="preserve">UNFCCC. 2013a. FCCC/CP/2013/10/Add.3. </w:t>
      </w:r>
      <w:r w:rsidRPr="00261B7A">
        <w:rPr>
          <w:i/>
          <w:iCs/>
        </w:rPr>
        <w:t>Report of the Conference of the Parties on its nineteenth session, held in Warsaw from 11 to 23 November 2013, Addendum; Decision 24/CP.19 Revision of the UNFCCC reporting guidelines on annual inventories for Parties included in Annex I to the Convention</w:t>
      </w:r>
      <w:r w:rsidRPr="00261B7A">
        <w:t>.</w:t>
      </w:r>
    </w:p>
    <w:p w14:paraId="1B947502" w14:textId="77777777" w:rsidR="006611EE" w:rsidRPr="00261B7A" w:rsidRDefault="006611EE" w:rsidP="006611EE">
      <w:pPr>
        <w:pStyle w:val="References"/>
      </w:pPr>
      <w:r w:rsidRPr="00261B7A">
        <w:t xml:space="preserve">UNFCCC. 2013b. FCCC/KP/CMP/2012/13/Add.1. </w:t>
      </w:r>
      <w:r w:rsidRPr="00261B7A">
        <w:rPr>
          <w:i/>
          <w:iCs/>
        </w:rPr>
        <w:t>Decision 2/CMP.8 Implications of the implementation of decisions 2/CMP.7 to 5/CMP.7 on the previous decisions on methodological issues related to the Kyoto Protocol, including those relating to Articles 5, 7 and 8 of the Kyoto Protocol, Annex 2</w:t>
      </w:r>
      <w:r w:rsidRPr="00261B7A">
        <w:t>.</w:t>
      </w:r>
    </w:p>
    <w:p w14:paraId="2959A0E6" w14:textId="77777777" w:rsidR="006611EE" w:rsidRPr="00261B7A" w:rsidRDefault="006611EE" w:rsidP="006611EE">
      <w:pPr>
        <w:pStyle w:val="References"/>
      </w:pPr>
      <w:r w:rsidRPr="00261B7A">
        <w:t xml:space="preserve">UNFCCC. 2016a. FCCC/KP/CMP/2015/8/Add.1. </w:t>
      </w:r>
      <w:r w:rsidRPr="00261B7A">
        <w:rPr>
          <w:i/>
          <w:iCs/>
        </w:rPr>
        <w:t>Decision 3/CMP.11 Implications of the implementation of decisions 2/CMP.7 to 4/CMP.7 and 1/CMP.8 on the previous decisions on methodological issues related to the Kyoto Protocol, including those relating to Articles 5, 7 and 8 of the Kyoto Protocol, part I: implications related to accounting and reporting and other related issues</w:t>
      </w:r>
      <w:r w:rsidRPr="00261B7A">
        <w:t>.</w:t>
      </w:r>
    </w:p>
    <w:p w14:paraId="6E7E62DB" w14:textId="77777777" w:rsidR="006611EE" w:rsidRPr="00261B7A" w:rsidRDefault="006611EE" w:rsidP="006611EE">
      <w:pPr>
        <w:pStyle w:val="References"/>
      </w:pPr>
      <w:r w:rsidRPr="00261B7A">
        <w:lastRenderedPageBreak/>
        <w:t xml:space="preserve">UNFCCC. 2016b. FCCC/KP/CMP/2015/8/Add.1. </w:t>
      </w:r>
      <w:r w:rsidRPr="00261B7A">
        <w:rPr>
          <w:i/>
          <w:iCs/>
        </w:rPr>
        <w:t>Decision 4/CMP.11 Implications of the implementation of decisions 2/CMP.7 to 4/CMP.7 and 1/CMP.8 on the previous decisions on methodological issues related to the Kyoto Protocol, including those relating to Articles 5, 7 and 8 of the Kyoto Protocol, part II: implications related to review and adjustments and other related issues</w:t>
      </w:r>
      <w:r w:rsidRPr="00261B7A">
        <w:t>.</w:t>
      </w:r>
    </w:p>
    <w:p w14:paraId="01A35A75" w14:textId="30FA1953" w:rsidR="006611EE" w:rsidRPr="00261B7A" w:rsidRDefault="006611EE" w:rsidP="006611EE">
      <w:pPr>
        <w:pStyle w:val="References"/>
      </w:pPr>
      <w:r w:rsidRPr="00261B7A">
        <w:t xml:space="preserve">United Nations. 1945. </w:t>
      </w:r>
      <w:r w:rsidRPr="00261B7A">
        <w:rPr>
          <w:i/>
          <w:iCs/>
        </w:rPr>
        <w:t>Charter of the United Nations, 1945.</w:t>
      </w:r>
      <w:r w:rsidRPr="00261B7A">
        <w:t xml:space="preserve"> Retrieved from </w:t>
      </w:r>
      <w:hyperlink r:id="rId46" w:history="1">
        <w:r w:rsidR="00AF5FEB" w:rsidRPr="00261B7A">
          <w:rPr>
            <w:rStyle w:val="Hyperlink"/>
          </w:rPr>
          <w:t>https://treaties.un.org/doc/publication/ctc/uncharter.pdf</w:t>
        </w:r>
      </w:hyperlink>
      <w:r w:rsidR="00AF5FEB" w:rsidRPr="00261B7A">
        <w:t xml:space="preserve"> </w:t>
      </w:r>
      <w:r w:rsidRPr="00261B7A">
        <w:t>(</w:t>
      </w:r>
      <w:r w:rsidR="00AF5FEB" w:rsidRPr="00261B7A">
        <w:t>30 March 2023</w:t>
      </w:r>
      <w:r w:rsidRPr="00261B7A">
        <w:t>).</w:t>
      </w:r>
    </w:p>
    <w:p w14:paraId="72D1E762" w14:textId="77777777" w:rsidR="006611EE" w:rsidRPr="00261B7A" w:rsidRDefault="006611EE" w:rsidP="006611EE">
      <w:pPr>
        <w:pStyle w:val="References"/>
        <w:rPr>
          <w:rFonts w:ascii="Arial" w:hAnsi="Arial" w:cs="Arial"/>
          <w:color w:val="000000"/>
          <w:sz w:val="18"/>
          <w:szCs w:val="18"/>
          <w:shd w:val="clear" w:color="auto" w:fill="D5E2D4"/>
        </w:rPr>
      </w:pPr>
      <w:r w:rsidRPr="00261B7A">
        <w:t>Verum Group Ltd. Unpublished. Hennessy W. Inventory of HFC, SF</w:t>
      </w:r>
      <w:r w:rsidRPr="00261B7A">
        <w:rPr>
          <w:vertAlign w:val="subscript"/>
        </w:rPr>
        <w:t>6</w:t>
      </w:r>
      <w:r w:rsidRPr="00261B7A">
        <w:t xml:space="preserve"> and Other Industrial Process Emissions for New Zealand 2021. Report prepared by Verum Group Ltd for the Ministry for the Environment in </w:t>
      </w:r>
      <w:bookmarkEnd w:id="56"/>
      <w:bookmarkEnd w:id="132"/>
      <w:r w:rsidRPr="00261B7A">
        <w:t>2022.</w:t>
      </w:r>
      <w:r w:rsidRPr="00261B7A">
        <w:rPr>
          <w:rFonts w:ascii="Arial" w:hAnsi="Arial" w:cs="Arial"/>
          <w:color w:val="000000"/>
          <w:sz w:val="18"/>
          <w:szCs w:val="18"/>
          <w:shd w:val="clear" w:color="auto" w:fill="D5E2D4"/>
        </w:rPr>
        <w:t xml:space="preserve"> </w:t>
      </w:r>
    </w:p>
    <w:p w14:paraId="63D0F879" w14:textId="77777777" w:rsidR="006F34EE" w:rsidRPr="00261B7A" w:rsidRDefault="006F34EE" w:rsidP="009F5DA6"/>
    <w:p w14:paraId="42088377" w14:textId="77777777" w:rsidR="006F34EE" w:rsidRPr="00261B7A" w:rsidRDefault="006F34EE" w:rsidP="009F5DA6"/>
    <w:p w14:paraId="3E10173D" w14:textId="77777777" w:rsidR="00F40540" w:rsidRPr="00261B7A" w:rsidRDefault="00F40540" w:rsidP="009F5DA6">
      <w:pPr>
        <w:sectPr w:rsidR="00F40540" w:rsidRPr="00261B7A" w:rsidSect="00F03D99">
          <w:footerReference w:type="even" r:id="rId47"/>
          <w:footerReference w:type="default" r:id="rId48"/>
          <w:pgSz w:w="11907" w:h="16840" w:code="9"/>
          <w:pgMar w:top="1418" w:right="1701" w:bottom="1418" w:left="1701" w:header="567" w:footer="567" w:gutter="0"/>
          <w:pgNumType w:start="1"/>
          <w:cols w:space="720"/>
        </w:sectPr>
      </w:pPr>
    </w:p>
    <w:p w14:paraId="5B10F4ED" w14:textId="10BECF88" w:rsidR="00B0004A" w:rsidRPr="00261B7A" w:rsidRDefault="00B0004A" w:rsidP="00B0004A">
      <w:pPr>
        <w:pStyle w:val="Heading1"/>
      </w:pPr>
      <w:bookmarkStart w:id="133" w:name="_Toc131591214"/>
      <w:bookmarkStart w:id="134" w:name="Xc4567ae76f74431cc2af840963db2d9756f3548"/>
      <w:r w:rsidRPr="00261B7A">
        <w:lastRenderedPageBreak/>
        <w:t>Chapter 2: Trends in greenhouse gas</w:t>
      </w:r>
      <w:r w:rsidR="002D4DBC" w:rsidRPr="00261B7A">
        <w:t> </w:t>
      </w:r>
      <w:r w:rsidRPr="00261B7A">
        <w:t>emissions</w:t>
      </w:r>
      <w:bookmarkEnd w:id="133"/>
    </w:p>
    <w:p w14:paraId="3491169E" w14:textId="77777777" w:rsidR="00B0004A" w:rsidRPr="00261B7A" w:rsidRDefault="00B0004A" w:rsidP="00B0004A">
      <w:pPr>
        <w:pStyle w:val="Heading2"/>
        <w:spacing w:before="240"/>
      </w:pPr>
      <w:bookmarkStart w:id="135" w:name="_Toc131591215"/>
      <w:bookmarkStart w:id="136" w:name="Xc18360dfc6212928016160615ae2156e796cab2"/>
      <w:r w:rsidRPr="00261B7A">
        <w:t xml:space="preserve">2.1 </w:t>
      </w:r>
      <w:r w:rsidRPr="00261B7A">
        <w:tab/>
        <w:t>Emission trends for aggregated greenhouse gas emissions</w:t>
      </w:r>
      <w:bookmarkEnd w:id="135"/>
    </w:p>
    <w:p w14:paraId="3D1D822A" w14:textId="77777777" w:rsidR="00B0004A" w:rsidRPr="00261B7A" w:rsidRDefault="00B0004A" w:rsidP="00B0004A">
      <w:pPr>
        <w:pStyle w:val="BodyText"/>
      </w:pPr>
      <w:r w:rsidRPr="00261B7A">
        <w:t>This chapter describes emission trends by sector and greenhouse gas (GHG).</w:t>
      </w:r>
    </w:p>
    <w:p w14:paraId="30176C23" w14:textId="77777777" w:rsidR="00B0004A" w:rsidRPr="00261B7A" w:rsidRDefault="00B0004A" w:rsidP="00B0004A">
      <w:pPr>
        <w:pStyle w:val="Heading3"/>
      </w:pPr>
      <w:bookmarkStart w:id="137" w:name="X002422d0567cd750bab41c7667376f54b64c7c1"/>
      <w:r w:rsidRPr="00261B7A">
        <w:t xml:space="preserve">2.1.1 </w:t>
      </w:r>
      <w:r w:rsidRPr="00261B7A">
        <w:tab/>
        <w:t>National trends in greenhouse gas emissions</w:t>
      </w:r>
    </w:p>
    <w:p w14:paraId="0D9C3D41" w14:textId="77777777" w:rsidR="00B0004A" w:rsidRPr="00261B7A" w:rsidRDefault="00B0004A" w:rsidP="00B0004A">
      <w:pPr>
        <w:pStyle w:val="Heading4"/>
      </w:pPr>
      <w:bookmarkStart w:id="138" w:name="gross-emissions"/>
      <w:r w:rsidRPr="00261B7A">
        <w:t>Gross emissions</w:t>
      </w:r>
    </w:p>
    <w:p w14:paraId="3DE6A57B" w14:textId="77777777" w:rsidR="00B0004A" w:rsidRPr="00261B7A" w:rsidRDefault="00B0004A" w:rsidP="00B0004A">
      <w:pPr>
        <w:pStyle w:val="BodyText"/>
      </w:pPr>
      <w:r w:rsidRPr="00261B7A">
        <w:t>Gross emissions include those from the Energy, Industrial Processes and Product Use (IPPU), Agriculture and Waste sectors, and Tokelau, but do not include emissions and removals from the Land Use, Land-Use Change and Forestry (LULUCF) sector (UNFCCC, 2013).</w:t>
      </w:r>
    </w:p>
    <w:p w14:paraId="5467225E" w14:textId="77777777" w:rsidR="00B0004A" w:rsidRPr="00261B7A" w:rsidRDefault="00B0004A" w:rsidP="00B0004A">
      <w:pPr>
        <w:pStyle w:val="Heading5"/>
      </w:pPr>
      <w:r w:rsidRPr="00261B7A">
        <w:t>1990–2021</w:t>
      </w:r>
    </w:p>
    <w:p w14:paraId="139E6351" w14:textId="77777777" w:rsidR="00B0004A" w:rsidRPr="00261B7A" w:rsidRDefault="00B0004A" w:rsidP="00B0004A">
      <w:pPr>
        <w:pStyle w:val="BodyText"/>
      </w:pPr>
      <w:r w:rsidRPr="00261B7A">
        <w:t>In 1990, New Zealand’s gross GHG emissions were 64,720.1 kilotonnes carbon dioxide equivalent (kt CO</w:t>
      </w:r>
      <w:r w:rsidRPr="00261B7A">
        <w:rPr>
          <w:vertAlign w:val="subscript"/>
        </w:rPr>
        <w:t>2</w:t>
      </w:r>
      <w:r w:rsidRPr="00261B7A">
        <w:t>-e). Between 1990 and 2021, GHG emissions increased by 18.7 per cent (12,104.5 kt CO</w:t>
      </w:r>
      <w:r w:rsidRPr="00261B7A">
        <w:rPr>
          <w:vertAlign w:val="subscript"/>
        </w:rPr>
        <w:t>2</w:t>
      </w:r>
      <w:r w:rsidRPr="00261B7A">
        <w:t>-e) to 76,824.6 kt CO</w:t>
      </w:r>
      <w:r w:rsidRPr="00261B7A">
        <w:rPr>
          <w:vertAlign w:val="subscript"/>
        </w:rPr>
        <w:t>2</w:t>
      </w:r>
      <w:r w:rsidRPr="00261B7A">
        <w:t>-e in 2021 (see figure 2.1.1). From 1990 to 2021, the average annual growth in gross emissions was 0.6 per cent.</w:t>
      </w:r>
    </w:p>
    <w:p w14:paraId="3E54D4DF" w14:textId="77777777" w:rsidR="00B0004A" w:rsidRPr="00261B7A" w:rsidRDefault="00B0004A" w:rsidP="00B0004A">
      <w:pPr>
        <w:pStyle w:val="BodyText"/>
      </w:pPr>
      <w:r w:rsidRPr="00261B7A">
        <w:t xml:space="preserve">The emission categories that contributed the most to this increase in gross emissions were: </w:t>
      </w:r>
      <w:r w:rsidRPr="00261B7A">
        <w:rPr>
          <w:i/>
          <w:iCs/>
        </w:rPr>
        <w:t>Enteric fermentation</w:t>
      </w:r>
      <w:r w:rsidRPr="00261B7A">
        <w:rPr>
          <w:rStyle w:val="FootnoteReference"/>
        </w:rPr>
        <w:footnoteReference w:id="21"/>
      </w:r>
      <w:r w:rsidRPr="00261B7A">
        <w:t xml:space="preserve"> from </w:t>
      </w:r>
      <w:r w:rsidRPr="00261B7A">
        <w:rPr>
          <w:i/>
          <w:iCs/>
        </w:rPr>
        <w:t>Dairy cattle</w:t>
      </w:r>
      <w:r w:rsidRPr="00261B7A">
        <w:t xml:space="preserve">, </w:t>
      </w:r>
      <w:r w:rsidRPr="00261B7A">
        <w:rPr>
          <w:i/>
          <w:iCs/>
        </w:rPr>
        <w:t>Road transportation</w:t>
      </w:r>
      <w:r w:rsidRPr="00261B7A">
        <w:t xml:space="preserve">, </w:t>
      </w:r>
      <w:r w:rsidRPr="00261B7A">
        <w:rPr>
          <w:i/>
          <w:iCs/>
        </w:rPr>
        <w:t>Agricultural soils</w:t>
      </w:r>
      <w:r w:rsidRPr="00261B7A">
        <w:t xml:space="preserve">, </w:t>
      </w:r>
      <w:r w:rsidRPr="00261B7A">
        <w:rPr>
          <w:i/>
          <w:iCs/>
        </w:rPr>
        <w:t>Manufacturing industries and construction</w:t>
      </w:r>
      <w:r w:rsidRPr="00261B7A">
        <w:t xml:space="preserve"> (particularly from the </w:t>
      </w:r>
      <w:r w:rsidRPr="00261B7A">
        <w:rPr>
          <w:i/>
          <w:iCs/>
        </w:rPr>
        <w:t>Chemicals</w:t>
      </w:r>
      <w:r w:rsidRPr="00261B7A">
        <w:t xml:space="preserve"> category) and </w:t>
      </w:r>
      <w:r w:rsidRPr="00261B7A">
        <w:rPr>
          <w:i/>
          <w:iCs/>
        </w:rPr>
        <w:t>Product uses as substitutes for ODS</w:t>
      </w:r>
      <w:r w:rsidRPr="00261B7A">
        <w:t>.</w:t>
      </w:r>
      <w:r w:rsidRPr="00261B7A">
        <w:rPr>
          <w:rStyle w:val="FootnoteReference"/>
        </w:rPr>
        <w:footnoteReference w:id="22"/>
      </w:r>
    </w:p>
    <w:p w14:paraId="57773C90" w14:textId="77777777" w:rsidR="00B0004A" w:rsidRPr="00261B7A" w:rsidRDefault="00B0004A" w:rsidP="00B0004A">
      <w:pPr>
        <w:pStyle w:val="Heading5"/>
      </w:pPr>
      <w:r w:rsidRPr="00261B7A">
        <w:t>2020–2021</w:t>
      </w:r>
    </w:p>
    <w:p w14:paraId="145B3A14" w14:textId="12D2ACA8" w:rsidR="00B0004A" w:rsidRPr="00261B7A" w:rsidRDefault="00B0004A" w:rsidP="00B0004A">
      <w:pPr>
        <w:pStyle w:val="BodyText"/>
      </w:pPr>
      <w:r w:rsidRPr="00261B7A">
        <w:t>Between 2020 and 2021, New Zealand’s gross emissions decreased by 0.7 per cent (506.1</w:t>
      </w:r>
      <w:r w:rsidR="003E36DD" w:rsidRPr="00261B7A">
        <w:t> </w:t>
      </w:r>
      <w:r w:rsidRPr="00261B7A">
        <w:t>kt</w:t>
      </w:r>
      <w:r w:rsidR="003E36DD" w:rsidRPr="00261B7A">
        <w:t xml:space="preserve"> </w:t>
      </w:r>
      <w:r w:rsidRPr="00261B7A">
        <w:t>CO</w:t>
      </w:r>
      <w:r w:rsidRPr="00261B7A">
        <w:rPr>
          <w:vertAlign w:val="subscript"/>
        </w:rPr>
        <w:t>2</w:t>
      </w:r>
      <w:r w:rsidRPr="00261B7A">
        <w:t>-e). The main cause was a decrease in emissions from the Agriculture sector of 1.5 per cent</w:t>
      </w:r>
      <w:r w:rsidR="003E36DD" w:rsidRPr="00261B7A">
        <w:t> </w:t>
      </w:r>
      <w:r w:rsidRPr="00261B7A">
        <w:t>(574.1 kt CO</w:t>
      </w:r>
      <w:r w:rsidRPr="00261B7A">
        <w:rPr>
          <w:vertAlign w:val="subscript"/>
        </w:rPr>
        <w:t>2</w:t>
      </w:r>
      <w:r w:rsidRPr="00261B7A">
        <w:t>-e) due to a decrease in fertiliser use and reduced dairy cattle and sheep populations. The largest contributors to the overall decrease in emissions were from:</w:t>
      </w:r>
    </w:p>
    <w:p w14:paraId="0ACFDBF9" w14:textId="094F525A" w:rsidR="00B0004A" w:rsidRPr="00261B7A" w:rsidRDefault="00B0004A" w:rsidP="00B0004A">
      <w:pPr>
        <w:pStyle w:val="Bullet"/>
      </w:pPr>
      <w:r w:rsidRPr="00261B7A">
        <w:rPr>
          <w:i/>
          <w:iCs/>
        </w:rPr>
        <w:t>Agricultur</w:t>
      </w:r>
      <w:r w:rsidR="00D0678D" w:rsidRPr="00261B7A">
        <w:rPr>
          <w:i/>
          <w:iCs/>
        </w:rPr>
        <w:t>al</w:t>
      </w:r>
      <w:r w:rsidRPr="00261B7A">
        <w:rPr>
          <w:i/>
          <w:iCs/>
        </w:rPr>
        <w:t xml:space="preserve"> soils</w:t>
      </w:r>
      <w:r w:rsidRPr="00261B7A">
        <w:t xml:space="preserve"> (nitrous oxide (N</w:t>
      </w:r>
      <w:r w:rsidRPr="00261B7A">
        <w:rPr>
          <w:vertAlign w:val="subscript"/>
        </w:rPr>
        <w:t>2</w:t>
      </w:r>
      <w:r w:rsidRPr="00261B7A">
        <w:t>O))</w:t>
      </w:r>
    </w:p>
    <w:p w14:paraId="6336969A" w14:textId="77777777" w:rsidR="00B0004A" w:rsidRPr="00261B7A" w:rsidRDefault="00B0004A" w:rsidP="00B0004A">
      <w:pPr>
        <w:pStyle w:val="Bullet"/>
      </w:pPr>
      <w:r w:rsidRPr="00261B7A">
        <w:rPr>
          <w:i/>
          <w:iCs/>
        </w:rPr>
        <w:t>Manufacturing industries and construction</w:t>
      </w:r>
      <w:r w:rsidRPr="00261B7A">
        <w:t xml:space="preserve"> (carbon dioxide (CO</w:t>
      </w:r>
      <w:r w:rsidRPr="00261B7A">
        <w:rPr>
          <w:vertAlign w:val="subscript"/>
        </w:rPr>
        <w:t>2</w:t>
      </w:r>
      <w:r w:rsidRPr="00261B7A">
        <w:t>))</w:t>
      </w:r>
    </w:p>
    <w:p w14:paraId="403C8629" w14:textId="77777777" w:rsidR="00B0004A" w:rsidRPr="00261B7A" w:rsidRDefault="00B0004A" w:rsidP="00B0004A">
      <w:pPr>
        <w:pStyle w:val="Bullet"/>
      </w:pPr>
      <w:r w:rsidRPr="00261B7A">
        <w:rPr>
          <w:i/>
          <w:iCs/>
        </w:rPr>
        <w:t>Public electricity and heat production</w:t>
      </w:r>
      <w:r w:rsidRPr="00261B7A">
        <w:t xml:space="preserve"> (CO</w:t>
      </w:r>
      <w:r w:rsidRPr="00261B7A">
        <w:rPr>
          <w:vertAlign w:val="subscript"/>
        </w:rPr>
        <w:t>2</w:t>
      </w:r>
      <w:r w:rsidRPr="00261B7A">
        <w:t>).</w:t>
      </w:r>
    </w:p>
    <w:p w14:paraId="6CF3A22B" w14:textId="77777777" w:rsidR="00B0004A" w:rsidRPr="00261B7A" w:rsidRDefault="00B0004A" w:rsidP="00B0004A">
      <w:pPr>
        <w:pStyle w:val="BodyText"/>
      </w:pPr>
      <w:r w:rsidRPr="00261B7A">
        <w:t xml:space="preserve">The reductions in the </w:t>
      </w:r>
      <w:r w:rsidRPr="00261B7A">
        <w:rPr>
          <w:i/>
          <w:iCs/>
        </w:rPr>
        <w:t>Manufacturing industries and construction</w:t>
      </w:r>
      <w:r w:rsidRPr="00261B7A">
        <w:t xml:space="preserve"> category were largely driven by a decrease in emissions from the </w:t>
      </w:r>
      <w:r w:rsidRPr="00261B7A">
        <w:rPr>
          <w:i/>
          <w:iCs/>
        </w:rPr>
        <w:t>Chemicals</w:t>
      </w:r>
      <w:r w:rsidRPr="00261B7A">
        <w:t xml:space="preserve"> category of 17.6 per cent (272.5 kt CO</w:t>
      </w:r>
      <w:r w:rsidRPr="00261B7A">
        <w:rPr>
          <w:vertAlign w:val="subscript"/>
        </w:rPr>
        <w:t>2</w:t>
      </w:r>
      <w:r w:rsidRPr="00261B7A">
        <w:t>-e) from 2020 levels. This drop was mostly due to the closure of Methanex’s Waitara Valley methanol production plant.</w:t>
      </w:r>
    </w:p>
    <w:p w14:paraId="59A12C34" w14:textId="77777777" w:rsidR="00B0004A" w:rsidRPr="00261B7A" w:rsidRDefault="00B0004A" w:rsidP="00B0004A">
      <w:pPr>
        <w:pStyle w:val="BodyText"/>
      </w:pPr>
      <w:r w:rsidRPr="00261B7A">
        <w:lastRenderedPageBreak/>
        <w:t xml:space="preserve">The reductions in the </w:t>
      </w:r>
      <w:r w:rsidRPr="00261B7A">
        <w:rPr>
          <w:i/>
          <w:iCs/>
        </w:rPr>
        <w:t>Public electricity and heat production</w:t>
      </w:r>
      <w:r w:rsidRPr="00261B7A">
        <w:t xml:space="preserve"> category were due to the increased share of electricity generated from renewable energy sources over this period, which displaced gas and coal-fired electricity generation.</w:t>
      </w:r>
    </w:p>
    <w:p w14:paraId="1729A5FA" w14:textId="3CFA8837" w:rsidR="00B0004A" w:rsidRPr="00261B7A" w:rsidRDefault="00B0004A" w:rsidP="00B0004A">
      <w:pPr>
        <w:pStyle w:val="BodyText"/>
      </w:pPr>
      <w:r w:rsidRPr="00261B7A">
        <w:t>Emissions from the Energy and IPPU sectors increased by 0.3 per cent and 0.6 per cent respectively; while emissions from the Waste sector and Tokelau decreased 1.6 per cent and</w:t>
      </w:r>
      <w:r w:rsidR="003E36DD" w:rsidRPr="00261B7A">
        <w:t> </w:t>
      </w:r>
      <w:r w:rsidRPr="00261B7A">
        <w:t>9.5 per cent respectively.</w:t>
      </w:r>
    </w:p>
    <w:p w14:paraId="33D12E8E" w14:textId="631D044B" w:rsidR="00B0004A" w:rsidRPr="00261B7A" w:rsidRDefault="00B0004A" w:rsidP="00B0004A">
      <w:pPr>
        <w:pStyle w:val="BodyText"/>
      </w:pPr>
      <w:r w:rsidRPr="00261B7A">
        <w:t>New Zealand’s COVID-19 response and protection framework</w:t>
      </w:r>
      <w:r w:rsidRPr="00261B7A">
        <w:rPr>
          <w:rStyle w:val="FootnoteReference"/>
        </w:rPr>
        <w:footnoteReference w:id="23"/>
      </w:r>
      <w:r w:rsidRPr="00261B7A">
        <w:t xml:space="preserve"> remained in place for the 2021 year. The pandemic continued to affect emissions in 2021, although to a lesser extent than in 2020. On 17 August 2021, all of New Zealand moved to the highest level of restriction,</w:t>
      </w:r>
      <w:r w:rsidRPr="00261B7A">
        <w:rPr>
          <w:rStyle w:val="FootnoteReference"/>
        </w:rPr>
        <w:footnoteReference w:id="24"/>
      </w:r>
      <w:r w:rsidRPr="00261B7A">
        <w:t xml:space="preserve"> with the northern regions, including Auckland, remaining under tighter restrictions on activities and</w:t>
      </w:r>
      <w:r w:rsidR="003E36DD" w:rsidRPr="00261B7A">
        <w:t> </w:t>
      </w:r>
      <w:r w:rsidRPr="00261B7A">
        <w:t>movements for the remainder of the year. While some parts of the economy rebounded, others continued to be affected by New Zealand’s COVID-19 response measures, and the associated disruptions to global supply chains continued to be felt.</w:t>
      </w:r>
    </w:p>
    <w:p w14:paraId="7AF3C30B" w14:textId="77777777" w:rsidR="00B0004A" w:rsidRPr="00261B7A" w:rsidRDefault="00B0004A" w:rsidP="00B0004A">
      <w:pPr>
        <w:pStyle w:val="Heading4"/>
      </w:pPr>
      <w:bookmarkStart w:id="139" w:name="net-emissions"/>
      <w:bookmarkEnd w:id="138"/>
      <w:r w:rsidRPr="00261B7A">
        <w:t>Net emissions</w:t>
      </w:r>
    </w:p>
    <w:p w14:paraId="748E6571" w14:textId="77777777" w:rsidR="00B0004A" w:rsidRPr="00261B7A" w:rsidRDefault="00B0004A" w:rsidP="00B0004A">
      <w:pPr>
        <w:pStyle w:val="BodyText"/>
      </w:pPr>
      <w:r w:rsidRPr="00261B7A">
        <w:t>Net emissions include gross emissions as defined above (i.e., from the Energy, IPPU, Agriculture and Waste sectors, including Tokelau) and net emissions from the LULUCF sector, as reported under the United Nations Framework Convention on Climate Change (the Convention).</w:t>
      </w:r>
    </w:p>
    <w:p w14:paraId="15D6A859" w14:textId="77777777" w:rsidR="00B0004A" w:rsidRPr="00261B7A" w:rsidRDefault="00B0004A" w:rsidP="00B0004A">
      <w:pPr>
        <w:pStyle w:val="BodyText"/>
      </w:pPr>
      <w:r w:rsidRPr="00261B7A">
        <w:t>In 1990, New Zealand’s net emissions were 44,548.8 kt CO</w:t>
      </w:r>
      <w:r w:rsidRPr="00261B7A">
        <w:rPr>
          <w:vertAlign w:val="subscript"/>
        </w:rPr>
        <w:t>2</w:t>
      </w:r>
      <w:r w:rsidRPr="00261B7A">
        <w:t>-e. Between 1990 and 2021, net GHG emissions increased by 25.1 per cent (11,197.6 kt CO</w:t>
      </w:r>
      <w:r w:rsidRPr="00261B7A">
        <w:rPr>
          <w:vertAlign w:val="subscript"/>
        </w:rPr>
        <w:t>2</w:t>
      </w:r>
      <w:r w:rsidRPr="00261B7A">
        <w:t>-e) to 55,746.4 kt CO</w:t>
      </w:r>
      <w:r w:rsidRPr="00261B7A">
        <w:rPr>
          <w:vertAlign w:val="subscript"/>
        </w:rPr>
        <w:t>2</w:t>
      </w:r>
      <w:r w:rsidRPr="00261B7A">
        <w:t>-e (see figure 2.1.1).</w:t>
      </w:r>
    </w:p>
    <w:p w14:paraId="67052164" w14:textId="77777777" w:rsidR="00B0004A" w:rsidRPr="00261B7A" w:rsidRDefault="00B0004A" w:rsidP="00B0004A">
      <w:pPr>
        <w:pStyle w:val="BodyText"/>
      </w:pPr>
      <w:r w:rsidRPr="00261B7A">
        <w:t xml:space="preserve">The four categories that contributed the most to the increase in net emissions between 1990 and 2021 were: </w:t>
      </w:r>
      <w:r w:rsidRPr="00261B7A">
        <w:rPr>
          <w:i/>
          <w:iCs/>
        </w:rPr>
        <w:t>Land converted to forest land</w:t>
      </w:r>
      <w:r w:rsidRPr="00261B7A">
        <w:t xml:space="preserve">, </w:t>
      </w:r>
      <w:r w:rsidRPr="00261B7A">
        <w:rPr>
          <w:i/>
          <w:iCs/>
        </w:rPr>
        <w:t>Enteric fermentation from dairy cattle</w:t>
      </w:r>
      <w:r w:rsidRPr="00261B7A">
        <w:t xml:space="preserve">, </w:t>
      </w:r>
      <w:r w:rsidRPr="00261B7A">
        <w:rPr>
          <w:i/>
          <w:iCs/>
        </w:rPr>
        <w:t>Road transportation</w:t>
      </w:r>
      <w:r w:rsidRPr="00261B7A">
        <w:t xml:space="preserve"> and </w:t>
      </w:r>
      <w:r w:rsidRPr="00261B7A">
        <w:rPr>
          <w:i/>
          <w:iCs/>
        </w:rPr>
        <w:t>Agricultural soils</w:t>
      </w:r>
      <w:r w:rsidRPr="00261B7A">
        <w:t>.</w:t>
      </w:r>
    </w:p>
    <w:p w14:paraId="4ADEE8F9" w14:textId="77777777" w:rsidR="00B0004A" w:rsidRPr="00261B7A" w:rsidRDefault="00B0004A" w:rsidP="00B0004A">
      <w:pPr>
        <w:pStyle w:val="Figure"/>
      </w:pPr>
      <w:bookmarkStart w:id="140" w:name="_Toc129861455"/>
      <w:bookmarkStart w:id="141" w:name="_Toc131591522"/>
      <w:r w:rsidRPr="00261B7A">
        <w:rPr>
          <w:bCs/>
        </w:rPr>
        <w:lastRenderedPageBreak/>
        <w:t xml:space="preserve">Figure 2.1.1 </w:t>
      </w:r>
      <w:r w:rsidRPr="00261B7A">
        <w:rPr>
          <w:bCs/>
        </w:rPr>
        <w:tab/>
        <w:t>New Zealand’s gross and net emissions (under the Convention) from 1990 to 2021</w:t>
      </w:r>
      <w:bookmarkEnd w:id="140"/>
      <w:bookmarkEnd w:id="141"/>
    </w:p>
    <w:p w14:paraId="649C64A8" w14:textId="77777777" w:rsidR="00B0004A" w:rsidRPr="00261B7A" w:rsidRDefault="00B0004A" w:rsidP="00B0004A">
      <w:pPr>
        <w:pStyle w:val="BodyText"/>
      </w:pPr>
      <w:r w:rsidRPr="00261B7A">
        <w:rPr>
          <w:noProof/>
        </w:rPr>
        <w:drawing>
          <wp:inline distT="0" distB="0" distL="0" distR="0" wp14:anchorId="56C5DFF9" wp14:editId="002E37A4">
            <wp:extent cx="5397500" cy="3976254"/>
            <wp:effectExtent l="0" t="0" r="0" b="5715"/>
            <wp:docPr id="5" name="Picture 5"/>
            <wp:cNvGraphicFramePr/>
            <a:graphic xmlns:a="http://schemas.openxmlformats.org/drawingml/2006/main">
              <a:graphicData uri="http://schemas.openxmlformats.org/drawingml/2006/picture">
                <pic:pic xmlns:pic="http://schemas.openxmlformats.org/drawingml/2006/picture">
                  <pic:nvPicPr>
                    <pic:cNvPr id="31" name="Picture" descr="code/graphs/images/es_2_1_crf.png"/>
                    <pic:cNvPicPr>
                      <a:picLocks noChangeAspect="1" noChangeArrowheads="1"/>
                    </pic:cNvPicPr>
                  </pic:nvPicPr>
                  <pic:blipFill rotWithShape="1">
                    <a:blip r:embed="rId28"/>
                    <a:srcRect b="1776"/>
                    <a:stretch/>
                  </pic:blipFill>
                  <pic:spPr bwMode="auto">
                    <a:xfrm>
                      <a:off x="0" y="0"/>
                      <a:ext cx="5397500" cy="3976254"/>
                    </a:xfrm>
                    <a:prstGeom prst="rect">
                      <a:avLst/>
                    </a:prstGeom>
                    <a:noFill/>
                    <a:ln>
                      <a:noFill/>
                    </a:ln>
                    <a:extLst>
                      <a:ext uri="{53640926-AAD7-44D8-BBD7-CCE9431645EC}">
                        <a14:shadowObscured xmlns:a14="http://schemas.microsoft.com/office/drawing/2010/main"/>
                      </a:ext>
                    </a:extLst>
                  </pic:spPr>
                </pic:pic>
              </a:graphicData>
            </a:graphic>
          </wp:inline>
        </w:drawing>
      </w:r>
    </w:p>
    <w:p w14:paraId="5ECE76D1" w14:textId="77777777" w:rsidR="00B0004A" w:rsidRPr="00261B7A" w:rsidRDefault="00B0004A" w:rsidP="00B0004A">
      <w:pPr>
        <w:pStyle w:val="Heading2"/>
      </w:pPr>
      <w:bookmarkStart w:id="142" w:name="_Toc131591216"/>
      <w:bookmarkStart w:id="143" w:name="emission-trends-by-sector"/>
      <w:bookmarkEnd w:id="136"/>
      <w:bookmarkEnd w:id="137"/>
      <w:bookmarkEnd w:id="139"/>
      <w:r w:rsidRPr="00261B7A">
        <w:t xml:space="preserve">2.2 </w:t>
      </w:r>
      <w:r w:rsidRPr="00261B7A">
        <w:tab/>
        <w:t>Emission trends by sector</w:t>
      </w:r>
      <w:bookmarkEnd w:id="142"/>
    </w:p>
    <w:p w14:paraId="31B11E72" w14:textId="77777777" w:rsidR="00B0004A" w:rsidRPr="00261B7A" w:rsidRDefault="00B0004A" w:rsidP="00B0004A">
      <w:pPr>
        <w:pStyle w:val="BodyText"/>
      </w:pPr>
      <w:r w:rsidRPr="00261B7A">
        <w:t>New Zealand reports emissions and removals for the Energy, IPPU, Agriculture, LULUCF and Waste sectors. Tokelau’s emissions are also reported separately by sector as ‘Other’.</w:t>
      </w:r>
    </w:p>
    <w:p w14:paraId="72E9D22E" w14:textId="77777777" w:rsidR="00B0004A" w:rsidRPr="00261B7A" w:rsidRDefault="00B0004A" w:rsidP="00B0004A">
      <w:pPr>
        <w:pStyle w:val="Heading3"/>
      </w:pPr>
      <w:bookmarkStart w:id="144" w:name="Xa4f01ed8380714da1a04ac816b17014523a778f"/>
      <w:r w:rsidRPr="00261B7A">
        <w:t xml:space="preserve">2.2.1 </w:t>
      </w:r>
      <w:r w:rsidRPr="00261B7A">
        <w:tab/>
        <w:t xml:space="preserve">New Zealand’s emissions by sector and by gas in </w:t>
      </w:r>
      <w:r w:rsidRPr="00261B7A">
        <w:rPr>
          <w:bCs/>
        </w:rPr>
        <w:t>2021</w:t>
      </w:r>
    </w:p>
    <w:p w14:paraId="0F311597" w14:textId="77777777" w:rsidR="00B0004A" w:rsidRPr="00261B7A" w:rsidRDefault="00B0004A" w:rsidP="00B0004A">
      <w:pPr>
        <w:pStyle w:val="BodyText"/>
      </w:pPr>
      <w:r w:rsidRPr="00261B7A">
        <w:t>New Zealand’s emissions by sector reflect the composition of the national economy. The Agriculture sector contributed 49.2 per cent of New Zealand’s gross emissions in 2021. New Zealand’s Energy sector contributed 40.6 per cent to the national gross emissions, while the IPPU and Waste sectors contributed 6.0 per cent and 4.2 per cent respectively (figure 2.2.1). New Zealand’s ‘Other’ sector (Tokelau) contributed 0.005 per cent to the national gross emissions.</w:t>
      </w:r>
    </w:p>
    <w:p w14:paraId="69160477" w14:textId="77777777" w:rsidR="00B0004A" w:rsidRPr="00261B7A" w:rsidRDefault="00B0004A" w:rsidP="00B0004A">
      <w:pPr>
        <w:pStyle w:val="BodyText"/>
      </w:pPr>
      <w:r w:rsidRPr="00261B7A">
        <w:t>The LULUCF sector currently represents a sink with a net removals value of –21,078.2 kt CO</w:t>
      </w:r>
      <w:r w:rsidRPr="00261B7A">
        <w:rPr>
          <w:vertAlign w:val="subscript"/>
        </w:rPr>
        <w:t>2</w:t>
      </w:r>
      <w:r w:rsidRPr="00261B7A">
        <w:t>-e. This offset 27.4 per cent of New Zealand’s gross emissions in 2021.</w:t>
      </w:r>
    </w:p>
    <w:p w14:paraId="0CB6356E" w14:textId="77777777" w:rsidR="00B0004A" w:rsidRDefault="00B0004A" w:rsidP="00513A5C">
      <w:pPr>
        <w:pStyle w:val="Figure"/>
        <w:spacing w:after="100"/>
        <w:rPr>
          <w:bCs/>
        </w:rPr>
      </w:pPr>
      <w:bookmarkStart w:id="145" w:name="_Toc129861456"/>
      <w:bookmarkStart w:id="146" w:name="_Toc131591523"/>
      <w:r w:rsidRPr="00261B7A">
        <w:lastRenderedPageBreak/>
        <w:t xml:space="preserve">Figure 2.2.1 </w:t>
      </w:r>
      <w:r w:rsidRPr="00261B7A">
        <w:tab/>
        <w:t xml:space="preserve">New Zealand’s emissions by sector in </w:t>
      </w:r>
      <w:r w:rsidRPr="00261B7A">
        <w:rPr>
          <w:bCs/>
        </w:rPr>
        <w:t>2021</w:t>
      </w:r>
      <w:bookmarkEnd w:id="145"/>
      <w:bookmarkEnd w:id="146"/>
    </w:p>
    <w:p w14:paraId="0BD6CCD3" w14:textId="4A7C75C5" w:rsidR="006D17AD" w:rsidRPr="006D17AD" w:rsidRDefault="006D17AD" w:rsidP="0042408E">
      <w:pPr>
        <w:pStyle w:val="BodyText"/>
        <w:jc w:val="center"/>
      </w:pPr>
      <w:r>
        <w:rPr>
          <w:noProof/>
        </w:rPr>
        <w:drawing>
          <wp:inline distT="0" distB="0" distL="0" distR="0" wp14:anchorId="23BEEC79" wp14:editId="6D932904">
            <wp:extent cx="4932000" cy="3415827"/>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descr="code/graphs/images/es_4_2_crf.png"/>
                    <pic:cNvPicPr preferRelativeResize="0">
                      <a:picLocks noChangeAspect="1" noChangeArrowheads="1"/>
                    </pic:cNvPicPr>
                  </pic:nvPicPr>
                  <pic:blipFill rotWithShape="1">
                    <a:blip r:embed="rId49"/>
                    <a:srcRect r="2626" b="2246"/>
                    <a:stretch/>
                  </pic:blipFill>
                  <pic:spPr bwMode="auto">
                    <a:xfrm>
                      <a:off x="0" y="0"/>
                      <a:ext cx="4932000" cy="3415827"/>
                    </a:xfrm>
                    <a:prstGeom prst="rect">
                      <a:avLst/>
                    </a:prstGeom>
                    <a:noFill/>
                    <a:ln>
                      <a:noFill/>
                    </a:ln>
                    <a:extLst>
                      <a:ext uri="{53640926-AAD7-44D8-BBD7-CCE9431645EC}">
                        <a14:shadowObscured xmlns:a14="http://schemas.microsoft.com/office/drawing/2010/main"/>
                      </a:ext>
                    </a:extLst>
                  </pic:spPr>
                </pic:pic>
              </a:graphicData>
            </a:graphic>
          </wp:inline>
        </w:drawing>
      </w:r>
    </w:p>
    <w:p w14:paraId="568BB738" w14:textId="0E546034" w:rsidR="00B0004A" w:rsidRPr="00261B7A" w:rsidRDefault="00B0004A" w:rsidP="0042408E">
      <w:pPr>
        <w:pStyle w:val="Noteundertable"/>
        <w:spacing w:after="80"/>
      </w:pPr>
      <w:r w:rsidRPr="00261B7A">
        <w:rPr>
          <w:b/>
          <w:bCs/>
        </w:rPr>
        <w:t>Note:</w:t>
      </w:r>
      <w:r w:rsidRPr="00261B7A">
        <w:t xml:space="preserve"> </w:t>
      </w:r>
      <w:r w:rsidRPr="00261B7A">
        <w:tab/>
        <w:t>The percentages may not add up to 100 per cent due to rounding. The LULUCF sector, which is not a part of</w:t>
      </w:r>
      <w:r w:rsidR="00F1146F">
        <w:t> </w:t>
      </w:r>
      <w:r w:rsidRPr="00261B7A">
        <w:t>gross emissions, is included here as a negative value. The Tokelau sector is not visible, due to its small contribution (3.8 kt CO</w:t>
      </w:r>
      <w:r w:rsidRPr="00261B7A">
        <w:rPr>
          <w:vertAlign w:val="subscript"/>
        </w:rPr>
        <w:t>2</w:t>
      </w:r>
      <w:r w:rsidRPr="00261B7A">
        <w:t>-e or 0.005 per cent of New Zealand’s gross GHG emissions).</w:t>
      </w:r>
    </w:p>
    <w:p w14:paraId="4900BCA1" w14:textId="77777777" w:rsidR="00B0004A" w:rsidRPr="00261B7A" w:rsidRDefault="00B0004A" w:rsidP="00513A5C">
      <w:pPr>
        <w:pStyle w:val="BodyText"/>
        <w:spacing w:before="100" w:after="100"/>
      </w:pPr>
      <w:r w:rsidRPr="00261B7A">
        <w:t>Each of the sectors is dominated by one or two GHGs. Figure 2.2.2 shows New Zealand’s gross emissions by gas.</w:t>
      </w:r>
    </w:p>
    <w:p w14:paraId="3C514BCC" w14:textId="77777777" w:rsidR="00B0004A" w:rsidRPr="00261B7A" w:rsidRDefault="00B0004A" w:rsidP="0042408E">
      <w:pPr>
        <w:pStyle w:val="Figure"/>
        <w:spacing w:after="80"/>
      </w:pPr>
      <w:bookmarkStart w:id="147" w:name="_Toc129861457"/>
      <w:bookmarkStart w:id="148" w:name="_Toc131591524"/>
      <w:r w:rsidRPr="00261B7A">
        <w:t xml:space="preserve">Figure 2.2.2 </w:t>
      </w:r>
      <w:r w:rsidRPr="00261B7A">
        <w:tab/>
        <w:t xml:space="preserve">New Zealand’s gross emissions by gas in </w:t>
      </w:r>
      <w:r w:rsidRPr="00261B7A">
        <w:rPr>
          <w:bCs/>
        </w:rPr>
        <w:t>2021</w:t>
      </w:r>
      <w:bookmarkEnd w:id="147"/>
      <w:bookmarkEnd w:id="148"/>
    </w:p>
    <w:p w14:paraId="15D5ACC0" w14:textId="77777777" w:rsidR="00B0004A" w:rsidRPr="00261B7A" w:rsidRDefault="00B0004A" w:rsidP="00513A5C">
      <w:pPr>
        <w:pStyle w:val="BodyText"/>
        <w:spacing w:before="80" w:after="100"/>
        <w:jc w:val="center"/>
      </w:pPr>
      <w:r w:rsidRPr="00261B7A">
        <w:rPr>
          <w:noProof/>
        </w:rPr>
        <w:drawing>
          <wp:inline distT="0" distB="0" distL="0" distR="0" wp14:anchorId="173EC872" wp14:editId="772CAB8E">
            <wp:extent cx="4824000" cy="337284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descr="code/graphs/images/es_3_1_crf.png"/>
                    <pic:cNvPicPr preferRelativeResize="0">
                      <a:picLocks noChangeAspect="1" noChangeArrowheads="1"/>
                    </pic:cNvPicPr>
                  </pic:nvPicPr>
                  <pic:blipFill rotWithShape="1">
                    <a:blip r:embed="rId50"/>
                    <a:srcRect r="3780" b="2061"/>
                    <a:stretch/>
                  </pic:blipFill>
                  <pic:spPr bwMode="auto">
                    <a:xfrm>
                      <a:off x="0" y="0"/>
                      <a:ext cx="4824000" cy="3372849"/>
                    </a:xfrm>
                    <a:prstGeom prst="rect">
                      <a:avLst/>
                    </a:prstGeom>
                    <a:noFill/>
                    <a:ln>
                      <a:noFill/>
                    </a:ln>
                    <a:extLst>
                      <a:ext uri="{53640926-AAD7-44D8-BBD7-CCE9431645EC}">
                        <a14:shadowObscured xmlns:a14="http://schemas.microsoft.com/office/drawing/2010/main"/>
                      </a:ext>
                    </a:extLst>
                  </pic:spPr>
                </pic:pic>
              </a:graphicData>
            </a:graphic>
          </wp:inline>
        </w:drawing>
      </w:r>
    </w:p>
    <w:p w14:paraId="4150FAD8" w14:textId="77777777" w:rsidR="00B0004A" w:rsidRPr="00261B7A" w:rsidRDefault="00B0004A" w:rsidP="0042408E">
      <w:pPr>
        <w:pStyle w:val="Noteundertable"/>
        <w:spacing w:before="80"/>
      </w:pPr>
      <w:r w:rsidRPr="00261B7A">
        <w:rPr>
          <w:b/>
          <w:bCs/>
        </w:rPr>
        <w:t>Note:</w:t>
      </w:r>
      <w:r w:rsidRPr="00261B7A">
        <w:t xml:space="preserve"> </w:t>
      </w:r>
      <w:r w:rsidRPr="00261B7A">
        <w:tab/>
        <w:t>CH</w:t>
      </w:r>
      <w:r w:rsidRPr="00261B7A">
        <w:rPr>
          <w:vertAlign w:val="subscript"/>
        </w:rPr>
        <w:t>4</w:t>
      </w:r>
      <w:r w:rsidRPr="00261B7A">
        <w:t xml:space="preserve"> = methane; CO</w:t>
      </w:r>
      <w:r w:rsidRPr="00261B7A">
        <w:rPr>
          <w:vertAlign w:val="subscript"/>
        </w:rPr>
        <w:t>2</w:t>
      </w:r>
      <w:r w:rsidRPr="00261B7A">
        <w:t xml:space="preserve"> = carbon dioxide; N</w:t>
      </w:r>
      <w:r w:rsidRPr="00261B7A">
        <w:rPr>
          <w:vertAlign w:val="subscript"/>
        </w:rPr>
        <w:t>2</w:t>
      </w:r>
      <w:r w:rsidRPr="00261B7A">
        <w:t>O = nitrous oxide. The percentages may not add up to 100 per cent due to rounding.</w:t>
      </w:r>
    </w:p>
    <w:p w14:paraId="5AB41A0B" w14:textId="77777777" w:rsidR="00B0004A" w:rsidRPr="00261B7A" w:rsidRDefault="00B0004A" w:rsidP="00B0004A">
      <w:pPr>
        <w:pStyle w:val="BodyText"/>
      </w:pPr>
      <w:r w:rsidRPr="00261B7A">
        <w:lastRenderedPageBreak/>
        <w:t>Carbon dioxide contributes 44.7 per cent to New Zealand’s gross emissions (34,318.0 kt CO</w:t>
      </w:r>
      <w:r w:rsidRPr="00261B7A">
        <w:rPr>
          <w:vertAlign w:val="subscript"/>
        </w:rPr>
        <w:t>2</w:t>
      </w:r>
      <w:r w:rsidRPr="00261B7A">
        <w:t>) (figure 2.2.2). The Energy sector produces the largest amount of CO</w:t>
      </w:r>
      <w:r w:rsidRPr="00261B7A">
        <w:rPr>
          <w:vertAlign w:val="subscript"/>
        </w:rPr>
        <w:t>2</w:t>
      </w:r>
      <w:r w:rsidRPr="00261B7A">
        <w:t xml:space="preserve"> at 30,423.5 kt (88.7 per cent) of New Zealand’s CO</w:t>
      </w:r>
      <w:r w:rsidRPr="00261B7A">
        <w:rPr>
          <w:vertAlign w:val="subscript"/>
        </w:rPr>
        <w:t>2</w:t>
      </w:r>
      <w:r w:rsidRPr="00261B7A">
        <w:t xml:space="preserve"> emissions in 2021. The categories contributing most to CO</w:t>
      </w:r>
      <w:r w:rsidRPr="00261B7A">
        <w:rPr>
          <w:vertAlign w:val="subscript"/>
        </w:rPr>
        <w:t>2</w:t>
      </w:r>
      <w:r w:rsidRPr="00261B7A">
        <w:t xml:space="preserve"> emissions in the Energy sector are </w:t>
      </w:r>
      <w:r w:rsidRPr="00261B7A">
        <w:rPr>
          <w:i/>
          <w:iCs/>
        </w:rPr>
        <w:t>Transport</w:t>
      </w:r>
      <w:r w:rsidRPr="00261B7A">
        <w:t xml:space="preserve"> (13,733.4 kt CO</w:t>
      </w:r>
      <w:r w:rsidRPr="00261B7A">
        <w:rPr>
          <w:vertAlign w:val="subscript"/>
        </w:rPr>
        <w:t>2</w:t>
      </w:r>
      <w:r w:rsidRPr="00261B7A">
        <w:t xml:space="preserve">, 40.0 per cent) and </w:t>
      </w:r>
      <w:r w:rsidRPr="00261B7A">
        <w:rPr>
          <w:i/>
          <w:iCs/>
        </w:rPr>
        <w:t>Manufacturing industries and construction</w:t>
      </w:r>
      <w:r w:rsidRPr="00261B7A">
        <w:t xml:space="preserve"> (6,205.1 kt CO</w:t>
      </w:r>
      <w:r w:rsidRPr="00261B7A">
        <w:rPr>
          <w:vertAlign w:val="subscript"/>
        </w:rPr>
        <w:t>2</w:t>
      </w:r>
      <w:r w:rsidRPr="00261B7A">
        <w:t>, 18.1 per cent). In 2021, the LULUCF sector was a CO</w:t>
      </w:r>
      <w:r w:rsidRPr="00261B7A">
        <w:rPr>
          <w:vertAlign w:val="subscript"/>
        </w:rPr>
        <w:t>2</w:t>
      </w:r>
      <w:r w:rsidRPr="00261B7A">
        <w:t xml:space="preserve"> sink, sequestering –21,358.2 kt CO</w:t>
      </w:r>
      <w:r w:rsidRPr="00261B7A">
        <w:rPr>
          <w:vertAlign w:val="subscript"/>
        </w:rPr>
        <w:t>2</w:t>
      </w:r>
      <w:r w:rsidRPr="00261B7A">
        <w:t xml:space="preserve"> (62.2 per cent) of New Zealand’s CO</w:t>
      </w:r>
      <w:r w:rsidRPr="00261B7A">
        <w:rPr>
          <w:vertAlign w:val="subscript"/>
        </w:rPr>
        <w:t>2</w:t>
      </w:r>
      <w:r w:rsidRPr="00261B7A">
        <w:t xml:space="preserve"> emissions. This resulted in net CO</w:t>
      </w:r>
      <w:r w:rsidRPr="00261B7A">
        <w:rPr>
          <w:vertAlign w:val="subscript"/>
        </w:rPr>
        <w:t>2</w:t>
      </w:r>
      <w:r w:rsidRPr="00261B7A">
        <w:t xml:space="preserve"> emissions of 12,959.8 kt in 2021.</w:t>
      </w:r>
    </w:p>
    <w:p w14:paraId="4A57EF36" w14:textId="77777777" w:rsidR="00B0004A" w:rsidRPr="00261B7A" w:rsidRDefault="00B0004A" w:rsidP="00B0004A">
      <w:pPr>
        <w:pStyle w:val="BodyText"/>
      </w:pPr>
      <w:r w:rsidRPr="00261B7A">
        <w:t>The amount of methane (CH</w:t>
      </w:r>
      <w:r w:rsidRPr="00261B7A">
        <w:rPr>
          <w:vertAlign w:val="subscript"/>
        </w:rPr>
        <w:t>4</w:t>
      </w:r>
      <w:r w:rsidRPr="00261B7A">
        <w:t>) emitted in New Zealand in 2021 is 43.0 per cent of gross emissions (33,019.3 kt CO</w:t>
      </w:r>
      <w:r w:rsidRPr="00261B7A">
        <w:rPr>
          <w:vertAlign w:val="subscript"/>
        </w:rPr>
        <w:t>2</w:t>
      </w:r>
      <w:r w:rsidRPr="00261B7A">
        <w:t>-e). Nitrous oxide, at 10.3 per cent (7,937.6 kt CO</w:t>
      </w:r>
      <w:r w:rsidRPr="00261B7A">
        <w:rPr>
          <w:vertAlign w:val="subscript"/>
        </w:rPr>
        <w:t>2</w:t>
      </w:r>
      <w:r w:rsidRPr="00261B7A">
        <w:t>-e), is the third-largest component of New Zealand’s gross emissions. The Agriculture sector produces the largest amount of both CH</w:t>
      </w:r>
      <w:r w:rsidRPr="00261B7A">
        <w:rPr>
          <w:vertAlign w:val="subscript"/>
        </w:rPr>
        <w:t>4</w:t>
      </w:r>
      <w:r w:rsidRPr="00261B7A">
        <w:t xml:space="preserve"> and N</w:t>
      </w:r>
      <w:r w:rsidRPr="00261B7A">
        <w:rPr>
          <w:vertAlign w:val="subscript"/>
        </w:rPr>
        <w:t>2</w:t>
      </w:r>
      <w:r w:rsidRPr="00261B7A">
        <w:t>O. In 2021, the contributions of the Agriculture sector to national emissions of CH</w:t>
      </w:r>
      <w:r w:rsidRPr="00261B7A">
        <w:rPr>
          <w:vertAlign w:val="subscript"/>
        </w:rPr>
        <w:t>4</w:t>
      </w:r>
      <w:r w:rsidRPr="00261B7A">
        <w:t xml:space="preserve"> and N</w:t>
      </w:r>
      <w:r w:rsidRPr="00261B7A">
        <w:rPr>
          <w:vertAlign w:val="subscript"/>
        </w:rPr>
        <w:t>2</w:t>
      </w:r>
      <w:r w:rsidRPr="00261B7A">
        <w:t>O were 89.2 per cent and 93.6 per cent respectively. The major source of CH</w:t>
      </w:r>
      <w:r w:rsidRPr="00261B7A">
        <w:rPr>
          <w:vertAlign w:val="subscript"/>
        </w:rPr>
        <w:t>4</w:t>
      </w:r>
      <w:r w:rsidRPr="00261B7A">
        <w:t xml:space="preserve"> in the Agriculture sector is </w:t>
      </w:r>
      <w:r w:rsidRPr="00261B7A">
        <w:rPr>
          <w:i/>
          <w:iCs/>
        </w:rPr>
        <w:t>Enteric fermentation</w:t>
      </w:r>
      <w:r w:rsidRPr="00261B7A">
        <w:t xml:space="preserve"> (27,859.0 kt CO</w:t>
      </w:r>
      <w:r w:rsidRPr="00261B7A">
        <w:rPr>
          <w:vertAlign w:val="subscript"/>
        </w:rPr>
        <w:t>2</w:t>
      </w:r>
      <w:r w:rsidRPr="00261B7A">
        <w:t>-e, 84.4 per cent of New Zealand’s gross CH</w:t>
      </w:r>
      <w:r w:rsidRPr="00261B7A">
        <w:rPr>
          <w:vertAlign w:val="subscript"/>
        </w:rPr>
        <w:t>4</w:t>
      </w:r>
      <w:r w:rsidRPr="00261B7A">
        <w:t xml:space="preserve"> emissions). Emissions from the </w:t>
      </w:r>
      <w:r w:rsidRPr="00261B7A">
        <w:rPr>
          <w:i/>
          <w:iCs/>
        </w:rPr>
        <w:t>Agricultural soils</w:t>
      </w:r>
      <w:r w:rsidRPr="00261B7A">
        <w:t xml:space="preserve"> category (from adding nitrogen to soil, for example, manure or fertiliser) are the largest source of gross N</w:t>
      </w:r>
      <w:r w:rsidRPr="00261B7A">
        <w:rPr>
          <w:vertAlign w:val="subscript"/>
        </w:rPr>
        <w:t>2</w:t>
      </w:r>
      <w:r w:rsidRPr="00261B7A">
        <w:t>O emissions (7,315.2 kt CO</w:t>
      </w:r>
      <w:r w:rsidRPr="00261B7A">
        <w:rPr>
          <w:vertAlign w:val="subscript"/>
        </w:rPr>
        <w:t>2</w:t>
      </w:r>
      <w:r w:rsidRPr="00261B7A">
        <w:t>-e, 92.2 per cent of New Zealand’s gross N</w:t>
      </w:r>
      <w:r w:rsidRPr="00261B7A">
        <w:rPr>
          <w:vertAlign w:val="subscript"/>
        </w:rPr>
        <w:t>2</w:t>
      </w:r>
      <w:r w:rsidRPr="00261B7A">
        <w:t>O emissions).</w:t>
      </w:r>
    </w:p>
    <w:p w14:paraId="2A80D4F1" w14:textId="77777777" w:rsidR="00B0004A" w:rsidRPr="00261B7A" w:rsidRDefault="00B0004A" w:rsidP="00B0004A">
      <w:pPr>
        <w:pStyle w:val="BodyText"/>
      </w:pPr>
      <w:r w:rsidRPr="00261B7A">
        <w:t>Methane is also the largest component of New Zealand’s Waste sector emissions, contributing 2,955.3 kt CO</w:t>
      </w:r>
      <w:r w:rsidRPr="00261B7A">
        <w:rPr>
          <w:vertAlign w:val="subscript"/>
        </w:rPr>
        <w:t>2</w:t>
      </w:r>
      <w:r w:rsidRPr="00261B7A">
        <w:t>-e, or 9.0 per cent, of gross CH</w:t>
      </w:r>
      <w:r w:rsidRPr="00261B7A">
        <w:rPr>
          <w:vertAlign w:val="subscript"/>
        </w:rPr>
        <w:t>4</w:t>
      </w:r>
      <w:r w:rsidRPr="00261B7A">
        <w:t xml:space="preserve"> emissions.</w:t>
      </w:r>
    </w:p>
    <w:p w14:paraId="2B75F1BA" w14:textId="77777777" w:rsidR="00B0004A" w:rsidRPr="00261B7A" w:rsidRDefault="00B0004A" w:rsidP="00B0004A">
      <w:pPr>
        <w:pStyle w:val="BodyText"/>
      </w:pPr>
      <w:r w:rsidRPr="00261B7A">
        <w:t>Fluorinated gases (hydrofluorocarbons (HFCs), perfluorocarbons (PFCs) and sulphur hexafluoride (SF</w:t>
      </w:r>
      <w:r w:rsidRPr="00261B7A">
        <w:rPr>
          <w:vertAlign w:val="subscript"/>
        </w:rPr>
        <w:t>6</w:t>
      </w:r>
      <w:r w:rsidRPr="00261B7A">
        <w:t>))</w:t>
      </w:r>
      <w:r w:rsidRPr="00261B7A">
        <w:rPr>
          <w:rStyle w:val="FootnoteReference"/>
        </w:rPr>
        <w:footnoteReference w:id="25"/>
      </w:r>
      <w:r w:rsidRPr="00261B7A">
        <w:t xml:space="preserve"> collectively contribute 2.0 per cent to New Zealand’s gross emissions. The IPPU sector is the only source of fluorinated gases in New Zealand. Taken together, the emissions of HFCs, PFCs and SF</w:t>
      </w:r>
      <w:r w:rsidRPr="00261B7A">
        <w:rPr>
          <w:vertAlign w:val="subscript"/>
        </w:rPr>
        <w:t>6</w:t>
      </w:r>
      <w:r w:rsidRPr="00261B7A">
        <w:t xml:space="preserve"> were 1,549.6 kt CO</w:t>
      </w:r>
      <w:r w:rsidRPr="00261B7A">
        <w:rPr>
          <w:vertAlign w:val="subscript"/>
        </w:rPr>
        <w:t>2</w:t>
      </w:r>
      <w:r w:rsidRPr="00261B7A">
        <w:t>-e in 2021. No manufacture of any of the fluorinated GHGs occurs in New Zealand. Emissions of fluorinated gases are dominated by HFCs (95.7 per cent of all fluorinated gases). The PFCs and SF</w:t>
      </w:r>
      <w:r w:rsidRPr="00261B7A">
        <w:rPr>
          <w:vertAlign w:val="subscript"/>
        </w:rPr>
        <w:t>6</w:t>
      </w:r>
      <w:r w:rsidRPr="00261B7A">
        <w:t xml:space="preserve"> contribute 3.3 per cent and 1.0 per cent to total emissions of fluorinated gases respectively. Almost all of New Zealand’s PFC emissions (99.99 per cent) result from aluminium production.</w:t>
      </w:r>
    </w:p>
    <w:p w14:paraId="66C72DAE" w14:textId="77777777" w:rsidR="00B0004A" w:rsidRPr="00261B7A" w:rsidRDefault="00B0004A" w:rsidP="00B0004A">
      <w:pPr>
        <w:pStyle w:val="Heading3"/>
      </w:pPr>
      <w:bookmarkStart w:id="149" w:name="Xf888a44280c5c29f5ae79322458284ddf228f1b"/>
      <w:bookmarkEnd w:id="144"/>
      <w:r w:rsidRPr="00261B7A">
        <w:t xml:space="preserve">2.2.2 </w:t>
      </w:r>
      <w:r w:rsidRPr="00261B7A">
        <w:tab/>
        <w:t>Emission trends by sector from 1990 to 2021</w:t>
      </w:r>
    </w:p>
    <w:p w14:paraId="0230667F" w14:textId="7F0FAF7C" w:rsidR="00B0004A" w:rsidRPr="00261B7A" w:rsidRDefault="00B0004A" w:rsidP="00B0004A">
      <w:pPr>
        <w:pStyle w:val="BodyText"/>
      </w:pPr>
      <w:r w:rsidRPr="00261B7A">
        <w:t>Figure 2.2.3 show</w:t>
      </w:r>
      <w:r w:rsidR="000E2731">
        <w:t>s</w:t>
      </w:r>
      <w:r w:rsidRPr="00261B7A">
        <w:t xml:space="preserve"> the contribution to net emissions that each inventory sector made. The Agriculture and Energy sectors dominated New Zealand’s gross emissions. Together, these sectors produced almost 90 per cent of New Zealand’s annual gross GHG emissions from 1990 to 2021. The IPPU and Waste sectors produced relatively small amounts of GHGs, contributing between 4 per cent and 6 per cent of the annual gross emissions for the entire time series.</w:t>
      </w:r>
    </w:p>
    <w:p w14:paraId="15D8DA66" w14:textId="77777777" w:rsidR="00B0004A" w:rsidRPr="00261B7A" w:rsidRDefault="00B0004A" w:rsidP="00B0004A">
      <w:pPr>
        <w:pStyle w:val="BodyText"/>
      </w:pPr>
      <w:r w:rsidRPr="00261B7A">
        <w:t>Conversely, the LULUCF sector was a net sink of GHG emissions between 1990 and 2021.</w:t>
      </w:r>
    </w:p>
    <w:p w14:paraId="3B3F40BE" w14:textId="77777777" w:rsidR="00B0004A" w:rsidRPr="00261B7A" w:rsidRDefault="00B0004A" w:rsidP="00B0004A">
      <w:pPr>
        <w:pStyle w:val="Figure"/>
      </w:pPr>
      <w:bookmarkStart w:id="150" w:name="_Toc129861458"/>
      <w:bookmarkStart w:id="151" w:name="_Toc131591525"/>
      <w:r w:rsidRPr="00261B7A">
        <w:rPr>
          <w:bCs/>
        </w:rPr>
        <w:lastRenderedPageBreak/>
        <w:t>Figure 2.2.3</w:t>
      </w:r>
      <w:r w:rsidRPr="00261B7A">
        <w:t xml:space="preserve"> </w:t>
      </w:r>
      <w:r w:rsidRPr="00261B7A">
        <w:tab/>
        <w:t xml:space="preserve">Trends in New Zealand’s greenhouse gas emissions by sector from </w:t>
      </w:r>
      <w:r w:rsidRPr="00261B7A">
        <w:rPr>
          <w:bCs/>
        </w:rPr>
        <w:t>1990</w:t>
      </w:r>
      <w:r w:rsidRPr="00261B7A">
        <w:t xml:space="preserve"> to </w:t>
      </w:r>
      <w:r w:rsidRPr="00261B7A">
        <w:rPr>
          <w:bCs/>
        </w:rPr>
        <w:t>2021</w:t>
      </w:r>
      <w:bookmarkEnd w:id="150"/>
      <w:bookmarkEnd w:id="151"/>
    </w:p>
    <w:p w14:paraId="04A380A9" w14:textId="77777777" w:rsidR="00B0004A" w:rsidRPr="00261B7A" w:rsidRDefault="00B0004A" w:rsidP="00B0004A">
      <w:pPr>
        <w:pStyle w:val="BodyText"/>
      </w:pPr>
      <w:r w:rsidRPr="00261B7A">
        <w:rPr>
          <w:noProof/>
        </w:rPr>
        <w:drawing>
          <wp:inline distT="0" distB="0" distL="0" distR="0" wp14:anchorId="352D4F46" wp14:editId="2646FF2E">
            <wp:extent cx="5397500" cy="3990109"/>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45" name="Picture" descr="code/graphs/images/es_4_1_crf.png"/>
                    <pic:cNvPicPr>
                      <a:picLocks noChangeAspect="1" noChangeArrowheads="1"/>
                    </pic:cNvPicPr>
                  </pic:nvPicPr>
                  <pic:blipFill rotWithShape="1">
                    <a:blip r:embed="rId30"/>
                    <a:srcRect b="1433"/>
                    <a:stretch/>
                  </pic:blipFill>
                  <pic:spPr bwMode="auto">
                    <a:xfrm>
                      <a:off x="0" y="0"/>
                      <a:ext cx="5397500" cy="3990109"/>
                    </a:xfrm>
                    <a:prstGeom prst="rect">
                      <a:avLst/>
                    </a:prstGeom>
                    <a:noFill/>
                    <a:ln>
                      <a:noFill/>
                    </a:ln>
                    <a:extLst>
                      <a:ext uri="{53640926-AAD7-44D8-BBD7-CCE9431645EC}">
                        <a14:shadowObscured xmlns:a14="http://schemas.microsoft.com/office/drawing/2010/main"/>
                      </a:ext>
                    </a:extLst>
                  </pic:spPr>
                </pic:pic>
              </a:graphicData>
            </a:graphic>
          </wp:inline>
        </w:drawing>
      </w:r>
    </w:p>
    <w:p w14:paraId="0F8B7963" w14:textId="77777777" w:rsidR="00B0004A" w:rsidRPr="00261B7A" w:rsidRDefault="00B0004A" w:rsidP="00B0004A">
      <w:pPr>
        <w:pStyle w:val="Noteundertable"/>
      </w:pPr>
      <w:r w:rsidRPr="00261B7A">
        <w:rPr>
          <w:b/>
          <w:bCs/>
        </w:rPr>
        <w:t>Note:</w:t>
      </w:r>
      <w:r w:rsidRPr="00261B7A">
        <w:t xml:space="preserve"> </w:t>
      </w:r>
      <w:r w:rsidRPr="00261B7A">
        <w:tab/>
        <w:t>Net removals from the LULUCF sector are as reported under the Convention (chapter 6).</w:t>
      </w:r>
    </w:p>
    <w:p w14:paraId="74BC81F6" w14:textId="77777777" w:rsidR="00B0004A" w:rsidRPr="00261B7A" w:rsidRDefault="00B0004A" w:rsidP="00B0004A">
      <w:pPr>
        <w:pStyle w:val="BodyText"/>
      </w:pPr>
      <w:r w:rsidRPr="00261B7A">
        <w:t>Table 2.2.1 presents New Zealand’s emissions by sector in 1990 and 2021 and the change between the years in absolute terms and by percentage. Figure 2.2.4 shows the changes in emissions by sector between 1990 and 2021.</w:t>
      </w:r>
    </w:p>
    <w:p w14:paraId="7ED2A0A4" w14:textId="77777777" w:rsidR="00B0004A" w:rsidRPr="00261B7A" w:rsidRDefault="00B0004A" w:rsidP="00B0004A">
      <w:pPr>
        <w:pStyle w:val="Table"/>
      </w:pPr>
      <w:bookmarkStart w:id="152" w:name="_Toc129861418"/>
      <w:bookmarkStart w:id="153" w:name="_Toc131591314"/>
      <w:r w:rsidRPr="00261B7A">
        <w:t xml:space="preserve">Table 2.2.1 </w:t>
      </w:r>
      <w:r w:rsidRPr="00261B7A">
        <w:tab/>
        <w:t xml:space="preserve">New Zealand’s emissions by sector between </w:t>
      </w:r>
      <w:r w:rsidRPr="00261B7A">
        <w:rPr>
          <w:bCs/>
        </w:rPr>
        <w:t>1990</w:t>
      </w:r>
      <w:r w:rsidRPr="00261B7A">
        <w:t xml:space="preserve"> and </w:t>
      </w:r>
      <w:r w:rsidRPr="00261B7A">
        <w:rPr>
          <w:bCs/>
        </w:rPr>
        <w:t>2021</w:t>
      </w:r>
      <w:bookmarkEnd w:id="152"/>
      <w:bookmarkEnd w:id="153"/>
    </w:p>
    <w:tbl>
      <w:tblPr>
        <w:tblW w:w="8494" w:type="dxa"/>
        <w:tblBorders>
          <w:top w:val="single" w:sz="2" w:space="0" w:color="1B556B"/>
          <w:bottom w:val="single" w:sz="2" w:space="0" w:color="1B556B"/>
          <w:insideH w:val="single" w:sz="2" w:space="0" w:color="1B556B"/>
        </w:tblBorders>
        <w:tblLayout w:type="fixed"/>
        <w:tblLook w:val="0420" w:firstRow="1" w:lastRow="0" w:firstColumn="0" w:lastColumn="0" w:noHBand="0" w:noVBand="1"/>
      </w:tblPr>
      <w:tblGrid>
        <w:gridCol w:w="1134"/>
        <w:gridCol w:w="1276"/>
        <w:gridCol w:w="1418"/>
        <w:gridCol w:w="2835"/>
        <w:gridCol w:w="1831"/>
      </w:tblGrid>
      <w:tr w:rsidR="00B0004A" w:rsidRPr="00261B7A" w14:paraId="7265FF6D" w14:textId="77777777" w:rsidTr="003A763F">
        <w:trPr>
          <w:tblHeader/>
        </w:trPr>
        <w:tc>
          <w:tcPr>
            <w:tcW w:w="1134" w:type="dxa"/>
            <w:shd w:val="clear" w:color="auto" w:fill="1B556B" w:themeFill="text2"/>
          </w:tcPr>
          <w:p w14:paraId="7169B188" w14:textId="77777777" w:rsidR="00B0004A" w:rsidRPr="00261B7A" w:rsidRDefault="00B0004A" w:rsidP="003A763F">
            <w:pPr>
              <w:pStyle w:val="TableTextBold"/>
              <w:rPr>
                <w:noProof w:val="0"/>
                <w:color w:val="FFFFFF" w:themeColor="background1"/>
              </w:rPr>
            </w:pPr>
            <w:r w:rsidRPr="00261B7A">
              <w:rPr>
                <w:rFonts w:eastAsia="Calibri"/>
                <w:noProof w:val="0"/>
                <w:color w:val="FFFFFF" w:themeColor="background1"/>
              </w:rPr>
              <w:t>Sector</w:t>
            </w:r>
          </w:p>
        </w:tc>
        <w:tc>
          <w:tcPr>
            <w:tcW w:w="1276" w:type="dxa"/>
            <w:shd w:val="clear" w:color="auto" w:fill="1B556B" w:themeFill="text2"/>
          </w:tcPr>
          <w:p w14:paraId="7ECC9547" w14:textId="77777777" w:rsidR="00B0004A" w:rsidRPr="00261B7A" w:rsidRDefault="00B0004A" w:rsidP="003A763F">
            <w:pPr>
              <w:pStyle w:val="TableTextBold"/>
              <w:jc w:val="right"/>
              <w:rPr>
                <w:noProof w:val="0"/>
                <w:color w:val="FFFFFF" w:themeColor="background1"/>
              </w:rPr>
            </w:pPr>
            <w:r w:rsidRPr="00261B7A">
              <w:rPr>
                <w:rFonts w:eastAsia="Calibri"/>
                <w:noProof w:val="0"/>
                <w:color w:val="FFFFFF" w:themeColor="background1"/>
              </w:rPr>
              <w:t>1990</w:t>
            </w:r>
          </w:p>
        </w:tc>
        <w:tc>
          <w:tcPr>
            <w:tcW w:w="1418" w:type="dxa"/>
            <w:shd w:val="clear" w:color="auto" w:fill="1B556B" w:themeFill="text2"/>
          </w:tcPr>
          <w:p w14:paraId="0987D422" w14:textId="77777777" w:rsidR="00B0004A" w:rsidRPr="00261B7A" w:rsidRDefault="00B0004A" w:rsidP="003A763F">
            <w:pPr>
              <w:pStyle w:val="TableTextBold"/>
              <w:jc w:val="right"/>
              <w:rPr>
                <w:noProof w:val="0"/>
                <w:color w:val="FFFFFF" w:themeColor="background1"/>
              </w:rPr>
            </w:pPr>
            <w:r w:rsidRPr="00261B7A">
              <w:rPr>
                <w:rFonts w:eastAsia="Calibri"/>
                <w:noProof w:val="0"/>
                <w:color w:val="FFFFFF" w:themeColor="background1"/>
              </w:rPr>
              <w:t>2021</w:t>
            </w:r>
          </w:p>
        </w:tc>
        <w:tc>
          <w:tcPr>
            <w:tcW w:w="2835" w:type="dxa"/>
            <w:shd w:val="clear" w:color="auto" w:fill="1B556B" w:themeFill="text2"/>
          </w:tcPr>
          <w:p w14:paraId="3AE1E243" w14:textId="77777777" w:rsidR="00B0004A" w:rsidRPr="00261B7A" w:rsidRDefault="00B0004A" w:rsidP="003A763F">
            <w:pPr>
              <w:pStyle w:val="TableTextBold"/>
              <w:jc w:val="right"/>
              <w:rPr>
                <w:noProof w:val="0"/>
                <w:color w:val="FFFFFF" w:themeColor="background1"/>
              </w:rPr>
            </w:pPr>
            <w:r w:rsidRPr="00261B7A">
              <w:rPr>
                <w:rFonts w:eastAsia="Calibri"/>
                <w:noProof w:val="0"/>
                <w:color w:val="FFFFFF" w:themeColor="background1"/>
              </w:rPr>
              <w:t>Change from 1990 (kt CO</w:t>
            </w:r>
            <w:r w:rsidRPr="00261B7A">
              <w:rPr>
                <w:rFonts w:eastAsia="Calibri"/>
                <w:noProof w:val="0"/>
                <w:color w:val="FFFFFF" w:themeColor="background1"/>
                <w:vertAlign w:val="subscript"/>
              </w:rPr>
              <w:t>2</w:t>
            </w:r>
            <w:r w:rsidRPr="00261B7A">
              <w:rPr>
                <w:rFonts w:eastAsia="Calibri"/>
                <w:noProof w:val="0"/>
                <w:color w:val="FFFFFF" w:themeColor="background1"/>
              </w:rPr>
              <w:t>-equivalent)</w:t>
            </w:r>
          </w:p>
        </w:tc>
        <w:tc>
          <w:tcPr>
            <w:tcW w:w="1831" w:type="dxa"/>
            <w:shd w:val="clear" w:color="auto" w:fill="1B556B" w:themeFill="text2"/>
          </w:tcPr>
          <w:p w14:paraId="06B1E9E1" w14:textId="77777777" w:rsidR="00B0004A" w:rsidRPr="00261B7A" w:rsidRDefault="00B0004A" w:rsidP="003A763F">
            <w:pPr>
              <w:pStyle w:val="TableTextBold"/>
              <w:jc w:val="right"/>
              <w:rPr>
                <w:noProof w:val="0"/>
                <w:color w:val="FFFFFF" w:themeColor="background1"/>
              </w:rPr>
            </w:pPr>
            <w:r w:rsidRPr="00261B7A">
              <w:rPr>
                <w:rFonts w:eastAsia="Calibri"/>
                <w:noProof w:val="0"/>
                <w:color w:val="FFFFFF" w:themeColor="background1"/>
              </w:rPr>
              <w:t>Change from 1990 (%)</w:t>
            </w:r>
          </w:p>
        </w:tc>
      </w:tr>
      <w:tr w:rsidR="00B0004A" w:rsidRPr="00261B7A" w14:paraId="60A3D9C1" w14:textId="77777777" w:rsidTr="003A763F">
        <w:tc>
          <w:tcPr>
            <w:tcW w:w="1134" w:type="dxa"/>
            <w:shd w:val="clear" w:color="auto" w:fill="FFFFFF"/>
          </w:tcPr>
          <w:p w14:paraId="4E04FC9F" w14:textId="77777777" w:rsidR="00B0004A" w:rsidRPr="00261B7A" w:rsidRDefault="00B0004A" w:rsidP="003A763F">
            <w:pPr>
              <w:pStyle w:val="TableText"/>
            </w:pPr>
            <w:r w:rsidRPr="00261B7A">
              <w:rPr>
                <w:rFonts w:eastAsia="Calibri"/>
                <w:color w:val="000000"/>
              </w:rPr>
              <w:t>Energy</w:t>
            </w:r>
          </w:p>
        </w:tc>
        <w:tc>
          <w:tcPr>
            <w:tcW w:w="1276" w:type="dxa"/>
            <w:shd w:val="clear" w:color="auto" w:fill="FFFFFF"/>
          </w:tcPr>
          <w:p w14:paraId="305C3BB3" w14:textId="77777777" w:rsidR="00B0004A" w:rsidRPr="00261B7A" w:rsidRDefault="00B0004A" w:rsidP="003A763F">
            <w:pPr>
              <w:pStyle w:val="TableText"/>
              <w:jc w:val="right"/>
            </w:pPr>
            <w:r w:rsidRPr="00261B7A">
              <w:rPr>
                <w:rFonts w:eastAsia="Calibri"/>
                <w:color w:val="000000"/>
              </w:rPr>
              <w:t>23,880.3</w:t>
            </w:r>
          </w:p>
        </w:tc>
        <w:tc>
          <w:tcPr>
            <w:tcW w:w="1418" w:type="dxa"/>
            <w:shd w:val="clear" w:color="auto" w:fill="FFFFFF"/>
          </w:tcPr>
          <w:p w14:paraId="5D6B16FF" w14:textId="77777777" w:rsidR="00B0004A" w:rsidRPr="00261B7A" w:rsidRDefault="00B0004A" w:rsidP="003A763F">
            <w:pPr>
              <w:pStyle w:val="TableText"/>
              <w:jc w:val="right"/>
            </w:pPr>
            <w:r w:rsidRPr="00261B7A">
              <w:rPr>
                <w:rFonts w:eastAsia="Calibri"/>
                <w:color w:val="000000"/>
              </w:rPr>
              <w:t>31,210.1</w:t>
            </w:r>
          </w:p>
        </w:tc>
        <w:tc>
          <w:tcPr>
            <w:tcW w:w="2835" w:type="dxa"/>
            <w:shd w:val="clear" w:color="auto" w:fill="FFFFFF"/>
          </w:tcPr>
          <w:p w14:paraId="705E0DB9" w14:textId="77777777" w:rsidR="00B0004A" w:rsidRPr="00261B7A" w:rsidRDefault="00B0004A" w:rsidP="003A763F">
            <w:pPr>
              <w:pStyle w:val="TableText"/>
              <w:jc w:val="right"/>
            </w:pPr>
            <w:r w:rsidRPr="00261B7A">
              <w:rPr>
                <w:rFonts w:eastAsia="Calibri"/>
                <w:color w:val="000000"/>
              </w:rPr>
              <w:t>7,329.8</w:t>
            </w:r>
          </w:p>
        </w:tc>
        <w:tc>
          <w:tcPr>
            <w:tcW w:w="1831" w:type="dxa"/>
            <w:shd w:val="clear" w:color="auto" w:fill="FFFFFF"/>
          </w:tcPr>
          <w:p w14:paraId="63417149" w14:textId="77777777" w:rsidR="00B0004A" w:rsidRPr="00261B7A" w:rsidRDefault="00B0004A" w:rsidP="003A763F">
            <w:pPr>
              <w:pStyle w:val="TableText"/>
              <w:jc w:val="right"/>
            </w:pPr>
            <w:r w:rsidRPr="00261B7A">
              <w:rPr>
                <w:rFonts w:eastAsia="Calibri"/>
                <w:color w:val="000000"/>
              </w:rPr>
              <w:t>30.7</w:t>
            </w:r>
          </w:p>
        </w:tc>
      </w:tr>
      <w:tr w:rsidR="00B0004A" w:rsidRPr="00261B7A" w14:paraId="5034B51E" w14:textId="77777777" w:rsidTr="003A763F">
        <w:tc>
          <w:tcPr>
            <w:tcW w:w="1134" w:type="dxa"/>
            <w:shd w:val="clear" w:color="auto" w:fill="FFFFFF"/>
          </w:tcPr>
          <w:p w14:paraId="08E5B1F5" w14:textId="77777777" w:rsidR="00B0004A" w:rsidRPr="00261B7A" w:rsidRDefault="00B0004A" w:rsidP="003A763F">
            <w:pPr>
              <w:pStyle w:val="TableText"/>
            </w:pPr>
            <w:r w:rsidRPr="00261B7A">
              <w:rPr>
                <w:rFonts w:eastAsia="Calibri"/>
                <w:color w:val="000000"/>
              </w:rPr>
              <w:t>IPPU</w:t>
            </w:r>
          </w:p>
        </w:tc>
        <w:tc>
          <w:tcPr>
            <w:tcW w:w="1276" w:type="dxa"/>
            <w:shd w:val="clear" w:color="auto" w:fill="FFFFFF"/>
          </w:tcPr>
          <w:p w14:paraId="6EE8CC9B" w14:textId="77777777" w:rsidR="00B0004A" w:rsidRPr="00261B7A" w:rsidRDefault="00B0004A" w:rsidP="003A763F">
            <w:pPr>
              <w:pStyle w:val="TableText"/>
              <w:jc w:val="right"/>
            </w:pPr>
            <w:r w:rsidRPr="00261B7A">
              <w:rPr>
                <w:rFonts w:eastAsia="Calibri"/>
                <w:color w:val="000000"/>
              </w:rPr>
              <w:t>3,579.9</w:t>
            </w:r>
          </w:p>
        </w:tc>
        <w:tc>
          <w:tcPr>
            <w:tcW w:w="1418" w:type="dxa"/>
            <w:shd w:val="clear" w:color="auto" w:fill="FFFFFF"/>
          </w:tcPr>
          <w:p w14:paraId="73FE56E2" w14:textId="77777777" w:rsidR="00B0004A" w:rsidRPr="00261B7A" w:rsidRDefault="00B0004A" w:rsidP="003A763F">
            <w:pPr>
              <w:pStyle w:val="TableText"/>
              <w:jc w:val="right"/>
            </w:pPr>
            <w:r w:rsidRPr="00261B7A">
              <w:rPr>
                <w:rFonts w:eastAsia="Calibri"/>
                <w:color w:val="000000"/>
              </w:rPr>
              <w:t>4,609.6</w:t>
            </w:r>
          </w:p>
        </w:tc>
        <w:tc>
          <w:tcPr>
            <w:tcW w:w="2835" w:type="dxa"/>
            <w:shd w:val="clear" w:color="auto" w:fill="FFFFFF"/>
          </w:tcPr>
          <w:p w14:paraId="7F58109D" w14:textId="77777777" w:rsidR="00B0004A" w:rsidRPr="00261B7A" w:rsidRDefault="00B0004A" w:rsidP="003A763F">
            <w:pPr>
              <w:pStyle w:val="TableText"/>
              <w:jc w:val="right"/>
            </w:pPr>
            <w:r w:rsidRPr="00261B7A">
              <w:rPr>
                <w:rFonts w:eastAsia="Calibri"/>
                <w:color w:val="000000"/>
              </w:rPr>
              <w:t>1,029.7</w:t>
            </w:r>
          </w:p>
        </w:tc>
        <w:tc>
          <w:tcPr>
            <w:tcW w:w="1831" w:type="dxa"/>
            <w:shd w:val="clear" w:color="auto" w:fill="FFFFFF"/>
          </w:tcPr>
          <w:p w14:paraId="70824241" w14:textId="77777777" w:rsidR="00B0004A" w:rsidRPr="00261B7A" w:rsidRDefault="00B0004A" w:rsidP="003A763F">
            <w:pPr>
              <w:pStyle w:val="TableText"/>
              <w:jc w:val="right"/>
            </w:pPr>
            <w:r w:rsidRPr="00261B7A">
              <w:rPr>
                <w:rFonts w:eastAsia="Calibri"/>
                <w:color w:val="000000"/>
              </w:rPr>
              <w:t>28.8</w:t>
            </w:r>
          </w:p>
        </w:tc>
      </w:tr>
      <w:tr w:rsidR="00B0004A" w:rsidRPr="00261B7A" w14:paraId="49A972E4" w14:textId="77777777" w:rsidTr="003A763F">
        <w:tc>
          <w:tcPr>
            <w:tcW w:w="1134" w:type="dxa"/>
            <w:shd w:val="clear" w:color="auto" w:fill="FFFFFF"/>
          </w:tcPr>
          <w:p w14:paraId="11152355" w14:textId="77777777" w:rsidR="00B0004A" w:rsidRPr="00261B7A" w:rsidRDefault="00B0004A" w:rsidP="003A763F">
            <w:pPr>
              <w:pStyle w:val="TableText"/>
            </w:pPr>
            <w:r w:rsidRPr="00261B7A">
              <w:rPr>
                <w:rFonts w:eastAsia="Calibri"/>
                <w:color w:val="000000"/>
              </w:rPr>
              <w:t>Agriculture</w:t>
            </w:r>
          </w:p>
        </w:tc>
        <w:tc>
          <w:tcPr>
            <w:tcW w:w="1276" w:type="dxa"/>
            <w:shd w:val="clear" w:color="auto" w:fill="FFFFFF"/>
          </w:tcPr>
          <w:p w14:paraId="72F928C7" w14:textId="77777777" w:rsidR="00B0004A" w:rsidRPr="00261B7A" w:rsidRDefault="00B0004A" w:rsidP="003A763F">
            <w:pPr>
              <w:pStyle w:val="TableText"/>
              <w:jc w:val="right"/>
            </w:pPr>
            <w:r w:rsidRPr="00261B7A">
              <w:rPr>
                <w:rFonts w:eastAsia="Calibri"/>
                <w:color w:val="000000"/>
              </w:rPr>
              <w:t>33,312.0</w:t>
            </w:r>
          </w:p>
        </w:tc>
        <w:tc>
          <w:tcPr>
            <w:tcW w:w="1418" w:type="dxa"/>
            <w:shd w:val="clear" w:color="auto" w:fill="FFFFFF"/>
          </w:tcPr>
          <w:p w14:paraId="5B9E3D46" w14:textId="77777777" w:rsidR="00B0004A" w:rsidRPr="00261B7A" w:rsidRDefault="00B0004A" w:rsidP="003A763F">
            <w:pPr>
              <w:pStyle w:val="TableText"/>
              <w:jc w:val="right"/>
            </w:pPr>
            <w:r w:rsidRPr="00261B7A">
              <w:rPr>
                <w:rFonts w:eastAsia="Calibri"/>
                <w:color w:val="000000"/>
              </w:rPr>
              <w:t>37,786.1</w:t>
            </w:r>
          </w:p>
        </w:tc>
        <w:tc>
          <w:tcPr>
            <w:tcW w:w="2835" w:type="dxa"/>
            <w:shd w:val="clear" w:color="auto" w:fill="FFFFFF"/>
          </w:tcPr>
          <w:p w14:paraId="60A17E52" w14:textId="77777777" w:rsidR="00B0004A" w:rsidRPr="00261B7A" w:rsidRDefault="00B0004A" w:rsidP="003A763F">
            <w:pPr>
              <w:pStyle w:val="TableText"/>
              <w:jc w:val="right"/>
            </w:pPr>
            <w:r w:rsidRPr="00261B7A">
              <w:rPr>
                <w:rFonts w:eastAsia="Calibri"/>
                <w:color w:val="000000"/>
              </w:rPr>
              <w:t>4,474.1</w:t>
            </w:r>
          </w:p>
        </w:tc>
        <w:tc>
          <w:tcPr>
            <w:tcW w:w="1831" w:type="dxa"/>
            <w:shd w:val="clear" w:color="auto" w:fill="FFFFFF"/>
          </w:tcPr>
          <w:p w14:paraId="2E77EC1A" w14:textId="77777777" w:rsidR="00B0004A" w:rsidRPr="00261B7A" w:rsidRDefault="00B0004A" w:rsidP="003A763F">
            <w:pPr>
              <w:pStyle w:val="TableText"/>
              <w:jc w:val="right"/>
            </w:pPr>
            <w:r w:rsidRPr="00261B7A">
              <w:rPr>
                <w:rFonts w:eastAsia="Calibri"/>
                <w:color w:val="000000"/>
              </w:rPr>
              <w:t>13.4</w:t>
            </w:r>
          </w:p>
        </w:tc>
      </w:tr>
      <w:tr w:rsidR="00B0004A" w:rsidRPr="00261B7A" w14:paraId="71645139" w14:textId="77777777" w:rsidTr="003A763F">
        <w:tc>
          <w:tcPr>
            <w:tcW w:w="1134" w:type="dxa"/>
            <w:shd w:val="clear" w:color="auto" w:fill="FFFFFF"/>
          </w:tcPr>
          <w:p w14:paraId="04A97FAE" w14:textId="77777777" w:rsidR="00B0004A" w:rsidRPr="00261B7A" w:rsidRDefault="00B0004A" w:rsidP="003A763F">
            <w:pPr>
              <w:pStyle w:val="TableText"/>
            </w:pPr>
            <w:r w:rsidRPr="00261B7A">
              <w:rPr>
                <w:rFonts w:eastAsia="Calibri"/>
                <w:color w:val="000000"/>
              </w:rPr>
              <w:t>Waste</w:t>
            </w:r>
          </w:p>
        </w:tc>
        <w:tc>
          <w:tcPr>
            <w:tcW w:w="1276" w:type="dxa"/>
            <w:shd w:val="clear" w:color="auto" w:fill="FFFFFF"/>
          </w:tcPr>
          <w:p w14:paraId="7593EA6F" w14:textId="77777777" w:rsidR="00B0004A" w:rsidRPr="00261B7A" w:rsidRDefault="00B0004A" w:rsidP="003A763F">
            <w:pPr>
              <w:pStyle w:val="TableText"/>
              <w:jc w:val="right"/>
            </w:pPr>
            <w:r w:rsidRPr="00261B7A">
              <w:rPr>
                <w:rFonts w:eastAsia="Calibri"/>
                <w:color w:val="000000"/>
              </w:rPr>
              <w:t>3,944.6</w:t>
            </w:r>
          </w:p>
        </w:tc>
        <w:tc>
          <w:tcPr>
            <w:tcW w:w="1418" w:type="dxa"/>
            <w:shd w:val="clear" w:color="auto" w:fill="FFFFFF"/>
          </w:tcPr>
          <w:p w14:paraId="46959551" w14:textId="77777777" w:rsidR="00B0004A" w:rsidRPr="00261B7A" w:rsidRDefault="00B0004A" w:rsidP="003A763F">
            <w:pPr>
              <w:pStyle w:val="TableText"/>
              <w:jc w:val="right"/>
            </w:pPr>
            <w:r w:rsidRPr="00261B7A">
              <w:rPr>
                <w:rFonts w:eastAsia="Calibri"/>
                <w:color w:val="000000"/>
              </w:rPr>
              <w:t>3,214.9</w:t>
            </w:r>
          </w:p>
        </w:tc>
        <w:tc>
          <w:tcPr>
            <w:tcW w:w="2835" w:type="dxa"/>
            <w:shd w:val="clear" w:color="auto" w:fill="FFFFFF"/>
          </w:tcPr>
          <w:p w14:paraId="738E1AF7" w14:textId="77777777" w:rsidR="00B0004A" w:rsidRPr="00261B7A" w:rsidRDefault="00B0004A" w:rsidP="003A763F">
            <w:pPr>
              <w:pStyle w:val="TableText"/>
              <w:jc w:val="right"/>
            </w:pPr>
            <w:r w:rsidRPr="00261B7A">
              <w:rPr>
                <w:rFonts w:eastAsia="Calibri"/>
                <w:color w:val="000000"/>
              </w:rPr>
              <w:t>–729.7</w:t>
            </w:r>
          </w:p>
        </w:tc>
        <w:tc>
          <w:tcPr>
            <w:tcW w:w="1831" w:type="dxa"/>
            <w:shd w:val="clear" w:color="auto" w:fill="FFFFFF"/>
          </w:tcPr>
          <w:p w14:paraId="2DAD6E11" w14:textId="77777777" w:rsidR="00B0004A" w:rsidRPr="00261B7A" w:rsidRDefault="00B0004A" w:rsidP="003A763F">
            <w:pPr>
              <w:pStyle w:val="TableText"/>
              <w:jc w:val="right"/>
            </w:pPr>
            <w:r w:rsidRPr="00261B7A">
              <w:rPr>
                <w:rFonts w:eastAsia="Calibri"/>
                <w:color w:val="000000"/>
              </w:rPr>
              <w:t>–18.5</w:t>
            </w:r>
          </w:p>
        </w:tc>
      </w:tr>
      <w:tr w:rsidR="00B0004A" w:rsidRPr="00261B7A" w14:paraId="190CDD23" w14:textId="77777777" w:rsidTr="003A763F">
        <w:tc>
          <w:tcPr>
            <w:tcW w:w="1134" w:type="dxa"/>
            <w:shd w:val="clear" w:color="auto" w:fill="FFFFFF"/>
          </w:tcPr>
          <w:p w14:paraId="308CE9C0" w14:textId="77777777" w:rsidR="00B0004A" w:rsidRPr="00261B7A" w:rsidRDefault="00B0004A" w:rsidP="003A763F">
            <w:pPr>
              <w:pStyle w:val="TableText"/>
            </w:pPr>
            <w:r w:rsidRPr="00261B7A">
              <w:rPr>
                <w:rFonts w:eastAsia="Calibri"/>
                <w:color w:val="000000"/>
              </w:rPr>
              <w:t>Tokelau</w:t>
            </w:r>
          </w:p>
        </w:tc>
        <w:tc>
          <w:tcPr>
            <w:tcW w:w="1276" w:type="dxa"/>
            <w:shd w:val="clear" w:color="auto" w:fill="FFFFFF"/>
          </w:tcPr>
          <w:p w14:paraId="28F02FE9" w14:textId="77777777" w:rsidR="00B0004A" w:rsidRPr="00261B7A" w:rsidRDefault="00B0004A" w:rsidP="003A763F">
            <w:pPr>
              <w:pStyle w:val="TableText"/>
              <w:jc w:val="right"/>
            </w:pPr>
            <w:r w:rsidRPr="00261B7A">
              <w:rPr>
                <w:rFonts w:eastAsia="Calibri"/>
                <w:color w:val="000000"/>
              </w:rPr>
              <w:t>3.2</w:t>
            </w:r>
          </w:p>
        </w:tc>
        <w:tc>
          <w:tcPr>
            <w:tcW w:w="1418" w:type="dxa"/>
            <w:shd w:val="clear" w:color="auto" w:fill="FFFFFF"/>
          </w:tcPr>
          <w:p w14:paraId="216ACA39" w14:textId="77777777" w:rsidR="00B0004A" w:rsidRPr="00261B7A" w:rsidRDefault="00B0004A" w:rsidP="003A763F">
            <w:pPr>
              <w:pStyle w:val="TableText"/>
              <w:jc w:val="right"/>
            </w:pPr>
            <w:r w:rsidRPr="00261B7A">
              <w:rPr>
                <w:rFonts w:eastAsia="Calibri"/>
                <w:color w:val="000000"/>
              </w:rPr>
              <w:t>3.8</w:t>
            </w:r>
          </w:p>
        </w:tc>
        <w:tc>
          <w:tcPr>
            <w:tcW w:w="2835" w:type="dxa"/>
            <w:shd w:val="clear" w:color="auto" w:fill="FFFFFF"/>
          </w:tcPr>
          <w:p w14:paraId="18DCB89D" w14:textId="77777777" w:rsidR="00B0004A" w:rsidRPr="00261B7A" w:rsidRDefault="00B0004A" w:rsidP="003A763F">
            <w:pPr>
              <w:pStyle w:val="TableText"/>
              <w:jc w:val="right"/>
            </w:pPr>
            <w:r w:rsidRPr="00261B7A">
              <w:rPr>
                <w:rFonts w:eastAsia="Calibri"/>
                <w:color w:val="000000"/>
              </w:rPr>
              <w:t>0.6</w:t>
            </w:r>
          </w:p>
        </w:tc>
        <w:tc>
          <w:tcPr>
            <w:tcW w:w="1831" w:type="dxa"/>
            <w:shd w:val="clear" w:color="auto" w:fill="FFFFFF"/>
          </w:tcPr>
          <w:p w14:paraId="66A31295" w14:textId="77777777" w:rsidR="00B0004A" w:rsidRPr="00261B7A" w:rsidRDefault="00B0004A" w:rsidP="003A763F">
            <w:pPr>
              <w:pStyle w:val="TableText"/>
              <w:jc w:val="right"/>
            </w:pPr>
            <w:r w:rsidRPr="00261B7A">
              <w:rPr>
                <w:rFonts w:eastAsia="Calibri"/>
                <w:color w:val="000000"/>
              </w:rPr>
              <w:t>19.4</w:t>
            </w:r>
          </w:p>
        </w:tc>
      </w:tr>
      <w:tr w:rsidR="00B0004A" w:rsidRPr="00261B7A" w14:paraId="1F96CC14" w14:textId="77777777" w:rsidTr="003A763F">
        <w:tc>
          <w:tcPr>
            <w:tcW w:w="1134" w:type="dxa"/>
            <w:shd w:val="clear" w:color="auto" w:fill="FFFFFF"/>
          </w:tcPr>
          <w:p w14:paraId="1D8C369F" w14:textId="77777777" w:rsidR="00B0004A" w:rsidRPr="00261B7A" w:rsidRDefault="00B0004A" w:rsidP="003A763F">
            <w:pPr>
              <w:pStyle w:val="TableText"/>
              <w:rPr>
                <w:b/>
                <w:bCs/>
              </w:rPr>
            </w:pPr>
            <w:r w:rsidRPr="00261B7A">
              <w:rPr>
                <w:rFonts w:eastAsia="Calibri"/>
                <w:b/>
                <w:bCs/>
                <w:color w:val="1B556B"/>
              </w:rPr>
              <w:t>Gross</w:t>
            </w:r>
          </w:p>
        </w:tc>
        <w:tc>
          <w:tcPr>
            <w:tcW w:w="1276" w:type="dxa"/>
            <w:shd w:val="clear" w:color="auto" w:fill="FFFFFF"/>
          </w:tcPr>
          <w:p w14:paraId="2718405D" w14:textId="77777777" w:rsidR="00B0004A" w:rsidRPr="00261B7A" w:rsidRDefault="00B0004A" w:rsidP="003A763F">
            <w:pPr>
              <w:pStyle w:val="TableText"/>
              <w:jc w:val="right"/>
              <w:rPr>
                <w:b/>
                <w:bCs/>
              </w:rPr>
            </w:pPr>
            <w:r w:rsidRPr="00261B7A">
              <w:rPr>
                <w:rFonts w:eastAsia="Calibri"/>
                <w:b/>
                <w:bCs/>
                <w:color w:val="1B556B"/>
              </w:rPr>
              <w:t>64,720.1</w:t>
            </w:r>
          </w:p>
        </w:tc>
        <w:tc>
          <w:tcPr>
            <w:tcW w:w="1418" w:type="dxa"/>
            <w:shd w:val="clear" w:color="auto" w:fill="FFFFFF"/>
          </w:tcPr>
          <w:p w14:paraId="6869F804" w14:textId="77777777" w:rsidR="00B0004A" w:rsidRPr="00261B7A" w:rsidRDefault="00B0004A" w:rsidP="003A763F">
            <w:pPr>
              <w:pStyle w:val="TableText"/>
              <w:jc w:val="right"/>
              <w:rPr>
                <w:b/>
                <w:bCs/>
              </w:rPr>
            </w:pPr>
            <w:r w:rsidRPr="00261B7A">
              <w:rPr>
                <w:rFonts w:eastAsia="Calibri"/>
                <w:b/>
                <w:bCs/>
                <w:color w:val="1B556B"/>
              </w:rPr>
              <w:t>76,824.6</w:t>
            </w:r>
          </w:p>
        </w:tc>
        <w:tc>
          <w:tcPr>
            <w:tcW w:w="2835" w:type="dxa"/>
            <w:shd w:val="clear" w:color="auto" w:fill="FFFFFF"/>
          </w:tcPr>
          <w:p w14:paraId="445C8F30" w14:textId="77777777" w:rsidR="00B0004A" w:rsidRPr="00261B7A" w:rsidRDefault="00B0004A" w:rsidP="003A763F">
            <w:pPr>
              <w:pStyle w:val="TableText"/>
              <w:jc w:val="right"/>
              <w:rPr>
                <w:b/>
                <w:bCs/>
              </w:rPr>
            </w:pPr>
            <w:r w:rsidRPr="00261B7A">
              <w:rPr>
                <w:rFonts w:eastAsia="Calibri"/>
                <w:b/>
                <w:bCs/>
                <w:color w:val="1B556B"/>
              </w:rPr>
              <w:t>12,104.5</w:t>
            </w:r>
          </w:p>
        </w:tc>
        <w:tc>
          <w:tcPr>
            <w:tcW w:w="1831" w:type="dxa"/>
            <w:shd w:val="clear" w:color="auto" w:fill="FFFFFF"/>
          </w:tcPr>
          <w:p w14:paraId="2DEE0732" w14:textId="77777777" w:rsidR="00B0004A" w:rsidRPr="00261B7A" w:rsidRDefault="00B0004A" w:rsidP="003A763F">
            <w:pPr>
              <w:pStyle w:val="TableText"/>
              <w:jc w:val="right"/>
              <w:rPr>
                <w:b/>
                <w:bCs/>
              </w:rPr>
            </w:pPr>
            <w:r w:rsidRPr="00261B7A">
              <w:rPr>
                <w:rFonts w:eastAsia="Calibri"/>
                <w:b/>
                <w:bCs/>
                <w:color w:val="1B556B"/>
              </w:rPr>
              <w:t>18.7</w:t>
            </w:r>
          </w:p>
        </w:tc>
      </w:tr>
      <w:tr w:rsidR="00B0004A" w:rsidRPr="00261B7A" w14:paraId="7A03A447" w14:textId="77777777" w:rsidTr="003A763F">
        <w:tc>
          <w:tcPr>
            <w:tcW w:w="1134" w:type="dxa"/>
            <w:shd w:val="clear" w:color="auto" w:fill="FFFFFF"/>
          </w:tcPr>
          <w:p w14:paraId="771FD69B" w14:textId="77777777" w:rsidR="00B0004A" w:rsidRPr="00261B7A" w:rsidRDefault="00B0004A" w:rsidP="003A763F">
            <w:pPr>
              <w:pStyle w:val="TableText"/>
            </w:pPr>
            <w:r w:rsidRPr="00261B7A">
              <w:rPr>
                <w:rFonts w:eastAsia="Calibri"/>
                <w:color w:val="000000"/>
              </w:rPr>
              <w:t>LULUCF</w:t>
            </w:r>
          </w:p>
        </w:tc>
        <w:tc>
          <w:tcPr>
            <w:tcW w:w="1276" w:type="dxa"/>
            <w:shd w:val="clear" w:color="auto" w:fill="FFFFFF"/>
          </w:tcPr>
          <w:p w14:paraId="1B78F31E" w14:textId="77777777" w:rsidR="00B0004A" w:rsidRPr="00261B7A" w:rsidRDefault="00B0004A" w:rsidP="003A763F">
            <w:pPr>
              <w:pStyle w:val="TableText"/>
              <w:jc w:val="right"/>
            </w:pPr>
            <w:r w:rsidRPr="00261B7A">
              <w:rPr>
                <w:rFonts w:eastAsia="Calibri"/>
                <w:color w:val="000000"/>
              </w:rPr>
              <w:t>–20,171.2</w:t>
            </w:r>
          </w:p>
        </w:tc>
        <w:tc>
          <w:tcPr>
            <w:tcW w:w="1418" w:type="dxa"/>
            <w:shd w:val="clear" w:color="auto" w:fill="FFFFFF"/>
          </w:tcPr>
          <w:p w14:paraId="0A1394A7" w14:textId="77777777" w:rsidR="00B0004A" w:rsidRPr="00261B7A" w:rsidRDefault="00B0004A" w:rsidP="003A763F">
            <w:pPr>
              <w:pStyle w:val="TableText"/>
              <w:jc w:val="right"/>
            </w:pPr>
            <w:r w:rsidRPr="00261B7A">
              <w:rPr>
                <w:rFonts w:eastAsia="Calibri"/>
                <w:color w:val="000000"/>
              </w:rPr>
              <w:t>–21,078.2</w:t>
            </w:r>
          </w:p>
        </w:tc>
        <w:tc>
          <w:tcPr>
            <w:tcW w:w="2835" w:type="dxa"/>
            <w:shd w:val="clear" w:color="auto" w:fill="FFFFFF"/>
          </w:tcPr>
          <w:p w14:paraId="2C3A7A79" w14:textId="77777777" w:rsidR="00B0004A" w:rsidRPr="00261B7A" w:rsidRDefault="00B0004A" w:rsidP="003A763F">
            <w:pPr>
              <w:pStyle w:val="TableText"/>
              <w:jc w:val="right"/>
            </w:pPr>
            <w:r w:rsidRPr="00261B7A">
              <w:rPr>
                <w:rFonts w:eastAsia="Calibri"/>
                <w:color w:val="000000"/>
              </w:rPr>
              <w:t>–906.9</w:t>
            </w:r>
          </w:p>
        </w:tc>
        <w:tc>
          <w:tcPr>
            <w:tcW w:w="1831" w:type="dxa"/>
            <w:shd w:val="clear" w:color="auto" w:fill="FFFFFF"/>
          </w:tcPr>
          <w:p w14:paraId="5A794973" w14:textId="77777777" w:rsidR="00B0004A" w:rsidRPr="00261B7A" w:rsidRDefault="00B0004A" w:rsidP="003A763F">
            <w:pPr>
              <w:pStyle w:val="TableText"/>
              <w:jc w:val="right"/>
            </w:pPr>
            <w:r w:rsidRPr="00261B7A">
              <w:rPr>
                <w:rFonts w:eastAsia="Calibri"/>
                <w:color w:val="000000"/>
              </w:rPr>
              <w:t>–4.5</w:t>
            </w:r>
          </w:p>
        </w:tc>
      </w:tr>
      <w:tr w:rsidR="00B0004A" w:rsidRPr="00261B7A" w14:paraId="4F457D2C" w14:textId="77777777" w:rsidTr="003A763F">
        <w:tc>
          <w:tcPr>
            <w:tcW w:w="1134" w:type="dxa"/>
            <w:shd w:val="clear" w:color="auto" w:fill="FFFFFF"/>
          </w:tcPr>
          <w:p w14:paraId="78C24062" w14:textId="77777777" w:rsidR="00B0004A" w:rsidRPr="00261B7A" w:rsidRDefault="00B0004A" w:rsidP="003A763F">
            <w:pPr>
              <w:pStyle w:val="TableText"/>
              <w:rPr>
                <w:b/>
                <w:bCs/>
              </w:rPr>
            </w:pPr>
            <w:r w:rsidRPr="00261B7A">
              <w:rPr>
                <w:rFonts w:eastAsia="Calibri"/>
                <w:b/>
                <w:bCs/>
                <w:color w:val="1B556B"/>
              </w:rPr>
              <w:t>Net</w:t>
            </w:r>
          </w:p>
        </w:tc>
        <w:tc>
          <w:tcPr>
            <w:tcW w:w="1276" w:type="dxa"/>
            <w:shd w:val="clear" w:color="auto" w:fill="FFFFFF"/>
          </w:tcPr>
          <w:p w14:paraId="4F2CF4E6" w14:textId="77777777" w:rsidR="00B0004A" w:rsidRPr="00261B7A" w:rsidRDefault="00B0004A" w:rsidP="003A763F">
            <w:pPr>
              <w:pStyle w:val="TableText"/>
              <w:jc w:val="right"/>
              <w:rPr>
                <w:b/>
                <w:bCs/>
              </w:rPr>
            </w:pPr>
            <w:r w:rsidRPr="00261B7A">
              <w:rPr>
                <w:rFonts w:eastAsia="Calibri"/>
                <w:b/>
                <w:bCs/>
                <w:color w:val="1B556B"/>
              </w:rPr>
              <w:t>44,548.8</w:t>
            </w:r>
          </w:p>
        </w:tc>
        <w:tc>
          <w:tcPr>
            <w:tcW w:w="1418" w:type="dxa"/>
            <w:shd w:val="clear" w:color="auto" w:fill="FFFFFF"/>
          </w:tcPr>
          <w:p w14:paraId="0ABBFACB" w14:textId="77777777" w:rsidR="00B0004A" w:rsidRPr="00261B7A" w:rsidRDefault="00B0004A" w:rsidP="003A763F">
            <w:pPr>
              <w:pStyle w:val="TableText"/>
              <w:jc w:val="right"/>
              <w:rPr>
                <w:b/>
                <w:bCs/>
              </w:rPr>
            </w:pPr>
            <w:r w:rsidRPr="00261B7A">
              <w:rPr>
                <w:rFonts w:eastAsia="Calibri"/>
                <w:b/>
                <w:bCs/>
                <w:color w:val="1B556B"/>
              </w:rPr>
              <w:t>55,746.4</w:t>
            </w:r>
          </w:p>
        </w:tc>
        <w:tc>
          <w:tcPr>
            <w:tcW w:w="2835" w:type="dxa"/>
            <w:shd w:val="clear" w:color="auto" w:fill="FFFFFF"/>
          </w:tcPr>
          <w:p w14:paraId="6890EC0D" w14:textId="77777777" w:rsidR="00B0004A" w:rsidRPr="00261B7A" w:rsidRDefault="00B0004A" w:rsidP="003A763F">
            <w:pPr>
              <w:pStyle w:val="TableText"/>
              <w:jc w:val="right"/>
              <w:rPr>
                <w:b/>
                <w:bCs/>
              </w:rPr>
            </w:pPr>
            <w:r w:rsidRPr="00261B7A">
              <w:rPr>
                <w:rFonts w:eastAsia="Calibri"/>
                <w:b/>
                <w:bCs/>
                <w:color w:val="1B556B"/>
              </w:rPr>
              <w:t>11,197.6</w:t>
            </w:r>
          </w:p>
        </w:tc>
        <w:tc>
          <w:tcPr>
            <w:tcW w:w="1831" w:type="dxa"/>
            <w:shd w:val="clear" w:color="auto" w:fill="FFFFFF"/>
          </w:tcPr>
          <w:p w14:paraId="1ABC924E" w14:textId="77777777" w:rsidR="00B0004A" w:rsidRPr="00261B7A" w:rsidRDefault="00B0004A" w:rsidP="003A763F">
            <w:pPr>
              <w:pStyle w:val="TableText"/>
              <w:jc w:val="right"/>
              <w:rPr>
                <w:b/>
                <w:bCs/>
              </w:rPr>
            </w:pPr>
            <w:r w:rsidRPr="00261B7A">
              <w:rPr>
                <w:rFonts w:eastAsia="Calibri"/>
                <w:b/>
                <w:bCs/>
                <w:color w:val="1B556B"/>
              </w:rPr>
              <w:t>25.1</w:t>
            </w:r>
          </w:p>
        </w:tc>
      </w:tr>
    </w:tbl>
    <w:p w14:paraId="37DFDBB9" w14:textId="77777777" w:rsidR="00B0004A" w:rsidRPr="00261B7A" w:rsidRDefault="00B0004A" w:rsidP="00B0004A">
      <w:pPr>
        <w:pStyle w:val="Noteundertable"/>
      </w:pPr>
      <w:r w:rsidRPr="00261B7A">
        <w:rPr>
          <w:b/>
          <w:bCs/>
        </w:rPr>
        <w:t>Note:</w:t>
      </w:r>
      <w:r w:rsidRPr="00261B7A">
        <w:t xml:space="preserve"> </w:t>
      </w:r>
      <w:r w:rsidRPr="00261B7A">
        <w:tab/>
        <w:t>Net emissions from the LULUCF sector are as reported under the Convention (chapter 6). Columns may not sum due to rounding. Percentages presented are calculated from unrounded values.</w:t>
      </w:r>
    </w:p>
    <w:p w14:paraId="21FD20C6" w14:textId="77777777" w:rsidR="00B0004A" w:rsidRPr="00261B7A" w:rsidRDefault="00B0004A" w:rsidP="00B0004A">
      <w:pPr>
        <w:pStyle w:val="BodyText"/>
      </w:pPr>
      <w:bookmarkStart w:id="154" w:name="_Toc129861459"/>
      <w:r w:rsidRPr="00261B7A">
        <w:t>Figure 2.2.4 presents the emissions estimates by sector, and the change between 1990 and 2021 in kt CO</w:t>
      </w:r>
      <w:r w:rsidRPr="00261B7A">
        <w:rPr>
          <w:vertAlign w:val="subscript"/>
        </w:rPr>
        <w:t>2</w:t>
      </w:r>
      <w:r w:rsidRPr="00261B7A">
        <w:t xml:space="preserve"> equivalents.</w:t>
      </w:r>
    </w:p>
    <w:p w14:paraId="06DF1A3C" w14:textId="77777777" w:rsidR="00B0004A" w:rsidRPr="00261B7A" w:rsidRDefault="00B0004A" w:rsidP="00B0004A">
      <w:pPr>
        <w:pStyle w:val="Figure"/>
      </w:pPr>
      <w:bookmarkStart w:id="155" w:name="_Toc131591526"/>
      <w:r w:rsidRPr="00261B7A">
        <w:lastRenderedPageBreak/>
        <w:t xml:space="preserve">Figure 2.2.4 </w:t>
      </w:r>
      <w:r w:rsidRPr="00261B7A">
        <w:tab/>
        <w:t xml:space="preserve">Change in New Zealand’s emissions by sector comparing </w:t>
      </w:r>
      <w:r w:rsidRPr="00261B7A">
        <w:rPr>
          <w:bCs/>
        </w:rPr>
        <w:t>1990</w:t>
      </w:r>
      <w:r w:rsidRPr="00261B7A">
        <w:t xml:space="preserve"> and </w:t>
      </w:r>
      <w:r w:rsidRPr="00261B7A">
        <w:rPr>
          <w:bCs/>
        </w:rPr>
        <w:t>2021</w:t>
      </w:r>
      <w:bookmarkEnd w:id="154"/>
      <w:bookmarkEnd w:id="155"/>
    </w:p>
    <w:p w14:paraId="37FE1C28" w14:textId="77777777" w:rsidR="00B0004A" w:rsidRPr="00261B7A" w:rsidRDefault="00B0004A" w:rsidP="00B0004A">
      <w:pPr>
        <w:pStyle w:val="BodyText"/>
      </w:pPr>
      <w:r w:rsidRPr="00261B7A">
        <w:rPr>
          <w:noProof/>
        </w:rPr>
        <w:drawing>
          <wp:inline distT="0" distB="0" distL="0" distR="0" wp14:anchorId="0CB85DE2" wp14:editId="17F6563C">
            <wp:extent cx="5397500" cy="4048125"/>
            <wp:effectExtent l="0" t="0" r="0" b="0"/>
            <wp:docPr id="47" name="Picture 47"/>
            <wp:cNvGraphicFramePr/>
            <a:graphic xmlns:a="http://schemas.openxmlformats.org/drawingml/2006/main">
              <a:graphicData uri="http://schemas.openxmlformats.org/drawingml/2006/picture">
                <pic:pic xmlns:pic="http://schemas.openxmlformats.org/drawingml/2006/picture">
                  <pic:nvPicPr>
                    <pic:cNvPr id="48" name="Picture" descr="code/graphs/images/es_4_3_crf.png"/>
                    <pic:cNvPicPr>
                      <a:picLocks noChangeAspect="1" noChangeArrowheads="1"/>
                    </pic:cNvPicPr>
                  </pic:nvPicPr>
                  <pic:blipFill>
                    <a:blip r:embed="rId31"/>
                    <a:stretch>
                      <a:fillRect/>
                    </a:stretch>
                  </pic:blipFill>
                  <pic:spPr bwMode="auto">
                    <a:xfrm>
                      <a:off x="0" y="0"/>
                      <a:ext cx="5397500" cy="4048125"/>
                    </a:xfrm>
                    <a:prstGeom prst="rect">
                      <a:avLst/>
                    </a:prstGeom>
                    <a:noFill/>
                    <a:ln w="9525">
                      <a:noFill/>
                      <a:headEnd/>
                      <a:tailEnd/>
                    </a:ln>
                  </pic:spPr>
                </pic:pic>
              </a:graphicData>
            </a:graphic>
          </wp:inline>
        </w:drawing>
      </w:r>
    </w:p>
    <w:p w14:paraId="2A8AF264" w14:textId="77777777" w:rsidR="00B0004A" w:rsidRPr="00261B7A" w:rsidRDefault="00B0004A" w:rsidP="00B0004A">
      <w:pPr>
        <w:pStyle w:val="BodyText"/>
      </w:pPr>
      <w:r w:rsidRPr="00261B7A">
        <w:t>Figure 2.2.5 presents the absolute change in gross emissions for each sector (LULUCF is excluded from the estimate of gross emissions) and the change between 1990 and 2021 estimates is provided for each sector in kt CO</w:t>
      </w:r>
      <w:r w:rsidRPr="00261B7A">
        <w:rPr>
          <w:vertAlign w:val="subscript"/>
        </w:rPr>
        <w:t>2</w:t>
      </w:r>
      <w:r w:rsidRPr="00261B7A">
        <w:t xml:space="preserve"> equivalents.</w:t>
      </w:r>
    </w:p>
    <w:p w14:paraId="2F81A139" w14:textId="77777777" w:rsidR="00B0004A" w:rsidRPr="00261B7A" w:rsidRDefault="00B0004A" w:rsidP="00B0004A">
      <w:pPr>
        <w:pStyle w:val="BodyText"/>
      </w:pPr>
      <w:r w:rsidRPr="00261B7A">
        <w:t>The figure shows that the absolute changes in New Zealand’s gross emissions were mostly influenced by changes in the Agriculture and Energy sectors. This is to be expected because they are the largest sectors of the New Zealand economy and show higher sensitivity to both changes in global economic conditions, extreme weather conditions and natural disasters.</w:t>
      </w:r>
    </w:p>
    <w:p w14:paraId="1B12D8B5" w14:textId="77777777" w:rsidR="00B0004A" w:rsidRPr="00261B7A" w:rsidRDefault="00B0004A" w:rsidP="00B0004A">
      <w:pPr>
        <w:pStyle w:val="BodyText"/>
      </w:pPr>
      <w:r w:rsidRPr="00261B7A">
        <w:t>For example, during droughts, the level of inflow to hydro lakes is low resulting in lower levels of hydro electricity production. Consequently, electricity produced from fossil fuels makes a higher contribution to the national electricity grid resulting in increased emissions from the Energy sector.</w:t>
      </w:r>
    </w:p>
    <w:p w14:paraId="3D1058CB" w14:textId="77777777" w:rsidR="00B0004A" w:rsidRPr="00261B7A" w:rsidRDefault="00B0004A" w:rsidP="00B0004A">
      <w:pPr>
        <w:pStyle w:val="BodyText"/>
      </w:pPr>
      <w:r w:rsidRPr="00261B7A">
        <w:t>Droughts also affect the size of the livestock population and livestock productivity, which usually results in reduced emissions from the Agriculture sector as the population and productivity declines.</w:t>
      </w:r>
    </w:p>
    <w:p w14:paraId="372B30B3" w14:textId="77777777" w:rsidR="00B0004A" w:rsidRPr="00261B7A" w:rsidRDefault="00B0004A" w:rsidP="00B0004A">
      <w:pPr>
        <w:pStyle w:val="BodyText"/>
      </w:pPr>
      <w:r w:rsidRPr="00261B7A">
        <w:t>Emissions from Tokelau have increased since 1990, mainly due to increases in CO</w:t>
      </w:r>
      <w:r w:rsidRPr="00261B7A">
        <w:rPr>
          <w:vertAlign w:val="subscript"/>
        </w:rPr>
        <w:t>2</w:t>
      </w:r>
      <w:r w:rsidRPr="00261B7A">
        <w:t xml:space="preserve"> emissions from the </w:t>
      </w:r>
      <w:r w:rsidRPr="00261B7A">
        <w:rPr>
          <w:i/>
          <w:iCs/>
        </w:rPr>
        <w:t>Domestic navigation</w:t>
      </w:r>
      <w:r w:rsidRPr="00261B7A">
        <w:t xml:space="preserve"> category (figure 2.2.5). Note that, because of the small size of the Tokelau sector, the change in emissions over time is unable to be seen.</w:t>
      </w:r>
    </w:p>
    <w:p w14:paraId="0EF80B69" w14:textId="77777777" w:rsidR="00B0004A" w:rsidRPr="00261B7A" w:rsidRDefault="00B0004A" w:rsidP="00B0004A">
      <w:pPr>
        <w:pStyle w:val="Figure"/>
      </w:pPr>
      <w:bookmarkStart w:id="156" w:name="_Toc129861460"/>
      <w:bookmarkStart w:id="157" w:name="_Toc131591527"/>
      <w:r w:rsidRPr="00261B7A">
        <w:lastRenderedPageBreak/>
        <w:t xml:space="preserve">Figure 2.2.5 </w:t>
      </w:r>
      <w:r w:rsidRPr="00261B7A">
        <w:tab/>
        <w:t xml:space="preserve">Absolute change in New Zealand’s gross emissions by sector from </w:t>
      </w:r>
      <w:r w:rsidRPr="00261B7A">
        <w:rPr>
          <w:bCs/>
        </w:rPr>
        <w:t>1990</w:t>
      </w:r>
      <w:r w:rsidRPr="00261B7A">
        <w:t xml:space="preserve"> to </w:t>
      </w:r>
      <w:r w:rsidRPr="00261B7A">
        <w:rPr>
          <w:bCs/>
        </w:rPr>
        <w:t>2021</w:t>
      </w:r>
      <w:bookmarkEnd w:id="156"/>
      <w:bookmarkEnd w:id="157"/>
    </w:p>
    <w:p w14:paraId="5CDA8074" w14:textId="77777777" w:rsidR="00B0004A" w:rsidRPr="00261B7A" w:rsidRDefault="00B0004A" w:rsidP="00B0004A">
      <w:pPr>
        <w:pStyle w:val="BodyText"/>
      </w:pPr>
      <w:r w:rsidRPr="00261B7A">
        <w:rPr>
          <w:noProof/>
        </w:rPr>
        <w:drawing>
          <wp:inline distT="0" distB="0" distL="0" distR="0" wp14:anchorId="6056F8F0" wp14:editId="0398F16C">
            <wp:extent cx="5397500" cy="3962400"/>
            <wp:effectExtent l="0" t="0" r="0" b="0"/>
            <wp:docPr id="50" name="Picture 50"/>
            <wp:cNvGraphicFramePr/>
            <a:graphic xmlns:a="http://schemas.openxmlformats.org/drawingml/2006/main">
              <a:graphicData uri="http://schemas.openxmlformats.org/drawingml/2006/picture">
                <pic:pic xmlns:pic="http://schemas.openxmlformats.org/drawingml/2006/picture">
                  <pic:nvPicPr>
                    <pic:cNvPr id="51" name="Picture" descr="code/graphs/images/fig_2_2_5_crf.png"/>
                    <pic:cNvPicPr>
                      <a:picLocks noChangeAspect="1" noChangeArrowheads="1"/>
                    </pic:cNvPicPr>
                  </pic:nvPicPr>
                  <pic:blipFill rotWithShape="1">
                    <a:blip r:embed="rId51"/>
                    <a:srcRect b="2118"/>
                    <a:stretch/>
                  </pic:blipFill>
                  <pic:spPr bwMode="auto">
                    <a:xfrm>
                      <a:off x="0" y="0"/>
                      <a:ext cx="5397500" cy="3962400"/>
                    </a:xfrm>
                    <a:prstGeom prst="rect">
                      <a:avLst/>
                    </a:prstGeom>
                    <a:noFill/>
                    <a:ln>
                      <a:noFill/>
                    </a:ln>
                    <a:extLst>
                      <a:ext uri="{53640926-AAD7-44D8-BBD7-CCE9431645EC}">
                        <a14:shadowObscured xmlns:a14="http://schemas.microsoft.com/office/drawing/2010/main"/>
                      </a:ext>
                    </a:extLst>
                  </pic:spPr>
                </pic:pic>
              </a:graphicData>
            </a:graphic>
          </wp:inline>
        </w:drawing>
      </w:r>
    </w:p>
    <w:p w14:paraId="457EBCA7" w14:textId="77777777" w:rsidR="00B0004A" w:rsidRPr="00261B7A" w:rsidRDefault="00B0004A" w:rsidP="00B0004A">
      <w:pPr>
        <w:pStyle w:val="Noteundertable"/>
      </w:pPr>
      <w:r w:rsidRPr="00261B7A">
        <w:rPr>
          <w:b/>
          <w:bCs/>
        </w:rPr>
        <w:t>Note:</w:t>
      </w:r>
      <w:r w:rsidRPr="00261B7A">
        <w:t xml:space="preserve"> </w:t>
      </w:r>
      <w:r w:rsidRPr="00261B7A">
        <w:tab/>
        <w:t>Gross emissions exclude emissions from LULUCF.</w:t>
      </w:r>
    </w:p>
    <w:p w14:paraId="2A183CB1" w14:textId="77777777" w:rsidR="00B0004A" w:rsidRPr="00261B7A" w:rsidRDefault="00B0004A" w:rsidP="00B0004A">
      <w:pPr>
        <w:pStyle w:val="BodyText"/>
      </w:pPr>
      <w:r w:rsidRPr="00261B7A">
        <w:t>Net removals from the LULUCF sector fluctuate significantly over the time series. The fluctuations in net removals from LULUCF (figure 2.2.6) are mainly influenced by harvesting, afforestation and deforestation rates (see the LULUCF sector section below).</w:t>
      </w:r>
    </w:p>
    <w:p w14:paraId="7EDD2CF6" w14:textId="77777777" w:rsidR="00B0004A" w:rsidRPr="00261B7A" w:rsidRDefault="00B0004A" w:rsidP="00B0004A">
      <w:pPr>
        <w:pStyle w:val="Figure"/>
      </w:pPr>
      <w:bookmarkStart w:id="158" w:name="_Toc129861461"/>
      <w:bookmarkStart w:id="159" w:name="_Toc131591528"/>
      <w:r w:rsidRPr="00261B7A">
        <w:lastRenderedPageBreak/>
        <w:t xml:space="preserve">Figure 2.2.6 </w:t>
      </w:r>
      <w:r w:rsidRPr="00261B7A">
        <w:tab/>
        <w:t xml:space="preserve">Absolute change in net emissions from the LULUCF sector from </w:t>
      </w:r>
      <w:r w:rsidRPr="00261B7A">
        <w:rPr>
          <w:bCs/>
        </w:rPr>
        <w:t>1990</w:t>
      </w:r>
      <w:r w:rsidRPr="00261B7A">
        <w:t xml:space="preserve"> to </w:t>
      </w:r>
      <w:r w:rsidRPr="00261B7A">
        <w:rPr>
          <w:bCs/>
        </w:rPr>
        <w:t>2021</w:t>
      </w:r>
      <w:bookmarkEnd w:id="158"/>
      <w:bookmarkEnd w:id="159"/>
    </w:p>
    <w:p w14:paraId="0612D155" w14:textId="77777777" w:rsidR="00B0004A" w:rsidRPr="00261B7A" w:rsidRDefault="00B0004A" w:rsidP="00B0004A">
      <w:pPr>
        <w:pStyle w:val="BodyText"/>
      </w:pPr>
      <w:r w:rsidRPr="00261B7A">
        <w:rPr>
          <w:noProof/>
        </w:rPr>
        <w:drawing>
          <wp:inline distT="0" distB="0" distL="0" distR="0" wp14:anchorId="1D7274BC" wp14:editId="3DEBB074">
            <wp:extent cx="5396400" cy="4050000"/>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descr="code/graphs/images/fig_2_2_6_crf.png"/>
                    <pic:cNvPicPr preferRelativeResize="0">
                      <a:picLocks noChangeAspect="1" noChangeArrowheads="1"/>
                    </pic:cNvPicPr>
                  </pic:nvPicPr>
                  <pic:blipFill>
                    <a:blip r:embed="rId52"/>
                    <a:stretch>
                      <a:fillRect/>
                    </a:stretch>
                  </pic:blipFill>
                  <pic:spPr bwMode="auto">
                    <a:xfrm>
                      <a:off x="0" y="0"/>
                      <a:ext cx="5396400" cy="4050000"/>
                    </a:xfrm>
                    <a:prstGeom prst="rect">
                      <a:avLst/>
                    </a:prstGeom>
                    <a:noFill/>
                    <a:ln w="9525">
                      <a:noFill/>
                      <a:headEnd/>
                      <a:tailEnd/>
                    </a:ln>
                  </pic:spPr>
                </pic:pic>
              </a:graphicData>
            </a:graphic>
          </wp:inline>
        </w:drawing>
      </w:r>
    </w:p>
    <w:p w14:paraId="1AF55604" w14:textId="77777777" w:rsidR="00B0004A" w:rsidRPr="00261B7A" w:rsidRDefault="00B0004A" w:rsidP="00B0004A">
      <w:pPr>
        <w:pStyle w:val="Heading4"/>
      </w:pPr>
      <w:bookmarkStart w:id="160" w:name="energy-sector"/>
      <w:r w:rsidRPr="00261B7A">
        <w:t>Energy sector</w:t>
      </w:r>
    </w:p>
    <w:p w14:paraId="50F18A67" w14:textId="77777777" w:rsidR="00B0004A" w:rsidRPr="00261B7A" w:rsidRDefault="00B0004A" w:rsidP="00B0004A">
      <w:pPr>
        <w:pStyle w:val="BodyText"/>
      </w:pPr>
      <w:r w:rsidRPr="00261B7A">
        <w:t>Emissions from the Energy sector are dominated by CO</w:t>
      </w:r>
      <w:r w:rsidRPr="00261B7A">
        <w:rPr>
          <w:vertAlign w:val="subscript"/>
        </w:rPr>
        <w:t>2</w:t>
      </w:r>
      <w:r w:rsidRPr="00261B7A">
        <w:t xml:space="preserve"> (97.5 per cent of all emissions from the sector on a CO</w:t>
      </w:r>
      <w:r w:rsidRPr="00261B7A">
        <w:rPr>
          <w:vertAlign w:val="subscript"/>
        </w:rPr>
        <w:t>2</w:t>
      </w:r>
      <w:r w:rsidRPr="00261B7A">
        <w:t>-e basis) and smaller amounts of CH</w:t>
      </w:r>
      <w:r w:rsidRPr="00261B7A">
        <w:rPr>
          <w:vertAlign w:val="subscript"/>
        </w:rPr>
        <w:t>4</w:t>
      </w:r>
      <w:r w:rsidRPr="00261B7A">
        <w:t xml:space="preserve"> and N</w:t>
      </w:r>
      <w:r w:rsidRPr="00261B7A">
        <w:rPr>
          <w:vertAlign w:val="subscript"/>
        </w:rPr>
        <w:t>2</w:t>
      </w:r>
      <w:r w:rsidRPr="00261B7A">
        <w:t xml:space="preserve">O (1.7 per cent and 0.8 per cent, respectively). The major source categories in the sector are </w:t>
      </w:r>
      <w:r w:rsidRPr="00261B7A">
        <w:rPr>
          <w:i/>
          <w:iCs/>
        </w:rPr>
        <w:t>Road transportation</w:t>
      </w:r>
      <w:r w:rsidRPr="00261B7A">
        <w:t xml:space="preserve"> and </w:t>
      </w:r>
      <w:r w:rsidRPr="00261B7A">
        <w:rPr>
          <w:i/>
          <w:iCs/>
        </w:rPr>
        <w:t>Public electricity and heat production</w:t>
      </w:r>
      <w:r w:rsidRPr="00261B7A">
        <w:t>.</w:t>
      </w:r>
    </w:p>
    <w:p w14:paraId="5D577F09" w14:textId="77777777" w:rsidR="00B0004A" w:rsidRPr="00261B7A" w:rsidRDefault="00B0004A" w:rsidP="00B0004A">
      <w:pPr>
        <w:pStyle w:val="BodyText"/>
      </w:pPr>
      <w:r w:rsidRPr="00261B7A">
        <w:t>Emissions in the Energy sector are influenced not only by demand but also climatic conditions. A large proportion of New Zealand’s stationary energy needs are met by renewables, mainly hydro power and wind. Electricity generated from renewable energy sources was 82 per cent in 2021.</w:t>
      </w:r>
    </w:p>
    <w:p w14:paraId="00B17283" w14:textId="77777777" w:rsidR="00B0004A" w:rsidRPr="00261B7A" w:rsidRDefault="00B0004A" w:rsidP="00B0004A">
      <w:pPr>
        <w:pStyle w:val="Heading5"/>
      </w:pPr>
      <w:r w:rsidRPr="00261B7A">
        <w:t>2021</w:t>
      </w:r>
    </w:p>
    <w:p w14:paraId="3282B0D5" w14:textId="77777777" w:rsidR="00B0004A" w:rsidRPr="00261B7A" w:rsidRDefault="00B0004A" w:rsidP="00B0004A">
      <w:pPr>
        <w:pStyle w:val="BodyText"/>
      </w:pPr>
      <w:r w:rsidRPr="00261B7A">
        <w:t>In 2021, emissions from the Energy sector contributed 40.6 per cent or 31,210.1 kt CO</w:t>
      </w:r>
      <w:r w:rsidRPr="00261B7A">
        <w:rPr>
          <w:vertAlign w:val="subscript"/>
        </w:rPr>
        <w:t>2</w:t>
      </w:r>
      <w:r w:rsidRPr="00261B7A">
        <w:t>-e of New Zealand’s gross GHG emissions (figure 2.2.1).</w:t>
      </w:r>
    </w:p>
    <w:p w14:paraId="5AC6996B" w14:textId="77777777" w:rsidR="00B0004A" w:rsidRPr="00261B7A" w:rsidRDefault="00B0004A" w:rsidP="00B0004A">
      <w:pPr>
        <w:pStyle w:val="BodyText"/>
      </w:pPr>
      <w:r w:rsidRPr="00261B7A">
        <w:t xml:space="preserve">The largest sources of emissions in the Energy sector were the </w:t>
      </w:r>
      <w:r w:rsidRPr="00261B7A">
        <w:rPr>
          <w:i/>
          <w:iCs/>
        </w:rPr>
        <w:t>Road transportation</w:t>
      </w:r>
      <w:r w:rsidRPr="00261B7A">
        <w:t xml:space="preserve"> category, contributing 40.5 per cent (12,654.9 kt CO</w:t>
      </w:r>
      <w:r w:rsidRPr="00261B7A">
        <w:rPr>
          <w:vertAlign w:val="subscript"/>
        </w:rPr>
        <w:t>2</w:t>
      </w:r>
      <w:r w:rsidRPr="00261B7A">
        <w:t xml:space="preserve">-e), and the </w:t>
      </w:r>
      <w:r w:rsidRPr="00261B7A">
        <w:rPr>
          <w:i/>
          <w:iCs/>
        </w:rPr>
        <w:t>Manufacturing industries and construction</w:t>
      </w:r>
      <w:r w:rsidRPr="00261B7A">
        <w:t xml:space="preserve"> category, contributing 20.2 per cent (6,302.0 kt CO</w:t>
      </w:r>
      <w:r w:rsidRPr="00261B7A">
        <w:rPr>
          <w:vertAlign w:val="subscript"/>
        </w:rPr>
        <w:t>2</w:t>
      </w:r>
      <w:r w:rsidRPr="00261B7A">
        <w:t>-e).</w:t>
      </w:r>
    </w:p>
    <w:p w14:paraId="0FF89280" w14:textId="77777777" w:rsidR="00B0004A" w:rsidRPr="00261B7A" w:rsidRDefault="00B0004A" w:rsidP="00B0004A">
      <w:pPr>
        <w:pStyle w:val="Heading5"/>
      </w:pPr>
      <w:bookmarkStart w:id="161" w:name="section-3"/>
      <w:r w:rsidRPr="00261B7A">
        <w:t>1990–2021</w:t>
      </w:r>
    </w:p>
    <w:p w14:paraId="4E18F498" w14:textId="77777777" w:rsidR="00B0004A" w:rsidRPr="00261B7A" w:rsidRDefault="00B0004A" w:rsidP="00B0004A">
      <w:pPr>
        <w:pStyle w:val="BodyText"/>
      </w:pPr>
      <w:r w:rsidRPr="00261B7A">
        <w:t>In 2021, emissions from the Energy sector were 31,210.1, an increase of 30.7 per cent (7,329.8 kt CO</w:t>
      </w:r>
      <w:r w:rsidRPr="00261B7A">
        <w:rPr>
          <w:vertAlign w:val="subscript"/>
        </w:rPr>
        <w:t>2</w:t>
      </w:r>
      <w:r w:rsidRPr="00261B7A">
        <w:t>-e) from the 1990 level of 23,880.3 kt CO</w:t>
      </w:r>
      <w:r w:rsidRPr="00261B7A">
        <w:rPr>
          <w:vertAlign w:val="subscript"/>
        </w:rPr>
        <w:t>2</w:t>
      </w:r>
      <w:r w:rsidRPr="00261B7A">
        <w:t>-e. This growth in emissions is primarily from increases in:</w:t>
      </w:r>
    </w:p>
    <w:p w14:paraId="2E6C389F" w14:textId="77777777" w:rsidR="00B0004A" w:rsidRPr="00261B7A" w:rsidRDefault="00B0004A" w:rsidP="00B0004A">
      <w:pPr>
        <w:pStyle w:val="Bullet"/>
      </w:pPr>
      <w:r w:rsidRPr="00261B7A">
        <w:rPr>
          <w:i/>
          <w:iCs/>
        </w:rPr>
        <w:t>Road transportation</w:t>
      </w:r>
      <w:r w:rsidRPr="00261B7A">
        <w:t>, which increased by 85.3 per cent (5,825.8 kt CO</w:t>
      </w:r>
      <w:r w:rsidRPr="00261B7A">
        <w:rPr>
          <w:vertAlign w:val="subscript"/>
        </w:rPr>
        <w:t>2</w:t>
      </w:r>
      <w:r w:rsidRPr="00261B7A">
        <w:t xml:space="preserve">-e) </w:t>
      </w:r>
    </w:p>
    <w:p w14:paraId="08C4F798" w14:textId="77777777" w:rsidR="00B0004A" w:rsidRPr="00261B7A" w:rsidRDefault="00B0004A" w:rsidP="00B0004A">
      <w:pPr>
        <w:pStyle w:val="Bullet"/>
      </w:pPr>
      <w:r w:rsidRPr="00261B7A">
        <w:rPr>
          <w:i/>
          <w:iCs/>
        </w:rPr>
        <w:t>Food processing, beverages and tobacco</w:t>
      </w:r>
      <w:r w:rsidRPr="00261B7A">
        <w:t>, which increased by 67.4 per cent (1,127.5 kt CO</w:t>
      </w:r>
      <w:r w:rsidRPr="00261B7A">
        <w:rPr>
          <w:vertAlign w:val="subscript"/>
        </w:rPr>
        <w:t>2</w:t>
      </w:r>
      <w:r w:rsidRPr="00261B7A">
        <w:noBreakHyphen/>
        <w:t>e)</w:t>
      </w:r>
    </w:p>
    <w:p w14:paraId="075B2ECE" w14:textId="77777777" w:rsidR="00B0004A" w:rsidRPr="00261B7A" w:rsidRDefault="00B0004A" w:rsidP="00B0004A">
      <w:pPr>
        <w:pStyle w:val="Bullet"/>
      </w:pPr>
      <w:r w:rsidRPr="00261B7A">
        <w:rPr>
          <w:i/>
          <w:iCs/>
        </w:rPr>
        <w:t>Public electricity and heat production</w:t>
      </w:r>
      <w:r w:rsidRPr="00261B7A">
        <w:t>, which increased by 26.5 per cent (926.5 kt CO</w:t>
      </w:r>
      <w:r w:rsidRPr="00261B7A">
        <w:rPr>
          <w:vertAlign w:val="subscript"/>
        </w:rPr>
        <w:t>2</w:t>
      </w:r>
      <w:r w:rsidRPr="00261B7A">
        <w:t>-e).</w:t>
      </w:r>
    </w:p>
    <w:p w14:paraId="501F4B3C" w14:textId="3C7BFE4B" w:rsidR="00B0004A" w:rsidRPr="00261B7A" w:rsidRDefault="00B0004A" w:rsidP="00B0004A">
      <w:pPr>
        <w:pStyle w:val="BodyText"/>
      </w:pPr>
      <w:r w:rsidRPr="00261B7A">
        <w:t xml:space="preserve">In 2021, emissions from the </w:t>
      </w:r>
      <w:r w:rsidRPr="00261B7A">
        <w:rPr>
          <w:i/>
          <w:iCs/>
        </w:rPr>
        <w:t>Manufacture of solid fuels and other energy industries</w:t>
      </w:r>
      <w:r w:rsidRPr="00261B7A">
        <w:t xml:space="preserve"> category</w:t>
      </w:r>
      <w:r w:rsidRPr="00261B7A">
        <w:br/>
        <w:t>– a historically significant contributor to New Zealand’s emissions – were lower than the 1990 level by 85.3 per cent (1,463.9 kt CO</w:t>
      </w:r>
      <w:r w:rsidRPr="00261B7A">
        <w:rPr>
          <w:vertAlign w:val="subscript"/>
        </w:rPr>
        <w:t>2</w:t>
      </w:r>
      <w:r w:rsidRPr="00261B7A">
        <w:t>-e). This decrease is primarily due to the cessation of synthetic gasoline production in 1997.</w:t>
      </w:r>
    </w:p>
    <w:p w14:paraId="5B9611B0" w14:textId="77777777" w:rsidR="00B0004A" w:rsidRPr="00261B7A" w:rsidRDefault="00B0004A" w:rsidP="00B0004A">
      <w:pPr>
        <w:pStyle w:val="BodyText"/>
      </w:pPr>
      <w:r w:rsidRPr="00261B7A">
        <w:t>Figure 2.2.7 shows the Energy sector emissions time series from 1990 to 2021. Emissions increased from 1990 to around 2005, before decreasing slightly and then remaining steady until the present day.</w:t>
      </w:r>
    </w:p>
    <w:p w14:paraId="2731856D" w14:textId="77777777" w:rsidR="00B0004A" w:rsidRPr="00261B7A" w:rsidRDefault="00B0004A" w:rsidP="00B0004A">
      <w:pPr>
        <w:pStyle w:val="Figure"/>
      </w:pPr>
      <w:bookmarkStart w:id="162" w:name="_Toc129861462"/>
      <w:bookmarkStart w:id="163" w:name="_Toc131591529"/>
      <w:r w:rsidRPr="00261B7A">
        <w:t xml:space="preserve">Figure 2.2.7 </w:t>
      </w:r>
      <w:r w:rsidRPr="00261B7A">
        <w:tab/>
        <w:t xml:space="preserve">New Zealand’s Energy sector emissions from </w:t>
      </w:r>
      <w:r w:rsidRPr="00261B7A">
        <w:rPr>
          <w:bCs/>
        </w:rPr>
        <w:t>1990</w:t>
      </w:r>
      <w:r w:rsidRPr="00261B7A">
        <w:t xml:space="preserve"> to </w:t>
      </w:r>
      <w:r w:rsidRPr="00261B7A">
        <w:rPr>
          <w:bCs/>
        </w:rPr>
        <w:t>2021</w:t>
      </w:r>
      <w:bookmarkEnd w:id="162"/>
      <w:bookmarkEnd w:id="163"/>
    </w:p>
    <w:p w14:paraId="31D85D12" w14:textId="77777777" w:rsidR="00B0004A" w:rsidRPr="00261B7A" w:rsidRDefault="00B0004A" w:rsidP="00B0004A">
      <w:pPr>
        <w:pStyle w:val="BodyText"/>
      </w:pPr>
      <w:r w:rsidRPr="00261B7A">
        <w:rPr>
          <w:noProof/>
        </w:rPr>
        <w:drawing>
          <wp:inline distT="0" distB="0" distL="0" distR="0" wp14:anchorId="345F5773" wp14:editId="48AA97BD">
            <wp:extent cx="5397500" cy="4048125"/>
            <wp:effectExtent l="0" t="0" r="0" b="0"/>
            <wp:docPr id="57" name="Picture 57"/>
            <wp:cNvGraphicFramePr/>
            <a:graphic xmlns:a="http://schemas.openxmlformats.org/drawingml/2006/main">
              <a:graphicData uri="http://schemas.openxmlformats.org/drawingml/2006/picture">
                <pic:pic xmlns:pic="http://schemas.openxmlformats.org/drawingml/2006/picture">
                  <pic:nvPicPr>
                    <pic:cNvPr id="58" name="Picture" descr="code/graphs/images/fig_2_2_7_crf.png"/>
                    <pic:cNvPicPr>
                      <a:picLocks noChangeAspect="1" noChangeArrowheads="1"/>
                    </pic:cNvPicPr>
                  </pic:nvPicPr>
                  <pic:blipFill>
                    <a:blip r:embed="rId53"/>
                    <a:stretch>
                      <a:fillRect/>
                    </a:stretch>
                  </pic:blipFill>
                  <pic:spPr bwMode="auto">
                    <a:xfrm>
                      <a:off x="0" y="0"/>
                      <a:ext cx="5397500" cy="4048125"/>
                    </a:xfrm>
                    <a:prstGeom prst="rect">
                      <a:avLst/>
                    </a:prstGeom>
                    <a:noFill/>
                    <a:ln w="9525">
                      <a:noFill/>
                      <a:headEnd/>
                      <a:tailEnd/>
                    </a:ln>
                  </pic:spPr>
                </pic:pic>
              </a:graphicData>
            </a:graphic>
          </wp:inline>
        </w:drawing>
      </w:r>
    </w:p>
    <w:p w14:paraId="54775766" w14:textId="77777777" w:rsidR="00B0004A" w:rsidRPr="00261B7A" w:rsidRDefault="00B0004A" w:rsidP="00B0004A">
      <w:pPr>
        <w:pStyle w:val="Heading5"/>
      </w:pPr>
      <w:bookmarkStart w:id="164" w:name="section-4"/>
      <w:bookmarkEnd w:id="161"/>
      <w:r w:rsidRPr="00261B7A">
        <w:t>2020–2021</w:t>
      </w:r>
    </w:p>
    <w:p w14:paraId="0160D86C" w14:textId="77777777" w:rsidR="00B0004A" w:rsidRPr="00261B7A" w:rsidRDefault="00B0004A" w:rsidP="00B0004A">
      <w:pPr>
        <w:pStyle w:val="BodyText"/>
      </w:pPr>
      <w:r w:rsidRPr="00261B7A">
        <w:t>Between 2020 and 2021, emissions from the Energy sector increased by 0.3 per cent (93.2 kt CO</w:t>
      </w:r>
      <w:r w:rsidRPr="00261B7A">
        <w:rPr>
          <w:vertAlign w:val="subscript"/>
        </w:rPr>
        <w:t>2</w:t>
      </w:r>
      <w:r w:rsidRPr="00261B7A">
        <w:t>-e). This is primarily due to the 5.0 per cent (606.2 kt CO</w:t>
      </w:r>
      <w:r w:rsidRPr="00261B7A">
        <w:rPr>
          <w:vertAlign w:val="subscript"/>
        </w:rPr>
        <w:t>2</w:t>
      </w:r>
      <w:r w:rsidRPr="00261B7A">
        <w:t xml:space="preserve">-e) increase in emissions from category 1.A.3.b </w:t>
      </w:r>
      <w:r w:rsidRPr="00261B7A">
        <w:rPr>
          <w:i/>
          <w:iCs/>
        </w:rPr>
        <w:t>Road transportation</w:t>
      </w:r>
      <w:r w:rsidRPr="00261B7A">
        <w:t>, followed by a 42.7 per cent (118.1 kt CO</w:t>
      </w:r>
      <w:r w:rsidRPr="00261B7A">
        <w:rPr>
          <w:vertAlign w:val="subscript"/>
        </w:rPr>
        <w:t>2</w:t>
      </w:r>
      <w:r w:rsidRPr="00261B7A">
        <w:t xml:space="preserve">-e) increase from category 1.A.2.f </w:t>
      </w:r>
      <w:r w:rsidRPr="00261B7A">
        <w:rPr>
          <w:i/>
          <w:iCs/>
        </w:rPr>
        <w:t>Non-metallic minerals</w:t>
      </w:r>
      <w:r w:rsidRPr="00261B7A">
        <w:t xml:space="preserve">. The increase was partially offset by category 1.A.2.c </w:t>
      </w:r>
      <w:r w:rsidRPr="00261B7A">
        <w:rPr>
          <w:i/>
          <w:iCs/>
        </w:rPr>
        <w:t>Chemicals</w:t>
      </w:r>
      <w:r w:rsidRPr="00261B7A">
        <w:t>, which decreased by 17.6 per cent (272.5 kt CO</w:t>
      </w:r>
      <w:r w:rsidRPr="00261B7A">
        <w:rPr>
          <w:vertAlign w:val="subscript"/>
        </w:rPr>
        <w:t>2</w:t>
      </w:r>
      <w:r w:rsidRPr="00261B7A">
        <w:t>-e). A 4.4 per cent (200.9 kt CO</w:t>
      </w:r>
      <w:r w:rsidRPr="00261B7A">
        <w:rPr>
          <w:vertAlign w:val="subscript"/>
        </w:rPr>
        <w:t>2</w:t>
      </w:r>
      <w:r w:rsidRPr="00261B7A">
        <w:t xml:space="preserve">-e) decrease also occurred in emissions from category 1.A.1.a </w:t>
      </w:r>
      <w:r w:rsidRPr="00261B7A">
        <w:rPr>
          <w:i/>
          <w:iCs/>
        </w:rPr>
        <w:t>Public electricity and heat production</w:t>
      </w:r>
      <w:r w:rsidRPr="00261B7A">
        <w:t>.</w:t>
      </w:r>
    </w:p>
    <w:p w14:paraId="7B5B5E14" w14:textId="6AF08768" w:rsidR="00B0004A" w:rsidRPr="00261B7A" w:rsidRDefault="00B0004A" w:rsidP="00B0004A">
      <w:pPr>
        <w:pStyle w:val="BodyText"/>
      </w:pPr>
      <w:r w:rsidRPr="00261B7A">
        <w:t>The 2020 calendar year saw disruption to economic activity in New Zealand, with the effects of the COVID-19 pandemic being felt by the Energy sector throughout the year. The sector saw a rebound during 2021, but consumption remained below pre-2020 levels. All of New Zealand moved to Alert Level 4</w:t>
      </w:r>
      <w:r w:rsidRPr="00261B7A">
        <w:rPr>
          <w:rStyle w:val="FootnoteReference"/>
        </w:rPr>
        <w:footnoteReference w:id="26"/>
      </w:r>
      <w:r w:rsidRPr="00261B7A">
        <w:t xml:space="preserve"> on 17 August 2021, with the northern regions of New Zealand, including Auckland, remaining under tighter restrictions on activities and movements for the</w:t>
      </w:r>
      <w:r w:rsidR="00410EC8" w:rsidRPr="00261B7A">
        <w:t> </w:t>
      </w:r>
      <w:r w:rsidRPr="00261B7A">
        <w:t>remainder of 2021.</w:t>
      </w:r>
    </w:p>
    <w:p w14:paraId="7B3523F8" w14:textId="77777777" w:rsidR="00B0004A" w:rsidRPr="00261B7A" w:rsidRDefault="00B0004A" w:rsidP="00B0004A">
      <w:pPr>
        <w:pStyle w:val="BodyText"/>
      </w:pPr>
      <w:r w:rsidRPr="00261B7A">
        <w:t xml:space="preserve">Restrictions on activities and movement, as part of the response to the COVID-19 pandemic, </w:t>
      </w:r>
      <w:r w:rsidRPr="00261B7A">
        <w:rPr>
          <w:spacing w:val="-2"/>
        </w:rPr>
        <w:t>also affected the commercial and industrial sectors. Industries that were deemed non-essential</w:t>
      </w:r>
      <w:r w:rsidRPr="00261B7A">
        <w:t xml:space="preserve"> faced restrictions on their operations, and continued disruptions to global supply chains affected business activity in New Zealand. The combination of COVID-19-related restrictions and global supply chain disruptions contributed significantly to decreases in business activity for the basic metals and the mining sectors in particular.</w:t>
      </w:r>
    </w:p>
    <w:p w14:paraId="40B1CC77" w14:textId="77777777" w:rsidR="00B0004A" w:rsidRPr="00261B7A" w:rsidRDefault="00B0004A" w:rsidP="00B0004A">
      <w:pPr>
        <w:pStyle w:val="Heading4"/>
      </w:pPr>
      <w:bookmarkStart w:id="165" w:name="ippu-sector"/>
      <w:bookmarkEnd w:id="160"/>
      <w:bookmarkEnd w:id="164"/>
      <w:r w:rsidRPr="00261B7A">
        <w:t>IPPU sector</w:t>
      </w:r>
    </w:p>
    <w:p w14:paraId="7FFDD64E" w14:textId="77777777" w:rsidR="00B0004A" w:rsidRPr="00261B7A" w:rsidRDefault="00B0004A" w:rsidP="00B0004A">
      <w:pPr>
        <w:pStyle w:val="BodyText"/>
      </w:pPr>
      <w:r w:rsidRPr="00261B7A">
        <w:t>The IPPU sector in New Zealand produces CO</w:t>
      </w:r>
      <w:r w:rsidRPr="00261B7A">
        <w:rPr>
          <w:vertAlign w:val="subscript"/>
        </w:rPr>
        <w:t>2</w:t>
      </w:r>
      <w:r w:rsidRPr="00261B7A">
        <w:t xml:space="preserve"> emissions (62.8 per cent), fluorinated gases (33.3 per cent) and smaller amounts of CH</w:t>
      </w:r>
      <w:r w:rsidRPr="00261B7A">
        <w:rPr>
          <w:vertAlign w:val="subscript"/>
        </w:rPr>
        <w:t>4</w:t>
      </w:r>
      <w:r w:rsidRPr="00261B7A">
        <w:t xml:space="preserve"> and N</w:t>
      </w:r>
      <w:r w:rsidRPr="00261B7A">
        <w:rPr>
          <w:vertAlign w:val="subscript"/>
        </w:rPr>
        <w:t>2</w:t>
      </w:r>
      <w:r w:rsidRPr="00261B7A">
        <w:t xml:space="preserve">O. The major categories in the IPPU sector are </w:t>
      </w:r>
      <w:r w:rsidRPr="00261B7A">
        <w:rPr>
          <w:i/>
          <w:iCs/>
        </w:rPr>
        <w:t>Iron and steel production</w:t>
      </w:r>
      <w:r w:rsidRPr="00261B7A">
        <w:t xml:space="preserve">, </w:t>
      </w:r>
      <w:r w:rsidRPr="00261B7A">
        <w:rPr>
          <w:i/>
          <w:iCs/>
        </w:rPr>
        <w:t>Refrigeration and air conditioning</w:t>
      </w:r>
      <w:r w:rsidRPr="00261B7A">
        <w:t xml:space="preserve">, </w:t>
      </w:r>
      <w:r w:rsidRPr="00261B7A">
        <w:rPr>
          <w:i/>
          <w:iCs/>
        </w:rPr>
        <w:t>Aluminium production</w:t>
      </w:r>
      <w:r w:rsidRPr="00261B7A">
        <w:t xml:space="preserve"> and </w:t>
      </w:r>
      <w:r w:rsidRPr="00261B7A">
        <w:rPr>
          <w:i/>
          <w:iCs/>
        </w:rPr>
        <w:t>Cement production</w:t>
      </w:r>
      <w:r w:rsidRPr="00261B7A">
        <w:t>. Coal and natural gas are also used on a significant scale for energy in the </w:t>
      </w:r>
      <w:r w:rsidRPr="00261B7A">
        <w:rPr>
          <w:i/>
          <w:iCs/>
        </w:rPr>
        <w:t>Mineral industry</w:t>
      </w:r>
      <w:r w:rsidRPr="00261B7A">
        <w:t xml:space="preserve">, </w:t>
      </w:r>
      <w:r w:rsidRPr="00261B7A">
        <w:rPr>
          <w:i/>
          <w:iCs/>
        </w:rPr>
        <w:t>Chemical industry</w:t>
      </w:r>
      <w:r w:rsidRPr="00261B7A">
        <w:t xml:space="preserve"> and </w:t>
      </w:r>
      <w:r w:rsidRPr="00261B7A">
        <w:rPr>
          <w:i/>
          <w:iCs/>
        </w:rPr>
        <w:t>Metal industry</w:t>
      </w:r>
      <w:r w:rsidRPr="00261B7A">
        <w:t xml:space="preserve"> categories. Carbon dioxide and any other emissions from combustion of fuels in these industries are reported under the Energy sector.</w:t>
      </w:r>
    </w:p>
    <w:p w14:paraId="48136FD0" w14:textId="77777777" w:rsidR="00B0004A" w:rsidRPr="00261B7A" w:rsidRDefault="00B0004A" w:rsidP="00B0004A">
      <w:pPr>
        <w:pStyle w:val="Heading5"/>
      </w:pPr>
      <w:bookmarkStart w:id="166" w:name="section-5"/>
      <w:r w:rsidRPr="00261B7A">
        <w:t>2021</w:t>
      </w:r>
    </w:p>
    <w:p w14:paraId="2CB5539C" w14:textId="45AE0A2D" w:rsidR="00B0004A" w:rsidRPr="00261B7A" w:rsidRDefault="00F35D76" w:rsidP="00B0004A">
      <w:pPr>
        <w:pStyle w:val="BodyText"/>
      </w:pPr>
      <w:r w:rsidRPr="00261B7A">
        <w:t>E</w:t>
      </w:r>
      <w:r w:rsidR="00B0004A" w:rsidRPr="00261B7A">
        <w:t>missions in the IPPU sector contributed 6.0 per cent (4,609.6 kt CO</w:t>
      </w:r>
      <w:r w:rsidR="00B0004A" w:rsidRPr="00261B7A">
        <w:rPr>
          <w:vertAlign w:val="subscript"/>
        </w:rPr>
        <w:t>2</w:t>
      </w:r>
      <w:r w:rsidR="00B0004A" w:rsidRPr="00261B7A">
        <w:t>-e) of New Zealand’s gross GHG emissions.</w:t>
      </w:r>
    </w:p>
    <w:p w14:paraId="4355415E" w14:textId="77777777" w:rsidR="00B0004A" w:rsidRPr="00261B7A" w:rsidRDefault="00B0004A" w:rsidP="00B0004A">
      <w:pPr>
        <w:pStyle w:val="BodyText"/>
      </w:pPr>
      <w:r w:rsidRPr="00261B7A">
        <w:t xml:space="preserve">The largest category was the </w:t>
      </w:r>
      <w:r w:rsidRPr="00261B7A">
        <w:rPr>
          <w:i/>
          <w:iCs/>
        </w:rPr>
        <w:t>Metal industry</w:t>
      </w:r>
      <w:r w:rsidRPr="00261B7A">
        <w:t>, with substantial CO</w:t>
      </w:r>
      <w:r w:rsidRPr="00261B7A">
        <w:rPr>
          <w:vertAlign w:val="subscript"/>
        </w:rPr>
        <w:t>2</w:t>
      </w:r>
      <w:r w:rsidRPr="00261B7A">
        <w:t xml:space="preserve"> emissions from the </w:t>
      </w:r>
      <w:r w:rsidRPr="00261B7A">
        <w:rPr>
          <w:i/>
          <w:iCs/>
        </w:rPr>
        <w:t>Iron and steel production</w:t>
      </w:r>
      <w:r w:rsidRPr="00261B7A">
        <w:t xml:space="preserve"> and </w:t>
      </w:r>
      <w:r w:rsidRPr="00261B7A">
        <w:rPr>
          <w:i/>
          <w:iCs/>
        </w:rPr>
        <w:t>Aluminium production</w:t>
      </w:r>
      <w:r w:rsidRPr="00261B7A">
        <w:t xml:space="preserve"> categories, as well as PFCs from the </w:t>
      </w:r>
      <w:r w:rsidRPr="00261B7A">
        <w:rPr>
          <w:i/>
          <w:iCs/>
        </w:rPr>
        <w:t>Aluminium production</w:t>
      </w:r>
      <w:r w:rsidRPr="00261B7A">
        <w:t xml:space="preserve"> category in earlier years. The </w:t>
      </w:r>
      <w:r w:rsidRPr="00261B7A">
        <w:rPr>
          <w:i/>
          <w:iCs/>
        </w:rPr>
        <w:t>Mineral industry</w:t>
      </w:r>
      <w:r w:rsidRPr="00261B7A">
        <w:t xml:space="preserve"> and </w:t>
      </w:r>
      <w:r w:rsidRPr="00261B7A">
        <w:rPr>
          <w:i/>
          <w:iCs/>
        </w:rPr>
        <w:t>Chemical industry</w:t>
      </w:r>
      <w:r w:rsidRPr="00261B7A">
        <w:t xml:space="preserve"> categories also contribute significant CO</w:t>
      </w:r>
      <w:r w:rsidRPr="00261B7A">
        <w:rPr>
          <w:vertAlign w:val="subscript"/>
        </w:rPr>
        <w:t>2</w:t>
      </w:r>
      <w:r w:rsidRPr="00261B7A">
        <w:t xml:space="preserve"> emissions. Most of the non-CO</w:t>
      </w:r>
      <w:r w:rsidRPr="00261B7A">
        <w:rPr>
          <w:vertAlign w:val="subscript"/>
        </w:rPr>
        <w:t>2</w:t>
      </w:r>
      <w:r w:rsidRPr="00261B7A">
        <w:t xml:space="preserve"> emissions came from the </w:t>
      </w:r>
      <w:r w:rsidRPr="00261B7A">
        <w:rPr>
          <w:i/>
          <w:iCs/>
        </w:rPr>
        <w:t>Product uses as substitutes for ODS</w:t>
      </w:r>
      <w:r w:rsidRPr="00261B7A">
        <w:t xml:space="preserve"> category.</w:t>
      </w:r>
    </w:p>
    <w:p w14:paraId="38B987BE" w14:textId="77777777" w:rsidR="00B0004A" w:rsidRPr="00261B7A" w:rsidRDefault="00B0004A" w:rsidP="00B0004A">
      <w:pPr>
        <w:pStyle w:val="BodyText"/>
      </w:pPr>
      <w:r w:rsidRPr="00261B7A">
        <w:t>The IPPU sector also produces smaller amounts of CH</w:t>
      </w:r>
      <w:r w:rsidRPr="00261B7A">
        <w:rPr>
          <w:vertAlign w:val="subscript"/>
        </w:rPr>
        <w:t>4</w:t>
      </w:r>
      <w:r w:rsidRPr="00261B7A">
        <w:t xml:space="preserve"> from methanol production and N</w:t>
      </w:r>
      <w:r w:rsidRPr="00261B7A">
        <w:rPr>
          <w:vertAlign w:val="subscript"/>
        </w:rPr>
        <w:t>2</w:t>
      </w:r>
      <w:r w:rsidRPr="00261B7A">
        <w:t xml:space="preserve">O used for medical applications in the </w:t>
      </w:r>
      <w:r w:rsidRPr="00261B7A">
        <w:rPr>
          <w:i/>
          <w:iCs/>
        </w:rPr>
        <w:t>Other product manufacture and use</w:t>
      </w:r>
      <w:r w:rsidRPr="00261B7A">
        <w:t xml:space="preserve"> category.</w:t>
      </w:r>
    </w:p>
    <w:p w14:paraId="409960A3" w14:textId="77777777" w:rsidR="00B0004A" w:rsidRPr="00261B7A" w:rsidRDefault="00B0004A" w:rsidP="00B0004A">
      <w:pPr>
        <w:pStyle w:val="BodyText"/>
      </w:pPr>
      <w:r w:rsidRPr="00261B7A">
        <w:t xml:space="preserve">Coal and natural gas are also used on a significant scale for energy in these industries, and related emissions are reported under the Energy sector in the category </w:t>
      </w:r>
      <w:r w:rsidRPr="00261B7A">
        <w:rPr>
          <w:i/>
          <w:iCs/>
        </w:rPr>
        <w:t>Manufacturing industries and construction</w:t>
      </w:r>
      <w:r w:rsidRPr="00261B7A">
        <w:t>.</w:t>
      </w:r>
    </w:p>
    <w:p w14:paraId="571D142C" w14:textId="77777777" w:rsidR="00B0004A" w:rsidRPr="00261B7A" w:rsidRDefault="00B0004A" w:rsidP="00B0004A">
      <w:pPr>
        <w:pStyle w:val="Heading5"/>
      </w:pPr>
      <w:bookmarkStart w:id="167" w:name="section-6"/>
      <w:bookmarkEnd w:id="166"/>
      <w:r w:rsidRPr="00261B7A">
        <w:t>1990–2021</w:t>
      </w:r>
    </w:p>
    <w:p w14:paraId="119BB65A" w14:textId="77777777" w:rsidR="00B0004A" w:rsidRPr="00261B7A" w:rsidRDefault="00B0004A" w:rsidP="00B0004A">
      <w:pPr>
        <w:pStyle w:val="BodyText"/>
      </w:pPr>
      <w:r w:rsidRPr="00261B7A">
        <w:t>Emissions from the IPPU sector in 2021 were 4,609.6 kt CO</w:t>
      </w:r>
      <w:r w:rsidRPr="00261B7A">
        <w:rPr>
          <w:vertAlign w:val="subscript"/>
        </w:rPr>
        <w:t>2</w:t>
      </w:r>
      <w:r w:rsidRPr="00261B7A">
        <w:t>-e, 28.8 per cent (1,029.7 kt CO</w:t>
      </w:r>
      <w:r w:rsidRPr="00261B7A">
        <w:rPr>
          <w:vertAlign w:val="subscript"/>
        </w:rPr>
        <w:t>2</w:t>
      </w:r>
      <w:r w:rsidRPr="00261B7A">
        <w:t>-e) higher than emissions in 1990 (3,579.9 kt CO</w:t>
      </w:r>
      <w:r w:rsidRPr="00261B7A">
        <w:rPr>
          <w:vertAlign w:val="subscript"/>
        </w:rPr>
        <w:t>2</w:t>
      </w:r>
      <w:r w:rsidRPr="00261B7A">
        <w:t xml:space="preserve">-e). This increase was mainly driven by increasing emissions from the </w:t>
      </w:r>
      <w:r w:rsidRPr="00261B7A">
        <w:rPr>
          <w:i/>
          <w:iCs/>
        </w:rPr>
        <w:t>Product uses as substitutes for ODS</w:t>
      </w:r>
      <w:r w:rsidRPr="00261B7A">
        <w:t xml:space="preserve"> category, due to the introduction of HFCs to replace ODS in refrigeration and air conditioning and the increased use of household and commercial air conditioning.</w:t>
      </w:r>
    </w:p>
    <w:p w14:paraId="1DAF506C" w14:textId="77777777" w:rsidR="00B0004A" w:rsidRPr="00261B7A" w:rsidRDefault="00B0004A" w:rsidP="00B0004A">
      <w:pPr>
        <w:pStyle w:val="BodyText"/>
      </w:pPr>
      <w:r w:rsidRPr="00261B7A">
        <w:t xml:space="preserve">Carbon dioxide emissions also increased due to the growing production of metals, lime and cement, but these were at a slower rate. In 2020 and 2021 the increase was offset by reduced emissions due to COVID-19 restrictions and the progressive shutdown of the Marsden Point oil refinery. There has been a substantial reduction in emissions of PFCs due to improved management of anode effects in the </w:t>
      </w:r>
      <w:r w:rsidRPr="00261B7A">
        <w:rPr>
          <w:i/>
          <w:iCs/>
        </w:rPr>
        <w:t>Aluminium production category</w:t>
      </w:r>
      <w:r w:rsidRPr="00261B7A">
        <w:t xml:space="preserve"> and some reduction in emissions of N</w:t>
      </w:r>
      <w:r w:rsidRPr="00261B7A">
        <w:rPr>
          <w:vertAlign w:val="subscript"/>
        </w:rPr>
        <w:t>2</w:t>
      </w:r>
      <w:r w:rsidRPr="00261B7A">
        <w:t xml:space="preserve">O used for medical applications in the </w:t>
      </w:r>
      <w:r w:rsidRPr="00261B7A">
        <w:rPr>
          <w:i/>
          <w:iCs/>
        </w:rPr>
        <w:t>Other product manufacture and use</w:t>
      </w:r>
      <w:r w:rsidRPr="00261B7A">
        <w:t> category.</w:t>
      </w:r>
    </w:p>
    <w:p w14:paraId="69ACFBC6" w14:textId="77777777" w:rsidR="00B0004A" w:rsidRPr="00261B7A" w:rsidRDefault="00B0004A" w:rsidP="00B0004A">
      <w:pPr>
        <w:pStyle w:val="BodyText"/>
      </w:pPr>
      <w:r w:rsidRPr="00261B7A">
        <w:t>The trends for the IPPU sector are shown in figure 2.2.8.</w:t>
      </w:r>
    </w:p>
    <w:p w14:paraId="2C43D224" w14:textId="77777777" w:rsidR="00B0004A" w:rsidRPr="00261B7A" w:rsidRDefault="00B0004A" w:rsidP="00B0004A">
      <w:pPr>
        <w:pStyle w:val="Figure"/>
      </w:pPr>
      <w:bookmarkStart w:id="168" w:name="_Toc129861463"/>
      <w:bookmarkStart w:id="169" w:name="_Toc131591530"/>
      <w:r w:rsidRPr="00261B7A">
        <w:t xml:space="preserve">Figure 2.2.8 </w:t>
      </w:r>
      <w:r w:rsidRPr="00261B7A">
        <w:tab/>
        <w:t xml:space="preserve">New Zealand’s IPPU sector emissions from </w:t>
      </w:r>
      <w:r w:rsidRPr="00261B7A">
        <w:rPr>
          <w:bCs/>
        </w:rPr>
        <w:t>1990</w:t>
      </w:r>
      <w:r w:rsidRPr="00261B7A">
        <w:t xml:space="preserve"> to </w:t>
      </w:r>
      <w:r w:rsidRPr="00261B7A">
        <w:rPr>
          <w:bCs/>
        </w:rPr>
        <w:t>2021</w:t>
      </w:r>
      <w:bookmarkEnd w:id="168"/>
      <w:bookmarkEnd w:id="169"/>
    </w:p>
    <w:p w14:paraId="40E1888B" w14:textId="77777777" w:rsidR="00B0004A" w:rsidRPr="00261B7A" w:rsidRDefault="00B0004A" w:rsidP="00B0004A">
      <w:pPr>
        <w:pStyle w:val="BodyText"/>
      </w:pPr>
      <w:r w:rsidRPr="00261B7A">
        <w:rPr>
          <w:noProof/>
        </w:rPr>
        <w:drawing>
          <wp:inline distT="0" distB="0" distL="0" distR="0" wp14:anchorId="538C1A01" wp14:editId="40CE8B3B">
            <wp:extent cx="5397500" cy="4048125"/>
            <wp:effectExtent l="0" t="0" r="0" b="0"/>
            <wp:docPr id="65" name="Picture 65"/>
            <wp:cNvGraphicFramePr/>
            <a:graphic xmlns:a="http://schemas.openxmlformats.org/drawingml/2006/main">
              <a:graphicData uri="http://schemas.openxmlformats.org/drawingml/2006/picture">
                <pic:pic xmlns:pic="http://schemas.openxmlformats.org/drawingml/2006/picture">
                  <pic:nvPicPr>
                    <pic:cNvPr id="66" name="Picture" descr="code/graphs/images/fig_2_2_8_crf.png"/>
                    <pic:cNvPicPr>
                      <a:picLocks noChangeAspect="1" noChangeArrowheads="1"/>
                    </pic:cNvPicPr>
                  </pic:nvPicPr>
                  <pic:blipFill>
                    <a:blip r:embed="rId54"/>
                    <a:stretch>
                      <a:fillRect/>
                    </a:stretch>
                  </pic:blipFill>
                  <pic:spPr bwMode="auto">
                    <a:xfrm>
                      <a:off x="0" y="0"/>
                      <a:ext cx="5397500" cy="4048125"/>
                    </a:xfrm>
                    <a:prstGeom prst="rect">
                      <a:avLst/>
                    </a:prstGeom>
                    <a:noFill/>
                    <a:ln w="9525">
                      <a:noFill/>
                      <a:headEnd/>
                      <a:tailEnd/>
                    </a:ln>
                  </pic:spPr>
                </pic:pic>
              </a:graphicData>
            </a:graphic>
          </wp:inline>
        </w:drawing>
      </w:r>
    </w:p>
    <w:p w14:paraId="274011B1" w14:textId="77777777" w:rsidR="00B0004A" w:rsidRPr="00261B7A" w:rsidRDefault="00B0004A" w:rsidP="00B0004A">
      <w:pPr>
        <w:pStyle w:val="Heading5"/>
      </w:pPr>
      <w:bookmarkStart w:id="170" w:name="section-7"/>
      <w:bookmarkEnd w:id="167"/>
      <w:r w:rsidRPr="00261B7A">
        <w:t>2020–2021</w:t>
      </w:r>
    </w:p>
    <w:p w14:paraId="5FF37AEE" w14:textId="77777777" w:rsidR="00B0004A" w:rsidRPr="00261B7A" w:rsidRDefault="00B0004A" w:rsidP="00B0004A">
      <w:pPr>
        <w:pStyle w:val="BodyText"/>
      </w:pPr>
      <w:r w:rsidRPr="00261B7A">
        <w:t>Between 2020 and 2021, emissions from the IPPU sector increased by 0.6 per cent (26.7 kt CO</w:t>
      </w:r>
      <w:r w:rsidRPr="00261B7A">
        <w:rPr>
          <w:vertAlign w:val="subscript"/>
        </w:rPr>
        <w:t>2</w:t>
      </w:r>
      <w:r w:rsidRPr="00261B7A">
        <w:t>-e).</w:t>
      </w:r>
    </w:p>
    <w:p w14:paraId="1ABFEF2E" w14:textId="77777777" w:rsidR="00B0004A" w:rsidRPr="00261B7A" w:rsidRDefault="00B0004A" w:rsidP="00B0004A">
      <w:pPr>
        <w:pStyle w:val="BodyText"/>
      </w:pPr>
      <w:r w:rsidRPr="00261B7A">
        <w:t>This change was the result of a return to normal rates of production and emissions from the </w:t>
      </w:r>
      <w:r w:rsidRPr="00261B7A">
        <w:rPr>
          <w:i/>
          <w:iCs/>
        </w:rPr>
        <w:t>Metal industry</w:t>
      </w:r>
      <w:r w:rsidRPr="00261B7A">
        <w:t xml:space="preserve"> and other categories, following plant shutdowns related to COVID-19 restrictions in 2020. New Zealand had a national lockdown in force from 26 March to 27 May 2020. Emissions from the Marsden Point oil refinery, however, remained at lower levels as the company prepared to shut the plant down in March 2022.</w:t>
      </w:r>
    </w:p>
    <w:p w14:paraId="50476EB5" w14:textId="77777777" w:rsidR="00B0004A" w:rsidRPr="00261B7A" w:rsidRDefault="00B0004A" w:rsidP="00B0004A">
      <w:pPr>
        <w:pStyle w:val="Heading4"/>
      </w:pPr>
      <w:bookmarkStart w:id="171" w:name="agriculture-sector"/>
      <w:bookmarkEnd w:id="165"/>
      <w:bookmarkEnd w:id="170"/>
      <w:r w:rsidRPr="00261B7A">
        <w:t>Agriculture sector</w:t>
      </w:r>
    </w:p>
    <w:p w14:paraId="5F6EFC08" w14:textId="77777777" w:rsidR="00B0004A" w:rsidRPr="00261B7A" w:rsidRDefault="00B0004A" w:rsidP="00B0004A">
      <w:pPr>
        <w:pStyle w:val="BodyText"/>
      </w:pPr>
      <w:r w:rsidRPr="00261B7A">
        <w:t>The Agriculture sector in New Zealand produces three main GHGs, CH</w:t>
      </w:r>
      <w:r w:rsidRPr="00261B7A">
        <w:rPr>
          <w:vertAlign w:val="subscript"/>
        </w:rPr>
        <w:t>4</w:t>
      </w:r>
      <w:r w:rsidRPr="00261B7A">
        <w:t>, N</w:t>
      </w:r>
      <w:r w:rsidRPr="00261B7A">
        <w:rPr>
          <w:vertAlign w:val="subscript"/>
        </w:rPr>
        <w:t>2</w:t>
      </w:r>
      <w:r w:rsidRPr="00261B7A">
        <w:t>O and CO</w:t>
      </w:r>
      <w:r w:rsidRPr="00261B7A">
        <w:rPr>
          <w:vertAlign w:val="subscript"/>
        </w:rPr>
        <w:t>2</w:t>
      </w:r>
      <w:r w:rsidRPr="00261B7A">
        <w:t xml:space="preserve">, which comprise 77.9 per cent, 19.7 per cent and 2.4 per cent of all Agriculture sector emissions respectively. Trends in Agriculture sector emissions are largely driven by the populations of ruminant livestock (dairy cattle, non-dairy (beef) cattle, sheep and deer). The largest contributing categories in the Agriculture sector are </w:t>
      </w:r>
      <w:r w:rsidRPr="00261B7A">
        <w:rPr>
          <w:i/>
          <w:iCs/>
        </w:rPr>
        <w:t>Enteric fermentation</w:t>
      </w:r>
      <w:r w:rsidRPr="00261B7A">
        <w:t xml:space="preserve"> and </w:t>
      </w:r>
      <w:r w:rsidRPr="00261B7A">
        <w:rPr>
          <w:i/>
          <w:iCs/>
        </w:rPr>
        <w:t>Agricultural soils</w:t>
      </w:r>
      <w:r w:rsidRPr="00261B7A">
        <w:t>. Emissions from the Agriculture sector reflect the total livestock population, the types of livestock and farming systems, and levels of production. Several drivers affect the emission trends for both CH</w:t>
      </w:r>
      <w:r w:rsidRPr="00261B7A">
        <w:rPr>
          <w:vertAlign w:val="subscript"/>
        </w:rPr>
        <w:t>4</w:t>
      </w:r>
      <w:r w:rsidRPr="00261B7A">
        <w:t xml:space="preserve"> and N</w:t>
      </w:r>
      <w:r w:rsidRPr="00261B7A">
        <w:rPr>
          <w:vertAlign w:val="subscript"/>
        </w:rPr>
        <w:t>2</w:t>
      </w:r>
      <w:r w:rsidRPr="00261B7A">
        <w:t>O in the sector. These include:</w:t>
      </w:r>
    </w:p>
    <w:p w14:paraId="3FC7966C" w14:textId="77777777" w:rsidR="00B0004A" w:rsidRPr="00261B7A" w:rsidRDefault="00B0004A" w:rsidP="00B0004A">
      <w:pPr>
        <w:pStyle w:val="Bullet"/>
      </w:pPr>
      <w:r w:rsidRPr="00261B7A">
        <w:t>changes over time to the population of the main livestock types farmed in New Zealand. Since 1990, the dairy cattle population has increased, while sheep and non-dairy (beef) cattle populations have decreased as the profitability of dairy products has risen relative to sheep and beef products (see chapter 5, figure 5.1.3a and figure 5.1.3b)</w:t>
      </w:r>
    </w:p>
    <w:p w14:paraId="66E28D11" w14:textId="77777777" w:rsidR="00B0004A" w:rsidRPr="00261B7A" w:rsidRDefault="00B0004A" w:rsidP="00B0004A">
      <w:pPr>
        <w:pStyle w:val="Bullet"/>
      </w:pPr>
      <w:r w:rsidRPr="00261B7A">
        <w:t>increases in livestock productivity (for both milk and meat yield per head of livestock), which have been achieved by New Zealand farmers since 1990. This has resulted in increased feed intake per animal to meet higher energy demands of increased production. Increased feed intake results in increased CH</w:t>
      </w:r>
      <w:r w:rsidRPr="00261B7A">
        <w:rPr>
          <w:vertAlign w:val="subscript"/>
        </w:rPr>
        <w:t>4</w:t>
      </w:r>
      <w:r w:rsidRPr="00261B7A">
        <w:t xml:space="preserve"> (from increased enteric fermentation) and N</w:t>
      </w:r>
      <w:r w:rsidRPr="00261B7A">
        <w:rPr>
          <w:vertAlign w:val="subscript"/>
        </w:rPr>
        <w:t>2</w:t>
      </w:r>
      <w:r w:rsidRPr="00261B7A">
        <w:t>O emissions (from increased excreta deposited on pasture) per animal</w:t>
      </w:r>
    </w:p>
    <w:p w14:paraId="1C4AAB3B" w14:textId="77777777" w:rsidR="00B0004A" w:rsidRPr="00261B7A" w:rsidRDefault="00B0004A" w:rsidP="00B0004A">
      <w:pPr>
        <w:pStyle w:val="Bullet"/>
      </w:pPr>
      <w:r w:rsidRPr="00261B7A">
        <w:t>incidence of severe droughts, which have resulted in reduced livestock productivity and livestock populations, which in turn reduced livestock-related emissions. The Ministry for Primary Industries produces quarterly reports that summarise the effects of these events at a sector level and provide short-term forecasts</w:t>
      </w:r>
      <w:r w:rsidRPr="00261B7A">
        <w:rPr>
          <w:rStyle w:val="FootnoteReference"/>
        </w:rPr>
        <w:footnoteReference w:id="27"/>
      </w:r>
    </w:p>
    <w:p w14:paraId="7797B90B" w14:textId="77777777" w:rsidR="00B0004A" w:rsidRPr="00261B7A" w:rsidRDefault="00B0004A" w:rsidP="00B0004A">
      <w:pPr>
        <w:pStyle w:val="Bullet"/>
      </w:pPr>
      <w:r w:rsidRPr="00261B7A">
        <w:t>commodity price fluctuations that drive farmer investment decisions in livestock numbers and species as well as production inputs. The ‘Situation and Outlook for Primary Industries’ reports produced by the Ministry for Primary Industries summarise these decisions at a sector level and provides short-term forecasts</w:t>
      </w:r>
      <w:r w:rsidRPr="00261B7A">
        <w:rPr>
          <w:rStyle w:val="FootnoteReference"/>
        </w:rPr>
        <w:footnoteReference w:id="28"/>
      </w:r>
    </w:p>
    <w:p w14:paraId="12A2C732" w14:textId="77777777" w:rsidR="00B0004A" w:rsidRPr="00261B7A" w:rsidRDefault="00B0004A" w:rsidP="00B0004A">
      <w:pPr>
        <w:pStyle w:val="Bullet"/>
      </w:pPr>
      <w:r w:rsidRPr="00261B7A">
        <w:t>shifting land use across different types of livestock farming and other agricultural enterprises, including forestry. The Agriculture sector uses around 45 per cent of New Zealand’s land area, mostly for grazing of pastoral land. Between 1990 and 2021, the area used for sheep, beef and deer grazing has decreased by approximately 37 per cent (Beef + Lamb New Zealand Ltd, 2022), while the area used for dairy grazing has increased by 69.1 per cent (LIC and DairyNZ, 2021). The amount of synthetic nitrogen fertiliser applied to agricultural land has increased by 644 per cent since 1990.</w:t>
      </w:r>
    </w:p>
    <w:p w14:paraId="09C087BC" w14:textId="77777777" w:rsidR="00B0004A" w:rsidRPr="00261B7A" w:rsidRDefault="00B0004A" w:rsidP="00B0004A">
      <w:pPr>
        <w:pStyle w:val="Heading5"/>
      </w:pPr>
      <w:bookmarkStart w:id="172" w:name="section-8"/>
      <w:r w:rsidRPr="00261B7A">
        <w:t>2021</w:t>
      </w:r>
    </w:p>
    <w:p w14:paraId="3A23DE1C" w14:textId="5E23630B" w:rsidR="00B0004A" w:rsidRPr="00261B7A" w:rsidRDefault="00B74EF3" w:rsidP="00B0004A">
      <w:pPr>
        <w:pStyle w:val="BodyText"/>
      </w:pPr>
      <w:r>
        <w:t>E</w:t>
      </w:r>
      <w:r w:rsidR="00B0004A" w:rsidRPr="00261B7A">
        <w:t>missions from the Agriculture sector totalled 37,786.1 kt CO</w:t>
      </w:r>
      <w:r w:rsidR="00B0004A" w:rsidRPr="00261B7A">
        <w:rPr>
          <w:vertAlign w:val="subscript"/>
        </w:rPr>
        <w:t>2</w:t>
      </w:r>
      <w:r w:rsidR="00B0004A" w:rsidRPr="00261B7A">
        <w:t>-e, representing 49.2 per cent of New Zealand’s gross emissions in 2021.</w:t>
      </w:r>
    </w:p>
    <w:p w14:paraId="0D0CB576" w14:textId="35E0EA20" w:rsidR="00B0004A" w:rsidRPr="00261B7A" w:rsidRDefault="00B0004A" w:rsidP="00B0004A">
      <w:pPr>
        <w:pStyle w:val="BodyText"/>
      </w:pPr>
      <w:r w:rsidRPr="00261B7A">
        <w:rPr>
          <w:i/>
          <w:iCs/>
        </w:rPr>
        <w:t>Enteric fermentation</w:t>
      </w:r>
      <w:r w:rsidRPr="00261B7A">
        <w:t xml:space="preserve"> was the main source of Agriculture emissions, contributing 73.7 per cent (27,859.0 kt CO</w:t>
      </w:r>
      <w:r w:rsidRPr="00261B7A">
        <w:rPr>
          <w:vertAlign w:val="subscript"/>
        </w:rPr>
        <w:t>2</w:t>
      </w:r>
      <w:r w:rsidRPr="00261B7A">
        <w:t xml:space="preserve">-e) of the sector’s total. </w:t>
      </w:r>
      <w:r w:rsidRPr="00261B7A">
        <w:rPr>
          <w:i/>
          <w:iCs/>
        </w:rPr>
        <w:t>Agricultural soils</w:t>
      </w:r>
      <w:r w:rsidRPr="00261B7A">
        <w:t xml:space="preserve"> contributed 19.4 per cent (</w:t>
      </w:r>
      <w:r w:rsidRPr="00261B7A">
        <w:rPr>
          <w:rFonts w:cs="Calibri"/>
        </w:rPr>
        <w:t>7,315.2 kt CO</w:t>
      </w:r>
      <w:r w:rsidRPr="00261B7A">
        <w:rPr>
          <w:rFonts w:cs="Calibri"/>
          <w:vertAlign w:val="subscript"/>
        </w:rPr>
        <w:t>2</w:t>
      </w:r>
      <w:r w:rsidRPr="00261B7A">
        <w:rPr>
          <w:rFonts w:cs="Calibri"/>
        </w:rPr>
        <w:t>-e</w:t>
      </w:r>
      <w:r w:rsidRPr="00261B7A">
        <w:t xml:space="preserve">), followed by </w:t>
      </w:r>
      <w:r w:rsidRPr="00261B7A">
        <w:rPr>
          <w:i/>
          <w:iCs/>
        </w:rPr>
        <w:t>Manure management</w:t>
      </w:r>
      <w:r w:rsidRPr="00261B7A">
        <w:t xml:space="preserve"> at 4.4 per cent (</w:t>
      </w:r>
      <w:r w:rsidRPr="00261B7A">
        <w:rPr>
          <w:rFonts w:cs="Calibri"/>
          <w:color w:val="000000"/>
        </w:rPr>
        <w:t>680.5 kt CO</w:t>
      </w:r>
      <w:r w:rsidRPr="00261B7A">
        <w:rPr>
          <w:rFonts w:cs="Calibri"/>
          <w:color w:val="000000"/>
          <w:vertAlign w:val="subscript"/>
        </w:rPr>
        <w:t>2</w:t>
      </w:r>
      <w:r w:rsidRPr="00261B7A">
        <w:rPr>
          <w:rFonts w:cs="Calibri"/>
        </w:rPr>
        <w:t>-e</w:t>
      </w:r>
      <w:r w:rsidRPr="00261B7A">
        <w:t xml:space="preserve">) of the sector’s total emissions. </w:t>
      </w:r>
      <w:r w:rsidRPr="00261B7A">
        <w:rPr>
          <w:i/>
          <w:iCs/>
        </w:rPr>
        <w:t>Urea application</w:t>
      </w:r>
      <w:r w:rsidRPr="00261B7A">
        <w:t xml:space="preserve"> and </w:t>
      </w:r>
      <w:r w:rsidRPr="00261B7A">
        <w:rPr>
          <w:i/>
          <w:iCs/>
        </w:rPr>
        <w:t>Liming</w:t>
      </w:r>
      <w:r w:rsidRPr="00261B7A">
        <w:t xml:space="preserve"> contributed 1.5 per cent (553.2 kt CO</w:t>
      </w:r>
      <w:r w:rsidRPr="00261B7A">
        <w:rPr>
          <w:vertAlign w:val="subscript"/>
        </w:rPr>
        <w:t>2</w:t>
      </w:r>
      <w:r w:rsidRPr="00261B7A">
        <w:t>)</w:t>
      </w:r>
      <w:r w:rsidRPr="00261B7A">
        <w:rPr>
          <w:vertAlign w:val="subscript"/>
        </w:rPr>
        <w:t xml:space="preserve"> </w:t>
      </w:r>
      <w:r w:rsidRPr="00261B7A">
        <w:t>and 0.9 per cent (</w:t>
      </w:r>
      <w:r w:rsidRPr="00261B7A">
        <w:rPr>
          <w:rFonts w:cs="Calibri"/>
        </w:rPr>
        <w:t>355.6 kt CO</w:t>
      </w:r>
      <w:r w:rsidRPr="00261B7A">
        <w:rPr>
          <w:rFonts w:cs="Calibri"/>
          <w:vertAlign w:val="subscript"/>
        </w:rPr>
        <w:t>2</w:t>
      </w:r>
      <w:r w:rsidRPr="00261B7A">
        <w:rPr>
          <w:rFonts w:cs="Calibri"/>
        </w:rPr>
        <w:t xml:space="preserve">) </w:t>
      </w:r>
      <w:r w:rsidRPr="00261B7A">
        <w:t xml:space="preserve">respectively. </w:t>
      </w:r>
      <w:r w:rsidRPr="00261B7A">
        <w:rPr>
          <w:i/>
          <w:iCs/>
        </w:rPr>
        <w:t>Field burning of agricultural residues</w:t>
      </w:r>
      <w:r w:rsidRPr="00261B7A">
        <w:t xml:space="preserve"> contributed the remaining 0.1 per cent (</w:t>
      </w:r>
      <w:r w:rsidRPr="00261B7A">
        <w:rPr>
          <w:rFonts w:cs="Calibri"/>
        </w:rPr>
        <w:t>22.6 kt CO</w:t>
      </w:r>
      <w:r w:rsidRPr="00261B7A">
        <w:rPr>
          <w:rFonts w:cs="Calibri"/>
          <w:vertAlign w:val="subscript"/>
        </w:rPr>
        <w:t>2</w:t>
      </w:r>
      <w:r w:rsidRPr="00261B7A">
        <w:rPr>
          <w:rFonts w:cs="Calibri"/>
        </w:rPr>
        <w:t>)</w:t>
      </w:r>
      <w:r w:rsidRPr="00261B7A">
        <w:t>.</w:t>
      </w:r>
    </w:p>
    <w:p w14:paraId="3B9A28D0" w14:textId="77777777" w:rsidR="00B0004A" w:rsidRPr="00261B7A" w:rsidRDefault="00B0004A" w:rsidP="00B0004A">
      <w:pPr>
        <w:pStyle w:val="BodyText"/>
      </w:pPr>
      <w:r w:rsidRPr="00261B7A">
        <w:t xml:space="preserve">Methane emissions from </w:t>
      </w:r>
      <w:r w:rsidRPr="00261B7A">
        <w:rPr>
          <w:i/>
          <w:iCs/>
        </w:rPr>
        <w:t>Enteric fermentation</w:t>
      </w:r>
      <w:r w:rsidRPr="00261B7A">
        <w:t xml:space="preserve"> contributed 36.3 per cent of New Zealand’s </w:t>
      </w:r>
      <w:r w:rsidRPr="00261B7A">
        <w:rPr>
          <w:spacing w:val="-2"/>
        </w:rPr>
        <w:t>gross emissions, and N</w:t>
      </w:r>
      <w:r w:rsidRPr="00261B7A">
        <w:rPr>
          <w:spacing w:val="-2"/>
          <w:vertAlign w:val="subscript"/>
        </w:rPr>
        <w:t>2</w:t>
      </w:r>
      <w:r w:rsidRPr="00261B7A">
        <w:rPr>
          <w:spacing w:val="-2"/>
        </w:rPr>
        <w:t xml:space="preserve">O emissions from the </w:t>
      </w:r>
      <w:r w:rsidRPr="00261B7A">
        <w:rPr>
          <w:i/>
          <w:iCs/>
          <w:spacing w:val="-2"/>
        </w:rPr>
        <w:t>Agricultural soils</w:t>
      </w:r>
      <w:r w:rsidRPr="00261B7A">
        <w:rPr>
          <w:spacing w:val="-2"/>
        </w:rPr>
        <w:t xml:space="preserve"> category contributed 9.5 per cent.</w:t>
      </w:r>
    </w:p>
    <w:p w14:paraId="241C8F34" w14:textId="77777777" w:rsidR="00B0004A" w:rsidRPr="00261B7A" w:rsidRDefault="00B0004A" w:rsidP="00B0004A">
      <w:pPr>
        <w:pStyle w:val="Figure"/>
      </w:pPr>
      <w:bookmarkStart w:id="173" w:name="_Toc129861464"/>
      <w:bookmarkStart w:id="174" w:name="_Toc131591531"/>
      <w:r w:rsidRPr="00261B7A">
        <w:t xml:space="preserve">Figure 2.2.9 </w:t>
      </w:r>
      <w:r w:rsidRPr="00261B7A">
        <w:tab/>
        <w:t xml:space="preserve">New Zealand’s Agriculture sector emissions from </w:t>
      </w:r>
      <w:r w:rsidRPr="00261B7A">
        <w:rPr>
          <w:bCs/>
        </w:rPr>
        <w:t>1990</w:t>
      </w:r>
      <w:r w:rsidRPr="00261B7A">
        <w:t xml:space="preserve"> to </w:t>
      </w:r>
      <w:r w:rsidRPr="00261B7A">
        <w:rPr>
          <w:bCs/>
        </w:rPr>
        <w:t>2021</w:t>
      </w:r>
      <w:bookmarkEnd w:id="173"/>
      <w:bookmarkEnd w:id="174"/>
    </w:p>
    <w:p w14:paraId="76AE76FC" w14:textId="77777777" w:rsidR="00B0004A" w:rsidRPr="00261B7A" w:rsidRDefault="00B0004A" w:rsidP="00B0004A">
      <w:pPr>
        <w:pStyle w:val="BodyText"/>
      </w:pPr>
      <w:r w:rsidRPr="00261B7A">
        <w:rPr>
          <w:noProof/>
        </w:rPr>
        <w:drawing>
          <wp:inline distT="0" distB="0" distL="0" distR="0" wp14:anchorId="4EC01B5E" wp14:editId="3AE6C32F">
            <wp:extent cx="5397500" cy="4048125"/>
            <wp:effectExtent l="0" t="0" r="0" b="0"/>
            <wp:docPr id="73" name="Picture 73"/>
            <wp:cNvGraphicFramePr/>
            <a:graphic xmlns:a="http://schemas.openxmlformats.org/drawingml/2006/main">
              <a:graphicData uri="http://schemas.openxmlformats.org/drawingml/2006/picture">
                <pic:pic xmlns:pic="http://schemas.openxmlformats.org/drawingml/2006/picture">
                  <pic:nvPicPr>
                    <pic:cNvPr id="74" name="Picture" descr="code/graphs/images/fig_2_2_9_crf.png"/>
                    <pic:cNvPicPr>
                      <a:picLocks noChangeAspect="1" noChangeArrowheads="1"/>
                    </pic:cNvPicPr>
                  </pic:nvPicPr>
                  <pic:blipFill>
                    <a:blip r:embed="rId55"/>
                    <a:stretch>
                      <a:fillRect/>
                    </a:stretch>
                  </pic:blipFill>
                  <pic:spPr bwMode="auto">
                    <a:xfrm>
                      <a:off x="0" y="0"/>
                      <a:ext cx="5397500" cy="4048125"/>
                    </a:xfrm>
                    <a:prstGeom prst="rect">
                      <a:avLst/>
                    </a:prstGeom>
                    <a:noFill/>
                    <a:ln w="9525">
                      <a:noFill/>
                      <a:headEnd/>
                      <a:tailEnd/>
                    </a:ln>
                  </pic:spPr>
                </pic:pic>
              </a:graphicData>
            </a:graphic>
          </wp:inline>
        </w:drawing>
      </w:r>
    </w:p>
    <w:p w14:paraId="1E178B20" w14:textId="77777777" w:rsidR="00B0004A" w:rsidRPr="00261B7A" w:rsidRDefault="00B0004A" w:rsidP="00B0004A">
      <w:pPr>
        <w:pStyle w:val="Heading5"/>
      </w:pPr>
      <w:bookmarkStart w:id="175" w:name="section-9"/>
      <w:bookmarkEnd w:id="172"/>
      <w:r w:rsidRPr="00261B7A">
        <w:t>1990–2021</w:t>
      </w:r>
    </w:p>
    <w:p w14:paraId="0840FB8F" w14:textId="77777777" w:rsidR="00B0004A" w:rsidRPr="00261B7A" w:rsidRDefault="00B0004A" w:rsidP="00B0004A">
      <w:pPr>
        <w:pStyle w:val="BodyText"/>
      </w:pPr>
      <w:r w:rsidRPr="00261B7A">
        <w:t>In 2021, New Zealand’s Agriculture sector emissions were 37,786.1 kt CO</w:t>
      </w:r>
      <w:r w:rsidRPr="00261B7A">
        <w:rPr>
          <w:vertAlign w:val="subscript"/>
        </w:rPr>
        <w:t>2</w:t>
      </w:r>
      <w:r w:rsidRPr="00261B7A">
        <w:t>-e, 13.4 per cent (4,474.1 kt CO</w:t>
      </w:r>
      <w:r w:rsidRPr="00261B7A">
        <w:rPr>
          <w:vertAlign w:val="subscript"/>
        </w:rPr>
        <w:t>2</w:t>
      </w:r>
      <w:r w:rsidRPr="00261B7A">
        <w:t>-e) above the 1990 level of 33,312.0 kt CO</w:t>
      </w:r>
      <w:r w:rsidRPr="00261B7A">
        <w:rPr>
          <w:vertAlign w:val="subscript"/>
        </w:rPr>
        <w:t>2</w:t>
      </w:r>
      <w:r w:rsidRPr="00261B7A">
        <w:t>-e.</w:t>
      </w:r>
    </w:p>
    <w:p w14:paraId="3FFF4184" w14:textId="77777777" w:rsidR="00B0004A" w:rsidRPr="00261B7A" w:rsidRDefault="00B0004A" w:rsidP="00B0004A">
      <w:pPr>
        <w:pStyle w:val="BodyText"/>
      </w:pPr>
      <w:r w:rsidRPr="00261B7A">
        <w:t>The greatest contributions to the increase since 1990 were a 40.2 per cent (2,098.3 kt CO</w:t>
      </w:r>
      <w:r w:rsidRPr="00261B7A">
        <w:rPr>
          <w:vertAlign w:val="subscript"/>
        </w:rPr>
        <w:t>2</w:t>
      </w:r>
      <w:r w:rsidRPr="00261B7A">
        <w:t>-e) increase in N</w:t>
      </w:r>
      <w:r w:rsidRPr="00261B7A">
        <w:rPr>
          <w:vertAlign w:val="subscript"/>
        </w:rPr>
        <w:t>2</w:t>
      </w:r>
      <w:r w:rsidRPr="00261B7A">
        <w:t xml:space="preserve">O emissions from </w:t>
      </w:r>
      <w:r w:rsidRPr="00261B7A">
        <w:rPr>
          <w:i/>
          <w:iCs/>
        </w:rPr>
        <w:t>Agricultural soils</w:t>
      </w:r>
      <w:r w:rsidRPr="00261B7A">
        <w:t xml:space="preserve"> and a 117.7 per cent (849.9 kt CO</w:t>
      </w:r>
      <w:r w:rsidRPr="00261B7A">
        <w:rPr>
          <w:vertAlign w:val="subscript"/>
        </w:rPr>
        <w:t>2</w:t>
      </w:r>
      <w:r w:rsidRPr="00261B7A">
        <w:t>-e) increase in CH</w:t>
      </w:r>
      <w:r w:rsidRPr="00261B7A">
        <w:rPr>
          <w:vertAlign w:val="subscript"/>
        </w:rPr>
        <w:t>4</w:t>
      </w:r>
      <w:r w:rsidRPr="00261B7A">
        <w:t xml:space="preserve"> emissions from </w:t>
      </w:r>
      <w:r w:rsidRPr="00261B7A">
        <w:rPr>
          <w:i/>
          <w:iCs/>
        </w:rPr>
        <w:t>Manure management</w:t>
      </w:r>
      <w:r w:rsidRPr="00261B7A">
        <w:t xml:space="preserve">. </w:t>
      </w:r>
    </w:p>
    <w:p w14:paraId="3E813101" w14:textId="77777777" w:rsidR="00B0004A" w:rsidRPr="00261B7A" w:rsidRDefault="00B0004A" w:rsidP="00B0004A">
      <w:pPr>
        <w:pStyle w:val="BodyText"/>
      </w:pPr>
      <w:r w:rsidRPr="00261B7A">
        <w:t>The increase in N</w:t>
      </w:r>
      <w:r w:rsidRPr="00261B7A">
        <w:rPr>
          <w:vertAlign w:val="subscript"/>
        </w:rPr>
        <w:t>2</w:t>
      </w:r>
      <w:r w:rsidRPr="00261B7A">
        <w:t xml:space="preserve">O emissions from </w:t>
      </w:r>
      <w:r w:rsidRPr="00261B7A">
        <w:rPr>
          <w:i/>
          <w:iCs/>
        </w:rPr>
        <w:t>Agricultural soils</w:t>
      </w:r>
      <w:r w:rsidRPr="00261B7A">
        <w:t xml:space="preserve"> was primarily a result of increased application of synthetic nitrogen fertiliser by around 644 per cent since 1990. This is partly due to an increase in dairy farming, as well as a general increase in fertiliser use on farms.</w:t>
      </w:r>
    </w:p>
    <w:p w14:paraId="7D41DB36" w14:textId="09CB7C24" w:rsidR="00B0004A" w:rsidRPr="00261B7A" w:rsidRDefault="00B0004A" w:rsidP="00B0004A">
      <w:pPr>
        <w:pStyle w:val="BodyText"/>
      </w:pPr>
      <w:r w:rsidRPr="00261B7A">
        <w:t xml:space="preserve">The increase in emissions from </w:t>
      </w:r>
      <w:r w:rsidRPr="00261B7A">
        <w:rPr>
          <w:i/>
          <w:iCs/>
        </w:rPr>
        <w:t>Enteric fermentation</w:t>
      </w:r>
      <w:r w:rsidRPr="00261B7A">
        <w:t xml:space="preserve"> was driven by an increase in dairy cattle numbers, which was partially offset by a decrease in beef cattle and sheep numbers. Stock numbers have also reduced as a result of several voluntary initiatives driven by agricultural sector groups, which have focused on improving livestock genetics and championing the uptake of more sustainable farming practices. Alongside this, changes in New Zealand’s regulatory environment, including improvements to freshwater quality policies and the New Zealand Emissions Trading Scheme (NZ ETS), are also likely to have led to reductions in stock numbers. The increasing carbon price in the NZ ETS has affected land use change, with rising afforestation rates impacting stock numbers.</w:t>
      </w:r>
    </w:p>
    <w:p w14:paraId="62839D60" w14:textId="77777777" w:rsidR="00B0004A" w:rsidRPr="00261B7A" w:rsidRDefault="00B0004A" w:rsidP="00B0004A">
      <w:pPr>
        <w:pStyle w:val="Heading5"/>
      </w:pPr>
      <w:bookmarkStart w:id="176" w:name="section-10"/>
      <w:bookmarkEnd w:id="175"/>
      <w:r w:rsidRPr="00261B7A">
        <w:t>2020–2021</w:t>
      </w:r>
    </w:p>
    <w:p w14:paraId="6E396854" w14:textId="77777777" w:rsidR="00B0004A" w:rsidRPr="00261B7A" w:rsidRDefault="00B0004A" w:rsidP="00B0004A">
      <w:pPr>
        <w:pStyle w:val="BodyText"/>
      </w:pPr>
      <w:r w:rsidRPr="00261B7A">
        <w:rPr>
          <w:spacing w:val="-2"/>
        </w:rPr>
        <w:t>Between 2020 and 2021, total agricultural emissions decreased by 1.5 per cent (574.1 kt CO</w:t>
      </w:r>
      <w:r w:rsidRPr="00261B7A">
        <w:rPr>
          <w:spacing w:val="-2"/>
          <w:vertAlign w:val="subscript"/>
        </w:rPr>
        <w:t>2</w:t>
      </w:r>
      <w:r w:rsidRPr="00261B7A">
        <w:rPr>
          <w:spacing w:val="-2"/>
        </w:rPr>
        <w:t>-e)</w:t>
      </w:r>
      <w:r w:rsidRPr="00261B7A">
        <w:t xml:space="preserve"> largely due to a decrease in emissions from dairy cattle, sheep and synthetic nitrogen fertiliser. Specifically:</w:t>
      </w:r>
    </w:p>
    <w:p w14:paraId="2B645368" w14:textId="77777777" w:rsidR="00B0004A" w:rsidRPr="00261B7A" w:rsidRDefault="00B0004A" w:rsidP="00B0004A">
      <w:pPr>
        <w:pStyle w:val="Bullet"/>
      </w:pPr>
      <w:r w:rsidRPr="00261B7A">
        <w:t>dairy cattle emissions decreased by 1.3 per cent (236.9 kt CO</w:t>
      </w:r>
      <w:r w:rsidRPr="00261B7A">
        <w:rPr>
          <w:vertAlign w:val="subscript"/>
        </w:rPr>
        <w:t>2</w:t>
      </w:r>
      <w:r w:rsidRPr="00261B7A">
        <w:t>-e) due to a decrease in the dairy cattle population</w:t>
      </w:r>
    </w:p>
    <w:p w14:paraId="42E07E0B" w14:textId="77777777" w:rsidR="00B0004A" w:rsidRPr="00261B7A" w:rsidRDefault="00B0004A" w:rsidP="00B0004A">
      <w:pPr>
        <w:pStyle w:val="Bullet"/>
      </w:pPr>
      <w:r w:rsidRPr="00261B7A">
        <w:t>synthetic nitrogen fertiliser emissions decreased by 9.5 per cent (177.9 kt CO</w:t>
      </w:r>
      <w:r w:rsidRPr="00261B7A">
        <w:rPr>
          <w:vertAlign w:val="subscript"/>
        </w:rPr>
        <w:t>2</w:t>
      </w:r>
      <w:r w:rsidRPr="00261B7A">
        <w:t>-e) due to a decrease in fertiliser use</w:t>
      </w:r>
    </w:p>
    <w:p w14:paraId="39504DDA" w14:textId="77777777" w:rsidR="00B0004A" w:rsidRPr="00261B7A" w:rsidRDefault="00B0004A" w:rsidP="00B0004A">
      <w:pPr>
        <w:pStyle w:val="Bullet"/>
      </w:pPr>
      <w:r w:rsidRPr="00261B7A">
        <w:t>sheep emissions decreased by 1.8 per cent (160.6 kt CO</w:t>
      </w:r>
      <w:r w:rsidRPr="00261B7A">
        <w:rPr>
          <w:vertAlign w:val="subscript"/>
        </w:rPr>
        <w:t>2</w:t>
      </w:r>
      <w:r w:rsidRPr="00261B7A">
        <w:t>-e) due to a further decrease in the sheep population.</w:t>
      </w:r>
    </w:p>
    <w:p w14:paraId="58C78693" w14:textId="77777777" w:rsidR="00B0004A" w:rsidRPr="00261B7A" w:rsidRDefault="00B0004A" w:rsidP="00B0004A">
      <w:pPr>
        <w:pStyle w:val="BodyText"/>
      </w:pPr>
      <w:r w:rsidRPr="00261B7A">
        <w:t>Emissions from other activities had minor increases and were not enough to offset the overall decrease in agricultural emissions. Some of these increases include:</w:t>
      </w:r>
    </w:p>
    <w:p w14:paraId="7982A232" w14:textId="77777777" w:rsidR="00B0004A" w:rsidRPr="00261B7A" w:rsidRDefault="00B0004A" w:rsidP="00B0004A">
      <w:pPr>
        <w:pStyle w:val="Bullet"/>
      </w:pPr>
      <w:r w:rsidRPr="00261B7A">
        <w:t>beef cattle emissions, which increased by 0.7 per cent (48.9 kt CO</w:t>
      </w:r>
      <w:r w:rsidRPr="00261B7A">
        <w:rPr>
          <w:vertAlign w:val="subscript"/>
        </w:rPr>
        <w:t>2</w:t>
      </w:r>
      <w:r w:rsidRPr="00261B7A">
        <w:t>-e) due to a slight increase in the beef cattle population</w:t>
      </w:r>
    </w:p>
    <w:p w14:paraId="23954E7A" w14:textId="77777777" w:rsidR="00B0004A" w:rsidRPr="00261B7A" w:rsidRDefault="00B0004A" w:rsidP="00B0004A">
      <w:pPr>
        <w:pStyle w:val="Bullet"/>
      </w:pPr>
      <w:r w:rsidRPr="00261B7A">
        <w:t>urea emissions, which increased by 2.1 per cent (11.2 kt CO</w:t>
      </w:r>
      <w:r w:rsidRPr="00261B7A">
        <w:rPr>
          <w:vertAlign w:val="subscript"/>
        </w:rPr>
        <w:t>2</w:t>
      </w:r>
      <w:r w:rsidRPr="00261B7A">
        <w:t>-e) due to a small increase in the use of urea.</w:t>
      </w:r>
    </w:p>
    <w:p w14:paraId="31F070F8" w14:textId="77777777" w:rsidR="00B0004A" w:rsidRPr="00261B7A" w:rsidRDefault="00B0004A" w:rsidP="00B0004A">
      <w:pPr>
        <w:pStyle w:val="Heading4"/>
      </w:pPr>
      <w:bookmarkStart w:id="177" w:name="lulucf-sector"/>
      <w:bookmarkEnd w:id="171"/>
      <w:bookmarkEnd w:id="176"/>
      <w:r w:rsidRPr="00261B7A">
        <w:t>LULUCF sector</w:t>
      </w:r>
    </w:p>
    <w:p w14:paraId="702A9AFB" w14:textId="77777777" w:rsidR="00B0004A" w:rsidRPr="00261B7A" w:rsidRDefault="00B0004A" w:rsidP="00B0004A">
      <w:pPr>
        <w:pStyle w:val="BodyText"/>
      </w:pPr>
      <w:r w:rsidRPr="00261B7A">
        <w:t>The following information on LULUCF summarises reporting under the Convention. The Kyoto Protocol remains in force and reporting requirements remain in place. New Zealand, therefore, continues its reporting on LULUCF activities under the Kyoto Protocol in section 2.3, the Executive summary, section ES.5, and chapter 11.</w:t>
      </w:r>
    </w:p>
    <w:p w14:paraId="2D887490" w14:textId="77777777" w:rsidR="00B0004A" w:rsidRPr="00261B7A" w:rsidRDefault="00B0004A" w:rsidP="00B0004A">
      <w:pPr>
        <w:pStyle w:val="Heading5"/>
      </w:pPr>
      <w:bookmarkStart w:id="178" w:name="section-11"/>
      <w:r w:rsidRPr="00261B7A">
        <w:t>2021</w:t>
      </w:r>
    </w:p>
    <w:p w14:paraId="66EC8902" w14:textId="77777777" w:rsidR="00B0004A" w:rsidRPr="00261B7A" w:rsidRDefault="00B0004A" w:rsidP="00B0004A">
      <w:pPr>
        <w:pStyle w:val="BodyText"/>
      </w:pPr>
      <w:r w:rsidRPr="00261B7A">
        <w:t>In 2021, net emissions from the LULUCF sector were –21,078.2 kt CO</w:t>
      </w:r>
      <w:r w:rsidRPr="00261B7A">
        <w:rPr>
          <w:vertAlign w:val="subscript"/>
        </w:rPr>
        <w:t>2</w:t>
      </w:r>
      <w:r w:rsidRPr="00261B7A">
        <w:t>-e, or –27.4 per cent of New Zealand’s gross GHG emissions. This comprises net removals of –21,358.2 kt of CO</w:t>
      </w:r>
      <w:r w:rsidRPr="00261B7A">
        <w:rPr>
          <w:vertAlign w:val="subscript"/>
        </w:rPr>
        <w:t>2</w:t>
      </w:r>
      <w:r w:rsidRPr="00261B7A">
        <w:t>, and emissions of 32.6 kt CO</w:t>
      </w:r>
      <w:r w:rsidRPr="00261B7A">
        <w:rPr>
          <w:vertAlign w:val="subscript"/>
        </w:rPr>
        <w:t>2</w:t>
      </w:r>
      <w:r w:rsidRPr="00261B7A">
        <w:t>-e of CH</w:t>
      </w:r>
      <w:r w:rsidRPr="00261B7A">
        <w:rPr>
          <w:vertAlign w:val="subscript"/>
        </w:rPr>
        <w:t>4</w:t>
      </w:r>
      <w:r w:rsidRPr="00261B7A">
        <w:t xml:space="preserve"> and 247.4 kt CO</w:t>
      </w:r>
      <w:r w:rsidRPr="00261B7A">
        <w:rPr>
          <w:vertAlign w:val="subscript"/>
        </w:rPr>
        <w:t>2</w:t>
      </w:r>
      <w:r w:rsidRPr="00261B7A">
        <w:t>-e of N</w:t>
      </w:r>
      <w:r w:rsidRPr="00261B7A">
        <w:rPr>
          <w:vertAlign w:val="subscript"/>
        </w:rPr>
        <w:t>2</w:t>
      </w:r>
      <w:r w:rsidRPr="00261B7A">
        <w:t xml:space="preserve">O. The category contributing the most to both removals and emissions is </w:t>
      </w:r>
      <w:r w:rsidRPr="00261B7A">
        <w:rPr>
          <w:i/>
          <w:iCs/>
        </w:rPr>
        <w:t>Forest land remaining forest land</w:t>
      </w:r>
      <w:r w:rsidRPr="00261B7A">
        <w:t xml:space="preserve">. This is because of large removals from the growth of all forests on </w:t>
      </w:r>
      <w:r w:rsidRPr="00261B7A">
        <w:rPr>
          <w:i/>
          <w:iCs/>
        </w:rPr>
        <w:t>Forest land remaining forest land</w:t>
      </w:r>
      <w:r w:rsidRPr="00261B7A">
        <w:t xml:space="preserve"> and also large emissions from the sustainable harvest of New Zealand’s plantation forests.</w:t>
      </w:r>
    </w:p>
    <w:p w14:paraId="1B51039F" w14:textId="77777777" w:rsidR="00B0004A" w:rsidRPr="00261B7A" w:rsidRDefault="00B0004A" w:rsidP="00B0004A">
      <w:pPr>
        <w:pStyle w:val="Heading5"/>
      </w:pPr>
      <w:bookmarkStart w:id="179" w:name="section-12"/>
      <w:bookmarkEnd w:id="178"/>
      <w:r w:rsidRPr="00261B7A">
        <w:t>1990–2021</w:t>
      </w:r>
    </w:p>
    <w:p w14:paraId="0E04A1D6" w14:textId="45AAD7C3" w:rsidR="00B0004A" w:rsidRPr="00261B7A" w:rsidRDefault="00B0004A" w:rsidP="00B0004A">
      <w:pPr>
        <w:pStyle w:val="BodyText"/>
      </w:pPr>
      <w:r w:rsidRPr="00261B7A">
        <w:t xml:space="preserve">Net emissions from the LULUCF sector were </w:t>
      </w:r>
      <w:r w:rsidR="006770C3" w:rsidRPr="00261B7A">
        <w:t>–</w:t>
      </w:r>
      <w:r w:rsidRPr="00261B7A">
        <w:t>21,078.2 kt CO</w:t>
      </w:r>
      <w:r w:rsidRPr="00261B7A">
        <w:rPr>
          <w:vertAlign w:val="subscript"/>
        </w:rPr>
        <w:t>2</w:t>
      </w:r>
      <w:r w:rsidRPr="00261B7A">
        <w:t>-e in 2021, a 4.5 per cent (906.9 kt CO</w:t>
      </w:r>
      <w:r w:rsidRPr="00261B7A">
        <w:rPr>
          <w:vertAlign w:val="subscript"/>
        </w:rPr>
        <w:t>2</w:t>
      </w:r>
      <w:r w:rsidRPr="00261B7A">
        <w:t>-e) decrease from the 1990 level of –20,171.2 kt CO</w:t>
      </w:r>
      <w:r w:rsidRPr="00261B7A">
        <w:rPr>
          <w:vertAlign w:val="subscript"/>
        </w:rPr>
        <w:t>2</w:t>
      </w:r>
      <w:r w:rsidRPr="00261B7A">
        <w:t>-e. This is largely due to removals from forest growth and an increase in the production of harvested wood products, which have compensated for some of the emissions from the increase in forest harvesting.</w:t>
      </w:r>
    </w:p>
    <w:p w14:paraId="62C1559F" w14:textId="77777777" w:rsidR="00B0004A" w:rsidRPr="00261B7A" w:rsidRDefault="00B0004A" w:rsidP="00B0004A">
      <w:pPr>
        <w:pStyle w:val="BodyText"/>
      </w:pPr>
      <w:r w:rsidRPr="00261B7A">
        <w:t>Emissions in the LULUCF sector are primarily driven by the harvest of production forests, deforestation and the decomposition of organic material following these activities. Removals are primarily from the sequestration of carbon that occurs due to plant growth and an increase in the size of the harvested wood products pool. Nitrous oxide is emitted from soils as a by</w:t>
      </w:r>
      <w:r w:rsidRPr="00261B7A">
        <w:noBreakHyphen/>
        <w:t>product of nitrification and denitrification, and through the burning of organic matter. Other gases released during biomass burning include CH</w:t>
      </w:r>
      <w:r w:rsidRPr="00261B7A">
        <w:rPr>
          <w:vertAlign w:val="subscript"/>
        </w:rPr>
        <w:t>4</w:t>
      </w:r>
      <w:r w:rsidRPr="00261B7A">
        <w:t>, carbon monoxide, other oxides of nitrogen and non-methane volatile organic compounds.</w:t>
      </w:r>
    </w:p>
    <w:p w14:paraId="2DFEAE86" w14:textId="77777777" w:rsidR="00B0004A" w:rsidRPr="00261B7A" w:rsidRDefault="00B0004A" w:rsidP="00B0004A">
      <w:pPr>
        <w:pStyle w:val="BodyText"/>
      </w:pPr>
      <w:r w:rsidRPr="00261B7A">
        <w:t xml:space="preserve">The fluctuations in net emissions from the LULUCF sector (see figure 2.2.10) are primarily influenced by afforestation, harvesting and deforestation rates. Harvesting rates are driven by several factors, particularly forest age and log prices. </w:t>
      </w:r>
    </w:p>
    <w:p w14:paraId="1E7A0487" w14:textId="77777777" w:rsidR="00B0004A" w:rsidRPr="00261B7A" w:rsidRDefault="00B0004A" w:rsidP="00B0004A">
      <w:pPr>
        <w:pStyle w:val="BodyText"/>
      </w:pPr>
      <w:r w:rsidRPr="00261B7A">
        <w:t>Net emissions in the LULUCF sector have been generally increasing over the past decade. Current harvest rates are near historic high levels due to the significant land use changes to forest land that occurred from the 1980s and into the early 1990s. The production forests that were established during this period have progressively been reaching maturity and that will continue into the 2020s. As the high harvesting rates continue, the average age of the planted forest estate as a whole is reduced each year, as harvested forests are replanted. Young stands have low growth rates compared with older, faster growing stands. Harvest and replanting cycles of New Zealand’s planted forests will continue to affect the trajectory of New Zealand’s net emissions in the future due to their uneven age-class profile.</w:t>
      </w:r>
    </w:p>
    <w:p w14:paraId="4A0C6B36" w14:textId="6920ECC3" w:rsidR="00B0004A" w:rsidRPr="00261B7A" w:rsidRDefault="00B0004A" w:rsidP="00B0004A">
      <w:pPr>
        <w:pStyle w:val="BodyText"/>
      </w:pPr>
      <w:r w:rsidRPr="00261B7A">
        <w:t>Deforestation rates are driven by the relative profitability of forestry compared with alternative land uses. The increase in net emissions between 2004 and 2007 was mainly due to</w:t>
      </w:r>
      <w:r w:rsidR="00024C54" w:rsidRPr="00261B7A">
        <w:t> </w:t>
      </w:r>
      <w:r w:rsidRPr="00261B7A">
        <w:t>the increase in planted forest deforestation that occurred in the lead up to 2008, and the introduction of the New Zealand Emissions Trading Scheme (NZ ETS).</w:t>
      </w:r>
      <w:r w:rsidRPr="00261B7A">
        <w:rPr>
          <w:rStyle w:val="FootnoteReference"/>
        </w:rPr>
        <w:footnoteReference w:id="29"/>
      </w:r>
      <w:r w:rsidRPr="00261B7A">
        <w:t xml:space="preserve"> </w:t>
      </w:r>
    </w:p>
    <w:p w14:paraId="5979CAFC" w14:textId="77777777" w:rsidR="00B0004A" w:rsidRPr="00261B7A" w:rsidRDefault="00B0004A" w:rsidP="00B0004A">
      <w:pPr>
        <w:pStyle w:val="BodyText"/>
      </w:pPr>
      <w:r w:rsidRPr="00261B7A">
        <w:t>From 2019 onwards, rates of afforestation have significantly increased. This is likely due to policy initiatives incentivising afforestation as well as higher carbon prices in the NZ ETS.</w:t>
      </w:r>
    </w:p>
    <w:p w14:paraId="306D139E" w14:textId="77777777" w:rsidR="00B0004A" w:rsidRPr="00261B7A" w:rsidRDefault="00B0004A" w:rsidP="00B0004A">
      <w:pPr>
        <w:pStyle w:val="Figure"/>
      </w:pPr>
      <w:bookmarkStart w:id="180" w:name="_Toc129861465"/>
      <w:bookmarkStart w:id="181" w:name="_Toc131591532"/>
      <w:r w:rsidRPr="00261B7A">
        <w:t xml:space="preserve">Figure 2.2.10 </w:t>
      </w:r>
      <w:r w:rsidRPr="00261B7A">
        <w:tab/>
        <w:t xml:space="preserve">New Zealand’s LULUCF sector net emissions from </w:t>
      </w:r>
      <w:r w:rsidRPr="00261B7A">
        <w:rPr>
          <w:bCs/>
        </w:rPr>
        <w:t>1990</w:t>
      </w:r>
      <w:r w:rsidRPr="00261B7A">
        <w:t xml:space="preserve"> to </w:t>
      </w:r>
      <w:r w:rsidRPr="00261B7A">
        <w:rPr>
          <w:bCs/>
        </w:rPr>
        <w:t>2021</w:t>
      </w:r>
      <w:bookmarkEnd w:id="180"/>
      <w:bookmarkEnd w:id="181"/>
    </w:p>
    <w:p w14:paraId="639667B8" w14:textId="77777777" w:rsidR="00B0004A" w:rsidRPr="00261B7A" w:rsidRDefault="00B0004A" w:rsidP="00B0004A">
      <w:pPr>
        <w:pStyle w:val="BodyText"/>
      </w:pPr>
      <w:r w:rsidRPr="00261B7A">
        <w:rPr>
          <w:noProof/>
        </w:rPr>
        <w:drawing>
          <wp:inline distT="0" distB="0" distL="0" distR="0" wp14:anchorId="41DABA57" wp14:editId="7F2B7464">
            <wp:extent cx="5397500" cy="4048125"/>
            <wp:effectExtent l="0" t="0" r="0" b="0"/>
            <wp:docPr id="82" name="Picture 82"/>
            <wp:cNvGraphicFramePr/>
            <a:graphic xmlns:a="http://schemas.openxmlformats.org/drawingml/2006/main">
              <a:graphicData uri="http://schemas.openxmlformats.org/drawingml/2006/picture">
                <pic:pic xmlns:pic="http://schemas.openxmlformats.org/drawingml/2006/picture">
                  <pic:nvPicPr>
                    <pic:cNvPr id="83" name="Picture" descr="code/graphs/images/fig_2_2_10_crf.png"/>
                    <pic:cNvPicPr>
                      <a:picLocks noChangeAspect="1" noChangeArrowheads="1"/>
                    </pic:cNvPicPr>
                  </pic:nvPicPr>
                  <pic:blipFill>
                    <a:blip r:embed="rId56"/>
                    <a:stretch>
                      <a:fillRect/>
                    </a:stretch>
                  </pic:blipFill>
                  <pic:spPr bwMode="auto">
                    <a:xfrm>
                      <a:off x="0" y="0"/>
                      <a:ext cx="5397500" cy="4048125"/>
                    </a:xfrm>
                    <a:prstGeom prst="rect">
                      <a:avLst/>
                    </a:prstGeom>
                    <a:noFill/>
                    <a:ln w="9525">
                      <a:noFill/>
                      <a:headEnd/>
                      <a:tailEnd/>
                    </a:ln>
                  </pic:spPr>
                </pic:pic>
              </a:graphicData>
            </a:graphic>
          </wp:inline>
        </w:drawing>
      </w:r>
    </w:p>
    <w:p w14:paraId="1C15D716" w14:textId="77777777" w:rsidR="00B0004A" w:rsidRPr="00261B7A" w:rsidRDefault="00B0004A" w:rsidP="00B0004A">
      <w:pPr>
        <w:pStyle w:val="Heading5"/>
      </w:pPr>
      <w:bookmarkStart w:id="182" w:name="section-13"/>
      <w:bookmarkEnd w:id="179"/>
      <w:r w:rsidRPr="00261B7A">
        <w:t>2020–2021</w:t>
      </w:r>
    </w:p>
    <w:p w14:paraId="0CE92749" w14:textId="77777777" w:rsidR="00B0004A" w:rsidRPr="00261B7A" w:rsidRDefault="00B0004A" w:rsidP="00B0004A">
      <w:pPr>
        <w:pStyle w:val="BodyText"/>
      </w:pPr>
      <w:r w:rsidRPr="00261B7A">
        <w:t>Net emissions from the LULUCF sector increased between 2020 and 2021 by 9.3 per cent (2,163.9 kt CO</w:t>
      </w:r>
      <w:r w:rsidRPr="00261B7A">
        <w:rPr>
          <w:vertAlign w:val="subscript"/>
        </w:rPr>
        <w:t>2</w:t>
      </w:r>
      <w:r w:rsidRPr="00261B7A">
        <w:t>-e).</w:t>
      </w:r>
    </w:p>
    <w:p w14:paraId="6794C926" w14:textId="529AD310" w:rsidR="00B0004A" w:rsidRPr="00261B7A" w:rsidRDefault="00B0004A" w:rsidP="00B0004A">
      <w:pPr>
        <w:pStyle w:val="BodyText"/>
      </w:pPr>
      <w:r w:rsidRPr="00261B7A">
        <w:t xml:space="preserve">The largest change occurred in the </w:t>
      </w:r>
      <w:r w:rsidRPr="00261B7A">
        <w:rPr>
          <w:i/>
          <w:iCs/>
        </w:rPr>
        <w:t>Forest land</w:t>
      </w:r>
      <w:r w:rsidRPr="00261B7A">
        <w:t xml:space="preserve"> category, with an increase in emissions of</w:t>
      </w:r>
      <w:r w:rsidR="00024C54" w:rsidRPr="00261B7A">
        <w:t> </w:t>
      </w:r>
      <w:r w:rsidRPr="00261B7A">
        <w:t>4,882.0 kt CO</w:t>
      </w:r>
      <w:r w:rsidRPr="00261B7A">
        <w:rPr>
          <w:vertAlign w:val="subscript"/>
        </w:rPr>
        <w:t>2</w:t>
      </w:r>
      <w:r w:rsidRPr="00261B7A">
        <w:t>-e. The reason for this change was largely due to an increase in harvest emissions between these years. In 2021, harvesting activities rebounded following the 2020 drop due to the COVID-19 restrictions. This impact was exacerbated by the ongoing high rate of harvesting occurring in New Zealand’s production forests. As a result, the planted forest estate is composed of a higher proportion of young forest stands, which grow more slowly and</w:t>
      </w:r>
      <w:r w:rsidR="00024C54" w:rsidRPr="00261B7A">
        <w:t> </w:t>
      </w:r>
      <w:r w:rsidRPr="00261B7A">
        <w:t xml:space="preserve">sequester less carbon than faster growing older stands. The </w:t>
      </w:r>
      <w:r w:rsidRPr="00261B7A">
        <w:rPr>
          <w:i/>
          <w:iCs/>
        </w:rPr>
        <w:t>Harvested wood products</w:t>
      </w:r>
      <w:r w:rsidRPr="00261B7A">
        <w:t xml:space="preserve"> category had the second-largest change, with a decrease in emissions of 1,824.3 kt CO</w:t>
      </w:r>
      <w:r w:rsidRPr="00261B7A">
        <w:rPr>
          <w:vertAlign w:val="subscript"/>
        </w:rPr>
        <w:t>2</w:t>
      </w:r>
      <w:r w:rsidRPr="00261B7A">
        <w:t>-e, which was also driven by harvest rate.</w:t>
      </w:r>
    </w:p>
    <w:p w14:paraId="51F5A865" w14:textId="77777777" w:rsidR="00B0004A" w:rsidRPr="00261B7A" w:rsidRDefault="00B0004A" w:rsidP="00B0004A">
      <w:pPr>
        <w:pStyle w:val="Heading4"/>
      </w:pPr>
      <w:bookmarkStart w:id="183" w:name="waste-sector"/>
      <w:bookmarkEnd w:id="177"/>
      <w:bookmarkEnd w:id="182"/>
      <w:r w:rsidRPr="00261B7A">
        <w:t>Waste sector</w:t>
      </w:r>
    </w:p>
    <w:p w14:paraId="584A129E" w14:textId="77777777" w:rsidR="00B0004A" w:rsidRPr="00261B7A" w:rsidRDefault="00B0004A" w:rsidP="00B0004A">
      <w:pPr>
        <w:pStyle w:val="BodyText"/>
      </w:pPr>
      <w:r w:rsidRPr="00261B7A">
        <w:t>The Waste sector in New Zealand produces mainly CH</w:t>
      </w:r>
      <w:r w:rsidRPr="00261B7A">
        <w:rPr>
          <w:vertAlign w:val="subscript"/>
        </w:rPr>
        <w:t>4</w:t>
      </w:r>
      <w:r w:rsidRPr="00261B7A">
        <w:t xml:space="preserve"> emissions (91.9 per cent) followed by N</w:t>
      </w:r>
      <w:r w:rsidRPr="00261B7A">
        <w:rPr>
          <w:vertAlign w:val="subscript"/>
        </w:rPr>
        <w:t>2</w:t>
      </w:r>
      <w:r w:rsidRPr="00261B7A">
        <w:t>O (5.3 per cent) and CO</w:t>
      </w:r>
      <w:r w:rsidRPr="00261B7A">
        <w:rPr>
          <w:vertAlign w:val="subscript"/>
        </w:rPr>
        <w:t>2</w:t>
      </w:r>
      <w:r w:rsidRPr="00261B7A">
        <w:t xml:space="preserve"> emissions (2.8 per cent). The Waste sector produces 9.0 per cent of gross CH</w:t>
      </w:r>
      <w:r w:rsidRPr="00261B7A">
        <w:rPr>
          <w:vertAlign w:val="subscript"/>
        </w:rPr>
        <w:t>4</w:t>
      </w:r>
      <w:r w:rsidRPr="00261B7A">
        <w:t xml:space="preserve"> emissions in New Zealand. There are also emissions of CO</w:t>
      </w:r>
      <w:r w:rsidRPr="00261B7A">
        <w:rPr>
          <w:vertAlign w:val="subscript"/>
        </w:rPr>
        <w:t>2</w:t>
      </w:r>
      <w:r w:rsidRPr="00261B7A">
        <w:t xml:space="preserve"> from the disposal of solid waste, but these are of biogenic origin and are not reported.</w:t>
      </w:r>
    </w:p>
    <w:p w14:paraId="2CB90EC4" w14:textId="77777777" w:rsidR="00B0004A" w:rsidRPr="00261B7A" w:rsidRDefault="00B0004A" w:rsidP="00B0004A">
      <w:pPr>
        <w:pStyle w:val="Heading5"/>
      </w:pPr>
      <w:bookmarkStart w:id="184" w:name="section-14"/>
      <w:r w:rsidRPr="00261B7A">
        <w:t>2021</w:t>
      </w:r>
    </w:p>
    <w:p w14:paraId="52784719" w14:textId="77777777" w:rsidR="00B0004A" w:rsidRPr="00261B7A" w:rsidRDefault="00B0004A" w:rsidP="00B0004A">
      <w:pPr>
        <w:pStyle w:val="BodyText"/>
      </w:pPr>
      <w:r w:rsidRPr="00261B7A">
        <w:t>In 2021, emissions from the Waste sector contributed 4.2 per cent (3,214.9 kt CO</w:t>
      </w:r>
      <w:r w:rsidRPr="00261B7A">
        <w:rPr>
          <w:vertAlign w:val="subscript"/>
        </w:rPr>
        <w:t>2</w:t>
      </w:r>
      <w:r w:rsidRPr="00261B7A">
        <w:t xml:space="preserve">-e) of New Zealand’s gross GHG emissions. The largest source category is </w:t>
      </w:r>
      <w:r w:rsidRPr="00261B7A">
        <w:rPr>
          <w:i/>
          <w:iCs/>
        </w:rPr>
        <w:t>Solid waste disposal</w:t>
      </w:r>
      <w:r w:rsidRPr="00261B7A">
        <w:t>, as shown in chapter 7, table 7.1.1.</w:t>
      </w:r>
    </w:p>
    <w:p w14:paraId="6B4C7860" w14:textId="77777777" w:rsidR="00B0004A" w:rsidRPr="00261B7A" w:rsidRDefault="00B0004A" w:rsidP="00B0004A">
      <w:pPr>
        <w:pStyle w:val="Heading5"/>
      </w:pPr>
      <w:bookmarkStart w:id="185" w:name="section-15"/>
      <w:bookmarkEnd w:id="184"/>
      <w:r w:rsidRPr="00261B7A">
        <w:t>1990–2021</w:t>
      </w:r>
    </w:p>
    <w:p w14:paraId="6FB2E319" w14:textId="50DB9F0F" w:rsidR="00B0004A" w:rsidRPr="00261B7A" w:rsidRDefault="00B0004A" w:rsidP="00B0004A">
      <w:pPr>
        <w:pStyle w:val="BodyText"/>
      </w:pPr>
      <w:r w:rsidRPr="00261B7A">
        <w:t>Emissions from the Waste sector decreased by 18.5 per cent (729.7 kt CO</w:t>
      </w:r>
      <w:r w:rsidRPr="00261B7A">
        <w:rPr>
          <w:vertAlign w:val="subscript"/>
        </w:rPr>
        <w:t>2</w:t>
      </w:r>
      <w:r w:rsidRPr="00261B7A">
        <w:t>-e), from 3,944.6</w:t>
      </w:r>
      <w:r w:rsidR="0077432F" w:rsidRPr="00261B7A">
        <w:t> </w:t>
      </w:r>
      <w:r w:rsidRPr="00261B7A">
        <w:t>kt CO</w:t>
      </w:r>
      <w:r w:rsidRPr="00261B7A">
        <w:rPr>
          <w:vertAlign w:val="subscript"/>
        </w:rPr>
        <w:t>2</w:t>
      </w:r>
      <w:r w:rsidRPr="00261B7A">
        <w:t>-e in 1990 to 3,214.9 kt CO</w:t>
      </w:r>
      <w:r w:rsidRPr="00261B7A">
        <w:rPr>
          <w:vertAlign w:val="subscript"/>
        </w:rPr>
        <w:t>2</w:t>
      </w:r>
      <w:r w:rsidRPr="00261B7A">
        <w:t>-e</w:t>
      </w:r>
      <w:r w:rsidRPr="00261B7A" w:rsidDel="00F003AE">
        <w:t xml:space="preserve"> </w:t>
      </w:r>
      <w:r w:rsidRPr="00261B7A">
        <w:t>in 2021.</w:t>
      </w:r>
    </w:p>
    <w:p w14:paraId="3CBF2966" w14:textId="77777777" w:rsidR="00B0004A" w:rsidRPr="00261B7A" w:rsidRDefault="00B0004A" w:rsidP="00B0004A">
      <w:pPr>
        <w:pStyle w:val="BodyText"/>
      </w:pPr>
      <w:r w:rsidRPr="00261B7A">
        <w:t>Annual emissions increased between 1990 and 2002, peaking at 4,470.0 kt CO</w:t>
      </w:r>
      <w:r w:rsidRPr="00261B7A">
        <w:rPr>
          <w:vertAlign w:val="subscript"/>
        </w:rPr>
        <w:t>2</w:t>
      </w:r>
      <w:r w:rsidRPr="00261B7A">
        <w:t>-e in 2002, and have generally decreased since that time. Growth in population and economic activity since 1990 has resulted in increasing volumes of solid waste and wastewater for the whole of the time series. Ongoing improvements in the management of solid waste disposal at municipal landfills have meant total Waste sector emissions have been trending down since 2005, in spite of increasing volumes of solid waste and wastewater. The reduction in emissions is primarily the result of increased CH</w:t>
      </w:r>
      <w:r w:rsidRPr="00261B7A">
        <w:rPr>
          <w:vertAlign w:val="subscript"/>
        </w:rPr>
        <w:t>4</w:t>
      </w:r>
      <w:r w:rsidRPr="00261B7A">
        <w:t xml:space="preserve"> recovery driven by the National Environmental Standards for Air Quality introduced in 2004 and also by the NZ ETS since 2013. The trends are shown in figure 2.2.11 and in chapter 7, figure 7.1.2 and figure 7.1.3.</w:t>
      </w:r>
    </w:p>
    <w:p w14:paraId="0CA3F684" w14:textId="77777777" w:rsidR="00B0004A" w:rsidRPr="00261B7A" w:rsidRDefault="00B0004A" w:rsidP="00B0004A">
      <w:pPr>
        <w:pStyle w:val="Figure"/>
      </w:pPr>
      <w:bookmarkStart w:id="186" w:name="_Toc129861466"/>
      <w:bookmarkStart w:id="187" w:name="_Toc131591533"/>
      <w:r w:rsidRPr="00261B7A">
        <w:t xml:space="preserve">Figure 2.2.11 </w:t>
      </w:r>
      <w:r w:rsidRPr="00261B7A">
        <w:tab/>
        <w:t xml:space="preserve">New Zealand’s Waste sector emissions from </w:t>
      </w:r>
      <w:r w:rsidRPr="00261B7A">
        <w:rPr>
          <w:bCs/>
        </w:rPr>
        <w:t>1990</w:t>
      </w:r>
      <w:r w:rsidRPr="00261B7A">
        <w:t xml:space="preserve"> to </w:t>
      </w:r>
      <w:r w:rsidRPr="00261B7A">
        <w:rPr>
          <w:bCs/>
        </w:rPr>
        <w:t>2021</w:t>
      </w:r>
      <w:bookmarkEnd w:id="186"/>
      <w:bookmarkEnd w:id="187"/>
    </w:p>
    <w:p w14:paraId="0934CBDF" w14:textId="77777777" w:rsidR="00B0004A" w:rsidRPr="00261B7A" w:rsidRDefault="00B0004A" w:rsidP="00B0004A">
      <w:pPr>
        <w:pStyle w:val="BodyText"/>
      </w:pPr>
      <w:r w:rsidRPr="00261B7A">
        <w:rPr>
          <w:noProof/>
        </w:rPr>
        <w:drawing>
          <wp:inline distT="0" distB="0" distL="0" distR="0" wp14:anchorId="411D29E6" wp14:editId="16DD22EA">
            <wp:extent cx="5397500" cy="4048125"/>
            <wp:effectExtent l="0" t="0" r="0" b="0"/>
            <wp:docPr id="89" name="Picture 89"/>
            <wp:cNvGraphicFramePr/>
            <a:graphic xmlns:a="http://schemas.openxmlformats.org/drawingml/2006/main">
              <a:graphicData uri="http://schemas.openxmlformats.org/drawingml/2006/picture">
                <pic:pic xmlns:pic="http://schemas.openxmlformats.org/drawingml/2006/picture">
                  <pic:nvPicPr>
                    <pic:cNvPr id="90" name="Picture" descr="code/graphs/images/fig_2_2_11_crf.png"/>
                    <pic:cNvPicPr>
                      <a:picLocks noChangeAspect="1" noChangeArrowheads="1"/>
                    </pic:cNvPicPr>
                  </pic:nvPicPr>
                  <pic:blipFill>
                    <a:blip r:embed="rId57"/>
                    <a:stretch>
                      <a:fillRect/>
                    </a:stretch>
                  </pic:blipFill>
                  <pic:spPr bwMode="auto">
                    <a:xfrm>
                      <a:off x="0" y="0"/>
                      <a:ext cx="5397500" cy="4048125"/>
                    </a:xfrm>
                    <a:prstGeom prst="rect">
                      <a:avLst/>
                    </a:prstGeom>
                    <a:noFill/>
                    <a:ln w="9525">
                      <a:noFill/>
                      <a:headEnd/>
                      <a:tailEnd/>
                    </a:ln>
                  </pic:spPr>
                </pic:pic>
              </a:graphicData>
            </a:graphic>
          </wp:inline>
        </w:drawing>
      </w:r>
    </w:p>
    <w:p w14:paraId="497DDA0A" w14:textId="77777777" w:rsidR="00B0004A" w:rsidRPr="00261B7A" w:rsidRDefault="00B0004A" w:rsidP="00B0004A">
      <w:pPr>
        <w:pStyle w:val="Heading5"/>
      </w:pPr>
      <w:bookmarkStart w:id="188" w:name="section-16"/>
      <w:bookmarkEnd w:id="185"/>
      <w:r w:rsidRPr="00261B7A">
        <w:t>2020–2021</w:t>
      </w:r>
    </w:p>
    <w:p w14:paraId="7C229C07" w14:textId="77777777" w:rsidR="00B0004A" w:rsidRPr="00261B7A" w:rsidRDefault="00B0004A" w:rsidP="00B0004A">
      <w:pPr>
        <w:pStyle w:val="BodyText"/>
      </w:pPr>
      <w:r w:rsidRPr="00261B7A">
        <w:t>Between 2020 and 2021, emissions from the Waste sector decreased by 1.6 per cent (51.6 kt CO</w:t>
      </w:r>
      <w:r w:rsidRPr="00261B7A">
        <w:rPr>
          <w:vertAlign w:val="subscript"/>
        </w:rPr>
        <w:t>2</w:t>
      </w:r>
      <w:r w:rsidRPr="00261B7A">
        <w:t>-e). This decrease is largely the result of decreases in CH</w:t>
      </w:r>
      <w:r w:rsidRPr="00261B7A">
        <w:rPr>
          <w:vertAlign w:val="subscript"/>
        </w:rPr>
        <w:t>4</w:t>
      </w:r>
      <w:r w:rsidRPr="00261B7A">
        <w:t xml:space="preserve"> emissions in the </w:t>
      </w:r>
      <w:r w:rsidRPr="00261B7A">
        <w:rPr>
          <w:i/>
          <w:iCs/>
        </w:rPr>
        <w:t>Managed waste disposal sites</w:t>
      </w:r>
      <w:r w:rsidRPr="00261B7A">
        <w:t xml:space="preserve"> category mainly due to increasing landfill gas capture and changes in the composition of waste, with a reduction in the proportion of garden, food and paper waste disposed to those sites.</w:t>
      </w:r>
    </w:p>
    <w:p w14:paraId="56C8B60C" w14:textId="77777777" w:rsidR="00B0004A" w:rsidRPr="00261B7A" w:rsidRDefault="00B0004A" w:rsidP="00B0004A">
      <w:pPr>
        <w:pStyle w:val="Heading4"/>
      </w:pPr>
      <w:bookmarkStart w:id="189" w:name="other-sector-tokelau"/>
      <w:bookmarkEnd w:id="183"/>
      <w:bookmarkEnd w:id="188"/>
      <w:r w:rsidRPr="00261B7A">
        <w:t>Other sector (Tokelau)</w:t>
      </w:r>
    </w:p>
    <w:p w14:paraId="6CFCCDC9" w14:textId="77777777" w:rsidR="00B0004A" w:rsidRPr="00261B7A" w:rsidRDefault="00B0004A" w:rsidP="00B0004A">
      <w:pPr>
        <w:pStyle w:val="BodyText"/>
      </w:pPr>
      <w:r w:rsidRPr="00261B7A">
        <w:t>Beginning with the 2019 submission, New Zealand’s national inventory includes emissions from Tokelau, which is an overseas dependent territory of New Zealand. Table 2.2.2 shows the contribution of emissions from Tokelau. Generally, in New Zealand’s inventory, net and gross emissions are reported as a total of emissions from New Zealand’s mainland territory, plus emissions from Tokelau where applicable. Because emissions from Tokelau are small, and the methodology used varies greatly between Tokelau’s inventory and the inventory for New Zealand’s mainland territory, emissions from Tokelau are reported in the Other sector. Methodological issues for Tokelau are detailed in chapter 8, separately from the sectoral chapters that focus on methods for New Zealand’s mainland territory only. Annex 7 provides common reporting format tables of the time series for emissions and activity data, and information on methods and emission factors for each sector and category contributing to the gross emissions from Tokelau.</w:t>
      </w:r>
    </w:p>
    <w:p w14:paraId="396F99A5" w14:textId="77777777" w:rsidR="00B0004A" w:rsidRPr="00261B7A" w:rsidRDefault="00B0004A" w:rsidP="00B0004A">
      <w:pPr>
        <w:pStyle w:val="BodyText"/>
      </w:pPr>
      <w:r w:rsidRPr="00261B7A">
        <w:t xml:space="preserve">Due to its small land area, small population and absence of industry, Tokelau has a very low </w:t>
      </w:r>
      <w:r w:rsidRPr="00261B7A">
        <w:rPr>
          <w:spacing w:val="-2"/>
        </w:rPr>
        <w:t>impact on the environment and emits very small amounts of GHGs. In relative terms, emissions</w:t>
      </w:r>
      <w:r w:rsidRPr="00261B7A">
        <w:t xml:space="preserve"> have increased overall since 1990, due to increasing per capita consumption despite a decrease in population. Tokelau produces mainly CO</w:t>
      </w:r>
      <w:r w:rsidRPr="00261B7A">
        <w:rPr>
          <w:vertAlign w:val="subscript"/>
        </w:rPr>
        <w:t>2</w:t>
      </w:r>
      <w:r w:rsidRPr="00261B7A">
        <w:t xml:space="preserve"> emissions (53.6 per cent) and CH</w:t>
      </w:r>
      <w:r w:rsidRPr="00261B7A">
        <w:rPr>
          <w:vertAlign w:val="subscript"/>
        </w:rPr>
        <w:t>4</w:t>
      </w:r>
      <w:r w:rsidRPr="00261B7A">
        <w:t xml:space="preserve"> emissions (39.1 per cent) followed by HFCs (6.2 per cent) and N</w:t>
      </w:r>
      <w:r w:rsidRPr="00261B7A">
        <w:rPr>
          <w:vertAlign w:val="subscript"/>
        </w:rPr>
        <w:t>2</w:t>
      </w:r>
      <w:r w:rsidRPr="00261B7A">
        <w:t>O emissions (1.2 per cent). Emissions from HFCs largely come from the use of domestic fridges and freezers.</w:t>
      </w:r>
    </w:p>
    <w:p w14:paraId="09663213" w14:textId="77777777" w:rsidR="00B0004A" w:rsidRPr="00261B7A" w:rsidRDefault="00B0004A" w:rsidP="00B0004A">
      <w:pPr>
        <w:pStyle w:val="Table"/>
      </w:pPr>
      <w:bookmarkStart w:id="190" w:name="_Toc129861419"/>
      <w:bookmarkStart w:id="191" w:name="_Toc131591315"/>
      <w:r w:rsidRPr="00261B7A">
        <w:t xml:space="preserve">Table 2.2.2 </w:t>
      </w:r>
      <w:r w:rsidRPr="00261B7A">
        <w:tab/>
        <w:t>Emissions from Tokelau, 1990 and 2021</w:t>
      </w:r>
      <w:bookmarkEnd w:id="190"/>
      <w:bookmarkEnd w:id="191"/>
    </w:p>
    <w:tbl>
      <w:tblPr>
        <w:tblW w:w="8494"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1561"/>
        <w:gridCol w:w="562"/>
        <w:gridCol w:w="562"/>
        <w:gridCol w:w="1499"/>
        <w:gridCol w:w="1062"/>
        <w:gridCol w:w="1624"/>
        <w:gridCol w:w="1624"/>
      </w:tblGrid>
      <w:tr w:rsidR="00B0004A" w:rsidRPr="00261B7A" w14:paraId="3F86C957" w14:textId="77777777" w:rsidTr="003A763F">
        <w:trPr>
          <w:tblHeader/>
        </w:trPr>
        <w:tc>
          <w:tcPr>
            <w:tcW w:w="1418" w:type="dxa"/>
            <w:shd w:val="clear" w:color="auto" w:fill="1B556B"/>
            <w:vAlign w:val="bottom"/>
          </w:tcPr>
          <w:p w14:paraId="309BC24B" w14:textId="77777777" w:rsidR="00B0004A" w:rsidRPr="00261B7A" w:rsidRDefault="00B0004A" w:rsidP="003A763F">
            <w:pPr>
              <w:pStyle w:val="TableText"/>
              <w:rPr>
                <w:b/>
                <w:bCs/>
                <w:color w:val="FFFFFF" w:themeColor="background1"/>
              </w:rPr>
            </w:pPr>
            <w:r w:rsidRPr="00261B7A">
              <w:rPr>
                <w:rFonts w:eastAsia="Calibri"/>
                <w:b/>
                <w:bCs/>
                <w:color w:val="FFFFFF" w:themeColor="background1"/>
              </w:rPr>
              <w:t>Sector</w:t>
            </w:r>
          </w:p>
        </w:tc>
        <w:tc>
          <w:tcPr>
            <w:tcW w:w="510" w:type="dxa"/>
            <w:shd w:val="clear" w:color="auto" w:fill="1B556B"/>
            <w:vAlign w:val="bottom"/>
          </w:tcPr>
          <w:p w14:paraId="62798458" w14:textId="77777777" w:rsidR="00B0004A" w:rsidRPr="00261B7A" w:rsidRDefault="00B0004A" w:rsidP="003A763F">
            <w:pPr>
              <w:pStyle w:val="TableText"/>
              <w:jc w:val="right"/>
              <w:rPr>
                <w:b/>
                <w:bCs/>
                <w:color w:val="FFFFFF" w:themeColor="background1"/>
              </w:rPr>
            </w:pPr>
            <w:r w:rsidRPr="00261B7A">
              <w:rPr>
                <w:rFonts w:eastAsia="Calibri"/>
                <w:b/>
                <w:bCs/>
                <w:color w:val="FFFFFF" w:themeColor="background1"/>
              </w:rPr>
              <w:t>1990</w:t>
            </w:r>
          </w:p>
        </w:tc>
        <w:tc>
          <w:tcPr>
            <w:tcW w:w="510" w:type="dxa"/>
            <w:shd w:val="clear" w:color="auto" w:fill="1B556B"/>
            <w:vAlign w:val="bottom"/>
          </w:tcPr>
          <w:p w14:paraId="6AD720A6" w14:textId="77777777" w:rsidR="00B0004A" w:rsidRPr="00261B7A" w:rsidRDefault="00B0004A" w:rsidP="003A763F">
            <w:pPr>
              <w:pStyle w:val="TableText"/>
              <w:jc w:val="right"/>
              <w:rPr>
                <w:b/>
                <w:bCs/>
                <w:color w:val="FFFFFF" w:themeColor="background1"/>
              </w:rPr>
            </w:pPr>
            <w:r w:rsidRPr="00261B7A">
              <w:rPr>
                <w:rFonts w:eastAsia="Calibri"/>
                <w:b/>
                <w:bCs/>
                <w:color w:val="FFFFFF" w:themeColor="background1"/>
              </w:rPr>
              <w:t>2021</w:t>
            </w:r>
          </w:p>
        </w:tc>
        <w:tc>
          <w:tcPr>
            <w:tcW w:w="1361" w:type="dxa"/>
            <w:shd w:val="clear" w:color="auto" w:fill="1B556B"/>
            <w:vAlign w:val="bottom"/>
          </w:tcPr>
          <w:p w14:paraId="5A0C63BC" w14:textId="77777777" w:rsidR="00B0004A" w:rsidRPr="00261B7A" w:rsidRDefault="00B0004A" w:rsidP="003A763F">
            <w:pPr>
              <w:pStyle w:val="TableText"/>
              <w:jc w:val="right"/>
              <w:rPr>
                <w:b/>
                <w:bCs/>
                <w:color w:val="FFFFFF" w:themeColor="background1"/>
              </w:rPr>
            </w:pPr>
            <w:r w:rsidRPr="00261B7A">
              <w:rPr>
                <w:rFonts w:eastAsia="Calibri"/>
                <w:b/>
                <w:bCs/>
                <w:color w:val="FFFFFF" w:themeColor="background1"/>
              </w:rPr>
              <w:t>Change from 1990 (kt CO</w:t>
            </w:r>
            <w:r w:rsidRPr="00261B7A">
              <w:rPr>
                <w:rFonts w:eastAsia="Calibri"/>
                <w:b/>
                <w:bCs/>
                <w:color w:val="FFFFFF" w:themeColor="background1"/>
                <w:vertAlign w:val="subscript"/>
              </w:rPr>
              <w:t>2</w:t>
            </w:r>
            <w:r w:rsidRPr="00261B7A">
              <w:rPr>
                <w:rFonts w:eastAsia="Calibri"/>
                <w:b/>
                <w:bCs/>
                <w:color w:val="FFFFFF" w:themeColor="background1"/>
              </w:rPr>
              <w:t>-equivalent)</w:t>
            </w:r>
          </w:p>
        </w:tc>
        <w:tc>
          <w:tcPr>
            <w:tcW w:w="964" w:type="dxa"/>
            <w:shd w:val="clear" w:color="auto" w:fill="1B556B"/>
            <w:vAlign w:val="bottom"/>
          </w:tcPr>
          <w:p w14:paraId="285AFEA3" w14:textId="77777777" w:rsidR="00B0004A" w:rsidRPr="00261B7A" w:rsidRDefault="00B0004A" w:rsidP="003A763F">
            <w:pPr>
              <w:pStyle w:val="TableText"/>
              <w:jc w:val="right"/>
              <w:rPr>
                <w:b/>
                <w:bCs/>
                <w:color w:val="FFFFFF" w:themeColor="background1"/>
              </w:rPr>
            </w:pPr>
            <w:r w:rsidRPr="00261B7A">
              <w:rPr>
                <w:rFonts w:eastAsia="Calibri"/>
                <w:b/>
                <w:bCs/>
                <w:color w:val="FFFFFF" w:themeColor="background1"/>
              </w:rPr>
              <w:t>Change from 1990 (%)</w:t>
            </w:r>
          </w:p>
        </w:tc>
        <w:tc>
          <w:tcPr>
            <w:tcW w:w="1474" w:type="dxa"/>
            <w:shd w:val="clear" w:color="auto" w:fill="1B556B"/>
            <w:vAlign w:val="bottom"/>
          </w:tcPr>
          <w:p w14:paraId="45E776CD" w14:textId="77777777" w:rsidR="00B0004A" w:rsidRPr="00261B7A" w:rsidRDefault="00B0004A" w:rsidP="003A763F">
            <w:pPr>
              <w:pStyle w:val="TableText"/>
              <w:jc w:val="right"/>
              <w:rPr>
                <w:b/>
                <w:bCs/>
                <w:color w:val="FFFFFF" w:themeColor="background1"/>
              </w:rPr>
            </w:pPr>
            <w:r w:rsidRPr="00261B7A">
              <w:rPr>
                <w:rFonts w:eastAsia="Calibri"/>
                <w:b/>
                <w:bCs/>
                <w:color w:val="FFFFFF" w:themeColor="background1"/>
              </w:rPr>
              <w:t>Contribution to gross for Tokelau (%)</w:t>
            </w:r>
          </w:p>
        </w:tc>
        <w:tc>
          <w:tcPr>
            <w:tcW w:w="1474" w:type="dxa"/>
            <w:shd w:val="clear" w:color="auto" w:fill="1B556B"/>
            <w:vAlign w:val="bottom"/>
          </w:tcPr>
          <w:p w14:paraId="5BC56A2B" w14:textId="77777777" w:rsidR="00B0004A" w:rsidRPr="00261B7A" w:rsidRDefault="00B0004A" w:rsidP="003A763F">
            <w:pPr>
              <w:pStyle w:val="TableText"/>
              <w:jc w:val="right"/>
              <w:rPr>
                <w:b/>
                <w:bCs/>
                <w:color w:val="FFFFFF" w:themeColor="background1"/>
              </w:rPr>
            </w:pPr>
            <w:r w:rsidRPr="00261B7A">
              <w:rPr>
                <w:rFonts w:eastAsia="Calibri"/>
                <w:b/>
                <w:bCs/>
                <w:color w:val="FFFFFF" w:themeColor="background1"/>
              </w:rPr>
              <w:t>Contribution to gross NZ (incl Tokelau) (%)</w:t>
            </w:r>
          </w:p>
        </w:tc>
      </w:tr>
      <w:tr w:rsidR="00B0004A" w:rsidRPr="00261B7A" w14:paraId="1B3E2CC2" w14:textId="77777777" w:rsidTr="003A763F">
        <w:tc>
          <w:tcPr>
            <w:tcW w:w="1418" w:type="dxa"/>
            <w:shd w:val="clear" w:color="auto" w:fill="FFFFFF"/>
          </w:tcPr>
          <w:p w14:paraId="30E6E0A7" w14:textId="77777777" w:rsidR="00B0004A" w:rsidRPr="00261B7A" w:rsidRDefault="00B0004A" w:rsidP="003A763F">
            <w:pPr>
              <w:pStyle w:val="TableText"/>
            </w:pPr>
            <w:r w:rsidRPr="00261B7A">
              <w:rPr>
                <w:rFonts w:eastAsia="Calibri"/>
                <w:color w:val="000000"/>
              </w:rPr>
              <w:t>Energy for Tokelau</w:t>
            </w:r>
          </w:p>
        </w:tc>
        <w:tc>
          <w:tcPr>
            <w:tcW w:w="510" w:type="dxa"/>
            <w:shd w:val="clear" w:color="auto" w:fill="FFFFFF"/>
          </w:tcPr>
          <w:p w14:paraId="24453C8A" w14:textId="77777777" w:rsidR="00B0004A" w:rsidRPr="00261B7A" w:rsidRDefault="00B0004A" w:rsidP="003A763F">
            <w:pPr>
              <w:pStyle w:val="TableText"/>
              <w:jc w:val="right"/>
            </w:pPr>
            <w:r w:rsidRPr="00261B7A">
              <w:rPr>
                <w:rFonts w:eastAsia="Calibri"/>
                <w:color w:val="000000"/>
              </w:rPr>
              <w:t>1.26</w:t>
            </w:r>
          </w:p>
        </w:tc>
        <w:tc>
          <w:tcPr>
            <w:tcW w:w="510" w:type="dxa"/>
            <w:shd w:val="clear" w:color="auto" w:fill="FFFFFF"/>
          </w:tcPr>
          <w:p w14:paraId="0F3033C2" w14:textId="77777777" w:rsidR="00B0004A" w:rsidRPr="00261B7A" w:rsidRDefault="00B0004A" w:rsidP="003A763F">
            <w:pPr>
              <w:pStyle w:val="TableText"/>
              <w:jc w:val="right"/>
            </w:pPr>
            <w:r w:rsidRPr="00261B7A">
              <w:rPr>
                <w:rFonts w:eastAsia="Calibri"/>
                <w:color w:val="000000"/>
              </w:rPr>
              <w:t>2.01</w:t>
            </w:r>
          </w:p>
        </w:tc>
        <w:tc>
          <w:tcPr>
            <w:tcW w:w="1361" w:type="dxa"/>
            <w:shd w:val="clear" w:color="auto" w:fill="FFFFFF"/>
          </w:tcPr>
          <w:p w14:paraId="473E40BD" w14:textId="77777777" w:rsidR="00B0004A" w:rsidRPr="00261B7A" w:rsidRDefault="00B0004A" w:rsidP="003A763F">
            <w:pPr>
              <w:pStyle w:val="TableText"/>
              <w:jc w:val="right"/>
            </w:pPr>
            <w:r w:rsidRPr="00261B7A">
              <w:rPr>
                <w:rFonts w:eastAsia="Calibri"/>
                <w:color w:val="000000"/>
              </w:rPr>
              <w:t>0.74</w:t>
            </w:r>
          </w:p>
        </w:tc>
        <w:tc>
          <w:tcPr>
            <w:tcW w:w="964" w:type="dxa"/>
            <w:shd w:val="clear" w:color="auto" w:fill="FFFFFF"/>
          </w:tcPr>
          <w:p w14:paraId="3A467365" w14:textId="77777777" w:rsidR="00B0004A" w:rsidRPr="00261B7A" w:rsidRDefault="00B0004A" w:rsidP="003A763F">
            <w:pPr>
              <w:pStyle w:val="TableText"/>
              <w:jc w:val="right"/>
            </w:pPr>
            <w:r w:rsidRPr="00261B7A">
              <w:rPr>
                <w:rFonts w:eastAsia="Calibri"/>
                <w:color w:val="000000"/>
              </w:rPr>
              <w:t>58.68</w:t>
            </w:r>
          </w:p>
        </w:tc>
        <w:tc>
          <w:tcPr>
            <w:tcW w:w="1474" w:type="dxa"/>
            <w:shd w:val="clear" w:color="auto" w:fill="FFFFFF"/>
          </w:tcPr>
          <w:p w14:paraId="3BC5B046" w14:textId="77777777" w:rsidR="00B0004A" w:rsidRPr="00261B7A" w:rsidRDefault="00B0004A" w:rsidP="003A763F">
            <w:pPr>
              <w:pStyle w:val="TableText"/>
              <w:jc w:val="right"/>
            </w:pPr>
            <w:r w:rsidRPr="00261B7A">
              <w:rPr>
                <w:rFonts w:eastAsia="Calibri"/>
                <w:color w:val="000000"/>
              </w:rPr>
              <w:t>53.04</w:t>
            </w:r>
          </w:p>
        </w:tc>
        <w:tc>
          <w:tcPr>
            <w:tcW w:w="1474" w:type="dxa"/>
            <w:shd w:val="clear" w:color="auto" w:fill="FFFFFF"/>
          </w:tcPr>
          <w:p w14:paraId="2A084B51" w14:textId="77777777" w:rsidR="00B0004A" w:rsidRPr="00261B7A" w:rsidRDefault="00B0004A" w:rsidP="003A763F">
            <w:pPr>
              <w:pStyle w:val="TableText"/>
              <w:jc w:val="right"/>
            </w:pPr>
            <w:r w:rsidRPr="00261B7A">
              <w:rPr>
                <w:rFonts w:eastAsia="Calibri"/>
                <w:color w:val="000000"/>
              </w:rPr>
              <w:t>0.003</w:t>
            </w:r>
          </w:p>
        </w:tc>
      </w:tr>
      <w:tr w:rsidR="00B0004A" w:rsidRPr="00261B7A" w14:paraId="0F93FAC9" w14:textId="77777777" w:rsidTr="003A763F">
        <w:tc>
          <w:tcPr>
            <w:tcW w:w="1418" w:type="dxa"/>
            <w:shd w:val="clear" w:color="auto" w:fill="FFFFFF"/>
          </w:tcPr>
          <w:p w14:paraId="3B47C925" w14:textId="77777777" w:rsidR="00B0004A" w:rsidRPr="00261B7A" w:rsidRDefault="00B0004A" w:rsidP="003A763F">
            <w:pPr>
              <w:pStyle w:val="TableText"/>
            </w:pPr>
            <w:r w:rsidRPr="00261B7A">
              <w:rPr>
                <w:rFonts w:eastAsia="Calibri"/>
                <w:color w:val="000000"/>
              </w:rPr>
              <w:t>IPPU for Tokelau</w:t>
            </w:r>
          </w:p>
        </w:tc>
        <w:tc>
          <w:tcPr>
            <w:tcW w:w="510" w:type="dxa"/>
            <w:shd w:val="clear" w:color="auto" w:fill="FFFFFF"/>
          </w:tcPr>
          <w:p w14:paraId="4BFC72E6" w14:textId="77777777" w:rsidR="00B0004A" w:rsidRPr="00261B7A" w:rsidRDefault="00B0004A" w:rsidP="003A763F">
            <w:pPr>
              <w:pStyle w:val="TableText"/>
              <w:jc w:val="right"/>
            </w:pPr>
            <w:r w:rsidRPr="00261B7A">
              <w:rPr>
                <w:rFonts w:eastAsia="Calibri"/>
                <w:color w:val="000000"/>
              </w:rPr>
              <w:t>0.05</w:t>
            </w:r>
          </w:p>
        </w:tc>
        <w:tc>
          <w:tcPr>
            <w:tcW w:w="510" w:type="dxa"/>
            <w:shd w:val="clear" w:color="auto" w:fill="FFFFFF"/>
          </w:tcPr>
          <w:p w14:paraId="2ED0AEF5" w14:textId="77777777" w:rsidR="00B0004A" w:rsidRPr="00261B7A" w:rsidRDefault="00B0004A" w:rsidP="003A763F">
            <w:pPr>
              <w:pStyle w:val="TableText"/>
              <w:jc w:val="right"/>
            </w:pPr>
            <w:r w:rsidRPr="00261B7A">
              <w:rPr>
                <w:rFonts w:eastAsia="Calibri"/>
                <w:color w:val="000000"/>
              </w:rPr>
              <w:t>0.26</w:t>
            </w:r>
          </w:p>
        </w:tc>
        <w:tc>
          <w:tcPr>
            <w:tcW w:w="1361" w:type="dxa"/>
            <w:shd w:val="clear" w:color="auto" w:fill="FFFFFF"/>
          </w:tcPr>
          <w:p w14:paraId="16D4B8D6" w14:textId="77777777" w:rsidR="00B0004A" w:rsidRPr="00261B7A" w:rsidRDefault="00B0004A" w:rsidP="003A763F">
            <w:pPr>
              <w:pStyle w:val="TableText"/>
              <w:jc w:val="right"/>
            </w:pPr>
            <w:r w:rsidRPr="00261B7A">
              <w:rPr>
                <w:rFonts w:eastAsia="Calibri"/>
                <w:color w:val="000000"/>
              </w:rPr>
              <w:t>0.21</w:t>
            </w:r>
          </w:p>
        </w:tc>
        <w:tc>
          <w:tcPr>
            <w:tcW w:w="964" w:type="dxa"/>
            <w:shd w:val="clear" w:color="auto" w:fill="FFFFFF"/>
          </w:tcPr>
          <w:p w14:paraId="79C39652" w14:textId="77777777" w:rsidR="00B0004A" w:rsidRPr="00261B7A" w:rsidRDefault="00B0004A" w:rsidP="003A763F">
            <w:pPr>
              <w:pStyle w:val="TableText"/>
              <w:jc w:val="right"/>
            </w:pPr>
            <w:r w:rsidRPr="00261B7A">
              <w:rPr>
                <w:rFonts w:eastAsia="Calibri"/>
                <w:color w:val="000000"/>
              </w:rPr>
              <w:t>441.92</w:t>
            </w:r>
          </w:p>
        </w:tc>
        <w:tc>
          <w:tcPr>
            <w:tcW w:w="1474" w:type="dxa"/>
            <w:shd w:val="clear" w:color="auto" w:fill="FFFFFF"/>
          </w:tcPr>
          <w:p w14:paraId="5F6ACAE9" w14:textId="77777777" w:rsidR="00B0004A" w:rsidRPr="00261B7A" w:rsidRDefault="00B0004A" w:rsidP="003A763F">
            <w:pPr>
              <w:pStyle w:val="TableText"/>
              <w:jc w:val="right"/>
            </w:pPr>
            <w:r w:rsidRPr="00261B7A">
              <w:rPr>
                <w:rFonts w:eastAsia="Calibri"/>
                <w:color w:val="000000"/>
              </w:rPr>
              <w:t>6.75</w:t>
            </w:r>
          </w:p>
        </w:tc>
        <w:tc>
          <w:tcPr>
            <w:tcW w:w="1474" w:type="dxa"/>
            <w:shd w:val="clear" w:color="auto" w:fill="FFFFFF"/>
          </w:tcPr>
          <w:p w14:paraId="1EF7480E" w14:textId="77777777" w:rsidR="00B0004A" w:rsidRPr="00261B7A" w:rsidRDefault="00B0004A" w:rsidP="003A763F">
            <w:pPr>
              <w:pStyle w:val="TableText"/>
              <w:jc w:val="right"/>
            </w:pPr>
            <w:r w:rsidRPr="00261B7A">
              <w:rPr>
                <w:rFonts w:eastAsia="Calibri"/>
                <w:color w:val="000000"/>
              </w:rPr>
              <w:t>0.000</w:t>
            </w:r>
          </w:p>
        </w:tc>
      </w:tr>
      <w:tr w:rsidR="00B0004A" w:rsidRPr="00261B7A" w14:paraId="6C9F9434" w14:textId="77777777" w:rsidTr="003A763F">
        <w:tc>
          <w:tcPr>
            <w:tcW w:w="1418" w:type="dxa"/>
            <w:shd w:val="clear" w:color="auto" w:fill="FFFFFF"/>
          </w:tcPr>
          <w:p w14:paraId="3B089F40" w14:textId="77777777" w:rsidR="00B0004A" w:rsidRPr="00261B7A" w:rsidRDefault="00B0004A" w:rsidP="003A763F">
            <w:pPr>
              <w:pStyle w:val="TableText"/>
            </w:pPr>
            <w:r w:rsidRPr="00261B7A">
              <w:rPr>
                <w:rFonts w:eastAsia="Calibri"/>
                <w:color w:val="000000"/>
              </w:rPr>
              <w:t>Agriculture for Tokelau</w:t>
            </w:r>
          </w:p>
        </w:tc>
        <w:tc>
          <w:tcPr>
            <w:tcW w:w="510" w:type="dxa"/>
            <w:shd w:val="clear" w:color="auto" w:fill="FFFFFF"/>
          </w:tcPr>
          <w:p w14:paraId="54D236DC" w14:textId="77777777" w:rsidR="00B0004A" w:rsidRPr="00261B7A" w:rsidRDefault="00B0004A" w:rsidP="003A763F">
            <w:pPr>
              <w:pStyle w:val="TableText"/>
              <w:jc w:val="right"/>
            </w:pPr>
            <w:r w:rsidRPr="00261B7A">
              <w:rPr>
                <w:rFonts w:eastAsia="Calibri"/>
                <w:color w:val="000000"/>
              </w:rPr>
              <w:t>1.15</w:t>
            </w:r>
          </w:p>
        </w:tc>
        <w:tc>
          <w:tcPr>
            <w:tcW w:w="510" w:type="dxa"/>
            <w:shd w:val="clear" w:color="auto" w:fill="FFFFFF"/>
          </w:tcPr>
          <w:p w14:paraId="1F8F833F" w14:textId="77777777" w:rsidR="00B0004A" w:rsidRPr="00261B7A" w:rsidRDefault="00B0004A" w:rsidP="003A763F">
            <w:pPr>
              <w:pStyle w:val="TableText"/>
              <w:jc w:val="right"/>
            </w:pPr>
            <w:r w:rsidRPr="00261B7A">
              <w:rPr>
                <w:rFonts w:eastAsia="Calibri"/>
                <w:color w:val="000000"/>
              </w:rPr>
              <w:t>0.82</w:t>
            </w:r>
          </w:p>
        </w:tc>
        <w:tc>
          <w:tcPr>
            <w:tcW w:w="1361" w:type="dxa"/>
            <w:shd w:val="clear" w:color="auto" w:fill="FFFFFF"/>
          </w:tcPr>
          <w:p w14:paraId="5FAABBE3" w14:textId="77777777" w:rsidR="00B0004A" w:rsidRPr="00261B7A" w:rsidRDefault="00B0004A" w:rsidP="003A763F">
            <w:pPr>
              <w:pStyle w:val="TableText"/>
              <w:jc w:val="right"/>
            </w:pPr>
            <w:r w:rsidRPr="00261B7A">
              <w:rPr>
                <w:rFonts w:eastAsia="Calibri"/>
                <w:color w:val="000000"/>
              </w:rPr>
              <w:t>–0.33</w:t>
            </w:r>
          </w:p>
        </w:tc>
        <w:tc>
          <w:tcPr>
            <w:tcW w:w="964" w:type="dxa"/>
            <w:shd w:val="clear" w:color="auto" w:fill="FFFFFF"/>
          </w:tcPr>
          <w:p w14:paraId="33F6CF8E" w14:textId="77777777" w:rsidR="00B0004A" w:rsidRPr="00261B7A" w:rsidRDefault="00B0004A" w:rsidP="003A763F">
            <w:pPr>
              <w:pStyle w:val="TableText"/>
              <w:jc w:val="right"/>
            </w:pPr>
            <w:r w:rsidRPr="00261B7A">
              <w:rPr>
                <w:rFonts w:eastAsia="Calibri"/>
                <w:color w:val="000000"/>
              </w:rPr>
              <w:t>–28.29</w:t>
            </w:r>
          </w:p>
        </w:tc>
        <w:tc>
          <w:tcPr>
            <w:tcW w:w="1474" w:type="dxa"/>
            <w:shd w:val="clear" w:color="auto" w:fill="FFFFFF"/>
          </w:tcPr>
          <w:p w14:paraId="1E853721" w14:textId="77777777" w:rsidR="00B0004A" w:rsidRPr="00261B7A" w:rsidRDefault="00B0004A" w:rsidP="003A763F">
            <w:pPr>
              <w:pStyle w:val="TableText"/>
              <w:jc w:val="right"/>
            </w:pPr>
            <w:r w:rsidRPr="00261B7A">
              <w:rPr>
                <w:rFonts w:eastAsia="Calibri"/>
                <w:color w:val="000000"/>
              </w:rPr>
              <w:t>21.79</w:t>
            </w:r>
          </w:p>
        </w:tc>
        <w:tc>
          <w:tcPr>
            <w:tcW w:w="1474" w:type="dxa"/>
            <w:shd w:val="clear" w:color="auto" w:fill="FFFFFF"/>
          </w:tcPr>
          <w:p w14:paraId="77A0BDD5" w14:textId="77777777" w:rsidR="00B0004A" w:rsidRPr="00261B7A" w:rsidRDefault="00B0004A" w:rsidP="003A763F">
            <w:pPr>
              <w:pStyle w:val="TableText"/>
              <w:jc w:val="right"/>
            </w:pPr>
            <w:r w:rsidRPr="00261B7A">
              <w:rPr>
                <w:rFonts w:eastAsia="Calibri"/>
                <w:color w:val="000000"/>
              </w:rPr>
              <w:t>0.001</w:t>
            </w:r>
          </w:p>
        </w:tc>
      </w:tr>
      <w:tr w:rsidR="00B0004A" w:rsidRPr="00261B7A" w14:paraId="2DF58B25" w14:textId="77777777" w:rsidTr="003A763F">
        <w:tc>
          <w:tcPr>
            <w:tcW w:w="1418" w:type="dxa"/>
            <w:shd w:val="clear" w:color="auto" w:fill="FFFFFF"/>
          </w:tcPr>
          <w:p w14:paraId="41058A99" w14:textId="77777777" w:rsidR="00B0004A" w:rsidRPr="00261B7A" w:rsidRDefault="00B0004A" w:rsidP="003A763F">
            <w:pPr>
              <w:pStyle w:val="TableText"/>
            </w:pPr>
            <w:r w:rsidRPr="00261B7A">
              <w:rPr>
                <w:rFonts w:eastAsia="Calibri"/>
                <w:color w:val="000000"/>
              </w:rPr>
              <w:t>Waste for Tokelau</w:t>
            </w:r>
          </w:p>
        </w:tc>
        <w:tc>
          <w:tcPr>
            <w:tcW w:w="510" w:type="dxa"/>
            <w:shd w:val="clear" w:color="auto" w:fill="FFFFFF"/>
          </w:tcPr>
          <w:p w14:paraId="0CA2E53B" w14:textId="77777777" w:rsidR="00B0004A" w:rsidRPr="00261B7A" w:rsidRDefault="00B0004A" w:rsidP="003A763F">
            <w:pPr>
              <w:pStyle w:val="TableText"/>
              <w:jc w:val="right"/>
            </w:pPr>
            <w:r w:rsidRPr="00261B7A">
              <w:rPr>
                <w:rFonts w:eastAsia="Calibri"/>
                <w:color w:val="000000"/>
              </w:rPr>
              <w:t>0.71</w:t>
            </w:r>
          </w:p>
        </w:tc>
        <w:tc>
          <w:tcPr>
            <w:tcW w:w="510" w:type="dxa"/>
            <w:shd w:val="clear" w:color="auto" w:fill="FFFFFF"/>
          </w:tcPr>
          <w:p w14:paraId="6040AD26" w14:textId="77777777" w:rsidR="00B0004A" w:rsidRPr="00261B7A" w:rsidRDefault="00B0004A" w:rsidP="003A763F">
            <w:pPr>
              <w:pStyle w:val="TableText"/>
              <w:jc w:val="right"/>
            </w:pPr>
            <w:r w:rsidRPr="00261B7A">
              <w:rPr>
                <w:rFonts w:eastAsia="Calibri"/>
                <w:color w:val="000000"/>
              </w:rPr>
              <w:t>0.70</w:t>
            </w:r>
          </w:p>
        </w:tc>
        <w:tc>
          <w:tcPr>
            <w:tcW w:w="1361" w:type="dxa"/>
            <w:shd w:val="clear" w:color="auto" w:fill="FFFFFF"/>
          </w:tcPr>
          <w:p w14:paraId="2C3F64CC" w14:textId="77777777" w:rsidR="00B0004A" w:rsidRPr="00261B7A" w:rsidRDefault="00B0004A" w:rsidP="003A763F">
            <w:pPr>
              <w:pStyle w:val="TableText"/>
              <w:jc w:val="right"/>
            </w:pPr>
            <w:r w:rsidRPr="00261B7A">
              <w:rPr>
                <w:rFonts w:eastAsia="Calibri"/>
                <w:color w:val="000000"/>
              </w:rPr>
              <w:t>–0.01</w:t>
            </w:r>
          </w:p>
        </w:tc>
        <w:tc>
          <w:tcPr>
            <w:tcW w:w="964" w:type="dxa"/>
            <w:shd w:val="clear" w:color="auto" w:fill="FFFFFF"/>
          </w:tcPr>
          <w:p w14:paraId="170A9F5B" w14:textId="77777777" w:rsidR="00B0004A" w:rsidRPr="00261B7A" w:rsidRDefault="00B0004A" w:rsidP="003A763F">
            <w:pPr>
              <w:pStyle w:val="TableText"/>
              <w:jc w:val="right"/>
            </w:pPr>
            <w:r w:rsidRPr="00261B7A">
              <w:rPr>
                <w:rFonts w:eastAsia="Calibri"/>
                <w:color w:val="000000"/>
              </w:rPr>
              <w:t>–1.59</w:t>
            </w:r>
          </w:p>
        </w:tc>
        <w:tc>
          <w:tcPr>
            <w:tcW w:w="1474" w:type="dxa"/>
            <w:shd w:val="clear" w:color="auto" w:fill="FFFFFF"/>
          </w:tcPr>
          <w:p w14:paraId="0D903736" w14:textId="77777777" w:rsidR="00B0004A" w:rsidRPr="00261B7A" w:rsidRDefault="00B0004A" w:rsidP="003A763F">
            <w:pPr>
              <w:pStyle w:val="TableText"/>
              <w:jc w:val="right"/>
            </w:pPr>
            <w:r w:rsidRPr="00261B7A">
              <w:rPr>
                <w:rFonts w:eastAsia="Calibri"/>
                <w:color w:val="000000"/>
              </w:rPr>
              <w:t>18.42</w:t>
            </w:r>
          </w:p>
        </w:tc>
        <w:tc>
          <w:tcPr>
            <w:tcW w:w="1474" w:type="dxa"/>
            <w:shd w:val="clear" w:color="auto" w:fill="FFFFFF"/>
          </w:tcPr>
          <w:p w14:paraId="70A2BB3A" w14:textId="77777777" w:rsidR="00B0004A" w:rsidRPr="00261B7A" w:rsidRDefault="00B0004A" w:rsidP="003A763F">
            <w:pPr>
              <w:pStyle w:val="TableText"/>
              <w:jc w:val="right"/>
            </w:pPr>
            <w:r w:rsidRPr="00261B7A">
              <w:rPr>
                <w:rFonts w:eastAsia="Calibri"/>
                <w:color w:val="000000"/>
              </w:rPr>
              <w:t>0.001</w:t>
            </w:r>
          </w:p>
        </w:tc>
      </w:tr>
      <w:tr w:rsidR="00B0004A" w:rsidRPr="00261B7A" w14:paraId="2A169447" w14:textId="77777777" w:rsidTr="003A763F">
        <w:tc>
          <w:tcPr>
            <w:tcW w:w="1418" w:type="dxa"/>
            <w:shd w:val="clear" w:color="auto" w:fill="FFFFFF"/>
          </w:tcPr>
          <w:p w14:paraId="3FE7D3A6" w14:textId="77777777" w:rsidR="00B0004A" w:rsidRPr="00261B7A" w:rsidRDefault="00B0004A" w:rsidP="003A763F">
            <w:pPr>
              <w:pStyle w:val="TableText"/>
            </w:pPr>
            <w:r w:rsidRPr="00261B7A">
              <w:rPr>
                <w:rFonts w:eastAsia="Calibri"/>
                <w:color w:val="1B556B"/>
              </w:rPr>
              <w:t>Gross emissions for Tokelau</w:t>
            </w:r>
          </w:p>
        </w:tc>
        <w:tc>
          <w:tcPr>
            <w:tcW w:w="510" w:type="dxa"/>
            <w:shd w:val="clear" w:color="auto" w:fill="FFFFFF"/>
          </w:tcPr>
          <w:p w14:paraId="3BAF4C8A" w14:textId="77777777" w:rsidR="00B0004A" w:rsidRPr="00261B7A" w:rsidRDefault="00B0004A" w:rsidP="003A763F">
            <w:pPr>
              <w:pStyle w:val="TableText"/>
              <w:jc w:val="right"/>
            </w:pPr>
            <w:r w:rsidRPr="00261B7A">
              <w:rPr>
                <w:rFonts w:eastAsia="Calibri"/>
                <w:color w:val="1B556B"/>
              </w:rPr>
              <w:t>3.17</w:t>
            </w:r>
          </w:p>
        </w:tc>
        <w:tc>
          <w:tcPr>
            <w:tcW w:w="510" w:type="dxa"/>
            <w:shd w:val="clear" w:color="auto" w:fill="FFFFFF"/>
          </w:tcPr>
          <w:p w14:paraId="4F181DAD" w14:textId="77777777" w:rsidR="00B0004A" w:rsidRPr="00261B7A" w:rsidRDefault="00B0004A" w:rsidP="003A763F">
            <w:pPr>
              <w:pStyle w:val="TableText"/>
              <w:jc w:val="right"/>
            </w:pPr>
            <w:r w:rsidRPr="00261B7A">
              <w:rPr>
                <w:rFonts w:eastAsia="Calibri"/>
                <w:color w:val="1B556B"/>
              </w:rPr>
              <w:t>3.78</w:t>
            </w:r>
          </w:p>
        </w:tc>
        <w:tc>
          <w:tcPr>
            <w:tcW w:w="1361" w:type="dxa"/>
            <w:shd w:val="clear" w:color="auto" w:fill="FFFFFF"/>
          </w:tcPr>
          <w:p w14:paraId="6B3763FD" w14:textId="77777777" w:rsidR="00B0004A" w:rsidRPr="00261B7A" w:rsidRDefault="00B0004A" w:rsidP="003A763F">
            <w:pPr>
              <w:pStyle w:val="TableText"/>
              <w:jc w:val="right"/>
            </w:pPr>
            <w:r w:rsidRPr="00261B7A">
              <w:rPr>
                <w:rFonts w:eastAsia="Calibri"/>
                <w:color w:val="1B556B"/>
              </w:rPr>
              <w:t>0.61</w:t>
            </w:r>
          </w:p>
        </w:tc>
        <w:tc>
          <w:tcPr>
            <w:tcW w:w="964" w:type="dxa"/>
            <w:shd w:val="clear" w:color="auto" w:fill="FFFFFF"/>
          </w:tcPr>
          <w:p w14:paraId="4703E190" w14:textId="77777777" w:rsidR="00B0004A" w:rsidRPr="00261B7A" w:rsidRDefault="00B0004A" w:rsidP="003A763F">
            <w:pPr>
              <w:pStyle w:val="TableText"/>
              <w:jc w:val="right"/>
            </w:pPr>
            <w:r w:rsidRPr="00261B7A">
              <w:rPr>
                <w:rFonts w:eastAsia="Calibri"/>
                <w:color w:val="1B556B"/>
              </w:rPr>
              <w:t>19.37</w:t>
            </w:r>
          </w:p>
        </w:tc>
        <w:tc>
          <w:tcPr>
            <w:tcW w:w="1474" w:type="dxa"/>
            <w:shd w:val="clear" w:color="auto" w:fill="FFFFFF"/>
          </w:tcPr>
          <w:p w14:paraId="7AF12681" w14:textId="77777777" w:rsidR="00B0004A" w:rsidRPr="00261B7A" w:rsidRDefault="00B0004A" w:rsidP="003A763F">
            <w:pPr>
              <w:pStyle w:val="TableText"/>
              <w:jc w:val="right"/>
            </w:pPr>
            <w:r w:rsidRPr="00261B7A">
              <w:rPr>
                <w:rFonts w:eastAsia="Calibri"/>
                <w:color w:val="1B556B"/>
              </w:rPr>
              <w:t>100.00</w:t>
            </w:r>
          </w:p>
        </w:tc>
        <w:tc>
          <w:tcPr>
            <w:tcW w:w="1474" w:type="dxa"/>
            <w:shd w:val="clear" w:color="auto" w:fill="FFFFFF"/>
          </w:tcPr>
          <w:p w14:paraId="105F10DC" w14:textId="77777777" w:rsidR="00B0004A" w:rsidRPr="00261B7A" w:rsidRDefault="00B0004A" w:rsidP="003A763F">
            <w:pPr>
              <w:pStyle w:val="TableText"/>
              <w:jc w:val="right"/>
            </w:pPr>
            <w:r w:rsidRPr="00261B7A">
              <w:rPr>
                <w:rFonts w:eastAsia="Calibri"/>
                <w:color w:val="1B556B"/>
              </w:rPr>
              <w:t>0.005</w:t>
            </w:r>
          </w:p>
        </w:tc>
      </w:tr>
    </w:tbl>
    <w:p w14:paraId="3F431ECA" w14:textId="77777777" w:rsidR="00B0004A" w:rsidRPr="00261B7A" w:rsidRDefault="00B0004A" w:rsidP="00B0004A">
      <w:pPr>
        <w:pStyle w:val="Noteundertable"/>
      </w:pPr>
      <w:r w:rsidRPr="00261B7A">
        <w:rPr>
          <w:b/>
          <w:bCs/>
        </w:rPr>
        <w:t>Note:</w:t>
      </w:r>
      <w:r w:rsidRPr="00261B7A">
        <w:t xml:space="preserve"> </w:t>
      </w:r>
      <w:r w:rsidRPr="00261B7A">
        <w:tab/>
        <w:t>The 2023 submission includes emissions from Tokelau’s largest contributing sectors, which are the Energy, IPPU, Agriculture and Waste sectors. The LULUCF sector is not estimated. Because Tokelau has no planted or managed forests, the LULUCF sector is expected to be insignificant. The percentages may not add up to 100 per cent due to rounding.</w:t>
      </w:r>
    </w:p>
    <w:p w14:paraId="0D0111AA" w14:textId="77777777" w:rsidR="00B0004A" w:rsidRPr="00261B7A" w:rsidRDefault="00B0004A" w:rsidP="00B0004A">
      <w:pPr>
        <w:pStyle w:val="Heading5"/>
      </w:pPr>
      <w:bookmarkStart w:id="192" w:name="section-17"/>
      <w:r w:rsidRPr="00261B7A">
        <w:t>2021</w:t>
      </w:r>
    </w:p>
    <w:p w14:paraId="7D0F57E8" w14:textId="77777777" w:rsidR="00B0004A" w:rsidRPr="00261B7A" w:rsidRDefault="00B0004A" w:rsidP="00B0004A">
      <w:pPr>
        <w:pStyle w:val="BodyText"/>
      </w:pPr>
      <w:r w:rsidRPr="00261B7A">
        <w:t>In 2021, emissions from the Tokelau sector contributed 0.005 per cent (3.78 kt CO</w:t>
      </w:r>
      <w:r w:rsidRPr="00261B7A">
        <w:rPr>
          <w:vertAlign w:val="subscript"/>
        </w:rPr>
        <w:t>2</w:t>
      </w:r>
      <w:r w:rsidRPr="00261B7A">
        <w:t>-e) of New Zealand’s gross GHG emissions.</w:t>
      </w:r>
    </w:p>
    <w:p w14:paraId="50AC657A" w14:textId="77777777" w:rsidR="00B0004A" w:rsidRPr="00261B7A" w:rsidRDefault="00B0004A" w:rsidP="00B0004A">
      <w:pPr>
        <w:pStyle w:val="BodyText"/>
      </w:pPr>
      <w:r w:rsidRPr="00261B7A">
        <w:t xml:space="preserve">The largest source category is </w:t>
      </w:r>
      <w:r w:rsidRPr="00261B7A">
        <w:rPr>
          <w:i/>
          <w:iCs/>
        </w:rPr>
        <w:t>Domestic navigation</w:t>
      </w:r>
      <w:r w:rsidRPr="00261B7A">
        <w:t>, which contributed 69.0 per cent (1.38 kt CO</w:t>
      </w:r>
      <w:r w:rsidRPr="00261B7A">
        <w:rPr>
          <w:vertAlign w:val="subscript"/>
        </w:rPr>
        <w:t>2</w:t>
      </w:r>
      <w:r w:rsidRPr="00261B7A">
        <w:t>-e) of all energy emissions and 36.6 per cent of gross emissions from Tokelau.</w:t>
      </w:r>
    </w:p>
    <w:p w14:paraId="00BDDF74" w14:textId="77777777" w:rsidR="00B0004A" w:rsidRPr="00261B7A" w:rsidRDefault="00B0004A" w:rsidP="00B0004A">
      <w:pPr>
        <w:pStyle w:val="BodyText"/>
      </w:pPr>
      <w:r w:rsidRPr="00261B7A">
        <w:t>Carbon dioxide dominated emissions from Tokelau, contributing 53.6 per cent (2.03 kt CO</w:t>
      </w:r>
      <w:r w:rsidRPr="00261B7A">
        <w:rPr>
          <w:vertAlign w:val="subscript"/>
        </w:rPr>
        <w:t>2</w:t>
      </w:r>
      <w:r w:rsidRPr="00261B7A">
        <w:t>-e) of its total emissions in 2021. At 1.99 kt CO</w:t>
      </w:r>
      <w:r w:rsidRPr="00261B7A">
        <w:rPr>
          <w:vertAlign w:val="subscript"/>
        </w:rPr>
        <w:t>2</w:t>
      </w:r>
      <w:r w:rsidRPr="00261B7A">
        <w:t>, the Energy sector contributed 98.1 per cent of total CO</w:t>
      </w:r>
      <w:r w:rsidRPr="00261B7A">
        <w:rPr>
          <w:vertAlign w:val="subscript"/>
        </w:rPr>
        <w:t>2</w:t>
      </w:r>
      <w:r w:rsidRPr="00261B7A">
        <w:t xml:space="preserve"> emissions, mostly from </w:t>
      </w:r>
      <w:r w:rsidRPr="00261B7A">
        <w:rPr>
          <w:i/>
          <w:iCs/>
        </w:rPr>
        <w:t>Domestic navigation</w:t>
      </w:r>
      <w:r w:rsidRPr="00261B7A">
        <w:t>, with the remaining 1.9 per cent (0.04 kt CO</w:t>
      </w:r>
      <w:r w:rsidRPr="00261B7A">
        <w:rPr>
          <w:vertAlign w:val="subscript"/>
        </w:rPr>
        <w:t>2</w:t>
      </w:r>
      <w:r w:rsidRPr="00261B7A">
        <w:t xml:space="preserve">-e) coming from </w:t>
      </w:r>
      <w:r w:rsidRPr="00261B7A">
        <w:rPr>
          <w:i/>
          <w:iCs/>
        </w:rPr>
        <w:t>Open burning of waste</w:t>
      </w:r>
      <w:r w:rsidRPr="00261B7A">
        <w:t xml:space="preserve"> in the Waste sector.</w:t>
      </w:r>
    </w:p>
    <w:p w14:paraId="0F32085C" w14:textId="77777777" w:rsidR="00B0004A" w:rsidRPr="00261B7A" w:rsidRDefault="00B0004A" w:rsidP="00B0004A">
      <w:pPr>
        <w:pStyle w:val="BodyText"/>
      </w:pPr>
      <w:r w:rsidRPr="00261B7A">
        <w:t>Methane emissions contributed 39.1 per cent (1.48 kt CO</w:t>
      </w:r>
      <w:r w:rsidRPr="00261B7A">
        <w:rPr>
          <w:vertAlign w:val="subscript"/>
        </w:rPr>
        <w:t>2</w:t>
      </w:r>
      <w:r w:rsidRPr="00261B7A">
        <w:t>-e) to the total emissions from Tokelau. The Agriculture sector in Tokelau contributed 55.8 per cent of CH</w:t>
      </w:r>
      <w:r w:rsidRPr="00261B7A">
        <w:rPr>
          <w:vertAlign w:val="subscript"/>
        </w:rPr>
        <w:t>4</w:t>
      </w:r>
      <w:r w:rsidRPr="00261B7A">
        <w:t xml:space="preserve"> emissions (0.82 kt CO</w:t>
      </w:r>
      <w:r w:rsidRPr="00261B7A">
        <w:rPr>
          <w:vertAlign w:val="subscript"/>
        </w:rPr>
        <w:t>2</w:t>
      </w:r>
      <w:r w:rsidRPr="00261B7A">
        <w:t xml:space="preserve">-e), which mostly came from </w:t>
      </w:r>
      <w:r w:rsidRPr="00261B7A">
        <w:rPr>
          <w:i/>
          <w:iCs/>
        </w:rPr>
        <w:t>Manure management</w:t>
      </w:r>
      <w:r w:rsidRPr="00261B7A">
        <w:t>. A significant portion of CH</w:t>
      </w:r>
      <w:r w:rsidRPr="00261B7A">
        <w:rPr>
          <w:vertAlign w:val="subscript"/>
        </w:rPr>
        <w:t>4</w:t>
      </w:r>
      <w:r w:rsidRPr="00261B7A">
        <w:t xml:space="preserve"> emissions, 43.8 per cent (0.65 kt CO</w:t>
      </w:r>
      <w:r w:rsidRPr="00261B7A">
        <w:rPr>
          <w:vertAlign w:val="subscript"/>
        </w:rPr>
        <w:t>2</w:t>
      </w:r>
      <w:r w:rsidRPr="00261B7A">
        <w:t xml:space="preserve">-e), came from the Waste sector, largely from </w:t>
      </w:r>
      <w:r w:rsidRPr="00261B7A">
        <w:rPr>
          <w:i/>
          <w:iCs/>
        </w:rPr>
        <w:t>Solid waste disposal</w:t>
      </w:r>
      <w:r w:rsidRPr="00261B7A">
        <w:t>. The Energy sector contributed the remaining 0.4 per cent of CH</w:t>
      </w:r>
      <w:r w:rsidRPr="00261B7A">
        <w:rPr>
          <w:vertAlign w:val="subscript"/>
        </w:rPr>
        <w:t>4</w:t>
      </w:r>
      <w:r w:rsidRPr="00261B7A">
        <w:t xml:space="preserve"> emissions (0.01 kt CO</w:t>
      </w:r>
      <w:r w:rsidRPr="00261B7A">
        <w:rPr>
          <w:vertAlign w:val="subscript"/>
        </w:rPr>
        <w:t>2</w:t>
      </w:r>
      <w:r w:rsidRPr="00261B7A">
        <w:t xml:space="preserve">-e), which mostly came from </w:t>
      </w:r>
      <w:r w:rsidRPr="00261B7A">
        <w:rPr>
          <w:i/>
          <w:iCs/>
        </w:rPr>
        <w:t>Domestic navigation</w:t>
      </w:r>
      <w:r w:rsidRPr="00261B7A">
        <w:t>.</w:t>
      </w:r>
    </w:p>
    <w:p w14:paraId="0D777323" w14:textId="77777777" w:rsidR="00B0004A" w:rsidRPr="00261B7A" w:rsidRDefault="00B0004A" w:rsidP="00B0004A">
      <w:pPr>
        <w:pStyle w:val="BodyText"/>
      </w:pPr>
      <w:r w:rsidRPr="00261B7A">
        <w:t>Nitrous oxide emissions contributed 1.2 per cent (0.05 kt CO</w:t>
      </w:r>
      <w:r w:rsidRPr="00261B7A">
        <w:rPr>
          <w:vertAlign w:val="subscript"/>
        </w:rPr>
        <w:t>2</w:t>
      </w:r>
      <w:r w:rsidRPr="00261B7A">
        <w:t xml:space="preserve">-e) to the total emissions from Tokelau. The </w:t>
      </w:r>
      <w:r w:rsidRPr="00261B7A">
        <w:rPr>
          <w:i/>
          <w:iCs/>
        </w:rPr>
        <w:t>Medical applications</w:t>
      </w:r>
      <w:r w:rsidRPr="00261B7A">
        <w:t xml:space="preserve"> category in the IPPU sector contributed the largest amount of N</w:t>
      </w:r>
      <w:r w:rsidRPr="00261B7A">
        <w:rPr>
          <w:vertAlign w:val="subscript"/>
        </w:rPr>
        <w:t>2</w:t>
      </w:r>
      <w:r w:rsidRPr="00261B7A">
        <w:t>O, 47.9 per cent (0.02 kt CO</w:t>
      </w:r>
      <w:r w:rsidRPr="00261B7A">
        <w:rPr>
          <w:vertAlign w:val="subscript"/>
        </w:rPr>
        <w:t>2</w:t>
      </w:r>
      <w:r w:rsidRPr="00261B7A">
        <w:t>-e) of the total N</w:t>
      </w:r>
      <w:r w:rsidRPr="00261B7A">
        <w:rPr>
          <w:vertAlign w:val="subscript"/>
        </w:rPr>
        <w:t>2</w:t>
      </w:r>
      <w:r w:rsidRPr="00261B7A">
        <w:t>O. The Energy sector contributed a further 27.3 per cent (0.01 kt CO</w:t>
      </w:r>
      <w:r w:rsidRPr="00261B7A">
        <w:rPr>
          <w:vertAlign w:val="subscript"/>
        </w:rPr>
        <w:t>2</w:t>
      </w:r>
      <w:r w:rsidRPr="00261B7A">
        <w:t xml:space="preserve">-e), which was largely from </w:t>
      </w:r>
      <w:r w:rsidRPr="00261B7A">
        <w:rPr>
          <w:i/>
          <w:iCs/>
        </w:rPr>
        <w:t>Domestic navigation</w:t>
      </w:r>
      <w:r w:rsidRPr="00261B7A">
        <w:t>. The Waste sector contributed the remaining 24.7 per cent of N</w:t>
      </w:r>
      <w:r w:rsidRPr="00261B7A">
        <w:rPr>
          <w:vertAlign w:val="subscript"/>
        </w:rPr>
        <w:t>2</w:t>
      </w:r>
      <w:r w:rsidRPr="00261B7A">
        <w:t>O (0.01 kt CO</w:t>
      </w:r>
      <w:r w:rsidRPr="00261B7A">
        <w:rPr>
          <w:vertAlign w:val="subscript"/>
        </w:rPr>
        <w:t>2</w:t>
      </w:r>
      <w:r w:rsidRPr="00261B7A">
        <w:t xml:space="preserve">-e) from </w:t>
      </w:r>
      <w:r w:rsidRPr="00261B7A">
        <w:rPr>
          <w:i/>
          <w:iCs/>
        </w:rPr>
        <w:t>Open burning</w:t>
      </w:r>
      <w:r w:rsidRPr="00261B7A">
        <w:t>.</w:t>
      </w:r>
    </w:p>
    <w:p w14:paraId="3A88D028" w14:textId="77777777" w:rsidR="00B0004A" w:rsidRPr="00261B7A" w:rsidRDefault="00B0004A" w:rsidP="00B0004A">
      <w:pPr>
        <w:pStyle w:val="BodyText"/>
      </w:pPr>
      <w:r w:rsidRPr="00261B7A">
        <w:t>Emissions of fluorinated gases from Tokelau consisted of HFC emissions only, contributing 6.2 per cent (0.23 kt CO</w:t>
      </w:r>
      <w:r w:rsidRPr="00261B7A">
        <w:rPr>
          <w:vertAlign w:val="subscript"/>
        </w:rPr>
        <w:t>2</w:t>
      </w:r>
      <w:r w:rsidRPr="00261B7A">
        <w:t xml:space="preserve">-e) to the total emissions from Tokelau. These emissions largely resulted from the use of </w:t>
      </w:r>
      <w:r w:rsidRPr="00261B7A">
        <w:rPr>
          <w:i/>
          <w:iCs/>
        </w:rPr>
        <w:t>Air conditioning</w:t>
      </w:r>
      <w:r w:rsidRPr="00261B7A">
        <w:t>. Emissions of PFCs, nitrogen trifluoride and sulphur hexafluoride are not occurring in Tokelau.</w:t>
      </w:r>
    </w:p>
    <w:p w14:paraId="2DA666D6" w14:textId="77777777" w:rsidR="00B0004A" w:rsidRPr="00261B7A" w:rsidRDefault="00B0004A" w:rsidP="00B0004A">
      <w:pPr>
        <w:pStyle w:val="Heading5"/>
      </w:pPr>
      <w:bookmarkStart w:id="193" w:name="section-18"/>
      <w:bookmarkEnd w:id="192"/>
      <w:r w:rsidRPr="00261B7A">
        <w:t>1990–2021</w:t>
      </w:r>
    </w:p>
    <w:p w14:paraId="63C3E8DF" w14:textId="77777777" w:rsidR="00B0004A" w:rsidRPr="00261B7A" w:rsidRDefault="00B0004A" w:rsidP="00B0004A">
      <w:pPr>
        <w:pStyle w:val="BodyText"/>
      </w:pPr>
      <w:r w:rsidRPr="00261B7A">
        <w:t>In 1990, total emissions from Tokelau were 3.17 kt CO</w:t>
      </w:r>
      <w:r w:rsidRPr="00261B7A">
        <w:rPr>
          <w:vertAlign w:val="subscript"/>
        </w:rPr>
        <w:t>2</w:t>
      </w:r>
      <w:r w:rsidRPr="00261B7A">
        <w:t>-e. Between 1990 and 2021, the total emissions increased by 19.4 per cent (0.61 kt CO</w:t>
      </w:r>
      <w:r w:rsidRPr="00261B7A">
        <w:rPr>
          <w:vertAlign w:val="subscript"/>
        </w:rPr>
        <w:t>2</w:t>
      </w:r>
      <w:r w:rsidRPr="00261B7A">
        <w:t>-e) to 3.78 kt CO</w:t>
      </w:r>
      <w:r w:rsidRPr="00261B7A">
        <w:rPr>
          <w:vertAlign w:val="subscript"/>
        </w:rPr>
        <w:t>2</w:t>
      </w:r>
      <w:r w:rsidRPr="00261B7A">
        <w:t>-e (table 2.2.2; chapter 8, table 8.1.2). From 1990 to 2021, the average annual increase in gross emissions was 0.75 per cent.</w:t>
      </w:r>
    </w:p>
    <w:p w14:paraId="6DC997A3" w14:textId="77777777" w:rsidR="00B0004A" w:rsidRPr="00261B7A" w:rsidRDefault="00B0004A" w:rsidP="00B0004A">
      <w:pPr>
        <w:pStyle w:val="BodyText"/>
      </w:pPr>
      <w:r w:rsidRPr="00261B7A">
        <w:t xml:space="preserve">The emission categories that contributed the most to this change were </w:t>
      </w:r>
      <w:r w:rsidRPr="00261B7A">
        <w:rPr>
          <w:i/>
          <w:iCs/>
        </w:rPr>
        <w:t>Domestic navigation</w:t>
      </w:r>
      <w:r w:rsidRPr="00261B7A">
        <w:t xml:space="preserve"> and </w:t>
      </w:r>
      <w:r w:rsidRPr="00261B7A">
        <w:rPr>
          <w:i/>
          <w:iCs/>
        </w:rPr>
        <w:t>Electricity generation</w:t>
      </w:r>
      <w:r w:rsidRPr="00261B7A">
        <w:t>.</w:t>
      </w:r>
    </w:p>
    <w:p w14:paraId="69CB463E" w14:textId="77777777" w:rsidR="00B0004A" w:rsidRPr="00261B7A" w:rsidRDefault="00B0004A" w:rsidP="00B0004A">
      <w:pPr>
        <w:pStyle w:val="BodyText"/>
      </w:pPr>
      <w:r w:rsidRPr="00261B7A">
        <w:t xml:space="preserve">The changes in </w:t>
      </w:r>
      <w:r w:rsidRPr="00261B7A">
        <w:rPr>
          <w:i/>
          <w:iCs/>
        </w:rPr>
        <w:t>Domestic navigation</w:t>
      </w:r>
      <w:r w:rsidRPr="00261B7A">
        <w:t xml:space="preserve"> were a result of Tokelau gaining ownership and use of the ferry </w:t>
      </w:r>
      <w:r w:rsidRPr="00261B7A">
        <w:rPr>
          <w:i/>
          <w:iCs/>
        </w:rPr>
        <w:t>Mataliki</w:t>
      </w:r>
      <w:r w:rsidRPr="00261B7A">
        <w:t xml:space="preserve"> in 2016, cargo vessel </w:t>
      </w:r>
      <w:r w:rsidRPr="00261B7A">
        <w:rPr>
          <w:i/>
          <w:iCs/>
        </w:rPr>
        <w:t>Kalopaga</w:t>
      </w:r>
      <w:r w:rsidRPr="00261B7A">
        <w:t xml:space="preserve"> in 2018, and </w:t>
      </w:r>
      <w:r w:rsidRPr="00261B7A">
        <w:rPr>
          <w:i/>
          <w:iCs/>
        </w:rPr>
        <w:t>Fetu o te Moana</w:t>
      </w:r>
      <w:r w:rsidRPr="00261B7A">
        <w:t xml:space="preserve"> in 2019 leading to an increasing number of sea voyages between the atolls, which increased transport emissions. Emissions from Tokelau’s IPPU sector have also increased mainly due to the introduction of air conditioning after 2006. Further changes in Tokelau’s Energy sector emissions are a significant rise and then drop (by nearly 400 per cent and 82.5 per cent respectively) in the consumption of imported petroleum products used for electricity production in Tokelau. Emissions from Tokelau’s Agriculture sector decreased slightly as a result of a reduced swine population.</w:t>
      </w:r>
    </w:p>
    <w:p w14:paraId="3652A672" w14:textId="77777777" w:rsidR="00B0004A" w:rsidRPr="00261B7A" w:rsidRDefault="00B0004A" w:rsidP="00B0004A">
      <w:pPr>
        <w:pStyle w:val="Figure"/>
      </w:pPr>
      <w:bookmarkStart w:id="194" w:name="_Toc129861467"/>
      <w:bookmarkStart w:id="195" w:name="_Toc131591534"/>
      <w:r w:rsidRPr="00261B7A">
        <w:t xml:space="preserve">Figure 2.2.12 </w:t>
      </w:r>
      <w:r w:rsidRPr="00261B7A">
        <w:tab/>
        <w:t xml:space="preserve">Emissions by sector for Tokelau from </w:t>
      </w:r>
      <w:r w:rsidRPr="00261B7A">
        <w:rPr>
          <w:bCs/>
        </w:rPr>
        <w:t>1990</w:t>
      </w:r>
      <w:r w:rsidRPr="00261B7A">
        <w:t xml:space="preserve"> to </w:t>
      </w:r>
      <w:r w:rsidRPr="00261B7A">
        <w:rPr>
          <w:bCs/>
        </w:rPr>
        <w:t>2021</w:t>
      </w:r>
      <w:bookmarkEnd w:id="194"/>
      <w:bookmarkEnd w:id="195"/>
    </w:p>
    <w:p w14:paraId="1BC828CD" w14:textId="77777777" w:rsidR="00B0004A" w:rsidRPr="00261B7A" w:rsidRDefault="00B0004A" w:rsidP="00B0004A">
      <w:pPr>
        <w:pStyle w:val="BodyText"/>
      </w:pPr>
      <w:r w:rsidRPr="00261B7A">
        <w:rPr>
          <w:noProof/>
        </w:rPr>
        <w:drawing>
          <wp:inline distT="0" distB="0" distL="0" distR="0" wp14:anchorId="3C9133FD" wp14:editId="2984479B">
            <wp:extent cx="5397500" cy="3983181"/>
            <wp:effectExtent l="0" t="0" r="0" b="0"/>
            <wp:docPr id="96" name="Picture 96"/>
            <wp:cNvGraphicFramePr/>
            <a:graphic xmlns:a="http://schemas.openxmlformats.org/drawingml/2006/main">
              <a:graphicData uri="http://schemas.openxmlformats.org/drawingml/2006/picture">
                <pic:pic xmlns:pic="http://schemas.openxmlformats.org/drawingml/2006/picture">
                  <pic:nvPicPr>
                    <pic:cNvPr id="97" name="Picture" descr="code/graphs/images/fig_2_2_12_crf.png"/>
                    <pic:cNvPicPr>
                      <a:picLocks noChangeAspect="1" noChangeArrowheads="1"/>
                    </pic:cNvPicPr>
                  </pic:nvPicPr>
                  <pic:blipFill rotWithShape="1">
                    <a:blip r:embed="rId58"/>
                    <a:srcRect b="1604"/>
                    <a:stretch/>
                  </pic:blipFill>
                  <pic:spPr bwMode="auto">
                    <a:xfrm>
                      <a:off x="0" y="0"/>
                      <a:ext cx="5397500" cy="3983181"/>
                    </a:xfrm>
                    <a:prstGeom prst="rect">
                      <a:avLst/>
                    </a:prstGeom>
                    <a:noFill/>
                    <a:ln>
                      <a:noFill/>
                    </a:ln>
                    <a:extLst>
                      <a:ext uri="{53640926-AAD7-44D8-BBD7-CCE9431645EC}">
                        <a14:shadowObscured xmlns:a14="http://schemas.microsoft.com/office/drawing/2010/main"/>
                      </a:ext>
                    </a:extLst>
                  </pic:spPr>
                </pic:pic>
              </a:graphicData>
            </a:graphic>
          </wp:inline>
        </w:drawing>
      </w:r>
    </w:p>
    <w:p w14:paraId="68D1FB97" w14:textId="77777777" w:rsidR="00B0004A" w:rsidRPr="00261B7A" w:rsidRDefault="00B0004A" w:rsidP="00B0004A">
      <w:pPr>
        <w:pStyle w:val="Heading5"/>
      </w:pPr>
      <w:bookmarkStart w:id="196" w:name="section-19"/>
      <w:bookmarkEnd w:id="193"/>
      <w:r w:rsidRPr="00261B7A">
        <w:t>2020–2021</w:t>
      </w:r>
    </w:p>
    <w:p w14:paraId="5AADB5C2" w14:textId="77777777" w:rsidR="00B0004A" w:rsidRPr="00261B7A" w:rsidRDefault="00B0004A" w:rsidP="00B0004A">
      <w:pPr>
        <w:pStyle w:val="BodyText"/>
      </w:pPr>
      <w:r w:rsidRPr="00261B7A">
        <w:t>Total Tokelau emissions in 2021 were 9.5 per cent (0.40 kt CO</w:t>
      </w:r>
      <w:r w:rsidRPr="00261B7A">
        <w:rPr>
          <w:vertAlign w:val="subscript"/>
        </w:rPr>
        <w:t>2</w:t>
      </w:r>
      <w:r w:rsidRPr="00261B7A">
        <w:t>-e) lower than emissions in 2020. The lower emissions were largely the result of decreases in CO</w:t>
      </w:r>
      <w:r w:rsidRPr="00261B7A">
        <w:rPr>
          <w:vertAlign w:val="subscript"/>
        </w:rPr>
        <w:t>2</w:t>
      </w:r>
      <w:r w:rsidRPr="00261B7A">
        <w:t xml:space="preserve"> emissions in the </w:t>
      </w:r>
      <w:r w:rsidRPr="00261B7A">
        <w:rPr>
          <w:i/>
          <w:iCs/>
        </w:rPr>
        <w:t>Domestic navigation</w:t>
      </w:r>
      <w:r w:rsidRPr="00261B7A">
        <w:t xml:space="preserve"> category.</w:t>
      </w:r>
    </w:p>
    <w:p w14:paraId="5522AE83" w14:textId="77777777" w:rsidR="00B0004A" w:rsidRPr="00261B7A" w:rsidRDefault="00B0004A" w:rsidP="00B0004A">
      <w:pPr>
        <w:pStyle w:val="Heading2"/>
        <w:spacing w:line="380" w:lineRule="atLeast"/>
      </w:pPr>
      <w:bookmarkStart w:id="197" w:name="_Toc131591217"/>
      <w:bookmarkStart w:id="198" w:name="X59a1fc71b9462fc2acb79eda2fec227c0ba7ff9"/>
      <w:bookmarkEnd w:id="143"/>
      <w:bookmarkEnd w:id="149"/>
      <w:bookmarkEnd w:id="189"/>
      <w:bookmarkEnd w:id="196"/>
      <w:r w:rsidRPr="00261B7A">
        <w:t xml:space="preserve">2.3 </w:t>
      </w:r>
      <w:r w:rsidRPr="00261B7A">
        <w:tab/>
        <w:t>Activities under Article 3.3 and Article 3.4 of the Kyoto Protocol</w:t>
      </w:r>
      <w:bookmarkEnd w:id="197"/>
    </w:p>
    <w:p w14:paraId="2E8DCC08" w14:textId="45EC1A56" w:rsidR="00B0004A" w:rsidRPr="00261B7A" w:rsidRDefault="00B0004A" w:rsidP="00B0004A">
      <w:pPr>
        <w:pStyle w:val="BodyText"/>
      </w:pPr>
      <w:r w:rsidRPr="00261B7A">
        <w:t>Chapter 11 provides a summary of emissions and removals from the LULUCF sector based on the Kyoto Protocol reporting requirements. This summary is provided as reporting obligations under the Kyoto Protocol remain. It is for information only. Accounting rules have not been applied to these estimates and they cannot be used to track progress towards New Zealand’s first Nationally Determined Contribution. New Zealand’s approach to LULUCF accounting under the Paris Agreement is outlined in its first Nationally Determined Contribution and will</w:t>
      </w:r>
      <w:r w:rsidR="0077432F" w:rsidRPr="00261B7A">
        <w:t> </w:t>
      </w:r>
      <w:r w:rsidRPr="00261B7A">
        <w:t>be fully described in its first Biennial Transparency Report to be submitted under the Paris</w:t>
      </w:r>
      <w:r w:rsidR="0077432F" w:rsidRPr="00261B7A">
        <w:t> </w:t>
      </w:r>
      <w:r w:rsidRPr="00261B7A">
        <w:t>Agreement in 2024.</w:t>
      </w:r>
    </w:p>
    <w:p w14:paraId="10D90CBA" w14:textId="77777777" w:rsidR="00B0004A" w:rsidRPr="00261B7A" w:rsidRDefault="00B0004A" w:rsidP="00B0004A">
      <w:pPr>
        <w:pStyle w:val="BodyText"/>
      </w:pPr>
      <w:r w:rsidRPr="00261B7A">
        <w:t>In 2021, net emissions from land subject to Article 3.3 and Article 3.4 activities under the Kyoto Protocol were –26,854.5 kt CO</w:t>
      </w:r>
      <w:r w:rsidRPr="00261B7A">
        <w:rPr>
          <w:vertAlign w:val="subscript"/>
        </w:rPr>
        <w:t>2</w:t>
      </w:r>
      <w:r w:rsidRPr="00261B7A">
        <w:t>-e.</w:t>
      </w:r>
      <w:r w:rsidRPr="00261B7A">
        <w:rPr>
          <w:rStyle w:val="FootnoteReference"/>
        </w:rPr>
        <w:footnoteReference w:id="30"/>
      </w:r>
      <w:r w:rsidRPr="00261B7A">
        <w:t xml:space="preserve"> This estimate includes net removals from the growth of all forest types and their conversion into harvested wood products, as well as emissions from:</w:t>
      </w:r>
    </w:p>
    <w:p w14:paraId="71C9E96C" w14:textId="77777777" w:rsidR="00B0004A" w:rsidRPr="00261B7A" w:rsidRDefault="00B0004A" w:rsidP="00B0004A">
      <w:pPr>
        <w:pStyle w:val="Bullet"/>
      </w:pPr>
      <w:r w:rsidRPr="00261B7A">
        <w:t xml:space="preserve">decay of harvested wood products from </w:t>
      </w:r>
      <w:r w:rsidRPr="00261B7A">
        <w:rPr>
          <w:i/>
          <w:iCs/>
        </w:rPr>
        <w:t>Afforestation and reforestation</w:t>
      </w:r>
      <w:r w:rsidRPr="00261B7A">
        <w:t xml:space="preserve"> and </w:t>
      </w:r>
      <w:r w:rsidRPr="00261B7A">
        <w:rPr>
          <w:i/>
          <w:iCs/>
        </w:rPr>
        <w:t>Forest management</w:t>
      </w:r>
      <w:r w:rsidRPr="00261B7A">
        <w:t xml:space="preserve"> land</w:t>
      </w:r>
    </w:p>
    <w:p w14:paraId="6A0CDABA" w14:textId="77777777" w:rsidR="00B0004A" w:rsidRPr="00261B7A" w:rsidRDefault="00B0004A" w:rsidP="00B0004A">
      <w:pPr>
        <w:pStyle w:val="Bullet"/>
      </w:pPr>
      <w:r w:rsidRPr="00261B7A">
        <w:rPr>
          <w:i/>
          <w:iCs/>
        </w:rPr>
        <w:t>Deforestation</w:t>
      </w:r>
      <w:r w:rsidRPr="00261B7A">
        <w:t xml:space="preserve"> of all forest types</w:t>
      </w:r>
    </w:p>
    <w:p w14:paraId="0A301393" w14:textId="77777777" w:rsidR="00B0004A" w:rsidRPr="00261B7A" w:rsidRDefault="00B0004A" w:rsidP="00B0004A">
      <w:pPr>
        <w:pStyle w:val="Bullet"/>
      </w:pPr>
      <w:r w:rsidRPr="00261B7A">
        <w:t>conversion of land to post-1989 forest</w:t>
      </w:r>
    </w:p>
    <w:p w14:paraId="716BA77F" w14:textId="77777777" w:rsidR="00B0004A" w:rsidRPr="00261B7A" w:rsidRDefault="00B0004A" w:rsidP="00B0004A">
      <w:pPr>
        <w:pStyle w:val="Bullet"/>
      </w:pPr>
      <w:r w:rsidRPr="00261B7A">
        <w:t>biomass burning</w:t>
      </w:r>
    </w:p>
    <w:p w14:paraId="4A059CB6" w14:textId="77777777" w:rsidR="00B0004A" w:rsidRPr="00261B7A" w:rsidRDefault="00B0004A" w:rsidP="00B0004A">
      <w:pPr>
        <w:pStyle w:val="Bullet"/>
      </w:pPr>
      <w:r w:rsidRPr="00261B7A">
        <w:t>soil disturbance associated with land use conversion.</w:t>
      </w:r>
    </w:p>
    <w:p w14:paraId="5459C968" w14:textId="77777777" w:rsidR="00B0004A" w:rsidRPr="00261B7A" w:rsidRDefault="00B0004A" w:rsidP="00B0004A">
      <w:pPr>
        <w:pStyle w:val="BodyText"/>
      </w:pPr>
      <w:r w:rsidRPr="00261B7A">
        <w:t>New Zealand’s estimates for emissions and removals from activities under Article 3.3 and Article 3.4 of the Kyoto Protocol do not include emissions associated with nitrogen-containing fertiliser use on afforested and reforested land, because these are reported and accounted for in the Agriculture sector. The notation key ‘IE’ (included elsewhere) is used for this in the common reporting format tables.</w:t>
      </w:r>
    </w:p>
    <w:p w14:paraId="13908C13" w14:textId="77777777" w:rsidR="00B0004A" w:rsidRPr="00261B7A" w:rsidRDefault="00B0004A" w:rsidP="00B0004A">
      <w:pPr>
        <w:pStyle w:val="Heading5"/>
      </w:pPr>
      <w:bookmarkStart w:id="199" w:name="afforestation-and-reforestation"/>
      <w:r w:rsidRPr="00261B7A">
        <w:t>Afforestation and reforestation</w:t>
      </w:r>
    </w:p>
    <w:p w14:paraId="2B5A80F5" w14:textId="77777777" w:rsidR="00B0004A" w:rsidRPr="00261B7A" w:rsidRDefault="00B0004A" w:rsidP="00B0004A">
      <w:pPr>
        <w:pStyle w:val="BodyText"/>
      </w:pPr>
      <w:r w:rsidRPr="00261B7A">
        <w:t xml:space="preserve">During 2021, an estimated 54,268 hectares of new forest were established (see chapter 11, </w:t>
      </w:r>
      <w:r w:rsidRPr="00261B7A">
        <w:rPr>
          <w:spacing w:val="-2"/>
        </w:rPr>
        <w:t xml:space="preserve">table 11.3.1). In 2021, net removals from </w:t>
      </w:r>
      <w:r w:rsidRPr="00261B7A">
        <w:rPr>
          <w:i/>
          <w:iCs/>
          <w:spacing w:val="-2"/>
        </w:rPr>
        <w:t>Afforestation and reforestation</w:t>
      </w:r>
      <w:r w:rsidRPr="00261B7A">
        <w:rPr>
          <w:spacing w:val="-2"/>
        </w:rPr>
        <w:t xml:space="preserve"> were 11,488.3 kt CO</w:t>
      </w:r>
      <w:r w:rsidRPr="00261B7A">
        <w:rPr>
          <w:spacing w:val="-2"/>
          <w:vertAlign w:val="subscript"/>
        </w:rPr>
        <w:t>2</w:t>
      </w:r>
      <w:r w:rsidRPr="00261B7A">
        <w:rPr>
          <w:spacing w:val="-2"/>
        </w:rPr>
        <w:noBreakHyphen/>
        <w:t>e</w:t>
      </w:r>
      <w:r w:rsidRPr="00261B7A">
        <w:t>.</w:t>
      </w:r>
    </w:p>
    <w:p w14:paraId="4A11F87E" w14:textId="77777777" w:rsidR="00B0004A" w:rsidRPr="00261B7A" w:rsidRDefault="00B0004A" w:rsidP="00B0004A">
      <w:pPr>
        <w:pStyle w:val="Heading5"/>
      </w:pPr>
      <w:bookmarkStart w:id="200" w:name="deforestation"/>
      <w:bookmarkEnd w:id="199"/>
      <w:r w:rsidRPr="00261B7A">
        <w:t>Deforestation</w:t>
      </w:r>
    </w:p>
    <w:p w14:paraId="2E76CA2C" w14:textId="77777777" w:rsidR="00B0004A" w:rsidRPr="00261B7A" w:rsidRDefault="00B0004A" w:rsidP="00B0004A">
      <w:pPr>
        <w:pStyle w:val="BodyText"/>
      </w:pPr>
      <w:r w:rsidRPr="00261B7A">
        <w:t xml:space="preserve">The provisional estimated area subject to </w:t>
      </w:r>
      <w:r w:rsidRPr="00261B7A">
        <w:rPr>
          <w:i/>
          <w:iCs/>
        </w:rPr>
        <w:t>Deforestation</w:t>
      </w:r>
      <w:r w:rsidRPr="00261B7A">
        <w:t xml:space="preserve"> in 2021 was 2,493 hectares. In 2021, net emissions from </w:t>
      </w:r>
      <w:r w:rsidRPr="00261B7A">
        <w:rPr>
          <w:i/>
          <w:iCs/>
        </w:rPr>
        <w:t>Deforestation</w:t>
      </w:r>
      <w:r w:rsidRPr="00261B7A">
        <w:t xml:space="preserve"> were 1,391.0 kt CO</w:t>
      </w:r>
      <w:r w:rsidRPr="00261B7A">
        <w:rPr>
          <w:vertAlign w:val="subscript"/>
        </w:rPr>
        <w:t>2</w:t>
      </w:r>
      <w:r w:rsidRPr="00261B7A">
        <w:t>-e.</w:t>
      </w:r>
    </w:p>
    <w:p w14:paraId="1E36D001" w14:textId="77777777" w:rsidR="00B0004A" w:rsidRPr="00261B7A" w:rsidRDefault="00B0004A" w:rsidP="00B0004A">
      <w:pPr>
        <w:pStyle w:val="Heading5"/>
      </w:pPr>
      <w:bookmarkStart w:id="201" w:name="forest-management"/>
      <w:bookmarkEnd w:id="200"/>
      <w:r w:rsidRPr="00261B7A">
        <w:t>Forest management</w:t>
      </w:r>
    </w:p>
    <w:p w14:paraId="37D67DEC" w14:textId="77777777" w:rsidR="00B0004A" w:rsidRPr="00261B7A" w:rsidRDefault="00B0004A" w:rsidP="00B0004A">
      <w:pPr>
        <w:pStyle w:val="BodyText"/>
      </w:pPr>
      <w:r w:rsidRPr="00261B7A">
        <w:t xml:space="preserve">The total area reported under </w:t>
      </w:r>
      <w:r w:rsidRPr="00261B7A">
        <w:rPr>
          <w:i/>
          <w:iCs/>
        </w:rPr>
        <w:t>Forest management</w:t>
      </w:r>
      <w:r w:rsidRPr="00261B7A">
        <w:t xml:space="preserve"> at the end of 2021 was 9,195,721 hectares, equivalent to 34.2 per cent of New Zealand’s total land area. This category includes all land that was forest at 1 January 1990 and has not been deforested since 1990. Net removals on this land in 2021 were 16,757.3 kt CO</w:t>
      </w:r>
      <w:r w:rsidRPr="00261B7A">
        <w:rPr>
          <w:vertAlign w:val="subscript"/>
        </w:rPr>
        <w:t>2</w:t>
      </w:r>
      <w:r w:rsidRPr="00261B7A">
        <w:t>-e, including net removals of 7,823.3 kt CO</w:t>
      </w:r>
      <w:r w:rsidRPr="00261B7A">
        <w:rPr>
          <w:vertAlign w:val="subscript"/>
        </w:rPr>
        <w:t>2</w:t>
      </w:r>
      <w:r w:rsidRPr="00261B7A">
        <w:t xml:space="preserve">-e from the </w:t>
      </w:r>
      <w:r w:rsidRPr="00261B7A">
        <w:rPr>
          <w:i/>
          <w:iCs/>
        </w:rPr>
        <w:t>Harvested wood products</w:t>
      </w:r>
      <w:r w:rsidRPr="00261B7A">
        <w:t xml:space="preserve"> category.</w:t>
      </w:r>
    </w:p>
    <w:p w14:paraId="3AA98C1E" w14:textId="77777777" w:rsidR="00B0004A" w:rsidRPr="00261B7A" w:rsidRDefault="00B0004A" w:rsidP="00B0004A">
      <w:pPr>
        <w:pStyle w:val="Heading2"/>
        <w:pageBreakBefore/>
        <w:spacing w:after="480"/>
      </w:pPr>
      <w:bookmarkStart w:id="202" w:name="_Toc131591218"/>
      <w:bookmarkStart w:id="203" w:name="chapter-2-references"/>
      <w:bookmarkEnd w:id="198"/>
      <w:bookmarkEnd w:id="201"/>
      <w:r w:rsidRPr="00261B7A">
        <w:t>Chapter 2: References</w:t>
      </w:r>
      <w:bookmarkEnd w:id="202"/>
    </w:p>
    <w:p w14:paraId="15713C62" w14:textId="77777777" w:rsidR="00B0004A" w:rsidRPr="00261B7A" w:rsidRDefault="00B0004A" w:rsidP="00B0004A">
      <w:pPr>
        <w:pStyle w:val="References"/>
      </w:pPr>
      <w:r w:rsidRPr="00261B7A">
        <w:t xml:space="preserve">Beef + Lamb New Zealand Ltd. 2022. </w:t>
      </w:r>
      <w:r w:rsidRPr="00261B7A">
        <w:rPr>
          <w:i/>
          <w:iCs/>
        </w:rPr>
        <w:t>Mid-Season Update 2021–22</w:t>
      </w:r>
      <w:r w:rsidRPr="00261B7A">
        <w:t>. Wellington: Beef + Lamb New Zealand Ltd.</w:t>
      </w:r>
    </w:p>
    <w:p w14:paraId="34263B24" w14:textId="77777777" w:rsidR="00B0004A" w:rsidRPr="00261B7A" w:rsidRDefault="00B0004A" w:rsidP="00B0004A">
      <w:pPr>
        <w:pStyle w:val="References"/>
      </w:pPr>
      <w:r w:rsidRPr="00261B7A">
        <w:t xml:space="preserve">LIC (Livestock Improvement Corporation Limited) and DairyNZ. 2021. </w:t>
      </w:r>
      <w:r w:rsidRPr="00261B7A">
        <w:rPr>
          <w:i/>
          <w:iCs/>
        </w:rPr>
        <w:t xml:space="preserve">New Zealand Dairy Statistics </w:t>
      </w:r>
      <w:r w:rsidRPr="00261B7A">
        <w:rPr>
          <w:i/>
          <w:iCs/>
        </w:rPr>
        <w:br/>
        <w:t>2020–2021</w:t>
      </w:r>
      <w:r w:rsidRPr="00261B7A">
        <w:t xml:space="preserve">. Hamilton: DairyNZ. Retrieved from </w:t>
      </w:r>
      <w:hyperlink r:id="rId59">
        <w:r w:rsidRPr="00261B7A">
          <w:rPr>
            <w:rStyle w:val="Hyperlink"/>
          </w:rPr>
          <w:t>https://www.dairynz.co.nz/publications/dairy-industry/new-zealand-dairy-statistics-2020-21/</w:t>
        </w:r>
      </w:hyperlink>
      <w:r w:rsidRPr="00261B7A">
        <w:t xml:space="preserve"> (9 December 2021).</w:t>
      </w:r>
    </w:p>
    <w:p w14:paraId="39B7AF1E" w14:textId="77777777" w:rsidR="00B0004A" w:rsidRPr="00261B7A" w:rsidRDefault="00B0004A" w:rsidP="00B0004A">
      <w:pPr>
        <w:pStyle w:val="References"/>
      </w:pPr>
      <w:r w:rsidRPr="00261B7A">
        <w:t xml:space="preserve">UNFCCC. 2013. FCCC/CP/2013/10/Add.3. </w:t>
      </w:r>
      <w:r w:rsidRPr="00261B7A">
        <w:rPr>
          <w:i/>
          <w:iCs/>
        </w:rPr>
        <w:t>Report of the Conference of the Parties on its nineteenth session, held in Warsaw from 11 to 23 November 2013, Addendum; Decision 24/CP.19 Revision of the UNFCCC reporting guidelines on annual inventories for Parties included in Annex I to the Convention</w:t>
      </w:r>
      <w:r w:rsidRPr="00261B7A">
        <w:t>.</w:t>
      </w:r>
      <w:bookmarkEnd w:id="134"/>
      <w:bookmarkEnd w:id="203"/>
    </w:p>
    <w:p w14:paraId="5705882A" w14:textId="77777777" w:rsidR="009F5DA6" w:rsidRPr="00261B7A" w:rsidRDefault="009F5DA6" w:rsidP="009F5DA6"/>
    <w:p w14:paraId="50E1DAFF" w14:textId="77777777" w:rsidR="00C5013A" w:rsidRPr="00261B7A" w:rsidRDefault="00C5013A" w:rsidP="009F5DA6"/>
    <w:p w14:paraId="6D77FF50" w14:textId="77777777" w:rsidR="009F5DA6" w:rsidRPr="00261B7A" w:rsidRDefault="009F5DA6" w:rsidP="009F5DA6">
      <w:pPr>
        <w:sectPr w:rsidR="009F5DA6" w:rsidRPr="00261B7A" w:rsidSect="00F40540">
          <w:footerReference w:type="even" r:id="rId60"/>
          <w:footerReference w:type="default" r:id="rId61"/>
          <w:pgSz w:w="11907" w:h="16840" w:code="9"/>
          <w:pgMar w:top="1418" w:right="1701" w:bottom="1418" w:left="1701" w:header="567" w:footer="567" w:gutter="0"/>
          <w:cols w:space="720"/>
        </w:sectPr>
      </w:pPr>
    </w:p>
    <w:p w14:paraId="7CC53266" w14:textId="77777777" w:rsidR="009F5DA6" w:rsidRPr="00261B7A" w:rsidRDefault="009F5DA6" w:rsidP="009F5DA6">
      <w:pPr>
        <w:pStyle w:val="Heading1"/>
        <w:rPr>
          <w:rFonts w:cs="Calibri"/>
          <w:lang w:eastAsia="en-GB"/>
        </w:rPr>
      </w:pPr>
      <w:bookmarkStart w:id="204" w:name="_Toc36224384"/>
      <w:bookmarkStart w:id="205" w:name="_Toc68786304"/>
      <w:bookmarkStart w:id="206" w:name="_Toc131591219"/>
      <w:r w:rsidRPr="00261B7A">
        <w:rPr>
          <w:rFonts w:cs="Calibri"/>
          <w:lang w:eastAsia="en-GB"/>
        </w:rPr>
        <w:t>Chapter 3: Energy</w:t>
      </w:r>
      <w:bookmarkEnd w:id="204"/>
      <w:bookmarkEnd w:id="205"/>
      <w:bookmarkEnd w:id="206"/>
    </w:p>
    <w:p w14:paraId="342B76A1" w14:textId="77777777" w:rsidR="009F5DA6" w:rsidRPr="00261B7A" w:rsidRDefault="009F5DA6" w:rsidP="004111A6">
      <w:pPr>
        <w:pStyle w:val="Heading2"/>
        <w:spacing w:before="120"/>
      </w:pPr>
      <w:bookmarkStart w:id="207" w:name="_Toc321398808"/>
      <w:bookmarkStart w:id="208" w:name="_Toc384581634"/>
      <w:bookmarkStart w:id="209" w:name="_Toc448321506"/>
      <w:bookmarkStart w:id="210" w:name="_Toc481751368"/>
      <w:bookmarkStart w:id="211" w:name="_Toc36224385"/>
      <w:bookmarkStart w:id="212" w:name="_Toc68786305"/>
      <w:bookmarkStart w:id="213" w:name="_Toc131591220"/>
      <w:r w:rsidRPr="00261B7A">
        <w:t>3.1</w:t>
      </w:r>
      <w:r w:rsidRPr="00261B7A">
        <w:tab/>
        <w:t>Sector overview</w:t>
      </w:r>
      <w:bookmarkEnd w:id="207"/>
      <w:bookmarkEnd w:id="208"/>
      <w:bookmarkEnd w:id="209"/>
      <w:bookmarkEnd w:id="210"/>
      <w:bookmarkEnd w:id="211"/>
      <w:bookmarkEnd w:id="212"/>
      <w:bookmarkEnd w:id="213"/>
    </w:p>
    <w:p w14:paraId="0272D6D5" w14:textId="77777777" w:rsidR="009F5DA6" w:rsidRPr="00261B7A" w:rsidRDefault="009F5DA6" w:rsidP="004111A6">
      <w:pPr>
        <w:pStyle w:val="Heading3"/>
        <w:spacing w:before="240"/>
      </w:pPr>
      <w:r w:rsidRPr="00261B7A">
        <w:t>3.1.1</w:t>
      </w:r>
      <w:r w:rsidRPr="00261B7A">
        <w:tab/>
        <w:t>Introduction</w:t>
      </w:r>
    </w:p>
    <w:p w14:paraId="0AA862C7" w14:textId="77777777" w:rsidR="009F5DA6" w:rsidRPr="00261B7A" w:rsidRDefault="009F5DA6" w:rsidP="009F5DA6">
      <w:pPr>
        <w:pStyle w:val="BodyText"/>
        <w:spacing w:after="100"/>
      </w:pPr>
      <w:r w:rsidRPr="00261B7A">
        <w:t xml:space="preserve">In New Zealand, the Energy sector covers: </w:t>
      </w:r>
    </w:p>
    <w:p w14:paraId="78E22503" w14:textId="77777777" w:rsidR="009F5DA6" w:rsidRPr="00261B7A" w:rsidRDefault="009F5DA6" w:rsidP="009F5DA6">
      <w:pPr>
        <w:pStyle w:val="Bullet"/>
        <w:spacing w:after="100"/>
      </w:pPr>
      <w:r w:rsidRPr="00261B7A">
        <w:t xml:space="preserve">combustion emissions resulting from fuel being burned to produce useful energy </w:t>
      </w:r>
    </w:p>
    <w:p w14:paraId="16B2E82F" w14:textId="77777777" w:rsidR="009F5DA6" w:rsidRPr="00261B7A" w:rsidRDefault="009F5DA6" w:rsidP="009F5DA6">
      <w:pPr>
        <w:pStyle w:val="Bullet"/>
        <w:spacing w:after="100"/>
      </w:pPr>
      <w:r w:rsidRPr="00261B7A">
        <w:t>fugitive emissions, for example: </w:t>
      </w:r>
    </w:p>
    <w:p w14:paraId="68820041" w14:textId="77777777" w:rsidR="009F5DA6" w:rsidRPr="00261B7A" w:rsidRDefault="009F5DA6" w:rsidP="009F5DA6">
      <w:pPr>
        <w:pStyle w:val="Sub-bullet"/>
        <w:spacing w:after="100"/>
      </w:pPr>
      <w:r w:rsidRPr="00261B7A">
        <w:t xml:space="preserve">production, transmission and storage of fuels </w:t>
      </w:r>
    </w:p>
    <w:p w14:paraId="5E50ABC2" w14:textId="77777777" w:rsidR="009F5DA6" w:rsidRPr="00261B7A" w:rsidRDefault="009F5DA6" w:rsidP="009F5DA6">
      <w:pPr>
        <w:pStyle w:val="Sub-bullet"/>
        <w:spacing w:after="100"/>
      </w:pPr>
      <w:r w:rsidRPr="00261B7A">
        <w:t xml:space="preserve">non-productive combustion </w:t>
      </w:r>
    </w:p>
    <w:p w14:paraId="57DA0BC4" w14:textId="77777777" w:rsidR="009F5DA6" w:rsidRPr="00261B7A" w:rsidRDefault="009F5DA6" w:rsidP="009F5DA6">
      <w:pPr>
        <w:pStyle w:val="Sub-bullet"/>
        <w:spacing w:after="100"/>
      </w:pPr>
      <w:r w:rsidRPr="00261B7A">
        <w:t>venting of carbon dioxide (CO</w:t>
      </w:r>
      <w:r w:rsidRPr="00261B7A">
        <w:rPr>
          <w:vertAlign w:val="subscript"/>
        </w:rPr>
        <w:t>2</w:t>
      </w:r>
      <w:r w:rsidRPr="00261B7A">
        <w:t>) at natural gas treatment plants</w:t>
      </w:r>
    </w:p>
    <w:p w14:paraId="63023352" w14:textId="77777777" w:rsidR="009F5DA6" w:rsidRPr="00261B7A" w:rsidRDefault="009F5DA6" w:rsidP="009F5DA6">
      <w:pPr>
        <w:pStyle w:val="Sub-bullet"/>
      </w:pPr>
      <w:r w:rsidRPr="00261B7A">
        <w:t xml:space="preserve">emissions from geothermal fields. </w:t>
      </w:r>
    </w:p>
    <w:p w14:paraId="6677B7D0" w14:textId="77777777" w:rsidR="009F5DA6" w:rsidRPr="00261B7A" w:rsidRDefault="009F5DA6" w:rsidP="00325FD9">
      <w:pPr>
        <w:pStyle w:val="BodyText"/>
        <w:spacing w:before="100"/>
      </w:pPr>
      <w:r w:rsidRPr="00261B7A">
        <w:t xml:space="preserve">Historically, combustion emissions from </w:t>
      </w:r>
      <w:r w:rsidRPr="00261B7A">
        <w:rPr>
          <w:i/>
        </w:rPr>
        <w:t>Road transportation</w:t>
      </w:r>
      <w:r w:rsidRPr="00261B7A">
        <w:t xml:space="preserve"> and </w:t>
      </w:r>
      <w:r w:rsidRPr="00261B7A">
        <w:rPr>
          <w:i/>
        </w:rPr>
        <w:t>Public electricity and heat production</w:t>
      </w:r>
      <w:r w:rsidRPr="00261B7A">
        <w:t xml:space="preserve"> have constituted the largest share of domestic emissions from the Energy sector in New Zealand.</w:t>
      </w:r>
    </w:p>
    <w:p w14:paraId="19D39D67" w14:textId="77777777" w:rsidR="009F5DA6" w:rsidRPr="00261B7A" w:rsidRDefault="009F5DA6" w:rsidP="00325FD9">
      <w:pPr>
        <w:pStyle w:val="BodyText"/>
        <w:spacing w:before="100"/>
      </w:pPr>
      <w:r w:rsidRPr="00261B7A">
        <w:t>New Zealand has one of the highest rates of car ownership among members of the Organisation for Economic Co-operation and Development and a relatively old vehicle fleet (average age of light passenger fleet was around 14 years in 2021). Most freight is transported by trucks, with smaller quantities transported by rail and coastal shipping. Due to New Zealand’s sparse population and rural-based economy, its domestic transport emissions per capita are high compared with many other Annex I countries.</w:t>
      </w:r>
    </w:p>
    <w:p w14:paraId="664A2F0A" w14:textId="77777777" w:rsidR="009F5DA6" w:rsidRPr="00261B7A" w:rsidRDefault="009F5DA6" w:rsidP="00325FD9">
      <w:pPr>
        <w:pStyle w:val="BodyText"/>
        <w:spacing w:before="100"/>
      </w:pPr>
      <w:r w:rsidRPr="00261B7A">
        <w:t xml:space="preserve">New Zealand’s electricity generation system relies heavily on renewable energy sources, but is supported by the combustion of coal, oil and gas. In 2021, fossil fuel thermal plants provided 17.8 per cent of New Zealand’s total electricity supply, which is very low by international standards. New Zealand’s main renewable energy source is hydroelectric power generation (meeting 55.5 per cent of total demand), which is complemented by other renewable power sources such as geothermal (18.4 per cent) and wind (6.0 per cent). While this provides a strong power generation base in years with good hydro inflows, electricity emissions remain sensitive to rainfall in the key catchment areas. New Zealand has low levels of hydro lake storage compared with other countries whose supply depends heavily on hydroelectric power. </w:t>
      </w:r>
    </w:p>
    <w:p w14:paraId="46FB7C6E" w14:textId="77777777" w:rsidR="009F5DA6" w:rsidRPr="00261B7A" w:rsidRDefault="009F5DA6" w:rsidP="00325FD9">
      <w:pPr>
        <w:pStyle w:val="BodyText"/>
        <w:spacing w:before="100"/>
      </w:pPr>
      <w:r w:rsidRPr="00261B7A">
        <w:t>Fugitive emissions make up a relatively minor portion of New Zealand’s energy emissions profile. The main sources of fugitive emissions in New Zealand are coal mining operations, production and processing of natural gas (largely venting and flaring), and geothermal operations (largely for electricity generation).</w:t>
      </w:r>
    </w:p>
    <w:p w14:paraId="38E17415" w14:textId="77777777" w:rsidR="009F5DA6" w:rsidRPr="00261B7A" w:rsidRDefault="009F5DA6" w:rsidP="00325FD9">
      <w:pPr>
        <w:pStyle w:val="BodyText"/>
        <w:spacing w:before="100"/>
        <w:rPr>
          <w:sz w:val="19"/>
          <w:szCs w:val="19"/>
        </w:rPr>
      </w:pPr>
      <w:r w:rsidRPr="00261B7A">
        <w:t>New Zealand reports emissions from Tokelau, which is a dependent territory of New Zealand. Because emissions from Tokelau are calculated using significantly different methods, integrating these with New Zealand’s emissions would be prohibitively complex. For this reason, emissions from Tokelau for all activities are reported in chapter 8 and annex 7 of the National Inventory Report, and within the ‘Other’ sector in the common reporting format (CRF) tables. All emissions reported under the Energy sector are from New Zealand only, and exclude Tokelau. Please refer to chapter 8 of the National Inventory Report for details of methods applied and the emissions for Tokelau.</w:t>
      </w:r>
    </w:p>
    <w:p w14:paraId="3C2F2797" w14:textId="77777777" w:rsidR="009F5DA6" w:rsidRPr="00261B7A" w:rsidRDefault="009F5DA6" w:rsidP="009F5DA6">
      <w:pPr>
        <w:pStyle w:val="Heading5"/>
      </w:pPr>
      <w:r w:rsidRPr="00261B7A">
        <w:rPr>
          <w:rStyle w:val="Emphasis"/>
          <w:i/>
        </w:rPr>
        <w:t>2021</w:t>
      </w:r>
    </w:p>
    <w:p w14:paraId="780E9D26" w14:textId="77777777" w:rsidR="009F5DA6" w:rsidRPr="00261B7A" w:rsidRDefault="009F5DA6" w:rsidP="009F5DA6">
      <w:pPr>
        <w:pStyle w:val="BodyText"/>
      </w:pPr>
      <w:r w:rsidRPr="00261B7A">
        <w:t>In 2021, emissions from the Energy sector contributed 31,210.1 </w:t>
      </w:r>
      <w:r w:rsidRPr="00261B7A">
        <w:rPr>
          <w:rFonts w:cs="Calibri"/>
        </w:rPr>
        <w:t>kilotonnes carbon dioxide equivalent</w:t>
      </w:r>
      <w:r w:rsidRPr="00261B7A">
        <w:t xml:space="preserve"> (kt CO</w:t>
      </w:r>
      <w:r w:rsidRPr="00261B7A">
        <w:rPr>
          <w:vertAlign w:val="subscript"/>
        </w:rPr>
        <w:t>2</w:t>
      </w:r>
      <w:r w:rsidRPr="00261B7A">
        <w:t>-e), or </w:t>
      </w:r>
      <w:r w:rsidRPr="00261B7A">
        <w:rPr>
          <w:rStyle w:val="Strong"/>
          <w:rFonts w:cs="Calibri"/>
          <w:b w:val="0"/>
          <w:bCs w:val="0"/>
        </w:rPr>
        <w:t>40.6</w:t>
      </w:r>
      <w:r w:rsidRPr="00261B7A">
        <w:t> per cent, of New Zealand’s gross greenhouse gas emissions (see chapter 2, figure 2.2.1).</w:t>
      </w:r>
    </w:p>
    <w:p w14:paraId="63AFBE14" w14:textId="77777777" w:rsidR="009F5DA6" w:rsidRPr="00261B7A" w:rsidRDefault="009F5DA6" w:rsidP="009F5DA6">
      <w:pPr>
        <w:pStyle w:val="BodyText"/>
      </w:pPr>
      <w:r w:rsidRPr="00261B7A">
        <w:t>The largest sources of emissions in the Energy sector were the </w:t>
      </w:r>
      <w:r w:rsidRPr="00261B7A">
        <w:rPr>
          <w:rStyle w:val="Emphasis"/>
          <w:rFonts w:cs="Calibri"/>
        </w:rPr>
        <w:t>Road transportation</w:t>
      </w:r>
      <w:r w:rsidRPr="00261B7A">
        <w:t xml:space="preserve"> category, contributing 12,654.9 kt CO</w:t>
      </w:r>
      <w:r w:rsidRPr="00261B7A">
        <w:rPr>
          <w:vertAlign w:val="subscript"/>
        </w:rPr>
        <w:t>2</w:t>
      </w:r>
      <w:r w:rsidRPr="00261B7A">
        <w:t>-e (40.5 per cent), and the </w:t>
      </w:r>
      <w:r w:rsidRPr="00261B7A">
        <w:rPr>
          <w:rStyle w:val="Emphasis"/>
          <w:rFonts w:cs="Calibri"/>
        </w:rPr>
        <w:t xml:space="preserve">Manufacturing industries and construction </w:t>
      </w:r>
      <w:r w:rsidRPr="00261B7A">
        <w:t>category, contributing 6,302.0 kt CO</w:t>
      </w:r>
      <w:r w:rsidRPr="00261B7A">
        <w:rPr>
          <w:vertAlign w:val="subscript"/>
        </w:rPr>
        <w:t>2</w:t>
      </w:r>
      <w:r w:rsidRPr="00261B7A">
        <w:t>-e (20.2 per cent) to energy emissions.</w:t>
      </w:r>
    </w:p>
    <w:p w14:paraId="681BE818" w14:textId="77777777" w:rsidR="009F5DA6" w:rsidRPr="00261B7A" w:rsidRDefault="009F5DA6" w:rsidP="009F5DA6">
      <w:pPr>
        <w:pStyle w:val="Heading5"/>
      </w:pPr>
      <w:r w:rsidRPr="00261B7A">
        <w:t>1990–2021</w:t>
      </w:r>
    </w:p>
    <w:p w14:paraId="11A3D0F7" w14:textId="77777777" w:rsidR="009F5DA6" w:rsidRPr="00261B7A" w:rsidRDefault="009F5DA6" w:rsidP="009F5DA6">
      <w:pPr>
        <w:pStyle w:val="BodyText"/>
      </w:pPr>
      <w:r w:rsidRPr="00261B7A">
        <w:t>In </w:t>
      </w:r>
      <w:r w:rsidRPr="00261B7A">
        <w:rPr>
          <w:bCs/>
        </w:rPr>
        <w:t>2021</w:t>
      </w:r>
      <w:r w:rsidRPr="00261B7A">
        <w:t>, emissions from the Energy sector had </w:t>
      </w:r>
      <w:r w:rsidRPr="00261B7A">
        <w:rPr>
          <w:bCs/>
        </w:rPr>
        <w:t>increased</w:t>
      </w:r>
      <w:r w:rsidRPr="00261B7A">
        <w:t> by </w:t>
      </w:r>
      <w:r w:rsidRPr="00261B7A">
        <w:rPr>
          <w:bCs/>
        </w:rPr>
        <w:t>30.7</w:t>
      </w:r>
      <w:r w:rsidRPr="00261B7A">
        <w:t> per cent (</w:t>
      </w:r>
      <w:r w:rsidRPr="00261B7A">
        <w:rPr>
          <w:bCs/>
        </w:rPr>
        <w:t>7,329.8</w:t>
      </w:r>
      <w:r w:rsidRPr="00261B7A">
        <w:t> kt CO</w:t>
      </w:r>
      <w:r w:rsidRPr="00261B7A">
        <w:rPr>
          <w:vertAlign w:val="subscript"/>
        </w:rPr>
        <w:t>2</w:t>
      </w:r>
      <w:r w:rsidRPr="00261B7A">
        <w:t>-e), from the </w:t>
      </w:r>
      <w:r w:rsidRPr="00261B7A">
        <w:rPr>
          <w:bCs/>
        </w:rPr>
        <w:t>1990</w:t>
      </w:r>
      <w:r w:rsidRPr="00261B7A">
        <w:t> level of </w:t>
      </w:r>
      <w:r w:rsidRPr="00261B7A">
        <w:rPr>
          <w:bCs/>
        </w:rPr>
        <w:t>23,880.3</w:t>
      </w:r>
      <w:r w:rsidRPr="00261B7A">
        <w:t> kt CO</w:t>
      </w:r>
      <w:r w:rsidRPr="00261B7A">
        <w:rPr>
          <w:vertAlign w:val="subscript"/>
        </w:rPr>
        <w:t>2</w:t>
      </w:r>
      <w:r w:rsidRPr="00261B7A">
        <w:t xml:space="preserve">-e. This growth is primarily due to </w:t>
      </w:r>
      <w:r w:rsidRPr="00261B7A">
        <w:rPr>
          <w:i/>
          <w:iCs/>
        </w:rPr>
        <w:t>Road transportation</w:t>
      </w:r>
      <w:r w:rsidRPr="00261B7A">
        <w:t>, which increased by 5,825.8 kt CO</w:t>
      </w:r>
      <w:r w:rsidRPr="00261B7A">
        <w:rPr>
          <w:vertAlign w:val="subscript"/>
        </w:rPr>
        <w:t>2</w:t>
      </w:r>
      <w:r w:rsidRPr="00261B7A">
        <w:t xml:space="preserve">-e (85.3 per cent), </w:t>
      </w:r>
      <w:r w:rsidRPr="00261B7A">
        <w:rPr>
          <w:i/>
          <w:iCs/>
        </w:rPr>
        <w:t>Food processing, beverages and tobacco</w:t>
      </w:r>
      <w:r w:rsidRPr="00261B7A">
        <w:t>, which increased by 1,127.5 kt CO</w:t>
      </w:r>
      <w:r w:rsidRPr="00261B7A">
        <w:rPr>
          <w:vertAlign w:val="subscript"/>
        </w:rPr>
        <w:t>2</w:t>
      </w:r>
      <w:r w:rsidRPr="00261B7A">
        <w:t xml:space="preserve">-e (67.4 per cent), and </w:t>
      </w:r>
      <w:r w:rsidRPr="00261B7A">
        <w:rPr>
          <w:i/>
          <w:iCs/>
        </w:rPr>
        <w:t>Public electricity and heat production,</w:t>
      </w:r>
      <w:r w:rsidRPr="00261B7A">
        <w:t xml:space="preserve"> which increased by 926.5 kt CO</w:t>
      </w:r>
      <w:r w:rsidRPr="00261B7A">
        <w:rPr>
          <w:vertAlign w:val="subscript"/>
        </w:rPr>
        <w:t>2</w:t>
      </w:r>
      <w:r w:rsidRPr="00261B7A">
        <w:t>-e (26.5 per cent).</w:t>
      </w:r>
    </w:p>
    <w:p w14:paraId="54944AF4" w14:textId="74DB92D8" w:rsidR="009F5DA6" w:rsidRPr="00261B7A" w:rsidRDefault="009F5DA6" w:rsidP="009F5DA6">
      <w:pPr>
        <w:pStyle w:val="BodyText"/>
      </w:pPr>
      <w:r w:rsidRPr="00261B7A">
        <w:t>In </w:t>
      </w:r>
      <w:r w:rsidRPr="00261B7A">
        <w:rPr>
          <w:bCs/>
        </w:rPr>
        <w:t>2021</w:t>
      </w:r>
      <w:r w:rsidRPr="00261B7A">
        <w:t>, emissions from </w:t>
      </w:r>
      <w:r w:rsidRPr="00261B7A">
        <w:rPr>
          <w:i/>
          <w:iCs/>
        </w:rPr>
        <w:t xml:space="preserve">Manufacture of solid fuels and other energy industries </w:t>
      </w:r>
      <w:r w:rsidRPr="00261B7A">
        <w:t xml:space="preserve">– a historically significant contributor to New Zealand’s emissions – were lower than the </w:t>
      </w:r>
      <w:r w:rsidRPr="00261B7A">
        <w:rPr>
          <w:bCs/>
        </w:rPr>
        <w:t>1990</w:t>
      </w:r>
      <w:r w:rsidRPr="00261B7A">
        <w:t xml:space="preserve"> level by</w:t>
      </w:r>
      <w:r w:rsidR="003B46F7" w:rsidRPr="00261B7A">
        <w:t xml:space="preserve"> </w:t>
      </w:r>
      <w:r w:rsidRPr="00261B7A">
        <w:t>1,463.9 CO</w:t>
      </w:r>
      <w:r w:rsidRPr="00261B7A">
        <w:rPr>
          <w:vertAlign w:val="subscript"/>
        </w:rPr>
        <w:t>2</w:t>
      </w:r>
      <w:r w:rsidRPr="00261B7A">
        <w:t>-e (85.3 per cent). This decrease is primarily due to the cessation of synthetic gasoline production in 1997.</w:t>
      </w:r>
    </w:p>
    <w:p w14:paraId="580C4775" w14:textId="77777777" w:rsidR="009F5DA6" w:rsidRPr="00261B7A" w:rsidRDefault="009F5DA6" w:rsidP="009F5DA6">
      <w:pPr>
        <w:pStyle w:val="BodyText"/>
      </w:pPr>
      <w:r w:rsidRPr="00261B7A">
        <w:t xml:space="preserve">Figure 3.1.1 shows the Energy sector emissions time series from </w:t>
      </w:r>
      <w:r w:rsidRPr="00261B7A">
        <w:rPr>
          <w:bCs/>
        </w:rPr>
        <w:t>1990</w:t>
      </w:r>
      <w:r w:rsidRPr="00261B7A">
        <w:t> to </w:t>
      </w:r>
      <w:r w:rsidRPr="00261B7A">
        <w:rPr>
          <w:bCs/>
        </w:rPr>
        <w:t>2021</w:t>
      </w:r>
      <w:r w:rsidRPr="00261B7A">
        <w:t>. Emissions increased from 1990 to around 2005, before decreasing slightly and then remaining steady until the present day.</w:t>
      </w:r>
    </w:p>
    <w:p w14:paraId="6A1E4505" w14:textId="567091F6" w:rsidR="009F5DA6" w:rsidRPr="00261B7A" w:rsidRDefault="009F5DA6" w:rsidP="009F5DA6">
      <w:pPr>
        <w:pStyle w:val="Figure"/>
        <w:rPr>
          <w:rFonts w:cs="Calibri"/>
        </w:rPr>
      </w:pPr>
      <w:bookmarkStart w:id="214" w:name="_Toc443060810"/>
      <w:bookmarkStart w:id="215" w:name="_Toc447275667"/>
      <w:bookmarkStart w:id="216" w:name="_Toc481751984"/>
      <w:bookmarkStart w:id="217" w:name="_Toc36292768"/>
      <w:bookmarkStart w:id="218" w:name="_Toc68786633"/>
      <w:bookmarkStart w:id="219" w:name="_Toc95834068"/>
      <w:bookmarkStart w:id="220" w:name="_Toc131591535"/>
      <w:r w:rsidRPr="00261B7A">
        <w:rPr>
          <w:rFonts w:cs="Calibri"/>
        </w:rPr>
        <w:t>Figure 3.1.</w:t>
      </w:r>
      <w:r w:rsidRPr="00261B7A">
        <w:rPr>
          <w:rFonts w:cs="Calibri"/>
        </w:rPr>
        <w:fldChar w:fldCharType="begin"/>
      </w:r>
      <w:r w:rsidRPr="00261B7A">
        <w:rPr>
          <w:rFonts w:cs="Calibri"/>
        </w:rPr>
        <w:instrText xml:space="preserve"> SEQ Figure \* ARABIC \s 2 </w:instrText>
      </w:r>
      <w:r w:rsidRPr="00261B7A">
        <w:rPr>
          <w:rFonts w:cs="Calibri"/>
        </w:rPr>
        <w:fldChar w:fldCharType="separate"/>
      </w:r>
      <w:r w:rsidR="008F39B8">
        <w:rPr>
          <w:rFonts w:cs="Calibri"/>
          <w:noProof/>
        </w:rPr>
        <w:t>1</w:t>
      </w:r>
      <w:r w:rsidRPr="00261B7A">
        <w:rPr>
          <w:rFonts w:cs="Calibri"/>
        </w:rPr>
        <w:fldChar w:fldCharType="end"/>
      </w:r>
      <w:r w:rsidRPr="00261B7A">
        <w:rPr>
          <w:rFonts w:cs="Calibri"/>
        </w:rPr>
        <w:tab/>
        <w:t>New Zealand’s Energy sector emissions</w:t>
      </w:r>
      <w:bookmarkEnd w:id="214"/>
      <w:bookmarkEnd w:id="215"/>
      <w:bookmarkEnd w:id="216"/>
      <w:r w:rsidRPr="00261B7A">
        <w:rPr>
          <w:rFonts w:cs="Calibri"/>
        </w:rPr>
        <w:t xml:space="preserve"> from 1990 to </w:t>
      </w:r>
      <w:bookmarkEnd w:id="217"/>
      <w:bookmarkEnd w:id="218"/>
      <w:bookmarkEnd w:id="219"/>
      <w:r w:rsidRPr="00261B7A">
        <w:rPr>
          <w:rFonts w:cs="Calibri"/>
        </w:rPr>
        <w:t>2021</w:t>
      </w:r>
      <w:bookmarkEnd w:id="220"/>
    </w:p>
    <w:p w14:paraId="264AB1C7" w14:textId="77777777" w:rsidR="009F5DA6" w:rsidRPr="00261B7A" w:rsidRDefault="009F5DA6" w:rsidP="009F5DA6">
      <w:pPr>
        <w:pStyle w:val="BodyText"/>
        <w:spacing w:before="80"/>
        <w:jc w:val="center"/>
      </w:pPr>
      <w:r w:rsidRPr="00261B7A">
        <w:rPr>
          <w:noProof/>
        </w:rPr>
        <w:drawing>
          <wp:inline distT="0" distB="0" distL="0" distR="0" wp14:anchorId="22C27B0F" wp14:editId="19F7A8F9">
            <wp:extent cx="5052646" cy="2549769"/>
            <wp:effectExtent l="0" t="0" r="0" b="3175"/>
            <wp:docPr id="1667442459" name="Picture 16674424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7442459"/>
                    <pic:cNvPicPr/>
                  </pic:nvPicPr>
                  <pic:blipFill rotWithShape="1">
                    <a:blip r:embed="rId62" cstate="print">
                      <a:extLst>
                        <a:ext uri="{28A0092B-C50C-407E-A947-70E740481C1C}">
                          <a14:useLocalDpi xmlns:a14="http://schemas.microsoft.com/office/drawing/2010/main" val="0"/>
                        </a:ext>
                      </a:extLst>
                    </a:blip>
                    <a:srcRect l="2607" t="1494" r="2817" b="1494"/>
                    <a:stretch/>
                  </pic:blipFill>
                  <pic:spPr bwMode="auto">
                    <a:xfrm>
                      <a:off x="0" y="0"/>
                      <a:ext cx="5057957" cy="2552449"/>
                    </a:xfrm>
                    <a:prstGeom prst="rect">
                      <a:avLst/>
                    </a:prstGeom>
                    <a:ln>
                      <a:noFill/>
                    </a:ln>
                    <a:extLst>
                      <a:ext uri="{53640926-AAD7-44D8-BBD7-CCE9431645EC}">
                        <a14:shadowObscured xmlns:a14="http://schemas.microsoft.com/office/drawing/2010/main"/>
                      </a:ext>
                    </a:extLst>
                  </pic:spPr>
                </pic:pic>
              </a:graphicData>
            </a:graphic>
          </wp:inline>
        </w:drawing>
      </w:r>
    </w:p>
    <w:p w14:paraId="1A92D46B" w14:textId="77777777" w:rsidR="009F5DA6" w:rsidRPr="00261B7A" w:rsidRDefault="009F5DA6" w:rsidP="009F5DA6">
      <w:pPr>
        <w:pStyle w:val="Heading5"/>
      </w:pPr>
      <w:r w:rsidRPr="00261B7A">
        <w:t>2020–2021</w:t>
      </w:r>
    </w:p>
    <w:p w14:paraId="0DEBDE65" w14:textId="77777777" w:rsidR="009F5DA6" w:rsidRPr="00261B7A" w:rsidRDefault="009F5DA6" w:rsidP="009F5DA6">
      <w:pPr>
        <w:pStyle w:val="BodyText"/>
        <w:spacing w:before="100"/>
      </w:pPr>
      <w:r w:rsidRPr="00261B7A">
        <w:t>Between </w:t>
      </w:r>
      <w:r w:rsidRPr="00261B7A">
        <w:rPr>
          <w:bCs/>
        </w:rPr>
        <w:t>2020</w:t>
      </w:r>
      <w:r w:rsidRPr="00261B7A">
        <w:t> and </w:t>
      </w:r>
      <w:r w:rsidRPr="00261B7A">
        <w:rPr>
          <w:bCs/>
        </w:rPr>
        <w:t>2021</w:t>
      </w:r>
      <w:r w:rsidRPr="00261B7A">
        <w:t>, emissions from the Energy sector </w:t>
      </w:r>
      <w:r w:rsidRPr="00261B7A">
        <w:rPr>
          <w:bCs/>
        </w:rPr>
        <w:t>increased</w:t>
      </w:r>
      <w:r w:rsidRPr="00261B7A">
        <w:t> by 93.2 kt CO</w:t>
      </w:r>
      <w:r w:rsidRPr="00261B7A">
        <w:rPr>
          <w:vertAlign w:val="subscript"/>
        </w:rPr>
        <w:t>2</w:t>
      </w:r>
      <w:r w:rsidRPr="00261B7A">
        <w:t>-e (</w:t>
      </w:r>
      <w:r w:rsidRPr="00261B7A">
        <w:rPr>
          <w:bCs/>
        </w:rPr>
        <w:t>0.3 </w:t>
      </w:r>
      <w:r w:rsidRPr="00261B7A">
        <w:t>per cent). This is primarily due to the 606.2 kt CO</w:t>
      </w:r>
      <w:r w:rsidRPr="00261B7A">
        <w:rPr>
          <w:vertAlign w:val="subscript"/>
        </w:rPr>
        <w:t>2</w:t>
      </w:r>
      <w:r w:rsidRPr="00261B7A">
        <w:t xml:space="preserve">-e (5.0 per cent) increase in emissions from category </w:t>
      </w:r>
      <w:r w:rsidRPr="00261B7A">
        <w:rPr>
          <w:iCs/>
        </w:rPr>
        <w:t>1.A.3.b</w:t>
      </w:r>
      <w:r w:rsidRPr="00261B7A">
        <w:rPr>
          <w:i/>
        </w:rPr>
        <w:t xml:space="preserve"> Road transportation</w:t>
      </w:r>
      <w:r w:rsidRPr="00261B7A">
        <w:rPr>
          <w:rFonts w:cs="Calibri"/>
          <w:color w:val="000000"/>
        </w:rPr>
        <w:t xml:space="preserve">, followed by a 118.1 kt </w:t>
      </w:r>
      <w:r w:rsidRPr="00261B7A">
        <w:t>CO</w:t>
      </w:r>
      <w:r w:rsidRPr="00261B7A">
        <w:rPr>
          <w:vertAlign w:val="subscript"/>
        </w:rPr>
        <w:t>2</w:t>
      </w:r>
      <w:r w:rsidRPr="00261B7A">
        <w:t>-e (42.7 per cent) increase from category 1.A.2.f</w:t>
      </w:r>
      <w:r w:rsidRPr="00261B7A">
        <w:rPr>
          <w:rFonts w:cs="Calibri"/>
          <w:color w:val="000000"/>
        </w:rPr>
        <w:t xml:space="preserve"> </w:t>
      </w:r>
      <w:r w:rsidRPr="00261B7A">
        <w:rPr>
          <w:rFonts w:cs="Calibri"/>
          <w:i/>
          <w:iCs/>
          <w:color w:val="000000"/>
        </w:rPr>
        <w:t>Non-metallic minerals</w:t>
      </w:r>
      <w:r w:rsidRPr="00261B7A">
        <w:rPr>
          <w:rFonts w:cs="Calibri"/>
          <w:color w:val="000000"/>
        </w:rPr>
        <w:t xml:space="preserve">. </w:t>
      </w:r>
      <w:r w:rsidRPr="00261B7A">
        <w:t>The increase was </w:t>
      </w:r>
      <w:r w:rsidRPr="00261B7A">
        <w:rPr>
          <w:iCs/>
        </w:rPr>
        <w:t xml:space="preserve">partially offset by </w:t>
      </w:r>
      <w:r w:rsidRPr="00261B7A">
        <w:rPr>
          <w:iCs/>
          <w:spacing w:val="-2"/>
        </w:rPr>
        <w:t xml:space="preserve">category </w:t>
      </w:r>
      <w:r w:rsidRPr="00261B7A">
        <w:rPr>
          <w:rFonts w:cs="Calibri"/>
          <w:color w:val="000000"/>
          <w:spacing w:val="-2"/>
        </w:rPr>
        <w:t>1.A.2.c</w:t>
      </w:r>
      <w:r w:rsidRPr="00261B7A">
        <w:rPr>
          <w:rFonts w:cs="Calibri"/>
          <w:i/>
          <w:iCs/>
          <w:color w:val="000000"/>
          <w:spacing w:val="-2"/>
        </w:rPr>
        <w:t xml:space="preserve"> Chemicals</w:t>
      </w:r>
      <w:r w:rsidRPr="00261B7A">
        <w:rPr>
          <w:spacing w:val="-2"/>
        </w:rPr>
        <w:t>, which decreased by 272.5 kt CO</w:t>
      </w:r>
      <w:r w:rsidRPr="00261B7A">
        <w:rPr>
          <w:spacing w:val="-2"/>
          <w:vertAlign w:val="subscript"/>
        </w:rPr>
        <w:t>2</w:t>
      </w:r>
      <w:r w:rsidRPr="00261B7A">
        <w:rPr>
          <w:spacing w:val="-2"/>
        </w:rPr>
        <w:t xml:space="preserve">-e (17.6 per cent). </w:t>
      </w:r>
      <w:r w:rsidRPr="00261B7A">
        <w:rPr>
          <w:rFonts w:cs="Calibri"/>
          <w:spacing w:val="-2"/>
        </w:rPr>
        <w:t>A 200.9 kt CO</w:t>
      </w:r>
      <w:r w:rsidRPr="00261B7A">
        <w:rPr>
          <w:rFonts w:cs="Calibri"/>
          <w:spacing w:val="-2"/>
          <w:vertAlign w:val="subscript"/>
        </w:rPr>
        <w:t>2</w:t>
      </w:r>
      <w:r w:rsidRPr="00261B7A">
        <w:rPr>
          <w:rFonts w:cs="Calibri"/>
          <w:spacing w:val="-2"/>
        </w:rPr>
        <w:t>-</w:t>
      </w:r>
      <w:r w:rsidRPr="00261B7A">
        <w:rPr>
          <w:rFonts w:cs="Calibri"/>
        </w:rPr>
        <w:t>e (4.4 per cent) decrease also occurred in emissions from category </w:t>
      </w:r>
      <w:r w:rsidRPr="00261B7A">
        <w:rPr>
          <w:rFonts w:cs="Calibri"/>
          <w:color w:val="000000"/>
        </w:rPr>
        <w:t>1.A.1.a</w:t>
      </w:r>
      <w:r w:rsidRPr="00261B7A">
        <w:rPr>
          <w:rFonts w:cs="Calibri"/>
          <w:i/>
          <w:iCs/>
          <w:color w:val="000000"/>
        </w:rPr>
        <w:t xml:space="preserve"> Public electricity and heat production</w:t>
      </w:r>
      <w:r w:rsidRPr="00261B7A">
        <w:rPr>
          <w:rFonts w:cs="Calibri"/>
        </w:rPr>
        <w:t>.</w:t>
      </w:r>
    </w:p>
    <w:p w14:paraId="2CBF9425" w14:textId="77777777" w:rsidR="009F5DA6" w:rsidRPr="00261B7A" w:rsidRDefault="009F5DA6" w:rsidP="009F5DA6">
      <w:pPr>
        <w:pStyle w:val="BodyText"/>
      </w:pPr>
      <w:r w:rsidRPr="00261B7A">
        <w:t>The 2020 calendar year saw disruption to economic activity in New Zealand, with the effects of the COVID-19 pandemic being felt by the Energy sector throughout the year. The sector saw a rebound during 2021, but consumption remained below pre-2020 levels. All of New Zealand moved to Alert Level 4 on 17 August 2021, with the Auckland region remaining under tighter restrictions on activities and movements for the remainder of 2021.</w:t>
      </w:r>
    </w:p>
    <w:p w14:paraId="4CA325E9" w14:textId="77777777" w:rsidR="009F5DA6" w:rsidRPr="00261B7A" w:rsidRDefault="009F5DA6" w:rsidP="009F5DA6">
      <w:pPr>
        <w:pStyle w:val="BodyText"/>
        <w:rPr>
          <w:rFonts w:cs="Calibri"/>
        </w:rPr>
      </w:pPr>
      <w:r w:rsidRPr="00261B7A">
        <w:t>Restrictions on activities and movement as part of the response to the COVID-19 pandemic also affected the commercial and industrial sectors. Industries that were deemed non-essential faced restrictions on their operations, and continued disruptions to global supply chains affected business activity in New Zealand. The combination of COVID-19-related restrictions and global supply chain disruptions contributed significantly to decreases in business activity for basic metals and mining sectors in particular.</w:t>
      </w:r>
    </w:p>
    <w:p w14:paraId="29F226A6" w14:textId="77777777" w:rsidR="009F5DA6" w:rsidRPr="00261B7A" w:rsidRDefault="009F5DA6" w:rsidP="0034058F">
      <w:pPr>
        <w:pStyle w:val="Heading3"/>
      </w:pPr>
      <w:r w:rsidRPr="00261B7A">
        <w:t>3.1.2</w:t>
      </w:r>
      <w:r w:rsidRPr="00261B7A">
        <w:tab/>
        <w:t>Key categories for Energy sector emissions</w:t>
      </w:r>
    </w:p>
    <w:p w14:paraId="49C18153" w14:textId="77777777" w:rsidR="009F5DA6" w:rsidRPr="00261B7A" w:rsidRDefault="009F5DA6" w:rsidP="009F5DA6">
      <w:pPr>
        <w:pStyle w:val="BodyText"/>
        <w:rPr>
          <w:rFonts w:cs="Calibri"/>
        </w:rPr>
      </w:pPr>
      <w:r w:rsidRPr="00261B7A">
        <w:rPr>
          <w:rFonts w:cs="Calibri"/>
        </w:rPr>
        <w:t>Details of New Zealand’s key category analysis are in chapter 1, section 1.5. The key categories in the Energy sector are listed in table 3.1.1.</w:t>
      </w:r>
    </w:p>
    <w:p w14:paraId="1F8B30E2" w14:textId="77777777" w:rsidR="009F5DA6" w:rsidRPr="00261B7A" w:rsidRDefault="009F5DA6" w:rsidP="009F5DA6">
      <w:pPr>
        <w:pStyle w:val="Table"/>
      </w:pPr>
      <w:bookmarkStart w:id="221" w:name="_Toc451176060"/>
      <w:bookmarkStart w:id="222" w:name="_Toc481751486"/>
      <w:bookmarkStart w:id="223" w:name="_Toc507496588"/>
      <w:bookmarkStart w:id="224" w:name="_Toc36224522"/>
      <w:bookmarkStart w:id="225" w:name="_Toc68786403"/>
      <w:bookmarkStart w:id="226" w:name="_Toc131591316"/>
      <w:bookmarkStart w:id="227" w:name="_Toc384582165"/>
      <w:bookmarkStart w:id="228" w:name="_Toc443060844"/>
      <w:r w:rsidRPr="00261B7A">
        <w:t xml:space="preserve">Table 3.1.1 </w:t>
      </w:r>
      <w:r w:rsidRPr="00261B7A">
        <w:tab/>
        <w:t>Key categories in the Energy sector</w:t>
      </w:r>
      <w:bookmarkEnd w:id="221"/>
      <w:bookmarkEnd w:id="222"/>
      <w:bookmarkEnd w:id="223"/>
      <w:bookmarkEnd w:id="224"/>
      <w:bookmarkEnd w:id="225"/>
      <w:bookmarkEnd w:id="226"/>
    </w:p>
    <w:tbl>
      <w:tblPr>
        <w:tblW w:w="8505" w:type="dxa"/>
        <w:tblBorders>
          <w:top w:val="single" w:sz="4" w:space="0" w:color="1B556B"/>
          <w:bottom w:val="single" w:sz="4" w:space="0" w:color="1B556B"/>
          <w:insideH w:val="single" w:sz="4" w:space="0" w:color="1B556B"/>
          <w:insideV w:val="single" w:sz="4" w:space="0" w:color="1B556B"/>
        </w:tblBorders>
        <w:tblLayout w:type="fixed"/>
        <w:tblLook w:val="04A0" w:firstRow="1" w:lastRow="0" w:firstColumn="1" w:lastColumn="0" w:noHBand="0" w:noVBand="1"/>
      </w:tblPr>
      <w:tblGrid>
        <w:gridCol w:w="1093"/>
        <w:gridCol w:w="5711"/>
        <w:gridCol w:w="547"/>
        <w:gridCol w:w="1154"/>
      </w:tblGrid>
      <w:tr w:rsidR="009F5DA6" w:rsidRPr="00261B7A" w14:paraId="153015CE" w14:textId="77777777" w:rsidTr="009B5A50">
        <w:trPr>
          <w:tblHeader/>
        </w:trPr>
        <w:tc>
          <w:tcPr>
            <w:tcW w:w="1093" w:type="dxa"/>
            <w:shd w:val="clear" w:color="auto" w:fill="1B556B"/>
            <w:noWrap/>
            <w:vAlign w:val="bottom"/>
            <w:hideMark/>
          </w:tcPr>
          <w:p w14:paraId="39DF1EE0" w14:textId="77777777" w:rsidR="009F5DA6" w:rsidRPr="00261B7A" w:rsidRDefault="009F5DA6" w:rsidP="00D41492">
            <w:pPr>
              <w:pStyle w:val="TableTextBold"/>
              <w:keepNext/>
              <w:spacing w:before="40" w:after="40"/>
              <w:rPr>
                <w:rFonts w:cs="Calibri"/>
                <w:noProof w:val="0"/>
                <w:color w:val="FFFFFF"/>
              </w:rPr>
            </w:pPr>
            <w:r w:rsidRPr="00261B7A">
              <w:rPr>
                <w:rFonts w:cs="Calibri"/>
                <w:noProof w:val="0"/>
                <w:color w:val="FFFFFF"/>
              </w:rPr>
              <w:t>CRF category code</w:t>
            </w:r>
          </w:p>
        </w:tc>
        <w:tc>
          <w:tcPr>
            <w:tcW w:w="5711" w:type="dxa"/>
            <w:shd w:val="clear" w:color="auto" w:fill="1B556B"/>
            <w:noWrap/>
            <w:vAlign w:val="bottom"/>
            <w:hideMark/>
          </w:tcPr>
          <w:p w14:paraId="3FB049DF" w14:textId="77777777" w:rsidR="009F5DA6" w:rsidRPr="00261B7A" w:rsidRDefault="009F5DA6" w:rsidP="00D41492">
            <w:pPr>
              <w:pStyle w:val="TableTextBold"/>
              <w:keepNext/>
              <w:spacing w:before="40" w:after="40"/>
              <w:rPr>
                <w:rFonts w:cs="Calibri"/>
                <w:noProof w:val="0"/>
                <w:color w:val="FFFFFF"/>
              </w:rPr>
            </w:pPr>
            <w:r w:rsidRPr="00261B7A">
              <w:rPr>
                <w:rFonts w:cs="Calibri"/>
                <w:noProof w:val="0"/>
                <w:color w:val="FFFFFF"/>
              </w:rPr>
              <w:t>IPCC categories</w:t>
            </w:r>
          </w:p>
        </w:tc>
        <w:tc>
          <w:tcPr>
            <w:tcW w:w="547" w:type="dxa"/>
            <w:shd w:val="clear" w:color="auto" w:fill="1B556B"/>
            <w:noWrap/>
            <w:vAlign w:val="bottom"/>
            <w:hideMark/>
          </w:tcPr>
          <w:p w14:paraId="690EC953" w14:textId="77777777" w:rsidR="009F5DA6" w:rsidRPr="00261B7A" w:rsidRDefault="009F5DA6" w:rsidP="00D41492">
            <w:pPr>
              <w:pStyle w:val="TableTextBold"/>
              <w:keepNext/>
              <w:spacing w:before="40" w:after="40"/>
              <w:jc w:val="center"/>
              <w:rPr>
                <w:rFonts w:cs="Calibri"/>
                <w:noProof w:val="0"/>
                <w:color w:val="FFFFFF"/>
              </w:rPr>
            </w:pPr>
            <w:r w:rsidRPr="00261B7A">
              <w:rPr>
                <w:rFonts w:cs="Calibri"/>
                <w:noProof w:val="0"/>
                <w:color w:val="FFFFFF"/>
              </w:rPr>
              <w:t>Gas</w:t>
            </w:r>
          </w:p>
        </w:tc>
        <w:tc>
          <w:tcPr>
            <w:tcW w:w="1154" w:type="dxa"/>
            <w:shd w:val="clear" w:color="auto" w:fill="1B556B"/>
            <w:noWrap/>
            <w:vAlign w:val="bottom"/>
            <w:hideMark/>
          </w:tcPr>
          <w:p w14:paraId="774E62C5" w14:textId="77777777" w:rsidR="009F5DA6" w:rsidRPr="00261B7A" w:rsidRDefault="009F5DA6" w:rsidP="00D41492">
            <w:pPr>
              <w:pStyle w:val="TableTextBold"/>
              <w:keepNext/>
              <w:spacing w:before="40" w:after="40"/>
              <w:rPr>
                <w:rFonts w:cs="Calibri"/>
                <w:noProof w:val="0"/>
                <w:color w:val="FFFFFF"/>
              </w:rPr>
            </w:pPr>
            <w:r w:rsidRPr="00261B7A">
              <w:rPr>
                <w:rFonts w:cs="Calibri"/>
                <w:noProof w:val="0"/>
                <w:color w:val="FFFFFF"/>
              </w:rPr>
              <w:t>Criteria for identification</w:t>
            </w:r>
          </w:p>
        </w:tc>
      </w:tr>
      <w:tr w:rsidR="009F5DA6" w:rsidRPr="00261B7A" w14:paraId="3BD1CA59" w14:textId="77777777" w:rsidTr="009B5A50">
        <w:tc>
          <w:tcPr>
            <w:tcW w:w="1093" w:type="dxa"/>
            <w:shd w:val="clear" w:color="auto" w:fill="auto"/>
            <w:noWrap/>
            <w:hideMark/>
          </w:tcPr>
          <w:p w14:paraId="70C14B96" w14:textId="77777777" w:rsidR="009F5DA6" w:rsidRPr="00261B7A" w:rsidRDefault="009F5DA6" w:rsidP="00D41492">
            <w:pPr>
              <w:pStyle w:val="TableText"/>
              <w:keepNext/>
              <w:spacing w:before="40" w:after="40"/>
              <w:rPr>
                <w:rFonts w:cs="Calibri"/>
              </w:rPr>
            </w:pPr>
            <w:r w:rsidRPr="00261B7A">
              <w:t>1.A.1.a</w:t>
            </w:r>
          </w:p>
        </w:tc>
        <w:tc>
          <w:tcPr>
            <w:tcW w:w="5711" w:type="dxa"/>
            <w:shd w:val="clear" w:color="auto" w:fill="auto"/>
            <w:noWrap/>
            <w:hideMark/>
          </w:tcPr>
          <w:p w14:paraId="427DABD5" w14:textId="77777777" w:rsidR="009F5DA6" w:rsidRPr="00261B7A" w:rsidRDefault="009F5DA6" w:rsidP="00D41492">
            <w:pPr>
              <w:pStyle w:val="TableText"/>
              <w:spacing w:before="40" w:after="40"/>
              <w:rPr>
                <w:rFonts w:cs="Calibri"/>
              </w:rPr>
            </w:pPr>
            <w:r w:rsidRPr="00261B7A">
              <w:t>Energy Industries – Public Electricity and Heat Production Solid Fuels</w:t>
            </w:r>
          </w:p>
        </w:tc>
        <w:tc>
          <w:tcPr>
            <w:tcW w:w="547" w:type="dxa"/>
            <w:shd w:val="clear" w:color="auto" w:fill="auto"/>
            <w:noWrap/>
            <w:hideMark/>
          </w:tcPr>
          <w:p w14:paraId="6A35EB69"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hideMark/>
          </w:tcPr>
          <w:p w14:paraId="3194FD9A" w14:textId="77777777" w:rsidR="009F5DA6" w:rsidRPr="00261B7A" w:rsidRDefault="009F5DA6" w:rsidP="00D41492">
            <w:pPr>
              <w:pStyle w:val="TableText"/>
              <w:spacing w:before="40" w:after="40"/>
              <w:rPr>
                <w:rFonts w:cs="Calibri"/>
              </w:rPr>
            </w:pPr>
            <w:r w:rsidRPr="00261B7A">
              <w:t>L1, T1</w:t>
            </w:r>
          </w:p>
        </w:tc>
      </w:tr>
      <w:tr w:rsidR="009F5DA6" w:rsidRPr="00261B7A" w14:paraId="59F07082" w14:textId="77777777" w:rsidTr="009B5A50">
        <w:tc>
          <w:tcPr>
            <w:tcW w:w="1093" w:type="dxa"/>
            <w:shd w:val="clear" w:color="auto" w:fill="auto"/>
            <w:noWrap/>
            <w:hideMark/>
          </w:tcPr>
          <w:p w14:paraId="7A4C8428" w14:textId="77777777" w:rsidR="009F5DA6" w:rsidRPr="00261B7A" w:rsidRDefault="009F5DA6" w:rsidP="00D41492">
            <w:pPr>
              <w:pStyle w:val="TableText"/>
              <w:keepNext/>
              <w:spacing w:before="40" w:after="40"/>
              <w:rPr>
                <w:rFonts w:cs="Calibri"/>
              </w:rPr>
            </w:pPr>
            <w:r w:rsidRPr="00261B7A">
              <w:t>1.A.1.a</w:t>
            </w:r>
          </w:p>
        </w:tc>
        <w:tc>
          <w:tcPr>
            <w:tcW w:w="5711" w:type="dxa"/>
            <w:shd w:val="clear" w:color="auto" w:fill="auto"/>
            <w:noWrap/>
            <w:hideMark/>
          </w:tcPr>
          <w:p w14:paraId="6476EBD7" w14:textId="77777777" w:rsidR="009F5DA6" w:rsidRPr="00261B7A" w:rsidRDefault="009F5DA6" w:rsidP="00D41492">
            <w:pPr>
              <w:pStyle w:val="TableText"/>
              <w:spacing w:before="40" w:after="40"/>
              <w:rPr>
                <w:rFonts w:cs="Calibri"/>
              </w:rPr>
            </w:pPr>
            <w:r w:rsidRPr="00261B7A">
              <w:t>Energy Industries – Public Electricity and Heat Production Gaseous Fuels</w:t>
            </w:r>
          </w:p>
        </w:tc>
        <w:tc>
          <w:tcPr>
            <w:tcW w:w="547" w:type="dxa"/>
            <w:shd w:val="clear" w:color="auto" w:fill="auto"/>
            <w:noWrap/>
            <w:hideMark/>
          </w:tcPr>
          <w:p w14:paraId="414273F1"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hideMark/>
          </w:tcPr>
          <w:p w14:paraId="2D66C06A" w14:textId="77777777" w:rsidR="009F5DA6" w:rsidRPr="00261B7A" w:rsidRDefault="009F5DA6" w:rsidP="00D41492">
            <w:pPr>
              <w:pStyle w:val="TableText"/>
              <w:spacing w:before="40" w:after="40"/>
              <w:rPr>
                <w:rFonts w:cs="Calibri"/>
              </w:rPr>
            </w:pPr>
            <w:r w:rsidRPr="00261B7A">
              <w:t>L1, T1</w:t>
            </w:r>
          </w:p>
        </w:tc>
      </w:tr>
      <w:tr w:rsidR="009F5DA6" w:rsidRPr="00261B7A" w14:paraId="18FA6DF2" w14:textId="77777777" w:rsidTr="009B5A50">
        <w:tc>
          <w:tcPr>
            <w:tcW w:w="1093" w:type="dxa"/>
            <w:shd w:val="clear" w:color="auto" w:fill="auto"/>
            <w:noWrap/>
          </w:tcPr>
          <w:p w14:paraId="7819086F" w14:textId="77777777" w:rsidR="009F5DA6" w:rsidRPr="00261B7A" w:rsidRDefault="009F5DA6" w:rsidP="00D41492">
            <w:pPr>
              <w:pStyle w:val="TableText"/>
              <w:keepNext/>
              <w:spacing w:before="40" w:after="40"/>
            </w:pPr>
            <w:r w:rsidRPr="00261B7A">
              <w:t>1.A.1.b</w:t>
            </w:r>
          </w:p>
        </w:tc>
        <w:tc>
          <w:tcPr>
            <w:tcW w:w="5711" w:type="dxa"/>
            <w:shd w:val="clear" w:color="auto" w:fill="auto"/>
            <w:noWrap/>
          </w:tcPr>
          <w:p w14:paraId="73658906" w14:textId="77777777" w:rsidR="009F5DA6" w:rsidRPr="00261B7A" w:rsidRDefault="009F5DA6" w:rsidP="00D41492">
            <w:pPr>
              <w:pStyle w:val="TableText"/>
              <w:spacing w:before="40" w:after="40"/>
            </w:pPr>
            <w:r w:rsidRPr="00261B7A">
              <w:t>Energy Industries – Petroleum Refining Liquid Fuels</w:t>
            </w:r>
          </w:p>
        </w:tc>
        <w:tc>
          <w:tcPr>
            <w:tcW w:w="547" w:type="dxa"/>
            <w:shd w:val="clear" w:color="auto" w:fill="auto"/>
            <w:noWrap/>
          </w:tcPr>
          <w:p w14:paraId="1946B161" w14:textId="77777777" w:rsidR="009F5DA6" w:rsidRPr="00261B7A" w:rsidRDefault="009F5DA6" w:rsidP="00D41492">
            <w:pPr>
              <w:pStyle w:val="TableText"/>
              <w:spacing w:before="40" w:after="40"/>
              <w:jc w:val="center"/>
            </w:pPr>
            <w:r w:rsidRPr="00261B7A">
              <w:t>CO</w:t>
            </w:r>
            <w:r w:rsidRPr="00261B7A">
              <w:rPr>
                <w:vertAlign w:val="subscript"/>
              </w:rPr>
              <w:t>2</w:t>
            </w:r>
          </w:p>
        </w:tc>
        <w:tc>
          <w:tcPr>
            <w:tcW w:w="1154" w:type="dxa"/>
            <w:shd w:val="clear" w:color="auto" w:fill="auto"/>
            <w:noWrap/>
          </w:tcPr>
          <w:p w14:paraId="480F9601" w14:textId="77777777" w:rsidR="009F5DA6" w:rsidRPr="00261B7A" w:rsidRDefault="009F5DA6" w:rsidP="00D41492">
            <w:pPr>
              <w:pStyle w:val="TableText"/>
              <w:spacing w:before="40" w:after="40"/>
            </w:pPr>
            <w:r w:rsidRPr="00261B7A">
              <w:t>L1, T1</w:t>
            </w:r>
          </w:p>
        </w:tc>
      </w:tr>
      <w:tr w:rsidR="009F5DA6" w:rsidRPr="00261B7A" w14:paraId="0E9A4473" w14:textId="77777777" w:rsidTr="009B5A50">
        <w:tc>
          <w:tcPr>
            <w:tcW w:w="1093" w:type="dxa"/>
            <w:shd w:val="clear" w:color="auto" w:fill="auto"/>
            <w:noWrap/>
            <w:hideMark/>
          </w:tcPr>
          <w:p w14:paraId="5A589EA0" w14:textId="77777777" w:rsidR="009F5DA6" w:rsidRPr="00261B7A" w:rsidRDefault="009F5DA6" w:rsidP="00D41492">
            <w:pPr>
              <w:pStyle w:val="TableText"/>
              <w:spacing w:before="40" w:after="40"/>
              <w:rPr>
                <w:rFonts w:cs="Calibri"/>
              </w:rPr>
            </w:pPr>
            <w:r w:rsidRPr="00261B7A">
              <w:t>1.A.1.b</w:t>
            </w:r>
          </w:p>
        </w:tc>
        <w:tc>
          <w:tcPr>
            <w:tcW w:w="5711" w:type="dxa"/>
            <w:shd w:val="clear" w:color="auto" w:fill="auto"/>
            <w:noWrap/>
            <w:hideMark/>
          </w:tcPr>
          <w:p w14:paraId="14CA456E" w14:textId="77777777" w:rsidR="009F5DA6" w:rsidRPr="00261B7A" w:rsidRDefault="009F5DA6" w:rsidP="00D41492">
            <w:pPr>
              <w:pStyle w:val="TableText"/>
              <w:spacing w:before="40" w:after="40"/>
              <w:rPr>
                <w:rFonts w:cs="Calibri"/>
              </w:rPr>
            </w:pPr>
            <w:r w:rsidRPr="00261B7A">
              <w:t>Energy Industries – Petroleum Refining Gaseous Fuels</w:t>
            </w:r>
          </w:p>
        </w:tc>
        <w:tc>
          <w:tcPr>
            <w:tcW w:w="547" w:type="dxa"/>
            <w:shd w:val="clear" w:color="auto" w:fill="auto"/>
            <w:noWrap/>
            <w:hideMark/>
          </w:tcPr>
          <w:p w14:paraId="2ED6569E"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hideMark/>
          </w:tcPr>
          <w:p w14:paraId="6FC5B414" w14:textId="77777777" w:rsidR="009F5DA6" w:rsidRPr="00261B7A" w:rsidRDefault="009F5DA6" w:rsidP="00D41492">
            <w:pPr>
              <w:pStyle w:val="TableText"/>
              <w:spacing w:before="40" w:after="40"/>
              <w:rPr>
                <w:rFonts w:cs="Calibri"/>
              </w:rPr>
            </w:pPr>
            <w:r w:rsidRPr="00261B7A">
              <w:t>T1</w:t>
            </w:r>
          </w:p>
        </w:tc>
      </w:tr>
      <w:tr w:rsidR="009F5DA6" w:rsidRPr="00261B7A" w14:paraId="4826DABD" w14:textId="77777777" w:rsidTr="009B5A50">
        <w:tc>
          <w:tcPr>
            <w:tcW w:w="1093" w:type="dxa"/>
            <w:shd w:val="clear" w:color="auto" w:fill="auto"/>
            <w:noWrap/>
            <w:hideMark/>
          </w:tcPr>
          <w:p w14:paraId="4F40B9E1" w14:textId="77777777" w:rsidR="009F5DA6" w:rsidRPr="00261B7A" w:rsidRDefault="009F5DA6" w:rsidP="00D41492">
            <w:pPr>
              <w:pStyle w:val="TableText"/>
              <w:spacing w:before="40" w:after="40"/>
              <w:rPr>
                <w:rFonts w:cs="Calibri"/>
              </w:rPr>
            </w:pPr>
            <w:r w:rsidRPr="00261B7A">
              <w:t>1.A.1.c</w:t>
            </w:r>
          </w:p>
        </w:tc>
        <w:tc>
          <w:tcPr>
            <w:tcW w:w="5711" w:type="dxa"/>
            <w:shd w:val="clear" w:color="auto" w:fill="auto"/>
            <w:noWrap/>
            <w:hideMark/>
          </w:tcPr>
          <w:p w14:paraId="0127DF3C" w14:textId="77777777" w:rsidR="009F5DA6" w:rsidRPr="00261B7A" w:rsidRDefault="009F5DA6" w:rsidP="00D41492">
            <w:pPr>
              <w:pStyle w:val="TableText"/>
              <w:spacing w:before="40" w:after="40"/>
              <w:rPr>
                <w:rFonts w:cs="Calibri"/>
              </w:rPr>
            </w:pPr>
            <w:r w:rsidRPr="00261B7A">
              <w:t>Energy Industries – Manufacture of Solid Fuels and Other Energy Industries Gaseous Fuels</w:t>
            </w:r>
          </w:p>
        </w:tc>
        <w:tc>
          <w:tcPr>
            <w:tcW w:w="547" w:type="dxa"/>
            <w:shd w:val="clear" w:color="auto" w:fill="auto"/>
            <w:noWrap/>
            <w:hideMark/>
          </w:tcPr>
          <w:p w14:paraId="71ABA2E3"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hideMark/>
          </w:tcPr>
          <w:p w14:paraId="6094D11B" w14:textId="77777777" w:rsidR="009F5DA6" w:rsidRPr="00261B7A" w:rsidRDefault="009F5DA6" w:rsidP="00D41492">
            <w:pPr>
              <w:pStyle w:val="TableText"/>
              <w:spacing w:before="40" w:after="40"/>
              <w:rPr>
                <w:rFonts w:cs="Calibri"/>
              </w:rPr>
            </w:pPr>
            <w:r w:rsidRPr="00261B7A">
              <w:t>L1, T1</w:t>
            </w:r>
          </w:p>
        </w:tc>
      </w:tr>
      <w:tr w:rsidR="009F5DA6" w:rsidRPr="00261B7A" w14:paraId="09F71A95" w14:textId="77777777" w:rsidTr="009B5A50">
        <w:tc>
          <w:tcPr>
            <w:tcW w:w="1093" w:type="dxa"/>
            <w:shd w:val="clear" w:color="auto" w:fill="auto"/>
            <w:noWrap/>
            <w:hideMark/>
          </w:tcPr>
          <w:p w14:paraId="15A26E03" w14:textId="77777777" w:rsidR="009F5DA6" w:rsidRPr="00261B7A" w:rsidRDefault="009F5DA6" w:rsidP="00D41492">
            <w:pPr>
              <w:pStyle w:val="TableText"/>
              <w:spacing w:before="40" w:after="40"/>
              <w:rPr>
                <w:rFonts w:cs="Calibri"/>
              </w:rPr>
            </w:pPr>
            <w:r w:rsidRPr="00261B7A">
              <w:t>1.A.2.c</w:t>
            </w:r>
          </w:p>
        </w:tc>
        <w:tc>
          <w:tcPr>
            <w:tcW w:w="5711" w:type="dxa"/>
            <w:shd w:val="clear" w:color="auto" w:fill="auto"/>
            <w:noWrap/>
            <w:hideMark/>
          </w:tcPr>
          <w:p w14:paraId="13632B68" w14:textId="77777777" w:rsidR="009F5DA6" w:rsidRPr="00261B7A" w:rsidRDefault="009F5DA6" w:rsidP="00D41492">
            <w:pPr>
              <w:pStyle w:val="TableText"/>
              <w:spacing w:before="40" w:after="40"/>
              <w:rPr>
                <w:rFonts w:cs="Calibri"/>
              </w:rPr>
            </w:pPr>
            <w:r w:rsidRPr="00261B7A">
              <w:t>Manufacturing Industries and Construction – Chemicals Gaseous Fuels</w:t>
            </w:r>
          </w:p>
        </w:tc>
        <w:tc>
          <w:tcPr>
            <w:tcW w:w="547" w:type="dxa"/>
            <w:shd w:val="clear" w:color="auto" w:fill="auto"/>
            <w:noWrap/>
            <w:hideMark/>
          </w:tcPr>
          <w:p w14:paraId="5E84DEBD"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hideMark/>
          </w:tcPr>
          <w:p w14:paraId="2A61EE13" w14:textId="77777777" w:rsidR="009F5DA6" w:rsidRPr="00261B7A" w:rsidRDefault="009F5DA6" w:rsidP="00D41492">
            <w:pPr>
              <w:pStyle w:val="TableText"/>
              <w:spacing w:before="40" w:after="40"/>
              <w:rPr>
                <w:rFonts w:cs="Calibri"/>
              </w:rPr>
            </w:pPr>
            <w:r w:rsidRPr="00261B7A">
              <w:t>L1, T1</w:t>
            </w:r>
          </w:p>
        </w:tc>
      </w:tr>
      <w:tr w:rsidR="009F5DA6" w:rsidRPr="00261B7A" w14:paraId="14BCCF97" w14:textId="77777777" w:rsidTr="009B5A50">
        <w:tc>
          <w:tcPr>
            <w:tcW w:w="1093" w:type="dxa"/>
            <w:shd w:val="clear" w:color="auto" w:fill="auto"/>
            <w:noWrap/>
            <w:hideMark/>
          </w:tcPr>
          <w:p w14:paraId="67C38B23" w14:textId="77777777" w:rsidR="009F5DA6" w:rsidRPr="00261B7A" w:rsidRDefault="009F5DA6" w:rsidP="00D41492">
            <w:pPr>
              <w:pStyle w:val="TableText"/>
              <w:spacing w:before="40" w:after="40"/>
              <w:rPr>
                <w:rFonts w:cs="Calibri"/>
              </w:rPr>
            </w:pPr>
            <w:r w:rsidRPr="00261B7A">
              <w:t>1.A.2.d</w:t>
            </w:r>
          </w:p>
        </w:tc>
        <w:tc>
          <w:tcPr>
            <w:tcW w:w="5711" w:type="dxa"/>
            <w:shd w:val="clear" w:color="auto" w:fill="auto"/>
            <w:noWrap/>
            <w:hideMark/>
          </w:tcPr>
          <w:p w14:paraId="53BDA2B8" w14:textId="77777777" w:rsidR="009F5DA6" w:rsidRPr="00261B7A" w:rsidRDefault="009F5DA6" w:rsidP="00D41492">
            <w:pPr>
              <w:pStyle w:val="TableText"/>
              <w:spacing w:before="40" w:after="40"/>
              <w:rPr>
                <w:rFonts w:cs="Calibri"/>
              </w:rPr>
            </w:pPr>
            <w:r w:rsidRPr="00261B7A">
              <w:t>Manufacturing Industries and Construction – Pulp, Paper and Print Gaseous Fuels</w:t>
            </w:r>
          </w:p>
        </w:tc>
        <w:tc>
          <w:tcPr>
            <w:tcW w:w="547" w:type="dxa"/>
            <w:shd w:val="clear" w:color="auto" w:fill="auto"/>
            <w:noWrap/>
            <w:hideMark/>
          </w:tcPr>
          <w:p w14:paraId="2D1840FD"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hideMark/>
          </w:tcPr>
          <w:p w14:paraId="16820314" w14:textId="77777777" w:rsidR="009F5DA6" w:rsidRPr="00261B7A" w:rsidRDefault="009F5DA6" w:rsidP="00D41492">
            <w:pPr>
              <w:pStyle w:val="TableText"/>
              <w:spacing w:before="40" w:after="40"/>
              <w:rPr>
                <w:rFonts w:cs="Calibri"/>
              </w:rPr>
            </w:pPr>
            <w:r w:rsidRPr="00261B7A">
              <w:t>L1, T1</w:t>
            </w:r>
          </w:p>
        </w:tc>
      </w:tr>
      <w:tr w:rsidR="009F5DA6" w:rsidRPr="00261B7A" w14:paraId="2096A4AF" w14:textId="77777777" w:rsidTr="009B5A50">
        <w:tc>
          <w:tcPr>
            <w:tcW w:w="1093" w:type="dxa"/>
            <w:shd w:val="clear" w:color="auto" w:fill="auto"/>
            <w:noWrap/>
            <w:hideMark/>
          </w:tcPr>
          <w:p w14:paraId="2A74859C" w14:textId="77777777" w:rsidR="009F5DA6" w:rsidRPr="00261B7A" w:rsidRDefault="009F5DA6" w:rsidP="00D41492">
            <w:pPr>
              <w:pStyle w:val="TableText"/>
              <w:spacing w:before="40" w:after="40"/>
              <w:rPr>
                <w:rFonts w:cs="Calibri"/>
              </w:rPr>
            </w:pPr>
            <w:r w:rsidRPr="00261B7A">
              <w:t>1.A.2.d</w:t>
            </w:r>
          </w:p>
        </w:tc>
        <w:tc>
          <w:tcPr>
            <w:tcW w:w="5711" w:type="dxa"/>
            <w:shd w:val="clear" w:color="auto" w:fill="auto"/>
            <w:noWrap/>
            <w:hideMark/>
          </w:tcPr>
          <w:p w14:paraId="53367C86" w14:textId="77777777" w:rsidR="009F5DA6" w:rsidRPr="00261B7A" w:rsidRDefault="009F5DA6" w:rsidP="00D41492">
            <w:pPr>
              <w:pStyle w:val="TableText"/>
              <w:spacing w:before="40" w:after="40"/>
              <w:rPr>
                <w:rFonts w:cs="Calibri"/>
              </w:rPr>
            </w:pPr>
            <w:r w:rsidRPr="00261B7A">
              <w:t>Manufacturing Industries and Construction – Pulp, Paper and Print Solid Fuels</w:t>
            </w:r>
          </w:p>
        </w:tc>
        <w:tc>
          <w:tcPr>
            <w:tcW w:w="547" w:type="dxa"/>
            <w:shd w:val="clear" w:color="auto" w:fill="auto"/>
            <w:noWrap/>
            <w:hideMark/>
          </w:tcPr>
          <w:p w14:paraId="6C540C20"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hideMark/>
          </w:tcPr>
          <w:p w14:paraId="6F621398" w14:textId="77777777" w:rsidR="009F5DA6" w:rsidRPr="00261B7A" w:rsidRDefault="009F5DA6" w:rsidP="00D41492">
            <w:pPr>
              <w:pStyle w:val="TableText"/>
              <w:spacing w:before="40" w:after="40"/>
              <w:rPr>
                <w:rFonts w:cs="Calibri"/>
              </w:rPr>
            </w:pPr>
            <w:r w:rsidRPr="00261B7A">
              <w:t>T1</w:t>
            </w:r>
          </w:p>
        </w:tc>
      </w:tr>
      <w:tr w:rsidR="009F5DA6" w:rsidRPr="00261B7A" w14:paraId="6D0D9C85" w14:textId="77777777" w:rsidTr="009B5A50">
        <w:tc>
          <w:tcPr>
            <w:tcW w:w="1093" w:type="dxa"/>
            <w:shd w:val="clear" w:color="auto" w:fill="auto"/>
            <w:noWrap/>
          </w:tcPr>
          <w:p w14:paraId="4E3887CB" w14:textId="77777777" w:rsidR="009F5DA6" w:rsidRPr="00261B7A" w:rsidRDefault="009F5DA6" w:rsidP="00D41492">
            <w:pPr>
              <w:pStyle w:val="TableText"/>
              <w:spacing w:before="40" w:after="40"/>
              <w:rPr>
                <w:rFonts w:cs="Calibri"/>
              </w:rPr>
            </w:pPr>
            <w:r w:rsidRPr="00261B7A">
              <w:t>1.A.2.e</w:t>
            </w:r>
          </w:p>
        </w:tc>
        <w:tc>
          <w:tcPr>
            <w:tcW w:w="5711" w:type="dxa"/>
            <w:shd w:val="clear" w:color="auto" w:fill="auto"/>
            <w:noWrap/>
          </w:tcPr>
          <w:p w14:paraId="69BE55C1" w14:textId="77777777" w:rsidR="009F5DA6" w:rsidRPr="00261B7A" w:rsidRDefault="009F5DA6" w:rsidP="00D41492">
            <w:pPr>
              <w:pStyle w:val="TableText"/>
              <w:spacing w:before="40" w:after="40"/>
              <w:rPr>
                <w:rFonts w:cs="Calibri"/>
              </w:rPr>
            </w:pPr>
            <w:r w:rsidRPr="00261B7A">
              <w:t>Manufacturing Industries and Construction – Food Processing, Beverages and Tobacco Solid Fuels</w:t>
            </w:r>
          </w:p>
        </w:tc>
        <w:tc>
          <w:tcPr>
            <w:tcW w:w="547" w:type="dxa"/>
            <w:shd w:val="clear" w:color="auto" w:fill="auto"/>
            <w:noWrap/>
          </w:tcPr>
          <w:p w14:paraId="45ECB33E"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24A51B1B" w14:textId="77777777" w:rsidR="009F5DA6" w:rsidRPr="00261B7A" w:rsidRDefault="009F5DA6" w:rsidP="00D41492">
            <w:pPr>
              <w:pStyle w:val="TableText"/>
              <w:spacing w:before="40" w:after="40"/>
              <w:rPr>
                <w:rFonts w:cs="Calibri"/>
              </w:rPr>
            </w:pPr>
            <w:r w:rsidRPr="00261B7A">
              <w:t>L1, T1</w:t>
            </w:r>
          </w:p>
        </w:tc>
      </w:tr>
      <w:tr w:rsidR="009F5DA6" w:rsidRPr="00261B7A" w14:paraId="41E9F2D0" w14:textId="77777777" w:rsidTr="009B5A50">
        <w:tc>
          <w:tcPr>
            <w:tcW w:w="1093" w:type="dxa"/>
            <w:shd w:val="clear" w:color="auto" w:fill="auto"/>
            <w:noWrap/>
          </w:tcPr>
          <w:p w14:paraId="3E3A7F9F" w14:textId="77777777" w:rsidR="009F5DA6" w:rsidRPr="00261B7A" w:rsidRDefault="009F5DA6" w:rsidP="00D41492">
            <w:pPr>
              <w:pStyle w:val="TableText"/>
              <w:spacing w:before="40" w:after="40"/>
              <w:rPr>
                <w:rFonts w:cs="Calibri"/>
              </w:rPr>
            </w:pPr>
            <w:r w:rsidRPr="00261B7A">
              <w:t>1.A.2.e</w:t>
            </w:r>
          </w:p>
        </w:tc>
        <w:tc>
          <w:tcPr>
            <w:tcW w:w="5711" w:type="dxa"/>
            <w:shd w:val="clear" w:color="auto" w:fill="auto"/>
            <w:noWrap/>
          </w:tcPr>
          <w:p w14:paraId="653EC06A" w14:textId="77777777" w:rsidR="009F5DA6" w:rsidRPr="00261B7A" w:rsidRDefault="009F5DA6" w:rsidP="00D41492">
            <w:pPr>
              <w:pStyle w:val="TableText"/>
              <w:spacing w:before="40" w:after="40"/>
              <w:rPr>
                <w:rFonts w:cs="Calibri"/>
              </w:rPr>
            </w:pPr>
            <w:r w:rsidRPr="00261B7A">
              <w:t>Manufacturing Industries and Construction – Food Processing, Beverages and Tobacco Gaseous Fuels</w:t>
            </w:r>
          </w:p>
        </w:tc>
        <w:tc>
          <w:tcPr>
            <w:tcW w:w="547" w:type="dxa"/>
            <w:shd w:val="clear" w:color="auto" w:fill="auto"/>
            <w:noWrap/>
          </w:tcPr>
          <w:p w14:paraId="3368918D"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4DA4AF67" w14:textId="77777777" w:rsidR="009F5DA6" w:rsidRPr="00261B7A" w:rsidRDefault="009F5DA6" w:rsidP="00D41492">
            <w:pPr>
              <w:pStyle w:val="TableText"/>
              <w:spacing w:before="40" w:after="40"/>
              <w:rPr>
                <w:rFonts w:cs="Calibri"/>
              </w:rPr>
            </w:pPr>
            <w:r w:rsidRPr="00261B7A">
              <w:t>L1, T1</w:t>
            </w:r>
          </w:p>
        </w:tc>
      </w:tr>
      <w:tr w:rsidR="009F5DA6" w:rsidRPr="00261B7A" w14:paraId="37B600F2" w14:textId="77777777" w:rsidTr="009B5A50">
        <w:tc>
          <w:tcPr>
            <w:tcW w:w="1093" w:type="dxa"/>
            <w:shd w:val="clear" w:color="auto" w:fill="auto"/>
            <w:noWrap/>
          </w:tcPr>
          <w:p w14:paraId="4714DAB9" w14:textId="77777777" w:rsidR="009F5DA6" w:rsidRPr="00261B7A" w:rsidRDefault="009F5DA6" w:rsidP="00D41492">
            <w:pPr>
              <w:pStyle w:val="TableText"/>
              <w:spacing w:before="40" w:after="40"/>
              <w:rPr>
                <w:rFonts w:cs="Calibri"/>
              </w:rPr>
            </w:pPr>
            <w:r w:rsidRPr="00261B7A">
              <w:t>1.A.2.e</w:t>
            </w:r>
          </w:p>
        </w:tc>
        <w:tc>
          <w:tcPr>
            <w:tcW w:w="5711" w:type="dxa"/>
            <w:shd w:val="clear" w:color="auto" w:fill="auto"/>
            <w:noWrap/>
          </w:tcPr>
          <w:p w14:paraId="0617B7CA" w14:textId="77777777" w:rsidR="009F5DA6" w:rsidRPr="00261B7A" w:rsidRDefault="009F5DA6" w:rsidP="00D41492">
            <w:pPr>
              <w:pStyle w:val="TableText"/>
              <w:spacing w:before="40" w:after="40"/>
              <w:rPr>
                <w:rFonts w:cs="Calibri"/>
              </w:rPr>
            </w:pPr>
            <w:r w:rsidRPr="00261B7A">
              <w:t>Manufacturing Industries and Construction – Food Processing, Beverages and Tobacco Liquid Fuels</w:t>
            </w:r>
          </w:p>
        </w:tc>
        <w:tc>
          <w:tcPr>
            <w:tcW w:w="547" w:type="dxa"/>
            <w:shd w:val="clear" w:color="auto" w:fill="auto"/>
            <w:noWrap/>
          </w:tcPr>
          <w:p w14:paraId="56F265EC"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2C3CE8A6" w14:textId="77777777" w:rsidR="009F5DA6" w:rsidRPr="00261B7A" w:rsidRDefault="009F5DA6" w:rsidP="00D41492">
            <w:pPr>
              <w:pStyle w:val="TableText"/>
              <w:spacing w:before="40" w:after="40"/>
              <w:rPr>
                <w:rFonts w:cs="Calibri"/>
              </w:rPr>
            </w:pPr>
            <w:r w:rsidRPr="00261B7A">
              <w:t>L1</w:t>
            </w:r>
          </w:p>
        </w:tc>
      </w:tr>
      <w:tr w:rsidR="009F5DA6" w:rsidRPr="00261B7A" w14:paraId="6E30EEC1" w14:textId="77777777" w:rsidTr="009B5A50">
        <w:tc>
          <w:tcPr>
            <w:tcW w:w="1093" w:type="dxa"/>
            <w:shd w:val="clear" w:color="auto" w:fill="auto"/>
            <w:noWrap/>
          </w:tcPr>
          <w:p w14:paraId="5C4F192E" w14:textId="77777777" w:rsidR="009F5DA6" w:rsidRPr="00261B7A" w:rsidRDefault="009F5DA6" w:rsidP="00D41492">
            <w:pPr>
              <w:pStyle w:val="TableText"/>
              <w:spacing w:before="40" w:after="40"/>
              <w:rPr>
                <w:rFonts w:cs="Calibri"/>
              </w:rPr>
            </w:pPr>
            <w:r w:rsidRPr="00261B7A">
              <w:t>1.A.2.f</w:t>
            </w:r>
          </w:p>
        </w:tc>
        <w:tc>
          <w:tcPr>
            <w:tcW w:w="5711" w:type="dxa"/>
            <w:shd w:val="clear" w:color="auto" w:fill="auto"/>
            <w:noWrap/>
          </w:tcPr>
          <w:p w14:paraId="6185EEAC" w14:textId="77777777" w:rsidR="009F5DA6" w:rsidRPr="00261B7A" w:rsidRDefault="009F5DA6" w:rsidP="00D41492">
            <w:pPr>
              <w:pStyle w:val="TableText"/>
              <w:spacing w:before="40" w:after="40"/>
              <w:rPr>
                <w:rFonts w:cs="Calibri"/>
              </w:rPr>
            </w:pPr>
            <w:r w:rsidRPr="00261B7A">
              <w:t>Manufacturing Industries and Construction – Non-metallic Minerals Solid Fuels</w:t>
            </w:r>
          </w:p>
        </w:tc>
        <w:tc>
          <w:tcPr>
            <w:tcW w:w="547" w:type="dxa"/>
            <w:shd w:val="clear" w:color="auto" w:fill="auto"/>
            <w:noWrap/>
          </w:tcPr>
          <w:p w14:paraId="6A222B14"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3BDB7C00" w14:textId="77777777" w:rsidR="009F5DA6" w:rsidRPr="00261B7A" w:rsidRDefault="009F5DA6" w:rsidP="00D41492">
            <w:pPr>
              <w:pStyle w:val="TableText"/>
              <w:spacing w:before="40" w:after="40"/>
              <w:rPr>
                <w:rFonts w:cs="Calibri"/>
              </w:rPr>
            </w:pPr>
            <w:r w:rsidRPr="00261B7A">
              <w:t>T1</w:t>
            </w:r>
          </w:p>
        </w:tc>
      </w:tr>
      <w:tr w:rsidR="009F5DA6" w:rsidRPr="00261B7A" w14:paraId="43620B1E" w14:textId="77777777" w:rsidTr="009B5A50">
        <w:tc>
          <w:tcPr>
            <w:tcW w:w="1093" w:type="dxa"/>
            <w:shd w:val="clear" w:color="auto" w:fill="auto"/>
            <w:noWrap/>
          </w:tcPr>
          <w:p w14:paraId="66444B63" w14:textId="77777777" w:rsidR="009F5DA6" w:rsidRPr="00261B7A" w:rsidRDefault="009F5DA6" w:rsidP="00D41492">
            <w:pPr>
              <w:pStyle w:val="TableText"/>
              <w:spacing w:before="40" w:after="40"/>
              <w:rPr>
                <w:rFonts w:cs="Calibri"/>
              </w:rPr>
            </w:pPr>
            <w:r w:rsidRPr="00261B7A">
              <w:t>1.A.2.g.iii</w:t>
            </w:r>
          </w:p>
        </w:tc>
        <w:tc>
          <w:tcPr>
            <w:tcW w:w="5711" w:type="dxa"/>
            <w:shd w:val="clear" w:color="auto" w:fill="auto"/>
            <w:noWrap/>
          </w:tcPr>
          <w:p w14:paraId="650CF6BF" w14:textId="77777777" w:rsidR="009F5DA6" w:rsidRPr="00261B7A" w:rsidRDefault="009F5DA6" w:rsidP="00D41492">
            <w:pPr>
              <w:pStyle w:val="TableText"/>
              <w:spacing w:before="40" w:after="40"/>
              <w:rPr>
                <w:rFonts w:cs="Calibri"/>
              </w:rPr>
            </w:pPr>
            <w:r w:rsidRPr="00261B7A">
              <w:t>Other (please specify) – Mining (excluding fuels) and quarrying Liquid Fuels</w:t>
            </w:r>
          </w:p>
        </w:tc>
        <w:tc>
          <w:tcPr>
            <w:tcW w:w="547" w:type="dxa"/>
            <w:shd w:val="clear" w:color="auto" w:fill="auto"/>
            <w:noWrap/>
          </w:tcPr>
          <w:p w14:paraId="3D62D8CD"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1423FB08" w14:textId="77777777" w:rsidR="009F5DA6" w:rsidRPr="00261B7A" w:rsidRDefault="009F5DA6" w:rsidP="00D41492">
            <w:pPr>
              <w:pStyle w:val="TableText"/>
              <w:spacing w:before="40" w:after="40"/>
              <w:rPr>
                <w:rFonts w:cs="Calibri"/>
              </w:rPr>
            </w:pPr>
            <w:r w:rsidRPr="00261B7A">
              <w:t>L1, T1</w:t>
            </w:r>
          </w:p>
        </w:tc>
      </w:tr>
      <w:tr w:rsidR="009F5DA6" w:rsidRPr="00261B7A" w14:paraId="72C0018D" w14:textId="77777777" w:rsidTr="009B5A50">
        <w:tc>
          <w:tcPr>
            <w:tcW w:w="1093" w:type="dxa"/>
            <w:shd w:val="clear" w:color="auto" w:fill="auto"/>
            <w:noWrap/>
          </w:tcPr>
          <w:p w14:paraId="235153FE" w14:textId="77777777" w:rsidR="009F5DA6" w:rsidRPr="00261B7A" w:rsidRDefault="009F5DA6" w:rsidP="00D41492">
            <w:pPr>
              <w:pStyle w:val="TableText"/>
              <w:spacing w:before="40" w:after="40"/>
              <w:rPr>
                <w:rFonts w:cs="Calibri"/>
              </w:rPr>
            </w:pPr>
            <w:r w:rsidRPr="00261B7A">
              <w:t>1.A.2.g.v</w:t>
            </w:r>
          </w:p>
        </w:tc>
        <w:tc>
          <w:tcPr>
            <w:tcW w:w="5711" w:type="dxa"/>
            <w:shd w:val="clear" w:color="auto" w:fill="auto"/>
            <w:noWrap/>
          </w:tcPr>
          <w:p w14:paraId="021005CD" w14:textId="77777777" w:rsidR="009F5DA6" w:rsidRPr="00261B7A" w:rsidRDefault="009F5DA6" w:rsidP="00D41492">
            <w:pPr>
              <w:pStyle w:val="TableText"/>
              <w:spacing w:before="40" w:after="40"/>
              <w:rPr>
                <w:rFonts w:cs="Calibri"/>
              </w:rPr>
            </w:pPr>
            <w:r w:rsidRPr="00261B7A">
              <w:t>Other (please specify) – Construction</w:t>
            </w:r>
          </w:p>
        </w:tc>
        <w:tc>
          <w:tcPr>
            <w:tcW w:w="547" w:type="dxa"/>
            <w:shd w:val="clear" w:color="auto" w:fill="auto"/>
            <w:noWrap/>
          </w:tcPr>
          <w:p w14:paraId="3BBB4ABC"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1B2EF028" w14:textId="77777777" w:rsidR="009F5DA6" w:rsidRPr="00261B7A" w:rsidRDefault="009F5DA6" w:rsidP="00D41492">
            <w:pPr>
              <w:pStyle w:val="TableText"/>
              <w:spacing w:before="40" w:after="40"/>
              <w:rPr>
                <w:rFonts w:cs="Calibri"/>
              </w:rPr>
            </w:pPr>
            <w:r w:rsidRPr="00261B7A">
              <w:t>L1, T1</w:t>
            </w:r>
          </w:p>
        </w:tc>
      </w:tr>
      <w:tr w:rsidR="009F5DA6" w:rsidRPr="00261B7A" w14:paraId="35CE00AC" w14:textId="77777777" w:rsidTr="009B5A50">
        <w:tc>
          <w:tcPr>
            <w:tcW w:w="1093" w:type="dxa"/>
            <w:shd w:val="clear" w:color="auto" w:fill="auto"/>
            <w:noWrap/>
          </w:tcPr>
          <w:p w14:paraId="4B0861F4" w14:textId="77777777" w:rsidR="009F5DA6" w:rsidRPr="00261B7A" w:rsidRDefault="009F5DA6" w:rsidP="00D41492">
            <w:pPr>
              <w:pStyle w:val="TableText"/>
              <w:spacing w:before="40" w:after="40"/>
            </w:pPr>
            <w:r w:rsidRPr="00261B7A">
              <w:t>1.A.2.g.viii</w:t>
            </w:r>
          </w:p>
        </w:tc>
        <w:tc>
          <w:tcPr>
            <w:tcW w:w="5711" w:type="dxa"/>
            <w:shd w:val="clear" w:color="auto" w:fill="auto"/>
            <w:noWrap/>
          </w:tcPr>
          <w:p w14:paraId="1BA29E7E" w14:textId="77777777" w:rsidR="009F5DA6" w:rsidRPr="00261B7A" w:rsidRDefault="009F5DA6" w:rsidP="00D41492">
            <w:pPr>
              <w:pStyle w:val="TableText"/>
              <w:spacing w:before="40" w:after="40"/>
            </w:pPr>
            <w:r w:rsidRPr="00261B7A">
              <w:t>Other (please specify) – Other (please specify) Liquid Fuels</w:t>
            </w:r>
          </w:p>
        </w:tc>
        <w:tc>
          <w:tcPr>
            <w:tcW w:w="547" w:type="dxa"/>
            <w:shd w:val="clear" w:color="auto" w:fill="auto"/>
            <w:noWrap/>
          </w:tcPr>
          <w:p w14:paraId="48A6FAE0" w14:textId="77777777" w:rsidR="009F5DA6" w:rsidRPr="00261B7A" w:rsidRDefault="009F5DA6" w:rsidP="00D41492">
            <w:pPr>
              <w:pStyle w:val="TableText"/>
              <w:spacing w:before="40" w:after="40"/>
              <w:jc w:val="center"/>
            </w:pPr>
            <w:r w:rsidRPr="00261B7A">
              <w:t>CO</w:t>
            </w:r>
            <w:r w:rsidRPr="00261B7A">
              <w:rPr>
                <w:vertAlign w:val="subscript"/>
              </w:rPr>
              <w:t>2</w:t>
            </w:r>
          </w:p>
        </w:tc>
        <w:tc>
          <w:tcPr>
            <w:tcW w:w="1154" w:type="dxa"/>
            <w:shd w:val="clear" w:color="auto" w:fill="auto"/>
            <w:noWrap/>
          </w:tcPr>
          <w:p w14:paraId="48F33891" w14:textId="77777777" w:rsidR="009F5DA6" w:rsidRPr="00261B7A" w:rsidRDefault="009F5DA6" w:rsidP="00D41492">
            <w:pPr>
              <w:pStyle w:val="TableText"/>
              <w:spacing w:before="40" w:after="40"/>
            </w:pPr>
            <w:r w:rsidRPr="00261B7A">
              <w:t>L1, T1</w:t>
            </w:r>
          </w:p>
        </w:tc>
      </w:tr>
      <w:tr w:rsidR="009F5DA6" w:rsidRPr="00261B7A" w14:paraId="3FDD290A" w14:textId="77777777" w:rsidTr="009B5A50">
        <w:tc>
          <w:tcPr>
            <w:tcW w:w="1093" w:type="dxa"/>
            <w:shd w:val="clear" w:color="auto" w:fill="auto"/>
            <w:noWrap/>
          </w:tcPr>
          <w:p w14:paraId="3AFC92D6" w14:textId="77777777" w:rsidR="009F5DA6" w:rsidRPr="00261B7A" w:rsidRDefault="009F5DA6" w:rsidP="00D41492">
            <w:pPr>
              <w:pStyle w:val="TableText"/>
              <w:spacing w:before="40" w:after="40"/>
              <w:rPr>
                <w:rFonts w:cs="Calibri"/>
              </w:rPr>
            </w:pPr>
            <w:r w:rsidRPr="00261B7A">
              <w:t>1.A.2.g.viii</w:t>
            </w:r>
          </w:p>
        </w:tc>
        <w:tc>
          <w:tcPr>
            <w:tcW w:w="5711" w:type="dxa"/>
            <w:shd w:val="clear" w:color="auto" w:fill="auto"/>
            <w:noWrap/>
          </w:tcPr>
          <w:p w14:paraId="0699F91B" w14:textId="77777777" w:rsidR="009F5DA6" w:rsidRPr="00261B7A" w:rsidRDefault="009F5DA6" w:rsidP="00D41492">
            <w:pPr>
              <w:pStyle w:val="TableText"/>
              <w:spacing w:before="40" w:after="40"/>
              <w:rPr>
                <w:rFonts w:cs="Calibri"/>
              </w:rPr>
            </w:pPr>
            <w:r w:rsidRPr="00261B7A">
              <w:t>Other (please specify) – Other (please specify) Solid Fuels</w:t>
            </w:r>
          </w:p>
        </w:tc>
        <w:tc>
          <w:tcPr>
            <w:tcW w:w="547" w:type="dxa"/>
            <w:shd w:val="clear" w:color="auto" w:fill="auto"/>
            <w:noWrap/>
          </w:tcPr>
          <w:p w14:paraId="5BF640B9"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111DD0BA" w14:textId="77777777" w:rsidR="009F5DA6" w:rsidRPr="00261B7A" w:rsidRDefault="009F5DA6" w:rsidP="00D41492">
            <w:pPr>
              <w:pStyle w:val="TableText"/>
              <w:spacing w:before="40" w:after="40"/>
              <w:rPr>
                <w:rFonts w:cs="Calibri"/>
              </w:rPr>
            </w:pPr>
            <w:r w:rsidRPr="00261B7A">
              <w:t>T1</w:t>
            </w:r>
          </w:p>
        </w:tc>
      </w:tr>
      <w:tr w:rsidR="009F5DA6" w:rsidRPr="00261B7A" w14:paraId="60EF1FA1" w14:textId="77777777" w:rsidTr="009B5A50">
        <w:tc>
          <w:tcPr>
            <w:tcW w:w="1093" w:type="dxa"/>
            <w:shd w:val="clear" w:color="auto" w:fill="auto"/>
            <w:noWrap/>
          </w:tcPr>
          <w:p w14:paraId="227C4AB0" w14:textId="77777777" w:rsidR="009F5DA6" w:rsidRPr="00261B7A" w:rsidRDefault="009F5DA6" w:rsidP="00D41492">
            <w:pPr>
              <w:pStyle w:val="TableText"/>
              <w:spacing w:before="40" w:after="40"/>
              <w:rPr>
                <w:rFonts w:cs="Calibri"/>
              </w:rPr>
            </w:pPr>
            <w:r w:rsidRPr="00261B7A">
              <w:t>1.A.3.a</w:t>
            </w:r>
          </w:p>
        </w:tc>
        <w:tc>
          <w:tcPr>
            <w:tcW w:w="5711" w:type="dxa"/>
            <w:shd w:val="clear" w:color="auto" w:fill="auto"/>
            <w:noWrap/>
          </w:tcPr>
          <w:p w14:paraId="154A048D" w14:textId="77777777" w:rsidR="009F5DA6" w:rsidRPr="00261B7A" w:rsidRDefault="009F5DA6" w:rsidP="00D41492">
            <w:pPr>
              <w:pStyle w:val="TableText"/>
              <w:spacing w:before="40" w:after="40"/>
              <w:rPr>
                <w:rFonts w:cs="Calibri"/>
              </w:rPr>
            </w:pPr>
            <w:r w:rsidRPr="00261B7A">
              <w:t>Domestic Aviation – Jet Kerosene</w:t>
            </w:r>
          </w:p>
        </w:tc>
        <w:tc>
          <w:tcPr>
            <w:tcW w:w="547" w:type="dxa"/>
            <w:shd w:val="clear" w:color="auto" w:fill="auto"/>
            <w:noWrap/>
          </w:tcPr>
          <w:p w14:paraId="539D5B0E"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56BB0D03" w14:textId="77777777" w:rsidR="009F5DA6" w:rsidRPr="00261B7A" w:rsidRDefault="009F5DA6" w:rsidP="00D41492">
            <w:pPr>
              <w:pStyle w:val="TableText"/>
              <w:spacing w:before="40" w:after="40"/>
              <w:rPr>
                <w:rFonts w:cs="Calibri"/>
              </w:rPr>
            </w:pPr>
            <w:r w:rsidRPr="00261B7A">
              <w:t>L1, T1</w:t>
            </w:r>
          </w:p>
        </w:tc>
      </w:tr>
      <w:tr w:rsidR="009F5DA6" w:rsidRPr="00261B7A" w14:paraId="19C6DF67" w14:textId="77777777" w:rsidTr="009B5A50">
        <w:tc>
          <w:tcPr>
            <w:tcW w:w="1093" w:type="dxa"/>
            <w:shd w:val="clear" w:color="auto" w:fill="auto"/>
            <w:noWrap/>
          </w:tcPr>
          <w:p w14:paraId="509D40C6" w14:textId="77777777" w:rsidR="009F5DA6" w:rsidRPr="00261B7A" w:rsidRDefault="009F5DA6" w:rsidP="00D41492">
            <w:pPr>
              <w:pStyle w:val="TableText"/>
              <w:spacing w:before="40" w:after="40"/>
              <w:rPr>
                <w:rFonts w:cs="Calibri"/>
              </w:rPr>
            </w:pPr>
            <w:r w:rsidRPr="00261B7A">
              <w:t>1.A.3.b</w:t>
            </w:r>
          </w:p>
        </w:tc>
        <w:tc>
          <w:tcPr>
            <w:tcW w:w="5711" w:type="dxa"/>
            <w:shd w:val="clear" w:color="auto" w:fill="auto"/>
            <w:noWrap/>
          </w:tcPr>
          <w:p w14:paraId="3BCACB3D" w14:textId="77777777" w:rsidR="009F5DA6" w:rsidRPr="00261B7A" w:rsidRDefault="009F5DA6" w:rsidP="00D41492">
            <w:pPr>
              <w:pStyle w:val="TableText"/>
              <w:spacing w:before="40" w:after="40"/>
              <w:rPr>
                <w:rFonts w:cs="Calibri"/>
              </w:rPr>
            </w:pPr>
            <w:r w:rsidRPr="00261B7A">
              <w:t>Transport – Road Transportation Liquid Fuels</w:t>
            </w:r>
          </w:p>
        </w:tc>
        <w:tc>
          <w:tcPr>
            <w:tcW w:w="547" w:type="dxa"/>
            <w:shd w:val="clear" w:color="auto" w:fill="auto"/>
            <w:noWrap/>
          </w:tcPr>
          <w:p w14:paraId="6DE3BECC"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551B7791" w14:textId="77777777" w:rsidR="009F5DA6" w:rsidRPr="00261B7A" w:rsidRDefault="009F5DA6" w:rsidP="00D41492">
            <w:pPr>
              <w:pStyle w:val="TableText"/>
              <w:spacing w:before="40" w:after="40"/>
              <w:rPr>
                <w:rFonts w:cs="Calibri"/>
              </w:rPr>
            </w:pPr>
            <w:r w:rsidRPr="00261B7A">
              <w:t>L1, T1</w:t>
            </w:r>
          </w:p>
        </w:tc>
      </w:tr>
      <w:tr w:rsidR="009F5DA6" w:rsidRPr="00261B7A" w14:paraId="2D7CD444" w14:textId="77777777" w:rsidTr="009B5A50">
        <w:tc>
          <w:tcPr>
            <w:tcW w:w="1093" w:type="dxa"/>
            <w:shd w:val="clear" w:color="auto" w:fill="auto"/>
            <w:noWrap/>
          </w:tcPr>
          <w:p w14:paraId="7D753134" w14:textId="77777777" w:rsidR="009F5DA6" w:rsidRPr="00261B7A" w:rsidRDefault="009F5DA6" w:rsidP="00D41492">
            <w:pPr>
              <w:pStyle w:val="TableText"/>
              <w:spacing w:before="40" w:after="40"/>
              <w:rPr>
                <w:rFonts w:cs="Calibri"/>
              </w:rPr>
            </w:pPr>
            <w:r w:rsidRPr="00261B7A">
              <w:t>1.A.3.b</w:t>
            </w:r>
          </w:p>
        </w:tc>
        <w:tc>
          <w:tcPr>
            <w:tcW w:w="5711" w:type="dxa"/>
            <w:shd w:val="clear" w:color="auto" w:fill="auto"/>
            <w:noWrap/>
          </w:tcPr>
          <w:p w14:paraId="13EDA057" w14:textId="77777777" w:rsidR="009F5DA6" w:rsidRPr="00261B7A" w:rsidRDefault="009F5DA6" w:rsidP="00D41492">
            <w:pPr>
              <w:pStyle w:val="TableText"/>
              <w:spacing w:before="40" w:after="40"/>
              <w:rPr>
                <w:rFonts w:cs="Calibri"/>
              </w:rPr>
            </w:pPr>
            <w:r w:rsidRPr="00261B7A">
              <w:t>Transport – Road Transportation Gaseous Fuels</w:t>
            </w:r>
          </w:p>
        </w:tc>
        <w:tc>
          <w:tcPr>
            <w:tcW w:w="547" w:type="dxa"/>
            <w:shd w:val="clear" w:color="auto" w:fill="auto"/>
            <w:noWrap/>
          </w:tcPr>
          <w:p w14:paraId="1E2CD43E"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38D70F90" w14:textId="77777777" w:rsidR="009F5DA6" w:rsidRPr="00261B7A" w:rsidRDefault="009F5DA6" w:rsidP="00D41492">
            <w:pPr>
              <w:pStyle w:val="TableText"/>
              <w:spacing w:before="40" w:after="40"/>
              <w:rPr>
                <w:rFonts w:cs="Calibri"/>
              </w:rPr>
            </w:pPr>
            <w:r w:rsidRPr="00261B7A">
              <w:t>T1</w:t>
            </w:r>
          </w:p>
        </w:tc>
      </w:tr>
      <w:tr w:rsidR="009F5DA6" w:rsidRPr="00261B7A" w14:paraId="7A1E1646" w14:textId="77777777" w:rsidTr="009B5A50">
        <w:tc>
          <w:tcPr>
            <w:tcW w:w="1093" w:type="dxa"/>
            <w:shd w:val="clear" w:color="auto" w:fill="auto"/>
            <w:noWrap/>
          </w:tcPr>
          <w:p w14:paraId="28E7FD16" w14:textId="77777777" w:rsidR="009F5DA6" w:rsidRPr="00261B7A" w:rsidRDefault="009F5DA6" w:rsidP="00D41492">
            <w:pPr>
              <w:pStyle w:val="TableText"/>
              <w:spacing w:before="40" w:after="40"/>
              <w:rPr>
                <w:rFonts w:cs="Calibri"/>
              </w:rPr>
            </w:pPr>
            <w:r w:rsidRPr="00261B7A">
              <w:t>1.A.3.d</w:t>
            </w:r>
          </w:p>
        </w:tc>
        <w:tc>
          <w:tcPr>
            <w:tcW w:w="5711" w:type="dxa"/>
            <w:shd w:val="clear" w:color="auto" w:fill="auto"/>
            <w:noWrap/>
          </w:tcPr>
          <w:p w14:paraId="66E4FA4C" w14:textId="77777777" w:rsidR="009F5DA6" w:rsidRPr="00261B7A" w:rsidRDefault="009F5DA6" w:rsidP="00D41492">
            <w:pPr>
              <w:pStyle w:val="TableText"/>
              <w:spacing w:before="40" w:after="40"/>
              <w:rPr>
                <w:rFonts w:cs="Calibri"/>
              </w:rPr>
            </w:pPr>
            <w:r w:rsidRPr="00261B7A">
              <w:t>Domestic Navigation – Residual Fuel Oil</w:t>
            </w:r>
          </w:p>
        </w:tc>
        <w:tc>
          <w:tcPr>
            <w:tcW w:w="547" w:type="dxa"/>
            <w:shd w:val="clear" w:color="auto" w:fill="auto"/>
            <w:noWrap/>
          </w:tcPr>
          <w:p w14:paraId="7963367C"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6E2E1D11" w14:textId="77777777" w:rsidR="009F5DA6" w:rsidRPr="00261B7A" w:rsidRDefault="009F5DA6" w:rsidP="00D41492">
            <w:pPr>
              <w:pStyle w:val="TableText"/>
              <w:spacing w:before="40" w:after="40"/>
              <w:rPr>
                <w:rFonts w:cs="Calibri"/>
              </w:rPr>
            </w:pPr>
            <w:r w:rsidRPr="00261B7A">
              <w:t>L1</w:t>
            </w:r>
          </w:p>
        </w:tc>
      </w:tr>
      <w:tr w:rsidR="009F5DA6" w:rsidRPr="00261B7A" w14:paraId="08D89018" w14:textId="77777777" w:rsidTr="009B5A50">
        <w:tc>
          <w:tcPr>
            <w:tcW w:w="1093" w:type="dxa"/>
            <w:shd w:val="clear" w:color="auto" w:fill="auto"/>
            <w:noWrap/>
          </w:tcPr>
          <w:p w14:paraId="6F497A6E" w14:textId="77777777" w:rsidR="009F5DA6" w:rsidRPr="00261B7A" w:rsidRDefault="009F5DA6" w:rsidP="00D41492">
            <w:pPr>
              <w:pStyle w:val="TableText"/>
              <w:spacing w:before="40" w:after="40"/>
              <w:rPr>
                <w:rFonts w:cs="Calibri"/>
              </w:rPr>
            </w:pPr>
            <w:r w:rsidRPr="00261B7A">
              <w:t>1.A.4.a</w:t>
            </w:r>
          </w:p>
        </w:tc>
        <w:tc>
          <w:tcPr>
            <w:tcW w:w="5711" w:type="dxa"/>
            <w:shd w:val="clear" w:color="auto" w:fill="auto"/>
            <w:noWrap/>
          </w:tcPr>
          <w:p w14:paraId="70EAC9AA" w14:textId="77777777" w:rsidR="009F5DA6" w:rsidRPr="00261B7A" w:rsidRDefault="009F5DA6" w:rsidP="00D41492">
            <w:pPr>
              <w:pStyle w:val="TableText"/>
              <w:spacing w:before="40" w:after="40"/>
              <w:rPr>
                <w:rFonts w:cs="Calibri"/>
              </w:rPr>
            </w:pPr>
            <w:r w:rsidRPr="00261B7A">
              <w:t>Other Sectors – Commercial/Institutional Liquid Fuels</w:t>
            </w:r>
          </w:p>
        </w:tc>
        <w:tc>
          <w:tcPr>
            <w:tcW w:w="547" w:type="dxa"/>
            <w:shd w:val="clear" w:color="auto" w:fill="auto"/>
            <w:noWrap/>
          </w:tcPr>
          <w:p w14:paraId="7A477AC3"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233D7C5C" w14:textId="77777777" w:rsidR="009F5DA6" w:rsidRPr="00261B7A" w:rsidRDefault="009F5DA6" w:rsidP="00D41492">
            <w:pPr>
              <w:pStyle w:val="TableText"/>
              <w:spacing w:before="40" w:after="40"/>
              <w:rPr>
                <w:rFonts w:cs="Calibri"/>
              </w:rPr>
            </w:pPr>
            <w:r w:rsidRPr="00261B7A">
              <w:t>L1, T1</w:t>
            </w:r>
          </w:p>
        </w:tc>
      </w:tr>
      <w:tr w:rsidR="009F5DA6" w:rsidRPr="00261B7A" w14:paraId="194F1AD9" w14:textId="77777777" w:rsidTr="009B5A50">
        <w:tc>
          <w:tcPr>
            <w:tcW w:w="1093" w:type="dxa"/>
            <w:shd w:val="clear" w:color="auto" w:fill="auto"/>
            <w:noWrap/>
          </w:tcPr>
          <w:p w14:paraId="771CA4CF" w14:textId="77777777" w:rsidR="009F5DA6" w:rsidRPr="00261B7A" w:rsidRDefault="009F5DA6" w:rsidP="00D41492">
            <w:pPr>
              <w:pStyle w:val="TableText"/>
              <w:spacing w:before="40" w:after="40"/>
              <w:rPr>
                <w:rFonts w:cs="Calibri"/>
              </w:rPr>
            </w:pPr>
            <w:r w:rsidRPr="00261B7A">
              <w:t>1.A.4.a</w:t>
            </w:r>
          </w:p>
        </w:tc>
        <w:tc>
          <w:tcPr>
            <w:tcW w:w="5711" w:type="dxa"/>
            <w:shd w:val="clear" w:color="auto" w:fill="auto"/>
            <w:noWrap/>
          </w:tcPr>
          <w:p w14:paraId="20EB8CF7" w14:textId="77777777" w:rsidR="009F5DA6" w:rsidRPr="00261B7A" w:rsidRDefault="009F5DA6" w:rsidP="00D41492">
            <w:pPr>
              <w:pStyle w:val="TableText"/>
              <w:spacing w:before="40" w:after="40"/>
              <w:rPr>
                <w:rFonts w:cs="Calibri"/>
              </w:rPr>
            </w:pPr>
            <w:r w:rsidRPr="00261B7A">
              <w:t>Other Sectors – Commercial/Institutional Gaseous Fuels</w:t>
            </w:r>
          </w:p>
        </w:tc>
        <w:tc>
          <w:tcPr>
            <w:tcW w:w="547" w:type="dxa"/>
            <w:shd w:val="clear" w:color="auto" w:fill="auto"/>
            <w:noWrap/>
          </w:tcPr>
          <w:p w14:paraId="078BABA3"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14443FC5" w14:textId="77777777" w:rsidR="009F5DA6" w:rsidRPr="00261B7A" w:rsidRDefault="009F5DA6" w:rsidP="00D41492">
            <w:pPr>
              <w:pStyle w:val="TableText"/>
              <w:spacing w:before="40" w:after="40"/>
              <w:rPr>
                <w:rFonts w:cs="Calibri"/>
              </w:rPr>
            </w:pPr>
            <w:r w:rsidRPr="00261B7A">
              <w:t>L1, T1</w:t>
            </w:r>
          </w:p>
        </w:tc>
      </w:tr>
      <w:tr w:rsidR="009F5DA6" w:rsidRPr="00261B7A" w14:paraId="3846D0B0" w14:textId="77777777" w:rsidTr="009B5A50">
        <w:tc>
          <w:tcPr>
            <w:tcW w:w="1093" w:type="dxa"/>
            <w:shd w:val="clear" w:color="auto" w:fill="auto"/>
            <w:noWrap/>
          </w:tcPr>
          <w:p w14:paraId="0AC5A5BE" w14:textId="77777777" w:rsidR="009F5DA6" w:rsidRPr="00261B7A" w:rsidRDefault="009F5DA6" w:rsidP="00D41492">
            <w:pPr>
              <w:pStyle w:val="TableText"/>
              <w:spacing w:before="40" w:after="40"/>
              <w:rPr>
                <w:rFonts w:cs="Calibri"/>
              </w:rPr>
            </w:pPr>
            <w:r w:rsidRPr="00261B7A">
              <w:t>1.A.4.a</w:t>
            </w:r>
          </w:p>
        </w:tc>
        <w:tc>
          <w:tcPr>
            <w:tcW w:w="5711" w:type="dxa"/>
            <w:shd w:val="clear" w:color="auto" w:fill="auto"/>
            <w:noWrap/>
          </w:tcPr>
          <w:p w14:paraId="5B741242" w14:textId="77777777" w:rsidR="009F5DA6" w:rsidRPr="00261B7A" w:rsidRDefault="009F5DA6" w:rsidP="00D41492">
            <w:pPr>
              <w:pStyle w:val="TableText"/>
              <w:spacing w:before="40" w:after="40"/>
              <w:rPr>
                <w:rFonts w:cs="Calibri"/>
              </w:rPr>
            </w:pPr>
            <w:r w:rsidRPr="00261B7A">
              <w:t>Other Sectors – Commercial/Institutional Solid Fuels</w:t>
            </w:r>
          </w:p>
        </w:tc>
        <w:tc>
          <w:tcPr>
            <w:tcW w:w="547" w:type="dxa"/>
            <w:shd w:val="clear" w:color="auto" w:fill="auto"/>
            <w:noWrap/>
          </w:tcPr>
          <w:p w14:paraId="0EED5C93"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43052AC6" w14:textId="77777777" w:rsidR="009F5DA6" w:rsidRPr="00261B7A" w:rsidRDefault="009F5DA6" w:rsidP="00D41492">
            <w:pPr>
              <w:pStyle w:val="TableText"/>
              <w:spacing w:before="40" w:after="40"/>
              <w:rPr>
                <w:rFonts w:cs="Calibri"/>
              </w:rPr>
            </w:pPr>
            <w:r w:rsidRPr="00261B7A">
              <w:t>T1</w:t>
            </w:r>
          </w:p>
        </w:tc>
      </w:tr>
      <w:tr w:rsidR="009F5DA6" w:rsidRPr="00261B7A" w14:paraId="66098C1E" w14:textId="77777777" w:rsidTr="009B5A50">
        <w:tc>
          <w:tcPr>
            <w:tcW w:w="1093" w:type="dxa"/>
            <w:shd w:val="clear" w:color="auto" w:fill="auto"/>
            <w:noWrap/>
          </w:tcPr>
          <w:p w14:paraId="0FC0B2DA" w14:textId="77777777" w:rsidR="009F5DA6" w:rsidRPr="00261B7A" w:rsidRDefault="009F5DA6" w:rsidP="00D41492">
            <w:pPr>
              <w:pStyle w:val="TableText"/>
              <w:spacing w:before="40" w:after="40"/>
              <w:rPr>
                <w:rFonts w:cs="Calibri"/>
              </w:rPr>
            </w:pPr>
            <w:r w:rsidRPr="00261B7A">
              <w:t>1.A.4.b</w:t>
            </w:r>
          </w:p>
        </w:tc>
        <w:tc>
          <w:tcPr>
            <w:tcW w:w="5711" w:type="dxa"/>
            <w:shd w:val="clear" w:color="auto" w:fill="auto"/>
            <w:noWrap/>
          </w:tcPr>
          <w:p w14:paraId="6E9A1089" w14:textId="77777777" w:rsidR="009F5DA6" w:rsidRPr="00261B7A" w:rsidRDefault="009F5DA6" w:rsidP="00D41492">
            <w:pPr>
              <w:pStyle w:val="TableText"/>
              <w:spacing w:before="40" w:after="40"/>
              <w:rPr>
                <w:rFonts w:cs="Calibri"/>
              </w:rPr>
            </w:pPr>
            <w:r w:rsidRPr="00261B7A">
              <w:t>Other Sectors – Residential Liquid Fuels</w:t>
            </w:r>
          </w:p>
        </w:tc>
        <w:tc>
          <w:tcPr>
            <w:tcW w:w="547" w:type="dxa"/>
            <w:shd w:val="clear" w:color="auto" w:fill="auto"/>
            <w:noWrap/>
          </w:tcPr>
          <w:p w14:paraId="27795294"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7461C683" w14:textId="77777777" w:rsidR="009F5DA6" w:rsidRPr="00261B7A" w:rsidRDefault="009F5DA6" w:rsidP="00D41492">
            <w:pPr>
              <w:pStyle w:val="TableText"/>
              <w:spacing w:before="40" w:after="40"/>
              <w:rPr>
                <w:rFonts w:cs="Calibri"/>
              </w:rPr>
            </w:pPr>
            <w:r w:rsidRPr="00261B7A">
              <w:t>L1, T1</w:t>
            </w:r>
          </w:p>
        </w:tc>
      </w:tr>
      <w:tr w:rsidR="009F5DA6" w:rsidRPr="00261B7A" w14:paraId="52780843" w14:textId="77777777" w:rsidTr="009B5A50">
        <w:tc>
          <w:tcPr>
            <w:tcW w:w="1093" w:type="dxa"/>
            <w:shd w:val="clear" w:color="auto" w:fill="auto"/>
            <w:noWrap/>
          </w:tcPr>
          <w:p w14:paraId="175156E8" w14:textId="77777777" w:rsidR="009F5DA6" w:rsidRPr="00261B7A" w:rsidRDefault="009F5DA6" w:rsidP="00D41492">
            <w:pPr>
              <w:pStyle w:val="TableText"/>
              <w:spacing w:before="40" w:after="40"/>
            </w:pPr>
            <w:r w:rsidRPr="00261B7A">
              <w:t>1.A.4.b</w:t>
            </w:r>
          </w:p>
        </w:tc>
        <w:tc>
          <w:tcPr>
            <w:tcW w:w="5711" w:type="dxa"/>
            <w:shd w:val="clear" w:color="auto" w:fill="auto"/>
            <w:noWrap/>
          </w:tcPr>
          <w:p w14:paraId="267FCD5C" w14:textId="77777777" w:rsidR="009F5DA6" w:rsidRPr="00261B7A" w:rsidRDefault="009F5DA6" w:rsidP="00D41492">
            <w:pPr>
              <w:pStyle w:val="TableText"/>
              <w:spacing w:before="40" w:after="40"/>
            </w:pPr>
            <w:r w:rsidRPr="00261B7A">
              <w:t>Other Sectors – Residential Gaseous Fuels</w:t>
            </w:r>
          </w:p>
        </w:tc>
        <w:tc>
          <w:tcPr>
            <w:tcW w:w="547" w:type="dxa"/>
            <w:shd w:val="clear" w:color="auto" w:fill="auto"/>
            <w:noWrap/>
          </w:tcPr>
          <w:p w14:paraId="0FF61C6A" w14:textId="77777777" w:rsidR="009F5DA6" w:rsidRPr="00261B7A" w:rsidRDefault="009F5DA6" w:rsidP="00D41492">
            <w:pPr>
              <w:pStyle w:val="TableText"/>
              <w:spacing w:before="40" w:after="40"/>
              <w:jc w:val="center"/>
            </w:pPr>
            <w:r w:rsidRPr="00261B7A">
              <w:t>CO</w:t>
            </w:r>
            <w:r w:rsidRPr="00261B7A">
              <w:rPr>
                <w:vertAlign w:val="subscript"/>
              </w:rPr>
              <w:t>2</w:t>
            </w:r>
          </w:p>
        </w:tc>
        <w:tc>
          <w:tcPr>
            <w:tcW w:w="1154" w:type="dxa"/>
            <w:shd w:val="clear" w:color="auto" w:fill="auto"/>
            <w:noWrap/>
          </w:tcPr>
          <w:p w14:paraId="6FACC7C0" w14:textId="77777777" w:rsidR="009F5DA6" w:rsidRPr="00261B7A" w:rsidRDefault="009F5DA6" w:rsidP="00D41492">
            <w:pPr>
              <w:pStyle w:val="TableText"/>
              <w:spacing w:before="40" w:after="40"/>
            </w:pPr>
            <w:r w:rsidRPr="00261B7A">
              <w:t>L1, T1</w:t>
            </w:r>
          </w:p>
        </w:tc>
      </w:tr>
      <w:tr w:rsidR="009F5DA6" w:rsidRPr="00261B7A" w14:paraId="15195D1F" w14:textId="77777777" w:rsidTr="009B5A50">
        <w:tc>
          <w:tcPr>
            <w:tcW w:w="1093" w:type="dxa"/>
            <w:shd w:val="clear" w:color="auto" w:fill="auto"/>
            <w:noWrap/>
          </w:tcPr>
          <w:p w14:paraId="61E1C163" w14:textId="77777777" w:rsidR="009F5DA6" w:rsidRPr="00261B7A" w:rsidRDefault="009F5DA6" w:rsidP="00D41492">
            <w:pPr>
              <w:pStyle w:val="TableText"/>
              <w:spacing w:before="40" w:after="40"/>
              <w:rPr>
                <w:rFonts w:cs="Calibri"/>
              </w:rPr>
            </w:pPr>
            <w:r w:rsidRPr="00261B7A">
              <w:t>1.A.4.b</w:t>
            </w:r>
          </w:p>
        </w:tc>
        <w:tc>
          <w:tcPr>
            <w:tcW w:w="5711" w:type="dxa"/>
            <w:shd w:val="clear" w:color="auto" w:fill="auto"/>
            <w:noWrap/>
          </w:tcPr>
          <w:p w14:paraId="2CC4E502" w14:textId="77777777" w:rsidR="009F5DA6" w:rsidRPr="00261B7A" w:rsidRDefault="009F5DA6" w:rsidP="00D41492">
            <w:pPr>
              <w:pStyle w:val="TableText"/>
              <w:spacing w:before="40" w:after="40"/>
              <w:rPr>
                <w:rFonts w:cs="Calibri"/>
              </w:rPr>
            </w:pPr>
            <w:r w:rsidRPr="00261B7A">
              <w:t>Other Sectors – Residential Solid Fuels</w:t>
            </w:r>
          </w:p>
        </w:tc>
        <w:tc>
          <w:tcPr>
            <w:tcW w:w="547" w:type="dxa"/>
            <w:shd w:val="clear" w:color="auto" w:fill="auto"/>
            <w:noWrap/>
          </w:tcPr>
          <w:p w14:paraId="189242BD"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3E170B4D" w14:textId="77777777" w:rsidR="009F5DA6" w:rsidRPr="00261B7A" w:rsidRDefault="009F5DA6" w:rsidP="00D41492">
            <w:pPr>
              <w:pStyle w:val="TableText"/>
              <w:spacing w:before="40" w:after="40"/>
              <w:rPr>
                <w:rFonts w:cs="Calibri"/>
              </w:rPr>
            </w:pPr>
            <w:r w:rsidRPr="00261B7A">
              <w:t>T1</w:t>
            </w:r>
          </w:p>
        </w:tc>
      </w:tr>
      <w:tr w:rsidR="009F5DA6" w:rsidRPr="00261B7A" w14:paraId="057152AE" w14:textId="77777777" w:rsidTr="009B5A50">
        <w:tc>
          <w:tcPr>
            <w:tcW w:w="1093" w:type="dxa"/>
            <w:shd w:val="clear" w:color="auto" w:fill="auto"/>
            <w:noWrap/>
          </w:tcPr>
          <w:p w14:paraId="09162111" w14:textId="77777777" w:rsidR="009F5DA6" w:rsidRPr="00261B7A" w:rsidRDefault="009F5DA6" w:rsidP="00D41492">
            <w:pPr>
              <w:pStyle w:val="TableText"/>
              <w:spacing w:before="40" w:after="40"/>
              <w:rPr>
                <w:rFonts w:cs="Calibri"/>
              </w:rPr>
            </w:pPr>
            <w:r w:rsidRPr="00261B7A">
              <w:t>1.A.4.c</w:t>
            </w:r>
          </w:p>
        </w:tc>
        <w:tc>
          <w:tcPr>
            <w:tcW w:w="5711" w:type="dxa"/>
            <w:shd w:val="clear" w:color="auto" w:fill="auto"/>
            <w:noWrap/>
          </w:tcPr>
          <w:p w14:paraId="30FF427F" w14:textId="77777777" w:rsidR="009F5DA6" w:rsidRPr="00261B7A" w:rsidRDefault="009F5DA6" w:rsidP="00D41492">
            <w:pPr>
              <w:pStyle w:val="TableText"/>
              <w:spacing w:before="40" w:after="40"/>
              <w:rPr>
                <w:rFonts w:cs="Calibri"/>
              </w:rPr>
            </w:pPr>
            <w:r w:rsidRPr="00261B7A">
              <w:t>Other Sectors – Agriculture/Forestry/Fishing Liquid Fuels</w:t>
            </w:r>
          </w:p>
        </w:tc>
        <w:tc>
          <w:tcPr>
            <w:tcW w:w="547" w:type="dxa"/>
            <w:shd w:val="clear" w:color="auto" w:fill="auto"/>
            <w:noWrap/>
          </w:tcPr>
          <w:p w14:paraId="4BA6DA41"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5B0FBA77" w14:textId="77777777" w:rsidR="009F5DA6" w:rsidRPr="00261B7A" w:rsidRDefault="009F5DA6" w:rsidP="00D41492">
            <w:pPr>
              <w:pStyle w:val="TableText"/>
              <w:spacing w:before="40" w:after="40"/>
              <w:rPr>
                <w:rFonts w:cs="Calibri"/>
              </w:rPr>
            </w:pPr>
            <w:r w:rsidRPr="00261B7A">
              <w:t>L1</w:t>
            </w:r>
          </w:p>
        </w:tc>
      </w:tr>
      <w:tr w:rsidR="009F5DA6" w:rsidRPr="00261B7A" w14:paraId="5519D5D5" w14:textId="77777777" w:rsidTr="009B5A50">
        <w:tc>
          <w:tcPr>
            <w:tcW w:w="1093" w:type="dxa"/>
            <w:shd w:val="clear" w:color="auto" w:fill="auto"/>
            <w:noWrap/>
          </w:tcPr>
          <w:p w14:paraId="677DA2D1" w14:textId="77777777" w:rsidR="009F5DA6" w:rsidRPr="00261B7A" w:rsidRDefault="009F5DA6" w:rsidP="00D41492">
            <w:pPr>
              <w:pStyle w:val="TableText"/>
              <w:spacing w:before="40" w:after="40"/>
              <w:rPr>
                <w:rFonts w:cs="Calibri"/>
              </w:rPr>
            </w:pPr>
            <w:r w:rsidRPr="00261B7A">
              <w:t>1.A.4.c</w:t>
            </w:r>
          </w:p>
        </w:tc>
        <w:tc>
          <w:tcPr>
            <w:tcW w:w="5711" w:type="dxa"/>
            <w:shd w:val="clear" w:color="auto" w:fill="auto"/>
            <w:noWrap/>
          </w:tcPr>
          <w:p w14:paraId="59DC2250" w14:textId="77777777" w:rsidR="009F5DA6" w:rsidRPr="00261B7A" w:rsidRDefault="009F5DA6" w:rsidP="00D41492">
            <w:pPr>
              <w:pStyle w:val="TableText"/>
              <w:spacing w:before="40" w:after="40"/>
              <w:rPr>
                <w:rFonts w:cs="Calibri"/>
              </w:rPr>
            </w:pPr>
            <w:r w:rsidRPr="00261B7A">
              <w:t>Other Sectors – Agriculture/Forestry/Fishing Solid Fuels</w:t>
            </w:r>
          </w:p>
        </w:tc>
        <w:tc>
          <w:tcPr>
            <w:tcW w:w="547" w:type="dxa"/>
            <w:shd w:val="clear" w:color="auto" w:fill="auto"/>
            <w:noWrap/>
          </w:tcPr>
          <w:p w14:paraId="6D1D3099"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13DE601C" w14:textId="77777777" w:rsidR="009F5DA6" w:rsidRPr="00261B7A" w:rsidRDefault="009F5DA6" w:rsidP="00D41492">
            <w:pPr>
              <w:pStyle w:val="TableText"/>
              <w:spacing w:before="40" w:after="40"/>
              <w:rPr>
                <w:rFonts w:cs="Calibri"/>
              </w:rPr>
            </w:pPr>
            <w:r w:rsidRPr="00261B7A">
              <w:t>T1</w:t>
            </w:r>
          </w:p>
        </w:tc>
      </w:tr>
      <w:tr w:rsidR="009F5DA6" w:rsidRPr="00261B7A" w14:paraId="267A4B7A" w14:textId="77777777" w:rsidTr="009B5A50">
        <w:tc>
          <w:tcPr>
            <w:tcW w:w="1093" w:type="dxa"/>
            <w:shd w:val="clear" w:color="auto" w:fill="auto"/>
            <w:noWrap/>
          </w:tcPr>
          <w:p w14:paraId="5B2D270A" w14:textId="77777777" w:rsidR="009F5DA6" w:rsidRPr="00261B7A" w:rsidRDefault="009F5DA6" w:rsidP="00D41492">
            <w:pPr>
              <w:pStyle w:val="TableText"/>
              <w:spacing w:before="40" w:after="40"/>
              <w:rPr>
                <w:rFonts w:cs="Calibri"/>
              </w:rPr>
            </w:pPr>
            <w:r w:rsidRPr="00261B7A">
              <w:t>1.B.1.a.1</w:t>
            </w:r>
          </w:p>
        </w:tc>
        <w:tc>
          <w:tcPr>
            <w:tcW w:w="5711" w:type="dxa"/>
            <w:shd w:val="clear" w:color="auto" w:fill="auto"/>
            <w:noWrap/>
          </w:tcPr>
          <w:p w14:paraId="6E3FA297" w14:textId="77777777" w:rsidR="009F5DA6" w:rsidRPr="00261B7A" w:rsidRDefault="009F5DA6" w:rsidP="00D41492">
            <w:pPr>
              <w:pStyle w:val="TableText"/>
              <w:spacing w:before="40" w:after="40"/>
              <w:rPr>
                <w:rFonts w:cs="Calibri"/>
              </w:rPr>
            </w:pPr>
            <w:r w:rsidRPr="00261B7A">
              <w:t>Coal Mining and Handling – Underground Mines</w:t>
            </w:r>
          </w:p>
        </w:tc>
        <w:tc>
          <w:tcPr>
            <w:tcW w:w="547" w:type="dxa"/>
            <w:shd w:val="clear" w:color="auto" w:fill="auto"/>
            <w:noWrap/>
          </w:tcPr>
          <w:p w14:paraId="1A4D73A4" w14:textId="77777777" w:rsidR="009F5DA6" w:rsidRPr="00261B7A" w:rsidRDefault="009F5DA6" w:rsidP="00D41492">
            <w:pPr>
              <w:pStyle w:val="TableText"/>
              <w:spacing w:before="40" w:after="40"/>
              <w:jc w:val="center"/>
              <w:rPr>
                <w:rFonts w:cs="Calibri"/>
              </w:rPr>
            </w:pPr>
            <w:r w:rsidRPr="00261B7A">
              <w:t>CH</w:t>
            </w:r>
            <w:r w:rsidRPr="00261B7A">
              <w:rPr>
                <w:vertAlign w:val="subscript"/>
              </w:rPr>
              <w:t>4</w:t>
            </w:r>
          </w:p>
        </w:tc>
        <w:tc>
          <w:tcPr>
            <w:tcW w:w="1154" w:type="dxa"/>
            <w:shd w:val="clear" w:color="auto" w:fill="auto"/>
            <w:noWrap/>
          </w:tcPr>
          <w:p w14:paraId="285A2CED" w14:textId="77777777" w:rsidR="009F5DA6" w:rsidRPr="00261B7A" w:rsidRDefault="009F5DA6" w:rsidP="00D41492">
            <w:pPr>
              <w:pStyle w:val="TableText"/>
              <w:spacing w:before="40" w:after="40"/>
              <w:rPr>
                <w:rFonts w:cs="Calibri"/>
              </w:rPr>
            </w:pPr>
            <w:r w:rsidRPr="00261B7A">
              <w:t>T1</w:t>
            </w:r>
          </w:p>
        </w:tc>
      </w:tr>
      <w:tr w:rsidR="009F5DA6" w:rsidRPr="00261B7A" w14:paraId="52B50740" w14:textId="77777777" w:rsidTr="009B5A50">
        <w:tc>
          <w:tcPr>
            <w:tcW w:w="1093" w:type="dxa"/>
            <w:shd w:val="clear" w:color="auto" w:fill="auto"/>
            <w:noWrap/>
          </w:tcPr>
          <w:p w14:paraId="3CAE56D2" w14:textId="77777777" w:rsidR="009F5DA6" w:rsidRPr="00261B7A" w:rsidRDefault="009F5DA6" w:rsidP="00D41492">
            <w:pPr>
              <w:pStyle w:val="TableText"/>
              <w:spacing w:before="40" w:after="40"/>
              <w:rPr>
                <w:rFonts w:cs="Calibri"/>
              </w:rPr>
            </w:pPr>
            <w:r w:rsidRPr="00261B7A">
              <w:t>1.B.2.b.5</w:t>
            </w:r>
          </w:p>
        </w:tc>
        <w:tc>
          <w:tcPr>
            <w:tcW w:w="5711" w:type="dxa"/>
            <w:shd w:val="clear" w:color="auto" w:fill="auto"/>
            <w:noWrap/>
          </w:tcPr>
          <w:p w14:paraId="0745856B" w14:textId="77777777" w:rsidR="009F5DA6" w:rsidRPr="00261B7A" w:rsidRDefault="009F5DA6" w:rsidP="00D41492">
            <w:pPr>
              <w:pStyle w:val="TableText"/>
              <w:spacing w:before="40" w:after="40"/>
              <w:rPr>
                <w:rFonts w:cs="Calibri"/>
              </w:rPr>
            </w:pPr>
            <w:r w:rsidRPr="00261B7A">
              <w:t>Natural Gas – Distribution</w:t>
            </w:r>
          </w:p>
        </w:tc>
        <w:tc>
          <w:tcPr>
            <w:tcW w:w="547" w:type="dxa"/>
            <w:shd w:val="clear" w:color="auto" w:fill="auto"/>
            <w:noWrap/>
          </w:tcPr>
          <w:p w14:paraId="111C0628" w14:textId="77777777" w:rsidR="009F5DA6" w:rsidRPr="00261B7A" w:rsidRDefault="009F5DA6" w:rsidP="00D41492">
            <w:pPr>
              <w:pStyle w:val="TableText"/>
              <w:spacing w:before="40" w:after="40"/>
              <w:jc w:val="center"/>
              <w:rPr>
                <w:rFonts w:cs="Calibri"/>
              </w:rPr>
            </w:pPr>
            <w:r w:rsidRPr="00261B7A">
              <w:t>CH</w:t>
            </w:r>
            <w:r w:rsidRPr="00261B7A">
              <w:rPr>
                <w:vertAlign w:val="subscript"/>
              </w:rPr>
              <w:t>4</w:t>
            </w:r>
          </w:p>
        </w:tc>
        <w:tc>
          <w:tcPr>
            <w:tcW w:w="1154" w:type="dxa"/>
            <w:shd w:val="clear" w:color="auto" w:fill="auto"/>
            <w:noWrap/>
          </w:tcPr>
          <w:p w14:paraId="7B24ED6A" w14:textId="77777777" w:rsidR="009F5DA6" w:rsidRPr="00261B7A" w:rsidRDefault="009F5DA6" w:rsidP="00D41492">
            <w:pPr>
              <w:pStyle w:val="TableText"/>
              <w:spacing w:before="40" w:after="40"/>
              <w:rPr>
                <w:rFonts w:cs="Calibri"/>
              </w:rPr>
            </w:pPr>
            <w:r w:rsidRPr="00261B7A">
              <w:t>T1</w:t>
            </w:r>
          </w:p>
        </w:tc>
      </w:tr>
      <w:tr w:rsidR="009F5DA6" w:rsidRPr="00261B7A" w14:paraId="379BBB75" w14:textId="77777777" w:rsidTr="009B5A50">
        <w:tc>
          <w:tcPr>
            <w:tcW w:w="1093" w:type="dxa"/>
            <w:shd w:val="clear" w:color="auto" w:fill="auto"/>
            <w:noWrap/>
          </w:tcPr>
          <w:p w14:paraId="05E3F2F4" w14:textId="77777777" w:rsidR="009F5DA6" w:rsidRPr="00261B7A" w:rsidRDefault="009F5DA6" w:rsidP="00D41492">
            <w:pPr>
              <w:pStyle w:val="TableText"/>
              <w:spacing w:before="40" w:after="40"/>
              <w:rPr>
                <w:rFonts w:cs="Calibri"/>
              </w:rPr>
            </w:pPr>
            <w:r w:rsidRPr="00261B7A">
              <w:t>1.B.2.c.1.ii</w:t>
            </w:r>
          </w:p>
        </w:tc>
        <w:tc>
          <w:tcPr>
            <w:tcW w:w="5711" w:type="dxa"/>
            <w:shd w:val="clear" w:color="auto" w:fill="auto"/>
            <w:noWrap/>
          </w:tcPr>
          <w:p w14:paraId="14EC1FCF" w14:textId="77777777" w:rsidR="009F5DA6" w:rsidRPr="00261B7A" w:rsidRDefault="009F5DA6" w:rsidP="00D41492">
            <w:pPr>
              <w:pStyle w:val="TableText"/>
              <w:spacing w:before="40" w:after="40"/>
              <w:rPr>
                <w:rFonts w:cs="Calibri"/>
              </w:rPr>
            </w:pPr>
            <w:r w:rsidRPr="00261B7A">
              <w:t>Venting – Gas</w:t>
            </w:r>
          </w:p>
        </w:tc>
        <w:tc>
          <w:tcPr>
            <w:tcW w:w="547" w:type="dxa"/>
            <w:shd w:val="clear" w:color="auto" w:fill="auto"/>
            <w:noWrap/>
          </w:tcPr>
          <w:p w14:paraId="418CFF46"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5929E750" w14:textId="77777777" w:rsidR="009F5DA6" w:rsidRPr="00261B7A" w:rsidRDefault="009F5DA6" w:rsidP="00D41492">
            <w:pPr>
              <w:pStyle w:val="TableText"/>
              <w:spacing w:before="40" w:after="40"/>
              <w:rPr>
                <w:rFonts w:cs="Calibri"/>
              </w:rPr>
            </w:pPr>
            <w:r w:rsidRPr="00261B7A">
              <w:t>L1, T1</w:t>
            </w:r>
          </w:p>
        </w:tc>
      </w:tr>
      <w:tr w:rsidR="009F5DA6" w:rsidRPr="00261B7A" w14:paraId="48E20BCC" w14:textId="77777777" w:rsidTr="009B5A50">
        <w:tc>
          <w:tcPr>
            <w:tcW w:w="1093" w:type="dxa"/>
            <w:shd w:val="clear" w:color="auto" w:fill="auto"/>
            <w:noWrap/>
          </w:tcPr>
          <w:p w14:paraId="6C7357B6" w14:textId="77777777" w:rsidR="009F5DA6" w:rsidRPr="00261B7A" w:rsidRDefault="009F5DA6" w:rsidP="00D41492">
            <w:pPr>
              <w:pStyle w:val="TableText"/>
              <w:spacing w:before="40" w:after="40"/>
            </w:pPr>
            <w:r w:rsidRPr="00261B7A">
              <w:t>1.B.2.c.2.iii</w:t>
            </w:r>
          </w:p>
        </w:tc>
        <w:tc>
          <w:tcPr>
            <w:tcW w:w="5711" w:type="dxa"/>
            <w:shd w:val="clear" w:color="auto" w:fill="auto"/>
            <w:noWrap/>
          </w:tcPr>
          <w:p w14:paraId="1FF8C3A6" w14:textId="77777777" w:rsidR="009F5DA6" w:rsidRPr="00261B7A" w:rsidRDefault="009F5DA6" w:rsidP="00D41492">
            <w:pPr>
              <w:pStyle w:val="TableText"/>
              <w:spacing w:before="40" w:after="40"/>
            </w:pPr>
            <w:r w:rsidRPr="00261B7A">
              <w:t>Flaring – Combined</w:t>
            </w:r>
          </w:p>
        </w:tc>
        <w:tc>
          <w:tcPr>
            <w:tcW w:w="547" w:type="dxa"/>
            <w:shd w:val="clear" w:color="auto" w:fill="auto"/>
            <w:noWrap/>
          </w:tcPr>
          <w:p w14:paraId="25768BC0" w14:textId="77777777" w:rsidR="009F5DA6" w:rsidRPr="00261B7A" w:rsidRDefault="009F5DA6" w:rsidP="00D41492">
            <w:pPr>
              <w:pStyle w:val="TableText"/>
              <w:spacing w:before="40" w:after="40"/>
              <w:jc w:val="center"/>
            </w:pPr>
            <w:r w:rsidRPr="00261B7A">
              <w:t>CO</w:t>
            </w:r>
            <w:r w:rsidRPr="00261B7A">
              <w:rPr>
                <w:vertAlign w:val="subscript"/>
              </w:rPr>
              <w:t>2</w:t>
            </w:r>
          </w:p>
        </w:tc>
        <w:tc>
          <w:tcPr>
            <w:tcW w:w="1154" w:type="dxa"/>
            <w:shd w:val="clear" w:color="auto" w:fill="auto"/>
            <w:noWrap/>
          </w:tcPr>
          <w:p w14:paraId="4FDC136D" w14:textId="77777777" w:rsidR="009F5DA6" w:rsidRPr="00261B7A" w:rsidRDefault="009F5DA6" w:rsidP="00D41492">
            <w:pPr>
              <w:pStyle w:val="TableText"/>
              <w:spacing w:before="40" w:after="40"/>
            </w:pPr>
            <w:r w:rsidRPr="00261B7A">
              <w:t>T1</w:t>
            </w:r>
          </w:p>
        </w:tc>
      </w:tr>
      <w:tr w:rsidR="009F5DA6" w:rsidRPr="00261B7A" w14:paraId="668BDDFA" w14:textId="77777777" w:rsidTr="009B5A50">
        <w:tc>
          <w:tcPr>
            <w:tcW w:w="1093" w:type="dxa"/>
            <w:shd w:val="clear" w:color="auto" w:fill="auto"/>
            <w:noWrap/>
          </w:tcPr>
          <w:p w14:paraId="22EB6ABA" w14:textId="77777777" w:rsidR="009F5DA6" w:rsidRPr="00261B7A" w:rsidRDefault="009F5DA6" w:rsidP="00D41492">
            <w:pPr>
              <w:pStyle w:val="TableText"/>
              <w:spacing w:before="40" w:after="40"/>
              <w:rPr>
                <w:rFonts w:cs="Calibri"/>
              </w:rPr>
            </w:pPr>
            <w:r w:rsidRPr="00261B7A">
              <w:t>1.B.2.d</w:t>
            </w:r>
          </w:p>
        </w:tc>
        <w:tc>
          <w:tcPr>
            <w:tcW w:w="5711" w:type="dxa"/>
            <w:shd w:val="clear" w:color="auto" w:fill="auto"/>
            <w:noWrap/>
          </w:tcPr>
          <w:p w14:paraId="3C6A1E56" w14:textId="77777777" w:rsidR="009F5DA6" w:rsidRPr="00261B7A" w:rsidRDefault="009F5DA6" w:rsidP="00D41492">
            <w:pPr>
              <w:pStyle w:val="TableText"/>
              <w:spacing w:before="40" w:after="40"/>
              <w:rPr>
                <w:rFonts w:cs="Calibri"/>
              </w:rPr>
            </w:pPr>
            <w:r w:rsidRPr="00261B7A">
              <w:t>Other (please specify) – Geothermal</w:t>
            </w:r>
          </w:p>
        </w:tc>
        <w:tc>
          <w:tcPr>
            <w:tcW w:w="547" w:type="dxa"/>
            <w:shd w:val="clear" w:color="auto" w:fill="auto"/>
            <w:noWrap/>
          </w:tcPr>
          <w:p w14:paraId="4E1AAEFF" w14:textId="77777777" w:rsidR="009F5DA6" w:rsidRPr="00261B7A" w:rsidRDefault="009F5DA6" w:rsidP="00D41492">
            <w:pPr>
              <w:pStyle w:val="TableText"/>
              <w:spacing w:before="40" w:after="40"/>
              <w:jc w:val="center"/>
              <w:rPr>
                <w:rFonts w:cs="Calibri"/>
              </w:rPr>
            </w:pPr>
            <w:r w:rsidRPr="00261B7A">
              <w:t>CO</w:t>
            </w:r>
            <w:r w:rsidRPr="00261B7A">
              <w:rPr>
                <w:vertAlign w:val="subscript"/>
              </w:rPr>
              <w:t>2</w:t>
            </w:r>
          </w:p>
        </w:tc>
        <w:tc>
          <w:tcPr>
            <w:tcW w:w="1154" w:type="dxa"/>
            <w:shd w:val="clear" w:color="auto" w:fill="auto"/>
            <w:noWrap/>
          </w:tcPr>
          <w:p w14:paraId="70B839BC" w14:textId="77777777" w:rsidR="009F5DA6" w:rsidRPr="00261B7A" w:rsidRDefault="009F5DA6" w:rsidP="00D41492">
            <w:pPr>
              <w:pStyle w:val="TableText"/>
              <w:spacing w:before="40" w:after="40"/>
              <w:rPr>
                <w:rFonts w:cs="Calibri"/>
              </w:rPr>
            </w:pPr>
            <w:r w:rsidRPr="00261B7A">
              <w:t>L1, T1</w:t>
            </w:r>
          </w:p>
        </w:tc>
      </w:tr>
    </w:tbl>
    <w:p w14:paraId="1ECFA341" w14:textId="77777777" w:rsidR="009F5DA6" w:rsidRPr="00261B7A" w:rsidRDefault="009F5DA6" w:rsidP="009F5DA6">
      <w:pPr>
        <w:pStyle w:val="Noteundertable"/>
        <w:rPr>
          <w:rFonts w:cs="Calibri"/>
        </w:rPr>
      </w:pPr>
      <w:r w:rsidRPr="00261B7A">
        <w:rPr>
          <w:rFonts w:cs="Calibri"/>
          <w:b/>
        </w:rPr>
        <w:t>Note</w:t>
      </w:r>
      <w:r w:rsidRPr="00261B7A">
        <w:rPr>
          <w:rFonts w:cs="Calibri"/>
        </w:rPr>
        <w:t xml:space="preserve">: </w:t>
      </w:r>
      <w:r w:rsidRPr="00261B7A">
        <w:rPr>
          <w:rFonts w:cs="Calibri"/>
        </w:rPr>
        <w:tab/>
        <w:t>L1 means a key category is identified under the level analysis – approach 1 and T1 is trend analysis</w:t>
      </w:r>
      <w:r w:rsidRPr="00261B7A">
        <w:rPr>
          <w:rFonts w:cs="Calibri"/>
        </w:rPr>
        <w:br/>
        <w:t xml:space="preserve"> – approach 1. See chapter 1 for more information.</w:t>
      </w:r>
      <w:bookmarkEnd w:id="227"/>
      <w:bookmarkEnd w:id="228"/>
    </w:p>
    <w:p w14:paraId="1EB6A984" w14:textId="77777777" w:rsidR="009F5DA6" w:rsidRPr="00261B7A" w:rsidRDefault="009F5DA6" w:rsidP="00A638DC">
      <w:pPr>
        <w:pStyle w:val="Heading2"/>
      </w:pPr>
      <w:bookmarkStart w:id="229" w:name="_Toc384581635"/>
      <w:bookmarkStart w:id="230" w:name="_Toc448321507"/>
      <w:bookmarkStart w:id="231" w:name="_Toc481751369"/>
      <w:bookmarkStart w:id="232" w:name="_Toc36224386"/>
      <w:bookmarkStart w:id="233" w:name="_Toc68786306"/>
      <w:bookmarkStart w:id="234" w:name="_Toc131591221"/>
      <w:r w:rsidRPr="00261B7A">
        <w:t>3.2</w:t>
      </w:r>
      <w:r w:rsidRPr="00261B7A">
        <w:tab/>
        <w:t>Background information</w:t>
      </w:r>
      <w:bookmarkEnd w:id="229"/>
      <w:bookmarkEnd w:id="230"/>
      <w:bookmarkEnd w:id="231"/>
      <w:bookmarkEnd w:id="232"/>
      <w:bookmarkEnd w:id="233"/>
      <w:bookmarkEnd w:id="234"/>
    </w:p>
    <w:p w14:paraId="6091E992" w14:textId="77777777" w:rsidR="009F5DA6" w:rsidRPr="00261B7A" w:rsidRDefault="009F5DA6" w:rsidP="0034058F">
      <w:pPr>
        <w:pStyle w:val="Heading3"/>
      </w:pPr>
      <w:r w:rsidRPr="00261B7A">
        <w:t>3.2.1</w:t>
      </w:r>
      <w:r w:rsidRPr="00261B7A">
        <w:tab/>
        <w:t>New Zealand sectoral methodology</w:t>
      </w:r>
    </w:p>
    <w:p w14:paraId="58BA5DDB" w14:textId="77777777" w:rsidR="009F5DA6" w:rsidRPr="00261B7A" w:rsidRDefault="009F5DA6" w:rsidP="009F5DA6">
      <w:pPr>
        <w:pStyle w:val="BodyText"/>
        <w:rPr>
          <w:rFonts w:cs="Calibri"/>
          <w:lang w:eastAsia="en-GB"/>
        </w:rPr>
      </w:pPr>
      <w:r w:rsidRPr="00261B7A">
        <w:rPr>
          <w:rFonts w:cs="Calibri"/>
          <w:lang w:eastAsia="en-GB"/>
        </w:rPr>
        <w:t xml:space="preserve">Greenhouse gas emissions from the Energy sector are calculated using a detailed sectoral approach. This bottom-up approach is demand based: it involves processing energy data collected on a regular basis through various surveys. For verification, New Zealand also applies the </w:t>
      </w:r>
      <w:r w:rsidRPr="00261B7A">
        <w:rPr>
          <w:rFonts w:cs="Calibri"/>
        </w:rPr>
        <w:t>Intergovernmental Panel on Climate Change</w:t>
      </w:r>
      <w:r w:rsidRPr="00261B7A">
        <w:rPr>
          <w:rFonts w:cs="Calibri"/>
          <w:lang w:eastAsia="en-GB"/>
        </w:rPr>
        <w:t xml:space="preserve"> (IPCC) reference approach to estimate </w:t>
      </w:r>
      <w:r w:rsidRPr="00261B7A">
        <w:rPr>
          <w:rFonts w:cs="Calibri"/>
        </w:rPr>
        <w:t>CO</w:t>
      </w:r>
      <w:r w:rsidRPr="00261B7A">
        <w:rPr>
          <w:rFonts w:cs="Calibri"/>
          <w:vertAlign w:val="subscript"/>
        </w:rPr>
        <w:t>2</w:t>
      </w:r>
      <w:r w:rsidRPr="00261B7A">
        <w:rPr>
          <w:rFonts w:cs="Calibri"/>
          <w:lang w:eastAsia="en-GB"/>
        </w:rPr>
        <w:t xml:space="preserve"> emissions from fuel combustion for the time series from 1990 to </w:t>
      </w:r>
      <w:r w:rsidRPr="00261B7A">
        <w:rPr>
          <w:rFonts w:cs="Calibri"/>
        </w:rPr>
        <w:t xml:space="preserve">2021 </w:t>
      </w:r>
      <w:r w:rsidRPr="00261B7A">
        <w:rPr>
          <w:rFonts w:cs="Calibri"/>
          <w:lang w:eastAsia="en-GB"/>
        </w:rPr>
        <w:t xml:space="preserve">(see annex 4). </w:t>
      </w:r>
    </w:p>
    <w:p w14:paraId="00AF6FE8" w14:textId="77777777" w:rsidR="009F5DA6" w:rsidRPr="00261B7A" w:rsidRDefault="009F5DA6" w:rsidP="009F5DA6">
      <w:pPr>
        <w:pStyle w:val="BodyText"/>
        <w:rPr>
          <w:rFonts w:cs="Calibri"/>
          <w:lang w:eastAsia="en-GB"/>
        </w:rPr>
      </w:pPr>
      <w:r w:rsidRPr="00261B7A">
        <w:rPr>
          <w:rFonts w:cs="Calibri"/>
          <w:lang w:eastAsia="en-GB"/>
        </w:rPr>
        <w:t xml:space="preserve">The activity data used for the sectoral approach are referred to as ‘observed’ energy-use figures. These are based on surveys and questionnaires administered by the Ministry of Business, Innovation and Employment (MBIE). The differences between ‘calculated’ and ‘observed’ figures are reported as statistical differences in the energy balance tables released along with </w:t>
      </w:r>
      <w:r w:rsidRPr="00261B7A">
        <w:rPr>
          <w:rFonts w:cs="Calibri"/>
          <w:i/>
          <w:iCs/>
          <w:lang w:eastAsia="en-GB"/>
        </w:rPr>
        <w:t xml:space="preserve">Energy in New Zealand </w:t>
      </w:r>
      <w:r w:rsidRPr="00261B7A">
        <w:rPr>
          <w:rFonts w:cs="Calibri"/>
          <w:lang w:eastAsia="en-GB"/>
        </w:rPr>
        <w:t xml:space="preserve">(MBIE, 2022). Note that, due to the intervening time between the publication of </w:t>
      </w:r>
      <w:r w:rsidRPr="00261B7A">
        <w:rPr>
          <w:rFonts w:cs="Calibri"/>
          <w:i/>
          <w:lang w:eastAsia="en-GB"/>
        </w:rPr>
        <w:t>Energy in New Zealand</w:t>
      </w:r>
      <w:r w:rsidRPr="00261B7A">
        <w:rPr>
          <w:rFonts w:cs="Calibri"/>
          <w:lang w:eastAsia="en-GB"/>
        </w:rPr>
        <w:t xml:space="preserve"> and the preparation of this submission, some data revisions may have occurred.</w:t>
      </w:r>
    </w:p>
    <w:p w14:paraId="6564C67C" w14:textId="77777777" w:rsidR="009F5DA6" w:rsidRPr="00261B7A" w:rsidRDefault="009F5DA6" w:rsidP="0034058F">
      <w:pPr>
        <w:pStyle w:val="Heading3"/>
      </w:pPr>
      <w:bookmarkStart w:id="235" w:name="_Ref379915380"/>
      <w:r w:rsidRPr="00261B7A">
        <w:t>3.2.2</w:t>
      </w:r>
      <w:r w:rsidRPr="00261B7A">
        <w:tab/>
        <w:t>International bunker fuels</w:t>
      </w:r>
      <w:bookmarkEnd w:id="235"/>
    </w:p>
    <w:p w14:paraId="661F6D85" w14:textId="6B9FE93A" w:rsidR="009F5DA6" w:rsidRPr="00261B7A" w:rsidRDefault="009F5DA6" w:rsidP="009F5DA6">
      <w:pPr>
        <w:pStyle w:val="BodyText"/>
        <w:rPr>
          <w:rFonts w:cs="Calibri"/>
          <w:lang w:eastAsia="en-GB"/>
        </w:rPr>
      </w:pPr>
      <w:r w:rsidRPr="00261B7A">
        <w:rPr>
          <w:rFonts w:cs="Calibri"/>
          <w:lang w:eastAsia="en-GB"/>
        </w:rPr>
        <w:t>The data on fuel use by international transportation are collected and published online by MBIE (2022). This data release uses information from oil company survey returns through two</w:t>
      </w:r>
      <w:r w:rsidR="002D719E" w:rsidRPr="00261B7A">
        <w:rPr>
          <w:rFonts w:cs="Calibri"/>
          <w:lang w:eastAsia="en-GB"/>
        </w:rPr>
        <w:t> </w:t>
      </w:r>
      <w:r w:rsidRPr="00261B7A">
        <w:rPr>
          <w:rFonts w:cs="Calibri"/>
          <w:lang w:eastAsia="en-GB"/>
        </w:rPr>
        <w:t>surveys provided to MBIE.</w:t>
      </w:r>
    </w:p>
    <w:p w14:paraId="5EB970E4" w14:textId="77777777" w:rsidR="009F5DA6" w:rsidRPr="00261B7A" w:rsidRDefault="009F5DA6" w:rsidP="004B55F4">
      <w:pPr>
        <w:pStyle w:val="Bullet"/>
        <w:rPr>
          <w:lang w:eastAsia="en-GB"/>
        </w:rPr>
      </w:pPr>
      <w:r w:rsidRPr="00261B7A">
        <w:rPr>
          <w:lang w:eastAsia="en-GB"/>
        </w:rPr>
        <w:t xml:space="preserve">The </w:t>
      </w:r>
      <w:r w:rsidRPr="00261B7A">
        <w:rPr>
          <w:b/>
          <w:bCs/>
          <w:lang w:eastAsia="en-GB"/>
        </w:rPr>
        <w:t>Delivery of Petroleum Fuels by Industry</w:t>
      </w:r>
      <w:r w:rsidRPr="00261B7A">
        <w:rPr>
          <w:lang w:eastAsia="en-GB"/>
        </w:rPr>
        <w:t xml:space="preserve"> survey (DPFI)</w:t>
      </w:r>
      <w:r w:rsidRPr="00261B7A">
        <w:t xml:space="preserve"> is a quarterly survey that collects data on observed demand (i.e., actual sales figures) broken down by industrial sector.</w:t>
      </w:r>
    </w:p>
    <w:p w14:paraId="0B2CB20C" w14:textId="77777777" w:rsidR="009F5DA6" w:rsidRPr="00261B7A" w:rsidRDefault="009F5DA6" w:rsidP="009F5DA6">
      <w:pPr>
        <w:pStyle w:val="Bullet"/>
        <w:rPr>
          <w:lang w:eastAsia="en-GB"/>
        </w:rPr>
      </w:pPr>
      <w:r w:rsidRPr="00261B7A">
        <w:rPr>
          <w:lang w:eastAsia="en-GB"/>
        </w:rPr>
        <w:t xml:space="preserve">The </w:t>
      </w:r>
      <w:r w:rsidRPr="00261B7A">
        <w:rPr>
          <w:b/>
          <w:bCs/>
          <w:iCs/>
        </w:rPr>
        <w:t>Monthly Oil Supply</w:t>
      </w:r>
      <w:r w:rsidRPr="00261B7A">
        <w:t xml:space="preserve"> survey (</w:t>
      </w:r>
      <w:r w:rsidRPr="00261B7A">
        <w:rPr>
          <w:lang w:eastAsia="en-GB"/>
        </w:rPr>
        <w:t xml:space="preserve">MOS) is a monthly survey that asks companies selling fuels to provide a </w:t>
      </w:r>
      <w:r w:rsidRPr="00261B7A">
        <w:rPr>
          <w:rFonts w:cs="Calibri"/>
        </w:rPr>
        <w:t>liquid fuels supply balance.</w:t>
      </w:r>
    </w:p>
    <w:p w14:paraId="4CB73A52" w14:textId="77777777" w:rsidR="009F5DA6" w:rsidRPr="00261B7A" w:rsidRDefault="009F5DA6" w:rsidP="009F5DA6">
      <w:pPr>
        <w:pStyle w:val="BodyText"/>
        <w:rPr>
          <w:rFonts w:cs="Calibri"/>
          <w:spacing w:val="-2"/>
          <w:lang w:eastAsia="en-GB"/>
        </w:rPr>
      </w:pPr>
      <w:r w:rsidRPr="00261B7A">
        <w:rPr>
          <w:rFonts w:cs="Calibri"/>
        </w:rPr>
        <w:t xml:space="preserve">Some of the international bunkers data in CRF table 1.A.b are from the MOS, whereas the international bunkers data in CRF table 1.D are from the DPFI. Companies that respond to the DPFI are asked to reconcile their figures there with their figures in the MOS. Discrepancies between the surveys are usually very small, and the companies attribute these differences to the difference in approach between the two surveys (the MOS follows a top-down approach, while the DPFI follows a bottom-up approach). Furthermore, the MOS and DPFI are usually completed by different sections from within the fuel companies. Also note that the </w:t>
      </w:r>
      <w:r w:rsidRPr="00261B7A">
        <w:rPr>
          <w:rFonts w:cs="Calibri"/>
          <w:i/>
          <w:iCs/>
        </w:rPr>
        <w:t>Other fuels</w:t>
      </w:r>
      <w:r w:rsidRPr="00261B7A">
        <w:rPr>
          <w:rFonts w:cs="Calibri"/>
        </w:rPr>
        <w:t xml:space="preserve"> category is not covered in the DPFI so data must come from the MOS.</w:t>
      </w:r>
    </w:p>
    <w:p w14:paraId="2C452BF7" w14:textId="77777777" w:rsidR="009F5DA6" w:rsidRPr="00261B7A" w:rsidRDefault="009F5DA6" w:rsidP="0034058F">
      <w:pPr>
        <w:pStyle w:val="Heading3"/>
      </w:pPr>
      <w:r w:rsidRPr="00261B7A">
        <w:t>3.2.3</w:t>
      </w:r>
      <w:r w:rsidRPr="00261B7A">
        <w:tab/>
        <w:t>Feedstock and other non-energy use of fuels</w:t>
      </w:r>
    </w:p>
    <w:p w14:paraId="74B463D7" w14:textId="57A9BA4A" w:rsidR="009F5DA6" w:rsidRPr="00261B7A" w:rsidRDefault="009F5DA6" w:rsidP="009F5DA6">
      <w:pPr>
        <w:pStyle w:val="BodyText"/>
        <w:rPr>
          <w:rFonts w:cs="Calibri"/>
          <w:lang w:eastAsia="en-GB"/>
        </w:rPr>
      </w:pPr>
      <w:r w:rsidRPr="00261B7A">
        <w:rPr>
          <w:rFonts w:cs="Calibri"/>
          <w:lang w:eastAsia="en-GB"/>
        </w:rPr>
        <w:t>For some industrial companies, the fuels supplied are used both as fuels for combustion and</w:t>
      </w:r>
      <w:r w:rsidR="006C728D" w:rsidRPr="00261B7A">
        <w:rPr>
          <w:rFonts w:cs="Calibri"/>
          <w:lang w:eastAsia="en-GB"/>
        </w:rPr>
        <w:t> </w:t>
      </w:r>
      <w:r w:rsidRPr="00261B7A">
        <w:rPr>
          <w:rFonts w:cs="Calibri"/>
          <w:lang w:eastAsia="en-GB"/>
        </w:rPr>
        <w:t>as feedstocks. In these instances, process-related emissions are calculated by taking the fraction of carbon stored or sequestered in the final product (based on industry production and chemical composition of the product) and subtracting this from the total fuel supplied. This difference is assumed to be the amount of carbon emitted as CO</w:t>
      </w:r>
      <w:r w:rsidRPr="00261B7A">
        <w:rPr>
          <w:rFonts w:cs="Calibri"/>
          <w:vertAlign w:val="subscript"/>
          <w:lang w:eastAsia="en-GB"/>
        </w:rPr>
        <w:t>2</w:t>
      </w:r>
      <w:r w:rsidRPr="00261B7A">
        <w:t xml:space="preserve"> </w:t>
      </w:r>
      <w:r w:rsidRPr="00261B7A">
        <w:rPr>
          <w:rFonts w:cs="Calibri"/>
          <w:lang w:eastAsia="en-GB"/>
        </w:rPr>
        <w:t>and is reported both in</w:t>
      </w:r>
      <w:r w:rsidR="006C728D" w:rsidRPr="00261B7A">
        <w:rPr>
          <w:rFonts w:cs="Calibri"/>
          <w:lang w:eastAsia="en-GB"/>
        </w:rPr>
        <w:t> </w:t>
      </w:r>
      <w:r w:rsidRPr="00261B7A">
        <w:rPr>
          <w:rFonts w:cs="Calibri"/>
          <w:lang w:eastAsia="en-GB"/>
        </w:rPr>
        <w:t>the Industrial Processes and Product Use (IPPU) sector and in CRF table 1.AD. Other fuel materials, such as bitumen, also contribute to emissions that are reported under the IPPU sector and (where appropriate) in CRF table 1.AD.</w:t>
      </w:r>
    </w:p>
    <w:p w14:paraId="47672963" w14:textId="77777777" w:rsidR="009F5DA6" w:rsidRPr="00261B7A" w:rsidRDefault="009F5DA6" w:rsidP="009F5DA6">
      <w:pPr>
        <w:pStyle w:val="BodyText"/>
        <w:rPr>
          <w:rFonts w:cs="Calibri"/>
        </w:rPr>
      </w:pPr>
      <w:r w:rsidRPr="00261B7A">
        <w:rPr>
          <w:rFonts w:cs="Calibri"/>
        </w:rPr>
        <w:t>In New Zealand, these non-energy fuels are as follows.</w:t>
      </w:r>
    </w:p>
    <w:p w14:paraId="5BABA596" w14:textId="77777777" w:rsidR="009F5DA6" w:rsidRPr="00261B7A" w:rsidRDefault="009F5DA6" w:rsidP="009F5DA6">
      <w:pPr>
        <w:pStyle w:val="Bullet"/>
      </w:pPr>
      <w:r w:rsidRPr="00261B7A">
        <w:t>The carbon in the natural gas used as feedstock to produce methanol is all considered to be stored in the product and therefore has no associated CO</w:t>
      </w:r>
      <w:r w:rsidRPr="00261B7A">
        <w:rPr>
          <w:vertAlign w:val="subscript"/>
        </w:rPr>
        <w:t>2</w:t>
      </w:r>
      <w:r w:rsidRPr="00261B7A">
        <w:t xml:space="preserve"> emissions. The balance of the carbon is oxidised and results in CO</w:t>
      </w:r>
      <w:r w:rsidRPr="00261B7A">
        <w:rPr>
          <w:vertAlign w:val="subscript"/>
        </w:rPr>
        <w:t>2</w:t>
      </w:r>
      <w:r w:rsidRPr="00261B7A">
        <w:t xml:space="preserve">. Emissions from fuel used for combustion are reported in CRF category 1.A.2.c. </w:t>
      </w:r>
      <w:r w:rsidRPr="00261B7A">
        <w:rPr>
          <w:rFonts w:cs="Calibri"/>
          <w:lang w:eastAsia="en-GB"/>
        </w:rPr>
        <w:t>These figures may differ slightly from those reported online by MBIE, which are based on natural gas energy use and non-energy use as reported by the plant operator.</w:t>
      </w:r>
    </w:p>
    <w:p w14:paraId="62FC5789" w14:textId="77777777" w:rsidR="009F5DA6" w:rsidRPr="00261B7A" w:rsidRDefault="009F5DA6" w:rsidP="009F5DA6">
      <w:pPr>
        <w:pStyle w:val="Bullet"/>
      </w:pPr>
      <w:r w:rsidRPr="00261B7A">
        <w:t>All ammonia produced in New Zealand is processed into urea. Carbon dioxide emissions from the use of natural gas in ammonia production (feedstock) are reported under the IPPU sector and are included in CRF table 1.AD. Emissions from fuel used for combustion are reported in CRF category 1.A.2.c.</w:t>
      </w:r>
    </w:p>
    <w:p w14:paraId="05B72021" w14:textId="77777777" w:rsidR="009F5DA6" w:rsidRPr="00261B7A" w:rsidRDefault="009F5DA6" w:rsidP="009F5DA6">
      <w:pPr>
        <w:pStyle w:val="Bullet"/>
      </w:pPr>
      <w:r w:rsidRPr="00261B7A">
        <w:t>Bitumen produced in New Zealand is not used as a fuel but rather by the companies Fulton Hogan and Downer EDI as a road construction material (non-energy use). Bitumen therefore has no associated direct emissions. Indirect emissions are reported under the IPPU sector.</w:t>
      </w:r>
    </w:p>
    <w:p w14:paraId="5D58410B" w14:textId="69887F72" w:rsidR="009F5DA6" w:rsidRPr="00261B7A" w:rsidRDefault="009F5DA6" w:rsidP="009F5DA6">
      <w:pPr>
        <w:pStyle w:val="Bullet"/>
      </w:pPr>
      <w:r w:rsidRPr="00261B7A">
        <w:t>Coal used in steel production at New Zealand Steel Limited is used as a reductant, which is</w:t>
      </w:r>
      <w:r w:rsidR="006C728D" w:rsidRPr="00261B7A">
        <w:t> </w:t>
      </w:r>
      <w:r w:rsidRPr="00261B7A">
        <w:t xml:space="preserve">part of an industrial process. Therefore, all emissions from this coal are reported under the IPPU sector rather than the Energy sector. </w:t>
      </w:r>
    </w:p>
    <w:p w14:paraId="1DC41F89" w14:textId="77777777" w:rsidR="009F5DA6" w:rsidRPr="00261B7A" w:rsidRDefault="009F5DA6" w:rsidP="009F5DA6">
      <w:pPr>
        <w:pStyle w:val="BodyText"/>
        <w:rPr>
          <w:rFonts w:cs="Calibri"/>
          <w:lang w:eastAsia="en-GB"/>
        </w:rPr>
      </w:pPr>
      <w:r w:rsidRPr="00261B7A">
        <w:rPr>
          <w:rFonts w:cs="Calibri"/>
          <w:lang w:eastAsia="en-GB"/>
        </w:rPr>
        <w:t>For the four industries using natural gas as feedstock, the fraction of carbon stored is given in table 3.2.1. Emissions for individual products are withheld because of confidentiality concerns.</w:t>
      </w:r>
    </w:p>
    <w:p w14:paraId="07FA8AC3" w14:textId="77777777" w:rsidR="009F5DA6" w:rsidRPr="00261B7A" w:rsidRDefault="009F5DA6" w:rsidP="009F5DA6">
      <w:pPr>
        <w:pStyle w:val="Table"/>
        <w:rPr>
          <w:rFonts w:cs="Calibri"/>
        </w:rPr>
      </w:pPr>
      <w:bookmarkStart w:id="236" w:name="_Toc507496589"/>
      <w:bookmarkStart w:id="237" w:name="_Toc36224523"/>
      <w:bookmarkStart w:id="238" w:name="_Toc68786404"/>
      <w:bookmarkStart w:id="239" w:name="_Toc131591317"/>
      <w:r w:rsidRPr="00261B7A">
        <w:rPr>
          <w:rFonts w:cs="Calibri"/>
        </w:rPr>
        <w:t xml:space="preserve">Table 3.2.1 </w:t>
      </w:r>
      <w:r w:rsidRPr="00261B7A">
        <w:rPr>
          <w:rFonts w:cs="Calibri"/>
        </w:rPr>
        <w:tab/>
        <w:t>Use of natural gas as a feedstock in New Zealand</w:t>
      </w:r>
      <w:bookmarkEnd w:id="236"/>
      <w:bookmarkEnd w:id="237"/>
      <w:bookmarkEnd w:id="238"/>
      <w:bookmarkEnd w:id="239"/>
    </w:p>
    <w:tbl>
      <w:tblPr>
        <w:tblW w:w="8505" w:type="dxa"/>
        <w:tblBorders>
          <w:top w:val="single" w:sz="4" w:space="0" w:color="1B556B"/>
          <w:bottom w:val="single" w:sz="4" w:space="0" w:color="1B556B"/>
          <w:insideH w:val="single" w:sz="4" w:space="0" w:color="1B556B"/>
          <w:insideV w:val="single" w:sz="4" w:space="0" w:color="1B556B"/>
        </w:tblBorders>
        <w:tblLayout w:type="fixed"/>
        <w:tblLook w:val="04A0" w:firstRow="1" w:lastRow="0" w:firstColumn="1" w:lastColumn="0" w:noHBand="0" w:noVBand="1"/>
      </w:tblPr>
      <w:tblGrid>
        <w:gridCol w:w="1240"/>
        <w:gridCol w:w="2421"/>
        <w:gridCol w:w="2253"/>
        <w:gridCol w:w="2591"/>
      </w:tblGrid>
      <w:tr w:rsidR="009F5DA6" w:rsidRPr="00261B7A" w14:paraId="3D80BEB4" w14:textId="77777777" w:rsidTr="00D41492">
        <w:trPr>
          <w:tblHeader/>
        </w:trPr>
        <w:tc>
          <w:tcPr>
            <w:tcW w:w="1129" w:type="dxa"/>
            <w:shd w:val="clear" w:color="auto" w:fill="1B556B"/>
            <w:noWrap/>
            <w:hideMark/>
          </w:tcPr>
          <w:p w14:paraId="31AA12F6" w14:textId="77777777" w:rsidR="009F5DA6" w:rsidRPr="00261B7A" w:rsidRDefault="009F5DA6" w:rsidP="00D41492">
            <w:pPr>
              <w:pStyle w:val="TableTextBold"/>
              <w:keepNext/>
              <w:spacing w:before="50" w:after="50"/>
              <w:rPr>
                <w:rFonts w:cs="Calibri"/>
                <w:noProof w:val="0"/>
                <w:color w:val="FFFFFF"/>
              </w:rPr>
            </w:pPr>
            <w:r w:rsidRPr="00261B7A">
              <w:rPr>
                <w:rFonts w:cs="Calibri"/>
                <w:noProof w:val="0"/>
                <w:color w:val="FFFFFF"/>
              </w:rPr>
              <w:t>Product</w:t>
            </w:r>
          </w:p>
        </w:tc>
        <w:tc>
          <w:tcPr>
            <w:tcW w:w="2203" w:type="dxa"/>
            <w:shd w:val="clear" w:color="auto" w:fill="1B556B"/>
            <w:noWrap/>
            <w:hideMark/>
          </w:tcPr>
          <w:p w14:paraId="64A64314" w14:textId="77777777" w:rsidR="009F5DA6" w:rsidRPr="00261B7A" w:rsidRDefault="009F5DA6" w:rsidP="00D41492">
            <w:pPr>
              <w:pStyle w:val="TableTextBold"/>
              <w:keepNext/>
              <w:spacing w:before="50" w:after="50"/>
              <w:rPr>
                <w:rFonts w:cs="Calibri"/>
                <w:noProof w:val="0"/>
                <w:color w:val="FFFFFF"/>
              </w:rPr>
            </w:pPr>
            <w:r w:rsidRPr="00261B7A">
              <w:rPr>
                <w:rFonts w:cs="Calibri"/>
                <w:noProof w:val="0"/>
                <w:color w:val="FFFFFF"/>
              </w:rPr>
              <w:t>Percentage of carbon stored</w:t>
            </w:r>
          </w:p>
        </w:tc>
        <w:tc>
          <w:tcPr>
            <w:tcW w:w="2050" w:type="dxa"/>
            <w:shd w:val="clear" w:color="auto" w:fill="1B556B"/>
            <w:noWrap/>
            <w:hideMark/>
          </w:tcPr>
          <w:p w14:paraId="59683CB1" w14:textId="77777777" w:rsidR="009F5DA6" w:rsidRPr="00261B7A" w:rsidRDefault="009F5DA6" w:rsidP="00D41492">
            <w:pPr>
              <w:pStyle w:val="TableTextBold"/>
              <w:keepNext/>
              <w:spacing w:before="50" w:after="50"/>
              <w:rPr>
                <w:rFonts w:cs="Calibri"/>
                <w:noProof w:val="0"/>
                <w:color w:val="FFFFFF"/>
              </w:rPr>
            </w:pPr>
            <w:r w:rsidRPr="00261B7A">
              <w:rPr>
                <w:rFonts w:cs="Calibri"/>
                <w:noProof w:val="0"/>
                <w:color w:val="FFFFFF"/>
              </w:rPr>
              <w:t>Energy use reported under</w:t>
            </w:r>
          </w:p>
        </w:tc>
        <w:tc>
          <w:tcPr>
            <w:tcW w:w="2358" w:type="dxa"/>
            <w:shd w:val="clear" w:color="auto" w:fill="1B556B"/>
            <w:noWrap/>
            <w:hideMark/>
          </w:tcPr>
          <w:p w14:paraId="0EED37C2" w14:textId="77777777" w:rsidR="009F5DA6" w:rsidRPr="00261B7A" w:rsidRDefault="009F5DA6" w:rsidP="00D41492">
            <w:pPr>
              <w:pStyle w:val="TableTextBold"/>
              <w:keepNext/>
              <w:spacing w:before="50" w:after="50"/>
              <w:rPr>
                <w:rFonts w:cs="Calibri"/>
                <w:noProof w:val="0"/>
                <w:color w:val="FFFFFF"/>
              </w:rPr>
            </w:pPr>
            <w:r w:rsidRPr="00261B7A">
              <w:rPr>
                <w:rFonts w:cs="Calibri"/>
                <w:noProof w:val="0"/>
                <w:color w:val="FFFFFF"/>
              </w:rPr>
              <w:t>Non-energy use reported under</w:t>
            </w:r>
          </w:p>
        </w:tc>
      </w:tr>
      <w:tr w:rsidR="009F5DA6" w:rsidRPr="00261B7A" w14:paraId="7923AF71" w14:textId="77777777" w:rsidTr="00D41492">
        <w:tc>
          <w:tcPr>
            <w:tcW w:w="1129" w:type="dxa"/>
            <w:shd w:val="clear" w:color="auto" w:fill="auto"/>
            <w:noWrap/>
            <w:hideMark/>
          </w:tcPr>
          <w:p w14:paraId="0F20E632" w14:textId="77777777" w:rsidR="009F5DA6" w:rsidRPr="00261B7A" w:rsidRDefault="009F5DA6" w:rsidP="00D41492">
            <w:pPr>
              <w:pStyle w:val="TableText"/>
              <w:spacing w:before="50" w:after="50"/>
            </w:pPr>
            <w:r w:rsidRPr="00261B7A">
              <w:t>Methanol</w:t>
            </w:r>
          </w:p>
        </w:tc>
        <w:tc>
          <w:tcPr>
            <w:tcW w:w="2203" w:type="dxa"/>
            <w:shd w:val="clear" w:color="auto" w:fill="auto"/>
            <w:noWrap/>
            <w:hideMark/>
          </w:tcPr>
          <w:p w14:paraId="7C2BC7BB" w14:textId="77777777" w:rsidR="009F5DA6" w:rsidRPr="00261B7A" w:rsidRDefault="009F5DA6" w:rsidP="00D41492">
            <w:pPr>
              <w:pStyle w:val="TableText"/>
              <w:spacing w:before="50" w:after="50"/>
            </w:pPr>
            <w:r w:rsidRPr="00261B7A">
              <w:t>100</w:t>
            </w:r>
          </w:p>
        </w:tc>
        <w:tc>
          <w:tcPr>
            <w:tcW w:w="2050" w:type="dxa"/>
            <w:shd w:val="clear" w:color="auto" w:fill="auto"/>
            <w:noWrap/>
            <w:hideMark/>
          </w:tcPr>
          <w:p w14:paraId="369A3A49" w14:textId="77777777" w:rsidR="009F5DA6" w:rsidRPr="00261B7A" w:rsidRDefault="009F5DA6" w:rsidP="00D41492">
            <w:pPr>
              <w:pStyle w:val="TableText"/>
              <w:spacing w:before="50" w:after="50"/>
            </w:pPr>
            <w:r w:rsidRPr="00261B7A">
              <w:t>1.A.2.c</w:t>
            </w:r>
          </w:p>
        </w:tc>
        <w:tc>
          <w:tcPr>
            <w:tcW w:w="2358" w:type="dxa"/>
            <w:shd w:val="clear" w:color="auto" w:fill="auto"/>
            <w:noWrap/>
            <w:hideMark/>
          </w:tcPr>
          <w:p w14:paraId="55BAC4FB" w14:textId="77777777" w:rsidR="009F5DA6" w:rsidRPr="00261B7A" w:rsidRDefault="009F5DA6" w:rsidP="00D41492">
            <w:pPr>
              <w:pStyle w:val="TableText"/>
              <w:spacing w:before="50" w:after="50"/>
            </w:pPr>
            <w:r w:rsidRPr="00261B7A">
              <w:t>NA</w:t>
            </w:r>
          </w:p>
        </w:tc>
      </w:tr>
      <w:tr w:rsidR="009F5DA6" w:rsidRPr="00261B7A" w14:paraId="2BEB6D3E" w14:textId="77777777" w:rsidTr="00D41492">
        <w:tc>
          <w:tcPr>
            <w:tcW w:w="1129" w:type="dxa"/>
            <w:shd w:val="clear" w:color="auto" w:fill="auto"/>
            <w:noWrap/>
          </w:tcPr>
          <w:p w14:paraId="690E6F38" w14:textId="77777777" w:rsidR="009F5DA6" w:rsidRPr="00261B7A" w:rsidRDefault="009F5DA6" w:rsidP="00D41492">
            <w:pPr>
              <w:pStyle w:val="TableText"/>
              <w:spacing w:before="50" w:after="50"/>
              <w:rPr>
                <w:szCs w:val="16"/>
              </w:rPr>
            </w:pPr>
            <w:r w:rsidRPr="00261B7A">
              <w:rPr>
                <w:szCs w:val="16"/>
              </w:rPr>
              <w:t>Urea</w:t>
            </w:r>
          </w:p>
        </w:tc>
        <w:tc>
          <w:tcPr>
            <w:tcW w:w="2203" w:type="dxa"/>
            <w:shd w:val="clear" w:color="auto" w:fill="auto"/>
            <w:noWrap/>
          </w:tcPr>
          <w:p w14:paraId="69CDAA35" w14:textId="77777777" w:rsidR="009F5DA6" w:rsidRPr="00261B7A" w:rsidRDefault="009F5DA6" w:rsidP="00D41492">
            <w:pPr>
              <w:pStyle w:val="TableText"/>
              <w:spacing w:before="50" w:after="50"/>
              <w:rPr>
                <w:szCs w:val="16"/>
              </w:rPr>
            </w:pPr>
            <w:r w:rsidRPr="00261B7A">
              <w:rPr>
                <w:szCs w:val="16"/>
              </w:rPr>
              <w:t>80–93</w:t>
            </w:r>
            <w:r w:rsidRPr="00261B7A">
              <w:rPr>
                <w:rStyle w:val="FootnoteReference"/>
                <w:sz w:val="16"/>
                <w:szCs w:val="16"/>
              </w:rPr>
              <w:footnoteReference w:id="31"/>
            </w:r>
          </w:p>
        </w:tc>
        <w:tc>
          <w:tcPr>
            <w:tcW w:w="2050" w:type="dxa"/>
            <w:shd w:val="clear" w:color="auto" w:fill="auto"/>
            <w:noWrap/>
          </w:tcPr>
          <w:p w14:paraId="12079E8E" w14:textId="77777777" w:rsidR="009F5DA6" w:rsidRPr="00261B7A" w:rsidRDefault="009F5DA6" w:rsidP="00D41492">
            <w:pPr>
              <w:pStyle w:val="TableText"/>
              <w:spacing w:before="50" w:after="50"/>
              <w:rPr>
                <w:szCs w:val="16"/>
              </w:rPr>
            </w:pPr>
            <w:r w:rsidRPr="00261B7A">
              <w:rPr>
                <w:szCs w:val="16"/>
              </w:rPr>
              <w:t>1.A.2.c</w:t>
            </w:r>
          </w:p>
        </w:tc>
        <w:tc>
          <w:tcPr>
            <w:tcW w:w="2358" w:type="dxa"/>
            <w:shd w:val="clear" w:color="auto" w:fill="auto"/>
            <w:noWrap/>
          </w:tcPr>
          <w:p w14:paraId="495A6542" w14:textId="77777777" w:rsidR="009F5DA6" w:rsidRPr="00261B7A" w:rsidRDefault="009F5DA6" w:rsidP="00D41492">
            <w:pPr>
              <w:pStyle w:val="TableText"/>
              <w:spacing w:before="50" w:after="50"/>
              <w:rPr>
                <w:szCs w:val="16"/>
              </w:rPr>
            </w:pPr>
            <w:r w:rsidRPr="00261B7A">
              <w:rPr>
                <w:szCs w:val="16"/>
              </w:rPr>
              <w:t>2.B.1</w:t>
            </w:r>
          </w:p>
        </w:tc>
      </w:tr>
      <w:tr w:rsidR="009F5DA6" w:rsidRPr="00261B7A" w14:paraId="61D003D4" w14:textId="77777777" w:rsidTr="00D41492">
        <w:tc>
          <w:tcPr>
            <w:tcW w:w="1129" w:type="dxa"/>
            <w:shd w:val="clear" w:color="auto" w:fill="auto"/>
            <w:noWrap/>
          </w:tcPr>
          <w:p w14:paraId="01CABC51" w14:textId="77777777" w:rsidR="009F5DA6" w:rsidRPr="00261B7A" w:rsidRDefault="009F5DA6" w:rsidP="00D41492">
            <w:pPr>
              <w:pStyle w:val="TableText"/>
              <w:spacing w:before="50" w:after="50"/>
            </w:pPr>
            <w:r w:rsidRPr="00261B7A">
              <w:t>Hydrogen</w:t>
            </w:r>
          </w:p>
        </w:tc>
        <w:tc>
          <w:tcPr>
            <w:tcW w:w="2203" w:type="dxa"/>
            <w:shd w:val="clear" w:color="auto" w:fill="auto"/>
            <w:noWrap/>
          </w:tcPr>
          <w:p w14:paraId="59A72C44" w14:textId="77777777" w:rsidR="009F5DA6" w:rsidRPr="00261B7A" w:rsidRDefault="009F5DA6" w:rsidP="00D41492">
            <w:pPr>
              <w:pStyle w:val="TableText"/>
              <w:spacing w:before="50" w:after="50"/>
            </w:pPr>
            <w:r w:rsidRPr="00261B7A">
              <w:t>0</w:t>
            </w:r>
          </w:p>
        </w:tc>
        <w:tc>
          <w:tcPr>
            <w:tcW w:w="2050" w:type="dxa"/>
            <w:shd w:val="clear" w:color="auto" w:fill="auto"/>
            <w:noWrap/>
          </w:tcPr>
          <w:p w14:paraId="7D5A196C" w14:textId="77777777" w:rsidR="009F5DA6" w:rsidRPr="00261B7A" w:rsidRDefault="009F5DA6" w:rsidP="00D41492">
            <w:pPr>
              <w:pStyle w:val="TableText"/>
              <w:spacing w:before="50" w:after="50"/>
            </w:pPr>
            <w:r w:rsidRPr="00261B7A">
              <w:t>1.A.2.c</w:t>
            </w:r>
          </w:p>
        </w:tc>
        <w:tc>
          <w:tcPr>
            <w:tcW w:w="2358" w:type="dxa"/>
            <w:shd w:val="clear" w:color="auto" w:fill="auto"/>
            <w:noWrap/>
          </w:tcPr>
          <w:p w14:paraId="048E4A96" w14:textId="77777777" w:rsidR="009F5DA6" w:rsidRPr="00261B7A" w:rsidRDefault="009F5DA6" w:rsidP="00D41492">
            <w:pPr>
              <w:pStyle w:val="TableText"/>
              <w:spacing w:before="50" w:after="50"/>
            </w:pPr>
            <w:r w:rsidRPr="00261B7A">
              <w:t>2.B.10</w:t>
            </w:r>
          </w:p>
        </w:tc>
      </w:tr>
      <w:tr w:rsidR="009F5DA6" w:rsidRPr="00261B7A" w14:paraId="388E86D5" w14:textId="77777777" w:rsidTr="00D41492">
        <w:tc>
          <w:tcPr>
            <w:tcW w:w="1129" w:type="dxa"/>
            <w:shd w:val="clear" w:color="auto" w:fill="auto"/>
            <w:noWrap/>
          </w:tcPr>
          <w:p w14:paraId="042FC3B8" w14:textId="77777777" w:rsidR="009F5DA6" w:rsidRPr="00261B7A" w:rsidRDefault="009F5DA6" w:rsidP="00D41492">
            <w:pPr>
              <w:pStyle w:val="TableText"/>
              <w:spacing w:before="50" w:after="50"/>
            </w:pPr>
            <w:r w:rsidRPr="00261B7A">
              <w:t>Steel</w:t>
            </w:r>
          </w:p>
        </w:tc>
        <w:tc>
          <w:tcPr>
            <w:tcW w:w="2203" w:type="dxa"/>
            <w:shd w:val="clear" w:color="auto" w:fill="auto"/>
            <w:noWrap/>
          </w:tcPr>
          <w:p w14:paraId="37742C4E" w14:textId="77777777" w:rsidR="009F5DA6" w:rsidRPr="00261B7A" w:rsidRDefault="009F5DA6" w:rsidP="00D41492">
            <w:pPr>
              <w:pStyle w:val="TableText"/>
              <w:spacing w:before="50" w:after="50"/>
            </w:pPr>
            <w:r w:rsidRPr="00261B7A">
              <w:t>0</w:t>
            </w:r>
          </w:p>
        </w:tc>
        <w:tc>
          <w:tcPr>
            <w:tcW w:w="2050" w:type="dxa"/>
            <w:shd w:val="clear" w:color="auto" w:fill="auto"/>
            <w:noWrap/>
          </w:tcPr>
          <w:p w14:paraId="7ED48A98" w14:textId="77777777" w:rsidR="009F5DA6" w:rsidRPr="00261B7A" w:rsidRDefault="009F5DA6" w:rsidP="00D41492">
            <w:pPr>
              <w:pStyle w:val="TableText"/>
              <w:spacing w:before="50" w:after="50"/>
            </w:pPr>
            <w:r w:rsidRPr="00261B7A">
              <w:t>1.A.2.a</w:t>
            </w:r>
          </w:p>
        </w:tc>
        <w:tc>
          <w:tcPr>
            <w:tcW w:w="2358" w:type="dxa"/>
            <w:shd w:val="clear" w:color="auto" w:fill="auto"/>
            <w:noWrap/>
          </w:tcPr>
          <w:p w14:paraId="3AD5D664" w14:textId="77777777" w:rsidR="009F5DA6" w:rsidRPr="00261B7A" w:rsidRDefault="009F5DA6" w:rsidP="00D41492">
            <w:pPr>
              <w:pStyle w:val="TableText"/>
              <w:spacing w:before="50" w:after="50"/>
            </w:pPr>
            <w:r w:rsidRPr="00261B7A">
              <w:t>2.C.1</w:t>
            </w:r>
          </w:p>
        </w:tc>
      </w:tr>
    </w:tbl>
    <w:p w14:paraId="4ED75E50" w14:textId="77777777" w:rsidR="009F5DA6" w:rsidRPr="00261B7A" w:rsidRDefault="009F5DA6" w:rsidP="009F5DA6">
      <w:pPr>
        <w:pStyle w:val="Noteundertable"/>
      </w:pPr>
      <w:r w:rsidRPr="00261B7A">
        <w:rPr>
          <w:b/>
          <w:bCs/>
          <w:lang w:eastAsia="en-GB"/>
        </w:rPr>
        <w:t>Note:</w:t>
      </w:r>
      <w:r w:rsidRPr="00261B7A">
        <w:rPr>
          <w:lang w:eastAsia="en-GB"/>
        </w:rPr>
        <w:t xml:space="preserve"> NA = not applicable.</w:t>
      </w:r>
    </w:p>
    <w:p w14:paraId="374A0119" w14:textId="77777777" w:rsidR="009F5DA6" w:rsidRPr="00261B7A" w:rsidRDefault="009F5DA6" w:rsidP="009F5DA6">
      <w:pPr>
        <w:pStyle w:val="BodyText"/>
        <w:rPr>
          <w:rFonts w:cs="Calibri"/>
          <w:lang w:eastAsia="en-GB"/>
        </w:rPr>
      </w:pPr>
      <w:r w:rsidRPr="00261B7A">
        <w:rPr>
          <w:rFonts w:cs="Calibri"/>
          <w:lang w:eastAsia="en-GB"/>
        </w:rPr>
        <w:t>All ammonia produced in New Zealand is processed into urea, and the split of feedstock gas and fuel gas used in producing urea is provided by the company. Although most of the carbon in feedstock gas used for urea production is stored in the product, this carbon is later emitted when the urea is used on farms as fertiliser. These emissions are reported under urea application in the Agriculture sector.</w:t>
      </w:r>
    </w:p>
    <w:p w14:paraId="2D18F459" w14:textId="77777777" w:rsidR="009F5DA6" w:rsidRPr="00261B7A" w:rsidRDefault="009F5DA6" w:rsidP="009F5DA6">
      <w:pPr>
        <w:pStyle w:val="BodyText"/>
        <w:rPr>
          <w:rFonts w:cs="Calibri"/>
          <w:lang w:eastAsia="en-GB"/>
        </w:rPr>
      </w:pPr>
      <w:r w:rsidRPr="00261B7A">
        <w:rPr>
          <w:rFonts w:cs="Calibri"/>
          <w:lang w:eastAsia="en-GB"/>
        </w:rPr>
        <w:t xml:space="preserve">Emissions from synthetic gasoline production are reported in the </w:t>
      </w:r>
      <w:r w:rsidRPr="00261B7A">
        <w:rPr>
          <w:rFonts w:cs="Calibri"/>
          <w:i/>
          <w:lang w:eastAsia="en-GB"/>
        </w:rPr>
        <w:t>Manufacture of solid fuels and other energy industries</w:t>
      </w:r>
      <w:r w:rsidRPr="00261B7A">
        <w:rPr>
          <w:rFonts w:cs="Calibri"/>
          <w:lang w:eastAsia="en-GB"/>
        </w:rPr>
        <w:t xml:space="preserve"> category. Synthetic gasoline production in New Zealand ceased in 1997.</w:t>
      </w:r>
    </w:p>
    <w:p w14:paraId="3162D320" w14:textId="77777777" w:rsidR="009F5DA6" w:rsidRPr="00261B7A" w:rsidRDefault="009F5DA6" w:rsidP="009F5DA6">
      <w:pPr>
        <w:pStyle w:val="BodyText"/>
        <w:rPr>
          <w:rFonts w:cs="Calibri"/>
          <w:lang w:eastAsia="en-GB"/>
        </w:rPr>
      </w:pPr>
      <w:r w:rsidRPr="00261B7A">
        <w:rPr>
          <w:rFonts w:cs="Calibri"/>
          <w:lang w:eastAsia="en-GB"/>
        </w:rPr>
        <w:t>The allocation of natural gas consumed for energy use versus non-energy use across time is shown in figure 3.2.1, and a table giving the energy versus non-energy use data for natural gas is included in annex 4, section A.4.4. The trend in natural gas use in the chemicals category can be explained partly by events in the methanol production industry in New Zealand.</w:t>
      </w:r>
    </w:p>
    <w:p w14:paraId="374A2F78" w14:textId="77777777" w:rsidR="009F5DA6" w:rsidRPr="00261B7A" w:rsidRDefault="009F5DA6" w:rsidP="009F5DA6">
      <w:pPr>
        <w:pStyle w:val="BodyText"/>
        <w:rPr>
          <w:rFonts w:cs="Calibri"/>
          <w:lang w:eastAsia="en-GB"/>
        </w:rPr>
      </w:pPr>
      <w:r w:rsidRPr="00261B7A">
        <w:rPr>
          <w:rFonts w:cs="Calibri"/>
          <w:lang w:eastAsia="en-GB"/>
        </w:rPr>
        <w:t>Methanex New Zealand operates methanol production plants in the country and is a major gas user. Methanex significantly reduced its production in 2004 following deficient gas supply in 2003, but increased its capacity in 2008 and then further in 2012. Production at full capacity resumed in December 2013.</w:t>
      </w:r>
    </w:p>
    <w:p w14:paraId="340BD4F4" w14:textId="77777777" w:rsidR="009F5DA6" w:rsidRPr="00261B7A" w:rsidRDefault="009F5DA6" w:rsidP="009F5DA6">
      <w:pPr>
        <w:pStyle w:val="BodyText"/>
        <w:rPr>
          <w:rFonts w:cs="Calibri"/>
          <w:lang w:eastAsia="en-GB"/>
        </w:rPr>
      </w:pPr>
      <w:r w:rsidRPr="00261B7A">
        <w:rPr>
          <w:rFonts w:cs="Calibri"/>
          <w:lang w:eastAsia="en-GB"/>
        </w:rPr>
        <w:t>Details of natural gas use for the various non-energy uses are covered under the IPPU sector (chapter 4).</w:t>
      </w:r>
    </w:p>
    <w:p w14:paraId="44F55D9F" w14:textId="772D63C3" w:rsidR="009F5DA6" w:rsidRPr="00261B7A" w:rsidRDefault="009F5DA6" w:rsidP="009F5DA6">
      <w:pPr>
        <w:pStyle w:val="Figure"/>
        <w:rPr>
          <w:rFonts w:cs="Calibri"/>
        </w:rPr>
      </w:pPr>
      <w:bookmarkStart w:id="240" w:name="_Toc481751985"/>
      <w:bookmarkStart w:id="241" w:name="_Toc36292769"/>
      <w:bookmarkStart w:id="242" w:name="_Toc68786634"/>
      <w:bookmarkStart w:id="243" w:name="_Toc131591536"/>
      <w:bookmarkStart w:id="244" w:name="_Toc95834069"/>
      <w:r w:rsidRPr="00261B7A">
        <w:rPr>
          <w:rFonts w:cs="Calibri"/>
        </w:rPr>
        <w:t>Figure 3.2.</w:t>
      </w:r>
      <w:r w:rsidRPr="00261B7A">
        <w:rPr>
          <w:rFonts w:cs="Calibri"/>
        </w:rPr>
        <w:fldChar w:fldCharType="begin"/>
      </w:r>
      <w:r w:rsidRPr="00261B7A">
        <w:rPr>
          <w:rFonts w:cs="Calibri"/>
        </w:rPr>
        <w:instrText xml:space="preserve"> SEQ Figure \* ARABIC \s 2 </w:instrText>
      </w:r>
      <w:r w:rsidRPr="00261B7A">
        <w:rPr>
          <w:rFonts w:cs="Calibri"/>
        </w:rPr>
        <w:fldChar w:fldCharType="separate"/>
      </w:r>
      <w:r w:rsidR="008F39B8">
        <w:rPr>
          <w:rFonts w:cs="Calibri"/>
          <w:noProof/>
        </w:rPr>
        <w:t>1</w:t>
      </w:r>
      <w:r w:rsidRPr="00261B7A">
        <w:rPr>
          <w:rFonts w:cs="Calibri"/>
        </w:rPr>
        <w:fldChar w:fldCharType="end"/>
      </w:r>
      <w:r w:rsidRPr="00261B7A">
        <w:rPr>
          <w:rFonts w:cs="Calibri"/>
        </w:rPr>
        <w:tab/>
        <w:t>Natural gas consumption by end use type</w:t>
      </w:r>
      <w:bookmarkEnd w:id="240"/>
      <w:r w:rsidRPr="00261B7A">
        <w:rPr>
          <w:rFonts w:cs="Calibri"/>
        </w:rPr>
        <w:t xml:space="preserve"> from 1990 to </w:t>
      </w:r>
      <w:bookmarkEnd w:id="241"/>
      <w:bookmarkEnd w:id="242"/>
      <w:r w:rsidRPr="00261B7A">
        <w:rPr>
          <w:rFonts w:cs="Calibri"/>
        </w:rPr>
        <w:t>2021</w:t>
      </w:r>
      <w:bookmarkEnd w:id="243"/>
      <w:r w:rsidRPr="00261B7A">
        <w:rPr>
          <w:rFonts w:cs="Calibri"/>
        </w:rPr>
        <w:t xml:space="preserve"> </w:t>
      </w:r>
      <w:bookmarkEnd w:id="244"/>
    </w:p>
    <w:p w14:paraId="14157375" w14:textId="77777777" w:rsidR="009F5DA6" w:rsidRPr="00261B7A" w:rsidRDefault="009F5DA6" w:rsidP="009F5DA6">
      <w:pPr>
        <w:pStyle w:val="BodyText"/>
        <w:spacing w:after="0"/>
        <w:rPr>
          <w:lang w:eastAsia="en-GB"/>
        </w:rPr>
      </w:pPr>
      <w:r w:rsidRPr="00261B7A">
        <w:rPr>
          <w:noProof/>
        </w:rPr>
        <w:drawing>
          <wp:inline distT="0" distB="0" distL="0" distR="0" wp14:anchorId="4D1A069D" wp14:editId="7A7C8AAD">
            <wp:extent cx="5398768" cy="2531110"/>
            <wp:effectExtent l="0" t="0" r="0" b="2540"/>
            <wp:docPr id="2111954040" name="Picture 2111954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1954040"/>
                    <pic:cNvPicPr/>
                  </pic:nvPicPr>
                  <pic:blipFill>
                    <a:blip r:embed="rId63" cstate="print">
                      <a:extLst>
                        <a:ext uri="{28A0092B-C50C-407E-A947-70E740481C1C}">
                          <a14:useLocalDpi xmlns:a14="http://schemas.microsoft.com/office/drawing/2010/main" val="0"/>
                        </a:ext>
                      </a:extLst>
                    </a:blip>
                    <a:srcRect t="3117" b="3117"/>
                    <a:stretch>
                      <a:fillRect/>
                    </a:stretch>
                  </pic:blipFill>
                  <pic:spPr>
                    <a:xfrm>
                      <a:off x="0" y="0"/>
                      <a:ext cx="5398768" cy="2531110"/>
                    </a:xfrm>
                    <a:prstGeom prst="rect">
                      <a:avLst/>
                    </a:prstGeom>
                  </pic:spPr>
                </pic:pic>
              </a:graphicData>
            </a:graphic>
          </wp:inline>
        </w:drawing>
      </w:r>
    </w:p>
    <w:p w14:paraId="15FB090D" w14:textId="77777777" w:rsidR="009F5DA6" w:rsidRPr="00261B7A" w:rsidRDefault="009F5DA6" w:rsidP="0034058F">
      <w:pPr>
        <w:pStyle w:val="Heading3"/>
      </w:pPr>
      <w:r w:rsidRPr="00261B7A">
        <w:t>3.2.4</w:t>
      </w:r>
      <w:r w:rsidRPr="00261B7A">
        <w:tab/>
        <w:t>Carbon dioxide capture from flue gases and subsequent carbon dioxide</w:t>
      </w:r>
      <w:r w:rsidRPr="00261B7A">
        <w:rPr>
          <w:sz w:val="18"/>
          <w:szCs w:val="18"/>
        </w:rPr>
        <w:t xml:space="preserve"> </w:t>
      </w:r>
      <w:r w:rsidRPr="00261B7A">
        <w:t>storage</w:t>
      </w:r>
    </w:p>
    <w:p w14:paraId="5A96FE61" w14:textId="77777777" w:rsidR="009F5DA6" w:rsidRPr="00261B7A" w:rsidRDefault="009F5DA6" w:rsidP="009F5DA6">
      <w:pPr>
        <w:pStyle w:val="BodyText"/>
        <w:spacing w:before="100" w:after="100"/>
        <w:rPr>
          <w:rFonts w:cs="Calibri"/>
        </w:rPr>
      </w:pPr>
      <w:r w:rsidRPr="00261B7A">
        <w:rPr>
          <w:rFonts w:cs="Calibri"/>
          <w:lang w:eastAsia="en-GB"/>
        </w:rPr>
        <w:t>No CO</w:t>
      </w:r>
      <w:r w:rsidRPr="00261B7A">
        <w:rPr>
          <w:rFonts w:cs="Calibri"/>
          <w:vertAlign w:val="subscript"/>
          <w:lang w:eastAsia="en-GB"/>
        </w:rPr>
        <w:t>2</w:t>
      </w:r>
      <w:r w:rsidRPr="00261B7A">
        <w:rPr>
          <w:rFonts w:cs="Calibri"/>
          <w:sz w:val="14"/>
          <w:szCs w:val="14"/>
          <w:lang w:eastAsia="en-GB"/>
        </w:rPr>
        <w:t xml:space="preserve"> </w:t>
      </w:r>
      <w:r w:rsidRPr="00261B7A">
        <w:rPr>
          <w:rFonts w:cs="Calibri"/>
          <w:lang w:eastAsia="en-GB"/>
        </w:rPr>
        <w:t>capture from flue gases and subsequent CO</w:t>
      </w:r>
      <w:r w:rsidRPr="00261B7A">
        <w:rPr>
          <w:rFonts w:cs="Calibri"/>
          <w:vertAlign w:val="subscript"/>
          <w:lang w:eastAsia="en-GB"/>
        </w:rPr>
        <w:t>2</w:t>
      </w:r>
      <w:r w:rsidRPr="00261B7A">
        <w:rPr>
          <w:rFonts w:cs="Calibri"/>
          <w:sz w:val="14"/>
          <w:szCs w:val="14"/>
          <w:lang w:eastAsia="en-GB"/>
        </w:rPr>
        <w:t xml:space="preserve"> </w:t>
      </w:r>
      <w:r w:rsidRPr="00261B7A">
        <w:rPr>
          <w:rFonts w:cs="Calibri"/>
          <w:lang w:eastAsia="en-GB"/>
        </w:rPr>
        <w:t xml:space="preserve">storage occurred in New Zealand between 1990 and </w:t>
      </w:r>
      <w:r w:rsidRPr="00261B7A">
        <w:rPr>
          <w:rFonts w:cs="Calibri"/>
        </w:rPr>
        <w:t>2021</w:t>
      </w:r>
      <w:r w:rsidRPr="00261B7A">
        <w:rPr>
          <w:rFonts w:cs="Calibri"/>
          <w:lang w:eastAsia="en-GB"/>
        </w:rPr>
        <w:t>.</w:t>
      </w:r>
    </w:p>
    <w:p w14:paraId="6DA9B417" w14:textId="77777777" w:rsidR="009F5DA6" w:rsidRPr="00261B7A" w:rsidRDefault="009F5DA6" w:rsidP="0034058F">
      <w:pPr>
        <w:pStyle w:val="Heading3"/>
      </w:pPr>
      <w:r w:rsidRPr="00261B7A">
        <w:t>3.2.5</w:t>
      </w:r>
      <w:r w:rsidRPr="00261B7A">
        <w:tab/>
        <w:t>Country-specific issues</w:t>
      </w:r>
    </w:p>
    <w:p w14:paraId="226EC2EE" w14:textId="77777777" w:rsidR="009F5DA6" w:rsidRPr="00261B7A" w:rsidRDefault="009F5DA6" w:rsidP="009F5DA6">
      <w:pPr>
        <w:pStyle w:val="BodyText"/>
        <w:spacing w:before="100" w:after="100"/>
        <w:rPr>
          <w:rFonts w:cs="Calibri"/>
        </w:rPr>
      </w:pPr>
      <w:r w:rsidRPr="00261B7A">
        <w:rPr>
          <w:rFonts w:cs="Calibri"/>
          <w:lang w:eastAsia="en-GB"/>
        </w:rPr>
        <w:t>Reporting for the Energy sector presents an issue related to the 2006</w:t>
      </w:r>
      <w:r w:rsidRPr="00261B7A">
        <w:rPr>
          <w:rFonts w:cs="Calibri"/>
          <w:i/>
          <w:iCs/>
          <w:lang w:eastAsia="en-GB"/>
        </w:rPr>
        <w:t xml:space="preserve"> </w:t>
      </w:r>
      <w:r w:rsidRPr="00261B7A">
        <w:rPr>
          <w:rFonts w:cs="Calibri"/>
          <w:lang w:eastAsia="en-GB"/>
        </w:rPr>
        <w:t>IPCC Guidelines (IPCC, 2006). The issue is described below.</w:t>
      </w:r>
    </w:p>
    <w:p w14:paraId="0E38DF95" w14:textId="77777777" w:rsidR="009F5DA6" w:rsidRPr="00261B7A" w:rsidRDefault="009F5DA6" w:rsidP="004C583E">
      <w:pPr>
        <w:pStyle w:val="Heading4"/>
      </w:pPr>
      <w:r w:rsidRPr="00261B7A">
        <w:t>Sectoral approach – Methanol production</w:t>
      </w:r>
    </w:p>
    <w:p w14:paraId="36E616AB" w14:textId="77777777" w:rsidR="009F5DA6" w:rsidRPr="00261B7A" w:rsidRDefault="009F5DA6" w:rsidP="009F5DA6">
      <w:pPr>
        <w:pStyle w:val="BodyText"/>
        <w:spacing w:before="100" w:after="100"/>
        <w:rPr>
          <w:rFonts w:cs="Calibri"/>
          <w:lang w:eastAsia="en-GB"/>
        </w:rPr>
      </w:pPr>
      <w:r w:rsidRPr="00261B7A">
        <w:rPr>
          <w:rFonts w:cs="Calibri"/>
        </w:rPr>
        <w:t xml:space="preserve">Sector activity data do not include non-energy use of fuels, so we do not need to modify emissions to account for the sequestration of carbon in methanol. Emissions from the natural gas used as fuel are reported in the CRF category 1.A.2.c </w:t>
      </w:r>
      <w:r w:rsidRPr="00261B7A">
        <w:rPr>
          <w:rFonts w:cs="Calibri"/>
          <w:i/>
        </w:rPr>
        <w:t>Chemicals</w:t>
      </w:r>
      <w:r w:rsidRPr="00261B7A">
        <w:rPr>
          <w:rFonts w:cs="Calibri"/>
        </w:rPr>
        <w:t xml:space="preserve"> in the Energy sector, and the emissions from the natural gas used as feedstock are described in chapter 4, section 4.3.2. </w:t>
      </w:r>
    </w:p>
    <w:p w14:paraId="34007929" w14:textId="77777777" w:rsidR="009F5DA6" w:rsidRPr="00261B7A" w:rsidRDefault="009F5DA6" w:rsidP="0034058F">
      <w:pPr>
        <w:pStyle w:val="Heading3"/>
      </w:pPr>
      <w:r w:rsidRPr="00261B7A">
        <w:t>3.2.6</w:t>
      </w:r>
      <w:r w:rsidRPr="00261B7A">
        <w:tab/>
        <w:t>New Zealand energy balance</w:t>
      </w:r>
    </w:p>
    <w:p w14:paraId="1134E7F9" w14:textId="77777777" w:rsidR="009F5DA6" w:rsidRPr="00261B7A" w:rsidRDefault="009F5DA6" w:rsidP="009F5DA6">
      <w:pPr>
        <w:pStyle w:val="BodyText"/>
        <w:spacing w:before="100" w:after="100"/>
      </w:pPr>
      <w:r w:rsidRPr="00261B7A">
        <w:rPr>
          <w:rFonts w:cs="Calibri"/>
        </w:rPr>
        <w:t xml:space="preserve">New Zealand’s energy balance, along with comprehensive information and analysis of energy supply and demand, is published annually in </w:t>
      </w:r>
      <w:r w:rsidRPr="00261B7A">
        <w:rPr>
          <w:rFonts w:cs="Calibri"/>
          <w:i/>
        </w:rPr>
        <w:t>Energy in New Zealand</w:t>
      </w:r>
      <w:r w:rsidRPr="00261B7A">
        <w:rPr>
          <w:rFonts w:cs="Calibri"/>
        </w:rPr>
        <w:t xml:space="preserve"> (MBIE, 2022). It covers energy statistics and includes supply and demand by fuel types, energy balance tables, pricing information and international comparisons. An electronic copy of this report is available online at: </w:t>
      </w:r>
      <w:hyperlink r:id="rId64" w:history="1">
        <w:r w:rsidRPr="00261B7A">
          <w:rPr>
            <w:rStyle w:val="Hyperlink"/>
          </w:rPr>
          <w:t>www.mbie.govt.nz/building-and-energy/energy-and-natural-resources/energy-statistics-and-modelling/energy-publications-and-technical-papers/energy-in-new-zealand</w:t>
        </w:r>
      </w:hyperlink>
      <w:r w:rsidRPr="00261B7A">
        <w:t>.</w:t>
      </w:r>
    </w:p>
    <w:p w14:paraId="35B3F946" w14:textId="2692C9E0" w:rsidR="009F5DA6" w:rsidRPr="00261B7A" w:rsidRDefault="009F5DA6" w:rsidP="009F5DA6">
      <w:pPr>
        <w:pStyle w:val="BodyText"/>
        <w:spacing w:before="100" w:after="100"/>
        <w:rPr>
          <w:rFonts w:cs="Calibri"/>
          <w:iCs/>
          <w:lang w:eastAsia="en-GB"/>
        </w:rPr>
      </w:pPr>
      <w:r w:rsidRPr="00261B7A">
        <w:rPr>
          <w:rFonts w:cs="Calibri"/>
          <w:iCs/>
          <w:lang w:eastAsia="en-GB"/>
        </w:rPr>
        <w:t>For the most part, categories and fuels from the energy balance correspond directly with the</w:t>
      </w:r>
      <w:r w:rsidR="00002926" w:rsidRPr="00261B7A">
        <w:rPr>
          <w:rFonts w:cs="Calibri"/>
          <w:iCs/>
          <w:lang w:eastAsia="en-GB"/>
        </w:rPr>
        <w:t> </w:t>
      </w:r>
      <w:r w:rsidRPr="00261B7A">
        <w:rPr>
          <w:rFonts w:cs="Calibri"/>
          <w:iCs/>
          <w:lang w:eastAsia="en-GB"/>
        </w:rPr>
        <w:t>categories and fuels in CRF table 1.A(b). A few special cases occur, as follows, where the structure of the CRF table does not align with New Zealand’s energy balance.</w:t>
      </w:r>
    </w:p>
    <w:p w14:paraId="546EC6A6" w14:textId="77777777" w:rsidR="009F5DA6" w:rsidRPr="00261B7A" w:rsidRDefault="009F5DA6" w:rsidP="009F5DA6">
      <w:pPr>
        <w:pStyle w:val="Bullet"/>
      </w:pPr>
      <w:r w:rsidRPr="00261B7A">
        <w:t>In the New Zealand energy balance table, crude oil and refinery feedstocks are combined, whereas in CRF table 1.A(b) these are separate line items.</w:t>
      </w:r>
    </w:p>
    <w:p w14:paraId="38C7AE70" w14:textId="77777777" w:rsidR="009F5DA6" w:rsidRPr="00261B7A" w:rsidRDefault="009F5DA6" w:rsidP="009F5DA6">
      <w:pPr>
        <w:pStyle w:val="Bullet"/>
      </w:pPr>
      <w:r w:rsidRPr="00261B7A">
        <w:t>In New Zealand, liquefied petroleum gas (LPG) is considered a primary fuel and indigenous production is included in the national energy balance as such. The CRF table does not allow entry of LPG production, so it is included in natural gas production and then allocated to liquefied petroleum gas via stock change.</w:t>
      </w:r>
    </w:p>
    <w:p w14:paraId="5F7BDA40" w14:textId="77777777" w:rsidR="009F5DA6" w:rsidRPr="00261B7A" w:rsidRDefault="009F5DA6" w:rsidP="009F5DA6">
      <w:pPr>
        <w:pStyle w:val="Bullet"/>
        <w:rPr>
          <w:lang w:eastAsia="en-GB"/>
        </w:rPr>
      </w:pPr>
      <w:r w:rsidRPr="00261B7A">
        <w:t>New Zealand’s energy balance includes the production of synthetic gasoline from natural gas un</w:t>
      </w:r>
      <w:r w:rsidRPr="00261B7A">
        <w:rPr>
          <w:lang w:eastAsia="en-GB"/>
        </w:rPr>
        <w:t>der energy transformation. The CRF table does not allow entry of synthetic gasoline transformation, so it is included in natural gas production and then allocated to gasoline via stock change.</w:t>
      </w:r>
    </w:p>
    <w:p w14:paraId="2D70A1BE" w14:textId="77777777" w:rsidR="009F5DA6" w:rsidRPr="00261B7A" w:rsidRDefault="009F5DA6" w:rsidP="009F5DA6">
      <w:pPr>
        <w:pStyle w:val="BodyText"/>
        <w:spacing w:before="100" w:after="100"/>
        <w:rPr>
          <w:rFonts w:cs="Calibri"/>
          <w:iCs/>
          <w:lang w:eastAsia="en-GB"/>
        </w:rPr>
      </w:pPr>
      <w:r w:rsidRPr="00261B7A">
        <w:rPr>
          <w:rFonts w:cs="Calibri"/>
          <w:iCs/>
          <w:lang w:eastAsia="en-GB"/>
        </w:rPr>
        <w:t>These allocations allow a more meaningful comparison with the sectoral approach data for liquid and gaseous fuels.</w:t>
      </w:r>
    </w:p>
    <w:p w14:paraId="54F9BD5B" w14:textId="77777777" w:rsidR="009F5DA6" w:rsidRPr="00261B7A" w:rsidRDefault="009F5DA6" w:rsidP="00A638DC">
      <w:pPr>
        <w:pStyle w:val="Heading2"/>
      </w:pPr>
      <w:bookmarkStart w:id="245" w:name="_Toc321398810"/>
      <w:bookmarkStart w:id="246" w:name="_Toc384581636"/>
      <w:bookmarkStart w:id="247" w:name="_Toc448321508"/>
      <w:bookmarkStart w:id="248" w:name="_Toc481751370"/>
      <w:bookmarkStart w:id="249" w:name="_Toc36224387"/>
      <w:bookmarkStart w:id="250" w:name="_Toc68786307"/>
      <w:bookmarkStart w:id="251" w:name="_Toc131591222"/>
      <w:r w:rsidRPr="00261B7A">
        <w:t>3.3</w:t>
      </w:r>
      <w:r w:rsidRPr="00261B7A">
        <w:tab/>
        <w:t>Fuel combustion (CRF 1.A)</w:t>
      </w:r>
      <w:bookmarkEnd w:id="245"/>
      <w:bookmarkEnd w:id="246"/>
      <w:bookmarkEnd w:id="247"/>
      <w:bookmarkEnd w:id="248"/>
      <w:bookmarkEnd w:id="249"/>
      <w:bookmarkEnd w:id="250"/>
      <w:bookmarkEnd w:id="251"/>
    </w:p>
    <w:p w14:paraId="0BE222E7" w14:textId="77777777" w:rsidR="009F5DA6" w:rsidRPr="00261B7A" w:rsidRDefault="009F5DA6" w:rsidP="0034058F">
      <w:pPr>
        <w:pStyle w:val="Heading3"/>
      </w:pPr>
      <w:bookmarkStart w:id="252" w:name="_Ref442177031"/>
      <w:r w:rsidRPr="00261B7A">
        <w:t>3.3.1</w:t>
      </w:r>
      <w:r w:rsidRPr="00261B7A">
        <w:tab/>
        <w:t>Sector-wide information</w:t>
      </w:r>
      <w:bookmarkEnd w:id="252"/>
    </w:p>
    <w:p w14:paraId="7D61BF65" w14:textId="77777777" w:rsidR="009F5DA6" w:rsidRPr="00261B7A" w:rsidRDefault="009F5DA6" w:rsidP="004C583E">
      <w:pPr>
        <w:pStyle w:val="Heading4"/>
      </w:pPr>
      <w:r w:rsidRPr="00261B7A">
        <w:t>Description</w:t>
      </w:r>
    </w:p>
    <w:p w14:paraId="29F890D6" w14:textId="77777777" w:rsidR="009F5DA6" w:rsidRPr="00261B7A" w:rsidRDefault="009F5DA6" w:rsidP="009F5DA6">
      <w:pPr>
        <w:pStyle w:val="BodyText"/>
        <w:rPr>
          <w:rFonts w:cs="Calibri"/>
          <w:lang w:eastAsia="en-GB"/>
        </w:rPr>
      </w:pPr>
      <w:r w:rsidRPr="00261B7A">
        <w:rPr>
          <w:rFonts w:cs="Calibri"/>
          <w:spacing w:val="-2"/>
          <w:lang w:eastAsia="en-GB"/>
        </w:rPr>
        <w:t xml:space="preserve">The </w:t>
      </w:r>
      <w:r w:rsidRPr="00261B7A">
        <w:rPr>
          <w:rFonts w:cs="Calibri"/>
          <w:i/>
          <w:spacing w:val="-2"/>
          <w:lang w:eastAsia="en-GB"/>
        </w:rPr>
        <w:t>Fuel combustion</w:t>
      </w:r>
      <w:r w:rsidRPr="00261B7A">
        <w:rPr>
          <w:rFonts w:cs="Calibri"/>
          <w:spacing w:val="-2"/>
          <w:lang w:eastAsia="en-GB"/>
        </w:rPr>
        <w:t xml:space="preserve"> category reports all fuel combustion activities from 1.A.1 </w:t>
      </w:r>
      <w:r w:rsidRPr="00261B7A">
        <w:rPr>
          <w:rFonts w:cs="Calibri"/>
          <w:i/>
          <w:spacing w:val="-2"/>
          <w:lang w:eastAsia="en-GB"/>
        </w:rPr>
        <w:t>Energy industries</w:t>
      </w:r>
      <w:r w:rsidRPr="00261B7A">
        <w:rPr>
          <w:rFonts w:cs="Calibri"/>
          <w:lang w:eastAsia="en-GB"/>
        </w:rPr>
        <w:t xml:space="preserve">, 1.A.2 </w:t>
      </w:r>
      <w:r w:rsidRPr="00261B7A">
        <w:rPr>
          <w:rFonts w:cs="Calibri"/>
          <w:i/>
          <w:lang w:eastAsia="en-GB"/>
        </w:rPr>
        <w:t>Manufacturing industries and construction</w:t>
      </w:r>
      <w:r w:rsidRPr="00261B7A">
        <w:rPr>
          <w:rFonts w:cs="Calibri"/>
          <w:lang w:eastAsia="en-GB"/>
        </w:rPr>
        <w:t xml:space="preserve">, 1.A.3 </w:t>
      </w:r>
      <w:r w:rsidRPr="00261B7A">
        <w:rPr>
          <w:rFonts w:cs="Calibri"/>
          <w:i/>
          <w:lang w:eastAsia="en-GB"/>
        </w:rPr>
        <w:t>Transport</w:t>
      </w:r>
      <w:r w:rsidRPr="00261B7A">
        <w:rPr>
          <w:rFonts w:cs="Calibri"/>
          <w:lang w:eastAsia="en-GB"/>
        </w:rPr>
        <w:t xml:space="preserve"> and 1.A.4 </w:t>
      </w:r>
      <w:r w:rsidRPr="00261B7A">
        <w:rPr>
          <w:rFonts w:cs="Calibri"/>
          <w:i/>
          <w:lang w:eastAsia="en-GB"/>
        </w:rPr>
        <w:t>Other sectors</w:t>
      </w:r>
      <w:r w:rsidRPr="00261B7A">
        <w:rPr>
          <w:rFonts w:cs="Calibri"/>
          <w:lang w:eastAsia="en-GB"/>
        </w:rPr>
        <w:t xml:space="preserve"> categories (see figure 3.3.1). These categories use common activity data sources and emission factors. The CRF tables require energy emissions to be reported by category. Apportioning energy activity data across categories is not as accurate as apportioning activity data by fuel type because of difficulties in allocating liquid fuel to the appropriate categories.</w:t>
      </w:r>
    </w:p>
    <w:p w14:paraId="3FD9210F" w14:textId="77777777" w:rsidR="009F5DA6" w:rsidRPr="00261B7A" w:rsidRDefault="009F5DA6" w:rsidP="009F5DA6">
      <w:pPr>
        <w:pStyle w:val="BodyText"/>
        <w:rPr>
          <w:rFonts w:cs="Calibri"/>
          <w:lang w:eastAsia="en-GB"/>
        </w:rPr>
      </w:pPr>
      <w:r w:rsidRPr="00261B7A">
        <w:rPr>
          <w:rFonts w:cs="Calibri"/>
          <w:lang w:eastAsia="en-GB"/>
        </w:rPr>
        <w:t>Information about methodologies, emission factors, uncertainty, and quality control and assurance for each of the categories is discussed below.</w:t>
      </w:r>
    </w:p>
    <w:p w14:paraId="07D60296" w14:textId="53D69DDB" w:rsidR="009F5DA6" w:rsidRPr="00261B7A" w:rsidRDefault="009F5DA6" w:rsidP="009F5DA6">
      <w:pPr>
        <w:pStyle w:val="Figure"/>
        <w:rPr>
          <w:rFonts w:cs="Calibri"/>
        </w:rPr>
      </w:pPr>
      <w:bookmarkStart w:id="253" w:name="_Toc321399324"/>
      <w:bookmarkStart w:id="254" w:name="_Toc384582850"/>
      <w:bookmarkStart w:id="255" w:name="_Toc443060811"/>
      <w:bookmarkStart w:id="256" w:name="_Toc447275668"/>
      <w:bookmarkStart w:id="257" w:name="_Toc481751986"/>
      <w:bookmarkStart w:id="258" w:name="_Toc36292770"/>
      <w:bookmarkStart w:id="259" w:name="_Toc68786635"/>
      <w:bookmarkStart w:id="260" w:name="_Toc95834070"/>
      <w:bookmarkStart w:id="261" w:name="_Toc131591537"/>
      <w:r w:rsidRPr="00261B7A">
        <w:rPr>
          <w:rFonts w:cs="Calibri"/>
        </w:rPr>
        <w:t>Figure 3.3.</w:t>
      </w:r>
      <w:r w:rsidRPr="00261B7A">
        <w:rPr>
          <w:rFonts w:cs="Calibri"/>
        </w:rPr>
        <w:fldChar w:fldCharType="begin"/>
      </w:r>
      <w:r w:rsidRPr="00261B7A">
        <w:rPr>
          <w:rFonts w:cs="Calibri"/>
        </w:rPr>
        <w:instrText xml:space="preserve"> SEQ Figure \* ARABIC \s 2 </w:instrText>
      </w:r>
      <w:r w:rsidRPr="00261B7A">
        <w:rPr>
          <w:rFonts w:cs="Calibri"/>
        </w:rPr>
        <w:fldChar w:fldCharType="separate"/>
      </w:r>
      <w:r w:rsidR="008F39B8">
        <w:rPr>
          <w:rFonts w:cs="Calibri"/>
          <w:noProof/>
        </w:rPr>
        <w:t>1</w:t>
      </w:r>
      <w:r w:rsidRPr="00261B7A">
        <w:rPr>
          <w:rFonts w:cs="Calibri"/>
        </w:rPr>
        <w:fldChar w:fldCharType="end"/>
      </w:r>
      <w:r w:rsidRPr="00261B7A">
        <w:rPr>
          <w:rFonts w:cs="Calibri"/>
        </w:rPr>
        <w:tab/>
        <w:t>Change in New Zealand’s emissions from the fuel combustion categories from 1990</w:t>
      </w:r>
      <w:bookmarkEnd w:id="253"/>
      <w:r w:rsidR="00B60E89" w:rsidRPr="00261B7A">
        <w:rPr>
          <w:rFonts w:cs="Calibri"/>
        </w:rPr>
        <w:t> </w:t>
      </w:r>
      <w:r w:rsidRPr="00261B7A">
        <w:rPr>
          <w:rFonts w:cs="Calibri"/>
        </w:rPr>
        <w:t>to</w:t>
      </w:r>
      <w:bookmarkEnd w:id="254"/>
      <w:bookmarkEnd w:id="255"/>
      <w:bookmarkEnd w:id="256"/>
      <w:bookmarkEnd w:id="257"/>
      <w:bookmarkEnd w:id="258"/>
      <w:bookmarkEnd w:id="259"/>
      <w:bookmarkEnd w:id="260"/>
      <w:r w:rsidR="00B60E89" w:rsidRPr="00261B7A">
        <w:rPr>
          <w:rFonts w:cs="Calibri"/>
        </w:rPr>
        <w:t> </w:t>
      </w:r>
      <w:r w:rsidRPr="00261B7A">
        <w:rPr>
          <w:rFonts w:cs="Calibri"/>
        </w:rPr>
        <w:t>2021</w:t>
      </w:r>
      <w:bookmarkEnd w:id="261"/>
    </w:p>
    <w:p w14:paraId="382DE891" w14:textId="77777777" w:rsidR="009F5DA6" w:rsidRPr="00261B7A" w:rsidRDefault="009F5DA6" w:rsidP="009F5DA6">
      <w:pPr>
        <w:pStyle w:val="BodyText"/>
        <w:spacing w:before="100" w:after="0"/>
      </w:pPr>
      <w:r w:rsidRPr="00261B7A">
        <w:rPr>
          <w:noProof/>
        </w:rPr>
        <w:drawing>
          <wp:inline distT="0" distB="0" distL="0" distR="0" wp14:anchorId="16E1004B" wp14:editId="50D4F105">
            <wp:extent cx="5398768" cy="2516505"/>
            <wp:effectExtent l="0" t="0" r="0" b="0"/>
            <wp:docPr id="1359458949" name="Picture 13594589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9458949"/>
                    <pic:cNvPicPr/>
                  </pic:nvPicPr>
                  <pic:blipFill>
                    <a:blip r:embed="rId65" cstate="print">
                      <a:extLst>
                        <a:ext uri="{28A0092B-C50C-407E-A947-70E740481C1C}">
                          <a14:useLocalDpi xmlns:a14="http://schemas.microsoft.com/office/drawing/2010/main" val="0"/>
                        </a:ext>
                      </a:extLst>
                    </a:blip>
                    <a:srcRect t="3387" b="3387"/>
                    <a:stretch>
                      <a:fillRect/>
                    </a:stretch>
                  </pic:blipFill>
                  <pic:spPr>
                    <a:xfrm>
                      <a:off x="0" y="0"/>
                      <a:ext cx="5398768" cy="2516505"/>
                    </a:xfrm>
                    <a:prstGeom prst="rect">
                      <a:avLst/>
                    </a:prstGeom>
                  </pic:spPr>
                </pic:pic>
              </a:graphicData>
            </a:graphic>
          </wp:inline>
        </w:drawing>
      </w:r>
    </w:p>
    <w:p w14:paraId="543FE5BB" w14:textId="77777777" w:rsidR="009F5DA6" w:rsidRPr="00261B7A" w:rsidRDefault="009F5DA6" w:rsidP="004C583E">
      <w:pPr>
        <w:pStyle w:val="Heading4"/>
      </w:pPr>
      <w:r w:rsidRPr="00261B7A">
        <w:t>Methodological issues</w:t>
      </w:r>
    </w:p>
    <w:p w14:paraId="325D15B8" w14:textId="77777777" w:rsidR="009F5DA6" w:rsidRPr="00261B7A" w:rsidRDefault="009F5DA6" w:rsidP="009F5DA6">
      <w:pPr>
        <w:pStyle w:val="BodyText"/>
        <w:spacing w:before="100" w:after="100"/>
        <w:rPr>
          <w:rFonts w:cs="Calibri"/>
          <w:lang w:eastAsia="en-GB"/>
        </w:rPr>
      </w:pPr>
      <w:r w:rsidRPr="00261B7A">
        <w:rPr>
          <w:rFonts w:cs="Calibri"/>
          <w:lang w:eastAsia="en-GB"/>
        </w:rPr>
        <w:t>Energy emissions are compiled using MBIE’s energy statistics, along with relevant New Zealand-specific emission factors. Unless otherwise noted in the relevant section, CO</w:t>
      </w:r>
      <w:r w:rsidRPr="00261B7A">
        <w:rPr>
          <w:rFonts w:cs="Calibri"/>
          <w:vertAlign w:val="subscript"/>
          <w:lang w:eastAsia="en-GB"/>
        </w:rPr>
        <w:t>2</w:t>
      </w:r>
      <w:r w:rsidRPr="00261B7A">
        <w:rPr>
          <w:rFonts w:cs="Calibri"/>
          <w:lang w:eastAsia="en-GB"/>
        </w:rPr>
        <w:t> emissions are calculated by multiplying a country-specific emission factor for the given fuel by the relevant activity data using an IPCC 2006 Tier 2 method. Non-CO</w:t>
      </w:r>
      <w:r w:rsidRPr="00261B7A">
        <w:rPr>
          <w:rFonts w:cs="Calibri"/>
          <w:vertAlign w:val="subscript"/>
          <w:lang w:eastAsia="en-GB"/>
        </w:rPr>
        <w:t>2 </w:t>
      </w:r>
      <w:r w:rsidRPr="00261B7A">
        <w:rPr>
          <w:rFonts w:cs="Calibri"/>
          <w:lang w:eastAsia="en-GB"/>
        </w:rPr>
        <w:t>emissions are calculated using IPCC 2006 default emission factors, unless otherwise noted.</w:t>
      </w:r>
    </w:p>
    <w:p w14:paraId="38170511" w14:textId="77777777" w:rsidR="009F5DA6" w:rsidRPr="00261B7A" w:rsidRDefault="009F5DA6" w:rsidP="004C583E">
      <w:pPr>
        <w:pStyle w:val="Heading4"/>
      </w:pPr>
      <w:r w:rsidRPr="00261B7A">
        <w:t xml:space="preserve">Activity data </w:t>
      </w:r>
    </w:p>
    <w:p w14:paraId="662A331E" w14:textId="77777777" w:rsidR="009F5DA6" w:rsidRPr="00261B7A" w:rsidRDefault="009F5DA6" w:rsidP="009F5DA6">
      <w:pPr>
        <w:pStyle w:val="Heading5"/>
        <w:spacing w:before="120"/>
        <w:rPr>
          <w:rFonts w:cs="Calibri"/>
        </w:rPr>
      </w:pPr>
      <w:r w:rsidRPr="00261B7A">
        <w:rPr>
          <w:rFonts w:cs="Calibri"/>
          <w:lang w:eastAsia="en-GB"/>
        </w:rPr>
        <w:t>Liquid fuels</w:t>
      </w:r>
    </w:p>
    <w:p w14:paraId="7BF7ECD9" w14:textId="77777777" w:rsidR="009F5DA6" w:rsidRPr="00261B7A" w:rsidRDefault="009F5DA6" w:rsidP="009F5DA6">
      <w:pPr>
        <w:pStyle w:val="BodyText"/>
        <w:rPr>
          <w:rFonts w:cs="Calibri"/>
          <w:lang w:eastAsia="en-GB"/>
        </w:rPr>
      </w:pPr>
      <w:r w:rsidRPr="00261B7A">
        <w:rPr>
          <w:rFonts w:cs="Calibri"/>
          <w:lang w:eastAsia="en-GB"/>
        </w:rPr>
        <w:t xml:space="preserve">We source most of our liquid fuel consumption data for the Energy sector from the </w:t>
      </w:r>
      <w:r w:rsidRPr="00261B7A">
        <w:rPr>
          <w:rFonts w:cs="Calibri"/>
          <w:iCs/>
          <w:lang w:eastAsia="en-GB"/>
        </w:rPr>
        <w:t>DPFI.</w:t>
      </w:r>
      <w:r w:rsidRPr="00261B7A">
        <w:rPr>
          <w:rFonts w:cs="Calibri"/>
          <w:lang w:eastAsia="en-GB"/>
        </w:rPr>
        <w:t xml:space="preserve"> This quarterly survey includes liquid fuel sales data collected from the four oil companies importing and selling fuel. The purpose of the survey is to provide data on the amount of fuel delivered by all oil companies to end users and other distribution outlets. Each oil company in New Zealand supplies MBIE with the volume of petroleum fuels delivered to resellers and the industrial, commercial and residential sectors. The survey was originally conducted by Stats NZ, before MBIE</w:t>
      </w:r>
      <w:r w:rsidRPr="00261B7A" w:rsidDel="007D581E">
        <w:rPr>
          <w:rFonts w:cs="Calibri"/>
          <w:lang w:eastAsia="en-GB"/>
        </w:rPr>
        <w:t xml:space="preserve"> </w:t>
      </w:r>
      <w:r w:rsidRPr="00261B7A">
        <w:rPr>
          <w:rFonts w:cs="Calibri"/>
          <w:lang w:eastAsia="en-GB"/>
        </w:rPr>
        <w:t>took over this role in 2009.</w:t>
      </w:r>
    </w:p>
    <w:p w14:paraId="714630B3" w14:textId="77777777" w:rsidR="009F5DA6" w:rsidRPr="00261B7A" w:rsidRDefault="009F5DA6" w:rsidP="009F5DA6">
      <w:pPr>
        <w:pStyle w:val="BodyText"/>
        <w:rPr>
          <w:rFonts w:cs="Calibri"/>
          <w:lang w:eastAsia="en-GB"/>
        </w:rPr>
      </w:pPr>
      <w:r w:rsidRPr="00261B7A">
        <w:rPr>
          <w:rFonts w:cs="Calibri"/>
          <w:lang w:eastAsia="en-GB"/>
        </w:rPr>
        <w:t>Petroleum fuels data are currently collected in volume units (thousand litres). Before 2009, data were collected in metric tonnes. Year-specific calorific values are used for all liquid fuels, reflecting changes in liquid fuel properties over time. Annual fuel property data are provided by New Zealand’s sole refinery.</w:t>
      </w:r>
    </w:p>
    <w:p w14:paraId="2CC72436" w14:textId="77777777" w:rsidR="009F5DA6" w:rsidRPr="00261B7A" w:rsidRDefault="009F5DA6" w:rsidP="009F5DA6">
      <w:pPr>
        <w:pStyle w:val="BodyText"/>
        <w:rPr>
          <w:rFonts w:cs="Calibri"/>
          <w:lang w:eastAsia="en-GB"/>
        </w:rPr>
      </w:pPr>
      <w:r w:rsidRPr="00261B7A">
        <w:rPr>
          <w:rFonts w:cs="Calibri"/>
          <w:lang w:eastAsia="en-GB"/>
        </w:rPr>
        <w:t>Emissions from fuel sold for use in international transport (e.g., international bunker fuels) are reported separately as a memo item, as required (IPCC, 2006).</w:t>
      </w:r>
    </w:p>
    <w:p w14:paraId="6EC4F5B8" w14:textId="77777777" w:rsidR="009F5DA6" w:rsidRPr="00261B7A" w:rsidRDefault="009F5DA6" w:rsidP="009F5DA6">
      <w:pPr>
        <w:pStyle w:val="BodyText"/>
        <w:rPr>
          <w:rFonts w:cs="Calibri"/>
        </w:rPr>
      </w:pPr>
      <w:r w:rsidRPr="00261B7A">
        <w:rPr>
          <w:rFonts w:cs="Calibri"/>
        </w:rPr>
        <w:t>An MBIE-commissioned survey in 2008 on liquid fuel use (MBIE</w:t>
      </w:r>
      <w:r w:rsidRPr="00261B7A">
        <w:rPr>
          <w:rFonts w:cs="Calibri"/>
          <w:lang w:eastAsia="en-GB"/>
        </w:rPr>
        <w:t>, 2008</w:t>
      </w:r>
      <w:r w:rsidRPr="00261B7A">
        <w:rPr>
          <w:rFonts w:cs="Calibri"/>
        </w:rPr>
        <w:t xml:space="preserve">) found that there were, at the time, 19 independent fuel distribution companies operating in New Zealand that bought fuel wholesale from oil companies and resold it to consumers. As a result, liquid fuel activity data were being over-allocated to the </w:t>
      </w:r>
      <w:r w:rsidRPr="00261B7A">
        <w:rPr>
          <w:rFonts w:cs="Calibri"/>
          <w:i/>
        </w:rPr>
        <w:t>Transport</w:t>
      </w:r>
      <w:r w:rsidRPr="00261B7A">
        <w:rPr>
          <w:rFonts w:cs="Calibri"/>
        </w:rPr>
        <w:t xml:space="preserve"> category (where they were allocated by default). In contrast, most of the fuel purchased from these distribution companies was used </w:t>
      </w:r>
      <w:r w:rsidRPr="00261B7A">
        <w:rPr>
          <w:rFonts w:cs="Calibri"/>
          <w:spacing w:val="-2"/>
        </w:rPr>
        <w:t xml:space="preserve">by the </w:t>
      </w:r>
      <w:r w:rsidRPr="00261B7A">
        <w:rPr>
          <w:rFonts w:cs="Calibri"/>
          <w:i/>
          <w:spacing w:val="-2"/>
        </w:rPr>
        <w:t>Agriculture/forestry/fishing</w:t>
      </w:r>
      <w:r w:rsidRPr="00261B7A">
        <w:rPr>
          <w:rFonts w:cs="Calibri"/>
          <w:spacing w:val="-2"/>
        </w:rPr>
        <w:t xml:space="preserve"> category. The study recommended starting an annual survey</w:t>
      </w:r>
      <w:r w:rsidRPr="00261B7A">
        <w:rPr>
          <w:rFonts w:cs="Calibri"/>
        </w:rPr>
        <w:t xml:space="preserve"> of deliveries of gasoline and diesel to each sector by independent distributors and using these data to correctly allocate sales of liquid fuels by small resellers to the appropriate sector.</w:t>
      </w:r>
    </w:p>
    <w:p w14:paraId="15138656" w14:textId="77777777" w:rsidR="009F5DA6" w:rsidRPr="00261B7A" w:rsidRDefault="009F5DA6" w:rsidP="009F5DA6">
      <w:pPr>
        <w:pStyle w:val="BodyText"/>
        <w:rPr>
          <w:rFonts w:cs="Calibri"/>
        </w:rPr>
      </w:pPr>
      <w:r w:rsidRPr="00261B7A">
        <w:rPr>
          <w:rFonts w:cs="Calibri"/>
        </w:rPr>
        <w:t xml:space="preserve">As a result of this recommendation, the </w:t>
      </w:r>
      <w:r w:rsidRPr="00261B7A">
        <w:rPr>
          <w:rFonts w:cs="Calibri"/>
          <w:iCs/>
        </w:rPr>
        <w:t>Annual Liquid Fuel Survey</w:t>
      </w:r>
      <w:r w:rsidRPr="00261B7A">
        <w:rPr>
          <w:rFonts w:cs="Calibri"/>
        </w:rPr>
        <w:t xml:space="preserve"> was started in 2009 (for the 2008 calendar year). The survey found that these independent fuel distribution companies </w:t>
      </w:r>
      <w:r w:rsidRPr="00261B7A">
        <w:rPr>
          <w:rFonts w:cs="Calibri"/>
          <w:spacing w:val="-2"/>
        </w:rPr>
        <w:t>delivered 18 per cent of New Zealand’s total diesel consumption and 3 per cent of New Zealand’s</w:t>
      </w:r>
      <w:r w:rsidRPr="00261B7A">
        <w:rPr>
          <w:rFonts w:cs="Calibri"/>
        </w:rPr>
        <w:t xml:space="preserve"> total gasoline consumption. Using these data, each company’s deliveries between 1990 and 2006 were estimated, because no information was available for these years. The report </w:t>
      </w:r>
      <w:r w:rsidRPr="00261B7A">
        <w:rPr>
          <w:rFonts w:cs="Calibri"/>
          <w:i/>
        </w:rPr>
        <w:t>Delivering the Diesel: Liquid Fuel Deliveries in New Zealand 1990–2008</w:t>
      </w:r>
      <w:r w:rsidRPr="00261B7A">
        <w:rPr>
          <w:rFonts w:cs="Calibri"/>
        </w:rPr>
        <w:t xml:space="preserve"> (MBIE, 2010) details the methodology employed to perform this calculation.</w:t>
      </w:r>
    </w:p>
    <w:p w14:paraId="291559B3" w14:textId="77777777" w:rsidR="009F5DA6" w:rsidRPr="00261B7A" w:rsidRDefault="009F5DA6" w:rsidP="009F5DA6">
      <w:pPr>
        <w:pStyle w:val="Heading5"/>
        <w:spacing w:before="160"/>
        <w:rPr>
          <w:rFonts w:cs="Calibri"/>
        </w:rPr>
      </w:pPr>
      <w:r w:rsidRPr="00261B7A">
        <w:rPr>
          <w:rFonts w:cs="Calibri"/>
          <w:lang w:eastAsia="en-GB"/>
        </w:rPr>
        <w:t>Solid fuels</w:t>
      </w:r>
    </w:p>
    <w:p w14:paraId="331EF44E" w14:textId="77777777" w:rsidR="009F5DA6" w:rsidRPr="00261B7A" w:rsidRDefault="009F5DA6" w:rsidP="009F5DA6">
      <w:pPr>
        <w:pStyle w:val="BodyText"/>
        <w:spacing w:before="100" w:after="100"/>
        <w:rPr>
          <w:rFonts w:cs="Calibri"/>
          <w:lang w:eastAsia="en-GB"/>
        </w:rPr>
      </w:pPr>
      <w:r w:rsidRPr="00261B7A">
        <w:rPr>
          <w:rFonts w:cs="Calibri"/>
          <w:spacing w:val="-2"/>
          <w:lang w:eastAsia="en-GB"/>
        </w:rPr>
        <w:t>Since 2009, MBIE has conducted the New Zealand Quarterly Statistical Return of Coal Production</w:t>
      </w:r>
      <w:r w:rsidRPr="00261B7A">
        <w:rPr>
          <w:rFonts w:cs="Calibri"/>
          <w:lang w:eastAsia="en-GB"/>
        </w:rPr>
        <w:t xml:space="preserve"> and Sales, previously conducted by </w:t>
      </w:r>
      <w:r w:rsidRPr="00261B7A">
        <w:rPr>
          <w:rFonts w:cs="Calibri"/>
        </w:rPr>
        <w:t>Stats NZ</w:t>
      </w:r>
      <w:r w:rsidRPr="00261B7A">
        <w:rPr>
          <w:rFonts w:cs="Calibri"/>
          <w:lang w:eastAsia="en-GB"/>
        </w:rPr>
        <w:t>. The survey covers coal mined and sold by coal producers in New Zealand. The three grades of coal surveyed are bituminous, sub</w:t>
      </w:r>
      <w:r w:rsidRPr="00261B7A">
        <w:rPr>
          <w:rFonts w:cs="Calibri"/>
          <w:lang w:eastAsia="en-GB"/>
        </w:rPr>
        <w:noBreakHyphen/>
        <w:t>bituminous and lignite. This survey</w:t>
      </w:r>
      <w:r w:rsidRPr="00261B7A">
        <w:rPr>
          <w:rFonts w:cs="Calibri"/>
          <w:i/>
          <w:iCs/>
          <w:lang w:eastAsia="en-GB"/>
        </w:rPr>
        <w:t xml:space="preserve"> </w:t>
      </w:r>
      <w:r w:rsidRPr="00261B7A">
        <w:rPr>
          <w:rFonts w:cs="Calibri"/>
          <w:lang w:eastAsia="en-GB"/>
        </w:rPr>
        <w:t xml:space="preserve">categorises coal sales by industry, recognising over 20 industries using the Australian and New Zealand Standard Industrial Classification 2006 (Australian Bureau of Statistics and Statistics New Zealand, 2006). Before 2009, when </w:t>
      </w:r>
      <w:r w:rsidRPr="00261B7A">
        <w:rPr>
          <w:rFonts w:cs="Calibri"/>
        </w:rPr>
        <w:t>Stats NZ</w:t>
      </w:r>
      <w:r w:rsidRPr="00261B7A">
        <w:rPr>
          <w:rFonts w:cs="Calibri"/>
          <w:lang w:eastAsia="en-GB"/>
        </w:rPr>
        <w:t xml:space="preserve"> ran the survey, coal sales were surveyed for only seven high-level sectors. </w:t>
      </w:r>
    </w:p>
    <w:p w14:paraId="458F2ABA" w14:textId="77777777" w:rsidR="009F5DA6" w:rsidRPr="00261B7A" w:rsidRDefault="009F5DA6" w:rsidP="009F5DA6">
      <w:pPr>
        <w:pStyle w:val="BodyText"/>
        <w:spacing w:before="100" w:after="100"/>
        <w:rPr>
          <w:rFonts w:cs="Calibri"/>
          <w:lang w:eastAsia="en-GB"/>
        </w:rPr>
      </w:pPr>
      <w:r w:rsidRPr="00261B7A">
        <w:rPr>
          <w:rFonts w:cs="Calibri"/>
          <w:lang w:eastAsia="en-GB"/>
        </w:rPr>
        <w:t>All solid fuel used for iron and steel manufacture is reported under the IPPU sector to avoid double counting.</w:t>
      </w:r>
    </w:p>
    <w:p w14:paraId="20670BF9" w14:textId="77777777" w:rsidR="009F5DA6" w:rsidRPr="00261B7A" w:rsidRDefault="009F5DA6" w:rsidP="009F5DA6">
      <w:pPr>
        <w:pStyle w:val="Heading5"/>
        <w:spacing w:before="160"/>
        <w:rPr>
          <w:rFonts w:cs="Calibri"/>
          <w:lang w:eastAsia="en-GB"/>
        </w:rPr>
      </w:pPr>
      <w:r w:rsidRPr="00261B7A">
        <w:rPr>
          <w:rFonts w:cs="Calibri"/>
          <w:lang w:eastAsia="en-GB"/>
        </w:rPr>
        <w:t>Gaseous fuels</w:t>
      </w:r>
    </w:p>
    <w:p w14:paraId="2C43003D"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MBIE receives activity data on gaseous fuels from various sources. Individual natural gas field operators provide information on the amount of gas extracted, vented, flared and for own use at each gas field. Information on processed gas, including the Kapuni gas field, and information on gas transmission and distribution throughout New Zealand, is provided by the operator of the Kapuni Gas Treatment Plant and gas distribution networks. </w:t>
      </w:r>
    </w:p>
    <w:p w14:paraId="216CE127" w14:textId="77777777" w:rsidR="009F5DA6" w:rsidRPr="00261B7A" w:rsidRDefault="009F5DA6" w:rsidP="009F5DA6">
      <w:pPr>
        <w:pStyle w:val="BodyText"/>
        <w:spacing w:before="100" w:after="100"/>
        <w:rPr>
          <w:rFonts w:cs="Calibri"/>
          <w:lang w:eastAsia="en-GB"/>
        </w:rPr>
      </w:pPr>
      <w:r w:rsidRPr="00261B7A">
        <w:rPr>
          <w:rFonts w:cs="Calibri"/>
          <w:lang w:eastAsia="en-GB"/>
        </w:rPr>
        <w:t>Large users of gas, including electricity generation companies, provide their activity data directly to MBIE. Finally, MBIE surveys retailers and wholesalers on a quarterly basis to obtain activity data from industrial, commercial and residential natural gas users.</w:t>
      </w:r>
    </w:p>
    <w:p w14:paraId="69066976"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In response to expert review team (ERT) recommendations, all fuel combustion for electricity auto-production was disaggregated into the appropriate sector, rather than reported in 1.A.2.g </w:t>
      </w:r>
      <w:r w:rsidRPr="00261B7A">
        <w:rPr>
          <w:rFonts w:cs="Calibri"/>
          <w:i/>
          <w:lang w:eastAsia="en-GB"/>
        </w:rPr>
        <w:t>Manufacturing industries and construction – Other</w:t>
      </w:r>
      <w:r w:rsidRPr="00261B7A">
        <w:rPr>
          <w:rFonts w:cs="Calibri"/>
          <w:lang w:eastAsia="en-GB"/>
        </w:rPr>
        <w:t>. This improvement was implemented in the 2013 submission and resulted in a reduction in unallocated industrial emissions and increases in various manufacturing and construction categories. For further information, see section 3.3.7.</w:t>
      </w:r>
    </w:p>
    <w:p w14:paraId="3608BAF8" w14:textId="77777777" w:rsidR="009F5DA6" w:rsidRPr="00261B7A" w:rsidRDefault="009F5DA6" w:rsidP="009F5DA6">
      <w:pPr>
        <w:pStyle w:val="Heading5"/>
        <w:spacing w:before="160"/>
        <w:rPr>
          <w:rFonts w:cs="Calibri"/>
          <w:lang w:eastAsia="en-GB"/>
        </w:rPr>
      </w:pPr>
      <w:r w:rsidRPr="00261B7A">
        <w:rPr>
          <w:rFonts w:cs="Calibri"/>
          <w:lang w:eastAsia="en-GB"/>
        </w:rPr>
        <w:t>Biomass</w:t>
      </w:r>
    </w:p>
    <w:p w14:paraId="07F9938A" w14:textId="77777777" w:rsidR="009F5DA6" w:rsidRPr="00261B7A" w:rsidRDefault="009F5DA6" w:rsidP="009F5DA6">
      <w:pPr>
        <w:pStyle w:val="BodyText"/>
        <w:spacing w:after="100"/>
        <w:rPr>
          <w:rFonts w:cs="Calibri"/>
          <w:lang w:eastAsia="en-GB"/>
        </w:rPr>
      </w:pPr>
      <w:r w:rsidRPr="00261B7A">
        <w:rPr>
          <w:rFonts w:cs="Calibri"/>
          <w:lang w:eastAsia="en-GB"/>
        </w:rPr>
        <w:t>Activity data for the use of biomass come from several different sources. Electricity and co</w:t>
      </w:r>
      <w:r w:rsidRPr="00261B7A">
        <w:rPr>
          <w:rFonts w:cs="Calibri"/>
          <w:lang w:eastAsia="en-GB"/>
        </w:rPr>
        <w:noBreakHyphen/>
        <w:t xml:space="preserve">generation data are received by MBIE from electricity generators. </w:t>
      </w:r>
    </w:p>
    <w:p w14:paraId="0C9DC7A3" w14:textId="77777777" w:rsidR="009F5DA6" w:rsidRPr="00261B7A" w:rsidRDefault="009F5DA6" w:rsidP="009F5DA6">
      <w:pPr>
        <w:pStyle w:val="Bullet"/>
      </w:pPr>
      <w:r w:rsidRPr="00261B7A">
        <w:t>New Zealand reports emissions from landfill gas, sewage waste gas, sludge gas (derived from cattle effluent at the Tirau dairy processing facility) and commercial biogas use. Before 2013, New Zealand only reported emissions from landfill gas, sewage waste gas and commercial biogas use.</w:t>
      </w:r>
    </w:p>
    <w:p w14:paraId="1C007C07" w14:textId="77777777" w:rsidR="009F5DA6" w:rsidRPr="00261B7A" w:rsidRDefault="009F5DA6" w:rsidP="009F5DA6">
      <w:pPr>
        <w:pStyle w:val="Bullet"/>
      </w:pPr>
      <w:r w:rsidRPr="00261B7A">
        <w:t>New Zealand’s gas biomass emissions are estimated based on electricity generation data (some of which are also estimated). No direct data are available on gas biomass emissions from landfills or sewage treatment facilities. See below for details of the estimation methodology of landfill gas and sewage waste gas.</w:t>
      </w:r>
    </w:p>
    <w:p w14:paraId="59A2DAC7" w14:textId="77777777" w:rsidR="009F5DA6" w:rsidRPr="00261B7A" w:rsidRDefault="009F5DA6" w:rsidP="009F5DA6">
      <w:pPr>
        <w:pStyle w:val="Bullet"/>
      </w:pPr>
      <w:r w:rsidRPr="00261B7A">
        <w:t>Gas biomass is known to be used by some local government councils. However, exploratory data collected in the past have indicated that such use only involves small quantities and produces insignificant emissions. Given this, MBIE has not focused on improving its methodology. As it is aware of some use, it continues to report a standard estimate introduced in 2006 to ensure there is no under-reporting.</w:t>
      </w:r>
    </w:p>
    <w:p w14:paraId="57AFF403" w14:textId="77777777" w:rsidR="009F5DA6" w:rsidRPr="00261B7A" w:rsidRDefault="009F5DA6" w:rsidP="009F5DA6">
      <w:pPr>
        <w:pStyle w:val="Bullet"/>
      </w:pPr>
      <w:r w:rsidRPr="00261B7A">
        <w:t>No information is collected on flared gas biomass.</w:t>
      </w:r>
    </w:p>
    <w:p w14:paraId="1430EA43" w14:textId="77777777" w:rsidR="009F5DA6" w:rsidRPr="00261B7A" w:rsidRDefault="009F5DA6" w:rsidP="009F5DA6">
      <w:pPr>
        <w:pStyle w:val="Bullet"/>
      </w:pPr>
      <w:r w:rsidRPr="00261B7A">
        <w:t>The only gas biomass direct-use data that have been collected are for the Tirau dairy processing facility (and only one data point, which has been used for all years where it is believed the plant has produced emissions).</w:t>
      </w:r>
    </w:p>
    <w:p w14:paraId="3397D7A5" w14:textId="77777777" w:rsidR="009F5DA6" w:rsidRPr="00261B7A" w:rsidRDefault="009F5DA6" w:rsidP="009F5DA6">
      <w:pPr>
        <w:pStyle w:val="Heading5"/>
        <w:spacing w:before="160"/>
        <w:rPr>
          <w:rFonts w:cs="Calibri"/>
        </w:rPr>
      </w:pPr>
      <w:r w:rsidRPr="00261B7A">
        <w:rPr>
          <w:rFonts w:cs="Calibri"/>
        </w:rPr>
        <w:t>Gas biomass emissions estimates are based on electricity generation data</w:t>
      </w:r>
    </w:p>
    <w:p w14:paraId="63389D78" w14:textId="77777777" w:rsidR="009F5DA6" w:rsidRPr="00261B7A" w:rsidRDefault="009F5DA6" w:rsidP="009F5DA6">
      <w:pPr>
        <w:pStyle w:val="BodyText"/>
      </w:pPr>
      <w:r w:rsidRPr="00261B7A">
        <w:t>Biomass electricity generation data are collected for 15 individual plants. As of 31 December 2021, New Zealand gas biomass generation was known to include the following.</w:t>
      </w:r>
    </w:p>
    <w:p w14:paraId="0DFDFE35" w14:textId="77777777" w:rsidR="009F5DA6" w:rsidRPr="00261B7A" w:rsidRDefault="009F5DA6" w:rsidP="009F5DA6">
      <w:pPr>
        <w:pStyle w:val="Bullet"/>
      </w:pPr>
      <w:r w:rsidRPr="00261B7A">
        <w:t>Eleven landfill facilities generated a total of 33.1 megawatts (MW). These facilities are electricity only. (Some landfill gas was used to heat a swimming pool in Christchurch before the Canterbury earthquake of February 2011, but that facility suffered major earthquake damage and has been removed. A new trigeneration facility has since been built.)</w:t>
      </w:r>
    </w:p>
    <w:p w14:paraId="640DE329" w14:textId="77777777" w:rsidR="009F5DA6" w:rsidRPr="00261B7A" w:rsidRDefault="009F5DA6" w:rsidP="009F5DA6">
      <w:pPr>
        <w:pStyle w:val="Bullet"/>
      </w:pPr>
      <w:r w:rsidRPr="00261B7A">
        <w:t>Four wastewater treatment facilities generated a total of 12.9 MW. These are all co</w:t>
      </w:r>
      <w:r w:rsidRPr="00261B7A">
        <w:noBreakHyphen/>
        <w:t>generation facilities that provide heat and electricity for the processing of sewage. Accurate information is not available on the exact type of generation plant used at these individual facilities, although they are known to be a combination of gas turbines, internal combustion engines and some steam turbine facilities.</w:t>
      </w:r>
    </w:p>
    <w:p w14:paraId="03D086AC" w14:textId="77777777" w:rsidR="009F5DA6" w:rsidRPr="00261B7A" w:rsidRDefault="009F5DA6" w:rsidP="009F5DA6">
      <w:pPr>
        <w:pStyle w:val="BodyText"/>
      </w:pPr>
      <w:r w:rsidRPr="00261B7A">
        <w:t>Generation data are collected for each year ending 31 March, with generation assumed to be distributed equally across quarters to estimate December year-end generation. Generation data are usually collected from all 15 plants. However, in some years, estimates are made based on the previous year’s generation.</w:t>
      </w:r>
    </w:p>
    <w:p w14:paraId="71CB21BD" w14:textId="5581FFC2" w:rsidR="009F5DA6" w:rsidRPr="00261B7A" w:rsidRDefault="009F5DA6" w:rsidP="009F5DA6">
      <w:pPr>
        <w:pStyle w:val="BodyText"/>
      </w:pPr>
      <w:r w:rsidRPr="00261B7A">
        <w:t>Fuel input information for generation is not collected for small generators (those less than</w:t>
      </w:r>
      <w:r w:rsidR="00E35B1D" w:rsidRPr="00261B7A">
        <w:t xml:space="preserve"> </w:t>
      </w:r>
      <w:r w:rsidRPr="00261B7A">
        <w:t xml:space="preserve">10 MW), to minimise the burden on respondents and increase response rates. Estimates of fuel input are made on the assumption of 30 per cent efficiency based on gross generation. </w:t>
      </w:r>
    </w:p>
    <w:p w14:paraId="18DA44C7" w14:textId="77777777" w:rsidR="009F5DA6" w:rsidRPr="00261B7A" w:rsidRDefault="009F5DA6" w:rsidP="009F5DA6">
      <w:pPr>
        <w:pStyle w:val="BodyText"/>
      </w:pPr>
      <w:r w:rsidRPr="00261B7A">
        <w:t>All generation data collected are assumed to be net generation (i.e., excluding parasitic load). These values are scaled up using default net-to-gross generation factors sourced from the International Energy Agency. For all thermal generation, the net to gross factor is assumed to be 1.07 (i.e., an additional 7 per cent of electricity is generated but used within the plant itself). Fuel input estimates are then calculated based on the gross generation using a default electrical efficiency factor of 30 per cent. This estimated quantity of biogas is used as total biogas for energy purposes. Biogas use estimates for landfill gas and sewage waste gas are calculated and reported in petajoules (PJ).</w:t>
      </w:r>
    </w:p>
    <w:p w14:paraId="088D362D" w14:textId="77777777" w:rsidR="009F5DA6" w:rsidRPr="00261B7A" w:rsidRDefault="009F5DA6" w:rsidP="009F5DA6">
      <w:pPr>
        <w:pStyle w:val="BodyText"/>
      </w:pPr>
      <w:r w:rsidRPr="00261B7A">
        <w:t>Energy quantities of gas biomass are then converted into greenhouse gas emissions using IPCC 2006 default emission factors. These factors are:</w:t>
      </w:r>
    </w:p>
    <w:p w14:paraId="2C641273" w14:textId="77777777" w:rsidR="009F5DA6" w:rsidRPr="00261B7A" w:rsidRDefault="009F5DA6" w:rsidP="00294EC5">
      <w:pPr>
        <w:pStyle w:val="Bullet"/>
        <w:numPr>
          <w:ilvl w:val="0"/>
          <w:numId w:val="22"/>
        </w:numPr>
        <w:tabs>
          <w:tab w:val="left" w:pos="2552"/>
        </w:tabs>
      </w:pPr>
      <w:r w:rsidRPr="00261B7A">
        <w:t>CO</w:t>
      </w:r>
      <w:r w:rsidRPr="00261B7A">
        <w:rPr>
          <w:vertAlign w:val="subscript"/>
        </w:rPr>
        <w:t>2</w:t>
      </w:r>
      <w:r w:rsidRPr="00261B7A">
        <w:t>:</w:t>
      </w:r>
      <w:r w:rsidRPr="00261B7A">
        <w:tab/>
        <w:t>13.4</w:t>
      </w:r>
      <w:r w:rsidRPr="00261B7A">
        <w:rPr>
          <w:sz w:val="16"/>
        </w:rPr>
        <w:t xml:space="preserve"> </w:t>
      </w:r>
      <w:r w:rsidRPr="00261B7A">
        <w:t>kt carbon/PJ or 49.17</w:t>
      </w:r>
      <w:r w:rsidRPr="00261B7A">
        <w:rPr>
          <w:sz w:val="16"/>
        </w:rPr>
        <w:t xml:space="preserve"> </w:t>
      </w:r>
      <w:r w:rsidRPr="00261B7A">
        <w:t>kt CO</w:t>
      </w:r>
      <w:r w:rsidRPr="00261B7A">
        <w:rPr>
          <w:vertAlign w:val="subscript"/>
        </w:rPr>
        <w:t>2</w:t>
      </w:r>
      <w:r w:rsidRPr="00261B7A">
        <w:t>/PJ</w:t>
      </w:r>
    </w:p>
    <w:p w14:paraId="16247ECD" w14:textId="77777777" w:rsidR="009F5DA6" w:rsidRPr="00261B7A" w:rsidRDefault="009F5DA6" w:rsidP="00294EC5">
      <w:pPr>
        <w:pStyle w:val="Bullet"/>
        <w:numPr>
          <w:ilvl w:val="0"/>
          <w:numId w:val="22"/>
        </w:numPr>
        <w:tabs>
          <w:tab w:val="left" w:pos="2552"/>
        </w:tabs>
      </w:pPr>
      <w:r w:rsidRPr="00261B7A">
        <w:t>methane (CH</w:t>
      </w:r>
      <w:r w:rsidRPr="00261B7A">
        <w:rPr>
          <w:vertAlign w:val="subscript"/>
        </w:rPr>
        <w:t>4</w:t>
      </w:r>
      <w:r w:rsidRPr="00261B7A">
        <w:t xml:space="preserve">): </w:t>
      </w:r>
      <w:r w:rsidRPr="00261B7A">
        <w:tab/>
        <w:t>0.9 t/PJ</w:t>
      </w:r>
    </w:p>
    <w:p w14:paraId="11213AB8" w14:textId="77777777" w:rsidR="009F5DA6" w:rsidRPr="00261B7A" w:rsidRDefault="009F5DA6" w:rsidP="00294EC5">
      <w:pPr>
        <w:pStyle w:val="Bullet"/>
        <w:numPr>
          <w:ilvl w:val="0"/>
          <w:numId w:val="22"/>
        </w:numPr>
        <w:tabs>
          <w:tab w:val="left" w:pos="2552"/>
        </w:tabs>
      </w:pPr>
      <w:r w:rsidRPr="00261B7A">
        <w:t>nitrous oxide (N</w:t>
      </w:r>
      <w:r w:rsidRPr="00261B7A">
        <w:rPr>
          <w:vertAlign w:val="subscript"/>
        </w:rPr>
        <w:t>2</w:t>
      </w:r>
      <w:r w:rsidRPr="00261B7A">
        <w:t>O):</w:t>
      </w:r>
      <w:r w:rsidRPr="00261B7A">
        <w:tab/>
        <w:t>0.09 t/PJ.</w:t>
      </w:r>
    </w:p>
    <w:p w14:paraId="42D659D1" w14:textId="77777777" w:rsidR="009F5DA6" w:rsidRPr="00261B7A" w:rsidRDefault="009F5DA6" w:rsidP="009F5DA6">
      <w:pPr>
        <w:pStyle w:val="Bullet"/>
        <w:numPr>
          <w:ilvl w:val="0"/>
          <w:numId w:val="0"/>
        </w:numPr>
        <w:tabs>
          <w:tab w:val="clear" w:pos="397"/>
          <w:tab w:val="left" w:pos="2552"/>
        </w:tabs>
      </w:pPr>
      <w:r w:rsidRPr="00261B7A">
        <w:t>The CO</w:t>
      </w:r>
      <w:r w:rsidRPr="00261B7A">
        <w:rPr>
          <w:vertAlign w:val="subscript"/>
        </w:rPr>
        <w:t>2</w:t>
      </w:r>
      <w:r w:rsidRPr="00261B7A">
        <w:t xml:space="preserve"> emission factor is derived from the IPCC default net emission factor (it is assumed that the net emission factor is 10 per cent lower than the gross emission factor).</w:t>
      </w:r>
    </w:p>
    <w:p w14:paraId="344090E0" w14:textId="77777777" w:rsidR="009F5DA6" w:rsidRPr="00261B7A" w:rsidRDefault="009F5DA6" w:rsidP="009F5DA6">
      <w:pPr>
        <w:pStyle w:val="BodyText"/>
        <w:rPr>
          <w:spacing w:val="-2"/>
        </w:rPr>
      </w:pPr>
      <w:r w:rsidRPr="00261B7A">
        <w:t xml:space="preserve">Emissions from gas biomass comprise a very small part of New Zealand’s emissions inventory. Given this situation, MBIE believes the current process is sufficient for estimating emissions </w:t>
      </w:r>
      <w:r w:rsidRPr="00261B7A">
        <w:rPr>
          <w:spacing w:val="-2"/>
        </w:rPr>
        <w:t>from gas biomass. Efforts to improve emissions quality would be better focused on other areas.</w:t>
      </w:r>
    </w:p>
    <w:p w14:paraId="2C02B512"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Residential and industrial solid biomass activity data are taken from the annual </w:t>
      </w:r>
      <w:r w:rsidRPr="00261B7A">
        <w:rPr>
          <w:rFonts w:cs="Calibri"/>
          <w:i/>
          <w:lang w:eastAsia="en-GB"/>
        </w:rPr>
        <w:t>Energy in New Zealand</w:t>
      </w:r>
      <w:r w:rsidRPr="00261B7A">
        <w:rPr>
          <w:rFonts w:cs="Calibri"/>
          <w:lang w:eastAsia="en-GB"/>
        </w:rPr>
        <w:t xml:space="preserve"> publication (MBIE, 2022). Residential values are estimated by MBIE based on information on the proportion of households with wood burning heaters (from census data) and data from the Building Research Association of New Zealand (BRANZ, 2002) on the average amount of energy used by households that use wood for heating. The industrial biomass estimation is based on the report </w:t>
      </w:r>
      <w:r w:rsidRPr="00261B7A">
        <w:rPr>
          <w:rFonts w:cs="Calibri"/>
          <w:i/>
          <w:lang w:eastAsia="en-GB"/>
        </w:rPr>
        <w:t xml:space="preserve">Heat Plant in New Zealand </w:t>
      </w:r>
      <w:r w:rsidRPr="00261B7A">
        <w:rPr>
          <w:rFonts w:cs="Calibri"/>
          <w:lang w:eastAsia="en-GB"/>
        </w:rPr>
        <w:t>(Bioenergy Association of New Zealand, 2011).</w:t>
      </w:r>
    </w:p>
    <w:p w14:paraId="7EE94941"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Liquid biofuel activity data are based on information collected under the </w:t>
      </w:r>
      <w:r w:rsidRPr="00261B7A">
        <w:rPr>
          <w:rFonts w:cs="Calibri"/>
          <w:iCs/>
          <w:lang w:eastAsia="en-GB"/>
        </w:rPr>
        <w:t>Petroleum or Engine Fuel Monitoring Levy,</w:t>
      </w:r>
      <w:r w:rsidRPr="00261B7A">
        <w:rPr>
          <w:rFonts w:cs="Calibri"/>
          <w:lang w:eastAsia="en-GB"/>
        </w:rPr>
        <w:t xml:space="preserve"> as reported in MBIE quarterly online data releases. </w:t>
      </w:r>
    </w:p>
    <w:p w14:paraId="56AC3B06" w14:textId="77777777" w:rsidR="009F5DA6" w:rsidRPr="00261B7A" w:rsidRDefault="009F5DA6" w:rsidP="009F5DA6">
      <w:pPr>
        <w:pStyle w:val="Heading5"/>
        <w:spacing w:before="200"/>
        <w:rPr>
          <w:rFonts w:cs="Calibri"/>
        </w:rPr>
      </w:pPr>
      <w:r w:rsidRPr="00261B7A">
        <w:rPr>
          <w:rFonts w:cs="Calibri"/>
          <w:lang w:eastAsia="en-GB"/>
        </w:rPr>
        <w:t>Electricity auto-production</w:t>
      </w:r>
    </w:p>
    <w:p w14:paraId="28612B20" w14:textId="77777777" w:rsidR="009F5DA6" w:rsidRPr="00261B7A" w:rsidRDefault="009F5DA6" w:rsidP="009F5DA6">
      <w:pPr>
        <w:pStyle w:val="BodyText"/>
        <w:spacing w:before="100"/>
        <w:rPr>
          <w:rFonts w:cs="Calibri"/>
          <w:lang w:eastAsia="en-GB"/>
        </w:rPr>
      </w:pPr>
      <w:r w:rsidRPr="00261B7A">
        <w:rPr>
          <w:rFonts w:cs="Calibri"/>
          <w:lang w:eastAsia="en-GB"/>
        </w:rPr>
        <w:t xml:space="preserve">All combustion activity for electricity auto-production is allocated into the appropriate manufacturing category. </w:t>
      </w:r>
    </w:p>
    <w:p w14:paraId="32C02B37" w14:textId="77777777" w:rsidR="009F5DA6" w:rsidRPr="00261B7A" w:rsidRDefault="009F5DA6" w:rsidP="004C583E">
      <w:pPr>
        <w:pStyle w:val="Heading4"/>
      </w:pPr>
      <w:r w:rsidRPr="00261B7A">
        <w:t>Emission factors</w:t>
      </w:r>
    </w:p>
    <w:p w14:paraId="1146A67D" w14:textId="77777777" w:rsidR="009F5DA6" w:rsidRPr="00261B7A" w:rsidRDefault="009F5DA6" w:rsidP="009F5DA6">
      <w:pPr>
        <w:pStyle w:val="BodyText"/>
        <w:spacing w:before="100"/>
        <w:rPr>
          <w:rFonts w:cs="Calibri"/>
          <w:lang w:eastAsia="en-GB"/>
        </w:rPr>
      </w:pPr>
      <w:r w:rsidRPr="00261B7A">
        <w:rPr>
          <w:rFonts w:cs="Calibri"/>
          <w:lang w:eastAsia="en-GB"/>
        </w:rPr>
        <w:t>New Zealand emission factors are based on gross calorific values. A list of emission factors forCO</w:t>
      </w:r>
      <w:r w:rsidRPr="00261B7A">
        <w:rPr>
          <w:rFonts w:cs="Calibri"/>
          <w:vertAlign w:val="subscript"/>
          <w:lang w:eastAsia="en-GB"/>
        </w:rPr>
        <w:t>2</w:t>
      </w:r>
      <w:r w:rsidRPr="00261B7A">
        <w:rPr>
          <w:rFonts w:cs="Calibri"/>
          <w:lang w:eastAsia="en-GB"/>
        </w:rPr>
        <w:t xml:space="preserve">, </w:t>
      </w:r>
      <w:r w:rsidRPr="00261B7A">
        <w:rPr>
          <w:rFonts w:cs="Calibri"/>
        </w:rPr>
        <w:t>CH</w:t>
      </w:r>
      <w:r w:rsidRPr="00261B7A">
        <w:rPr>
          <w:rFonts w:cs="Calibri"/>
          <w:vertAlign w:val="subscript"/>
        </w:rPr>
        <w:t>4</w:t>
      </w:r>
      <w:r w:rsidRPr="00261B7A">
        <w:rPr>
          <w:rFonts w:cs="Calibri"/>
          <w:lang w:eastAsia="en-GB"/>
        </w:rPr>
        <w:t xml:space="preserve"> and </w:t>
      </w:r>
      <w:r w:rsidRPr="00261B7A">
        <w:rPr>
          <w:rFonts w:cs="Calibri"/>
        </w:rPr>
        <w:t>N</w:t>
      </w:r>
      <w:r w:rsidRPr="00261B7A">
        <w:rPr>
          <w:rFonts w:cs="Calibri"/>
          <w:vertAlign w:val="subscript"/>
        </w:rPr>
        <w:t>2</w:t>
      </w:r>
      <w:r w:rsidRPr="00261B7A">
        <w:rPr>
          <w:rFonts w:cs="Calibri"/>
        </w:rPr>
        <w:t>O</w:t>
      </w:r>
      <w:r w:rsidRPr="00261B7A">
        <w:rPr>
          <w:rFonts w:cs="Calibri"/>
          <w:lang w:eastAsia="en-GB"/>
        </w:rPr>
        <w:t xml:space="preserve"> for all fuel types is provided in annex 4, tables A4.1 to A4.4. The characteristics of liquid, solid and gaseous fuels and biomass used in New Zealand are described under each of the fuel sections below. Where a New Zealand-specific value is not available, we use either the IPCC value that best reflects New Zealand conditions or the mid-point value from the IPCC range. All emission factors from the IPCC are converted from net calorific value to gross calorific value. New Zealand adopts the Organisation for Economic Co-operation and Development and International Energy Agency assumptions to make these conversions, namely:</w:t>
      </w:r>
    </w:p>
    <w:p w14:paraId="5E6DC427" w14:textId="77777777" w:rsidR="009F5DA6" w:rsidRPr="00261B7A" w:rsidRDefault="009F5DA6" w:rsidP="009F5DA6">
      <w:pPr>
        <w:pStyle w:val="Bullet"/>
        <w:tabs>
          <w:tab w:val="left" w:pos="2552"/>
        </w:tabs>
      </w:pPr>
      <w:r w:rsidRPr="00261B7A">
        <w:t xml:space="preserve">gaseous fuels: </w:t>
      </w:r>
      <w:r w:rsidRPr="00261B7A">
        <w:tab/>
        <w:t>Gross Emission Factor = 0.90 × Net Emission Factor</w:t>
      </w:r>
    </w:p>
    <w:p w14:paraId="340AF598" w14:textId="77777777" w:rsidR="009F5DA6" w:rsidRPr="00261B7A" w:rsidRDefault="009F5DA6" w:rsidP="009F5DA6">
      <w:pPr>
        <w:pStyle w:val="Bullet"/>
        <w:tabs>
          <w:tab w:val="left" w:pos="2552"/>
        </w:tabs>
      </w:pPr>
      <w:r w:rsidRPr="00261B7A">
        <w:t>liquid and solid fuels:</w:t>
      </w:r>
      <w:r w:rsidRPr="00261B7A">
        <w:tab/>
        <w:t>Gross Emission Factor = 0.95 × Net Emission Factor</w:t>
      </w:r>
    </w:p>
    <w:p w14:paraId="237C9180" w14:textId="77777777" w:rsidR="009F5DA6" w:rsidRPr="00261B7A" w:rsidRDefault="009F5DA6" w:rsidP="009F5DA6">
      <w:pPr>
        <w:pStyle w:val="Bullet"/>
        <w:tabs>
          <w:tab w:val="left" w:pos="2552"/>
        </w:tabs>
      </w:pPr>
      <w:r w:rsidRPr="00261B7A">
        <w:t>wood:</w:t>
      </w:r>
      <w:r w:rsidRPr="00261B7A">
        <w:tab/>
        <w:t>Gross Emission Factor = 0.80 × Net Emission Factor.</w:t>
      </w:r>
    </w:p>
    <w:p w14:paraId="7CE6A7B3" w14:textId="77777777" w:rsidR="009F5DA6" w:rsidRPr="00261B7A" w:rsidRDefault="009F5DA6" w:rsidP="009F5DA6">
      <w:pPr>
        <w:pStyle w:val="Heading5"/>
        <w:rPr>
          <w:rFonts w:cs="Calibri"/>
        </w:rPr>
      </w:pPr>
      <w:r w:rsidRPr="00261B7A">
        <w:rPr>
          <w:rFonts w:cs="Calibri"/>
          <w:lang w:eastAsia="en-GB"/>
        </w:rPr>
        <w:t>Liquid fuels</w:t>
      </w:r>
    </w:p>
    <w:p w14:paraId="37BC73D1" w14:textId="77777777" w:rsidR="009F5DA6" w:rsidRPr="00261B7A" w:rsidRDefault="009F5DA6" w:rsidP="009F5DA6">
      <w:pPr>
        <w:pStyle w:val="BodyText"/>
        <w:spacing w:before="100" w:after="100"/>
        <w:rPr>
          <w:rFonts w:cs="Calibri"/>
          <w:lang w:eastAsia="en-GB"/>
        </w:rPr>
      </w:pPr>
      <w:r w:rsidRPr="00261B7A">
        <w:rPr>
          <w:rFonts w:cs="Calibri"/>
          <w:lang w:eastAsia="en-GB"/>
        </w:rPr>
        <w:t>Where possible, CO</w:t>
      </w:r>
      <w:r w:rsidRPr="00261B7A">
        <w:rPr>
          <w:rFonts w:cs="Calibri"/>
          <w:vertAlign w:val="subscript"/>
          <w:lang w:eastAsia="en-GB"/>
        </w:rPr>
        <w:t>2</w:t>
      </w:r>
      <w:r w:rsidRPr="00261B7A">
        <w:rPr>
          <w:rFonts w:cs="Calibri"/>
          <w:lang w:eastAsia="en-GB"/>
        </w:rPr>
        <w:t xml:space="preserve"> emission factors for liquid fuels are calculated on an annual basis. Carbon dioxide emission factors are calculated from Refining New Zealand data on the carbon content and calorific values of the fuels that they produce. For non-CO</w:t>
      </w:r>
      <w:r w:rsidRPr="00261B7A">
        <w:rPr>
          <w:rFonts w:cs="Calibri"/>
          <w:vertAlign w:val="subscript"/>
          <w:lang w:eastAsia="en-GB"/>
        </w:rPr>
        <w:t>2</w:t>
      </w:r>
      <w:r w:rsidRPr="00261B7A">
        <w:rPr>
          <w:rFonts w:cs="Calibri"/>
          <w:lang w:eastAsia="en-GB"/>
        </w:rPr>
        <w:t xml:space="preserve"> emissions, IPCC 2006 default values are used unless otherwise specified in the relevant section. Annex 4, section A4.1, includes further information on liquid fuel emission factors, including a time series of gross calorific values.</w:t>
      </w:r>
    </w:p>
    <w:p w14:paraId="53B3E115" w14:textId="77777777" w:rsidR="009F5DA6" w:rsidRPr="00261B7A" w:rsidRDefault="009F5DA6" w:rsidP="009F5DA6">
      <w:pPr>
        <w:pStyle w:val="Heading5"/>
        <w:rPr>
          <w:rFonts w:cs="Calibri"/>
          <w:lang w:eastAsia="en-GB"/>
        </w:rPr>
      </w:pPr>
      <w:r w:rsidRPr="00261B7A">
        <w:rPr>
          <w:rFonts w:cs="Calibri"/>
          <w:lang w:eastAsia="en-GB"/>
        </w:rPr>
        <w:t>Solid fuels</w:t>
      </w:r>
    </w:p>
    <w:p w14:paraId="36CEB966" w14:textId="3B9898E6" w:rsidR="009F5DA6" w:rsidRPr="00261B7A" w:rsidRDefault="009F5DA6" w:rsidP="009F5DA6">
      <w:pPr>
        <w:pStyle w:val="BodyText"/>
        <w:spacing w:before="100" w:after="100"/>
        <w:rPr>
          <w:rFonts w:cs="Calibri"/>
          <w:lang w:eastAsia="en-GB"/>
        </w:rPr>
      </w:pPr>
      <w:r w:rsidRPr="00261B7A">
        <w:rPr>
          <w:rFonts w:cs="Calibri"/>
          <w:lang w:eastAsia="en-GB"/>
        </w:rPr>
        <w:t xml:space="preserve">Emission factors for solid fuels were updated for the 2016 submission across the time series from 1990 to 2008, in response to a 2013 ERT recommendation (FCCC/ARR/2013/NZL, paragraph 32) (UNFCCC, 2014). A comprehensive list of carbon content by coal mine is not currently available. A review of New Zealand’s coal emission factors in preparation for the </w:t>
      </w:r>
      <w:r w:rsidRPr="00261B7A">
        <w:rPr>
          <w:rFonts w:cs="Calibri"/>
        </w:rPr>
        <w:t>New Zealand Emissions Trading Scheme</w:t>
      </w:r>
      <w:r w:rsidRPr="00261B7A">
        <w:rPr>
          <w:rFonts w:cs="Calibri"/>
          <w:lang w:eastAsia="en-GB"/>
        </w:rPr>
        <w:t xml:space="preserve"> (NZ ETS) (CRL Energy Ltd, 2009) recommended re</w:t>
      </w:r>
      <w:r w:rsidRPr="00261B7A">
        <w:rPr>
          <w:rFonts w:cs="Calibri"/>
          <w:lang w:eastAsia="en-GB"/>
        </w:rPr>
        <w:noBreakHyphen/>
        <w:t xml:space="preserve">weighting the current default emission factors to 2007 production rather than continuing with those in the </w:t>
      </w:r>
      <w:r w:rsidRPr="00261B7A">
        <w:rPr>
          <w:rFonts w:cs="Calibri"/>
          <w:i/>
          <w:lang w:eastAsia="en-GB"/>
        </w:rPr>
        <w:t xml:space="preserve">New Zealand Energy Information Handbook </w:t>
      </w:r>
      <w:r w:rsidRPr="00261B7A">
        <w:rPr>
          <w:rFonts w:cs="Calibri"/>
          <w:lang w:eastAsia="en-GB"/>
        </w:rPr>
        <w:t>(Baines, 1993). However, following the recommendation of the ERT review of New Zealand’s 2013 submission (FCCC/ARR/2013/NZL, paragraph 32) (UNFCCC, 2014), the emission factors between 1990 and</w:t>
      </w:r>
      <w:r w:rsidR="00B2674A" w:rsidRPr="00261B7A">
        <w:rPr>
          <w:rFonts w:cs="Calibri"/>
          <w:lang w:eastAsia="en-GB"/>
        </w:rPr>
        <w:t> </w:t>
      </w:r>
      <w:r w:rsidRPr="00261B7A">
        <w:rPr>
          <w:rFonts w:cs="Calibri"/>
          <w:lang w:eastAsia="en-GB"/>
        </w:rPr>
        <w:t xml:space="preserve">2008 have been interpolated. </w:t>
      </w:r>
    </w:p>
    <w:p w14:paraId="33AB3E92" w14:textId="77777777" w:rsidR="009F5DA6" w:rsidRPr="00261B7A" w:rsidRDefault="009F5DA6" w:rsidP="009F5DA6">
      <w:pPr>
        <w:pStyle w:val="BodyText"/>
        <w:spacing w:before="100" w:after="100"/>
        <w:rPr>
          <w:rFonts w:cs="Calibri"/>
          <w:lang w:eastAsia="en-GB"/>
        </w:rPr>
      </w:pPr>
      <w:r w:rsidRPr="00261B7A">
        <w:rPr>
          <w:rFonts w:cs="Calibri"/>
          <w:lang w:eastAsia="en-GB"/>
        </w:rPr>
        <w:t>The emission factor used to calculate emissions from coal use in the public electricity and heat production sector has been weighted to reflect the combustion of imported coal. A time series of the effect of this weighting is included in annex 4 (table A4.2).</w:t>
      </w:r>
    </w:p>
    <w:p w14:paraId="4B8C2993" w14:textId="77777777" w:rsidR="009F5DA6" w:rsidRPr="00261B7A" w:rsidRDefault="009F5DA6" w:rsidP="009F5DA6">
      <w:pPr>
        <w:pStyle w:val="Heading5"/>
        <w:rPr>
          <w:rFonts w:cs="Calibri"/>
          <w:lang w:eastAsia="en-GB"/>
        </w:rPr>
      </w:pPr>
      <w:r w:rsidRPr="00261B7A">
        <w:rPr>
          <w:rFonts w:cs="Calibri"/>
          <w:lang w:eastAsia="en-GB"/>
        </w:rPr>
        <w:t>Gaseous fuels</w:t>
      </w:r>
    </w:p>
    <w:p w14:paraId="5B23D1A1" w14:textId="77777777" w:rsidR="009F5DA6" w:rsidRPr="00261B7A" w:rsidRDefault="009F5DA6" w:rsidP="009F5DA6">
      <w:pPr>
        <w:pStyle w:val="BodyText"/>
        <w:spacing w:after="100"/>
        <w:rPr>
          <w:rFonts w:cs="Calibri"/>
          <w:lang w:eastAsia="en-GB"/>
        </w:rPr>
      </w:pPr>
      <w:r w:rsidRPr="00261B7A">
        <w:rPr>
          <w:rFonts w:cs="Calibri"/>
          <w:lang w:eastAsia="en-GB"/>
        </w:rPr>
        <w:t>New Zealand’s gaseous fuel emission factors are above the IPCC 2006 default range as New Zealand natural gas fields tend to have higher CO</w:t>
      </w:r>
      <w:r w:rsidRPr="00261B7A">
        <w:rPr>
          <w:rFonts w:cs="Calibri"/>
          <w:vertAlign w:val="subscript"/>
          <w:lang w:eastAsia="en-GB"/>
        </w:rPr>
        <w:t>2</w:t>
      </w:r>
      <w:r w:rsidRPr="00261B7A">
        <w:rPr>
          <w:rFonts w:cs="Calibri"/>
          <w:lang w:eastAsia="en-GB"/>
        </w:rPr>
        <w:t xml:space="preserve"> content than most international gas fields. This is verified by regular gas composition analysis. Emission factors for 2021 from all fields, along with the production weighted average, are included in annex 4.</w:t>
      </w:r>
    </w:p>
    <w:p w14:paraId="082DF68B" w14:textId="77777777" w:rsidR="009F5DA6" w:rsidRPr="00261B7A" w:rsidRDefault="009F5DA6" w:rsidP="009F5DA6">
      <w:pPr>
        <w:pStyle w:val="BodyText"/>
        <w:spacing w:after="100"/>
        <w:rPr>
          <w:rFonts w:cs="Calibri"/>
          <w:lang w:eastAsia="en-GB"/>
        </w:rPr>
      </w:pPr>
      <w:r w:rsidRPr="00261B7A">
        <w:rPr>
          <w:rFonts w:cs="Calibri"/>
          <w:lang w:eastAsia="en-GB"/>
        </w:rPr>
        <w:t>The annual gaseous fuel emission factor is calculated as an average of the emission factors of all natural gas fields in New Zealand, weighted by each field’s relative production for the year. This method provides increased accuracy as it takes into account trends in gas field production rates over time (e.g., the decline in production from both the Maui and Kapuni gas fields and their replacement by other new gas fields like Pohokura). This emission factor fluctuates slightly from year to year, mainly due to the relative production volume at different gas fields.</w:t>
      </w:r>
    </w:p>
    <w:p w14:paraId="6657D8EF" w14:textId="77777777" w:rsidR="009F5DA6" w:rsidRPr="00261B7A" w:rsidRDefault="009F5DA6" w:rsidP="009F5DA6">
      <w:pPr>
        <w:pStyle w:val="BodyText"/>
        <w:spacing w:after="100"/>
        <w:rPr>
          <w:rFonts w:cs="Calibri"/>
          <w:lang w:eastAsia="en-GB"/>
        </w:rPr>
      </w:pPr>
      <w:r w:rsidRPr="00261B7A">
        <w:rPr>
          <w:rFonts w:cs="Calibri"/>
          <w:lang w:eastAsia="en-GB"/>
        </w:rPr>
        <w:t>Natural gas from the Kapuni gas field has a particularly high CO</w:t>
      </w:r>
      <w:r w:rsidRPr="00261B7A">
        <w:rPr>
          <w:rFonts w:cs="Calibri"/>
          <w:vertAlign w:val="subscript"/>
          <w:lang w:eastAsia="en-GB"/>
        </w:rPr>
        <w:t xml:space="preserve">2 </w:t>
      </w:r>
      <w:r w:rsidRPr="00261B7A">
        <w:rPr>
          <w:rFonts w:cs="Calibri"/>
          <w:lang w:eastAsia="en-GB"/>
        </w:rPr>
        <w:t>content. Historically, this field has been valued by the petrochemicals industry as a feedstock. However, most of the gas from this field is now treated, and the excess CO</w:t>
      </w:r>
      <w:r w:rsidRPr="00261B7A">
        <w:rPr>
          <w:rFonts w:cs="Calibri"/>
          <w:vertAlign w:val="subscript"/>
          <w:lang w:eastAsia="en-GB"/>
        </w:rPr>
        <w:t>2</w:t>
      </w:r>
      <w:r w:rsidRPr="00261B7A">
        <w:rPr>
          <w:rFonts w:cs="Calibri"/>
          <w:lang w:eastAsia="en-GB"/>
        </w:rPr>
        <w:t xml:space="preserve"> is removed at the Kapuni Gas Treatment Plant. Consequently, separate emission factors were used to calculate emissions from Kapuni treated and untreated gas, due to the difference in carbon content (see annex 4, table A4.1). Carbon dioxide removed from raw Kapuni gas (which is then vented) is reported under 1.B.2.c </w:t>
      </w:r>
      <w:r w:rsidRPr="00261B7A">
        <w:rPr>
          <w:rFonts w:cs="Calibri"/>
          <w:i/>
          <w:iCs/>
          <w:lang w:eastAsia="en-GB"/>
        </w:rPr>
        <w:t>Venting and flaring</w:t>
      </w:r>
      <w:r w:rsidRPr="00261B7A">
        <w:rPr>
          <w:rFonts w:cs="Calibri"/>
          <w:lang w:eastAsia="en-GB"/>
        </w:rPr>
        <w:t>.</w:t>
      </w:r>
    </w:p>
    <w:p w14:paraId="532A29A1" w14:textId="77777777" w:rsidR="009F5DA6" w:rsidRPr="00261B7A" w:rsidRDefault="009F5DA6" w:rsidP="009F5DA6">
      <w:pPr>
        <w:pStyle w:val="Heading5"/>
        <w:rPr>
          <w:rFonts w:cs="Calibri"/>
          <w:lang w:eastAsia="en-GB"/>
        </w:rPr>
      </w:pPr>
      <w:r w:rsidRPr="00261B7A">
        <w:rPr>
          <w:rFonts w:cs="Calibri"/>
          <w:lang w:eastAsia="en-GB"/>
        </w:rPr>
        <w:t>Biomass</w:t>
      </w:r>
    </w:p>
    <w:p w14:paraId="138BF968" w14:textId="77777777" w:rsidR="009F5DA6" w:rsidRPr="00261B7A" w:rsidRDefault="009F5DA6" w:rsidP="009F5DA6">
      <w:pPr>
        <w:pStyle w:val="BodyText"/>
        <w:spacing w:after="100"/>
        <w:rPr>
          <w:rFonts w:cs="Calibri"/>
          <w:lang w:eastAsia="en-GB"/>
        </w:rPr>
      </w:pPr>
      <w:r w:rsidRPr="00261B7A">
        <w:rPr>
          <w:rFonts w:cs="Calibri"/>
          <w:lang w:eastAsia="en-GB"/>
        </w:rPr>
        <w:t xml:space="preserve">Emission factors for wood combustion are calculated from the IPCC 2006 default emission factor, and assume that the net calorific value is 20 per cent lower than the gross calorific value (IPCC, 2006). Carbon dioxide emissions from wood used for energy production are reported as a memo item and are not included in the estimate of New Zealand’s total greenhouse gas emissions (IPCC, 2006). Carbon dioxide emission factors for liquid biofuels are sourced from the </w:t>
      </w:r>
      <w:r w:rsidRPr="00261B7A">
        <w:rPr>
          <w:rFonts w:cs="Calibri"/>
          <w:i/>
          <w:iCs/>
          <w:lang w:eastAsia="en-GB"/>
        </w:rPr>
        <w:t xml:space="preserve">New Zealand Energy Information Handbook </w:t>
      </w:r>
      <w:r w:rsidRPr="00261B7A">
        <w:rPr>
          <w:rFonts w:cs="Calibri"/>
          <w:lang w:eastAsia="en-GB"/>
        </w:rPr>
        <w:t xml:space="preserve">(Baines, 1993), while </w:t>
      </w:r>
      <w:r w:rsidRPr="00261B7A">
        <w:rPr>
          <w:rFonts w:cs="Calibri"/>
        </w:rPr>
        <w:t>CH</w:t>
      </w:r>
      <w:r w:rsidRPr="00261B7A">
        <w:rPr>
          <w:rFonts w:cs="Calibri"/>
          <w:vertAlign w:val="subscript"/>
        </w:rPr>
        <w:t>4</w:t>
      </w:r>
      <w:r w:rsidRPr="00261B7A">
        <w:rPr>
          <w:rFonts w:cs="Calibri"/>
          <w:lang w:eastAsia="en-GB"/>
        </w:rPr>
        <w:t xml:space="preserve"> and </w:t>
      </w:r>
      <w:r w:rsidRPr="00261B7A">
        <w:rPr>
          <w:rFonts w:cs="Calibri"/>
        </w:rPr>
        <w:t>N</w:t>
      </w:r>
      <w:r w:rsidRPr="00261B7A">
        <w:rPr>
          <w:rFonts w:cs="Calibri"/>
          <w:vertAlign w:val="subscript"/>
        </w:rPr>
        <w:t>2</w:t>
      </w:r>
      <w:r w:rsidRPr="00261B7A">
        <w:rPr>
          <w:rFonts w:cs="Calibri"/>
        </w:rPr>
        <w:t>O</w:t>
      </w:r>
      <w:r w:rsidRPr="00261B7A">
        <w:rPr>
          <w:rFonts w:cs="Calibri"/>
          <w:lang w:eastAsia="en-GB"/>
        </w:rPr>
        <w:t xml:space="preserve"> emission factors are IPCC 2006 default emission factors.</w:t>
      </w:r>
    </w:p>
    <w:p w14:paraId="7BEBBE2E" w14:textId="77777777" w:rsidR="009F5DA6" w:rsidRPr="00261B7A" w:rsidRDefault="009F5DA6" w:rsidP="0034058F">
      <w:pPr>
        <w:pStyle w:val="Heading3"/>
        <w:rPr>
          <w:lang w:eastAsia="en-GB"/>
        </w:rPr>
      </w:pPr>
      <w:r w:rsidRPr="00261B7A">
        <w:rPr>
          <w:lang w:eastAsia="en-GB"/>
        </w:rPr>
        <w:t xml:space="preserve">3.3.2 </w:t>
      </w:r>
      <w:r w:rsidRPr="00261B7A">
        <w:rPr>
          <w:lang w:eastAsia="en-GB"/>
        </w:rPr>
        <w:tab/>
        <w:t>Sector-wide improvements</w:t>
      </w:r>
    </w:p>
    <w:p w14:paraId="1DEBDBC8" w14:textId="77777777" w:rsidR="009F5DA6" w:rsidRPr="00261B7A" w:rsidRDefault="009F5DA6" w:rsidP="009F5DA6">
      <w:pPr>
        <w:pStyle w:val="BodyText"/>
        <w:spacing w:after="100"/>
        <w:rPr>
          <w:rFonts w:cs="Calibri"/>
          <w:lang w:eastAsia="en-GB"/>
        </w:rPr>
      </w:pPr>
      <w:r w:rsidRPr="00261B7A">
        <w:rPr>
          <w:rFonts w:cs="Calibri"/>
          <w:lang w:eastAsia="en-GB"/>
        </w:rPr>
        <w:t>After significant work to upgrade the oil and gas data system, data for naphtha, lubricants and petroleum coke have been disaggregated and are now reported separately in the reference approach.</w:t>
      </w:r>
    </w:p>
    <w:p w14:paraId="7C5B3EE0" w14:textId="7A2EF2FB" w:rsidR="009F5DA6" w:rsidRPr="00261B7A" w:rsidRDefault="009F5DA6" w:rsidP="009F5DA6">
      <w:pPr>
        <w:pStyle w:val="BodyText"/>
        <w:spacing w:after="100"/>
        <w:rPr>
          <w:rFonts w:cs="Calibri"/>
          <w:lang w:eastAsia="en-GB"/>
        </w:rPr>
      </w:pPr>
      <w:r w:rsidRPr="00261B7A">
        <w:rPr>
          <w:rFonts w:cs="Calibri"/>
          <w:lang w:eastAsia="en-GB"/>
        </w:rPr>
        <w:t xml:space="preserve">The system for tracking and calculating emissions within the Energy sector was previously migrated to the R programming language. </w:t>
      </w:r>
      <w:r w:rsidRPr="00261B7A">
        <w:rPr>
          <w:rFonts w:cs="Calibri"/>
        </w:rPr>
        <w:t>A further project to streamline and simplify the</w:t>
      </w:r>
      <w:r w:rsidR="00EE36AA" w:rsidRPr="00261B7A">
        <w:rPr>
          <w:rFonts w:cs="Calibri"/>
        </w:rPr>
        <w:t> </w:t>
      </w:r>
      <w:r w:rsidRPr="00261B7A">
        <w:rPr>
          <w:rFonts w:cs="Calibri"/>
        </w:rPr>
        <w:t>greenhouse gas reporting data system was completed in 2021. This project identified and</w:t>
      </w:r>
      <w:r w:rsidR="00EE36AA" w:rsidRPr="00261B7A">
        <w:rPr>
          <w:rFonts w:cs="Calibri"/>
        </w:rPr>
        <w:t> </w:t>
      </w:r>
      <w:r w:rsidRPr="00261B7A">
        <w:rPr>
          <w:rFonts w:cs="Calibri"/>
        </w:rPr>
        <w:t>addressed a number of minor inconsistencies and bugs. Several upstream data systems,</w:t>
      </w:r>
      <w:r w:rsidR="00EE36AA" w:rsidRPr="00261B7A">
        <w:rPr>
          <w:rFonts w:cs="Calibri"/>
        </w:rPr>
        <w:t> </w:t>
      </w:r>
      <w:r w:rsidRPr="00261B7A">
        <w:rPr>
          <w:rFonts w:cs="Calibri"/>
        </w:rPr>
        <w:t xml:space="preserve">including the energy balance tables, have also been translated into the R programming language. </w:t>
      </w:r>
    </w:p>
    <w:p w14:paraId="5388128E" w14:textId="77777777" w:rsidR="009F5DA6" w:rsidRPr="00261B7A" w:rsidRDefault="009F5DA6" w:rsidP="009F5DA6">
      <w:pPr>
        <w:pStyle w:val="BodyText"/>
        <w:rPr>
          <w:rFonts w:cs="Calibri"/>
          <w:lang w:eastAsia="en-GB"/>
        </w:rPr>
      </w:pPr>
      <w:r w:rsidRPr="00261B7A">
        <w:rPr>
          <w:rFonts w:cs="Calibri"/>
        </w:rPr>
        <w:t>All source-specific improvements are discussed in their corresponding sections.</w:t>
      </w:r>
    </w:p>
    <w:p w14:paraId="263CC31B" w14:textId="77777777" w:rsidR="009F5DA6" w:rsidRPr="00261B7A" w:rsidRDefault="009F5DA6" w:rsidP="0034058F">
      <w:pPr>
        <w:pStyle w:val="Heading3"/>
      </w:pPr>
      <w:r w:rsidRPr="00261B7A">
        <w:t>3.3.3</w:t>
      </w:r>
      <w:r w:rsidRPr="00261B7A">
        <w:tab/>
        <w:t>Sector-wide planned improvements</w:t>
      </w:r>
    </w:p>
    <w:p w14:paraId="04159D68" w14:textId="77777777" w:rsidR="009F5DA6" w:rsidRPr="00261B7A" w:rsidRDefault="009F5DA6" w:rsidP="009F5DA6">
      <w:pPr>
        <w:pStyle w:val="BodyText"/>
        <w:rPr>
          <w:rFonts w:cs="Calibri"/>
        </w:rPr>
      </w:pPr>
      <w:r w:rsidRPr="00261B7A">
        <w:rPr>
          <w:rFonts w:cs="Calibri"/>
        </w:rPr>
        <w:t>Work is progressing well on the construction of a new comprehensive fuel properties data management system. It is expected to be commissioned before New Zealand’s next submission.</w:t>
      </w:r>
    </w:p>
    <w:p w14:paraId="4C4453E8" w14:textId="77777777" w:rsidR="009F5DA6" w:rsidRPr="00261B7A" w:rsidRDefault="009F5DA6" w:rsidP="009F5DA6">
      <w:pPr>
        <w:pStyle w:val="BodyText"/>
        <w:rPr>
          <w:rFonts w:cs="Calibri"/>
        </w:rPr>
      </w:pPr>
      <w:r w:rsidRPr="00261B7A">
        <w:rPr>
          <w:rFonts w:cs="Calibri"/>
        </w:rPr>
        <w:t xml:space="preserve">All source-specific planned improvements are discussed in their corresponding sections. </w:t>
      </w:r>
    </w:p>
    <w:p w14:paraId="7453BCCD" w14:textId="77777777" w:rsidR="009F5DA6" w:rsidRPr="00261B7A" w:rsidRDefault="009F5DA6" w:rsidP="00A5139A">
      <w:pPr>
        <w:pStyle w:val="Heading3"/>
        <w:spacing w:line="360" w:lineRule="atLeast"/>
      </w:pPr>
      <w:r w:rsidRPr="00261B7A">
        <w:t>3.3.4</w:t>
      </w:r>
      <w:r w:rsidRPr="00261B7A">
        <w:tab/>
        <w:t>Sector-wide quality assurance and quality control (QA/QC)</w:t>
      </w:r>
    </w:p>
    <w:p w14:paraId="4B7EF64A" w14:textId="77777777" w:rsidR="009F5DA6" w:rsidRPr="00261B7A" w:rsidRDefault="009F5DA6" w:rsidP="009F5DA6">
      <w:pPr>
        <w:pStyle w:val="BodyText"/>
        <w:rPr>
          <w:rFonts w:cs="Calibri"/>
        </w:rPr>
      </w:pPr>
      <w:r w:rsidRPr="00261B7A">
        <w:rPr>
          <w:rFonts w:cs="Calibri"/>
          <w:lang w:eastAsia="en-GB"/>
        </w:rPr>
        <w:t xml:space="preserve">In the preparation of this inventory, the </w:t>
      </w:r>
      <w:r w:rsidRPr="00261B7A">
        <w:rPr>
          <w:rFonts w:cs="Calibri"/>
          <w:i/>
          <w:lang w:eastAsia="en-GB"/>
        </w:rPr>
        <w:t>Fugitive</w:t>
      </w:r>
      <w:r w:rsidRPr="00261B7A">
        <w:rPr>
          <w:rFonts w:cs="Calibri"/>
          <w:lang w:eastAsia="en-GB"/>
        </w:rPr>
        <w:t xml:space="preserve"> category underwent Tier 1 quality-assurance and quality-control checks, as recommended in the 2006 IPCC Guidelines. These include regular control sums throughout systems to verify system integrity, time-series consistency checks on activity data and consistency checks on implied emission factors at the industry–plant level, where possible. </w:t>
      </w:r>
      <w:r w:rsidRPr="00261B7A">
        <w:rPr>
          <w:rFonts w:cs="Calibri"/>
        </w:rPr>
        <w:t>Figure 3.3.2</w:t>
      </w:r>
      <w:r w:rsidRPr="00261B7A">
        <w:rPr>
          <w:rFonts w:cs="Calibri"/>
          <w:lang w:eastAsia="en-GB"/>
        </w:rPr>
        <w:t xml:space="preserve"> describes the quality control process map for the Energy sector.</w:t>
      </w:r>
    </w:p>
    <w:p w14:paraId="60BB4B6C" w14:textId="2C167940" w:rsidR="009F5DA6" w:rsidRPr="00261B7A" w:rsidRDefault="009F5DA6" w:rsidP="009F5DA6">
      <w:pPr>
        <w:pStyle w:val="Figure"/>
        <w:rPr>
          <w:rFonts w:cs="Calibri"/>
        </w:rPr>
      </w:pPr>
      <w:bookmarkStart w:id="262" w:name="_Ref442370883"/>
      <w:bookmarkStart w:id="263" w:name="_Toc384582852"/>
      <w:bookmarkStart w:id="264" w:name="_Ref442370874"/>
      <w:bookmarkStart w:id="265" w:name="_Toc443060812"/>
      <w:bookmarkStart w:id="266" w:name="_Toc447275669"/>
      <w:bookmarkStart w:id="267" w:name="_Toc481751987"/>
      <w:bookmarkStart w:id="268" w:name="_Toc36292771"/>
      <w:bookmarkStart w:id="269" w:name="_Toc68786636"/>
      <w:bookmarkStart w:id="270" w:name="_Toc95834071"/>
      <w:bookmarkStart w:id="271" w:name="_Toc131591538"/>
      <w:r w:rsidRPr="00261B7A">
        <w:rPr>
          <w:rFonts w:cs="Calibri"/>
        </w:rPr>
        <w:t>Figure 3.3.</w:t>
      </w:r>
      <w:r w:rsidRPr="00261B7A">
        <w:rPr>
          <w:rFonts w:cs="Calibri"/>
        </w:rPr>
        <w:fldChar w:fldCharType="begin"/>
      </w:r>
      <w:r w:rsidRPr="00261B7A">
        <w:rPr>
          <w:rFonts w:cs="Calibri"/>
        </w:rPr>
        <w:instrText xml:space="preserve"> SEQ Figure \* ARABIC \s 2 </w:instrText>
      </w:r>
      <w:r w:rsidRPr="00261B7A">
        <w:rPr>
          <w:rFonts w:cs="Calibri"/>
        </w:rPr>
        <w:fldChar w:fldCharType="separate"/>
      </w:r>
      <w:r w:rsidR="008F39B8">
        <w:rPr>
          <w:rFonts w:cs="Calibri"/>
          <w:noProof/>
        </w:rPr>
        <w:t>2</w:t>
      </w:r>
      <w:r w:rsidRPr="00261B7A">
        <w:rPr>
          <w:rFonts w:cs="Calibri"/>
        </w:rPr>
        <w:fldChar w:fldCharType="end"/>
      </w:r>
      <w:bookmarkEnd w:id="262"/>
      <w:r w:rsidRPr="00261B7A">
        <w:rPr>
          <w:rFonts w:cs="Calibri"/>
        </w:rPr>
        <w:t xml:space="preserve"> </w:t>
      </w:r>
      <w:r w:rsidRPr="00261B7A">
        <w:rPr>
          <w:rFonts w:cs="Calibri"/>
        </w:rPr>
        <w:tab/>
        <w:t>Energy sector quality control process map</w:t>
      </w:r>
      <w:bookmarkEnd w:id="263"/>
      <w:bookmarkEnd w:id="264"/>
      <w:bookmarkEnd w:id="265"/>
      <w:bookmarkEnd w:id="266"/>
      <w:bookmarkEnd w:id="267"/>
      <w:bookmarkEnd w:id="268"/>
      <w:bookmarkEnd w:id="269"/>
      <w:bookmarkEnd w:id="270"/>
      <w:bookmarkEnd w:id="271"/>
    </w:p>
    <w:p w14:paraId="0C496693" w14:textId="7199418D" w:rsidR="009F5DA6" w:rsidRPr="00261B7A" w:rsidRDefault="002A43C4" w:rsidP="009F5DA6">
      <w:pPr>
        <w:pStyle w:val="BodyText"/>
      </w:pPr>
      <w:r w:rsidRPr="00261B7A">
        <w:object w:dxaOrig="11532" w:dyaOrig="14473" w14:anchorId="5A372664">
          <v:shape id="_x0000_i1026" type="#_x0000_t75" style="width:396pt;height:482.5pt" o:ole="">
            <v:imagedata r:id="rId66" o:title="" croptop="3449f" cropbottom="509f"/>
          </v:shape>
          <o:OLEObject Type="Embed" ProgID="Visio.Drawing.11" ShapeID="_x0000_i1026" DrawAspect="Content" ObjectID="_1742911565" r:id="rId67"/>
        </w:object>
      </w:r>
    </w:p>
    <w:p w14:paraId="76F0BDEF" w14:textId="77777777" w:rsidR="009F5DA6" w:rsidRPr="00261B7A" w:rsidRDefault="009F5DA6" w:rsidP="009F5DA6">
      <w:pPr>
        <w:pStyle w:val="BodyText"/>
        <w:spacing w:before="240" w:after="100"/>
        <w:rPr>
          <w:rFonts w:cs="Calibri"/>
        </w:rPr>
      </w:pPr>
      <w:r w:rsidRPr="00261B7A">
        <w:rPr>
          <w:rFonts w:cs="Calibri"/>
          <w:lang w:eastAsia="en-GB"/>
        </w:rPr>
        <w:t xml:space="preserve">As discussed in section 3.1, the reference approach provides a good, high-level quality check for activity data. A significant deviation (greater than 5 per cent) indicates a likely issue. </w:t>
      </w:r>
    </w:p>
    <w:p w14:paraId="0CB3844C" w14:textId="77777777" w:rsidR="009F5DA6" w:rsidRPr="00261B7A" w:rsidRDefault="009F5DA6" w:rsidP="009F5DA6">
      <w:pPr>
        <w:pStyle w:val="BodyText"/>
        <w:spacing w:after="100"/>
        <w:rPr>
          <w:rFonts w:cs="Calibri"/>
          <w:lang w:eastAsia="en-GB"/>
        </w:rPr>
      </w:pPr>
      <w:r w:rsidRPr="00261B7A">
        <w:rPr>
          <w:rFonts w:cs="Calibri"/>
          <w:lang w:eastAsia="en-GB"/>
        </w:rPr>
        <w:t>Implied CO</w:t>
      </w:r>
      <w:r w:rsidRPr="00261B7A">
        <w:rPr>
          <w:rFonts w:cs="Calibri"/>
          <w:vertAlign w:val="subscript"/>
          <w:lang w:eastAsia="en-GB"/>
        </w:rPr>
        <w:t>2</w:t>
      </w:r>
      <w:r w:rsidRPr="00261B7A">
        <w:rPr>
          <w:rFonts w:cs="Calibri"/>
          <w:lang w:eastAsia="en-GB"/>
        </w:rPr>
        <w:t xml:space="preserve"> emission factors for combustion of liquid, solid and gaseous fuels from this inventory were compared with those in the IPCC Emission Factor Database and converted to gross values for comparability with the New Zealand energy system. </w:t>
      </w:r>
    </w:p>
    <w:p w14:paraId="5DE6FE7F" w14:textId="77777777" w:rsidR="009F5DA6" w:rsidRPr="00261B7A" w:rsidRDefault="009F5DA6" w:rsidP="009F5DA6">
      <w:pPr>
        <w:pStyle w:val="BodyText"/>
        <w:spacing w:after="100"/>
        <w:rPr>
          <w:rFonts w:cs="Calibri"/>
          <w:lang w:eastAsia="en-GB"/>
        </w:rPr>
      </w:pPr>
      <w:r w:rsidRPr="00261B7A">
        <w:t>Figures 3.3.3, 3.3.4</w:t>
      </w:r>
      <w:r w:rsidRPr="00261B7A">
        <w:rPr>
          <w:lang w:eastAsia="en-GB"/>
        </w:rPr>
        <w:t xml:space="preserve"> </w:t>
      </w:r>
      <w:r w:rsidRPr="00261B7A">
        <w:t>and 3.3.5</w:t>
      </w:r>
      <w:r w:rsidRPr="00261B7A">
        <w:rPr>
          <w:lang w:eastAsia="en-GB"/>
        </w:rPr>
        <w:t xml:space="preserve"> show the upper, lower and middle IPCC 2006 default emission factor ranges, and compare the implied emission factors according to observed </w:t>
      </w:r>
      <w:r w:rsidRPr="00261B7A">
        <w:t>fuel</w:t>
      </w:r>
      <w:r w:rsidRPr="00261B7A">
        <w:rPr>
          <w:lang w:eastAsia="en-GB"/>
        </w:rPr>
        <w:t xml:space="preserve"> consumption in New Zealand for the given year. </w:t>
      </w:r>
      <w:r w:rsidRPr="00261B7A">
        <w:rPr>
          <w:rFonts w:cs="Calibri"/>
          <w:lang w:eastAsia="en-GB"/>
        </w:rPr>
        <w:t>Each fuel type falls within the IPCC default range, except for gaseous fuels. This is because, as discussed in section 3.3.1, CO</w:t>
      </w:r>
      <w:r w:rsidRPr="00261B7A">
        <w:rPr>
          <w:rFonts w:cs="Calibri"/>
          <w:vertAlign w:val="subscript"/>
          <w:lang w:eastAsia="en-GB"/>
        </w:rPr>
        <w:t>2</w:t>
      </w:r>
      <w:r w:rsidRPr="00261B7A">
        <w:rPr>
          <w:rFonts w:cs="Calibri"/>
        </w:rPr>
        <w:t xml:space="preserve"> emission factors for New Zealand natural gas fields are established through gas composition analysis and are known to be high by international standards.</w:t>
      </w:r>
    </w:p>
    <w:p w14:paraId="01BE3265" w14:textId="2B9441FD" w:rsidR="009F5DA6" w:rsidRPr="00261B7A" w:rsidRDefault="009F5DA6" w:rsidP="009F5DA6">
      <w:pPr>
        <w:pStyle w:val="Figure"/>
        <w:spacing w:after="80"/>
        <w:rPr>
          <w:rFonts w:cs="Calibri"/>
        </w:rPr>
      </w:pPr>
      <w:bookmarkStart w:id="272" w:name="_Ref442369949"/>
      <w:bookmarkStart w:id="273" w:name="_Toc321399325"/>
      <w:bookmarkStart w:id="274" w:name="_Toc384582853"/>
      <w:bookmarkStart w:id="275" w:name="_Toc443060813"/>
      <w:bookmarkStart w:id="276" w:name="_Toc447275670"/>
      <w:bookmarkStart w:id="277" w:name="_Toc481751988"/>
      <w:bookmarkStart w:id="278" w:name="_Toc36292772"/>
      <w:bookmarkStart w:id="279" w:name="_Toc68786637"/>
      <w:bookmarkStart w:id="280" w:name="_Toc95834072"/>
      <w:bookmarkStart w:id="281" w:name="_Toc131591539"/>
      <w:r w:rsidRPr="00261B7A">
        <w:rPr>
          <w:rFonts w:cs="Calibri"/>
        </w:rPr>
        <w:t>Figure 3.3.</w:t>
      </w:r>
      <w:r w:rsidRPr="00261B7A">
        <w:rPr>
          <w:rFonts w:cs="Calibri"/>
        </w:rPr>
        <w:fldChar w:fldCharType="begin"/>
      </w:r>
      <w:r w:rsidRPr="00261B7A">
        <w:rPr>
          <w:rFonts w:cs="Calibri"/>
        </w:rPr>
        <w:instrText xml:space="preserve"> SEQ Figure \* ARABIC \s 2 </w:instrText>
      </w:r>
      <w:r w:rsidRPr="00261B7A">
        <w:rPr>
          <w:rFonts w:cs="Calibri"/>
        </w:rPr>
        <w:fldChar w:fldCharType="separate"/>
      </w:r>
      <w:r w:rsidR="008F39B8">
        <w:rPr>
          <w:rFonts w:cs="Calibri"/>
          <w:noProof/>
        </w:rPr>
        <w:t>3</w:t>
      </w:r>
      <w:r w:rsidRPr="00261B7A">
        <w:rPr>
          <w:rFonts w:cs="Calibri"/>
        </w:rPr>
        <w:fldChar w:fldCharType="end"/>
      </w:r>
      <w:bookmarkEnd w:id="272"/>
      <w:r w:rsidRPr="00261B7A">
        <w:rPr>
          <w:rFonts w:cs="Calibri"/>
        </w:rPr>
        <w:t xml:space="preserve"> </w:t>
      </w:r>
      <w:r w:rsidRPr="00261B7A">
        <w:rPr>
          <w:rFonts w:cs="Calibri"/>
        </w:rPr>
        <w:tab/>
        <w:t>Carbon dioxide implied emission factor (IEF) – liquid fuel combustion</w:t>
      </w:r>
      <w:bookmarkEnd w:id="273"/>
      <w:bookmarkEnd w:id="274"/>
      <w:bookmarkEnd w:id="275"/>
      <w:bookmarkEnd w:id="276"/>
      <w:bookmarkEnd w:id="277"/>
      <w:r w:rsidRPr="00261B7A">
        <w:rPr>
          <w:rFonts w:cs="Calibri"/>
        </w:rPr>
        <w:t xml:space="preserve"> from 1990</w:t>
      </w:r>
      <w:r w:rsidR="00B60E89" w:rsidRPr="00261B7A">
        <w:rPr>
          <w:rFonts w:cs="Calibri"/>
        </w:rPr>
        <w:t> </w:t>
      </w:r>
      <w:r w:rsidRPr="00261B7A">
        <w:rPr>
          <w:rFonts w:cs="Calibri"/>
        </w:rPr>
        <w:t>to</w:t>
      </w:r>
      <w:bookmarkEnd w:id="278"/>
      <w:bookmarkEnd w:id="279"/>
      <w:bookmarkEnd w:id="280"/>
      <w:r w:rsidR="00B60E89" w:rsidRPr="00261B7A">
        <w:rPr>
          <w:rFonts w:cs="Calibri"/>
        </w:rPr>
        <w:t> </w:t>
      </w:r>
      <w:r w:rsidRPr="00261B7A">
        <w:rPr>
          <w:rFonts w:cs="Calibri"/>
        </w:rPr>
        <w:t>2021</w:t>
      </w:r>
      <w:bookmarkEnd w:id="281"/>
    </w:p>
    <w:p w14:paraId="78A00183" w14:textId="77777777" w:rsidR="009F5DA6" w:rsidRPr="00261B7A" w:rsidRDefault="009F5DA6" w:rsidP="009F5DA6">
      <w:pPr>
        <w:pStyle w:val="BodyText"/>
        <w:rPr>
          <w:rFonts w:cs="Calibri"/>
        </w:rPr>
      </w:pPr>
      <w:r w:rsidRPr="00261B7A">
        <w:rPr>
          <w:noProof/>
        </w:rPr>
        <w:drawing>
          <wp:inline distT="0" distB="0" distL="0" distR="0" wp14:anchorId="142F3A5D" wp14:editId="72DECAB0">
            <wp:extent cx="5243639" cy="2338598"/>
            <wp:effectExtent l="0" t="0" r="0" b="5080"/>
            <wp:docPr id="305166248" name="Picture 305166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166248"/>
                    <pic:cNvPicPr/>
                  </pic:nvPicPr>
                  <pic:blipFill rotWithShape="1">
                    <a:blip r:embed="rId68" cstate="print">
                      <a:extLst>
                        <a:ext uri="{28A0092B-C50C-407E-A947-70E740481C1C}">
                          <a14:useLocalDpi xmlns:a14="http://schemas.microsoft.com/office/drawing/2010/main" val="0"/>
                        </a:ext>
                      </a:extLst>
                    </a:blip>
                    <a:srcRect t="1894" b="4678"/>
                    <a:stretch/>
                  </pic:blipFill>
                  <pic:spPr bwMode="auto">
                    <a:xfrm>
                      <a:off x="0" y="0"/>
                      <a:ext cx="5254000" cy="2343219"/>
                    </a:xfrm>
                    <a:prstGeom prst="rect">
                      <a:avLst/>
                    </a:prstGeom>
                    <a:ln>
                      <a:noFill/>
                    </a:ln>
                    <a:extLst>
                      <a:ext uri="{53640926-AAD7-44D8-BBD7-CCE9431645EC}">
                        <a14:shadowObscured xmlns:a14="http://schemas.microsoft.com/office/drawing/2010/main"/>
                      </a:ext>
                    </a:extLst>
                  </pic:spPr>
                </pic:pic>
              </a:graphicData>
            </a:graphic>
          </wp:inline>
        </w:drawing>
      </w:r>
    </w:p>
    <w:p w14:paraId="2D6700F8" w14:textId="2A3B8231" w:rsidR="009F5DA6" w:rsidRPr="00261B7A" w:rsidRDefault="009F5DA6" w:rsidP="009F5DA6">
      <w:pPr>
        <w:pStyle w:val="Figure"/>
        <w:spacing w:after="80"/>
        <w:rPr>
          <w:rFonts w:cs="Calibri"/>
        </w:rPr>
      </w:pPr>
      <w:bookmarkStart w:id="282" w:name="_Ref442369961"/>
      <w:bookmarkStart w:id="283" w:name="_Toc321399326"/>
      <w:bookmarkStart w:id="284" w:name="_Toc384582854"/>
      <w:bookmarkStart w:id="285" w:name="_Toc443060814"/>
      <w:bookmarkStart w:id="286" w:name="_Toc447275671"/>
      <w:bookmarkStart w:id="287" w:name="_Toc481751989"/>
      <w:bookmarkStart w:id="288" w:name="_Toc36292773"/>
      <w:bookmarkStart w:id="289" w:name="_Toc68786638"/>
      <w:bookmarkStart w:id="290" w:name="_Toc95834073"/>
      <w:bookmarkStart w:id="291" w:name="_Toc131591540"/>
      <w:r w:rsidRPr="00261B7A">
        <w:rPr>
          <w:rFonts w:cs="Calibri"/>
        </w:rPr>
        <w:t>Figure 3.3.</w:t>
      </w:r>
      <w:r w:rsidRPr="00261B7A">
        <w:rPr>
          <w:rFonts w:cs="Calibri"/>
        </w:rPr>
        <w:fldChar w:fldCharType="begin"/>
      </w:r>
      <w:r w:rsidRPr="00261B7A">
        <w:rPr>
          <w:rFonts w:cs="Calibri"/>
        </w:rPr>
        <w:instrText xml:space="preserve"> SEQ Figure \* ARABIC \s 2 </w:instrText>
      </w:r>
      <w:r w:rsidRPr="00261B7A">
        <w:rPr>
          <w:rFonts w:cs="Calibri"/>
        </w:rPr>
        <w:fldChar w:fldCharType="separate"/>
      </w:r>
      <w:r w:rsidR="008F39B8">
        <w:rPr>
          <w:rFonts w:cs="Calibri"/>
          <w:noProof/>
        </w:rPr>
        <w:t>4</w:t>
      </w:r>
      <w:r w:rsidRPr="00261B7A">
        <w:rPr>
          <w:rFonts w:cs="Calibri"/>
        </w:rPr>
        <w:fldChar w:fldCharType="end"/>
      </w:r>
      <w:bookmarkEnd w:id="282"/>
      <w:r w:rsidRPr="00261B7A">
        <w:rPr>
          <w:rFonts w:cs="Calibri"/>
        </w:rPr>
        <w:t xml:space="preserve"> </w:t>
      </w:r>
      <w:r w:rsidRPr="00261B7A">
        <w:rPr>
          <w:rFonts w:cs="Calibri"/>
        </w:rPr>
        <w:tab/>
        <w:t>Carbon dioxide implied emission factor (IEF) – solid fuel combustion</w:t>
      </w:r>
      <w:bookmarkEnd w:id="283"/>
      <w:bookmarkEnd w:id="284"/>
      <w:bookmarkEnd w:id="285"/>
      <w:bookmarkEnd w:id="286"/>
      <w:bookmarkEnd w:id="287"/>
      <w:r w:rsidRPr="00261B7A">
        <w:rPr>
          <w:rFonts w:cs="Calibri"/>
        </w:rPr>
        <w:t xml:space="preserve"> from 1990</w:t>
      </w:r>
      <w:r w:rsidR="00B60E89" w:rsidRPr="00261B7A">
        <w:rPr>
          <w:rFonts w:cs="Calibri"/>
        </w:rPr>
        <w:t> </w:t>
      </w:r>
      <w:r w:rsidRPr="00261B7A">
        <w:rPr>
          <w:rFonts w:cs="Calibri"/>
        </w:rPr>
        <w:t>to</w:t>
      </w:r>
      <w:bookmarkEnd w:id="288"/>
      <w:bookmarkEnd w:id="289"/>
      <w:bookmarkEnd w:id="290"/>
      <w:r w:rsidR="00B60E89" w:rsidRPr="00261B7A">
        <w:rPr>
          <w:rFonts w:cs="Calibri"/>
        </w:rPr>
        <w:t> </w:t>
      </w:r>
      <w:r w:rsidRPr="00261B7A">
        <w:rPr>
          <w:rFonts w:cs="Calibri"/>
        </w:rPr>
        <w:t>2021</w:t>
      </w:r>
      <w:bookmarkEnd w:id="291"/>
    </w:p>
    <w:p w14:paraId="639CF6BE" w14:textId="77777777" w:rsidR="009F5DA6" w:rsidRPr="00261B7A" w:rsidRDefault="009F5DA6" w:rsidP="009F5DA6">
      <w:pPr>
        <w:pStyle w:val="BodyText"/>
        <w:spacing w:after="0"/>
        <w:rPr>
          <w:rFonts w:cs="Calibri"/>
          <w:lang w:eastAsia="en-GB"/>
        </w:rPr>
      </w:pPr>
      <w:r w:rsidRPr="00261B7A">
        <w:rPr>
          <w:noProof/>
        </w:rPr>
        <w:drawing>
          <wp:inline distT="0" distB="0" distL="0" distR="0" wp14:anchorId="6812B806" wp14:editId="312AA236">
            <wp:extent cx="5203178" cy="2338598"/>
            <wp:effectExtent l="0" t="0" r="0" b="5080"/>
            <wp:docPr id="1348477239" name="Picture 1348477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8477239"/>
                    <pic:cNvPicPr/>
                  </pic:nvPicPr>
                  <pic:blipFill rotWithShape="1">
                    <a:blip r:embed="rId69" cstate="print">
                      <a:extLst>
                        <a:ext uri="{28A0092B-C50C-407E-A947-70E740481C1C}">
                          <a14:useLocalDpi xmlns:a14="http://schemas.microsoft.com/office/drawing/2010/main" val="0"/>
                        </a:ext>
                      </a:extLst>
                    </a:blip>
                    <a:srcRect t="1623" b="4738"/>
                    <a:stretch/>
                  </pic:blipFill>
                  <pic:spPr bwMode="auto">
                    <a:xfrm>
                      <a:off x="0" y="0"/>
                      <a:ext cx="5221371" cy="2346775"/>
                    </a:xfrm>
                    <a:prstGeom prst="rect">
                      <a:avLst/>
                    </a:prstGeom>
                    <a:ln>
                      <a:noFill/>
                    </a:ln>
                    <a:extLst>
                      <a:ext uri="{53640926-AAD7-44D8-BBD7-CCE9431645EC}">
                        <a14:shadowObscured xmlns:a14="http://schemas.microsoft.com/office/drawing/2010/main"/>
                      </a:ext>
                    </a:extLst>
                  </pic:spPr>
                </pic:pic>
              </a:graphicData>
            </a:graphic>
          </wp:inline>
        </w:drawing>
      </w:r>
    </w:p>
    <w:p w14:paraId="17B2D043" w14:textId="5A2ADC73" w:rsidR="009F5DA6" w:rsidRPr="00261B7A" w:rsidRDefault="009F5DA6" w:rsidP="009F5DA6">
      <w:pPr>
        <w:pStyle w:val="Figure"/>
        <w:spacing w:after="80"/>
        <w:rPr>
          <w:rFonts w:cs="Calibri"/>
          <w:lang w:eastAsia="en-GB"/>
        </w:rPr>
      </w:pPr>
      <w:bookmarkStart w:id="292" w:name="_Ref442369964"/>
      <w:bookmarkStart w:id="293" w:name="_Toc321399327"/>
      <w:bookmarkStart w:id="294" w:name="_Toc384582855"/>
      <w:bookmarkStart w:id="295" w:name="_Toc443060815"/>
      <w:bookmarkStart w:id="296" w:name="_Toc447275672"/>
      <w:bookmarkStart w:id="297" w:name="_Toc481751990"/>
      <w:bookmarkStart w:id="298" w:name="_Toc36292774"/>
      <w:bookmarkStart w:id="299" w:name="_Toc68786639"/>
      <w:bookmarkStart w:id="300" w:name="_Toc95834074"/>
      <w:bookmarkStart w:id="301" w:name="_Toc131591541"/>
      <w:r w:rsidRPr="00261B7A">
        <w:rPr>
          <w:rFonts w:cs="Calibri"/>
        </w:rPr>
        <w:t>Figure 3.3.</w:t>
      </w:r>
      <w:r w:rsidRPr="00261B7A">
        <w:rPr>
          <w:rFonts w:cs="Calibri"/>
        </w:rPr>
        <w:fldChar w:fldCharType="begin"/>
      </w:r>
      <w:r w:rsidRPr="00261B7A">
        <w:rPr>
          <w:rFonts w:cs="Calibri"/>
        </w:rPr>
        <w:instrText xml:space="preserve"> SEQ Figure \* ARABIC \s 2 </w:instrText>
      </w:r>
      <w:r w:rsidRPr="00261B7A">
        <w:rPr>
          <w:rFonts w:cs="Calibri"/>
        </w:rPr>
        <w:fldChar w:fldCharType="separate"/>
      </w:r>
      <w:r w:rsidR="008F39B8">
        <w:rPr>
          <w:rFonts w:cs="Calibri"/>
          <w:noProof/>
        </w:rPr>
        <w:t>5</w:t>
      </w:r>
      <w:r w:rsidRPr="00261B7A">
        <w:rPr>
          <w:rFonts w:cs="Calibri"/>
        </w:rPr>
        <w:fldChar w:fldCharType="end"/>
      </w:r>
      <w:bookmarkEnd w:id="292"/>
      <w:r w:rsidRPr="00261B7A">
        <w:rPr>
          <w:rFonts w:cs="Calibri"/>
          <w:lang w:eastAsia="en-GB"/>
        </w:rPr>
        <w:tab/>
        <w:t xml:space="preserve">Carbon dioxide implied emission factor </w:t>
      </w:r>
      <w:r w:rsidRPr="00261B7A">
        <w:rPr>
          <w:rFonts w:cs="Calibri"/>
        </w:rPr>
        <w:t>(IEF)</w:t>
      </w:r>
      <w:r w:rsidRPr="00261B7A">
        <w:rPr>
          <w:rFonts w:cs="Calibri"/>
          <w:lang w:eastAsia="en-GB"/>
        </w:rPr>
        <w:t xml:space="preserve"> – gaseous fuel combustion</w:t>
      </w:r>
      <w:bookmarkEnd w:id="293"/>
      <w:bookmarkEnd w:id="294"/>
      <w:bookmarkEnd w:id="295"/>
      <w:bookmarkEnd w:id="296"/>
      <w:bookmarkEnd w:id="297"/>
      <w:r w:rsidRPr="00261B7A">
        <w:rPr>
          <w:rFonts w:cs="Calibri"/>
          <w:lang w:eastAsia="en-GB"/>
        </w:rPr>
        <w:t xml:space="preserve"> </w:t>
      </w:r>
      <w:r w:rsidRPr="00261B7A">
        <w:rPr>
          <w:rFonts w:cs="Calibri"/>
        </w:rPr>
        <w:t>from 1990</w:t>
      </w:r>
      <w:r w:rsidR="00B60E89" w:rsidRPr="00261B7A">
        <w:rPr>
          <w:rFonts w:cs="Calibri"/>
        </w:rPr>
        <w:t> </w:t>
      </w:r>
      <w:r w:rsidRPr="00261B7A">
        <w:rPr>
          <w:rFonts w:cs="Calibri"/>
        </w:rPr>
        <w:t>to</w:t>
      </w:r>
      <w:bookmarkEnd w:id="298"/>
      <w:bookmarkEnd w:id="299"/>
      <w:bookmarkEnd w:id="300"/>
      <w:r w:rsidR="00B60E89" w:rsidRPr="00261B7A">
        <w:rPr>
          <w:rFonts w:cs="Calibri"/>
        </w:rPr>
        <w:t> </w:t>
      </w:r>
      <w:r w:rsidRPr="00261B7A">
        <w:rPr>
          <w:rFonts w:cs="Calibri"/>
        </w:rPr>
        <w:t>2021</w:t>
      </w:r>
      <w:bookmarkEnd w:id="301"/>
    </w:p>
    <w:p w14:paraId="41EC49C5" w14:textId="77777777" w:rsidR="009F5DA6" w:rsidRPr="00261B7A" w:rsidRDefault="009F5DA6" w:rsidP="009F5DA6">
      <w:pPr>
        <w:pStyle w:val="BodyText"/>
        <w:spacing w:before="60" w:after="0"/>
        <w:rPr>
          <w:rFonts w:cs="Calibri"/>
          <w:lang w:eastAsia="en-GB"/>
        </w:rPr>
      </w:pPr>
      <w:r w:rsidRPr="00261B7A">
        <w:rPr>
          <w:noProof/>
        </w:rPr>
        <w:drawing>
          <wp:inline distT="0" distB="0" distL="0" distR="0" wp14:anchorId="4B9DB7E6" wp14:editId="7CA4DAED">
            <wp:extent cx="5111552" cy="2180929"/>
            <wp:effectExtent l="0" t="0" r="0" b="0"/>
            <wp:docPr id="1842928179" name="Picture 1842928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2928179"/>
                    <pic:cNvPicPr/>
                  </pic:nvPicPr>
                  <pic:blipFill rotWithShape="1">
                    <a:blip r:embed="rId70" cstate="print">
                      <a:extLst>
                        <a:ext uri="{28A0092B-C50C-407E-A947-70E740481C1C}">
                          <a14:useLocalDpi xmlns:a14="http://schemas.microsoft.com/office/drawing/2010/main" val="0"/>
                        </a:ext>
                      </a:extLst>
                    </a:blip>
                    <a:srcRect t="3386" b="4867"/>
                    <a:stretch/>
                  </pic:blipFill>
                  <pic:spPr bwMode="auto">
                    <a:xfrm>
                      <a:off x="0" y="0"/>
                      <a:ext cx="5129869" cy="2188744"/>
                    </a:xfrm>
                    <a:prstGeom prst="rect">
                      <a:avLst/>
                    </a:prstGeom>
                    <a:ln>
                      <a:noFill/>
                    </a:ln>
                    <a:extLst>
                      <a:ext uri="{53640926-AAD7-44D8-BBD7-CCE9431645EC}">
                        <a14:shadowObscured xmlns:a14="http://schemas.microsoft.com/office/drawing/2010/main"/>
                      </a:ext>
                    </a:extLst>
                  </pic:spPr>
                </pic:pic>
              </a:graphicData>
            </a:graphic>
          </wp:inline>
        </w:drawing>
      </w:r>
    </w:p>
    <w:p w14:paraId="20D6E395" w14:textId="77777777" w:rsidR="009F5DA6" w:rsidRPr="00261B7A" w:rsidRDefault="009F5DA6" w:rsidP="009F5DA6">
      <w:pPr>
        <w:pStyle w:val="Noteundertable"/>
        <w:rPr>
          <w:rFonts w:cs="Calibri"/>
        </w:rPr>
      </w:pPr>
      <w:r w:rsidRPr="00261B7A">
        <w:rPr>
          <w:rFonts w:cs="Calibri"/>
          <w:b/>
        </w:rPr>
        <w:t>Note:</w:t>
      </w:r>
      <w:r w:rsidRPr="00261B7A">
        <w:rPr>
          <w:rFonts w:cs="Calibri"/>
        </w:rPr>
        <w:t xml:space="preserve"> </w:t>
      </w:r>
      <w:r w:rsidRPr="00261B7A">
        <w:rPr>
          <w:rFonts w:cs="Calibri"/>
        </w:rPr>
        <w:tab/>
        <w:t>As discussed in section 3.3.1 under ‘Emission factors’, carbon dioxide emission factors for New Zealand natural gas fields are established through gas composition analysis and are known to be high by international standards.</w:t>
      </w:r>
    </w:p>
    <w:p w14:paraId="6EE59CE0" w14:textId="77777777" w:rsidR="009F5DA6" w:rsidRPr="00261B7A" w:rsidRDefault="009F5DA6" w:rsidP="0034058F">
      <w:pPr>
        <w:pStyle w:val="Heading3"/>
      </w:pPr>
      <w:r w:rsidRPr="00261B7A">
        <w:t>3.3.5</w:t>
      </w:r>
      <w:r w:rsidRPr="00261B7A">
        <w:tab/>
        <w:t>Uncertainties and time-series consistency</w:t>
      </w:r>
    </w:p>
    <w:p w14:paraId="79C01DBB" w14:textId="77777777" w:rsidR="009F5DA6" w:rsidRPr="00261B7A" w:rsidRDefault="009F5DA6" w:rsidP="009F5DA6">
      <w:pPr>
        <w:pStyle w:val="BodyText"/>
        <w:rPr>
          <w:rFonts w:cs="Calibri"/>
          <w:lang w:eastAsia="en-GB"/>
        </w:rPr>
      </w:pPr>
      <w:r w:rsidRPr="00261B7A">
        <w:rPr>
          <w:rFonts w:cs="Calibri"/>
          <w:lang w:eastAsia="en-GB"/>
        </w:rPr>
        <w:t>Uncertainty in greenhouse gas emissions from fuel combustion varies depending on the type of greenhouse gas. The uncertainty in CO</w:t>
      </w:r>
      <w:r w:rsidRPr="00261B7A">
        <w:rPr>
          <w:rFonts w:cs="Calibri"/>
          <w:vertAlign w:val="subscript"/>
          <w:lang w:eastAsia="en-GB"/>
        </w:rPr>
        <w:t>2</w:t>
      </w:r>
      <w:r w:rsidRPr="00261B7A">
        <w:rPr>
          <w:rFonts w:cs="Calibri"/>
          <w:sz w:val="14"/>
          <w:szCs w:val="14"/>
          <w:lang w:eastAsia="en-GB"/>
        </w:rPr>
        <w:t xml:space="preserve"> </w:t>
      </w:r>
      <w:r w:rsidRPr="00261B7A">
        <w:rPr>
          <w:rFonts w:cs="Calibri"/>
          <w:lang w:eastAsia="en-GB"/>
        </w:rPr>
        <w:t>emissions is relatively low. This is important because CO</w:t>
      </w:r>
      <w:r w:rsidRPr="00261B7A">
        <w:rPr>
          <w:rFonts w:cs="Calibri"/>
          <w:vertAlign w:val="subscript"/>
          <w:lang w:eastAsia="en-GB"/>
        </w:rPr>
        <w:t>2</w:t>
      </w:r>
      <w:r w:rsidRPr="00261B7A">
        <w:rPr>
          <w:rFonts w:cs="Calibri"/>
          <w:lang w:eastAsia="en-GB"/>
        </w:rPr>
        <w:t xml:space="preserve"> emissions comprise around 96 per cent to 97 per cent of </w:t>
      </w:r>
      <w:r w:rsidRPr="00261B7A">
        <w:rPr>
          <w:rFonts w:cs="Calibri"/>
        </w:rPr>
        <w:t>CO</w:t>
      </w:r>
      <w:r w:rsidRPr="00261B7A">
        <w:rPr>
          <w:rFonts w:cs="Calibri"/>
          <w:vertAlign w:val="subscript"/>
        </w:rPr>
        <w:t>2</w:t>
      </w:r>
      <w:r w:rsidRPr="00261B7A">
        <w:rPr>
          <w:rFonts w:cs="Calibri"/>
        </w:rPr>
        <w:t>-e</w:t>
      </w:r>
      <w:r w:rsidRPr="00261B7A">
        <w:rPr>
          <w:rFonts w:cs="Calibri"/>
          <w:lang w:eastAsia="en-GB"/>
        </w:rPr>
        <w:t xml:space="preserve"> emissions from fuel combustion in New Zealand. By comparison, emissions of the non-</w:t>
      </w:r>
      <w:r w:rsidRPr="00261B7A">
        <w:rPr>
          <w:rFonts w:cs="Calibri"/>
        </w:rPr>
        <w:t>CO</w:t>
      </w:r>
      <w:r w:rsidRPr="00261B7A">
        <w:rPr>
          <w:rFonts w:cs="Calibri"/>
          <w:vertAlign w:val="subscript"/>
        </w:rPr>
        <w:t>2</w:t>
      </w:r>
      <w:r w:rsidRPr="00261B7A">
        <w:rPr>
          <w:rFonts w:cs="Calibri"/>
          <w:sz w:val="14"/>
          <w:szCs w:val="14"/>
          <w:lang w:eastAsia="en-GB"/>
        </w:rPr>
        <w:t xml:space="preserve"> </w:t>
      </w:r>
      <w:r w:rsidRPr="00261B7A">
        <w:rPr>
          <w:rFonts w:cs="Calibri"/>
          <w:lang w:eastAsia="en-GB"/>
        </w:rPr>
        <w:t xml:space="preserve">gases are much less certain because emissions of these gases vary with combustion conditions. Uncertainties for </w:t>
      </w:r>
      <w:r w:rsidRPr="00261B7A">
        <w:rPr>
          <w:rFonts w:cs="Calibri"/>
        </w:rPr>
        <w:t>CO</w:t>
      </w:r>
      <w:r w:rsidRPr="00261B7A">
        <w:rPr>
          <w:rFonts w:cs="Calibri"/>
          <w:vertAlign w:val="subscript"/>
        </w:rPr>
        <w:t>2</w:t>
      </w:r>
      <w:r w:rsidRPr="00261B7A">
        <w:rPr>
          <w:rFonts w:cs="Calibri"/>
          <w:lang w:eastAsia="en-GB"/>
        </w:rPr>
        <w:t xml:space="preserve">, </w:t>
      </w:r>
      <w:r w:rsidRPr="00261B7A">
        <w:rPr>
          <w:rFonts w:cs="Calibri"/>
        </w:rPr>
        <w:t>CH</w:t>
      </w:r>
      <w:r w:rsidRPr="00261B7A">
        <w:rPr>
          <w:rFonts w:cs="Calibri"/>
          <w:vertAlign w:val="subscript"/>
        </w:rPr>
        <w:t>4</w:t>
      </w:r>
      <w:r w:rsidRPr="00261B7A">
        <w:rPr>
          <w:rFonts w:cs="Calibri"/>
          <w:lang w:eastAsia="en-GB"/>
        </w:rPr>
        <w:t xml:space="preserve"> and </w:t>
      </w:r>
      <w:r w:rsidRPr="00261B7A">
        <w:rPr>
          <w:rFonts w:cs="Calibri"/>
        </w:rPr>
        <w:t>N</w:t>
      </w:r>
      <w:r w:rsidRPr="00261B7A">
        <w:rPr>
          <w:rFonts w:cs="Calibri"/>
          <w:vertAlign w:val="subscript"/>
        </w:rPr>
        <w:t>2</w:t>
      </w:r>
      <w:r w:rsidRPr="00261B7A">
        <w:rPr>
          <w:rFonts w:cs="Calibri"/>
        </w:rPr>
        <w:t>O</w:t>
      </w:r>
      <w:r w:rsidRPr="00261B7A">
        <w:rPr>
          <w:rFonts w:cs="Calibri"/>
          <w:lang w:eastAsia="en-GB"/>
        </w:rPr>
        <w:t xml:space="preserve"> activity data and emission factors are supplied in table 3.3.1. Many of the non</w:t>
      </w:r>
      <w:r w:rsidRPr="00261B7A">
        <w:rPr>
          <w:rFonts w:cs="Calibri"/>
          <w:lang w:eastAsia="en-GB"/>
        </w:rPr>
        <w:noBreakHyphen/>
      </w:r>
      <w:r w:rsidRPr="00261B7A">
        <w:rPr>
          <w:rFonts w:cs="Calibri"/>
        </w:rPr>
        <w:t>CO</w:t>
      </w:r>
      <w:r w:rsidRPr="00261B7A">
        <w:rPr>
          <w:rFonts w:cs="Calibri"/>
          <w:vertAlign w:val="subscript"/>
        </w:rPr>
        <w:t>2</w:t>
      </w:r>
      <w:r w:rsidRPr="00261B7A">
        <w:rPr>
          <w:rFonts w:cs="Calibri"/>
          <w:sz w:val="14"/>
          <w:szCs w:val="14"/>
          <w:lang w:eastAsia="en-GB"/>
        </w:rPr>
        <w:t xml:space="preserve"> </w:t>
      </w:r>
      <w:r w:rsidRPr="00261B7A">
        <w:rPr>
          <w:rFonts w:cs="Calibri"/>
          <w:lang w:eastAsia="en-GB"/>
        </w:rPr>
        <w:t>emission factors used by New Zealand are the IPCC 2006 default values. Further detailed information around uncertainties for each fuel type can be found in annex 4, sections A4.1, A4.2 and A4.3.</w:t>
      </w:r>
    </w:p>
    <w:p w14:paraId="5A417F8D" w14:textId="77777777" w:rsidR="009F5DA6" w:rsidRPr="00261B7A" w:rsidRDefault="009F5DA6" w:rsidP="009F5DA6">
      <w:pPr>
        <w:pStyle w:val="Table"/>
        <w:rPr>
          <w:rFonts w:cs="Calibri"/>
        </w:rPr>
      </w:pPr>
      <w:bookmarkStart w:id="302" w:name="_Toc384582169"/>
      <w:bookmarkStart w:id="303" w:name="_Toc443060845"/>
      <w:bookmarkStart w:id="304" w:name="_Toc451176061"/>
      <w:bookmarkStart w:id="305" w:name="_Toc481751487"/>
      <w:bookmarkStart w:id="306" w:name="_Toc507496590"/>
      <w:bookmarkStart w:id="307" w:name="_Toc36224524"/>
      <w:bookmarkStart w:id="308" w:name="_Toc68786405"/>
      <w:bookmarkStart w:id="309" w:name="_Toc131591318"/>
      <w:r w:rsidRPr="00261B7A">
        <w:rPr>
          <w:rFonts w:cs="Calibri"/>
        </w:rPr>
        <w:t>Table 3.3.1</w:t>
      </w:r>
      <w:r w:rsidRPr="00261B7A">
        <w:rPr>
          <w:rFonts w:cs="Calibri"/>
        </w:rPr>
        <w:tab/>
        <w:t>Uncertainty for New Zealand’s Energy sector emissions estimates</w:t>
      </w:r>
      <w:bookmarkEnd w:id="302"/>
      <w:bookmarkEnd w:id="303"/>
      <w:bookmarkEnd w:id="304"/>
      <w:bookmarkEnd w:id="305"/>
      <w:bookmarkEnd w:id="306"/>
      <w:bookmarkEnd w:id="307"/>
      <w:r w:rsidRPr="00261B7A">
        <w:rPr>
          <w:rFonts w:cs="Calibri"/>
        </w:rPr>
        <w:t xml:space="preserve"> for </w:t>
      </w:r>
      <w:bookmarkEnd w:id="308"/>
      <w:r w:rsidRPr="00261B7A">
        <w:rPr>
          <w:rFonts w:cs="Calibri"/>
        </w:rPr>
        <w:t>2021</w:t>
      </w:r>
      <w:bookmarkEnd w:id="309"/>
    </w:p>
    <w:tbl>
      <w:tblPr>
        <w:tblW w:w="8505"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545"/>
        <w:gridCol w:w="3425"/>
        <w:gridCol w:w="2126"/>
        <w:gridCol w:w="2409"/>
      </w:tblGrid>
      <w:tr w:rsidR="009F5DA6" w:rsidRPr="00261B7A" w14:paraId="7182871B" w14:textId="77777777" w:rsidTr="00D51B62">
        <w:trPr>
          <w:tblHeader/>
        </w:trPr>
        <w:tc>
          <w:tcPr>
            <w:tcW w:w="320" w:type="pct"/>
            <w:shd w:val="clear" w:color="auto" w:fill="1B556B"/>
            <w:noWrap/>
            <w:vAlign w:val="bottom"/>
            <w:hideMark/>
          </w:tcPr>
          <w:p w14:paraId="1DC71E5D" w14:textId="77777777" w:rsidR="009F5DA6" w:rsidRPr="00261B7A" w:rsidRDefault="009F5DA6" w:rsidP="006F74D2">
            <w:pPr>
              <w:pStyle w:val="TableTextBold"/>
              <w:spacing w:before="50" w:after="50"/>
              <w:rPr>
                <w:rFonts w:cs="Calibri"/>
                <w:noProof w:val="0"/>
                <w:color w:val="FFFFFF"/>
              </w:rPr>
            </w:pPr>
          </w:p>
        </w:tc>
        <w:tc>
          <w:tcPr>
            <w:tcW w:w="2013" w:type="pct"/>
            <w:shd w:val="clear" w:color="auto" w:fill="1B556B"/>
            <w:noWrap/>
            <w:vAlign w:val="bottom"/>
            <w:hideMark/>
          </w:tcPr>
          <w:p w14:paraId="7AE49CF7" w14:textId="77777777" w:rsidR="009F5DA6" w:rsidRPr="00261B7A" w:rsidRDefault="009F5DA6" w:rsidP="006F74D2">
            <w:pPr>
              <w:pStyle w:val="TableTextBold"/>
              <w:spacing w:before="50" w:after="50"/>
              <w:rPr>
                <w:rFonts w:cs="Calibri"/>
                <w:noProof w:val="0"/>
                <w:color w:val="FFFFFF"/>
              </w:rPr>
            </w:pPr>
            <w:r w:rsidRPr="00261B7A">
              <w:rPr>
                <w:rFonts w:cs="Calibri"/>
                <w:noProof w:val="0"/>
                <w:color w:val="FFFFFF"/>
              </w:rPr>
              <w:t xml:space="preserve">Category </w:t>
            </w:r>
          </w:p>
        </w:tc>
        <w:tc>
          <w:tcPr>
            <w:tcW w:w="1250" w:type="pct"/>
            <w:shd w:val="clear" w:color="auto" w:fill="1B556B"/>
            <w:vAlign w:val="bottom"/>
            <w:hideMark/>
          </w:tcPr>
          <w:p w14:paraId="2F669F00" w14:textId="77777777" w:rsidR="009F5DA6" w:rsidRPr="00261B7A" w:rsidRDefault="009F5DA6" w:rsidP="006F74D2">
            <w:pPr>
              <w:pStyle w:val="TableTextBold"/>
              <w:spacing w:before="50" w:after="50"/>
              <w:jc w:val="center"/>
              <w:rPr>
                <w:rFonts w:cs="Calibri"/>
                <w:noProof w:val="0"/>
                <w:color w:val="FFFFFF"/>
              </w:rPr>
            </w:pPr>
            <w:r w:rsidRPr="00261B7A">
              <w:rPr>
                <w:rFonts w:cs="Calibri"/>
                <w:noProof w:val="0"/>
                <w:color w:val="FFFFFF"/>
              </w:rPr>
              <w:t>Activity data uncertainty (%)</w:t>
            </w:r>
          </w:p>
        </w:tc>
        <w:tc>
          <w:tcPr>
            <w:tcW w:w="1416" w:type="pct"/>
            <w:shd w:val="clear" w:color="auto" w:fill="1B556B"/>
            <w:vAlign w:val="bottom"/>
            <w:hideMark/>
          </w:tcPr>
          <w:p w14:paraId="0EEE92CD" w14:textId="77777777" w:rsidR="009F5DA6" w:rsidRPr="00261B7A" w:rsidRDefault="009F5DA6" w:rsidP="006F74D2">
            <w:pPr>
              <w:pStyle w:val="TableTextBold"/>
              <w:spacing w:before="50" w:after="50"/>
              <w:jc w:val="center"/>
              <w:rPr>
                <w:rFonts w:cs="Calibri"/>
                <w:noProof w:val="0"/>
                <w:color w:val="FFFFFF"/>
              </w:rPr>
            </w:pPr>
            <w:r w:rsidRPr="00261B7A">
              <w:rPr>
                <w:rFonts w:cs="Calibri"/>
                <w:noProof w:val="0"/>
                <w:color w:val="FFFFFF"/>
              </w:rPr>
              <w:t>Emission factor uncertainty (%)</w:t>
            </w:r>
          </w:p>
        </w:tc>
      </w:tr>
      <w:tr w:rsidR="009F5DA6" w:rsidRPr="00261B7A" w14:paraId="66B1C4BF" w14:textId="77777777" w:rsidTr="00D51B62">
        <w:tc>
          <w:tcPr>
            <w:tcW w:w="320" w:type="pct"/>
            <w:vMerge w:val="restart"/>
            <w:shd w:val="clear" w:color="auto" w:fill="auto"/>
            <w:noWrap/>
            <w:vAlign w:val="center"/>
            <w:hideMark/>
          </w:tcPr>
          <w:p w14:paraId="3785FF56" w14:textId="77777777" w:rsidR="009F5DA6" w:rsidRPr="00261B7A" w:rsidRDefault="009F5DA6" w:rsidP="006F74D2">
            <w:pPr>
              <w:pStyle w:val="TableText"/>
              <w:spacing w:before="50" w:after="50"/>
              <w:rPr>
                <w:rFonts w:cs="Calibri"/>
              </w:rPr>
            </w:pPr>
            <w:r w:rsidRPr="00261B7A">
              <w:rPr>
                <w:rFonts w:cs="Calibri"/>
              </w:rPr>
              <w:t>CO</w:t>
            </w:r>
            <w:r w:rsidRPr="00261B7A">
              <w:rPr>
                <w:rFonts w:cs="Calibri"/>
                <w:vertAlign w:val="subscript"/>
              </w:rPr>
              <w:t>2</w:t>
            </w:r>
          </w:p>
        </w:tc>
        <w:tc>
          <w:tcPr>
            <w:tcW w:w="2013" w:type="pct"/>
            <w:shd w:val="clear" w:color="auto" w:fill="auto"/>
            <w:noWrap/>
            <w:hideMark/>
          </w:tcPr>
          <w:p w14:paraId="2AA148B5" w14:textId="77777777" w:rsidR="009F5DA6" w:rsidRPr="00261B7A" w:rsidRDefault="009F5DA6" w:rsidP="006F74D2">
            <w:pPr>
              <w:pStyle w:val="TableText"/>
              <w:spacing w:before="50" w:after="50"/>
              <w:rPr>
                <w:rFonts w:cs="Calibri"/>
              </w:rPr>
            </w:pPr>
            <w:r w:rsidRPr="00261B7A">
              <w:rPr>
                <w:rFonts w:cs="Calibri"/>
              </w:rPr>
              <w:t>Liquid fuels</w:t>
            </w:r>
          </w:p>
        </w:tc>
        <w:tc>
          <w:tcPr>
            <w:tcW w:w="1250" w:type="pct"/>
            <w:shd w:val="clear" w:color="auto" w:fill="auto"/>
            <w:noWrap/>
            <w:hideMark/>
          </w:tcPr>
          <w:p w14:paraId="086EFFA7" w14:textId="77777777" w:rsidR="009F5DA6" w:rsidRPr="00261B7A" w:rsidRDefault="009F5DA6" w:rsidP="006F74D2">
            <w:pPr>
              <w:pStyle w:val="TableText"/>
              <w:spacing w:before="50" w:after="50"/>
              <w:jc w:val="center"/>
              <w:rPr>
                <w:rFonts w:cs="Calibri"/>
              </w:rPr>
            </w:pPr>
            <w:r w:rsidRPr="00261B7A">
              <w:rPr>
                <w:rFonts w:cs="Calibri"/>
              </w:rPr>
              <w:t>0.8</w:t>
            </w:r>
          </w:p>
        </w:tc>
        <w:tc>
          <w:tcPr>
            <w:tcW w:w="1416" w:type="pct"/>
            <w:shd w:val="clear" w:color="auto" w:fill="auto"/>
            <w:noWrap/>
            <w:hideMark/>
          </w:tcPr>
          <w:p w14:paraId="2552707A" w14:textId="77777777" w:rsidR="009F5DA6" w:rsidRPr="00261B7A" w:rsidRDefault="009F5DA6" w:rsidP="006F74D2">
            <w:pPr>
              <w:pStyle w:val="TableText"/>
              <w:spacing w:before="50" w:after="50"/>
              <w:jc w:val="center"/>
              <w:rPr>
                <w:rFonts w:cs="Calibri"/>
              </w:rPr>
            </w:pPr>
            <w:r w:rsidRPr="00261B7A">
              <w:rPr>
                <w:rFonts w:cs="Calibri"/>
              </w:rPr>
              <w:t>±0.5</w:t>
            </w:r>
          </w:p>
        </w:tc>
      </w:tr>
      <w:tr w:rsidR="009F5DA6" w:rsidRPr="00261B7A" w14:paraId="27AED8B6" w14:textId="77777777" w:rsidTr="00D51B62">
        <w:tc>
          <w:tcPr>
            <w:tcW w:w="320" w:type="pct"/>
            <w:vMerge/>
            <w:shd w:val="clear" w:color="auto" w:fill="auto"/>
            <w:noWrap/>
            <w:hideMark/>
          </w:tcPr>
          <w:p w14:paraId="4CD5B7B7" w14:textId="77777777" w:rsidR="009F5DA6" w:rsidRPr="00261B7A" w:rsidRDefault="009F5DA6" w:rsidP="006F74D2">
            <w:pPr>
              <w:pStyle w:val="TableText"/>
              <w:spacing w:before="50" w:after="50"/>
              <w:rPr>
                <w:rFonts w:cs="Calibri"/>
              </w:rPr>
            </w:pPr>
          </w:p>
        </w:tc>
        <w:tc>
          <w:tcPr>
            <w:tcW w:w="2013" w:type="pct"/>
            <w:shd w:val="clear" w:color="auto" w:fill="auto"/>
            <w:noWrap/>
            <w:hideMark/>
          </w:tcPr>
          <w:p w14:paraId="3DF5C9A3" w14:textId="77777777" w:rsidR="009F5DA6" w:rsidRPr="00261B7A" w:rsidRDefault="009F5DA6" w:rsidP="006F74D2">
            <w:pPr>
              <w:pStyle w:val="TableText"/>
              <w:spacing w:before="50" w:after="50"/>
              <w:rPr>
                <w:rFonts w:cs="Calibri"/>
              </w:rPr>
            </w:pPr>
            <w:r w:rsidRPr="00261B7A">
              <w:rPr>
                <w:rFonts w:cs="Calibri"/>
              </w:rPr>
              <w:t>Solid fuels</w:t>
            </w:r>
          </w:p>
        </w:tc>
        <w:tc>
          <w:tcPr>
            <w:tcW w:w="1250" w:type="pct"/>
            <w:shd w:val="clear" w:color="auto" w:fill="auto"/>
            <w:noWrap/>
            <w:hideMark/>
          </w:tcPr>
          <w:p w14:paraId="19454A1C" w14:textId="77777777" w:rsidR="009F5DA6" w:rsidRPr="00261B7A" w:rsidRDefault="009F5DA6" w:rsidP="006F74D2">
            <w:pPr>
              <w:pStyle w:val="TableText"/>
              <w:spacing w:before="50" w:after="50"/>
              <w:jc w:val="center"/>
              <w:rPr>
                <w:rFonts w:cs="Calibri"/>
              </w:rPr>
            </w:pPr>
            <w:r w:rsidRPr="00261B7A">
              <w:rPr>
                <w:rFonts w:cs="Calibri"/>
              </w:rPr>
              <w:t>4.6</w:t>
            </w:r>
          </w:p>
        </w:tc>
        <w:tc>
          <w:tcPr>
            <w:tcW w:w="1416" w:type="pct"/>
            <w:shd w:val="clear" w:color="auto" w:fill="auto"/>
            <w:noWrap/>
            <w:hideMark/>
          </w:tcPr>
          <w:p w14:paraId="1238CA20" w14:textId="77777777" w:rsidR="009F5DA6" w:rsidRPr="00261B7A" w:rsidRDefault="009F5DA6" w:rsidP="006F74D2">
            <w:pPr>
              <w:pStyle w:val="TableText"/>
              <w:spacing w:before="50" w:after="50"/>
              <w:jc w:val="center"/>
              <w:rPr>
                <w:rFonts w:cs="Calibri"/>
              </w:rPr>
            </w:pPr>
            <w:r w:rsidRPr="00261B7A">
              <w:rPr>
                <w:rFonts w:cs="Calibri"/>
              </w:rPr>
              <w:t>±2.2</w:t>
            </w:r>
          </w:p>
        </w:tc>
      </w:tr>
      <w:tr w:rsidR="009F5DA6" w:rsidRPr="00261B7A" w14:paraId="62C69671" w14:textId="77777777" w:rsidTr="00D51B62">
        <w:tc>
          <w:tcPr>
            <w:tcW w:w="320" w:type="pct"/>
            <w:vMerge/>
            <w:shd w:val="clear" w:color="auto" w:fill="auto"/>
            <w:noWrap/>
            <w:hideMark/>
          </w:tcPr>
          <w:p w14:paraId="79BC8299" w14:textId="77777777" w:rsidR="009F5DA6" w:rsidRPr="00261B7A" w:rsidRDefault="009F5DA6" w:rsidP="006F74D2">
            <w:pPr>
              <w:pStyle w:val="TableText"/>
              <w:spacing w:before="50" w:after="50"/>
              <w:rPr>
                <w:rFonts w:cs="Calibri"/>
              </w:rPr>
            </w:pPr>
          </w:p>
        </w:tc>
        <w:tc>
          <w:tcPr>
            <w:tcW w:w="2013" w:type="pct"/>
            <w:shd w:val="clear" w:color="auto" w:fill="auto"/>
            <w:noWrap/>
            <w:hideMark/>
          </w:tcPr>
          <w:p w14:paraId="4FEB2888" w14:textId="77777777" w:rsidR="009F5DA6" w:rsidRPr="00261B7A" w:rsidRDefault="009F5DA6" w:rsidP="006F74D2">
            <w:pPr>
              <w:pStyle w:val="TableText"/>
              <w:spacing w:before="50" w:after="50"/>
              <w:rPr>
                <w:rFonts w:cs="Calibri"/>
              </w:rPr>
            </w:pPr>
            <w:r w:rsidRPr="00261B7A">
              <w:rPr>
                <w:rFonts w:cs="Calibri"/>
              </w:rPr>
              <w:t>Gaseous fuels</w:t>
            </w:r>
          </w:p>
        </w:tc>
        <w:tc>
          <w:tcPr>
            <w:tcW w:w="1250" w:type="pct"/>
            <w:shd w:val="clear" w:color="auto" w:fill="auto"/>
            <w:noWrap/>
            <w:hideMark/>
          </w:tcPr>
          <w:p w14:paraId="0B7EDA7A" w14:textId="77777777" w:rsidR="009F5DA6" w:rsidRPr="00261B7A" w:rsidRDefault="009F5DA6" w:rsidP="006F74D2">
            <w:pPr>
              <w:pStyle w:val="TableText"/>
              <w:spacing w:before="50" w:after="50"/>
              <w:jc w:val="center"/>
              <w:rPr>
                <w:rFonts w:cs="Calibri"/>
              </w:rPr>
            </w:pPr>
            <w:r w:rsidRPr="00261B7A">
              <w:rPr>
                <w:rFonts w:cs="Calibri"/>
              </w:rPr>
              <w:t>2.1</w:t>
            </w:r>
          </w:p>
        </w:tc>
        <w:tc>
          <w:tcPr>
            <w:tcW w:w="1416" w:type="pct"/>
            <w:shd w:val="clear" w:color="auto" w:fill="auto"/>
            <w:noWrap/>
            <w:hideMark/>
          </w:tcPr>
          <w:p w14:paraId="1C903178" w14:textId="77777777" w:rsidR="009F5DA6" w:rsidRPr="00261B7A" w:rsidRDefault="009F5DA6" w:rsidP="006F74D2">
            <w:pPr>
              <w:pStyle w:val="TableText"/>
              <w:spacing w:before="50" w:after="50"/>
              <w:jc w:val="center"/>
              <w:rPr>
                <w:rFonts w:cs="Calibri"/>
              </w:rPr>
            </w:pPr>
            <w:r w:rsidRPr="00261B7A">
              <w:rPr>
                <w:rFonts w:cs="Calibri"/>
              </w:rPr>
              <w:t>±2.4</w:t>
            </w:r>
          </w:p>
        </w:tc>
      </w:tr>
      <w:tr w:rsidR="009F5DA6" w:rsidRPr="00261B7A" w14:paraId="735B5292" w14:textId="77777777" w:rsidTr="00D51B62">
        <w:tc>
          <w:tcPr>
            <w:tcW w:w="320" w:type="pct"/>
            <w:vMerge/>
            <w:shd w:val="clear" w:color="auto" w:fill="auto"/>
            <w:noWrap/>
            <w:hideMark/>
          </w:tcPr>
          <w:p w14:paraId="778662AF" w14:textId="77777777" w:rsidR="009F5DA6" w:rsidRPr="00261B7A" w:rsidRDefault="009F5DA6" w:rsidP="006F74D2">
            <w:pPr>
              <w:pStyle w:val="TableText"/>
              <w:spacing w:before="50" w:after="50"/>
              <w:rPr>
                <w:rFonts w:cs="Calibri"/>
              </w:rPr>
            </w:pPr>
          </w:p>
        </w:tc>
        <w:tc>
          <w:tcPr>
            <w:tcW w:w="2013" w:type="pct"/>
            <w:shd w:val="clear" w:color="auto" w:fill="auto"/>
            <w:noWrap/>
            <w:hideMark/>
          </w:tcPr>
          <w:p w14:paraId="7984DA84" w14:textId="77777777" w:rsidR="009F5DA6" w:rsidRPr="00261B7A" w:rsidRDefault="009F5DA6" w:rsidP="006F74D2">
            <w:pPr>
              <w:pStyle w:val="TableText"/>
              <w:spacing w:before="50" w:after="50"/>
              <w:rPr>
                <w:rFonts w:cs="Calibri"/>
              </w:rPr>
            </w:pPr>
            <w:r w:rsidRPr="00261B7A">
              <w:rPr>
                <w:rFonts w:cs="Calibri"/>
              </w:rPr>
              <w:t>Fugitive – geothermal</w:t>
            </w:r>
          </w:p>
        </w:tc>
        <w:tc>
          <w:tcPr>
            <w:tcW w:w="1250" w:type="pct"/>
            <w:shd w:val="clear" w:color="auto" w:fill="auto"/>
            <w:noWrap/>
            <w:hideMark/>
          </w:tcPr>
          <w:p w14:paraId="78BFFF66" w14:textId="77777777" w:rsidR="009F5DA6" w:rsidRPr="00261B7A" w:rsidRDefault="009F5DA6" w:rsidP="006F74D2">
            <w:pPr>
              <w:pStyle w:val="TableText"/>
              <w:spacing w:before="50" w:after="50"/>
              <w:jc w:val="center"/>
              <w:rPr>
                <w:rFonts w:cs="Calibri"/>
              </w:rPr>
            </w:pPr>
            <w:r w:rsidRPr="00261B7A">
              <w:rPr>
                <w:rFonts w:cs="Calibri"/>
              </w:rPr>
              <w:t>5.0</w:t>
            </w:r>
          </w:p>
        </w:tc>
        <w:tc>
          <w:tcPr>
            <w:tcW w:w="1416" w:type="pct"/>
            <w:shd w:val="clear" w:color="auto" w:fill="auto"/>
            <w:noWrap/>
            <w:hideMark/>
          </w:tcPr>
          <w:p w14:paraId="78B5D939" w14:textId="77777777" w:rsidR="009F5DA6" w:rsidRPr="00261B7A" w:rsidRDefault="009F5DA6" w:rsidP="006F74D2">
            <w:pPr>
              <w:pStyle w:val="TableText"/>
              <w:spacing w:before="50" w:after="50"/>
              <w:jc w:val="center"/>
              <w:rPr>
                <w:rFonts w:cs="Calibri"/>
              </w:rPr>
            </w:pPr>
            <w:r w:rsidRPr="00261B7A">
              <w:rPr>
                <w:rFonts w:cs="Calibri"/>
              </w:rPr>
              <w:t>±5.0</w:t>
            </w:r>
          </w:p>
        </w:tc>
      </w:tr>
      <w:tr w:rsidR="009F5DA6" w:rsidRPr="00261B7A" w14:paraId="4F937DF0" w14:textId="77777777" w:rsidTr="00D51B62">
        <w:tc>
          <w:tcPr>
            <w:tcW w:w="320" w:type="pct"/>
            <w:vMerge/>
            <w:shd w:val="clear" w:color="auto" w:fill="auto"/>
            <w:noWrap/>
            <w:hideMark/>
          </w:tcPr>
          <w:p w14:paraId="117B966A" w14:textId="77777777" w:rsidR="009F5DA6" w:rsidRPr="00261B7A" w:rsidRDefault="009F5DA6" w:rsidP="006F74D2">
            <w:pPr>
              <w:pStyle w:val="TableText"/>
              <w:spacing w:before="50" w:after="50"/>
              <w:rPr>
                <w:rFonts w:cs="Calibri"/>
              </w:rPr>
            </w:pPr>
          </w:p>
        </w:tc>
        <w:tc>
          <w:tcPr>
            <w:tcW w:w="2013" w:type="pct"/>
            <w:shd w:val="clear" w:color="auto" w:fill="auto"/>
            <w:noWrap/>
            <w:hideMark/>
          </w:tcPr>
          <w:p w14:paraId="4D461F39" w14:textId="77777777" w:rsidR="009F5DA6" w:rsidRPr="00261B7A" w:rsidRDefault="009F5DA6" w:rsidP="006F74D2">
            <w:pPr>
              <w:pStyle w:val="TableText"/>
              <w:spacing w:before="50" w:after="50"/>
              <w:rPr>
                <w:rFonts w:cs="Calibri"/>
              </w:rPr>
            </w:pPr>
            <w:r w:rsidRPr="00261B7A">
              <w:rPr>
                <w:rFonts w:cs="Calibri"/>
              </w:rPr>
              <w:t>Fugitive – venting/flaring</w:t>
            </w:r>
          </w:p>
        </w:tc>
        <w:tc>
          <w:tcPr>
            <w:tcW w:w="1250" w:type="pct"/>
            <w:shd w:val="clear" w:color="auto" w:fill="auto"/>
            <w:noWrap/>
            <w:hideMark/>
          </w:tcPr>
          <w:p w14:paraId="1628A8D3" w14:textId="77777777" w:rsidR="009F5DA6" w:rsidRPr="00261B7A" w:rsidRDefault="009F5DA6" w:rsidP="006F74D2">
            <w:pPr>
              <w:pStyle w:val="TableText"/>
              <w:spacing w:before="50" w:after="50"/>
              <w:jc w:val="center"/>
              <w:rPr>
                <w:rFonts w:cs="Calibri"/>
              </w:rPr>
            </w:pPr>
            <w:r w:rsidRPr="00261B7A">
              <w:rPr>
                <w:rFonts w:cs="Calibri"/>
              </w:rPr>
              <w:t>2.1</w:t>
            </w:r>
          </w:p>
        </w:tc>
        <w:tc>
          <w:tcPr>
            <w:tcW w:w="1416" w:type="pct"/>
            <w:shd w:val="clear" w:color="auto" w:fill="auto"/>
            <w:noWrap/>
            <w:hideMark/>
          </w:tcPr>
          <w:p w14:paraId="30E15555" w14:textId="77777777" w:rsidR="009F5DA6" w:rsidRPr="00261B7A" w:rsidRDefault="009F5DA6" w:rsidP="006F74D2">
            <w:pPr>
              <w:pStyle w:val="TableText"/>
              <w:spacing w:before="50" w:after="50"/>
              <w:jc w:val="center"/>
              <w:rPr>
                <w:rFonts w:cs="Calibri"/>
              </w:rPr>
            </w:pPr>
            <w:r w:rsidRPr="00261B7A">
              <w:rPr>
                <w:rFonts w:cs="Calibri"/>
              </w:rPr>
              <w:t>±2.4</w:t>
            </w:r>
          </w:p>
        </w:tc>
      </w:tr>
      <w:tr w:rsidR="009F5DA6" w:rsidRPr="00261B7A" w14:paraId="65049BBB" w14:textId="77777777" w:rsidTr="00D51B62">
        <w:tc>
          <w:tcPr>
            <w:tcW w:w="320" w:type="pct"/>
            <w:vMerge/>
            <w:shd w:val="clear" w:color="auto" w:fill="auto"/>
            <w:noWrap/>
            <w:hideMark/>
          </w:tcPr>
          <w:p w14:paraId="685334C8" w14:textId="77777777" w:rsidR="009F5DA6" w:rsidRPr="00261B7A" w:rsidRDefault="009F5DA6" w:rsidP="006F74D2">
            <w:pPr>
              <w:pStyle w:val="TableText"/>
              <w:spacing w:before="50" w:after="50"/>
              <w:rPr>
                <w:rFonts w:cs="Calibri"/>
              </w:rPr>
            </w:pPr>
          </w:p>
        </w:tc>
        <w:tc>
          <w:tcPr>
            <w:tcW w:w="2013" w:type="pct"/>
            <w:shd w:val="clear" w:color="auto" w:fill="auto"/>
            <w:noWrap/>
            <w:hideMark/>
          </w:tcPr>
          <w:p w14:paraId="5B1CB944" w14:textId="77777777" w:rsidR="009F5DA6" w:rsidRPr="00261B7A" w:rsidRDefault="009F5DA6" w:rsidP="006F74D2">
            <w:pPr>
              <w:pStyle w:val="TableText"/>
              <w:spacing w:before="50" w:after="50"/>
              <w:rPr>
                <w:rFonts w:cs="Calibri"/>
              </w:rPr>
            </w:pPr>
            <w:r w:rsidRPr="00261B7A">
              <w:rPr>
                <w:rFonts w:cs="Calibri"/>
              </w:rPr>
              <w:t>Fugitive – oil and gas production and transport</w:t>
            </w:r>
          </w:p>
        </w:tc>
        <w:tc>
          <w:tcPr>
            <w:tcW w:w="1250" w:type="pct"/>
            <w:shd w:val="clear" w:color="auto" w:fill="auto"/>
            <w:noWrap/>
            <w:hideMark/>
          </w:tcPr>
          <w:p w14:paraId="77FC5305" w14:textId="77777777" w:rsidR="009F5DA6" w:rsidRPr="00261B7A" w:rsidRDefault="009F5DA6" w:rsidP="006F74D2">
            <w:pPr>
              <w:pStyle w:val="TableText"/>
              <w:spacing w:before="50" w:after="50"/>
              <w:jc w:val="center"/>
              <w:rPr>
                <w:rFonts w:cs="Calibri"/>
              </w:rPr>
            </w:pPr>
            <w:r w:rsidRPr="00261B7A">
              <w:rPr>
                <w:rFonts w:cs="Calibri"/>
              </w:rPr>
              <w:t>5.0</w:t>
            </w:r>
          </w:p>
        </w:tc>
        <w:tc>
          <w:tcPr>
            <w:tcW w:w="1416" w:type="pct"/>
            <w:shd w:val="clear" w:color="auto" w:fill="auto"/>
            <w:noWrap/>
            <w:hideMark/>
          </w:tcPr>
          <w:p w14:paraId="2609E78C" w14:textId="77777777" w:rsidR="009F5DA6" w:rsidRPr="00261B7A" w:rsidRDefault="009F5DA6" w:rsidP="006F74D2">
            <w:pPr>
              <w:pStyle w:val="TableText"/>
              <w:spacing w:before="50" w:after="50"/>
              <w:jc w:val="center"/>
              <w:rPr>
                <w:rFonts w:cs="Calibri"/>
              </w:rPr>
            </w:pPr>
            <w:r w:rsidRPr="00261B7A">
              <w:rPr>
                <w:rFonts w:cs="Calibri"/>
              </w:rPr>
              <w:t>±100.0</w:t>
            </w:r>
          </w:p>
        </w:tc>
      </w:tr>
      <w:tr w:rsidR="009F5DA6" w:rsidRPr="00261B7A" w14:paraId="4CBBD885" w14:textId="77777777" w:rsidTr="00D51B62">
        <w:tc>
          <w:tcPr>
            <w:tcW w:w="320" w:type="pct"/>
            <w:vMerge/>
            <w:tcBorders>
              <w:bottom w:val="single" w:sz="4" w:space="0" w:color="1B556B"/>
            </w:tcBorders>
            <w:shd w:val="clear" w:color="auto" w:fill="auto"/>
            <w:noWrap/>
            <w:hideMark/>
          </w:tcPr>
          <w:p w14:paraId="7CD745C6" w14:textId="77777777" w:rsidR="009F5DA6" w:rsidRPr="00261B7A" w:rsidRDefault="009F5DA6" w:rsidP="006F74D2">
            <w:pPr>
              <w:pStyle w:val="TableText"/>
              <w:spacing w:before="50" w:after="50"/>
              <w:rPr>
                <w:rFonts w:cs="Calibri"/>
              </w:rPr>
            </w:pPr>
          </w:p>
        </w:tc>
        <w:tc>
          <w:tcPr>
            <w:tcW w:w="2013" w:type="pct"/>
            <w:tcBorders>
              <w:bottom w:val="single" w:sz="4" w:space="0" w:color="1B556B"/>
            </w:tcBorders>
            <w:shd w:val="clear" w:color="auto" w:fill="auto"/>
            <w:noWrap/>
            <w:hideMark/>
          </w:tcPr>
          <w:p w14:paraId="699CABE5" w14:textId="77777777" w:rsidR="009F5DA6" w:rsidRPr="00261B7A" w:rsidRDefault="009F5DA6" w:rsidP="006F74D2">
            <w:pPr>
              <w:pStyle w:val="TableText"/>
              <w:spacing w:before="50" w:after="50"/>
              <w:rPr>
                <w:rFonts w:cs="Calibri"/>
              </w:rPr>
            </w:pPr>
            <w:r w:rsidRPr="00261B7A">
              <w:rPr>
                <w:rFonts w:cs="Calibri"/>
              </w:rPr>
              <w:t>Fugitive – transmission and distribution</w:t>
            </w:r>
          </w:p>
        </w:tc>
        <w:tc>
          <w:tcPr>
            <w:tcW w:w="1250" w:type="pct"/>
            <w:tcBorders>
              <w:bottom w:val="single" w:sz="4" w:space="0" w:color="1B556B"/>
            </w:tcBorders>
            <w:shd w:val="clear" w:color="auto" w:fill="auto"/>
            <w:noWrap/>
            <w:hideMark/>
          </w:tcPr>
          <w:p w14:paraId="3A7B70D8" w14:textId="77777777" w:rsidR="009F5DA6" w:rsidRPr="00261B7A" w:rsidRDefault="009F5DA6" w:rsidP="006F74D2">
            <w:pPr>
              <w:pStyle w:val="TableText"/>
              <w:spacing w:before="50" w:after="50"/>
              <w:jc w:val="center"/>
              <w:rPr>
                <w:rFonts w:cs="Calibri"/>
              </w:rPr>
            </w:pPr>
            <w:r w:rsidRPr="00261B7A">
              <w:rPr>
                <w:rFonts w:cs="Calibri"/>
              </w:rPr>
              <w:t>2.1</w:t>
            </w:r>
          </w:p>
        </w:tc>
        <w:tc>
          <w:tcPr>
            <w:tcW w:w="1416" w:type="pct"/>
            <w:tcBorders>
              <w:bottom w:val="single" w:sz="4" w:space="0" w:color="1B556B"/>
            </w:tcBorders>
            <w:shd w:val="clear" w:color="auto" w:fill="auto"/>
            <w:noWrap/>
            <w:hideMark/>
          </w:tcPr>
          <w:p w14:paraId="2CA4E397" w14:textId="77777777" w:rsidR="009F5DA6" w:rsidRPr="00261B7A" w:rsidRDefault="009F5DA6" w:rsidP="006F74D2">
            <w:pPr>
              <w:pStyle w:val="TableText"/>
              <w:spacing w:before="50" w:after="50"/>
              <w:jc w:val="center"/>
              <w:rPr>
                <w:rFonts w:cs="Calibri"/>
              </w:rPr>
            </w:pPr>
            <w:r w:rsidRPr="00261B7A">
              <w:rPr>
                <w:rFonts w:cs="Calibri"/>
              </w:rPr>
              <w:t>±100.0</w:t>
            </w:r>
          </w:p>
        </w:tc>
      </w:tr>
      <w:tr w:rsidR="009F5DA6" w:rsidRPr="00261B7A" w14:paraId="5F9D9E3A" w14:textId="77777777" w:rsidTr="00D51B62">
        <w:tc>
          <w:tcPr>
            <w:tcW w:w="320" w:type="pct"/>
            <w:vMerge w:val="restart"/>
            <w:shd w:val="clear" w:color="auto" w:fill="FFFFFF" w:themeFill="background1"/>
            <w:noWrap/>
            <w:vAlign w:val="center"/>
            <w:hideMark/>
          </w:tcPr>
          <w:p w14:paraId="5D6E36CA" w14:textId="77777777" w:rsidR="009F5DA6" w:rsidRPr="00261B7A" w:rsidRDefault="009F5DA6" w:rsidP="006F74D2">
            <w:pPr>
              <w:pStyle w:val="TableText"/>
              <w:spacing w:before="50" w:after="50"/>
              <w:rPr>
                <w:rFonts w:cs="Calibri"/>
              </w:rPr>
            </w:pPr>
            <w:r w:rsidRPr="00261B7A">
              <w:rPr>
                <w:rFonts w:cs="Calibri"/>
              </w:rPr>
              <w:t>CH</w:t>
            </w:r>
            <w:r w:rsidRPr="00261B7A">
              <w:rPr>
                <w:rFonts w:cs="Calibri"/>
                <w:vertAlign w:val="subscript"/>
              </w:rPr>
              <w:t>4</w:t>
            </w:r>
          </w:p>
        </w:tc>
        <w:tc>
          <w:tcPr>
            <w:tcW w:w="2013" w:type="pct"/>
            <w:shd w:val="clear" w:color="auto" w:fill="FFFFFF" w:themeFill="background1"/>
            <w:noWrap/>
            <w:hideMark/>
          </w:tcPr>
          <w:p w14:paraId="6838C05E" w14:textId="77777777" w:rsidR="009F5DA6" w:rsidRPr="00261B7A" w:rsidRDefault="009F5DA6" w:rsidP="006F74D2">
            <w:pPr>
              <w:pStyle w:val="TableText"/>
              <w:spacing w:before="50" w:after="50"/>
              <w:rPr>
                <w:rFonts w:cs="Calibri"/>
              </w:rPr>
            </w:pPr>
            <w:r w:rsidRPr="00261B7A">
              <w:rPr>
                <w:rFonts w:cs="Calibri"/>
              </w:rPr>
              <w:t>Liquid fuels</w:t>
            </w:r>
          </w:p>
        </w:tc>
        <w:tc>
          <w:tcPr>
            <w:tcW w:w="1250" w:type="pct"/>
            <w:shd w:val="clear" w:color="auto" w:fill="FFFFFF" w:themeFill="background1"/>
            <w:noWrap/>
            <w:hideMark/>
          </w:tcPr>
          <w:p w14:paraId="6438BFF2" w14:textId="77777777" w:rsidR="009F5DA6" w:rsidRPr="00261B7A" w:rsidRDefault="009F5DA6" w:rsidP="006F74D2">
            <w:pPr>
              <w:pStyle w:val="TableText"/>
              <w:spacing w:before="50" w:after="50"/>
              <w:jc w:val="center"/>
              <w:rPr>
                <w:rFonts w:cs="Calibri"/>
              </w:rPr>
            </w:pPr>
            <w:r w:rsidRPr="00261B7A">
              <w:rPr>
                <w:rFonts w:cs="Calibri"/>
              </w:rPr>
              <w:t>0.8</w:t>
            </w:r>
          </w:p>
        </w:tc>
        <w:tc>
          <w:tcPr>
            <w:tcW w:w="1416" w:type="pct"/>
            <w:shd w:val="clear" w:color="auto" w:fill="FFFFFF" w:themeFill="background1"/>
            <w:noWrap/>
            <w:hideMark/>
          </w:tcPr>
          <w:p w14:paraId="70289308" w14:textId="77777777" w:rsidR="009F5DA6" w:rsidRPr="00261B7A" w:rsidRDefault="009F5DA6" w:rsidP="006F74D2">
            <w:pPr>
              <w:pStyle w:val="TableText"/>
              <w:spacing w:before="50" w:after="50"/>
              <w:jc w:val="center"/>
              <w:rPr>
                <w:rFonts w:cs="Calibri"/>
              </w:rPr>
            </w:pPr>
            <w:r w:rsidRPr="00261B7A">
              <w:rPr>
                <w:rFonts w:cs="Calibri"/>
              </w:rPr>
              <w:t>±50.0</w:t>
            </w:r>
          </w:p>
        </w:tc>
      </w:tr>
      <w:tr w:rsidR="009F5DA6" w:rsidRPr="00261B7A" w14:paraId="15B51F64" w14:textId="77777777" w:rsidTr="00D51B62">
        <w:tc>
          <w:tcPr>
            <w:tcW w:w="320" w:type="pct"/>
            <w:vMerge/>
            <w:shd w:val="clear" w:color="auto" w:fill="FFFFFF" w:themeFill="background1"/>
            <w:noWrap/>
            <w:hideMark/>
          </w:tcPr>
          <w:p w14:paraId="3CCC0EE2" w14:textId="77777777" w:rsidR="009F5DA6" w:rsidRPr="00261B7A" w:rsidRDefault="009F5DA6" w:rsidP="006F74D2">
            <w:pPr>
              <w:pStyle w:val="TableText"/>
              <w:spacing w:before="50" w:after="50"/>
              <w:rPr>
                <w:rFonts w:cs="Calibri"/>
              </w:rPr>
            </w:pPr>
          </w:p>
        </w:tc>
        <w:tc>
          <w:tcPr>
            <w:tcW w:w="2013" w:type="pct"/>
            <w:shd w:val="clear" w:color="auto" w:fill="FFFFFF" w:themeFill="background1"/>
            <w:noWrap/>
            <w:hideMark/>
          </w:tcPr>
          <w:p w14:paraId="7B63B895" w14:textId="77777777" w:rsidR="009F5DA6" w:rsidRPr="00261B7A" w:rsidRDefault="009F5DA6" w:rsidP="006F74D2">
            <w:pPr>
              <w:pStyle w:val="TableText"/>
              <w:spacing w:before="50" w:after="50"/>
              <w:rPr>
                <w:rFonts w:cs="Calibri"/>
              </w:rPr>
            </w:pPr>
            <w:r w:rsidRPr="00261B7A">
              <w:rPr>
                <w:rFonts w:cs="Calibri"/>
              </w:rPr>
              <w:t>Solid fuels</w:t>
            </w:r>
          </w:p>
        </w:tc>
        <w:tc>
          <w:tcPr>
            <w:tcW w:w="1250" w:type="pct"/>
            <w:shd w:val="clear" w:color="auto" w:fill="FFFFFF" w:themeFill="background1"/>
            <w:noWrap/>
            <w:hideMark/>
          </w:tcPr>
          <w:p w14:paraId="3BAD2D15" w14:textId="77777777" w:rsidR="009F5DA6" w:rsidRPr="00261B7A" w:rsidRDefault="009F5DA6" w:rsidP="006F74D2">
            <w:pPr>
              <w:pStyle w:val="TableText"/>
              <w:spacing w:before="50" w:after="50"/>
              <w:jc w:val="center"/>
              <w:rPr>
                <w:rFonts w:cs="Calibri"/>
              </w:rPr>
            </w:pPr>
            <w:r w:rsidRPr="00261B7A">
              <w:rPr>
                <w:rFonts w:cs="Calibri"/>
              </w:rPr>
              <w:t>4.6</w:t>
            </w:r>
          </w:p>
        </w:tc>
        <w:tc>
          <w:tcPr>
            <w:tcW w:w="1416" w:type="pct"/>
            <w:shd w:val="clear" w:color="auto" w:fill="FFFFFF" w:themeFill="background1"/>
            <w:noWrap/>
            <w:hideMark/>
          </w:tcPr>
          <w:p w14:paraId="7DA74954" w14:textId="77777777" w:rsidR="009F5DA6" w:rsidRPr="00261B7A" w:rsidRDefault="009F5DA6" w:rsidP="006F74D2">
            <w:pPr>
              <w:pStyle w:val="TableText"/>
              <w:spacing w:before="50" w:after="50"/>
              <w:jc w:val="center"/>
              <w:rPr>
                <w:rFonts w:cs="Calibri"/>
              </w:rPr>
            </w:pPr>
            <w:r w:rsidRPr="00261B7A">
              <w:rPr>
                <w:rFonts w:cs="Calibri"/>
              </w:rPr>
              <w:t>±50.0</w:t>
            </w:r>
          </w:p>
        </w:tc>
      </w:tr>
      <w:tr w:rsidR="009F5DA6" w:rsidRPr="00261B7A" w14:paraId="61076CA2" w14:textId="77777777" w:rsidTr="00D51B62">
        <w:tc>
          <w:tcPr>
            <w:tcW w:w="320" w:type="pct"/>
            <w:vMerge/>
            <w:shd w:val="clear" w:color="auto" w:fill="FFFFFF" w:themeFill="background1"/>
            <w:noWrap/>
            <w:hideMark/>
          </w:tcPr>
          <w:p w14:paraId="60820D2D" w14:textId="77777777" w:rsidR="009F5DA6" w:rsidRPr="00261B7A" w:rsidRDefault="009F5DA6" w:rsidP="006F74D2">
            <w:pPr>
              <w:pStyle w:val="TableText"/>
              <w:spacing w:before="50" w:after="50"/>
              <w:rPr>
                <w:rFonts w:cs="Calibri"/>
              </w:rPr>
            </w:pPr>
          </w:p>
        </w:tc>
        <w:tc>
          <w:tcPr>
            <w:tcW w:w="2013" w:type="pct"/>
            <w:shd w:val="clear" w:color="auto" w:fill="FFFFFF" w:themeFill="background1"/>
            <w:noWrap/>
            <w:hideMark/>
          </w:tcPr>
          <w:p w14:paraId="78406CFB" w14:textId="77777777" w:rsidR="009F5DA6" w:rsidRPr="00261B7A" w:rsidRDefault="009F5DA6" w:rsidP="006F74D2">
            <w:pPr>
              <w:pStyle w:val="TableText"/>
              <w:spacing w:before="50" w:after="50"/>
              <w:rPr>
                <w:rFonts w:cs="Calibri"/>
              </w:rPr>
            </w:pPr>
            <w:r w:rsidRPr="00261B7A">
              <w:rPr>
                <w:rFonts w:cs="Calibri"/>
              </w:rPr>
              <w:t>Gaseous fuels</w:t>
            </w:r>
          </w:p>
        </w:tc>
        <w:tc>
          <w:tcPr>
            <w:tcW w:w="1250" w:type="pct"/>
            <w:shd w:val="clear" w:color="auto" w:fill="FFFFFF" w:themeFill="background1"/>
            <w:noWrap/>
            <w:hideMark/>
          </w:tcPr>
          <w:p w14:paraId="5AA1E021" w14:textId="77777777" w:rsidR="009F5DA6" w:rsidRPr="00261B7A" w:rsidRDefault="009F5DA6" w:rsidP="006F74D2">
            <w:pPr>
              <w:pStyle w:val="TableText"/>
              <w:spacing w:before="50" w:after="50"/>
              <w:jc w:val="center"/>
              <w:rPr>
                <w:rFonts w:cs="Calibri"/>
              </w:rPr>
            </w:pPr>
            <w:r w:rsidRPr="00261B7A">
              <w:rPr>
                <w:rFonts w:cs="Calibri"/>
              </w:rPr>
              <w:t>2.1</w:t>
            </w:r>
          </w:p>
        </w:tc>
        <w:tc>
          <w:tcPr>
            <w:tcW w:w="1416" w:type="pct"/>
            <w:shd w:val="clear" w:color="auto" w:fill="FFFFFF" w:themeFill="background1"/>
            <w:noWrap/>
            <w:hideMark/>
          </w:tcPr>
          <w:p w14:paraId="0F203113" w14:textId="77777777" w:rsidR="009F5DA6" w:rsidRPr="00261B7A" w:rsidRDefault="009F5DA6" w:rsidP="006F74D2">
            <w:pPr>
              <w:pStyle w:val="TableText"/>
              <w:spacing w:before="50" w:after="50"/>
              <w:jc w:val="center"/>
              <w:rPr>
                <w:rFonts w:cs="Calibri"/>
              </w:rPr>
            </w:pPr>
            <w:r w:rsidRPr="00261B7A">
              <w:rPr>
                <w:rFonts w:cs="Calibri"/>
              </w:rPr>
              <w:t>±50.0</w:t>
            </w:r>
          </w:p>
        </w:tc>
      </w:tr>
      <w:tr w:rsidR="009F5DA6" w:rsidRPr="00261B7A" w14:paraId="02F0EEB2" w14:textId="77777777" w:rsidTr="00D51B62">
        <w:tc>
          <w:tcPr>
            <w:tcW w:w="320" w:type="pct"/>
            <w:vMerge/>
            <w:shd w:val="clear" w:color="auto" w:fill="FFFFFF" w:themeFill="background1"/>
            <w:noWrap/>
            <w:hideMark/>
          </w:tcPr>
          <w:p w14:paraId="74DF6EAC" w14:textId="77777777" w:rsidR="009F5DA6" w:rsidRPr="00261B7A" w:rsidRDefault="009F5DA6" w:rsidP="006F74D2">
            <w:pPr>
              <w:pStyle w:val="TableText"/>
              <w:spacing w:before="50" w:after="50"/>
              <w:rPr>
                <w:rFonts w:cs="Calibri"/>
              </w:rPr>
            </w:pPr>
          </w:p>
        </w:tc>
        <w:tc>
          <w:tcPr>
            <w:tcW w:w="2013" w:type="pct"/>
            <w:shd w:val="clear" w:color="auto" w:fill="FFFFFF" w:themeFill="background1"/>
            <w:noWrap/>
            <w:hideMark/>
          </w:tcPr>
          <w:p w14:paraId="3AA5A4EF" w14:textId="77777777" w:rsidR="009F5DA6" w:rsidRPr="00261B7A" w:rsidRDefault="009F5DA6" w:rsidP="006F74D2">
            <w:pPr>
              <w:pStyle w:val="TableText"/>
              <w:spacing w:before="50" w:after="50"/>
              <w:rPr>
                <w:rFonts w:cs="Calibri"/>
              </w:rPr>
            </w:pPr>
            <w:r w:rsidRPr="00261B7A">
              <w:rPr>
                <w:rFonts w:cs="Calibri"/>
              </w:rPr>
              <w:t>Biomass</w:t>
            </w:r>
          </w:p>
        </w:tc>
        <w:tc>
          <w:tcPr>
            <w:tcW w:w="1250" w:type="pct"/>
            <w:shd w:val="clear" w:color="auto" w:fill="FFFFFF" w:themeFill="background1"/>
            <w:noWrap/>
            <w:hideMark/>
          </w:tcPr>
          <w:p w14:paraId="7FB546C0" w14:textId="77777777" w:rsidR="009F5DA6" w:rsidRPr="00261B7A" w:rsidRDefault="009F5DA6" w:rsidP="006F74D2">
            <w:pPr>
              <w:pStyle w:val="TableText"/>
              <w:spacing w:before="50" w:after="50"/>
              <w:jc w:val="center"/>
              <w:rPr>
                <w:rFonts w:cs="Calibri"/>
              </w:rPr>
            </w:pPr>
            <w:r w:rsidRPr="00261B7A">
              <w:rPr>
                <w:rFonts w:cs="Calibri"/>
              </w:rPr>
              <w:t>50.0</w:t>
            </w:r>
          </w:p>
        </w:tc>
        <w:tc>
          <w:tcPr>
            <w:tcW w:w="1416" w:type="pct"/>
            <w:shd w:val="clear" w:color="auto" w:fill="FFFFFF" w:themeFill="background1"/>
            <w:noWrap/>
            <w:hideMark/>
          </w:tcPr>
          <w:p w14:paraId="68684376" w14:textId="77777777" w:rsidR="009F5DA6" w:rsidRPr="00261B7A" w:rsidRDefault="009F5DA6" w:rsidP="006F74D2">
            <w:pPr>
              <w:pStyle w:val="TableText"/>
              <w:spacing w:before="50" w:after="50"/>
              <w:jc w:val="center"/>
              <w:rPr>
                <w:rFonts w:cs="Calibri"/>
              </w:rPr>
            </w:pPr>
            <w:r w:rsidRPr="00261B7A">
              <w:rPr>
                <w:rFonts w:cs="Calibri"/>
              </w:rPr>
              <w:t>±50.0</w:t>
            </w:r>
          </w:p>
        </w:tc>
      </w:tr>
      <w:tr w:rsidR="009F5DA6" w:rsidRPr="00261B7A" w14:paraId="4AFF3D4B" w14:textId="77777777" w:rsidTr="00D51B62">
        <w:tc>
          <w:tcPr>
            <w:tcW w:w="320" w:type="pct"/>
            <w:vMerge/>
            <w:shd w:val="clear" w:color="auto" w:fill="FFFFFF" w:themeFill="background1"/>
            <w:noWrap/>
            <w:hideMark/>
          </w:tcPr>
          <w:p w14:paraId="7001DA8F" w14:textId="77777777" w:rsidR="009F5DA6" w:rsidRPr="00261B7A" w:rsidRDefault="009F5DA6" w:rsidP="006F74D2">
            <w:pPr>
              <w:pStyle w:val="TableText"/>
              <w:spacing w:before="50" w:after="50"/>
              <w:rPr>
                <w:rFonts w:cs="Calibri"/>
              </w:rPr>
            </w:pPr>
          </w:p>
        </w:tc>
        <w:tc>
          <w:tcPr>
            <w:tcW w:w="2013" w:type="pct"/>
            <w:shd w:val="clear" w:color="auto" w:fill="FFFFFF" w:themeFill="background1"/>
            <w:noWrap/>
            <w:hideMark/>
          </w:tcPr>
          <w:p w14:paraId="122A8D20" w14:textId="77777777" w:rsidR="009F5DA6" w:rsidRPr="00261B7A" w:rsidRDefault="009F5DA6" w:rsidP="006F74D2">
            <w:pPr>
              <w:pStyle w:val="TableText"/>
              <w:spacing w:before="50" w:after="50"/>
              <w:rPr>
                <w:rFonts w:cs="Calibri"/>
              </w:rPr>
            </w:pPr>
            <w:r w:rsidRPr="00261B7A">
              <w:rPr>
                <w:rFonts w:cs="Calibri"/>
              </w:rPr>
              <w:t>Fugitive – geothermal</w:t>
            </w:r>
          </w:p>
        </w:tc>
        <w:tc>
          <w:tcPr>
            <w:tcW w:w="1250" w:type="pct"/>
            <w:shd w:val="clear" w:color="auto" w:fill="FFFFFF" w:themeFill="background1"/>
            <w:noWrap/>
            <w:hideMark/>
          </w:tcPr>
          <w:p w14:paraId="0574C1B2" w14:textId="77777777" w:rsidR="009F5DA6" w:rsidRPr="00261B7A" w:rsidRDefault="009F5DA6" w:rsidP="006F74D2">
            <w:pPr>
              <w:pStyle w:val="TableText"/>
              <w:spacing w:before="50" w:after="50"/>
              <w:jc w:val="center"/>
              <w:rPr>
                <w:rFonts w:cs="Calibri"/>
              </w:rPr>
            </w:pPr>
            <w:r w:rsidRPr="00261B7A">
              <w:rPr>
                <w:rFonts w:cs="Calibri"/>
              </w:rPr>
              <w:t>5.0</w:t>
            </w:r>
          </w:p>
        </w:tc>
        <w:tc>
          <w:tcPr>
            <w:tcW w:w="1416" w:type="pct"/>
            <w:shd w:val="clear" w:color="auto" w:fill="FFFFFF" w:themeFill="background1"/>
            <w:noWrap/>
            <w:hideMark/>
          </w:tcPr>
          <w:p w14:paraId="6B377E90" w14:textId="77777777" w:rsidR="009F5DA6" w:rsidRPr="00261B7A" w:rsidRDefault="009F5DA6" w:rsidP="006F74D2">
            <w:pPr>
              <w:pStyle w:val="TableText"/>
              <w:spacing w:before="50" w:after="50"/>
              <w:jc w:val="center"/>
              <w:rPr>
                <w:rFonts w:cs="Calibri"/>
              </w:rPr>
            </w:pPr>
            <w:r w:rsidRPr="00261B7A">
              <w:rPr>
                <w:rFonts w:cs="Calibri"/>
              </w:rPr>
              <w:t>±5.0</w:t>
            </w:r>
          </w:p>
        </w:tc>
      </w:tr>
      <w:tr w:rsidR="009F5DA6" w:rsidRPr="00261B7A" w14:paraId="16CA9B38" w14:textId="77777777" w:rsidTr="00D51B62">
        <w:tc>
          <w:tcPr>
            <w:tcW w:w="320" w:type="pct"/>
            <w:vMerge/>
            <w:shd w:val="clear" w:color="auto" w:fill="FFFFFF" w:themeFill="background1"/>
            <w:noWrap/>
            <w:hideMark/>
          </w:tcPr>
          <w:p w14:paraId="3CDF3E23" w14:textId="77777777" w:rsidR="009F5DA6" w:rsidRPr="00261B7A" w:rsidRDefault="009F5DA6" w:rsidP="006F74D2">
            <w:pPr>
              <w:pStyle w:val="TableText"/>
              <w:spacing w:before="50" w:after="50"/>
              <w:rPr>
                <w:rFonts w:cs="Calibri"/>
              </w:rPr>
            </w:pPr>
          </w:p>
        </w:tc>
        <w:tc>
          <w:tcPr>
            <w:tcW w:w="2013" w:type="pct"/>
            <w:shd w:val="clear" w:color="auto" w:fill="FFFFFF" w:themeFill="background1"/>
            <w:noWrap/>
            <w:hideMark/>
          </w:tcPr>
          <w:p w14:paraId="5B5FA106" w14:textId="77777777" w:rsidR="009F5DA6" w:rsidRPr="00261B7A" w:rsidRDefault="009F5DA6" w:rsidP="006F74D2">
            <w:pPr>
              <w:pStyle w:val="TableText"/>
              <w:spacing w:before="50" w:after="50"/>
              <w:rPr>
                <w:rFonts w:cs="Calibri"/>
              </w:rPr>
            </w:pPr>
            <w:r w:rsidRPr="00261B7A">
              <w:rPr>
                <w:rFonts w:cs="Calibri"/>
              </w:rPr>
              <w:t>Fugitive – venting/flaring</w:t>
            </w:r>
          </w:p>
        </w:tc>
        <w:tc>
          <w:tcPr>
            <w:tcW w:w="1250" w:type="pct"/>
            <w:shd w:val="clear" w:color="auto" w:fill="FFFFFF" w:themeFill="background1"/>
            <w:noWrap/>
            <w:hideMark/>
          </w:tcPr>
          <w:p w14:paraId="7EB15AFD" w14:textId="77777777" w:rsidR="009F5DA6" w:rsidRPr="00261B7A" w:rsidRDefault="009F5DA6" w:rsidP="006F74D2">
            <w:pPr>
              <w:pStyle w:val="TableText"/>
              <w:spacing w:before="50" w:after="50"/>
              <w:jc w:val="center"/>
              <w:rPr>
                <w:rFonts w:cs="Calibri"/>
              </w:rPr>
            </w:pPr>
            <w:r w:rsidRPr="00261B7A">
              <w:rPr>
                <w:rFonts w:cs="Calibri"/>
              </w:rPr>
              <w:t>2.1</w:t>
            </w:r>
          </w:p>
        </w:tc>
        <w:tc>
          <w:tcPr>
            <w:tcW w:w="1416" w:type="pct"/>
            <w:shd w:val="clear" w:color="auto" w:fill="FFFFFF" w:themeFill="background1"/>
            <w:noWrap/>
            <w:hideMark/>
          </w:tcPr>
          <w:p w14:paraId="74FC86C1" w14:textId="77777777" w:rsidR="009F5DA6" w:rsidRPr="00261B7A" w:rsidRDefault="009F5DA6" w:rsidP="006F74D2">
            <w:pPr>
              <w:pStyle w:val="TableText"/>
              <w:spacing w:before="50" w:after="50"/>
              <w:jc w:val="center"/>
              <w:rPr>
                <w:rFonts w:cs="Calibri"/>
              </w:rPr>
            </w:pPr>
            <w:r w:rsidRPr="00261B7A">
              <w:rPr>
                <w:rFonts w:cs="Calibri"/>
              </w:rPr>
              <w:t>±50.0</w:t>
            </w:r>
          </w:p>
        </w:tc>
      </w:tr>
      <w:tr w:rsidR="009F5DA6" w:rsidRPr="00261B7A" w14:paraId="7C471C04" w14:textId="77777777" w:rsidTr="00D51B62">
        <w:tc>
          <w:tcPr>
            <w:tcW w:w="320" w:type="pct"/>
            <w:vMerge/>
            <w:shd w:val="clear" w:color="auto" w:fill="FFFFFF" w:themeFill="background1"/>
            <w:noWrap/>
            <w:hideMark/>
          </w:tcPr>
          <w:p w14:paraId="75B1659E" w14:textId="77777777" w:rsidR="009F5DA6" w:rsidRPr="00261B7A" w:rsidRDefault="009F5DA6" w:rsidP="006F74D2">
            <w:pPr>
              <w:pStyle w:val="TableText"/>
              <w:spacing w:before="50" w:after="50"/>
              <w:rPr>
                <w:rFonts w:cs="Calibri"/>
              </w:rPr>
            </w:pPr>
          </w:p>
        </w:tc>
        <w:tc>
          <w:tcPr>
            <w:tcW w:w="2013" w:type="pct"/>
            <w:shd w:val="clear" w:color="auto" w:fill="FFFFFF" w:themeFill="background1"/>
            <w:noWrap/>
            <w:hideMark/>
          </w:tcPr>
          <w:p w14:paraId="31945A08" w14:textId="77777777" w:rsidR="009F5DA6" w:rsidRPr="00261B7A" w:rsidRDefault="009F5DA6" w:rsidP="006F74D2">
            <w:pPr>
              <w:pStyle w:val="TableText"/>
              <w:spacing w:before="50" w:after="50"/>
              <w:rPr>
                <w:rFonts w:cs="Calibri"/>
              </w:rPr>
            </w:pPr>
            <w:r w:rsidRPr="00261B7A">
              <w:rPr>
                <w:rFonts w:cs="Calibri"/>
              </w:rPr>
              <w:t>Fugitive – coal mining and handling</w:t>
            </w:r>
          </w:p>
        </w:tc>
        <w:tc>
          <w:tcPr>
            <w:tcW w:w="1250" w:type="pct"/>
            <w:shd w:val="clear" w:color="auto" w:fill="FFFFFF" w:themeFill="background1"/>
            <w:noWrap/>
            <w:hideMark/>
          </w:tcPr>
          <w:p w14:paraId="234EB3A8" w14:textId="77777777" w:rsidR="009F5DA6" w:rsidRPr="00261B7A" w:rsidRDefault="009F5DA6" w:rsidP="006F74D2">
            <w:pPr>
              <w:pStyle w:val="TableText"/>
              <w:spacing w:before="50" w:after="50"/>
              <w:jc w:val="center"/>
              <w:rPr>
                <w:rFonts w:cs="Calibri"/>
              </w:rPr>
            </w:pPr>
            <w:r w:rsidRPr="00261B7A">
              <w:rPr>
                <w:rFonts w:cs="Calibri"/>
              </w:rPr>
              <w:t>4.6</w:t>
            </w:r>
          </w:p>
        </w:tc>
        <w:tc>
          <w:tcPr>
            <w:tcW w:w="1416" w:type="pct"/>
            <w:shd w:val="clear" w:color="auto" w:fill="FFFFFF" w:themeFill="background1"/>
            <w:noWrap/>
            <w:hideMark/>
          </w:tcPr>
          <w:p w14:paraId="1D4F0A34" w14:textId="77777777" w:rsidR="009F5DA6" w:rsidRPr="00261B7A" w:rsidRDefault="009F5DA6" w:rsidP="006F74D2">
            <w:pPr>
              <w:pStyle w:val="TableText"/>
              <w:spacing w:before="50" w:after="50"/>
              <w:jc w:val="center"/>
              <w:rPr>
                <w:rFonts w:cs="Calibri"/>
              </w:rPr>
            </w:pPr>
            <w:r w:rsidRPr="00261B7A">
              <w:rPr>
                <w:rFonts w:cs="Calibri"/>
              </w:rPr>
              <w:t>±50.0</w:t>
            </w:r>
          </w:p>
        </w:tc>
      </w:tr>
      <w:tr w:rsidR="009F5DA6" w:rsidRPr="00261B7A" w14:paraId="1DB88B33" w14:textId="77777777" w:rsidTr="00D51B62">
        <w:tc>
          <w:tcPr>
            <w:tcW w:w="320" w:type="pct"/>
            <w:vMerge/>
            <w:shd w:val="clear" w:color="auto" w:fill="FFFFFF" w:themeFill="background1"/>
            <w:noWrap/>
            <w:hideMark/>
          </w:tcPr>
          <w:p w14:paraId="4F0ACF52" w14:textId="77777777" w:rsidR="009F5DA6" w:rsidRPr="00261B7A" w:rsidRDefault="009F5DA6" w:rsidP="006F74D2">
            <w:pPr>
              <w:pStyle w:val="TableText"/>
              <w:spacing w:before="50" w:after="50"/>
              <w:rPr>
                <w:rFonts w:cs="Calibri"/>
              </w:rPr>
            </w:pPr>
          </w:p>
        </w:tc>
        <w:tc>
          <w:tcPr>
            <w:tcW w:w="2013" w:type="pct"/>
            <w:shd w:val="clear" w:color="auto" w:fill="FFFFFF" w:themeFill="background1"/>
            <w:noWrap/>
            <w:hideMark/>
          </w:tcPr>
          <w:p w14:paraId="6CC05F05" w14:textId="77777777" w:rsidR="009F5DA6" w:rsidRPr="00261B7A" w:rsidRDefault="009F5DA6" w:rsidP="006F74D2">
            <w:pPr>
              <w:pStyle w:val="TableText"/>
              <w:spacing w:before="50" w:after="50"/>
              <w:rPr>
                <w:rFonts w:cs="Calibri"/>
              </w:rPr>
            </w:pPr>
            <w:r w:rsidRPr="00261B7A">
              <w:rPr>
                <w:rFonts w:cs="Calibri"/>
              </w:rPr>
              <w:t>Fugitive – transmission and distribution</w:t>
            </w:r>
          </w:p>
        </w:tc>
        <w:tc>
          <w:tcPr>
            <w:tcW w:w="1250" w:type="pct"/>
            <w:shd w:val="clear" w:color="auto" w:fill="FFFFFF" w:themeFill="background1"/>
            <w:noWrap/>
            <w:hideMark/>
          </w:tcPr>
          <w:p w14:paraId="2B0A21AD" w14:textId="77777777" w:rsidR="009F5DA6" w:rsidRPr="00261B7A" w:rsidRDefault="009F5DA6" w:rsidP="006F74D2">
            <w:pPr>
              <w:pStyle w:val="TableText"/>
              <w:spacing w:before="50" w:after="50"/>
              <w:jc w:val="center"/>
              <w:rPr>
                <w:rFonts w:cs="Calibri"/>
              </w:rPr>
            </w:pPr>
            <w:r w:rsidRPr="00261B7A">
              <w:rPr>
                <w:rFonts w:cs="Calibri"/>
              </w:rPr>
              <w:t>2.1</w:t>
            </w:r>
          </w:p>
        </w:tc>
        <w:tc>
          <w:tcPr>
            <w:tcW w:w="1416" w:type="pct"/>
            <w:shd w:val="clear" w:color="auto" w:fill="FFFFFF" w:themeFill="background1"/>
            <w:noWrap/>
            <w:hideMark/>
          </w:tcPr>
          <w:p w14:paraId="3EBAC230" w14:textId="77777777" w:rsidR="009F5DA6" w:rsidRPr="00261B7A" w:rsidRDefault="009F5DA6" w:rsidP="006F74D2">
            <w:pPr>
              <w:pStyle w:val="TableText"/>
              <w:spacing w:before="50" w:after="50"/>
              <w:jc w:val="center"/>
              <w:rPr>
                <w:rFonts w:cs="Calibri"/>
              </w:rPr>
            </w:pPr>
            <w:r w:rsidRPr="00261B7A">
              <w:rPr>
                <w:rFonts w:cs="Calibri"/>
              </w:rPr>
              <w:t>±100.0</w:t>
            </w:r>
          </w:p>
        </w:tc>
      </w:tr>
      <w:tr w:rsidR="009F5DA6" w:rsidRPr="00261B7A" w14:paraId="57E02158" w14:textId="77777777" w:rsidTr="00D51B62">
        <w:tc>
          <w:tcPr>
            <w:tcW w:w="320" w:type="pct"/>
            <w:vMerge/>
            <w:shd w:val="clear" w:color="auto" w:fill="FFFFFF" w:themeFill="background1"/>
            <w:noWrap/>
            <w:hideMark/>
          </w:tcPr>
          <w:p w14:paraId="4BC0DC3F" w14:textId="77777777" w:rsidR="009F5DA6" w:rsidRPr="00261B7A" w:rsidRDefault="009F5DA6" w:rsidP="006F74D2">
            <w:pPr>
              <w:pStyle w:val="TableText"/>
              <w:spacing w:before="50" w:after="50"/>
              <w:rPr>
                <w:rFonts w:cs="Calibri"/>
              </w:rPr>
            </w:pPr>
          </w:p>
        </w:tc>
        <w:tc>
          <w:tcPr>
            <w:tcW w:w="2013" w:type="pct"/>
            <w:shd w:val="clear" w:color="auto" w:fill="FFFFFF" w:themeFill="background1"/>
            <w:noWrap/>
            <w:hideMark/>
          </w:tcPr>
          <w:p w14:paraId="40CE49FC" w14:textId="77777777" w:rsidR="009F5DA6" w:rsidRPr="00261B7A" w:rsidRDefault="009F5DA6" w:rsidP="006F74D2">
            <w:pPr>
              <w:pStyle w:val="TableText"/>
              <w:spacing w:before="50" w:after="50"/>
              <w:rPr>
                <w:rFonts w:cs="Calibri"/>
              </w:rPr>
            </w:pPr>
            <w:r w:rsidRPr="00261B7A">
              <w:rPr>
                <w:rFonts w:cs="Calibri"/>
              </w:rPr>
              <w:t>Fugitive – oil and gas exploration and production</w:t>
            </w:r>
          </w:p>
        </w:tc>
        <w:tc>
          <w:tcPr>
            <w:tcW w:w="1250" w:type="pct"/>
            <w:shd w:val="clear" w:color="auto" w:fill="FFFFFF" w:themeFill="background1"/>
            <w:noWrap/>
            <w:hideMark/>
          </w:tcPr>
          <w:p w14:paraId="44F90E01" w14:textId="77777777" w:rsidR="009F5DA6" w:rsidRPr="00261B7A" w:rsidRDefault="009F5DA6" w:rsidP="006F74D2">
            <w:pPr>
              <w:pStyle w:val="TableText"/>
              <w:spacing w:before="50" w:after="50"/>
              <w:jc w:val="center"/>
              <w:rPr>
                <w:rFonts w:cs="Calibri"/>
              </w:rPr>
            </w:pPr>
            <w:r w:rsidRPr="00261B7A">
              <w:rPr>
                <w:rFonts w:cs="Calibri"/>
              </w:rPr>
              <w:t>2.1</w:t>
            </w:r>
          </w:p>
        </w:tc>
        <w:tc>
          <w:tcPr>
            <w:tcW w:w="1416" w:type="pct"/>
            <w:shd w:val="clear" w:color="auto" w:fill="FFFFFF" w:themeFill="background1"/>
            <w:noWrap/>
            <w:hideMark/>
          </w:tcPr>
          <w:p w14:paraId="219B24D1" w14:textId="77777777" w:rsidR="009F5DA6" w:rsidRPr="00261B7A" w:rsidRDefault="009F5DA6" w:rsidP="006F74D2">
            <w:pPr>
              <w:pStyle w:val="TableText"/>
              <w:spacing w:before="50" w:after="50"/>
              <w:jc w:val="center"/>
              <w:rPr>
                <w:rFonts w:cs="Calibri"/>
              </w:rPr>
            </w:pPr>
            <w:r w:rsidRPr="00261B7A">
              <w:rPr>
                <w:rFonts w:cs="Calibri"/>
              </w:rPr>
              <w:t>±100.0</w:t>
            </w:r>
          </w:p>
        </w:tc>
      </w:tr>
      <w:tr w:rsidR="009F5DA6" w:rsidRPr="00261B7A" w14:paraId="2FD4D172" w14:textId="77777777" w:rsidTr="00D51B62">
        <w:tc>
          <w:tcPr>
            <w:tcW w:w="320" w:type="pct"/>
            <w:vMerge/>
            <w:shd w:val="clear" w:color="auto" w:fill="FFFFFF" w:themeFill="background1"/>
            <w:noWrap/>
            <w:hideMark/>
          </w:tcPr>
          <w:p w14:paraId="4C6C0861" w14:textId="77777777" w:rsidR="009F5DA6" w:rsidRPr="00261B7A" w:rsidRDefault="009F5DA6" w:rsidP="006F74D2">
            <w:pPr>
              <w:pStyle w:val="TableText"/>
              <w:spacing w:before="50" w:after="50"/>
              <w:rPr>
                <w:rFonts w:cs="Calibri"/>
              </w:rPr>
            </w:pPr>
          </w:p>
        </w:tc>
        <w:tc>
          <w:tcPr>
            <w:tcW w:w="2013" w:type="pct"/>
            <w:shd w:val="clear" w:color="auto" w:fill="FFFFFF" w:themeFill="background1"/>
            <w:noWrap/>
            <w:hideMark/>
          </w:tcPr>
          <w:p w14:paraId="678A6227" w14:textId="77777777" w:rsidR="009F5DA6" w:rsidRPr="00261B7A" w:rsidRDefault="009F5DA6" w:rsidP="006F74D2">
            <w:pPr>
              <w:pStyle w:val="TableText"/>
              <w:spacing w:before="50" w:after="50"/>
              <w:rPr>
                <w:rFonts w:cs="Calibri"/>
              </w:rPr>
            </w:pPr>
            <w:r w:rsidRPr="00261B7A">
              <w:rPr>
                <w:rFonts w:cs="Calibri"/>
              </w:rPr>
              <w:t>Fugitive – oil transportation</w:t>
            </w:r>
          </w:p>
        </w:tc>
        <w:tc>
          <w:tcPr>
            <w:tcW w:w="1250" w:type="pct"/>
            <w:shd w:val="clear" w:color="auto" w:fill="FFFFFF" w:themeFill="background1"/>
            <w:noWrap/>
            <w:hideMark/>
          </w:tcPr>
          <w:p w14:paraId="42E4681B" w14:textId="77777777" w:rsidR="009F5DA6" w:rsidRPr="00261B7A" w:rsidRDefault="009F5DA6" w:rsidP="006F74D2">
            <w:pPr>
              <w:pStyle w:val="TableText"/>
              <w:spacing w:before="50" w:after="50"/>
              <w:jc w:val="center"/>
              <w:rPr>
                <w:rFonts w:cs="Calibri"/>
              </w:rPr>
            </w:pPr>
            <w:r w:rsidRPr="00261B7A">
              <w:rPr>
                <w:rFonts w:cs="Calibri"/>
              </w:rPr>
              <w:t>5.0</w:t>
            </w:r>
          </w:p>
        </w:tc>
        <w:tc>
          <w:tcPr>
            <w:tcW w:w="1416" w:type="pct"/>
            <w:shd w:val="clear" w:color="auto" w:fill="FFFFFF" w:themeFill="background1"/>
            <w:noWrap/>
            <w:hideMark/>
          </w:tcPr>
          <w:p w14:paraId="4F7AA9E7" w14:textId="77777777" w:rsidR="009F5DA6" w:rsidRPr="00261B7A" w:rsidRDefault="009F5DA6" w:rsidP="006F74D2">
            <w:pPr>
              <w:pStyle w:val="TableText"/>
              <w:spacing w:before="50" w:after="50"/>
              <w:jc w:val="center"/>
              <w:rPr>
                <w:rFonts w:cs="Calibri"/>
              </w:rPr>
            </w:pPr>
            <w:r w:rsidRPr="00261B7A">
              <w:rPr>
                <w:rFonts w:cs="Calibri"/>
              </w:rPr>
              <w:t>±50.0</w:t>
            </w:r>
          </w:p>
        </w:tc>
      </w:tr>
      <w:tr w:rsidR="009F5DA6" w:rsidRPr="00261B7A" w14:paraId="1118359C" w14:textId="77777777" w:rsidTr="00D51B62">
        <w:tc>
          <w:tcPr>
            <w:tcW w:w="320" w:type="pct"/>
            <w:vMerge w:val="restart"/>
            <w:shd w:val="clear" w:color="auto" w:fill="auto"/>
            <w:noWrap/>
            <w:vAlign w:val="center"/>
            <w:hideMark/>
          </w:tcPr>
          <w:p w14:paraId="1273C3AE" w14:textId="77777777" w:rsidR="009F5DA6" w:rsidRPr="00261B7A" w:rsidRDefault="009F5DA6" w:rsidP="006F74D2">
            <w:pPr>
              <w:pStyle w:val="TableText"/>
              <w:spacing w:before="50" w:after="50"/>
              <w:rPr>
                <w:rFonts w:cs="Calibri"/>
              </w:rPr>
            </w:pPr>
            <w:r w:rsidRPr="00261B7A">
              <w:rPr>
                <w:rFonts w:cs="Calibri"/>
              </w:rPr>
              <w:t>N</w:t>
            </w:r>
            <w:r w:rsidRPr="00261B7A">
              <w:rPr>
                <w:rFonts w:cs="Calibri"/>
                <w:vertAlign w:val="subscript"/>
              </w:rPr>
              <w:t>2</w:t>
            </w:r>
            <w:r w:rsidRPr="00261B7A">
              <w:rPr>
                <w:rFonts w:cs="Calibri"/>
              </w:rPr>
              <w:t>O</w:t>
            </w:r>
          </w:p>
        </w:tc>
        <w:tc>
          <w:tcPr>
            <w:tcW w:w="2013" w:type="pct"/>
            <w:shd w:val="clear" w:color="auto" w:fill="auto"/>
            <w:noWrap/>
            <w:hideMark/>
          </w:tcPr>
          <w:p w14:paraId="7E26A5B3" w14:textId="77777777" w:rsidR="009F5DA6" w:rsidRPr="00261B7A" w:rsidRDefault="009F5DA6" w:rsidP="006F74D2">
            <w:pPr>
              <w:pStyle w:val="TableText"/>
              <w:spacing w:before="50" w:after="50"/>
              <w:rPr>
                <w:rFonts w:cs="Calibri"/>
              </w:rPr>
            </w:pPr>
            <w:r w:rsidRPr="00261B7A">
              <w:rPr>
                <w:rFonts w:cs="Calibri"/>
              </w:rPr>
              <w:t>Liquid fuels</w:t>
            </w:r>
          </w:p>
        </w:tc>
        <w:tc>
          <w:tcPr>
            <w:tcW w:w="1250" w:type="pct"/>
            <w:shd w:val="clear" w:color="auto" w:fill="auto"/>
            <w:noWrap/>
            <w:hideMark/>
          </w:tcPr>
          <w:p w14:paraId="2BAFCCC6" w14:textId="77777777" w:rsidR="009F5DA6" w:rsidRPr="00261B7A" w:rsidRDefault="009F5DA6" w:rsidP="006F74D2">
            <w:pPr>
              <w:pStyle w:val="TableText"/>
              <w:spacing w:before="50" w:after="50"/>
              <w:jc w:val="center"/>
              <w:rPr>
                <w:rFonts w:cs="Calibri"/>
              </w:rPr>
            </w:pPr>
            <w:r w:rsidRPr="00261B7A">
              <w:rPr>
                <w:rFonts w:cs="Calibri"/>
              </w:rPr>
              <w:t>0.8</w:t>
            </w:r>
          </w:p>
        </w:tc>
        <w:tc>
          <w:tcPr>
            <w:tcW w:w="1416" w:type="pct"/>
            <w:shd w:val="clear" w:color="auto" w:fill="auto"/>
            <w:noWrap/>
            <w:hideMark/>
          </w:tcPr>
          <w:p w14:paraId="124F8E71" w14:textId="77777777" w:rsidR="009F5DA6" w:rsidRPr="00261B7A" w:rsidRDefault="009F5DA6" w:rsidP="006F74D2">
            <w:pPr>
              <w:pStyle w:val="TableText"/>
              <w:spacing w:before="50" w:after="50"/>
              <w:jc w:val="center"/>
              <w:rPr>
                <w:rFonts w:cs="Calibri"/>
              </w:rPr>
            </w:pPr>
            <w:r w:rsidRPr="00261B7A">
              <w:rPr>
                <w:rFonts w:cs="Calibri"/>
              </w:rPr>
              <w:t>±50.0</w:t>
            </w:r>
          </w:p>
        </w:tc>
      </w:tr>
      <w:tr w:rsidR="009F5DA6" w:rsidRPr="00261B7A" w14:paraId="25793CA3" w14:textId="77777777" w:rsidTr="00D51B62">
        <w:tc>
          <w:tcPr>
            <w:tcW w:w="320" w:type="pct"/>
            <w:vMerge/>
            <w:shd w:val="clear" w:color="auto" w:fill="auto"/>
            <w:noWrap/>
            <w:hideMark/>
          </w:tcPr>
          <w:p w14:paraId="68CD49C2" w14:textId="77777777" w:rsidR="009F5DA6" w:rsidRPr="00261B7A" w:rsidRDefault="009F5DA6" w:rsidP="006F74D2">
            <w:pPr>
              <w:pStyle w:val="TableText"/>
              <w:spacing w:before="50" w:after="50"/>
              <w:rPr>
                <w:rFonts w:cs="Calibri"/>
              </w:rPr>
            </w:pPr>
          </w:p>
        </w:tc>
        <w:tc>
          <w:tcPr>
            <w:tcW w:w="2013" w:type="pct"/>
            <w:shd w:val="clear" w:color="auto" w:fill="auto"/>
            <w:noWrap/>
            <w:hideMark/>
          </w:tcPr>
          <w:p w14:paraId="26937823" w14:textId="77777777" w:rsidR="009F5DA6" w:rsidRPr="00261B7A" w:rsidRDefault="009F5DA6" w:rsidP="006F74D2">
            <w:pPr>
              <w:pStyle w:val="TableText"/>
              <w:spacing w:before="50" w:after="50"/>
              <w:rPr>
                <w:rFonts w:cs="Calibri"/>
              </w:rPr>
            </w:pPr>
            <w:r w:rsidRPr="00261B7A">
              <w:rPr>
                <w:rFonts w:cs="Calibri"/>
              </w:rPr>
              <w:t>Solid fuels</w:t>
            </w:r>
          </w:p>
        </w:tc>
        <w:tc>
          <w:tcPr>
            <w:tcW w:w="1250" w:type="pct"/>
            <w:shd w:val="clear" w:color="auto" w:fill="auto"/>
            <w:noWrap/>
            <w:hideMark/>
          </w:tcPr>
          <w:p w14:paraId="02749655" w14:textId="77777777" w:rsidR="009F5DA6" w:rsidRPr="00261B7A" w:rsidRDefault="009F5DA6" w:rsidP="006F74D2">
            <w:pPr>
              <w:pStyle w:val="TableText"/>
              <w:spacing w:before="50" w:after="50"/>
              <w:jc w:val="center"/>
              <w:rPr>
                <w:rFonts w:cs="Calibri"/>
              </w:rPr>
            </w:pPr>
            <w:r w:rsidRPr="00261B7A">
              <w:rPr>
                <w:rFonts w:cs="Calibri"/>
              </w:rPr>
              <w:t>4.6</w:t>
            </w:r>
          </w:p>
        </w:tc>
        <w:tc>
          <w:tcPr>
            <w:tcW w:w="1416" w:type="pct"/>
            <w:shd w:val="clear" w:color="auto" w:fill="auto"/>
            <w:noWrap/>
            <w:hideMark/>
          </w:tcPr>
          <w:p w14:paraId="4DB7F685" w14:textId="77777777" w:rsidR="009F5DA6" w:rsidRPr="00261B7A" w:rsidRDefault="009F5DA6" w:rsidP="006F74D2">
            <w:pPr>
              <w:pStyle w:val="TableText"/>
              <w:spacing w:before="50" w:after="50"/>
              <w:jc w:val="center"/>
              <w:rPr>
                <w:rFonts w:cs="Calibri"/>
              </w:rPr>
            </w:pPr>
            <w:r w:rsidRPr="00261B7A">
              <w:rPr>
                <w:rFonts w:cs="Calibri"/>
              </w:rPr>
              <w:t>±50.0</w:t>
            </w:r>
          </w:p>
        </w:tc>
      </w:tr>
      <w:tr w:rsidR="009F5DA6" w:rsidRPr="00261B7A" w14:paraId="6872563F" w14:textId="77777777" w:rsidTr="00D51B62">
        <w:tc>
          <w:tcPr>
            <w:tcW w:w="320" w:type="pct"/>
            <w:vMerge/>
            <w:shd w:val="clear" w:color="auto" w:fill="auto"/>
            <w:noWrap/>
            <w:hideMark/>
          </w:tcPr>
          <w:p w14:paraId="37180E69" w14:textId="77777777" w:rsidR="009F5DA6" w:rsidRPr="00261B7A" w:rsidRDefault="009F5DA6" w:rsidP="006F74D2">
            <w:pPr>
              <w:pStyle w:val="TableText"/>
              <w:spacing w:before="50" w:after="50"/>
              <w:rPr>
                <w:rFonts w:cs="Calibri"/>
              </w:rPr>
            </w:pPr>
          </w:p>
        </w:tc>
        <w:tc>
          <w:tcPr>
            <w:tcW w:w="2013" w:type="pct"/>
            <w:shd w:val="clear" w:color="auto" w:fill="auto"/>
            <w:noWrap/>
            <w:hideMark/>
          </w:tcPr>
          <w:p w14:paraId="30ED99C7" w14:textId="77777777" w:rsidR="009F5DA6" w:rsidRPr="00261B7A" w:rsidRDefault="009F5DA6" w:rsidP="006F74D2">
            <w:pPr>
              <w:pStyle w:val="TableText"/>
              <w:spacing w:before="50" w:after="50"/>
              <w:rPr>
                <w:rFonts w:cs="Calibri"/>
              </w:rPr>
            </w:pPr>
            <w:r w:rsidRPr="00261B7A">
              <w:rPr>
                <w:rFonts w:cs="Calibri"/>
              </w:rPr>
              <w:t>Gaseous fuels</w:t>
            </w:r>
          </w:p>
        </w:tc>
        <w:tc>
          <w:tcPr>
            <w:tcW w:w="1250" w:type="pct"/>
            <w:shd w:val="clear" w:color="auto" w:fill="auto"/>
            <w:noWrap/>
            <w:hideMark/>
          </w:tcPr>
          <w:p w14:paraId="263133A6" w14:textId="77777777" w:rsidR="009F5DA6" w:rsidRPr="00261B7A" w:rsidRDefault="009F5DA6" w:rsidP="006F74D2">
            <w:pPr>
              <w:pStyle w:val="TableText"/>
              <w:spacing w:before="50" w:after="50"/>
              <w:jc w:val="center"/>
              <w:rPr>
                <w:rFonts w:cs="Calibri"/>
              </w:rPr>
            </w:pPr>
            <w:r w:rsidRPr="00261B7A">
              <w:rPr>
                <w:rFonts w:cs="Calibri"/>
              </w:rPr>
              <w:t>2.1</w:t>
            </w:r>
          </w:p>
        </w:tc>
        <w:tc>
          <w:tcPr>
            <w:tcW w:w="1416" w:type="pct"/>
            <w:shd w:val="clear" w:color="auto" w:fill="auto"/>
            <w:noWrap/>
            <w:hideMark/>
          </w:tcPr>
          <w:p w14:paraId="48971E4D" w14:textId="77777777" w:rsidR="009F5DA6" w:rsidRPr="00261B7A" w:rsidRDefault="009F5DA6" w:rsidP="006F74D2">
            <w:pPr>
              <w:pStyle w:val="TableText"/>
              <w:spacing w:before="50" w:after="50"/>
              <w:jc w:val="center"/>
              <w:rPr>
                <w:rFonts w:cs="Calibri"/>
              </w:rPr>
            </w:pPr>
            <w:r w:rsidRPr="00261B7A">
              <w:rPr>
                <w:rFonts w:cs="Calibri"/>
              </w:rPr>
              <w:t>±50.0</w:t>
            </w:r>
          </w:p>
        </w:tc>
      </w:tr>
      <w:tr w:rsidR="009F5DA6" w:rsidRPr="00261B7A" w14:paraId="6B0E6D09" w14:textId="77777777" w:rsidTr="00D51B62">
        <w:tc>
          <w:tcPr>
            <w:tcW w:w="320" w:type="pct"/>
            <w:vMerge/>
            <w:shd w:val="clear" w:color="auto" w:fill="auto"/>
            <w:noWrap/>
          </w:tcPr>
          <w:p w14:paraId="0563ACC5" w14:textId="77777777" w:rsidR="009F5DA6" w:rsidRPr="00261B7A" w:rsidRDefault="009F5DA6" w:rsidP="006F74D2">
            <w:pPr>
              <w:pStyle w:val="TableText"/>
              <w:spacing w:before="50" w:after="50"/>
              <w:rPr>
                <w:rFonts w:cs="Calibri"/>
              </w:rPr>
            </w:pPr>
          </w:p>
        </w:tc>
        <w:tc>
          <w:tcPr>
            <w:tcW w:w="2013" w:type="pct"/>
            <w:shd w:val="clear" w:color="auto" w:fill="auto"/>
            <w:noWrap/>
          </w:tcPr>
          <w:p w14:paraId="5BE7BB09" w14:textId="77777777" w:rsidR="009F5DA6" w:rsidRPr="00261B7A" w:rsidRDefault="009F5DA6" w:rsidP="006F74D2">
            <w:pPr>
              <w:pStyle w:val="TableText"/>
              <w:spacing w:before="50" w:after="50"/>
              <w:rPr>
                <w:rFonts w:cs="Calibri"/>
                <w:b/>
              </w:rPr>
            </w:pPr>
            <w:r w:rsidRPr="00261B7A">
              <w:rPr>
                <w:rFonts w:cs="Calibri"/>
              </w:rPr>
              <w:t>Biomass</w:t>
            </w:r>
          </w:p>
        </w:tc>
        <w:tc>
          <w:tcPr>
            <w:tcW w:w="1250" w:type="pct"/>
            <w:shd w:val="clear" w:color="auto" w:fill="auto"/>
            <w:noWrap/>
          </w:tcPr>
          <w:p w14:paraId="63FF2E52" w14:textId="77777777" w:rsidR="009F5DA6" w:rsidRPr="00261B7A" w:rsidRDefault="009F5DA6" w:rsidP="006F74D2">
            <w:pPr>
              <w:pStyle w:val="TableText"/>
              <w:spacing w:before="50" w:after="50"/>
              <w:jc w:val="center"/>
              <w:rPr>
                <w:rFonts w:cs="Calibri"/>
              </w:rPr>
            </w:pPr>
            <w:r w:rsidRPr="00261B7A">
              <w:rPr>
                <w:rFonts w:cs="Calibri"/>
              </w:rPr>
              <w:t>50.0</w:t>
            </w:r>
          </w:p>
        </w:tc>
        <w:tc>
          <w:tcPr>
            <w:tcW w:w="1416" w:type="pct"/>
            <w:shd w:val="clear" w:color="auto" w:fill="auto"/>
            <w:noWrap/>
          </w:tcPr>
          <w:p w14:paraId="4FA0E8C3" w14:textId="77777777" w:rsidR="009F5DA6" w:rsidRPr="00261B7A" w:rsidRDefault="009F5DA6" w:rsidP="006F74D2">
            <w:pPr>
              <w:pStyle w:val="TableText"/>
              <w:spacing w:before="50" w:after="50"/>
              <w:jc w:val="center"/>
              <w:rPr>
                <w:rFonts w:cs="Calibri"/>
              </w:rPr>
            </w:pPr>
            <w:r w:rsidRPr="00261B7A">
              <w:rPr>
                <w:rFonts w:cs="Calibri"/>
              </w:rPr>
              <w:t>±50.0</w:t>
            </w:r>
          </w:p>
        </w:tc>
      </w:tr>
      <w:tr w:rsidR="009F5DA6" w:rsidRPr="00261B7A" w14:paraId="21AC0860" w14:textId="77777777" w:rsidTr="00D51B62">
        <w:tc>
          <w:tcPr>
            <w:tcW w:w="320" w:type="pct"/>
            <w:vMerge/>
            <w:shd w:val="clear" w:color="auto" w:fill="auto"/>
            <w:noWrap/>
          </w:tcPr>
          <w:p w14:paraId="2379D733" w14:textId="77777777" w:rsidR="009F5DA6" w:rsidRPr="00261B7A" w:rsidRDefault="009F5DA6" w:rsidP="006F74D2">
            <w:pPr>
              <w:pStyle w:val="TableText"/>
              <w:spacing w:before="50" w:after="50"/>
              <w:rPr>
                <w:rFonts w:cs="Calibri"/>
              </w:rPr>
            </w:pPr>
          </w:p>
        </w:tc>
        <w:tc>
          <w:tcPr>
            <w:tcW w:w="2013" w:type="pct"/>
            <w:shd w:val="clear" w:color="auto" w:fill="auto"/>
            <w:noWrap/>
          </w:tcPr>
          <w:p w14:paraId="14418CC8" w14:textId="77777777" w:rsidR="009F5DA6" w:rsidRPr="00261B7A" w:rsidRDefault="009F5DA6" w:rsidP="006F74D2">
            <w:pPr>
              <w:pStyle w:val="TableText"/>
              <w:spacing w:before="50" w:after="50"/>
              <w:rPr>
                <w:rFonts w:cs="Calibri"/>
              </w:rPr>
            </w:pPr>
            <w:r w:rsidRPr="00261B7A">
              <w:rPr>
                <w:rFonts w:cs="Calibri"/>
              </w:rPr>
              <w:t>Fugitive – venting/flaring</w:t>
            </w:r>
          </w:p>
        </w:tc>
        <w:tc>
          <w:tcPr>
            <w:tcW w:w="1250" w:type="pct"/>
            <w:shd w:val="clear" w:color="auto" w:fill="auto"/>
            <w:noWrap/>
          </w:tcPr>
          <w:p w14:paraId="31C2928C" w14:textId="77777777" w:rsidR="009F5DA6" w:rsidRPr="00261B7A" w:rsidRDefault="009F5DA6" w:rsidP="006F74D2">
            <w:pPr>
              <w:pStyle w:val="TableText"/>
              <w:spacing w:before="50" w:after="50"/>
              <w:jc w:val="center"/>
              <w:rPr>
                <w:rFonts w:cs="Calibri"/>
              </w:rPr>
            </w:pPr>
            <w:r w:rsidRPr="00261B7A">
              <w:rPr>
                <w:rFonts w:cs="Calibri"/>
              </w:rPr>
              <w:t>5.0</w:t>
            </w:r>
          </w:p>
        </w:tc>
        <w:tc>
          <w:tcPr>
            <w:tcW w:w="1416" w:type="pct"/>
            <w:shd w:val="clear" w:color="auto" w:fill="auto"/>
            <w:noWrap/>
          </w:tcPr>
          <w:p w14:paraId="107CE00D" w14:textId="77777777" w:rsidR="009F5DA6" w:rsidRPr="00261B7A" w:rsidRDefault="009F5DA6" w:rsidP="006F74D2">
            <w:pPr>
              <w:pStyle w:val="TableText"/>
              <w:spacing w:before="50" w:after="50"/>
              <w:jc w:val="center"/>
              <w:rPr>
                <w:rFonts w:cs="Calibri"/>
              </w:rPr>
            </w:pPr>
            <w:r w:rsidRPr="00261B7A">
              <w:rPr>
                <w:rFonts w:cs="Calibri"/>
              </w:rPr>
              <w:t>±100.0</w:t>
            </w:r>
          </w:p>
        </w:tc>
      </w:tr>
    </w:tbl>
    <w:p w14:paraId="5FCA0072" w14:textId="77777777" w:rsidR="009F5DA6" w:rsidRPr="00261B7A" w:rsidRDefault="009F5DA6" w:rsidP="009F5DA6">
      <w:pPr>
        <w:pStyle w:val="BodyText"/>
        <w:spacing w:before="240"/>
        <w:rPr>
          <w:rFonts w:cs="Calibri"/>
        </w:rPr>
      </w:pPr>
      <w:r w:rsidRPr="00261B7A">
        <w:rPr>
          <w:rFonts w:cs="Calibri"/>
          <w:lang w:eastAsia="en-GB"/>
        </w:rPr>
        <w:t>To estimate activity data uncertainty, we use the percentage difference between annual calculated consumer energy from supply-side surveys and annual observed consumer energy from demand-side surveys. As a result, activity data uncertainty can vary significantly from year to year.</w:t>
      </w:r>
    </w:p>
    <w:p w14:paraId="638010BF" w14:textId="77777777" w:rsidR="009F5DA6" w:rsidRPr="00261B7A" w:rsidRDefault="009F5DA6" w:rsidP="006F74D2">
      <w:pPr>
        <w:pStyle w:val="Heading3"/>
        <w:spacing w:before="240"/>
      </w:pPr>
      <w:r w:rsidRPr="00261B7A">
        <w:t>3.3.6</w:t>
      </w:r>
      <w:r w:rsidRPr="00261B7A">
        <w:tab/>
        <w:t>Fuel combustion: Energy industries (CRF 1.A.1)</w:t>
      </w:r>
    </w:p>
    <w:p w14:paraId="430F487A" w14:textId="77777777" w:rsidR="009F5DA6" w:rsidRPr="00261B7A" w:rsidRDefault="009F5DA6" w:rsidP="006F74D2">
      <w:pPr>
        <w:pStyle w:val="Heading4"/>
        <w:spacing w:before="180"/>
      </w:pPr>
      <w:r w:rsidRPr="00261B7A">
        <w:t>Description</w:t>
      </w:r>
    </w:p>
    <w:p w14:paraId="3C5C4909" w14:textId="77777777" w:rsidR="009F5DA6" w:rsidRPr="00261B7A" w:rsidRDefault="009F5DA6" w:rsidP="009F5DA6">
      <w:pPr>
        <w:pStyle w:val="BodyText"/>
        <w:rPr>
          <w:rFonts w:cs="Calibri"/>
          <w:lang w:eastAsia="en-GB"/>
        </w:rPr>
      </w:pPr>
      <w:r w:rsidRPr="00261B7A">
        <w:rPr>
          <w:rFonts w:cs="Calibri"/>
          <w:lang w:eastAsia="en-GB"/>
        </w:rPr>
        <w:t xml:space="preserve">This category includes combustion for public electricity and heat production, petroleum refining, the manufacture of solid fuels and other energy industries. The latter category includes estimates for natural gas in oil and gas extraction and from natural gas used in synthetic gasoline production. The excess </w:t>
      </w:r>
      <w:r w:rsidRPr="00261B7A">
        <w:rPr>
          <w:rFonts w:cs="Calibri"/>
        </w:rPr>
        <w:t>CO</w:t>
      </w:r>
      <w:r w:rsidRPr="00261B7A">
        <w:rPr>
          <w:rFonts w:cs="Calibri"/>
          <w:vertAlign w:val="subscript"/>
        </w:rPr>
        <w:t>2</w:t>
      </w:r>
      <w:r w:rsidRPr="00261B7A">
        <w:rPr>
          <w:rFonts w:cs="Calibri"/>
          <w:sz w:val="14"/>
          <w:szCs w:val="14"/>
          <w:lang w:eastAsia="en-GB"/>
        </w:rPr>
        <w:t xml:space="preserve"> </w:t>
      </w:r>
      <w:r w:rsidRPr="00261B7A">
        <w:rPr>
          <w:rFonts w:cs="Calibri"/>
          <w:lang w:eastAsia="en-GB"/>
        </w:rPr>
        <w:t xml:space="preserve">removed from Kapuni gas at the Kapuni Gas Treatment Plant has also been reported in the </w:t>
      </w:r>
      <w:r w:rsidRPr="00261B7A">
        <w:rPr>
          <w:rFonts w:cs="Calibri"/>
          <w:i/>
          <w:lang w:eastAsia="en-GB"/>
        </w:rPr>
        <w:t>Manufacture of solid fuels and other energy industries</w:t>
      </w:r>
      <w:r w:rsidRPr="00261B7A">
        <w:rPr>
          <w:rFonts w:cs="Calibri"/>
          <w:lang w:eastAsia="en-GB"/>
        </w:rPr>
        <w:t xml:space="preserve"> category because of confidentiality concerns.</w:t>
      </w:r>
    </w:p>
    <w:p w14:paraId="3B6ABA82" w14:textId="77777777" w:rsidR="009F5DA6" w:rsidRPr="00261B7A" w:rsidRDefault="009F5DA6" w:rsidP="009F5DA6">
      <w:pPr>
        <w:pStyle w:val="BodyText"/>
        <w:rPr>
          <w:rFonts w:cs="Calibri"/>
          <w:lang w:eastAsia="en-GB"/>
        </w:rPr>
      </w:pPr>
      <w:r w:rsidRPr="00261B7A">
        <w:rPr>
          <w:rFonts w:cs="Calibri"/>
          <w:lang w:eastAsia="en-GB"/>
        </w:rPr>
        <w:t xml:space="preserve">In </w:t>
      </w:r>
      <w:r w:rsidRPr="00261B7A">
        <w:rPr>
          <w:rFonts w:cs="Calibri"/>
        </w:rPr>
        <w:t>2021</w:t>
      </w:r>
      <w:r w:rsidRPr="00261B7A">
        <w:rPr>
          <w:rFonts w:cs="Calibri"/>
          <w:lang w:eastAsia="en-GB"/>
        </w:rPr>
        <w:t xml:space="preserve">, emissions in category 1.A.1 </w:t>
      </w:r>
      <w:r w:rsidRPr="00261B7A">
        <w:rPr>
          <w:rFonts w:cs="Calibri"/>
          <w:i/>
          <w:iCs/>
          <w:lang w:eastAsia="en-GB"/>
        </w:rPr>
        <w:t>Energy industries</w:t>
      </w:r>
      <w:r w:rsidRPr="00261B7A">
        <w:rPr>
          <w:rFonts w:cs="Calibri"/>
          <w:lang w:eastAsia="en-GB"/>
        </w:rPr>
        <w:t xml:space="preserve"> totalled 5,399.5</w:t>
      </w:r>
      <w:r w:rsidRPr="00261B7A">
        <w:rPr>
          <w:rFonts w:cs="Calibri"/>
        </w:rPr>
        <w:t xml:space="preserve"> </w:t>
      </w:r>
      <w:r w:rsidRPr="00261B7A">
        <w:rPr>
          <w:rFonts w:cs="Calibri"/>
          <w:lang w:eastAsia="en-GB"/>
        </w:rPr>
        <w:t>kt CO</w:t>
      </w:r>
      <w:r w:rsidRPr="00261B7A">
        <w:rPr>
          <w:rFonts w:cs="Calibri"/>
          <w:vertAlign w:val="subscript"/>
          <w:lang w:eastAsia="en-GB"/>
        </w:rPr>
        <w:t>2</w:t>
      </w:r>
      <w:r w:rsidRPr="00261B7A">
        <w:rPr>
          <w:rFonts w:cs="Calibri"/>
          <w:lang w:eastAsia="en-GB"/>
        </w:rPr>
        <w:t>-e (</w:t>
      </w:r>
      <w:r w:rsidRPr="00261B7A">
        <w:rPr>
          <w:rFonts w:cs="Calibri"/>
        </w:rPr>
        <w:t>17.3 per cent</w:t>
      </w:r>
      <w:r w:rsidRPr="00261B7A">
        <w:rPr>
          <w:rFonts w:cs="Calibri"/>
          <w:lang w:eastAsia="en-GB"/>
        </w:rPr>
        <w:t xml:space="preserve"> of the Energy sector emissions). Emissions from energy industries in 2021 were</w:t>
      </w:r>
      <w:r w:rsidRPr="00261B7A">
        <w:rPr>
          <w:rFonts w:cs="Calibri"/>
        </w:rPr>
        <w:t xml:space="preserve"> 587.3 </w:t>
      </w:r>
      <w:r w:rsidRPr="00261B7A">
        <w:rPr>
          <w:rFonts w:cs="Calibri"/>
          <w:lang w:eastAsia="en-GB"/>
        </w:rPr>
        <w:t>kt CO</w:t>
      </w:r>
      <w:r w:rsidRPr="00261B7A">
        <w:rPr>
          <w:rFonts w:cs="Calibri"/>
          <w:vertAlign w:val="subscript"/>
          <w:lang w:eastAsia="en-GB"/>
        </w:rPr>
        <w:t>2</w:t>
      </w:r>
      <w:r w:rsidRPr="00261B7A">
        <w:rPr>
          <w:rFonts w:cs="Calibri"/>
          <w:lang w:eastAsia="en-GB"/>
        </w:rPr>
        <w:t>e (9.8</w:t>
      </w:r>
      <w:r w:rsidRPr="00261B7A">
        <w:rPr>
          <w:rFonts w:cs="Calibri"/>
        </w:rPr>
        <w:t xml:space="preserve"> per cent</w:t>
      </w:r>
      <w:r w:rsidRPr="00261B7A">
        <w:rPr>
          <w:rFonts w:cs="Calibri"/>
          <w:lang w:eastAsia="en-GB"/>
        </w:rPr>
        <w:t xml:space="preserve">) lower than the 1990 level of </w:t>
      </w:r>
      <w:r w:rsidRPr="00261B7A">
        <w:rPr>
          <w:rFonts w:cs="Calibri"/>
        </w:rPr>
        <w:t xml:space="preserve">5,986.9 </w:t>
      </w:r>
      <w:r w:rsidRPr="00261B7A">
        <w:rPr>
          <w:rFonts w:cs="Calibri"/>
          <w:lang w:eastAsia="en-GB"/>
        </w:rPr>
        <w:t>kt CO</w:t>
      </w:r>
      <w:r w:rsidRPr="00261B7A">
        <w:rPr>
          <w:rFonts w:cs="Calibri"/>
          <w:vertAlign w:val="subscript"/>
          <w:lang w:eastAsia="en-GB"/>
        </w:rPr>
        <w:t>2</w:t>
      </w:r>
      <w:r w:rsidRPr="00261B7A">
        <w:rPr>
          <w:rFonts w:cs="Calibri"/>
          <w:lang w:eastAsia="en-GB"/>
        </w:rPr>
        <w:t xml:space="preserve">-e. Category 1.A.1.a </w:t>
      </w:r>
      <w:r w:rsidRPr="00261B7A">
        <w:rPr>
          <w:rFonts w:cs="Calibri"/>
          <w:i/>
          <w:iCs/>
          <w:lang w:eastAsia="en-GB"/>
        </w:rPr>
        <w:t>Public electricity and heat production</w:t>
      </w:r>
      <w:r w:rsidRPr="00261B7A">
        <w:rPr>
          <w:rFonts w:cs="Calibri"/>
          <w:lang w:eastAsia="en-GB"/>
        </w:rPr>
        <w:t xml:space="preserve"> was the largest contributor to this sector, accounting for 4,416.6 kt CO</w:t>
      </w:r>
      <w:r w:rsidRPr="00261B7A">
        <w:rPr>
          <w:rFonts w:cs="Calibri"/>
          <w:vertAlign w:val="subscript"/>
          <w:lang w:eastAsia="en-GB"/>
        </w:rPr>
        <w:t>2</w:t>
      </w:r>
      <w:r w:rsidRPr="00261B7A">
        <w:rPr>
          <w:rFonts w:cs="Calibri"/>
          <w:lang w:eastAsia="en-GB"/>
        </w:rPr>
        <w:t xml:space="preserve">-e of emissions from the </w:t>
      </w:r>
      <w:r w:rsidRPr="00261B7A">
        <w:rPr>
          <w:rFonts w:cs="Calibri"/>
          <w:i/>
          <w:iCs/>
          <w:lang w:eastAsia="en-GB"/>
        </w:rPr>
        <w:t>Energy industries</w:t>
      </w:r>
      <w:r w:rsidRPr="00261B7A">
        <w:rPr>
          <w:rFonts w:cs="Calibri"/>
          <w:lang w:eastAsia="en-GB"/>
        </w:rPr>
        <w:t xml:space="preserve"> category in </w:t>
      </w:r>
      <w:r w:rsidRPr="00261B7A">
        <w:rPr>
          <w:rFonts w:cs="Calibri"/>
        </w:rPr>
        <w:t>2021</w:t>
      </w:r>
      <w:r w:rsidRPr="00261B7A">
        <w:rPr>
          <w:rFonts w:cs="Calibri"/>
          <w:lang w:eastAsia="en-GB"/>
        </w:rPr>
        <w:t>. This is 926.5</w:t>
      </w:r>
      <w:r w:rsidRPr="00261B7A">
        <w:rPr>
          <w:rFonts w:cs="Calibri"/>
        </w:rPr>
        <w:t> </w:t>
      </w:r>
      <w:r w:rsidRPr="00261B7A">
        <w:rPr>
          <w:rFonts w:cs="Calibri"/>
          <w:lang w:eastAsia="en-GB"/>
        </w:rPr>
        <w:t>kt CO</w:t>
      </w:r>
      <w:r w:rsidRPr="00261B7A">
        <w:rPr>
          <w:rFonts w:cs="Calibri"/>
          <w:vertAlign w:val="subscript"/>
          <w:lang w:eastAsia="en-GB"/>
        </w:rPr>
        <w:t>2</w:t>
      </w:r>
      <w:r w:rsidRPr="00261B7A">
        <w:rPr>
          <w:rFonts w:cs="Calibri"/>
          <w:lang w:eastAsia="en-GB"/>
        </w:rPr>
        <w:t>e (26.5</w:t>
      </w:r>
      <w:r w:rsidRPr="00261B7A">
        <w:rPr>
          <w:rFonts w:cs="Calibri"/>
        </w:rPr>
        <w:t> per cent</w:t>
      </w:r>
      <w:r w:rsidRPr="00261B7A">
        <w:rPr>
          <w:rFonts w:cs="Calibri"/>
          <w:lang w:eastAsia="en-GB"/>
        </w:rPr>
        <w:t xml:space="preserve">) higher than the 1990 level of </w:t>
      </w:r>
      <w:r w:rsidRPr="00261B7A">
        <w:rPr>
          <w:rFonts w:cs="Calibri"/>
        </w:rPr>
        <w:t>3,490.1 </w:t>
      </w:r>
      <w:r w:rsidRPr="00261B7A">
        <w:rPr>
          <w:rFonts w:cs="Calibri"/>
          <w:lang w:eastAsia="en-GB"/>
        </w:rPr>
        <w:t>kt CO</w:t>
      </w:r>
      <w:r w:rsidRPr="00261B7A">
        <w:rPr>
          <w:rFonts w:cs="Calibri"/>
          <w:vertAlign w:val="subscript"/>
          <w:lang w:eastAsia="en-GB"/>
        </w:rPr>
        <w:t>2</w:t>
      </w:r>
      <w:r w:rsidRPr="00261B7A">
        <w:rPr>
          <w:rFonts w:cs="Calibri"/>
          <w:lang w:eastAsia="en-GB"/>
        </w:rPr>
        <w:t>-e.</w:t>
      </w:r>
    </w:p>
    <w:p w14:paraId="0881D7B6" w14:textId="77777777" w:rsidR="009F5DA6" w:rsidRPr="00261B7A" w:rsidRDefault="009F5DA6" w:rsidP="004C583E">
      <w:pPr>
        <w:pStyle w:val="Heading4"/>
      </w:pPr>
      <w:r w:rsidRPr="00261B7A">
        <w:t>Changes in emissions between 2020 and 2021</w:t>
      </w:r>
    </w:p>
    <w:p w14:paraId="783D035B" w14:textId="77777777" w:rsidR="009F5DA6" w:rsidRPr="00261B7A" w:rsidRDefault="009F5DA6" w:rsidP="009F5DA6">
      <w:pPr>
        <w:pStyle w:val="BodyText"/>
        <w:rPr>
          <w:rFonts w:cs="Calibri"/>
          <w:lang w:eastAsia="en-GB"/>
        </w:rPr>
      </w:pPr>
      <w:r w:rsidRPr="00261B7A">
        <w:rPr>
          <w:rFonts w:cs="Calibri"/>
          <w:lang w:eastAsia="en-GB"/>
        </w:rPr>
        <w:t xml:space="preserve">Between </w:t>
      </w:r>
      <w:r w:rsidRPr="00261B7A">
        <w:rPr>
          <w:rFonts w:cs="Calibri"/>
        </w:rPr>
        <w:t xml:space="preserve">2020 </w:t>
      </w:r>
      <w:r w:rsidRPr="00261B7A">
        <w:rPr>
          <w:rFonts w:cs="Calibri"/>
          <w:lang w:eastAsia="en-GB"/>
        </w:rPr>
        <w:t xml:space="preserve">and </w:t>
      </w:r>
      <w:r w:rsidRPr="00261B7A">
        <w:rPr>
          <w:rFonts w:cs="Calibri"/>
        </w:rPr>
        <w:t>2021</w:t>
      </w:r>
      <w:r w:rsidRPr="00261B7A">
        <w:rPr>
          <w:rFonts w:cs="Calibri"/>
          <w:lang w:eastAsia="en-GB"/>
        </w:rPr>
        <w:t xml:space="preserve">, emissions from 1.A.1.a </w:t>
      </w:r>
      <w:r w:rsidRPr="00261B7A">
        <w:rPr>
          <w:rFonts w:cs="Calibri"/>
          <w:i/>
          <w:iCs/>
          <w:lang w:eastAsia="en-GB"/>
        </w:rPr>
        <w:t>Public electricity and heat production</w:t>
      </w:r>
      <w:r w:rsidRPr="00261B7A">
        <w:rPr>
          <w:rFonts w:cs="Calibri"/>
          <w:lang w:eastAsia="en-GB"/>
        </w:rPr>
        <w:t xml:space="preserve"> </w:t>
      </w:r>
      <w:r w:rsidRPr="00261B7A">
        <w:rPr>
          <w:rFonts w:cs="Calibri"/>
        </w:rPr>
        <w:t xml:space="preserve">decreased by 200.9 </w:t>
      </w:r>
      <w:r w:rsidRPr="00261B7A">
        <w:rPr>
          <w:rFonts w:cs="Calibri"/>
          <w:lang w:eastAsia="en-GB"/>
        </w:rPr>
        <w:t>kt CO</w:t>
      </w:r>
      <w:r w:rsidRPr="00261B7A">
        <w:rPr>
          <w:rFonts w:cs="Calibri"/>
          <w:vertAlign w:val="subscript"/>
          <w:lang w:eastAsia="en-GB"/>
        </w:rPr>
        <w:t>2</w:t>
      </w:r>
      <w:r w:rsidRPr="00261B7A">
        <w:rPr>
          <w:rFonts w:cs="Calibri"/>
          <w:lang w:eastAsia="en-GB"/>
        </w:rPr>
        <w:t>-e (4.4</w:t>
      </w:r>
      <w:r w:rsidRPr="00261B7A">
        <w:rPr>
          <w:rFonts w:cs="Calibri"/>
        </w:rPr>
        <w:t xml:space="preserve"> per cent</w:t>
      </w:r>
      <w:r w:rsidRPr="00261B7A">
        <w:rPr>
          <w:rFonts w:cs="Calibri"/>
          <w:lang w:eastAsia="en-GB"/>
        </w:rPr>
        <w:t>). This was largely because the</w:t>
      </w:r>
      <w:r w:rsidRPr="00261B7A">
        <w:rPr>
          <w:rFonts w:cs="Calibri"/>
        </w:rPr>
        <w:t xml:space="preserve"> share of electricity generated from renewable energy sources increased from 81.1 to 82.1 per cent over this period, due mainly to higher wind generation as several new wind farms came online during the year. The increased renewable generation displaced gas and coal-fired generation, which together </w:t>
      </w:r>
      <w:r w:rsidRPr="00261B7A">
        <w:rPr>
          <w:rFonts w:cs="Calibri"/>
          <w:lang w:eastAsia="en-GB"/>
        </w:rPr>
        <w:t xml:space="preserve">decreased 5.2 per cent from </w:t>
      </w:r>
      <w:r w:rsidRPr="00261B7A">
        <w:rPr>
          <w:rFonts w:cs="Calibri"/>
        </w:rPr>
        <w:t>2020</w:t>
      </w:r>
      <w:r w:rsidRPr="00261B7A">
        <w:rPr>
          <w:rFonts w:cs="Calibri"/>
          <w:lang w:eastAsia="en-GB"/>
        </w:rPr>
        <w:t>.</w:t>
      </w:r>
    </w:p>
    <w:p w14:paraId="57B6BAA2" w14:textId="77777777" w:rsidR="009F5DA6" w:rsidRPr="00261B7A" w:rsidRDefault="009F5DA6" w:rsidP="009F5DA6">
      <w:pPr>
        <w:pStyle w:val="BodyText"/>
        <w:rPr>
          <w:rFonts w:cs="Calibri"/>
        </w:rPr>
      </w:pPr>
      <w:r w:rsidRPr="00261B7A">
        <w:rPr>
          <w:rFonts w:cs="Calibri"/>
        </w:rPr>
        <w:t xml:space="preserve">Key categories identified in the 2021 level and trend assessment for the </w:t>
      </w:r>
      <w:r w:rsidRPr="00261B7A">
        <w:rPr>
          <w:rFonts w:cs="Calibri"/>
          <w:i/>
        </w:rPr>
        <w:t>Energy industries</w:t>
      </w:r>
      <w:r w:rsidRPr="00261B7A">
        <w:rPr>
          <w:rFonts w:cs="Calibri"/>
        </w:rPr>
        <w:t xml:space="preserve"> category are given in table 3.3.2.</w:t>
      </w:r>
    </w:p>
    <w:p w14:paraId="1822CD5E" w14:textId="77777777" w:rsidR="009F5DA6" w:rsidRPr="00261B7A" w:rsidRDefault="009F5DA6" w:rsidP="009F5DA6">
      <w:pPr>
        <w:pStyle w:val="Table"/>
      </w:pPr>
      <w:bookmarkStart w:id="310" w:name="_Toc68786406"/>
      <w:bookmarkStart w:id="311" w:name="_Toc131591319"/>
      <w:r w:rsidRPr="00261B7A">
        <w:t>Table 3.3.2</w:t>
      </w:r>
      <w:r w:rsidRPr="00261B7A">
        <w:tab/>
        <w:t xml:space="preserve">Key categories for 1.A.1 </w:t>
      </w:r>
      <w:r w:rsidRPr="00261B7A">
        <w:rPr>
          <w:i/>
          <w:iCs/>
        </w:rPr>
        <w:t>Energy industries</w:t>
      </w:r>
      <w:bookmarkEnd w:id="310"/>
      <w:bookmarkEnd w:id="311"/>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4788"/>
        <w:gridCol w:w="1267"/>
        <w:gridCol w:w="1266"/>
        <w:gridCol w:w="1184"/>
      </w:tblGrid>
      <w:tr w:rsidR="009F5DA6" w:rsidRPr="00261B7A" w14:paraId="44386990" w14:textId="77777777" w:rsidTr="00D41492">
        <w:trPr>
          <w:tblHeader/>
        </w:trPr>
        <w:tc>
          <w:tcPr>
            <w:tcW w:w="2815" w:type="pct"/>
            <w:shd w:val="clear" w:color="auto" w:fill="1B556B"/>
            <w:noWrap/>
            <w:vAlign w:val="bottom"/>
            <w:hideMark/>
          </w:tcPr>
          <w:p w14:paraId="0A2D53F0" w14:textId="77777777" w:rsidR="009F5DA6" w:rsidRPr="00261B7A" w:rsidRDefault="009F5DA6" w:rsidP="00D41492">
            <w:pPr>
              <w:pStyle w:val="TableTextBold"/>
              <w:rPr>
                <w:rFonts w:cs="Calibri"/>
                <w:noProof w:val="0"/>
                <w:color w:val="FFFFFF"/>
              </w:rPr>
            </w:pPr>
          </w:p>
        </w:tc>
        <w:tc>
          <w:tcPr>
            <w:tcW w:w="745" w:type="pct"/>
            <w:shd w:val="clear" w:color="auto" w:fill="1B556B"/>
            <w:noWrap/>
            <w:vAlign w:val="bottom"/>
            <w:hideMark/>
          </w:tcPr>
          <w:p w14:paraId="07F9C7ED" w14:textId="77777777" w:rsidR="009F5DA6" w:rsidRPr="00261B7A" w:rsidRDefault="009F5DA6" w:rsidP="00D41492">
            <w:pPr>
              <w:pStyle w:val="TableTextBold"/>
              <w:rPr>
                <w:rFonts w:cs="Calibri"/>
                <w:noProof w:val="0"/>
                <w:color w:val="FFFFFF"/>
              </w:rPr>
            </w:pPr>
            <w:r w:rsidRPr="00261B7A">
              <w:rPr>
                <w:rFonts w:cs="Calibri"/>
                <w:noProof w:val="0"/>
                <w:color w:val="FFFFFF"/>
              </w:rPr>
              <w:t>Liquid fuels</w:t>
            </w:r>
          </w:p>
        </w:tc>
        <w:tc>
          <w:tcPr>
            <w:tcW w:w="744" w:type="pct"/>
            <w:shd w:val="clear" w:color="auto" w:fill="1B556B"/>
            <w:vAlign w:val="bottom"/>
            <w:hideMark/>
          </w:tcPr>
          <w:p w14:paraId="1477893F" w14:textId="77777777" w:rsidR="009F5DA6" w:rsidRPr="00261B7A" w:rsidRDefault="009F5DA6" w:rsidP="00D41492">
            <w:pPr>
              <w:pStyle w:val="TableTextBold"/>
              <w:rPr>
                <w:rFonts w:cs="Calibri"/>
                <w:noProof w:val="0"/>
                <w:color w:val="FFFFFF"/>
              </w:rPr>
            </w:pPr>
            <w:r w:rsidRPr="00261B7A">
              <w:rPr>
                <w:rFonts w:cs="Calibri"/>
                <w:noProof w:val="0"/>
                <w:color w:val="FFFFFF"/>
              </w:rPr>
              <w:t>Solid fuels</w:t>
            </w:r>
          </w:p>
        </w:tc>
        <w:tc>
          <w:tcPr>
            <w:tcW w:w="696" w:type="pct"/>
            <w:shd w:val="clear" w:color="auto" w:fill="1B556B"/>
            <w:vAlign w:val="bottom"/>
            <w:hideMark/>
          </w:tcPr>
          <w:p w14:paraId="48D8E790" w14:textId="77777777" w:rsidR="009F5DA6" w:rsidRPr="00261B7A" w:rsidRDefault="009F5DA6" w:rsidP="00D41492">
            <w:pPr>
              <w:pStyle w:val="TableTextBold"/>
              <w:rPr>
                <w:rFonts w:cs="Calibri"/>
                <w:noProof w:val="0"/>
                <w:color w:val="FFFFFF"/>
              </w:rPr>
            </w:pPr>
            <w:r w:rsidRPr="00261B7A">
              <w:rPr>
                <w:rFonts w:cs="Calibri"/>
                <w:noProof w:val="0"/>
                <w:color w:val="FFFFFF"/>
              </w:rPr>
              <w:t>Gaseous fuels</w:t>
            </w:r>
          </w:p>
        </w:tc>
      </w:tr>
      <w:tr w:rsidR="009F5DA6" w:rsidRPr="00261B7A" w14:paraId="55FC5E9F" w14:textId="77777777" w:rsidTr="00D41492">
        <w:tc>
          <w:tcPr>
            <w:tcW w:w="2815" w:type="pct"/>
            <w:shd w:val="clear" w:color="auto" w:fill="auto"/>
            <w:noWrap/>
            <w:hideMark/>
          </w:tcPr>
          <w:p w14:paraId="43368284" w14:textId="77777777" w:rsidR="009F5DA6" w:rsidRPr="00261B7A" w:rsidRDefault="009F5DA6" w:rsidP="00D41492">
            <w:pPr>
              <w:pStyle w:val="TableText"/>
              <w:spacing w:before="50" w:after="50"/>
              <w:rPr>
                <w:rFonts w:cs="Calibri"/>
              </w:rPr>
            </w:pPr>
            <w:r w:rsidRPr="00261B7A">
              <w:rPr>
                <w:rFonts w:cs="Calibri"/>
              </w:rPr>
              <w:t>Public electricity and heat production – CO</w:t>
            </w:r>
            <w:r w:rsidRPr="00261B7A">
              <w:rPr>
                <w:rFonts w:cs="Calibri"/>
                <w:vertAlign w:val="subscript"/>
              </w:rPr>
              <w:t>2</w:t>
            </w:r>
          </w:p>
        </w:tc>
        <w:tc>
          <w:tcPr>
            <w:tcW w:w="745" w:type="pct"/>
            <w:shd w:val="clear" w:color="auto" w:fill="auto"/>
            <w:noWrap/>
            <w:hideMark/>
          </w:tcPr>
          <w:p w14:paraId="1D39ED8D" w14:textId="77777777" w:rsidR="009F5DA6" w:rsidRPr="00261B7A" w:rsidRDefault="009F5DA6" w:rsidP="00D41492">
            <w:pPr>
              <w:pStyle w:val="TableText"/>
              <w:spacing w:before="50" w:after="50"/>
              <w:rPr>
                <w:rFonts w:cs="Calibri"/>
              </w:rPr>
            </w:pPr>
          </w:p>
        </w:tc>
        <w:tc>
          <w:tcPr>
            <w:tcW w:w="744" w:type="pct"/>
            <w:shd w:val="clear" w:color="auto" w:fill="auto"/>
            <w:noWrap/>
            <w:hideMark/>
          </w:tcPr>
          <w:p w14:paraId="525B0DC4" w14:textId="77777777" w:rsidR="009F5DA6" w:rsidRPr="00261B7A" w:rsidRDefault="009F5DA6" w:rsidP="00D41492">
            <w:pPr>
              <w:pStyle w:val="TableText"/>
              <w:spacing w:before="50" w:after="50"/>
              <w:rPr>
                <w:rFonts w:cs="Calibri"/>
              </w:rPr>
            </w:pPr>
            <w:r w:rsidRPr="00261B7A">
              <w:rPr>
                <w:rFonts w:cs="Calibri"/>
              </w:rPr>
              <w:t>Level, trend</w:t>
            </w:r>
          </w:p>
        </w:tc>
        <w:tc>
          <w:tcPr>
            <w:tcW w:w="696" w:type="pct"/>
            <w:shd w:val="clear" w:color="auto" w:fill="auto"/>
            <w:noWrap/>
            <w:hideMark/>
          </w:tcPr>
          <w:p w14:paraId="0A2C065A" w14:textId="77777777" w:rsidR="009F5DA6" w:rsidRPr="00261B7A" w:rsidRDefault="009F5DA6" w:rsidP="00D41492">
            <w:pPr>
              <w:pStyle w:val="TableText"/>
              <w:spacing w:before="50" w:after="50"/>
              <w:rPr>
                <w:rFonts w:cs="Calibri"/>
              </w:rPr>
            </w:pPr>
            <w:r w:rsidRPr="00261B7A">
              <w:rPr>
                <w:rFonts w:cs="Calibri"/>
              </w:rPr>
              <w:t>Level, trend</w:t>
            </w:r>
          </w:p>
        </w:tc>
      </w:tr>
      <w:tr w:rsidR="009F5DA6" w:rsidRPr="00261B7A" w14:paraId="2D750541" w14:textId="77777777" w:rsidTr="00D41492">
        <w:tc>
          <w:tcPr>
            <w:tcW w:w="2815" w:type="pct"/>
            <w:shd w:val="clear" w:color="auto" w:fill="auto"/>
            <w:noWrap/>
            <w:hideMark/>
          </w:tcPr>
          <w:p w14:paraId="4DC6CEE1" w14:textId="77777777" w:rsidR="009F5DA6" w:rsidRPr="00261B7A" w:rsidRDefault="009F5DA6" w:rsidP="00D41492">
            <w:pPr>
              <w:pStyle w:val="TableText"/>
              <w:spacing w:before="50" w:after="50"/>
              <w:rPr>
                <w:rFonts w:cs="Calibri"/>
              </w:rPr>
            </w:pPr>
            <w:r w:rsidRPr="00261B7A">
              <w:rPr>
                <w:rFonts w:cs="Calibri"/>
              </w:rPr>
              <w:t>Petroleum refining – CO</w:t>
            </w:r>
            <w:r w:rsidRPr="00261B7A">
              <w:rPr>
                <w:rFonts w:cs="Calibri"/>
                <w:vertAlign w:val="subscript"/>
              </w:rPr>
              <w:t>2</w:t>
            </w:r>
          </w:p>
        </w:tc>
        <w:tc>
          <w:tcPr>
            <w:tcW w:w="745" w:type="pct"/>
            <w:shd w:val="clear" w:color="auto" w:fill="auto"/>
            <w:noWrap/>
            <w:hideMark/>
          </w:tcPr>
          <w:p w14:paraId="5EFB74C3" w14:textId="77777777" w:rsidR="009F5DA6" w:rsidRPr="00261B7A" w:rsidRDefault="009F5DA6" w:rsidP="00D41492">
            <w:pPr>
              <w:pStyle w:val="TableText"/>
              <w:spacing w:before="50" w:after="50"/>
              <w:rPr>
                <w:rFonts w:cs="Calibri"/>
              </w:rPr>
            </w:pPr>
            <w:r w:rsidRPr="00261B7A">
              <w:rPr>
                <w:rFonts w:cs="Calibri"/>
              </w:rPr>
              <w:t>Level, trend</w:t>
            </w:r>
          </w:p>
        </w:tc>
        <w:tc>
          <w:tcPr>
            <w:tcW w:w="744" w:type="pct"/>
            <w:shd w:val="clear" w:color="auto" w:fill="auto"/>
            <w:noWrap/>
          </w:tcPr>
          <w:p w14:paraId="6FBB53AC" w14:textId="77777777" w:rsidR="009F5DA6" w:rsidRPr="00261B7A" w:rsidRDefault="009F5DA6" w:rsidP="00D41492">
            <w:pPr>
              <w:pStyle w:val="TableText"/>
              <w:spacing w:before="50" w:after="50"/>
              <w:jc w:val="center"/>
              <w:rPr>
                <w:rFonts w:cs="Calibri"/>
              </w:rPr>
            </w:pPr>
          </w:p>
        </w:tc>
        <w:tc>
          <w:tcPr>
            <w:tcW w:w="696" w:type="pct"/>
            <w:shd w:val="clear" w:color="auto" w:fill="auto"/>
            <w:noWrap/>
            <w:hideMark/>
          </w:tcPr>
          <w:p w14:paraId="0085F0D6" w14:textId="77777777" w:rsidR="009F5DA6" w:rsidRPr="00261B7A" w:rsidRDefault="009F5DA6" w:rsidP="00D41492">
            <w:pPr>
              <w:pStyle w:val="TableText"/>
              <w:spacing w:before="50" w:after="50"/>
              <w:rPr>
                <w:rFonts w:cs="Calibri"/>
              </w:rPr>
            </w:pPr>
            <w:r w:rsidRPr="00261B7A">
              <w:rPr>
                <w:rFonts w:cs="Calibri"/>
              </w:rPr>
              <w:t>Trend</w:t>
            </w:r>
          </w:p>
        </w:tc>
      </w:tr>
      <w:tr w:rsidR="009F5DA6" w:rsidRPr="00261B7A" w14:paraId="1FEFBDCA" w14:textId="77777777" w:rsidTr="00D41492">
        <w:tc>
          <w:tcPr>
            <w:tcW w:w="2815" w:type="pct"/>
            <w:shd w:val="clear" w:color="auto" w:fill="auto"/>
            <w:noWrap/>
          </w:tcPr>
          <w:p w14:paraId="7D575B56" w14:textId="77777777" w:rsidR="009F5DA6" w:rsidRPr="00261B7A" w:rsidRDefault="009F5DA6" w:rsidP="00D41492">
            <w:pPr>
              <w:pStyle w:val="TableText"/>
              <w:spacing w:before="50" w:after="50"/>
              <w:rPr>
                <w:rFonts w:cs="Calibri"/>
              </w:rPr>
            </w:pPr>
            <w:r w:rsidRPr="00261B7A">
              <w:rPr>
                <w:rFonts w:cs="Calibri"/>
              </w:rPr>
              <w:t>Manufacture of solid fuels and other energy industries – CO</w:t>
            </w:r>
            <w:r w:rsidRPr="00261B7A">
              <w:rPr>
                <w:rFonts w:cs="Calibri"/>
                <w:vertAlign w:val="subscript"/>
              </w:rPr>
              <w:t>2</w:t>
            </w:r>
          </w:p>
        </w:tc>
        <w:tc>
          <w:tcPr>
            <w:tcW w:w="745" w:type="pct"/>
            <w:shd w:val="clear" w:color="auto" w:fill="auto"/>
            <w:noWrap/>
          </w:tcPr>
          <w:p w14:paraId="1B57FDF3" w14:textId="77777777" w:rsidR="009F5DA6" w:rsidRPr="00261B7A" w:rsidRDefault="009F5DA6" w:rsidP="00D41492">
            <w:pPr>
              <w:pStyle w:val="TableText"/>
              <w:spacing w:before="50" w:after="50"/>
              <w:rPr>
                <w:rFonts w:cs="Calibri"/>
              </w:rPr>
            </w:pPr>
          </w:p>
        </w:tc>
        <w:tc>
          <w:tcPr>
            <w:tcW w:w="744" w:type="pct"/>
            <w:shd w:val="clear" w:color="auto" w:fill="auto"/>
            <w:noWrap/>
          </w:tcPr>
          <w:p w14:paraId="19B60D59" w14:textId="77777777" w:rsidR="009F5DA6" w:rsidRPr="00261B7A" w:rsidRDefault="009F5DA6" w:rsidP="00D41492">
            <w:pPr>
              <w:pStyle w:val="TableText"/>
              <w:spacing w:before="50" w:after="50"/>
              <w:jc w:val="center"/>
              <w:rPr>
                <w:rFonts w:cs="Calibri"/>
              </w:rPr>
            </w:pPr>
          </w:p>
        </w:tc>
        <w:tc>
          <w:tcPr>
            <w:tcW w:w="696" w:type="pct"/>
            <w:shd w:val="clear" w:color="auto" w:fill="auto"/>
            <w:noWrap/>
          </w:tcPr>
          <w:p w14:paraId="782AE067" w14:textId="77777777" w:rsidR="009F5DA6" w:rsidRPr="00261B7A" w:rsidRDefault="009F5DA6" w:rsidP="00D41492">
            <w:pPr>
              <w:pStyle w:val="TableText"/>
              <w:spacing w:before="50" w:after="50"/>
              <w:rPr>
                <w:rFonts w:cs="Calibri"/>
              </w:rPr>
            </w:pPr>
            <w:r w:rsidRPr="00261B7A">
              <w:rPr>
                <w:rFonts w:cs="Calibri"/>
              </w:rPr>
              <w:t>Level, trend</w:t>
            </w:r>
          </w:p>
        </w:tc>
      </w:tr>
    </w:tbl>
    <w:p w14:paraId="4B50B74A" w14:textId="77777777" w:rsidR="009F5DA6" w:rsidRPr="00261B7A" w:rsidRDefault="009F5DA6" w:rsidP="009F5DA6">
      <w:pPr>
        <w:pStyle w:val="BodyText"/>
        <w:spacing w:before="240"/>
        <w:rPr>
          <w:rFonts w:ascii="Arial" w:hAnsi="Arial" w:cs="Arial"/>
        </w:rPr>
      </w:pPr>
      <w:r w:rsidRPr="00261B7A">
        <w:t>New Zealand’s electricity generation is dominated by hydroelectric generation. For the 2021 calendar year, hydro generation provided 55.5 per cent of New Zealand’s electricity generation. A further 18.4 per cent came from geothermal, 6.0 per cent from wind, 1.7 per cent from biomass and 0.5 per cent from solar. The remaining 17.8 per cent was provided by fossil fuel thermal generation plants using natural gas, coal and oil (MBIE, 2022).</w:t>
      </w:r>
    </w:p>
    <w:p w14:paraId="7294619B" w14:textId="77777777" w:rsidR="009F5DA6" w:rsidRPr="00261B7A" w:rsidRDefault="009F5DA6" w:rsidP="009F5DA6">
      <w:pPr>
        <w:pStyle w:val="BodyText"/>
        <w:rPr>
          <w:lang w:eastAsia="en-GB"/>
        </w:rPr>
      </w:pPr>
      <w:r w:rsidRPr="00261B7A">
        <w:rPr>
          <w:lang w:eastAsia="en-GB"/>
        </w:rPr>
        <w:t>Greenhouse</w:t>
      </w:r>
      <w:r w:rsidRPr="00261B7A">
        <w:t xml:space="preserve"> </w:t>
      </w:r>
      <w:r w:rsidRPr="00261B7A">
        <w:rPr>
          <w:lang w:eastAsia="en-GB"/>
        </w:rPr>
        <w:t xml:space="preserve">gas emissions </w:t>
      </w:r>
      <w:r w:rsidRPr="00261B7A">
        <w:t>from</w:t>
      </w:r>
      <w:r w:rsidRPr="00261B7A">
        <w:rPr>
          <w:lang w:eastAsia="en-GB"/>
        </w:rPr>
        <w:t xml:space="preserve"> the </w:t>
      </w:r>
      <w:r w:rsidRPr="00261B7A">
        <w:rPr>
          <w:i/>
          <w:lang w:eastAsia="en-GB"/>
        </w:rPr>
        <w:t>Public electricity and heat production</w:t>
      </w:r>
      <w:r w:rsidRPr="00261B7A">
        <w:rPr>
          <w:lang w:eastAsia="en-GB"/>
        </w:rPr>
        <w:t xml:space="preserve"> category show large year-to-year fluctuations between 1990 and </w:t>
      </w:r>
      <w:r w:rsidRPr="00261B7A">
        <w:t>2021</w:t>
      </w:r>
      <w:r w:rsidRPr="00261B7A">
        <w:rPr>
          <w:lang w:eastAsia="en-GB"/>
        </w:rPr>
        <w:t xml:space="preserve">. These fluctuations can also be seen over the time series for New Zealand’s gross emissions. The fluctuations are influenced by the close inverse relationship between thermal and renewable generation (see </w:t>
      </w:r>
      <w:r w:rsidRPr="00261B7A">
        <w:t>figure 3.3.6</w:t>
      </w:r>
      <w:r w:rsidRPr="00261B7A">
        <w:rPr>
          <w:lang w:eastAsia="en-GB"/>
        </w:rPr>
        <w:t xml:space="preserve">). In a dry year, when low rainfall affects most of New Zealand’s hydro lake levels, any shortfall in </w:t>
      </w:r>
      <w:r w:rsidRPr="00261B7A">
        <w:rPr>
          <w:spacing w:val="-2"/>
          <w:lang w:eastAsia="en-GB"/>
        </w:rPr>
        <w:t>hydroelectric generation is made up by increased thermal electricity generation. New Zealand’s</w:t>
      </w:r>
      <w:r w:rsidRPr="00261B7A">
        <w:rPr>
          <w:lang w:eastAsia="en-GB"/>
        </w:rPr>
        <w:t xml:space="preserve"> hydro resources have limited storage capacity; total reservoir storage is only around 10 per cent of New Zealand’s annual demand. Hence, regular rainfall throughout the year is needed to sustain a high level of hydro generation. Electricity generation in a ‘normal’ hydro year does not require significant use of natural gas and coal, while a ‘dry’ hydro year requires higher use of natural gas and coal.</w:t>
      </w:r>
    </w:p>
    <w:p w14:paraId="41715B57" w14:textId="4AF29B95" w:rsidR="009F5DA6" w:rsidRPr="00261B7A" w:rsidRDefault="009F5DA6" w:rsidP="009F5DA6">
      <w:pPr>
        <w:pStyle w:val="Figure"/>
        <w:rPr>
          <w:rFonts w:cs="Calibri"/>
          <w:lang w:eastAsia="en-GB"/>
        </w:rPr>
      </w:pPr>
      <w:bookmarkStart w:id="312" w:name="_Ref442370451"/>
      <w:bookmarkStart w:id="313" w:name="_Toc321399328"/>
      <w:bookmarkStart w:id="314" w:name="_Toc384582856"/>
      <w:bookmarkStart w:id="315" w:name="_Toc443060816"/>
      <w:bookmarkStart w:id="316" w:name="_Toc447275673"/>
      <w:bookmarkStart w:id="317" w:name="_Toc481751991"/>
      <w:bookmarkStart w:id="318" w:name="_Toc36292775"/>
      <w:bookmarkStart w:id="319" w:name="_Toc68786640"/>
      <w:bookmarkStart w:id="320" w:name="_Toc95834075"/>
      <w:bookmarkStart w:id="321" w:name="_Toc131591542"/>
      <w:r w:rsidRPr="00261B7A">
        <w:rPr>
          <w:rFonts w:cs="Calibri"/>
        </w:rPr>
        <w:t>Figure 3.3.</w:t>
      </w:r>
      <w:r w:rsidRPr="00261B7A">
        <w:rPr>
          <w:rFonts w:cs="Calibri"/>
        </w:rPr>
        <w:fldChar w:fldCharType="begin"/>
      </w:r>
      <w:r w:rsidRPr="00261B7A">
        <w:rPr>
          <w:rFonts w:cs="Calibri"/>
        </w:rPr>
        <w:instrText xml:space="preserve"> SEQ Figure \* ARABIC \s 2 </w:instrText>
      </w:r>
      <w:r w:rsidRPr="00261B7A">
        <w:rPr>
          <w:rFonts w:cs="Calibri"/>
        </w:rPr>
        <w:fldChar w:fldCharType="separate"/>
      </w:r>
      <w:r w:rsidR="008F39B8">
        <w:rPr>
          <w:rFonts w:cs="Calibri"/>
          <w:noProof/>
        </w:rPr>
        <w:t>6</w:t>
      </w:r>
      <w:r w:rsidRPr="00261B7A">
        <w:rPr>
          <w:rFonts w:cs="Calibri"/>
        </w:rPr>
        <w:fldChar w:fldCharType="end"/>
      </w:r>
      <w:bookmarkEnd w:id="312"/>
      <w:r w:rsidRPr="00261B7A">
        <w:rPr>
          <w:rFonts w:cs="Calibri"/>
          <w:lang w:eastAsia="en-GB"/>
        </w:rPr>
        <w:tab/>
        <w:t xml:space="preserve">New Zealand’s </w:t>
      </w:r>
      <w:r w:rsidRPr="00261B7A">
        <w:rPr>
          <w:rFonts w:cs="Calibri"/>
        </w:rPr>
        <w:t>electricity</w:t>
      </w:r>
      <w:r w:rsidRPr="00261B7A">
        <w:rPr>
          <w:rFonts w:cs="Calibri"/>
          <w:lang w:eastAsia="en-GB"/>
        </w:rPr>
        <w:t xml:space="preserve"> generation by source</w:t>
      </w:r>
      <w:bookmarkEnd w:id="313"/>
      <w:bookmarkEnd w:id="314"/>
      <w:bookmarkEnd w:id="315"/>
      <w:bookmarkEnd w:id="316"/>
      <w:bookmarkEnd w:id="317"/>
      <w:bookmarkEnd w:id="318"/>
      <w:r w:rsidRPr="00261B7A">
        <w:rPr>
          <w:rFonts w:cs="Calibri"/>
          <w:lang w:eastAsia="en-GB"/>
        </w:rPr>
        <w:t xml:space="preserve"> from 1990</w:t>
      </w:r>
      <w:r w:rsidR="00B60E89" w:rsidRPr="00261B7A">
        <w:rPr>
          <w:rFonts w:cs="Calibri"/>
          <w:lang w:eastAsia="en-GB"/>
        </w:rPr>
        <w:t> </w:t>
      </w:r>
      <w:r w:rsidRPr="00261B7A">
        <w:rPr>
          <w:rFonts w:cs="Calibri"/>
          <w:lang w:eastAsia="en-GB"/>
        </w:rPr>
        <w:t>to</w:t>
      </w:r>
      <w:bookmarkEnd w:id="319"/>
      <w:bookmarkEnd w:id="320"/>
      <w:r w:rsidR="00B60E89" w:rsidRPr="00261B7A">
        <w:rPr>
          <w:rFonts w:cs="Calibri"/>
          <w:lang w:eastAsia="en-GB"/>
        </w:rPr>
        <w:t> </w:t>
      </w:r>
      <w:r w:rsidRPr="00261B7A">
        <w:rPr>
          <w:rFonts w:cs="Calibri"/>
          <w:lang w:eastAsia="en-GB"/>
        </w:rPr>
        <w:t>2021</w:t>
      </w:r>
      <w:bookmarkEnd w:id="321"/>
    </w:p>
    <w:p w14:paraId="34C9DEF7" w14:textId="77777777" w:rsidR="009F5DA6" w:rsidRPr="00261B7A" w:rsidRDefault="009F5DA6" w:rsidP="009F5DA6">
      <w:pPr>
        <w:pStyle w:val="BodyText"/>
        <w:spacing w:after="0"/>
      </w:pPr>
      <w:r w:rsidRPr="00261B7A">
        <w:rPr>
          <w:noProof/>
        </w:rPr>
        <w:drawing>
          <wp:inline distT="0" distB="0" distL="0" distR="0" wp14:anchorId="5B6FB746" wp14:editId="67D6D7F6">
            <wp:extent cx="5398135" cy="2450592"/>
            <wp:effectExtent l="0" t="0" r="0" b="6985"/>
            <wp:docPr id="249035901" name="Picture 2490359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035901"/>
                    <pic:cNvPicPr/>
                  </pic:nvPicPr>
                  <pic:blipFill rotWithShape="1">
                    <a:blip r:embed="rId71" cstate="print">
                      <a:extLst>
                        <a:ext uri="{28A0092B-C50C-407E-A947-70E740481C1C}">
                          <a14:useLocalDpi xmlns:a14="http://schemas.microsoft.com/office/drawing/2010/main" val="0"/>
                        </a:ext>
                      </a:extLst>
                    </a:blip>
                    <a:srcRect t="2717" b="6489"/>
                    <a:stretch/>
                  </pic:blipFill>
                  <pic:spPr bwMode="auto">
                    <a:xfrm>
                      <a:off x="0" y="0"/>
                      <a:ext cx="5398768" cy="2450879"/>
                    </a:xfrm>
                    <a:prstGeom prst="rect">
                      <a:avLst/>
                    </a:prstGeom>
                    <a:ln>
                      <a:noFill/>
                    </a:ln>
                    <a:extLst>
                      <a:ext uri="{53640926-AAD7-44D8-BBD7-CCE9431645EC}">
                        <a14:shadowObscured xmlns:a14="http://schemas.microsoft.com/office/drawing/2010/main"/>
                      </a:ext>
                    </a:extLst>
                  </pic:spPr>
                </pic:pic>
              </a:graphicData>
            </a:graphic>
          </wp:inline>
        </w:drawing>
      </w:r>
    </w:p>
    <w:p w14:paraId="3F7B72B6" w14:textId="77777777" w:rsidR="009F5DA6" w:rsidRPr="00261B7A" w:rsidRDefault="009F5DA6" w:rsidP="004C583E">
      <w:pPr>
        <w:pStyle w:val="Heading4"/>
      </w:pPr>
      <w:r w:rsidRPr="00261B7A">
        <w:t>Methodological issues</w:t>
      </w:r>
    </w:p>
    <w:p w14:paraId="7DEC86CE" w14:textId="77777777" w:rsidR="009F5DA6" w:rsidRPr="00261B7A" w:rsidRDefault="009F5DA6" w:rsidP="009F5DA6">
      <w:pPr>
        <w:pStyle w:val="Heading5"/>
        <w:spacing w:before="120"/>
        <w:rPr>
          <w:rFonts w:cs="Calibri"/>
        </w:rPr>
      </w:pPr>
      <w:r w:rsidRPr="00261B7A">
        <w:rPr>
          <w:rFonts w:cs="Calibri"/>
          <w:lang w:eastAsia="en-GB"/>
        </w:rPr>
        <w:t>1.A.1.c Manufacture of solid fuels and other energy industries</w:t>
      </w:r>
    </w:p>
    <w:p w14:paraId="75FC931B" w14:textId="77777777" w:rsidR="009F5DA6" w:rsidRPr="00261B7A" w:rsidRDefault="009F5DA6" w:rsidP="009F5DA6">
      <w:pPr>
        <w:pStyle w:val="BodyText"/>
        <w:rPr>
          <w:rFonts w:cs="Calibri"/>
          <w:lang w:eastAsia="en-GB"/>
        </w:rPr>
      </w:pPr>
      <w:r w:rsidRPr="00261B7A">
        <w:rPr>
          <w:rFonts w:cs="Calibri"/>
          <w:lang w:eastAsia="en-GB"/>
        </w:rPr>
        <w:t>Methanex New Zealand produced synthetic gasoline until 1997. A Tier 2 methodology was used to estimate CO</w:t>
      </w:r>
      <w:r w:rsidRPr="00261B7A">
        <w:rPr>
          <w:rFonts w:cs="Calibri"/>
          <w:vertAlign w:val="subscript"/>
          <w:lang w:eastAsia="en-GB"/>
        </w:rPr>
        <w:t>2</w:t>
      </w:r>
      <w:r w:rsidRPr="00261B7A">
        <w:rPr>
          <w:rFonts w:cs="Calibri"/>
          <w:lang w:eastAsia="en-GB"/>
        </w:rPr>
        <w:t xml:space="preserve"> emissions based on the annual weighted average gas emission factor. </w:t>
      </w:r>
    </w:p>
    <w:p w14:paraId="75A45FD4" w14:textId="77777777" w:rsidR="009F5DA6" w:rsidRPr="00261B7A" w:rsidRDefault="009F5DA6" w:rsidP="004C583E">
      <w:pPr>
        <w:pStyle w:val="Heading4"/>
      </w:pPr>
      <w:r w:rsidRPr="00261B7A">
        <w:t>Activity data</w:t>
      </w:r>
    </w:p>
    <w:p w14:paraId="3DFD2CF2" w14:textId="77777777" w:rsidR="009F5DA6" w:rsidRPr="00261B7A" w:rsidRDefault="009F5DA6" w:rsidP="009F5DA6">
      <w:pPr>
        <w:pStyle w:val="Heading5"/>
        <w:spacing w:before="120"/>
        <w:rPr>
          <w:rFonts w:cs="Calibri"/>
        </w:rPr>
      </w:pPr>
      <w:r w:rsidRPr="00261B7A">
        <w:rPr>
          <w:rFonts w:cs="Calibri"/>
          <w:lang w:eastAsia="en-GB"/>
        </w:rPr>
        <w:t>1.A.1.a Public electricity and heat production</w:t>
      </w:r>
    </w:p>
    <w:p w14:paraId="34B20D2B" w14:textId="77777777" w:rsidR="009F5DA6" w:rsidRPr="00261B7A" w:rsidRDefault="009F5DA6" w:rsidP="009F5DA6">
      <w:pPr>
        <w:pStyle w:val="BodyText"/>
        <w:rPr>
          <w:rFonts w:cs="Calibri"/>
          <w:lang w:eastAsia="en-GB"/>
        </w:rPr>
      </w:pPr>
      <w:r w:rsidRPr="00261B7A">
        <w:rPr>
          <w:rFonts w:cs="Calibri"/>
          <w:lang w:eastAsia="en-GB"/>
        </w:rPr>
        <w:t xml:space="preserve">All thermal electricity generators provide figures to MBIE for the amount of coal, natural gas and oil used for electricity generation. Greenhouse gas emissions from geothermal electricity generation are reported under 1.B.2.d </w:t>
      </w:r>
      <w:r w:rsidRPr="00261B7A">
        <w:rPr>
          <w:rFonts w:cs="Calibri"/>
          <w:i/>
          <w:iCs/>
          <w:lang w:eastAsia="en-GB"/>
        </w:rPr>
        <w:t>Fugitive emissions – Geothermal</w:t>
      </w:r>
      <w:r w:rsidRPr="00261B7A">
        <w:rPr>
          <w:rFonts w:cs="Calibri"/>
          <w:lang w:eastAsia="en-GB"/>
        </w:rPr>
        <w:t>.</w:t>
      </w:r>
    </w:p>
    <w:p w14:paraId="2DAFE883" w14:textId="77777777" w:rsidR="009F5DA6" w:rsidRPr="00261B7A" w:rsidRDefault="009F5DA6" w:rsidP="009F5DA6">
      <w:pPr>
        <w:pStyle w:val="BodyText"/>
        <w:rPr>
          <w:rFonts w:cs="Calibri"/>
          <w:lang w:eastAsia="en-GB"/>
        </w:rPr>
      </w:pPr>
      <w:r w:rsidRPr="00261B7A">
        <w:rPr>
          <w:rFonts w:cs="Calibri"/>
          <w:lang w:eastAsia="en-GB"/>
        </w:rPr>
        <w:t xml:space="preserve">Around 5 per cent of New Zealand’s electricity is supplied by co-generation (also known as combined heat and power) (MBIE, 2022). Most major co-generation plants are attached to large industrial facilities that consume the majority of the generated electricity and heat. </w:t>
      </w:r>
    </w:p>
    <w:p w14:paraId="5077C4C7" w14:textId="77777777" w:rsidR="009F5DA6" w:rsidRPr="00261B7A" w:rsidRDefault="009F5DA6" w:rsidP="009F5DA6">
      <w:pPr>
        <w:pStyle w:val="BodyText"/>
        <w:rPr>
          <w:rFonts w:cs="Calibri"/>
          <w:lang w:eastAsia="en-GB"/>
        </w:rPr>
      </w:pPr>
      <w:r w:rsidRPr="00261B7A">
        <w:rPr>
          <w:rFonts w:cs="Calibri"/>
          <w:lang w:eastAsia="en-GB"/>
        </w:rPr>
        <w:t xml:space="preserve">Six co-generation plants that fit the IPCC 2006 definition of public electricity and heat production produce electricity as their primary purpose. The emissions from these plants are included in 1.A.1.a </w:t>
      </w:r>
      <w:r w:rsidRPr="00261B7A">
        <w:rPr>
          <w:rFonts w:cs="Calibri"/>
          <w:i/>
          <w:lang w:eastAsia="en-GB"/>
        </w:rPr>
        <w:t>Public electricity and heat production</w:t>
      </w:r>
      <w:r w:rsidRPr="00261B7A">
        <w:rPr>
          <w:rFonts w:cs="Calibri"/>
          <w:lang w:eastAsia="en-GB"/>
        </w:rPr>
        <w:t>, while emissions from other co</w:t>
      </w:r>
      <w:r w:rsidRPr="00261B7A">
        <w:rPr>
          <w:rFonts w:cs="Calibri"/>
          <w:lang w:eastAsia="en-GB"/>
        </w:rPr>
        <w:noBreakHyphen/>
        <w:t xml:space="preserve">generation plants are included in 1.A.2 </w:t>
      </w:r>
      <w:r w:rsidRPr="00261B7A">
        <w:rPr>
          <w:rFonts w:cs="Calibri"/>
          <w:i/>
          <w:lang w:eastAsia="en-GB"/>
        </w:rPr>
        <w:t>Manufacturing industries and construction</w:t>
      </w:r>
      <w:r w:rsidRPr="00261B7A">
        <w:rPr>
          <w:rFonts w:cs="Calibri"/>
          <w:lang w:eastAsia="en-GB"/>
        </w:rPr>
        <w:t xml:space="preserve"> (section 3.3.7). </w:t>
      </w:r>
    </w:p>
    <w:p w14:paraId="1DC4E24F" w14:textId="77777777" w:rsidR="009F5DA6" w:rsidRPr="00261B7A" w:rsidRDefault="009F5DA6" w:rsidP="009F5DA6">
      <w:pPr>
        <w:pStyle w:val="BodyText"/>
        <w:rPr>
          <w:rFonts w:cs="Calibri"/>
          <w:lang w:eastAsia="en-GB"/>
        </w:rPr>
      </w:pPr>
      <w:r w:rsidRPr="00261B7A">
        <w:rPr>
          <w:rFonts w:cs="Calibri"/>
          <w:lang w:eastAsia="en-GB"/>
        </w:rPr>
        <w:t>To establish a consistent approach to on-site generation, MBIE developed a decision tree to guide the allocation of associated fuel consumption and identify whether the plant is a main activity electricity generator or an autoproducer (see figure</w:t>
      </w:r>
      <w:r w:rsidRPr="00261B7A">
        <w:rPr>
          <w:rFonts w:cs="Calibri"/>
        </w:rPr>
        <w:t xml:space="preserve"> 3.3.7</w:t>
      </w:r>
      <w:r w:rsidRPr="00261B7A">
        <w:rPr>
          <w:rFonts w:cs="Calibri"/>
          <w:lang w:eastAsia="en-GB"/>
        </w:rPr>
        <w:t>).</w:t>
      </w:r>
    </w:p>
    <w:p w14:paraId="252AA646" w14:textId="2E51F499" w:rsidR="009F5DA6" w:rsidRPr="00261B7A" w:rsidRDefault="009F5DA6" w:rsidP="009F5DA6">
      <w:pPr>
        <w:pStyle w:val="Figure"/>
        <w:rPr>
          <w:rFonts w:cs="Calibri"/>
        </w:rPr>
      </w:pPr>
      <w:bookmarkStart w:id="322" w:name="_Ref442370479"/>
      <w:bookmarkStart w:id="323" w:name="_Toc321399329"/>
      <w:bookmarkStart w:id="324" w:name="_Toc384582857"/>
      <w:bookmarkStart w:id="325" w:name="_Toc443060817"/>
      <w:bookmarkStart w:id="326" w:name="_Toc447275674"/>
      <w:bookmarkStart w:id="327" w:name="_Toc481751992"/>
      <w:bookmarkStart w:id="328" w:name="_Toc36292776"/>
      <w:bookmarkStart w:id="329" w:name="_Toc68786641"/>
      <w:bookmarkStart w:id="330" w:name="_Toc95834076"/>
      <w:bookmarkStart w:id="331" w:name="_Toc131591543"/>
      <w:r w:rsidRPr="00261B7A">
        <w:rPr>
          <w:rFonts w:cs="Calibri"/>
        </w:rPr>
        <w:t>Figure 3.3.</w:t>
      </w:r>
      <w:r w:rsidRPr="00261B7A">
        <w:rPr>
          <w:rFonts w:cs="Calibri"/>
        </w:rPr>
        <w:fldChar w:fldCharType="begin"/>
      </w:r>
      <w:r w:rsidRPr="00261B7A">
        <w:rPr>
          <w:rFonts w:cs="Calibri"/>
        </w:rPr>
        <w:instrText xml:space="preserve"> SEQ Figure \* ARABIC \s 2 </w:instrText>
      </w:r>
      <w:r w:rsidRPr="00261B7A">
        <w:rPr>
          <w:rFonts w:cs="Calibri"/>
        </w:rPr>
        <w:fldChar w:fldCharType="separate"/>
      </w:r>
      <w:r w:rsidR="008F39B8">
        <w:rPr>
          <w:rFonts w:cs="Calibri"/>
          <w:noProof/>
        </w:rPr>
        <w:t>7</w:t>
      </w:r>
      <w:r w:rsidRPr="00261B7A">
        <w:rPr>
          <w:rFonts w:cs="Calibri"/>
        </w:rPr>
        <w:fldChar w:fldCharType="end"/>
      </w:r>
      <w:bookmarkEnd w:id="322"/>
      <w:r w:rsidRPr="00261B7A">
        <w:rPr>
          <w:rFonts w:cs="Calibri"/>
          <w:lang w:eastAsia="en-GB"/>
        </w:rPr>
        <w:tab/>
        <w:t xml:space="preserve">Decision tree </w:t>
      </w:r>
      <w:bookmarkEnd w:id="323"/>
      <w:r w:rsidRPr="00261B7A">
        <w:rPr>
          <w:rFonts w:cs="Calibri"/>
          <w:lang w:eastAsia="en-GB"/>
        </w:rPr>
        <w:t>to identify a main activity electricity generator or an autoproducer</w:t>
      </w:r>
      <w:bookmarkEnd w:id="324"/>
      <w:bookmarkEnd w:id="325"/>
      <w:bookmarkEnd w:id="326"/>
      <w:bookmarkEnd w:id="327"/>
      <w:bookmarkEnd w:id="328"/>
      <w:bookmarkEnd w:id="329"/>
      <w:bookmarkEnd w:id="330"/>
      <w:bookmarkEnd w:id="331"/>
    </w:p>
    <w:p w14:paraId="7039A065" w14:textId="77777777" w:rsidR="009F5DA6" w:rsidRPr="00261B7A" w:rsidRDefault="009F5DA6" w:rsidP="009F5DA6">
      <w:pPr>
        <w:pStyle w:val="BodyText"/>
        <w:spacing w:before="0" w:after="80"/>
        <w:jc w:val="center"/>
        <w:rPr>
          <w:rFonts w:cs="Calibri"/>
        </w:rPr>
      </w:pPr>
      <w:r w:rsidRPr="00261B7A">
        <w:rPr>
          <w:rFonts w:cs="Calibri"/>
        </w:rPr>
        <w:object w:dxaOrig="6684" w:dyaOrig="4591" w14:anchorId="10C8AEBC">
          <v:shape id="_x0000_i1027" type="#_x0000_t75" style="width:4in;height:192.5pt" o:ole="">
            <v:imagedata r:id="rId72" o:title=""/>
          </v:shape>
          <o:OLEObject Type="Embed" ProgID="Visio.Drawing.11" ShapeID="_x0000_i1027" DrawAspect="Content" ObjectID="_1742911566" r:id="rId73"/>
        </w:object>
      </w:r>
    </w:p>
    <w:p w14:paraId="6DCB4224" w14:textId="77777777" w:rsidR="009F5DA6" w:rsidRPr="00261B7A" w:rsidRDefault="009F5DA6" w:rsidP="009F5DA6">
      <w:pPr>
        <w:pStyle w:val="Heading5"/>
        <w:spacing w:before="360"/>
        <w:rPr>
          <w:rFonts w:cs="Calibri"/>
        </w:rPr>
      </w:pPr>
      <w:r w:rsidRPr="00261B7A">
        <w:rPr>
          <w:rFonts w:cs="Calibri"/>
          <w:lang w:eastAsia="en-GB"/>
        </w:rPr>
        <w:t xml:space="preserve">1.A.1.b </w:t>
      </w:r>
      <w:r w:rsidRPr="00261B7A">
        <w:rPr>
          <w:rFonts w:cs="Calibri"/>
        </w:rPr>
        <w:t>Petroleum</w:t>
      </w:r>
      <w:r w:rsidRPr="00261B7A">
        <w:rPr>
          <w:rFonts w:cs="Calibri"/>
          <w:lang w:eastAsia="en-GB"/>
        </w:rPr>
        <w:t xml:space="preserve"> refining</w:t>
      </w:r>
    </w:p>
    <w:p w14:paraId="29B55E3C" w14:textId="77777777" w:rsidR="009F5DA6" w:rsidRPr="00261B7A" w:rsidRDefault="009F5DA6" w:rsidP="009F5DA6">
      <w:pPr>
        <w:pStyle w:val="BodyText"/>
        <w:keepLines/>
        <w:spacing w:before="100"/>
        <w:rPr>
          <w:rFonts w:cs="Calibri"/>
          <w:lang w:eastAsia="en-GB"/>
        </w:rPr>
      </w:pPr>
      <w:r w:rsidRPr="00261B7A">
        <w:rPr>
          <w:rFonts w:cs="Calibri"/>
          <w:lang w:eastAsia="en-GB"/>
        </w:rPr>
        <w:t xml:space="preserve">Petroleum refining in New Zealand occurs at only one site: the Marsden Point Oil Refinery, owned by Refining New Zealand. Refining New Zealand provides annual activity data and </w:t>
      </w:r>
      <w:r w:rsidRPr="00C45BE2">
        <w:rPr>
          <w:rFonts w:cs="Calibri"/>
          <w:spacing w:val="-2"/>
          <w:lang w:eastAsia="en-GB"/>
        </w:rPr>
        <w:t>emission factors for each type of fuel being consumed at the site. The fuel-type specific emission</w:t>
      </w:r>
      <w:r w:rsidRPr="00261B7A">
        <w:rPr>
          <w:rFonts w:cs="Calibri"/>
          <w:lang w:eastAsia="en-GB"/>
        </w:rPr>
        <w:t xml:space="preserve"> factors were adopted under the Government’s Projects to Reduce Emissions in 2003. </w:t>
      </w:r>
    </w:p>
    <w:p w14:paraId="2DECE0B7" w14:textId="77777777" w:rsidR="009F5DA6" w:rsidRPr="00261B7A" w:rsidRDefault="009F5DA6" w:rsidP="009F5DA6">
      <w:pPr>
        <w:pStyle w:val="BodyText"/>
        <w:spacing w:before="100"/>
        <w:rPr>
          <w:rFonts w:cs="Calibri"/>
          <w:lang w:eastAsia="en-GB"/>
        </w:rPr>
      </w:pPr>
      <w:r w:rsidRPr="00261B7A">
        <w:rPr>
          <w:rFonts w:cs="Calibri"/>
          <w:lang w:eastAsia="en-GB"/>
        </w:rPr>
        <w:t xml:space="preserve">Refinery gas is obtained during the distillation of crude oil and production of oil products. As a result, emissions from its combustion are implicitly included under liquid fuels in the reference approach. </w:t>
      </w:r>
    </w:p>
    <w:p w14:paraId="737599CE" w14:textId="77777777" w:rsidR="009F5DA6" w:rsidRPr="00261B7A" w:rsidRDefault="009F5DA6" w:rsidP="009F5DA6">
      <w:pPr>
        <w:pStyle w:val="Heading5"/>
        <w:rPr>
          <w:rFonts w:cs="Calibri"/>
          <w:lang w:eastAsia="en-GB"/>
        </w:rPr>
      </w:pPr>
      <w:r w:rsidRPr="00261B7A">
        <w:rPr>
          <w:rFonts w:cs="Calibri"/>
          <w:iCs w:val="0"/>
          <w:lang w:eastAsia="en-GB"/>
        </w:rPr>
        <w:t>1.A.1.c.ii</w:t>
      </w:r>
      <w:r w:rsidRPr="00261B7A">
        <w:rPr>
          <w:rFonts w:cs="Calibri"/>
          <w:i w:val="0"/>
          <w:iCs w:val="0"/>
          <w:lang w:eastAsia="en-GB"/>
        </w:rPr>
        <w:t xml:space="preserve"> </w:t>
      </w:r>
      <w:r w:rsidRPr="00261B7A">
        <w:rPr>
          <w:rFonts w:cs="Calibri"/>
          <w:lang w:eastAsia="en-GB"/>
        </w:rPr>
        <w:t>Manufacture of solid fuels and other energy industries – Other energy industries</w:t>
      </w:r>
    </w:p>
    <w:p w14:paraId="019A5F10" w14:textId="77777777" w:rsidR="009F5DA6" w:rsidRPr="00261B7A" w:rsidRDefault="009F5DA6" w:rsidP="009F5DA6">
      <w:pPr>
        <w:pStyle w:val="BodyText"/>
        <w:spacing w:before="100"/>
        <w:rPr>
          <w:rFonts w:cs="Calibri"/>
          <w:lang w:eastAsia="en-GB"/>
        </w:rPr>
      </w:pPr>
      <w:r w:rsidRPr="00261B7A">
        <w:rPr>
          <w:rFonts w:cs="Calibri"/>
          <w:lang w:eastAsia="en-GB"/>
        </w:rPr>
        <w:t xml:space="preserve">Activity data for the useful combustion (own use) of natural gas during oil and gas extraction are provided to MBIE by each individual gas and/or oil field operator. Some crude oil is also combusted (own use) during oil and gas extraction. The quantity is reported directly by the oil and/or gas field operator to MBIE. </w:t>
      </w:r>
    </w:p>
    <w:p w14:paraId="1A3D9998" w14:textId="77777777" w:rsidR="009F5DA6" w:rsidRPr="00261B7A" w:rsidRDefault="009F5DA6" w:rsidP="009F5DA6">
      <w:pPr>
        <w:pStyle w:val="BodyText"/>
        <w:spacing w:before="100"/>
        <w:rPr>
          <w:rFonts w:cs="Calibri"/>
          <w:lang w:eastAsia="en-GB"/>
        </w:rPr>
      </w:pPr>
      <w:r w:rsidRPr="00261B7A">
        <w:rPr>
          <w:rFonts w:cs="Calibri"/>
          <w:lang w:eastAsia="en-GB"/>
        </w:rPr>
        <w:t>Emissions from natural gas combustion (own use) for the purpose of natural gas transmission are reported directly to MBIE by the transmission network operator. Emissions from natural gas combustion (own use) for the purpose of natural gas processing are reported directly to MBIE by the plant operator.</w:t>
      </w:r>
    </w:p>
    <w:p w14:paraId="483A1936" w14:textId="77777777" w:rsidR="009F5DA6" w:rsidRPr="00261B7A" w:rsidRDefault="009F5DA6" w:rsidP="009F5DA6">
      <w:pPr>
        <w:pStyle w:val="BodyText"/>
        <w:spacing w:before="100"/>
        <w:rPr>
          <w:rFonts w:cs="Calibri"/>
          <w:lang w:eastAsia="en-GB"/>
        </w:rPr>
      </w:pPr>
      <w:r w:rsidRPr="00261B7A">
        <w:rPr>
          <w:rFonts w:cs="Calibri"/>
          <w:lang w:eastAsia="en-GB"/>
        </w:rPr>
        <w:t>Losses and own use of coal by coal mining entities are reported as a single item, so data on on</w:t>
      </w:r>
      <w:r w:rsidRPr="00261B7A">
        <w:rPr>
          <w:rFonts w:cs="Calibri"/>
          <w:lang w:eastAsia="en-GB"/>
        </w:rPr>
        <w:noBreakHyphen/>
        <w:t>site coal use are not available. Historically, coal mines would use their own coal to fuel on-site water boilers. However, the last of these at the Stockton mine closed in the mid-1980s and, in the expert opinion of coal industry specialists, any water boilers on site are now fuelled by natural gas or electricity.</w:t>
      </w:r>
    </w:p>
    <w:p w14:paraId="77E60C69" w14:textId="77777777" w:rsidR="009F5DA6" w:rsidRPr="00261B7A" w:rsidRDefault="009F5DA6" w:rsidP="004C583E">
      <w:pPr>
        <w:pStyle w:val="Heading4"/>
      </w:pPr>
      <w:r w:rsidRPr="00261B7A">
        <w:t>Emission factors</w:t>
      </w:r>
    </w:p>
    <w:p w14:paraId="4F770DEE" w14:textId="77777777" w:rsidR="009F5DA6" w:rsidRPr="00261B7A" w:rsidRDefault="009F5DA6" w:rsidP="009F5DA6">
      <w:pPr>
        <w:pStyle w:val="Heading5"/>
        <w:spacing w:before="120"/>
        <w:rPr>
          <w:rFonts w:cs="Calibri"/>
        </w:rPr>
      </w:pPr>
      <w:r w:rsidRPr="00261B7A">
        <w:rPr>
          <w:rFonts w:cs="Calibri"/>
          <w:lang w:eastAsia="en-GB"/>
        </w:rPr>
        <w:t>Gaseous fuels</w:t>
      </w:r>
    </w:p>
    <w:p w14:paraId="255E51FB" w14:textId="77777777" w:rsidR="009F5DA6" w:rsidRPr="00261B7A" w:rsidRDefault="009F5DA6" w:rsidP="009F5DA6">
      <w:pPr>
        <w:pStyle w:val="BodyText"/>
        <w:spacing w:before="100"/>
        <w:rPr>
          <w:rFonts w:cs="Calibri"/>
          <w:sz w:val="16"/>
          <w:szCs w:val="16"/>
          <w:lang w:eastAsia="en-GB"/>
        </w:rPr>
      </w:pPr>
      <w:r w:rsidRPr="00261B7A">
        <w:rPr>
          <w:rFonts w:cs="Calibri"/>
          <w:lang w:eastAsia="en-GB"/>
        </w:rPr>
        <w:t>As mentioned in section 3.3.1, New Zealand’s CO</w:t>
      </w:r>
      <w:r w:rsidRPr="00261B7A">
        <w:rPr>
          <w:rFonts w:cs="Calibri"/>
          <w:vertAlign w:val="subscript"/>
          <w:lang w:eastAsia="en-GB"/>
        </w:rPr>
        <w:t>2</w:t>
      </w:r>
      <w:r w:rsidRPr="00261B7A">
        <w:rPr>
          <w:rFonts w:cs="Calibri"/>
          <w:lang w:eastAsia="en-GB"/>
        </w:rPr>
        <w:t xml:space="preserve"> emission factor for natural gas fluctuates from year to year, reflecting the relative amount of gas produced from the various gas fields in a given year. New Zealand gas fields also have higher CO</w:t>
      </w:r>
      <w:r w:rsidRPr="00261B7A">
        <w:rPr>
          <w:rFonts w:cs="Calibri"/>
          <w:vertAlign w:val="subscript"/>
          <w:lang w:eastAsia="en-GB"/>
        </w:rPr>
        <w:t>2</w:t>
      </w:r>
      <w:r w:rsidRPr="00261B7A">
        <w:rPr>
          <w:rFonts w:cs="Calibri"/>
          <w:lang w:eastAsia="en-GB"/>
        </w:rPr>
        <w:t xml:space="preserve"> content than most international gas fields. This is particularly evident in 1.A.1.a </w:t>
      </w:r>
      <w:r w:rsidRPr="00261B7A">
        <w:rPr>
          <w:rFonts w:cs="Calibri"/>
          <w:i/>
          <w:lang w:eastAsia="en-GB"/>
        </w:rPr>
        <w:t>Public electricity and heat production</w:t>
      </w:r>
      <w:r w:rsidRPr="00261B7A">
        <w:rPr>
          <w:rFonts w:cs="Calibri"/>
          <w:lang w:eastAsia="en-GB"/>
        </w:rPr>
        <w:t>.</w:t>
      </w:r>
      <w:r w:rsidRPr="00261B7A">
        <w:rPr>
          <w:rFonts w:cs="Calibri"/>
          <w:sz w:val="16"/>
          <w:szCs w:val="16"/>
          <w:lang w:eastAsia="en-GB"/>
        </w:rPr>
        <w:t xml:space="preserve"> </w:t>
      </w:r>
    </w:p>
    <w:p w14:paraId="2E7BE0F4" w14:textId="77777777" w:rsidR="009F5DA6" w:rsidRPr="00261B7A" w:rsidRDefault="009F5DA6" w:rsidP="004C583E">
      <w:pPr>
        <w:pStyle w:val="Heading4"/>
      </w:pPr>
      <w:r w:rsidRPr="00261B7A">
        <w:t>Uncertainties and time-series consistency</w:t>
      </w:r>
    </w:p>
    <w:p w14:paraId="6171B127" w14:textId="77777777" w:rsidR="009F5DA6" w:rsidRPr="00261B7A" w:rsidRDefault="009F5DA6" w:rsidP="009F5DA6">
      <w:pPr>
        <w:pStyle w:val="BodyText"/>
        <w:rPr>
          <w:rFonts w:cs="Calibri"/>
          <w:lang w:eastAsia="en-GB"/>
        </w:rPr>
      </w:pPr>
      <w:r w:rsidRPr="00261B7A">
        <w:rPr>
          <w:rFonts w:cs="Calibri"/>
          <w:lang w:eastAsia="en-GB"/>
        </w:rPr>
        <w:t xml:space="preserve">Uncertainties in emissions and activity data estimates for this category are relevant to the entire </w:t>
      </w:r>
      <w:r w:rsidRPr="00261B7A">
        <w:rPr>
          <w:rFonts w:cs="Calibri"/>
          <w:i/>
          <w:lang w:eastAsia="en-GB"/>
        </w:rPr>
        <w:t>Fuel combustion</w:t>
      </w:r>
      <w:r w:rsidRPr="00261B7A">
        <w:rPr>
          <w:rFonts w:cs="Calibri"/>
          <w:lang w:eastAsia="en-GB"/>
        </w:rPr>
        <w:t xml:space="preserve"> category (see table 3.3.1).</w:t>
      </w:r>
    </w:p>
    <w:p w14:paraId="61A60E11" w14:textId="77777777" w:rsidR="009F5DA6" w:rsidRPr="00261B7A" w:rsidRDefault="009F5DA6" w:rsidP="004C583E">
      <w:pPr>
        <w:pStyle w:val="Heading4"/>
      </w:pPr>
      <w:r w:rsidRPr="00261B7A">
        <w:t>Source-specific QA/QC and verification</w:t>
      </w:r>
    </w:p>
    <w:p w14:paraId="3A768768" w14:textId="77777777" w:rsidR="009F5DA6" w:rsidRPr="00261B7A" w:rsidRDefault="009F5DA6" w:rsidP="009F5DA6">
      <w:pPr>
        <w:pStyle w:val="BodyText"/>
        <w:rPr>
          <w:rFonts w:cs="Calibri"/>
          <w:lang w:eastAsia="en-GB"/>
        </w:rPr>
      </w:pPr>
      <w:r w:rsidRPr="00261B7A">
        <w:rPr>
          <w:rFonts w:cs="Calibri"/>
          <w:lang w:eastAsia="en-GB"/>
        </w:rPr>
        <w:t xml:space="preserve">In the preparation of this inventory, the </w:t>
      </w:r>
      <w:r w:rsidRPr="00261B7A">
        <w:rPr>
          <w:rFonts w:cs="Calibri"/>
          <w:i/>
          <w:lang w:eastAsia="en-GB"/>
        </w:rPr>
        <w:t>Energy industries</w:t>
      </w:r>
      <w:r w:rsidRPr="00261B7A">
        <w:rPr>
          <w:rFonts w:cs="Calibri"/>
          <w:lang w:eastAsia="en-GB"/>
        </w:rPr>
        <w:t xml:space="preserve"> category underwent Tier 1 quality-assurance and quality-control checks as recommended in the 2006 IPCC Guidelines. These include regular control sums throughout systems, to verify system integrity, and consistency checks on implied emission factors.</w:t>
      </w:r>
    </w:p>
    <w:p w14:paraId="70356377" w14:textId="77777777" w:rsidR="009F5DA6" w:rsidRPr="00261B7A" w:rsidRDefault="009F5DA6" w:rsidP="004C583E">
      <w:pPr>
        <w:pStyle w:val="Heading4"/>
      </w:pPr>
      <w:r w:rsidRPr="00261B7A">
        <w:t>Source-specific recalculations</w:t>
      </w:r>
    </w:p>
    <w:p w14:paraId="4B35BF65" w14:textId="77777777" w:rsidR="009F5DA6" w:rsidRPr="00261B7A" w:rsidRDefault="009F5DA6" w:rsidP="009F5DA6">
      <w:pPr>
        <w:pStyle w:val="BodyText"/>
        <w:rPr>
          <w:rFonts w:cs="Calibri"/>
          <w:lang w:eastAsia="en-GB"/>
        </w:rPr>
      </w:pPr>
      <w:r w:rsidRPr="00261B7A">
        <w:rPr>
          <w:rFonts w:cs="Calibri"/>
          <w:lang w:eastAsia="en-GB"/>
        </w:rPr>
        <w:t>Revised activity data have been provided by some plant operators for the quantity of natural gas consumed for electricity generation. This has resulted in some recalculations for recent years.</w:t>
      </w:r>
    </w:p>
    <w:p w14:paraId="67FC6692" w14:textId="77777777" w:rsidR="009F5DA6" w:rsidRPr="00261B7A" w:rsidRDefault="009F5DA6" w:rsidP="0034058F">
      <w:pPr>
        <w:pStyle w:val="Heading3"/>
      </w:pPr>
      <w:bookmarkStart w:id="332" w:name="_Ref442360713"/>
      <w:r w:rsidRPr="00261B7A">
        <w:t>3.3.7</w:t>
      </w:r>
      <w:r w:rsidRPr="00261B7A">
        <w:tab/>
        <w:t>Fuel combustion: Manufacturing industries and construction (CRF 1.A.2)</w:t>
      </w:r>
      <w:bookmarkEnd w:id="332"/>
    </w:p>
    <w:p w14:paraId="58F7E9EC" w14:textId="77777777" w:rsidR="009F5DA6" w:rsidRPr="00261B7A" w:rsidRDefault="009F5DA6" w:rsidP="004C583E">
      <w:pPr>
        <w:pStyle w:val="Heading4"/>
      </w:pPr>
      <w:r w:rsidRPr="00261B7A">
        <w:t>Description</w:t>
      </w:r>
    </w:p>
    <w:p w14:paraId="39D5D861" w14:textId="77777777" w:rsidR="009F5DA6" w:rsidRPr="00261B7A" w:rsidRDefault="009F5DA6" w:rsidP="009F5DA6">
      <w:pPr>
        <w:pStyle w:val="BodyText"/>
        <w:rPr>
          <w:rFonts w:cs="Calibri"/>
          <w:lang w:eastAsia="en-GB"/>
        </w:rPr>
      </w:pPr>
      <w:r w:rsidRPr="00261B7A">
        <w:rPr>
          <w:rFonts w:cs="Calibri"/>
          <w:lang w:eastAsia="en-GB"/>
        </w:rPr>
        <w:t>This category comprises emissions from fossil fuels combusted in the manufacture of iron and steel, other non</w:t>
      </w:r>
      <w:r w:rsidRPr="00261B7A">
        <w:rPr>
          <w:rFonts w:cs="Calibri"/>
          <w:lang w:eastAsia="en-GB"/>
        </w:rPr>
        <w:noBreakHyphen/>
        <w:t>ferrous metals, chemicals, pulp, paper and print, food processing, beverages and tobacco, and in other uses. Emissions from co-generation plants that do not meet the definition of co</w:t>
      </w:r>
      <w:r w:rsidRPr="00261B7A">
        <w:rPr>
          <w:rFonts w:cs="Calibri"/>
          <w:lang w:eastAsia="en-GB"/>
        </w:rPr>
        <w:noBreakHyphen/>
        <w:t>generation as provided in the 2006 IPCC Guidelines are included in this category.</w:t>
      </w:r>
    </w:p>
    <w:p w14:paraId="5BDACC51" w14:textId="77777777" w:rsidR="009F5DA6" w:rsidRPr="00261B7A" w:rsidRDefault="009F5DA6" w:rsidP="009F5DA6">
      <w:pPr>
        <w:pStyle w:val="BodyText"/>
        <w:rPr>
          <w:rFonts w:cs="Calibri"/>
          <w:lang w:eastAsia="en-GB"/>
        </w:rPr>
      </w:pPr>
      <w:r w:rsidRPr="00261B7A">
        <w:rPr>
          <w:rFonts w:cs="Calibri"/>
          <w:lang w:eastAsia="en-GB"/>
        </w:rPr>
        <w:t xml:space="preserve">In </w:t>
      </w:r>
      <w:r w:rsidRPr="00261B7A">
        <w:rPr>
          <w:rFonts w:cs="Calibri"/>
        </w:rPr>
        <w:t>2021</w:t>
      </w:r>
      <w:r w:rsidRPr="00261B7A">
        <w:rPr>
          <w:rFonts w:cs="Calibri"/>
          <w:lang w:eastAsia="en-GB"/>
        </w:rPr>
        <w:t xml:space="preserve">, emissions from the 1.A.2 </w:t>
      </w:r>
      <w:r w:rsidRPr="00261B7A">
        <w:rPr>
          <w:rFonts w:cs="Calibri"/>
          <w:i/>
          <w:lang w:eastAsia="en-GB"/>
        </w:rPr>
        <w:t>Manufacturing industries and construction</w:t>
      </w:r>
      <w:r w:rsidRPr="00261B7A">
        <w:rPr>
          <w:rFonts w:cs="Calibri"/>
          <w:lang w:eastAsia="en-GB"/>
        </w:rPr>
        <w:t xml:space="preserve"> category accounted for 6,302.0</w:t>
      </w:r>
      <w:r w:rsidRPr="00261B7A">
        <w:rPr>
          <w:rFonts w:cs="Calibri"/>
        </w:rPr>
        <w:t xml:space="preserve"> </w:t>
      </w:r>
      <w:r w:rsidRPr="00261B7A">
        <w:rPr>
          <w:rFonts w:cs="Calibri"/>
          <w:lang w:eastAsia="en-GB"/>
        </w:rPr>
        <w:t>kt CO</w:t>
      </w:r>
      <w:r w:rsidRPr="00261B7A">
        <w:rPr>
          <w:rFonts w:cs="Calibri"/>
          <w:vertAlign w:val="subscript"/>
          <w:lang w:eastAsia="en-GB"/>
        </w:rPr>
        <w:t>2</w:t>
      </w:r>
      <w:r w:rsidRPr="00261B7A">
        <w:rPr>
          <w:rFonts w:cs="Calibri"/>
          <w:lang w:eastAsia="en-GB"/>
        </w:rPr>
        <w:t>-e (</w:t>
      </w:r>
      <w:r w:rsidRPr="00261B7A">
        <w:rPr>
          <w:rFonts w:cs="Calibri"/>
        </w:rPr>
        <w:t>20.2 per cent</w:t>
      </w:r>
      <w:r w:rsidRPr="00261B7A">
        <w:rPr>
          <w:rFonts w:cs="Calibri"/>
          <w:lang w:eastAsia="en-GB"/>
        </w:rPr>
        <w:t>) of emissions from the Energy sector. Emissions from this category are 1,544.2</w:t>
      </w:r>
      <w:r w:rsidRPr="00261B7A">
        <w:rPr>
          <w:rFonts w:cs="Calibri"/>
        </w:rPr>
        <w:t xml:space="preserve"> </w:t>
      </w:r>
      <w:r w:rsidRPr="00261B7A">
        <w:rPr>
          <w:rFonts w:cs="Calibri"/>
          <w:lang w:eastAsia="en-GB"/>
        </w:rPr>
        <w:t>kt CO</w:t>
      </w:r>
      <w:r w:rsidRPr="00261B7A">
        <w:rPr>
          <w:rFonts w:cs="Calibri"/>
          <w:vertAlign w:val="subscript"/>
          <w:lang w:eastAsia="en-GB"/>
        </w:rPr>
        <w:t>2</w:t>
      </w:r>
      <w:r w:rsidRPr="00261B7A">
        <w:rPr>
          <w:rFonts w:cs="Calibri"/>
          <w:lang w:eastAsia="en-GB"/>
        </w:rPr>
        <w:t>-e (</w:t>
      </w:r>
      <w:r w:rsidRPr="00261B7A">
        <w:rPr>
          <w:rFonts w:cs="Calibri"/>
        </w:rPr>
        <w:t>32.5 per cent</w:t>
      </w:r>
      <w:r w:rsidRPr="00261B7A">
        <w:rPr>
          <w:rFonts w:cs="Calibri"/>
          <w:lang w:eastAsia="en-GB"/>
        </w:rPr>
        <w:t>) higher than the 1990 level of </w:t>
      </w:r>
      <w:r w:rsidRPr="00261B7A">
        <w:rPr>
          <w:rFonts w:cs="Calibri"/>
        </w:rPr>
        <w:t>4,757.7 </w:t>
      </w:r>
      <w:r w:rsidRPr="00261B7A">
        <w:rPr>
          <w:rFonts w:cs="Calibri"/>
          <w:lang w:eastAsia="en-GB"/>
        </w:rPr>
        <w:t>kt CO</w:t>
      </w:r>
      <w:r w:rsidRPr="00261B7A">
        <w:rPr>
          <w:rFonts w:cs="Calibri"/>
          <w:vertAlign w:val="subscript"/>
          <w:lang w:eastAsia="en-GB"/>
        </w:rPr>
        <w:t>2</w:t>
      </w:r>
      <w:r w:rsidRPr="00261B7A">
        <w:rPr>
          <w:rFonts w:cs="Calibri"/>
          <w:lang w:eastAsia="en-GB"/>
        </w:rPr>
        <w:t>-e.</w:t>
      </w:r>
    </w:p>
    <w:p w14:paraId="73DD1969" w14:textId="77777777" w:rsidR="009F5DA6" w:rsidRPr="00261B7A" w:rsidRDefault="009F5DA6" w:rsidP="009F5DA6">
      <w:pPr>
        <w:pStyle w:val="BodyText"/>
        <w:rPr>
          <w:rFonts w:cs="Calibri"/>
          <w:lang w:eastAsia="en-GB"/>
        </w:rPr>
      </w:pPr>
      <w:r w:rsidRPr="00261B7A">
        <w:rPr>
          <w:rFonts w:cs="Calibri"/>
          <w:lang w:eastAsia="en-GB"/>
        </w:rPr>
        <w:t xml:space="preserve">A decline in methanol production in 2003 to 2004 caused a significant reduction in emissions from this category. Methanol production is the largest source of emissions in category 1.A.2.c </w:t>
      </w:r>
      <w:r w:rsidRPr="00261B7A">
        <w:rPr>
          <w:rFonts w:cs="Calibri"/>
          <w:i/>
          <w:lang w:eastAsia="en-GB"/>
        </w:rPr>
        <w:t>Chemicals</w:t>
      </w:r>
      <w:r w:rsidRPr="00261B7A">
        <w:rPr>
          <w:rFonts w:cs="Calibri"/>
          <w:lang w:eastAsia="en-GB"/>
        </w:rPr>
        <w:t>. Methanex New Zealand restarted previously mothballed plants in 2012/13, but then mothballed the Waitara Valley plant again in early 2021.</w:t>
      </w:r>
    </w:p>
    <w:p w14:paraId="0424D71F" w14:textId="77777777" w:rsidR="009F5DA6" w:rsidRPr="00261B7A" w:rsidRDefault="009F5DA6" w:rsidP="004C583E">
      <w:pPr>
        <w:pStyle w:val="Heading4"/>
      </w:pPr>
      <w:r w:rsidRPr="00261B7A">
        <w:t>Changes in emissions between 2020 and 2021</w:t>
      </w:r>
    </w:p>
    <w:p w14:paraId="145D6B0C" w14:textId="77777777" w:rsidR="009F5DA6" w:rsidRPr="00261B7A" w:rsidRDefault="009F5DA6" w:rsidP="009F5DA6">
      <w:pPr>
        <w:pStyle w:val="BodyText"/>
        <w:rPr>
          <w:lang w:eastAsia="en-GB"/>
        </w:rPr>
      </w:pPr>
      <w:r w:rsidRPr="00261B7A">
        <w:rPr>
          <w:lang w:eastAsia="en-GB"/>
        </w:rPr>
        <w:t xml:space="preserve">Between </w:t>
      </w:r>
      <w:r w:rsidRPr="00261B7A">
        <w:t>2020</w:t>
      </w:r>
      <w:r w:rsidRPr="00261B7A">
        <w:rPr>
          <w:lang w:eastAsia="en-GB"/>
        </w:rPr>
        <w:t xml:space="preserve"> and </w:t>
      </w:r>
      <w:r w:rsidRPr="00261B7A">
        <w:t>2021</w:t>
      </w:r>
      <w:r w:rsidRPr="00261B7A">
        <w:rPr>
          <w:lang w:eastAsia="en-GB"/>
        </w:rPr>
        <w:t xml:space="preserve">, </w:t>
      </w:r>
      <w:r w:rsidRPr="00261B7A">
        <w:t>emissions</w:t>
      </w:r>
      <w:r w:rsidRPr="00261B7A">
        <w:rPr>
          <w:lang w:eastAsia="en-GB"/>
        </w:rPr>
        <w:t xml:space="preserve"> from the </w:t>
      </w:r>
      <w:r w:rsidRPr="00261B7A">
        <w:rPr>
          <w:i/>
          <w:iCs/>
          <w:lang w:eastAsia="en-GB"/>
        </w:rPr>
        <w:t>Manufacturing industries and construction</w:t>
      </w:r>
      <w:r w:rsidRPr="00261B7A">
        <w:rPr>
          <w:lang w:eastAsia="en-GB"/>
        </w:rPr>
        <w:t xml:space="preserve"> category decreased by </w:t>
      </w:r>
      <w:r w:rsidRPr="00261B7A">
        <w:t xml:space="preserve">194.0 </w:t>
      </w:r>
      <w:r w:rsidRPr="00261B7A">
        <w:rPr>
          <w:lang w:eastAsia="en-GB"/>
        </w:rPr>
        <w:t>kt CO</w:t>
      </w:r>
      <w:r w:rsidRPr="00261B7A">
        <w:rPr>
          <w:vertAlign w:val="subscript"/>
          <w:lang w:eastAsia="en-GB"/>
        </w:rPr>
        <w:t>2</w:t>
      </w:r>
      <w:r w:rsidRPr="00261B7A">
        <w:rPr>
          <w:lang w:eastAsia="en-GB"/>
        </w:rPr>
        <w:t>-e (</w:t>
      </w:r>
      <w:r w:rsidRPr="00261B7A">
        <w:t>3.0 per cent</w:t>
      </w:r>
      <w:r w:rsidRPr="00261B7A">
        <w:rPr>
          <w:lang w:eastAsia="en-GB"/>
        </w:rPr>
        <w:t xml:space="preserve">). This change was driven chiefly by a decrease in emissions from the </w:t>
      </w:r>
      <w:r w:rsidRPr="00261B7A">
        <w:rPr>
          <w:i/>
          <w:iCs/>
          <w:lang w:eastAsia="en-GB"/>
        </w:rPr>
        <w:t>Chemicals</w:t>
      </w:r>
      <w:r w:rsidRPr="00261B7A">
        <w:rPr>
          <w:lang w:eastAsia="en-GB"/>
        </w:rPr>
        <w:t xml:space="preserve"> category, down 272.5</w:t>
      </w:r>
      <w:r w:rsidRPr="00261B7A">
        <w:t xml:space="preserve"> </w:t>
      </w:r>
      <w:r w:rsidRPr="00261B7A">
        <w:rPr>
          <w:lang w:eastAsia="en-GB"/>
        </w:rPr>
        <w:t>kt CO</w:t>
      </w:r>
      <w:r w:rsidRPr="00261B7A">
        <w:rPr>
          <w:vertAlign w:val="subscript"/>
          <w:lang w:eastAsia="en-GB"/>
        </w:rPr>
        <w:t>2</w:t>
      </w:r>
      <w:r w:rsidRPr="00261B7A">
        <w:rPr>
          <w:lang w:eastAsia="en-GB"/>
        </w:rPr>
        <w:t>-e (</w:t>
      </w:r>
      <w:r w:rsidRPr="00261B7A">
        <w:t>17.6 per cent</w:t>
      </w:r>
      <w:r w:rsidRPr="00261B7A">
        <w:rPr>
          <w:lang w:eastAsia="en-GB"/>
        </w:rPr>
        <w:t>) from 2020. This drop in turn was mostly due to the closure of Methanex’s Waitara Valley plant</w:t>
      </w:r>
      <w:r w:rsidRPr="00261B7A">
        <w:t xml:space="preserve"> in </w:t>
      </w:r>
      <w:r w:rsidRPr="00261B7A">
        <w:rPr>
          <w:lang w:eastAsia="en-GB"/>
        </w:rPr>
        <w:t>response to gas supply constraints.</w:t>
      </w:r>
    </w:p>
    <w:p w14:paraId="5EE07A55" w14:textId="77777777" w:rsidR="009F5DA6" w:rsidRPr="00261B7A" w:rsidRDefault="009F5DA6" w:rsidP="009F5DA6">
      <w:pPr>
        <w:pStyle w:val="BodyText"/>
        <w:rPr>
          <w:rFonts w:cs="Calibri"/>
        </w:rPr>
      </w:pPr>
      <w:r w:rsidRPr="00261B7A">
        <w:rPr>
          <w:rFonts w:cs="Calibri"/>
        </w:rPr>
        <w:t xml:space="preserve">Key categories identified in the 2021 level and trend assessment for the </w:t>
      </w:r>
      <w:r w:rsidRPr="00261B7A">
        <w:rPr>
          <w:rFonts w:cs="Calibri"/>
          <w:i/>
        </w:rPr>
        <w:t>Manufacturing industries and construction</w:t>
      </w:r>
      <w:r w:rsidRPr="00261B7A">
        <w:rPr>
          <w:rFonts w:cs="Calibri"/>
        </w:rPr>
        <w:t xml:space="preserve"> category are given in table 3.3.3.</w:t>
      </w:r>
    </w:p>
    <w:p w14:paraId="64C1F9F3" w14:textId="77777777" w:rsidR="009F5DA6" w:rsidRPr="00261B7A" w:rsidRDefault="009F5DA6" w:rsidP="009F5DA6">
      <w:pPr>
        <w:pStyle w:val="Table"/>
      </w:pPr>
      <w:bookmarkStart w:id="333" w:name="_Toc68786407"/>
      <w:bookmarkStart w:id="334" w:name="_Toc131591320"/>
      <w:r w:rsidRPr="00261B7A">
        <w:t>Table 3.3.3</w:t>
      </w:r>
      <w:r w:rsidRPr="00261B7A">
        <w:tab/>
        <w:t xml:space="preserve">Key categories for 1.A.2 </w:t>
      </w:r>
      <w:r w:rsidRPr="00261B7A">
        <w:rPr>
          <w:i/>
          <w:iCs/>
        </w:rPr>
        <w:t>Manufacturing industries and construction</w:t>
      </w:r>
      <w:bookmarkEnd w:id="333"/>
      <w:bookmarkEnd w:id="334"/>
    </w:p>
    <w:tbl>
      <w:tblPr>
        <w:tblW w:w="8505"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3740"/>
        <w:gridCol w:w="1242"/>
        <w:gridCol w:w="1082"/>
        <w:gridCol w:w="2441"/>
      </w:tblGrid>
      <w:tr w:rsidR="009F5DA6" w:rsidRPr="00261B7A" w14:paraId="7E6F700A" w14:textId="77777777" w:rsidTr="00D41492">
        <w:trPr>
          <w:tblHeader/>
        </w:trPr>
        <w:tc>
          <w:tcPr>
            <w:tcW w:w="2199" w:type="pct"/>
            <w:shd w:val="clear" w:color="auto" w:fill="1B556B"/>
            <w:noWrap/>
            <w:vAlign w:val="bottom"/>
            <w:hideMark/>
          </w:tcPr>
          <w:p w14:paraId="009ECEC6" w14:textId="77777777" w:rsidR="009F5DA6" w:rsidRPr="00261B7A" w:rsidRDefault="009F5DA6" w:rsidP="00D41492">
            <w:pPr>
              <w:pStyle w:val="TableTextBold"/>
              <w:keepNext/>
              <w:rPr>
                <w:rFonts w:cs="Calibri"/>
                <w:noProof w:val="0"/>
                <w:color w:val="FFFFFF"/>
              </w:rPr>
            </w:pPr>
            <w:r w:rsidRPr="00261B7A">
              <w:rPr>
                <w:rFonts w:cs="Calibri"/>
                <w:noProof w:val="0"/>
                <w:color w:val="FFFFFF"/>
              </w:rPr>
              <w:t xml:space="preserve">Category </w:t>
            </w:r>
          </w:p>
        </w:tc>
        <w:tc>
          <w:tcPr>
            <w:tcW w:w="730" w:type="pct"/>
            <w:shd w:val="clear" w:color="auto" w:fill="1B556B"/>
            <w:noWrap/>
            <w:vAlign w:val="bottom"/>
            <w:hideMark/>
          </w:tcPr>
          <w:p w14:paraId="676F4031" w14:textId="77777777" w:rsidR="009F5DA6" w:rsidRPr="00261B7A" w:rsidRDefault="009F5DA6" w:rsidP="00D41492">
            <w:pPr>
              <w:pStyle w:val="TableTextBold"/>
              <w:keepNext/>
              <w:rPr>
                <w:rFonts w:cs="Calibri"/>
                <w:noProof w:val="0"/>
                <w:color w:val="FFFFFF"/>
              </w:rPr>
            </w:pPr>
            <w:r w:rsidRPr="00261B7A">
              <w:rPr>
                <w:rFonts w:cs="Calibri"/>
                <w:noProof w:val="0"/>
                <w:color w:val="FFFFFF"/>
              </w:rPr>
              <w:t>Liquid fuels</w:t>
            </w:r>
          </w:p>
        </w:tc>
        <w:tc>
          <w:tcPr>
            <w:tcW w:w="636" w:type="pct"/>
            <w:shd w:val="clear" w:color="auto" w:fill="1B556B"/>
            <w:vAlign w:val="bottom"/>
            <w:hideMark/>
          </w:tcPr>
          <w:p w14:paraId="31FE95D5" w14:textId="77777777" w:rsidR="009F5DA6" w:rsidRPr="00261B7A" w:rsidRDefault="009F5DA6" w:rsidP="00D41492">
            <w:pPr>
              <w:pStyle w:val="TableTextBold"/>
              <w:keepNext/>
              <w:rPr>
                <w:rFonts w:cs="Calibri"/>
                <w:noProof w:val="0"/>
                <w:color w:val="FFFFFF"/>
              </w:rPr>
            </w:pPr>
            <w:r w:rsidRPr="00261B7A">
              <w:rPr>
                <w:rFonts w:cs="Calibri"/>
                <w:noProof w:val="0"/>
                <w:color w:val="FFFFFF"/>
              </w:rPr>
              <w:t>Solid fuels</w:t>
            </w:r>
          </w:p>
        </w:tc>
        <w:tc>
          <w:tcPr>
            <w:tcW w:w="1435" w:type="pct"/>
            <w:shd w:val="clear" w:color="auto" w:fill="1B556B"/>
            <w:vAlign w:val="bottom"/>
            <w:hideMark/>
          </w:tcPr>
          <w:p w14:paraId="0EC6DF41" w14:textId="77777777" w:rsidR="009F5DA6" w:rsidRPr="00261B7A" w:rsidRDefault="009F5DA6" w:rsidP="00D41492">
            <w:pPr>
              <w:pStyle w:val="TableTextBold"/>
              <w:keepNext/>
              <w:rPr>
                <w:rFonts w:cs="Calibri"/>
                <w:noProof w:val="0"/>
                <w:color w:val="FFFFFF"/>
              </w:rPr>
            </w:pPr>
            <w:r w:rsidRPr="00261B7A">
              <w:rPr>
                <w:rFonts w:cs="Calibri"/>
                <w:noProof w:val="0"/>
                <w:color w:val="FFFFFF"/>
              </w:rPr>
              <w:t>Gaseous fuels</w:t>
            </w:r>
          </w:p>
        </w:tc>
      </w:tr>
      <w:tr w:rsidR="009F5DA6" w:rsidRPr="00261B7A" w14:paraId="3CDB356D" w14:textId="77777777" w:rsidTr="00D41492">
        <w:tc>
          <w:tcPr>
            <w:tcW w:w="2199" w:type="pct"/>
            <w:shd w:val="clear" w:color="auto" w:fill="auto"/>
            <w:noWrap/>
          </w:tcPr>
          <w:p w14:paraId="142A2F04" w14:textId="77777777" w:rsidR="009F5DA6" w:rsidRPr="00261B7A" w:rsidRDefault="009F5DA6" w:rsidP="00D41492">
            <w:pPr>
              <w:pStyle w:val="TableText"/>
              <w:keepNext/>
              <w:spacing w:before="50" w:after="50"/>
              <w:rPr>
                <w:rFonts w:cs="Calibri"/>
              </w:rPr>
            </w:pPr>
            <w:r w:rsidRPr="00261B7A" w:rsidDel="0089491E">
              <w:rPr>
                <w:rFonts w:cs="Calibri"/>
              </w:rPr>
              <w:t>Chemicals – CO</w:t>
            </w:r>
            <w:r w:rsidRPr="00261B7A" w:rsidDel="0089491E">
              <w:rPr>
                <w:rFonts w:cs="Calibri"/>
                <w:vertAlign w:val="subscript"/>
              </w:rPr>
              <w:t>2</w:t>
            </w:r>
          </w:p>
        </w:tc>
        <w:tc>
          <w:tcPr>
            <w:tcW w:w="730" w:type="pct"/>
            <w:shd w:val="clear" w:color="auto" w:fill="auto"/>
            <w:noWrap/>
          </w:tcPr>
          <w:p w14:paraId="315A57D6" w14:textId="77777777" w:rsidR="009F5DA6" w:rsidRPr="00261B7A" w:rsidRDefault="009F5DA6" w:rsidP="00D41492">
            <w:pPr>
              <w:pStyle w:val="TableText"/>
              <w:keepNext/>
              <w:spacing w:before="50" w:after="50"/>
              <w:rPr>
                <w:rFonts w:cs="Calibri"/>
              </w:rPr>
            </w:pPr>
          </w:p>
        </w:tc>
        <w:tc>
          <w:tcPr>
            <w:tcW w:w="636" w:type="pct"/>
            <w:shd w:val="clear" w:color="auto" w:fill="auto"/>
            <w:noWrap/>
          </w:tcPr>
          <w:p w14:paraId="71E88D19" w14:textId="77777777" w:rsidR="009F5DA6" w:rsidRPr="00261B7A" w:rsidRDefault="009F5DA6" w:rsidP="00D41492">
            <w:pPr>
              <w:pStyle w:val="TableText"/>
              <w:keepNext/>
              <w:spacing w:before="50" w:after="50"/>
              <w:rPr>
                <w:rFonts w:cs="Calibri"/>
              </w:rPr>
            </w:pPr>
          </w:p>
        </w:tc>
        <w:tc>
          <w:tcPr>
            <w:tcW w:w="1435" w:type="pct"/>
            <w:shd w:val="clear" w:color="auto" w:fill="auto"/>
            <w:noWrap/>
          </w:tcPr>
          <w:p w14:paraId="0179E88E" w14:textId="77777777" w:rsidR="009F5DA6" w:rsidRPr="00261B7A" w:rsidRDefault="009F5DA6" w:rsidP="00D41492">
            <w:pPr>
              <w:pStyle w:val="TableText"/>
              <w:keepNext/>
              <w:spacing w:before="50" w:after="50"/>
              <w:rPr>
                <w:rFonts w:cs="Calibri"/>
              </w:rPr>
            </w:pPr>
            <w:r w:rsidRPr="00261B7A" w:rsidDel="0089491E">
              <w:rPr>
                <w:rFonts w:cs="Calibri"/>
              </w:rPr>
              <w:t>Level, trend</w:t>
            </w:r>
          </w:p>
        </w:tc>
      </w:tr>
      <w:tr w:rsidR="009F5DA6" w:rsidRPr="00261B7A" w14:paraId="5E6408BD" w14:textId="77777777" w:rsidTr="00D41492">
        <w:tc>
          <w:tcPr>
            <w:tcW w:w="2199" w:type="pct"/>
            <w:shd w:val="clear" w:color="auto" w:fill="auto"/>
            <w:noWrap/>
            <w:hideMark/>
          </w:tcPr>
          <w:p w14:paraId="409D6606" w14:textId="77777777" w:rsidR="009F5DA6" w:rsidRPr="00261B7A" w:rsidRDefault="009F5DA6" w:rsidP="00D41492">
            <w:pPr>
              <w:pStyle w:val="TableText"/>
              <w:spacing w:before="50" w:after="50"/>
              <w:rPr>
                <w:rFonts w:cs="Calibri"/>
              </w:rPr>
            </w:pPr>
            <w:r w:rsidRPr="00261B7A">
              <w:rPr>
                <w:rFonts w:cs="Calibri"/>
              </w:rPr>
              <w:t>Pulp, paper and print – CO</w:t>
            </w:r>
            <w:r w:rsidRPr="00261B7A">
              <w:rPr>
                <w:rFonts w:cs="Calibri"/>
                <w:vertAlign w:val="subscript"/>
              </w:rPr>
              <w:t>2</w:t>
            </w:r>
          </w:p>
        </w:tc>
        <w:tc>
          <w:tcPr>
            <w:tcW w:w="730" w:type="pct"/>
            <w:shd w:val="clear" w:color="auto" w:fill="auto"/>
            <w:noWrap/>
            <w:hideMark/>
          </w:tcPr>
          <w:p w14:paraId="715FC7CC" w14:textId="77777777" w:rsidR="009F5DA6" w:rsidRPr="00261B7A" w:rsidRDefault="009F5DA6" w:rsidP="00D41492">
            <w:pPr>
              <w:pStyle w:val="TableText"/>
              <w:spacing w:before="50" w:after="50"/>
              <w:rPr>
                <w:rFonts w:cs="Calibri"/>
              </w:rPr>
            </w:pPr>
          </w:p>
        </w:tc>
        <w:tc>
          <w:tcPr>
            <w:tcW w:w="636" w:type="pct"/>
            <w:shd w:val="clear" w:color="auto" w:fill="auto"/>
            <w:noWrap/>
          </w:tcPr>
          <w:p w14:paraId="0280D23A" w14:textId="77777777" w:rsidR="009F5DA6" w:rsidRPr="00261B7A" w:rsidRDefault="009F5DA6" w:rsidP="00D41492">
            <w:pPr>
              <w:pStyle w:val="TableText"/>
              <w:spacing w:before="50" w:after="50"/>
              <w:rPr>
                <w:rFonts w:cs="Calibri"/>
              </w:rPr>
            </w:pPr>
            <w:r w:rsidRPr="00261B7A">
              <w:rPr>
                <w:rFonts w:cs="Calibri"/>
              </w:rPr>
              <w:t>Trend</w:t>
            </w:r>
          </w:p>
        </w:tc>
        <w:tc>
          <w:tcPr>
            <w:tcW w:w="1435" w:type="pct"/>
            <w:shd w:val="clear" w:color="auto" w:fill="auto"/>
            <w:noWrap/>
            <w:hideMark/>
          </w:tcPr>
          <w:p w14:paraId="230DAAF4" w14:textId="77777777" w:rsidR="009F5DA6" w:rsidRPr="00261B7A" w:rsidRDefault="009F5DA6" w:rsidP="00D41492">
            <w:pPr>
              <w:pStyle w:val="TableText"/>
              <w:spacing w:before="50" w:after="50"/>
              <w:rPr>
                <w:rFonts w:cs="Calibri"/>
              </w:rPr>
            </w:pPr>
            <w:r w:rsidRPr="00261B7A">
              <w:rPr>
                <w:rFonts w:cs="Calibri"/>
              </w:rPr>
              <w:t>Level, trend</w:t>
            </w:r>
          </w:p>
        </w:tc>
      </w:tr>
      <w:tr w:rsidR="009F5DA6" w:rsidRPr="00261B7A" w14:paraId="53B512DC" w14:textId="77777777" w:rsidTr="00D41492">
        <w:tc>
          <w:tcPr>
            <w:tcW w:w="2199" w:type="pct"/>
            <w:shd w:val="clear" w:color="auto" w:fill="auto"/>
            <w:noWrap/>
          </w:tcPr>
          <w:p w14:paraId="3EB0310C" w14:textId="77777777" w:rsidR="009F5DA6" w:rsidRPr="00261B7A" w:rsidRDefault="009F5DA6" w:rsidP="00D41492">
            <w:pPr>
              <w:pStyle w:val="TableText"/>
              <w:spacing w:before="50" w:after="50"/>
              <w:rPr>
                <w:rFonts w:cs="Calibri"/>
              </w:rPr>
            </w:pPr>
            <w:r w:rsidRPr="00261B7A">
              <w:rPr>
                <w:rFonts w:cs="Calibri"/>
              </w:rPr>
              <w:t>Food processing, beverages and tobacco – CO</w:t>
            </w:r>
            <w:r w:rsidRPr="00261B7A">
              <w:rPr>
                <w:rFonts w:cs="Calibri"/>
                <w:vertAlign w:val="subscript"/>
              </w:rPr>
              <w:t>2</w:t>
            </w:r>
          </w:p>
        </w:tc>
        <w:tc>
          <w:tcPr>
            <w:tcW w:w="730" w:type="pct"/>
            <w:shd w:val="clear" w:color="auto" w:fill="auto"/>
            <w:noWrap/>
          </w:tcPr>
          <w:p w14:paraId="085672E7" w14:textId="77777777" w:rsidR="009F5DA6" w:rsidRPr="00261B7A" w:rsidRDefault="009F5DA6" w:rsidP="00D41492">
            <w:pPr>
              <w:pStyle w:val="TableText"/>
              <w:spacing w:before="50" w:after="50"/>
              <w:rPr>
                <w:rFonts w:cs="Calibri"/>
              </w:rPr>
            </w:pPr>
            <w:r w:rsidRPr="00261B7A">
              <w:rPr>
                <w:rFonts w:cs="Calibri"/>
              </w:rPr>
              <w:t>Level</w:t>
            </w:r>
          </w:p>
        </w:tc>
        <w:tc>
          <w:tcPr>
            <w:tcW w:w="636" w:type="pct"/>
            <w:shd w:val="clear" w:color="auto" w:fill="auto"/>
            <w:noWrap/>
          </w:tcPr>
          <w:p w14:paraId="7782BDB7" w14:textId="77777777" w:rsidR="009F5DA6" w:rsidRPr="00261B7A" w:rsidRDefault="009F5DA6" w:rsidP="00D41492">
            <w:pPr>
              <w:pStyle w:val="TableText"/>
              <w:spacing w:before="50" w:after="50"/>
              <w:rPr>
                <w:rFonts w:cs="Calibri"/>
              </w:rPr>
            </w:pPr>
            <w:r w:rsidRPr="00261B7A">
              <w:rPr>
                <w:rFonts w:cs="Calibri"/>
              </w:rPr>
              <w:t>Level, trend</w:t>
            </w:r>
          </w:p>
        </w:tc>
        <w:tc>
          <w:tcPr>
            <w:tcW w:w="1435" w:type="pct"/>
            <w:shd w:val="clear" w:color="auto" w:fill="auto"/>
            <w:noWrap/>
          </w:tcPr>
          <w:p w14:paraId="6DB4FF5A" w14:textId="77777777" w:rsidR="009F5DA6" w:rsidRPr="00261B7A" w:rsidRDefault="009F5DA6" w:rsidP="00D41492">
            <w:pPr>
              <w:pStyle w:val="TableText"/>
              <w:spacing w:before="50" w:after="50"/>
              <w:rPr>
                <w:rFonts w:cs="Calibri"/>
              </w:rPr>
            </w:pPr>
            <w:r w:rsidRPr="00261B7A">
              <w:rPr>
                <w:rFonts w:cs="Calibri"/>
              </w:rPr>
              <w:t>Level, trend</w:t>
            </w:r>
          </w:p>
        </w:tc>
      </w:tr>
      <w:tr w:rsidR="009F5DA6" w:rsidRPr="00261B7A" w14:paraId="44EAC295" w14:textId="77777777" w:rsidTr="00D41492">
        <w:tc>
          <w:tcPr>
            <w:tcW w:w="2199" w:type="pct"/>
            <w:shd w:val="clear" w:color="auto" w:fill="auto"/>
            <w:noWrap/>
          </w:tcPr>
          <w:p w14:paraId="64A162CD" w14:textId="77777777" w:rsidR="009F5DA6" w:rsidRPr="00261B7A" w:rsidRDefault="009F5DA6" w:rsidP="00D41492">
            <w:pPr>
              <w:pStyle w:val="TableText"/>
              <w:spacing w:before="50" w:after="50"/>
              <w:rPr>
                <w:rFonts w:cs="Calibri"/>
              </w:rPr>
            </w:pPr>
            <w:r w:rsidRPr="00261B7A">
              <w:rPr>
                <w:rFonts w:cs="Calibri"/>
              </w:rPr>
              <w:t>Non-metallic minerals – CO</w:t>
            </w:r>
            <w:r w:rsidRPr="00261B7A">
              <w:rPr>
                <w:rFonts w:cs="Calibri"/>
                <w:vertAlign w:val="subscript"/>
              </w:rPr>
              <w:t>2</w:t>
            </w:r>
          </w:p>
        </w:tc>
        <w:tc>
          <w:tcPr>
            <w:tcW w:w="730" w:type="pct"/>
            <w:shd w:val="clear" w:color="auto" w:fill="auto"/>
            <w:noWrap/>
          </w:tcPr>
          <w:p w14:paraId="1E584D5C" w14:textId="77777777" w:rsidR="009F5DA6" w:rsidRPr="00261B7A" w:rsidRDefault="009F5DA6" w:rsidP="00D41492">
            <w:pPr>
              <w:pStyle w:val="TableText"/>
              <w:spacing w:before="50" w:after="50"/>
              <w:rPr>
                <w:rFonts w:cs="Calibri"/>
              </w:rPr>
            </w:pPr>
          </w:p>
        </w:tc>
        <w:tc>
          <w:tcPr>
            <w:tcW w:w="636" w:type="pct"/>
            <w:shd w:val="clear" w:color="auto" w:fill="auto"/>
            <w:noWrap/>
          </w:tcPr>
          <w:p w14:paraId="3C9C71B4" w14:textId="77777777" w:rsidR="009F5DA6" w:rsidRPr="00261B7A" w:rsidRDefault="009F5DA6" w:rsidP="00D41492">
            <w:pPr>
              <w:pStyle w:val="TableText"/>
              <w:spacing w:before="50" w:after="50"/>
              <w:rPr>
                <w:rFonts w:cs="Calibri"/>
              </w:rPr>
            </w:pPr>
            <w:r w:rsidRPr="00261B7A">
              <w:rPr>
                <w:rFonts w:cs="Calibri"/>
              </w:rPr>
              <w:t>Trend</w:t>
            </w:r>
          </w:p>
        </w:tc>
        <w:tc>
          <w:tcPr>
            <w:tcW w:w="1435" w:type="pct"/>
            <w:shd w:val="clear" w:color="auto" w:fill="auto"/>
            <w:noWrap/>
          </w:tcPr>
          <w:p w14:paraId="58C2D178" w14:textId="77777777" w:rsidR="009F5DA6" w:rsidRPr="00261B7A" w:rsidRDefault="009F5DA6" w:rsidP="00D41492">
            <w:pPr>
              <w:pStyle w:val="TableText"/>
              <w:spacing w:before="50" w:after="50"/>
              <w:rPr>
                <w:rFonts w:cs="Calibri"/>
              </w:rPr>
            </w:pPr>
          </w:p>
        </w:tc>
      </w:tr>
      <w:tr w:rsidR="009F5DA6" w:rsidRPr="00261B7A" w14:paraId="67006978" w14:textId="77777777" w:rsidTr="00D41492">
        <w:tc>
          <w:tcPr>
            <w:tcW w:w="2199" w:type="pct"/>
            <w:shd w:val="clear" w:color="auto" w:fill="auto"/>
            <w:noWrap/>
          </w:tcPr>
          <w:p w14:paraId="7D37ADBC" w14:textId="77777777" w:rsidR="009F5DA6" w:rsidRPr="00261B7A" w:rsidRDefault="009F5DA6" w:rsidP="00D41492">
            <w:pPr>
              <w:pStyle w:val="TableText"/>
              <w:spacing w:before="50" w:after="50"/>
              <w:rPr>
                <w:rFonts w:cs="Calibri"/>
              </w:rPr>
            </w:pPr>
            <w:r w:rsidRPr="00261B7A">
              <w:rPr>
                <w:rFonts w:cs="Calibri"/>
              </w:rPr>
              <w:t>Other – mining and quarrying – CO</w:t>
            </w:r>
            <w:r w:rsidRPr="00261B7A">
              <w:rPr>
                <w:rFonts w:cs="Calibri"/>
                <w:vertAlign w:val="subscript"/>
              </w:rPr>
              <w:t>2</w:t>
            </w:r>
          </w:p>
        </w:tc>
        <w:tc>
          <w:tcPr>
            <w:tcW w:w="730" w:type="pct"/>
            <w:shd w:val="clear" w:color="auto" w:fill="auto"/>
            <w:noWrap/>
          </w:tcPr>
          <w:p w14:paraId="5C10FCCE" w14:textId="77777777" w:rsidR="009F5DA6" w:rsidRPr="00261B7A" w:rsidRDefault="009F5DA6" w:rsidP="00D41492">
            <w:pPr>
              <w:pStyle w:val="TableText"/>
              <w:spacing w:before="50" w:after="50"/>
              <w:rPr>
                <w:rFonts w:cs="Calibri"/>
              </w:rPr>
            </w:pPr>
            <w:r w:rsidRPr="00261B7A">
              <w:rPr>
                <w:rFonts w:cs="Calibri"/>
              </w:rPr>
              <w:t>Level, trend</w:t>
            </w:r>
          </w:p>
        </w:tc>
        <w:tc>
          <w:tcPr>
            <w:tcW w:w="636" w:type="pct"/>
            <w:shd w:val="clear" w:color="auto" w:fill="auto"/>
            <w:noWrap/>
          </w:tcPr>
          <w:p w14:paraId="12BF6040" w14:textId="77777777" w:rsidR="009F5DA6" w:rsidRPr="00261B7A" w:rsidRDefault="009F5DA6" w:rsidP="00D41492">
            <w:pPr>
              <w:pStyle w:val="TableText"/>
              <w:spacing w:before="50" w:after="50"/>
              <w:rPr>
                <w:rFonts w:cs="Calibri"/>
              </w:rPr>
            </w:pPr>
          </w:p>
        </w:tc>
        <w:tc>
          <w:tcPr>
            <w:tcW w:w="1435" w:type="pct"/>
            <w:shd w:val="clear" w:color="auto" w:fill="auto"/>
            <w:noWrap/>
          </w:tcPr>
          <w:p w14:paraId="52DC42ED" w14:textId="77777777" w:rsidR="009F5DA6" w:rsidRPr="00261B7A" w:rsidRDefault="009F5DA6" w:rsidP="00D41492">
            <w:pPr>
              <w:pStyle w:val="TableText"/>
              <w:spacing w:before="50" w:after="50"/>
              <w:rPr>
                <w:rFonts w:cs="Calibri"/>
              </w:rPr>
            </w:pPr>
          </w:p>
        </w:tc>
      </w:tr>
      <w:tr w:rsidR="009F5DA6" w:rsidRPr="00261B7A" w14:paraId="5BDAC64C" w14:textId="77777777" w:rsidTr="00D41492">
        <w:tc>
          <w:tcPr>
            <w:tcW w:w="2199" w:type="pct"/>
            <w:shd w:val="clear" w:color="auto" w:fill="auto"/>
            <w:noWrap/>
          </w:tcPr>
          <w:p w14:paraId="15DB059A" w14:textId="77777777" w:rsidR="009F5DA6" w:rsidRPr="00261B7A" w:rsidRDefault="009F5DA6" w:rsidP="00D41492">
            <w:pPr>
              <w:pStyle w:val="TableText"/>
              <w:spacing w:before="50" w:after="50"/>
              <w:rPr>
                <w:rFonts w:cs="Calibri"/>
                <w:szCs w:val="16"/>
              </w:rPr>
            </w:pPr>
            <w:r w:rsidRPr="00261B7A">
              <w:rPr>
                <w:rFonts w:cs="Calibri"/>
                <w:szCs w:val="16"/>
              </w:rPr>
              <w:t>Other – construction – CO</w:t>
            </w:r>
            <w:r w:rsidRPr="00261B7A">
              <w:rPr>
                <w:rFonts w:cs="Calibri"/>
                <w:szCs w:val="16"/>
                <w:vertAlign w:val="subscript"/>
              </w:rPr>
              <w:t>2</w:t>
            </w:r>
            <w:r w:rsidRPr="00261B7A">
              <w:rPr>
                <w:rFonts w:cs="Calibri"/>
                <w:szCs w:val="16"/>
              </w:rPr>
              <w:t>*</w:t>
            </w:r>
          </w:p>
        </w:tc>
        <w:tc>
          <w:tcPr>
            <w:tcW w:w="730" w:type="pct"/>
            <w:shd w:val="clear" w:color="auto" w:fill="auto"/>
            <w:noWrap/>
          </w:tcPr>
          <w:p w14:paraId="0E7292BB" w14:textId="77777777" w:rsidR="009F5DA6" w:rsidRPr="00261B7A" w:rsidRDefault="009F5DA6" w:rsidP="00D41492">
            <w:pPr>
              <w:pStyle w:val="TableText"/>
              <w:spacing w:before="50" w:after="50"/>
              <w:rPr>
                <w:rFonts w:cs="Calibri"/>
                <w:szCs w:val="16"/>
              </w:rPr>
            </w:pPr>
            <w:r w:rsidRPr="00261B7A">
              <w:rPr>
                <w:rFonts w:cs="Calibri"/>
                <w:szCs w:val="16"/>
              </w:rPr>
              <w:t>Level, trend</w:t>
            </w:r>
          </w:p>
        </w:tc>
        <w:tc>
          <w:tcPr>
            <w:tcW w:w="636" w:type="pct"/>
            <w:shd w:val="clear" w:color="auto" w:fill="auto"/>
            <w:noWrap/>
          </w:tcPr>
          <w:p w14:paraId="5C73C2BC" w14:textId="77777777" w:rsidR="009F5DA6" w:rsidRPr="00261B7A" w:rsidRDefault="009F5DA6" w:rsidP="00D41492">
            <w:pPr>
              <w:pStyle w:val="TableText"/>
              <w:spacing w:before="50" w:after="50"/>
              <w:rPr>
                <w:rFonts w:cs="Calibri"/>
                <w:szCs w:val="16"/>
              </w:rPr>
            </w:pPr>
          </w:p>
        </w:tc>
        <w:tc>
          <w:tcPr>
            <w:tcW w:w="1435" w:type="pct"/>
            <w:shd w:val="clear" w:color="auto" w:fill="auto"/>
            <w:noWrap/>
          </w:tcPr>
          <w:p w14:paraId="600285FB" w14:textId="77777777" w:rsidR="009F5DA6" w:rsidRPr="00261B7A" w:rsidRDefault="009F5DA6" w:rsidP="00D41492">
            <w:pPr>
              <w:pStyle w:val="TableText"/>
              <w:spacing w:before="50" w:after="50"/>
              <w:rPr>
                <w:rFonts w:cs="Calibri"/>
                <w:szCs w:val="16"/>
              </w:rPr>
            </w:pPr>
          </w:p>
        </w:tc>
      </w:tr>
      <w:tr w:rsidR="009F5DA6" w:rsidRPr="00261B7A" w14:paraId="673F3B5C" w14:textId="77777777" w:rsidTr="00D41492">
        <w:tc>
          <w:tcPr>
            <w:tcW w:w="2199" w:type="pct"/>
            <w:shd w:val="clear" w:color="auto" w:fill="auto"/>
            <w:noWrap/>
          </w:tcPr>
          <w:p w14:paraId="72F642D3" w14:textId="77777777" w:rsidR="009F5DA6" w:rsidRPr="00261B7A" w:rsidRDefault="009F5DA6" w:rsidP="00D41492">
            <w:pPr>
              <w:pStyle w:val="TableText"/>
              <w:spacing w:before="50" w:after="50"/>
              <w:rPr>
                <w:rFonts w:cs="Calibri"/>
              </w:rPr>
            </w:pPr>
            <w:r w:rsidRPr="00261B7A">
              <w:rPr>
                <w:rFonts w:cs="Calibri"/>
              </w:rPr>
              <w:t>Other – other non-specified – CO</w:t>
            </w:r>
            <w:r w:rsidRPr="00261B7A">
              <w:rPr>
                <w:rFonts w:cs="Calibri"/>
                <w:vertAlign w:val="subscript"/>
              </w:rPr>
              <w:t>2</w:t>
            </w:r>
          </w:p>
        </w:tc>
        <w:tc>
          <w:tcPr>
            <w:tcW w:w="730" w:type="pct"/>
            <w:shd w:val="clear" w:color="auto" w:fill="auto"/>
            <w:noWrap/>
          </w:tcPr>
          <w:p w14:paraId="6C6E8419" w14:textId="77777777" w:rsidR="009F5DA6" w:rsidRPr="00261B7A" w:rsidRDefault="009F5DA6" w:rsidP="00D41492">
            <w:pPr>
              <w:pStyle w:val="TableText"/>
              <w:spacing w:before="50" w:after="50"/>
              <w:rPr>
                <w:rFonts w:cs="Calibri"/>
              </w:rPr>
            </w:pPr>
            <w:r w:rsidRPr="00261B7A">
              <w:rPr>
                <w:rFonts w:cs="Calibri"/>
              </w:rPr>
              <w:t>Level, trend</w:t>
            </w:r>
          </w:p>
        </w:tc>
        <w:tc>
          <w:tcPr>
            <w:tcW w:w="636" w:type="pct"/>
            <w:shd w:val="clear" w:color="auto" w:fill="auto"/>
            <w:noWrap/>
          </w:tcPr>
          <w:p w14:paraId="66CE9F34" w14:textId="77777777" w:rsidR="009F5DA6" w:rsidRPr="00261B7A" w:rsidRDefault="009F5DA6" w:rsidP="00D41492">
            <w:pPr>
              <w:pStyle w:val="TableText"/>
              <w:spacing w:before="50" w:after="50"/>
              <w:rPr>
                <w:rFonts w:cs="Calibri"/>
              </w:rPr>
            </w:pPr>
            <w:r w:rsidRPr="00261B7A">
              <w:rPr>
                <w:rFonts w:cs="Calibri"/>
              </w:rPr>
              <w:t>Trend</w:t>
            </w:r>
          </w:p>
        </w:tc>
        <w:tc>
          <w:tcPr>
            <w:tcW w:w="1435" w:type="pct"/>
            <w:shd w:val="clear" w:color="auto" w:fill="auto"/>
            <w:noWrap/>
          </w:tcPr>
          <w:p w14:paraId="1FBE6BEE" w14:textId="77777777" w:rsidR="009F5DA6" w:rsidRPr="00261B7A" w:rsidRDefault="009F5DA6" w:rsidP="00D41492">
            <w:pPr>
              <w:pStyle w:val="TableText"/>
              <w:spacing w:before="50" w:after="50"/>
              <w:rPr>
                <w:rFonts w:cs="Calibri"/>
              </w:rPr>
            </w:pPr>
          </w:p>
        </w:tc>
      </w:tr>
    </w:tbl>
    <w:p w14:paraId="7FD53792" w14:textId="77777777" w:rsidR="009F5DA6" w:rsidRPr="00261B7A" w:rsidRDefault="009F5DA6" w:rsidP="009F5DA6">
      <w:pPr>
        <w:pStyle w:val="Noteundertable"/>
        <w:rPr>
          <w:lang w:eastAsia="en-GB"/>
        </w:rPr>
      </w:pPr>
      <w:r w:rsidRPr="00261B7A">
        <w:rPr>
          <w:b/>
          <w:bCs/>
          <w:lang w:eastAsia="en-GB"/>
        </w:rPr>
        <w:t>Note:</w:t>
      </w:r>
      <w:r w:rsidRPr="00261B7A">
        <w:rPr>
          <w:lang w:eastAsia="en-GB"/>
        </w:rPr>
        <w:tab/>
        <w:t>*</w:t>
      </w:r>
      <w:r w:rsidRPr="00261B7A">
        <w:rPr>
          <w:szCs w:val="19"/>
        </w:rPr>
        <w:t xml:space="preserve"> This key category is calculated using emissions that do not distinguish by fuel type. However, it is known to comprise primarily liquid fuels.</w:t>
      </w:r>
    </w:p>
    <w:p w14:paraId="31C1E59C" w14:textId="77777777" w:rsidR="009F5DA6" w:rsidRPr="00261B7A" w:rsidRDefault="009F5DA6" w:rsidP="004C583E">
      <w:pPr>
        <w:pStyle w:val="Heading4"/>
      </w:pPr>
      <w:r w:rsidRPr="00261B7A">
        <w:t>Methodological issues</w:t>
      </w:r>
    </w:p>
    <w:p w14:paraId="76925807" w14:textId="77777777" w:rsidR="009F5DA6" w:rsidRPr="00261B7A" w:rsidRDefault="009F5DA6" w:rsidP="009F5DA6">
      <w:pPr>
        <w:pStyle w:val="BodyText"/>
        <w:rPr>
          <w:rFonts w:cs="Calibri"/>
          <w:lang w:eastAsia="en-GB"/>
        </w:rPr>
      </w:pPr>
      <w:r w:rsidRPr="00261B7A">
        <w:rPr>
          <w:rFonts w:cs="Calibri"/>
          <w:lang w:eastAsia="en-GB"/>
        </w:rPr>
        <w:t>Some emissions from the use of solid fuels and gaseous fuels are excluded from this category because they are accounted for under the IPPU sector. In particular, other sectors account for the following emissions.</w:t>
      </w:r>
    </w:p>
    <w:p w14:paraId="6747F3E2" w14:textId="77777777" w:rsidR="009F5DA6" w:rsidRPr="00261B7A" w:rsidRDefault="009F5DA6" w:rsidP="009F5DA6">
      <w:pPr>
        <w:pStyle w:val="Bullet"/>
        <w:rPr>
          <w:lang w:eastAsia="en-GB"/>
        </w:rPr>
      </w:pPr>
      <w:r w:rsidRPr="00261B7A">
        <w:rPr>
          <w:lang w:eastAsia="en-GB"/>
        </w:rPr>
        <w:t xml:space="preserve">New Zealand Steel </w:t>
      </w:r>
      <w:r w:rsidRPr="00261B7A">
        <w:t>Limited</w:t>
      </w:r>
      <w:r w:rsidRPr="00261B7A">
        <w:rPr>
          <w:lang w:eastAsia="en-GB"/>
        </w:rPr>
        <w:t xml:space="preserve"> uses coal as a reducing agent in the steel-making process. In accordance with 2006 IPCC Guidelines, the emissions from this are included in the IPPU sector rather than the Energy sector.</w:t>
      </w:r>
    </w:p>
    <w:p w14:paraId="4E64224E" w14:textId="77777777" w:rsidR="009F5DA6" w:rsidRPr="00261B7A" w:rsidRDefault="009F5DA6" w:rsidP="009F5DA6">
      <w:pPr>
        <w:pStyle w:val="Bullet"/>
        <w:rPr>
          <w:lang w:eastAsia="en-GB"/>
        </w:rPr>
      </w:pPr>
      <w:r w:rsidRPr="00261B7A">
        <w:rPr>
          <w:lang w:eastAsia="en-GB"/>
        </w:rPr>
        <w:t xml:space="preserve">In several instances, natural gas is excluded from the </w:t>
      </w:r>
      <w:r w:rsidRPr="00261B7A">
        <w:rPr>
          <w:i/>
          <w:lang w:eastAsia="en-GB"/>
        </w:rPr>
        <w:t>Manufacturing industries and construction</w:t>
      </w:r>
      <w:r w:rsidRPr="00261B7A">
        <w:rPr>
          <w:lang w:eastAsia="en-GB"/>
        </w:rPr>
        <w:t xml:space="preserve"> category because it is accounted </w:t>
      </w:r>
      <w:r w:rsidRPr="00261B7A">
        <w:rPr>
          <w:spacing w:val="-2"/>
          <w:lang w:eastAsia="en-GB"/>
        </w:rPr>
        <w:t>for under the IPPU sector. This includes urea production, hydrogen production and some of the</w:t>
      </w:r>
      <w:r w:rsidRPr="00261B7A">
        <w:rPr>
          <w:lang w:eastAsia="en-GB"/>
        </w:rPr>
        <w:t xml:space="preserve"> </w:t>
      </w:r>
      <w:r w:rsidRPr="00261B7A">
        <w:rPr>
          <w:spacing w:val="-2"/>
          <w:lang w:eastAsia="en-GB"/>
        </w:rPr>
        <w:t>natural gas used by New Zealand Steel (New Zealand Steel separately reports its emissions from</w:t>
      </w:r>
      <w:r w:rsidRPr="00261B7A">
        <w:rPr>
          <w:lang w:eastAsia="en-GB"/>
        </w:rPr>
        <w:t xml:space="preserve"> natural gas as part of the combustion process and natural gas as part of the chemical process).</w:t>
      </w:r>
    </w:p>
    <w:p w14:paraId="7284F82E" w14:textId="77777777" w:rsidR="009F5DA6" w:rsidRPr="00261B7A" w:rsidRDefault="009F5DA6" w:rsidP="004C583E">
      <w:pPr>
        <w:pStyle w:val="Heading4"/>
      </w:pPr>
      <w:r w:rsidRPr="00261B7A">
        <w:t>Activity data</w:t>
      </w:r>
    </w:p>
    <w:p w14:paraId="7231E17D" w14:textId="77777777" w:rsidR="009F5DA6" w:rsidRPr="00261B7A" w:rsidRDefault="009F5DA6" w:rsidP="009F5DA6">
      <w:pPr>
        <w:pStyle w:val="BodyText"/>
        <w:spacing w:before="100"/>
        <w:rPr>
          <w:rFonts w:cs="Calibri"/>
          <w:spacing w:val="-2"/>
        </w:rPr>
      </w:pPr>
      <w:r w:rsidRPr="00261B7A">
        <w:rPr>
          <w:rFonts w:cs="Calibri"/>
          <w:spacing w:val="-2"/>
        </w:rPr>
        <w:t xml:space="preserve">Energy balance tables released with </w:t>
      </w:r>
      <w:r w:rsidRPr="00261B7A">
        <w:rPr>
          <w:rFonts w:cs="Calibri"/>
          <w:i/>
          <w:spacing w:val="-2"/>
        </w:rPr>
        <w:t>Energy in</w:t>
      </w:r>
      <w:r w:rsidRPr="00261B7A">
        <w:rPr>
          <w:rFonts w:cs="Calibri"/>
          <w:spacing w:val="-2"/>
        </w:rPr>
        <w:t xml:space="preserve"> </w:t>
      </w:r>
      <w:r w:rsidRPr="00261B7A">
        <w:rPr>
          <w:rFonts w:cs="Calibri"/>
          <w:i/>
          <w:spacing w:val="-2"/>
        </w:rPr>
        <w:t xml:space="preserve">New Zealand </w:t>
      </w:r>
      <w:r w:rsidRPr="00261B7A">
        <w:rPr>
          <w:rFonts w:cs="Calibri"/>
          <w:spacing w:val="-2"/>
        </w:rPr>
        <w:t xml:space="preserve">(MBIE, 2022) categorise industrial uses of energy using the Australian and New Zealand Standard Industrial Classification (ANZSIC) 2006. From 2009, MBIE started to collect more detailed information on the industry of fuel use in the various surveys used to compile its balance tables, which has allowed us to further disaggregate the </w:t>
      </w:r>
      <w:r w:rsidRPr="00261B7A">
        <w:rPr>
          <w:rFonts w:cs="Calibri"/>
          <w:i/>
          <w:spacing w:val="-2"/>
        </w:rPr>
        <w:t>Manufacturing industries and construction</w:t>
      </w:r>
      <w:r w:rsidRPr="00261B7A">
        <w:rPr>
          <w:rFonts w:cs="Calibri"/>
          <w:spacing w:val="-2"/>
        </w:rPr>
        <w:t xml:space="preserve"> category. Where actual survey data are not available at the required level, estimates of the energy use across these categories have been made to ensure time-series consistency. These are described in further detail below.</w:t>
      </w:r>
    </w:p>
    <w:p w14:paraId="7EA45E16" w14:textId="77777777" w:rsidR="009F5DA6" w:rsidRPr="00261B7A" w:rsidRDefault="009F5DA6" w:rsidP="009F5DA6">
      <w:pPr>
        <w:pStyle w:val="Heading5"/>
        <w:spacing w:before="200"/>
        <w:rPr>
          <w:rFonts w:cs="Calibri"/>
        </w:rPr>
      </w:pPr>
      <w:r w:rsidRPr="00261B7A">
        <w:rPr>
          <w:rFonts w:cs="Calibri"/>
        </w:rPr>
        <w:t>Solid fuels</w:t>
      </w:r>
    </w:p>
    <w:p w14:paraId="02BA5E91" w14:textId="77777777" w:rsidR="009F5DA6" w:rsidRPr="00261B7A" w:rsidRDefault="009F5DA6" w:rsidP="009F5DA6">
      <w:pPr>
        <w:pStyle w:val="BodyText"/>
        <w:spacing w:after="100"/>
        <w:rPr>
          <w:rFonts w:cs="Calibri"/>
        </w:rPr>
      </w:pPr>
      <w:r w:rsidRPr="00261B7A">
        <w:rPr>
          <w:rFonts w:cs="Calibri"/>
        </w:rPr>
        <w:t xml:space="preserve">Prior to 2010, coal use in the </w:t>
      </w:r>
      <w:r w:rsidRPr="00261B7A">
        <w:rPr>
          <w:rFonts w:cs="Calibri"/>
          <w:i/>
          <w:iCs/>
        </w:rPr>
        <w:t>Manufacturing industries and construction</w:t>
      </w:r>
      <w:r w:rsidRPr="00261B7A">
        <w:rPr>
          <w:rFonts w:cs="Calibri"/>
        </w:rPr>
        <w:t xml:space="preserve"> category could not be further disaggregated, as no data existed to allow for more detailed categorisation. However, in 2010 MBIE implemented disaggregation for coal use in this category based on the improved industry use data. This disaggregation was applied from 2009 onwards, and the percentage splits (based on 2009 data) were applied to activity data for the annual inventory submission across the whole time series (back to 1990). However, during 2014, the coal data system at MBIE was revised to internally disaggregate manufacturing industries based on a 2011 survey of major coal users. Therefore, applying the disaggregation procedure previously used within the greenhouse gas data system is no longer necessary. </w:t>
      </w:r>
    </w:p>
    <w:p w14:paraId="42CA9BCB" w14:textId="77777777" w:rsidR="009F5DA6" w:rsidRPr="00261B7A" w:rsidRDefault="009F5DA6" w:rsidP="009F5DA6">
      <w:pPr>
        <w:pStyle w:val="BodyText"/>
        <w:spacing w:after="100"/>
        <w:rPr>
          <w:rFonts w:cs="Calibri"/>
        </w:rPr>
      </w:pPr>
      <w:r w:rsidRPr="00261B7A">
        <w:rPr>
          <w:rFonts w:cs="Calibri"/>
        </w:rPr>
        <w:t xml:space="preserve">From 2009 onwards, the coal sales survey conducted by MBIE provides data at a more disaggregated level. </w:t>
      </w:r>
    </w:p>
    <w:p w14:paraId="71C7A0A6" w14:textId="77777777" w:rsidR="009F5DA6" w:rsidRPr="00261B7A" w:rsidRDefault="009F5DA6" w:rsidP="009F5DA6">
      <w:pPr>
        <w:pStyle w:val="Heading5"/>
        <w:spacing w:before="160"/>
        <w:rPr>
          <w:rFonts w:cs="Calibri"/>
        </w:rPr>
      </w:pPr>
      <w:r w:rsidRPr="00261B7A">
        <w:rPr>
          <w:rFonts w:cs="Calibri"/>
        </w:rPr>
        <w:t>Solid biomass</w:t>
      </w:r>
    </w:p>
    <w:p w14:paraId="126AF259" w14:textId="77777777" w:rsidR="009F5DA6" w:rsidRPr="00261B7A" w:rsidRDefault="009F5DA6" w:rsidP="009F5DA6">
      <w:pPr>
        <w:pStyle w:val="BodyText"/>
        <w:spacing w:before="80"/>
        <w:rPr>
          <w:rFonts w:cs="Calibri"/>
        </w:rPr>
      </w:pPr>
      <w:r w:rsidRPr="00261B7A">
        <w:rPr>
          <w:rFonts w:cs="Calibri"/>
        </w:rPr>
        <w:t xml:space="preserve">The Bioenergy Association of New Zealand conducted the 2006 Heat Plant Survey of </w:t>
      </w:r>
      <w:r w:rsidRPr="00261B7A">
        <w:rPr>
          <w:rFonts w:cs="Calibri"/>
          <w:lang w:eastAsia="en-GB"/>
        </w:rPr>
        <w:t>New Zealand (</w:t>
      </w:r>
      <w:r w:rsidRPr="00261B7A">
        <w:rPr>
          <w:rFonts w:cs="Calibri"/>
        </w:rPr>
        <w:t>Bioenergy Association of New Zealand, 2011)</w:t>
      </w:r>
      <w:r w:rsidRPr="00261B7A">
        <w:rPr>
          <w:rFonts w:cs="Calibri"/>
          <w:lang w:eastAsia="en-GB"/>
        </w:rPr>
        <w:t xml:space="preserve"> to gain information on heat plant (boiler) capacity and use in New Zealand. One area this survey examined was solid biomass use in New Zealand industrial companies (see table 3.3.4). The survey shows that most solid biomass in New Zealand is used by the wood processing industry. The industrial allocations from the survey were used to separate out solid biomass activity data for the inventory. These splits were applied across the whole time series (back to 1990) for activity data and </w:t>
      </w:r>
      <w:r w:rsidRPr="00261B7A">
        <w:rPr>
          <w:rFonts w:cs="Calibri"/>
        </w:rPr>
        <w:t>CO</w:t>
      </w:r>
      <w:r w:rsidRPr="00261B7A">
        <w:rPr>
          <w:rFonts w:cs="Calibri"/>
          <w:vertAlign w:val="subscript"/>
        </w:rPr>
        <w:t>2</w:t>
      </w:r>
      <w:r w:rsidRPr="00261B7A">
        <w:rPr>
          <w:rFonts w:cs="Calibri"/>
        </w:rPr>
        <w:t>, CH</w:t>
      </w:r>
      <w:r w:rsidRPr="00261B7A">
        <w:rPr>
          <w:rFonts w:cs="Calibri"/>
          <w:vertAlign w:val="subscript"/>
        </w:rPr>
        <w:t>4</w:t>
      </w:r>
      <w:r w:rsidRPr="00261B7A">
        <w:rPr>
          <w:rFonts w:cs="Calibri"/>
        </w:rPr>
        <w:t> and N</w:t>
      </w:r>
      <w:r w:rsidRPr="00261B7A">
        <w:rPr>
          <w:rFonts w:cs="Calibri"/>
          <w:vertAlign w:val="subscript"/>
        </w:rPr>
        <w:t>2</w:t>
      </w:r>
      <w:r w:rsidRPr="00261B7A">
        <w:rPr>
          <w:rFonts w:cs="Calibri"/>
        </w:rPr>
        <w:t>O emissions.</w:t>
      </w:r>
    </w:p>
    <w:p w14:paraId="2BE0057E" w14:textId="77777777" w:rsidR="009F5DA6" w:rsidRPr="00261B7A" w:rsidRDefault="009F5DA6" w:rsidP="009F5DA6">
      <w:pPr>
        <w:pStyle w:val="Table"/>
        <w:rPr>
          <w:rFonts w:cs="Calibri"/>
        </w:rPr>
      </w:pPr>
      <w:bookmarkStart w:id="335" w:name="_Toc321399159"/>
      <w:bookmarkStart w:id="336" w:name="_Toc384582171"/>
      <w:bookmarkStart w:id="337" w:name="_Toc443060846"/>
      <w:bookmarkStart w:id="338" w:name="_Toc451176062"/>
      <w:bookmarkStart w:id="339" w:name="_Toc481751488"/>
      <w:bookmarkStart w:id="340" w:name="_Toc507496591"/>
      <w:bookmarkStart w:id="341" w:name="_Toc36224525"/>
      <w:bookmarkStart w:id="342" w:name="_Toc68786408"/>
      <w:bookmarkStart w:id="343" w:name="_Toc131591321"/>
      <w:r w:rsidRPr="00261B7A">
        <w:rPr>
          <w:rFonts w:cs="Calibri"/>
        </w:rPr>
        <w:t xml:space="preserve">Table 3.3.4 </w:t>
      </w:r>
      <w:r w:rsidRPr="00261B7A">
        <w:rPr>
          <w:rFonts w:cs="Calibri"/>
        </w:rPr>
        <w:tab/>
        <w:t xml:space="preserve">Solid biomass splits for 2006 that were used to disaggregate the </w:t>
      </w:r>
      <w:r w:rsidRPr="00261B7A">
        <w:rPr>
          <w:rFonts w:cs="Calibri"/>
          <w:i/>
          <w:iCs/>
        </w:rPr>
        <w:t>Manufacturing industries</w:t>
      </w:r>
      <w:r w:rsidRPr="00261B7A">
        <w:rPr>
          <w:rFonts w:cs="Calibri"/>
          <w:i/>
          <w:iCs/>
        </w:rPr>
        <w:br/>
        <w:t>and construction</w:t>
      </w:r>
      <w:r w:rsidRPr="00261B7A">
        <w:rPr>
          <w:rFonts w:cs="Calibri"/>
        </w:rPr>
        <w:t xml:space="preserve"> category between 1990 and </w:t>
      </w:r>
      <w:bookmarkEnd w:id="335"/>
      <w:bookmarkEnd w:id="336"/>
      <w:bookmarkEnd w:id="337"/>
      <w:bookmarkEnd w:id="338"/>
      <w:bookmarkEnd w:id="339"/>
      <w:bookmarkEnd w:id="340"/>
      <w:bookmarkEnd w:id="341"/>
      <w:bookmarkEnd w:id="342"/>
      <w:r w:rsidRPr="00261B7A">
        <w:rPr>
          <w:rFonts w:cs="Calibri"/>
        </w:rPr>
        <w:t>2021</w:t>
      </w:r>
      <w:bookmarkEnd w:id="343"/>
    </w:p>
    <w:tbl>
      <w:tblPr>
        <w:tblW w:w="8505"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1850"/>
        <w:gridCol w:w="4825"/>
        <w:gridCol w:w="1830"/>
      </w:tblGrid>
      <w:tr w:rsidR="009F5DA6" w:rsidRPr="00261B7A" w14:paraId="72E92EC6" w14:textId="77777777" w:rsidTr="00D41492">
        <w:trPr>
          <w:tblHeader/>
        </w:trPr>
        <w:tc>
          <w:tcPr>
            <w:tcW w:w="1752" w:type="dxa"/>
            <w:shd w:val="clear" w:color="auto" w:fill="1B556B"/>
            <w:vAlign w:val="bottom"/>
          </w:tcPr>
          <w:p w14:paraId="4C3F7F5A" w14:textId="77777777" w:rsidR="009F5DA6" w:rsidRPr="00261B7A" w:rsidRDefault="009F5DA6" w:rsidP="00D41492">
            <w:pPr>
              <w:pStyle w:val="TableTextBold"/>
              <w:keepNext/>
              <w:spacing w:before="40" w:after="40"/>
              <w:rPr>
                <w:rFonts w:cs="Calibri"/>
                <w:bCs/>
                <w:noProof w:val="0"/>
                <w:color w:val="FFFFFF"/>
              </w:rPr>
            </w:pPr>
            <w:r w:rsidRPr="00261B7A">
              <w:rPr>
                <w:rFonts w:cs="Calibri"/>
                <w:bCs/>
                <w:noProof w:val="0"/>
                <w:color w:val="FFFFFF"/>
              </w:rPr>
              <w:t>CRF category code</w:t>
            </w:r>
          </w:p>
        </w:tc>
        <w:tc>
          <w:tcPr>
            <w:tcW w:w="4567" w:type="dxa"/>
            <w:shd w:val="clear" w:color="auto" w:fill="1B556B"/>
            <w:vAlign w:val="bottom"/>
          </w:tcPr>
          <w:p w14:paraId="3B056B99" w14:textId="77777777" w:rsidR="009F5DA6" w:rsidRPr="00261B7A" w:rsidRDefault="009F5DA6" w:rsidP="00D41492">
            <w:pPr>
              <w:pStyle w:val="TableTextBold"/>
              <w:spacing w:before="40" w:after="40"/>
              <w:rPr>
                <w:rFonts w:cs="Calibri"/>
                <w:bCs/>
                <w:noProof w:val="0"/>
                <w:color w:val="FFFFFF"/>
              </w:rPr>
            </w:pPr>
            <w:r w:rsidRPr="00261B7A">
              <w:rPr>
                <w:rFonts w:cs="Calibri"/>
                <w:bCs/>
                <w:noProof w:val="0"/>
                <w:color w:val="FFFFFF"/>
              </w:rPr>
              <w:t>Manufacturing industries and construction category</w:t>
            </w:r>
          </w:p>
        </w:tc>
        <w:tc>
          <w:tcPr>
            <w:tcW w:w="1732" w:type="dxa"/>
            <w:shd w:val="clear" w:color="auto" w:fill="1B556B"/>
            <w:vAlign w:val="bottom"/>
          </w:tcPr>
          <w:p w14:paraId="59FDA67F" w14:textId="77777777" w:rsidR="009F5DA6" w:rsidRPr="00261B7A" w:rsidRDefault="009F5DA6" w:rsidP="00D41492">
            <w:pPr>
              <w:pStyle w:val="TableTextBold"/>
              <w:spacing w:before="40" w:after="40"/>
              <w:jc w:val="center"/>
              <w:rPr>
                <w:rFonts w:cs="Calibri"/>
                <w:noProof w:val="0"/>
                <w:color w:val="FFFFFF"/>
              </w:rPr>
            </w:pPr>
            <w:r w:rsidRPr="00261B7A">
              <w:rPr>
                <w:rFonts w:cs="Calibri"/>
                <w:noProof w:val="0"/>
                <w:color w:val="FFFFFF" w:themeColor="background1"/>
              </w:rPr>
              <w:t>%</w:t>
            </w:r>
          </w:p>
        </w:tc>
      </w:tr>
      <w:tr w:rsidR="009F5DA6" w:rsidRPr="00261B7A" w14:paraId="21C44D8D" w14:textId="77777777" w:rsidTr="00D41492">
        <w:tc>
          <w:tcPr>
            <w:tcW w:w="1752" w:type="dxa"/>
            <w:shd w:val="clear" w:color="auto" w:fill="auto"/>
            <w:vAlign w:val="center"/>
          </w:tcPr>
          <w:p w14:paraId="76B45D8F" w14:textId="77777777" w:rsidR="009F5DA6" w:rsidRPr="00261B7A" w:rsidRDefault="009F5DA6" w:rsidP="00D41492">
            <w:pPr>
              <w:pStyle w:val="TableText"/>
              <w:keepNext/>
              <w:spacing w:before="40" w:after="40"/>
              <w:rPr>
                <w:rFonts w:cs="Calibri"/>
                <w:bCs/>
              </w:rPr>
            </w:pPr>
            <w:r w:rsidRPr="00261B7A">
              <w:rPr>
                <w:rFonts w:cs="Calibri"/>
                <w:bCs/>
              </w:rPr>
              <w:t>1.A.2.a</w:t>
            </w:r>
          </w:p>
        </w:tc>
        <w:tc>
          <w:tcPr>
            <w:tcW w:w="4567" w:type="dxa"/>
            <w:shd w:val="clear" w:color="auto" w:fill="auto"/>
            <w:vAlign w:val="center"/>
          </w:tcPr>
          <w:p w14:paraId="00762C11" w14:textId="77777777" w:rsidR="009F5DA6" w:rsidRPr="00261B7A" w:rsidRDefault="009F5DA6" w:rsidP="00D41492">
            <w:pPr>
              <w:pStyle w:val="TableText"/>
              <w:spacing w:before="40" w:after="40"/>
              <w:rPr>
                <w:rFonts w:cs="Calibri"/>
                <w:lang w:eastAsia="en-GB"/>
              </w:rPr>
            </w:pPr>
            <w:r w:rsidRPr="00261B7A">
              <w:rPr>
                <w:rFonts w:cs="Calibri"/>
              </w:rPr>
              <w:t>Iron and steel</w:t>
            </w:r>
          </w:p>
        </w:tc>
        <w:tc>
          <w:tcPr>
            <w:tcW w:w="1732" w:type="dxa"/>
            <w:shd w:val="clear" w:color="auto" w:fill="auto"/>
            <w:vAlign w:val="center"/>
          </w:tcPr>
          <w:p w14:paraId="5085380E" w14:textId="77777777" w:rsidR="009F5DA6" w:rsidRPr="00261B7A" w:rsidRDefault="009F5DA6" w:rsidP="00D41492">
            <w:pPr>
              <w:pStyle w:val="TableText"/>
              <w:spacing w:before="40" w:after="40"/>
              <w:ind w:right="660"/>
              <w:jc w:val="right"/>
              <w:rPr>
                <w:rFonts w:cs="Calibri"/>
                <w:color w:val="000000"/>
              </w:rPr>
            </w:pPr>
            <w:r w:rsidRPr="00261B7A">
              <w:rPr>
                <w:rFonts w:cs="Calibri"/>
                <w:color w:val="000000"/>
              </w:rPr>
              <w:t>NO</w:t>
            </w:r>
          </w:p>
        </w:tc>
      </w:tr>
      <w:tr w:rsidR="009F5DA6" w:rsidRPr="00261B7A" w14:paraId="18744D21" w14:textId="77777777" w:rsidTr="00D41492">
        <w:tc>
          <w:tcPr>
            <w:tcW w:w="1752" w:type="dxa"/>
            <w:shd w:val="clear" w:color="auto" w:fill="auto"/>
            <w:vAlign w:val="center"/>
          </w:tcPr>
          <w:p w14:paraId="02DFDEB6" w14:textId="77777777" w:rsidR="009F5DA6" w:rsidRPr="00261B7A" w:rsidRDefault="009F5DA6" w:rsidP="00D41492">
            <w:pPr>
              <w:pStyle w:val="TableText"/>
              <w:keepNext/>
              <w:spacing w:before="40" w:after="40"/>
              <w:rPr>
                <w:rFonts w:cs="Calibri"/>
                <w:bCs/>
              </w:rPr>
            </w:pPr>
            <w:r w:rsidRPr="00261B7A">
              <w:rPr>
                <w:rFonts w:cs="Calibri"/>
                <w:bCs/>
              </w:rPr>
              <w:t>1.A.2.b</w:t>
            </w:r>
          </w:p>
        </w:tc>
        <w:tc>
          <w:tcPr>
            <w:tcW w:w="4567" w:type="dxa"/>
            <w:shd w:val="clear" w:color="auto" w:fill="auto"/>
            <w:vAlign w:val="center"/>
          </w:tcPr>
          <w:p w14:paraId="616FA057" w14:textId="77777777" w:rsidR="009F5DA6" w:rsidRPr="00261B7A" w:rsidRDefault="009F5DA6" w:rsidP="00D41492">
            <w:pPr>
              <w:pStyle w:val="TableText"/>
              <w:spacing w:before="40" w:after="40"/>
              <w:rPr>
                <w:rFonts w:cs="Calibri"/>
              </w:rPr>
            </w:pPr>
            <w:r w:rsidRPr="00261B7A">
              <w:rPr>
                <w:rFonts w:cs="Calibri"/>
              </w:rPr>
              <w:t>Non-ferrous metals</w:t>
            </w:r>
          </w:p>
        </w:tc>
        <w:tc>
          <w:tcPr>
            <w:tcW w:w="1732" w:type="dxa"/>
            <w:shd w:val="clear" w:color="auto" w:fill="auto"/>
            <w:vAlign w:val="center"/>
          </w:tcPr>
          <w:p w14:paraId="12671A9A" w14:textId="77777777" w:rsidR="009F5DA6" w:rsidRPr="00261B7A" w:rsidRDefault="009F5DA6" w:rsidP="00D41492">
            <w:pPr>
              <w:pStyle w:val="TableText"/>
              <w:spacing w:before="40" w:after="40"/>
              <w:ind w:right="660"/>
              <w:jc w:val="right"/>
              <w:rPr>
                <w:rFonts w:cs="Calibri"/>
                <w:color w:val="000000"/>
              </w:rPr>
            </w:pPr>
            <w:r w:rsidRPr="00261B7A">
              <w:rPr>
                <w:rFonts w:cs="Calibri"/>
                <w:color w:val="000000"/>
              </w:rPr>
              <w:t>NO</w:t>
            </w:r>
          </w:p>
        </w:tc>
      </w:tr>
      <w:tr w:rsidR="009F5DA6" w:rsidRPr="00261B7A" w14:paraId="2D0EE5EB" w14:textId="77777777" w:rsidTr="00D41492">
        <w:tc>
          <w:tcPr>
            <w:tcW w:w="1752" w:type="dxa"/>
            <w:shd w:val="clear" w:color="auto" w:fill="auto"/>
            <w:vAlign w:val="center"/>
          </w:tcPr>
          <w:p w14:paraId="40BFB3E5" w14:textId="77777777" w:rsidR="009F5DA6" w:rsidRPr="00261B7A" w:rsidRDefault="009F5DA6" w:rsidP="00D41492">
            <w:pPr>
              <w:pStyle w:val="TableText"/>
              <w:spacing w:before="40" w:after="40"/>
              <w:rPr>
                <w:rFonts w:cs="Calibri"/>
                <w:bCs/>
              </w:rPr>
            </w:pPr>
            <w:r w:rsidRPr="00261B7A">
              <w:rPr>
                <w:rFonts w:cs="Calibri"/>
                <w:bCs/>
              </w:rPr>
              <w:t>1.A.2.c</w:t>
            </w:r>
          </w:p>
        </w:tc>
        <w:tc>
          <w:tcPr>
            <w:tcW w:w="4567" w:type="dxa"/>
            <w:shd w:val="clear" w:color="auto" w:fill="auto"/>
            <w:vAlign w:val="center"/>
          </w:tcPr>
          <w:p w14:paraId="156527EB" w14:textId="77777777" w:rsidR="009F5DA6" w:rsidRPr="00261B7A" w:rsidRDefault="009F5DA6" w:rsidP="00D41492">
            <w:pPr>
              <w:pStyle w:val="TableText"/>
              <w:spacing w:before="40" w:after="40"/>
              <w:rPr>
                <w:rFonts w:cs="Calibri"/>
                <w:lang w:eastAsia="en-GB"/>
              </w:rPr>
            </w:pPr>
            <w:r w:rsidRPr="00261B7A">
              <w:rPr>
                <w:rFonts w:cs="Calibri"/>
              </w:rPr>
              <w:t>Chemicals</w:t>
            </w:r>
          </w:p>
        </w:tc>
        <w:tc>
          <w:tcPr>
            <w:tcW w:w="1732" w:type="dxa"/>
            <w:shd w:val="clear" w:color="auto" w:fill="auto"/>
            <w:vAlign w:val="center"/>
          </w:tcPr>
          <w:p w14:paraId="64B92009" w14:textId="77777777" w:rsidR="009F5DA6" w:rsidRPr="00261B7A" w:rsidRDefault="009F5DA6" w:rsidP="00D41492">
            <w:pPr>
              <w:pStyle w:val="TableText"/>
              <w:spacing w:before="40" w:after="40"/>
              <w:ind w:right="660"/>
              <w:jc w:val="right"/>
              <w:rPr>
                <w:rFonts w:cs="Calibri"/>
                <w:color w:val="000000"/>
              </w:rPr>
            </w:pPr>
            <w:r w:rsidRPr="00261B7A">
              <w:rPr>
                <w:rFonts w:cs="Calibri"/>
                <w:color w:val="000000"/>
              </w:rPr>
              <w:t>NO</w:t>
            </w:r>
          </w:p>
        </w:tc>
      </w:tr>
      <w:tr w:rsidR="009F5DA6" w:rsidRPr="00261B7A" w14:paraId="7192162C" w14:textId="77777777" w:rsidTr="00D41492">
        <w:tc>
          <w:tcPr>
            <w:tcW w:w="1752" w:type="dxa"/>
            <w:shd w:val="clear" w:color="auto" w:fill="auto"/>
            <w:vAlign w:val="center"/>
          </w:tcPr>
          <w:p w14:paraId="2F972A62" w14:textId="77777777" w:rsidR="009F5DA6" w:rsidRPr="00261B7A" w:rsidRDefault="009F5DA6" w:rsidP="00D41492">
            <w:pPr>
              <w:pStyle w:val="TableText"/>
              <w:spacing w:before="40" w:after="40"/>
              <w:rPr>
                <w:rFonts w:cs="Calibri"/>
                <w:bCs/>
              </w:rPr>
            </w:pPr>
            <w:r w:rsidRPr="00261B7A">
              <w:rPr>
                <w:rFonts w:cs="Calibri"/>
                <w:bCs/>
              </w:rPr>
              <w:t>1.A.2.d</w:t>
            </w:r>
          </w:p>
        </w:tc>
        <w:tc>
          <w:tcPr>
            <w:tcW w:w="4567" w:type="dxa"/>
            <w:shd w:val="clear" w:color="auto" w:fill="auto"/>
            <w:vAlign w:val="center"/>
          </w:tcPr>
          <w:p w14:paraId="5541CC6A" w14:textId="77777777" w:rsidR="009F5DA6" w:rsidRPr="00261B7A" w:rsidRDefault="009F5DA6" w:rsidP="00D41492">
            <w:pPr>
              <w:pStyle w:val="TableText"/>
              <w:spacing w:before="40" w:after="40"/>
              <w:rPr>
                <w:rFonts w:cs="Calibri"/>
                <w:lang w:eastAsia="en-GB"/>
              </w:rPr>
            </w:pPr>
            <w:r w:rsidRPr="00261B7A">
              <w:rPr>
                <w:rFonts w:cs="Calibri"/>
              </w:rPr>
              <w:t>Pulp, paper and print</w:t>
            </w:r>
          </w:p>
        </w:tc>
        <w:tc>
          <w:tcPr>
            <w:tcW w:w="1732" w:type="dxa"/>
            <w:shd w:val="clear" w:color="auto" w:fill="auto"/>
            <w:vAlign w:val="center"/>
          </w:tcPr>
          <w:p w14:paraId="584BDE0A" w14:textId="77777777" w:rsidR="009F5DA6" w:rsidRPr="00261B7A" w:rsidRDefault="009F5DA6" w:rsidP="00D41492">
            <w:pPr>
              <w:pStyle w:val="TableText"/>
              <w:spacing w:before="40" w:after="40"/>
              <w:ind w:right="660"/>
              <w:jc w:val="right"/>
              <w:rPr>
                <w:rFonts w:cs="Calibri"/>
                <w:color w:val="000000"/>
              </w:rPr>
            </w:pPr>
            <w:r w:rsidRPr="00261B7A">
              <w:rPr>
                <w:rFonts w:cs="Calibri"/>
                <w:color w:val="000000"/>
              </w:rPr>
              <w:t>99.94</w:t>
            </w:r>
          </w:p>
        </w:tc>
      </w:tr>
      <w:tr w:rsidR="009F5DA6" w:rsidRPr="00261B7A" w14:paraId="6094E22D" w14:textId="77777777" w:rsidTr="00D41492">
        <w:tc>
          <w:tcPr>
            <w:tcW w:w="1752" w:type="dxa"/>
            <w:shd w:val="clear" w:color="auto" w:fill="auto"/>
            <w:vAlign w:val="center"/>
          </w:tcPr>
          <w:p w14:paraId="0C698F72" w14:textId="77777777" w:rsidR="009F5DA6" w:rsidRPr="00261B7A" w:rsidRDefault="009F5DA6" w:rsidP="00D41492">
            <w:pPr>
              <w:pStyle w:val="TableText"/>
              <w:spacing w:before="40" w:after="40"/>
              <w:rPr>
                <w:rFonts w:cs="Calibri"/>
                <w:bCs/>
              </w:rPr>
            </w:pPr>
            <w:r w:rsidRPr="00261B7A">
              <w:rPr>
                <w:rFonts w:cs="Calibri"/>
                <w:bCs/>
              </w:rPr>
              <w:t>1.A.2.e</w:t>
            </w:r>
          </w:p>
        </w:tc>
        <w:tc>
          <w:tcPr>
            <w:tcW w:w="4567" w:type="dxa"/>
            <w:shd w:val="clear" w:color="auto" w:fill="auto"/>
            <w:vAlign w:val="center"/>
          </w:tcPr>
          <w:p w14:paraId="48B0CCD3" w14:textId="77777777" w:rsidR="009F5DA6" w:rsidRPr="00261B7A" w:rsidRDefault="009F5DA6" w:rsidP="00D41492">
            <w:pPr>
              <w:pStyle w:val="TableText"/>
              <w:spacing w:before="40" w:after="40"/>
              <w:rPr>
                <w:rFonts w:cs="Calibri"/>
                <w:lang w:eastAsia="en-GB"/>
              </w:rPr>
            </w:pPr>
            <w:r w:rsidRPr="00261B7A">
              <w:rPr>
                <w:rFonts w:cs="Calibri"/>
              </w:rPr>
              <w:t>Food processing, beverages and tobacco</w:t>
            </w:r>
          </w:p>
        </w:tc>
        <w:tc>
          <w:tcPr>
            <w:tcW w:w="1732" w:type="dxa"/>
            <w:shd w:val="clear" w:color="auto" w:fill="auto"/>
            <w:vAlign w:val="center"/>
          </w:tcPr>
          <w:p w14:paraId="41AE8E46" w14:textId="77777777" w:rsidR="009F5DA6" w:rsidRPr="00261B7A" w:rsidRDefault="009F5DA6" w:rsidP="00D41492">
            <w:pPr>
              <w:pStyle w:val="TableText"/>
              <w:spacing w:before="40" w:after="40"/>
              <w:ind w:right="660"/>
              <w:jc w:val="right"/>
              <w:rPr>
                <w:rFonts w:cs="Calibri"/>
                <w:color w:val="000000"/>
              </w:rPr>
            </w:pPr>
            <w:r w:rsidRPr="00261B7A">
              <w:rPr>
                <w:rFonts w:cs="Calibri"/>
                <w:color w:val="000000"/>
              </w:rPr>
              <w:t>0.05</w:t>
            </w:r>
          </w:p>
        </w:tc>
      </w:tr>
      <w:tr w:rsidR="009F5DA6" w:rsidRPr="00261B7A" w14:paraId="5384446B" w14:textId="77777777" w:rsidTr="00D41492">
        <w:tc>
          <w:tcPr>
            <w:tcW w:w="1752" w:type="dxa"/>
            <w:shd w:val="clear" w:color="auto" w:fill="auto"/>
            <w:vAlign w:val="center"/>
          </w:tcPr>
          <w:p w14:paraId="4AB5D4E1" w14:textId="77777777" w:rsidR="009F5DA6" w:rsidRPr="00261B7A" w:rsidRDefault="009F5DA6" w:rsidP="00D41492">
            <w:pPr>
              <w:pStyle w:val="TableText"/>
              <w:spacing w:before="40" w:after="40"/>
              <w:rPr>
                <w:rFonts w:cs="Calibri"/>
                <w:bCs/>
              </w:rPr>
            </w:pPr>
            <w:r w:rsidRPr="00261B7A">
              <w:rPr>
                <w:rFonts w:cs="Calibri"/>
                <w:bCs/>
              </w:rPr>
              <w:t>1.A.2.g</w:t>
            </w:r>
          </w:p>
        </w:tc>
        <w:tc>
          <w:tcPr>
            <w:tcW w:w="4567" w:type="dxa"/>
            <w:shd w:val="clear" w:color="auto" w:fill="auto"/>
            <w:vAlign w:val="center"/>
          </w:tcPr>
          <w:p w14:paraId="3CB4913B" w14:textId="77777777" w:rsidR="009F5DA6" w:rsidRPr="00261B7A" w:rsidRDefault="009F5DA6" w:rsidP="00D41492">
            <w:pPr>
              <w:pStyle w:val="TableText"/>
              <w:spacing w:before="40" w:after="40"/>
              <w:rPr>
                <w:rFonts w:cs="Calibri"/>
                <w:lang w:eastAsia="en-GB"/>
              </w:rPr>
            </w:pPr>
            <w:r w:rsidRPr="00261B7A">
              <w:rPr>
                <w:rFonts w:cs="Calibri"/>
              </w:rPr>
              <w:t>Other – mining and construction</w:t>
            </w:r>
          </w:p>
        </w:tc>
        <w:tc>
          <w:tcPr>
            <w:tcW w:w="1732" w:type="dxa"/>
            <w:shd w:val="clear" w:color="auto" w:fill="auto"/>
            <w:vAlign w:val="center"/>
          </w:tcPr>
          <w:p w14:paraId="763467EF" w14:textId="77777777" w:rsidR="009F5DA6" w:rsidRPr="00261B7A" w:rsidRDefault="009F5DA6" w:rsidP="00D41492">
            <w:pPr>
              <w:pStyle w:val="TableText"/>
              <w:spacing w:before="40" w:after="40"/>
              <w:ind w:right="660"/>
              <w:jc w:val="right"/>
              <w:rPr>
                <w:rFonts w:cs="Calibri"/>
                <w:color w:val="000000"/>
              </w:rPr>
            </w:pPr>
            <w:r w:rsidRPr="00261B7A">
              <w:rPr>
                <w:rFonts w:cs="Calibri"/>
                <w:color w:val="000000"/>
              </w:rPr>
              <w:t>NO</w:t>
            </w:r>
          </w:p>
        </w:tc>
      </w:tr>
      <w:tr w:rsidR="009F5DA6" w:rsidRPr="00261B7A" w14:paraId="197AAAF2" w14:textId="77777777" w:rsidTr="00D41492">
        <w:tc>
          <w:tcPr>
            <w:tcW w:w="1752" w:type="dxa"/>
            <w:shd w:val="clear" w:color="auto" w:fill="auto"/>
            <w:vAlign w:val="center"/>
          </w:tcPr>
          <w:p w14:paraId="14419BCF" w14:textId="77777777" w:rsidR="009F5DA6" w:rsidRPr="00261B7A" w:rsidRDefault="009F5DA6" w:rsidP="00D41492">
            <w:pPr>
              <w:pStyle w:val="TableText"/>
              <w:spacing w:before="40" w:after="40"/>
              <w:rPr>
                <w:rFonts w:cs="Calibri"/>
                <w:bCs/>
              </w:rPr>
            </w:pPr>
            <w:r w:rsidRPr="00261B7A">
              <w:rPr>
                <w:rFonts w:cs="Calibri"/>
                <w:bCs/>
              </w:rPr>
              <w:t>1.A.2.g</w:t>
            </w:r>
          </w:p>
        </w:tc>
        <w:tc>
          <w:tcPr>
            <w:tcW w:w="4567" w:type="dxa"/>
            <w:shd w:val="clear" w:color="auto" w:fill="auto"/>
            <w:vAlign w:val="center"/>
          </w:tcPr>
          <w:p w14:paraId="34030CFF" w14:textId="77777777" w:rsidR="009F5DA6" w:rsidRPr="00261B7A" w:rsidRDefault="009F5DA6" w:rsidP="00D41492">
            <w:pPr>
              <w:pStyle w:val="TableText"/>
              <w:spacing w:before="40" w:after="40"/>
              <w:rPr>
                <w:rFonts w:cs="Calibri"/>
                <w:lang w:eastAsia="en-GB"/>
              </w:rPr>
            </w:pPr>
            <w:r w:rsidRPr="00261B7A">
              <w:rPr>
                <w:rFonts w:cs="Calibri"/>
              </w:rPr>
              <w:t>Other – textiles</w:t>
            </w:r>
          </w:p>
        </w:tc>
        <w:tc>
          <w:tcPr>
            <w:tcW w:w="1732" w:type="dxa"/>
            <w:shd w:val="clear" w:color="auto" w:fill="auto"/>
            <w:vAlign w:val="center"/>
          </w:tcPr>
          <w:p w14:paraId="74166056" w14:textId="77777777" w:rsidR="009F5DA6" w:rsidRPr="00261B7A" w:rsidRDefault="009F5DA6" w:rsidP="00D41492">
            <w:pPr>
              <w:pStyle w:val="TableText"/>
              <w:spacing w:before="40" w:after="40"/>
              <w:ind w:right="660"/>
              <w:jc w:val="right"/>
              <w:rPr>
                <w:rFonts w:cs="Calibri"/>
                <w:color w:val="000000"/>
              </w:rPr>
            </w:pPr>
            <w:r w:rsidRPr="00261B7A">
              <w:rPr>
                <w:rFonts w:cs="Calibri"/>
                <w:color w:val="000000"/>
              </w:rPr>
              <w:t>NO</w:t>
            </w:r>
          </w:p>
        </w:tc>
      </w:tr>
      <w:tr w:rsidR="009F5DA6" w:rsidRPr="00261B7A" w14:paraId="31FDA31C" w14:textId="77777777" w:rsidTr="00D41492">
        <w:tc>
          <w:tcPr>
            <w:tcW w:w="1752" w:type="dxa"/>
            <w:shd w:val="clear" w:color="auto" w:fill="auto"/>
            <w:vAlign w:val="center"/>
          </w:tcPr>
          <w:p w14:paraId="11FCC861" w14:textId="77777777" w:rsidR="009F5DA6" w:rsidRPr="00261B7A" w:rsidRDefault="009F5DA6" w:rsidP="00D41492">
            <w:pPr>
              <w:pStyle w:val="TableText"/>
              <w:spacing w:before="40" w:after="40"/>
              <w:rPr>
                <w:rFonts w:cs="Calibri"/>
                <w:bCs/>
              </w:rPr>
            </w:pPr>
            <w:r w:rsidRPr="00261B7A">
              <w:rPr>
                <w:rFonts w:cs="Calibri"/>
                <w:bCs/>
              </w:rPr>
              <w:t>1.A.2.f</w:t>
            </w:r>
          </w:p>
        </w:tc>
        <w:tc>
          <w:tcPr>
            <w:tcW w:w="4567" w:type="dxa"/>
            <w:shd w:val="clear" w:color="auto" w:fill="auto"/>
            <w:vAlign w:val="center"/>
          </w:tcPr>
          <w:p w14:paraId="299FE923" w14:textId="77777777" w:rsidR="009F5DA6" w:rsidRPr="00261B7A" w:rsidRDefault="009F5DA6" w:rsidP="00D41492">
            <w:pPr>
              <w:pStyle w:val="TableText"/>
              <w:spacing w:before="40" w:after="40"/>
              <w:rPr>
                <w:rFonts w:cs="Calibri"/>
                <w:lang w:eastAsia="en-GB"/>
              </w:rPr>
            </w:pPr>
            <w:r w:rsidRPr="00261B7A">
              <w:rPr>
                <w:rFonts w:cs="Calibri"/>
              </w:rPr>
              <w:t>Other – non-metallic minerals</w:t>
            </w:r>
          </w:p>
        </w:tc>
        <w:tc>
          <w:tcPr>
            <w:tcW w:w="1732" w:type="dxa"/>
            <w:shd w:val="clear" w:color="auto" w:fill="auto"/>
            <w:vAlign w:val="center"/>
          </w:tcPr>
          <w:p w14:paraId="76BFAA85" w14:textId="77777777" w:rsidR="009F5DA6" w:rsidRPr="00261B7A" w:rsidRDefault="009F5DA6" w:rsidP="00D41492">
            <w:pPr>
              <w:pStyle w:val="TableText"/>
              <w:spacing w:before="40" w:after="40"/>
              <w:ind w:right="660"/>
              <w:jc w:val="right"/>
              <w:rPr>
                <w:rFonts w:cs="Calibri"/>
                <w:color w:val="000000"/>
              </w:rPr>
            </w:pPr>
            <w:r w:rsidRPr="00261B7A">
              <w:rPr>
                <w:rFonts w:cs="Calibri"/>
                <w:color w:val="000000"/>
              </w:rPr>
              <w:t>NO</w:t>
            </w:r>
          </w:p>
        </w:tc>
      </w:tr>
      <w:tr w:rsidR="009F5DA6" w:rsidRPr="00261B7A" w14:paraId="2B20573B" w14:textId="77777777" w:rsidTr="00D41492">
        <w:tc>
          <w:tcPr>
            <w:tcW w:w="1752" w:type="dxa"/>
            <w:shd w:val="clear" w:color="auto" w:fill="auto"/>
            <w:vAlign w:val="center"/>
          </w:tcPr>
          <w:p w14:paraId="6A672723" w14:textId="77777777" w:rsidR="009F5DA6" w:rsidRPr="00261B7A" w:rsidRDefault="009F5DA6" w:rsidP="00D41492">
            <w:pPr>
              <w:pStyle w:val="TableText"/>
              <w:spacing w:before="40" w:after="40"/>
              <w:rPr>
                <w:rFonts w:cs="Calibri"/>
                <w:bCs/>
              </w:rPr>
            </w:pPr>
            <w:r w:rsidRPr="00261B7A">
              <w:rPr>
                <w:rFonts w:cs="Calibri"/>
                <w:bCs/>
              </w:rPr>
              <w:t>1.A.2.f</w:t>
            </w:r>
          </w:p>
        </w:tc>
        <w:tc>
          <w:tcPr>
            <w:tcW w:w="4567" w:type="dxa"/>
            <w:shd w:val="clear" w:color="auto" w:fill="auto"/>
            <w:vAlign w:val="center"/>
          </w:tcPr>
          <w:p w14:paraId="12554BE0" w14:textId="77777777" w:rsidR="009F5DA6" w:rsidRPr="00261B7A" w:rsidRDefault="009F5DA6" w:rsidP="00D41492">
            <w:pPr>
              <w:pStyle w:val="TableText"/>
              <w:spacing w:before="40" w:after="40"/>
              <w:rPr>
                <w:rFonts w:cs="Calibri"/>
                <w:lang w:eastAsia="en-GB"/>
              </w:rPr>
            </w:pPr>
            <w:r w:rsidRPr="00261B7A">
              <w:rPr>
                <w:rFonts w:cs="Calibri"/>
              </w:rPr>
              <w:t xml:space="preserve">Other – manufacturing of machinery </w:t>
            </w:r>
          </w:p>
        </w:tc>
        <w:tc>
          <w:tcPr>
            <w:tcW w:w="1732" w:type="dxa"/>
            <w:shd w:val="clear" w:color="auto" w:fill="auto"/>
            <w:vAlign w:val="center"/>
          </w:tcPr>
          <w:p w14:paraId="6D4C81E6" w14:textId="77777777" w:rsidR="009F5DA6" w:rsidRPr="00261B7A" w:rsidRDefault="009F5DA6" w:rsidP="00D41492">
            <w:pPr>
              <w:pStyle w:val="TableText"/>
              <w:spacing w:before="40" w:after="40"/>
              <w:ind w:right="660"/>
              <w:jc w:val="right"/>
              <w:rPr>
                <w:rFonts w:cs="Calibri"/>
                <w:color w:val="000000"/>
              </w:rPr>
            </w:pPr>
            <w:r w:rsidRPr="00261B7A">
              <w:rPr>
                <w:rFonts w:cs="Calibri"/>
                <w:color w:val="000000"/>
              </w:rPr>
              <w:t>NO</w:t>
            </w:r>
          </w:p>
        </w:tc>
      </w:tr>
      <w:tr w:rsidR="009F5DA6" w:rsidRPr="00261B7A" w14:paraId="5BCF5242" w14:textId="77777777" w:rsidTr="00D41492">
        <w:tc>
          <w:tcPr>
            <w:tcW w:w="1752" w:type="dxa"/>
            <w:shd w:val="clear" w:color="auto" w:fill="auto"/>
            <w:vAlign w:val="center"/>
          </w:tcPr>
          <w:p w14:paraId="12BF43E2" w14:textId="77777777" w:rsidR="009F5DA6" w:rsidRPr="00261B7A" w:rsidRDefault="009F5DA6" w:rsidP="00D41492">
            <w:pPr>
              <w:pStyle w:val="TableText"/>
              <w:spacing w:before="40" w:after="40"/>
              <w:rPr>
                <w:rFonts w:cs="Calibri"/>
                <w:bCs/>
              </w:rPr>
            </w:pPr>
            <w:r w:rsidRPr="00261B7A">
              <w:rPr>
                <w:rFonts w:cs="Calibri"/>
                <w:bCs/>
              </w:rPr>
              <w:t>1.A.2.g</w:t>
            </w:r>
          </w:p>
        </w:tc>
        <w:tc>
          <w:tcPr>
            <w:tcW w:w="4567" w:type="dxa"/>
            <w:shd w:val="clear" w:color="auto" w:fill="auto"/>
            <w:vAlign w:val="center"/>
          </w:tcPr>
          <w:p w14:paraId="4E9BF996" w14:textId="77777777" w:rsidR="009F5DA6" w:rsidRPr="00261B7A" w:rsidRDefault="009F5DA6" w:rsidP="00D41492">
            <w:pPr>
              <w:pStyle w:val="TableText"/>
              <w:spacing w:before="40" w:after="40"/>
              <w:rPr>
                <w:rFonts w:cs="Calibri"/>
                <w:lang w:eastAsia="en-GB"/>
              </w:rPr>
            </w:pPr>
            <w:r w:rsidRPr="00261B7A">
              <w:rPr>
                <w:rFonts w:cs="Calibri"/>
              </w:rPr>
              <w:t>Other – non-specified</w:t>
            </w:r>
          </w:p>
        </w:tc>
        <w:tc>
          <w:tcPr>
            <w:tcW w:w="1732" w:type="dxa"/>
            <w:shd w:val="clear" w:color="auto" w:fill="auto"/>
            <w:vAlign w:val="center"/>
          </w:tcPr>
          <w:p w14:paraId="50C2CA14" w14:textId="77777777" w:rsidR="009F5DA6" w:rsidRPr="00261B7A" w:rsidRDefault="009F5DA6" w:rsidP="00D41492">
            <w:pPr>
              <w:pStyle w:val="TableText"/>
              <w:spacing w:before="40" w:after="40"/>
              <w:ind w:right="660"/>
              <w:jc w:val="right"/>
              <w:rPr>
                <w:rFonts w:cs="Calibri"/>
                <w:color w:val="000000"/>
              </w:rPr>
            </w:pPr>
            <w:r w:rsidRPr="00261B7A">
              <w:rPr>
                <w:rFonts w:cs="Calibri"/>
                <w:color w:val="000000"/>
              </w:rPr>
              <w:t>0.01</w:t>
            </w:r>
          </w:p>
        </w:tc>
      </w:tr>
    </w:tbl>
    <w:p w14:paraId="3B938485" w14:textId="77777777" w:rsidR="009F5DA6" w:rsidRPr="00261B7A" w:rsidRDefault="009F5DA6" w:rsidP="009F5DA6">
      <w:pPr>
        <w:pStyle w:val="Noteundertable"/>
        <w:rPr>
          <w:rFonts w:cs="Calibri"/>
        </w:rPr>
      </w:pPr>
      <w:r w:rsidRPr="00261B7A">
        <w:rPr>
          <w:rFonts w:cs="Calibri"/>
          <w:b/>
        </w:rPr>
        <w:t>Note:</w:t>
      </w:r>
      <w:r w:rsidRPr="00261B7A">
        <w:rPr>
          <w:rFonts w:cs="Calibri"/>
        </w:rPr>
        <w:t xml:space="preserve"> </w:t>
      </w:r>
      <w:r w:rsidRPr="00261B7A">
        <w:rPr>
          <w:rFonts w:cs="Calibri"/>
        </w:rPr>
        <w:tab/>
        <w:t>NO = not occurring. Survey data indicate that solid biomass combustion does not occur in the sectors.</w:t>
      </w:r>
    </w:p>
    <w:p w14:paraId="254FB44A" w14:textId="77777777" w:rsidR="009F5DA6" w:rsidRPr="00261B7A" w:rsidRDefault="009F5DA6" w:rsidP="009F5DA6">
      <w:pPr>
        <w:pStyle w:val="Heading5"/>
        <w:spacing w:before="200"/>
        <w:rPr>
          <w:rFonts w:cs="Calibri"/>
        </w:rPr>
      </w:pPr>
      <w:r w:rsidRPr="00261B7A">
        <w:rPr>
          <w:rFonts w:cs="Calibri"/>
        </w:rPr>
        <w:t>Gas biomass</w:t>
      </w:r>
    </w:p>
    <w:p w14:paraId="7DC449C7" w14:textId="77777777" w:rsidR="009F5DA6" w:rsidRPr="00261B7A" w:rsidRDefault="009F5DA6" w:rsidP="009F5DA6">
      <w:pPr>
        <w:pStyle w:val="BodyText"/>
        <w:spacing w:before="80"/>
        <w:rPr>
          <w:rFonts w:cs="Calibri"/>
        </w:rPr>
      </w:pPr>
      <w:r w:rsidRPr="00261B7A">
        <w:rPr>
          <w:rFonts w:cs="Calibri"/>
        </w:rPr>
        <w:t xml:space="preserve">Sludge gas is produced at the Tirau dairy processing facility. Cattle effluent is used to produce sludge gas that is used to raise heat for the milk processing facility, which is open from </w:t>
      </w:r>
      <w:r w:rsidRPr="00261B7A">
        <w:rPr>
          <w:rFonts w:cs="Calibri"/>
          <w:spacing w:val="-2"/>
        </w:rPr>
        <w:t>September through to December each year. See section 3.3.1 (Biomass) for further information.</w:t>
      </w:r>
    </w:p>
    <w:p w14:paraId="6E4F61C2" w14:textId="77777777" w:rsidR="009F5DA6" w:rsidRPr="00261B7A" w:rsidRDefault="009F5DA6" w:rsidP="009F5DA6">
      <w:pPr>
        <w:pStyle w:val="BodyText"/>
        <w:spacing w:before="100"/>
        <w:rPr>
          <w:rFonts w:cs="Calibri"/>
        </w:rPr>
      </w:pPr>
      <w:r w:rsidRPr="00261B7A">
        <w:rPr>
          <w:rFonts w:cs="Calibri"/>
        </w:rPr>
        <w:t>Sludge gas is not metered or analysed at the site, but estimates of flow rate and CH</w:t>
      </w:r>
      <w:r w:rsidRPr="00261B7A">
        <w:rPr>
          <w:rFonts w:cs="Calibri"/>
          <w:vertAlign w:val="subscript"/>
        </w:rPr>
        <w:t>4</w:t>
      </w:r>
      <w:r w:rsidRPr="00261B7A">
        <w:rPr>
          <w:rFonts w:cs="Calibri"/>
        </w:rPr>
        <w:t xml:space="preserve"> content were obtained from the facility manager for the 2011 reporting year. MBIE then used these data to calculate an estimate of the total energy content, which was then confirmed by the facility manager. </w:t>
      </w:r>
    </w:p>
    <w:p w14:paraId="76664317" w14:textId="77777777" w:rsidR="009F5DA6" w:rsidRPr="00261B7A" w:rsidRDefault="009F5DA6" w:rsidP="009F5DA6">
      <w:pPr>
        <w:pStyle w:val="BodyText"/>
        <w:spacing w:before="100"/>
        <w:rPr>
          <w:rFonts w:cs="Calibri"/>
        </w:rPr>
      </w:pPr>
      <w:r w:rsidRPr="00261B7A">
        <w:rPr>
          <w:rFonts w:cs="Calibri"/>
        </w:rPr>
        <w:t>The facility has operated in the same fashion since its construction in the late 1980s. Therefore this estimate is assumed to be valid across the time series.</w:t>
      </w:r>
    </w:p>
    <w:p w14:paraId="4C28ADAF" w14:textId="77777777" w:rsidR="009F5DA6" w:rsidRPr="00261B7A" w:rsidRDefault="009F5DA6" w:rsidP="009F5DA6">
      <w:pPr>
        <w:pStyle w:val="Heading5"/>
        <w:spacing w:before="160"/>
        <w:rPr>
          <w:rFonts w:cs="Calibri"/>
        </w:rPr>
      </w:pPr>
      <w:r w:rsidRPr="00261B7A">
        <w:rPr>
          <w:rFonts w:cs="Calibri"/>
        </w:rPr>
        <w:t>Liquid fuels (diesel, gasoline and fuel oil)</w:t>
      </w:r>
    </w:p>
    <w:p w14:paraId="4F9BF4CE" w14:textId="77777777" w:rsidR="009F5DA6" w:rsidRPr="00261B7A" w:rsidRDefault="009F5DA6" w:rsidP="009F5DA6">
      <w:pPr>
        <w:pStyle w:val="BodyText"/>
        <w:spacing w:before="80"/>
        <w:rPr>
          <w:rFonts w:cs="Calibri"/>
        </w:rPr>
      </w:pPr>
      <w:r w:rsidRPr="00261B7A">
        <w:rPr>
          <w:rFonts w:cs="Calibri"/>
        </w:rPr>
        <w:t xml:space="preserve">As mentioned in section 3.3.1 (‘Liquid fuels’), New Zealand uses the </w:t>
      </w:r>
      <w:r w:rsidRPr="00261B7A">
        <w:rPr>
          <w:rFonts w:cs="Calibri"/>
          <w:iCs/>
        </w:rPr>
        <w:t xml:space="preserve">Annual Liquid Fuel Survey </w:t>
      </w:r>
      <w:r w:rsidRPr="00261B7A">
        <w:rPr>
          <w:rFonts w:cs="Calibri"/>
        </w:rPr>
        <w:t xml:space="preserve">to capture sales by independent distributors. With this information, some liquid fuel demand that </w:t>
      </w:r>
      <w:r w:rsidRPr="00261B7A">
        <w:rPr>
          <w:rFonts w:cs="Calibri"/>
          <w:spacing w:val="-2"/>
        </w:rPr>
        <w:t xml:space="preserve">would otherwise be allocated to national transport is reallocated to the correct </w:t>
      </w:r>
      <w:r w:rsidRPr="00261B7A">
        <w:rPr>
          <w:spacing w:val="-2"/>
        </w:rPr>
        <w:t>sector</w:t>
      </w:r>
      <w:r w:rsidRPr="00261B7A">
        <w:rPr>
          <w:rFonts w:cs="Calibri"/>
          <w:spacing w:val="-2"/>
        </w:rPr>
        <w:t>.</w:t>
      </w:r>
      <w:r w:rsidRPr="00261B7A">
        <w:rPr>
          <w:rFonts w:cs="Calibri"/>
        </w:rPr>
        <w:t xml:space="preserve"> As a result of this reallocation, emissions attributed to category 1.A.3 </w:t>
      </w:r>
      <w:r w:rsidRPr="00261B7A">
        <w:rPr>
          <w:rFonts w:cs="Calibri"/>
          <w:i/>
        </w:rPr>
        <w:t>Transport</w:t>
      </w:r>
      <w:r w:rsidRPr="00261B7A">
        <w:rPr>
          <w:rFonts w:cs="Calibri"/>
        </w:rPr>
        <w:t xml:space="preserve"> decreased by around 20 per cent, and emissions </w:t>
      </w:r>
      <w:r w:rsidRPr="00261B7A">
        <w:rPr>
          <w:rFonts w:cs="Calibri"/>
          <w:spacing w:val="-2"/>
        </w:rPr>
        <w:t xml:space="preserve">attributed to other categories, such as 1.A.4.c </w:t>
      </w:r>
      <w:r w:rsidRPr="00261B7A">
        <w:rPr>
          <w:rFonts w:cs="Calibri"/>
          <w:i/>
          <w:spacing w:val="-2"/>
        </w:rPr>
        <w:t>Agriculture/forestry/fishing</w:t>
      </w:r>
      <w:r w:rsidRPr="00261B7A">
        <w:rPr>
          <w:rFonts w:cs="Calibri"/>
          <w:spacing w:val="-2"/>
        </w:rPr>
        <w:t>, increased significantly.</w:t>
      </w:r>
    </w:p>
    <w:p w14:paraId="2D0B61B2" w14:textId="77777777" w:rsidR="009F5DA6" w:rsidRPr="00261B7A" w:rsidRDefault="009F5DA6" w:rsidP="009F5DA6">
      <w:pPr>
        <w:pStyle w:val="BodyText"/>
        <w:rPr>
          <w:rFonts w:cs="Calibri"/>
        </w:rPr>
      </w:pPr>
      <w:r w:rsidRPr="00261B7A">
        <w:rPr>
          <w:rFonts w:cs="Calibri"/>
        </w:rPr>
        <w:t xml:space="preserve">Following ERT recommendations (2007 in-country review), New Zealand began to disaggregate liquid fuel combustion in the 1.A.2 </w:t>
      </w:r>
      <w:r w:rsidRPr="00261B7A">
        <w:rPr>
          <w:rFonts w:cs="Calibri"/>
          <w:i/>
        </w:rPr>
        <w:t>Manufacturing industries and construction</w:t>
      </w:r>
      <w:r w:rsidRPr="00261B7A">
        <w:rPr>
          <w:rFonts w:cs="Calibri"/>
        </w:rPr>
        <w:t xml:space="preserve"> category for the 2011 inventory. Diesel and gasoline consumption were disaggregated for the 2012 submission, and the method was subsequently extended to include fuel oil.</w:t>
      </w:r>
    </w:p>
    <w:p w14:paraId="28AFC1DB" w14:textId="77777777" w:rsidR="009F5DA6" w:rsidRPr="00261B7A" w:rsidRDefault="009F5DA6" w:rsidP="009F5DA6">
      <w:pPr>
        <w:pStyle w:val="BodyText"/>
        <w:rPr>
          <w:rFonts w:cs="Calibri"/>
        </w:rPr>
      </w:pPr>
      <w:r w:rsidRPr="00261B7A">
        <w:rPr>
          <w:rFonts w:cs="Calibri"/>
        </w:rPr>
        <w:t xml:space="preserve">While data are not collected at this level of detail in energy surveys for liquid fuels, New Zealand has produced estimates based on Stats NZ survey data. Stats NZ conducted an industrial and trade energy use survey (Stats NZ, 2018), which assessed energy consumption and end use across manufacturing industries for the 2016 calendar year. Proportions of liquid energy end use were then determined across the manufacturing industries. These proportions, along with category gross domestic product (GDP) data from Stats NZ for the period, were used to calculate implied energy intensities (PJ per unit of GDP) for each category for diesel, gasoline and fuel oil (see table 3.3.5). These intensities were then applied to Stats NZ GDP data across the time series and scaled to match the fuel sales reported for all manufacturing industries and construction, to estimate activity data for each category. </w:t>
      </w:r>
    </w:p>
    <w:p w14:paraId="79ACC061" w14:textId="77777777" w:rsidR="009F5DA6" w:rsidRPr="00261B7A" w:rsidRDefault="009F5DA6" w:rsidP="009F5DA6">
      <w:pPr>
        <w:pStyle w:val="Table"/>
        <w:rPr>
          <w:rFonts w:cs="Calibri"/>
        </w:rPr>
      </w:pPr>
      <w:bookmarkStart w:id="344" w:name="_Toc68786409"/>
      <w:bookmarkStart w:id="345" w:name="_Toc131591322"/>
      <w:r w:rsidRPr="00261B7A">
        <w:rPr>
          <w:rFonts w:cs="Calibri"/>
        </w:rPr>
        <w:t xml:space="preserve">Table 3.3.5 </w:t>
      </w:r>
      <w:r w:rsidRPr="00261B7A">
        <w:rPr>
          <w:rFonts w:cs="Calibri"/>
        </w:rPr>
        <w:tab/>
        <w:t>Energy intensity values used to disaggregate liquid fuel use for manufacturing (gigajoules </w:t>
      </w:r>
      <w:r w:rsidRPr="00261B7A">
        <w:t>per </w:t>
      </w:r>
      <w:r w:rsidRPr="00261B7A">
        <w:rPr>
          <w:rFonts w:cs="Calibri"/>
        </w:rPr>
        <w:t>gross domestic product index)</w:t>
      </w:r>
      <w:bookmarkEnd w:id="344"/>
      <w:bookmarkEnd w:id="345"/>
    </w:p>
    <w:tbl>
      <w:tblPr>
        <w:tblW w:w="8505"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3131"/>
        <w:gridCol w:w="1629"/>
        <w:gridCol w:w="1791"/>
        <w:gridCol w:w="1954"/>
      </w:tblGrid>
      <w:tr w:rsidR="009F5DA6" w:rsidRPr="00261B7A" w14:paraId="2FA5268A" w14:textId="77777777" w:rsidTr="00D41492">
        <w:trPr>
          <w:tblHeader/>
        </w:trPr>
        <w:tc>
          <w:tcPr>
            <w:tcW w:w="2727" w:type="dxa"/>
            <w:shd w:val="clear" w:color="auto" w:fill="1B556B"/>
          </w:tcPr>
          <w:p w14:paraId="735D3090" w14:textId="77777777" w:rsidR="009F5DA6" w:rsidRPr="00261B7A" w:rsidRDefault="009F5DA6" w:rsidP="00D41492">
            <w:pPr>
              <w:pStyle w:val="TableTextBold"/>
              <w:spacing w:before="40" w:after="40"/>
              <w:rPr>
                <w:noProof w:val="0"/>
                <w:color w:val="FFFFFF"/>
              </w:rPr>
            </w:pPr>
            <w:r w:rsidRPr="00261B7A">
              <w:rPr>
                <w:noProof w:val="0"/>
                <w:color w:val="FFFFFF"/>
              </w:rPr>
              <w:t>Category</w:t>
            </w:r>
          </w:p>
        </w:tc>
        <w:tc>
          <w:tcPr>
            <w:tcW w:w="1418" w:type="dxa"/>
            <w:shd w:val="clear" w:color="auto" w:fill="1B556B"/>
          </w:tcPr>
          <w:p w14:paraId="591CF0BC" w14:textId="77777777" w:rsidR="009F5DA6" w:rsidRPr="00261B7A" w:rsidRDefault="009F5DA6" w:rsidP="00D41492">
            <w:pPr>
              <w:pStyle w:val="TableTextBold"/>
              <w:spacing w:before="40" w:after="40"/>
              <w:jc w:val="center"/>
              <w:rPr>
                <w:noProof w:val="0"/>
                <w:color w:val="FFFFFF"/>
              </w:rPr>
            </w:pPr>
            <w:r w:rsidRPr="00261B7A">
              <w:rPr>
                <w:noProof w:val="0"/>
                <w:color w:val="FFFFFF"/>
              </w:rPr>
              <w:t>Petrol</w:t>
            </w:r>
          </w:p>
        </w:tc>
        <w:tc>
          <w:tcPr>
            <w:tcW w:w="1559" w:type="dxa"/>
            <w:shd w:val="clear" w:color="auto" w:fill="1B556B"/>
          </w:tcPr>
          <w:p w14:paraId="464C2FD8" w14:textId="77777777" w:rsidR="009F5DA6" w:rsidRPr="00261B7A" w:rsidRDefault="009F5DA6" w:rsidP="00D41492">
            <w:pPr>
              <w:pStyle w:val="TableTextBold"/>
              <w:spacing w:before="40" w:after="40"/>
              <w:jc w:val="center"/>
              <w:rPr>
                <w:noProof w:val="0"/>
                <w:color w:val="FFFFFF"/>
              </w:rPr>
            </w:pPr>
            <w:r w:rsidRPr="00261B7A">
              <w:rPr>
                <w:noProof w:val="0"/>
                <w:color w:val="FFFFFF"/>
              </w:rPr>
              <w:t>Diesel</w:t>
            </w:r>
          </w:p>
        </w:tc>
        <w:tc>
          <w:tcPr>
            <w:tcW w:w="1701" w:type="dxa"/>
            <w:shd w:val="clear" w:color="auto" w:fill="1B556B"/>
          </w:tcPr>
          <w:p w14:paraId="73D4393F" w14:textId="77777777" w:rsidR="009F5DA6" w:rsidRPr="00261B7A" w:rsidRDefault="009F5DA6" w:rsidP="00D41492">
            <w:pPr>
              <w:pStyle w:val="TableTextBold"/>
              <w:spacing w:before="40" w:after="40"/>
              <w:jc w:val="center"/>
              <w:rPr>
                <w:noProof w:val="0"/>
                <w:color w:val="FFFFFF"/>
              </w:rPr>
            </w:pPr>
            <w:r w:rsidRPr="00261B7A">
              <w:rPr>
                <w:noProof w:val="0"/>
                <w:color w:val="FFFFFF"/>
              </w:rPr>
              <w:t>Fuel Oil</w:t>
            </w:r>
          </w:p>
        </w:tc>
      </w:tr>
      <w:tr w:rsidR="009F5DA6" w:rsidRPr="00261B7A" w14:paraId="34E1851B" w14:textId="77777777" w:rsidTr="00D41492">
        <w:tc>
          <w:tcPr>
            <w:tcW w:w="2727" w:type="dxa"/>
            <w:shd w:val="clear" w:color="auto" w:fill="auto"/>
          </w:tcPr>
          <w:p w14:paraId="6DC45153" w14:textId="77777777" w:rsidR="009F5DA6" w:rsidRPr="00261B7A" w:rsidRDefault="009F5DA6" w:rsidP="00D41492">
            <w:pPr>
              <w:pStyle w:val="TableText"/>
              <w:spacing w:before="40" w:after="40"/>
            </w:pPr>
            <w:r w:rsidRPr="00261B7A">
              <w:t>Mining</w:t>
            </w:r>
          </w:p>
        </w:tc>
        <w:tc>
          <w:tcPr>
            <w:tcW w:w="1418" w:type="dxa"/>
            <w:shd w:val="clear" w:color="auto" w:fill="auto"/>
          </w:tcPr>
          <w:p w14:paraId="1F70CB26" w14:textId="77777777" w:rsidR="009F5DA6" w:rsidRPr="00261B7A" w:rsidRDefault="009F5DA6" w:rsidP="00D41492">
            <w:pPr>
              <w:pStyle w:val="TableText"/>
              <w:tabs>
                <w:tab w:val="decimal" w:pos="27"/>
              </w:tabs>
              <w:spacing w:before="40" w:after="40"/>
              <w:jc w:val="center"/>
            </w:pPr>
            <w:r w:rsidRPr="00261B7A">
              <w:t>2.4</w:t>
            </w:r>
          </w:p>
        </w:tc>
        <w:tc>
          <w:tcPr>
            <w:tcW w:w="1559" w:type="dxa"/>
          </w:tcPr>
          <w:p w14:paraId="452E3D28" w14:textId="77777777" w:rsidR="009F5DA6" w:rsidRPr="00261B7A" w:rsidRDefault="009F5DA6" w:rsidP="00D41492">
            <w:pPr>
              <w:pStyle w:val="TableText"/>
              <w:tabs>
                <w:tab w:val="decimal" w:pos="244"/>
              </w:tabs>
              <w:spacing w:before="40" w:after="40"/>
              <w:jc w:val="center"/>
            </w:pPr>
            <w:r w:rsidRPr="00261B7A">
              <w:t>1,117.9</w:t>
            </w:r>
          </w:p>
        </w:tc>
        <w:tc>
          <w:tcPr>
            <w:tcW w:w="1701" w:type="dxa"/>
            <w:shd w:val="clear" w:color="auto" w:fill="auto"/>
          </w:tcPr>
          <w:p w14:paraId="19ED04E5" w14:textId="77777777" w:rsidR="009F5DA6" w:rsidRPr="00261B7A" w:rsidRDefault="009F5DA6" w:rsidP="00D41492">
            <w:pPr>
              <w:pStyle w:val="TableText"/>
              <w:tabs>
                <w:tab w:val="decimal" w:pos="147"/>
              </w:tabs>
              <w:spacing w:before="40" w:after="40"/>
              <w:jc w:val="center"/>
            </w:pPr>
            <w:r w:rsidRPr="00261B7A">
              <w:t>19.6</w:t>
            </w:r>
          </w:p>
        </w:tc>
      </w:tr>
      <w:tr w:rsidR="009F5DA6" w:rsidRPr="00261B7A" w14:paraId="483FA1C8" w14:textId="77777777" w:rsidTr="00D41492">
        <w:tc>
          <w:tcPr>
            <w:tcW w:w="2727" w:type="dxa"/>
            <w:shd w:val="clear" w:color="auto" w:fill="auto"/>
          </w:tcPr>
          <w:p w14:paraId="4ABC3453" w14:textId="77777777" w:rsidR="009F5DA6" w:rsidRPr="00261B7A" w:rsidRDefault="009F5DA6" w:rsidP="00D41492">
            <w:pPr>
              <w:pStyle w:val="TableText"/>
              <w:spacing w:before="40" w:after="40"/>
            </w:pPr>
            <w:r w:rsidRPr="00261B7A">
              <w:t xml:space="preserve">Building and construction </w:t>
            </w:r>
          </w:p>
        </w:tc>
        <w:tc>
          <w:tcPr>
            <w:tcW w:w="1418" w:type="dxa"/>
            <w:shd w:val="clear" w:color="auto" w:fill="auto"/>
          </w:tcPr>
          <w:p w14:paraId="313033FD" w14:textId="77777777" w:rsidR="009F5DA6" w:rsidRPr="00261B7A" w:rsidRDefault="009F5DA6" w:rsidP="00D41492">
            <w:pPr>
              <w:pStyle w:val="TableText"/>
              <w:tabs>
                <w:tab w:val="decimal" w:pos="27"/>
              </w:tabs>
              <w:spacing w:before="40" w:after="40"/>
              <w:jc w:val="center"/>
            </w:pPr>
            <w:r w:rsidRPr="00261B7A">
              <w:t>30.5</w:t>
            </w:r>
          </w:p>
        </w:tc>
        <w:tc>
          <w:tcPr>
            <w:tcW w:w="1559" w:type="dxa"/>
          </w:tcPr>
          <w:p w14:paraId="2147309A" w14:textId="77777777" w:rsidR="009F5DA6" w:rsidRPr="00261B7A" w:rsidRDefault="009F5DA6" w:rsidP="00D41492">
            <w:pPr>
              <w:pStyle w:val="TableText"/>
              <w:tabs>
                <w:tab w:val="decimal" w:pos="244"/>
              </w:tabs>
              <w:spacing w:before="40" w:after="40"/>
              <w:jc w:val="center"/>
            </w:pPr>
            <w:r w:rsidRPr="00261B7A">
              <w:t>334.8</w:t>
            </w:r>
          </w:p>
        </w:tc>
        <w:tc>
          <w:tcPr>
            <w:tcW w:w="1701" w:type="dxa"/>
            <w:shd w:val="clear" w:color="auto" w:fill="auto"/>
          </w:tcPr>
          <w:p w14:paraId="4320468F" w14:textId="77777777" w:rsidR="009F5DA6" w:rsidRPr="00261B7A" w:rsidRDefault="009F5DA6" w:rsidP="00D41492">
            <w:pPr>
              <w:pStyle w:val="TableText"/>
              <w:tabs>
                <w:tab w:val="decimal" w:pos="147"/>
              </w:tabs>
              <w:spacing w:before="40" w:after="40"/>
              <w:jc w:val="center"/>
            </w:pPr>
            <w:r w:rsidRPr="00261B7A">
              <w:t>2.7</w:t>
            </w:r>
          </w:p>
        </w:tc>
      </w:tr>
      <w:tr w:rsidR="009F5DA6" w:rsidRPr="00261B7A" w14:paraId="607BD0FE" w14:textId="77777777" w:rsidTr="00D41492">
        <w:tc>
          <w:tcPr>
            <w:tcW w:w="2727" w:type="dxa"/>
            <w:shd w:val="clear" w:color="auto" w:fill="auto"/>
          </w:tcPr>
          <w:p w14:paraId="4C2E5A96" w14:textId="77777777" w:rsidR="009F5DA6" w:rsidRPr="00261B7A" w:rsidRDefault="009F5DA6" w:rsidP="00D41492">
            <w:pPr>
              <w:pStyle w:val="TableText"/>
              <w:spacing w:before="40" w:after="40"/>
            </w:pPr>
            <w:r w:rsidRPr="00261B7A">
              <w:t>Food processing</w:t>
            </w:r>
          </w:p>
        </w:tc>
        <w:tc>
          <w:tcPr>
            <w:tcW w:w="1418" w:type="dxa"/>
            <w:shd w:val="clear" w:color="auto" w:fill="auto"/>
          </w:tcPr>
          <w:p w14:paraId="2955F9AC" w14:textId="77777777" w:rsidR="009F5DA6" w:rsidRPr="00261B7A" w:rsidRDefault="009F5DA6" w:rsidP="00D41492">
            <w:pPr>
              <w:pStyle w:val="TableText"/>
              <w:tabs>
                <w:tab w:val="decimal" w:pos="27"/>
              </w:tabs>
              <w:spacing w:before="40" w:after="40"/>
              <w:jc w:val="center"/>
            </w:pPr>
            <w:r w:rsidRPr="00261B7A">
              <w:t>1.4</w:t>
            </w:r>
          </w:p>
        </w:tc>
        <w:tc>
          <w:tcPr>
            <w:tcW w:w="1559" w:type="dxa"/>
          </w:tcPr>
          <w:p w14:paraId="6257F268" w14:textId="77777777" w:rsidR="009F5DA6" w:rsidRPr="00261B7A" w:rsidRDefault="009F5DA6" w:rsidP="00D41492">
            <w:pPr>
              <w:pStyle w:val="TableText"/>
              <w:tabs>
                <w:tab w:val="decimal" w:pos="244"/>
              </w:tabs>
              <w:spacing w:before="40" w:after="40"/>
              <w:jc w:val="center"/>
            </w:pPr>
            <w:r w:rsidRPr="00261B7A">
              <w:t>475.6</w:t>
            </w:r>
          </w:p>
        </w:tc>
        <w:tc>
          <w:tcPr>
            <w:tcW w:w="1701" w:type="dxa"/>
            <w:shd w:val="clear" w:color="auto" w:fill="auto"/>
          </w:tcPr>
          <w:p w14:paraId="62FB5F17" w14:textId="77777777" w:rsidR="009F5DA6" w:rsidRPr="00261B7A" w:rsidRDefault="009F5DA6" w:rsidP="00D41492">
            <w:pPr>
              <w:pStyle w:val="TableText"/>
              <w:tabs>
                <w:tab w:val="decimal" w:pos="147"/>
              </w:tabs>
              <w:spacing w:before="40" w:after="40"/>
              <w:jc w:val="center"/>
            </w:pPr>
            <w:r w:rsidRPr="00261B7A">
              <w:t>243.5</w:t>
            </w:r>
          </w:p>
        </w:tc>
      </w:tr>
      <w:tr w:rsidR="009F5DA6" w:rsidRPr="00261B7A" w14:paraId="6BB5C40C" w14:textId="77777777" w:rsidTr="00D41492">
        <w:tc>
          <w:tcPr>
            <w:tcW w:w="2727" w:type="dxa"/>
            <w:shd w:val="clear" w:color="auto" w:fill="auto"/>
          </w:tcPr>
          <w:p w14:paraId="090D7FBC" w14:textId="77777777" w:rsidR="009F5DA6" w:rsidRPr="00261B7A" w:rsidRDefault="009F5DA6" w:rsidP="00D41492">
            <w:pPr>
              <w:pStyle w:val="TableText"/>
              <w:spacing w:before="40" w:after="40"/>
            </w:pPr>
            <w:r w:rsidRPr="00261B7A">
              <w:t>Textiles</w:t>
            </w:r>
          </w:p>
        </w:tc>
        <w:tc>
          <w:tcPr>
            <w:tcW w:w="1418" w:type="dxa"/>
            <w:shd w:val="clear" w:color="auto" w:fill="auto"/>
          </w:tcPr>
          <w:p w14:paraId="65EA1281" w14:textId="77777777" w:rsidR="009F5DA6" w:rsidRPr="00261B7A" w:rsidRDefault="009F5DA6" w:rsidP="00D41492">
            <w:pPr>
              <w:pStyle w:val="TableText"/>
              <w:tabs>
                <w:tab w:val="decimal" w:pos="27"/>
              </w:tabs>
              <w:spacing w:before="40" w:after="40"/>
              <w:jc w:val="center"/>
            </w:pPr>
            <w:r w:rsidRPr="00261B7A">
              <w:t>0.9</w:t>
            </w:r>
          </w:p>
        </w:tc>
        <w:tc>
          <w:tcPr>
            <w:tcW w:w="1559" w:type="dxa"/>
          </w:tcPr>
          <w:p w14:paraId="5FD4DC71" w14:textId="77777777" w:rsidR="009F5DA6" w:rsidRPr="00261B7A" w:rsidRDefault="009F5DA6" w:rsidP="00D41492">
            <w:pPr>
              <w:pStyle w:val="TableText"/>
              <w:tabs>
                <w:tab w:val="decimal" w:pos="244"/>
              </w:tabs>
              <w:spacing w:before="40" w:after="40"/>
              <w:jc w:val="center"/>
            </w:pPr>
            <w:r w:rsidRPr="00261B7A">
              <w:t>12.8</w:t>
            </w:r>
          </w:p>
        </w:tc>
        <w:tc>
          <w:tcPr>
            <w:tcW w:w="1701" w:type="dxa"/>
            <w:shd w:val="clear" w:color="auto" w:fill="auto"/>
          </w:tcPr>
          <w:p w14:paraId="0419C561" w14:textId="77777777" w:rsidR="009F5DA6" w:rsidRPr="00261B7A" w:rsidRDefault="009F5DA6" w:rsidP="00D41492">
            <w:pPr>
              <w:pStyle w:val="TableText"/>
              <w:tabs>
                <w:tab w:val="decimal" w:pos="147"/>
              </w:tabs>
              <w:spacing w:before="40" w:after="40"/>
              <w:jc w:val="center"/>
            </w:pPr>
            <w:r w:rsidRPr="00261B7A">
              <w:t>158.6</w:t>
            </w:r>
          </w:p>
        </w:tc>
      </w:tr>
      <w:tr w:rsidR="009F5DA6" w:rsidRPr="00261B7A" w14:paraId="68E464C4" w14:textId="77777777" w:rsidTr="00D41492">
        <w:tc>
          <w:tcPr>
            <w:tcW w:w="2727" w:type="dxa"/>
            <w:shd w:val="clear" w:color="auto" w:fill="auto"/>
          </w:tcPr>
          <w:p w14:paraId="372EE7D6" w14:textId="77777777" w:rsidR="009F5DA6" w:rsidRPr="00261B7A" w:rsidRDefault="009F5DA6" w:rsidP="00D41492">
            <w:pPr>
              <w:pStyle w:val="TableText"/>
              <w:spacing w:before="40" w:after="40"/>
            </w:pPr>
            <w:r w:rsidRPr="00261B7A">
              <w:t>Wood, pulp, paper and printing</w:t>
            </w:r>
          </w:p>
        </w:tc>
        <w:tc>
          <w:tcPr>
            <w:tcW w:w="1418" w:type="dxa"/>
            <w:shd w:val="clear" w:color="auto" w:fill="auto"/>
          </w:tcPr>
          <w:p w14:paraId="1D80D0BD" w14:textId="77777777" w:rsidR="009F5DA6" w:rsidRPr="00261B7A" w:rsidRDefault="009F5DA6" w:rsidP="00D41492">
            <w:pPr>
              <w:pStyle w:val="TableText"/>
              <w:tabs>
                <w:tab w:val="decimal" w:pos="27"/>
              </w:tabs>
              <w:spacing w:before="40" w:after="40"/>
              <w:jc w:val="center"/>
            </w:pPr>
            <w:r w:rsidRPr="00261B7A">
              <w:t>1.1</w:t>
            </w:r>
          </w:p>
        </w:tc>
        <w:tc>
          <w:tcPr>
            <w:tcW w:w="1559" w:type="dxa"/>
          </w:tcPr>
          <w:p w14:paraId="71D4ADE3" w14:textId="77777777" w:rsidR="009F5DA6" w:rsidRPr="00261B7A" w:rsidRDefault="009F5DA6" w:rsidP="00D41492">
            <w:pPr>
              <w:pStyle w:val="TableText"/>
              <w:tabs>
                <w:tab w:val="decimal" w:pos="244"/>
              </w:tabs>
              <w:spacing w:before="40" w:after="40"/>
              <w:jc w:val="center"/>
            </w:pPr>
            <w:r w:rsidRPr="00261B7A">
              <w:t>199.5</w:t>
            </w:r>
          </w:p>
        </w:tc>
        <w:tc>
          <w:tcPr>
            <w:tcW w:w="1701" w:type="dxa"/>
            <w:shd w:val="clear" w:color="auto" w:fill="auto"/>
          </w:tcPr>
          <w:p w14:paraId="071FC565" w14:textId="77777777" w:rsidR="009F5DA6" w:rsidRPr="00261B7A" w:rsidRDefault="009F5DA6" w:rsidP="00D41492">
            <w:pPr>
              <w:pStyle w:val="TableText"/>
              <w:tabs>
                <w:tab w:val="decimal" w:pos="147"/>
              </w:tabs>
              <w:spacing w:before="40" w:after="40"/>
              <w:jc w:val="center"/>
            </w:pPr>
            <w:r w:rsidRPr="00261B7A">
              <w:t>43.7</w:t>
            </w:r>
          </w:p>
        </w:tc>
      </w:tr>
      <w:tr w:rsidR="009F5DA6" w:rsidRPr="00261B7A" w14:paraId="3204AEE2" w14:textId="77777777" w:rsidTr="00D41492">
        <w:tc>
          <w:tcPr>
            <w:tcW w:w="2727" w:type="dxa"/>
            <w:shd w:val="clear" w:color="auto" w:fill="auto"/>
          </w:tcPr>
          <w:p w14:paraId="1CFAB26F" w14:textId="77777777" w:rsidR="009F5DA6" w:rsidRPr="00261B7A" w:rsidRDefault="009F5DA6" w:rsidP="00D41492">
            <w:pPr>
              <w:pStyle w:val="TableText"/>
              <w:spacing w:before="40" w:after="40"/>
            </w:pPr>
            <w:r w:rsidRPr="00261B7A">
              <w:t>Chemicals</w:t>
            </w:r>
          </w:p>
        </w:tc>
        <w:tc>
          <w:tcPr>
            <w:tcW w:w="1418" w:type="dxa"/>
            <w:shd w:val="clear" w:color="auto" w:fill="auto"/>
          </w:tcPr>
          <w:p w14:paraId="589C1022" w14:textId="77777777" w:rsidR="009F5DA6" w:rsidRPr="00261B7A" w:rsidRDefault="009F5DA6" w:rsidP="00D41492">
            <w:pPr>
              <w:pStyle w:val="TableText"/>
              <w:tabs>
                <w:tab w:val="decimal" w:pos="27"/>
              </w:tabs>
              <w:spacing w:before="40" w:after="40"/>
              <w:jc w:val="center"/>
            </w:pPr>
            <w:r w:rsidRPr="00261B7A">
              <w:t>0.2</w:t>
            </w:r>
          </w:p>
        </w:tc>
        <w:tc>
          <w:tcPr>
            <w:tcW w:w="1559" w:type="dxa"/>
          </w:tcPr>
          <w:p w14:paraId="7623D0F3" w14:textId="77777777" w:rsidR="009F5DA6" w:rsidRPr="00261B7A" w:rsidRDefault="009F5DA6" w:rsidP="00D41492">
            <w:pPr>
              <w:pStyle w:val="TableText"/>
              <w:tabs>
                <w:tab w:val="decimal" w:pos="244"/>
              </w:tabs>
              <w:spacing w:before="40" w:after="40"/>
              <w:jc w:val="center"/>
            </w:pPr>
            <w:r w:rsidRPr="00261B7A">
              <w:t>36.3</w:t>
            </w:r>
          </w:p>
        </w:tc>
        <w:tc>
          <w:tcPr>
            <w:tcW w:w="1701" w:type="dxa"/>
            <w:shd w:val="clear" w:color="auto" w:fill="auto"/>
          </w:tcPr>
          <w:p w14:paraId="5713E9FF" w14:textId="77777777" w:rsidR="009F5DA6" w:rsidRPr="00261B7A" w:rsidRDefault="009F5DA6" w:rsidP="00D41492">
            <w:pPr>
              <w:pStyle w:val="TableText"/>
              <w:tabs>
                <w:tab w:val="decimal" w:pos="147"/>
              </w:tabs>
              <w:spacing w:before="40" w:after="40"/>
              <w:jc w:val="center"/>
            </w:pPr>
            <w:r w:rsidRPr="00261B7A">
              <w:t>2.0</w:t>
            </w:r>
          </w:p>
        </w:tc>
      </w:tr>
      <w:tr w:rsidR="009F5DA6" w:rsidRPr="00261B7A" w14:paraId="7F0BD8F1" w14:textId="77777777" w:rsidTr="00D41492">
        <w:tc>
          <w:tcPr>
            <w:tcW w:w="2727" w:type="dxa"/>
            <w:shd w:val="clear" w:color="auto" w:fill="auto"/>
          </w:tcPr>
          <w:p w14:paraId="78B5E65F" w14:textId="77777777" w:rsidR="009F5DA6" w:rsidRPr="00261B7A" w:rsidRDefault="009F5DA6" w:rsidP="00D41492">
            <w:pPr>
              <w:pStyle w:val="TableText"/>
              <w:spacing w:before="40" w:after="40"/>
            </w:pPr>
            <w:r w:rsidRPr="00261B7A">
              <w:t>Non-metallic minerals</w:t>
            </w:r>
          </w:p>
        </w:tc>
        <w:tc>
          <w:tcPr>
            <w:tcW w:w="1418" w:type="dxa"/>
            <w:shd w:val="clear" w:color="auto" w:fill="auto"/>
          </w:tcPr>
          <w:p w14:paraId="7553B548" w14:textId="77777777" w:rsidR="009F5DA6" w:rsidRPr="00261B7A" w:rsidRDefault="009F5DA6" w:rsidP="00D41492">
            <w:pPr>
              <w:pStyle w:val="TableText"/>
              <w:tabs>
                <w:tab w:val="decimal" w:pos="27"/>
              </w:tabs>
              <w:spacing w:before="40" w:after="40"/>
              <w:jc w:val="center"/>
            </w:pPr>
            <w:r w:rsidRPr="00261B7A">
              <w:t>0.7</w:t>
            </w:r>
          </w:p>
        </w:tc>
        <w:tc>
          <w:tcPr>
            <w:tcW w:w="1559" w:type="dxa"/>
          </w:tcPr>
          <w:p w14:paraId="275E8537" w14:textId="77777777" w:rsidR="009F5DA6" w:rsidRPr="00261B7A" w:rsidRDefault="009F5DA6" w:rsidP="00D41492">
            <w:pPr>
              <w:pStyle w:val="TableText"/>
              <w:tabs>
                <w:tab w:val="decimal" w:pos="244"/>
              </w:tabs>
              <w:spacing w:before="40" w:after="40"/>
              <w:jc w:val="center"/>
            </w:pPr>
            <w:r w:rsidRPr="00261B7A">
              <w:t>587.4</w:t>
            </w:r>
          </w:p>
        </w:tc>
        <w:tc>
          <w:tcPr>
            <w:tcW w:w="1701" w:type="dxa"/>
            <w:shd w:val="clear" w:color="auto" w:fill="auto"/>
          </w:tcPr>
          <w:p w14:paraId="702964C5" w14:textId="77777777" w:rsidR="009F5DA6" w:rsidRPr="00261B7A" w:rsidRDefault="009F5DA6" w:rsidP="00D41492">
            <w:pPr>
              <w:pStyle w:val="TableText"/>
              <w:tabs>
                <w:tab w:val="decimal" w:pos="147"/>
              </w:tabs>
              <w:spacing w:before="40" w:after="40"/>
              <w:jc w:val="center"/>
            </w:pPr>
            <w:r w:rsidRPr="00261B7A">
              <w:t>263.9</w:t>
            </w:r>
          </w:p>
        </w:tc>
      </w:tr>
      <w:tr w:rsidR="009F5DA6" w:rsidRPr="00261B7A" w14:paraId="1F146C5C" w14:textId="77777777" w:rsidTr="00D41492">
        <w:tc>
          <w:tcPr>
            <w:tcW w:w="2727" w:type="dxa"/>
            <w:shd w:val="clear" w:color="auto" w:fill="auto"/>
          </w:tcPr>
          <w:p w14:paraId="048E8DAA" w14:textId="77777777" w:rsidR="009F5DA6" w:rsidRPr="00261B7A" w:rsidRDefault="009F5DA6" w:rsidP="00D41492">
            <w:pPr>
              <w:pStyle w:val="TableText"/>
              <w:spacing w:before="40" w:after="40"/>
            </w:pPr>
            <w:r w:rsidRPr="00261B7A">
              <w:t>Basic metals</w:t>
            </w:r>
          </w:p>
        </w:tc>
        <w:tc>
          <w:tcPr>
            <w:tcW w:w="1418" w:type="dxa"/>
            <w:shd w:val="clear" w:color="auto" w:fill="auto"/>
          </w:tcPr>
          <w:p w14:paraId="6BDD6CD3" w14:textId="77777777" w:rsidR="009F5DA6" w:rsidRPr="00261B7A" w:rsidRDefault="009F5DA6" w:rsidP="00D41492">
            <w:pPr>
              <w:pStyle w:val="TableText"/>
              <w:tabs>
                <w:tab w:val="decimal" w:pos="27"/>
              </w:tabs>
              <w:spacing w:before="40" w:after="40"/>
              <w:jc w:val="center"/>
            </w:pPr>
            <w:r w:rsidRPr="00261B7A">
              <w:t>1.2</w:t>
            </w:r>
          </w:p>
        </w:tc>
        <w:tc>
          <w:tcPr>
            <w:tcW w:w="1559" w:type="dxa"/>
          </w:tcPr>
          <w:p w14:paraId="28A4D217" w14:textId="77777777" w:rsidR="009F5DA6" w:rsidRPr="00261B7A" w:rsidRDefault="009F5DA6" w:rsidP="00D41492">
            <w:pPr>
              <w:pStyle w:val="TableText"/>
              <w:tabs>
                <w:tab w:val="decimal" w:pos="244"/>
              </w:tabs>
              <w:spacing w:before="40" w:after="40"/>
              <w:jc w:val="center"/>
            </w:pPr>
            <w:r w:rsidRPr="00261B7A">
              <w:t>88.1</w:t>
            </w:r>
          </w:p>
        </w:tc>
        <w:tc>
          <w:tcPr>
            <w:tcW w:w="1701" w:type="dxa"/>
            <w:shd w:val="clear" w:color="auto" w:fill="auto"/>
          </w:tcPr>
          <w:p w14:paraId="561C8483" w14:textId="77777777" w:rsidR="009F5DA6" w:rsidRPr="00261B7A" w:rsidRDefault="009F5DA6" w:rsidP="00D41492">
            <w:pPr>
              <w:pStyle w:val="TableText"/>
              <w:tabs>
                <w:tab w:val="decimal" w:pos="147"/>
              </w:tabs>
              <w:spacing w:before="40" w:after="40"/>
              <w:jc w:val="center"/>
            </w:pPr>
            <w:r w:rsidRPr="00261B7A">
              <w:t>0.4</w:t>
            </w:r>
          </w:p>
        </w:tc>
      </w:tr>
      <w:tr w:rsidR="009F5DA6" w:rsidRPr="00261B7A" w14:paraId="37820E8C" w14:textId="77777777" w:rsidTr="00D41492">
        <w:tc>
          <w:tcPr>
            <w:tcW w:w="2727" w:type="dxa"/>
            <w:shd w:val="clear" w:color="auto" w:fill="auto"/>
          </w:tcPr>
          <w:p w14:paraId="6D8DC5EF" w14:textId="77777777" w:rsidR="009F5DA6" w:rsidRPr="00261B7A" w:rsidRDefault="009F5DA6" w:rsidP="00D41492">
            <w:pPr>
              <w:pStyle w:val="TableText"/>
              <w:spacing w:before="40" w:after="40"/>
            </w:pPr>
            <w:r w:rsidRPr="00261B7A">
              <w:t>Mechanical/electrical equipment</w:t>
            </w:r>
          </w:p>
        </w:tc>
        <w:tc>
          <w:tcPr>
            <w:tcW w:w="1418" w:type="dxa"/>
            <w:shd w:val="clear" w:color="auto" w:fill="auto"/>
          </w:tcPr>
          <w:p w14:paraId="72EF4AB9" w14:textId="77777777" w:rsidR="009F5DA6" w:rsidRPr="00261B7A" w:rsidRDefault="009F5DA6" w:rsidP="00D41492">
            <w:pPr>
              <w:pStyle w:val="TableText"/>
              <w:tabs>
                <w:tab w:val="decimal" w:pos="27"/>
              </w:tabs>
              <w:spacing w:before="40" w:after="40"/>
              <w:jc w:val="center"/>
            </w:pPr>
            <w:r w:rsidRPr="00261B7A">
              <w:t>2.6</w:t>
            </w:r>
          </w:p>
        </w:tc>
        <w:tc>
          <w:tcPr>
            <w:tcW w:w="1559" w:type="dxa"/>
          </w:tcPr>
          <w:p w14:paraId="6112806F" w14:textId="77777777" w:rsidR="009F5DA6" w:rsidRPr="00261B7A" w:rsidRDefault="009F5DA6" w:rsidP="00D41492">
            <w:pPr>
              <w:pStyle w:val="TableText"/>
              <w:tabs>
                <w:tab w:val="decimal" w:pos="244"/>
              </w:tabs>
              <w:spacing w:before="40" w:after="40"/>
              <w:jc w:val="center"/>
            </w:pPr>
            <w:r w:rsidRPr="00261B7A">
              <w:t>23.6</w:t>
            </w:r>
          </w:p>
        </w:tc>
        <w:tc>
          <w:tcPr>
            <w:tcW w:w="1701" w:type="dxa"/>
            <w:shd w:val="clear" w:color="auto" w:fill="auto"/>
          </w:tcPr>
          <w:p w14:paraId="1DD60B73" w14:textId="77777777" w:rsidR="009F5DA6" w:rsidRPr="00261B7A" w:rsidRDefault="009F5DA6" w:rsidP="00D41492">
            <w:pPr>
              <w:pStyle w:val="TableText"/>
              <w:tabs>
                <w:tab w:val="decimal" w:pos="147"/>
              </w:tabs>
              <w:spacing w:before="40" w:after="40"/>
              <w:jc w:val="center"/>
            </w:pPr>
            <w:r w:rsidRPr="00261B7A">
              <w:t>0.9</w:t>
            </w:r>
          </w:p>
        </w:tc>
      </w:tr>
      <w:tr w:rsidR="009F5DA6" w:rsidRPr="00261B7A" w14:paraId="00F5E7DC" w14:textId="77777777" w:rsidTr="00D41492">
        <w:tc>
          <w:tcPr>
            <w:tcW w:w="2727" w:type="dxa"/>
            <w:shd w:val="clear" w:color="auto" w:fill="auto"/>
          </w:tcPr>
          <w:p w14:paraId="1374ED8C" w14:textId="77777777" w:rsidR="009F5DA6" w:rsidRPr="00261B7A" w:rsidRDefault="009F5DA6" w:rsidP="00D41492">
            <w:pPr>
              <w:pStyle w:val="TableText"/>
              <w:spacing w:before="40" w:after="40"/>
            </w:pPr>
            <w:r w:rsidRPr="00261B7A">
              <w:t>Industry unallocated</w:t>
            </w:r>
          </w:p>
        </w:tc>
        <w:tc>
          <w:tcPr>
            <w:tcW w:w="1418" w:type="dxa"/>
            <w:shd w:val="clear" w:color="auto" w:fill="auto"/>
          </w:tcPr>
          <w:p w14:paraId="07C9E1CA" w14:textId="77777777" w:rsidR="009F5DA6" w:rsidRPr="00261B7A" w:rsidRDefault="009F5DA6" w:rsidP="00D41492">
            <w:pPr>
              <w:pStyle w:val="TableText"/>
              <w:tabs>
                <w:tab w:val="decimal" w:pos="27"/>
              </w:tabs>
              <w:spacing w:before="40" w:after="40"/>
              <w:jc w:val="center"/>
            </w:pPr>
            <w:r w:rsidRPr="00261B7A">
              <w:t>0.7</w:t>
            </w:r>
          </w:p>
        </w:tc>
        <w:tc>
          <w:tcPr>
            <w:tcW w:w="1559" w:type="dxa"/>
          </w:tcPr>
          <w:p w14:paraId="66E7B243" w14:textId="77777777" w:rsidR="009F5DA6" w:rsidRPr="00261B7A" w:rsidRDefault="009F5DA6" w:rsidP="00D41492">
            <w:pPr>
              <w:pStyle w:val="TableText"/>
              <w:tabs>
                <w:tab w:val="decimal" w:pos="244"/>
              </w:tabs>
              <w:spacing w:before="40" w:after="40"/>
              <w:jc w:val="center"/>
            </w:pPr>
            <w:r w:rsidRPr="00261B7A">
              <w:t>2.7</w:t>
            </w:r>
          </w:p>
        </w:tc>
        <w:tc>
          <w:tcPr>
            <w:tcW w:w="1701" w:type="dxa"/>
            <w:shd w:val="clear" w:color="auto" w:fill="auto"/>
          </w:tcPr>
          <w:p w14:paraId="61AE90CD" w14:textId="77777777" w:rsidR="009F5DA6" w:rsidRPr="00261B7A" w:rsidRDefault="009F5DA6" w:rsidP="00D41492">
            <w:pPr>
              <w:pStyle w:val="TableText"/>
              <w:tabs>
                <w:tab w:val="decimal" w:pos="147"/>
              </w:tabs>
              <w:spacing w:before="40" w:after="40"/>
              <w:jc w:val="center"/>
            </w:pPr>
            <w:r w:rsidRPr="00261B7A">
              <w:t>0.5</w:t>
            </w:r>
          </w:p>
        </w:tc>
      </w:tr>
    </w:tbl>
    <w:p w14:paraId="74CC9F29" w14:textId="77777777" w:rsidR="009F5DA6" w:rsidRPr="00261B7A" w:rsidRDefault="009F5DA6" w:rsidP="009F5DA6">
      <w:pPr>
        <w:pStyle w:val="BodyText"/>
        <w:spacing w:before="240"/>
        <w:rPr>
          <w:rFonts w:cs="Calibri"/>
        </w:rPr>
      </w:pPr>
      <w:r w:rsidRPr="00261B7A">
        <w:rPr>
          <w:rFonts w:cs="Calibri"/>
        </w:rPr>
        <w:t>By disaggregating into categories, more accurate estimates of stationary versus mobile combustion for diesel were also able to be made, resulting in small changes to the emissions from manufacturing industries and construction.</w:t>
      </w:r>
    </w:p>
    <w:p w14:paraId="6902E998" w14:textId="01AE9AA7" w:rsidR="009F5DA6" w:rsidRPr="00261B7A" w:rsidRDefault="009F5DA6" w:rsidP="009F5DA6">
      <w:pPr>
        <w:pStyle w:val="BodyText"/>
        <w:rPr>
          <w:rFonts w:cs="Calibri"/>
        </w:rPr>
      </w:pPr>
      <w:r w:rsidRPr="00261B7A">
        <w:rPr>
          <w:rFonts w:cs="Calibri"/>
        </w:rPr>
        <w:t xml:space="preserve">Disaggregating the </w:t>
      </w:r>
      <w:r w:rsidRPr="00261B7A">
        <w:rPr>
          <w:rFonts w:cs="Calibri"/>
          <w:i/>
        </w:rPr>
        <w:t>Manufacturing industries and construction</w:t>
      </w:r>
      <w:r w:rsidRPr="00261B7A">
        <w:rPr>
          <w:rFonts w:cs="Calibri"/>
        </w:rPr>
        <w:t xml:space="preserve"> category for solid fuels, solid biomass, gasoline and diesel has led to a significant decrease in the </w:t>
      </w:r>
      <w:r w:rsidRPr="00261B7A">
        <w:rPr>
          <w:rFonts w:cs="Calibri"/>
          <w:i/>
        </w:rPr>
        <w:t>Other – not specified</w:t>
      </w:r>
      <w:r w:rsidRPr="00261B7A">
        <w:rPr>
          <w:rFonts w:cs="Calibri"/>
        </w:rPr>
        <w:t xml:space="preserve"> category (1.A.2.g) under </w:t>
      </w:r>
      <w:r w:rsidRPr="00261B7A">
        <w:rPr>
          <w:rFonts w:cs="Calibri"/>
          <w:i/>
        </w:rPr>
        <w:t>Manufacturing industries and construction</w:t>
      </w:r>
      <w:r w:rsidRPr="00261B7A">
        <w:rPr>
          <w:rFonts w:cs="Calibri"/>
        </w:rPr>
        <w:t>. The proportions are shown in </w:t>
      </w:r>
      <w:r w:rsidRPr="00261B7A">
        <w:rPr>
          <w:rFonts w:cs="Calibri"/>
        </w:rPr>
        <w:fldChar w:fldCharType="begin"/>
      </w:r>
      <w:r w:rsidRPr="00261B7A">
        <w:rPr>
          <w:rFonts w:cs="Calibri"/>
        </w:rPr>
        <w:instrText xml:space="preserve"> REF _Ref445300349 \* lower \h  \* MERGEFORMAT </w:instrText>
      </w:r>
      <w:r w:rsidRPr="00261B7A">
        <w:rPr>
          <w:rFonts w:cs="Calibri"/>
        </w:rPr>
      </w:r>
      <w:r w:rsidRPr="00261B7A">
        <w:rPr>
          <w:rFonts w:cs="Calibri"/>
        </w:rPr>
        <w:fldChar w:fldCharType="separate"/>
      </w:r>
      <w:r w:rsidR="008F39B8" w:rsidRPr="008F39B8">
        <w:rPr>
          <w:rFonts w:cs="Calibri"/>
        </w:rPr>
        <w:t>figure 3.3.8</w:t>
      </w:r>
      <w:r w:rsidRPr="00261B7A">
        <w:rPr>
          <w:rFonts w:cs="Calibri"/>
        </w:rPr>
        <w:fldChar w:fldCharType="end"/>
      </w:r>
      <w:r w:rsidRPr="00261B7A">
        <w:rPr>
          <w:rFonts w:cs="Calibri"/>
        </w:rPr>
        <w:t xml:space="preserve">, </w:t>
      </w:r>
      <w:r w:rsidRPr="00261B7A">
        <w:rPr>
          <w:rFonts w:cs="Calibri"/>
        </w:rPr>
        <w:fldChar w:fldCharType="begin"/>
      </w:r>
      <w:r w:rsidRPr="00261B7A">
        <w:rPr>
          <w:rFonts w:cs="Calibri"/>
        </w:rPr>
        <w:instrText xml:space="preserve"> REF _Ref445300362 \* lower \h  \* MERGEFORMAT </w:instrText>
      </w:r>
      <w:r w:rsidRPr="00261B7A">
        <w:rPr>
          <w:rFonts w:cs="Calibri"/>
        </w:rPr>
      </w:r>
      <w:r w:rsidRPr="00261B7A">
        <w:rPr>
          <w:rFonts w:cs="Calibri"/>
        </w:rPr>
        <w:fldChar w:fldCharType="separate"/>
      </w:r>
      <w:r w:rsidR="008F39B8" w:rsidRPr="008F39B8">
        <w:rPr>
          <w:rFonts w:cs="Calibri"/>
        </w:rPr>
        <w:t>figure</w:t>
      </w:r>
      <w:r w:rsidR="008F39B8" w:rsidRPr="00261B7A">
        <w:t xml:space="preserve"> 3.3.</w:t>
      </w:r>
      <w:r w:rsidR="008F39B8">
        <w:t>9</w:t>
      </w:r>
      <w:r w:rsidRPr="00261B7A">
        <w:rPr>
          <w:rFonts w:cs="Calibri"/>
        </w:rPr>
        <w:fldChar w:fldCharType="end"/>
      </w:r>
      <w:r w:rsidRPr="00261B7A">
        <w:rPr>
          <w:rFonts w:cs="Calibri"/>
        </w:rPr>
        <w:t xml:space="preserve"> and </w:t>
      </w:r>
      <w:r w:rsidRPr="00261B7A">
        <w:rPr>
          <w:rFonts w:cs="Calibri"/>
        </w:rPr>
        <w:fldChar w:fldCharType="begin"/>
      </w:r>
      <w:r w:rsidRPr="00261B7A">
        <w:rPr>
          <w:rFonts w:cs="Calibri"/>
        </w:rPr>
        <w:instrText xml:space="preserve"> REF  _Ref445300369 \* Lower \h  \* MERGEFORMAT </w:instrText>
      </w:r>
      <w:r w:rsidRPr="00261B7A">
        <w:rPr>
          <w:rFonts w:cs="Calibri"/>
        </w:rPr>
      </w:r>
      <w:r w:rsidRPr="00261B7A">
        <w:rPr>
          <w:rFonts w:cs="Calibri"/>
        </w:rPr>
        <w:fldChar w:fldCharType="separate"/>
      </w:r>
      <w:r w:rsidR="008F39B8" w:rsidRPr="008F39B8">
        <w:rPr>
          <w:rFonts w:cs="Calibri"/>
        </w:rPr>
        <w:t>figure</w:t>
      </w:r>
      <w:r w:rsidR="008F39B8" w:rsidRPr="00261B7A">
        <w:t xml:space="preserve"> 3.3.</w:t>
      </w:r>
      <w:r w:rsidR="008F39B8">
        <w:t>10</w:t>
      </w:r>
      <w:r w:rsidRPr="00261B7A">
        <w:rPr>
          <w:rFonts w:cs="Calibri"/>
        </w:rPr>
        <w:fldChar w:fldCharType="end"/>
      </w:r>
      <w:r w:rsidRPr="00261B7A">
        <w:rPr>
          <w:rFonts w:cs="Calibri"/>
        </w:rPr>
        <w:t>.</w:t>
      </w:r>
    </w:p>
    <w:p w14:paraId="2FC861C8" w14:textId="786D46F9" w:rsidR="009F5DA6" w:rsidRPr="00261B7A" w:rsidRDefault="009F5DA6" w:rsidP="009F5DA6">
      <w:pPr>
        <w:pStyle w:val="Figure"/>
        <w:spacing w:after="80"/>
        <w:rPr>
          <w:rFonts w:cs="Calibri"/>
        </w:rPr>
      </w:pPr>
      <w:bookmarkStart w:id="346" w:name="_Ref445300349"/>
      <w:bookmarkStart w:id="347" w:name="_Toc36292777"/>
      <w:bookmarkStart w:id="348" w:name="_Toc321399330"/>
      <w:bookmarkStart w:id="349" w:name="_Toc384582858"/>
      <w:bookmarkStart w:id="350" w:name="_Toc443060818"/>
      <w:bookmarkStart w:id="351" w:name="_Toc447275675"/>
      <w:bookmarkStart w:id="352" w:name="_Toc481751993"/>
      <w:bookmarkStart w:id="353" w:name="_Toc68786642"/>
      <w:bookmarkStart w:id="354" w:name="_Toc95834077"/>
      <w:bookmarkStart w:id="355" w:name="_Toc131591544"/>
      <w:r w:rsidRPr="00261B7A">
        <w:t>Figure 3.3.</w:t>
      </w:r>
      <w:r w:rsidRPr="00261B7A">
        <w:fldChar w:fldCharType="begin"/>
      </w:r>
      <w:r w:rsidRPr="00261B7A">
        <w:instrText>SEQ Figure \* ARABIC \s 2</w:instrText>
      </w:r>
      <w:r w:rsidRPr="00261B7A">
        <w:fldChar w:fldCharType="separate"/>
      </w:r>
      <w:r w:rsidR="008F39B8">
        <w:rPr>
          <w:noProof/>
        </w:rPr>
        <w:t>8</w:t>
      </w:r>
      <w:r w:rsidRPr="00261B7A">
        <w:fldChar w:fldCharType="end"/>
      </w:r>
      <w:bookmarkEnd w:id="346"/>
      <w:r w:rsidRPr="00261B7A">
        <w:t xml:space="preserve"> </w:t>
      </w:r>
      <w:r w:rsidRPr="00261B7A">
        <w:tab/>
        <w:t xml:space="preserve">Proportions used for </w:t>
      </w:r>
      <w:r w:rsidRPr="00261B7A">
        <w:rPr>
          <w:i/>
          <w:iCs/>
        </w:rPr>
        <w:t>Manufacturing industries and construction</w:t>
      </w:r>
      <w:r w:rsidRPr="00261B7A">
        <w:t xml:space="preserve"> category</w:t>
      </w:r>
      <w:r w:rsidR="00850D7E" w:rsidRPr="00261B7A">
        <w:br/>
      </w:r>
      <w:r w:rsidRPr="00261B7A">
        <w:t xml:space="preserve">– Gasoline from 1990 to </w:t>
      </w:r>
      <w:bookmarkEnd w:id="347"/>
      <w:bookmarkEnd w:id="348"/>
      <w:bookmarkEnd w:id="349"/>
      <w:bookmarkEnd w:id="350"/>
      <w:bookmarkEnd w:id="351"/>
      <w:bookmarkEnd w:id="352"/>
      <w:bookmarkEnd w:id="353"/>
      <w:bookmarkEnd w:id="354"/>
      <w:r w:rsidRPr="00261B7A">
        <w:t>2021</w:t>
      </w:r>
      <w:bookmarkEnd w:id="355"/>
    </w:p>
    <w:p w14:paraId="355C0F45" w14:textId="77777777" w:rsidR="009F5DA6" w:rsidRPr="00261B7A" w:rsidRDefault="009F5DA6" w:rsidP="009F5DA6">
      <w:pPr>
        <w:pStyle w:val="BodyText"/>
      </w:pPr>
      <w:r w:rsidRPr="00261B7A">
        <w:rPr>
          <w:noProof/>
        </w:rPr>
        <w:drawing>
          <wp:inline distT="0" distB="0" distL="0" distR="0" wp14:anchorId="3827E8E9" wp14:editId="6E1F05BD">
            <wp:extent cx="5302249" cy="2456815"/>
            <wp:effectExtent l="0" t="0" r="0" b="635"/>
            <wp:docPr id="2103740989" name="Picture 21037409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3740989"/>
                    <pic:cNvPicPr/>
                  </pic:nvPicPr>
                  <pic:blipFill>
                    <a:blip r:embed="rId74" cstate="print">
                      <a:extLst>
                        <a:ext uri="{28A0092B-C50C-407E-A947-70E740481C1C}">
                          <a14:useLocalDpi xmlns:a14="http://schemas.microsoft.com/office/drawing/2010/main" val="0"/>
                        </a:ext>
                      </a:extLst>
                    </a:blip>
                    <a:srcRect t="3665" b="3665"/>
                    <a:stretch>
                      <a:fillRect/>
                    </a:stretch>
                  </pic:blipFill>
                  <pic:spPr>
                    <a:xfrm>
                      <a:off x="0" y="0"/>
                      <a:ext cx="5302249" cy="2456815"/>
                    </a:xfrm>
                    <a:prstGeom prst="rect">
                      <a:avLst/>
                    </a:prstGeom>
                  </pic:spPr>
                </pic:pic>
              </a:graphicData>
            </a:graphic>
          </wp:inline>
        </w:drawing>
      </w:r>
    </w:p>
    <w:p w14:paraId="27C2AD33" w14:textId="3DA30F9B" w:rsidR="009F5DA6" w:rsidRPr="00261B7A" w:rsidRDefault="009F5DA6" w:rsidP="009F5DA6">
      <w:pPr>
        <w:pStyle w:val="Figure"/>
        <w:spacing w:after="80"/>
      </w:pPr>
      <w:bookmarkStart w:id="356" w:name="_Ref445300362"/>
      <w:bookmarkStart w:id="357" w:name="_Toc321399331"/>
      <w:bookmarkStart w:id="358" w:name="_Toc384582859"/>
      <w:bookmarkStart w:id="359" w:name="_Toc443060819"/>
      <w:bookmarkStart w:id="360" w:name="_Toc447275676"/>
      <w:bookmarkStart w:id="361" w:name="_Toc481751994"/>
      <w:bookmarkStart w:id="362" w:name="_Toc36292778"/>
      <w:bookmarkStart w:id="363" w:name="_Toc68786643"/>
      <w:bookmarkStart w:id="364" w:name="_Toc95834078"/>
      <w:bookmarkStart w:id="365" w:name="_Toc131591545"/>
      <w:r w:rsidRPr="00261B7A">
        <w:t>Figure 3.3.</w:t>
      </w:r>
      <w:r w:rsidRPr="00261B7A">
        <w:fldChar w:fldCharType="begin"/>
      </w:r>
      <w:r w:rsidRPr="00261B7A">
        <w:instrText>SEQ Figure \* ARABIC \s 2</w:instrText>
      </w:r>
      <w:r w:rsidRPr="00261B7A">
        <w:fldChar w:fldCharType="separate"/>
      </w:r>
      <w:r w:rsidR="008F39B8">
        <w:rPr>
          <w:noProof/>
        </w:rPr>
        <w:t>9</w:t>
      </w:r>
      <w:r w:rsidRPr="00261B7A">
        <w:fldChar w:fldCharType="end"/>
      </w:r>
      <w:bookmarkEnd w:id="356"/>
      <w:r w:rsidRPr="00261B7A">
        <w:t xml:space="preserve"> </w:t>
      </w:r>
      <w:r w:rsidRPr="00261B7A">
        <w:tab/>
      </w:r>
      <w:bookmarkStart w:id="366" w:name="_Hlk66695051"/>
      <w:r w:rsidRPr="00261B7A">
        <w:t xml:space="preserve">Proportions used for </w:t>
      </w:r>
      <w:r w:rsidRPr="00261B7A">
        <w:rPr>
          <w:i/>
          <w:iCs/>
        </w:rPr>
        <w:t>Manufacturing industries and construction</w:t>
      </w:r>
      <w:r w:rsidRPr="00261B7A">
        <w:t xml:space="preserve"> category</w:t>
      </w:r>
      <w:r w:rsidR="00CB7F46" w:rsidRPr="00261B7A">
        <w:t xml:space="preserve"> </w:t>
      </w:r>
      <w:r w:rsidR="00850D7E" w:rsidRPr="00261B7A">
        <w:br/>
      </w:r>
      <w:r w:rsidRPr="00261B7A">
        <w:t xml:space="preserve">– Diesel </w:t>
      </w:r>
      <w:bookmarkEnd w:id="357"/>
      <w:bookmarkEnd w:id="358"/>
      <w:bookmarkEnd w:id="359"/>
      <w:bookmarkEnd w:id="360"/>
      <w:bookmarkEnd w:id="361"/>
      <w:r w:rsidRPr="00261B7A">
        <w:t>from 1990 to </w:t>
      </w:r>
      <w:bookmarkEnd w:id="362"/>
      <w:bookmarkEnd w:id="363"/>
      <w:bookmarkEnd w:id="364"/>
      <w:bookmarkEnd w:id="366"/>
      <w:r w:rsidRPr="00261B7A">
        <w:t>2021</w:t>
      </w:r>
      <w:bookmarkEnd w:id="365"/>
    </w:p>
    <w:p w14:paraId="727B3CEA" w14:textId="77777777" w:rsidR="009F5DA6" w:rsidRPr="00261B7A" w:rsidRDefault="009F5DA6" w:rsidP="009F5DA6">
      <w:pPr>
        <w:pStyle w:val="BodyText"/>
        <w:rPr>
          <w:rFonts w:cs="Calibri"/>
        </w:rPr>
      </w:pPr>
      <w:r w:rsidRPr="00261B7A">
        <w:rPr>
          <w:noProof/>
        </w:rPr>
        <w:drawing>
          <wp:inline distT="0" distB="0" distL="0" distR="0" wp14:anchorId="372C0E5C" wp14:editId="302FAC13">
            <wp:extent cx="5301615" cy="2395242"/>
            <wp:effectExtent l="0" t="0" r="0" b="5080"/>
            <wp:docPr id="821339483" name="Picture 821339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1339483"/>
                    <pic:cNvPicPr/>
                  </pic:nvPicPr>
                  <pic:blipFill rotWithShape="1">
                    <a:blip r:embed="rId75" cstate="print">
                      <a:extLst>
                        <a:ext uri="{28A0092B-C50C-407E-A947-70E740481C1C}">
                          <a14:useLocalDpi xmlns:a14="http://schemas.microsoft.com/office/drawing/2010/main" val="0"/>
                        </a:ext>
                      </a:extLst>
                    </a:blip>
                    <a:srcRect t="3665" b="5977"/>
                    <a:stretch/>
                  </pic:blipFill>
                  <pic:spPr bwMode="auto">
                    <a:xfrm>
                      <a:off x="0" y="0"/>
                      <a:ext cx="5302249" cy="2395528"/>
                    </a:xfrm>
                    <a:prstGeom prst="rect">
                      <a:avLst/>
                    </a:prstGeom>
                    <a:ln>
                      <a:noFill/>
                    </a:ln>
                    <a:extLst>
                      <a:ext uri="{53640926-AAD7-44D8-BBD7-CCE9431645EC}">
                        <a14:shadowObscured xmlns:a14="http://schemas.microsoft.com/office/drawing/2010/main"/>
                      </a:ext>
                    </a:extLst>
                  </pic:spPr>
                </pic:pic>
              </a:graphicData>
            </a:graphic>
          </wp:inline>
        </w:drawing>
      </w:r>
    </w:p>
    <w:p w14:paraId="7CDCD078" w14:textId="37978557" w:rsidR="009F5DA6" w:rsidRPr="00261B7A" w:rsidRDefault="009F5DA6" w:rsidP="009F5DA6">
      <w:pPr>
        <w:pStyle w:val="Figure"/>
        <w:spacing w:after="80"/>
      </w:pPr>
      <w:bookmarkStart w:id="367" w:name="_Ref445300369"/>
      <w:bookmarkStart w:id="368" w:name="_Toc384582860"/>
      <w:bookmarkStart w:id="369" w:name="_Toc443060820"/>
      <w:bookmarkStart w:id="370" w:name="_Toc447275677"/>
      <w:bookmarkStart w:id="371" w:name="_Toc481751995"/>
      <w:bookmarkStart w:id="372" w:name="_Toc36292779"/>
      <w:bookmarkStart w:id="373" w:name="_Toc68786644"/>
      <w:bookmarkStart w:id="374" w:name="_Toc95834079"/>
      <w:bookmarkStart w:id="375" w:name="_Toc131591546"/>
      <w:r w:rsidRPr="00261B7A">
        <w:t>Figure 3.3.</w:t>
      </w:r>
      <w:r w:rsidRPr="00261B7A">
        <w:fldChar w:fldCharType="begin"/>
      </w:r>
      <w:r w:rsidRPr="00261B7A">
        <w:instrText>SEQ Figure \* ARABIC \s 2</w:instrText>
      </w:r>
      <w:r w:rsidRPr="00261B7A">
        <w:fldChar w:fldCharType="separate"/>
      </w:r>
      <w:r w:rsidR="008F39B8">
        <w:rPr>
          <w:noProof/>
        </w:rPr>
        <w:t>10</w:t>
      </w:r>
      <w:r w:rsidRPr="00261B7A">
        <w:fldChar w:fldCharType="end"/>
      </w:r>
      <w:bookmarkEnd w:id="367"/>
      <w:r w:rsidRPr="00261B7A">
        <w:t xml:space="preserve"> </w:t>
      </w:r>
      <w:r w:rsidRPr="00261B7A">
        <w:tab/>
        <w:t xml:space="preserve">Proportions used for </w:t>
      </w:r>
      <w:r w:rsidRPr="00261B7A">
        <w:rPr>
          <w:i/>
          <w:iCs/>
        </w:rPr>
        <w:t>Manufacturing industries and construction</w:t>
      </w:r>
      <w:r w:rsidRPr="00261B7A">
        <w:t xml:space="preserve"> category</w:t>
      </w:r>
      <w:r w:rsidR="00850D7E" w:rsidRPr="00261B7A">
        <w:br/>
      </w:r>
      <w:r w:rsidRPr="00261B7A">
        <w:t xml:space="preserve">– Fuel oil </w:t>
      </w:r>
      <w:bookmarkEnd w:id="368"/>
      <w:bookmarkEnd w:id="369"/>
      <w:bookmarkEnd w:id="370"/>
      <w:bookmarkEnd w:id="371"/>
      <w:r w:rsidRPr="00261B7A">
        <w:t>from 1990 to </w:t>
      </w:r>
      <w:bookmarkEnd w:id="372"/>
      <w:bookmarkEnd w:id="373"/>
      <w:bookmarkEnd w:id="374"/>
      <w:r w:rsidRPr="00261B7A">
        <w:t>2021</w:t>
      </w:r>
      <w:bookmarkEnd w:id="375"/>
    </w:p>
    <w:p w14:paraId="3E36885A" w14:textId="77777777" w:rsidR="009F5DA6" w:rsidRPr="00261B7A" w:rsidRDefault="009F5DA6" w:rsidP="009F5DA6">
      <w:pPr>
        <w:pStyle w:val="BodyText"/>
        <w:spacing w:before="60"/>
        <w:rPr>
          <w:rFonts w:cs="Calibri"/>
        </w:rPr>
      </w:pPr>
      <w:r w:rsidRPr="00261B7A">
        <w:rPr>
          <w:noProof/>
        </w:rPr>
        <w:drawing>
          <wp:inline distT="0" distB="0" distL="0" distR="0" wp14:anchorId="2FE927C6" wp14:editId="1EA7ACBA">
            <wp:extent cx="5301615" cy="2395242"/>
            <wp:effectExtent l="0" t="0" r="0" b="5080"/>
            <wp:docPr id="2068695581" name="Picture 2068695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8695581"/>
                    <pic:cNvPicPr/>
                  </pic:nvPicPr>
                  <pic:blipFill rotWithShape="1">
                    <a:blip r:embed="rId76" cstate="print">
                      <a:extLst>
                        <a:ext uri="{28A0092B-C50C-407E-A947-70E740481C1C}">
                          <a14:useLocalDpi xmlns:a14="http://schemas.microsoft.com/office/drawing/2010/main" val="0"/>
                        </a:ext>
                      </a:extLst>
                    </a:blip>
                    <a:srcRect t="3928" b="5713"/>
                    <a:stretch/>
                  </pic:blipFill>
                  <pic:spPr bwMode="auto">
                    <a:xfrm>
                      <a:off x="0" y="0"/>
                      <a:ext cx="5302249" cy="2395528"/>
                    </a:xfrm>
                    <a:prstGeom prst="rect">
                      <a:avLst/>
                    </a:prstGeom>
                    <a:ln>
                      <a:noFill/>
                    </a:ln>
                    <a:extLst>
                      <a:ext uri="{53640926-AAD7-44D8-BBD7-CCE9431645EC}">
                        <a14:shadowObscured xmlns:a14="http://schemas.microsoft.com/office/drawing/2010/main"/>
                      </a:ext>
                    </a:extLst>
                  </pic:spPr>
                </pic:pic>
              </a:graphicData>
            </a:graphic>
          </wp:inline>
        </w:drawing>
      </w:r>
    </w:p>
    <w:p w14:paraId="4D19A8CE" w14:textId="77777777" w:rsidR="009F5DA6" w:rsidRPr="00261B7A" w:rsidRDefault="009F5DA6" w:rsidP="009F5DA6">
      <w:pPr>
        <w:pStyle w:val="Heading5"/>
        <w:rPr>
          <w:rFonts w:cs="Calibri"/>
        </w:rPr>
      </w:pPr>
      <w:r w:rsidRPr="00261B7A">
        <w:rPr>
          <w:rFonts w:cs="Calibri"/>
        </w:rPr>
        <w:t>Gaseous fuels</w:t>
      </w:r>
    </w:p>
    <w:p w14:paraId="6C6DC4F2" w14:textId="77777777" w:rsidR="009F5DA6" w:rsidRPr="00261B7A" w:rsidRDefault="009F5DA6" w:rsidP="009F5DA6">
      <w:pPr>
        <w:pStyle w:val="BodyText"/>
        <w:spacing w:before="80" w:after="100"/>
        <w:rPr>
          <w:rFonts w:cs="Calibri"/>
        </w:rPr>
      </w:pPr>
      <w:r w:rsidRPr="00261B7A">
        <w:rPr>
          <w:rFonts w:cs="Calibri"/>
        </w:rPr>
        <w:t>Annual natural gas consumption statistics are published by MBIE. A review of the allocation of natural gas consumption data was undertaken in 2011 by MBIE. The purpose of this review was to address time-series discontinuities in the sectoral breakdown for some sectors before 2006. Several inconsistencies in sector reporting were found, along with a considerable amount of missing data for sectoral breakdowns. Inconsistencies from 2003 to 2005 were due to changes in survey design over time. Inconsistencies or missing data before 2003 were re</w:t>
      </w:r>
      <w:r w:rsidRPr="00261B7A">
        <w:rPr>
          <w:rFonts w:cs="Calibri"/>
        </w:rPr>
        <w:noBreakHyphen/>
        <w:t>worked and re-estimated. These missing data comprised around 40 per cent of total natural gas use (which was not altered at a total level but only reallocated by sector).</w:t>
      </w:r>
    </w:p>
    <w:p w14:paraId="4A295726" w14:textId="77777777" w:rsidR="009F5DA6" w:rsidRPr="00261B7A" w:rsidRDefault="009F5DA6" w:rsidP="009F5DA6">
      <w:pPr>
        <w:pStyle w:val="BodyText"/>
        <w:spacing w:after="100"/>
      </w:pPr>
      <w:r w:rsidRPr="00261B7A">
        <w:t>Where necessary, new estimates of gas consumption were made, depending on data availability. The chosen data source in order of preference was as follows.</w:t>
      </w:r>
    </w:p>
    <w:p w14:paraId="2F01218D" w14:textId="77777777" w:rsidR="009F5DA6" w:rsidRPr="00261B7A" w:rsidRDefault="009F5DA6" w:rsidP="009F5DA6">
      <w:pPr>
        <w:pStyle w:val="Bullet"/>
      </w:pPr>
      <w:r w:rsidRPr="00261B7A">
        <w:t xml:space="preserve">Data from major consumers of natural gas were used if available because they are more reliable, accurate and easily classified by sector. </w:t>
      </w:r>
    </w:p>
    <w:p w14:paraId="5970E268" w14:textId="77777777" w:rsidR="009F5DA6" w:rsidRPr="00261B7A" w:rsidRDefault="009F5DA6" w:rsidP="009F5DA6">
      <w:pPr>
        <w:pStyle w:val="Bullet"/>
      </w:pPr>
      <w:r w:rsidRPr="00261B7A">
        <w:t xml:space="preserve">Where these data were not available, natural gas retailers’ reported sales by sector were used. </w:t>
      </w:r>
    </w:p>
    <w:p w14:paraId="5AAA94DC" w14:textId="77777777" w:rsidR="009F5DA6" w:rsidRPr="00261B7A" w:rsidRDefault="009F5DA6" w:rsidP="009F5DA6">
      <w:pPr>
        <w:pStyle w:val="Bullet"/>
      </w:pPr>
      <w:r w:rsidRPr="00261B7A">
        <w:t xml:space="preserve">If these data were also not available, then estimates based on regressions using GDP data were used. GDP output and production data were used along with assumptions about energy intensity and consumption of categories (to as detailed a level as possible). </w:t>
      </w:r>
    </w:p>
    <w:p w14:paraId="5D1D9709" w14:textId="77777777" w:rsidR="009F5DA6" w:rsidRPr="00261B7A" w:rsidRDefault="009F5DA6" w:rsidP="009F5DA6">
      <w:pPr>
        <w:pStyle w:val="BodyText"/>
        <w:spacing w:before="100" w:after="100"/>
        <w:rPr>
          <w:rFonts w:cs="Calibri"/>
        </w:rPr>
      </w:pPr>
      <w:r w:rsidRPr="00261B7A">
        <w:rPr>
          <w:rFonts w:cs="Calibri"/>
        </w:rPr>
        <w:t xml:space="preserve">Several categories are represented by only one or two major natural gas consumers: for some of these cases data from major consumers were directly used. Where there are industries with many major natural gas consumers, gas retailers’ reported sales by sector were used, though these can, at times, exhibit data quality issues. </w:t>
      </w:r>
    </w:p>
    <w:p w14:paraId="53380950" w14:textId="77777777" w:rsidR="009F5DA6" w:rsidRPr="00261B7A" w:rsidRDefault="009F5DA6" w:rsidP="009F5DA6">
      <w:pPr>
        <w:pStyle w:val="BodyText"/>
        <w:spacing w:before="100" w:after="100"/>
        <w:rPr>
          <w:rFonts w:cs="Calibri"/>
        </w:rPr>
      </w:pPr>
      <w:r w:rsidRPr="00261B7A">
        <w:rPr>
          <w:rFonts w:cs="Calibri"/>
        </w:rPr>
        <w:t>A review was also undertaken in 2014 by MBIE covering data going back to 1999. Several sales previously identified as wholesale sales (i.e., gas bought to be on-sold) were in fact sold to consumers, but at ‘wholesale’ (lower) prices. Work was done to correct the classifications of these sales, based on customer name, to their relevant sectors.</w:t>
      </w:r>
    </w:p>
    <w:p w14:paraId="27CA221F" w14:textId="77777777" w:rsidR="009F5DA6" w:rsidRPr="00261B7A" w:rsidRDefault="009F5DA6" w:rsidP="009F5DA6">
      <w:pPr>
        <w:pStyle w:val="Heading5"/>
        <w:rPr>
          <w:rFonts w:cs="Calibri"/>
        </w:rPr>
      </w:pPr>
      <w:r w:rsidRPr="00261B7A">
        <w:rPr>
          <w:rFonts w:cs="Calibri"/>
        </w:rPr>
        <w:t>Other fossil fuels</w:t>
      </w:r>
    </w:p>
    <w:p w14:paraId="108BD3DC" w14:textId="77777777" w:rsidR="009F5DA6" w:rsidRPr="00261B7A" w:rsidRDefault="009F5DA6" w:rsidP="009F5DA6">
      <w:pPr>
        <w:pStyle w:val="BodyText"/>
        <w:spacing w:before="100" w:after="100"/>
        <w:rPr>
          <w:rFonts w:cs="Calibri"/>
        </w:rPr>
      </w:pPr>
      <w:r w:rsidRPr="00261B7A">
        <w:rPr>
          <w:rFonts w:cs="Calibri"/>
        </w:rPr>
        <w:t>This category includes waste oil and tyre-derived fuel. Activity data are sourced from the NZ ETS.</w:t>
      </w:r>
    </w:p>
    <w:p w14:paraId="5F4B552B" w14:textId="77777777" w:rsidR="009F5DA6" w:rsidRPr="00261B7A" w:rsidRDefault="009F5DA6" w:rsidP="009F5DA6">
      <w:pPr>
        <w:pStyle w:val="Heading5"/>
        <w:rPr>
          <w:rFonts w:cs="Calibri"/>
          <w:lang w:eastAsia="en-GB"/>
        </w:rPr>
      </w:pPr>
      <w:r w:rsidRPr="00261B7A">
        <w:rPr>
          <w:rFonts w:cs="Calibri"/>
          <w:lang w:eastAsia="en-GB"/>
        </w:rPr>
        <w:t>1.A.2.a Iron and steel</w:t>
      </w:r>
    </w:p>
    <w:p w14:paraId="680F3FF0"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Activity data for coal used in iron and steel production are reported to MBIE by New Zealand Steel Limited. A considerable amount of coal is used in the production of iron. Most of the coal is used in the direct reduction process to remove oxygen from iron-sand. However, all emissions from the use of coal are included in the IPPU sector because the primary purpose of the coal is to produce iron (IPCC, 2006). A small amount of </w:t>
      </w:r>
      <w:r w:rsidRPr="00261B7A">
        <w:rPr>
          <w:rFonts w:cs="Calibri"/>
        </w:rPr>
        <w:t xml:space="preserve">natural </w:t>
      </w:r>
      <w:r w:rsidRPr="00261B7A">
        <w:rPr>
          <w:rFonts w:cs="Calibri"/>
          <w:lang w:eastAsia="en-GB"/>
        </w:rPr>
        <w:t xml:space="preserve">gas is used in the production of iron and steel to provide energy for the process: this is reported under the Energy sector in 1.A.2.a </w:t>
      </w:r>
      <w:r w:rsidRPr="00261B7A">
        <w:rPr>
          <w:rFonts w:cs="Calibri"/>
          <w:i/>
          <w:lang w:eastAsia="en-GB"/>
        </w:rPr>
        <w:t>Iron and steel</w:t>
      </w:r>
      <w:r w:rsidRPr="00261B7A">
        <w:rPr>
          <w:rFonts w:cs="Calibri"/>
          <w:lang w:eastAsia="en-GB"/>
        </w:rPr>
        <w:t>.</w:t>
      </w:r>
    </w:p>
    <w:p w14:paraId="2C14DAEA" w14:textId="77777777" w:rsidR="009F5DA6" w:rsidRPr="00261B7A" w:rsidRDefault="009F5DA6" w:rsidP="009F5DA6">
      <w:pPr>
        <w:pStyle w:val="Heading5"/>
        <w:rPr>
          <w:rFonts w:cs="Calibri"/>
          <w:lang w:eastAsia="en-GB"/>
        </w:rPr>
      </w:pPr>
      <w:r w:rsidRPr="00261B7A">
        <w:rPr>
          <w:rFonts w:cs="Calibri"/>
          <w:lang w:eastAsia="en-GB"/>
        </w:rPr>
        <w:t>1.A.2.c Chemicals</w:t>
      </w:r>
    </w:p>
    <w:p w14:paraId="371F1F18"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The </w:t>
      </w:r>
      <w:r w:rsidRPr="00261B7A">
        <w:rPr>
          <w:rFonts w:cs="Calibri"/>
          <w:i/>
          <w:lang w:eastAsia="en-GB"/>
        </w:rPr>
        <w:t>Chemicals</w:t>
      </w:r>
      <w:r w:rsidRPr="00261B7A">
        <w:rPr>
          <w:rFonts w:cs="Calibri"/>
          <w:lang w:eastAsia="en-GB"/>
        </w:rPr>
        <w:t xml:space="preserve"> category includes estimates from the following sub-industries:</w:t>
      </w:r>
    </w:p>
    <w:p w14:paraId="3FF8BEA0" w14:textId="77777777" w:rsidR="009F5DA6" w:rsidRPr="00261B7A" w:rsidRDefault="009F5DA6" w:rsidP="009F5DA6">
      <w:pPr>
        <w:pStyle w:val="Bullet"/>
      </w:pPr>
      <w:r w:rsidRPr="00261B7A">
        <w:t>industrial gases and synthetic resin</w:t>
      </w:r>
    </w:p>
    <w:p w14:paraId="44B5D0F9" w14:textId="77777777" w:rsidR="009F5DA6" w:rsidRPr="00261B7A" w:rsidRDefault="009F5DA6" w:rsidP="009F5DA6">
      <w:pPr>
        <w:pStyle w:val="Bullet"/>
      </w:pPr>
      <w:r w:rsidRPr="00261B7A">
        <w:t>organic industrial chemicals</w:t>
      </w:r>
    </w:p>
    <w:p w14:paraId="0E1EB9ED" w14:textId="77777777" w:rsidR="009F5DA6" w:rsidRPr="00261B7A" w:rsidRDefault="009F5DA6" w:rsidP="009F5DA6">
      <w:pPr>
        <w:pStyle w:val="Bullet"/>
      </w:pPr>
      <w:r w:rsidRPr="00261B7A">
        <w:t>inorganic industrial chemicals, other chemical production, rubber and plastic products.</w:t>
      </w:r>
    </w:p>
    <w:p w14:paraId="4BCF67ED" w14:textId="77777777" w:rsidR="009F5DA6" w:rsidRPr="00261B7A" w:rsidRDefault="009F5DA6" w:rsidP="009F5DA6">
      <w:pPr>
        <w:pStyle w:val="BodyText"/>
        <w:spacing w:before="100"/>
        <w:rPr>
          <w:rFonts w:cs="Calibri"/>
        </w:rPr>
      </w:pPr>
      <w:r w:rsidRPr="00261B7A">
        <w:rPr>
          <w:rFonts w:cs="Calibri"/>
        </w:rPr>
        <w:t xml:space="preserve">The quantity of natural gas used for the production of methanol and ammonia (and, subsequently, urea) has been split into feedstock gas (which is included in 2.B.8.a and 2.B.1 respectively) and energy-use gas (which is included in 1.A.2.c </w:t>
      </w:r>
      <w:r w:rsidRPr="00261B7A">
        <w:rPr>
          <w:rFonts w:cs="Calibri"/>
          <w:i/>
        </w:rPr>
        <w:t>Chemicals</w:t>
      </w:r>
      <w:r w:rsidRPr="00261B7A">
        <w:rPr>
          <w:rFonts w:cs="Calibri"/>
        </w:rPr>
        <w:t>). Further details are included in chapter 4.</w:t>
      </w:r>
    </w:p>
    <w:p w14:paraId="6ED2DD17" w14:textId="77777777" w:rsidR="009F5DA6" w:rsidRPr="00261B7A" w:rsidRDefault="009F5DA6" w:rsidP="009F5DA6">
      <w:pPr>
        <w:pStyle w:val="BodyText"/>
      </w:pPr>
      <w:r w:rsidRPr="00261B7A">
        <w:rPr>
          <w:lang w:eastAsia="en-GB"/>
        </w:rPr>
        <w:t xml:space="preserve">Activity data for methanol production are supplied directly by Methanex New Zealand. Until 2004, methanol was produced at two plants by Methanex New Zealand. In November 2004, production at the </w:t>
      </w:r>
      <w:r w:rsidRPr="00261B7A">
        <w:t>Motunui plant was halted and the plant re-opened in late 2008. Methanex New Zealand exports most of this methanol.</w:t>
      </w:r>
    </w:p>
    <w:p w14:paraId="2A78AE13" w14:textId="77777777" w:rsidR="009F5DA6" w:rsidRPr="00261B7A" w:rsidRDefault="009F5DA6" w:rsidP="009F5DA6">
      <w:pPr>
        <w:pStyle w:val="BodyText"/>
      </w:pPr>
      <w:r w:rsidRPr="00261B7A">
        <w:t xml:space="preserve">Methanex is the sole methanol producer in New Zealand and considers its natural gas consumption to be commercially sensitive information. New Zealand takes a Tier 2 (IPCC, 2006) approach to estimating emissions from methanol production. This approach uses natural gas consumption at the plant along with country- and field-specific emission factors to calculate potential emissions before deducting the carbon sequestered in the end product. </w:t>
      </w:r>
    </w:p>
    <w:p w14:paraId="72BAC5F9" w14:textId="77777777" w:rsidR="009F5DA6" w:rsidRPr="00261B7A" w:rsidRDefault="009F5DA6" w:rsidP="009F5DA6">
      <w:pPr>
        <w:pStyle w:val="BodyText"/>
      </w:pPr>
      <w:r w:rsidRPr="00261B7A">
        <w:t>The major non-fuel-related emissions from the methanol process are CH</w:t>
      </w:r>
      <w:r w:rsidRPr="00261B7A">
        <w:rPr>
          <w:vertAlign w:val="subscript"/>
        </w:rPr>
        <w:t>4</w:t>
      </w:r>
      <w:r w:rsidRPr="00261B7A">
        <w:t xml:space="preserve"> (reported under the IPPU sector) and non-methane volatile organic compounds.</w:t>
      </w:r>
    </w:p>
    <w:p w14:paraId="0249CEB5" w14:textId="77777777" w:rsidR="009F5DA6" w:rsidRPr="00261B7A" w:rsidRDefault="009F5DA6" w:rsidP="009F5DA6">
      <w:pPr>
        <w:pStyle w:val="BodyText"/>
      </w:pPr>
      <w:r w:rsidRPr="00261B7A">
        <w:t>Superphosphate fertiliser is commonly used in New Zealand to ensure that soil has a sufficiently high phosphorous content. It is manufactured from the reaction between sulphuric acid and phosphate rock.</w:t>
      </w:r>
      <w:r w:rsidRPr="00261B7A">
        <w:rPr>
          <w:rStyle w:val="FootnoteReference"/>
          <w:rFonts w:cs="Calibri"/>
        </w:rPr>
        <w:footnoteReference w:id="32"/>
      </w:r>
      <w:r w:rsidRPr="00261B7A">
        <w:t xml:space="preserve"> During the process, the heat generated by the exothermic reaction between molten sulphur and oxygen is recovered in a waste-heat boiler to produce steam that is then used for process heating and to drive a steam turbine that produces electricity. The electricity is used on site and </w:t>
      </w:r>
      <w:r w:rsidRPr="00261B7A">
        <w:rPr>
          <w:bCs/>
        </w:rPr>
        <w:t>generally</w:t>
      </w:r>
      <w:r w:rsidRPr="00261B7A">
        <w:t xml:space="preserve"> any excess is exported to the local power supplier.</w:t>
      </w:r>
    </w:p>
    <w:p w14:paraId="648BA2EF" w14:textId="77777777" w:rsidR="009F5DA6" w:rsidRPr="00261B7A" w:rsidRDefault="009F5DA6" w:rsidP="009F5DA6">
      <w:pPr>
        <w:pStyle w:val="Heading5"/>
        <w:rPr>
          <w:rFonts w:cs="Calibri"/>
          <w:lang w:eastAsia="en-GB"/>
        </w:rPr>
      </w:pPr>
      <w:r w:rsidRPr="00261B7A">
        <w:rPr>
          <w:rFonts w:cs="Calibri"/>
          <w:lang w:eastAsia="en-GB"/>
        </w:rPr>
        <w:t>On-site electricity generation</w:t>
      </w:r>
    </w:p>
    <w:p w14:paraId="5BF698F8" w14:textId="77777777" w:rsidR="009F5DA6" w:rsidRPr="00261B7A" w:rsidRDefault="009F5DA6" w:rsidP="009F5DA6">
      <w:pPr>
        <w:pStyle w:val="BodyText"/>
        <w:rPr>
          <w:lang w:eastAsia="en-GB"/>
        </w:rPr>
      </w:pPr>
      <w:r w:rsidRPr="00261B7A">
        <w:rPr>
          <w:lang w:eastAsia="en-GB"/>
        </w:rPr>
        <w:t xml:space="preserve">As mentioned in section </w:t>
      </w:r>
      <w:r w:rsidRPr="00261B7A">
        <w:t>3.3.1</w:t>
      </w:r>
      <w:r w:rsidRPr="00261B7A">
        <w:rPr>
          <w:lang w:eastAsia="en-GB"/>
        </w:rPr>
        <w:t xml:space="preserve">, on-site </w:t>
      </w:r>
      <w:r w:rsidRPr="00261B7A">
        <w:t>electricity</w:t>
      </w:r>
      <w:r w:rsidRPr="00261B7A">
        <w:rPr>
          <w:lang w:eastAsia="en-GB"/>
        </w:rPr>
        <w:t xml:space="preserve"> generation is allocated to either the </w:t>
      </w:r>
      <w:r w:rsidRPr="00261B7A">
        <w:rPr>
          <w:i/>
          <w:lang w:eastAsia="en-GB"/>
        </w:rPr>
        <w:t>Public electricity and heat production</w:t>
      </w:r>
      <w:r w:rsidRPr="00261B7A">
        <w:rPr>
          <w:lang w:eastAsia="en-GB"/>
        </w:rPr>
        <w:t xml:space="preserve"> category or the sector in which the associated plant operates, using the decision tree shown in figure</w:t>
      </w:r>
      <w:r w:rsidRPr="00261B7A">
        <w:t xml:space="preserve"> 3.3.7</w:t>
      </w:r>
      <w:r w:rsidRPr="00261B7A">
        <w:rPr>
          <w:lang w:eastAsia="en-GB"/>
        </w:rPr>
        <w:t xml:space="preserve">. </w:t>
      </w:r>
    </w:p>
    <w:p w14:paraId="1E575363" w14:textId="77777777" w:rsidR="009F5DA6" w:rsidRPr="00261B7A" w:rsidRDefault="009F5DA6" w:rsidP="004C583E">
      <w:pPr>
        <w:pStyle w:val="Heading4"/>
      </w:pPr>
      <w:r w:rsidRPr="00261B7A">
        <w:t>Uncertainties and time-series consistency</w:t>
      </w:r>
    </w:p>
    <w:p w14:paraId="1726C905" w14:textId="77777777" w:rsidR="009F5DA6" w:rsidRPr="00261B7A" w:rsidRDefault="009F5DA6" w:rsidP="009F5DA6">
      <w:pPr>
        <w:pStyle w:val="BodyText"/>
        <w:rPr>
          <w:lang w:eastAsia="en-GB"/>
        </w:rPr>
      </w:pPr>
      <w:r w:rsidRPr="00261B7A">
        <w:rPr>
          <w:lang w:eastAsia="en-GB"/>
        </w:rPr>
        <w:t>Uncertainties in emission and activity data estimates are those relevant to the entire Energy sector (annex 4, sections A4.1, A4.2 and A4.3).</w:t>
      </w:r>
    </w:p>
    <w:p w14:paraId="45FA864E" w14:textId="77777777" w:rsidR="009F5DA6" w:rsidRPr="00261B7A" w:rsidRDefault="009F5DA6" w:rsidP="004C583E">
      <w:pPr>
        <w:pStyle w:val="Heading4"/>
      </w:pPr>
      <w:r w:rsidRPr="00261B7A">
        <w:t>Source-specific QA/QC and verification</w:t>
      </w:r>
    </w:p>
    <w:p w14:paraId="36FF2EBC" w14:textId="77777777" w:rsidR="009F5DA6" w:rsidRPr="00261B7A" w:rsidRDefault="009F5DA6" w:rsidP="009F5DA6">
      <w:pPr>
        <w:pStyle w:val="BodyText"/>
        <w:rPr>
          <w:lang w:eastAsia="en-GB"/>
        </w:rPr>
      </w:pPr>
      <w:r w:rsidRPr="00261B7A">
        <w:rPr>
          <w:lang w:eastAsia="en-GB"/>
        </w:rPr>
        <w:t xml:space="preserve">In the preparation of this inventory, the </w:t>
      </w:r>
      <w:r w:rsidRPr="00261B7A">
        <w:rPr>
          <w:i/>
          <w:lang w:eastAsia="en-GB"/>
        </w:rPr>
        <w:t>Manufacturing industries and construction</w:t>
      </w:r>
      <w:r w:rsidRPr="00261B7A">
        <w:rPr>
          <w:lang w:eastAsia="en-GB"/>
        </w:rPr>
        <w:t xml:space="preserve"> category underwent Tier 1 quality-assurance and quality-control checks, as recommended in the 2006 IPCC Guidelines. These include regular control sums </w:t>
      </w:r>
      <w:r w:rsidRPr="00261B7A">
        <w:t>throughout</w:t>
      </w:r>
      <w:r w:rsidRPr="00261B7A">
        <w:rPr>
          <w:lang w:eastAsia="en-GB"/>
        </w:rPr>
        <w:t xml:space="preserve"> systems, to verify system integrity, and time-series consistency checks.</w:t>
      </w:r>
    </w:p>
    <w:p w14:paraId="76B0B850" w14:textId="77777777" w:rsidR="009F5DA6" w:rsidRPr="00261B7A" w:rsidRDefault="009F5DA6" w:rsidP="004C583E">
      <w:pPr>
        <w:pStyle w:val="Heading4"/>
      </w:pPr>
      <w:r w:rsidRPr="00261B7A">
        <w:t>Source-specific improvements</w:t>
      </w:r>
    </w:p>
    <w:p w14:paraId="749BC2FB" w14:textId="77777777" w:rsidR="009F5DA6" w:rsidRPr="00261B7A" w:rsidRDefault="009F5DA6" w:rsidP="009F5DA6">
      <w:pPr>
        <w:pStyle w:val="BodyText"/>
        <w:rPr>
          <w:lang w:eastAsia="en-GB"/>
        </w:rPr>
      </w:pPr>
      <w:r w:rsidRPr="00261B7A">
        <w:rPr>
          <w:lang w:eastAsia="en-GB"/>
        </w:rPr>
        <w:t xml:space="preserve">A new fuel type, tyre-derived fuel, has been included under </w:t>
      </w:r>
      <w:r w:rsidRPr="00261B7A">
        <w:rPr>
          <w:i/>
          <w:iCs/>
          <w:lang w:eastAsia="en-GB"/>
        </w:rPr>
        <w:t>Other fossil fuels</w:t>
      </w:r>
      <w:r w:rsidRPr="00261B7A">
        <w:rPr>
          <w:lang w:eastAsia="en-GB"/>
        </w:rPr>
        <w:t>. A Tier 2 methodology was used to estimate CO</w:t>
      </w:r>
      <w:r w:rsidRPr="00261B7A">
        <w:rPr>
          <w:vertAlign w:val="subscript"/>
          <w:lang w:eastAsia="en-GB"/>
        </w:rPr>
        <w:t>2</w:t>
      </w:r>
      <w:r w:rsidRPr="00261B7A">
        <w:rPr>
          <w:lang w:eastAsia="en-GB"/>
        </w:rPr>
        <w:t xml:space="preserve"> emissions based on an emission factor of 1,668 kilograms of </w:t>
      </w:r>
      <w:r w:rsidRPr="00261B7A">
        <w:rPr>
          <w:rFonts w:cs="Arial"/>
        </w:rPr>
        <w:t>CO</w:t>
      </w:r>
      <w:r w:rsidRPr="00261B7A">
        <w:rPr>
          <w:rFonts w:cs="Arial"/>
          <w:vertAlign w:val="subscript"/>
        </w:rPr>
        <w:t>2</w:t>
      </w:r>
      <w:r w:rsidRPr="00261B7A">
        <w:rPr>
          <w:rFonts w:cs="Arial"/>
        </w:rPr>
        <w:t xml:space="preserve"> per tonne (the Annex I average), while Tier 1 </w:t>
      </w:r>
      <w:r w:rsidRPr="00261B7A">
        <w:rPr>
          <w:lang w:eastAsia="en-GB"/>
        </w:rPr>
        <w:t>methodologies were used for CH</w:t>
      </w:r>
      <w:r w:rsidRPr="00261B7A">
        <w:rPr>
          <w:vertAlign w:val="subscript"/>
          <w:lang w:eastAsia="en-GB"/>
        </w:rPr>
        <w:t>4</w:t>
      </w:r>
      <w:r w:rsidRPr="00261B7A">
        <w:rPr>
          <w:lang w:eastAsia="en-GB"/>
        </w:rPr>
        <w:t xml:space="preserve"> and N</w:t>
      </w:r>
      <w:r w:rsidRPr="00261B7A">
        <w:rPr>
          <w:vertAlign w:val="subscript"/>
          <w:lang w:eastAsia="en-GB"/>
        </w:rPr>
        <w:t>2</w:t>
      </w:r>
      <w:r w:rsidRPr="00261B7A">
        <w:rPr>
          <w:lang w:eastAsia="en-GB"/>
        </w:rPr>
        <w:t>O based on IPCC 2006 default emission factors for industrial wastes.</w:t>
      </w:r>
    </w:p>
    <w:p w14:paraId="16940302" w14:textId="77777777" w:rsidR="009F5DA6" w:rsidRPr="00261B7A" w:rsidRDefault="009F5DA6" w:rsidP="004C583E">
      <w:pPr>
        <w:pStyle w:val="Heading4"/>
      </w:pPr>
      <w:r w:rsidRPr="00261B7A">
        <w:t>Source-specific recalculations</w:t>
      </w:r>
    </w:p>
    <w:p w14:paraId="474425E3" w14:textId="77777777" w:rsidR="009F5DA6" w:rsidRPr="00261B7A" w:rsidRDefault="009F5DA6" w:rsidP="009F5DA6">
      <w:pPr>
        <w:pStyle w:val="BodyText"/>
        <w:rPr>
          <w:lang w:eastAsia="en-GB"/>
        </w:rPr>
      </w:pPr>
      <w:r w:rsidRPr="00261B7A">
        <w:rPr>
          <w:lang w:eastAsia="en-GB"/>
        </w:rPr>
        <w:t>Some historical energy demand data have been revised due to revisions in data provided by companies. This has resulted in minor revisions in activity data and corresponding emissions for some years.</w:t>
      </w:r>
    </w:p>
    <w:p w14:paraId="1C6E5E38" w14:textId="77777777" w:rsidR="009F5DA6" w:rsidRPr="00261B7A" w:rsidRDefault="009F5DA6" w:rsidP="0034058F">
      <w:pPr>
        <w:pStyle w:val="Heading3"/>
      </w:pPr>
      <w:r w:rsidRPr="00261B7A">
        <w:t>3.3.8</w:t>
      </w:r>
      <w:r w:rsidRPr="00261B7A">
        <w:tab/>
        <w:t>Fuel combustion: Transport (CRF 1.A.3)</w:t>
      </w:r>
    </w:p>
    <w:p w14:paraId="51213B45" w14:textId="77777777" w:rsidR="009F5DA6" w:rsidRPr="00261B7A" w:rsidRDefault="009F5DA6" w:rsidP="004C583E">
      <w:pPr>
        <w:pStyle w:val="Heading4"/>
      </w:pPr>
      <w:r w:rsidRPr="00261B7A">
        <w:t>Description</w:t>
      </w:r>
    </w:p>
    <w:p w14:paraId="02EBB75D" w14:textId="77777777" w:rsidR="009F5DA6" w:rsidRPr="00261B7A" w:rsidRDefault="009F5DA6" w:rsidP="009F5DA6">
      <w:pPr>
        <w:pStyle w:val="BodyText"/>
        <w:rPr>
          <w:lang w:eastAsia="en-GB"/>
        </w:rPr>
      </w:pPr>
      <w:r w:rsidRPr="00261B7A">
        <w:rPr>
          <w:lang w:eastAsia="en-GB"/>
        </w:rPr>
        <w:t xml:space="preserve">This category includes emissions from fuels </w:t>
      </w:r>
      <w:r w:rsidRPr="00261B7A">
        <w:t>combusted</w:t>
      </w:r>
      <w:r w:rsidRPr="00261B7A">
        <w:rPr>
          <w:lang w:eastAsia="en-GB"/>
        </w:rPr>
        <w:t xml:space="preserve"> during domestic transportation, such as civil aviation, road, rail and domestic marine transport. Emissions from international marine and aviation bunkers are reported as memo items and are not included in New Zealand’s total emissions.</w:t>
      </w:r>
    </w:p>
    <w:p w14:paraId="27E6107A"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In </w:t>
      </w:r>
      <w:r w:rsidRPr="00261B7A">
        <w:rPr>
          <w:rFonts w:cs="Calibri"/>
        </w:rPr>
        <w:t>2021</w:t>
      </w:r>
      <w:r w:rsidRPr="00261B7A">
        <w:rPr>
          <w:rFonts w:cs="Calibri"/>
          <w:lang w:eastAsia="en-GB"/>
        </w:rPr>
        <w:t xml:space="preserve">, category 1.A.3 </w:t>
      </w:r>
      <w:r w:rsidRPr="00261B7A">
        <w:rPr>
          <w:rFonts w:cs="Calibri"/>
          <w:i/>
          <w:lang w:eastAsia="en-GB"/>
        </w:rPr>
        <w:t>Transport</w:t>
      </w:r>
      <w:r w:rsidRPr="00261B7A">
        <w:rPr>
          <w:rFonts w:cs="Calibri"/>
          <w:lang w:eastAsia="en-GB"/>
        </w:rPr>
        <w:t xml:space="preserve"> was responsible for 13,856.0</w:t>
      </w:r>
      <w:r w:rsidRPr="00261B7A">
        <w:rPr>
          <w:rFonts w:cs="Calibri"/>
        </w:rPr>
        <w:t xml:space="preserve"> </w:t>
      </w:r>
      <w:r w:rsidRPr="00261B7A">
        <w:rPr>
          <w:rFonts w:cs="Calibri"/>
          <w:lang w:eastAsia="en-GB"/>
        </w:rPr>
        <w:t>kt CO</w:t>
      </w:r>
      <w:r w:rsidRPr="00261B7A">
        <w:rPr>
          <w:rFonts w:cs="Calibri"/>
          <w:vertAlign w:val="subscript"/>
          <w:lang w:eastAsia="en-GB"/>
        </w:rPr>
        <w:t>2</w:t>
      </w:r>
      <w:r w:rsidRPr="00261B7A">
        <w:rPr>
          <w:rFonts w:cs="Calibri"/>
          <w:lang w:eastAsia="en-GB"/>
        </w:rPr>
        <w:t xml:space="preserve">-e (44.4 </w:t>
      </w:r>
      <w:r w:rsidRPr="00261B7A">
        <w:rPr>
          <w:rFonts w:cs="Calibri"/>
        </w:rPr>
        <w:t>per cent</w:t>
      </w:r>
      <w:r w:rsidRPr="00261B7A">
        <w:rPr>
          <w:rFonts w:cs="Calibri"/>
          <w:lang w:eastAsia="en-GB"/>
        </w:rPr>
        <w:t xml:space="preserve"> of emissions from the Energy sector). Emissions in 2021 were 5,729.8</w:t>
      </w:r>
      <w:r w:rsidRPr="00261B7A">
        <w:rPr>
          <w:rFonts w:cs="Calibri"/>
        </w:rPr>
        <w:t xml:space="preserve"> </w:t>
      </w:r>
      <w:r w:rsidRPr="00261B7A">
        <w:rPr>
          <w:rFonts w:cs="Calibri"/>
          <w:lang w:eastAsia="en-GB"/>
        </w:rPr>
        <w:t>kt CO</w:t>
      </w:r>
      <w:r w:rsidRPr="00261B7A">
        <w:rPr>
          <w:rFonts w:cs="Calibri"/>
          <w:vertAlign w:val="subscript"/>
          <w:lang w:eastAsia="en-GB"/>
        </w:rPr>
        <w:t>2</w:t>
      </w:r>
      <w:r w:rsidRPr="00261B7A">
        <w:rPr>
          <w:rFonts w:cs="Calibri"/>
          <w:lang w:eastAsia="en-GB"/>
        </w:rPr>
        <w:t>-e (70.5</w:t>
      </w:r>
      <w:r w:rsidRPr="00261B7A">
        <w:rPr>
          <w:rFonts w:cs="Calibri"/>
        </w:rPr>
        <w:t xml:space="preserve"> per cent</w:t>
      </w:r>
      <w:r w:rsidRPr="00261B7A">
        <w:rPr>
          <w:rFonts w:cs="Calibri"/>
          <w:lang w:eastAsia="en-GB"/>
        </w:rPr>
        <w:t xml:space="preserve">) higher than the </w:t>
      </w:r>
      <w:r w:rsidRPr="00261B7A">
        <w:rPr>
          <w:rFonts w:cs="Calibri"/>
        </w:rPr>
        <w:t xml:space="preserve">8,126.2 </w:t>
      </w:r>
      <w:r w:rsidRPr="00261B7A">
        <w:rPr>
          <w:rFonts w:cs="Calibri"/>
          <w:lang w:eastAsia="en-GB"/>
        </w:rPr>
        <w:t>kt CO</w:t>
      </w:r>
      <w:r w:rsidRPr="00261B7A">
        <w:rPr>
          <w:rFonts w:cs="Calibri"/>
          <w:vertAlign w:val="subscript"/>
          <w:lang w:eastAsia="en-GB"/>
        </w:rPr>
        <w:t>2</w:t>
      </w:r>
      <w:r w:rsidRPr="00261B7A">
        <w:rPr>
          <w:rFonts w:cs="Calibri"/>
          <w:lang w:eastAsia="en-GB"/>
        </w:rPr>
        <w:t xml:space="preserve">-e emitted from the transport sector in 1990. The transport emissions profile in </w:t>
      </w:r>
      <w:r w:rsidRPr="00261B7A">
        <w:rPr>
          <w:rFonts w:cs="Calibri"/>
        </w:rPr>
        <w:t>2021</w:t>
      </w:r>
      <w:r w:rsidRPr="00261B7A">
        <w:rPr>
          <w:rFonts w:cs="Calibri"/>
          <w:lang w:eastAsia="en-GB"/>
        </w:rPr>
        <w:t xml:space="preserve"> was dominated by emissions from category 1.A.3.b </w:t>
      </w:r>
      <w:r w:rsidRPr="00261B7A">
        <w:rPr>
          <w:rFonts w:cs="Calibri"/>
          <w:i/>
          <w:lang w:eastAsia="en-GB"/>
        </w:rPr>
        <w:t>Road transportation</w:t>
      </w:r>
      <w:r w:rsidRPr="00261B7A">
        <w:rPr>
          <w:rFonts w:cs="Calibri"/>
          <w:lang w:eastAsia="en-GB"/>
        </w:rPr>
        <w:t xml:space="preserve">. In </w:t>
      </w:r>
      <w:r w:rsidRPr="00261B7A">
        <w:rPr>
          <w:rFonts w:cs="Calibri"/>
        </w:rPr>
        <w:t>2021</w:t>
      </w:r>
      <w:r w:rsidRPr="00261B7A">
        <w:rPr>
          <w:rFonts w:cs="Calibri"/>
          <w:lang w:eastAsia="en-GB"/>
        </w:rPr>
        <w:t>, road transport accounted for 12,654.9</w:t>
      </w:r>
      <w:r w:rsidRPr="00261B7A">
        <w:rPr>
          <w:rFonts w:cs="Calibri"/>
        </w:rPr>
        <w:t> </w:t>
      </w:r>
      <w:r w:rsidRPr="00261B7A">
        <w:rPr>
          <w:rFonts w:cs="Calibri"/>
          <w:lang w:eastAsia="en-GB"/>
        </w:rPr>
        <w:t>kt CO</w:t>
      </w:r>
      <w:r w:rsidRPr="00261B7A">
        <w:rPr>
          <w:rFonts w:cs="Calibri"/>
          <w:vertAlign w:val="subscript"/>
          <w:lang w:eastAsia="en-GB"/>
        </w:rPr>
        <w:t>2</w:t>
      </w:r>
      <w:r w:rsidRPr="00261B7A">
        <w:rPr>
          <w:rFonts w:cs="Calibri"/>
          <w:lang w:eastAsia="en-GB"/>
        </w:rPr>
        <w:t>-e (</w:t>
      </w:r>
      <w:r w:rsidRPr="00261B7A">
        <w:rPr>
          <w:rFonts w:cs="Calibri"/>
        </w:rPr>
        <w:t>91.3 per cent</w:t>
      </w:r>
      <w:r w:rsidRPr="00261B7A">
        <w:rPr>
          <w:rFonts w:cs="Calibri"/>
          <w:lang w:eastAsia="en-GB"/>
        </w:rPr>
        <w:t xml:space="preserve">) of total transport emissions. This is </w:t>
      </w:r>
      <w:r w:rsidRPr="00261B7A">
        <w:rPr>
          <w:rFonts w:cs="Calibri"/>
        </w:rPr>
        <w:t xml:space="preserve">5,825.8 </w:t>
      </w:r>
      <w:r w:rsidRPr="00261B7A">
        <w:rPr>
          <w:rFonts w:cs="Calibri"/>
          <w:lang w:eastAsia="en-GB"/>
        </w:rPr>
        <w:t>kt CO</w:t>
      </w:r>
      <w:r w:rsidRPr="00261B7A">
        <w:rPr>
          <w:rFonts w:cs="Calibri"/>
          <w:vertAlign w:val="subscript"/>
          <w:lang w:eastAsia="en-GB"/>
        </w:rPr>
        <w:t>2</w:t>
      </w:r>
      <w:r w:rsidRPr="00261B7A">
        <w:rPr>
          <w:rFonts w:cs="Calibri"/>
          <w:lang w:eastAsia="en-GB"/>
        </w:rPr>
        <w:t>-e (</w:t>
      </w:r>
      <w:r w:rsidRPr="00261B7A">
        <w:rPr>
          <w:rFonts w:cs="Calibri"/>
        </w:rPr>
        <w:t>85.3 per cent</w:t>
      </w:r>
      <w:r w:rsidRPr="00261B7A">
        <w:rPr>
          <w:rFonts w:cs="Calibri"/>
          <w:lang w:eastAsia="en-GB"/>
        </w:rPr>
        <w:t xml:space="preserve">) higher than the 1990 level of </w:t>
      </w:r>
      <w:r w:rsidRPr="00261B7A">
        <w:rPr>
          <w:rFonts w:cs="Calibri"/>
        </w:rPr>
        <w:t xml:space="preserve">6,829.1 </w:t>
      </w:r>
      <w:r w:rsidRPr="00261B7A">
        <w:rPr>
          <w:rFonts w:cs="Calibri"/>
          <w:lang w:eastAsia="en-GB"/>
        </w:rPr>
        <w:t>kt CO</w:t>
      </w:r>
      <w:r w:rsidRPr="00261B7A">
        <w:rPr>
          <w:rFonts w:cs="Calibri"/>
          <w:vertAlign w:val="subscript"/>
          <w:lang w:eastAsia="en-GB"/>
        </w:rPr>
        <w:t>2</w:t>
      </w:r>
      <w:r w:rsidRPr="00261B7A">
        <w:rPr>
          <w:rFonts w:cs="Calibri"/>
          <w:lang w:eastAsia="en-GB"/>
        </w:rPr>
        <w:t xml:space="preserve">-e. </w:t>
      </w:r>
    </w:p>
    <w:p w14:paraId="4012D9CF" w14:textId="77777777" w:rsidR="009F5DA6" w:rsidRPr="00261B7A" w:rsidRDefault="009F5DA6" w:rsidP="004C583E">
      <w:pPr>
        <w:pStyle w:val="Heading4"/>
      </w:pPr>
      <w:r w:rsidRPr="00261B7A">
        <w:t>Changes in emissions between 2020 and 2021</w:t>
      </w:r>
    </w:p>
    <w:p w14:paraId="2E3AC19A"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Between </w:t>
      </w:r>
      <w:r w:rsidRPr="00261B7A">
        <w:rPr>
          <w:rFonts w:cs="Calibri"/>
        </w:rPr>
        <w:t>2020</w:t>
      </w:r>
      <w:r w:rsidRPr="00261B7A">
        <w:rPr>
          <w:rFonts w:cs="Calibri"/>
          <w:lang w:eastAsia="en-GB"/>
        </w:rPr>
        <w:t xml:space="preserve"> and </w:t>
      </w:r>
      <w:r w:rsidRPr="00261B7A">
        <w:rPr>
          <w:rFonts w:cs="Calibri"/>
        </w:rPr>
        <w:t>2021</w:t>
      </w:r>
      <w:r w:rsidRPr="00261B7A">
        <w:rPr>
          <w:rFonts w:cs="Calibri"/>
          <w:lang w:eastAsia="en-GB"/>
        </w:rPr>
        <w:t>, emissions from transport increased by 654.1</w:t>
      </w:r>
      <w:r w:rsidRPr="00261B7A">
        <w:rPr>
          <w:rFonts w:cs="Calibri"/>
        </w:rPr>
        <w:t xml:space="preserve"> </w:t>
      </w:r>
      <w:r w:rsidRPr="00261B7A">
        <w:rPr>
          <w:rFonts w:cs="Calibri"/>
          <w:lang w:eastAsia="en-GB"/>
        </w:rPr>
        <w:t>kt CO</w:t>
      </w:r>
      <w:r w:rsidRPr="00261B7A">
        <w:rPr>
          <w:rFonts w:cs="Calibri"/>
          <w:vertAlign w:val="subscript"/>
          <w:lang w:eastAsia="en-GB"/>
        </w:rPr>
        <w:t>2</w:t>
      </w:r>
      <w:r w:rsidRPr="00261B7A">
        <w:rPr>
          <w:rFonts w:cs="Calibri"/>
          <w:lang w:eastAsia="en-GB"/>
        </w:rPr>
        <w:t>-e (</w:t>
      </w:r>
      <w:r w:rsidRPr="00261B7A">
        <w:rPr>
          <w:rFonts w:cs="Calibri"/>
        </w:rPr>
        <w:t>5.0 per cent</w:t>
      </w:r>
      <w:r w:rsidRPr="00261B7A">
        <w:rPr>
          <w:rFonts w:cs="Calibri"/>
          <w:lang w:eastAsia="en-GB"/>
        </w:rPr>
        <w:t>). This increase was a rebound from the suppressed activity during 2020 due to COVID-19 restrictions.</w:t>
      </w:r>
      <w:r w:rsidRPr="00261B7A" w:rsidDel="004B2054">
        <w:rPr>
          <w:rFonts w:cs="Calibri"/>
          <w:lang w:eastAsia="en-GB"/>
        </w:rPr>
        <w:t xml:space="preserve"> </w:t>
      </w:r>
    </w:p>
    <w:p w14:paraId="1F21FDE6" w14:textId="77777777" w:rsidR="009F5DA6" w:rsidRPr="00261B7A" w:rsidRDefault="009F5DA6" w:rsidP="009F5DA6">
      <w:pPr>
        <w:pStyle w:val="BodyText"/>
        <w:spacing w:before="100"/>
        <w:rPr>
          <w:rFonts w:cs="Calibri"/>
        </w:rPr>
      </w:pPr>
      <w:r w:rsidRPr="00261B7A">
        <w:rPr>
          <w:rFonts w:cs="Calibri"/>
        </w:rPr>
        <w:t xml:space="preserve">Key categories identified in the 2021 level and trend assessment for the </w:t>
      </w:r>
      <w:r w:rsidRPr="00261B7A">
        <w:rPr>
          <w:rFonts w:cs="Calibri"/>
          <w:i/>
          <w:lang w:eastAsia="en-GB"/>
        </w:rPr>
        <w:t>Transport</w:t>
      </w:r>
      <w:r w:rsidRPr="00261B7A">
        <w:rPr>
          <w:rFonts w:cs="Calibri"/>
        </w:rPr>
        <w:t xml:space="preserve"> category are given in table 3.3.6.</w:t>
      </w:r>
    </w:p>
    <w:p w14:paraId="761628EF" w14:textId="77777777" w:rsidR="009F5DA6" w:rsidRPr="00261B7A" w:rsidRDefault="009F5DA6" w:rsidP="009F5DA6">
      <w:pPr>
        <w:pStyle w:val="Table"/>
      </w:pPr>
      <w:bookmarkStart w:id="376" w:name="_Toc68786410"/>
      <w:bookmarkStart w:id="377" w:name="_Toc131591323"/>
      <w:r w:rsidRPr="00261B7A">
        <w:t>Table 3.3.6</w:t>
      </w:r>
      <w:r w:rsidRPr="00261B7A">
        <w:tab/>
        <w:t xml:space="preserve">Key categories for 1.A.3 </w:t>
      </w:r>
      <w:r w:rsidRPr="00261B7A">
        <w:rPr>
          <w:i/>
          <w:iCs/>
        </w:rPr>
        <w:t>Transport</w:t>
      </w:r>
      <w:bookmarkEnd w:id="376"/>
      <w:bookmarkEnd w:id="377"/>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3769"/>
        <w:gridCol w:w="1660"/>
        <w:gridCol w:w="1509"/>
        <w:gridCol w:w="1567"/>
      </w:tblGrid>
      <w:tr w:rsidR="009F5DA6" w:rsidRPr="00261B7A" w14:paraId="76B19B82" w14:textId="77777777" w:rsidTr="00D41492">
        <w:trPr>
          <w:cantSplit/>
          <w:tblHeader/>
        </w:trPr>
        <w:tc>
          <w:tcPr>
            <w:tcW w:w="2216" w:type="pct"/>
            <w:shd w:val="clear" w:color="auto" w:fill="1B556B"/>
            <w:noWrap/>
            <w:vAlign w:val="bottom"/>
            <w:hideMark/>
          </w:tcPr>
          <w:p w14:paraId="4B2D447F" w14:textId="77777777" w:rsidR="009F5DA6" w:rsidRPr="00261B7A" w:rsidRDefault="009F5DA6" w:rsidP="00D41492">
            <w:pPr>
              <w:pStyle w:val="TableTextBold"/>
              <w:spacing w:before="40" w:after="40"/>
              <w:rPr>
                <w:rFonts w:cs="Calibri"/>
                <w:noProof w:val="0"/>
                <w:color w:val="FFFFFF"/>
              </w:rPr>
            </w:pPr>
          </w:p>
        </w:tc>
        <w:tc>
          <w:tcPr>
            <w:tcW w:w="976" w:type="pct"/>
            <w:shd w:val="clear" w:color="auto" w:fill="1B556B"/>
            <w:noWrap/>
            <w:vAlign w:val="bottom"/>
            <w:hideMark/>
          </w:tcPr>
          <w:p w14:paraId="22A996BA" w14:textId="77777777" w:rsidR="009F5DA6" w:rsidRPr="00261B7A" w:rsidRDefault="009F5DA6" w:rsidP="00D41492">
            <w:pPr>
              <w:pStyle w:val="TableTextBold"/>
              <w:spacing w:before="40" w:after="40"/>
              <w:rPr>
                <w:rFonts w:cs="Calibri"/>
                <w:noProof w:val="0"/>
                <w:color w:val="FFFFFF"/>
              </w:rPr>
            </w:pPr>
            <w:r w:rsidRPr="00261B7A">
              <w:rPr>
                <w:rFonts w:cs="Calibri"/>
                <w:noProof w:val="0"/>
                <w:color w:val="FFFFFF"/>
              </w:rPr>
              <w:t>Liquid fuels</w:t>
            </w:r>
          </w:p>
        </w:tc>
        <w:tc>
          <w:tcPr>
            <w:tcW w:w="887" w:type="pct"/>
            <w:shd w:val="clear" w:color="auto" w:fill="1B556B"/>
            <w:vAlign w:val="bottom"/>
            <w:hideMark/>
          </w:tcPr>
          <w:p w14:paraId="5F082833" w14:textId="77777777" w:rsidR="009F5DA6" w:rsidRPr="00261B7A" w:rsidRDefault="009F5DA6" w:rsidP="00D41492">
            <w:pPr>
              <w:pStyle w:val="TableTextBold"/>
              <w:spacing w:before="40" w:after="40"/>
              <w:rPr>
                <w:rFonts w:cs="Calibri"/>
                <w:noProof w:val="0"/>
                <w:color w:val="FFFFFF"/>
              </w:rPr>
            </w:pPr>
            <w:r w:rsidRPr="00261B7A">
              <w:rPr>
                <w:rFonts w:cs="Calibri"/>
                <w:noProof w:val="0"/>
                <w:color w:val="FFFFFF"/>
              </w:rPr>
              <w:t>Solid fuels</w:t>
            </w:r>
          </w:p>
        </w:tc>
        <w:tc>
          <w:tcPr>
            <w:tcW w:w="921" w:type="pct"/>
            <w:shd w:val="clear" w:color="auto" w:fill="1B556B"/>
            <w:vAlign w:val="bottom"/>
            <w:hideMark/>
          </w:tcPr>
          <w:p w14:paraId="56FB0312" w14:textId="77777777" w:rsidR="009F5DA6" w:rsidRPr="00261B7A" w:rsidRDefault="009F5DA6" w:rsidP="00D41492">
            <w:pPr>
              <w:pStyle w:val="TableTextBold"/>
              <w:spacing w:before="40" w:after="40"/>
              <w:rPr>
                <w:rFonts w:cs="Calibri"/>
                <w:noProof w:val="0"/>
                <w:color w:val="FFFFFF"/>
              </w:rPr>
            </w:pPr>
            <w:r w:rsidRPr="00261B7A">
              <w:rPr>
                <w:rFonts w:cs="Calibri"/>
                <w:noProof w:val="0"/>
                <w:color w:val="FFFFFF"/>
              </w:rPr>
              <w:t>Gaseous fuels</w:t>
            </w:r>
          </w:p>
        </w:tc>
      </w:tr>
      <w:tr w:rsidR="009F5DA6" w:rsidRPr="00261B7A" w14:paraId="321450D5" w14:textId="77777777" w:rsidTr="00D41492">
        <w:trPr>
          <w:cantSplit/>
        </w:trPr>
        <w:tc>
          <w:tcPr>
            <w:tcW w:w="2216" w:type="pct"/>
            <w:shd w:val="clear" w:color="auto" w:fill="auto"/>
            <w:noWrap/>
            <w:hideMark/>
          </w:tcPr>
          <w:p w14:paraId="16A7BF7E" w14:textId="77777777" w:rsidR="009F5DA6" w:rsidRPr="00261B7A" w:rsidRDefault="009F5DA6" w:rsidP="00D41492">
            <w:pPr>
              <w:pStyle w:val="TableText"/>
              <w:spacing w:before="40" w:after="40"/>
              <w:rPr>
                <w:rFonts w:cs="Calibri"/>
              </w:rPr>
            </w:pPr>
            <w:r w:rsidRPr="00261B7A">
              <w:rPr>
                <w:rFonts w:cs="Calibri"/>
              </w:rPr>
              <w:t>Domestic aviation – CO</w:t>
            </w:r>
            <w:r w:rsidRPr="00261B7A">
              <w:rPr>
                <w:rFonts w:cs="Calibri"/>
                <w:vertAlign w:val="subscript"/>
              </w:rPr>
              <w:t>2</w:t>
            </w:r>
          </w:p>
        </w:tc>
        <w:tc>
          <w:tcPr>
            <w:tcW w:w="976" w:type="pct"/>
            <w:shd w:val="clear" w:color="auto" w:fill="auto"/>
            <w:noWrap/>
            <w:hideMark/>
          </w:tcPr>
          <w:p w14:paraId="3C6A0297" w14:textId="77777777" w:rsidR="009F5DA6" w:rsidRPr="00261B7A" w:rsidRDefault="009F5DA6" w:rsidP="00D41492">
            <w:pPr>
              <w:pStyle w:val="TableText"/>
              <w:spacing w:before="40" w:after="40"/>
              <w:rPr>
                <w:rFonts w:cs="Calibri"/>
              </w:rPr>
            </w:pPr>
            <w:r w:rsidRPr="00261B7A">
              <w:rPr>
                <w:rFonts w:cs="Calibri"/>
              </w:rPr>
              <w:t>Level, trend</w:t>
            </w:r>
          </w:p>
        </w:tc>
        <w:tc>
          <w:tcPr>
            <w:tcW w:w="887" w:type="pct"/>
            <w:shd w:val="clear" w:color="auto" w:fill="auto"/>
            <w:noWrap/>
            <w:hideMark/>
          </w:tcPr>
          <w:p w14:paraId="49F22F13" w14:textId="77777777" w:rsidR="009F5DA6" w:rsidRPr="00261B7A" w:rsidRDefault="009F5DA6" w:rsidP="00D41492">
            <w:pPr>
              <w:pStyle w:val="TableText"/>
              <w:spacing w:before="40" w:after="40"/>
              <w:rPr>
                <w:rFonts w:cs="Calibri"/>
              </w:rPr>
            </w:pPr>
          </w:p>
        </w:tc>
        <w:tc>
          <w:tcPr>
            <w:tcW w:w="921" w:type="pct"/>
            <w:shd w:val="clear" w:color="auto" w:fill="auto"/>
            <w:noWrap/>
            <w:hideMark/>
          </w:tcPr>
          <w:p w14:paraId="6B04CC08" w14:textId="77777777" w:rsidR="009F5DA6" w:rsidRPr="00261B7A" w:rsidRDefault="009F5DA6" w:rsidP="00D41492">
            <w:pPr>
              <w:pStyle w:val="TableText"/>
              <w:spacing w:before="40" w:after="40"/>
              <w:rPr>
                <w:rFonts w:cs="Calibri"/>
              </w:rPr>
            </w:pPr>
          </w:p>
        </w:tc>
      </w:tr>
      <w:tr w:rsidR="009F5DA6" w:rsidRPr="00261B7A" w14:paraId="13BB7384" w14:textId="77777777" w:rsidTr="00D41492">
        <w:trPr>
          <w:cantSplit/>
        </w:trPr>
        <w:tc>
          <w:tcPr>
            <w:tcW w:w="2216" w:type="pct"/>
            <w:shd w:val="clear" w:color="auto" w:fill="auto"/>
            <w:noWrap/>
            <w:hideMark/>
          </w:tcPr>
          <w:p w14:paraId="506DD405" w14:textId="77777777" w:rsidR="009F5DA6" w:rsidRPr="00261B7A" w:rsidRDefault="009F5DA6" w:rsidP="00D41492">
            <w:pPr>
              <w:pStyle w:val="TableText"/>
              <w:spacing w:before="40" w:after="40"/>
              <w:rPr>
                <w:rFonts w:cs="Calibri"/>
              </w:rPr>
            </w:pPr>
            <w:r w:rsidRPr="00261B7A">
              <w:rPr>
                <w:rFonts w:cs="Calibri"/>
              </w:rPr>
              <w:t>Road transportation – CO</w:t>
            </w:r>
            <w:r w:rsidRPr="00261B7A">
              <w:rPr>
                <w:rFonts w:cs="Calibri"/>
                <w:vertAlign w:val="subscript"/>
              </w:rPr>
              <w:t>2</w:t>
            </w:r>
          </w:p>
        </w:tc>
        <w:tc>
          <w:tcPr>
            <w:tcW w:w="976" w:type="pct"/>
            <w:shd w:val="clear" w:color="auto" w:fill="auto"/>
            <w:noWrap/>
            <w:hideMark/>
          </w:tcPr>
          <w:p w14:paraId="206B9916" w14:textId="77777777" w:rsidR="009F5DA6" w:rsidRPr="00261B7A" w:rsidRDefault="009F5DA6" w:rsidP="00D41492">
            <w:pPr>
              <w:pStyle w:val="TableText"/>
              <w:spacing w:before="40" w:after="40"/>
              <w:rPr>
                <w:rFonts w:cs="Calibri"/>
              </w:rPr>
            </w:pPr>
            <w:r w:rsidRPr="00261B7A">
              <w:rPr>
                <w:rFonts w:cs="Calibri"/>
              </w:rPr>
              <w:t>Level, trend</w:t>
            </w:r>
          </w:p>
        </w:tc>
        <w:tc>
          <w:tcPr>
            <w:tcW w:w="887" w:type="pct"/>
            <w:shd w:val="clear" w:color="auto" w:fill="auto"/>
            <w:noWrap/>
          </w:tcPr>
          <w:p w14:paraId="5ADCAF97" w14:textId="77777777" w:rsidR="009F5DA6" w:rsidRPr="00261B7A" w:rsidRDefault="009F5DA6" w:rsidP="00D41492">
            <w:pPr>
              <w:pStyle w:val="TableText"/>
              <w:spacing w:before="40" w:after="40"/>
              <w:jc w:val="center"/>
              <w:rPr>
                <w:rFonts w:cs="Calibri"/>
              </w:rPr>
            </w:pPr>
          </w:p>
        </w:tc>
        <w:tc>
          <w:tcPr>
            <w:tcW w:w="921" w:type="pct"/>
            <w:shd w:val="clear" w:color="auto" w:fill="auto"/>
            <w:noWrap/>
            <w:hideMark/>
          </w:tcPr>
          <w:p w14:paraId="5F492273" w14:textId="77777777" w:rsidR="009F5DA6" w:rsidRPr="00261B7A" w:rsidRDefault="009F5DA6" w:rsidP="00D41492">
            <w:pPr>
              <w:pStyle w:val="TableText"/>
              <w:spacing w:before="40" w:after="40"/>
              <w:rPr>
                <w:rFonts w:cs="Calibri"/>
              </w:rPr>
            </w:pPr>
            <w:r w:rsidRPr="00261B7A">
              <w:rPr>
                <w:rFonts w:cs="Calibri"/>
              </w:rPr>
              <w:t>Trend</w:t>
            </w:r>
          </w:p>
        </w:tc>
      </w:tr>
      <w:tr w:rsidR="009F5DA6" w:rsidRPr="00261B7A" w14:paraId="7803E969" w14:textId="77777777" w:rsidTr="00D41492">
        <w:trPr>
          <w:cantSplit/>
        </w:trPr>
        <w:tc>
          <w:tcPr>
            <w:tcW w:w="2216" w:type="pct"/>
            <w:shd w:val="clear" w:color="auto" w:fill="auto"/>
            <w:noWrap/>
          </w:tcPr>
          <w:p w14:paraId="194B4B59" w14:textId="77777777" w:rsidR="009F5DA6" w:rsidRPr="00261B7A" w:rsidRDefault="009F5DA6" w:rsidP="00D41492">
            <w:pPr>
              <w:pStyle w:val="TableText"/>
              <w:spacing w:before="40" w:after="40"/>
              <w:rPr>
                <w:rFonts w:cs="Calibri"/>
              </w:rPr>
            </w:pPr>
            <w:r w:rsidRPr="00261B7A">
              <w:rPr>
                <w:rFonts w:cs="Calibri"/>
              </w:rPr>
              <w:t>Domestic navigation – CO</w:t>
            </w:r>
            <w:r w:rsidRPr="00261B7A">
              <w:rPr>
                <w:rFonts w:cs="Calibri"/>
                <w:vertAlign w:val="subscript"/>
              </w:rPr>
              <w:t>2</w:t>
            </w:r>
          </w:p>
        </w:tc>
        <w:tc>
          <w:tcPr>
            <w:tcW w:w="976" w:type="pct"/>
            <w:shd w:val="clear" w:color="auto" w:fill="auto"/>
            <w:noWrap/>
          </w:tcPr>
          <w:p w14:paraId="7896583D" w14:textId="77777777" w:rsidR="009F5DA6" w:rsidRPr="00261B7A" w:rsidRDefault="009F5DA6" w:rsidP="00D41492">
            <w:pPr>
              <w:pStyle w:val="TableText"/>
              <w:spacing w:before="40" w:after="40"/>
              <w:rPr>
                <w:rFonts w:cs="Calibri"/>
              </w:rPr>
            </w:pPr>
            <w:r w:rsidRPr="00261B7A">
              <w:rPr>
                <w:rFonts w:cs="Calibri"/>
              </w:rPr>
              <w:t>Level</w:t>
            </w:r>
          </w:p>
        </w:tc>
        <w:tc>
          <w:tcPr>
            <w:tcW w:w="887" w:type="pct"/>
            <w:shd w:val="clear" w:color="auto" w:fill="auto"/>
            <w:noWrap/>
          </w:tcPr>
          <w:p w14:paraId="3AC4243B" w14:textId="77777777" w:rsidR="009F5DA6" w:rsidRPr="00261B7A" w:rsidRDefault="009F5DA6" w:rsidP="00D41492">
            <w:pPr>
              <w:pStyle w:val="TableText"/>
              <w:spacing w:before="40" w:after="40"/>
              <w:jc w:val="center"/>
              <w:rPr>
                <w:rFonts w:cs="Calibri"/>
              </w:rPr>
            </w:pPr>
          </w:p>
        </w:tc>
        <w:tc>
          <w:tcPr>
            <w:tcW w:w="921" w:type="pct"/>
            <w:shd w:val="clear" w:color="auto" w:fill="auto"/>
            <w:noWrap/>
          </w:tcPr>
          <w:p w14:paraId="11AEBFE2" w14:textId="77777777" w:rsidR="009F5DA6" w:rsidRPr="00261B7A" w:rsidRDefault="009F5DA6" w:rsidP="00D41492">
            <w:pPr>
              <w:pStyle w:val="TableText"/>
              <w:spacing w:before="40" w:after="40"/>
              <w:rPr>
                <w:rFonts w:cs="Calibri"/>
              </w:rPr>
            </w:pPr>
          </w:p>
        </w:tc>
      </w:tr>
    </w:tbl>
    <w:p w14:paraId="491E56B5" w14:textId="77777777" w:rsidR="009F5DA6" w:rsidRPr="00261B7A" w:rsidRDefault="009F5DA6" w:rsidP="008D6896">
      <w:pPr>
        <w:pStyle w:val="Heading4"/>
        <w:spacing w:before="360"/>
      </w:pPr>
      <w:r w:rsidRPr="00261B7A">
        <w:t>Methodological issues</w:t>
      </w:r>
    </w:p>
    <w:p w14:paraId="2BF13772" w14:textId="77777777" w:rsidR="009F5DA6" w:rsidRPr="00261B7A" w:rsidRDefault="009F5DA6" w:rsidP="009F5DA6">
      <w:pPr>
        <w:pStyle w:val="Heading5"/>
        <w:spacing w:before="120"/>
        <w:rPr>
          <w:rFonts w:cs="Calibri"/>
        </w:rPr>
      </w:pPr>
      <w:r w:rsidRPr="00261B7A">
        <w:rPr>
          <w:rFonts w:cs="Calibri"/>
          <w:lang w:eastAsia="en-GB"/>
        </w:rPr>
        <w:t xml:space="preserve">1.A.3.a </w:t>
      </w:r>
      <w:r w:rsidRPr="00261B7A">
        <w:rPr>
          <w:rFonts w:cs="Calibri"/>
        </w:rPr>
        <w:t>Civil</w:t>
      </w:r>
      <w:r w:rsidRPr="00261B7A">
        <w:rPr>
          <w:rFonts w:cs="Calibri"/>
          <w:lang w:eastAsia="en-GB"/>
        </w:rPr>
        <w:t xml:space="preserve"> aviation</w:t>
      </w:r>
    </w:p>
    <w:p w14:paraId="5FE8D426"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A Tier 1 approach (IPCC, 2006) that does not use landing and take-off cycles has been taken to estimate emissions from the </w:t>
      </w:r>
      <w:r w:rsidRPr="00261B7A">
        <w:rPr>
          <w:rFonts w:cs="Calibri"/>
          <w:i/>
          <w:lang w:eastAsia="en-GB"/>
        </w:rPr>
        <w:t>Civil aviation</w:t>
      </w:r>
      <w:r w:rsidRPr="00261B7A">
        <w:rPr>
          <w:rFonts w:cs="Calibri"/>
          <w:lang w:eastAsia="en-GB"/>
        </w:rPr>
        <w:t xml:space="preserve"> category. Given the uncertainty surrounding </w:t>
      </w:r>
      <w:r w:rsidRPr="00261B7A">
        <w:rPr>
          <w:rFonts w:cs="Calibri"/>
        </w:rPr>
        <w:t>CH</w:t>
      </w:r>
      <w:r w:rsidRPr="00261B7A">
        <w:rPr>
          <w:rFonts w:cs="Calibri"/>
          <w:vertAlign w:val="subscript"/>
        </w:rPr>
        <w:t>4</w:t>
      </w:r>
      <w:r w:rsidRPr="00261B7A">
        <w:rPr>
          <w:rFonts w:cs="Calibri"/>
          <w:lang w:eastAsia="en-GB"/>
        </w:rPr>
        <w:t xml:space="preserve"> and </w:t>
      </w:r>
      <w:r w:rsidRPr="00261B7A">
        <w:rPr>
          <w:rFonts w:cs="Calibri"/>
        </w:rPr>
        <w:t>N</w:t>
      </w:r>
      <w:r w:rsidRPr="00261B7A">
        <w:rPr>
          <w:rFonts w:cs="Calibri"/>
          <w:vertAlign w:val="subscript"/>
        </w:rPr>
        <w:t>2</w:t>
      </w:r>
      <w:r w:rsidRPr="00261B7A">
        <w:rPr>
          <w:rFonts w:cs="Calibri"/>
        </w:rPr>
        <w:t>O</w:t>
      </w:r>
      <w:r w:rsidRPr="00261B7A">
        <w:rPr>
          <w:rFonts w:cs="Calibri"/>
          <w:lang w:eastAsia="en-GB"/>
        </w:rPr>
        <w:t xml:space="preserve"> emission factors for landing and take-off cycles, a Tier 2 approach to estimating non-CO</w:t>
      </w:r>
      <w:r w:rsidRPr="00261B7A">
        <w:rPr>
          <w:rFonts w:cs="Calibri"/>
          <w:vertAlign w:val="subscript"/>
          <w:lang w:eastAsia="en-GB"/>
        </w:rPr>
        <w:t>2</w:t>
      </w:r>
      <w:r w:rsidRPr="00261B7A">
        <w:rPr>
          <w:rFonts w:cs="Calibri"/>
          <w:lang w:eastAsia="en-GB"/>
        </w:rPr>
        <w:t xml:space="preserve"> emissions would not necessarily reduce uncertainty (IPCC, 2006).</w:t>
      </w:r>
    </w:p>
    <w:p w14:paraId="021F9771" w14:textId="77777777" w:rsidR="009F5DA6" w:rsidRPr="00261B7A" w:rsidRDefault="009F5DA6" w:rsidP="009F5DA6">
      <w:pPr>
        <w:pStyle w:val="Heading5"/>
        <w:rPr>
          <w:rFonts w:cs="Calibri"/>
          <w:lang w:eastAsia="en-GB"/>
        </w:rPr>
      </w:pPr>
      <w:r w:rsidRPr="00261B7A">
        <w:rPr>
          <w:rFonts w:cs="Calibri"/>
          <w:szCs w:val="22"/>
        </w:rPr>
        <w:t xml:space="preserve">1.A.3.b </w:t>
      </w:r>
      <w:r w:rsidRPr="00261B7A">
        <w:rPr>
          <w:rFonts w:cs="Calibri"/>
          <w:lang w:eastAsia="en-GB"/>
        </w:rPr>
        <w:t xml:space="preserve">Road </w:t>
      </w:r>
      <w:r w:rsidRPr="00261B7A">
        <w:rPr>
          <w:rFonts w:cs="Calibri"/>
        </w:rPr>
        <w:t>transportation</w:t>
      </w:r>
    </w:p>
    <w:p w14:paraId="1101712B"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The IPCC 2006 Tier 2 approach was used to calculate </w:t>
      </w:r>
      <w:r w:rsidRPr="00261B7A">
        <w:rPr>
          <w:rFonts w:cs="Calibri"/>
        </w:rPr>
        <w:t>CO</w:t>
      </w:r>
      <w:r w:rsidRPr="00261B7A">
        <w:rPr>
          <w:rFonts w:cs="Calibri"/>
          <w:vertAlign w:val="subscript"/>
        </w:rPr>
        <w:t>2</w:t>
      </w:r>
      <w:r w:rsidRPr="00261B7A">
        <w:rPr>
          <w:rFonts w:cs="Calibri"/>
          <w:sz w:val="14"/>
          <w:szCs w:val="14"/>
          <w:lang w:eastAsia="en-GB"/>
        </w:rPr>
        <w:t xml:space="preserve"> </w:t>
      </w:r>
      <w:r w:rsidRPr="00261B7A">
        <w:rPr>
          <w:rFonts w:cs="Calibri"/>
          <w:lang w:eastAsia="en-GB"/>
        </w:rPr>
        <w:t xml:space="preserve">emissions from </w:t>
      </w:r>
      <w:r w:rsidRPr="00261B7A">
        <w:rPr>
          <w:rFonts w:cs="Calibri"/>
          <w:i/>
          <w:lang w:eastAsia="en-GB"/>
        </w:rPr>
        <w:t>Road transportation</w:t>
      </w:r>
      <w:r w:rsidRPr="00261B7A">
        <w:rPr>
          <w:rFonts w:cs="Calibri"/>
          <w:lang w:eastAsia="en-GB"/>
        </w:rPr>
        <w:t xml:space="preserve"> using New Zealand-specific emission factors. The emission factors were calculated using data provided by New Zealand’s sole oil refinery for oil products and the weighted average emission factor of New Zealand </w:t>
      </w:r>
      <w:r w:rsidRPr="00261B7A">
        <w:rPr>
          <w:rFonts w:cs="Calibri"/>
        </w:rPr>
        <w:t xml:space="preserve">natural </w:t>
      </w:r>
      <w:r w:rsidRPr="00261B7A">
        <w:rPr>
          <w:rFonts w:cs="Calibri"/>
          <w:lang w:eastAsia="en-GB"/>
        </w:rPr>
        <w:t xml:space="preserve">gas fields for compressed natural gas (CNG). </w:t>
      </w:r>
    </w:p>
    <w:p w14:paraId="7F5F2B0D"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Since the 2012 submission, New Zealand has used a Tier 3 (IPCC, 2006) methodology to estimate </w:t>
      </w:r>
      <w:r w:rsidRPr="00261B7A">
        <w:rPr>
          <w:rFonts w:cs="Calibri"/>
        </w:rPr>
        <w:t>CH</w:t>
      </w:r>
      <w:r w:rsidRPr="00261B7A">
        <w:rPr>
          <w:rFonts w:cs="Calibri"/>
          <w:vertAlign w:val="subscript"/>
        </w:rPr>
        <w:t>4</w:t>
      </w:r>
      <w:r w:rsidRPr="00261B7A">
        <w:rPr>
          <w:rFonts w:cs="Calibri"/>
          <w:lang w:eastAsia="en-GB"/>
        </w:rPr>
        <w:t xml:space="preserve"> and </w:t>
      </w:r>
      <w:r w:rsidRPr="00261B7A">
        <w:rPr>
          <w:rFonts w:cs="Calibri"/>
        </w:rPr>
        <w:t>N</w:t>
      </w:r>
      <w:r w:rsidRPr="00261B7A">
        <w:rPr>
          <w:rFonts w:cs="Calibri"/>
          <w:vertAlign w:val="subscript"/>
        </w:rPr>
        <w:t>2</w:t>
      </w:r>
      <w:r w:rsidRPr="00261B7A">
        <w:rPr>
          <w:rFonts w:cs="Calibri"/>
        </w:rPr>
        <w:t>O</w:t>
      </w:r>
      <w:r w:rsidRPr="00261B7A">
        <w:rPr>
          <w:rFonts w:cs="Calibri"/>
          <w:lang w:eastAsia="en-GB"/>
        </w:rPr>
        <w:t xml:space="preserve"> emissions from road transport. </w:t>
      </w:r>
      <w:r w:rsidRPr="00261B7A">
        <w:rPr>
          <w:rFonts w:cs="Calibri"/>
        </w:rPr>
        <w:t>Information on non-CO</w:t>
      </w:r>
      <w:r w:rsidRPr="00261B7A">
        <w:rPr>
          <w:rFonts w:cs="Calibri"/>
          <w:vertAlign w:val="subscript"/>
        </w:rPr>
        <w:t>2</w:t>
      </w:r>
      <w:r w:rsidRPr="00261B7A">
        <w:rPr>
          <w:rFonts w:cs="Calibri"/>
        </w:rPr>
        <w:t xml:space="preserve"> emission factors can be found in annex 4, table A4.7.</w:t>
      </w:r>
    </w:p>
    <w:p w14:paraId="01039DEB" w14:textId="77777777" w:rsidR="009F5DA6" w:rsidRPr="00261B7A" w:rsidRDefault="009F5DA6" w:rsidP="009F5DA6">
      <w:pPr>
        <w:pStyle w:val="BodyText"/>
        <w:spacing w:before="100" w:after="100"/>
        <w:rPr>
          <w:rFonts w:cs="Calibri"/>
          <w:lang w:eastAsia="en-GB"/>
        </w:rPr>
      </w:pPr>
      <w:r w:rsidRPr="00261B7A">
        <w:rPr>
          <w:rFonts w:cs="Calibri"/>
          <w:lang w:eastAsia="en-GB"/>
        </w:rPr>
        <w:t>Data collected by New Zealand’s Ministry of Transport provide comprehensive information on vehicle-kilometres-travelled by vehicle class and fuel type from 2001 to 20</w:t>
      </w:r>
      <w:r w:rsidRPr="00261B7A">
        <w:rPr>
          <w:rFonts w:cs="Calibri"/>
        </w:rPr>
        <w:t>16</w:t>
      </w:r>
      <w:r w:rsidRPr="00261B7A">
        <w:rPr>
          <w:rFonts w:cs="Calibri"/>
          <w:lang w:eastAsia="en-GB"/>
        </w:rPr>
        <w:t xml:space="preserve">. </w:t>
      </w:r>
      <w:r w:rsidRPr="00261B7A">
        <w:rPr>
          <w:rFonts w:cs="Calibri"/>
        </w:rPr>
        <w:t xml:space="preserve">Vehicle-kilometres-travelled were sourced from national six-monthly warrant of fitness inspections. </w:t>
      </w:r>
      <w:r w:rsidRPr="00261B7A">
        <w:rPr>
          <w:rFonts w:cs="Calibri"/>
          <w:spacing w:val="-2"/>
        </w:rPr>
        <w:t>These were further split into travel type (urban, rural, highway, motorway) using New Zealand’s</w:t>
      </w:r>
      <w:r w:rsidRPr="00261B7A">
        <w:rPr>
          <w:rFonts w:cs="Calibri"/>
        </w:rPr>
        <w:t xml:space="preserve"> Road Assessment and Maintenance Management system. The New Zealand Travel Survey (Ministry of Transport, 2010) is used to further split the ‘urban’ travel type into cold and hot starts. This survey provides detailed trip-by-trip information on travel type. These data were used to establish the percentage of light-vehicle urban travel that comprise cold and hot starts. </w:t>
      </w:r>
      <w:r w:rsidRPr="00261B7A">
        <w:rPr>
          <w:rFonts w:cs="Calibri"/>
          <w:lang w:eastAsia="en-GB"/>
        </w:rPr>
        <w:t>Before 2001, insufficient data were available, so good practice guidance was used in choosing the splicing method to ensure timeseries consistency (splicing refers to the technique where different methods are combined to form a complete time series).</w:t>
      </w:r>
    </w:p>
    <w:p w14:paraId="02CDEE28" w14:textId="77777777" w:rsidR="009F5DA6" w:rsidRPr="00261B7A" w:rsidRDefault="009F5DA6" w:rsidP="009F5DA6">
      <w:pPr>
        <w:pStyle w:val="BodyText"/>
      </w:pPr>
      <w:r w:rsidRPr="00261B7A">
        <w:t>The current New Zealand vehicle fleet is split relatively evenly between vehicles:</w:t>
      </w:r>
    </w:p>
    <w:p w14:paraId="31362756" w14:textId="77777777" w:rsidR="009F5DA6" w:rsidRPr="00261B7A" w:rsidRDefault="009F5DA6" w:rsidP="009F5DA6">
      <w:pPr>
        <w:pStyle w:val="Bullet"/>
      </w:pPr>
      <w:r w:rsidRPr="00261B7A">
        <w:t>manufactured in New Zealand</w:t>
      </w:r>
      <w:r w:rsidRPr="00261B7A">
        <w:rPr>
          <w:vertAlign w:val="superscript"/>
        </w:rPr>
        <w:footnoteReference w:id="33"/>
      </w:r>
      <w:r w:rsidRPr="00261B7A">
        <w:t xml:space="preserve"> or imported for sale as new vehicles</w:t>
      </w:r>
    </w:p>
    <w:p w14:paraId="058FD311" w14:textId="77777777" w:rsidR="009F5DA6" w:rsidRPr="00261B7A" w:rsidRDefault="009F5DA6" w:rsidP="009F5DA6">
      <w:pPr>
        <w:pStyle w:val="Bullet"/>
      </w:pPr>
      <w:r w:rsidRPr="00261B7A">
        <w:t>produced and used in Japan and then imported into New Zealand.</w:t>
      </w:r>
    </w:p>
    <w:p w14:paraId="79A0DC92" w14:textId="77777777" w:rsidR="009F5DA6" w:rsidRPr="00261B7A" w:rsidRDefault="009F5DA6" w:rsidP="009F5DA6">
      <w:pPr>
        <w:pStyle w:val="BodyText"/>
      </w:pPr>
      <w:r w:rsidRPr="00261B7A">
        <w:t>This split has been relatively constant for the past nine years.</w:t>
      </w:r>
    </w:p>
    <w:p w14:paraId="2B3AC7BC" w14:textId="77777777" w:rsidR="009F5DA6" w:rsidRPr="00261B7A" w:rsidRDefault="009F5DA6" w:rsidP="009F5DA6">
      <w:pPr>
        <w:pStyle w:val="BodyText"/>
      </w:pPr>
      <w:r w:rsidRPr="00261B7A">
        <w:t>For this reason, when estimating emissions from road transport, the New Zealand vehicle fleet (and associated CH</w:t>
      </w:r>
      <w:r w:rsidRPr="00261B7A">
        <w:rPr>
          <w:vertAlign w:val="subscript"/>
        </w:rPr>
        <w:t>4</w:t>
      </w:r>
      <w:r w:rsidRPr="00261B7A">
        <w:t xml:space="preserve"> and N</w:t>
      </w:r>
      <w:r w:rsidRPr="00261B7A">
        <w:rPr>
          <w:vertAlign w:val="subscript"/>
        </w:rPr>
        <w:t>2</w:t>
      </w:r>
      <w:r w:rsidRPr="00261B7A">
        <w:t xml:space="preserve">O emissions) is split into sub-fleets: the ‘new vehicle fleet’ and the ‘used vehicle fleet’. This allocation is based on a vehicle’s year of manufacture rather than when it is first added to the New Zealand fleet. </w:t>
      </w:r>
    </w:p>
    <w:p w14:paraId="090D4EBE" w14:textId="77777777" w:rsidR="009F5DA6" w:rsidRPr="00261B7A" w:rsidRDefault="009F5DA6" w:rsidP="009F5DA6">
      <w:pPr>
        <w:pStyle w:val="BodyText"/>
      </w:pPr>
      <w:r w:rsidRPr="00261B7A">
        <w:t>New vehicles are allocated an appropriate vehicle class from the COPERT 4 model (European Environment Agency, 2007), and used Japanese vehicles are allocated emission factors as per categories from the Japanese Ministry of the Environment. These emission factors are broken down by:</w:t>
      </w:r>
    </w:p>
    <w:p w14:paraId="5E928186" w14:textId="77777777" w:rsidR="009F5DA6" w:rsidRPr="00261B7A" w:rsidRDefault="009F5DA6" w:rsidP="009F5DA6">
      <w:pPr>
        <w:pStyle w:val="Bullet"/>
      </w:pPr>
      <w:r w:rsidRPr="00261B7A">
        <w:t>vehicle type</w:t>
      </w:r>
    </w:p>
    <w:p w14:paraId="357FDBDB" w14:textId="77777777" w:rsidR="009F5DA6" w:rsidRPr="00261B7A" w:rsidRDefault="009F5DA6" w:rsidP="009F5DA6">
      <w:pPr>
        <w:pStyle w:val="Bullet"/>
      </w:pPr>
      <w:r w:rsidRPr="00261B7A">
        <w:t xml:space="preserve">fuel type </w:t>
      </w:r>
    </w:p>
    <w:p w14:paraId="052222CD" w14:textId="77777777" w:rsidR="009F5DA6" w:rsidRPr="00261B7A" w:rsidRDefault="009F5DA6" w:rsidP="009F5DA6">
      <w:pPr>
        <w:pStyle w:val="Bullet"/>
      </w:pPr>
      <w:r w:rsidRPr="00261B7A">
        <w:t xml:space="preserve">vehicle weight class </w:t>
      </w:r>
    </w:p>
    <w:p w14:paraId="099DB578" w14:textId="77777777" w:rsidR="009F5DA6" w:rsidRPr="00261B7A" w:rsidRDefault="009F5DA6" w:rsidP="009F5DA6">
      <w:pPr>
        <w:pStyle w:val="Bullet"/>
      </w:pPr>
      <w:r w:rsidRPr="00261B7A">
        <w:t>year of manufacture.</w:t>
      </w:r>
    </w:p>
    <w:p w14:paraId="02476968" w14:textId="77777777" w:rsidR="009F5DA6" w:rsidRPr="00261B7A" w:rsidRDefault="009F5DA6" w:rsidP="009F5DA6">
      <w:pPr>
        <w:pStyle w:val="BodyText"/>
        <w:rPr>
          <w:rFonts w:cs="Calibri"/>
        </w:rPr>
      </w:pPr>
      <w:r w:rsidRPr="00261B7A">
        <w:rPr>
          <w:rFonts w:cs="Calibri"/>
        </w:rPr>
        <w:t xml:space="preserve">Due to the presence of expensive catalysts, many used vehicles imported into New Zealand had their catalytic converters removed before being exported from Japan. The Ministry of Transport undertook several testing studies to determine the proportion of catalytic converters that are removed in Japan before export. </w:t>
      </w:r>
    </w:p>
    <w:p w14:paraId="08A35FB9" w14:textId="77777777" w:rsidR="009F5DA6" w:rsidRPr="00261B7A" w:rsidRDefault="009F5DA6" w:rsidP="009F5DA6">
      <w:pPr>
        <w:pStyle w:val="BodyText"/>
        <w:rPr>
          <w:rFonts w:cs="Calibri"/>
        </w:rPr>
      </w:pPr>
      <w:r w:rsidRPr="00261B7A">
        <w:rPr>
          <w:rFonts w:cs="Calibri"/>
          <w:lang w:eastAsia="en-GB"/>
        </w:rPr>
        <w:t xml:space="preserve">MBIE </w:t>
      </w:r>
      <w:r w:rsidRPr="00261B7A">
        <w:rPr>
          <w:rFonts w:cs="Calibri"/>
        </w:rPr>
        <w:t>and the Ministry for the Environment met with the Australian inventory reporting team in July 2011 to conduct a review of proposed methodologies for calculating emissions of CH</w:t>
      </w:r>
      <w:r w:rsidRPr="00261B7A">
        <w:rPr>
          <w:rFonts w:cs="Calibri"/>
          <w:vertAlign w:val="subscript"/>
        </w:rPr>
        <w:t>4</w:t>
      </w:r>
      <w:r w:rsidRPr="00261B7A">
        <w:rPr>
          <w:rFonts w:cs="Calibri"/>
        </w:rPr>
        <w:t xml:space="preserve"> and N</w:t>
      </w:r>
      <w:r w:rsidRPr="00261B7A">
        <w:rPr>
          <w:rFonts w:cs="Calibri"/>
          <w:vertAlign w:val="subscript"/>
        </w:rPr>
        <w:t>2</w:t>
      </w:r>
      <w:r w:rsidRPr="00261B7A">
        <w:rPr>
          <w:rFonts w:cs="Calibri"/>
        </w:rPr>
        <w:t xml:space="preserve">O associated with road transport. New Zealand’s Tier 3 approach for road transport was presented, resulting in a recommendation from the Australian team that the new methodology be adopted for the 2012 submission, and that New Zealand use the IPCC-recommended approach to selecting splicing techniques to choose an appropriate splicing method. In this, New Zealand applied splicing techniques following the 2006 IPCC Guidelines on the method selection approach. </w:t>
      </w:r>
    </w:p>
    <w:p w14:paraId="7E9C04BD" w14:textId="77777777" w:rsidR="009F5DA6" w:rsidRPr="00261B7A" w:rsidRDefault="009F5DA6" w:rsidP="009F5DA6">
      <w:pPr>
        <w:pStyle w:val="BodyText"/>
        <w:rPr>
          <w:lang w:eastAsia="en-US"/>
        </w:rPr>
      </w:pPr>
      <w:r w:rsidRPr="00261B7A">
        <w:rPr>
          <w:lang w:eastAsia="en-GB"/>
        </w:rPr>
        <w:t>For the 2018 submission, the Ministry of Transport implemented several improvements for its estimates of non-CO</w:t>
      </w:r>
      <w:r w:rsidRPr="00261B7A">
        <w:rPr>
          <w:vertAlign w:val="subscript"/>
          <w:lang w:eastAsia="en-GB"/>
        </w:rPr>
        <w:t>2</w:t>
      </w:r>
      <w:r w:rsidRPr="00261B7A">
        <w:rPr>
          <w:lang w:eastAsia="en-GB"/>
        </w:rPr>
        <w:t xml:space="preserve"> emissions from road transport. First, new emission factors for Euro 5 and 6 vehicles have been used, where previously these vehicles were treated as Euro 4/IV. Second, t</w:t>
      </w:r>
      <w:r w:rsidRPr="00261B7A">
        <w:t xml:space="preserve">he European Monitoring and Evaluation Programme/European Environment Agency emission inventory guidebook was updated in late 2016 (European Environment Agency, 2016). Some of the emission factors for Euro 4 and earlier vehicles were also updated in this version of the guidebook. Moreover, detailed emission factors were provided for heavy-duty trucks in different gross vehicle mass bands. </w:t>
      </w:r>
    </w:p>
    <w:p w14:paraId="426EB0E6" w14:textId="77777777" w:rsidR="009F5DA6" w:rsidRPr="00261B7A" w:rsidRDefault="009F5DA6" w:rsidP="00CE2D16">
      <w:pPr>
        <w:pStyle w:val="Heading6"/>
      </w:pPr>
      <w:r w:rsidRPr="00261B7A">
        <w:t>Time-series consistency</w:t>
      </w:r>
    </w:p>
    <w:p w14:paraId="2B8547FD" w14:textId="77777777" w:rsidR="009F5DA6" w:rsidRPr="00261B7A" w:rsidRDefault="009F5DA6" w:rsidP="009F5DA6">
      <w:pPr>
        <w:pStyle w:val="BodyText"/>
        <w:rPr>
          <w:rFonts w:cs="Calibri"/>
          <w:lang w:eastAsia="en-GB"/>
        </w:rPr>
      </w:pPr>
      <w:bookmarkStart w:id="378" w:name="_Toc321399334"/>
      <w:r w:rsidRPr="00261B7A">
        <w:rPr>
          <w:rFonts w:cs="Calibri"/>
          <w:lang w:eastAsia="en-GB"/>
        </w:rPr>
        <w:t xml:space="preserve">Insufficient data exist to apply the Tier 3 methodology between 1990 and 2000, so we have </w:t>
      </w:r>
      <w:r w:rsidRPr="00261B7A">
        <w:rPr>
          <w:rFonts w:cs="Calibri"/>
          <w:spacing w:val="-2"/>
          <w:lang w:eastAsia="en-GB"/>
        </w:rPr>
        <w:t>combined methods to form a complete time series (splicing). To establish the most appropriate</w:t>
      </w:r>
      <w:r w:rsidRPr="00261B7A">
        <w:rPr>
          <w:rFonts w:cs="Calibri"/>
          <w:lang w:eastAsia="en-GB"/>
        </w:rPr>
        <w:t xml:space="preserve"> splicing method, emissions were calculated using the Tier 1 methodology for the period 2001 </w:t>
      </w:r>
      <w:r w:rsidRPr="00261B7A">
        <w:rPr>
          <w:rFonts w:cs="Calibri"/>
          <w:spacing w:val="-2"/>
          <w:lang w:eastAsia="en-GB"/>
        </w:rPr>
        <w:t>to 2016. These emissions were compared against those calculated using the Tier 3 methodolog</w:t>
      </w:r>
      <w:r w:rsidRPr="00261B7A">
        <w:rPr>
          <w:rFonts w:cs="Calibri"/>
          <w:lang w:eastAsia="en-GB"/>
        </w:rPr>
        <w:t xml:space="preserve">y, to determine the relationship between the two series (see </w:t>
      </w:r>
      <w:r w:rsidRPr="00261B7A">
        <w:rPr>
          <w:rFonts w:cs="Calibri"/>
        </w:rPr>
        <w:t>figure 3.3.11</w:t>
      </w:r>
      <w:r w:rsidRPr="00261B7A">
        <w:rPr>
          <w:rFonts w:cs="Calibri"/>
          <w:lang w:eastAsia="en-GB"/>
        </w:rPr>
        <w:t xml:space="preserve">). The guidance for the method selection process is provided in table 5.1 (volume 2) of the 2006 IPCC Guidelines. </w:t>
      </w:r>
    </w:p>
    <w:p w14:paraId="332785FC" w14:textId="3C631F5B" w:rsidR="009F5DA6" w:rsidRPr="00261B7A" w:rsidRDefault="009F5DA6" w:rsidP="009F5DA6">
      <w:pPr>
        <w:pStyle w:val="Figure"/>
        <w:rPr>
          <w:rFonts w:cs="Calibri"/>
        </w:rPr>
      </w:pPr>
      <w:bookmarkStart w:id="379" w:name="_Ref442370701"/>
      <w:bookmarkStart w:id="380" w:name="_Toc384582863"/>
      <w:bookmarkStart w:id="381" w:name="_Toc443060823"/>
      <w:bookmarkStart w:id="382" w:name="_Toc447275680"/>
      <w:bookmarkStart w:id="383" w:name="_Toc481751998"/>
      <w:bookmarkStart w:id="384" w:name="_Toc36292780"/>
      <w:bookmarkStart w:id="385" w:name="_Toc68786645"/>
      <w:bookmarkStart w:id="386" w:name="_Toc95834080"/>
      <w:bookmarkStart w:id="387" w:name="_Toc131591547"/>
      <w:r w:rsidRPr="00261B7A">
        <w:rPr>
          <w:rFonts w:cs="Calibri"/>
        </w:rPr>
        <w:t>Figure 3.3.</w:t>
      </w:r>
      <w:r w:rsidRPr="00261B7A">
        <w:rPr>
          <w:rFonts w:cs="Calibri"/>
        </w:rPr>
        <w:fldChar w:fldCharType="begin"/>
      </w:r>
      <w:r w:rsidRPr="00261B7A">
        <w:rPr>
          <w:rFonts w:cs="Calibri"/>
        </w:rPr>
        <w:instrText xml:space="preserve"> SEQ Figure \* ARABIC \s 2 </w:instrText>
      </w:r>
      <w:r w:rsidRPr="00261B7A">
        <w:rPr>
          <w:rFonts w:cs="Calibri"/>
        </w:rPr>
        <w:fldChar w:fldCharType="separate"/>
      </w:r>
      <w:r w:rsidR="008F39B8">
        <w:rPr>
          <w:rFonts w:cs="Calibri"/>
          <w:noProof/>
        </w:rPr>
        <w:t>11</w:t>
      </w:r>
      <w:r w:rsidRPr="00261B7A">
        <w:rPr>
          <w:rFonts w:cs="Calibri"/>
        </w:rPr>
        <w:fldChar w:fldCharType="end"/>
      </w:r>
      <w:bookmarkEnd w:id="379"/>
      <w:r w:rsidRPr="00261B7A">
        <w:rPr>
          <w:rFonts w:cs="Calibri"/>
          <w:lang w:eastAsia="en-GB"/>
        </w:rPr>
        <w:t xml:space="preserve"> </w:t>
      </w:r>
      <w:r w:rsidRPr="00261B7A">
        <w:rPr>
          <w:rFonts w:cs="Calibri"/>
          <w:lang w:eastAsia="en-GB"/>
        </w:rPr>
        <w:tab/>
        <w:t>Splicing method decision tree for gasoline emissions</w:t>
      </w:r>
      <w:bookmarkEnd w:id="378"/>
      <w:bookmarkEnd w:id="380"/>
      <w:bookmarkEnd w:id="381"/>
      <w:bookmarkEnd w:id="382"/>
      <w:bookmarkEnd w:id="383"/>
      <w:bookmarkEnd w:id="384"/>
      <w:bookmarkEnd w:id="385"/>
      <w:bookmarkEnd w:id="386"/>
      <w:bookmarkEnd w:id="387"/>
    </w:p>
    <w:p w14:paraId="0E4BDC8E" w14:textId="77777777" w:rsidR="009F5DA6" w:rsidRPr="00261B7A" w:rsidRDefault="009F5DA6" w:rsidP="009F5DA6">
      <w:pPr>
        <w:pStyle w:val="BodyText"/>
        <w:spacing w:before="0" w:after="240"/>
        <w:rPr>
          <w:rFonts w:cs="Calibri"/>
        </w:rPr>
      </w:pPr>
      <w:r w:rsidRPr="00261B7A">
        <w:rPr>
          <w:rFonts w:cs="Calibri"/>
        </w:rPr>
        <w:object w:dxaOrig="18690" w:dyaOrig="15625" w14:anchorId="7DE4250E">
          <v:shape id="_x0000_i1028" type="#_x0000_t75" style="width:417.5pt;height:410pt" o:ole="">
            <v:imagedata r:id="rId77" o:title=""/>
          </v:shape>
          <o:OLEObject Type="Embed" ProgID="Visio.Drawing.11" ShapeID="_x0000_i1028" DrawAspect="Content" ObjectID="_1742911567" r:id="rId78"/>
        </w:object>
      </w:r>
    </w:p>
    <w:p w14:paraId="0F58FC6B" w14:textId="77777777" w:rsidR="009F5DA6" w:rsidRPr="00261B7A" w:rsidRDefault="009F5DA6" w:rsidP="009F5DA6">
      <w:pPr>
        <w:pStyle w:val="BodyText"/>
        <w:rPr>
          <w:rFonts w:cs="Calibri"/>
        </w:rPr>
      </w:pPr>
      <w:r w:rsidRPr="00261B7A">
        <w:rPr>
          <w:rFonts w:cs="Calibri"/>
          <w:lang w:eastAsia="en-GB"/>
        </w:rPr>
        <w:t>For all fuels, interpolation was considered inappropriate due to the size of the block of unavailable data and the lack of data from before the missing bloc</w:t>
      </w:r>
      <w:r w:rsidRPr="00261B7A">
        <w:rPr>
          <w:rFonts w:cs="Calibri"/>
        </w:rPr>
        <w:t xml:space="preserve">k (1990–2000). </w:t>
      </w:r>
    </w:p>
    <w:p w14:paraId="63D85DA0" w14:textId="77777777" w:rsidR="009F5DA6" w:rsidRPr="00261B7A" w:rsidRDefault="009F5DA6" w:rsidP="009F5DA6">
      <w:pPr>
        <w:pStyle w:val="BodyText"/>
        <w:rPr>
          <w:rFonts w:cs="Calibri"/>
        </w:rPr>
      </w:pPr>
      <w:r w:rsidRPr="00261B7A">
        <w:rPr>
          <w:rFonts w:cs="Calibri"/>
        </w:rPr>
        <w:t xml:space="preserve">For emissions estimates from </w:t>
      </w:r>
      <w:r w:rsidRPr="00261B7A">
        <w:rPr>
          <w:rFonts w:cs="Calibri"/>
          <w:lang w:eastAsia="en-GB"/>
        </w:rPr>
        <w:t xml:space="preserve">LPG, the relationship between Tier 1 and Tier 3 appears nearly constant for both </w:t>
      </w:r>
      <w:r w:rsidRPr="00261B7A">
        <w:rPr>
          <w:rFonts w:cs="Calibri"/>
        </w:rPr>
        <w:t>N</w:t>
      </w:r>
      <w:r w:rsidRPr="00261B7A">
        <w:rPr>
          <w:rFonts w:cs="Calibri"/>
          <w:vertAlign w:val="subscript"/>
        </w:rPr>
        <w:t>2</w:t>
      </w:r>
      <w:r w:rsidRPr="00261B7A">
        <w:rPr>
          <w:rFonts w:cs="Calibri"/>
        </w:rPr>
        <w:t>O</w:t>
      </w:r>
      <w:r w:rsidRPr="00261B7A">
        <w:rPr>
          <w:rFonts w:cs="Calibri"/>
          <w:lang w:eastAsia="en-GB"/>
        </w:rPr>
        <w:t xml:space="preserve"> and </w:t>
      </w:r>
      <w:r w:rsidRPr="00261B7A">
        <w:rPr>
          <w:rFonts w:cs="Calibri"/>
        </w:rPr>
        <w:t>CH</w:t>
      </w:r>
      <w:r w:rsidRPr="00261B7A">
        <w:rPr>
          <w:rFonts w:cs="Calibri"/>
          <w:vertAlign w:val="subscript"/>
        </w:rPr>
        <w:t>4</w:t>
      </w:r>
      <w:r w:rsidRPr="00261B7A">
        <w:rPr>
          <w:rFonts w:cs="Calibri"/>
          <w:lang w:eastAsia="en-GB"/>
        </w:rPr>
        <w:t xml:space="preserve"> from 2001 until 2002. As a result, the overlap method was used (IPCC, 2006), with:</w:t>
      </w:r>
    </w:p>
    <w:p w14:paraId="7E8CAB46" w14:textId="77777777" w:rsidR="009F5DA6" w:rsidRPr="00261B7A" w:rsidRDefault="007E17B8" w:rsidP="009F5DA6">
      <w:pPr>
        <w:pStyle w:val="BodyText"/>
        <w:spacing w:before="0"/>
        <w:jc w:val="center"/>
        <w:rPr>
          <w:rFonts w:cs="Calibri"/>
          <w:lang w:eastAsia="en-GB"/>
        </w:rPr>
      </w:pPr>
      <m:oMathPara>
        <m:oMath>
          <m:sSub>
            <m:sSubPr>
              <m:ctrlPr>
                <w:rPr>
                  <w:rFonts w:ascii="Cambria Math" w:hAnsi="Cambria Math" w:cs="Calibri"/>
                  <w:i/>
                  <w:iCs/>
                  <w:sz w:val="24"/>
                  <w:lang w:eastAsia="en-GB"/>
                </w:rPr>
              </m:ctrlPr>
            </m:sSubPr>
            <m:e>
              <m:r>
                <w:rPr>
                  <w:rFonts w:ascii="Cambria Math" w:hAnsi="Cambria Math" w:cs="Calibri"/>
                  <w:sz w:val="24"/>
                  <w:lang w:eastAsia="en-GB"/>
                </w:rPr>
                <m:t>y</m:t>
              </m:r>
            </m:e>
            <m:sub>
              <m:r>
                <w:rPr>
                  <w:rFonts w:ascii="Cambria Math" w:hAnsi="Cambria Math" w:cs="Calibri"/>
                  <w:sz w:val="24"/>
                  <w:lang w:eastAsia="en-GB"/>
                </w:rPr>
                <m:t>t</m:t>
              </m:r>
            </m:sub>
          </m:sSub>
          <m:r>
            <w:rPr>
              <w:rFonts w:ascii="Cambria Math" w:hAnsi="Cambria Math" w:cs="Calibri"/>
              <w:sz w:val="24"/>
              <w:lang w:eastAsia="en-GB"/>
            </w:rPr>
            <m:t>=</m:t>
          </m:r>
          <m:sSub>
            <m:sSubPr>
              <m:ctrlPr>
                <w:rPr>
                  <w:rFonts w:ascii="Cambria Math" w:hAnsi="Cambria Math" w:cs="Calibri"/>
                  <w:i/>
                  <w:iCs/>
                  <w:sz w:val="24"/>
                  <w:lang w:eastAsia="en-GB"/>
                </w:rPr>
              </m:ctrlPr>
            </m:sSubPr>
            <m:e>
              <m:r>
                <w:rPr>
                  <w:rFonts w:ascii="Cambria Math" w:hAnsi="Cambria Math" w:cs="Calibri"/>
                  <w:sz w:val="24"/>
                  <w:lang w:eastAsia="en-GB"/>
                </w:rPr>
                <m:t>x</m:t>
              </m:r>
            </m:e>
            <m:sub>
              <m:r>
                <w:rPr>
                  <w:rFonts w:ascii="Cambria Math" w:hAnsi="Cambria Math" w:cs="Calibri"/>
                  <w:sz w:val="24"/>
                  <w:lang w:eastAsia="en-GB"/>
                </w:rPr>
                <m:t>t</m:t>
              </m:r>
            </m:sub>
          </m:sSub>
          <m:d>
            <m:dPr>
              <m:ctrlPr>
                <w:rPr>
                  <w:rFonts w:ascii="Cambria Math" w:hAnsi="Cambria Math" w:cs="Calibri"/>
                  <w:i/>
                  <w:iCs/>
                  <w:sz w:val="24"/>
                  <w:lang w:eastAsia="en-GB"/>
                </w:rPr>
              </m:ctrlPr>
            </m:dPr>
            <m:e>
              <m:nary>
                <m:naryPr>
                  <m:chr m:val="∑"/>
                  <m:limLoc m:val="undOvr"/>
                  <m:ctrlPr>
                    <w:rPr>
                      <w:rFonts w:ascii="Cambria Math" w:hAnsi="Cambria Math" w:cs="Calibri"/>
                      <w:i/>
                      <w:iCs/>
                      <w:sz w:val="24"/>
                      <w:lang w:eastAsia="en-GB"/>
                    </w:rPr>
                  </m:ctrlPr>
                </m:naryPr>
                <m:sub>
                  <m:r>
                    <w:rPr>
                      <w:rFonts w:ascii="Cambria Math" w:hAnsi="Cambria Math" w:cs="Calibri"/>
                      <w:sz w:val="24"/>
                      <w:lang w:eastAsia="en-GB"/>
                    </w:rPr>
                    <m:t>i=m</m:t>
                  </m:r>
                </m:sub>
                <m:sup>
                  <m:r>
                    <w:rPr>
                      <w:rFonts w:ascii="Cambria Math" w:hAnsi="Cambria Math" w:cs="Calibri"/>
                      <w:sz w:val="24"/>
                      <w:lang w:eastAsia="en-GB"/>
                    </w:rPr>
                    <m:t>n</m:t>
                  </m:r>
                </m:sup>
                <m:e>
                  <m:sSub>
                    <m:sSubPr>
                      <m:ctrlPr>
                        <w:rPr>
                          <w:rFonts w:ascii="Cambria Math" w:hAnsi="Cambria Math" w:cs="Calibri"/>
                          <w:i/>
                          <w:iCs/>
                          <w:sz w:val="24"/>
                          <w:lang w:eastAsia="en-GB"/>
                        </w:rPr>
                      </m:ctrlPr>
                    </m:sSubPr>
                    <m:e>
                      <m:r>
                        <w:rPr>
                          <w:rFonts w:ascii="Cambria Math" w:hAnsi="Cambria Math" w:cs="Calibri"/>
                          <w:sz w:val="24"/>
                          <w:lang w:eastAsia="en-GB"/>
                        </w:rPr>
                        <m:t>y</m:t>
                      </m:r>
                    </m:e>
                    <m:sub>
                      <m:r>
                        <w:rPr>
                          <w:rFonts w:ascii="Cambria Math" w:hAnsi="Cambria Math" w:cs="Calibri"/>
                          <w:sz w:val="24"/>
                          <w:lang w:eastAsia="en-GB"/>
                        </w:rPr>
                        <m:t>i</m:t>
                      </m:r>
                    </m:sub>
                  </m:sSub>
                </m:e>
              </m:nary>
              <m:r>
                <w:rPr>
                  <w:rFonts w:ascii="Cambria Math" w:hAnsi="Cambria Math" w:cs="Calibri"/>
                  <w:sz w:val="24"/>
                  <w:lang w:eastAsia="en-GB"/>
                </w:rPr>
                <m:t>/</m:t>
              </m:r>
              <m:nary>
                <m:naryPr>
                  <m:chr m:val="∑"/>
                  <m:limLoc m:val="undOvr"/>
                  <m:ctrlPr>
                    <w:rPr>
                      <w:rFonts w:ascii="Cambria Math" w:hAnsi="Cambria Math" w:cs="Calibri"/>
                      <w:i/>
                      <w:iCs/>
                      <w:sz w:val="24"/>
                      <w:lang w:eastAsia="en-GB"/>
                    </w:rPr>
                  </m:ctrlPr>
                </m:naryPr>
                <m:sub>
                  <m:r>
                    <w:rPr>
                      <w:rFonts w:ascii="Cambria Math" w:hAnsi="Cambria Math" w:cs="Calibri"/>
                      <w:sz w:val="24"/>
                      <w:lang w:eastAsia="en-GB"/>
                    </w:rPr>
                    <m:t>i=m</m:t>
                  </m:r>
                </m:sub>
                <m:sup>
                  <m:r>
                    <w:rPr>
                      <w:rFonts w:ascii="Cambria Math" w:hAnsi="Cambria Math" w:cs="Calibri"/>
                      <w:sz w:val="24"/>
                      <w:lang w:eastAsia="en-GB"/>
                    </w:rPr>
                    <m:t>n</m:t>
                  </m:r>
                </m:sup>
                <m:e>
                  <m:sSub>
                    <m:sSubPr>
                      <m:ctrlPr>
                        <w:rPr>
                          <w:rFonts w:ascii="Cambria Math" w:hAnsi="Cambria Math" w:cs="Calibri"/>
                          <w:i/>
                          <w:iCs/>
                          <w:sz w:val="24"/>
                          <w:lang w:eastAsia="en-GB"/>
                        </w:rPr>
                      </m:ctrlPr>
                    </m:sSubPr>
                    <m:e>
                      <m:r>
                        <w:rPr>
                          <w:rFonts w:ascii="Cambria Math" w:hAnsi="Cambria Math" w:cs="Calibri"/>
                          <w:sz w:val="24"/>
                          <w:lang w:eastAsia="en-GB"/>
                        </w:rPr>
                        <m:t>x</m:t>
                      </m:r>
                    </m:e>
                    <m:sub>
                      <m:r>
                        <w:rPr>
                          <w:rFonts w:ascii="Cambria Math" w:hAnsi="Cambria Math" w:cs="Calibri"/>
                          <w:sz w:val="24"/>
                          <w:lang w:eastAsia="en-GB"/>
                        </w:rPr>
                        <m:t>i</m:t>
                      </m:r>
                    </m:sub>
                  </m:sSub>
                </m:e>
              </m:nary>
            </m:e>
          </m:d>
        </m:oMath>
      </m:oMathPara>
    </w:p>
    <w:p w14:paraId="759388B3" w14:textId="77777777" w:rsidR="009F5DA6" w:rsidRPr="00261B7A" w:rsidRDefault="009F5DA6" w:rsidP="009F5DA6">
      <w:pPr>
        <w:pStyle w:val="BodyText"/>
        <w:spacing w:after="0"/>
        <w:ind w:left="964" w:hanging="964"/>
        <w:rPr>
          <w:rFonts w:cs="Calibri"/>
        </w:rPr>
      </w:pPr>
      <w:r w:rsidRPr="00261B7A">
        <w:rPr>
          <w:rFonts w:cs="Calibri"/>
          <w:lang w:eastAsia="en-GB"/>
        </w:rPr>
        <w:t xml:space="preserve">Where: </w:t>
      </w:r>
      <w:r w:rsidRPr="00261B7A">
        <w:rPr>
          <w:rFonts w:cs="Calibri"/>
          <w:lang w:eastAsia="en-GB"/>
        </w:rPr>
        <w:tab/>
      </w:r>
      <w:r w:rsidRPr="00261B7A">
        <w:rPr>
          <w:rFonts w:cs="Calibri"/>
          <w:i/>
        </w:rPr>
        <w:t>y</w:t>
      </w:r>
      <w:r w:rsidRPr="00261B7A">
        <w:rPr>
          <w:rFonts w:cs="Calibri"/>
          <w:vertAlign w:val="subscript"/>
        </w:rPr>
        <w:t>t</w:t>
      </w:r>
      <w:r w:rsidRPr="00261B7A">
        <w:rPr>
          <w:rFonts w:cs="Calibri"/>
        </w:rPr>
        <w:t xml:space="preserve"> is the recalculated emissions estimate computed using the overlap method</w:t>
      </w:r>
    </w:p>
    <w:p w14:paraId="37F02700" w14:textId="77777777" w:rsidR="009F5DA6" w:rsidRPr="00261B7A" w:rsidRDefault="009F5DA6" w:rsidP="009F5DA6">
      <w:pPr>
        <w:pStyle w:val="BodyText"/>
        <w:spacing w:after="0"/>
        <w:ind w:left="993" w:hanging="993"/>
      </w:pPr>
      <w:r w:rsidRPr="00261B7A">
        <w:tab/>
      </w:r>
      <w:r w:rsidRPr="00261B7A">
        <w:rPr>
          <w:i/>
        </w:rPr>
        <w:t>x</w:t>
      </w:r>
      <w:r w:rsidRPr="00261B7A">
        <w:rPr>
          <w:vertAlign w:val="subscript"/>
        </w:rPr>
        <w:t>t</w:t>
      </w:r>
      <w:r w:rsidRPr="00261B7A">
        <w:t xml:space="preserve"> is the estimate developed using the previous method</w:t>
      </w:r>
    </w:p>
    <w:p w14:paraId="1314FB1A" w14:textId="77777777" w:rsidR="009F5DA6" w:rsidRPr="00261B7A" w:rsidRDefault="009F5DA6" w:rsidP="009F5DA6">
      <w:pPr>
        <w:pStyle w:val="BodyText"/>
        <w:ind w:left="993" w:hanging="993"/>
      </w:pPr>
      <w:r w:rsidRPr="00261B7A">
        <w:tab/>
      </w:r>
      <w:r w:rsidRPr="00261B7A">
        <w:rPr>
          <w:i/>
        </w:rPr>
        <w:t>y</w:t>
      </w:r>
      <w:r w:rsidRPr="00261B7A">
        <w:rPr>
          <w:i/>
          <w:vertAlign w:val="subscript"/>
        </w:rPr>
        <w:t>i</w:t>
      </w:r>
      <w:r w:rsidRPr="00261B7A">
        <w:t xml:space="preserve"> and </w:t>
      </w:r>
      <w:r w:rsidRPr="00261B7A">
        <w:rPr>
          <w:i/>
        </w:rPr>
        <w:t>x</w:t>
      </w:r>
      <w:r w:rsidRPr="00261B7A">
        <w:rPr>
          <w:i/>
          <w:vertAlign w:val="subscript"/>
        </w:rPr>
        <w:t>i</w:t>
      </w:r>
      <w:r w:rsidRPr="00261B7A">
        <w:t xml:space="preserve"> are the estimates prepared using the new and previously used methods during the period of overlap, as denoted by years </w:t>
      </w:r>
      <w:r w:rsidRPr="00261B7A">
        <w:rPr>
          <w:i/>
        </w:rPr>
        <w:t>m</w:t>
      </w:r>
      <w:r w:rsidRPr="00261B7A">
        <w:t xml:space="preserve"> through </w:t>
      </w:r>
      <w:r w:rsidRPr="00261B7A">
        <w:rPr>
          <w:i/>
        </w:rPr>
        <w:t>n</w:t>
      </w:r>
      <w:r w:rsidRPr="00261B7A">
        <w:t>.</w:t>
      </w:r>
    </w:p>
    <w:p w14:paraId="26F1CE97" w14:textId="77777777" w:rsidR="009F5DA6" w:rsidRPr="00261B7A" w:rsidRDefault="009F5DA6" w:rsidP="009F5DA6">
      <w:pPr>
        <w:pStyle w:val="BodyText"/>
        <w:spacing w:after="0"/>
        <w:rPr>
          <w:rFonts w:cs="Calibri"/>
          <w:lang w:eastAsia="en-GB"/>
        </w:rPr>
      </w:pPr>
      <w:r w:rsidRPr="00261B7A">
        <w:rPr>
          <w:rFonts w:cs="Calibri"/>
          <w:lang w:eastAsia="en-GB"/>
        </w:rPr>
        <w:t>However, for gasoline and diesel vehicles, the ratio Tier 3:Tier 1 appears to change approximately linearly with time. While surrogates for Ministry of Transport data were available (fuel consumption), their use resulted in a step-change that is unlikely to be representative of road transport emissions for the period. While the trend in emissions was not consistent over time, the trend of the Tier 3:Tier 1 ratio emissions estimates showed a strong linear relationship with time. As a result, a hybrid method of overlap and trend extrapolation was chosen with:</w:t>
      </w:r>
    </w:p>
    <w:p w14:paraId="258F4EE6" w14:textId="77777777" w:rsidR="009F5DA6" w:rsidRPr="00261B7A" w:rsidRDefault="007E17B8" w:rsidP="009F5DA6">
      <w:pPr>
        <w:pStyle w:val="BodyText"/>
        <w:jc w:val="center"/>
      </w:pPr>
      <m:oMathPara>
        <m:oMath>
          <m:sSub>
            <m:sSubPr>
              <m:ctrlPr>
                <w:rPr>
                  <w:rFonts w:ascii="Cambria Math" w:hAnsi="Cambria Math"/>
                  <w:iCs/>
                  <w:lang w:eastAsia="en-GB"/>
                </w:rPr>
              </m:ctrlPr>
            </m:sSubPr>
            <m:e>
              <m:r>
                <w:rPr>
                  <w:rFonts w:ascii="Cambria Math" w:hAnsi="Cambria Math"/>
                  <w:lang w:eastAsia="en-GB"/>
                </w:rPr>
                <m:t>y</m:t>
              </m:r>
            </m:e>
            <m:sub>
              <m:r>
                <w:rPr>
                  <w:rFonts w:ascii="Cambria Math" w:hAnsi="Cambria Math"/>
                  <w:lang w:eastAsia="en-GB"/>
                </w:rPr>
                <m:t>t</m:t>
              </m:r>
            </m:sub>
          </m:sSub>
          <m:r>
            <m:rPr>
              <m:sty m:val="p"/>
            </m:rPr>
            <w:rPr>
              <w:rFonts w:ascii="Cambria Math" w:hAnsi="Cambria Math"/>
              <w:lang w:eastAsia="en-GB"/>
            </w:rPr>
            <m:t>=(</m:t>
          </m:r>
          <m:r>
            <w:rPr>
              <w:rFonts w:ascii="Cambria Math" w:hAnsi="Cambria Math"/>
              <w:lang w:eastAsia="en-GB"/>
            </w:rPr>
            <m:t>at</m:t>
          </m:r>
          <m:r>
            <m:rPr>
              <m:sty m:val="p"/>
            </m:rPr>
            <w:rPr>
              <w:rFonts w:ascii="Cambria Math" w:hAnsi="Cambria Math"/>
              <w:lang w:eastAsia="en-GB"/>
            </w:rPr>
            <m:t>+</m:t>
          </m:r>
          <m:r>
            <w:rPr>
              <w:rFonts w:ascii="Cambria Math" w:hAnsi="Cambria Math"/>
              <w:lang w:eastAsia="en-GB"/>
            </w:rPr>
            <m:t>b</m:t>
          </m:r>
          <m:r>
            <m:rPr>
              <m:sty m:val="p"/>
            </m:rPr>
            <w:rPr>
              <w:rFonts w:ascii="Cambria Math" w:hAnsi="Cambria Math"/>
              <w:lang w:eastAsia="en-GB"/>
            </w:rPr>
            <m:t>)</m:t>
          </m:r>
          <m:sSub>
            <m:sSubPr>
              <m:ctrlPr>
                <w:rPr>
                  <w:rFonts w:ascii="Cambria Math" w:hAnsi="Cambria Math"/>
                  <w:iCs/>
                  <w:lang w:eastAsia="en-GB"/>
                </w:rPr>
              </m:ctrlPr>
            </m:sSubPr>
            <m:e>
              <m:r>
                <w:rPr>
                  <w:rFonts w:ascii="Cambria Math" w:hAnsi="Cambria Math"/>
                  <w:lang w:eastAsia="en-GB"/>
                </w:rPr>
                <m:t>x</m:t>
              </m:r>
            </m:e>
            <m:sub>
              <m:r>
                <w:rPr>
                  <w:rFonts w:ascii="Cambria Math" w:hAnsi="Cambria Math"/>
                  <w:lang w:eastAsia="en-GB"/>
                </w:rPr>
                <m:t>t</m:t>
              </m:r>
            </m:sub>
          </m:sSub>
        </m:oMath>
      </m:oMathPara>
    </w:p>
    <w:p w14:paraId="05D29172" w14:textId="77777777" w:rsidR="009F5DA6" w:rsidRPr="00261B7A" w:rsidRDefault="009F5DA6" w:rsidP="009F5DA6">
      <w:pPr>
        <w:pStyle w:val="BodyText"/>
        <w:spacing w:after="0"/>
        <w:ind w:left="993" w:hanging="993"/>
      </w:pPr>
      <w:r w:rsidRPr="00261B7A">
        <w:rPr>
          <w:lang w:eastAsia="en-GB"/>
        </w:rPr>
        <w:t xml:space="preserve">Where: </w:t>
      </w:r>
      <w:r w:rsidRPr="00261B7A">
        <w:rPr>
          <w:lang w:eastAsia="en-GB"/>
        </w:rPr>
        <w:tab/>
      </w:r>
      <w:r w:rsidRPr="00261B7A">
        <w:rPr>
          <w:i/>
        </w:rPr>
        <w:t>t</w:t>
      </w:r>
      <w:r w:rsidRPr="00261B7A">
        <w:t xml:space="preserve"> is the year for which a new estimate is required</w:t>
      </w:r>
    </w:p>
    <w:p w14:paraId="7A226541" w14:textId="77777777" w:rsidR="009F5DA6" w:rsidRPr="00261B7A" w:rsidRDefault="009F5DA6" w:rsidP="009F5DA6">
      <w:pPr>
        <w:pStyle w:val="BodyText"/>
        <w:spacing w:after="0"/>
        <w:ind w:left="993" w:hanging="993"/>
      </w:pPr>
      <w:r w:rsidRPr="00261B7A">
        <w:rPr>
          <w:i/>
        </w:rPr>
        <w:tab/>
        <w:t>a</w:t>
      </w:r>
      <w:r w:rsidRPr="00261B7A">
        <w:t xml:space="preserve"> is the slope of the line achieved by regressing Tier 3:Tier 1 for the overlap period</w:t>
      </w:r>
    </w:p>
    <w:p w14:paraId="14935A37" w14:textId="77777777" w:rsidR="009F5DA6" w:rsidRPr="00261B7A" w:rsidRDefault="009F5DA6" w:rsidP="009F5DA6">
      <w:pPr>
        <w:pStyle w:val="BodyText"/>
        <w:spacing w:after="0"/>
        <w:ind w:left="993" w:hanging="993"/>
      </w:pPr>
      <w:r w:rsidRPr="00261B7A">
        <w:rPr>
          <w:i/>
        </w:rPr>
        <w:tab/>
        <w:t>b</w:t>
      </w:r>
      <w:r w:rsidRPr="00261B7A">
        <w:t xml:space="preserve"> is the intercept of the line achieved by regressing Tier 3:Tier 1 for the overlap period</w:t>
      </w:r>
    </w:p>
    <w:p w14:paraId="73F89D29" w14:textId="77777777" w:rsidR="009F5DA6" w:rsidRPr="00261B7A" w:rsidRDefault="009F5DA6" w:rsidP="009F5DA6">
      <w:pPr>
        <w:pStyle w:val="BodyText"/>
        <w:ind w:left="993" w:hanging="993"/>
      </w:pPr>
      <w:r w:rsidRPr="00261B7A">
        <w:tab/>
      </w:r>
      <w:r w:rsidRPr="00261B7A">
        <w:rPr>
          <w:i/>
        </w:rPr>
        <w:t>x</w:t>
      </w:r>
      <w:r w:rsidRPr="00261B7A">
        <w:rPr>
          <w:i/>
          <w:vertAlign w:val="subscript"/>
        </w:rPr>
        <w:t>t</w:t>
      </w:r>
      <w:r w:rsidRPr="00261B7A">
        <w:t xml:space="preserve"> is the estimate for year </w:t>
      </w:r>
      <w:r w:rsidRPr="00261B7A">
        <w:rPr>
          <w:i/>
        </w:rPr>
        <w:t>t</w:t>
      </w:r>
      <w:r w:rsidRPr="00261B7A">
        <w:t xml:space="preserve"> using the previous methodology.</w:t>
      </w:r>
    </w:p>
    <w:p w14:paraId="23B21C0B" w14:textId="77777777" w:rsidR="009F5DA6" w:rsidRPr="00261B7A" w:rsidRDefault="009F5DA6" w:rsidP="009F5DA6">
      <w:pPr>
        <w:pStyle w:val="BodyText"/>
        <w:rPr>
          <w:rFonts w:cs="Calibri"/>
          <w:lang w:eastAsia="en-GB"/>
        </w:rPr>
      </w:pPr>
      <w:r w:rsidRPr="00261B7A">
        <w:rPr>
          <w:rFonts w:cs="Calibri"/>
          <w:lang w:eastAsia="en-GB"/>
        </w:rPr>
        <w:t>The relationship between Tier 3 and Tier 1 emissions is linear from 2001 to 2005 (inclusive) for both CH</w:t>
      </w:r>
      <w:r w:rsidRPr="00261B7A">
        <w:rPr>
          <w:rFonts w:cs="Calibri"/>
          <w:vertAlign w:val="subscript"/>
          <w:lang w:eastAsia="en-GB"/>
        </w:rPr>
        <w:t>4</w:t>
      </w:r>
      <w:r w:rsidRPr="00261B7A">
        <w:rPr>
          <w:rFonts w:cs="Calibri"/>
          <w:lang w:eastAsia="en-GB"/>
        </w:rPr>
        <w:t xml:space="preserve"> and N</w:t>
      </w:r>
      <w:r w:rsidRPr="00261B7A">
        <w:rPr>
          <w:rFonts w:cs="Calibri"/>
          <w:vertAlign w:val="subscript"/>
          <w:lang w:eastAsia="en-GB"/>
        </w:rPr>
        <w:t>2</w:t>
      </w:r>
      <w:r w:rsidRPr="00261B7A">
        <w:rPr>
          <w:rFonts w:cs="Calibri"/>
          <w:lang w:eastAsia="en-GB"/>
        </w:rPr>
        <w:t>O. This relationship was extrapolated back to the beginning of the time series to derive a factor by which to multiply the Tier 1 estimate for a given year.</w:t>
      </w:r>
    </w:p>
    <w:p w14:paraId="02EA8613" w14:textId="77777777" w:rsidR="009F5DA6" w:rsidRPr="00261B7A" w:rsidRDefault="009F5DA6" w:rsidP="00CE2D16">
      <w:pPr>
        <w:pStyle w:val="Heading6"/>
      </w:pPr>
      <w:r w:rsidRPr="00261B7A">
        <w:t>Dual-fuel vehicles</w:t>
      </w:r>
    </w:p>
    <w:p w14:paraId="7A264397" w14:textId="77777777" w:rsidR="009F5DA6" w:rsidRPr="00261B7A" w:rsidRDefault="009F5DA6" w:rsidP="009F5DA6">
      <w:pPr>
        <w:pStyle w:val="BodyText"/>
        <w:rPr>
          <w:rFonts w:cs="Calibri"/>
          <w:lang w:eastAsia="en-GB"/>
        </w:rPr>
      </w:pPr>
      <w:r w:rsidRPr="00261B7A">
        <w:rPr>
          <w:rFonts w:cs="Calibri"/>
        </w:rPr>
        <w:t xml:space="preserve">Historically, the New Zealand Government encouraged the production and use of dual fuels (CNG–gasoline and LPG–gasoline) in transport as a strategy to reduce New Zealand’s </w:t>
      </w:r>
      <w:r w:rsidRPr="00261B7A">
        <w:rPr>
          <w:rFonts w:cs="Calibri"/>
          <w:spacing w:val="-2"/>
        </w:rPr>
        <w:t>dependence on imported oil. New Zealand saw significant use of dual fuels in vehicles until 1987</w:t>
      </w:r>
      <w:r w:rsidRPr="00261B7A">
        <w:rPr>
          <w:rFonts w:cs="Calibri"/>
        </w:rPr>
        <w:t xml:space="preserve">, when government subsidies were removed. Since then, dual fuel use has decreased, due to both the removal of subsidies and falling oil prices. The last recorded use of CNG in New Zealand was a Hamilton bus company, which continued using CNG in its bus fleet until 2017. </w:t>
      </w:r>
    </w:p>
    <w:p w14:paraId="28FBFD02" w14:textId="77777777" w:rsidR="009F5DA6" w:rsidRPr="00261B7A" w:rsidRDefault="009F5DA6" w:rsidP="009F5DA6">
      <w:pPr>
        <w:pStyle w:val="BodyText"/>
        <w:rPr>
          <w:rFonts w:cs="Calibri"/>
          <w:lang w:eastAsia="en-GB"/>
        </w:rPr>
      </w:pPr>
      <w:r w:rsidRPr="00261B7A">
        <w:rPr>
          <w:rFonts w:cs="Calibri"/>
          <w:lang w:eastAsia="en-GB"/>
        </w:rPr>
        <w:t xml:space="preserve">The vehicle-kilometres-travelled data provided by the Ministry of Transport allocate all </w:t>
      </w:r>
      <w:r w:rsidRPr="00261B7A">
        <w:rPr>
          <w:rFonts w:cs="Calibri"/>
          <w:spacing w:val="-2"/>
          <w:lang w:eastAsia="en-GB"/>
        </w:rPr>
        <w:t xml:space="preserve">vehicles using dual fuels (LPG–gasoline and CNG–gasoline) to the </w:t>
      </w:r>
      <w:r w:rsidRPr="00261B7A">
        <w:rPr>
          <w:rFonts w:cs="Calibri"/>
          <w:i/>
          <w:spacing w:val="-2"/>
          <w:lang w:eastAsia="en-GB"/>
        </w:rPr>
        <w:t>Gasoline</w:t>
      </w:r>
      <w:r w:rsidRPr="00261B7A">
        <w:rPr>
          <w:rFonts w:cs="Calibri"/>
          <w:spacing w:val="-2"/>
          <w:lang w:eastAsia="en-GB"/>
        </w:rPr>
        <w:t xml:space="preserve"> category. Historically</w:t>
      </w:r>
      <w:r w:rsidRPr="00261B7A">
        <w:rPr>
          <w:rFonts w:cs="Calibri"/>
          <w:lang w:eastAsia="en-GB"/>
        </w:rPr>
        <w:t>, non-CO</w:t>
      </w:r>
      <w:r w:rsidRPr="00261B7A">
        <w:rPr>
          <w:rFonts w:cs="Calibri"/>
          <w:vertAlign w:val="subscript"/>
          <w:lang w:eastAsia="en-GB"/>
        </w:rPr>
        <w:t>2</w:t>
      </w:r>
      <w:r w:rsidRPr="00261B7A">
        <w:rPr>
          <w:rFonts w:cs="Calibri"/>
          <w:lang w:eastAsia="en-GB"/>
        </w:rPr>
        <w:t xml:space="preserve"> emission factors have been lower for LPG than for gasoline, and correctly allocating dual fuel activity data between gasoline and LPG would result in a slight decrease in overall emissions. On this basis, we have not reallocated activity data for LPG-gasoline dual fuel vehicles due to a desire to be conservative when applying methods that would lead to net emissions reductions.</w:t>
      </w:r>
    </w:p>
    <w:p w14:paraId="6625F796" w14:textId="77777777" w:rsidR="009F5DA6" w:rsidRPr="00261B7A" w:rsidRDefault="009F5DA6" w:rsidP="009F5DA6">
      <w:pPr>
        <w:pStyle w:val="BodyText"/>
        <w:rPr>
          <w:rFonts w:cs="Calibri"/>
          <w:lang w:eastAsia="en-GB"/>
        </w:rPr>
      </w:pPr>
      <w:r w:rsidRPr="00261B7A">
        <w:rPr>
          <w:rFonts w:cs="Calibri"/>
          <w:lang w:eastAsia="en-GB"/>
        </w:rPr>
        <w:t>As another measure to ensure that we do not underestimate emissions, we have made an estimate of the fuel used in CNG buses. The remaining natural gas was then assumed to be combusted in converted light passenger vehicles, and an IPCC 2006 default emission factor was used to estimate the associated emissions.</w:t>
      </w:r>
    </w:p>
    <w:p w14:paraId="599828BB" w14:textId="77777777" w:rsidR="009F5DA6" w:rsidRPr="00261B7A" w:rsidRDefault="009F5DA6" w:rsidP="00CE2D16">
      <w:pPr>
        <w:pStyle w:val="Heading6"/>
      </w:pPr>
      <w:r w:rsidRPr="00261B7A">
        <w:t>Blended biofuels</w:t>
      </w:r>
    </w:p>
    <w:p w14:paraId="3D5F75B6" w14:textId="77777777" w:rsidR="009F5DA6" w:rsidRPr="00261B7A" w:rsidRDefault="009F5DA6" w:rsidP="009F5DA6">
      <w:pPr>
        <w:pStyle w:val="BodyText"/>
        <w:rPr>
          <w:rFonts w:cs="Calibri"/>
          <w:lang w:eastAsia="en-GB"/>
        </w:rPr>
      </w:pPr>
      <w:r w:rsidRPr="00261B7A">
        <w:rPr>
          <w:rFonts w:cs="Calibri"/>
          <w:lang w:eastAsia="en-GB"/>
        </w:rPr>
        <w:t xml:space="preserve">Since 2007, some fuel retailers have sold small volumes of biogasoline and biodiesel blended with mineral oil products (data on these exist from 2007 onwards). These fuels are categorised under 1.A.3.b </w:t>
      </w:r>
      <w:r w:rsidRPr="00261B7A">
        <w:rPr>
          <w:rFonts w:cs="Calibri"/>
          <w:i/>
          <w:lang w:eastAsia="en-GB"/>
        </w:rPr>
        <w:t>Road transportation</w:t>
      </w:r>
      <w:r w:rsidRPr="00261B7A">
        <w:rPr>
          <w:rFonts w:cs="Calibri"/>
          <w:lang w:eastAsia="en-GB"/>
        </w:rPr>
        <w:t xml:space="preserve">. To ensure that liquid biofuel combustion is considered correctly in the inventory, we first calculate the energy split (i.e., gasoline as a share of combined gasoline and biogasoline or mineral diesel as a share of mineral diesel and biodiesel), and then multiply our new estimate by this factor to account for the biofuel proportion of the fuel. The emissions from the combustion of biofuels were then estimated using a Tier 1 methodology, as in previous inventories. </w:t>
      </w:r>
    </w:p>
    <w:p w14:paraId="1233908D" w14:textId="77777777" w:rsidR="009F5DA6" w:rsidRPr="00261B7A" w:rsidRDefault="009F5DA6" w:rsidP="00CE2D16">
      <w:pPr>
        <w:pStyle w:val="Heading6"/>
      </w:pPr>
      <w:r w:rsidRPr="00261B7A">
        <w:t>Biodiesel</w:t>
      </w:r>
    </w:p>
    <w:p w14:paraId="5F3D24FF" w14:textId="77777777" w:rsidR="009F5DA6" w:rsidRPr="00261B7A" w:rsidRDefault="009F5DA6" w:rsidP="009F5DA6">
      <w:pPr>
        <w:pStyle w:val="BodyText"/>
        <w:rPr>
          <w:rFonts w:cs="Calibri"/>
          <w:lang w:eastAsia="en-GB"/>
        </w:rPr>
      </w:pPr>
      <w:r w:rsidRPr="00261B7A">
        <w:rPr>
          <w:rFonts w:cs="Calibri"/>
          <w:lang w:eastAsia="en-GB"/>
        </w:rPr>
        <w:t xml:space="preserve">Blended biodiesel has been disaggregated into biogenic and fossil fractions in our reporting. The biodiesel biogenic fraction continues to be classified as </w:t>
      </w:r>
      <w:r w:rsidRPr="00261B7A">
        <w:rPr>
          <w:rFonts w:cs="Calibri"/>
          <w:i/>
          <w:lang w:eastAsia="en-GB"/>
        </w:rPr>
        <w:t>Biomass</w:t>
      </w:r>
      <w:r w:rsidRPr="00261B7A">
        <w:rPr>
          <w:rFonts w:cs="Calibri"/>
          <w:lang w:eastAsia="en-GB"/>
        </w:rPr>
        <w:t xml:space="preserve">, while the biodiesel fossil fraction is classified as </w:t>
      </w:r>
      <w:r w:rsidRPr="00261B7A">
        <w:rPr>
          <w:rFonts w:cs="Calibri"/>
          <w:i/>
          <w:lang w:eastAsia="en-GB"/>
        </w:rPr>
        <w:t>Other fossil fuels</w:t>
      </w:r>
      <w:r w:rsidRPr="00261B7A">
        <w:rPr>
          <w:rFonts w:cs="Calibri"/>
          <w:lang w:eastAsia="en-GB"/>
        </w:rPr>
        <w:t>.</w:t>
      </w:r>
    </w:p>
    <w:p w14:paraId="47C1382F" w14:textId="77777777" w:rsidR="009F5DA6" w:rsidRPr="00261B7A" w:rsidRDefault="009F5DA6" w:rsidP="009F5DA6">
      <w:pPr>
        <w:pStyle w:val="BodyText"/>
        <w:rPr>
          <w:rFonts w:cs="Calibri"/>
          <w:lang w:eastAsia="en-GB"/>
        </w:rPr>
      </w:pPr>
      <w:r w:rsidRPr="00261B7A">
        <w:rPr>
          <w:rFonts w:cs="Calibri"/>
          <w:lang w:eastAsia="en-GB"/>
        </w:rPr>
        <w:t>Biodiesel produced and consumed in New Zealand is generally fatty acid methyl ester (FAME). To produce FAME, vegetable oil or animal fat is trans-esterified with methanol, which is assumed to be of fossil origin. Consequently, every single molecule of FAME contains one fossil carbon atom. While the exact fraction of fossil carbon in FAME depends on the nature of the feedstock oil, a value of 5.4 per cent is assumed based on measurements of a range of biodiesels from Reddy et al. (2008). As a result, part of the CO</w:t>
      </w:r>
      <w:r w:rsidRPr="00261B7A">
        <w:rPr>
          <w:rFonts w:cs="Calibri"/>
          <w:vertAlign w:val="subscript"/>
          <w:lang w:eastAsia="en-GB"/>
        </w:rPr>
        <w:t>2</w:t>
      </w:r>
      <w:r w:rsidRPr="00261B7A">
        <w:rPr>
          <w:rFonts w:cs="Calibri"/>
          <w:lang w:eastAsia="en-GB"/>
        </w:rPr>
        <w:t xml:space="preserve"> emissions previously reported as biomass memo items is now included in the national total emissions.</w:t>
      </w:r>
    </w:p>
    <w:p w14:paraId="5A952BFA" w14:textId="77777777" w:rsidR="009F5DA6" w:rsidRPr="00261B7A" w:rsidRDefault="009F5DA6" w:rsidP="009F5DA6">
      <w:pPr>
        <w:pStyle w:val="Heading5"/>
        <w:rPr>
          <w:rFonts w:cs="Calibri"/>
        </w:rPr>
      </w:pPr>
      <w:r w:rsidRPr="00261B7A">
        <w:rPr>
          <w:rFonts w:cs="Calibri"/>
          <w:lang w:eastAsia="en-GB"/>
        </w:rPr>
        <w:t>1.A.3.c Railways</w:t>
      </w:r>
    </w:p>
    <w:p w14:paraId="27C50BE9" w14:textId="77777777" w:rsidR="009F5DA6" w:rsidRPr="00261B7A" w:rsidRDefault="009F5DA6" w:rsidP="009F5DA6">
      <w:pPr>
        <w:pStyle w:val="BodyText"/>
        <w:rPr>
          <w:rFonts w:cs="Calibri"/>
          <w:lang w:eastAsia="en-GB"/>
        </w:rPr>
      </w:pPr>
      <w:r w:rsidRPr="00261B7A">
        <w:rPr>
          <w:rFonts w:cs="Calibri"/>
          <w:lang w:eastAsia="en-GB"/>
        </w:rPr>
        <w:t>Non-CO</w:t>
      </w:r>
      <w:r w:rsidRPr="00261B7A">
        <w:rPr>
          <w:rFonts w:cs="Calibri"/>
          <w:vertAlign w:val="subscript"/>
          <w:lang w:eastAsia="en-GB"/>
        </w:rPr>
        <w:t>2</w:t>
      </w:r>
      <w:r w:rsidRPr="00261B7A">
        <w:rPr>
          <w:rFonts w:cs="Calibri"/>
          <w:lang w:eastAsia="en-GB"/>
        </w:rPr>
        <w:t xml:space="preserve"> emissions from the </w:t>
      </w:r>
      <w:r w:rsidRPr="00261B7A">
        <w:rPr>
          <w:rFonts w:cs="Calibri"/>
          <w:i/>
          <w:lang w:eastAsia="en-GB"/>
        </w:rPr>
        <w:t>Railways</w:t>
      </w:r>
      <w:r w:rsidRPr="00261B7A">
        <w:rPr>
          <w:rFonts w:cs="Calibri"/>
          <w:lang w:eastAsia="en-GB"/>
        </w:rPr>
        <w:t xml:space="preserve"> category (including both liquid and solid fuels) were estimated using a Tier 1 approach (IPCC, 2006).</w:t>
      </w:r>
    </w:p>
    <w:p w14:paraId="4D66A74F" w14:textId="77777777" w:rsidR="009F5DA6" w:rsidRPr="00261B7A" w:rsidRDefault="009F5DA6" w:rsidP="009F5DA6">
      <w:pPr>
        <w:pStyle w:val="Heading5"/>
        <w:rPr>
          <w:rFonts w:cs="Calibri"/>
          <w:lang w:eastAsia="en-GB"/>
        </w:rPr>
      </w:pPr>
      <w:r w:rsidRPr="00261B7A">
        <w:rPr>
          <w:rFonts w:cs="Calibri"/>
          <w:lang w:eastAsia="en-GB"/>
        </w:rPr>
        <w:t>1.A.3.d Navigation (domestic marine transport)</w:t>
      </w:r>
    </w:p>
    <w:p w14:paraId="762D6E58" w14:textId="77777777" w:rsidR="009F5DA6" w:rsidRPr="00261B7A" w:rsidRDefault="009F5DA6" w:rsidP="009F5DA6">
      <w:pPr>
        <w:pStyle w:val="BodyText"/>
        <w:rPr>
          <w:rFonts w:cs="Calibri"/>
          <w:lang w:eastAsia="en-GB"/>
        </w:rPr>
      </w:pPr>
      <w:r w:rsidRPr="00261B7A">
        <w:rPr>
          <w:rFonts w:cs="Calibri"/>
          <w:lang w:eastAsia="en-GB"/>
        </w:rPr>
        <w:t>Non-CO</w:t>
      </w:r>
      <w:r w:rsidRPr="00261B7A">
        <w:rPr>
          <w:rFonts w:cs="Calibri"/>
          <w:vertAlign w:val="subscript"/>
          <w:lang w:eastAsia="en-GB"/>
        </w:rPr>
        <w:t>2</w:t>
      </w:r>
      <w:r w:rsidRPr="00261B7A">
        <w:rPr>
          <w:rFonts w:cs="Calibri"/>
          <w:lang w:eastAsia="en-GB"/>
        </w:rPr>
        <w:t xml:space="preserve"> emissions from the </w:t>
      </w:r>
      <w:r w:rsidRPr="00261B7A">
        <w:rPr>
          <w:rFonts w:cs="Calibri"/>
          <w:i/>
          <w:lang w:eastAsia="en-GB"/>
        </w:rPr>
        <w:t>Navigation</w:t>
      </w:r>
      <w:r w:rsidRPr="00261B7A">
        <w:rPr>
          <w:rFonts w:cs="Calibri"/>
          <w:lang w:eastAsia="en-GB"/>
        </w:rPr>
        <w:t xml:space="preserve"> category in New Zealand were estimated using a Tier 1 approach (IPCC, 2006).</w:t>
      </w:r>
    </w:p>
    <w:p w14:paraId="47EF0E58" w14:textId="77777777" w:rsidR="009F5DA6" w:rsidRPr="00261B7A" w:rsidRDefault="009F5DA6" w:rsidP="009F5DA6">
      <w:pPr>
        <w:pStyle w:val="Heading5"/>
        <w:rPr>
          <w:rFonts w:cs="Calibri"/>
          <w:lang w:eastAsia="en-GB"/>
        </w:rPr>
      </w:pPr>
      <w:r w:rsidRPr="00261B7A">
        <w:rPr>
          <w:rFonts w:cs="Calibri"/>
          <w:lang w:eastAsia="en-GB"/>
        </w:rPr>
        <w:t>1.A.3.e Other transportation</w:t>
      </w:r>
    </w:p>
    <w:p w14:paraId="390620DC" w14:textId="77777777" w:rsidR="009F5DA6" w:rsidRPr="00261B7A" w:rsidRDefault="009F5DA6" w:rsidP="009F5DA6">
      <w:pPr>
        <w:pStyle w:val="BodyText"/>
        <w:rPr>
          <w:rFonts w:cs="Calibri"/>
          <w:lang w:eastAsia="en-GB"/>
        </w:rPr>
      </w:pPr>
      <w:r w:rsidRPr="00261B7A">
        <w:rPr>
          <w:rFonts w:cs="Calibri"/>
          <w:lang w:eastAsia="en-GB"/>
        </w:rPr>
        <w:t xml:space="preserve">Combustion related to pipeline transport has been recategorised from 1.A.1.c </w:t>
      </w:r>
      <w:r w:rsidRPr="00261B7A">
        <w:rPr>
          <w:rFonts w:cs="Calibri"/>
          <w:i/>
          <w:iCs/>
          <w:lang w:eastAsia="en-GB"/>
        </w:rPr>
        <w:t>Manufacture of solid fuels and other energy industries</w:t>
      </w:r>
      <w:r w:rsidRPr="00261B7A">
        <w:rPr>
          <w:rFonts w:cs="Calibri"/>
          <w:lang w:eastAsia="en-GB"/>
        </w:rPr>
        <w:t xml:space="preserve"> to 1.A.3.e.i </w:t>
      </w:r>
      <w:r w:rsidRPr="00261B7A">
        <w:rPr>
          <w:rFonts w:cs="Calibri"/>
          <w:i/>
          <w:lang w:eastAsia="en-GB"/>
        </w:rPr>
        <w:t>Pipeline transport</w:t>
      </w:r>
      <w:r w:rsidRPr="00261B7A">
        <w:rPr>
          <w:rFonts w:cs="Calibri"/>
          <w:iCs/>
          <w:lang w:eastAsia="en-GB"/>
        </w:rPr>
        <w:t>,</w:t>
      </w:r>
      <w:r w:rsidRPr="00261B7A">
        <w:rPr>
          <w:rFonts w:cs="Calibri"/>
          <w:lang w:eastAsia="en-GB"/>
        </w:rPr>
        <w:t xml:space="preserve"> in response to feedback received from the ERT during the 2018 centralised review.</w:t>
      </w:r>
    </w:p>
    <w:p w14:paraId="3B275810" w14:textId="77777777" w:rsidR="009F5DA6" w:rsidRPr="00261B7A" w:rsidRDefault="009F5DA6" w:rsidP="009F5DA6">
      <w:pPr>
        <w:pStyle w:val="BodyText"/>
        <w:rPr>
          <w:rFonts w:cs="Calibri"/>
        </w:rPr>
      </w:pPr>
      <w:r w:rsidRPr="00261B7A">
        <w:rPr>
          <w:rFonts w:cs="Calibri"/>
        </w:rPr>
        <w:t>A recent development in New Zealand is the emergence of a nascent aerospace industry. In New Zealand, space-related activities (launches into outer space, launch facilities, high-altitude vehicles and payloads) are overseen by the New Zealand Space Agency, based within MBIE, as regulated in legislation by the Outer Space and High-altitude Activities Act 2017. Currently, one private company is actively launching rockets from a launch complex on the Māhia Peninsula (on the east coast of New Zealand’s North Island) to put small satellites in orbit around Earth. The rockets use liquid oxygen and RP-1 (a form of highly refined kerosene) as propellants.</w:t>
      </w:r>
    </w:p>
    <w:p w14:paraId="6F6A23DE" w14:textId="77777777" w:rsidR="009F5DA6" w:rsidRPr="00261B7A" w:rsidRDefault="009F5DA6" w:rsidP="009F5DA6">
      <w:pPr>
        <w:pStyle w:val="BodyText"/>
        <w:rPr>
          <w:rFonts w:cs="Calibri"/>
        </w:rPr>
      </w:pPr>
      <w:r w:rsidRPr="00261B7A">
        <w:rPr>
          <w:rFonts w:cs="Calibri"/>
        </w:rPr>
        <w:t xml:space="preserve">The specific categorisation of aerospace activity within energy statistics is yet to be determined, although this type of kerosene is likely classified as jet kerosene under ANZSIC code </w:t>
      </w:r>
      <w:r w:rsidRPr="00261B7A">
        <w:rPr>
          <w:rFonts w:cs="Calibri"/>
          <w:i/>
        </w:rPr>
        <w:t>I49 Air and Space Transport</w:t>
      </w:r>
      <w:r w:rsidRPr="00261B7A">
        <w:rPr>
          <w:rFonts w:cs="Calibri"/>
        </w:rPr>
        <w:t xml:space="preserve">, and so would be included within </w:t>
      </w:r>
      <w:r w:rsidRPr="00261B7A">
        <w:rPr>
          <w:rFonts w:cs="Calibri"/>
          <w:iCs/>
        </w:rPr>
        <w:t>1.A.3.a</w:t>
      </w:r>
      <w:r w:rsidRPr="00261B7A">
        <w:rPr>
          <w:rFonts w:cs="Calibri"/>
          <w:i/>
        </w:rPr>
        <w:t xml:space="preserve"> Civil aviation</w:t>
      </w:r>
      <w:r w:rsidRPr="00261B7A">
        <w:rPr>
          <w:rFonts w:cs="Calibri"/>
        </w:rPr>
        <w:t xml:space="preserve">. While the combustion characteristics of rocket engines are likely to differ somewhat from other jet-fuelled activities, no specific emission factors are provided in the 2006 IPCC Guidelines. </w:t>
      </w:r>
    </w:p>
    <w:p w14:paraId="55EEF57B" w14:textId="77777777" w:rsidR="009F5DA6" w:rsidRPr="00261B7A" w:rsidRDefault="009F5DA6" w:rsidP="009F5DA6">
      <w:pPr>
        <w:pStyle w:val="BodyText"/>
        <w:rPr>
          <w:rFonts w:cs="Calibri"/>
        </w:rPr>
      </w:pPr>
      <w:r w:rsidRPr="00261B7A">
        <w:rPr>
          <w:rFonts w:cs="Calibri"/>
        </w:rPr>
        <w:t xml:space="preserve">The 2006 IPCC Guidelines cover emissions from civil aviation but do not specifically refer to aeronautics or aerospace. Ballistic vehicles, such as rockets, are usually considered to be included under aeronautics but not aviation. While the 2006 IPCC </w:t>
      </w:r>
      <w:r w:rsidRPr="00261B7A">
        <w:rPr>
          <w:rFonts w:cs="Calibri"/>
          <w:iCs/>
        </w:rPr>
        <w:t>Guidelines</w:t>
      </w:r>
      <w:r w:rsidRPr="00261B7A">
        <w:rPr>
          <w:rFonts w:cs="Calibri"/>
        </w:rPr>
        <w:t xml:space="preserve"> (volume 2, table 3.1.1) state that emissions from all remaining transport activities should be reported under </w:t>
      </w:r>
      <w:r w:rsidRPr="00261B7A">
        <w:rPr>
          <w:rFonts w:cs="Calibri"/>
          <w:iCs/>
        </w:rPr>
        <w:t>1.A.3.e</w:t>
      </w:r>
      <w:r w:rsidRPr="00261B7A">
        <w:rPr>
          <w:rFonts w:cs="Calibri"/>
          <w:i/>
        </w:rPr>
        <w:t xml:space="preserve"> Other transportation</w:t>
      </w:r>
      <w:r w:rsidRPr="00261B7A">
        <w:rPr>
          <w:rFonts w:cs="Calibri"/>
        </w:rPr>
        <w:t>,</w:t>
      </w:r>
      <w:r w:rsidRPr="00261B7A">
        <w:t xml:space="preserve"> </w:t>
      </w:r>
      <w:r w:rsidRPr="00261B7A">
        <w:rPr>
          <w:rFonts w:cs="Calibri"/>
        </w:rPr>
        <w:t xml:space="preserve">as mentioned above, the aerospace fuel activity data are currently included in </w:t>
      </w:r>
      <w:r w:rsidRPr="00261B7A">
        <w:rPr>
          <w:rFonts w:cs="Calibri"/>
          <w:iCs/>
        </w:rPr>
        <w:t xml:space="preserve">1.A.3.a </w:t>
      </w:r>
      <w:r w:rsidRPr="00261B7A">
        <w:rPr>
          <w:rFonts w:cs="Calibri"/>
          <w:i/>
        </w:rPr>
        <w:t>Civil aviation</w:t>
      </w:r>
      <w:r w:rsidRPr="00261B7A">
        <w:rPr>
          <w:rFonts w:cs="Calibri"/>
          <w:iCs/>
        </w:rPr>
        <w:t xml:space="preserve">. </w:t>
      </w:r>
      <w:r w:rsidRPr="00261B7A">
        <w:rPr>
          <w:rFonts w:cs="Calibri"/>
        </w:rPr>
        <w:t>Further justification for not disaggregating the category is that it would raise concerns about commercial data confidentiality due to the small number of companies operating in the sector.</w:t>
      </w:r>
    </w:p>
    <w:p w14:paraId="4B4C5702" w14:textId="77777777" w:rsidR="009F5DA6" w:rsidRPr="00261B7A" w:rsidRDefault="009F5DA6" w:rsidP="004C583E">
      <w:pPr>
        <w:pStyle w:val="Heading4"/>
      </w:pPr>
      <w:r w:rsidRPr="00261B7A">
        <w:t>Activity data</w:t>
      </w:r>
    </w:p>
    <w:p w14:paraId="4AB2D413" w14:textId="77777777" w:rsidR="009F5DA6" w:rsidRPr="00261B7A" w:rsidRDefault="009F5DA6" w:rsidP="009F5DA6">
      <w:pPr>
        <w:pStyle w:val="Heading5"/>
        <w:spacing w:before="120"/>
        <w:rPr>
          <w:rFonts w:cs="Calibri"/>
          <w:lang w:eastAsia="en-GB"/>
        </w:rPr>
      </w:pPr>
      <w:r w:rsidRPr="00261B7A">
        <w:rPr>
          <w:rFonts w:cs="Calibri"/>
          <w:lang w:eastAsia="en-GB"/>
        </w:rPr>
        <w:t>1.A.3.a Civil aviation</w:t>
      </w:r>
    </w:p>
    <w:p w14:paraId="497EA967" w14:textId="5711ED80" w:rsidR="009F5DA6" w:rsidRPr="00261B7A" w:rsidRDefault="009F5DA6" w:rsidP="009F5DA6">
      <w:pPr>
        <w:pStyle w:val="BodyText"/>
        <w:rPr>
          <w:rFonts w:cs="Calibri"/>
        </w:rPr>
      </w:pPr>
      <w:r w:rsidRPr="00261B7A">
        <w:rPr>
          <w:rFonts w:cs="Calibri"/>
          <w:lang w:eastAsia="en-GB"/>
        </w:rPr>
        <w:t xml:space="preserve">MBIE </w:t>
      </w:r>
      <w:r w:rsidRPr="00261B7A">
        <w:rPr>
          <w:rFonts w:cs="Calibri"/>
        </w:rPr>
        <w:t xml:space="preserve">currently collects data on domestic and international aviation fuel use through the </w:t>
      </w:r>
      <w:r w:rsidRPr="00261B7A">
        <w:rPr>
          <w:rFonts w:cs="Calibri"/>
          <w:iCs/>
          <w:spacing w:val="-2"/>
          <w:lang w:eastAsia="en-GB"/>
        </w:rPr>
        <w:t>DPFI</w:t>
      </w:r>
      <w:r w:rsidRPr="00261B7A">
        <w:rPr>
          <w:rFonts w:cs="Calibri"/>
        </w:rPr>
        <w:t>.</w:t>
      </w:r>
      <w:r w:rsidR="008D6896">
        <w:rPr>
          <w:rFonts w:cs="Calibri"/>
        </w:rPr>
        <w:t> </w:t>
      </w:r>
      <w:r w:rsidRPr="00261B7A">
        <w:rPr>
          <w:rFonts w:cs="Calibri"/>
        </w:rPr>
        <w:t xml:space="preserve">The respondents to this survey are New Zealand’s four main oil companies: BP, Z Energy, ExxonMobil and Gull (Gull participates only in </w:t>
      </w:r>
      <w:r w:rsidRPr="00261B7A">
        <w:rPr>
          <w:rFonts w:cs="Calibri"/>
          <w:lang w:eastAsia="en-GB"/>
        </w:rPr>
        <w:t>gasoline</w:t>
      </w:r>
      <w:r w:rsidRPr="00261B7A">
        <w:rPr>
          <w:rFonts w:cs="Calibri"/>
        </w:rPr>
        <w:t xml:space="preserve"> and diesel sales).</w:t>
      </w:r>
    </w:p>
    <w:p w14:paraId="1B35BFB8" w14:textId="77777777" w:rsidR="009F5DA6" w:rsidRPr="00261B7A" w:rsidRDefault="009F5DA6" w:rsidP="009F5DA6">
      <w:pPr>
        <w:pStyle w:val="BodyText"/>
        <w:rPr>
          <w:rFonts w:cs="Calibri"/>
        </w:rPr>
      </w:pPr>
      <w:r w:rsidRPr="00261B7A">
        <w:rPr>
          <w:rFonts w:cs="Calibri"/>
          <w:lang w:eastAsia="en-GB"/>
        </w:rPr>
        <w:t xml:space="preserve">Our distinction between domestic and international flights is based on refuelling at the domestic and international terminals of New Zealand airports. </w:t>
      </w:r>
      <w:r w:rsidRPr="00261B7A">
        <w:rPr>
          <w:rFonts w:cs="Calibri"/>
        </w:rPr>
        <w:t>The allocation of aviation fuels between domestic and international segments has previously been raised by the ERT. A previous centralised review stated (UNFCCC, 2009):</w:t>
      </w:r>
    </w:p>
    <w:p w14:paraId="7808AD83" w14:textId="08702FD8" w:rsidR="009F5DA6" w:rsidRPr="00261B7A" w:rsidRDefault="009F5DA6" w:rsidP="009F5DA6">
      <w:pPr>
        <w:pStyle w:val="Quote"/>
        <w:spacing w:before="60"/>
        <w:rPr>
          <w:rFonts w:cs="Calibri"/>
        </w:rPr>
      </w:pPr>
      <w:r w:rsidRPr="00261B7A">
        <w:rPr>
          <w:rFonts w:cs="Calibri"/>
        </w:rPr>
        <w:t>The National Inventory Report (NIR) reports that the allocation of fuel consumption between domestic and international air transport is based on refuelling at the domestic and international terminals of New Zealand’s airports. Currently splitting the domestic and</w:t>
      </w:r>
      <w:r w:rsidR="00A24911" w:rsidRPr="00261B7A">
        <w:rPr>
          <w:rFonts w:cs="Calibri"/>
        </w:rPr>
        <w:t> </w:t>
      </w:r>
      <w:r w:rsidRPr="00261B7A">
        <w:rPr>
          <w:rFonts w:cs="Calibri"/>
        </w:rPr>
        <w:t>international components of fuels used for international flights with a domestic segment was not considered; however, the number of international flights with a domestic</w:t>
      </w:r>
      <w:r w:rsidR="00A24911" w:rsidRPr="00261B7A">
        <w:rPr>
          <w:rFonts w:cs="Calibri"/>
        </w:rPr>
        <w:t xml:space="preserve"> </w:t>
      </w:r>
      <w:r w:rsidRPr="00261B7A">
        <w:rPr>
          <w:rFonts w:cs="Calibri"/>
        </w:rPr>
        <w:t>segment is considered to be negligible. The Expert Review Team (ERT) notes that</w:t>
      </w:r>
      <w:r w:rsidR="00A24911" w:rsidRPr="00261B7A">
        <w:rPr>
          <w:rFonts w:cs="Calibri"/>
        </w:rPr>
        <w:t> </w:t>
      </w:r>
      <w:r w:rsidRPr="00261B7A">
        <w:rPr>
          <w:rFonts w:cs="Calibri"/>
        </w:rPr>
        <w:t>in 2006, New Zealand began consultations with the airlines to clarify the situation and</w:t>
      </w:r>
      <w:r w:rsidR="00A24911" w:rsidRPr="00261B7A">
        <w:rPr>
          <w:rFonts w:cs="Calibri"/>
        </w:rPr>
        <w:t> </w:t>
      </w:r>
      <w:r w:rsidRPr="00261B7A">
        <w:rPr>
          <w:rFonts w:cs="Calibri"/>
        </w:rPr>
        <w:t>improve the relevant Activity Data (AD), and is currently working on a methodology that will allow for better international and domestic fuel use allocation. New Zealand is encouraged to adopt the new approach and report the outcome in its 2010 submissions.</w:t>
      </w:r>
    </w:p>
    <w:p w14:paraId="7FF57937" w14:textId="77777777" w:rsidR="009F5DA6" w:rsidRPr="00261B7A" w:rsidRDefault="009F5DA6" w:rsidP="009F5DA6">
      <w:pPr>
        <w:pStyle w:val="BodyText"/>
        <w:rPr>
          <w:rFonts w:cs="Calibri"/>
        </w:rPr>
      </w:pPr>
      <w:r w:rsidRPr="00261B7A">
        <w:rPr>
          <w:rFonts w:cs="Calibri"/>
        </w:rPr>
        <w:t xml:space="preserve">In the </w:t>
      </w:r>
      <w:r w:rsidRPr="00261B7A">
        <w:rPr>
          <w:rFonts w:cs="Calibri"/>
          <w:iCs/>
          <w:spacing w:val="-2"/>
          <w:lang w:eastAsia="en-GB"/>
        </w:rPr>
        <w:t>DPFI</w:t>
      </w:r>
      <w:r w:rsidRPr="00261B7A">
        <w:rPr>
          <w:rFonts w:cs="Calibri"/>
        </w:rPr>
        <w:t xml:space="preserve">, the oil companies report quantities of different fuels (jet A1, aviation gasoline and kerosene, among others) used for the purposes of international and domestic transport. The companies have indicated that they allocate the fuel to international or domestic transport based on whether or not they are legally required to charge goods and services tax (GST) on the activity; GST is not applied when the destination of a flight is outside of New Zealand. </w:t>
      </w:r>
    </w:p>
    <w:p w14:paraId="0738324A" w14:textId="3011BBC0" w:rsidR="009F5DA6" w:rsidRPr="00261B7A" w:rsidRDefault="009F5DA6" w:rsidP="009F5DA6">
      <w:pPr>
        <w:pStyle w:val="BodyText"/>
        <w:rPr>
          <w:rFonts w:cs="Calibri"/>
        </w:rPr>
      </w:pPr>
      <w:r w:rsidRPr="00261B7A">
        <w:rPr>
          <w:rFonts w:cs="Calibri"/>
        </w:rPr>
        <w:t>Some international flights from New Zealand contain a domestic leg, for example, Christchurch–Auckland–Tokyo. Industry practice is to refuel at both points with sufficient fuel to reach the next destination so that the domestic leg will be coded appropriately. By this logic, the domestic leg will attract GST so the fuel use will be coded as domestic, and the</w:t>
      </w:r>
      <w:r w:rsidR="00A24911" w:rsidRPr="00261B7A">
        <w:rPr>
          <w:rFonts w:cs="Calibri"/>
        </w:rPr>
        <w:t> </w:t>
      </w:r>
      <w:r w:rsidRPr="00261B7A">
        <w:rPr>
          <w:rFonts w:cs="Calibri"/>
        </w:rPr>
        <w:t>international leg, which does not attract GST, will be coded as international.</w:t>
      </w:r>
    </w:p>
    <w:p w14:paraId="11EDE560" w14:textId="77777777" w:rsidR="009F5DA6" w:rsidRPr="00261B7A" w:rsidRDefault="009F5DA6" w:rsidP="009F5DA6">
      <w:pPr>
        <w:pStyle w:val="BodyText"/>
        <w:rPr>
          <w:rFonts w:cs="Calibri"/>
        </w:rPr>
      </w:pPr>
      <w:r w:rsidRPr="00261B7A">
        <w:rPr>
          <w:rFonts w:cs="Calibri"/>
        </w:rPr>
        <w:t xml:space="preserve">Although this is a supply-side approach, MBIE believes the split of international and domestic transport is accurate because BP, Z Energy and ExxonMobil supply 100 per cent of the aviation fuels market in New Zealand. Based on the above findings and consultation, MBIE believes the current data-collection methodology is sufficiently robust to ensure all the domestic aviation fuels are reported accordingly and to avoid missing or misallocation of domestic fuel use. </w:t>
      </w:r>
    </w:p>
    <w:p w14:paraId="6E8558F5" w14:textId="77777777" w:rsidR="009F5DA6" w:rsidRPr="00261B7A" w:rsidRDefault="009F5DA6" w:rsidP="009F5DA6">
      <w:pPr>
        <w:pStyle w:val="Heading5"/>
        <w:rPr>
          <w:rFonts w:cs="Calibri"/>
          <w:lang w:eastAsia="en-GB"/>
        </w:rPr>
      </w:pPr>
      <w:r w:rsidRPr="00261B7A">
        <w:rPr>
          <w:rFonts w:cs="Calibri"/>
          <w:lang w:eastAsia="en-GB"/>
        </w:rPr>
        <w:t>1.A.3.b Road transportation</w:t>
      </w:r>
    </w:p>
    <w:p w14:paraId="0CB29AFB" w14:textId="77777777" w:rsidR="009F5DA6" w:rsidRPr="00261B7A" w:rsidRDefault="009F5DA6" w:rsidP="009F5DA6">
      <w:pPr>
        <w:pStyle w:val="BodyText"/>
        <w:rPr>
          <w:rFonts w:cs="Calibri"/>
          <w:lang w:eastAsia="en-GB"/>
        </w:rPr>
      </w:pPr>
      <w:r w:rsidRPr="00261B7A">
        <w:rPr>
          <w:rFonts w:cs="Calibri"/>
          <w:lang w:eastAsia="en-GB"/>
        </w:rPr>
        <w:t xml:space="preserve">Activity data for the </w:t>
      </w:r>
      <w:r w:rsidRPr="00261B7A">
        <w:rPr>
          <w:rFonts w:cs="Calibri"/>
          <w:i/>
          <w:lang w:eastAsia="en-GB"/>
        </w:rPr>
        <w:t>Road transportation</w:t>
      </w:r>
      <w:r w:rsidRPr="00261B7A">
        <w:rPr>
          <w:rFonts w:cs="Calibri"/>
          <w:lang w:eastAsia="en-GB"/>
        </w:rPr>
        <w:t xml:space="preserve"> category are provided by the Ministry of Transport’s six-monthly fleet data and MBIE’s national energy statistics. For more information on the use of vehicle fleet data for estimating non-CO</w:t>
      </w:r>
      <w:r w:rsidRPr="00261B7A">
        <w:rPr>
          <w:rFonts w:cs="Calibri"/>
          <w:vertAlign w:val="subscript"/>
          <w:lang w:eastAsia="en-GB"/>
        </w:rPr>
        <w:t xml:space="preserve">2 </w:t>
      </w:r>
      <w:r w:rsidRPr="00261B7A">
        <w:rPr>
          <w:rFonts w:cs="Calibri"/>
          <w:lang w:eastAsia="en-GB"/>
        </w:rPr>
        <w:t>emissions, see ‘Methodological issues’ above.</w:t>
      </w:r>
    </w:p>
    <w:p w14:paraId="3AF038EB" w14:textId="23775297" w:rsidR="009F5DA6" w:rsidRPr="00261B7A" w:rsidRDefault="009F5DA6" w:rsidP="009F5DA6">
      <w:pPr>
        <w:pStyle w:val="BodyText"/>
        <w:rPr>
          <w:rFonts w:cs="Calibri"/>
          <w:lang w:eastAsia="en-GB"/>
        </w:rPr>
      </w:pPr>
      <w:r w:rsidRPr="00261B7A">
        <w:rPr>
          <w:rFonts w:cs="Calibri"/>
          <w:lang w:eastAsia="en-GB"/>
        </w:rPr>
        <w:t xml:space="preserve">Activity data for the </w:t>
      </w:r>
      <w:r w:rsidRPr="00261B7A">
        <w:rPr>
          <w:rFonts w:cs="Calibri"/>
          <w:i/>
          <w:lang w:eastAsia="en-GB"/>
        </w:rPr>
        <w:t>Transport</w:t>
      </w:r>
      <w:r w:rsidRPr="00261B7A">
        <w:rPr>
          <w:rFonts w:cs="Calibri"/>
          <w:lang w:eastAsia="en-GB"/>
        </w:rPr>
        <w:t xml:space="preserve"> category were sourced from the </w:t>
      </w:r>
      <w:r w:rsidRPr="00261B7A">
        <w:rPr>
          <w:rFonts w:cs="Calibri"/>
          <w:iCs/>
          <w:spacing w:val="-2"/>
          <w:lang w:eastAsia="en-GB"/>
        </w:rPr>
        <w:t>DPFI</w:t>
      </w:r>
      <w:r w:rsidRPr="00261B7A">
        <w:rPr>
          <w:rFonts w:cs="Calibri"/>
          <w:iCs/>
          <w:lang w:eastAsia="en-GB"/>
        </w:rPr>
        <w:t xml:space="preserve"> </w:t>
      </w:r>
      <w:r w:rsidRPr="00261B7A">
        <w:rPr>
          <w:rFonts w:cs="Calibri"/>
          <w:lang w:eastAsia="en-GB"/>
        </w:rPr>
        <w:t>conducted by MBIE. LPG</w:t>
      </w:r>
      <w:r w:rsidR="008D6896">
        <w:rPr>
          <w:rFonts w:cs="Calibri"/>
          <w:lang w:eastAsia="en-GB"/>
        </w:rPr>
        <w:t> </w:t>
      </w:r>
      <w:r w:rsidRPr="00261B7A">
        <w:rPr>
          <w:rFonts w:cs="Calibri"/>
          <w:lang w:eastAsia="en-GB"/>
        </w:rPr>
        <w:t xml:space="preserve">and CNG consumption figures are reported </w:t>
      </w:r>
      <w:r w:rsidRPr="00261B7A">
        <w:rPr>
          <w:rFonts w:cs="Calibri"/>
          <w:iCs/>
          <w:lang w:eastAsia="en-GB"/>
        </w:rPr>
        <w:t>online by</w:t>
      </w:r>
      <w:r w:rsidRPr="00261B7A">
        <w:rPr>
          <w:rFonts w:cs="Calibri"/>
        </w:rPr>
        <w:t> </w:t>
      </w:r>
      <w:r w:rsidRPr="00261B7A">
        <w:rPr>
          <w:rFonts w:cs="Calibri"/>
          <w:lang w:eastAsia="en-GB"/>
        </w:rPr>
        <w:t>MBIE.</w:t>
      </w:r>
    </w:p>
    <w:p w14:paraId="2CC46FE1" w14:textId="77777777" w:rsidR="009F5DA6" w:rsidRPr="00261B7A" w:rsidRDefault="009F5DA6" w:rsidP="009F5DA6">
      <w:pPr>
        <w:pStyle w:val="BodyText"/>
        <w:rPr>
          <w:rFonts w:cs="Calibri"/>
        </w:rPr>
      </w:pPr>
      <w:r w:rsidRPr="00261B7A">
        <w:rPr>
          <w:rFonts w:cs="Calibri"/>
          <w:spacing w:val="-2"/>
        </w:rPr>
        <w:t xml:space="preserve">As mentioned in section 3.3.1, this inventory continues to use the results of the </w:t>
      </w:r>
      <w:r w:rsidRPr="00261B7A">
        <w:rPr>
          <w:rFonts w:cs="Calibri"/>
          <w:iCs/>
          <w:spacing w:val="-2"/>
        </w:rPr>
        <w:t>Annual Liquid Fuel Survey</w:t>
      </w:r>
      <w:r w:rsidRPr="00261B7A">
        <w:rPr>
          <w:rFonts w:cs="Calibri"/>
          <w:spacing w:val="-2"/>
        </w:rPr>
        <w:t xml:space="preserve"> that began in 2009. The purpose of this survey is to capture the allocation of fuel resold by small independent resellers. In recent years, these independent resellers have accounted for around 30 per cent of national diesel sales and around 8 per cent of national gasoline sales.</w:t>
      </w:r>
      <w:r w:rsidRPr="00261B7A">
        <w:t xml:space="preserve"> </w:t>
      </w:r>
      <w:r w:rsidRPr="00261B7A">
        <w:rPr>
          <w:rFonts w:cs="Calibri"/>
        </w:rPr>
        <w:t xml:space="preserve">As a result of resale data captured by this survey, emissions that would otherwise be reported in category 1.A.3.b </w:t>
      </w:r>
      <w:r w:rsidRPr="00261B7A">
        <w:rPr>
          <w:rFonts w:cs="Calibri"/>
          <w:i/>
        </w:rPr>
        <w:t>Road transportation</w:t>
      </w:r>
      <w:r w:rsidRPr="00261B7A">
        <w:rPr>
          <w:rFonts w:cs="Calibri"/>
        </w:rPr>
        <w:t xml:space="preserve"> are allocated to the correct category. For time-series consistency, these reallocations were also made from 1990 to 2008, before the collection of data on the resale of liquid fuel by independent distributors.</w:t>
      </w:r>
    </w:p>
    <w:p w14:paraId="0704E2C8" w14:textId="77777777" w:rsidR="009F5DA6" w:rsidRPr="00261B7A" w:rsidRDefault="009F5DA6" w:rsidP="009F5DA6">
      <w:pPr>
        <w:pStyle w:val="BodyText"/>
        <w:rPr>
          <w:rFonts w:cs="Calibri"/>
        </w:rPr>
      </w:pPr>
      <w:r w:rsidRPr="00261B7A">
        <w:rPr>
          <w:rFonts w:cs="Calibri"/>
        </w:rPr>
        <w:t xml:space="preserve">The diesel activity data for the </w:t>
      </w:r>
      <w:r w:rsidRPr="00261B7A">
        <w:rPr>
          <w:rFonts w:cs="Calibri"/>
          <w:i/>
        </w:rPr>
        <w:t>Road transport</w:t>
      </w:r>
      <w:r w:rsidRPr="00261B7A">
        <w:rPr>
          <w:rFonts w:cs="Calibri"/>
        </w:rPr>
        <w:t xml:space="preserve"> category are assumed to be the diesel reported for domestic transport, less that reported by KiwiRail</w:t>
      </w:r>
      <w:r w:rsidRPr="00261B7A">
        <w:rPr>
          <w:rFonts w:cs="Calibri"/>
          <w:lang w:eastAsia="en-GB"/>
        </w:rPr>
        <w:t>, the operator of national rail services in New Zealand,</w:t>
      </w:r>
      <w:r w:rsidRPr="00261B7A">
        <w:rPr>
          <w:rFonts w:cs="Calibri"/>
        </w:rPr>
        <w:t xml:space="preserve"> in 1.A.3.c </w:t>
      </w:r>
      <w:r w:rsidRPr="00261B7A">
        <w:rPr>
          <w:rFonts w:cs="Calibri"/>
          <w:i/>
        </w:rPr>
        <w:t>Railways</w:t>
      </w:r>
      <w:r w:rsidRPr="00261B7A">
        <w:rPr>
          <w:rFonts w:cs="Calibri"/>
        </w:rPr>
        <w:t xml:space="preserve"> and 1.A.3.d </w:t>
      </w:r>
      <w:r w:rsidRPr="00261B7A">
        <w:rPr>
          <w:rFonts w:cs="Calibri"/>
          <w:i/>
        </w:rPr>
        <w:t>Domestic navigation</w:t>
      </w:r>
      <w:r w:rsidRPr="00261B7A">
        <w:rPr>
          <w:rFonts w:cs="Calibri"/>
        </w:rPr>
        <w:t xml:space="preserve">, discussed below. </w:t>
      </w:r>
    </w:p>
    <w:p w14:paraId="617CD68A" w14:textId="77777777" w:rsidR="009F5DA6" w:rsidRPr="00261B7A" w:rsidRDefault="009F5DA6" w:rsidP="009F5DA6">
      <w:pPr>
        <w:pStyle w:val="BodyText"/>
        <w:rPr>
          <w:rFonts w:cs="Calibri"/>
        </w:rPr>
      </w:pPr>
      <w:r w:rsidRPr="00261B7A">
        <w:rPr>
          <w:rFonts w:cs="Calibri"/>
        </w:rPr>
        <w:t>The fuel sold data have been validated by estimating fuel consumption based on vehicle kilometres using a vehicle fleet model. Over the past decade, the fuel quantity from the fuel use data has been larger than that estimated using kilometres travelled. Several factors can contribute to differences between the two methods, for example, fuel sold by retailers that is then used for off-road purposes, and the real-world fuel efficiencies of vehicles differing from assumptions used in the vehicle fleet model. Across the time series (2001–15), the average difference is 1.5 per cent for petrol and 4.8 per cent for diesel, which shows that the methods align very closely. This level of agreement compares favourably with the fuel data of other countries.</w:t>
      </w:r>
    </w:p>
    <w:p w14:paraId="0D3F5BB4" w14:textId="77777777" w:rsidR="009F5DA6" w:rsidRPr="00261B7A" w:rsidRDefault="009F5DA6" w:rsidP="009F5DA6">
      <w:pPr>
        <w:pStyle w:val="BodyText"/>
        <w:rPr>
          <w:rFonts w:cs="Calibri"/>
        </w:rPr>
      </w:pPr>
      <w:r w:rsidRPr="00261B7A">
        <w:t xml:space="preserve">MBIE receives import–export and excise data on liquid biofuels from the New Zealand Customs </w:t>
      </w:r>
      <w:r w:rsidRPr="00261B7A">
        <w:rPr>
          <w:spacing w:val="-2"/>
        </w:rPr>
        <w:t>Service and sales data from major fuel companies. In December 2012 the Biofuel Sales Obligation</w:t>
      </w:r>
      <w:r w:rsidRPr="00261B7A">
        <w:t xml:space="preserve"> was abolished and in June 2012 the Biodiesels Grant Scheme was removed. Following their removal, biodiesel use fell significantly and has remained relatively stagnant since.</w:t>
      </w:r>
    </w:p>
    <w:p w14:paraId="52ADCDA0" w14:textId="77777777" w:rsidR="009F5DA6" w:rsidRPr="00261B7A" w:rsidRDefault="009F5DA6" w:rsidP="009F5DA6">
      <w:pPr>
        <w:pStyle w:val="Heading5"/>
        <w:rPr>
          <w:rFonts w:cs="Calibri"/>
          <w:lang w:eastAsia="en-GB"/>
        </w:rPr>
      </w:pPr>
      <w:r w:rsidRPr="00261B7A">
        <w:rPr>
          <w:rFonts w:cs="Calibri"/>
          <w:lang w:eastAsia="en-GB"/>
        </w:rPr>
        <w:t>1.A.3.c Railways</w:t>
      </w:r>
    </w:p>
    <w:p w14:paraId="70B646AB" w14:textId="77777777" w:rsidR="009F5DA6" w:rsidRPr="00261B7A" w:rsidRDefault="009F5DA6" w:rsidP="009F5DA6">
      <w:pPr>
        <w:pStyle w:val="BodyText"/>
        <w:rPr>
          <w:rFonts w:cs="Calibri"/>
          <w:lang w:eastAsia="en-GB"/>
        </w:rPr>
      </w:pPr>
      <w:r w:rsidRPr="00261B7A">
        <w:rPr>
          <w:rFonts w:cs="Calibri"/>
          <w:lang w:eastAsia="en-GB"/>
        </w:rPr>
        <w:t xml:space="preserve">Activity data for fuel used in this category are obtained directly from KiwiRail. This also includes diesel sold to the metropolitan service operated by Veolia in Auckland. </w:t>
      </w:r>
    </w:p>
    <w:p w14:paraId="1BC1FC45" w14:textId="77777777" w:rsidR="009F5DA6" w:rsidRPr="00261B7A" w:rsidRDefault="009F5DA6" w:rsidP="009F5DA6">
      <w:pPr>
        <w:pStyle w:val="Heading5"/>
        <w:rPr>
          <w:rFonts w:cs="Calibri"/>
        </w:rPr>
      </w:pPr>
      <w:r w:rsidRPr="00261B7A">
        <w:rPr>
          <w:rFonts w:cs="Calibri"/>
          <w:lang w:eastAsia="en-GB"/>
        </w:rPr>
        <w:t xml:space="preserve">1.A.3.d Domestic navigation </w:t>
      </w:r>
    </w:p>
    <w:p w14:paraId="7BF79723" w14:textId="77777777" w:rsidR="009F5DA6" w:rsidRPr="00261B7A" w:rsidRDefault="009F5DA6" w:rsidP="009F5DA6">
      <w:pPr>
        <w:pStyle w:val="BodyText"/>
        <w:rPr>
          <w:rFonts w:cs="Calibri"/>
          <w:lang w:eastAsia="en-GB"/>
        </w:rPr>
      </w:pPr>
      <w:r w:rsidRPr="00261B7A">
        <w:rPr>
          <w:rFonts w:cs="Calibri"/>
          <w:lang w:eastAsia="en-GB"/>
        </w:rPr>
        <w:t xml:space="preserve">Activity data for fuel oil use in domestic transport are sourced from the quarterly </w:t>
      </w:r>
      <w:r w:rsidRPr="00261B7A">
        <w:rPr>
          <w:rFonts w:cs="Calibri"/>
          <w:iCs/>
          <w:spacing w:val="-2"/>
          <w:lang w:eastAsia="en-GB"/>
        </w:rPr>
        <w:t>DPFI</w:t>
      </w:r>
      <w:r w:rsidRPr="00261B7A">
        <w:rPr>
          <w:rFonts w:cs="Calibri"/>
          <w:i/>
          <w:iCs/>
          <w:lang w:eastAsia="en-GB"/>
        </w:rPr>
        <w:t xml:space="preserve"> </w:t>
      </w:r>
      <w:r w:rsidRPr="00261B7A">
        <w:rPr>
          <w:rFonts w:cs="Calibri"/>
          <w:lang w:eastAsia="en-GB"/>
        </w:rPr>
        <w:t xml:space="preserve">conducted by MBIE. The DPFI provides monthly marine diesel supply figures that are added to diesel consumption data provided by KiwiRail (the operator of the Interislander ferry service) to obtain total diesel consumption in the </w:t>
      </w:r>
      <w:r w:rsidRPr="00261B7A">
        <w:rPr>
          <w:rFonts w:cs="Calibri"/>
          <w:i/>
          <w:lang w:eastAsia="en-GB"/>
        </w:rPr>
        <w:t>Domestic navigation</w:t>
      </w:r>
      <w:r w:rsidRPr="00261B7A">
        <w:rPr>
          <w:rFonts w:cs="Calibri"/>
          <w:lang w:eastAsia="en-GB"/>
        </w:rPr>
        <w:t xml:space="preserve"> category. New Zealand-specific emission factors have been used to estimate </w:t>
      </w:r>
      <w:r w:rsidRPr="00261B7A">
        <w:rPr>
          <w:rFonts w:cs="Calibri"/>
        </w:rPr>
        <w:t>CO</w:t>
      </w:r>
      <w:r w:rsidRPr="00261B7A">
        <w:rPr>
          <w:rFonts w:cs="Calibri"/>
          <w:vertAlign w:val="subscript"/>
        </w:rPr>
        <w:t>2</w:t>
      </w:r>
      <w:r w:rsidRPr="00261B7A">
        <w:rPr>
          <w:rFonts w:cs="Calibri"/>
          <w:sz w:val="14"/>
          <w:szCs w:val="14"/>
          <w:lang w:eastAsia="en-GB"/>
        </w:rPr>
        <w:t xml:space="preserve"> </w:t>
      </w:r>
      <w:r w:rsidRPr="00261B7A">
        <w:rPr>
          <w:rFonts w:cs="Calibri"/>
          <w:lang w:eastAsia="en-GB"/>
        </w:rPr>
        <w:t xml:space="preserve">emissions and, because of insufficient data, the IPCC 2006 default emission factors have been used to estimate </w:t>
      </w:r>
      <w:r w:rsidRPr="00261B7A">
        <w:rPr>
          <w:rFonts w:cs="Calibri"/>
        </w:rPr>
        <w:t>CH</w:t>
      </w:r>
      <w:r w:rsidRPr="00261B7A">
        <w:rPr>
          <w:rFonts w:cs="Calibri"/>
          <w:vertAlign w:val="subscript"/>
        </w:rPr>
        <w:t>4</w:t>
      </w:r>
      <w:r w:rsidRPr="00261B7A">
        <w:rPr>
          <w:rFonts w:cs="Calibri"/>
          <w:sz w:val="14"/>
          <w:szCs w:val="14"/>
          <w:lang w:eastAsia="en-GB"/>
        </w:rPr>
        <w:t xml:space="preserve"> </w:t>
      </w:r>
      <w:r w:rsidRPr="00261B7A">
        <w:rPr>
          <w:rFonts w:cs="Calibri"/>
          <w:lang w:eastAsia="en-GB"/>
        </w:rPr>
        <w:t xml:space="preserve">and </w:t>
      </w:r>
      <w:r w:rsidRPr="00261B7A">
        <w:rPr>
          <w:rFonts w:cs="Calibri"/>
        </w:rPr>
        <w:t>N</w:t>
      </w:r>
      <w:r w:rsidRPr="00261B7A">
        <w:rPr>
          <w:rFonts w:cs="Calibri"/>
          <w:vertAlign w:val="subscript"/>
        </w:rPr>
        <w:t>2</w:t>
      </w:r>
      <w:r w:rsidRPr="00261B7A">
        <w:rPr>
          <w:rFonts w:cs="Calibri"/>
        </w:rPr>
        <w:t>O</w:t>
      </w:r>
      <w:r w:rsidRPr="00261B7A">
        <w:rPr>
          <w:rFonts w:cs="Calibri"/>
          <w:lang w:eastAsia="en-GB"/>
        </w:rPr>
        <w:t xml:space="preserve"> emissions.</w:t>
      </w:r>
    </w:p>
    <w:p w14:paraId="646E2322" w14:textId="77777777" w:rsidR="009F5DA6" w:rsidRPr="00261B7A" w:rsidRDefault="009F5DA6" w:rsidP="009F5DA6">
      <w:pPr>
        <w:pStyle w:val="BodyText"/>
        <w:rPr>
          <w:rFonts w:cs="Calibri"/>
        </w:rPr>
      </w:pPr>
      <w:r w:rsidRPr="00261B7A">
        <w:rPr>
          <w:rFonts w:cs="Calibri"/>
          <w:lang w:eastAsia="en-GB"/>
        </w:rPr>
        <w:t xml:space="preserve">Fuel sales to domestic navigation and international marine bunkers are reported separately in national energy data surveys. </w:t>
      </w:r>
    </w:p>
    <w:p w14:paraId="7046AE48" w14:textId="77777777" w:rsidR="009F5DA6" w:rsidRPr="00261B7A" w:rsidRDefault="009F5DA6" w:rsidP="009F5DA6">
      <w:pPr>
        <w:pStyle w:val="BodyText"/>
        <w:rPr>
          <w:rFonts w:cs="Calibri"/>
        </w:rPr>
      </w:pPr>
      <w:r w:rsidRPr="00261B7A">
        <w:rPr>
          <w:rFonts w:cs="Calibri"/>
        </w:rPr>
        <w:t xml:space="preserve">Historically, the Marsden Point oil refinery produced marine diesel oil (MDO). Production of </w:t>
      </w:r>
      <w:r w:rsidRPr="00261B7A">
        <w:rPr>
          <w:rFonts w:cs="Calibri"/>
          <w:spacing w:val="-2"/>
        </w:rPr>
        <w:t>MDO at the refinery stopped in late 2006. Data collected from the operators of the Interislande</w:t>
      </w:r>
      <w:r w:rsidRPr="00261B7A">
        <w:rPr>
          <w:rFonts w:cs="Calibri"/>
        </w:rPr>
        <w:t>r Ferry service (KiwiRail) have not included MDO use since 2006. The end of the collection of these data coincided with this operator ceasing a ‘fast ferry’ service (which ran on MDO) between the North Island and South Island. The remainder of its fleet runs on fuel oil.</w:t>
      </w:r>
    </w:p>
    <w:p w14:paraId="629905AD" w14:textId="77777777" w:rsidR="009F5DA6" w:rsidRPr="00261B7A" w:rsidRDefault="009F5DA6" w:rsidP="009F5DA6">
      <w:pPr>
        <w:pStyle w:val="BodyText"/>
        <w:rPr>
          <w:rFonts w:cs="Calibri"/>
          <w:lang w:eastAsia="en-GB"/>
        </w:rPr>
      </w:pPr>
      <w:r w:rsidRPr="00261B7A">
        <w:rPr>
          <w:rFonts w:cs="Calibri"/>
        </w:rPr>
        <w:t>No significant quantity of diesel is used for commercial domestic navigation in New Zealand. Smaller quantities of diesel may be used in private and/or recreational vessels, but this is difficult to estimate. The DPFI would capture these sales as road transport.</w:t>
      </w:r>
    </w:p>
    <w:p w14:paraId="237BB210" w14:textId="77777777" w:rsidR="009F5DA6" w:rsidRPr="00261B7A" w:rsidRDefault="009F5DA6" w:rsidP="004C583E">
      <w:pPr>
        <w:pStyle w:val="Heading4"/>
      </w:pPr>
      <w:r w:rsidRPr="00261B7A">
        <w:t>Uncertainties and time-series consistency</w:t>
      </w:r>
    </w:p>
    <w:p w14:paraId="5B6ADF16"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Uncertainties in emissions estimates from the </w:t>
      </w:r>
      <w:r w:rsidRPr="00261B7A">
        <w:rPr>
          <w:rFonts w:cs="Calibri"/>
          <w:i/>
          <w:lang w:eastAsia="en-GB"/>
        </w:rPr>
        <w:t>Transport</w:t>
      </w:r>
      <w:r w:rsidRPr="00261B7A">
        <w:rPr>
          <w:rFonts w:cs="Calibri"/>
          <w:lang w:eastAsia="en-GB"/>
        </w:rPr>
        <w:t xml:space="preserve"> category are relevant to the entire </w:t>
      </w:r>
      <w:r w:rsidRPr="00261B7A">
        <w:rPr>
          <w:rFonts w:cs="Calibri"/>
          <w:i/>
          <w:lang w:eastAsia="en-GB"/>
        </w:rPr>
        <w:t>Fuel combustion</w:t>
      </w:r>
      <w:r w:rsidRPr="00261B7A">
        <w:rPr>
          <w:rFonts w:cs="Calibri"/>
          <w:lang w:eastAsia="en-GB"/>
        </w:rPr>
        <w:t xml:space="preserve"> sector (see table 3.3.1).</w:t>
      </w:r>
    </w:p>
    <w:p w14:paraId="2DFD2F94" w14:textId="77777777" w:rsidR="009F5DA6" w:rsidRPr="00261B7A" w:rsidRDefault="009F5DA6" w:rsidP="004C583E">
      <w:pPr>
        <w:pStyle w:val="Heading4"/>
      </w:pPr>
      <w:r w:rsidRPr="00261B7A">
        <w:t>Source-specific QA/QC and verification</w:t>
      </w:r>
    </w:p>
    <w:p w14:paraId="6516F969" w14:textId="77777777" w:rsidR="009F5DA6" w:rsidRPr="00261B7A" w:rsidRDefault="009F5DA6" w:rsidP="009F5DA6">
      <w:pPr>
        <w:pStyle w:val="BodyText"/>
        <w:spacing w:before="100" w:after="100"/>
        <w:rPr>
          <w:rFonts w:cs="Calibri"/>
        </w:rPr>
      </w:pPr>
      <w:r w:rsidRPr="00261B7A">
        <w:rPr>
          <w:rFonts w:cs="Calibri"/>
          <w:lang w:eastAsia="en-GB"/>
        </w:rPr>
        <w:t xml:space="preserve">In the preparation of this inventory, the </w:t>
      </w:r>
      <w:r w:rsidRPr="00261B7A">
        <w:rPr>
          <w:rFonts w:cs="Calibri"/>
          <w:i/>
          <w:lang w:eastAsia="en-GB"/>
        </w:rPr>
        <w:t>Transport</w:t>
      </w:r>
      <w:r w:rsidRPr="00261B7A">
        <w:rPr>
          <w:rFonts w:cs="Calibri"/>
          <w:lang w:eastAsia="en-GB"/>
        </w:rPr>
        <w:t xml:space="preserve"> category underwent Tier 1 quality-assurance and quality-control checks as recommended in the 2006 IPCC Guidelines. These include regular control sums throughout systems, to verify system integrity, and time-series consistency checks.</w:t>
      </w:r>
    </w:p>
    <w:p w14:paraId="3D6B1746"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Comparisons of international implied emission factors across the time series (1990–2012), and those resulting from the new Tier 3 methodology for </w:t>
      </w:r>
      <w:r w:rsidRPr="00261B7A">
        <w:rPr>
          <w:rFonts w:cs="Calibri"/>
        </w:rPr>
        <w:t>CH</w:t>
      </w:r>
      <w:r w:rsidRPr="00261B7A">
        <w:rPr>
          <w:rFonts w:cs="Calibri"/>
          <w:vertAlign w:val="subscript"/>
        </w:rPr>
        <w:t>4</w:t>
      </w:r>
      <w:r w:rsidRPr="00261B7A">
        <w:rPr>
          <w:rFonts w:cs="Calibri"/>
          <w:lang w:eastAsia="en-GB"/>
        </w:rPr>
        <w:t xml:space="preserve"> and </w:t>
      </w:r>
      <w:r w:rsidRPr="00261B7A">
        <w:rPr>
          <w:rFonts w:cs="Calibri"/>
        </w:rPr>
        <w:t>N</w:t>
      </w:r>
      <w:r w:rsidRPr="00261B7A">
        <w:rPr>
          <w:rFonts w:cs="Calibri"/>
          <w:vertAlign w:val="subscript"/>
        </w:rPr>
        <w:t>2</w:t>
      </w:r>
      <w:r w:rsidRPr="00261B7A">
        <w:rPr>
          <w:rFonts w:cs="Calibri"/>
        </w:rPr>
        <w:t>O</w:t>
      </w:r>
      <w:r w:rsidRPr="00261B7A">
        <w:rPr>
          <w:rFonts w:cs="Calibri"/>
          <w:lang w:eastAsia="en-GB"/>
        </w:rPr>
        <w:t xml:space="preserve"> emissions from road transport, were made using data from the United Nations Framework Convention on Climate Change website. </w:t>
      </w:r>
    </w:p>
    <w:p w14:paraId="5068A202" w14:textId="77777777" w:rsidR="009F5DA6" w:rsidRPr="00261B7A" w:rsidRDefault="009F5DA6" w:rsidP="004C583E">
      <w:pPr>
        <w:pStyle w:val="Heading4"/>
      </w:pPr>
      <w:r w:rsidRPr="00261B7A">
        <w:t>Source-specific recalculations</w:t>
      </w:r>
    </w:p>
    <w:p w14:paraId="591C0ECD"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Minor revisions to historical data have been made within the oil data system at MBIE. The method used to model emissions for the </w:t>
      </w:r>
      <w:r w:rsidRPr="00261B7A">
        <w:rPr>
          <w:rFonts w:cs="Calibri"/>
          <w:i/>
          <w:lang w:eastAsia="en-GB"/>
        </w:rPr>
        <w:t xml:space="preserve">Road transportation </w:t>
      </w:r>
      <w:r w:rsidRPr="00261B7A">
        <w:rPr>
          <w:rFonts w:cs="Calibri"/>
          <w:lang w:eastAsia="en-GB"/>
        </w:rPr>
        <w:t>category in the period 1990 to 2000 has been updated to improve consistency between fuels and vehicle types.</w:t>
      </w:r>
    </w:p>
    <w:p w14:paraId="2470B3C7" w14:textId="77777777" w:rsidR="009F5DA6" w:rsidRPr="00261B7A" w:rsidRDefault="009F5DA6" w:rsidP="004C583E">
      <w:pPr>
        <w:pStyle w:val="Heading4"/>
      </w:pPr>
      <w:r w:rsidRPr="00261B7A">
        <w:t>Source-specific improvements</w:t>
      </w:r>
    </w:p>
    <w:p w14:paraId="12ADA2F3"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Revisions to the national energy balance have resulted in reallocation of liquid fuel activity data from </w:t>
      </w:r>
      <w:r w:rsidRPr="00261B7A">
        <w:rPr>
          <w:rFonts w:cs="Calibri"/>
          <w:i/>
          <w:iCs/>
          <w:lang w:eastAsia="en-GB"/>
        </w:rPr>
        <w:t>Transport</w:t>
      </w:r>
      <w:r w:rsidRPr="00261B7A">
        <w:rPr>
          <w:rFonts w:cs="Calibri"/>
          <w:lang w:eastAsia="en-GB"/>
        </w:rPr>
        <w:t xml:space="preserve"> to the </w:t>
      </w:r>
      <w:r w:rsidRPr="00261B7A">
        <w:rPr>
          <w:rFonts w:cs="Calibri"/>
          <w:i/>
          <w:iCs/>
          <w:lang w:eastAsia="en-GB"/>
        </w:rPr>
        <w:t>Residential</w:t>
      </w:r>
      <w:r w:rsidRPr="00261B7A">
        <w:rPr>
          <w:rFonts w:cs="Calibri"/>
          <w:lang w:eastAsia="en-GB"/>
        </w:rPr>
        <w:t xml:space="preserve"> category. A description of the change is provided in section 3.3.9.</w:t>
      </w:r>
    </w:p>
    <w:p w14:paraId="2A510CF6" w14:textId="77777777" w:rsidR="009F5DA6" w:rsidRPr="00261B7A" w:rsidRDefault="009F5DA6" w:rsidP="009F5DA6">
      <w:pPr>
        <w:pStyle w:val="BodyText"/>
        <w:spacing w:before="100" w:after="100"/>
      </w:pPr>
      <w:r w:rsidRPr="00261B7A">
        <w:t>A previous ERT recommendation was to:</w:t>
      </w:r>
    </w:p>
    <w:p w14:paraId="026AF431" w14:textId="77777777" w:rsidR="009F5DA6" w:rsidRPr="00261B7A" w:rsidRDefault="009F5DA6" w:rsidP="009F5DA6">
      <w:pPr>
        <w:pStyle w:val="Quote"/>
      </w:pPr>
      <w:r w:rsidRPr="00261B7A">
        <w:t>Continue to estimate the CO</w:t>
      </w:r>
      <w:r w:rsidRPr="00261B7A">
        <w:rPr>
          <w:vertAlign w:val="subscript"/>
        </w:rPr>
        <w:t>2</w:t>
      </w:r>
      <w:r w:rsidRPr="00261B7A">
        <w:t xml:space="preserve"> emissions on the basis of fuel sold, but report the CO</w:t>
      </w:r>
      <w:r w:rsidRPr="00261B7A">
        <w:rPr>
          <w:vertAlign w:val="subscript"/>
        </w:rPr>
        <w:t>2</w:t>
      </w:r>
      <w:r w:rsidRPr="00261B7A">
        <w:t xml:space="preserve"> emissions disaggregated by vehicle mode using the data collected for the estimation of CH</w:t>
      </w:r>
      <w:r w:rsidRPr="00261B7A">
        <w:rPr>
          <w:vertAlign w:val="subscript"/>
        </w:rPr>
        <w:t>4</w:t>
      </w:r>
      <w:r w:rsidRPr="00261B7A">
        <w:t xml:space="preserve"> and N</w:t>
      </w:r>
      <w:r w:rsidRPr="00261B7A">
        <w:rPr>
          <w:vertAlign w:val="subscript"/>
        </w:rPr>
        <w:t>2</w:t>
      </w:r>
      <w:r w:rsidRPr="00261B7A">
        <w:t xml:space="preserve">O emissions. </w:t>
      </w:r>
    </w:p>
    <w:p w14:paraId="5C269F77" w14:textId="77777777" w:rsidR="009F5DA6" w:rsidRPr="00261B7A" w:rsidRDefault="009F5DA6" w:rsidP="009F5DA6">
      <w:pPr>
        <w:pStyle w:val="BodyText"/>
        <w:spacing w:after="100"/>
        <w:rPr>
          <w:rFonts w:cs="Calibri"/>
        </w:rPr>
      </w:pPr>
      <w:r w:rsidRPr="00261B7A">
        <w:rPr>
          <w:rFonts w:cs="Calibri"/>
        </w:rPr>
        <w:t xml:space="preserve">This was implemented using the </w:t>
      </w:r>
      <w:r w:rsidRPr="00261B7A">
        <w:rPr>
          <w:rFonts w:cs="Calibri"/>
          <w:lang w:eastAsia="en-GB"/>
        </w:rPr>
        <w:t>vehicle-kilometres-travelled</w:t>
      </w:r>
      <w:r w:rsidRPr="00261B7A">
        <w:rPr>
          <w:rFonts w:cs="Calibri"/>
        </w:rPr>
        <w:t xml:space="preserve"> data as the basis for the disaggregation. The Ministry of Transport has now provided estimates of CO</w:t>
      </w:r>
      <w:r w:rsidRPr="00261B7A">
        <w:rPr>
          <w:rFonts w:cs="Calibri"/>
          <w:vertAlign w:val="subscript"/>
        </w:rPr>
        <w:t>2</w:t>
      </w:r>
      <w:r w:rsidRPr="00261B7A">
        <w:rPr>
          <w:rFonts w:cs="Calibri"/>
        </w:rPr>
        <w:t xml:space="preserve"> by mode based on its vehicle fleet data and incorporating estimates of vehicle fuel economy. This represents best practice and will greatly increase accuracy. These splits have been used to disaggregate the MBIE petrol and diesel fuel sales data between cars, light trucks, heavy trucks/buses and motorcycles.</w:t>
      </w:r>
    </w:p>
    <w:p w14:paraId="50C083C1" w14:textId="77777777" w:rsidR="009F5DA6" w:rsidRPr="00261B7A" w:rsidRDefault="009F5DA6" w:rsidP="009F5DA6">
      <w:pPr>
        <w:pStyle w:val="BodyText"/>
        <w:spacing w:before="100" w:after="100"/>
        <w:rPr>
          <w:lang w:eastAsia="en-GB"/>
        </w:rPr>
      </w:pPr>
      <w:r w:rsidRPr="00261B7A">
        <w:rPr>
          <w:rFonts w:cs="Calibri"/>
        </w:rPr>
        <w:t xml:space="preserve">This change has no impact on overall road transport emissions, but has resulted in reallocation </w:t>
      </w:r>
      <w:r w:rsidRPr="00261B7A">
        <w:rPr>
          <w:rFonts w:cs="Calibri"/>
          <w:spacing w:val="-2"/>
        </w:rPr>
        <w:t xml:space="preserve">between modes: </w:t>
      </w:r>
      <w:r w:rsidRPr="00261B7A">
        <w:rPr>
          <w:spacing w:val="-2"/>
        </w:rPr>
        <w:t>the estimated petrol consumption by cars has decreased (average –165 kt CO</w:t>
      </w:r>
      <w:r w:rsidRPr="00261B7A">
        <w:rPr>
          <w:spacing w:val="-2"/>
          <w:vertAlign w:val="subscript"/>
        </w:rPr>
        <w:t>2</w:t>
      </w:r>
      <w:r w:rsidRPr="00261B7A">
        <w:t xml:space="preserve"> across the time series) while petrol consumption by light trucks has increased (average +201 kt CO</w:t>
      </w:r>
      <w:r w:rsidRPr="00261B7A">
        <w:rPr>
          <w:vertAlign w:val="subscript"/>
        </w:rPr>
        <w:t>2</w:t>
      </w:r>
      <w:r w:rsidRPr="00261B7A">
        <w:t xml:space="preserve"> across the time series). The estimated diesel consumption by cars has decreased (average –1,106 kt CO</w:t>
      </w:r>
      <w:r w:rsidRPr="00261B7A">
        <w:rPr>
          <w:vertAlign w:val="subscript"/>
        </w:rPr>
        <w:t>2</w:t>
      </w:r>
      <w:r w:rsidRPr="00261B7A">
        <w:t xml:space="preserve"> across the time series) while diesel consumption by heavy trucks/buses has increased (average +1,794 kt CO</w:t>
      </w:r>
      <w:r w:rsidRPr="00261B7A">
        <w:rPr>
          <w:vertAlign w:val="subscript"/>
        </w:rPr>
        <w:t>2</w:t>
      </w:r>
      <w:r w:rsidRPr="00261B7A">
        <w:t xml:space="preserve"> across the time series). </w:t>
      </w:r>
    </w:p>
    <w:p w14:paraId="048B66B2" w14:textId="77777777" w:rsidR="009F5DA6" w:rsidRPr="00261B7A" w:rsidRDefault="009F5DA6" w:rsidP="004C583E">
      <w:pPr>
        <w:pStyle w:val="Heading4"/>
      </w:pPr>
      <w:r w:rsidRPr="00261B7A">
        <w:t>Source-specific planned improvements</w:t>
      </w:r>
    </w:p>
    <w:p w14:paraId="72EF7D7F" w14:textId="77777777" w:rsidR="009F5DA6" w:rsidRPr="00261B7A" w:rsidRDefault="009F5DA6" w:rsidP="009F5DA6">
      <w:pPr>
        <w:pStyle w:val="BodyText"/>
        <w:spacing w:before="100" w:after="100"/>
        <w:rPr>
          <w:rFonts w:cs="Calibri"/>
        </w:rPr>
      </w:pPr>
      <w:r w:rsidRPr="00261B7A">
        <w:rPr>
          <w:rFonts w:cs="Calibri"/>
          <w:lang w:eastAsia="en-GB"/>
        </w:rPr>
        <w:t>MBIE and the Ministry of Transport are considering incorporating the results of a new aviation emissions model in the inventory estimates (for CH</w:t>
      </w:r>
      <w:r w:rsidRPr="00261B7A">
        <w:rPr>
          <w:rFonts w:cs="Calibri"/>
          <w:vertAlign w:val="subscript"/>
          <w:lang w:eastAsia="en-GB"/>
        </w:rPr>
        <w:t>4</w:t>
      </w:r>
      <w:r w:rsidRPr="00261B7A">
        <w:rPr>
          <w:rFonts w:cs="Calibri"/>
          <w:lang w:eastAsia="en-GB"/>
        </w:rPr>
        <w:t xml:space="preserve"> and N</w:t>
      </w:r>
      <w:r w:rsidRPr="00261B7A">
        <w:rPr>
          <w:rFonts w:cs="Calibri"/>
          <w:vertAlign w:val="subscript"/>
          <w:lang w:eastAsia="en-GB"/>
        </w:rPr>
        <w:t>2</w:t>
      </w:r>
      <w:r w:rsidRPr="00261B7A">
        <w:rPr>
          <w:rFonts w:cs="Calibri"/>
          <w:lang w:eastAsia="en-GB"/>
        </w:rPr>
        <w:t xml:space="preserve">O emissions). This will require time and resources to progress if it is deemed to be a worthwhile improvement. An update will be provided in the next annual submission. </w:t>
      </w:r>
    </w:p>
    <w:p w14:paraId="68AE723C" w14:textId="77777777" w:rsidR="009F5DA6" w:rsidRPr="00261B7A" w:rsidRDefault="009F5DA6" w:rsidP="0034058F">
      <w:pPr>
        <w:pStyle w:val="Heading3"/>
      </w:pPr>
      <w:r w:rsidRPr="00261B7A">
        <w:t>3.3.9</w:t>
      </w:r>
      <w:r w:rsidRPr="00261B7A">
        <w:tab/>
        <w:t>Fuel combustion: Other sectors (CRF 1.A.4)</w:t>
      </w:r>
    </w:p>
    <w:p w14:paraId="076166CE" w14:textId="77777777" w:rsidR="009F5DA6" w:rsidRPr="00261B7A" w:rsidRDefault="009F5DA6" w:rsidP="004C583E">
      <w:pPr>
        <w:pStyle w:val="Heading4"/>
      </w:pPr>
      <w:r w:rsidRPr="00261B7A">
        <w:t>Description</w:t>
      </w:r>
    </w:p>
    <w:p w14:paraId="3EB19BBE" w14:textId="77777777" w:rsidR="009F5DA6" w:rsidRPr="00261B7A" w:rsidRDefault="009F5DA6" w:rsidP="009F5DA6">
      <w:pPr>
        <w:pStyle w:val="BodyText"/>
        <w:rPr>
          <w:rFonts w:cs="Calibri"/>
          <w:lang w:eastAsia="en-GB"/>
        </w:rPr>
      </w:pPr>
      <w:r w:rsidRPr="00261B7A">
        <w:rPr>
          <w:rFonts w:cs="Calibri"/>
          <w:lang w:eastAsia="en-GB"/>
        </w:rPr>
        <w:t xml:space="preserve">The category 1.A.4 </w:t>
      </w:r>
      <w:r w:rsidRPr="00261B7A">
        <w:rPr>
          <w:rFonts w:cs="Calibri"/>
          <w:i/>
          <w:lang w:eastAsia="en-GB"/>
        </w:rPr>
        <w:t>Other sectors</w:t>
      </w:r>
      <w:r w:rsidRPr="00261B7A">
        <w:rPr>
          <w:rFonts w:cs="Calibri"/>
          <w:lang w:eastAsia="en-GB"/>
        </w:rPr>
        <w:t xml:space="preserve"> comprises emissions from fuels combusted in the </w:t>
      </w:r>
      <w:r w:rsidRPr="00261B7A">
        <w:rPr>
          <w:rFonts w:cs="Calibri"/>
          <w:i/>
          <w:lang w:eastAsia="en-GB"/>
        </w:rPr>
        <w:t>Commercial/institutional</w:t>
      </w:r>
      <w:r w:rsidRPr="00261B7A">
        <w:rPr>
          <w:rFonts w:cs="Calibri"/>
          <w:lang w:eastAsia="en-GB"/>
        </w:rPr>
        <w:t xml:space="preserve">, </w:t>
      </w:r>
      <w:r w:rsidRPr="00261B7A">
        <w:rPr>
          <w:rFonts w:cs="Calibri"/>
          <w:i/>
          <w:lang w:eastAsia="en-GB"/>
        </w:rPr>
        <w:t>Residential</w:t>
      </w:r>
      <w:r w:rsidRPr="00261B7A">
        <w:rPr>
          <w:rFonts w:cs="Calibri"/>
          <w:lang w:eastAsia="en-GB"/>
        </w:rPr>
        <w:t xml:space="preserve"> and </w:t>
      </w:r>
      <w:r w:rsidRPr="00261B7A">
        <w:rPr>
          <w:rFonts w:cs="Calibri"/>
          <w:i/>
          <w:lang w:eastAsia="en-GB"/>
        </w:rPr>
        <w:t>Agriculture/forestry/fishing</w:t>
      </w:r>
      <w:r w:rsidRPr="00261B7A">
        <w:rPr>
          <w:rFonts w:cs="Calibri"/>
          <w:lang w:eastAsia="en-GB"/>
        </w:rPr>
        <w:t xml:space="preserve"> categories.</w:t>
      </w:r>
    </w:p>
    <w:p w14:paraId="3EB096A0" w14:textId="77777777" w:rsidR="009F5DA6" w:rsidRPr="00261B7A" w:rsidRDefault="009F5DA6" w:rsidP="009F5DA6">
      <w:pPr>
        <w:pStyle w:val="BodyText"/>
        <w:rPr>
          <w:rFonts w:cs="Calibri"/>
        </w:rPr>
      </w:pPr>
      <w:r w:rsidRPr="00261B7A">
        <w:rPr>
          <w:rFonts w:cs="Calibri"/>
          <w:lang w:eastAsia="en-GB"/>
        </w:rPr>
        <w:t xml:space="preserve">In </w:t>
      </w:r>
      <w:r w:rsidRPr="00261B7A">
        <w:rPr>
          <w:rFonts w:cs="Calibri"/>
        </w:rPr>
        <w:t>2021</w:t>
      </w:r>
      <w:r w:rsidRPr="00261B7A">
        <w:rPr>
          <w:rFonts w:cs="Calibri"/>
          <w:lang w:eastAsia="en-GB"/>
        </w:rPr>
        <w:t xml:space="preserve">, the </w:t>
      </w:r>
      <w:r w:rsidRPr="00261B7A">
        <w:rPr>
          <w:rFonts w:cs="Calibri"/>
          <w:i/>
          <w:lang w:eastAsia="en-GB"/>
        </w:rPr>
        <w:t>Fuel combustion – Other sectors</w:t>
      </w:r>
      <w:r w:rsidRPr="00261B7A">
        <w:rPr>
          <w:rFonts w:cs="Calibri"/>
          <w:lang w:eastAsia="en-GB"/>
        </w:rPr>
        <w:t xml:space="preserve"> category accounted for 4,539.3</w:t>
      </w:r>
      <w:r w:rsidRPr="00261B7A">
        <w:rPr>
          <w:rFonts w:cs="Calibri"/>
        </w:rPr>
        <w:t xml:space="preserve"> </w:t>
      </w:r>
      <w:r w:rsidRPr="00261B7A">
        <w:rPr>
          <w:rFonts w:cs="Calibri"/>
          <w:lang w:eastAsia="en-GB"/>
        </w:rPr>
        <w:t>kt CO</w:t>
      </w:r>
      <w:r w:rsidRPr="00261B7A">
        <w:rPr>
          <w:rFonts w:cs="Calibri"/>
          <w:vertAlign w:val="subscript"/>
          <w:lang w:eastAsia="en-GB"/>
        </w:rPr>
        <w:t>2</w:t>
      </w:r>
      <w:r w:rsidRPr="00261B7A">
        <w:rPr>
          <w:rFonts w:cs="Calibri"/>
          <w:lang w:eastAsia="en-GB"/>
        </w:rPr>
        <w:t>-e (</w:t>
      </w:r>
      <w:r w:rsidRPr="00261B7A">
        <w:rPr>
          <w:rFonts w:cs="Calibri"/>
        </w:rPr>
        <w:t>14.5 per cent</w:t>
      </w:r>
      <w:r w:rsidRPr="00261B7A">
        <w:rPr>
          <w:rFonts w:cs="Calibri"/>
          <w:lang w:eastAsia="en-GB"/>
        </w:rPr>
        <w:t xml:space="preserve"> of the emissions from the Energy sector). This is 961.1 kt CO</w:t>
      </w:r>
      <w:r w:rsidRPr="00261B7A">
        <w:rPr>
          <w:rFonts w:cs="Calibri"/>
          <w:vertAlign w:val="subscript"/>
          <w:lang w:eastAsia="en-GB"/>
        </w:rPr>
        <w:t>2</w:t>
      </w:r>
      <w:r w:rsidRPr="00261B7A">
        <w:rPr>
          <w:rFonts w:cs="Calibri"/>
          <w:lang w:eastAsia="en-GB"/>
        </w:rPr>
        <w:t>-e (</w:t>
      </w:r>
      <w:r w:rsidRPr="00261B7A">
        <w:rPr>
          <w:rFonts w:cs="Calibri"/>
        </w:rPr>
        <w:t>26.9 per cent</w:t>
      </w:r>
      <w:r w:rsidRPr="00261B7A">
        <w:rPr>
          <w:rFonts w:cs="Calibri"/>
          <w:lang w:eastAsia="en-GB"/>
        </w:rPr>
        <w:t xml:space="preserve">) higher than the 1990 value of </w:t>
      </w:r>
      <w:r w:rsidRPr="00261B7A">
        <w:rPr>
          <w:rFonts w:cs="Calibri"/>
        </w:rPr>
        <w:t xml:space="preserve">3,578.2 </w:t>
      </w:r>
      <w:r w:rsidRPr="00261B7A">
        <w:rPr>
          <w:rFonts w:cs="Calibri"/>
          <w:lang w:eastAsia="en-GB"/>
        </w:rPr>
        <w:t>kt CO</w:t>
      </w:r>
      <w:r w:rsidRPr="00261B7A">
        <w:rPr>
          <w:rFonts w:cs="Calibri"/>
          <w:vertAlign w:val="subscript"/>
          <w:lang w:eastAsia="en-GB"/>
        </w:rPr>
        <w:t>2</w:t>
      </w:r>
      <w:r w:rsidRPr="00261B7A">
        <w:rPr>
          <w:rFonts w:cs="Calibri"/>
          <w:lang w:eastAsia="en-GB"/>
        </w:rPr>
        <w:t>-e.</w:t>
      </w:r>
    </w:p>
    <w:p w14:paraId="178F405C" w14:textId="77777777" w:rsidR="009F5DA6" w:rsidRPr="00261B7A" w:rsidRDefault="009F5DA6" w:rsidP="004C583E">
      <w:pPr>
        <w:pStyle w:val="Heading4"/>
      </w:pPr>
      <w:r w:rsidRPr="00261B7A">
        <w:t>Changes in emissions between 2020 and 2021</w:t>
      </w:r>
    </w:p>
    <w:p w14:paraId="6DA4C0CB"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Between </w:t>
      </w:r>
      <w:r w:rsidRPr="00261B7A">
        <w:rPr>
          <w:rFonts w:cs="Calibri"/>
        </w:rPr>
        <w:t xml:space="preserve">2020 </w:t>
      </w:r>
      <w:r w:rsidRPr="00261B7A">
        <w:rPr>
          <w:rFonts w:cs="Calibri"/>
          <w:lang w:eastAsia="en-GB"/>
        </w:rPr>
        <w:t xml:space="preserve">and </w:t>
      </w:r>
      <w:r w:rsidRPr="00261B7A">
        <w:rPr>
          <w:rFonts w:cs="Calibri"/>
        </w:rPr>
        <w:t>2021</w:t>
      </w:r>
      <w:r w:rsidRPr="00261B7A">
        <w:rPr>
          <w:rFonts w:cs="Calibri"/>
          <w:lang w:eastAsia="en-GB"/>
        </w:rPr>
        <w:t xml:space="preserve">, emissions from 1.A.4 </w:t>
      </w:r>
      <w:r w:rsidRPr="00261B7A">
        <w:rPr>
          <w:rFonts w:cs="Calibri"/>
          <w:i/>
          <w:lang w:eastAsia="en-GB"/>
        </w:rPr>
        <w:t>Other sectors</w:t>
      </w:r>
      <w:r w:rsidRPr="00261B7A">
        <w:rPr>
          <w:rFonts w:cs="Calibri"/>
          <w:lang w:eastAsia="en-GB"/>
        </w:rPr>
        <w:t xml:space="preserve"> </w:t>
      </w:r>
      <w:r w:rsidRPr="00261B7A">
        <w:rPr>
          <w:rFonts w:cs="Calibri"/>
        </w:rPr>
        <w:t>decreased by 106.5 </w:t>
      </w:r>
      <w:r w:rsidRPr="00261B7A">
        <w:rPr>
          <w:rFonts w:cs="Calibri"/>
          <w:lang w:eastAsia="en-GB"/>
        </w:rPr>
        <w:t>kt CO</w:t>
      </w:r>
      <w:r w:rsidRPr="00261B7A">
        <w:rPr>
          <w:rFonts w:cs="Calibri"/>
          <w:vertAlign w:val="subscript"/>
          <w:lang w:eastAsia="en-GB"/>
        </w:rPr>
        <w:t>2</w:t>
      </w:r>
      <w:r w:rsidRPr="00261B7A">
        <w:rPr>
          <w:rFonts w:cs="Calibri"/>
          <w:lang w:eastAsia="en-GB"/>
        </w:rPr>
        <w:noBreakHyphen/>
        <w:t>e (2.3</w:t>
      </w:r>
      <w:r w:rsidRPr="00261B7A">
        <w:rPr>
          <w:rFonts w:cs="Calibri"/>
        </w:rPr>
        <w:t> per cent</w:t>
      </w:r>
      <w:r w:rsidRPr="00261B7A">
        <w:rPr>
          <w:rFonts w:cs="Calibri"/>
          <w:lang w:eastAsia="en-GB"/>
        </w:rPr>
        <w:t xml:space="preserve">). </w:t>
      </w:r>
    </w:p>
    <w:p w14:paraId="64850E80" w14:textId="77777777" w:rsidR="009F5DA6" w:rsidRPr="00261B7A" w:rsidRDefault="009F5DA6" w:rsidP="009F5DA6">
      <w:pPr>
        <w:pStyle w:val="BodyText"/>
        <w:spacing w:before="100" w:after="100"/>
        <w:rPr>
          <w:rFonts w:cs="Calibri"/>
        </w:rPr>
      </w:pPr>
      <w:r w:rsidRPr="00261B7A">
        <w:rPr>
          <w:rFonts w:cs="Calibri"/>
        </w:rPr>
        <w:t xml:space="preserve">Key categories identified in the 2021 level and trend assessment for the </w:t>
      </w:r>
      <w:r w:rsidRPr="00261B7A">
        <w:rPr>
          <w:rFonts w:cs="Calibri"/>
          <w:i/>
        </w:rPr>
        <w:t>Other sectors</w:t>
      </w:r>
      <w:r w:rsidRPr="00261B7A">
        <w:rPr>
          <w:rFonts w:cs="Calibri"/>
        </w:rPr>
        <w:t xml:space="preserve"> category are given in table 3.3.7.</w:t>
      </w:r>
    </w:p>
    <w:p w14:paraId="5F8A2DEC" w14:textId="77777777" w:rsidR="009F5DA6" w:rsidRPr="00261B7A" w:rsidRDefault="009F5DA6" w:rsidP="009F5DA6">
      <w:pPr>
        <w:pStyle w:val="Table"/>
      </w:pPr>
      <w:bookmarkStart w:id="388" w:name="_Toc68786411"/>
      <w:bookmarkStart w:id="389" w:name="_Toc131591324"/>
      <w:r w:rsidRPr="00261B7A">
        <w:t>Table 3.3.7</w:t>
      </w:r>
      <w:r w:rsidRPr="00261B7A">
        <w:tab/>
        <w:t xml:space="preserve">Key categories for 1.A.4 </w:t>
      </w:r>
      <w:r w:rsidRPr="00261B7A">
        <w:rPr>
          <w:i/>
          <w:iCs/>
          <w:lang w:eastAsia="en-GB"/>
        </w:rPr>
        <w:t>Other sectors</w:t>
      </w:r>
      <w:bookmarkEnd w:id="388"/>
      <w:bookmarkEnd w:id="389"/>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3769"/>
        <w:gridCol w:w="1660"/>
        <w:gridCol w:w="1509"/>
        <w:gridCol w:w="1567"/>
      </w:tblGrid>
      <w:tr w:rsidR="009F5DA6" w:rsidRPr="00261B7A" w14:paraId="47BA4C16" w14:textId="77777777" w:rsidTr="00D41492">
        <w:trPr>
          <w:tblHeader/>
        </w:trPr>
        <w:tc>
          <w:tcPr>
            <w:tcW w:w="2216" w:type="pct"/>
            <w:shd w:val="clear" w:color="auto" w:fill="1B556B"/>
            <w:noWrap/>
            <w:vAlign w:val="bottom"/>
            <w:hideMark/>
          </w:tcPr>
          <w:p w14:paraId="5310A660" w14:textId="77777777" w:rsidR="009F5DA6" w:rsidRPr="00261B7A" w:rsidRDefault="009F5DA6" w:rsidP="00D41492">
            <w:pPr>
              <w:pStyle w:val="TableTextBold"/>
              <w:rPr>
                <w:rFonts w:cs="Calibri"/>
                <w:noProof w:val="0"/>
                <w:color w:val="FFFFFF"/>
              </w:rPr>
            </w:pPr>
          </w:p>
        </w:tc>
        <w:tc>
          <w:tcPr>
            <w:tcW w:w="976" w:type="pct"/>
            <w:shd w:val="clear" w:color="auto" w:fill="1B556B"/>
            <w:noWrap/>
            <w:vAlign w:val="bottom"/>
            <w:hideMark/>
          </w:tcPr>
          <w:p w14:paraId="40CBA371" w14:textId="77777777" w:rsidR="009F5DA6" w:rsidRPr="00261B7A" w:rsidRDefault="009F5DA6" w:rsidP="00D41492">
            <w:pPr>
              <w:pStyle w:val="TableTextBold"/>
              <w:rPr>
                <w:rFonts w:cs="Calibri"/>
                <w:noProof w:val="0"/>
                <w:color w:val="FFFFFF"/>
              </w:rPr>
            </w:pPr>
            <w:r w:rsidRPr="00261B7A">
              <w:rPr>
                <w:rFonts w:cs="Calibri"/>
                <w:noProof w:val="0"/>
                <w:color w:val="FFFFFF"/>
              </w:rPr>
              <w:t>Liquid fuels</w:t>
            </w:r>
          </w:p>
        </w:tc>
        <w:tc>
          <w:tcPr>
            <w:tcW w:w="887" w:type="pct"/>
            <w:shd w:val="clear" w:color="auto" w:fill="1B556B"/>
            <w:vAlign w:val="bottom"/>
            <w:hideMark/>
          </w:tcPr>
          <w:p w14:paraId="5F49F579" w14:textId="77777777" w:rsidR="009F5DA6" w:rsidRPr="00261B7A" w:rsidRDefault="009F5DA6" w:rsidP="00D41492">
            <w:pPr>
              <w:pStyle w:val="TableTextBold"/>
              <w:rPr>
                <w:rFonts w:cs="Calibri"/>
                <w:noProof w:val="0"/>
                <w:color w:val="FFFFFF"/>
              </w:rPr>
            </w:pPr>
            <w:r w:rsidRPr="00261B7A">
              <w:rPr>
                <w:rFonts w:cs="Calibri"/>
                <w:noProof w:val="0"/>
                <w:color w:val="FFFFFF"/>
              </w:rPr>
              <w:t>Solid fuels</w:t>
            </w:r>
          </w:p>
        </w:tc>
        <w:tc>
          <w:tcPr>
            <w:tcW w:w="921" w:type="pct"/>
            <w:shd w:val="clear" w:color="auto" w:fill="1B556B"/>
            <w:vAlign w:val="bottom"/>
            <w:hideMark/>
          </w:tcPr>
          <w:p w14:paraId="335B117A" w14:textId="77777777" w:rsidR="009F5DA6" w:rsidRPr="00261B7A" w:rsidRDefault="009F5DA6" w:rsidP="00D41492">
            <w:pPr>
              <w:pStyle w:val="TableTextBold"/>
              <w:rPr>
                <w:rFonts w:cs="Calibri"/>
                <w:noProof w:val="0"/>
                <w:color w:val="FFFFFF"/>
              </w:rPr>
            </w:pPr>
            <w:r w:rsidRPr="00261B7A">
              <w:rPr>
                <w:rFonts w:cs="Calibri"/>
                <w:noProof w:val="0"/>
                <w:color w:val="FFFFFF"/>
              </w:rPr>
              <w:t>Gaseous fuels</w:t>
            </w:r>
          </w:p>
        </w:tc>
      </w:tr>
      <w:tr w:rsidR="009F5DA6" w:rsidRPr="00261B7A" w14:paraId="3576A2F3" w14:textId="77777777" w:rsidTr="00D41492">
        <w:tc>
          <w:tcPr>
            <w:tcW w:w="2216" w:type="pct"/>
            <w:shd w:val="clear" w:color="auto" w:fill="auto"/>
            <w:noWrap/>
            <w:hideMark/>
          </w:tcPr>
          <w:p w14:paraId="5105CEDE" w14:textId="77777777" w:rsidR="009F5DA6" w:rsidRPr="00261B7A" w:rsidRDefault="009F5DA6" w:rsidP="00D41492">
            <w:pPr>
              <w:pStyle w:val="TableText"/>
              <w:spacing w:before="50" w:after="50"/>
              <w:rPr>
                <w:rFonts w:cs="Calibri"/>
              </w:rPr>
            </w:pPr>
            <w:r w:rsidRPr="00261B7A">
              <w:rPr>
                <w:rFonts w:cs="Calibri"/>
              </w:rPr>
              <w:t>Commercial/institutional – CO</w:t>
            </w:r>
            <w:r w:rsidRPr="00261B7A">
              <w:rPr>
                <w:rFonts w:cs="Calibri"/>
                <w:vertAlign w:val="subscript"/>
              </w:rPr>
              <w:t>2</w:t>
            </w:r>
          </w:p>
        </w:tc>
        <w:tc>
          <w:tcPr>
            <w:tcW w:w="976" w:type="pct"/>
            <w:shd w:val="clear" w:color="auto" w:fill="auto"/>
            <w:noWrap/>
            <w:hideMark/>
          </w:tcPr>
          <w:p w14:paraId="66DE038C" w14:textId="77777777" w:rsidR="009F5DA6" w:rsidRPr="00261B7A" w:rsidRDefault="009F5DA6" w:rsidP="00D41492">
            <w:pPr>
              <w:pStyle w:val="TableText"/>
              <w:spacing w:before="50" w:after="50"/>
              <w:rPr>
                <w:rFonts w:cs="Calibri"/>
              </w:rPr>
            </w:pPr>
            <w:r w:rsidRPr="00261B7A">
              <w:rPr>
                <w:rFonts w:cs="Calibri"/>
              </w:rPr>
              <w:t>Level, trend</w:t>
            </w:r>
          </w:p>
        </w:tc>
        <w:tc>
          <w:tcPr>
            <w:tcW w:w="887" w:type="pct"/>
            <w:shd w:val="clear" w:color="auto" w:fill="auto"/>
            <w:noWrap/>
            <w:hideMark/>
          </w:tcPr>
          <w:p w14:paraId="6E3AF716" w14:textId="77777777" w:rsidR="009F5DA6" w:rsidRPr="00261B7A" w:rsidRDefault="009F5DA6" w:rsidP="00D41492">
            <w:pPr>
              <w:pStyle w:val="TableText"/>
              <w:spacing w:before="50" w:after="50"/>
              <w:rPr>
                <w:rFonts w:cs="Calibri"/>
              </w:rPr>
            </w:pPr>
            <w:r w:rsidRPr="00261B7A">
              <w:rPr>
                <w:rFonts w:cs="Calibri"/>
              </w:rPr>
              <w:t>Trend</w:t>
            </w:r>
          </w:p>
        </w:tc>
        <w:tc>
          <w:tcPr>
            <w:tcW w:w="921" w:type="pct"/>
            <w:shd w:val="clear" w:color="auto" w:fill="auto"/>
            <w:noWrap/>
            <w:hideMark/>
          </w:tcPr>
          <w:p w14:paraId="6725F00A" w14:textId="77777777" w:rsidR="009F5DA6" w:rsidRPr="00261B7A" w:rsidRDefault="009F5DA6" w:rsidP="00D41492">
            <w:pPr>
              <w:pStyle w:val="TableText"/>
              <w:spacing w:before="50" w:after="50"/>
              <w:rPr>
                <w:rFonts w:cs="Calibri"/>
              </w:rPr>
            </w:pPr>
            <w:r w:rsidRPr="00261B7A">
              <w:rPr>
                <w:rFonts w:cs="Calibri"/>
              </w:rPr>
              <w:t>Level, trend</w:t>
            </w:r>
          </w:p>
        </w:tc>
      </w:tr>
      <w:tr w:rsidR="009F5DA6" w:rsidRPr="00261B7A" w14:paraId="3A1CF237" w14:textId="77777777" w:rsidTr="00D41492">
        <w:tc>
          <w:tcPr>
            <w:tcW w:w="2216" w:type="pct"/>
            <w:shd w:val="clear" w:color="auto" w:fill="auto"/>
            <w:noWrap/>
            <w:hideMark/>
          </w:tcPr>
          <w:p w14:paraId="23560CA9" w14:textId="77777777" w:rsidR="009F5DA6" w:rsidRPr="00261B7A" w:rsidRDefault="009F5DA6" w:rsidP="00D41492">
            <w:pPr>
              <w:pStyle w:val="TableText"/>
              <w:spacing w:before="50" w:after="50"/>
              <w:rPr>
                <w:rFonts w:cs="Calibri"/>
              </w:rPr>
            </w:pPr>
            <w:r w:rsidRPr="00261B7A">
              <w:rPr>
                <w:rFonts w:cs="Calibri"/>
              </w:rPr>
              <w:t>Residential – CO</w:t>
            </w:r>
            <w:r w:rsidRPr="00261B7A">
              <w:rPr>
                <w:rFonts w:cs="Calibri"/>
                <w:vertAlign w:val="subscript"/>
              </w:rPr>
              <w:t>2</w:t>
            </w:r>
          </w:p>
        </w:tc>
        <w:tc>
          <w:tcPr>
            <w:tcW w:w="976" w:type="pct"/>
            <w:shd w:val="clear" w:color="auto" w:fill="auto"/>
            <w:noWrap/>
            <w:hideMark/>
          </w:tcPr>
          <w:p w14:paraId="373074B4" w14:textId="77777777" w:rsidR="009F5DA6" w:rsidRPr="00261B7A" w:rsidRDefault="009F5DA6" w:rsidP="00D41492">
            <w:pPr>
              <w:pStyle w:val="TableText"/>
              <w:spacing w:before="50" w:after="50"/>
              <w:rPr>
                <w:rFonts w:cs="Calibri"/>
              </w:rPr>
            </w:pPr>
            <w:r w:rsidRPr="00261B7A">
              <w:rPr>
                <w:rFonts w:cs="Calibri"/>
              </w:rPr>
              <w:t>Level, trend</w:t>
            </w:r>
          </w:p>
        </w:tc>
        <w:tc>
          <w:tcPr>
            <w:tcW w:w="887" w:type="pct"/>
            <w:shd w:val="clear" w:color="auto" w:fill="auto"/>
            <w:noWrap/>
          </w:tcPr>
          <w:p w14:paraId="58F9F7E7" w14:textId="77777777" w:rsidR="009F5DA6" w:rsidRPr="00261B7A" w:rsidRDefault="009F5DA6" w:rsidP="00D41492">
            <w:pPr>
              <w:pStyle w:val="TableText"/>
              <w:spacing w:before="50" w:after="50"/>
              <w:rPr>
                <w:rFonts w:cs="Calibri"/>
              </w:rPr>
            </w:pPr>
            <w:r w:rsidRPr="00261B7A">
              <w:rPr>
                <w:rFonts w:cs="Calibri"/>
              </w:rPr>
              <w:t>Trend</w:t>
            </w:r>
          </w:p>
        </w:tc>
        <w:tc>
          <w:tcPr>
            <w:tcW w:w="921" w:type="pct"/>
            <w:shd w:val="clear" w:color="auto" w:fill="auto"/>
            <w:noWrap/>
            <w:hideMark/>
          </w:tcPr>
          <w:p w14:paraId="08A842F2" w14:textId="77777777" w:rsidR="009F5DA6" w:rsidRPr="00261B7A" w:rsidRDefault="009F5DA6" w:rsidP="00D41492">
            <w:pPr>
              <w:pStyle w:val="TableText"/>
              <w:spacing w:before="50" w:after="50"/>
              <w:rPr>
                <w:rFonts w:cs="Calibri"/>
              </w:rPr>
            </w:pPr>
            <w:r w:rsidRPr="00261B7A">
              <w:rPr>
                <w:rFonts w:cs="Calibri"/>
              </w:rPr>
              <w:t>Level, trend</w:t>
            </w:r>
          </w:p>
        </w:tc>
      </w:tr>
      <w:tr w:rsidR="009F5DA6" w:rsidRPr="00261B7A" w14:paraId="7DC9BE8D" w14:textId="77777777" w:rsidTr="00D41492">
        <w:tc>
          <w:tcPr>
            <w:tcW w:w="2216" w:type="pct"/>
            <w:shd w:val="clear" w:color="auto" w:fill="auto"/>
            <w:noWrap/>
          </w:tcPr>
          <w:p w14:paraId="0384F995" w14:textId="77777777" w:rsidR="009F5DA6" w:rsidRPr="00261B7A" w:rsidRDefault="009F5DA6" w:rsidP="00D41492">
            <w:pPr>
              <w:pStyle w:val="TableText"/>
              <w:spacing w:before="50" w:after="50"/>
              <w:rPr>
                <w:rFonts w:cs="Calibri"/>
              </w:rPr>
            </w:pPr>
            <w:r w:rsidRPr="00261B7A">
              <w:rPr>
                <w:rFonts w:cs="Calibri"/>
              </w:rPr>
              <w:t>Agriculture/forestry/fishing – CO</w:t>
            </w:r>
            <w:r w:rsidRPr="00261B7A">
              <w:rPr>
                <w:rFonts w:cs="Calibri"/>
                <w:vertAlign w:val="subscript"/>
              </w:rPr>
              <w:t>2</w:t>
            </w:r>
          </w:p>
        </w:tc>
        <w:tc>
          <w:tcPr>
            <w:tcW w:w="976" w:type="pct"/>
            <w:shd w:val="clear" w:color="auto" w:fill="auto"/>
            <w:noWrap/>
          </w:tcPr>
          <w:p w14:paraId="1F677530" w14:textId="77777777" w:rsidR="009F5DA6" w:rsidRPr="00261B7A" w:rsidRDefault="009F5DA6" w:rsidP="00D41492">
            <w:pPr>
              <w:pStyle w:val="TableText"/>
              <w:spacing w:before="50" w:after="50"/>
              <w:rPr>
                <w:rFonts w:cs="Calibri"/>
              </w:rPr>
            </w:pPr>
            <w:r w:rsidRPr="00261B7A">
              <w:rPr>
                <w:rFonts w:cs="Calibri"/>
              </w:rPr>
              <w:t>Level</w:t>
            </w:r>
          </w:p>
        </w:tc>
        <w:tc>
          <w:tcPr>
            <w:tcW w:w="887" w:type="pct"/>
            <w:shd w:val="clear" w:color="auto" w:fill="auto"/>
            <w:noWrap/>
          </w:tcPr>
          <w:p w14:paraId="5F0784C8" w14:textId="77777777" w:rsidR="009F5DA6" w:rsidRPr="00261B7A" w:rsidRDefault="009F5DA6" w:rsidP="00D41492">
            <w:pPr>
              <w:pStyle w:val="TableText"/>
              <w:spacing w:before="50" w:after="50"/>
              <w:rPr>
                <w:rFonts w:cs="Calibri"/>
              </w:rPr>
            </w:pPr>
            <w:r w:rsidRPr="00261B7A">
              <w:rPr>
                <w:rFonts w:cs="Calibri"/>
              </w:rPr>
              <w:t>Trend</w:t>
            </w:r>
          </w:p>
        </w:tc>
        <w:tc>
          <w:tcPr>
            <w:tcW w:w="921" w:type="pct"/>
            <w:shd w:val="clear" w:color="auto" w:fill="auto"/>
            <w:noWrap/>
          </w:tcPr>
          <w:p w14:paraId="3E7DDE66" w14:textId="77777777" w:rsidR="009F5DA6" w:rsidRPr="00261B7A" w:rsidRDefault="009F5DA6" w:rsidP="00D41492">
            <w:pPr>
              <w:pStyle w:val="TableText"/>
              <w:spacing w:before="50" w:after="50"/>
              <w:rPr>
                <w:rFonts w:cs="Calibri"/>
              </w:rPr>
            </w:pPr>
          </w:p>
        </w:tc>
      </w:tr>
    </w:tbl>
    <w:p w14:paraId="3FA01CB6" w14:textId="77777777" w:rsidR="009F5DA6" w:rsidRPr="00261B7A" w:rsidRDefault="009F5DA6" w:rsidP="004C583E">
      <w:pPr>
        <w:pStyle w:val="Heading4"/>
      </w:pPr>
      <w:r w:rsidRPr="00261B7A">
        <w:t>Methodological issues</w:t>
      </w:r>
    </w:p>
    <w:p w14:paraId="7C7A44C2" w14:textId="77777777" w:rsidR="009F5DA6" w:rsidRPr="00261B7A" w:rsidRDefault="009F5DA6" w:rsidP="009F5DA6">
      <w:pPr>
        <w:pStyle w:val="BodyText"/>
        <w:spacing w:before="100" w:after="100"/>
        <w:rPr>
          <w:rFonts w:cs="Calibri"/>
          <w:lang w:eastAsia="en-GB"/>
        </w:rPr>
      </w:pPr>
      <w:r w:rsidRPr="00261B7A">
        <w:rPr>
          <w:rFonts w:cs="Calibri"/>
          <w:lang w:eastAsia="en-GB"/>
        </w:rPr>
        <w:t>This category has no notable methodological issues.</w:t>
      </w:r>
    </w:p>
    <w:p w14:paraId="79ACD416" w14:textId="77777777" w:rsidR="009F5DA6" w:rsidRPr="00261B7A" w:rsidRDefault="009F5DA6" w:rsidP="004C583E">
      <w:pPr>
        <w:pStyle w:val="Heading4"/>
      </w:pPr>
      <w:r w:rsidRPr="00261B7A">
        <w:t>Activity data</w:t>
      </w:r>
    </w:p>
    <w:p w14:paraId="76515BE1" w14:textId="77777777" w:rsidR="009F5DA6" w:rsidRPr="00261B7A" w:rsidRDefault="009F5DA6" w:rsidP="009F5DA6">
      <w:pPr>
        <w:pStyle w:val="Heading5"/>
        <w:spacing w:before="120"/>
        <w:rPr>
          <w:rFonts w:cs="Calibri"/>
        </w:rPr>
      </w:pPr>
      <w:r w:rsidRPr="00261B7A">
        <w:rPr>
          <w:rFonts w:cs="Calibri"/>
        </w:rPr>
        <w:t>Liquid fuels</w:t>
      </w:r>
    </w:p>
    <w:p w14:paraId="2A3ECBBD" w14:textId="77777777" w:rsidR="009F5DA6" w:rsidRPr="00261B7A" w:rsidRDefault="009F5DA6" w:rsidP="009F5DA6">
      <w:pPr>
        <w:pStyle w:val="BodyText"/>
        <w:spacing w:before="100" w:after="100"/>
        <w:rPr>
          <w:rFonts w:cs="Calibri"/>
        </w:rPr>
      </w:pPr>
      <w:r w:rsidRPr="00261B7A">
        <w:rPr>
          <w:rFonts w:cs="Calibri"/>
        </w:rPr>
        <w:t xml:space="preserve">As mentioned in section 3.3.1, this inventory continues to use the results of the </w:t>
      </w:r>
      <w:r w:rsidRPr="00261B7A">
        <w:rPr>
          <w:rFonts w:cs="Calibri"/>
          <w:iCs/>
        </w:rPr>
        <w:t>Annual Liquid Fuel Survey</w:t>
      </w:r>
      <w:r w:rsidRPr="00261B7A">
        <w:rPr>
          <w:rFonts w:cs="Calibri"/>
        </w:rPr>
        <w:t xml:space="preserve"> that began in 2009. The purpose of this survey is to capture the allocation of fuel resold by small independent resellers. In recent years, these independent resellers accounted for around 30 per cent of national diesel deliveries and around 8 per cent of national gasoline deliveries. </w:t>
      </w:r>
    </w:p>
    <w:p w14:paraId="461AD505" w14:textId="2F492AC4" w:rsidR="009F5DA6" w:rsidRPr="00261B7A" w:rsidRDefault="009F5DA6" w:rsidP="009F5DA6">
      <w:pPr>
        <w:pStyle w:val="BodyText"/>
        <w:rPr>
          <w:rFonts w:cs="Calibri"/>
        </w:rPr>
      </w:pPr>
      <w:r w:rsidRPr="00261B7A">
        <w:rPr>
          <w:rFonts w:cs="Calibri"/>
        </w:rPr>
        <w:t xml:space="preserve">As the result of resale data captured by the </w:t>
      </w:r>
      <w:r w:rsidRPr="00261B7A">
        <w:rPr>
          <w:rFonts w:cs="Calibri"/>
          <w:iCs/>
        </w:rPr>
        <w:t>Annual Liquid Fuel Survey</w:t>
      </w:r>
      <w:r w:rsidRPr="00261B7A">
        <w:rPr>
          <w:rFonts w:cs="Calibri"/>
        </w:rPr>
        <w:t>, emissions that would</w:t>
      </w:r>
      <w:r w:rsidR="00D2135D" w:rsidRPr="00261B7A">
        <w:rPr>
          <w:rFonts w:cs="Calibri"/>
        </w:rPr>
        <w:t> </w:t>
      </w:r>
      <w:r w:rsidRPr="00261B7A">
        <w:rPr>
          <w:rFonts w:cs="Calibri"/>
        </w:rPr>
        <w:t xml:space="preserve">otherwise be reported in category 1.A.3.b </w:t>
      </w:r>
      <w:r w:rsidRPr="00261B7A">
        <w:rPr>
          <w:rFonts w:cs="Calibri"/>
          <w:i/>
        </w:rPr>
        <w:t>Road transportation</w:t>
      </w:r>
      <w:r w:rsidRPr="00261B7A">
        <w:rPr>
          <w:rFonts w:cs="Calibri"/>
        </w:rPr>
        <w:t xml:space="preserve"> are allocated to the correct</w:t>
      </w:r>
      <w:r w:rsidR="00D2135D" w:rsidRPr="00261B7A">
        <w:rPr>
          <w:rFonts w:cs="Calibri"/>
        </w:rPr>
        <w:t xml:space="preserve"> </w:t>
      </w:r>
      <w:r w:rsidRPr="00261B7A">
        <w:rPr>
          <w:rFonts w:cs="Calibri"/>
        </w:rPr>
        <w:t>category. For time-series consistency, these reallocations are also made from 1990 to</w:t>
      </w:r>
      <w:r w:rsidR="00D2135D" w:rsidRPr="00261B7A">
        <w:rPr>
          <w:rFonts w:cs="Calibri"/>
        </w:rPr>
        <w:t> </w:t>
      </w:r>
      <w:r w:rsidRPr="00261B7A">
        <w:rPr>
          <w:rFonts w:cs="Calibri"/>
        </w:rPr>
        <w:t>2008, before the collection of data on the resale of liquid fuel by small, independent distributors began.</w:t>
      </w:r>
    </w:p>
    <w:p w14:paraId="0E6B05F9" w14:textId="77777777" w:rsidR="009F5DA6" w:rsidRPr="00261B7A" w:rsidRDefault="009F5DA6" w:rsidP="009F5DA6">
      <w:pPr>
        <w:pStyle w:val="BodyText"/>
        <w:rPr>
          <w:rFonts w:cs="Calibri"/>
        </w:rPr>
      </w:pPr>
      <w:r w:rsidRPr="00261B7A">
        <w:rPr>
          <w:rFonts w:cs="Calibri"/>
        </w:rPr>
        <w:t xml:space="preserve">As mentioned in section 3.3.7 (‘Liquid fuels’ under ‘Activity data’), historical national energy sales surveys captured fuel use by mining operations under ‘other primary industry’. For consistency with the 2006 IPCC Guidelines, this inventory uses data provided by Stats NZ’s </w:t>
      </w:r>
      <w:r w:rsidRPr="00261B7A">
        <w:rPr>
          <w:rFonts w:cs="Calibri"/>
          <w:iCs/>
        </w:rPr>
        <w:t>Energy Use Survey</w:t>
      </w:r>
      <w:r w:rsidRPr="00261B7A">
        <w:rPr>
          <w:rFonts w:cs="Calibri"/>
        </w:rPr>
        <w:t xml:space="preserve"> (</w:t>
      </w:r>
      <w:r w:rsidRPr="00261B7A">
        <w:rPr>
          <w:rFonts w:cs="Calibri"/>
          <w:lang w:eastAsia="en-GB"/>
        </w:rPr>
        <w:t xml:space="preserve">Stats NZ, 2018) </w:t>
      </w:r>
      <w:r w:rsidRPr="00261B7A">
        <w:rPr>
          <w:rFonts w:cs="Calibri"/>
        </w:rPr>
        <w:t xml:space="preserve">to estimate the split of historical ‘other primary industry’ activity for fuel oil between forestry and logging, and mining (see table 3.3.8). The historical data are insufficient to extrapolate a historical trend for this split: instead, activity splits are </w:t>
      </w:r>
      <w:r w:rsidRPr="00261B7A">
        <w:rPr>
          <w:rFonts w:cs="Calibri"/>
          <w:spacing w:val="-2"/>
        </w:rPr>
        <w:t>interpolated between the two surveys and assumed to be constant for the period 1990 to 2008</w:t>
      </w:r>
      <w:r w:rsidRPr="00261B7A">
        <w:rPr>
          <w:rFonts w:cs="Calibri"/>
        </w:rPr>
        <w:t>.</w:t>
      </w:r>
    </w:p>
    <w:p w14:paraId="3AD0DD2D" w14:textId="77777777" w:rsidR="009F5DA6" w:rsidRPr="00261B7A" w:rsidRDefault="009F5DA6" w:rsidP="009F5DA6">
      <w:pPr>
        <w:pStyle w:val="Table"/>
      </w:pPr>
      <w:bookmarkStart w:id="390" w:name="_Toc321399160"/>
      <w:bookmarkStart w:id="391" w:name="_Toc384582867"/>
      <w:bookmarkStart w:id="392" w:name="_Toc443060847"/>
      <w:bookmarkStart w:id="393" w:name="_Toc451176063"/>
      <w:bookmarkStart w:id="394" w:name="_Toc481751489"/>
      <w:bookmarkStart w:id="395" w:name="_Toc507496592"/>
      <w:bookmarkStart w:id="396" w:name="_Toc36224526"/>
      <w:bookmarkStart w:id="397" w:name="_Toc68786412"/>
      <w:bookmarkStart w:id="398" w:name="_Toc131591325"/>
      <w:r w:rsidRPr="00261B7A">
        <w:t xml:space="preserve">Table 3.3.8 </w:t>
      </w:r>
      <w:r w:rsidRPr="00261B7A">
        <w:tab/>
        <w:t>Split of fuel oil activity for ‘other primary industry’</w:t>
      </w:r>
      <w:bookmarkEnd w:id="390"/>
      <w:bookmarkEnd w:id="391"/>
      <w:bookmarkEnd w:id="392"/>
      <w:bookmarkEnd w:id="393"/>
      <w:bookmarkEnd w:id="394"/>
      <w:bookmarkEnd w:id="395"/>
      <w:bookmarkEnd w:id="396"/>
      <w:bookmarkEnd w:id="397"/>
      <w:bookmarkEnd w:id="398"/>
      <w:r w:rsidRPr="00261B7A">
        <w:rPr>
          <w:color w:val="FFFFFF"/>
        </w:rPr>
        <w:t xml:space="preserve"> </w:t>
      </w:r>
    </w:p>
    <w:tbl>
      <w:tblPr>
        <w:tblW w:w="8505"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2296"/>
        <w:gridCol w:w="3086"/>
        <w:gridCol w:w="3123"/>
      </w:tblGrid>
      <w:tr w:rsidR="009F5DA6" w:rsidRPr="00261B7A" w14:paraId="00FDB949" w14:textId="77777777" w:rsidTr="00D41492">
        <w:trPr>
          <w:cantSplit/>
        </w:trPr>
        <w:tc>
          <w:tcPr>
            <w:tcW w:w="1350" w:type="pct"/>
            <w:shd w:val="clear" w:color="auto" w:fill="1B556B"/>
            <w:vAlign w:val="bottom"/>
          </w:tcPr>
          <w:p w14:paraId="79C1D844" w14:textId="77777777" w:rsidR="009F5DA6" w:rsidRPr="00261B7A" w:rsidRDefault="009F5DA6" w:rsidP="00D41492">
            <w:pPr>
              <w:pStyle w:val="TableTextBold"/>
              <w:keepNext/>
              <w:rPr>
                <w:rFonts w:cs="Calibri"/>
                <w:noProof w:val="0"/>
                <w:color w:val="FFFFFF"/>
              </w:rPr>
            </w:pPr>
            <w:r w:rsidRPr="00261B7A">
              <w:rPr>
                <w:rFonts w:cs="Calibri"/>
                <w:noProof w:val="0"/>
                <w:color w:val="FFFFFF"/>
              </w:rPr>
              <w:t>Activity</w:t>
            </w:r>
          </w:p>
        </w:tc>
        <w:tc>
          <w:tcPr>
            <w:tcW w:w="1814" w:type="pct"/>
            <w:shd w:val="clear" w:color="auto" w:fill="1B556B"/>
            <w:vAlign w:val="bottom"/>
          </w:tcPr>
          <w:p w14:paraId="1C92AF80" w14:textId="77777777" w:rsidR="009F5DA6" w:rsidRPr="00261B7A" w:rsidRDefault="009F5DA6" w:rsidP="00D41492">
            <w:pPr>
              <w:pStyle w:val="TableTextBold"/>
              <w:keepNext/>
              <w:jc w:val="center"/>
              <w:rPr>
                <w:rFonts w:cs="Calibri"/>
                <w:noProof w:val="0"/>
                <w:color w:val="FFFFFF"/>
              </w:rPr>
            </w:pPr>
            <w:r w:rsidRPr="00261B7A">
              <w:rPr>
                <w:rFonts w:cs="Calibri"/>
                <w:noProof w:val="0"/>
                <w:color w:val="FFFFFF"/>
              </w:rPr>
              <w:t>Energy Use Survey 2008 (%)</w:t>
            </w:r>
          </w:p>
        </w:tc>
        <w:tc>
          <w:tcPr>
            <w:tcW w:w="1836" w:type="pct"/>
            <w:shd w:val="clear" w:color="auto" w:fill="1B556B"/>
            <w:vAlign w:val="bottom"/>
          </w:tcPr>
          <w:p w14:paraId="426392A6" w14:textId="77777777" w:rsidR="009F5DA6" w:rsidRPr="00261B7A" w:rsidRDefault="009F5DA6" w:rsidP="00D41492">
            <w:pPr>
              <w:pStyle w:val="TableTextBold"/>
              <w:keepNext/>
              <w:jc w:val="center"/>
              <w:rPr>
                <w:rFonts w:cs="Calibri"/>
                <w:noProof w:val="0"/>
                <w:color w:val="FFFFFF"/>
              </w:rPr>
            </w:pPr>
            <w:r w:rsidRPr="00261B7A">
              <w:rPr>
                <w:rFonts w:cs="Calibri"/>
                <w:noProof w:val="0"/>
                <w:color w:val="FFFFFF"/>
              </w:rPr>
              <w:t>Energy Use Survey 2016 (%)</w:t>
            </w:r>
          </w:p>
        </w:tc>
      </w:tr>
      <w:tr w:rsidR="009F5DA6" w:rsidRPr="00261B7A" w14:paraId="592B938C" w14:textId="77777777" w:rsidTr="00D41492">
        <w:trPr>
          <w:cantSplit/>
          <w:trHeight w:val="250"/>
        </w:trPr>
        <w:tc>
          <w:tcPr>
            <w:tcW w:w="1350" w:type="pct"/>
          </w:tcPr>
          <w:p w14:paraId="20B9C3DE" w14:textId="77777777" w:rsidR="009F5DA6" w:rsidRPr="00261B7A" w:rsidRDefault="009F5DA6" w:rsidP="00D41492">
            <w:pPr>
              <w:pStyle w:val="TableText"/>
              <w:rPr>
                <w:rFonts w:cs="Calibri"/>
              </w:rPr>
            </w:pPr>
            <w:r w:rsidRPr="00261B7A">
              <w:rPr>
                <w:rFonts w:cs="Calibri"/>
              </w:rPr>
              <w:t>Forestry and logging</w:t>
            </w:r>
          </w:p>
        </w:tc>
        <w:tc>
          <w:tcPr>
            <w:tcW w:w="1814" w:type="pct"/>
            <w:vAlign w:val="center"/>
          </w:tcPr>
          <w:p w14:paraId="119BE4C8" w14:textId="77777777" w:rsidR="009F5DA6" w:rsidRPr="00261B7A" w:rsidRDefault="009F5DA6" w:rsidP="00D41492">
            <w:pPr>
              <w:pStyle w:val="TableText"/>
              <w:jc w:val="center"/>
              <w:rPr>
                <w:rFonts w:cs="Calibri"/>
              </w:rPr>
            </w:pPr>
            <w:r w:rsidRPr="00261B7A">
              <w:rPr>
                <w:rFonts w:cs="Calibri"/>
              </w:rPr>
              <w:t>51.3</w:t>
            </w:r>
          </w:p>
        </w:tc>
        <w:tc>
          <w:tcPr>
            <w:tcW w:w="1836" w:type="pct"/>
            <w:vAlign w:val="center"/>
          </w:tcPr>
          <w:p w14:paraId="24A4966D" w14:textId="77777777" w:rsidR="009F5DA6" w:rsidRPr="00261B7A" w:rsidRDefault="009F5DA6" w:rsidP="00D41492">
            <w:pPr>
              <w:pStyle w:val="TableText"/>
              <w:jc w:val="center"/>
              <w:rPr>
                <w:rFonts w:cs="Calibri"/>
              </w:rPr>
            </w:pPr>
            <w:r w:rsidRPr="00261B7A">
              <w:rPr>
                <w:rFonts w:cs="Calibri"/>
              </w:rPr>
              <w:t>9.1</w:t>
            </w:r>
          </w:p>
        </w:tc>
      </w:tr>
      <w:tr w:rsidR="009F5DA6" w:rsidRPr="00261B7A" w14:paraId="2AD58218" w14:textId="77777777" w:rsidTr="00D41492">
        <w:trPr>
          <w:cantSplit/>
        </w:trPr>
        <w:tc>
          <w:tcPr>
            <w:tcW w:w="1350" w:type="pct"/>
          </w:tcPr>
          <w:p w14:paraId="77C8500A" w14:textId="77777777" w:rsidR="009F5DA6" w:rsidRPr="00261B7A" w:rsidRDefault="009F5DA6" w:rsidP="00D41492">
            <w:pPr>
              <w:pStyle w:val="TableText"/>
              <w:rPr>
                <w:rFonts w:cs="Calibri"/>
              </w:rPr>
            </w:pPr>
            <w:r w:rsidRPr="00261B7A">
              <w:rPr>
                <w:rFonts w:cs="Calibri"/>
              </w:rPr>
              <w:t>Mining</w:t>
            </w:r>
          </w:p>
        </w:tc>
        <w:tc>
          <w:tcPr>
            <w:tcW w:w="1814" w:type="pct"/>
            <w:vAlign w:val="center"/>
          </w:tcPr>
          <w:p w14:paraId="5AB380A0" w14:textId="77777777" w:rsidR="009F5DA6" w:rsidRPr="00261B7A" w:rsidRDefault="009F5DA6" w:rsidP="00D41492">
            <w:pPr>
              <w:pStyle w:val="TableText"/>
              <w:jc w:val="center"/>
              <w:rPr>
                <w:rFonts w:cs="Calibri"/>
              </w:rPr>
            </w:pPr>
            <w:r w:rsidRPr="00261B7A">
              <w:rPr>
                <w:rFonts w:cs="Calibri"/>
              </w:rPr>
              <w:t>48.7</w:t>
            </w:r>
          </w:p>
        </w:tc>
        <w:tc>
          <w:tcPr>
            <w:tcW w:w="1836" w:type="pct"/>
            <w:vAlign w:val="center"/>
          </w:tcPr>
          <w:p w14:paraId="335A50AB" w14:textId="77777777" w:rsidR="009F5DA6" w:rsidRPr="00261B7A" w:rsidRDefault="009F5DA6" w:rsidP="00D41492">
            <w:pPr>
              <w:pStyle w:val="TableText"/>
              <w:jc w:val="center"/>
              <w:rPr>
                <w:rFonts w:cs="Calibri"/>
              </w:rPr>
            </w:pPr>
            <w:r w:rsidRPr="00261B7A">
              <w:rPr>
                <w:rFonts w:cs="Calibri"/>
              </w:rPr>
              <w:t>90.9</w:t>
            </w:r>
          </w:p>
        </w:tc>
      </w:tr>
    </w:tbl>
    <w:p w14:paraId="5BECA19E" w14:textId="77777777" w:rsidR="009F5DA6" w:rsidRPr="00261B7A" w:rsidRDefault="009F5DA6" w:rsidP="009F5DA6">
      <w:pPr>
        <w:pStyle w:val="Heading5"/>
        <w:spacing w:before="360"/>
        <w:rPr>
          <w:rFonts w:cs="Calibri"/>
        </w:rPr>
      </w:pPr>
      <w:r w:rsidRPr="00261B7A">
        <w:rPr>
          <w:rFonts w:cs="Calibri"/>
        </w:rPr>
        <w:t>Solid fuels</w:t>
      </w:r>
    </w:p>
    <w:p w14:paraId="20010E81" w14:textId="77777777" w:rsidR="009F5DA6" w:rsidRPr="00261B7A" w:rsidRDefault="009F5DA6" w:rsidP="009F5DA6">
      <w:pPr>
        <w:pStyle w:val="BodyText"/>
        <w:spacing w:before="100" w:after="100"/>
        <w:rPr>
          <w:rFonts w:cs="Calibri"/>
        </w:rPr>
      </w:pPr>
      <w:r w:rsidRPr="00261B7A">
        <w:rPr>
          <w:rFonts w:cs="Calibri"/>
        </w:rPr>
        <w:t xml:space="preserve">In 2010, it was discovered that some coal reported as sold to the commercial sector was in fact being on-sold to resellers rather than directly to end-users. As a result, some activity previously reported in the </w:t>
      </w:r>
      <w:r w:rsidRPr="00261B7A">
        <w:rPr>
          <w:rFonts w:cs="Calibri"/>
          <w:i/>
        </w:rPr>
        <w:t xml:space="preserve">Commercial </w:t>
      </w:r>
      <w:r w:rsidRPr="00261B7A">
        <w:rPr>
          <w:rFonts w:cs="Calibri"/>
        </w:rPr>
        <w:t>category has been reallocated to the Agriculture sector. This on-selling is assumed to continue across the time series from 1990 to 2021.</w:t>
      </w:r>
    </w:p>
    <w:p w14:paraId="6396381D" w14:textId="77777777" w:rsidR="009F5DA6" w:rsidRPr="00261B7A" w:rsidRDefault="009F5DA6" w:rsidP="009F5DA6">
      <w:pPr>
        <w:pStyle w:val="BodyText"/>
        <w:spacing w:before="100" w:after="100"/>
        <w:rPr>
          <w:rFonts w:cs="Calibri"/>
        </w:rPr>
      </w:pPr>
      <w:r w:rsidRPr="00261B7A">
        <w:rPr>
          <w:rFonts w:cs="Calibri"/>
        </w:rPr>
        <w:t>Several synthetic solid fuels are used as lightweight cooking fuels by hikers and the military. Examples include hexamethylenetetramine, metaldehyde and trioxane, which are derived from chemical feedstocks such as aldehydes and ammonia, and hence contain fossil carbon. These fuels are not covered by the national energy balance, and the emissions associated with their combustion have not been estimated.</w:t>
      </w:r>
    </w:p>
    <w:p w14:paraId="14F394CB" w14:textId="77777777" w:rsidR="009F5DA6" w:rsidRPr="00261B7A" w:rsidRDefault="009F5DA6" w:rsidP="009F5DA6">
      <w:pPr>
        <w:pStyle w:val="Heading5"/>
        <w:spacing w:before="120"/>
        <w:rPr>
          <w:rFonts w:cs="Calibri"/>
        </w:rPr>
      </w:pPr>
      <w:r w:rsidRPr="00261B7A">
        <w:rPr>
          <w:rFonts w:cs="Calibri"/>
        </w:rPr>
        <w:t>Solid biomass</w:t>
      </w:r>
    </w:p>
    <w:p w14:paraId="5F9FE492" w14:textId="77777777" w:rsidR="009F5DA6" w:rsidRPr="00261B7A" w:rsidRDefault="009F5DA6" w:rsidP="009F5DA6">
      <w:pPr>
        <w:pStyle w:val="BodyText"/>
        <w:spacing w:before="100" w:after="100"/>
        <w:rPr>
          <w:rFonts w:cs="Calibri"/>
        </w:rPr>
      </w:pPr>
      <w:r w:rsidRPr="00261B7A">
        <w:rPr>
          <w:rFonts w:cs="Calibri"/>
        </w:rPr>
        <w:t xml:space="preserve">Residential combustion of biomass is estimated using household number estimates from Stats NZ, along with five-yearly census figures estimating the percentage of households using biomass for heating. Interpolation is used to estimate shares for intermediate years. The census data indicate that the popularity of woodburners is decreasing slowly over time. The energy content of biomass burned in each household was estimated by the study </w:t>
      </w:r>
      <w:r w:rsidRPr="00261B7A">
        <w:rPr>
          <w:rFonts w:cs="Calibri"/>
          <w:i/>
        </w:rPr>
        <w:t>Energy Use in New Zealand Households</w:t>
      </w:r>
      <w:r w:rsidRPr="00261B7A">
        <w:rPr>
          <w:rFonts w:cs="Calibri"/>
        </w:rPr>
        <w:t xml:space="preserve"> (BRANZ, 2002).</w:t>
      </w:r>
    </w:p>
    <w:p w14:paraId="1410910E" w14:textId="77777777" w:rsidR="009F5DA6" w:rsidRPr="00261B7A" w:rsidRDefault="009F5DA6" w:rsidP="009F5DA6">
      <w:pPr>
        <w:pStyle w:val="BodyText"/>
        <w:spacing w:before="100" w:after="100"/>
        <w:rPr>
          <w:rFonts w:cs="Calibri"/>
        </w:rPr>
      </w:pPr>
      <w:r w:rsidRPr="00261B7A">
        <w:rPr>
          <w:rFonts w:cs="Calibri"/>
        </w:rPr>
        <w:t>Outdoor combustion of biomass (e.g., for bonfires, barbecues, campfires, pizza ovens, braziers or chimeneas, or in preparation for traditional methods of cooking food such as hāngī, umu and lovo) is common in New Zealand. These activities are distinct from open-burning of unwanted biomass that is not used for energy purposes, which would be reported under the Waste sector. While activity data are not available, expert opinion indicates that the likely level of activity is relatively minor compared with the indoor residential combustion of biomass; therefore, emissions associated with these outdoor activities have not been estimated.</w:t>
      </w:r>
    </w:p>
    <w:p w14:paraId="5A997BA9" w14:textId="77777777" w:rsidR="009F5DA6" w:rsidRPr="00261B7A" w:rsidRDefault="009F5DA6" w:rsidP="009F5DA6">
      <w:pPr>
        <w:pStyle w:val="Heading5"/>
        <w:spacing w:before="120"/>
        <w:rPr>
          <w:rFonts w:cs="Calibri"/>
        </w:rPr>
      </w:pPr>
      <w:r w:rsidRPr="00261B7A">
        <w:rPr>
          <w:rFonts w:cs="Calibri"/>
        </w:rPr>
        <w:t>Gaseous fuels</w:t>
      </w:r>
    </w:p>
    <w:p w14:paraId="4D29D75D" w14:textId="77777777" w:rsidR="009F5DA6" w:rsidRPr="00261B7A" w:rsidRDefault="009F5DA6" w:rsidP="009F5DA6">
      <w:pPr>
        <w:pStyle w:val="BodyText"/>
        <w:spacing w:before="100" w:after="100"/>
        <w:rPr>
          <w:rFonts w:cs="Calibri"/>
        </w:rPr>
      </w:pPr>
      <w:r w:rsidRPr="00261B7A">
        <w:rPr>
          <w:rFonts w:cs="Calibri"/>
        </w:rPr>
        <w:t>Annual natural gas consumption statistics are published by MBIE. Reviews of all natural gas consumption data were undertaken in 2011 and 2014 by MBIE. For further information, see section 3.3.7 (‘Gaseous fuels’ under ‘Activity data’).</w:t>
      </w:r>
    </w:p>
    <w:p w14:paraId="5937E3E0" w14:textId="77777777" w:rsidR="009F5DA6" w:rsidRPr="00261B7A" w:rsidRDefault="009F5DA6" w:rsidP="009F5DA6">
      <w:pPr>
        <w:pStyle w:val="Heading5"/>
      </w:pPr>
      <w:r w:rsidRPr="00261B7A">
        <w:t>Other fossil fuels</w:t>
      </w:r>
    </w:p>
    <w:p w14:paraId="502DE117" w14:textId="68BD3961" w:rsidR="009F5DA6" w:rsidRPr="00261B7A" w:rsidRDefault="009F5DA6" w:rsidP="009F5DA6">
      <w:pPr>
        <w:pStyle w:val="BodyText"/>
        <w:spacing w:before="100" w:after="100"/>
        <w:rPr>
          <w:rFonts w:cs="Calibri"/>
        </w:rPr>
      </w:pPr>
      <w:r w:rsidRPr="00261B7A">
        <w:rPr>
          <w:rFonts w:cs="Calibri"/>
        </w:rPr>
        <w:t>Mixtures of fossil fuels are combined with a wide range of metal, organic and non-organic compounds in the formulation of fireworks. In New Zealand, most towns and cities hold public fireworks displays for Guy Fawkes Night (5 November) and increasingly on other days to celebrate religious and cultural festivals, such as Diwali, Matariki and Lunar New Year, as well as at major sporting events. Fireworks are imported from overseas, generally China – there is</w:t>
      </w:r>
      <w:r w:rsidR="00817036" w:rsidRPr="00261B7A">
        <w:rPr>
          <w:rFonts w:cs="Calibri"/>
        </w:rPr>
        <w:t> </w:t>
      </w:r>
      <w:r w:rsidRPr="00261B7A">
        <w:rPr>
          <w:rFonts w:cs="Calibri"/>
        </w:rPr>
        <w:t>no domestic production. Common fossil–carbon based fuels include carbon black, coal, asphaltum and gilsonite. In addition to CO</w:t>
      </w:r>
      <w:r w:rsidRPr="00261B7A">
        <w:rPr>
          <w:rFonts w:cs="Calibri"/>
          <w:vertAlign w:val="subscript"/>
        </w:rPr>
        <w:t>2</w:t>
      </w:r>
      <w:r w:rsidRPr="00261B7A">
        <w:rPr>
          <w:rFonts w:cs="Calibri"/>
        </w:rPr>
        <w:t>, greenhouse gas emissions include CH</w:t>
      </w:r>
      <w:r w:rsidRPr="00261B7A">
        <w:rPr>
          <w:rFonts w:cs="Calibri"/>
          <w:vertAlign w:val="subscript"/>
        </w:rPr>
        <w:t>4</w:t>
      </w:r>
      <w:r w:rsidRPr="00261B7A">
        <w:rPr>
          <w:rFonts w:cs="Calibri"/>
        </w:rPr>
        <w:t xml:space="preserve"> and N</w:t>
      </w:r>
      <w:r w:rsidRPr="00261B7A">
        <w:rPr>
          <w:rFonts w:cs="Calibri"/>
          <w:vertAlign w:val="subscript"/>
        </w:rPr>
        <w:t>2</w:t>
      </w:r>
      <w:r w:rsidRPr="00261B7A">
        <w:rPr>
          <w:rFonts w:cs="Calibri"/>
        </w:rPr>
        <w:t xml:space="preserve">O. </w:t>
      </w:r>
    </w:p>
    <w:p w14:paraId="0B210B99" w14:textId="77777777" w:rsidR="009F5DA6" w:rsidRPr="00261B7A" w:rsidRDefault="009F5DA6" w:rsidP="009F5DA6">
      <w:pPr>
        <w:pStyle w:val="BodyText"/>
        <w:spacing w:before="100" w:after="100"/>
        <w:rPr>
          <w:rFonts w:cs="Calibri"/>
        </w:rPr>
      </w:pPr>
      <w:r w:rsidRPr="00261B7A">
        <w:rPr>
          <w:rFonts w:cs="Calibri"/>
        </w:rPr>
        <w:t xml:space="preserve">The annual gross weight of imported fireworks was used as activity data. Emission factors were sourced from the Danish NIR. </w:t>
      </w:r>
    </w:p>
    <w:p w14:paraId="0DC690B3" w14:textId="77777777" w:rsidR="009F5DA6" w:rsidRPr="00261B7A" w:rsidRDefault="009F5DA6" w:rsidP="004C583E">
      <w:pPr>
        <w:pStyle w:val="Heading4"/>
      </w:pPr>
      <w:r w:rsidRPr="00261B7A">
        <w:t>Uncertainties and time-series consistency</w:t>
      </w:r>
    </w:p>
    <w:p w14:paraId="15A9EBA3" w14:textId="77777777" w:rsidR="009F5DA6" w:rsidRPr="00261B7A" w:rsidRDefault="009F5DA6" w:rsidP="009F5DA6">
      <w:pPr>
        <w:pStyle w:val="BodyText"/>
        <w:rPr>
          <w:rFonts w:cs="Calibri"/>
          <w:lang w:eastAsia="en-GB"/>
        </w:rPr>
      </w:pPr>
      <w:r w:rsidRPr="00261B7A">
        <w:rPr>
          <w:rFonts w:cs="Calibri"/>
          <w:lang w:eastAsia="en-GB"/>
        </w:rPr>
        <w:t>Uncertainties in emissions estimates for data from other sectors are relevant to the entire Energy sector (see table 3.3.1).</w:t>
      </w:r>
    </w:p>
    <w:p w14:paraId="32C18011" w14:textId="77777777" w:rsidR="009F5DA6" w:rsidRPr="00261B7A" w:rsidRDefault="009F5DA6" w:rsidP="004C583E">
      <w:pPr>
        <w:pStyle w:val="Heading4"/>
      </w:pPr>
      <w:r w:rsidRPr="00261B7A">
        <w:t>Source-specific QA/QC and verification</w:t>
      </w:r>
    </w:p>
    <w:p w14:paraId="445ADA53" w14:textId="77777777" w:rsidR="009F5DA6" w:rsidRPr="00261B7A" w:rsidRDefault="009F5DA6" w:rsidP="009F5DA6">
      <w:pPr>
        <w:pStyle w:val="BodyText"/>
        <w:rPr>
          <w:rFonts w:cs="Calibri"/>
          <w:lang w:eastAsia="en-GB"/>
        </w:rPr>
      </w:pPr>
      <w:r w:rsidRPr="00261B7A">
        <w:rPr>
          <w:rFonts w:cs="Calibri"/>
          <w:lang w:eastAsia="en-GB"/>
        </w:rPr>
        <w:t xml:space="preserve">In the preparation of this inventory, the </w:t>
      </w:r>
      <w:r w:rsidRPr="00261B7A">
        <w:rPr>
          <w:rFonts w:cs="Calibri"/>
          <w:i/>
          <w:lang w:eastAsia="en-GB"/>
        </w:rPr>
        <w:t>Other sectors</w:t>
      </w:r>
      <w:r w:rsidRPr="00261B7A">
        <w:rPr>
          <w:rFonts w:cs="Calibri"/>
          <w:lang w:eastAsia="en-GB"/>
        </w:rPr>
        <w:t xml:space="preserve"> category underwent Tier 1 quality-assurance and quality-control checks as recommended in the 2006 IPCC Guidelines. These include regular control sums throughout systems, to verify system integrity, and consistency checks of implied emission factors.</w:t>
      </w:r>
    </w:p>
    <w:p w14:paraId="6C768D4C" w14:textId="77777777" w:rsidR="009F5DA6" w:rsidRPr="00261B7A" w:rsidRDefault="009F5DA6" w:rsidP="004C583E">
      <w:pPr>
        <w:pStyle w:val="Heading4"/>
      </w:pPr>
      <w:r w:rsidRPr="00261B7A">
        <w:t>Source-specific recalculations</w:t>
      </w:r>
    </w:p>
    <w:p w14:paraId="1B179313" w14:textId="77777777" w:rsidR="009F5DA6" w:rsidRPr="00261B7A" w:rsidRDefault="009F5DA6" w:rsidP="009F5DA6">
      <w:pPr>
        <w:pStyle w:val="BodyText"/>
        <w:rPr>
          <w:rFonts w:cs="Calibri"/>
          <w:lang w:eastAsia="en-GB"/>
        </w:rPr>
      </w:pPr>
      <w:r w:rsidRPr="00261B7A">
        <w:rPr>
          <w:rFonts w:cs="Calibri"/>
          <w:lang w:eastAsia="en-GB"/>
        </w:rPr>
        <w:t>Some minor recalculations may have occurred across the time series due to revisions of activity data provided by the energy data team at MBIE.</w:t>
      </w:r>
    </w:p>
    <w:p w14:paraId="7271FA1E" w14:textId="77777777" w:rsidR="009F5DA6" w:rsidRPr="00261B7A" w:rsidRDefault="009F5DA6" w:rsidP="004C583E">
      <w:pPr>
        <w:pStyle w:val="Heading4"/>
      </w:pPr>
      <w:r w:rsidRPr="00261B7A">
        <w:t>Source-specific improvements</w:t>
      </w:r>
    </w:p>
    <w:p w14:paraId="19955646" w14:textId="77777777" w:rsidR="009F5DA6" w:rsidRPr="00261B7A" w:rsidRDefault="009F5DA6" w:rsidP="009F5DA6">
      <w:pPr>
        <w:pStyle w:val="BodyText"/>
        <w:rPr>
          <w:rFonts w:cs="Calibri"/>
          <w:lang w:eastAsia="en-GB"/>
        </w:rPr>
      </w:pPr>
      <w:r w:rsidRPr="00261B7A">
        <w:rPr>
          <w:rFonts w:cs="Calibri"/>
          <w:lang w:eastAsia="en-GB"/>
        </w:rPr>
        <w:t xml:space="preserve">Emissions from fireworks have been estimated and included in the </w:t>
      </w:r>
      <w:r w:rsidRPr="00261B7A">
        <w:rPr>
          <w:rFonts w:cs="Calibri"/>
          <w:i/>
          <w:iCs/>
          <w:lang w:eastAsia="en-GB"/>
        </w:rPr>
        <w:t>Residential</w:t>
      </w:r>
      <w:r w:rsidRPr="00261B7A">
        <w:rPr>
          <w:rFonts w:cs="Calibri"/>
          <w:lang w:eastAsia="en-GB"/>
        </w:rPr>
        <w:t xml:space="preserve"> category.</w:t>
      </w:r>
    </w:p>
    <w:p w14:paraId="111B7B32" w14:textId="77777777" w:rsidR="009F5DA6" w:rsidRPr="00261B7A" w:rsidRDefault="009F5DA6" w:rsidP="009F5DA6">
      <w:pPr>
        <w:pStyle w:val="BodyText"/>
        <w:rPr>
          <w:rFonts w:cs="Calibri"/>
          <w:lang w:eastAsia="en-GB"/>
        </w:rPr>
      </w:pPr>
      <w:r w:rsidRPr="00261B7A">
        <w:rPr>
          <w:rFonts w:cs="Calibri"/>
          <w:spacing w:val="-2"/>
          <w:lang w:eastAsia="en-GB"/>
        </w:rPr>
        <w:t>Revisions to the national energy balance have resulted in reallocation of liquid fuel activity data</w:t>
      </w:r>
      <w:r w:rsidRPr="00261B7A">
        <w:rPr>
          <w:rFonts w:cs="Calibri"/>
          <w:lang w:eastAsia="en-GB"/>
        </w:rPr>
        <w:t xml:space="preserve"> from </w:t>
      </w:r>
      <w:r w:rsidRPr="00261B7A">
        <w:rPr>
          <w:rFonts w:cs="Calibri"/>
          <w:i/>
          <w:iCs/>
          <w:lang w:eastAsia="en-GB"/>
        </w:rPr>
        <w:t>Road transportation</w:t>
      </w:r>
      <w:r w:rsidRPr="00261B7A">
        <w:rPr>
          <w:rFonts w:cs="Calibri"/>
          <w:lang w:eastAsia="en-GB"/>
        </w:rPr>
        <w:t xml:space="preserve"> to the </w:t>
      </w:r>
      <w:r w:rsidRPr="00261B7A">
        <w:rPr>
          <w:rFonts w:cs="Calibri"/>
          <w:i/>
          <w:iCs/>
          <w:lang w:eastAsia="en-GB"/>
        </w:rPr>
        <w:t>Residential</w:t>
      </w:r>
      <w:r w:rsidRPr="00261B7A">
        <w:rPr>
          <w:rFonts w:cs="Calibri"/>
          <w:lang w:eastAsia="en-GB"/>
        </w:rPr>
        <w:t xml:space="preserve"> category. In July 2021, the </w:t>
      </w:r>
      <w:r w:rsidRPr="00261B7A">
        <w:t>Energy Efficiency and Conservation Authority</w:t>
      </w:r>
      <w:r w:rsidRPr="00261B7A">
        <w:rPr>
          <w:rFonts w:cs="Calibri"/>
          <w:lang w:eastAsia="en-GB"/>
        </w:rPr>
        <w:t xml:space="preserve"> published the report </w:t>
      </w:r>
      <w:r w:rsidRPr="00261B7A">
        <w:rPr>
          <w:rFonts w:cs="Calibri"/>
          <w:i/>
          <w:iCs/>
          <w:lang w:eastAsia="en-GB"/>
        </w:rPr>
        <w:t>Off-road Liquid Fuel Insights: Quantifying Off</w:t>
      </w:r>
      <w:r w:rsidRPr="00261B7A">
        <w:rPr>
          <w:rFonts w:cs="Calibri"/>
          <w:i/>
          <w:iCs/>
          <w:lang w:eastAsia="en-GB"/>
        </w:rPr>
        <w:noBreakHyphen/>
        <w:t>road Diesel and Petrol Use in New Zealand</w:t>
      </w:r>
      <w:r w:rsidRPr="00261B7A">
        <w:rPr>
          <w:rFonts w:cs="Calibri"/>
          <w:lang w:eastAsia="en-GB"/>
        </w:rPr>
        <w:t xml:space="preserve"> (</w:t>
      </w:r>
      <w:r w:rsidRPr="00261B7A">
        <w:t>Energy Efficiency and Conservation Authority</w:t>
      </w:r>
      <w:r w:rsidRPr="00261B7A">
        <w:rPr>
          <w:rFonts w:cs="Calibri"/>
          <w:lang w:eastAsia="en-GB"/>
        </w:rPr>
        <w:t>, 2021). The research provides a more detailed breakdown of off-road fuel use than was previously available, enabling better understanding of how fossil fuels are used in the off</w:t>
      </w:r>
      <w:r w:rsidRPr="00261B7A">
        <w:rPr>
          <w:rFonts w:cs="Calibri"/>
          <w:lang w:eastAsia="en-GB"/>
        </w:rPr>
        <w:noBreakHyphen/>
        <w:t>road context.</w:t>
      </w:r>
    </w:p>
    <w:p w14:paraId="6651F6BE" w14:textId="77777777" w:rsidR="009F5DA6" w:rsidRPr="00261B7A" w:rsidRDefault="009F5DA6" w:rsidP="009F5DA6">
      <w:pPr>
        <w:pStyle w:val="BodyText"/>
        <w:rPr>
          <w:rFonts w:cs="Calibri"/>
          <w:lang w:eastAsia="en-GB"/>
        </w:rPr>
      </w:pPr>
      <w:r w:rsidRPr="00261B7A">
        <w:rPr>
          <w:rFonts w:cs="Calibri"/>
          <w:lang w:eastAsia="en-GB"/>
        </w:rPr>
        <w:t xml:space="preserve">A key recommendation of this report was that recreational marine use should be recorded as ‘off-road’ in future data. The research found the potential exists for 383 million litres of petrol and 50 million litres of diesel to be sourced through the retail network for recreational marine use annually. This was previously recorded as ‘on-road’ use in the official data, while its actual use is off-road. </w:t>
      </w:r>
      <w:r w:rsidRPr="00261B7A">
        <w:rPr>
          <w:rFonts w:cs="Arial"/>
        </w:rPr>
        <w:t xml:space="preserve">The recommendation to reallocate this fuel use was implemented and the national energy balance was revised. Recreational boating is considered a residential leisure activity and so fuel use has been allocated to the </w:t>
      </w:r>
      <w:r w:rsidRPr="00261B7A">
        <w:rPr>
          <w:rFonts w:cs="Arial"/>
          <w:i/>
          <w:iCs/>
        </w:rPr>
        <w:t>Residential</w:t>
      </w:r>
      <w:r w:rsidRPr="00261B7A">
        <w:rPr>
          <w:rFonts w:cs="Arial"/>
        </w:rPr>
        <w:t xml:space="preserve"> category.</w:t>
      </w:r>
    </w:p>
    <w:p w14:paraId="7173BF19" w14:textId="77777777" w:rsidR="009F5DA6" w:rsidRPr="00261B7A" w:rsidRDefault="009F5DA6" w:rsidP="004C583E">
      <w:pPr>
        <w:pStyle w:val="Heading4"/>
      </w:pPr>
      <w:r w:rsidRPr="00261B7A">
        <w:t>Source-specific planned improvements</w:t>
      </w:r>
    </w:p>
    <w:p w14:paraId="00770764" w14:textId="77777777" w:rsidR="009F5DA6" w:rsidRPr="00261B7A" w:rsidRDefault="009F5DA6" w:rsidP="009F5DA6">
      <w:pPr>
        <w:pStyle w:val="BodyText"/>
        <w:rPr>
          <w:rFonts w:cs="Calibri"/>
          <w:b/>
          <w:bCs/>
          <w:szCs w:val="24"/>
          <w:lang w:eastAsia="en-GB"/>
        </w:rPr>
      </w:pPr>
      <w:r w:rsidRPr="00261B7A">
        <w:rPr>
          <w:rFonts w:cs="Calibri"/>
          <w:lang w:eastAsia="en-GB"/>
        </w:rPr>
        <w:t xml:space="preserve">No improvements are planned for this category. </w:t>
      </w:r>
    </w:p>
    <w:p w14:paraId="71632A9E" w14:textId="77777777" w:rsidR="009F5DA6" w:rsidRPr="00261B7A" w:rsidRDefault="009F5DA6" w:rsidP="00A638DC">
      <w:pPr>
        <w:pStyle w:val="Heading2"/>
      </w:pPr>
      <w:bookmarkStart w:id="399" w:name="_Toc321398811"/>
      <w:bookmarkStart w:id="400" w:name="_Toc384581637"/>
      <w:bookmarkStart w:id="401" w:name="_Toc448321509"/>
      <w:bookmarkStart w:id="402" w:name="_Toc481751371"/>
      <w:bookmarkStart w:id="403" w:name="_Toc36224388"/>
      <w:bookmarkStart w:id="404" w:name="_Toc68786308"/>
      <w:bookmarkStart w:id="405" w:name="_Toc131591223"/>
      <w:r w:rsidRPr="00261B7A">
        <w:t>3.4</w:t>
      </w:r>
      <w:r w:rsidRPr="00261B7A">
        <w:tab/>
        <w:t>Fugitive emissions from fuels (CRF 1.B)</w:t>
      </w:r>
      <w:bookmarkEnd w:id="399"/>
      <w:bookmarkEnd w:id="400"/>
      <w:bookmarkEnd w:id="401"/>
      <w:bookmarkEnd w:id="402"/>
      <w:bookmarkEnd w:id="403"/>
      <w:bookmarkEnd w:id="404"/>
      <w:bookmarkEnd w:id="405"/>
    </w:p>
    <w:p w14:paraId="0466DE73" w14:textId="77777777" w:rsidR="009F5DA6" w:rsidRPr="00261B7A" w:rsidRDefault="009F5DA6" w:rsidP="009F5DA6">
      <w:pPr>
        <w:pStyle w:val="BodyText"/>
        <w:rPr>
          <w:rFonts w:cs="Calibri"/>
          <w:lang w:eastAsia="en-GB"/>
        </w:rPr>
      </w:pPr>
      <w:r w:rsidRPr="00261B7A">
        <w:rPr>
          <w:rFonts w:cs="Calibri"/>
          <w:lang w:eastAsia="en-GB"/>
        </w:rPr>
        <w:t xml:space="preserve">Fugitive emissions arise from the production, processing, transmission, storage and use of fossil fuels, and from non-productive combustion. This category comprises two subcategories: </w:t>
      </w:r>
      <w:r w:rsidRPr="00261B7A">
        <w:rPr>
          <w:rFonts w:cs="Calibri"/>
          <w:i/>
          <w:lang w:eastAsia="en-GB"/>
        </w:rPr>
        <w:t>Solid fuels</w:t>
      </w:r>
      <w:r w:rsidRPr="00261B7A">
        <w:rPr>
          <w:rFonts w:cs="Calibri"/>
          <w:lang w:eastAsia="en-GB"/>
        </w:rPr>
        <w:t xml:space="preserve"> and </w:t>
      </w:r>
      <w:r w:rsidRPr="00261B7A">
        <w:rPr>
          <w:rFonts w:cs="Calibri"/>
          <w:i/>
          <w:lang w:eastAsia="en-GB"/>
        </w:rPr>
        <w:t>Oil and natural gas</w:t>
      </w:r>
      <w:r w:rsidRPr="00261B7A">
        <w:rPr>
          <w:rFonts w:cs="Calibri"/>
          <w:lang w:eastAsia="en-GB"/>
        </w:rPr>
        <w:t>.</w:t>
      </w:r>
    </w:p>
    <w:p w14:paraId="797081C5" w14:textId="77777777" w:rsidR="009F5DA6" w:rsidRPr="00261B7A" w:rsidRDefault="009F5DA6" w:rsidP="009F5DA6">
      <w:pPr>
        <w:pStyle w:val="BodyText"/>
        <w:rPr>
          <w:rFonts w:cs="Calibri"/>
          <w:lang w:eastAsia="en-GB"/>
        </w:rPr>
      </w:pPr>
      <w:r w:rsidRPr="00261B7A">
        <w:rPr>
          <w:rFonts w:cs="Calibri"/>
          <w:lang w:eastAsia="en-GB"/>
        </w:rPr>
        <w:t xml:space="preserve">In </w:t>
      </w:r>
      <w:r w:rsidRPr="00261B7A">
        <w:rPr>
          <w:rFonts w:cs="Calibri"/>
        </w:rPr>
        <w:t>2021</w:t>
      </w:r>
      <w:r w:rsidRPr="00261B7A">
        <w:rPr>
          <w:rFonts w:cs="Calibri"/>
          <w:lang w:eastAsia="en-GB"/>
        </w:rPr>
        <w:t xml:space="preserve">, fugitive emissions from fuels accounted for </w:t>
      </w:r>
      <w:r w:rsidRPr="00261B7A">
        <w:rPr>
          <w:rFonts w:cs="Calibri"/>
        </w:rPr>
        <w:t xml:space="preserve">1,113.3 </w:t>
      </w:r>
      <w:r w:rsidRPr="00261B7A">
        <w:rPr>
          <w:rFonts w:cs="Calibri"/>
          <w:lang w:eastAsia="en-GB"/>
        </w:rPr>
        <w:t>kt CO</w:t>
      </w:r>
      <w:r w:rsidRPr="00261B7A">
        <w:rPr>
          <w:rFonts w:cs="Calibri"/>
          <w:vertAlign w:val="subscript"/>
          <w:lang w:eastAsia="en-GB"/>
        </w:rPr>
        <w:t>2</w:t>
      </w:r>
      <w:r w:rsidRPr="00261B7A">
        <w:rPr>
          <w:rFonts w:cs="Calibri"/>
          <w:lang w:eastAsia="en-GB"/>
        </w:rPr>
        <w:t>-e (</w:t>
      </w:r>
      <w:r w:rsidRPr="00261B7A">
        <w:rPr>
          <w:rFonts w:cs="Calibri"/>
        </w:rPr>
        <w:t>3.6 per cent</w:t>
      </w:r>
      <w:r w:rsidRPr="00261B7A">
        <w:rPr>
          <w:rFonts w:cs="Calibri"/>
          <w:lang w:eastAsia="en-GB"/>
        </w:rPr>
        <w:t xml:space="preserve">) of emissions from the Energy sector. This is </w:t>
      </w:r>
      <w:r w:rsidRPr="00261B7A">
        <w:rPr>
          <w:rFonts w:cs="Calibri"/>
        </w:rPr>
        <w:t xml:space="preserve">318.1 </w:t>
      </w:r>
      <w:r w:rsidRPr="00261B7A">
        <w:rPr>
          <w:rFonts w:cs="Calibri"/>
          <w:lang w:eastAsia="en-GB"/>
        </w:rPr>
        <w:t>kt CO</w:t>
      </w:r>
      <w:r w:rsidRPr="00261B7A">
        <w:rPr>
          <w:rFonts w:cs="Calibri"/>
          <w:vertAlign w:val="subscript"/>
          <w:lang w:eastAsia="en-GB"/>
        </w:rPr>
        <w:t>2</w:t>
      </w:r>
      <w:r w:rsidRPr="00261B7A">
        <w:rPr>
          <w:rFonts w:cs="Calibri"/>
          <w:lang w:eastAsia="en-GB"/>
        </w:rPr>
        <w:t>-e (</w:t>
      </w:r>
      <w:r w:rsidRPr="00261B7A">
        <w:rPr>
          <w:rFonts w:cs="Calibri"/>
        </w:rPr>
        <w:t>22.2 per cent</w:t>
      </w:r>
      <w:r w:rsidRPr="00261B7A">
        <w:rPr>
          <w:rFonts w:cs="Calibri"/>
          <w:lang w:eastAsia="en-GB"/>
        </w:rPr>
        <w:t xml:space="preserve">) lower than the 1990 level of </w:t>
      </w:r>
      <w:r w:rsidRPr="00261B7A">
        <w:rPr>
          <w:rFonts w:cs="Calibri"/>
        </w:rPr>
        <w:t xml:space="preserve">1,431.3 </w:t>
      </w:r>
      <w:r w:rsidRPr="00261B7A">
        <w:rPr>
          <w:rFonts w:cs="Calibri"/>
          <w:lang w:eastAsia="en-GB"/>
        </w:rPr>
        <w:t>kt CO</w:t>
      </w:r>
      <w:r w:rsidRPr="00261B7A">
        <w:rPr>
          <w:rFonts w:cs="Calibri"/>
          <w:vertAlign w:val="subscript"/>
          <w:lang w:eastAsia="en-GB"/>
        </w:rPr>
        <w:t>2</w:t>
      </w:r>
      <w:r w:rsidRPr="00261B7A">
        <w:rPr>
          <w:rFonts w:cs="Calibri"/>
          <w:lang w:eastAsia="en-GB"/>
        </w:rPr>
        <w:t>-e.</w:t>
      </w:r>
    </w:p>
    <w:p w14:paraId="6C2F51E8" w14:textId="77777777" w:rsidR="009F5DA6" w:rsidRPr="00261B7A" w:rsidRDefault="009F5DA6" w:rsidP="004C583E">
      <w:pPr>
        <w:pStyle w:val="Heading4"/>
      </w:pPr>
      <w:r w:rsidRPr="00261B7A">
        <w:t>Changes in emissions between 2020 and 2021</w:t>
      </w:r>
    </w:p>
    <w:p w14:paraId="6E662E7C" w14:textId="77777777" w:rsidR="009F5DA6" w:rsidRPr="00261B7A" w:rsidRDefault="009F5DA6" w:rsidP="009F5DA6">
      <w:pPr>
        <w:pStyle w:val="BodyText"/>
        <w:rPr>
          <w:rFonts w:cs="Calibri"/>
        </w:rPr>
      </w:pPr>
      <w:r w:rsidRPr="00261B7A">
        <w:rPr>
          <w:rFonts w:cs="Calibri"/>
          <w:lang w:eastAsia="en-GB"/>
        </w:rPr>
        <w:t xml:space="preserve">Between </w:t>
      </w:r>
      <w:r w:rsidRPr="00261B7A">
        <w:rPr>
          <w:rFonts w:cs="Calibri"/>
        </w:rPr>
        <w:t>2020</w:t>
      </w:r>
      <w:r w:rsidRPr="00261B7A">
        <w:rPr>
          <w:rFonts w:cs="Calibri"/>
          <w:lang w:eastAsia="en-GB"/>
        </w:rPr>
        <w:t xml:space="preserve"> and </w:t>
      </w:r>
      <w:r w:rsidRPr="00261B7A">
        <w:rPr>
          <w:rFonts w:cs="Calibri"/>
        </w:rPr>
        <w:t>2021</w:t>
      </w:r>
      <w:r w:rsidRPr="00261B7A">
        <w:rPr>
          <w:rFonts w:cs="Calibri"/>
          <w:lang w:eastAsia="en-GB"/>
        </w:rPr>
        <w:t>, fugitive emissions from fuels</w:t>
      </w:r>
      <w:r w:rsidRPr="00261B7A">
        <w:rPr>
          <w:rFonts w:cs="Calibri"/>
        </w:rPr>
        <w:t xml:space="preserve"> decreased by 85.3 </w:t>
      </w:r>
      <w:r w:rsidRPr="00261B7A">
        <w:rPr>
          <w:rFonts w:cs="Calibri"/>
          <w:lang w:eastAsia="en-GB"/>
        </w:rPr>
        <w:t>kt CO</w:t>
      </w:r>
      <w:r w:rsidRPr="00261B7A">
        <w:rPr>
          <w:rFonts w:cs="Calibri"/>
          <w:szCs w:val="14"/>
          <w:vertAlign w:val="subscript"/>
          <w:lang w:eastAsia="en-GB"/>
        </w:rPr>
        <w:t>2</w:t>
      </w:r>
      <w:r w:rsidRPr="00261B7A">
        <w:rPr>
          <w:rFonts w:cs="Calibri"/>
          <w:lang w:eastAsia="en-GB"/>
        </w:rPr>
        <w:t>-e (</w:t>
      </w:r>
      <w:r w:rsidRPr="00261B7A">
        <w:rPr>
          <w:rFonts w:cs="Calibri"/>
        </w:rPr>
        <w:t>7.1 per cent</w:t>
      </w:r>
      <w:r w:rsidRPr="00261B7A">
        <w:rPr>
          <w:rFonts w:cs="Calibri"/>
          <w:lang w:eastAsia="en-GB"/>
        </w:rPr>
        <w:t xml:space="preserve">). This was primarily the result of decreased activity in category 1.B.2.c. </w:t>
      </w:r>
      <w:r w:rsidRPr="00261B7A">
        <w:rPr>
          <w:rFonts w:cs="Calibri"/>
          <w:i/>
          <w:lang w:eastAsia="en-GB"/>
        </w:rPr>
        <w:t>Venting and flaring</w:t>
      </w:r>
      <w:r w:rsidRPr="00261B7A">
        <w:rPr>
          <w:rFonts w:cs="Calibri"/>
          <w:i/>
        </w:rPr>
        <w:t>.</w:t>
      </w:r>
    </w:p>
    <w:p w14:paraId="611238F7" w14:textId="77777777" w:rsidR="009F5DA6" w:rsidRPr="00261B7A" w:rsidRDefault="009F5DA6" w:rsidP="009F5DA6">
      <w:pPr>
        <w:pStyle w:val="BodyText"/>
        <w:rPr>
          <w:rFonts w:cs="Calibri"/>
        </w:rPr>
      </w:pPr>
      <w:r w:rsidRPr="00261B7A">
        <w:rPr>
          <w:rFonts w:cs="Calibri"/>
        </w:rPr>
        <w:t xml:space="preserve">Key categories identified in the 2021 level and trend assessment for the </w:t>
      </w:r>
      <w:r w:rsidRPr="00261B7A">
        <w:rPr>
          <w:rFonts w:cs="Calibri"/>
          <w:i/>
          <w:lang w:eastAsia="en-GB"/>
        </w:rPr>
        <w:t>Fugitive emissions</w:t>
      </w:r>
      <w:r w:rsidRPr="00261B7A">
        <w:rPr>
          <w:rFonts w:cs="Calibri"/>
        </w:rPr>
        <w:t xml:space="preserve"> category are given in table 3.4.1.</w:t>
      </w:r>
    </w:p>
    <w:p w14:paraId="1320478E" w14:textId="77777777" w:rsidR="009F5DA6" w:rsidRPr="00261B7A" w:rsidRDefault="009F5DA6" w:rsidP="009F5DA6">
      <w:pPr>
        <w:pStyle w:val="Table"/>
      </w:pPr>
      <w:bookmarkStart w:id="406" w:name="_Toc68786413"/>
      <w:bookmarkStart w:id="407" w:name="_Toc131591326"/>
      <w:r w:rsidRPr="00261B7A">
        <w:t>Table 3.4.1</w:t>
      </w:r>
      <w:r w:rsidRPr="00261B7A">
        <w:tab/>
        <w:t xml:space="preserve">Key categories for 1.B </w:t>
      </w:r>
      <w:r w:rsidRPr="00261B7A">
        <w:rPr>
          <w:i/>
          <w:iCs/>
        </w:rPr>
        <w:t>Fugitive emissions</w:t>
      </w:r>
      <w:bookmarkEnd w:id="406"/>
      <w:bookmarkEnd w:id="407"/>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4620"/>
        <w:gridCol w:w="2036"/>
        <w:gridCol w:w="1849"/>
      </w:tblGrid>
      <w:tr w:rsidR="009F5DA6" w:rsidRPr="00261B7A" w14:paraId="1537B174" w14:textId="77777777" w:rsidTr="00D41492">
        <w:trPr>
          <w:cantSplit/>
          <w:tblHeader/>
        </w:trPr>
        <w:tc>
          <w:tcPr>
            <w:tcW w:w="2716" w:type="pct"/>
            <w:shd w:val="clear" w:color="auto" w:fill="1B556B"/>
            <w:noWrap/>
            <w:vAlign w:val="bottom"/>
            <w:hideMark/>
          </w:tcPr>
          <w:p w14:paraId="5865D4AC" w14:textId="77777777" w:rsidR="009F5DA6" w:rsidRPr="00261B7A" w:rsidRDefault="009F5DA6" w:rsidP="00D41492">
            <w:pPr>
              <w:pStyle w:val="TableTextBold"/>
              <w:keepNext/>
              <w:rPr>
                <w:rFonts w:cs="Calibri"/>
                <w:noProof w:val="0"/>
                <w:color w:val="FFFFFF"/>
              </w:rPr>
            </w:pPr>
            <w:r w:rsidRPr="00261B7A">
              <w:rPr>
                <w:rFonts w:cs="Calibri"/>
                <w:noProof w:val="0"/>
                <w:color w:val="FFFFFF"/>
              </w:rPr>
              <w:t>Category</w:t>
            </w:r>
          </w:p>
        </w:tc>
        <w:tc>
          <w:tcPr>
            <w:tcW w:w="1197" w:type="pct"/>
            <w:shd w:val="clear" w:color="auto" w:fill="1B556B"/>
            <w:noWrap/>
            <w:vAlign w:val="bottom"/>
            <w:hideMark/>
          </w:tcPr>
          <w:p w14:paraId="559CAC44" w14:textId="77777777" w:rsidR="009F5DA6" w:rsidRPr="00261B7A" w:rsidRDefault="009F5DA6" w:rsidP="00D41492">
            <w:pPr>
              <w:pStyle w:val="TableTextBold"/>
              <w:keepNext/>
              <w:rPr>
                <w:rFonts w:cs="Calibri"/>
                <w:noProof w:val="0"/>
                <w:color w:val="FFFFFF"/>
              </w:rPr>
            </w:pPr>
            <w:r w:rsidRPr="00261B7A">
              <w:rPr>
                <w:rFonts w:cs="Calibri"/>
                <w:noProof w:val="0"/>
                <w:color w:val="FFFFFF"/>
              </w:rPr>
              <w:t>CO</w:t>
            </w:r>
            <w:r w:rsidRPr="00261B7A">
              <w:rPr>
                <w:rFonts w:cs="Calibri"/>
                <w:noProof w:val="0"/>
                <w:color w:val="FFFFFF"/>
                <w:vertAlign w:val="subscript"/>
              </w:rPr>
              <w:t>2</w:t>
            </w:r>
          </w:p>
        </w:tc>
        <w:tc>
          <w:tcPr>
            <w:tcW w:w="1087" w:type="pct"/>
            <w:shd w:val="clear" w:color="auto" w:fill="1B556B"/>
            <w:vAlign w:val="bottom"/>
            <w:hideMark/>
          </w:tcPr>
          <w:p w14:paraId="7689881D" w14:textId="77777777" w:rsidR="009F5DA6" w:rsidRPr="00261B7A" w:rsidRDefault="009F5DA6" w:rsidP="00D41492">
            <w:pPr>
              <w:pStyle w:val="TableTextBold"/>
              <w:keepNext/>
              <w:rPr>
                <w:rFonts w:cs="Calibri"/>
                <w:noProof w:val="0"/>
                <w:color w:val="FFFFFF"/>
              </w:rPr>
            </w:pPr>
            <w:r w:rsidRPr="00261B7A">
              <w:rPr>
                <w:rFonts w:cs="Calibri"/>
                <w:noProof w:val="0"/>
                <w:color w:val="FFFFFF"/>
              </w:rPr>
              <w:t>CH</w:t>
            </w:r>
            <w:r w:rsidRPr="00261B7A">
              <w:rPr>
                <w:rFonts w:cs="Calibri"/>
                <w:noProof w:val="0"/>
                <w:color w:val="FFFFFF"/>
                <w:vertAlign w:val="subscript"/>
              </w:rPr>
              <w:t>4</w:t>
            </w:r>
          </w:p>
        </w:tc>
      </w:tr>
      <w:tr w:rsidR="009F5DA6" w:rsidRPr="00261B7A" w14:paraId="4AA564ED" w14:textId="77777777" w:rsidTr="00D41492">
        <w:trPr>
          <w:cantSplit/>
        </w:trPr>
        <w:tc>
          <w:tcPr>
            <w:tcW w:w="2716" w:type="pct"/>
            <w:shd w:val="clear" w:color="auto" w:fill="auto"/>
            <w:noWrap/>
            <w:hideMark/>
          </w:tcPr>
          <w:p w14:paraId="149F7ECB" w14:textId="77777777" w:rsidR="009F5DA6" w:rsidRPr="00261B7A" w:rsidRDefault="009F5DA6" w:rsidP="00D41492">
            <w:pPr>
              <w:pStyle w:val="TableText"/>
              <w:spacing w:before="50" w:after="50"/>
              <w:rPr>
                <w:rFonts w:cs="Calibri"/>
              </w:rPr>
            </w:pPr>
            <w:r w:rsidRPr="00261B7A">
              <w:rPr>
                <w:rFonts w:cs="Calibri"/>
              </w:rPr>
              <w:t>Coal mining and handling – Underground mines</w:t>
            </w:r>
          </w:p>
        </w:tc>
        <w:tc>
          <w:tcPr>
            <w:tcW w:w="1197" w:type="pct"/>
            <w:shd w:val="clear" w:color="auto" w:fill="auto"/>
            <w:noWrap/>
            <w:hideMark/>
          </w:tcPr>
          <w:p w14:paraId="45CFE872" w14:textId="77777777" w:rsidR="009F5DA6" w:rsidRPr="00261B7A" w:rsidRDefault="009F5DA6" w:rsidP="00D41492">
            <w:pPr>
              <w:pStyle w:val="TableText"/>
              <w:spacing w:before="50" w:after="50"/>
              <w:rPr>
                <w:rFonts w:cs="Calibri"/>
              </w:rPr>
            </w:pPr>
          </w:p>
        </w:tc>
        <w:tc>
          <w:tcPr>
            <w:tcW w:w="1087" w:type="pct"/>
            <w:shd w:val="clear" w:color="auto" w:fill="auto"/>
            <w:noWrap/>
            <w:hideMark/>
          </w:tcPr>
          <w:p w14:paraId="541527D1" w14:textId="77777777" w:rsidR="009F5DA6" w:rsidRPr="00261B7A" w:rsidRDefault="009F5DA6" w:rsidP="00D41492">
            <w:pPr>
              <w:pStyle w:val="TableText"/>
              <w:spacing w:before="50" w:after="50"/>
              <w:rPr>
                <w:rFonts w:cs="Calibri"/>
              </w:rPr>
            </w:pPr>
            <w:r w:rsidRPr="00261B7A">
              <w:rPr>
                <w:rFonts w:cs="Calibri"/>
              </w:rPr>
              <w:t>Trend</w:t>
            </w:r>
          </w:p>
        </w:tc>
      </w:tr>
      <w:tr w:rsidR="009F5DA6" w:rsidRPr="00261B7A" w14:paraId="16780188" w14:textId="77777777" w:rsidTr="00D41492">
        <w:trPr>
          <w:cantSplit/>
        </w:trPr>
        <w:tc>
          <w:tcPr>
            <w:tcW w:w="2716" w:type="pct"/>
            <w:shd w:val="clear" w:color="auto" w:fill="auto"/>
            <w:noWrap/>
            <w:hideMark/>
          </w:tcPr>
          <w:p w14:paraId="461DB66F" w14:textId="77777777" w:rsidR="009F5DA6" w:rsidRPr="00261B7A" w:rsidRDefault="009F5DA6" w:rsidP="00D41492">
            <w:pPr>
              <w:pStyle w:val="TableText"/>
              <w:spacing w:before="50" w:after="50"/>
              <w:rPr>
                <w:rFonts w:cs="Calibri"/>
              </w:rPr>
            </w:pPr>
            <w:r w:rsidRPr="00261B7A">
              <w:rPr>
                <w:rFonts w:cs="Calibri"/>
              </w:rPr>
              <w:t>Natural gas – Distribution</w:t>
            </w:r>
          </w:p>
        </w:tc>
        <w:tc>
          <w:tcPr>
            <w:tcW w:w="1197" w:type="pct"/>
            <w:shd w:val="clear" w:color="auto" w:fill="auto"/>
            <w:noWrap/>
            <w:hideMark/>
          </w:tcPr>
          <w:p w14:paraId="7CEC8E19" w14:textId="77777777" w:rsidR="009F5DA6" w:rsidRPr="00261B7A" w:rsidRDefault="009F5DA6" w:rsidP="00D41492">
            <w:pPr>
              <w:pStyle w:val="TableText"/>
              <w:spacing w:before="50" w:after="50"/>
              <w:rPr>
                <w:rFonts w:cs="Calibri"/>
              </w:rPr>
            </w:pPr>
          </w:p>
        </w:tc>
        <w:tc>
          <w:tcPr>
            <w:tcW w:w="1087" w:type="pct"/>
            <w:shd w:val="clear" w:color="auto" w:fill="auto"/>
            <w:noWrap/>
          </w:tcPr>
          <w:p w14:paraId="1A1443C1" w14:textId="77777777" w:rsidR="009F5DA6" w:rsidRPr="00261B7A" w:rsidRDefault="009F5DA6" w:rsidP="00D41492">
            <w:pPr>
              <w:pStyle w:val="TableText"/>
              <w:spacing w:before="50" w:after="50"/>
              <w:rPr>
                <w:rFonts w:cs="Calibri"/>
              </w:rPr>
            </w:pPr>
            <w:r w:rsidRPr="00261B7A">
              <w:rPr>
                <w:rFonts w:cs="Calibri"/>
              </w:rPr>
              <w:t>Trend</w:t>
            </w:r>
          </w:p>
        </w:tc>
      </w:tr>
      <w:tr w:rsidR="009F5DA6" w:rsidRPr="00261B7A" w14:paraId="4A9634D9" w14:textId="77777777" w:rsidTr="00D41492">
        <w:trPr>
          <w:cantSplit/>
        </w:trPr>
        <w:tc>
          <w:tcPr>
            <w:tcW w:w="2716" w:type="pct"/>
            <w:shd w:val="clear" w:color="auto" w:fill="auto"/>
            <w:noWrap/>
          </w:tcPr>
          <w:p w14:paraId="14DF7DA6" w14:textId="77777777" w:rsidR="009F5DA6" w:rsidRPr="00261B7A" w:rsidRDefault="009F5DA6" w:rsidP="00D41492">
            <w:pPr>
              <w:pStyle w:val="TableText"/>
              <w:spacing w:before="50" w:after="50"/>
              <w:rPr>
                <w:rFonts w:cs="Calibri"/>
              </w:rPr>
            </w:pPr>
            <w:r w:rsidRPr="00261B7A">
              <w:rPr>
                <w:rFonts w:cs="Calibri"/>
              </w:rPr>
              <w:t>Venting – Gas</w:t>
            </w:r>
          </w:p>
        </w:tc>
        <w:tc>
          <w:tcPr>
            <w:tcW w:w="1197" w:type="pct"/>
            <w:shd w:val="clear" w:color="auto" w:fill="auto"/>
            <w:noWrap/>
          </w:tcPr>
          <w:p w14:paraId="5CE40878" w14:textId="77777777" w:rsidR="009F5DA6" w:rsidRPr="00261B7A" w:rsidRDefault="009F5DA6" w:rsidP="00D41492">
            <w:pPr>
              <w:pStyle w:val="TableText"/>
              <w:spacing w:before="50" w:after="50"/>
              <w:rPr>
                <w:rFonts w:cs="Calibri"/>
              </w:rPr>
            </w:pPr>
            <w:r w:rsidRPr="00261B7A">
              <w:rPr>
                <w:rFonts w:cs="Calibri"/>
              </w:rPr>
              <w:t>Level, trend</w:t>
            </w:r>
          </w:p>
        </w:tc>
        <w:tc>
          <w:tcPr>
            <w:tcW w:w="1087" w:type="pct"/>
            <w:shd w:val="clear" w:color="auto" w:fill="auto"/>
            <w:noWrap/>
          </w:tcPr>
          <w:p w14:paraId="3325C228" w14:textId="77777777" w:rsidR="009F5DA6" w:rsidRPr="00261B7A" w:rsidRDefault="009F5DA6" w:rsidP="00D41492">
            <w:pPr>
              <w:pStyle w:val="TableText"/>
              <w:spacing w:before="50" w:after="50"/>
              <w:rPr>
                <w:rFonts w:cs="Calibri"/>
              </w:rPr>
            </w:pPr>
          </w:p>
        </w:tc>
      </w:tr>
      <w:tr w:rsidR="009F5DA6" w:rsidRPr="00261B7A" w14:paraId="30092FD2" w14:textId="77777777" w:rsidTr="00D41492">
        <w:trPr>
          <w:cantSplit/>
        </w:trPr>
        <w:tc>
          <w:tcPr>
            <w:tcW w:w="2716" w:type="pct"/>
            <w:shd w:val="clear" w:color="auto" w:fill="auto"/>
            <w:noWrap/>
          </w:tcPr>
          <w:p w14:paraId="7F764B22" w14:textId="77777777" w:rsidR="009F5DA6" w:rsidRPr="00261B7A" w:rsidRDefault="009F5DA6" w:rsidP="00D41492">
            <w:pPr>
              <w:pStyle w:val="TableText"/>
              <w:spacing w:before="50" w:after="50"/>
              <w:rPr>
                <w:rFonts w:cs="Calibri"/>
              </w:rPr>
            </w:pPr>
            <w:r w:rsidRPr="00261B7A">
              <w:rPr>
                <w:rFonts w:cs="Calibri"/>
              </w:rPr>
              <w:t>Flaring – Combined</w:t>
            </w:r>
          </w:p>
        </w:tc>
        <w:tc>
          <w:tcPr>
            <w:tcW w:w="1197" w:type="pct"/>
            <w:shd w:val="clear" w:color="auto" w:fill="auto"/>
            <w:noWrap/>
          </w:tcPr>
          <w:p w14:paraId="782D638A" w14:textId="77777777" w:rsidR="009F5DA6" w:rsidRPr="00261B7A" w:rsidRDefault="009F5DA6" w:rsidP="00D41492">
            <w:pPr>
              <w:pStyle w:val="TableText"/>
              <w:spacing w:before="50" w:after="50"/>
              <w:rPr>
                <w:rFonts w:cs="Calibri"/>
              </w:rPr>
            </w:pPr>
            <w:r w:rsidRPr="00261B7A">
              <w:rPr>
                <w:rFonts w:cs="Calibri"/>
              </w:rPr>
              <w:t>Trend</w:t>
            </w:r>
          </w:p>
        </w:tc>
        <w:tc>
          <w:tcPr>
            <w:tcW w:w="1087" w:type="pct"/>
            <w:shd w:val="clear" w:color="auto" w:fill="auto"/>
            <w:noWrap/>
          </w:tcPr>
          <w:p w14:paraId="00509FA5" w14:textId="77777777" w:rsidR="009F5DA6" w:rsidRPr="00261B7A" w:rsidRDefault="009F5DA6" w:rsidP="00D41492">
            <w:pPr>
              <w:pStyle w:val="TableText"/>
              <w:spacing w:before="50" w:after="50"/>
              <w:rPr>
                <w:rFonts w:cs="Calibri"/>
              </w:rPr>
            </w:pPr>
          </w:p>
        </w:tc>
      </w:tr>
      <w:tr w:rsidR="009F5DA6" w:rsidRPr="00261B7A" w14:paraId="54FB72FA" w14:textId="77777777" w:rsidTr="00D41492">
        <w:trPr>
          <w:cantSplit/>
        </w:trPr>
        <w:tc>
          <w:tcPr>
            <w:tcW w:w="2716" w:type="pct"/>
            <w:shd w:val="clear" w:color="auto" w:fill="auto"/>
            <w:noWrap/>
          </w:tcPr>
          <w:p w14:paraId="6B7C4B94" w14:textId="77777777" w:rsidR="009F5DA6" w:rsidRPr="00261B7A" w:rsidRDefault="009F5DA6" w:rsidP="00D41492">
            <w:pPr>
              <w:pStyle w:val="TableText"/>
              <w:spacing w:before="50" w:after="50"/>
              <w:rPr>
                <w:rFonts w:cs="Calibri"/>
              </w:rPr>
            </w:pPr>
            <w:r w:rsidRPr="00261B7A">
              <w:rPr>
                <w:rFonts w:cs="Calibri"/>
              </w:rPr>
              <w:t>Other – Geothermal</w:t>
            </w:r>
          </w:p>
        </w:tc>
        <w:tc>
          <w:tcPr>
            <w:tcW w:w="1197" w:type="pct"/>
            <w:shd w:val="clear" w:color="auto" w:fill="auto"/>
            <w:noWrap/>
          </w:tcPr>
          <w:p w14:paraId="1A6C4F26" w14:textId="77777777" w:rsidR="009F5DA6" w:rsidRPr="00261B7A" w:rsidRDefault="009F5DA6" w:rsidP="00D41492">
            <w:pPr>
              <w:pStyle w:val="TableText"/>
              <w:spacing w:before="50" w:after="50"/>
              <w:rPr>
                <w:rFonts w:cs="Calibri"/>
              </w:rPr>
            </w:pPr>
            <w:r w:rsidRPr="00261B7A">
              <w:rPr>
                <w:rFonts w:cs="Calibri"/>
              </w:rPr>
              <w:t>Level, trend</w:t>
            </w:r>
          </w:p>
        </w:tc>
        <w:tc>
          <w:tcPr>
            <w:tcW w:w="1087" w:type="pct"/>
            <w:shd w:val="clear" w:color="auto" w:fill="auto"/>
            <w:noWrap/>
          </w:tcPr>
          <w:p w14:paraId="48252B50" w14:textId="77777777" w:rsidR="009F5DA6" w:rsidRPr="00261B7A" w:rsidRDefault="009F5DA6" w:rsidP="00D41492">
            <w:pPr>
              <w:pStyle w:val="TableText"/>
              <w:spacing w:before="50" w:after="50"/>
              <w:rPr>
                <w:rFonts w:cs="Calibri"/>
              </w:rPr>
            </w:pPr>
          </w:p>
        </w:tc>
      </w:tr>
    </w:tbl>
    <w:p w14:paraId="4D76D5A2" w14:textId="77777777" w:rsidR="009F5DA6" w:rsidRPr="00261B7A" w:rsidRDefault="009F5DA6" w:rsidP="0034058F">
      <w:pPr>
        <w:pStyle w:val="Heading3"/>
      </w:pPr>
      <w:r w:rsidRPr="00261B7A">
        <w:t>3.4.1</w:t>
      </w:r>
      <w:r w:rsidRPr="00261B7A">
        <w:tab/>
        <w:t>Fugitive emissions from fuels: Solid fuels (CRF 1.B.1)</w:t>
      </w:r>
    </w:p>
    <w:p w14:paraId="62EE8882" w14:textId="77777777" w:rsidR="009F5DA6" w:rsidRPr="00261B7A" w:rsidRDefault="009F5DA6" w:rsidP="006B1BA4">
      <w:pPr>
        <w:pStyle w:val="Heading4"/>
        <w:spacing w:before="180"/>
      </w:pPr>
      <w:r w:rsidRPr="00261B7A">
        <w:t>Description</w:t>
      </w:r>
    </w:p>
    <w:p w14:paraId="73F7C933" w14:textId="77777777" w:rsidR="009F5DA6" w:rsidRPr="00261B7A" w:rsidRDefault="009F5DA6" w:rsidP="009F5DA6">
      <w:pPr>
        <w:pStyle w:val="BodyText"/>
        <w:spacing w:before="100"/>
        <w:rPr>
          <w:rFonts w:cs="Calibri"/>
          <w:lang w:eastAsia="en-GB"/>
        </w:rPr>
      </w:pPr>
      <w:r w:rsidRPr="00261B7A">
        <w:rPr>
          <w:rFonts w:cs="Calibri"/>
          <w:lang w:eastAsia="en-GB"/>
        </w:rPr>
        <w:t xml:space="preserve">In </w:t>
      </w:r>
      <w:r w:rsidRPr="00261B7A">
        <w:rPr>
          <w:rFonts w:cs="Calibri"/>
        </w:rPr>
        <w:t>2021</w:t>
      </w:r>
      <w:r w:rsidRPr="00261B7A">
        <w:rPr>
          <w:rFonts w:cs="Calibri"/>
          <w:lang w:eastAsia="en-GB"/>
        </w:rPr>
        <w:t xml:space="preserve">, fugitive emissions from the </w:t>
      </w:r>
      <w:r w:rsidRPr="00261B7A">
        <w:rPr>
          <w:rFonts w:cs="Calibri"/>
          <w:i/>
          <w:lang w:eastAsia="en-GB"/>
        </w:rPr>
        <w:t>Solid fuels</w:t>
      </w:r>
      <w:r w:rsidRPr="00261B7A">
        <w:rPr>
          <w:rFonts w:cs="Calibri"/>
          <w:lang w:eastAsia="en-GB"/>
        </w:rPr>
        <w:t xml:space="preserve"> category accounted for </w:t>
      </w:r>
      <w:r w:rsidRPr="00261B7A">
        <w:rPr>
          <w:rFonts w:cs="Calibri"/>
        </w:rPr>
        <w:t xml:space="preserve">62.4 </w:t>
      </w:r>
      <w:r w:rsidRPr="00261B7A">
        <w:rPr>
          <w:rFonts w:cs="Calibri"/>
          <w:lang w:eastAsia="en-GB"/>
        </w:rPr>
        <w:t>kt CO</w:t>
      </w:r>
      <w:r w:rsidRPr="00261B7A">
        <w:rPr>
          <w:rFonts w:cs="Calibri"/>
          <w:vertAlign w:val="subscript"/>
          <w:lang w:eastAsia="en-GB"/>
        </w:rPr>
        <w:t>2</w:t>
      </w:r>
      <w:r w:rsidRPr="00261B7A">
        <w:rPr>
          <w:rFonts w:cs="Calibri"/>
          <w:lang w:eastAsia="en-GB"/>
        </w:rPr>
        <w:t>-e (</w:t>
      </w:r>
      <w:r w:rsidRPr="00261B7A">
        <w:rPr>
          <w:rFonts w:cs="Calibri"/>
        </w:rPr>
        <w:t>0.2 per cent</w:t>
      </w:r>
      <w:r w:rsidRPr="00261B7A">
        <w:rPr>
          <w:rFonts w:cs="Calibri"/>
          <w:lang w:eastAsia="en-GB"/>
        </w:rPr>
        <w:t xml:space="preserve">) of emissions from the </w:t>
      </w:r>
      <w:r w:rsidRPr="00261B7A">
        <w:rPr>
          <w:rFonts w:cs="Calibri"/>
          <w:i/>
          <w:lang w:eastAsia="en-GB"/>
        </w:rPr>
        <w:t>Fugitive emissions</w:t>
      </w:r>
      <w:r w:rsidRPr="00261B7A">
        <w:rPr>
          <w:rFonts w:cs="Calibri"/>
          <w:lang w:eastAsia="en-GB"/>
        </w:rPr>
        <w:t xml:space="preserve"> category. This is 265.6 kt CO</w:t>
      </w:r>
      <w:r w:rsidRPr="00261B7A">
        <w:rPr>
          <w:rFonts w:cs="Calibri"/>
          <w:vertAlign w:val="subscript"/>
          <w:lang w:eastAsia="en-GB"/>
        </w:rPr>
        <w:t>2</w:t>
      </w:r>
      <w:r w:rsidRPr="00261B7A">
        <w:rPr>
          <w:rFonts w:cs="Calibri"/>
          <w:lang w:eastAsia="en-GB"/>
        </w:rPr>
        <w:t>-e (</w:t>
      </w:r>
      <w:r w:rsidRPr="00261B7A">
        <w:rPr>
          <w:rFonts w:cs="Calibri"/>
        </w:rPr>
        <w:t>81.0 per cent</w:t>
      </w:r>
      <w:r w:rsidRPr="00261B7A">
        <w:rPr>
          <w:rFonts w:cs="Calibri"/>
          <w:lang w:eastAsia="en-GB"/>
        </w:rPr>
        <w:t xml:space="preserve">) lower than the </w:t>
      </w:r>
      <w:r w:rsidRPr="00261B7A">
        <w:rPr>
          <w:rFonts w:cs="Calibri"/>
        </w:rPr>
        <w:t xml:space="preserve">328.0 </w:t>
      </w:r>
      <w:r w:rsidRPr="00261B7A">
        <w:rPr>
          <w:rFonts w:cs="Calibri"/>
          <w:lang w:eastAsia="en-GB"/>
        </w:rPr>
        <w:t>kt CO</w:t>
      </w:r>
      <w:r w:rsidRPr="00261B7A">
        <w:rPr>
          <w:rFonts w:cs="Calibri"/>
          <w:vertAlign w:val="subscript"/>
          <w:lang w:eastAsia="en-GB"/>
        </w:rPr>
        <w:t>2</w:t>
      </w:r>
      <w:r w:rsidRPr="00261B7A">
        <w:rPr>
          <w:rFonts w:cs="Calibri"/>
          <w:lang w:eastAsia="en-GB"/>
        </w:rPr>
        <w:t>-e reported for 1990.</w:t>
      </w:r>
    </w:p>
    <w:p w14:paraId="03EEB1E7" w14:textId="77777777" w:rsidR="009F5DA6" w:rsidRPr="00261B7A" w:rsidRDefault="009F5DA6" w:rsidP="009F5DA6">
      <w:pPr>
        <w:pStyle w:val="BodyText"/>
        <w:spacing w:before="100"/>
        <w:rPr>
          <w:rFonts w:cs="Calibri"/>
          <w:lang w:eastAsia="en-GB"/>
        </w:rPr>
      </w:pPr>
      <w:r w:rsidRPr="00261B7A">
        <w:rPr>
          <w:rFonts w:cs="Calibri"/>
          <w:lang w:eastAsia="en-GB"/>
        </w:rPr>
        <w:t xml:space="preserve">Between </w:t>
      </w:r>
      <w:r w:rsidRPr="00261B7A">
        <w:rPr>
          <w:rFonts w:cs="Calibri"/>
        </w:rPr>
        <w:t xml:space="preserve">2020 </w:t>
      </w:r>
      <w:r w:rsidRPr="00261B7A">
        <w:rPr>
          <w:rFonts w:cs="Calibri"/>
          <w:lang w:eastAsia="en-GB"/>
        </w:rPr>
        <w:t xml:space="preserve">and </w:t>
      </w:r>
      <w:r w:rsidRPr="00261B7A">
        <w:rPr>
          <w:rFonts w:cs="Calibri"/>
        </w:rPr>
        <w:t>2021</w:t>
      </w:r>
      <w:r w:rsidRPr="00261B7A">
        <w:rPr>
          <w:rFonts w:cs="Calibri"/>
          <w:lang w:eastAsia="en-GB"/>
        </w:rPr>
        <w:t xml:space="preserve">, fugitive emissions from the </w:t>
      </w:r>
      <w:r w:rsidRPr="00261B7A">
        <w:rPr>
          <w:rFonts w:cs="Calibri"/>
          <w:i/>
          <w:lang w:eastAsia="en-GB"/>
        </w:rPr>
        <w:t>Solid fuels</w:t>
      </w:r>
      <w:r w:rsidRPr="00261B7A">
        <w:rPr>
          <w:rFonts w:cs="Calibri"/>
          <w:lang w:eastAsia="en-GB"/>
        </w:rPr>
        <w:t xml:space="preserve"> category </w:t>
      </w:r>
      <w:r w:rsidRPr="00261B7A">
        <w:rPr>
          <w:rFonts w:cs="Calibri"/>
        </w:rPr>
        <w:t>decreased by 1.1 </w:t>
      </w:r>
      <w:r w:rsidRPr="00261B7A">
        <w:rPr>
          <w:rFonts w:cs="Calibri"/>
          <w:lang w:eastAsia="en-GB"/>
        </w:rPr>
        <w:t>kt CO</w:t>
      </w:r>
      <w:r w:rsidRPr="00261B7A">
        <w:rPr>
          <w:rFonts w:cs="Calibri"/>
          <w:vertAlign w:val="subscript"/>
          <w:lang w:eastAsia="en-GB"/>
        </w:rPr>
        <w:t>2</w:t>
      </w:r>
      <w:r w:rsidRPr="00261B7A">
        <w:rPr>
          <w:rFonts w:cs="Calibri"/>
          <w:lang w:eastAsia="en-GB"/>
        </w:rPr>
        <w:t xml:space="preserve">-e (1.7 </w:t>
      </w:r>
      <w:r w:rsidRPr="00261B7A">
        <w:rPr>
          <w:rFonts w:cs="Calibri"/>
        </w:rPr>
        <w:t>per cent</w:t>
      </w:r>
      <w:r w:rsidRPr="00261B7A">
        <w:rPr>
          <w:rFonts w:cs="Calibri"/>
          <w:lang w:eastAsia="en-GB"/>
        </w:rPr>
        <w:t>) due to decreased coal production.</w:t>
      </w:r>
    </w:p>
    <w:p w14:paraId="772B8E82" w14:textId="77777777" w:rsidR="009F5DA6" w:rsidRPr="00261B7A" w:rsidRDefault="009F5DA6" w:rsidP="009F5DA6">
      <w:pPr>
        <w:pStyle w:val="BodyText"/>
        <w:spacing w:before="100"/>
        <w:rPr>
          <w:rFonts w:cs="Calibri"/>
          <w:lang w:eastAsia="en-GB"/>
        </w:rPr>
      </w:pPr>
      <w:r w:rsidRPr="00261B7A">
        <w:rPr>
          <w:rFonts w:cs="Calibri"/>
          <w:lang w:eastAsia="en-GB"/>
        </w:rPr>
        <w:t xml:space="preserve">New Zealand’s fugitive emissions from the </w:t>
      </w:r>
      <w:r w:rsidRPr="00261B7A">
        <w:rPr>
          <w:rFonts w:cs="Calibri"/>
          <w:i/>
          <w:lang w:eastAsia="en-GB"/>
        </w:rPr>
        <w:t>Solid fuels</w:t>
      </w:r>
      <w:r w:rsidRPr="00261B7A">
        <w:rPr>
          <w:rFonts w:cs="Calibri"/>
          <w:lang w:eastAsia="en-GB"/>
        </w:rPr>
        <w:t xml:space="preserve"> category are a by-product of coal mining operations. Methane is created during coal formation and released when coal is mined. The amount of </w:t>
      </w:r>
      <w:r w:rsidRPr="00261B7A">
        <w:rPr>
          <w:rFonts w:cs="Calibri"/>
        </w:rPr>
        <w:t>CH</w:t>
      </w:r>
      <w:r w:rsidRPr="00261B7A">
        <w:rPr>
          <w:rFonts w:cs="Calibri"/>
          <w:vertAlign w:val="subscript"/>
        </w:rPr>
        <w:t>4</w:t>
      </w:r>
      <w:r w:rsidRPr="00261B7A">
        <w:rPr>
          <w:rFonts w:cs="Calibri"/>
          <w:lang w:eastAsia="en-GB"/>
        </w:rPr>
        <w:t xml:space="preserve"> released during coal mining is dependent on the coal grade and the depth of the coal seam. Emissions also occur due to post-underground mining activities such as coal processing, transportation and use.</w:t>
      </w:r>
    </w:p>
    <w:p w14:paraId="5D06F5C7" w14:textId="77777777" w:rsidR="009F5DA6" w:rsidRPr="00261B7A" w:rsidRDefault="009F5DA6" w:rsidP="009F5DA6">
      <w:pPr>
        <w:pStyle w:val="BodyText"/>
        <w:spacing w:before="100"/>
        <w:rPr>
          <w:rFonts w:cs="Calibri"/>
          <w:lang w:eastAsia="en-GB"/>
        </w:rPr>
      </w:pPr>
      <w:r w:rsidRPr="00261B7A">
        <w:rPr>
          <w:rFonts w:cs="Calibri"/>
          <w:lang w:eastAsia="en-GB"/>
        </w:rPr>
        <w:t xml:space="preserve">In </w:t>
      </w:r>
      <w:r w:rsidRPr="00261B7A">
        <w:rPr>
          <w:rFonts w:cs="Calibri"/>
        </w:rPr>
        <w:t>2021</w:t>
      </w:r>
      <w:r w:rsidRPr="00261B7A">
        <w:rPr>
          <w:rFonts w:cs="Calibri"/>
          <w:lang w:eastAsia="en-GB"/>
        </w:rPr>
        <w:t>, New Zealand coal production was 2.9 million tonnes, similar to production levels in 2016 and 2017. F</w:t>
      </w:r>
      <w:r w:rsidRPr="00261B7A">
        <w:rPr>
          <w:rFonts w:cs="Calibri"/>
        </w:rPr>
        <w:t xml:space="preserve">ewer than 20 active coal mines are operating in New Zealand, and as of 2021 none is underground. The two largest open-cast operations, at Stockton and Rotowaro, account for most national production. For further information and data on the coal mining industry, refer to </w:t>
      </w:r>
      <w:r w:rsidRPr="00261B7A">
        <w:rPr>
          <w:rFonts w:cs="Calibri"/>
          <w:i/>
        </w:rPr>
        <w:t>Energy in New Zealand</w:t>
      </w:r>
      <w:r w:rsidRPr="00261B7A">
        <w:rPr>
          <w:rFonts w:cs="Calibri"/>
        </w:rPr>
        <w:t xml:space="preserve"> (MBIE, 2022).</w:t>
      </w:r>
    </w:p>
    <w:p w14:paraId="6F0FCA80" w14:textId="77777777" w:rsidR="009F5DA6" w:rsidRPr="00261B7A" w:rsidRDefault="009F5DA6" w:rsidP="009F5DA6">
      <w:pPr>
        <w:pStyle w:val="BodyText"/>
        <w:spacing w:before="100"/>
        <w:rPr>
          <w:rFonts w:cs="Calibri"/>
          <w:lang w:eastAsia="en-GB"/>
        </w:rPr>
      </w:pPr>
      <w:r w:rsidRPr="00261B7A">
        <w:rPr>
          <w:rFonts w:cs="Calibri"/>
          <w:lang w:eastAsia="en-GB"/>
        </w:rPr>
        <w:t xml:space="preserve">At the end of </w:t>
      </w:r>
      <w:r w:rsidRPr="00261B7A">
        <w:rPr>
          <w:rFonts w:cs="Calibri"/>
        </w:rPr>
        <w:t>2021</w:t>
      </w:r>
      <w:r w:rsidRPr="00261B7A">
        <w:rPr>
          <w:rFonts w:cs="Calibri"/>
          <w:lang w:eastAsia="en-GB"/>
        </w:rPr>
        <w:t xml:space="preserve">, no known flaring or capture of </w:t>
      </w:r>
      <w:r w:rsidRPr="00261B7A">
        <w:rPr>
          <w:rFonts w:cs="Calibri"/>
        </w:rPr>
        <w:t>CH</w:t>
      </w:r>
      <w:r w:rsidRPr="00261B7A">
        <w:rPr>
          <w:rFonts w:cs="Calibri"/>
          <w:vertAlign w:val="subscript"/>
        </w:rPr>
        <w:t>4</w:t>
      </w:r>
      <w:r w:rsidRPr="00261B7A">
        <w:rPr>
          <w:rFonts w:cs="Calibri"/>
        </w:rPr>
        <w:t xml:space="preserve"> was occurring </w:t>
      </w:r>
      <w:r w:rsidRPr="00261B7A">
        <w:rPr>
          <w:rFonts w:cs="Calibri"/>
          <w:lang w:eastAsia="en-GB"/>
        </w:rPr>
        <w:t>at coal mines in New Zealand. Pilot schemes of both coal seam gas and underground coal gasification began in 2012, but these projects have not progressed.</w:t>
      </w:r>
    </w:p>
    <w:p w14:paraId="4BD89054" w14:textId="77777777" w:rsidR="009F5DA6" w:rsidRPr="00261B7A" w:rsidRDefault="009F5DA6" w:rsidP="004C583E">
      <w:pPr>
        <w:pStyle w:val="Heading4"/>
      </w:pPr>
      <w:r w:rsidRPr="00261B7A">
        <w:t>Methodological issues</w:t>
      </w:r>
    </w:p>
    <w:p w14:paraId="4E25BBDC" w14:textId="77777777" w:rsidR="009F5DA6" w:rsidRPr="00261B7A" w:rsidRDefault="009F5DA6" w:rsidP="009F5DA6">
      <w:pPr>
        <w:pStyle w:val="BodyText"/>
        <w:spacing w:after="100"/>
        <w:rPr>
          <w:rFonts w:cs="Calibri"/>
          <w:lang w:eastAsia="ko-KR"/>
        </w:rPr>
      </w:pPr>
      <w:r w:rsidRPr="00261B7A">
        <w:rPr>
          <w:rFonts w:cs="Calibri"/>
          <w:lang w:eastAsia="en-GB"/>
        </w:rPr>
        <w:t xml:space="preserve">The New Zealand-specific emission factor for underground mining of sub-bituminous coal is used to calculate </w:t>
      </w:r>
      <w:r w:rsidRPr="00261B7A">
        <w:rPr>
          <w:rFonts w:cs="Calibri"/>
        </w:rPr>
        <w:t>CH</w:t>
      </w:r>
      <w:r w:rsidRPr="00261B7A">
        <w:rPr>
          <w:rFonts w:cs="Calibri"/>
          <w:vertAlign w:val="subscript"/>
        </w:rPr>
        <w:t>4</w:t>
      </w:r>
      <w:r w:rsidRPr="00261B7A">
        <w:rPr>
          <w:rFonts w:cs="Calibri"/>
          <w:sz w:val="14"/>
          <w:szCs w:val="14"/>
          <w:lang w:eastAsia="en-GB"/>
        </w:rPr>
        <w:t xml:space="preserve"> </w:t>
      </w:r>
      <w:r w:rsidRPr="00261B7A">
        <w:rPr>
          <w:rFonts w:cs="Calibri"/>
          <w:lang w:eastAsia="en-GB"/>
        </w:rPr>
        <w:t>emissions (Beamish and Vance, 1992). T</w:t>
      </w:r>
      <w:r w:rsidRPr="00261B7A">
        <w:rPr>
          <w:rFonts w:cs="Calibri"/>
          <w:lang w:eastAsia="ko-KR"/>
        </w:rPr>
        <w:t>he sub-bituminous emission factor derived from Beamish and Vance is considered to be reliable because the emission factor (12.1 tonnes per kilotonne (t/kt)) is:</w:t>
      </w:r>
    </w:p>
    <w:p w14:paraId="18A4BC7E" w14:textId="77777777" w:rsidR="009F5DA6" w:rsidRPr="00261B7A" w:rsidRDefault="009F5DA6" w:rsidP="0078221F">
      <w:pPr>
        <w:pStyle w:val="Bullet"/>
        <w:keepNext/>
      </w:pPr>
      <w:r w:rsidRPr="00261B7A">
        <w:t>well within the 2006 IPCC default range of 6.7–16.75 t/kt</w:t>
      </w:r>
    </w:p>
    <w:p w14:paraId="02DFF1E3" w14:textId="77777777" w:rsidR="009F5DA6" w:rsidRPr="00261B7A" w:rsidRDefault="009F5DA6" w:rsidP="0078221F">
      <w:pPr>
        <w:pStyle w:val="Bullet"/>
      </w:pPr>
      <w:r w:rsidRPr="00261B7A">
        <w:t>largely based on data for the most significant sub-bituminous coal mine in New Zealand (Huntly East mine), which was in continuous operation since 1988 and the most significant producing mine.</w:t>
      </w:r>
    </w:p>
    <w:p w14:paraId="644F4936" w14:textId="77777777" w:rsidR="009F5DA6" w:rsidRPr="00261B7A" w:rsidRDefault="009F5DA6" w:rsidP="009F5DA6">
      <w:pPr>
        <w:pStyle w:val="BodyText"/>
        <w:spacing w:after="100"/>
        <w:rPr>
          <w:rFonts w:cs="Calibri"/>
          <w:lang w:eastAsia="ko-KR"/>
        </w:rPr>
      </w:pPr>
      <w:r w:rsidRPr="00261B7A">
        <w:rPr>
          <w:rFonts w:cs="Calibri"/>
          <w:lang w:eastAsia="ko-KR"/>
        </w:rPr>
        <w:t>The emission factor for underground mining of bituminous coal is taken from the 2006 IPCC Guidelines. It is noted that any bituminous emission factor derived from Beamish and Vance (1992) would not be reliable, and should not be used, for the following reasons.</w:t>
      </w:r>
    </w:p>
    <w:p w14:paraId="50B87BDA" w14:textId="77777777" w:rsidR="009F5DA6" w:rsidRPr="00261B7A" w:rsidRDefault="009F5DA6" w:rsidP="00294EC5">
      <w:pPr>
        <w:pStyle w:val="Sub-lista"/>
        <w:numPr>
          <w:ilvl w:val="0"/>
          <w:numId w:val="23"/>
        </w:numPr>
        <w:spacing w:after="100"/>
      </w:pPr>
      <w:r w:rsidRPr="00261B7A">
        <w:t>The derived emission factor (35.28 t CH</w:t>
      </w:r>
      <w:r w:rsidRPr="00261B7A">
        <w:rPr>
          <w:vertAlign w:val="subscript"/>
        </w:rPr>
        <w:t>4</w:t>
      </w:r>
      <w:r w:rsidRPr="00261B7A">
        <w:t>/kt) is more than double the high default 2006 IPCC value. Using such an emission factor that is so far out of line with the default values would require a strong justification.</w:t>
      </w:r>
    </w:p>
    <w:p w14:paraId="507445DE" w14:textId="77777777" w:rsidR="009F5DA6" w:rsidRPr="00261B7A" w:rsidRDefault="009F5DA6" w:rsidP="009F5DA6">
      <w:pPr>
        <w:pStyle w:val="Sub-lista"/>
        <w:spacing w:after="100"/>
      </w:pPr>
      <w:r w:rsidRPr="00261B7A">
        <w:t>New Zealand already has the highest implied emission factor for underground mining among Annex I Parties. Dramatically increasing the emission factor further still would not be in the interests of comparability.</w:t>
      </w:r>
    </w:p>
    <w:p w14:paraId="17A9302A" w14:textId="77777777" w:rsidR="009F5DA6" w:rsidRPr="00261B7A" w:rsidRDefault="009F5DA6" w:rsidP="009F5DA6">
      <w:pPr>
        <w:pStyle w:val="Sub-lista"/>
        <w:spacing w:after="100"/>
      </w:pPr>
      <w:r w:rsidRPr="00261B7A">
        <w:t>The bituminous data are based on production (in 1988) of only 125 kt and so represent a very small sample size (compared with the sub-bituminous mines, where the data are based on production of 655 kt). The small sample size significantly increases the uncertainty.</w:t>
      </w:r>
    </w:p>
    <w:p w14:paraId="50A97EEB" w14:textId="77777777" w:rsidR="009F5DA6" w:rsidRPr="00261B7A" w:rsidRDefault="009F5DA6" w:rsidP="009F5DA6">
      <w:pPr>
        <w:pStyle w:val="Sub-lista"/>
      </w:pPr>
      <w:r w:rsidRPr="00261B7A">
        <w:t>Beamish and Vance’s study is based on data from 1988, for just eight bituminous coal mines. These data are out of date, because all of these mines are no longer producing, and bituminous coal production comes from entirely different underground mines, to which the suggested emission factors may not be applicable.</w:t>
      </w:r>
    </w:p>
    <w:p w14:paraId="1176D80A" w14:textId="77777777" w:rsidR="009F5DA6" w:rsidRPr="00261B7A" w:rsidRDefault="009F5DA6" w:rsidP="009F5DA6">
      <w:pPr>
        <w:pStyle w:val="BodyText"/>
        <w:rPr>
          <w:rFonts w:cs="Calibri"/>
          <w:lang w:eastAsia="en-GB"/>
        </w:rPr>
      </w:pPr>
      <w:r w:rsidRPr="00261B7A">
        <w:rPr>
          <w:rFonts w:cs="Calibri"/>
          <w:lang w:eastAsia="en-GB"/>
        </w:rPr>
        <w:t>Emission factors for the other subcategories, for example, surface mining, are sourced from the 2006 IPCC Guidelines.</w:t>
      </w:r>
    </w:p>
    <w:p w14:paraId="174AA2DF" w14:textId="77777777" w:rsidR="009F5DA6" w:rsidRPr="00261B7A" w:rsidRDefault="009F5DA6" w:rsidP="009F5DA6">
      <w:pPr>
        <w:pStyle w:val="Heading5"/>
        <w:rPr>
          <w:rFonts w:cs="Calibri"/>
          <w:lang w:eastAsia="en-GB"/>
        </w:rPr>
      </w:pPr>
      <w:r w:rsidRPr="00261B7A">
        <w:rPr>
          <w:rFonts w:cs="Calibri"/>
          <w:lang w:eastAsia="en-GB"/>
        </w:rPr>
        <w:t>Activity data</w:t>
      </w:r>
    </w:p>
    <w:p w14:paraId="2556F112" w14:textId="77777777" w:rsidR="009F5DA6" w:rsidRPr="00261B7A" w:rsidRDefault="009F5DA6" w:rsidP="009F5DA6">
      <w:pPr>
        <w:pStyle w:val="BodyText"/>
        <w:rPr>
          <w:rFonts w:cs="Calibri"/>
          <w:lang w:eastAsia="en-GB"/>
        </w:rPr>
      </w:pPr>
      <w:r w:rsidRPr="00261B7A">
        <w:rPr>
          <w:rFonts w:cs="Calibri"/>
          <w:lang w:eastAsia="en-GB"/>
        </w:rPr>
        <w:t>Activity data for this category are collected from MBIE’s coal production survey. This survey gathers quarterly data on coal production by mine type (underground and/or surface) and rank (coking, bituminous, sub-bituminous, lignite).</w:t>
      </w:r>
    </w:p>
    <w:p w14:paraId="136B11E3" w14:textId="77777777" w:rsidR="009F5DA6" w:rsidRPr="00261B7A" w:rsidRDefault="009F5DA6" w:rsidP="009F5DA6">
      <w:pPr>
        <w:pStyle w:val="Heading5"/>
        <w:rPr>
          <w:rFonts w:cs="Calibri"/>
          <w:lang w:eastAsia="en-GB"/>
        </w:rPr>
      </w:pPr>
      <w:r w:rsidRPr="00261B7A">
        <w:rPr>
          <w:rFonts w:cs="Calibri"/>
          <w:lang w:eastAsia="en-GB"/>
        </w:rPr>
        <w:t>Abandoned underground mines (1.B.1.a.1.iii)</w:t>
      </w:r>
    </w:p>
    <w:p w14:paraId="0D99FCD9" w14:textId="77777777" w:rsidR="009F5DA6" w:rsidRPr="00261B7A" w:rsidRDefault="009F5DA6" w:rsidP="009F5DA6">
      <w:pPr>
        <w:pStyle w:val="BodyText"/>
        <w:spacing w:before="100" w:after="100"/>
      </w:pPr>
      <w:r w:rsidRPr="00261B7A">
        <w:rPr>
          <w:rFonts w:cs="Calibri"/>
          <w:lang w:eastAsia="en-GB"/>
        </w:rPr>
        <w:t xml:space="preserve">MBIE is currently investigating whether there was any activity in this category. According to the 2006 IPCC Guidelines, mines of only a few acres in size should be disregarded, and non-gassy mines and flooded mines are presumed to have negligible emissions. Most New Zealand mines are small by European standards and can be disregarded. The first stage of the project was completed in 2016 and concluded that the activity is not occurring (NO) in the North Island: details are given in table 3.4.2. The second stage of the project, focusing on collating and digitising mine data for the South Island, commenced in December 2019 and is ongoing. A mine plans database has been made available online </w:t>
      </w:r>
      <w:r w:rsidRPr="00261B7A">
        <w:t>(</w:t>
      </w:r>
      <w:hyperlink r:id="rId79" w:history="1">
        <w:r w:rsidRPr="00261B7A">
          <w:rPr>
            <w:rStyle w:val="Hyperlink"/>
          </w:rPr>
          <w:t>https://mineplans.nzpam.govt.nz</w:t>
        </w:r>
      </w:hyperlink>
      <w:r w:rsidRPr="00261B7A">
        <w:t>), although this is still a work in progress. An online exploration database is also available (</w:t>
      </w:r>
      <w:hyperlink r:id="rId80" w:history="1">
        <w:r w:rsidRPr="00261B7A">
          <w:rPr>
            <w:rStyle w:val="Hyperlink"/>
          </w:rPr>
          <w:t>https://data.nzpam.govt.nz/GOLD/ system/mainframe.asp</w:t>
        </w:r>
      </w:hyperlink>
      <w:r w:rsidRPr="00261B7A">
        <w:t>).</w:t>
      </w:r>
    </w:p>
    <w:p w14:paraId="6785B9F7" w14:textId="77777777" w:rsidR="009F5DA6" w:rsidRPr="00261B7A" w:rsidRDefault="009F5DA6" w:rsidP="009F5DA6">
      <w:pPr>
        <w:pStyle w:val="BodyText"/>
        <w:spacing w:before="100" w:after="100"/>
        <w:rPr>
          <w:rFonts w:cs="Calibri"/>
          <w:lang w:eastAsia="en-GB"/>
        </w:rPr>
      </w:pPr>
      <w:r w:rsidRPr="00261B7A">
        <w:rPr>
          <w:rFonts w:cs="Calibri"/>
          <w:lang w:eastAsia="en-GB"/>
        </w:rPr>
        <w:t>During 2021, a contractor was employed to review all the coal reports within MBIE’s online coal mine databases and record the following details:</w:t>
      </w:r>
    </w:p>
    <w:p w14:paraId="103C2E39" w14:textId="77777777" w:rsidR="009F5DA6" w:rsidRPr="00261B7A" w:rsidRDefault="009F5DA6" w:rsidP="009F5DA6">
      <w:pPr>
        <w:pStyle w:val="Bullet"/>
        <w:spacing w:after="100"/>
      </w:pPr>
      <w:r w:rsidRPr="00261B7A">
        <w:t>mine name</w:t>
      </w:r>
    </w:p>
    <w:p w14:paraId="6FC5ECFD" w14:textId="77777777" w:rsidR="009F5DA6" w:rsidRPr="00261B7A" w:rsidRDefault="009F5DA6" w:rsidP="009F5DA6">
      <w:pPr>
        <w:pStyle w:val="Bullet"/>
        <w:spacing w:after="100"/>
      </w:pPr>
      <w:r w:rsidRPr="00261B7A">
        <w:t>mine number</w:t>
      </w:r>
    </w:p>
    <w:p w14:paraId="17218D2A" w14:textId="77777777" w:rsidR="009F5DA6" w:rsidRPr="00261B7A" w:rsidRDefault="009F5DA6" w:rsidP="009F5DA6">
      <w:pPr>
        <w:pStyle w:val="Bullet"/>
        <w:spacing w:after="100"/>
      </w:pPr>
      <w:r w:rsidRPr="00261B7A">
        <w:t>coalfield</w:t>
      </w:r>
    </w:p>
    <w:p w14:paraId="7D31436B" w14:textId="77777777" w:rsidR="009F5DA6" w:rsidRPr="00261B7A" w:rsidRDefault="009F5DA6" w:rsidP="009F5DA6">
      <w:pPr>
        <w:pStyle w:val="Bullet"/>
        <w:spacing w:after="100"/>
      </w:pPr>
      <w:r w:rsidRPr="00261B7A">
        <w:t>mining method</w:t>
      </w:r>
    </w:p>
    <w:p w14:paraId="65F464CB" w14:textId="77777777" w:rsidR="009F5DA6" w:rsidRPr="00261B7A" w:rsidRDefault="009F5DA6" w:rsidP="009F5DA6">
      <w:pPr>
        <w:pStyle w:val="Bullet"/>
        <w:spacing w:after="100"/>
      </w:pPr>
      <w:r w:rsidRPr="00261B7A">
        <w:t>location of the mine (grid reference or coordinates)</w:t>
      </w:r>
    </w:p>
    <w:p w14:paraId="6BCBA293" w14:textId="77777777" w:rsidR="009F5DA6" w:rsidRPr="00261B7A" w:rsidRDefault="009F5DA6" w:rsidP="009F5DA6">
      <w:pPr>
        <w:pStyle w:val="Bullet"/>
        <w:spacing w:after="100"/>
      </w:pPr>
      <w:r w:rsidRPr="00261B7A">
        <w:t>mine start year</w:t>
      </w:r>
    </w:p>
    <w:p w14:paraId="7E28D1A4" w14:textId="77777777" w:rsidR="009F5DA6" w:rsidRPr="00261B7A" w:rsidRDefault="009F5DA6" w:rsidP="009F5DA6">
      <w:pPr>
        <w:pStyle w:val="Bullet"/>
        <w:spacing w:after="100"/>
      </w:pPr>
      <w:r w:rsidRPr="00261B7A">
        <w:t>mine closure year</w:t>
      </w:r>
    </w:p>
    <w:p w14:paraId="7EFF84AC" w14:textId="77777777" w:rsidR="009F5DA6" w:rsidRPr="00261B7A" w:rsidRDefault="009F5DA6" w:rsidP="009F5DA6">
      <w:pPr>
        <w:pStyle w:val="Bullet"/>
        <w:spacing w:after="100"/>
      </w:pPr>
      <w:r w:rsidRPr="00261B7A">
        <w:t>details of production</w:t>
      </w:r>
    </w:p>
    <w:p w14:paraId="2B91C3AE" w14:textId="77777777" w:rsidR="009F5DA6" w:rsidRPr="00261B7A" w:rsidRDefault="009F5DA6" w:rsidP="009F5DA6">
      <w:pPr>
        <w:pStyle w:val="Bullet"/>
        <w:spacing w:after="100"/>
      </w:pPr>
      <w:r w:rsidRPr="00261B7A">
        <w:t>whether the mine was gassy (mentions of problems with gas)</w:t>
      </w:r>
    </w:p>
    <w:p w14:paraId="120CB42B" w14:textId="77777777" w:rsidR="009F5DA6" w:rsidRPr="00261B7A" w:rsidRDefault="009F5DA6" w:rsidP="009F5DA6">
      <w:pPr>
        <w:pStyle w:val="Bullet"/>
      </w:pPr>
      <w:r w:rsidRPr="00261B7A">
        <w:t>whether the mine was flooded or had water problems that would indicate it is now flooded.</w:t>
      </w:r>
    </w:p>
    <w:p w14:paraId="0C6893D1" w14:textId="77777777" w:rsidR="009F5DA6" w:rsidRPr="00261B7A" w:rsidRDefault="009F5DA6" w:rsidP="009F5DA6">
      <w:pPr>
        <w:pStyle w:val="BodyText"/>
        <w:spacing w:before="100" w:after="100"/>
        <w:rPr>
          <w:rFonts w:cs="Arial"/>
        </w:rPr>
      </w:pPr>
      <w:r w:rsidRPr="00261B7A">
        <w:rPr>
          <w:rFonts w:cs="Calibri"/>
          <w:lang w:eastAsia="en-GB"/>
        </w:rPr>
        <w:t>A long list of historical mines was collated. Only 63 mines had information on whether the mine is flooded and only 30 mines had information on whether the mine was a gassy mine. Further data collection and processing are still required before we can make a meaningful assessment of fugitive emissions. In particular, we still need to collect:</w:t>
      </w:r>
    </w:p>
    <w:p w14:paraId="22FB6343" w14:textId="77777777" w:rsidR="009F5DA6" w:rsidRPr="00261B7A" w:rsidRDefault="009F5DA6" w:rsidP="009F5DA6">
      <w:pPr>
        <w:pStyle w:val="Bullet"/>
        <w:rPr>
          <w:rFonts w:cs="Calibri"/>
          <w:lang w:eastAsia="en-GB"/>
        </w:rPr>
      </w:pPr>
      <w:r w:rsidRPr="00261B7A">
        <w:rPr>
          <w:b/>
        </w:rPr>
        <w:t>elevation data</w:t>
      </w:r>
      <w:r w:rsidRPr="00261B7A">
        <w:t xml:space="preserve"> to determine likely flooded or unflooded status</w:t>
      </w:r>
    </w:p>
    <w:p w14:paraId="211BCCDF" w14:textId="77777777" w:rsidR="009F5DA6" w:rsidRPr="00261B7A" w:rsidRDefault="009F5DA6" w:rsidP="009F5DA6">
      <w:pPr>
        <w:pStyle w:val="Bullet"/>
        <w:rPr>
          <w:rFonts w:cs="Calibri"/>
          <w:lang w:eastAsia="en-GB"/>
        </w:rPr>
      </w:pPr>
      <w:r w:rsidRPr="00261B7A">
        <w:t xml:space="preserve">data on </w:t>
      </w:r>
      <w:r w:rsidRPr="00261B7A">
        <w:rPr>
          <w:b/>
        </w:rPr>
        <w:t>mine size</w:t>
      </w:r>
      <w:r w:rsidRPr="00261B7A">
        <w:t xml:space="preserve"> to be used in applying a cut-off threshold.</w:t>
      </w:r>
    </w:p>
    <w:p w14:paraId="428F3E16" w14:textId="77777777" w:rsidR="009F5DA6" w:rsidRPr="00261B7A" w:rsidRDefault="009F5DA6" w:rsidP="009F5DA6">
      <w:pPr>
        <w:pStyle w:val="BodyText"/>
        <w:rPr>
          <w:rFonts w:cs="Calibri"/>
          <w:lang w:eastAsia="en-GB"/>
        </w:rPr>
      </w:pPr>
      <w:r w:rsidRPr="00261B7A">
        <w:t>We intend to complete this work in time for the 2024 submission.</w:t>
      </w:r>
    </w:p>
    <w:p w14:paraId="0C4D98E1" w14:textId="3F8121D1" w:rsidR="009F5DA6" w:rsidRPr="00261B7A" w:rsidRDefault="009F5DA6" w:rsidP="009F5DA6">
      <w:pPr>
        <w:pStyle w:val="BodyText"/>
        <w:spacing w:before="100" w:after="100"/>
        <w:rPr>
          <w:rFonts w:cs="Calibri"/>
          <w:lang w:eastAsia="en-GB"/>
        </w:rPr>
      </w:pPr>
      <w:r w:rsidRPr="00261B7A">
        <w:rPr>
          <w:rFonts w:cs="Calibri"/>
          <w:lang w:eastAsia="en-GB"/>
        </w:rPr>
        <w:t>Activity data in the form of CH</w:t>
      </w:r>
      <w:r w:rsidRPr="00261B7A">
        <w:rPr>
          <w:rFonts w:cs="Calibri"/>
          <w:vertAlign w:val="subscript"/>
          <w:lang w:eastAsia="en-GB"/>
        </w:rPr>
        <w:t>4</w:t>
      </w:r>
      <w:r w:rsidRPr="00261B7A">
        <w:rPr>
          <w:rFonts w:cs="Calibri"/>
          <w:lang w:eastAsia="en-GB"/>
        </w:rPr>
        <w:t xml:space="preserve"> output derived from mine ventilation measurements have been obtained from mine operators for those mines where data exist. Those mines have now</w:t>
      </w:r>
      <w:r w:rsidR="00F9467F" w:rsidRPr="00261B7A">
        <w:rPr>
          <w:rFonts w:cs="Calibri"/>
          <w:lang w:eastAsia="en-GB"/>
        </w:rPr>
        <w:t> </w:t>
      </w:r>
      <w:r w:rsidRPr="00261B7A">
        <w:rPr>
          <w:rFonts w:cs="Calibri"/>
          <w:lang w:eastAsia="en-GB"/>
        </w:rPr>
        <w:t>closed and are flooded. Source-specific details are not provided, so as to maintain confidentiality. Recovery and/or flaring of CH</w:t>
      </w:r>
      <w:r w:rsidRPr="00261B7A">
        <w:rPr>
          <w:rFonts w:cs="Calibri"/>
          <w:vertAlign w:val="subscript"/>
          <w:lang w:eastAsia="en-GB"/>
        </w:rPr>
        <w:t>4</w:t>
      </w:r>
      <w:r w:rsidRPr="00261B7A">
        <w:rPr>
          <w:rFonts w:cs="Calibri"/>
          <w:lang w:eastAsia="en-GB"/>
        </w:rPr>
        <w:t xml:space="preserve"> from abandoned mines does not occur.</w:t>
      </w:r>
    </w:p>
    <w:p w14:paraId="17EE9CC6" w14:textId="77777777" w:rsidR="009F5DA6" w:rsidRPr="00261B7A" w:rsidRDefault="009F5DA6" w:rsidP="009F5DA6">
      <w:pPr>
        <w:pStyle w:val="Table"/>
        <w:rPr>
          <w:rFonts w:cs="Calibri"/>
          <w:iCs/>
          <w:lang w:eastAsia="en-GB"/>
        </w:rPr>
      </w:pPr>
      <w:bookmarkStart w:id="408" w:name="_Toc443060848"/>
      <w:bookmarkStart w:id="409" w:name="_Toc451176064"/>
      <w:bookmarkStart w:id="410" w:name="_Toc481751490"/>
      <w:bookmarkStart w:id="411" w:name="_Toc507496593"/>
      <w:bookmarkStart w:id="412" w:name="_Toc36224527"/>
      <w:bookmarkStart w:id="413" w:name="_Toc68786414"/>
      <w:bookmarkStart w:id="414" w:name="_Toc131591327"/>
      <w:r w:rsidRPr="00261B7A">
        <w:rPr>
          <w:rFonts w:cs="Calibri"/>
        </w:rPr>
        <w:t xml:space="preserve">Table 3.4.2 </w:t>
      </w:r>
      <w:r w:rsidRPr="00261B7A">
        <w:rPr>
          <w:rFonts w:cs="Calibri"/>
        </w:rPr>
        <w:tab/>
        <w:t>Details of abandoned underground mines in the North Island</w:t>
      </w:r>
      <w:bookmarkEnd w:id="408"/>
      <w:bookmarkEnd w:id="409"/>
      <w:bookmarkEnd w:id="410"/>
      <w:bookmarkEnd w:id="411"/>
      <w:bookmarkEnd w:id="412"/>
      <w:bookmarkEnd w:id="413"/>
      <w:bookmarkEnd w:id="414"/>
      <w:r w:rsidRPr="00261B7A">
        <w:rPr>
          <w:rFonts w:cs="Calibri"/>
          <w:iCs/>
          <w:lang w:eastAsia="en-GB"/>
        </w:rPr>
        <w:t xml:space="preserve"> </w:t>
      </w:r>
    </w:p>
    <w:tbl>
      <w:tblPr>
        <w:tblW w:w="8505" w:type="dxa"/>
        <w:tblBorders>
          <w:top w:val="single" w:sz="4" w:space="0" w:color="365F91"/>
          <w:bottom w:val="single" w:sz="4" w:space="0" w:color="365F91"/>
          <w:insideH w:val="single" w:sz="4" w:space="0" w:color="365F91"/>
        </w:tblBorders>
        <w:tblLayout w:type="fixed"/>
        <w:tblCellMar>
          <w:right w:w="85" w:type="dxa"/>
        </w:tblCellMar>
        <w:tblLook w:val="04A0" w:firstRow="1" w:lastRow="0" w:firstColumn="1" w:lastColumn="0" w:noHBand="0" w:noVBand="1"/>
      </w:tblPr>
      <w:tblGrid>
        <w:gridCol w:w="1557"/>
        <w:gridCol w:w="1645"/>
        <w:gridCol w:w="5303"/>
      </w:tblGrid>
      <w:tr w:rsidR="009F5DA6" w:rsidRPr="00261B7A" w14:paraId="1E2A55DE" w14:textId="77777777" w:rsidTr="00D41492">
        <w:trPr>
          <w:cantSplit/>
        </w:trPr>
        <w:tc>
          <w:tcPr>
            <w:tcW w:w="1474" w:type="dxa"/>
            <w:tcBorders>
              <w:top w:val="single" w:sz="4" w:space="0" w:color="1B556B"/>
              <w:bottom w:val="single" w:sz="4" w:space="0" w:color="1B556B"/>
            </w:tcBorders>
            <w:shd w:val="clear" w:color="auto" w:fill="1B556B"/>
            <w:vAlign w:val="bottom"/>
          </w:tcPr>
          <w:p w14:paraId="380111C6" w14:textId="77777777" w:rsidR="009F5DA6" w:rsidRPr="00261B7A" w:rsidRDefault="009F5DA6" w:rsidP="00D41492">
            <w:pPr>
              <w:pStyle w:val="TableTextBold"/>
              <w:keepNext/>
              <w:spacing w:before="40" w:after="40"/>
              <w:rPr>
                <w:rFonts w:cs="Calibri"/>
                <w:noProof w:val="0"/>
                <w:color w:val="FFFFFF"/>
              </w:rPr>
            </w:pPr>
            <w:r w:rsidRPr="00261B7A">
              <w:rPr>
                <w:rFonts w:cs="Calibri"/>
                <w:noProof w:val="0"/>
                <w:color w:val="FFFFFF"/>
              </w:rPr>
              <w:t>Region/coalfield</w:t>
            </w:r>
          </w:p>
        </w:tc>
        <w:tc>
          <w:tcPr>
            <w:tcW w:w="1557" w:type="dxa"/>
            <w:tcBorders>
              <w:top w:val="single" w:sz="4" w:space="0" w:color="1B556B"/>
              <w:bottom w:val="single" w:sz="4" w:space="0" w:color="1B556B"/>
            </w:tcBorders>
            <w:shd w:val="clear" w:color="auto" w:fill="1B556B"/>
            <w:vAlign w:val="bottom"/>
          </w:tcPr>
          <w:p w14:paraId="1C13BB77" w14:textId="77777777" w:rsidR="009F5DA6" w:rsidRPr="00261B7A" w:rsidRDefault="009F5DA6" w:rsidP="00D41492">
            <w:pPr>
              <w:pStyle w:val="TableTextBold"/>
              <w:spacing w:before="40" w:after="40"/>
              <w:rPr>
                <w:rFonts w:cs="Calibri"/>
                <w:noProof w:val="0"/>
                <w:color w:val="FFFFFF"/>
              </w:rPr>
            </w:pPr>
            <w:r w:rsidRPr="00261B7A">
              <w:rPr>
                <w:rFonts w:cs="Calibri"/>
                <w:noProof w:val="0"/>
                <w:color w:val="FFFFFF"/>
              </w:rPr>
              <w:t>Significant mine</w:t>
            </w:r>
          </w:p>
        </w:tc>
        <w:tc>
          <w:tcPr>
            <w:tcW w:w="5019" w:type="dxa"/>
            <w:tcBorders>
              <w:top w:val="single" w:sz="4" w:space="0" w:color="1B556B"/>
              <w:bottom w:val="single" w:sz="4" w:space="0" w:color="1B556B"/>
            </w:tcBorders>
            <w:shd w:val="clear" w:color="auto" w:fill="1B556B"/>
            <w:vAlign w:val="bottom"/>
          </w:tcPr>
          <w:p w14:paraId="3C0B723D" w14:textId="77777777" w:rsidR="009F5DA6" w:rsidRPr="00261B7A" w:rsidRDefault="009F5DA6" w:rsidP="00D41492">
            <w:pPr>
              <w:pStyle w:val="TableTextBold"/>
              <w:spacing w:before="40" w:after="40"/>
              <w:rPr>
                <w:rFonts w:cs="Calibri"/>
                <w:noProof w:val="0"/>
                <w:color w:val="FFFFFF"/>
              </w:rPr>
            </w:pPr>
            <w:r w:rsidRPr="00261B7A">
              <w:rPr>
                <w:rFonts w:cs="Calibri"/>
                <w:noProof w:val="0"/>
                <w:color w:val="FFFFFF"/>
              </w:rPr>
              <w:t>Status</w:t>
            </w:r>
          </w:p>
        </w:tc>
      </w:tr>
      <w:tr w:rsidR="009F5DA6" w:rsidRPr="00261B7A" w14:paraId="0CBF9F68" w14:textId="77777777" w:rsidTr="00D41492">
        <w:trPr>
          <w:cantSplit/>
          <w:trHeight w:val="250"/>
        </w:trPr>
        <w:tc>
          <w:tcPr>
            <w:tcW w:w="1474" w:type="dxa"/>
            <w:tcBorders>
              <w:top w:val="single" w:sz="4" w:space="0" w:color="1B556B"/>
              <w:bottom w:val="single" w:sz="4" w:space="0" w:color="1B556B"/>
            </w:tcBorders>
          </w:tcPr>
          <w:p w14:paraId="592CF8F8" w14:textId="77777777" w:rsidR="009F5DA6" w:rsidRPr="00261B7A" w:rsidRDefault="009F5DA6" w:rsidP="00D41492">
            <w:pPr>
              <w:pStyle w:val="TableText"/>
              <w:keepNext/>
              <w:spacing w:before="40" w:after="40"/>
              <w:rPr>
                <w:rFonts w:cs="Calibri"/>
              </w:rPr>
            </w:pPr>
            <w:r w:rsidRPr="00261B7A">
              <w:rPr>
                <w:rFonts w:cs="Calibri"/>
              </w:rPr>
              <w:t>Northland</w:t>
            </w:r>
          </w:p>
        </w:tc>
        <w:tc>
          <w:tcPr>
            <w:tcW w:w="1557" w:type="dxa"/>
            <w:tcBorders>
              <w:top w:val="single" w:sz="4" w:space="0" w:color="1B556B"/>
              <w:bottom w:val="single" w:sz="4" w:space="0" w:color="1B556B"/>
            </w:tcBorders>
          </w:tcPr>
          <w:p w14:paraId="2D581B56" w14:textId="77777777" w:rsidR="009F5DA6" w:rsidRPr="00261B7A" w:rsidRDefault="009F5DA6" w:rsidP="00D41492">
            <w:pPr>
              <w:pStyle w:val="TableText"/>
              <w:spacing w:before="40" w:after="40"/>
              <w:rPr>
                <w:rFonts w:cs="Calibri"/>
              </w:rPr>
            </w:pPr>
            <w:r w:rsidRPr="00261B7A">
              <w:rPr>
                <w:rFonts w:cs="Calibri"/>
              </w:rPr>
              <w:t>Kamo</w:t>
            </w:r>
          </w:p>
        </w:tc>
        <w:tc>
          <w:tcPr>
            <w:tcW w:w="5019" w:type="dxa"/>
            <w:tcBorders>
              <w:top w:val="single" w:sz="4" w:space="0" w:color="1B556B"/>
              <w:bottom w:val="single" w:sz="4" w:space="0" w:color="1B556B"/>
            </w:tcBorders>
          </w:tcPr>
          <w:p w14:paraId="281D7288" w14:textId="77777777" w:rsidR="009F5DA6" w:rsidRPr="00261B7A" w:rsidRDefault="009F5DA6" w:rsidP="00D41492">
            <w:pPr>
              <w:pStyle w:val="TableText"/>
              <w:spacing w:before="40" w:after="40"/>
              <w:rPr>
                <w:rFonts w:cs="Calibri"/>
              </w:rPr>
            </w:pPr>
            <w:r w:rsidRPr="00261B7A">
              <w:rPr>
                <w:rFonts w:cs="Calibri"/>
              </w:rPr>
              <w:t>Only one significant mine; flooded</w:t>
            </w:r>
          </w:p>
        </w:tc>
      </w:tr>
      <w:tr w:rsidR="009F5DA6" w:rsidRPr="00261B7A" w14:paraId="4EA4F159" w14:textId="77777777" w:rsidTr="00D41492">
        <w:trPr>
          <w:cantSplit/>
        </w:trPr>
        <w:tc>
          <w:tcPr>
            <w:tcW w:w="1474" w:type="dxa"/>
            <w:tcBorders>
              <w:top w:val="single" w:sz="4" w:space="0" w:color="1B556B"/>
              <w:bottom w:val="nil"/>
            </w:tcBorders>
          </w:tcPr>
          <w:p w14:paraId="2E52FDA6" w14:textId="77777777" w:rsidR="009F5DA6" w:rsidRPr="00261B7A" w:rsidRDefault="009F5DA6" w:rsidP="00D41492">
            <w:pPr>
              <w:pStyle w:val="TableText"/>
              <w:spacing w:before="40" w:after="40"/>
              <w:rPr>
                <w:rFonts w:cs="Calibri"/>
              </w:rPr>
            </w:pPr>
            <w:r w:rsidRPr="00261B7A">
              <w:rPr>
                <w:rFonts w:cs="Calibri"/>
              </w:rPr>
              <w:t>Waikato</w:t>
            </w:r>
          </w:p>
        </w:tc>
        <w:tc>
          <w:tcPr>
            <w:tcW w:w="1557" w:type="dxa"/>
            <w:tcBorders>
              <w:top w:val="single" w:sz="4" w:space="0" w:color="1B556B"/>
              <w:bottom w:val="single" w:sz="4" w:space="0" w:color="1B556B"/>
            </w:tcBorders>
          </w:tcPr>
          <w:p w14:paraId="40D98ADE" w14:textId="77777777" w:rsidR="009F5DA6" w:rsidRPr="00261B7A" w:rsidRDefault="009F5DA6" w:rsidP="00D41492">
            <w:pPr>
              <w:pStyle w:val="TableText"/>
              <w:spacing w:before="40" w:after="40"/>
              <w:rPr>
                <w:rFonts w:cs="Calibri"/>
              </w:rPr>
            </w:pPr>
            <w:r w:rsidRPr="00261B7A">
              <w:rPr>
                <w:rFonts w:cs="Calibri"/>
              </w:rPr>
              <w:t>Rotowaro mines</w:t>
            </w:r>
          </w:p>
        </w:tc>
        <w:tc>
          <w:tcPr>
            <w:tcW w:w="5019" w:type="dxa"/>
            <w:tcBorders>
              <w:top w:val="single" w:sz="4" w:space="0" w:color="1B556B"/>
              <w:bottom w:val="single" w:sz="4" w:space="0" w:color="1B556B"/>
            </w:tcBorders>
          </w:tcPr>
          <w:p w14:paraId="74B13E03" w14:textId="77777777" w:rsidR="009F5DA6" w:rsidRPr="00261B7A" w:rsidRDefault="009F5DA6" w:rsidP="00D41492">
            <w:pPr>
              <w:pStyle w:val="TableText"/>
              <w:spacing w:before="40" w:after="40"/>
              <w:rPr>
                <w:rFonts w:cs="Calibri"/>
              </w:rPr>
            </w:pPr>
            <w:r w:rsidRPr="00261B7A">
              <w:rPr>
                <w:rFonts w:cs="Calibri"/>
              </w:rPr>
              <w:t>Underground mines either flooded or subsequently open-cast mined</w:t>
            </w:r>
          </w:p>
        </w:tc>
      </w:tr>
      <w:tr w:rsidR="009F5DA6" w:rsidRPr="00261B7A" w14:paraId="50E42504" w14:textId="77777777" w:rsidTr="00D41492">
        <w:trPr>
          <w:cantSplit/>
        </w:trPr>
        <w:tc>
          <w:tcPr>
            <w:tcW w:w="1474" w:type="dxa"/>
            <w:tcBorders>
              <w:top w:val="nil"/>
              <w:bottom w:val="nil"/>
            </w:tcBorders>
          </w:tcPr>
          <w:p w14:paraId="28CBD1B4" w14:textId="77777777" w:rsidR="009F5DA6" w:rsidRPr="00261B7A" w:rsidRDefault="009F5DA6" w:rsidP="00D41492">
            <w:pPr>
              <w:pStyle w:val="TableText"/>
              <w:spacing w:before="40" w:after="40"/>
              <w:rPr>
                <w:rFonts w:cs="Calibri"/>
              </w:rPr>
            </w:pPr>
          </w:p>
        </w:tc>
        <w:tc>
          <w:tcPr>
            <w:tcW w:w="1557" w:type="dxa"/>
            <w:tcBorders>
              <w:top w:val="single" w:sz="4" w:space="0" w:color="1B556B"/>
              <w:bottom w:val="single" w:sz="4" w:space="0" w:color="1B556B"/>
            </w:tcBorders>
          </w:tcPr>
          <w:p w14:paraId="2E38AF39" w14:textId="77777777" w:rsidR="009F5DA6" w:rsidRPr="00261B7A" w:rsidRDefault="009F5DA6" w:rsidP="00D41492">
            <w:pPr>
              <w:pStyle w:val="TableText"/>
              <w:spacing w:before="40" w:after="40"/>
              <w:rPr>
                <w:rFonts w:cs="Calibri"/>
              </w:rPr>
            </w:pPr>
            <w:r w:rsidRPr="00261B7A">
              <w:rPr>
                <w:rFonts w:cs="Calibri"/>
              </w:rPr>
              <w:t>Huntly West</w:t>
            </w:r>
          </w:p>
        </w:tc>
        <w:tc>
          <w:tcPr>
            <w:tcW w:w="5019" w:type="dxa"/>
            <w:tcBorders>
              <w:top w:val="single" w:sz="4" w:space="0" w:color="1B556B"/>
              <w:bottom w:val="single" w:sz="4" w:space="0" w:color="1B556B"/>
            </w:tcBorders>
          </w:tcPr>
          <w:p w14:paraId="4FA6E676" w14:textId="77777777" w:rsidR="009F5DA6" w:rsidRPr="00261B7A" w:rsidRDefault="009F5DA6" w:rsidP="00D41492">
            <w:pPr>
              <w:pStyle w:val="TableText"/>
              <w:spacing w:before="40" w:after="40"/>
              <w:rPr>
                <w:rFonts w:cs="Calibri"/>
              </w:rPr>
            </w:pPr>
            <w:r w:rsidRPr="00261B7A">
              <w:rPr>
                <w:rFonts w:cs="Calibri"/>
              </w:rPr>
              <w:t>Flooded</w:t>
            </w:r>
          </w:p>
        </w:tc>
      </w:tr>
      <w:tr w:rsidR="009F5DA6" w:rsidRPr="00261B7A" w14:paraId="0ACE5B06" w14:textId="77777777" w:rsidTr="00D41492">
        <w:trPr>
          <w:cantSplit/>
        </w:trPr>
        <w:tc>
          <w:tcPr>
            <w:tcW w:w="1474" w:type="dxa"/>
            <w:tcBorders>
              <w:top w:val="nil"/>
              <w:bottom w:val="single" w:sz="4" w:space="0" w:color="1B556B"/>
            </w:tcBorders>
          </w:tcPr>
          <w:p w14:paraId="5B6CF6B9" w14:textId="77777777" w:rsidR="009F5DA6" w:rsidRPr="00261B7A" w:rsidRDefault="009F5DA6" w:rsidP="00D41492">
            <w:pPr>
              <w:pStyle w:val="TableText"/>
              <w:spacing w:before="40" w:after="40"/>
              <w:rPr>
                <w:rFonts w:cs="Calibri"/>
              </w:rPr>
            </w:pPr>
          </w:p>
        </w:tc>
        <w:tc>
          <w:tcPr>
            <w:tcW w:w="1557" w:type="dxa"/>
            <w:tcBorders>
              <w:top w:val="single" w:sz="4" w:space="0" w:color="1B556B"/>
              <w:bottom w:val="single" w:sz="4" w:space="0" w:color="1B556B"/>
            </w:tcBorders>
          </w:tcPr>
          <w:p w14:paraId="7E42031A" w14:textId="77777777" w:rsidR="009F5DA6" w:rsidRPr="00261B7A" w:rsidRDefault="009F5DA6" w:rsidP="00D41492">
            <w:pPr>
              <w:pStyle w:val="TableText"/>
              <w:spacing w:before="40" w:after="40"/>
              <w:rPr>
                <w:rFonts w:cs="Calibri"/>
              </w:rPr>
            </w:pPr>
            <w:r w:rsidRPr="00261B7A">
              <w:rPr>
                <w:rFonts w:cs="Calibri"/>
              </w:rPr>
              <w:t>Taupiri/Ralphs</w:t>
            </w:r>
          </w:p>
        </w:tc>
        <w:tc>
          <w:tcPr>
            <w:tcW w:w="5019" w:type="dxa"/>
            <w:tcBorders>
              <w:top w:val="single" w:sz="4" w:space="0" w:color="1B556B"/>
              <w:bottom w:val="single" w:sz="4" w:space="0" w:color="1B556B"/>
            </w:tcBorders>
          </w:tcPr>
          <w:p w14:paraId="457DEBDD" w14:textId="77777777" w:rsidR="009F5DA6" w:rsidRPr="00261B7A" w:rsidRDefault="009F5DA6" w:rsidP="00D41492">
            <w:pPr>
              <w:pStyle w:val="TableText"/>
              <w:spacing w:before="40" w:after="40"/>
              <w:rPr>
                <w:rFonts w:cs="Calibri"/>
              </w:rPr>
            </w:pPr>
            <w:r w:rsidRPr="00261B7A">
              <w:rPr>
                <w:rFonts w:cs="Calibri"/>
              </w:rPr>
              <w:t>Mines under Huntly township; flooded</w:t>
            </w:r>
          </w:p>
        </w:tc>
      </w:tr>
      <w:tr w:rsidR="009F5DA6" w:rsidRPr="00261B7A" w14:paraId="44830F03" w14:textId="77777777" w:rsidTr="00D41492">
        <w:trPr>
          <w:cantSplit/>
        </w:trPr>
        <w:tc>
          <w:tcPr>
            <w:tcW w:w="1474" w:type="dxa"/>
            <w:tcBorders>
              <w:top w:val="single" w:sz="4" w:space="0" w:color="1B556B"/>
              <w:bottom w:val="single" w:sz="4" w:space="0" w:color="1B556B"/>
            </w:tcBorders>
          </w:tcPr>
          <w:p w14:paraId="2986B193" w14:textId="77777777" w:rsidR="009F5DA6" w:rsidRPr="00261B7A" w:rsidRDefault="009F5DA6" w:rsidP="00D41492">
            <w:pPr>
              <w:pStyle w:val="TableText"/>
              <w:spacing w:before="40" w:after="40"/>
              <w:rPr>
                <w:rFonts w:cs="Calibri"/>
              </w:rPr>
            </w:pPr>
            <w:r w:rsidRPr="00261B7A">
              <w:rPr>
                <w:rFonts w:cs="Calibri"/>
              </w:rPr>
              <w:t>Taranaki</w:t>
            </w:r>
          </w:p>
        </w:tc>
        <w:tc>
          <w:tcPr>
            <w:tcW w:w="1557" w:type="dxa"/>
            <w:tcBorders>
              <w:top w:val="single" w:sz="4" w:space="0" w:color="1B556B"/>
              <w:bottom w:val="single" w:sz="4" w:space="0" w:color="1B556B"/>
            </w:tcBorders>
          </w:tcPr>
          <w:p w14:paraId="2F571751" w14:textId="77777777" w:rsidR="009F5DA6" w:rsidRPr="00261B7A" w:rsidRDefault="009F5DA6" w:rsidP="00D41492">
            <w:pPr>
              <w:pStyle w:val="TableText"/>
              <w:spacing w:before="40" w:after="40"/>
              <w:rPr>
                <w:rFonts w:cs="Calibri"/>
              </w:rPr>
            </w:pPr>
            <w:r w:rsidRPr="00261B7A">
              <w:rPr>
                <w:rFonts w:cs="Calibri"/>
              </w:rPr>
              <w:t>Tatu</w:t>
            </w:r>
          </w:p>
        </w:tc>
        <w:tc>
          <w:tcPr>
            <w:tcW w:w="5019" w:type="dxa"/>
            <w:tcBorders>
              <w:top w:val="single" w:sz="4" w:space="0" w:color="1B556B"/>
              <w:bottom w:val="single" w:sz="4" w:space="0" w:color="1B556B"/>
            </w:tcBorders>
          </w:tcPr>
          <w:p w14:paraId="3B2639C5" w14:textId="77777777" w:rsidR="009F5DA6" w:rsidRPr="00261B7A" w:rsidRDefault="009F5DA6" w:rsidP="00D41492">
            <w:pPr>
              <w:pStyle w:val="TableText"/>
              <w:spacing w:before="40" w:after="40"/>
              <w:rPr>
                <w:rFonts w:cs="Calibri"/>
              </w:rPr>
            </w:pPr>
            <w:r w:rsidRPr="00261B7A">
              <w:rPr>
                <w:rFonts w:cs="Calibri"/>
              </w:rPr>
              <w:t>Only one significant mine; flooded</w:t>
            </w:r>
          </w:p>
        </w:tc>
      </w:tr>
    </w:tbl>
    <w:p w14:paraId="72E3B4C3" w14:textId="77777777" w:rsidR="009F5DA6" w:rsidRPr="00261B7A" w:rsidRDefault="009F5DA6" w:rsidP="00C226D1">
      <w:pPr>
        <w:pStyle w:val="Heading4"/>
        <w:spacing w:before="360"/>
      </w:pPr>
      <w:r w:rsidRPr="00261B7A">
        <w:t>Uncertainties and time-series consistency</w:t>
      </w:r>
    </w:p>
    <w:p w14:paraId="249A9268" w14:textId="77777777" w:rsidR="009F5DA6" w:rsidRPr="00261B7A" w:rsidRDefault="009F5DA6" w:rsidP="00C226D1">
      <w:pPr>
        <w:pStyle w:val="BodyText"/>
        <w:spacing w:before="80" w:after="80"/>
        <w:rPr>
          <w:rFonts w:cs="Calibri"/>
          <w:spacing w:val="-2"/>
          <w:lang w:eastAsia="en-GB"/>
        </w:rPr>
      </w:pPr>
      <w:r w:rsidRPr="00261B7A">
        <w:rPr>
          <w:rFonts w:cs="Calibri"/>
          <w:spacing w:val="-2"/>
          <w:lang w:eastAsia="en-GB"/>
        </w:rPr>
        <w:t>Uncertainties in fugitive emissions are relevant to the entire Energy sector (see table 3.3.1).</w:t>
      </w:r>
    </w:p>
    <w:p w14:paraId="58EF531B" w14:textId="77777777" w:rsidR="009F5DA6" w:rsidRPr="00261B7A" w:rsidRDefault="009F5DA6" w:rsidP="00C226D1">
      <w:pPr>
        <w:pStyle w:val="Heading4"/>
        <w:spacing w:before="200"/>
      </w:pPr>
      <w:r w:rsidRPr="00261B7A">
        <w:t>Source-specific QA/QC and verification</w:t>
      </w:r>
    </w:p>
    <w:p w14:paraId="70541CE8" w14:textId="77777777" w:rsidR="009F5DA6" w:rsidRPr="00261B7A" w:rsidRDefault="009F5DA6" w:rsidP="00C226D1">
      <w:pPr>
        <w:pStyle w:val="BodyText"/>
        <w:spacing w:before="80" w:after="80"/>
        <w:rPr>
          <w:rFonts w:cs="Calibri"/>
          <w:lang w:eastAsia="en-GB"/>
        </w:rPr>
      </w:pPr>
      <w:r w:rsidRPr="00261B7A">
        <w:rPr>
          <w:rFonts w:cs="Calibri"/>
          <w:lang w:eastAsia="en-GB"/>
        </w:rPr>
        <w:t xml:space="preserve">In the preparation of this inventory, the </w:t>
      </w:r>
      <w:r w:rsidRPr="00261B7A">
        <w:rPr>
          <w:rFonts w:cs="Calibri"/>
          <w:i/>
          <w:lang w:eastAsia="en-GB"/>
        </w:rPr>
        <w:t>Fugitive emissions</w:t>
      </w:r>
      <w:r w:rsidRPr="00261B7A">
        <w:rPr>
          <w:rFonts w:cs="Calibri"/>
          <w:lang w:eastAsia="en-GB"/>
        </w:rPr>
        <w:t xml:space="preserve"> category underwent Tier 1 quality-assurance and quality-control checks, as recommended in the 2006 IPCC Guidelines. These include regular control sums throughout systems, to verify system integrity, and consistency checks of implied emission factors.</w:t>
      </w:r>
    </w:p>
    <w:p w14:paraId="65E5D1E9" w14:textId="77777777" w:rsidR="009F5DA6" w:rsidRPr="00261B7A" w:rsidRDefault="009F5DA6" w:rsidP="004C583E">
      <w:pPr>
        <w:pStyle w:val="Heading4"/>
      </w:pPr>
      <w:r w:rsidRPr="00261B7A">
        <w:t>Source-specific recalculations</w:t>
      </w:r>
    </w:p>
    <w:p w14:paraId="3CB2CB8F" w14:textId="77777777" w:rsidR="009F5DA6" w:rsidRPr="00261B7A" w:rsidRDefault="009F5DA6" w:rsidP="00C226D1">
      <w:pPr>
        <w:spacing w:before="80" w:after="80"/>
        <w:rPr>
          <w:lang w:eastAsia="en-GB"/>
        </w:rPr>
      </w:pPr>
      <w:r w:rsidRPr="00261B7A">
        <w:rPr>
          <w:rFonts w:cs="Calibri"/>
          <w:lang w:eastAsia="en-GB"/>
        </w:rPr>
        <w:t>There were no recalculations made for the current submission.</w:t>
      </w:r>
    </w:p>
    <w:p w14:paraId="323806B7" w14:textId="77777777" w:rsidR="009F5DA6" w:rsidRPr="00261B7A" w:rsidRDefault="009F5DA6" w:rsidP="00C226D1">
      <w:pPr>
        <w:pStyle w:val="Heading4"/>
        <w:spacing w:before="200"/>
      </w:pPr>
      <w:r w:rsidRPr="00261B7A">
        <w:t>Source-specific planned improvements</w:t>
      </w:r>
    </w:p>
    <w:p w14:paraId="2A666530" w14:textId="77777777" w:rsidR="009F5DA6" w:rsidRPr="00261B7A" w:rsidRDefault="009F5DA6" w:rsidP="00C226D1">
      <w:pPr>
        <w:pStyle w:val="BodyText"/>
        <w:spacing w:before="80"/>
        <w:rPr>
          <w:rFonts w:cs="Calibri"/>
          <w:b/>
          <w:bCs/>
          <w:szCs w:val="24"/>
          <w:lang w:eastAsia="en-GB"/>
        </w:rPr>
      </w:pPr>
      <w:r w:rsidRPr="00261B7A">
        <w:rPr>
          <w:rFonts w:cs="Calibri"/>
          <w:lang w:eastAsia="en-GB"/>
        </w:rPr>
        <w:t xml:space="preserve">As described above, the project to enable the more accurate estimation of emissions associated with abandoned coal mines is under way, and results will be included in the next annual submission. </w:t>
      </w:r>
    </w:p>
    <w:p w14:paraId="35449996" w14:textId="77777777" w:rsidR="009F5DA6" w:rsidRPr="00261B7A" w:rsidRDefault="009F5DA6" w:rsidP="00DD75C4">
      <w:pPr>
        <w:pStyle w:val="Heading3"/>
        <w:spacing w:line="360" w:lineRule="atLeast"/>
      </w:pPr>
      <w:r w:rsidRPr="00261B7A">
        <w:t>3.4.2</w:t>
      </w:r>
      <w:r w:rsidRPr="00261B7A">
        <w:tab/>
        <w:t>Fugitive emissions from fuels: Oil and natural gas and other emissions from energy production (CRF 1.B.2)</w:t>
      </w:r>
    </w:p>
    <w:p w14:paraId="23C4DD58" w14:textId="77777777" w:rsidR="009F5DA6" w:rsidRPr="00261B7A" w:rsidRDefault="009F5DA6" w:rsidP="004C583E">
      <w:pPr>
        <w:pStyle w:val="Heading4"/>
      </w:pPr>
      <w:r w:rsidRPr="00261B7A">
        <w:t>Description</w:t>
      </w:r>
    </w:p>
    <w:p w14:paraId="526C483E" w14:textId="77777777" w:rsidR="009F5DA6" w:rsidRPr="00261B7A" w:rsidRDefault="009F5DA6" w:rsidP="009F5DA6">
      <w:pPr>
        <w:pStyle w:val="BodyText"/>
        <w:rPr>
          <w:rFonts w:cs="Calibri"/>
        </w:rPr>
      </w:pPr>
      <w:r w:rsidRPr="00261B7A">
        <w:rPr>
          <w:rFonts w:cs="Calibri"/>
          <w:lang w:eastAsia="en-GB"/>
        </w:rPr>
        <w:t xml:space="preserve">In </w:t>
      </w:r>
      <w:r w:rsidRPr="00261B7A">
        <w:rPr>
          <w:rFonts w:cs="Calibri"/>
        </w:rPr>
        <w:t>2021</w:t>
      </w:r>
      <w:r w:rsidRPr="00261B7A">
        <w:rPr>
          <w:rFonts w:cs="Calibri"/>
          <w:lang w:eastAsia="en-GB"/>
        </w:rPr>
        <w:t xml:space="preserve">, fugitive emissions from the </w:t>
      </w:r>
      <w:r w:rsidRPr="00261B7A">
        <w:rPr>
          <w:rFonts w:cs="Calibri"/>
          <w:i/>
          <w:lang w:eastAsia="en-GB"/>
        </w:rPr>
        <w:t>Oil and natural gas</w:t>
      </w:r>
      <w:r w:rsidRPr="00261B7A">
        <w:rPr>
          <w:rFonts w:cs="Calibri"/>
          <w:lang w:eastAsia="en-GB"/>
        </w:rPr>
        <w:t xml:space="preserve"> category contributed 1,050.8</w:t>
      </w:r>
      <w:r w:rsidRPr="00261B7A">
        <w:rPr>
          <w:rFonts w:cs="Calibri"/>
        </w:rPr>
        <w:t> </w:t>
      </w:r>
      <w:r w:rsidRPr="00261B7A">
        <w:rPr>
          <w:rFonts w:cs="Calibri"/>
          <w:lang w:eastAsia="en-GB"/>
        </w:rPr>
        <w:t>kt CO</w:t>
      </w:r>
      <w:r w:rsidRPr="00261B7A">
        <w:rPr>
          <w:rFonts w:cs="Calibri"/>
          <w:vertAlign w:val="subscript"/>
          <w:lang w:eastAsia="en-GB"/>
        </w:rPr>
        <w:t>2</w:t>
      </w:r>
      <w:r w:rsidRPr="00261B7A">
        <w:rPr>
          <w:rFonts w:cs="Calibri"/>
          <w:lang w:eastAsia="en-GB"/>
        </w:rPr>
        <w:t xml:space="preserve">-e (94.4 </w:t>
      </w:r>
      <w:r w:rsidRPr="00261B7A">
        <w:rPr>
          <w:rFonts w:cs="Calibri"/>
        </w:rPr>
        <w:t>per cent</w:t>
      </w:r>
      <w:r w:rsidRPr="00261B7A">
        <w:rPr>
          <w:rFonts w:cs="Calibri"/>
          <w:lang w:eastAsia="en-GB"/>
        </w:rPr>
        <w:t xml:space="preserve">) to emissions from the </w:t>
      </w:r>
      <w:r w:rsidRPr="00261B7A">
        <w:rPr>
          <w:rFonts w:cs="Calibri"/>
          <w:i/>
          <w:lang w:eastAsia="en-GB"/>
        </w:rPr>
        <w:t>Fugitive emissions</w:t>
      </w:r>
      <w:r w:rsidRPr="00261B7A">
        <w:rPr>
          <w:rFonts w:cs="Calibri"/>
          <w:lang w:eastAsia="en-GB"/>
        </w:rPr>
        <w:t xml:space="preserve"> category. This is 52.5</w:t>
      </w:r>
      <w:r w:rsidRPr="00261B7A">
        <w:rPr>
          <w:rFonts w:cs="Calibri"/>
        </w:rPr>
        <w:t xml:space="preserve"> </w:t>
      </w:r>
      <w:r w:rsidRPr="00261B7A">
        <w:rPr>
          <w:rFonts w:cs="Calibri"/>
          <w:lang w:eastAsia="en-GB"/>
        </w:rPr>
        <w:t>kt CO</w:t>
      </w:r>
      <w:r w:rsidRPr="00261B7A">
        <w:rPr>
          <w:rFonts w:cs="Calibri"/>
          <w:vertAlign w:val="subscript"/>
          <w:lang w:eastAsia="en-GB"/>
        </w:rPr>
        <w:t>2</w:t>
      </w:r>
      <w:r w:rsidRPr="00261B7A">
        <w:rPr>
          <w:rFonts w:cs="Calibri"/>
          <w:lang w:eastAsia="en-GB"/>
        </w:rPr>
        <w:t>-e (4.8</w:t>
      </w:r>
      <w:r w:rsidRPr="00261B7A">
        <w:rPr>
          <w:rFonts w:cs="Calibri"/>
        </w:rPr>
        <w:t> per cent</w:t>
      </w:r>
      <w:r w:rsidRPr="00261B7A">
        <w:rPr>
          <w:rFonts w:cs="Calibri"/>
          <w:lang w:eastAsia="en-GB"/>
        </w:rPr>
        <w:t xml:space="preserve">) lower than the 1990 level of </w:t>
      </w:r>
      <w:r w:rsidRPr="00261B7A">
        <w:rPr>
          <w:rFonts w:cs="Calibri"/>
        </w:rPr>
        <w:t xml:space="preserve">1,103.3 </w:t>
      </w:r>
      <w:r w:rsidRPr="00261B7A">
        <w:rPr>
          <w:rFonts w:cs="Calibri"/>
          <w:lang w:eastAsia="en-GB"/>
        </w:rPr>
        <w:t>kt CO</w:t>
      </w:r>
      <w:r w:rsidRPr="00261B7A">
        <w:rPr>
          <w:rFonts w:cs="Calibri"/>
          <w:vertAlign w:val="subscript"/>
          <w:lang w:eastAsia="en-GB"/>
        </w:rPr>
        <w:t>2</w:t>
      </w:r>
      <w:r w:rsidRPr="00261B7A">
        <w:rPr>
          <w:rFonts w:cs="Calibri"/>
          <w:lang w:eastAsia="en-GB"/>
        </w:rPr>
        <w:t xml:space="preserve">-e. </w:t>
      </w:r>
    </w:p>
    <w:p w14:paraId="1F1C531C" w14:textId="77777777" w:rsidR="009F5DA6" w:rsidRPr="00261B7A" w:rsidRDefault="009F5DA6" w:rsidP="009F5DA6">
      <w:pPr>
        <w:pStyle w:val="BodyText"/>
        <w:rPr>
          <w:rFonts w:cs="Calibri"/>
          <w:lang w:eastAsia="en-GB"/>
        </w:rPr>
      </w:pPr>
      <w:r w:rsidRPr="00261B7A">
        <w:rPr>
          <w:rFonts w:cs="Calibri"/>
          <w:lang w:eastAsia="en-GB"/>
        </w:rPr>
        <w:t xml:space="preserve">A source of emissions from the production and processing of natural gas is the Kapuni Gas Treatment Plant. The plant removes </w:t>
      </w:r>
      <w:r w:rsidRPr="00261B7A">
        <w:rPr>
          <w:rFonts w:cs="Calibri"/>
        </w:rPr>
        <w:t>CO</w:t>
      </w:r>
      <w:r w:rsidRPr="00261B7A">
        <w:rPr>
          <w:rFonts w:cs="Calibri"/>
          <w:vertAlign w:val="subscript"/>
        </w:rPr>
        <w:t>2</w:t>
      </w:r>
      <w:r w:rsidRPr="00261B7A">
        <w:rPr>
          <w:rFonts w:cs="Calibri"/>
          <w:sz w:val="14"/>
          <w:szCs w:val="14"/>
          <w:lang w:eastAsia="en-GB"/>
        </w:rPr>
        <w:t xml:space="preserve"> </w:t>
      </w:r>
      <w:r w:rsidRPr="00261B7A">
        <w:rPr>
          <w:rFonts w:cs="Calibri"/>
          <w:lang w:eastAsia="en-GB"/>
        </w:rPr>
        <w:t xml:space="preserve">from a portion of the Kapuni gas (a high </w:t>
      </w:r>
      <w:r w:rsidRPr="00261B7A">
        <w:rPr>
          <w:rFonts w:cs="Calibri"/>
        </w:rPr>
        <w:t>CO</w:t>
      </w:r>
      <w:r w:rsidRPr="00261B7A">
        <w:rPr>
          <w:rFonts w:cs="Calibri"/>
          <w:vertAlign w:val="subscript"/>
        </w:rPr>
        <w:t>2</w:t>
      </w:r>
      <w:r w:rsidRPr="00261B7A">
        <w:t xml:space="preserve"> </w:t>
      </w:r>
      <w:r w:rsidRPr="00261B7A">
        <w:rPr>
          <w:rFonts w:cs="Calibri"/>
          <w:lang w:eastAsia="en-GB"/>
        </w:rPr>
        <w:t>gas when untreated) before it enters the national transmission network. This is reported in CRF table 1.B.2.c.2.</w:t>
      </w:r>
    </w:p>
    <w:p w14:paraId="1CAD11D2" w14:textId="77777777" w:rsidR="009F5DA6" w:rsidRPr="00261B7A" w:rsidRDefault="009F5DA6" w:rsidP="009F5DA6">
      <w:pPr>
        <w:pStyle w:val="BodyText"/>
        <w:rPr>
          <w:rFonts w:cs="Calibri"/>
          <w:lang w:eastAsia="en-GB"/>
        </w:rPr>
      </w:pPr>
      <w:r w:rsidRPr="00261B7A">
        <w:rPr>
          <w:rFonts w:cs="Calibri"/>
          <w:lang w:eastAsia="en-GB"/>
        </w:rPr>
        <w:t xml:space="preserve">The large increase in </w:t>
      </w:r>
      <w:r w:rsidRPr="00261B7A">
        <w:rPr>
          <w:rFonts w:cs="Calibri"/>
        </w:rPr>
        <w:t>CO</w:t>
      </w:r>
      <w:r w:rsidRPr="00261B7A">
        <w:rPr>
          <w:rFonts w:cs="Calibri"/>
          <w:vertAlign w:val="subscript"/>
        </w:rPr>
        <w:t>2</w:t>
      </w:r>
      <w:r w:rsidRPr="00261B7A">
        <w:rPr>
          <w:rFonts w:cs="Calibri"/>
          <w:sz w:val="14"/>
          <w:szCs w:val="14"/>
          <w:lang w:eastAsia="en-GB"/>
        </w:rPr>
        <w:t xml:space="preserve"> </w:t>
      </w:r>
      <w:r w:rsidRPr="00261B7A">
        <w:rPr>
          <w:rFonts w:cs="Calibri"/>
          <w:lang w:eastAsia="en-GB"/>
        </w:rPr>
        <w:t>emissions from the Kapuni</w:t>
      </w:r>
      <w:r w:rsidRPr="00261B7A" w:rsidDel="00F31629">
        <w:rPr>
          <w:rFonts w:cs="Calibri"/>
          <w:lang w:eastAsia="en-GB"/>
        </w:rPr>
        <w:t xml:space="preserve"> </w:t>
      </w:r>
      <w:r w:rsidRPr="00261B7A">
        <w:rPr>
          <w:rFonts w:cs="Calibri"/>
          <w:lang w:eastAsia="en-GB"/>
        </w:rPr>
        <w:t>plant between 2003 and 2004 and between 2004 and 2005 is related to the drop in methanol production. Carbon dioxide previously sequestered during this separation process is now released as fugitive emissions from venting at the plant.</w:t>
      </w:r>
    </w:p>
    <w:p w14:paraId="3691650E" w14:textId="21E226B3" w:rsidR="009F5DA6" w:rsidRPr="00261B7A" w:rsidRDefault="009F5DA6" w:rsidP="009F5DA6">
      <w:pPr>
        <w:pStyle w:val="BodyText"/>
        <w:rPr>
          <w:rFonts w:cs="Calibri"/>
          <w:lang w:eastAsia="en-GB"/>
        </w:rPr>
      </w:pPr>
      <w:r w:rsidRPr="00261B7A">
        <w:rPr>
          <w:rFonts w:cs="Calibri"/>
          <w:lang w:eastAsia="en-GB"/>
        </w:rPr>
        <w:t>While emissions from the Kapuni</w:t>
      </w:r>
      <w:r w:rsidRPr="00261B7A" w:rsidDel="00F31629">
        <w:rPr>
          <w:rFonts w:cs="Calibri"/>
          <w:lang w:eastAsia="en-GB"/>
        </w:rPr>
        <w:t xml:space="preserve"> </w:t>
      </w:r>
      <w:r w:rsidRPr="00261B7A">
        <w:rPr>
          <w:rFonts w:cs="Calibri"/>
          <w:lang w:eastAsia="en-GB"/>
        </w:rPr>
        <w:t>plant may include traces of CH</w:t>
      </w:r>
      <w:r w:rsidRPr="00261B7A">
        <w:rPr>
          <w:rFonts w:cs="Calibri"/>
          <w:vertAlign w:val="subscript"/>
          <w:lang w:eastAsia="en-GB"/>
        </w:rPr>
        <w:t>4</w:t>
      </w:r>
      <w:r w:rsidRPr="00261B7A">
        <w:rPr>
          <w:rFonts w:cs="Calibri"/>
          <w:lang w:eastAsia="en-GB"/>
        </w:rPr>
        <w:t>, the level of these emissions</w:t>
      </w:r>
      <w:r w:rsidR="006B1BA4" w:rsidRPr="00261B7A">
        <w:rPr>
          <w:rFonts w:cs="Calibri"/>
          <w:lang w:eastAsia="en-GB"/>
        </w:rPr>
        <w:t xml:space="preserve"> </w:t>
      </w:r>
      <w:r w:rsidRPr="00261B7A">
        <w:rPr>
          <w:rFonts w:cs="Calibri"/>
          <w:lang w:eastAsia="en-GB"/>
        </w:rPr>
        <w:t xml:space="preserve">has been determined to be insignificant in comparison with national emissions: a conservative </w:t>
      </w:r>
      <w:r w:rsidRPr="00261B7A">
        <w:rPr>
          <w:rFonts w:cs="Calibri"/>
          <w:spacing w:val="-2"/>
          <w:lang w:eastAsia="en-GB"/>
        </w:rPr>
        <w:t>estimate (using default emission factors from the 2006 IPCC Guidelines) gives nearly 1.5 kt</w:t>
      </w:r>
      <w:r w:rsidR="003918F1" w:rsidRPr="00261B7A">
        <w:rPr>
          <w:rFonts w:cs="Calibri"/>
          <w:spacing w:val="-2"/>
          <w:lang w:eastAsia="en-GB"/>
        </w:rPr>
        <w:t xml:space="preserve"> </w:t>
      </w:r>
      <w:r w:rsidRPr="00261B7A">
        <w:rPr>
          <w:rFonts w:cs="Calibri"/>
          <w:spacing w:val="-2"/>
          <w:lang w:eastAsia="en-GB"/>
        </w:rPr>
        <w:t>CO</w:t>
      </w:r>
      <w:r w:rsidRPr="00261B7A">
        <w:rPr>
          <w:rFonts w:cs="Calibri"/>
          <w:spacing w:val="-2"/>
          <w:vertAlign w:val="subscript"/>
          <w:lang w:eastAsia="en-GB"/>
        </w:rPr>
        <w:t>2</w:t>
      </w:r>
      <w:r w:rsidRPr="00261B7A">
        <w:rPr>
          <w:rFonts w:cs="Calibri"/>
          <w:spacing w:val="-2"/>
          <w:lang w:eastAsia="en-GB"/>
        </w:rPr>
        <w:noBreakHyphen/>
        <w:t>e</w:t>
      </w:r>
      <w:r w:rsidRPr="00261B7A">
        <w:rPr>
          <w:rFonts w:cs="Calibri"/>
          <w:lang w:eastAsia="en-GB"/>
        </w:rPr>
        <w:t xml:space="preserve"> per year.</w:t>
      </w:r>
    </w:p>
    <w:p w14:paraId="02DE93AB" w14:textId="77777777" w:rsidR="009F5DA6" w:rsidRPr="00261B7A" w:rsidRDefault="009F5DA6" w:rsidP="009F5DA6">
      <w:pPr>
        <w:pStyle w:val="BodyText"/>
        <w:rPr>
          <w:rFonts w:cs="Calibri"/>
          <w:lang w:eastAsia="en-GB"/>
        </w:rPr>
      </w:pPr>
      <w:r w:rsidRPr="00261B7A">
        <w:rPr>
          <w:rFonts w:cs="Calibri"/>
          <w:lang w:eastAsia="en-GB"/>
        </w:rPr>
        <w:t xml:space="preserve">Carbon dioxide is also produced when natural gas is flared at the wellheads of other fields. The combustion efficiency of flaring is 95 per cent to 99 per cent, leaving some fugitive </w:t>
      </w:r>
      <w:r w:rsidRPr="00261B7A">
        <w:rPr>
          <w:rFonts w:cs="Calibri"/>
        </w:rPr>
        <w:t>CH</w:t>
      </w:r>
      <w:r w:rsidRPr="00261B7A">
        <w:rPr>
          <w:rFonts w:cs="Calibri"/>
          <w:vertAlign w:val="subscript"/>
        </w:rPr>
        <w:t>4</w:t>
      </w:r>
      <w:r w:rsidRPr="00261B7A">
        <w:rPr>
          <w:rFonts w:cs="Calibri"/>
          <w:lang w:eastAsia="en-GB"/>
        </w:rPr>
        <w:t xml:space="preserve"> emissions due to incomplete combustion. </w:t>
      </w:r>
    </w:p>
    <w:p w14:paraId="2FD3C8D6" w14:textId="77777777" w:rsidR="009F5DA6" w:rsidRPr="00261B7A" w:rsidRDefault="009F5DA6" w:rsidP="009F5DA6">
      <w:pPr>
        <w:pStyle w:val="BodyText"/>
        <w:rPr>
          <w:rFonts w:cs="Calibri"/>
          <w:lang w:eastAsia="en-GB"/>
        </w:rPr>
      </w:pPr>
      <w:r w:rsidRPr="00261B7A">
        <w:rPr>
          <w:rFonts w:cs="Calibri"/>
          <w:lang w:eastAsia="en-GB"/>
        </w:rPr>
        <w:t xml:space="preserve">Fugitive emissions also occur in transmission and distribution within the </w:t>
      </w:r>
      <w:r w:rsidRPr="00261B7A">
        <w:rPr>
          <w:rFonts w:cs="Calibri"/>
        </w:rPr>
        <w:t xml:space="preserve">natural </w:t>
      </w:r>
      <w:r w:rsidRPr="00261B7A">
        <w:rPr>
          <w:rFonts w:cs="Calibri"/>
          <w:lang w:eastAsia="en-GB"/>
        </w:rPr>
        <w:t>gas transmission pipeline system. However, these emissions are relatively minor compared with those from venting and flaring.</w:t>
      </w:r>
    </w:p>
    <w:p w14:paraId="6ACC78AF" w14:textId="77777777" w:rsidR="009F5DA6" w:rsidRPr="00261B7A" w:rsidRDefault="009F5DA6" w:rsidP="009F5DA6">
      <w:pPr>
        <w:pStyle w:val="BodyText"/>
        <w:rPr>
          <w:rFonts w:cs="Calibri"/>
          <w:lang w:eastAsia="en-GB"/>
        </w:rPr>
      </w:pPr>
      <w:r w:rsidRPr="00261B7A">
        <w:rPr>
          <w:rFonts w:cs="Calibri"/>
          <w:lang w:eastAsia="en-GB"/>
        </w:rPr>
        <w:t xml:space="preserve">The </w:t>
      </w:r>
      <w:r w:rsidRPr="00261B7A">
        <w:rPr>
          <w:rFonts w:cs="Calibri"/>
          <w:i/>
          <w:lang w:eastAsia="en-GB"/>
        </w:rPr>
        <w:t>Oil and natural gas</w:t>
      </w:r>
      <w:r w:rsidRPr="00261B7A">
        <w:rPr>
          <w:rFonts w:cs="Calibri"/>
          <w:lang w:eastAsia="en-GB"/>
        </w:rPr>
        <w:t xml:space="preserve"> category also includes estimates for emissions from geothermal operations. While some of the energy from geothermal fields is transformed into electricity, emissions from geothermal electricity generation are reported in the </w:t>
      </w:r>
      <w:r w:rsidRPr="00261B7A">
        <w:rPr>
          <w:rFonts w:cs="Calibri"/>
          <w:i/>
          <w:lang w:eastAsia="en-GB"/>
        </w:rPr>
        <w:t>Fugitive emissions</w:t>
      </w:r>
      <w:r w:rsidRPr="00261B7A">
        <w:rPr>
          <w:rFonts w:cs="Calibri"/>
          <w:lang w:eastAsia="en-GB"/>
        </w:rPr>
        <w:t xml:space="preserve"> category because they are not the result of fuel combustion. Geothermal facilities supplying geothermal fluid for generating electricity or industrial heat are subject to the Climate Change (Stationary Energy and Industrial Processes) Regulations 2009, and are required to participate in the NZ ETS. Geothermal sites whose geothermal steam is not used for energy production have been excluded from the inventory. Operations falling outside the scope of the regulations are not included in the inventory due to a lack of data, methodology and emission factors. Besides this, such sites – rather than using high-temperature geothermal steam – use low</w:t>
      </w:r>
      <w:r w:rsidRPr="00261B7A">
        <w:rPr>
          <w:rFonts w:cs="Calibri"/>
          <w:lang w:eastAsia="en-GB"/>
        </w:rPr>
        <w:noBreakHyphen/>
        <w:t>temperature hot water, which does not carry high levels of dissolved gases, and any emissions are considered insignificant. Naturally occurring sites do not contribute any anthropogenic emissions.</w:t>
      </w:r>
    </w:p>
    <w:p w14:paraId="413EB23B" w14:textId="77777777" w:rsidR="009F5DA6" w:rsidRPr="00261B7A" w:rsidRDefault="009F5DA6" w:rsidP="009F5DA6">
      <w:pPr>
        <w:pStyle w:val="BodyText"/>
        <w:rPr>
          <w:rFonts w:cs="Calibri"/>
          <w:lang w:eastAsia="en-GB"/>
        </w:rPr>
      </w:pPr>
      <w:r w:rsidRPr="00261B7A">
        <w:rPr>
          <w:rFonts w:cs="Calibri"/>
          <w:lang w:eastAsia="en-GB"/>
        </w:rPr>
        <w:t xml:space="preserve">In </w:t>
      </w:r>
      <w:r w:rsidRPr="00261B7A">
        <w:rPr>
          <w:rFonts w:cs="Calibri"/>
        </w:rPr>
        <w:t>2021</w:t>
      </w:r>
      <w:r w:rsidRPr="00261B7A">
        <w:rPr>
          <w:rFonts w:cs="Calibri"/>
          <w:lang w:eastAsia="en-GB"/>
        </w:rPr>
        <w:t xml:space="preserve">, emissions from geothermal operations were </w:t>
      </w:r>
      <w:r w:rsidRPr="00261B7A">
        <w:rPr>
          <w:rFonts w:cs="Calibri"/>
        </w:rPr>
        <w:t xml:space="preserve">546.2 </w:t>
      </w:r>
      <w:r w:rsidRPr="00261B7A">
        <w:rPr>
          <w:rFonts w:cs="Calibri"/>
          <w:lang w:eastAsia="en-GB"/>
        </w:rPr>
        <w:t>kt CO</w:t>
      </w:r>
      <w:r w:rsidRPr="00261B7A">
        <w:rPr>
          <w:rFonts w:cs="Calibri"/>
          <w:vertAlign w:val="subscript"/>
          <w:lang w:eastAsia="en-GB"/>
        </w:rPr>
        <w:t>2</w:t>
      </w:r>
      <w:r w:rsidRPr="00261B7A">
        <w:rPr>
          <w:rFonts w:cs="Calibri"/>
          <w:lang w:eastAsia="en-GB"/>
        </w:rPr>
        <w:t xml:space="preserve">-e, which is </w:t>
      </w:r>
      <w:r w:rsidRPr="00261B7A">
        <w:rPr>
          <w:rFonts w:cs="Calibri"/>
        </w:rPr>
        <w:t>262.8 </w:t>
      </w:r>
      <w:r w:rsidRPr="00261B7A">
        <w:rPr>
          <w:rFonts w:cs="Calibri"/>
          <w:lang w:eastAsia="en-GB"/>
        </w:rPr>
        <w:t>kt CO</w:t>
      </w:r>
      <w:r w:rsidRPr="00261B7A">
        <w:rPr>
          <w:rFonts w:cs="Calibri"/>
          <w:vertAlign w:val="subscript"/>
          <w:lang w:eastAsia="en-GB"/>
        </w:rPr>
        <w:t>2</w:t>
      </w:r>
      <w:r w:rsidRPr="00261B7A">
        <w:rPr>
          <w:rFonts w:cs="Calibri"/>
          <w:lang w:eastAsia="en-GB"/>
        </w:rPr>
        <w:t>-e (92.7</w:t>
      </w:r>
      <w:r w:rsidRPr="00261B7A">
        <w:rPr>
          <w:rFonts w:cs="Calibri"/>
        </w:rPr>
        <w:t xml:space="preserve"> per cent</w:t>
      </w:r>
      <w:r w:rsidRPr="00261B7A">
        <w:rPr>
          <w:rFonts w:cs="Calibri"/>
          <w:lang w:eastAsia="en-GB"/>
        </w:rPr>
        <w:t xml:space="preserve">) higher than the 1990 level of </w:t>
      </w:r>
      <w:r w:rsidRPr="00261B7A">
        <w:rPr>
          <w:rFonts w:cs="Calibri"/>
        </w:rPr>
        <w:t xml:space="preserve">283.4 </w:t>
      </w:r>
      <w:r w:rsidRPr="00261B7A">
        <w:rPr>
          <w:rFonts w:cs="Calibri"/>
          <w:lang w:eastAsia="en-GB"/>
        </w:rPr>
        <w:t>kt CO</w:t>
      </w:r>
      <w:r w:rsidRPr="00261B7A">
        <w:rPr>
          <w:rFonts w:cs="Calibri"/>
          <w:vertAlign w:val="subscript"/>
          <w:lang w:eastAsia="en-GB"/>
        </w:rPr>
        <w:t>2</w:t>
      </w:r>
      <w:r w:rsidRPr="00261B7A">
        <w:rPr>
          <w:rFonts w:cs="Calibri"/>
          <w:lang w:eastAsia="en-GB"/>
        </w:rPr>
        <w:t>-e.</w:t>
      </w:r>
    </w:p>
    <w:p w14:paraId="1D486790" w14:textId="77777777" w:rsidR="009F5DA6" w:rsidRPr="00261B7A" w:rsidRDefault="009F5DA6" w:rsidP="009F5DA6">
      <w:pPr>
        <w:pStyle w:val="BodyText"/>
        <w:rPr>
          <w:rFonts w:cs="Calibri"/>
        </w:rPr>
      </w:pPr>
      <w:r w:rsidRPr="00261B7A">
        <w:rPr>
          <w:rFonts w:cs="Calibri"/>
        </w:rPr>
        <w:t>Between 2020 and 2021, emissions from geothermal sources decreased by 3.6 per cent. A steady decline in emissions has occurred over the past six years as the more recently developed fields have de-gassed.</w:t>
      </w:r>
    </w:p>
    <w:p w14:paraId="7DB9C8E3" w14:textId="77777777" w:rsidR="009F5DA6" w:rsidRPr="00261B7A" w:rsidRDefault="009F5DA6" w:rsidP="004C583E">
      <w:pPr>
        <w:pStyle w:val="Heading4"/>
      </w:pPr>
      <w:r w:rsidRPr="00261B7A">
        <w:t>Methodological issues</w:t>
      </w:r>
    </w:p>
    <w:p w14:paraId="5B5CBAE7" w14:textId="77777777" w:rsidR="009F5DA6" w:rsidRPr="00261B7A" w:rsidRDefault="009F5DA6" w:rsidP="009F5DA6">
      <w:pPr>
        <w:pStyle w:val="BodyText"/>
        <w:rPr>
          <w:rFonts w:cs="Calibri"/>
          <w:lang w:eastAsia="en-GB"/>
        </w:rPr>
      </w:pPr>
      <w:r w:rsidRPr="00261B7A">
        <w:rPr>
          <w:rFonts w:cs="Calibri"/>
          <w:lang w:eastAsia="en-GB"/>
        </w:rPr>
        <w:t>Unless noted otherwise, CO</w:t>
      </w:r>
      <w:r w:rsidRPr="00261B7A">
        <w:rPr>
          <w:rFonts w:cs="Calibri"/>
          <w:vertAlign w:val="subscript"/>
          <w:lang w:eastAsia="en-GB"/>
        </w:rPr>
        <w:t>2</w:t>
      </w:r>
      <w:r w:rsidRPr="00261B7A">
        <w:rPr>
          <w:rFonts w:cs="Calibri"/>
          <w:lang w:eastAsia="en-GB"/>
        </w:rPr>
        <w:t xml:space="preserve"> and CH</w:t>
      </w:r>
      <w:r w:rsidRPr="00261B7A">
        <w:rPr>
          <w:rFonts w:cs="Calibri"/>
          <w:vertAlign w:val="subscript"/>
          <w:lang w:eastAsia="en-GB"/>
        </w:rPr>
        <w:t>4</w:t>
      </w:r>
      <w:r w:rsidRPr="00261B7A">
        <w:rPr>
          <w:rFonts w:cs="Calibri"/>
          <w:lang w:eastAsia="en-GB"/>
        </w:rPr>
        <w:t xml:space="preserve"> emissions from sources within this category have been calculated using the IPCC Tier 2 approach, and N</w:t>
      </w:r>
      <w:r w:rsidRPr="00261B7A">
        <w:rPr>
          <w:rFonts w:cs="Calibri"/>
          <w:vertAlign w:val="subscript"/>
          <w:lang w:eastAsia="en-GB"/>
        </w:rPr>
        <w:t>2</w:t>
      </w:r>
      <w:r w:rsidRPr="00261B7A">
        <w:rPr>
          <w:rFonts w:cs="Calibri"/>
          <w:lang w:eastAsia="en-GB"/>
        </w:rPr>
        <w:t>O emissions were calculated using the default Tier 1 approach (IPCC, 2006).</w:t>
      </w:r>
    </w:p>
    <w:p w14:paraId="0F7B154D" w14:textId="77777777" w:rsidR="009F5DA6" w:rsidRPr="00261B7A" w:rsidRDefault="009F5DA6" w:rsidP="009F5DA6">
      <w:pPr>
        <w:pStyle w:val="Heading5"/>
        <w:rPr>
          <w:rFonts w:cs="Calibri"/>
          <w:lang w:eastAsia="en-GB"/>
        </w:rPr>
      </w:pPr>
      <w:r w:rsidRPr="00261B7A">
        <w:rPr>
          <w:rFonts w:cs="Calibri"/>
          <w:lang w:eastAsia="en-GB"/>
        </w:rPr>
        <w:t>Ozone precursors and sulphur dioxide from oil refining</w:t>
      </w:r>
    </w:p>
    <w:p w14:paraId="7FECD53B" w14:textId="77777777" w:rsidR="009F5DA6" w:rsidRPr="00261B7A" w:rsidRDefault="009F5DA6" w:rsidP="009F5DA6">
      <w:pPr>
        <w:pStyle w:val="BodyText"/>
        <w:spacing w:after="80"/>
        <w:rPr>
          <w:rFonts w:cs="Calibri"/>
          <w:lang w:eastAsia="en-GB"/>
        </w:rPr>
      </w:pPr>
      <w:r w:rsidRPr="00261B7A">
        <w:rPr>
          <w:rFonts w:cs="Calibri"/>
          <w:lang w:eastAsia="en-GB"/>
        </w:rPr>
        <w:t>New Zealand has only one oil refinery: this refinery has a hydro cracker rather than a catalytic cracker. Therefore, no emissions come from fluid catalytic cracking. New Zealand does, however, produce emissions from sulphur recovery plants and storage and handling.</w:t>
      </w:r>
    </w:p>
    <w:p w14:paraId="3BBD235B" w14:textId="77777777" w:rsidR="009F5DA6" w:rsidRPr="00261B7A" w:rsidRDefault="009F5DA6" w:rsidP="009F5DA6">
      <w:pPr>
        <w:pStyle w:val="Heading5"/>
        <w:rPr>
          <w:rFonts w:cs="Calibri"/>
        </w:rPr>
      </w:pPr>
      <w:r w:rsidRPr="00261B7A">
        <w:rPr>
          <w:rFonts w:cs="Calibri"/>
        </w:rPr>
        <w:t>1.B.2.c Venting and flaring</w:t>
      </w:r>
    </w:p>
    <w:p w14:paraId="62023BB0" w14:textId="77777777" w:rsidR="009F5DA6" w:rsidRPr="00261B7A" w:rsidRDefault="009F5DA6" w:rsidP="009F5DA6">
      <w:pPr>
        <w:pStyle w:val="BodyText"/>
        <w:spacing w:after="80"/>
        <w:rPr>
          <w:rFonts w:cs="Calibri"/>
        </w:rPr>
      </w:pPr>
      <w:r w:rsidRPr="00261B7A">
        <w:rPr>
          <w:rFonts w:cs="Calibri"/>
        </w:rPr>
        <w:t>Oil and natural gas fields in New Zealand produce a mixture consisting of variable ratios of natural gas, crude oil, condensate and natural gas liquids. Hence, emissions for this category are reported under ‘combined’. The activity data are directly reported by field operators.</w:t>
      </w:r>
    </w:p>
    <w:p w14:paraId="0AB8C2C8" w14:textId="039B08AF" w:rsidR="009F5DA6" w:rsidRPr="00261B7A" w:rsidRDefault="009F5DA6" w:rsidP="009F5DA6">
      <w:pPr>
        <w:pStyle w:val="BodyText"/>
        <w:spacing w:after="80"/>
        <w:rPr>
          <w:rFonts w:cs="Calibri"/>
        </w:rPr>
      </w:pPr>
      <w:r w:rsidRPr="00261B7A">
        <w:rPr>
          <w:rFonts w:cs="Calibri"/>
        </w:rPr>
        <w:t>Venting of CO</w:t>
      </w:r>
      <w:r w:rsidRPr="00261B7A">
        <w:rPr>
          <w:rFonts w:cs="Calibri"/>
          <w:vertAlign w:val="subscript"/>
        </w:rPr>
        <w:t>2</w:t>
      </w:r>
      <w:r w:rsidRPr="00261B7A">
        <w:rPr>
          <w:rFonts w:cs="Calibri"/>
        </w:rPr>
        <w:t xml:space="preserve"> resulting from hydrogen production at oil refineries is included in the IPPU</w:t>
      </w:r>
      <w:r w:rsidR="003918F1" w:rsidRPr="00261B7A">
        <w:rPr>
          <w:rFonts w:cs="Calibri"/>
        </w:rPr>
        <w:t> </w:t>
      </w:r>
      <w:r w:rsidRPr="00261B7A">
        <w:rPr>
          <w:rFonts w:cs="Calibri"/>
        </w:rPr>
        <w:t>sector so as to protect the confidentiality of individual companies (see chapter 4 for</w:t>
      </w:r>
      <w:r w:rsidR="003918F1" w:rsidRPr="00261B7A">
        <w:rPr>
          <w:rFonts w:cs="Calibri"/>
        </w:rPr>
        <w:t> </w:t>
      </w:r>
      <w:r w:rsidRPr="00261B7A">
        <w:rPr>
          <w:rFonts w:cs="Calibri"/>
        </w:rPr>
        <w:t>further information).</w:t>
      </w:r>
    </w:p>
    <w:p w14:paraId="6D151F16" w14:textId="77777777" w:rsidR="009F5DA6" w:rsidRPr="00261B7A" w:rsidRDefault="009F5DA6" w:rsidP="009F5DA6">
      <w:pPr>
        <w:pStyle w:val="Heading5"/>
        <w:rPr>
          <w:rFonts w:cs="Calibri"/>
        </w:rPr>
      </w:pPr>
      <w:r w:rsidRPr="00261B7A">
        <w:rPr>
          <w:rFonts w:cs="Calibri"/>
        </w:rPr>
        <w:t xml:space="preserve">1.B.2.d </w:t>
      </w:r>
      <w:r w:rsidRPr="00261B7A">
        <w:rPr>
          <w:rFonts w:cs="Calibri"/>
          <w:lang w:eastAsia="en-GB"/>
        </w:rPr>
        <w:t>Geothermal</w:t>
      </w:r>
    </w:p>
    <w:p w14:paraId="5E56842E" w14:textId="77777777" w:rsidR="009F5DA6" w:rsidRPr="00261B7A" w:rsidRDefault="009F5DA6" w:rsidP="009F5DA6">
      <w:pPr>
        <w:pStyle w:val="BodyText"/>
        <w:rPr>
          <w:rFonts w:cs="Calibri"/>
        </w:rPr>
      </w:pPr>
      <w:r w:rsidRPr="00261B7A">
        <w:rPr>
          <w:rFonts w:cs="Calibri"/>
        </w:rPr>
        <w:t>When geothermal fluid is discharged, some CO</w:t>
      </w:r>
      <w:r w:rsidRPr="00261B7A">
        <w:rPr>
          <w:rFonts w:cs="Calibri"/>
          <w:vertAlign w:val="subscript"/>
        </w:rPr>
        <w:t>2</w:t>
      </w:r>
      <w:r w:rsidRPr="00261B7A">
        <w:rPr>
          <w:rFonts w:cs="Calibri"/>
        </w:rPr>
        <w:t xml:space="preserve"> and small amounts of CH</w:t>
      </w:r>
      <w:r w:rsidRPr="00261B7A">
        <w:rPr>
          <w:rFonts w:cs="Calibri"/>
          <w:vertAlign w:val="subscript"/>
        </w:rPr>
        <w:t>4</w:t>
      </w:r>
      <w:r w:rsidRPr="00261B7A">
        <w:rPr>
          <w:rFonts w:cs="Calibri"/>
        </w:rPr>
        <w:t xml:space="preserve"> are also released. The emissions released during electricity generation using geothermal fluid are reported in this inventory. Figure 3.4.1 shows a schematic diagram of a typical New Zealand geothermal flash power station. </w:t>
      </w:r>
    </w:p>
    <w:p w14:paraId="3819B5D9" w14:textId="77777777" w:rsidR="009F5DA6" w:rsidRPr="00261B7A" w:rsidRDefault="009F5DA6" w:rsidP="00653C53">
      <w:pPr>
        <w:pStyle w:val="BodyText"/>
        <w:spacing w:after="240"/>
        <w:rPr>
          <w:rFonts w:cs="Calibri"/>
        </w:rPr>
      </w:pPr>
      <w:r w:rsidRPr="00261B7A">
        <w:rPr>
          <w:rFonts w:cs="Calibri"/>
        </w:rPr>
        <w:t>Estimates of CO</w:t>
      </w:r>
      <w:r w:rsidRPr="00261B7A">
        <w:rPr>
          <w:rFonts w:cs="Calibri"/>
          <w:vertAlign w:val="subscript"/>
        </w:rPr>
        <w:t>2</w:t>
      </w:r>
      <w:r w:rsidRPr="00261B7A">
        <w:rPr>
          <w:rFonts w:cs="Calibri"/>
        </w:rPr>
        <w:t xml:space="preserve"> and CH</w:t>
      </w:r>
      <w:r w:rsidRPr="00261B7A">
        <w:rPr>
          <w:rFonts w:cs="Calibri"/>
          <w:vertAlign w:val="subscript"/>
        </w:rPr>
        <w:t>4</w:t>
      </w:r>
      <w:r w:rsidRPr="00261B7A">
        <w:rPr>
          <w:rFonts w:cs="Calibri"/>
        </w:rPr>
        <w:t xml:space="preserve"> emissions for the </w:t>
      </w:r>
      <w:r w:rsidRPr="00261B7A">
        <w:rPr>
          <w:rFonts w:cs="Calibri"/>
          <w:i/>
        </w:rPr>
        <w:t>Geothermal</w:t>
      </w:r>
      <w:r w:rsidRPr="00261B7A">
        <w:rPr>
          <w:rFonts w:cs="Calibri"/>
        </w:rPr>
        <w:t xml:space="preserve"> category are obtained directly from geothermal power companies. New Zealand has around 15 geothermal power stations and most of these are owned (or partly owned) by two major power companies. Two examples of methodologies used to estimate emissions by these companies are explained below.</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8505"/>
      </w:tblGrid>
      <w:tr w:rsidR="009F5DA6" w:rsidRPr="00261B7A" w14:paraId="6197A6E9" w14:textId="77777777" w:rsidTr="00053E51">
        <w:tc>
          <w:tcPr>
            <w:tcW w:w="8505" w:type="dxa"/>
            <w:shd w:val="clear" w:color="auto" w:fill="auto"/>
          </w:tcPr>
          <w:p w14:paraId="79446070" w14:textId="77777777" w:rsidR="009F5DA6" w:rsidRPr="00261B7A" w:rsidRDefault="009F5DA6" w:rsidP="00053E51">
            <w:pPr>
              <w:pStyle w:val="Heading6"/>
              <w:keepNext w:val="0"/>
              <w:keepLines w:val="0"/>
              <w:ind w:left="284"/>
              <w:rPr>
                <w:rFonts w:eastAsia="Calibri"/>
                <w:color w:val="auto"/>
              </w:rPr>
            </w:pPr>
            <w:r w:rsidRPr="00261B7A">
              <w:rPr>
                <w:rFonts w:eastAsia="Calibri"/>
                <w:color w:val="auto"/>
              </w:rPr>
              <w:t>Geothermal methodology for Company A</w:t>
            </w:r>
          </w:p>
          <w:p w14:paraId="4F34A9F0" w14:textId="77777777" w:rsidR="009F5DA6" w:rsidRPr="00261B7A" w:rsidRDefault="009F5DA6" w:rsidP="00D41492">
            <w:pPr>
              <w:pStyle w:val="BodyText"/>
              <w:spacing w:after="80"/>
              <w:ind w:left="284" w:right="284"/>
              <w:rPr>
                <w:rFonts w:eastAsia="Calibri" w:cs="Calibri"/>
                <w:sz w:val="20"/>
              </w:rPr>
            </w:pPr>
            <w:r w:rsidRPr="00261B7A">
              <w:rPr>
                <w:rFonts w:eastAsia="Calibri" w:cs="Calibri"/>
                <w:sz w:val="20"/>
              </w:rPr>
              <w:t xml:space="preserve">At Company A, quarterly gas sampling analysis is conducted to measure the amount of </w:t>
            </w:r>
            <w:r w:rsidRPr="00261B7A">
              <w:rPr>
                <w:rFonts w:cs="Calibri"/>
                <w:sz w:val="20"/>
              </w:rPr>
              <w:t>CO</w:t>
            </w:r>
            <w:r w:rsidRPr="00261B7A">
              <w:rPr>
                <w:rFonts w:cs="Calibri"/>
                <w:sz w:val="20"/>
                <w:vertAlign w:val="subscript"/>
              </w:rPr>
              <w:t>2</w:t>
            </w:r>
            <w:r w:rsidRPr="00261B7A">
              <w:rPr>
                <w:rFonts w:eastAsia="Calibri" w:cs="Calibri"/>
                <w:sz w:val="20"/>
              </w:rPr>
              <w:t xml:space="preserve"> and </w:t>
            </w:r>
            <w:r w:rsidRPr="00261B7A">
              <w:rPr>
                <w:rFonts w:cs="Calibri"/>
                <w:sz w:val="20"/>
              </w:rPr>
              <w:t>CH</w:t>
            </w:r>
            <w:r w:rsidRPr="00261B7A">
              <w:rPr>
                <w:rFonts w:cs="Calibri"/>
                <w:sz w:val="20"/>
                <w:vertAlign w:val="subscript"/>
              </w:rPr>
              <w:t>4</w:t>
            </w:r>
            <w:r w:rsidRPr="00261B7A">
              <w:rPr>
                <w:rFonts w:eastAsia="Calibri" w:cs="Calibri"/>
                <w:sz w:val="20"/>
              </w:rPr>
              <w:t xml:space="preserve"> in the steam. Gas samples are collected at the inlet to the electricity generation station and at the extraction process when gas is dissolved in the condensate (wastewater).</w:t>
            </w:r>
          </w:p>
          <w:p w14:paraId="326842C4" w14:textId="77777777" w:rsidR="009F5DA6" w:rsidRPr="00261B7A" w:rsidRDefault="009F5DA6" w:rsidP="00D41492">
            <w:pPr>
              <w:pStyle w:val="BodyText"/>
              <w:ind w:left="284" w:right="284"/>
              <w:rPr>
                <w:rFonts w:eastAsia="Calibri" w:cs="Calibri"/>
                <w:sz w:val="20"/>
              </w:rPr>
            </w:pPr>
            <w:r w:rsidRPr="00261B7A">
              <w:rPr>
                <w:rFonts w:eastAsia="Calibri" w:cs="Calibri"/>
                <w:sz w:val="20"/>
              </w:rPr>
              <w:t xml:space="preserve">The concentration of </w:t>
            </w:r>
            <w:r w:rsidRPr="00261B7A">
              <w:rPr>
                <w:rFonts w:cs="Calibri"/>
                <w:sz w:val="20"/>
              </w:rPr>
              <w:t>CO</w:t>
            </w:r>
            <w:r w:rsidRPr="00261B7A">
              <w:rPr>
                <w:rFonts w:cs="Calibri"/>
                <w:sz w:val="20"/>
                <w:vertAlign w:val="subscript"/>
              </w:rPr>
              <w:t>2</w:t>
            </w:r>
            <w:r w:rsidRPr="00261B7A">
              <w:rPr>
                <w:rFonts w:eastAsia="Calibri" w:cs="Calibri"/>
                <w:sz w:val="20"/>
              </w:rPr>
              <w:t xml:space="preserve"> (e.g., 0.612 per cent) and </w:t>
            </w:r>
            <w:r w:rsidRPr="00261B7A">
              <w:rPr>
                <w:rFonts w:cs="Calibri"/>
                <w:sz w:val="20"/>
              </w:rPr>
              <w:t>CH</w:t>
            </w:r>
            <w:r w:rsidRPr="00261B7A">
              <w:rPr>
                <w:rFonts w:cs="Calibri"/>
                <w:sz w:val="20"/>
                <w:vertAlign w:val="subscript"/>
              </w:rPr>
              <w:t>4</w:t>
            </w:r>
            <w:r w:rsidRPr="00261B7A">
              <w:rPr>
                <w:rFonts w:eastAsia="Calibri" w:cs="Calibri"/>
                <w:sz w:val="20"/>
              </w:rPr>
              <w:t xml:space="preserve"> (e.g., 0.0029 per cent) by weight of discharged steam is then calculated by carrying out a mass balance.</w:t>
            </w:r>
          </w:p>
          <w:p w14:paraId="64D6263A" w14:textId="77777777" w:rsidR="009F5DA6" w:rsidRPr="00261B7A" w:rsidRDefault="009F5DA6" w:rsidP="00D41492">
            <w:pPr>
              <w:spacing w:before="60"/>
              <w:ind w:left="284" w:right="284"/>
              <w:jc w:val="center"/>
              <w:rPr>
                <w:rFonts w:eastAsia="Calibri" w:cs="Calibri"/>
                <w:i/>
                <w:sz w:val="20"/>
              </w:rPr>
            </w:pPr>
            <w:r w:rsidRPr="00261B7A">
              <w:rPr>
                <w:rFonts w:eastAsia="Calibri" w:cs="Calibri"/>
                <w:i/>
                <w:sz w:val="20"/>
              </w:rPr>
              <w:t xml:space="preserve">‘Gas discharged to atmosphere’ = ‘Gas to electricity generation station’ </w:t>
            </w:r>
            <w:r w:rsidRPr="00261B7A">
              <w:rPr>
                <w:rFonts w:eastAsia="Calibri" w:cs="Calibri"/>
                <w:i/>
                <w:sz w:val="20"/>
              </w:rPr>
              <w:br/>
            </w:r>
            <w:r w:rsidRPr="00261B7A">
              <w:rPr>
                <w:rFonts w:cs="Calibri"/>
                <w:sz w:val="20"/>
              </w:rPr>
              <w:t>–</w:t>
            </w:r>
            <w:r w:rsidRPr="00261B7A">
              <w:rPr>
                <w:rFonts w:eastAsia="Calibri" w:cs="Calibri"/>
                <w:i/>
                <w:sz w:val="20"/>
              </w:rPr>
              <w:t xml:space="preserve"> ‘Gas dissolved in condensate’</w:t>
            </w:r>
          </w:p>
          <w:p w14:paraId="068574C9" w14:textId="77777777" w:rsidR="009F5DA6" w:rsidRPr="00261B7A" w:rsidRDefault="009F5DA6" w:rsidP="00D41492">
            <w:pPr>
              <w:pStyle w:val="BodyText"/>
              <w:spacing w:after="80"/>
              <w:ind w:left="284" w:right="284"/>
              <w:rPr>
                <w:rFonts w:eastAsia="Calibri" w:cs="Calibri"/>
                <w:sz w:val="20"/>
              </w:rPr>
            </w:pPr>
            <w:r w:rsidRPr="00261B7A">
              <w:rPr>
                <w:rFonts w:eastAsia="Calibri" w:cs="Calibri"/>
                <w:sz w:val="20"/>
              </w:rPr>
              <w:t xml:space="preserve">Company A also collects information on the average steam flow (tonnes of steam per hour) to the electricity generation station. This average steam flow is based on an annual average (e.g., 582.3 tonnes of steam per hour). </w:t>
            </w:r>
          </w:p>
          <w:p w14:paraId="48DE0435" w14:textId="77777777" w:rsidR="009F5DA6" w:rsidRPr="00261B7A" w:rsidRDefault="009F5DA6" w:rsidP="00D41492">
            <w:pPr>
              <w:pStyle w:val="BodyText"/>
              <w:spacing w:before="80" w:after="80"/>
              <w:ind w:left="284" w:right="284"/>
              <w:rPr>
                <w:rFonts w:eastAsia="Calibri" w:cs="Calibri"/>
                <w:sz w:val="20"/>
              </w:rPr>
            </w:pPr>
            <w:r w:rsidRPr="00261B7A">
              <w:rPr>
                <w:rFonts w:eastAsia="Calibri" w:cs="Calibri"/>
                <w:sz w:val="20"/>
              </w:rPr>
              <w:t xml:space="preserve">Therefore, working out </w:t>
            </w:r>
            <w:r w:rsidRPr="00261B7A">
              <w:rPr>
                <w:rFonts w:cs="Calibri"/>
                <w:sz w:val="20"/>
              </w:rPr>
              <w:t>CO</w:t>
            </w:r>
            <w:r w:rsidRPr="00261B7A">
              <w:rPr>
                <w:rFonts w:cs="Calibri"/>
                <w:sz w:val="20"/>
                <w:vertAlign w:val="subscript"/>
              </w:rPr>
              <w:t>2</w:t>
            </w:r>
            <w:r w:rsidRPr="00261B7A">
              <w:rPr>
                <w:rFonts w:eastAsia="Calibri" w:cs="Calibri"/>
                <w:sz w:val="20"/>
              </w:rPr>
              <w:t xml:space="preserve"> emissions discharged to the atmosphere involves the following calculations.</w:t>
            </w:r>
          </w:p>
          <w:p w14:paraId="08544025" w14:textId="77777777" w:rsidR="009F5DA6" w:rsidRPr="00261B7A" w:rsidRDefault="009F5DA6" w:rsidP="00D41492">
            <w:pPr>
              <w:pStyle w:val="BodyText"/>
              <w:keepNext/>
              <w:spacing w:before="80" w:after="80"/>
              <w:ind w:left="284" w:right="284"/>
              <w:rPr>
                <w:rFonts w:eastAsia="Calibri" w:cs="Calibri"/>
                <w:sz w:val="20"/>
              </w:rPr>
            </w:pPr>
            <w:r w:rsidRPr="00261B7A">
              <w:rPr>
                <w:rFonts w:eastAsia="Calibri" w:cs="Calibri"/>
                <w:sz w:val="20"/>
              </w:rPr>
              <w:t xml:space="preserve">Average discharge per hour is calculated as: </w:t>
            </w:r>
          </w:p>
          <w:p w14:paraId="232D8B95" w14:textId="77777777" w:rsidR="009F5DA6" w:rsidRPr="00261B7A" w:rsidRDefault="009F5DA6" w:rsidP="00D41492">
            <w:pPr>
              <w:ind w:left="284" w:right="284"/>
              <w:jc w:val="center"/>
              <w:rPr>
                <w:rFonts w:eastAsia="Calibri" w:cs="Calibri"/>
                <w:sz w:val="20"/>
                <w:szCs w:val="20"/>
              </w:rPr>
            </w:pPr>
            <w:r w:rsidRPr="00261B7A">
              <w:rPr>
                <w:rFonts w:eastAsia="Calibri" w:cs="Calibri"/>
                <w:position w:val="-28"/>
                <w:sz w:val="20"/>
              </w:rPr>
              <w:object w:dxaOrig="6380" w:dyaOrig="660" w14:anchorId="0ED3352F">
                <v:shape id="_x0000_i1029" type="#_x0000_t75" style="width:339pt;height:36.5pt" o:ole="">
                  <v:imagedata r:id="rId81" o:title="" cropright="9261f"/>
                </v:shape>
                <o:OLEObject Type="Embed" ProgID="Equation.3" ShapeID="_x0000_i1029" DrawAspect="Content" ObjectID="_1742911568" r:id="rId82"/>
              </w:object>
            </w:r>
          </w:p>
          <w:p w14:paraId="25509930" w14:textId="77777777" w:rsidR="009F5DA6" w:rsidRPr="00261B7A" w:rsidRDefault="009F5DA6" w:rsidP="00D41492">
            <w:pPr>
              <w:spacing w:before="120" w:after="120"/>
              <w:ind w:left="284" w:right="284"/>
              <w:rPr>
                <w:rFonts w:eastAsia="Calibri" w:cs="Calibri"/>
                <w:sz w:val="20"/>
              </w:rPr>
            </w:pPr>
            <w:r w:rsidRPr="00261B7A">
              <w:rPr>
                <w:rFonts w:eastAsia="Calibri" w:cs="Calibri"/>
                <w:sz w:val="20"/>
              </w:rPr>
              <w:t>And the total discharge per year is:</w:t>
            </w:r>
          </w:p>
          <w:p w14:paraId="201199E9" w14:textId="77777777" w:rsidR="009F5DA6" w:rsidRPr="00261B7A" w:rsidRDefault="009F5DA6" w:rsidP="00D41492">
            <w:pPr>
              <w:ind w:left="284" w:right="284"/>
              <w:jc w:val="center"/>
              <w:rPr>
                <w:rFonts w:eastAsia="Calibri" w:cs="Calibri"/>
                <w:sz w:val="20"/>
                <w:szCs w:val="20"/>
              </w:rPr>
            </w:pPr>
            <w:r w:rsidRPr="00261B7A">
              <w:rPr>
                <w:rFonts w:eastAsia="Calibri" w:cs="Calibri"/>
                <w:position w:val="-28"/>
                <w:sz w:val="20"/>
              </w:rPr>
              <w:object w:dxaOrig="6420" w:dyaOrig="680" w14:anchorId="57AC0192">
                <v:shape id="_x0000_i1030" type="#_x0000_t75" style="width:2in;height:36.5pt" o:ole="">
                  <v:imagedata r:id="rId83" o:title="" cropleft="41456f"/>
                </v:shape>
                <o:OLEObject Type="Embed" ProgID="Equation.3" ShapeID="_x0000_i1030" DrawAspect="Content" ObjectID="_1742911569" r:id="rId84"/>
              </w:object>
            </w:r>
            <w:r w:rsidRPr="00261B7A">
              <w:rPr>
                <w:rFonts w:eastAsia="Calibri" w:cs="Calibri"/>
                <w:sz w:val="20"/>
                <w:szCs w:val="20"/>
              </w:rPr>
              <w:t xml:space="preserve">= 31,230 tonnes of </w:t>
            </w:r>
            <w:r w:rsidRPr="00261B7A">
              <w:rPr>
                <w:rFonts w:cs="Calibri"/>
                <w:sz w:val="20"/>
                <w:szCs w:val="20"/>
              </w:rPr>
              <w:t>CO</w:t>
            </w:r>
            <w:r w:rsidRPr="00261B7A">
              <w:rPr>
                <w:rFonts w:cs="Calibri"/>
                <w:sz w:val="20"/>
                <w:szCs w:val="20"/>
                <w:vertAlign w:val="subscript"/>
              </w:rPr>
              <w:t>2</w:t>
            </w:r>
            <w:r w:rsidRPr="00261B7A">
              <w:rPr>
                <w:rFonts w:eastAsia="Calibri" w:cs="Calibri"/>
                <w:sz w:val="20"/>
                <w:szCs w:val="20"/>
              </w:rPr>
              <w:t xml:space="preserve"> per year.</w:t>
            </w:r>
          </w:p>
          <w:p w14:paraId="5E4A4075" w14:textId="77777777" w:rsidR="009F5DA6" w:rsidRPr="00261B7A" w:rsidRDefault="009F5DA6" w:rsidP="00D41492">
            <w:pPr>
              <w:spacing w:before="120" w:after="240"/>
              <w:ind w:left="284" w:right="284"/>
              <w:rPr>
                <w:rFonts w:eastAsia="Calibri" w:cs="Calibri"/>
                <w:sz w:val="20"/>
                <w:highlight w:val="yellow"/>
              </w:rPr>
            </w:pPr>
            <w:r w:rsidRPr="00261B7A">
              <w:rPr>
                <w:rFonts w:eastAsia="Calibri" w:cs="Calibri"/>
                <w:sz w:val="20"/>
              </w:rPr>
              <w:t xml:space="preserve">Using the same methodology above will yield 149 tonnes of </w:t>
            </w:r>
            <w:r w:rsidRPr="00261B7A">
              <w:rPr>
                <w:rFonts w:cs="Calibri"/>
                <w:sz w:val="20"/>
              </w:rPr>
              <w:t>CH</w:t>
            </w:r>
            <w:r w:rsidRPr="00261B7A">
              <w:rPr>
                <w:rFonts w:cs="Calibri"/>
                <w:sz w:val="20"/>
                <w:vertAlign w:val="subscript"/>
              </w:rPr>
              <w:t>4</w:t>
            </w:r>
            <w:r w:rsidRPr="00261B7A">
              <w:rPr>
                <w:rFonts w:eastAsia="Calibri" w:cs="Calibri"/>
                <w:sz w:val="20"/>
              </w:rPr>
              <w:t xml:space="preserve">. The overall emission for Company A is therefore 34,359 tonnes of </w:t>
            </w:r>
            <w:r w:rsidRPr="00261B7A">
              <w:rPr>
                <w:rFonts w:cs="Calibri"/>
                <w:sz w:val="20"/>
              </w:rPr>
              <w:t>CO</w:t>
            </w:r>
            <w:r w:rsidRPr="00261B7A">
              <w:rPr>
                <w:rFonts w:cs="Calibri"/>
                <w:sz w:val="20"/>
                <w:vertAlign w:val="subscript"/>
              </w:rPr>
              <w:t>2</w:t>
            </w:r>
            <w:r w:rsidRPr="00261B7A">
              <w:rPr>
                <w:rFonts w:eastAsia="Calibri" w:cs="Calibri"/>
                <w:sz w:val="20"/>
              </w:rPr>
              <w:t xml:space="preserve">-e emissions. </w:t>
            </w:r>
          </w:p>
        </w:tc>
      </w:tr>
    </w:tbl>
    <w:p w14:paraId="11EB33C1" w14:textId="77777777" w:rsidR="009F5DA6" w:rsidRPr="00261B7A" w:rsidRDefault="009F5DA6" w:rsidP="009F5DA6">
      <w:pPr>
        <w:pStyle w:val="BodyText"/>
        <w:spacing w:before="40" w:after="60"/>
        <w:rPr>
          <w:rFonts w:cs="Calibri"/>
        </w:rPr>
      </w:pP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8505"/>
      </w:tblGrid>
      <w:tr w:rsidR="009F5DA6" w:rsidRPr="00261B7A" w14:paraId="1AC4920E" w14:textId="77777777" w:rsidTr="00053E51">
        <w:tc>
          <w:tcPr>
            <w:tcW w:w="8505" w:type="dxa"/>
            <w:shd w:val="clear" w:color="auto" w:fill="auto"/>
          </w:tcPr>
          <w:p w14:paraId="072D374D" w14:textId="77777777" w:rsidR="009F5DA6" w:rsidRPr="00261B7A" w:rsidRDefault="009F5DA6" w:rsidP="00053E51">
            <w:pPr>
              <w:pStyle w:val="Heading6"/>
              <w:keepNext w:val="0"/>
              <w:keepLines w:val="0"/>
              <w:ind w:left="284"/>
              <w:rPr>
                <w:rFonts w:eastAsia="Calibri"/>
                <w:color w:val="auto"/>
              </w:rPr>
            </w:pPr>
            <w:r w:rsidRPr="00261B7A">
              <w:rPr>
                <w:rFonts w:eastAsia="Calibri"/>
                <w:color w:val="auto"/>
              </w:rPr>
              <w:t>Geothermal methodology for Company B</w:t>
            </w:r>
          </w:p>
          <w:p w14:paraId="6CAF43AF" w14:textId="77777777" w:rsidR="009F5DA6" w:rsidRPr="00261B7A" w:rsidRDefault="009F5DA6" w:rsidP="00D41492">
            <w:pPr>
              <w:pStyle w:val="BodyText"/>
              <w:ind w:left="284" w:right="284"/>
              <w:rPr>
                <w:rFonts w:eastAsia="Calibri" w:cs="Calibri"/>
                <w:sz w:val="20"/>
              </w:rPr>
            </w:pPr>
            <w:r w:rsidRPr="00261B7A">
              <w:rPr>
                <w:rFonts w:eastAsia="Calibri" w:cs="Calibri"/>
                <w:sz w:val="20"/>
              </w:rPr>
              <w:t xml:space="preserve">At Company B, spot measurements of both </w:t>
            </w:r>
            <w:r w:rsidRPr="00261B7A">
              <w:rPr>
                <w:rFonts w:cs="Calibri"/>
                <w:sz w:val="20"/>
              </w:rPr>
              <w:t>CO</w:t>
            </w:r>
            <w:r w:rsidRPr="00261B7A">
              <w:rPr>
                <w:rFonts w:cs="Calibri"/>
                <w:sz w:val="20"/>
                <w:vertAlign w:val="subscript"/>
              </w:rPr>
              <w:t>2</w:t>
            </w:r>
            <w:r w:rsidRPr="00261B7A">
              <w:rPr>
                <w:rFonts w:eastAsia="Calibri" w:cs="Calibri"/>
                <w:sz w:val="20"/>
              </w:rPr>
              <w:t xml:space="preserve"> and </w:t>
            </w:r>
            <w:r w:rsidRPr="00261B7A">
              <w:rPr>
                <w:rFonts w:cs="Calibri"/>
                <w:sz w:val="20"/>
              </w:rPr>
              <w:t>CH</w:t>
            </w:r>
            <w:r w:rsidRPr="00261B7A">
              <w:rPr>
                <w:rFonts w:cs="Calibri"/>
                <w:sz w:val="20"/>
                <w:vertAlign w:val="subscript"/>
              </w:rPr>
              <w:t>4</w:t>
            </w:r>
            <w:r w:rsidRPr="00261B7A">
              <w:rPr>
                <w:rFonts w:eastAsia="Calibri" w:cs="Calibri"/>
                <w:sz w:val="20"/>
              </w:rPr>
              <w:t xml:space="preserve"> concentrations are taken at the inlet steam when the power stations are operating normally. The net megawatt hours of electricity generated that day are then used to calculate the emission factor. This implied emission factor is then multiplied by the annual amount of electricity generated to work out the annual emissions for each power station.</w:t>
            </w:r>
          </w:p>
        </w:tc>
      </w:tr>
    </w:tbl>
    <w:p w14:paraId="00D14A36" w14:textId="77777777" w:rsidR="00163C3D" w:rsidRPr="00261B7A" w:rsidRDefault="00163C3D" w:rsidP="00653C53">
      <w:pPr>
        <w:pStyle w:val="BodyText"/>
        <w:spacing w:before="0"/>
      </w:pPr>
      <w:bookmarkStart w:id="415" w:name="_Ref442370730"/>
      <w:bookmarkStart w:id="416" w:name="_Toc321399339"/>
      <w:bookmarkStart w:id="417" w:name="_Toc384582868"/>
      <w:bookmarkStart w:id="418" w:name="_Toc443060827"/>
      <w:bookmarkStart w:id="419" w:name="_Toc447275684"/>
      <w:bookmarkStart w:id="420" w:name="_Toc481752001"/>
      <w:bookmarkStart w:id="421" w:name="_Toc36292781"/>
      <w:bookmarkStart w:id="422" w:name="_Toc68786646"/>
      <w:bookmarkStart w:id="423" w:name="_Toc95834081"/>
    </w:p>
    <w:p w14:paraId="1362286F" w14:textId="5F49AFF5" w:rsidR="00053E51" w:rsidRPr="00261B7A" w:rsidRDefault="00053E51" w:rsidP="00053E51">
      <w:pPr>
        <w:pStyle w:val="Figure"/>
        <w:spacing w:after="60"/>
        <w:rPr>
          <w:rFonts w:cs="Calibri"/>
        </w:rPr>
      </w:pPr>
      <w:bookmarkStart w:id="424" w:name="_Toc131591548"/>
      <w:r w:rsidRPr="00261B7A">
        <w:rPr>
          <w:rFonts w:cs="Calibri"/>
        </w:rPr>
        <w:t>Figure 3.4.</w:t>
      </w:r>
      <w:r w:rsidRPr="00261B7A">
        <w:rPr>
          <w:rFonts w:cs="Calibri"/>
        </w:rPr>
        <w:fldChar w:fldCharType="begin"/>
      </w:r>
      <w:r w:rsidRPr="00261B7A">
        <w:rPr>
          <w:rFonts w:cs="Calibri"/>
        </w:rPr>
        <w:instrText xml:space="preserve"> SEQ Figure \* ARABIC \s 2 </w:instrText>
      </w:r>
      <w:r w:rsidRPr="00261B7A">
        <w:rPr>
          <w:rFonts w:cs="Calibri"/>
        </w:rPr>
        <w:fldChar w:fldCharType="separate"/>
      </w:r>
      <w:r w:rsidR="008F39B8">
        <w:rPr>
          <w:rFonts w:cs="Calibri"/>
          <w:noProof/>
        </w:rPr>
        <w:t>1</w:t>
      </w:r>
      <w:r w:rsidRPr="00261B7A">
        <w:rPr>
          <w:rFonts w:cs="Calibri"/>
        </w:rPr>
        <w:fldChar w:fldCharType="end"/>
      </w:r>
      <w:bookmarkEnd w:id="415"/>
      <w:r w:rsidRPr="00261B7A">
        <w:rPr>
          <w:rFonts w:cs="Calibri"/>
        </w:rPr>
        <w:t xml:space="preserve"> </w:t>
      </w:r>
      <w:r w:rsidRPr="00261B7A">
        <w:rPr>
          <w:rFonts w:cs="Calibri"/>
        </w:rPr>
        <w:tab/>
        <w:t xml:space="preserve">Schematic diagram of the use of geothermal fluid for electricity generation – as </w:t>
      </w:r>
      <w:r w:rsidRPr="00261B7A">
        <w:rPr>
          <w:rFonts w:cs="Calibri"/>
          <w:spacing w:val="-2"/>
        </w:rPr>
        <w:t>at Wairakei and Ohaaki geothermal stations (New Zealand Institute of Chemistry, 1998)</w:t>
      </w:r>
      <w:bookmarkEnd w:id="416"/>
      <w:bookmarkEnd w:id="417"/>
      <w:bookmarkEnd w:id="418"/>
      <w:bookmarkEnd w:id="419"/>
      <w:bookmarkEnd w:id="420"/>
      <w:bookmarkEnd w:id="421"/>
      <w:bookmarkEnd w:id="422"/>
      <w:bookmarkEnd w:id="423"/>
      <w:bookmarkEnd w:id="424"/>
    </w:p>
    <w:p w14:paraId="37B5E046" w14:textId="77777777" w:rsidR="00053E51" w:rsidRPr="00261B7A" w:rsidRDefault="00053E51" w:rsidP="00053E51">
      <w:pPr>
        <w:pStyle w:val="BodyText"/>
        <w:spacing w:before="80"/>
        <w:jc w:val="center"/>
        <w:rPr>
          <w:rFonts w:cs="Calibri"/>
        </w:rPr>
      </w:pPr>
      <w:r w:rsidRPr="00261B7A">
        <w:rPr>
          <w:rFonts w:cs="Calibri"/>
        </w:rPr>
        <w:object w:dxaOrig="8557" w:dyaOrig="8011" w14:anchorId="57773612">
          <v:shape id="_x0000_i1031" type="#_x0000_t75" style="width:320pt;height:307pt" o:ole="">
            <v:imagedata r:id="rId85" o:title=""/>
          </v:shape>
          <o:OLEObject Type="Embed" ProgID="Visio.Drawing.11" ShapeID="_x0000_i1031" DrawAspect="Content" ObjectID="_1742911570" r:id="rId86"/>
        </w:object>
      </w:r>
    </w:p>
    <w:p w14:paraId="5769AEE0" w14:textId="77777777" w:rsidR="00053E51" w:rsidRPr="00261B7A" w:rsidRDefault="00053E51" w:rsidP="00D01D04">
      <w:pPr>
        <w:pStyle w:val="BodyText"/>
        <w:spacing w:before="180" w:after="100"/>
        <w:rPr>
          <w:rFonts w:cs="Calibri"/>
        </w:rPr>
      </w:pPr>
      <w:r w:rsidRPr="00261B7A">
        <w:rPr>
          <w:rFonts w:cs="Calibri"/>
        </w:rPr>
        <w:t>Emissions from geothermal activities have stepped up incrementally over time. These increases are driven by an increase in geothermal emissions related to electricity generation, particularly with the additions of the 100 MW Kawerau geothermal plant since late 2008, Nga Awa Purua and Te Huka since 2010, Ngatamariki since 2013 and Te Mihi since 2014.</w:t>
      </w:r>
    </w:p>
    <w:p w14:paraId="0C66B23A" w14:textId="77777777" w:rsidR="00053E51" w:rsidRPr="00261B7A" w:rsidRDefault="00053E51" w:rsidP="00053E51">
      <w:pPr>
        <w:pStyle w:val="BodyText"/>
        <w:spacing w:before="100" w:after="100"/>
        <w:rPr>
          <w:rFonts w:cs="Calibri"/>
          <w:lang w:eastAsia="en-GB"/>
        </w:rPr>
      </w:pPr>
      <w:r w:rsidRPr="00261B7A">
        <w:rPr>
          <w:rFonts w:cs="Calibri"/>
          <w:lang w:eastAsia="en-GB"/>
        </w:rPr>
        <w:t xml:space="preserve">The schedules to the Climate Change Response Act 2002 create obligations for people carrying out certain activities to report greenhouse gas emissions as part of the NZ ETS. The Climate Change (Stationary Energy and Industrial Processes) Regulations 2009 and Climate Change (Liquid Fossil Fuels) Amendment Regulations 2009 set out the data collection requirements and methods for participants in those sectors to calculate their emissions, including prescribed default emission factors. </w:t>
      </w:r>
    </w:p>
    <w:p w14:paraId="5AD00F4B" w14:textId="77777777" w:rsidR="00053E51" w:rsidRPr="00261B7A" w:rsidRDefault="00053E51" w:rsidP="00053E51">
      <w:pPr>
        <w:pStyle w:val="BodyText"/>
        <w:spacing w:before="100" w:after="100"/>
      </w:pPr>
      <w:r w:rsidRPr="00261B7A">
        <w:rPr>
          <w:rFonts w:cs="Calibri"/>
          <w:lang w:eastAsia="en-GB"/>
        </w:rPr>
        <w:t xml:space="preserve">The Climate Change (Unique Emissions Factors) Regulations 2009 outline requirements for participants in certain sectors to calculate a unique emission factor (UEF) and apply for approval to use it in place of a default emission factor to calculate and report on emissions. Users of geothermal fluid are eligible to apply for a UEF. </w:t>
      </w:r>
    </w:p>
    <w:p w14:paraId="7AE7A13C" w14:textId="77777777" w:rsidR="00053E51" w:rsidRPr="00261B7A" w:rsidRDefault="00053E51" w:rsidP="00053E51">
      <w:pPr>
        <w:pStyle w:val="BodyText"/>
        <w:spacing w:before="100" w:after="100"/>
        <w:rPr>
          <w:rFonts w:cs="Calibri"/>
          <w:lang w:eastAsia="en-GB"/>
        </w:rPr>
      </w:pPr>
      <w:r w:rsidRPr="00261B7A">
        <w:rPr>
          <w:rFonts w:cs="Calibri"/>
          <w:lang w:eastAsia="en-GB"/>
        </w:rPr>
        <w:t xml:space="preserve">Operators could first apply for UEFs in 2010. MBIE received five applications relating to the use of UEFs for geothermal fluid for that calendar year. These five UEFs were approved and then adopted for the inventory after careful assessment of the impact on the level of emissions and the time-series consistency. </w:t>
      </w:r>
    </w:p>
    <w:p w14:paraId="232177B4" w14:textId="77777777" w:rsidR="00053E51" w:rsidRPr="00261B7A" w:rsidRDefault="00053E51" w:rsidP="00053E51">
      <w:pPr>
        <w:pStyle w:val="BodyText"/>
        <w:spacing w:before="100" w:after="100"/>
        <w:rPr>
          <w:rFonts w:cs="Calibri"/>
          <w:lang w:eastAsia="en-GB"/>
        </w:rPr>
      </w:pPr>
      <w:r w:rsidRPr="00261B7A">
        <w:rPr>
          <w:rFonts w:cs="Calibri"/>
          <w:lang w:eastAsia="en-GB"/>
        </w:rPr>
        <w:t>Because 2010 was the introduction year, MBIE made a judgement that the UEF would apply only to years for which sufficient data are available, that is, from 2010 onward. This submission continues with this approach. From 1990 to 2009, emissions are calculated using field-specific default emission factors. Emissions from 2010 onwards are calculated using UEFs where available and field-specific default emission factors otherwise.</w:t>
      </w:r>
    </w:p>
    <w:p w14:paraId="5D992E78" w14:textId="55FA0670" w:rsidR="00053E51" w:rsidRPr="00261B7A" w:rsidRDefault="00053E51" w:rsidP="00053E51">
      <w:pPr>
        <w:pStyle w:val="BodyText"/>
      </w:pPr>
      <w:r w:rsidRPr="00261B7A">
        <w:rPr>
          <w:rFonts w:cs="Calibri"/>
          <w:lang w:eastAsia="en-GB"/>
        </w:rPr>
        <w:t>When several years of UEF data are available for comparison, the 1990 to 2009 emission factors for each affected field will be reviewed.</w:t>
      </w:r>
    </w:p>
    <w:p w14:paraId="0223D1C5" w14:textId="26106255" w:rsidR="009F5DA6" w:rsidRPr="00261B7A" w:rsidRDefault="009F5DA6" w:rsidP="00EB0B7A">
      <w:pPr>
        <w:pStyle w:val="Heading4"/>
        <w:spacing w:before="360"/>
      </w:pPr>
      <w:r w:rsidRPr="00261B7A">
        <w:t>Activity data</w:t>
      </w:r>
    </w:p>
    <w:p w14:paraId="33332C43" w14:textId="77777777" w:rsidR="009F5DA6" w:rsidRPr="00261B7A" w:rsidRDefault="009F5DA6" w:rsidP="009F5DA6">
      <w:pPr>
        <w:pStyle w:val="Heading5"/>
        <w:spacing w:before="160"/>
        <w:rPr>
          <w:rFonts w:cs="Calibri"/>
          <w:lang w:eastAsia="en-GB"/>
        </w:rPr>
      </w:pPr>
      <w:r w:rsidRPr="00261B7A">
        <w:rPr>
          <w:rFonts w:cs="Calibri"/>
          <w:lang w:eastAsia="en-GB"/>
        </w:rPr>
        <w:t>1.B.2.a.1 Exploration</w:t>
      </w:r>
    </w:p>
    <w:p w14:paraId="4D35DAF0" w14:textId="77777777" w:rsidR="009F5DA6" w:rsidRPr="00261B7A" w:rsidRDefault="009F5DA6" w:rsidP="009F5DA6">
      <w:pPr>
        <w:pStyle w:val="BodyText"/>
        <w:spacing w:before="100" w:after="100"/>
        <w:rPr>
          <w:rFonts w:cs="Calibri"/>
          <w:lang w:eastAsia="en-GB"/>
        </w:rPr>
      </w:pPr>
      <w:r w:rsidRPr="00261B7A">
        <w:rPr>
          <w:rFonts w:cs="Calibri"/>
          <w:lang w:eastAsia="en-GB"/>
        </w:rPr>
        <w:t>Activity data are the number of wells drilled in each year as reported by New Zealand Petroleum and Minerals (MBIE, 2022). Data were only available for the years from 2001 onwards, so estimates were made by extrapolation for the years preceding 2001.</w:t>
      </w:r>
    </w:p>
    <w:p w14:paraId="261CF671" w14:textId="77777777" w:rsidR="009F5DA6" w:rsidRPr="00261B7A" w:rsidRDefault="009F5DA6" w:rsidP="009F5DA6">
      <w:pPr>
        <w:pStyle w:val="Heading5"/>
        <w:rPr>
          <w:rFonts w:cs="Calibri"/>
          <w:lang w:eastAsia="en-GB"/>
        </w:rPr>
      </w:pPr>
      <w:r w:rsidRPr="00261B7A">
        <w:rPr>
          <w:rFonts w:cs="Calibri"/>
          <w:lang w:eastAsia="en-GB"/>
        </w:rPr>
        <w:t>1.B.2.a.3 Transport</w:t>
      </w:r>
    </w:p>
    <w:p w14:paraId="40270AF1" w14:textId="77777777" w:rsidR="009F5DA6" w:rsidRPr="00261B7A" w:rsidRDefault="009F5DA6" w:rsidP="009F5DA6">
      <w:pPr>
        <w:pStyle w:val="BodyText"/>
        <w:spacing w:before="100" w:after="100"/>
        <w:rPr>
          <w:rFonts w:cs="Calibri"/>
        </w:rPr>
      </w:pPr>
      <w:r w:rsidRPr="00261B7A">
        <w:rPr>
          <w:rFonts w:cs="Calibri"/>
          <w:lang w:eastAsia="en-GB"/>
        </w:rPr>
        <w:t xml:space="preserve">The activity data are New Zealand’s total production of crude oil (MBIE, 2022). </w:t>
      </w:r>
    </w:p>
    <w:p w14:paraId="34DB9ABD" w14:textId="77777777" w:rsidR="009F5DA6" w:rsidRPr="00261B7A" w:rsidRDefault="009F5DA6" w:rsidP="009F5DA6">
      <w:pPr>
        <w:pStyle w:val="Heading5"/>
        <w:rPr>
          <w:rFonts w:cs="Calibri"/>
          <w:lang w:eastAsia="en-GB"/>
        </w:rPr>
      </w:pPr>
      <w:r w:rsidRPr="00261B7A">
        <w:rPr>
          <w:rFonts w:cs="Calibri"/>
          <w:lang w:eastAsia="en-GB"/>
        </w:rPr>
        <w:t>1.B.2.a.4 Refining</w:t>
      </w:r>
    </w:p>
    <w:p w14:paraId="67CC20AC"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Activity data are total intake at New Zealand’s sole oil refinery (MBIE, 2022). </w:t>
      </w:r>
    </w:p>
    <w:p w14:paraId="1D0E426D" w14:textId="77777777" w:rsidR="009F5DA6" w:rsidRPr="00261B7A" w:rsidRDefault="009F5DA6" w:rsidP="009F5DA6">
      <w:pPr>
        <w:pStyle w:val="Heading5"/>
        <w:rPr>
          <w:rFonts w:cs="Calibri"/>
          <w:lang w:eastAsia="en-GB"/>
        </w:rPr>
      </w:pPr>
      <w:r w:rsidRPr="00261B7A">
        <w:rPr>
          <w:rFonts w:cs="Calibri"/>
          <w:lang w:eastAsia="en-GB"/>
        </w:rPr>
        <w:t>1.B.2.a.5 Distribution of oil products</w:t>
      </w:r>
    </w:p>
    <w:p w14:paraId="4716FE34" w14:textId="77777777" w:rsidR="009F5DA6" w:rsidRPr="00261B7A" w:rsidRDefault="009F5DA6" w:rsidP="009F5DA6">
      <w:pPr>
        <w:pStyle w:val="BodyText"/>
        <w:spacing w:before="100" w:after="100"/>
        <w:rPr>
          <w:rFonts w:cs="Calibri"/>
          <w:lang w:eastAsia="en-GB"/>
        </w:rPr>
      </w:pPr>
      <w:r w:rsidRPr="00261B7A">
        <w:rPr>
          <w:rFonts w:cs="Calibri"/>
          <w:lang w:eastAsia="en-GB"/>
        </w:rPr>
        <w:t>Activity data are New Zealand’s total consumption of gasoline (MBIE, 2022).</w:t>
      </w:r>
    </w:p>
    <w:p w14:paraId="5822E9FB" w14:textId="77777777" w:rsidR="009F5DA6" w:rsidRPr="00261B7A" w:rsidRDefault="009F5DA6" w:rsidP="009F5DA6">
      <w:pPr>
        <w:pStyle w:val="Heading5"/>
        <w:rPr>
          <w:rFonts w:cs="Calibri"/>
          <w:lang w:eastAsia="en-GB"/>
        </w:rPr>
      </w:pPr>
      <w:r w:rsidRPr="00261B7A">
        <w:rPr>
          <w:rFonts w:cs="Calibri"/>
          <w:lang w:eastAsia="en-GB"/>
        </w:rPr>
        <w:t>1.B.2.b.3 Processing</w:t>
      </w:r>
    </w:p>
    <w:p w14:paraId="4E771AE6" w14:textId="77777777" w:rsidR="009F5DA6" w:rsidRPr="00261B7A" w:rsidRDefault="009F5DA6" w:rsidP="009F5DA6">
      <w:pPr>
        <w:pStyle w:val="BodyText"/>
        <w:spacing w:before="100" w:after="100"/>
        <w:rPr>
          <w:rFonts w:cs="Calibri"/>
          <w:lang w:eastAsia="en-GB"/>
        </w:rPr>
      </w:pPr>
      <w:r w:rsidRPr="00261B7A">
        <w:rPr>
          <w:rFonts w:cs="Calibri"/>
          <w:lang w:eastAsia="en-GB"/>
        </w:rPr>
        <w:t>Venting of CO</w:t>
      </w:r>
      <w:r w:rsidRPr="00261B7A">
        <w:rPr>
          <w:rFonts w:cs="Calibri"/>
          <w:vertAlign w:val="subscript"/>
          <w:lang w:eastAsia="en-GB"/>
        </w:rPr>
        <w:t>2</w:t>
      </w:r>
      <w:r w:rsidRPr="00261B7A">
        <w:rPr>
          <w:rFonts w:cs="Calibri"/>
          <w:lang w:eastAsia="en-GB"/>
        </w:rPr>
        <w:t xml:space="preserve"> is reported under 1.B.2.c.2, in accordance with a previous ERT recommendation. No activity data are available.</w:t>
      </w:r>
    </w:p>
    <w:p w14:paraId="4A4FC5CB" w14:textId="77777777" w:rsidR="009F5DA6" w:rsidRPr="00261B7A" w:rsidRDefault="009F5DA6" w:rsidP="009F5DA6">
      <w:pPr>
        <w:pStyle w:val="Heading5"/>
        <w:rPr>
          <w:rFonts w:cs="Calibri"/>
          <w:lang w:eastAsia="en-GB"/>
        </w:rPr>
      </w:pPr>
      <w:r w:rsidRPr="00261B7A">
        <w:rPr>
          <w:rFonts w:cs="Calibri"/>
          <w:lang w:eastAsia="en-GB"/>
        </w:rPr>
        <w:t>1.B.2.b.4 Transmission and 1.B.2.b.5 Distribution</w:t>
      </w:r>
    </w:p>
    <w:p w14:paraId="7163C739" w14:textId="77777777" w:rsidR="009F5DA6" w:rsidRPr="00261B7A" w:rsidRDefault="009F5DA6" w:rsidP="009F5DA6">
      <w:pPr>
        <w:pStyle w:val="BodyText"/>
        <w:spacing w:before="100" w:after="100"/>
        <w:rPr>
          <w:rFonts w:cs="Calibri"/>
          <w:lang w:eastAsia="en-GB"/>
        </w:rPr>
      </w:pPr>
      <w:r w:rsidRPr="00261B7A">
        <w:rPr>
          <w:rFonts w:cs="Calibri"/>
          <w:lang w:eastAsia="en-GB"/>
        </w:rPr>
        <w:t xml:space="preserve">Carbon dioxide and </w:t>
      </w:r>
      <w:r w:rsidRPr="00261B7A">
        <w:rPr>
          <w:rFonts w:cs="Calibri"/>
        </w:rPr>
        <w:t>CH</w:t>
      </w:r>
      <w:r w:rsidRPr="00261B7A">
        <w:rPr>
          <w:rFonts w:cs="Calibri"/>
          <w:vertAlign w:val="subscript"/>
        </w:rPr>
        <w:t>4</w:t>
      </w:r>
      <w:r w:rsidRPr="00261B7A">
        <w:rPr>
          <w:rFonts w:cs="Calibri"/>
          <w:sz w:val="14"/>
          <w:szCs w:val="14"/>
          <w:lang w:eastAsia="en-GB"/>
        </w:rPr>
        <w:t xml:space="preserve"> </w:t>
      </w:r>
      <w:r w:rsidRPr="00261B7A">
        <w:rPr>
          <w:rFonts w:cs="Calibri"/>
          <w:lang w:eastAsia="en-GB"/>
        </w:rPr>
        <w:t xml:space="preserve">emissions from gas leakage mainly occur from low-pressure distribution pipelines rather than from high-pressure transmission pipelines. Emissions from transmission and distribution are reported separately. </w:t>
      </w:r>
    </w:p>
    <w:p w14:paraId="1BDEC4AE" w14:textId="77777777" w:rsidR="009F5DA6" w:rsidRPr="00261B7A" w:rsidRDefault="009F5DA6" w:rsidP="009F5DA6">
      <w:pPr>
        <w:pStyle w:val="BodyText"/>
        <w:spacing w:before="100" w:after="100"/>
        <w:rPr>
          <w:rFonts w:cs="Calibri"/>
        </w:rPr>
      </w:pPr>
      <w:r w:rsidRPr="00261B7A">
        <w:rPr>
          <w:rFonts w:cs="Calibri"/>
          <w:lang w:eastAsia="en-GB"/>
        </w:rPr>
        <w:t>Emissions from the high-pressure transmission system were provided by the system operator. N</w:t>
      </w:r>
      <w:r w:rsidRPr="00261B7A">
        <w:rPr>
          <w:rFonts w:cs="Calibri"/>
        </w:rPr>
        <w:t>atural gas transmission losses included both direct leakage of CH</w:t>
      </w:r>
      <w:r w:rsidRPr="00261B7A">
        <w:rPr>
          <w:rFonts w:cs="Calibri"/>
          <w:vertAlign w:val="subscript"/>
        </w:rPr>
        <w:t>4</w:t>
      </w:r>
      <w:r w:rsidRPr="00261B7A">
        <w:rPr>
          <w:rFonts w:cs="Calibri"/>
        </w:rPr>
        <w:t xml:space="preserve"> and CO</w:t>
      </w:r>
      <w:r w:rsidRPr="00261B7A">
        <w:rPr>
          <w:rFonts w:cs="Calibri"/>
          <w:vertAlign w:val="subscript"/>
        </w:rPr>
        <w:t>2</w:t>
      </w:r>
      <w:r w:rsidRPr="00261B7A">
        <w:rPr>
          <w:rFonts w:cs="Calibri"/>
        </w:rPr>
        <w:t xml:space="preserve"> and gas lost and/or used when starting lines compressors. Data are provided for gigajoules (GJ) of CH</w:t>
      </w:r>
      <w:r w:rsidRPr="00261B7A">
        <w:rPr>
          <w:rFonts w:cs="Calibri"/>
          <w:vertAlign w:val="subscript"/>
        </w:rPr>
        <w:t>4</w:t>
      </w:r>
      <w:r w:rsidRPr="00261B7A">
        <w:rPr>
          <w:rFonts w:cs="Calibri"/>
        </w:rPr>
        <w:t xml:space="preserve"> and tonnes of CO</w:t>
      </w:r>
      <w:r w:rsidRPr="00261B7A">
        <w:rPr>
          <w:rFonts w:cs="Calibri"/>
          <w:vertAlign w:val="subscript"/>
        </w:rPr>
        <w:t>2</w:t>
      </w:r>
      <w:r w:rsidRPr="00261B7A">
        <w:rPr>
          <w:rFonts w:cs="Calibri"/>
        </w:rPr>
        <w:t>. Gigajoules of CH</w:t>
      </w:r>
      <w:r w:rsidRPr="00261B7A">
        <w:rPr>
          <w:rFonts w:cs="Calibri"/>
          <w:vertAlign w:val="subscript"/>
        </w:rPr>
        <w:t>4</w:t>
      </w:r>
      <w:r w:rsidRPr="00261B7A">
        <w:rPr>
          <w:rFonts w:cs="Calibri"/>
        </w:rPr>
        <w:t xml:space="preserve"> are converted to tonnes of CH</w:t>
      </w:r>
      <w:r w:rsidRPr="00261B7A">
        <w:rPr>
          <w:rFonts w:cs="Calibri"/>
          <w:vertAlign w:val="subscript"/>
        </w:rPr>
        <w:t>4</w:t>
      </w:r>
      <w:r w:rsidRPr="00261B7A">
        <w:rPr>
          <w:rFonts w:cs="Calibri"/>
        </w:rPr>
        <w:t xml:space="preserve"> using the conversion factor of 55.6 GJ/t. New Zealand has a high-pressure transmission network nearly 3,500 kilometres in length. It joins most North Island cities (reticulated natural gas in New Zealand is available only in the North Island). No time series of the total length of the transmission lines is available; however, expert opinion is that it would have been nearly constant since 1990.</w:t>
      </w:r>
    </w:p>
    <w:p w14:paraId="4C2BFB23" w14:textId="77777777" w:rsidR="009F5DA6" w:rsidRPr="00261B7A" w:rsidRDefault="009F5DA6" w:rsidP="009F5DA6">
      <w:pPr>
        <w:pStyle w:val="BodyText"/>
        <w:spacing w:before="100" w:after="100"/>
        <w:rPr>
          <w:rFonts w:cs="Calibri"/>
        </w:rPr>
      </w:pPr>
      <w:r w:rsidRPr="00261B7A">
        <w:rPr>
          <w:rFonts w:cs="Calibri"/>
          <w:spacing w:val="-2"/>
        </w:rPr>
        <w:t>New Zealand bases distribution loss emissions on information about gas entering the distribution</w:t>
      </w:r>
      <w:r w:rsidRPr="00261B7A">
        <w:rPr>
          <w:rFonts w:cs="Calibri"/>
        </w:rPr>
        <w:t xml:space="preserve"> network, which is administrative data collected at the ‘gas gate’ by the gas industry regulator (the Gas Industry Company Ltd). It does not follow the alternative approach of using survey information collected from gas retailers on the amount of gas sold and metered at the individual customer (household, small business) level.</w:t>
      </w:r>
    </w:p>
    <w:p w14:paraId="4E4E42D5" w14:textId="77777777" w:rsidR="009F5DA6" w:rsidRPr="00261B7A" w:rsidRDefault="009F5DA6" w:rsidP="009F5DA6">
      <w:pPr>
        <w:pStyle w:val="BodyText"/>
        <w:spacing w:before="100" w:after="100"/>
        <w:rPr>
          <w:lang w:eastAsia="en-GB"/>
        </w:rPr>
      </w:pPr>
      <w:r w:rsidRPr="00261B7A">
        <w:rPr>
          <w:lang w:eastAsia="en-GB"/>
        </w:rPr>
        <w:t>For this submission, New Zealand has implemented an improvement to the estimation of leakage from distribution networks, moving from a Tier 1 methodology to using more accurate industry data derived from models that represent a Tier 3 approach. Further details are given below under ‘Source-specific revisions and improvements’.</w:t>
      </w:r>
    </w:p>
    <w:p w14:paraId="2B66CC68" w14:textId="77777777" w:rsidR="009F5DA6" w:rsidRPr="00261B7A" w:rsidRDefault="009F5DA6" w:rsidP="009F5DA6">
      <w:pPr>
        <w:pStyle w:val="Heading5"/>
        <w:rPr>
          <w:rFonts w:cs="Calibri"/>
          <w:lang w:eastAsia="en-GB"/>
        </w:rPr>
      </w:pPr>
      <w:r w:rsidRPr="00261B7A">
        <w:rPr>
          <w:rFonts w:cs="Calibri"/>
          <w:lang w:eastAsia="en-GB"/>
        </w:rPr>
        <w:t xml:space="preserve">1.B.2.b.4 Natural gas storage </w:t>
      </w:r>
    </w:p>
    <w:p w14:paraId="21BC8242" w14:textId="77777777" w:rsidR="009F5DA6" w:rsidRPr="00261B7A" w:rsidRDefault="009F5DA6" w:rsidP="009F5DA6">
      <w:pPr>
        <w:pStyle w:val="BodyText"/>
        <w:spacing w:before="100" w:after="100"/>
        <w:rPr>
          <w:rFonts w:cs="Calibri"/>
        </w:rPr>
      </w:pPr>
      <w:r w:rsidRPr="00261B7A">
        <w:rPr>
          <w:rFonts w:cs="Calibri"/>
        </w:rPr>
        <w:t xml:space="preserve">Natural gas storage occurs at the Ahuroa gas storage facility. Ahuroa is a depleted gas field that can hold 5-10 PJ of natural gas at any one point. A significant portion of this gas is used to run Contact Energy’s Stratford gas peaking plant, which consists of two 100 MW open cycle gas turbine units. </w:t>
      </w:r>
    </w:p>
    <w:p w14:paraId="57DDD499" w14:textId="77777777" w:rsidR="009F5DA6" w:rsidRPr="00261B7A" w:rsidRDefault="009F5DA6" w:rsidP="009F5DA6">
      <w:pPr>
        <w:pStyle w:val="Heading5"/>
        <w:rPr>
          <w:rFonts w:cs="Calibri"/>
          <w:lang w:eastAsia="en-GB"/>
        </w:rPr>
      </w:pPr>
      <w:r w:rsidRPr="00261B7A">
        <w:rPr>
          <w:rFonts w:cs="Calibri"/>
          <w:lang w:eastAsia="en-GB"/>
        </w:rPr>
        <w:t>1.B.2.c Venting and fla</w:t>
      </w:r>
      <w:r w:rsidRPr="00261B7A">
        <w:rPr>
          <w:rFonts w:cs="Calibri"/>
        </w:rPr>
        <w:t>r</w:t>
      </w:r>
      <w:r w:rsidRPr="00261B7A">
        <w:rPr>
          <w:rFonts w:cs="Calibri"/>
          <w:lang w:eastAsia="en-GB"/>
        </w:rPr>
        <w:t>ing</w:t>
      </w:r>
    </w:p>
    <w:p w14:paraId="7431DB61" w14:textId="77777777" w:rsidR="009F5DA6" w:rsidRPr="00261B7A" w:rsidRDefault="009F5DA6" w:rsidP="009F5DA6">
      <w:pPr>
        <w:pStyle w:val="BodyText"/>
        <w:spacing w:before="100"/>
        <w:rPr>
          <w:rFonts w:cs="Calibri"/>
          <w:lang w:eastAsia="en-GB"/>
        </w:rPr>
      </w:pPr>
      <w:r w:rsidRPr="00261B7A">
        <w:rPr>
          <w:rFonts w:cs="Calibri"/>
          <w:lang w:eastAsia="en-GB"/>
        </w:rPr>
        <w:t xml:space="preserve">Data on </w:t>
      </w:r>
      <w:r w:rsidRPr="00261B7A">
        <w:rPr>
          <w:rFonts w:cs="Calibri"/>
        </w:rPr>
        <w:t xml:space="preserve">natural </w:t>
      </w:r>
      <w:r w:rsidRPr="00261B7A">
        <w:rPr>
          <w:rFonts w:cs="Calibri"/>
          <w:lang w:eastAsia="en-GB"/>
        </w:rPr>
        <w:t xml:space="preserve">gas flaring, losses, own use are reported directly by gas field operators. </w:t>
      </w:r>
    </w:p>
    <w:p w14:paraId="37BA045C" w14:textId="77777777" w:rsidR="009F5DA6" w:rsidRPr="00261B7A" w:rsidRDefault="009F5DA6" w:rsidP="009F5DA6">
      <w:pPr>
        <w:pStyle w:val="BodyText"/>
        <w:spacing w:before="100"/>
        <w:rPr>
          <w:rFonts w:cs="Calibri"/>
          <w:lang w:eastAsia="en-GB"/>
        </w:rPr>
      </w:pPr>
      <w:r w:rsidRPr="00261B7A">
        <w:rPr>
          <w:rFonts w:cs="Calibri"/>
          <w:lang w:eastAsia="en-GB"/>
        </w:rPr>
        <w:t xml:space="preserve">The operator of the Kapuni Gas Treatment Plant supplies estimates of </w:t>
      </w:r>
      <w:r w:rsidRPr="00261B7A">
        <w:rPr>
          <w:rFonts w:cs="Calibri"/>
        </w:rPr>
        <w:t>CO</w:t>
      </w:r>
      <w:r w:rsidRPr="00261B7A">
        <w:rPr>
          <w:rFonts w:cs="Calibri"/>
          <w:vertAlign w:val="subscript"/>
        </w:rPr>
        <w:t>2</w:t>
      </w:r>
      <w:r w:rsidRPr="00261B7A">
        <w:rPr>
          <w:rFonts w:cs="Calibri"/>
          <w:lang w:eastAsia="en-GB"/>
        </w:rPr>
        <w:t xml:space="preserve"> vented during the processing of natural gas.</w:t>
      </w:r>
    </w:p>
    <w:p w14:paraId="76461B74" w14:textId="77777777" w:rsidR="009F5DA6" w:rsidRPr="00261B7A" w:rsidRDefault="009F5DA6" w:rsidP="009F5DA6">
      <w:pPr>
        <w:pStyle w:val="BodyText"/>
        <w:spacing w:before="100"/>
        <w:rPr>
          <w:rFonts w:cs="Calibri"/>
          <w:lang w:eastAsia="en-GB"/>
        </w:rPr>
      </w:pPr>
      <w:r w:rsidRPr="00261B7A">
        <w:rPr>
          <w:lang w:eastAsia="en-GB"/>
        </w:rPr>
        <w:t xml:space="preserve">In response to an ERT recommendation, flaring of refinery gas has been reallocated from 1.B.2.a </w:t>
      </w:r>
      <w:r w:rsidRPr="00261B7A">
        <w:rPr>
          <w:i/>
          <w:iCs/>
          <w:lang w:eastAsia="en-GB"/>
        </w:rPr>
        <w:t>Oil</w:t>
      </w:r>
      <w:r w:rsidRPr="00261B7A">
        <w:rPr>
          <w:lang w:eastAsia="en-GB"/>
        </w:rPr>
        <w:t xml:space="preserve"> to 1.B.2.c </w:t>
      </w:r>
      <w:r w:rsidRPr="00261B7A">
        <w:rPr>
          <w:i/>
          <w:iCs/>
          <w:lang w:eastAsia="en-GB"/>
        </w:rPr>
        <w:t>Venting and flaring</w:t>
      </w:r>
      <w:r w:rsidRPr="00261B7A">
        <w:rPr>
          <w:rFonts w:cs="Calibri"/>
          <w:lang w:eastAsia="en-GB"/>
        </w:rPr>
        <w:t>.</w:t>
      </w:r>
    </w:p>
    <w:p w14:paraId="7A982FC4" w14:textId="77777777" w:rsidR="009F5DA6" w:rsidRPr="00261B7A" w:rsidRDefault="009F5DA6" w:rsidP="004C583E">
      <w:pPr>
        <w:pStyle w:val="Heading4"/>
      </w:pPr>
      <w:r w:rsidRPr="00261B7A">
        <w:t>Emission factors</w:t>
      </w:r>
    </w:p>
    <w:p w14:paraId="3B6D7182" w14:textId="77777777" w:rsidR="009F5DA6" w:rsidRPr="00261B7A" w:rsidRDefault="009F5DA6" w:rsidP="009F5DA6">
      <w:pPr>
        <w:pStyle w:val="BodyText"/>
        <w:rPr>
          <w:rFonts w:cs="Calibri"/>
          <w:lang w:eastAsia="en-GB"/>
        </w:rPr>
      </w:pPr>
      <w:r w:rsidRPr="00261B7A">
        <w:rPr>
          <w:rFonts w:cs="Calibri"/>
          <w:lang w:eastAsia="en-GB"/>
        </w:rPr>
        <w:t>Unless noted otherwise, default IPCC emission factors have been used.</w:t>
      </w:r>
    </w:p>
    <w:p w14:paraId="70A85314" w14:textId="77777777" w:rsidR="009F5DA6" w:rsidRPr="00261B7A" w:rsidRDefault="009F5DA6" w:rsidP="004C583E">
      <w:pPr>
        <w:pStyle w:val="Heading4"/>
      </w:pPr>
      <w:r w:rsidRPr="00261B7A">
        <w:t>Uncertainties and time-series consistency</w:t>
      </w:r>
    </w:p>
    <w:p w14:paraId="048811B7" w14:textId="77777777" w:rsidR="009F5DA6" w:rsidRPr="00261B7A" w:rsidRDefault="009F5DA6" w:rsidP="009F5DA6">
      <w:pPr>
        <w:pStyle w:val="BodyText"/>
        <w:rPr>
          <w:rFonts w:cs="Calibri"/>
          <w:lang w:eastAsia="en-GB"/>
        </w:rPr>
      </w:pPr>
      <w:r w:rsidRPr="00261B7A">
        <w:rPr>
          <w:rFonts w:cs="Calibri"/>
          <w:lang w:eastAsia="en-GB"/>
        </w:rPr>
        <w:t>Time-series data from various geothermal fields vary in completeness, and some historical data are not available. Individual geothermal fields each produce varying levels of output and emissions so the overall implied emission factors display a certain amount of natural variation.</w:t>
      </w:r>
    </w:p>
    <w:p w14:paraId="731C5F3C" w14:textId="77777777" w:rsidR="009F5DA6" w:rsidRPr="00261B7A" w:rsidRDefault="009F5DA6" w:rsidP="004C583E">
      <w:pPr>
        <w:pStyle w:val="Heading4"/>
      </w:pPr>
      <w:r w:rsidRPr="00261B7A">
        <w:t>Source-specific QA/QC and verification</w:t>
      </w:r>
    </w:p>
    <w:p w14:paraId="227E851F" w14:textId="77777777" w:rsidR="009F5DA6" w:rsidRPr="00261B7A" w:rsidRDefault="009F5DA6" w:rsidP="009F5DA6">
      <w:pPr>
        <w:pStyle w:val="BodyText"/>
        <w:rPr>
          <w:rFonts w:cs="Calibri"/>
          <w:lang w:eastAsia="en-GB"/>
        </w:rPr>
      </w:pPr>
      <w:r w:rsidRPr="00261B7A">
        <w:rPr>
          <w:rFonts w:cs="Calibri"/>
          <w:lang w:eastAsia="en-GB"/>
        </w:rPr>
        <w:t xml:space="preserve">In the preparation of this inventory, the </w:t>
      </w:r>
      <w:r w:rsidRPr="00261B7A">
        <w:rPr>
          <w:rFonts w:cs="Calibri"/>
          <w:i/>
          <w:lang w:eastAsia="en-GB"/>
        </w:rPr>
        <w:t>Fugitive emissions</w:t>
      </w:r>
      <w:r w:rsidRPr="00261B7A">
        <w:rPr>
          <w:rFonts w:cs="Calibri"/>
          <w:lang w:eastAsia="en-GB"/>
        </w:rPr>
        <w:t xml:space="preserve"> category underwent Tier 1 quality</w:t>
      </w:r>
      <w:r w:rsidRPr="00261B7A">
        <w:rPr>
          <w:rFonts w:cs="Calibri"/>
          <w:lang w:eastAsia="en-GB"/>
        </w:rPr>
        <w:noBreakHyphen/>
        <w:t>assurance and quality-control checks as recommended in the 2006 IPCC Guidelines. These include regular control sums throughout systems, to verify system integrity, and consistency checks of implied emission factors.</w:t>
      </w:r>
    </w:p>
    <w:p w14:paraId="6AC5C7B5" w14:textId="77777777" w:rsidR="009F5DA6" w:rsidRPr="00261B7A" w:rsidRDefault="009F5DA6" w:rsidP="004C583E">
      <w:pPr>
        <w:pStyle w:val="Heading4"/>
      </w:pPr>
      <w:r w:rsidRPr="00261B7A">
        <w:t>Source-specific revisions and improvements</w:t>
      </w:r>
    </w:p>
    <w:p w14:paraId="408B559A" w14:textId="11356F77" w:rsidR="009F5DA6" w:rsidRPr="00261B7A" w:rsidRDefault="009F5DA6" w:rsidP="009F5DA6">
      <w:pPr>
        <w:pStyle w:val="BodyText"/>
        <w:rPr>
          <w:rFonts w:cs="Calibri"/>
          <w:lang w:eastAsia="en-GB"/>
        </w:rPr>
      </w:pPr>
      <w:r w:rsidRPr="00261B7A">
        <w:rPr>
          <w:rFonts w:cs="Calibri"/>
          <w:lang w:eastAsia="en-GB"/>
        </w:rPr>
        <w:t>The methodology used to estimate fugitive emissions from natural gas distribution networks has been revised. The former methodology (Tier 2) used an assumed constant leakage rate of</w:t>
      </w:r>
      <w:r w:rsidR="00EB0B7A" w:rsidRPr="00261B7A">
        <w:rPr>
          <w:rFonts w:cs="Calibri"/>
          <w:lang w:eastAsia="en-GB"/>
        </w:rPr>
        <w:t> </w:t>
      </w:r>
      <w:r w:rsidRPr="00261B7A">
        <w:rPr>
          <w:rFonts w:cs="Calibri"/>
          <w:lang w:eastAsia="en-GB"/>
        </w:rPr>
        <w:t xml:space="preserve">1.75 per cent of total reticulated natural gas. This figure was derived by the Natural Gas Corporation in the mid-1990s and was found to be out of date. Recent engagement with </w:t>
      </w:r>
      <w:r w:rsidRPr="00261B7A">
        <w:rPr>
          <w:rFonts w:cs="Calibri"/>
          <w:spacing w:val="-2"/>
          <w:lang w:eastAsia="en-GB"/>
        </w:rPr>
        <w:t>industry experts has revealed that the current estimate of the leakage rate from the modernised</w:t>
      </w:r>
      <w:r w:rsidRPr="00261B7A">
        <w:rPr>
          <w:rFonts w:cs="Calibri"/>
          <w:lang w:eastAsia="en-GB"/>
        </w:rPr>
        <w:t xml:space="preserve"> distribution pipelines in New Zealand averages 0.35 per cent over the period 2017 to 2021. </w:t>
      </w:r>
    </w:p>
    <w:p w14:paraId="3C5FCFAF" w14:textId="77777777" w:rsidR="009F5DA6" w:rsidRPr="00261B7A" w:rsidRDefault="009F5DA6" w:rsidP="009F5DA6">
      <w:pPr>
        <w:pStyle w:val="BodyText"/>
        <w:rPr>
          <w:rFonts w:cs="Calibri"/>
          <w:lang w:eastAsia="en-GB"/>
        </w:rPr>
      </w:pPr>
      <w:r w:rsidRPr="00261B7A">
        <w:rPr>
          <w:rFonts w:cs="Calibri"/>
          <w:lang w:eastAsia="en-GB"/>
        </w:rPr>
        <w:t>The new estimates from industry represent a Tier 3 approach, using specific emission factors, assessed at the facility level. The industry emissions estimate model has been developed using a best practice MarcoGaz estimating template. It uses internationally published emissions rates (American Petroleum Institute Compendium of emissions rates) combined with company-specific asset knowledge and information to provide a bottom-up approach. Further, the industry is now completing annual asset-level leakage measurements to validate the emissions rates and estimates.</w:t>
      </w:r>
    </w:p>
    <w:p w14:paraId="42AF4524" w14:textId="77777777" w:rsidR="009F5DA6" w:rsidRPr="00261B7A" w:rsidRDefault="009F5DA6" w:rsidP="009F5DA6">
      <w:pPr>
        <w:pStyle w:val="BodyText"/>
        <w:rPr>
          <w:rFonts w:cs="Calibri"/>
          <w:lang w:eastAsia="en-GB"/>
        </w:rPr>
      </w:pPr>
      <w:r w:rsidRPr="00261B7A">
        <w:rPr>
          <w:rFonts w:cs="Calibri"/>
          <w:lang w:eastAsia="en-GB"/>
        </w:rPr>
        <w:t>The Tier 3 methodology detailed above only applies from 2017 onwards. To preserve time-series consistency and avoid a step change between this and the previous method, we have employed data splicing: for previous years where estimates from the Tier 3 models are not yet available, the leakage rate is interpolated back to the 1990 value of 1.75 per cent.</w:t>
      </w:r>
    </w:p>
    <w:p w14:paraId="58FC4461" w14:textId="77777777" w:rsidR="009F5DA6" w:rsidRPr="00261B7A" w:rsidRDefault="009F5DA6" w:rsidP="009F5DA6">
      <w:pPr>
        <w:pStyle w:val="BodyText"/>
        <w:rPr>
          <w:rFonts w:cs="Calibri"/>
          <w:lang w:eastAsia="en-GB"/>
        </w:rPr>
      </w:pPr>
      <w:r w:rsidRPr="00261B7A">
        <w:rPr>
          <w:rFonts w:cs="Calibri"/>
          <w:lang w:eastAsia="en-GB"/>
        </w:rPr>
        <w:t xml:space="preserve">Updated data sourced from field operators have been used to improve the accuracy of emissions estimates for geothermal activities. </w:t>
      </w:r>
    </w:p>
    <w:p w14:paraId="60D80FF5" w14:textId="77777777" w:rsidR="009F5DA6" w:rsidRPr="00261B7A" w:rsidRDefault="009F5DA6" w:rsidP="004C583E">
      <w:pPr>
        <w:pStyle w:val="Heading4"/>
      </w:pPr>
      <w:r w:rsidRPr="00261B7A">
        <w:t>Source-specific planned improvements</w:t>
      </w:r>
    </w:p>
    <w:p w14:paraId="5BE91839" w14:textId="42E0D13D" w:rsidR="009F5DA6" w:rsidRPr="00261B7A" w:rsidRDefault="009F5DA6" w:rsidP="009F5DA6">
      <w:pPr>
        <w:pStyle w:val="BodyText"/>
        <w:rPr>
          <w:rFonts w:cs="Calibri"/>
          <w:lang w:eastAsia="en-GB"/>
        </w:rPr>
      </w:pPr>
      <w:r w:rsidRPr="00261B7A">
        <w:rPr>
          <w:rFonts w:cs="Calibri"/>
          <w:lang w:eastAsia="en-GB"/>
        </w:rPr>
        <w:t>Updated estimates of distribution losses will be incorporated as and when Tier 3 estimates from industry models become available. This is dependent on sufficiently detailed and disaggregated information on the historical state of distribution network infrastructure and</w:t>
      </w:r>
      <w:r w:rsidR="00EB0B7A" w:rsidRPr="00261B7A">
        <w:rPr>
          <w:rFonts w:cs="Calibri"/>
          <w:lang w:eastAsia="en-GB"/>
        </w:rPr>
        <w:t> </w:t>
      </w:r>
      <w:r w:rsidRPr="00261B7A">
        <w:rPr>
          <w:rFonts w:cs="Calibri"/>
          <w:lang w:eastAsia="en-GB"/>
        </w:rPr>
        <w:t xml:space="preserve">assets. </w:t>
      </w:r>
    </w:p>
    <w:p w14:paraId="185323F7" w14:textId="77777777" w:rsidR="009F5DA6" w:rsidRPr="00261B7A" w:rsidRDefault="009F5DA6" w:rsidP="009F5DA6">
      <w:pPr>
        <w:pStyle w:val="BodyText"/>
        <w:rPr>
          <w:rFonts w:cs="Calibri"/>
          <w:lang w:eastAsia="en-GB"/>
        </w:rPr>
      </w:pPr>
      <w:r w:rsidRPr="00261B7A">
        <w:rPr>
          <w:rFonts w:cs="Calibri"/>
          <w:lang w:eastAsia="en-GB"/>
        </w:rPr>
        <w:t>As the data set of verified UEFs for individual geothermal fields and coal mines obtained from the NZ ETS grows, New Zealand will consider methods of incorporating these data to improve the accuracy of estimates.</w:t>
      </w:r>
    </w:p>
    <w:p w14:paraId="4337BEF4" w14:textId="77777777" w:rsidR="00337B5B" w:rsidRPr="00337B5B" w:rsidRDefault="00337B5B" w:rsidP="00337B5B">
      <w:pPr>
        <w:pStyle w:val="BodyText"/>
      </w:pPr>
      <w:bookmarkStart w:id="425" w:name="_Toc384581638"/>
      <w:bookmarkStart w:id="426" w:name="_Toc448321510"/>
      <w:bookmarkStart w:id="427" w:name="_Toc481751372"/>
      <w:bookmarkStart w:id="428" w:name="_Toc36224389"/>
      <w:bookmarkStart w:id="429" w:name="_Toc68786309"/>
      <w:bookmarkStart w:id="430" w:name="_Hlk127270829"/>
      <w:r w:rsidRPr="00337B5B">
        <w:br w:type="page"/>
      </w:r>
    </w:p>
    <w:p w14:paraId="48978BBA" w14:textId="27BAC581" w:rsidR="009F5DA6" w:rsidRPr="00261B7A" w:rsidRDefault="009F5DA6" w:rsidP="00FB4192">
      <w:pPr>
        <w:pStyle w:val="Heading2"/>
        <w:spacing w:before="0" w:after="480"/>
      </w:pPr>
      <w:bookmarkStart w:id="431" w:name="_Toc131591224"/>
      <w:r w:rsidRPr="00261B7A">
        <w:t>Chapter 3: References</w:t>
      </w:r>
      <w:bookmarkEnd w:id="425"/>
      <w:bookmarkEnd w:id="426"/>
      <w:bookmarkEnd w:id="427"/>
      <w:bookmarkEnd w:id="428"/>
      <w:bookmarkEnd w:id="429"/>
      <w:bookmarkEnd w:id="431"/>
    </w:p>
    <w:p w14:paraId="78D845F8" w14:textId="77777777" w:rsidR="009F5DA6" w:rsidRPr="00261B7A" w:rsidRDefault="009F5DA6" w:rsidP="009F5DA6">
      <w:pPr>
        <w:pStyle w:val="References"/>
        <w:rPr>
          <w:rFonts w:cs="Calibri"/>
          <w:lang w:eastAsia="en-GB"/>
        </w:rPr>
      </w:pPr>
      <w:r w:rsidRPr="00261B7A">
        <w:rPr>
          <w:rFonts w:cs="Calibri"/>
          <w:lang w:eastAsia="en-GB"/>
        </w:rPr>
        <w:t xml:space="preserve">Australian Bureau of Statistics and Statistics New Zealand. 2006. </w:t>
      </w:r>
      <w:r w:rsidRPr="00261B7A">
        <w:rPr>
          <w:rFonts w:cs="Calibri"/>
          <w:i/>
          <w:iCs/>
          <w:lang w:eastAsia="en-GB"/>
        </w:rPr>
        <w:t xml:space="preserve">Australian and New Zealand Standard Industrial Classification Revision 1.0. </w:t>
      </w:r>
      <w:r w:rsidRPr="00261B7A">
        <w:rPr>
          <w:rFonts w:cs="Calibri"/>
          <w:lang w:eastAsia="en-GB"/>
        </w:rPr>
        <w:t>Canberra: Australian Bureau of Statistics.</w:t>
      </w:r>
    </w:p>
    <w:p w14:paraId="1C012E69" w14:textId="77777777" w:rsidR="009F5DA6" w:rsidRPr="00261B7A" w:rsidRDefault="009F5DA6" w:rsidP="009F5DA6">
      <w:pPr>
        <w:pStyle w:val="References"/>
        <w:rPr>
          <w:rFonts w:cs="Calibri"/>
          <w:lang w:eastAsia="en-GB"/>
        </w:rPr>
      </w:pPr>
      <w:r w:rsidRPr="00261B7A">
        <w:rPr>
          <w:rFonts w:cs="Calibri"/>
          <w:lang w:eastAsia="en-GB"/>
        </w:rPr>
        <w:t xml:space="preserve">Baines JT. 1993. </w:t>
      </w:r>
      <w:r w:rsidRPr="00261B7A">
        <w:rPr>
          <w:rFonts w:cs="Calibri"/>
          <w:i/>
          <w:iCs/>
          <w:lang w:eastAsia="en-GB"/>
        </w:rPr>
        <w:t>New Zealand Energy Information Handbook</w:t>
      </w:r>
      <w:r w:rsidRPr="00261B7A">
        <w:rPr>
          <w:rFonts w:cs="Calibri"/>
          <w:lang w:eastAsia="en-GB"/>
        </w:rPr>
        <w:t>. Christchurch: Taylor Baines and Associates.</w:t>
      </w:r>
    </w:p>
    <w:p w14:paraId="745E3A99" w14:textId="77777777" w:rsidR="009F5DA6" w:rsidRPr="00261B7A" w:rsidRDefault="009F5DA6" w:rsidP="009F5DA6">
      <w:pPr>
        <w:pStyle w:val="References"/>
        <w:rPr>
          <w:rFonts w:cs="Calibri"/>
          <w:lang w:eastAsia="en-GB"/>
        </w:rPr>
      </w:pPr>
      <w:r w:rsidRPr="00261B7A">
        <w:rPr>
          <w:rFonts w:cs="Calibri"/>
          <w:lang w:eastAsia="en-GB"/>
        </w:rPr>
        <w:t xml:space="preserve">Beamish BB, Vance WE. 1992. Greenhouse Gas Contributions from Coal Mining in Australia and New Zealand. </w:t>
      </w:r>
      <w:r w:rsidRPr="00261B7A">
        <w:rPr>
          <w:rFonts w:cs="Calibri"/>
          <w:i/>
          <w:iCs/>
          <w:lang w:eastAsia="en-GB"/>
        </w:rPr>
        <w:t xml:space="preserve">Journal of the Royal Society of New Zealand </w:t>
      </w:r>
      <w:r w:rsidRPr="00261B7A">
        <w:rPr>
          <w:rFonts w:cs="Calibri"/>
          <w:lang w:eastAsia="en-GB"/>
        </w:rPr>
        <w:t>22(2).</w:t>
      </w:r>
    </w:p>
    <w:p w14:paraId="5DFAF239" w14:textId="77777777" w:rsidR="009F5DA6" w:rsidRPr="00261B7A" w:rsidRDefault="009F5DA6" w:rsidP="009F5DA6">
      <w:pPr>
        <w:pStyle w:val="References"/>
        <w:rPr>
          <w:rFonts w:cs="Calibri"/>
          <w:lang w:eastAsia="en-GB"/>
        </w:rPr>
      </w:pPr>
      <w:r w:rsidRPr="00261B7A">
        <w:rPr>
          <w:rFonts w:cs="Calibri"/>
          <w:lang w:eastAsia="en-GB"/>
        </w:rPr>
        <w:t xml:space="preserve">Bioenergy Association of New Zealand. 2011. </w:t>
      </w:r>
      <w:r w:rsidRPr="00261B7A">
        <w:rPr>
          <w:rFonts w:cs="Calibri"/>
          <w:i/>
          <w:lang w:eastAsia="en-GB"/>
        </w:rPr>
        <w:t>Heat Plant in New Zealand</w:t>
      </w:r>
      <w:r w:rsidRPr="00261B7A">
        <w:rPr>
          <w:rFonts w:cs="Calibri"/>
          <w:lang w:eastAsia="en-GB"/>
        </w:rPr>
        <w:t xml:space="preserve">. Retrieved </w:t>
      </w:r>
      <w:r w:rsidRPr="00261B7A">
        <w:t xml:space="preserve">from </w:t>
      </w:r>
      <w:hyperlink r:id="rId87" w:history="1">
        <w:r w:rsidRPr="00261B7A">
          <w:rPr>
            <w:rStyle w:val="Hyperlink"/>
          </w:rPr>
          <w:t>www.bioenergy.org.nz/documents/resource/heat-plant-database-report-august-2011.pdf</w:t>
        </w:r>
      </w:hyperlink>
      <w:r w:rsidRPr="00261B7A">
        <w:rPr>
          <w:rFonts w:cs="Calibri"/>
        </w:rPr>
        <w:t xml:space="preserve"> (March 2018). </w:t>
      </w:r>
    </w:p>
    <w:p w14:paraId="7F2B4B3F" w14:textId="77777777" w:rsidR="009F5DA6" w:rsidRPr="00261B7A" w:rsidRDefault="009F5DA6" w:rsidP="009F5DA6">
      <w:pPr>
        <w:pStyle w:val="References"/>
        <w:rPr>
          <w:rFonts w:cs="Calibri"/>
          <w:lang w:eastAsia="en-GB"/>
        </w:rPr>
      </w:pPr>
      <w:r w:rsidRPr="00261B7A">
        <w:rPr>
          <w:rFonts w:cs="Calibri"/>
          <w:lang w:eastAsia="en-GB"/>
        </w:rPr>
        <w:t xml:space="preserve">BRANZ. 2002. </w:t>
      </w:r>
      <w:r w:rsidRPr="00261B7A">
        <w:rPr>
          <w:rFonts w:cs="Calibri"/>
          <w:i/>
          <w:iCs/>
          <w:lang w:eastAsia="en-GB"/>
        </w:rPr>
        <w:t>Energy Use in New Zealand Households</w:t>
      </w:r>
      <w:r w:rsidRPr="00261B7A">
        <w:rPr>
          <w:rFonts w:cs="Calibri"/>
          <w:lang w:eastAsia="en-GB"/>
        </w:rPr>
        <w:t>. Porirua, Wellington: Building Research Association of New Zealand.</w:t>
      </w:r>
    </w:p>
    <w:p w14:paraId="3AF2A839" w14:textId="27A07918" w:rsidR="009F5DA6" w:rsidRPr="00261B7A" w:rsidRDefault="009F5DA6" w:rsidP="009304AD">
      <w:pPr>
        <w:pStyle w:val="References"/>
        <w:keepLines/>
        <w:rPr>
          <w:rFonts w:cs="Calibri"/>
          <w:lang w:eastAsia="en-GB"/>
        </w:rPr>
      </w:pPr>
      <w:r w:rsidRPr="00261B7A">
        <w:rPr>
          <w:rFonts w:cs="Calibri"/>
          <w:lang w:eastAsia="en-GB"/>
        </w:rPr>
        <w:t xml:space="preserve">CRL Energy Ltd. 2009. </w:t>
      </w:r>
      <w:r w:rsidRPr="00261B7A">
        <w:rPr>
          <w:rFonts w:cs="Calibri"/>
          <w:i/>
          <w:iCs/>
          <w:lang w:eastAsia="en-GB"/>
        </w:rPr>
        <w:t xml:space="preserve">Reviewing Default Emission Factors in Draft Stationary Energy and Industrial </w:t>
      </w:r>
      <w:r w:rsidRPr="00261B7A">
        <w:t xml:space="preserve">Processes. Contract report prepared for the Ministry for the Environment. Wellington: Ministry for the Environment. Retrieved from </w:t>
      </w:r>
      <w:hyperlink r:id="rId88" w:history="1">
        <w:r w:rsidR="00905B42">
          <w:rPr>
            <w:rStyle w:val="Hyperlink"/>
            <w:rFonts w:cs="Calibri"/>
            <w:lang w:eastAsia="en-GB"/>
          </w:rPr>
          <w:t>climatechange.govt.nz/</w:t>
        </w:r>
        <w:r w:rsidR="00905B42" w:rsidRPr="00321589">
          <w:rPr>
            <w:rStyle w:val="Hyperlink"/>
          </w:rPr>
          <w:t>consultation</w:t>
        </w:r>
        <w:r w:rsidR="00905B42">
          <w:rPr>
            <w:rStyle w:val="Hyperlink"/>
            <w:rFonts w:cs="Calibri"/>
            <w:lang w:eastAsia="en-GB"/>
          </w:rPr>
          <w:t>/energy/review-default-emissions-factors.pdf</w:t>
        </w:r>
      </w:hyperlink>
      <w:r w:rsidR="004030A9">
        <w:rPr>
          <w:rFonts w:cs="Calibri"/>
          <w:lang w:eastAsia="en-GB"/>
        </w:rPr>
        <w:t xml:space="preserve"> </w:t>
      </w:r>
      <w:r w:rsidR="00905B42" w:rsidRPr="00261B7A">
        <w:rPr>
          <w:rFonts w:cs="Calibri"/>
        </w:rPr>
        <w:t>(Ma</w:t>
      </w:r>
      <w:r w:rsidR="00905B42" w:rsidRPr="00261B7A">
        <w:rPr>
          <w:rFonts w:cs="Calibri"/>
          <w:lang w:eastAsia="en-GB"/>
        </w:rPr>
        <w:t>rch 2018).</w:t>
      </w:r>
    </w:p>
    <w:p w14:paraId="0A2C61C3" w14:textId="77777777" w:rsidR="009F5DA6" w:rsidRPr="00261B7A" w:rsidRDefault="009F5DA6" w:rsidP="009F5DA6">
      <w:pPr>
        <w:pStyle w:val="References"/>
      </w:pPr>
      <w:r w:rsidRPr="00261B7A">
        <w:t xml:space="preserve">Energy Efficiency and Conservation Authority. 2021. </w:t>
      </w:r>
      <w:r w:rsidRPr="00261B7A">
        <w:rPr>
          <w:i/>
          <w:iCs/>
        </w:rPr>
        <w:t>Off-road Liquid Fuel Insights: Research into the Use of Off-road Diesel and Petrol in New Zealand</w:t>
      </w:r>
      <w:r w:rsidRPr="00261B7A">
        <w:t xml:space="preserve">. Wellington: Energy Efficiency and Conservation Authority. Retrieved from </w:t>
      </w:r>
      <w:hyperlink r:id="rId89" w:history="1">
        <w:r w:rsidRPr="00261B7A">
          <w:rPr>
            <w:rStyle w:val="Hyperlink"/>
          </w:rPr>
          <w:t>www.eeca.govt.nz/assets/EECA-Resources/Research-papers-guides/Off-road-liquid-fuel-insights.pdf</w:t>
        </w:r>
      </w:hyperlink>
      <w:r w:rsidRPr="00261B7A">
        <w:t xml:space="preserve"> (February 2021).</w:t>
      </w:r>
    </w:p>
    <w:p w14:paraId="63AF1B27" w14:textId="77777777" w:rsidR="009F5DA6" w:rsidRPr="00261B7A" w:rsidRDefault="009F5DA6" w:rsidP="009F5DA6">
      <w:pPr>
        <w:pStyle w:val="References"/>
        <w:rPr>
          <w:rFonts w:cs="Calibri"/>
          <w:lang w:eastAsia="en-GB"/>
        </w:rPr>
      </w:pPr>
      <w:r w:rsidRPr="00261B7A">
        <w:rPr>
          <w:rFonts w:cs="Calibri"/>
          <w:lang w:eastAsia="en-GB"/>
        </w:rPr>
        <w:t xml:space="preserve">European Environment Agency. 2007. </w:t>
      </w:r>
      <w:r w:rsidRPr="00261B7A">
        <w:rPr>
          <w:rFonts w:cs="Calibri"/>
          <w:i/>
          <w:iCs/>
          <w:lang w:eastAsia="en-GB"/>
        </w:rPr>
        <w:t>EMEP/CORINAIR Emission Inventory Guidebook – 2007</w:t>
      </w:r>
      <w:r w:rsidRPr="00261B7A">
        <w:rPr>
          <w:rFonts w:cs="Calibri"/>
          <w:iCs/>
          <w:lang w:eastAsia="en-GB"/>
        </w:rPr>
        <w:t>. Copenhagen:</w:t>
      </w:r>
      <w:r w:rsidRPr="00261B7A">
        <w:rPr>
          <w:rFonts w:cs="Calibri"/>
          <w:lang w:eastAsia="en-GB"/>
        </w:rPr>
        <w:t xml:space="preserve"> European Environment Agency.</w:t>
      </w:r>
    </w:p>
    <w:p w14:paraId="4FB1928A" w14:textId="77777777" w:rsidR="009F5DA6" w:rsidRPr="00261B7A" w:rsidRDefault="009F5DA6" w:rsidP="009F5DA6">
      <w:pPr>
        <w:pStyle w:val="References"/>
        <w:rPr>
          <w:rFonts w:cs="Calibri"/>
          <w:lang w:eastAsia="en-GB"/>
        </w:rPr>
      </w:pPr>
      <w:r w:rsidRPr="00261B7A">
        <w:rPr>
          <w:rFonts w:cs="Calibri"/>
          <w:lang w:eastAsia="en-GB"/>
        </w:rPr>
        <w:t xml:space="preserve">European Environment Agency. 2016. </w:t>
      </w:r>
      <w:r w:rsidRPr="00261B7A">
        <w:rPr>
          <w:rFonts w:cs="Calibri"/>
          <w:i/>
          <w:lang w:eastAsia="en-GB"/>
        </w:rPr>
        <w:t>EMEP/EEA Air Pollutant Emission Inventory Guidebook 2016: Technical guidance to prepare national emission inventories</w:t>
      </w:r>
      <w:r w:rsidRPr="00261B7A">
        <w:rPr>
          <w:rFonts w:cs="Calibri"/>
          <w:lang w:eastAsia="en-GB"/>
        </w:rPr>
        <w:t xml:space="preserve">. </w:t>
      </w:r>
      <w:r w:rsidRPr="00261B7A">
        <w:rPr>
          <w:rFonts w:cs="Calibri"/>
          <w:iCs/>
          <w:lang w:eastAsia="en-GB"/>
        </w:rPr>
        <w:t>Copenhagen</w:t>
      </w:r>
      <w:r w:rsidRPr="00261B7A">
        <w:rPr>
          <w:rFonts w:cs="Calibri"/>
          <w:lang w:eastAsia="en-GB"/>
        </w:rPr>
        <w:t>: European Environment Agency.</w:t>
      </w:r>
    </w:p>
    <w:p w14:paraId="6A4F9D22" w14:textId="77777777" w:rsidR="009F5DA6" w:rsidRPr="00261B7A" w:rsidRDefault="009F5DA6" w:rsidP="009F5DA6">
      <w:pPr>
        <w:pStyle w:val="References"/>
        <w:rPr>
          <w:rFonts w:cs="Calibri"/>
        </w:rPr>
      </w:pPr>
      <w:r w:rsidRPr="00261B7A">
        <w:rPr>
          <w:rFonts w:cs="Calibri"/>
        </w:rPr>
        <w:t xml:space="preserve">IPCC. 2006. Eggleston HS, Buendia L, Miwa K, Ngara T, Tanabe K (eds). </w:t>
      </w:r>
      <w:r w:rsidRPr="00261B7A">
        <w:rPr>
          <w:rFonts w:cs="Calibri"/>
          <w:i/>
        </w:rPr>
        <w:t>2006 IPCC Guidelines for National Greenhouse Gas Inventories. Volume 2. Energy</w:t>
      </w:r>
      <w:r w:rsidRPr="00261B7A">
        <w:rPr>
          <w:rFonts w:cs="Calibri"/>
        </w:rPr>
        <w:t>. IPCC National Greenhouse Gas Inventories Programme. Japan: Institute for Global Environmental Strategies for IPCC.</w:t>
      </w:r>
    </w:p>
    <w:p w14:paraId="0B4C1BDD" w14:textId="77777777" w:rsidR="009F5DA6" w:rsidRPr="00261B7A" w:rsidRDefault="009F5DA6" w:rsidP="009F5DA6">
      <w:pPr>
        <w:pStyle w:val="References"/>
        <w:rPr>
          <w:rFonts w:cs="Calibri"/>
        </w:rPr>
      </w:pPr>
      <w:r w:rsidRPr="00261B7A">
        <w:rPr>
          <w:rFonts w:cs="Calibri"/>
        </w:rPr>
        <w:t xml:space="preserve">MBIE. 2008. </w:t>
      </w:r>
      <w:r w:rsidRPr="00261B7A">
        <w:rPr>
          <w:rFonts w:cs="Calibri"/>
          <w:i/>
          <w:iCs/>
        </w:rPr>
        <w:t>Liquid Fuel Use in New Zealand</w:t>
      </w:r>
      <w:r w:rsidRPr="00261B7A">
        <w:rPr>
          <w:rFonts w:cs="Calibri"/>
        </w:rPr>
        <w:t xml:space="preserve">. </w:t>
      </w:r>
      <w:r w:rsidRPr="00261B7A">
        <w:rPr>
          <w:rFonts w:cs="Calibri"/>
          <w:lang w:eastAsia="en-GB"/>
        </w:rPr>
        <w:t xml:space="preserve">Wellington: </w:t>
      </w:r>
      <w:r w:rsidRPr="00261B7A">
        <w:rPr>
          <w:rFonts w:cs="Calibri"/>
        </w:rPr>
        <w:t>Ministry of Business, Innovation and Employment</w:t>
      </w:r>
      <w:r w:rsidRPr="00261B7A">
        <w:rPr>
          <w:rFonts w:cs="Calibri"/>
          <w:lang w:eastAsia="en-GB"/>
        </w:rPr>
        <w:t xml:space="preserve">. </w:t>
      </w:r>
      <w:r w:rsidRPr="00261B7A">
        <w:rPr>
          <w:rFonts w:cs="Calibri"/>
        </w:rPr>
        <w:t xml:space="preserve">Retrieved from </w:t>
      </w:r>
      <w:hyperlink r:id="rId90" w:history="1">
        <w:r w:rsidRPr="00261B7A">
          <w:rPr>
            <w:rStyle w:val="Hyperlink"/>
            <w:rFonts w:cs="Calibri"/>
          </w:rPr>
          <w:t>www.mbie.govt.nz/building-and-energy/energy-and-natural-resources/energy-statistics-and-modelling/energy-publications-and-technical-papers/liquid-fuels-use-in-new-zealand/</w:t>
        </w:r>
      </w:hyperlink>
      <w:r w:rsidRPr="00261B7A">
        <w:rPr>
          <w:rFonts w:cs="Calibri"/>
        </w:rPr>
        <w:t xml:space="preserve"> (February 2023).</w:t>
      </w:r>
    </w:p>
    <w:p w14:paraId="01D5A017" w14:textId="77777777" w:rsidR="009F5DA6" w:rsidRPr="00261B7A" w:rsidRDefault="009F5DA6" w:rsidP="009F5DA6">
      <w:pPr>
        <w:pStyle w:val="References"/>
        <w:rPr>
          <w:rFonts w:cs="Calibri"/>
        </w:rPr>
      </w:pPr>
      <w:r w:rsidRPr="00261B7A">
        <w:rPr>
          <w:rFonts w:cs="Calibri"/>
        </w:rPr>
        <w:t xml:space="preserve">MBIE. 2010. </w:t>
      </w:r>
      <w:r w:rsidRPr="00261B7A">
        <w:rPr>
          <w:rFonts w:cs="Calibri"/>
          <w:i/>
        </w:rPr>
        <w:t>Delivering the Diesel: Liquid Fuel Deliveries in New Zealand 1990–2008</w:t>
      </w:r>
      <w:r w:rsidRPr="00261B7A">
        <w:rPr>
          <w:rFonts w:cs="Calibri"/>
        </w:rPr>
        <w:t xml:space="preserve">. </w:t>
      </w:r>
      <w:r w:rsidRPr="00261B7A">
        <w:rPr>
          <w:rFonts w:cs="Calibri"/>
          <w:lang w:eastAsia="en-GB"/>
        </w:rPr>
        <w:t xml:space="preserve">Wellington: </w:t>
      </w:r>
      <w:r w:rsidRPr="00261B7A">
        <w:t xml:space="preserve">Ministry of Business, Innovation and Employment. Retrieved from </w:t>
      </w:r>
      <w:hyperlink r:id="rId91" w:history="1">
        <w:r w:rsidRPr="00261B7A">
          <w:rPr>
            <w:rStyle w:val="Hyperlink"/>
          </w:rPr>
          <w:t>www.mbie.govt.nz/building-and-energy/energy-and-natural-resources/energy-statistics-and-modelling/energy-publications-and-technical-papers/delivering-the-diesel-liquid-fuel-deliveries-in-new-zealand-1990-2008</w:t>
        </w:r>
      </w:hyperlink>
      <w:r w:rsidRPr="00261B7A">
        <w:rPr>
          <w:rFonts w:cs="Calibri"/>
        </w:rPr>
        <w:t xml:space="preserve"> (February 2023).</w:t>
      </w:r>
    </w:p>
    <w:p w14:paraId="7B6B4BAC" w14:textId="77777777" w:rsidR="009F5DA6" w:rsidRPr="00261B7A" w:rsidRDefault="009F5DA6" w:rsidP="009F5DA6">
      <w:pPr>
        <w:pStyle w:val="References"/>
      </w:pPr>
      <w:r w:rsidRPr="00261B7A">
        <w:rPr>
          <w:rFonts w:cs="Calibri"/>
          <w:lang w:eastAsia="en-GB"/>
        </w:rPr>
        <w:t>M</w:t>
      </w:r>
      <w:r w:rsidRPr="00261B7A">
        <w:rPr>
          <w:rFonts w:cs="Calibri"/>
        </w:rPr>
        <w:t>BIE</w:t>
      </w:r>
      <w:r w:rsidRPr="00261B7A">
        <w:rPr>
          <w:rFonts w:cs="Calibri"/>
          <w:lang w:eastAsia="en-GB"/>
        </w:rPr>
        <w:t xml:space="preserve">. 2022. </w:t>
      </w:r>
      <w:r w:rsidRPr="00261B7A">
        <w:rPr>
          <w:rFonts w:cs="Calibri"/>
          <w:i/>
          <w:iCs/>
          <w:lang w:eastAsia="en-GB"/>
        </w:rPr>
        <w:t>Energy in New Zealand</w:t>
      </w:r>
      <w:r w:rsidRPr="00261B7A">
        <w:rPr>
          <w:rFonts w:cs="Calibri"/>
          <w:lang w:eastAsia="en-GB"/>
        </w:rPr>
        <w:t xml:space="preserve">. Wellington: </w:t>
      </w:r>
      <w:r w:rsidRPr="00261B7A">
        <w:rPr>
          <w:rFonts w:cs="Calibri"/>
        </w:rPr>
        <w:t>Ministry of Business, Innovation and Employment</w:t>
      </w:r>
      <w:r w:rsidRPr="00261B7A">
        <w:rPr>
          <w:rFonts w:cs="Calibri"/>
          <w:lang w:eastAsia="en-GB"/>
        </w:rPr>
        <w:t xml:space="preserve">. </w:t>
      </w:r>
      <w:r w:rsidRPr="00261B7A">
        <w:rPr>
          <w:rFonts w:cs="Calibri"/>
        </w:rPr>
        <w:t xml:space="preserve">Retrieved </w:t>
      </w:r>
      <w:r w:rsidRPr="00261B7A">
        <w:t xml:space="preserve">from </w:t>
      </w:r>
      <w:hyperlink r:id="rId92">
        <w:r w:rsidRPr="00261B7A">
          <w:rPr>
            <w:rStyle w:val="Hyperlink"/>
          </w:rPr>
          <w:t>www.mbie.govt.nz/building-and-energy/energy-and-natural-resources/energy-statistics-and-modelling/energy-publications-and-technical-papers/energy-in-new-zealand</w:t>
        </w:r>
      </w:hyperlink>
      <w:r w:rsidRPr="00261B7A">
        <w:t xml:space="preserve"> (August 2022).</w:t>
      </w:r>
    </w:p>
    <w:p w14:paraId="5E4303F7" w14:textId="77777777" w:rsidR="009F5DA6" w:rsidRPr="00261B7A" w:rsidRDefault="009F5DA6" w:rsidP="009F5DA6">
      <w:pPr>
        <w:pStyle w:val="References"/>
        <w:rPr>
          <w:rFonts w:cs="Calibri"/>
        </w:rPr>
      </w:pPr>
      <w:r w:rsidRPr="00261B7A">
        <w:rPr>
          <w:rFonts w:cs="Calibri"/>
        </w:rPr>
        <w:t xml:space="preserve">Ministry of Transport. 2010. </w:t>
      </w:r>
      <w:r w:rsidRPr="00261B7A">
        <w:rPr>
          <w:rFonts w:cs="Calibri"/>
          <w:i/>
          <w:iCs/>
        </w:rPr>
        <w:t xml:space="preserve">New Zealand Travel Survey. </w:t>
      </w:r>
      <w:r w:rsidRPr="00261B7A">
        <w:rPr>
          <w:rFonts w:cs="Calibri"/>
          <w:lang w:eastAsia="en-GB"/>
        </w:rPr>
        <w:t xml:space="preserve">Wellington: </w:t>
      </w:r>
      <w:r w:rsidRPr="00261B7A">
        <w:rPr>
          <w:rFonts w:cs="Calibri"/>
        </w:rPr>
        <w:t xml:space="preserve">Ministry of Transport. Retrieved from </w:t>
      </w:r>
      <w:hyperlink r:id="rId93" w:history="1">
        <w:r w:rsidRPr="00261B7A">
          <w:rPr>
            <w:rStyle w:val="Hyperlink"/>
          </w:rPr>
          <w:t>www.transport.govt.nz/area-of-interest/public-transport/new-zealand-household-travel-survey</w:t>
        </w:r>
      </w:hyperlink>
      <w:r w:rsidRPr="00261B7A">
        <w:rPr>
          <w:rFonts w:cs="Calibri"/>
        </w:rPr>
        <w:t xml:space="preserve"> (March 2012).</w:t>
      </w:r>
    </w:p>
    <w:p w14:paraId="4BFBFCA9" w14:textId="77777777" w:rsidR="009F5DA6" w:rsidRPr="00261B7A" w:rsidRDefault="009F5DA6" w:rsidP="009F5DA6">
      <w:pPr>
        <w:pStyle w:val="References"/>
        <w:rPr>
          <w:rFonts w:cs="Calibri"/>
        </w:rPr>
      </w:pPr>
      <w:r w:rsidRPr="00261B7A">
        <w:rPr>
          <w:rFonts w:cs="Calibri"/>
        </w:rPr>
        <w:t xml:space="preserve">New Zealand Institute of Chemistry. 1998. </w:t>
      </w:r>
      <w:r w:rsidRPr="00261B7A">
        <w:rPr>
          <w:rFonts w:cs="Calibri"/>
          <w:i/>
        </w:rPr>
        <w:t>Chemical Processes in New Zealand Auckland</w:t>
      </w:r>
      <w:r w:rsidRPr="00261B7A">
        <w:rPr>
          <w:rFonts w:cs="Calibri"/>
        </w:rPr>
        <w:t>. Christchurch: New Zealand Institute of Chemistry.</w:t>
      </w:r>
    </w:p>
    <w:p w14:paraId="1D18C8BF" w14:textId="77777777" w:rsidR="009F5DA6" w:rsidRPr="00261B7A" w:rsidRDefault="009F5DA6" w:rsidP="009F5DA6">
      <w:pPr>
        <w:pStyle w:val="References"/>
        <w:rPr>
          <w:rFonts w:cs="Calibri"/>
        </w:rPr>
      </w:pPr>
      <w:r w:rsidRPr="00261B7A">
        <w:rPr>
          <w:rFonts w:cs="Calibri"/>
        </w:rPr>
        <w:t xml:space="preserve">Reddy CM, DeMello JA, Carmichael CA, Peacock EE, Xu L, Arey JS. 2008. Determination of biodiesel blending percentages using natural abundance radiocarbon analysis: Testing the accuracy of retail biodiesel blends. </w:t>
      </w:r>
      <w:r w:rsidRPr="00261B7A">
        <w:rPr>
          <w:rFonts w:cs="Calibri"/>
          <w:i/>
        </w:rPr>
        <w:t>Environmental Science Technology</w:t>
      </w:r>
      <w:r w:rsidRPr="00261B7A">
        <w:rPr>
          <w:rFonts w:cs="Calibri"/>
        </w:rPr>
        <w:t xml:space="preserve"> 42(7): 2476–2482.</w:t>
      </w:r>
    </w:p>
    <w:p w14:paraId="5ADA09B2" w14:textId="77777777" w:rsidR="009F5DA6" w:rsidRPr="00261B7A" w:rsidRDefault="009F5DA6" w:rsidP="009F5DA6">
      <w:pPr>
        <w:pStyle w:val="References"/>
        <w:rPr>
          <w:rFonts w:cs="Calibri"/>
          <w:lang w:eastAsia="en-GB"/>
        </w:rPr>
      </w:pPr>
      <w:r w:rsidRPr="00261B7A">
        <w:rPr>
          <w:rFonts w:cs="Calibri"/>
          <w:lang w:eastAsia="en-GB"/>
        </w:rPr>
        <w:t xml:space="preserve">Stats NZ. 2018. </w:t>
      </w:r>
      <w:r w:rsidRPr="00261B7A">
        <w:rPr>
          <w:rFonts w:cs="Calibri"/>
          <w:i/>
          <w:lang w:eastAsia="en-GB"/>
        </w:rPr>
        <w:t>Energy Use Survey</w:t>
      </w:r>
      <w:r w:rsidRPr="00261B7A">
        <w:rPr>
          <w:rFonts w:cs="Calibri"/>
          <w:lang w:eastAsia="en-GB"/>
        </w:rPr>
        <w:t xml:space="preserve">. </w:t>
      </w:r>
      <w:r w:rsidRPr="00261B7A">
        <w:rPr>
          <w:rFonts w:cs="Calibri"/>
        </w:rPr>
        <w:t xml:space="preserve">Wellington: Stats NZ. </w:t>
      </w:r>
      <w:r w:rsidRPr="00261B7A">
        <w:rPr>
          <w:rFonts w:cs="Calibri"/>
          <w:lang w:eastAsia="en-GB"/>
        </w:rPr>
        <w:t xml:space="preserve">Retrieved from </w:t>
      </w:r>
      <w:r w:rsidRPr="00261B7A">
        <w:rPr>
          <w:rStyle w:val="Hyperlink"/>
        </w:rPr>
        <w:t>www.stats.govt.nz/information-releases/new-zealand-energy-use-2018</w:t>
      </w:r>
      <w:r w:rsidRPr="00261B7A">
        <w:rPr>
          <w:rFonts w:cs="Calibri"/>
          <w:lang w:eastAsia="en-GB"/>
        </w:rPr>
        <w:t xml:space="preserve"> (February 2020).</w:t>
      </w:r>
    </w:p>
    <w:p w14:paraId="79B2E859" w14:textId="77777777" w:rsidR="009F5DA6" w:rsidRPr="00261B7A" w:rsidRDefault="009F5DA6" w:rsidP="009F5DA6">
      <w:pPr>
        <w:pStyle w:val="References"/>
        <w:rPr>
          <w:rFonts w:cs="Calibri"/>
        </w:rPr>
      </w:pPr>
      <w:r w:rsidRPr="00261B7A">
        <w:rPr>
          <w:rFonts w:cs="Calibri"/>
        </w:rPr>
        <w:t xml:space="preserve">UNFCCC. 2009. FCCC/ARR/2008/NZL. </w:t>
      </w:r>
      <w:r w:rsidRPr="00261B7A">
        <w:rPr>
          <w:rFonts w:cs="Calibri"/>
          <w:i/>
        </w:rPr>
        <w:t>Report of the Individual Review of the Greenhouse Gas Inventories of New Zealand Submitted in 2007 and 2008</w:t>
      </w:r>
      <w:r w:rsidRPr="00261B7A">
        <w:rPr>
          <w:rFonts w:cs="Calibri"/>
        </w:rPr>
        <w:t>. Centralised Review.</w:t>
      </w:r>
    </w:p>
    <w:p w14:paraId="5F8893BE" w14:textId="77777777" w:rsidR="009F5DA6" w:rsidRPr="00261B7A" w:rsidRDefault="009F5DA6" w:rsidP="009F5DA6">
      <w:pPr>
        <w:pStyle w:val="References"/>
        <w:rPr>
          <w:rFonts w:cs="Calibri"/>
        </w:rPr>
      </w:pPr>
      <w:r w:rsidRPr="00261B7A">
        <w:rPr>
          <w:rFonts w:cs="Calibri"/>
        </w:rPr>
        <w:t xml:space="preserve">UNFCCC. 2014. FCCC/ARR/2013/NZL. </w:t>
      </w:r>
      <w:r w:rsidRPr="00261B7A">
        <w:rPr>
          <w:rFonts w:cs="Calibri"/>
          <w:i/>
          <w:iCs/>
        </w:rPr>
        <w:t>Report of the individual review of the annual submission of New Zealand submitted in 2013</w:t>
      </w:r>
      <w:r w:rsidRPr="00261B7A">
        <w:rPr>
          <w:rFonts w:cs="Calibri"/>
        </w:rPr>
        <w:t>. Centralised Review.</w:t>
      </w:r>
    </w:p>
    <w:bookmarkEnd w:id="430"/>
    <w:p w14:paraId="1598D224" w14:textId="77777777" w:rsidR="009F5DA6" w:rsidRPr="00261B7A" w:rsidRDefault="009F5DA6" w:rsidP="009F5DA6">
      <w:pPr>
        <w:pStyle w:val="References"/>
      </w:pPr>
    </w:p>
    <w:p w14:paraId="240B7A36" w14:textId="77777777" w:rsidR="00D33269" w:rsidRPr="00261B7A" w:rsidRDefault="00D33269" w:rsidP="009F5DA6">
      <w:pPr>
        <w:sectPr w:rsidR="00D33269" w:rsidRPr="00261B7A" w:rsidSect="00F40540">
          <w:footerReference w:type="even" r:id="rId94"/>
          <w:footerReference w:type="default" r:id="rId95"/>
          <w:pgSz w:w="11907" w:h="16840" w:code="9"/>
          <w:pgMar w:top="1418" w:right="1701" w:bottom="1418" w:left="1701" w:header="567" w:footer="567" w:gutter="0"/>
          <w:cols w:space="720"/>
        </w:sectPr>
      </w:pPr>
    </w:p>
    <w:p w14:paraId="3E2A2CE7" w14:textId="77777777" w:rsidR="008A4F47" w:rsidRPr="00261B7A" w:rsidRDefault="008A4F47" w:rsidP="008A4F47">
      <w:pPr>
        <w:pStyle w:val="Heading1"/>
      </w:pPr>
      <w:bookmarkStart w:id="432" w:name="_Toc36224390"/>
      <w:bookmarkStart w:id="433" w:name="_Toc68786310"/>
      <w:bookmarkStart w:id="434" w:name="_Toc131591225"/>
      <w:r w:rsidRPr="00261B7A">
        <w:t>Chapter 4: Industrial Processes and Product Use (IPPU)</w:t>
      </w:r>
      <w:bookmarkEnd w:id="432"/>
      <w:bookmarkEnd w:id="433"/>
      <w:bookmarkEnd w:id="434"/>
    </w:p>
    <w:p w14:paraId="73095C9A" w14:textId="77777777" w:rsidR="008A4F47" w:rsidRPr="00261B7A" w:rsidRDefault="008A4F47" w:rsidP="00FB4192">
      <w:pPr>
        <w:pStyle w:val="Heading2"/>
        <w:spacing w:before="240"/>
      </w:pPr>
      <w:bookmarkStart w:id="435" w:name="_Toc448321512"/>
      <w:bookmarkStart w:id="436" w:name="_Toc5269351"/>
      <w:bookmarkStart w:id="437" w:name="_Toc36224391"/>
      <w:bookmarkStart w:id="438" w:name="_Toc68786311"/>
      <w:bookmarkStart w:id="439" w:name="_Toc131591226"/>
      <w:r w:rsidRPr="00261B7A">
        <w:t xml:space="preserve">4.1 </w:t>
      </w:r>
      <w:r w:rsidRPr="00261B7A">
        <w:tab/>
        <w:t>Sector overview</w:t>
      </w:r>
      <w:bookmarkEnd w:id="435"/>
      <w:bookmarkEnd w:id="436"/>
      <w:bookmarkEnd w:id="437"/>
      <w:bookmarkEnd w:id="438"/>
      <w:bookmarkEnd w:id="439"/>
    </w:p>
    <w:p w14:paraId="4932731C" w14:textId="77777777" w:rsidR="008A4F47" w:rsidRPr="00261B7A" w:rsidRDefault="008A4F47" w:rsidP="00FB4192">
      <w:pPr>
        <w:pStyle w:val="Heading3"/>
        <w:spacing w:before="240"/>
      </w:pPr>
      <w:r w:rsidRPr="00261B7A">
        <w:t xml:space="preserve">4.1.1 </w:t>
      </w:r>
      <w:r w:rsidRPr="00261B7A">
        <w:tab/>
        <w:t>IPPU sector in New Zealand</w:t>
      </w:r>
    </w:p>
    <w:p w14:paraId="2F76DA0E" w14:textId="77777777" w:rsidR="008A4F47" w:rsidRPr="00261B7A" w:rsidRDefault="008A4F47" w:rsidP="008A4F47">
      <w:pPr>
        <w:pStyle w:val="BodyText"/>
      </w:pPr>
      <w:r w:rsidRPr="00261B7A">
        <w:t>New Zealand has a relatively small number of industrial processing plants emitting non-energy related greenhouse gases. Carbon dioxide (CO</w:t>
      </w:r>
      <w:r w:rsidRPr="00261B7A">
        <w:rPr>
          <w:vertAlign w:val="subscript"/>
        </w:rPr>
        <w:t>2</w:t>
      </w:r>
      <w:r w:rsidRPr="00261B7A">
        <w:t>), methane (CH</w:t>
      </w:r>
      <w:r w:rsidRPr="00261B7A">
        <w:rPr>
          <w:vertAlign w:val="subscript"/>
        </w:rPr>
        <w:t>4</w:t>
      </w:r>
      <w:r w:rsidRPr="00261B7A">
        <w:t>) and nitrous oxide (N</w:t>
      </w:r>
      <w:r w:rsidRPr="00261B7A">
        <w:rPr>
          <w:vertAlign w:val="subscript"/>
        </w:rPr>
        <w:t>2</w:t>
      </w:r>
      <w:r w:rsidRPr="00261B7A">
        <w:t xml:space="preserve">O) emissions from eight distinct industrial processes in New Zealand are reported under the IPPU sector. These are: </w:t>
      </w:r>
    </w:p>
    <w:p w14:paraId="7D981F9A" w14:textId="77777777" w:rsidR="008A4F47" w:rsidRPr="00261B7A" w:rsidRDefault="008A4F47" w:rsidP="008A4F47">
      <w:pPr>
        <w:pStyle w:val="Bullet"/>
      </w:pPr>
      <w:r w:rsidRPr="00261B7A">
        <w:t xml:space="preserve">calcination of limestone in cement production </w:t>
      </w:r>
    </w:p>
    <w:p w14:paraId="500152F3" w14:textId="77777777" w:rsidR="008A4F47" w:rsidRPr="00261B7A" w:rsidRDefault="008A4F47" w:rsidP="008A4F47">
      <w:pPr>
        <w:pStyle w:val="Bullet"/>
      </w:pPr>
      <w:r w:rsidRPr="00261B7A">
        <w:t xml:space="preserve">calcination of limestone in burnt and slaked lime production </w:t>
      </w:r>
    </w:p>
    <w:p w14:paraId="5DD825CB" w14:textId="77777777" w:rsidR="008A4F47" w:rsidRPr="00261B7A" w:rsidRDefault="008A4F47" w:rsidP="008A4F47">
      <w:pPr>
        <w:pStyle w:val="Bullet"/>
      </w:pPr>
      <w:r w:rsidRPr="00261B7A">
        <w:t xml:space="preserve">production of ammonia, which is further processed into urea </w:t>
      </w:r>
    </w:p>
    <w:p w14:paraId="482EBDB4" w14:textId="77777777" w:rsidR="008A4F47" w:rsidRPr="00261B7A" w:rsidRDefault="008A4F47" w:rsidP="008A4F47">
      <w:pPr>
        <w:pStyle w:val="Bullet"/>
      </w:pPr>
      <w:r w:rsidRPr="00261B7A">
        <w:t xml:space="preserve">production of methanol </w:t>
      </w:r>
    </w:p>
    <w:p w14:paraId="44307DE1" w14:textId="77777777" w:rsidR="008A4F47" w:rsidRPr="00261B7A" w:rsidRDefault="008A4F47" w:rsidP="008A4F47">
      <w:pPr>
        <w:pStyle w:val="Bullet"/>
      </w:pPr>
      <w:r w:rsidRPr="00261B7A">
        <w:t xml:space="preserve">production of hydrogen in oil refining and for making hydrogen peroxide </w:t>
      </w:r>
    </w:p>
    <w:p w14:paraId="1359F243" w14:textId="77777777" w:rsidR="008A4F47" w:rsidRPr="00261B7A" w:rsidRDefault="008A4F47" w:rsidP="008A4F47">
      <w:pPr>
        <w:pStyle w:val="Bullet"/>
      </w:pPr>
      <w:r w:rsidRPr="00261B7A">
        <w:t xml:space="preserve">production of steel, from iron sand and from scrap steel </w:t>
      </w:r>
    </w:p>
    <w:p w14:paraId="7CAFBFCA" w14:textId="77777777" w:rsidR="008A4F47" w:rsidRPr="00261B7A" w:rsidRDefault="008A4F47" w:rsidP="008A4F47">
      <w:pPr>
        <w:pStyle w:val="Bullet"/>
      </w:pPr>
      <w:r w:rsidRPr="00261B7A">
        <w:t xml:space="preserve">oxidation of anodes in aluminium smelting </w:t>
      </w:r>
    </w:p>
    <w:p w14:paraId="7D5DA536" w14:textId="77777777" w:rsidR="008A4F47" w:rsidRPr="00261B7A" w:rsidRDefault="008A4F47" w:rsidP="008A4F47">
      <w:pPr>
        <w:pStyle w:val="Bullet"/>
      </w:pPr>
      <w:r w:rsidRPr="00261B7A">
        <w:t xml:space="preserve">use of soda ash and limestone in glass making. </w:t>
      </w:r>
    </w:p>
    <w:p w14:paraId="0C97FA23" w14:textId="77777777" w:rsidR="008A4F47" w:rsidRPr="00261B7A" w:rsidRDefault="008A4F47" w:rsidP="008A4F47">
      <w:pPr>
        <w:pStyle w:val="BodyText"/>
      </w:pPr>
      <w:r w:rsidRPr="00261B7A">
        <w:t>Hydrofluorocarbons (HFCs) and perfluorocarbons (PFCs) are used in many products including refrigeration and air conditioning equipment. Some recovered HFCs are exported for destruction. Perfluorocarbons are also emitted as a result of anode effects in aluminium smelting. Sulphur hexafluoride (SF</w:t>
      </w:r>
      <w:r w:rsidRPr="00261B7A">
        <w:rPr>
          <w:vertAlign w:val="subscript"/>
        </w:rPr>
        <w:t>6</w:t>
      </w:r>
      <w:r w:rsidRPr="00261B7A">
        <w:t>) is used in the electricity distribution sector and for small</w:t>
      </w:r>
      <w:r w:rsidRPr="00261B7A">
        <w:noBreakHyphen/>
        <w:t>scale medical and scientific applications. Historically, a very small amount of SF</w:t>
      </w:r>
      <w:r w:rsidRPr="00261B7A">
        <w:rPr>
          <w:vertAlign w:val="subscript"/>
        </w:rPr>
        <w:t>6</w:t>
      </w:r>
      <w:r w:rsidRPr="00261B7A">
        <w:t xml:space="preserve"> has been used for magnesium casting. No fluorinated chemicals are produced in New Zealand; they are all imported. </w:t>
      </w:r>
    </w:p>
    <w:p w14:paraId="3D63CB62" w14:textId="77777777" w:rsidR="008A4F47" w:rsidRPr="00261B7A" w:rsidRDefault="008A4F47" w:rsidP="008A4F47">
      <w:pPr>
        <w:pStyle w:val="BodyText"/>
      </w:pPr>
      <w:r w:rsidRPr="00261B7A">
        <w:t>Small amounts of CO</w:t>
      </w:r>
      <w:r w:rsidRPr="00261B7A">
        <w:rPr>
          <w:vertAlign w:val="subscript"/>
        </w:rPr>
        <w:t>2</w:t>
      </w:r>
      <w:r w:rsidRPr="00261B7A">
        <w:t xml:space="preserve"> are reported from the use of lubricants and paraffin wax, imported calcium carbide, carbonates in kaolin clay used for ceramics production, and secondary lead production (recycling of lead-acid batteries). No other emission sources for direct greenhouse gases are applicable to New Zealand and no other activity data are available. Some indirect greenhouse gas emissions are reported from fertiliser, formaldehyde and other industries. </w:t>
      </w:r>
    </w:p>
    <w:p w14:paraId="387E510F" w14:textId="77777777" w:rsidR="008A4F47" w:rsidRPr="00261B7A" w:rsidRDefault="008A4F47" w:rsidP="008A4F47">
      <w:pPr>
        <w:pStyle w:val="BodyText"/>
      </w:pPr>
      <w:r w:rsidRPr="00261B7A">
        <w:t>New Zealand reports emissions from Tokelau, which is a dependent territory of New Zealand. Emissions from Tokelau for all activities are reported in annex 7 of the National Inventory Report and within the ‘Other’ sector in the common reporting format (CRF) tables. This is due to the significantly different methods applied and the prohibitive complexity of integrating emissions within the main sectors. Therefore, all emissions reported in this sector are from New Zealand excluding Tokelau. Please refer to chapter 8 and annex 7 for details of methods applied and the emissions for Tokelau.</w:t>
      </w:r>
    </w:p>
    <w:p w14:paraId="60F879D9" w14:textId="77777777" w:rsidR="008A4F47" w:rsidRPr="00261B7A" w:rsidRDefault="008A4F47" w:rsidP="0034058F">
      <w:pPr>
        <w:pStyle w:val="Heading3"/>
      </w:pPr>
      <w:r w:rsidRPr="00261B7A">
        <w:t xml:space="preserve">4.1.2 </w:t>
      </w:r>
      <w:r w:rsidRPr="00261B7A">
        <w:tab/>
        <w:t>Emissions summary</w:t>
      </w:r>
    </w:p>
    <w:p w14:paraId="37676C06" w14:textId="77777777" w:rsidR="008A4F47" w:rsidRPr="00261B7A" w:rsidRDefault="008A4F47" w:rsidP="008A4F47">
      <w:pPr>
        <w:pStyle w:val="BodyText"/>
        <w:spacing w:before="100" w:after="100"/>
      </w:pPr>
      <w:r w:rsidRPr="00261B7A">
        <w:t>The IPPU sector in New Zealand produces CO</w:t>
      </w:r>
      <w:r w:rsidRPr="00261B7A">
        <w:rPr>
          <w:vertAlign w:val="subscript"/>
        </w:rPr>
        <w:t>2</w:t>
      </w:r>
      <w:r w:rsidRPr="00261B7A">
        <w:t xml:space="preserve"> emissions (62.8 per cent), fluorinated gases (33.3 per cent) and smaller amounts of CH</w:t>
      </w:r>
      <w:r w:rsidRPr="00261B7A">
        <w:rPr>
          <w:vertAlign w:val="subscript"/>
        </w:rPr>
        <w:t>4</w:t>
      </w:r>
      <w:r w:rsidRPr="00261B7A">
        <w:t xml:space="preserve"> and N</w:t>
      </w:r>
      <w:r w:rsidRPr="00261B7A">
        <w:rPr>
          <w:vertAlign w:val="subscript"/>
        </w:rPr>
        <w:t>2</w:t>
      </w:r>
      <w:r w:rsidRPr="00261B7A">
        <w:t xml:space="preserve">O. The major categories in the IPPU sector are </w:t>
      </w:r>
      <w:r w:rsidRPr="00261B7A">
        <w:rPr>
          <w:i/>
        </w:rPr>
        <w:t>Iron and steel production</w:t>
      </w:r>
      <w:r w:rsidRPr="00261B7A">
        <w:t xml:space="preserve">, </w:t>
      </w:r>
      <w:r w:rsidRPr="00261B7A">
        <w:rPr>
          <w:i/>
        </w:rPr>
        <w:t>Refrigeration and air conditioning</w:t>
      </w:r>
      <w:r w:rsidRPr="00261B7A">
        <w:t xml:space="preserve">, </w:t>
      </w:r>
      <w:r w:rsidRPr="00261B7A">
        <w:rPr>
          <w:i/>
        </w:rPr>
        <w:t>Aluminium production</w:t>
      </w:r>
      <w:r w:rsidRPr="00261B7A">
        <w:t xml:space="preserve"> and </w:t>
      </w:r>
      <w:r w:rsidRPr="00261B7A">
        <w:rPr>
          <w:i/>
        </w:rPr>
        <w:t>Cement production</w:t>
      </w:r>
      <w:r w:rsidRPr="00261B7A">
        <w:t>. Coal and natural gas are also used on a significant scale for energy in the </w:t>
      </w:r>
      <w:r w:rsidRPr="00261B7A">
        <w:rPr>
          <w:i/>
        </w:rPr>
        <w:t>Mineral industry</w:t>
      </w:r>
      <w:r w:rsidRPr="00261B7A">
        <w:t xml:space="preserve">, </w:t>
      </w:r>
      <w:r w:rsidRPr="00261B7A">
        <w:rPr>
          <w:i/>
        </w:rPr>
        <w:t>Chemical industry</w:t>
      </w:r>
      <w:r w:rsidRPr="00261B7A">
        <w:t xml:space="preserve"> and </w:t>
      </w:r>
      <w:r w:rsidRPr="00261B7A">
        <w:rPr>
          <w:i/>
        </w:rPr>
        <w:t>Metal industry</w:t>
      </w:r>
      <w:r w:rsidRPr="00261B7A">
        <w:t xml:space="preserve"> categories. Carbon dioxide and any other emissions from combustion of fuels in these industries are reported under the Energy sector. </w:t>
      </w:r>
    </w:p>
    <w:p w14:paraId="15A7F521" w14:textId="77777777" w:rsidR="008A4F47" w:rsidRPr="00261B7A" w:rsidRDefault="008A4F47" w:rsidP="008A4F47">
      <w:pPr>
        <w:pStyle w:val="Heading5"/>
      </w:pPr>
      <w:r w:rsidRPr="00261B7A">
        <w:t>2021</w:t>
      </w:r>
    </w:p>
    <w:p w14:paraId="6773A962" w14:textId="77777777" w:rsidR="008A4F47" w:rsidRPr="00261B7A" w:rsidRDefault="008A4F47" w:rsidP="008A4F47">
      <w:pPr>
        <w:pStyle w:val="BodyText"/>
        <w:spacing w:before="100" w:after="100"/>
      </w:pPr>
      <w:r w:rsidRPr="00261B7A">
        <w:t>In 2021, emissions in the IPPU sector contributed 4,609.6 kilotonnes carbon dioxide equivalent (kt CO</w:t>
      </w:r>
      <w:r w:rsidRPr="00261B7A">
        <w:rPr>
          <w:vertAlign w:val="subscript"/>
        </w:rPr>
        <w:t>2</w:t>
      </w:r>
      <w:r w:rsidRPr="00261B7A">
        <w:t xml:space="preserve">-e), or 6.0 per cent, of New Zealand’s gross greenhouse gas emissions. </w:t>
      </w:r>
    </w:p>
    <w:p w14:paraId="5B360FDB" w14:textId="77777777" w:rsidR="008A4F47" w:rsidRPr="00261B7A" w:rsidRDefault="008A4F47" w:rsidP="008A4F47">
      <w:pPr>
        <w:pStyle w:val="BodyText"/>
        <w:spacing w:before="100" w:after="100"/>
      </w:pPr>
      <w:r w:rsidRPr="00261B7A">
        <w:t xml:space="preserve">The largest category is the </w:t>
      </w:r>
      <w:r w:rsidRPr="00261B7A">
        <w:rPr>
          <w:i/>
        </w:rPr>
        <w:t>Metal industry</w:t>
      </w:r>
      <w:r w:rsidRPr="00261B7A">
        <w:t xml:space="preserve"> category, with substantial CO</w:t>
      </w:r>
      <w:r w:rsidRPr="00261B7A">
        <w:rPr>
          <w:vertAlign w:val="subscript"/>
        </w:rPr>
        <w:t>2</w:t>
      </w:r>
      <w:r w:rsidRPr="00261B7A">
        <w:t xml:space="preserve"> emissions from the </w:t>
      </w:r>
      <w:r w:rsidRPr="00261B7A">
        <w:rPr>
          <w:i/>
        </w:rPr>
        <w:t>Iron and steel production</w:t>
      </w:r>
      <w:r w:rsidRPr="00261B7A">
        <w:t xml:space="preserve"> and </w:t>
      </w:r>
      <w:r w:rsidRPr="00261B7A">
        <w:rPr>
          <w:i/>
        </w:rPr>
        <w:t>Aluminium production</w:t>
      </w:r>
      <w:r w:rsidRPr="00261B7A">
        <w:t xml:space="preserve"> categories, as well as PFCs from the </w:t>
      </w:r>
      <w:r w:rsidRPr="00261B7A">
        <w:rPr>
          <w:i/>
        </w:rPr>
        <w:t>Aluminium production</w:t>
      </w:r>
      <w:r w:rsidRPr="00261B7A">
        <w:t xml:space="preserve"> category in earlier years. The </w:t>
      </w:r>
      <w:r w:rsidRPr="00261B7A">
        <w:rPr>
          <w:i/>
        </w:rPr>
        <w:t xml:space="preserve">Mineral industry </w:t>
      </w:r>
      <w:r w:rsidRPr="00261B7A">
        <w:t xml:space="preserve">and </w:t>
      </w:r>
      <w:r w:rsidRPr="00261B7A">
        <w:rPr>
          <w:i/>
        </w:rPr>
        <w:t>Chemical industry</w:t>
      </w:r>
      <w:r w:rsidRPr="00261B7A">
        <w:t xml:space="preserve"> categories also contribute significant CO</w:t>
      </w:r>
      <w:r w:rsidRPr="00261B7A">
        <w:rPr>
          <w:vertAlign w:val="subscript"/>
        </w:rPr>
        <w:t>2</w:t>
      </w:r>
      <w:r w:rsidRPr="00261B7A">
        <w:t xml:space="preserve"> emissions, and most of the non-CO</w:t>
      </w:r>
      <w:r w:rsidRPr="00261B7A">
        <w:rPr>
          <w:vertAlign w:val="subscript"/>
        </w:rPr>
        <w:t>2</w:t>
      </w:r>
      <w:r w:rsidRPr="00261B7A">
        <w:t xml:space="preserve"> emissions come from the </w:t>
      </w:r>
      <w:r w:rsidRPr="00261B7A">
        <w:rPr>
          <w:i/>
        </w:rPr>
        <w:t>Product uses as substitutes for ozone depleting substances (ODS)</w:t>
      </w:r>
      <w:r w:rsidRPr="00261B7A">
        <w:t xml:space="preserve"> category. </w:t>
      </w:r>
    </w:p>
    <w:p w14:paraId="440B3D0B" w14:textId="77777777" w:rsidR="008A4F47" w:rsidRPr="00261B7A" w:rsidRDefault="008A4F47" w:rsidP="008A4F47">
      <w:pPr>
        <w:pStyle w:val="BodyText"/>
        <w:spacing w:before="100" w:after="100"/>
      </w:pPr>
      <w:r w:rsidRPr="00261B7A">
        <w:t>The IPPU sector also produces smaller amounts of CH</w:t>
      </w:r>
      <w:r w:rsidRPr="00261B7A">
        <w:rPr>
          <w:vertAlign w:val="subscript"/>
        </w:rPr>
        <w:t>4</w:t>
      </w:r>
      <w:r w:rsidRPr="00261B7A">
        <w:t xml:space="preserve"> from methanol production and N</w:t>
      </w:r>
      <w:r w:rsidRPr="00261B7A">
        <w:rPr>
          <w:vertAlign w:val="subscript"/>
        </w:rPr>
        <w:t>2</w:t>
      </w:r>
      <w:r w:rsidRPr="00261B7A">
        <w:t xml:space="preserve">O used for medical applications in the </w:t>
      </w:r>
      <w:r w:rsidRPr="00261B7A">
        <w:rPr>
          <w:i/>
        </w:rPr>
        <w:t>Other product manufacture and use</w:t>
      </w:r>
      <w:r w:rsidRPr="00261B7A">
        <w:t xml:space="preserve"> category.</w:t>
      </w:r>
    </w:p>
    <w:p w14:paraId="7E31ABD4" w14:textId="77777777" w:rsidR="008A4F47" w:rsidRPr="00261B7A" w:rsidRDefault="008A4F47" w:rsidP="008A4F47">
      <w:pPr>
        <w:pStyle w:val="BodyText"/>
        <w:spacing w:before="100" w:after="100"/>
      </w:pPr>
      <w:r w:rsidRPr="00261B7A">
        <w:t xml:space="preserve">Coal and natural gas are also used on a significant scale for energy in these industries, and related emissions are reported under the Energy sector in the category </w:t>
      </w:r>
      <w:r w:rsidRPr="00261B7A">
        <w:rPr>
          <w:i/>
        </w:rPr>
        <w:t>Manufacturing industries and construction</w:t>
      </w:r>
      <w:r w:rsidRPr="00261B7A">
        <w:t>.</w:t>
      </w:r>
    </w:p>
    <w:p w14:paraId="5299E63D" w14:textId="77777777" w:rsidR="008A4F47" w:rsidRPr="00261B7A" w:rsidRDefault="008A4F47" w:rsidP="008A4F47">
      <w:pPr>
        <w:pStyle w:val="BodyText"/>
        <w:spacing w:before="100" w:after="100"/>
      </w:pPr>
      <w:r w:rsidRPr="00261B7A">
        <w:t>The emissions by category are shown in table 4.1.1.</w:t>
      </w:r>
    </w:p>
    <w:p w14:paraId="7522A6AC" w14:textId="77777777" w:rsidR="008A4F47" w:rsidRPr="00261B7A" w:rsidRDefault="008A4F47" w:rsidP="008A4F47">
      <w:pPr>
        <w:pStyle w:val="Heading5"/>
      </w:pPr>
      <w:r w:rsidRPr="00261B7A">
        <w:t>1990–2021</w:t>
      </w:r>
    </w:p>
    <w:p w14:paraId="4D60FFA2" w14:textId="77777777" w:rsidR="008A4F47" w:rsidRPr="00261B7A" w:rsidRDefault="008A4F47" w:rsidP="008A4F47">
      <w:pPr>
        <w:pStyle w:val="BodyText"/>
      </w:pPr>
      <w:r w:rsidRPr="00261B7A">
        <w:t>Emissions from the IPPU sector in 2021 were 1,029.7 kt CO</w:t>
      </w:r>
      <w:r w:rsidRPr="00261B7A">
        <w:rPr>
          <w:vertAlign w:val="subscript"/>
        </w:rPr>
        <w:t>2</w:t>
      </w:r>
      <w:r w:rsidRPr="00261B7A">
        <w:t>-e (28.8 per cent) higher than emissions in 1990 (3,579.9 kt CO</w:t>
      </w:r>
      <w:r w:rsidRPr="00261B7A">
        <w:rPr>
          <w:vertAlign w:val="subscript"/>
        </w:rPr>
        <w:t>2</w:t>
      </w:r>
      <w:r w:rsidRPr="00261B7A">
        <w:t xml:space="preserve">-e). This increase was mainly driven by increasing emissions from the </w:t>
      </w:r>
      <w:r w:rsidRPr="00261B7A">
        <w:rPr>
          <w:i/>
        </w:rPr>
        <w:t xml:space="preserve">Product uses as substitutes for ODS </w:t>
      </w:r>
      <w:r w:rsidRPr="00261B7A">
        <w:t xml:space="preserve">category, due to the introduction of HFCs to replace ODS in refrigeration and air conditioning and the increased use of household and commercial air conditioning. </w:t>
      </w:r>
    </w:p>
    <w:p w14:paraId="1D3BBA1A" w14:textId="77777777" w:rsidR="008A4F47" w:rsidRPr="00261B7A" w:rsidRDefault="008A4F47" w:rsidP="008A4F47">
      <w:pPr>
        <w:pStyle w:val="BodyText"/>
      </w:pPr>
      <w:r w:rsidRPr="00261B7A">
        <w:t xml:space="preserve">Carbon dioxide emissions have also increased due to increased production of metals, lime and cement, but at a slower rate. In 2020 and 2021 the increase was offset by reduced emissions due to COVID-19 restrictions and the progressive shutdown of the Marsden Point oil refinery. There has been a substantial reduction in emissions of PFCs due to improved management of anode effects in the </w:t>
      </w:r>
      <w:r w:rsidRPr="00261B7A">
        <w:rPr>
          <w:i/>
        </w:rPr>
        <w:t>Aluminium production</w:t>
      </w:r>
      <w:r w:rsidRPr="00261B7A">
        <w:t xml:space="preserve"> category and some reduction in emissions of N</w:t>
      </w:r>
      <w:r w:rsidRPr="00261B7A">
        <w:rPr>
          <w:vertAlign w:val="subscript"/>
        </w:rPr>
        <w:t>2</w:t>
      </w:r>
      <w:r w:rsidRPr="00261B7A">
        <w:t xml:space="preserve">O used for medical applications in the </w:t>
      </w:r>
      <w:r w:rsidRPr="00261B7A">
        <w:rPr>
          <w:i/>
        </w:rPr>
        <w:t>Other product manufacture and use</w:t>
      </w:r>
      <w:r w:rsidRPr="00261B7A">
        <w:t xml:space="preserve"> category. The trends are shown in figures 4.1.1 and 4.1.2. </w:t>
      </w:r>
    </w:p>
    <w:p w14:paraId="175F3F87" w14:textId="77777777" w:rsidR="008A4F47" w:rsidRPr="00261B7A" w:rsidRDefault="008A4F47" w:rsidP="008A4F47">
      <w:pPr>
        <w:pStyle w:val="Heading5"/>
      </w:pPr>
      <w:r w:rsidRPr="00261B7A">
        <w:t>2020–2021</w:t>
      </w:r>
    </w:p>
    <w:p w14:paraId="3C14EDD8" w14:textId="77777777" w:rsidR="008A4F47" w:rsidRPr="00261B7A" w:rsidRDefault="008A4F47" w:rsidP="008A4F47">
      <w:pPr>
        <w:pStyle w:val="BodyText"/>
      </w:pPr>
      <w:r w:rsidRPr="00261B7A">
        <w:t>Between 2020 and 2021, emissions from the IPPU sector increased by 26.7 kt CO</w:t>
      </w:r>
      <w:r w:rsidRPr="00261B7A">
        <w:rPr>
          <w:vertAlign w:val="subscript"/>
        </w:rPr>
        <w:t>2</w:t>
      </w:r>
      <w:r w:rsidRPr="00261B7A">
        <w:t xml:space="preserve">-e (0.6 per cent). </w:t>
      </w:r>
    </w:p>
    <w:p w14:paraId="09F53C1B" w14:textId="77777777" w:rsidR="008A4F47" w:rsidRPr="00261B7A" w:rsidRDefault="008A4F47" w:rsidP="008A4F47">
      <w:pPr>
        <w:pStyle w:val="BodyText"/>
      </w:pPr>
      <w:r w:rsidRPr="00261B7A">
        <w:t xml:space="preserve">This change was the result of a recovery to normal rates of production and emissions from the </w:t>
      </w:r>
      <w:r w:rsidRPr="00261B7A">
        <w:rPr>
          <w:i/>
          <w:spacing w:val="-2"/>
        </w:rPr>
        <w:t>Metal industry</w:t>
      </w:r>
      <w:r w:rsidRPr="00261B7A">
        <w:rPr>
          <w:spacing w:val="-2"/>
        </w:rPr>
        <w:t xml:space="preserve"> and other categories, following plant shutdowns related to COVID-19 restrictions</w:t>
      </w:r>
      <w:r w:rsidRPr="00261B7A">
        <w:t xml:space="preserve"> in 2020. New Zealand had a national lockdown in force from 26 March to 27 May 2020. Emissions from the Marsden Point oil refinery, however, remained at lower levels as the company prepared to shut the plant down in March 2022. </w:t>
      </w:r>
    </w:p>
    <w:p w14:paraId="200F99F9" w14:textId="77777777" w:rsidR="008A4F47" w:rsidRPr="00261B7A" w:rsidRDefault="008A4F47" w:rsidP="008A4F47">
      <w:pPr>
        <w:pStyle w:val="Table"/>
      </w:pPr>
      <w:bookmarkStart w:id="440" w:name="_Toc414531402"/>
      <w:bookmarkStart w:id="441" w:name="_Toc451176065"/>
      <w:bookmarkStart w:id="442" w:name="_Toc5269455"/>
      <w:bookmarkStart w:id="443" w:name="_Toc36224528"/>
      <w:bookmarkStart w:id="444" w:name="_Toc68786415"/>
      <w:bookmarkStart w:id="445" w:name="_Toc128042748"/>
      <w:bookmarkStart w:id="446" w:name="_Toc131591328"/>
      <w:r w:rsidRPr="00261B7A">
        <w:t xml:space="preserve">Table 4.1.1 </w:t>
      </w:r>
      <w:r w:rsidRPr="00261B7A">
        <w:tab/>
        <w:t>New Zealand’s greenhouse gas emissions for the IPPU sector by category</w:t>
      </w:r>
      <w:bookmarkEnd w:id="440"/>
      <w:r w:rsidRPr="00261B7A">
        <w:t xml:space="preserve"> in 1990 and </w:t>
      </w:r>
      <w:bookmarkEnd w:id="441"/>
      <w:bookmarkEnd w:id="442"/>
      <w:bookmarkEnd w:id="443"/>
      <w:bookmarkEnd w:id="444"/>
      <w:bookmarkEnd w:id="445"/>
      <w:r w:rsidRPr="00261B7A">
        <w:t>2021</w:t>
      </w:r>
      <w:bookmarkEnd w:id="446"/>
    </w:p>
    <w:tbl>
      <w:tblPr>
        <w:tblW w:w="8505"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2990"/>
        <w:gridCol w:w="844"/>
        <w:gridCol w:w="847"/>
        <w:gridCol w:w="985"/>
        <w:gridCol w:w="1126"/>
        <w:gridCol w:w="845"/>
        <w:gridCol w:w="868"/>
      </w:tblGrid>
      <w:tr w:rsidR="008A4F47" w:rsidRPr="00261B7A" w14:paraId="335310A6" w14:textId="77777777" w:rsidTr="00D41492">
        <w:tc>
          <w:tcPr>
            <w:tcW w:w="1758" w:type="pct"/>
            <w:shd w:val="clear" w:color="auto" w:fill="1B556B"/>
            <w:vAlign w:val="bottom"/>
          </w:tcPr>
          <w:p w14:paraId="1192A7D9" w14:textId="77777777" w:rsidR="008A4F47" w:rsidRPr="00261B7A" w:rsidRDefault="008A4F47" w:rsidP="00D41492">
            <w:pPr>
              <w:pStyle w:val="TableTextBold"/>
              <w:spacing w:after="0"/>
              <w:jc w:val="center"/>
              <w:rPr>
                <w:noProof w:val="0"/>
                <w:color w:val="FFFFFF"/>
              </w:rPr>
            </w:pPr>
          </w:p>
        </w:tc>
        <w:tc>
          <w:tcPr>
            <w:tcW w:w="994" w:type="pct"/>
            <w:gridSpan w:val="2"/>
            <w:shd w:val="clear" w:color="auto" w:fill="1B556B"/>
            <w:vAlign w:val="bottom"/>
            <w:hideMark/>
          </w:tcPr>
          <w:p w14:paraId="423DE0C3" w14:textId="77777777" w:rsidR="008A4F47" w:rsidRPr="00261B7A" w:rsidRDefault="008A4F47" w:rsidP="00D41492">
            <w:pPr>
              <w:pStyle w:val="TableTextBold"/>
              <w:spacing w:after="0"/>
              <w:jc w:val="center"/>
              <w:rPr>
                <w:noProof w:val="0"/>
                <w:color w:val="FFFFFF"/>
              </w:rPr>
            </w:pPr>
            <w:r w:rsidRPr="00261B7A">
              <w:rPr>
                <w:noProof w:val="0"/>
                <w:color w:val="FFFFFF"/>
              </w:rPr>
              <w:t xml:space="preserve">Emissions </w:t>
            </w:r>
            <w:r w:rsidRPr="00261B7A">
              <w:rPr>
                <w:noProof w:val="0"/>
                <w:color w:val="FFFFFF"/>
              </w:rPr>
              <w:br/>
              <w:t>(kt CO</w:t>
            </w:r>
            <w:r w:rsidRPr="00261B7A">
              <w:rPr>
                <w:noProof w:val="0"/>
                <w:color w:val="FFFFFF"/>
                <w:vertAlign w:val="subscript"/>
              </w:rPr>
              <w:t>2</w:t>
            </w:r>
            <w:r w:rsidRPr="00261B7A">
              <w:rPr>
                <w:noProof w:val="0"/>
                <w:color w:val="FFFFFF"/>
              </w:rPr>
              <w:t>-e)</w:t>
            </w:r>
          </w:p>
        </w:tc>
        <w:tc>
          <w:tcPr>
            <w:tcW w:w="579" w:type="pct"/>
            <w:shd w:val="clear" w:color="auto" w:fill="1B556B"/>
            <w:vAlign w:val="bottom"/>
            <w:hideMark/>
          </w:tcPr>
          <w:p w14:paraId="5AE463C4" w14:textId="77777777" w:rsidR="008A4F47" w:rsidRPr="00261B7A" w:rsidRDefault="008A4F47" w:rsidP="00D41492">
            <w:pPr>
              <w:pStyle w:val="TableTextBold"/>
              <w:spacing w:after="0"/>
              <w:jc w:val="right"/>
              <w:rPr>
                <w:noProof w:val="0"/>
                <w:color w:val="FFFFFF"/>
              </w:rPr>
            </w:pPr>
            <w:r w:rsidRPr="00261B7A">
              <w:rPr>
                <w:noProof w:val="0"/>
                <w:color w:val="FFFFFF"/>
              </w:rPr>
              <w:t>Difference (kt CO</w:t>
            </w:r>
            <w:r w:rsidRPr="00261B7A">
              <w:rPr>
                <w:noProof w:val="0"/>
                <w:color w:val="FFFFFF"/>
                <w:vertAlign w:val="subscript"/>
              </w:rPr>
              <w:t>2</w:t>
            </w:r>
            <w:r w:rsidRPr="00261B7A">
              <w:rPr>
                <w:noProof w:val="0"/>
                <w:color w:val="FFFFFF"/>
              </w:rPr>
              <w:noBreakHyphen/>
              <w:t>e)</w:t>
            </w:r>
          </w:p>
        </w:tc>
        <w:tc>
          <w:tcPr>
            <w:tcW w:w="662" w:type="pct"/>
            <w:shd w:val="clear" w:color="auto" w:fill="1B556B"/>
            <w:vAlign w:val="bottom"/>
            <w:hideMark/>
          </w:tcPr>
          <w:p w14:paraId="06D4489F" w14:textId="77777777" w:rsidR="008A4F47" w:rsidRPr="00261B7A" w:rsidRDefault="008A4F47" w:rsidP="00D41492">
            <w:pPr>
              <w:pStyle w:val="TableTextBold"/>
              <w:spacing w:after="0"/>
              <w:jc w:val="center"/>
              <w:rPr>
                <w:noProof w:val="0"/>
                <w:color w:val="FFFFFF"/>
              </w:rPr>
            </w:pPr>
            <w:r w:rsidRPr="00261B7A">
              <w:rPr>
                <w:noProof w:val="0"/>
                <w:color w:val="FFFFFF"/>
              </w:rPr>
              <w:t>Change (%)</w:t>
            </w:r>
          </w:p>
        </w:tc>
        <w:tc>
          <w:tcPr>
            <w:tcW w:w="1007" w:type="pct"/>
            <w:gridSpan w:val="2"/>
            <w:shd w:val="clear" w:color="auto" w:fill="1B556B"/>
            <w:vAlign w:val="bottom"/>
            <w:hideMark/>
          </w:tcPr>
          <w:p w14:paraId="18F2BD40" w14:textId="77777777" w:rsidR="008A4F47" w:rsidRPr="00261B7A" w:rsidRDefault="008A4F47" w:rsidP="00D41492">
            <w:pPr>
              <w:pStyle w:val="TableTextBold"/>
              <w:spacing w:after="0"/>
              <w:jc w:val="center"/>
              <w:rPr>
                <w:noProof w:val="0"/>
                <w:color w:val="FFFFFF"/>
              </w:rPr>
            </w:pPr>
            <w:r w:rsidRPr="00261B7A">
              <w:rPr>
                <w:noProof w:val="0"/>
                <w:color w:val="FFFFFF"/>
              </w:rPr>
              <w:t>Share (%)</w:t>
            </w:r>
          </w:p>
        </w:tc>
      </w:tr>
      <w:tr w:rsidR="008A4F47" w:rsidRPr="00261B7A" w14:paraId="30977A5E" w14:textId="77777777" w:rsidTr="00D41492">
        <w:tc>
          <w:tcPr>
            <w:tcW w:w="1758" w:type="pct"/>
            <w:tcBorders>
              <w:bottom w:val="single" w:sz="4" w:space="0" w:color="1B556B"/>
            </w:tcBorders>
            <w:shd w:val="clear" w:color="auto" w:fill="1B556B"/>
            <w:vAlign w:val="bottom"/>
            <w:hideMark/>
          </w:tcPr>
          <w:p w14:paraId="14B28653" w14:textId="77777777" w:rsidR="008A4F47" w:rsidRPr="00261B7A" w:rsidRDefault="008A4F47" w:rsidP="00D41492">
            <w:pPr>
              <w:pStyle w:val="TableTextBold"/>
              <w:rPr>
                <w:noProof w:val="0"/>
                <w:color w:val="FFFFFF"/>
              </w:rPr>
            </w:pPr>
            <w:r w:rsidRPr="00261B7A">
              <w:rPr>
                <w:noProof w:val="0"/>
                <w:color w:val="FFFFFF"/>
              </w:rPr>
              <w:t>Source category</w:t>
            </w:r>
          </w:p>
        </w:tc>
        <w:tc>
          <w:tcPr>
            <w:tcW w:w="496" w:type="pct"/>
            <w:tcBorders>
              <w:bottom w:val="single" w:sz="4" w:space="0" w:color="1B556B"/>
            </w:tcBorders>
            <w:shd w:val="clear" w:color="auto" w:fill="1B556B"/>
            <w:vAlign w:val="bottom"/>
            <w:hideMark/>
          </w:tcPr>
          <w:p w14:paraId="1FD7E5B6" w14:textId="77777777" w:rsidR="008A4F47" w:rsidRPr="00261B7A" w:rsidRDefault="008A4F47" w:rsidP="00D41492">
            <w:pPr>
              <w:pStyle w:val="TableTextBold"/>
              <w:jc w:val="right"/>
              <w:rPr>
                <w:noProof w:val="0"/>
                <w:color w:val="FFFFFF"/>
              </w:rPr>
            </w:pPr>
            <w:r w:rsidRPr="00261B7A">
              <w:rPr>
                <w:noProof w:val="0"/>
                <w:color w:val="FFFFFF"/>
              </w:rPr>
              <w:t>1990</w:t>
            </w:r>
          </w:p>
        </w:tc>
        <w:tc>
          <w:tcPr>
            <w:tcW w:w="498" w:type="pct"/>
            <w:tcBorders>
              <w:bottom w:val="single" w:sz="4" w:space="0" w:color="1B556B"/>
            </w:tcBorders>
            <w:shd w:val="clear" w:color="auto" w:fill="1B556B"/>
            <w:vAlign w:val="bottom"/>
            <w:hideMark/>
          </w:tcPr>
          <w:p w14:paraId="38943C80" w14:textId="77777777" w:rsidR="008A4F47" w:rsidRPr="00261B7A" w:rsidRDefault="008A4F47" w:rsidP="00D41492">
            <w:pPr>
              <w:pStyle w:val="TableTextBold"/>
              <w:jc w:val="right"/>
              <w:rPr>
                <w:noProof w:val="0"/>
                <w:color w:val="FFFFFF"/>
              </w:rPr>
            </w:pPr>
            <w:r w:rsidRPr="00261B7A">
              <w:rPr>
                <w:noProof w:val="0"/>
                <w:color w:val="FFFFFF"/>
              </w:rPr>
              <w:t>2021</w:t>
            </w:r>
          </w:p>
        </w:tc>
        <w:tc>
          <w:tcPr>
            <w:tcW w:w="579" w:type="pct"/>
            <w:tcBorders>
              <w:bottom w:val="single" w:sz="4" w:space="0" w:color="1B556B"/>
            </w:tcBorders>
            <w:shd w:val="clear" w:color="auto" w:fill="1B556B"/>
            <w:vAlign w:val="bottom"/>
            <w:hideMark/>
          </w:tcPr>
          <w:p w14:paraId="29E1DBFC" w14:textId="77777777" w:rsidR="008A4F47" w:rsidRPr="00261B7A" w:rsidRDefault="008A4F47" w:rsidP="00D41492">
            <w:pPr>
              <w:pStyle w:val="TableTextBold"/>
              <w:jc w:val="right"/>
              <w:rPr>
                <w:noProof w:val="0"/>
                <w:color w:val="FFFFFF"/>
              </w:rPr>
            </w:pPr>
            <w:r w:rsidRPr="00261B7A">
              <w:rPr>
                <w:noProof w:val="0"/>
                <w:color w:val="FFFFFF"/>
              </w:rPr>
              <w:t>1990–2021</w:t>
            </w:r>
          </w:p>
        </w:tc>
        <w:tc>
          <w:tcPr>
            <w:tcW w:w="662" w:type="pct"/>
            <w:tcBorders>
              <w:bottom w:val="single" w:sz="4" w:space="0" w:color="1B556B"/>
            </w:tcBorders>
            <w:shd w:val="clear" w:color="auto" w:fill="1B556B"/>
            <w:vAlign w:val="bottom"/>
            <w:hideMark/>
          </w:tcPr>
          <w:p w14:paraId="58C11216" w14:textId="77777777" w:rsidR="008A4F47" w:rsidRPr="00261B7A" w:rsidRDefault="008A4F47" w:rsidP="00D41492">
            <w:pPr>
              <w:pStyle w:val="TableTextBold"/>
              <w:jc w:val="right"/>
              <w:rPr>
                <w:noProof w:val="0"/>
                <w:color w:val="FFFFFF"/>
              </w:rPr>
            </w:pPr>
            <w:r w:rsidRPr="00261B7A">
              <w:rPr>
                <w:noProof w:val="0"/>
                <w:color w:val="FFFFFF"/>
              </w:rPr>
              <w:t>1990–2021</w:t>
            </w:r>
          </w:p>
        </w:tc>
        <w:tc>
          <w:tcPr>
            <w:tcW w:w="497" w:type="pct"/>
            <w:tcBorders>
              <w:bottom w:val="single" w:sz="4" w:space="0" w:color="1B556B"/>
            </w:tcBorders>
            <w:shd w:val="clear" w:color="auto" w:fill="1B556B"/>
            <w:vAlign w:val="bottom"/>
            <w:hideMark/>
          </w:tcPr>
          <w:p w14:paraId="01DFB109" w14:textId="77777777" w:rsidR="008A4F47" w:rsidRPr="00261B7A" w:rsidRDefault="008A4F47" w:rsidP="00D41492">
            <w:pPr>
              <w:pStyle w:val="TableTextBold"/>
              <w:jc w:val="right"/>
              <w:rPr>
                <w:noProof w:val="0"/>
                <w:color w:val="FFFFFF"/>
              </w:rPr>
            </w:pPr>
            <w:r w:rsidRPr="00261B7A">
              <w:rPr>
                <w:noProof w:val="0"/>
                <w:color w:val="FFFFFF"/>
              </w:rPr>
              <w:t>1990</w:t>
            </w:r>
          </w:p>
        </w:tc>
        <w:tc>
          <w:tcPr>
            <w:tcW w:w="510" w:type="pct"/>
            <w:tcBorders>
              <w:bottom w:val="single" w:sz="4" w:space="0" w:color="1B556B"/>
            </w:tcBorders>
            <w:shd w:val="clear" w:color="auto" w:fill="1B556B"/>
            <w:vAlign w:val="bottom"/>
            <w:hideMark/>
          </w:tcPr>
          <w:p w14:paraId="7D974DFA" w14:textId="77777777" w:rsidR="008A4F47" w:rsidRPr="00261B7A" w:rsidRDefault="008A4F47" w:rsidP="00D41492">
            <w:pPr>
              <w:pStyle w:val="TableTextBold"/>
              <w:jc w:val="right"/>
              <w:rPr>
                <w:noProof w:val="0"/>
                <w:color w:val="FFFFFF"/>
              </w:rPr>
            </w:pPr>
            <w:r w:rsidRPr="00261B7A">
              <w:rPr>
                <w:noProof w:val="0"/>
                <w:color w:val="FFFFFF"/>
              </w:rPr>
              <w:t>2021</w:t>
            </w:r>
          </w:p>
        </w:tc>
      </w:tr>
      <w:tr w:rsidR="008A4F47" w:rsidRPr="00261B7A" w14:paraId="1C645F10" w14:textId="77777777" w:rsidTr="00D41492">
        <w:trPr>
          <w:trHeight w:val="250"/>
        </w:trPr>
        <w:tc>
          <w:tcPr>
            <w:tcW w:w="1758" w:type="pct"/>
            <w:hideMark/>
          </w:tcPr>
          <w:p w14:paraId="3E3E2D02" w14:textId="77777777" w:rsidR="008A4F47" w:rsidRPr="00261B7A" w:rsidRDefault="008A4F47" w:rsidP="00D41492">
            <w:pPr>
              <w:pStyle w:val="TableText"/>
              <w:spacing w:before="50" w:after="50"/>
            </w:pPr>
            <w:r w:rsidRPr="00261B7A">
              <w:t>Mineral industry (2.A)</w:t>
            </w:r>
          </w:p>
        </w:tc>
        <w:tc>
          <w:tcPr>
            <w:tcW w:w="496" w:type="pct"/>
            <w:hideMark/>
          </w:tcPr>
          <w:p w14:paraId="72517CCA" w14:textId="77777777" w:rsidR="008A4F47" w:rsidRPr="00261B7A" w:rsidRDefault="008A4F47" w:rsidP="00D41492">
            <w:pPr>
              <w:pStyle w:val="TableText"/>
              <w:spacing w:before="50" w:after="50"/>
              <w:jc w:val="right"/>
            </w:pPr>
            <w:r w:rsidRPr="00261B7A">
              <w:t>561.9</w:t>
            </w:r>
          </w:p>
        </w:tc>
        <w:tc>
          <w:tcPr>
            <w:tcW w:w="498" w:type="pct"/>
            <w:hideMark/>
          </w:tcPr>
          <w:p w14:paraId="3B2D5422" w14:textId="77777777" w:rsidR="008A4F47" w:rsidRPr="00261B7A" w:rsidRDefault="008A4F47" w:rsidP="00D41492">
            <w:pPr>
              <w:pStyle w:val="TableText"/>
              <w:spacing w:before="50" w:after="50"/>
              <w:jc w:val="right"/>
            </w:pPr>
            <w:r w:rsidRPr="00261B7A">
              <w:t>529.2</w:t>
            </w:r>
          </w:p>
        </w:tc>
        <w:tc>
          <w:tcPr>
            <w:tcW w:w="579" w:type="pct"/>
            <w:hideMark/>
          </w:tcPr>
          <w:p w14:paraId="550174D7" w14:textId="77777777" w:rsidR="008A4F47" w:rsidRPr="00261B7A" w:rsidRDefault="008A4F47" w:rsidP="00D41492">
            <w:pPr>
              <w:pStyle w:val="TableText"/>
              <w:spacing w:before="50" w:after="50"/>
              <w:jc w:val="right"/>
            </w:pPr>
            <w:r w:rsidRPr="00261B7A">
              <w:t>–32.7</w:t>
            </w:r>
          </w:p>
        </w:tc>
        <w:tc>
          <w:tcPr>
            <w:tcW w:w="662" w:type="pct"/>
            <w:hideMark/>
          </w:tcPr>
          <w:p w14:paraId="33EC49CD" w14:textId="77777777" w:rsidR="008A4F47" w:rsidRPr="00261B7A" w:rsidRDefault="008A4F47" w:rsidP="00D41492">
            <w:pPr>
              <w:pStyle w:val="TableText"/>
              <w:spacing w:before="50" w:after="50"/>
              <w:jc w:val="right"/>
            </w:pPr>
            <w:r w:rsidRPr="00261B7A">
              <w:t>–5.8</w:t>
            </w:r>
          </w:p>
        </w:tc>
        <w:tc>
          <w:tcPr>
            <w:tcW w:w="497" w:type="pct"/>
            <w:hideMark/>
          </w:tcPr>
          <w:p w14:paraId="0AD81451" w14:textId="77777777" w:rsidR="008A4F47" w:rsidRPr="00261B7A" w:rsidRDefault="008A4F47" w:rsidP="00D41492">
            <w:pPr>
              <w:pStyle w:val="TableText"/>
              <w:spacing w:before="50" w:after="50"/>
              <w:jc w:val="right"/>
            </w:pPr>
            <w:r w:rsidRPr="00261B7A">
              <w:t>15.7</w:t>
            </w:r>
          </w:p>
        </w:tc>
        <w:tc>
          <w:tcPr>
            <w:tcW w:w="510" w:type="pct"/>
            <w:hideMark/>
          </w:tcPr>
          <w:p w14:paraId="1E902EE9" w14:textId="77777777" w:rsidR="008A4F47" w:rsidRPr="00261B7A" w:rsidRDefault="008A4F47" w:rsidP="00D41492">
            <w:pPr>
              <w:pStyle w:val="TableText"/>
              <w:spacing w:before="50" w:after="50"/>
              <w:jc w:val="right"/>
            </w:pPr>
            <w:r w:rsidRPr="00261B7A">
              <w:t>11.5</w:t>
            </w:r>
          </w:p>
        </w:tc>
      </w:tr>
      <w:tr w:rsidR="008A4F47" w:rsidRPr="00261B7A" w14:paraId="53B44B62" w14:textId="77777777" w:rsidTr="00D41492">
        <w:tc>
          <w:tcPr>
            <w:tcW w:w="1758" w:type="pct"/>
            <w:hideMark/>
          </w:tcPr>
          <w:p w14:paraId="519FA80D" w14:textId="77777777" w:rsidR="008A4F47" w:rsidRPr="00261B7A" w:rsidRDefault="008A4F47" w:rsidP="00D41492">
            <w:pPr>
              <w:pStyle w:val="TableText"/>
              <w:spacing w:before="50" w:after="50"/>
            </w:pPr>
            <w:r w:rsidRPr="00261B7A">
              <w:t>Chemical industry (2.B)</w:t>
            </w:r>
          </w:p>
        </w:tc>
        <w:tc>
          <w:tcPr>
            <w:tcW w:w="496" w:type="pct"/>
            <w:hideMark/>
          </w:tcPr>
          <w:p w14:paraId="74FEE03F" w14:textId="77777777" w:rsidR="008A4F47" w:rsidRPr="00261B7A" w:rsidRDefault="008A4F47" w:rsidP="00D41492">
            <w:pPr>
              <w:pStyle w:val="TableText"/>
              <w:spacing w:before="50" w:after="50"/>
              <w:jc w:val="right"/>
            </w:pPr>
            <w:r w:rsidRPr="00261B7A">
              <w:t>203.0</w:t>
            </w:r>
          </w:p>
        </w:tc>
        <w:tc>
          <w:tcPr>
            <w:tcW w:w="498" w:type="pct"/>
            <w:hideMark/>
          </w:tcPr>
          <w:p w14:paraId="70EDD5CF" w14:textId="77777777" w:rsidR="008A4F47" w:rsidRPr="00261B7A" w:rsidRDefault="008A4F47" w:rsidP="00D41492">
            <w:pPr>
              <w:pStyle w:val="TableText"/>
              <w:spacing w:before="50" w:after="50"/>
              <w:jc w:val="right"/>
            </w:pPr>
            <w:r w:rsidRPr="00261B7A">
              <w:t>139.1</w:t>
            </w:r>
          </w:p>
        </w:tc>
        <w:tc>
          <w:tcPr>
            <w:tcW w:w="579" w:type="pct"/>
            <w:hideMark/>
          </w:tcPr>
          <w:p w14:paraId="6F304907" w14:textId="77777777" w:rsidR="008A4F47" w:rsidRPr="00261B7A" w:rsidRDefault="008A4F47" w:rsidP="00D41492">
            <w:pPr>
              <w:pStyle w:val="TableText"/>
              <w:spacing w:before="50" w:after="50"/>
              <w:jc w:val="right"/>
            </w:pPr>
            <w:r w:rsidRPr="00261B7A">
              <w:t>–63.9</w:t>
            </w:r>
          </w:p>
        </w:tc>
        <w:tc>
          <w:tcPr>
            <w:tcW w:w="662" w:type="pct"/>
            <w:hideMark/>
          </w:tcPr>
          <w:p w14:paraId="2A6E81DD" w14:textId="77777777" w:rsidR="008A4F47" w:rsidRPr="00261B7A" w:rsidRDefault="008A4F47" w:rsidP="00D41492">
            <w:pPr>
              <w:pStyle w:val="TableText"/>
              <w:spacing w:before="50" w:after="50"/>
              <w:jc w:val="right"/>
            </w:pPr>
            <w:r w:rsidRPr="00261B7A">
              <w:t>–31.5</w:t>
            </w:r>
          </w:p>
        </w:tc>
        <w:tc>
          <w:tcPr>
            <w:tcW w:w="497" w:type="pct"/>
            <w:hideMark/>
          </w:tcPr>
          <w:p w14:paraId="6C78B98C" w14:textId="77777777" w:rsidR="008A4F47" w:rsidRPr="00261B7A" w:rsidRDefault="008A4F47" w:rsidP="00D41492">
            <w:pPr>
              <w:pStyle w:val="TableText"/>
              <w:spacing w:before="50" w:after="50"/>
              <w:jc w:val="right"/>
            </w:pPr>
            <w:r w:rsidRPr="00261B7A">
              <w:t>5.7</w:t>
            </w:r>
          </w:p>
        </w:tc>
        <w:tc>
          <w:tcPr>
            <w:tcW w:w="510" w:type="pct"/>
            <w:hideMark/>
          </w:tcPr>
          <w:p w14:paraId="6E732DE3" w14:textId="77777777" w:rsidR="008A4F47" w:rsidRPr="00261B7A" w:rsidRDefault="008A4F47" w:rsidP="00D41492">
            <w:pPr>
              <w:pStyle w:val="TableText"/>
              <w:spacing w:before="50" w:after="50"/>
              <w:jc w:val="right"/>
            </w:pPr>
            <w:r w:rsidRPr="00261B7A">
              <w:t>3.0</w:t>
            </w:r>
          </w:p>
        </w:tc>
      </w:tr>
      <w:tr w:rsidR="008A4F47" w:rsidRPr="00261B7A" w14:paraId="19799B39" w14:textId="77777777" w:rsidTr="00D41492">
        <w:tc>
          <w:tcPr>
            <w:tcW w:w="1758" w:type="pct"/>
            <w:hideMark/>
          </w:tcPr>
          <w:p w14:paraId="46BCDA6C" w14:textId="77777777" w:rsidR="008A4F47" w:rsidRPr="00261B7A" w:rsidRDefault="008A4F47" w:rsidP="00D41492">
            <w:pPr>
              <w:pStyle w:val="TableText"/>
              <w:spacing w:before="50" w:after="50"/>
            </w:pPr>
            <w:r w:rsidRPr="00261B7A">
              <w:t>Metal industry (2.C)</w:t>
            </w:r>
          </w:p>
        </w:tc>
        <w:tc>
          <w:tcPr>
            <w:tcW w:w="496" w:type="pct"/>
            <w:hideMark/>
          </w:tcPr>
          <w:p w14:paraId="561449AF" w14:textId="77777777" w:rsidR="008A4F47" w:rsidRPr="00261B7A" w:rsidRDefault="008A4F47" w:rsidP="00D41492">
            <w:pPr>
              <w:pStyle w:val="TableText"/>
              <w:spacing w:before="50" w:after="50"/>
              <w:jc w:val="right"/>
            </w:pPr>
            <w:r w:rsidRPr="00261B7A">
              <w:t>2,670.2</w:t>
            </w:r>
          </w:p>
        </w:tc>
        <w:tc>
          <w:tcPr>
            <w:tcW w:w="498" w:type="pct"/>
            <w:hideMark/>
          </w:tcPr>
          <w:p w14:paraId="635BA05B" w14:textId="77777777" w:rsidR="008A4F47" w:rsidRPr="00261B7A" w:rsidRDefault="008A4F47" w:rsidP="00D41492">
            <w:pPr>
              <w:pStyle w:val="TableText"/>
              <w:spacing w:before="50" w:after="50"/>
              <w:jc w:val="right"/>
            </w:pPr>
            <w:r w:rsidRPr="00261B7A">
              <w:t>2,310.6</w:t>
            </w:r>
          </w:p>
        </w:tc>
        <w:tc>
          <w:tcPr>
            <w:tcW w:w="579" w:type="pct"/>
            <w:hideMark/>
          </w:tcPr>
          <w:p w14:paraId="4D239E78" w14:textId="77777777" w:rsidR="008A4F47" w:rsidRPr="00261B7A" w:rsidRDefault="008A4F47" w:rsidP="00D41492">
            <w:pPr>
              <w:pStyle w:val="TableText"/>
              <w:spacing w:before="50" w:after="50"/>
              <w:jc w:val="right"/>
            </w:pPr>
            <w:r w:rsidRPr="00261B7A">
              <w:t>–359.6</w:t>
            </w:r>
          </w:p>
        </w:tc>
        <w:tc>
          <w:tcPr>
            <w:tcW w:w="662" w:type="pct"/>
            <w:hideMark/>
          </w:tcPr>
          <w:p w14:paraId="6A835282" w14:textId="77777777" w:rsidR="008A4F47" w:rsidRPr="00261B7A" w:rsidRDefault="008A4F47" w:rsidP="00D41492">
            <w:pPr>
              <w:pStyle w:val="TableText"/>
              <w:spacing w:before="50" w:after="50"/>
              <w:jc w:val="right"/>
            </w:pPr>
            <w:r w:rsidRPr="00261B7A">
              <w:t>–13.5</w:t>
            </w:r>
          </w:p>
        </w:tc>
        <w:tc>
          <w:tcPr>
            <w:tcW w:w="497" w:type="pct"/>
            <w:hideMark/>
          </w:tcPr>
          <w:p w14:paraId="4B013B2A" w14:textId="77777777" w:rsidR="008A4F47" w:rsidRPr="00261B7A" w:rsidRDefault="008A4F47" w:rsidP="00D41492">
            <w:pPr>
              <w:pStyle w:val="TableText"/>
              <w:spacing w:before="50" w:after="50"/>
              <w:jc w:val="right"/>
            </w:pPr>
            <w:r w:rsidRPr="00261B7A">
              <w:t>74.6</w:t>
            </w:r>
          </w:p>
        </w:tc>
        <w:tc>
          <w:tcPr>
            <w:tcW w:w="510" w:type="pct"/>
            <w:hideMark/>
          </w:tcPr>
          <w:p w14:paraId="0947905B" w14:textId="77777777" w:rsidR="008A4F47" w:rsidRPr="00261B7A" w:rsidRDefault="008A4F47" w:rsidP="00D41492">
            <w:pPr>
              <w:pStyle w:val="TableText"/>
              <w:spacing w:before="50" w:after="50"/>
              <w:jc w:val="right"/>
            </w:pPr>
            <w:r w:rsidRPr="00261B7A">
              <w:t>50.1</w:t>
            </w:r>
          </w:p>
        </w:tc>
      </w:tr>
      <w:tr w:rsidR="008A4F47" w:rsidRPr="00261B7A" w14:paraId="35E58D1D" w14:textId="77777777" w:rsidTr="00D41492">
        <w:tc>
          <w:tcPr>
            <w:tcW w:w="1758" w:type="pct"/>
            <w:hideMark/>
          </w:tcPr>
          <w:p w14:paraId="69449AF8" w14:textId="77777777" w:rsidR="008A4F47" w:rsidRPr="00261B7A" w:rsidRDefault="008A4F47" w:rsidP="00D41492">
            <w:pPr>
              <w:pStyle w:val="TableText"/>
              <w:spacing w:before="50" w:after="50"/>
            </w:pPr>
            <w:r w:rsidRPr="00261B7A">
              <w:t>Non-energy products from fuels and solvent use (2.D)</w:t>
            </w:r>
          </w:p>
        </w:tc>
        <w:tc>
          <w:tcPr>
            <w:tcW w:w="496" w:type="pct"/>
            <w:hideMark/>
          </w:tcPr>
          <w:p w14:paraId="07F9FDF4" w14:textId="77777777" w:rsidR="008A4F47" w:rsidRPr="00261B7A" w:rsidRDefault="008A4F47" w:rsidP="00D41492">
            <w:pPr>
              <w:pStyle w:val="TableText"/>
              <w:spacing w:before="50" w:after="50"/>
              <w:jc w:val="right"/>
            </w:pPr>
            <w:r w:rsidRPr="00261B7A">
              <w:t>25.2</w:t>
            </w:r>
          </w:p>
        </w:tc>
        <w:tc>
          <w:tcPr>
            <w:tcW w:w="498" w:type="pct"/>
            <w:hideMark/>
          </w:tcPr>
          <w:p w14:paraId="1C9035A9" w14:textId="77777777" w:rsidR="008A4F47" w:rsidRPr="00261B7A" w:rsidRDefault="008A4F47" w:rsidP="00D41492">
            <w:pPr>
              <w:pStyle w:val="TableText"/>
              <w:spacing w:before="50" w:after="50"/>
              <w:jc w:val="right"/>
            </w:pPr>
            <w:r w:rsidRPr="00261B7A">
              <w:t>42.4</w:t>
            </w:r>
          </w:p>
        </w:tc>
        <w:tc>
          <w:tcPr>
            <w:tcW w:w="579" w:type="pct"/>
            <w:hideMark/>
          </w:tcPr>
          <w:p w14:paraId="63675AD3" w14:textId="77777777" w:rsidR="008A4F47" w:rsidRPr="00261B7A" w:rsidRDefault="008A4F47" w:rsidP="00D41492">
            <w:pPr>
              <w:pStyle w:val="TableText"/>
              <w:spacing w:before="50" w:after="50"/>
              <w:jc w:val="right"/>
            </w:pPr>
            <w:r w:rsidRPr="00261B7A">
              <w:t>17.2</w:t>
            </w:r>
          </w:p>
        </w:tc>
        <w:tc>
          <w:tcPr>
            <w:tcW w:w="662" w:type="pct"/>
            <w:hideMark/>
          </w:tcPr>
          <w:p w14:paraId="0F1446F8" w14:textId="77777777" w:rsidR="008A4F47" w:rsidRPr="00261B7A" w:rsidRDefault="008A4F47" w:rsidP="00D41492">
            <w:pPr>
              <w:pStyle w:val="TableText"/>
              <w:spacing w:before="50" w:after="50"/>
              <w:jc w:val="right"/>
            </w:pPr>
            <w:r w:rsidRPr="00261B7A">
              <w:t>68.5</w:t>
            </w:r>
          </w:p>
        </w:tc>
        <w:tc>
          <w:tcPr>
            <w:tcW w:w="497" w:type="pct"/>
            <w:hideMark/>
          </w:tcPr>
          <w:p w14:paraId="17F3444E" w14:textId="77777777" w:rsidR="008A4F47" w:rsidRPr="00261B7A" w:rsidRDefault="008A4F47" w:rsidP="00D41492">
            <w:pPr>
              <w:pStyle w:val="TableText"/>
              <w:spacing w:before="50" w:after="50"/>
              <w:jc w:val="right"/>
            </w:pPr>
            <w:r w:rsidRPr="00261B7A">
              <w:t>0.7</w:t>
            </w:r>
          </w:p>
        </w:tc>
        <w:tc>
          <w:tcPr>
            <w:tcW w:w="510" w:type="pct"/>
            <w:hideMark/>
          </w:tcPr>
          <w:p w14:paraId="6A901E41" w14:textId="77777777" w:rsidR="008A4F47" w:rsidRPr="00261B7A" w:rsidRDefault="008A4F47" w:rsidP="00D41492">
            <w:pPr>
              <w:pStyle w:val="TableText"/>
              <w:spacing w:before="50" w:after="50"/>
              <w:jc w:val="right"/>
            </w:pPr>
            <w:r w:rsidRPr="00261B7A">
              <w:t>0.9</w:t>
            </w:r>
          </w:p>
        </w:tc>
      </w:tr>
      <w:tr w:rsidR="008A4F47" w:rsidRPr="00261B7A" w14:paraId="0904FDA5" w14:textId="77777777" w:rsidTr="00D41492">
        <w:tc>
          <w:tcPr>
            <w:tcW w:w="1758" w:type="pct"/>
            <w:hideMark/>
          </w:tcPr>
          <w:p w14:paraId="426361C9" w14:textId="77777777" w:rsidR="008A4F47" w:rsidRPr="00261B7A" w:rsidRDefault="008A4F47" w:rsidP="00D41492">
            <w:pPr>
              <w:pStyle w:val="TableText"/>
              <w:spacing w:before="50" w:after="50"/>
            </w:pPr>
            <w:r w:rsidRPr="00261B7A">
              <w:t>Product uses as substitutes for ODS (2.F)</w:t>
            </w:r>
          </w:p>
        </w:tc>
        <w:tc>
          <w:tcPr>
            <w:tcW w:w="496" w:type="pct"/>
            <w:hideMark/>
          </w:tcPr>
          <w:p w14:paraId="79AB2419" w14:textId="77777777" w:rsidR="008A4F47" w:rsidRPr="00261B7A" w:rsidRDefault="008A4F47" w:rsidP="00D41492">
            <w:pPr>
              <w:pStyle w:val="TableText"/>
              <w:spacing w:before="50" w:after="50"/>
              <w:jc w:val="right"/>
            </w:pPr>
            <w:r w:rsidRPr="00261B7A">
              <w:t>–</w:t>
            </w:r>
          </w:p>
        </w:tc>
        <w:tc>
          <w:tcPr>
            <w:tcW w:w="498" w:type="pct"/>
            <w:hideMark/>
          </w:tcPr>
          <w:p w14:paraId="3594C93F" w14:textId="77777777" w:rsidR="008A4F47" w:rsidRPr="00261B7A" w:rsidRDefault="008A4F47" w:rsidP="00D41492">
            <w:pPr>
              <w:pStyle w:val="TableText"/>
              <w:spacing w:before="50" w:after="50"/>
              <w:jc w:val="right"/>
            </w:pPr>
            <w:r w:rsidRPr="00261B7A">
              <w:t>1,483.0</w:t>
            </w:r>
          </w:p>
        </w:tc>
        <w:tc>
          <w:tcPr>
            <w:tcW w:w="579" w:type="pct"/>
            <w:hideMark/>
          </w:tcPr>
          <w:p w14:paraId="27F93A99" w14:textId="77777777" w:rsidR="008A4F47" w:rsidRPr="00261B7A" w:rsidRDefault="008A4F47" w:rsidP="00D41492">
            <w:pPr>
              <w:pStyle w:val="TableText"/>
              <w:spacing w:before="50" w:after="50"/>
              <w:jc w:val="right"/>
            </w:pPr>
            <w:r w:rsidRPr="00261B7A">
              <w:t>1,483.0</w:t>
            </w:r>
          </w:p>
        </w:tc>
        <w:tc>
          <w:tcPr>
            <w:tcW w:w="662" w:type="pct"/>
            <w:hideMark/>
          </w:tcPr>
          <w:p w14:paraId="1F49C8B7" w14:textId="77777777" w:rsidR="008A4F47" w:rsidRPr="00261B7A" w:rsidRDefault="008A4F47" w:rsidP="00D41492">
            <w:pPr>
              <w:pStyle w:val="TableText"/>
              <w:spacing w:before="50" w:after="50"/>
              <w:jc w:val="right"/>
            </w:pPr>
            <w:r w:rsidRPr="00261B7A">
              <w:t>–</w:t>
            </w:r>
          </w:p>
        </w:tc>
        <w:tc>
          <w:tcPr>
            <w:tcW w:w="497" w:type="pct"/>
            <w:hideMark/>
          </w:tcPr>
          <w:p w14:paraId="6CA5D2BE" w14:textId="77777777" w:rsidR="008A4F47" w:rsidRPr="00261B7A" w:rsidRDefault="008A4F47" w:rsidP="00D41492">
            <w:pPr>
              <w:pStyle w:val="TableText"/>
              <w:spacing w:before="50" w:after="50"/>
              <w:jc w:val="right"/>
            </w:pPr>
            <w:r w:rsidRPr="00261B7A">
              <w:t>–</w:t>
            </w:r>
          </w:p>
        </w:tc>
        <w:tc>
          <w:tcPr>
            <w:tcW w:w="510" w:type="pct"/>
            <w:hideMark/>
          </w:tcPr>
          <w:p w14:paraId="3092C10E" w14:textId="77777777" w:rsidR="008A4F47" w:rsidRPr="00261B7A" w:rsidRDefault="008A4F47" w:rsidP="00D41492">
            <w:pPr>
              <w:pStyle w:val="TableText"/>
              <w:spacing w:before="50" w:after="50"/>
              <w:jc w:val="right"/>
            </w:pPr>
            <w:r w:rsidRPr="00261B7A">
              <w:t>32.2</w:t>
            </w:r>
          </w:p>
        </w:tc>
      </w:tr>
      <w:tr w:rsidR="008A4F47" w:rsidRPr="00261B7A" w14:paraId="638699C0" w14:textId="77777777" w:rsidTr="00D41492">
        <w:tc>
          <w:tcPr>
            <w:tcW w:w="1758" w:type="pct"/>
            <w:hideMark/>
          </w:tcPr>
          <w:p w14:paraId="1F836854" w14:textId="77777777" w:rsidR="008A4F47" w:rsidRPr="00261B7A" w:rsidRDefault="008A4F47" w:rsidP="00D41492">
            <w:pPr>
              <w:pStyle w:val="TableText"/>
              <w:spacing w:before="50" w:after="50"/>
            </w:pPr>
            <w:r w:rsidRPr="00261B7A">
              <w:t>Other product manufacture and use (2.G)</w:t>
            </w:r>
          </w:p>
        </w:tc>
        <w:tc>
          <w:tcPr>
            <w:tcW w:w="496" w:type="pct"/>
            <w:hideMark/>
          </w:tcPr>
          <w:p w14:paraId="0F4619A3" w14:textId="77777777" w:rsidR="008A4F47" w:rsidRPr="00261B7A" w:rsidRDefault="008A4F47" w:rsidP="00D41492">
            <w:pPr>
              <w:pStyle w:val="TableText"/>
              <w:spacing w:before="50" w:after="50"/>
              <w:jc w:val="right"/>
            </w:pPr>
            <w:r w:rsidRPr="00261B7A">
              <w:t>119.7</w:t>
            </w:r>
          </w:p>
        </w:tc>
        <w:tc>
          <w:tcPr>
            <w:tcW w:w="498" w:type="pct"/>
            <w:hideMark/>
          </w:tcPr>
          <w:p w14:paraId="0F5241C2" w14:textId="77777777" w:rsidR="008A4F47" w:rsidRPr="00261B7A" w:rsidRDefault="008A4F47" w:rsidP="00D41492">
            <w:pPr>
              <w:pStyle w:val="TableText"/>
              <w:spacing w:before="50" w:after="50"/>
              <w:jc w:val="right"/>
            </w:pPr>
            <w:r w:rsidRPr="00261B7A">
              <w:t>105.3</w:t>
            </w:r>
          </w:p>
        </w:tc>
        <w:tc>
          <w:tcPr>
            <w:tcW w:w="579" w:type="pct"/>
            <w:hideMark/>
          </w:tcPr>
          <w:p w14:paraId="61B16426" w14:textId="77777777" w:rsidR="008A4F47" w:rsidRPr="00261B7A" w:rsidRDefault="008A4F47" w:rsidP="00D41492">
            <w:pPr>
              <w:pStyle w:val="TableText"/>
              <w:spacing w:before="50" w:after="50"/>
              <w:jc w:val="right"/>
            </w:pPr>
            <w:r w:rsidRPr="00261B7A">
              <w:t>–14.4</w:t>
            </w:r>
          </w:p>
        </w:tc>
        <w:tc>
          <w:tcPr>
            <w:tcW w:w="662" w:type="pct"/>
            <w:hideMark/>
          </w:tcPr>
          <w:p w14:paraId="6D5BFA3E" w14:textId="77777777" w:rsidR="008A4F47" w:rsidRPr="00261B7A" w:rsidRDefault="008A4F47" w:rsidP="00D41492">
            <w:pPr>
              <w:pStyle w:val="TableText"/>
              <w:spacing w:before="50" w:after="50"/>
              <w:jc w:val="right"/>
            </w:pPr>
            <w:r w:rsidRPr="00261B7A">
              <w:t>–12.0</w:t>
            </w:r>
          </w:p>
        </w:tc>
        <w:tc>
          <w:tcPr>
            <w:tcW w:w="497" w:type="pct"/>
            <w:hideMark/>
          </w:tcPr>
          <w:p w14:paraId="7C9C00B3" w14:textId="77777777" w:rsidR="008A4F47" w:rsidRPr="00261B7A" w:rsidRDefault="008A4F47" w:rsidP="00D41492">
            <w:pPr>
              <w:pStyle w:val="TableText"/>
              <w:spacing w:before="50" w:after="50"/>
              <w:jc w:val="right"/>
            </w:pPr>
            <w:r w:rsidRPr="00261B7A">
              <w:t>3.3</w:t>
            </w:r>
          </w:p>
        </w:tc>
        <w:tc>
          <w:tcPr>
            <w:tcW w:w="510" w:type="pct"/>
            <w:hideMark/>
          </w:tcPr>
          <w:p w14:paraId="07D3CDB0" w14:textId="77777777" w:rsidR="008A4F47" w:rsidRPr="00261B7A" w:rsidRDefault="008A4F47" w:rsidP="00D41492">
            <w:pPr>
              <w:pStyle w:val="TableText"/>
              <w:spacing w:before="50" w:after="50"/>
              <w:jc w:val="right"/>
            </w:pPr>
            <w:r w:rsidRPr="00261B7A">
              <w:t>2.3</w:t>
            </w:r>
          </w:p>
        </w:tc>
      </w:tr>
      <w:tr w:rsidR="008A4F47" w:rsidRPr="00261B7A" w14:paraId="23945691" w14:textId="77777777" w:rsidTr="00D41492">
        <w:tc>
          <w:tcPr>
            <w:tcW w:w="1758" w:type="pct"/>
            <w:hideMark/>
          </w:tcPr>
          <w:p w14:paraId="3DC53929" w14:textId="77777777" w:rsidR="008A4F47" w:rsidRPr="00261B7A" w:rsidRDefault="008A4F47" w:rsidP="00D41492">
            <w:pPr>
              <w:pStyle w:val="Tableboldblue"/>
              <w:jc w:val="right"/>
            </w:pPr>
            <w:r w:rsidRPr="00261B7A">
              <w:t>Total</w:t>
            </w:r>
          </w:p>
        </w:tc>
        <w:tc>
          <w:tcPr>
            <w:tcW w:w="496" w:type="pct"/>
            <w:hideMark/>
          </w:tcPr>
          <w:p w14:paraId="522EAEA3" w14:textId="77777777" w:rsidR="008A4F47" w:rsidRPr="00261B7A" w:rsidRDefault="008A4F47" w:rsidP="00D41492">
            <w:pPr>
              <w:pStyle w:val="Tableboldblue"/>
              <w:jc w:val="right"/>
            </w:pPr>
            <w:r w:rsidRPr="00261B7A">
              <w:t>3,579.9</w:t>
            </w:r>
          </w:p>
        </w:tc>
        <w:tc>
          <w:tcPr>
            <w:tcW w:w="498" w:type="pct"/>
            <w:hideMark/>
          </w:tcPr>
          <w:p w14:paraId="63EE8DC3" w14:textId="77777777" w:rsidR="008A4F47" w:rsidRPr="00261B7A" w:rsidRDefault="008A4F47" w:rsidP="00D41492">
            <w:pPr>
              <w:pStyle w:val="Tableboldblue"/>
              <w:jc w:val="right"/>
            </w:pPr>
            <w:r w:rsidRPr="00261B7A">
              <w:t>4,609.6</w:t>
            </w:r>
          </w:p>
        </w:tc>
        <w:tc>
          <w:tcPr>
            <w:tcW w:w="579" w:type="pct"/>
            <w:hideMark/>
          </w:tcPr>
          <w:p w14:paraId="51C156EB" w14:textId="77777777" w:rsidR="008A4F47" w:rsidRPr="00261B7A" w:rsidRDefault="008A4F47" w:rsidP="00D41492">
            <w:pPr>
              <w:pStyle w:val="Tableboldblue"/>
              <w:jc w:val="right"/>
            </w:pPr>
            <w:r w:rsidRPr="00261B7A">
              <w:t>1,029.7</w:t>
            </w:r>
          </w:p>
        </w:tc>
        <w:tc>
          <w:tcPr>
            <w:tcW w:w="662" w:type="pct"/>
            <w:hideMark/>
          </w:tcPr>
          <w:p w14:paraId="0130507D" w14:textId="77777777" w:rsidR="008A4F47" w:rsidRPr="00261B7A" w:rsidRDefault="008A4F47" w:rsidP="00D41492">
            <w:pPr>
              <w:pStyle w:val="Tableboldblue"/>
              <w:jc w:val="right"/>
            </w:pPr>
            <w:r w:rsidRPr="00261B7A">
              <w:t>28.8</w:t>
            </w:r>
          </w:p>
        </w:tc>
        <w:tc>
          <w:tcPr>
            <w:tcW w:w="497" w:type="pct"/>
            <w:hideMark/>
          </w:tcPr>
          <w:p w14:paraId="358C7A17" w14:textId="77777777" w:rsidR="008A4F47" w:rsidRPr="00261B7A" w:rsidRDefault="008A4F47" w:rsidP="00D41492">
            <w:pPr>
              <w:pStyle w:val="Tableboldblue"/>
              <w:jc w:val="right"/>
            </w:pPr>
            <w:r w:rsidRPr="00261B7A">
              <w:t>–</w:t>
            </w:r>
          </w:p>
        </w:tc>
        <w:tc>
          <w:tcPr>
            <w:tcW w:w="510" w:type="pct"/>
            <w:hideMark/>
          </w:tcPr>
          <w:p w14:paraId="6934A46A" w14:textId="77777777" w:rsidR="008A4F47" w:rsidRPr="00261B7A" w:rsidRDefault="008A4F47" w:rsidP="00D41492">
            <w:pPr>
              <w:pStyle w:val="Tableboldblue"/>
              <w:jc w:val="right"/>
            </w:pPr>
            <w:r w:rsidRPr="00261B7A">
              <w:t>–</w:t>
            </w:r>
          </w:p>
        </w:tc>
      </w:tr>
    </w:tbl>
    <w:p w14:paraId="0CC9CD46" w14:textId="77777777" w:rsidR="008A4F47" w:rsidRPr="00261B7A" w:rsidRDefault="008A4F47" w:rsidP="008A4F47">
      <w:pPr>
        <w:pStyle w:val="Noteundertable"/>
      </w:pPr>
      <w:r w:rsidRPr="00261B7A">
        <w:rPr>
          <w:b/>
        </w:rPr>
        <w:t>Note:</w:t>
      </w:r>
      <w:r w:rsidRPr="00261B7A">
        <w:tab/>
        <w:t>Columns may not sum due to rounding.</w:t>
      </w:r>
    </w:p>
    <w:p w14:paraId="34D4ACAE" w14:textId="77777777" w:rsidR="008A4F47" w:rsidRPr="00261B7A" w:rsidRDefault="008A4F47" w:rsidP="008A4F47">
      <w:pPr>
        <w:pStyle w:val="Figure"/>
        <w:spacing w:after="0"/>
      </w:pPr>
      <w:bookmarkStart w:id="447" w:name="_Toc447275685"/>
      <w:bookmarkStart w:id="448" w:name="_Toc414531599"/>
      <w:bookmarkStart w:id="449" w:name="_Toc378853331"/>
      <w:bookmarkStart w:id="450" w:name="_Toc5269679"/>
      <w:bookmarkStart w:id="451" w:name="_Toc36292782"/>
      <w:bookmarkStart w:id="452" w:name="_Toc68786647"/>
      <w:bookmarkStart w:id="453" w:name="_Toc131591549"/>
      <w:r w:rsidRPr="00261B7A">
        <w:t>Figure 4.1.1</w:t>
      </w:r>
      <w:r w:rsidRPr="00261B7A">
        <w:tab/>
        <w:t>New Zealand’s annual emissions from the IPPU sector from 1990 to </w:t>
      </w:r>
      <w:bookmarkEnd w:id="447"/>
      <w:bookmarkEnd w:id="448"/>
      <w:bookmarkEnd w:id="449"/>
      <w:bookmarkEnd w:id="450"/>
      <w:bookmarkEnd w:id="451"/>
      <w:bookmarkEnd w:id="452"/>
      <w:r w:rsidRPr="00261B7A">
        <w:t>2021</w:t>
      </w:r>
      <w:bookmarkEnd w:id="453"/>
    </w:p>
    <w:p w14:paraId="5DF1562B" w14:textId="77777777" w:rsidR="008A4F47" w:rsidRPr="00261B7A" w:rsidRDefault="008A4F47" w:rsidP="008A4F47">
      <w:pPr>
        <w:pStyle w:val="BodyText"/>
        <w:spacing w:before="60"/>
      </w:pPr>
      <w:bookmarkStart w:id="454" w:name="_Toc447275686"/>
      <w:bookmarkStart w:id="455" w:name="_Toc414531600"/>
      <w:bookmarkStart w:id="456" w:name="_Toc378853332"/>
      <w:r w:rsidRPr="00261B7A">
        <w:rPr>
          <w:noProof/>
        </w:rPr>
        <w:drawing>
          <wp:inline distT="0" distB="0" distL="0" distR="0" wp14:anchorId="1AE3073C" wp14:editId="12994D36">
            <wp:extent cx="5072380" cy="294449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72380" cy="2944495"/>
                    </a:xfrm>
                    <a:prstGeom prst="rect">
                      <a:avLst/>
                    </a:prstGeom>
                    <a:noFill/>
                  </pic:spPr>
                </pic:pic>
              </a:graphicData>
            </a:graphic>
          </wp:inline>
        </w:drawing>
      </w:r>
    </w:p>
    <w:p w14:paraId="0E8389FD" w14:textId="77777777" w:rsidR="008A4F47" w:rsidRPr="00261B7A" w:rsidRDefault="008A4F47" w:rsidP="008A4F47">
      <w:pPr>
        <w:pStyle w:val="Figure"/>
        <w:spacing w:before="160" w:after="0"/>
      </w:pPr>
      <w:bookmarkStart w:id="457" w:name="_Toc5269680"/>
      <w:bookmarkStart w:id="458" w:name="_Toc36292783"/>
      <w:bookmarkStart w:id="459" w:name="_Toc68786648"/>
      <w:bookmarkStart w:id="460" w:name="_Toc131591550"/>
      <w:r w:rsidRPr="00261B7A">
        <w:t>Figure 4.1.2</w:t>
      </w:r>
      <w:r w:rsidRPr="00261B7A">
        <w:tab/>
        <w:t xml:space="preserve">Change in New Zealand’s emissions from the IPPU sector from 1990 to </w:t>
      </w:r>
      <w:bookmarkEnd w:id="454"/>
      <w:bookmarkEnd w:id="455"/>
      <w:bookmarkEnd w:id="456"/>
      <w:bookmarkEnd w:id="457"/>
      <w:bookmarkEnd w:id="458"/>
      <w:bookmarkEnd w:id="459"/>
      <w:r w:rsidRPr="00261B7A">
        <w:t>2021</w:t>
      </w:r>
      <w:bookmarkEnd w:id="460"/>
    </w:p>
    <w:p w14:paraId="675164A2" w14:textId="77777777" w:rsidR="008A4F47" w:rsidRPr="00261B7A" w:rsidRDefault="008A4F47" w:rsidP="008A4F47">
      <w:pPr>
        <w:pStyle w:val="BodyText"/>
      </w:pPr>
      <w:r w:rsidRPr="00261B7A">
        <w:rPr>
          <w:noProof/>
        </w:rPr>
        <w:drawing>
          <wp:inline distT="0" distB="0" distL="0" distR="0" wp14:anchorId="1E33BDE0" wp14:editId="42080920">
            <wp:extent cx="5080382" cy="239040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rotWithShape="1">
                    <a:blip r:embed="rId97">
                      <a:extLst>
                        <a:ext uri="{28A0092B-C50C-407E-A947-70E740481C1C}">
                          <a14:useLocalDpi xmlns:a14="http://schemas.microsoft.com/office/drawing/2010/main" val="0"/>
                        </a:ext>
                      </a:extLst>
                    </a:blip>
                    <a:srcRect t="11114" b="6876"/>
                    <a:stretch/>
                  </pic:blipFill>
                  <pic:spPr bwMode="auto">
                    <a:xfrm>
                      <a:off x="0" y="0"/>
                      <a:ext cx="5082363" cy="2391332"/>
                    </a:xfrm>
                    <a:prstGeom prst="rect">
                      <a:avLst/>
                    </a:prstGeom>
                    <a:ln>
                      <a:noFill/>
                    </a:ln>
                    <a:extLst>
                      <a:ext uri="{53640926-AAD7-44D8-BBD7-CCE9431645EC}">
                        <a14:shadowObscured xmlns:a14="http://schemas.microsoft.com/office/drawing/2010/main"/>
                      </a:ext>
                    </a:extLst>
                  </pic:spPr>
                </pic:pic>
              </a:graphicData>
            </a:graphic>
          </wp:inline>
        </w:drawing>
      </w:r>
    </w:p>
    <w:p w14:paraId="388E7DC2" w14:textId="77777777" w:rsidR="008A4F47" w:rsidRPr="00261B7A" w:rsidRDefault="008A4F47" w:rsidP="008A4F47">
      <w:pPr>
        <w:pStyle w:val="Noteundertable"/>
      </w:pPr>
      <w:r w:rsidRPr="00261B7A">
        <w:rPr>
          <w:rFonts w:cs="Arial"/>
          <w:b/>
        </w:rPr>
        <w:t>Note:</w:t>
      </w:r>
      <w:r w:rsidRPr="00261B7A">
        <w:rPr>
          <w:rFonts w:cs="Arial"/>
        </w:rPr>
        <w:tab/>
      </w:r>
      <w:r w:rsidRPr="00261B7A">
        <w:t xml:space="preserve">Emissions from the </w:t>
      </w:r>
      <w:r w:rsidRPr="00261B7A">
        <w:rPr>
          <w:i/>
        </w:rPr>
        <w:t>Electronics industry</w:t>
      </w:r>
      <w:r w:rsidRPr="00261B7A">
        <w:t xml:space="preserve"> are not occurring (NO).</w:t>
      </w:r>
    </w:p>
    <w:p w14:paraId="4D7B4C53" w14:textId="77777777" w:rsidR="008A4F47" w:rsidRPr="00261B7A" w:rsidRDefault="008A4F47" w:rsidP="0034058F">
      <w:pPr>
        <w:pStyle w:val="Heading3"/>
      </w:pPr>
      <w:r w:rsidRPr="00261B7A">
        <w:t>4.1.3</w:t>
      </w:r>
      <w:r w:rsidRPr="00261B7A">
        <w:tab/>
        <w:t>Key categories for IPPU sector emissions</w:t>
      </w:r>
    </w:p>
    <w:p w14:paraId="0E2BE59F" w14:textId="77777777" w:rsidR="008A4F47" w:rsidRPr="00261B7A" w:rsidRDefault="008A4F47" w:rsidP="008A4F47">
      <w:pPr>
        <w:pStyle w:val="BodyText"/>
      </w:pPr>
      <w:r w:rsidRPr="00261B7A">
        <w:t xml:space="preserve">Details of New Zealand’s key category analysis are in chapter 1, section 1.5. The key categories in the IPPU sector are listed in table 4.1.2. </w:t>
      </w:r>
    </w:p>
    <w:p w14:paraId="4514B398" w14:textId="77777777" w:rsidR="008A4F47" w:rsidRPr="00261B7A" w:rsidRDefault="008A4F47" w:rsidP="008A4F47">
      <w:pPr>
        <w:pStyle w:val="Table"/>
      </w:pPr>
      <w:bookmarkStart w:id="461" w:name="_Toc451176066"/>
      <w:bookmarkStart w:id="462" w:name="_Toc5269456"/>
      <w:bookmarkStart w:id="463" w:name="_Toc36224529"/>
      <w:bookmarkStart w:id="464" w:name="_Toc68786416"/>
      <w:bookmarkStart w:id="465" w:name="_Toc131591329"/>
      <w:bookmarkStart w:id="466" w:name="_Toc128042749"/>
      <w:r w:rsidRPr="00261B7A">
        <w:t xml:space="preserve">Table 4.1.2 </w:t>
      </w:r>
      <w:r w:rsidRPr="00261B7A">
        <w:tab/>
        <w:t>Key categories in the IPPU sector</w:t>
      </w:r>
      <w:bookmarkEnd w:id="461"/>
      <w:bookmarkEnd w:id="462"/>
      <w:bookmarkEnd w:id="463"/>
      <w:bookmarkEnd w:id="464"/>
      <w:bookmarkEnd w:id="465"/>
      <w:r w:rsidRPr="00261B7A">
        <w:t xml:space="preserve"> </w:t>
      </w:r>
      <w:bookmarkEnd w:id="466"/>
    </w:p>
    <w:tbl>
      <w:tblPr>
        <w:tblW w:w="8505" w:type="dxa"/>
        <w:tblBorders>
          <w:top w:val="single" w:sz="4" w:space="0" w:color="1B556B"/>
          <w:bottom w:val="single" w:sz="4" w:space="0" w:color="1B556B"/>
          <w:insideH w:val="single" w:sz="4" w:space="0" w:color="1B556B"/>
        </w:tblBorders>
        <w:tblCellMar>
          <w:right w:w="85" w:type="dxa"/>
        </w:tblCellMar>
        <w:tblLook w:val="04A0" w:firstRow="1" w:lastRow="0" w:firstColumn="1" w:lastColumn="0" w:noHBand="0" w:noVBand="1"/>
      </w:tblPr>
      <w:tblGrid>
        <w:gridCol w:w="1426"/>
        <w:gridCol w:w="5056"/>
        <w:gridCol w:w="833"/>
        <w:gridCol w:w="1190"/>
      </w:tblGrid>
      <w:tr w:rsidR="008A4F47" w:rsidRPr="00261B7A" w14:paraId="36891D47" w14:textId="77777777" w:rsidTr="00D41492">
        <w:trPr>
          <w:trHeight w:val="462"/>
          <w:tblHeader/>
        </w:trPr>
        <w:tc>
          <w:tcPr>
            <w:tcW w:w="1360" w:type="dxa"/>
            <w:shd w:val="clear" w:color="auto" w:fill="1B556B"/>
            <w:vAlign w:val="bottom"/>
            <w:hideMark/>
          </w:tcPr>
          <w:p w14:paraId="463A95DA" w14:textId="77777777" w:rsidR="008A4F47" w:rsidRPr="00261B7A" w:rsidRDefault="008A4F47" w:rsidP="00D41492">
            <w:pPr>
              <w:pStyle w:val="TableTextBold"/>
              <w:spacing w:before="40" w:after="40"/>
              <w:rPr>
                <w:noProof w:val="0"/>
                <w:color w:val="FFFFFF"/>
              </w:rPr>
            </w:pPr>
            <w:r w:rsidRPr="00261B7A">
              <w:rPr>
                <w:noProof w:val="0"/>
                <w:color w:val="FFFFFF"/>
              </w:rPr>
              <w:t>CRF category code</w:t>
            </w:r>
          </w:p>
        </w:tc>
        <w:tc>
          <w:tcPr>
            <w:tcW w:w="4820" w:type="dxa"/>
            <w:shd w:val="clear" w:color="auto" w:fill="1B556B"/>
            <w:vAlign w:val="bottom"/>
            <w:hideMark/>
          </w:tcPr>
          <w:p w14:paraId="5093988C" w14:textId="77777777" w:rsidR="008A4F47" w:rsidRPr="00261B7A" w:rsidRDefault="008A4F47" w:rsidP="00D41492">
            <w:pPr>
              <w:pStyle w:val="TableTextBold"/>
              <w:spacing w:before="40" w:after="40"/>
              <w:rPr>
                <w:noProof w:val="0"/>
                <w:color w:val="FFFFFF"/>
              </w:rPr>
            </w:pPr>
            <w:r w:rsidRPr="00261B7A">
              <w:rPr>
                <w:noProof w:val="0"/>
                <w:color w:val="FFFFFF"/>
              </w:rPr>
              <w:t>IPCC categories</w:t>
            </w:r>
          </w:p>
        </w:tc>
        <w:tc>
          <w:tcPr>
            <w:tcW w:w="794" w:type="dxa"/>
            <w:shd w:val="clear" w:color="auto" w:fill="1B556B"/>
            <w:vAlign w:val="bottom"/>
            <w:hideMark/>
          </w:tcPr>
          <w:p w14:paraId="49501038" w14:textId="77777777" w:rsidR="008A4F47" w:rsidRPr="00261B7A" w:rsidRDefault="008A4F47" w:rsidP="00D41492">
            <w:pPr>
              <w:pStyle w:val="TableTextBold"/>
              <w:spacing w:before="40" w:after="40"/>
              <w:jc w:val="center"/>
              <w:rPr>
                <w:noProof w:val="0"/>
                <w:color w:val="FFFFFF"/>
              </w:rPr>
            </w:pPr>
            <w:r w:rsidRPr="00261B7A">
              <w:rPr>
                <w:noProof w:val="0"/>
                <w:color w:val="FFFFFF"/>
              </w:rPr>
              <w:t>Gas</w:t>
            </w:r>
          </w:p>
        </w:tc>
        <w:tc>
          <w:tcPr>
            <w:tcW w:w="1134" w:type="dxa"/>
            <w:shd w:val="clear" w:color="auto" w:fill="1B556B"/>
            <w:vAlign w:val="bottom"/>
            <w:hideMark/>
          </w:tcPr>
          <w:p w14:paraId="1F8B1AA0" w14:textId="77777777" w:rsidR="008A4F47" w:rsidRPr="00261B7A" w:rsidRDefault="008A4F47" w:rsidP="00D41492">
            <w:pPr>
              <w:pStyle w:val="TableTextBold"/>
              <w:spacing w:before="40" w:after="40"/>
              <w:rPr>
                <w:noProof w:val="0"/>
                <w:color w:val="FFFFFF"/>
              </w:rPr>
            </w:pPr>
            <w:r w:rsidRPr="00261B7A">
              <w:rPr>
                <w:noProof w:val="0"/>
                <w:color w:val="FFFFFF"/>
              </w:rPr>
              <w:t>Criteria for identification</w:t>
            </w:r>
          </w:p>
        </w:tc>
      </w:tr>
      <w:tr w:rsidR="008A4F47" w:rsidRPr="00261B7A" w14:paraId="5DCD3479" w14:textId="77777777" w:rsidTr="00D41492">
        <w:trPr>
          <w:trHeight w:val="250"/>
        </w:trPr>
        <w:tc>
          <w:tcPr>
            <w:tcW w:w="1360" w:type="dxa"/>
            <w:shd w:val="clear" w:color="auto" w:fill="FFFFFF"/>
            <w:hideMark/>
          </w:tcPr>
          <w:p w14:paraId="45350CA0" w14:textId="77777777" w:rsidR="008A4F47" w:rsidRPr="00261B7A" w:rsidRDefault="008A4F47" w:rsidP="00D41492">
            <w:pPr>
              <w:pStyle w:val="TableText"/>
              <w:spacing w:before="50" w:after="50"/>
            </w:pPr>
            <w:r w:rsidRPr="00261B7A">
              <w:t>2.A.1</w:t>
            </w:r>
          </w:p>
        </w:tc>
        <w:tc>
          <w:tcPr>
            <w:tcW w:w="4820" w:type="dxa"/>
            <w:shd w:val="clear" w:color="auto" w:fill="FFFFFF"/>
            <w:vAlign w:val="center"/>
            <w:hideMark/>
          </w:tcPr>
          <w:p w14:paraId="1F323C2E" w14:textId="77777777" w:rsidR="008A4F47" w:rsidRPr="00261B7A" w:rsidRDefault="008A4F47" w:rsidP="00D41492">
            <w:pPr>
              <w:pStyle w:val="TableText"/>
              <w:spacing w:before="50" w:after="50"/>
              <w:rPr>
                <w:color w:val="000000"/>
                <w:szCs w:val="16"/>
              </w:rPr>
            </w:pPr>
            <w:r w:rsidRPr="00261B7A">
              <w:rPr>
                <w:color w:val="000000"/>
                <w:szCs w:val="16"/>
              </w:rPr>
              <w:t>Mineral Industry – Cement Production</w:t>
            </w:r>
          </w:p>
        </w:tc>
        <w:tc>
          <w:tcPr>
            <w:tcW w:w="794" w:type="dxa"/>
            <w:shd w:val="clear" w:color="auto" w:fill="FFFFFF"/>
            <w:vAlign w:val="center"/>
            <w:hideMark/>
          </w:tcPr>
          <w:p w14:paraId="653B7352" w14:textId="77777777" w:rsidR="008A4F47" w:rsidRPr="00261B7A" w:rsidRDefault="008A4F47" w:rsidP="00D41492">
            <w:pPr>
              <w:pStyle w:val="TableText"/>
              <w:spacing w:before="50" w:after="50"/>
              <w:jc w:val="center"/>
              <w:rPr>
                <w:color w:val="000000"/>
                <w:szCs w:val="16"/>
              </w:rPr>
            </w:pPr>
            <w:r w:rsidRPr="00261B7A">
              <w:rPr>
                <w:color w:val="000000"/>
                <w:szCs w:val="16"/>
              </w:rPr>
              <w:t>CO</w:t>
            </w:r>
            <w:r w:rsidRPr="00261B7A">
              <w:rPr>
                <w:color w:val="000000"/>
                <w:szCs w:val="16"/>
                <w:vertAlign w:val="subscript"/>
              </w:rPr>
              <w:t>2</w:t>
            </w:r>
          </w:p>
        </w:tc>
        <w:tc>
          <w:tcPr>
            <w:tcW w:w="1134" w:type="dxa"/>
            <w:shd w:val="clear" w:color="auto" w:fill="FFFFFF"/>
            <w:vAlign w:val="center"/>
            <w:hideMark/>
          </w:tcPr>
          <w:p w14:paraId="34C3FCFD" w14:textId="77777777" w:rsidR="008A4F47" w:rsidRPr="00261B7A" w:rsidRDefault="008A4F47" w:rsidP="00D41492">
            <w:pPr>
              <w:pStyle w:val="TableText"/>
              <w:spacing w:before="50" w:after="50"/>
              <w:rPr>
                <w:color w:val="000000"/>
                <w:szCs w:val="16"/>
              </w:rPr>
            </w:pPr>
            <w:r w:rsidRPr="00261B7A">
              <w:rPr>
                <w:color w:val="000000"/>
                <w:szCs w:val="16"/>
              </w:rPr>
              <w:t>L1, T1</w:t>
            </w:r>
          </w:p>
        </w:tc>
      </w:tr>
      <w:tr w:rsidR="008A4F47" w:rsidRPr="00261B7A" w14:paraId="7E18A7CF" w14:textId="77777777" w:rsidTr="00D41492">
        <w:trPr>
          <w:trHeight w:val="250"/>
        </w:trPr>
        <w:tc>
          <w:tcPr>
            <w:tcW w:w="1360" w:type="dxa"/>
            <w:shd w:val="clear" w:color="auto" w:fill="FFFFFF"/>
          </w:tcPr>
          <w:p w14:paraId="2462F980" w14:textId="77777777" w:rsidR="008A4F47" w:rsidRPr="00261B7A" w:rsidRDefault="008A4F47" w:rsidP="00D41492">
            <w:pPr>
              <w:pStyle w:val="TableText"/>
              <w:spacing w:before="50" w:after="50"/>
            </w:pPr>
            <w:r w:rsidRPr="00261B7A">
              <w:t>2.B.10</w:t>
            </w:r>
          </w:p>
        </w:tc>
        <w:tc>
          <w:tcPr>
            <w:tcW w:w="4820" w:type="dxa"/>
            <w:shd w:val="clear" w:color="auto" w:fill="FFFFFF"/>
            <w:vAlign w:val="center"/>
          </w:tcPr>
          <w:p w14:paraId="040A5A6D" w14:textId="77777777" w:rsidR="008A4F47" w:rsidRPr="00261B7A" w:rsidRDefault="008A4F47" w:rsidP="00D41492">
            <w:pPr>
              <w:pStyle w:val="TableText"/>
              <w:spacing w:before="50" w:after="50"/>
              <w:rPr>
                <w:color w:val="000000"/>
                <w:szCs w:val="16"/>
              </w:rPr>
            </w:pPr>
            <w:r w:rsidRPr="00261B7A">
              <w:rPr>
                <w:color w:val="000000"/>
                <w:szCs w:val="16"/>
              </w:rPr>
              <w:t>Chemical Industry – Other (please specify)</w:t>
            </w:r>
          </w:p>
        </w:tc>
        <w:tc>
          <w:tcPr>
            <w:tcW w:w="794" w:type="dxa"/>
            <w:shd w:val="clear" w:color="auto" w:fill="FFFFFF"/>
            <w:vAlign w:val="center"/>
          </w:tcPr>
          <w:p w14:paraId="1C3BC08C" w14:textId="77777777" w:rsidR="008A4F47" w:rsidRPr="00261B7A" w:rsidRDefault="008A4F47" w:rsidP="00D41492">
            <w:pPr>
              <w:pStyle w:val="TableText"/>
              <w:spacing w:before="50" w:after="50"/>
              <w:jc w:val="center"/>
              <w:rPr>
                <w:color w:val="000000"/>
                <w:szCs w:val="16"/>
              </w:rPr>
            </w:pPr>
            <w:r w:rsidRPr="00261B7A">
              <w:rPr>
                <w:color w:val="000000"/>
                <w:szCs w:val="16"/>
              </w:rPr>
              <w:t>CO</w:t>
            </w:r>
            <w:r w:rsidRPr="00261B7A">
              <w:rPr>
                <w:color w:val="000000"/>
                <w:szCs w:val="16"/>
                <w:vertAlign w:val="subscript"/>
              </w:rPr>
              <w:t>2</w:t>
            </w:r>
          </w:p>
        </w:tc>
        <w:tc>
          <w:tcPr>
            <w:tcW w:w="1134" w:type="dxa"/>
            <w:shd w:val="clear" w:color="auto" w:fill="FFFFFF"/>
            <w:vAlign w:val="center"/>
          </w:tcPr>
          <w:p w14:paraId="3B567022" w14:textId="77777777" w:rsidR="008A4F47" w:rsidRPr="00261B7A" w:rsidRDefault="008A4F47" w:rsidP="00D41492">
            <w:pPr>
              <w:pStyle w:val="TableText"/>
              <w:spacing w:before="50" w:after="50"/>
              <w:rPr>
                <w:color w:val="000000"/>
                <w:szCs w:val="16"/>
              </w:rPr>
            </w:pPr>
            <w:r w:rsidRPr="00261B7A">
              <w:rPr>
                <w:color w:val="000000"/>
                <w:szCs w:val="16"/>
              </w:rPr>
              <w:t>T1</w:t>
            </w:r>
          </w:p>
        </w:tc>
      </w:tr>
      <w:tr w:rsidR="008A4F47" w:rsidRPr="00261B7A" w14:paraId="18D602A2" w14:textId="77777777" w:rsidTr="00D41492">
        <w:trPr>
          <w:trHeight w:val="305"/>
        </w:trPr>
        <w:tc>
          <w:tcPr>
            <w:tcW w:w="1360" w:type="dxa"/>
            <w:shd w:val="clear" w:color="auto" w:fill="FFFFFF"/>
            <w:hideMark/>
          </w:tcPr>
          <w:p w14:paraId="12EA99C7" w14:textId="77777777" w:rsidR="008A4F47" w:rsidRPr="00261B7A" w:rsidRDefault="008A4F47" w:rsidP="00D41492">
            <w:pPr>
              <w:pStyle w:val="TableText"/>
              <w:spacing w:before="50" w:after="50"/>
            </w:pPr>
            <w:r w:rsidRPr="00261B7A">
              <w:t>2.C.1</w:t>
            </w:r>
          </w:p>
        </w:tc>
        <w:tc>
          <w:tcPr>
            <w:tcW w:w="4820" w:type="dxa"/>
            <w:shd w:val="clear" w:color="auto" w:fill="FFFFFF"/>
            <w:vAlign w:val="center"/>
            <w:hideMark/>
          </w:tcPr>
          <w:p w14:paraId="4D1A1838" w14:textId="77777777" w:rsidR="008A4F47" w:rsidRPr="00261B7A" w:rsidRDefault="008A4F47" w:rsidP="00D41492">
            <w:pPr>
              <w:pStyle w:val="TableText"/>
              <w:spacing w:before="50" w:after="50"/>
              <w:rPr>
                <w:color w:val="000000"/>
                <w:szCs w:val="16"/>
              </w:rPr>
            </w:pPr>
            <w:r w:rsidRPr="00261B7A">
              <w:rPr>
                <w:color w:val="000000"/>
                <w:szCs w:val="16"/>
              </w:rPr>
              <w:t>Metal Industry – Iron and Steel Production</w:t>
            </w:r>
          </w:p>
        </w:tc>
        <w:tc>
          <w:tcPr>
            <w:tcW w:w="794" w:type="dxa"/>
            <w:shd w:val="clear" w:color="auto" w:fill="FFFFFF"/>
            <w:vAlign w:val="center"/>
            <w:hideMark/>
          </w:tcPr>
          <w:p w14:paraId="7D200DA2" w14:textId="77777777" w:rsidR="008A4F47" w:rsidRPr="00261B7A" w:rsidRDefault="008A4F47" w:rsidP="00D41492">
            <w:pPr>
              <w:pStyle w:val="TableText"/>
              <w:spacing w:before="50" w:after="50"/>
              <w:jc w:val="center"/>
              <w:rPr>
                <w:color w:val="000000"/>
                <w:szCs w:val="16"/>
              </w:rPr>
            </w:pPr>
            <w:r w:rsidRPr="00261B7A">
              <w:rPr>
                <w:color w:val="000000"/>
                <w:szCs w:val="16"/>
              </w:rPr>
              <w:t>CO</w:t>
            </w:r>
            <w:r w:rsidRPr="00261B7A">
              <w:rPr>
                <w:color w:val="000000"/>
                <w:szCs w:val="16"/>
                <w:vertAlign w:val="subscript"/>
              </w:rPr>
              <w:t>2</w:t>
            </w:r>
          </w:p>
        </w:tc>
        <w:tc>
          <w:tcPr>
            <w:tcW w:w="1134" w:type="dxa"/>
            <w:shd w:val="clear" w:color="auto" w:fill="FFFFFF"/>
            <w:vAlign w:val="center"/>
            <w:hideMark/>
          </w:tcPr>
          <w:p w14:paraId="51B7F244" w14:textId="77777777" w:rsidR="008A4F47" w:rsidRPr="00261B7A" w:rsidRDefault="008A4F47" w:rsidP="00D41492">
            <w:pPr>
              <w:pStyle w:val="TableText"/>
              <w:spacing w:before="50" w:after="50"/>
              <w:rPr>
                <w:color w:val="000000"/>
                <w:szCs w:val="16"/>
              </w:rPr>
            </w:pPr>
            <w:r w:rsidRPr="00261B7A">
              <w:rPr>
                <w:color w:val="000000"/>
                <w:szCs w:val="16"/>
              </w:rPr>
              <w:t>L1, T1</w:t>
            </w:r>
          </w:p>
        </w:tc>
      </w:tr>
      <w:tr w:rsidR="008A4F47" w:rsidRPr="00261B7A" w14:paraId="2798902D" w14:textId="77777777" w:rsidTr="00D41492">
        <w:trPr>
          <w:trHeight w:val="305"/>
        </w:trPr>
        <w:tc>
          <w:tcPr>
            <w:tcW w:w="1360" w:type="dxa"/>
            <w:shd w:val="clear" w:color="auto" w:fill="FFFFFF"/>
            <w:hideMark/>
          </w:tcPr>
          <w:p w14:paraId="652FB1DA" w14:textId="77777777" w:rsidR="008A4F47" w:rsidRPr="00261B7A" w:rsidRDefault="008A4F47" w:rsidP="00D41492">
            <w:pPr>
              <w:pStyle w:val="TableText"/>
              <w:spacing w:before="50" w:after="50"/>
            </w:pPr>
            <w:r w:rsidRPr="00261B7A">
              <w:t>2.C.3</w:t>
            </w:r>
          </w:p>
        </w:tc>
        <w:tc>
          <w:tcPr>
            <w:tcW w:w="4820" w:type="dxa"/>
            <w:shd w:val="clear" w:color="auto" w:fill="FFFFFF"/>
            <w:vAlign w:val="center"/>
            <w:hideMark/>
          </w:tcPr>
          <w:p w14:paraId="71C6F074" w14:textId="77777777" w:rsidR="008A4F47" w:rsidRPr="00261B7A" w:rsidRDefault="008A4F47" w:rsidP="00D41492">
            <w:pPr>
              <w:pStyle w:val="TableText"/>
              <w:spacing w:before="50" w:after="50"/>
              <w:rPr>
                <w:color w:val="000000"/>
                <w:szCs w:val="16"/>
              </w:rPr>
            </w:pPr>
            <w:r w:rsidRPr="00261B7A">
              <w:rPr>
                <w:color w:val="000000"/>
                <w:szCs w:val="16"/>
              </w:rPr>
              <w:t>Metal Industry – Aluminium Production</w:t>
            </w:r>
          </w:p>
        </w:tc>
        <w:tc>
          <w:tcPr>
            <w:tcW w:w="794" w:type="dxa"/>
            <w:shd w:val="clear" w:color="auto" w:fill="FFFFFF"/>
            <w:vAlign w:val="center"/>
            <w:hideMark/>
          </w:tcPr>
          <w:p w14:paraId="7803806F" w14:textId="77777777" w:rsidR="008A4F47" w:rsidRPr="00261B7A" w:rsidRDefault="008A4F47" w:rsidP="00D41492">
            <w:pPr>
              <w:pStyle w:val="TableText"/>
              <w:spacing w:before="50" w:after="50"/>
              <w:jc w:val="center"/>
              <w:rPr>
                <w:color w:val="000000"/>
                <w:szCs w:val="16"/>
              </w:rPr>
            </w:pPr>
            <w:r w:rsidRPr="00261B7A">
              <w:rPr>
                <w:color w:val="000000"/>
                <w:szCs w:val="16"/>
              </w:rPr>
              <w:t>CO</w:t>
            </w:r>
            <w:r w:rsidRPr="00261B7A">
              <w:rPr>
                <w:color w:val="000000"/>
                <w:szCs w:val="16"/>
                <w:vertAlign w:val="subscript"/>
              </w:rPr>
              <w:t>2</w:t>
            </w:r>
          </w:p>
        </w:tc>
        <w:tc>
          <w:tcPr>
            <w:tcW w:w="1134" w:type="dxa"/>
            <w:shd w:val="clear" w:color="auto" w:fill="FFFFFF"/>
            <w:vAlign w:val="center"/>
            <w:hideMark/>
          </w:tcPr>
          <w:p w14:paraId="39630A8D" w14:textId="77777777" w:rsidR="008A4F47" w:rsidRPr="00261B7A" w:rsidRDefault="008A4F47" w:rsidP="00D41492">
            <w:pPr>
              <w:pStyle w:val="TableText"/>
              <w:spacing w:before="50" w:after="50"/>
              <w:rPr>
                <w:color w:val="000000"/>
                <w:szCs w:val="16"/>
              </w:rPr>
            </w:pPr>
            <w:r w:rsidRPr="00261B7A">
              <w:rPr>
                <w:color w:val="000000"/>
                <w:szCs w:val="16"/>
              </w:rPr>
              <w:t>L1</w:t>
            </w:r>
          </w:p>
        </w:tc>
      </w:tr>
      <w:tr w:rsidR="008A4F47" w:rsidRPr="00261B7A" w14:paraId="4528374C" w14:textId="77777777" w:rsidTr="00D41492">
        <w:trPr>
          <w:trHeight w:val="305"/>
        </w:trPr>
        <w:tc>
          <w:tcPr>
            <w:tcW w:w="1360" w:type="dxa"/>
            <w:shd w:val="clear" w:color="auto" w:fill="FFFFFF"/>
            <w:hideMark/>
          </w:tcPr>
          <w:p w14:paraId="22DFD6BB" w14:textId="77777777" w:rsidR="008A4F47" w:rsidRPr="00261B7A" w:rsidRDefault="008A4F47" w:rsidP="00D41492">
            <w:pPr>
              <w:pStyle w:val="TableText"/>
              <w:spacing w:before="50" w:after="50"/>
            </w:pPr>
            <w:r w:rsidRPr="00261B7A">
              <w:t>2.C.3</w:t>
            </w:r>
          </w:p>
        </w:tc>
        <w:tc>
          <w:tcPr>
            <w:tcW w:w="4820" w:type="dxa"/>
            <w:shd w:val="clear" w:color="auto" w:fill="FFFFFF"/>
            <w:vAlign w:val="center"/>
            <w:hideMark/>
          </w:tcPr>
          <w:p w14:paraId="003D893F" w14:textId="77777777" w:rsidR="008A4F47" w:rsidRPr="00261B7A" w:rsidRDefault="008A4F47" w:rsidP="00D41492">
            <w:pPr>
              <w:pStyle w:val="TableText"/>
              <w:spacing w:before="50" w:after="50"/>
              <w:rPr>
                <w:color w:val="000000"/>
                <w:szCs w:val="16"/>
              </w:rPr>
            </w:pPr>
            <w:r w:rsidRPr="00261B7A">
              <w:rPr>
                <w:color w:val="000000"/>
                <w:szCs w:val="16"/>
              </w:rPr>
              <w:t>Metal Industry – Aluminium Production</w:t>
            </w:r>
          </w:p>
        </w:tc>
        <w:tc>
          <w:tcPr>
            <w:tcW w:w="794" w:type="dxa"/>
            <w:shd w:val="clear" w:color="auto" w:fill="FFFFFF"/>
            <w:vAlign w:val="center"/>
            <w:hideMark/>
          </w:tcPr>
          <w:p w14:paraId="53C6EA09" w14:textId="77777777" w:rsidR="008A4F47" w:rsidRPr="00261B7A" w:rsidRDefault="008A4F47" w:rsidP="00D41492">
            <w:pPr>
              <w:pStyle w:val="TableText"/>
              <w:spacing w:before="50" w:after="50"/>
              <w:jc w:val="center"/>
              <w:rPr>
                <w:color w:val="000000"/>
                <w:szCs w:val="16"/>
              </w:rPr>
            </w:pPr>
            <w:r w:rsidRPr="00261B7A">
              <w:rPr>
                <w:color w:val="000000"/>
                <w:szCs w:val="16"/>
              </w:rPr>
              <w:t>PFCs</w:t>
            </w:r>
          </w:p>
        </w:tc>
        <w:tc>
          <w:tcPr>
            <w:tcW w:w="1134" w:type="dxa"/>
            <w:shd w:val="clear" w:color="auto" w:fill="FFFFFF"/>
            <w:vAlign w:val="center"/>
            <w:hideMark/>
          </w:tcPr>
          <w:p w14:paraId="110D454C" w14:textId="77777777" w:rsidR="008A4F47" w:rsidRPr="00261B7A" w:rsidRDefault="008A4F47" w:rsidP="00D41492">
            <w:pPr>
              <w:pStyle w:val="TableText"/>
              <w:spacing w:before="50" w:after="50"/>
              <w:rPr>
                <w:color w:val="000000"/>
                <w:szCs w:val="16"/>
              </w:rPr>
            </w:pPr>
            <w:r w:rsidRPr="00261B7A">
              <w:rPr>
                <w:color w:val="000000"/>
                <w:szCs w:val="16"/>
              </w:rPr>
              <w:t>T1</w:t>
            </w:r>
          </w:p>
        </w:tc>
      </w:tr>
      <w:tr w:rsidR="008A4F47" w:rsidRPr="00261B7A" w14:paraId="1F044762" w14:textId="77777777" w:rsidTr="00D41492">
        <w:trPr>
          <w:trHeight w:val="305"/>
        </w:trPr>
        <w:tc>
          <w:tcPr>
            <w:tcW w:w="1360" w:type="dxa"/>
            <w:shd w:val="clear" w:color="auto" w:fill="FFFFFF"/>
            <w:hideMark/>
          </w:tcPr>
          <w:p w14:paraId="32DE2B69" w14:textId="77777777" w:rsidR="008A4F47" w:rsidRPr="00261B7A" w:rsidRDefault="008A4F47" w:rsidP="00D41492">
            <w:pPr>
              <w:pStyle w:val="TableText"/>
              <w:spacing w:before="50" w:after="50"/>
            </w:pPr>
            <w:r w:rsidRPr="00261B7A">
              <w:t>2.F.1</w:t>
            </w:r>
          </w:p>
        </w:tc>
        <w:tc>
          <w:tcPr>
            <w:tcW w:w="4820" w:type="dxa"/>
            <w:shd w:val="clear" w:color="auto" w:fill="FFFFFF"/>
            <w:vAlign w:val="center"/>
            <w:hideMark/>
          </w:tcPr>
          <w:p w14:paraId="10343BF5" w14:textId="77777777" w:rsidR="008A4F47" w:rsidRPr="00261B7A" w:rsidRDefault="008A4F47" w:rsidP="00D41492">
            <w:pPr>
              <w:pStyle w:val="TableText"/>
              <w:spacing w:before="50" w:after="50"/>
              <w:rPr>
                <w:color w:val="000000"/>
                <w:szCs w:val="16"/>
              </w:rPr>
            </w:pPr>
            <w:r w:rsidRPr="00261B7A">
              <w:rPr>
                <w:color w:val="000000"/>
                <w:szCs w:val="16"/>
              </w:rPr>
              <w:t>Product Uses as Substitutes for ODS – Refrigeration and Air Conditioning</w:t>
            </w:r>
          </w:p>
        </w:tc>
        <w:tc>
          <w:tcPr>
            <w:tcW w:w="794" w:type="dxa"/>
            <w:shd w:val="clear" w:color="auto" w:fill="FFFFFF"/>
            <w:vAlign w:val="center"/>
            <w:hideMark/>
          </w:tcPr>
          <w:p w14:paraId="3EECCD31" w14:textId="77777777" w:rsidR="008A4F47" w:rsidRPr="00261B7A" w:rsidRDefault="008A4F47" w:rsidP="00D41492">
            <w:pPr>
              <w:pStyle w:val="TableText"/>
              <w:spacing w:before="50" w:after="50"/>
              <w:jc w:val="center"/>
              <w:rPr>
                <w:color w:val="000000"/>
                <w:szCs w:val="16"/>
              </w:rPr>
            </w:pPr>
            <w:r w:rsidRPr="00261B7A">
              <w:rPr>
                <w:color w:val="000000"/>
                <w:szCs w:val="16"/>
              </w:rPr>
              <w:t>HFCs</w:t>
            </w:r>
          </w:p>
        </w:tc>
        <w:tc>
          <w:tcPr>
            <w:tcW w:w="1134" w:type="dxa"/>
            <w:shd w:val="clear" w:color="auto" w:fill="FFFFFF"/>
            <w:vAlign w:val="center"/>
            <w:hideMark/>
          </w:tcPr>
          <w:p w14:paraId="1D88AA91" w14:textId="77777777" w:rsidR="008A4F47" w:rsidRPr="00261B7A" w:rsidRDefault="008A4F47" w:rsidP="00D41492">
            <w:pPr>
              <w:pStyle w:val="TableText"/>
              <w:spacing w:before="50" w:after="50"/>
              <w:rPr>
                <w:color w:val="000000"/>
                <w:szCs w:val="16"/>
              </w:rPr>
            </w:pPr>
            <w:r w:rsidRPr="00261B7A">
              <w:rPr>
                <w:color w:val="000000"/>
                <w:szCs w:val="16"/>
              </w:rPr>
              <w:t>L1, T1</w:t>
            </w:r>
          </w:p>
        </w:tc>
      </w:tr>
    </w:tbl>
    <w:p w14:paraId="023331C1" w14:textId="77777777" w:rsidR="008A4F47" w:rsidRPr="00261B7A" w:rsidRDefault="008A4F47" w:rsidP="008A4F47">
      <w:pPr>
        <w:pStyle w:val="Noteundertable"/>
      </w:pPr>
      <w:r w:rsidRPr="00261B7A">
        <w:rPr>
          <w:rFonts w:cs="Arial"/>
          <w:b/>
        </w:rPr>
        <w:t>Note:</w:t>
      </w:r>
      <w:r w:rsidRPr="00261B7A">
        <w:rPr>
          <w:rFonts w:cs="Arial"/>
        </w:rPr>
        <w:tab/>
      </w:r>
      <w:r w:rsidRPr="00261B7A">
        <w:t xml:space="preserve">L1 means a key category is identified under the level analysis – approach 1 and T1 is trend analysis </w:t>
      </w:r>
      <w:r w:rsidRPr="00261B7A">
        <w:br/>
        <w:t>– approach 1. Refer to chapter 1 for more information.</w:t>
      </w:r>
    </w:p>
    <w:p w14:paraId="0108609B" w14:textId="77777777" w:rsidR="008A4F47" w:rsidRPr="00261B7A" w:rsidRDefault="008A4F47" w:rsidP="0034058F">
      <w:pPr>
        <w:pStyle w:val="Heading3"/>
      </w:pPr>
      <w:r w:rsidRPr="00261B7A">
        <w:t>4.1.4</w:t>
      </w:r>
      <w:r w:rsidRPr="00261B7A">
        <w:tab/>
        <w:t>Methodological issues for the IPPU sector</w:t>
      </w:r>
    </w:p>
    <w:p w14:paraId="396EC339" w14:textId="77777777" w:rsidR="008A4F47" w:rsidRPr="00261B7A" w:rsidRDefault="008A4F47" w:rsidP="008A4F47">
      <w:pPr>
        <w:pStyle w:val="BodyText"/>
        <w:rPr>
          <w:rFonts w:eastAsia="+mn-ea"/>
        </w:rPr>
      </w:pPr>
      <w:r w:rsidRPr="00261B7A">
        <w:rPr>
          <w:rFonts w:eastAsia="+mn-ea"/>
        </w:rPr>
        <w:t xml:space="preserve">Activity data in the IPPU sector have been derived from a variety of sources. In the </w:t>
      </w:r>
      <w:r w:rsidRPr="00261B7A">
        <w:rPr>
          <w:rFonts w:eastAsia="+mn-ea"/>
          <w:i/>
        </w:rPr>
        <w:t>Mineral industry</w:t>
      </w:r>
      <w:r w:rsidRPr="00261B7A">
        <w:rPr>
          <w:rFonts w:eastAsia="+mn-ea"/>
        </w:rPr>
        <w:t xml:space="preserve"> category, the primary data source is emissions data reported under the New Zealand Emissions Trading Scheme (NZ ETS). For the </w:t>
      </w:r>
      <w:r w:rsidRPr="00261B7A">
        <w:rPr>
          <w:rFonts w:eastAsia="+mn-ea"/>
          <w:i/>
        </w:rPr>
        <w:t>Chemical industry</w:t>
      </w:r>
      <w:r w:rsidRPr="00261B7A">
        <w:rPr>
          <w:rFonts w:eastAsia="+mn-ea"/>
        </w:rPr>
        <w:t xml:space="preserve"> and </w:t>
      </w:r>
      <w:r w:rsidRPr="00261B7A">
        <w:rPr>
          <w:rFonts w:eastAsia="+mn-ea"/>
          <w:i/>
        </w:rPr>
        <w:t>Metal industry</w:t>
      </w:r>
      <w:r w:rsidRPr="00261B7A">
        <w:rPr>
          <w:rFonts w:eastAsia="+mn-ea"/>
        </w:rPr>
        <w:t xml:space="preserve"> categories, data (including activity data) are provided to the Ministry of Business, Innovation and Employment (MBIE) in response to an annual survey. </w:t>
      </w:r>
    </w:p>
    <w:p w14:paraId="694432EC" w14:textId="77777777" w:rsidR="008A4F47" w:rsidRPr="00261B7A" w:rsidRDefault="008A4F47" w:rsidP="008A4F47">
      <w:pPr>
        <w:pStyle w:val="BodyText"/>
        <w:rPr>
          <w:rFonts w:eastAsia="+mn-ea"/>
        </w:rPr>
      </w:pPr>
      <w:r w:rsidRPr="00261B7A">
        <w:rPr>
          <w:rFonts w:eastAsia="+mn-ea"/>
        </w:rPr>
        <w:t>The small scale of New Zealand’s industry sector means some activities are only carried out by one or two companies. Information</w:t>
      </w:r>
      <w:r w:rsidRPr="00261B7A" w:rsidDel="004A2B52">
        <w:rPr>
          <w:rFonts w:eastAsia="+mn-ea"/>
        </w:rPr>
        <w:t xml:space="preserve"> </w:t>
      </w:r>
      <w:r w:rsidRPr="00261B7A">
        <w:rPr>
          <w:rFonts w:eastAsia="+mn-ea"/>
        </w:rPr>
        <w:t xml:space="preserve">these companies provide in response to surveys is often subject to an obligation of confidentiality, so that their activity data or emissions cannot be published. These confidentiality concerns have several implications for reporting of activity data and emissions. </w:t>
      </w:r>
    </w:p>
    <w:p w14:paraId="786270EE" w14:textId="77777777" w:rsidR="008A4F47" w:rsidRPr="00261B7A" w:rsidRDefault="008A4F47" w:rsidP="008A4F47">
      <w:pPr>
        <w:pStyle w:val="Bullet"/>
      </w:pPr>
      <w:r w:rsidRPr="00261B7A">
        <w:t>Activity data for cement, steel and glass production are reported as confidential in the CRF tables.</w:t>
      </w:r>
    </w:p>
    <w:p w14:paraId="73935B8F" w14:textId="77777777" w:rsidR="008A4F47" w:rsidRPr="00261B7A" w:rsidRDefault="008A4F47" w:rsidP="008A4F47">
      <w:pPr>
        <w:pStyle w:val="Bullet"/>
      </w:pPr>
      <w:r w:rsidRPr="00261B7A">
        <w:t>Emissions data for glass production (2.A.3) are reported in 2.A.4 to aggregate the data with other sources and preserve confidentiality.</w:t>
      </w:r>
    </w:p>
    <w:p w14:paraId="772C7BF3" w14:textId="77777777" w:rsidR="008A4F47" w:rsidRPr="00261B7A" w:rsidRDefault="008A4F47" w:rsidP="008A4F47">
      <w:pPr>
        <w:pStyle w:val="Bullet"/>
      </w:pPr>
      <w:r w:rsidRPr="00261B7A">
        <w:t xml:space="preserve">Emissions from gas used for energy purposes in ammonia production are reported in the </w:t>
      </w:r>
      <w:r w:rsidRPr="00261B7A">
        <w:rPr>
          <w:i/>
          <w:iCs/>
        </w:rPr>
        <w:t xml:space="preserve">Manufacturing industries and construction </w:t>
      </w:r>
      <w:r w:rsidRPr="00261B7A">
        <w:t xml:space="preserve">category in the Energy sector (CRF 1.A.2.c) where this information can be aggregated with other companies. Only chemical feedstock gas is reported in the </w:t>
      </w:r>
      <w:r w:rsidRPr="00261B7A">
        <w:rPr>
          <w:i/>
          <w:iCs/>
        </w:rPr>
        <w:t>Chemical industry</w:t>
      </w:r>
      <w:r w:rsidRPr="00261B7A">
        <w:t xml:space="preserve"> category. Total energy use for the ammonia–urea plant is not disclosed.</w:t>
      </w:r>
    </w:p>
    <w:p w14:paraId="009C14FD" w14:textId="0A0B15C8" w:rsidR="008A4F47" w:rsidRPr="00261B7A" w:rsidRDefault="008A4F47" w:rsidP="008A4F47">
      <w:pPr>
        <w:pStyle w:val="Bullet"/>
      </w:pPr>
      <w:r w:rsidRPr="00261B7A">
        <w:t xml:space="preserve">Data on emissions from hydrogen making at the Marsden Point oil refinery are reported in the </w:t>
      </w:r>
      <w:r w:rsidRPr="00261B7A">
        <w:rPr>
          <w:rFonts w:eastAsia="+mn-ea"/>
          <w:i/>
        </w:rPr>
        <w:t>Chemical industry</w:t>
      </w:r>
      <w:r w:rsidRPr="00261B7A">
        <w:t xml:space="preserve"> category. This means that data from New Zealand’s only industrial hydrogen-making process, which is smaller in scale than refining, are aggregated and kept</w:t>
      </w:r>
      <w:r w:rsidR="009F3C7F" w:rsidRPr="00261B7A">
        <w:t> </w:t>
      </w:r>
      <w:r w:rsidRPr="00261B7A">
        <w:t>confidential.</w:t>
      </w:r>
    </w:p>
    <w:p w14:paraId="7EDDDD30" w14:textId="77777777" w:rsidR="008A4F47" w:rsidRPr="00261B7A" w:rsidRDefault="008A4F47" w:rsidP="008A4F47">
      <w:pPr>
        <w:pStyle w:val="BodyText"/>
        <w:rPr>
          <w:rFonts w:eastAsia="+mn-ea"/>
        </w:rPr>
      </w:pPr>
      <w:r w:rsidRPr="00261B7A">
        <w:rPr>
          <w:rFonts w:eastAsia="+mn-ea"/>
        </w:rPr>
        <w:t xml:space="preserve">For the </w:t>
      </w:r>
      <w:r w:rsidRPr="00261B7A">
        <w:rPr>
          <w:rFonts w:eastAsia="+mn-ea"/>
          <w:i/>
        </w:rPr>
        <w:t>Product uses as substitutes for ODS</w:t>
      </w:r>
      <w:r w:rsidRPr="00261B7A">
        <w:rPr>
          <w:rFonts w:eastAsia="+mn-ea"/>
        </w:rPr>
        <w:t xml:space="preserve"> category, updated activity data have been obtained </w:t>
      </w:r>
      <w:r w:rsidRPr="00261B7A">
        <w:rPr>
          <w:rFonts w:eastAsia="+mn-ea"/>
          <w:spacing w:val="-2"/>
        </w:rPr>
        <w:t>by a detailed annual survey covering the electrical, refrigeration and other industry participants</w:t>
      </w:r>
      <w:r w:rsidRPr="00261B7A">
        <w:rPr>
          <w:rFonts w:eastAsia="+mn-ea"/>
        </w:rPr>
        <w:t xml:space="preserve"> </w:t>
      </w:r>
      <w:r w:rsidRPr="00261B7A">
        <w:rPr>
          <w:rFonts w:eastAsia="+mn-ea"/>
          <w:spacing w:val="-2"/>
        </w:rPr>
        <w:t>(Verum Group, unpublished) as well as importers of HFCs and other substances in this category.</w:t>
      </w:r>
      <w:r w:rsidRPr="00261B7A">
        <w:rPr>
          <w:rFonts w:eastAsia="+mn-ea"/>
        </w:rPr>
        <w:t xml:space="preserve"> </w:t>
      </w:r>
    </w:p>
    <w:p w14:paraId="207B6BE2" w14:textId="77777777" w:rsidR="008A4F47" w:rsidRPr="00261B7A" w:rsidRDefault="008A4F47" w:rsidP="008A4F47">
      <w:pPr>
        <w:pStyle w:val="BodyText"/>
      </w:pPr>
      <w:r w:rsidRPr="00261B7A">
        <w:t>New Zealand uses a combination of Tier 1 and Tier 2 methods for the IPPU sector. Tier 2 methods are used for all key categories.</w:t>
      </w:r>
    </w:p>
    <w:p w14:paraId="39E67C44" w14:textId="77777777" w:rsidR="008A4F47" w:rsidRPr="00261B7A" w:rsidRDefault="008A4F47" w:rsidP="008A4F47">
      <w:pPr>
        <w:pStyle w:val="BodyText"/>
        <w:rPr>
          <w:rFonts w:eastAsia="+mn-ea"/>
        </w:rPr>
      </w:pPr>
      <w:r w:rsidRPr="00261B7A">
        <w:rPr>
          <w:rFonts w:eastAsia="+mn-ea"/>
        </w:rPr>
        <w:t xml:space="preserve">For small amounts of indirect greenhouse gas emissions reported in the </w:t>
      </w:r>
      <w:r w:rsidRPr="00261B7A">
        <w:rPr>
          <w:rFonts w:eastAsia="+mn-ea"/>
          <w:i/>
        </w:rPr>
        <w:t>Chemical industry</w:t>
      </w:r>
      <w:r w:rsidRPr="00261B7A">
        <w:rPr>
          <w:rFonts w:eastAsia="+mn-ea"/>
        </w:rPr>
        <w:t xml:space="preserve"> category and the </w:t>
      </w:r>
      <w:r w:rsidRPr="00261B7A">
        <w:rPr>
          <w:rFonts w:eastAsia="+mn-ea"/>
          <w:i/>
        </w:rPr>
        <w:t>Other product manufacture and use</w:t>
      </w:r>
      <w:r w:rsidRPr="00261B7A">
        <w:rPr>
          <w:rFonts w:eastAsia="+mn-ea"/>
        </w:rPr>
        <w:t xml:space="preserve"> category, data were obtained by a detailed industry survey and analysis in 2006 (CRL Energy, unpublished(a)). Emissions and activity data have been extrapolated for the years since that time. </w:t>
      </w:r>
    </w:p>
    <w:p w14:paraId="5A3A1B43" w14:textId="77777777" w:rsidR="008A4F47" w:rsidRPr="00261B7A" w:rsidRDefault="008A4F47" w:rsidP="008A4F47">
      <w:pPr>
        <w:pStyle w:val="BodyText"/>
      </w:pPr>
      <w:r w:rsidRPr="00261B7A">
        <w:t xml:space="preserve">Country-specific emission factors have been used where available, including for emissions of indirect greenhouse gases. </w:t>
      </w:r>
    </w:p>
    <w:p w14:paraId="0234BC06" w14:textId="77777777" w:rsidR="008A4F47" w:rsidRPr="00261B7A" w:rsidRDefault="008A4F47" w:rsidP="0034058F">
      <w:pPr>
        <w:pStyle w:val="Heading3"/>
      </w:pPr>
      <w:r w:rsidRPr="00261B7A">
        <w:t>4.1.5</w:t>
      </w:r>
      <w:r w:rsidRPr="00261B7A">
        <w:tab/>
        <w:t>Uncertainties</w:t>
      </w:r>
    </w:p>
    <w:p w14:paraId="3C1DEE1F" w14:textId="77777777" w:rsidR="008A4F47" w:rsidRPr="00261B7A" w:rsidRDefault="008A4F47" w:rsidP="008A4F47">
      <w:pPr>
        <w:pStyle w:val="BodyText"/>
      </w:pPr>
      <w:r w:rsidRPr="00261B7A">
        <w:t>The uncertainties are discussed under each category. Intergovernmental Panel on Climate Change (IPCC) default uncertainties have been used in nearly all cases.</w:t>
      </w:r>
    </w:p>
    <w:p w14:paraId="63450117" w14:textId="77777777" w:rsidR="008A4F47" w:rsidRPr="00261B7A" w:rsidRDefault="008A4F47" w:rsidP="008A4F47">
      <w:pPr>
        <w:pStyle w:val="BodyText"/>
      </w:pPr>
      <w:r w:rsidRPr="00261B7A">
        <w:t xml:space="preserve">Country-specific estimates of uncertainty have been made in the </w:t>
      </w:r>
      <w:r w:rsidRPr="00261B7A">
        <w:rPr>
          <w:rFonts w:eastAsia="+mn-ea"/>
          <w:i/>
        </w:rPr>
        <w:t>Product uses as substitutes for ODS</w:t>
      </w:r>
      <w:r w:rsidRPr="00261B7A">
        <w:rPr>
          <w:rFonts w:eastAsia="+mn-ea"/>
        </w:rPr>
        <w:t xml:space="preserve"> category, reflecting the quality of data provided by survey respondents, and have been updated as needed for this submission</w:t>
      </w:r>
      <w:r w:rsidRPr="00261B7A">
        <w:t xml:space="preserve">. </w:t>
      </w:r>
    </w:p>
    <w:p w14:paraId="6947BA6D" w14:textId="77777777" w:rsidR="008A4F47" w:rsidRPr="00261B7A" w:rsidRDefault="008A4F47" w:rsidP="0034058F">
      <w:pPr>
        <w:pStyle w:val="Heading3"/>
      </w:pPr>
      <w:r w:rsidRPr="00261B7A">
        <w:t>4.1.6</w:t>
      </w:r>
      <w:r w:rsidRPr="00261B7A">
        <w:tab/>
        <w:t>Verification</w:t>
      </w:r>
    </w:p>
    <w:p w14:paraId="7FC7D716" w14:textId="77777777" w:rsidR="008A4F47" w:rsidRPr="00261B7A" w:rsidRDefault="008A4F47" w:rsidP="008A4F47">
      <w:pPr>
        <w:pStyle w:val="BodyText"/>
      </w:pPr>
      <w:r w:rsidRPr="00261B7A">
        <w:t>The inventory agency (the Ministry for the Environment) verified information on CO</w:t>
      </w:r>
      <w:r w:rsidRPr="00261B7A">
        <w:rPr>
          <w:vertAlign w:val="subscript"/>
        </w:rPr>
        <w:t>2</w:t>
      </w:r>
      <w:r w:rsidRPr="00261B7A">
        <w:t xml:space="preserve"> emissions reported in the </w:t>
      </w:r>
      <w:r w:rsidRPr="00261B7A">
        <w:rPr>
          <w:i/>
        </w:rPr>
        <w:t>Iron and steel production</w:t>
      </w:r>
      <w:r w:rsidRPr="00261B7A">
        <w:t xml:space="preserve"> category against information provided by these industries as participants in the NZ ETS. </w:t>
      </w:r>
    </w:p>
    <w:p w14:paraId="309371FC" w14:textId="77777777" w:rsidR="008A4F47" w:rsidRPr="00261B7A" w:rsidRDefault="008A4F47" w:rsidP="008A4F47">
      <w:pPr>
        <w:pStyle w:val="BodyText"/>
      </w:pPr>
      <w:r w:rsidRPr="00261B7A">
        <w:t xml:space="preserve">For PFCs in the </w:t>
      </w:r>
      <w:r w:rsidRPr="00261B7A">
        <w:rPr>
          <w:i/>
        </w:rPr>
        <w:t>Aluminium production</w:t>
      </w:r>
      <w:r w:rsidRPr="00261B7A">
        <w:t xml:space="preserve"> category and for CO</w:t>
      </w:r>
      <w:r w:rsidRPr="00261B7A">
        <w:rPr>
          <w:vertAlign w:val="subscript"/>
        </w:rPr>
        <w:t>2</w:t>
      </w:r>
      <w:r w:rsidRPr="00261B7A">
        <w:t xml:space="preserve"> in the </w:t>
      </w:r>
      <w:r w:rsidRPr="00261B7A">
        <w:rPr>
          <w:i/>
        </w:rPr>
        <w:t>Mineral industry</w:t>
      </w:r>
      <w:r w:rsidRPr="00261B7A">
        <w:t xml:space="preserve"> category, the NZ ETS is used as the primary data source. Verification is done over time as ETS returns are verified by the Environmental Protection Authority (EPA), the agency that administers the NZ ETS. </w:t>
      </w:r>
    </w:p>
    <w:p w14:paraId="2388A84A" w14:textId="77777777" w:rsidR="008A4F47" w:rsidRPr="00261B7A" w:rsidRDefault="008A4F47" w:rsidP="008A4F47">
      <w:pPr>
        <w:pStyle w:val="BodyText"/>
      </w:pPr>
      <w:r w:rsidRPr="00261B7A">
        <w:t xml:space="preserve">All data supplied in response to annual surveys (for the </w:t>
      </w:r>
      <w:r w:rsidRPr="00261B7A">
        <w:rPr>
          <w:i/>
        </w:rPr>
        <w:t>Chemical industry</w:t>
      </w:r>
      <w:r w:rsidRPr="00261B7A">
        <w:t xml:space="preserve">, </w:t>
      </w:r>
      <w:r w:rsidRPr="00261B7A">
        <w:rPr>
          <w:i/>
        </w:rPr>
        <w:t>Metal industry</w:t>
      </w:r>
      <w:r w:rsidRPr="00261B7A">
        <w:t xml:space="preserve"> and </w:t>
      </w:r>
      <w:r w:rsidRPr="00261B7A">
        <w:rPr>
          <w:i/>
        </w:rPr>
        <w:t>Product uses as substitutes for ODS</w:t>
      </w:r>
      <w:r w:rsidRPr="00261B7A">
        <w:t xml:space="preserve"> categories) were verified against national totals or other publicly available information, where possible, and anomalous data followed up and checked. </w:t>
      </w:r>
    </w:p>
    <w:p w14:paraId="4CACED42" w14:textId="77777777" w:rsidR="008A4F47" w:rsidRPr="00261B7A" w:rsidRDefault="008A4F47" w:rsidP="0034058F">
      <w:pPr>
        <w:pStyle w:val="Heading3"/>
      </w:pPr>
      <w:r w:rsidRPr="00261B7A">
        <w:t>4.1.7</w:t>
      </w:r>
      <w:r w:rsidRPr="00261B7A">
        <w:tab/>
        <w:t>Recalculations and improvements</w:t>
      </w:r>
    </w:p>
    <w:p w14:paraId="2116D6AB" w14:textId="77777777" w:rsidR="008A4F47" w:rsidRPr="00261B7A" w:rsidRDefault="008A4F47" w:rsidP="008A4F47">
      <w:pPr>
        <w:pStyle w:val="BodyText"/>
        <w:spacing w:before="100" w:after="100"/>
      </w:pPr>
      <w:r w:rsidRPr="00261B7A">
        <w:t xml:space="preserve">For this submission, amounts of refrigerant added to equipment in the </w:t>
      </w:r>
      <w:r w:rsidRPr="00261B7A">
        <w:rPr>
          <w:i/>
        </w:rPr>
        <w:t>Refrigeration and air conditioning</w:t>
      </w:r>
      <w:r w:rsidRPr="00261B7A">
        <w:t xml:space="preserve"> category were re-estimated to better account for changes in stocks held by importers and users. </w:t>
      </w:r>
    </w:p>
    <w:p w14:paraId="043621DC" w14:textId="77777777" w:rsidR="008A4F47" w:rsidRPr="00261B7A" w:rsidRDefault="008A4F47" w:rsidP="008A4F47">
      <w:pPr>
        <w:pStyle w:val="Heading4"/>
      </w:pPr>
      <w:r w:rsidRPr="00261B7A">
        <w:t>Expert review team comments</w:t>
      </w:r>
    </w:p>
    <w:p w14:paraId="2BBDB031" w14:textId="77777777" w:rsidR="008A4F47" w:rsidRPr="00261B7A" w:rsidRDefault="008A4F47" w:rsidP="008A4F47">
      <w:pPr>
        <w:pStyle w:val="BodyText"/>
        <w:spacing w:before="100" w:after="100"/>
      </w:pPr>
      <w:r w:rsidRPr="00261B7A">
        <w:t xml:space="preserve">Expert review teams (ERTs) have recommended that New Zealand continue efforts to address the transparency of activity data in the </w:t>
      </w:r>
      <w:r w:rsidRPr="00261B7A">
        <w:rPr>
          <w:i/>
        </w:rPr>
        <w:t>Mineral industry</w:t>
      </w:r>
      <w:r w:rsidRPr="00261B7A">
        <w:t xml:space="preserve">, </w:t>
      </w:r>
      <w:r w:rsidRPr="00261B7A">
        <w:rPr>
          <w:i/>
        </w:rPr>
        <w:t>Chemical industry</w:t>
      </w:r>
      <w:r w:rsidRPr="00261B7A">
        <w:t xml:space="preserve"> and </w:t>
      </w:r>
      <w:r w:rsidRPr="00261B7A">
        <w:rPr>
          <w:i/>
        </w:rPr>
        <w:t>Metal industry</w:t>
      </w:r>
      <w:r w:rsidRPr="00261B7A">
        <w:t xml:space="preserve"> categories. This relates to activity data that are reported as confidential. Commercial confidentiality remains an issue for this and future submissions. </w:t>
      </w:r>
    </w:p>
    <w:p w14:paraId="271D1547" w14:textId="77777777" w:rsidR="008A4F47" w:rsidRPr="00261B7A" w:rsidRDefault="008A4F47" w:rsidP="00B04C1D">
      <w:pPr>
        <w:pStyle w:val="Heading3"/>
        <w:spacing w:before="280" w:line="360" w:lineRule="atLeast"/>
      </w:pPr>
      <w:r w:rsidRPr="00261B7A">
        <w:t>4.1.8</w:t>
      </w:r>
      <w:r w:rsidRPr="00261B7A">
        <w:tab/>
        <w:t>Quality-assurance and quality-control (QA/QC) processes</w:t>
      </w:r>
    </w:p>
    <w:p w14:paraId="21C61797" w14:textId="77777777" w:rsidR="008A4F47" w:rsidRPr="00261B7A" w:rsidRDefault="008A4F47" w:rsidP="00B04C1D">
      <w:pPr>
        <w:pStyle w:val="BodyText"/>
        <w:spacing w:before="100" w:after="100"/>
      </w:pPr>
      <w:bookmarkStart w:id="467" w:name="_Toc447275687"/>
      <w:bookmarkStart w:id="468" w:name="_Toc414531601"/>
      <w:r w:rsidRPr="00261B7A">
        <w:t xml:space="preserve">Tier 1 quality checks were carried out on all data collected for this sector, with minor exceptions where data do not require updating. Figure 4.1.3 describes the quality control process map for the IPPU sector. Verification against independent data sources was possible only in specific cases, such as comparison of NZ ETS returns against data submitted in response to surveys. </w:t>
      </w:r>
    </w:p>
    <w:p w14:paraId="4783CAAE" w14:textId="77777777" w:rsidR="008A4F47" w:rsidRPr="00261B7A" w:rsidRDefault="008A4F47" w:rsidP="008A4F47">
      <w:pPr>
        <w:pStyle w:val="Figure"/>
      </w:pPr>
      <w:bookmarkStart w:id="469" w:name="_Toc5269681"/>
      <w:bookmarkStart w:id="470" w:name="_Toc36292784"/>
      <w:bookmarkStart w:id="471" w:name="_Toc68786649"/>
      <w:bookmarkStart w:id="472" w:name="_Toc131591551"/>
      <w:r w:rsidRPr="00261B7A">
        <w:t xml:space="preserve">Figure 4.1.3 </w:t>
      </w:r>
      <w:r w:rsidRPr="00261B7A">
        <w:tab/>
        <w:t>Example: Tier 1 quality checks for the IPPU sector</w:t>
      </w:r>
      <w:bookmarkEnd w:id="467"/>
      <w:bookmarkEnd w:id="468"/>
      <w:bookmarkEnd w:id="469"/>
      <w:bookmarkEnd w:id="470"/>
      <w:bookmarkEnd w:id="471"/>
      <w:bookmarkEnd w:id="472"/>
    </w:p>
    <w:p w14:paraId="26035259" w14:textId="77777777" w:rsidR="008A4F47" w:rsidRPr="00261B7A" w:rsidRDefault="008A4F47" w:rsidP="008A4F47">
      <w:pPr>
        <w:pStyle w:val="BodyText"/>
      </w:pPr>
      <w:r w:rsidRPr="00261B7A">
        <w:object w:dxaOrig="12481" w:dyaOrig="8232" w14:anchorId="2411139D">
          <v:shape id="_x0000_i1032" type="#_x0000_t75" style="width:404pt;height:251.5pt" o:ole="">
            <v:imagedata r:id="rId98" o:title="" cropbottom="2926f"/>
          </v:shape>
          <o:OLEObject Type="Embed" ProgID="Visio.Drawing.15" ShapeID="_x0000_i1032" DrawAspect="Content" ObjectID="_1742911571" r:id="rId99"/>
        </w:object>
      </w:r>
      <w:r w:rsidRPr="00261B7A" w:rsidDel="002C031B">
        <w:t xml:space="preserve"> </w:t>
      </w:r>
      <w:bookmarkStart w:id="473" w:name="_Toc448321513"/>
      <w:bookmarkStart w:id="474" w:name="_Toc414531293"/>
      <w:bookmarkStart w:id="475" w:name="_Toc5269352"/>
      <w:bookmarkStart w:id="476" w:name="_Toc36224392"/>
    </w:p>
    <w:p w14:paraId="687AF1B4" w14:textId="77777777" w:rsidR="008A4F47" w:rsidRPr="00261B7A" w:rsidRDefault="008A4F47" w:rsidP="00B04C1D">
      <w:pPr>
        <w:pStyle w:val="Heading2"/>
        <w:spacing w:before="280"/>
      </w:pPr>
      <w:bookmarkStart w:id="477" w:name="_Toc68786312"/>
      <w:bookmarkStart w:id="478" w:name="_Toc131591227"/>
      <w:r w:rsidRPr="00261B7A">
        <w:t>4.2</w:t>
      </w:r>
      <w:r w:rsidRPr="00261B7A">
        <w:tab/>
        <w:t>Mineral industry (2.A)</w:t>
      </w:r>
      <w:bookmarkEnd w:id="473"/>
      <w:bookmarkEnd w:id="474"/>
      <w:bookmarkEnd w:id="475"/>
      <w:bookmarkEnd w:id="476"/>
      <w:bookmarkEnd w:id="477"/>
      <w:bookmarkEnd w:id="478"/>
    </w:p>
    <w:p w14:paraId="4F976A45" w14:textId="77777777" w:rsidR="008A4F47" w:rsidRPr="00261B7A" w:rsidRDefault="008A4F47" w:rsidP="00B04C1D">
      <w:pPr>
        <w:pStyle w:val="Heading3"/>
        <w:spacing w:before="240"/>
      </w:pPr>
      <w:r w:rsidRPr="00261B7A">
        <w:t>4.2.1</w:t>
      </w:r>
      <w:r w:rsidRPr="00261B7A">
        <w:tab/>
        <w:t>Description</w:t>
      </w:r>
    </w:p>
    <w:p w14:paraId="7ED4B7C6" w14:textId="77777777" w:rsidR="008A4F47" w:rsidRPr="00261B7A" w:rsidRDefault="008A4F47" w:rsidP="00B04C1D">
      <w:pPr>
        <w:pStyle w:val="BodyText"/>
        <w:spacing w:before="100"/>
      </w:pPr>
      <w:r w:rsidRPr="00261B7A">
        <w:t xml:space="preserve">Emissions from the </w:t>
      </w:r>
      <w:r w:rsidRPr="00261B7A">
        <w:rPr>
          <w:i/>
        </w:rPr>
        <w:t>Mineral industry</w:t>
      </w:r>
      <w:r w:rsidRPr="00261B7A">
        <w:t xml:space="preserve"> category include CO</w:t>
      </w:r>
      <w:r w:rsidRPr="00261B7A">
        <w:rPr>
          <w:vertAlign w:val="subscript"/>
        </w:rPr>
        <w:t>2</w:t>
      </w:r>
      <w:r w:rsidRPr="00261B7A">
        <w:t xml:space="preserve"> from the calcination of limestone for cement and lime, and from the use of soda ash and limestone in the production of glass, aluminium, and iron and steel. Only CO</w:t>
      </w:r>
      <w:r w:rsidRPr="00261B7A">
        <w:rPr>
          <w:vertAlign w:val="subscript"/>
        </w:rPr>
        <w:t>2</w:t>
      </w:r>
      <w:r w:rsidRPr="00261B7A">
        <w:t xml:space="preserve"> from calcination is reported here. Any emissions from the combustion of fuel to provide heat for these activities are reported </w:t>
      </w:r>
      <w:r w:rsidRPr="00261B7A">
        <w:rPr>
          <w:rFonts w:eastAsia="+mn-ea"/>
        </w:rPr>
        <w:t>under</w:t>
      </w:r>
      <w:r w:rsidRPr="00261B7A">
        <w:t xml:space="preserve"> the Energy sector. </w:t>
      </w:r>
    </w:p>
    <w:p w14:paraId="419B178C" w14:textId="77777777" w:rsidR="008A4F47" w:rsidRPr="00261B7A" w:rsidRDefault="008A4F47" w:rsidP="008A4F47">
      <w:pPr>
        <w:pStyle w:val="BodyText"/>
      </w:pPr>
      <w:r w:rsidRPr="00261B7A">
        <w:t>Only one cement production facility is now operating in New Zealand, a dry-process plant operated by Golden Bay Cement Ltd near Whangārei. Holcim New Zealand Ltd operated a wet</w:t>
      </w:r>
      <w:r w:rsidRPr="00261B7A">
        <w:noBreakHyphen/>
        <w:t xml:space="preserve">process cement plant at Cape Foulwind, on the West Coast of the South Island, but this plant was closed at the end of June 2016 and Holcim is now marketing cement made from imported clinker. Another, smaller cement company (Lee Cement Ltd) operated only from 1995 to 1998. The New Zealand cement industry produces clinker from the calcination of limestone and processes it into Portland cement or general purpose cement. </w:t>
      </w:r>
    </w:p>
    <w:p w14:paraId="75E32FFF" w14:textId="77777777" w:rsidR="008A4F47" w:rsidRPr="00261B7A" w:rsidRDefault="008A4F47" w:rsidP="008A4F47">
      <w:pPr>
        <w:pStyle w:val="BodyText"/>
      </w:pPr>
      <w:r w:rsidRPr="00261B7A">
        <w:t xml:space="preserve">Three companies (McDonald’s Lime Ltd, Websters Hydrated Lime Company and Perry Resources Ltd) have a history of making burnt and slaked lime at five different facilities in New Zealand. The industry has been consolidated over time and two companies (Graymont New Zealand and Websters Hydrated Lime Company) now produce all of New Zealand’s burnt and slaked lime. </w:t>
      </w:r>
    </w:p>
    <w:p w14:paraId="27B5372F" w14:textId="77777777" w:rsidR="008A4F47" w:rsidRPr="00261B7A" w:rsidRDefault="008A4F47" w:rsidP="008A4F47">
      <w:pPr>
        <w:pStyle w:val="BodyText"/>
      </w:pPr>
      <w:r w:rsidRPr="00261B7A">
        <w:t>Small amounts of indirect emissions (sulphur dioxide (SO</w:t>
      </w:r>
      <w:r w:rsidRPr="00261B7A">
        <w:rPr>
          <w:vertAlign w:val="subscript"/>
        </w:rPr>
        <w:t>2</w:t>
      </w:r>
      <w:r w:rsidRPr="00261B7A">
        <w:t xml:space="preserve">) only) from the </w:t>
      </w:r>
      <w:r w:rsidRPr="00261B7A">
        <w:rPr>
          <w:i/>
        </w:rPr>
        <w:t>Cement production</w:t>
      </w:r>
      <w:r w:rsidRPr="00261B7A">
        <w:t xml:space="preserve"> category are also reported. Some emissions of SO</w:t>
      </w:r>
      <w:r w:rsidRPr="00261B7A">
        <w:rPr>
          <w:vertAlign w:val="subscript"/>
        </w:rPr>
        <w:t>2</w:t>
      </w:r>
      <w:r w:rsidRPr="00261B7A">
        <w:t xml:space="preserve"> from the </w:t>
      </w:r>
      <w:r w:rsidRPr="00261B7A">
        <w:rPr>
          <w:i/>
        </w:rPr>
        <w:t>Lime production</w:t>
      </w:r>
      <w:r w:rsidRPr="00261B7A">
        <w:t xml:space="preserve"> category were estimated in 2006 (CRL Energy, </w:t>
      </w:r>
      <w:r w:rsidRPr="00261B7A">
        <w:rPr>
          <w:rFonts w:eastAsia="+mn-ea"/>
        </w:rPr>
        <w:t>unpublished(a)</w:t>
      </w:r>
      <w:r w:rsidRPr="00261B7A">
        <w:t>), but there is currently no provision in the CRF to report this. Some additional SO</w:t>
      </w:r>
      <w:r w:rsidRPr="00261B7A">
        <w:rPr>
          <w:vertAlign w:val="subscript"/>
        </w:rPr>
        <w:t>2</w:t>
      </w:r>
      <w:r w:rsidRPr="00261B7A">
        <w:t xml:space="preserve"> is derived from sulphur in coal or waste oil used as fuel in cement and lime kilns, and this is reported </w:t>
      </w:r>
      <w:r w:rsidRPr="00261B7A">
        <w:rPr>
          <w:rFonts w:eastAsia="+mn-ea"/>
        </w:rPr>
        <w:t>under</w:t>
      </w:r>
      <w:r w:rsidRPr="00261B7A">
        <w:t xml:space="preserve"> the Energy sector. </w:t>
      </w:r>
    </w:p>
    <w:p w14:paraId="6E12CF20" w14:textId="77777777" w:rsidR="008A4F47" w:rsidRPr="00261B7A" w:rsidRDefault="008A4F47" w:rsidP="008A4F47">
      <w:pPr>
        <w:pStyle w:val="BodyText"/>
      </w:pPr>
      <w:r w:rsidRPr="00261B7A">
        <w:t xml:space="preserve">Two companies are making glass in New Zealand, with emissions from the use of soda ash and limestone in the process. O-I New Zealand makes container glass and Tasman Insulation New Zealand Ltd makes smaller amounts of glass for building insulation products. </w:t>
      </w:r>
    </w:p>
    <w:p w14:paraId="62A102A6" w14:textId="31B86448" w:rsidR="008A4F47" w:rsidRPr="00261B7A" w:rsidRDefault="008A4F47" w:rsidP="008A4F47">
      <w:pPr>
        <w:pStyle w:val="BodyText"/>
      </w:pPr>
      <w:r w:rsidRPr="00261B7A">
        <w:rPr>
          <w:spacing w:val="-2"/>
        </w:rPr>
        <w:t>Limestone and soda ash are also used in the steel and aluminium industries and would normally</w:t>
      </w:r>
      <w:r w:rsidRPr="00261B7A">
        <w:t xml:space="preserve"> be reported in the </w:t>
      </w:r>
      <w:r w:rsidRPr="00261B7A">
        <w:rPr>
          <w:i/>
        </w:rPr>
        <w:t>Metal industry</w:t>
      </w:r>
      <w:r w:rsidRPr="00261B7A">
        <w:t xml:space="preserve"> category. Emissions from this use of mineral inputs</w:t>
      </w:r>
      <w:r w:rsidR="00FE1DFC" w:rsidRPr="00261B7A">
        <w:t xml:space="preserve"> </w:t>
      </w:r>
      <w:r w:rsidRPr="00261B7A">
        <w:t xml:space="preserve">are reported in the </w:t>
      </w:r>
      <w:r w:rsidRPr="00261B7A">
        <w:rPr>
          <w:i/>
        </w:rPr>
        <w:t xml:space="preserve">Mineral industry </w:t>
      </w:r>
      <w:r w:rsidRPr="00261B7A">
        <w:t>category (see section 4.2.2) to aggregate data and protect the</w:t>
      </w:r>
      <w:r w:rsidR="00FE1DFC" w:rsidRPr="00261B7A">
        <w:t> </w:t>
      </w:r>
      <w:r w:rsidRPr="00261B7A">
        <w:t xml:space="preserve">confidentiality of data provided by these two glass companies. </w:t>
      </w:r>
    </w:p>
    <w:p w14:paraId="55EF763E" w14:textId="77777777" w:rsidR="008A4F47" w:rsidRPr="00261B7A" w:rsidRDefault="008A4F47" w:rsidP="008A4F47">
      <w:pPr>
        <w:pStyle w:val="BodyText"/>
      </w:pPr>
      <w:r w:rsidRPr="00261B7A">
        <w:t>A very small amount of CO</w:t>
      </w:r>
      <w:r w:rsidRPr="00261B7A">
        <w:rPr>
          <w:vertAlign w:val="subscript"/>
        </w:rPr>
        <w:t>2</w:t>
      </w:r>
      <w:r w:rsidRPr="00261B7A">
        <w:t xml:space="preserve"> is reported from the use of kaolin clays in ceramics production. </w:t>
      </w:r>
    </w:p>
    <w:p w14:paraId="5E97FD7E" w14:textId="77777777" w:rsidR="008A4F47" w:rsidRPr="00261B7A" w:rsidRDefault="008A4F47" w:rsidP="008A4F47">
      <w:pPr>
        <w:pStyle w:val="BodyText"/>
      </w:pPr>
      <w:r w:rsidRPr="00261B7A">
        <w:t>The only key category is CO</w:t>
      </w:r>
      <w:r w:rsidRPr="00261B7A">
        <w:rPr>
          <w:vertAlign w:val="subscript"/>
        </w:rPr>
        <w:t>2</w:t>
      </w:r>
      <w:r w:rsidRPr="00261B7A">
        <w:t xml:space="preserve"> emissions from the </w:t>
      </w:r>
      <w:r w:rsidRPr="00261B7A">
        <w:rPr>
          <w:i/>
        </w:rPr>
        <w:t>Cement production</w:t>
      </w:r>
      <w:r w:rsidRPr="00261B7A">
        <w:t xml:space="preserve"> category (level and trend assessment). </w:t>
      </w:r>
    </w:p>
    <w:p w14:paraId="07E4A3DE" w14:textId="77777777" w:rsidR="008A4F47" w:rsidRPr="00261B7A" w:rsidRDefault="008A4F47" w:rsidP="008A4F47">
      <w:pPr>
        <w:pStyle w:val="BodyText"/>
      </w:pPr>
      <w:r w:rsidRPr="00261B7A">
        <w:rPr>
          <w:spacing w:val="-2"/>
        </w:rPr>
        <w:t xml:space="preserve">In 2021, the </w:t>
      </w:r>
      <w:r w:rsidRPr="00261B7A">
        <w:rPr>
          <w:i/>
          <w:spacing w:val="-2"/>
        </w:rPr>
        <w:t>Mineral industry</w:t>
      </w:r>
      <w:r w:rsidRPr="00261B7A">
        <w:rPr>
          <w:spacing w:val="-2"/>
        </w:rPr>
        <w:t xml:space="preserve"> category accounted for 529.2 kt CO</w:t>
      </w:r>
      <w:r w:rsidRPr="00261B7A">
        <w:rPr>
          <w:spacing w:val="-2"/>
          <w:vertAlign w:val="subscript"/>
        </w:rPr>
        <w:t>2</w:t>
      </w:r>
      <w:r w:rsidRPr="00261B7A">
        <w:rPr>
          <w:spacing w:val="-2"/>
        </w:rPr>
        <w:t>-e (11.5 per cent) of emissions</w:t>
      </w:r>
      <w:r w:rsidRPr="00261B7A">
        <w:t xml:space="preserve"> from the IPPU sector. This is 32.7 kt (5.8 per cent) below the 1990 emissions. Cement and lime production have not resumed historical levels following COVID-19 restrictions, which reduced production in 2020. Production of cement, lime and glass containers had previously increased over time, with a peak in 2015 of 876.3 kt CO</w:t>
      </w:r>
      <w:r w:rsidRPr="00261B7A">
        <w:rPr>
          <w:vertAlign w:val="subscript"/>
        </w:rPr>
        <w:t>2</w:t>
      </w:r>
      <w:r w:rsidRPr="00261B7A">
        <w:t xml:space="preserve">-e. Emissions decreased after 2015 due to the closure of the Holcim cement plant. </w:t>
      </w:r>
    </w:p>
    <w:p w14:paraId="696F2E00" w14:textId="77777777" w:rsidR="008A4F47" w:rsidRPr="00261B7A" w:rsidRDefault="008A4F47" w:rsidP="008A4F47">
      <w:pPr>
        <w:pStyle w:val="BodyText"/>
      </w:pPr>
      <w:r w:rsidRPr="00261B7A">
        <w:t xml:space="preserve">Changes in the national standards for cement, in 1995 and 2010, allowed increasing amounts of other minerals to be added to clinker in formulating cement. Various cement products sold in New Zealand contain limestone and fly ash as mineral additions. This allowed a reduction in emissions per tonne of cement produced (Cement and Concrete Association of New Zealand, 1995). These improvements have been continued over time. </w:t>
      </w:r>
    </w:p>
    <w:p w14:paraId="6944923C" w14:textId="77777777" w:rsidR="008A4F47" w:rsidRPr="00261B7A" w:rsidRDefault="008A4F47" w:rsidP="0034058F">
      <w:pPr>
        <w:pStyle w:val="Heading3"/>
      </w:pPr>
      <w:r w:rsidRPr="00261B7A">
        <w:t xml:space="preserve">4.2.2 </w:t>
      </w:r>
      <w:r w:rsidRPr="00261B7A">
        <w:tab/>
        <w:t>Methodological issues</w:t>
      </w:r>
    </w:p>
    <w:p w14:paraId="06AAF8A5" w14:textId="77777777" w:rsidR="008A4F47" w:rsidRPr="00261B7A" w:rsidRDefault="008A4F47" w:rsidP="008A4F47">
      <w:pPr>
        <w:pStyle w:val="Heading4"/>
        <w:spacing w:before="180"/>
        <w:rPr>
          <w:bCs/>
          <w:iCs/>
        </w:rPr>
      </w:pPr>
      <w:r w:rsidRPr="00261B7A">
        <w:t>Choice of activity data</w:t>
      </w:r>
    </w:p>
    <w:p w14:paraId="6811742E" w14:textId="77777777" w:rsidR="008A4F47" w:rsidRPr="00261B7A" w:rsidRDefault="008A4F47" w:rsidP="008A4F47">
      <w:pPr>
        <w:pStyle w:val="Heading5"/>
        <w:spacing w:before="160"/>
      </w:pPr>
      <w:r w:rsidRPr="00261B7A">
        <w:t>Use of NZ ETS data</w:t>
      </w:r>
    </w:p>
    <w:p w14:paraId="00A3094B" w14:textId="77777777" w:rsidR="008A4F47" w:rsidRPr="00261B7A" w:rsidRDefault="008A4F47" w:rsidP="008A4F47">
      <w:pPr>
        <w:pStyle w:val="BodyText"/>
        <w:spacing w:before="100" w:after="100"/>
      </w:pPr>
      <w:r w:rsidRPr="00261B7A">
        <w:t>Firms that use limestone or soda ash in the production of clinker, cement, burnt or slaked lime, or glass have had emission reporting obligations under the NZ ETS since 2010. The emission returns submitted by participants in the NZ ETS are the primary source of data for CO</w:t>
      </w:r>
      <w:r w:rsidRPr="00261B7A">
        <w:rPr>
          <w:vertAlign w:val="subscript"/>
        </w:rPr>
        <w:t>2</w:t>
      </w:r>
      <w:r w:rsidRPr="00261B7A">
        <w:t xml:space="preserve"> emissions from these categories. </w:t>
      </w:r>
    </w:p>
    <w:p w14:paraId="09A82A09" w14:textId="77777777" w:rsidR="008A4F47" w:rsidRPr="00261B7A" w:rsidRDefault="008A4F47" w:rsidP="008A4F47">
      <w:pPr>
        <w:pStyle w:val="BodyText"/>
        <w:spacing w:before="100" w:after="100"/>
      </w:pPr>
      <w:r w:rsidRPr="00261B7A">
        <w:t xml:space="preserve">The EPA administers and audits the emission returns submitted by participants. Data submitted by NZ ETS participants are protected by stringent provisions relating to commercial confidentiality. However, under section 149 of the Climate Change Response Act 2002, the inventory agency may request information from the EPA for the purpose of compiling New Zealand’s annual National Inventory Report. </w:t>
      </w:r>
    </w:p>
    <w:p w14:paraId="1361600F" w14:textId="77777777" w:rsidR="008A4F47" w:rsidRPr="00261B7A" w:rsidRDefault="008A4F47" w:rsidP="008A4F47">
      <w:pPr>
        <w:pStyle w:val="BodyText"/>
        <w:spacing w:before="100" w:after="100"/>
      </w:pPr>
      <w:r w:rsidRPr="00261B7A">
        <w:t xml:space="preserve">Those NZ ETS participants who apply for an allocation of emission units in any year also report the amount of product that they make in the calendar year. This encompasses production of clinker, container glass and burnt lime, including any burnt lime that is subsequently made into slaked lime (calcium hydroxide). </w:t>
      </w:r>
    </w:p>
    <w:p w14:paraId="19AED4B0" w14:textId="77777777" w:rsidR="008A4F47" w:rsidRPr="00261B7A" w:rsidRDefault="008A4F47" w:rsidP="008A4F47">
      <w:pPr>
        <w:pStyle w:val="Heading5"/>
      </w:pPr>
      <w:r w:rsidRPr="00261B7A">
        <w:t>Cement production (2.A.1)</w:t>
      </w:r>
    </w:p>
    <w:p w14:paraId="63222CBB" w14:textId="77777777" w:rsidR="008A4F47" w:rsidRPr="00261B7A" w:rsidRDefault="008A4F47" w:rsidP="008A4F47">
      <w:pPr>
        <w:pStyle w:val="BodyText"/>
        <w:spacing w:before="100" w:after="100"/>
      </w:pPr>
      <w:r w:rsidRPr="00261B7A">
        <w:t xml:space="preserve">In 2021, the </w:t>
      </w:r>
      <w:r w:rsidRPr="00261B7A">
        <w:rPr>
          <w:i/>
        </w:rPr>
        <w:t>Cement production</w:t>
      </w:r>
      <w:r w:rsidRPr="00261B7A">
        <w:t xml:space="preserve"> category accounted for 369.6 kt CO</w:t>
      </w:r>
      <w:r w:rsidRPr="00261B7A">
        <w:rPr>
          <w:vertAlign w:val="subscript"/>
        </w:rPr>
        <w:t>2</w:t>
      </w:r>
      <w:r w:rsidRPr="00261B7A">
        <w:t xml:space="preserve">-e (69.8 per cent) of emissions from the </w:t>
      </w:r>
      <w:r w:rsidRPr="00261B7A">
        <w:rPr>
          <w:i/>
        </w:rPr>
        <w:t>Mineral industry</w:t>
      </w:r>
      <w:r w:rsidRPr="00261B7A">
        <w:t xml:space="preserve"> category. The activity data used are the amounts of clinker produced by the cement plants. Calculation of emissions from clinker production is done on a plant-specific basis by the companies in preparing their ETS returns. Because historically there have been only two companies making cement in New Zealand, and now there is only one, the activity data for the </w:t>
      </w:r>
      <w:r w:rsidRPr="00261B7A">
        <w:rPr>
          <w:i/>
        </w:rPr>
        <w:t>Cement production</w:t>
      </w:r>
      <w:r w:rsidRPr="00261B7A">
        <w:t xml:space="preserve"> category are not reported and have been shown as confidential in the CRF tables. For the years up to 2009, activity and emissions data were supplied by the cement companies to MBIE. From 2010, the companies’ ETS returns have been used as the data source.</w:t>
      </w:r>
    </w:p>
    <w:p w14:paraId="311ADA63" w14:textId="77777777" w:rsidR="008A4F47" w:rsidRPr="00261B7A" w:rsidRDefault="008A4F47" w:rsidP="008A4F47">
      <w:pPr>
        <w:pStyle w:val="Heading5"/>
      </w:pPr>
      <w:r w:rsidRPr="00261B7A">
        <w:t>Lime production (2.A.2)</w:t>
      </w:r>
    </w:p>
    <w:p w14:paraId="6E38DF07" w14:textId="77777777" w:rsidR="008A4F47" w:rsidRPr="00261B7A" w:rsidRDefault="008A4F47" w:rsidP="008A4F47">
      <w:pPr>
        <w:pStyle w:val="BodyText"/>
        <w:spacing w:before="100" w:after="100"/>
      </w:pPr>
      <w:r w:rsidRPr="00261B7A">
        <w:t xml:space="preserve">In 2021, the </w:t>
      </w:r>
      <w:r w:rsidRPr="00261B7A">
        <w:rPr>
          <w:i/>
        </w:rPr>
        <w:t>Lime production</w:t>
      </w:r>
      <w:r w:rsidRPr="00261B7A">
        <w:t xml:space="preserve"> category accounted for 103.7 kt CO</w:t>
      </w:r>
      <w:r w:rsidRPr="00261B7A">
        <w:rPr>
          <w:vertAlign w:val="subscript"/>
        </w:rPr>
        <w:t>2</w:t>
      </w:r>
      <w:r w:rsidRPr="00261B7A">
        <w:t xml:space="preserve">-e (19.6 per cent) of emissions from the </w:t>
      </w:r>
      <w:r w:rsidRPr="00261B7A">
        <w:rPr>
          <w:i/>
        </w:rPr>
        <w:t>Mineral industry</w:t>
      </w:r>
      <w:r w:rsidRPr="00261B7A">
        <w:t xml:space="preserve"> category. The activity data used are the amounts of burnt lime produced, reported as tonnes of pure</w:t>
      </w:r>
      <w:r w:rsidRPr="00261B7A" w:rsidDel="00FB6AE3">
        <w:t xml:space="preserve"> </w:t>
      </w:r>
      <w:r w:rsidRPr="00261B7A">
        <w:t>calcium oxide (CaO),</w:t>
      </w:r>
      <w:r w:rsidRPr="00261B7A" w:rsidDel="00FB6AE3">
        <w:t xml:space="preserve"> </w:t>
      </w:r>
      <w:r w:rsidRPr="00261B7A">
        <w:t>as required in NZ ETS returns. This measure is used regardless of whether the lime is subsequently hydrated to make calcium hydroxide (Ca(OH)</w:t>
      </w:r>
      <w:r w:rsidRPr="00261B7A">
        <w:rPr>
          <w:vertAlign w:val="subscript"/>
        </w:rPr>
        <w:t>2</w:t>
      </w:r>
      <w:r w:rsidRPr="00261B7A">
        <w:t xml:space="preserve">). </w:t>
      </w:r>
    </w:p>
    <w:p w14:paraId="16D1124C" w14:textId="77777777" w:rsidR="008A4F47" w:rsidRPr="00261B7A" w:rsidRDefault="008A4F47" w:rsidP="008A4F47">
      <w:pPr>
        <w:pStyle w:val="BodyText"/>
        <w:spacing w:before="100" w:after="100"/>
      </w:pPr>
      <w:r w:rsidRPr="00261B7A">
        <w:t>Activity and emissions data were supplied annually by the lime companies to MBIE until 2009. This included the amount of burnt lime produced each year. From 2010, lime companies have reported CO</w:t>
      </w:r>
      <w:r w:rsidRPr="00261B7A">
        <w:rPr>
          <w:vertAlign w:val="subscript"/>
        </w:rPr>
        <w:t>2</w:t>
      </w:r>
      <w:r w:rsidRPr="00261B7A">
        <w:t xml:space="preserve"> emissions and the amounts of pure CaO in the lime that they produce in their reporting to the NZ ETS regulator. </w:t>
      </w:r>
    </w:p>
    <w:p w14:paraId="6DB79FBC" w14:textId="77777777" w:rsidR="008A4F47" w:rsidRPr="00261B7A" w:rsidRDefault="008A4F47" w:rsidP="008A4F47">
      <w:pPr>
        <w:pStyle w:val="Heading5"/>
      </w:pPr>
      <w:r w:rsidRPr="00261B7A">
        <w:t xml:space="preserve">Glass production (2.A.3) </w:t>
      </w:r>
    </w:p>
    <w:p w14:paraId="3877DCFE" w14:textId="77777777" w:rsidR="008A4F47" w:rsidRPr="00261B7A" w:rsidRDefault="008A4F47" w:rsidP="008A4F47">
      <w:pPr>
        <w:pStyle w:val="BodyText"/>
        <w:spacing w:before="100"/>
      </w:pPr>
      <w:r w:rsidRPr="00261B7A">
        <w:t xml:space="preserve">Activity and emissions data for the </w:t>
      </w:r>
      <w:r w:rsidRPr="00261B7A">
        <w:rPr>
          <w:i/>
        </w:rPr>
        <w:t>Glass production</w:t>
      </w:r>
      <w:r w:rsidRPr="00261B7A">
        <w:t xml:space="preserve"> category are provided on a confidential basis by the two companies that produce glass in New Zealand and are not reported in CRF 2.A.3. Emissions from the use of soda ash and limestone in glass making are reported in the </w:t>
      </w:r>
      <w:r w:rsidRPr="00261B7A">
        <w:rPr>
          <w:i/>
        </w:rPr>
        <w:t>Other process uses of carbonates</w:t>
      </w:r>
      <w:r w:rsidRPr="00261B7A">
        <w:t xml:space="preserve"> (CRF 2.A.4) category and are aggregated with other relatively small amounts of CO</w:t>
      </w:r>
      <w:r w:rsidRPr="00261B7A">
        <w:rPr>
          <w:vertAlign w:val="subscript"/>
        </w:rPr>
        <w:t>2</w:t>
      </w:r>
      <w:r w:rsidRPr="00261B7A">
        <w:t xml:space="preserve"> emissions that derive from the calcination of limestone and soda ash. </w:t>
      </w:r>
    </w:p>
    <w:p w14:paraId="6965D31D" w14:textId="77777777" w:rsidR="008A4F47" w:rsidRPr="00261B7A" w:rsidRDefault="008A4F47" w:rsidP="008A4F47">
      <w:pPr>
        <w:pStyle w:val="Heading5"/>
      </w:pPr>
      <w:r w:rsidRPr="00261B7A">
        <w:t>Other process uses of carbonates (2.A.4)</w:t>
      </w:r>
    </w:p>
    <w:p w14:paraId="0260ED62" w14:textId="77777777" w:rsidR="008A4F47" w:rsidRPr="00261B7A" w:rsidRDefault="008A4F47" w:rsidP="008A4F47">
      <w:pPr>
        <w:pStyle w:val="BodyText"/>
        <w:spacing w:after="80"/>
      </w:pPr>
      <w:r w:rsidRPr="00261B7A">
        <w:t xml:space="preserve">To preserve the confidentiality of data provided by the two glass companies, the data reported in the </w:t>
      </w:r>
      <w:r w:rsidRPr="00261B7A">
        <w:rPr>
          <w:i/>
        </w:rPr>
        <w:t>Glass production</w:t>
      </w:r>
      <w:r w:rsidRPr="00261B7A">
        <w:t xml:space="preserve"> category have been aggregated as follows and reported in the </w:t>
      </w:r>
      <w:r w:rsidRPr="00261B7A">
        <w:rPr>
          <w:i/>
        </w:rPr>
        <w:t>Other process uses of carbonates</w:t>
      </w:r>
      <w:r w:rsidRPr="00261B7A">
        <w:t xml:space="preserve"> category.</w:t>
      </w:r>
    </w:p>
    <w:p w14:paraId="5B7F8704" w14:textId="77777777" w:rsidR="008A4F47" w:rsidRPr="00261B7A" w:rsidRDefault="008A4F47" w:rsidP="008A4F47">
      <w:pPr>
        <w:pStyle w:val="Bullet"/>
      </w:pPr>
      <w:r w:rsidRPr="00261B7A">
        <w:t>Emissions from a relatively small amount of soda ash used by New Zealand Aluminium Smelters Ltd at the Tiwai Point smelter are reported in CRF 2.A.4.b (</w:t>
      </w:r>
      <w:r w:rsidRPr="00261B7A">
        <w:rPr>
          <w:i/>
        </w:rPr>
        <w:t>Other uses of soda ash</w:t>
      </w:r>
      <w:r w:rsidRPr="00261B7A">
        <w:t>) and aggregated with the CO</w:t>
      </w:r>
      <w:r w:rsidRPr="00261B7A">
        <w:rPr>
          <w:vertAlign w:val="subscript"/>
        </w:rPr>
        <w:t>2</w:t>
      </w:r>
      <w:r w:rsidRPr="00261B7A">
        <w:t xml:space="preserve"> emissions from soda ash used in glass making.</w:t>
      </w:r>
    </w:p>
    <w:p w14:paraId="466B8A0F" w14:textId="77777777" w:rsidR="008A4F47" w:rsidRPr="00261B7A" w:rsidRDefault="008A4F47" w:rsidP="00294EC5">
      <w:pPr>
        <w:pStyle w:val="Bullet"/>
        <w:numPr>
          <w:ilvl w:val="0"/>
          <w:numId w:val="24"/>
        </w:numPr>
      </w:pPr>
      <w:r w:rsidRPr="00261B7A">
        <w:t>Emissions from a relatively small amount of limestone used by New Zealand Steel Limited are reported in CRF 2.A.4.d (</w:t>
      </w:r>
      <w:r w:rsidRPr="00261B7A">
        <w:rPr>
          <w:i/>
        </w:rPr>
        <w:t>Other</w:t>
      </w:r>
      <w:r w:rsidRPr="00261B7A">
        <w:t xml:space="preserve">) and aggregated with emissions from limestone used in glass making. </w:t>
      </w:r>
    </w:p>
    <w:p w14:paraId="269C379E" w14:textId="77777777" w:rsidR="008A4F47" w:rsidRPr="00261B7A" w:rsidRDefault="008A4F47" w:rsidP="008A4F47">
      <w:pPr>
        <w:pStyle w:val="BodyText"/>
        <w:spacing w:before="100" w:after="100"/>
      </w:pPr>
      <w:r w:rsidRPr="00261B7A">
        <w:t>The amounts of soda ash and limestone used are reported as activity data in these two tables. Also, because the limestone emissions cannot be fully disaggregated in early data provided by New Zealand Steel, an extremely small amount of CO</w:t>
      </w:r>
      <w:r w:rsidRPr="00261B7A">
        <w:rPr>
          <w:vertAlign w:val="subscript"/>
        </w:rPr>
        <w:t>2</w:t>
      </w:r>
      <w:r w:rsidRPr="00261B7A">
        <w:t xml:space="preserve"> from coke and electrode use at the steel plant is also included (see section 4.4.2). </w:t>
      </w:r>
    </w:p>
    <w:p w14:paraId="520E7DE4" w14:textId="77777777" w:rsidR="008A4F47" w:rsidRPr="00261B7A" w:rsidRDefault="008A4F47" w:rsidP="008A4F47">
      <w:pPr>
        <w:pStyle w:val="BodyText"/>
        <w:spacing w:before="100" w:after="100"/>
      </w:pPr>
      <w:r w:rsidRPr="00261B7A">
        <w:t xml:space="preserve">Data on glass making for the years up to 2006 were provided by the companies and updated for the years 2007 to 2009 by survey requests from MBIE. Data on limestone and soda ash use were based on the companies’ records where available. In the case of one glass-making facility, some historical emissions data had to be estimated based only on glass production rates, because actual limestone and soda ash use was not recorded before 2006. </w:t>
      </w:r>
    </w:p>
    <w:p w14:paraId="11007756" w14:textId="77777777" w:rsidR="008A4F47" w:rsidRPr="00261B7A" w:rsidRDefault="008A4F47" w:rsidP="008A4F47">
      <w:pPr>
        <w:pStyle w:val="BodyText"/>
        <w:spacing w:before="100" w:after="100"/>
      </w:pPr>
      <w:r w:rsidRPr="00261B7A">
        <w:t xml:space="preserve">For 2010 to 2021, the glass companies’ NZ ETS returns are used. </w:t>
      </w:r>
    </w:p>
    <w:p w14:paraId="59EEDA1C" w14:textId="58BA7606" w:rsidR="008A4F47" w:rsidRPr="00261B7A" w:rsidRDefault="008A4F47" w:rsidP="008A4F47">
      <w:pPr>
        <w:pStyle w:val="BodyText"/>
      </w:pPr>
      <w:r w:rsidRPr="00261B7A">
        <w:t>A very small amount of CO</w:t>
      </w:r>
      <w:r w:rsidRPr="00261B7A">
        <w:rPr>
          <w:vertAlign w:val="subscript"/>
        </w:rPr>
        <w:t>2</w:t>
      </w:r>
      <w:r w:rsidRPr="00261B7A">
        <w:t xml:space="preserve"> is reported from the use of kaolin clays in ceramics production (2.A.4.a). The activity data used are the approximate amount of kaolin clay produced for this</w:t>
      </w:r>
      <w:r w:rsidR="00D15103" w:rsidRPr="00261B7A">
        <w:t> </w:t>
      </w:r>
      <w:r w:rsidRPr="00261B7A">
        <w:t xml:space="preserve">purpose (Christie et al., 1999). In the absence of better data, the rate of production is assumed constant for the whole time series. Emissions from ground limestone used in liming agricultural soils are reported under the Agriculture sector. </w:t>
      </w:r>
    </w:p>
    <w:p w14:paraId="3B324308" w14:textId="77777777" w:rsidR="008A4F47" w:rsidRPr="00261B7A" w:rsidRDefault="008A4F47" w:rsidP="008A4F47">
      <w:pPr>
        <w:pStyle w:val="Heading4"/>
      </w:pPr>
      <w:r w:rsidRPr="00261B7A">
        <w:t>Choice of methods</w:t>
      </w:r>
    </w:p>
    <w:p w14:paraId="1242621A" w14:textId="77777777" w:rsidR="008A4F47" w:rsidRPr="00261B7A" w:rsidRDefault="008A4F47" w:rsidP="008A4F47">
      <w:pPr>
        <w:pStyle w:val="BodyText"/>
      </w:pPr>
      <w:r w:rsidRPr="00261B7A">
        <w:t xml:space="preserve">For the years up to 2009, cement emissions were calculated using the methodology specified in the </w:t>
      </w:r>
      <w:r w:rsidRPr="00261B7A">
        <w:rPr>
          <w:i/>
        </w:rPr>
        <w:t>Cement CO</w:t>
      </w:r>
      <w:r w:rsidRPr="00261B7A">
        <w:rPr>
          <w:i/>
          <w:vertAlign w:val="subscript"/>
        </w:rPr>
        <w:t>2</w:t>
      </w:r>
      <w:r w:rsidRPr="00261B7A">
        <w:rPr>
          <w:i/>
        </w:rPr>
        <w:t xml:space="preserve"> Protocol</w:t>
      </w:r>
      <w:r w:rsidRPr="00261B7A">
        <w:t xml:space="preserve"> (World Business Council for Sustainable Development, 2005), which uses plant-specific emission factors based on the CaO and magnesium oxide (MgO) content of clinker produced. This also includes an adjustment for emissions due to cement kiln dust. This calculation is consistent with the IPCC Tier 2 method (IPCC, 2006a). </w:t>
      </w:r>
    </w:p>
    <w:p w14:paraId="17BA2AE8" w14:textId="77777777" w:rsidR="008A4F47" w:rsidRPr="00261B7A" w:rsidRDefault="008A4F47" w:rsidP="008A4F47">
      <w:pPr>
        <w:pStyle w:val="BodyText"/>
      </w:pPr>
      <w:r w:rsidRPr="00261B7A">
        <w:t>Emissions for lime up to 2009 were calculated using the IPCC Tier 1 method and the default emission factor of 0.75 tonnes CO</w:t>
      </w:r>
      <w:r w:rsidRPr="00261B7A">
        <w:rPr>
          <w:vertAlign w:val="subscript"/>
        </w:rPr>
        <w:t>2</w:t>
      </w:r>
      <w:r w:rsidRPr="00261B7A">
        <w:t xml:space="preserve"> per tonne of burnt lime produced. For glass making, the IPCC Tier 1 method and default emission factors were also used for the years up to 2009. </w:t>
      </w:r>
    </w:p>
    <w:p w14:paraId="5C0CC73E" w14:textId="77777777" w:rsidR="008A4F47" w:rsidRPr="00261B7A" w:rsidRDefault="008A4F47" w:rsidP="008A4F47">
      <w:pPr>
        <w:pStyle w:val="BodyText"/>
      </w:pPr>
      <w:r w:rsidRPr="00261B7A">
        <w:t xml:space="preserve">For NZ ETS reporting in the </w:t>
      </w:r>
      <w:r w:rsidRPr="00261B7A">
        <w:rPr>
          <w:i/>
        </w:rPr>
        <w:t>Mineral industry</w:t>
      </w:r>
      <w:r w:rsidRPr="00261B7A">
        <w:t xml:space="preserve"> category (from 2010), the methods used are specified in the Climate Change (Stationary Energy and Industrial Processes) Regulations 2009. These methods require firms making clinker or burnt lime to report CO</w:t>
      </w:r>
      <w:r w:rsidRPr="00261B7A">
        <w:rPr>
          <w:vertAlign w:val="subscript"/>
        </w:rPr>
        <w:t>2</w:t>
      </w:r>
      <w:r w:rsidRPr="00261B7A">
        <w:t xml:space="preserve"> emissions calculated from the amount of pure product made from calcination. In calculating their emissions, NZ ETS participants who make clinker or lime are required to determine and report the amounts of pure CaO and MgO in the clinker or burnt lime produced, and in kiln dust if relevant. The emissions are calculated from this chemical composition. The calculation of total emissions can be summarised as: </w:t>
      </w:r>
    </w:p>
    <w:p w14:paraId="714481DE" w14:textId="77777777" w:rsidR="008A4F47" w:rsidRPr="00261B7A" w:rsidRDefault="008A4F47" w:rsidP="008A4F47">
      <w:pPr>
        <w:pStyle w:val="BodyText"/>
        <w:spacing w:before="80"/>
        <w:jc w:val="center"/>
        <w:rPr>
          <w:rFonts w:ascii="Cambria Math" w:hAnsi="Cambria Math"/>
          <w:i/>
          <w:sz w:val="24"/>
        </w:rPr>
      </w:pPr>
      <w:r w:rsidRPr="00261B7A">
        <w:rPr>
          <w:rFonts w:ascii="Cambria Math" w:hAnsi="Cambria Math"/>
          <w:i/>
          <w:sz w:val="24"/>
        </w:rPr>
        <w:t>TE = 0.7848 × A + 1.0919 × B + 0.7848 × C</w:t>
      </w:r>
    </w:p>
    <w:p w14:paraId="6C371483" w14:textId="77777777" w:rsidR="008A4F47" w:rsidRPr="00261B7A" w:rsidRDefault="008A4F47" w:rsidP="008A4F47">
      <w:pPr>
        <w:pStyle w:val="BodyText"/>
        <w:keepNext/>
        <w:spacing w:after="20"/>
        <w:ind w:left="992" w:hanging="992"/>
      </w:pPr>
      <w:r w:rsidRPr="00261B7A">
        <w:t xml:space="preserve">Where: </w:t>
      </w:r>
      <w:r w:rsidRPr="00261B7A">
        <w:tab/>
        <w:t>A is the amount of CaO produced</w:t>
      </w:r>
    </w:p>
    <w:p w14:paraId="181AD0F7" w14:textId="77777777" w:rsidR="008A4F47" w:rsidRPr="00261B7A" w:rsidRDefault="008A4F47" w:rsidP="008A4F47">
      <w:pPr>
        <w:pStyle w:val="BodyText"/>
        <w:spacing w:before="60" w:after="20"/>
        <w:ind w:left="992" w:firstLine="1"/>
      </w:pPr>
      <w:r w:rsidRPr="00261B7A">
        <w:t>B is the amount of MgO produced</w:t>
      </w:r>
    </w:p>
    <w:p w14:paraId="57CF5272" w14:textId="77777777" w:rsidR="008A4F47" w:rsidRPr="00261B7A" w:rsidRDefault="008A4F47" w:rsidP="008A4F47">
      <w:pPr>
        <w:pStyle w:val="BodyText"/>
        <w:spacing w:before="80"/>
        <w:ind w:left="992" w:firstLine="1"/>
      </w:pPr>
      <w:r w:rsidRPr="00261B7A">
        <w:t>C is the amount of kiln dust produced.</w:t>
      </w:r>
    </w:p>
    <w:p w14:paraId="479ABA87" w14:textId="77777777" w:rsidR="008A4F47" w:rsidRPr="00261B7A" w:rsidRDefault="008A4F47" w:rsidP="008A4F47">
      <w:pPr>
        <w:pStyle w:val="BodyText"/>
      </w:pPr>
      <w:r w:rsidRPr="00261B7A">
        <w:t xml:space="preserve">Similarly, based on the Climate Change (Stationary Energy and Industrial Processes) Regulations 2009, NZ ETS participants that make glass report the amounts of pure limestone, dolomite and soda ash that they use in the process. This is consistent with the Tier 3 methods in volume 3, </w:t>
      </w:r>
      <w:r w:rsidRPr="00261B7A">
        <w:rPr>
          <w:i/>
        </w:rPr>
        <w:t>Industrial Processes and Product Use</w:t>
      </w:r>
      <w:r w:rsidRPr="00261B7A">
        <w:t xml:space="preserve">, of the 2006 IPCC Guidelines (IPCC, 2006a) but is described as country specific in the CRF because of a minor discrepancy: NZ ETS participants are not required to report separately very small amounts of kiln dust or MgO. </w:t>
      </w:r>
    </w:p>
    <w:p w14:paraId="15F2A217" w14:textId="77777777" w:rsidR="008A4F47" w:rsidRPr="00261B7A" w:rsidRDefault="008A4F47" w:rsidP="008A4F47">
      <w:pPr>
        <w:pStyle w:val="BodyText"/>
      </w:pPr>
      <w:r w:rsidRPr="00261B7A">
        <w:t xml:space="preserve">NZ ETS participants in this category are not required to report annually on the specific methods that they have used to determine the amounts of pure CaO, MgO and other compounds that they report in their NZ ETS returns. They are required to keep this information available and it is verified periodically by the NZ ETS regulator. </w:t>
      </w:r>
    </w:p>
    <w:p w14:paraId="1841060E" w14:textId="77777777" w:rsidR="008A4F47" w:rsidRPr="00261B7A" w:rsidRDefault="008A4F47" w:rsidP="008A4F47">
      <w:pPr>
        <w:pStyle w:val="BodyText"/>
      </w:pPr>
      <w:r w:rsidRPr="00261B7A">
        <w:t>All other emissions use Tier 1 methods. This includes the small amount of SO</w:t>
      </w:r>
      <w:r w:rsidRPr="00261B7A">
        <w:rPr>
          <w:vertAlign w:val="subscript"/>
        </w:rPr>
        <w:t>2</w:t>
      </w:r>
      <w:r w:rsidRPr="00261B7A">
        <w:t xml:space="preserve"> emissions reported for cement production. Emissions of SO</w:t>
      </w:r>
      <w:r w:rsidRPr="00261B7A">
        <w:rPr>
          <w:vertAlign w:val="subscript"/>
        </w:rPr>
        <w:t>2</w:t>
      </w:r>
      <w:r w:rsidRPr="00261B7A">
        <w:t xml:space="preserve"> from lime production were also estimated in 2006 (CRL Energy, </w:t>
      </w:r>
      <w:r w:rsidRPr="00261B7A">
        <w:rPr>
          <w:rFonts w:eastAsia="+mn-ea"/>
        </w:rPr>
        <w:t>unpublished(a)</w:t>
      </w:r>
      <w:r w:rsidRPr="00261B7A">
        <w:t>). These used a country-specific emission factor of 0.5 kilograms SO</w:t>
      </w:r>
      <w:r w:rsidRPr="00261B7A">
        <w:rPr>
          <w:vertAlign w:val="subscript"/>
        </w:rPr>
        <w:t>2</w:t>
      </w:r>
      <w:r w:rsidRPr="00261B7A">
        <w:t xml:space="preserve"> per tonne of burnt lime produced, derived from plant measurements carried out in earlier years. There is no provision in the CRF to report these emissions, however. </w:t>
      </w:r>
    </w:p>
    <w:p w14:paraId="1191F552" w14:textId="77777777" w:rsidR="008A4F47" w:rsidRPr="00261B7A" w:rsidRDefault="008A4F47" w:rsidP="008A4F47">
      <w:pPr>
        <w:pStyle w:val="Heading4"/>
        <w:rPr>
          <w:bCs/>
          <w:iCs/>
        </w:rPr>
      </w:pPr>
      <w:r w:rsidRPr="00261B7A">
        <w:t>Choice of emission factors</w:t>
      </w:r>
    </w:p>
    <w:p w14:paraId="277D010A" w14:textId="77777777" w:rsidR="008A4F47" w:rsidRPr="00261B7A" w:rsidRDefault="008A4F47" w:rsidP="008A4F47">
      <w:pPr>
        <w:pStyle w:val="BodyText"/>
      </w:pPr>
      <w:r w:rsidRPr="00261B7A">
        <w:t xml:space="preserve">All calculations made for NZ ETS reporting and used in the </w:t>
      </w:r>
      <w:r w:rsidRPr="00261B7A">
        <w:rPr>
          <w:i/>
        </w:rPr>
        <w:t>Mineral industry</w:t>
      </w:r>
      <w:r w:rsidRPr="00261B7A">
        <w:t xml:space="preserve"> category are based on plant-specific analysis. </w:t>
      </w:r>
    </w:p>
    <w:p w14:paraId="019DA398" w14:textId="77777777" w:rsidR="008A4F47" w:rsidRPr="00261B7A" w:rsidRDefault="008A4F47" w:rsidP="008A4F47">
      <w:pPr>
        <w:pStyle w:val="BodyText"/>
      </w:pPr>
      <w:r w:rsidRPr="00261B7A">
        <w:t>The small amounts of SO</w:t>
      </w:r>
      <w:r w:rsidRPr="00261B7A">
        <w:rPr>
          <w:vertAlign w:val="subscript"/>
        </w:rPr>
        <w:t>2</w:t>
      </w:r>
      <w:r w:rsidRPr="00261B7A">
        <w:t xml:space="preserve"> emitted in the </w:t>
      </w:r>
      <w:r w:rsidRPr="00261B7A">
        <w:rPr>
          <w:i/>
        </w:rPr>
        <w:t>Cement production</w:t>
      </w:r>
      <w:r w:rsidRPr="00261B7A">
        <w:t xml:space="preserve"> category are estimated using plant-specific emission factors taken from mass balance data derived for the two cement plants in 2002 and 2005 (CRL Energy, </w:t>
      </w:r>
      <w:r w:rsidRPr="00261B7A">
        <w:rPr>
          <w:rFonts w:eastAsia="+mn-ea"/>
        </w:rPr>
        <w:t>unpublished(a)</w:t>
      </w:r>
      <w:r w:rsidRPr="00261B7A">
        <w:t xml:space="preserve">). </w:t>
      </w:r>
    </w:p>
    <w:p w14:paraId="1799B239" w14:textId="77777777" w:rsidR="008A4F47" w:rsidRPr="00261B7A" w:rsidRDefault="008A4F47" w:rsidP="008A4F47">
      <w:pPr>
        <w:pStyle w:val="BodyText"/>
      </w:pPr>
      <w:r w:rsidRPr="00261B7A">
        <w:t>For the very small emissions of CO</w:t>
      </w:r>
      <w:r w:rsidRPr="00261B7A">
        <w:rPr>
          <w:vertAlign w:val="subscript"/>
        </w:rPr>
        <w:t>2</w:t>
      </w:r>
      <w:r w:rsidRPr="00261B7A">
        <w:t xml:space="preserve"> from the </w:t>
      </w:r>
      <w:r w:rsidRPr="00261B7A">
        <w:rPr>
          <w:i/>
        </w:rPr>
        <w:t>Ceramics</w:t>
      </w:r>
      <w:r w:rsidRPr="00261B7A">
        <w:t xml:space="preserve"> (2.A.4.a) category, a country-specific emission factor of 0.1 per cent of carbonates (as equivalent calcium carbonate) in local kaolin clay is used. </w:t>
      </w:r>
    </w:p>
    <w:p w14:paraId="7E56EA6E" w14:textId="77777777" w:rsidR="008A4F47" w:rsidRPr="00261B7A" w:rsidRDefault="008A4F47" w:rsidP="008A4F47">
      <w:pPr>
        <w:pStyle w:val="BodyText"/>
      </w:pPr>
      <w:r w:rsidRPr="00261B7A">
        <w:t xml:space="preserve">Other emission factors used are IPCC defaults. </w:t>
      </w:r>
    </w:p>
    <w:p w14:paraId="676C6C5E" w14:textId="77777777" w:rsidR="008A4F47" w:rsidRPr="00261B7A" w:rsidRDefault="008A4F47" w:rsidP="0034058F">
      <w:pPr>
        <w:pStyle w:val="Heading3"/>
      </w:pPr>
      <w:r w:rsidRPr="00261B7A">
        <w:t xml:space="preserve">4.2.3 </w:t>
      </w:r>
      <w:r w:rsidRPr="00261B7A">
        <w:tab/>
        <w:t>Uncertainties and time-series consistency</w:t>
      </w:r>
    </w:p>
    <w:p w14:paraId="458631AF" w14:textId="77777777" w:rsidR="008A4F47" w:rsidRPr="00261B7A" w:rsidRDefault="008A4F47" w:rsidP="008A4F47">
      <w:pPr>
        <w:pStyle w:val="Heading4"/>
        <w:rPr>
          <w:bCs/>
          <w:iCs/>
        </w:rPr>
      </w:pPr>
      <w:r w:rsidRPr="00261B7A">
        <w:t>Uncertainties</w:t>
      </w:r>
    </w:p>
    <w:p w14:paraId="482CD0C1" w14:textId="77777777" w:rsidR="008A4F47" w:rsidRPr="00261B7A" w:rsidRDefault="008A4F47" w:rsidP="008A4F47">
      <w:pPr>
        <w:pStyle w:val="BodyText"/>
      </w:pPr>
      <w:r w:rsidRPr="00261B7A">
        <w:t>IPCC default uncertainties have been used for all CO</w:t>
      </w:r>
      <w:r w:rsidRPr="00261B7A">
        <w:rPr>
          <w:vertAlign w:val="subscript"/>
        </w:rPr>
        <w:t>2</w:t>
      </w:r>
      <w:r w:rsidRPr="00261B7A">
        <w:t xml:space="preserve"> emissions from the </w:t>
      </w:r>
      <w:r w:rsidRPr="00261B7A">
        <w:rPr>
          <w:i/>
        </w:rPr>
        <w:t>Mineral industry</w:t>
      </w:r>
      <w:r w:rsidRPr="00261B7A">
        <w:t xml:space="preserve"> category (see table 4.2.1), except ceramics for which there is substantial uncertainty in the activity data and in the composition of clay. Cement kiln dust is not relevant for 2017 to 2021 because the cement plant now operating reports no significant kiln dust produced. For SO</w:t>
      </w:r>
      <w:r w:rsidRPr="00261B7A">
        <w:rPr>
          <w:vertAlign w:val="subscript"/>
        </w:rPr>
        <w:t>2</w:t>
      </w:r>
      <w:r w:rsidRPr="00261B7A">
        <w:t xml:space="preserve"> emissions in the </w:t>
      </w:r>
      <w:r w:rsidRPr="00261B7A">
        <w:rPr>
          <w:i/>
        </w:rPr>
        <w:t>Cement production</w:t>
      </w:r>
      <w:r w:rsidRPr="00261B7A">
        <w:t xml:space="preserve"> category, an uncertainty of ±40 per cent was estimated based on the variance between surveys when these emissions were determined (CRL Energy, </w:t>
      </w:r>
      <w:r w:rsidRPr="00261B7A">
        <w:rPr>
          <w:rFonts w:eastAsia="+mn-ea"/>
        </w:rPr>
        <w:t>unpublished(a)</w:t>
      </w:r>
      <w:r w:rsidRPr="00261B7A">
        <w:t xml:space="preserve">). </w:t>
      </w:r>
    </w:p>
    <w:p w14:paraId="7A514F35" w14:textId="77777777" w:rsidR="008A4F47" w:rsidRPr="00261B7A" w:rsidRDefault="008A4F47" w:rsidP="008A4F47">
      <w:pPr>
        <w:pStyle w:val="Table"/>
      </w:pPr>
      <w:bookmarkStart w:id="479" w:name="_Toc451176067"/>
      <w:bookmarkStart w:id="480" w:name="_Toc414531404"/>
      <w:bookmarkStart w:id="481" w:name="_Toc5269457"/>
      <w:bookmarkStart w:id="482" w:name="_Toc36224530"/>
      <w:bookmarkStart w:id="483" w:name="_Toc68786417"/>
      <w:bookmarkStart w:id="484" w:name="_Toc128042750"/>
      <w:bookmarkStart w:id="485" w:name="_Toc131591330"/>
      <w:r w:rsidRPr="00261B7A">
        <w:t>Table 4.2.1</w:t>
      </w:r>
      <w:r w:rsidRPr="00261B7A">
        <w:tab/>
        <w:t>Uncertainty in emissions from mineral products</w:t>
      </w:r>
      <w:bookmarkEnd w:id="479"/>
      <w:bookmarkEnd w:id="480"/>
      <w:bookmarkEnd w:id="481"/>
      <w:bookmarkEnd w:id="482"/>
      <w:bookmarkEnd w:id="483"/>
      <w:bookmarkEnd w:id="484"/>
      <w:bookmarkEnd w:id="485"/>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675"/>
        <w:gridCol w:w="2817"/>
        <w:gridCol w:w="3013"/>
      </w:tblGrid>
      <w:tr w:rsidR="008A4F47" w:rsidRPr="00261B7A" w14:paraId="7A44EFB0" w14:textId="77777777" w:rsidTr="00D41492">
        <w:trPr>
          <w:tblHeader/>
        </w:trPr>
        <w:tc>
          <w:tcPr>
            <w:tcW w:w="2694" w:type="dxa"/>
            <w:tcBorders>
              <w:top w:val="single" w:sz="4" w:space="0" w:color="1B556B"/>
              <w:left w:val="nil"/>
              <w:bottom w:val="single" w:sz="4" w:space="0" w:color="1B556B"/>
              <w:right w:val="nil"/>
            </w:tcBorders>
            <w:shd w:val="clear" w:color="auto" w:fill="1B556B"/>
            <w:hideMark/>
          </w:tcPr>
          <w:p w14:paraId="1C588EF4" w14:textId="77777777" w:rsidR="008A4F47" w:rsidRPr="00261B7A" w:rsidRDefault="008A4F47" w:rsidP="00D41492">
            <w:pPr>
              <w:pStyle w:val="TableTextBold"/>
              <w:keepNext/>
              <w:rPr>
                <w:noProof w:val="0"/>
                <w:color w:val="FFFFFF"/>
              </w:rPr>
            </w:pPr>
            <w:r w:rsidRPr="00261B7A">
              <w:rPr>
                <w:noProof w:val="0"/>
                <w:color w:val="FFFFFF"/>
              </w:rPr>
              <w:t>Mineral product</w:t>
            </w:r>
          </w:p>
        </w:tc>
        <w:tc>
          <w:tcPr>
            <w:tcW w:w="2835" w:type="dxa"/>
            <w:tcBorders>
              <w:top w:val="single" w:sz="4" w:space="0" w:color="1B556B"/>
              <w:left w:val="nil"/>
              <w:bottom w:val="single" w:sz="4" w:space="0" w:color="1B556B"/>
              <w:right w:val="nil"/>
            </w:tcBorders>
            <w:shd w:val="clear" w:color="auto" w:fill="1B556B"/>
            <w:hideMark/>
          </w:tcPr>
          <w:p w14:paraId="0C70F34C" w14:textId="77777777" w:rsidR="008A4F47" w:rsidRPr="00261B7A" w:rsidRDefault="008A4F47" w:rsidP="00D41492">
            <w:pPr>
              <w:pStyle w:val="TableTextBold"/>
              <w:rPr>
                <w:noProof w:val="0"/>
                <w:color w:val="FFFFFF"/>
              </w:rPr>
            </w:pPr>
            <w:r w:rsidRPr="00261B7A">
              <w:rPr>
                <w:noProof w:val="0"/>
                <w:color w:val="FFFFFF"/>
              </w:rPr>
              <w:t>Uncertainty in activity data (%)</w:t>
            </w:r>
          </w:p>
        </w:tc>
        <w:tc>
          <w:tcPr>
            <w:tcW w:w="3033" w:type="dxa"/>
            <w:tcBorders>
              <w:top w:val="single" w:sz="4" w:space="0" w:color="1B556B"/>
              <w:left w:val="nil"/>
              <w:bottom w:val="single" w:sz="4" w:space="0" w:color="1B556B"/>
              <w:right w:val="nil"/>
            </w:tcBorders>
            <w:shd w:val="clear" w:color="auto" w:fill="1B556B"/>
            <w:hideMark/>
          </w:tcPr>
          <w:p w14:paraId="6432571D" w14:textId="77777777" w:rsidR="008A4F47" w:rsidRPr="00261B7A" w:rsidRDefault="008A4F47" w:rsidP="00D41492">
            <w:pPr>
              <w:pStyle w:val="TableTextBold"/>
              <w:rPr>
                <w:noProof w:val="0"/>
                <w:color w:val="FFFFFF"/>
              </w:rPr>
            </w:pPr>
            <w:r w:rsidRPr="00261B7A">
              <w:rPr>
                <w:noProof w:val="0"/>
                <w:color w:val="FFFFFF"/>
              </w:rPr>
              <w:t>Uncertainty in emission factors (%)</w:t>
            </w:r>
          </w:p>
        </w:tc>
      </w:tr>
      <w:tr w:rsidR="008A4F47" w:rsidRPr="00261B7A" w14:paraId="58E2E912" w14:textId="77777777" w:rsidTr="00D41492">
        <w:tc>
          <w:tcPr>
            <w:tcW w:w="2694" w:type="dxa"/>
            <w:tcBorders>
              <w:top w:val="single" w:sz="4" w:space="0" w:color="1B556B"/>
              <w:left w:val="nil"/>
              <w:bottom w:val="single" w:sz="4" w:space="0" w:color="1B556B"/>
              <w:right w:val="nil"/>
            </w:tcBorders>
            <w:shd w:val="clear" w:color="auto" w:fill="FFFFFF"/>
            <w:hideMark/>
          </w:tcPr>
          <w:p w14:paraId="41AC3251" w14:textId="77777777" w:rsidR="008A4F47" w:rsidRPr="00261B7A" w:rsidRDefault="008A4F47" w:rsidP="00D41492">
            <w:pPr>
              <w:pStyle w:val="TableText"/>
              <w:keepNext/>
            </w:pPr>
            <w:r w:rsidRPr="00261B7A">
              <w:t>Cement (CO</w:t>
            </w:r>
            <w:r w:rsidRPr="00261B7A">
              <w:rPr>
                <w:vertAlign w:val="subscript"/>
              </w:rPr>
              <w:t>2</w:t>
            </w:r>
            <w:r w:rsidRPr="00261B7A">
              <w:t>)</w:t>
            </w:r>
          </w:p>
        </w:tc>
        <w:tc>
          <w:tcPr>
            <w:tcW w:w="2835" w:type="dxa"/>
            <w:tcBorders>
              <w:top w:val="single" w:sz="4" w:space="0" w:color="1B556B"/>
              <w:left w:val="nil"/>
              <w:bottom w:val="single" w:sz="4" w:space="0" w:color="1B556B"/>
              <w:right w:val="nil"/>
            </w:tcBorders>
            <w:shd w:val="clear" w:color="auto" w:fill="FFFFFF"/>
            <w:hideMark/>
          </w:tcPr>
          <w:p w14:paraId="06131F2D" w14:textId="77777777" w:rsidR="008A4F47" w:rsidRPr="00261B7A" w:rsidRDefault="008A4F47" w:rsidP="00D41492">
            <w:pPr>
              <w:pStyle w:val="TableText"/>
            </w:pPr>
            <w:r w:rsidRPr="00261B7A">
              <w:t>±1</w:t>
            </w:r>
          </w:p>
        </w:tc>
        <w:tc>
          <w:tcPr>
            <w:tcW w:w="3033" w:type="dxa"/>
            <w:tcBorders>
              <w:top w:val="single" w:sz="4" w:space="0" w:color="1B556B"/>
              <w:left w:val="nil"/>
              <w:bottom w:val="single" w:sz="4" w:space="0" w:color="1B556B"/>
              <w:right w:val="nil"/>
            </w:tcBorders>
            <w:shd w:val="clear" w:color="auto" w:fill="FFFFFF"/>
            <w:hideMark/>
          </w:tcPr>
          <w:p w14:paraId="269FBB58" w14:textId="77777777" w:rsidR="008A4F47" w:rsidRPr="00261B7A" w:rsidRDefault="008A4F47" w:rsidP="00D41492">
            <w:pPr>
              <w:pStyle w:val="TableText"/>
            </w:pPr>
            <w:r w:rsidRPr="00261B7A">
              <w:t>±1</w:t>
            </w:r>
          </w:p>
        </w:tc>
      </w:tr>
      <w:tr w:rsidR="008A4F47" w:rsidRPr="00261B7A" w14:paraId="7D2C0D34" w14:textId="77777777" w:rsidTr="00D41492">
        <w:tc>
          <w:tcPr>
            <w:tcW w:w="2694" w:type="dxa"/>
            <w:tcBorders>
              <w:top w:val="single" w:sz="4" w:space="0" w:color="1B556B"/>
              <w:left w:val="nil"/>
              <w:bottom w:val="single" w:sz="4" w:space="0" w:color="1B556B"/>
              <w:right w:val="nil"/>
            </w:tcBorders>
            <w:shd w:val="clear" w:color="auto" w:fill="FFFFFF"/>
            <w:hideMark/>
          </w:tcPr>
          <w:p w14:paraId="14144A08" w14:textId="77777777" w:rsidR="008A4F47" w:rsidRPr="00261B7A" w:rsidRDefault="008A4F47" w:rsidP="00D41492">
            <w:pPr>
              <w:pStyle w:val="TableText"/>
            </w:pPr>
            <w:r w:rsidRPr="00261B7A">
              <w:t>Cement kiln dust (CO</w:t>
            </w:r>
            <w:r w:rsidRPr="00261B7A">
              <w:rPr>
                <w:vertAlign w:val="subscript"/>
              </w:rPr>
              <w:t>2</w:t>
            </w:r>
            <w:r w:rsidRPr="00261B7A">
              <w:t>)</w:t>
            </w:r>
          </w:p>
        </w:tc>
        <w:tc>
          <w:tcPr>
            <w:tcW w:w="2835" w:type="dxa"/>
            <w:tcBorders>
              <w:top w:val="single" w:sz="4" w:space="0" w:color="1B556B"/>
              <w:left w:val="nil"/>
              <w:bottom w:val="single" w:sz="4" w:space="0" w:color="1B556B"/>
              <w:right w:val="nil"/>
            </w:tcBorders>
            <w:shd w:val="clear" w:color="auto" w:fill="FFFFFF"/>
            <w:hideMark/>
          </w:tcPr>
          <w:p w14:paraId="6968DD5C" w14:textId="77777777" w:rsidR="008A4F47" w:rsidRPr="00261B7A" w:rsidRDefault="008A4F47" w:rsidP="00D41492">
            <w:pPr>
              <w:pStyle w:val="TableText"/>
            </w:pPr>
            <w:r w:rsidRPr="00261B7A">
              <w:t>±1</w:t>
            </w:r>
          </w:p>
        </w:tc>
        <w:tc>
          <w:tcPr>
            <w:tcW w:w="3033" w:type="dxa"/>
            <w:tcBorders>
              <w:top w:val="single" w:sz="4" w:space="0" w:color="1B556B"/>
              <w:left w:val="nil"/>
              <w:bottom w:val="single" w:sz="4" w:space="0" w:color="1B556B"/>
              <w:right w:val="nil"/>
            </w:tcBorders>
            <w:shd w:val="clear" w:color="auto" w:fill="FFFFFF"/>
            <w:hideMark/>
          </w:tcPr>
          <w:p w14:paraId="7701050F" w14:textId="77777777" w:rsidR="008A4F47" w:rsidRPr="00261B7A" w:rsidRDefault="008A4F47" w:rsidP="00D41492">
            <w:pPr>
              <w:pStyle w:val="TableText"/>
            </w:pPr>
            <w:r w:rsidRPr="00261B7A">
              <w:t>±5</w:t>
            </w:r>
          </w:p>
        </w:tc>
      </w:tr>
      <w:tr w:rsidR="008A4F47" w:rsidRPr="00261B7A" w14:paraId="5D0D1F28" w14:textId="77777777" w:rsidTr="00D41492">
        <w:tc>
          <w:tcPr>
            <w:tcW w:w="2694" w:type="dxa"/>
            <w:tcBorders>
              <w:top w:val="single" w:sz="4" w:space="0" w:color="1B556B"/>
              <w:left w:val="nil"/>
              <w:bottom w:val="single" w:sz="4" w:space="0" w:color="1B556B"/>
              <w:right w:val="nil"/>
            </w:tcBorders>
            <w:shd w:val="clear" w:color="auto" w:fill="FFFFFF"/>
            <w:hideMark/>
          </w:tcPr>
          <w:p w14:paraId="1E036E5E" w14:textId="77777777" w:rsidR="008A4F47" w:rsidRPr="00261B7A" w:rsidRDefault="008A4F47" w:rsidP="00D41492">
            <w:pPr>
              <w:pStyle w:val="TableText"/>
            </w:pPr>
            <w:r w:rsidRPr="00261B7A">
              <w:t>Cement (SO</w:t>
            </w:r>
            <w:r w:rsidRPr="00261B7A">
              <w:rPr>
                <w:vertAlign w:val="subscript"/>
              </w:rPr>
              <w:t>2</w:t>
            </w:r>
            <w:r w:rsidRPr="00261B7A">
              <w:t>)</w:t>
            </w:r>
          </w:p>
        </w:tc>
        <w:tc>
          <w:tcPr>
            <w:tcW w:w="2835" w:type="dxa"/>
            <w:tcBorders>
              <w:top w:val="single" w:sz="4" w:space="0" w:color="1B556B"/>
              <w:left w:val="nil"/>
              <w:bottom w:val="single" w:sz="4" w:space="0" w:color="1B556B"/>
              <w:right w:val="nil"/>
            </w:tcBorders>
            <w:shd w:val="clear" w:color="auto" w:fill="FFFFFF"/>
            <w:hideMark/>
          </w:tcPr>
          <w:p w14:paraId="04ADC3F9" w14:textId="77777777" w:rsidR="008A4F47" w:rsidRPr="00261B7A" w:rsidRDefault="008A4F47" w:rsidP="00D41492">
            <w:pPr>
              <w:pStyle w:val="TableText"/>
            </w:pPr>
            <w:r w:rsidRPr="00261B7A">
              <w:t>±1</w:t>
            </w:r>
          </w:p>
        </w:tc>
        <w:tc>
          <w:tcPr>
            <w:tcW w:w="3033" w:type="dxa"/>
            <w:tcBorders>
              <w:top w:val="single" w:sz="4" w:space="0" w:color="1B556B"/>
              <w:left w:val="nil"/>
              <w:bottom w:val="single" w:sz="4" w:space="0" w:color="1B556B"/>
              <w:right w:val="nil"/>
            </w:tcBorders>
            <w:shd w:val="clear" w:color="auto" w:fill="FFFFFF"/>
            <w:hideMark/>
          </w:tcPr>
          <w:p w14:paraId="1943E74C" w14:textId="77777777" w:rsidR="008A4F47" w:rsidRPr="00261B7A" w:rsidRDefault="008A4F47" w:rsidP="00D41492">
            <w:pPr>
              <w:pStyle w:val="TableText"/>
            </w:pPr>
            <w:r w:rsidRPr="00261B7A">
              <w:t>±40</w:t>
            </w:r>
          </w:p>
        </w:tc>
      </w:tr>
      <w:tr w:rsidR="008A4F47" w:rsidRPr="00261B7A" w14:paraId="3D5047D4" w14:textId="77777777" w:rsidTr="00D41492">
        <w:tc>
          <w:tcPr>
            <w:tcW w:w="2694" w:type="dxa"/>
            <w:tcBorders>
              <w:top w:val="single" w:sz="4" w:space="0" w:color="1B556B"/>
              <w:left w:val="nil"/>
              <w:bottom w:val="single" w:sz="4" w:space="0" w:color="1B556B"/>
              <w:right w:val="nil"/>
            </w:tcBorders>
            <w:shd w:val="clear" w:color="auto" w:fill="FFFFFF"/>
            <w:hideMark/>
          </w:tcPr>
          <w:p w14:paraId="5B71257C" w14:textId="77777777" w:rsidR="008A4F47" w:rsidRPr="00261B7A" w:rsidRDefault="008A4F47" w:rsidP="00D41492">
            <w:pPr>
              <w:pStyle w:val="TableText"/>
            </w:pPr>
            <w:r w:rsidRPr="00261B7A">
              <w:t>Lime (CO</w:t>
            </w:r>
            <w:r w:rsidRPr="00261B7A">
              <w:rPr>
                <w:vertAlign w:val="subscript"/>
              </w:rPr>
              <w:t>2</w:t>
            </w:r>
            <w:r w:rsidRPr="00261B7A">
              <w:t>)</w:t>
            </w:r>
          </w:p>
        </w:tc>
        <w:tc>
          <w:tcPr>
            <w:tcW w:w="2835" w:type="dxa"/>
            <w:tcBorders>
              <w:top w:val="single" w:sz="4" w:space="0" w:color="1B556B"/>
              <w:left w:val="nil"/>
              <w:bottom w:val="single" w:sz="4" w:space="0" w:color="1B556B"/>
              <w:right w:val="nil"/>
            </w:tcBorders>
            <w:shd w:val="clear" w:color="auto" w:fill="FFFFFF"/>
            <w:hideMark/>
          </w:tcPr>
          <w:p w14:paraId="1EB7EBBA" w14:textId="77777777" w:rsidR="008A4F47" w:rsidRPr="00261B7A" w:rsidRDefault="008A4F47" w:rsidP="00D41492">
            <w:pPr>
              <w:pStyle w:val="TableText"/>
            </w:pPr>
            <w:r w:rsidRPr="00261B7A">
              <w:t>±2</w:t>
            </w:r>
          </w:p>
        </w:tc>
        <w:tc>
          <w:tcPr>
            <w:tcW w:w="3033" w:type="dxa"/>
            <w:tcBorders>
              <w:top w:val="single" w:sz="4" w:space="0" w:color="1B556B"/>
              <w:left w:val="nil"/>
              <w:bottom w:val="single" w:sz="4" w:space="0" w:color="1B556B"/>
              <w:right w:val="nil"/>
            </w:tcBorders>
            <w:shd w:val="clear" w:color="auto" w:fill="FFFFFF"/>
            <w:hideMark/>
          </w:tcPr>
          <w:p w14:paraId="10DB04B5" w14:textId="77777777" w:rsidR="008A4F47" w:rsidRPr="00261B7A" w:rsidRDefault="008A4F47" w:rsidP="00D41492">
            <w:pPr>
              <w:pStyle w:val="TableText"/>
            </w:pPr>
            <w:r w:rsidRPr="00261B7A">
              <w:t>±2</w:t>
            </w:r>
          </w:p>
        </w:tc>
      </w:tr>
      <w:tr w:rsidR="008A4F47" w:rsidRPr="00261B7A" w14:paraId="3D6DEDD1" w14:textId="77777777" w:rsidTr="00D41492">
        <w:tc>
          <w:tcPr>
            <w:tcW w:w="2694" w:type="dxa"/>
            <w:tcBorders>
              <w:top w:val="single" w:sz="4" w:space="0" w:color="1B556B"/>
              <w:left w:val="nil"/>
              <w:bottom w:val="single" w:sz="4" w:space="0" w:color="1B556B"/>
              <w:right w:val="nil"/>
            </w:tcBorders>
            <w:shd w:val="clear" w:color="auto" w:fill="FFFFFF"/>
            <w:hideMark/>
          </w:tcPr>
          <w:p w14:paraId="4BE07312" w14:textId="77777777" w:rsidR="008A4F47" w:rsidRPr="00261B7A" w:rsidRDefault="008A4F47" w:rsidP="00D41492">
            <w:pPr>
              <w:pStyle w:val="TableText"/>
            </w:pPr>
            <w:r w:rsidRPr="00261B7A">
              <w:t>Glass (SO</w:t>
            </w:r>
            <w:r w:rsidRPr="00261B7A">
              <w:rPr>
                <w:vertAlign w:val="subscript"/>
              </w:rPr>
              <w:t>2</w:t>
            </w:r>
            <w:r w:rsidRPr="00261B7A">
              <w:t>)</w:t>
            </w:r>
          </w:p>
        </w:tc>
        <w:tc>
          <w:tcPr>
            <w:tcW w:w="2835" w:type="dxa"/>
            <w:tcBorders>
              <w:top w:val="single" w:sz="4" w:space="0" w:color="1B556B"/>
              <w:left w:val="nil"/>
              <w:bottom w:val="single" w:sz="4" w:space="0" w:color="1B556B"/>
              <w:right w:val="nil"/>
            </w:tcBorders>
            <w:shd w:val="clear" w:color="auto" w:fill="FFFFFF"/>
            <w:hideMark/>
          </w:tcPr>
          <w:p w14:paraId="7CAB5852" w14:textId="77777777" w:rsidR="008A4F47" w:rsidRPr="00261B7A" w:rsidRDefault="008A4F47" w:rsidP="00D41492">
            <w:pPr>
              <w:pStyle w:val="TableText"/>
            </w:pPr>
            <w:r w:rsidRPr="00261B7A">
              <w:t>±5</w:t>
            </w:r>
          </w:p>
        </w:tc>
        <w:tc>
          <w:tcPr>
            <w:tcW w:w="3033" w:type="dxa"/>
            <w:tcBorders>
              <w:top w:val="single" w:sz="4" w:space="0" w:color="1B556B"/>
              <w:left w:val="nil"/>
              <w:bottom w:val="single" w:sz="4" w:space="0" w:color="1B556B"/>
              <w:right w:val="nil"/>
            </w:tcBorders>
            <w:shd w:val="clear" w:color="auto" w:fill="FFFFFF"/>
            <w:hideMark/>
          </w:tcPr>
          <w:p w14:paraId="54683960" w14:textId="77777777" w:rsidR="008A4F47" w:rsidRPr="00261B7A" w:rsidRDefault="008A4F47" w:rsidP="00D41492">
            <w:pPr>
              <w:pStyle w:val="TableText"/>
            </w:pPr>
            <w:r w:rsidRPr="00261B7A">
              <w:t>±10</w:t>
            </w:r>
          </w:p>
        </w:tc>
      </w:tr>
      <w:tr w:rsidR="008A4F47" w:rsidRPr="00261B7A" w14:paraId="650B86E9" w14:textId="77777777" w:rsidTr="00D41492">
        <w:tc>
          <w:tcPr>
            <w:tcW w:w="2694" w:type="dxa"/>
            <w:tcBorders>
              <w:top w:val="single" w:sz="4" w:space="0" w:color="1B556B"/>
              <w:left w:val="nil"/>
              <w:bottom w:val="single" w:sz="4" w:space="0" w:color="1B556B"/>
              <w:right w:val="nil"/>
            </w:tcBorders>
            <w:shd w:val="clear" w:color="auto" w:fill="FFFFFF"/>
            <w:hideMark/>
          </w:tcPr>
          <w:p w14:paraId="3D4951E1" w14:textId="77777777" w:rsidR="008A4F47" w:rsidRPr="00261B7A" w:rsidRDefault="008A4F47" w:rsidP="00D41492">
            <w:pPr>
              <w:pStyle w:val="TableText"/>
            </w:pPr>
            <w:r w:rsidRPr="00261B7A">
              <w:t>Glass (NMVOC)</w:t>
            </w:r>
          </w:p>
        </w:tc>
        <w:tc>
          <w:tcPr>
            <w:tcW w:w="2835" w:type="dxa"/>
            <w:tcBorders>
              <w:top w:val="single" w:sz="4" w:space="0" w:color="1B556B"/>
              <w:left w:val="nil"/>
              <w:bottom w:val="single" w:sz="4" w:space="0" w:color="1B556B"/>
              <w:right w:val="nil"/>
            </w:tcBorders>
            <w:shd w:val="clear" w:color="auto" w:fill="FFFFFF"/>
            <w:hideMark/>
          </w:tcPr>
          <w:p w14:paraId="40D6EE3E" w14:textId="77777777" w:rsidR="008A4F47" w:rsidRPr="00261B7A" w:rsidRDefault="008A4F47" w:rsidP="00D41492">
            <w:pPr>
              <w:pStyle w:val="TableText"/>
            </w:pPr>
            <w:r w:rsidRPr="00261B7A">
              <w:t>±5</w:t>
            </w:r>
          </w:p>
        </w:tc>
        <w:tc>
          <w:tcPr>
            <w:tcW w:w="3033" w:type="dxa"/>
            <w:tcBorders>
              <w:top w:val="single" w:sz="4" w:space="0" w:color="1B556B"/>
              <w:left w:val="nil"/>
              <w:bottom w:val="single" w:sz="4" w:space="0" w:color="1B556B"/>
              <w:right w:val="nil"/>
            </w:tcBorders>
            <w:shd w:val="clear" w:color="auto" w:fill="FFFFFF"/>
            <w:hideMark/>
          </w:tcPr>
          <w:p w14:paraId="107EA1A2" w14:textId="77777777" w:rsidR="008A4F47" w:rsidRPr="00261B7A" w:rsidRDefault="008A4F47" w:rsidP="00D41492">
            <w:pPr>
              <w:pStyle w:val="TableText"/>
            </w:pPr>
            <w:r w:rsidRPr="00261B7A">
              <w:t>±50</w:t>
            </w:r>
          </w:p>
        </w:tc>
      </w:tr>
      <w:tr w:rsidR="008A4F47" w:rsidRPr="00261B7A" w14:paraId="12E28308" w14:textId="77777777" w:rsidTr="00D41492">
        <w:tc>
          <w:tcPr>
            <w:tcW w:w="2694" w:type="dxa"/>
            <w:tcBorders>
              <w:top w:val="single" w:sz="4" w:space="0" w:color="1B556B"/>
              <w:left w:val="nil"/>
              <w:bottom w:val="single" w:sz="4" w:space="0" w:color="1B556B"/>
              <w:right w:val="nil"/>
            </w:tcBorders>
            <w:shd w:val="clear" w:color="auto" w:fill="FFFFFF"/>
          </w:tcPr>
          <w:p w14:paraId="0643884B" w14:textId="77777777" w:rsidR="008A4F47" w:rsidRPr="00261B7A" w:rsidRDefault="008A4F47" w:rsidP="00D41492">
            <w:pPr>
              <w:pStyle w:val="TableText"/>
            </w:pPr>
            <w:r w:rsidRPr="00261B7A">
              <w:t>Ceramics (CO</w:t>
            </w:r>
            <w:r w:rsidRPr="00261B7A">
              <w:rPr>
                <w:vertAlign w:val="subscript"/>
              </w:rPr>
              <w:t>2</w:t>
            </w:r>
            <w:r w:rsidRPr="00261B7A">
              <w:t>)</w:t>
            </w:r>
          </w:p>
        </w:tc>
        <w:tc>
          <w:tcPr>
            <w:tcW w:w="2835" w:type="dxa"/>
            <w:tcBorders>
              <w:top w:val="single" w:sz="4" w:space="0" w:color="1B556B"/>
              <w:left w:val="nil"/>
              <w:bottom w:val="single" w:sz="4" w:space="0" w:color="1B556B"/>
              <w:right w:val="nil"/>
            </w:tcBorders>
            <w:shd w:val="clear" w:color="auto" w:fill="FFFFFF"/>
          </w:tcPr>
          <w:p w14:paraId="67D04B15" w14:textId="77777777" w:rsidR="008A4F47" w:rsidRPr="00261B7A" w:rsidRDefault="008A4F47" w:rsidP="00D41492">
            <w:pPr>
              <w:pStyle w:val="TableText"/>
            </w:pPr>
            <w:r w:rsidRPr="00261B7A">
              <w:t>±50</w:t>
            </w:r>
          </w:p>
        </w:tc>
        <w:tc>
          <w:tcPr>
            <w:tcW w:w="3033" w:type="dxa"/>
            <w:tcBorders>
              <w:top w:val="single" w:sz="4" w:space="0" w:color="1B556B"/>
              <w:left w:val="nil"/>
              <w:bottom w:val="single" w:sz="4" w:space="0" w:color="1B556B"/>
              <w:right w:val="nil"/>
            </w:tcBorders>
            <w:shd w:val="clear" w:color="auto" w:fill="FFFFFF"/>
          </w:tcPr>
          <w:p w14:paraId="3CDD5A6B" w14:textId="77777777" w:rsidR="008A4F47" w:rsidRPr="00261B7A" w:rsidRDefault="008A4F47" w:rsidP="00D41492">
            <w:pPr>
              <w:pStyle w:val="TableText"/>
            </w:pPr>
            <w:r w:rsidRPr="00261B7A">
              <w:t>±20</w:t>
            </w:r>
          </w:p>
        </w:tc>
      </w:tr>
      <w:tr w:rsidR="008A4F47" w:rsidRPr="00261B7A" w14:paraId="1A9E6634" w14:textId="77777777" w:rsidTr="00D41492">
        <w:tc>
          <w:tcPr>
            <w:tcW w:w="2694" w:type="dxa"/>
            <w:tcBorders>
              <w:top w:val="single" w:sz="4" w:space="0" w:color="1B556B"/>
              <w:left w:val="nil"/>
              <w:bottom w:val="single" w:sz="4" w:space="0" w:color="1B556B"/>
              <w:right w:val="nil"/>
            </w:tcBorders>
            <w:shd w:val="clear" w:color="auto" w:fill="FFFFFF"/>
          </w:tcPr>
          <w:p w14:paraId="16C97A50" w14:textId="77777777" w:rsidR="008A4F47" w:rsidRPr="00261B7A" w:rsidRDefault="008A4F47" w:rsidP="00D41492">
            <w:pPr>
              <w:pStyle w:val="TableText"/>
            </w:pPr>
            <w:r w:rsidRPr="00261B7A">
              <w:t>Other uses of soda ash (CO</w:t>
            </w:r>
            <w:r w:rsidRPr="00261B7A">
              <w:rPr>
                <w:vertAlign w:val="subscript"/>
              </w:rPr>
              <w:t>2</w:t>
            </w:r>
            <w:r w:rsidRPr="00261B7A">
              <w:t>)</w:t>
            </w:r>
          </w:p>
        </w:tc>
        <w:tc>
          <w:tcPr>
            <w:tcW w:w="2835" w:type="dxa"/>
            <w:tcBorders>
              <w:top w:val="single" w:sz="4" w:space="0" w:color="1B556B"/>
              <w:left w:val="nil"/>
              <w:bottom w:val="single" w:sz="4" w:space="0" w:color="1B556B"/>
              <w:right w:val="nil"/>
            </w:tcBorders>
            <w:shd w:val="clear" w:color="auto" w:fill="FFFFFF"/>
          </w:tcPr>
          <w:p w14:paraId="4A660F93" w14:textId="77777777" w:rsidR="008A4F47" w:rsidRPr="00261B7A" w:rsidRDefault="008A4F47" w:rsidP="00D41492">
            <w:pPr>
              <w:pStyle w:val="TableText"/>
            </w:pPr>
            <w:r w:rsidRPr="00261B7A">
              <w:t>±3</w:t>
            </w:r>
          </w:p>
        </w:tc>
        <w:tc>
          <w:tcPr>
            <w:tcW w:w="3033" w:type="dxa"/>
            <w:tcBorders>
              <w:top w:val="single" w:sz="4" w:space="0" w:color="1B556B"/>
              <w:left w:val="nil"/>
              <w:bottom w:val="single" w:sz="4" w:space="0" w:color="1B556B"/>
              <w:right w:val="nil"/>
            </w:tcBorders>
            <w:shd w:val="clear" w:color="auto" w:fill="FFFFFF"/>
          </w:tcPr>
          <w:p w14:paraId="4870634D" w14:textId="77777777" w:rsidR="008A4F47" w:rsidRPr="00261B7A" w:rsidRDefault="008A4F47" w:rsidP="00D41492">
            <w:pPr>
              <w:pStyle w:val="TableText"/>
            </w:pPr>
            <w:r w:rsidRPr="00261B7A">
              <w:t>±2</w:t>
            </w:r>
          </w:p>
        </w:tc>
      </w:tr>
      <w:tr w:rsidR="008A4F47" w:rsidRPr="00261B7A" w14:paraId="43A60299" w14:textId="77777777" w:rsidTr="00D41492">
        <w:tc>
          <w:tcPr>
            <w:tcW w:w="2694" w:type="dxa"/>
            <w:tcBorders>
              <w:top w:val="single" w:sz="4" w:space="0" w:color="1B556B"/>
              <w:left w:val="nil"/>
              <w:bottom w:val="single" w:sz="4" w:space="0" w:color="1B556B"/>
              <w:right w:val="nil"/>
            </w:tcBorders>
            <w:shd w:val="clear" w:color="auto" w:fill="FFFFFF"/>
          </w:tcPr>
          <w:p w14:paraId="49C39B94" w14:textId="77777777" w:rsidR="008A4F47" w:rsidRPr="00261B7A" w:rsidRDefault="008A4F47" w:rsidP="00D41492">
            <w:pPr>
              <w:pStyle w:val="TableText"/>
            </w:pPr>
            <w:r w:rsidRPr="00261B7A">
              <w:t>Other uses of limestone (CO</w:t>
            </w:r>
            <w:r w:rsidRPr="00261B7A">
              <w:rPr>
                <w:vertAlign w:val="subscript"/>
              </w:rPr>
              <w:t>2</w:t>
            </w:r>
            <w:r w:rsidRPr="00261B7A">
              <w:t>)</w:t>
            </w:r>
          </w:p>
        </w:tc>
        <w:tc>
          <w:tcPr>
            <w:tcW w:w="2835" w:type="dxa"/>
            <w:tcBorders>
              <w:top w:val="single" w:sz="4" w:space="0" w:color="1B556B"/>
              <w:left w:val="nil"/>
              <w:bottom w:val="single" w:sz="4" w:space="0" w:color="1B556B"/>
              <w:right w:val="nil"/>
            </w:tcBorders>
            <w:shd w:val="clear" w:color="auto" w:fill="FFFFFF"/>
          </w:tcPr>
          <w:p w14:paraId="70344991" w14:textId="77777777" w:rsidR="008A4F47" w:rsidRPr="00261B7A" w:rsidRDefault="008A4F47" w:rsidP="00D41492">
            <w:pPr>
              <w:pStyle w:val="TableText"/>
            </w:pPr>
            <w:r w:rsidRPr="00261B7A">
              <w:t>±3</w:t>
            </w:r>
          </w:p>
        </w:tc>
        <w:tc>
          <w:tcPr>
            <w:tcW w:w="3033" w:type="dxa"/>
            <w:tcBorders>
              <w:top w:val="single" w:sz="4" w:space="0" w:color="1B556B"/>
              <w:left w:val="nil"/>
              <w:bottom w:val="single" w:sz="4" w:space="0" w:color="1B556B"/>
              <w:right w:val="nil"/>
            </w:tcBorders>
            <w:shd w:val="clear" w:color="auto" w:fill="FFFFFF"/>
          </w:tcPr>
          <w:p w14:paraId="20F7207C" w14:textId="77777777" w:rsidR="008A4F47" w:rsidRPr="00261B7A" w:rsidRDefault="008A4F47" w:rsidP="00D41492">
            <w:pPr>
              <w:pStyle w:val="TableText"/>
            </w:pPr>
            <w:r w:rsidRPr="00261B7A">
              <w:t>±2</w:t>
            </w:r>
          </w:p>
        </w:tc>
      </w:tr>
    </w:tbl>
    <w:p w14:paraId="52BE8158" w14:textId="77777777" w:rsidR="008A4F47" w:rsidRPr="00261B7A" w:rsidRDefault="008A4F47" w:rsidP="008A4F47">
      <w:pPr>
        <w:pStyle w:val="Heading4"/>
        <w:spacing w:before="360"/>
        <w:rPr>
          <w:bCs/>
          <w:iCs/>
        </w:rPr>
      </w:pPr>
      <w:r w:rsidRPr="00261B7A">
        <w:t>Time-series consistency</w:t>
      </w:r>
    </w:p>
    <w:p w14:paraId="7174FE08" w14:textId="77777777" w:rsidR="008A4F47" w:rsidRPr="00261B7A" w:rsidRDefault="008A4F47" w:rsidP="008A4F47">
      <w:pPr>
        <w:pStyle w:val="BodyText"/>
      </w:pPr>
      <w:r w:rsidRPr="00261B7A">
        <w:t xml:space="preserve">In previous inventory submissions, the reported activity data for lime production have not been fully consistent through the time series because of the change to using NZ ETS data and the use of different calculation methods for these emissions. A consistent approach, based on the methods that companies are required to use for NZ ETS reporting, is now applied for the entire time series. </w:t>
      </w:r>
    </w:p>
    <w:p w14:paraId="30427CC8" w14:textId="77777777" w:rsidR="008A4F47" w:rsidRPr="00261B7A" w:rsidRDefault="008A4F47" w:rsidP="0034058F">
      <w:pPr>
        <w:pStyle w:val="Heading3"/>
      </w:pPr>
      <w:r w:rsidRPr="00261B7A">
        <w:t>4.2.4</w:t>
      </w:r>
      <w:r w:rsidRPr="00261B7A">
        <w:tab/>
        <w:t>Source-specific QA/QC and verification</w:t>
      </w:r>
    </w:p>
    <w:p w14:paraId="01B9D283" w14:textId="77777777" w:rsidR="008A4F47" w:rsidRPr="00261B7A" w:rsidRDefault="008A4F47" w:rsidP="008A4F47">
      <w:pPr>
        <w:pStyle w:val="BodyText"/>
      </w:pPr>
      <w:r w:rsidRPr="00261B7A">
        <w:t>For this submission, data for all CO</w:t>
      </w:r>
      <w:r w:rsidRPr="00261B7A">
        <w:rPr>
          <w:vertAlign w:val="subscript"/>
        </w:rPr>
        <w:t>2</w:t>
      </w:r>
      <w:r w:rsidRPr="00261B7A">
        <w:t xml:space="preserve"> emissions in the </w:t>
      </w:r>
      <w:r w:rsidRPr="00261B7A">
        <w:rPr>
          <w:i/>
        </w:rPr>
        <w:t>Mineral industry</w:t>
      </w:r>
      <w:r w:rsidRPr="00261B7A">
        <w:t xml:space="preserve"> category underwent Tier 1 quality checks in the preparation of this inventory. The only key category is CO</w:t>
      </w:r>
      <w:r w:rsidRPr="00261B7A">
        <w:rPr>
          <w:vertAlign w:val="subscript"/>
        </w:rPr>
        <w:t>2</w:t>
      </w:r>
      <w:r w:rsidRPr="00261B7A">
        <w:t xml:space="preserve"> emissions from </w:t>
      </w:r>
      <w:r w:rsidRPr="00261B7A">
        <w:rPr>
          <w:i/>
        </w:rPr>
        <w:t>Cement production</w:t>
      </w:r>
      <w:r w:rsidRPr="00261B7A">
        <w:rPr>
          <w:iCs/>
        </w:rPr>
        <w:t xml:space="preserve"> (level and trend assessment)</w:t>
      </w:r>
      <w:r w:rsidRPr="00261B7A">
        <w:t xml:space="preserve">. </w:t>
      </w:r>
    </w:p>
    <w:p w14:paraId="50CD9480" w14:textId="77777777" w:rsidR="008A4F47" w:rsidRPr="00261B7A" w:rsidRDefault="008A4F47" w:rsidP="008A4F47">
      <w:pPr>
        <w:pStyle w:val="BodyText"/>
      </w:pPr>
      <w:r w:rsidRPr="00261B7A">
        <w:t xml:space="preserve">Verification of activity data from independent sources is not currently possible. The EPA carries out verification of NZ ETS participants’ submitted data on a rotating basis and, as these verifications occur, the inventory agency (the Ministry for the Environment) will make use of the resulting information to verify the emissions data where possible. </w:t>
      </w:r>
    </w:p>
    <w:p w14:paraId="79C6D315" w14:textId="77777777" w:rsidR="008A4F47" w:rsidRPr="00261B7A" w:rsidRDefault="008A4F47" w:rsidP="0034058F">
      <w:pPr>
        <w:pStyle w:val="Heading3"/>
      </w:pPr>
      <w:r w:rsidRPr="00261B7A">
        <w:t>4.2.5</w:t>
      </w:r>
      <w:r w:rsidRPr="00261B7A">
        <w:tab/>
        <w:t>Source-specific recalculations</w:t>
      </w:r>
    </w:p>
    <w:p w14:paraId="5B9CC2A4" w14:textId="77777777" w:rsidR="008A4F47" w:rsidRPr="00261B7A" w:rsidRDefault="008A4F47" w:rsidP="008A4F47">
      <w:pPr>
        <w:pStyle w:val="BodyText"/>
      </w:pPr>
      <w:r w:rsidRPr="00261B7A">
        <w:t xml:space="preserve">For lime production, the activity data reported were revised in the previous submission, following a recommendation by the ERT to make the time series more consistent between NZ ETS data and the earlier reporting approach. The pure chemical content of the lime produced (CaO and MgO, net of impurities, which are typically 2 per cent to 3 per cent) is now reported for the entire time series. </w:t>
      </w:r>
    </w:p>
    <w:p w14:paraId="27E3EAB7" w14:textId="77777777" w:rsidR="008A4F47" w:rsidRPr="00261B7A" w:rsidRDefault="008A4F47" w:rsidP="008A4F47">
      <w:pPr>
        <w:pStyle w:val="BodyText"/>
      </w:pPr>
      <w:r w:rsidRPr="00261B7A">
        <w:t xml:space="preserve">There are no recalculations for the 2023 submission. </w:t>
      </w:r>
    </w:p>
    <w:p w14:paraId="6DB03FDA" w14:textId="77777777" w:rsidR="008A4F47" w:rsidRPr="00261B7A" w:rsidRDefault="008A4F47" w:rsidP="0034058F">
      <w:pPr>
        <w:pStyle w:val="Heading3"/>
      </w:pPr>
      <w:r w:rsidRPr="00261B7A">
        <w:t>4.2.6</w:t>
      </w:r>
      <w:r w:rsidRPr="00261B7A">
        <w:tab/>
        <w:t>Source-specific planned improvements</w:t>
      </w:r>
    </w:p>
    <w:p w14:paraId="1D8E7214" w14:textId="77777777" w:rsidR="008A4F47" w:rsidRPr="00261B7A" w:rsidRDefault="008A4F47" w:rsidP="008A4F47">
      <w:pPr>
        <w:pStyle w:val="BodyText"/>
      </w:pPr>
      <w:r w:rsidRPr="00261B7A">
        <w:t xml:space="preserve">The inventory agency has worked with the companies in the </w:t>
      </w:r>
      <w:r w:rsidRPr="00261B7A">
        <w:rPr>
          <w:i/>
        </w:rPr>
        <w:t>Mineral industry</w:t>
      </w:r>
      <w:r w:rsidRPr="00261B7A">
        <w:t xml:space="preserve"> category to improve transparency and confidence in the data provided. Concerns about the confidentiality of data provided by the cement and glass companies remain a barrier to improving transparency further. </w:t>
      </w:r>
    </w:p>
    <w:p w14:paraId="7CBB21AF" w14:textId="77777777" w:rsidR="008A4F47" w:rsidRPr="00261B7A" w:rsidRDefault="008A4F47" w:rsidP="00A638DC">
      <w:pPr>
        <w:pStyle w:val="Heading2"/>
      </w:pPr>
      <w:bookmarkStart w:id="486" w:name="_Toc448321514"/>
      <w:bookmarkStart w:id="487" w:name="_Toc5269353"/>
      <w:bookmarkStart w:id="488" w:name="_Toc36224393"/>
      <w:bookmarkStart w:id="489" w:name="_Toc68786313"/>
      <w:bookmarkStart w:id="490" w:name="_Toc131591228"/>
      <w:r w:rsidRPr="00261B7A">
        <w:t>4.3</w:t>
      </w:r>
      <w:r w:rsidRPr="00261B7A">
        <w:tab/>
        <w:t>Chemical industry (2.B)</w:t>
      </w:r>
      <w:bookmarkEnd w:id="486"/>
      <w:bookmarkEnd w:id="487"/>
      <w:bookmarkEnd w:id="488"/>
      <w:bookmarkEnd w:id="489"/>
      <w:bookmarkEnd w:id="490"/>
    </w:p>
    <w:p w14:paraId="32082E29" w14:textId="77777777" w:rsidR="008A4F47" w:rsidRPr="00261B7A" w:rsidRDefault="008A4F47" w:rsidP="00F32590">
      <w:pPr>
        <w:pStyle w:val="Heading3"/>
        <w:spacing w:before="160"/>
      </w:pPr>
      <w:r w:rsidRPr="00261B7A">
        <w:t>4.3.1</w:t>
      </w:r>
      <w:r w:rsidRPr="00261B7A">
        <w:tab/>
        <w:t>Description</w:t>
      </w:r>
    </w:p>
    <w:p w14:paraId="7EDFB0D5" w14:textId="77777777" w:rsidR="008A4F47" w:rsidRPr="00261B7A" w:rsidRDefault="008A4F47" w:rsidP="008A4F47">
      <w:pPr>
        <w:pStyle w:val="BodyText"/>
        <w:spacing w:before="100" w:after="100"/>
      </w:pPr>
      <w:r w:rsidRPr="00261B7A">
        <w:t>The significant chemical processes occurring in New Zealand are the production of urea, methanol, superphosphate fertiliser, hydrogen peroxide, formaldehyde and ethanol. In addition, a substantial amount of hydrogen was made at the Marsden Point oil refinery until the refinery closed in March 2022. C</w:t>
      </w:r>
      <w:r w:rsidRPr="00261B7A">
        <w:rPr>
          <w:rFonts w:eastAsia="Calibri" w:cs="Calibri"/>
        </w:rPr>
        <w:t>arbon dioxide</w:t>
      </w:r>
      <w:r w:rsidRPr="00261B7A">
        <w:t xml:space="preserve"> emissions from this process are reported in the </w:t>
      </w:r>
      <w:r w:rsidRPr="00261B7A">
        <w:rPr>
          <w:i/>
        </w:rPr>
        <w:t>Chemical industry</w:t>
      </w:r>
      <w:r w:rsidRPr="00261B7A">
        <w:t xml:space="preserve"> category. No other relevant chemical products (such as nitric acid, adipic acid or ethylene) are produced in New Zealand. </w:t>
      </w:r>
    </w:p>
    <w:p w14:paraId="668FE8B1" w14:textId="77777777" w:rsidR="008A4F47" w:rsidRPr="00261B7A" w:rsidRDefault="008A4F47" w:rsidP="008A4F47">
      <w:pPr>
        <w:pStyle w:val="BodyText"/>
        <w:spacing w:before="100" w:after="100"/>
      </w:pPr>
      <w:r w:rsidRPr="00261B7A">
        <w:t>Ammonia is made at one site in Taranaki by the catalytic steam reforming of natural gas. The ammonia produced is further processed into urea. The emissions of CO</w:t>
      </w:r>
      <w:r w:rsidRPr="00261B7A">
        <w:rPr>
          <w:vertAlign w:val="subscript"/>
        </w:rPr>
        <w:t>2</w:t>
      </w:r>
      <w:r w:rsidRPr="00261B7A">
        <w:t xml:space="preserve"> reported in this category arise from the fraction of chemical feedstock CO</w:t>
      </w:r>
      <w:r w:rsidRPr="00261B7A">
        <w:rPr>
          <w:vertAlign w:val="subscript"/>
        </w:rPr>
        <w:t>2</w:t>
      </w:r>
      <w:r w:rsidRPr="00261B7A">
        <w:t xml:space="preserve"> that is not recovered for urea production. Emissions from combustion at this site are reported separately in the Energy sector (CRF 1.A.2.c). Nearly all of the urea product is used as a fertiliser in New Zealand. The emissions associated with agricultural use of urea (both manufactured in New Zealand and imported) are reported under the Agriculture sector </w:t>
      </w:r>
      <w:r w:rsidRPr="00261B7A">
        <w:rPr>
          <w:spacing w:val="-2"/>
        </w:rPr>
        <w:t>(CRF 3.H). A small amount of urea is also used for catalytic reduction of diesel exhaust emissions.</w:t>
      </w:r>
      <w:r w:rsidRPr="00261B7A">
        <w:t xml:space="preserve"> The emissions of CO</w:t>
      </w:r>
      <w:r w:rsidRPr="00261B7A">
        <w:rPr>
          <w:vertAlign w:val="subscript"/>
        </w:rPr>
        <w:t>2</w:t>
      </w:r>
      <w:r w:rsidRPr="00261B7A">
        <w:t xml:space="preserve"> from this use of urea are reported in the </w:t>
      </w:r>
      <w:r w:rsidRPr="00261B7A">
        <w:rPr>
          <w:i/>
        </w:rPr>
        <w:t xml:space="preserve">Non-energy products from fuels and solvent use </w:t>
      </w:r>
      <w:r w:rsidRPr="00261B7A">
        <w:t xml:space="preserve">category (CRF 2.D.3). </w:t>
      </w:r>
    </w:p>
    <w:p w14:paraId="39DEBE52" w14:textId="77777777" w:rsidR="008A4F47" w:rsidRPr="00261B7A" w:rsidRDefault="008A4F47" w:rsidP="008A4F47">
      <w:pPr>
        <w:pStyle w:val="BodyText"/>
        <w:spacing w:before="100" w:after="100"/>
      </w:pPr>
      <w:r w:rsidRPr="00261B7A">
        <w:t xml:space="preserve">Methane emissions are reported from the production of methanol, which is made from natural gas feedstock at two sites in Taranaki. From 1990 to 1997, a large proportion of the methanol made in New Zealand was processed into synthetic gasoline for transport use. All emissions associated with the production of gasoline, including the synthetic gasoline produced from 1990 to 1997, are reported under the Energy sector (CRF 1.A.1). From 1998 on, all methanol made in New Zealand has been chemical methanol for export, and therefore all process emissions from the methanol plants have been reported under the IPPU sector. </w:t>
      </w:r>
    </w:p>
    <w:p w14:paraId="31381879" w14:textId="77777777" w:rsidR="008A4F47" w:rsidRPr="00261B7A" w:rsidRDefault="008A4F47" w:rsidP="008A4F47">
      <w:pPr>
        <w:pStyle w:val="BodyText"/>
        <w:spacing w:before="100" w:after="100"/>
      </w:pPr>
      <w:r w:rsidRPr="00261B7A">
        <w:t>A small amount of CO</w:t>
      </w:r>
      <w:r w:rsidRPr="00261B7A">
        <w:rPr>
          <w:vertAlign w:val="subscript"/>
        </w:rPr>
        <w:t>2</w:t>
      </w:r>
      <w:r w:rsidRPr="00261B7A">
        <w:t xml:space="preserve"> is reported from the use of imported calcium carbide, which is used to produce acetylene for welding. No carbides are manufactured in New Zealand. </w:t>
      </w:r>
    </w:p>
    <w:p w14:paraId="500F94C6" w14:textId="77777777" w:rsidR="008A4F47" w:rsidRPr="00261B7A" w:rsidRDefault="008A4F47" w:rsidP="008A4F47">
      <w:pPr>
        <w:pStyle w:val="BodyText"/>
        <w:spacing w:before="100" w:after="100"/>
      </w:pPr>
      <w:r w:rsidRPr="00261B7A">
        <w:t>Some indirect emissions (oxides of nitrogen (NO</w:t>
      </w:r>
      <w:r w:rsidRPr="00261B7A">
        <w:rPr>
          <w:vertAlign w:val="subscript"/>
        </w:rPr>
        <w:t>x</w:t>
      </w:r>
      <w:r w:rsidRPr="00261B7A">
        <w:t>), carbon monoxide (CO), non-methane volatile organic compounds (NMVOCs) and SO</w:t>
      </w:r>
      <w:r w:rsidRPr="00261B7A">
        <w:rPr>
          <w:vertAlign w:val="subscript"/>
        </w:rPr>
        <w:t>2</w:t>
      </w:r>
      <w:r w:rsidRPr="00261B7A">
        <w:t xml:space="preserve">) are reported from methanol, formaldehyde, ethanol and superphosphate fertiliser production. </w:t>
      </w:r>
    </w:p>
    <w:p w14:paraId="00CB6054" w14:textId="77777777" w:rsidR="008A4F47" w:rsidRPr="00261B7A" w:rsidRDefault="008A4F47" w:rsidP="008A4F47">
      <w:pPr>
        <w:pStyle w:val="BodyText"/>
        <w:spacing w:before="100" w:after="100"/>
      </w:pPr>
      <w:r w:rsidRPr="00261B7A">
        <w:t xml:space="preserve">Emissions from the </w:t>
      </w:r>
      <w:r w:rsidRPr="00261B7A">
        <w:rPr>
          <w:i/>
        </w:rPr>
        <w:t>Chemical industry</w:t>
      </w:r>
      <w:r w:rsidRPr="00261B7A">
        <w:t xml:space="preserve"> category in 2021 were 139.1 kt CO</w:t>
      </w:r>
      <w:r w:rsidRPr="00261B7A">
        <w:rPr>
          <w:vertAlign w:val="subscript"/>
        </w:rPr>
        <w:t>2</w:t>
      </w:r>
      <w:r w:rsidRPr="00261B7A">
        <w:t>-e (3.0 per cent) of emissions from the IPPU sector. This is 63.9 kt CO</w:t>
      </w:r>
      <w:r w:rsidRPr="00261B7A">
        <w:rPr>
          <w:vertAlign w:val="subscript"/>
        </w:rPr>
        <w:t>2</w:t>
      </w:r>
      <w:r w:rsidRPr="00261B7A">
        <w:t>-e (31.5 per cent) below the 1990 level. The</w:t>
      </w:r>
      <w:r w:rsidRPr="00261B7A" w:rsidDel="00A3051A">
        <w:t xml:space="preserve"> </w:t>
      </w:r>
      <w:r w:rsidRPr="00261B7A">
        <w:t>reduction has occurred from 2020 and has been driven by a</w:t>
      </w:r>
      <w:r w:rsidRPr="00261B7A" w:rsidDel="002A08A0">
        <w:t xml:space="preserve"> </w:t>
      </w:r>
      <w:r w:rsidRPr="00261B7A">
        <w:t xml:space="preserve">decrease in emissions from the Marsden Point oil refinery due to COVID-19 restrictions. Subsequently, the refinery company decided to close the site and outputs remained low as they prepared for its closure. </w:t>
      </w:r>
    </w:p>
    <w:p w14:paraId="153B1550" w14:textId="77777777" w:rsidR="008A4F47" w:rsidRPr="00261B7A" w:rsidRDefault="008A4F47" w:rsidP="008A4F47">
      <w:pPr>
        <w:pStyle w:val="BodyText"/>
        <w:spacing w:before="100" w:after="100"/>
      </w:pPr>
      <w:r w:rsidRPr="00261B7A">
        <w:t>The only key category is CO</w:t>
      </w:r>
      <w:r w:rsidRPr="00261B7A">
        <w:rPr>
          <w:vertAlign w:val="subscript"/>
        </w:rPr>
        <w:t>2</w:t>
      </w:r>
      <w:r w:rsidRPr="00261B7A">
        <w:t xml:space="preserve"> emissions from the </w:t>
      </w:r>
      <w:r w:rsidRPr="00261B7A">
        <w:rPr>
          <w:i/>
        </w:rPr>
        <w:t xml:space="preserve">Other </w:t>
      </w:r>
      <w:r w:rsidRPr="00261B7A">
        <w:t xml:space="preserve">category (trend assessment). </w:t>
      </w:r>
    </w:p>
    <w:p w14:paraId="16AD6AA5" w14:textId="77777777" w:rsidR="008A4F47" w:rsidRPr="00261B7A" w:rsidRDefault="008A4F47" w:rsidP="00F32590">
      <w:pPr>
        <w:pStyle w:val="Heading3"/>
        <w:spacing w:before="240"/>
      </w:pPr>
      <w:r w:rsidRPr="00261B7A">
        <w:t xml:space="preserve">4.3.2 </w:t>
      </w:r>
      <w:r w:rsidRPr="00261B7A">
        <w:tab/>
        <w:t>Methodological issues</w:t>
      </w:r>
    </w:p>
    <w:p w14:paraId="15E0ECFC" w14:textId="77777777" w:rsidR="008A4F47" w:rsidRPr="00261B7A" w:rsidRDefault="008A4F47" w:rsidP="008A4F47">
      <w:pPr>
        <w:pStyle w:val="Heading4"/>
        <w:spacing w:before="180"/>
        <w:rPr>
          <w:bCs/>
          <w:iCs/>
        </w:rPr>
      </w:pPr>
      <w:r w:rsidRPr="00261B7A">
        <w:t>Choice of activity data</w:t>
      </w:r>
    </w:p>
    <w:p w14:paraId="70F041BE" w14:textId="77777777" w:rsidR="008A4F47" w:rsidRPr="00261B7A" w:rsidRDefault="008A4F47" w:rsidP="008A4F47">
      <w:pPr>
        <w:pStyle w:val="Heading5"/>
        <w:spacing w:before="160"/>
      </w:pPr>
      <w:r w:rsidRPr="00261B7A">
        <w:t>Ammonia and urea (2.B.1)</w:t>
      </w:r>
    </w:p>
    <w:p w14:paraId="4C171570" w14:textId="77777777" w:rsidR="008A4F47" w:rsidRPr="00261B7A" w:rsidRDefault="008A4F47" w:rsidP="008A4F47">
      <w:pPr>
        <w:pStyle w:val="BodyText"/>
        <w:spacing w:before="100" w:after="100"/>
      </w:pPr>
      <w:r w:rsidRPr="00261B7A">
        <w:t>Data on the production of urea are supplied to MBIE by Ballance Agri-Nutrients Limited, which operates the ammonia–urea production plant. The activity data reported are the production of ammonia, which is back-estimated from the amount of urea produced on the basis of a site</w:t>
      </w:r>
      <w:r w:rsidRPr="00261B7A">
        <w:noBreakHyphen/>
        <w:t xml:space="preserve">specific conversion factor that reflects the actual rate of conversion of ammonia to urea achieved in this plant. </w:t>
      </w:r>
    </w:p>
    <w:p w14:paraId="2C9E5237" w14:textId="77777777" w:rsidR="008A4F47" w:rsidRPr="00261B7A" w:rsidRDefault="008A4F47" w:rsidP="008A4F47">
      <w:pPr>
        <w:pStyle w:val="Heading5"/>
        <w:spacing w:before="200"/>
      </w:pPr>
      <w:r w:rsidRPr="00261B7A">
        <w:t>Calcium carbide (2.B.5.b)</w:t>
      </w:r>
    </w:p>
    <w:p w14:paraId="50C4CA5E" w14:textId="77777777" w:rsidR="008A4F47" w:rsidRPr="00261B7A" w:rsidRDefault="008A4F47" w:rsidP="008A4F47">
      <w:pPr>
        <w:pStyle w:val="BodyText"/>
      </w:pPr>
      <w:r w:rsidRPr="00261B7A">
        <w:t xml:space="preserve">A small amount of calcium carbide is imported to New Zealand and used to produce acetylene gas for welding. The approximate amount of calcium carbide imported is used as activity data. </w:t>
      </w:r>
    </w:p>
    <w:p w14:paraId="28944F71" w14:textId="77777777" w:rsidR="008A4F47" w:rsidRPr="00261B7A" w:rsidRDefault="008A4F47" w:rsidP="008A4F47">
      <w:pPr>
        <w:pStyle w:val="Heading5"/>
      </w:pPr>
      <w:r w:rsidRPr="00261B7A">
        <w:t>Methanol (2.B.8.a)</w:t>
      </w:r>
    </w:p>
    <w:p w14:paraId="5CB86CFA" w14:textId="77777777" w:rsidR="008A4F47" w:rsidRPr="00261B7A" w:rsidRDefault="008A4F47" w:rsidP="008A4F47">
      <w:pPr>
        <w:pStyle w:val="BodyText"/>
      </w:pPr>
      <w:r w:rsidRPr="00261B7A">
        <w:t xml:space="preserve">Data on methanol production (chemical methanol produced for export) are supplied to MBIE by Methanex, which operates the two methanol plants. </w:t>
      </w:r>
    </w:p>
    <w:p w14:paraId="2A39A53D" w14:textId="77777777" w:rsidR="008A4F47" w:rsidRPr="00261B7A" w:rsidRDefault="008A4F47" w:rsidP="008A4F47">
      <w:pPr>
        <w:pStyle w:val="Heading5"/>
      </w:pPr>
      <w:r w:rsidRPr="00261B7A">
        <w:t>Hydrogen (2.B.10)</w:t>
      </w:r>
    </w:p>
    <w:p w14:paraId="0084D6A7" w14:textId="77777777" w:rsidR="008A4F47" w:rsidRPr="00261B7A" w:rsidRDefault="008A4F47" w:rsidP="008A4F47">
      <w:pPr>
        <w:pStyle w:val="BodyText"/>
      </w:pPr>
      <w:r w:rsidRPr="00261B7A">
        <w:t>Most of the hydrogen produced in New Zealand is made by Refining New Zealand Ltd at the Marsden Point oil refinery. Another company, Evonik Limited, produces a small amount of hydrogen, which is converted to hydrogen peroxide. In both cases, the hydrogen is produced from CH</w:t>
      </w:r>
      <w:r w:rsidRPr="00261B7A">
        <w:rPr>
          <w:vertAlign w:val="subscript"/>
        </w:rPr>
        <w:t>4</w:t>
      </w:r>
      <w:r w:rsidRPr="00261B7A">
        <w:t xml:space="preserve"> (from refinery gas and natural gas) and steam. Carbon dioxide is a by-product of the reaction and is vented to the atmosphere. </w:t>
      </w:r>
    </w:p>
    <w:p w14:paraId="032B6EB5" w14:textId="77777777" w:rsidR="008A4F47" w:rsidRPr="00261B7A" w:rsidRDefault="008A4F47" w:rsidP="008A4F47">
      <w:pPr>
        <w:pStyle w:val="BodyText"/>
      </w:pPr>
      <w:r w:rsidRPr="00261B7A">
        <w:t xml:space="preserve">The activity data reported are the amounts of hydrogen produced, as reported to MBIE by the plant operators. </w:t>
      </w:r>
    </w:p>
    <w:p w14:paraId="3442C569" w14:textId="77777777" w:rsidR="008A4F47" w:rsidRPr="00261B7A" w:rsidRDefault="008A4F47" w:rsidP="008A4F47">
      <w:pPr>
        <w:pStyle w:val="Heading5"/>
      </w:pPr>
      <w:r w:rsidRPr="00261B7A">
        <w:t xml:space="preserve">Fertiliser, formaldehyde and ethanol (2.B.10) </w:t>
      </w:r>
    </w:p>
    <w:p w14:paraId="009C2034" w14:textId="77777777" w:rsidR="008A4F47" w:rsidRPr="00261B7A" w:rsidRDefault="008A4F47" w:rsidP="008A4F47">
      <w:pPr>
        <w:pStyle w:val="BodyText"/>
        <w:spacing w:before="100" w:after="100"/>
      </w:pPr>
      <w:r w:rsidRPr="00261B7A">
        <w:t>Some indirect emissions (SO</w:t>
      </w:r>
      <w:r w:rsidRPr="00261B7A">
        <w:rPr>
          <w:vertAlign w:val="subscript"/>
        </w:rPr>
        <w:t>2</w:t>
      </w:r>
      <w:r w:rsidRPr="00261B7A">
        <w:t xml:space="preserve"> and NMVOCs) are also reported from the production of ethanol for purposes other than food and drink, superphosphate fertiliser and formaldehyde. </w:t>
      </w:r>
    </w:p>
    <w:p w14:paraId="008C27ED" w14:textId="77777777" w:rsidR="008A4F47" w:rsidRPr="00261B7A" w:rsidRDefault="008A4F47" w:rsidP="008A4F47">
      <w:pPr>
        <w:pStyle w:val="Heading4"/>
        <w:rPr>
          <w:bCs/>
          <w:iCs/>
        </w:rPr>
      </w:pPr>
      <w:r w:rsidRPr="00261B7A">
        <w:t>Choice of methods</w:t>
      </w:r>
    </w:p>
    <w:p w14:paraId="1BE44D56" w14:textId="77777777" w:rsidR="008A4F47" w:rsidRPr="00261B7A" w:rsidRDefault="008A4F47" w:rsidP="008A4F47">
      <w:pPr>
        <w:pStyle w:val="Heading5"/>
        <w:spacing w:before="120"/>
      </w:pPr>
      <w:r w:rsidRPr="00261B7A">
        <w:t>Ammonia and urea (2.B.1)</w:t>
      </w:r>
    </w:p>
    <w:p w14:paraId="2077933D" w14:textId="77777777" w:rsidR="008A4F47" w:rsidRPr="00261B7A" w:rsidRDefault="008A4F47" w:rsidP="008A4F47">
      <w:pPr>
        <w:pStyle w:val="BodyText"/>
        <w:spacing w:before="100" w:after="100"/>
      </w:pPr>
      <w:r w:rsidRPr="00261B7A">
        <w:t>The CO</w:t>
      </w:r>
      <w:r w:rsidRPr="00261B7A">
        <w:rPr>
          <w:vertAlign w:val="subscript"/>
        </w:rPr>
        <w:t>2</w:t>
      </w:r>
      <w:r w:rsidRPr="00261B7A">
        <w:t xml:space="preserve"> emissions are estimated from a Tier 2 carbon balance, based on the feedstock gas used. The emissions are derived from all carbon in the feedstock gas used, less carbon recovered for urea production and remaining in the urea product (IPCC, 2006a). Note that only gas used as feedstock is included in this calculation. There are also significant CO</w:t>
      </w:r>
      <w:r w:rsidRPr="00261B7A">
        <w:rPr>
          <w:vertAlign w:val="subscript"/>
        </w:rPr>
        <w:t>2</w:t>
      </w:r>
      <w:r w:rsidRPr="00261B7A">
        <w:t xml:space="preserve"> emissions from gas used for combustion, which are reported under the Energy sector in the </w:t>
      </w:r>
      <w:r w:rsidRPr="00261B7A">
        <w:rPr>
          <w:i/>
        </w:rPr>
        <w:t>Manufacturing industries and construction</w:t>
      </w:r>
      <w:r w:rsidRPr="00261B7A">
        <w:t xml:space="preserve"> category (CRF 1.A.2.c) and aggregated with other data. This method has been used to allow data on the total gas used at the plant to remain confidential. </w:t>
      </w:r>
    </w:p>
    <w:p w14:paraId="26585A70" w14:textId="77777777" w:rsidR="008A4F47" w:rsidRPr="00261B7A" w:rsidRDefault="008A4F47" w:rsidP="008A4F47">
      <w:pPr>
        <w:pStyle w:val="Heading5"/>
      </w:pPr>
      <w:r w:rsidRPr="00261B7A">
        <w:t>Calcium carbide (2.B.5.b)</w:t>
      </w:r>
    </w:p>
    <w:p w14:paraId="269234E9" w14:textId="77777777" w:rsidR="008A4F47" w:rsidRPr="00261B7A" w:rsidRDefault="008A4F47" w:rsidP="008A4F47">
      <w:pPr>
        <w:pStyle w:val="BodyText"/>
      </w:pPr>
      <w:r w:rsidRPr="00261B7A">
        <w:t xml:space="preserve">The Tier 1 method is used. </w:t>
      </w:r>
    </w:p>
    <w:p w14:paraId="5204874A" w14:textId="77777777" w:rsidR="008A4F47" w:rsidRPr="00261B7A" w:rsidRDefault="008A4F47" w:rsidP="008A4F47">
      <w:pPr>
        <w:pStyle w:val="Heading5"/>
      </w:pPr>
      <w:r w:rsidRPr="00261B7A">
        <w:t>Methanol (2.B.8 and 2.B.8.a)</w:t>
      </w:r>
    </w:p>
    <w:p w14:paraId="12C70803" w14:textId="77777777" w:rsidR="008A4F47" w:rsidRPr="00261B7A" w:rsidRDefault="008A4F47" w:rsidP="008A4F47">
      <w:pPr>
        <w:pStyle w:val="BodyText"/>
        <w:spacing w:before="100" w:after="100"/>
      </w:pPr>
      <w:r w:rsidRPr="00261B7A">
        <w:t>Data on the natural gas used for methanol production are also supplied to MBIE by the plant operators. However, the available data on gas supplied to the methanol plants do not allow for any separate feedstock to be clearly distinguished from gas used for combustion. Also, close to 100 per cent of the carbon in feedstock gas is converted to methanol. Therefore, no significant CO</w:t>
      </w:r>
      <w:r w:rsidRPr="00261B7A">
        <w:rPr>
          <w:vertAlign w:val="subscript"/>
        </w:rPr>
        <w:t>2</w:t>
      </w:r>
      <w:r w:rsidRPr="00261B7A">
        <w:t xml:space="preserve"> emissions can be clearly related to the process. The 2006 IPCC Guidelines do not provide a method for estimation of any CO</w:t>
      </w:r>
      <w:r w:rsidRPr="00261B7A">
        <w:rPr>
          <w:vertAlign w:val="subscript"/>
        </w:rPr>
        <w:t>2</w:t>
      </w:r>
      <w:r w:rsidRPr="00261B7A">
        <w:t xml:space="preserve"> emissions from this process (IPCC, 2006a). Any small amounts of chemical process CO</w:t>
      </w:r>
      <w:r w:rsidRPr="00261B7A">
        <w:rPr>
          <w:vertAlign w:val="subscript"/>
        </w:rPr>
        <w:t>2</w:t>
      </w:r>
      <w:r w:rsidRPr="00261B7A">
        <w:t xml:space="preserve"> emissions from the methanol production process are included under the Energy sector (1.A.2), along with the much larger amount of combustion-related emissions from the methanol plants. </w:t>
      </w:r>
    </w:p>
    <w:p w14:paraId="788B24AB" w14:textId="77777777" w:rsidR="008A4F47" w:rsidRPr="00261B7A" w:rsidRDefault="008A4F47" w:rsidP="008A4F47">
      <w:pPr>
        <w:pStyle w:val="BodyText"/>
      </w:pPr>
      <w:r w:rsidRPr="00261B7A">
        <w:t>Fugitive CH</w:t>
      </w:r>
      <w:r w:rsidRPr="00261B7A">
        <w:rPr>
          <w:vertAlign w:val="subscript"/>
        </w:rPr>
        <w:t>4</w:t>
      </w:r>
      <w:r w:rsidRPr="00261B7A">
        <w:t xml:space="preserve"> from the methanol manufacturing process is estimated using the Tier 1 method. Emissions of NO</w:t>
      </w:r>
      <w:r w:rsidRPr="00261B7A">
        <w:rPr>
          <w:vertAlign w:val="subscript"/>
        </w:rPr>
        <w:t>x</w:t>
      </w:r>
      <w:r w:rsidRPr="00261B7A">
        <w:t xml:space="preserve">, CO and NMVOC are also reported. </w:t>
      </w:r>
    </w:p>
    <w:p w14:paraId="0D0A9C33" w14:textId="77777777" w:rsidR="008A4F47" w:rsidRPr="00261B7A" w:rsidRDefault="008A4F47" w:rsidP="008A4F47">
      <w:pPr>
        <w:pStyle w:val="Heading5"/>
      </w:pPr>
      <w:r w:rsidRPr="00261B7A">
        <w:t>Hydrogen (2.B.10)</w:t>
      </w:r>
    </w:p>
    <w:p w14:paraId="6B170F8A" w14:textId="77777777" w:rsidR="008A4F47" w:rsidRPr="00261B7A" w:rsidRDefault="008A4F47" w:rsidP="008A4F47">
      <w:pPr>
        <w:pStyle w:val="BodyText"/>
      </w:pPr>
      <w:r w:rsidRPr="00261B7A">
        <w:t>Emissions of CO</w:t>
      </w:r>
      <w:r w:rsidRPr="00261B7A">
        <w:rPr>
          <w:vertAlign w:val="subscript"/>
        </w:rPr>
        <w:t>2</w:t>
      </w:r>
      <w:r w:rsidRPr="00261B7A">
        <w:t xml:space="preserve"> from hydrogen production are calculated using the Tier 2 methodology, based on feedstock composition (IPCC, 2006a). The required data are supplied directly to MBIE by the two production companies. </w:t>
      </w:r>
    </w:p>
    <w:p w14:paraId="6EBC181E" w14:textId="77777777" w:rsidR="008A4F47" w:rsidRPr="00261B7A" w:rsidRDefault="008A4F47" w:rsidP="008A4F47">
      <w:pPr>
        <w:pStyle w:val="Heading4"/>
      </w:pPr>
      <w:r w:rsidRPr="00261B7A">
        <w:t>Choice of emission factors</w:t>
      </w:r>
    </w:p>
    <w:p w14:paraId="40F621D2" w14:textId="77777777" w:rsidR="008A4F47" w:rsidRPr="00261B7A" w:rsidRDefault="008A4F47" w:rsidP="008A4F47">
      <w:pPr>
        <w:pStyle w:val="Heading5"/>
        <w:spacing w:before="120"/>
      </w:pPr>
      <w:r w:rsidRPr="00261B7A">
        <w:t>Carbon dioxide and methane</w:t>
      </w:r>
    </w:p>
    <w:p w14:paraId="3D7C56EC" w14:textId="77777777" w:rsidR="008A4F47" w:rsidRPr="00261B7A" w:rsidRDefault="008A4F47" w:rsidP="008A4F47">
      <w:pPr>
        <w:pStyle w:val="BodyText"/>
      </w:pPr>
      <w:r w:rsidRPr="00261B7A">
        <w:t>For ammonia production, the carbon content of each type of natural gas (up to three types taken from different natural gas fields, and mixed pipeline gas) used as feedstock determines country-specific CO</w:t>
      </w:r>
      <w:r w:rsidRPr="00261B7A">
        <w:rPr>
          <w:vertAlign w:val="subscript"/>
        </w:rPr>
        <w:t>2</w:t>
      </w:r>
      <w:r w:rsidRPr="00261B7A">
        <w:t xml:space="preserve"> emission factors. </w:t>
      </w:r>
    </w:p>
    <w:p w14:paraId="661F6935" w14:textId="77777777" w:rsidR="008A4F47" w:rsidRPr="00261B7A" w:rsidRDefault="008A4F47" w:rsidP="008A4F47">
      <w:pPr>
        <w:pStyle w:val="BodyText"/>
        <w:rPr>
          <w:spacing w:val="-2"/>
        </w:rPr>
      </w:pPr>
      <w:r w:rsidRPr="00261B7A">
        <w:rPr>
          <w:spacing w:val="-2"/>
        </w:rPr>
        <w:t>In some years, these emission factors are higher than Tier 1 default emission factors, due to the use of untreated high-CO</w:t>
      </w:r>
      <w:r w:rsidRPr="00261B7A">
        <w:rPr>
          <w:spacing w:val="-2"/>
          <w:vertAlign w:val="subscript"/>
        </w:rPr>
        <w:t>2</w:t>
      </w:r>
      <w:r w:rsidRPr="00261B7A">
        <w:rPr>
          <w:spacing w:val="-2"/>
        </w:rPr>
        <w:t xml:space="preserve"> gas from the Kapuni field as part of the feedstock at this plant. This gas has a carbon content factor (CCF</w:t>
      </w:r>
      <w:r w:rsidRPr="00261B7A">
        <w:rPr>
          <w:spacing w:val="-2"/>
          <w:vertAlign w:val="subscript"/>
        </w:rPr>
        <w:t>i</w:t>
      </w:r>
      <w:r w:rsidRPr="00261B7A">
        <w:rPr>
          <w:spacing w:val="-2"/>
        </w:rPr>
        <w:t xml:space="preserve">) of approximately 22.5 kilograms per gigajoule in comparison with the default of 15.3 kilograms per gigajoule. Kapuni gas has not been used since 2014. </w:t>
      </w:r>
    </w:p>
    <w:p w14:paraId="5E140F69" w14:textId="77777777" w:rsidR="008A4F47" w:rsidRPr="00261B7A" w:rsidRDefault="008A4F47" w:rsidP="008A4F47">
      <w:pPr>
        <w:pStyle w:val="BodyText"/>
        <w:rPr>
          <w:spacing w:val="-2"/>
        </w:rPr>
      </w:pPr>
      <w:r w:rsidRPr="00261B7A">
        <w:rPr>
          <w:spacing w:val="-2"/>
        </w:rPr>
        <w:t>For hydrogen production, site-specific (for refinery gas) and field-specific (for natural gas) emission factors are used to determine the CO</w:t>
      </w:r>
      <w:r w:rsidRPr="00261B7A">
        <w:rPr>
          <w:spacing w:val="-2"/>
          <w:vertAlign w:val="subscript"/>
        </w:rPr>
        <w:t>2</w:t>
      </w:r>
      <w:r w:rsidRPr="00261B7A">
        <w:rPr>
          <w:spacing w:val="-2"/>
        </w:rPr>
        <w:t xml:space="preserve"> emissions from the feedstock gas streams used. </w:t>
      </w:r>
    </w:p>
    <w:p w14:paraId="42A02455" w14:textId="77777777" w:rsidR="008A4F47" w:rsidRPr="00261B7A" w:rsidRDefault="008A4F47" w:rsidP="008A4F47">
      <w:pPr>
        <w:pStyle w:val="BodyText"/>
      </w:pPr>
      <w:r w:rsidRPr="00261B7A">
        <w:t>IPCC default emission factors are used to estimate emissions of CH</w:t>
      </w:r>
      <w:r w:rsidRPr="00261B7A">
        <w:rPr>
          <w:vertAlign w:val="subscript"/>
        </w:rPr>
        <w:t>4</w:t>
      </w:r>
      <w:r w:rsidRPr="00261B7A">
        <w:t xml:space="preserve"> from methanol manufacture and CO</w:t>
      </w:r>
      <w:r w:rsidRPr="00261B7A">
        <w:rPr>
          <w:vertAlign w:val="subscript"/>
        </w:rPr>
        <w:t>2</w:t>
      </w:r>
      <w:r w:rsidRPr="00261B7A">
        <w:t xml:space="preserve"> from calcium carbide use (IPCC, 2006a). No other information on these emission sources is available. </w:t>
      </w:r>
    </w:p>
    <w:p w14:paraId="149EAE05" w14:textId="77777777" w:rsidR="008A4F47" w:rsidRPr="00261B7A" w:rsidRDefault="008A4F47" w:rsidP="008A4F47">
      <w:pPr>
        <w:pStyle w:val="Heading5"/>
      </w:pPr>
      <w:r w:rsidRPr="00261B7A">
        <w:t>Indirect emissions</w:t>
      </w:r>
    </w:p>
    <w:p w14:paraId="2686A0D4" w14:textId="77777777" w:rsidR="008A4F47" w:rsidRPr="00261B7A" w:rsidRDefault="008A4F47" w:rsidP="008A4F47">
      <w:pPr>
        <w:pStyle w:val="BodyText"/>
      </w:pPr>
      <w:r w:rsidRPr="00261B7A">
        <w:t>Indirect emissions of NO</w:t>
      </w:r>
      <w:r w:rsidRPr="00261B7A">
        <w:rPr>
          <w:vertAlign w:val="subscript"/>
        </w:rPr>
        <w:t>x</w:t>
      </w:r>
      <w:r w:rsidRPr="00261B7A">
        <w:t xml:space="preserve">, CO and NMVOC from methanol production are reported (2.B.8) with emission factors estimated by Methanex (CRL Energy, </w:t>
      </w:r>
      <w:r w:rsidRPr="00261B7A">
        <w:rPr>
          <w:rFonts w:eastAsia="+mn-ea"/>
        </w:rPr>
        <w:t>unpublished(a)</w:t>
      </w:r>
      <w:r w:rsidRPr="00261B7A">
        <w:t>). The emission factors for NO</w:t>
      </w:r>
      <w:r w:rsidRPr="00261B7A">
        <w:rPr>
          <w:vertAlign w:val="subscript"/>
        </w:rPr>
        <w:t>x</w:t>
      </w:r>
      <w:r w:rsidRPr="00261B7A">
        <w:t xml:space="preserve"> and CO were derived from site measurements, and the emission factor for NMVOC is based on American Petroleum Institute methods for estimating vapour emissions from storage tanks. </w:t>
      </w:r>
    </w:p>
    <w:p w14:paraId="15D4A289" w14:textId="77777777" w:rsidR="008A4F47" w:rsidRPr="00261B7A" w:rsidRDefault="008A4F47" w:rsidP="008A4F47">
      <w:pPr>
        <w:pStyle w:val="BodyText"/>
      </w:pPr>
      <w:r w:rsidRPr="00261B7A">
        <w:t xml:space="preserve">Some indirect greenhouse gas emissions are also reported for superphosphate fertiliser, formaldehyde and ethanol production (2.B.10). The emission factors used are country-specific (CRL Energy </w:t>
      </w:r>
      <w:r w:rsidRPr="00261B7A">
        <w:rPr>
          <w:rFonts w:eastAsia="+mn-ea"/>
        </w:rPr>
        <w:t>unpublished(a)</w:t>
      </w:r>
      <w:r w:rsidRPr="00261B7A">
        <w:t xml:space="preserve">) and are as shown in table 4.3.1. </w:t>
      </w:r>
    </w:p>
    <w:p w14:paraId="196C1A1E" w14:textId="77777777" w:rsidR="008A4F47" w:rsidRPr="00261B7A" w:rsidRDefault="008A4F47" w:rsidP="008A4F47">
      <w:pPr>
        <w:pStyle w:val="Table"/>
      </w:pPr>
      <w:bookmarkStart w:id="491" w:name="_Toc451176068"/>
      <w:bookmarkStart w:id="492" w:name="_Toc5269458"/>
      <w:bookmarkStart w:id="493" w:name="_Toc36224531"/>
      <w:bookmarkStart w:id="494" w:name="_Toc68786418"/>
      <w:bookmarkStart w:id="495" w:name="_Toc128042751"/>
      <w:bookmarkStart w:id="496" w:name="_Toc131591331"/>
      <w:r w:rsidRPr="00261B7A">
        <w:t>Table 4.3.1</w:t>
      </w:r>
      <w:r w:rsidRPr="00261B7A">
        <w:tab/>
        <w:t>Country-specific emission factors for indirect emissions</w:t>
      </w:r>
      <w:bookmarkEnd w:id="491"/>
      <w:bookmarkEnd w:id="492"/>
      <w:bookmarkEnd w:id="493"/>
      <w:bookmarkEnd w:id="494"/>
      <w:bookmarkEnd w:id="495"/>
      <w:bookmarkEnd w:id="496"/>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959"/>
        <w:gridCol w:w="2224"/>
        <w:gridCol w:w="3322"/>
      </w:tblGrid>
      <w:tr w:rsidR="008A4F47" w:rsidRPr="00261B7A" w14:paraId="3C54AF1E" w14:textId="77777777" w:rsidTr="00D41492">
        <w:tc>
          <w:tcPr>
            <w:tcW w:w="2977" w:type="dxa"/>
            <w:shd w:val="clear" w:color="auto" w:fill="1B556B"/>
            <w:hideMark/>
          </w:tcPr>
          <w:p w14:paraId="6332BB27" w14:textId="77777777" w:rsidR="008A4F47" w:rsidRPr="00261B7A" w:rsidRDefault="008A4F47" w:rsidP="00D41492">
            <w:pPr>
              <w:pStyle w:val="TableTextBold"/>
              <w:spacing w:before="50" w:after="50"/>
              <w:rPr>
                <w:noProof w:val="0"/>
                <w:color w:val="FFFFFF"/>
              </w:rPr>
            </w:pPr>
            <w:r w:rsidRPr="00261B7A">
              <w:rPr>
                <w:noProof w:val="0"/>
                <w:color w:val="FFFFFF"/>
              </w:rPr>
              <w:t>Activity</w:t>
            </w:r>
          </w:p>
        </w:tc>
        <w:tc>
          <w:tcPr>
            <w:tcW w:w="2239" w:type="dxa"/>
            <w:shd w:val="clear" w:color="auto" w:fill="1B556B"/>
            <w:hideMark/>
          </w:tcPr>
          <w:p w14:paraId="2C42A13C" w14:textId="77777777" w:rsidR="008A4F47" w:rsidRPr="00261B7A" w:rsidRDefault="008A4F47" w:rsidP="00D41492">
            <w:pPr>
              <w:pStyle w:val="TableTextBold"/>
              <w:spacing w:before="50" w:after="50"/>
              <w:rPr>
                <w:noProof w:val="0"/>
                <w:color w:val="FFFFFF"/>
              </w:rPr>
            </w:pPr>
            <w:r w:rsidRPr="00261B7A">
              <w:rPr>
                <w:noProof w:val="0"/>
                <w:color w:val="FFFFFF"/>
              </w:rPr>
              <w:t>Type of gas</w:t>
            </w:r>
          </w:p>
        </w:tc>
        <w:tc>
          <w:tcPr>
            <w:tcW w:w="3346" w:type="dxa"/>
            <w:shd w:val="clear" w:color="auto" w:fill="1B556B"/>
            <w:hideMark/>
          </w:tcPr>
          <w:p w14:paraId="13303B03" w14:textId="77777777" w:rsidR="008A4F47" w:rsidRPr="00261B7A" w:rsidRDefault="008A4F47" w:rsidP="00D41492">
            <w:pPr>
              <w:pStyle w:val="TableTextBold"/>
              <w:spacing w:before="50" w:after="50"/>
              <w:rPr>
                <w:noProof w:val="0"/>
                <w:color w:val="FFFFFF"/>
              </w:rPr>
            </w:pPr>
            <w:r w:rsidRPr="00261B7A">
              <w:rPr>
                <w:noProof w:val="0"/>
                <w:color w:val="FFFFFF"/>
              </w:rPr>
              <w:t>Emission factor</w:t>
            </w:r>
          </w:p>
        </w:tc>
      </w:tr>
      <w:tr w:rsidR="008A4F47" w:rsidRPr="00261B7A" w14:paraId="506EA1FA" w14:textId="77777777" w:rsidTr="00D41492">
        <w:tc>
          <w:tcPr>
            <w:tcW w:w="2977" w:type="dxa"/>
            <w:shd w:val="clear" w:color="auto" w:fill="FFFFFF"/>
            <w:hideMark/>
          </w:tcPr>
          <w:p w14:paraId="17CEE140" w14:textId="77777777" w:rsidR="008A4F47" w:rsidRPr="00261B7A" w:rsidRDefault="008A4F47" w:rsidP="00D41492">
            <w:pPr>
              <w:pStyle w:val="TableText"/>
              <w:spacing w:before="50" w:after="50"/>
            </w:pPr>
            <w:r w:rsidRPr="00261B7A">
              <w:t>Superphosphate fertiliser production</w:t>
            </w:r>
          </w:p>
        </w:tc>
        <w:tc>
          <w:tcPr>
            <w:tcW w:w="2239" w:type="dxa"/>
            <w:shd w:val="clear" w:color="auto" w:fill="FFFFFF"/>
            <w:hideMark/>
          </w:tcPr>
          <w:p w14:paraId="76A4156F" w14:textId="77777777" w:rsidR="008A4F47" w:rsidRPr="00261B7A" w:rsidRDefault="008A4F47" w:rsidP="00D41492">
            <w:pPr>
              <w:pStyle w:val="TableText"/>
              <w:spacing w:before="50" w:after="50"/>
            </w:pPr>
            <w:r w:rsidRPr="00261B7A">
              <w:t>SO</w:t>
            </w:r>
            <w:r w:rsidRPr="00261B7A">
              <w:rPr>
                <w:vertAlign w:val="subscript"/>
              </w:rPr>
              <w:t>2</w:t>
            </w:r>
          </w:p>
        </w:tc>
        <w:tc>
          <w:tcPr>
            <w:tcW w:w="3346" w:type="dxa"/>
            <w:shd w:val="clear" w:color="auto" w:fill="FFFFFF"/>
            <w:hideMark/>
          </w:tcPr>
          <w:p w14:paraId="0FD74494" w14:textId="77777777" w:rsidR="008A4F47" w:rsidRPr="00261B7A" w:rsidRDefault="008A4F47" w:rsidP="00D41492">
            <w:pPr>
              <w:pStyle w:val="TableText"/>
              <w:spacing w:before="50" w:after="50"/>
            </w:pPr>
            <w:r w:rsidRPr="00261B7A">
              <w:t>1.5 kg per tonne of H</w:t>
            </w:r>
            <w:r w:rsidRPr="00261B7A">
              <w:rPr>
                <w:vertAlign w:val="subscript"/>
              </w:rPr>
              <w:t>2</w:t>
            </w:r>
            <w:r w:rsidRPr="00261B7A">
              <w:t>SO</w:t>
            </w:r>
            <w:r w:rsidRPr="00261B7A">
              <w:rPr>
                <w:vertAlign w:val="subscript"/>
              </w:rPr>
              <w:t>4</w:t>
            </w:r>
          </w:p>
        </w:tc>
      </w:tr>
      <w:tr w:rsidR="008A4F47" w:rsidRPr="00261B7A" w14:paraId="46371D32" w14:textId="77777777" w:rsidTr="00D41492">
        <w:tc>
          <w:tcPr>
            <w:tcW w:w="2977" w:type="dxa"/>
            <w:shd w:val="clear" w:color="auto" w:fill="FFFFFF"/>
            <w:hideMark/>
          </w:tcPr>
          <w:p w14:paraId="3F48E736" w14:textId="77777777" w:rsidR="008A4F47" w:rsidRPr="00261B7A" w:rsidRDefault="008A4F47" w:rsidP="00D41492">
            <w:pPr>
              <w:pStyle w:val="TableText"/>
              <w:spacing w:before="50" w:after="50"/>
            </w:pPr>
            <w:r w:rsidRPr="00261B7A">
              <w:t xml:space="preserve">Formaldehyde production </w:t>
            </w:r>
          </w:p>
        </w:tc>
        <w:tc>
          <w:tcPr>
            <w:tcW w:w="2239" w:type="dxa"/>
            <w:shd w:val="clear" w:color="auto" w:fill="FFFFFF"/>
            <w:hideMark/>
          </w:tcPr>
          <w:p w14:paraId="6ADAD1F7" w14:textId="77777777" w:rsidR="008A4F47" w:rsidRPr="00261B7A" w:rsidRDefault="008A4F47" w:rsidP="00D41492">
            <w:pPr>
              <w:pStyle w:val="TableText"/>
              <w:spacing w:before="50" w:after="50"/>
            </w:pPr>
            <w:r w:rsidRPr="00261B7A">
              <w:t>NMVOCs</w:t>
            </w:r>
          </w:p>
        </w:tc>
        <w:tc>
          <w:tcPr>
            <w:tcW w:w="3346" w:type="dxa"/>
            <w:shd w:val="clear" w:color="auto" w:fill="FFFFFF"/>
            <w:hideMark/>
          </w:tcPr>
          <w:p w14:paraId="67B5D847" w14:textId="77777777" w:rsidR="008A4F47" w:rsidRPr="00261B7A" w:rsidRDefault="008A4F47" w:rsidP="00D41492">
            <w:pPr>
              <w:pStyle w:val="TableText"/>
              <w:spacing w:before="50" w:after="50"/>
            </w:pPr>
            <w:r w:rsidRPr="00261B7A">
              <w:t>1.5 kg per tonne of formaldehyde</w:t>
            </w:r>
          </w:p>
        </w:tc>
      </w:tr>
      <w:tr w:rsidR="008A4F47" w:rsidRPr="00261B7A" w14:paraId="710338C8" w14:textId="77777777" w:rsidTr="00D41492">
        <w:tc>
          <w:tcPr>
            <w:tcW w:w="2977" w:type="dxa"/>
            <w:shd w:val="clear" w:color="auto" w:fill="FFFFFF"/>
            <w:hideMark/>
          </w:tcPr>
          <w:p w14:paraId="4B67D53D" w14:textId="77777777" w:rsidR="008A4F47" w:rsidRPr="00261B7A" w:rsidRDefault="008A4F47" w:rsidP="00D41492">
            <w:pPr>
              <w:pStyle w:val="TableText"/>
              <w:spacing w:before="50" w:after="50"/>
            </w:pPr>
            <w:r w:rsidRPr="00261B7A">
              <w:t>Ethanol production</w:t>
            </w:r>
          </w:p>
        </w:tc>
        <w:tc>
          <w:tcPr>
            <w:tcW w:w="2239" w:type="dxa"/>
            <w:shd w:val="clear" w:color="auto" w:fill="FFFFFF"/>
            <w:hideMark/>
          </w:tcPr>
          <w:p w14:paraId="696C6956" w14:textId="77777777" w:rsidR="008A4F47" w:rsidRPr="00261B7A" w:rsidRDefault="008A4F47" w:rsidP="00D41492">
            <w:pPr>
              <w:pStyle w:val="TableText"/>
              <w:spacing w:before="50" w:after="50"/>
            </w:pPr>
            <w:r w:rsidRPr="00261B7A">
              <w:t>NMVOCs</w:t>
            </w:r>
          </w:p>
        </w:tc>
        <w:tc>
          <w:tcPr>
            <w:tcW w:w="3346" w:type="dxa"/>
            <w:shd w:val="clear" w:color="auto" w:fill="FFFFFF"/>
            <w:hideMark/>
          </w:tcPr>
          <w:p w14:paraId="7F1202D2" w14:textId="77777777" w:rsidR="008A4F47" w:rsidRPr="00261B7A" w:rsidRDefault="008A4F47" w:rsidP="00D41492">
            <w:pPr>
              <w:pStyle w:val="TableText"/>
              <w:spacing w:before="50" w:after="50"/>
            </w:pPr>
            <w:r w:rsidRPr="00261B7A">
              <w:t>6 g NMVOC per litre of ethanol</w:t>
            </w:r>
          </w:p>
        </w:tc>
      </w:tr>
    </w:tbl>
    <w:p w14:paraId="23A652A9" w14:textId="77777777" w:rsidR="008A4F47" w:rsidRPr="00261B7A" w:rsidRDefault="008A4F47" w:rsidP="00F32590">
      <w:pPr>
        <w:pStyle w:val="Heading3"/>
      </w:pPr>
      <w:r w:rsidRPr="00261B7A">
        <w:t xml:space="preserve">4.3.3 </w:t>
      </w:r>
      <w:r w:rsidRPr="00261B7A">
        <w:tab/>
        <w:t>Uncertainties and time-series consistency</w:t>
      </w:r>
    </w:p>
    <w:p w14:paraId="3EBDD691" w14:textId="77777777" w:rsidR="008A4F47" w:rsidRPr="00261B7A" w:rsidRDefault="008A4F47" w:rsidP="008A4F47">
      <w:pPr>
        <w:pStyle w:val="Heading4"/>
        <w:rPr>
          <w:bCs/>
          <w:iCs/>
        </w:rPr>
      </w:pPr>
      <w:r w:rsidRPr="00261B7A">
        <w:t>Uncertainties</w:t>
      </w:r>
    </w:p>
    <w:p w14:paraId="13DD42DC" w14:textId="77777777" w:rsidR="008A4F47" w:rsidRPr="00261B7A" w:rsidRDefault="008A4F47" w:rsidP="008A4F47">
      <w:pPr>
        <w:pStyle w:val="BodyText"/>
      </w:pPr>
      <w:r w:rsidRPr="00261B7A">
        <w:t>The IPCC default uncertainties have been used for CO</w:t>
      </w:r>
      <w:r w:rsidRPr="00261B7A">
        <w:rPr>
          <w:vertAlign w:val="subscript"/>
        </w:rPr>
        <w:t>2</w:t>
      </w:r>
      <w:r w:rsidRPr="00261B7A">
        <w:t xml:space="preserve"> and most non-CO</w:t>
      </w:r>
      <w:r w:rsidRPr="00261B7A">
        <w:rPr>
          <w:vertAlign w:val="subscript"/>
        </w:rPr>
        <w:t>2</w:t>
      </w:r>
      <w:r w:rsidRPr="00261B7A">
        <w:t xml:space="preserve"> emissions from this category, as shown in table 4.3.2. </w:t>
      </w:r>
    </w:p>
    <w:p w14:paraId="2A5A9EA8" w14:textId="77777777" w:rsidR="008A4F47" w:rsidRPr="00261B7A" w:rsidRDefault="008A4F47" w:rsidP="008A4F47">
      <w:pPr>
        <w:pStyle w:val="Table"/>
      </w:pPr>
      <w:bookmarkStart w:id="497" w:name="_Toc451176069"/>
      <w:bookmarkStart w:id="498" w:name="_Toc5269459"/>
      <w:bookmarkStart w:id="499" w:name="_Toc36224532"/>
      <w:bookmarkStart w:id="500" w:name="_Toc68786419"/>
      <w:bookmarkStart w:id="501" w:name="_Toc128042752"/>
      <w:bookmarkStart w:id="502" w:name="_Toc131591332"/>
      <w:r w:rsidRPr="00261B7A">
        <w:t>Table 4.3.2</w:t>
      </w:r>
      <w:r w:rsidRPr="00261B7A">
        <w:tab/>
        <w:t xml:space="preserve">Uncertainty in emissions from the </w:t>
      </w:r>
      <w:r w:rsidRPr="00261B7A">
        <w:rPr>
          <w:i/>
        </w:rPr>
        <w:t>Chemical industry</w:t>
      </w:r>
      <w:r w:rsidRPr="00261B7A">
        <w:t xml:space="preserve"> category</w:t>
      </w:r>
      <w:bookmarkEnd w:id="497"/>
      <w:bookmarkEnd w:id="498"/>
      <w:bookmarkEnd w:id="499"/>
      <w:bookmarkEnd w:id="500"/>
      <w:bookmarkEnd w:id="501"/>
      <w:bookmarkEnd w:id="502"/>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475"/>
        <w:gridCol w:w="2929"/>
        <w:gridCol w:w="3101"/>
      </w:tblGrid>
      <w:tr w:rsidR="008A4F47" w:rsidRPr="00261B7A" w14:paraId="481889A2" w14:textId="77777777" w:rsidTr="00D41492">
        <w:tc>
          <w:tcPr>
            <w:tcW w:w="2036" w:type="dxa"/>
            <w:shd w:val="clear" w:color="auto" w:fill="1B556B"/>
            <w:hideMark/>
          </w:tcPr>
          <w:p w14:paraId="7185575D" w14:textId="77777777" w:rsidR="008A4F47" w:rsidRPr="00261B7A" w:rsidRDefault="008A4F47" w:rsidP="00D41492">
            <w:pPr>
              <w:pStyle w:val="TableTextBold"/>
              <w:spacing w:before="50" w:after="50"/>
              <w:rPr>
                <w:noProof w:val="0"/>
                <w:color w:val="FFFFFF"/>
              </w:rPr>
            </w:pPr>
            <w:r w:rsidRPr="00261B7A">
              <w:rPr>
                <w:noProof w:val="0"/>
                <w:color w:val="FFFFFF"/>
              </w:rPr>
              <w:t>Product</w:t>
            </w:r>
          </w:p>
        </w:tc>
        <w:tc>
          <w:tcPr>
            <w:tcW w:w="2410" w:type="dxa"/>
            <w:shd w:val="clear" w:color="auto" w:fill="1B556B"/>
            <w:hideMark/>
          </w:tcPr>
          <w:p w14:paraId="23757DCD" w14:textId="77777777" w:rsidR="008A4F47" w:rsidRPr="00261B7A" w:rsidRDefault="008A4F47" w:rsidP="00D41492">
            <w:pPr>
              <w:pStyle w:val="TableTextBold"/>
              <w:spacing w:before="50" w:after="50"/>
              <w:rPr>
                <w:noProof w:val="0"/>
                <w:color w:val="FFFFFF"/>
              </w:rPr>
            </w:pPr>
            <w:r w:rsidRPr="00261B7A">
              <w:rPr>
                <w:noProof w:val="0"/>
                <w:color w:val="FFFFFF"/>
              </w:rPr>
              <w:t>Uncertainty in activity data (%)</w:t>
            </w:r>
          </w:p>
        </w:tc>
        <w:tc>
          <w:tcPr>
            <w:tcW w:w="2551" w:type="dxa"/>
            <w:shd w:val="clear" w:color="auto" w:fill="1B556B"/>
            <w:hideMark/>
          </w:tcPr>
          <w:p w14:paraId="6D67F46A" w14:textId="77777777" w:rsidR="008A4F47" w:rsidRPr="00261B7A" w:rsidRDefault="008A4F47" w:rsidP="00D41492">
            <w:pPr>
              <w:pStyle w:val="TableTextBold"/>
              <w:spacing w:before="50" w:after="50"/>
              <w:rPr>
                <w:noProof w:val="0"/>
                <w:color w:val="FFFFFF"/>
              </w:rPr>
            </w:pPr>
            <w:r w:rsidRPr="00261B7A">
              <w:rPr>
                <w:noProof w:val="0"/>
                <w:color w:val="FFFFFF"/>
              </w:rPr>
              <w:t>Uncertainty in emission factors (%)</w:t>
            </w:r>
          </w:p>
        </w:tc>
      </w:tr>
      <w:tr w:rsidR="008A4F47" w:rsidRPr="00261B7A" w14:paraId="256CB2D3" w14:textId="77777777" w:rsidTr="00D41492">
        <w:tc>
          <w:tcPr>
            <w:tcW w:w="2036" w:type="dxa"/>
            <w:shd w:val="clear" w:color="auto" w:fill="FFFFFF"/>
            <w:hideMark/>
          </w:tcPr>
          <w:p w14:paraId="7064E0E4" w14:textId="77777777" w:rsidR="008A4F47" w:rsidRPr="00261B7A" w:rsidRDefault="008A4F47" w:rsidP="00D41492">
            <w:pPr>
              <w:pStyle w:val="TableText"/>
              <w:spacing w:before="50" w:after="50"/>
            </w:pPr>
            <w:r w:rsidRPr="00261B7A">
              <w:t>Ammonia</w:t>
            </w:r>
          </w:p>
        </w:tc>
        <w:tc>
          <w:tcPr>
            <w:tcW w:w="2410" w:type="dxa"/>
            <w:shd w:val="clear" w:color="auto" w:fill="FFFFFF"/>
            <w:hideMark/>
          </w:tcPr>
          <w:p w14:paraId="6914913F" w14:textId="77777777" w:rsidR="008A4F47" w:rsidRPr="00261B7A" w:rsidRDefault="008A4F47" w:rsidP="00D41492">
            <w:pPr>
              <w:pStyle w:val="TableText"/>
              <w:spacing w:before="50" w:after="50"/>
            </w:pPr>
            <w:r w:rsidRPr="00261B7A">
              <w:t>±2</w:t>
            </w:r>
          </w:p>
        </w:tc>
        <w:tc>
          <w:tcPr>
            <w:tcW w:w="2551" w:type="dxa"/>
            <w:shd w:val="clear" w:color="auto" w:fill="FFFFFF"/>
            <w:hideMark/>
          </w:tcPr>
          <w:p w14:paraId="551518FE" w14:textId="77777777" w:rsidR="008A4F47" w:rsidRPr="00261B7A" w:rsidRDefault="008A4F47" w:rsidP="00D41492">
            <w:pPr>
              <w:pStyle w:val="TableText"/>
              <w:spacing w:before="50" w:after="50"/>
            </w:pPr>
            <w:r w:rsidRPr="00261B7A">
              <w:t>±6 (CO</w:t>
            </w:r>
            <w:r w:rsidRPr="00261B7A">
              <w:rPr>
                <w:vertAlign w:val="subscript"/>
              </w:rPr>
              <w:t>2</w:t>
            </w:r>
            <w:r w:rsidRPr="00261B7A">
              <w:t>)</w:t>
            </w:r>
          </w:p>
        </w:tc>
      </w:tr>
      <w:tr w:rsidR="008A4F47" w:rsidRPr="00261B7A" w14:paraId="3379EEBC" w14:textId="77777777" w:rsidTr="00D41492">
        <w:tc>
          <w:tcPr>
            <w:tcW w:w="2036" w:type="dxa"/>
            <w:shd w:val="clear" w:color="auto" w:fill="FFFFFF"/>
            <w:hideMark/>
          </w:tcPr>
          <w:p w14:paraId="5615075E" w14:textId="77777777" w:rsidR="008A4F47" w:rsidRPr="00261B7A" w:rsidRDefault="008A4F47" w:rsidP="00D41492">
            <w:pPr>
              <w:pStyle w:val="TableText"/>
              <w:spacing w:before="50" w:after="50"/>
            </w:pPr>
            <w:r w:rsidRPr="00261B7A">
              <w:t>Calcium carbide</w:t>
            </w:r>
          </w:p>
        </w:tc>
        <w:tc>
          <w:tcPr>
            <w:tcW w:w="2410" w:type="dxa"/>
            <w:shd w:val="clear" w:color="auto" w:fill="FFFFFF"/>
            <w:hideMark/>
          </w:tcPr>
          <w:p w14:paraId="7FC87C42" w14:textId="77777777" w:rsidR="008A4F47" w:rsidRPr="00261B7A" w:rsidRDefault="008A4F47" w:rsidP="00D41492">
            <w:pPr>
              <w:pStyle w:val="TableText"/>
              <w:spacing w:before="50" w:after="50"/>
            </w:pPr>
            <w:r w:rsidRPr="00261B7A">
              <w:t>±50</w:t>
            </w:r>
          </w:p>
        </w:tc>
        <w:tc>
          <w:tcPr>
            <w:tcW w:w="2551" w:type="dxa"/>
            <w:shd w:val="clear" w:color="auto" w:fill="FFFFFF"/>
            <w:hideMark/>
          </w:tcPr>
          <w:p w14:paraId="4953EB62" w14:textId="77777777" w:rsidR="008A4F47" w:rsidRPr="00261B7A" w:rsidRDefault="008A4F47" w:rsidP="00D41492">
            <w:pPr>
              <w:pStyle w:val="TableText"/>
              <w:spacing w:before="50" w:after="50"/>
            </w:pPr>
            <w:r w:rsidRPr="00261B7A">
              <w:t>±50</w:t>
            </w:r>
          </w:p>
        </w:tc>
      </w:tr>
      <w:tr w:rsidR="008A4F47" w:rsidRPr="00261B7A" w14:paraId="3EC734F3" w14:textId="77777777" w:rsidTr="00D41492">
        <w:tc>
          <w:tcPr>
            <w:tcW w:w="2036" w:type="dxa"/>
            <w:shd w:val="clear" w:color="auto" w:fill="FFFFFF"/>
            <w:hideMark/>
          </w:tcPr>
          <w:p w14:paraId="67C87DDB" w14:textId="77777777" w:rsidR="008A4F47" w:rsidRPr="00261B7A" w:rsidRDefault="008A4F47" w:rsidP="00D41492">
            <w:pPr>
              <w:pStyle w:val="TableText"/>
              <w:spacing w:before="50" w:after="50"/>
            </w:pPr>
            <w:r w:rsidRPr="00261B7A">
              <w:t>Formaldehyde</w:t>
            </w:r>
          </w:p>
        </w:tc>
        <w:tc>
          <w:tcPr>
            <w:tcW w:w="2410" w:type="dxa"/>
            <w:shd w:val="clear" w:color="auto" w:fill="FFFFFF"/>
            <w:hideMark/>
          </w:tcPr>
          <w:p w14:paraId="1191396A" w14:textId="77777777" w:rsidR="008A4F47" w:rsidRPr="00261B7A" w:rsidRDefault="008A4F47" w:rsidP="00D41492">
            <w:pPr>
              <w:pStyle w:val="TableText"/>
              <w:spacing w:before="50" w:after="50"/>
            </w:pPr>
            <w:r w:rsidRPr="00261B7A">
              <w:t>±2</w:t>
            </w:r>
          </w:p>
        </w:tc>
        <w:tc>
          <w:tcPr>
            <w:tcW w:w="2551" w:type="dxa"/>
            <w:shd w:val="clear" w:color="auto" w:fill="FFFFFF"/>
            <w:hideMark/>
          </w:tcPr>
          <w:p w14:paraId="0B545ED8" w14:textId="77777777" w:rsidR="008A4F47" w:rsidRPr="00261B7A" w:rsidRDefault="008A4F47" w:rsidP="00D41492">
            <w:pPr>
              <w:pStyle w:val="TableText"/>
              <w:spacing w:before="50" w:after="50"/>
            </w:pPr>
            <w:r w:rsidRPr="00261B7A">
              <w:t>±50 (NMVOCs)</w:t>
            </w:r>
          </w:p>
        </w:tc>
      </w:tr>
      <w:tr w:rsidR="008A4F47" w:rsidRPr="00261B7A" w14:paraId="269C9275" w14:textId="77777777" w:rsidTr="00D41492">
        <w:tc>
          <w:tcPr>
            <w:tcW w:w="2036" w:type="dxa"/>
            <w:shd w:val="clear" w:color="auto" w:fill="FFFFFF"/>
            <w:hideMark/>
          </w:tcPr>
          <w:p w14:paraId="7B4715C1" w14:textId="77777777" w:rsidR="008A4F47" w:rsidRPr="00261B7A" w:rsidRDefault="008A4F47" w:rsidP="00D41492">
            <w:pPr>
              <w:pStyle w:val="TableText"/>
              <w:spacing w:before="50" w:after="50"/>
            </w:pPr>
            <w:r w:rsidRPr="00261B7A">
              <w:t>Hydrogen</w:t>
            </w:r>
          </w:p>
        </w:tc>
        <w:tc>
          <w:tcPr>
            <w:tcW w:w="2410" w:type="dxa"/>
            <w:shd w:val="clear" w:color="auto" w:fill="FFFFFF"/>
            <w:hideMark/>
          </w:tcPr>
          <w:p w14:paraId="711A9841" w14:textId="77777777" w:rsidR="008A4F47" w:rsidRPr="00261B7A" w:rsidRDefault="008A4F47" w:rsidP="00D41492">
            <w:pPr>
              <w:pStyle w:val="TableText"/>
              <w:spacing w:before="50" w:after="50"/>
            </w:pPr>
            <w:r w:rsidRPr="00261B7A">
              <w:t>±2</w:t>
            </w:r>
          </w:p>
        </w:tc>
        <w:tc>
          <w:tcPr>
            <w:tcW w:w="2551" w:type="dxa"/>
            <w:shd w:val="clear" w:color="auto" w:fill="FFFFFF"/>
            <w:hideMark/>
          </w:tcPr>
          <w:p w14:paraId="244FDB4B" w14:textId="77777777" w:rsidR="008A4F47" w:rsidRPr="00261B7A" w:rsidRDefault="008A4F47" w:rsidP="00D41492">
            <w:pPr>
              <w:pStyle w:val="TableText"/>
              <w:spacing w:before="50" w:after="50"/>
            </w:pPr>
            <w:r w:rsidRPr="00261B7A">
              <w:t>±6</w:t>
            </w:r>
          </w:p>
        </w:tc>
      </w:tr>
      <w:tr w:rsidR="008A4F47" w:rsidRPr="00261B7A" w14:paraId="422E55FB" w14:textId="77777777" w:rsidTr="00D41492">
        <w:tc>
          <w:tcPr>
            <w:tcW w:w="2036" w:type="dxa"/>
            <w:shd w:val="clear" w:color="auto" w:fill="FFFFFF"/>
            <w:hideMark/>
          </w:tcPr>
          <w:p w14:paraId="5FAB4D8C" w14:textId="77777777" w:rsidR="008A4F47" w:rsidRPr="00261B7A" w:rsidRDefault="008A4F47" w:rsidP="00D41492">
            <w:pPr>
              <w:pStyle w:val="TableText"/>
              <w:spacing w:before="50" w:after="50"/>
            </w:pPr>
            <w:r w:rsidRPr="00261B7A">
              <w:t>Methanol</w:t>
            </w:r>
          </w:p>
        </w:tc>
        <w:tc>
          <w:tcPr>
            <w:tcW w:w="2410" w:type="dxa"/>
            <w:shd w:val="clear" w:color="auto" w:fill="FFFFFF"/>
            <w:hideMark/>
          </w:tcPr>
          <w:p w14:paraId="49CAD2CB" w14:textId="77777777" w:rsidR="008A4F47" w:rsidRPr="00261B7A" w:rsidRDefault="008A4F47" w:rsidP="00D41492">
            <w:pPr>
              <w:pStyle w:val="TableText"/>
              <w:spacing w:before="50" w:after="50"/>
            </w:pPr>
            <w:r w:rsidRPr="00261B7A">
              <w:t>±2</w:t>
            </w:r>
          </w:p>
        </w:tc>
        <w:tc>
          <w:tcPr>
            <w:tcW w:w="2551" w:type="dxa"/>
            <w:shd w:val="clear" w:color="auto" w:fill="FFFFFF"/>
            <w:hideMark/>
          </w:tcPr>
          <w:p w14:paraId="050594E9" w14:textId="77777777" w:rsidR="008A4F47" w:rsidRPr="00261B7A" w:rsidRDefault="008A4F47" w:rsidP="00D41492">
            <w:pPr>
              <w:pStyle w:val="TableText"/>
              <w:spacing w:before="50" w:after="50"/>
            </w:pPr>
            <w:r w:rsidRPr="00261B7A">
              <w:t>±50 (NO</w:t>
            </w:r>
            <w:r w:rsidRPr="00261B7A">
              <w:rPr>
                <w:vertAlign w:val="subscript"/>
              </w:rPr>
              <w:t>x</w:t>
            </w:r>
            <w:r w:rsidRPr="00261B7A">
              <w:t xml:space="preserve"> and CO)</w:t>
            </w:r>
            <w:r w:rsidRPr="00261B7A">
              <w:br/>
              <w:t>±30 (NMVOCs)</w:t>
            </w:r>
            <w:r w:rsidRPr="00261B7A">
              <w:br/>
              <w:t>±80 (CH</w:t>
            </w:r>
            <w:r w:rsidRPr="00261B7A">
              <w:rPr>
                <w:vertAlign w:val="subscript"/>
              </w:rPr>
              <w:t>4</w:t>
            </w:r>
            <w:r w:rsidRPr="00261B7A">
              <w:t>)</w:t>
            </w:r>
          </w:p>
        </w:tc>
      </w:tr>
      <w:tr w:rsidR="008A4F47" w:rsidRPr="00261B7A" w14:paraId="5B44993A" w14:textId="77777777" w:rsidTr="00D41492">
        <w:tc>
          <w:tcPr>
            <w:tcW w:w="2036" w:type="dxa"/>
            <w:shd w:val="clear" w:color="auto" w:fill="FFFFFF"/>
            <w:hideMark/>
          </w:tcPr>
          <w:p w14:paraId="06A565E3" w14:textId="77777777" w:rsidR="008A4F47" w:rsidRPr="00261B7A" w:rsidRDefault="008A4F47" w:rsidP="00D41492">
            <w:pPr>
              <w:pStyle w:val="TableText"/>
              <w:spacing w:before="50" w:after="50"/>
            </w:pPr>
            <w:r w:rsidRPr="00261B7A">
              <w:t>Superphosphate</w:t>
            </w:r>
          </w:p>
        </w:tc>
        <w:tc>
          <w:tcPr>
            <w:tcW w:w="2410" w:type="dxa"/>
            <w:shd w:val="clear" w:color="auto" w:fill="FFFFFF"/>
            <w:hideMark/>
          </w:tcPr>
          <w:p w14:paraId="124277EE" w14:textId="77777777" w:rsidR="008A4F47" w:rsidRPr="00261B7A" w:rsidRDefault="008A4F47" w:rsidP="00D41492">
            <w:pPr>
              <w:pStyle w:val="TableText"/>
              <w:spacing w:before="50" w:after="50"/>
            </w:pPr>
            <w:r w:rsidRPr="00261B7A">
              <w:t>±10</w:t>
            </w:r>
          </w:p>
        </w:tc>
        <w:tc>
          <w:tcPr>
            <w:tcW w:w="2551" w:type="dxa"/>
            <w:shd w:val="clear" w:color="auto" w:fill="FFFFFF"/>
            <w:hideMark/>
          </w:tcPr>
          <w:p w14:paraId="1AFF9D5C" w14:textId="77777777" w:rsidR="008A4F47" w:rsidRPr="00261B7A" w:rsidRDefault="008A4F47" w:rsidP="00D41492">
            <w:pPr>
              <w:pStyle w:val="TableText"/>
              <w:spacing w:before="50" w:after="50"/>
            </w:pPr>
            <w:r w:rsidRPr="00261B7A">
              <w:t>±25–60 (varies by site)</w:t>
            </w:r>
          </w:p>
        </w:tc>
      </w:tr>
      <w:tr w:rsidR="008A4F47" w:rsidRPr="00261B7A" w14:paraId="2301168B" w14:textId="77777777" w:rsidTr="00D41492">
        <w:tc>
          <w:tcPr>
            <w:tcW w:w="2036" w:type="dxa"/>
            <w:shd w:val="clear" w:color="auto" w:fill="FFFFFF"/>
            <w:hideMark/>
          </w:tcPr>
          <w:p w14:paraId="71B738DC" w14:textId="77777777" w:rsidR="008A4F47" w:rsidRPr="00261B7A" w:rsidRDefault="008A4F47" w:rsidP="00D41492">
            <w:pPr>
              <w:pStyle w:val="TableText"/>
              <w:spacing w:before="50" w:after="50"/>
            </w:pPr>
            <w:r w:rsidRPr="00261B7A">
              <w:t>Sulphuric acid</w:t>
            </w:r>
          </w:p>
        </w:tc>
        <w:tc>
          <w:tcPr>
            <w:tcW w:w="2410" w:type="dxa"/>
            <w:shd w:val="clear" w:color="auto" w:fill="FFFFFF"/>
            <w:hideMark/>
          </w:tcPr>
          <w:p w14:paraId="1D0D3441" w14:textId="77777777" w:rsidR="008A4F47" w:rsidRPr="00261B7A" w:rsidRDefault="008A4F47" w:rsidP="00D41492">
            <w:pPr>
              <w:pStyle w:val="TableText"/>
              <w:spacing w:before="50" w:after="50"/>
            </w:pPr>
            <w:r w:rsidRPr="00261B7A">
              <w:t>±10</w:t>
            </w:r>
          </w:p>
        </w:tc>
        <w:tc>
          <w:tcPr>
            <w:tcW w:w="2551" w:type="dxa"/>
            <w:shd w:val="clear" w:color="auto" w:fill="FFFFFF"/>
            <w:hideMark/>
          </w:tcPr>
          <w:p w14:paraId="1E9A5D7C" w14:textId="77777777" w:rsidR="008A4F47" w:rsidRPr="00261B7A" w:rsidRDefault="008A4F47" w:rsidP="00D41492">
            <w:pPr>
              <w:pStyle w:val="TableText"/>
              <w:spacing w:before="50" w:after="50"/>
            </w:pPr>
            <w:r w:rsidRPr="00261B7A">
              <w:t>±15</w:t>
            </w:r>
          </w:p>
        </w:tc>
      </w:tr>
    </w:tbl>
    <w:p w14:paraId="7BCAAAAF" w14:textId="77777777" w:rsidR="008A4F47" w:rsidRPr="00261B7A" w:rsidRDefault="008A4F47" w:rsidP="008A4F47">
      <w:pPr>
        <w:pStyle w:val="Heading4"/>
        <w:spacing w:before="360"/>
      </w:pPr>
      <w:r w:rsidRPr="00261B7A">
        <w:t>Time-series consistency</w:t>
      </w:r>
    </w:p>
    <w:p w14:paraId="2902F3C3" w14:textId="77777777" w:rsidR="008A4F47" w:rsidRPr="00261B7A" w:rsidRDefault="008A4F47" w:rsidP="009D43AE">
      <w:pPr>
        <w:pStyle w:val="BodyText"/>
        <w:spacing w:before="100" w:after="100"/>
      </w:pPr>
      <w:r w:rsidRPr="00261B7A">
        <w:t>The implied emission factor for CO</w:t>
      </w:r>
      <w:r w:rsidRPr="00261B7A">
        <w:rPr>
          <w:vertAlign w:val="subscript"/>
        </w:rPr>
        <w:t>2</w:t>
      </w:r>
      <w:r w:rsidRPr="00261B7A">
        <w:t xml:space="preserve"> in ammonia production has reduced by about 5.0 per cent through the time series, reflecting higher plant utilisation and some improvements in plant efficiency. Because ammonia is made at a single site in New Zealand, the implied emission factor may also vary from year to year as a result of maintenance shutdowns and other events that affect plant performance. </w:t>
      </w:r>
    </w:p>
    <w:p w14:paraId="714E40CD" w14:textId="77777777" w:rsidR="008A4F47" w:rsidRPr="00261B7A" w:rsidRDefault="008A4F47" w:rsidP="009D43AE">
      <w:pPr>
        <w:pStyle w:val="BodyText"/>
        <w:spacing w:before="100" w:after="100"/>
      </w:pPr>
      <w:r w:rsidRPr="00261B7A">
        <w:t xml:space="preserve">The implied emission factor for hydrogen production (2.B.10) also varies from year to year mainly due to changes in refinery gas composition. Other implied emission factors in this category only reflect the default emission factors used. </w:t>
      </w:r>
    </w:p>
    <w:p w14:paraId="6218E4D1" w14:textId="77777777" w:rsidR="008A4F47" w:rsidRPr="00261B7A" w:rsidRDefault="008A4F47" w:rsidP="009D43AE">
      <w:pPr>
        <w:pStyle w:val="Heading3"/>
        <w:spacing w:before="320"/>
      </w:pPr>
      <w:r w:rsidRPr="00261B7A">
        <w:t>4.3.4</w:t>
      </w:r>
      <w:r w:rsidRPr="00261B7A">
        <w:tab/>
        <w:t>Source-specific QA/QC and verification</w:t>
      </w:r>
    </w:p>
    <w:p w14:paraId="700F18F0" w14:textId="77777777" w:rsidR="008A4F47" w:rsidRPr="00261B7A" w:rsidRDefault="008A4F47" w:rsidP="009D43AE">
      <w:pPr>
        <w:pStyle w:val="BodyText"/>
        <w:spacing w:before="100" w:after="100"/>
      </w:pPr>
      <w:r w:rsidRPr="00261B7A">
        <w:t>For this submission, data for all CO</w:t>
      </w:r>
      <w:r w:rsidRPr="00261B7A">
        <w:rPr>
          <w:vertAlign w:val="subscript"/>
        </w:rPr>
        <w:t>2</w:t>
      </w:r>
      <w:r w:rsidRPr="00261B7A">
        <w:t xml:space="preserve"> emissions in the </w:t>
      </w:r>
      <w:r w:rsidRPr="00261B7A">
        <w:rPr>
          <w:i/>
          <w:iCs/>
        </w:rPr>
        <w:t>Chemical industry</w:t>
      </w:r>
      <w:r w:rsidRPr="00261B7A">
        <w:t xml:space="preserve"> category underwent Tier 1 quality checks in the preparation of this inventory. The only key category is CO</w:t>
      </w:r>
      <w:r w:rsidRPr="00261B7A">
        <w:rPr>
          <w:vertAlign w:val="subscript"/>
        </w:rPr>
        <w:t>2</w:t>
      </w:r>
      <w:r w:rsidRPr="00261B7A">
        <w:t xml:space="preserve"> emissions from </w:t>
      </w:r>
      <w:r w:rsidRPr="00261B7A">
        <w:rPr>
          <w:i/>
          <w:iCs/>
        </w:rPr>
        <w:t xml:space="preserve">Other </w:t>
      </w:r>
      <w:r w:rsidRPr="00261B7A">
        <w:t xml:space="preserve">(hydrogen production) (trend assessment). </w:t>
      </w:r>
    </w:p>
    <w:p w14:paraId="0E3CA86D" w14:textId="77777777" w:rsidR="008A4F47" w:rsidRPr="00261B7A" w:rsidRDefault="008A4F47" w:rsidP="009D43AE">
      <w:pPr>
        <w:pStyle w:val="Heading3"/>
        <w:spacing w:before="320"/>
      </w:pPr>
      <w:r w:rsidRPr="00261B7A">
        <w:t>4.3.5</w:t>
      </w:r>
      <w:r w:rsidRPr="00261B7A">
        <w:tab/>
        <w:t>Source-specific recalculations</w:t>
      </w:r>
    </w:p>
    <w:p w14:paraId="48160D2D" w14:textId="77777777" w:rsidR="008A4F47" w:rsidRPr="00261B7A" w:rsidRDefault="008A4F47" w:rsidP="008A4F47">
      <w:pPr>
        <w:pStyle w:val="BodyText"/>
      </w:pPr>
      <w:r w:rsidRPr="00261B7A">
        <w:t xml:space="preserve">There are no recalculations for this category. </w:t>
      </w:r>
    </w:p>
    <w:p w14:paraId="11045E4D" w14:textId="77777777" w:rsidR="008A4F47" w:rsidRPr="00261B7A" w:rsidRDefault="008A4F47" w:rsidP="009D43AE">
      <w:pPr>
        <w:pStyle w:val="Heading3"/>
        <w:spacing w:before="320"/>
      </w:pPr>
      <w:r w:rsidRPr="00261B7A">
        <w:t>4.3.6</w:t>
      </w:r>
      <w:r w:rsidRPr="00261B7A">
        <w:tab/>
        <w:t>Source-specific planned improvements</w:t>
      </w:r>
    </w:p>
    <w:p w14:paraId="6FA2797A" w14:textId="77777777" w:rsidR="008A4F47" w:rsidRPr="00261B7A" w:rsidRDefault="008A4F47" w:rsidP="008A4F47">
      <w:pPr>
        <w:pStyle w:val="BodyText"/>
      </w:pPr>
      <w:r w:rsidRPr="00261B7A">
        <w:t>There are no planned improvements for this category.</w:t>
      </w:r>
    </w:p>
    <w:p w14:paraId="471B1E6D" w14:textId="77777777" w:rsidR="008A4F47" w:rsidRPr="00261B7A" w:rsidRDefault="008A4F47" w:rsidP="00A638DC">
      <w:pPr>
        <w:pStyle w:val="Heading2"/>
      </w:pPr>
      <w:bookmarkStart w:id="503" w:name="_Toc448321515"/>
      <w:bookmarkStart w:id="504" w:name="_Toc5269354"/>
      <w:bookmarkStart w:id="505" w:name="_Toc36224394"/>
      <w:bookmarkStart w:id="506" w:name="_Toc68786314"/>
      <w:bookmarkStart w:id="507" w:name="_Toc131591229"/>
      <w:r w:rsidRPr="00261B7A">
        <w:t>4.4</w:t>
      </w:r>
      <w:r w:rsidRPr="00261B7A">
        <w:tab/>
        <w:t>Metal industry (2.C)</w:t>
      </w:r>
      <w:bookmarkEnd w:id="503"/>
      <w:bookmarkEnd w:id="504"/>
      <w:bookmarkEnd w:id="505"/>
      <w:bookmarkEnd w:id="506"/>
      <w:bookmarkEnd w:id="507"/>
    </w:p>
    <w:p w14:paraId="766B2505" w14:textId="77777777" w:rsidR="008A4F47" w:rsidRPr="00261B7A" w:rsidRDefault="008A4F47" w:rsidP="00127A77">
      <w:pPr>
        <w:pStyle w:val="Heading3"/>
        <w:spacing w:before="240"/>
      </w:pPr>
      <w:r w:rsidRPr="00261B7A">
        <w:t>4.4.1</w:t>
      </w:r>
      <w:r w:rsidRPr="00261B7A">
        <w:tab/>
        <w:t>Description</w:t>
      </w:r>
    </w:p>
    <w:p w14:paraId="07782077" w14:textId="77777777" w:rsidR="008A4F47" w:rsidRPr="00261B7A" w:rsidRDefault="008A4F47" w:rsidP="008A4F47">
      <w:pPr>
        <w:pStyle w:val="BodyText"/>
      </w:pPr>
      <w:r w:rsidRPr="00261B7A">
        <w:t xml:space="preserve">The main emissions in the </w:t>
      </w:r>
      <w:r w:rsidRPr="00261B7A">
        <w:rPr>
          <w:i/>
        </w:rPr>
        <w:t>Metal industry</w:t>
      </w:r>
      <w:r w:rsidRPr="00261B7A">
        <w:t xml:space="preserve"> category in New Zealand are from iron and steel production (from iron sand and historically from recycled scrap steel) and from aluminium production. New Zealand has no production of coke, sinter or ferroalloys. </w:t>
      </w:r>
    </w:p>
    <w:p w14:paraId="26821B39" w14:textId="77777777" w:rsidR="008A4F47" w:rsidRPr="00261B7A" w:rsidRDefault="008A4F47" w:rsidP="008A4F47">
      <w:pPr>
        <w:pStyle w:val="BodyText"/>
      </w:pPr>
      <w:r w:rsidRPr="00261B7A">
        <w:t>New Zealand Steel Limited produces iron using an ‘alternative iron-making process’, from titanomagnetite iron sand (Ure, 2000). This iron</w:t>
      </w:r>
      <w:r w:rsidRPr="00261B7A">
        <w:noBreakHyphen/>
        <w:t xml:space="preserve">making process involves the direct reduction of iron oxide contained in the sand, with sub-bituminous coal (which forms a reactive char) as the reductant. There is no coke production and no use of blast furnaces. The iron produced is then processed into steel. </w:t>
      </w:r>
    </w:p>
    <w:p w14:paraId="685B10B4" w14:textId="77777777" w:rsidR="008A4F47" w:rsidRPr="00261B7A" w:rsidRDefault="008A4F47" w:rsidP="008A4F47">
      <w:pPr>
        <w:pStyle w:val="BodyText"/>
      </w:pPr>
      <w:r w:rsidRPr="00261B7A">
        <w:t xml:space="preserve">Until 2015, Pacific Steel Limited operated an electric arc furnace at a separate site to process recycled scrap steel. The owners of New Zealand Steel Limited bought the Pacific Steel Limited production assets in 2015, and all of New Zealand’s steel-making capacity is now integrated at the New Zealand Steel site. Steel billet production at the Pacific Steel plant, using recycled scrap, stopped in October 2015. As a result, production in New Zealand is now focused on newly produced iron rather than recycled steel scrap. </w:t>
      </w:r>
    </w:p>
    <w:p w14:paraId="089CAFAC" w14:textId="77777777" w:rsidR="008A4F47" w:rsidRPr="00261B7A" w:rsidRDefault="008A4F47" w:rsidP="008A4F47">
      <w:pPr>
        <w:pStyle w:val="BodyText"/>
      </w:pPr>
      <w:r w:rsidRPr="00261B7A">
        <w:t>There is one aluminium smelter in New Zealand, operated by New Zealand Aluminium Smelters Limited (NZAS). The plant produces aluminium by smelting imported bauxite using centre-work prebake technology, resulting in CO</w:t>
      </w:r>
      <w:r w:rsidRPr="00261B7A">
        <w:rPr>
          <w:vertAlign w:val="subscript"/>
        </w:rPr>
        <w:t>2</w:t>
      </w:r>
      <w:r w:rsidRPr="00261B7A">
        <w:t xml:space="preserve"> and PFC emissions. </w:t>
      </w:r>
    </w:p>
    <w:p w14:paraId="7E0C0AA2" w14:textId="77777777" w:rsidR="008A4F47" w:rsidRPr="00261B7A" w:rsidRDefault="008A4F47" w:rsidP="008A4F47">
      <w:pPr>
        <w:pStyle w:val="BodyText"/>
      </w:pPr>
      <w:r w:rsidRPr="00261B7A">
        <w:t>Very small amounts of emissions are also reported from secondary lead production (from the recycling of lead-acid batteries) from 1990 to 2015 and from use of SF</w:t>
      </w:r>
      <w:r w:rsidRPr="00261B7A">
        <w:rPr>
          <w:vertAlign w:val="subscript"/>
        </w:rPr>
        <w:t>6</w:t>
      </w:r>
      <w:r w:rsidRPr="00261B7A">
        <w:t xml:space="preserve"> in a magnesium foundry from 1990 to 1999. </w:t>
      </w:r>
    </w:p>
    <w:p w14:paraId="2F00EF0D" w14:textId="77777777" w:rsidR="008A4F47" w:rsidRPr="00261B7A" w:rsidRDefault="008A4F47" w:rsidP="008A4F47">
      <w:pPr>
        <w:pStyle w:val="BodyText"/>
      </w:pPr>
      <w:r w:rsidRPr="00261B7A">
        <w:t xml:space="preserve">Key categories in the </w:t>
      </w:r>
      <w:r w:rsidRPr="00261B7A">
        <w:rPr>
          <w:i/>
        </w:rPr>
        <w:t>Metal industry</w:t>
      </w:r>
      <w:r w:rsidRPr="00261B7A">
        <w:t xml:space="preserve"> category are CO</w:t>
      </w:r>
      <w:r w:rsidRPr="00261B7A">
        <w:rPr>
          <w:vertAlign w:val="subscript"/>
        </w:rPr>
        <w:t>2</w:t>
      </w:r>
      <w:r w:rsidRPr="00261B7A">
        <w:t xml:space="preserve"> emissions from </w:t>
      </w:r>
      <w:r w:rsidRPr="00261B7A">
        <w:rPr>
          <w:i/>
        </w:rPr>
        <w:t>Iron and steel production</w:t>
      </w:r>
      <w:r w:rsidRPr="00261B7A">
        <w:rPr>
          <w:iCs/>
        </w:rPr>
        <w:t xml:space="preserve"> (level assessment)</w:t>
      </w:r>
      <w:r w:rsidRPr="00261B7A">
        <w:rPr>
          <w:i/>
        </w:rPr>
        <w:t xml:space="preserve"> </w:t>
      </w:r>
      <w:r w:rsidRPr="00261B7A">
        <w:t xml:space="preserve">and from </w:t>
      </w:r>
      <w:r w:rsidRPr="00261B7A">
        <w:rPr>
          <w:i/>
        </w:rPr>
        <w:t>Aluminium production</w:t>
      </w:r>
      <w:r w:rsidRPr="00261B7A">
        <w:rPr>
          <w:iCs/>
        </w:rPr>
        <w:t xml:space="preserve"> (level assessment)</w:t>
      </w:r>
      <w:r w:rsidRPr="00261B7A">
        <w:t xml:space="preserve">, and PFCs from </w:t>
      </w:r>
      <w:r w:rsidRPr="00261B7A">
        <w:rPr>
          <w:i/>
        </w:rPr>
        <w:t xml:space="preserve">Aluminium production </w:t>
      </w:r>
      <w:r w:rsidRPr="00261B7A">
        <w:rPr>
          <w:iCs/>
        </w:rPr>
        <w:t>(trend assessment)</w:t>
      </w:r>
      <w:r w:rsidRPr="00261B7A">
        <w:t xml:space="preserve">. </w:t>
      </w:r>
    </w:p>
    <w:p w14:paraId="51DF857C" w14:textId="77777777" w:rsidR="008A4F47" w:rsidRPr="00261B7A" w:rsidRDefault="008A4F47" w:rsidP="008A4F47">
      <w:pPr>
        <w:pStyle w:val="BodyText"/>
      </w:pPr>
      <w:r w:rsidRPr="00261B7A">
        <w:t xml:space="preserve">Emissions from the </w:t>
      </w:r>
      <w:r w:rsidRPr="00261B7A">
        <w:rPr>
          <w:i/>
        </w:rPr>
        <w:t>Metal industry</w:t>
      </w:r>
      <w:r w:rsidRPr="00261B7A">
        <w:t xml:space="preserve"> category in 2021 were 2,310.6 kt CO</w:t>
      </w:r>
      <w:r w:rsidRPr="00261B7A">
        <w:rPr>
          <w:vertAlign w:val="subscript"/>
        </w:rPr>
        <w:t>2</w:t>
      </w:r>
      <w:r w:rsidRPr="00261B7A">
        <w:t>-e (50.1 per cent) of emissions from the IPPU sector. This is 359.6 kt CO</w:t>
      </w:r>
      <w:r w:rsidRPr="00261B7A">
        <w:rPr>
          <w:vertAlign w:val="subscript"/>
        </w:rPr>
        <w:t>2</w:t>
      </w:r>
      <w:r w:rsidRPr="00261B7A">
        <w:t>-e (13.5 per cent) below the 1990 level. The decrease was driven by a reduction in emissions of PFCs in aluminium smelting, which has been partly offset by increasing CO</w:t>
      </w:r>
      <w:r w:rsidRPr="00261B7A">
        <w:rPr>
          <w:vertAlign w:val="subscript"/>
        </w:rPr>
        <w:t>2</w:t>
      </w:r>
      <w:r w:rsidRPr="00261B7A">
        <w:t xml:space="preserve"> emissions due to increasing production of steel and aluminium. A small decrease in emissions occurred in 2016 due to the closure of the Pacific Steel plant and the cessation of lead battery recycling. </w:t>
      </w:r>
    </w:p>
    <w:p w14:paraId="0710D5FE" w14:textId="77777777" w:rsidR="008A4F47" w:rsidRPr="00261B7A" w:rsidRDefault="008A4F47" w:rsidP="008A4F47">
      <w:pPr>
        <w:pStyle w:val="BodyText"/>
      </w:pPr>
      <w:r w:rsidRPr="00261B7A">
        <w:t>The New Zealand Steel site was closed from 26 March to 27 April 2020, due to COVID-19 restrictions,</w:t>
      </w:r>
      <w:r w:rsidRPr="00261B7A" w:rsidDel="00734D15">
        <w:t xml:space="preserve"> </w:t>
      </w:r>
      <w:r w:rsidRPr="00261B7A">
        <w:t xml:space="preserve">reducing output for the year by approximately 11 per cent. Output recovered to normal levels for 2021. Aluminium production in 2020 and 2021 was approximately 5 per cent lower than 2019. </w:t>
      </w:r>
    </w:p>
    <w:p w14:paraId="2BEE32FD" w14:textId="77777777" w:rsidR="008A4F47" w:rsidRPr="00261B7A" w:rsidRDefault="008A4F47" w:rsidP="0034058F">
      <w:pPr>
        <w:pStyle w:val="Heading3"/>
      </w:pPr>
      <w:r w:rsidRPr="00261B7A">
        <w:t xml:space="preserve">4.4.2 </w:t>
      </w:r>
      <w:r w:rsidRPr="00261B7A">
        <w:tab/>
        <w:t>Methodological issues</w:t>
      </w:r>
    </w:p>
    <w:p w14:paraId="6C26D2D9" w14:textId="77777777" w:rsidR="008A4F47" w:rsidRPr="00261B7A" w:rsidRDefault="008A4F47" w:rsidP="008A4F47">
      <w:pPr>
        <w:pStyle w:val="Heading4"/>
        <w:rPr>
          <w:bCs/>
          <w:iCs/>
        </w:rPr>
      </w:pPr>
      <w:r w:rsidRPr="00261B7A">
        <w:t>Choice of activity data</w:t>
      </w:r>
    </w:p>
    <w:p w14:paraId="2873BEDA" w14:textId="77777777" w:rsidR="008A4F47" w:rsidRPr="00261B7A" w:rsidRDefault="008A4F47" w:rsidP="008A4F47">
      <w:pPr>
        <w:pStyle w:val="Heading5"/>
        <w:spacing w:before="120"/>
      </w:pPr>
      <w:r w:rsidRPr="00261B7A">
        <w:t>Iron and steel production (2.C.1 and 2.C.1.a)</w:t>
      </w:r>
    </w:p>
    <w:p w14:paraId="7B6D79F3" w14:textId="77777777" w:rsidR="008A4F47" w:rsidRPr="00261B7A" w:rsidRDefault="008A4F47" w:rsidP="008A4F47">
      <w:pPr>
        <w:pStyle w:val="BodyText"/>
      </w:pPr>
      <w:r w:rsidRPr="00261B7A">
        <w:t xml:space="preserve">In 2021, the </w:t>
      </w:r>
      <w:r w:rsidRPr="00261B7A">
        <w:rPr>
          <w:i/>
        </w:rPr>
        <w:t>Iron and steel production</w:t>
      </w:r>
      <w:r w:rsidRPr="00261B7A">
        <w:t xml:space="preserve"> category accounted for 1,718.1 kt CO</w:t>
      </w:r>
      <w:r w:rsidRPr="00261B7A">
        <w:rPr>
          <w:vertAlign w:val="subscript"/>
        </w:rPr>
        <w:t>2</w:t>
      </w:r>
      <w:r w:rsidRPr="00261B7A">
        <w:t xml:space="preserve">-e (74.4 per cent) of emissions from the </w:t>
      </w:r>
      <w:r w:rsidRPr="00261B7A">
        <w:rPr>
          <w:i/>
        </w:rPr>
        <w:t>Metal industry</w:t>
      </w:r>
      <w:r w:rsidRPr="00261B7A">
        <w:t xml:space="preserve"> category. The activity data (tonnes of steel produced) provided to MBIE came from two steel producers up to 2015 and now come from one; they are regarded as commercially confidential and are reported as confidential in the CRF. </w:t>
      </w:r>
    </w:p>
    <w:p w14:paraId="31EC476E" w14:textId="77777777" w:rsidR="008A4F47" w:rsidRPr="00261B7A" w:rsidRDefault="008A4F47" w:rsidP="008A4F47">
      <w:pPr>
        <w:pStyle w:val="BodyText"/>
      </w:pPr>
      <w:r w:rsidRPr="00261B7A">
        <w:t>Most of the CO</w:t>
      </w:r>
      <w:r w:rsidRPr="00261B7A">
        <w:rPr>
          <w:vertAlign w:val="subscript"/>
        </w:rPr>
        <w:t>2</w:t>
      </w:r>
      <w:r w:rsidRPr="00261B7A">
        <w:t xml:space="preserve"> emissions from the </w:t>
      </w:r>
      <w:r w:rsidRPr="00261B7A">
        <w:rPr>
          <w:i/>
        </w:rPr>
        <w:t>Iron and steel production</w:t>
      </w:r>
      <w:r w:rsidRPr="00261B7A">
        <w:t xml:space="preserve"> category are produced through the production of iron from titanomagnetite iron sand. Nearly all of the emissions in this process come from the use of sub-bituminous coal as a reducing agent. There is no carbon in the iron sand used by New Zealand Steel Limited (see table 4.4.1). </w:t>
      </w:r>
    </w:p>
    <w:p w14:paraId="507D0D05" w14:textId="77777777" w:rsidR="008A4F47" w:rsidRPr="00261B7A" w:rsidRDefault="008A4F47" w:rsidP="008A4F47">
      <w:pPr>
        <w:pStyle w:val="Table"/>
      </w:pPr>
      <w:bookmarkStart w:id="508" w:name="_Toc451176070"/>
      <w:bookmarkStart w:id="509" w:name="_Toc352504954"/>
      <w:bookmarkStart w:id="510" w:name="_Toc5269460"/>
      <w:bookmarkStart w:id="511" w:name="_Toc36224533"/>
      <w:bookmarkStart w:id="512" w:name="_Toc68786420"/>
      <w:bookmarkStart w:id="513" w:name="_Toc128042753"/>
      <w:bookmarkStart w:id="514" w:name="_Toc131591333"/>
      <w:r w:rsidRPr="00261B7A">
        <w:t>Table 4.4.1</w:t>
      </w:r>
      <w:r w:rsidRPr="00261B7A">
        <w:tab/>
        <w:t>Typical analysis from New Zealand Steel Limited of the primary concentrate</w:t>
      </w:r>
      <w:r w:rsidRPr="00261B7A">
        <w:br/>
        <w:t>(provided by New Zealand Steel Limited)</w:t>
      </w:r>
      <w:bookmarkEnd w:id="508"/>
      <w:bookmarkEnd w:id="509"/>
      <w:bookmarkEnd w:id="510"/>
      <w:bookmarkEnd w:id="511"/>
      <w:bookmarkEnd w:id="512"/>
      <w:bookmarkEnd w:id="513"/>
      <w:bookmarkEnd w:id="514"/>
    </w:p>
    <w:tbl>
      <w:tblPr>
        <w:tblW w:w="0" w:type="auto"/>
        <w:jc w:val="center"/>
        <w:tblBorders>
          <w:top w:val="single" w:sz="4" w:space="0" w:color="1B556B"/>
          <w:bottom w:val="single" w:sz="4" w:space="0" w:color="1B556B"/>
          <w:insideH w:val="single" w:sz="4" w:space="0" w:color="1B556B"/>
          <w:insideV w:val="single" w:sz="4" w:space="0" w:color="1B556B"/>
        </w:tblBorders>
        <w:tblLayout w:type="fixed"/>
        <w:tblLook w:val="04A0" w:firstRow="1" w:lastRow="0" w:firstColumn="1" w:lastColumn="0" w:noHBand="0" w:noVBand="1"/>
      </w:tblPr>
      <w:tblGrid>
        <w:gridCol w:w="1242"/>
        <w:gridCol w:w="1448"/>
      </w:tblGrid>
      <w:tr w:rsidR="008A4F47" w:rsidRPr="00261B7A" w14:paraId="68835212" w14:textId="77777777" w:rsidTr="00D41492">
        <w:trPr>
          <w:tblHeader/>
          <w:jc w:val="center"/>
        </w:trPr>
        <w:tc>
          <w:tcPr>
            <w:tcW w:w="1242" w:type="dxa"/>
            <w:shd w:val="clear" w:color="auto" w:fill="1B556B"/>
            <w:hideMark/>
          </w:tcPr>
          <w:p w14:paraId="68694C49" w14:textId="77777777" w:rsidR="008A4F47" w:rsidRPr="00261B7A" w:rsidRDefault="008A4F47" w:rsidP="00D41492">
            <w:pPr>
              <w:pStyle w:val="TableTextBold"/>
              <w:keepNext/>
              <w:spacing w:before="40" w:after="40"/>
              <w:jc w:val="center"/>
              <w:rPr>
                <w:noProof w:val="0"/>
                <w:color w:val="FFFFFF"/>
              </w:rPr>
            </w:pPr>
            <w:r w:rsidRPr="00261B7A">
              <w:rPr>
                <w:noProof w:val="0"/>
                <w:color w:val="FFFFFF"/>
              </w:rPr>
              <w:t>Element</w:t>
            </w:r>
          </w:p>
        </w:tc>
        <w:tc>
          <w:tcPr>
            <w:tcW w:w="1448" w:type="dxa"/>
            <w:shd w:val="clear" w:color="auto" w:fill="1B556B"/>
            <w:hideMark/>
          </w:tcPr>
          <w:p w14:paraId="2AA073B3" w14:textId="77777777" w:rsidR="008A4F47" w:rsidRPr="00261B7A" w:rsidRDefault="008A4F47" w:rsidP="00D41492">
            <w:pPr>
              <w:pStyle w:val="TableTextBold"/>
              <w:keepNext/>
              <w:spacing w:before="40" w:after="40"/>
              <w:jc w:val="center"/>
              <w:rPr>
                <w:noProof w:val="0"/>
                <w:color w:val="FFFFFF"/>
              </w:rPr>
            </w:pPr>
            <w:r w:rsidRPr="00261B7A">
              <w:rPr>
                <w:noProof w:val="0"/>
                <w:color w:val="FFFFFF"/>
              </w:rPr>
              <w:t>Result (%)</w:t>
            </w:r>
          </w:p>
        </w:tc>
      </w:tr>
      <w:tr w:rsidR="008A4F47" w:rsidRPr="00261B7A" w14:paraId="2BCCA37D" w14:textId="77777777" w:rsidTr="00D41492">
        <w:trPr>
          <w:jc w:val="center"/>
        </w:trPr>
        <w:tc>
          <w:tcPr>
            <w:tcW w:w="1242" w:type="dxa"/>
            <w:vAlign w:val="center"/>
            <w:hideMark/>
          </w:tcPr>
          <w:p w14:paraId="10F077A6" w14:textId="77777777" w:rsidR="008A4F47" w:rsidRPr="00261B7A" w:rsidRDefault="008A4F47" w:rsidP="00D41492">
            <w:pPr>
              <w:pStyle w:val="TableText"/>
              <w:keepNext/>
              <w:spacing w:before="40" w:after="40"/>
              <w:jc w:val="center"/>
              <w:rPr>
                <w:i/>
                <w:vertAlign w:val="subscript"/>
              </w:rPr>
            </w:pPr>
            <w:r w:rsidRPr="00261B7A">
              <w:t>Fe</w:t>
            </w:r>
            <w:r w:rsidRPr="00261B7A">
              <w:rPr>
                <w:vertAlign w:val="subscript"/>
              </w:rPr>
              <w:t>3</w:t>
            </w:r>
            <w:r w:rsidRPr="00261B7A">
              <w:t>O</w:t>
            </w:r>
            <w:r w:rsidRPr="00261B7A">
              <w:rPr>
                <w:vertAlign w:val="subscript"/>
              </w:rPr>
              <w:t>4</w:t>
            </w:r>
          </w:p>
        </w:tc>
        <w:tc>
          <w:tcPr>
            <w:tcW w:w="1448" w:type="dxa"/>
            <w:vAlign w:val="center"/>
            <w:hideMark/>
          </w:tcPr>
          <w:p w14:paraId="742ADF7D" w14:textId="77777777" w:rsidR="008A4F47" w:rsidRPr="00261B7A" w:rsidRDefault="008A4F47" w:rsidP="00D41492">
            <w:pPr>
              <w:pStyle w:val="TableText"/>
              <w:keepNext/>
              <w:spacing w:before="40" w:after="40"/>
              <w:ind w:right="454"/>
              <w:jc w:val="right"/>
              <w:rPr>
                <w:i/>
              </w:rPr>
            </w:pPr>
            <w:r w:rsidRPr="00261B7A">
              <w:t>81.4</w:t>
            </w:r>
          </w:p>
        </w:tc>
      </w:tr>
      <w:tr w:rsidR="008A4F47" w:rsidRPr="00261B7A" w14:paraId="61DB9D27" w14:textId="77777777" w:rsidTr="00D41492">
        <w:trPr>
          <w:jc w:val="center"/>
        </w:trPr>
        <w:tc>
          <w:tcPr>
            <w:tcW w:w="1242" w:type="dxa"/>
            <w:vAlign w:val="center"/>
            <w:hideMark/>
          </w:tcPr>
          <w:p w14:paraId="64A8CD99" w14:textId="77777777" w:rsidR="008A4F47" w:rsidRPr="00261B7A" w:rsidRDefault="008A4F47" w:rsidP="00D41492">
            <w:pPr>
              <w:pStyle w:val="TableText"/>
              <w:keepNext/>
              <w:spacing w:before="40" w:after="40"/>
              <w:jc w:val="center"/>
              <w:rPr>
                <w:i/>
                <w:vertAlign w:val="subscript"/>
              </w:rPr>
            </w:pPr>
            <w:r w:rsidRPr="00261B7A">
              <w:t>TiO</w:t>
            </w:r>
            <w:r w:rsidRPr="00261B7A">
              <w:rPr>
                <w:vertAlign w:val="subscript"/>
              </w:rPr>
              <w:t>2</w:t>
            </w:r>
          </w:p>
        </w:tc>
        <w:tc>
          <w:tcPr>
            <w:tcW w:w="1448" w:type="dxa"/>
            <w:vAlign w:val="center"/>
            <w:hideMark/>
          </w:tcPr>
          <w:p w14:paraId="3AE44298" w14:textId="77777777" w:rsidR="008A4F47" w:rsidRPr="00261B7A" w:rsidRDefault="008A4F47" w:rsidP="00D41492">
            <w:pPr>
              <w:pStyle w:val="TableText"/>
              <w:keepNext/>
              <w:spacing w:before="40" w:after="40"/>
              <w:ind w:right="454"/>
              <w:jc w:val="right"/>
              <w:rPr>
                <w:i/>
              </w:rPr>
            </w:pPr>
            <w:r w:rsidRPr="00261B7A">
              <w:t>7.9</w:t>
            </w:r>
          </w:p>
        </w:tc>
      </w:tr>
      <w:tr w:rsidR="008A4F47" w:rsidRPr="00261B7A" w14:paraId="2E50C092" w14:textId="77777777" w:rsidTr="00D41492">
        <w:trPr>
          <w:jc w:val="center"/>
        </w:trPr>
        <w:tc>
          <w:tcPr>
            <w:tcW w:w="1242" w:type="dxa"/>
            <w:vAlign w:val="center"/>
            <w:hideMark/>
          </w:tcPr>
          <w:p w14:paraId="4128DC80" w14:textId="77777777" w:rsidR="008A4F47" w:rsidRPr="00261B7A" w:rsidRDefault="008A4F47" w:rsidP="00D41492">
            <w:pPr>
              <w:pStyle w:val="TableText"/>
              <w:spacing w:before="40" w:after="40"/>
              <w:jc w:val="center"/>
              <w:rPr>
                <w:i/>
                <w:vertAlign w:val="subscript"/>
              </w:rPr>
            </w:pPr>
            <w:r w:rsidRPr="00261B7A">
              <w:t>Al</w:t>
            </w:r>
            <w:r w:rsidRPr="00261B7A">
              <w:rPr>
                <w:vertAlign w:val="subscript"/>
              </w:rPr>
              <w:t>2</w:t>
            </w:r>
            <w:r w:rsidRPr="00261B7A">
              <w:t>O</w:t>
            </w:r>
            <w:r w:rsidRPr="00261B7A">
              <w:rPr>
                <w:vertAlign w:val="subscript"/>
              </w:rPr>
              <w:t>3</w:t>
            </w:r>
          </w:p>
        </w:tc>
        <w:tc>
          <w:tcPr>
            <w:tcW w:w="1448" w:type="dxa"/>
            <w:vAlign w:val="center"/>
            <w:hideMark/>
          </w:tcPr>
          <w:p w14:paraId="579FF397" w14:textId="77777777" w:rsidR="008A4F47" w:rsidRPr="00261B7A" w:rsidRDefault="008A4F47" w:rsidP="00D41492">
            <w:pPr>
              <w:pStyle w:val="TableText"/>
              <w:spacing w:before="40" w:after="40"/>
              <w:ind w:right="454"/>
              <w:jc w:val="right"/>
              <w:rPr>
                <w:i/>
              </w:rPr>
            </w:pPr>
            <w:r w:rsidRPr="00261B7A">
              <w:t>3.7</w:t>
            </w:r>
          </w:p>
        </w:tc>
      </w:tr>
      <w:tr w:rsidR="008A4F47" w:rsidRPr="00261B7A" w14:paraId="21516130" w14:textId="77777777" w:rsidTr="00D41492">
        <w:trPr>
          <w:jc w:val="center"/>
        </w:trPr>
        <w:tc>
          <w:tcPr>
            <w:tcW w:w="1242" w:type="dxa"/>
            <w:vAlign w:val="center"/>
            <w:hideMark/>
          </w:tcPr>
          <w:p w14:paraId="6AF87D46" w14:textId="77777777" w:rsidR="008A4F47" w:rsidRPr="00261B7A" w:rsidRDefault="008A4F47" w:rsidP="00D41492">
            <w:pPr>
              <w:pStyle w:val="TableText"/>
              <w:spacing w:before="40" w:after="40"/>
              <w:jc w:val="center"/>
              <w:rPr>
                <w:i/>
              </w:rPr>
            </w:pPr>
            <w:r w:rsidRPr="00261B7A">
              <w:t>MgO</w:t>
            </w:r>
          </w:p>
        </w:tc>
        <w:tc>
          <w:tcPr>
            <w:tcW w:w="1448" w:type="dxa"/>
            <w:vAlign w:val="center"/>
            <w:hideMark/>
          </w:tcPr>
          <w:p w14:paraId="59EAD745" w14:textId="77777777" w:rsidR="008A4F47" w:rsidRPr="00261B7A" w:rsidRDefault="008A4F47" w:rsidP="00D41492">
            <w:pPr>
              <w:pStyle w:val="TableText"/>
              <w:spacing w:before="40" w:after="40"/>
              <w:ind w:right="454"/>
              <w:jc w:val="right"/>
              <w:rPr>
                <w:i/>
              </w:rPr>
            </w:pPr>
            <w:r w:rsidRPr="00261B7A">
              <w:t>2.9</w:t>
            </w:r>
          </w:p>
        </w:tc>
      </w:tr>
      <w:tr w:rsidR="008A4F47" w:rsidRPr="00261B7A" w14:paraId="18F1F0B8" w14:textId="77777777" w:rsidTr="00D41492">
        <w:trPr>
          <w:jc w:val="center"/>
        </w:trPr>
        <w:tc>
          <w:tcPr>
            <w:tcW w:w="1242" w:type="dxa"/>
            <w:vAlign w:val="center"/>
            <w:hideMark/>
          </w:tcPr>
          <w:p w14:paraId="4A0A3039" w14:textId="77777777" w:rsidR="008A4F47" w:rsidRPr="00261B7A" w:rsidRDefault="008A4F47" w:rsidP="00D41492">
            <w:pPr>
              <w:pStyle w:val="TableText"/>
              <w:spacing w:before="40" w:after="40"/>
              <w:jc w:val="center"/>
              <w:rPr>
                <w:i/>
                <w:vertAlign w:val="subscript"/>
              </w:rPr>
            </w:pPr>
            <w:r w:rsidRPr="00261B7A">
              <w:t>SiO</w:t>
            </w:r>
            <w:r w:rsidRPr="00261B7A">
              <w:rPr>
                <w:vertAlign w:val="subscript"/>
              </w:rPr>
              <w:t>2</w:t>
            </w:r>
          </w:p>
        </w:tc>
        <w:tc>
          <w:tcPr>
            <w:tcW w:w="1448" w:type="dxa"/>
            <w:vAlign w:val="center"/>
            <w:hideMark/>
          </w:tcPr>
          <w:p w14:paraId="03E8E6FB" w14:textId="77777777" w:rsidR="008A4F47" w:rsidRPr="00261B7A" w:rsidRDefault="008A4F47" w:rsidP="00D41492">
            <w:pPr>
              <w:pStyle w:val="TableText"/>
              <w:spacing w:before="40" w:after="40"/>
              <w:ind w:right="454"/>
              <w:jc w:val="right"/>
              <w:rPr>
                <w:i/>
              </w:rPr>
            </w:pPr>
            <w:r w:rsidRPr="00261B7A">
              <w:t>2.3</w:t>
            </w:r>
          </w:p>
        </w:tc>
      </w:tr>
      <w:tr w:rsidR="008A4F47" w:rsidRPr="00261B7A" w14:paraId="54FD1DC4" w14:textId="77777777" w:rsidTr="00D41492">
        <w:trPr>
          <w:jc w:val="center"/>
        </w:trPr>
        <w:tc>
          <w:tcPr>
            <w:tcW w:w="1242" w:type="dxa"/>
            <w:vAlign w:val="center"/>
            <w:hideMark/>
          </w:tcPr>
          <w:p w14:paraId="14AC8BE7" w14:textId="77777777" w:rsidR="008A4F47" w:rsidRPr="00261B7A" w:rsidRDefault="008A4F47" w:rsidP="00D41492">
            <w:pPr>
              <w:pStyle w:val="TableText"/>
              <w:spacing w:before="40" w:after="40"/>
              <w:jc w:val="center"/>
              <w:rPr>
                <w:i/>
              </w:rPr>
            </w:pPr>
            <w:r w:rsidRPr="00261B7A">
              <w:t>MnO</w:t>
            </w:r>
          </w:p>
        </w:tc>
        <w:tc>
          <w:tcPr>
            <w:tcW w:w="1448" w:type="dxa"/>
            <w:vAlign w:val="center"/>
            <w:hideMark/>
          </w:tcPr>
          <w:p w14:paraId="3A7FD437" w14:textId="77777777" w:rsidR="008A4F47" w:rsidRPr="00261B7A" w:rsidRDefault="008A4F47" w:rsidP="00D41492">
            <w:pPr>
              <w:pStyle w:val="TableText"/>
              <w:spacing w:before="40" w:after="40"/>
              <w:ind w:right="454"/>
              <w:jc w:val="right"/>
              <w:rPr>
                <w:i/>
              </w:rPr>
            </w:pPr>
            <w:r w:rsidRPr="00261B7A">
              <w:t>0.6</w:t>
            </w:r>
          </w:p>
        </w:tc>
      </w:tr>
      <w:tr w:rsidR="008A4F47" w:rsidRPr="00261B7A" w14:paraId="58B0FBF9" w14:textId="77777777" w:rsidTr="00D41492">
        <w:trPr>
          <w:jc w:val="center"/>
        </w:trPr>
        <w:tc>
          <w:tcPr>
            <w:tcW w:w="1242" w:type="dxa"/>
            <w:vAlign w:val="center"/>
            <w:hideMark/>
          </w:tcPr>
          <w:p w14:paraId="0D6BD59A" w14:textId="77777777" w:rsidR="008A4F47" w:rsidRPr="00261B7A" w:rsidRDefault="008A4F47" w:rsidP="00D41492">
            <w:pPr>
              <w:pStyle w:val="TableText"/>
              <w:spacing w:before="40" w:after="40"/>
              <w:jc w:val="center"/>
              <w:rPr>
                <w:i/>
              </w:rPr>
            </w:pPr>
            <w:r w:rsidRPr="00261B7A">
              <w:t>CaO</w:t>
            </w:r>
          </w:p>
        </w:tc>
        <w:tc>
          <w:tcPr>
            <w:tcW w:w="1448" w:type="dxa"/>
            <w:vAlign w:val="center"/>
            <w:hideMark/>
          </w:tcPr>
          <w:p w14:paraId="7CEE2FE9" w14:textId="77777777" w:rsidR="008A4F47" w:rsidRPr="00261B7A" w:rsidRDefault="008A4F47" w:rsidP="00D41492">
            <w:pPr>
              <w:pStyle w:val="TableText"/>
              <w:spacing w:before="40" w:after="40"/>
              <w:ind w:right="454"/>
              <w:jc w:val="right"/>
              <w:rPr>
                <w:i/>
              </w:rPr>
            </w:pPr>
            <w:r w:rsidRPr="00261B7A">
              <w:t>0.5</w:t>
            </w:r>
          </w:p>
        </w:tc>
      </w:tr>
      <w:tr w:rsidR="008A4F47" w:rsidRPr="00261B7A" w14:paraId="47E7B78D" w14:textId="77777777" w:rsidTr="00D41492">
        <w:trPr>
          <w:jc w:val="center"/>
        </w:trPr>
        <w:tc>
          <w:tcPr>
            <w:tcW w:w="1242" w:type="dxa"/>
            <w:vAlign w:val="center"/>
            <w:hideMark/>
          </w:tcPr>
          <w:p w14:paraId="18BF62E4" w14:textId="77777777" w:rsidR="008A4F47" w:rsidRPr="00261B7A" w:rsidRDefault="008A4F47" w:rsidP="00D41492">
            <w:pPr>
              <w:pStyle w:val="TableText"/>
              <w:spacing w:before="40" w:after="40"/>
              <w:jc w:val="center"/>
              <w:rPr>
                <w:i/>
                <w:vertAlign w:val="subscript"/>
              </w:rPr>
            </w:pPr>
            <w:r w:rsidRPr="00261B7A">
              <w:t>V</w:t>
            </w:r>
            <w:r w:rsidRPr="00261B7A">
              <w:rPr>
                <w:vertAlign w:val="subscript"/>
              </w:rPr>
              <w:t>2</w:t>
            </w:r>
            <w:r w:rsidRPr="00261B7A">
              <w:t>O</w:t>
            </w:r>
            <w:r w:rsidRPr="00261B7A">
              <w:rPr>
                <w:vertAlign w:val="subscript"/>
              </w:rPr>
              <w:t>3</w:t>
            </w:r>
          </w:p>
        </w:tc>
        <w:tc>
          <w:tcPr>
            <w:tcW w:w="1448" w:type="dxa"/>
            <w:vAlign w:val="center"/>
            <w:hideMark/>
          </w:tcPr>
          <w:p w14:paraId="014179BB" w14:textId="77777777" w:rsidR="008A4F47" w:rsidRPr="00261B7A" w:rsidRDefault="008A4F47" w:rsidP="00D41492">
            <w:pPr>
              <w:pStyle w:val="TableText"/>
              <w:spacing w:before="40" w:after="40"/>
              <w:ind w:right="454"/>
              <w:jc w:val="right"/>
              <w:rPr>
                <w:i/>
              </w:rPr>
            </w:pPr>
            <w:r w:rsidRPr="00261B7A">
              <w:t>0.5</w:t>
            </w:r>
          </w:p>
        </w:tc>
      </w:tr>
      <w:tr w:rsidR="008A4F47" w:rsidRPr="00261B7A" w14:paraId="7E96B099" w14:textId="77777777" w:rsidTr="00D41492">
        <w:trPr>
          <w:jc w:val="center"/>
        </w:trPr>
        <w:tc>
          <w:tcPr>
            <w:tcW w:w="1242" w:type="dxa"/>
            <w:vAlign w:val="center"/>
            <w:hideMark/>
          </w:tcPr>
          <w:p w14:paraId="1F79740B" w14:textId="77777777" w:rsidR="008A4F47" w:rsidRPr="00261B7A" w:rsidRDefault="008A4F47" w:rsidP="00D41492">
            <w:pPr>
              <w:pStyle w:val="TableText"/>
              <w:spacing w:before="40" w:after="40"/>
              <w:jc w:val="center"/>
              <w:rPr>
                <w:i/>
              </w:rPr>
            </w:pPr>
            <w:r w:rsidRPr="00261B7A">
              <w:t>Zn</w:t>
            </w:r>
          </w:p>
        </w:tc>
        <w:tc>
          <w:tcPr>
            <w:tcW w:w="1448" w:type="dxa"/>
            <w:vAlign w:val="center"/>
            <w:hideMark/>
          </w:tcPr>
          <w:p w14:paraId="11658471" w14:textId="77777777" w:rsidR="008A4F47" w:rsidRPr="00261B7A" w:rsidRDefault="008A4F47" w:rsidP="00D41492">
            <w:pPr>
              <w:pStyle w:val="TableText"/>
              <w:spacing w:before="40" w:after="40"/>
              <w:ind w:right="454"/>
              <w:jc w:val="right"/>
              <w:rPr>
                <w:i/>
              </w:rPr>
            </w:pPr>
            <w:r w:rsidRPr="00261B7A">
              <w:t>0.1</w:t>
            </w:r>
          </w:p>
        </w:tc>
      </w:tr>
      <w:tr w:rsidR="008A4F47" w:rsidRPr="00261B7A" w14:paraId="55BF6A9D" w14:textId="77777777" w:rsidTr="00D41492">
        <w:trPr>
          <w:jc w:val="center"/>
        </w:trPr>
        <w:tc>
          <w:tcPr>
            <w:tcW w:w="1242" w:type="dxa"/>
            <w:vAlign w:val="center"/>
            <w:hideMark/>
          </w:tcPr>
          <w:p w14:paraId="7601DDB5" w14:textId="77777777" w:rsidR="008A4F47" w:rsidRPr="00261B7A" w:rsidRDefault="008A4F47" w:rsidP="00D41492">
            <w:pPr>
              <w:pStyle w:val="TableText"/>
              <w:spacing w:before="40" w:after="40"/>
              <w:jc w:val="center"/>
              <w:rPr>
                <w:i/>
              </w:rPr>
            </w:pPr>
            <w:r w:rsidRPr="00261B7A">
              <w:t>Na</w:t>
            </w:r>
            <w:r w:rsidRPr="00261B7A">
              <w:rPr>
                <w:vertAlign w:val="subscript"/>
              </w:rPr>
              <w:t>2</w:t>
            </w:r>
            <w:r w:rsidRPr="00261B7A">
              <w:t>O</w:t>
            </w:r>
          </w:p>
        </w:tc>
        <w:tc>
          <w:tcPr>
            <w:tcW w:w="1448" w:type="dxa"/>
            <w:vAlign w:val="center"/>
            <w:hideMark/>
          </w:tcPr>
          <w:p w14:paraId="40A359F9" w14:textId="77777777" w:rsidR="008A4F47" w:rsidRPr="00261B7A" w:rsidRDefault="008A4F47" w:rsidP="00D41492">
            <w:pPr>
              <w:pStyle w:val="TableText"/>
              <w:spacing w:before="40" w:after="40"/>
              <w:ind w:right="454"/>
              <w:jc w:val="right"/>
              <w:rPr>
                <w:i/>
              </w:rPr>
            </w:pPr>
            <w:r w:rsidRPr="00261B7A">
              <w:t>0.1</w:t>
            </w:r>
          </w:p>
        </w:tc>
      </w:tr>
      <w:tr w:rsidR="008A4F47" w:rsidRPr="00261B7A" w14:paraId="0BBBA020" w14:textId="77777777" w:rsidTr="00D41492">
        <w:trPr>
          <w:jc w:val="center"/>
        </w:trPr>
        <w:tc>
          <w:tcPr>
            <w:tcW w:w="1242" w:type="dxa"/>
            <w:vAlign w:val="center"/>
            <w:hideMark/>
          </w:tcPr>
          <w:p w14:paraId="2B69FBFA" w14:textId="77777777" w:rsidR="008A4F47" w:rsidRPr="00261B7A" w:rsidRDefault="008A4F47" w:rsidP="00D41492">
            <w:pPr>
              <w:pStyle w:val="TableText"/>
              <w:spacing w:before="40" w:after="40"/>
              <w:jc w:val="center"/>
              <w:rPr>
                <w:i/>
              </w:rPr>
            </w:pPr>
            <w:r w:rsidRPr="00261B7A">
              <w:t>Cr</w:t>
            </w:r>
          </w:p>
        </w:tc>
        <w:tc>
          <w:tcPr>
            <w:tcW w:w="1448" w:type="dxa"/>
            <w:vAlign w:val="center"/>
            <w:hideMark/>
          </w:tcPr>
          <w:p w14:paraId="1BF471BA" w14:textId="77777777" w:rsidR="008A4F47" w:rsidRPr="00261B7A" w:rsidRDefault="008A4F47" w:rsidP="00D41492">
            <w:pPr>
              <w:pStyle w:val="TableText"/>
              <w:spacing w:before="40" w:after="40"/>
              <w:ind w:right="454"/>
              <w:jc w:val="right"/>
              <w:rPr>
                <w:i/>
              </w:rPr>
            </w:pPr>
            <w:r w:rsidRPr="00261B7A">
              <w:t>0.0</w:t>
            </w:r>
          </w:p>
        </w:tc>
      </w:tr>
      <w:tr w:rsidR="008A4F47" w:rsidRPr="00261B7A" w14:paraId="23110C0A" w14:textId="77777777" w:rsidTr="00D41492">
        <w:trPr>
          <w:jc w:val="center"/>
        </w:trPr>
        <w:tc>
          <w:tcPr>
            <w:tcW w:w="1242" w:type="dxa"/>
            <w:vAlign w:val="center"/>
            <w:hideMark/>
          </w:tcPr>
          <w:p w14:paraId="37FA9DE7" w14:textId="77777777" w:rsidR="008A4F47" w:rsidRPr="00261B7A" w:rsidRDefault="008A4F47" w:rsidP="00D41492">
            <w:pPr>
              <w:pStyle w:val="TableText"/>
              <w:spacing w:before="40" w:after="40"/>
              <w:jc w:val="center"/>
              <w:rPr>
                <w:i/>
              </w:rPr>
            </w:pPr>
            <w:r w:rsidRPr="00261B7A">
              <w:t>P</w:t>
            </w:r>
          </w:p>
        </w:tc>
        <w:tc>
          <w:tcPr>
            <w:tcW w:w="1448" w:type="dxa"/>
            <w:vAlign w:val="center"/>
            <w:hideMark/>
          </w:tcPr>
          <w:p w14:paraId="24887C30" w14:textId="77777777" w:rsidR="008A4F47" w:rsidRPr="00261B7A" w:rsidRDefault="008A4F47" w:rsidP="00D41492">
            <w:pPr>
              <w:pStyle w:val="TableText"/>
              <w:spacing w:before="40" w:after="40"/>
              <w:ind w:right="454"/>
              <w:jc w:val="right"/>
              <w:rPr>
                <w:i/>
              </w:rPr>
            </w:pPr>
            <w:r w:rsidRPr="00261B7A">
              <w:t>0.0</w:t>
            </w:r>
          </w:p>
        </w:tc>
      </w:tr>
      <w:tr w:rsidR="008A4F47" w:rsidRPr="00261B7A" w14:paraId="74802992" w14:textId="77777777" w:rsidTr="00D41492">
        <w:trPr>
          <w:jc w:val="center"/>
        </w:trPr>
        <w:tc>
          <w:tcPr>
            <w:tcW w:w="1242" w:type="dxa"/>
            <w:vAlign w:val="center"/>
            <w:hideMark/>
          </w:tcPr>
          <w:p w14:paraId="6007A3DD" w14:textId="77777777" w:rsidR="008A4F47" w:rsidRPr="00261B7A" w:rsidRDefault="008A4F47" w:rsidP="00D41492">
            <w:pPr>
              <w:pStyle w:val="TableText"/>
              <w:spacing w:before="40" w:after="40"/>
              <w:jc w:val="center"/>
              <w:rPr>
                <w:i/>
              </w:rPr>
            </w:pPr>
            <w:r w:rsidRPr="00261B7A">
              <w:t>K</w:t>
            </w:r>
            <w:r w:rsidRPr="00261B7A">
              <w:rPr>
                <w:vertAlign w:val="subscript"/>
              </w:rPr>
              <w:t>2</w:t>
            </w:r>
            <w:r w:rsidRPr="00261B7A">
              <w:t>O</w:t>
            </w:r>
          </w:p>
        </w:tc>
        <w:tc>
          <w:tcPr>
            <w:tcW w:w="1448" w:type="dxa"/>
            <w:vAlign w:val="center"/>
            <w:hideMark/>
          </w:tcPr>
          <w:p w14:paraId="20263306" w14:textId="77777777" w:rsidR="008A4F47" w:rsidRPr="00261B7A" w:rsidRDefault="008A4F47" w:rsidP="00D41492">
            <w:pPr>
              <w:pStyle w:val="TableText"/>
              <w:spacing w:before="40" w:after="40"/>
              <w:ind w:right="454"/>
              <w:jc w:val="right"/>
              <w:rPr>
                <w:i/>
              </w:rPr>
            </w:pPr>
            <w:r w:rsidRPr="00261B7A">
              <w:t>0.0</w:t>
            </w:r>
          </w:p>
        </w:tc>
      </w:tr>
      <w:tr w:rsidR="008A4F47" w:rsidRPr="00261B7A" w14:paraId="092546F6" w14:textId="77777777" w:rsidTr="00D41492">
        <w:trPr>
          <w:jc w:val="center"/>
        </w:trPr>
        <w:tc>
          <w:tcPr>
            <w:tcW w:w="1242" w:type="dxa"/>
            <w:vAlign w:val="center"/>
            <w:hideMark/>
          </w:tcPr>
          <w:p w14:paraId="73C7AF4F" w14:textId="77777777" w:rsidR="008A4F47" w:rsidRPr="00261B7A" w:rsidRDefault="008A4F47" w:rsidP="00D41492">
            <w:pPr>
              <w:pStyle w:val="TableText"/>
              <w:spacing w:before="40" w:after="40"/>
              <w:jc w:val="center"/>
              <w:rPr>
                <w:i/>
              </w:rPr>
            </w:pPr>
            <w:r w:rsidRPr="00261B7A">
              <w:t>Cu</w:t>
            </w:r>
          </w:p>
        </w:tc>
        <w:tc>
          <w:tcPr>
            <w:tcW w:w="1448" w:type="dxa"/>
            <w:vAlign w:val="center"/>
            <w:hideMark/>
          </w:tcPr>
          <w:p w14:paraId="4E9D71D8" w14:textId="77777777" w:rsidR="008A4F47" w:rsidRPr="00261B7A" w:rsidRDefault="008A4F47" w:rsidP="00D41492">
            <w:pPr>
              <w:pStyle w:val="TableText"/>
              <w:spacing w:before="40" w:after="40"/>
              <w:ind w:right="454"/>
              <w:jc w:val="right"/>
              <w:rPr>
                <w:i/>
              </w:rPr>
            </w:pPr>
            <w:r w:rsidRPr="00261B7A">
              <w:t>0.0</w:t>
            </w:r>
          </w:p>
        </w:tc>
      </w:tr>
      <w:tr w:rsidR="008A4F47" w:rsidRPr="00261B7A" w14:paraId="3EB932AE" w14:textId="77777777" w:rsidTr="00D41492">
        <w:trPr>
          <w:jc w:val="center"/>
        </w:trPr>
        <w:tc>
          <w:tcPr>
            <w:tcW w:w="1242" w:type="dxa"/>
            <w:vAlign w:val="center"/>
            <w:hideMark/>
          </w:tcPr>
          <w:p w14:paraId="761FF686" w14:textId="77777777" w:rsidR="008A4F47" w:rsidRPr="00261B7A" w:rsidRDefault="008A4F47" w:rsidP="00D41492">
            <w:pPr>
              <w:pStyle w:val="TableText"/>
              <w:spacing w:before="40" w:after="40"/>
              <w:jc w:val="center"/>
              <w:rPr>
                <w:b/>
                <w:bCs/>
                <w:i/>
              </w:rPr>
            </w:pPr>
            <w:r w:rsidRPr="00261B7A">
              <w:rPr>
                <w:b/>
                <w:bCs/>
              </w:rPr>
              <w:t>Total</w:t>
            </w:r>
          </w:p>
        </w:tc>
        <w:tc>
          <w:tcPr>
            <w:tcW w:w="1448" w:type="dxa"/>
            <w:vAlign w:val="center"/>
            <w:hideMark/>
          </w:tcPr>
          <w:p w14:paraId="4341647F" w14:textId="77777777" w:rsidR="008A4F47" w:rsidRPr="00261B7A" w:rsidRDefault="008A4F47" w:rsidP="00D41492">
            <w:pPr>
              <w:pStyle w:val="TableText"/>
              <w:spacing w:before="40" w:after="40"/>
              <w:ind w:right="454"/>
              <w:jc w:val="right"/>
              <w:rPr>
                <w:b/>
                <w:bCs/>
                <w:i/>
              </w:rPr>
            </w:pPr>
            <w:r w:rsidRPr="00261B7A">
              <w:rPr>
                <w:b/>
                <w:bCs/>
              </w:rPr>
              <w:t>100.0</w:t>
            </w:r>
          </w:p>
        </w:tc>
      </w:tr>
    </w:tbl>
    <w:p w14:paraId="61DA0F2E" w14:textId="77777777" w:rsidR="008A4F47" w:rsidRPr="00261B7A" w:rsidRDefault="008A4F47" w:rsidP="008A4F47">
      <w:pPr>
        <w:pStyle w:val="BodyText"/>
        <w:spacing w:before="360"/>
      </w:pPr>
      <w:r w:rsidRPr="00261B7A">
        <w:t>Figure 4.4.1 shows a simplified illustration of steel production in New Zealand.</w:t>
      </w:r>
    </w:p>
    <w:p w14:paraId="05854CFA" w14:textId="77777777" w:rsidR="008A4F47" w:rsidRPr="00261B7A" w:rsidRDefault="008A4F47" w:rsidP="008A4F47">
      <w:pPr>
        <w:pStyle w:val="Figure"/>
      </w:pPr>
      <w:bookmarkStart w:id="515" w:name="_Toc5269682"/>
      <w:bookmarkStart w:id="516" w:name="_Toc36292785"/>
      <w:bookmarkStart w:id="517" w:name="_Toc68786650"/>
      <w:bookmarkStart w:id="518" w:name="_Toc131591552"/>
      <w:r w:rsidRPr="00261B7A">
        <w:t xml:space="preserve">Figure 4.4.1 </w:t>
      </w:r>
      <w:r w:rsidRPr="00261B7A">
        <w:tab/>
        <w:t>Simplified schematic of iron and steel production in New Zealand</w:t>
      </w:r>
      <w:bookmarkEnd w:id="515"/>
      <w:bookmarkEnd w:id="516"/>
      <w:bookmarkEnd w:id="517"/>
      <w:bookmarkEnd w:id="518"/>
    </w:p>
    <w:p w14:paraId="65E6D08F" w14:textId="77777777" w:rsidR="008A4F47" w:rsidRPr="00261B7A" w:rsidRDefault="008A4F47" w:rsidP="008A4F47">
      <w:pPr>
        <w:pStyle w:val="BodyText"/>
      </w:pPr>
      <w:r w:rsidRPr="00261B7A">
        <w:rPr>
          <w:noProof/>
        </w:rPr>
        <w:drawing>
          <wp:inline distT="0" distB="0" distL="0" distR="0" wp14:anchorId="4952E6CB" wp14:editId="0C6CCF3E">
            <wp:extent cx="5281296" cy="3206115"/>
            <wp:effectExtent l="0" t="0" r="0" b="0"/>
            <wp:docPr id="1922151953" name="Picture 1922151953" title="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2151953"/>
                    <pic:cNvPicPr/>
                  </pic:nvPicPr>
                  <pic:blipFill>
                    <a:blip r:embed="rId100">
                      <a:extLst>
                        <a:ext uri="{28A0092B-C50C-407E-A947-70E740481C1C}">
                          <a14:useLocalDpi xmlns:a14="http://schemas.microsoft.com/office/drawing/2010/main" val="0"/>
                        </a:ext>
                      </a:extLst>
                    </a:blip>
                    <a:srcRect l="21162" t="26622" r="26766" b="14344"/>
                    <a:stretch>
                      <a:fillRect/>
                    </a:stretch>
                  </pic:blipFill>
                  <pic:spPr>
                    <a:xfrm>
                      <a:off x="0" y="0"/>
                      <a:ext cx="5281296" cy="3206115"/>
                    </a:xfrm>
                    <a:prstGeom prst="rect">
                      <a:avLst/>
                    </a:prstGeom>
                  </pic:spPr>
                </pic:pic>
              </a:graphicData>
            </a:graphic>
          </wp:inline>
        </w:drawing>
      </w:r>
    </w:p>
    <w:p w14:paraId="62DBF190" w14:textId="77777777" w:rsidR="008A4F47" w:rsidRPr="00261B7A" w:rsidRDefault="008A4F47" w:rsidP="008A4F47">
      <w:pPr>
        <w:pStyle w:val="BodyText"/>
      </w:pPr>
      <w:r w:rsidRPr="00261B7A">
        <w:t>Nearly all of the carbon entering the process is from coal used as a reductant in the iron-making process, and nearly all of this is emitted as CO</w:t>
      </w:r>
      <w:r w:rsidRPr="00261B7A">
        <w:rPr>
          <w:vertAlign w:val="subscript"/>
        </w:rPr>
        <w:t>2</w:t>
      </w:r>
      <w:r w:rsidRPr="00261B7A">
        <w:t xml:space="preserve"> in two waste gas streams: </w:t>
      </w:r>
    </w:p>
    <w:p w14:paraId="2ACF0591" w14:textId="77777777" w:rsidR="008A4F47" w:rsidRPr="00261B7A" w:rsidRDefault="008A4F47" w:rsidP="008A4F47">
      <w:pPr>
        <w:pStyle w:val="Bullet"/>
      </w:pPr>
      <w:r w:rsidRPr="00261B7A">
        <w:t>gas generated in multi-hearth furnaces used to heat and dry concentrated iron sand and coal – this gas contains excess volatiles from the coal</w:t>
      </w:r>
    </w:p>
    <w:p w14:paraId="631566DD" w14:textId="77777777" w:rsidR="008A4F47" w:rsidRPr="00261B7A" w:rsidRDefault="008A4F47" w:rsidP="008A4F47">
      <w:pPr>
        <w:pStyle w:val="Bullet"/>
      </w:pPr>
      <w:r w:rsidRPr="00261B7A">
        <w:t xml:space="preserve">gas generated in rotary reduction kilns used to convert oxide in the iron sand to iron </w:t>
      </w:r>
      <w:r w:rsidRPr="00261B7A">
        <w:br/>
        <w:t xml:space="preserve">– this gas is rich in CO. </w:t>
      </w:r>
    </w:p>
    <w:p w14:paraId="4718084C" w14:textId="77777777" w:rsidR="008A4F47" w:rsidRPr="00261B7A" w:rsidRDefault="008A4F47" w:rsidP="008A4F47">
      <w:pPr>
        <w:pStyle w:val="BodyText"/>
      </w:pPr>
      <w:r w:rsidRPr="00261B7A">
        <w:t xml:space="preserve">All of this waste gas is combusted in ‘afterburners’ and used for electricity production. It would </w:t>
      </w:r>
      <w:r w:rsidRPr="00261B7A">
        <w:rPr>
          <w:spacing w:val="-2"/>
        </w:rPr>
        <w:t>not be acceptable for gas containing coal volatiles or CO to be emitted without this combustion</w:t>
      </w:r>
      <w:r w:rsidRPr="00261B7A">
        <w:t xml:space="preserve"> stage. There is no other flaring or disposal mode for the waste gases. Emissions from supplementary natural gas used in this plant are reported under the Energy sector (1.A.2.a). New Zealand Steel reported in the past (CRL Energy Ltd unpublished(b)) that there were no detectable methane emissions from this plant. No updated information is currently available. </w:t>
      </w:r>
    </w:p>
    <w:p w14:paraId="0003278D" w14:textId="77777777" w:rsidR="008A4F47" w:rsidRPr="00261B7A" w:rsidRDefault="008A4F47" w:rsidP="008A4F47">
      <w:pPr>
        <w:pStyle w:val="BodyText"/>
      </w:pPr>
      <w:r w:rsidRPr="00261B7A">
        <w:t>Much smaller amounts of CO</w:t>
      </w:r>
      <w:r w:rsidRPr="00261B7A">
        <w:rPr>
          <w:vertAlign w:val="subscript"/>
        </w:rPr>
        <w:t>2</w:t>
      </w:r>
      <w:r w:rsidRPr="00261B7A">
        <w:t xml:space="preserve"> are derived from limestone added to the multi-hearth furnaces, and from additives and natural gas used in melters and steel making. </w:t>
      </w:r>
    </w:p>
    <w:p w14:paraId="1410FAD5" w14:textId="77777777" w:rsidR="008A4F47" w:rsidRPr="00261B7A" w:rsidRDefault="008A4F47" w:rsidP="008A4F47">
      <w:pPr>
        <w:pStyle w:val="Heading5"/>
      </w:pPr>
      <w:r w:rsidRPr="00261B7A">
        <w:t>Aluminium production (2.C.3)</w:t>
      </w:r>
    </w:p>
    <w:p w14:paraId="6A73701B" w14:textId="77777777" w:rsidR="008A4F47" w:rsidRPr="00261B7A" w:rsidRDefault="008A4F47" w:rsidP="008A4F47">
      <w:pPr>
        <w:pStyle w:val="BodyText"/>
      </w:pPr>
      <w:r w:rsidRPr="00261B7A">
        <w:t>Carbon dioxide is emitted during the oxidation of carbon anodes. The two PFCs perfluoromethane (CF</w:t>
      </w:r>
      <w:r w:rsidRPr="00261B7A">
        <w:rPr>
          <w:vertAlign w:val="subscript"/>
        </w:rPr>
        <w:t>4</w:t>
      </w:r>
      <w:r w:rsidRPr="00261B7A">
        <w:t>) and perfluoroethane (C</w:t>
      </w:r>
      <w:r w:rsidRPr="00261B7A">
        <w:rPr>
          <w:vertAlign w:val="subscript"/>
        </w:rPr>
        <w:t>2</w:t>
      </w:r>
      <w:r w:rsidRPr="00261B7A">
        <w:t>F</w:t>
      </w:r>
      <w:r w:rsidRPr="00261B7A">
        <w:rPr>
          <w:vertAlign w:val="subscript"/>
        </w:rPr>
        <w:t>6</w:t>
      </w:r>
      <w:r w:rsidRPr="00261B7A">
        <w:t xml:space="preserve">) are emitted from the reduction cells used for smelting during anode effects. An anode effect occurs when the aluminium oxide concentration in the cell is low. The emissions from combustion of various fuels used in aluminium production (heavy fuel oil, liquefied petroleum gas, petrol and diesel) are reported under the Energy sector. </w:t>
      </w:r>
    </w:p>
    <w:p w14:paraId="69A0A259" w14:textId="77777777" w:rsidR="008A4F47" w:rsidRPr="00261B7A" w:rsidRDefault="008A4F47" w:rsidP="008A4F47">
      <w:pPr>
        <w:pStyle w:val="BodyText"/>
      </w:pPr>
      <w:r w:rsidRPr="00261B7A">
        <w:t xml:space="preserve">In 2021, the </w:t>
      </w:r>
      <w:r w:rsidRPr="00261B7A">
        <w:rPr>
          <w:i/>
        </w:rPr>
        <w:t>Aluminium production</w:t>
      </w:r>
      <w:r w:rsidRPr="00261B7A">
        <w:t xml:space="preserve"> category accounted for 592.5 kt CO</w:t>
      </w:r>
      <w:r w:rsidRPr="00261B7A">
        <w:rPr>
          <w:vertAlign w:val="subscript"/>
        </w:rPr>
        <w:t>2</w:t>
      </w:r>
      <w:r w:rsidRPr="00261B7A">
        <w:t xml:space="preserve">-e (25.6 per cent) of emissions from the </w:t>
      </w:r>
      <w:r w:rsidRPr="00261B7A">
        <w:rPr>
          <w:i/>
        </w:rPr>
        <w:t>Metal industry</w:t>
      </w:r>
      <w:r w:rsidRPr="00261B7A">
        <w:t xml:space="preserve"> category. Activity data (production of hot metal aluminium from the smelter) and estimates of CO</w:t>
      </w:r>
      <w:r w:rsidRPr="00261B7A">
        <w:rPr>
          <w:vertAlign w:val="subscript"/>
        </w:rPr>
        <w:t xml:space="preserve">2 </w:t>
      </w:r>
      <w:r w:rsidRPr="00261B7A">
        <w:t>and PFC emissions were supplied by NZAS to MBIE until 2010. From 2011 to 2021, the CO</w:t>
      </w:r>
      <w:r w:rsidRPr="00261B7A">
        <w:rPr>
          <w:vertAlign w:val="subscript"/>
        </w:rPr>
        <w:t>2</w:t>
      </w:r>
      <w:r w:rsidRPr="00261B7A">
        <w:t xml:space="preserve"> and PFC emissions data and activity data were sourced from the company’s NZ ETS reporting. </w:t>
      </w:r>
    </w:p>
    <w:p w14:paraId="52810D18" w14:textId="77777777" w:rsidR="008A4F47" w:rsidRPr="00261B7A" w:rsidRDefault="008A4F47" w:rsidP="008A4F47">
      <w:pPr>
        <w:pStyle w:val="Heading5"/>
      </w:pPr>
      <w:r w:rsidRPr="00261B7A">
        <w:t>Magnesium and other metal production</w:t>
      </w:r>
    </w:p>
    <w:p w14:paraId="3BE0269D" w14:textId="77777777" w:rsidR="008A4F47" w:rsidRPr="00261B7A" w:rsidRDefault="008A4F47" w:rsidP="008A4F47">
      <w:pPr>
        <w:pStyle w:val="BodyText"/>
      </w:pPr>
      <w:r w:rsidRPr="00261B7A">
        <w:t>From 1990 to 1999 a very small amount of SF</w:t>
      </w:r>
      <w:r w:rsidRPr="00261B7A">
        <w:rPr>
          <w:vertAlign w:val="subscript"/>
        </w:rPr>
        <w:t>6</w:t>
      </w:r>
      <w:r w:rsidRPr="00261B7A">
        <w:t xml:space="preserve"> was used as a cover gas in a magnesium foundry. Emissions are estimated based on an approximate estimate of the amount of SF</w:t>
      </w:r>
      <w:r w:rsidRPr="00261B7A">
        <w:rPr>
          <w:vertAlign w:val="subscript"/>
        </w:rPr>
        <w:t>6</w:t>
      </w:r>
      <w:r w:rsidRPr="00261B7A">
        <w:t xml:space="preserve"> that was used (2.C.4). No other activity data are available (CRL Energy, </w:t>
      </w:r>
      <w:r w:rsidRPr="00261B7A">
        <w:rPr>
          <w:rFonts w:eastAsia="+mn-ea"/>
        </w:rPr>
        <w:t>unpublished(b)</w:t>
      </w:r>
      <w:r w:rsidRPr="00261B7A">
        <w:t xml:space="preserve">). </w:t>
      </w:r>
    </w:p>
    <w:p w14:paraId="21362729" w14:textId="77777777" w:rsidR="008A4F47" w:rsidRPr="00261B7A" w:rsidRDefault="008A4F47" w:rsidP="008A4F47">
      <w:pPr>
        <w:pStyle w:val="BodyText"/>
      </w:pPr>
      <w:r w:rsidRPr="00261B7A">
        <w:t>A very small amount of CO</w:t>
      </w:r>
      <w:r w:rsidRPr="00261B7A">
        <w:rPr>
          <w:vertAlign w:val="subscript"/>
        </w:rPr>
        <w:t>2</w:t>
      </w:r>
      <w:r w:rsidRPr="00261B7A">
        <w:t xml:space="preserve"> emissions was also reported from secondary lead production between 1990 and 2015, with the approximate recycled lead output as the activity data. This production has now stopped. The only other metal production that occurs in New Zealand is gold and silver mining. No emissions are reported from these activities. </w:t>
      </w:r>
    </w:p>
    <w:p w14:paraId="3589065E" w14:textId="77777777" w:rsidR="008A4F47" w:rsidRPr="00261B7A" w:rsidRDefault="008A4F47" w:rsidP="008A4F47">
      <w:pPr>
        <w:pStyle w:val="Heading4"/>
      </w:pPr>
      <w:r w:rsidRPr="00261B7A">
        <w:t>Choice of methods</w:t>
      </w:r>
    </w:p>
    <w:p w14:paraId="64C62002" w14:textId="77777777" w:rsidR="008A4F47" w:rsidRPr="00261B7A" w:rsidRDefault="008A4F47" w:rsidP="008A4F47">
      <w:pPr>
        <w:pStyle w:val="Heading5"/>
        <w:spacing w:before="120"/>
      </w:pPr>
      <w:r w:rsidRPr="00261B7A">
        <w:t>Iron and steel production (2.C.1 and 2.C.1.a)</w:t>
      </w:r>
    </w:p>
    <w:p w14:paraId="1FC6E118" w14:textId="77777777" w:rsidR="008A4F47" w:rsidRPr="00261B7A" w:rsidRDefault="008A4F47" w:rsidP="008A4F47">
      <w:pPr>
        <w:pStyle w:val="BodyText"/>
      </w:pPr>
      <w:r w:rsidRPr="00261B7A">
        <w:t>The IPCC Tier 2 approach is used for calculating CO</w:t>
      </w:r>
      <w:r w:rsidRPr="00261B7A">
        <w:rPr>
          <w:vertAlign w:val="subscript"/>
        </w:rPr>
        <w:t>2</w:t>
      </w:r>
      <w:r w:rsidRPr="00261B7A">
        <w:t xml:space="preserve"> emissions from the iron and steel plant operated by New Zealand Steel Limited. Emissions from pig iron and steel production are not estimated separately because all of the iron made is processed into steel. This is a mass balance approach in which all carbon in inputs is assumed to be emitted, except the small amount sequestered in the steel produced. </w:t>
      </w:r>
    </w:p>
    <w:p w14:paraId="2BB60C91" w14:textId="77777777" w:rsidR="008A4F47" w:rsidRPr="00261B7A" w:rsidRDefault="008A4F47" w:rsidP="008A4F47">
      <w:pPr>
        <w:pStyle w:val="BodyText"/>
      </w:pPr>
      <w:r w:rsidRPr="00261B7A">
        <w:t>Most of the input carbon comes from the coal used as a reductant. There are also some CO</w:t>
      </w:r>
      <w:r w:rsidRPr="00261B7A">
        <w:rPr>
          <w:vertAlign w:val="subscript"/>
        </w:rPr>
        <w:t>2</w:t>
      </w:r>
      <w:r w:rsidRPr="00261B7A">
        <w:t xml:space="preserve"> emissions from the use of limestone in iron and steel production. These emissions are reported in the </w:t>
      </w:r>
      <w:r w:rsidRPr="00261B7A">
        <w:rPr>
          <w:i/>
        </w:rPr>
        <w:t>Mineral industry</w:t>
      </w:r>
      <w:r w:rsidRPr="00261B7A">
        <w:t xml:space="preserve"> category (2.A.4.d), to preserve the confidentiality of data on limestone use supplied by companies in the </w:t>
      </w:r>
      <w:r w:rsidRPr="00261B7A">
        <w:rPr>
          <w:i/>
        </w:rPr>
        <w:t>Glass production</w:t>
      </w:r>
      <w:r w:rsidRPr="00261B7A">
        <w:t xml:space="preserve"> category. A very small amount of CO</w:t>
      </w:r>
      <w:r w:rsidRPr="00261B7A">
        <w:rPr>
          <w:vertAlign w:val="subscript"/>
        </w:rPr>
        <w:t>2</w:t>
      </w:r>
      <w:r w:rsidRPr="00261B7A">
        <w:t xml:space="preserve"> from other carbon-containing inputs (coke and electrodes) is also included, and the carbon in steel produced is subtracted. </w:t>
      </w:r>
    </w:p>
    <w:p w14:paraId="020CEF05" w14:textId="77777777" w:rsidR="008A4F47" w:rsidRPr="00261B7A" w:rsidRDefault="008A4F47" w:rsidP="008A4F47">
      <w:pPr>
        <w:pStyle w:val="BodyText"/>
      </w:pPr>
      <w:r w:rsidRPr="00261B7A">
        <w:t xml:space="preserve">Emissions from the production of steel by Pacific Steel were also estimated using a Tier 2 mass balance approach. The average carbon content (0.2 per cent by mass) in the finished product is subtracted from the total carbon in inputs to obtain the amount of carbon emitted. Due to limited process data collected and retained by Pacific Steel in the past, emissions for the years 1990 to 1999 were calculated using the average of the implied emission factors for 2000 to 2008 based on production volume. </w:t>
      </w:r>
    </w:p>
    <w:p w14:paraId="453A4C36" w14:textId="77777777" w:rsidR="008A4F47" w:rsidRPr="00261B7A" w:rsidRDefault="008A4F47" w:rsidP="008A4F47">
      <w:pPr>
        <w:pStyle w:val="Heading5"/>
        <w:spacing w:before="180"/>
      </w:pPr>
      <w:r w:rsidRPr="00261B7A">
        <w:t>Aluminium production (2.C.3)</w:t>
      </w:r>
    </w:p>
    <w:p w14:paraId="688A92B4" w14:textId="77777777" w:rsidR="008A4F47" w:rsidRPr="00261B7A" w:rsidRDefault="008A4F47" w:rsidP="008A4F47">
      <w:pPr>
        <w:pStyle w:val="BodyText"/>
      </w:pPr>
      <w:r w:rsidRPr="00261B7A">
        <w:t>NZAS calculates the process CO</w:t>
      </w:r>
      <w:r w:rsidRPr="00261B7A">
        <w:rPr>
          <w:vertAlign w:val="subscript"/>
        </w:rPr>
        <w:t>2</w:t>
      </w:r>
      <w:r w:rsidRPr="00261B7A">
        <w:t xml:space="preserve"> emissions using the International Aluminium Institute’s Tier 3 method (International Aluminium Institute, 2006, equations 1–3), which is compliant with the IPCC Tier 2 method (IPPC, 2006a). The same method is used in NZ ETS reporting for aluminium smelting. This method breaks the prebake anode process into three stages: baked anode consumption, pitch volatiles consumption and packing coke consumption. </w:t>
      </w:r>
    </w:p>
    <w:p w14:paraId="272AE121" w14:textId="77777777" w:rsidR="008A4F47" w:rsidRPr="00261B7A" w:rsidRDefault="008A4F47" w:rsidP="008A4F47">
      <w:pPr>
        <w:pStyle w:val="BodyText"/>
      </w:pPr>
      <w:r w:rsidRPr="00261B7A">
        <w:t>Also, NZAS adds soda ash to the reduction cells to maintain the electrolyte chemical composition. This results in CO</w:t>
      </w:r>
      <w:r w:rsidRPr="00261B7A">
        <w:rPr>
          <w:vertAlign w:val="subscript"/>
        </w:rPr>
        <w:t>2</w:t>
      </w:r>
      <w:r w:rsidRPr="00261B7A">
        <w:t xml:space="preserve"> emissions as a by-product. These emissions are reported in the </w:t>
      </w:r>
      <w:r w:rsidRPr="00261B7A">
        <w:rPr>
          <w:i/>
        </w:rPr>
        <w:t>Mineral industry</w:t>
      </w:r>
      <w:r w:rsidRPr="00261B7A">
        <w:t xml:space="preserve"> category (2.A.4.b) to preserve the confidentiality of data on soda ash use supplied by companies in the </w:t>
      </w:r>
      <w:r w:rsidRPr="00261B7A">
        <w:rPr>
          <w:i/>
        </w:rPr>
        <w:t>Glass production</w:t>
      </w:r>
      <w:r w:rsidRPr="00261B7A">
        <w:t xml:space="preserve"> category. </w:t>
      </w:r>
    </w:p>
    <w:p w14:paraId="330B6B62" w14:textId="77777777" w:rsidR="008A4F47" w:rsidRPr="00261B7A" w:rsidRDefault="008A4F47" w:rsidP="008A4F47">
      <w:pPr>
        <w:pStyle w:val="BodyText"/>
      </w:pPr>
      <w:r w:rsidRPr="00261B7A">
        <w:t>Data on the duration of anode effects at the smelter are available for 1993 and later years. Perfluorocarbon (CF</w:t>
      </w:r>
      <w:r w:rsidRPr="00261B7A">
        <w:rPr>
          <w:vertAlign w:val="subscript"/>
        </w:rPr>
        <w:t>4</w:t>
      </w:r>
      <w:r w:rsidRPr="00261B7A">
        <w:t xml:space="preserve"> and C</w:t>
      </w:r>
      <w:r w:rsidRPr="00261B7A">
        <w:rPr>
          <w:vertAlign w:val="subscript"/>
        </w:rPr>
        <w:t>2</w:t>
      </w:r>
      <w:r w:rsidRPr="00261B7A">
        <w:t>F</w:t>
      </w:r>
      <w:r w:rsidRPr="00261B7A">
        <w:rPr>
          <w:vertAlign w:val="subscript"/>
        </w:rPr>
        <w:t>6</w:t>
      </w:r>
      <w:r w:rsidRPr="00261B7A">
        <w:t xml:space="preserve">) emissions from aluminium production are estimated using: </w:t>
      </w:r>
    </w:p>
    <w:p w14:paraId="58235183" w14:textId="77777777" w:rsidR="008A4F47" w:rsidRPr="00261B7A" w:rsidRDefault="008A4F47" w:rsidP="008A4F47">
      <w:pPr>
        <w:pStyle w:val="Bullet"/>
      </w:pPr>
      <w:r w:rsidRPr="00261B7A">
        <w:t xml:space="preserve">the IPCC Tier 1 method for the years 1990 and 1991. The data needed to apply a Tier 2 method are not available </w:t>
      </w:r>
    </w:p>
    <w:p w14:paraId="5DFAF04B" w14:textId="77777777" w:rsidR="008A4F47" w:rsidRPr="00261B7A" w:rsidRDefault="008A4F47" w:rsidP="008A4F47">
      <w:pPr>
        <w:pStyle w:val="Bullet"/>
      </w:pPr>
      <w:r w:rsidRPr="00261B7A">
        <w:t xml:space="preserve">interpolation for 1992; at this time, there was still no recording of anode effect duration </w:t>
      </w:r>
    </w:p>
    <w:p w14:paraId="7EE1680D" w14:textId="77777777" w:rsidR="008A4F47" w:rsidRPr="00261B7A" w:rsidRDefault="008A4F47" w:rsidP="008A4F47">
      <w:pPr>
        <w:pStyle w:val="Bullet"/>
      </w:pPr>
      <w:r w:rsidRPr="00261B7A">
        <w:t xml:space="preserve">the IPCC Tier 2 method (using slope coefficients) from 1993 to 2021. This method is applied in the reporting requirements the company now uses in its NZ ETS returns. </w:t>
      </w:r>
    </w:p>
    <w:p w14:paraId="2861AFC3" w14:textId="77777777" w:rsidR="008A4F47" w:rsidRPr="00261B7A" w:rsidRDefault="008A4F47" w:rsidP="008A4F47">
      <w:pPr>
        <w:pStyle w:val="BodyText"/>
        <w:rPr>
          <w:spacing w:val="-2"/>
        </w:rPr>
      </w:pPr>
      <w:r w:rsidRPr="00261B7A">
        <w:rPr>
          <w:spacing w:val="-2"/>
        </w:rPr>
        <w:t xml:space="preserve">There is no history of direct measurement of PFC emissions at the smelter, so site-specific slope coefficients (required for the use of Tier 3) are not currently available. </w:t>
      </w:r>
    </w:p>
    <w:p w14:paraId="46A09B30" w14:textId="77777777" w:rsidR="008A4F47" w:rsidRPr="00261B7A" w:rsidRDefault="008A4F47" w:rsidP="008A4F47">
      <w:pPr>
        <w:pStyle w:val="Heading5"/>
        <w:spacing w:before="180"/>
      </w:pPr>
      <w:r w:rsidRPr="00261B7A">
        <w:t>Magnesium production (2.C.4)</w:t>
      </w:r>
    </w:p>
    <w:p w14:paraId="1A6E67FE" w14:textId="77777777" w:rsidR="008A4F47" w:rsidRPr="00261B7A" w:rsidRDefault="008A4F47" w:rsidP="008A4F47">
      <w:pPr>
        <w:pStyle w:val="BodyText"/>
      </w:pPr>
      <w:r w:rsidRPr="00261B7A">
        <w:t>Emissions are estimated based on an approximate estimate of the amount of SF</w:t>
      </w:r>
      <w:r w:rsidRPr="00261B7A">
        <w:rPr>
          <w:vertAlign w:val="subscript"/>
        </w:rPr>
        <w:t>6</w:t>
      </w:r>
      <w:r w:rsidRPr="00261B7A">
        <w:t xml:space="preserve"> that was used as cover gas and on the basis that all SF</w:t>
      </w:r>
      <w:r w:rsidRPr="00261B7A">
        <w:rPr>
          <w:vertAlign w:val="subscript"/>
        </w:rPr>
        <w:t>6</w:t>
      </w:r>
      <w:r w:rsidRPr="00261B7A">
        <w:t xml:space="preserve"> used is emitted. The method is Tier 1. </w:t>
      </w:r>
    </w:p>
    <w:p w14:paraId="18982FCD" w14:textId="77777777" w:rsidR="008A4F47" w:rsidRPr="00261B7A" w:rsidRDefault="008A4F47" w:rsidP="008A4F47">
      <w:pPr>
        <w:pStyle w:val="Heading5"/>
        <w:spacing w:before="180"/>
      </w:pPr>
      <w:r w:rsidRPr="00261B7A">
        <w:t>Lead production (2.C.5)</w:t>
      </w:r>
    </w:p>
    <w:p w14:paraId="216E8B9D" w14:textId="77777777" w:rsidR="008A4F47" w:rsidRPr="00261B7A" w:rsidRDefault="008A4F47" w:rsidP="008A4F47">
      <w:pPr>
        <w:pStyle w:val="BodyText"/>
      </w:pPr>
      <w:r w:rsidRPr="00261B7A">
        <w:t xml:space="preserve">The Tier 1 method is used. </w:t>
      </w:r>
    </w:p>
    <w:p w14:paraId="28EECC18" w14:textId="77777777" w:rsidR="008A4F47" w:rsidRPr="00261B7A" w:rsidRDefault="008A4F47" w:rsidP="008A4F47">
      <w:pPr>
        <w:pStyle w:val="Heading4"/>
      </w:pPr>
      <w:r w:rsidRPr="00261B7A">
        <w:t>Choice of emission factors</w:t>
      </w:r>
    </w:p>
    <w:p w14:paraId="6C188830" w14:textId="77777777" w:rsidR="008A4F47" w:rsidRPr="00261B7A" w:rsidRDefault="008A4F47" w:rsidP="008A4F47">
      <w:pPr>
        <w:pStyle w:val="Heading5"/>
        <w:spacing w:before="120"/>
      </w:pPr>
      <w:r w:rsidRPr="00261B7A">
        <w:t>Carbon dioxide</w:t>
      </w:r>
    </w:p>
    <w:p w14:paraId="042D809E" w14:textId="77777777" w:rsidR="008A4F47" w:rsidRPr="00261B7A" w:rsidRDefault="008A4F47" w:rsidP="008A4F47">
      <w:pPr>
        <w:pStyle w:val="BodyText"/>
      </w:pPr>
      <w:r w:rsidRPr="00261B7A">
        <w:t>Plant-specific emission factors are applied for the sub-bituminous coal used as a reducing agent in iron and steel production. For the early years, the coal emission factor was 0.0937 tonnes of CO</w:t>
      </w:r>
      <w:r w:rsidRPr="00261B7A">
        <w:rPr>
          <w:vertAlign w:val="subscript"/>
        </w:rPr>
        <w:t>2</w:t>
      </w:r>
      <w:r w:rsidRPr="00261B7A">
        <w:t xml:space="preserve"> per gigajoule. Plant-specific emission factors are also used for other carbon-containing inputs in both the </w:t>
      </w:r>
      <w:r w:rsidRPr="00261B7A">
        <w:rPr>
          <w:i/>
        </w:rPr>
        <w:t>Iron and steel production</w:t>
      </w:r>
      <w:r w:rsidRPr="00261B7A">
        <w:t xml:space="preserve"> and </w:t>
      </w:r>
      <w:r w:rsidRPr="00261B7A">
        <w:rPr>
          <w:i/>
        </w:rPr>
        <w:t>Aluminium production</w:t>
      </w:r>
      <w:r w:rsidRPr="00261B7A">
        <w:t xml:space="preserve"> categories. </w:t>
      </w:r>
    </w:p>
    <w:p w14:paraId="60ABE585" w14:textId="77777777" w:rsidR="008A4F47" w:rsidRPr="00261B7A" w:rsidRDefault="008A4F47" w:rsidP="008A4F47">
      <w:pPr>
        <w:pStyle w:val="BodyText"/>
      </w:pPr>
      <w:r w:rsidRPr="00261B7A">
        <w:t>For secondary lead production, the IPCC default emission factor (0.2 tonnes of CO</w:t>
      </w:r>
      <w:r w:rsidRPr="00261B7A">
        <w:rPr>
          <w:vertAlign w:val="subscript"/>
        </w:rPr>
        <w:t>2</w:t>
      </w:r>
      <w:r w:rsidRPr="00261B7A">
        <w:t xml:space="preserve"> per tonne of lead recycled) is used. </w:t>
      </w:r>
    </w:p>
    <w:p w14:paraId="3D90FB07" w14:textId="77777777" w:rsidR="008A4F47" w:rsidRPr="00261B7A" w:rsidRDefault="008A4F47" w:rsidP="008A4F47">
      <w:pPr>
        <w:pStyle w:val="Heading5"/>
        <w:spacing w:before="180"/>
      </w:pPr>
      <w:r w:rsidRPr="00261B7A">
        <w:t>Perfluorocarbons and SF</w:t>
      </w:r>
      <w:r w:rsidRPr="00261B7A">
        <w:rPr>
          <w:vertAlign w:val="subscript"/>
        </w:rPr>
        <w:t>6</w:t>
      </w:r>
      <w:r w:rsidRPr="00261B7A">
        <w:t xml:space="preserve"> </w:t>
      </w:r>
    </w:p>
    <w:p w14:paraId="7DFB21F7" w14:textId="77777777" w:rsidR="008A4F47" w:rsidRPr="00261B7A" w:rsidRDefault="008A4F47" w:rsidP="008A4F47">
      <w:pPr>
        <w:pStyle w:val="BodyText"/>
      </w:pPr>
      <w:r w:rsidRPr="00261B7A">
        <w:t>Default emission factors (slope coefficients) are used for emissions of CF</w:t>
      </w:r>
      <w:r w:rsidRPr="00261B7A">
        <w:rPr>
          <w:vertAlign w:val="subscript"/>
        </w:rPr>
        <w:t>4</w:t>
      </w:r>
      <w:r w:rsidRPr="00261B7A">
        <w:t xml:space="preserve"> and C</w:t>
      </w:r>
      <w:r w:rsidRPr="00261B7A">
        <w:rPr>
          <w:vertAlign w:val="subscript"/>
        </w:rPr>
        <w:t>2</w:t>
      </w:r>
      <w:r w:rsidRPr="00261B7A">
        <w:t>F</w:t>
      </w:r>
      <w:r w:rsidRPr="00261B7A">
        <w:rPr>
          <w:vertAlign w:val="subscript"/>
        </w:rPr>
        <w:t>6</w:t>
      </w:r>
      <w:r w:rsidRPr="00261B7A">
        <w:t xml:space="preserve"> from aluminium production. Data on the duration of anode effects are not available for the years 1990 to 1992 and for those years a Tier 1 method is used, with the default emission factors of 0.4 kilograms CF</w:t>
      </w:r>
      <w:r w:rsidRPr="00261B7A">
        <w:rPr>
          <w:vertAlign w:val="subscript"/>
        </w:rPr>
        <w:t>4</w:t>
      </w:r>
      <w:r w:rsidRPr="00261B7A">
        <w:t xml:space="preserve"> and 0.04 kilograms C</w:t>
      </w:r>
      <w:r w:rsidRPr="00261B7A">
        <w:rPr>
          <w:vertAlign w:val="subscript"/>
        </w:rPr>
        <w:t>2</w:t>
      </w:r>
      <w:r w:rsidRPr="00261B7A">
        <w:t>F</w:t>
      </w:r>
      <w:r w:rsidRPr="00261B7A">
        <w:rPr>
          <w:vertAlign w:val="subscript"/>
        </w:rPr>
        <w:t>6</w:t>
      </w:r>
      <w:r w:rsidRPr="00261B7A">
        <w:t xml:space="preserve"> per tonne of aluminium. </w:t>
      </w:r>
    </w:p>
    <w:p w14:paraId="26530C8C" w14:textId="77777777" w:rsidR="008A4F47" w:rsidRPr="00261B7A" w:rsidRDefault="008A4F47" w:rsidP="008A4F47">
      <w:pPr>
        <w:pStyle w:val="BodyText"/>
      </w:pPr>
      <w:r w:rsidRPr="00261B7A">
        <w:t>Emissions of SF</w:t>
      </w:r>
      <w:r w:rsidRPr="00261B7A">
        <w:rPr>
          <w:vertAlign w:val="subscript"/>
        </w:rPr>
        <w:t>6</w:t>
      </w:r>
      <w:r w:rsidRPr="00261B7A">
        <w:t xml:space="preserve"> used in magnesium casting are considered to be immediate. </w:t>
      </w:r>
    </w:p>
    <w:p w14:paraId="5B152E99" w14:textId="77777777" w:rsidR="008A4F47" w:rsidRPr="00261B7A" w:rsidRDefault="008A4F47" w:rsidP="008A4F47">
      <w:pPr>
        <w:pStyle w:val="Heading5"/>
        <w:spacing w:before="180"/>
      </w:pPr>
      <w:r w:rsidRPr="00261B7A">
        <w:t>Indirect emissions</w:t>
      </w:r>
    </w:p>
    <w:p w14:paraId="56A99852" w14:textId="77777777" w:rsidR="008A4F47" w:rsidRPr="00261B7A" w:rsidRDefault="008A4F47" w:rsidP="008A4F47">
      <w:pPr>
        <w:pStyle w:val="BodyText"/>
      </w:pPr>
      <w:r w:rsidRPr="00261B7A">
        <w:t>Emissions of indirect greenhouse gases (CO, SO</w:t>
      </w:r>
      <w:r w:rsidRPr="00261B7A">
        <w:rPr>
          <w:vertAlign w:val="subscript"/>
        </w:rPr>
        <w:t>2</w:t>
      </w:r>
      <w:r w:rsidRPr="00261B7A">
        <w:t xml:space="preserve"> and NO</w:t>
      </w:r>
      <w:r w:rsidRPr="00261B7A">
        <w:rPr>
          <w:vertAlign w:val="subscript"/>
        </w:rPr>
        <w:t>x</w:t>
      </w:r>
      <w:r w:rsidRPr="00261B7A">
        <w:t xml:space="preserve">) are reported for the </w:t>
      </w:r>
      <w:r w:rsidRPr="00261B7A">
        <w:rPr>
          <w:i/>
        </w:rPr>
        <w:t>Iron and steel</w:t>
      </w:r>
      <w:r w:rsidRPr="00261B7A">
        <w:t> </w:t>
      </w:r>
      <w:r w:rsidRPr="00261B7A">
        <w:rPr>
          <w:i/>
        </w:rPr>
        <w:t>production</w:t>
      </w:r>
      <w:r w:rsidRPr="00261B7A">
        <w:t xml:space="preserve"> and </w:t>
      </w:r>
      <w:r w:rsidRPr="00261B7A">
        <w:rPr>
          <w:i/>
        </w:rPr>
        <w:t>Aluminium production</w:t>
      </w:r>
      <w:r w:rsidRPr="00261B7A">
        <w:t xml:space="preserve"> categories. These are based on a mass balance calculation (for SO</w:t>
      </w:r>
      <w:r w:rsidRPr="00261B7A">
        <w:rPr>
          <w:vertAlign w:val="subscript"/>
        </w:rPr>
        <w:t>2</w:t>
      </w:r>
      <w:r w:rsidRPr="00261B7A">
        <w:t xml:space="preserve">) and a mix of plant-specific emission factors and IPCC defaults for other gases (CRL Energy, </w:t>
      </w:r>
      <w:r w:rsidRPr="00261B7A">
        <w:rPr>
          <w:rFonts w:eastAsia="+mn-ea"/>
        </w:rPr>
        <w:t>unpublished(a)</w:t>
      </w:r>
      <w:r w:rsidRPr="00261B7A">
        <w:t xml:space="preserve">). </w:t>
      </w:r>
    </w:p>
    <w:p w14:paraId="43455B7A" w14:textId="77777777" w:rsidR="008A4F47" w:rsidRPr="00261B7A" w:rsidRDefault="008A4F47" w:rsidP="0034058F">
      <w:pPr>
        <w:pStyle w:val="Heading3"/>
      </w:pPr>
      <w:r w:rsidRPr="00261B7A">
        <w:t xml:space="preserve">4.4.3 </w:t>
      </w:r>
      <w:r w:rsidRPr="00261B7A">
        <w:tab/>
        <w:t>Uncertainties and time-series consistency</w:t>
      </w:r>
    </w:p>
    <w:p w14:paraId="56D3416B" w14:textId="77777777" w:rsidR="008A4F47" w:rsidRPr="00261B7A" w:rsidRDefault="008A4F47" w:rsidP="008A4F47">
      <w:pPr>
        <w:pStyle w:val="Heading4"/>
        <w:rPr>
          <w:bCs/>
          <w:iCs/>
        </w:rPr>
      </w:pPr>
      <w:r w:rsidRPr="00261B7A">
        <w:t>Uncertainties</w:t>
      </w:r>
    </w:p>
    <w:p w14:paraId="01818782" w14:textId="77777777" w:rsidR="008A4F47" w:rsidRPr="00261B7A" w:rsidRDefault="008A4F47" w:rsidP="008A4F47">
      <w:pPr>
        <w:pStyle w:val="BodyText"/>
      </w:pPr>
      <w:r w:rsidRPr="00261B7A">
        <w:t>IPCC default uncertainties have been used for activity data (see table 4.4.2). For the CO</w:t>
      </w:r>
      <w:r w:rsidRPr="00261B7A">
        <w:rPr>
          <w:vertAlign w:val="subscript"/>
        </w:rPr>
        <w:t>2</w:t>
      </w:r>
      <w:r w:rsidRPr="00261B7A">
        <w:t xml:space="preserve"> emission factors in the </w:t>
      </w:r>
      <w:r w:rsidRPr="00261B7A">
        <w:rPr>
          <w:i/>
        </w:rPr>
        <w:t>Iron and steel production</w:t>
      </w:r>
      <w:r w:rsidRPr="00261B7A">
        <w:t xml:space="preserve"> category, an uncertainty of ±7 per cent was assessed to reflect some uncertainty in the carbon content of the product. An uncertainty of ±30 per cent was assessed for PFCs reflecting the use of Tier 1 methods for the first three years. The uncertainties for indirect gases were assessed on a site-specific basis at the time the data were collected (CRL Energy, </w:t>
      </w:r>
      <w:r w:rsidRPr="00261B7A">
        <w:rPr>
          <w:rFonts w:eastAsia="+mn-ea"/>
        </w:rPr>
        <w:t>unpublished(a)</w:t>
      </w:r>
      <w:r w:rsidRPr="00261B7A">
        <w:t>). For magnesium casting, the uncertainty of ±100 per cent represents the very approximate activity data (SF</w:t>
      </w:r>
      <w:r w:rsidRPr="00261B7A">
        <w:rPr>
          <w:vertAlign w:val="subscript"/>
        </w:rPr>
        <w:t>6</w:t>
      </w:r>
      <w:r w:rsidRPr="00261B7A">
        <w:t xml:space="preserve"> usage) available. This activity was already historical when the data were collected. </w:t>
      </w:r>
    </w:p>
    <w:p w14:paraId="61382D56" w14:textId="77777777" w:rsidR="008A4F47" w:rsidRPr="00261B7A" w:rsidRDefault="008A4F47" w:rsidP="008A4F47">
      <w:pPr>
        <w:pStyle w:val="Table"/>
      </w:pPr>
      <w:bookmarkStart w:id="519" w:name="_Toc451176071"/>
      <w:bookmarkStart w:id="520" w:name="_Toc5269461"/>
      <w:bookmarkStart w:id="521" w:name="_Toc36224534"/>
      <w:bookmarkStart w:id="522" w:name="_Toc68786421"/>
      <w:bookmarkStart w:id="523" w:name="_Toc128042754"/>
      <w:bookmarkStart w:id="524" w:name="_Toc131591334"/>
      <w:r w:rsidRPr="00261B7A">
        <w:t>Table 4.4.2</w:t>
      </w:r>
      <w:r w:rsidRPr="00261B7A">
        <w:tab/>
        <w:t>Uncertainty in emissions from the metal industry</w:t>
      </w:r>
      <w:bookmarkEnd w:id="519"/>
      <w:bookmarkEnd w:id="520"/>
      <w:bookmarkEnd w:id="521"/>
      <w:bookmarkEnd w:id="522"/>
      <w:bookmarkEnd w:id="523"/>
      <w:bookmarkEnd w:id="524"/>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420"/>
        <w:gridCol w:w="2956"/>
        <w:gridCol w:w="3129"/>
      </w:tblGrid>
      <w:tr w:rsidR="008A4F47" w:rsidRPr="00261B7A" w14:paraId="315D500A" w14:textId="77777777" w:rsidTr="00D41492">
        <w:tc>
          <w:tcPr>
            <w:tcW w:w="2435" w:type="dxa"/>
            <w:shd w:val="clear" w:color="auto" w:fill="1B556B"/>
            <w:hideMark/>
          </w:tcPr>
          <w:p w14:paraId="43303567" w14:textId="77777777" w:rsidR="008A4F47" w:rsidRPr="00261B7A" w:rsidRDefault="008A4F47" w:rsidP="00D41492">
            <w:pPr>
              <w:pStyle w:val="TableTextBold"/>
              <w:keepNext/>
              <w:spacing w:before="50" w:after="50"/>
              <w:rPr>
                <w:noProof w:val="0"/>
                <w:color w:val="FFFFFF"/>
              </w:rPr>
            </w:pPr>
            <w:r w:rsidRPr="00261B7A">
              <w:rPr>
                <w:noProof w:val="0"/>
                <w:color w:val="FFFFFF"/>
              </w:rPr>
              <w:t>Category</w:t>
            </w:r>
          </w:p>
        </w:tc>
        <w:tc>
          <w:tcPr>
            <w:tcW w:w="2976" w:type="dxa"/>
            <w:shd w:val="clear" w:color="auto" w:fill="1B556B"/>
            <w:hideMark/>
          </w:tcPr>
          <w:p w14:paraId="2B7D8AB5" w14:textId="77777777" w:rsidR="008A4F47" w:rsidRPr="00261B7A" w:rsidRDefault="008A4F47" w:rsidP="00D41492">
            <w:pPr>
              <w:pStyle w:val="TableTextBold"/>
              <w:keepNext/>
              <w:spacing w:before="50" w:after="50"/>
              <w:jc w:val="center"/>
              <w:rPr>
                <w:noProof w:val="0"/>
                <w:color w:val="FFFFFF"/>
              </w:rPr>
            </w:pPr>
            <w:r w:rsidRPr="00261B7A">
              <w:rPr>
                <w:noProof w:val="0"/>
                <w:color w:val="FFFFFF"/>
              </w:rPr>
              <w:t>Uncertainty in activity data (%)</w:t>
            </w:r>
          </w:p>
        </w:tc>
        <w:tc>
          <w:tcPr>
            <w:tcW w:w="3151" w:type="dxa"/>
            <w:shd w:val="clear" w:color="auto" w:fill="1B556B"/>
            <w:hideMark/>
          </w:tcPr>
          <w:p w14:paraId="0A3F16E0" w14:textId="77777777" w:rsidR="008A4F47" w:rsidRPr="00261B7A" w:rsidRDefault="008A4F47" w:rsidP="00D41492">
            <w:pPr>
              <w:pStyle w:val="TableTextBold"/>
              <w:keepNext/>
              <w:spacing w:before="50" w:after="50"/>
              <w:jc w:val="center"/>
              <w:rPr>
                <w:noProof w:val="0"/>
                <w:color w:val="FFFFFF"/>
              </w:rPr>
            </w:pPr>
            <w:r w:rsidRPr="00261B7A">
              <w:rPr>
                <w:noProof w:val="0"/>
                <w:color w:val="FFFFFF"/>
              </w:rPr>
              <w:t>Uncertainty in emission factors (%)</w:t>
            </w:r>
          </w:p>
        </w:tc>
      </w:tr>
      <w:tr w:rsidR="008A4F47" w:rsidRPr="00261B7A" w14:paraId="3A31A99E" w14:textId="77777777" w:rsidTr="00D41492">
        <w:tc>
          <w:tcPr>
            <w:tcW w:w="2435" w:type="dxa"/>
            <w:shd w:val="clear" w:color="auto" w:fill="FFFFFF" w:themeFill="background1"/>
            <w:hideMark/>
          </w:tcPr>
          <w:p w14:paraId="63D4601B" w14:textId="77777777" w:rsidR="008A4F47" w:rsidRPr="00261B7A" w:rsidRDefault="008A4F47" w:rsidP="00D41492">
            <w:pPr>
              <w:pStyle w:val="TableText"/>
              <w:keepNext/>
              <w:spacing w:before="50" w:after="50"/>
            </w:pPr>
            <w:r w:rsidRPr="00261B7A">
              <w:t>Iron and steel (CO</w:t>
            </w:r>
            <w:r w:rsidRPr="00261B7A">
              <w:rPr>
                <w:vertAlign w:val="subscript"/>
              </w:rPr>
              <w:t>2</w:t>
            </w:r>
            <w:r w:rsidRPr="00261B7A">
              <w:t>)</w:t>
            </w:r>
          </w:p>
        </w:tc>
        <w:tc>
          <w:tcPr>
            <w:tcW w:w="2976" w:type="dxa"/>
            <w:shd w:val="clear" w:color="auto" w:fill="FFFFFF" w:themeFill="background1"/>
            <w:hideMark/>
          </w:tcPr>
          <w:p w14:paraId="6577C8CB" w14:textId="77777777" w:rsidR="008A4F47" w:rsidRPr="00261B7A" w:rsidRDefault="008A4F47" w:rsidP="00D41492">
            <w:pPr>
              <w:pStyle w:val="TableText"/>
              <w:spacing w:before="50" w:after="50"/>
              <w:jc w:val="center"/>
            </w:pPr>
            <w:r w:rsidRPr="00261B7A">
              <w:t>±5</w:t>
            </w:r>
          </w:p>
        </w:tc>
        <w:tc>
          <w:tcPr>
            <w:tcW w:w="3151" w:type="dxa"/>
            <w:shd w:val="clear" w:color="auto" w:fill="FFFFFF" w:themeFill="background1"/>
            <w:hideMark/>
          </w:tcPr>
          <w:p w14:paraId="3F5EFD8C" w14:textId="77777777" w:rsidR="008A4F47" w:rsidRPr="00261B7A" w:rsidRDefault="008A4F47" w:rsidP="00D41492">
            <w:pPr>
              <w:pStyle w:val="TableText"/>
              <w:spacing w:before="50" w:after="50"/>
              <w:jc w:val="center"/>
            </w:pPr>
            <w:r w:rsidRPr="00261B7A">
              <w:t>±7</w:t>
            </w:r>
          </w:p>
        </w:tc>
      </w:tr>
      <w:tr w:rsidR="008A4F47" w:rsidRPr="00261B7A" w14:paraId="0DC1BBF2" w14:textId="77777777" w:rsidTr="00D41492">
        <w:tc>
          <w:tcPr>
            <w:tcW w:w="2435" w:type="dxa"/>
            <w:shd w:val="clear" w:color="auto" w:fill="FFFFFF" w:themeFill="background1"/>
            <w:hideMark/>
          </w:tcPr>
          <w:p w14:paraId="1E44F05C" w14:textId="77777777" w:rsidR="008A4F47" w:rsidRPr="00261B7A" w:rsidRDefault="008A4F47" w:rsidP="00D41492">
            <w:pPr>
              <w:pStyle w:val="TableText"/>
              <w:keepNext/>
              <w:spacing w:before="50" w:after="50"/>
            </w:pPr>
            <w:r w:rsidRPr="00261B7A">
              <w:t>Iron and steel (CO)</w:t>
            </w:r>
          </w:p>
        </w:tc>
        <w:tc>
          <w:tcPr>
            <w:tcW w:w="2976" w:type="dxa"/>
            <w:shd w:val="clear" w:color="auto" w:fill="FFFFFF" w:themeFill="background1"/>
            <w:hideMark/>
          </w:tcPr>
          <w:p w14:paraId="55C5CAB8" w14:textId="77777777" w:rsidR="008A4F47" w:rsidRPr="00261B7A" w:rsidRDefault="008A4F47" w:rsidP="00D41492">
            <w:pPr>
              <w:pStyle w:val="TableText"/>
              <w:spacing w:before="50" w:after="50"/>
              <w:jc w:val="center"/>
            </w:pPr>
            <w:r w:rsidRPr="00261B7A">
              <w:t>±5</w:t>
            </w:r>
          </w:p>
        </w:tc>
        <w:tc>
          <w:tcPr>
            <w:tcW w:w="3151" w:type="dxa"/>
            <w:shd w:val="clear" w:color="auto" w:fill="FFFFFF" w:themeFill="background1"/>
            <w:hideMark/>
          </w:tcPr>
          <w:p w14:paraId="1FFED1C2" w14:textId="77777777" w:rsidR="008A4F47" w:rsidRPr="00261B7A" w:rsidRDefault="008A4F47" w:rsidP="00D41492">
            <w:pPr>
              <w:pStyle w:val="TableText"/>
              <w:spacing w:before="50" w:after="50"/>
              <w:jc w:val="center"/>
            </w:pPr>
            <w:r w:rsidRPr="00261B7A">
              <w:t>±30</w:t>
            </w:r>
          </w:p>
        </w:tc>
      </w:tr>
      <w:tr w:rsidR="008A4F47" w:rsidRPr="00261B7A" w14:paraId="1E5C882F" w14:textId="77777777" w:rsidTr="00D41492">
        <w:tc>
          <w:tcPr>
            <w:tcW w:w="2435" w:type="dxa"/>
            <w:shd w:val="clear" w:color="auto" w:fill="FFFFFF" w:themeFill="background1"/>
            <w:hideMark/>
          </w:tcPr>
          <w:p w14:paraId="5C53FCCB" w14:textId="77777777" w:rsidR="008A4F47" w:rsidRPr="00261B7A" w:rsidRDefault="008A4F47" w:rsidP="00D41492">
            <w:pPr>
              <w:pStyle w:val="TableText"/>
              <w:spacing w:before="50" w:after="50"/>
            </w:pPr>
            <w:r w:rsidRPr="00261B7A">
              <w:t>Iron and steel (NO</w:t>
            </w:r>
            <w:r w:rsidRPr="00261B7A">
              <w:rPr>
                <w:vertAlign w:val="subscript"/>
              </w:rPr>
              <w:t>x</w:t>
            </w:r>
            <w:r w:rsidRPr="00261B7A">
              <w:t>)</w:t>
            </w:r>
          </w:p>
        </w:tc>
        <w:tc>
          <w:tcPr>
            <w:tcW w:w="2976" w:type="dxa"/>
            <w:shd w:val="clear" w:color="auto" w:fill="FFFFFF" w:themeFill="background1"/>
            <w:hideMark/>
          </w:tcPr>
          <w:p w14:paraId="1D15D556" w14:textId="77777777" w:rsidR="008A4F47" w:rsidRPr="00261B7A" w:rsidRDefault="008A4F47" w:rsidP="00D41492">
            <w:pPr>
              <w:pStyle w:val="TableText"/>
              <w:spacing w:before="50" w:after="50"/>
              <w:jc w:val="center"/>
            </w:pPr>
            <w:r w:rsidRPr="00261B7A">
              <w:t>±5</w:t>
            </w:r>
          </w:p>
        </w:tc>
        <w:tc>
          <w:tcPr>
            <w:tcW w:w="3151" w:type="dxa"/>
            <w:shd w:val="clear" w:color="auto" w:fill="FFFFFF" w:themeFill="background1"/>
            <w:hideMark/>
          </w:tcPr>
          <w:p w14:paraId="69A5F2B2" w14:textId="77777777" w:rsidR="008A4F47" w:rsidRPr="00261B7A" w:rsidRDefault="008A4F47" w:rsidP="00D41492">
            <w:pPr>
              <w:pStyle w:val="TableText"/>
              <w:spacing w:before="50" w:after="50"/>
              <w:jc w:val="center"/>
            </w:pPr>
            <w:r w:rsidRPr="00261B7A">
              <w:t>±70</w:t>
            </w:r>
          </w:p>
        </w:tc>
      </w:tr>
      <w:tr w:rsidR="008A4F47" w:rsidRPr="00261B7A" w14:paraId="3239E79E" w14:textId="77777777" w:rsidTr="00D41492">
        <w:tc>
          <w:tcPr>
            <w:tcW w:w="2435" w:type="dxa"/>
            <w:shd w:val="clear" w:color="auto" w:fill="FFFFFF" w:themeFill="background1"/>
            <w:hideMark/>
          </w:tcPr>
          <w:p w14:paraId="5EE12DAB" w14:textId="77777777" w:rsidR="008A4F47" w:rsidRPr="00261B7A" w:rsidRDefault="008A4F47" w:rsidP="00D41492">
            <w:pPr>
              <w:pStyle w:val="TableText"/>
              <w:spacing w:before="50" w:after="50"/>
            </w:pPr>
            <w:r w:rsidRPr="00261B7A">
              <w:t>Aluminium (CO</w:t>
            </w:r>
            <w:r w:rsidRPr="00261B7A">
              <w:rPr>
                <w:vertAlign w:val="subscript"/>
              </w:rPr>
              <w:t>2</w:t>
            </w:r>
            <w:r w:rsidRPr="00261B7A">
              <w:t>)</w:t>
            </w:r>
          </w:p>
        </w:tc>
        <w:tc>
          <w:tcPr>
            <w:tcW w:w="2976" w:type="dxa"/>
            <w:shd w:val="clear" w:color="auto" w:fill="FFFFFF" w:themeFill="background1"/>
            <w:hideMark/>
          </w:tcPr>
          <w:p w14:paraId="7FA1D49B" w14:textId="77777777" w:rsidR="008A4F47" w:rsidRPr="00261B7A" w:rsidRDefault="008A4F47" w:rsidP="00D41492">
            <w:pPr>
              <w:pStyle w:val="TableText"/>
              <w:spacing w:before="50" w:after="50"/>
              <w:jc w:val="center"/>
            </w:pPr>
            <w:r w:rsidRPr="00261B7A">
              <w:t>±5</w:t>
            </w:r>
          </w:p>
        </w:tc>
        <w:tc>
          <w:tcPr>
            <w:tcW w:w="3151" w:type="dxa"/>
            <w:shd w:val="clear" w:color="auto" w:fill="FFFFFF" w:themeFill="background1"/>
            <w:hideMark/>
          </w:tcPr>
          <w:p w14:paraId="7E663631" w14:textId="77777777" w:rsidR="008A4F47" w:rsidRPr="00261B7A" w:rsidRDefault="008A4F47" w:rsidP="00D41492">
            <w:pPr>
              <w:pStyle w:val="TableText"/>
              <w:spacing w:before="50" w:after="50"/>
              <w:jc w:val="center"/>
            </w:pPr>
            <w:r w:rsidRPr="00261B7A">
              <w:t>±2</w:t>
            </w:r>
          </w:p>
        </w:tc>
      </w:tr>
      <w:tr w:rsidR="008A4F47" w:rsidRPr="00261B7A" w14:paraId="56F115AF" w14:textId="77777777" w:rsidTr="00D41492">
        <w:tc>
          <w:tcPr>
            <w:tcW w:w="2435" w:type="dxa"/>
            <w:shd w:val="clear" w:color="auto" w:fill="FFFFFF" w:themeFill="background1"/>
            <w:hideMark/>
          </w:tcPr>
          <w:p w14:paraId="72776EF0" w14:textId="77777777" w:rsidR="008A4F47" w:rsidRPr="00261B7A" w:rsidRDefault="008A4F47" w:rsidP="00D41492">
            <w:pPr>
              <w:pStyle w:val="TableText"/>
              <w:spacing w:before="50" w:after="50"/>
            </w:pPr>
            <w:r w:rsidRPr="00261B7A">
              <w:t>Aluminium (PFCs)</w:t>
            </w:r>
          </w:p>
        </w:tc>
        <w:tc>
          <w:tcPr>
            <w:tcW w:w="2976" w:type="dxa"/>
            <w:shd w:val="clear" w:color="auto" w:fill="FFFFFF" w:themeFill="background1"/>
            <w:hideMark/>
          </w:tcPr>
          <w:p w14:paraId="6AE7E585" w14:textId="77777777" w:rsidR="008A4F47" w:rsidRPr="00261B7A" w:rsidRDefault="008A4F47" w:rsidP="00D41492">
            <w:pPr>
              <w:pStyle w:val="TableText"/>
              <w:spacing w:before="50" w:after="50"/>
              <w:jc w:val="center"/>
            </w:pPr>
            <w:r w:rsidRPr="00261B7A">
              <w:t>±5</w:t>
            </w:r>
          </w:p>
        </w:tc>
        <w:tc>
          <w:tcPr>
            <w:tcW w:w="3151" w:type="dxa"/>
            <w:shd w:val="clear" w:color="auto" w:fill="FFFFFF" w:themeFill="background1"/>
            <w:hideMark/>
          </w:tcPr>
          <w:p w14:paraId="5D5D14BA" w14:textId="77777777" w:rsidR="008A4F47" w:rsidRPr="00261B7A" w:rsidRDefault="008A4F47" w:rsidP="00D41492">
            <w:pPr>
              <w:pStyle w:val="TableText"/>
              <w:spacing w:before="50" w:after="50"/>
              <w:jc w:val="center"/>
            </w:pPr>
            <w:r w:rsidRPr="00261B7A">
              <w:t>±30</w:t>
            </w:r>
          </w:p>
        </w:tc>
      </w:tr>
      <w:tr w:rsidR="008A4F47" w:rsidRPr="00261B7A" w14:paraId="2E3BE3D9" w14:textId="77777777" w:rsidTr="00D41492">
        <w:tc>
          <w:tcPr>
            <w:tcW w:w="2435" w:type="dxa"/>
            <w:shd w:val="clear" w:color="auto" w:fill="FFFFFF" w:themeFill="background1"/>
            <w:hideMark/>
          </w:tcPr>
          <w:p w14:paraId="79D9CCE9" w14:textId="77777777" w:rsidR="008A4F47" w:rsidRPr="00261B7A" w:rsidRDefault="008A4F47" w:rsidP="00D41492">
            <w:pPr>
              <w:pStyle w:val="TableText"/>
              <w:spacing w:before="50" w:after="50"/>
            </w:pPr>
            <w:r w:rsidRPr="00261B7A">
              <w:t>Aluminium (SO</w:t>
            </w:r>
            <w:r w:rsidRPr="00261B7A">
              <w:rPr>
                <w:vertAlign w:val="subscript"/>
              </w:rPr>
              <w:t>2</w:t>
            </w:r>
            <w:r w:rsidRPr="00261B7A">
              <w:t>)</w:t>
            </w:r>
          </w:p>
        </w:tc>
        <w:tc>
          <w:tcPr>
            <w:tcW w:w="2976" w:type="dxa"/>
            <w:shd w:val="clear" w:color="auto" w:fill="FFFFFF" w:themeFill="background1"/>
            <w:hideMark/>
          </w:tcPr>
          <w:p w14:paraId="33970DE4" w14:textId="77777777" w:rsidR="008A4F47" w:rsidRPr="00261B7A" w:rsidRDefault="008A4F47" w:rsidP="00D41492">
            <w:pPr>
              <w:pStyle w:val="TableText"/>
              <w:spacing w:before="50" w:after="50"/>
              <w:jc w:val="center"/>
            </w:pPr>
            <w:r w:rsidRPr="00261B7A">
              <w:t>±5</w:t>
            </w:r>
          </w:p>
        </w:tc>
        <w:tc>
          <w:tcPr>
            <w:tcW w:w="3151" w:type="dxa"/>
            <w:shd w:val="clear" w:color="auto" w:fill="FFFFFF" w:themeFill="background1"/>
            <w:hideMark/>
          </w:tcPr>
          <w:p w14:paraId="44FCB86C" w14:textId="77777777" w:rsidR="008A4F47" w:rsidRPr="00261B7A" w:rsidRDefault="008A4F47" w:rsidP="00D41492">
            <w:pPr>
              <w:pStyle w:val="TableText"/>
              <w:spacing w:before="50" w:after="50"/>
              <w:jc w:val="center"/>
            </w:pPr>
            <w:r w:rsidRPr="00261B7A">
              <w:t>±5</w:t>
            </w:r>
          </w:p>
        </w:tc>
      </w:tr>
      <w:tr w:rsidR="008A4F47" w:rsidRPr="00261B7A" w14:paraId="5FE4D4DC" w14:textId="77777777" w:rsidTr="00D41492">
        <w:tc>
          <w:tcPr>
            <w:tcW w:w="2435" w:type="dxa"/>
            <w:shd w:val="clear" w:color="auto" w:fill="FFFFFF" w:themeFill="background1"/>
            <w:hideMark/>
          </w:tcPr>
          <w:p w14:paraId="4AA0C2CA" w14:textId="77777777" w:rsidR="008A4F47" w:rsidRPr="00261B7A" w:rsidRDefault="008A4F47" w:rsidP="00D41492">
            <w:pPr>
              <w:pStyle w:val="TableText"/>
              <w:spacing w:before="50" w:after="50"/>
            </w:pPr>
            <w:r w:rsidRPr="00261B7A">
              <w:t>Aluminium (CO)</w:t>
            </w:r>
          </w:p>
        </w:tc>
        <w:tc>
          <w:tcPr>
            <w:tcW w:w="2976" w:type="dxa"/>
            <w:shd w:val="clear" w:color="auto" w:fill="FFFFFF" w:themeFill="background1"/>
            <w:hideMark/>
          </w:tcPr>
          <w:p w14:paraId="145D99C0" w14:textId="77777777" w:rsidR="008A4F47" w:rsidRPr="00261B7A" w:rsidRDefault="008A4F47" w:rsidP="00D41492">
            <w:pPr>
              <w:pStyle w:val="TableText"/>
              <w:spacing w:before="50" w:after="50"/>
              <w:jc w:val="center"/>
            </w:pPr>
            <w:r w:rsidRPr="00261B7A">
              <w:t>±5</w:t>
            </w:r>
          </w:p>
        </w:tc>
        <w:tc>
          <w:tcPr>
            <w:tcW w:w="3151" w:type="dxa"/>
            <w:shd w:val="clear" w:color="auto" w:fill="FFFFFF" w:themeFill="background1"/>
            <w:hideMark/>
          </w:tcPr>
          <w:p w14:paraId="65E01079" w14:textId="77777777" w:rsidR="008A4F47" w:rsidRPr="00261B7A" w:rsidRDefault="008A4F47" w:rsidP="00D41492">
            <w:pPr>
              <w:pStyle w:val="TableText"/>
              <w:spacing w:before="50" w:after="50"/>
              <w:jc w:val="center"/>
            </w:pPr>
            <w:r w:rsidRPr="00261B7A">
              <w:t>±40</w:t>
            </w:r>
          </w:p>
        </w:tc>
      </w:tr>
      <w:tr w:rsidR="008A4F47" w:rsidRPr="00261B7A" w14:paraId="19A38FE5" w14:textId="77777777" w:rsidTr="00D41492">
        <w:tc>
          <w:tcPr>
            <w:tcW w:w="2435" w:type="dxa"/>
            <w:shd w:val="clear" w:color="auto" w:fill="FFFFFF" w:themeFill="background1"/>
            <w:hideMark/>
          </w:tcPr>
          <w:p w14:paraId="68C6F321" w14:textId="77777777" w:rsidR="008A4F47" w:rsidRPr="00261B7A" w:rsidRDefault="008A4F47" w:rsidP="00D41492">
            <w:pPr>
              <w:pStyle w:val="TableText"/>
              <w:spacing w:before="50" w:after="50"/>
            </w:pPr>
            <w:r w:rsidRPr="00261B7A">
              <w:t>Aluminium (NO</w:t>
            </w:r>
            <w:r w:rsidRPr="00261B7A">
              <w:rPr>
                <w:vertAlign w:val="subscript"/>
              </w:rPr>
              <w:t>x</w:t>
            </w:r>
            <w:r w:rsidRPr="00261B7A">
              <w:t>)</w:t>
            </w:r>
          </w:p>
        </w:tc>
        <w:tc>
          <w:tcPr>
            <w:tcW w:w="2976" w:type="dxa"/>
            <w:shd w:val="clear" w:color="auto" w:fill="FFFFFF" w:themeFill="background1"/>
            <w:hideMark/>
          </w:tcPr>
          <w:p w14:paraId="336A38D1" w14:textId="77777777" w:rsidR="008A4F47" w:rsidRPr="00261B7A" w:rsidRDefault="008A4F47" w:rsidP="00D41492">
            <w:pPr>
              <w:pStyle w:val="TableText"/>
              <w:spacing w:before="50" w:after="50"/>
              <w:jc w:val="center"/>
            </w:pPr>
            <w:r w:rsidRPr="00261B7A">
              <w:t>±5</w:t>
            </w:r>
          </w:p>
        </w:tc>
        <w:tc>
          <w:tcPr>
            <w:tcW w:w="3151" w:type="dxa"/>
            <w:shd w:val="clear" w:color="auto" w:fill="FFFFFF" w:themeFill="background1"/>
            <w:hideMark/>
          </w:tcPr>
          <w:p w14:paraId="0D127F1F" w14:textId="77777777" w:rsidR="008A4F47" w:rsidRPr="00261B7A" w:rsidRDefault="008A4F47" w:rsidP="00D41492">
            <w:pPr>
              <w:pStyle w:val="TableText"/>
              <w:spacing w:before="50" w:after="50"/>
              <w:jc w:val="center"/>
            </w:pPr>
            <w:r w:rsidRPr="00261B7A">
              <w:t>±50</w:t>
            </w:r>
          </w:p>
        </w:tc>
      </w:tr>
      <w:tr w:rsidR="008A4F47" w:rsidRPr="00261B7A" w14:paraId="5AB7AD42" w14:textId="77777777" w:rsidTr="00D41492">
        <w:tc>
          <w:tcPr>
            <w:tcW w:w="2435" w:type="dxa"/>
            <w:shd w:val="clear" w:color="auto" w:fill="FFFFFF" w:themeFill="background1"/>
            <w:hideMark/>
          </w:tcPr>
          <w:p w14:paraId="32D4108B" w14:textId="77777777" w:rsidR="008A4F47" w:rsidRPr="00261B7A" w:rsidRDefault="008A4F47" w:rsidP="00D41492">
            <w:pPr>
              <w:pStyle w:val="TableText"/>
              <w:spacing w:before="50" w:after="50"/>
            </w:pPr>
            <w:r w:rsidRPr="00261B7A">
              <w:t>Magnesium (SF</w:t>
            </w:r>
            <w:r w:rsidRPr="00261B7A">
              <w:rPr>
                <w:vertAlign w:val="subscript"/>
              </w:rPr>
              <w:t>6</w:t>
            </w:r>
            <w:r w:rsidRPr="00261B7A">
              <w:t>)</w:t>
            </w:r>
          </w:p>
        </w:tc>
        <w:tc>
          <w:tcPr>
            <w:tcW w:w="2976" w:type="dxa"/>
            <w:shd w:val="clear" w:color="auto" w:fill="FFFFFF" w:themeFill="background1"/>
            <w:hideMark/>
          </w:tcPr>
          <w:p w14:paraId="0C8B81DC" w14:textId="77777777" w:rsidR="008A4F47" w:rsidRPr="00261B7A" w:rsidRDefault="008A4F47" w:rsidP="00D41492">
            <w:pPr>
              <w:pStyle w:val="TableText"/>
              <w:spacing w:before="50" w:after="50"/>
              <w:jc w:val="center"/>
            </w:pPr>
            <w:r w:rsidRPr="00261B7A">
              <w:t>±100</w:t>
            </w:r>
          </w:p>
        </w:tc>
        <w:tc>
          <w:tcPr>
            <w:tcW w:w="3151" w:type="dxa"/>
            <w:shd w:val="clear" w:color="auto" w:fill="FFFFFF" w:themeFill="background1"/>
            <w:hideMark/>
          </w:tcPr>
          <w:p w14:paraId="5F0194D6" w14:textId="77777777" w:rsidR="008A4F47" w:rsidRPr="00261B7A" w:rsidRDefault="008A4F47" w:rsidP="00D41492">
            <w:pPr>
              <w:pStyle w:val="TableText"/>
              <w:spacing w:before="50" w:after="50"/>
              <w:jc w:val="center"/>
            </w:pPr>
            <w:r w:rsidRPr="00261B7A">
              <w:t>±30</w:t>
            </w:r>
          </w:p>
        </w:tc>
      </w:tr>
      <w:tr w:rsidR="008A4F47" w:rsidRPr="00261B7A" w14:paraId="7F9585E6" w14:textId="77777777" w:rsidTr="00D41492">
        <w:tc>
          <w:tcPr>
            <w:tcW w:w="2435" w:type="dxa"/>
            <w:shd w:val="clear" w:color="auto" w:fill="FFFFFF" w:themeFill="background1"/>
            <w:hideMark/>
          </w:tcPr>
          <w:p w14:paraId="537E9CCF" w14:textId="77777777" w:rsidR="008A4F47" w:rsidRPr="00261B7A" w:rsidRDefault="008A4F47" w:rsidP="00D41492">
            <w:pPr>
              <w:pStyle w:val="TableText"/>
              <w:spacing w:before="50" w:after="50"/>
            </w:pPr>
            <w:r w:rsidRPr="00261B7A">
              <w:t>Lead (CO</w:t>
            </w:r>
            <w:r w:rsidRPr="00261B7A">
              <w:rPr>
                <w:vertAlign w:val="subscript"/>
              </w:rPr>
              <w:t>2</w:t>
            </w:r>
            <w:r w:rsidRPr="00261B7A">
              <w:t>)</w:t>
            </w:r>
          </w:p>
        </w:tc>
        <w:tc>
          <w:tcPr>
            <w:tcW w:w="2976" w:type="dxa"/>
            <w:shd w:val="clear" w:color="auto" w:fill="FFFFFF" w:themeFill="background1"/>
            <w:hideMark/>
          </w:tcPr>
          <w:p w14:paraId="3B529741" w14:textId="77777777" w:rsidR="008A4F47" w:rsidRPr="00261B7A" w:rsidRDefault="008A4F47" w:rsidP="00D41492">
            <w:pPr>
              <w:pStyle w:val="TableText"/>
              <w:spacing w:before="50" w:after="50"/>
              <w:jc w:val="center"/>
            </w:pPr>
            <w:r w:rsidRPr="00261B7A">
              <w:t>±50</w:t>
            </w:r>
          </w:p>
        </w:tc>
        <w:tc>
          <w:tcPr>
            <w:tcW w:w="3151" w:type="dxa"/>
            <w:shd w:val="clear" w:color="auto" w:fill="FFFFFF" w:themeFill="background1"/>
            <w:hideMark/>
          </w:tcPr>
          <w:p w14:paraId="6A815B39" w14:textId="77777777" w:rsidR="008A4F47" w:rsidRPr="00261B7A" w:rsidRDefault="008A4F47" w:rsidP="00D41492">
            <w:pPr>
              <w:pStyle w:val="TableText"/>
              <w:spacing w:before="50" w:after="50"/>
              <w:jc w:val="center"/>
            </w:pPr>
            <w:r w:rsidRPr="00261B7A">
              <w:t>±50</w:t>
            </w:r>
          </w:p>
        </w:tc>
      </w:tr>
    </w:tbl>
    <w:p w14:paraId="263ED3D9" w14:textId="77777777" w:rsidR="008A4F47" w:rsidRPr="00261B7A" w:rsidRDefault="008A4F47" w:rsidP="008A4F47">
      <w:pPr>
        <w:pStyle w:val="Heading4"/>
        <w:spacing w:before="360"/>
        <w:rPr>
          <w:bCs/>
          <w:iCs/>
        </w:rPr>
      </w:pPr>
      <w:r w:rsidRPr="00261B7A">
        <w:t>Time-series consistency</w:t>
      </w:r>
    </w:p>
    <w:p w14:paraId="5351F915" w14:textId="77777777" w:rsidR="008A4F47" w:rsidRPr="00261B7A" w:rsidRDefault="008A4F47" w:rsidP="008A4F47">
      <w:pPr>
        <w:pStyle w:val="BodyText"/>
        <w:spacing w:before="100" w:after="100"/>
      </w:pPr>
      <w:r w:rsidRPr="00261B7A">
        <w:t>The implied emission factors for PFC emissions from aluminium production fluctuated over the time series between 1990 and 1998. The introduction of monitoring at the aluminium smelter in 1993 contributed to process and management improvements that reduced the frequency and duration of anode effects. This improvement process continued until about 1998. Since that time emissions have been lower and relatively stable, due to the much better control of anode effects (see table 4.4.3).</w:t>
      </w:r>
    </w:p>
    <w:p w14:paraId="0ACD7EE3" w14:textId="77777777" w:rsidR="008A4F47" w:rsidRPr="00261B7A" w:rsidRDefault="008A4F47" w:rsidP="008A4F47">
      <w:pPr>
        <w:pStyle w:val="Table"/>
      </w:pPr>
      <w:bookmarkStart w:id="525" w:name="_Toc451176072"/>
      <w:bookmarkStart w:id="526" w:name="_Toc5269462"/>
      <w:bookmarkStart w:id="527" w:name="_Toc36224535"/>
      <w:bookmarkStart w:id="528" w:name="_Toc68786422"/>
      <w:bookmarkStart w:id="529" w:name="_Toc128042755"/>
      <w:bookmarkStart w:id="530" w:name="_Toc131591335"/>
      <w:r w:rsidRPr="00261B7A">
        <w:t>Table 4.4.3</w:t>
      </w:r>
      <w:r w:rsidRPr="00261B7A">
        <w:tab/>
        <w:t>Explanation of variations in New Zealand’s aluminium emissions</w:t>
      </w:r>
      <w:bookmarkEnd w:id="525"/>
      <w:bookmarkEnd w:id="526"/>
      <w:bookmarkEnd w:id="527"/>
      <w:bookmarkEnd w:id="528"/>
      <w:bookmarkEnd w:id="529"/>
      <w:bookmarkEnd w:id="530"/>
      <w:r w:rsidRPr="00261B7A">
        <w:t xml:space="preserve"> </w:t>
      </w:r>
    </w:p>
    <w:tbl>
      <w:tblPr>
        <w:tblW w:w="8505" w:type="dxa"/>
        <w:tblLayout w:type="fixed"/>
        <w:tblLook w:val="04A0" w:firstRow="1" w:lastRow="0" w:firstColumn="1" w:lastColumn="0" w:noHBand="0" w:noVBand="1"/>
      </w:tblPr>
      <w:tblGrid>
        <w:gridCol w:w="3240"/>
        <w:gridCol w:w="5265"/>
      </w:tblGrid>
      <w:tr w:rsidR="008A4F47" w:rsidRPr="00261B7A" w14:paraId="7885CE20" w14:textId="77777777" w:rsidTr="00D41492">
        <w:trPr>
          <w:tblHeader/>
        </w:trPr>
        <w:tc>
          <w:tcPr>
            <w:tcW w:w="3261" w:type="dxa"/>
            <w:tcBorders>
              <w:top w:val="single" w:sz="4" w:space="0" w:color="1B556B"/>
              <w:left w:val="nil"/>
              <w:bottom w:val="single" w:sz="4" w:space="0" w:color="1B556B"/>
              <w:right w:val="nil"/>
            </w:tcBorders>
            <w:shd w:val="clear" w:color="auto" w:fill="1B556B"/>
            <w:hideMark/>
          </w:tcPr>
          <w:p w14:paraId="08897F4B" w14:textId="77777777" w:rsidR="008A4F47" w:rsidRPr="00261B7A" w:rsidRDefault="008A4F47" w:rsidP="00D41492">
            <w:pPr>
              <w:pStyle w:val="TableTextBold"/>
              <w:keepNext/>
              <w:spacing w:before="50" w:after="50"/>
              <w:rPr>
                <w:noProof w:val="0"/>
                <w:color w:val="FFFFFF"/>
                <w:szCs w:val="16"/>
              </w:rPr>
            </w:pPr>
            <w:r w:rsidRPr="00261B7A">
              <w:rPr>
                <w:noProof w:val="0"/>
                <w:color w:val="FFFFFF"/>
                <w:szCs w:val="16"/>
              </w:rPr>
              <w:t>Variation in emissions</w:t>
            </w:r>
          </w:p>
        </w:tc>
        <w:tc>
          <w:tcPr>
            <w:tcW w:w="5301" w:type="dxa"/>
            <w:tcBorders>
              <w:top w:val="single" w:sz="4" w:space="0" w:color="1B556B"/>
              <w:left w:val="nil"/>
              <w:bottom w:val="single" w:sz="4" w:space="0" w:color="1B556B"/>
              <w:right w:val="nil"/>
            </w:tcBorders>
            <w:shd w:val="clear" w:color="auto" w:fill="1B556B"/>
            <w:hideMark/>
          </w:tcPr>
          <w:p w14:paraId="1DE515E6" w14:textId="77777777" w:rsidR="008A4F47" w:rsidRPr="00261B7A" w:rsidRDefault="008A4F47" w:rsidP="00D41492">
            <w:pPr>
              <w:pStyle w:val="TableTextBold"/>
              <w:spacing w:before="50" w:after="50"/>
              <w:rPr>
                <w:noProof w:val="0"/>
                <w:color w:val="FFFFFF"/>
                <w:szCs w:val="16"/>
              </w:rPr>
            </w:pPr>
            <w:r w:rsidRPr="00261B7A">
              <w:rPr>
                <w:noProof w:val="0"/>
                <w:color w:val="FFFFFF"/>
                <w:szCs w:val="16"/>
              </w:rPr>
              <w:t>Reason for variation</w:t>
            </w:r>
          </w:p>
        </w:tc>
      </w:tr>
      <w:tr w:rsidR="008A4F47" w:rsidRPr="00261B7A" w14:paraId="1F26FD2D" w14:textId="77777777" w:rsidTr="00D41492">
        <w:tc>
          <w:tcPr>
            <w:tcW w:w="3261" w:type="dxa"/>
            <w:tcBorders>
              <w:top w:val="single" w:sz="4" w:space="0" w:color="1B556B"/>
              <w:left w:val="nil"/>
              <w:bottom w:val="single" w:sz="4" w:space="0" w:color="1B556B"/>
              <w:right w:val="nil"/>
            </w:tcBorders>
            <w:hideMark/>
          </w:tcPr>
          <w:p w14:paraId="40419CF5" w14:textId="77777777" w:rsidR="008A4F47" w:rsidRPr="00261B7A" w:rsidRDefault="008A4F47" w:rsidP="00D41492">
            <w:pPr>
              <w:pStyle w:val="TableText"/>
              <w:spacing w:before="50" w:after="50"/>
              <w:rPr>
                <w:i/>
                <w:szCs w:val="16"/>
              </w:rPr>
            </w:pPr>
            <w:r w:rsidRPr="00261B7A">
              <w:rPr>
                <w:szCs w:val="16"/>
              </w:rPr>
              <w:t>Increase in CO</w:t>
            </w:r>
            <w:r w:rsidRPr="00261B7A">
              <w:rPr>
                <w:szCs w:val="16"/>
                <w:vertAlign w:val="subscript"/>
              </w:rPr>
              <w:t>2</w:t>
            </w:r>
            <w:r w:rsidRPr="00261B7A">
              <w:rPr>
                <w:szCs w:val="16"/>
              </w:rPr>
              <w:t xml:space="preserve"> and PFC emissions in 1996</w:t>
            </w:r>
          </w:p>
        </w:tc>
        <w:tc>
          <w:tcPr>
            <w:tcW w:w="5301" w:type="dxa"/>
            <w:tcBorders>
              <w:top w:val="single" w:sz="4" w:space="0" w:color="1B556B"/>
              <w:left w:val="nil"/>
              <w:bottom w:val="single" w:sz="4" w:space="0" w:color="1B556B"/>
              <w:right w:val="nil"/>
            </w:tcBorders>
            <w:hideMark/>
          </w:tcPr>
          <w:p w14:paraId="302F3C3F" w14:textId="77777777" w:rsidR="008A4F47" w:rsidRPr="00261B7A" w:rsidRDefault="008A4F47" w:rsidP="00D41492">
            <w:pPr>
              <w:pStyle w:val="TableText"/>
              <w:spacing w:before="50" w:after="50"/>
              <w:rPr>
                <w:i/>
                <w:szCs w:val="16"/>
              </w:rPr>
            </w:pPr>
            <w:r w:rsidRPr="00261B7A">
              <w:rPr>
                <w:szCs w:val="16"/>
              </w:rPr>
              <w:t>Commissioning of Line 4 cells</w:t>
            </w:r>
          </w:p>
        </w:tc>
      </w:tr>
      <w:tr w:rsidR="008A4F47" w:rsidRPr="00261B7A" w14:paraId="0A592818" w14:textId="77777777" w:rsidTr="00D41492">
        <w:tc>
          <w:tcPr>
            <w:tcW w:w="3261" w:type="dxa"/>
            <w:tcBorders>
              <w:top w:val="single" w:sz="4" w:space="0" w:color="1B556B"/>
              <w:left w:val="nil"/>
              <w:bottom w:val="nil"/>
              <w:right w:val="nil"/>
            </w:tcBorders>
            <w:hideMark/>
          </w:tcPr>
          <w:p w14:paraId="35CB7B58" w14:textId="77777777" w:rsidR="008A4F47" w:rsidRPr="00261B7A" w:rsidRDefault="008A4F47" w:rsidP="00D41492">
            <w:pPr>
              <w:pStyle w:val="TableText"/>
              <w:spacing w:before="50" w:after="50"/>
              <w:rPr>
                <w:i/>
                <w:szCs w:val="16"/>
              </w:rPr>
            </w:pPr>
            <w:r w:rsidRPr="00261B7A">
              <w:rPr>
                <w:szCs w:val="16"/>
              </w:rPr>
              <w:t>Decrease in CO</w:t>
            </w:r>
            <w:r w:rsidRPr="00261B7A">
              <w:rPr>
                <w:szCs w:val="16"/>
                <w:vertAlign w:val="subscript"/>
              </w:rPr>
              <w:t xml:space="preserve">2 </w:t>
            </w:r>
            <w:r w:rsidRPr="00261B7A">
              <w:rPr>
                <w:szCs w:val="16"/>
              </w:rPr>
              <w:t>emissions in 1995</w:t>
            </w:r>
          </w:p>
        </w:tc>
        <w:tc>
          <w:tcPr>
            <w:tcW w:w="5301" w:type="dxa"/>
            <w:tcBorders>
              <w:top w:val="single" w:sz="4" w:space="0" w:color="1B556B"/>
              <w:left w:val="nil"/>
              <w:bottom w:val="nil"/>
              <w:right w:val="nil"/>
            </w:tcBorders>
            <w:hideMark/>
          </w:tcPr>
          <w:p w14:paraId="5A47AA32" w14:textId="77777777" w:rsidR="008A4F47" w:rsidRPr="00261B7A" w:rsidRDefault="008A4F47" w:rsidP="00D41492">
            <w:pPr>
              <w:pStyle w:val="TableText"/>
              <w:spacing w:before="50" w:after="50"/>
              <w:rPr>
                <w:i/>
                <w:szCs w:val="16"/>
              </w:rPr>
            </w:pPr>
            <w:r w:rsidRPr="00261B7A">
              <w:rPr>
                <w:szCs w:val="16"/>
              </w:rPr>
              <w:t>Good anode performance, compared with 1994 and 1996</w:t>
            </w:r>
          </w:p>
        </w:tc>
      </w:tr>
      <w:tr w:rsidR="008A4F47" w:rsidRPr="00261B7A" w14:paraId="0D196BBE" w14:textId="77777777" w:rsidTr="00D41492">
        <w:tc>
          <w:tcPr>
            <w:tcW w:w="3261" w:type="dxa"/>
            <w:hideMark/>
          </w:tcPr>
          <w:p w14:paraId="1963D1B9" w14:textId="77777777" w:rsidR="008A4F47" w:rsidRPr="00261B7A" w:rsidRDefault="008A4F47" w:rsidP="00D41492">
            <w:pPr>
              <w:pStyle w:val="TableText"/>
              <w:spacing w:before="50" w:after="50"/>
              <w:rPr>
                <w:i/>
                <w:szCs w:val="16"/>
              </w:rPr>
            </w:pPr>
            <w:r w:rsidRPr="00261B7A">
              <w:rPr>
                <w:szCs w:val="16"/>
              </w:rPr>
              <w:t>Decrease in CO</w:t>
            </w:r>
            <w:r w:rsidRPr="00261B7A">
              <w:rPr>
                <w:szCs w:val="16"/>
                <w:vertAlign w:val="subscript"/>
              </w:rPr>
              <w:t xml:space="preserve">2 </w:t>
            </w:r>
            <w:r w:rsidRPr="00261B7A">
              <w:rPr>
                <w:szCs w:val="16"/>
              </w:rPr>
              <w:t>emissions in 1998</w:t>
            </w:r>
          </w:p>
        </w:tc>
        <w:tc>
          <w:tcPr>
            <w:tcW w:w="5301" w:type="dxa"/>
            <w:hideMark/>
          </w:tcPr>
          <w:p w14:paraId="2571781B" w14:textId="77777777" w:rsidR="008A4F47" w:rsidRPr="00261B7A" w:rsidRDefault="008A4F47" w:rsidP="00D41492">
            <w:pPr>
              <w:pStyle w:val="TableText"/>
              <w:spacing w:before="50" w:after="50"/>
              <w:rPr>
                <w:i/>
                <w:szCs w:val="16"/>
              </w:rPr>
            </w:pPr>
            <w:r w:rsidRPr="00261B7A">
              <w:rPr>
                <w:szCs w:val="16"/>
              </w:rPr>
              <w:t>Good anode performance</w:t>
            </w:r>
          </w:p>
        </w:tc>
      </w:tr>
      <w:tr w:rsidR="008A4F47" w:rsidRPr="00261B7A" w14:paraId="45697F62" w14:textId="77777777" w:rsidTr="00D41492">
        <w:tc>
          <w:tcPr>
            <w:tcW w:w="3261" w:type="dxa"/>
            <w:hideMark/>
          </w:tcPr>
          <w:p w14:paraId="234719E3" w14:textId="77777777" w:rsidR="008A4F47" w:rsidRPr="00261B7A" w:rsidRDefault="008A4F47" w:rsidP="00D41492">
            <w:pPr>
              <w:pStyle w:val="TableText"/>
              <w:spacing w:before="50" w:after="50"/>
              <w:rPr>
                <w:i/>
                <w:szCs w:val="16"/>
              </w:rPr>
            </w:pPr>
            <w:r w:rsidRPr="00261B7A">
              <w:rPr>
                <w:szCs w:val="16"/>
              </w:rPr>
              <w:t>Decrease in CO</w:t>
            </w:r>
            <w:r w:rsidRPr="00261B7A">
              <w:rPr>
                <w:szCs w:val="16"/>
                <w:vertAlign w:val="subscript"/>
              </w:rPr>
              <w:t>2</w:t>
            </w:r>
            <w:r w:rsidRPr="00261B7A">
              <w:rPr>
                <w:szCs w:val="16"/>
              </w:rPr>
              <w:t xml:space="preserve"> emissions in 2001, 2003 and 2006</w:t>
            </w:r>
          </w:p>
        </w:tc>
        <w:tc>
          <w:tcPr>
            <w:tcW w:w="5301" w:type="dxa"/>
            <w:hideMark/>
          </w:tcPr>
          <w:p w14:paraId="79B8E657" w14:textId="77777777" w:rsidR="008A4F47" w:rsidRPr="00261B7A" w:rsidRDefault="008A4F47" w:rsidP="00D41492">
            <w:pPr>
              <w:pStyle w:val="TableText"/>
              <w:spacing w:before="50" w:after="50"/>
              <w:rPr>
                <w:i/>
                <w:szCs w:val="16"/>
              </w:rPr>
            </w:pPr>
            <w:r w:rsidRPr="00261B7A">
              <w:rPr>
                <w:szCs w:val="16"/>
              </w:rPr>
              <w:t>Fewer cells operating from reduced aluminium production due to reduced electricity supply</w:t>
            </w:r>
          </w:p>
        </w:tc>
      </w:tr>
      <w:tr w:rsidR="008A4F47" w:rsidRPr="00261B7A" w14:paraId="3E8C326F" w14:textId="77777777" w:rsidTr="00D41492">
        <w:tc>
          <w:tcPr>
            <w:tcW w:w="3261" w:type="dxa"/>
          </w:tcPr>
          <w:p w14:paraId="7B489C1A" w14:textId="77777777" w:rsidR="008A4F47" w:rsidRPr="00261B7A" w:rsidRDefault="008A4F47" w:rsidP="00D41492">
            <w:pPr>
              <w:pStyle w:val="TableText"/>
              <w:spacing w:before="50" w:after="50"/>
              <w:rPr>
                <w:i/>
                <w:szCs w:val="16"/>
              </w:rPr>
            </w:pPr>
          </w:p>
        </w:tc>
        <w:tc>
          <w:tcPr>
            <w:tcW w:w="5301" w:type="dxa"/>
            <w:hideMark/>
          </w:tcPr>
          <w:p w14:paraId="2B9998EB" w14:textId="77777777" w:rsidR="008A4F47" w:rsidRPr="00261B7A" w:rsidRDefault="008A4F47" w:rsidP="00D41492">
            <w:pPr>
              <w:pStyle w:val="TableText"/>
              <w:rPr>
                <w:i/>
              </w:rPr>
            </w:pPr>
            <w:r w:rsidRPr="00261B7A">
              <w:t>Good anode performance contributed in 2001</w:t>
            </w:r>
          </w:p>
        </w:tc>
      </w:tr>
      <w:tr w:rsidR="008A4F47" w:rsidRPr="00261B7A" w14:paraId="1CFF9C04" w14:textId="77777777" w:rsidTr="00D41492">
        <w:tc>
          <w:tcPr>
            <w:tcW w:w="3261" w:type="dxa"/>
            <w:hideMark/>
          </w:tcPr>
          <w:p w14:paraId="2377959B" w14:textId="77777777" w:rsidR="008A4F47" w:rsidRPr="00261B7A" w:rsidRDefault="008A4F47" w:rsidP="00D41492">
            <w:pPr>
              <w:pStyle w:val="TableText"/>
              <w:spacing w:before="50" w:after="50"/>
              <w:rPr>
                <w:i/>
                <w:szCs w:val="16"/>
              </w:rPr>
            </w:pPr>
            <w:r w:rsidRPr="00261B7A">
              <w:rPr>
                <w:szCs w:val="16"/>
              </w:rPr>
              <w:t>Increase in CO</w:t>
            </w:r>
            <w:r w:rsidRPr="00261B7A">
              <w:rPr>
                <w:szCs w:val="16"/>
                <w:vertAlign w:val="subscript"/>
              </w:rPr>
              <w:t xml:space="preserve">2 </w:t>
            </w:r>
            <w:r w:rsidRPr="00261B7A">
              <w:rPr>
                <w:szCs w:val="16"/>
              </w:rPr>
              <w:t>emissions in 1996</w:t>
            </w:r>
          </w:p>
        </w:tc>
        <w:tc>
          <w:tcPr>
            <w:tcW w:w="5301" w:type="dxa"/>
            <w:hideMark/>
          </w:tcPr>
          <w:p w14:paraId="3DB32783" w14:textId="77777777" w:rsidR="008A4F47" w:rsidRPr="00261B7A" w:rsidRDefault="008A4F47" w:rsidP="00D41492">
            <w:pPr>
              <w:pStyle w:val="TableText"/>
              <w:spacing w:before="50" w:after="50"/>
              <w:rPr>
                <w:i/>
                <w:szCs w:val="16"/>
              </w:rPr>
            </w:pPr>
            <w:r w:rsidRPr="00261B7A">
              <w:rPr>
                <w:szCs w:val="16"/>
              </w:rPr>
              <w:t>All cells operating, including introduction of additional cells</w:t>
            </w:r>
          </w:p>
        </w:tc>
      </w:tr>
      <w:tr w:rsidR="008A4F47" w:rsidRPr="00261B7A" w14:paraId="2B6BDF91" w14:textId="77777777" w:rsidTr="00D41492">
        <w:tc>
          <w:tcPr>
            <w:tcW w:w="3261" w:type="dxa"/>
            <w:tcBorders>
              <w:top w:val="nil"/>
              <w:left w:val="nil"/>
              <w:bottom w:val="single" w:sz="4" w:space="0" w:color="1B556B"/>
              <w:right w:val="nil"/>
            </w:tcBorders>
          </w:tcPr>
          <w:p w14:paraId="15110D9D" w14:textId="77777777" w:rsidR="008A4F47" w:rsidRPr="00261B7A" w:rsidRDefault="008A4F47" w:rsidP="00D41492">
            <w:pPr>
              <w:pStyle w:val="TableText"/>
              <w:spacing w:before="50" w:after="50"/>
              <w:rPr>
                <w:i/>
                <w:szCs w:val="16"/>
              </w:rPr>
            </w:pPr>
          </w:p>
        </w:tc>
        <w:tc>
          <w:tcPr>
            <w:tcW w:w="5301" w:type="dxa"/>
            <w:tcBorders>
              <w:top w:val="nil"/>
              <w:left w:val="nil"/>
              <w:bottom w:val="single" w:sz="4" w:space="0" w:color="1B556B"/>
              <w:right w:val="nil"/>
            </w:tcBorders>
            <w:hideMark/>
          </w:tcPr>
          <w:p w14:paraId="4A43F070" w14:textId="77777777" w:rsidR="008A4F47" w:rsidRPr="00261B7A" w:rsidRDefault="008A4F47" w:rsidP="00D41492">
            <w:pPr>
              <w:pStyle w:val="TableText"/>
              <w:spacing w:before="50" w:after="50"/>
              <w:rPr>
                <w:i/>
                <w:szCs w:val="16"/>
              </w:rPr>
            </w:pPr>
            <w:r w:rsidRPr="00261B7A">
              <w:rPr>
                <w:szCs w:val="16"/>
              </w:rPr>
              <w:t>Increasing aluminium production rate from the cells</w:t>
            </w:r>
          </w:p>
        </w:tc>
      </w:tr>
      <w:tr w:rsidR="008A4F47" w:rsidRPr="00261B7A" w14:paraId="02E55386" w14:textId="77777777" w:rsidTr="00D41492">
        <w:tc>
          <w:tcPr>
            <w:tcW w:w="3261" w:type="dxa"/>
            <w:tcBorders>
              <w:top w:val="single" w:sz="4" w:space="0" w:color="1B556B"/>
              <w:left w:val="nil"/>
              <w:bottom w:val="nil"/>
              <w:right w:val="nil"/>
            </w:tcBorders>
            <w:hideMark/>
          </w:tcPr>
          <w:p w14:paraId="646C8036" w14:textId="77777777" w:rsidR="008A4F47" w:rsidRPr="00261B7A" w:rsidRDefault="008A4F47" w:rsidP="00D41492">
            <w:pPr>
              <w:pStyle w:val="TableText"/>
              <w:rPr>
                <w:i/>
                <w:szCs w:val="16"/>
              </w:rPr>
            </w:pPr>
            <w:r w:rsidRPr="00261B7A">
              <w:rPr>
                <w:szCs w:val="16"/>
              </w:rPr>
              <w:t>Decrease in PFC emissions in 1995</w:t>
            </w:r>
          </w:p>
        </w:tc>
        <w:tc>
          <w:tcPr>
            <w:tcW w:w="5301" w:type="dxa"/>
            <w:tcBorders>
              <w:top w:val="single" w:sz="4" w:space="0" w:color="1B556B"/>
              <w:left w:val="nil"/>
              <w:bottom w:val="nil"/>
              <w:right w:val="nil"/>
            </w:tcBorders>
            <w:hideMark/>
          </w:tcPr>
          <w:p w14:paraId="317F7CD9" w14:textId="77777777" w:rsidR="008A4F47" w:rsidRPr="00261B7A" w:rsidRDefault="008A4F47" w:rsidP="00D41492">
            <w:pPr>
              <w:pStyle w:val="TableText"/>
              <w:rPr>
                <w:i/>
                <w:szCs w:val="16"/>
              </w:rPr>
            </w:pPr>
            <w:r w:rsidRPr="00261B7A">
              <w:rPr>
                <w:szCs w:val="16"/>
              </w:rPr>
              <w:t xml:space="preserve">Reduced anode frequencies </w:t>
            </w:r>
          </w:p>
        </w:tc>
      </w:tr>
      <w:tr w:rsidR="008A4F47" w:rsidRPr="00261B7A" w14:paraId="20A5F94F" w14:textId="77777777" w:rsidTr="00D41492">
        <w:tc>
          <w:tcPr>
            <w:tcW w:w="3261" w:type="dxa"/>
          </w:tcPr>
          <w:p w14:paraId="32C1E21E" w14:textId="77777777" w:rsidR="008A4F47" w:rsidRPr="00261B7A" w:rsidRDefault="008A4F47" w:rsidP="00D41492">
            <w:pPr>
              <w:pStyle w:val="TableText"/>
              <w:rPr>
                <w:i/>
                <w:szCs w:val="16"/>
              </w:rPr>
            </w:pPr>
          </w:p>
        </w:tc>
        <w:tc>
          <w:tcPr>
            <w:tcW w:w="5301" w:type="dxa"/>
            <w:hideMark/>
          </w:tcPr>
          <w:p w14:paraId="530C79B5" w14:textId="77777777" w:rsidR="008A4F47" w:rsidRPr="00261B7A" w:rsidRDefault="008A4F47" w:rsidP="00D41492">
            <w:pPr>
              <w:pStyle w:val="TableText"/>
              <w:rPr>
                <w:i/>
                <w:szCs w:val="16"/>
              </w:rPr>
            </w:pPr>
            <w:r w:rsidRPr="00261B7A">
              <w:rPr>
                <w:szCs w:val="16"/>
              </w:rPr>
              <w:t>The implementation of the change control strategy to all reduction cells</w:t>
            </w:r>
          </w:p>
        </w:tc>
      </w:tr>
      <w:tr w:rsidR="008A4F47" w:rsidRPr="00261B7A" w14:paraId="3ABA7191" w14:textId="77777777" w:rsidTr="00D41492">
        <w:tc>
          <w:tcPr>
            <w:tcW w:w="3261" w:type="dxa"/>
          </w:tcPr>
          <w:p w14:paraId="1A5A1C66" w14:textId="77777777" w:rsidR="008A4F47" w:rsidRPr="00261B7A" w:rsidRDefault="008A4F47" w:rsidP="00D41492">
            <w:pPr>
              <w:pStyle w:val="TableText"/>
              <w:rPr>
                <w:i/>
                <w:szCs w:val="16"/>
              </w:rPr>
            </w:pPr>
          </w:p>
        </w:tc>
        <w:tc>
          <w:tcPr>
            <w:tcW w:w="5301" w:type="dxa"/>
            <w:hideMark/>
          </w:tcPr>
          <w:p w14:paraId="0E004096" w14:textId="77777777" w:rsidR="008A4F47" w:rsidRPr="00261B7A" w:rsidRDefault="008A4F47" w:rsidP="00D41492">
            <w:pPr>
              <w:pStyle w:val="TableText"/>
              <w:rPr>
                <w:i/>
                <w:szCs w:val="16"/>
              </w:rPr>
            </w:pPr>
            <w:r w:rsidRPr="00261B7A">
              <w:rPr>
                <w:szCs w:val="16"/>
              </w:rPr>
              <w:t>Repairs made to cells exerting higher frequencies</w:t>
            </w:r>
          </w:p>
        </w:tc>
      </w:tr>
      <w:tr w:rsidR="008A4F47" w:rsidRPr="00261B7A" w14:paraId="03722B2E" w14:textId="77777777" w:rsidTr="00D41492">
        <w:tc>
          <w:tcPr>
            <w:tcW w:w="3261" w:type="dxa"/>
            <w:hideMark/>
          </w:tcPr>
          <w:p w14:paraId="1DA38E8F" w14:textId="77777777" w:rsidR="008A4F47" w:rsidRPr="00261B7A" w:rsidRDefault="008A4F47" w:rsidP="00D41492">
            <w:pPr>
              <w:pStyle w:val="TableText"/>
              <w:rPr>
                <w:i/>
                <w:szCs w:val="16"/>
              </w:rPr>
            </w:pPr>
            <w:r w:rsidRPr="00261B7A">
              <w:rPr>
                <w:szCs w:val="16"/>
              </w:rPr>
              <w:t>PFC emissions remained high in 1997</w:t>
            </w:r>
          </w:p>
        </w:tc>
        <w:tc>
          <w:tcPr>
            <w:tcW w:w="5301" w:type="dxa"/>
            <w:hideMark/>
          </w:tcPr>
          <w:p w14:paraId="26A0D759" w14:textId="77777777" w:rsidR="008A4F47" w:rsidRPr="00261B7A" w:rsidRDefault="008A4F47" w:rsidP="00D41492">
            <w:pPr>
              <w:pStyle w:val="TableText"/>
              <w:rPr>
                <w:i/>
                <w:szCs w:val="16"/>
              </w:rPr>
            </w:pPr>
            <w:r w:rsidRPr="00261B7A">
              <w:rPr>
                <w:szCs w:val="16"/>
              </w:rPr>
              <w:t>Instability over the whole plant as the operating parameters were tuned for the material coming from the newly commissioned dry scrubbing equipment (removes the fluoride and particulate from the main stack discharge)</w:t>
            </w:r>
          </w:p>
        </w:tc>
      </w:tr>
      <w:tr w:rsidR="008A4F47" w:rsidRPr="00261B7A" w14:paraId="371D4CE1" w14:textId="77777777" w:rsidTr="00D41492">
        <w:tc>
          <w:tcPr>
            <w:tcW w:w="3261" w:type="dxa"/>
            <w:hideMark/>
          </w:tcPr>
          <w:p w14:paraId="4DEF3FE1" w14:textId="77777777" w:rsidR="008A4F47" w:rsidRPr="00261B7A" w:rsidRDefault="008A4F47" w:rsidP="00D41492">
            <w:pPr>
              <w:pStyle w:val="TableText"/>
              <w:rPr>
                <w:i/>
                <w:szCs w:val="16"/>
              </w:rPr>
            </w:pPr>
            <w:r w:rsidRPr="00261B7A">
              <w:rPr>
                <w:szCs w:val="16"/>
              </w:rPr>
              <w:t>Decrease in PFC emissions in 1998</w:t>
            </w:r>
          </w:p>
        </w:tc>
        <w:tc>
          <w:tcPr>
            <w:tcW w:w="5301" w:type="dxa"/>
            <w:hideMark/>
          </w:tcPr>
          <w:p w14:paraId="6E726F1B" w14:textId="77777777" w:rsidR="008A4F47" w:rsidRPr="00261B7A" w:rsidRDefault="008A4F47" w:rsidP="00D41492">
            <w:pPr>
              <w:pStyle w:val="TableText"/>
              <w:rPr>
                <w:i/>
                <w:szCs w:val="16"/>
              </w:rPr>
            </w:pPr>
            <w:r w:rsidRPr="00261B7A">
              <w:rPr>
                <w:szCs w:val="16"/>
              </w:rPr>
              <w:t xml:space="preserve">Cell operating parameter control from the introduction of modified software. This software has improved the detection of an anode-effect onset and will initiate actions to prevent the anode effect </w:t>
            </w:r>
          </w:p>
        </w:tc>
      </w:tr>
      <w:tr w:rsidR="008A4F47" w:rsidRPr="00261B7A" w14:paraId="1F96077B" w14:textId="77777777" w:rsidTr="00D41492">
        <w:tc>
          <w:tcPr>
            <w:tcW w:w="3261" w:type="dxa"/>
            <w:tcBorders>
              <w:top w:val="nil"/>
              <w:left w:val="nil"/>
              <w:bottom w:val="single" w:sz="4" w:space="0" w:color="1B556B"/>
              <w:right w:val="nil"/>
            </w:tcBorders>
            <w:hideMark/>
          </w:tcPr>
          <w:p w14:paraId="7A1B2721" w14:textId="77777777" w:rsidR="008A4F47" w:rsidRPr="00261B7A" w:rsidRDefault="008A4F47" w:rsidP="00D41492">
            <w:pPr>
              <w:pStyle w:val="TableText"/>
              <w:rPr>
                <w:i/>
                <w:szCs w:val="16"/>
              </w:rPr>
            </w:pPr>
            <w:r w:rsidRPr="00261B7A">
              <w:rPr>
                <w:szCs w:val="16"/>
              </w:rPr>
              <w:t>PFCs remain relatively static in 2001, 2003 and 2006</w:t>
            </w:r>
          </w:p>
        </w:tc>
        <w:tc>
          <w:tcPr>
            <w:tcW w:w="5301" w:type="dxa"/>
            <w:tcBorders>
              <w:top w:val="nil"/>
              <w:left w:val="nil"/>
              <w:bottom w:val="single" w:sz="4" w:space="0" w:color="1B556B"/>
              <w:right w:val="nil"/>
            </w:tcBorders>
            <w:hideMark/>
          </w:tcPr>
          <w:p w14:paraId="7EB9238E" w14:textId="77777777" w:rsidR="008A4F47" w:rsidRPr="00261B7A" w:rsidRDefault="008A4F47" w:rsidP="00D41492">
            <w:pPr>
              <w:pStyle w:val="TableText"/>
              <w:rPr>
                <w:i/>
                <w:szCs w:val="16"/>
              </w:rPr>
            </w:pPr>
            <w:r w:rsidRPr="00261B7A">
              <w:rPr>
                <w:szCs w:val="16"/>
              </w:rPr>
              <w:t>Increased emissions from restarting the cells</w:t>
            </w:r>
          </w:p>
        </w:tc>
      </w:tr>
    </w:tbl>
    <w:p w14:paraId="59A9CE20" w14:textId="77777777" w:rsidR="008A4F47" w:rsidRPr="00261B7A" w:rsidRDefault="008A4F47" w:rsidP="008A4F47">
      <w:pPr>
        <w:pStyle w:val="BodyText"/>
        <w:spacing w:before="240"/>
      </w:pPr>
      <w:r w:rsidRPr="00261B7A">
        <w:t>The activities of lead-acid battery recycling and use of SF</w:t>
      </w:r>
      <w:r w:rsidRPr="00261B7A">
        <w:rPr>
          <w:vertAlign w:val="subscript"/>
        </w:rPr>
        <w:t>6</w:t>
      </w:r>
      <w:r w:rsidRPr="00261B7A">
        <w:t xml:space="preserve"> in a magnesium foundry ceased during the time series resulting in zero emissions after 1999 and 2015 respectively. </w:t>
      </w:r>
    </w:p>
    <w:p w14:paraId="625596A9" w14:textId="77777777" w:rsidR="008A4F47" w:rsidRPr="00261B7A" w:rsidRDefault="008A4F47" w:rsidP="0034058F">
      <w:pPr>
        <w:pStyle w:val="Heading3"/>
      </w:pPr>
      <w:r w:rsidRPr="00261B7A">
        <w:t>4.4.4</w:t>
      </w:r>
      <w:r w:rsidRPr="00261B7A">
        <w:tab/>
        <w:t>Source-specific QA/QC and verification</w:t>
      </w:r>
    </w:p>
    <w:p w14:paraId="0881C6F6" w14:textId="77777777" w:rsidR="008A4F47" w:rsidRPr="00261B7A" w:rsidRDefault="008A4F47" w:rsidP="008A4F47">
      <w:pPr>
        <w:pStyle w:val="BodyText"/>
      </w:pPr>
      <w:r w:rsidRPr="00261B7A">
        <w:t xml:space="preserve">The three key categories in the </w:t>
      </w:r>
      <w:r w:rsidRPr="00261B7A">
        <w:rPr>
          <w:i/>
        </w:rPr>
        <w:t>Metal industry</w:t>
      </w:r>
      <w:r w:rsidRPr="00261B7A">
        <w:t xml:space="preserve"> category are CO</w:t>
      </w:r>
      <w:r w:rsidRPr="00261B7A">
        <w:rPr>
          <w:vertAlign w:val="subscript"/>
        </w:rPr>
        <w:t>2</w:t>
      </w:r>
      <w:r w:rsidRPr="00261B7A">
        <w:t xml:space="preserve"> emissions from </w:t>
      </w:r>
      <w:r w:rsidRPr="00261B7A">
        <w:rPr>
          <w:i/>
        </w:rPr>
        <w:t>Iron and steel production</w:t>
      </w:r>
      <w:r w:rsidRPr="00261B7A">
        <w:t xml:space="preserve"> (level and trend assessment), </w:t>
      </w:r>
      <w:r w:rsidRPr="00261B7A">
        <w:rPr>
          <w:i/>
        </w:rPr>
        <w:t xml:space="preserve">Aluminium production </w:t>
      </w:r>
      <w:r w:rsidRPr="00261B7A">
        <w:rPr>
          <w:iCs/>
        </w:rPr>
        <w:t>(level assessment)</w:t>
      </w:r>
      <w:r w:rsidRPr="00261B7A">
        <w:t xml:space="preserve">, and PFCs from </w:t>
      </w:r>
      <w:r w:rsidRPr="00261B7A">
        <w:rPr>
          <w:i/>
        </w:rPr>
        <w:t>Aluminium production</w:t>
      </w:r>
      <w:r w:rsidRPr="00261B7A">
        <w:rPr>
          <w:iCs/>
        </w:rPr>
        <w:t xml:space="preserve"> (trend assessment)</w:t>
      </w:r>
      <w:r w:rsidRPr="00261B7A">
        <w:t xml:space="preserve">. The data for all direct emissions in this category underwent Tier 1 quality checks in the preparation of this inventory. </w:t>
      </w:r>
    </w:p>
    <w:p w14:paraId="75BA7E9D" w14:textId="77777777" w:rsidR="008A4F47" w:rsidRPr="00261B7A" w:rsidRDefault="008A4F47" w:rsidP="0034058F">
      <w:pPr>
        <w:pStyle w:val="Heading3"/>
      </w:pPr>
      <w:r w:rsidRPr="00261B7A">
        <w:t>4.4.5</w:t>
      </w:r>
      <w:r w:rsidRPr="00261B7A">
        <w:tab/>
        <w:t>Source-specific recalculations</w:t>
      </w:r>
    </w:p>
    <w:p w14:paraId="0E985688" w14:textId="77777777" w:rsidR="008A4F47" w:rsidRPr="00261B7A" w:rsidRDefault="008A4F47" w:rsidP="008A4F47">
      <w:pPr>
        <w:pStyle w:val="BodyText"/>
      </w:pPr>
      <w:r w:rsidRPr="00261B7A">
        <w:t xml:space="preserve">There are no recalculations for this category. </w:t>
      </w:r>
    </w:p>
    <w:p w14:paraId="053C5EE0" w14:textId="77777777" w:rsidR="008A4F47" w:rsidRPr="00261B7A" w:rsidRDefault="008A4F47" w:rsidP="0034058F">
      <w:pPr>
        <w:pStyle w:val="Heading3"/>
      </w:pPr>
      <w:r w:rsidRPr="00261B7A">
        <w:t>4.4.6</w:t>
      </w:r>
      <w:r w:rsidRPr="00261B7A">
        <w:tab/>
        <w:t>Source-specific planned improvements</w:t>
      </w:r>
    </w:p>
    <w:p w14:paraId="78106514" w14:textId="77777777" w:rsidR="008A4F47" w:rsidRPr="00261B7A" w:rsidRDefault="008A4F47" w:rsidP="008A4F47">
      <w:pPr>
        <w:pStyle w:val="BodyText"/>
      </w:pPr>
      <w:r w:rsidRPr="00261B7A">
        <w:t xml:space="preserve">There are no planned improvements for this category. </w:t>
      </w:r>
    </w:p>
    <w:p w14:paraId="2802A8D4" w14:textId="77777777" w:rsidR="008A4F47" w:rsidRPr="00261B7A" w:rsidRDefault="008A4F47" w:rsidP="008759CD">
      <w:pPr>
        <w:pStyle w:val="Heading2"/>
        <w:spacing w:line="380" w:lineRule="atLeast"/>
      </w:pPr>
      <w:bookmarkStart w:id="531" w:name="_Toc448321516"/>
      <w:bookmarkStart w:id="532" w:name="_Toc5269355"/>
      <w:bookmarkStart w:id="533" w:name="_Toc36224395"/>
      <w:bookmarkStart w:id="534" w:name="_Toc68786315"/>
      <w:bookmarkStart w:id="535" w:name="_Toc131591230"/>
      <w:r w:rsidRPr="00261B7A">
        <w:t>4.5</w:t>
      </w:r>
      <w:r w:rsidRPr="00261B7A">
        <w:tab/>
        <w:t>Non-energy products from fuels and solvent use (2.D)</w:t>
      </w:r>
      <w:bookmarkEnd w:id="531"/>
      <w:bookmarkEnd w:id="532"/>
      <w:bookmarkEnd w:id="533"/>
      <w:bookmarkEnd w:id="534"/>
      <w:bookmarkEnd w:id="535"/>
    </w:p>
    <w:p w14:paraId="09138A89" w14:textId="77777777" w:rsidR="008A4F47" w:rsidRPr="00261B7A" w:rsidRDefault="008A4F47" w:rsidP="00127A77">
      <w:pPr>
        <w:pStyle w:val="Heading3"/>
        <w:spacing w:before="240"/>
      </w:pPr>
      <w:r w:rsidRPr="00261B7A">
        <w:t>4.5.1</w:t>
      </w:r>
      <w:r w:rsidRPr="00261B7A">
        <w:tab/>
        <w:t>Description</w:t>
      </w:r>
    </w:p>
    <w:p w14:paraId="4DB6621D" w14:textId="77777777" w:rsidR="008A4F47" w:rsidRPr="00261B7A" w:rsidRDefault="008A4F47" w:rsidP="008A4F47">
      <w:pPr>
        <w:pStyle w:val="BodyText"/>
      </w:pPr>
      <w:r w:rsidRPr="00261B7A">
        <w:t xml:space="preserve">The emissions reported in the </w:t>
      </w:r>
      <w:r w:rsidRPr="00261B7A">
        <w:rPr>
          <w:i/>
        </w:rPr>
        <w:t>Non-energy products from fuels and solvent use</w:t>
      </w:r>
      <w:r w:rsidRPr="00261B7A">
        <w:t xml:space="preserve"> category include CO</w:t>
      </w:r>
      <w:r w:rsidRPr="00261B7A">
        <w:rPr>
          <w:vertAlign w:val="subscript"/>
        </w:rPr>
        <w:t>2</w:t>
      </w:r>
      <w:r w:rsidRPr="00261B7A">
        <w:t xml:space="preserve"> from the use of lubricants and a very small amount from the use of paraffin wax, some of which is likely to be used for candles. </w:t>
      </w:r>
    </w:p>
    <w:p w14:paraId="68DEE326" w14:textId="77777777" w:rsidR="008A4F47" w:rsidRPr="00261B7A" w:rsidRDefault="008A4F47" w:rsidP="008A4F47">
      <w:pPr>
        <w:pStyle w:val="BodyText"/>
      </w:pPr>
      <w:r w:rsidRPr="00261B7A">
        <w:t>In addition, a small amount of CO</w:t>
      </w:r>
      <w:r w:rsidRPr="00261B7A">
        <w:rPr>
          <w:vertAlign w:val="subscript"/>
        </w:rPr>
        <w:t>2</w:t>
      </w:r>
      <w:r w:rsidRPr="00261B7A">
        <w:t xml:space="preserve"> is reported from the use of urea-based catalysts in diesel exhaust fluid (DEF) for control of NO</w:t>
      </w:r>
      <w:r w:rsidRPr="00261B7A">
        <w:rPr>
          <w:vertAlign w:val="subscript"/>
        </w:rPr>
        <w:t>x</w:t>
      </w:r>
      <w:r w:rsidRPr="00261B7A">
        <w:t xml:space="preserve"> emissions in diesel engine exhaust gas. These emissions are associated with transport, and the method used is given in volume 2, Energy, of the 2006 IPCC Guidelines (IPCC, 2006b); however, the CRF does not appear to allow for them to be reported under the Energy sector, so they are placed in 2.D.3. </w:t>
      </w:r>
    </w:p>
    <w:p w14:paraId="49BD293B" w14:textId="77777777" w:rsidR="008A4F47" w:rsidRPr="00261B7A" w:rsidRDefault="008A4F47" w:rsidP="008A4F47">
      <w:pPr>
        <w:pStyle w:val="BodyText"/>
      </w:pPr>
      <w:r w:rsidRPr="00261B7A">
        <w:t xml:space="preserve">Some emissions of indirect greenhouse gases (mainly NMVOCs) are estimated and reported from: </w:t>
      </w:r>
    </w:p>
    <w:p w14:paraId="78E3A302" w14:textId="77777777" w:rsidR="008A4F47" w:rsidRPr="00261B7A" w:rsidRDefault="008A4F47" w:rsidP="008A4F47">
      <w:pPr>
        <w:pStyle w:val="Bullet"/>
      </w:pPr>
      <w:r w:rsidRPr="00261B7A">
        <w:t xml:space="preserve">the use of asphalt in road paving and roofing applications </w:t>
      </w:r>
    </w:p>
    <w:p w14:paraId="4FF1771E" w14:textId="77777777" w:rsidR="008A4F47" w:rsidRPr="00261B7A" w:rsidRDefault="008A4F47" w:rsidP="008A4F47">
      <w:pPr>
        <w:pStyle w:val="Bullet"/>
      </w:pPr>
      <w:r w:rsidRPr="00261B7A">
        <w:t xml:space="preserve">painting </w:t>
      </w:r>
    </w:p>
    <w:p w14:paraId="7D73893E" w14:textId="77777777" w:rsidR="008A4F47" w:rsidRPr="00261B7A" w:rsidRDefault="008A4F47" w:rsidP="008A4F47">
      <w:pPr>
        <w:pStyle w:val="Bullet"/>
      </w:pPr>
      <w:r w:rsidRPr="00261B7A">
        <w:t>degreasing and dry cleaning</w:t>
      </w:r>
    </w:p>
    <w:p w14:paraId="54651D70" w14:textId="77777777" w:rsidR="008A4F47" w:rsidRPr="00261B7A" w:rsidRDefault="008A4F47" w:rsidP="008A4F47">
      <w:pPr>
        <w:pStyle w:val="Bullet"/>
      </w:pPr>
      <w:r w:rsidRPr="00261B7A">
        <w:t>use of solvents in printing</w:t>
      </w:r>
    </w:p>
    <w:p w14:paraId="46272CBA" w14:textId="77777777" w:rsidR="008A4F47" w:rsidRPr="00261B7A" w:rsidRDefault="008A4F47" w:rsidP="008A4F47">
      <w:pPr>
        <w:pStyle w:val="Bullet"/>
      </w:pPr>
      <w:r w:rsidRPr="00261B7A">
        <w:t xml:space="preserve">general domestic and commercial use of solvents. </w:t>
      </w:r>
    </w:p>
    <w:p w14:paraId="67EBA9A5" w14:textId="77777777" w:rsidR="008A4F47" w:rsidRPr="00261B7A" w:rsidRDefault="008A4F47" w:rsidP="008A4F47">
      <w:pPr>
        <w:pStyle w:val="BodyText"/>
      </w:pPr>
      <w:r w:rsidRPr="00261B7A">
        <w:t xml:space="preserve">Emissions from the </w:t>
      </w:r>
      <w:r w:rsidRPr="00261B7A">
        <w:rPr>
          <w:i/>
        </w:rPr>
        <w:t>Non-energy products from fuels and solvent use</w:t>
      </w:r>
      <w:r w:rsidRPr="00261B7A">
        <w:t xml:space="preserve"> category in 2021 were 42.4 kt CO</w:t>
      </w:r>
      <w:r w:rsidRPr="00261B7A">
        <w:rPr>
          <w:vertAlign w:val="subscript"/>
        </w:rPr>
        <w:t>2</w:t>
      </w:r>
      <w:r w:rsidRPr="00261B7A">
        <w:t xml:space="preserve">-e (0.9 per cent) of emissions from the IPPU sector. </w:t>
      </w:r>
    </w:p>
    <w:p w14:paraId="56D8031F" w14:textId="77777777" w:rsidR="008A4F47" w:rsidRPr="00261B7A" w:rsidRDefault="008A4F47" w:rsidP="008A4F47">
      <w:pPr>
        <w:pStyle w:val="BodyText"/>
      </w:pPr>
      <w:r w:rsidRPr="00261B7A">
        <w:t xml:space="preserve">There are no key categories. </w:t>
      </w:r>
    </w:p>
    <w:p w14:paraId="37FC907B" w14:textId="77777777" w:rsidR="008A4F47" w:rsidRPr="00261B7A" w:rsidRDefault="008A4F47" w:rsidP="0034058F">
      <w:pPr>
        <w:pStyle w:val="Heading3"/>
      </w:pPr>
      <w:r w:rsidRPr="00261B7A">
        <w:t xml:space="preserve">4.5.2 </w:t>
      </w:r>
      <w:r w:rsidRPr="00261B7A">
        <w:tab/>
        <w:t>Methodological issues</w:t>
      </w:r>
    </w:p>
    <w:p w14:paraId="6F3F9ED0" w14:textId="77777777" w:rsidR="008A4F47" w:rsidRPr="00261B7A" w:rsidRDefault="008A4F47" w:rsidP="008A4F47">
      <w:pPr>
        <w:pStyle w:val="Heading4"/>
        <w:rPr>
          <w:bCs/>
          <w:iCs/>
        </w:rPr>
      </w:pPr>
      <w:r w:rsidRPr="00261B7A">
        <w:t>Choice of activity data</w:t>
      </w:r>
    </w:p>
    <w:p w14:paraId="76BC937C" w14:textId="77777777" w:rsidR="008A4F47" w:rsidRPr="00261B7A" w:rsidRDefault="008A4F47" w:rsidP="008A4F47">
      <w:pPr>
        <w:pStyle w:val="Heading5"/>
        <w:spacing w:before="120"/>
      </w:pPr>
      <w:r w:rsidRPr="00261B7A">
        <w:t>Lubricant use (2.D.1)</w:t>
      </w:r>
    </w:p>
    <w:p w14:paraId="3B72FB0D" w14:textId="77777777" w:rsidR="008A4F47" w:rsidRPr="00261B7A" w:rsidRDefault="008A4F47" w:rsidP="008A4F47">
      <w:pPr>
        <w:pStyle w:val="BodyText"/>
      </w:pPr>
      <w:r w:rsidRPr="00261B7A">
        <w:t xml:space="preserve">Data reported to MBIE by the industry provide estimates of the amount of lubricants imported into New Zealand in each calendar year and the amounts in stock at the start and end of the year. This allows the amount of lubricants used in the year to be estimated. </w:t>
      </w:r>
    </w:p>
    <w:p w14:paraId="4515F711" w14:textId="77777777" w:rsidR="008A4F47" w:rsidRPr="00261B7A" w:rsidRDefault="008A4F47" w:rsidP="008A4F47">
      <w:pPr>
        <w:pStyle w:val="BodyText"/>
      </w:pPr>
      <w:r w:rsidRPr="00261B7A">
        <w:t>However, this information is not available for the years before 2011, and is considered to be unreliable for 2011 to 2014 due to under-reporting of imports. For earlier years, the activity data have been estimated by assuming that the amount of lubricant used was proportional to the amount of transport fuel used in New Zealand in the year. Also, because apparent use fluctuates from year to year, and it is unlikely such variations are reflected in actual lubricant use and emissions, averaging is used to estimate emissions for 2015 to 2021.</w:t>
      </w:r>
    </w:p>
    <w:p w14:paraId="76B41CBE" w14:textId="77777777" w:rsidR="008A4F47" w:rsidRPr="00261B7A" w:rsidRDefault="008A4F47" w:rsidP="008A4F47">
      <w:pPr>
        <w:pStyle w:val="Heading5"/>
      </w:pPr>
      <w:r w:rsidRPr="00261B7A">
        <w:t>Paraffin wax use (2.D.2)</w:t>
      </w:r>
    </w:p>
    <w:p w14:paraId="76BF8F7E" w14:textId="77777777" w:rsidR="008A4F47" w:rsidRPr="00261B7A" w:rsidRDefault="008A4F47" w:rsidP="008A4F47">
      <w:pPr>
        <w:pStyle w:val="BodyText"/>
      </w:pPr>
      <w:r w:rsidRPr="00261B7A">
        <w:t xml:space="preserve">A small amount of paraffin wax is imported into New Zealand. There are no reliable data on import volumes, so the activity data have been estimated from an estimate of the value of imports. This is only available for 2005 to 2011, and the activity data for other years have been assumed to be the same. </w:t>
      </w:r>
    </w:p>
    <w:p w14:paraId="2DF0D953" w14:textId="77777777" w:rsidR="008A4F47" w:rsidRPr="00261B7A" w:rsidRDefault="008A4F47" w:rsidP="008A4F47">
      <w:pPr>
        <w:pStyle w:val="Heading5"/>
      </w:pPr>
      <w:r w:rsidRPr="00261B7A">
        <w:t>Use of urea-based catalysts in transport (2.D.3)</w:t>
      </w:r>
    </w:p>
    <w:p w14:paraId="0BCE0512" w14:textId="77777777" w:rsidR="008A4F47" w:rsidRPr="00261B7A" w:rsidRDefault="008A4F47" w:rsidP="008A4F47">
      <w:pPr>
        <w:pStyle w:val="BodyText"/>
      </w:pPr>
      <w:r w:rsidRPr="00261B7A">
        <w:t xml:space="preserve">The activity data (quantity of DEF used) are estimated from total sales of diesel, with the assessment that 33 per cent of fuel is used in heavy vehicles and 51 per cent of the heavy vehicle fleet currently uses DEF. The amounts for years up to 2016 are estimated by back-casting the uptake of vehicles that require DEF over time. There was no use of urea catalysts before 2008. </w:t>
      </w:r>
    </w:p>
    <w:p w14:paraId="79A534B0" w14:textId="77777777" w:rsidR="008A4F47" w:rsidRPr="00261B7A" w:rsidRDefault="008A4F47" w:rsidP="008A4F47">
      <w:pPr>
        <w:pStyle w:val="Heading5"/>
      </w:pPr>
      <w:r w:rsidRPr="00261B7A">
        <w:t>Asphalt paving and roofing and solvent use (2.D.3)</w:t>
      </w:r>
    </w:p>
    <w:p w14:paraId="51E34A22" w14:textId="77777777" w:rsidR="008A4F47" w:rsidRPr="00261B7A" w:rsidRDefault="008A4F47" w:rsidP="003649AF">
      <w:pPr>
        <w:pStyle w:val="BodyText"/>
        <w:spacing w:before="100" w:after="100"/>
      </w:pPr>
      <w:r w:rsidRPr="00261B7A">
        <w:t xml:space="preserve">Three main bitumen production companies that provide materials for road paving are operating in New Zealand. Data on bitumen production and emission rates were provided by these companies (CRL Energy, </w:t>
      </w:r>
      <w:r w:rsidRPr="00261B7A">
        <w:rPr>
          <w:rFonts w:eastAsia="+mn-ea"/>
        </w:rPr>
        <w:t>unpublished(a)</w:t>
      </w:r>
      <w:r w:rsidRPr="00261B7A">
        <w:t xml:space="preserve">). One company is also manufacturing asphalt roofing in New Zealand. </w:t>
      </w:r>
    </w:p>
    <w:p w14:paraId="179FE07B" w14:textId="77777777" w:rsidR="008A4F47" w:rsidRPr="00261B7A" w:rsidRDefault="008A4F47" w:rsidP="003649AF">
      <w:pPr>
        <w:pStyle w:val="BodyText"/>
        <w:spacing w:before="100" w:after="100"/>
      </w:pPr>
      <w:r w:rsidRPr="00261B7A">
        <w:t xml:space="preserve">Solvent use was estimated in 2006 (CRL Energy, </w:t>
      </w:r>
      <w:r w:rsidRPr="00261B7A">
        <w:rPr>
          <w:rFonts w:eastAsia="+mn-ea"/>
        </w:rPr>
        <w:t>unpublished(a)</w:t>
      </w:r>
      <w:r w:rsidRPr="00261B7A">
        <w:t xml:space="preserve">) and, for all of these sources, activity data for the years up to 2005 have been extrapolated for 2006 to 2021 in the absence of any updated information. </w:t>
      </w:r>
    </w:p>
    <w:p w14:paraId="6B739843" w14:textId="77777777" w:rsidR="008A4F47" w:rsidRPr="00261B7A" w:rsidRDefault="008A4F47" w:rsidP="008A4F47">
      <w:pPr>
        <w:pStyle w:val="Heading4"/>
      </w:pPr>
      <w:r w:rsidRPr="00261B7A">
        <w:t>Choice of methods</w:t>
      </w:r>
    </w:p>
    <w:p w14:paraId="4CA52A6A" w14:textId="77777777" w:rsidR="008A4F47" w:rsidRPr="00261B7A" w:rsidRDefault="008A4F47" w:rsidP="003649AF">
      <w:pPr>
        <w:pStyle w:val="BodyText"/>
        <w:spacing w:before="100" w:after="100"/>
      </w:pPr>
      <w:r w:rsidRPr="00261B7A">
        <w:t xml:space="preserve">Tier 1 methods (IPCC, 2006a, 2006b) are used to estimate all emissions in this category. Only approximate activity data are available, with no country-specific information on the amounts of lubricant and paraffin wax used for specific applications. </w:t>
      </w:r>
    </w:p>
    <w:p w14:paraId="775909E2" w14:textId="77777777" w:rsidR="008A4F47" w:rsidRPr="00261B7A" w:rsidRDefault="008A4F47" w:rsidP="008A4F47">
      <w:pPr>
        <w:pStyle w:val="Heading4"/>
        <w:rPr>
          <w:bCs/>
          <w:iCs/>
        </w:rPr>
      </w:pPr>
      <w:r w:rsidRPr="00261B7A">
        <w:t>Choice of emission factors</w:t>
      </w:r>
    </w:p>
    <w:p w14:paraId="2DDD1A17" w14:textId="77777777" w:rsidR="008A4F47" w:rsidRPr="00261B7A" w:rsidRDefault="008A4F47" w:rsidP="008A4F47">
      <w:pPr>
        <w:pStyle w:val="Heading5"/>
        <w:spacing w:before="120"/>
      </w:pPr>
      <w:r w:rsidRPr="00261B7A">
        <w:t>Lubricant use (2.D.1) and paraffin wax use (2.D.2)</w:t>
      </w:r>
    </w:p>
    <w:p w14:paraId="163EA8EB" w14:textId="77777777" w:rsidR="008A4F47" w:rsidRPr="00261B7A" w:rsidRDefault="008A4F47" w:rsidP="003649AF">
      <w:pPr>
        <w:pStyle w:val="BodyText"/>
        <w:spacing w:before="100" w:after="100"/>
      </w:pPr>
      <w:r w:rsidRPr="00261B7A">
        <w:t xml:space="preserve">Default emission factors (carbon content and ‘oxidised during use’ factor) are used for these categories. </w:t>
      </w:r>
    </w:p>
    <w:p w14:paraId="7CE2FA90" w14:textId="77777777" w:rsidR="008A4F47" w:rsidRPr="00261B7A" w:rsidRDefault="008A4F47" w:rsidP="008A4F47">
      <w:pPr>
        <w:pStyle w:val="Heading5"/>
      </w:pPr>
      <w:r w:rsidRPr="00261B7A">
        <w:t>Use of urea-based catalysts in transport (2.D.3)</w:t>
      </w:r>
    </w:p>
    <w:p w14:paraId="2AB3532F" w14:textId="77777777" w:rsidR="008A4F47" w:rsidRPr="00261B7A" w:rsidRDefault="008A4F47" w:rsidP="008A4F47">
      <w:pPr>
        <w:pStyle w:val="BodyText"/>
      </w:pPr>
      <w:r w:rsidRPr="00261B7A">
        <w:t xml:space="preserve">Default emission factors are used. DEF sold in New Zealand conforms with international norms and contains 32.5 per cent urea, which is the default value. </w:t>
      </w:r>
    </w:p>
    <w:p w14:paraId="3C8B0911" w14:textId="77777777" w:rsidR="008A4F47" w:rsidRPr="00261B7A" w:rsidRDefault="008A4F47" w:rsidP="008A4F47">
      <w:pPr>
        <w:pStyle w:val="Heading5"/>
      </w:pPr>
      <w:r w:rsidRPr="00261B7A">
        <w:t>Asphalt paving and roofing and solvent use (2.D.3)</w:t>
      </w:r>
    </w:p>
    <w:p w14:paraId="3CE7A698" w14:textId="77777777" w:rsidR="008A4F47" w:rsidRPr="00261B7A" w:rsidRDefault="008A4F47" w:rsidP="003649AF">
      <w:pPr>
        <w:pStyle w:val="BodyText"/>
        <w:spacing w:before="100" w:after="100"/>
      </w:pPr>
      <w:r w:rsidRPr="00261B7A">
        <w:t xml:space="preserve">The bitumen content of road paving used in New Zealand is about 6 per cent, which is lower than commonly used in most countries. The NMVOC emissions from road paving are calculated using a country-specific method based on the fraction of bitumen in asphalt used in road paving material, the fraction of solvent added to bitumen and an assessment that 75 per cent of the solvent added will be emitted (see table 4.5.1). </w:t>
      </w:r>
    </w:p>
    <w:p w14:paraId="1DEEF1C2" w14:textId="77777777" w:rsidR="008A4F47" w:rsidRPr="00261B7A" w:rsidRDefault="008A4F47" w:rsidP="008A4F47">
      <w:pPr>
        <w:pStyle w:val="Table"/>
      </w:pPr>
      <w:bookmarkStart w:id="536" w:name="_Toc451176073"/>
      <w:bookmarkStart w:id="537" w:name="_Toc5269463"/>
      <w:bookmarkStart w:id="538" w:name="_Toc36224536"/>
      <w:bookmarkStart w:id="539" w:name="_Toc68786423"/>
      <w:bookmarkStart w:id="540" w:name="_Toc128042756"/>
      <w:bookmarkStart w:id="541" w:name="_Toc131591336"/>
      <w:r w:rsidRPr="00261B7A">
        <w:t xml:space="preserve">Table 4.5.1 </w:t>
      </w:r>
      <w:r w:rsidRPr="00261B7A">
        <w:tab/>
        <w:t>Calculation of NMVOC emissions from road paving</w:t>
      </w:r>
      <w:bookmarkEnd w:id="536"/>
      <w:bookmarkEnd w:id="537"/>
      <w:bookmarkEnd w:id="538"/>
      <w:bookmarkEnd w:id="539"/>
      <w:bookmarkEnd w:id="540"/>
      <w:bookmarkEnd w:id="541"/>
    </w:p>
    <w:tbl>
      <w:tblPr>
        <w:tblW w:w="8505" w:type="dxa"/>
        <w:tblBorders>
          <w:top w:val="single" w:sz="4" w:space="0" w:color="1B556B"/>
          <w:bottom w:val="single" w:sz="4" w:space="0" w:color="1B556B"/>
          <w:insideH w:val="single" w:sz="4" w:space="0" w:color="1B556B"/>
          <w:insideV w:val="single" w:sz="4" w:space="0" w:color="365F91"/>
        </w:tblBorders>
        <w:tblLook w:val="04A0" w:firstRow="1" w:lastRow="0" w:firstColumn="1" w:lastColumn="0" w:noHBand="0" w:noVBand="1"/>
      </w:tblPr>
      <w:tblGrid>
        <w:gridCol w:w="8505"/>
      </w:tblGrid>
      <w:tr w:rsidR="008A4F47" w:rsidRPr="00261B7A" w14:paraId="660436B7" w14:textId="77777777" w:rsidTr="00D41492">
        <w:tc>
          <w:tcPr>
            <w:tcW w:w="4565" w:type="dxa"/>
            <w:shd w:val="clear" w:color="auto" w:fill="1B556B"/>
            <w:hideMark/>
          </w:tcPr>
          <w:p w14:paraId="72BD5F76" w14:textId="77777777" w:rsidR="008A4F47" w:rsidRPr="00261B7A" w:rsidRDefault="008A4F47" w:rsidP="00D41492">
            <w:pPr>
              <w:pStyle w:val="TableTextBold"/>
              <w:keepNext/>
              <w:rPr>
                <w:noProof w:val="0"/>
                <w:color w:val="FFFFFF"/>
                <w:sz w:val="18"/>
                <w:szCs w:val="18"/>
              </w:rPr>
            </w:pPr>
            <w:r w:rsidRPr="00261B7A">
              <w:rPr>
                <w:noProof w:val="0"/>
                <w:color w:val="FFFFFF"/>
              </w:rPr>
              <w:t>Calculation of NMVOC emissions from road paving</w:t>
            </w:r>
          </w:p>
        </w:tc>
      </w:tr>
      <w:tr w:rsidR="008A4F47" w:rsidRPr="00261B7A" w14:paraId="092F325E" w14:textId="77777777" w:rsidTr="00D41492">
        <w:tc>
          <w:tcPr>
            <w:tcW w:w="4565" w:type="dxa"/>
            <w:hideMark/>
          </w:tcPr>
          <w:p w14:paraId="4AB3E644" w14:textId="77777777" w:rsidR="008A4F47" w:rsidRPr="00261B7A" w:rsidRDefault="008A4F47" w:rsidP="003649AF">
            <w:pPr>
              <w:pStyle w:val="TableText"/>
              <w:spacing w:before="40" w:after="40"/>
            </w:pPr>
            <w:r w:rsidRPr="00261B7A">
              <w:t xml:space="preserve">NMVOC emitted = A × B × C × D </w:t>
            </w:r>
          </w:p>
          <w:p w14:paraId="7295AC18" w14:textId="77777777" w:rsidR="008A4F47" w:rsidRPr="00261B7A" w:rsidRDefault="008A4F47" w:rsidP="003649AF">
            <w:pPr>
              <w:pStyle w:val="TableText"/>
              <w:keepNext/>
              <w:spacing w:before="40" w:after="40"/>
            </w:pPr>
            <w:r w:rsidRPr="00261B7A">
              <w:t xml:space="preserve">Where: </w:t>
            </w:r>
          </w:p>
          <w:p w14:paraId="72F81C69" w14:textId="77777777" w:rsidR="008A4F47" w:rsidRPr="00261B7A" w:rsidRDefault="008A4F47" w:rsidP="003649AF">
            <w:pPr>
              <w:pStyle w:val="TableText"/>
              <w:keepNext/>
              <w:spacing w:before="40" w:after="40"/>
              <w:rPr>
                <w:rFonts w:cs="Calibri"/>
              </w:rPr>
            </w:pPr>
            <w:r w:rsidRPr="00261B7A">
              <w:t>A = road paving material used (kt)</w:t>
            </w:r>
          </w:p>
          <w:p w14:paraId="3366E68D" w14:textId="77777777" w:rsidR="008A4F47" w:rsidRPr="00261B7A" w:rsidRDefault="008A4F47" w:rsidP="003649AF">
            <w:pPr>
              <w:pStyle w:val="TableText"/>
              <w:keepNext/>
              <w:spacing w:before="40" w:after="40"/>
            </w:pPr>
            <w:r w:rsidRPr="00261B7A">
              <w:t>B = fraction by weight of bitumen in asphalt</w:t>
            </w:r>
          </w:p>
          <w:p w14:paraId="0DA77330" w14:textId="77777777" w:rsidR="008A4F47" w:rsidRPr="00261B7A" w:rsidRDefault="008A4F47" w:rsidP="003649AF">
            <w:pPr>
              <w:pStyle w:val="TableText"/>
              <w:keepNext/>
              <w:spacing w:before="40" w:after="40"/>
            </w:pPr>
            <w:r w:rsidRPr="00261B7A">
              <w:t>C = fraction of solvent added to bitumen (0.04)</w:t>
            </w:r>
          </w:p>
          <w:p w14:paraId="6BFAA23F" w14:textId="77777777" w:rsidR="008A4F47" w:rsidRPr="00261B7A" w:rsidRDefault="008A4F47" w:rsidP="00D41492">
            <w:pPr>
              <w:pStyle w:val="TableText"/>
              <w:keepNext/>
              <w:spacing w:before="50" w:after="50"/>
            </w:pPr>
            <w:r w:rsidRPr="00261B7A">
              <w:t>D = fraction of solvent emitted (0.75)</w:t>
            </w:r>
          </w:p>
        </w:tc>
      </w:tr>
    </w:tbl>
    <w:p w14:paraId="72ABEDC7" w14:textId="77777777" w:rsidR="008A4F47" w:rsidRPr="00261B7A" w:rsidRDefault="008A4F47" w:rsidP="003649AF">
      <w:pPr>
        <w:pStyle w:val="BodyText"/>
        <w:spacing w:before="240"/>
      </w:pPr>
      <w:r w:rsidRPr="00261B7A">
        <w:t xml:space="preserve">The fraction of bitumen in asphalt used in road paving materials was reduced over time as methods of laying roading improved (see table 4.5.2). </w:t>
      </w:r>
    </w:p>
    <w:p w14:paraId="48CDDCE2" w14:textId="77777777" w:rsidR="008A4F47" w:rsidRPr="00261B7A" w:rsidRDefault="008A4F47" w:rsidP="008A4F47">
      <w:pPr>
        <w:pStyle w:val="Table"/>
      </w:pPr>
      <w:bookmarkStart w:id="542" w:name="_Toc451176074"/>
      <w:bookmarkStart w:id="543" w:name="_Toc5269464"/>
      <w:bookmarkStart w:id="544" w:name="_Toc36224537"/>
      <w:bookmarkStart w:id="545" w:name="_Toc68786424"/>
      <w:bookmarkStart w:id="546" w:name="_Toc128042757"/>
      <w:bookmarkStart w:id="547" w:name="_Toc131591337"/>
      <w:r w:rsidRPr="00261B7A">
        <w:t xml:space="preserve">Table 4.5.2 </w:t>
      </w:r>
      <w:r w:rsidRPr="00261B7A">
        <w:tab/>
        <w:t>Fraction of bitumen in road paving material</w:t>
      </w:r>
      <w:bookmarkEnd w:id="542"/>
      <w:bookmarkEnd w:id="543"/>
      <w:bookmarkEnd w:id="544"/>
      <w:bookmarkEnd w:id="545"/>
      <w:bookmarkEnd w:id="546"/>
      <w:bookmarkEnd w:id="547"/>
    </w:p>
    <w:tbl>
      <w:tblPr>
        <w:tblW w:w="8505" w:type="dxa"/>
        <w:tblLook w:val="04A0" w:firstRow="1" w:lastRow="0" w:firstColumn="1" w:lastColumn="0" w:noHBand="0" w:noVBand="1"/>
      </w:tblPr>
      <w:tblGrid>
        <w:gridCol w:w="3394"/>
        <w:gridCol w:w="5111"/>
      </w:tblGrid>
      <w:tr w:rsidR="008A4F47" w:rsidRPr="00261B7A" w14:paraId="2CB9F58B" w14:textId="77777777" w:rsidTr="00D41492">
        <w:tc>
          <w:tcPr>
            <w:tcW w:w="2263" w:type="dxa"/>
            <w:tcBorders>
              <w:top w:val="single" w:sz="4" w:space="0" w:color="1B556B"/>
              <w:left w:val="nil"/>
              <w:right w:val="nil"/>
            </w:tcBorders>
            <w:shd w:val="clear" w:color="auto" w:fill="1B556B"/>
            <w:hideMark/>
          </w:tcPr>
          <w:p w14:paraId="1C9FB208" w14:textId="77777777" w:rsidR="008A4F47" w:rsidRPr="00261B7A" w:rsidRDefault="008A4F47" w:rsidP="003649AF">
            <w:pPr>
              <w:pStyle w:val="TableTextBold"/>
              <w:keepNext/>
              <w:spacing w:before="40" w:after="40"/>
              <w:rPr>
                <w:bCs/>
                <w:noProof w:val="0"/>
                <w:color w:val="FFFFFF"/>
              </w:rPr>
            </w:pPr>
            <w:r w:rsidRPr="00261B7A">
              <w:rPr>
                <w:noProof w:val="0"/>
                <w:color w:val="FFFFFF"/>
              </w:rPr>
              <w:t>Reporting years</w:t>
            </w:r>
          </w:p>
        </w:tc>
        <w:tc>
          <w:tcPr>
            <w:tcW w:w="3407" w:type="dxa"/>
            <w:tcBorders>
              <w:top w:val="single" w:sz="4" w:space="0" w:color="1B556B"/>
              <w:left w:val="nil"/>
              <w:right w:val="nil"/>
            </w:tcBorders>
            <w:shd w:val="clear" w:color="auto" w:fill="1B556B"/>
            <w:hideMark/>
          </w:tcPr>
          <w:p w14:paraId="357D8DE9" w14:textId="77777777" w:rsidR="008A4F47" w:rsidRPr="00261B7A" w:rsidRDefault="008A4F47" w:rsidP="003649AF">
            <w:pPr>
              <w:pStyle w:val="TableTextBold"/>
              <w:keepNext/>
              <w:spacing w:before="40" w:after="40"/>
              <w:rPr>
                <w:bCs/>
                <w:noProof w:val="0"/>
                <w:color w:val="FFFFFF"/>
              </w:rPr>
            </w:pPr>
            <w:r w:rsidRPr="00261B7A">
              <w:rPr>
                <w:noProof w:val="0"/>
                <w:color w:val="FFFFFF"/>
              </w:rPr>
              <w:t>Fraction by weight of bitumen in asphalt (B above)</w:t>
            </w:r>
          </w:p>
        </w:tc>
      </w:tr>
      <w:tr w:rsidR="008A4F47" w:rsidRPr="00261B7A" w14:paraId="6372D99A" w14:textId="77777777" w:rsidTr="00D41492">
        <w:tc>
          <w:tcPr>
            <w:tcW w:w="2263" w:type="dxa"/>
            <w:tcBorders>
              <w:left w:val="nil"/>
              <w:bottom w:val="nil"/>
              <w:right w:val="nil"/>
            </w:tcBorders>
            <w:hideMark/>
          </w:tcPr>
          <w:p w14:paraId="750D9D6D" w14:textId="77777777" w:rsidR="008A4F47" w:rsidRPr="00261B7A" w:rsidRDefault="008A4F47" w:rsidP="003649AF">
            <w:pPr>
              <w:pStyle w:val="TableText"/>
              <w:keepNext/>
              <w:spacing w:before="40" w:after="40"/>
            </w:pPr>
            <w:r w:rsidRPr="00261B7A">
              <w:t xml:space="preserve">1990–2001 </w:t>
            </w:r>
          </w:p>
        </w:tc>
        <w:tc>
          <w:tcPr>
            <w:tcW w:w="3407" w:type="dxa"/>
            <w:tcBorders>
              <w:left w:val="nil"/>
              <w:bottom w:val="nil"/>
              <w:right w:val="nil"/>
            </w:tcBorders>
            <w:hideMark/>
          </w:tcPr>
          <w:p w14:paraId="265D46D3" w14:textId="77777777" w:rsidR="008A4F47" w:rsidRPr="00261B7A" w:rsidRDefault="008A4F47" w:rsidP="003649AF">
            <w:pPr>
              <w:pStyle w:val="TableText"/>
              <w:keepNext/>
              <w:spacing w:before="40" w:after="40"/>
            </w:pPr>
            <w:r w:rsidRPr="00261B7A">
              <w:t>0.80</w:t>
            </w:r>
          </w:p>
        </w:tc>
      </w:tr>
      <w:tr w:rsidR="008A4F47" w:rsidRPr="00261B7A" w14:paraId="36124930" w14:textId="77777777" w:rsidTr="00D41492">
        <w:tc>
          <w:tcPr>
            <w:tcW w:w="2263" w:type="dxa"/>
            <w:hideMark/>
          </w:tcPr>
          <w:p w14:paraId="4812D7B0" w14:textId="77777777" w:rsidR="008A4F47" w:rsidRPr="00261B7A" w:rsidRDefault="008A4F47" w:rsidP="003649AF">
            <w:pPr>
              <w:pStyle w:val="TableText"/>
              <w:spacing w:before="40" w:after="40"/>
            </w:pPr>
            <w:r w:rsidRPr="00261B7A">
              <w:t>2002–2003</w:t>
            </w:r>
          </w:p>
        </w:tc>
        <w:tc>
          <w:tcPr>
            <w:tcW w:w="3407" w:type="dxa"/>
            <w:hideMark/>
          </w:tcPr>
          <w:p w14:paraId="15E9669D" w14:textId="77777777" w:rsidR="008A4F47" w:rsidRPr="00261B7A" w:rsidRDefault="008A4F47" w:rsidP="003649AF">
            <w:pPr>
              <w:pStyle w:val="TableText"/>
              <w:spacing w:before="40" w:after="40"/>
            </w:pPr>
            <w:r w:rsidRPr="00261B7A">
              <w:t>0.65</w:t>
            </w:r>
          </w:p>
        </w:tc>
      </w:tr>
      <w:tr w:rsidR="008A4F47" w:rsidRPr="00261B7A" w14:paraId="32D6D022" w14:textId="77777777" w:rsidTr="00D41492">
        <w:tc>
          <w:tcPr>
            <w:tcW w:w="2263" w:type="dxa"/>
            <w:tcBorders>
              <w:top w:val="nil"/>
              <w:left w:val="nil"/>
              <w:bottom w:val="single" w:sz="4" w:space="0" w:color="1B556B"/>
              <w:right w:val="nil"/>
            </w:tcBorders>
            <w:hideMark/>
          </w:tcPr>
          <w:p w14:paraId="768E7A18" w14:textId="77777777" w:rsidR="008A4F47" w:rsidRPr="00261B7A" w:rsidRDefault="008A4F47" w:rsidP="003649AF">
            <w:pPr>
              <w:pStyle w:val="TableText"/>
              <w:spacing w:before="40" w:after="40"/>
            </w:pPr>
            <w:r w:rsidRPr="00261B7A">
              <w:t>2004–2018</w:t>
            </w:r>
          </w:p>
        </w:tc>
        <w:tc>
          <w:tcPr>
            <w:tcW w:w="3407" w:type="dxa"/>
            <w:tcBorders>
              <w:top w:val="nil"/>
              <w:left w:val="nil"/>
              <w:bottom w:val="single" w:sz="4" w:space="0" w:color="1B556B"/>
              <w:right w:val="nil"/>
            </w:tcBorders>
            <w:hideMark/>
          </w:tcPr>
          <w:p w14:paraId="52EEEBBF" w14:textId="77777777" w:rsidR="008A4F47" w:rsidRPr="00261B7A" w:rsidRDefault="008A4F47" w:rsidP="003649AF">
            <w:pPr>
              <w:pStyle w:val="TableText"/>
              <w:spacing w:before="40" w:after="40"/>
            </w:pPr>
            <w:r w:rsidRPr="00261B7A">
              <w:t>0.60</w:t>
            </w:r>
          </w:p>
        </w:tc>
      </w:tr>
    </w:tbl>
    <w:p w14:paraId="75FB88B5" w14:textId="77777777" w:rsidR="008A4F47" w:rsidRPr="00261B7A" w:rsidRDefault="008A4F47" w:rsidP="008A4F47">
      <w:pPr>
        <w:pStyle w:val="BodyText"/>
        <w:spacing w:before="240"/>
      </w:pPr>
      <w:r w:rsidRPr="00261B7A">
        <w:t xml:space="preserve">For asphalt used as roofing material, IPCC default emission factors of 0.05 kilograms NMVOC and 0.0095 kilograms CO per tonne of product have been used. </w:t>
      </w:r>
    </w:p>
    <w:p w14:paraId="4DB87839" w14:textId="77777777" w:rsidR="008A4F47" w:rsidRPr="00261B7A" w:rsidRDefault="008A4F47" w:rsidP="0034058F">
      <w:pPr>
        <w:pStyle w:val="Heading3"/>
      </w:pPr>
      <w:r w:rsidRPr="00261B7A">
        <w:t xml:space="preserve">4.5.3 </w:t>
      </w:r>
      <w:r w:rsidRPr="00261B7A">
        <w:tab/>
        <w:t>Uncertainties and time-series consistency</w:t>
      </w:r>
    </w:p>
    <w:p w14:paraId="38E8EEE9" w14:textId="77777777" w:rsidR="008A4F47" w:rsidRPr="00261B7A" w:rsidRDefault="008A4F47" w:rsidP="008A4F47">
      <w:pPr>
        <w:pStyle w:val="Heading4"/>
        <w:rPr>
          <w:bCs/>
          <w:iCs/>
        </w:rPr>
      </w:pPr>
      <w:r w:rsidRPr="00261B7A">
        <w:t>Uncertainties</w:t>
      </w:r>
    </w:p>
    <w:p w14:paraId="5B223011" w14:textId="77777777" w:rsidR="008A4F47" w:rsidRPr="00261B7A" w:rsidRDefault="008A4F47" w:rsidP="008A4F47">
      <w:pPr>
        <w:pStyle w:val="BodyText"/>
      </w:pPr>
      <w:r w:rsidRPr="00261B7A">
        <w:t>IPCC default uncertainty is estimated for CO</w:t>
      </w:r>
      <w:r w:rsidRPr="00261B7A">
        <w:rPr>
          <w:vertAlign w:val="subscript"/>
        </w:rPr>
        <w:t>2</w:t>
      </w:r>
      <w:r w:rsidRPr="00261B7A">
        <w:t xml:space="preserve"> from lubricant use. The uncertainties used for indirect emissions in this category are a mix of defaults and country specific. These uncertainties are shown in table 4.5.3. </w:t>
      </w:r>
    </w:p>
    <w:p w14:paraId="499AEAB2" w14:textId="77777777" w:rsidR="008A4F47" w:rsidRPr="00261B7A" w:rsidRDefault="008A4F47" w:rsidP="008A4F47">
      <w:pPr>
        <w:pStyle w:val="Table"/>
      </w:pPr>
      <w:bookmarkStart w:id="548" w:name="_Toc451176075"/>
      <w:bookmarkStart w:id="549" w:name="_Toc5269465"/>
      <w:bookmarkStart w:id="550" w:name="_Toc36224538"/>
      <w:bookmarkStart w:id="551" w:name="_Toc68786425"/>
      <w:bookmarkStart w:id="552" w:name="_Toc128042758"/>
      <w:bookmarkStart w:id="553" w:name="_Toc131591338"/>
      <w:r w:rsidRPr="00261B7A">
        <w:t>Table 4.5.3</w:t>
      </w:r>
      <w:r w:rsidRPr="00261B7A">
        <w:tab/>
        <w:t>Uncertainty in emissions in non-energy products from fuels and solvent use</w:t>
      </w:r>
      <w:bookmarkEnd w:id="548"/>
      <w:bookmarkEnd w:id="549"/>
      <w:bookmarkEnd w:id="550"/>
      <w:bookmarkEnd w:id="551"/>
      <w:bookmarkEnd w:id="552"/>
      <w:bookmarkEnd w:id="553"/>
    </w:p>
    <w:tbl>
      <w:tblPr>
        <w:tblW w:w="8505" w:type="dxa"/>
        <w:tblBorders>
          <w:top w:val="single" w:sz="4" w:space="0" w:color="1B556B"/>
          <w:bottom w:val="single" w:sz="4" w:space="0" w:color="1B556B"/>
          <w:insideH w:val="single" w:sz="4" w:space="0" w:color="1B556B"/>
        </w:tblBorders>
        <w:tblCellMar>
          <w:left w:w="85" w:type="dxa"/>
          <w:right w:w="85" w:type="dxa"/>
        </w:tblCellMar>
        <w:tblLook w:val="04A0" w:firstRow="1" w:lastRow="0" w:firstColumn="1" w:lastColumn="0" w:noHBand="0" w:noVBand="1"/>
      </w:tblPr>
      <w:tblGrid>
        <w:gridCol w:w="2994"/>
        <w:gridCol w:w="2696"/>
        <w:gridCol w:w="2815"/>
      </w:tblGrid>
      <w:tr w:rsidR="008A4F47" w:rsidRPr="00261B7A" w14:paraId="4BC0D5CE" w14:textId="77777777" w:rsidTr="00D41492">
        <w:trPr>
          <w:tblHeader/>
        </w:trPr>
        <w:tc>
          <w:tcPr>
            <w:tcW w:w="2835" w:type="dxa"/>
            <w:shd w:val="clear" w:color="auto" w:fill="1B556B"/>
            <w:hideMark/>
          </w:tcPr>
          <w:p w14:paraId="572A856E" w14:textId="77777777" w:rsidR="008A4F47" w:rsidRPr="00261B7A" w:rsidRDefault="008A4F47" w:rsidP="00D41492">
            <w:pPr>
              <w:pStyle w:val="TableTextBold"/>
              <w:keepNext/>
              <w:spacing w:before="50" w:after="50"/>
              <w:rPr>
                <w:noProof w:val="0"/>
                <w:color w:val="FFFFFF"/>
              </w:rPr>
            </w:pPr>
            <w:r w:rsidRPr="00261B7A">
              <w:rPr>
                <w:noProof w:val="0"/>
                <w:color w:val="FFFFFF"/>
              </w:rPr>
              <w:t>Category</w:t>
            </w:r>
          </w:p>
        </w:tc>
        <w:tc>
          <w:tcPr>
            <w:tcW w:w="2552" w:type="dxa"/>
            <w:shd w:val="clear" w:color="auto" w:fill="1B556B"/>
            <w:hideMark/>
          </w:tcPr>
          <w:p w14:paraId="154DB3D7" w14:textId="77777777" w:rsidR="008A4F47" w:rsidRPr="00261B7A" w:rsidRDefault="008A4F47" w:rsidP="00D41492">
            <w:pPr>
              <w:pStyle w:val="TableTextBold"/>
              <w:keepNext/>
              <w:spacing w:before="50" w:after="50"/>
              <w:rPr>
                <w:noProof w:val="0"/>
                <w:color w:val="FFFFFF"/>
              </w:rPr>
            </w:pPr>
            <w:r w:rsidRPr="00261B7A">
              <w:rPr>
                <w:noProof w:val="0"/>
                <w:color w:val="FFFFFF"/>
              </w:rPr>
              <w:t>Uncertainty in activity data (%)</w:t>
            </w:r>
          </w:p>
        </w:tc>
        <w:tc>
          <w:tcPr>
            <w:tcW w:w="2665" w:type="dxa"/>
            <w:shd w:val="clear" w:color="auto" w:fill="1B556B"/>
            <w:tcMar>
              <w:right w:w="57" w:type="dxa"/>
            </w:tcMar>
            <w:hideMark/>
          </w:tcPr>
          <w:p w14:paraId="60F901A4" w14:textId="77777777" w:rsidR="008A4F47" w:rsidRPr="00261B7A" w:rsidRDefault="008A4F47" w:rsidP="00D41492">
            <w:pPr>
              <w:pStyle w:val="TableTextBold"/>
              <w:keepNext/>
              <w:spacing w:before="50" w:after="50"/>
              <w:rPr>
                <w:noProof w:val="0"/>
                <w:color w:val="FFFFFF"/>
              </w:rPr>
            </w:pPr>
            <w:r w:rsidRPr="00261B7A">
              <w:rPr>
                <w:noProof w:val="0"/>
                <w:color w:val="FFFFFF"/>
              </w:rPr>
              <w:t>Uncertainty in emission factors (%)</w:t>
            </w:r>
          </w:p>
        </w:tc>
      </w:tr>
      <w:tr w:rsidR="008A4F47" w:rsidRPr="00261B7A" w14:paraId="048A7D25" w14:textId="77777777" w:rsidTr="00D41492">
        <w:tc>
          <w:tcPr>
            <w:tcW w:w="2835" w:type="dxa"/>
            <w:shd w:val="clear" w:color="auto" w:fill="FFFFFF"/>
            <w:hideMark/>
          </w:tcPr>
          <w:p w14:paraId="3FD728E3" w14:textId="77777777" w:rsidR="008A4F47" w:rsidRPr="00261B7A" w:rsidRDefault="008A4F47" w:rsidP="00D41492">
            <w:pPr>
              <w:pStyle w:val="TableText"/>
              <w:spacing w:before="50" w:after="50"/>
            </w:pPr>
            <w:r w:rsidRPr="00261B7A">
              <w:t>Lubricant use</w:t>
            </w:r>
          </w:p>
        </w:tc>
        <w:tc>
          <w:tcPr>
            <w:tcW w:w="2552" w:type="dxa"/>
            <w:shd w:val="clear" w:color="auto" w:fill="FFFFFF"/>
            <w:hideMark/>
          </w:tcPr>
          <w:p w14:paraId="3C485944" w14:textId="77777777" w:rsidR="008A4F47" w:rsidRPr="00261B7A" w:rsidRDefault="008A4F47" w:rsidP="00D41492">
            <w:pPr>
              <w:pStyle w:val="TableText"/>
              <w:spacing w:before="50" w:after="50"/>
              <w:jc w:val="center"/>
            </w:pPr>
            <w:r w:rsidRPr="00261B7A">
              <w:t>±20</w:t>
            </w:r>
          </w:p>
        </w:tc>
        <w:tc>
          <w:tcPr>
            <w:tcW w:w="2665" w:type="dxa"/>
            <w:shd w:val="clear" w:color="auto" w:fill="FFFFFF"/>
            <w:tcMar>
              <w:right w:w="57" w:type="dxa"/>
            </w:tcMar>
            <w:hideMark/>
          </w:tcPr>
          <w:p w14:paraId="3E956683" w14:textId="77777777" w:rsidR="008A4F47" w:rsidRPr="00261B7A" w:rsidRDefault="008A4F47" w:rsidP="00D41492">
            <w:pPr>
              <w:pStyle w:val="TableText"/>
              <w:spacing w:before="50" w:after="50"/>
              <w:ind w:right="964"/>
              <w:jc w:val="right"/>
            </w:pPr>
            <w:r w:rsidRPr="00261B7A">
              <w:t>±50</w:t>
            </w:r>
          </w:p>
        </w:tc>
      </w:tr>
      <w:tr w:rsidR="008A4F47" w:rsidRPr="00261B7A" w14:paraId="086FCAFE" w14:textId="77777777" w:rsidTr="00D41492">
        <w:tc>
          <w:tcPr>
            <w:tcW w:w="2835" w:type="dxa"/>
            <w:shd w:val="clear" w:color="auto" w:fill="FFFFFF"/>
            <w:hideMark/>
          </w:tcPr>
          <w:p w14:paraId="4FEFA7D7" w14:textId="77777777" w:rsidR="008A4F47" w:rsidRPr="00261B7A" w:rsidRDefault="008A4F47" w:rsidP="00D41492">
            <w:pPr>
              <w:pStyle w:val="TableText"/>
              <w:spacing w:before="50" w:after="50"/>
            </w:pPr>
            <w:r w:rsidRPr="00261B7A">
              <w:t>Paraffin wax use</w:t>
            </w:r>
          </w:p>
        </w:tc>
        <w:tc>
          <w:tcPr>
            <w:tcW w:w="2552" w:type="dxa"/>
            <w:shd w:val="clear" w:color="auto" w:fill="FFFFFF"/>
            <w:hideMark/>
          </w:tcPr>
          <w:p w14:paraId="3806D42C" w14:textId="77777777" w:rsidR="008A4F47" w:rsidRPr="00261B7A" w:rsidRDefault="008A4F47" w:rsidP="00D41492">
            <w:pPr>
              <w:pStyle w:val="TableText"/>
              <w:spacing w:before="50" w:after="50"/>
              <w:jc w:val="center"/>
            </w:pPr>
            <w:r w:rsidRPr="00261B7A">
              <w:t>±20</w:t>
            </w:r>
          </w:p>
        </w:tc>
        <w:tc>
          <w:tcPr>
            <w:tcW w:w="2665" w:type="dxa"/>
            <w:shd w:val="clear" w:color="auto" w:fill="FFFFFF"/>
            <w:tcMar>
              <w:right w:w="57" w:type="dxa"/>
            </w:tcMar>
            <w:hideMark/>
          </w:tcPr>
          <w:p w14:paraId="7906797E" w14:textId="77777777" w:rsidR="008A4F47" w:rsidRPr="00261B7A" w:rsidRDefault="008A4F47" w:rsidP="00D41492">
            <w:pPr>
              <w:pStyle w:val="TableText"/>
              <w:spacing w:before="50" w:after="50"/>
              <w:ind w:right="964"/>
              <w:jc w:val="right"/>
            </w:pPr>
            <w:r w:rsidRPr="00261B7A">
              <w:t>±100</w:t>
            </w:r>
          </w:p>
        </w:tc>
      </w:tr>
      <w:tr w:rsidR="008A4F47" w:rsidRPr="00261B7A" w14:paraId="2E271BF7" w14:textId="77777777" w:rsidTr="00D41492">
        <w:tc>
          <w:tcPr>
            <w:tcW w:w="2835" w:type="dxa"/>
            <w:shd w:val="clear" w:color="auto" w:fill="FFFFFF"/>
          </w:tcPr>
          <w:p w14:paraId="43CB1B42" w14:textId="77777777" w:rsidR="008A4F47" w:rsidRPr="00261B7A" w:rsidRDefault="008A4F47" w:rsidP="00D41492">
            <w:pPr>
              <w:pStyle w:val="TableText"/>
              <w:spacing w:before="50" w:after="50"/>
            </w:pPr>
            <w:r w:rsidRPr="00261B7A">
              <w:t xml:space="preserve">Use of urea-based catalysts in transport </w:t>
            </w:r>
          </w:p>
        </w:tc>
        <w:tc>
          <w:tcPr>
            <w:tcW w:w="2552" w:type="dxa"/>
            <w:shd w:val="clear" w:color="auto" w:fill="FFFFFF"/>
          </w:tcPr>
          <w:p w14:paraId="61E19A87" w14:textId="77777777" w:rsidR="008A4F47" w:rsidRPr="00261B7A" w:rsidRDefault="008A4F47" w:rsidP="00D41492">
            <w:pPr>
              <w:pStyle w:val="TableText"/>
              <w:spacing w:before="50" w:after="50"/>
              <w:jc w:val="center"/>
            </w:pPr>
            <w:r w:rsidRPr="00261B7A">
              <w:t>±50</w:t>
            </w:r>
          </w:p>
        </w:tc>
        <w:tc>
          <w:tcPr>
            <w:tcW w:w="2665" w:type="dxa"/>
            <w:shd w:val="clear" w:color="auto" w:fill="FFFFFF"/>
            <w:tcMar>
              <w:right w:w="57" w:type="dxa"/>
            </w:tcMar>
          </w:tcPr>
          <w:p w14:paraId="26F207EF" w14:textId="77777777" w:rsidR="008A4F47" w:rsidRPr="00261B7A" w:rsidRDefault="008A4F47" w:rsidP="00D41492">
            <w:pPr>
              <w:pStyle w:val="TableText"/>
              <w:spacing w:before="50" w:after="50"/>
              <w:ind w:right="964"/>
              <w:jc w:val="right"/>
            </w:pPr>
            <w:r w:rsidRPr="00261B7A">
              <w:t>±10</w:t>
            </w:r>
          </w:p>
        </w:tc>
      </w:tr>
      <w:tr w:rsidR="008A4F47" w:rsidRPr="00261B7A" w14:paraId="2DADF4EC" w14:textId="77777777" w:rsidTr="00D41492">
        <w:tc>
          <w:tcPr>
            <w:tcW w:w="2835" w:type="dxa"/>
            <w:shd w:val="clear" w:color="auto" w:fill="FFFFFF"/>
            <w:hideMark/>
          </w:tcPr>
          <w:p w14:paraId="2D6898CA" w14:textId="77777777" w:rsidR="008A4F47" w:rsidRPr="00261B7A" w:rsidRDefault="008A4F47" w:rsidP="00D41492">
            <w:pPr>
              <w:pStyle w:val="TableText"/>
              <w:spacing w:before="50" w:after="50"/>
            </w:pPr>
            <w:r w:rsidRPr="00261B7A">
              <w:t>Asphalt road paving</w:t>
            </w:r>
          </w:p>
        </w:tc>
        <w:tc>
          <w:tcPr>
            <w:tcW w:w="2552" w:type="dxa"/>
            <w:shd w:val="clear" w:color="auto" w:fill="FFFFFF"/>
            <w:hideMark/>
          </w:tcPr>
          <w:p w14:paraId="20BA50DB" w14:textId="77777777" w:rsidR="008A4F47" w:rsidRPr="00261B7A" w:rsidRDefault="008A4F47" w:rsidP="00D41492">
            <w:pPr>
              <w:pStyle w:val="TableText"/>
              <w:spacing w:before="50" w:after="50"/>
              <w:jc w:val="center"/>
            </w:pPr>
            <w:r w:rsidRPr="00261B7A">
              <w:t>±40</w:t>
            </w:r>
          </w:p>
        </w:tc>
        <w:tc>
          <w:tcPr>
            <w:tcW w:w="2665" w:type="dxa"/>
            <w:shd w:val="clear" w:color="auto" w:fill="FFFFFF"/>
            <w:tcMar>
              <w:right w:w="57" w:type="dxa"/>
            </w:tcMar>
            <w:hideMark/>
          </w:tcPr>
          <w:p w14:paraId="26BCA260" w14:textId="77777777" w:rsidR="008A4F47" w:rsidRPr="00261B7A" w:rsidRDefault="008A4F47" w:rsidP="00D41492">
            <w:pPr>
              <w:pStyle w:val="TableText"/>
              <w:spacing w:before="50" w:after="50"/>
              <w:ind w:right="964"/>
              <w:jc w:val="right"/>
            </w:pPr>
            <w:r w:rsidRPr="00261B7A">
              <w:t>±40</w:t>
            </w:r>
          </w:p>
        </w:tc>
      </w:tr>
      <w:tr w:rsidR="008A4F47" w:rsidRPr="00261B7A" w14:paraId="239D0FC3" w14:textId="77777777" w:rsidTr="00D41492">
        <w:tc>
          <w:tcPr>
            <w:tcW w:w="2835" w:type="dxa"/>
            <w:shd w:val="clear" w:color="auto" w:fill="FFFFFF"/>
            <w:hideMark/>
          </w:tcPr>
          <w:p w14:paraId="0599D67B" w14:textId="77777777" w:rsidR="008A4F47" w:rsidRPr="00261B7A" w:rsidRDefault="008A4F47" w:rsidP="00D41492">
            <w:pPr>
              <w:pStyle w:val="TableText"/>
              <w:spacing w:before="50" w:after="50"/>
            </w:pPr>
            <w:r w:rsidRPr="00261B7A">
              <w:t>Asphalt roofing</w:t>
            </w:r>
          </w:p>
        </w:tc>
        <w:tc>
          <w:tcPr>
            <w:tcW w:w="2552" w:type="dxa"/>
            <w:shd w:val="clear" w:color="auto" w:fill="FFFFFF"/>
            <w:hideMark/>
          </w:tcPr>
          <w:p w14:paraId="79C5F0DD" w14:textId="77777777" w:rsidR="008A4F47" w:rsidRPr="00261B7A" w:rsidRDefault="008A4F47" w:rsidP="00D41492">
            <w:pPr>
              <w:pStyle w:val="TableText"/>
              <w:spacing w:before="50" w:after="50"/>
              <w:jc w:val="center"/>
            </w:pPr>
            <w:r w:rsidRPr="00261B7A">
              <w:t>±50</w:t>
            </w:r>
          </w:p>
        </w:tc>
        <w:tc>
          <w:tcPr>
            <w:tcW w:w="2665" w:type="dxa"/>
            <w:shd w:val="clear" w:color="auto" w:fill="FFFFFF"/>
            <w:tcMar>
              <w:right w:w="57" w:type="dxa"/>
            </w:tcMar>
            <w:hideMark/>
          </w:tcPr>
          <w:p w14:paraId="39B659BA" w14:textId="77777777" w:rsidR="008A4F47" w:rsidRPr="00261B7A" w:rsidRDefault="008A4F47" w:rsidP="00D41492">
            <w:pPr>
              <w:pStyle w:val="TableText"/>
              <w:spacing w:before="50" w:after="50"/>
              <w:ind w:right="964"/>
              <w:jc w:val="right"/>
            </w:pPr>
            <w:r w:rsidRPr="00261B7A">
              <w:t>±40</w:t>
            </w:r>
          </w:p>
        </w:tc>
      </w:tr>
      <w:tr w:rsidR="008A4F47" w:rsidRPr="00261B7A" w14:paraId="35487610" w14:textId="77777777" w:rsidTr="00D41492">
        <w:tc>
          <w:tcPr>
            <w:tcW w:w="2835" w:type="dxa"/>
            <w:shd w:val="clear" w:color="auto" w:fill="FFFFFF"/>
            <w:hideMark/>
          </w:tcPr>
          <w:p w14:paraId="5B72617D" w14:textId="77777777" w:rsidR="008A4F47" w:rsidRPr="00261B7A" w:rsidRDefault="008A4F47" w:rsidP="00D41492">
            <w:pPr>
              <w:pStyle w:val="TableText"/>
              <w:spacing w:before="50" w:after="50"/>
            </w:pPr>
            <w:r w:rsidRPr="00261B7A">
              <w:t>Paint application</w:t>
            </w:r>
          </w:p>
        </w:tc>
        <w:tc>
          <w:tcPr>
            <w:tcW w:w="2552" w:type="dxa"/>
            <w:shd w:val="clear" w:color="auto" w:fill="FFFFFF"/>
            <w:hideMark/>
          </w:tcPr>
          <w:p w14:paraId="4E12D459" w14:textId="77777777" w:rsidR="008A4F47" w:rsidRPr="00261B7A" w:rsidRDefault="008A4F47" w:rsidP="00D41492">
            <w:pPr>
              <w:pStyle w:val="TableText"/>
              <w:spacing w:before="50" w:after="50"/>
              <w:jc w:val="center"/>
            </w:pPr>
            <w:r w:rsidRPr="00261B7A">
              <w:t>±40</w:t>
            </w:r>
          </w:p>
        </w:tc>
        <w:tc>
          <w:tcPr>
            <w:tcW w:w="2665" w:type="dxa"/>
            <w:shd w:val="clear" w:color="auto" w:fill="FFFFFF"/>
            <w:tcMar>
              <w:right w:w="57" w:type="dxa"/>
            </w:tcMar>
            <w:hideMark/>
          </w:tcPr>
          <w:p w14:paraId="43692F4D" w14:textId="77777777" w:rsidR="008A4F47" w:rsidRPr="00261B7A" w:rsidRDefault="008A4F47" w:rsidP="00D41492">
            <w:pPr>
              <w:pStyle w:val="TableText"/>
              <w:spacing w:before="50" w:after="50"/>
              <w:ind w:right="964"/>
              <w:jc w:val="right"/>
            </w:pPr>
            <w:r w:rsidRPr="00261B7A">
              <w:t>±50</w:t>
            </w:r>
          </w:p>
        </w:tc>
      </w:tr>
      <w:tr w:rsidR="008A4F47" w:rsidRPr="00261B7A" w14:paraId="480294D2" w14:textId="77777777" w:rsidTr="00D41492">
        <w:tc>
          <w:tcPr>
            <w:tcW w:w="2835" w:type="dxa"/>
            <w:shd w:val="clear" w:color="auto" w:fill="FFFFFF"/>
            <w:hideMark/>
          </w:tcPr>
          <w:p w14:paraId="37E61C87" w14:textId="77777777" w:rsidR="008A4F47" w:rsidRPr="00261B7A" w:rsidRDefault="008A4F47" w:rsidP="00D41492">
            <w:pPr>
              <w:pStyle w:val="TableText"/>
              <w:spacing w:before="50" w:after="50"/>
            </w:pPr>
            <w:r w:rsidRPr="00261B7A">
              <w:t>Degreasing and dry cleaning</w:t>
            </w:r>
          </w:p>
        </w:tc>
        <w:tc>
          <w:tcPr>
            <w:tcW w:w="2552" w:type="dxa"/>
            <w:shd w:val="clear" w:color="auto" w:fill="FFFFFF"/>
            <w:hideMark/>
          </w:tcPr>
          <w:p w14:paraId="11E14348" w14:textId="77777777" w:rsidR="008A4F47" w:rsidRPr="00261B7A" w:rsidRDefault="008A4F47" w:rsidP="00D41492">
            <w:pPr>
              <w:pStyle w:val="TableText"/>
              <w:spacing w:before="50" w:after="50"/>
              <w:jc w:val="center"/>
            </w:pPr>
            <w:r w:rsidRPr="00261B7A">
              <w:t>±40</w:t>
            </w:r>
          </w:p>
        </w:tc>
        <w:tc>
          <w:tcPr>
            <w:tcW w:w="2665" w:type="dxa"/>
            <w:shd w:val="clear" w:color="auto" w:fill="FFFFFF"/>
            <w:tcMar>
              <w:right w:w="57" w:type="dxa"/>
            </w:tcMar>
            <w:hideMark/>
          </w:tcPr>
          <w:p w14:paraId="09DEEBA3" w14:textId="77777777" w:rsidR="008A4F47" w:rsidRPr="00261B7A" w:rsidRDefault="008A4F47" w:rsidP="00D41492">
            <w:pPr>
              <w:pStyle w:val="TableText"/>
              <w:spacing w:before="50" w:after="50"/>
              <w:ind w:right="964"/>
              <w:jc w:val="right"/>
            </w:pPr>
            <w:r w:rsidRPr="00261B7A">
              <w:t>±60</w:t>
            </w:r>
          </w:p>
        </w:tc>
      </w:tr>
      <w:tr w:rsidR="008A4F47" w:rsidRPr="00261B7A" w14:paraId="1F8C0369" w14:textId="77777777" w:rsidTr="00D41492">
        <w:tc>
          <w:tcPr>
            <w:tcW w:w="2835" w:type="dxa"/>
            <w:shd w:val="clear" w:color="auto" w:fill="FFFFFF"/>
            <w:hideMark/>
          </w:tcPr>
          <w:p w14:paraId="26141681" w14:textId="77777777" w:rsidR="008A4F47" w:rsidRPr="00261B7A" w:rsidRDefault="008A4F47" w:rsidP="00D41492">
            <w:pPr>
              <w:pStyle w:val="TableText"/>
              <w:spacing w:before="50" w:after="50"/>
            </w:pPr>
            <w:r w:rsidRPr="00261B7A">
              <w:t>Printing</w:t>
            </w:r>
          </w:p>
        </w:tc>
        <w:tc>
          <w:tcPr>
            <w:tcW w:w="2552" w:type="dxa"/>
            <w:shd w:val="clear" w:color="auto" w:fill="FFFFFF"/>
            <w:hideMark/>
          </w:tcPr>
          <w:p w14:paraId="6BB02103" w14:textId="77777777" w:rsidR="008A4F47" w:rsidRPr="00261B7A" w:rsidRDefault="008A4F47" w:rsidP="00D41492">
            <w:pPr>
              <w:pStyle w:val="TableText"/>
              <w:spacing w:before="50" w:after="50"/>
              <w:jc w:val="center"/>
            </w:pPr>
            <w:r w:rsidRPr="00261B7A">
              <w:t>±50</w:t>
            </w:r>
          </w:p>
        </w:tc>
        <w:tc>
          <w:tcPr>
            <w:tcW w:w="2665" w:type="dxa"/>
            <w:shd w:val="clear" w:color="auto" w:fill="FFFFFF"/>
            <w:tcMar>
              <w:right w:w="57" w:type="dxa"/>
            </w:tcMar>
            <w:hideMark/>
          </w:tcPr>
          <w:p w14:paraId="5EEF5B3C" w14:textId="77777777" w:rsidR="008A4F47" w:rsidRPr="00261B7A" w:rsidRDefault="008A4F47" w:rsidP="00D41492">
            <w:pPr>
              <w:pStyle w:val="TableText"/>
              <w:spacing w:before="50" w:after="50"/>
              <w:ind w:right="964"/>
              <w:jc w:val="right"/>
            </w:pPr>
            <w:r w:rsidRPr="00261B7A">
              <w:t>±50</w:t>
            </w:r>
          </w:p>
        </w:tc>
      </w:tr>
      <w:tr w:rsidR="008A4F47" w:rsidRPr="00261B7A" w14:paraId="0A7A3C78" w14:textId="77777777" w:rsidTr="00D41492">
        <w:tc>
          <w:tcPr>
            <w:tcW w:w="2835" w:type="dxa"/>
            <w:shd w:val="clear" w:color="auto" w:fill="FFFFFF"/>
            <w:hideMark/>
          </w:tcPr>
          <w:p w14:paraId="596B9B39" w14:textId="77777777" w:rsidR="008A4F47" w:rsidRPr="00261B7A" w:rsidRDefault="008A4F47" w:rsidP="00D41492">
            <w:pPr>
              <w:pStyle w:val="TableText"/>
              <w:spacing w:before="50" w:after="50"/>
            </w:pPr>
            <w:r w:rsidRPr="00261B7A">
              <w:t>Domestic and commercial solvent use</w:t>
            </w:r>
          </w:p>
        </w:tc>
        <w:tc>
          <w:tcPr>
            <w:tcW w:w="2552" w:type="dxa"/>
            <w:shd w:val="clear" w:color="auto" w:fill="FFFFFF"/>
            <w:hideMark/>
          </w:tcPr>
          <w:p w14:paraId="102ECFDF" w14:textId="77777777" w:rsidR="008A4F47" w:rsidRPr="00261B7A" w:rsidRDefault="008A4F47" w:rsidP="00D41492">
            <w:pPr>
              <w:pStyle w:val="TableText"/>
              <w:spacing w:before="50" w:after="50"/>
              <w:jc w:val="center"/>
            </w:pPr>
            <w:r w:rsidRPr="00261B7A">
              <w:t>±50</w:t>
            </w:r>
          </w:p>
        </w:tc>
        <w:tc>
          <w:tcPr>
            <w:tcW w:w="2665" w:type="dxa"/>
            <w:shd w:val="clear" w:color="auto" w:fill="FFFFFF"/>
            <w:tcMar>
              <w:right w:w="57" w:type="dxa"/>
            </w:tcMar>
            <w:hideMark/>
          </w:tcPr>
          <w:p w14:paraId="6EE962A5" w14:textId="77777777" w:rsidR="008A4F47" w:rsidRPr="00261B7A" w:rsidRDefault="008A4F47" w:rsidP="00D41492">
            <w:pPr>
              <w:pStyle w:val="TableText"/>
              <w:spacing w:before="50" w:after="50"/>
              <w:ind w:right="964"/>
              <w:jc w:val="right"/>
            </w:pPr>
            <w:r w:rsidRPr="00261B7A">
              <w:t>±60</w:t>
            </w:r>
          </w:p>
        </w:tc>
      </w:tr>
    </w:tbl>
    <w:p w14:paraId="0E6E8A0F" w14:textId="77777777" w:rsidR="008A4F47" w:rsidRPr="00261B7A" w:rsidRDefault="008A4F47" w:rsidP="008A4F47">
      <w:pPr>
        <w:pStyle w:val="Heading4"/>
        <w:spacing w:before="360"/>
        <w:rPr>
          <w:bCs/>
          <w:iCs/>
        </w:rPr>
      </w:pPr>
      <w:r w:rsidRPr="00261B7A">
        <w:t>Time-series consistency</w:t>
      </w:r>
    </w:p>
    <w:p w14:paraId="41B31959" w14:textId="77777777" w:rsidR="008A4F47" w:rsidRPr="00261B7A" w:rsidRDefault="008A4F47" w:rsidP="008A4F47">
      <w:pPr>
        <w:pStyle w:val="BodyText"/>
      </w:pPr>
      <w:r w:rsidRPr="00261B7A">
        <w:t>For CO</w:t>
      </w:r>
      <w:r w:rsidRPr="00261B7A">
        <w:rPr>
          <w:vertAlign w:val="subscript"/>
        </w:rPr>
        <w:t>2</w:t>
      </w:r>
      <w:r w:rsidRPr="00261B7A">
        <w:t xml:space="preserve"> emissions in this category, the activity data have been extrapolated and emission factors are defaults. The implied emission factors and time-series consistency reflect this. </w:t>
      </w:r>
    </w:p>
    <w:p w14:paraId="0EE03225" w14:textId="77777777" w:rsidR="008A4F47" w:rsidRPr="00261B7A" w:rsidRDefault="008A4F47" w:rsidP="0034058F">
      <w:pPr>
        <w:pStyle w:val="Heading3"/>
      </w:pPr>
      <w:r w:rsidRPr="00261B7A">
        <w:t>4.5.4</w:t>
      </w:r>
      <w:r w:rsidRPr="00261B7A">
        <w:tab/>
        <w:t>Source-specific QA/QC and verification</w:t>
      </w:r>
    </w:p>
    <w:p w14:paraId="49F05B81" w14:textId="77777777" w:rsidR="008A4F47" w:rsidRPr="00261B7A" w:rsidRDefault="008A4F47" w:rsidP="008A4F47">
      <w:pPr>
        <w:pStyle w:val="BodyText"/>
      </w:pPr>
      <w:r w:rsidRPr="00261B7A">
        <w:rPr>
          <w:i/>
        </w:rPr>
        <w:t>Non-energy products from fuels and solvent use</w:t>
      </w:r>
      <w:r w:rsidRPr="00261B7A">
        <w:t xml:space="preserve"> is a non-key category. Verification of the data from independent sources was not feasible.</w:t>
      </w:r>
    </w:p>
    <w:p w14:paraId="24F34832" w14:textId="77777777" w:rsidR="008A4F47" w:rsidRPr="00261B7A" w:rsidRDefault="008A4F47" w:rsidP="0034058F">
      <w:pPr>
        <w:pStyle w:val="Heading3"/>
      </w:pPr>
      <w:r w:rsidRPr="00261B7A">
        <w:t>4.5.5</w:t>
      </w:r>
      <w:r w:rsidRPr="00261B7A">
        <w:tab/>
        <w:t>Source-specific recalculations</w:t>
      </w:r>
    </w:p>
    <w:p w14:paraId="242561F5" w14:textId="77777777" w:rsidR="008A4F47" w:rsidRPr="00261B7A" w:rsidRDefault="008A4F47" w:rsidP="008A4F47">
      <w:pPr>
        <w:pStyle w:val="BodyText"/>
      </w:pPr>
      <w:r w:rsidRPr="00261B7A">
        <w:t xml:space="preserve">For the previous submission, averaging the data for lubricants in recent years resulted in a small recalculation of emissions affecting 2018. There are no recalculations for this submission. </w:t>
      </w:r>
    </w:p>
    <w:p w14:paraId="492BCBE5" w14:textId="77777777" w:rsidR="008A4F47" w:rsidRPr="00261B7A" w:rsidRDefault="008A4F47" w:rsidP="0034058F">
      <w:pPr>
        <w:pStyle w:val="Heading3"/>
      </w:pPr>
      <w:r w:rsidRPr="00261B7A">
        <w:t>4.5.6</w:t>
      </w:r>
      <w:r w:rsidRPr="00261B7A">
        <w:tab/>
        <w:t>Source-specific planned improvements</w:t>
      </w:r>
    </w:p>
    <w:p w14:paraId="3039EC81" w14:textId="77777777" w:rsidR="008A4F47" w:rsidRPr="00261B7A" w:rsidRDefault="008A4F47" w:rsidP="008A4F47">
      <w:pPr>
        <w:pStyle w:val="BodyText"/>
      </w:pPr>
      <w:r w:rsidRPr="00261B7A">
        <w:t xml:space="preserve">This category is not a priority for improvement, due to the small scale of emissions. The inventory agency will make use of improved activity data where possible, particularly for lubricants and urea-based catalysts. </w:t>
      </w:r>
    </w:p>
    <w:p w14:paraId="3932E250" w14:textId="77777777" w:rsidR="008A4F47" w:rsidRPr="00261B7A" w:rsidRDefault="008A4F47" w:rsidP="00A638DC">
      <w:pPr>
        <w:pStyle w:val="Heading2"/>
      </w:pPr>
      <w:bookmarkStart w:id="554" w:name="_Toc448321517"/>
      <w:bookmarkStart w:id="555" w:name="_Toc5269356"/>
      <w:bookmarkStart w:id="556" w:name="_Toc36224396"/>
      <w:bookmarkStart w:id="557" w:name="_Toc68786316"/>
      <w:bookmarkStart w:id="558" w:name="_Toc131591231"/>
      <w:r w:rsidRPr="00261B7A">
        <w:t>4.6</w:t>
      </w:r>
      <w:r w:rsidRPr="00261B7A">
        <w:tab/>
        <w:t>Electronics industry (2.E)</w:t>
      </w:r>
      <w:bookmarkEnd w:id="554"/>
      <w:bookmarkEnd w:id="555"/>
      <w:bookmarkEnd w:id="556"/>
      <w:bookmarkEnd w:id="557"/>
      <w:bookmarkEnd w:id="558"/>
    </w:p>
    <w:p w14:paraId="7020DB8B" w14:textId="77777777" w:rsidR="008A4F47" w:rsidRPr="00261B7A" w:rsidRDefault="008A4F47" w:rsidP="008A4F47">
      <w:pPr>
        <w:pStyle w:val="BodyText"/>
      </w:pPr>
      <w:r w:rsidRPr="00261B7A">
        <w:t xml:space="preserve">New Zealand has no significant industry engaged in the manufacture of electronic products, and no emissions are reported in this category. </w:t>
      </w:r>
    </w:p>
    <w:p w14:paraId="37936473" w14:textId="77777777" w:rsidR="008A4F47" w:rsidRPr="00261B7A" w:rsidRDefault="008A4F47" w:rsidP="00A638DC">
      <w:pPr>
        <w:pStyle w:val="Heading2"/>
      </w:pPr>
      <w:bookmarkStart w:id="559" w:name="_Toc448321518"/>
      <w:bookmarkStart w:id="560" w:name="_Toc5269357"/>
      <w:bookmarkStart w:id="561" w:name="_Toc36224397"/>
      <w:bookmarkStart w:id="562" w:name="_Toc68786317"/>
      <w:bookmarkStart w:id="563" w:name="_Toc131591232"/>
      <w:r w:rsidRPr="00261B7A">
        <w:t>4.7</w:t>
      </w:r>
      <w:r w:rsidRPr="00261B7A">
        <w:tab/>
        <w:t>Product uses as substitutes for ODS (2.F)</w:t>
      </w:r>
      <w:bookmarkEnd w:id="559"/>
      <w:bookmarkEnd w:id="560"/>
      <w:bookmarkEnd w:id="561"/>
      <w:bookmarkEnd w:id="562"/>
      <w:bookmarkEnd w:id="563"/>
    </w:p>
    <w:p w14:paraId="2C815A7B" w14:textId="77777777" w:rsidR="008A4F47" w:rsidRPr="00261B7A" w:rsidRDefault="008A4F47" w:rsidP="00323B68">
      <w:pPr>
        <w:pStyle w:val="Heading3"/>
        <w:spacing w:before="240"/>
      </w:pPr>
      <w:r w:rsidRPr="00261B7A">
        <w:t>4.7.1</w:t>
      </w:r>
      <w:r w:rsidRPr="00261B7A">
        <w:tab/>
        <w:t>Description</w:t>
      </w:r>
    </w:p>
    <w:p w14:paraId="7978FE31" w14:textId="77777777" w:rsidR="008A4F47" w:rsidRPr="00261B7A" w:rsidRDefault="008A4F47" w:rsidP="008A4F47">
      <w:pPr>
        <w:pStyle w:val="BodyText"/>
      </w:pPr>
      <w:r w:rsidRPr="00261B7A">
        <w:t xml:space="preserve">HFCs are used in a wide range of equipment and products, including refrigeration and air conditioning systems and aerosols. Small amounts of PFCs have also been used in these applications in some years. No HFCs or PFCs are manufactured in New Zealand. PFCs are also emitted from the aluminium-smelting process and these emissions are reported in the </w:t>
      </w:r>
      <w:r w:rsidRPr="00261B7A">
        <w:rPr>
          <w:i/>
        </w:rPr>
        <w:t>Metal industry</w:t>
      </w:r>
      <w:r w:rsidRPr="00261B7A">
        <w:t xml:space="preserve"> category (2.C.3.b). </w:t>
      </w:r>
    </w:p>
    <w:p w14:paraId="31BC9204" w14:textId="77777777" w:rsidR="008A4F47" w:rsidRPr="00261B7A" w:rsidRDefault="008A4F47" w:rsidP="008A4F47">
      <w:pPr>
        <w:pStyle w:val="BodyText"/>
      </w:pPr>
      <w:r w:rsidRPr="00261B7A">
        <w:t xml:space="preserve">The use of HFCs in New Zealand began in 1992 and has increased since the mid-1990s when chlorofluorocarbons (CFCs) and hydrochlorofluorocarbons (HCFCs) began to be phased out under the Montreal Protocol. The Ozone Layer Protection Act 1996 set out a programme for phasing out the use of ODS in New Zealand. New Zealand is a signatory to the Kigali Amendment to the Montreal Protocol and is now phasing down the consumption of HFCs. The phase-down is being implemented through a permitting system for imports, which began on 1 January 2020. </w:t>
      </w:r>
    </w:p>
    <w:p w14:paraId="2A3A72CE" w14:textId="77777777" w:rsidR="008A4F47" w:rsidRPr="00261B7A" w:rsidRDefault="008A4F47" w:rsidP="008A4F47">
      <w:pPr>
        <w:pStyle w:val="BodyText"/>
      </w:pPr>
      <w:r w:rsidRPr="00261B7A">
        <w:t xml:space="preserve">In 2021, emissions in the </w:t>
      </w:r>
      <w:r w:rsidRPr="00261B7A">
        <w:rPr>
          <w:i/>
        </w:rPr>
        <w:t>Product uses as substitutes for ODS</w:t>
      </w:r>
      <w:r w:rsidRPr="00261B7A">
        <w:t xml:space="preserve"> category were 1,483.0 kt CO</w:t>
      </w:r>
      <w:r w:rsidRPr="00261B7A">
        <w:rPr>
          <w:vertAlign w:val="subscript"/>
        </w:rPr>
        <w:t>2</w:t>
      </w:r>
      <w:r w:rsidRPr="00261B7A">
        <w:t>-e or 32.2 per cent of emissions from the IPPU sector. This was an increase of 38.4 kt CO</w:t>
      </w:r>
      <w:r w:rsidRPr="00261B7A">
        <w:rPr>
          <w:vertAlign w:val="subscript"/>
        </w:rPr>
        <w:t>2</w:t>
      </w:r>
      <w:r w:rsidRPr="00261B7A">
        <w:t>-e (2.7 per cent) from the 2020 level of 1,444.6 kt CO</w:t>
      </w:r>
      <w:r w:rsidRPr="00261B7A">
        <w:rPr>
          <w:vertAlign w:val="subscript"/>
        </w:rPr>
        <w:t>2</w:t>
      </w:r>
      <w:r w:rsidRPr="00261B7A">
        <w:t xml:space="preserve">-e. No HFCs or PFCs were used in 1990. The first consumption of HFCs in New Zealand was reported in 1992 and the first consumption of PFCs in 1995. </w:t>
      </w:r>
    </w:p>
    <w:p w14:paraId="1F530A07" w14:textId="77777777" w:rsidR="008A4F47" w:rsidRPr="00261B7A" w:rsidRDefault="008A4F47" w:rsidP="008A4F47">
      <w:pPr>
        <w:pStyle w:val="BodyText"/>
      </w:pPr>
      <w:r w:rsidRPr="00261B7A">
        <w:t xml:space="preserve">Most of these emissions come from the use of HFCs in the </w:t>
      </w:r>
      <w:r w:rsidRPr="00261B7A">
        <w:rPr>
          <w:i/>
        </w:rPr>
        <w:t>Refrigeration and air conditioning</w:t>
      </w:r>
      <w:r w:rsidRPr="00261B7A">
        <w:t xml:space="preserve"> category. Emissions from the use of HFCs in the </w:t>
      </w:r>
      <w:r w:rsidRPr="00261B7A">
        <w:rPr>
          <w:i/>
        </w:rPr>
        <w:t>Refrigeration and air conditioning</w:t>
      </w:r>
      <w:r w:rsidRPr="00261B7A">
        <w:t xml:space="preserve"> category (level and trend assessment) were identified as a key category.</w:t>
      </w:r>
    </w:p>
    <w:p w14:paraId="4FB46311" w14:textId="77777777" w:rsidR="008A4F47" w:rsidRPr="00261B7A" w:rsidRDefault="008A4F47" w:rsidP="0034058F">
      <w:pPr>
        <w:pStyle w:val="Heading3"/>
      </w:pPr>
      <w:r w:rsidRPr="00261B7A">
        <w:t xml:space="preserve">4.7.2 </w:t>
      </w:r>
      <w:r w:rsidRPr="00261B7A">
        <w:tab/>
        <w:t>Methodological issues</w:t>
      </w:r>
    </w:p>
    <w:p w14:paraId="564969AD" w14:textId="77777777" w:rsidR="008A4F47" w:rsidRPr="00261B7A" w:rsidRDefault="008A4F47" w:rsidP="008A4F47">
      <w:pPr>
        <w:pStyle w:val="Heading4"/>
        <w:rPr>
          <w:bCs/>
          <w:iCs/>
        </w:rPr>
      </w:pPr>
      <w:r w:rsidRPr="00261B7A">
        <w:t>Choice of activity data</w:t>
      </w:r>
    </w:p>
    <w:p w14:paraId="5967FE45" w14:textId="77777777" w:rsidR="008A4F47" w:rsidRPr="00261B7A" w:rsidRDefault="008A4F47" w:rsidP="008A4F47">
      <w:pPr>
        <w:pStyle w:val="BodyText"/>
      </w:pPr>
      <w:r w:rsidRPr="00261B7A">
        <w:t xml:space="preserve">New Zealand imports substantial amounts of new HFCs, mainly for use as refrigerants, both in bulk and in factory-charged equipment. Both bulk chemical and equipment charged in New Zealand are exported, but on a much smaller scale. </w:t>
      </w:r>
    </w:p>
    <w:p w14:paraId="0592708A" w14:textId="77777777" w:rsidR="008A4F47" w:rsidRPr="00261B7A" w:rsidRDefault="008A4F47" w:rsidP="008A4F47">
      <w:pPr>
        <w:pStyle w:val="BodyText"/>
      </w:pPr>
      <w:r w:rsidRPr="00261B7A">
        <w:t xml:space="preserve">Most of the activity data for the </w:t>
      </w:r>
      <w:r w:rsidRPr="00261B7A">
        <w:rPr>
          <w:i/>
        </w:rPr>
        <w:t>Product uses as substitutes for ODS</w:t>
      </w:r>
      <w:r w:rsidRPr="00261B7A">
        <w:t xml:space="preserve"> category are collected using annual surveys of companies that import, distribute and export refrigerants and other synthetic gases, manufacture or import products containing them or use them on a significant scale (Verum Group, </w:t>
      </w:r>
      <w:r w:rsidRPr="00261B7A">
        <w:rPr>
          <w:rFonts w:eastAsia="+mn-ea"/>
        </w:rPr>
        <w:t>unpublished</w:t>
      </w:r>
      <w:r w:rsidRPr="00261B7A">
        <w:t xml:space="preserve">). </w:t>
      </w:r>
    </w:p>
    <w:p w14:paraId="5DF41EF2" w14:textId="77777777" w:rsidR="008A4F47" w:rsidRPr="00261B7A" w:rsidRDefault="008A4F47" w:rsidP="008A4F47">
      <w:pPr>
        <w:pStyle w:val="BodyText"/>
      </w:pPr>
      <w:r w:rsidRPr="00261B7A">
        <w:t>Data on bulk imports and exports of refrigerant, and factory-charged imported and exported equipment, were obtained using a survey. Detailed information on the supplies and banks of chemical in each sub</w:t>
      </w:r>
      <w:r w:rsidRPr="00261B7A">
        <w:noBreakHyphen/>
        <w:t xml:space="preserve">application was obtained from survey questionnaires and follow-up calls to request specific data. The survey included: </w:t>
      </w:r>
    </w:p>
    <w:p w14:paraId="79540852" w14:textId="77777777" w:rsidR="008A4F47" w:rsidRPr="00261B7A" w:rsidRDefault="008A4F47" w:rsidP="008A4F47">
      <w:pPr>
        <w:pStyle w:val="Bullet"/>
        <w:keepNext/>
      </w:pPr>
      <w:r w:rsidRPr="00261B7A">
        <w:t>15 companies known to be significant importers and distributors of HFCs and PFCs</w:t>
      </w:r>
    </w:p>
    <w:p w14:paraId="27D02CE6" w14:textId="77777777" w:rsidR="008A4F47" w:rsidRPr="00261B7A" w:rsidRDefault="008A4F47" w:rsidP="008A4F47">
      <w:pPr>
        <w:pStyle w:val="Bullet"/>
      </w:pPr>
      <w:r w:rsidRPr="00261B7A">
        <w:t>approximately 75 manufacturers, exporters, importers and significant users of air conditioning and refrigeration systems and equipment</w:t>
      </w:r>
    </w:p>
    <w:p w14:paraId="785737D0" w14:textId="77777777" w:rsidR="008A4F47" w:rsidRPr="00261B7A" w:rsidRDefault="008A4F47" w:rsidP="008A4F47">
      <w:pPr>
        <w:pStyle w:val="Bullet"/>
      </w:pPr>
      <w:r w:rsidRPr="00261B7A">
        <w:t>importers, service agents and installers of vehicle air conditioners, and their trade association</w:t>
      </w:r>
    </w:p>
    <w:p w14:paraId="4505129C" w14:textId="77777777" w:rsidR="008A4F47" w:rsidRPr="00261B7A" w:rsidRDefault="008A4F47" w:rsidP="008A4F47">
      <w:pPr>
        <w:pStyle w:val="Bullet"/>
      </w:pPr>
      <w:r w:rsidRPr="00261B7A">
        <w:t>the three companies that supply fire protection equipment</w:t>
      </w:r>
    </w:p>
    <w:p w14:paraId="6EA7C1D0" w14:textId="77777777" w:rsidR="008A4F47" w:rsidRPr="00261B7A" w:rsidRDefault="008A4F47" w:rsidP="008A4F47">
      <w:pPr>
        <w:pStyle w:val="Bullet"/>
      </w:pPr>
      <w:r w:rsidRPr="00261B7A">
        <w:t>five foam blowing companies and their suppliers</w:t>
      </w:r>
    </w:p>
    <w:p w14:paraId="34C32BEB" w14:textId="77777777" w:rsidR="008A4F47" w:rsidRPr="00261B7A" w:rsidRDefault="008A4F47" w:rsidP="008A4F47">
      <w:pPr>
        <w:pStyle w:val="Bullet"/>
      </w:pPr>
      <w:r w:rsidRPr="00261B7A">
        <w:t xml:space="preserve">the government pharmaceutical purchasing agency (Pharmac) </w:t>
      </w:r>
    </w:p>
    <w:p w14:paraId="3E78AAD1" w14:textId="77777777" w:rsidR="008A4F47" w:rsidRPr="00261B7A" w:rsidRDefault="008A4F47" w:rsidP="008A4F47">
      <w:pPr>
        <w:pStyle w:val="Bullet"/>
      </w:pPr>
      <w:r w:rsidRPr="00261B7A">
        <w:t xml:space="preserve">aerosol importers. </w:t>
      </w:r>
    </w:p>
    <w:p w14:paraId="363DE29A" w14:textId="77777777" w:rsidR="008A4F47" w:rsidRPr="00261B7A" w:rsidRDefault="008A4F47" w:rsidP="008A4F47">
      <w:pPr>
        <w:pStyle w:val="BodyText"/>
      </w:pPr>
      <w:r w:rsidRPr="00261B7A">
        <w:t xml:space="preserve">Equipment sales data are also sourced from the Energy Efficiency and Conservation Authority for equipment reported under New Zealand’s mandatory energy efficiency labelling scheme. Import data are sourced from Stats NZ and from the EPA for information derived from the NZ ETS and climate change levy. </w:t>
      </w:r>
    </w:p>
    <w:p w14:paraId="7F2AFD24" w14:textId="77777777" w:rsidR="008A4F47" w:rsidRPr="00261B7A" w:rsidRDefault="008A4F47" w:rsidP="008A4F47">
      <w:pPr>
        <w:pStyle w:val="Heading5"/>
        <w:spacing w:before="200"/>
      </w:pPr>
      <w:r w:rsidRPr="00261B7A">
        <w:t>Refrigeration and air conditioning (2.F.1)</w:t>
      </w:r>
    </w:p>
    <w:p w14:paraId="2F3E4E0F" w14:textId="77777777" w:rsidR="008A4F47" w:rsidRPr="00261B7A" w:rsidRDefault="008A4F47" w:rsidP="008A4F47">
      <w:pPr>
        <w:pStyle w:val="BodyText"/>
      </w:pPr>
      <w:r w:rsidRPr="00261B7A">
        <w:t>These</w:t>
      </w:r>
      <w:r w:rsidRPr="00261B7A" w:rsidDel="00BF0AC0">
        <w:t xml:space="preserve"> </w:t>
      </w:r>
      <w:r w:rsidRPr="00261B7A">
        <w:t xml:space="preserve">data are used to estimate the annual sales of new refrigerant and the total charge of new equipment, for input into the mass balance equation used to estimate emissions of each compound for each sub-application. </w:t>
      </w:r>
    </w:p>
    <w:p w14:paraId="04455238" w14:textId="77777777" w:rsidR="008A4F47" w:rsidRPr="00261B7A" w:rsidRDefault="008A4F47" w:rsidP="008A4F47">
      <w:pPr>
        <w:pStyle w:val="BodyText"/>
      </w:pPr>
      <w:r w:rsidRPr="00261B7A">
        <w:t xml:space="preserve">This information has been used to assess the mass balance for each sub-application. However, the attribution of bulk chemical to individual sub-applications is less accurate than the data on total amounts of each chemical imported. It is consistently difficult to attribute bulk chemical accurately to each of the six specific sub-applications. </w:t>
      </w:r>
    </w:p>
    <w:p w14:paraId="726FEDBB" w14:textId="77777777" w:rsidR="008A4F47" w:rsidRPr="00261B7A" w:rsidRDefault="008A4F47" w:rsidP="008A4F47">
      <w:pPr>
        <w:pStyle w:val="BodyText"/>
      </w:pPr>
      <w:r w:rsidRPr="00261B7A">
        <w:t>The accurate attribution of bulk chemical to a specific year of use is also challenging, due to large year-to-year variations in the amounts imported. Imports to New Zealand are variable at any time, due to the small amounts of some refrigerants that are used. In addition, import volumes have fluctuated at various times. Significant stockpiling of refrigerant gases occurred in anticipation of NZ ETS obligations in 2013. Stockpiling also appears to have occurred in other years, in response to various price and policy changes. Stock changes are an important factor in applying the mass balance approach to calculate emissions.</w:t>
      </w:r>
    </w:p>
    <w:p w14:paraId="4B001266" w14:textId="77777777" w:rsidR="008A4F47" w:rsidRPr="00261B7A" w:rsidRDefault="008A4F47" w:rsidP="008A4F47">
      <w:pPr>
        <w:pStyle w:val="BodyText"/>
      </w:pPr>
      <w:r w:rsidRPr="00261B7A">
        <w:t xml:space="preserve">Care is also needed to avoid double counting of chemical that is sold more than once by wholesalers and other owners before it is used. </w:t>
      </w:r>
    </w:p>
    <w:p w14:paraId="5CCEA972" w14:textId="77777777" w:rsidR="008A4F47" w:rsidRPr="00261B7A" w:rsidRDefault="008A4F47" w:rsidP="008A4F47">
      <w:pPr>
        <w:pStyle w:val="BodyText"/>
      </w:pPr>
      <w:r w:rsidRPr="00261B7A">
        <w:t xml:space="preserve">An additional challenge is incomplete or inaccurate data on the imports of refrigerant in pre-charged equipment. Total reported imports do not appear to fully account for the quantities in equipment that is sold, as indicated by New Zealand’s mandatory product labelling scheme. The number of vehicles imported is known accurately (Mobile air conditioning) but there is significant uncertainty in the quantities of refrigerant in each vehicle due to the variety of new and second-hand models imported. </w:t>
      </w:r>
    </w:p>
    <w:p w14:paraId="7F4764CF" w14:textId="77777777" w:rsidR="008A4F47" w:rsidRPr="00261B7A" w:rsidRDefault="008A4F47" w:rsidP="008A4F47">
      <w:pPr>
        <w:pStyle w:val="BodyText"/>
      </w:pPr>
      <w:r w:rsidRPr="00261B7A">
        <w:t xml:space="preserve">As a result of these challenges, many assessments must be made to attribute activity data for each HFC over time and across sub-applications. These are documented in the report by Verum Group (unpublished) and in the stock models used to calculate emissions. </w:t>
      </w:r>
    </w:p>
    <w:p w14:paraId="70F356B4" w14:textId="77777777" w:rsidR="008A4F47" w:rsidRPr="00261B7A" w:rsidRDefault="008A4F47" w:rsidP="008A4F47">
      <w:pPr>
        <w:pStyle w:val="BodyText"/>
        <w:keepLines/>
      </w:pPr>
      <w:r w:rsidRPr="00261B7A">
        <w:t xml:space="preserve">For the </w:t>
      </w:r>
      <w:r w:rsidRPr="00261B7A">
        <w:rPr>
          <w:i/>
        </w:rPr>
        <w:t>Mobile air conditioning</w:t>
      </w:r>
      <w:r w:rsidRPr="00261B7A">
        <w:t xml:space="preserve"> sub-application, only HFC-134a is used in New Zealand, and has been since 1994. Data on vehicle registrations and fleet numbers are provided by Waka Kotahi New Zealand Transport Agency and inform a model of the fleet. Estimates of the annual amount added to the bank, and first-fill emissions, are based on a good understanding of the number of new cars, trucks and buses with air conditioning added to the fleet each year. The results of the survey of bulk importers and distributors were also used to help determine the amount of HFC</w:t>
      </w:r>
      <w:r w:rsidRPr="00261B7A">
        <w:noBreakHyphen/>
        <w:t xml:space="preserve">134a sold for mobile air conditioning. </w:t>
      </w:r>
    </w:p>
    <w:p w14:paraId="42521AD2" w14:textId="77777777" w:rsidR="008A4F47" w:rsidRPr="00261B7A" w:rsidRDefault="008A4F47" w:rsidP="008A4F47">
      <w:pPr>
        <w:pStyle w:val="BodyText"/>
      </w:pPr>
      <w:r w:rsidRPr="00261B7A">
        <w:t>In 2009,</w:t>
      </w:r>
      <w:r w:rsidRPr="00261B7A">
        <w:rPr>
          <w:spacing w:val="-2"/>
        </w:rPr>
        <w:t xml:space="preserve"> the average charge of HFC-134a in vehicle air conditioning systems added to the bank at that time was estimated to be as</w:t>
      </w:r>
      <w:r w:rsidRPr="00261B7A">
        <w:t xml:space="preserve"> shown in table 4.7.1, based on IPCC defaults and information from the industry. </w:t>
      </w:r>
    </w:p>
    <w:p w14:paraId="62DBC5A0" w14:textId="77777777" w:rsidR="008A4F47" w:rsidRPr="00261B7A" w:rsidRDefault="008A4F47" w:rsidP="008A4F47">
      <w:pPr>
        <w:pStyle w:val="Table"/>
      </w:pPr>
      <w:bookmarkStart w:id="564" w:name="_Toc451176076"/>
      <w:bookmarkStart w:id="565" w:name="_Toc5269466"/>
      <w:bookmarkStart w:id="566" w:name="_Toc36224539"/>
      <w:bookmarkStart w:id="567" w:name="_Toc68786426"/>
      <w:bookmarkStart w:id="568" w:name="_Toc128042759"/>
      <w:bookmarkStart w:id="569" w:name="_Toc131591339"/>
      <w:r w:rsidRPr="00261B7A">
        <w:t>Table 4.7.1</w:t>
      </w:r>
      <w:r w:rsidRPr="00261B7A">
        <w:tab/>
        <w:t>Average charge of HFC-134a in mobile air conditioners, 2009</w:t>
      </w:r>
      <w:bookmarkEnd w:id="564"/>
      <w:bookmarkEnd w:id="565"/>
      <w:bookmarkEnd w:id="566"/>
      <w:bookmarkEnd w:id="567"/>
      <w:bookmarkEnd w:id="568"/>
      <w:bookmarkEnd w:id="569"/>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721"/>
        <w:gridCol w:w="2892"/>
        <w:gridCol w:w="2892"/>
      </w:tblGrid>
      <w:tr w:rsidR="008A4F47" w:rsidRPr="00261B7A" w14:paraId="72D98804" w14:textId="77777777" w:rsidTr="00D41492">
        <w:tc>
          <w:tcPr>
            <w:tcW w:w="2540" w:type="dxa"/>
            <w:shd w:val="clear" w:color="auto" w:fill="1B556B"/>
            <w:hideMark/>
          </w:tcPr>
          <w:p w14:paraId="24397513" w14:textId="77777777" w:rsidR="008A4F47" w:rsidRPr="00261B7A" w:rsidRDefault="008A4F47" w:rsidP="00D41492">
            <w:pPr>
              <w:pStyle w:val="TableTextBold"/>
              <w:spacing w:before="50" w:after="50"/>
              <w:rPr>
                <w:noProof w:val="0"/>
                <w:color w:val="FFFFFF"/>
              </w:rPr>
            </w:pPr>
            <w:r w:rsidRPr="00261B7A">
              <w:rPr>
                <w:noProof w:val="0"/>
                <w:color w:val="FFFFFF"/>
              </w:rPr>
              <w:t>Charge for cars and vans (g)</w:t>
            </w:r>
          </w:p>
        </w:tc>
        <w:tc>
          <w:tcPr>
            <w:tcW w:w="2699" w:type="dxa"/>
            <w:shd w:val="clear" w:color="auto" w:fill="1B556B"/>
            <w:hideMark/>
          </w:tcPr>
          <w:p w14:paraId="4B4D2D99" w14:textId="77777777" w:rsidR="008A4F47" w:rsidRPr="00261B7A" w:rsidRDefault="008A4F47" w:rsidP="00D41492">
            <w:pPr>
              <w:pStyle w:val="TableTextBold"/>
              <w:spacing w:before="50" w:after="50"/>
              <w:rPr>
                <w:noProof w:val="0"/>
                <w:color w:val="FFFFFF"/>
              </w:rPr>
            </w:pPr>
            <w:r w:rsidRPr="00261B7A">
              <w:rPr>
                <w:noProof w:val="0"/>
                <w:color w:val="FFFFFF"/>
              </w:rPr>
              <w:t>Charge for heavy trucks (g)</w:t>
            </w:r>
          </w:p>
        </w:tc>
        <w:tc>
          <w:tcPr>
            <w:tcW w:w="2699" w:type="dxa"/>
            <w:shd w:val="clear" w:color="auto" w:fill="1B556B"/>
            <w:hideMark/>
          </w:tcPr>
          <w:p w14:paraId="6ADB1C4C" w14:textId="77777777" w:rsidR="008A4F47" w:rsidRPr="00261B7A" w:rsidRDefault="008A4F47" w:rsidP="00D41492">
            <w:pPr>
              <w:pStyle w:val="TableTextBold"/>
              <w:spacing w:before="50" w:after="50"/>
              <w:rPr>
                <w:noProof w:val="0"/>
                <w:color w:val="FFFFFF"/>
              </w:rPr>
            </w:pPr>
            <w:r w:rsidRPr="00261B7A">
              <w:rPr>
                <w:noProof w:val="0"/>
                <w:color w:val="FFFFFF"/>
              </w:rPr>
              <w:t>Charge for buses (g)</w:t>
            </w:r>
          </w:p>
        </w:tc>
      </w:tr>
      <w:tr w:rsidR="008A4F47" w:rsidRPr="00261B7A" w14:paraId="0F0AA33B" w14:textId="77777777" w:rsidTr="00D41492">
        <w:tc>
          <w:tcPr>
            <w:tcW w:w="2540" w:type="dxa"/>
            <w:shd w:val="clear" w:color="auto" w:fill="FFFFFF"/>
            <w:hideMark/>
          </w:tcPr>
          <w:p w14:paraId="1E43FDC3" w14:textId="77777777" w:rsidR="008A4F47" w:rsidRPr="00261B7A" w:rsidRDefault="008A4F47" w:rsidP="00D41492">
            <w:pPr>
              <w:pStyle w:val="TableText"/>
              <w:spacing w:before="50" w:after="50"/>
            </w:pPr>
            <w:r w:rsidRPr="00261B7A">
              <w:t>600</w:t>
            </w:r>
          </w:p>
        </w:tc>
        <w:tc>
          <w:tcPr>
            <w:tcW w:w="2699" w:type="dxa"/>
            <w:shd w:val="clear" w:color="auto" w:fill="FFFFFF"/>
            <w:hideMark/>
          </w:tcPr>
          <w:p w14:paraId="316AE281" w14:textId="77777777" w:rsidR="008A4F47" w:rsidRPr="00261B7A" w:rsidRDefault="008A4F47" w:rsidP="00D41492">
            <w:pPr>
              <w:pStyle w:val="TableText"/>
              <w:spacing w:before="50" w:after="50"/>
            </w:pPr>
            <w:r w:rsidRPr="00261B7A">
              <w:t>800</w:t>
            </w:r>
          </w:p>
        </w:tc>
        <w:tc>
          <w:tcPr>
            <w:tcW w:w="2699" w:type="dxa"/>
            <w:shd w:val="clear" w:color="auto" w:fill="FFFFFF"/>
            <w:hideMark/>
          </w:tcPr>
          <w:p w14:paraId="6C803F55" w14:textId="77777777" w:rsidR="008A4F47" w:rsidRPr="00261B7A" w:rsidRDefault="008A4F47" w:rsidP="00D41492">
            <w:pPr>
              <w:pStyle w:val="TableText"/>
              <w:spacing w:before="50" w:after="50"/>
            </w:pPr>
            <w:r w:rsidRPr="00261B7A">
              <w:t>4,000</w:t>
            </w:r>
          </w:p>
        </w:tc>
      </w:tr>
    </w:tbl>
    <w:p w14:paraId="2624D1F2" w14:textId="77777777" w:rsidR="008A4F47" w:rsidRPr="00261B7A" w:rsidRDefault="008A4F47" w:rsidP="008A4F47">
      <w:pPr>
        <w:pStyle w:val="BodyText"/>
        <w:spacing w:before="240"/>
      </w:pPr>
      <w:r w:rsidRPr="00261B7A">
        <w:t xml:space="preserve">These amounts were higher in earlier years, with the charge in a car air conditioner at approximately 700 grams in 2000. New Zealand imports a wide variety of vehicles, many of them used cars, and it is not feasible to obtain accurate and up-to-date statistics on their refrigerant charge. Based on this earlier trend, the average charges in new vehicles added to the fleet are assessed to reduce by 2.0 per cent per year for 2010 to 2021. Discussion with importers in 2018 indicated that the ongoing trend to reduce these charges has continued (Verum Group, unpublished). </w:t>
      </w:r>
    </w:p>
    <w:p w14:paraId="6D96FDA3" w14:textId="77777777" w:rsidR="008A4F47" w:rsidRPr="00261B7A" w:rsidRDefault="008A4F47" w:rsidP="008A4F47">
      <w:pPr>
        <w:pStyle w:val="Heading5"/>
      </w:pPr>
      <w:r w:rsidRPr="00261B7A">
        <w:t>Foam blowing agents (2.F.2)</w:t>
      </w:r>
    </w:p>
    <w:p w14:paraId="548D566B" w14:textId="77777777" w:rsidR="008A4F47" w:rsidRPr="00261B7A" w:rsidRDefault="008A4F47" w:rsidP="008A4F47">
      <w:pPr>
        <w:pStyle w:val="BodyText"/>
      </w:pPr>
      <w:r w:rsidRPr="00261B7A">
        <w:t xml:space="preserve">Only closed-cell foams are produced in New Zealand. Companies importing and using HFCs for foam blowing have provided data on the gas imported and used in response to the annual survey. Survey data indicated increasing use of commercial HFC mixes up to 2019. During 2020 and 2021 foam companies have moved to the increasing use of hydrofluoroolefin (HFO) blowing agents. Small quantities of HFC-245fa are estimated to be contained in insulating foam in refrigerators and freezers that are imported from Mexico and the United States of America. Imported items from other source countries are unlikely to contain HFCs. </w:t>
      </w:r>
    </w:p>
    <w:p w14:paraId="4D39189E" w14:textId="77777777" w:rsidR="008A4F47" w:rsidRPr="00261B7A" w:rsidRDefault="008A4F47" w:rsidP="008A4F47">
      <w:pPr>
        <w:pStyle w:val="Heading5"/>
      </w:pPr>
      <w:r w:rsidRPr="00261B7A">
        <w:t>Fire protection (2.F.3)</w:t>
      </w:r>
    </w:p>
    <w:p w14:paraId="227245C2" w14:textId="77777777" w:rsidR="008A4F47" w:rsidRPr="00261B7A" w:rsidRDefault="008A4F47" w:rsidP="008A4F47">
      <w:pPr>
        <w:pStyle w:val="BodyText"/>
      </w:pPr>
      <w:r w:rsidRPr="00261B7A">
        <w:t>Three companies in New Zealand have imported and supplied fire protection equipment that contains HFC</w:t>
      </w:r>
      <w:r w:rsidRPr="00261B7A">
        <w:noBreakHyphen/>
        <w:t xml:space="preserve">227ea, with two other firms installing small amounts in marine fire protection systems. This gas has been used since 1994 as a substitute for ODS. No other HFCs or PFCs are used. The companies have provided data on the amount imported in equipment in response to the annual survey. There have been no new installations in 2020 or 2021. Current stocks and recovered chemical are used to replace leakage. </w:t>
      </w:r>
    </w:p>
    <w:p w14:paraId="14EAED95" w14:textId="77777777" w:rsidR="008A4F47" w:rsidRPr="00261B7A" w:rsidRDefault="008A4F47" w:rsidP="008A4F47">
      <w:pPr>
        <w:pStyle w:val="Heading5"/>
      </w:pPr>
      <w:r w:rsidRPr="00261B7A">
        <w:t>Aerosols (2.F.4)</w:t>
      </w:r>
    </w:p>
    <w:p w14:paraId="13A93942" w14:textId="77777777" w:rsidR="008A4F47" w:rsidRPr="00261B7A" w:rsidRDefault="008A4F47" w:rsidP="008A4F47">
      <w:pPr>
        <w:pStyle w:val="BodyText"/>
      </w:pPr>
      <w:r w:rsidRPr="00261B7A">
        <w:t xml:space="preserve">Most of the HFC use and emissions in this category are for medical use in metered dose inhalers (MDIs). MDIs that use HFC-134a were introduced in 1995, and all MDIs sold in New Zealand from 2012, if they have used any propellant, have used HFCs. Most of the MDIs imported and sold in New Zealand contain either 200 or 120 doses and either 15 grams or 9.5 grams of HFC-134a propellant per inhaler. A small proportion use HFC-227ea. Also, approximately 12.0 per cent of MDIs now sold do not use a propellant at all. </w:t>
      </w:r>
    </w:p>
    <w:p w14:paraId="5E06616E" w14:textId="77777777" w:rsidR="008A4F47" w:rsidRPr="00261B7A" w:rsidRDefault="008A4F47" w:rsidP="008A4F47">
      <w:pPr>
        <w:pStyle w:val="BodyText"/>
        <w:spacing w:after="100"/>
      </w:pPr>
      <w:r w:rsidRPr="00261B7A">
        <w:t xml:space="preserve">All MDIs used in New Zealand are imported. Pharmac supplies annual data on the sales of MDIs, measured as millions of doses for HFC and non-propellant inhalers. </w:t>
      </w:r>
    </w:p>
    <w:p w14:paraId="35D4AB9A" w14:textId="77777777" w:rsidR="008A4F47" w:rsidRPr="00261B7A" w:rsidRDefault="008A4F47" w:rsidP="008A4F47">
      <w:pPr>
        <w:pStyle w:val="BodyText"/>
        <w:spacing w:after="100"/>
      </w:pPr>
      <w:r w:rsidRPr="00261B7A">
        <w:t xml:space="preserve">An approximate weighted average is used to estimate emissions per dose for each propellant. This average amount of propellant per dose has changed over time due to a changing mix of inhaler types (120 and 200 dose inhalers) as shown in table 4.7.2. </w:t>
      </w:r>
    </w:p>
    <w:p w14:paraId="3AC80957" w14:textId="77777777" w:rsidR="008A4F47" w:rsidRPr="00261B7A" w:rsidRDefault="008A4F47" w:rsidP="008A4F47">
      <w:pPr>
        <w:pStyle w:val="Table"/>
      </w:pPr>
      <w:bookmarkStart w:id="570" w:name="_Toc128042760"/>
      <w:bookmarkStart w:id="571" w:name="_Toc131591340"/>
      <w:r w:rsidRPr="00261B7A">
        <w:t>Table 4.7.2</w:t>
      </w:r>
      <w:r w:rsidRPr="00261B7A">
        <w:tab/>
        <w:t>Average emissions per dose in metered dose inhalers (milligrams)</w:t>
      </w:r>
      <w:bookmarkEnd w:id="570"/>
      <w:bookmarkEnd w:id="571"/>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721"/>
        <w:gridCol w:w="2892"/>
        <w:gridCol w:w="2892"/>
      </w:tblGrid>
      <w:tr w:rsidR="008A4F47" w:rsidRPr="00261B7A" w14:paraId="3F84EAD2" w14:textId="77777777" w:rsidTr="00D41492">
        <w:tc>
          <w:tcPr>
            <w:tcW w:w="2540" w:type="dxa"/>
            <w:shd w:val="clear" w:color="auto" w:fill="1B556B"/>
            <w:hideMark/>
          </w:tcPr>
          <w:p w14:paraId="271B12A4" w14:textId="77777777" w:rsidR="008A4F47" w:rsidRPr="00261B7A" w:rsidRDefault="008A4F47" w:rsidP="00D41492">
            <w:pPr>
              <w:pStyle w:val="TableTextBold"/>
              <w:spacing w:before="50" w:after="50"/>
              <w:rPr>
                <w:noProof w:val="0"/>
                <w:color w:val="FFFFFF"/>
              </w:rPr>
            </w:pPr>
            <w:r w:rsidRPr="00261B7A">
              <w:rPr>
                <w:noProof w:val="0"/>
                <w:color w:val="FFFFFF"/>
              </w:rPr>
              <w:t>Propellant</w:t>
            </w:r>
          </w:p>
        </w:tc>
        <w:tc>
          <w:tcPr>
            <w:tcW w:w="2699" w:type="dxa"/>
            <w:shd w:val="clear" w:color="auto" w:fill="1B556B"/>
            <w:hideMark/>
          </w:tcPr>
          <w:p w14:paraId="54A6F4B8" w14:textId="77777777" w:rsidR="008A4F47" w:rsidRPr="00261B7A" w:rsidRDefault="008A4F47" w:rsidP="00D41492">
            <w:pPr>
              <w:pStyle w:val="TableTextBold"/>
              <w:spacing w:before="50" w:after="50"/>
              <w:rPr>
                <w:noProof w:val="0"/>
                <w:color w:val="FFFFFF"/>
              </w:rPr>
            </w:pPr>
            <w:r w:rsidRPr="00261B7A">
              <w:rPr>
                <w:noProof w:val="0"/>
                <w:color w:val="FFFFFF"/>
              </w:rPr>
              <w:t>Inhalers using HFC-134a</w:t>
            </w:r>
          </w:p>
        </w:tc>
        <w:tc>
          <w:tcPr>
            <w:tcW w:w="2699" w:type="dxa"/>
            <w:shd w:val="clear" w:color="auto" w:fill="1B556B"/>
            <w:hideMark/>
          </w:tcPr>
          <w:p w14:paraId="24071A33" w14:textId="77777777" w:rsidR="008A4F47" w:rsidRPr="00261B7A" w:rsidRDefault="008A4F47" w:rsidP="00D41492">
            <w:pPr>
              <w:pStyle w:val="TableTextBold"/>
              <w:spacing w:before="50" w:after="50"/>
              <w:rPr>
                <w:noProof w:val="0"/>
                <w:color w:val="FFFFFF"/>
              </w:rPr>
            </w:pPr>
            <w:r w:rsidRPr="00261B7A">
              <w:rPr>
                <w:noProof w:val="0"/>
                <w:color w:val="FFFFFF"/>
              </w:rPr>
              <w:t>Inhalers using HFC-227ea</w:t>
            </w:r>
          </w:p>
        </w:tc>
      </w:tr>
      <w:tr w:rsidR="008A4F47" w:rsidRPr="00261B7A" w14:paraId="18D41C23" w14:textId="77777777" w:rsidTr="00D41492">
        <w:tc>
          <w:tcPr>
            <w:tcW w:w="2540" w:type="dxa"/>
            <w:shd w:val="clear" w:color="auto" w:fill="FFFFFF"/>
            <w:hideMark/>
          </w:tcPr>
          <w:p w14:paraId="69316163" w14:textId="77777777" w:rsidR="008A4F47" w:rsidRPr="00261B7A" w:rsidRDefault="008A4F47" w:rsidP="00D41492">
            <w:pPr>
              <w:pStyle w:val="TableText"/>
              <w:spacing w:before="50" w:after="50"/>
            </w:pPr>
            <w:r w:rsidRPr="00261B7A">
              <w:t>1995–2015</w:t>
            </w:r>
          </w:p>
        </w:tc>
        <w:tc>
          <w:tcPr>
            <w:tcW w:w="2699" w:type="dxa"/>
            <w:shd w:val="clear" w:color="auto" w:fill="FFFFFF"/>
            <w:hideMark/>
          </w:tcPr>
          <w:p w14:paraId="267210C5" w14:textId="77777777" w:rsidR="008A4F47" w:rsidRPr="00261B7A" w:rsidRDefault="008A4F47" w:rsidP="00D41492">
            <w:pPr>
              <w:pStyle w:val="TableText"/>
              <w:spacing w:before="50" w:after="50"/>
            </w:pPr>
            <w:r w:rsidRPr="00261B7A">
              <w:t>81.4</w:t>
            </w:r>
          </w:p>
        </w:tc>
        <w:tc>
          <w:tcPr>
            <w:tcW w:w="2699" w:type="dxa"/>
            <w:shd w:val="clear" w:color="auto" w:fill="FFFFFF"/>
            <w:hideMark/>
          </w:tcPr>
          <w:p w14:paraId="00FA2E6F" w14:textId="77777777" w:rsidR="008A4F47" w:rsidRPr="00261B7A" w:rsidRDefault="008A4F47" w:rsidP="00D41492">
            <w:pPr>
              <w:pStyle w:val="TableText"/>
              <w:spacing w:before="50" w:after="50"/>
            </w:pPr>
            <w:r w:rsidRPr="00261B7A">
              <w:t>66.9</w:t>
            </w:r>
          </w:p>
        </w:tc>
      </w:tr>
      <w:tr w:rsidR="008A4F47" w:rsidRPr="00261B7A" w14:paraId="128150B9" w14:textId="77777777" w:rsidTr="00D41492">
        <w:tc>
          <w:tcPr>
            <w:tcW w:w="2540" w:type="dxa"/>
            <w:shd w:val="clear" w:color="auto" w:fill="FFFFFF"/>
          </w:tcPr>
          <w:p w14:paraId="1C482CF5" w14:textId="77777777" w:rsidR="008A4F47" w:rsidRPr="00261B7A" w:rsidRDefault="008A4F47" w:rsidP="00D41492">
            <w:pPr>
              <w:pStyle w:val="TableText"/>
              <w:spacing w:before="50" w:after="50"/>
            </w:pPr>
            <w:r w:rsidRPr="00261B7A">
              <w:t>2016</w:t>
            </w:r>
          </w:p>
        </w:tc>
        <w:tc>
          <w:tcPr>
            <w:tcW w:w="2699" w:type="dxa"/>
            <w:shd w:val="clear" w:color="auto" w:fill="FFFFFF"/>
          </w:tcPr>
          <w:p w14:paraId="17F16180" w14:textId="77777777" w:rsidR="008A4F47" w:rsidRPr="00261B7A" w:rsidRDefault="008A4F47" w:rsidP="00D41492">
            <w:pPr>
              <w:pStyle w:val="TableText"/>
              <w:spacing w:before="50" w:after="50"/>
            </w:pPr>
            <w:r w:rsidRPr="00261B7A">
              <w:t>80.2</w:t>
            </w:r>
          </w:p>
        </w:tc>
        <w:tc>
          <w:tcPr>
            <w:tcW w:w="2699" w:type="dxa"/>
            <w:shd w:val="clear" w:color="auto" w:fill="FFFFFF"/>
          </w:tcPr>
          <w:p w14:paraId="223626F5" w14:textId="77777777" w:rsidR="008A4F47" w:rsidRPr="00261B7A" w:rsidRDefault="008A4F47" w:rsidP="00D41492">
            <w:pPr>
              <w:pStyle w:val="TableText"/>
              <w:spacing w:before="50" w:after="50"/>
            </w:pPr>
            <w:r w:rsidRPr="00261B7A">
              <w:t>68.1</w:t>
            </w:r>
          </w:p>
        </w:tc>
      </w:tr>
      <w:tr w:rsidR="008A4F47" w:rsidRPr="00261B7A" w14:paraId="6EAD0FFC" w14:textId="77777777" w:rsidTr="00D41492">
        <w:tc>
          <w:tcPr>
            <w:tcW w:w="2540" w:type="dxa"/>
            <w:shd w:val="clear" w:color="auto" w:fill="FFFFFF"/>
          </w:tcPr>
          <w:p w14:paraId="06027E86" w14:textId="77777777" w:rsidR="008A4F47" w:rsidRPr="00261B7A" w:rsidRDefault="008A4F47" w:rsidP="00D41492">
            <w:pPr>
              <w:pStyle w:val="TableText"/>
              <w:spacing w:before="50" w:after="50"/>
            </w:pPr>
            <w:r w:rsidRPr="00261B7A">
              <w:t>2017</w:t>
            </w:r>
          </w:p>
        </w:tc>
        <w:tc>
          <w:tcPr>
            <w:tcW w:w="2699" w:type="dxa"/>
            <w:shd w:val="clear" w:color="auto" w:fill="FFFFFF"/>
          </w:tcPr>
          <w:p w14:paraId="28BC8414" w14:textId="77777777" w:rsidR="008A4F47" w:rsidRPr="00261B7A" w:rsidRDefault="008A4F47" w:rsidP="00D41492">
            <w:pPr>
              <w:pStyle w:val="TableText"/>
              <w:spacing w:before="50" w:after="50"/>
            </w:pPr>
            <w:r w:rsidRPr="00261B7A">
              <w:t>79.5</w:t>
            </w:r>
          </w:p>
        </w:tc>
        <w:tc>
          <w:tcPr>
            <w:tcW w:w="2699" w:type="dxa"/>
            <w:shd w:val="clear" w:color="auto" w:fill="FFFFFF"/>
          </w:tcPr>
          <w:p w14:paraId="6323C798" w14:textId="77777777" w:rsidR="008A4F47" w:rsidRPr="00261B7A" w:rsidRDefault="008A4F47" w:rsidP="00D41492">
            <w:pPr>
              <w:pStyle w:val="TableText"/>
              <w:spacing w:before="50" w:after="50"/>
            </w:pPr>
            <w:r w:rsidRPr="00261B7A">
              <w:t>68.5</w:t>
            </w:r>
          </w:p>
        </w:tc>
      </w:tr>
      <w:tr w:rsidR="008A4F47" w:rsidRPr="00261B7A" w14:paraId="2BC4ABDE" w14:textId="77777777" w:rsidTr="00D41492">
        <w:tc>
          <w:tcPr>
            <w:tcW w:w="2540" w:type="dxa"/>
            <w:shd w:val="clear" w:color="auto" w:fill="FFFFFF"/>
          </w:tcPr>
          <w:p w14:paraId="004B1F27" w14:textId="77777777" w:rsidR="008A4F47" w:rsidRPr="00261B7A" w:rsidRDefault="008A4F47" w:rsidP="00D41492">
            <w:pPr>
              <w:pStyle w:val="TableText"/>
              <w:spacing w:before="50" w:after="50"/>
            </w:pPr>
            <w:r w:rsidRPr="00261B7A">
              <w:t>2018</w:t>
            </w:r>
          </w:p>
        </w:tc>
        <w:tc>
          <w:tcPr>
            <w:tcW w:w="2699" w:type="dxa"/>
            <w:shd w:val="clear" w:color="auto" w:fill="FFFFFF"/>
          </w:tcPr>
          <w:p w14:paraId="5CF6BE28" w14:textId="77777777" w:rsidR="008A4F47" w:rsidRPr="00261B7A" w:rsidRDefault="008A4F47" w:rsidP="00D41492">
            <w:pPr>
              <w:pStyle w:val="TableText"/>
              <w:spacing w:before="50" w:after="50"/>
            </w:pPr>
            <w:r w:rsidRPr="00261B7A">
              <w:t>78.3</w:t>
            </w:r>
          </w:p>
        </w:tc>
        <w:tc>
          <w:tcPr>
            <w:tcW w:w="2699" w:type="dxa"/>
            <w:shd w:val="clear" w:color="auto" w:fill="FFFFFF"/>
          </w:tcPr>
          <w:p w14:paraId="00E9FE12" w14:textId="77777777" w:rsidR="008A4F47" w:rsidRPr="00261B7A" w:rsidRDefault="008A4F47" w:rsidP="00D41492">
            <w:pPr>
              <w:pStyle w:val="TableText"/>
              <w:spacing w:before="50" w:after="50"/>
            </w:pPr>
            <w:r w:rsidRPr="00261B7A">
              <w:t>70.3</w:t>
            </w:r>
          </w:p>
        </w:tc>
      </w:tr>
      <w:tr w:rsidR="008A4F47" w:rsidRPr="00261B7A" w14:paraId="7191297A" w14:textId="77777777" w:rsidTr="00D41492">
        <w:tc>
          <w:tcPr>
            <w:tcW w:w="2540" w:type="dxa"/>
            <w:shd w:val="clear" w:color="auto" w:fill="FFFFFF"/>
          </w:tcPr>
          <w:p w14:paraId="33022763" w14:textId="77777777" w:rsidR="008A4F47" w:rsidRPr="00261B7A" w:rsidRDefault="008A4F47" w:rsidP="00D41492">
            <w:pPr>
              <w:pStyle w:val="TableText"/>
              <w:spacing w:before="50" w:after="50"/>
            </w:pPr>
            <w:r w:rsidRPr="00261B7A">
              <w:t>2019</w:t>
            </w:r>
          </w:p>
        </w:tc>
        <w:tc>
          <w:tcPr>
            <w:tcW w:w="2699" w:type="dxa"/>
            <w:shd w:val="clear" w:color="auto" w:fill="FFFFFF"/>
          </w:tcPr>
          <w:p w14:paraId="74ADC7BB" w14:textId="77777777" w:rsidR="008A4F47" w:rsidRPr="00261B7A" w:rsidRDefault="008A4F47" w:rsidP="00D41492">
            <w:pPr>
              <w:pStyle w:val="TableText"/>
              <w:spacing w:before="50" w:after="50"/>
            </w:pPr>
            <w:r w:rsidRPr="00261B7A">
              <w:t>77.9</w:t>
            </w:r>
          </w:p>
        </w:tc>
        <w:tc>
          <w:tcPr>
            <w:tcW w:w="2699" w:type="dxa"/>
            <w:shd w:val="clear" w:color="auto" w:fill="FFFFFF"/>
          </w:tcPr>
          <w:p w14:paraId="49D4536C" w14:textId="77777777" w:rsidR="008A4F47" w:rsidRPr="00261B7A" w:rsidRDefault="008A4F47" w:rsidP="00D41492">
            <w:pPr>
              <w:pStyle w:val="TableText"/>
              <w:spacing w:before="50" w:after="50"/>
            </w:pPr>
            <w:r w:rsidRPr="00261B7A">
              <w:t>73.5</w:t>
            </w:r>
          </w:p>
        </w:tc>
      </w:tr>
      <w:tr w:rsidR="008A4F47" w:rsidRPr="00261B7A" w14:paraId="2B56FE85" w14:textId="77777777" w:rsidTr="00D41492">
        <w:tc>
          <w:tcPr>
            <w:tcW w:w="2540" w:type="dxa"/>
            <w:shd w:val="clear" w:color="auto" w:fill="FFFFFF"/>
          </w:tcPr>
          <w:p w14:paraId="68F125F4" w14:textId="77777777" w:rsidR="008A4F47" w:rsidRPr="00261B7A" w:rsidRDefault="008A4F47" w:rsidP="00D41492">
            <w:pPr>
              <w:pStyle w:val="TableText"/>
              <w:spacing w:before="50" w:after="50"/>
            </w:pPr>
            <w:r w:rsidRPr="00261B7A">
              <w:t>2020</w:t>
            </w:r>
          </w:p>
        </w:tc>
        <w:tc>
          <w:tcPr>
            <w:tcW w:w="2699" w:type="dxa"/>
            <w:shd w:val="clear" w:color="auto" w:fill="FFFFFF"/>
          </w:tcPr>
          <w:p w14:paraId="0649EC91" w14:textId="77777777" w:rsidR="008A4F47" w:rsidRPr="00261B7A" w:rsidRDefault="008A4F47" w:rsidP="00D41492">
            <w:pPr>
              <w:pStyle w:val="TableText"/>
              <w:spacing w:before="50" w:after="50"/>
            </w:pPr>
            <w:r w:rsidRPr="00261B7A">
              <w:t>77.5</w:t>
            </w:r>
          </w:p>
        </w:tc>
        <w:tc>
          <w:tcPr>
            <w:tcW w:w="2699" w:type="dxa"/>
            <w:shd w:val="clear" w:color="auto" w:fill="FFFFFF"/>
          </w:tcPr>
          <w:p w14:paraId="5D0531DE" w14:textId="77777777" w:rsidR="008A4F47" w:rsidRPr="00261B7A" w:rsidRDefault="008A4F47" w:rsidP="00D41492">
            <w:pPr>
              <w:pStyle w:val="TableText"/>
              <w:spacing w:before="50" w:after="50"/>
            </w:pPr>
            <w:r w:rsidRPr="00261B7A">
              <w:t>83.2</w:t>
            </w:r>
          </w:p>
        </w:tc>
      </w:tr>
      <w:tr w:rsidR="008A4F47" w:rsidRPr="00261B7A" w14:paraId="74BF8A78" w14:textId="77777777" w:rsidTr="00D41492">
        <w:tc>
          <w:tcPr>
            <w:tcW w:w="2540" w:type="dxa"/>
            <w:shd w:val="clear" w:color="auto" w:fill="FFFFFF"/>
          </w:tcPr>
          <w:p w14:paraId="436F0B3C" w14:textId="77777777" w:rsidR="008A4F47" w:rsidRPr="00261B7A" w:rsidRDefault="008A4F47" w:rsidP="00D41492">
            <w:pPr>
              <w:pStyle w:val="TableText"/>
              <w:spacing w:before="50" w:after="50"/>
            </w:pPr>
            <w:r w:rsidRPr="00261B7A">
              <w:t>2021</w:t>
            </w:r>
          </w:p>
        </w:tc>
        <w:tc>
          <w:tcPr>
            <w:tcW w:w="2699" w:type="dxa"/>
            <w:shd w:val="clear" w:color="auto" w:fill="FFFFFF"/>
          </w:tcPr>
          <w:p w14:paraId="160ECB40" w14:textId="77777777" w:rsidR="008A4F47" w:rsidRPr="00261B7A" w:rsidRDefault="008A4F47" w:rsidP="00D41492">
            <w:pPr>
              <w:pStyle w:val="TableText"/>
              <w:spacing w:before="50" w:after="50"/>
            </w:pPr>
            <w:r w:rsidRPr="00261B7A">
              <w:t>76.9</w:t>
            </w:r>
          </w:p>
        </w:tc>
        <w:tc>
          <w:tcPr>
            <w:tcW w:w="2699" w:type="dxa"/>
            <w:shd w:val="clear" w:color="auto" w:fill="FFFFFF"/>
          </w:tcPr>
          <w:p w14:paraId="5098108B" w14:textId="77777777" w:rsidR="008A4F47" w:rsidRPr="00261B7A" w:rsidRDefault="008A4F47" w:rsidP="00D41492">
            <w:pPr>
              <w:pStyle w:val="TableText"/>
              <w:spacing w:before="50" w:after="50"/>
            </w:pPr>
            <w:r w:rsidRPr="00261B7A">
              <w:t>87.8</w:t>
            </w:r>
          </w:p>
        </w:tc>
      </w:tr>
    </w:tbl>
    <w:p w14:paraId="733025F6" w14:textId="77777777" w:rsidR="008A4F47" w:rsidRPr="00261B7A" w:rsidRDefault="008A4F47" w:rsidP="008A4F47">
      <w:pPr>
        <w:pStyle w:val="BodyText"/>
        <w:spacing w:before="240" w:after="100"/>
      </w:pPr>
      <w:r w:rsidRPr="00261B7A">
        <w:t xml:space="preserve">HFC-134a is the predominant HFC propellant used in non-medical aerosols in New Zealand. A small amount of HFC-152a has been used from 2015. A very small amount of HFC-43-10mee was reported in 2020 and 2021, mixed with HFC-134a in a specialised aerosol product. </w:t>
      </w:r>
    </w:p>
    <w:p w14:paraId="192D3EB0" w14:textId="77777777" w:rsidR="008A4F47" w:rsidRPr="00261B7A" w:rsidRDefault="008A4F47" w:rsidP="008A4F47">
      <w:pPr>
        <w:pStyle w:val="BodyText"/>
        <w:spacing w:after="100"/>
      </w:pPr>
      <w:r w:rsidRPr="00261B7A">
        <w:t xml:space="preserve">All non-MDI aerosols used in New Zealand now are imported, with the propellant charge already in place. Up until 2014, one company loaded specialised aerosols in New Zealand with HFC-134a as the propellant. This activity is no longer carried out. </w:t>
      </w:r>
    </w:p>
    <w:p w14:paraId="77CAA433" w14:textId="77777777" w:rsidR="008A4F47" w:rsidRPr="00261B7A" w:rsidRDefault="008A4F47" w:rsidP="008A4F47">
      <w:pPr>
        <w:pStyle w:val="BodyText"/>
        <w:spacing w:after="100"/>
      </w:pPr>
      <w:r w:rsidRPr="00261B7A">
        <w:t xml:space="preserve">Nearly </w:t>
      </w:r>
      <w:r w:rsidRPr="00261B7A" w:rsidDel="00C00B8E">
        <w:t>all</w:t>
      </w:r>
      <w:r w:rsidRPr="00261B7A">
        <w:t xml:space="preserve"> the aerosol cans that are imported and sold in New Zealand use hydrocarbon propellants, while only a few specialised applications use HFCs. </w:t>
      </w:r>
    </w:p>
    <w:p w14:paraId="340A368F" w14:textId="77777777" w:rsidR="008A4F47" w:rsidRPr="00261B7A" w:rsidRDefault="008A4F47" w:rsidP="008A4F47">
      <w:pPr>
        <w:pStyle w:val="BodyText"/>
        <w:spacing w:after="100"/>
      </w:pPr>
      <w:r w:rsidRPr="00261B7A">
        <w:t>Information on the importation, manufacture and use of non-MDI aerosol products has been sourced from the survey data supplied by importers, from the one New Zealand aerosol manufacturer that previously used HFC</w:t>
      </w:r>
      <w:r w:rsidRPr="00261B7A">
        <w:noBreakHyphen/>
        <w:t xml:space="preserve">134a and from their industry association. </w:t>
      </w:r>
    </w:p>
    <w:p w14:paraId="06DBD382" w14:textId="77777777" w:rsidR="008A4F47" w:rsidRPr="00261B7A" w:rsidRDefault="008A4F47" w:rsidP="008A4F47">
      <w:pPr>
        <w:pStyle w:val="BodyText"/>
        <w:spacing w:after="100"/>
      </w:pPr>
      <w:r w:rsidRPr="00261B7A">
        <w:t xml:space="preserve">Import data – regardless of the source – are not complete or reliable because the aerosol market is diffuse and the available data do not clearly distinguish aerosols that contain HFCs from the much greater number containing hydrocarbons. </w:t>
      </w:r>
    </w:p>
    <w:p w14:paraId="3A4DE79C" w14:textId="77777777" w:rsidR="008A4F47" w:rsidRPr="00261B7A" w:rsidRDefault="008A4F47" w:rsidP="008A4F47">
      <w:pPr>
        <w:pStyle w:val="BodyText"/>
        <w:spacing w:after="100"/>
      </w:pPr>
      <w:r w:rsidRPr="00261B7A">
        <w:t xml:space="preserve">Survey data have provided some incomplete estimates of imports containing HFCs; for example, they accounted for 6.6 tonnes of HFC-134a in 2006. By combining this information with data from the New Zealand manufacturer, an assessment has been made of the proportions of HFC-134a in aerosol products sold in New Zealand: </w:t>
      </w:r>
    </w:p>
    <w:p w14:paraId="59BB2D27" w14:textId="77777777" w:rsidR="008A4F47" w:rsidRPr="00261B7A" w:rsidRDefault="008A4F47" w:rsidP="008A4F47">
      <w:pPr>
        <w:pStyle w:val="Bullet"/>
        <w:spacing w:after="100"/>
      </w:pPr>
      <w:r w:rsidRPr="00261B7A">
        <w:t xml:space="preserve">zero from 1990 to 1995, when HFC propellant had not yet been introduced </w:t>
      </w:r>
    </w:p>
    <w:p w14:paraId="7CC01711" w14:textId="77777777" w:rsidR="008A4F47" w:rsidRPr="00261B7A" w:rsidRDefault="008A4F47" w:rsidP="008A4F47">
      <w:pPr>
        <w:pStyle w:val="Bullet"/>
        <w:spacing w:after="100"/>
      </w:pPr>
      <w:r w:rsidRPr="00261B7A">
        <w:t xml:space="preserve">phased in from 1996 to 2000, reaching 1 per cent in 2000 </w:t>
      </w:r>
    </w:p>
    <w:p w14:paraId="7041E893" w14:textId="77777777" w:rsidR="008A4F47" w:rsidRPr="00261B7A" w:rsidRDefault="008A4F47" w:rsidP="008A4F47">
      <w:pPr>
        <w:pStyle w:val="Bullet"/>
        <w:spacing w:after="100"/>
      </w:pPr>
      <w:r w:rsidRPr="00261B7A">
        <w:t>1 per cent (approximately 17 tonnes of HFC-134a annually) from 2001 to 2016</w:t>
      </w:r>
    </w:p>
    <w:p w14:paraId="2B8443EB" w14:textId="77777777" w:rsidR="008A4F47" w:rsidRPr="00261B7A" w:rsidRDefault="008A4F47" w:rsidP="008A4F47">
      <w:pPr>
        <w:pStyle w:val="Bullet"/>
        <w:spacing w:after="100"/>
      </w:pPr>
      <w:r w:rsidRPr="00261B7A">
        <w:t>phasing down by 0.1 per cent each year from 2017 to 2019, driven by introduction of HFOs</w:t>
      </w:r>
    </w:p>
    <w:p w14:paraId="0C2E533C" w14:textId="77777777" w:rsidR="008A4F47" w:rsidRPr="00261B7A" w:rsidRDefault="008A4F47" w:rsidP="008A4F47">
      <w:pPr>
        <w:pStyle w:val="Bullet"/>
        <w:spacing w:after="100"/>
      </w:pPr>
      <w:r w:rsidRPr="00261B7A">
        <w:t>remaining at 0.7 per cent for 2020</w:t>
      </w:r>
    </w:p>
    <w:p w14:paraId="683BD580" w14:textId="77777777" w:rsidR="008A4F47" w:rsidRPr="00261B7A" w:rsidRDefault="008A4F47" w:rsidP="008A4F47">
      <w:pPr>
        <w:pStyle w:val="Bullet"/>
        <w:spacing w:after="100"/>
      </w:pPr>
      <w:r w:rsidRPr="00261B7A">
        <w:t xml:space="preserve">0.6 per cent in 2021 due to a further increase in the use of HFOs. </w:t>
      </w:r>
    </w:p>
    <w:p w14:paraId="5A7A6BE3" w14:textId="77777777" w:rsidR="008A4F47" w:rsidRPr="00261B7A" w:rsidRDefault="008A4F47" w:rsidP="008A4F47">
      <w:pPr>
        <w:pStyle w:val="BodyText"/>
        <w:spacing w:after="100"/>
      </w:pPr>
      <w:r w:rsidRPr="00261B7A">
        <w:t>For all non-MDI aerosol products using HFC-134a as the propellant, the average propellant charge is assessed to be 84 grams.</w:t>
      </w:r>
    </w:p>
    <w:p w14:paraId="2589BBE2" w14:textId="77777777" w:rsidR="008A4F47" w:rsidRPr="00261B7A" w:rsidRDefault="008A4F47" w:rsidP="008A4F47">
      <w:pPr>
        <w:pStyle w:val="Heading4"/>
      </w:pPr>
      <w:r w:rsidRPr="00261B7A">
        <w:t>Choice of methods</w:t>
      </w:r>
    </w:p>
    <w:p w14:paraId="2FF98D77" w14:textId="77777777" w:rsidR="008A4F47" w:rsidRPr="00261B7A" w:rsidRDefault="008A4F47" w:rsidP="008A4F47">
      <w:pPr>
        <w:pStyle w:val="Heading5"/>
        <w:spacing w:before="120"/>
      </w:pPr>
      <w:r w:rsidRPr="00261B7A">
        <w:t>Refrigeration and air conditioning (2.F.1)</w:t>
      </w:r>
    </w:p>
    <w:p w14:paraId="13B4E932" w14:textId="77777777" w:rsidR="008A4F47" w:rsidRPr="00261B7A" w:rsidRDefault="008A4F47" w:rsidP="008A4F47">
      <w:pPr>
        <w:pStyle w:val="BodyText"/>
      </w:pPr>
      <w:r w:rsidRPr="00261B7A">
        <w:t xml:space="preserve">The Tier 2b mass balance approach is used to estimate emissions from the </w:t>
      </w:r>
      <w:r w:rsidRPr="00261B7A">
        <w:rPr>
          <w:i/>
        </w:rPr>
        <w:t>Refrigeration and air conditioning</w:t>
      </w:r>
      <w:r w:rsidRPr="00261B7A">
        <w:t xml:space="preserve"> category. This method is used because quite complete and accurate data are available on bulk imports of the refrigerants used for these applications. The alternative Tier 2a approach would require bottom-up data on the charges, leakage rates and population of a great variety of equipment items. This information is not available. </w:t>
      </w:r>
    </w:p>
    <w:p w14:paraId="1E62EA46" w14:textId="77777777" w:rsidR="008A4F47" w:rsidRPr="00261B7A" w:rsidRDefault="008A4F47" w:rsidP="008A4F47">
      <w:pPr>
        <w:pStyle w:val="BodyText"/>
      </w:pPr>
      <w:r w:rsidRPr="00261B7A">
        <w:t xml:space="preserve">Annual sales and the charge in new equipment are calculated as shown in box 7.3 in the 2006 IPCC Guidelines (IPCC, 2006a) (see box 4.1). Total charge of new equipment includes equipment that is later exported. </w:t>
      </w:r>
    </w:p>
    <w:p w14:paraId="53C2415E" w14:textId="77777777" w:rsidR="008A4F47" w:rsidRPr="00261B7A" w:rsidRDefault="008A4F47" w:rsidP="008A4F47">
      <w:pPr>
        <w:pStyle w:val="BodyText"/>
        <w:keepNext/>
        <w:rPr>
          <w:b/>
          <w:sz w:val="20"/>
        </w:rPr>
      </w:pPr>
      <w:r w:rsidRPr="00261B7A">
        <w:rPr>
          <w:rFonts w:cs="Arial"/>
          <w:b/>
          <w:i/>
          <w:sz w:val="18"/>
        </w:rPr>
        <w:t>Box 4.1</w:t>
      </w:r>
    </w:p>
    <w:p w14:paraId="5E5286FE" w14:textId="77777777" w:rsidR="008A4F47" w:rsidRPr="00261B7A" w:rsidRDefault="008A4F47" w:rsidP="008A4F47">
      <w:pPr>
        <w:pStyle w:val="BoxHeading"/>
        <w:keepNext/>
        <w:pBdr>
          <w:top w:val="single" w:sz="6" w:space="10" w:color="auto"/>
          <w:left w:val="single" w:sz="6" w:space="12" w:color="auto"/>
          <w:bottom w:val="single" w:sz="6" w:space="10" w:color="auto"/>
          <w:right w:val="single" w:sz="6" w:space="12" w:color="auto"/>
        </w:pBdr>
        <w:spacing w:after="120"/>
        <w:ind w:left="284"/>
        <w:jc w:val="center"/>
        <w:rPr>
          <w:sz w:val="18"/>
          <w:szCs w:val="18"/>
          <w:lang w:eastAsia="en-GB"/>
        </w:rPr>
      </w:pPr>
      <w:r w:rsidRPr="00261B7A">
        <w:rPr>
          <w:sz w:val="18"/>
          <w:szCs w:val="18"/>
          <w:lang w:eastAsia="en-GB"/>
        </w:rPr>
        <w:t>IPCC (2006a) first equation in box 7.3</w:t>
      </w:r>
    </w:p>
    <w:p w14:paraId="1F11A1EE" w14:textId="77777777" w:rsidR="008A4F47" w:rsidRPr="00261B7A" w:rsidRDefault="008A4F47" w:rsidP="008A4F47">
      <w:pPr>
        <w:pStyle w:val="Box"/>
        <w:keepNext/>
        <w:pBdr>
          <w:top w:val="single" w:sz="6" w:space="10" w:color="auto"/>
          <w:left w:val="single" w:sz="6" w:space="12" w:color="auto"/>
          <w:bottom w:val="single" w:sz="6" w:space="10" w:color="auto"/>
          <w:right w:val="single" w:sz="6" w:space="12" w:color="auto"/>
        </w:pBdr>
        <w:spacing w:after="100"/>
        <w:ind w:left="284"/>
        <w:rPr>
          <w:rFonts w:ascii="Cambria Math" w:hAnsi="Cambria Math"/>
          <w:b/>
          <w:sz w:val="18"/>
          <w:szCs w:val="18"/>
          <w:lang w:eastAsia="en-GB"/>
        </w:rPr>
      </w:pPr>
      <w:r w:rsidRPr="00261B7A">
        <w:rPr>
          <w:rFonts w:ascii="Cambria Math" w:hAnsi="Cambria Math"/>
          <w:b/>
          <w:sz w:val="18"/>
          <w:szCs w:val="18"/>
          <w:lang w:eastAsia="en-GB"/>
        </w:rPr>
        <w:t xml:space="preserve">Annual Sales of New Refrigerant </w:t>
      </w:r>
    </w:p>
    <w:p w14:paraId="027DF145" w14:textId="77777777" w:rsidR="008A4F47" w:rsidRPr="00261B7A" w:rsidRDefault="008A4F47" w:rsidP="008A4F47">
      <w:pPr>
        <w:pStyle w:val="Box"/>
        <w:pBdr>
          <w:top w:val="single" w:sz="6" w:space="10" w:color="auto"/>
          <w:left w:val="single" w:sz="6" w:space="12" w:color="auto"/>
          <w:bottom w:val="single" w:sz="6" w:space="10" w:color="auto"/>
          <w:right w:val="single" w:sz="6" w:space="12" w:color="auto"/>
        </w:pBdr>
        <w:spacing w:after="100"/>
        <w:ind w:left="284"/>
        <w:rPr>
          <w:rFonts w:ascii="Cambria Math" w:hAnsi="Cambria Math"/>
          <w:sz w:val="18"/>
          <w:szCs w:val="18"/>
          <w:lang w:eastAsia="en-GB"/>
        </w:rPr>
      </w:pPr>
      <w:r w:rsidRPr="00261B7A">
        <w:rPr>
          <w:rFonts w:ascii="Cambria Math" w:hAnsi="Cambria Math"/>
          <w:sz w:val="18"/>
          <w:szCs w:val="18"/>
          <w:lang w:eastAsia="en-GB"/>
        </w:rPr>
        <w:t>= Domestically Manufactured Chemical</w:t>
      </w:r>
    </w:p>
    <w:p w14:paraId="349D9452" w14:textId="77777777" w:rsidR="008A4F47" w:rsidRPr="00261B7A" w:rsidRDefault="008A4F47" w:rsidP="008A4F47">
      <w:pPr>
        <w:pStyle w:val="Box"/>
        <w:pBdr>
          <w:top w:val="single" w:sz="6" w:space="10" w:color="auto"/>
          <w:left w:val="single" w:sz="6" w:space="12" w:color="auto"/>
          <w:bottom w:val="single" w:sz="6" w:space="10" w:color="auto"/>
          <w:right w:val="single" w:sz="6" w:space="12" w:color="auto"/>
        </w:pBdr>
        <w:spacing w:after="100"/>
        <w:ind w:left="284"/>
        <w:rPr>
          <w:rFonts w:ascii="Cambria Math" w:hAnsi="Cambria Math"/>
          <w:sz w:val="18"/>
          <w:szCs w:val="18"/>
          <w:lang w:eastAsia="en-GB"/>
        </w:rPr>
      </w:pPr>
      <w:r w:rsidRPr="00261B7A">
        <w:rPr>
          <w:rFonts w:ascii="Cambria Math" w:hAnsi="Cambria Math"/>
          <w:sz w:val="18"/>
          <w:szCs w:val="18"/>
          <w:lang w:eastAsia="en-GB"/>
        </w:rPr>
        <w:t>+ Imported Bulk Chemical ― Exported Bulk Chemical</w:t>
      </w:r>
    </w:p>
    <w:p w14:paraId="1C4FE6BC" w14:textId="77777777" w:rsidR="008A4F47" w:rsidRPr="00261B7A" w:rsidRDefault="008A4F47" w:rsidP="008A4F47">
      <w:pPr>
        <w:pStyle w:val="Box"/>
        <w:pBdr>
          <w:top w:val="single" w:sz="6" w:space="10" w:color="auto"/>
          <w:left w:val="single" w:sz="6" w:space="12" w:color="auto"/>
          <w:bottom w:val="single" w:sz="6" w:space="10" w:color="auto"/>
          <w:right w:val="single" w:sz="6" w:space="12" w:color="auto"/>
        </w:pBdr>
        <w:spacing w:after="100"/>
        <w:ind w:left="284"/>
        <w:rPr>
          <w:rFonts w:ascii="Cambria Math" w:hAnsi="Cambria Math"/>
          <w:sz w:val="18"/>
          <w:szCs w:val="18"/>
          <w:lang w:eastAsia="en-GB"/>
        </w:rPr>
      </w:pPr>
      <w:r w:rsidRPr="00261B7A">
        <w:rPr>
          <w:rFonts w:ascii="Cambria Math" w:hAnsi="Cambria Math"/>
          <w:sz w:val="18"/>
          <w:szCs w:val="18"/>
          <w:lang w:eastAsia="en-GB"/>
        </w:rPr>
        <w:t>+ Chemical Contained in Factory Charged Imported Equipment</w:t>
      </w:r>
    </w:p>
    <w:p w14:paraId="405375B7" w14:textId="77777777" w:rsidR="008A4F47" w:rsidRPr="00261B7A" w:rsidRDefault="008A4F47" w:rsidP="008A4F47">
      <w:pPr>
        <w:pStyle w:val="Box"/>
        <w:pBdr>
          <w:top w:val="single" w:sz="6" w:space="10" w:color="auto"/>
          <w:left w:val="single" w:sz="6" w:space="12" w:color="auto"/>
          <w:bottom w:val="single" w:sz="6" w:space="10" w:color="auto"/>
          <w:right w:val="single" w:sz="6" w:space="12" w:color="auto"/>
        </w:pBdr>
        <w:spacing w:after="120"/>
        <w:ind w:left="284"/>
        <w:rPr>
          <w:rFonts w:ascii="Cambria Math" w:hAnsi="Cambria Math"/>
          <w:sz w:val="18"/>
          <w:szCs w:val="18"/>
          <w:lang w:eastAsia="en-GB"/>
        </w:rPr>
      </w:pPr>
      <w:r w:rsidRPr="00261B7A">
        <w:rPr>
          <w:rFonts w:ascii="Cambria Math" w:hAnsi="Cambria Math"/>
          <w:sz w:val="18"/>
          <w:szCs w:val="18"/>
        </w:rPr>
        <w:t>–</w:t>
      </w:r>
      <w:r w:rsidRPr="00261B7A">
        <w:rPr>
          <w:rFonts w:ascii="Cambria Math" w:hAnsi="Cambria Math"/>
          <w:sz w:val="18"/>
          <w:szCs w:val="18"/>
          <w:lang w:eastAsia="en-GB"/>
        </w:rPr>
        <w:t xml:space="preserve"> Chemical Contained in Factory Charged Exported Equipment.</w:t>
      </w:r>
    </w:p>
    <w:p w14:paraId="5CD7C8E4" w14:textId="77777777" w:rsidR="008A4F47" w:rsidRPr="00261B7A" w:rsidRDefault="008A4F47" w:rsidP="008A4F47">
      <w:pPr>
        <w:pStyle w:val="Box"/>
        <w:pBdr>
          <w:top w:val="single" w:sz="6" w:space="10" w:color="auto"/>
          <w:left w:val="single" w:sz="6" w:space="12" w:color="auto"/>
          <w:bottom w:val="single" w:sz="6" w:space="10" w:color="auto"/>
          <w:right w:val="single" w:sz="6" w:space="12" w:color="auto"/>
        </w:pBdr>
        <w:spacing w:before="120" w:after="100"/>
        <w:ind w:left="284"/>
        <w:rPr>
          <w:rFonts w:ascii="Cambria Math" w:hAnsi="Cambria Math"/>
          <w:b/>
          <w:sz w:val="18"/>
          <w:szCs w:val="18"/>
          <w:lang w:eastAsia="en-GB"/>
        </w:rPr>
      </w:pPr>
      <w:r w:rsidRPr="00261B7A">
        <w:rPr>
          <w:rFonts w:ascii="Cambria Math" w:hAnsi="Cambria Math"/>
          <w:b/>
          <w:sz w:val="18"/>
          <w:szCs w:val="18"/>
          <w:lang w:eastAsia="en-GB"/>
        </w:rPr>
        <w:t xml:space="preserve">Total Charge of New Equipment </w:t>
      </w:r>
    </w:p>
    <w:p w14:paraId="5D42C3BE" w14:textId="77777777" w:rsidR="008A4F47" w:rsidRPr="00261B7A" w:rsidRDefault="008A4F47" w:rsidP="008A4F47">
      <w:pPr>
        <w:pStyle w:val="Box"/>
        <w:pBdr>
          <w:top w:val="single" w:sz="6" w:space="10" w:color="auto"/>
          <w:left w:val="single" w:sz="6" w:space="12" w:color="auto"/>
          <w:bottom w:val="single" w:sz="6" w:space="10" w:color="auto"/>
          <w:right w:val="single" w:sz="6" w:space="12" w:color="auto"/>
        </w:pBdr>
        <w:spacing w:after="100"/>
        <w:ind w:left="284"/>
        <w:rPr>
          <w:rFonts w:ascii="Cambria Math" w:hAnsi="Cambria Math"/>
          <w:sz w:val="18"/>
          <w:szCs w:val="18"/>
          <w:lang w:eastAsia="en-GB"/>
        </w:rPr>
      </w:pPr>
      <w:r w:rsidRPr="00261B7A">
        <w:rPr>
          <w:rFonts w:ascii="Cambria Math" w:hAnsi="Cambria Math"/>
          <w:sz w:val="18"/>
          <w:szCs w:val="18"/>
          <w:lang w:eastAsia="en-GB"/>
        </w:rPr>
        <w:t>= Chemical to Charge Domestically Manufactured Equipment that is not Factory Charged</w:t>
      </w:r>
    </w:p>
    <w:p w14:paraId="655C45F5" w14:textId="77777777" w:rsidR="008A4F47" w:rsidRPr="00261B7A" w:rsidRDefault="008A4F47" w:rsidP="008A4F47">
      <w:pPr>
        <w:pStyle w:val="Box"/>
        <w:pBdr>
          <w:top w:val="single" w:sz="6" w:space="10" w:color="auto"/>
          <w:left w:val="single" w:sz="6" w:space="12" w:color="auto"/>
          <w:bottom w:val="single" w:sz="6" w:space="10" w:color="auto"/>
          <w:right w:val="single" w:sz="6" w:space="12" w:color="auto"/>
        </w:pBdr>
        <w:spacing w:after="100"/>
        <w:ind w:left="284"/>
        <w:rPr>
          <w:rFonts w:ascii="Cambria Math" w:hAnsi="Cambria Math"/>
          <w:sz w:val="18"/>
          <w:szCs w:val="18"/>
          <w:lang w:eastAsia="en-GB"/>
        </w:rPr>
      </w:pPr>
      <w:r w:rsidRPr="00261B7A">
        <w:rPr>
          <w:rFonts w:ascii="Cambria Math" w:hAnsi="Cambria Math"/>
          <w:sz w:val="18"/>
          <w:szCs w:val="18"/>
          <w:lang w:eastAsia="en-GB"/>
        </w:rPr>
        <w:t xml:space="preserve">+ Chemical to Charge Domestically Manufactured Equipment that is Factory Charged </w:t>
      </w:r>
    </w:p>
    <w:p w14:paraId="1FF4C476" w14:textId="77777777" w:rsidR="008A4F47" w:rsidRPr="00261B7A" w:rsidRDefault="008A4F47" w:rsidP="008A4F47">
      <w:pPr>
        <w:pStyle w:val="Box"/>
        <w:pBdr>
          <w:top w:val="single" w:sz="6" w:space="10" w:color="auto"/>
          <w:left w:val="single" w:sz="6" w:space="12" w:color="auto"/>
          <w:bottom w:val="single" w:sz="6" w:space="10" w:color="auto"/>
          <w:right w:val="single" w:sz="6" w:space="12" w:color="auto"/>
        </w:pBdr>
        <w:spacing w:after="100"/>
        <w:ind w:left="284"/>
        <w:rPr>
          <w:rFonts w:ascii="Cambria Math" w:hAnsi="Cambria Math"/>
          <w:sz w:val="18"/>
          <w:szCs w:val="18"/>
          <w:lang w:eastAsia="en-GB"/>
        </w:rPr>
      </w:pPr>
      <w:r w:rsidRPr="00261B7A">
        <w:rPr>
          <w:rFonts w:ascii="Cambria Math" w:hAnsi="Cambria Math"/>
          <w:sz w:val="18"/>
          <w:szCs w:val="18"/>
          <w:lang w:eastAsia="en-GB"/>
        </w:rPr>
        <w:t>+ Chemical to Charge Imported Equipment that is not Factory Charged</w:t>
      </w:r>
    </w:p>
    <w:p w14:paraId="0C21B165" w14:textId="77777777" w:rsidR="008A4F47" w:rsidRPr="00261B7A" w:rsidRDefault="008A4F47" w:rsidP="008A4F47">
      <w:pPr>
        <w:pStyle w:val="Box"/>
        <w:pBdr>
          <w:top w:val="single" w:sz="6" w:space="10" w:color="auto"/>
          <w:left w:val="single" w:sz="6" w:space="12" w:color="auto"/>
          <w:bottom w:val="single" w:sz="6" w:space="10" w:color="auto"/>
          <w:right w:val="single" w:sz="6" w:space="12" w:color="auto"/>
        </w:pBdr>
        <w:spacing w:after="100"/>
        <w:ind w:left="284"/>
        <w:rPr>
          <w:rFonts w:ascii="Cambria Math" w:hAnsi="Cambria Math"/>
          <w:sz w:val="18"/>
          <w:szCs w:val="18"/>
          <w:lang w:eastAsia="en-GB"/>
        </w:rPr>
      </w:pPr>
      <w:r w:rsidRPr="00261B7A">
        <w:rPr>
          <w:rFonts w:ascii="Cambria Math" w:hAnsi="Cambria Math"/>
          <w:sz w:val="18"/>
          <w:szCs w:val="18"/>
          <w:lang w:eastAsia="en-GB"/>
        </w:rPr>
        <w:t xml:space="preserve">+ Chemical Contained in Factory Charged Imported Equipment </w:t>
      </w:r>
    </w:p>
    <w:p w14:paraId="039F30F5" w14:textId="77777777" w:rsidR="008A4F47" w:rsidRPr="00261B7A" w:rsidRDefault="008A4F47" w:rsidP="008A4F47">
      <w:pPr>
        <w:pStyle w:val="Box"/>
        <w:pBdr>
          <w:top w:val="single" w:sz="6" w:space="10" w:color="auto"/>
          <w:left w:val="single" w:sz="6" w:space="12" w:color="auto"/>
          <w:bottom w:val="single" w:sz="6" w:space="10" w:color="auto"/>
          <w:right w:val="single" w:sz="6" w:space="12" w:color="auto"/>
        </w:pBdr>
        <w:spacing w:after="120"/>
        <w:ind w:left="284"/>
        <w:rPr>
          <w:rFonts w:ascii="Cambria Math" w:hAnsi="Cambria Math"/>
          <w:sz w:val="18"/>
          <w:szCs w:val="18"/>
          <w:lang w:eastAsia="en-GB"/>
        </w:rPr>
      </w:pPr>
      <w:r w:rsidRPr="00261B7A">
        <w:rPr>
          <w:rFonts w:ascii="Cambria Math" w:hAnsi="Cambria Math"/>
          <w:sz w:val="18"/>
          <w:szCs w:val="18"/>
          <w:lang w:eastAsia="en-GB"/>
        </w:rPr>
        <w:t>– Chemical Contained in Factory Charged Exported Equipment.</w:t>
      </w:r>
    </w:p>
    <w:p w14:paraId="0D25E280" w14:textId="77777777" w:rsidR="008A4F47" w:rsidRPr="00261B7A" w:rsidRDefault="008A4F47" w:rsidP="008A4F47">
      <w:pPr>
        <w:pStyle w:val="BodyText"/>
      </w:pPr>
      <w:r w:rsidRPr="00261B7A">
        <w:t xml:space="preserve">The mass balance approach uses equation 7.9 in the 2006 IPCC Guidelines (IPCC, 2006a) (box 4.2). </w:t>
      </w:r>
    </w:p>
    <w:p w14:paraId="016F0486" w14:textId="77777777" w:rsidR="008A4F47" w:rsidRPr="00261B7A" w:rsidRDefault="008A4F47" w:rsidP="008A4F47">
      <w:pPr>
        <w:pStyle w:val="BodyText"/>
        <w:keepNext/>
        <w:rPr>
          <w:rFonts w:cs="Calibri"/>
          <w:i/>
          <w:sz w:val="20"/>
        </w:rPr>
      </w:pPr>
      <w:r w:rsidRPr="00261B7A">
        <w:rPr>
          <w:rFonts w:cs="Calibri"/>
          <w:b/>
          <w:i/>
          <w:sz w:val="18"/>
          <w:szCs w:val="18"/>
        </w:rPr>
        <w:t>Box 4.2</w:t>
      </w:r>
    </w:p>
    <w:p w14:paraId="1B0D28C0" w14:textId="77777777" w:rsidR="008A4F47" w:rsidRPr="00261B7A" w:rsidRDefault="008A4F47" w:rsidP="008A4F47">
      <w:pPr>
        <w:pStyle w:val="BoxHeading"/>
        <w:keepNext/>
        <w:pBdr>
          <w:top w:val="single" w:sz="6" w:space="10" w:color="auto"/>
          <w:bottom w:val="single" w:sz="6" w:space="10" w:color="auto"/>
        </w:pBdr>
        <w:spacing w:after="120"/>
        <w:ind w:left="284"/>
        <w:jc w:val="center"/>
        <w:rPr>
          <w:sz w:val="18"/>
          <w:lang w:eastAsia="en-GB"/>
        </w:rPr>
      </w:pPr>
      <w:r w:rsidRPr="00261B7A">
        <w:rPr>
          <w:sz w:val="18"/>
          <w:lang w:eastAsia="en-GB"/>
        </w:rPr>
        <w:t>IPCC (2006a) equation 7.9</w:t>
      </w:r>
    </w:p>
    <w:p w14:paraId="62E11DB3" w14:textId="77777777" w:rsidR="008A4F47" w:rsidRPr="00261B7A" w:rsidRDefault="008A4F47" w:rsidP="008A4F47">
      <w:pPr>
        <w:pStyle w:val="Box"/>
        <w:pBdr>
          <w:top w:val="single" w:sz="6" w:space="10" w:color="auto"/>
          <w:bottom w:val="single" w:sz="6" w:space="10" w:color="auto"/>
        </w:pBdr>
        <w:ind w:left="284"/>
        <w:jc w:val="center"/>
        <w:rPr>
          <w:rFonts w:ascii="Cambria Math" w:hAnsi="Cambria Math"/>
          <w:sz w:val="18"/>
          <w:szCs w:val="18"/>
          <w:lang w:eastAsia="en-GB"/>
        </w:rPr>
      </w:pPr>
      <w:r w:rsidRPr="00261B7A">
        <w:rPr>
          <w:rFonts w:ascii="Cambria Math" w:hAnsi="Cambria Math"/>
          <w:b/>
          <w:sz w:val="18"/>
          <w:szCs w:val="18"/>
          <w:lang w:eastAsia="en-GB"/>
        </w:rPr>
        <w:t xml:space="preserve">Emissions </w:t>
      </w:r>
      <w:r w:rsidRPr="00261B7A">
        <w:rPr>
          <w:rFonts w:ascii="Cambria Math" w:hAnsi="Cambria Math"/>
          <w:sz w:val="18"/>
          <w:szCs w:val="18"/>
          <w:lang w:eastAsia="en-GB"/>
        </w:rPr>
        <w:t>= Annual Sales of New Refrigerant ― Total Charge of New Equipment + Original Total Charge of Retiring Equipment ― Amount of Intentional Destruction</w:t>
      </w:r>
    </w:p>
    <w:p w14:paraId="713D3A19" w14:textId="77777777" w:rsidR="008A4F47" w:rsidRPr="00261B7A" w:rsidRDefault="008A4F47" w:rsidP="008A4F47">
      <w:pPr>
        <w:pStyle w:val="BodyText"/>
        <w:spacing w:before="240"/>
      </w:pPr>
      <w:r w:rsidRPr="00261B7A">
        <w:t xml:space="preserve">Spreadsheet models have been used to represent the refrigerant consumption and banks. Estimates have been made for the six sub-applications: </w:t>
      </w:r>
      <w:r w:rsidRPr="00261B7A">
        <w:rPr>
          <w:i/>
        </w:rPr>
        <w:t>Household refrigeration</w:t>
      </w:r>
      <w:r w:rsidRPr="00261B7A">
        <w:t xml:space="preserve">, </w:t>
      </w:r>
      <w:r w:rsidRPr="00261B7A">
        <w:rPr>
          <w:i/>
        </w:rPr>
        <w:t>Commercial refrigeration</w:t>
      </w:r>
      <w:r w:rsidRPr="00261B7A">
        <w:t xml:space="preserve">, </w:t>
      </w:r>
      <w:r w:rsidRPr="00261B7A">
        <w:rPr>
          <w:i/>
        </w:rPr>
        <w:t>Industrial refrigeration</w:t>
      </w:r>
      <w:r w:rsidRPr="00261B7A">
        <w:t xml:space="preserve">, </w:t>
      </w:r>
      <w:r w:rsidRPr="00261B7A">
        <w:rPr>
          <w:i/>
        </w:rPr>
        <w:t>Transport refrigeration</w:t>
      </w:r>
      <w:r w:rsidRPr="00261B7A">
        <w:t xml:space="preserve">, </w:t>
      </w:r>
      <w:r w:rsidRPr="00261B7A">
        <w:rPr>
          <w:i/>
        </w:rPr>
        <w:t>Stationary air conditioning</w:t>
      </w:r>
      <w:r w:rsidRPr="00261B7A">
        <w:t xml:space="preserve"> and </w:t>
      </w:r>
      <w:r w:rsidRPr="00261B7A">
        <w:rPr>
          <w:i/>
        </w:rPr>
        <w:t>Mobile air conditioning</w:t>
      </w:r>
      <w:r w:rsidRPr="00261B7A">
        <w:t xml:space="preserve">. For commercial and industrial refrigeration, where the required data are available, the models distinguish and calculate separately: </w:t>
      </w:r>
    </w:p>
    <w:p w14:paraId="54EABFFA" w14:textId="77777777" w:rsidR="008A4F47" w:rsidRPr="00261B7A" w:rsidRDefault="008A4F47" w:rsidP="008A4F47">
      <w:pPr>
        <w:pStyle w:val="Bullet"/>
      </w:pPr>
      <w:r w:rsidRPr="00261B7A">
        <w:t>recovery for destruction</w:t>
      </w:r>
    </w:p>
    <w:p w14:paraId="4CD3AD11" w14:textId="77777777" w:rsidR="008A4F47" w:rsidRPr="00261B7A" w:rsidRDefault="008A4F47" w:rsidP="008A4F47">
      <w:pPr>
        <w:pStyle w:val="Bullet"/>
      </w:pPr>
      <w:r w:rsidRPr="00261B7A">
        <w:t xml:space="preserve">recovery for reuse of the refrigerant. </w:t>
      </w:r>
    </w:p>
    <w:p w14:paraId="6FA33772" w14:textId="77777777" w:rsidR="008A4F47" w:rsidRPr="00261B7A" w:rsidRDefault="008A4F47" w:rsidP="008A4F47">
      <w:pPr>
        <w:pStyle w:val="BodyText"/>
        <w:spacing w:before="100" w:after="100"/>
      </w:pPr>
      <w:r w:rsidRPr="00261B7A">
        <w:t xml:space="preserve">Country-specific assessments for the lifetime of equipment have been made to calculate the ‘original total charge of retiring equipment’. These assessments include progressive retirement of air conditioning equipment in years 8 to 19, and dehumidifiers in years 6 to 15. The analysis also takes account of the impact of the 2011 Canterbury earthquake, which resulted in emissions from demolition of damaged buildings in the following years. </w:t>
      </w:r>
    </w:p>
    <w:p w14:paraId="6392FB2F" w14:textId="77777777" w:rsidR="008A4F47" w:rsidRPr="00261B7A" w:rsidRDefault="008A4F47" w:rsidP="008A4F47">
      <w:pPr>
        <w:pStyle w:val="BodyText"/>
        <w:spacing w:before="100" w:after="100"/>
      </w:pPr>
      <w:r w:rsidRPr="00261B7A">
        <w:t xml:space="preserve">There is no facility for the intentional destruction of HFCs or PFCs from this application in New Zealand. Some HFCs are exported for destruction in Australia, and the amounts recovered for destruction are reported. </w:t>
      </w:r>
    </w:p>
    <w:p w14:paraId="18BB3423" w14:textId="77777777" w:rsidR="008A4F47" w:rsidRPr="00261B7A" w:rsidRDefault="008A4F47" w:rsidP="008A4F47">
      <w:pPr>
        <w:pStyle w:val="BodyText"/>
        <w:spacing w:before="100" w:after="100"/>
      </w:pPr>
      <w:r w:rsidRPr="00261B7A">
        <w:t xml:space="preserve">Table 4.7.3 summarises the methodological tiers that are used for each sub-application. </w:t>
      </w:r>
    </w:p>
    <w:p w14:paraId="60CBD211" w14:textId="77777777" w:rsidR="008A4F47" w:rsidRPr="00261B7A" w:rsidRDefault="008A4F47" w:rsidP="008A4F47">
      <w:pPr>
        <w:pStyle w:val="Table"/>
      </w:pPr>
      <w:bookmarkStart w:id="572" w:name="_Toc36224540"/>
      <w:bookmarkStart w:id="573" w:name="_Toc68786427"/>
      <w:bookmarkStart w:id="574" w:name="_Toc128042761"/>
      <w:bookmarkStart w:id="575" w:name="_Toc131591341"/>
      <w:r w:rsidRPr="00261B7A">
        <w:t>Table 4.7.3</w:t>
      </w:r>
      <w:r w:rsidRPr="00261B7A">
        <w:tab/>
        <w:t>Summary of methodological tiers by sub-application</w:t>
      </w:r>
      <w:bookmarkEnd w:id="572"/>
      <w:bookmarkEnd w:id="573"/>
      <w:bookmarkEnd w:id="574"/>
      <w:bookmarkEnd w:id="575"/>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3240"/>
        <w:gridCol w:w="2375"/>
        <w:gridCol w:w="2890"/>
      </w:tblGrid>
      <w:tr w:rsidR="008A4F47" w:rsidRPr="00261B7A" w14:paraId="33FD9E68" w14:textId="77777777" w:rsidTr="00D41492">
        <w:trPr>
          <w:tblHeader/>
        </w:trPr>
        <w:tc>
          <w:tcPr>
            <w:tcW w:w="3261" w:type="dxa"/>
            <w:tcBorders>
              <w:top w:val="single" w:sz="4" w:space="0" w:color="1B556B"/>
              <w:left w:val="nil"/>
              <w:bottom w:val="single" w:sz="4" w:space="0" w:color="1B556B"/>
              <w:right w:val="nil"/>
            </w:tcBorders>
            <w:shd w:val="clear" w:color="auto" w:fill="1B556B"/>
            <w:hideMark/>
          </w:tcPr>
          <w:p w14:paraId="0646CE97" w14:textId="77777777" w:rsidR="008A4F47" w:rsidRPr="00261B7A" w:rsidRDefault="008A4F47" w:rsidP="00B44819">
            <w:pPr>
              <w:pStyle w:val="TableTextBold"/>
              <w:spacing w:before="40" w:after="40"/>
              <w:rPr>
                <w:noProof w:val="0"/>
                <w:color w:val="FFFFFF"/>
              </w:rPr>
            </w:pPr>
            <w:r w:rsidRPr="00261B7A">
              <w:rPr>
                <w:noProof w:val="0"/>
                <w:color w:val="FFFFFF"/>
              </w:rPr>
              <w:t>Sub-application</w:t>
            </w:r>
          </w:p>
        </w:tc>
        <w:tc>
          <w:tcPr>
            <w:tcW w:w="2390" w:type="dxa"/>
            <w:tcBorders>
              <w:top w:val="single" w:sz="4" w:space="0" w:color="1B556B"/>
              <w:left w:val="nil"/>
              <w:bottom w:val="single" w:sz="4" w:space="0" w:color="1B556B"/>
              <w:right w:val="nil"/>
            </w:tcBorders>
            <w:shd w:val="clear" w:color="auto" w:fill="1B556B"/>
            <w:hideMark/>
          </w:tcPr>
          <w:p w14:paraId="6570265C" w14:textId="77777777" w:rsidR="008A4F47" w:rsidRPr="00261B7A" w:rsidRDefault="008A4F47" w:rsidP="00B44819">
            <w:pPr>
              <w:pStyle w:val="TableTextBold"/>
              <w:spacing w:before="40" w:after="40"/>
              <w:rPr>
                <w:noProof w:val="0"/>
                <w:color w:val="FFFFFF"/>
              </w:rPr>
            </w:pPr>
            <w:r w:rsidRPr="00261B7A">
              <w:rPr>
                <w:noProof w:val="0"/>
                <w:color w:val="FFFFFF"/>
              </w:rPr>
              <w:t>Chemical</w:t>
            </w:r>
          </w:p>
        </w:tc>
        <w:tc>
          <w:tcPr>
            <w:tcW w:w="2911" w:type="dxa"/>
            <w:tcBorders>
              <w:top w:val="single" w:sz="4" w:space="0" w:color="1B556B"/>
              <w:left w:val="nil"/>
              <w:bottom w:val="single" w:sz="4" w:space="0" w:color="1B556B"/>
              <w:right w:val="nil"/>
            </w:tcBorders>
            <w:shd w:val="clear" w:color="auto" w:fill="1B556B"/>
            <w:hideMark/>
          </w:tcPr>
          <w:p w14:paraId="1A7C7768" w14:textId="77777777" w:rsidR="008A4F47" w:rsidRPr="00261B7A" w:rsidRDefault="008A4F47" w:rsidP="00B44819">
            <w:pPr>
              <w:pStyle w:val="TableTextBold"/>
              <w:spacing w:before="40" w:after="40"/>
              <w:rPr>
                <w:noProof w:val="0"/>
                <w:color w:val="FFFFFF"/>
              </w:rPr>
            </w:pPr>
            <w:r w:rsidRPr="00261B7A">
              <w:rPr>
                <w:noProof w:val="0"/>
                <w:color w:val="FFFFFF"/>
              </w:rPr>
              <w:t>Method used (Tier)</w:t>
            </w:r>
          </w:p>
        </w:tc>
      </w:tr>
      <w:tr w:rsidR="008A4F47" w:rsidRPr="00261B7A" w14:paraId="7509725B" w14:textId="77777777" w:rsidTr="00D41492">
        <w:tc>
          <w:tcPr>
            <w:tcW w:w="3261" w:type="dxa"/>
            <w:tcBorders>
              <w:top w:val="single" w:sz="4" w:space="0" w:color="1B556B"/>
              <w:left w:val="nil"/>
              <w:bottom w:val="single" w:sz="4" w:space="0" w:color="1B556B"/>
              <w:right w:val="nil"/>
            </w:tcBorders>
            <w:shd w:val="clear" w:color="auto" w:fill="FFFFFF"/>
            <w:hideMark/>
          </w:tcPr>
          <w:p w14:paraId="23B2DC84" w14:textId="77777777" w:rsidR="008A4F47" w:rsidRPr="00261B7A" w:rsidRDefault="008A4F47" w:rsidP="00B44819">
            <w:pPr>
              <w:pStyle w:val="TableText"/>
              <w:spacing w:before="40" w:after="40"/>
            </w:pPr>
            <w:r w:rsidRPr="00261B7A">
              <w:t>Household refrigeration</w:t>
            </w:r>
          </w:p>
        </w:tc>
        <w:tc>
          <w:tcPr>
            <w:tcW w:w="2390" w:type="dxa"/>
            <w:tcBorders>
              <w:top w:val="single" w:sz="4" w:space="0" w:color="1B556B"/>
              <w:left w:val="nil"/>
              <w:bottom w:val="single" w:sz="4" w:space="0" w:color="1B556B"/>
              <w:right w:val="nil"/>
            </w:tcBorders>
            <w:shd w:val="clear" w:color="auto" w:fill="FFFFFF"/>
            <w:hideMark/>
          </w:tcPr>
          <w:p w14:paraId="1FC27A8A" w14:textId="77777777" w:rsidR="008A4F47" w:rsidRPr="00261B7A" w:rsidRDefault="008A4F47" w:rsidP="00B44819">
            <w:pPr>
              <w:pStyle w:val="TableText"/>
              <w:spacing w:before="40" w:after="40"/>
            </w:pPr>
            <w:r w:rsidRPr="00261B7A">
              <w:t>HFC-134a</w:t>
            </w:r>
          </w:p>
        </w:tc>
        <w:tc>
          <w:tcPr>
            <w:tcW w:w="2911" w:type="dxa"/>
            <w:tcBorders>
              <w:top w:val="single" w:sz="4" w:space="0" w:color="1B556B"/>
              <w:left w:val="nil"/>
              <w:bottom w:val="single" w:sz="4" w:space="0" w:color="1B556B"/>
              <w:right w:val="nil"/>
            </w:tcBorders>
            <w:shd w:val="clear" w:color="auto" w:fill="FFFFFF"/>
            <w:hideMark/>
          </w:tcPr>
          <w:p w14:paraId="02E3B7A9" w14:textId="77777777" w:rsidR="008A4F47" w:rsidRPr="00261B7A" w:rsidRDefault="008A4F47" w:rsidP="00B44819">
            <w:pPr>
              <w:pStyle w:val="TableText"/>
              <w:spacing w:before="40" w:after="40"/>
            </w:pPr>
            <w:r w:rsidRPr="00261B7A">
              <w:t>2a</w:t>
            </w:r>
          </w:p>
        </w:tc>
      </w:tr>
      <w:tr w:rsidR="008A4F47" w:rsidRPr="00261B7A" w14:paraId="761AE5CE" w14:textId="77777777" w:rsidTr="00D41492">
        <w:tc>
          <w:tcPr>
            <w:tcW w:w="3261" w:type="dxa"/>
            <w:vMerge w:val="restart"/>
            <w:tcBorders>
              <w:top w:val="single" w:sz="4" w:space="0" w:color="1B556B"/>
              <w:left w:val="nil"/>
              <w:right w:val="nil"/>
            </w:tcBorders>
            <w:shd w:val="clear" w:color="auto" w:fill="FFFFFF"/>
          </w:tcPr>
          <w:p w14:paraId="06751476" w14:textId="77777777" w:rsidR="008A4F47" w:rsidRPr="00261B7A" w:rsidRDefault="008A4F47" w:rsidP="00B44819">
            <w:pPr>
              <w:pStyle w:val="TableText"/>
              <w:spacing w:before="40" w:after="40"/>
            </w:pPr>
            <w:r w:rsidRPr="00261B7A">
              <w:t>Commercial refrigeration</w:t>
            </w:r>
          </w:p>
        </w:tc>
        <w:tc>
          <w:tcPr>
            <w:tcW w:w="2390" w:type="dxa"/>
            <w:tcBorders>
              <w:top w:val="single" w:sz="4" w:space="0" w:color="1B556B"/>
              <w:left w:val="nil"/>
              <w:bottom w:val="single" w:sz="4" w:space="0" w:color="1B556B"/>
              <w:right w:val="nil"/>
            </w:tcBorders>
            <w:shd w:val="clear" w:color="auto" w:fill="FFFFFF"/>
          </w:tcPr>
          <w:p w14:paraId="549E9F99" w14:textId="77777777" w:rsidR="008A4F47" w:rsidRPr="00261B7A" w:rsidRDefault="008A4F47" w:rsidP="00B44819">
            <w:pPr>
              <w:pStyle w:val="TableText"/>
              <w:spacing w:before="40" w:after="40"/>
            </w:pPr>
            <w:r w:rsidRPr="00261B7A">
              <w:t>HFC-32</w:t>
            </w:r>
          </w:p>
        </w:tc>
        <w:tc>
          <w:tcPr>
            <w:tcW w:w="2911" w:type="dxa"/>
            <w:tcBorders>
              <w:top w:val="single" w:sz="4" w:space="0" w:color="1B556B"/>
              <w:left w:val="nil"/>
              <w:bottom w:val="single" w:sz="4" w:space="0" w:color="1B556B"/>
              <w:right w:val="nil"/>
            </w:tcBorders>
            <w:shd w:val="clear" w:color="auto" w:fill="FFFFFF"/>
          </w:tcPr>
          <w:p w14:paraId="645D9B47" w14:textId="77777777" w:rsidR="008A4F47" w:rsidRPr="00261B7A" w:rsidRDefault="008A4F47" w:rsidP="00B44819">
            <w:pPr>
              <w:pStyle w:val="TableText"/>
              <w:spacing w:before="40" w:after="40"/>
            </w:pPr>
            <w:r w:rsidRPr="00261B7A">
              <w:t>2a</w:t>
            </w:r>
          </w:p>
        </w:tc>
      </w:tr>
      <w:tr w:rsidR="008A4F47" w:rsidRPr="00261B7A" w14:paraId="79721841" w14:textId="77777777" w:rsidTr="00D41492">
        <w:tc>
          <w:tcPr>
            <w:tcW w:w="3261" w:type="dxa"/>
            <w:vMerge/>
            <w:tcBorders>
              <w:left w:val="nil"/>
              <w:right w:val="nil"/>
            </w:tcBorders>
            <w:shd w:val="clear" w:color="auto" w:fill="FFFFFF"/>
          </w:tcPr>
          <w:p w14:paraId="00EF0913" w14:textId="77777777" w:rsidR="008A4F47" w:rsidRPr="00261B7A" w:rsidRDefault="008A4F47" w:rsidP="00B44819">
            <w:pPr>
              <w:pStyle w:val="TableText"/>
              <w:keepNext/>
              <w:spacing w:before="40" w:after="40"/>
            </w:pPr>
          </w:p>
        </w:tc>
        <w:tc>
          <w:tcPr>
            <w:tcW w:w="2390" w:type="dxa"/>
            <w:tcBorders>
              <w:top w:val="single" w:sz="4" w:space="0" w:color="1B556B"/>
              <w:left w:val="nil"/>
              <w:bottom w:val="single" w:sz="4" w:space="0" w:color="1B556B"/>
              <w:right w:val="nil"/>
            </w:tcBorders>
            <w:shd w:val="clear" w:color="auto" w:fill="FFFFFF"/>
          </w:tcPr>
          <w:p w14:paraId="6D3BCD7B" w14:textId="77777777" w:rsidR="008A4F47" w:rsidRPr="00261B7A" w:rsidRDefault="008A4F47" w:rsidP="00B44819">
            <w:pPr>
              <w:pStyle w:val="TableText"/>
              <w:keepNext/>
              <w:spacing w:before="40" w:after="40"/>
            </w:pPr>
            <w:r w:rsidRPr="00261B7A">
              <w:t>HFC-125</w:t>
            </w:r>
          </w:p>
        </w:tc>
        <w:tc>
          <w:tcPr>
            <w:tcW w:w="2911" w:type="dxa"/>
            <w:tcBorders>
              <w:top w:val="single" w:sz="4" w:space="0" w:color="1B556B"/>
              <w:left w:val="nil"/>
              <w:bottom w:val="single" w:sz="4" w:space="0" w:color="1B556B"/>
              <w:right w:val="nil"/>
            </w:tcBorders>
            <w:shd w:val="clear" w:color="auto" w:fill="FFFFFF"/>
          </w:tcPr>
          <w:p w14:paraId="2A46CEA3" w14:textId="77777777" w:rsidR="008A4F47" w:rsidRPr="00261B7A" w:rsidRDefault="008A4F47" w:rsidP="00B44819">
            <w:pPr>
              <w:pStyle w:val="TableText"/>
              <w:keepNext/>
              <w:spacing w:before="40" w:after="40"/>
            </w:pPr>
            <w:r w:rsidRPr="00261B7A">
              <w:t xml:space="preserve">2b to 2006, 2a for 2007–2021 </w:t>
            </w:r>
          </w:p>
        </w:tc>
      </w:tr>
      <w:tr w:rsidR="008A4F47" w:rsidRPr="00261B7A" w14:paraId="5D45A54B" w14:textId="77777777" w:rsidTr="00D41492">
        <w:tc>
          <w:tcPr>
            <w:tcW w:w="3261" w:type="dxa"/>
            <w:vMerge/>
            <w:tcBorders>
              <w:left w:val="nil"/>
              <w:right w:val="nil"/>
            </w:tcBorders>
            <w:shd w:val="clear" w:color="auto" w:fill="FFFFFF"/>
          </w:tcPr>
          <w:p w14:paraId="29197C09" w14:textId="77777777" w:rsidR="008A4F47" w:rsidRPr="00261B7A" w:rsidRDefault="008A4F47" w:rsidP="00B44819">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51B83A03" w14:textId="77777777" w:rsidR="008A4F47" w:rsidRPr="00261B7A" w:rsidRDefault="008A4F47" w:rsidP="00B44819">
            <w:pPr>
              <w:pStyle w:val="TableText"/>
              <w:spacing w:before="40" w:after="40"/>
            </w:pPr>
            <w:r w:rsidRPr="00261B7A">
              <w:t>HFC-134a</w:t>
            </w:r>
          </w:p>
        </w:tc>
        <w:tc>
          <w:tcPr>
            <w:tcW w:w="2911" w:type="dxa"/>
            <w:tcBorders>
              <w:top w:val="single" w:sz="4" w:space="0" w:color="1B556B"/>
              <w:left w:val="nil"/>
              <w:bottom w:val="single" w:sz="4" w:space="0" w:color="1B556B"/>
              <w:right w:val="nil"/>
            </w:tcBorders>
            <w:shd w:val="clear" w:color="auto" w:fill="FFFFFF"/>
          </w:tcPr>
          <w:p w14:paraId="23966FA4" w14:textId="77777777" w:rsidR="008A4F47" w:rsidRPr="00261B7A" w:rsidRDefault="008A4F47" w:rsidP="00B44819">
            <w:pPr>
              <w:pStyle w:val="TableText"/>
              <w:spacing w:before="40" w:after="40"/>
            </w:pPr>
            <w:r w:rsidRPr="00261B7A">
              <w:t>2a</w:t>
            </w:r>
          </w:p>
        </w:tc>
      </w:tr>
      <w:tr w:rsidR="008A4F47" w:rsidRPr="00261B7A" w14:paraId="4220E77A" w14:textId="77777777" w:rsidTr="00D41492">
        <w:tc>
          <w:tcPr>
            <w:tcW w:w="3261" w:type="dxa"/>
            <w:vMerge/>
            <w:tcBorders>
              <w:left w:val="nil"/>
              <w:bottom w:val="single" w:sz="4" w:space="0" w:color="1B556B"/>
              <w:right w:val="nil"/>
            </w:tcBorders>
            <w:shd w:val="clear" w:color="auto" w:fill="FFFFFF"/>
          </w:tcPr>
          <w:p w14:paraId="53E3095C" w14:textId="77777777" w:rsidR="008A4F47" w:rsidRPr="00261B7A" w:rsidRDefault="008A4F47" w:rsidP="00B44819">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47EAE377" w14:textId="77777777" w:rsidR="008A4F47" w:rsidRPr="00261B7A" w:rsidRDefault="008A4F47" w:rsidP="00B44819">
            <w:pPr>
              <w:pStyle w:val="TableText"/>
              <w:spacing w:before="40" w:after="40"/>
            </w:pPr>
            <w:r w:rsidRPr="00261B7A">
              <w:t>HFC-143a</w:t>
            </w:r>
          </w:p>
        </w:tc>
        <w:tc>
          <w:tcPr>
            <w:tcW w:w="2911" w:type="dxa"/>
            <w:tcBorders>
              <w:top w:val="single" w:sz="4" w:space="0" w:color="1B556B"/>
              <w:left w:val="nil"/>
              <w:bottom w:val="single" w:sz="4" w:space="0" w:color="1B556B"/>
              <w:right w:val="nil"/>
            </w:tcBorders>
            <w:shd w:val="clear" w:color="auto" w:fill="FFFFFF"/>
          </w:tcPr>
          <w:p w14:paraId="19252C4B" w14:textId="77777777" w:rsidR="008A4F47" w:rsidRPr="00261B7A" w:rsidRDefault="008A4F47" w:rsidP="00B44819">
            <w:pPr>
              <w:pStyle w:val="TableText"/>
              <w:spacing w:before="40" w:after="40"/>
            </w:pPr>
            <w:r w:rsidRPr="00261B7A">
              <w:t>2b</w:t>
            </w:r>
          </w:p>
        </w:tc>
      </w:tr>
      <w:tr w:rsidR="008A4F47" w:rsidRPr="00261B7A" w14:paraId="58191CE7" w14:textId="77777777" w:rsidTr="00D41492">
        <w:tc>
          <w:tcPr>
            <w:tcW w:w="3261" w:type="dxa"/>
            <w:vMerge w:val="restart"/>
            <w:tcBorders>
              <w:top w:val="single" w:sz="4" w:space="0" w:color="1B556B"/>
              <w:left w:val="nil"/>
              <w:right w:val="nil"/>
            </w:tcBorders>
            <w:shd w:val="clear" w:color="auto" w:fill="FFFFFF"/>
          </w:tcPr>
          <w:p w14:paraId="035D0FF0" w14:textId="77777777" w:rsidR="008A4F47" w:rsidRPr="00261B7A" w:rsidRDefault="008A4F47" w:rsidP="00B44819">
            <w:pPr>
              <w:pStyle w:val="TableText"/>
              <w:spacing w:before="40" w:after="40"/>
            </w:pPr>
            <w:r w:rsidRPr="00261B7A">
              <w:t>Industrial refrigeration</w:t>
            </w:r>
          </w:p>
        </w:tc>
        <w:tc>
          <w:tcPr>
            <w:tcW w:w="2390" w:type="dxa"/>
            <w:tcBorders>
              <w:top w:val="single" w:sz="4" w:space="0" w:color="1B556B"/>
              <w:left w:val="nil"/>
              <w:bottom w:val="single" w:sz="4" w:space="0" w:color="1B556B"/>
              <w:right w:val="nil"/>
            </w:tcBorders>
            <w:shd w:val="clear" w:color="auto" w:fill="FFFFFF"/>
          </w:tcPr>
          <w:p w14:paraId="24390AC9" w14:textId="77777777" w:rsidR="008A4F47" w:rsidRPr="00261B7A" w:rsidRDefault="008A4F47" w:rsidP="00B44819">
            <w:pPr>
              <w:pStyle w:val="TableText"/>
              <w:spacing w:before="40" w:after="40"/>
            </w:pPr>
            <w:r w:rsidRPr="00261B7A">
              <w:t>HFC-32</w:t>
            </w:r>
          </w:p>
        </w:tc>
        <w:tc>
          <w:tcPr>
            <w:tcW w:w="2911" w:type="dxa"/>
            <w:tcBorders>
              <w:top w:val="single" w:sz="4" w:space="0" w:color="1B556B"/>
              <w:left w:val="nil"/>
              <w:bottom w:val="single" w:sz="4" w:space="0" w:color="1B556B"/>
              <w:right w:val="nil"/>
            </w:tcBorders>
            <w:shd w:val="clear" w:color="auto" w:fill="FFFFFF"/>
          </w:tcPr>
          <w:p w14:paraId="3B5F7505" w14:textId="77777777" w:rsidR="008A4F47" w:rsidRPr="00261B7A" w:rsidRDefault="008A4F47" w:rsidP="00B44819">
            <w:pPr>
              <w:pStyle w:val="TableText"/>
              <w:spacing w:before="40" w:after="40"/>
            </w:pPr>
            <w:r w:rsidRPr="00261B7A">
              <w:t>2a</w:t>
            </w:r>
          </w:p>
        </w:tc>
      </w:tr>
      <w:tr w:rsidR="008A4F47" w:rsidRPr="00261B7A" w14:paraId="5665E6EC" w14:textId="77777777" w:rsidTr="00D41492">
        <w:tc>
          <w:tcPr>
            <w:tcW w:w="3261" w:type="dxa"/>
            <w:vMerge/>
            <w:tcBorders>
              <w:left w:val="nil"/>
              <w:right w:val="nil"/>
            </w:tcBorders>
            <w:shd w:val="clear" w:color="auto" w:fill="FFFFFF"/>
          </w:tcPr>
          <w:p w14:paraId="5676ACD3" w14:textId="77777777" w:rsidR="008A4F47" w:rsidRPr="00261B7A" w:rsidRDefault="008A4F47" w:rsidP="00B44819">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21D0EB81" w14:textId="77777777" w:rsidR="008A4F47" w:rsidRPr="00261B7A" w:rsidRDefault="008A4F47" w:rsidP="00B44819">
            <w:pPr>
              <w:pStyle w:val="TableText"/>
              <w:spacing w:before="40" w:after="40"/>
            </w:pPr>
            <w:r w:rsidRPr="00261B7A">
              <w:t>HFC-125</w:t>
            </w:r>
          </w:p>
        </w:tc>
        <w:tc>
          <w:tcPr>
            <w:tcW w:w="2911" w:type="dxa"/>
            <w:tcBorders>
              <w:top w:val="single" w:sz="4" w:space="0" w:color="1B556B"/>
              <w:left w:val="nil"/>
              <w:bottom w:val="single" w:sz="4" w:space="0" w:color="1B556B"/>
              <w:right w:val="nil"/>
            </w:tcBorders>
            <w:shd w:val="clear" w:color="auto" w:fill="FFFFFF"/>
          </w:tcPr>
          <w:p w14:paraId="66E766F6" w14:textId="77777777" w:rsidR="008A4F47" w:rsidRPr="00261B7A" w:rsidRDefault="008A4F47" w:rsidP="00B44819">
            <w:pPr>
              <w:pStyle w:val="TableText"/>
              <w:spacing w:before="40" w:after="40"/>
            </w:pPr>
            <w:r w:rsidRPr="00261B7A">
              <w:t>2a</w:t>
            </w:r>
          </w:p>
        </w:tc>
      </w:tr>
      <w:tr w:rsidR="008A4F47" w:rsidRPr="00261B7A" w14:paraId="7B9D3603" w14:textId="77777777" w:rsidTr="00D41492">
        <w:tc>
          <w:tcPr>
            <w:tcW w:w="3261" w:type="dxa"/>
            <w:vMerge/>
            <w:tcBorders>
              <w:left w:val="nil"/>
              <w:right w:val="nil"/>
            </w:tcBorders>
            <w:shd w:val="clear" w:color="auto" w:fill="FFFFFF"/>
          </w:tcPr>
          <w:p w14:paraId="1E58D9BB" w14:textId="77777777" w:rsidR="008A4F47" w:rsidRPr="00261B7A" w:rsidRDefault="008A4F47" w:rsidP="00B44819">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51A5A749" w14:textId="77777777" w:rsidR="008A4F47" w:rsidRPr="00261B7A" w:rsidRDefault="008A4F47" w:rsidP="00B44819">
            <w:pPr>
              <w:pStyle w:val="TableText"/>
              <w:spacing w:before="40" w:after="40"/>
            </w:pPr>
            <w:r w:rsidRPr="00261B7A">
              <w:t>HFC-134a</w:t>
            </w:r>
          </w:p>
        </w:tc>
        <w:tc>
          <w:tcPr>
            <w:tcW w:w="2911" w:type="dxa"/>
            <w:tcBorders>
              <w:top w:val="single" w:sz="4" w:space="0" w:color="1B556B"/>
              <w:left w:val="nil"/>
              <w:bottom w:val="single" w:sz="4" w:space="0" w:color="1B556B"/>
              <w:right w:val="nil"/>
            </w:tcBorders>
            <w:shd w:val="clear" w:color="auto" w:fill="FFFFFF"/>
          </w:tcPr>
          <w:p w14:paraId="5B0F78E1" w14:textId="77777777" w:rsidR="008A4F47" w:rsidRPr="00261B7A" w:rsidRDefault="008A4F47" w:rsidP="00B44819">
            <w:pPr>
              <w:pStyle w:val="TableText"/>
              <w:spacing w:before="40" w:after="40"/>
            </w:pPr>
            <w:r w:rsidRPr="00261B7A">
              <w:t>2b</w:t>
            </w:r>
          </w:p>
        </w:tc>
      </w:tr>
      <w:tr w:rsidR="008A4F47" w:rsidRPr="00261B7A" w14:paraId="702973C7" w14:textId="77777777" w:rsidTr="00D41492">
        <w:tc>
          <w:tcPr>
            <w:tcW w:w="3261" w:type="dxa"/>
            <w:vMerge/>
            <w:tcBorders>
              <w:left w:val="nil"/>
              <w:bottom w:val="single" w:sz="4" w:space="0" w:color="1B556B"/>
              <w:right w:val="nil"/>
            </w:tcBorders>
            <w:shd w:val="clear" w:color="auto" w:fill="FFFFFF"/>
          </w:tcPr>
          <w:p w14:paraId="592E0EF8" w14:textId="77777777" w:rsidR="008A4F47" w:rsidRPr="00261B7A" w:rsidRDefault="008A4F47" w:rsidP="00B44819">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57011FED" w14:textId="77777777" w:rsidR="008A4F47" w:rsidRPr="00261B7A" w:rsidRDefault="008A4F47" w:rsidP="00B44819">
            <w:pPr>
              <w:pStyle w:val="TableText"/>
              <w:spacing w:before="40" w:after="40"/>
            </w:pPr>
            <w:r w:rsidRPr="00261B7A">
              <w:t>HFC-143a</w:t>
            </w:r>
          </w:p>
        </w:tc>
        <w:tc>
          <w:tcPr>
            <w:tcW w:w="2911" w:type="dxa"/>
            <w:tcBorders>
              <w:top w:val="single" w:sz="4" w:space="0" w:color="1B556B"/>
              <w:left w:val="nil"/>
              <w:bottom w:val="single" w:sz="4" w:space="0" w:color="1B556B"/>
              <w:right w:val="nil"/>
            </w:tcBorders>
            <w:shd w:val="clear" w:color="auto" w:fill="FFFFFF"/>
          </w:tcPr>
          <w:p w14:paraId="6132AD26" w14:textId="77777777" w:rsidR="008A4F47" w:rsidRPr="00261B7A" w:rsidRDefault="008A4F47" w:rsidP="00B44819">
            <w:pPr>
              <w:pStyle w:val="TableText"/>
              <w:spacing w:before="40" w:after="40"/>
            </w:pPr>
            <w:r w:rsidRPr="00261B7A">
              <w:t>2a</w:t>
            </w:r>
          </w:p>
        </w:tc>
      </w:tr>
      <w:tr w:rsidR="008A4F47" w:rsidRPr="00261B7A" w14:paraId="73A7D867" w14:textId="77777777" w:rsidTr="00D41492">
        <w:tc>
          <w:tcPr>
            <w:tcW w:w="3261" w:type="dxa"/>
            <w:vMerge w:val="restart"/>
            <w:tcBorders>
              <w:top w:val="single" w:sz="4" w:space="0" w:color="1B556B"/>
              <w:left w:val="nil"/>
              <w:right w:val="nil"/>
            </w:tcBorders>
            <w:shd w:val="clear" w:color="auto" w:fill="FFFFFF"/>
          </w:tcPr>
          <w:p w14:paraId="014B857E" w14:textId="77777777" w:rsidR="008A4F47" w:rsidRPr="00261B7A" w:rsidRDefault="008A4F47" w:rsidP="00B44819">
            <w:pPr>
              <w:pStyle w:val="TableText"/>
              <w:spacing w:before="40" w:after="40"/>
            </w:pPr>
            <w:r w:rsidRPr="00261B7A">
              <w:t>Transport refrigeration</w:t>
            </w:r>
          </w:p>
        </w:tc>
        <w:tc>
          <w:tcPr>
            <w:tcW w:w="2390" w:type="dxa"/>
            <w:tcBorders>
              <w:top w:val="single" w:sz="4" w:space="0" w:color="1B556B"/>
              <w:left w:val="nil"/>
              <w:bottom w:val="single" w:sz="4" w:space="0" w:color="1B556B"/>
              <w:right w:val="nil"/>
            </w:tcBorders>
            <w:shd w:val="clear" w:color="auto" w:fill="FFFFFF"/>
          </w:tcPr>
          <w:p w14:paraId="494CF157" w14:textId="77777777" w:rsidR="008A4F47" w:rsidRPr="00261B7A" w:rsidRDefault="008A4F47" w:rsidP="00B44819">
            <w:pPr>
              <w:pStyle w:val="TableText"/>
              <w:spacing w:before="40" w:after="40"/>
            </w:pPr>
            <w:r w:rsidRPr="00261B7A">
              <w:t>HFC-32</w:t>
            </w:r>
          </w:p>
        </w:tc>
        <w:tc>
          <w:tcPr>
            <w:tcW w:w="2911" w:type="dxa"/>
            <w:tcBorders>
              <w:top w:val="single" w:sz="4" w:space="0" w:color="1B556B"/>
              <w:left w:val="nil"/>
              <w:bottom w:val="single" w:sz="4" w:space="0" w:color="1B556B"/>
              <w:right w:val="nil"/>
            </w:tcBorders>
            <w:shd w:val="clear" w:color="auto" w:fill="FFFFFF"/>
          </w:tcPr>
          <w:p w14:paraId="27D363C9" w14:textId="77777777" w:rsidR="008A4F47" w:rsidRPr="00261B7A" w:rsidRDefault="008A4F47" w:rsidP="00B44819">
            <w:pPr>
              <w:pStyle w:val="TableText"/>
              <w:spacing w:before="40" w:after="40"/>
            </w:pPr>
            <w:r w:rsidRPr="00261B7A">
              <w:t>2a</w:t>
            </w:r>
          </w:p>
        </w:tc>
      </w:tr>
      <w:tr w:rsidR="008A4F47" w:rsidRPr="00261B7A" w14:paraId="7B0FBCB3" w14:textId="77777777" w:rsidTr="00D41492">
        <w:tc>
          <w:tcPr>
            <w:tcW w:w="3261" w:type="dxa"/>
            <w:vMerge/>
            <w:tcBorders>
              <w:left w:val="nil"/>
              <w:right w:val="nil"/>
            </w:tcBorders>
            <w:shd w:val="clear" w:color="auto" w:fill="FFFFFF"/>
          </w:tcPr>
          <w:p w14:paraId="0925E514" w14:textId="77777777" w:rsidR="008A4F47" w:rsidRPr="00261B7A" w:rsidRDefault="008A4F47" w:rsidP="00B44819">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0DD1D4E9" w14:textId="77777777" w:rsidR="008A4F47" w:rsidRPr="00261B7A" w:rsidRDefault="008A4F47" w:rsidP="00B44819">
            <w:pPr>
              <w:pStyle w:val="TableText"/>
              <w:spacing w:before="40" w:after="40"/>
            </w:pPr>
            <w:r w:rsidRPr="00261B7A">
              <w:t>HFC-125</w:t>
            </w:r>
          </w:p>
        </w:tc>
        <w:tc>
          <w:tcPr>
            <w:tcW w:w="2911" w:type="dxa"/>
            <w:tcBorders>
              <w:top w:val="single" w:sz="4" w:space="0" w:color="1B556B"/>
              <w:left w:val="nil"/>
              <w:bottom w:val="single" w:sz="4" w:space="0" w:color="1B556B"/>
              <w:right w:val="nil"/>
            </w:tcBorders>
            <w:shd w:val="clear" w:color="auto" w:fill="FFFFFF"/>
          </w:tcPr>
          <w:p w14:paraId="45E19B4D" w14:textId="77777777" w:rsidR="008A4F47" w:rsidRPr="00261B7A" w:rsidRDefault="008A4F47" w:rsidP="00B44819">
            <w:pPr>
              <w:pStyle w:val="TableText"/>
              <w:spacing w:before="40" w:after="40"/>
            </w:pPr>
            <w:r w:rsidRPr="00261B7A">
              <w:t>2a</w:t>
            </w:r>
          </w:p>
        </w:tc>
      </w:tr>
      <w:tr w:rsidR="008A4F47" w:rsidRPr="00261B7A" w14:paraId="7292DAFF" w14:textId="77777777" w:rsidTr="00D41492">
        <w:tc>
          <w:tcPr>
            <w:tcW w:w="3261" w:type="dxa"/>
            <w:vMerge/>
            <w:tcBorders>
              <w:left w:val="nil"/>
              <w:right w:val="nil"/>
            </w:tcBorders>
            <w:shd w:val="clear" w:color="auto" w:fill="FFFFFF"/>
          </w:tcPr>
          <w:p w14:paraId="25C7162A" w14:textId="77777777" w:rsidR="008A4F47" w:rsidRPr="00261B7A" w:rsidRDefault="008A4F47" w:rsidP="00B44819">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61AA1BE7" w14:textId="77777777" w:rsidR="008A4F47" w:rsidRPr="00261B7A" w:rsidRDefault="008A4F47" w:rsidP="00B44819">
            <w:pPr>
              <w:pStyle w:val="TableText"/>
              <w:spacing w:before="40" w:after="40"/>
            </w:pPr>
            <w:r w:rsidRPr="00261B7A">
              <w:t>HFC-134a</w:t>
            </w:r>
          </w:p>
        </w:tc>
        <w:tc>
          <w:tcPr>
            <w:tcW w:w="2911" w:type="dxa"/>
            <w:tcBorders>
              <w:top w:val="single" w:sz="4" w:space="0" w:color="1B556B"/>
              <w:left w:val="nil"/>
              <w:bottom w:val="single" w:sz="4" w:space="0" w:color="1B556B"/>
              <w:right w:val="nil"/>
            </w:tcBorders>
            <w:shd w:val="clear" w:color="auto" w:fill="FFFFFF"/>
          </w:tcPr>
          <w:p w14:paraId="55FD542B" w14:textId="77777777" w:rsidR="008A4F47" w:rsidRPr="00261B7A" w:rsidRDefault="008A4F47" w:rsidP="00B44819">
            <w:pPr>
              <w:pStyle w:val="TableText"/>
              <w:spacing w:before="40" w:after="40"/>
            </w:pPr>
            <w:r w:rsidRPr="00261B7A">
              <w:t>2a</w:t>
            </w:r>
          </w:p>
        </w:tc>
      </w:tr>
      <w:tr w:rsidR="008A4F47" w:rsidRPr="00261B7A" w14:paraId="7229B6DB" w14:textId="77777777" w:rsidTr="00D41492">
        <w:tc>
          <w:tcPr>
            <w:tcW w:w="3261" w:type="dxa"/>
            <w:vMerge/>
            <w:tcBorders>
              <w:left w:val="nil"/>
              <w:bottom w:val="single" w:sz="4" w:space="0" w:color="1B556B"/>
              <w:right w:val="nil"/>
            </w:tcBorders>
            <w:shd w:val="clear" w:color="auto" w:fill="FFFFFF"/>
          </w:tcPr>
          <w:p w14:paraId="06E85FA0" w14:textId="77777777" w:rsidR="008A4F47" w:rsidRPr="00261B7A" w:rsidRDefault="008A4F47" w:rsidP="00B44819">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1BA941B0" w14:textId="77777777" w:rsidR="008A4F47" w:rsidRPr="00261B7A" w:rsidRDefault="008A4F47" w:rsidP="00B44819">
            <w:pPr>
              <w:pStyle w:val="TableText"/>
              <w:spacing w:before="40" w:after="40"/>
            </w:pPr>
            <w:r w:rsidRPr="00261B7A">
              <w:t>HFC-143a</w:t>
            </w:r>
          </w:p>
        </w:tc>
        <w:tc>
          <w:tcPr>
            <w:tcW w:w="2911" w:type="dxa"/>
            <w:tcBorders>
              <w:top w:val="single" w:sz="4" w:space="0" w:color="1B556B"/>
              <w:left w:val="nil"/>
              <w:bottom w:val="single" w:sz="4" w:space="0" w:color="1B556B"/>
              <w:right w:val="nil"/>
            </w:tcBorders>
            <w:shd w:val="clear" w:color="auto" w:fill="FFFFFF"/>
          </w:tcPr>
          <w:p w14:paraId="4749B821" w14:textId="77777777" w:rsidR="008A4F47" w:rsidRPr="00261B7A" w:rsidRDefault="008A4F47" w:rsidP="00B44819">
            <w:pPr>
              <w:pStyle w:val="TableText"/>
              <w:spacing w:before="40" w:after="40"/>
            </w:pPr>
            <w:r w:rsidRPr="00261B7A">
              <w:t>2a</w:t>
            </w:r>
          </w:p>
        </w:tc>
      </w:tr>
      <w:tr w:rsidR="008A4F47" w:rsidRPr="00261B7A" w14:paraId="6D530AA6" w14:textId="77777777" w:rsidTr="00D41492">
        <w:tc>
          <w:tcPr>
            <w:tcW w:w="3261" w:type="dxa"/>
            <w:vMerge w:val="restart"/>
            <w:tcBorders>
              <w:top w:val="single" w:sz="4" w:space="0" w:color="1B556B"/>
              <w:left w:val="nil"/>
              <w:bottom w:val="single" w:sz="4" w:space="0" w:color="1B556B"/>
              <w:right w:val="nil"/>
            </w:tcBorders>
            <w:shd w:val="clear" w:color="auto" w:fill="FFFFFF"/>
          </w:tcPr>
          <w:p w14:paraId="4558ECD7" w14:textId="77777777" w:rsidR="008A4F47" w:rsidRPr="00261B7A" w:rsidRDefault="008A4F47" w:rsidP="00B44819">
            <w:pPr>
              <w:pStyle w:val="TableText"/>
              <w:spacing w:before="40" w:after="40"/>
            </w:pPr>
            <w:r w:rsidRPr="00261B7A">
              <w:t>Stationary air conditioning</w:t>
            </w:r>
          </w:p>
        </w:tc>
        <w:tc>
          <w:tcPr>
            <w:tcW w:w="2390" w:type="dxa"/>
            <w:tcBorders>
              <w:top w:val="single" w:sz="4" w:space="0" w:color="1B556B"/>
              <w:left w:val="nil"/>
              <w:bottom w:val="single" w:sz="4" w:space="0" w:color="1B556B"/>
              <w:right w:val="nil"/>
            </w:tcBorders>
            <w:shd w:val="clear" w:color="auto" w:fill="FFFFFF"/>
          </w:tcPr>
          <w:p w14:paraId="7F82C28D" w14:textId="77777777" w:rsidR="008A4F47" w:rsidRPr="00261B7A" w:rsidRDefault="008A4F47" w:rsidP="00B44819">
            <w:pPr>
              <w:pStyle w:val="TableText"/>
              <w:spacing w:before="40" w:after="40"/>
            </w:pPr>
            <w:r w:rsidRPr="00261B7A">
              <w:t>HFC-32</w:t>
            </w:r>
          </w:p>
        </w:tc>
        <w:tc>
          <w:tcPr>
            <w:tcW w:w="2911" w:type="dxa"/>
            <w:tcBorders>
              <w:top w:val="single" w:sz="4" w:space="0" w:color="1B556B"/>
              <w:left w:val="nil"/>
              <w:bottom w:val="single" w:sz="4" w:space="0" w:color="1B556B"/>
              <w:right w:val="nil"/>
            </w:tcBorders>
            <w:shd w:val="clear" w:color="auto" w:fill="FFFFFF"/>
          </w:tcPr>
          <w:p w14:paraId="566EA23E" w14:textId="77777777" w:rsidR="008A4F47" w:rsidRPr="00261B7A" w:rsidRDefault="008A4F47" w:rsidP="00B44819">
            <w:pPr>
              <w:pStyle w:val="TableText"/>
              <w:spacing w:before="40" w:after="40"/>
            </w:pPr>
            <w:r w:rsidRPr="00261B7A">
              <w:t>2b</w:t>
            </w:r>
          </w:p>
        </w:tc>
      </w:tr>
      <w:tr w:rsidR="008A4F47" w:rsidRPr="00261B7A" w14:paraId="13242FEC" w14:textId="77777777" w:rsidTr="00D41492">
        <w:tc>
          <w:tcPr>
            <w:tcW w:w="3261" w:type="dxa"/>
            <w:vMerge/>
            <w:tcBorders>
              <w:top w:val="single" w:sz="4" w:space="0" w:color="1B556B"/>
              <w:left w:val="nil"/>
              <w:right w:val="nil"/>
            </w:tcBorders>
            <w:shd w:val="clear" w:color="auto" w:fill="FFFFFF"/>
          </w:tcPr>
          <w:p w14:paraId="25CC7240" w14:textId="77777777" w:rsidR="008A4F47" w:rsidRPr="00261B7A" w:rsidRDefault="008A4F47" w:rsidP="00B44819">
            <w:pPr>
              <w:pStyle w:val="TableText"/>
              <w:spacing w:before="40" w:after="40"/>
            </w:pPr>
          </w:p>
        </w:tc>
        <w:tc>
          <w:tcPr>
            <w:tcW w:w="2390" w:type="dxa"/>
            <w:tcBorders>
              <w:top w:val="single" w:sz="4" w:space="0" w:color="1B556B"/>
              <w:left w:val="nil"/>
              <w:bottom w:val="single" w:sz="4" w:space="0" w:color="365F91"/>
              <w:right w:val="nil"/>
            </w:tcBorders>
            <w:shd w:val="clear" w:color="auto" w:fill="FFFFFF"/>
          </w:tcPr>
          <w:p w14:paraId="2F47C31D" w14:textId="77777777" w:rsidR="008A4F47" w:rsidRPr="00261B7A" w:rsidRDefault="008A4F47" w:rsidP="00B44819">
            <w:pPr>
              <w:pStyle w:val="TableText"/>
              <w:spacing w:before="40" w:after="40"/>
            </w:pPr>
            <w:r w:rsidRPr="00261B7A">
              <w:t>HFC-125</w:t>
            </w:r>
          </w:p>
        </w:tc>
        <w:tc>
          <w:tcPr>
            <w:tcW w:w="2911" w:type="dxa"/>
            <w:tcBorders>
              <w:top w:val="single" w:sz="4" w:space="0" w:color="1B556B"/>
              <w:left w:val="nil"/>
              <w:bottom w:val="single" w:sz="4" w:space="0" w:color="365F91"/>
              <w:right w:val="nil"/>
            </w:tcBorders>
            <w:shd w:val="clear" w:color="auto" w:fill="FFFFFF"/>
          </w:tcPr>
          <w:p w14:paraId="6F14FC69" w14:textId="77777777" w:rsidR="008A4F47" w:rsidRPr="00261B7A" w:rsidRDefault="008A4F47" w:rsidP="00B44819">
            <w:pPr>
              <w:pStyle w:val="TableText"/>
              <w:spacing w:before="40" w:after="40"/>
            </w:pPr>
            <w:r w:rsidRPr="00261B7A">
              <w:t xml:space="preserve">2a to 2006, 2b for 2007–2021 </w:t>
            </w:r>
          </w:p>
        </w:tc>
      </w:tr>
      <w:tr w:rsidR="008A4F47" w:rsidRPr="00261B7A" w14:paraId="7C293C57" w14:textId="77777777" w:rsidTr="00D41492">
        <w:tc>
          <w:tcPr>
            <w:tcW w:w="3261" w:type="dxa"/>
            <w:vMerge/>
            <w:tcBorders>
              <w:left w:val="nil"/>
              <w:bottom w:val="single" w:sz="4" w:space="0" w:color="1B556B"/>
              <w:right w:val="nil"/>
            </w:tcBorders>
            <w:shd w:val="clear" w:color="auto" w:fill="FFFFFF"/>
          </w:tcPr>
          <w:p w14:paraId="6E4F3A3D" w14:textId="77777777" w:rsidR="008A4F47" w:rsidRPr="00261B7A" w:rsidRDefault="008A4F47" w:rsidP="00B44819">
            <w:pPr>
              <w:pStyle w:val="TableText"/>
              <w:spacing w:before="40" w:after="40"/>
            </w:pPr>
          </w:p>
        </w:tc>
        <w:tc>
          <w:tcPr>
            <w:tcW w:w="2390" w:type="dxa"/>
            <w:tcBorders>
              <w:top w:val="single" w:sz="4" w:space="0" w:color="365F91"/>
              <w:left w:val="nil"/>
              <w:bottom w:val="single" w:sz="4" w:space="0" w:color="1B556B"/>
              <w:right w:val="nil"/>
            </w:tcBorders>
            <w:shd w:val="clear" w:color="auto" w:fill="FFFFFF"/>
          </w:tcPr>
          <w:p w14:paraId="707A1744" w14:textId="77777777" w:rsidR="008A4F47" w:rsidRPr="00261B7A" w:rsidRDefault="008A4F47" w:rsidP="00B44819">
            <w:pPr>
              <w:pStyle w:val="TableText"/>
              <w:spacing w:before="40" w:after="40"/>
            </w:pPr>
            <w:r w:rsidRPr="00261B7A">
              <w:t>HFC 134a</w:t>
            </w:r>
          </w:p>
        </w:tc>
        <w:tc>
          <w:tcPr>
            <w:tcW w:w="2911" w:type="dxa"/>
            <w:tcBorders>
              <w:top w:val="single" w:sz="4" w:space="0" w:color="365F91"/>
              <w:left w:val="nil"/>
              <w:bottom w:val="single" w:sz="4" w:space="0" w:color="1B556B"/>
              <w:right w:val="nil"/>
            </w:tcBorders>
            <w:shd w:val="clear" w:color="auto" w:fill="FFFFFF"/>
          </w:tcPr>
          <w:p w14:paraId="16DB7521" w14:textId="77777777" w:rsidR="008A4F47" w:rsidRPr="00261B7A" w:rsidRDefault="008A4F47" w:rsidP="00B44819">
            <w:pPr>
              <w:pStyle w:val="TableText"/>
              <w:spacing w:before="40" w:after="40"/>
            </w:pPr>
            <w:r w:rsidRPr="00261B7A">
              <w:t>2a</w:t>
            </w:r>
          </w:p>
        </w:tc>
      </w:tr>
      <w:tr w:rsidR="008A4F47" w:rsidRPr="00261B7A" w14:paraId="2AC91262" w14:textId="77777777" w:rsidTr="00D41492">
        <w:tc>
          <w:tcPr>
            <w:tcW w:w="3261" w:type="dxa"/>
            <w:tcBorders>
              <w:top w:val="single" w:sz="4" w:space="0" w:color="1B556B"/>
              <w:left w:val="nil"/>
              <w:bottom w:val="single" w:sz="4" w:space="0" w:color="1B556B"/>
              <w:right w:val="nil"/>
            </w:tcBorders>
            <w:shd w:val="clear" w:color="auto" w:fill="FFFFFF"/>
          </w:tcPr>
          <w:p w14:paraId="54FCCF23" w14:textId="77777777" w:rsidR="008A4F47" w:rsidRPr="00261B7A" w:rsidRDefault="008A4F47" w:rsidP="00B44819">
            <w:pPr>
              <w:pStyle w:val="TableText"/>
              <w:spacing w:before="40" w:after="40"/>
            </w:pPr>
            <w:r w:rsidRPr="00261B7A">
              <w:t>Mobile air conditioning</w:t>
            </w:r>
          </w:p>
        </w:tc>
        <w:tc>
          <w:tcPr>
            <w:tcW w:w="2390" w:type="dxa"/>
            <w:tcBorders>
              <w:top w:val="single" w:sz="4" w:space="0" w:color="1B556B"/>
              <w:left w:val="nil"/>
              <w:bottom w:val="single" w:sz="4" w:space="0" w:color="1B556B"/>
              <w:right w:val="nil"/>
            </w:tcBorders>
            <w:shd w:val="clear" w:color="auto" w:fill="FFFFFF"/>
          </w:tcPr>
          <w:p w14:paraId="01A36389" w14:textId="77777777" w:rsidR="008A4F47" w:rsidRPr="00261B7A" w:rsidRDefault="008A4F47" w:rsidP="00B44819">
            <w:pPr>
              <w:pStyle w:val="TableText"/>
              <w:spacing w:before="40" w:after="40"/>
            </w:pPr>
            <w:r w:rsidRPr="00261B7A">
              <w:t>HFC-134a</w:t>
            </w:r>
          </w:p>
        </w:tc>
        <w:tc>
          <w:tcPr>
            <w:tcW w:w="2911" w:type="dxa"/>
            <w:tcBorders>
              <w:top w:val="single" w:sz="4" w:space="0" w:color="1B556B"/>
              <w:left w:val="nil"/>
              <w:bottom w:val="single" w:sz="4" w:space="0" w:color="1B556B"/>
              <w:right w:val="nil"/>
            </w:tcBorders>
            <w:shd w:val="clear" w:color="auto" w:fill="FFFFFF"/>
          </w:tcPr>
          <w:p w14:paraId="742E2EDF" w14:textId="77777777" w:rsidR="008A4F47" w:rsidRPr="00261B7A" w:rsidRDefault="008A4F47" w:rsidP="00B44819">
            <w:pPr>
              <w:pStyle w:val="TableText"/>
              <w:spacing w:before="40" w:after="40"/>
            </w:pPr>
            <w:r w:rsidRPr="00261B7A">
              <w:t>2b</w:t>
            </w:r>
          </w:p>
        </w:tc>
      </w:tr>
    </w:tbl>
    <w:p w14:paraId="7ED2F1DF" w14:textId="77777777" w:rsidR="008A4F47" w:rsidRPr="00261B7A" w:rsidRDefault="008A4F47" w:rsidP="008A4F47">
      <w:pPr>
        <w:pStyle w:val="Heading5"/>
        <w:spacing w:before="360"/>
      </w:pPr>
      <w:r w:rsidRPr="00261B7A">
        <w:t>Other (2.F.2, 2.F.3 and 2.F.4)</w:t>
      </w:r>
    </w:p>
    <w:p w14:paraId="7D95E1A8" w14:textId="77777777" w:rsidR="008A4F47" w:rsidRPr="00261B7A" w:rsidRDefault="008A4F47" w:rsidP="008A4F47">
      <w:pPr>
        <w:pStyle w:val="BodyText"/>
      </w:pPr>
      <w:r w:rsidRPr="00261B7A">
        <w:t xml:space="preserve">The IPCC Tier 1a method is used for foam blowing agents and fire protection equipment. </w:t>
      </w:r>
    </w:p>
    <w:p w14:paraId="79FEEEBA" w14:textId="77777777" w:rsidR="008A4F47" w:rsidRPr="00261B7A" w:rsidRDefault="008A4F47" w:rsidP="008A4F47">
      <w:pPr>
        <w:pStyle w:val="BodyText"/>
      </w:pPr>
      <w:r w:rsidRPr="00261B7A">
        <w:t xml:space="preserve">Aerosol emissions are calculated using the IPCC Tier 1a/2a method (IPCC, 2006a, equation 7.6). Tier 2a requires subdividing these emissions by sub-application. In this submission, emissions from MDIs are reported separately as a sub-application (2.F.4.a). Insufficient data are available to further subdivide aerosol products by sub-application and all other aerosol products are reported together (2.F.4.b). </w:t>
      </w:r>
    </w:p>
    <w:p w14:paraId="441949C9" w14:textId="77777777" w:rsidR="008A4F47" w:rsidRPr="00261B7A" w:rsidRDefault="008A4F47" w:rsidP="008A4F47">
      <w:pPr>
        <w:pStyle w:val="Heading4"/>
        <w:rPr>
          <w:bCs/>
          <w:iCs/>
        </w:rPr>
      </w:pPr>
      <w:r w:rsidRPr="00261B7A">
        <w:t>Choice of emission factors</w:t>
      </w:r>
    </w:p>
    <w:p w14:paraId="1930735F" w14:textId="77777777" w:rsidR="008A4F47" w:rsidRPr="00261B7A" w:rsidRDefault="008A4F47" w:rsidP="008A4F47">
      <w:pPr>
        <w:pStyle w:val="Heading5"/>
        <w:spacing w:before="120"/>
      </w:pPr>
      <w:r w:rsidRPr="00261B7A">
        <w:t>Refrigeration and air conditioning (2.F.1)</w:t>
      </w:r>
    </w:p>
    <w:p w14:paraId="72C6C4B2" w14:textId="77777777" w:rsidR="008A4F47" w:rsidRPr="00261B7A" w:rsidRDefault="008A4F47" w:rsidP="008A4F47">
      <w:pPr>
        <w:pStyle w:val="BodyText"/>
      </w:pPr>
      <w:r w:rsidRPr="00261B7A">
        <w:t xml:space="preserve">The emission factors used in each sub-application (other than </w:t>
      </w:r>
      <w:r w:rsidRPr="00261B7A">
        <w:rPr>
          <w:i/>
        </w:rPr>
        <w:t>Mobile air conditioning</w:t>
      </w:r>
      <w:r w:rsidRPr="00261B7A">
        <w:t xml:space="preserve">) were assessed using a combination of IPCC defaults, information from the New Zealand industry and expert judgement. </w:t>
      </w:r>
    </w:p>
    <w:p w14:paraId="4E74E1EA" w14:textId="77777777" w:rsidR="008A4F47" w:rsidRPr="00261B7A" w:rsidRDefault="008A4F47" w:rsidP="008A4F47">
      <w:pPr>
        <w:pStyle w:val="BodyText"/>
      </w:pPr>
      <w:r w:rsidRPr="00261B7A">
        <w:t>In addition, the annual leakage rates were adjusted in some cases, to ensure that the total results for all sub-applications were consistent with the much more complete and accurate data available to estimate the total mass balance (for all five sub-applications) for each chemical. For each chemical, use of the Tier 2b method means that emission factors only affect the attribution of emissions among these five sub</w:t>
      </w:r>
      <w:r w:rsidRPr="00261B7A">
        <w:noBreakHyphen/>
        <w:t>applications, not the total emissions. Attribution to any one sub-application is subject to high uncertainties and may, consequently, be subject to significant apparent year</w:t>
      </w:r>
      <w:r w:rsidRPr="00261B7A">
        <w:noBreakHyphen/>
        <w:t>to</w:t>
      </w:r>
      <w:r w:rsidRPr="00261B7A">
        <w:noBreakHyphen/>
        <w:t xml:space="preserve">year variations. </w:t>
      </w:r>
    </w:p>
    <w:p w14:paraId="750BB495" w14:textId="77777777" w:rsidR="008A4F47" w:rsidRPr="00261B7A" w:rsidRDefault="008A4F47" w:rsidP="008A4F47">
      <w:pPr>
        <w:pStyle w:val="BodyText"/>
      </w:pPr>
      <w:r w:rsidRPr="00261B7A">
        <w:t>These emission factors are detailed in the report by Verum Group (</w:t>
      </w:r>
      <w:r w:rsidRPr="00261B7A">
        <w:rPr>
          <w:rFonts w:eastAsia="+mn-ea"/>
        </w:rPr>
        <w:t>unpublished</w:t>
      </w:r>
      <w:r w:rsidRPr="00261B7A">
        <w:t xml:space="preserve">) and in the stock models used to calculate emissions. </w:t>
      </w:r>
    </w:p>
    <w:p w14:paraId="5D1BAB84" w14:textId="77777777" w:rsidR="008A4F47" w:rsidRPr="00261B7A" w:rsidRDefault="008A4F47" w:rsidP="008A4F47">
      <w:pPr>
        <w:pStyle w:val="BodyText"/>
      </w:pPr>
      <w:r w:rsidRPr="00261B7A">
        <w:t xml:space="preserve">For </w:t>
      </w:r>
      <w:r w:rsidRPr="00261B7A">
        <w:rPr>
          <w:i/>
        </w:rPr>
        <w:t>Mobile air conditioning</w:t>
      </w:r>
      <w:r w:rsidRPr="00261B7A">
        <w:t>, the model distinguishes between leakage that is replaced in regular servicing (3.0 per cent of the bank each year) and refrigerant that leaks, but is not replaced because owners do not have the air conditioning units serviced. The overall average amount of loss for the fleet is assessed to be 15</w:t>
      </w:r>
      <w:r w:rsidRPr="00261B7A">
        <w:rPr>
          <w:rFonts w:cs="Calibri"/>
        </w:rPr>
        <w:t>±</w:t>
      </w:r>
      <w:r w:rsidRPr="00261B7A">
        <w:t>10 per cent;</w:t>
      </w:r>
      <w:r w:rsidRPr="00261B7A" w:rsidDel="00787B0F">
        <w:t xml:space="preserve"> </w:t>
      </w:r>
      <w:r w:rsidRPr="00261B7A">
        <w:t>that is, at any time a notional ‘average vehicle’ will have 85</w:t>
      </w:r>
      <w:r w:rsidRPr="00261B7A">
        <w:rPr>
          <w:rFonts w:cs="Calibri"/>
        </w:rPr>
        <w:t>±</w:t>
      </w:r>
      <w:r w:rsidRPr="00261B7A">
        <w:t xml:space="preserve">10 per cent of the charge that it would have if there was no leakage. There is also some uncertainty in the proportion of bulk imports of HFC-134 used in </w:t>
      </w:r>
      <w:r w:rsidRPr="00261B7A">
        <w:rPr>
          <w:i/>
          <w:iCs/>
        </w:rPr>
        <w:t>Mobile air conditioning</w:t>
      </w:r>
      <w:r w:rsidRPr="00261B7A">
        <w:t xml:space="preserve"> as opposed to the other sub-applications. </w:t>
      </w:r>
    </w:p>
    <w:p w14:paraId="098FDCAB" w14:textId="77777777" w:rsidR="008A4F47" w:rsidRPr="00261B7A" w:rsidRDefault="008A4F47" w:rsidP="008A4F47">
      <w:pPr>
        <w:pStyle w:val="Heading5"/>
      </w:pPr>
      <w:r w:rsidRPr="00261B7A">
        <w:t>Foam blowing agents (2.F.2)</w:t>
      </w:r>
    </w:p>
    <w:p w14:paraId="6F114D4E" w14:textId="77777777" w:rsidR="008A4F47" w:rsidRPr="00261B7A" w:rsidRDefault="008A4F47" w:rsidP="008A4F47">
      <w:pPr>
        <w:pStyle w:val="BodyText"/>
      </w:pPr>
      <w:r w:rsidRPr="00261B7A">
        <w:t xml:space="preserve">The IPCC default emission factors for closed-cell foam are used, that is, assuming 10.0 per cent loss in the first year of use and 4.5 per cent in each of the following 20 years. </w:t>
      </w:r>
    </w:p>
    <w:p w14:paraId="05CFAA97" w14:textId="77777777" w:rsidR="008A4F47" w:rsidRPr="00261B7A" w:rsidRDefault="008A4F47" w:rsidP="008A4F47">
      <w:pPr>
        <w:pStyle w:val="Heading5"/>
      </w:pPr>
      <w:r w:rsidRPr="00261B7A">
        <w:t>Fire protection (2.F.3)</w:t>
      </w:r>
    </w:p>
    <w:p w14:paraId="0AD02313" w14:textId="77777777" w:rsidR="008A4F47" w:rsidRPr="00261B7A" w:rsidRDefault="008A4F47" w:rsidP="008A4F47">
      <w:pPr>
        <w:pStyle w:val="BodyText"/>
      </w:pPr>
      <w:r w:rsidRPr="00261B7A">
        <w:t xml:space="preserve">For fire protection equipment, a country-specific emission factor of 0.015 (1.5 per cent of the charge lost in leakage each year) is used. This estimate is based on information from one major supplier of these systems, which was able to supply records of the amount of HFC-227ea it used to replace leakage and accidental discharges. Fire protection systems have a long life and retirements are rare. Based on information from the system suppliers, it is assessed that all refrigerant present on decommissioning is recovered. </w:t>
      </w:r>
    </w:p>
    <w:p w14:paraId="6DDE3690" w14:textId="77777777" w:rsidR="008A4F47" w:rsidRPr="00261B7A" w:rsidRDefault="008A4F47" w:rsidP="008A4F47">
      <w:pPr>
        <w:pStyle w:val="Heading5"/>
      </w:pPr>
      <w:r w:rsidRPr="00261B7A">
        <w:t>Aerosols (2.F.4)</w:t>
      </w:r>
    </w:p>
    <w:p w14:paraId="00E02807" w14:textId="77777777" w:rsidR="008A4F47" w:rsidRPr="00261B7A" w:rsidRDefault="008A4F47" w:rsidP="008A4F47">
      <w:pPr>
        <w:pStyle w:val="BodyText"/>
      </w:pPr>
      <w:r w:rsidRPr="00261B7A">
        <w:t xml:space="preserve">Aerosol emissions are considered to be prompt (emitted in the first year or two after manufacture or import) and so the default emission factor of 50.0 per cent of the initial charge emitted per year is applied. </w:t>
      </w:r>
    </w:p>
    <w:p w14:paraId="326C55CF" w14:textId="77777777" w:rsidR="008A4F47" w:rsidRPr="00261B7A" w:rsidRDefault="008A4F47" w:rsidP="0034058F">
      <w:pPr>
        <w:pStyle w:val="Heading3"/>
      </w:pPr>
      <w:r w:rsidRPr="00261B7A">
        <w:t xml:space="preserve">4.7.3 </w:t>
      </w:r>
      <w:r w:rsidRPr="00261B7A">
        <w:tab/>
        <w:t>Uncertainties and time-series consistency</w:t>
      </w:r>
    </w:p>
    <w:p w14:paraId="0124A1B3" w14:textId="77777777" w:rsidR="008A4F47" w:rsidRPr="00261B7A" w:rsidRDefault="008A4F47" w:rsidP="008A4F47">
      <w:pPr>
        <w:pStyle w:val="Heading4"/>
        <w:rPr>
          <w:bCs/>
          <w:iCs/>
        </w:rPr>
      </w:pPr>
      <w:r w:rsidRPr="00261B7A">
        <w:t>Uncertainties</w:t>
      </w:r>
    </w:p>
    <w:p w14:paraId="755BF12E" w14:textId="77777777" w:rsidR="008A4F47" w:rsidRPr="00261B7A" w:rsidRDefault="008A4F47" w:rsidP="008A4F47">
      <w:pPr>
        <w:pStyle w:val="BodyText"/>
      </w:pPr>
      <w:r w:rsidRPr="00261B7A">
        <w:t xml:space="preserve">Data on bulk imports of refrigerant gases in the </w:t>
      </w:r>
      <w:r w:rsidRPr="00261B7A">
        <w:rPr>
          <w:i/>
        </w:rPr>
        <w:t>Refrigeration and air conditioning</w:t>
      </w:r>
      <w:r w:rsidRPr="00261B7A">
        <w:t xml:space="preserve"> category are complete and accurate, with uncertainty of ±5 per cent. Data on the amount imported in factory-charged equipment, and the amount in retired equipment, are much less accurate, and uncertainties are estimated with some use of expert judgement. </w:t>
      </w:r>
    </w:p>
    <w:p w14:paraId="63406D28" w14:textId="77777777" w:rsidR="008A4F47" w:rsidRPr="00261B7A" w:rsidRDefault="008A4F47" w:rsidP="008A4F47">
      <w:pPr>
        <w:pStyle w:val="BodyText"/>
      </w:pPr>
      <w:r w:rsidRPr="00261B7A">
        <w:t xml:space="preserve">Table 4.7.4 summarises the uncertainties for each category. For the </w:t>
      </w:r>
      <w:r w:rsidRPr="00261B7A">
        <w:rPr>
          <w:i/>
        </w:rPr>
        <w:t>Refrigeration and air conditioning</w:t>
      </w:r>
      <w:r w:rsidRPr="00261B7A">
        <w:t xml:space="preserve"> category, uncertainty is attributed only to the activity data and is updated annually to reflect the share of different equipment types in the latest reported year. Uncertainties in this category have also been estimated for each sub-application. However, these reflect the uncertain attribution of emissions between sub-applications, which does not contribute to the overall uncertainty given for this category. </w:t>
      </w:r>
    </w:p>
    <w:p w14:paraId="39A87378" w14:textId="77777777" w:rsidR="008A4F47" w:rsidRPr="00261B7A" w:rsidRDefault="008A4F47" w:rsidP="008A4F47">
      <w:pPr>
        <w:pStyle w:val="Table"/>
      </w:pPr>
      <w:bookmarkStart w:id="576" w:name="_Toc128042762"/>
      <w:bookmarkStart w:id="577" w:name="_Toc451176078"/>
      <w:bookmarkStart w:id="578" w:name="_Toc5269468"/>
      <w:bookmarkStart w:id="579" w:name="_Toc36224542"/>
      <w:bookmarkStart w:id="580" w:name="_Toc68786428"/>
      <w:bookmarkStart w:id="581" w:name="_Toc131591342"/>
      <w:r w:rsidRPr="00261B7A">
        <w:t xml:space="preserve">Table 4.7.4 </w:t>
      </w:r>
      <w:r w:rsidRPr="00261B7A">
        <w:tab/>
        <w:t xml:space="preserve">New Zealand’s uncertainties in product uses as substitutes for ozone depleting </w:t>
      </w:r>
      <w:bookmarkEnd w:id="576"/>
      <w:bookmarkEnd w:id="577"/>
      <w:bookmarkEnd w:id="578"/>
      <w:bookmarkEnd w:id="579"/>
      <w:bookmarkEnd w:id="580"/>
      <w:r w:rsidRPr="00261B7A">
        <w:t>substances</w:t>
      </w:r>
      <w:bookmarkEnd w:id="581"/>
    </w:p>
    <w:tbl>
      <w:tblPr>
        <w:tblW w:w="8505" w:type="dxa"/>
        <w:tblLook w:val="04A0" w:firstRow="1" w:lastRow="0" w:firstColumn="1" w:lastColumn="0" w:noHBand="0" w:noVBand="1"/>
      </w:tblPr>
      <w:tblGrid>
        <w:gridCol w:w="2873"/>
        <w:gridCol w:w="2660"/>
        <w:gridCol w:w="2972"/>
      </w:tblGrid>
      <w:tr w:rsidR="008A4F47" w:rsidRPr="00261B7A" w14:paraId="756DA496" w14:textId="77777777" w:rsidTr="00D41492">
        <w:trPr>
          <w:trHeight w:val="309"/>
        </w:trPr>
        <w:tc>
          <w:tcPr>
            <w:tcW w:w="2603" w:type="dxa"/>
            <w:tcBorders>
              <w:top w:val="single" w:sz="4" w:space="0" w:color="1B556B"/>
              <w:left w:val="nil"/>
              <w:bottom w:val="single" w:sz="4" w:space="0" w:color="1B556B"/>
              <w:right w:val="nil"/>
            </w:tcBorders>
            <w:shd w:val="clear" w:color="auto" w:fill="1B556B"/>
            <w:hideMark/>
          </w:tcPr>
          <w:p w14:paraId="0E629791" w14:textId="77777777" w:rsidR="008A4F47" w:rsidRPr="00261B7A" w:rsidRDefault="008A4F47" w:rsidP="00B44819">
            <w:pPr>
              <w:pStyle w:val="TableTextBold"/>
              <w:keepNext/>
              <w:spacing w:before="50" w:after="50"/>
              <w:rPr>
                <w:bCs/>
                <w:noProof w:val="0"/>
                <w:color w:val="FFFFFF"/>
              </w:rPr>
            </w:pPr>
            <w:r w:rsidRPr="00261B7A">
              <w:rPr>
                <w:noProof w:val="0"/>
                <w:color w:val="FFFFFF"/>
              </w:rPr>
              <w:t>Category</w:t>
            </w:r>
          </w:p>
        </w:tc>
        <w:tc>
          <w:tcPr>
            <w:tcW w:w="2410" w:type="dxa"/>
            <w:tcBorders>
              <w:top w:val="single" w:sz="4" w:space="0" w:color="1B556B"/>
              <w:left w:val="nil"/>
              <w:bottom w:val="single" w:sz="4" w:space="0" w:color="1B556B"/>
              <w:right w:val="nil"/>
            </w:tcBorders>
            <w:shd w:val="clear" w:color="auto" w:fill="1B556B"/>
            <w:hideMark/>
          </w:tcPr>
          <w:p w14:paraId="775D4866" w14:textId="77777777" w:rsidR="008A4F47" w:rsidRPr="00261B7A" w:rsidRDefault="008A4F47" w:rsidP="00B44819">
            <w:pPr>
              <w:pStyle w:val="TableTextBold"/>
              <w:keepNext/>
              <w:spacing w:before="50" w:after="50"/>
              <w:rPr>
                <w:bCs/>
                <w:noProof w:val="0"/>
                <w:color w:val="FFFFFF"/>
              </w:rPr>
            </w:pPr>
            <w:r w:rsidRPr="00261B7A">
              <w:rPr>
                <w:noProof w:val="0"/>
                <w:color w:val="FFFFFF"/>
              </w:rPr>
              <w:t>Uncertainty in activity data (%)</w:t>
            </w:r>
          </w:p>
        </w:tc>
        <w:tc>
          <w:tcPr>
            <w:tcW w:w="2693" w:type="dxa"/>
            <w:tcBorders>
              <w:top w:val="single" w:sz="4" w:space="0" w:color="1B556B"/>
              <w:left w:val="nil"/>
              <w:bottom w:val="single" w:sz="4" w:space="0" w:color="1B556B"/>
              <w:right w:val="nil"/>
            </w:tcBorders>
            <w:shd w:val="clear" w:color="auto" w:fill="1B556B"/>
            <w:hideMark/>
          </w:tcPr>
          <w:p w14:paraId="50AF7022" w14:textId="77777777" w:rsidR="008A4F47" w:rsidRPr="00261B7A" w:rsidRDefault="008A4F47" w:rsidP="00B44819">
            <w:pPr>
              <w:pStyle w:val="TableTextBold"/>
              <w:keepNext/>
              <w:spacing w:before="50" w:after="50"/>
              <w:rPr>
                <w:noProof w:val="0"/>
                <w:color w:val="FFFFFF"/>
              </w:rPr>
            </w:pPr>
            <w:r w:rsidRPr="00261B7A">
              <w:rPr>
                <w:noProof w:val="0"/>
                <w:color w:val="FFFFFF"/>
              </w:rPr>
              <w:t>Uncertainty in emission factors (%)</w:t>
            </w:r>
          </w:p>
        </w:tc>
      </w:tr>
      <w:tr w:rsidR="008A4F47" w:rsidRPr="00261B7A" w14:paraId="425F2F4B" w14:textId="77777777" w:rsidTr="00D41492">
        <w:tc>
          <w:tcPr>
            <w:tcW w:w="2603" w:type="dxa"/>
            <w:tcBorders>
              <w:top w:val="single" w:sz="4" w:space="0" w:color="1B556B"/>
              <w:left w:val="nil"/>
              <w:bottom w:val="nil"/>
              <w:right w:val="nil"/>
            </w:tcBorders>
            <w:hideMark/>
          </w:tcPr>
          <w:p w14:paraId="0A4FFF56" w14:textId="77777777" w:rsidR="008A4F47" w:rsidRPr="00261B7A" w:rsidRDefault="008A4F47" w:rsidP="00B44819">
            <w:pPr>
              <w:pStyle w:val="TableText"/>
              <w:keepNext/>
              <w:spacing w:before="40" w:after="40"/>
            </w:pPr>
            <w:r w:rsidRPr="00261B7A">
              <w:t>Refrigeration and air conditioning</w:t>
            </w:r>
          </w:p>
        </w:tc>
        <w:tc>
          <w:tcPr>
            <w:tcW w:w="2410" w:type="dxa"/>
            <w:tcBorders>
              <w:top w:val="single" w:sz="4" w:space="0" w:color="1B556B"/>
              <w:left w:val="nil"/>
              <w:bottom w:val="nil"/>
              <w:right w:val="nil"/>
            </w:tcBorders>
            <w:hideMark/>
          </w:tcPr>
          <w:p w14:paraId="3A034F00" w14:textId="77777777" w:rsidR="008A4F47" w:rsidRPr="00261B7A" w:rsidRDefault="008A4F47" w:rsidP="00B44819">
            <w:pPr>
              <w:pStyle w:val="TableText"/>
              <w:keepNext/>
              <w:spacing w:before="40" w:after="40"/>
            </w:pPr>
            <w:r w:rsidRPr="00261B7A">
              <w:t>±24</w:t>
            </w:r>
          </w:p>
        </w:tc>
        <w:tc>
          <w:tcPr>
            <w:tcW w:w="2693" w:type="dxa"/>
            <w:tcBorders>
              <w:top w:val="single" w:sz="4" w:space="0" w:color="1B556B"/>
              <w:left w:val="nil"/>
              <w:bottom w:val="nil"/>
              <w:right w:val="nil"/>
            </w:tcBorders>
            <w:hideMark/>
          </w:tcPr>
          <w:p w14:paraId="2BFA74CA" w14:textId="77777777" w:rsidR="008A4F47" w:rsidRPr="00261B7A" w:rsidRDefault="008A4F47" w:rsidP="00B44819">
            <w:pPr>
              <w:pStyle w:val="TableText"/>
              <w:keepNext/>
              <w:spacing w:before="40" w:after="40"/>
            </w:pPr>
            <w:r w:rsidRPr="00261B7A">
              <w:t>NA</w:t>
            </w:r>
          </w:p>
        </w:tc>
      </w:tr>
      <w:tr w:rsidR="008A4F47" w:rsidRPr="00261B7A" w14:paraId="1CA6573C" w14:textId="77777777" w:rsidTr="00D41492">
        <w:tc>
          <w:tcPr>
            <w:tcW w:w="2603" w:type="dxa"/>
            <w:hideMark/>
          </w:tcPr>
          <w:p w14:paraId="58A615C7" w14:textId="77777777" w:rsidR="008A4F47" w:rsidRPr="00261B7A" w:rsidRDefault="008A4F47" w:rsidP="00B44819">
            <w:pPr>
              <w:pStyle w:val="TableText"/>
              <w:keepNext/>
              <w:spacing w:before="40" w:after="40"/>
            </w:pPr>
            <w:r w:rsidRPr="00261B7A">
              <w:t>Foam blowing agents</w:t>
            </w:r>
          </w:p>
        </w:tc>
        <w:tc>
          <w:tcPr>
            <w:tcW w:w="2410" w:type="dxa"/>
            <w:hideMark/>
          </w:tcPr>
          <w:p w14:paraId="769E62B5" w14:textId="77777777" w:rsidR="008A4F47" w:rsidRPr="00261B7A" w:rsidRDefault="008A4F47" w:rsidP="00B44819">
            <w:pPr>
              <w:pStyle w:val="TableText"/>
              <w:keepNext/>
              <w:spacing w:before="40" w:after="40"/>
            </w:pPr>
            <w:r w:rsidRPr="00261B7A">
              <w:t>±12</w:t>
            </w:r>
          </w:p>
        </w:tc>
        <w:tc>
          <w:tcPr>
            <w:tcW w:w="2693" w:type="dxa"/>
            <w:hideMark/>
          </w:tcPr>
          <w:p w14:paraId="353DBDC7" w14:textId="77777777" w:rsidR="008A4F47" w:rsidRPr="00261B7A" w:rsidRDefault="008A4F47" w:rsidP="00B44819">
            <w:pPr>
              <w:pStyle w:val="TableText"/>
              <w:keepNext/>
              <w:spacing w:before="40" w:after="40"/>
            </w:pPr>
            <w:r w:rsidRPr="00261B7A">
              <w:t>±50</w:t>
            </w:r>
          </w:p>
        </w:tc>
      </w:tr>
      <w:tr w:rsidR="008A4F47" w:rsidRPr="00261B7A" w14:paraId="0F380BCA" w14:textId="77777777" w:rsidTr="00D41492">
        <w:tc>
          <w:tcPr>
            <w:tcW w:w="2603" w:type="dxa"/>
            <w:hideMark/>
          </w:tcPr>
          <w:p w14:paraId="346D4767" w14:textId="77777777" w:rsidR="008A4F47" w:rsidRPr="00261B7A" w:rsidRDefault="008A4F47" w:rsidP="00B44819">
            <w:pPr>
              <w:pStyle w:val="TableText"/>
              <w:keepNext/>
              <w:spacing w:before="40" w:after="40"/>
            </w:pPr>
            <w:r w:rsidRPr="00261B7A">
              <w:t>Aerosols</w:t>
            </w:r>
          </w:p>
        </w:tc>
        <w:tc>
          <w:tcPr>
            <w:tcW w:w="2410" w:type="dxa"/>
            <w:hideMark/>
          </w:tcPr>
          <w:p w14:paraId="5F591382" w14:textId="77777777" w:rsidR="008A4F47" w:rsidRPr="00261B7A" w:rsidRDefault="008A4F47" w:rsidP="00B44819">
            <w:pPr>
              <w:pStyle w:val="TableText"/>
              <w:keepNext/>
              <w:spacing w:before="40" w:after="40"/>
            </w:pPr>
            <w:r w:rsidRPr="00261B7A">
              <w:t>±25</w:t>
            </w:r>
          </w:p>
        </w:tc>
        <w:tc>
          <w:tcPr>
            <w:tcW w:w="2693" w:type="dxa"/>
            <w:hideMark/>
          </w:tcPr>
          <w:p w14:paraId="774E3AF0" w14:textId="77777777" w:rsidR="008A4F47" w:rsidRPr="00261B7A" w:rsidRDefault="008A4F47" w:rsidP="00B44819">
            <w:pPr>
              <w:pStyle w:val="TableText"/>
              <w:keepNext/>
              <w:spacing w:before="40" w:after="40"/>
            </w:pPr>
            <w:r w:rsidRPr="00261B7A">
              <w:t>±10</w:t>
            </w:r>
          </w:p>
        </w:tc>
      </w:tr>
      <w:tr w:rsidR="008A4F47" w:rsidRPr="00261B7A" w14:paraId="2EC83117" w14:textId="77777777" w:rsidTr="00D41492">
        <w:tc>
          <w:tcPr>
            <w:tcW w:w="2603" w:type="dxa"/>
            <w:tcBorders>
              <w:top w:val="nil"/>
              <w:left w:val="nil"/>
              <w:bottom w:val="single" w:sz="4" w:space="0" w:color="1B556B"/>
              <w:right w:val="nil"/>
            </w:tcBorders>
            <w:hideMark/>
          </w:tcPr>
          <w:p w14:paraId="74290EEF" w14:textId="77777777" w:rsidR="008A4F47" w:rsidRPr="00261B7A" w:rsidRDefault="008A4F47" w:rsidP="00D41492">
            <w:pPr>
              <w:pStyle w:val="TableText"/>
              <w:spacing w:before="40" w:after="40"/>
            </w:pPr>
            <w:r w:rsidRPr="00261B7A">
              <w:t>Fire protection</w:t>
            </w:r>
          </w:p>
        </w:tc>
        <w:tc>
          <w:tcPr>
            <w:tcW w:w="2410" w:type="dxa"/>
            <w:tcBorders>
              <w:top w:val="nil"/>
              <w:left w:val="nil"/>
              <w:bottom w:val="single" w:sz="4" w:space="0" w:color="1B556B"/>
              <w:right w:val="nil"/>
            </w:tcBorders>
            <w:hideMark/>
          </w:tcPr>
          <w:p w14:paraId="662EDCC2" w14:textId="77777777" w:rsidR="008A4F47" w:rsidRPr="00261B7A" w:rsidRDefault="008A4F47" w:rsidP="00D41492">
            <w:pPr>
              <w:pStyle w:val="TableText"/>
              <w:spacing w:before="40" w:after="40"/>
            </w:pPr>
            <w:r w:rsidRPr="00261B7A">
              <w:t>±30</w:t>
            </w:r>
          </w:p>
        </w:tc>
        <w:tc>
          <w:tcPr>
            <w:tcW w:w="2693" w:type="dxa"/>
            <w:tcBorders>
              <w:top w:val="nil"/>
              <w:left w:val="nil"/>
              <w:bottom w:val="single" w:sz="4" w:space="0" w:color="1B556B"/>
              <w:right w:val="nil"/>
            </w:tcBorders>
            <w:hideMark/>
          </w:tcPr>
          <w:p w14:paraId="2ED7FB15" w14:textId="77777777" w:rsidR="008A4F47" w:rsidRPr="00261B7A" w:rsidRDefault="008A4F47" w:rsidP="00D41492">
            <w:pPr>
              <w:pStyle w:val="TableText"/>
              <w:spacing w:before="40" w:after="40"/>
            </w:pPr>
            <w:r w:rsidRPr="00261B7A">
              <w:t>±30</w:t>
            </w:r>
          </w:p>
        </w:tc>
      </w:tr>
    </w:tbl>
    <w:p w14:paraId="51101EBD" w14:textId="77777777" w:rsidR="008A4F47" w:rsidRPr="00261B7A" w:rsidRDefault="008A4F47" w:rsidP="008A4F47">
      <w:pPr>
        <w:pStyle w:val="Noteundertable"/>
        <w:spacing w:after="0"/>
      </w:pPr>
      <w:r w:rsidRPr="00261B7A">
        <w:rPr>
          <w:b/>
        </w:rPr>
        <w:t>Note:</w:t>
      </w:r>
      <w:r w:rsidRPr="00261B7A">
        <w:tab/>
        <w:t xml:space="preserve">NA = not applicable. </w:t>
      </w:r>
    </w:p>
    <w:p w14:paraId="72781B43" w14:textId="77777777" w:rsidR="008A4F47" w:rsidRPr="00261B7A" w:rsidRDefault="008A4F47" w:rsidP="008A4F47">
      <w:pPr>
        <w:pStyle w:val="Heading4"/>
      </w:pPr>
      <w:r w:rsidRPr="00261B7A">
        <w:t>Time-series consistency</w:t>
      </w:r>
    </w:p>
    <w:p w14:paraId="04BADB0B" w14:textId="77777777" w:rsidR="008A4F47" w:rsidRPr="00261B7A" w:rsidRDefault="008A4F47" w:rsidP="008A4F47">
      <w:pPr>
        <w:pStyle w:val="BodyText"/>
        <w:spacing w:after="100"/>
      </w:pPr>
      <w:r w:rsidRPr="00261B7A">
        <w:t xml:space="preserve">There is substantial variation over the time series due to the introduction and increasing use of HFCs as replacements for CFCs and HCFCs. In previous submissions, year-to-year variation in the calculated emissions from refrigeration and air conditioning has been driven by changes in stocks from year to year. Recalculations made for this submission have reduced this apparent variance. </w:t>
      </w:r>
    </w:p>
    <w:p w14:paraId="0F71F8A9" w14:textId="77777777" w:rsidR="008A4F47" w:rsidRPr="00261B7A" w:rsidRDefault="008A4F47" w:rsidP="008A4F47">
      <w:pPr>
        <w:pStyle w:val="BodyText"/>
        <w:spacing w:after="100"/>
      </w:pPr>
      <w:r w:rsidRPr="00261B7A">
        <w:t>Calculated annual HFC emissions have increased at a consistent rate from 1,073 kt CO</w:t>
      </w:r>
      <w:r w:rsidRPr="00261B7A">
        <w:rPr>
          <w:vertAlign w:val="subscript"/>
        </w:rPr>
        <w:t>2</w:t>
      </w:r>
      <w:r w:rsidRPr="00261B7A">
        <w:t>-e in 2010 to 1,483 kt CO</w:t>
      </w:r>
      <w:r w:rsidRPr="00261B7A">
        <w:rPr>
          <w:vertAlign w:val="subscript"/>
        </w:rPr>
        <w:t>2</w:t>
      </w:r>
      <w:r w:rsidRPr="00261B7A">
        <w:t xml:space="preserve">-e in 2021. The banks of HFCs in operating equipment are also increasing over time, particularly in air conditioners. Future emissions will depend on the maintenance and eventual retirement of this equipment. </w:t>
      </w:r>
    </w:p>
    <w:p w14:paraId="225D1FB2" w14:textId="77777777" w:rsidR="008A4F47" w:rsidRPr="00261B7A" w:rsidRDefault="008A4F47" w:rsidP="00B44819">
      <w:pPr>
        <w:pStyle w:val="Heading3"/>
        <w:spacing w:before="320"/>
      </w:pPr>
      <w:r w:rsidRPr="00261B7A">
        <w:t>4.7.4</w:t>
      </w:r>
      <w:r w:rsidRPr="00261B7A">
        <w:tab/>
        <w:t>Source-specific QA/QC and verification</w:t>
      </w:r>
    </w:p>
    <w:p w14:paraId="6995C142" w14:textId="77777777" w:rsidR="008A4F47" w:rsidRPr="00261B7A" w:rsidRDefault="008A4F47" w:rsidP="00B44819">
      <w:pPr>
        <w:pStyle w:val="Heading4"/>
        <w:spacing w:before="180"/>
      </w:pPr>
      <w:r w:rsidRPr="00261B7A">
        <w:t>Refrigeration and air conditioning (2.F.1)</w:t>
      </w:r>
    </w:p>
    <w:p w14:paraId="3123F9C3" w14:textId="77777777" w:rsidR="008A4F47" w:rsidRPr="00261B7A" w:rsidRDefault="008A4F47" w:rsidP="008A4F47">
      <w:pPr>
        <w:pStyle w:val="BodyText"/>
        <w:spacing w:before="100" w:after="100"/>
      </w:pPr>
      <w:r w:rsidRPr="00261B7A">
        <w:t xml:space="preserve">Use of HFCs in </w:t>
      </w:r>
      <w:r w:rsidRPr="00261B7A">
        <w:rPr>
          <w:i/>
        </w:rPr>
        <w:t>Refrigeration and air conditioning</w:t>
      </w:r>
      <w:r w:rsidRPr="00261B7A">
        <w:t xml:space="preserve"> was a key category (level and trend assessment). In the preparation of this inventory, the data on HFCs underwent Tier 1 quality checks. During data collection and calculation, activity data provided by industry were verified against national totals where possible, and unreturned questionnaires and anomalous data were followed up and verified to ensure a complete and accurate record of activity data. </w:t>
      </w:r>
    </w:p>
    <w:p w14:paraId="4C318030" w14:textId="77777777" w:rsidR="008A4F47" w:rsidRPr="00261B7A" w:rsidRDefault="008A4F47" w:rsidP="008A4F47">
      <w:pPr>
        <w:pStyle w:val="BodyText"/>
        <w:spacing w:before="100" w:after="100"/>
      </w:pPr>
      <w:r w:rsidRPr="00261B7A">
        <w:t xml:space="preserve">For the years up to 2001, the survey data supplied by importers on bulk HFC imports were verified by comparison with import data supplied by Stats NZ. The former Ministry of Economic Development compiled a detailed breakdown of bulk HFCs using these data and information from import licences for a range of mixtures, such as HFCs and HCFCs. This analysis has not been carried out since 2001, due to restricted access to commercially sensitive import data. Consequently, this independent check on the total imports reported by bulk chemical suppliers became unavailable after that year. </w:t>
      </w:r>
    </w:p>
    <w:p w14:paraId="220F7CD1" w14:textId="77777777" w:rsidR="008A4F47" w:rsidRPr="00261B7A" w:rsidRDefault="008A4F47" w:rsidP="008A4F47">
      <w:pPr>
        <w:pStyle w:val="BodyText"/>
        <w:spacing w:before="100" w:after="100"/>
      </w:pPr>
      <w:r w:rsidRPr="00261B7A">
        <w:t xml:space="preserve">Survey data provided by Fisher and Paykel Limited (the largest importer and manufacturer) were used to compare with total import data where possible. In addition, bulk importers now submit NZ ETS returns, which are used to verify survey information on import volumes where possible. </w:t>
      </w:r>
    </w:p>
    <w:p w14:paraId="47342D6D" w14:textId="77777777" w:rsidR="008A4F47" w:rsidRPr="00261B7A" w:rsidRDefault="008A4F47" w:rsidP="008A4F47">
      <w:pPr>
        <w:pStyle w:val="BodyText"/>
        <w:spacing w:before="100" w:after="100"/>
      </w:pPr>
      <w:r w:rsidRPr="00261B7A">
        <w:t xml:space="preserve">There are no other key categories. Data underwent Tier 1 quality checks. </w:t>
      </w:r>
    </w:p>
    <w:p w14:paraId="37BF7DB9" w14:textId="77777777" w:rsidR="008A4F47" w:rsidRPr="00261B7A" w:rsidRDefault="008A4F47" w:rsidP="00B44819">
      <w:pPr>
        <w:pStyle w:val="Heading3"/>
        <w:spacing w:before="320"/>
      </w:pPr>
      <w:r w:rsidRPr="00261B7A">
        <w:t>4.7.5</w:t>
      </w:r>
      <w:r w:rsidRPr="00261B7A">
        <w:tab/>
        <w:t>Source-specific recalculations</w:t>
      </w:r>
    </w:p>
    <w:p w14:paraId="4846F4DA" w14:textId="77777777" w:rsidR="008A4F47" w:rsidRPr="00261B7A" w:rsidRDefault="008A4F47" w:rsidP="008A4F47">
      <w:pPr>
        <w:pStyle w:val="BodyText"/>
        <w:spacing w:before="100"/>
      </w:pPr>
      <w:r w:rsidRPr="00261B7A">
        <w:t>In the 2022 submission, the amounts of R134a and R404A added to the banks for industrial and commercial refrigeration and stationary air conditioning from 2007 to 2016 were re</w:t>
      </w:r>
      <w:r w:rsidRPr="00261B7A">
        <w:noBreakHyphen/>
        <w:t xml:space="preserve">estimated to better account for changes in stocks held by importers and users. A significant proportion was assigned to stocks rather than additions to the bank, resulting in recalculations for 2018 and 2019. </w:t>
      </w:r>
    </w:p>
    <w:p w14:paraId="652C3672" w14:textId="6A123EE0" w:rsidR="008A4F47" w:rsidRPr="00261B7A" w:rsidRDefault="008A4F47" w:rsidP="008A4F47">
      <w:pPr>
        <w:pStyle w:val="BodyText"/>
      </w:pPr>
      <w:r w:rsidRPr="00261B7A">
        <w:t>For this submission, the modelling methods used have been improved to allow recovery for</w:t>
      </w:r>
      <w:r w:rsidR="00726947">
        <w:t> </w:t>
      </w:r>
      <w:r w:rsidRPr="00261B7A">
        <w:t xml:space="preserve">destruction and recovery for reuse to be shown separately. This allows more accurate assessment of emissions when reuse needs to be considered. Separate estimates are now made for stocks in cool-stores and in other industrial refrigeration facilities, which were previously considered together. </w:t>
      </w:r>
    </w:p>
    <w:p w14:paraId="6C3198CA" w14:textId="77777777" w:rsidR="008A4F47" w:rsidRPr="00261B7A" w:rsidRDefault="008A4F47" w:rsidP="008A4F47">
      <w:pPr>
        <w:pStyle w:val="BodyText"/>
      </w:pPr>
      <w:r w:rsidRPr="00261B7A">
        <w:t xml:space="preserve">Data collected for this submission showed a 76 per cent increase in imports of refrigerants in pre-charged equipment, mainly household heat pumps. This, and other changes in 2021 data, has resulted in a reassessment of stock numbers and retirements in earlier years. </w:t>
      </w:r>
    </w:p>
    <w:p w14:paraId="45BF745E" w14:textId="77777777" w:rsidR="008A4F47" w:rsidRPr="00261B7A" w:rsidRDefault="008A4F47" w:rsidP="008A4F47">
      <w:pPr>
        <w:pStyle w:val="BodyText"/>
      </w:pPr>
      <w:r w:rsidRPr="00261B7A">
        <w:t xml:space="preserve">Other reassessments have been made for this submission. </w:t>
      </w:r>
    </w:p>
    <w:p w14:paraId="5CE02512" w14:textId="77777777" w:rsidR="008A4F47" w:rsidRPr="00261B7A" w:rsidRDefault="008A4F47" w:rsidP="008A4F47">
      <w:pPr>
        <w:pStyle w:val="Bullet"/>
      </w:pPr>
      <w:r w:rsidRPr="00261B7A">
        <w:t xml:space="preserve">The emission factor for </w:t>
      </w:r>
      <w:r w:rsidRPr="00261B7A">
        <w:rPr>
          <w:i/>
        </w:rPr>
        <w:t>Transport refrigeration</w:t>
      </w:r>
      <w:r w:rsidRPr="00261B7A">
        <w:t xml:space="preserve"> has been adjusted from 50 per cent to 35 per cent, which is the mid-range IPCC estimate. </w:t>
      </w:r>
    </w:p>
    <w:p w14:paraId="1DFB0519" w14:textId="77777777" w:rsidR="008A4F47" w:rsidRPr="00261B7A" w:rsidRDefault="008A4F47" w:rsidP="008A4F47">
      <w:pPr>
        <w:pStyle w:val="Bullet"/>
      </w:pPr>
      <w:r w:rsidRPr="00261B7A">
        <w:t xml:space="preserve">The emission factor for </w:t>
      </w:r>
      <w:r w:rsidRPr="00261B7A">
        <w:rPr>
          <w:i/>
        </w:rPr>
        <w:t>Stationary air conditioning</w:t>
      </w:r>
      <w:r w:rsidRPr="00261B7A">
        <w:t xml:space="preserve"> has been adjusted from 20 per cent to 10 per cent, for HFC-134 only, because this refrigerant is typically used in large units that will experience lower leakage rates. </w:t>
      </w:r>
    </w:p>
    <w:p w14:paraId="41FF5697" w14:textId="77777777" w:rsidR="008A4F47" w:rsidRPr="00261B7A" w:rsidRDefault="008A4F47" w:rsidP="008A4F47">
      <w:pPr>
        <w:pStyle w:val="Bullet"/>
      </w:pPr>
      <w:r w:rsidRPr="00261B7A">
        <w:t xml:space="preserve">Differences between import data and Energy Efficiency and Conservation Authority sales data have been resolved with an assessment that stocks have been building up over time. </w:t>
      </w:r>
    </w:p>
    <w:p w14:paraId="7BA9B5C5" w14:textId="77777777" w:rsidR="008A4F47" w:rsidRPr="00261B7A" w:rsidRDefault="008A4F47" w:rsidP="008A4F47">
      <w:pPr>
        <w:pStyle w:val="Bullet"/>
      </w:pPr>
      <w:r w:rsidRPr="00261B7A">
        <w:t xml:space="preserve">Improved information has indicated a greater age range for domestic refrigerators, of 10 years to 24 years. </w:t>
      </w:r>
    </w:p>
    <w:p w14:paraId="38AF3B61" w14:textId="77777777" w:rsidR="008A4F47" w:rsidRPr="00261B7A" w:rsidRDefault="008A4F47" w:rsidP="008A4F47">
      <w:pPr>
        <w:pStyle w:val="Bullet"/>
      </w:pPr>
      <w:r w:rsidRPr="00261B7A">
        <w:t xml:space="preserve">The weighted average charge in MDIs has been reassessed for 2016–20, reflecting changing sales numbers for the two types of inhalers. </w:t>
      </w:r>
    </w:p>
    <w:p w14:paraId="3585D8F9" w14:textId="77777777" w:rsidR="008A4F47" w:rsidRPr="00261B7A" w:rsidRDefault="008A4F47" w:rsidP="008A4F47">
      <w:pPr>
        <w:pStyle w:val="Bullet"/>
      </w:pPr>
      <w:r w:rsidRPr="00261B7A">
        <w:t xml:space="preserve">Minor reassessments and calculation changes in the </w:t>
      </w:r>
      <w:r w:rsidRPr="00261B7A">
        <w:rPr>
          <w:i/>
        </w:rPr>
        <w:t>Foam blowing agents</w:t>
      </w:r>
      <w:r w:rsidRPr="00261B7A">
        <w:t xml:space="preserve"> and </w:t>
      </w:r>
      <w:r w:rsidRPr="00261B7A">
        <w:rPr>
          <w:i/>
        </w:rPr>
        <w:t xml:space="preserve">Fire protection </w:t>
      </w:r>
      <w:r w:rsidRPr="00261B7A">
        <w:t xml:space="preserve">categories have had a negligible effect on emissions. </w:t>
      </w:r>
    </w:p>
    <w:p w14:paraId="6AE18F0A" w14:textId="77777777" w:rsidR="008A4F47" w:rsidRPr="00261B7A" w:rsidRDefault="008A4F47" w:rsidP="008A4F47">
      <w:pPr>
        <w:pStyle w:val="BodyText"/>
      </w:pPr>
      <w:r w:rsidRPr="00261B7A">
        <w:t xml:space="preserve">Recalculation of stocks has also indicated more recovery of HFC-134a than previously estimated. This has an indirect effect on </w:t>
      </w:r>
      <w:r w:rsidRPr="00261B7A">
        <w:rPr>
          <w:i/>
          <w:iCs/>
        </w:rPr>
        <w:t>Mobile air conditioning</w:t>
      </w:r>
      <w:r w:rsidRPr="00261B7A">
        <w:t xml:space="preserve"> emissions because it is partly attributed to vehicle air conditioning units. The result is a small reduction (2.1 kt CO</w:t>
      </w:r>
      <w:r w:rsidRPr="00261B7A">
        <w:rPr>
          <w:vertAlign w:val="subscript"/>
        </w:rPr>
        <w:t>2</w:t>
      </w:r>
      <w:r w:rsidRPr="00261B7A">
        <w:t xml:space="preserve">-e) in estimated 2020 emissions. </w:t>
      </w:r>
    </w:p>
    <w:p w14:paraId="6A395084" w14:textId="77777777" w:rsidR="008A4F47" w:rsidRPr="00261B7A" w:rsidRDefault="008A4F47" w:rsidP="008A4F47">
      <w:pPr>
        <w:pStyle w:val="BodyText"/>
      </w:pPr>
      <w:r w:rsidRPr="00261B7A">
        <w:t>The total impact of these recalculations is to decrease the 2020 emissions by 35.5 kt CO</w:t>
      </w:r>
      <w:r w:rsidRPr="00261B7A">
        <w:rPr>
          <w:vertAlign w:val="subscript"/>
        </w:rPr>
        <w:t>2</w:t>
      </w:r>
      <w:r w:rsidRPr="00261B7A">
        <w:t xml:space="preserve">-e. </w:t>
      </w:r>
    </w:p>
    <w:p w14:paraId="33D2C8B9" w14:textId="77777777" w:rsidR="008A4F47" w:rsidRPr="00261B7A" w:rsidRDefault="008A4F47" w:rsidP="0034058F">
      <w:pPr>
        <w:pStyle w:val="Heading3"/>
      </w:pPr>
      <w:r w:rsidRPr="00261B7A">
        <w:t>4.7.6</w:t>
      </w:r>
      <w:r w:rsidRPr="00261B7A">
        <w:tab/>
        <w:t>Source-specific planned improvements</w:t>
      </w:r>
    </w:p>
    <w:p w14:paraId="386B22D8" w14:textId="77777777" w:rsidR="008A4F47" w:rsidRPr="00261B7A" w:rsidRDefault="008A4F47" w:rsidP="008A4F47">
      <w:pPr>
        <w:pStyle w:val="BodyText"/>
      </w:pPr>
      <w:r w:rsidRPr="00261B7A">
        <w:t>No specific improvements are planned for this category. There are still some unexplained year</w:t>
      </w:r>
      <w:r w:rsidRPr="00261B7A">
        <w:noBreakHyphen/>
        <w:t xml:space="preserve">to-year variations in emissions from the </w:t>
      </w:r>
      <w:r w:rsidRPr="00261B7A">
        <w:rPr>
          <w:i/>
        </w:rPr>
        <w:t xml:space="preserve">Refrigeration and air conditioning </w:t>
      </w:r>
      <w:r w:rsidRPr="00261B7A">
        <w:t xml:space="preserve">category, which is an indication that further improvements can be made by better accounting for stockpiling of bulk chemical. Future submissions will continue to address this issue. </w:t>
      </w:r>
    </w:p>
    <w:p w14:paraId="012496CF" w14:textId="77777777" w:rsidR="008A4F47" w:rsidRPr="00261B7A" w:rsidRDefault="008A4F47" w:rsidP="00A638DC">
      <w:pPr>
        <w:pStyle w:val="Heading2"/>
      </w:pPr>
      <w:bookmarkStart w:id="582" w:name="_Toc448321519"/>
      <w:bookmarkStart w:id="583" w:name="_Toc5269358"/>
      <w:bookmarkStart w:id="584" w:name="_Toc36224398"/>
      <w:bookmarkStart w:id="585" w:name="_Toc68786318"/>
      <w:bookmarkStart w:id="586" w:name="_Toc131591233"/>
      <w:r w:rsidRPr="00261B7A">
        <w:t>4.8</w:t>
      </w:r>
      <w:r w:rsidRPr="00261B7A">
        <w:tab/>
        <w:t>Other product manufacture and use (2.G)</w:t>
      </w:r>
      <w:bookmarkEnd w:id="582"/>
      <w:bookmarkEnd w:id="583"/>
      <w:bookmarkEnd w:id="584"/>
      <w:bookmarkEnd w:id="585"/>
      <w:bookmarkEnd w:id="586"/>
    </w:p>
    <w:p w14:paraId="73BA2A9C" w14:textId="77777777" w:rsidR="008A4F47" w:rsidRPr="00261B7A" w:rsidRDefault="008A4F47" w:rsidP="008759CD">
      <w:pPr>
        <w:pStyle w:val="Heading3"/>
        <w:spacing w:before="240"/>
      </w:pPr>
      <w:r w:rsidRPr="00261B7A">
        <w:t>4.8.1</w:t>
      </w:r>
      <w:r w:rsidRPr="00261B7A">
        <w:tab/>
        <w:t>Description</w:t>
      </w:r>
    </w:p>
    <w:p w14:paraId="48019158" w14:textId="77777777" w:rsidR="008A4F47" w:rsidRPr="00261B7A" w:rsidRDefault="008A4F47" w:rsidP="008A4F47">
      <w:pPr>
        <w:pStyle w:val="BodyText"/>
      </w:pPr>
      <w:r w:rsidRPr="00261B7A">
        <w:t xml:space="preserve">The </w:t>
      </w:r>
      <w:r w:rsidRPr="00261B7A">
        <w:rPr>
          <w:i/>
        </w:rPr>
        <w:t>Other product manufacture and use</w:t>
      </w:r>
      <w:r w:rsidRPr="00261B7A">
        <w:t xml:space="preserve"> category in New Zealand comprises emissions from: </w:t>
      </w:r>
    </w:p>
    <w:p w14:paraId="7F31A6EB" w14:textId="77777777" w:rsidR="008A4F47" w:rsidRPr="00261B7A" w:rsidRDefault="008A4F47" w:rsidP="008A4F47">
      <w:pPr>
        <w:pStyle w:val="Bullet"/>
      </w:pPr>
      <w:r w:rsidRPr="00261B7A">
        <w:t>use of SF</w:t>
      </w:r>
      <w:r w:rsidRPr="00261B7A">
        <w:rPr>
          <w:vertAlign w:val="subscript"/>
        </w:rPr>
        <w:t>6</w:t>
      </w:r>
      <w:r w:rsidRPr="00261B7A">
        <w:t xml:space="preserve"> as an insulant and arc-extinguishing agent in electrical switchgear </w:t>
      </w:r>
    </w:p>
    <w:p w14:paraId="2EDD904A" w14:textId="77777777" w:rsidR="008A4F47" w:rsidRPr="00261B7A" w:rsidRDefault="008A4F47" w:rsidP="008A4F47">
      <w:pPr>
        <w:pStyle w:val="Bullet"/>
      </w:pPr>
      <w:r w:rsidRPr="00261B7A">
        <w:t>use of SF</w:t>
      </w:r>
      <w:r w:rsidRPr="00261B7A">
        <w:rPr>
          <w:vertAlign w:val="subscript"/>
        </w:rPr>
        <w:t>6</w:t>
      </w:r>
      <w:r w:rsidRPr="00261B7A">
        <w:t xml:space="preserve"> in eye surgery </w:t>
      </w:r>
    </w:p>
    <w:p w14:paraId="04F537BC" w14:textId="77777777" w:rsidR="008A4F47" w:rsidRPr="00261B7A" w:rsidRDefault="008A4F47" w:rsidP="008A4F47">
      <w:pPr>
        <w:pStyle w:val="Bullet"/>
      </w:pPr>
      <w:r w:rsidRPr="00261B7A">
        <w:t>use of PFCs (C</w:t>
      </w:r>
      <w:r w:rsidRPr="00261B7A">
        <w:rPr>
          <w:vertAlign w:val="subscript"/>
        </w:rPr>
        <w:t>2</w:t>
      </w:r>
      <w:r w:rsidRPr="00261B7A">
        <w:t>F</w:t>
      </w:r>
      <w:r w:rsidRPr="00261B7A">
        <w:rPr>
          <w:vertAlign w:val="subscript"/>
        </w:rPr>
        <w:t>6</w:t>
      </w:r>
      <w:r w:rsidRPr="00261B7A">
        <w:t xml:space="preserve"> and perfluoropropane (C</w:t>
      </w:r>
      <w:r w:rsidRPr="00261B7A">
        <w:rPr>
          <w:vertAlign w:val="subscript"/>
        </w:rPr>
        <w:t>3</w:t>
      </w:r>
      <w:r w:rsidRPr="00261B7A">
        <w:t>F</w:t>
      </w:r>
      <w:r w:rsidRPr="00261B7A">
        <w:rPr>
          <w:vertAlign w:val="subscript"/>
        </w:rPr>
        <w:t>8</w:t>
      </w:r>
      <w:r w:rsidRPr="00261B7A">
        <w:t xml:space="preserve">)) in eye surgery </w:t>
      </w:r>
    </w:p>
    <w:p w14:paraId="4E67DA66" w14:textId="77777777" w:rsidR="008A4F47" w:rsidRPr="00261B7A" w:rsidRDefault="008A4F47" w:rsidP="008A4F47">
      <w:pPr>
        <w:pStyle w:val="Bullet"/>
        <w:spacing w:after="100"/>
      </w:pPr>
      <w:r w:rsidRPr="00261B7A">
        <w:t>use of SF</w:t>
      </w:r>
      <w:r w:rsidRPr="00261B7A">
        <w:rPr>
          <w:vertAlign w:val="subscript"/>
        </w:rPr>
        <w:t>6</w:t>
      </w:r>
      <w:r w:rsidRPr="00261B7A">
        <w:t xml:space="preserve"> as a tracer gas in scientific experiments </w:t>
      </w:r>
    </w:p>
    <w:p w14:paraId="01325041" w14:textId="77777777" w:rsidR="008A4F47" w:rsidRPr="00261B7A" w:rsidRDefault="008A4F47" w:rsidP="008A4F47">
      <w:pPr>
        <w:pStyle w:val="Bullet"/>
        <w:spacing w:after="100"/>
      </w:pPr>
      <w:r w:rsidRPr="00261B7A">
        <w:t>possible other uses of SF</w:t>
      </w:r>
      <w:r w:rsidRPr="00261B7A">
        <w:rPr>
          <w:vertAlign w:val="subscript"/>
        </w:rPr>
        <w:t>6</w:t>
      </w:r>
      <w:r w:rsidRPr="00261B7A">
        <w:t>, such as in vehicle tyres and industrial equipment</w:t>
      </w:r>
    </w:p>
    <w:p w14:paraId="023D6EE3" w14:textId="77777777" w:rsidR="008A4F47" w:rsidRPr="00261B7A" w:rsidRDefault="008A4F47" w:rsidP="008A4F47">
      <w:pPr>
        <w:pStyle w:val="Bullet"/>
      </w:pPr>
      <w:r w:rsidRPr="00261B7A">
        <w:t>medical uses of N</w:t>
      </w:r>
      <w:r w:rsidRPr="00261B7A">
        <w:rPr>
          <w:vertAlign w:val="subscript"/>
        </w:rPr>
        <w:t>2</w:t>
      </w:r>
      <w:r w:rsidRPr="00261B7A">
        <w:t xml:space="preserve">O. </w:t>
      </w:r>
    </w:p>
    <w:p w14:paraId="09D3A075" w14:textId="77777777" w:rsidR="008A4F47" w:rsidRPr="00261B7A" w:rsidRDefault="008A4F47" w:rsidP="008A4F47">
      <w:pPr>
        <w:pStyle w:val="BodyText"/>
        <w:spacing w:before="100"/>
      </w:pPr>
      <w:r w:rsidRPr="00261B7A">
        <w:t>There are no emissions of nitrogen trifluoride (NF</w:t>
      </w:r>
      <w:r w:rsidRPr="00261B7A">
        <w:rPr>
          <w:vertAlign w:val="subscript"/>
        </w:rPr>
        <w:t>3</w:t>
      </w:r>
      <w:r w:rsidRPr="00261B7A">
        <w:t>) in New Zealand. Small amounts of indirect emissions (NMVOC and SO</w:t>
      </w:r>
      <w:r w:rsidRPr="00261B7A">
        <w:rPr>
          <w:vertAlign w:val="subscript"/>
        </w:rPr>
        <w:t>2</w:t>
      </w:r>
      <w:r w:rsidRPr="00261B7A">
        <w:t xml:space="preserve">) are reported from the manufacture of food and drink, pulp and paper, and board products (fibreboard and particleboard). </w:t>
      </w:r>
    </w:p>
    <w:p w14:paraId="16BF6B01" w14:textId="77777777" w:rsidR="008A4F47" w:rsidRPr="00261B7A" w:rsidRDefault="008A4F47" w:rsidP="008A4F47">
      <w:pPr>
        <w:pStyle w:val="BodyText"/>
        <w:spacing w:before="100"/>
      </w:pPr>
      <w:r w:rsidRPr="00261B7A">
        <w:t xml:space="preserve">There are no key categories. </w:t>
      </w:r>
    </w:p>
    <w:p w14:paraId="4878BCEF" w14:textId="77777777" w:rsidR="008A4F47" w:rsidRPr="00261B7A" w:rsidRDefault="008A4F47" w:rsidP="008A4F47">
      <w:pPr>
        <w:pStyle w:val="BodyText"/>
        <w:spacing w:before="100"/>
      </w:pPr>
      <w:r w:rsidRPr="00261B7A">
        <w:rPr>
          <w:spacing w:val="-2"/>
        </w:rPr>
        <w:t>In 2021,</w:t>
      </w:r>
      <w:r w:rsidRPr="00261B7A" w:rsidDel="00BE193D">
        <w:rPr>
          <w:spacing w:val="-2"/>
        </w:rPr>
        <w:t xml:space="preserve"> </w:t>
      </w:r>
      <w:r w:rsidRPr="00261B7A">
        <w:rPr>
          <w:spacing w:val="-2"/>
        </w:rPr>
        <w:t xml:space="preserve">emissions from the </w:t>
      </w:r>
      <w:r w:rsidRPr="00261B7A">
        <w:rPr>
          <w:i/>
          <w:spacing w:val="-2"/>
        </w:rPr>
        <w:t>Other product manufacture and use</w:t>
      </w:r>
      <w:r w:rsidRPr="00261B7A">
        <w:rPr>
          <w:spacing w:val="-2"/>
        </w:rPr>
        <w:t xml:space="preserve"> category totalled 105.3 kt CO</w:t>
      </w:r>
      <w:r w:rsidRPr="00261B7A">
        <w:rPr>
          <w:spacing w:val="-2"/>
          <w:vertAlign w:val="subscript"/>
        </w:rPr>
        <w:t>2</w:t>
      </w:r>
      <w:r w:rsidRPr="00261B7A">
        <w:rPr>
          <w:spacing w:val="-2"/>
        </w:rPr>
        <w:t>-e</w:t>
      </w:r>
      <w:r w:rsidRPr="00261B7A">
        <w:t xml:space="preserve"> or 2.3 per cent of emissions from the IPPU sector. This is a decrease of 14.4 kt (12.0 per cent) from the emissions in 1990, driven by a reduction in the importation and use of N</w:t>
      </w:r>
      <w:r w:rsidRPr="00261B7A">
        <w:rPr>
          <w:vertAlign w:val="subscript"/>
        </w:rPr>
        <w:t>2</w:t>
      </w:r>
      <w:r w:rsidRPr="00261B7A">
        <w:t xml:space="preserve">O over time. </w:t>
      </w:r>
    </w:p>
    <w:p w14:paraId="5AF4E6B4" w14:textId="77777777" w:rsidR="008A4F47" w:rsidRPr="00261B7A" w:rsidRDefault="008A4F47" w:rsidP="0034058F">
      <w:pPr>
        <w:pStyle w:val="Heading3"/>
      </w:pPr>
      <w:r w:rsidRPr="00261B7A">
        <w:t xml:space="preserve">4.8.2 </w:t>
      </w:r>
      <w:r w:rsidRPr="00261B7A">
        <w:tab/>
        <w:t>Methodological issues</w:t>
      </w:r>
    </w:p>
    <w:p w14:paraId="004364FB" w14:textId="77777777" w:rsidR="008A4F47" w:rsidRPr="00261B7A" w:rsidRDefault="008A4F47" w:rsidP="008A4F47">
      <w:pPr>
        <w:pStyle w:val="Heading4"/>
      </w:pPr>
      <w:r w:rsidRPr="00261B7A">
        <w:t>Choice of activity data</w:t>
      </w:r>
    </w:p>
    <w:p w14:paraId="34859FA4" w14:textId="77777777" w:rsidR="008A4F47" w:rsidRPr="00261B7A" w:rsidRDefault="008A4F47" w:rsidP="008A4F47">
      <w:pPr>
        <w:pStyle w:val="BodyText"/>
        <w:spacing w:before="100"/>
      </w:pPr>
      <w:r w:rsidRPr="00261B7A">
        <w:t>Companies importing or using SF</w:t>
      </w:r>
      <w:r w:rsidRPr="00261B7A">
        <w:rPr>
          <w:vertAlign w:val="subscript"/>
        </w:rPr>
        <w:t>6</w:t>
      </w:r>
      <w:r w:rsidRPr="00261B7A">
        <w:t xml:space="preserve"> and N</w:t>
      </w:r>
      <w:r w:rsidRPr="00261B7A">
        <w:rPr>
          <w:vertAlign w:val="subscript"/>
        </w:rPr>
        <w:t>2</w:t>
      </w:r>
      <w:r w:rsidRPr="00261B7A">
        <w:t>O provided data on their imports and holdings in response to an annual survey. This included all significant electricity companies, equipment manufacturers and industrial electricity users. In addition, companies that use SF</w:t>
      </w:r>
      <w:r w:rsidRPr="00261B7A">
        <w:rPr>
          <w:vertAlign w:val="subscript"/>
        </w:rPr>
        <w:t>6</w:t>
      </w:r>
      <w:r w:rsidRPr="00261B7A">
        <w:t xml:space="preserve"> in electrical equipment and have more than 1 tonne of the gas in operating equipment report their holdings and emissions in NZ ETS returns. </w:t>
      </w:r>
    </w:p>
    <w:p w14:paraId="054A21BD" w14:textId="77777777" w:rsidR="008A4F47" w:rsidRPr="00261B7A" w:rsidRDefault="008A4F47" w:rsidP="008A4F47">
      <w:pPr>
        <w:pStyle w:val="Heading5"/>
      </w:pPr>
      <w:r w:rsidRPr="00261B7A">
        <w:t>Electrical equipment (2.G.1)</w:t>
      </w:r>
    </w:p>
    <w:p w14:paraId="07FCF248" w14:textId="77777777" w:rsidR="008A4F47" w:rsidRPr="00261B7A" w:rsidRDefault="008A4F47" w:rsidP="008A4F47">
      <w:pPr>
        <w:pStyle w:val="BodyText"/>
        <w:spacing w:before="100"/>
      </w:pPr>
      <w:r w:rsidRPr="00261B7A">
        <w:t>Data on bulk imports of SF</w:t>
      </w:r>
      <w:r w:rsidRPr="00261B7A">
        <w:rPr>
          <w:vertAlign w:val="subscript"/>
        </w:rPr>
        <w:t>6</w:t>
      </w:r>
      <w:r w:rsidRPr="00261B7A">
        <w:t xml:space="preserve"> and the charge in installed equipment were supplied by New Zealand’s only manufacturer of relevant electrical equipment (ABB Limited) and by the electricity transmission and generation companies. The transmission and generation companies import SF</w:t>
      </w:r>
      <w:r w:rsidRPr="00261B7A">
        <w:rPr>
          <w:vertAlign w:val="subscript"/>
        </w:rPr>
        <w:t>6</w:t>
      </w:r>
      <w:r w:rsidRPr="00261B7A">
        <w:t xml:space="preserve"> for their own use. </w:t>
      </w:r>
    </w:p>
    <w:p w14:paraId="0DE7647D" w14:textId="77777777" w:rsidR="008A4F47" w:rsidRPr="00261B7A" w:rsidRDefault="008A4F47" w:rsidP="008A4F47">
      <w:pPr>
        <w:pStyle w:val="Heading5"/>
      </w:pPr>
      <w:r w:rsidRPr="00261B7A">
        <w:t>Sulphur hexafluoride and PFCs from other product use (2.G.2)</w:t>
      </w:r>
    </w:p>
    <w:p w14:paraId="0106C8F6" w14:textId="77777777" w:rsidR="008A4F47" w:rsidRPr="00261B7A" w:rsidRDefault="008A4F47" w:rsidP="008A4F47">
      <w:pPr>
        <w:pStyle w:val="BodyText"/>
        <w:spacing w:before="100" w:after="100"/>
      </w:pPr>
      <w:r w:rsidRPr="00261B7A">
        <w:t>One company (BOC Limited) imported SF</w:t>
      </w:r>
      <w:r w:rsidRPr="00261B7A">
        <w:rPr>
          <w:vertAlign w:val="subscript"/>
        </w:rPr>
        <w:t>6</w:t>
      </w:r>
      <w:r w:rsidRPr="00261B7A">
        <w:t xml:space="preserve"> into New Zealand (for uses other than electrical switchgear) until 2012. There is no other known importer, and some users appear to have been using previously imported supplies since that time. The current usage rate is assessed (from earlier importation rates) to be approximately 120 kilograms per year. This is made up of 30 kilograms for medical use, 50 kilograms for scientific use and 40 kilograms for other uses. </w:t>
      </w:r>
    </w:p>
    <w:p w14:paraId="7C5825A8" w14:textId="77777777" w:rsidR="008A4F47" w:rsidRPr="00261B7A" w:rsidRDefault="008A4F47" w:rsidP="008A4F47">
      <w:pPr>
        <w:pStyle w:val="BodyText"/>
        <w:spacing w:before="100"/>
      </w:pPr>
      <w:r w:rsidRPr="00261B7A">
        <w:t>Extremely small amounts of C</w:t>
      </w:r>
      <w:r w:rsidRPr="00261B7A">
        <w:rPr>
          <w:vertAlign w:val="subscript"/>
        </w:rPr>
        <w:t>2</w:t>
      </w:r>
      <w:r w:rsidRPr="00261B7A">
        <w:t>F</w:t>
      </w:r>
      <w:r w:rsidRPr="00261B7A">
        <w:rPr>
          <w:vertAlign w:val="subscript"/>
        </w:rPr>
        <w:t>6</w:t>
      </w:r>
      <w:r w:rsidRPr="00261B7A">
        <w:t xml:space="preserve"> and C</w:t>
      </w:r>
      <w:r w:rsidRPr="00261B7A">
        <w:rPr>
          <w:vertAlign w:val="subscript"/>
        </w:rPr>
        <w:t>3</w:t>
      </w:r>
      <w:r w:rsidRPr="00261B7A">
        <w:t>F</w:t>
      </w:r>
      <w:r w:rsidRPr="00261B7A">
        <w:rPr>
          <w:vertAlign w:val="subscript"/>
        </w:rPr>
        <w:t>8</w:t>
      </w:r>
      <w:r w:rsidRPr="00261B7A">
        <w:t xml:space="preserve"> have been imported into New Zealand from 2011, for use in a specialised type of eye surgery. The importer provided information on the amount imported: between 0.1 kilograms and 0.3 kilograms per year. </w:t>
      </w:r>
    </w:p>
    <w:p w14:paraId="5CA9A93F" w14:textId="77777777" w:rsidR="008A4F47" w:rsidRPr="00261B7A" w:rsidRDefault="008A4F47" w:rsidP="008A4F47">
      <w:pPr>
        <w:pStyle w:val="BodyText"/>
        <w:spacing w:before="100"/>
      </w:pPr>
      <w:r w:rsidRPr="00261B7A">
        <w:t>Enquiries to importers and the tyre industry have indicated that there is no use of SF</w:t>
      </w:r>
      <w:r w:rsidRPr="00261B7A">
        <w:rPr>
          <w:vertAlign w:val="subscript"/>
        </w:rPr>
        <w:t>6</w:t>
      </w:r>
      <w:r w:rsidRPr="00261B7A">
        <w:t xml:space="preserve"> in New Zealand for other applications such as double-glazed windows, tyres and shoes. </w:t>
      </w:r>
    </w:p>
    <w:p w14:paraId="73CECDFE" w14:textId="77777777" w:rsidR="008A4F47" w:rsidRPr="00261B7A" w:rsidRDefault="008A4F47" w:rsidP="008A4F47">
      <w:pPr>
        <w:pStyle w:val="Heading5"/>
      </w:pPr>
      <w:r w:rsidRPr="00261B7A">
        <w:t>Nitrous oxide from product uses (2.G.3)</w:t>
      </w:r>
    </w:p>
    <w:p w14:paraId="5FC18FFE" w14:textId="77777777" w:rsidR="008A4F47" w:rsidRPr="00261B7A" w:rsidRDefault="008A4F47" w:rsidP="008A4F47">
      <w:pPr>
        <w:pStyle w:val="BodyText"/>
        <w:spacing w:before="100"/>
      </w:pPr>
      <w:r w:rsidRPr="00261B7A">
        <w:t>Data on the import quantities of N</w:t>
      </w:r>
      <w:r w:rsidRPr="00261B7A">
        <w:rPr>
          <w:vertAlign w:val="subscript"/>
        </w:rPr>
        <w:t>2</w:t>
      </w:r>
      <w:r w:rsidRPr="00261B7A">
        <w:t>O were available from the New Zealand Customs Service and Stats NZ from 2005, but some of these are considered unreliable due to classification errors by importers. Survey responses from companies that sell N</w:t>
      </w:r>
      <w:r w:rsidRPr="00261B7A">
        <w:rPr>
          <w:vertAlign w:val="subscript"/>
        </w:rPr>
        <w:t>2</w:t>
      </w:r>
      <w:r w:rsidRPr="00261B7A">
        <w:t xml:space="preserve">O and import data have been assessed together to estimate the total imports, which vary between 181 tonnes and 205 tonnes per year (Verum Group, </w:t>
      </w:r>
      <w:r w:rsidRPr="00261B7A">
        <w:rPr>
          <w:rFonts w:eastAsia="+mn-ea"/>
        </w:rPr>
        <w:t>unpublished</w:t>
      </w:r>
      <w:r w:rsidRPr="00261B7A">
        <w:t xml:space="preserve">). </w:t>
      </w:r>
    </w:p>
    <w:p w14:paraId="1FBDF3E5" w14:textId="77777777" w:rsidR="008A4F47" w:rsidRPr="00261B7A" w:rsidRDefault="008A4F47" w:rsidP="008A4F47">
      <w:pPr>
        <w:pStyle w:val="Heading4"/>
        <w:rPr>
          <w:bCs/>
          <w:iCs/>
        </w:rPr>
      </w:pPr>
      <w:r w:rsidRPr="00261B7A">
        <w:t>Choice of methods</w:t>
      </w:r>
    </w:p>
    <w:p w14:paraId="55424BE4" w14:textId="77777777" w:rsidR="008A4F47" w:rsidRPr="00261B7A" w:rsidRDefault="008A4F47" w:rsidP="008A4F47">
      <w:pPr>
        <w:pStyle w:val="Heading5"/>
        <w:spacing w:before="120"/>
      </w:pPr>
      <w:r w:rsidRPr="00261B7A">
        <w:t>Electrical equipment (2.G.1)</w:t>
      </w:r>
    </w:p>
    <w:p w14:paraId="6B665067" w14:textId="77777777" w:rsidR="008A4F47" w:rsidRPr="00261B7A" w:rsidRDefault="008A4F47" w:rsidP="008A4F47">
      <w:pPr>
        <w:pStyle w:val="BodyText"/>
      </w:pPr>
      <w:r w:rsidRPr="00261B7A">
        <w:t xml:space="preserve">The national grid company, Transpower, and several of the larger electricity generation companies have supplied stocks and usage data that are detailed enough to allow the use of a Tier 3 approach for the years 2003 to 2019. This uses a mass balance calculation for closed pressure equipment and an emission factor calculation for sealed pressure equipment. </w:t>
      </w:r>
    </w:p>
    <w:p w14:paraId="4F2772CF" w14:textId="77777777" w:rsidR="008A4F47" w:rsidRPr="00261B7A" w:rsidRDefault="008A4F47" w:rsidP="008A4F47">
      <w:pPr>
        <w:pStyle w:val="BodyText"/>
      </w:pPr>
      <w:r w:rsidRPr="00261B7A">
        <w:t xml:space="preserve">For all data prior to 2003, and for the other distribution companies that do not have ETS reporting obligations and have not provided detailed data, a Tier 1 approach is used. </w:t>
      </w:r>
    </w:p>
    <w:p w14:paraId="376C3E8D" w14:textId="77777777" w:rsidR="008A4F47" w:rsidRPr="00261B7A" w:rsidRDefault="008A4F47" w:rsidP="008A4F47">
      <w:pPr>
        <w:pStyle w:val="BodyText"/>
      </w:pPr>
      <w:r w:rsidRPr="00261B7A">
        <w:t xml:space="preserve">Both approaches account for emissions from the operation and disposal of equipment. </w:t>
      </w:r>
    </w:p>
    <w:p w14:paraId="4EA86869" w14:textId="77777777" w:rsidR="008A4F47" w:rsidRPr="00261B7A" w:rsidRDefault="008A4F47" w:rsidP="008A4F47">
      <w:pPr>
        <w:pStyle w:val="Heading5"/>
      </w:pPr>
      <w:r w:rsidRPr="00261B7A">
        <w:t xml:space="preserve">Other </w:t>
      </w:r>
    </w:p>
    <w:p w14:paraId="2DBA5F09" w14:textId="77777777" w:rsidR="008A4F47" w:rsidRPr="00261B7A" w:rsidRDefault="008A4F47" w:rsidP="008A4F47">
      <w:pPr>
        <w:pStyle w:val="BodyText"/>
      </w:pPr>
      <w:r w:rsidRPr="00261B7A">
        <w:t>Because the quantities are small and the emissions are all considered to be prompt, Tier 1 methods are used for all other emissions in this category. All SF</w:t>
      </w:r>
      <w:r w:rsidRPr="00261B7A">
        <w:rPr>
          <w:vertAlign w:val="subscript"/>
        </w:rPr>
        <w:t>6</w:t>
      </w:r>
      <w:r w:rsidRPr="00261B7A">
        <w:t xml:space="preserve"> or N</w:t>
      </w:r>
      <w:r w:rsidRPr="00261B7A">
        <w:rPr>
          <w:vertAlign w:val="subscript"/>
        </w:rPr>
        <w:t>2</w:t>
      </w:r>
      <w:r w:rsidRPr="00261B7A">
        <w:t xml:space="preserve">O that is imported is assumed to be sold and emitted. </w:t>
      </w:r>
    </w:p>
    <w:p w14:paraId="61DC9C68" w14:textId="77777777" w:rsidR="008A4F47" w:rsidRPr="00261B7A" w:rsidRDefault="008A4F47" w:rsidP="008A4F47">
      <w:pPr>
        <w:pStyle w:val="Heading4"/>
        <w:rPr>
          <w:bCs/>
          <w:iCs/>
        </w:rPr>
      </w:pPr>
      <w:r w:rsidRPr="00261B7A">
        <w:t>Choice of emission factors</w:t>
      </w:r>
    </w:p>
    <w:p w14:paraId="67692E33" w14:textId="77777777" w:rsidR="008A4F47" w:rsidRPr="00261B7A" w:rsidRDefault="008A4F47" w:rsidP="008A4F47">
      <w:pPr>
        <w:pStyle w:val="Heading5"/>
        <w:spacing w:before="120"/>
      </w:pPr>
      <w:r w:rsidRPr="00261B7A">
        <w:t>Electrical equipment (2.G.1)</w:t>
      </w:r>
    </w:p>
    <w:p w14:paraId="491E545C" w14:textId="77777777" w:rsidR="008A4F47" w:rsidRPr="00261B7A" w:rsidRDefault="008A4F47" w:rsidP="008A4F47">
      <w:pPr>
        <w:pStyle w:val="BodyText"/>
      </w:pPr>
      <w:r w:rsidRPr="00261B7A">
        <w:t xml:space="preserve">Default loss rates have been used, where required, for sealed pressure equipment and where a Tier 1 method has had to be used. Factors based on Europe have been used, because these are based on a study that distinguished between sealed and closed equipment types (IPCC, 2006a). </w:t>
      </w:r>
    </w:p>
    <w:p w14:paraId="2B97349A" w14:textId="77777777" w:rsidR="008A4F47" w:rsidRPr="00261B7A" w:rsidRDefault="008A4F47" w:rsidP="008A4F47">
      <w:pPr>
        <w:pStyle w:val="BodyText"/>
      </w:pPr>
      <w:r w:rsidRPr="00261B7A">
        <w:rPr>
          <w:spacing w:val="-2"/>
        </w:rPr>
        <w:t>Improved information from surveys has allowed the use of these two different equipment types</w:t>
      </w:r>
      <w:r w:rsidRPr="00261B7A">
        <w:t xml:space="preserve"> in New Zealand to be better disaggregated over time, and the choice of emission factors has become progressively more accurate (Verum Group, </w:t>
      </w:r>
      <w:r w:rsidRPr="00261B7A">
        <w:rPr>
          <w:rFonts w:eastAsia="+mn-ea"/>
        </w:rPr>
        <w:t>unpublished</w:t>
      </w:r>
      <w:r w:rsidRPr="00261B7A">
        <w:t>). However, this distinction is not always clear and remains a source of uncertainty. Units that are described as sealed can sometimes be topped up with SF</w:t>
      </w:r>
      <w:r w:rsidRPr="00261B7A">
        <w:rPr>
          <w:vertAlign w:val="subscript"/>
        </w:rPr>
        <w:t>6</w:t>
      </w:r>
      <w:r w:rsidRPr="00261B7A">
        <w:t xml:space="preserve"> in service. </w:t>
      </w:r>
    </w:p>
    <w:p w14:paraId="62C9AFFD" w14:textId="77777777" w:rsidR="008A4F47" w:rsidRPr="00261B7A" w:rsidRDefault="008A4F47" w:rsidP="008A4F47">
      <w:pPr>
        <w:pStyle w:val="BodyText"/>
      </w:pPr>
      <w:r w:rsidRPr="00261B7A">
        <w:t>Losses on disposal are assessed as 95.0 per cent if a service agent is not used, and 5.0 per cent when service agents carry out the disposal and implement good recovery practices. No recovery of SF</w:t>
      </w:r>
      <w:r w:rsidRPr="00261B7A">
        <w:rPr>
          <w:vertAlign w:val="subscript"/>
        </w:rPr>
        <w:t>6</w:t>
      </w:r>
      <w:r w:rsidRPr="00261B7A">
        <w:t xml:space="preserve"> was reported before the year 2000. </w:t>
      </w:r>
    </w:p>
    <w:p w14:paraId="6E717804" w14:textId="77777777" w:rsidR="008A4F47" w:rsidRPr="00261B7A" w:rsidRDefault="008A4F47" w:rsidP="008A4F47">
      <w:pPr>
        <w:pStyle w:val="Heading5"/>
      </w:pPr>
      <w:r w:rsidRPr="00261B7A">
        <w:t xml:space="preserve">Other </w:t>
      </w:r>
    </w:p>
    <w:p w14:paraId="12161C01" w14:textId="77777777" w:rsidR="008A4F47" w:rsidRPr="00261B7A" w:rsidRDefault="008A4F47" w:rsidP="008A4F47">
      <w:pPr>
        <w:pStyle w:val="BodyText"/>
      </w:pPr>
      <w:r w:rsidRPr="00261B7A">
        <w:t>Emissions of SF</w:t>
      </w:r>
      <w:r w:rsidRPr="00261B7A">
        <w:rPr>
          <w:vertAlign w:val="subscript"/>
        </w:rPr>
        <w:t>6</w:t>
      </w:r>
      <w:r w:rsidRPr="00261B7A">
        <w:t xml:space="preserve"> and other gases for all other applications are assumed to be prompt, and an emission factor of either 50 per cent or 100 per cent is used, as appropriate. </w:t>
      </w:r>
    </w:p>
    <w:p w14:paraId="753D113A" w14:textId="77777777" w:rsidR="008A4F47" w:rsidRPr="00261B7A" w:rsidRDefault="008A4F47" w:rsidP="0034058F">
      <w:pPr>
        <w:pStyle w:val="Heading3"/>
      </w:pPr>
      <w:r w:rsidRPr="00261B7A">
        <w:t xml:space="preserve">4.8.3 </w:t>
      </w:r>
      <w:r w:rsidRPr="00261B7A">
        <w:tab/>
        <w:t>Uncertainties and time-series consistency</w:t>
      </w:r>
    </w:p>
    <w:p w14:paraId="42CAC71F" w14:textId="77777777" w:rsidR="008A4F47" w:rsidRPr="00261B7A" w:rsidRDefault="008A4F47" w:rsidP="008A4F47">
      <w:pPr>
        <w:pStyle w:val="Heading4"/>
        <w:rPr>
          <w:bCs/>
          <w:iCs/>
        </w:rPr>
      </w:pPr>
      <w:r w:rsidRPr="00261B7A">
        <w:t>Uncertainties</w:t>
      </w:r>
    </w:p>
    <w:p w14:paraId="7845BD36" w14:textId="77777777" w:rsidR="008A4F47" w:rsidRPr="00261B7A" w:rsidRDefault="008A4F47" w:rsidP="008A4F47">
      <w:pPr>
        <w:pStyle w:val="BodyText"/>
      </w:pPr>
      <w:r w:rsidRPr="00261B7A">
        <w:t>A mix of expert judgement and IPCC default uncertainties has been used for emissions in this category (see table 4.8.1). IPCC (2006a) recommends the use of expert judgement for sources such as N</w:t>
      </w:r>
      <w:r w:rsidRPr="00261B7A">
        <w:rPr>
          <w:vertAlign w:val="subscript"/>
        </w:rPr>
        <w:t>2</w:t>
      </w:r>
      <w:r w:rsidRPr="00261B7A">
        <w:t xml:space="preserve">O from product uses, because the uncertainties vary from country to country. For categories other than </w:t>
      </w:r>
      <w:r w:rsidRPr="00261B7A">
        <w:rPr>
          <w:i/>
        </w:rPr>
        <w:t>Electrical equipment</w:t>
      </w:r>
      <w:r w:rsidRPr="00261B7A">
        <w:t xml:space="preserve">, there is no uncertainty in emission factors because emissions are considered to be immediate. </w:t>
      </w:r>
    </w:p>
    <w:p w14:paraId="2678AF5D" w14:textId="77777777" w:rsidR="008A4F47" w:rsidRPr="00261B7A" w:rsidRDefault="008A4F47" w:rsidP="008A4F47">
      <w:pPr>
        <w:pStyle w:val="Table"/>
      </w:pPr>
      <w:bookmarkStart w:id="587" w:name="_Toc451176079"/>
      <w:bookmarkStart w:id="588" w:name="_Toc5269469"/>
      <w:bookmarkStart w:id="589" w:name="_Toc36224543"/>
      <w:bookmarkStart w:id="590" w:name="_Toc68786429"/>
      <w:bookmarkStart w:id="591" w:name="_Toc128042763"/>
      <w:bookmarkStart w:id="592" w:name="_Toc131591343"/>
      <w:r w:rsidRPr="00261B7A">
        <w:t>Table 4.8.1</w:t>
      </w:r>
      <w:r w:rsidRPr="00261B7A">
        <w:tab/>
        <w:t>Uncertainty in emissions from other product manufacture and use</w:t>
      </w:r>
      <w:bookmarkEnd w:id="587"/>
      <w:bookmarkEnd w:id="588"/>
      <w:bookmarkEnd w:id="589"/>
      <w:bookmarkEnd w:id="590"/>
      <w:bookmarkEnd w:id="591"/>
      <w:bookmarkEnd w:id="592"/>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981"/>
        <w:gridCol w:w="2535"/>
        <w:gridCol w:w="2989"/>
      </w:tblGrid>
      <w:tr w:rsidR="008A4F47" w:rsidRPr="00261B7A" w14:paraId="4FF89350" w14:textId="77777777" w:rsidTr="00D41492">
        <w:tc>
          <w:tcPr>
            <w:tcW w:w="3002" w:type="dxa"/>
            <w:shd w:val="clear" w:color="auto" w:fill="1B556B"/>
            <w:hideMark/>
          </w:tcPr>
          <w:p w14:paraId="7EEC483D" w14:textId="77777777" w:rsidR="008A4F47" w:rsidRPr="00261B7A" w:rsidRDefault="008A4F47" w:rsidP="00D41492">
            <w:pPr>
              <w:pStyle w:val="TableTextBold"/>
              <w:keepNext/>
              <w:rPr>
                <w:noProof w:val="0"/>
                <w:color w:val="FFFFFF"/>
              </w:rPr>
            </w:pPr>
            <w:r w:rsidRPr="00261B7A">
              <w:rPr>
                <w:noProof w:val="0"/>
                <w:color w:val="FFFFFF"/>
              </w:rPr>
              <w:t>Category</w:t>
            </w:r>
          </w:p>
        </w:tc>
        <w:tc>
          <w:tcPr>
            <w:tcW w:w="2551" w:type="dxa"/>
            <w:shd w:val="clear" w:color="auto" w:fill="1B556B"/>
            <w:hideMark/>
          </w:tcPr>
          <w:p w14:paraId="499C5AF9" w14:textId="77777777" w:rsidR="008A4F47" w:rsidRPr="00261B7A" w:rsidRDefault="008A4F47" w:rsidP="00D41492">
            <w:pPr>
              <w:pStyle w:val="TableTextBold"/>
              <w:keepNext/>
              <w:rPr>
                <w:noProof w:val="0"/>
                <w:color w:val="FFFFFF"/>
              </w:rPr>
            </w:pPr>
            <w:r w:rsidRPr="00261B7A">
              <w:rPr>
                <w:noProof w:val="0"/>
                <w:color w:val="FFFFFF"/>
              </w:rPr>
              <w:t>Uncertainty in activity data (%)</w:t>
            </w:r>
          </w:p>
        </w:tc>
        <w:tc>
          <w:tcPr>
            <w:tcW w:w="3009" w:type="dxa"/>
            <w:shd w:val="clear" w:color="auto" w:fill="1B556B"/>
            <w:hideMark/>
          </w:tcPr>
          <w:p w14:paraId="0E5AE464" w14:textId="77777777" w:rsidR="008A4F47" w:rsidRPr="00261B7A" w:rsidRDefault="008A4F47" w:rsidP="00D41492">
            <w:pPr>
              <w:pStyle w:val="TableTextBold"/>
              <w:keepNext/>
              <w:rPr>
                <w:noProof w:val="0"/>
                <w:color w:val="FFFFFF"/>
              </w:rPr>
            </w:pPr>
            <w:r w:rsidRPr="00261B7A">
              <w:rPr>
                <w:noProof w:val="0"/>
                <w:color w:val="FFFFFF"/>
              </w:rPr>
              <w:t>Uncertainty in emission factors (%)</w:t>
            </w:r>
          </w:p>
        </w:tc>
      </w:tr>
      <w:tr w:rsidR="008A4F47" w:rsidRPr="00261B7A" w14:paraId="740DF142" w14:textId="77777777" w:rsidTr="00D41492">
        <w:tc>
          <w:tcPr>
            <w:tcW w:w="3002" w:type="dxa"/>
            <w:shd w:val="clear" w:color="auto" w:fill="FFFFFF"/>
            <w:hideMark/>
          </w:tcPr>
          <w:p w14:paraId="0E384CBE" w14:textId="77777777" w:rsidR="008A4F47" w:rsidRPr="00261B7A" w:rsidRDefault="008A4F47" w:rsidP="00D41492">
            <w:pPr>
              <w:pStyle w:val="TableText"/>
              <w:keepNext/>
            </w:pPr>
            <w:r w:rsidRPr="00261B7A">
              <w:t>Electrical equipment</w:t>
            </w:r>
          </w:p>
        </w:tc>
        <w:tc>
          <w:tcPr>
            <w:tcW w:w="2551" w:type="dxa"/>
            <w:shd w:val="clear" w:color="auto" w:fill="FFFFFF"/>
            <w:hideMark/>
          </w:tcPr>
          <w:p w14:paraId="20E4BEFC" w14:textId="77777777" w:rsidR="008A4F47" w:rsidRPr="00261B7A" w:rsidRDefault="008A4F47" w:rsidP="00D41492">
            <w:pPr>
              <w:pStyle w:val="TableText"/>
              <w:keepNext/>
            </w:pPr>
            <w:r w:rsidRPr="00261B7A">
              <w:t>±20</w:t>
            </w:r>
          </w:p>
        </w:tc>
        <w:tc>
          <w:tcPr>
            <w:tcW w:w="3009" w:type="dxa"/>
            <w:shd w:val="clear" w:color="auto" w:fill="FFFFFF"/>
            <w:hideMark/>
          </w:tcPr>
          <w:p w14:paraId="027F989A" w14:textId="77777777" w:rsidR="008A4F47" w:rsidRPr="00261B7A" w:rsidRDefault="008A4F47" w:rsidP="00D41492">
            <w:pPr>
              <w:pStyle w:val="TableText"/>
              <w:keepNext/>
            </w:pPr>
            <w:r w:rsidRPr="00261B7A">
              <w:t xml:space="preserve">±30 </w:t>
            </w:r>
          </w:p>
        </w:tc>
      </w:tr>
      <w:tr w:rsidR="008A4F47" w:rsidRPr="00261B7A" w14:paraId="1EB84591" w14:textId="77777777" w:rsidTr="00D41492">
        <w:tc>
          <w:tcPr>
            <w:tcW w:w="3002" w:type="dxa"/>
            <w:shd w:val="clear" w:color="auto" w:fill="FFFFFF"/>
            <w:hideMark/>
          </w:tcPr>
          <w:p w14:paraId="55ED5C5A" w14:textId="77777777" w:rsidR="008A4F47" w:rsidRPr="00261B7A" w:rsidRDefault="008A4F47" w:rsidP="00D41492">
            <w:pPr>
              <w:pStyle w:val="TableText"/>
              <w:keepNext/>
            </w:pPr>
            <w:r w:rsidRPr="00261B7A">
              <w:t>Medical and other product use (SF</w:t>
            </w:r>
            <w:r w:rsidRPr="00261B7A">
              <w:rPr>
                <w:vertAlign w:val="subscript"/>
              </w:rPr>
              <w:t>6</w:t>
            </w:r>
            <w:r w:rsidRPr="00261B7A">
              <w:t>)</w:t>
            </w:r>
          </w:p>
        </w:tc>
        <w:tc>
          <w:tcPr>
            <w:tcW w:w="2551" w:type="dxa"/>
            <w:shd w:val="clear" w:color="auto" w:fill="FFFFFF"/>
            <w:hideMark/>
          </w:tcPr>
          <w:p w14:paraId="0DFCBE57" w14:textId="77777777" w:rsidR="008A4F47" w:rsidRPr="00261B7A" w:rsidRDefault="008A4F47" w:rsidP="00D41492">
            <w:pPr>
              <w:pStyle w:val="TableText"/>
              <w:keepNext/>
              <w:spacing w:after="0"/>
            </w:pPr>
            <w:r w:rsidRPr="00261B7A">
              <w:t xml:space="preserve">±80 </w:t>
            </w:r>
          </w:p>
        </w:tc>
        <w:tc>
          <w:tcPr>
            <w:tcW w:w="3009" w:type="dxa"/>
            <w:shd w:val="clear" w:color="auto" w:fill="FFFFFF"/>
            <w:hideMark/>
          </w:tcPr>
          <w:p w14:paraId="341EDAAF" w14:textId="77777777" w:rsidR="008A4F47" w:rsidRPr="00261B7A" w:rsidRDefault="008A4F47" w:rsidP="00D41492">
            <w:pPr>
              <w:pStyle w:val="TableText"/>
              <w:keepNext/>
            </w:pPr>
            <w:r w:rsidRPr="00261B7A">
              <w:t>–</w:t>
            </w:r>
          </w:p>
        </w:tc>
      </w:tr>
      <w:tr w:rsidR="008A4F47" w:rsidRPr="00261B7A" w14:paraId="38344EFA" w14:textId="77777777" w:rsidTr="00D41492">
        <w:tc>
          <w:tcPr>
            <w:tcW w:w="3002" w:type="dxa"/>
            <w:shd w:val="clear" w:color="auto" w:fill="FFFFFF"/>
            <w:hideMark/>
          </w:tcPr>
          <w:p w14:paraId="1E5184EC" w14:textId="77777777" w:rsidR="008A4F47" w:rsidRPr="00261B7A" w:rsidRDefault="008A4F47" w:rsidP="00D41492">
            <w:pPr>
              <w:pStyle w:val="TableText"/>
            </w:pPr>
            <w:r w:rsidRPr="00261B7A">
              <w:t>Medical and other product use (PFCs)</w:t>
            </w:r>
          </w:p>
        </w:tc>
        <w:tc>
          <w:tcPr>
            <w:tcW w:w="2551" w:type="dxa"/>
            <w:shd w:val="clear" w:color="auto" w:fill="FFFFFF"/>
            <w:hideMark/>
          </w:tcPr>
          <w:p w14:paraId="386522E2" w14:textId="77777777" w:rsidR="008A4F47" w:rsidRPr="00261B7A" w:rsidRDefault="008A4F47" w:rsidP="00D41492">
            <w:pPr>
              <w:pStyle w:val="TableText"/>
            </w:pPr>
            <w:r w:rsidRPr="00261B7A">
              <w:t>±80</w:t>
            </w:r>
          </w:p>
        </w:tc>
        <w:tc>
          <w:tcPr>
            <w:tcW w:w="3009" w:type="dxa"/>
            <w:shd w:val="clear" w:color="auto" w:fill="FFFFFF"/>
            <w:hideMark/>
          </w:tcPr>
          <w:p w14:paraId="1AF80714" w14:textId="77777777" w:rsidR="008A4F47" w:rsidRPr="00261B7A" w:rsidRDefault="008A4F47" w:rsidP="00D41492">
            <w:pPr>
              <w:pStyle w:val="TableText"/>
            </w:pPr>
            <w:r w:rsidRPr="00261B7A">
              <w:t>–</w:t>
            </w:r>
          </w:p>
        </w:tc>
      </w:tr>
      <w:tr w:rsidR="008A4F47" w:rsidRPr="00261B7A" w14:paraId="6313A7AF" w14:textId="77777777" w:rsidTr="00D41492">
        <w:tc>
          <w:tcPr>
            <w:tcW w:w="3002" w:type="dxa"/>
            <w:shd w:val="clear" w:color="auto" w:fill="FFFFFF"/>
            <w:hideMark/>
          </w:tcPr>
          <w:p w14:paraId="49C695F3" w14:textId="77777777" w:rsidR="008A4F47" w:rsidRPr="00261B7A" w:rsidRDefault="008A4F47" w:rsidP="00D41492">
            <w:pPr>
              <w:pStyle w:val="TableText"/>
            </w:pPr>
            <w:r w:rsidRPr="00261B7A">
              <w:t>N</w:t>
            </w:r>
            <w:r w:rsidRPr="00261B7A">
              <w:rPr>
                <w:vertAlign w:val="subscript"/>
              </w:rPr>
              <w:t>2</w:t>
            </w:r>
            <w:r w:rsidRPr="00261B7A">
              <w:t>O from other product uses</w:t>
            </w:r>
          </w:p>
        </w:tc>
        <w:tc>
          <w:tcPr>
            <w:tcW w:w="2551" w:type="dxa"/>
            <w:shd w:val="clear" w:color="auto" w:fill="FFFFFF"/>
            <w:hideMark/>
          </w:tcPr>
          <w:p w14:paraId="62736FE7" w14:textId="77777777" w:rsidR="008A4F47" w:rsidRPr="00261B7A" w:rsidRDefault="008A4F47" w:rsidP="00D41492">
            <w:pPr>
              <w:pStyle w:val="TableText"/>
              <w:spacing w:after="0"/>
            </w:pPr>
            <w:r w:rsidRPr="00261B7A">
              <w:t>±15</w:t>
            </w:r>
          </w:p>
        </w:tc>
        <w:tc>
          <w:tcPr>
            <w:tcW w:w="3009" w:type="dxa"/>
            <w:shd w:val="clear" w:color="auto" w:fill="FFFFFF"/>
            <w:hideMark/>
          </w:tcPr>
          <w:p w14:paraId="0198EEF4" w14:textId="77777777" w:rsidR="008A4F47" w:rsidRPr="00261B7A" w:rsidRDefault="008A4F47" w:rsidP="00D41492">
            <w:pPr>
              <w:pStyle w:val="TableText"/>
            </w:pPr>
            <w:r w:rsidRPr="00261B7A">
              <w:t>–</w:t>
            </w:r>
          </w:p>
        </w:tc>
      </w:tr>
    </w:tbl>
    <w:p w14:paraId="0414C264" w14:textId="77777777" w:rsidR="008A4F47" w:rsidRPr="00261B7A" w:rsidRDefault="008A4F47" w:rsidP="008A4F47">
      <w:pPr>
        <w:pStyle w:val="Heading4"/>
        <w:spacing w:before="360"/>
        <w:rPr>
          <w:bCs/>
          <w:iCs/>
        </w:rPr>
      </w:pPr>
      <w:r w:rsidRPr="00261B7A">
        <w:t>Time-series consistency</w:t>
      </w:r>
    </w:p>
    <w:p w14:paraId="2B721ECA" w14:textId="77777777" w:rsidR="008A4F47" w:rsidRPr="00261B7A" w:rsidRDefault="008A4F47" w:rsidP="008A4F47">
      <w:pPr>
        <w:pStyle w:val="BodyText"/>
      </w:pPr>
      <w:r w:rsidRPr="00261B7A">
        <w:t xml:space="preserve">The implied emission factors for the </w:t>
      </w:r>
      <w:r w:rsidRPr="00261B7A">
        <w:rPr>
          <w:i/>
        </w:rPr>
        <w:t>Electrical equipment</w:t>
      </w:r>
      <w:r w:rsidRPr="00261B7A">
        <w:t xml:space="preserve"> category have declined, due to improvements both in data quality and in the actual management of SF</w:t>
      </w:r>
      <w:r w:rsidRPr="00261B7A">
        <w:rPr>
          <w:vertAlign w:val="subscript"/>
        </w:rPr>
        <w:t>6</w:t>
      </w:r>
      <w:r w:rsidRPr="00261B7A">
        <w:t xml:space="preserve"> utilisation and recovery by Transpower and other users over time. Recovery did not occur before 2000. Imports of SF</w:t>
      </w:r>
      <w:r w:rsidRPr="00261B7A">
        <w:rPr>
          <w:vertAlign w:val="subscript"/>
        </w:rPr>
        <w:t>6</w:t>
      </w:r>
      <w:r w:rsidRPr="00261B7A">
        <w:t xml:space="preserve"> and N</w:t>
      </w:r>
      <w:r w:rsidRPr="00261B7A">
        <w:rPr>
          <w:vertAlign w:val="subscript"/>
        </w:rPr>
        <w:t>2</w:t>
      </w:r>
      <w:r w:rsidRPr="00261B7A">
        <w:t xml:space="preserve">O for other purposes have varied over time. </w:t>
      </w:r>
    </w:p>
    <w:p w14:paraId="54140885" w14:textId="77777777" w:rsidR="008A4F47" w:rsidRPr="00261B7A" w:rsidRDefault="008A4F47" w:rsidP="0034058F">
      <w:pPr>
        <w:pStyle w:val="Heading3"/>
      </w:pPr>
      <w:r w:rsidRPr="00261B7A">
        <w:t>4.8.4</w:t>
      </w:r>
      <w:r w:rsidRPr="00261B7A">
        <w:tab/>
        <w:t>Source-specific QA/QC and verification</w:t>
      </w:r>
    </w:p>
    <w:p w14:paraId="1F97A7B1" w14:textId="77777777" w:rsidR="008A4F47" w:rsidRPr="00261B7A" w:rsidRDefault="008A4F47" w:rsidP="008A4F47">
      <w:pPr>
        <w:pStyle w:val="BodyText"/>
      </w:pPr>
      <w:r w:rsidRPr="00261B7A">
        <w:rPr>
          <w:i/>
        </w:rPr>
        <w:t xml:space="preserve">Other product manufacture and use </w:t>
      </w:r>
      <w:r w:rsidRPr="00261B7A">
        <w:t xml:space="preserve">was a non-key category. </w:t>
      </w:r>
    </w:p>
    <w:p w14:paraId="1808EED2" w14:textId="77777777" w:rsidR="008A4F47" w:rsidRPr="00261B7A" w:rsidRDefault="008A4F47" w:rsidP="0034058F">
      <w:pPr>
        <w:pStyle w:val="Heading3"/>
      </w:pPr>
      <w:r w:rsidRPr="00261B7A">
        <w:t>4.8.5</w:t>
      </w:r>
      <w:r w:rsidRPr="00261B7A">
        <w:tab/>
        <w:t>Source-specific recalculations</w:t>
      </w:r>
    </w:p>
    <w:p w14:paraId="29BEA6A3" w14:textId="77777777" w:rsidR="008A4F47" w:rsidRPr="00261B7A" w:rsidRDefault="008A4F47" w:rsidP="008A4F47">
      <w:pPr>
        <w:pStyle w:val="BodyText"/>
      </w:pPr>
      <w:r w:rsidRPr="00261B7A">
        <w:t>Minor errors in reported SF</w:t>
      </w:r>
      <w:r w:rsidRPr="00261B7A">
        <w:rPr>
          <w:vertAlign w:val="subscript"/>
        </w:rPr>
        <w:t>6</w:t>
      </w:r>
      <w:r w:rsidRPr="00261B7A">
        <w:t xml:space="preserve"> stocks and disposal emissions in the </w:t>
      </w:r>
      <w:r w:rsidRPr="00261B7A">
        <w:rPr>
          <w:i/>
        </w:rPr>
        <w:t>Electrical equipment</w:t>
      </w:r>
      <w:r w:rsidRPr="00261B7A">
        <w:t xml:space="preserve"> category were corrected in the previous submission. </w:t>
      </w:r>
    </w:p>
    <w:p w14:paraId="120B8579" w14:textId="77777777" w:rsidR="008A4F47" w:rsidRPr="00261B7A" w:rsidRDefault="008A4F47" w:rsidP="008A4F47">
      <w:pPr>
        <w:pStyle w:val="BodyText"/>
      </w:pPr>
      <w:r w:rsidRPr="00261B7A">
        <w:t>There are no recalculations for the 2023 submission.</w:t>
      </w:r>
    </w:p>
    <w:p w14:paraId="5F0C26A8" w14:textId="77777777" w:rsidR="008A4F47" w:rsidRPr="00261B7A" w:rsidRDefault="008A4F47" w:rsidP="0034058F">
      <w:pPr>
        <w:pStyle w:val="Heading3"/>
      </w:pPr>
      <w:r w:rsidRPr="00261B7A">
        <w:t>4.8.6</w:t>
      </w:r>
      <w:r w:rsidRPr="00261B7A">
        <w:tab/>
        <w:t>Source-specific planned improvements</w:t>
      </w:r>
    </w:p>
    <w:p w14:paraId="7033E19B" w14:textId="77777777" w:rsidR="008A4F47" w:rsidRPr="00261B7A" w:rsidRDefault="008A4F47" w:rsidP="008A4F47">
      <w:pPr>
        <w:pStyle w:val="BodyText"/>
      </w:pPr>
      <w:r w:rsidRPr="00261B7A">
        <w:t xml:space="preserve">For the </w:t>
      </w:r>
      <w:r w:rsidRPr="00261B7A">
        <w:rPr>
          <w:i/>
        </w:rPr>
        <w:t>Electrical equipment</w:t>
      </w:r>
      <w:r w:rsidRPr="00261B7A">
        <w:t xml:space="preserve"> category, it is expected that further improved activity data and more detailed reporting on stocks of SF</w:t>
      </w:r>
      <w:r w:rsidRPr="00261B7A">
        <w:rPr>
          <w:vertAlign w:val="subscript"/>
        </w:rPr>
        <w:t>6</w:t>
      </w:r>
      <w:r w:rsidRPr="00261B7A">
        <w:t xml:space="preserve"> will become available over time from NZ ETS reporting and from surveys, as SF</w:t>
      </w:r>
      <w:r w:rsidRPr="00261B7A">
        <w:rPr>
          <w:vertAlign w:val="subscript"/>
        </w:rPr>
        <w:t>6</w:t>
      </w:r>
      <w:r w:rsidRPr="00261B7A">
        <w:t xml:space="preserve"> handling practices in the industry improve. Better information</w:t>
      </w:r>
      <w:r w:rsidRPr="00261B7A" w:rsidDel="00AD0C3D">
        <w:t xml:space="preserve"> </w:t>
      </w:r>
      <w:r w:rsidRPr="00261B7A">
        <w:t xml:space="preserve">may enable the consistent use of Tier 2 or Tier 3 methods for this category in future submissions. </w:t>
      </w:r>
    </w:p>
    <w:p w14:paraId="21436071" w14:textId="77777777" w:rsidR="00B44819" w:rsidRPr="00261B7A" w:rsidRDefault="00B44819" w:rsidP="00B44819">
      <w:pPr>
        <w:pStyle w:val="BodyText"/>
      </w:pPr>
      <w:bookmarkStart w:id="593" w:name="_Toc448321520"/>
      <w:bookmarkStart w:id="594" w:name="_Toc5269359"/>
      <w:bookmarkStart w:id="595" w:name="_Toc36224399"/>
      <w:bookmarkStart w:id="596" w:name="_Toc68786319"/>
      <w:r w:rsidRPr="00261B7A">
        <w:br w:type="page"/>
      </w:r>
    </w:p>
    <w:p w14:paraId="1162EAB4" w14:textId="3342B5C0" w:rsidR="008A4F47" w:rsidRPr="00261B7A" w:rsidRDefault="008A4F47" w:rsidP="008759CD">
      <w:pPr>
        <w:pStyle w:val="Heading2"/>
        <w:spacing w:before="0" w:after="480"/>
      </w:pPr>
      <w:bookmarkStart w:id="597" w:name="_Toc131591234"/>
      <w:r w:rsidRPr="00261B7A">
        <w:t>Chapter 4: References</w:t>
      </w:r>
      <w:bookmarkEnd w:id="593"/>
      <w:bookmarkEnd w:id="594"/>
      <w:bookmarkEnd w:id="595"/>
      <w:bookmarkEnd w:id="596"/>
      <w:bookmarkEnd w:id="597"/>
    </w:p>
    <w:p w14:paraId="1AD2A461" w14:textId="77777777" w:rsidR="008A4F47" w:rsidRPr="00261B7A" w:rsidRDefault="008A4F47" w:rsidP="008A4F47">
      <w:pPr>
        <w:pStyle w:val="References"/>
      </w:pPr>
      <w:r w:rsidRPr="00261B7A">
        <w:t xml:space="preserve">Cement and Concrete Association of New Zealand. 1995. The state of the standards. </w:t>
      </w:r>
      <w:r w:rsidRPr="00261B7A">
        <w:rPr>
          <w:i/>
        </w:rPr>
        <w:t xml:space="preserve">New Zealand Concrete Construction </w:t>
      </w:r>
      <w:r w:rsidRPr="00261B7A">
        <w:t xml:space="preserve">October/November. p 40. </w:t>
      </w:r>
    </w:p>
    <w:p w14:paraId="1DF8DE6E" w14:textId="77777777" w:rsidR="008A4F47" w:rsidRPr="00261B7A" w:rsidRDefault="008A4F47" w:rsidP="008A4F47">
      <w:pPr>
        <w:pStyle w:val="References"/>
      </w:pPr>
      <w:r w:rsidRPr="00261B7A">
        <w:t xml:space="preserve">Christie T, Thompson B, Brathwaite B. 1999. </w:t>
      </w:r>
      <w:r w:rsidRPr="00261B7A">
        <w:rPr>
          <w:i/>
        </w:rPr>
        <w:t>Mineral Commodity Report 20 – Clays</w:t>
      </w:r>
      <w:r w:rsidRPr="00261B7A">
        <w:t>.</w:t>
      </w:r>
      <w:r w:rsidRPr="00261B7A">
        <w:rPr>
          <w:i/>
        </w:rPr>
        <w:t xml:space="preserve"> </w:t>
      </w:r>
      <w:r w:rsidRPr="00261B7A">
        <w:t xml:space="preserve">Wellington: Institute of Geological and Nuclear Sciences. </w:t>
      </w:r>
    </w:p>
    <w:p w14:paraId="6F79D67C" w14:textId="77777777" w:rsidR="008A4F47" w:rsidRPr="00261B7A" w:rsidRDefault="008A4F47" w:rsidP="008A4F47">
      <w:pPr>
        <w:pStyle w:val="References"/>
      </w:pPr>
      <w:r w:rsidRPr="00261B7A">
        <w:t>CRL Energy Ltd. Unpublished(a). Hennessy W, Maxwell D. Inventory of HFC, PFC and SF</w:t>
      </w:r>
      <w:r w:rsidRPr="00261B7A">
        <w:rPr>
          <w:vertAlign w:val="subscript"/>
        </w:rPr>
        <w:t>6</w:t>
      </w:r>
      <w:r w:rsidRPr="00261B7A">
        <w:t xml:space="preserve"> Emissions for New Zealand 2004–2005. A report by CRL Energy Ltd to the Ministry for the Environment in 2006.</w:t>
      </w:r>
    </w:p>
    <w:p w14:paraId="3026398D" w14:textId="77777777" w:rsidR="008A4F47" w:rsidRPr="00261B7A" w:rsidRDefault="008A4F47" w:rsidP="008A4F47">
      <w:pPr>
        <w:pStyle w:val="References"/>
      </w:pPr>
      <w:r w:rsidRPr="00261B7A">
        <w:t>CRL Energy Ltd. Unpublished(b). Hennessy W, Maxwell D. Inventory of Non-CO</w:t>
      </w:r>
      <w:r w:rsidRPr="00261B7A">
        <w:rPr>
          <w:vertAlign w:val="subscript"/>
        </w:rPr>
        <w:t>2</w:t>
      </w:r>
      <w:r w:rsidRPr="00261B7A">
        <w:t xml:space="preserve"> Greenhouse Gas Emissions from Industrial Sources and Solvents for New Zealand 2004–2005. A report by CRL Energy Ltd to the Ministry for the Environment in 2006.</w:t>
      </w:r>
    </w:p>
    <w:p w14:paraId="457A9C48" w14:textId="77777777" w:rsidR="008A4F47" w:rsidRPr="00261B7A" w:rsidRDefault="008A4F47" w:rsidP="008A4F47">
      <w:pPr>
        <w:pStyle w:val="References"/>
      </w:pPr>
      <w:r w:rsidRPr="00261B7A">
        <w:t xml:space="preserve">International Aluminium Institute. 2006. </w:t>
      </w:r>
      <w:r w:rsidRPr="00261B7A">
        <w:rPr>
          <w:i/>
        </w:rPr>
        <w:t>The Aluminium Sector Greenhouse Gas Protocol</w:t>
      </w:r>
      <w:r w:rsidRPr="00261B7A">
        <w:t xml:space="preserve">. London: International Aluminium Institute. </w:t>
      </w:r>
    </w:p>
    <w:p w14:paraId="0BCA49A1" w14:textId="77777777" w:rsidR="008A4F47" w:rsidRPr="00261B7A" w:rsidRDefault="008A4F47" w:rsidP="008A4F47">
      <w:pPr>
        <w:pStyle w:val="References"/>
      </w:pPr>
      <w:r w:rsidRPr="00261B7A">
        <w:t xml:space="preserve">IPCC. 2006a. Eggleston HS, Buendia L, Miwa K, Ngara T, Tanabe K (eds). </w:t>
      </w:r>
      <w:r w:rsidRPr="00261B7A">
        <w:rPr>
          <w:i/>
        </w:rPr>
        <w:t>2006 IPCC</w:t>
      </w:r>
      <w:r w:rsidRPr="00261B7A">
        <w:t xml:space="preserve"> </w:t>
      </w:r>
      <w:r w:rsidRPr="00261B7A">
        <w:rPr>
          <w:i/>
        </w:rPr>
        <w:t>Guidelines for National Greenhouse Gas Inventories. Volume 3. Industrial Processes and Product Use</w:t>
      </w:r>
      <w:r w:rsidRPr="00261B7A">
        <w:t>. IPCC National Greenhouse Gas Inventories Programme. Japan: Institute for Global Environmental Strategies for IPCC.</w:t>
      </w:r>
    </w:p>
    <w:p w14:paraId="6A77664D" w14:textId="77777777" w:rsidR="008A4F47" w:rsidRPr="00261B7A" w:rsidRDefault="008A4F47" w:rsidP="008A4F47">
      <w:pPr>
        <w:pStyle w:val="References"/>
      </w:pPr>
      <w:r w:rsidRPr="00261B7A">
        <w:t xml:space="preserve">IPCC. 2006b. Eggleston HS, Buendia L, Miwa K, Ngara T, Tanabe K (eds). </w:t>
      </w:r>
      <w:r w:rsidRPr="00261B7A">
        <w:rPr>
          <w:i/>
          <w:iCs/>
        </w:rPr>
        <w:t>2006 IPCC Guidelines for National Greenhouse Gas Inventories. Volume 2. Energy</w:t>
      </w:r>
      <w:r w:rsidRPr="00261B7A">
        <w:t>. IPCC National Greenhouse Gas Inventories Programme. Japan: Institute for Global Environmental Strategies for IPCC.</w:t>
      </w:r>
    </w:p>
    <w:p w14:paraId="019C7663" w14:textId="77777777" w:rsidR="008A4F47" w:rsidRPr="00261B7A" w:rsidRDefault="008A4F47" w:rsidP="008A4F47">
      <w:pPr>
        <w:pStyle w:val="References"/>
      </w:pPr>
      <w:r w:rsidRPr="00261B7A">
        <w:t>Ure CR. 2000. Alternative Iron-making at BHP New Zealand Steel</w:t>
      </w:r>
      <w:r w:rsidRPr="00261B7A">
        <w:rPr>
          <w:i/>
        </w:rPr>
        <w:t>.</w:t>
      </w:r>
      <w:r w:rsidRPr="00261B7A">
        <w:t xml:space="preserve"> In: </w:t>
      </w:r>
      <w:r w:rsidRPr="00261B7A">
        <w:rPr>
          <w:i/>
        </w:rPr>
        <w:t>58th Electric Furnace Conference and 17th Process Technology Conference Proceedings</w:t>
      </w:r>
      <w:r w:rsidRPr="00261B7A">
        <w:t xml:space="preserve">. Orlando, FL: Iron and Steel Society. </w:t>
      </w:r>
      <w:r w:rsidRPr="00261B7A">
        <w:br/>
        <w:t>12–15 November 2000. pp 535–546.</w:t>
      </w:r>
    </w:p>
    <w:p w14:paraId="6A766258" w14:textId="77777777" w:rsidR="008A4F47" w:rsidRPr="00261B7A" w:rsidRDefault="008A4F47" w:rsidP="008A4F47">
      <w:pPr>
        <w:pStyle w:val="References"/>
        <w:ind w:right="141"/>
      </w:pPr>
      <w:r w:rsidRPr="00261B7A">
        <w:t>Verum Group Ltd. Unpublished. Hennessy W. Inventory of HFC, SF</w:t>
      </w:r>
      <w:r w:rsidRPr="00261B7A">
        <w:rPr>
          <w:vertAlign w:val="subscript"/>
        </w:rPr>
        <w:t>6</w:t>
      </w:r>
      <w:r w:rsidRPr="00261B7A">
        <w:t xml:space="preserve"> and Other Industrial Process Emissions for New Zealand 2021. A report by Verum Group Ltd to the Ministry for the Environment in 2022.</w:t>
      </w:r>
    </w:p>
    <w:p w14:paraId="5AA7B484" w14:textId="77777777" w:rsidR="008A4F47" w:rsidRPr="00261B7A" w:rsidRDefault="008A4F47" w:rsidP="008A4F47">
      <w:pPr>
        <w:pStyle w:val="References"/>
      </w:pPr>
      <w:r w:rsidRPr="00261B7A">
        <w:t xml:space="preserve">World Business Council for Sustainable Development. 2005. </w:t>
      </w:r>
      <w:r w:rsidRPr="00261B7A">
        <w:rPr>
          <w:i/>
        </w:rPr>
        <w:t>The Cement CO</w:t>
      </w:r>
      <w:r w:rsidRPr="00261B7A">
        <w:rPr>
          <w:i/>
          <w:vertAlign w:val="subscript"/>
        </w:rPr>
        <w:t>2</w:t>
      </w:r>
      <w:r w:rsidRPr="00261B7A">
        <w:rPr>
          <w:i/>
        </w:rPr>
        <w:t xml:space="preserve"> Protocol: CO</w:t>
      </w:r>
      <w:r w:rsidRPr="00261B7A">
        <w:rPr>
          <w:i/>
          <w:vertAlign w:val="subscript"/>
        </w:rPr>
        <w:t>2</w:t>
      </w:r>
      <w:r w:rsidRPr="00261B7A">
        <w:rPr>
          <w:i/>
        </w:rPr>
        <w:t xml:space="preserve"> Accounting and Reporting Standard for the Cement Industry</w:t>
      </w:r>
      <w:r w:rsidRPr="00261B7A">
        <w:t xml:space="preserve">. Switzerland: World Business Council for Sustainable Development. </w:t>
      </w:r>
    </w:p>
    <w:p w14:paraId="6EC51C7E" w14:textId="77777777" w:rsidR="008A4F47" w:rsidRPr="00261B7A" w:rsidRDefault="008A4F47" w:rsidP="008A4F47"/>
    <w:p w14:paraId="436915C6" w14:textId="77777777" w:rsidR="00FD604D" w:rsidRPr="00261B7A" w:rsidRDefault="00FD604D" w:rsidP="009F5DA6">
      <w:pPr>
        <w:sectPr w:rsidR="00FD604D" w:rsidRPr="00261B7A" w:rsidSect="0034058F">
          <w:footerReference w:type="even" r:id="rId101"/>
          <w:footerReference w:type="default" r:id="rId102"/>
          <w:pgSz w:w="11907" w:h="16840" w:code="9"/>
          <w:pgMar w:top="1418" w:right="1701" w:bottom="1418" w:left="1701" w:header="567" w:footer="567" w:gutter="0"/>
          <w:cols w:space="720"/>
        </w:sectPr>
      </w:pPr>
    </w:p>
    <w:p w14:paraId="4CBE7F2D" w14:textId="77777777" w:rsidR="00994F64" w:rsidRPr="00261B7A" w:rsidRDefault="00994F64" w:rsidP="00994F64">
      <w:pPr>
        <w:pStyle w:val="Heading1"/>
      </w:pPr>
      <w:bookmarkStart w:id="598" w:name="_Toc36224400"/>
      <w:bookmarkStart w:id="599" w:name="_Toc68786320"/>
      <w:bookmarkStart w:id="600" w:name="_Toc131591235"/>
      <w:r w:rsidRPr="00261B7A">
        <w:t>Chapter 5: Agriculture</w:t>
      </w:r>
      <w:bookmarkEnd w:id="598"/>
      <w:bookmarkEnd w:id="599"/>
      <w:bookmarkEnd w:id="600"/>
    </w:p>
    <w:p w14:paraId="4321D14A" w14:textId="77777777" w:rsidR="00994F64" w:rsidRPr="00261B7A" w:rsidRDefault="00994F64" w:rsidP="00994F64">
      <w:pPr>
        <w:pStyle w:val="Heading2"/>
        <w:spacing w:before="240"/>
      </w:pPr>
      <w:bookmarkStart w:id="601" w:name="_Toc481751384"/>
      <w:bookmarkStart w:id="602" w:name="_Toc511116599"/>
      <w:bookmarkStart w:id="603" w:name="_Toc5269361"/>
      <w:bookmarkStart w:id="604" w:name="_Toc32570642"/>
      <w:bookmarkStart w:id="605" w:name="_Toc36224401"/>
      <w:bookmarkStart w:id="606" w:name="_Toc68786321"/>
      <w:bookmarkStart w:id="607" w:name="_Toc131591236"/>
      <w:r w:rsidRPr="00261B7A">
        <w:t xml:space="preserve">5.1 </w:t>
      </w:r>
      <w:r w:rsidRPr="00261B7A">
        <w:tab/>
        <w:t>Sector overview</w:t>
      </w:r>
      <w:bookmarkEnd w:id="601"/>
      <w:bookmarkEnd w:id="602"/>
      <w:bookmarkEnd w:id="603"/>
      <w:bookmarkEnd w:id="604"/>
      <w:bookmarkEnd w:id="605"/>
      <w:bookmarkEnd w:id="606"/>
      <w:bookmarkEnd w:id="607"/>
    </w:p>
    <w:p w14:paraId="0366EBF6" w14:textId="77777777" w:rsidR="00994F64" w:rsidRPr="00261B7A" w:rsidRDefault="00994F64" w:rsidP="00994F64">
      <w:pPr>
        <w:pStyle w:val="Heading4"/>
        <w:spacing w:before="200"/>
      </w:pPr>
      <w:r w:rsidRPr="00261B7A">
        <w:t xml:space="preserve">Emissions summary </w:t>
      </w:r>
    </w:p>
    <w:p w14:paraId="1E76FB4F" w14:textId="77777777" w:rsidR="00994F64" w:rsidRPr="00261B7A" w:rsidRDefault="00994F64" w:rsidP="00994F64">
      <w:pPr>
        <w:pStyle w:val="Heading5"/>
        <w:spacing w:before="200"/>
      </w:pPr>
      <w:r w:rsidRPr="00261B7A">
        <w:t>2021</w:t>
      </w:r>
    </w:p>
    <w:p w14:paraId="5593CF5A" w14:textId="77777777" w:rsidR="00994F64" w:rsidRPr="00261B7A" w:rsidRDefault="00994F64" w:rsidP="00994F64">
      <w:pPr>
        <w:pStyle w:val="BodyText"/>
      </w:pPr>
      <w:r w:rsidRPr="00261B7A">
        <w:t>In 2021, emissions from the Agriculture sector totalled 37,786.1 kilotonnes carbon dioxide equivalent (kt CO</w:t>
      </w:r>
      <w:r w:rsidRPr="00261B7A">
        <w:rPr>
          <w:vertAlign w:val="subscript"/>
        </w:rPr>
        <w:t>2</w:t>
      </w:r>
      <w:r w:rsidRPr="00261B7A">
        <w:t xml:space="preserve">-e), representing 49.2 per cent of New Zealand’s gross emissions in 2021. </w:t>
      </w:r>
    </w:p>
    <w:p w14:paraId="22869EBE" w14:textId="77777777" w:rsidR="00994F64" w:rsidRPr="00261B7A" w:rsidRDefault="00994F64" w:rsidP="00994F64">
      <w:pPr>
        <w:pStyle w:val="BodyText"/>
      </w:pPr>
      <w:r w:rsidRPr="00261B7A">
        <w:rPr>
          <w:i/>
          <w:iCs/>
        </w:rPr>
        <w:t>Enteric fermentation</w:t>
      </w:r>
      <w:r w:rsidRPr="00261B7A">
        <w:t xml:space="preserve"> was the main source of Agriculture emissions, contributing 73.7 per cent (27,859.0 kt CO</w:t>
      </w:r>
      <w:r w:rsidRPr="00261B7A">
        <w:rPr>
          <w:vertAlign w:val="subscript"/>
        </w:rPr>
        <w:t>2</w:t>
      </w:r>
      <w:r w:rsidRPr="00261B7A">
        <w:t xml:space="preserve">-e) of the sector’s emissions. </w:t>
      </w:r>
      <w:r w:rsidRPr="00261B7A">
        <w:rPr>
          <w:i/>
          <w:iCs/>
        </w:rPr>
        <w:t xml:space="preserve">Agricultural soils </w:t>
      </w:r>
      <w:r w:rsidRPr="00261B7A">
        <w:t xml:space="preserve">(19.4 per cent) was the second largest source followed by </w:t>
      </w:r>
      <w:r w:rsidRPr="00261B7A">
        <w:rPr>
          <w:i/>
          <w:iCs/>
        </w:rPr>
        <w:t xml:space="preserve">Manure management </w:t>
      </w:r>
      <w:r w:rsidRPr="00261B7A">
        <w:t xml:space="preserve">(4.4 per cent). </w:t>
      </w:r>
      <w:r w:rsidRPr="00261B7A">
        <w:rPr>
          <w:i/>
          <w:iCs/>
        </w:rPr>
        <w:t xml:space="preserve">Urea application </w:t>
      </w:r>
      <w:r w:rsidRPr="00261B7A">
        <w:t xml:space="preserve">and </w:t>
      </w:r>
      <w:r w:rsidRPr="00261B7A">
        <w:rPr>
          <w:i/>
          <w:iCs/>
        </w:rPr>
        <w:t>Liming</w:t>
      </w:r>
      <w:r w:rsidRPr="00261B7A">
        <w:t xml:space="preserve"> contributed 1.5 per cent and 0.9 per cent respectively. </w:t>
      </w:r>
      <w:r w:rsidRPr="00261B7A">
        <w:rPr>
          <w:i/>
          <w:iCs/>
        </w:rPr>
        <w:t>Field burning of agricultural residues</w:t>
      </w:r>
      <w:r w:rsidRPr="00261B7A">
        <w:t xml:space="preserve"> contributed the remaining 0.1 per cent.</w:t>
      </w:r>
    </w:p>
    <w:p w14:paraId="218499D8" w14:textId="77777777" w:rsidR="00994F64" w:rsidRPr="00261B7A" w:rsidRDefault="00994F64" w:rsidP="00994F64">
      <w:pPr>
        <w:pStyle w:val="BodyText"/>
      </w:pPr>
      <w:r w:rsidRPr="00261B7A">
        <w:rPr>
          <w:spacing w:val="-2"/>
        </w:rPr>
        <w:t>Methane (CH</w:t>
      </w:r>
      <w:r w:rsidRPr="00261B7A">
        <w:rPr>
          <w:spacing w:val="-2"/>
          <w:vertAlign w:val="subscript"/>
        </w:rPr>
        <w:t>4</w:t>
      </w:r>
      <w:r w:rsidRPr="00261B7A">
        <w:rPr>
          <w:spacing w:val="-2"/>
        </w:rPr>
        <w:t xml:space="preserve">) emissions from </w:t>
      </w:r>
      <w:r w:rsidRPr="00261B7A">
        <w:rPr>
          <w:i/>
          <w:iCs/>
          <w:spacing w:val="-2"/>
        </w:rPr>
        <w:t>Enteric fermentation</w:t>
      </w:r>
      <w:r w:rsidRPr="00261B7A">
        <w:rPr>
          <w:spacing w:val="-2"/>
        </w:rPr>
        <w:t xml:space="preserve"> contributed 36.3 per cent of New Zealand’s</w:t>
      </w:r>
      <w:r w:rsidRPr="00261B7A">
        <w:t xml:space="preserve"> gross emissions, and nitrous oxide (N</w:t>
      </w:r>
      <w:r w:rsidRPr="00261B7A">
        <w:rPr>
          <w:vertAlign w:val="subscript"/>
        </w:rPr>
        <w:t>2</w:t>
      </w:r>
      <w:r w:rsidRPr="00261B7A">
        <w:t xml:space="preserve">O) emissions from the </w:t>
      </w:r>
      <w:r w:rsidRPr="00261B7A">
        <w:rPr>
          <w:i/>
          <w:iCs/>
        </w:rPr>
        <w:t>Agricultural soils</w:t>
      </w:r>
      <w:r w:rsidRPr="00261B7A">
        <w:t xml:space="preserve"> category contributed 9.5 per cent of New Zealand’s gross emissions.</w:t>
      </w:r>
    </w:p>
    <w:p w14:paraId="770EBD7F" w14:textId="77777777" w:rsidR="00994F64" w:rsidRPr="00261B7A" w:rsidRDefault="00994F64" w:rsidP="00994F64">
      <w:pPr>
        <w:pStyle w:val="BodyText"/>
      </w:pPr>
      <w:r w:rsidRPr="00261B7A">
        <w:t>New Zealand reports emissions from Tokelau, which is a dependent territory of New Zealand. Tokelau emissions are reported for all activities in annex 7 of the National Inventory Report and within the ‘Other’ sector in the common reporting format (CRF) tables. Therefore, all emissions reported in this sector are from New Zealand excluding Tokelau. Please refer to chapter 8 and annex 7 for details of methods applied and emissions for Tokelau.</w:t>
      </w:r>
    </w:p>
    <w:p w14:paraId="0B889CAA" w14:textId="77777777" w:rsidR="00994F64" w:rsidRPr="00261B7A" w:rsidRDefault="00994F64" w:rsidP="00994F64">
      <w:pPr>
        <w:pStyle w:val="Heading5"/>
        <w:spacing w:before="200"/>
      </w:pPr>
      <w:r w:rsidRPr="00261B7A">
        <w:t>1990–2021</w:t>
      </w:r>
    </w:p>
    <w:p w14:paraId="12EECC0D" w14:textId="77777777" w:rsidR="00994F64" w:rsidRPr="00261B7A" w:rsidRDefault="00994F64" w:rsidP="00994F64">
      <w:pPr>
        <w:pStyle w:val="BodyText"/>
      </w:pPr>
      <w:r w:rsidRPr="00261B7A">
        <w:t xml:space="preserve">In 2021, New Zealand’s Agriculture sector emissions were 13.4 per cent (4,474.1 kt </w:t>
      </w:r>
      <w:r w:rsidRPr="00261B7A">
        <w:rPr>
          <w:spacing w:val="-2"/>
        </w:rPr>
        <w:t>CO</w:t>
      </w:r>
      <w:r w:rsidRPr="00261B7A">
        <w:rPr>
          <w:spacing w:val="-2"/>
          <w:vertAlign w:val="subscript"/>
        </w:rPr>
        <w:t>2</w:t>
      </w:r>
      <w:r w:rsidRPr="00261B7A">
        <w:rPr>
          <w:spacing w:val="-2"/>
        </w:rPr>
        <w:t>-e</w:t>
      </w:r>
      <w:r w:rsidRPr="00261B7A">
        <w:t xml:space="preserve">) above the 1990 level (33,312.0 kt </w:t>
      </w:r>
      <w:r w:rsidRPr="00261B7A">
        <w:rPr>
          <w:spacing w:val="-2"/>
        </w:rPr>
        <w:t>CO</w:t>
      </w:r>
      <w:r w:rsidRPr="00261B7A">
        <w:rPr>
          <w:spacing w:val="-2"/>
          <w:vertAlign w:val="subscript"/>
        </w:rPr>
        <w:t>2</w:t>
      </w:r>
      <w:r w:rsidRPr="00261B7A">
        <w:rPr>
          <w:spacing w:val="-2"/>
        </w:rPr>
        <w:t>-e</w:t>
      </w:r>
      <w:r w:rsidRPr="00261B7A">
        <w:t>) (table 5.1.1).</w:t>
      </w:r>
    </w:p>
    <w:p w14:paraId="6E16BB3A" w14:textId="77777777" w:rsidR="00994F64" w:rsidRPr="00261B7A" w:rsidRDefault="00994F64" w:rsidP="00994F64">
      <w:pPr>
        <w:pStyle w:val="Table"/>
        <w:rPr>
          <w:rFonts w:cs="Calibri"/>
        </w:rPr>
      </w:pPr>
      <w:bookmarkStart w:id="608" w:name="_Toc32570909"/>
      <w:bookmarkStart w:id="609" w:name="_Toc36224544"/>
      <w:bookmarkStart w:id="610" w:name="_Toc68786430"/>
      <w:bookmarkStart w:id="611" w:name="_Toc95574065"/>
      <w:bookmarkStart w:id="612" w:name="_Toc127458248"/>
      <w:bookmarkStart w:id="613" w:name="_Toc131591344"/>
      <w:r w:rsidRPr="00261B7A">
        <w:rPr>
          <w:rFonts w:cs="Calibri"/>
        </w:rPr>
        <w:t xml:space="preserve">Table 5.1.1 </w:t>
      </w:r>
      <w:r w:rsidRPr="00261B7A">
        <w:rPr>
          <w:rFonts w:cs="Calibri"/>
        </w:rPr>
        <w:tab/>
        <w:t>Trends and relative contribution of New Zealand’s agricultural greenhouse gas emissions by category between 1990 and </w:t>
      </w:r>
      <w:bookmarkEnd w:id="608"/>
      <w:bookmarkEnd w:id="609"/>
      <w:bookmarkEnd w:id="610"/>
      <w:bookmarkEnd w:id="611"/>
      <w:r w:rsidRPr="00261B7A">
        <w:rPr>
          <w:rFonts w:cs="Calibri"/>
        </w:rPr>
        <w:t>2021</w:t>
      </w:r>
      <w:bookmarkEnd w:id="612"/>
      <w:bookmarkEnd w:id="613"/>
    </w:p>
    <w:tbl>
      <w:tblPr>
        <w:tblW w:w="8505" w:type="dxa"/>
        <w:tblBorders>
          <w:top w:val="single" w:sz="4" w:space="0" w:color="1B556B"/>
          <w:bottom w:val="single" w:sz="4" w:space="0" w:color="1B556B"/>
          <w:insideH w:val="single" w:sz="4" w:space="0" w:color="1B556B"/>
        </w:tblBorders>
        <w:tblLayout w:type="fixed"/>
        <w:tblCellMar>
          <w:right w:w="85" w:type="dxa"/>
        </w:tblCellMar>
        <w:tblLook w:val="04A0" w:firstRow="1" w:lastRow="0" w:firstColumn="1" w:lastColumn="0" w:noHBand="0" w:noVBand="1"/>
      </w:tblPr>
      <w:tblGrid>
        <w:gridCol w:w="3206"/>
        <w:gridCol w:w="796"/>
        <w:gridCol w:w="894"/>
        <w:gridCol w:w="1070"/>
        <w:gridCol w:w="989"/>
        <w:gridCol w:w="824"/>
        <w:gridCol w:w="726"/>
      </w:tblGrid>
      <w:tr w:rsidR="00994F64" w:rsidRPr="00261B7A" w14:paraId="45B7C86F" w14:textId="77777777" w:rsidTr="00501B0F">
        <w:tc>
          <w:tcPr>
            <w:tcW w:w="3232" w:type="dxa"/>
            <w:shd w:val="clear" w:color="auto" w:fill="1B556B"/>
            <w:vAlign w:val="bottom"/>
          </w:tcPr>
          <w:p w14:paraId="79199C39" w14:textId="77777777" w:rsidR="00994F64" w:rsidRPr="00261B7A" w:rsidRDefault="00994F64" w:rsidP="00501B0F">
            <w:pPr>
              <w:pStyle w:val="TableTextBold"/>
              <w:rPr>
                <w:noProof w:val="0"/>
                <w:color w:val="FFFFFF" w:themeColor="background1"/>
                <w:szCs w:val="16"/>
              </w:rPr>
            </w:pPr>
          </w:p>
        </w:tc>
        <w:tc>
          <w:tcPr>
            <w:tcW w:w="1701" w:type="dxa"/>
            <w:gridSpan w:val="2"/>
            <w:shd w:val="clear" w:color="auto" w:fill="1B556B"/>
            <w:vAlign w:val="bottom"/>
          </w:tcPr>
          <w:p w14:paraId="668B3628" w14:textId="77777777" w:rsidR="00994F64" w:rsidRPr="00261B7A" w:rsidRDefault="00994F64" w:rsidP="00501B0F">
            <w:pPr>
              <w:pStyle w:val="TableTextBold"/>
              <w:spacing w:after="0"/>
              <w:jc w:val="center"/>
              <w:rPr>
                <w:noProof w:val="0"/>
                <w:color w:val="FFFFFF" w:themeColor="background1"/>
                <w:szCs w:val="16"/>
              </w:rPr>
            </w:pPr>
            <w:r w:rsidRPr="00261B7A">
              <w:rPr>
                <w:noProof w:val="0"/>
                <w:color w:val="FFFFFF" w:themeColor="background1"/>
                <w:szCs w:val="16"/>
              </w:rPr>
              <w:t>Emissions</w:t>
            </w:r>
            <w:r w:rsidRPr="00261B7A">
              <w:rPr>
                <w:noProof w:val="0"/>
                <w:color w:val="FFFFFF" w:themeColor="background1"/>
                <w:szCs w:val="16"/>
              </w:rPr>
              <w:br/>
              <w:t>(kt CO</w:t>
            </w:r>
            <w:r w:rsidRPr="00261B7A">
              <w:rPr>
                <w:noProof w:val="0"/>
                <w:color w:val="FFFFFF" w:themeColor="background1"/>
                <w:szCs w:val="16"/>
                <w:vertAlign w:val="subscript"/>
              </w:rPr>
              <w:t>2</w:t>
            </w:r>
            <w:r w:rsidRPr="00261B7A">
              <w:rPr>
                <w:noProof w:val="0"/>
                <w:color w:val="FFFFFF" w:themeColor="background1"/>
                <w:szCs w:val="16"/>
              </w:rPr>
              <w:t>-e)</w:t>
            </w:r>
          </w:p>
        </w:tc>
        <w:tc>
          <w:tcPr>
            <w:tcW w:w="1077" w:type="dxa"/>
            <w:shd w:val="clear" w:color="auto" w:fill="1B556B"/>
            <w:vAlign w:val="bottom"/>
          </w:tcPr>
          <w:p w14:paraId="05A99BB0" w14:textId="77777777" w:rsidR="00994F64" w:rsidRPr="00261B7A" w:rsidRDefault="00994F64" w:rsidP="00501B0F">
            <w:pPr>
              <w:pStyle w:val="TableTextBold"/>
              <w:spacing w:after="0"/>
              <w:jc w:val="center"/>
              <w:rPr>
                <w:noProof w:val="0"/>
                <w:color w:val="FFFFFF" w:themeColor="background1"/>
                <w:szCs w:val="16"/>
              </w:rPr>
            </w:pPr>
            <w:r w:rsidRPr="00261B7A">
              <w:rPr>
                <w:noProof w:val="0"/>
                <w:color w:val="FFFFFF" w:themeColor="background1"/>
                <w:szCs w:val="16"/>
              </w:rPr>
              <w:t>Change</w:t>
            </w:r>
            <w:r w:rsidRPr="00261B7A">
              <w:rPr>
                <w:noProof w:val="0"/>
                <w:color w:val="FFFFFF" w:themeColor="background1"/>
                <w:szCs w:val="16"/>
              </w:rPr>
              <w:br/>
              <w:t>(%)</w:t>
            </w:r>
          </w:p>
        </w:tc>
        <w:tc>
          <w:tcPr>
            <w:tcW w:w="996" w:type="dxa"/>
            <w:shd w:val="clear" w:color="auto" w:fill="1B556B"/>
            <w:vAlign w:val="bottom"/>
          </w:tcPr>
          <w:p w14:paraId="56C66BC7" w14:textId="77777777" w:rsidR="00994F64" w:rsidRPr="00261B7A" w:rsidRDefault="00994F64" w:rsidP="00501B0F">
            <w:pPr>
              <w:pStyle w:val="TableTextBold"/>
              <w:spacing w:after="0"/>
              <w:jc w:val="center"/>
              <w:rPr>
                <w:noProof w:val="0"/>
                <w:color w:val="FFFFFF" w:themeColor="background1"/>
                <w:szCs w:val="16"/>
              </w:rPr>
            </w:pPr>
            <w:r w:rsidRPr="00261B7A">
              <w:rPr>
                <w:noProof w:val="0"/>
                <w:color w:val="FFFFFF" w:themeColor="background1"/>
                <w:szCs w:val="16"/>
              </w:rPr>
              <w:t>Difference</w:t>
            </w:r>
            <w:r w:rsidRPr="00261B7A">
              <w:rPr>
                <w:noProof w:val="0"/>
                <w:color w:val="FFFFFF" w:themeColor="background1"/>
                <w:szCs w:val="16"/>
              </w:rPr>
              <w:br/>
              <w:t>(kt CO</w:t>
            </w:r>
            <w:r w:rsidRPr="00261B7A">
              <w:rPr>
                <w:noProof w:val="0"/>
                <w:color w:val="FFFFFF" w:themeColor="background1"/>
                <w:szCs w:val="16"/>
                <w:vertAlign w:val="subscript"/>
              </w:rPr>
              <w:t>2</w:t>
            </w:r>
            <w:r w:rsidRPr="00261B7A">
              <w:rPr>
                <w:noProof w:val="0"/>
                <w:color w:val="FFFFFF" w:themeColor="background1"/>
                <w:szCs w:val="16"/>
              </w:rPr>
              <w:t>-e)</w:t>
            </w:r>
          </w:p>
        </w:tc>
        <w:tc>
          <w:tcPr>
            <w:tcW w:w="1559" w:type="dxa"/>
            <w:gridSpan w:val="2"/>
            <w:shd w:val="clear" w:color="auto" w:fill="1B556B"/>
            <w:vAlign w:val="bottom"/>
          </w:tcPr>
          <w:p w14:paraId="15219E04" w14:textId="77777777" w:rsidR="00994F64" w:rsidRPr="00261B7A" w:rsidRDefault="00994F64" w:rsidP="00501B0F">
            <w:pPr>
              <w:pStyle w:val="TableTextBold"/>
              <w:spacing w:after="0"/>
              <w:jc w:val="center"/>
              <w:rPr>
                <w:noProof w:val="0"/>
                <w:color w:val="FFFFFF" w:themeColor="background1"/>
                <w:szCs w:val="16"/>
              </w:rPr>
            </w:pPr>
            <w:r w:rsidRPr="00261B7A">
              <w:rPr>
                <w:noProof w:val="0"/>
                <w:color w:val="FFFFFF" w:themeColor="background1"/>
                <w:szCs w:val="16"/>
              </w:rPr>
              <w:t>Share (%) of sector</w:t>
            </w:r>
          </w:p>
        </w:tc>
      </w:tr>
      <w:tr w:rsidR="00994F64" w:rsidRPr="00261B7A" w14:paraId="230F9374" w14:textId="77777777" w:rsidTr="00501B0F">
        <w:tc>
          <w:tcPr>
            <w:tcW w:w="3232" w:type="dxa"/>
            <w:shd w:val="clear" w:color="auto" w:fill="1B556B"/>
          </w:tcPr>
          <w:p w14:paraId="36912104" w14:textId="77777777" w:rsidR="00994F64" w:rsidRPr="00261B7A" w:rsidRDefault="00994F64" w:rsidP="00501B0F">
            <w:pPr>
              <w:pStyle w:val="TableTextBold"/>
              <w:rPr>
                <w:noProof w:val="0"/>
                <w:color w:val="FFFFFF" w:themeColor="background1"/>
                <w:szCs w:val="16"/>
              </w:rPr>
            </w:pPr>
            <w:r w:rsidRPr="00261B7A">
              <w:rPr>
                <w:noProof w:val="0"/>
                <w:color w:val="FFFFFF" w:themeColor="background1"/>
                <w:szCs w:val="16"/>
              </w:rPr>
              <w:t>Category</w:t>
            </w:r>
          </w:p>
        </w:tc>
        <w:tc>
          <w:tcPr>
            <w:tcW w:w="801" w:type="dxa"/>
            <w:shd w:val="clear" w:color="auto" w:fill="1B556B"/>
            <w:vAlign w:val="bottom"/>
          </w:tcPr>
          <w:p w14:paraId="78AC765C" w14:textId="77777777" w:rsidR="00994F64" w:rsidRPr="00261B7A" w:rsidRDefault="00994F64" w:rsidP="00501B0F">
            <w:pPr>
              <w:pStyle w:val="TableTextBold"/>
              <w:jc w:val="center"/>
              <w:rPr>
                <w:noProof w:val="0"/>
                <w:color w:val="FFFFFF" w:themeColor="background1"/>
                <w:szCs w:val="16"/>
              </w:rPr>
            </w:pPr>
            <w:r w:rsidRPr="00261B7A">
              <w:rPr>
                <w:noProof w:val="0"/>
                <w:color w:val="FFFFFF" w:themeColor="background1"/>
                <w:szCs w:val="16"/>
              </w:rPr>
              <w:t>1990</w:t>
            </w:r>
          </w:p>
        </w:tc>
        <w:tc>
          <w:tcPr>
            <w:tcW w:w="900" w:type="dxa"/>
            <w:shd w:val="clear" w:color="auto" w:fill="1B556B"/>
            <w:vAlign w:val="bottom"/>
          </w:tcPr>
          <w:p w14:paraId="0B459472" w14:textId="77777777" w:rsidR="00994F64" w:rsidRPr="00261B7A" w:rsidRDefault="00994F64" w:rsidP="00501B0F">
            <w:pPr>
              <w:pStyle w:val="TableTextBold"/>
              <w:jc w:val="center"/>
              <w:rPr>
                <w:noProof w:val="0"/>
                <w:color w:val="FFFFFF" w:themeColor="background1"/>
                <w:szCs w:val="16"/>
              </w:rPr>
            </w:pPr>
            <w:r w:rsidRPr="00261B7A">
              <w:rPr>
                <w:noProof w:val="0"/>
                <w:color w:val="FFFFFF" w:themeColor="background1"/>
                <w:szCs w:val="16"/>
              </w:rPr>
              <w:t>2021</w:t>
            </w:r>
          </w:p>
        </w:tc>
        <w:tc>
          <w:tcPr>
            <w:tcW w:w="1077" w:type="dxa"/>
            <w:shd w:val="clear" w:color="auto" w:fill="1B556B"/>
            <w:vAlign w:val="bottom"/>
          </w:tcPr>
          <w:p w14:paraId="075C97FC" w14:textId="77777777" w:rsidR="00994F64" w:rsidRPr="00261B7A" w:rsidRDefault="00994F64" w:rsidP="00501B0F">
            <w:pPr>
              <w:pStyle w:val="TableTextBold"/>
              <w:jc w:val="center"/>
              <w:rPr>
                <w:noProof w:val="0"/>
                <w:color w:val="FFFFFF" w:themeColor="background1"/>
                <w:szCs w:val="16"/>
              </w:rPr>
            </w:pPr>
            <w:r w:rsidRPr="00261B7A">
              <w:rPr>
                <w:noProof w:val="0"/>
                <w:color w:val="FFFFFF" w:themeColor="background1"/>
                <w:szCs w:val="16"/>
              </w:rPr>
              <w:t>1990–2021</w:t>
            </w:r>
          </w:p>
        </w:tc>
        <w:tc>
          <w:tcPr>
            <w:tcW w:w="996" w:type="dxa"/>
            <w:shd w:val="clear" w:color="auto" w:fill="1B556B"/>
            <w:vAlign w:val="bottom"/>
          </w:tcPr>
          <w:p w14:paraId="063F455D" w14:textId="77777777" w:rsidR="00994F64" w:rsidRPr="00261B7A" w:rsidRDefault="00994F64" w:rsidP="00501B0F">
            <w:pPr>
              <w:pStyle w:val="TableTextBold"/>
              <w:jc w:val="center"/>
              <w:rPr>
                <w:noProof w:val="0"/>
                <w:color w:val="FFFFFF" w:themeColor="background1"/>
                <w:szCs w:val="16"/>
              </w:rPr>
            </w:pPr>
            <w:r w:rsidRPr="00261B7A">
              <w:rPr>
                <w:noProof w:val="0"/>
                <w:color w:val="FFFFFF" w:themeColor="background1"/>
                <w:szCs w:val="16"/>
              </w:rPr>
              <w:t>1990–2021</w:t>
            </w:r>
          </w:p>
        </w:tc>
        <w:tc>
          <w:tcPr>
            <w:tcW w:w="829" w:type="dxa"/>
            <w:shd w:val="clear" w:color="auto" w:fill="1B556B"/>
            <w:tcMar>
              <w:right w:w="85" w:type="dxa"/>
            </w:tcMar>
          </w:tcPr>
          <w:p w14:paraId="4454B7B5" w14:textId="77777777" w:rsidR="00994F64" w:rsidRPr="00261B7A" w:rsidRDefault="00994F64" w:rsidP="00501B0F">
            <w:pPr>
              <w:pStyle w:val="TableTextBold"/>
              <w:jc w:val="center"/>
              <w:rPr>
                <w:noProof w:val="0"/>
                <w:color w:val="FFFFFF" w:themeColor="background1"/>
                <w:szCs w:val="16"/>
              </w:rPr>
            </w:pPr>
            <w:r w:rsidRPr="00261B7A">
              <w:rPr>
                <w:noProof w:val="0"/>
                <w:color w:val="FFFFFF" w:themeColor="background1"/>
                <w:szCs w:val="16"/>
              </w:rPr>
              <w:t>1990</w:t>
            </w:r>
          </w:p>
        </w:tc>
        <w:tc>
          <w:tcPr>
            <w:tcW w:w="730" w:type="dxa"/>
            <w:shd w:val="clear" w:color="auto" w:fill="1B556B"/>
            <w:tcMar>
              <w:right w:w="85" w:type="dxa"/>
            </w:tcMar>
          </w:tcPr>
          <w:p w14:paraId="01187A11" w14:textId="77777777" w:rsidR="00994F64" w:rsidRPr="00261B7A" w:rsidRDefault="00994F64" w:rsidP="00501B0F">
            <w:pPr>
              <w:pStyle w:val="TableTextBold"/>
              <w:jc w:val="center"/>
              <w:rPr>
                <w:noProof w:val="0"/>
                <w:color w:val="FFFFFF" w:themeColor="background1"/>
                <w:szCs w:val="16"/>
              </w:rPr>
            </w:pPr>
            <w:r w:rsidRPr="00261B7A">
              <w:rPr>
                <w:noProof w:val="0"/>
                <w:color w:val="FFFFFF" w:themeColor="background1"/>
                <w:szCs w:val="16"/>
              </w:rPr>
              <w:t>2021</w:t>
            </w:r>
          </w:p>
        </w:tc>
      </w:tr>
      <w:tr w:rsidR="00994F64" w:rsidRPr="00261B7A" w14:paraId="2DA30532" w14:textId="77777777" w:rsidTr="00501B0F">
        <w:tc>
          <w:tcPr>
            <w:tcW w:w="3232" w:type="dxa"/>
            <w:shd w:val="clear" w:color="auto" w:fill="auto"/>
            <w:vAlign w:val="bottom"/>
          </w:tcPr>
          <w:p w14:paraId="2798823D" w14:textId="77777777" w:rsidR="00994F64" w:rsidRPr="00261B7A" w:rsidRDefault="00994F64" w:rsidP="00501B0F">
            <w:pPr>
              <w:pStyle w:val="TableText"/>
              <w:spacing w:before="50" w:after="50"/>
              <w:rPr>
                <w:rFonts w:cs="Calibri"/>
                <w:szCs w:val="16"/>
              </w:rPr>
            </w:pPr>
            <w:r w:rsidRPr="00261B7A">
              <w:rPr>
                <w:rFonts w:cs="Calibri"/>
                <w:szCs w:val="16"/>
              </w:rPr>
              <w:t>Enteric fermentation (CRF 3.A)</w:t>
            </w:r>
          </w:p>
        </w:tc>
        <w:tc>
          <w:tcPr>
            <w:tcW w:w="801" w:type="dxa"/>
            <w:shd w:val="clear" w:color="auto" w:fill="auto"/>
            <w:vAlign w:val="bottom"/>
          </w:tcPr>
          <w:p w14:paraId="20C92CE0" w14:textId="77777777" w:rsidR="00994F64" w:rsidRPr="00261B7A" w:rsidRDefault="00994F64" w:rsidP="00501B0F">
            <w:pPr>
              <w:pStyle w:val="TableText"/>
              <w:spacing w:before="50" w:after="50"/>
              <w:jc w:val="right"/>
              <w:rPr>
                <w:rFonts w:cs="Calibri"/>
                <w:szCs w:val="16"/>
              </w:rPr>
            </w:pPr>
            <w:r w:rsidRPr="00261B7A">
              <w:rPr>
                <w:rFonts w:cs="Calibri"/>
                <w:szCs w:val="16"/>
              </w:rPr>
              <w:t>26,960.4</w:t>
            </w:r>
          </w:p>
        </w:tc>
        <w:tc>
          <w:tcPr>
            <w:tcW w:w="900" w:type="dxa"/>
            <w:shd w:val="clear" w:color="auto" w:fill="auto"/>
            <w:vAlign w:val="bottom"/>
          </w:tcPr>
          <w:p w14:paraId="60CB4CE0" w14:textId="77777777" w:rsidR="00994F64" w:rsidRPr="00261B7A" w:rsidRDefault="00994F64" w:rsidP="00501B0F">
            <w:pPr>
              <w:pStyle w:val="TableText"/>
              <w:spacing w:before="50" w:after="50"/>
              <w:jc w:val="right"/>
              <w:rPr>
                <w:rFonts w:cs="Calibri"/>
                <w:szCs w:val="16"/>
              </w:rPr>
            </w:pPr>
            <w:r w:rsidRPr="00261B7A">
              <w:rPr>
                <w:rFonts w:cs="Calibri"/>
                <w:szCs w:val="16"/>
              </w:rPr>
              <w:t>27,859.0</w:t>
            </w:r>
          </w:p>
        </w:tc>
        <w:tc>
          <w:tcPr>
            <w:tcW w:w="1077" w:type="dxa"/>
            <w:shd w:val="clear" w:color="auto" w:fill="auto"/>
            <w:vAlign w:val="bottom"/>
          </w:tcPr>
          <w:p w14:paraId="7251181C" w14:textId="77777777" w:rsidR="00994F64" w:rsidRPr="00261B7A" w:rsidRDefault="00994F64" w:rsidP="00501B0F">
            <w:pPr>
              <w:pStyle w:val="TableText"/>
              <w:spacing w:before="50" w:after="50"/>
              <w:jc w:val="right"/>
              <w:rPr>
                <w:rFonts w:cs="Calibri"/>
                <w:szCs w:val="16"/>
              </w:rPr>
            </w:pPr>
            <w:r w:rsidRPr="00261B7A">
              <w:rPr>
                <w:rFonts w:cs="Calibri"/>
                <w:szCs w:val="16"/>
              </w:rPr>
              <w:t>3.3</w:t>
            </w:r>
          </w:p>
        </w:tc>
        <w:tc>
          <w:tcPr>
            <w:tcW w:w="996" w:type="dxa"/>
            <w:shd w:val="clear" w:color="auto" w:fill="auto"/>
            <w:vAlign w:val="bottom"/>
          </w:tcPr>
          <w:p w14:paraId="2C16CD87" w14:textId="77777777" w:rsidR="00994F64" w:rsidRPr="00261B7A" w:rsidRDefault="00994F64" w:rsidP="00501B0F">
            <w:pPr>
              <w:pStyle w:val="TableText"/>
              <w:spacing w:before="50" w:after="50"/>
              <w:jc w:val="right"/>
              <w:rPr>
                <w:rFonts w:cs="Calibri"/>
                <w:szCs w:val="16"/>
              </w:rPr>
            </w:pPr>
            <w:r w:rsidRPr="00261B7A">
              <w:rPr>
                <w:rFonts w:cs="Calibri"/>
                <w:szCs w:val="16"/>
              </w:rPr>
              <w:t>898.6</w:t>
            </w:r>
          </w:p>
        </w:tc>
        <w:tc>
          <w:tcPr>
            <w:tcW w:w="829" w:type="dxa"/>
            <w:shd w:val="clear" w:color="auto" w:fill="auto"/>
            <w:vAlign w:val="bottom"/>
          </w:tcPr>
          <w:p w14:paraId="01D7887E" w14:textId="77777777" w:rsidR="00994F64" w:rsidRPr="00261B7A" w:rsidRDefault="00994F64" w:rsidP="00501B0F">
            <w:pPr>
              <w:pStyle w:val="TableText"/>
              <w:spacing w:before="50" w:after="50"/>
              <w:jc w:val="right"/>
              <w:rPr>
                <w:rFonts w:cs="Calibri"/>
                <w:szCs w:val="16"/>
              </w:rPr>
            </w:pPr>
            <w:r w:rsidRPr="00261B7A">
              <w:rPr>
                <w:rFonts w:cs="Calibri"/>
                <w:szCs w:val="16"/>
              </w:rPr>
              <w:t>80.9</w:t>
            </w:r>
          </w:p>
        </w:tc>
        <w:tc>
          <w:tcPr>
            <w:tcW w:w="730" w:type="dxa"/>
            <w:shd w:val="clear" w:color="auto" w:fill="auto"/>
            <w:vAlign w:val="bottom"/>
          </w:tcPr>
          <w:p w14:paraId="449BF216" w14:textId="77777777" w:rsidR="00994F64" w:rsidRPr="00261B7A" w:rsidRDefault="00994F64" w:rsidP="00501B0F">
            <w:pPr>
              <w:pStyle w:val="TableText"/>
              <w:spacing w:before="50" w:after="50"/>
              <w:jc w:val="right"/>
              <w:rPr>
                <w:rFonts w:cs="Calibri"/>
                <w:szCs w:val="16"/>
              </w:rPr>
            </w:pPr>
            <w:r w:rsidRPr="00261B7A">
              <w:rPr>
                <w:rFonts w:cs="Calibri"/>
                <w:szCs w:val="16"/>
              </w:rPr>
              <w:t>73.7</w:t>
            </w:r>
          </w:p>
        </w:tc>
      </w:tr>
      <w:tr w:rsidR="00994F64" w:rsidRPr="00261B7A" w14:paraId="034B193A" w14:textId="77777777" w:rsidTr="00501B0F">
        <w:tc>
          <w:tcPr>
            <w:tcW w:w="3232" w:type="dxa"/>
            <w:shd w:val="clear" w:color="auto" w:fill="auto"/>
            <w:vAlign w:val="bottom"/>
          </w:tcPr>
          <w:p w14:paraId="620B196B" w14:textId="77777777" w:rsidR="00994F64" w:rsidRPr="00261B7A" w:rsidRDefault="00994F64" w:rsidP="00501B0F">
            <w:pPr>
              <w:pStyle w:val="TableText"/>
              <w:spacing w:before="50" w:after="50"/>
              <w:rPr>
                <w:rFonts w:cs="Calibri"/>
                <w:szCs w:val="16"/>
              </w:rPr>
            </w:pPr>
            <w:r w:rsidRPr="00261B7A">
              <w:rPr>
                <w:rFonts w:cs="Calibri"/>
                <w:szCs w:val="16"/>
              </w:rPr>
              <w:t>Manure management (CRF 3.B)</w:t>
            </w:r>
          </w:p>
        </w:tc>
        <w:tc>
          <w:tcPr>
            <w:tcW w:w="801" w:type="dxa"/>
            <w:shd w:val="clear" w:color="auto" w:fill="auto"/>
            <w:vAlign w:val="bottom"/>
          </w:tcPr>
          <w:p w14:paraId="5EDAF7EF" w14:textId="77777777" w:rsidR="00994F64" w:rsidRPr="00261B7A" w:rsidRDefault="00994F64" w:rsidP="00501B0F">
            <w:pPr>
              <w:pStyle w:val="TableText"/>
              <w:spacing w:before="50" w:after="50"/>
              <w:jc w:val="right"/>
              <w:rPr>
                <w:rFonts w:cs="Calibri"/>
                <w:szCs w:val="16"/>
              </w:rPr>
            </w:pPr>
            <w:r w:rsidRPr="00261B7A">
              <w:rPr>
                <w:rFonts w:cs="Calibri"/>
                <w:szCs w:val="16"/>
              </w:rPr>
              <w:t>771.7</w:t>
            </w:r>
          </w:p>
        </w:tc>
        <w:tc>
          <w:tcPr>
            <w:tcW w:w="900" w:type="dxa"/>
            <w:shd w:val="clear" w:color="auto" w:fill="auto"/>
            <w:vAlign w:val="bottom"/>
          </w:tcPr>
          <w:p w14:paraId="11667267" w14:textId="77777777" w:rsidR="00994F64" w:rsidRPr="00261B7A" w:rsidRDefault="00994F64" w:rsidP="00501B0F">
            <w:pPr>
              <w:pStyle w:val="TableText"/>
              <w:spacing w:before="50" w:after="50"/>
              <w:jc w:val="right"/>
              <w:rPr>
                <w:rFonts w:cs="Calibri"/>
                <w:szCs w:val="16"/>
              </w:rPr>
            </w:pPr>
            <w:r w:rsidRPr="00261B7A">
              <w:rPr>
                <w:rFonts w:cs="Calibri"/>
                <w:szCs w:val="16"/>
              </w:rPr>
              <w:t>1,680.5</w:t>
            </w:r>
          </w:p>
        </w:tc>
        <w:tc>
          <w:tcPr>
            <w:tcW w:w="1077" w:type="dxa"/>
            <w:shd w:val="clear" w:color="auto" w:fill="auto"/>
            <w:vAlign w:val="bottom"/>
          </w:tcPr>
          <w:p w14:paraId="223FA672" w14:textId="77777777" w:rsidR="00994F64" w:rsidRPr="00261B7A" w:rsidRDefault="00994F64" w:rsidP="00501B0F">
            <w:pPr>
              <w:pStyle w:val="TableText"/>
              <w:spacing w:before="50" w:after="50"/>
              <w:jc w:val="right"/>
              <w:rPr>
                <w:rFonts w:cs="Calibri"/>
                <w:szCs w:val="16"/>
              </w:rPr>
            </w:pPr>
            <w:r w:rsidRPr="00261B7A">
              <w:rPr>
                <w:rFonts w:cs="Calibri"/>
                <w:szCs w:val="16"/>
              </w:rPr>
              <w:t>117.8</w:t>
            </w:r>
          </w:p>
        </w:tc>
        <w:tc>
          <w:tcPr>
            <w:tcW w:w="996" w:type="dxa"/>
            <w:shd w:val="clear" w:color="auto" w:fill="auto"/>
            <w:vAlign w:val="bottom"/>
          </w:tcPr>
          <w:p w14:paraId="7EE132C2" w14:textId="77777777" w:rsidR="00994F64" w:rsidRPr="00261B7A" w:rsidRDefault="00994F64" w:rsidP="00501B0F">
            <w:pPr>
              <w:pStyle w:val="TableText"/>
              <w:spacing w:before="50" w:after="50"/>
              <w:jc w:val="right"/>
              <w:rPr>
                <w:rFonts w:cs="Calibri"/>
                <w:szCs w:val="16"/>
              </w:rPr>
            </w:pPr>
            <w:r w:rsidRPr="00261B7A">
              <w:rPr>
                <w:rFonts w:cs="Calibri"/>
                <w:szCs w:val="16"/>
              </w:rPr>
              <w:t>908.8</w:t>
            </w:r>
          </w:p>
        </w:tc>
        <w:tc>
          <w:tcPr>
            <w:tcW w:w="829" w:type="dxa"/>
            <w:shd w:val="clear" w:color="auto" w:fill="auto"/>
            <w:vAlign w:val="bottom"/>
          </w:tcPr>
          <w:p w14:paraId="20654A65" w14:textId="77777777" w:rsidR="00994F64" w:rsidRPr="00261B7A" w:rsidRDefault="00994F64" w:rsidP="00501B0F">
            <w:pPr>
              <w:pStyle w:val="TableText"/>
              <w:spacing w:before="50" w:after="50"/>
              <w:jc w:val="right"/>
              <w:rPr>
                <w:rFonts w:cs="Calibri"/>
                <w:szCs w:val="16"/>
              </w:rPr>
            </w:pPr>
            <w:r w:rsidRPr="00261B7A">
              <w:rPr>
                <w:rFonts w:cs="Calibri"/>
                <w:szCs w:val="16"/>
              </w:rPr>
              <w:t>2.3</w:t>
            </w:r>
          </w:p>
        </w:tc>
        <w:tc>
          <w:tcPr>
            <w:tcW w:w="730" w:type="dxa"/>
            <w:shd w:val="clear" w:color="auto" w:fill="auto"/>
            <w:vAlign w:val="bottom"/>
          </w:tcPr>
          <w:p w14:paraId="68E3B95D" w14:textId="77777777" w:rsidR="00994F64" w:rsidRPr="00261B7A" w:rsidRDefault="00994F64" w:rsidP="00501B0F">
            <w:pPr>
              <w:pStyle w:val="TableText"/>
              <w:spacing w:before="50" w:after="50"/>
              <w:jc w:val="right"/>
              <w:rPr>
                <w:rFonts w:cs="Calibri"/>
                <w:szCs w:val="16"/>
              </w:rPr>
            </w:pPr>
            <w:r w:rsidRPr="00261B7A">
              <w:rPr>
                <w:rFonts w:cs="Calibri"/>
                <w:szCs w:val="16"/>
              </w:rPr>
              <w:t>4.4</w:t>
            </w:r>
          </w:p>
        </w:tc>
      </w:tr>
      <w:tr w:rsidR="00994F64" w:rsidRPr="00261B7A" w14:paraId="171FB0DF" w14:textId="77777777" w:rsidTr="00501B0F">
        <w:tc>
          <w:tcPr>
            <w:tcW w:w="3232" w:type="dxa"/>
            <w:shd w:val="clear" w:color="auto" w:fill="auto"/>
            <w:vAlign w:val="bottom"/>
          </w:tcPr>
          <w:p w14:paraId="731383E2" w14:textId="77777777" w:rsidR="00994F64" w:rsidRPr="00261B7A" w:rsidRDefault="00994F64" w:rsidP="00501B0F">
            <w:pPr>
              <w:pStyle w:val="TableText"/>
              <w:spacing w:before="50" w:after="50"/>
              <w:rPr>
                <w:rFonts w:cs="Calibri"/>
                <w:szCs w:val="16"/>
              </w:rPr>
            </w:pPr>
            <w:r w:rsidRPr="00261B7A">
              <w:rPr>
                <w:rFonts w:cs="Calibri"/>
                <w:szCs w:val="16"/>
              </w:rPr>
              <w:t>Rice cultivation (CRF 3.C)</w:t>
            </w:r>
          </w:p>
        </w:tc>
        <w:tc>
          <w:tcPr>
            <w:tcW w:w="801" w:type="dxa"/>
            <w:shd w:val="clear" w:color="auto" w:fill="auto"/>
            <w:vAlign w:val="bottom"/>
          </w:tcPr>
          <w:p w14:paraId="4EB76FB0" w14:textId="77777777" w:rsidR="00994F64" w:rsidRPr="00261B7A" w:rsidRDefault="00994F64" w:rsidP="00501B0F">
            <w:pPr>
              <w:pStyle w:val="TableText"/>
              <w:spacing w:before="50" w:after="50"/>
              <w:jc w:val="right"/>
              <w:rPr>
                <w:rFonts w:cs="Calibri"/>
                <w:szCs w:val="16"/>
              </w:rPr>
            </w:pPr>
            <w:r w:rsidRPr="00261B7A">
              <w:rPr>
                <w:rFonts w:cs="Calibri"/>
                <w:szCs w:val="16"/>
              </w:rPr>
              <w:t>NO</w:t>
            </w:r>
          </w:p>
        </w:tc>
        <w:tc>
          <w:tcPr>
            <w:tcW w:w="900" w:type="dxa"/>
            <w:shd w:val="clear" w:color="auto" w:fill="auto"/>
            <w:vAlign w:val="bottom"/>
          </w:tcPr>
          <w:p w14:paraId="6E4483C8" w14:textId="77777777" w:rsidR="00994F64" w:rsidRPr="00261B7A" w:rsidRDefault="00994F64" w:rsidP="00501B0F">
            <w:pPr>
              <w:pStyle w:val="TableText"/>
              <w:spacing w:before="50" w:after="50"/>
              <w:jc w:val="right"/>
              <w:rPr>
                <w:rFonts w:cs="Calibri"/>
                <w:szCs w:val="16"/>
              </w:rPr>
            </w:pPr>
            <w:r w:rsidRPr="00261B7A">
              <w:rPr>
                <w:rFonts w:cs="Calibri"/>
                <w:szCs w:val="16"/>
              </w:rPr>
              <w:t>NO</w:t>
            </w:r>
          </w:p>
        </w:tc>
        <w:tc>
          <w:tcPr>
            <w:tcW w:w="1077" w:type="dxa"/>
            <w:shd w:val="clear" w:color="auto" w:fill="auto"/>
            <w:vAlign w:val="bottom"/>
          </w:tcPr>
          <w:p w14:paraId="55808F7C" w14:textId="77777777" w:rsidR="00994F64" w:rsidRPr="00261B7A" w:rsidRDefault="00994F64" w:rsidP="00501B0F">
            <w:pPr>
              <w:pStyle w:val="TableText"/>
              <w:spacing w:before="50" w:after="50"/>
              <w:jc w:val="right"/>
              <w:rPr>
                <w:rFonts w:cs="Calibri"/>
                <w:szCs w:val="16"/>
              </w:rPr>
            </w:pPr>
            <w:r w:rsidRPr="00261B7A">
              <w:rPr>
                <w:rFonts w:cs="Calibri"/>
                <w:szCs w:val="16"/>
              </w:rPr>
              <w:t>–</w:t>
            </w:r>
          </w:p>
        </w:tc>
        <w:tc>
          <w:tcPr>
            <w:tcW w:w="996" w:type="dxa"/>
            <w:shd w:val="clear" w:color="auto" w:fill="auto"/>
            <w:vAlign w:val="bottom"/>
          </w:tcPr>
          <w:p w14:paraId="400D5D64" w14:textId="77777777" w:rsidR="00994F64" w:rsidRPr="00261B7A" w:rsidRDefault="00994F64" w:rsidP="00501B0F">
            <w:pPr>
              <w:pStyle w:val="TableText"/>
              <w:spacing w:before="50" w:after="50"/>
              <w:jc w:val="right"/>
              <w:rPr>
                <w:rFonts w:cs="Calibri"/>
                <w:szCs w:val="16"/>
              </w:rPr>
            </w:pPr>
            <w:r w:rsidRPr="00261B7A">
              <w:rPr>
                <w:rFonts w:cs="Calibri"/>
                <w:szCs w:val="16"/>
              </w:rPr>
              <w:t>–</w:t>
            </w:r>
          </w:p>
        </w:tc>
        <w:tc>
          <w:tcPr>
            <w:tcW w:w="829" w:type="dxa"/>
            <w:shd w:val="clear" w:color="auto" w:fill="auto"/>
            <w:vAlign w:val="bottom"/>
          </w:tcPr>
          <w:p w14:paraId="5BC49AE5" w14:textId="77777777" w:rsidR="00994F64" w:rsidRPr="00261B7A" w:rsidRDefault="00994F64" w:rsidP="00501B0F">
            <w:pPr>
              <w:pStyle w:val="TableText"/>
              <w:spacing w:before="50" w:after="50"/>
              <w:jc w:val="right"/>
              <w:rPr>
                <w:rFonts w:cs="Calibri"/>
                <w:szCs w:val="16"/>
              </w:rPr>
            </w:pPr>
            <w:r w:rsidRPr="00261B7A">
              <w:rPr>
                <w:rFonts w:cs="Calibri"/>
                <w:szCs w:val="16"/>
              </w:rPr>
              <w:t>–</w:t>
            </w:r>
          </w:p>
        </w:tc>
        <w:tc>
          <w:tcPr>
            <w:tcW w:w="730" w:type="dxa"/>
            <w:shd w:val="clear" w:color="auto" w:fill="auto"/>
            <w:vAlign w:val="bottom"/>
          </w:tcPr>
          <w:p w14:paraId="20772DAB" w14:textId="77777777" w:rsidR="00994F64" w:rsidRPr="00261B7A" w:rsidRDefault="00994F64" w:rsidP="00501B0F">
            <w:pPr>
              <w:pStyle w:val="TableText"/>
              <w:spacing w:before="50" w:after="50"/>
              <w:jc w:val="right"/>
              <w:rPr>
                <w:rFonts w:cs="Calibri"/>
                <w:szCs w:val="16"/>
              </w:rPr>
            </w:pPr>
            <w:r w:rsidRPr="00261B7A">
              <w:rPr>
                <w:rFonts w:cs="Calibri"/>
                <w:szCs w:val="16"/>
              </w:rPr>
              <w:t>–</w:t>
            </w:r>
          </w:p>
        </w:tc>
      </w:tr>
      <w:tr w:rsidR="00994F64" w:rsidRPr="00261B7A" w14:paraId="15BDFD04" w14:textId="77777777" w:rsidTr="00501B0F">
        <w:tc>
          <w:tcPr>
            <w:tcW w:w="3232" w:type="dxa"/>
            <w:shd w:val="clear" w:color="auto" w:fill="auto"/>
            <w:vAlign w:val="bottom"/>
          </w:tcPr>
          <w:p w14:paraId="35D113E2" w14:textId="77777777" w:rsidR="00994F64" w:rsidRPr="00261B7A" w:rsidRDefault="00994F64" w:rsidP="00501B0F">
            <w:pPr>
              <w:pStyle w:val="TableText"/>
              <w:spacing w:before="50" w:after="50"/>
              <w:rPr>
                <w:rFonts w:cs="Calibri"/>
                <w:szCs w:val="16"/>
              </w:rPr>
            </w:pPr>
            <w:r w:rsidRPr="00261B7A">
              <w:rPr>
                <w:rFonts w:cs="Calibri"/>
                <w:szCs w:val="16"/>
              </w:rPr>
              <w:t>Agricultural soils (CRF 3.D)</w:t>
            </w:r>
          </w:p>
        </w:tc>
        <w:tc>
          <w:tcPr>
            <w:tcW w:w="801" w:type="dxa"/>
            <w:shd w:val="clear" w:color="auto" w:fill="auto"/>
            <w:vAlign w:val="bottom"/>
          </w:tcPr>
          <w:p w14:paraId="30F499C6" w14:textId="77777777" w:rsidR="00994F64" w:rsidRPr="00261B7A" w:rsidRDefault="00994F64" w:rsidP="00501B0F">
            <w:pPr>
              <w:pStyle w:val="TableText"/>
              <w:spacing w:before="50" w:after="50"/>
              <w:jc w:val="right"/>
              <w:rPr>
                <w:rFonts w:cs="Calibri"/>
                <w:szCs w:val="16"/>
              </w:rPr>
            </w:pPr>
            <w:r w:rsidRPr="00261B7A">
              <w:rPr>
                <w:rFonts w:cs="Calibri"/>
                <w:szCs w:val="16"/>
              </w:rPr>
              <w:t>5,216.8</w:t>
            </w:r>
          </w:p>
        </w:tc>
        <w:tc>
          <w:tcPr>
            <w:tcW w:w="900" w:type="dxa"/>
            <w:shd w:val="clear" w:color="auto" w:fill="auto"/>
            <w:vAlign w:val="bottom"/>
          </w:tcPr>
          <w:p w14:paraId="32BBFE26" w14:textId="77777777" w:rsidR="00994F64" w:rsidRPr="00261B7A" w:rsidRDefault="00994F64" w:rsidP="00501B0F">
            <w:pPr>
              <w:pStyle w:val="TableText"/>
              <w:spacing w:before="50" w:after="50"/>
              <w:jc w:val="right"/>
              <w:rPr>
                <w:rFonts w:cs="Calibri"/>
                <w:szCs w:val="16"/>
              </w:rPr>
            </w:pPr>
            <w:r w:rsidRPr="00261B7A">
              <w:rPr>
                <w:rFonts w:cs="Calibri"/>
                <w:szCs w:val="16"/>
              </w:rPr>
              <w:t>7,315.2</w:t>
            </w:r>
          </w:p>
        </w:tc>
        <w:tc>
          <w:tcPr>
            <w:tcW w:w="1077" w:type="dxa"/>
            <w:shd w:val="clear" w:color="auto" w:fill="auto"/>
            <w:vAlign w:val="bottom"/>
          </w:tcPr>
          <w:p w14:paraId="7111BAA3" w14:textId="77777777" w:rsidR="00994F64" w:rsidRPr="00261B7A" w:rsidRDefault="00994F64" w:rsidP="00501B0F">
            <w:pPr>
              <w:pStyle w:val="TableText"/>
              <w:spacing w:before="50" w:after="50"/>
              <w:jc w:val="right"/>
              <w:rPr>
                <w:rFonts w:cs="Calibri"/>
                <w:szCs w:val="16"/>
              </w:rPr>
            </w:pPr>
            <w:r w:rsidRPr="00261B7A">
              <w:rPr>
                <w:rFonts w:cs="Calibri"/>
                <w:szCs w:val="16"/>
              </w:rPr>
              <w:t>40.2</w:t>
            </w:r>
          </w:p>
        </w:tc>
        <w:tc>
          <w:tcPr>
            <w:tcW w:w="996" w:type="dxa"/>
            <w:shd w:val="clear" w:color="auto" w:fill="auto"/>
            <w:vAlign w:val="bottom"/>
          </w:tcPr>
          <w:p w14:paraId="50320051" w14:textId="77777777" w:rsidR="00994F64" w:rsidRPr="00261B7A" w:rsidRDefault="00994F64" w:rsidP="00501B0F">
            <w:pPr>
              <w:pStyle w:val="TableText"/>
              <w:spacing w:before="50" w:after="50"/>
              <w:jc w:val="right"/>
              <w:rPr>
                <w:rFonts w:cs="Calibri"/>
                <w:szCs w:val="16"/>
              </w:rPr>
            </w:pPr>
            <w:r w:rsidRPr="00261B7A">
              <w:rPr>
                <w:rFonts w:cs="Calibri"/>
                <w:szCs w:val="16"/>
              </w:rPr>
              <w:t>2,098.3</w:t>
            </w:r>
          </w:p>
        </w:tc>
        <w:tc>
          <w:tcPr>
            <w:tcW w:w="829" w:type="dxa"/>
            <w:shd w:val="clear" w:color="auto" w:fill="auto"/>
            <w:vAlign w:val="bottom"/>
          </w:tcPr>
          <w:p w14:paraId="2942FC11" w14:textId="77777777" w:rsidR="00994F64" w:rsidRPr="00261B7A" w:rsidRDefault="00994F64" w:rsidP="00501B0F">
            <w:pPr>
              <w:pStyle w:val="TableText"/>
              <w:spacing w:before="50" w:after="50"/>
              <w:jc w:val="right"/>
              <w:rPr>
                <w:rFonts w:cs="Calibri"/>
                <w:szCs w:val="16"/>
              </w:rPr>
            </w:pPr>
            <w:r w:rsidRPr="00261B7A">
              <w:rPr>
                <w:rFonts w:cs="Calibri"/>
                <w:szCs w:val="16"/>
              </w:rPr>
              <w:t>15.7</w:t>
            </w:r>
          </w:p>
        </w:tc>
        <w:tc>
          <w:tcPr>
            <w:tcW w:w="730" w:type="dxa"/>
            <w:shd w:val="clear" w:color="auto" w:fill="auto"/>
            <w:vAlign w:val="bottom"/>
          </w:tcPr>
          <w:p w14:paraId="09CCED73" w14:textId="77777777" w:rsidR="00994F64" w:rsidRPr="00261B7A" w:rsidRDefault="00994F64" w:rsidP="00501B0F">
            <w:pPr>
              <w:pStyle w:val="TableText"/>
              <w:spacing w:before="50" w:after="50"/>
              <w:jc w:val="right"/>
              <w:rPr>
                <w:rFonts w:cs="Calibri"/>
                <w:szCs w:val="16"/>
              </w:rPr>
            </w:pPr>
            <w:r w:rsidRPr="00261B7A">
              <w:rPr>
                <w:rFonts w:cs="Calibri"/>
                <w:szCs w:val="16"/>
              </w:rPr>
              <w:t>19.4</w:t>
            </w:r>
          </w:p>
        </w:tc>
      </w:tr>
      <w:tr w:rsidR="00994F64" w:rsidRPr="00261B7A" w14:paraId="68AF27A0" w14:textId="77777777" w:rsidTr="00501B0F">
        <w:tc>
          <w:tcPr>
            <w:tcW w:w="3232" w:type="dxa"/>
            <w:shd w:val="clear" w:color="auto" w:fill="auto"/>
            <w:vAlign w:val="bottom"/>
          </w:tcPr>
          <w:p w14:paraId="34A04AAF" w14:textId="77777777" w:rsidR="00994F64" w:rsidRPr="00261B7A" w:rsidRDefault="00994F64" w:rsidP="00501B0F">
            <w:pPr>
              <w:pStyle w:val="TableText"/>
              <w:spacing w:before="50" w:after="50"/>
              <w:rPr>
                <w:rFonts w:cs="Calibri"/>
                <w:szCs w:val="16"/>
              </w:rPr>
            </w:pPr>
            <w:r w:rsidRPr="00261B7A">
              <w:rPr>
                <w:rFonts w:cs="Calibri"/>
                <w:szCs w:val="16"/>
              </w:rPr>
              <w:t>Field burning of agricultural residues (CRF 3.F)</w:t>
            </w:r>
          </w:p>
        </w:tc>
        <w:tc>
          <w:tcPr>
            <w:tcW w:w="801" w:type="dxa"/>
            <w:shd w:val="clear" w:color="auto" w:fill="auto"/>
            <w:vAlign w:val="bottom"/>
          </w:tcPr>
          <w:p w14:paraId="045DF950" w14:textId="77777777" w:rsidR="00994F64" w:rsidRPr="00261B7A" w:rsidRDefault="00994F64" w:rsidP="00501B0F">
            <w:pPr>
              <w:pStyle w:val="TableText"/>
              <w:spacing w:before="50" w:after="50"/>
              <w:jc w:val="right"/>
              <w:rPr>
                <w:rFonts w:cs="Calibri"/>
                <w:szCs w:val="16"/>
              </w:rPr>
            </w:pPr>
            <w:r w:rsidRPr="00261B7A">
              <w:rPr>
                <w:rFonts w:cs="Calibri"/>
                <w:szCs w:val="16"/>
              </w:rPr>
              <w:t>27.4</w:t>
            </w:r>
          </w:p>
        </w:tc>
        <w:tc>
          <w:tcPr>
            <w:tcW w:w="900" w:type="dxa"/>
            <w:shd w:val="clear" w:color="auto" w:fill="auto"/>
            <w:vAlign w:val="bottom"/>
          </w:tcPr>
          <w:p w14:paraId="24322E75" w14:textId="77777777" w:rsidR="00994F64" w:rsidRPr="00261B7A" w:rsidRDefault="00994F64" w:rsidP="00501B0F">
            <w:pPr>
              <w:pStyle w:val="TableText"/>
              <w:spacing w:before="50" w:after="50"/>
              <w:jc w:val="right"/>
              <w:rPr>
                <w:rFonts w:cs="Calibri"/>
                <w:szCs w:val="16"/>
              </w:rPr>
            </w:pPr>
            <w:r w:rsidRPr="00261B7A">
              <w:rPr>
                <w:rFonts w:cs="Calibri"/>
                <w:szCs w:val="16"/>
              </w:rPr>
              <w:t>22.6</w:t>
            </w:r>
          </w:p>
        </w:tc>
        <w:tc>
          <w:tcPr>
            <w:tcW w:w="1077" w:type="dxa"/>
            <w:shd w:val="clear" w:color="auto" w:fill="auto"/>
            <w:vAlign w:val="bottom"/>
          </w:tcPr>
          <w:p w14:paraId="342D016A" w14:textId="77777777" w:rsidR="00994F64" w:rsidRPr="00261B7A" w:rsidRDefault="00994F64" w:rsidP="00501B0F">
            <w:pPr>
              <w:pStyle w:val="TableText"/>
              <w:spacing w:before="50" w:after="50"/>
              <w:jc w:val="right"/>
              <w:rPr>
                <w:rFonts w:cs="Calibri"/>
                <w:szCs w:val="16"/>
              </w:rPr>
            </w:pPr>
            <w:r w:rsidRPr="00261B7A">
              <w:rPr>
                <w:rFonts w:cs="Calibri"/>
                <w:szCs w:val="16"/>
              </w:rPr>
              <w:t>–17.5</w:t>
            </w:r>
          </w:p>
        </w:tc>
        <w:tc>
          <w:tcPr>
            <w:tcW w:w="996" w:type="dxa"/>
            <w:shd w:val="clear" w:color="auto" w:fill="auto"/>
            <w:vAlign w:val="bottom"/>
          </w:tcPr>
          <w:p w14:paraId="3D9C2137" w14:textId="77777777" w:rsidR="00994F64" w:rsidRPr="00261B7A" w:rsidRDefault="00994F64" w:rsidP="00501B0F">
            <w:pPr>
              <w:pStyle w:val="TableText"/>
              <w:spacing w:before="50" w:after="50"/>
              <w:jc w:val="right"/>
              <w:rPr>
                <w:rFonts w:cs="Calibri"/>
                <w:szCs w:val="16"/>
              </w:rPr>
            </w:pPr>
            <w:r w:rsidRPr="00261B7A">
              <w:rPr>
                <w:rFonts w:cs="Calibri"/>
                <w:szCs w:val="16"/>
              </w:rPr>
              <w:t>–4.8</w:t>
            </w:r>
          </w:p>
        </w:tc>
        <w:tc>
          <w:tcPr>
            <w:tcW w:w="829" w:type="dxa"/>
            <w:shd w:val="clear" w:color="auto" w:fill="auto"/>
            <w:vAlign w:val="bottom"/>
          </w:tcPr>
          <w:p w14:paraId="29B30F6D" w14:textId="77777777" w:rsidR="00994F64" w:rsidRPr="00261B7A" w:rsidRDefault="00994F64" w:rsidP="00501B0F">
            <w:pPr>
              <w:pStyle w:val="TableText"/>
              <w:spacing w:before="50" w:after="50"/>
              <w:jc w:val="right"/>
              <w:rPr>
                <w:rFonts w:cs="Calibri"/>
                <w:szCs w:val="16"/>
              </w:rPr>
            </w:pPr>
            <w:r w:rsidRPr="00261B7A">
              <w:rPr>
                <w:rFonts w:cs="Calibri"/>
                <w:szCs w:val="16"/>
              </w:rPr>
              <w:t>0.1</w:t>
            </w:r>
          </w:p>
        </w:tc>
        <w:tc>
          <w:tcPr>
            <w:tcW w:w="730" w:type="dxa"/>
            <w:shd w:val="clear" w:color="auto" w:fill="auto"/>
            <w:vAlign w:val="bottom"/>
          </w:tcPr>
          <w:p w14:paraId="55639745" w14:textId="77777777" w:rsidR="00994F64" w:rsidRPr="00261B7A" w:rsidRDefault="00994F64" w:rsidP="00501B0F">
            <w:pPr>
              <w:pStyle w:val="TableText"/>
              <w:spacing w:before="50" w:after="50"/>
              <w:jc w:val="right"/>
              <w:rPr>
                <w:rFonts w:cs="Calibri"/>
                <w:szCs w:val="16"/>
              </w:rPr>
            </w:pPr>
            <w:r w:rsidRPr="00261B7A">
              <w:rPr>
                <w:rFonts w:cs="Calibri"/>
                <w:szCs w:val="16"/>
              </w:rPr>
              <w:t>0.1</w:t>
            </w:r>
          </w:p>
        </w:tc>
      </w:tr>
      <w:tr w:rsidR="00994F64" w:rsidRPr="00261B7A" w14:paraId="681C0265" w14:textId="77777777" w:rsidTr="00501B0F">
        <w:tc>
          <w:tcPr>
            <w:tcW w:w="3232" w:type="dxa"/>
            <w:shd w:val="clear" w:color="auto" w:fill="auto"/>
            <w:vAlign w:val="bottom"/>
          </w:tcPr>
          <w:p w14:paraId="2290251B" w14:textId="77777777" w:rsidR="00994F64" w:rsidRPr="00261B7A" w:rsidRDefault="00994F64" w:rsidP="00501B0F">
            <w:pPr>
              <w:pStyle w:val="TableText"/>
              <w:spacing w:before="50" w:after="50"/>
              <w:rPr>
                <w:rFonts w:cs="Calibri"/>
                <w:szCs w:val="16"/>
              </w:rPr>
            </w:pPr>
            <w:r w:rsidRPr="00261B7A">
              <w:rPr>
                <w:rFonts w:cs="Calibri"/>
                <w:szCs w:val="16"/>
              </w:rPr>
              <w:t>Liming CO</w:t>
            </w:r>
            <w:r w:rsidRPr="00261B7A">
              <w:rPr>
                <w:rFonts w:cs="Calibri"/>
                <w:szCs w:val="16"/>
                <w:vertAlign w:val="subscript"/>
              </w:rPr>
              <w:t>2</w:t>
            </w:r>
            <w:r w:rsidRPr="00261B7A">
              <w:rPr>
                <w:rFonts w:cs="Calibri"/>
                <w:szCs w:val="16"/>
              </w:rPr>
              <w:t xml:space="preserve"> emissions (CRF 3.G)</w:t>
            </w:r>
          </w:p>
        </w:tc>
        <w:tc>
          <w:tcPr>
            <w:tcW w:w="801" w:type="dxa"/>
            <w:shd w:val="clear" w:color="auto" w:fill="auto"/>
            <w:vAlign w:val="bottom"/>
          </w:tcPr>
          <w:p w14:paraId="0EEC3994" w14:textId="77777777" w:rsidR="00994F64" w:rsidRPr="00261B7A" w:rsidRDefault="00994F64" w:rsidP="00501B0F">
            <w:pPr>
              <w:pStyle w:val="TableText"/>
              <w:spacing w:before="50" w:after="50"/>
              <w:jc w:val="right"/>
              <w:rPr>
                <w:rFonts w:cs="Calibri"/>
                <w:szCs w:val="16"/>
              </w:rPr>
            </w:pPr>
            <w:r w:rsidRPr="00261B7A">
              <w:rPr>
                <w:rFonts w:cs="Calibri"/>
                <w:szCs w:val="16"/>
              </w:rPr>
              <w:t>296.5</w:t>
            </w:r>
          </w:p>
        </w:tc>
        <w:tc>
          <w:tcPr>
            <w:tcW w:w="900" w:type="dxa"/>
            <w:shd w:val="clear" w:color="auto" w:fill="auto"/>
            <w:vAlign w:val="bottom"/>
          </w:tcPr>
          <w:p w14:paraId="1769A228" w14:textId="77777777" w:rsidR="00994F64" w:rsidRPr="00261B7A" w:rsidRDefault="00994F64" w:rsidP="00501B0F">
            <w:pPr>
              <w:pStyle w:val="TableText"/>
              <w:spacing w:before="50" w:after="50"/>
              <w:jc w:val="right"/>
              <w:rPr>
                <w:rFonts w:cs="Calibri"/>
                <w:szCs w:val="16"/>
              </w:rPr>
            </w:pPr>
            <w:r w:rsidRPr="00261B7A">
              <w:rPr>
                <w:rFonts w:cs="Calibri"/>
                <w:szCs w:val="16"/>
              </w:rPr>
              <w:t>355.6</w:t>
            </w:r>
          </w:p>
        </w:tc>
        <w:tc>
          <w:tcPr>
            <w:tcW w:w="1077" w:type="dxa"/>
            <w:shd w:val="clear" w:color="auto" w:fill="auto"/>
            <w:vAlign w:val="bottom"/>
          </w:tcPr>
          <w:p w14:paraId="4A7EA5A2" w14:textId="77777777" w:rsidR="00994F64" w:rsidRPr="00261B7A" w:rsidRDefault="00994F64" w:rsidP="00501B0F">
            <w:pPr>
              <w:pStyle w:val="TableText"/>
              <w:spacing w:before="50" w:after="50"/>
              <w:jc w:val="right"/>
              <w:rPr>
                <w:rFonts w:cs="Calibri"/>
                <w:szCs w:val="16"/>
              </w:rPr>
            </w:pPr>
            <w:r w:rsidRPr="00261B7A">
              <w:rPr>
                <w:rFonts w:cs="Calibri"/>
                <w:szCs w:val="16"/>
              </w:rPr>
              <w:t>20.0</w:t>
            </w:r>
          </w:p>
        </w:tc>
        <w:tc>
          <w:tcPr>
            <w:tcW w:w="996" w:type="dxa"/>
            <w:shd w:val="clear" w:color="auto" w:fill="auto"/>
            <w:vAlign w:val="bottom"/>
          </w:tcPr>
          <w:p w14:paraId="77A50E2A" w14:textId="77777777" w:rsidR="00994F64" w:rsidRPr="00261B7A" w:rsidRDefault="00994F64" w:rsidP="00501B0F">
            <w:pPr>
              <w:pStyle w:val="TableText"/>
              <w:spacing w:before="50" w:after="50"/>
              <w:jc w:val="right"/>
              <w:rPr>
                <w:rFonts w:cs="Calibri"/>
                <w:szCs w:val="16"/>
              </w:rPr>
            </w:pPr>
            <w:r w:rsidRPr="00261B7A">
              <w:rPr>
                <w:rFonts w:cs="Calibri"/>
                <w:szCs w:val="16"/>
              </w:rPr>
              <w:t>59.2</w:t>
            </w:r>
          </w:p>
        </w:tc>
        <w:tc>
          <w:tcPr>
            <w:tcW w:w="829" w:type="dxa"/>
            <w:shd w:val="clear" w:color="auto" w:fill="auto"/>
            <w:vAlign w:val="bottom"/>
          </w:tcPr>
          <w:p w14:paraId="121D6B0E" w14:textId="77777777" w:rsidR="00994F64" w:rsidRPr="00261B7A" w:rsidRDefault="00994F64" w:rsidP="00501B0F">
            <w:pPr>
              <w:pStyle w:val="TableText"/>
              <w:spacing w:before="50" w:after="50"/>
              <w:jc w:val="right"/>
              <w:rPr>
                <w:rFonts w:cs="Calibri"/>
                <w:szCs w:val="16"/>
              </w:rPr>
            </w:pPr>
            <w:r w:rsidRPr="00261B7A">
              <w:rPr>
                <w:rFonts w:cs="Calibri"/>
                <w:szCs w:val="16"/>
              </w:rPr>
              <w:t>0.9</w:t>
            </w:r>
          </w:p>
        </w:tc>
        <w:tc>
          <w:tcPr>
            <w:tcW w:w="730" w:type="dxa"/>
            <w:shd w:val="clear" w:color="auto" w:fill="auto"/>
            <w:vAlign w:val="bottom"/>
          </w:tcPr>
          <w:p w14:paraId="0DA0AD10" w14:textId="77777777" w:rsidR="00994F64" w:rsidRPr="00261B7A" w:rsidRDefault="00994F64" w:rsidP="00501B0F">
            <w:pPr>
              <w:pStyle w:val="TableText"/>
              <w:spacing w:before="50" w:after="50"/>
              <w:jc w:val="right"/>
              <w:rPr>
                <w:rFonts w:cs="Calibri"/>
                <w:szCs w:val="16"/>
              </w:rPr>
            </w:pPr>
            <w:r w:rsidRPr="00261B7A">
              <w:rPr>
                <w:rFonts w:cs="Calibri"/>
                <w:szCs w:val="16"/>
              </w:rPr>
              <w:t>0.9</w:t>
            </w:r>
          </w:p>
        </w:tc>
      </w:tr>
      <w:tr w:rsidR="00994F64" w:rsidRPr="00261B7A" w14:paraId="23CB9380" w14:textId="77777777" w:rsidTr="00501B0F">
        <w:tc>
          <w:tcPr>
            <w:tcW w:w="3232" w:type="dxa"/>
            <w:shd w:val="clear" w:color="auto" w:fill="auto"/>
            <w:vAlign w:val="bottom"/>
          </w:tcPr>
          <w:p w14:paraId="1594D6C1" w14:textId="77777777" w:rsidR="00994F64" w:rsidRPr="00261B7A" w:rsidRDefault="00994F64" w:rsidP="00501B0F">
            <w:pPr>
              <w:pStyle w:val="TableText"/>
              <w:spacing w:before="50" w:after="50"/>
              <w:rPr>
                <w:rFonts w:cs="Calibri"/>
                <w:szCs w:val="16"/>
              </w:rPr>
            </w:pPr>
            <w:r w:rsidRPr="00261B7A">
              <w:rPr>
                <w:rFonts w:cs="Calibri"/>
                <w:szCs w:val="16"/>
              </w:rPr>
              <w:t>Urea application CO</w:t>
            </w:r>
            <w:r w:rsidRPr="00261B7A">
              <w:rPr>
                <w:rFonts w:cs="Calibri"/>
                <w:szCs w:val="16"/>
                <w:vertAlign w:val="subscript"/>
              </w:rPr>
              <w:t>2</w:t>
            </w:r>
            <w:r w:rsidRPr="00261B7A">
              <w:rPr>
                <w:rFonts w:cs="Calibri"/>
                <w:szCs w:val="16"/>
              </w:rPr>
              <w:t xml:space="preserve"> emissions (CRF 3.H)</w:t>
            </w:r>
          </w:p>
        </w:tc>
        <w:tc>
          <w:tcPr>
            <w:tcW w:w="801" w:type="dxa"/>
            <w:shd w:val="clear" w:color="auto" w:fill="auto"/>
            <w:vAlign w:val="bottom"/>
          </w:tcPr>
          <w:p w14:paraId="09FF5979" w14:textId="77777777" w:rsidR="00994F64" w:rsidRPr="00261B7A" w:rsidRDefault="00994F64" w:rsidP="00501B0F">
            <w:pPr>
              <w:pStyle w:val="TableText"/>
              <w:spacing w:before="50" w:after="50"/>
              <w:jc w:val="right"/>
              <w:rPr>
                <w:rFonts w:cs="Calibri"/>
                <w:szCs w:val="16"/>
              </w:rPr>
            </w:pPr>
            <w:r w:rsidRPr="00261B7A">
              <w:rPr>
                <w:rFonts w:cs="Calibri"/>
                <w:szCs w:val="16"/>
              </w:rPr>
              <w:t>39.2</w:t>
            </w:r>
          </w:p>
        </w:tc>
        <w:tc>
          <w:tcPr>
            <w:tcW w:w="900" w:type="dxa"/>
            <w:shd w:val="clear" w:color="auto" w:fill="auto"/>
            <w:vAlign w:val="bottom"/>
          </w:tcPr>
          <w:p w14:paraId="241822A4" w14:textId="77777777" w:rsidR="00994F64" w:rsidRPr="00261B7A" w:rsidRDefault="00994F64" w:rsidP="00501B0F">
            <w:pPr>
              <w:pStyle w:val="TableText"/>
              <w:spacing w:before="50" w:after="50"/>
              <w:jc w:val="right"/>
              <w:rPr>
                <w:rFonts w:cs="Calibri"/>
                <w:szCs w:val="16"/>
              </w:rPr>
            </w:pPr>
            <w:r w:rsidRPr="00261B7A">
              <w:rPr>
                <w:rFonts w:cs="Calibri"/>
                <w:szCs w:val="16"/>
              </w:rPr>
              <w:t>553.2</w:t>
            </w:r>
          </w:p>
        </w:tc>
        <w:tc>
          <w:tcPr>
            <w:tcW w:w="1077" w:type="dxa"/>
            <w:shd w:val="clear" w:color="auto" w:fill="auto"/>
            <w:vAlign w:val="bottom"/>
          </w:tcPr>
          <w:p w14:paraId="4CF5C372" w14:textId="77777777" w:rsidR="00994F64" w:rsidRPr="00261B7A" w:rsidRDefault="00994F64" w:rsidP="00501B0F">
            <w:pPr>
              <w:pStyle w:val="TableText"/>
              <w:spacing w:before="50" w:after="50"/>
              <w:jc w:val="right"/>
              <w:rPr>
                <w:rFonts w:cs="Calibri"/>
                <w:szCs w:val="16"/>
              </w:rPr>
            </w:pPr>
            <w:r w:rsidRPr="00261B7A">
              <w:rPr>
                <w:rFonts w:cs="Calibri"/>
                <w:szCs w:val="16"/>
              </w:rPr>
              <w:t>1,311.4</w:t>
            </w:r>
          </w:p>
        </w:tc>
        <w:tc>
          <w:tcPr>
            <w:tcW w:w="996" w:type="dxa"/>
            <w:shd w:val="clear" w:color="auto" w:fill="auto"/>
            <w:vAlign w:val="bottom"/>
          </w:tcPr>
          <w:p w14:paraId="0B57CC67" w14:textId="77777777" w:rsidR="00994F64" w:rsidRPr="00261B7A" w:rsidRDefault="00994F64" w:rsidP="00501B0F">
            <w:pPr>
              <w:pStyle w:val="TableText"/>
              <w:spacing w:before="50" w:after="50"/>
              <w:jc w:val="right"/>
              <w:rPr>
                <w:rFonts w:cs="Calibri"/>
                <w:szCs w:val="16"/>
              </w:rPr>
            </w:pPr>
            <w:r w:rsidRPr="00261B7A">
              <w:rPr>
                <w:rFonts w:cs="Calibri"/>
                <w:szCs w:val="16"/>
              </w:rPr>
              <w:t>514.0</w:t>
            </w:r>
          </w:p>
        </w:tc>
        <w:tc>
          <w:tcPr>
            <w:tcW w:w="829" w:type="dxa"/>
            <w:shd w:val="clear" w:color="auto" w:fill="auto"/>
            <w:vAlign w:val="bottom"/>
          </w:tcPr>
          <w:p w14:paraId="424932AE" w14:textId="77777777" w:rsidR="00994F64" w:rsidRPr="00261B7A" w:rsidRDefault="00994F64" w:rsidP="00501B0F">
            <w:pPr>
              <w:pStyle w:val="TableText"/>
              <w:spacing w:before="50" w:after="50"/>
              <w:jc w:val="right"/>
              <w:rPr>
                <w:rFonts w:cs="Calibri"/>
                <w:szCs w:val="16"/>
              </w:rPr>
            </w:pPr>
            <w:r w:rsidRPr="00261B7A">
              <w:rPr>
                <w:rFonts w:cs="Calibri"/>
                <w:szCs w:val="16"/>
              </w:rPr>
              <w:t>0.1</w:t>
            </w:r>
          </w:p>
        </w:tc>
        <w:tc>
          <w:tcPr>
            <w:tcW w:w="730" w:type="dxa"/>
            <w:shd w:val="clear" w:color="auto" w:fill="auto"/>
            <w:vAlign w:val="bottom"/>
          </w:tcPr>
          <w:p w14:paraId="0D2A1DF2" w14:textId="77777777" w:rsidR="00994F64" w:rsidRPr="00261B7A" w:rsidRDefault="00994F64" w:rsidP="00501B0F">
            <w:pPr>
              <w:pStyle w:val="TableText"/>
              <w:spacing w:before="50" w:after="50"/>
              <w:jc w:val="right"/>
              <w:rPr>
                <w:rFonts w:cs="Calibri"/>
                <w:szCs w:val="16"/>
              </w:rPr>
            </w:pPr>
            <w:r w:rsidRPr="00261B7A">
              <w:rPr>
                <w:rFonts w:cs="Calibri"/>
                <w:szCs w:val="16"/>
              </w:rPr>
              <w:t>1.5</w:t>
            </w:r>
          </w:p>
        </w:tc>
      </w:tr>
      <w:tr w:rsidR="00994F64" w:rsidRPr="00261B7A" w14:paraId="16EE33A8" w14:textId="77777777" w:rsidTr="00501B0F">
        <w:tc>
          <w:tcPr>
            <w:tcW w:w="3232" w:type="dxa"/>
            <w:shd w:val="clear" w:color="auto" w:fill="auto"/>
            <w:vAlign w:val="bottom"/>
          </w:tcPr>
          <w:p w14:paraId="53E64D05" w14:textId="77777777" w:rsidR="00994F64" w:rsidRPr="00261B7A" w:rsidRDefault="00994F64" w:rsidP="00501B0F">
            <w:pPr>
              <w:pStyle w:val="TableText"/>
              <w:spacing w:before="50" w:after="50"/>
              <w:rPr>
                <w:rFonts w:cs="Calibri"/>
                <w:szCs w:val="16"/>
              </w:rPr>
            </w:pPr>
            <w:r w:rsidRPr="00261B7A">
              <w:rPr>
                <w:rFonts w:cs="Calibri"/>
                <w:szCs w:val="16"/>
              </w:rPr>
              <w:t>Other carbon-containing fertilisers (CRF 3.i)</w:t>
            </w:r>
          </w:p>
        </w:tc>
        <w:tc>
          <w:tcPr>
            <w:tcW w:w="801" w:type="dxa"/>
            <w:shd w:val="clear" w:color="auto" w:fill="auto"/>
            <w:vAlign w:val="bottom"/>
          </w:tcPr>
          <w:p w14:paraId="4525A982" w14:textId="77777777" w:rsidR="00994F64" w:rsidRPr="00261B7A" w:rsidRDefault="00994F64" w:rsidP="00501B0F">
            <w:pPr>
              <w:pStyle w:val="TableText"/>
              <w:spacing w:before="50" w:after="50"/>
              <w:jc w:val="right"/>
              <w:rPr>
                <w:rFonts w:cs="Calibri"/>
                <w:szCs w:val="16"/>
              </w:rPr>
            </w:pPr>
            <w:r w:rsidRPr="00261B7A">
              <w:rPr>
                <w:rFonts w:cs="Calibri"/>
                <w:szCs w:val="16"/>
              </w:rPr>
              <w:t>NE</w:t>
            </w:r>
          </w:p>
        </w:tc>
        <w:tc>
          <w:tcPr>
            <w:tcW w:w="900" w:type="dxa"/>
            <w:shd w:val="clear" w:color="auto" w:fill="auto"/>
            <w:vAlign w:val="bottom"/>
          </w:tcPr>
          <w:p w14:paraId="50E4C142" w14:textId="77777777" w:rsidR="00994F64" w:rsidRPr="00261B7A" w:rsidRDefault="00994F64" w:rsidP="00501B0F">
            <w:pPr>
              <w:pStyle w:val="TableText"/>
              <w:spacing w:before="50" w:after="50"/>
              <w:jc w:val="right"/>
              <w:rPr>
                <w:rFonts w:cs="Calibri"/>
                <w:szCs w:val="16"/>
              </w:rPr>
            </w:pPr>
            <w:r w:rsidRPr="00261B7A">
              <w:rPr>
                <w:rFonts w:cs="Calibri"/>
                <w:szCs w:val="16"/>
              </w:rPr>
              <w:t>NE</w:t>
            </w:r>
          </w:p>
        </w:tc>
        <w:tc>
          <w:tcPr>
            <w:tcW w:w="1077" w:type="dxa"/>
            <w:shd w:val="clear" w:color="auto" w:fill="auto"/>
            <w:vAlign w:val="bottom"/>
          </w:tcPr>
          <w:p w14:paraId="72D6E36E" w14:textId="77777777" w:rsidR="00994F64" w:rsidRPr="00261B7A" w:rsidRDefault="00994F64" w:rsidP="00501B0F">
            <w:pPr>
              <w:pStyle w:val="TableText"/>
              <w:spacing w:before="50" w:after="50"/>
              <w:jc w:val="right"/>
              <w:rPr>
                <w:rFonts w:cs="Calibri"/>
                <w:szCs w:val="16"/>
              </w:rPr>
            </w:pPr>
            <w:r w:rsidRPr="00261B7A">
              <w:rPr>
                <w:rFonts w:cs="Calibri"/>
                <w:szCs w:val="16"/>
              </w:rPr>
              <w:t>–</w:t>
            </w:r>
          </w:p>
        </w:tc>
        <w:tc>
          <w:tcPr>
            <w:tcW w:w="996" w:type="dxa"/>
            <w:shd w:val="clear" w:color="auto" w:fill="auto"/>
            <w:vAlign w:val="bottom"/>
          </w:tcPr>
          <w:p w14:paraId="38DFE6BA" w14:textId="77777777" w:rsidR="00994F64" w:rsidRPr="00261B7A" w:rsidRDefault="00994F64" w:rsidP="00501B0F">
            <w:pPr>
              <w:pStyle w:val="TableText"/>
              <w:spacing w:before="50" w:after="50"/>
              <w:jc w:val="right"/>
              <w:rPr>
                <w:rFonts w:cs="Calibri"/>
                <w:szCs w:val="16"/>
              </w:rPr>
            </w:pPr>
            <w:r w:rsidRPr="00261B7A">
              <w:rPr>
                <w:rFonts w:cs="Calibri"/>
                <w:szCs w:val="16"/>
              </w:rPr>
              <w:t>–</w:t>
            </w:r>
          </w:p>
        </w:tc>
        <w:tc>
          <w:tcPr>
            <w:tcW w:w="829" w:type="dxa"/>
            <w:shd w:val="clear" w:color="auto" w:fill="auto"/>
            <w:vAlign w:val="bottom"/>
          </w:tcPr>
          <w:p w14:paraId="00A3397A" w14:textId="77777777" w:rsidR="00994F64" w:rsidRPr="00261B7A" w:rsidRDefault="00994F64" w:rsidP="00501B0F">
            <w:pPr>
              <w:pStyle w:val="TableText"/>
              <w:spacing w:before="50" w:after="50"/>
              <w:jc w:val="right"/>
              <w:rPr>
                <w:rFonts w:cs="Calibri"/>
                <w:szCs w:val="16"/>
              </w:rPr>
            </w:pPr>
            <w:r w:rsidRPr="00261B7A">
              <w:rPr>
                <w:rFonts w:cs="Calibri"/>
                <w:szCs w:val="16"/>
              </w:rPr>
              <w:t>–</w:t>
            </w:r>
          </w:p>
        </w:tc>
        <w:tc>
          <w:tcPr>
            <w:tcW w:w="730" w:type="dxa"/>
            <w:shd w:val="clear" w:color="auto" w:fill="auto"/>
            <w:vAlign w:val="bottom"/>
          </w:tcPr>
          <w:p w14:paraId="10E0B0E0" w14:textId="77777777" w:rsidR="00994F64" w:rsidRPr="00261B7A" w:rsidRDefault="00994F64" w:rsidP="00501B0F">
            <w:pPr>
              <w:pStyle w:val="TableText"/>
              <w:spacing w:before="50" w:after="50"/>
              <w:jc w:val="right"/>
              <w:rPr>
                <w:rFonts w:cs="Calibri"/>
                <w:szCs w:val="16"/>
              </w:rPr>
            </w:pPr>
            <w:r w:rsidRPr="00261B7A">
              <w:rPr>
                <w:rFonts w:cs="Calibri"/>
                <w:szCs w:val="16"/>
              </w:rPr>
              <w:t>–</w:t>
            </w:r>
          </w:p>
        </w:tc>
      </w:tr>
      <w:tr w:rsidR="00994F64" w:rsidRPr="00261B7A" w14:paraId="5F545DEB" w14:textId="77777777" w:rsidTr="00501B0F">
        <w:tc>
          <w:tcPr>
            <w:tcW w:w="3232" w:type="dxa"/>
            <w:shd w:val="clear" w:color="auto" w:fill="auto"/>
            <w:vAlign w:val="bottom"/>
          </w:tcPr>
          <w:p w14:paraId="4B406E70" w14:textId="77777777" w:rsidR="00994F64" w:rsidRPr="00261B7A" w:rsidRDefault="00994F64" w:rsidP="00501B0F">
            <w:pPr>
              <w:pStyle w:val="TableText"/>
              <w:spacing w:before="50" w:after="50"/>
              <w:rPr>
                <w:rFonts w:cs="Calibri"/>
                <w:b/>
                <w:bCs/>
                <w:color w:val="1B556B"/>
                <w:szCs w:val="16"/>
              </w:rPr>
            </w:pPr>
            <w:r w:rsidRPr="00261B7A">
              <w:rPr>
                <w:rFonts w:cs="Calibri"/>
                <w:b/>
                <w:bCs/>
                <w:color w:val="1B556B"/>
                <w:szCs w:val="16"/>
              </w:rPr>
              <w:t>Total</w:t>
            </w:r>
          </w:p>
        </w:tc>
        <w:tc>
          <w:tcPr>
            <w:tcW w:w="801" w:type="dxa"/>
            <w:shd w:val="clear" w:color="auto" w:fill="auto"/>
            <w:vAlign w:val="bottom"/>
          </w:tcPr>
          <w:p w14:paraId="01D99BF1" w14:textId="77777777" w:rsidR="00994F64" w:rsidRPr="00261B7A" w:rsidRDefault="00994F64" w:rsidP="00501B0F">
            <w:pPr>
              <w:pStyle w:val="TableText"/>
              <w:spacing w:before="50" w:after="50"/>
              <w:jc w:val="right"/>
              <w:rPr>
                <w:rFonts w:cs="Calibri"/>
                <w:b/>
                <w:color w:val="1B556B"/>
                <w:szCs w:val="16"/>
              </w:rPr>
            </w:pPr>
            <w:r w:rsidRPr="00261B7A">
              <w:rPr>
                <w:rFonts w:cs="Calibri"/>
                <w:b/>
                <w:color w:val="1B556B"/>
                <w:szCs w:val="16"/>
              </w:rPr>
              <w:t>33,</w:t>
            </w:r>
            <w:r w:rsidRPr="00261B7A">
              <w:rPr>
                <w:rFonts w:cs="Calibri"/>
                <w:b/>
                <w:bCs/>
                <w:color w:val="1B556B"/>
                <w:szCs w:val="16"/>
              </w:rPr>
              <w:t>312.0</w:t>
            </w:r>
          </w:p>
        </w:tc>
        <w:tc>
          <w:tcPr>
            <w:tcW w:w="900" w:type="dxa"/>
            <w:shd w:val="clear" w:color="auto" w:fill="auto"/>
            <w:vAlign w:val="bottom"/>
          </w:tcPr>
          <w:p w14:paraId="14400EDF" w14:textId="77777777" w:rsidR="00994F64" w:rsidRPr="00261B7A" w:rsidRDefault="00994F64" w:rsidP="00501B0F">
            <w:pPr>
              <w:pStyle w:val="TableText"/>
              <w:spacing w:before="50" w:after="50"/>
              <w:jc w:val="right"/>
              <w:rPr>
                <w:rFonts w:cs="Calibri"/>
                <w:b/>
                <w:color w:val="1B556B"/>
                <w:szCs w:val="16"/>
              </w:rPr>
            </w:pPr>
            <w:r w:rsidRPr="00261B7A">
              <w:rPr>
                <w:rFonts w:cs="Calibri"/>
                <w:b/>
                <w:bCs/>
                <w:color w:val="1B556B"/>
                <w:szCs w:val="16"/>
              </w:rPr>
              <w:t>37,786.1</w:t>
            </w:r>
          </w:p>
        </w:tc>
        <w:tc>
          <w:tcPr>
            <w:tcW w:w="1077" w:type="dxa"/>
            <w:shd w:val="clear" w:color="auto" w:fill="auto"/>
            <w:vAlign w:val="bottom"/>
          </w:tcPr>
          <w:p w14:paraId="78873BD4" w14:textId="77777777" w:rsidR="00994F64" w:rsidRPr="00261B7A" w:rsidRDefault="00994F64" w:rsidP="00501B0F">
            <w:pPr>
              <w:pStyle w:val="TableText"/>
              <w:spacing w:before="50" w:after="50"/>
              <w:jc w:val="right"/>
              <w:rPr>
                <w:rFonts w:cs="Calibri"/>
                <w:b/>
                <w:color w:val="1B556B"/>
                <w:szCs w:val="16"/>
              </w:rPr>
            </w:pPr>
            <w:r w:rsidRPr="00261B7A">
              <w:rPr>
                <w:rFonts w:cs="Calibri"/>
                <w:b/>
                <w:bCs/>
                <w:color w:val="1B556B"/>
                <w:szCs w:val="16"/>
              </w:rPr>
              <w:t>13.4</w:t>
            </w:r>
          </w:p>
        </w:tc>
        <w:tc>
          <w:tcPr>
            <w:tcW w:w="996" w:type="dxa"/>
            <w:shd w:val="clear" w:color="auto" w:fill="auto"/>
            <w:vAlign w:val="bottom"/>
          </w:tcPr>
          <w:p w14:paraId="770F3B68" w14:textId="77777777" w:rsidR="00994F64" w:rsidRPr="00261B7A" w:rsidRDefault="00994F64" w:rsidP="00501B0F">
            <w:pPr>
              <w:pStyle w:val="TableText"/>
              <w:spacing w:before="50" w:after="50"/>
              <w:jc w:val="right"/>
              <w:rPr>
                <w:rFonts w:cs="Calibri"/>
                <w:b/>
                <w:color w:val="1B556B"/>
                <w:szCs w:val="16"/>
              </w:rPr>
            </w:pPr>
            <w:r w:rsidRPr="00261B7A">
              <w:rPr>
                <w:rFonts w:cs="Calibri"/>
                <w:b/>
                <w:bCs/>
                <w:color w:val="1B556B"/>
                <w:szCs w:val="16"/>
              </w:rPr>
              <w:t>4,474.1</w:t>
            </w:r>
          </w:p>
        </w:tc>
        <w:tc>
          <w:tcPr>
            <w:tcW w:w="829" w:type="dxa"/>
            <w:shd w:val="clear" w:color="auto" w:fill="auto"/>
            <w:vAlign w:val="bottom"/>
          </w:tcPr>
          <w:p w14:paraId="1E670DAD" w14:textId="77777777" w:rsidR="00994F64" w:rsidRPr="00261B7A" w:rsidRDefault="00994F64" w:rsidP="00501B0F">
            <w:pPr>
              <w:pStyle w:val="TableText"/>
              <w:spacing w:before="50" w:after="50"/>
              <w:jc w:val="right"/>
              <w:rPr>
                <w:rFonts w:cs="Calibri"/>
                <w:b/>
                <w:color w:val="1B556B"/>
                <w:szCs w:val="16"/>
              </w:rPr>
            </w:pPr>
            <w:r w:rsidRPr="00261B7A">
              <w:rPr>
                <w:rFonts w:cs="Calibri"/>
                <w:b/>
                <w:color w:val="1B556B"/>
                <w:szCs w:val="16"/>
              </w:rPr>
              <w:t>100</w:t>
            </w:r>
          </w:p>
        </w:tc>
        <w:tc>
          <w:tcPr>
            <w:tcW w:w="730" w:type="dxa"/>
            <w:shd w:val="clear" w:color="auto" w:fill="auto"/>
            <w:vAlign w:val="bottom"/>
          </w:tcPr>
          <w:p w14:paraId="72847A4A" w14:textId="77777777" w:rsidR="00994F64" w:rsidRPr="00261B7A" w:rsidRDefault="00994F64" w:rsidP="00501B0F">
            <w:pPr>
              <w:pStyle w:val="TableText"/>
              <w:spacing w:before="50" w:after="50"/>
              <w:jc w:val="right"/>
              <w:rPr>
                <w:rFonts w:cs="Calibri"/>
                <w:b/>
                <w:color w:val="1B556B"/>
                <w:szCs w:val="16"/>
              </w:rPr>
            </w:pPr>
            <w:r w:rsidRPr="00261B7A">
              <w:rPr>
                <w:rFonts w:cs="Calibri"/>
                <w:b/>
                <w:color w:val="1B556B"/>
                <w:szCs w:val="16"/>
              </w:rPr>
              <w:t>100</w:t>
            </w:r>
          </w:p>
        </w:tc>
      </w:tr>
    </w:tbl>
    <w:p w14:paraId="42A3F615" w14:textId="77777777" w:rsidR="00994F64" w:rsidRPr="00261B7A" w:rsidRDefault="00994F64" w:rsidP="00994F64">
      <w:pPr>
        <w:pStyle w:val="Noteundertable"/>
        <w:rPr>
          <w:rFonts w:cs="Calibri"/>
        </w:rPr>
      </w:pPr>
      <w:r w:rsidRPr="00261B7A">
        <w:rPr>
          <w:rFonts w:cs="Calibri"/>
          <w:b/>
          <w:bCs/>
        </w:rPr>
        <w:t>Note:</w:t>
      </w:r>
      <w:r w:rsidRPr="00261B7A">
        <w:rPr>
          <w:rFonts w:cs="Calibri"/>
        </w:rPr>
        <w:t xml:space="preserve"> </w:t>
      </w:r>
      <w:r w:rsidRPr="00261B7A">
        <w:rPr>
          <w:rFonts w:cs="Calibri"/>
        </w:rPr>
        <w:tab/>
        <w:t>NO = not occurring, NE = not estimated. Percentages presented are calculated from unrounded values.</w:t>
      </w:r>
    </w:p>
    <w:p w14:paraId="27246B2F" w14:textId="77777777" w:rsidR="00994F64" w:rsidRPr="00261B7A" w:rsidRDefault="00994F64" w:rsidP="00994F64">
      <w:pPr>
        <w:pStyle w:val="BodyText"/>
        <w:rPr>
          <w:rFonts w:cs="Calibri"/>
          <w:spacing w:val="-2"/>
        </w:rPr>
      </w:pPr>
      <w:r w:rsidRPr="00261B7A">
        <w:rPr>
          <w:rFonts w:cs="Calibri"/>
        </w:rPr>
        <w:t xml:space="preserve">The greatest contributions to the increase since 1990 are a 40.2 per cent (2,098.3 kt </w:t>
      </w:r>
      <w:r w:rsidRPr="00261B7A">
        <w:rPr>
          <w:rFonts w:cs="Calibri"/>
          <w:spacing w:val="-2"/>
        </w:rPr>
        <w:t>CO</w:t>
      </w:r>
      <w:r w:rsidRPr="00261B7A">
        <w:rPr>
          <w:rFonts w:cs="Calibri"/>
          <w:spacing w:val="-2"/>
          <w:vertAlign w:val="subscript"/>
        </w:rPr>
        <w:t>2</w:t>
      </w:r>
      <w:r w:rsidRPr="00261B7A">
        <w:rPr>
          <w:rFonts w:cs="Calibri"/>
          <w:spacing w:val="-2"/>
        </w:rPr>
        <w:t>-e) increase in N</w:t>
      </w:r>
      <w:r w:rsidRPr="00261B7A">
        <w:rPr>
          <w:rFonts w:cs="Calibri"/>
          <w:spacing w:val="-2"/>
          <w:vertAlign w:val="subscript"/>
        </w:rPr>
        <w:t>2</w:t>
      </w:r>
      <w:r w:rsidRPr="00261B7A">
        <w:rPr>
          <w:rFonts w:cs="Calibri"/>
          <w:spacing w:val="-2"/>
        </w:rPr>
        <w:t xml:space="preserve">O emissions from </w:t>
      </w:r>
      <w:r w:rsidRPr="00261B7A">
        <w:rPr>
          <w:rFonts w:cs="Calibri"/>
          <w:i/>
          <w:iCs/>
          <w:spacing w:val="-2"/>
        </w:rPr>
        <w:t>Agricultural soils</w:t>
      </w:r>
      <w:r w:rsidRPr="00261B7A">
        <w:rPr>
          <w:rFonts w:cs="Calibri"/>
        </w:rPr>
        <w:t xml:space="preserve"> </w:t>
      </w:r>
      <w:r w:rsidRPr="00261B7A">
        <w:rPr>
          <w:rFonts w:cs="Calibri"/>
          <w:spacing w:val="-2"/>
        </w:rPr>
        <w:t xml:space="preserve">and a </w:t>
      </w:r>
      <w:r w:rsidRPr="00261B7A">
        <w:t>117.7 per cent (849.9 kt CO</w:t>
      </w:r>
      <w:r w:rsidRPr="00261B7A">
        <w:rPr>
          <w:vertAlign w:val="subscript"/>
        </w:rPr>
        <w:t>2</w:t>
      </w:r>
      <w:r w:rsidRPr="00261B7A">
        <w:t>-e) increase in CH</w:t>
      </w:r>
      <w:r w:rsidRPr="00261B7A">
        <w:rPr>
          <w:vertAlign w:val="subscript"/>
        </w:rPr>
        <w:t>4</w:t>
      </w:r>
      <w:r w:rsidRPr="00261B7A">
        <w:t xml:space="preserve"> emissions from </w:t>
      </w:r>
      <w:r w:rsidRPr="00261B7A">
        <w:rPr>
          <w:i/>
          <w:iCs/>
        </w:rPr>
        <w:t>Manure management</w:t>
      </w:r>
      <w:r w:rsidRPr="00261B7A">
        <w:t xml:space="preserve"> </w:t>
      </w:r>
      <w:r w:rsidRPr="00261B7A">
        <w:rPr>
          <w:rFonts w:cs="Calibri"/>
        </w:rPr>
        <w:t xml:space="preserve">(figure 5.1.1). </w:t>
      </w:r>
    </w:p>
    <w:p w14:paraId="3B309E99" w14:textId="77777777" w:rsidR="00994F64" w:rsidRPr="00261B7A" w:rsidRDefault="00994F64" w:rsidP="00994F64">
      <w:pPr>
        <w:pStyle w:val="BodyText"/>
        <w:rPr>
          <w:rFonts w:cs="Calibri"/>
        </w:rPr>
      </w:pPr>
      <w:r w:rsidRPr="00261B7A">
        <w:rPr>
          <w:rFonts w:cs="Calibri"/>
          <w:spacing w:val="-2"/>
        </w:rPr>
        <w:t>The increase in N</w:t>
      </w:r>
      <w:r w:rsidRPr="00261B7A">
        <w:rPr>
          <w:rFonts w:cs="Calibri"/>
          <w:spacing w:val="-2"/>
          <w:vertAlign w:val="subscript"/>
        </w:rPr>
        <w:t>2</w:t>
      </w:r>
      <w:r w:rsidRPr="00261B7A">
        <w:rPr>
          <w:rFonts w:cs="Calibri"/>
          <w:spacing w:val="-2"/>
        </w:rPr>
        <w:t xml:space="preserve">O emissions from </w:t>
      </w:r>
      <w:r w:rsidRPr="00261B7A">
        <w:rPr>
          <w:rFonts w:cs="Calibri"/>
          <w:i/>
          <w:iCs/>
          <w:spacing w:val="-2"/>
        </w:rPr>
        <w:t>Agricultural soils</w:t>
      </w:r>
      <w:r w:rsidRPr="00261B7A">
        <w:rPr>
          <w:rFonts w:cs="Calibri"/>
          <w:spacing w:val="-2"/>
        </w:rPr>
        <w:t xml:space="preserve"> is primarily a result of increased application</w:t>
      </w:r>
      <w:r w:rsidRPr="00261B7A">
        <w:rPr>
          <w:rFonts w:cs="Calibri"/>
        </w:rPr>
        <w:t xml:space="preserve"> of synthetic nitrogen fertiliser by around 644 per cent</w:t>
      </w:r>
      <w:r w:rsidRPr="00261B7A" w:rsidDel="00721C02">
        <w:rPr>
          <w:rFonts w:cs="Calibri"/>
        </w:rPr>
        <w:t xml:space="preserve"> </w:t>
      </w:r>
      <w:r w:rsidRPr="00261B7A">
        <w:rPr>
          <w:rFonts w:cs="Calibri"/>
        </w:rPr>
        <w:t>since 1990. This is partly due to an increase in dairy farming, as well as increased use on farms.</w:t>
      </w:r>
    </w:p>
    <w:p w14:paraId="53413A15" w14:textId="417AC1A9" w:rsidR="00994F64" w:rsidRPr="00261B7A" w:rsidRDefault="00994F64" w:rsidP="00994F64">
      <w:pPr>
        <w:pStyle w:val="BodyText"/>
        <w:rPr>
          <w:rFonts w:cs="Calibri"/>
        </w:rPr>
      </w:pPr>
      <w:r w:rsidRPr="00261B7A">
        <w:rPr>
          <w:rFonts w:cs="Calibri"/>
        </w:rPr>
        <w:t xml:space="preserve">The increase in emissions from </w:t>
      </w:r>
      <w:r w:rsidRPr="00261B7A">
        <w:rPr>
          <w:rFonts w:cs="Calibri"/>
          <w:i/>
          <w:iCs/>
        </w:rPr>
        <w:t>Enteric fermentation</w:t>
      </w:r>
      <w:r w:rsidRPr="00261B7A">
        <w:rPr>
          <w:rFonts w:cs="Calibri"/>
        </w:rPr>
        <w:t xml:space="preserve"> is driven by an increase in dairy cattle </w:t>
      </w:r>
      <w:r w:rsidRPr="00261B7A">
        <w:rPr>
          <w:rFonts w:cs="Calibri"/>
          <w:spacing w:val="-2"/>
        </w:rPr>
        <w:t>numbers, which is partially offset by a decrease in beef cattle and sheep numbers. The</w:t>
      </w:r>
      <w:r w:rsidRPr="00261B7A">
        <w:rPr>
          <w:rFonts w:cs="Calibri"/>
        </w:rPr>
        <w:t xml:space="preserve"> change in</w:t>
      </w:r>
      <w:r w:rsidR="00E343CE">
        <w:rPr>
          <w:rFonts w:cs="Calibri"/>
        </w:rPr>
        <w:t> </w:t>
      </w:r>
      <w:r w:rsidRPr="00261B7A">
        <w:rPr>
          <w:rFonts w:cs="Calibri"/>
        </w:rPr>
        <w:t>animal populations since 1990 reflects the relative financial returns in each sector (it has been more profitable to farm dairy cattle than beef cattle or sheep in New Zealand over the reporting period). Stock numbers have also been reduced as a result of several voluntary initiatives driven by agricultural sector groups, which have focused on improving livestock genetics and championing the uptake of more sustainable farming practices. Alongside this, changes in New Zealand’s regulatory environment, especially regarding improvements to freshwater quality have also likely led to reductions in stock numbers.</w:t>
      </w:r>
    </w:p>
    <w:p w14:paraId="085E240E" w14:textId="77777777" w:rsidR="00994F64" w:rsidRPr="00261B7A" w:rsidRDefault="00994F64" w:rsidP="00994F64">
      <w:pPr>
        <w:pStyle w:val="Figure"/>
      </w:pPr>
      <w:bookmarkStart w:id="614" w:name="_Toc32570956"/>
      <w:bookmarkStart w:id="615" w:name="_Toc36292786"/>
      <w:bookmarkStart w:id="616" w:name="_Toc68786651"/>
      <w:bookmarkStart w:id="617" w:name="_Toc95574112"/>
      <w:bookmarkStart w:id="618" w:name="_Toc127458551"/>
      <w:bookmarkStart w:id="619" w:name="_Toc131591553"/>
      <w:r w:rsidRPr="00261B7A">
        <w:t>Figure 5.1.1</w:t>
      </w:r>
      <w:r w:rsidRPr="00261B7A">
        <w:tab/>
        <w:t>Change in New Zealand’s emissions from the Agriculture sector from 1990 to </w:t>
      </w:r>
      <w:bookmarkEnd w:id="614"/>
      <w:bookmarkEnd w:id="615"/>
      <w:bookmarkEnd w:id="616"/>
      <w:r w:rsidRPr="00261B7A">
        <w:t>202</w:t>
      </w:r>
      <w:bookmarkEnd w:id="617"/>
      <w:r w:rsidRPr="00261B7A">
        <w:t>1</w:t>
      </w:r>
      <w:bookmarkEnd w:id="618"/>
      <w:bookmarkEnd w:id="619"/>
    </w:p>
    <w:p w14:paraId="1E99DA32" w14:textId="77777777" w:rsidR="00994F64" w:rsidRPr="00261B7A" w:rsidRDefault="00994F64" w:rsidP="00994F64">
      <w:pPr>
        <w:pStyle w:val="BodyText"/>
        <w:spacing w:before="0"/>
        <w:rPr>
          <w:rFonts w:cs="Calibri"/>
        </w:rPr>
      </w:pPr>
      <w:r w:rsidRPr="00261B7A">
        <w:rPr>
          <w:noProof/>
        </w:rPr>
        <w:drawing>
          <wp:inline distT="0" distB="0" distL="0" distR="0" wp14:anchorId="58E8735A" wp14:editId="689E37D5">
            <wp:extent cx="5400040" cy="3317875"/>
            <wp:effectExtent l="0" t="0" r="0" b="0"/>
            <wp:docPr id="31" name="Chart 31">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0F5470FB" w14:textId="77777777" w:rsidR="00994F64" w:rsidRPr="00261B7A" w:rsidRDefault="00994F64" w:rsidP="00994F64">
      <w:pPr>
        <w:pStyle w:val="Noteundertable"/>
        <w:spacing w:before="0"/>
        <w:rPr>
          <w:rFonts w:cs="Calibri"/>
        </w:rPr>
      </w:pPr>
      <w:r w:rsidRPr="00261B7A">
        <w:rPr>
          <w:rFonts w:cs="Calibri"/>
          <w:b/>
          <w:bCs/>
        </w:rPr>
        <w:t>Note:</w:t>
      </w:r>
      <w:r w:rsidRPr="00261B7A">
        <w:rPr>
          <w:rFonts w:cs="Calibri"/>
        </w:rPr>
        <w:t xml:space="preserve"> </w:t>
      </w:r>
      <w:r w:rsidRPr="00261B7A">
        <w:rPr>
          <w:rFonts w:cs="Calibri"/>
        </w:rPr>
        <w:tab/>
        <w:t xml:space="preserve">Rice cultivation does not occur (NO) in New Zealand. Emissions from other carbon-containing fertilisers are not estimated (NE). </w:t>
      </w:r>
    </w:p>
    <w:p w14:paraId="357F053B" w14:textId="2A921C34" w:rsidR="00994F64" w:rsidRPr="00261B7A" w:rsidRDefault="00994F64" w:rsidP="00994F64">
      <w:pPr>
        <w:pStyle w:val="BodyText"/>
        <w:rPr>
          <w:rFonts w:cs="Calibri"/>
        </w:rPr>
      </w:pPr>
      <w:r w:rsidRPr="00261B7A">
        <w:rPr>
          <w:rFonts w:cs="Calibri"/>
        </w:rPr>
        <w:t xml:space="preserve">Agriculture emissions </w:t>
      </w:r>
      <w:r w:rsidR="007D755F" w:rsidRPr="00261B7A">
        <w:rPr>
          <w:rFonts w:cs="Calibri"/>
        </w:rPr>
        <w:t xml:space="preserve">most recently </w:t>
      </w:r>
      <w:r w:rsidRPr="00261B7A">
        <w:rPr>
          <w:rFonts w:cs="Calibri"/>
        </w:rPr>
        <w:t xml:space="preserve">peaked at 38,755.2 kt </w:t>
      </w:r>
      <w:r w:rsidRPr="00261B7A">
        <w:t>CO</w:t>
      </w:r>
      <w:r w:rsidRPr="00261B7A">
        <w:rPr>
          <w:vertAlign w:val="subscript"/>
        </w:rPr>
        <w:t>2</w:t>
      </w:r>
      <w:r w:rsidRPr="00261B7A">
        <w:t>-e in 2014, corresponding with a</w:t>
      </w:r>
      <w:r w:rsidR="00E343CE">
        <w:t> </w:t>
      </w:r>
      <w:r w:rsidRPr="00261B7A">
        <w:t xml:space="preserve">peak in dairy cattle (and total cattle overall) numbers. Prior to 2014, </w:t>
      </w:r>
      <w:r w:rsidRPr="00261B7A">
        <w:rPr>
          <w:iCs/>
        </w:rPr>
        <w:t>Agriculture</w:t>
      </w:r>
      <w:r w:rsidRPr="00261B7A">
        <w:rPr>
          <w:i/>
        </w:rPr>
        <w:t xml:space="preserve"> </w:t>
      </w:r>
      <w:r w:rsidRPr="00261B7A">
        <w:t>emissions were at their highest in 2005 (38,794.31 kt CO</w:t>
      </w:r>
      <w:r w:rsidRPr="00261B7A">
        <w:rPr>
          <w:vertAlign w:val="subscript"/>
        </w:rPr>
        <w:t>2</w:t>
      </w:r>
      <w:r w:rsidRPr="00261B7A">
        <w:t>-e) but dropped by around 1,000 kt CO</w:t>
      </w:r>
      <w:r w:rsidRPr="00261B7A">
        <w:rPr>
          <w:vertAlign w:val="subscript"/>
        </w:rPr>
        <w:t>2</w:t>
      </w:r>
      <w:r w:rsidRPr="00261B7A">
        <w:t>-e during the Global Financial Crisis (2007–08) and another 1,000 kt CO</w:t>
      </w:r>
      <w:r w:rsidRPr="00261B7A">
        <w:rPr>
          <w:vertAlign w:val="subscript"/>
        </w:rPr>
        <w:t>2</w:t>
      </w:r>
      <w:r w:rsidRPr="00261B7A">
        <w:t>-e during the 2008 nationwide drought. Agriculture</w:t>
      </w:r>
      <w:r w:rsidRPr="00261B7A">
        <w:rPr>
          <w:i/>
        </w:rPr>
        <w:t xml:space="preserve"> </w:t>
      </w:r>
      <w:r w:rsidRPr="00261B7A">
        <w:t>emissions have remained slightly below the 2014 peak in the years 2015 to 2021. This is partly due to a drop in the profitability of dairy (relative to other primary sector exports) since 2015 and a continued fall in the sheep population (figure 5.1.2).</w:t>
      </w:r>
    </w:p>
    <w:p w14:paraId="64F87D2D" w14:textId="77777777" w:rsidR="00994F64" w:rsidRPr="00261B7A" w:rsidRDefault="00994F64" w:rsidP="00994F64">
      <w:pPr>
        <w:pStyle w:val="Figure"/>
      </w:pPr>
      <w:bookmarkStart w:id="620" w:name="_Toc32570957"/>
      <w:bookmarkStart w:id="621" w:name="_Toc36292787"/>
      <w:bookmarkStart w:id="622" w:name="_Toc68786652"/>
      <w:bookmarkStart w:id="623" w:name="_Toc95574113"/>
      <w:bookmarkStart w:id="624" w:name="_Toc127458552"/>
      <w:bookmarkStart w:id="625" w:name="_Toc131591554"/>
      <w:r w:rsidRPr="00261B7A">
        <w:t>Figure 5.1.2</w:t>
      </w:r>
      <w:r w:rsidRPr="00261B7A">
        <w:tab/>
        <w:t>New Zealand’s Agriculture sector emissions from 1990 to </w:t>
      </w:r>
      <w:bookmarkEnd w:id="620"/>
      <w:bookmarkEnd w:id="621"/>
      <w:bookmarkEnd w:id="622"/>
      <w:r w:rsidRPr="00261B7A">
        <w:t>202</w:t>
      </w:r>
      <w:bookmarkEnd w:id="623"/>
      <w:r w:rsidRPr="00261B7A">
        <w:t>1</w:t>
      </w:r>
      <w:bookmarkEnd w:id="624"/>
      <w:bookmarkEnd w:id="625"/>
    </w:p>
    <w:p w14:paraId="2BE711E6" w14:textId="77777777" w:rsidR="00994F64" w:rsidRPr="00261B7A" w:rsidRDefault="00994F64" w:rsidP="00994F64">
      <w:pPr>
        <w:pStyle w:val="BodyText"/>
        <w:spacing w:before="0" w:after="0"/>
        <w:rPr>
          <w:rFonts w:cs="Calibri"/>
        </w:rPr>
      </w:pPr>
      <w:r w:rsidRPr="00261B7A">
        <w:rPr>
          <w:noProof/>
        </w:rPr>
        <w:drawing>
          <wp:inline distT="0" distB="0" distL="0" distR="0" wp14:anchorId="18D0D50D" wp14:editId="1E8A1211">
            <wp:extent cx="5400040" cy="2645410"/>
            <wp:effectExtent l="0" t="0" r="0" b="2540"/>
            <wp:docPr id="32" name="Chart 32">
              <a:extLst xmlns:a="http://schemas.openxmlformats.org/drawingml/2006/main">
                <a:ext uri="{FF2B5EF4-FFF2-40B4-BE49-F238E27FC236}">
                  <a16:creationId xmlns:a16="http://schemas.microsoft.com/office/drawing/2014/main" id="{00000000-0008-0000-07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5AA66345" w14:textId="77777777" w:rsidR="00994F64" w:rsidRPr="00261B7A" w:rsidRDefault="00994F64" w:rsidP="00994F64">
      <w:pPr>
        <w:pStyle w:val="Heading5"/>
        <w:rPr>
          <w:rFonts w:cs="Calibri"/>
        </w:rPr>
      </w:pPr>
      <w:r w:rsidRPr="00261B7A">
        <w:rPr>
          <w:rFonts w:cs="Calibri"/>
        </w:rPr>
        <w:t xml:space="preserve">2020–2021 </w:t>
      </w:r>
    </w:p>
    <w:p w14:paraId="3C3B292E" w14:textId="77777777" w:rsidR="00994F64" w:rsidRPr="00261B7A" w:rsidRDefault="00994F64" w:rsidP="00994F64">
      <w:pPr>
        <w:pStyle w:val="BodyText"/>
      </w:pPr>
      <w:r w:rsidRPr="00261B7A">
        <w:t>Between 2020 and 2021, total Agriculture emissions decreased 1.5 per cent (574.1 kt CO</w:t>
      </w:r>
      <w:r w:rsidRPr="00261B7A">
        <w:rPr>
          <w:vertAlign w:val="subscript"/>
        </w:rPr>
        <w:t>2</w:t>
      </w:r>
      <w:r w:rsidRPr="00261B7A">
        <w:noBreakHyphen/>
        <w:t>e), largely due to a decrease in emissions from dairy cattle, sheep and synthetic nitrogen fertiliser. Specifically:</w:t>
      </w:r>
    </w:p>
    <w:p w14:paraId="44A79EC1" w14:textId="77777777" w:rsidR="00994F64" w:rsidRPr="00261B7A" w:rsidRDefault="00994F64" w:rsidP="00994F64">
      <w:pPr>
        <w:pStyle w:val="Bullet"/>
      </w:pPr>
      <w:r w:rsidRPr="00261B7A">
        <w:t>dairy cattle emissions decreased by 1.3 per cent (236.9 kt CO</w:t>
      </w:r>
      <w:r w:rsidRPr="00261B7A">
        <w:rPr>
          <w:vertAlign w:val="subscript"/>
        </w:rPr>
        <w:t>2</w:t>
      </w:r>
      <w:r w:rsidRPr="00261B7A">
        <w:t>-e) due to a decrease in the dairy cattle population</w:t>
      </w:r>
    </w:p>
    <w:p w14:paraId="6D82322B" w14:textId="77777777" w:rsidR="00994F64" w:rsidRPr="00261B7A" w:rsidRDefault="00994F64" w:rsidP="00994F64">
      <w:pPr>
        <w:pStyle w:val="Bullet"/>
      </w:pPr>
      <w:r w:rsidRPr="00261B7A">
        <w:t>synthetic nitrogen fertiliser emissions decreased by 9.5 per cent (177.9 kt CO</w:t>
      </w:r>
      <w:r w:rsidRPr="00261B7A">
        <w:rPr>
          <w:vertAlign w:val="subscript"/>
        </w:rPr>
        <w:t>2</w:t>
      </w:r>
      <w:r w:rsidRPr="00261B7A">
        <w:t>-e) due to a decrease in fertiliser use</w:t>
      </w:r>
    </w:p>
    <w:p w14:paraId="36CB9694" w14:textId="77777777" w:rsidR="00994F64" w:rsidRPr="00261B7A" w:rsidRDefault="00994F64" w:rsidP="00994F64">
      <w:pPr>
        <w:pStyle w:val="Bullet"/>
      </w:pPr>
      <w:r w:rsidRPr="00261B7A">
        <w:t>sheep emissions decreased by 1.8 per cent (160.6 kt CO</w:t>
      </w:r>
      <w:r w:rsidRPr="00261B7A">
        <w:rPr>
          <w:vertAlign w:val="subscript"/>
        </w:rPr>
        <w:t>2</w:t>
      </w:r>
      <w:r w:rsidRPr="00261B7A">
        <w:t>-e) due to a further decrease in the sheep population.</w:t>
      </w:r>
    </w:p>
    <w:p w14:paraId="3B5C8874" w14:textId="77777777" w:rsidR="00994F64" w:rsidRPr="00261B7A" w:rsidRDefault="00994F64" w:rsidP="00994F64">
      <w:pPr>
        <w:pStyle w:val="BodyText"/>
      </w:pPr>
      <w:r w:rsidRPr="00261B7A">
        <w:t>Emissions from other activities had minor increases and were not enough to offset the overall decrease in agricultural emissions. Some of these increases include:</w:t>
      </w:r>
    </w:p>
    <w:p w14:paraId="67EB9810" w14:textId="77777777" w:rsidR="00994F64" w:rsidRPr="00261B7A" w:rsidRDefault="00994F64" w:rsidP="00994F64">
      <w:pPr>
        <w:pStyle w:val="Bullet"/>
      </w:pPr>
      <w:r w:rsidRPr="00261B7A">
        <w:t>beef cattle emissions, which increased by 0.7 per cent (48.9 kt CO</w:t>
      </w:r>
      <w:r w:rsidRPr="00261B7A">
        <w:rPr>
          <w:vertAlign w:val="subscript"/>
        </w:rPr>
        <w:t>2</w:t>
      </w:r>
      <w:r w:rsidRPr="00261B7A">
        <w:t>-e) due to a slight increase in the beef cattle population</w:t>
      </w:r>
    </w:p>
    <w:p w14:paraId="54359A6B" w14:textId="77777777" w:rsidR="00994F64" w:rsidRPr="00261B7A" w:rsidRDefault="00994F64" w:rsidP="00994F64">
      <w:pPr>
        <w:pStyle w:val="Bullet"/>
      </w:pPr>
      <w:r w:rsidRPr="00261B7A">
        <w:t>urea emissions, which increased by 2.1 per cent (11.2 kt CO</w:t>
      </w:r>
      <w:r w:rsidRPr="00261B7A">
        <w:rPr>
          <w:vertAlign w:val="subscript"/>
        </w:rPr>
        <w:t>2</w:t>
      </w:r>
      <w:r w:rsidRPr="00261B7A">
        <w:t>-e) due to a small increase in the use of urea.</w:t>
      </w:r>
    </w:p>
    <w:p w14:paraId="2771D756" w14:textId="77777777" w:rsidR="00994F64" w:rsidRPr="00261B7A" w:rsidRDefault="00994F64" w:rsidP="00994F64">
      <w:pPr>
        <w:pStyle w:val="Heading3"/>
      </w:pPr>
      <w:bookmarkStart w:id="626" w:name="_Toc32570643"/>
      <w:r w:rsidRPr="00261B7A">
        <w:t>5.1.1</w:t>
      </w:r>
      <w:r w:rsidRPr="00261B7A">
        <w:tab/>
        <w:t>New Zealand farming practices and trends</w:t>
      </w:r>
      <w:bookmarkEnd w:id="626"/>
      <w:r w:rsidRPr="00261B7A">
        <w:t xml:space="preserve"> </w:t>
      </w:r>
    </w:p>
    <w:p w14:paraId="555EB743" w14:textId="77777777" w:rsidR="00994F64" w:rsidRPr="00261B7A" w:rsidRDefault="00994F64" w:rsidP="00994F64">
      <w:pPr>
        <w:pStyle w:val="BodyText"/>
        <w:rPr>
          <w:rFonts w:cs="Calibri"/>
        </w:rPr>
      </w:pPr>
      <w:r w:rsidRPr="00261B7A">
        <w:rPr>
          <w:rFonts w:cs="Calibri"/>
        </w:rPr>
        <w:t>Agriculture is a major component of the New Zealand economy, and exports from agricultural products comprised around 63.6 per cent of the total free-on</w:t>
      </w:r>
      <w:r w:rsidRPr="00261B7A">
        <w:rPr>
          <w:rFonts w:cs="Calibri"/>
        </w:rPr>
        <w:noBreakHyphen/>
        <w:t>board value of merchandise exports in 2021 (Stats NZ, 2022). The production of agricultural products in New Zealand is helped by the favourable temperate climate and access to freshwater and highly productive soils. Typical farming practices in New Zealand include the use of year-round outdoor pastoral grazing systems and nitrogen inputs through nitrogen fixation by legumes, complemented (if required) by synthetic nitrogen fertiliser and supplementary feeds. The common use of outdoor pastoral grazing systems means New Zealand’s agricultural production is more sensitive to climatic events affecting feed production than countries that use intensive grain</w:t>
      </w:r>
      <w:r w:rsidRPr="00261B7A">
        <w:rPr>
          <w:rFonts w:cs="Calibri"/>
        </w:rPr>
        <w:noBreakHyphen/>
        <w:t xml:space="preserve">fed systems and indoor feedlots. </w:t>
      </w:r>
    </w:p>
    <w:p w14:paraId="2DA967F2" w14:textId="77777777" w:rsidR="00994F64" w:rsidRPr="00261B7A" w:rsidRDefault="00994F64" w:rsidP="00994F64">
      <w:pPr>
        <w:pStyle w:val="BodyText"/>
      </w:pPr>
      <w:r w:rsidRPr="00261B7A">
        <w:t xml:space="preserve">Intensive housing of major ruminant livestock species rarely occurs in New Zealand. Farmers may temporarily take animals off regular grazing areas to prevent damage to soils and limit any subsequent loss in pasture growth, although most off-paddock sites are also outside. This means New Zealand has a much lower proportion of agricultural emissions from </w:t>
      </w:r>
      <w:r w:rsidRPr="00261B7A">
        <w:rPr>
          <w:i/>
          <w:iCs/>
        </w:rPr>
        <w:t>Manure</w:t>
      </w:r>
      <w:r w:rsidRPr="00261B7A">
        <w:rPr>
          <w:i/>
        </w:rPr>
        <w:t xml:space="preserve"> management</w:t>
      </w:r>
      <w:r w:rsidRPr="00261B7A">
        <w:t xml:space="preserve">, compared with other Annex I Parties, because most manure is deposited directly onto pastures. For further information about New Zealand’s agricultural farming conditions, see section 2.9 (National circumstances, Agriculture) of New Zealand’s Eighth National Communication (Ministry for the Environment, 2022). </w:t>
      </w:r>
    </w:p>
    <w:p w14:paraId="57058A40" w14:textId="77777777" w:rsidR="00994F64" w:rsidRPr="00261B7A" w:rsidRDefault="00994F64" w:rsidP="00994F64">
      <w:pPr>
        <w:pStyle w:val="BodyText"/>
        <w:rPr>
          <w:rFonts w:cs="Calibri"/>
        </w:rPr>
      </w:pPr>
      <w:r w:rsidRPr="00261B7A">
        <w:rPr>
          <w:rFonts w:cs="Calibri"/>
        </w:rPr>
        <w:t xml:space="preserve">Trends in emissions from the Agriculture sector are largely driven by the populations of the ruminant livestock categories (dairy cattle, beef cattle, sheep and deer). In 1990 and 2021 respectively, 94.1 per cent and 90.0 per cent of agricultural emissions originated from these ruminant livestock categories. </w:t>
      </w:r>
    </w:p>
    <w:p w14:paraId="0A95A334" w14:textId="77777777" w:rsidR="00994F64" w:rsidRPr="00261B7A" w:rsidRDefault="00994F64" w:rsidP="00994F64">
      <w:pPr>
        <w:pStyle w:val="BodyText"/>
      </w:pPr>
      <w:r w:rsidRPr="00261B7A">
        <w:t>Agriculture activities use around 42 per cent of New Zealand’s total land area (Stats NZ, 2017). Since 1990, the proportions of the main livestock categories farmed in New Zealand have changed (see figures 5.1.3a and 5.1.3b). The number of dairy cattle has increased while the population of sheep and beef cattle has decreased.</w:t>
      </w:r>
      <w:r w:rsidRPr="00261B7A">
        <w:rPr>
          <w:color w:val="FF0000"/>
        </w:rPr>
        <w:t xml:space="preserve"> </w:t>
      </w:r>
      <w:r w:rsidRPr="00261B7A">
        <w:t>Between 1990 and 2021, the land area used for sheep, beef and deer grazing has decreased by 37.2 per cent (4,636,191 hectares) (Beef + Lamb New Zealand Ltd, 2022), while the area used for dairy farming has increased by 67.4 per cent (689,970 hectares) (LIC and Dairy NZ, 2021).</w:t>
      </w:r>
      <w:r w:rsidRPr="00261B7A" w:rsidDel="00103073">
        <w:t xml:space="preserve"> </w:t>
      </w:r>
      <w:r w:rsidRPr="00261B7A">
        <w:t>However, since 2015, the total land under dairy production has remained static while the national herd has decreased season to season.</w:t>
      </w:r>
    </w:p>
    <w:p w14:paraId="29A2AF39" w14:textId="77777777" w:rsidR="00994F64" w:rsidRPr="00261B7A" w:rsidRDefault="00994F64" w:rsidP="00994F64">
      <w:pPr>
        <w:pStyle w:val="BodyText"/>
      </w:pPr>
      <w:r w:rsidRPr="00261B7A">
        <w:t>The use of synthetic nitrogen fertiliser in the Agriculture sector has increased by nearly 644.1 per cent since 1990, although total use has decreased in recent years. Total emissions from synthetic nitrogen fertiliser (including CO</w:t>
      </w:r>
      <w:r w:rsidRPr="00261B7A">
        <w:rPr>
          <w:vertAlign w:val="subscript"/>
        </w:rPr>
        <w:t>2</w:t>
      </w:r>
      <w:r w:rsidRPr="00261B7A">
        <w:t xml:space="preserve"> from urea) have increased from 0.9 per cent (1990) to 6.0 per cent (2021) of agricultural emissions. The more cost-effective approach of using nitrogen fertiliser to boost pasture growth for feed (relative to the cost of other supplementary feeds) is largely responsible for this increased uptake.</w:t>
      </w:r>
    </w:p>
    <w:p w14:paraId="6128F36C" w14:textId="77777777" w:rsidR="00994F64" w:rsidRPr="00261B7A" w:rsidRDefault="00994F64" w:rsidP="00994F64">
      <w:pPr>
        <w:pStyle w:val="Figure"/>
        <w:spacing w:after="0"/>
      </w:pPr>
      <w:bookmarkStart w:id="627" w:name="_Toc507158462"/>
      <w:bookmarkStart w:id="628" w:name="_Toc511116955"/>
      <w:bookmarkStart w:id="629" w:name="_Toc5269685"/>
      <w:bookmarkStart w:id="630" w:name="_Toc32570958"/>
      <w:bookmarkStart w:id="631" w:name="_Toc36292788"/>
      <w:bookmarkStart w:id="632" w:name="_Toc68786653"/>
      <w:bookmarkStart w:id="633" w:name="_Toc95574114"/>
      <w:bookmarkStart w:id="634" w:name="_Toc127458553"/>
      <w:bookmarkStart w:id="635" w:name="_Toc131591555"/>
      <w:r w:rsidRPr="00261B7A">
        <w:t xml:space="preserve">Figure 5.1.3a </w:t>
      </w:r>
      <w:r w:rsidRPr="00261B7A">
        <w:tab/>
        <w:t xml:space="preserve">Populations of New Zealand’s dairy cattle, beef cattle and deer from 1990 to 2021 </w:t>
      </w:r>
      <w:r w:rsidRPr="00261B7A">
        <w:br/>
        <w:t>(June year ending)</w:t>
      </w:r>
      <w:bookmarkEnd w:id="627"/>
      <w:bookmarkEnd w:id="628"/>
      <w:bookmarkEnd w:id="629"/>
      <w:bookmarkEnd w:id="630"/>
      <w:bookmarkEnd w:id="631"/>
      <w:bookmarkEnd w:id="632"/>
      <w:bookmarkEnd w:id="633"/>
      <w:bookmarkEnd w:id="634"/>
      <w:bookmarkEnd w:id="635"/>
      <w:r w:rsidRPr="00261B7A">
        <w:t xml:space="preserve"> </w:t>
      </w:r>
    </w:p>
    <w:p w14:paraId="7B0F6EA4" w14:textId="77777777" w:rsidR="00994F64" w:rsidRPr="00261B7A" w:rsidRDefault="00994F64" w:rsidP="00994F64">
      <w:pPr>
        <w:pStyle w:val="BodyText"/>
        <w:spacing w:before="0"/>
      </w:pPr>
      <w:r w:rsidRPr="00261B7A">
        <w:rPr>
          <w:noProof/>
        </w:rPr>
        <w:drawing>
          <wp:inline distT="0" distB="0" distL="0" distR="0" wp14:anchorId="31E3CE73" wp14:editId="30D78DF2">
            <wp:extent cx="5400040" cy="3171825"/>
            <wp:effectExtent l="0" t="0" r="0" b="0"/>
            <wp:docPr id="34" name="Chart 34">
              <a:extLst xmlns:a="http://schemas.openxmlformats.org/drawingml/2006/main">
                <a:ext uri="{FF2B5EF4-FFF2-40B4-BE49-F238E27FC236}">
                  <a16:creationId xmlns:a16="http://schemas.microsoft.com/office/drawing/2014/main" id="{00000000-0008-0000-08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1A1485D0" w14:textId="77777777" w:rsidR="00994F64" w:rsidRPr="00261B7A" w:rsidRDefault="00994F64" w:rsidP="00994F64">
      <w:pPr>
        <w:pStyle w:val="Source"/>
        <w:spacing w:before="0" w:after="120"/>
        <w:rPr>
          <w:rFonts w:cs="Calibri"/>
          <w:sz w:val="18"/>
          <w:szCs w:val="24"/>
        </w:rPr>
      </w:pPr>
      <w:r w:rsidRPr="00261B7A">
        <w:rPr>
          <w:rFonts w:cs="Calibri"/>
          <w:b/>
          <w:bCs/>
          <w:sz w:val="18"/>
          <w:szCs w:val="24"/>
        </w:rPr>
        <w:t>Source:</w:t>
      </w:r>
      <w:r w:rsidRPr="00261B7A">
        <w:rPr>
          <w:rFonts w:cs="Calibri"/>
          <w:b/>
          <w:bCs/>
          <w:sz w:val="18"/>
          <w:szCs w:val="24"/>
        </w:rPr>
        <w:tab/>
      </w:r>
      <w:r w:rsidRPr="00261B7A">
        <w:rPr>
          <w:rFonts w:cs="Calibri"/>
          <w:sz w:val="18"/>
          <w:szCs w:val="24"/>
        </w:rPr>
        <w:t>Stats NZ</w:t>
      </w:r>
    </w:p>
    <w:p w14:paraId="205E3656" w14:textId="77777777" w:rsidR="00994F64" w:rsidRPr="00261B7A" w:rsidRDefault="00994F64" w:rsidP="00994F64">
      <w:pPr>
        <w:pStyle w:val="Figure"/>
        <w:spacing w:after="0"/>
      </w:pPr>
      <w:bookmarkStart w:id="636" w:name="_Toc507158463"/>
      <w:bookmarkStart w:id="637" w:name="_Toc511116956"/>
      <w:bookmarkStart w:id="638" w:name="_Toc5269686"/>
      <w:bookmarkStart w:id="639" w:name="_Toc32570959"/>
      <w:bookmarkStart w:id="640" w:name="_Toc36292789"/>
      <w:bookmarkStart w:id="641" w:name="_Toc68786654"/>
      <w:bookmarkStart w:id="642" w:name="_Toc95574115"/>
      <w:bookmarkStart w:id="643" w:name="_Toc127458554"/>
      <w:bookmarkStart w:id="644" w:name="_Toc131591556"/>
      <w:r w:rsidRPr="00261B7A">
        <w:t xml:space="preserve">Figure 5.1.3b </w:t>
      </w:r>
      <w:r w:rsidRPr="00261B7A">
        <w:tab/>
        <w:t>Population of New Zealand’s sheep from 1990 to 2021 (June year ending)</w:t>
      </w:r>
      <w:bookmarkEnd w:id="636"/>
      <w:bookmarkEnd w:id="637"/>
      <w:bookmarkEnd w:id="638"/>
      <w:bookmarkEnd w:id="639"/>
      <w:bookmarkEnd w:id="640"/>
      <w:bookmarkEnd w:id="641"/>
      <w:bookmarkEnd w:id="642"/>
      <w:bookmarkEnd w:id="643"/>
      <w:bookmarkEnd w:id="644"/>
    </w:p>
    <w:p w14:paraId="59573671" w14:textId="77777777" w:rsidR="00994F64" w:rsidRPr="00261B7A" w:rsidRDefault="00994F64" w:rsidP="00994F64">
      <w:pPr>
        <w:pStyle w:val="BodyText"/>
        <w:spacing w:before="80"/>
      </w:pPr>
      <w:bookmarkStart w:id="645" w:name="_Toc507158464"/>
      <w:bookmarkStart w:id="646" w:name="_MON_1606658001"/>
      <w:bookmarkEnd w:id="645"/>
      <w:bookmarkEnd w:id="646"/>
      <w:r w:rsidRPr="00261B7A">
        <w:rPr>
          <w:noProof/>
        </w:rPr>
        <w:drawing>
          <wp:inline distT="0" distB="0" distL="0" distR="0" wp14:anchorId="75C1A4FF" wp14:editId="1018D6AF">
            <wp:extent cx="5303520" cy="3267986"/>
            <wp:effectExtent l="0" t="0" r="0" b="8890"/>
            <wp:docPr id="35" name="Chart 35">
              <a:extLst xmlns:a="http://schemas.openxmlformats.org/drawingml/2006/main">
                <a:ext uri="{FF2B5EF4-FFF2-40B4-BE49-F238E27FC236}">
                  <a16:creationId xmlns:a16="http://schemas.microsoft.com/office/drawing/2014/main" id="{00000000-0008-0000-0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01D0658C" w14:textId="77777777" w:rsidR="00994F64" w:rsidRPr="00261B7A" w:rsidRDefault="00994F64" w:rsidP="00994F64">
      <w:pPr>
        <w:pStyle w:val="Source"/>
        <w:rPr>
          <w:sz w:val="18"/>
          <w:szCs w:val="24"/>
        </w:rPr>
      </w:pPr>
      <w:bookmarkStart w:id="647" w:name="_Toc507158465"/>
      <w:r w:rsidRPr="00261B7A">
        <w:rPr>
          <w:b/>
          <w:bCs/>
          <w:sz w:val="18"/>
          <w:szCs w:val="24"/>
        </w:rPr>
        <w:t>Source:</w:t>
      </w:r>
      <w:r w:rsidRPr="00261B7A">
        <w:rPr>
          <w:b/>
          <w:bCs/>
          <w:sz w:val="18"/>
          <w:szCs w:val="24"/>
        </w:rPr>
        <w:tab/>
      </w:r>
      <w:r w:rsidRPr="00261B7A">
        <w:rPr>
          <w:sz w:val="18"/>
          <w:szCs w:val="24"/>
        </w:rPr>
        <w:t>Stats NZ</w:t>
      </w:r>
      <w:bookmarkEnd w:id="647"/>
      <w:r w:rsidRPr="00261B7A">
        <w:rPr>
          <w:sz w:val="18"/>
          <w:szCs w:val="24"/>
        </w:rPr>
        <w:t xml:space="preserve"> </w:t>
      </w:r>
    </w:p>
    <w:p w14:paraId="32D44CD4" w14:textId="77777777" w:rsidR="00994F64" w:rsidRPr="00261B7A" w:rsidRDefault="00994F64" w:rsidP="00994F64">
      <w:pPr>
        <w:pStyle w:val="Heading4"/>
        <w:rPr>
          <w:bCs/>
          <w:i/>
          <w:iCs/>
        </w:rPr>
      </w:pPr>
      <w:r w:rsidRPr="00261B7A">
        <w:t>Effect of productivity improvements and climatic events on implied emission factors</w:t>
      </w:r>
    </w:p>
    <w:p w14:paraId="159437DD" w14:textId="34BE4220" w:rsidR="00994F64" w:rsidRPr="00261B7A" w:rsidRDefault="00994F64" w:rsidP="00994F64">
      <w:pPr>
        <w:pStyle w:val="BodyText"/>
        <w:spacing w:before="80" w:after="100"/>
        <w:rPr>
          <w:rFonts w:cs="Calibri"/>
        </w:rPr>
      </w:pPr>
      <w:r w:rsidRPr="00261B7A">
        <w:rPr>
          <w:rFonts w:cs="Calibri"/>
        </w:rPr>
        <w:t>A gradual increase has occurred in the implied CH</w:t>
      </w:r>
      <w:r w:rsidRPr="00261B7A">
        <w:rPr>
          <w:rFonts w:cs="Calibri"/>
          <w:vertAlign w:val="subscript"/>
        </w:rPr>
        <w:t>4</w:t>
      </w:r>
      <w:r w:rsidRPr="00261B7A">
        <w:rPr>
          <w:rFonts w:cs="Calibri"/>
        </w:rPr>
        <w:t xml:space="preserve"> and N</w:t>
      </w:r>
      <w:r w:rsidRPr="00261B7A">
        <w:rPr>
          <w:rFonts w:cs="Calibri"/>
          <w:vertAlign w:val="subscript"/>
        </w:rPr>
        <w:t>2</w:t>
      </w:r>
      <w:r w:rsidRPr="00261B7A">
        <w:rPr>
          <w:rFonts w:cs="Calibri"/>
        </w:rPr>
        <w:t>O emission factors</w:t>
      </w:r>
      <w:r w:rsidRPr="00261B7A">
        <w:rPr>
          <w:rStyle w:val="FootnoteReference"/>
          <w:rFonts w:cs="Calibri"/>
        </w:rPr>
        <w:footnoteReference w:id="34"/>
      </w:r>
      <w:r w:rsidRPr="00261B7A">
        <w:rPr>
          <w:rFonts w:cs="Calibri"/>
        </w:rPr>
        <w:t xml:space="preserve"> per head of the major livestock species farmed in New Zealand. This trend reflects the increased levels of productivity (milk and meat yield per head) achieved by New Zealand farmers between 1990 and 2021. Increases in animal liveweight and milk yield per animal require increased feed intake to meet higher energy demands, which results in higher CH</w:t>
      </w:r>
      <w:r w:rsidRPr="00261B7A">
        <w:rPr>
          <w:rFonts w:cs="Calibri"/>
          <w:vertAlign w:val="subscript"/>
        </w:rPr>
        <w:t>4</w:t>
      </w:r>
      <w:r w:rsidRPr="00261B7A">
        <w:rPr>
          <w:rFonts w:cs="Calibri"/>
        </w:rPr>
        <w:t xml:space="preserve"> and N</w:t>
      </w:r>
      <w:r w:rsidRPr="00261B7A">
        <w:rPr>
          <w:rFonts w:cs="Calibri"/>
          <w:vertAlign w:val="subscript"/>
        </w:rPr>
        <w:t>2</w:t>
      </w:r>
      <w:r w:rsidRPr="00261B7A">
        <w:rPr>
          <w:rFonts w:cs="Calibri"/>
        </w:rPr>
        <w:t>O emissions per</w:t>
      </w:r>
      <w:r w:rsidR="00F431F0">
        <w:rPr>
          <w:rFonts w:cs="Calibri"/>
        </w:rPr>
        <w:t> </w:t>
      </w:r>
      <w:r w:rsidRPr="00261B7A">
        <w:rPr>
          <w:rFonts w:cs="Calibri"/>
        </w:rPr>
        <w:t>animal (i.e., higher implied emission factors (IEFs)). The increased levels of productivity have also caused emissions per unit of product (i.e., milk and meat emissions intensity) to steadily decrease since 1990.</w:t>
      </w:r>
    </w:p>
    <w:p w14:paraId="722FD167" w14:textId="77777777" w:rsidR="00994F64" w:rsidRPr="00261B7A" w:rsidRDefault="00994F64" w:rsidP="00994F64">
      <w:pPr>
        <w:pStyle w:val="BodyText"/>
        <w:spacing w:before="100" w:after="100"/>
        <w:rPr>
          <w:rFonts w:cs="Calibri"/>
        </w:rPr>
      </w:pPr>
      <w:r w:rsidRPr="00261B7A">
        <w:rPr>
          <w:rFonts w:cs="Calibri"/>
        </w:rPr>
        <w:t xml:space="preserve">The use of year-round outdoor pastoral grazing systems means New Zealand production is dependent on the quantity and quality of pasture grown on land managed by farmers, as well as the use and/or availability of any supplementary feeds. Pasture growth is strongly influenced by weather and climatic events, such as droughts and floods, however, the maritime climate is generally favourable for pastoral agriculture. These factors can cause changes in per-animal productivity and mean that IEFs can be noticeably different in adjacent years. For example, in 2008, a major nationwide drought affected both livestock numbers and animal performance, resulting in lower livestock emissions and overall agricultural emissions (see figure 5.1.2). The livestock population and IEFs started to increase after the drought, once seasonal growing conditions improved, and farmers restored herd and flock numbers. </w:t>
      </w:r>
    </w:p>
    <w:p w14:paraId="2F815E7F" w14:textId="77777777" w:rsidR="00994F64" w:rsidRPr="00261B7A" w:rsidRDefault="00994F64" w:rsidP="00994F64">
      <w:pPr>
        <w:pStyle w:val="BodyText"/>
      </w:pPr>
      <w:r w:rsidRPr="00261B7A">
        <w:t>An example of this is included in figure 5.1.4, which overlays milk production per milking dairy cow with the IEFs (enteric fermentation) for dairy cattle from 1990 to 2021. The figure shows that, while per cow productivity has trended upward, there is a significant amount of inter-annual variability (influenced by climatic conditions and international product prices). It also shows that the IEFs are affected by these changes in productivity.</w:t>
      </w:r>
    </w:p>
    <w:p w14:paraId="1112EE34" w14:textId="77777777" w:rsidR="00994F64" w:rsidRPr="00261B7A" w:rsidRDefault="00994F64" w:rsidP="00994F64">
      <w:pPr>
        <w:pStyle w:val="Figure"/>
        <w:spacing w:after="0"/>
      </w:pPr>
      <w:bookmarkStart w:id="649" w:name="_Toc507158466"/>
      <w:bookmarkStart w:id="650" w:name="_Toc511116957"/>
      <w:bookmarkStart w:id="651" w:name="_Toc5269687"/>
      <w:bookmarkStart w:id="652" w:name="_Toc32570960"/>
      <w:bookmarkStart w:id="653" w:name="_Toc36292790"/>
      <w:bookmarkStart w:id="654" w:name="_Toc68786655"/>
      <w:bookmarkStart w:id="655" w:name="_Toc95574116"/>
      <w:bookmarkStart w:id="656" w:name="_Toc127458555"/>
      <w:bookmarkStart w:id="657" w:name="_Toc131591557"/>
      <w:r w:rsidRPr="00261B7A">
        <w:t>Figure 5.1.4</w:t>
      </w:r>
      <w:r w:rsidRPr="00261B7A">
        <w:tab/>
        <w:t>Dairy milk productivity and implied enteric fermentation methane emission factors for dairy cows from 1990 to </w:t>
      </w:r>
      <w:bookmarkEnd w:id="649"/>
      <w:bookmarkEnd w:id="650"/>
      <w:bookmarkEnd w:id="651"/>
      <w:bookmarkEnd w:id="652"/>
      <w:bookmarkEnd w:id="653"/>
      <w:bookmarkEnd w:id="654"/>
      <w:r w:rsidRPr="00261B7A">
        <w:t>202</w:t>
      </w:r>
      <w:bookmarkEnd w:id="655"/>
      <w:r w:rsidRPr="00261B7A">
        <w:t>1</w:t>
      </w:r>
      <w:bookmarkEnd w:id="656"/>
      <w:bookmarkEnd w:id="657"/>
    </w:p>
    <w:p w14:paraId="1E48FFFC" w14:textId="77777777" w:rsidR="00994F64" w:rsidRPr="00261B7A" w:rsidRDefault="00994F64" w:rsidP="00994F64">
      <w:pPr>
        <w:pStyle w:val="BodyText"/>
        <w:spacing w:before="0" w:after="0"/>
        <w:rPr>
          <w:rFonts w:cs="Calibri"/>
        </w:rPr>
      </w:pPr>
      <w:r w:rsidRPr="00261B7A">
        <w:rPr>
          <w:noProof/>
        </w:rPr>
        <w:drawing>
          <wp:inline distT="0" distB="0" distL="0" distR="0" wp14:anchorId="5A03F8A7" wp14:editId="6567029F">
            <wp:extent cx="5400040" cy="3303905"/>
            <wp:effectExtent l="0" t="0" r="0" b="0"/>
            <wp:docPr id="36" name="Chart 36">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r w:rsidRPr="00261B7A" w:rsidDel="003545A0">
        <w:rPr>
          <w:rFonts w:cs="Calibri"/>
        </w:rPr>
        <w:t xml:space="preserve"> </w:t>
      </w:r>
    </w:p>
    <w:p w14:paraId="719117C6" w14:textId="77777777" w:rsidR="00994F64" w:rsidRPr="00261B7A" w:rsidRDefault="00994F64" w:rsidP="00994F64">
      <w:pPr>
        <w:pStyle w:val="Noteundertable"/>
      </w:pPr>
      <w:r w:rsidRPr="00261B7A">
        <w:rPr>
          <w:b/>
          <w:bCs/>
        </w:rPr>
        <w:t>Note:</w:t>
      </w:r>
      <w:r w:rsidRPr="00261B7A">
        <w:t xml:space="preserve"> </w:t>
      </w:r>
      <w:r w:rsidRPr="00261B7A">
        <w:tab/>
        <w:t>Milk production per cow is calculated by dividing total milk production by the milking dairy cattle population (i.e., excluding replacements and breeding bull numbers).</w:t>
      </w:r>
    </w:p>
    <w:p w14:paraId="6649EDBB" w14:textId="77777777" w:rsidR="00994F64" w:rsidRPr="00261B7A" w:rsidRDefault="00994F64" w:rsidP="00994F64">
      <w:pPr>
        <w:pStyle w:val="Heading3"/>
      </w:pPr>
      <w:bookmarkStart w:id="658" w:name="_Toc32570644"/>
      <w:r w:rsidRPr="00261B7A">
        <w:t xml:space="preserve">5.1.2 </w:t>
      </w:r>
      <w:r w:rsidRPr="00261B7A">
        <w:tab/>
        <w:t>Key categories for Agriculture sector emissions</w:t>
      </w:r>
      <w:bookmarkEnd w:id="658"/>
      <w:r w:rsidRPr="00261B7A">
        <w:t xml:space="preserve"> </w:t>
      </w:r>
    </w:p>
    <w:p w14:paraId="3D3200DE" w14:textId="77777777" w:rsidR="00994F64" w:rsidRPr="00261B7A" w:rsidRDefault="00994F64" w:rsidP="00994F64">
      <w:pPr>
        <w:pStyle w:val="BodyText"/>
      </w:pPr>
      <w:r w:rsidRPr="00261B7A">
        <w:t xml:space="preserve">Details of New Zealand’s analysis of key categories are in chapter 1, section 1.5. The key categories in the Agriculture sector are listed in table 5.1.2. </w:t>
      </w:r>
    </w:p>
    <w:p w14:paraId="425807A2" w14:textId="77777777" w:rsidR="00994F64" w:rsidRPr="00261B7A" w:rsidRDefault="00994F64" w:rsidP="00994F64">
      <w:pPr>
        <w:pStyle w:val="Table"/>
      </w:pPr>
      <w:bookmarkStart w:id="659" w:name="_Toc481751507"/>
      <w:bookmarkStart w:id="660" w:name="_Toc507158597"/>
      <w:bookmarkStart w:id="661" w:name="_Toc511116731"/>
      <w:bookmarkStart w:id="662" w:name="_Toc5269471"/>
      <w:bookmarkStart w:id="663" w:name="_Toc32570910"/>
      <w:bookmarkStart w:id="664" w:name="_Toc36224545"/>
      <w:bookmarkStart w:id="665" w:name="_Toc68786431"/>
      <w:bookmarkStart w:id="666" w:name="_Toc95574066"/>
      <w:bookmarkStart w:id="667" w:name="_Toc127458249"/>
      <w:bookmarkStart w:id="668" w:name="_Toc131591345"/>
      <w:r w:rsidRPr="00261B7A">
        <w:t xml:space="preserve">Table 5.1.2 </w:t>
      </w:r>
      <w:r w:rsidRPr="00261B7A">
        <w:tab/>
        <w:t>Key categories in the Agriculture sector</w:t>
      </w:r>
      <w:bookmarkEnd w:id="659"/>
      <w:bookmarkEnd w:id="660"/>
      <w:bookmarkEnd w:id="661"/>
      <w:bookmarkEnd w:id="662"/>
      <w:bookmarkEnd w:id="663"/>
      <w:bookmarkEnd w:id="664"/>
      <w:bookmarkEnd w:id="665"/>
      <w:bookmarkEnd w:id="666"/>
      <w:bookmarkEnd w:id="667"/>
      <w:bookmarkEnd w:id="668"/>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1169"/>
        <w:gridCol w:w="5210"/>
        <w:gridCol w:w="852"/>
        <w:gridCol w:w="1274"/>
      </w:tblGrid>
      <w:tr w:rsidR="00994F64" w:rsidRPr="00261B7A" w14:paraId="33744444" w14:textId="77777777" w:rsidTr="00501B0F">
        <w:trPr>
          <w:trHeight w:val="462"/>
          <w:tblHeader/>
        </w:trPr>
        <w:tc>
          <w:tcPr>
            <w:tcW w:w="687" w:type="pct"/>
            <w:shd w:val="clear" w:color="auto" w:fill="1B556B"/>
            <w:vAlign w:val="bottom"/>
          </w:tcPr>
          <w:p w14:paraId="4629BA87" w14:textId="77777777" w:rsidR="00994F64" w:rsidRPr="00261B7A" w:rsidRDefault="00994F64" w:rsidP="00501B0F">
            <w:pPr>
              <w:pStyle w:val="TableTextBold"/>
              <w:rPr>
                <w:noProof w:val="0"/>
                <w:color w:val="FFFFFF" w:themeColor="background1"/>
              </w:rPr>
            </w:pPr>
            <w:r w:rsidRPr="00261B7A">
              <w:rPr>
                <w:noProof w:val="0"/>
                <w:color w:val="FFFFFF" w:themeColor="background1"/>
              </w:rPr>
              <w:t>CRF category code</w:t>
            </w:r>
          </w:p>
        </w:tc>
        <w:tc>
          <w:tcPr>
            <w:tcW w:w="3063" w:type="pct"/>
            <w:shd w:val="clear" w:color="auto" w:fill="1B556B"/>
            <w:vAlign w:val="bottom"/>
          </w:tcPr>
          <w:p w14:paraId="49E59D5E" w14:textId="77777777" w:rsidR="00994F64" w:rsidRPr="00261B7A" w:rsidRDefault="00994F64" w:rsidP="00501B0F">
            <w:pPr>
              <w:pStyle w:val="TableTextBold"/>
              <w:rPr>
                <w:noProof w:val="0"/>
                <w:color w:val="FFFFFF" w:themeColor="background1"/>
              </w:rPr>
            </w:pPr>
            <w:r w:rsidRPr="00261B7A">
              <w:rPr>
                <w:noProof w:val="0"/>
                <w:color w:val="FFFFFF" w:themeColor="background1"/>
              </w:rPr>
              <w:t>IPCC categories</w:t>
            </w:r>
          </w:p>
        </w:tc>
        <w:tc>
          <w:tcPr>
            <w:tcW w:w="501" w:type="pct"/>
            <w:shd w:val="clear" w:color="auto" w:fill="1B556B"/>
            <w:vAlign w:val="bottom"/>
          </w:tcPr>
          <w:p w14:paraId="08D2EE34" w14:textId="77777777" w:rsidR="00994F64" w:rsidRPr="00261B7A" w:rsidRDefault="00994F64" w:rsidP="00501B0F">
            <w:pPr>
              <w:pStyle w:val="TableTextBold"/>
              <w:jc w:val="center"/>
              <w:rPr>
                <w:noProof w:val="0"/>
                <w:color w:val="FFFFFF" w:themeColor="background1"/>
              </w:rPr>
            </w:pPr>
            <w:r w:rsidRPr="00261B7A">
              <w:rPr>
                <w:noProof w:val="0"/>
                <w:color w:val="FFFFFF" w:themeColor="background1"/>
              </w:rPr>
              <w:t>Gas</w:t>
            </w:r>
          </w:p>
        </w:tc>
        <w:tc>
          <w:tcPr>
            <w:tcW w:w="749" w:type="pct"/>
            <w:shd w:val="clear" w:color="auto" w:fill="1B556B"/>
            <w:vAlign w:val="bottom"/>
          </w:tcPr>
          <w:p w14:paraId="1F08E635" w14:textId="77777777" w:rsidR="00994F64" w:rsidRPr="00261B7A" w:rsidRDefault="00994F64" w:rsidP="00501B0F">
            <w:pPr>
              <w:pStyle w:val="TableTextBold"/>
              <w:rPr>
                <w:noProof w:val="0"/>
                <w:color w:val="FFFFFF" w:themeColor="background1"/>
              </w:rPr>
            </w:pPr>
            <w:r w:rsidRPr="00261B7A">
              <w:rPr>
                <w:noProof w:val="0"/>
                <w:color w:val="FFFFFF" w:themeColor="background1"/>
              </w:rPr>
              <w:t>Criteria for identification</w:t>
            </w:r>
          </w:p>
        </w:tc>
      </w:tr>
      <w:tr w:rsidR="00994F64" w:rsidRPr="00261B7A" w14:paraId="78C3683B" w14:textId="77777777" w:rsidTr="00501B0F">
        <w:trPr>
          <w:trHeight w:val="250"/>
        </w:trPr>
        <w:tc>
          <w:tcPr>
            <w:tcW w:w="687" w:type="pct"/>
            <w:shd w:val="clear" w:color="auto" w:fill="FFFFFF"/>
          </w:tcPr>
          <w:p w14:paraId="0E6BA359" w14:textId="77777777" w:rsidR="00994F64" w:rsidRPr="00261B7A" w:rsidRDefault="00994F64" w:rsidP="00501B0F">
            <w:pPr>
              <w:pStyle w:val="TableText"/>
              <w:spacing w:before="50" w:after="50"/>
              <w:rPr>
                <w:rFonts w:cs="Calibri"/>
              </w:rPr>
            </w:pPr>
            <w:r w:rsidRPr="00261B7A">
              <w:t>3.A.1</w:t>
            </w:r>
          </w:p>
        </w:tc>
        <w:tc>
          <w:tcPr>
            <w:tcW w:w="3063" w:type="pct"/>
            <w:shd w:val="clear" w:color="auto" w:fill="FFFFFF"/>
          </w:tcPr>
          <w:p w14:paraId="52663B1D" w14:textId="77777777" w:rsidR="00994F64" w:rsidRPr="00261B7A" w:rsidRDefault="00994F64" w:rsidP="00501B0F">
            <w:pPr>
              <w:pStyle w:val="TableText"/>
              <w:spacing w:before="50" w:after="50"/>
              <w:rPr>
                <w:rFonts w:cs="Calibri"/>
              </w:rPr>
            </w:pPr>
            <w:r w:rsidRPr="00261B7A">
              <w:t>Option A – Dairy Cattle</w:t>
            </w:r>
          </w:p>
        </w:tc>
        <w:tc>
          <w:tcPr>
            <w:tcW w:w="501" w:type="pct"/>
            <w:shd w:val="clear" w:color="auto" w:fill="FFFFFF"/>
          </w:tcPr>
          <w:p w14:paraId="36F6A0B3" w14:textId="77777777" w:rsidR="00994F64" w:rsidRPr="00261B7A" w:rsidRDefault="00994F64" w:rsidP="00501B0F">
            <w:pPr>
              <w:pStyle w:val="TableText"/>
              <w:spacing w:before="50" w:after="50"/>
              <w:jc w:val="center"/>
              <w:rPr>
                <w:rFonts w:cs="Calibri"/>
              </w:rPr>
            </w:pPr>
            <w:r w:rsidRPr="00261B7A">
              <w:t>CH</w:t>
            </w:r>
            <w:r w:rsidRPr="00261B7A">
              <w:rPr>
                <w:vertAlign w:val="subscript"/>
              </w:rPr>
              <w:t>4</w:t>
            </w:r>
          </w:p>
        </w:tc>
        <w:tc>
          <w:tcPr>
            <w:tcW w:w="749" w:type="pct"/>
            <w:shd w:val="clear" w:color="auto" w:fill="FFFFFF"/>
          </w:tcPr>
          <w:p w14:paraId="2E7FD2B6" w14:textId="77777777" w:rsidR="00994F64" w:rsidRPr="00261B7A" w:rsidRDefault="00994F64" w:rsidP="00501B0F">
            <w:pPr>
              <w:pStyle w:val="TableText"/>
              <w:spacing w:before="50" w:after="50"/>
              <w:rPr>
                <w:rFonts w:cs="Calibri"/>
              </w:rPr>
            </w:pPr>
            <w:r w:rsidRPr="00261B7A">
              <w:t>L1, T1</w:t>
            </w:r>
          </w:p>
        </w:tc>
      </w:tr>
      <w:tr w:rsidR="00994F64" w:rsidRPr="00261B7A" w14:paraId="55FDB011" w14:textId="77777777" w:rsidTr="00501B0F">
        <w:tc>
          <w:tcPr>
            <w:tcW w:w="687" w:type="pct"/>
            <w:shd w:val="clear" w:color="auto" w:fill="FFFFFF"/>
          </w:tcPr>
          <w:p w14:paraId="7B8290A6" w14:textId="77777777" w:rsidR="00994F64" w:rsidRPr="00261B7A" w:rsidRDefault="00994F64" w:rsidP="00501B0F">
            <w:pPr>
              <w:pStyle w:val="TableText"/>
              <w:spacing w:before="50" w:after="50"/>
              <w:rPr>
                <w:rFonts w:cs="Calibri"/>
              </w:rPr>
            </w:pPr>
            <w:r w:rsidRPr="00261B7A">
              <w:t>3.A.1</w:t>
            </w:r>
          </w:p>
        </w:tc>
        <w:tc>
          <w:tcPr>
            <w:tcW w:w="3063" w:type="pct"/>
            <w:shd w:val="clear" w:color="auto" w:fill="FFFFFF"/>
          </w:tcPr>
          <w:p w14:paraId="5AF41BD3" w14:textId="77777777" w:rsidR="00994F64" w:rsidRPr="00261B7A" w:rsidRDefault="00994F64" w:rsidP="00501B0F">
            <w:pPr>
              <w:pStyle w:val="TableText"/>
              <w:spacing w:before="50" w:after="50"/>
              <w:rPr>
                <w:rFonts w:cs="Calibri"/>
              </w:rPr>
            </w:pPr>
            <w:r w:rsidRPr="00261B7A">
              <w:t xml:space="preserve">Option A – Non-Dairy </w:t>
            </w:r>
            <w:r w:rsidRPr="00261B7A">
              <w:rPr>
                <w:i/>
                <w:iCs/>
              </w:rPr>
              <w:t>(Beef)</w:t>
            </w:r>
            <w:r w:rsidRPr="00261B7A">
              <w:t xml:space="preserve"> Cattle</w:t>
            </w:r>
          </w:p>
        </w:tc>
        <w:tc>
          <w:tcPr>
            <w:tcW w:w="501" w:type="pct"/>
            <w:shd w:val="clear" w:color="auto" w:fill="FFFFFF"/>
          </w:tcPr>
          <w:p w14:paraId="61DC60AA" w14:textId="77777777" w:rsidR="00994F64" w:rsidRPr="00261B7A" w:rsidRDefault="00994F64" w:rsidP="00501B0F">
            <w:pPr>
              <w:pStyle w:val="TableText"/>
              <w:spacing w:before="50" w:after="50"/>
              <w:jc w:val="center"/>
              <w:rPr>
                <w:rFonts w:cs="Calibri"/>
              </w:rPr>
            </w:pPr>
            <w:r w:rsidRPr="00261B7A">
              <w:t>CH</w:t>
            </w:r>
            <w:r w:rsidRPr="00261B7A">
              <w:rPr>
                <w:vertAlign w:val="subscript"/>
              </w:rPr>
              <w:t>4</w:t>
            </w:r>
          </w:p>
        </w:tc>
        <w:tc>
          <w:tcPr>
            <w:tcW w:w="749" w:type="pct"/>
            <w:shd w:val="clear" w:color="auto" w:fill="FFFFFF"/>
          </w:tcPr>
          <w:p w14:paraId="5E7552FE" w14:textId="77777777" w:rsidR="00994F64" w:rsidRPr="00261B7A" w:rsidRDefault="00994F64" w:rsidP="00501B0F">
            <w:pPr>
              <w:pStyle w:val="TableText"/>
              <w:spacing w:before="50" w:after="50"/>
              <w:rPr>
                <w:rFonts w:cs="Calibri"/>
              </w:rPr>
            </w:pPr>
            <w:r w:rsidRPr="00261B7A">
              <w:t>L1, T1</w:t>
            </w:r>
          </w:p>
        </w:tc>
      </w:tr>
      <w:tr w:rsidR="00994F64" w:rsidRPr="00261B7A" w14:paraId="4ECCCA13" w14:textId="77777777" w:rsidTr="00501B0F">
        <w:tc>
          <w:tcPr>
            <w:tcW w:w="687" w:type="pct"/>
            <w:shd w:val="clear" w:color="auto" w:fill="FFFFFF"/>
          </w:tcPr>
          <w:p w14:paraId="00585532" w14:textId="77777777" w:rsidR="00994F64" w:rsidRPr="00261B7A" w:rsidRDefault="00994F64" w:rsidP="00501B0F">
            <w:pPr>
              <w:pStyle w:val="TableText"/>
              <w:spacing w:before="50" w:after="50"/>
              <w:rPr>
                <w:rFonts w:cs="Calibri"/>
              </w:rPr>
            </w:pPr>
            <w:r w:rsidRPr="00261B7A">
              <w:t>3.A.2</w:t>
            </w:r>
          </w:p>
        </w:tc>
        <w:tc>
          <w:tcPr>
            <w:tcW w:w="3063" w:type="pct"/>
            <w:shd w:val="clear" w:color="auto" w:fill="FFFFFF"/>
          </w:tcPr>
          <w:p w14:paraId="57C90A8C" w14:textId="77777777" w:rsidR="00994F64" w:rsidRPr="00261B7A" w:rsidRDefault="00994F64" w:rsidP="00501B0F">
            <w:pPr>
              <w:pStyle w:val="TableText"/>
              <w:spacing w:before="50" w:after="50"/>
              <w:rPr>
                <w:rFonts w:cs="Calibri"/>
              </w:rPr>
            </w:pPr>
            <w:r w:rsidRPr="00261B7A">
              <w:t>Other (please specify) – Sheep</w:t>
            </w:r>
          </w:p>
        </w:tc>
        <w:tc>
          <w:tcPr>
            <w:tcW w:w="501" w:type="pct"/>
            <w:shd w:val="clear" w:color="auto" w:fill="FFFFFF"/>
          </w:tcPr>
          <w:p w14:paraId="56A67D38" w14:textId="77777777" w:rsidR="00994F64" w:rsidRPr="00261B7A" w:rsidRDefault="00994F64" w:rsidP="00501B0F">
            <w:pPr>
              <w:pStyle w:val="TableText"/>
              <w:spacing w:before="50" w:after="50"/>
              <w:jc w:val="center"/>
              <w:rPr>
                <w:rFonts w:cs="Calibri"/>
              </w:rPr>
            </w:pPr>
            <w:r w:rsidRPr="00261B7A">
              <w:t>CH</w:t>
            </w:r>
            <w:r w:rsidRPr="00261B7A">
              <w:rPr>
                <w:vertAlign w:val="subscript"/>
              </w:rPr>
              <w:t>4</w:t>
            </w:r>
          </w:p>
        </w:tc>
        <w:tc>
          <w:tcPr>
            <w:tcW w:w="749" w:type="pct"/>
            <w:shd w:val="clear" w:color="auto" w:fill="FFFFFF"/>
          </w:tcPr>
          <w:p w14:paraId="4C1EA5D5" w14:textId="77777777" w:rsidR="00994F64" w:rsidRPr="00261B7A" w:rsidRDefault="00994F64" w:rsidP="00501B0F">
            <w:pPr>
              <w:pStyle w:val="TableText"/>
              <w:spacing w:before="50" w:after="50"/>
              <w:rPr>
                <w:rFonts w:cs="Calibri"/>
              </w:rPr>
            </w:pPr>
            <w:r w:rsidRPr="00261B7A">
              <w:t>L1, T1</w:t>
            </w:r>
          </w:p>
        </w:tc>
      </w:tr>
      <w:tr w:rsidR="00994F64" w:rsidRPr="00261B7A" w14:paraId="2A9D090F" w14:textId="77777777" w:rsidTr="00501B0F">
        <w:tc>
          <w:tcPr>
            <w:tcW w:w="687" w:type="pct"/>
            <w:shd w:val="clear" w:color="auto" w:fill="FFFFFF"/>
          </w:tcPr>
          <w:p w14:paraId="217111BF" w14:textId="77777777" w:rsidR="00994F64" w:rsidRPr="00261B7A" w:rsidRDefault="00994F64" w:rsidP="00501B0F">
            <w:pPr>
              <w:pStyle w:val="TableText"/>
              <w:spacing w:before="50" w:after="50"/>
              <w:rPr>
                <w:rFonts w:cs="Calibri"/>
              </w:rPr>
            </w:pPr>
            <w:r w:rsidRPr="00261B7A">
              <w:t>3.A.4</w:t>
            </w:r>
          </w:p>
        </w:tc>
        <w:tc>
          <w:tcPr>
            <w:tcW w:w="3063" w:type="pct"/>
            <w:shd w:val="clear" w:color="auto" w:fill="FFFFFF"/>
          </w:tcPr>
          <w:p w14:paraId="09C293DF" w14:textId="77777777" w:rsidR="00994F64" w:rsidRPr="00261B7A" w:rsidRDefault="00994F64" w:rsidP="00501B0F">
            <w:pPr>
              <w:pStyle w:val="TableText"/>
              <w:spacing w:before="50" w:after="50"/>
              <w:rPr>
                <w:rFonts w:cs="Calibri"/>
              </w:rPr>
            </w:pPr>
            <w:r w:rsidRPr="00261B7A">
              <w:t>Other Livestock – Deer</w:t>
            </w:r>
          </w:p>
        </w:tc>
        <w:tc>
          <w:tcPr>
            <w:tcW w:w="501" w:type="pct"/>
            <w:shd w:val="clear" w:color="auto" w:fill="FFFFFF"/>
          </w:tcPr>
          <w:p w14:paraId="08AF906E" w14:textId="77777777" w:rsidR="00994F64" w:rsidRPr="00261B7A" w:rsidRDefault="00994F64" w:rsidP="00501B0F">
            <w:pPr>
              <w:pStyle w:val="TableText"/>
              <w:spacing w:before="50" w:after="50"/>
              <w:jc w:val="center"/>
              <w:rPr>
                <w:rFonts w:cs="Calibri"/>
              </w:rPr>
            </w:pPr>
            <w:r w:rsidRPr="00261B7A">
              <w:t>CH</w:t>
            </w:r>
            <w:r w:rsidRPr="00261B7A">
              <w:rPr>
                <w:vertAlign w:val="subscript"/>
              </w:rPr>
              <w:t>4</w:t>
            </w:r>
          </w:p>
        </w:tc>
        <w:tc>
          <w:tcPr>
            <w:tcW w:w="749" w:type="pct"/>
            <w:shd w:val="clear" w:color="auto" w:fill="FFFFFF"/>
          </w:tcPr>
          <w:p w14:paraId="52448B33" w14:textId="77777777" w:rsidR="00994F64" w:rsidRPr="00261B7A" w:rsidRDefault="00994F64" w:rsidP="00501B0F">
            <w:pPr>
              <w:pStyle w:val="TableText"/>
              <w:spacing w:before="50" w:after="50"/>
              <w:rPr>
                <w:rFonts w:cs="Calibri"/>
              </w:rPr>
            </w:pPr>
            <w:r w:rsidRPr="00261B7A">
              <w:t>L1</w:t>
            </w:r>
          </w:p>
        </w:tc>
      </w:tr>
      <w:tr w:rsidR="00994F64" w:rsidRPr="00261B7A" w14:paraId="4CF8526F" w14:textId="77777777" w:rsidTr="00501B0F">
        <w:tc>
          <w:tcPr>
            <w:tcW w:w="687" w:type="pct"/>
            <w:shd w:val="clear" w:color="auto" w:fill="FFFFFF"/>
          </w:tcPr>
          <w:p w14:paraId="65713CA5" w14:textId="77777777" w:rsidR="00994F64" w:rsidRPr="00261B7A" w:rsidRDefault="00994F64" w:rsidP="00501B0F">
            <w:pPr>
              <w:pStyle w:val="TableText"/>
              <w:spacing w:before="50" w:after="50"/>
              <w:rPr>
                <w:rFonts w:cs="Calibri"/>
              </w:rPr>
            </w:pPr>
            <w:r w:rsidRPr="00261B7A">
              <w:t>3.A.4</w:t>
            </w:r>
          </w:p>
        </w:tc>
        <w:tc>
          <w:tcPr>
            <w:tcW w:w="3063" w:type="pct"/>
            <w:shd w:val="clear" w:color="auto" w:fill="FFFFFF"/>
          </w:tcPr>
          <w:p w14:paraId="4430689F" w14:textId="77777777" w:rsidR="00994F64" w:rsidRPr="00261B7A" w:rsidRDefault="00994F64" w:rsidP="00501B0F">
            <w:pPr>
              <w:pStyle w:val="TableText"/>
              <w:spacing w:before="50" w:after="50"/>
              <w:rPr>
                <w:rFonts w:cs="Calibri"/>
              </w:rPr>
            </w:pPr>
            <w:r w:rsidRPr="00261B7A">
              <w:t>Other Livestock – Goats</w:t>
            </w:r>
          </w:p>
        </w:tc>
        <w:tc>
          <w:tcPr>
            <w:tcW w:w="501" w:type="pct"/>
            <w:shd w:val="clear" w:color="auto" w:fill="FFFFFF"/>
          </w:tcPr>
          <w:p w14:paraId="102A7E12" w14:textId="77777777" w:rsidR="00994F64" w:rsidRPr="00261B7A" w:rsidRDefault="00994F64" w:rsidP="00501B0F">
            <w:pPr>
              <w:pStyle w:val="TableText"/>
              <w:spacing w:before="50" w:after="50"/>
              <w:jc w:val="center"/>
              <w:rPr>
                <w:rFonts w:cs="Calibri"/>
              </w:rPr>
            </w:pPr>
            <w:r w:rsidRPr="00261B7A">
              <w:t>CH</w:t>
            </w:r>
            <w:r w:rsidRPr="00261B7A">
              <w:rPr>
                <w:vertAlign w:val="subscript"/>
              </w:rPr>
              <w:t>4</w:t>
            </w:r>
          </w:p>
        </w:tc>
        <w:tc>
          <w:tcPr>
            <w:tcW w:w="749" w:type="pct"/>
            <w:shd w:val="clear" w:color="auto" w:fill="FFFFFF"/>
          </w:tcPr>
          <w:p w14:paraId="49333801" w14:textId="77777777" w:rsidR="00994F64" w:rsidRPr="00261B7A" w:rsidRDefault="00994F64" w:rsidP="00501B0F">
            <w:pPr>
              <w:pStyle w:val="TableText"/>
              <w:spacing w:before="50" w:after="50"/>
              <w:rPr>
                <w:rFonts w:cs="Calibri"/>
              </w:rPr>
            </w:pPr>
            <w:r w:rsidRPr="00261B7A">
              <w:t>T1</w:t>
            </w:r>
          </w:p>
        </w:tc>
      </w:tr>
      <w:tr w:rsidR="00994F64" w:rsidRPr="00261B7A" w14:paraId="60A1AD59" w14:textId="77777777" w:rsidTr="00501B0F">
        <w:tc>
          <w:tcPr>
            <w:tcW w:w="687" w:type="pct"/>
            <w:shd w:val="clear" w:color="auto" w:fill="FFFFFF"/>
          </w:tcPr>
          <w:p w14:paraId="6D7F3E85" w14:textId="77777777" w:rsidR="00994F64" w:rsidRPr="00261B7A" w:rsidRDefault="00994F64" w:rsidP="00501B0F">
            <w:pPr>
              <w:pStyle w:val="TableText"/>
              <w:spacing w:before="50" w:after="50"/>
              <w:rPr>
                <w:rFonts w:cs="Calibri"/>
              </w:rPr>
            </w:pPr>
            <w:r w:rsidRPr="00261B7A">
              <w:t>3.B.1.1</w:t>
            </w:r>
          </w:p>
        </w:tc>
        <w:tc>
          <w:tcPr>
            <w:tcW w:w="3063" w:type="pct"/>
            <w:shd w:val="clear" w:color="auto" w:fill="FFFFFF"/>
          </w:tcPr>
          <w:p w14:paraId="458E581F" w14:textId="77777777" w:rsidR="00994F64" w:rsidRPr="00261B7A" w:rsidRDefault="00994F64" w:rsidP="00501B0F">
            <w:pPr>
              <w:pStyle w:val="TableText"/>
              <w:spacing w:before="50" w:after="50"/>
              <w:rPr>
                <w:rFonts w:cs="Calibri"/>
              </w:rPr>
            </w:pPr>
            <w:r w:rsidRPr="00261B7A">
              <w:t>Option A – Dairy Cattle</w:t>
            </w:r>
          </w:p>
        </w:tc>
        <w:tc>
          <w:tcPr>
            <w:tcW w:w="501" w:type="pct"/>
            <w:shd w:val="clear" w:color="auto" w:fill="FFFFFF"/>
          </w:tcPr>
          <w:p w14:paraId="00D77502" w14:textId="77777777" w:rsidR="00994F64" w:rsidRPr="00261B7A" w:rsidRDefault="00994F64" w:rsidP="00501B0F">
            <w:pPr>
              <w:pStyle w:val="TableText"/>
              <w:spacing w:before="50" w:after="50"/>
              <w:jc w:val="center"/>
              <w:rPr>
                <w:rFonts w:cs="Calibri"/>
              </w:rPr>
            </w:pPr>
            <w:r w:rsidRPr="00261B7A">
              <w:t>CH</w:t>
            </w:r>
            <w:r w:rsidRPr="00261B7A">
              <w:rPr>
                <w:vertAlign w:val="subscript"/>
              </w:rPr>
              <w:t>4</w:t>
            </w:r>
          </w:p>
        </w:tc>
        <w:tc>
          <w:tcPr>
            <w:tcW w:w="749" w:type="pct"/>
            <w:shd w:val="clear" w:color="auto" w:fill="FFFFFF"/>
          </w:tcPr>
          <w:p w14:paraId="64B075BD" w14:textId="77777777" w:rsidR="00994F64" w:rsidRPr="00261B7A" w:rsidRDefault="00994F64" w:rsidP="00501B0F">
            <w:pPr>
              <w:pStyle w:val="TableText"/>
              <w:spacing w:before="50" w:after="50"/>
              <w:rPr>
                <w:rFonts w:cs="Calibri"/>
              </w:rPr>
            </w:pPr>
            <w:r w:rsidRPr="00261B7A">
              <w:t>L1, T1</w:t>
            </w:r>
          </w:p>
        </w:tc>
      </w:tr>
      <w:tr w:rsidR="00994F64" w:rsidRPr="00261B7A" w14:paraId="60C7C64C" w14:textId="77777777" w:rsidTr="00501B0F">
        <w:tc>
          <w:tcPr>
            <w:tcW w:w="687" w:type="pct"/>
            <w:shd w:val="clear" w:color="auto" w:fill="FFFFFF"/>
          </w:tcPr>
          <w:p w14:paraId="358424E5" w14:textId="77777777" w:rsidR="00994F64" w:rsidRPr="00261B7A" w:rsidRDefault="00994F64" w:rsidP="00501B0F">
            <w:pPr>
              <w:pStyle w:val="TableText"/>
              <w:spacing w:before="50" w:after="50"/>
              <w:rPr>
                <w:rFonts w:cs="Calibri"/>
              </w:rPr>
            </w:pPr>
            <w:r w:rsidRPr="00261B7A">
              <w:t>3.D.1.1</w:t>
            </w:r>
          </w:p>
        </w:tc>
        <w:tc>
          <w:tcPr>
            <w:tcW w:w="3063" w:type="pct"/>
            <w:shd w:val="clear" w:color="auto" w:fill="FFFFFF"/>
          </w:tcPr>
          <w:p w14:paraId="29883ECF" w14:textId="77777777" w:rsidR="00994F64" w:rsidRPr="00261B7A" w:rsidRDefault="00994F64" w:rsidP="00501B0F">
            <w:pPr>
              <w:pStyle w:val="TableText"/>
              <w:spacing w:before="50" w:after="50"/>
              <w:rPr>
                <w:rFonts w:cs="Calibri"/>
              </w:rPr>
            </w:pPr>
            <w:r w:rsidRPr="00261B7A">
              <w:t>Direct N</w:t>
            </w:r>
            <w:r w:rsidRPr="00261B7A">
              <w:rPr>
                <w:vertAlign w:val="subscript"/>
              </w:rPr>
              <w:t>2</w:t>
            </w:r>
            <w:r w:rsidRPr="00261B7A">
              <w:t>O Emissions from Managed Soils – Inorganic N Fertilisers</w:t>
            </w:r>
          </w:p>
        </w:tc>
        <w:tc>
          <w:tcPr>
            <w:tcW w:w="501" w:type="pct"/>
            <w:shd w:val="clear" w:color="auto" w:fill="FFFFFF"/>
          </w:tcPr>
          <w:p w14:paraId="6ADE47F7" w14:textId="77777777" w:rsidR="00994F64" w:rsidRPr="00261B7A" w:rsidRDefault="00994F64" w:rsidP="00501B0F">
            <w:pPr>
              <w:pStyle w:val="TableText"/>
              <w:spacing w:before="50" w:after="50"/>
              <w:jc w:val="center"/>
              <w:rPr>
                <w:rFonts w:cs="Calibri"/>
              </w:rPr>
            </w:pPr>
            <w:r w:rsidRPr="00261B7A">
              <w:t>N</w:t>
            </w:r>
            <w:r w:rsidRPr="00261B7A">
              <w:rPr>
                <w:vertAlign w:val="subscript"/>
              </w:rPr>
              <w:t>2</w:t>
            </w:r>
            <w:r w:rsidRPr="00261B7A">
              <w:t>O</w:t>
            </w:r>
          </w:p>
        </w:tc>
        <w:tc>
          <w:tcPr>
            <w:tcW w:w="749" w:type="pct"/>
            <w:shd w:val="clear" w:color="auto" w:fill="FFFFFF"/>
          </w:tcPr>
          <w:p w14:paraId="6C7BB47B" w14:textId="77777777" w:rsidR="00994F64" w:rsidRPr="00261B7A" w:rsidRDefault="00994F64" w:rsidP="00501B0F">
            <w:pPr>
              <w:pStyle w:val="TableText"/>
              <w:spacing w:before="50" w:after="50"/>
              <w:rPr>
                <w:rFonts w:cs="Calibri"/>
              </w:rPr>
            </w:pPr>
            <w:r w:rsidRPr="00261B7A">
              <w:t>L1, T1</w:t>
            </w:r>
          </w:p>
        </w:tc>
      </w:tr>
      <w:tr w:rsidR="00994F64" w:rsidRPr="00261B7A" w14:paraId="0E94A807" w14:textId="77777777" w:rsidTr="00501B0F">
        <w:tc>
          <w:tcPr>
            <w:tcW w:w="687" w:type="pct"/>
            <w:shd w:val="clear" w:color="auto" w:fill="FFFFFF"/>
          </w:tcPr>
          <w:p w14:paraId="6B0F35F0" w14:textId="77777777" w:rsidR="00994F64" w:rsidRPr="00261B7A" w:rsidRDefault="00994F64" w:rsidP="00501B0F">
            <w:pPr>
              <w:pStyle w:val="TableText"/>
              <w:spacing w:before="50" w:after="50"/>
              <w:rPr>
                <w:rFonts w:cs="Calibri"/>
              </w:rPr>
            </w:pPr>
            <w:r w:rsidRPr="00261B7A">
              <w:t>3.D.1.3</w:t>
            </w:r>
          </w:p>
        </w:tc>
        <w:tc>
          <w:tcPr>
            <w:tcW w:w="3063" w:type="pct"/>
            <w:shd w:val="clear" w:color="auto" w:fill="FFFFFF"/>
          </w:tcPr>
          <w:p w14:paraId="41951A58" w14:textId="77777777" w:rsidR="00994F64" w:rsidRPr="00261B7A" w:rsidRDefault="00994F64" w:rsidP="00501B0F">
            <w:pPr>
              <w:pStyle w:val="TableText"/>
              <w:spacing w:before="50" w:after="50"/>
              <w:rPr>
                <w:rFonts w:cs="Calibri"/>
              </w:rPr>
            </w:pPr>
            <w:r w:rsidRPr="00261B7A">
              <w:t>Direct N</w:t>
            </w:r>
            <w:r w:rsidRPr="00261B7A">
              <w:rPr>
                <w:vertAlign w:val="subscript"/>
              </w:rPr>
              <w:t>2</w:t>
            </w:r>
            <w:r w:rsidRPr="00261B7A">
              <w:t>O Emissions from Managed Soils – Urine and Dung Deposited by Grazing Animals</w:t>
            </w:r>
          </w:p>
        </w:tc>
        <w:tc>
          <w:tcPr>
            <w:tcW w:w="501" w:type="pct"/>
            <w:shd w:val="clear" w:color="auto" w:fill="FFFFFF"/>
          </w:tcPr>
          <w:p w14:paraId="10207A03" w14:textId="77777777" w:rsidR="00994F64" w:rsidRPr="00261B7A" w:rsidRDefault="00994F64" w:rsidP="00501B0F">
            <w:pPr>
              <w:pStyle w:val="TableText"/>
              <w:spacing w:before="50" w:after="50"/>
              <w:jc w:val="center"/>
              <w:rPr>
                <w:rFonts w:cs="Calibri"/>
              </w:rPr>
            </w:pPr>
            <w:r w:rsidRPr="00261B7A">
              <w:t>N</w:t>
            </w:r>
            <w:r w:rsidRPr="00261B7A">
              <w:rPr>
                <w:vertAlign w:val="subscript"/>
              </w:rPr>
              <w:t>2</w:t>
            </w:r>
            <w:r w:rsidRPr="00261B7A">
              <w:t>O</w:t>
            </w:r>
          </w:p>
        </w:tc>
        <w:tc>
          <w:tcPr>
            <w:tcW w:w="749" w:type="pct"/>
            <w:shd w:val="clear" w:color="auto" w:fill="FFFFFF"/>
          </w:tcPr>
          <w:p w14:paraId="48F588FA" w14:textId="77777777" w:rsidR="00994F64" w:rsidRPr="00261B7A" w:rsidRDefault="00994F64" w:rsidP="00501B0F">
            <w:pPr>
              <w:pStyle w:val="TableText"/>
              <w:spacing w:before="50" w:after="50"/>
              <w:rPr>
                <w:rFonts w:cs="Calibri"/>
              </w:rPr>
            </w:pPr>
            <w:r w:rsidRPr="00261B7A">
              <w:t>L1, T1</w:t>
            </w:r>
          </w:p>
        </w:tc>
      </w:tr>
      <w:tr w:rsidR="00994F64" w:rsidRPr="00261B7A" w14:paraId="261D6A20" w14:textId="77777777" w:rsidTr="00501B0F">
        <w:tc>
          <w:tcPr>
            <w:tcW w:w="687" w:type="pct"/>
            <w:shd w:val="clear" w:color="auto" w:fill="FFFFFF"/>
          </w:tcPr>
          <w:p w14:paraId="77FED9C6" w14:textId="77777777" w:rsidR="00994F64" w:rsidRPr="00261B7A" w:rsidRDefault="00994F64" w:rsidP="00501B0F">
            <w:pPr>
              <w:pStyle w:val="TableText"/>
              <w:spacing w:before="50" w:after="50"/>
              <w:rPr>
                <w:rFonts w:cs="Calibri"/>
              </w:rPr>
            </w:pPr>
            <w:r w:rsidRPr="00261B7A">
              <w:t>3.D.1.4</w:t>
            </w:r>
          </w:p>
        </w:tc>
        <w:tc>
          <w:tcPr>
            <w:tcW w:w="3063" w:type="pct"/>
            <w:shd w:val="clear" w:color="auto" w:fill="FFFFFF"/>
          </w:tcPr>
          <w:p w14:paraId="06F57AD8" w14:textId="77777777" w:rsidR="00994F64" w:rsidRPr="00261B7A" w:rsidRDefault="00994F64" w:rsidP="00501B0F">
            <w:pPr>
              <w:pStyle w:val="TableText"/>
              <w:spacing w:before="50" w:after="50"/>
              <w:rPr>
                <w:rFonts w:cs="Calibri"/>
              </w:rPr>
            </w:pPr>
            <w:r w:rsidRPr="00261B7A">
              <w:t>Direct N</w:t>
            </w:r>
            <w:r w:rsidRPr="00261B7A">
              <w:rPr>
                <w:vertAlign w:val="subscript"/>
              </w:rPr>
              <w:t>2</w:t>
            </w:r>
            <w:r w:rsidRPr="00261B7A">
              <w:t>O Emissions from Managed Soils – Crop Residues</w:t>
            </w:r>
          </w:p>
        </w:tc>
        <w:tc>
          <w:tcPr>
            <w:tcW w:w="501" w:type="pct"/>
            <w:shd w:val="clear" w:color="auto" w:fill="FFFFFF"/>
          </w:tcPr>
          <w:p w14:paraId="127651F7" w14:textId="77777777" w:rsidR="00994F64" w:rsidRPr="00261B7A" w:rsidRDefault="00994F64" w:rsidP="00501B0F">
            <w:pPr>
              <w:pStyle w:val="TableText"/>
              <w:spacing w:before="50" w:after="50"/>
              <w:jc w:val="center"/>
              <w:rPr>
                <w:rFonts w:cs="Calibri"/>
              </w:rPr>
            </w:pPr>
            <w:r w:rsidRPr="00261B7A">
              <w:t>N</w:t>
            </w:r>
            <w:r w:rsidRPr="00261B7A">
              <w:rPr>
                <w:vertAlign w:val="subscript"/>
              </w:rPr>
              <w:t>2</w:t>
            </w:r>
            <w:r w:rsidRPr="00261B7A">
              <w:t>O</w:t>
            </w:r>
          </w:p>
        </w:tc>
        <w:tc>
          <w:tcPr>
            <w:tcW w:w="749" w:type="pct"/>
            <w:shd w:val="clear" w:color="auto" w:fill="FFFFFF"/>
          </w:tcPr>
          <w:p w14:paraId="60332B9F" w14:textId="77777777" w:rsidR="00994F64" w:rsidRPr="00261B7A" w:rsidRDefault="00994F64" w:rsidP="00501B0F">
            <w:pPr>
              <w:pStyle w:val="TableText"/>
              <w:spacing w:before="50" w:after="50"/>
              <w:rPr>
                <w:rFonts w:cs="Calibri"/>
              </w:rPr>
            </w:pPr>
            <w:r w:rsidRPr="00261B7A">
              <w:t>L1</w:t>
            </w:r>
          </w:p>
        </w:tc>
      </w:tr>
      <w:tr w:rsidR="00994F64" w:rsidRPr="00261B7A" w14:paraId="42CBF0B6" w14:textId="77777777" w:rsidTr="00501B0F">
        <w:tc>
          <w:tcPr>
            <w:tcW w:w="687" w:type="pct"/>
            <w:shd w:val="clear" w:color="auto" w:fill="FFFFFF"/>
          </w:tcPr>
          <w:p w14:paraId="517D0EA9" w14:textId="77777777" w:rsidR="00994F64" w:rsidRPr="00261B7A" w:rsidRDefault="00994F64" w:rsidP="00501B0F">
            <w:pPr>
              <w:pStyle w:val="TableText"/>
              <w:spacing w:before="50" w:after="50"/>
              <w:rPr>
                <w:rFonts w:cs="Calibri"/>
              </w:rPr>
            </w:pPr>
            <w:r w:rsidRPr="00261B7A">
              <w:t>3.D.1.6</w:t>
            </w:r>
          </w:p>
        </w:tc>
        <w:tc>
          <w:tcPr>
            <w:tcW w:w="3063" w:type="pct"/>
            <w:shd w:val="clear" w:color="auto" w:fill="FFFFFF"/>
          </w:tcPr>
          <w:p w14:paraId="45A85CB6" w14:textId="77777777" w:rsidR="00994F64" w:rsidRPr="00261B7A" w:rsidRDefault="00994F64" w:rsidP="00501B0F">
            <w:pPr>
              <w:pStyle w:val="TableText"/>
              <w:spacing w:before="50" w:after="50"/>
              <w:rPr>
                <w:rFonts w:cs="Calibri"/>
              </w:rPr>
            </w:pPr>
            <w:r w:rsidRPr="00261B7A">
              <w:t>Direct N</w:t>
            </w:r>
            <w:r w:rsidRPr="00261B7A">
              <w:rPr>
                <w:vertAlign w:val="subscript"/>
              </w:rPr>
              <w:t>2</w:t>
            </w:r>
            <w:r w:rsidRPr="00261B7A">
              <w:t>O Emissions from Managed Soils – Cultivation of Organic Soils</w:t>
            </w:r>
          </w:p>
        </w:tc>
        <w:tc>
          <w:tcPr>
            <w:tcW w:w="501" w:type="pct"/>
            <w:shd w:val="clear" w:color="auto" w:fill="FFFFFF"/>
          </w:tcPr>
          <w:p w14:paraId="66F97A7F" w14:textId="77777777" w:rsidR="00994F64" w:rsidRPr="00261B7A" w:rsidRDefault="00994F64" w:rsidP="00501B0F">
            <w:pPr>
              <w:pStyle w:val="TableText"/>
              <w:spacing w:before="50" w:after="50"/>
              <w:jc w:val="center"/>
              <w:rPr>
                <w:rFonts w:cs="Calibri"/>
              </w:rPr>
            </w:pPr>
            <w:r w:rsidRPr="00261B7A">
              <w:t>N</w:t>
            </w:r>
            <w:r w:rsidRPr="00261B7A">
              <w:rPr>
                <w:vertAlign w:val="subscript"/>
              </w:rPr>
              <w:t>2</w:t>
            </w:r>
            <w:r w:rsidRPr="00261B7A">
              <w:t>O</w:t>
            </w:r>
          </w:p>
        </w:tc>
        <w:tc>
          <w:tcPr>
            <w:tcW w:w="749" w:type="pct"/>
            <w:shd w:val="clear" w:color="auto" w:fill="FFFFFF"/>
          </w:tcPr>
          <w:p w14:paraId="0BDD45D0" w14:textId="77777777" w:rsidR="00994F64" w:rsidRPr="00261B7A" w:rsidRDefault="00994F64" w:rsidP="00501B0F">
            <w:pPr>
              <w:pStyle w:val="TableText"/>
              <w:spacing w:before="50" w:after="50"/>
              <w:rPr>
                <w:rFonts w:cs="Calibri"/>
              </w:rPr>
            </w:pPr>
            <w:r w:rsidRPr="00261B7A">
              <w:t>L1, T1</w:t>
            </w:r>
          </w:p>
        </w:tc>
      </w:tr>
      <w:tr w:rsidR="00994F64" w:rsidRPr="00261B7A" w14:paraId="34D4F76D" w14:textId="77777777" w:rsidTr="00501B0F">
        <w:tc>
          <w:tcPr>
            <w:tcW w:w="687" w:type="pct"/>
            <w:shd w:val="clear" w:color="auto" w:fill="FFFFFF"/>
          </w:tcPr>
          <w:p w14:paraId="24DE6025" w14:textId="77777777" w:rsidR="00994F64" w:rsidRPr="00261B7A" w:rsidRDefault="00994F64" w:rsidP="00501B0F">
            <w:pPr>
              <w:pStyle w:val="TableText"/>
              <w:spacing w:before="50" w:after="50"/>
              <w:rPr>
                <w:rFonts w:cs="Calibri"/>
              </w:rPr>
            </w:pPr>
            <w:r w:rsidRPr="00261B7A">
              <w:t>3.D.2.1</w:t>
            </w:r>
          </w:p>
        </w:tc>
        <w:tc>
          <w:tcPr>
            <w:tcW w:w="3063" w:type="pct"/>
            <w:shd w:val="clear" w:color="auto" w:fill="FFFFFF"/>
          </w:tcPr>
          <w:p w14:paraId="021B1FBF" w14:textId="77777777" w:rsidR="00994F64" w:rsidRPr="00261B7A" w:rsidRDefault="00994F64" w:rsidP="00501B0F">
            <w:pPr>
              <w:pStyle w:val="TableText"/>
              <w:spacing w:before="50" w:after="50"/>
              <w:rPr>
                <w:rFonts w:cs="Calibri"/>
              </w:rPr>
            </w:pPr>
            <w:r w:rsidRPr="00261B7A">
              <w:t>Indirect N</w:t>
            </w:r>
            <w:r w:rsidRPr="00261B7A">
              <w:rPr>
                <w:vertAlign w:val="subscript"/>
              </w:rPr>
              <w:t>2</w:t>
            </w:r>
            <w:r w:rsidRPr="00261B7A">
              <w:t>O Emissions from Managed Soils – Atmospheric Deposition</w:t>
            </w:r>
          </w:p>
        </w:tc>
        <w:tc>
          <w:tcPr>
            <w:tcW w:w="501" w:type="pct"/>
            <w:shd w:val="clear" w:color="auto" w:fill="FFFFFF"/>
          </w:tcPr>
          <w:p w14:paraId="659D8D9E" w14:textId="77777777" w:rsidR="00994F64" w:rsidRPr="00261B7A" w:rsidRDefault="00994F64" w:rsidP="00501B0F">
            <w:pPr>
              <w:pStyle w:val="TableText"/>
              <w:spacing w:before="50" w:after="50"/>
              <w:jc w:val="center"/>
              <w:rPr>
                <w:rFonts w:cs="Calibri"/>
              </w:rPr>
            </w:pPr>
            <w:r w:rsidRPr="00261B7A">
              <w:t>N</w:t>
            </w:r>
            <w:r w:rsidRPr="00261B7A">
              <w:rPr>
                <w:vertAlign w:val="subscript"/>
              </w:rPr>
              <w:t>2</w:t>
            </w:r>
            <w:r w:rsidRPr="00261B7A">
              <w:t>O</w:t>
            </w:r>
          </w:p>
        </w:tc>
        <w:tc>
          <w:tcPr>
            <w:tcW w:w="749" w:type="pct"/>
            <w:shd w:val="clear" w:color="auto" w:fill="FFFFFF"/>
          </w:tcPr>
          <w:p w14:paraId="684EDF2F" w14:textId="77777777" w:rsidR="00994F64" w:rsidRPr="00261B7A" w:rsidRDefault="00994F64" w:rsidP="00501B0F">
            <w:pPr>
              <w:pStyle w:val="TableText"/>
              <w:spacing w:before="50" w:after="50"/>
              <w:rPr>
                <w:rFonts w:cs="Calibri"/>
              </w:rPr>
            </w:pPr>
            <w:r w:rsidRPr="00261B7A">
              <w:t>L1</w:t>
            </w:r>
          </w:p>
        </w:tc>
      </w:tr>
      <w:tr w:rsidR="00994F64" w:rsidRPr="00261B7A" w14:paraId="36829A6C" w14:textId="77777777" w:rsidTr="00501B0F">
        <w:tc>
          <w:tcPr>
            <w:tcW w:w="687" w:type="pct"/>
            <w:shd w:val="clear" w:color="auto" w:fill="FFFFFF"/>
          </w:tcPr>
          <w:p w14:paraId="6924D2E8" w14:textId="77777777" w:rsidR="00994F64" w:rsidRPr="00261B7A" w:rsidRDefault="00994F64" w:rsidP="00501B0F">
            <w:pPr>
              <w:pStyle w:val="TableText"/>
              <w:spacing w:before="50" w:after="50"/>
              <w:rPr>
                <w:rFonts w:cs="Calibri"/>
              </w:rPr>
            </w:pPr>
            <w:r w:rsidRPr="00261B7A">
              <w:t>3.D.2.2</w:t>
            </w:r>
          </w:p>
        </w:tc>
        <w:tc>
          <w:tcPr>
            <w:tcW w:w="3063" w:type="pct"/>
            <w:shd w:val="clear" w:color="auto" w:fill="FFFFFF"/>
          </w:tcPr>
          <w:p w14:paraId="44BC04F8" w14:textId="77777777" w:rsidR="00994F64" w:rsidRPr="00261B7A" w:rsidRDefault="00994F64" w:rsidP="00501B0F">
            <w:pPr>
              <w:pStyle w:val="TableText"/>
              <w:spacing w:before="50" w:after="50"/>
              <w:rPr>
                <w:rFonts w:cs="Calibri"/>
              </w:rPr>
            </w:pPr>
            <w:r w:rsidRPr="00261B7A">
              <w:t>Indirect N</w:t>
            </w:r>
            <w:r w:rsidRPr="00261B7A">
              <w:rPr>
                <w:vertAlign w:val="subscript"/>
              </w:rPr>
              <w:t>2</w:t>
            </w:r>
            <w:r w:rsidRPr="00261B7A">
              <w:t>O Emissions from Managed Soils – Nitrogen Leaching and Run-off</w:t>
            </w:r>
          </w:p>
        </w:tc>
        <w:tc>
          <w:tcPr>
            <w:tcW w:w="501" w:type="pct"/>
            <w:shd w:val="clear" w:color="auto" w:fill="FFFFFF"/>
          </w:tcPr>
          <w:p w14:paraId="7C176D24" w14:textId="77777777" w:rsidR="00994F64" w:rsidRPr="00261B7A" w:rsidRDefault="00994F64" w:rsidP="00501B0F">
            <w:pPr>
              <w:pStyle w:val="TableText"/>
              <w:spacing w:before="50" w:after="50"/>
              <w:jc w:val="center"/>
              <w:rPr>
                <w:rFonts w:cs="Calibri"/>
              </w:rPr>
            </w:pPr>
            <w:r w:rsidRPr="00261B7A">
              <w:t>N</w:t>
            </w:r>
            <w:r w:rsidRPr="00261B7A">
              <w:rPr>
                <w:vertAlign w:val="subscript"/>
              </w:rPr>
              <w:t>2</w:t>
            </w:r>
            <w:r w:rsidRPr="00261B7A">
              <w:t>O</w:t>
            </w:r>
          </w:p>
        </w:tc>
        <w:tc>
          <w:tcPr>
            <w:tcW w:w="749" w:type="pct"/>
            <w:shd w:val="clear" w:color="auto" w:fill="FFFFFF"/>
          </w:tcPr>
          <w:p w14:paraId="29C2F01F" w14:textId="77777777" w:rsidR="00994F64" w:rsidRPr="00261B7A" w:rsidRDefault="00994F64" w:rsidP="00501B0F">
            <w:pPr>
              <w:pStyle w:val="TableText"/>
              <w:spacing w:before="50" w:after="50"/>
              <w:rPr>
                <w:rFonts w:cs="Calibri"/>
              </w:rPr>
            </w:pPr>
            <w:r w:rsidRPr="00261B7A">
              <w:t>L1</w:t>
            </w:r>
          </w:p>
        </w:tc>
      </w:tr>
      <w:tr w:rsidR="00994F64" w:rsidRPr="00261B7A" w14:paraId="5C5B05F9" w14:textId="77777777" w:rsidTr="00501B0F">
        <w:tc>
          <w:tcPr>
            <w:tcW w:w="687" w:type="pct"/>
            <w:shd w:val="clear" w:color="auto" w:fill="FFFFFF"/>
          </w:tcPr>
          <w:p w14:paraId="4B6AEDD0" w14:textId="77777777" w:rsidR="00994F64" w:rsidRPr="00261B7A" w:rsidRDefault="00994F64" w:rsidP="00501B0F">
            <w:pPr>
              <w:pStyle w:val="TableText"/>
              <w:spacing w:before="50" w:after="50"/>
              <w:rPr>
                <w:rFonts w:cs="Calibri"/>
                <w:color w:val="000000"/>
              </w:rPr>
            </w:pPr>
            <w:r w:rsidRPr="00261B7A">
              <w:t>3.G</w:t>
            </w:r>
          </w:p>
        </w:tc>
        <w:tc>
          <w:tcPr>
            <w:tcW w:w="3063" w:type="pct"/>
            <w:shd w:val="clear" w:color="auto" w:fill="FFFFFF"/>
          </w:tcPr>
          <w:p w14:paraId="60321077" w14:textId="77777777" w:rsidR="00994F64" w:rsidRPr="00261B7A" w:rsidRDefault="00994F64" w:rsidP="00501B0F">
            <w:pPr>
              <w:pStyle w:val="TableText"/>
              <w:spacing w:before="50" w:after="50"/>
              <w:rPr>
                <w:rFonts w:cs="Calibri"/>
                <w:color w:val="000000"/>
              </w:rPr>
            </w:pPr>
            <w:r w:rsidRPr="00261B7A">
              <w:t>Agriculture – Liming</w:t>
            </w:r>
          </w:p>
        </w:tc>
        <w:tc>
          <w:tcPr>
            <w:tcW w:w="501" w:type="pct"/>
            <w:shd w:val="clear" w:color="auto" w:fill="FFFFFF"/>
          </w:tcPr>
          <w:p w14:paraId="7BAE7F24" w14:textId="77777777" w:rsidR="00994F64" w:rsidRPr="00261B7A" w:rsidRDefault="00994F64" w:rsidP="00501B0F">
            <w:pPr>
              <w:pStyle w:val="TableText"/>
              <w:spacing w:before="50" w:after="50"/>
              <w:jc w:val="center"/>
              <w:rPr>
                <w:rFonts w:cs="Calibri"/>
                <w:color w:val="000000"/>
              </w:rPr>
            </w:pPr>
            <w:r w:rsidRPr="00261B7A">
              <w:t>CO</w:t>
            </w:r>
            <w:r w:rsidRPr="00261B7A">
              <w:rPr>
                <w:vertAlign w:val="subscript"/>
              </w:rPr>
              <w:t>2</w:t>
            </w:r>
          </w:p>
        </w:tc>
        <w:tc>
          <w:tcPr>
            <w:tcW w:w="749" w:type="pct"/>
            <w:shd w:val="clear" w:color="auto" w:fill="FFFFFF"/>
          </w:tcPr>
          <w:p w14:paraId="70508714" w14:textId="77777777" w:rsidR="00994F64" w:rsidRPr="00261B7A" w:rsidRDefault="00994F64" w:rsidP="00501B0F">
            <w:pPr>
              <w:pStyle w:val="TableText"/>
              <w:spacing w:before="50" w:after="50"/>
              <w:rPr>
                <w:rFonts w:cs="Calibri"/>
                <w:color w:val="000000"/>
              </w:rPr>
            </w:pPr>
            <w:r w:rsidRPr="00261B7A">
              <w:t>L1</w:t>
            </w:r>
          </w:p>
        </w:tc>
      </w:tr>
      <w:tr w:rsidR="00994F64" w:rsidRPr="00261B7A" w14:paraId="5D8DEF14" w14:textId="77777777" w:rsidTr="00501B0F">
        <w:tc>
          <w:tcPr>
            <w:tcW w:w="687" w:type="pct"/>
            <w:shd w:val="clear" w:color="auto" w:fill="FFFFFF"/>
          </w:tcPr>
          <w:p w14:paraId="2B00F71A" w14:textId="77777777" w:rsidR="00994F64" w:rsidRPr="00261B7A" w:rsidRDefault="00994F64" w:rsidP="00501B0F">
            <w:pPr>
              <w:pStyle w:val="TableText"/>
              <w:spacing w:before="50" w:after="50"/>
              <w:rPr>
                <w:rFonts w:cs="Calibri"/>
                <w:color w:val="000000"/>
              </w:rPr>
            </w:pPr>
            <w:r w:rsidRPr="00261B7A">
              <w:t>3.H</w:t>
            </w:r>
          </w:p>
        </w:tc>
        <w:tc>
          <w:tcPr>
            <w:tcW w:w="3063" w:type="pct"/>
            <w:shd w:val="clear" w:color="auto" w:fill="FFFFFF"/>
          </w:tcPr>
          <w:p w14:paraId="5F146B86" w14:textId="77777777" w:rsidR="00994F64" w:rsidRPr="00261B7A" w:rsidRDefault="00994F64" w:rsidP="00501B0F">
            <w:pPr>
              <w:pStyle w:val="TableText"/>
              <w:spacing w:before="50" w:after="50"/>
              <w:rPr>
                <w:rFonts w:cs="Calibri"/>
                <w:color w:val="000000"/>
              </w:rPr>
            </w:pPr>
            <w:r w:rsidRPr="00261B7A">
              <w:t>Agriculture – Urea Application</w:t>
            </w:r>
          </w:p>
        </w:tc>
        <w:tc>
          <w:tcPr>
            <w:tcW w:w="501" w:type="pct"/>
            <w:shd w:val="clear" w:color="auto" w:fill="FFFFFF"/>
          </w:tcPr>
          <w:p w14:paraId="2D6DCDAC" w14:textId="77777777" w:rsidR="00994F64" w:rsidRPr="00261B7A" w:rsidRDefault="00994F64" w:rsidP="00501B0F">
            <w:pPr>
              <w:pStyle w:val="TableText"/>
              <w:spacing w:before="50" w:after="50"/>
              <w:jc w:val="center"/>
              <w:rPr>
                <w:rFonts w:cs="Calibri"/>
                <w:color w:val="000000"/>
              </w:rPr>
            </w:pPr>
            <w:r w:rsidRPr="00261B7A">
              <w:t>CO</w:t>
            </w:r>
            <w:r w:rsidRPr="00261B7A">
              <w:rPr>
                <w:vertAlign w:val="subscript"/>
              </w:rPr>
              <w:t>2</w:t>
            </w:r>
          </w:p>
        </w:tc>
        <w:tc>
          <w:tcPr>
            <w:tcW w:w="749" w:type="pct"/>
            <w:shd w:val="clear" w:color="auto" w:fill="FFFFFF"/>
          </w:tcPr>
          <w:p w14:paraId="6877F8BA" w14:textId="77777777" w:rsidR="00994F64" w:rsidRPr="00261B7A" w:rsidRDefault="00994F64" w:rsidP="00501B0F">
            <w:pPr>
              <w:pStyle w:val="TableText"/>
              <w:spacing w:before="50" w:after="50"/>
              <w:rPr>
                <w:rFonts w:cs="Calibri"/>
                <w:color w:val="000000"/>
              </w:rPr>
            </w:pPr>
            <w:r w:rsidRPr="00261B7A">
              <w:t>L1, T1</w:t>
            </w:r>
          </w:p>
        </w:tc>
      </w:tr>
    </w:tbl>
    <w:p w14:paraId="2919C79B" w14:textId="77777777" w:rsidR="00994F64" w:rsidRPr="00261B7A" w:rsidRDefault="00994F64" w:rsidP="00994F64">
      <w:pPr>
        <w:pStyle w:val="Noteundertable"/>
        <w:spacing w:before="100"/>
        <w:rPr>
          <w:rFonts w:cs="Calibri"/>
        </w:rPr>
      </w:pPr>
      <w:r w:rsidRPr="00261B7A">
        <w:rPr>
          <w:rFonts w:cs="Calibri"/>
          <w:b/>
          <w:bCs/>
        </w:rPr>
        <w:t>Note</w:t>
      </w:r>
      <w:r w:rsidRPr="00261B7A">
        <w:rPr>
          <w:rFonts w:cs="Calibri"/>
        </w:rPr>
        <w:t xml:space="preserve">: </w:t>
      </w:r>
      <w:r w:rsidRPr="00261B7A">
        <w:rPr>
          <w:rFonts w:cs="Calibri"/>
        </w:rPr>
        <w:tab/>
        <w:t xml:space="preserve">L1 means a key category is identified under the level analysis – approach 1 and T1 is trend analysis </w:t>
      </w:r>
      <w:r w:rsidRPr="00261B7A">
        <w:rPr>
          <w:rFonts w:cs="Calibri"/>
        </w:rPr>
        <w:br/>
        <w:t>– approach 1. See chapter 1 for more information.</w:t>
      </w:r>
    </w:p>
    <w:p w14:paraId="5D0B4A04" w14:textId="77777777" w:rsidR="00994F64" w:rsidRPr="00261B7A" w:rsidRDefault="00994F64" w:rsidP="00122C42">
      <w:pPr>
        <w:pStyle w:val="Heading3"/>
      </w:pPr>
      <w:bookmarkStart w:id="669" w:name="_Toc32570645"/>
      <w:r w:rsidRPr="00261B7A">
        <w:t xml:space="preserve">5.1.3 </w:t>
      </w:r>
      <w:r w:rsidRPr="00261B7A">
        <w:tab/>
        <w:t>Methodological issues for the Agriculture sector</w:t>
      </w:r>
      <w:bookmarkEnd w:id="669"/>
      <w:r w:rsidRPr="00261B7A">
        <w:t xml:space="preserve"> </w:t>
      </w:r>
    </w:p>
    <w:p w14:paraId="15236AF3" w14:textId="77777777" w:rsidR="00994F64" w:rsidRPr="00261B7A" w:rsidRDefault="00994F64" w:rsidP="000D6F4F">
      <w:pPr>
        <w:pStyle w:val="BodyText"/>
        <w:spacing w:before="100" w:after="100"/>
        <w:rPr>
          <w:rFonts w:cs="Calibri"/>
        </w:rPr>
      </w:pPr>
      <w:r w:rsidRPr="00261B7A">
        <w:rPr>
          <w:rFonts w:cs="Calibri"/>
        </w:rPr>
        <w:t>The Agriculture</w:t>
      </w:r>
      <w:r w:rsidRPr="00261B7A">
        <w:rPr>
          <w:rFonts w:cs="Calibri"/>
          <w:i/>
        </w:rPr>
        <w:t xml:space="preserve"> </w:t>
      </w:r>
      <w:r w:rsidRPr="00261B7A">
        <w:rPr>
          <w:rFonts w:cs="Calibri"/>
        </w:rPr>
        <w:t>sector includes emissions of CH</w:t>
      </w:r>
      <w:r w:rsidRPr="00261B7A">
        <w:rPr>
          <w:rFonts w:cs="Calibri"/>
          <w:vertAlign w:val="subscript"/>
        </w:rPr>
        <w:t>4</w:t>
      </w:r>
      <w:r w:rsidRPr="00261B7A">
        <w:rPr>
          <w:rFonts w:cs="Calibri"/>
        </w:rPr>
        <w:t xml:space="preserve"> and N</w:t>
      </w:r>
      <w:r w:rsidRPr="00261B7A">
        <w:rPr>
          <w:rFonts w:cs="Calibri"/>
          <w:vertAlign w:val="subscript"/>
        </w:rPr>
        <w:t>2</w:t>
      </w:r>
      <w:r w:rsidRPr="00261B7A">
        <w:rPr>
          <w:rFonts w:cs="Calibri"/>
        </w:rPr>
        <w:t xml:space="preserve">O from livestock industries (estimated in </w:t>
      </w:r>
      <w:r w:rsidRPr="00261B7A">
        <w:rPr>
          <w:rFonts w:cs="Calibri"/>
          <w:i/>
        </w:rPr>
        <w:t xml:space="preserve">Enteric fermentation </w:t>
      </w:r>
      <w:r w:rsidRPr="00261B7A">
        <w:rPr>
          <w:rFonts w:cs="Calibri"/>
        </w:rPr>
        <w:t>(CH</w:t>
      </w:r>
      <w:r w:rsidRPr="00261B7A">
        <w:rPr>
          <w:rFonts w:cs="Calibri"/>
          <w:vertAlign w:val="subscript"/>
        </w:rPr>
        <w:t>4</w:t>
      </w:r>
      <w:r w:rsidRPr="00261B7A">
        <w:rPr>
          <w:rFonts w:cs="Calibri"/>
        </w:rPr>
        <w:t xml:space="preserve">) and </w:t>
      </w:r>
      <w:r w:rsidRPr="00261B7A">
        <w:rPr>
          <w:rFonts w:cs="Calibri"/>
          <w:i/>
        </w:rPr>
        <w:t xml:space="preserve">Manure management </w:t>
      </w:r>
      <w:r w:rsidRPr="00261B7A">
        <w:rPr>
          <w:rFonts w:cs="Calibri"/>
        </w:rPr>
        <w:t>(CH</w:t>
      </w:r>
      <w:r w:rsidRPr="00261B7A">
        <w:rPr>
          <w:rFonts w:cs="Calibri"/>
          <w:vertAlign w:val="subscript"/>
        </w:rPr>
        <w:t>4</w:t>
      </w:r>
      <w:r w:rsidRPr="00261B7A">
        <w:rPr>
          <w:rFonts w:cs="Calibri"/>
        </w:rPr>
        <w:t xml:space="preserve"> and N</w:t>
      </w:r>
      <w:r w:rsidRPr="00261B7A">
        <w:rPr>
          <w:rFonts w:cs="Calibri"/>
          <w:vertAlign w:val="subscript"/>
        </w:rPr>
        <w:t>2</w:t>
      </w:r>
      <w:r w:rsidRPr="00261B7A">
        <w:rPr>
          <w:rFonts w:cs="Calibri"/>
        </w:rPr>
        <w:t>O)).</w:t>
      </w:r>
      <w:r w:rsidRPr="00261B7A">
        <w:rPr>
          <w:rFonts w:cs="Calibri"/>
          <w:i/>
        </w:rPr>
        <w:t xml:space="preserve"> </w:t>
      </w:r>
      <w:r w:rsidRPr="00261B7A">
        <w:rPr>
          <w:rFonts w:cs="Calibri"/>
        </w:rPr>
        <w:t xml:space="preserve">In New Zealand, the predominant species (in terms of population numbers) are sheep, followed by dairy cattle, beef cattle and deer. New Zealand breeds are selected to perform under outdoor pastoral farming systems. </w:t>
      </w:r>
    </w:p>
    <w:p w14:paraId="0ACAAA8C" w14:textId="77777777" w:rsidR="00994F64" w:rsidRPr="00261B7A" w:rsidRDefault="00994F64" w:rsidP="000D6F4F">
      <w:pPr>
        <w:pStyle w:val="BodyText"/>
        <w:spacing w:before="100" w:after="100"/>
        <w:rPr>
          <w:rFonts w:cs="Calibri"/>
        </w:rPr>
      </w:pPr>
      <w:r w:rsidRPr="00261B7A">
        <w:rPr>
          <w:rFonts w:cs="Calibri"/>
        </w:rPr>
        <w:t>Other agricultural emission sources include N</w:t>
      </w:r>
      <w:r w:rsidRPr="00261B7A">
        <w:rPr>
          <w:rFonts w:cs="Calibri"/>
          <w:vertAlign w:val="subscript"/>
        </w:rPr>
        <w:t>2</w:t>
      </w:r>
      <w:r w:rsidRPr="00261B7A">
        <w:rPr>
          <w:rFonts w:cs="Calibri"/>
        </w:rPr>
        <w:t xml:space="preserve">O from </w:t>
      </w:r>
      <w:r w:rsidRPr="00261B7A">
        <w:rPr>
          <w:rFonts w:cs="Calibri"/>
          <w:i/>
          <w:iCs/>
        </w:rPr>
        <w:t>Agricultural soils</w:t>
      </w:r>
      <w:r w:rsidRPr="00261B7A">
        <w:rPr>
          <w:rFonts w:cs="Calibri"/>
        </w:rPr>
        <w:t>, CH</w:t>
      </w:r>
      <w:r w:rsidRPr="00261B7A">
        <w:rPr>
          <w:rFonts w:cs="Calibri"/>
          <w:vertAlign w:val="subscript"/>
        </w:rPr>
        <w:t>4</w:t>
      </w:r>
      <w:r w:rsidRPr="00261B7A">
        <w:rPr>
          <w:rFonts w:cs="Calibri"/>
        </w:rPr>
        <w:t xml:space="preserve"> and N</w:t>
      </w:r>
      <w:r w:rsidRPr="00261B7A">
        <w:rPr>
          <w:rFonts w:cs="Calibri"/>
          <w:vertAlign w:val="subscript"/>
        </w:rPr>
        <w:t>2</w:t>
      </w:r>
      <w:r w:rsidRPr="00261B7A">
        <w:rPr>
          <w:rFonts w:cs="Calibri"/>
        </w:rPr>
        <w:t>O from </w:t>
      </w:r>
      <w:r w:rsidRPr="00261B7A">
        <w:rPr>
          <w:rFonts w:cs="Calibri"/>
          <w:i/>
          <w:iCs/>
        </w:rPr>
        <w:t>Field burning of agricultural residues</w:t>
      </w:r>
      <w:r w:rsidRPr="00261B7A">
        <w:rPr>
          <w:rFonts w:cs="Calibri"/>
        </w:rPr>
        <w:t xml:space="preserve"> and CO</w:t>
      </w:r>
      <w:r w:rsidRPr="00261B7A">
        <w:rPr>
          <w:rFonts w:cs="Calibri"/>
          <w:vertAlign w:val="subscript"/>
        </w:rPr>
        <w:t>2</w:t>
      </w:r>
      <w:r w:rsidRPr="00261B7A">
        <w:rPr>
          <w:rFonts w:cs="Calibri"/>
        </w:rPr>
        <w:t xml:space="preserve"> from </w:t>
      </w:r>
      <w:r w:rsidRPr="00261B7A">
        <w:rPr>
          <w:rFonts w:cs="Calibri"/>
          <w:i/>
          <w:iCs/>
        </w:rPr>
        <w:t>Liming</w:t>
      </w:r>
      <w:r w:rsidRPr="00261B7A">
        <w:rPr>
          <w:rFonts w:cs="Calibri"/>
        </w:rPr>
        <w:t xml:space="preserve"> and </w:t>
      </w:r>
      <w:r w:rsidRPr="00261B7A">
        <w:rPr>
          <w:rFonts w:cs="Calibri"/>
          <w:i/>
          <w:iCs/>
        </w:rPr>
        <w:t>Urea application</w:t>
      </w:r>
      <w:r w:rsidRPr="00261B7A">
        <w:rPr>
          <w:rFonts w:cs="Calibri"/>
        </w:rPr>
        <w:t>.</w:t>
      </w:r>
    </w:p>
    <w:p w14:paraId="1BFD6E2A" w14:textId="77777777" w:rsidR="00994F64" w:rsidRPr="00261B7A" w:rsidRDefault="00994F64" w:rsidP="000D6F4F">
      <w:pPr>
        <w:pStyle w:val="BodyText"/>
        <w:spacing w:before="100" w:after="100"/>
        <w:rPr>
          <w:rFonts w:cs="Calibri"/>
        </w:rPr>
      </w:pPr>
      <w:r w:rsidRPr="00261B7A">
        <w:rPr>
          <w:rFonts w:cs="Calibri"/>
        </w:rPr>
        <w:t xml:space="preserve">New Zealand uses a range of models and tiers appropriate to the size of the different emission categories for calculating emissions. For example, 90.0 per cent of New Zealand’s livestock emissions come from </w:t>
      </w:r>
      <w:r w:rsidRPr="00261B7A">
        <w:rPr>
          <w:rFonts w:cs="Calibri"/>
          <w:i/>
          <w:iCs/>
        </w:rPr>
        <w:t>Dairy cattle</w:t>
      </w:r>
      <w:r w:rsidRPr="00261B7A">
        <w:rPr>
          <w:rFonts w:cs="Calibri"/>
        </w:rPr>
        <w:t xml:space="preserve">, </w:t>
      </w:r>
      <w:r w:rsidRPr="00261B7A">
        <w:rPr>
          <w:rFonts w:cs="Calibri"/>
          <w:i/>
          <w:iCs/>
        </w:rPr>
        <w:t xml:space="preserve">Non-dairy </w:t>
      </w:r>
      <w:r w:rsidRPr="00261B7A">
        <w:rPr>
          <w:rFonts w:cs="Calibri"/>
        </w:rPr>
        <w:t>(beef)</w:t>
      </w:r>
      <w:r w:rsidRPr="00261B7A">
        <w:rPr>
          <w:rFonts w:cs="Calibri"/>
          <w:i/>
          <w:iCs/>
        </w:rPr>
        <w:t xml:space="preserve"> cattle</w:t>
      </w:r>
      <w:r w:rsidRPr="00261B7A">
        <w:rPr>
          <w:rFonts w:cs="Calibri"/>
        </w:rPr>
        <w:t>,</w:t>
      </w:r>
      <w:r w:rsidRPr="00261B7A">
        <w:rPr>
          <w:rFonts w:cs="Calibri"/>
          <w:i/>
          <w:iCs/>
        </w:rPr>
        <w:t xml:space="preserve"> Sheep</w:t>
      </w:r>
      <w:r w:rsidRPr="00261B7A">
        <w:rPr>
          <w:rFonts w:cs="Calibri"/>
        </w:rPr>
        <w:t xml:space="preserve"> and </w:t>
      </w:r>
      <w:r w:rsidRPr="00261B7A">
        <w:rPr>
          <w:rFonts w:cs="Calibri"/>
          <w:i/>
          <w:iCs/>
        </w:rPr>
        <w:t>Deer</w:t>
      </w:r>
      <w:r w:rsidRPr="00261B7A">
        <w:rPr>
          <w:rFonts w:cs="Calibri"/>
        </w:rPr>
        <w:t xml:space="preserve"> (‘major’ livestock </w:t>
      </w:r>
      <w:r w:rsidRPr="00261B7A">
        <w:rPr>
          <w:rFonts w:cs="Calibri"/>
          <w:spacing w:val="-2"/>
        </w:rPr>
        <w:t>categories). Emissions from major livestock categories are estimated using Tier 2 methodologies.</w:t>
      </w:r>
      <w:r w:rsidRPr="00261B7A">
        <w:rPr>
          <w:rFonts w:cs="Calibri"/>
        </w:rPr>
        <w:t xml:space="preserve"> Other livestock species, including </w:t>
      </w:r>
      <w:r w:rsidRPr="00261B7A">
        <w:rPr>
          <w:rFonts w:cs="Calibri"/>
          <w:i/>
          <w:iCs/>
        </w:rPr>
        <w:t>Swine</w:t>
      </w:r>
      <w:r w:rsidRPr="00261B7A">
        <w:rPr>
          <w:rFonts w:cs="Calibri"/>
        </w:rPr>
        <w:t>,</w:t>
      </w:r>
      <w:r w:rsidRPr="00261B7A">
        <w:rPr>
          <w:rFonts w:cs="Calibri"/>
          <w:i/>
          <w:iCs/>
        </w:rPr>
        <w:t xml:space="preserve"> Goats</w:t>
      </w:r>
      <w:r w:rsidRPr="00261B7A">
        <w:rPr>
          <w:rFonts w:cs="Calibri"/>
        </w:rPr>
        <w:t>,</w:t>
      </w:r>
      <w:r w:rsidRPr="00261B7A">
        <w:rPr>
          <w:rFonts w:cs="Calibri"/>
          <w:i/>
          <w:iCs/>
        </w:rPr>
        <w:t xml:space="preserve"> Horses</w:t>
      </w:r>
      <w:r w:rsidRPr="00261B7A">
        <w:rPr>
          <w:rFonts w:cs="Calibri"/>
        </w:rPr>
        <w:t>,</w:t>
      </w:r>
      <w:r w:rsidRPr="00261B7A">
        <w:rPr>
          <w:rFonts w:cs="Calibri"/>
          <w:i/>
          <w:iCs/>
        </w:rPr>
        <w:t xml:space="preserve"> </w:t>
      </w:r>
      <w:r w:rsidRPr="00261B7A">
        <w:rPr>
          <w:rFonts w:cs="Calibri"/>
          <w:i/>
        </w:rPr>
        <w:t>Llamas</w:t>
      </w:r>
      <w:r w:rsidRPr="00261B7A">
        <w:rPr>
          <w:i/>
        </w:rPr>
        <w:t xml:space="preserve"> and alpaca</w:t>
      </w:r>
      <w:r w:rsidRPr="00261B7A">
        <w:rPr>
          <w:rFonts w:cs="Calibri"/>
          <w:i/>
        </w:rPr>
        <w:t>s</w:t>
      </w:r>
      <w:r w:rsidRPr="00261B7A">
        <w:rPr>
          <w:rFonts w:cs="Calibri"/>
        </w:rPr>
        <w:t>,</w:t>
      </w:r>
      <w:r w:rsidRPr="00261B7A">
        <w:rPr>
          <w:rFonts w:cs="Calibri"/>
          <w:i/>
          <w:iCs/>
        </w:rPr>
        <w:t xml:space="preserve"> Mules and asses</w:t>
      </w:r>
      <w:r w:rsidRPr="00261B7A">
        <w:rPr>
          <w:rFonts w:cs="Calibri"/>
        </w:rPr>
        <w:t xml:space="preserve"> </w:t>
      </w:r>
      <w:r w:rsidRPr="00261B7A">
        <w:rPr>
          <w:rFonts w:cs="Calibri"/>
          <w:spacing w:val="-2"/>
        </w:rPr>
        <w:t xml:space="preserve">and </w:t>
      </w:r>
      <w:r w:rsidRPr="00261B7A">
        <w:rPr>
          <w:rFonts w:cs="Calibri"/>
          <w:i/>
          <w:iCs/>
          <w:spacing w:val="-2"/>
        </w:rPr>
        <w:t xml:space="preserve">Poultry </w:t>
      </w:r>
      <w:r w:rsidRPr="00261B7A">
        <w:rPr>
          <w:rFonts w:cs="Calibri"/>
          <w:spacing w:val="-2"/>
        </w:rPr>
        <w:t>(‘minor’ livestock categories) account for only 0.5 per cent of Agriculture emissions,</w:t>
      </w:r>
      <w:r w:rsidRPr="00261B7A">
        <w:rPr>
          <w:rFonts w:cs="Calibri"/>
        </w:rPr>
        <w:t xml:space="preserve"> and are estimated using Tier 1 methodologies with some Tier 2 components. As such, most of New Zealand’s reported agricultural emissions are calculated using a Tier 2 methodology. Table 5.1.3 summarises methods and emission factors for Agriculture categories.</w:t>
      </w:r>
    </w:p>
    <w:p w14:paraId="647808AA" w14:textId="77777777" w:rsidR="00994F64" w:rsidRPr="00261B7A" w:rsidRDefault="00994F64" w:rsidP="00994F64">
      <w:pPr>
        <w:pStyle w:val="Table"/>
        <w:rPr>
          <w:rFonts w:cs="Calibri"/>
        </w:rPr>
      </w:pPr>
      <w:bookmarkStart w:id="670" w:name="_Toc32570911"/>
      <w:bookmarkStart w:id="671" w:name="_Toc36224546"/>
      <w:bookmarkStart w:id="672" w:name="_Toc68786432"/>
      <w:bookmarkStart w:id="673" w:name="_Toc95574067"/>
      <w:bookmarkStart w:id="674" w:name="_Toc127458250"/>
      <w:bookmarkStart w:id="675" w:name="_Toc131591346"/>
      <w:r w:rsidRPr="00261B7A">
        <w:rPr>
          <w:rFonts w:cs="Calibri"/>
        </w:rPr>
        <w:t xml:space="preserve">Table 5.1.3 </w:t>
      </w:r>
      <w:r w:rsidRPr="00261B7A">
        <w:rPr>
          <w:rFonts w:cs="Calibri"/>
        </w:rPr>
        <w:tab/>
        <w:t>Methods and emission factors in the Agriculture sector</w:t>
      </w:r>
      <w:bookmarkEnd w:id="670"/>
      <w:bookmarkEnd w:id="671"/>
      <w:bookmarkEnd w:id="672"/>
      <w:bookmarkEnd w:id="673"/>
      <w:bookmarkEnd w:id="674"/>
      <w:bookmarkEnd w:id="675"/>
    </w:p>
    <w:tbl>
      <w:tblPr>
        <w:tblW w:w="8514" w:type="dxa"/>
        <w:tblLayout w:type="fixed"/>
        <w:tblCellMar>
          <w:left w:w="85" w:type="dxa"/>
          <w:right w:w="85" w:type="dxa"/>
        </w:tblCellMar>
        <w:tblLook w:val="04A0" w:firstRow="1" w:lastRow="0" w:firstColumn="1" w:lastColumn="0" w:noHBand="0" w:noVBand="1"/>
      </w:tblPr>
      <w:tblGrid>
        <w:gridCol w:w="320"/>
        <w:gridCol w:w="3366"/>
        <w:gridCol w:w="850"/>
        <w:gridCol w:w="851"/>
        <w:gridCol w:w="709"/>
        <w:gridCol w:w="794"/>
        <w:gridCol w:w="812"/>
        <w:gridCol w:w="812"/>
      </w:tblGrid>
      <w:tr w:rsidR="00994F64" w:rsidRPr="00261B7A" w14:paraId="34738635" w14:textId="77777777" w:rsidTr="00582E41">
        <w:trPr>
          <w:tblHeader/>
        </w:trPr>
        <w:tc>
          <w:tcPr>
            <w:tcW w:w="3686" w:type="dxa"/>
            <w:gridSpan w:val="2"/>
            <w:vMerge w:val="restart"/>
            <w:tcBorders>
              <w:top w:val="single" w:sz="4" w:space="0" w:color="1B556B" w:themeColor="text2"/>
              <w:left w:val="nil"/>
              <w:right w:val="nil"/>
            </w:tcBorders>
            <w:shd w:val="clear" w:color="auto" w:fill="1B556B"/>
            <w:vAlign w:val="bottom"/>
          </w:tcPr>
          <w:p w14:paraId="6BF13F91" w14:textId="77777777" w:rsidR="00994F64" w:rsidRPr="00261B7A" w:rsidRDefault="00994F64" w:rsidP="00F753BA">
            <w:pPr>
              <w:pStyle w:val="TableTextBold"/>
              <w:keepNext/>
              <w:spacing w:before="40" w:after="40"/>
              <w:rPr>
                <w:noProof w:val="0"/>
                <w:color w:val="FFFFFF" w:themeColor="background1"/>
                <w:szCs w:val="16"/>
              </w:rPr>
            </w:pPr>
            <w:r w:rsidRPr="00261B7A">
              <w:rPr>
                <w:noProof w:val="0"/>
                <w:color w:val="FFFFFF" w:themeColor="background1"/>
                <w:szCs w:val="16"/>
              </w:rPr>
              <w:t>Source category</w:t>
            </w:r>
          </w:p>
        </w:tc>
        <w:tc>
          <w:tcPr>
            <w:tcW w:w="1701" w:type="dxa"/>
            <w:gridSpan w:val="2"/>
            <w:tcBorders>
              <w:top w:val="single" w:sz="4" w:space="0" w:color="1B556B" w:themeColor="text2"/>
              <w:left w:val="nil"/>
              <w:right w:val="nil"/>
            </w:tcBorders>
            <w:shd w:val="clear" w:color="auto" w:fill="1B556B"/>
            <w:vAlign w:val="center"/>
          </w:tcPr>
          <w:p w14:paraId="21208767" w14:textId="77777777" w:rsidR="00994F64" w:rsidRPr="00261B7A" w:rsidRDefault="00994F64" w:rsidP="00F753BA">
            <w:pPr>
              <w:pStyle w:val="TableTextBold"/>
              <w:keepNext/>
              <w:spacing w:before="40" w:after="0"/>
              <w:jc w:val="center"/>
              <w:rPr>
                <w:noProof w:val="0"/>
                <w:color w:val="FFFFFF" w:themeColor="background1"/>
                <w:szCs w:val="16"/>
              </w:rPr>
            </w:pPr>
            <w:r w:rsidRPr="00261B7A">
              <w:rPr>
                <w:noProof w:val="0"/>
                <w:color w:val="FFFFFF" w:themeColor="background1"/>
                <w:szCs w:val="16"/>
              </w:rPr>
              <w:t>CH</w:t>
            </w:r>
            <w:r w:rsidRPr="00261B7A">
              <w:rPr>
                <w:noProof w:val="0"/>
                <w:color w:val="FFFFFF" w:themeColor="background1"/>
                <w:szCs w:val="16"/>
                <w:vertAlign w:val="subscript"/>
              </w:rPr>
              <w:t>4</w:t>
            </w:r>
          </w:p>
        </w:tc>
        <w:tc>
          <w:tcPr>
            <w:tcW w:w="1503" w:type="dxa"/>
            <w:gridSpan w:val="2"/>
            <w:tcBorders>
              <w:top w:val="single" w:sz="4" w:space="0" w:color="1B556B" w:themeColor="text2"/>
              <w:left w:val="nil"/>
              <w:right w:val="nil"/>
            </w:tcBorders>
            <w:shd w:val="clear" w:color="auto" w:fill="1B556B"/>
            <w:vAlign w:val="center"/>
          </w:tcPr>
          <w:p w14:paraId="77F73948" w14:textId="77777777" w:rsidR="00994F64" w:rsidRPr="00261B7A" w:rsidRDefault="00994F64" w:rsidP="00F753BA">
            <w:pPr>
              <w:pStyle w:val="TableTextBold"/>
              <w:keepNext/>
              <w:spacing w:before="40" w:after="0"/>
              <w:jc w:val="center"/>
              <w:rPr>
                <w:noProof w:val="0"/>
                <w:color w:val="FFFFFF" w:themeColor="background1"/>
                <w:szCs w:val="16"/>
              </w:rPr>
            </w:pPr>
            <w:r w:rsidRPr="00261B7A">
              <w:rPr>
                <w:noProof w:val="0"/>
                <w:color w:val="FFFFFF" w:themeColor="background1"/>
                <w:szCs w:val="16"/>
              </w:rPr>
              <w:t>N</w:t>
            </w:r>
            <w:r w:rsidRPr="00261B7A">
              <w:rPr>
                <w:noProof w:val="0"/>
                <w:color w:val="FFFFFF" w:themeColor="background1"/>
                <w:szCs w:val="16"/>
                <w:vertAlign w:val="subscript"/>
              </w:rPr>
              <w:t>2</w:t>
            </w:r>
            <w:r w:rsidRPr="00261B7A">
              <w:rPr>
                <w:noProof w:val="0"/>
                <w:color w:val="FFFFFF" w:themeColor="background1"/>
                <w:szCs w:val="16"/>
              </w:rPr>
              <w:t>O</w:t>
            </w:r>
          </w:p>
        </w:tc>
        <w:tc>
          <w:tcPr>
            <w:tcW w:w="1624" w:type="dxa"/>
            <w:gridSpan w:val="2"/>
            <w:tcBorders>
              <w:top w:val="single" w:sz="4" w:space="0" w:color="1B556B" w:themeColor="text2"/>
              <w:left w:val="nil"/>
              <w:right w:val="nil"/>
            </w:tcBorders>
            <w:shd w:val="clear" w:color="auto" w:fill="1B556B"/>
            <w:vAlign w:val="center"/>
          </w:tcPr>
          <w:p w14:paraId="625D6834" w14:textId="77777777" w:rsidR="00994F64" w:rsidRPr="00261B7A" w:rsidRDefault="00994F64" w:rsidP="00F753BA">
            <w:pPr>
              <w:pStyle w:val="TableTextBold"/>
              <w:keepNext/>
              <w:spacing w:before="40" w:after="0"/>
              <w:jc w:val="center"/>
              <w:rPr>
                <w:noProof w:val="0"/>
                <w:color w:val="FFFFFF" w:themeColor="background1"/>
                <w:szCs w:val="16"/>
              </w:rPr>
            </w:pPr>
            <w:r w:rsidRPr="00261B7A">
              <w:rPr>
                <w:noProof w:val="0"/>
                <w:color w:val="FFFFFF" w:themeColor="background1"/>
                <w:szCs w:val="16"/>
              </w:rPr>
              <w:t>CO</w:t>
            </w:r>
            <w:r w:rsidRPr="00261B7A">
              <w:rPr>
                <w:noProof w:val="0"/>
                <w:color w:val="FFFFFF" w:themeColor="background1"/>
                <w:szCs w:val="16"/>
                <w:vertAlign w:val="subscript"/>
              </w:rPr>
              <w:t>2</w:t>
            </w:r>
          </w:p>
        </w:tc>
      </w:tr>
      <w:tr w:rsidR="00994F64" w:rsidRPr="00261B7A" w14:paraId="1BC4214B" w14:textId="77777777" w:rsidTr="00582E41">
        <w:trPr>
          <w:tblHeader/>
        </w:trPr>
        <w:tc>
          <w:tcPr>
            <w:tcW w:w="3686" w:type="dxa"/>
            <w:gridSpan w:val="2"/>
            <w:vMerge/>
            <w:tcBorders>
              <w:left w:val="nil"/>
              <w:bottom w:val="single" w:sz="4" w:space="0" w:color="1B556B" w:themeColor="text2"/>
              <w:right w:val="nil"/>
            </w:tcBorders>
            <w:shd w:val="clear" w:color="auto" w:fill="1B556B"/>
            <w:vAlign w:val="center"/>
            <w:hideMark/>
          </w:tcPr>
          <w:p w14:paraId="4EF067A2" w14:textId="77777777" w:rsidR="00994F64" w:rsidRPr="00261B7A" w:rsidRDefault="00994F64" w:rsidP="00501B0F">
            <w:pPr>
              <w:pStyle w:val="TableTextBold"/>
              <w:keepNext/>
              <w:jc w:val="center"/>
              <w:rPr>
                <w:noProof w:val="0"/>
                <w:color w:val="FFFFFF" w:themeColor="background1"/>
                <w:szCs w:val="16"/>
              </w:rPr>
            </w:pPr>
          </w:p>
        </w:tc>
        <w:tc>
          <w:tcPr>
            <w:tcW w:w="850" w:type="dxa"/>
            <w:tcBorders>
              <w:left w:val="nil"/>
              <w:bottom w:val="single" w:sz="4" w:space="0" w:color="1B556B" w:themeColor="text2"/>
              <w:right w:val="nil"/>
            </w:tcBorders>
            <w:shd w:val="clear" w:color="auto" w:fill="1B556B"/>
            <w:vAlign w:val="center"/>
            <w:hideMark/>
          </w:tcPr>
          <w:p w14:paraId="77C49D85" w14:textId="77777777" w:rsidR="00994F64" w:rsidRPr="00261B7A" w:rsidRDefault="00994F64" w:rsidP="00F753BA">
            <w:pPr>
              <w:pStyle w:val="TableTextBold"/>
              <w:keepNext/>
              <w:spacing w:before="40" w:after="40"/>
              <w:jc w:val="center"/>
              <w:rPr>
                <w:noProof w:val="0"/>
                <w:color w:val="FFFFFF" w:themeColor="background1"/>
                <w:szCs w:val="16"/>
              </w:rPr>
            </w:pPr>
            <w:r w:rsidRPr="00261B7A">
              <w:rPr>
                <w:noProof w:val="0"/>
                <w:color w:val="FFFFFF" w:themeColor="background1"/>
                <w:szCs w:val="16"/>
              </w:rPr>
              <w:t>Method applied</w:t>
            </w:r>
          </w:p>
        </w:tc>
        <w:tc>
          <w:tcPr>
            <w:tcW w:w="851" w:type="dxa"/>
            <w:tcBorders>
              <w:left w:val="nil"/>
              <w:bottom w:val="single" w:sz="4" w:space="0" w:color="1B556B" w:themeColor="text2"/>
              <w:right w:val="nil"/>
            </w:tcBorders>
            <w:shd w:val="clear" w:color="auto" w:fill="1B556B"/>
            <w:vAlign w:val="center"/>
            <w:hideMark/>
          </w:tcPr>
          <w:p w14:paraId="4CDBF831" w14:textId="77777777" w:rsidR="00994F64" w:rsidRPr="00261B7A" w:rsidRDefault="00994F64" w:rsidP="00F753BA">
            <w:pPr>
              <w:pStyle w:val="TableTextBold"/>
              <w:keepNext/>
              <w:spacing w:before="40" w:after="40"/>
              <w:jc w:val="center"/>
              <w:rPr>
                <w:noProof w:val="0"/>
                <w:color w:val="FFFFFF" w:themeColor="background1"/>
                <w:szCs w:val="16"/>
              </w:rPr>
            </w:pPr>
            <w:r w:rsidRPr="00261B7A">
              <w:rPr>
                <w:noProof w:val="0"/>
                <w:color w:val="FFFFFF" w:themeColor="background1"/>
                <w:szCs w:val="16"/>
              </w:rPr>
              <w:t>Emission factor</w:t>
            </w:r>
          </w:p>
        </w:tc>
        <w:tc>
          <w:tcPr>
            <w:tcW w:w="709" w:type="dxa"/>
            <w:tcBorders>
              <w:left w:val="nil"/>
              <w:bottom w:val="single" w:sz="4" w:space="0" w:color="1B556B" w:themeColor="text2"/>
              <w:right w:val="nil"/>
            </w:tcBorders>
            <w:shd w:val="clear" w:color="auto" w:fill="1B556B"/>
            <w:vAlign w:val="center"/>
            <w:hideMark/>
          </w:tcPr>
          <w:p w14:paraId="2DCD59D3" w14:textId="77777777" w:rsidR="00994F64" w:rsidRPr="00261B7A" w:rsidRDefault="00994F64" w:rsidP="00F753BA">
            <w:pPr>
              <w:pStyle w:val="TableTextBold"/>
              <w:keepNext/>
              <w:spacing w:before="40" w:after="40"/>
              <w:jc w:val="center"/>
              <w:rPr>
                <w:noProof w:val="0"/>
                <w:color w:val="FFFFFF" w:themeColor="background1"/>
                <w:szCs w:val="16"/>
              </w:rPr>
            </w:pPr>
            <w:r w:rsidRPr="00261B7A">
              <w:rPr>
                <w:noProof w:val="0"/>
                <w:color w:val="FFFFFF" w:themeColor="background1"/>
                <w:szCs w:val="16"/>
              </w:rPr>
              <w:t>Method applied</w:t>
            </w:r>
          </w:p>
        </w:tc>
        <w:tc>
          <w:tcPr>
            <w:tcW w:w="794" w:type="dxa"/>
            <w:tcBorders>
              <w:left w:val="nil"/>
              <w:bottom w:val="single" w:sz="4" w:space="0" w:color="1B556B" w:themeColor="text2"/>
              <w:right w:val="nil"/>
            </w:tcBorders>
            <w:shd w:val="clear" w:color="auto" w:fill="1B556B"/>
            <w:vAlign w:val="center"/>
            <w:hideMark/>
          </w:tcPr>
          <w:p w14:paraId="39FBCE51" w14:textId="77777777" w:rsidR="00994F64" w:rsidRPr="00261B7A" w:rsidRDefault="00994F64" w:rsidP="00F753BA">
            <w:pPr>
              <w:pStyle w:val="TableTextBold"/>
              <w:keepNext/>
              <w:spacing w:before="40" w:after="40"/>
              <w:jc w:val="center"/>
              <w:rPr>
                <w:noProof w:val="0"/>
                <w:color w:val="FFFFFF" w:themeColor="background1"/>
                <w:szCs w:val="16"/>
              </w:rPr>
            </w:pPr>
            <w:r w:rsidRPr="00261B7A">
              <w:rPr>
                <w:noProof w:val="0"/>
                <w:color w:val="FFFFFF" w:themeColor="background1"/>
                <w:szCs w:val="16"/>
              </w:rPr>
              <w:t>Emission factor</w:t>
            </w:r>
          </w:p>
        </w:tc>
        <w:tc>
          <w:tcPr>
            <w:tcW w:w="812" w:type="dxa"/>
            <w:tcBorders>
              <w:left w:val="nil"/>
              <w:bottom w:val="single" w:sz="4" w:space="0" w:color="1B556B" w:themeColor="text2"/>
              <w:right w:val="nil"/>
            </w:tcBorders>
            <w:shd w:val="clear" w:color="auto" w:fill="1B556B"/>
            <w:vAlign w:val="center"/>
            <w:hideMark/>
          </w:tcPr>
          <w:p w14:paraId="0C26CB07" w14:textId="77777777" w:rsidR="00994F64" w:rsidRPr="00261B7A" w:rsidRDefault="00994F64" w:rsidP="00F753BA">
            <w:pPr>
              <w:pStyle w:val="TableTextBold"/>
              <w:keepNext/>
              <w:spacing w:before="40" w:after="40"/>
              <w:jc w:val="center"/>
              <w:rPr>
                <w:noProof w:val="0"/>
                <w:color w:val="FFFFFF" w:themeColor="background1"/>
                <w:szCs w:val="16"/>
              </w:rPr>
            </w:pPr>
            <w:r w:rsidRPr="00261B7A">
              <w:rPr>
                <w:noProof w:val="0"/>
                <w:color w:val="FFFFFF" w:themeColor="background1"/>
                <w:szCs w:val="16"/>
              </w:rPr>
              <w:t>Method applied</w:t>
            </w:r>
          </w:p>
        </w:tc>
        <w:tc>
          <w:tcPr>
            <w:tcW w:w="812" w:type="dxa"/>
            <w:tcBorders>
              <w:left w:val="nil"/>
              <w:bottom w:val="single" w:sz="4" w:space="0" w:color="1B556B" w:themeColor="text2"/>
              <w:right w:val="nil"/>
            </w:tcBorders>
            <w:shd w:val="clear" w:color="auto" w:fill="1B556B"/>
            <w:vAlign w:val="center"/>
            <w:hideMark/>
          </w:tcPr>
          <w:p w14:paraId="4747779A" w14:textId="77777777" w:rsidR="00994F64" w:rsidRPr="00261B7A" w:rsidRDefault="00994F64" w:rsidP="00F753BA">
            <w:pPr>
              <w:pStyle w:val="TableTextBold"/>
              <w:keepNext/>
              <w:spacing w:before="40" w:after="40"/>
              <w:jc w:val="center"/>
              <w:rPr>
                <w:noProof w:val="0"/>
                <w:color w:val="FFFFFF" w:themeColor="background1"/>
                <w:szCs w:val="16"/>
              </w:rPr>
            </w:pPr>
            <w:r w:rsidRPr="00261B7A">
              <w:rPr>
                <w:noProof w:val="0"/>
                <w:color w:val="FFFFFF" w:themeColor="background1"/>
                <w:szCs w:val="16"/>
              </w:rPr>
              <w:t>Emission factor</w:t>
            </w:r>
          </w:p>
        </w:tc>
      </w:tr>
      <w:tr w:rsidR="00994F64" w:rsidRPr="00261B7A" w14:paraId="523D57C2" w14:textId="77777777" w:rsidTr="00582E41">
        <w:tc>
          <w:tcPr>
            <w:tcW w:w="320" w:type="dxa"/>
            <w:tcBorders>
              <w:top w:val="single" w:sz="4" w:space="0" w:color="1B556B" w:themeColor="text2"/>
              <w:left w:val="nil"/>
              <w:bottom w:val="single" w:sz="4" w:space="0" w:color="1B556B"/>
              <w:right w:val="nil"/>
            </w:tcBorders>
            <w:shd w:val="clear" w:color="auto" w:fill="auto"/>
            <w:noWrap/>
            <w:vAlign w:val="center"/>
            <w:hideMark/>
          </w:tcPr>
          <w:p w14:paraId="4E3E05A0" w14:textId="77777777" w:rsidR="00994F64" w:rsidRPr="00261B7A" w:rsidRDefault="00994F64" w:rsidP="00F753BA">
            <w:pPr>
              <w:pStyle w:val="TableText"/>
              <w:spacing w:before="30" w:after="30"/>
            </w:pPr>
            <w:r w:rsidRPr="00261B7A">
              <w:t>A</w:t>
            </w:r>
          </w:p>
        </w:tc>
        <w:tc>
          <w:tcPr>
            <w:tcW w:w="3366" w:type="dxa"/>
            <w:tcBorders>
              <w:top w:val="single" w:sz="4" w:space="0" w:color="1B556B" w:themeColor="text2"/>
              <w:left w:val="nil"/>
              <w:bottom w:val="single" w:sz="4" w:space="0" w:color="1B556B"/>
              <w:right w:val="nil"/>
            </w:tcBorders>
            <w:shd w:val="clear" w:color="auto" w:fill="auto"/>
            <w:vAlign w:val="center"/>
            <w:hideMark/>
          </w:tcPr>
          <w:p w14:paraId="3C6A9AA0" w14:textId="77777777" w:rsidR="00994F64" w:rsidRPr="00261B7A" w:rsidRDefault="00994F64" w:rsidP="00F753BA">
            <w:pPr>
              <w:pStyle w:val="TableText"/>
              <w:spacing w:before="30" w:after="30"/>
            </w:pPr>
            <w:r w:rsidRPr="00261B7A">
              <w:t>Enteric Fermentation</w:t>
            </w:r>
          </w:p>
        </w:tc>
        <w:tc>
          <w:tcPr>
            <w:tcW w:w="850" w:type="dxa"/>
            <w:tcBorders>
              <w:top w:val="single" w:sz="4" w:space="0" w:color="1B556B" w:themeColor="text2"/>
              <w:left w:val="nil"/>
              <w:bottom w:val="single" w:sz="4" w:space="0" w:color="1B556B"/>
              <w:right w:val="nil"/>
            </w:tcBorders>
            <w:shd w:val="clear" w:color="auto" w:fill="auto"/>
            <w:noWrap/>
            <w:vAlign w:val="center"/>
            <w:hideMark/>
          </w:tcPr>
          <w:p w14:paraId="60BABB3F" w14:textId="77777777" w:rsidR="00994F64" w:rsidRPr="00261B7A" w:rsidRDefault="00994F64" w:rsidP="00F753BA">
            <w:pPr>
              <w:pStyle w:val="TableText"/>
              <w:spacing w:before="30" w:after="30"/>
              <w:jc w:val="center"/>
            </w:pPr>
            <w:r w:rsidRPr="00261B7A">
              <w:t>–</w:t>
            </w:r>
          </w:p>
        </w:tc>
        <w:tc>
          <w:tcPr>
            <w:tcW w:w="851" w:type="dxa"/>
            <w:tcBorders>
              <w:top w:val="single" w:sz="4" w:space="0" w:color="1B556B" w:themeColor="text2"/>
              <w:left w:val="nil"/>
              <w:bottom w:val="single" w:sz="4" w:space="0" w:color="1B556B"/>
              <w:right w:val="nil"/>
            </w:tcBorders>
            <w:shd w:val="clear" w:color="auto" w:fill="auto"/>
            <w:noWrap/>
            <w:vAlign w:val="center"/>
            <w:hideMark/>
          </w:tcPr>
          <w:p w14:paraId="76AE58E5" w14:textId="77777777" w:rsidR="00994F64" w:rsidRPr="00261B7A" w:rsidRDefault="00994F64" w:rsidP="00F753BA">
            <w:pPr>
              <w:pStyle w:val="TableText"/>
              <w:spacing w:before="30" w:after="30"/>
              <w:jc w:val="center"/>
            </w:pPr>
            <w:r w:rsidRPr="00261B7A">
              <w:t>–</w:t>
            </w:r>
          </w:p>
        </w:tc>
        <w:tc>
          <w:tcPr>
            <w:tcW w:w="709" w:type="dxa"/>
            <w:tcBorders>
              <w:top w:val="single" w:sz="4" w:space="0" w:color="1B556B" w:themeColor="text2"/>
              <w:left w:val="nil"/>
              <w:bottom w:val="single" w:sz="4" w:space="0" w:color="1B556B"/>
              <w:right w:val="nil"/>
            </w:tcBorders>
            <w:shd w:val="clear" w:color="auto" w:fill="auto"/>
            <w:noWrap/>
            <w:vAlign w:val="center"/>
            <w:hideMark/>
          </w:tcPr>
          <w:p w14:paraId="19953072" w14:textId="77777777" w:rsidR="00994F64" w:rsidRPr="00261B7A" w:rsidRDefault="00994F64" w:rsidP="00F753BA">
            <w:pPr>
              <w:pStyle w:val="TableText"/>
              <w:spacing w:before="30" w:after="30"/>
              <w:jc w:val="center"/>
            </w:pPr>
            <w:r w:rsidRPr="00261B7A">
              <w:t>–</w:t>
            </w:r>
          </w:p>
        </w:tc>
        <w:tc>
          <w:tcPr>
            <w:tcW w:w="794" w:type="dxa"/>
            <w:tcBorders>
              <w:top w:val="single" w:sz="4" w:space="0" w:color="1B556B" w:themeColor="text2"/>
              <w:left w:val="nil"/>
              <w:bottom w:val="single" w:sz="4" w:space="0" w:color="1B556B"/>
              <w:right w:val="nil"/>
            </w:tcBorders>
            <w:shd w:val="clear" w:color="auto" w:fill="auto"/>
            <w:noWrap/>
            <w:vAlign w:val="center"/>
            <w:hideMark/>
          </w:tcPr>
          <w:p w14:paraId="0B704495" w14:textId="77777777" w:rsidR="00994F64" w:rsidRPr="00261B7A" w:rsidRDefault="00994F64" w:rsidP="00F753BA">
            <w:pPr>
              <w:pStyle w:val="TableText"/>
              <w:spacing w:before="30" w:after="30"/>
              <w:jc w:val="center"/>
            </w:pPr>
            <w:r w:rsidRPr="00261B7A">
              <w:t>–</w:t>
            </w:r>
          </w:p>
        </w:tc>
        <w:tc>
          <w:tcPr>
            <w:tcW w:w="812" w:type="dxa"/>
            <w:tcBorders>
              <w:top w:val="single" w:sz="4" w:space="0" w:color="1B556B" w:themeColor="text2"/>
              <w:left w:val="nil"/>
              <w:bottom w:val="single" w:sz="4" w:space="0" w:color="1B556B"/>
              <w:right w:val="nil"/>
            </w:tcBorders>
            <w:shd w:val="clear" w:color="auto" w:fill="auto"/>
            <w:noWrap/>
            <w:vAlign w:val="center"/>
            <w:hideMark/>
          </w:tcPr>
          <w:p w14:paraId="6D03C053" w14:textId="77777777" w:rsidR="00994F64" w:rsidRPr="00261B7A" w:rsidRDefault="00994F64" w:rsidP="00F753BA">
            <w:pPr>
              <w:pStyle w:val="TableText"/>
              <w:spacing w:before="30" w:after="30"/>
              <w:jc w:val="center"/>
            </w:pPr>
            <w:r w:rsidRPr="00261B7A">
              <w:t>–</w:t>
            </w:r>
          </w:p>
        </w:tc>
        <w:tc>
          <w:tcPr>
            <w:tcW w:w="812" w:type="dxa"/>
            <w:tcBorders>
              <w:top w:val="single" w:sz="4" w:space="0" w:color="1B556B" w:themeColor="text2"/>
              <w:left w:val="nil"/>
              <w:bottom w:val="single" w:sz="4" w:space="0" w:color="1B556B"/>
              <w:right w:val="nil"/>
            </w:tcBorders>
            <w:shd w:val="clear" w:color="auto" w:fill="auto"/>
            <w:noWrap/>
            <w:vAlign w:val="center"/>
            <w:hideMark/>
          </w:tcPr>
          <w:p w14:paraId="43F612D5" w14:textId="77777777" w:rsidR="00994F64" w:rsidRPr="00261B7A" w:rsidRDefault="00994F64" w:rsidP="00F753BA">
            <w:pPr>
              <w:pStyle w:val="TableText"/>
              <w:spacing w:before="30" w:after="30"/>
              <w:jc w:val="center"/>
            </w:pPr>
            <w:r w:rsidRPr="00261B7A">
              <w:t>–</w:t>
            </w:r>
          </w:p>
        </w:tc>
      </w:tr>
      <w:tr w:rsidR="00994F64" w:rsidRPr="00261B7A" w14:paraId="0F2CD708" w14:textId="77777777" w:rsidTr="00582E41">
        <w:tc>
          <w:tcPr>
            <w:tcW w:w="320" w:type="dxa"/>
            <w:vMerge w:val="restart"/>
            <w:tcBorders>
              <w:top w:val="single" w:sz="4" w:space="0" w:color="1B556B"/>
              <w:left w:val="nil"/>
              <w:bottom w:val="single" w:sz="8" w:space="0" w:color="365F91"/>
              <w:right w:val="nil"/>
            </w:tcBorders>
            <w:shd w:val="clear" w:color="auto" w:fill="auto"/>
            <w:noWrap/>
            <w:vAlign w:val="center"/>
            <w:hideMark/>
          </w:tcPr>
          <w:p w14:paraId="165C9A46" w14:textId="77777777" w:rsidR="00994F64" w:rsidRPr="00261B7A" w:rsidRDefault="00994F64" w:rsidP="00F753BA">
            <w:pPr>
              <w:pStyle w:val="TableText"/>
              <w:spacing w:before="30" w:after="30"/>
              <w:rPr>
                <w:rFonts w:cs="Calibri"/>
                <w:szCs w:val="16"/>
              </w:rPr>
            </w:pPr>
            <w:r w:rsidRPr="00261B7A">
              <w:rPr>
                <w:rFonts w:cs="Calibri"/>
                <w:szCs w:val="16"/>
              </w:rPr>
              <w:t>1</w:t>
            </w:r>
          </w:p>
        </w:tc>
        <w:tc>
          <w:tcPr>
            <w:tcW w:w="3366" w:type="dxa"/>
            <w:tcBorders>
              <w:top w:val="single" w:sz="4" w:space="0" w:color="1B556B"/>
              <w:left w:val="nil"/>
              <w:bottom w:val="nil"/>
              <w:right w:val="nil"/>
            </w:tcBorders>
            <w:shd w:val="clear" w:color="auto" w:fill="auto"/>
            <w:vAlign w:val="center"/>
            <w:hideMark/>
          </w:tcPr>
          <w:p w14:paraId="79973F60" w14:textId="77777777" w:rsidR="00994F64" w:rsidRPr="00261B7A" w:rsidRDefault="00994F64" w:rsidP="00F753BA">
            <w:pPr>
              <w:pStyle w:val="TableText"/>
              <w:spacing w:before="30" w:after="30"/>
              <w:rPr>
                <w:rFonts w:cs="Calibri"/>
                <w:szCs w:val="16"/>
              </w:rPr>
            </w:pPr>
            <w:r w:rsidRPr="00261B7A">
              <w:rPr>
                <w:rFonts w:cs="Calibri"/>
                <w:szCs w:val="16"/>
              </w:rPr>
              <w:t>Cattle</w:t>
            </w:r>
          </w:p>
        </w:tc>
        <w:tc>
          <w:tcPr>
            <w:tcW w:w="850" w:type="dxa"/>
            <w:tcBorders>
              <w:top w:val="single" w:sz="4" w:space="0" w:color="1B556B"/>
              <w:left w:val="nil"/>
              <w:bottom w:val="nil"/>
              <w:right w:val="nil"/>
            </w:tcBorders>
            <w:shd w:val="clear" w:color="auto" w:fill="auto"/>
            <w:noWrap/>
            <w:vAlign w:val="center"/>
            <w:hideMark/>
          </w:tcPr>
          <w:p w14:paraId="3A673ECF"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51" w:type="dxa"/>
            <w:tcBorders>
              <w:top w:val="single" w:sz="4" w:space="0" w:color="1B556B"/>
              <w:left w:val="nil"/>
              <w:bottom w:val="nil"/>
              <w:right w:val="nil"/>
            </w:tcBorders>
            <w:shd w:val="clear" w:color="auto" w:fill="auto"/>
            <w:noWrap/>
            <w:vAlign w:val="center"/>
            <w:hideMark/>
          </w:tcPr>
          <w:p w14:paraId="25E16BA2"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09" w:type="dxa"/>
            <w:tcBorders>
              <w:top w:val="single" w:sz="4" w:space="0" w:color="1B556B"/>
              <w:left w:val="nil"/>
              <w:bottom w:val="nil"/>
              <w:right w:val="nil"/>
            </w:tcBorders>
            <w:shd w:val="clear" w:color="auto" w:fill="auto"/>
            <w:vAlign w:val="center"/>
            <w:hideMark/>
          </w:tcPr>
          <w:p w14:paraId="53EAF6EC"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94" w:type="dxa"/>
            <w:tcBorders>
              <w:top w:val="single" w:sz="4" w:space="0" w:color="1B556B"/>
              <w:left w:val="nil"/>
              <w:bottom w:val="nil"/>
              <w:right w:val="nil"/>
            </w:tcBorders>
            <w:shd w:val="clear" w:color="auto" w:fill="auto"/>
            <w:noWrap/>
            <w:vAlign w:val="center"/>
            <w:hideMark/>
          </w:tcPr>
          <w:p w14:paraId="780FAA1A"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nil"/>
              <w:right w:val="nil"/>
            </w:tcBorders>
            <w:shd w:val="clear" w:color="auto" w:fill="auto"/>
            <w:noWrap/>
            <w:vAlign w:val="center"/>
            <w:hideMark/>
          </w:tcPr>
          <w:p w14:paraId="0BFD96A4"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nil"/>
              <w:right w:val="nil"/>
            </w:tcBorders>
            <w:shd w:val="clear" w:color="auto" w:fill="auto"/>
            <w:vAlign w:val="center"/>
            <w:hideMark/>
          </w:tcPr>
          <w:p w14:paraId="1A88DA56"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47BBD21F" w14:textId="77777777" w:rsidTr="00582E41">
        <w:tc>
          <w:tcPr>
            <w:tcW w:w="320" w:type="dxa"/>
            <w:vMerge/>
            <w:tcBorders>
              <w:top w:val="nil"/>
              <w:left w:val="nil"/>
              <w:bottom w:val="single" w:sz="8" w:space="0" w:color="365F91"/>
              <w:right w:val="nil"/>
            </w:tcBorders>
            <w:vAlign w:val="center"/>
            <w:hideMark/>
          </w:tcPr>
          <w:p w14:paraId="464213D0" w14:textId="77777777" w:rsidR="00994F64" w:rsidRPr="00261B7A" w:rsidRDefault="00994F64" w:rsidP="00F753BA">
            <w:pPr>
              <w:pStyle w:val="TableText"/>
              <w:spacing w:before="30" w:after="30"/>
              <w:rPr>
                <w:rFonts w:cs="Calibri"/>
                <w:szCs w:val="16"/>
              </w:rPr>
            </w:pPr>
          </w:p>
        </w:tc>
        <w:tc>
          <w:tcPr>
            <w:tcW w:w="3366" w:type="dxa"/>
            <w:tcBorders>
              <w:top w:val="nil"/>
              <w:left w:val="nil"/>
              <w:bottom w:val="nil"/>
              <w:right w:val="nil"/>
            </w:tcBorders>
            <w:shd w:val="clear" w:color="auto" w:fill="auto"/>
            <w:vAlign w:val="center"/>
            <w:hideMark/>
          </w:tcPr>
          <w:p w14:paraId="6FFEFE75" w14:textId="77777777" w:rsidR="00994F64" w:rsidRPr="00261B7A" w:rsidRDefault="00994F64" w:rsidP="00F753BA">
            <w:pPr>
              <w:pStyle w:val="TableText"/>
              <w:spacing w:before="30" w:after="30"/>
              <w:rPr>
                <w:rFonts w:cs="Calibri"/>
                <w:szCs w:val="16"/>
              </w:rPr>
            </w:pPr>
            <w:r w:rsidRPr="00261B7A">
              <w:rPr>
                <w:rFonts w:cs="Calibri"/>
                <w:szCs w:val="16"/>
              </w:rPr>
              <w:t>Dairy Cattle</w:t>
            </w:r>
          </w:p>
        </w:tc>
        <w:tc>
          <w:tcPr>
            <w:tcW w:w="850" w:type="dxa"/>
            <w:tcBorders>
              <w:top w:val="nil"/>
              <w:left w:val="nil"/>
              <w:bottom w:val="nil"/>
              <w:right w:val="nil"/>
            </w:tcBorders>
            <w:shd w:val="clear" w:color="auto" w:fill="auto"/>
            <w:noWrap/>
            <w:vAlign w:val="center"/>
            <w:hideMark/>
          </w:tcPr>
          <w:p w14:paraId="2474BDED" w14:textId="77777777" w:rsidR="00994F64" w:rsidRPr="00261B7A" w:rsidRDefault="00994F64" w:rsidP="00F753BA">
            <w:pPr>
              <w:pStyle w:val="TableText"/>
              <w:spacing w:before="30" w:after="30"/>
              <w:jc w:val="center"/>
              <w:rPr>
                <w:rFonts w:cs="Calibri"/>
                <w:szCs w:val="16"/>
              </w:rPr>
            </w:pPr>
            <w:r w:rsidRPr="00261B7A">
              <w:rPr>
                <w:rFonts w:cs="Calibri"/>
                <w:szCs w:val="16"/>
              </w:rPr>
              <w:t>T2</w:t>
            </w:r>
          </w:p>
        </w:tc>
        <w:tc>
          <w:tcPr>
            <w:tcW w:w="851" w:type="dxa"/>
            <w:tcBorders>
              <w:top w:val="nil"/>
              <w:left w:val="nil"/>
              <w:bottom w:val="nil"/>
              <w:right w:val="nil"/>
            </w:tcBorders>
            <w:shd w:val="clear" w:color="auto" w:fill="auto"/>
            <w:noWrap/>
            <w:vAlign w:val="center"/>
            <w:hideMark/>
          </w:tcPr>
          <w:p w14:paraId="2DA6E479" w14:textId="77777777" w:rsidR="00994F64" w:rsidRPr="00261B7A" w:rsidRDefault="00994F64" w:rsidP="00F753BA">
            <w:pPr>
              <w:pStyle w:val="TableText"/>
              <w:spacing w:before="30" w:after="30"/>
              <w:jc w:val="center"/>
              <w:rPr>
                <w:rFonts w:cs="Calibri"/>
                <w:szCs w:val="16"/>
              </w:rPr>
            </w:pPr>
            <w:r w:rsidRPr="00261B7A">
              <w:rPr>
                <w:rFonts w:cs="Calibri"/>
                <w:szCs w:val="16"/>
              </w:rPr>
              <w:t>CS</w:t>
            </w:r>
          </w:p>
        </w:tc>
        <w:tc>
          <w:tcPr>
            <w:tcW w:w="709" w:type="dxa"/>
            <w:tcBorders>
              <w:top w:val="nil"/>
              <w:left w:val="nil"/>
              <w:bottom w:val="nil"/>
              <w:right w:val="nil"/>
            </w:tcBorders>
            <w:shd w:val="clear" w:color="auto" w:fill="auto"/>
            <w:vAlign w:val="center"/>
            <w:hideMark/>
          </w:tcPr>
          <w:p w14:paraId="7697B259"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94" w:type="dxa"/>
            <w:tcBorders>
              <w:top w:val="nil"/>
              <w:left w:val="nil"/>
              <w:bottom w:val="nil"/>
              <w:right w:val="nil"/>
            </w:tcBorders>
            <w:shd w:val="clear" w:color="auto" w:fill="auto"/>
            <w:noWrap/>
            <w:vAlign w:val="center"/>
            <w:hideMark/>
          </w:tcPr>
          <w:p w14:paraId="34A1E99B"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nil"/>
              <w:left w:val="nil"/>
              <w:bottom w:val="nil"/>
              <w:right w:val="nil"/>
            </w:tcBorders>
            <w:shd w:val="clear" w:color="auto" w:fill="auto"/>
            <w:noWrap/>
            <w:vAlign w:val="center"/>
            <w:hideMark/>
          </w:tcPr>
          <w:p w14:paraId="428BC117"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nil"/>
              <w:left w:val="nil"/>
              <w:bottom w:val="nil"/>
              <w:right w:val="nil"/>
            </w:tcBorders>
            <w:shd w:val="clear" w:color="auto" w:fill="auto"/>
            <w:vAlign w:val="center"/>
            <w:hideMark/>
          </w:tcPr>
          <w:p w14:paraId="067B6AC6"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1502337A" w14:textId="77777777" w:rsidTr="00582E41">
        <w:tc>
          <w:tcPr>
            <w:tcW w:w="320" w:type="dxa"/>
            <w:vMerge/>
            <w:tcBorders>
              <w:top w:val="nil"/>
              <w:left w:val="nil"/>
              <w:bottom w:val="single" w:sz="4" w:space="0" w:color="1B556B"/>
              <w:right w:val="nil"/>
            </w:tcBorders>
            <w:vAlign w:val="center"/>
            <w:hideMark/>
          </w:tcPr>
          <w:p w14:paraId="0B78BED7" w14:textId="77777777" w:rsidR="00994F64" w:rsidRPr="00261B7A" w:rsidRDefault="00994F64" w:rsidP="00F753BA">
            <w:pPr>
              <w:pStyle w:val="TableText"/>
              <w:spacing w:before="30" w:after="30"/>
              <w:rPr>
                <w:rFonts w:cs="Calibri"/>
                <w:szCs w:val="16"/>
              </w:rPr>
            </w:pPr>
          </w:p>
        </w:tc>
        <w:tc>
          <w:tcPr>
            <w:tcW w:w="3366" w:type="dxa"/>
            <w:tcBorders>
              <w:top w:val="nil"/>
              <w:left w:val="nil"/>
              <w:bottom w:val="single" w:sz="4" w:space="0" w:color="1B556B"/>
              <w:right w:val="nil"/>
            </w:tcBorders>
            <w:shd w:val="clear" w:color="auto" w:fill="auto"/>
            <w:vAlign w:val="center"/>
            <w:hideMark/>
          </w:tcPr>
          <w:p w14:paraId="323DEDD6" w14:textId="77777777" w:rsidR="00994F64" w:rsidRPr="00261B7A" w:rsidRDefault="00994F64" w:rsidP="00F753BA">
            <w:pPr>
              <w:pStyle w:val="TableText"/>
              <w:spacing w:before="30" w:after="30"/>
              <w:rPr>
                <w:rFonts w:cs="Calibri"/>
                <w:szCs w:val="16"/>
              </w:rPr>
            </w:pPr>
            <w:r w:rsidRPr="00261B7A">
              <w:rPr>
                <w:rFonts w:cs="Calibri"/>
                <w:szCs w:val="16"/>
              </w:rPr>
              <w:t xml:space="preserve">Non-Dairy </w:t>
            </w:r>
            <w:r w:rsidRPr="00261B7A">
              <w:rPr>
                <w:rFonts w:cs="Calibri"/>
                <w:i/>
                <w:iCs/>
                <w:szCs w:val="16"/>
              </w:rPr>
              <w:t xml:space="preserve">(Beef) </w:t>
            </w:r>
            <w:r w:rsidRPr="00261B7A">
              <w:rPr>
                <w:rFonts w:cs="Calibri"/>
                <w:szCs w:val="16"/>
              </w:rPr>
              <w:t>Cattle</w:t>
            </w:r>
          </w:p>
        </w:tc>
        <w:tc>
          <w:tcPr>
            <w:tcW w:w="850" w:type="dxa"/>
            <w:tcBorders>
              <w:top w:val="nil"/>
              <w:left w:val="nil"/>
              <w:bottom w:val="single" w:sz="4" w:space="0" w:color="1B556B"/>
              <w:right w:val="nil"/>
            </w:tcBorders>
            <w:shd w:val="clear" w:color="auto" w:fill="auto"/>
            <w:noWrap/>
            <w:vAlign w:val="center"/>
            <w:hideMark/>
          </w:tcPr>
          <w:p w14:paraId="0CD9F945" w14:textId="77777777" w:rsidR="00994F64" w:rsidRPr="00261B7A" w:rsidRDefault="00994F64" w:rsidP="00F753BA">
            <w:pPr>
              <w:pStyle w:val="TableText"/>
              <w:spacing w:before="30" w:after="30"/>
              <w:jc w:val="center"/>
              <w:rPr>
                <w:rFonts w:cs="Calibri"/>
                <w:szCs w:val="16"/>
              </w:rPr>
            </w:pPr>
            <w:r w:rsidRPr="00261B7A">
              <w:rPr>
                <w:rFonts w:cs="Calibri"/>
                <w:szCs w:val="16"/>
              </w:rPr>
              <w:t>T2</w:t>
            </w:r>
          </w:p>
        </w:tc>
        <w:tc>
          <w:tcPr>
            <w:tcW w:w="851" w:type="dxa"/>
            <w:tcBorders>
              <w:top w:val="nil"/>
              <w:left w:val="nil"/>
              <w:bottom w:val="single" w:sz="4" w:space="0" w:color="1B556B"/>
              <w:right w:val="nil"/>
            </w:tcBorders>
            <w:shd w:val="clear" w:color="auto" w:fill="auto"/>
            <w:noWrap/>
            <w:vAlign w:val="center"/>
            <w:hideMark/>
          </w:tcPr>
          <w:p w14:paraId="213C8D55" w14:textId="77777777" w:rsidR="00994F64" w:rsidRPr="00261B7A" w:rsidRDefault="00994F64" w:rsidP="00F753BA">
            <w:pPr>
              <w:pStyle w:val="TableText"/>
              <w:spacing w:before="30" w:after="30"/>
              <w:jc w:val="center"/>
              <w:rPr>
                <w:rFonts w:cs="Calibri"/>
                <w:szCs w:val="16"/>
              </w:rPr>
            </w:pPr>
            <w:r w:rsidRPr="00261B7A">
              <w:rPr>
                <w:rFonts w:cs="Calibri"/>
                <w:szCs w:val="16"/>
              </w:rPr>
              <w:t>CS</w:t>
            </w:r>
          </w:p>
        </w:tc>
        <w:tc>
          <w:tcPr>
            <w:tcW w:w="709" w:type="dxa"/>
            <w:tcBorders>
              <w:top w:val="nil"/>
              <w:left w:val="nil"/>
              <w:bottom w:val="single" w:sz="4" w:space="0" w:color="1B556B"/>
              <w:right w:val="nil"/>
            </w:tcBorders>
            <w:shd w:val="clear" w:color="auto" w:fill="auto"/>
            <w:vAlign w:val="center"/>
            <w:hideMark/>
          </w:tcPr>
          <w:p w14:paraId="2B06B160"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94" w:type="dxa"/>
            <w:tcBorders>
              <w:top w:val="nil"/>
              <w:left w:val="nil"/>
              <w:bottom w:val="single" w:sz="4" w:space="0" w:color="1B556B"/>
              <w:right w:val="nil"/>
            </w:tcBorders>
            <w:shd w:val="clear" w:color="auto" w:fill="auto"/>
            <w:noWrap/>
            <w:vAlign w:val="center"/>
            <w:hideMark/>
          </w:tcPr>
          <w:p w14:paraId="3ACF6BE5"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nil"/>
              <w:left w:val="nil"/>
              <w:bottom w:val="single" w:sz="4" w:space="0" w:color="1B556B"/>
              <w:right w:val="nil"/>
            </w:tcBorders>
            <w:shd w:val="clear" w:color="auto" w:fill="auto"/>
            <w:noWrap/>
            <w:vAlign w:val="center"/>
            <w:hideMark/>
          </w:tcPr>
          <w:p w14:paraId="426AF6A0"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nil"/>
              <w:left w:val="nil"/>
              <w:bottom w:val="single" w:sz="4" w:space="0" w:color="1B556B"/>
              <w:right w:val="nil"/>
            </w:tcBorders>
            <w:shd w:val="clear" w:color="auto" w:fill="auto"/>
            <w:vAlign w:val="center"/>
            <w:hideMark/>
          </w:tcPr>
          <w:p w14:paraId="1C842813"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0F775956" w14:textId="77777777" w:rsidTr="00582E41">
        <w:tc>
          <w:tcPr>
            <w:tcW w:w="320" w:type="dxa"/>
            <w:tcBorders>
              <w:top w:val="single" w:sz="4" w:space="0" w:color="1B556B"/>
              <w:left w:val="nil"/>
              <w:bottom w:val="single" w:sz="4" w:space="0" w:color="1B556B"/>
              <w:right w:val="nil"/>
            </w:tcBorders>
            <w:shd w:val="clear" w:color="auto" w:fill="auto"/>
            <w:noWrap/>
            <w:vAlign w:val="center"/>
            <w:hideMark/>
          </w:tcPr>
          <w:p w14:paraId="107D893E" w14:textId="77777777" w:rsidR="00994F64" w:rsidRPr="00261B7A" w:rsidRDefault="00994F64" w:rsidP="00F753BA">
            <w:pPr>
              <w:pStyle w:val="TableText"/>
              <w:spacing w:before="30" w:after="30"/>
              <w:rPr>
                <w:rFonts w:cs="Calibri"/>
                <w:szCs w:val="16"/>
              </w:rPr>
            </w:pPr>
            <w:r w:rsidRPr="00261B7A">
              <w:rPr>
                <w:rFonts w:cs="Calibri"/>
                <w:szCs w:val="16"/>
              </w:rPr>
              <w:t>2</w:t>
            </w:r>
          </w:p>
        </w:tc>
        <w:tc>
          <w:tcPr>
            <w:tcW w:w="3366" w:type="dxa"/>
            <w:tcBorders>
              <w:top w:val="single" w:sz="4" w:space="0" w:color="1B556B"/>
              <w:left w:val="nil"/>
              <w:bottom w:val="single" w:sz="4" w:space="0" w:color="1B556B"/>
              <w:right w:val="nil"/>
            </w:tcBorders>
            <w:shd w:val="clear" w:color="auto" w:fill="auto"/>
            <w:vAlign w:val="center"/>
            <w:hideMark/>
          </w:tcPr>
          <w:p w14:paraId="3B06D2A9" w14:textId="77777777" w:rsidR="00994F64" w:rsidRPr="00261B7A" w:rsidRDefault="00994F64" w:rsidP="00F753BA">
            <w:pPr>
              <w:pStyle w:val="TableText"/>
              <w:spacing w:before="30" w:after="30"/>
              <w:rPr>
                <w:rFonts w:cs="Calibri"/>
                <w:szCs w:val="16"/>
              </w:rPr>
            </w:pPr>
            <w:r w:rsidRPr="00261B7A">
              <w:rPr>
                <w:rFonts w:cs="Calibri"/>
                <w:szCs w:val="16"/>
              </w:rPr>
              <w:t xml:space="preserve">Sheep </w:t>
            </w:r>
          </w:p>
        </w:tc>
        <w:tc>
          <w:tcPr>
            <w:tcW w:w="850" w:type="dxa"/>
            <w:tcBorders>
              <w:top w:val="single" w:sz="4" w:space="0" w:color="1B556B"/>
              <w:left w:val="nil"/>
              <w:bottom w:val="single" w:sz="4" w:space="0" w:color="1B556B"/>
              <w:right w:val="nil"/>
            </w:tcBorders>
            <w:shd w:val="clear" w:color="auto" w:fill="auto"/>
            <w:noWrap/>
            <w:vAlign w:val="center"/>
            <w:hideMark/>
          </w:tcPr>
          <w:p w14:paraId="0FCC6DA5" w14:textId="77777777" w:rsidR="00994F64" w:rsidRPr="00261B7A" w:rsidRDefault="007E17B8" w:rsidP="00F753BA">
            <w:pPr>
              <w:pStyle w:val="TableText"/>
              <w:spacing w:before="30" w:after="30"/>
              <w:jc w:val="center"/>
              <w:rPr>
                <w:rFonts w:cs="Calibri"/>
                <w:szCs w:val="16"/>
              </w:rPr>
            </w:pPr>
            <w:hyperlink r:id="rId108" w:history="1">
              <w:r w:rsidR="00994F64" w:rsidRPr="00261B7A">
                <w:rPr>
                  <w:rFonts w:cs="Calibri"/>
                  <w:szCs w:val="16"/>
                </w:rPr>
                <w:t>T2</w:t>
              </w:r>
            </w:hyperlink>
          </w:p>
        </w:tc>
        <w:tc>
          <w:tcPr>
            <w:tcW w:w="851" w:type="dxa"/>
            <w:tcBorders>
              <w:top w:val="single" w:sz="4" w:space="0" w:color="1B556B"/>
              <w:left w:val="nil"/>
              <w:bottom w:val="single" w:sz="4" w:space="0" w:color="1B556B"/>
              <w:right w:val="nil"/>
            </w:tcBorders>
            <w:shd w:val="clear" w:color="auto" w:fill="auto"/>
            <w:noWrap/>
            <w:vAlign w:val="center"/>
            <w:hideMark/>
          </w:tcPr>
          <w:p w14:paraId="30971B06" w14:textId="77777777" w:rsidR="00994F64" w:rsidRPr="00261B7A" w:rsidRDefault="00994F64" w:rsidP="00F753BA">
            <w:pPr>
              <w:pStyle w:val="TableText"/>
              <w:spacing w:before="30" w:after="30"/>
              <w:jc w:val="center"/>
              <w:rPr>
                <w:rFonts w:cs="Calibri"/>
                <w:szCs w:val="16"/>
              </w:rPr>
            </w:pPr>
            <w:r w:rsidRPr="00261B7A">
              <w:rPr>
                <w:rFonts w:cs="Calibri"/>
                <w:szCs w:val="16"/>
              </w:rPr>
              <w:t>CS</w:t>
            </w:r>
          </w:p>
        </w:tc>
        <w:tc>
          <w:tcPr>
            <w:tcW w:w="709" w:type="dxa"/>
            <w:tcBorders>
              <w:top w:val="single" w:sz="4" w:space="0" w:color="1B556B"/>
              <w:left w:val="nil"/>
              <w:bottom w:val="single" w:sz="4" w:space="0" w:color="1B556B"/>
              <w:right w:val="nil"/>
            </w:tcBorders>
            <w:shd w:val="clear" w:color="auto" w:fill="auto"/>
            <w:noWrap/>
            <w:vAlign w:val="center"/>
            <w:hideMark/>
          </w:tcPr>
          <w:p w14:paraId="2FF484FB"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529E55D1"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1F4F1B74"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38DCF387"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06E5395D" w14:textId="77777777" w:rsidTr="00582E41">
        <w:tc>
          <w:tcPr>
            <w:tcW w:w="320" w:type="dxa"/>
            <w:tcBorders>
              <w:top w:val="single" w:sz="4" w:space="0" w:color="1B556B"/>
              <w:left w:val="nil"/>
              <w:bottom w:val="single" w:sz="4" w:space="0" w:color="1B556B"/>
              <w:right w:val="nil"/>
            </w:tcBorders>
            <w:shd w:val="clear" w:color="auto" w:fill="auto"/>
            <w:noWrap/>
            <w:vAlign w:val="center"/>
            <w:hideMark/>
          </w:tcPr>
          <w:p w14:paraId="70AB032B" w14:textId="77777777" w:rsidR="00994F64" w:rsidRPr="00261B7A" w:rsidRDefault="00994F64" w:rsidP="00F753BA">
            <w:pPr>
              <w:pStyle w:val="TableText"/>
              <w:spacing w:before="30" w:after="30"/>
              <w:rPr>
                <w:rFonts w:cs="Calibri"/>
                <w:szCs w:val="16"/>
              </w:rPr>
            </w:pPr>
            <w:r w:rsidRPr="00261B7A">
              <w:rPr>
                <w:rFonts w:cs="Calibri"/>
                <w:szCs w:val="16"/>
              </w:rPr>
              <w:t>3</w:t>
            </w:r>
          </w:p>
        </w:tc>
        <w:tc>
          <w:tcPr>
            <w:tcW w:w="3366" w:type="dxa"/>
            <w:tcBorders>
              <w:top w:val="single" w:sz="4" w:space="0" w:color="1B556B"/>
              <w:left w:val="nil"/>
              <w:bottom w:val="single" w:sz="4" w:space="0" w:color="1B556B"/>
              <w:right w:val="nil"/>
            </w:tcBorders>
            <w:shd w:val="clear" w:color="auto" w:fill="auto"/>
            <w:vAlign w:val="center"/>
            <w:hideMark/>
          </w:tcPr>
          <w:p w14:paraId="6BA57B09" w14:textId="77777777" w:rsidR="00994F64" w:rsidRPr="00261B7A" w:rsidRDefault="00994F64" w:rsidP="00F753BA">
            <w:pPr>
              <w:pStyle w:val="TableText"/>
              <w:spacing w:before="30" w:after="30"/>
              <w:rPr>
                <w:rFonts w:cs="Calibri"/>
                <w:szCs w:val="16"/>
              </w:rPr>
            </w:pPr>
            <w:r w:rsidRPr="00261B7A">
              <w:rPr>
                <w:rFonts w:cs="Calibri"/>
                <w:szCs w:val="16"/>
              </w:rPr>
              <w:t>Swine</w:t>
            </w:r>
          </w:p>
        </w:tc>
        <w:tc>
          <w:tcPr>
            <w:tcW w:w="850" w:type="dxa"/>
            <w:tcBorders>
              <w:top w:val="single" w:sz="4" w:space="0" w:color="1B556B"/>
              <w:left w:val="nil"/>
              <w:bottom w:val="single" w:sz="4" w:space="0" w:color="1B556B"/>
              <w:right w:val="nil"/>
            </w:tcBorders>
            <w:shd w:val="clear" w:color="auto" w:fill="auto"/>
            <w:noWrap/>
            <w:vAlign w:val="center"/>
            <w:hideMark/>
          </w:tcPr>
          <w:p w14:paraId="466DF032" w14:textId="77777777" w:rsidR="00994F64" w:rsidRPr="00261B7A" w:rsidRDefault="00994F64" w:rsidP="00F753BA">
            <w:pPr>
              <w:pStyle w:val="TableText"/>
              <w:spacing w:before="30" w:after="30"/>
              <w:jc w:val="center"/>
              <w:rPr>
                <w:rFonts w:cs="Calibri"/>
                <w:szCs w:val="16"/>
              </w:rPr>
            </w:pPr>
            <w:r w:rsidRPr="00261B7A">
              <w:rPr>
                <w:rFonts w:cs="Calibri"/>
                <w:szCs w:val="16"/>
              </w:rPr>
              <w:t>T1</w:t>
            </w:r>
          </w:p>
        </w:tc>
        <w:tc>
          <w:tcPr>
            <w:tcW w:w="851" w:type="dxa"/>
            <w:tcBorders>
              <w:top w:val="single" w:sz="4" w:space="0" w:color="1B556B"/>
              <w:left w:val="nil"/>
              <w:bottom w:val="single" w:sz="4" w:space="0" w:color="1B556B"/>
              <w:right w:val="nil"/>
            </w:tcBorders>
            <w:shd w:val="clear" w:color="auto" w:fill="auto"/>
            <w:noWrap/>
            <w:vAlign w:val="center"/>
            <w:hideMark/>
          </w:tcPr>
          <w:p w14:paraId="02A4859C" w14:textId="77777777" w:rsidR="00994F64" w:rsidRPr="00261B7A" w:rsidRDefault="00994F64" w:rsidP="00F753BA">
            <w:pPr>
              <w:pStyle w:val="TableText"/>
              <w:spacing w:before="30" w:after="30"/>
              <w:jc w:val="center"/>
              <w:rPr>
                <w:rFonts w:cs="Calibri"/>
                <w:szCs w:val="16"/>
              </w:rPr>
            </w:pPr>
            <w:r w:rsidRPr="00261B7A">
              <w:rPr>
                <w:rFonts w:cs="Calibri"/>
                <w:szCs w:val="16"/>
              </w:rPr>
              <w:t>CS</w:t>
            </w:r>
          </w:p>
        </w:tc>
        <w:tc>
          <w:tcPr>
            <w:tcW w:w="709" w:type="dxa"/>
            <w:tcBorders>
              <w:top w:val="single" w:sz="4" w:space="0" w:color="1B556B"/>
              <w:left w:val="nil"/>
              <w:bottom w:val="single" w:sz="4" w:space="0" w:color="1B556B"/>
              <w:right w:val="nil"/>
            </w:tcBorders>
            <w:shd w:val="clear" w:color="auto" w:fill="auto"/>
            <w:noWrap/>
            <w:vAlign w:val="center"/>
            <w:hideMark/>
          </w:tcPr>
          <w:p w14:paraId="7CA6642C"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165DD62A"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28EDBC23"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43574B01"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6ED8C3FB" w14:textId="77777777" w:rsidTr="00582E41">
        <w:tc>
          <w:tcPr>
            <w:tcW w:w="320" w:type="dxa"/>
            <w:tcBorders>
              <w:top w:val="single" w:sz="4" w:space="0" w:color="1B556B"/>
              <w:left w:val="nil"/>
              <w:bottom w:val="single" w:sz="4" w:space="0" w:color="1B556B"/>
              <w:right w:val="nil"/>
            </w:tcBorders>
            <w:shd w:val="clear" w:color="auto" w:fill="auto"/>
            <w:noWrap/>
            <w:vAlign w:val="center"/>
            <w:hideMark/>
          </w:tcPr>
          <w:p w14:paraId="22D649A7" w14:textId="77777777" w:rsidR="00994F64" w:rsidRPr="00261B7A" w:rsidRDefault="00994F64" w:rsidP="00F753BA">
            <w:pPr>
              <w:pStyle w:val="TableText"/>
              <w:spacing w:before="30" w:after="30"/>
              <w:rPr>
                <w:rFonts w:cs="Calibri"/>
                <w:szCs w:val="16"/>
              </w:rPr>
            </w:pPr>
            <w:r w:rsidRPr="00261B7A">
              <w:rPr>
                <w:rFonts w:cs="Calibri"/>
                <w:szCs w:val="16"/>
              </w:rPr>
              <w:t>4</w:t>
            </w:r>
          </w:p>
        </w:tc>
        <w:tc>
          <w:tcPr>
            <w:tcW w:w="3366" w:type="dxa"/>
            <w:tcBorders>
              <w:top w:val="single" w:sz="4" w:space="0" w:color="1B556B"/>
              <w:left w:val="nil"/>
              <w:bottom w:val="single" w:sz="4" w:space="0" w:color="1B556B"/>
              <w:right w:val="nil"/>
            </w:tcBorders>
            <w:shd w:val="clear" w:color="auto" w:fill="auto"/>
            <w:vAlign w:val="center"/>
            <w:hideMark/>
          </w:tcPr>
          <w:p w14:paraId="11D44D3C" w14:textId="77777777" w:rsidR="00994F64" w:rsidRPr="00261B7A" w:rsidRDefault="00994F64" w:rsidP="00F753BA">
            <w:pPr>
              <w:pStyle w:val="TableText"/>
              <w:spacing w:before="30" w:after="30"/>
              <w:rPr>
                <w:rFonts w:cs="Calibri"/>
                <w:szCs w:val="16"/>
              </w:rPr>
            </w:pPr>
            <w:r w:rsidRPr="00261B7A">
              <w:rPr>
                <w:rFonts w:cs="Calibri"/>
                <w:szCs w:val="16"/>
              </w:rPr>
              <w:t>Other Livestock (Buffalo, Camels, Deer, Goats, Horses, Mules and Asses, Poultry)</w:t>
            </w:r>
          </w:p>
        </w:tc>
        <w:tc>
          <w:tcPr>
            <w:tcW w:w="850" w:type="dxa"/>
            <w:tcBorders>
              <w:top w:val="single" w:sz="4" w:space="0" w:color="1B556B"/>
              <w:left w:val="nil"/>
              <w:bottom w:val="single" w:sz="4" w:space="0" w:color="1B556B"/>
              <w:right w:val="nil"/>
            </w:tcBorders>
            <w:shd w:val="clear" w:color="auto" w:fill="auto"/>
            <w:noWrap/>
            <w:vAlign w:val="center"/>
            <w:hideMark/>
          </w:tcPr>
          <w:p w14:paraId="18A3A7CD" w14:textId="77777777" w:rsidR="00994F64" w:rsidRPr="00261B7A" w:rsidRDefault="00994F64" w:rsidP="00F753BA">
            <w:pPr>
              <w:pStyle w:val="TableText"/>
              <w:spacing w:before="30" w:after="30"/>
              <w:jc w:val="center"/>
              <w:rPr>
                <w:rFonts w:cs="Calibri"/>
                <w:szCs w:val="16"/>
              </w:rPr>
            </w:pPr>
            <w:r w:rsidRPr="00261B7A">
              <w:rPr>
                <w:rFonts w:cs="Calibri"/>
                <w:szCs w:val="16"/>
              </w:rPr>
              <w:t>T1, T2</w:t>
            </w:r>
          </w:p>
        </w:tc>
        <w:tc>
          <w:tcPr>
            <w:tcW w:w="851" w:type="dxa"/>
            <w:tcBorders>
              <w:top w:val="single" w:sz="4" w:space="0" w:color="1B556B"/>
              <w:left w:val="nil"/>
              <w:bottom w:val="single" w:sz="4" w:space="0" w:color="1B556B"/>
              <w:right w:val="nil"/>
            </w:tcBorders>
            <w:shd w:val="clear" w:color="auto" w:fill="auto"/>
            <w:noWrap/>
            <w:vAlign w:val="center"/>
            <w:hideMark/>
          </w:tcPr>
          <w:p w14:paraId="5969355E" w14:textId="77777777" w:rsidR="00994F64" w:rsidRPr="00261B7A" w:rsidRDefault="00994F64" w:rsidP="00F753BA">
            <w:pPr>
              <w:pStyle w:val="TableText"/>
              <w:spacing w:before="30" w:after="30"/>
              <w:jc w:val="center"/>
              <w:rPr>
                <w:rFonts w:cs="Calibri"/>
                <w:szCs w:val="16"/>
              </w:rPr>
            </w:pPr>
            <w:r w:rsidRPr="00261B7A">
              <w:rPr>
                <w:rFonts w:cs="Calibri"/>
                <w:szCs w:val="16"/>
              </w:rPr>
              <w:t>CS, D</w:t>
            </w:r>
          </w:p>
        </w:tc>
        <w:tc>
          <w:tcPr>
            <w:tcW w:w="709" w:type="dxa"/>
            <w:tcBorders>
              <w:top w:val="single" w:sz="4" w:space="0" w:color="1B556B"/>
              <w:left w:val="nil"/>
              <w:bottom w:val="single" w:sz="4" w:space="0" w:color="1B556B"/>
              <w:right w:val="nil"/>
            </w:tcBorders>
            <w:shd w:val="clear" w:color="auto" w:fill="auto"/>
            <w:noWrap/>
            <w:vAlign w:val="center"/>
            <w:hideMark/>
          </w:tcPr>
          <w:p w14:paraId="34314572"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6141E846"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3878B8AC"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0A515FE6"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1338C2CE" w14:textId="77777777" w:rsidTr="00582E41">
        <w:tc>
          <w:tcPr>
            <w:tcW w:w="320" w:type="dxa"/>
            <w:tcBorders>
              <w:top w:val="single" w:sz="4" w:space="0" w:color="1B556B"/>
              <w:left w:val="nil"/>
              <w:bottom w:val="single" w:sz="4" w:space="0" w:color="1B556B"/>
              <w:right w:val="nil"/>
            </w:tcBorders>
            <w:shd w:val="clear" w:color="auto" w:fill="auto"/>
            <w:noWrap/>
            <w:vAlign w:val="center"/>
            <w:hideMark/>
          </w:tcPr>
          <w:p w14:paraId="0CE374B0" w14:textId="77777777" w:rsidR="00994F64" w:rsidRPr="00261B7A" w:rsidRDefault="00994F64" w:rsidP="00F753BA">
            <w:pPr>
              <w:pStyle w:val="TableText"/>
              <w:spacing w:before="30" w:after="30"/>
              <w:rPr>
                <w:rFonts w:cs="Calibri"/>
                <w:b/>
                <w:bCs/>
                <w:szCs w:val="16"/>
              </w:rPr>
            </w:pPr>
            <w:r w:rsidRPr="00261B7A">
              <w:rPr>
                <w:rFonts w:cs="Calibri"/>
                <w:b/>
                <w:bCs/>
                <w:szCs w:val="16"/>
              </w:rPr>
              <w:t>B</w:t>
            </w:r>
          </w:p>
        </w:tc>
        <w:tc>
          <w:tcPr>
            <w:tcW w:w="3366" w:type="dxa"/>
            <w:tcBorders>
              <w:top w:val="single" w:sz="4" w:space="0" w:color="1B556B"/>
              <w:left w:val="nil"/>
              <w:bottom w:val="single" w:sz="4" w:space="0" w:color="1B556B"/>
              <w:right w:val="nil"/>
            </w:tcBorders>
            <w:shd w:val="clear" w:color="auto" w:fill="auto"/>
            <w:vAlign w:val="center"/>
            <w:hideMark/>
          </w:tcPr>
          <w:p w14:paraId="0D004B33" w14:textId="77777777" w:rsidR="00994F64" w:rsidRPr="00261B7A" w:rsidRDefault="00994F64" w:rsidP="00F753BA">
            <w:pPr>
              <w:pStyle w:val="TableText"/>
              <w:spacing w:before="30" w:after="30"/>
              <w:rPr>
                <w:rFonts w:cs="Calibri"/>
                <w:b/>
                <w:bCs/>
                <w:szCs w:val="16"/>
              </w:rPr>
            </w:pPr>
            <w:r w:rsidRPr="00261B7A">
              <w:rPr>
                <w:rFonts w:cs="Calibri"/>
                <w:b/>
                <w:bCs/>
                <w:szCs w:val="16"/>
              </w:rPr>
              <w:t>Manure Management</w:t>
            </w:r>
          </w:p>
        </w:tc>
        <w:tc>
          <w:tcPr>
            <w:tcW w:w="850" w:type="dxa"/>
            <w:tcBorders>
              <w:top w:val="single" w:sz="4" w:space="0" w:color="1B556B"/>
              <w:left w:val="nil"/>
              <w:bottom w:val="single" w:sz="4" w:space="0" w:color="1B556B"/>
              <w:right w:val="nil"/>
            </w:tcBorders>
            <w:shd w:val="clear" w:color="auto" w:fill="auto"/>
            <w:noWrap/>
            <w:vAlign w:val="center"/>
            <w:hideMark/>
          </w:tcPr>
          <w:p w14:paraId="5F518D09"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51" w:type="dxa"/>
            <w:tcBorders>
              <w:top w:val="single" w:sz="4" w:space="0" w:color="1B556B"/>
              <w:left w:val="nil"/>
              <w:bottom w:val="single" w:sz="4" w:space="0" w:color="1B556B"/>
              <w:right w:val="nil"/>
            </w:tcBorders>
            <w:shd w:val="clear" w:color="auto" w:fill="auto"/>
            <w:noWrap/>
            <w:vAlign w:val="center"/>
            <w:hideMark/>
          </w:tcPr>
          <w:p w14:paraId="569C843C"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09" w:type="dxa"/>
            <w:tcBorders>
              <w:top w:val="single" w:sz="4" w:space="0" w:color="1B556B"/>
              <w:left w:val="nil"/>
              <w:bottom w:val="single" w:sz="4" w:space="0" w:color="1B556B"/>
              <w:right w:val="nil"/>
            </w:tcBorders>
            <w:shd w:val="clear" w:color="auto" w:fill="auto"/>
            <w:noWrap/>
            <w:vAlign w:val="center"/>
            <w:hideMark/>
          </w:tcPr>
          <w:p w14:paraId="4D89D633"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3BEB4BA7"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4CC21970"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4D56BA60"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296FF33F" w14:textId="77777777" w:rsidTr="00582E41">
        <w:tc>
          <w:tcPr>
            <w:tcW w:w="320" w:type="dxa"/>
            <w:vMerge w:val="restart"/>
            <w:tcBorders>
              <w:top w:val="single" w:sz="4" w:space="0" w:color="1B556B"/>
              <w:left w:val="nil"/>
              <w:bottom w:val="single" w:sz="8" w:space="0" w:color="365F91"/>
              <w:right w:val="nil"/>
            </w:tcBorders>
            <w:shd w:val="clear" w:color="auto" w:fill="auto"/>
            <w:noWrap/>
            <w:vAlign w:val="center"/>
            <w:hideMark/>
          </w:tcPr>
          <w:p w14:paraId="039608B8" w14:textId="77777777" w:rsidR="00994F64" w:rsidRPr="00261B7A" w:rsidRDefault="00994F64" w:rsidP="00F753BA">
            <w:pPr>
              <w:pStyle w:val="TableText"/>
              <w:spacing w:before="30" w:after="30"/>
              <w:rPr>
                <w:rFonts w:cs="Calibri"/>
                <w:szCs w:val="16"/>
              </w:rPr>
            </w:pPr>
            <w:r w:rsidRPr="00261B7A">
              <w:rPr>
                <w:rFonts w:cs="Calibri"/>
                <w:szCs w:val="16"/>
              </w:rPr>
              <w:t>1</w:t>
            </w:r>
          </w:p>
        </w:tc>
        <w:tc>
          <w:tcPr>
            <w:tcW w:w="3366" w:type="dxa"/>
            <w:tcBorders>
              <w:top w:val="single" w:sz="4" w:space="0" w:color="1B556B"/>
              <w:left w:val="nil"/>
              <w:bottom w:val="nil"/>
              <w:right w:val="nil"/>
            </w:tcBorders>
            <w:shd w:val="clear" w:color="auto" w:fill="auto"/>
            <w:vAlign w:val="center"/>
            <w:hideMark/>
          </w:tcPr>
          <w:p w14:paraId="2DD930F2" w14:textId="77777777" w:rsidR="00994F64" w:rsidRPr="00261B7A" w:rsidRDefault="00994F64" w:rsidP="00F753BA">
            <w:pPr>
              <w:pStyle w:val="TableText"/>
              <w:spacing w:before="30" w:after="30"/>
              <w:rPr>
                <w:rFonts w:cs="Calibri"/>
                <w:szCs w:val="16"/>
              </w:rPr>
            </w:pPr>
            <w:r w:rsidRPr="00261B7A">
              <w:rPr>
                <w:rFonts w:cs="Calibri"/>
                <w:szCs w:val="16"/>
              </w:rPr>
              <w:t>Cattle</w:t>
            </w:r>
          </w:p>
        </w:tc>
        <w:tc>
          <w:tcPr>
            <w:tcW w:w="850" w:type="dxa"/>
            <w:tcBorders>
              <w:top w:val="single" w:sz="4" w:space="0" w:color="1B556B"/>
              <w:left w:val="nil"/>
              <w:bottom w:val="nil"/>
              <w:right w:val="nil"/>
            </w:tcBorders>
            <w:shd w:val="clear" w:color="auto" w:fill="auto"/>
            <w:noWrap/>
            <w:vAlign w:val="center"/>
            <w:hideMark/>
          </w:tcPr>
          <w:p w14:paraId="00376CF0"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51" w:type="dxa"/>
            <w:tcBorders>
              <w:top w:val="single" w:sz="4" w:space="0" w:color="1B556B"/>
              <w:left w:val="nil"/>
              <w:bottom w:val="nil"/>
              <w:right w:val="nil"/>
            </w:tcBorders>
            <w:shd w:val="clear" w:color="auto" w:fill="auto"/>
            <w:noWrap/>
            <w:vAlign w:val="center"/>
            <w:hideMark/>
          </w:tcPr>
          <w:p w14:paraId="695AEF6D"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09" w:type="dxa"/>
            <w:tcBorders>
              <w:top w:val="single" w:sz="4" w:space="0" w:color="1B556B"/>
              <w:left w:val="nil"/>
              <w:bottom w:val="nil"/>
              <w:right w:val="nil"/>
            </w:tcBorders>
            <w:shd w:val="clear" w:color="auto" w:fill="auto"/>
            <w:noWrap/>
            <w:vAlign w:val="center"/>
            <w:hideMark/>
          </w:tcPr>
          <w:p w14:paraId="60A02A4C"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94" w:type="dxa"/>
            <w:tcBorders>
              <w:top w:val="single" w:sz="4" w:space="0" w:color="1B556B"/>
              <w:left w:val="nil"/>
              <w:bottom w:val="nil"/>
              <w:right w:val="nil"/>
            </w:tcBorders>
            <w:shd w:val="clear" w:color="auto" w:fill="auto"/>
            <w:noWrap/>
            <w:vAlign w:val="center"/>
            <w:hideMark/>
          </w:tcPr>
          <w:p w14:paraId="7B839DF1"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nil"/>
              <w:right w:val="nil"/>
            </w:tcBorders>
            <w:shd w:val="clear" w:color="auto" w:fill="auto"/>
            <w:noWrap/>
            <w:vAlign w:val="center"/>
            <w:hideMark/>
          </w:tcPr>
          <w:p w14:paraId="034F1BD1"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nil"/>
              <w:right w:val="nil"/>
            </w:tcBorders>
            <w:shd w:val="clear" w:color="auto" w:fill="auto"/>
            <w:noWrap/>
            <w:vAlign w:val="center"/>
            <w:hideMark/>
          </w:tcPr>
          <w:p w14:paraId="0CEADEBF"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409BB5AD" w14:textId="77777777" w:rsidTr="00582E41">
        <w:tc>
          <w:tcPr>
            <w:tcW w:w="320" w:type="dxa"/>
            <w:vMerge/>
            <w:tcBorders>
              <w:top w:val="nil"/>
              <w:left w:val="nil"/>
              <w:bottom w:val="single" w:sz="8" w:space="0" w:color="365F91"/>
              <w:right w:val="nil"/>
            </w:tcBorders>
            <w:vAlign w:val="center"/>
            <w:hideMark/>
          </w:tcPr>
          <w:p w14:paraId="46D388A6" w14:textId="77777777" w:rsidR="00994F64" w:rsidRPr="00261B7A" w:rsidRDefault="00994F64" w:rsidP="00F753BA">
            <w:pPr>
              <w:pStyle w:val="TableText"/>
              <w:spacing w:before="30" w:after="30"/>
              <w:rPr>
                <w:rFonts w:cs="Calibri"/>
                <w:szCs w:val="16"/>
              </w:rPr>
            </w:pPr>
          </w:p>
        </w:tc>
        <w:tc>
          <w:tcPr>
            <w:tcW w:w="3366" w:type="dxa"/>
            <w:tcBorders>
              <w:top w:val="nil"/>
              <w:left w:val="nil"/>
              <w:bottom w:val="nil"/>
              <w:right w:val="nil"/>
            </w:tcBorders>
            <w:shd w:val="clear" w:color="auto" w:fill="auto"/>
            <w:vAlign w:val="center"/>
            <w:hideMark/>
          </w:tcPr>
          <w:p w14:paraId="3C2E31EB" w14:textId="77777777" w:rsidR="00994F64" w:rsidRPr="00261B7A" w:rsidRDefault="00994F64" w:rsidP="00F753BA">
            <w:pPr>
              <w:pStyle w:val="TableText"/>
              <w:spacing w:before="30" w:after="30"/>
              <w:rPr>
                <w:rFonts w:cs="Calibri"/>
                <w:szCs w:val="16"/>
              </w:rPr>
            </w:pPr>
            <w:r w:rsidRPr="00261B7A">
              <w:rPr>
                <w:rFonts w:cs="Calibri"/>
                <w:szCs w:val="16"/>
              </w:rPr>
              <w:t>Dairy Cattle</w:t>
            </w:r>
          </w:p>
        </w:tc>
        <w:tc>
          <w:tcPr>
            <w:tcW w:w="850" w:type="dxa"/>
            <w:tcBorders>
              <w:top w:val="nil"/>
              <w:left w:val="nil"/>
              <w:bottom w:val="nil"/>
              <w:right w:val="nil"/>
            </w:tcBorders>
            <w:shd w:val="clear" w:color="auto" w:fill="auto"/>
            <w:noWrap/>
            <w:vAlign w:val="center"/>
            <w:hideMark/>
          </w:tcPr>
          <w:p w14:paraId="533DCBDA" w14:textId="77777777" w:rsidR="00994F64" w:rsidRPr="00261B7A" w:rsidRDefault="00994F64" w:rsidP="00F753BA">
            <w:pPr>
              <w:pStyle w:val="TableText"/>
              <w:spacing w:before="30" w:after="30"/>
              <w:jc w:val="center"/>
              <w:rPr>
                <w:rFonts w:cs="Calibri"/>
                <w:szCs w:val="16"/>
              </w:rPr>
            </w:pPr>
            <w:r w:rsidRPr="00261B7A">
              <w:rPr>
                <w:rFonts w:cs="Calibri"/>
                <w:szCs w:val="16"/>
              </w:rPr>
              <w:t>T2</w:t>
            </w:r>
          </w:p>
        </w:tc>
        <w:tc>
          <w:tcPr>
            <w:tcW w:w="851" w:type="dxa"/>
            <w:tcBorders>
              <w:top w:val="nil"/>
              <w:left w:val="nil"/>
              <w:bottom w:val="nil"/>
              <w:right w:val="nil"/>
            </w:tcBorders>
            <w:shd w:val="clear" w:color="auto" w:fill="auto"/>
            <w:noWrap/>
            <w:vAlign w:val="center"/>
            <w:hideMark/>
          </w:tcPr>
          <w:p w14:paraId="04C24EFA" w14:textId="77777777" w:rsidR="00994F64" w:rsidRPr="00261B7A" w:rsidRDefault="00994F64" w:rsidP="00F753BA">
            <w:pPr>
              <w:pStyle w:val="TableText"/>
              <w:spacing w:before="30" w:after="30"/>
              <w:jc w:val="center"/>
              <w:rPr>
                <w:rFonts w:cs="Calibri"/>
                <w:szCs w:val="16"/>
              </w:rPr>
            </w:pPr>
            <w:r w:rsidRPr="00261B7A">
              <w:rPr>
                <w:rFonts w:cs="Calibri"/>
                <w:szCs w:val="16"/>
              </w:rPr>
              <w:t>CS</w:t>
            </w:r>
          </w:p>
        </w:tc>
        <w:tc>
          <w:tcPr>
            <w:tcW w:w="709" w:type="dxa"/>
            <w:tcBorders>
              <w:top w:val="nil"/>
              <w:left w:val="nil"/>
              <w:bottom w:val="nil"/>
              <w:right w:val="nil"/>
            </w:tcBorders>
            <w:shd w:val="clear" w:color="auto" w:fill="auto"/>
            <w:noWrap/>
            <w:vAlign w:val="center"/>
            <w:hideMark/>
          </w:tcPr>
          <w:p w14:paraId="2D5C8C10" w14:textId="77777777" w:rsidR="00994F64" w:rsidRPr="00261B7A" w:rsidRDefault="00994F64" w:rsidP="00F753BA">
            <w:pPr>
              <w:pStyle w:val="TableText"/>
              <w:spacing w:before="30" w:after="30"/>
              <w:jc w:val="center"/>
              <w:rPr>
                <w:rFonts w:cs="Calibri"/>
                <w:szCs w:val="16"/>
              </w:rPr>
            </w:pPr>
            <w:r w:rsidRPr="00261B7A">
              <w:rPr>
                <w:rFonts w:cs="Calibri"/>
                <w:szCs w:val="16"/>
              </w:rPr>
              <w:t>T2</w:t>
            </w:r>
          </w:p>
        </w:tc>
        <w:tc>
          <w:tcPr>
            <w:tcW w:w="794" w:type="dxa"/>
            <w:tcBorders>
              <w:top w:val="nil"/>
              <w:left w:val="nil"/>
              <w:bottom w:val="nil"/>
              <w:right w:val="nil"/>
            </w:tcBorders>
            <w:shd w:val="clear" w:color="auto" w:fill="auto"/>
            <w:noWrap/>
            <w:vAlign w:val="center"/>
            <w:hideMark/>
          </w:tcPr>
          <w:p w14:paraId="527600FA" w14:textId="77777777" w:rsidR="00994F64" w:rsidRPr="00261B7A" w:rsidRDefault="00994F64" w:rsidP="00F753BA">
            <w:pPr>
              <w:pStyle w:val="TableText"/>
              <w:spacing w:before="30" w:after="30"/>
              <w:jc w:val="center"/>
              <w:rPr>
                <w:rFonts w:cs="Calibri"/>
                <w:szCs w:val="16"/>
              </w:rPr>
            </w:pPr>
            <w:r w:rsidRPr="00261B7A">
              <w:rPr>
                <w:rFonts w:cs="Calibri"/>
                <w:szCs w:val="16"/>
              </w:rPr>
              <w:t>CS</w:t>
            </w:r>
          </w:p>
        </w:tc>
        <w:tc>
          <w:tcPr>
            <w:tcW w:w="812" w:type="dxa"/>
            <w:tcBorders>
              <w:top w:val="nil"/>
              <w:left w:val="nil"/>
              <w:bottom w:val="nil"/>
              <w:right w:val="nil"/>
            </w:tcBorders>
            <w:shd w:val="clear" w:color="auto" w:fill="auto"/>
            <w:noWrap/>
            <w:vAlign w:val="center"/>
            <w:hideMark/>
          </w:tcPr>
          <w:p w14:paraId="14105562"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nil"/>
              <w:left w:val="nil"/>
              <w:bottom w:val="nil"/>
              <w:right w:val="nil"/>
            </w:tcBorders>
            <w:shd w:val="clear" w:color="auto" w:fill="auto"/>
            <w:noWrap/>
            <w:vAlign w:val="center"/>
            <w:hideMark/>
          </w:tcPr>
          <w:p w14:paraId="51A84CEB"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2BD8540B" w14:textId="77777777" w:rsidTr="00582E41">
        <w:tc>
          <w:tcPr>
            <w:tcW w:w="320" w:type="dxa"/>
            <w:vMerge/>
            <w:tcBorders>
              <w:top w:val="nil"/>
              <w:left w:val="nil"/>
              <w:bottom w:val="single" w:sz="4" w:space="0" w:color="1B556B"/>
              <w:right w:val="nil"/>
            </w:tcBorders>
            <w:vAlign w:val="center"/>
            <w:hideMark/>
          </w:tcPr>
          <w:p w14:paraId="309593AD" w14:textId="77777777" w:rsidR="00994F64" w:rsidRPr="00261B7A" w:rsidRDefault="00994F64" w:rsidP="00F753BA">
            <w:pPr>
              <w:pStyle w:val="TableText"/>
              <w:spacing w:before="30" w:after="30"/>
              <w:rPr>
                <w:rFonts w:cs="Calibri"/>
                <w:szCs w:val="16"/>
              </w:rPr>
            </w:pPr>
          </w:p>
        </w:tc>
        <w:tc>
          <w:tcPr>
            <w:tcW w:w="3366" w:type="dxa"/>
            <w:tcBorders>
              <w:top w:val="nil"/>
              <w:left w:val="nil"/>
              <w:bottom w:val="single" w:sz="4" w:space="0" w:color="1B556B"/>
              <w:right w:val="nil"/>
            </w:tcBorders>
            <w:shd w:val="clear" w:color="auto" w:fill="auto"/>
            <w:vAlign w:val="center"/>
            <w:hideMark/>
          </w:tcPr>
          <w:p w14:paraId="754F27EA" w14:textId="77777777" w:rsidR="00994F64" w:rsidRPr="00261B7A" w:rsidRDefault="00994F64" w:rsidP="00F753BA">
            <w:pPr>
              <w:pStyle w:val="TableText"/>
              <w:spacing w:before="30" w:after="30"/>
              <w:rPr>
                <w:rFonts w:cs="Calibri"/>
                <w:szCs w:val="16"/>
              </w:rPr>
            </w:pPr>
            <w:r w:rsidRPr="00261B7A">
              <w:rPr>
                <w:rFonts w:cs="Calibri"/>
                <w:szCs w:val="16"/>
              </w:rPr>
              <w:t xml:space="preserve">Non-Dairy </w:t>
            </w:r>
            <w:r w:rsidRPr="00261B7A">
              <w:rPr>
                <w:rFonts w:cs="Calibri"/>
                <w:i/>
                <w:iCs/>
                <w:szCs w:val="16"/>
              </w:rPr>
              <w:t>(Beef)</w:t>
            </w:r>
            <w:r w:rsidRPr="00261B7A">
              <w:rPr>
                <w:rFonts w:cs="Calibri"/>
                <w:szCs w:val="16"/>
              </w:rPr>
              <w:t xml:space="preserve"> Cattle</w:t>
            </w:r>
          </w:p>
        </w:tc>
        <w:tc>
          <w:tcPr>
            <w:tcW w:w="850" w:type="dxa"/>
            <w:tcBorders>
              <w:top w:val="nil"/>
              <w:left w:val="nil"/>
              <w:bottom w:val="single" w:sz="4" w:space="0" w:color="1B556B"/>
              <w:right w:val="nil"/>
            </w:tcBorders>
            <w:shd w:val="clear" w:color="auto" w:fill="auto"/>
            <w:noWrap/>
            <w:vAlign w:val="center"/>
            <w:hideMark/>
          </w:tcPr>
          <w:p w14:paraId="78BB3490" w14:textId="77777777" w:rsidR="00994F64" w:rsidRPr="00261B7A" w:rsidRDefault="00994F64" w:rsidP="00F753BA">
            <w:pPr>
              <w:pStyle w:val="TableText"/>
              <w:spacing w:before="30" w:after="30"/>
              <w:jc w:val="center"/>
              <w:rPr>
                <w:rFonts w:cs="Calibri"/>
                <w:szCs w:val="16"/>
              </w:rPr>
            </w:pPr>
            <w:r w:rsidRPr="00261B7A">
              <w:rPr>
                <w:rFonts w:cs="Calibri"/>
                <w:szCs w:val="16"/>
              </w:rPr>
              <w:t>T2</w:t>
            </w:r>
          </w:p>
        </w:tc>
        <w:tc>
          <w:tcPr>
            <w:tcW w:w="851" w:type="dxa"/>
            <w:tcBorders>
              <w:top w:val="nil"/>
              <w:left w:val="nil"/>
              <w:bottom w:val="single" w:sz="4" w:space="0" w:color="1B556B"/>
              <w:right w:val="nil"/>
            </w:tcBorders>
            <w:shd w:val="clear" w:color="auto" w:fill="auto"/>
            <w:noWrap/>
            <w:vAlign w:val="center"/>
            <w:hideMark/>
          </w:tcPr>
          <w:p w14:paraId="40DC828E" w14:textId="77777777" w:rsidR="00994F64" w:rsidRPr="00261B7A" w:rsidRDefault="00994F64" w:rsidP="00F753BA">
            <w:pPr>
              <w:pStyle w:val="TableText"/>
              <w:spacing w:before="30" w:after="30"/>
              <w:jc w:val="center"/>
              <w:rPr>
                <w:rFonts w:cs="Calibri"/>
                <w:szCs w:val="16"/>
              </w:rPr>
            </w:pPr>
            <w:r w:rsidRPr="00261B7A">
              <w:rPr>
                <w:rFonts w:cs="Calibri"/>
                <w:szCs w:val="16"/>
              </w:rPr>
              <w:t>CS</w:t>
            </w:r>
          </w:p>
        </w:tc>
        <w:tc>
          <w:tcPr>
            <w:tcW w:w="709" w:type="dxa"/>
            <w:tcBorders>
              <w:top w:val="nil"/>
              <w:left w:val="nil"/>
              <w:bottom w:val="single" w:sz="4" w:space="0" w:color="1B556B"/>
              <w:right w:val="nil"/>
            </w:tcBorders>
            <w:shd w:val="clear" w:color="auto" w:fill="auto"/>
            <w:noWrap/>
            <w:vAlign w:val="center"/>
            <w:hideMark/>
          </w:tcPr>
          <w:p w14:paraId="6689605E" w14:textId="77777777" w:rsidR="00994F64" w:rsidRPr="00261B7A" w:rsidRDefault="00994F64" w:rsidP="00F753BA">
            <w:pPr>
              <w:pStyle w:val="TableText"/>
              <w:spacing w:before="30" w:after="30"/>
              <w:jc w:val="center"/>
              <w:rPr>
                <w:rFonts w:cs="Calibri"/>
                <w:szCs w:val="16"/>
              </w:rPr>
            </w:pPr>
            <w:r w:rsidRPr="00261B7A">
              <w:rPr>
                <w:rFonts w:cs="Calibri"/>
                <w:szCs w:val="16"/>
              </w:rPr>
              <w:t>NA</w:t>
            </w:r>
          </w:p>
        </w:tc>
        <w:tc>
          <w:tcPr>
            <w:tcW w:w="794" w:type="dxa"/>
            <w:tcBorders>
              <w:top w:val="nil"/>
              <w:left w:val="nil"/>
              <w:bottom w:val="single" w:sz="4" w:space="0" w:color="1B556B"/>
              <w:right w:val="nil"/>
            </w:tcBorders>
            <w:shd w:val="clear" w:color="auto" w:fill="auto"/>
            <w:noWrap/>
            <w:vAlign w:val="center"/>
            <w:hideMark/>
          </w:tcPr>
          <w:p w14:paraId="3F42EDBC" w14:textId="77777777" w:rsidR="00994F64" w:rsidRPr="00261B7A" w:rsidRDefault="00994F64" w:rsidP="00F753BA">
            <w:pPr>
              <w:pStyle w:val="TableText"/>
              <w:spacing w:before="30" w:after="30"/>
              <w:jc w:val="center"/>
              <w:rPr>
                <w:rFonts w:cs="Calibri"/>
                <w:szCs w:val="16"/>
              </w:rPr>
            </w:pPr>
            <w:r w:rsidRPr="00261B7A">
              <w:rPr>
                <w:rFonts w:cs="Calibri"/>
                <w:szCs w:val="16"/>
              </w:rPr>
              <w:t>NA</w:t>
            </w:r>
          </w:p>
        </w:tc>
        <w:tc>
          <w:tcPr>
            <w:tcW w:w="812" w:type="dxa"/>
            <w:tcBorders>
              <w:top w:val="nil"/>
              <w:left w:val="nil"/>
              <w:bottom w:val="single" w:sz="4" w:space="0" w:color="1B556B"/>
              <w:right w:val="nil"/>
            </w:tcBorders>
            <w:shd w:val="clear" w:color="auto" w:fill="auto"/>
            <w:noWrap/>
            <w:vAlign w:val="center"/>
            <w:hideMark/>
          </w:tcPr>
          <w:p w14:paraId="05A71B3E"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nil"/>
              <w:left w:val="nil"/>
              <w:bottom w:val="single" w:sz="4" w:space="0" w:color="1B556B"/>
              <w:right w:val="nil"/>
            </w:tcBorders>
            <w:shd w:val="clear" w:color="auto" w:fill="auto"/>
            <w:noWrap/>
            <w:vAlign w:val="center"/>
            <w:hideMark/>
          </w:tcPr>
          <w:p w14:paraId="76CCDA1C"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19B11DB6" w14:textId="77777777" w:rsidTr="00582E41">
        <w:tc>
          <w:tcPr>
            <w:tcW w:w="320" w:type="dxa"/>
            <w:tcBorders>
              <w:top w:val="single" w:sz="4" w:space="0" w:color="1B556B"/>
              <w:left w:val="nil"/>
              <w:right w:val="nil"/>
            </w:tcBorders>
            <w:shd w:val="clear" w:color="auto" w:fill="auto"/>
            <w:noWrap/>
            <w:vAlign w:val="center"/>
            <w:hideMark/>
          </w:tcPr>
          <w:p w14:paraId="251CE4D1" w14:textId="77777777" w:rsidR="00994F64" w:rsidRPr="00261B7A" w:rsidRDefault="00994F64" w:rsidP="00F753BA">
            <w:pPr>
              <w:pStyle w:val="TableText"/>
              <w:spacing w:before="30" w:after="30"/>
              <w:rPr>
                <w:rFonts w:cs="Calibri"/>
                <w:szCs w:val="16"/>
              </w:rPr>
            </w:pPr>
            <w:r w:rsidRPr="00261B7A">
              <w:rPr>
                <w:rFonts w:cs="Calibri"/>
                <w:szCs w:val="16"/>
              </w:rPr>
              <w:t>2</w:t>
            </w:r>
          </w:p>
        </w:tc>
        <w:tc>
          <w:tcPr>
            <w:tcW w:w="3366" w:type="dxa"/>
            <w:tcBorders>
              <w:top w:val="single" w:sz="4" w:space="0" w:color="1B556B"/>
              <w:left w:val="nil"/>
              <w:right w:val="nil"/>
            </w:tcBorders>
            <w:shd w:val="clear" w:color="auto" w:fill="auto"/>
            <w:vAlign w:val="center"/>
            <w:hideMark/>
          </w:tcPr>
          <w:p w14:paraId="6082EFF4" w14:textId="77777777" w:rsidR="00994F64" w:rsidRPr="00261B7A" w:rsidRDefault="00994F64" w:rsidP="00F753BA">
            <w:pPr>
              <w:pStyle w:val="TableText"/>
              <w:spacing w:before="30" w:after="30"/>
              <w:rPr>
                <w:rFonts w:cs="Calibri"/>
                <w:szCs w:val="16"/>
              </w:rPr>
            </w:pPr>
            <w:r w:rsidRPr="00261B7A">
              <w:rPr>
                <w:rFonts w:cs="Calibri"/>
                <w:szCs w:val="16"/>
              </w:rPr>
              <w:t xml:space="preserve">Sheep </w:t>
            </w:r>
          </w:p>
        </w:tc>
        <w:tc>
          <w:tcPr>
            <w:tcW w:w="850" w:type="dxa"/>
            <w:tcBorders>
              <w:top w:val="single" w:sz="4" w:space="0" w:color="1B556B"/>
              <w:left w:val="nil"/>
              <w:right w:val="nil"/>
            </w:tcBorders>
            <w:shd w:val="clear" w:color="auto" w:fill="auto"/>
            <w:noWrap/>
            <w:vAlign w:val="center"/>
            <w:hideMark/>
          </w:tcPr>
          <w:p w14:paraId="1A3C4F2A" w14:textId="77777777" w:rsidR="00994F64" w:rsidRPr="00261B7A" w:rsidRDefault="00994F64" w:rsidP="00F753BA">
            <w:pPr>
              <w:pStyle w:val="TableText"/>
              <w:spacing w:before="30" w:after="30"/>
              <w:jc w:val="center"/>
              <w:rPr>
                <w:rFonts w:cs="Calibri"/>
                <w:szCs w:val="16"/>
              </w:rPr>
            </w:pPr>
            <w:r w:rsidRPr="00261B7A">
              <w:rPr>
                <w:rFonts w:cs="Calibri"/>
                <w:szCs w:val="16"/>
              </w:rPr>
              <w:t>T2</w:t>
            </w:r>
          </w:p>
        </w:tc>
        <w:tc>
          <w:tcPr>
            <w:tcW w:w="851" w:type="dxa"/>
            <w:tcBorders>
              <w:top w:val="single" w:sz="4" w:space="0" w:color="1B556B"/>
              <w:left w:val="nil"/>
              <w:right w:val="nil"/>
            </w:tcBorders>
            <w:shd w:val="clear" w:color="auto" w:fill="auto"/>
            <w:noWrap/>
            <w:vAlign w:val="center"/>
            <w:hideMark/>
          </w:tcPr>
          <w:p w14:paraId="16B5CAD6" w14:textId="77777777" w:rsidR="00994F64" w:rsidRPr="00261B7A" w:rsidRDefault="00994F64" w:rsidP="00F753BA">
            <w:pPr>
              <w:pStyle w:val="TableText"/>
              <w:spacing w:before="30" w:after="30"/>
              <w:jc w:val="center"/>
              <w:rPr>
                <w:rFonts w:cs="Calibri"/>
                <w:szCs w:val="16"/>
              </w:rPr>
            </w:pPr>
            <w:r w:rsidRPr="00261B7A">
              <w:rPr>
                <w:rFonts w:cs="Calibri"/>
                <w:szCs w:val="16"/>
              </w:rPr>
              <w:t>CS</w:t>
            </w:r>
          </w:p>
        </w:tc>
        <w:tc>
          <w:tcPr>
            <w:tcW w:w="709" w:type="dxa"/>
            <w:tcBorders>
              <w:top w:val="single" w:sz="4" w:space="0" w:color="1B556B"/>
              <w:left w:val="nil"/>
              <w:right w:val="nil"/>
            </w:tcBorders>
            <w:shd w:val="clear" w:color="auto" w:fill="auto"/>
            <w:noWrap/>
            <w:vAlign w:val="center"/>
            <w:hideMark/>
          </w:tcPr>
          <w:p w14:paraId="57333FA5" w14:textId="77777777" w:rsidR="00994F64" w:rsidRPr="00261B7A" w:rsidRDefault="00994F64" w:rsidP="00F753BA">
            <w:pPr>
              <w:pStyle w:val="TableText"/>
              <w:spacing w:before="30" w:after="30"/>
              <w:jc w:val="center"/>
              <w:rPr>
                <w:rFonts w:cs="Calibri"/>
                <w:szCs w:val="16"/>
              </w:rPr>
            </w:pPr>
            <w:r w:rsidRPr="00261B7A">
              <w:rPr>
                <w:rFonts w:cs="Calibri"/>
                <w:szCs w:val="16"/>
              </w:rPr>
              <w:t>NA</w:t>
            </w:r>
          </w:p>
        </w:tc>
        <w:tc>
          <w:tcPr>
            <w:tcW w:w="794" w:type="dxa"/>
            <w:tcBorders>
              <w:top w:val="single" w:sz="4" w:space="0" w:color="1B556B"/>
              <w:left w:val="nil"/>
              <w:right w:val="nil"/>
            </w:tcBorders>
            <w:shd w:val="clear" w:color="auto" w:fill="auto"/>
            <w:noWrap/>
            <w:vAlign w:val="center"/>
            <w:hideMark/>
          </w:tcPr>
          <w:p w14:paraId="641D76DA" w14:textId="77777777" w:rsidR="00994F64" w:rsidRPr="00261B7A" w:rsidRDefault="00994F64" w:rsidP="00F753BA">
            <w:pPr>
              <w:pStyle w:val="TableText"/>
              <w:spacing w:before="30" w:after="30"/>
              <w:jc w:val="center"/>
              <w:rPr>
                <w:rFonts w:cs="Calibri"/>
                <w:szCs w:val="16"/>
              </w:rPr>
            </w:pPr>
            <w:r w:rsidRPr="00261B7A">
              <w:rPr>
                <w:rFonts w:cs="Calibri"/>
                <w:szCs w:val="16"/>
              </w:rPr>
              <w:t>NA</w:t>
            </w:r>
          </w:p>
        </w:tc>
        <w:tc>
          <w:tcPr>
            <w:tcW w:w="812" w:type="dxa"/>
            <w:tcBorders>
              <w:top w:val="single" w:sz="4" w:space="0" w:color="1B556B"/>
              <w:left w:val="nil"/>
              <w:right w:val="nil"/>
            </w:tcBorders>
            <w:shd w:val="clear" w:color="auto" w:fill="auto"/>
            <w:noWrap/>
            <w:vAlign w:val="center"/>
            <w:hideMark/>
          </w:tcPr>
          <w:p w14:paraId="59658833"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right w:val="nil"/>
            </w:tcBorders>
            <w:shd w:val="clear" w:color="auto" w:fill="auto"/>
            <w:noWrap/>
            <w:vAlign w:val="center"/>
            <w:hideMark/>
          </w:tcPr>
          <w:p w14:paraId="2726E1CC"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12442934" w14:textId="77777777" w:rsidTr="00582E41">
        <w:tc>
          <w:tcPr>
            <w:tcW w:w="320" w:type="dxa"/>
            <w:tcBorders>
              <w:left w:val="nil"/>
              <w:bottom w:val="single" w:sz="4" w:space="0" w:color="1B556B"/>
              <w:right w:val="nil"/>
            </w:tcBorders>
            <w:shd w:val="clear" w:color="auto" w:fill="auto"/>
            <w:noWrap/>
            <w:vAlign w:val="center"/>
            <w:hideMark/>
          </w:tcPr>
          <w:p w14:paraId="3ACD9759" w14:textId="77777777" w:rsidR="00994F64" w:rsidRPr="00261B7A" w:rsidRDefault="00994F64" w:rsidP="00F753BA">
            <w:pPr>
              <w:pStyle w:val="TableText"/>
              <w:spacing w:before="30" w:after="30"/>
              <w:rPr>
                <w:rFonts w:cs="Calibri"/>
                <w:szCs w:val="16"/>
              </w:rPr>
            </w:pPr>
            <w:r w:rsidRPr="00261B7A">
              <w:rPr>
                <w:rFonts w:cs="Calibri"/>
                <w:szCs w:val="16"/>
              </w:rPr>
              <w:t>3</w:t>
            </w:r>
          </w:p>
        </w:tc>
        <w:tc>
          <w:tcPr>
            <w:tcW w:w="3366" w:type="dxa"/>
            <w:tcBorders>
              <w:left w:val="nil"/>
              <w:bottom w:val="single" w:sz="4" w:space="0" w:color="1B556B"/>
              <w:right w:val="nil"/>
            </w:tcBorders>
            <w:shd w:val="clear" w:color="auto" w:fill="auto"/>
            <w:vAlign w:val="center"/>
            <w:hideMark/>
          </w:tcPr>
          <w:p w14:paraId="7C340F10" w14:textId="77777777" w:rsidR="00994F64" w:rsidRPr="00261B7A" w:rsidRDefault="00994F64" w:rsidP="00F753BA">
            <w:pPr>
              <w:pStyle w:val="TableText"/>
              <w:spacing w:before="30" w:after="30"/>
              <w:rPr>
                <w:rFonts w:cs="Calibri"/>
                <w:szCs w:val="16"/>
              </w:rPr>
            </w:pPr>
            <w:r w:rsidRPr="00261B7A">
              <w:rPr>
                <w:rFonts w:cs="Calibri"/>
                <w:szCs w:val="16"/>
              </w:rPr>
              <w:t>Swine</w:t>
            </w:r>
          </w:p>
        </w:tc>
        <w:tc>
          <w:tcPr>
            <w:tcW w:w="850" w:type="dxa"/>
            <w:tcBorders>
              <w:left w:val="nil"/>
              <w:bottom w:val="single" w:sz="4" w:space="0" w:color="1B556B"/>
              <w:right w:val="nil"/>
            </w:tcBorders>
            <w:shd w:val="clear" w:color="auto" w:fill="auto"/>
            <w:noWrap/>
            <w:vAlign w:val="center"/>
            <w:hideMark/>
          </w:tcPr>
          <w:p w14:paraId="7432E1EE" w14:textId="77777777" w:rsidR="00994F64" w:rsidRPr="00261B7A" w:rsidRDefault="00994F64" w:rsidP="00F753BA">
            <w:pPr>
              <w:pStyle w:val="TableText"/>
              <w:spacing w:before="30" w:after="30"/>
              <w:jc w:val="center"/>
              <w:rPr>
                <w:rFonts w:cs="Calibri"/>
                <w:szCs w:val="16"/>
              </w:rPr>
            </w:pPr>
            <w:r w:rsidRPr="00261B7A">
              <w:rPr>
                <w:rFonts w:cs="Calibri"/>
                <w:szCs w:val="16"/>
              </w:rPr>
              <w:t>T1</w:t>
            </w:r>
          </w:p>
        </w:tc>
        <w:tc>
          <w:tcPr>
            <w:tcW w:w="851" w:type="dxa"/>
            <w:tcBorders>
              <w:left w:val="nil"/>
              <w:bottom w:val="single" w:sz="4" w:space="0" w:color="1B556B"/>
              <w:right w:val="nil"/>
            </w:tcBorders>
            <w:shd w:val="clear" w:color="auto" w:fill="auto"/>
            <w:noWrap/>
            <w:vAlign w:val="center"/>
            <w:hideMark/>
          </w:tcPr>
          <w:p w14:paraId="5F1250E2" w14:textId="77777777" w:rsidR="00994F64" w:rsidRPr="00261B7A" w:rsidRDefault="00994F64" w:rsidP="00F753BA">
            <w:pPr>
              <w:pStyle w:val="TableText"/>
              <w:spacing w:before="30" w:after="30"/>
              <w:jc w:val="center"/>
              <w:rPr>
                <w:rFonts w:cs="Calibri"/>
                <w:szCs w:val="16"/>
              </w:rPr>
            </w:pPr>
            <w:r w:rsidRPr="00261B7A">
              <w:rPr>
                <w:rFonts w:cs="Calibri"/>
                <w:szCs w:val="16"/>
              </w:rPr>
              <w:t>CS</w:t>
            </w:r>
          </w:p>
        </w:tc>
        <w:tc>
          <w:tcPr>
            <w:tcW w:w="709" w:type="dxa"/>
            <w:tcBorders>
              <w:left w:val="nil"/>
              <w:bottom w:val="single" w:sz="4" w:space="0" w:color="1B556B"/>
              <w:right w:val="nil"/>
            </w:tcBorders>
            <w:shd w:val="clear" w:color="auto" w:fill="auto"/>
            <w:noWrap/>
            <w:vAlign w:val="center"/>
            <w:hideMark/>
          </w:tcPr>
          <w:p w14:paraId="5CB5DDD1" w14:textId="77777777" w:rsidR="00994F64" w:rsidRPr="00261B7A" w:rsidRDefault="00994F64" w:rsidP="00F753BA">
            <w:pPr>
              <w:pStyle w:val="TableText"/>
              <w:spacing w:before="30" w:after="30"/>
              <w:jc w:val="center"/>
              <w:rPr>
                <w:rFonts w:cs="Calibri"/>
                <w:szCs w:val="16"/>
              </w:rPr>
            </w:pPr>
            <w:r w:rsidRPr="00261B7A">
              <w:rPr>
                <w:rFonts w:cs="Calibri"/>
                <w:szCs w:val="16"/>
              </w:rPr>
              <w:t>T1</w:t>
            </w:r>
          </w:p>
        </w:tc>
        <w:tc>
          <w:tcPr>
            <w:tcW w:w="794" w:type="dxa"/>
            <w:tcBorders>
              <w:left w:val="nil"/>
              <w:bottom w:val="single" w:sz="4" w:space="0" w:color="1B556B"/>
              <w:right w:val="nil"/>
            </w:tcBorders>
            <w:shd w:val="clear" w:color="auto" w:fill="auto"/>
            <w:noWrap/>
            <w:vAlign w:val="center"/>
            <w:hideMark/>
          </w:tcPr>
          <w:p w14:paraId="480B9476" w14:textId="77777777" w:rsidR="00994F64" w:rsidRPr="00261B7A" w:rsidRDefault="00994F64" w:rsidP="00F753BA">
            <w:pPr>
              <w:pStyle w:val="TableText"/>
              <w:spacing w:before="30" w:after="30"/>
              <w:jc w:val="center"/>
              <w:rPr>
                <w:rFonts w:cs="Calibri"/>
                <w:szCs w:val="16"/>
              </w:rPr>
            </w:pPr>
            <w:r w:rsidRPr="00261B7A">
              <w:rPr>
                <w:rFonts w:cs="Calibri"/>
                <w:szCs w:val="16"/>
              </w:rPr>
              <w:t>CS</w:t>
            </w:r>
          </w:p>
        </w:tc>
        <w:tc>
          <w:tcPr>
            <w:tcW w:w="812" w:type="dxa"/>
            <w:tcBorders>
              <w:left w:val="nil"/>
              <w:bottom w:val="single" w:sz="4" w:space="0" w:color="1B556B"/>
              <w:right w:val="nil"/>
            </w:tcBorders>
            <w:shd w:val="clear" w:color="auto" w:fill="auto"/>
            <w:noWrap/>
            <w:vAlign w:val="center"/>
            <w:hideMark/>
          </w:tcPr>
          <w:p w14:paraId="7F4B3E2B"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left w:val="nil"/>
              <w:bottom w:val="single" w:sz="4" w:space="0" w:color="1B556B"/>
              <w:right w:val="nil"/>
            </w:tcBorders>
            <w:shd w:val="clear" w:color="auto" w:fill="auto"/>
            <w:noWrap/>
            <w:vAlign w:val="center"/>
            <w:hideMark/>
          </w:tcPr>
          <w:p w14:paraId="049CE685"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497B52DA" w14:textId="77777777" w:rsidTr="00582E41">
        <w:tc>
          <w:tcPr>
            <w:tcW w:w="320" w:type="dxa"/>
            <w:vMerge w:val="restart"/>
            <w:tcBorders>
              <w:top w:val="single" w:sz="4" w:space="0" w:color="1B556B"/>
              <w:left w:val="nil"/>
              <w:bottom w:val="single" w:sz="8" w:space="0" w:color="365F91"/>
              <w:right w:val="nil"/>
            </w:tcBorders>
            <w:shd w:val="clear" w:color="auto" w:fill="auto"/>
            <w:noWrap/>
            <w:vAlign w:val="center"/>
            <w:hideMark/>
          </w:tcPr>
          <w:p w14:paraId="5BED5BCC" w14:textId="77777777" w:rsidR="00994F64" w:rsidRPr="00261B7A" w:rsidRDefault="00994F64" w:rsidP="00F753BA">
            <w:pPr>
              <w:pStyle w:val="TableText"/>
              <w:spacing w:before="30" w:after="30"/>
              <w:rPr>
                <w:rFonts w:cs="Calibri"/>
                <w:szCs w:val="16"/>
              </w:rPr>
            </w:pPr>
            <w:r w:rsidRPr="00261B7A">
              <w:rPr>
                <w:rFonts w:cs="Calibri"/>
                <w:szCs w:val="16"/>
              </w:rPr>
              <w:t>4</w:t>
            </w:r>
          </w:p>
        </w:tc>
        <w:tc>
          <w:tcPr>
            <w:tcW w:w="3366" w:type="dxa"/>
            <w:tcBorders>
              <w:top w:val="single" w:sz="4" w:space="0" w:color="1B556B"/>
              <w:left w:val="nil"/>
              <w:bottom w:val="nil"/>
              <w:right w:val="nil"/>
            </w:tcBorders>
            <w:shd w:val="clear" w:color="auto" w:fill="auto"/>
            <w:vAlign w:val="center"/>
            <w:hideMark/>
          </w:tcPr>
          <w:p w14:paraId="3BE78BE2" w14:textId="77777777" w:rsidR="00994F64" w:rsidRPr="00261B7A" w:rsidRDefault="00994F64" w:rsidP="00F753BA">
            <w:pPr>
              <w:pStyle w:val="TableText"/>
              <w:spacing w:before="30" w:after="30"/>
              <w:rPr>
                <w:rFonts w:cs="Calibri"/>
                <w:szCs w:val="16"/>
              </w:rPr>
            </w:pPr>
            <w:r w:rsidRPr="00261B7A">
              <w:rPr>
                <w:rFonts w:cs="Calibri"/>
                <w:szCs w:val="16"/>
              </w:rPr>
              <w:t>Poultry</w:t>
            </w:r>
          </w:p>
        </w:tc>
        <w:tc>
          <w:tcPr>
            <w:tcW w:w="850" w:type="dxa"/>
            <w:tcBorders>
              <w:top w:val="single" w:sz="4" w:space="0" w:color="1B556B"/>
              <w:left w:val="nil"/>
              <w:bottom w:val="nil"/>
              <w:right w:val="nil"/>
            </w:tcBorders>
            <w:shd w:val="clear" w:color="auto" w:fill="auto"/>
            <w:noWrap/>
            <w:vAlign w:val="center"/>
            <w:hideMark/>
          </w:tcPr>
          <w:p w14:paraId="3CEE30B9" w14:textId="77777777" w:rsidR="00994F64" w:rsidRPr="00261B7A" w:rsidRDefault="00994F64" w:rsidP="00F753BA">
            <w:pPr>
              <w:pStyle w:val="TableText"/>
              <w:spacing w:before="30" w:after="30"/>
              <w:jc w:val="center"/>
              <w:rPr>
                <w:rFonts w:cs="Calibri"/>
                <w:szCs w:val="16"/>
              </w:rPr>
            </w:pPr>
            <w:r w:rsidRPr="00261B7A">
              <w:rPr>
                <w:rFonts w:cs="Calibri"/>
                <w:szCs w:val="16"/>
              </w:rPr>
              <w:t>T1</w:t>
            </w:r>
          </w:p>
        </w:tc>
        <w:tc>
          <w:tcPr>
            <w:tcW w:w="851" w:type="dxa"/>
            <w:tcBorders>
              <w:top w:val="single" w:sz="4" w:space="0" w:color="1B556B"/>
              <w:left w:val="nil"/>
              <w:bottom w:val="nil"/>
              <w:right w:val="nil"/>
            </w:tcBorders>
            <w:shd w:val="clear" w:color="auto" w:fill="auto"/>
            <w:noWrap/>
            <w:vAlign w:val="center"/>
            <w:hideMark/>
          </w:tcPr>
          <w:p w14:paraId="18CFF7F6" w14:textId="77777777" w:rsidR="00994F64" w:rsidRPr="00261B7A" w:rsidRDefault="00994F64" w:rsidP="00F753BA">
            <w:pPr>
              <w:pStyle w:val="TableText"/>
              <w:spacing w:before="30" w:after="30"/>
              <w:jc w:val="center"/>
              <w:rPr>
                <w:rFonts w:cs="Calibri"/>
                <w:szCs w:val="16"/>
              </w:rPr>
            </w:pPr>
            <w:r w:rsidRPr="00261B7A">
              <w:rPr>
                <w:rFonts w:cs="Calibri"/>
                <w:szCs w:val="16"/>
              </w:rPr>
              <w:t>D</w:t>
            </w:r>
          </w:p>
        </w:tc>
        <w:tc>
          <w:tcPr>
            <w:tcW w:w="709" w:type="dxa"/>
            <w:tcBorders>
              <w:top w:val="single" w:sz="4" w:space="0" w:color="1B556B"/>
              <w:left w:val="nil"/>
              <w:bottom w:val="nil"/>
              <w:right w:val="nil"/>
            </w:tcBorders>
            <w:shd w:val="clear" w:color="auto" w:fill="auto"/>
            <w:noWrap/>
            <w:vAlign w:val="center"/>
            <w:hideMark/>
          </w:tcPr>
          <w:p w14:paraId="7D68482B" w14:textId="77777777" w:rsidR="00994F64" w:rsidRPr="00261B7A" w:rsidRDefault="00994F64" w:rsidP="00F753BA">
            <w:pPr>
              <w:pStyle w:val="TableText"/>
              <w:spacing w:before="30" w:after="30"/>
              <w:jc w:val="center"/>
              <w:rPr>
                <w:rFonts w:cs="Calibri"/>
                <w:szCs w:val="16"/>
              </w:rPr>
            </w:pPr>
            <w:r w:rsidRPr="00261B7A">
              <w:rPr>
                <w:rFonts w:cs="Calibri"/>
                <w:szCs w:val="16"/>
              </w:rPr>
              <w:t>T1</w:t>
            </w:r>
          </w:p>
        </w:tc>
        <w:tc>
          <w:tcPr>
            <w:tcW w:w="794" w:type="dxa"/>
            <w:tcBorders>
              <w:top w:val="single" w:sz="4" w:space="0" w:color="1B556B"/>
              <w:left w:val="nil"/>
              <w:bottom w:val="nil"/>
              <w:right w:val="nil"/>
            </w:tcBorders>
            <w:shd w:val="clear" w:color="auto" w:fill="auto"/>
            <w:noWrap/>
            <w:vAlign w:val="center"/>
            <w:hideMark/>
          </w:tcPr>
          <w:p w14:paraId="24A5957B" w14:textId="77777777" w:rsidR="00994F64" w:rsidRPr="00261B7A" w:rsidRDefault="00994F64" w:rsidP="00F753BA">
            <w:pPr>
              <w:pStyle w:val="TableText"/>
              <w:spacing w:before="30" w:after="30"/>
              <w:jc w:val="center"/>
              <w:rPr>
                <w:rFonts w:cs="Calibri"/>
                <w:szCs w:val="16"/>
              </w:rPr>
            </w:pPr>
            <w:r w:rsidRPr="00261B7A">
              <w:rPr>
                <w:rFonts w:cs="Calibri"/>
                <w:szCs w:val="16"/>
              </w:rPr>
              <w:t>CS</w:t>
            </w:r>
          </w:p>
        </w:tc>
        <w:tc>
          <w:tcPr>
            <w:tcW w:w="812" w:type="dxa"/>
            <w:tcBorders>
              <w:top w:val="single" w:sz="4" w:space="0" w:color="1B556B"/>
              <w:left w:val="nil"/>
              <w:bottom w:val="nil"/>
              <w:right w:val="nil"/>
            </w:tcBorders>
            <w:shd w:val="clear" w:color="auto" w:fill="auto"/>
            <w:noWrap/>
            <w:vAlign w:val="center"/>
            <w:hideMark/>
          </w:tcPr>
          <w:p w14:paraId="7F644CE5"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nil"/>
              <w:right w:val="nil"/>
            </w:tcBorders>
            <w:shd w:val="clear" w:color="auto" w:fill="auto"/>
            <w:noWrap/>
            <w:vAlign w:val="center"/>
            <w:hideMark/>
          </w:tcPr>
          <w:p w14:paraId="45E6FCC1"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487F9ABD" w14:textId="77777777" w:rsidTr="00582E41">
        <w:tc>
          <w:tcPr>
            <w:tcW w:w="320" w:type="dxa"/>
            <w:vMerge/>
            <w:tcBorders>
              <w:top w:val="nil"/>
              <w:left w:val="nil"/>
              <w:bottom w:val="single" w:sz="4" w:space="0" w:color="1B556B"/>
              <w:right w:val="nil"/>
            </w:tcBorders>
            <w:vAlign w:val="center"/>
            <w:hideMark/>
          </w:tcPr>
          <w:p w14:paraId="1B264DC3" w14:textId="77777777" w:rsidR="00994F64" w:rsidRPr="00261B7A" w:rsidRDefault="00994F64" w:rsidP="00F753BA">
            <w:pPr>
              <w:pStyle w:val="TableText"/>
              <w:spacing w:before="30" w:after="30"/>
              <w:rPr>
                <w:rFonts w:cs="Calibri"/>
                <w:szCs w:val="16"/>
              </w:rPr>
            </w:pPr>
          </w:p>
        </w:tc>
        <w:tc>
          <w:tcPr>
            <w:tcW w:w="3366" w:type="dxa"/>
            <w:tcBorders>
              <w:top w:val="nil"/>
              <w:left w:val="nil"/>
              <w:bottom w:val="single" w:sz="4" w:space="0" w:color="1B556B"/>
              <w:right w:val="nil"/>
            </w:tcBorders>
            <w:shd w:val="clear" w:color="auto" w:fill="auto"/>
            <w:vAlign w:val="center"/>
            <w:hideMark/>
          </w:tcPr>
          <w:p w14:paraId="27820024" w14:textId="77777777" w:rsidR="00994F64" w:rsidRPr="00261B7A" w:rsidRDefault="00994F64" w:rsidP="00F753BA">
            <w:pPr>
              <w:pStyle w:val="TableText"/>
              <w:spacing w:before="30" w:after="30"/>
              <w:rPr>
                <w:rFonts w:cs="Calibri"/>
                <w:szCs w:val="16"/>
              </w:rPr>
            </w:pPr>
            <w:r w:rsidRPr="00261B7A">
              <w:rPr>
                <w:rFonts w:cs="Calibri"/>
                <w:szCs w:val="16"/>
              </w:rPr>
              <w:t>Other Livestock (Buffalo, Camels, Deer, Goats, Horses, Mules and Asses)</w:t>
            </w:r>
          </w:p>
        </w:tc>
        <w:tc>
          <w:tcPr>
            <w:tcW w:w="850" w:type="dxa"/>
            <w:tcBorders>
              <w:top w:val="nil"/>
              <w:left w:val="nil"/>
              <w:bottom w:val="single" w:sz="4" w:space="0" w:color="1B556B"/>
              <w:right w:val="nil"/>
            </w:tcBorders>
            <w:shd w:val="clear" w:color="auto" w:fill="auto"/>
            <w:noWrap/>
            <w:vAlign w:val="center"/>
            <w:hideMark/>
          </w:tcPr>
          <w:p w14:paraId="414C37CD" w14:textId="77777777" w:rsidR="00994F64" w:rsidRPr="00261B7A" w:rsidRDefault="00994F64" w:rsidP="00F753BA">
            <w:pPr>
              <w:pStyle w:val="TableText"/>
              <w:spacing w:before="30" w:after="30"/>
              <w:jc w:val="center"/>
              <w:rPr>
                <w:rFonts w:cs="Calibri"/>
                <w:szCs w:val="16"/>
              </w:rPr>
            </w:pPr>
            <w:r w:rsidRPr="00261B7A">
              <w:rPr>
                <w:rFonts w:cs="Calibri"/>
                <w:szCs w:val="16"/>
              </w:rPr>
              <w:t>T1, T2</w:t>
            </w:r>
          </w:p>
        </w:tc>
        <w:tc>
          <w:tcPr>
            <w:tcW w:w="851" w:type="dxa"/>
            <w:tcBorders>
              <w:top w:val="nil"/>
              <w:left w:val="nil"/>
              <w:bottom w:val="single" w:sz="4" w:space="0" w:color="1B556B"/>
              <w:right w:val="nil"/>
            </w:tcBorders>
            <w:shd w:val="clear" w:color="auto" w:fill="auto"/>
            <w:noWrap/>
            <w:vAlign w:val="center"/>
            <w:hideMark/>
          </w:tcPr>
          <w:p w14:paraId="24057B55" w14:textId="77777777" w:rsidR="00994F64" w:rsidRPr="00261B7A" w:rsidRDefault="00994F64" w:rsidP="00F753BA">
            <w:pPr>
              <w:pStyle w:val="TableText"/>
              <w:spacing w:before="30" w:after="30"/>
              <w:jc w:val="center"/>
              <w:rPr>
                <w:rFonts w:cs="Calibri"/>
                <w:szCs w:val="16"/>
              </w:rPr>
            </w:pPr>
            <w:r w:rsidRPr="00261B7A">
              <w:rPr>
                <w:rFonts w:cs="Calibri"/>
                <w:szCs w:val="16"/>
              </w:rPr>
              <w:t>CS, D</w:t>
            </w:r>
          </w:p>
        </w:tc>
        <w:tc>
          <w:tcPr>
            <w:tcW w:w="709" w:type="dxa"/>
            <w:tcBorders>
              <w:top w:val="nil"/>
              <w:left w:val="nil"/>
              <w:bottom w:val="single" w:sz="4" w:space="0" w:color="1B556B"/>
              <w:right w:val="nil"/>
            </w:tcBorders>
            <w:shd w:val="clear" w:color="auto" w:fill="auto"/>
            <w:noWrap/>
            <w:vAlign w:val="center"/>
            <w:hideMark/>
          </w:tcPr>
          <w:p w14:paraId="015926C7" w14:textId="77777777" w:rsidR="00994F64" w:rsidRPr="00261B7A" w:rsidRDefault="00994F64" w:rsidP="00F753BA">
            <w:pPr>
              <w:pStyle w:val="TableText"/>
              <w:spacing w:before="30" w:after="30"/>
              <w:jc w:val="center"/>
              <w:rPr>
                <w:rFonts w:cs="Calibri"/>
                <w:szCs w:val="16"/>
              </w:rPr>
            </w:pPr>
            <w:r w:rsidRPr="00261B7A">
              <w:rPr>
                <w:rFonts w:cs="Calibri"/>
                <w:szCs w:val="16"/>
              </w:rPr>
              <w:t>NA</w:t>
            </w:r>
          </w:p>
        </w:tc>
        <w:tc>
          <w:tcPr>
            <w:tcW w:w="794" w:type="dxa"/>
            <w:tcBorders>
              <w:top w:val="nil"/>
              <w:left w:val="nil"/>
              <w:bottom w:val="single" w:sz="4" w:space="0" w:color="1B556B"/>
              <w:right w:val="nil"/>
            </w:tcBorders>
            <w:shd w:val="clear" w:color="auto" w:fill="auto"/>
            <w:noWrap/>
            <w:vAlign w:val="center"/>
            <w:hideMark/>
          </w:tcPr>
          <w:p w14:paraId="54314AED" w14:textId="77777777" w:rsidR="00994F64" w:rsidRPr="00261B7A" w:rsidRDefault="00994F64" w:rsidP="00F753BA">
            <w:pPr>
              <w:pStyle w:val="TableText"/>
              <w:spacing w:before="30" w:after="30"/>
              <w:jc w:val="center"/>
              <w:rPr>
                <w:rFonts w:cs="Calibri"/>
                <w:szCs w:val="16"/>
              </w:rPr>
            </w:pPr>
            <w:r w:rsidRPr="00261B7A">
              <w:rPr>
                <w:rFonts w:cs="Calibri"/>
                <w:szCs w:val="16"/>
              </w:rPr>
              <w:t>NA</w:t>
            </w:r>
          </w:p>
        </w:tc>
        <w:tc>
          <w:tcPr>
            <w:tcW w:w="812" w:type="dxa"/>
            <w:tcBorders>
              <w:top w:val="nil"/>
              <w:left w:val="nil"/>
              <w:bottom w:val="single" w:sz="4" w:space="0" w:color="1B556B"/>
              <w:right w:val="nil"/>
            </w:tcBorders>
            <w:shd w:val="clear" w:color="auto" w:fill="auto"/>
            <w:noWrap/>
            <w:vAlign w:val="center"/>
            <w:hideMark/>
          </w:tcPr>
          <w:p w14:paraId="02144D81"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nil"/>
              <w:left w:val="nil"/>
              <w:bottom w:val="single" w:sz="4" w:space="0" w:color="1B556B"/>
              <w:right w:val="nil"/>
            </w:tcBorders>
            <w:shd w:val="clear" w:color="auto" w:fill="auto"/>
            <w:noWrap/>
            <w:vAlign w:val="center"/>
            <w:hideMark/>
          </w:tcPr>
          <w:p w14:paraId="5FEDFFEA"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79091412" w14:textId="77777777" w:rsidTr="00582E41">
        <w:tc>
          <w:tcPr>
            <w:tcW w:w="320" w:type="dxa"/>
            <w:tcBorders>
              <w:top w:val="single" w:sz="4" w:space="0" w:color="1B556B"/>
              <w:left w:val="nil"/>
              <w:bottom w:val="single" w:sz="4" w:space="0" w:color="1B556B"/>
              <w:right w:val="nil"/>
            </w:tcBorders>
            <w:shd w:val="clear" w:color="auto" w:fill="auto"/>
            <w:noWrap/>
            <w:vAlign w:val="center"/>
            <w:hideMark/>
          </w:tcPr>
          <w:p w14:paraId="62601043" w14:textId="77777777" w:rsidR="00994F64" w:rsidRPr="00261B7A" w:rsidRDefault="00994F64" w:rsidP="00F753BA">
            <w:pPr>
              <w:pStyle w:val="TableText"/>
              <w:spacing w:before="30" w:after="30"/>
              <w:rPr>
                <w:rFonts w:cs="Calibri"/>
                <w:b/>
                <w:bCs/>
                <w:szCs w:val="16"/>
              </w:rPr>
            </w:pPr>
            <w:r w:rsidRPr="00261B7A">
              <w:rPr>
                <w:rFonts w:cs="Calibri"/>
                <w:b/>
                <w:bCs/>
                <w:szCs w:val="16"/>
              </w:rPr>
              <w:t>C</w:t>
            </w:r>
          </w:p>
        </w:tc>
        <w:tc>
          <w:tcPr>
            <w:tcW w:w="3366" w:type="dxa"/>
            <w:tcBorders>
              <w:top w:val="single" w:sz="4" w:space="0" w:color="1B556B"/>
              <w:left w:val="nil"/>
              <w:bottom w:val="single" w:sz="4" w:space="0" w:color="1B556B"/>
              <w:right w:val="nil"/>
            </w:tcBorders>
            <w:shd w:val="clear" w:color="auto" w:fill="auto"/>
            <w:vAlign w:val="center"/>
            <w:hideMark/>
          </w:tcPr>
          <w:p w14:paraId="1A5CBEBF" w14:textId="77777777" w:rsidR="00994F64" w:rsidRPr="00261B7A" w:rsidRDefault="00994F64" w:rsidP="00F753BA">
            <w:pPr>
              <w:pStyle w:val="TableText"/>
              <w:spacing w:before="30" w:after="30"/>
              <w:rPr>
                <w:rFonts w:cs="Calibri"/>
                <w:b/>
                <w:bCs/>
                <w:szCs w:val="16"/>
              </w:rPr>
            </w:pPr>
            <w:r w:rsidRPr="00261B7A">
              <w:rPr>
                <w:rFonts w:cs="Calibri"/>
                <w:b/>
                <w:bCs/>
                <w:szCs w:val="16"/>
              </w:rPr>
              <w:t>Rice Cultivation</w:t>
            </w:r>
          </w:p>
        </w:tc>
        <w:tc>
          <w:tcPr>
            <w:tcW w:w="850" w:type="dxa"/>
            <w:tcBorders>
              <w:top w:val="single" w:sz="4" w:space="0" w:color="1B556B"/>
              <w:left w:val="nil"/>
              <w:bottom w:val="single" w:sz="4" w:space="0" w:color="1B556B"/>
              <w:right w:val="nil"/>
            </w:tcBorders>
            <w:shd w:val="clear" w:color="auto" w:fill="auto"/>
            <w:noWrap/>
            <w:vAlign w:val="center"/>
            <w:hideMark/>
          </w:tcPr>
          <w:p w14:paraId="730E6825" w14:textId="77777777" w:rsidR="00994F64" w:rsidRPr="00261B7A" w:rsidRDefault="00994F64" w:rsidP="00F753BA">
            <w:pPr>
              <w:pStyle w:val="TableText"/>
              <w:spacing w:before="30" w:after="30"/>
              <w:jc w:val="center"/>
              <w:rPr>
                <w:rFonts w:cs="Calibri"/>
                <w:szCs w:val="16"/>
              </w:rPr>
            </w:pPr>
            <w:r w:rsidRPr="00261B7A">
              <w:rPr>
                <w:rFonts w:cs="Calibri"/>
                <w:szCs w:val="16"/>
              </w:rPr>
              <w:t>NA</w:t>
            </w:r>
          </w:p>
        </w:tc>
        <w:tc>
          <w:tcPr>
            <w:tcW w:w="851" w:type="dxa"/>
            <w:tcBorders>
              <w:top w:val="single" w:sz="4" w:space="0" w:color="1B556B"/>
              <w:left w:val="nil"/>
              <w:bottom w:val="single" w:sz="4" w:space="0" w:color="1B556B"/>
              <w:right w:val="nil"/>
            </w:tcBorders>
            <w:shd w:val="clear" w:color="auto" w:fill="auto"/>
            <w:noWrap/>
            <w:vAlign w:val="center"/>
            <w:hideMark/>
          </w:tcPr>
          <w:p w14:paraId="0ABE4D94" w14:textId="77777777" w:rsidR="00994F64" w:rsidRPr="00261B7A" w:rsidRDefault="00994F64" w:rsidP="00F753BA">
            <w:pPr>
              <w:pStyle w:val="TableText"/>
              <w:spacing w:before="30" w:after="30"/>
              <w:jc w:val="center"/>
              <w:rPr>
                <w:rFonts w:cs="Calibri"/>
                <w:szCs w:val="16"/>
              </w:rPr>
            </w:pPr>
            <w:r w:rsidRPr="00261B7A">
              <w:rPr>
                <w:rFonts w:cs="Calibri"/>
                <w:szCs w:val="16"/>
              </w:rPr>
              <w:t>NA</w:t>
            </w:r>
          </w:p>
        </w:tc>
        <w:tc>
          <w:tcPr>
            <w:tcW w:w="709" w:type="dxa"/>
            <w:tcBorders>
              <w:top w:val="single" w:sz="4" w:space="0" w:color="1B556B"/>
              <w:left w:val="nil"/>
              <w:bottom w:val="single" w:sz="4" w:space="0" w:color="1B556B"/>
              <w:right w:val="nil"/>
            </w:tcBorders>
            <w:shd w:val="clear" w:color="auto" w:fill="auto"/>
            <w:noWrap/>
            <w:vAlign w:val="center"/>
            <w:hideMark/>
          </w:tcPr>
          <w:p w14:paraId="41B2DD3D"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05DE4907"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3BA4392E"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263276EC"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0F5C88DB" w14:textId="77777777" w:rsidTr="00582E41">
        <w:tc>
          <w:tcPr>
            <w:tcW w:w="320" w:type="dxa"/>
            <w:tcBorders>
              <w:top w:val="single" w:sz="4" w:space="0" w:color="1B556B"/>
              <w:left w:val="nil"/>
              <w:bottom w:val="single" w:sz="4" w:space="0" w:color="1B556B"/>
              <w:right w:val="nil"/>
            </w:tcBorders>
            <w:shd w:val="clear" w:color="auto" w:fill="auto"/>
            <w:noWrap/>
            <w:vAlign w:val="center"/>
            <w:hideMark/>
          </w:tcPr>
          <w:p w14:paraId="6C53FCA9" w14:textId="77777777" w:rsidR="00994F64" w:rsidRPr="00261B7A" w:rsidRDefault="00994F64" w:rsidP="00F753BA">
            <w:pPr>
              <w:pStyle w:val="TableText"/>
              <w:spacing w:before="30" w:after="30"/>
              <w:rPr>
                <w:rFonts w:cs="Calibri"/>
                <w:b/>
                <w:bCs/>
                <w:szCs w:val="16"/>
              </w:rPr>
            </w:pPr>
            <w:r w:rsidRPr="00261B7A">
              <w:rPr>
                <w:rFonts w:cs="Calibri"/>
                <w:b/>
                <w:bCs/>
                <w:szCs w:val="16"/>
              </w:rPr>
              <w:t>D</w:t>
            </w:r>
          </w:p>
        </w:tc>
        <w:tc>
          <w:tcPr>
            <w:tcW w:w="3366" w:type="dxa"/>
            <w:tcBorders>
              <w:top w:val="single" w:sz="4" w:space="0" w:color="1B556B"/>
              <w:left w:val="nil"/>
              <w:bottom w:val="single" w:sz="4" w:space="0" w:color="1B556B"/>
              <w:right w:val="nil"/>
            </w:tcBorders>
            <w:shd w:val="clear" w:color="auto" w:fill="auto"/>
            <w:vAlign w:val="center"/>
            <w:hideMark/>
          </w:tcPr>
          <w:p w14:paraId="6D10BEA0" w14:textId="77777777" w:rsidR="00994F64" w:rsidRPr="00261B7A" w:rsidRDefault="00994F64" w:rsidP="00F753BA">
            <w:pPr>
              <w:pStyle w:val="TableText"/>
              <w:spacing w:before="30" w:after="30"/>
              <w:rPr>
                <w:rFonts w:cs="Calibri"/>
                <w:b/>
                <w:bCs/>
                <w:szCs w:val="16"/>
              </w:rPr>
            </w:pPr>
            <w:r w:rsidRPr="00261B7A">
              <w:rPr>
                <w:rFonts w:cs="Calibri"/>
                <w:b/>
                <w:bCs/>
                <w:szCs w:val="16"/>
              </w:rPr>
              <w:t>Agricultural Soils</w:t>
            </w:r>
          </w:p>
        </w:tc>
        <w:tc>
          <w:tcPr>
            <w:tcW w:w="850" w:type="dxa"/>
            <w:tcBorders>
              <w:top w:val="single" w:sz="4" w:space="0" w:color="1B556B"/>
              <w:left w:val="nil"/>
              <w:bottom w:val="single" w:sz="4" w:space="0" w:color="1B556B"/>
              <w:right w:val="nil"/>
            </w:tcBorders>
            <w:shd w:val="clear" w:color="auto" w:fill="auto"/>
            <w:noWrap/>
            <w:vAlign w:val="center"/>
            <w:hideMark/>
          </w:tcPr>
          <w:p w14:paraId="366DFB3C"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51" w:type="dxa"/>
            <w:tcBorders>
              <w:top w:val="single" w:sz="4" w:space="0" w:color="1B556B"/>
              <w:left w:val="nil"/>
              <w:bottom w:val="single" w:sz="4" w:space="0" w:color="1B556B"/>
              <w:right w:val="nil"/>
            </w:tcBorders>
            <w:shd w:val="clear" w:color="auto" w:fill="auto"/>
            <w:noWrap/>
            <w:vAlign w:val="center"/>
            <w:hideMark/>
          </w:tcPr>
          <w:p w14:paraId="344BF10F"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09" w:type="dxa"/>
            <w:tcBorders>
              <w:top w:val="single" w:sz="4" w:space="0" w:color="1B556B"/>
              <w:left w:val="nil"/>
              <w:bottom w:val="single" w:sz="4" w:space="0" w:color="1B556B"/>
              <w:right w:val="nil"/>
            </w:tcBorders>
            <w:shd w:val="clear" w:color="auto" w:fill="auto"/>
            <w:noWrap/>
            <w:vAlign w:val="center"/>
            <w:hideMark/>
          </w:tcPr>
          <w:p w14:paraId="606B9222"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19D1F959"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27577A64"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61FF0480"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747A168C" w14:textId="77777777" w:rsidTr="00582E41">
        <w:tc>
          <w:tcPr>
            <w:tcW w:w="320" w:type="dxa"/>
            <w:vMerge w:val="restart"/>
            <w:tcBorders>
              <w:top w:val="single" w:sz="4" w:space="0" w:color="1B556B"/>
              <w:left w:val="nil"/>
              <w:right w:val="nil"/>
            </w:tcBorders>
            <w:shd w:val="clear" w:color="auto" w:fill="auto"/>
            <w:noWrap/>
            <w:vAlign w:val="center"/>
            <w:hideMark/>
          </w:tcPr>
          <w:p w14:paraId="6BFAF1AD" w14:textId="77777777" w:rsidR="00994F64" w:rsidRPr="00261B7A" w:rsidRDefault="00994F64" w:rsidP="00F753BA">
            <w:pPr>
              <w:pStyle w:val="TableText"/>
              <w:spacing w:before="30" w:after="30"/>
              <w:rPr>
                <w:rFonts w:cs="Calibri"/>
                <w:szCs w:val="16"/>
              </w:rPr>
            </w:pPr>
            <w:r w:rsidRPr="00261B7A">
              <w:rPr>
                <w:rFonts w:cs="Calibri"/>
                <w:szCs w:val="16"/>
              </w:rPr>
              <w:t>1</w:t>
            </w:r>
          </w:p>
        </w:tc>
        <w:tc>
          <w:tcPr>
            <w:tcW w:w="3366" w:type="dxa"/>
            <w:tcBorders>
              <w:top w:val="single" w:sz="4" w:space="0" w:color="1B556B"/>
              <w:left w:val="nil"/>
              <w:bottom w:val="nil"/>
              <w:right w:val="nil"/>
            </w:tcBorders>
            <w:shd w:val="clear" w:color="auto" w:fill="auto"/>
            <w:vAlign w:val="center"/>
            <w:hideMark/>
          </w:tcPr>
          <w:p w14:paraId="15167BED" w14:textId="77777777" w:rsidR="00994F64" w:rsidRPr="00261B7A" w:rsidRDefault="00994F64" w:rsidP="00F753BA">
            <w:pPr>
              <w:pStyle w:val="TableText"/>
              <w:spacing w:before="30" w:after="30"/>
              <w:rPr>
                <w:rFonts w:cs="Calibri"/>
                <w:szCs w:val="16"/>
              </w:rPr>
            </w:pPr>
            <w:r w:rsidRPr="00261B7A">
              <w:rPr>
                <w:rFonts w:cs="Calibri"/>
                <w:szCs w:val="16"/>
              </w:rPr>
              <w:t xml:space="preserve">Direct Emissions </w:t>
            </w:r>
          </w:p>
        </w:tc>
        <w:tc>
          <w:tcPr>
            <w:tcW w:w="850" w:type="dxa"/>
            <w:tcBorders>
              <w:top w:val="single" w:sz="4" w:space="0" w:color="1B556B"/>
              <w:left w:val="nil"/>
              <w:bottom w:val="nil"/>
              <w:right w:val="nil"/>
            </w:tcBorders>
            <w:shd w:val="clear" w:color="auto" w:fill="auto"/>
            <w:noWrap/>
            <w:vAlign w:val="center"/>
            <w:hideMark/>
          </w:tcPr>
          <w:p w14:paraId="1A9CF32A"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51" w:type="dxa"/>
            <w:tcBorders>
              <w:top w:val="single" w:sz="4" w:space="0" w:color="1B556B"/>
              <w:left w:val="nil"/>
              <w:bottom w:val="nil"/>
              <w:right w:val="nil"/>
            </w:tcBorders>
            <w:shd w:val="clear" w:color="auto" w:fill="auto"/>
            <w:noWrap/>
            <w:vAlign w:val="center"/>
            <w:hideMark/>
          </w:tcPr>
          <w:p w14:paraId="1229515A"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09" w:type="dxa"/>
            <w:tcBorders>
              <w:top w:val="single" w:sz="4" w:space="0" w:color="1B556B"/>
              <w:left w:val="nil"/>
              <w:bottom w:val="nil"/>
              <w:right w:val="nil"/>
            </w:tcBorders>
            <w:shd w:val="clear" w:color="auto" w:fill="auto"/>
            <w:noWrap/>
            <w:vAlign w:val="center"/>
            <w:hideMark/>
          </w:tcPr>
          <w:p w14:paraId="56229AEC"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94" w:type="dxa"/>
            <w:tcBorders>
              <w:top w:val="single" w:sz="4" w:space="0" w:color="1B556B"/>
              <w:left w:val="nil"/>
              <w:bottom w:val="nil"/>
              <w:right w:val="nil"/>
            </w:tcBorders>
            <w:shd w:val="clear" w:color="auto" w:fill="auto"/>
            <w:noWrap/>
            <w:vAlign w:val="center"/>
            <w:hideMark/>
          </w:tcPr>
          <w:p w14:paraId="089E368A"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nil"/>
              <w:right w:val="nil"/>
            </w:tcBorders>
            <w:shd w:val="clear" w:color="auto" w:fill="auto"/>
            <w:noWrap/>
            <w:vAlign w:val="center"/>
            <w:hideMark/>
          </w:tcPr>
          <w:p w14:paraId="389F07B4"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nil"/>
              <w:right w:val="nil"/>
            </w:tcBorders>
            <w:shd w:val="clear" w:color="auto" w:fill="auto"/>
            <w:noWrap/>
            <w:vAlign w:val="center"/>
            <w:hideMark/>
          </w:tcPr>
          <w:p w14:paraId="47F74760"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1DF495A9" w14:textId="77777777" w:rsidTr="00582E41">
        <w:tc>
          <w:tcPr>
            <w:tcW w:w="320" w:type="dxa"/>
            <w:vMerge/>
            <w:tcBorders>
              <w:top w:val="single" w:sz="8" w:space="0" w:color="365F91"/>
              <w:left w:val="nil"/>
              <w:right w:val="nil"/>
            </w:tcBorders>
            <w:vAlign w:val="center"/>
            <w:hideMark/>
          </w:tcPr>
          <w:p w14:paraId="0ABFEF8D" w14:textId="77777777" w:rsidR="00994F64" w:rsidRPr="00261B7A" w:rsidRDefault="00994F64" w:rsidP="00F753BA">
            <w:pPr>
              <w:pStyle w:val="TableText"/>
              <w:spacing w:before="30" w:after="30"/>
              <w:rPr>
                <w:rFonts w:cs="Calibri"/>
                <w:szCs w:val="16"/>
              </w:rPr>
            </w:pPr>
          </w:p>
        </w:tc>
        <w:tc>
          <w:tcPr>
            <w:tcW w:w="3366" w:type="dxa"/>
            <w:tcBorders>
              <w:top w:val="nil"/>
              <w:left w:val="nil"/>
              <w:bottom w:val="nil"/>
              <w:right w:val="nil"/>
            </w:tcBorders>
            <w:shd w:val="clear" w:color="auto" w:fill="auto"/>
            <w:vAlign w:val="center"/>
            <w:hideMark/>
          </w:tcPr>
          <w:p w14:paraId="00559CEA" w14:textId="77777777" w:rsidR="00994F64" w:rsidRPr="00261B7A" w:rsidRDefault="00994F64" w:rsidP="00F753BA">
            <w:pPr>
              <w:pStyle w:val="TableText"/>
              <w:spacing w:before="30" w:after="30"/>
              <w:rPr>
                <w:rFonts w:cs="Calibri"/>
                <w:szCs w:val="16"/>
              </w:rPr>
            </w:pPr>
            <w:r w:rsidRPr="00261B7A">
              <w:rPr>
                <w:rFonts w:cs="Calibri"/>
                <w:szCs w:val="16"/>
              </w:rPr>
              <w:t>Synthetic Fertilisers</w:t>
            </w:r>
          </w:p>
        </w:tc>
        <w:tc>
          <w:tcPr>
            <w:tcW w:w="850" w:type="dxa"/>
            <w:tcBorders>
              <w:top w:val="nil"/>
              <w:left w:val="nil"/>
              <w:bottom w:val="nil"/>
              <w:right w:val="nil"/>
            </w:tcBorders>
            <w:shd w:val="clear" w:color="auto" w:fill="auto"/>
            <w:noWrap/>
            <w:vAlign w:val="center"/>
            <w:hideMark/>
          </w:tcPr>
          <w:p w14:paraId="6F716252"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51" w:type="dxa"/>
            <w:tcBorders>
              <w:top w:val="nil"/>
              <w:left w:val="nil"/>
              <w:bottom w:val="nil"/>
              <w:right w:val="nil"/>
            </w:tcBorders>
            <w:shd w:val="clear" w:color="auto" w:fill="auto"/>
            <w:noWrap/>
            <w:vAlign w:val="center"/>
            <w:hideMark/>
          </w:tcPr>
          <w:p w14:paraId="6BD5CF29"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09" w:type="dxa"/>
            <w:tcBorders>
              <w:top w:val="nil"/>
              <w:left w:val="nil"/>
              <w:bottom w:val="nil"/>
              <w:right w:val="nil"/>
            </w:tcBorders>
            <w:shd w:val="clear" w:color="auto" w:fill="auto"/>
            <w:noWrap/>
            <w:vAlign w:val="center"/>
            <w:hideMark/>
          </w:tcPr>
          <w:p w14:paraId="04794B5D" w14:textId="77777777" w:rsidR="00994F64" w:rsidRPr="00261B7A" w:rsidRDefault="007E17B8" w:rsidP="00F753BA">
            <w:pPr>
              <w:pStyle w:val="TableText"/>
              <w:spacing w:before="30" w:after="30"/>
              <w:jc w:val="center"/>
              <w:rPr>
                <w:rFonts w:cs="Calibri"/>
                <w:szCs w:val="16"/>
              </w:rPr>
            </w:pPr>
            <w:hyperlink r:id="rId109" w:history="1">
              <w:r w:rsidR="00994F64" w:rsidRPr="00261B7A">
                <w:rPr>
                  <w:rFonts w:cs="Calibri"/>
                  <w:szCs w:val="16"/>
                </w:rPr>
                <w:t>T2</w:t>
              </w:r>
            </w:hyperlink>
          </w:p>
        </w:tc>
        <w:tc>
          <w:tcPr>
            <w:tcW w:w="794" w:type="dxa"/>
            <w:tcBorders>
              <w:top w:val="nil"/>
              <w:left w:val="nil"/>
              <w:bottom w:val="nil"/>
              <w:right w:val="nil"/>
            </w:tcBorders>
            <w:shd w:val="clear" w:color="auto" w:fill="auto"/>
            <w:noWrap/>
            <w:vAlign w:val="center"/>
            <w:hideMark/>
          </w:tcPr>
          <w:p w14:paraId="3C4CDED1" w14:textId="77777777" w:rsidR="00994F64" w:rsidRPr="00261B7A" w:rsidRDefault="00994F64" w:rsidP="00F753BA">
            <w:pPr>
              <w:pStyle w:val="TableText"/>
              <w:spacing w:before="30" w:after="30"/>
              <w:jc w:val="center"/>
              <w:rPr>
                <w:rFonts w:cs="Calibri"/>
                <w:szCs w:val="16"/>
              </w:rPr>
            </w:pPr>
            <w:r w:rsidRPr="00261B7A">
              <w:rPr>
                <w:rFonts w:cs="Calibri"/>
                <w:szCs w:val="16"/>
              </w:rPr>
              <w:t>CS</w:t>
            </w:r>
          </w:p>
        </w:tc>
        <w:tc>
          <w:tcPr>
            <w:tcW w:w="812" w:type="dxa"/>
            <w:tcBorders>
              <w:top w:val="nil"/>
              <w:left w:val="nil"/>
              <w:bottom w:val="nil"/>
              <w:right w:val="nil"/>
            </w:tcBorders>
            <w:shd w:val="clear" w:color="auto" w:fill="auto"/>
            <w:noWrap/>
            <w:vAlign w:val="center"/>
            <w:hideMark/>
          </w:tcPr>
          <w:p w14:paraId="6C0CBBF5"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nil"/>
              <w:left w:val="nil"/>
              <w:bottom w:val="nil"/>
              <w:right w:val="nil"/>
            </w:tcBorders>
            <w:shd w:val="clear" w:color="auto" w:fill="auto"/>
            <w:noWrap/>
            <w:vAlign w:val="center"/>
            <w:hideMark/>
          </w:tcPr>
          <w:p w14:paraId="3F93A382"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50AAAE3C" w14:textId="77777777" w:rsidTr="00582E41">
        <w:tc>
          <w:tcPr>
            <w:tcW w:w="320" w:type="dxa"/>
            <w:vMerge/>
            <w:tcBorders>
              <w:top w:val="single" w:sz="8" w:space="0" w:color="365F91"/>
              <w:left w:val="nil"/>
              <w:right w:val="nil"/>
            </w:tcBorders>
            <w:vAlign w:val="center"/>
            <w:hideMark/>
          </w:tcPr>
          <w:p w14:paraId="4B1E294B" w14:textId="77777777" w:rsidR="00994F64" w:rsidRPr="00261B7A" w:rsidRDefault="00994F64" w:rsidP="00F753BA">
            <w:pPr>
              <w:pStyle w:val="TableText"/>
              <w:spacing w:before="30" w:after="30"/>
              <w:rPr>
                <w:rFonts w:cs="Calibri"/>
                <w:szCs w:val="16"/>
              </w:rPr>
            </w:pPr>
          </w:p>
        </w:tc>
        <w:tc>
          <w:tcPr>
            <w:tcW w:w="3366" w:type="dxa"/>
            <w:tcBorders>
              <w:top w:val="nil"/>
              <w:left w:val="nil"/>
              <w:bottom w:val="nil"/>
              <w:right w:val="nil"/>
            </w:tcBorders>
            <w:shd w:val="clear" w:color="auto" w:fill="auto"/>
            <w:vAlign w:val="center"/>
            <w:hideMark/>
          </w:tcPr>
          <w:p w14:paraId="5F23053A" w14:textId="77777777" w:rsidR="00994F64" w:rsidRPr="00261B7A" w:rsidRDefault="00994F64" w:rsidP="00F753BA">
            <w:pPr>
              <w:pStyle w:val="TableText"/>
              <w:spacing w:before="30" w:after="30"/>
              <w:rPr>
                <w:rFonts w:cs="Calibri"/>
                <w:szCs w:val="16"/>
              </w:rPr>
            </w:pPr>
            <w:r w:rsidRPr="00261B7A">
              <w:rPr>
                <w:rFonts w:cs="Calibri"/>
                <w:szCs w:val="16"/>
              </w:rPr>
              <w:t>Animal Manure Applied to Soils</w:t>
            </w:r>
          </w:p>
        </w:tc>
        <w:tc>
          <w:tcPr>
            <w:tcW w:w="850" w:type="dxa"/>
            <w:tcBorders>
              <w:top w:val="nil"/>
              <w:left w:val="nil"/>
              <w:bottom w:val="nil"/>
              <w:right w:val="nil"/>
            </w:tcBorders>
            <w:shd w:val="clear" w:color="auto" w:fill="auto"/>
            <w:noWrap/>
            <w:vAlign w:val="center"/>
            <w:hideMark/>
          </w:tcPr>
          <w:p w14:paraId="5D8C59E3"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51" w:type="dxa"/>
            <w:tcBorders>
              <w:top w:val="nil"/>
              <w:left w:val="nil"/>
              <w:bottom w:val="nil"/>
              <w:right w:val="nil"/>
            </w:tcBorders>
            <w:shd w:val="clear" w:color="auto" w:fill="auto"/>
            <w:noWrap/>
            <w:vAlign w:val="center"/>
            <w:hideMark/>
          </w:tcPr>
          <w:p w14:paraId="6C612ECE"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09" w:type="dxa"/>
            <w:tcBorders>
              <w:top w:val="nil"/>
              <w:left w:val="nil"/>
              <w:bottom w:val="nil"/>
              <w:right w:val="nil"/>
            </w:tcBorders>
            <w:shd w:val="clear" w:color="auto" w:fill="auto"/>
            <w:noWrap/>
            <w:vAlign w:val="center"/>
            <w:hideMark/>
          </w:tcPr>
          <w:p w14:paraId="674D90C4" w14:textId="77777777" w:rsidR="00994F64" w:rsidRPr="00261B7A" w:rsidRDefault="00994F64" w:rsidP="00F753BA">
            <w:pPr>
              <w:pStyle w:val="TableText"/>
              <w:spacing w:before="30" w:after="30"/>
              <w:jc w:val="center"/>
              <w:rPr>
                <w:rFonts w:cs="Calibri"/>
                <w:szCs w:val="16"/>
              </w:rPr>
            </w:pPr>
            <w:r w:rsidRPr="00261B7A">
              <w:rPr>
                <w:rFonts w:cs="Calibri"/>
                <w:szCs w:val="16"/>
              </w:rPr>
              <w:t>T1, T2</w:t>
            </w:r>
          </w:p>
        </w:tc>
        <w:tc>
          <w:tcPr>
            <w:tcW w:w="794" w:type="dxa"/>
            <w:tcBorders>
              <w:top w:val="nil"/>
              <w:left w:val="nil"/>
              <w:bottom w:val="nil"/>
              <w:right w:val="nil"/>
            </w:tcBorders>
            <w:shd w:val="clear" w:color="auto" w:fill="auto"/>
            <w:noWrap/>
            <w:vAlign w:val="center"/>
            <w:hideMark/>
          </w:tcPr>
          <w:p w14:paraId="25B799D4" w14:textId="77777777" w:rsidR="00994F64" w:rsidRPr="00261B7A" w:rsidRDefault="00994F64" w:rsidP="00F753BA">
            <w:pPr>
              <w:pStyle w:val="TableText"/>
              <w:spacing w:before="30" w:after="30"/>
              <w:jc w:val="center"/>
              <w:rPr>
                <w:rFonts w:cs="Calibri"/>
                <w:szCs w:val="16"/>
              </w:rPr>
            </w:pPr>
            <w:r w:rsidRPr="00261B7A">
              <w:rPr>
                <w:rFonts w:cs="Calibri"/>
                <w:szCs w:val="16"/>
              </w:rPr>
              <w:t>CS</w:t>
            </w:r>
          </w:p>
        </w:tc>
        <w:tc>
          <w:tcPr>
            <w:tcW w:w="812" w:type="dxa"/>
            <w:tcBorders>
              <w:top w:val="nil"/>
              <w:left w:val="nil"/>
              <w:bottom w:val="nil"/>
              <w:right w:val="nil"/>
            </w:tcBorders>
            <w:shd w:val="clear" w:color="auto" w:fill="auto"/>
            <w:noWrap/>
            <w:vAlign w:val="center"/>
            <w:hideMark/>
          </w:tcPr>
          <w:p w14:paraId="0F951FB4"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nil"/>
              <w:left w:val="nil"/>
              <w:bottom w:val="nil"/>
              <w:right w:val="nil"/>
            </w:tcBorders>
            <w:shd w:val="clear" w:color="auto" w:fill="auto"/>
            <w:noWrap/>
            <w:vAlign w:val="center"/>
            <w:hideMark/>
          </w:tcPr>
          <w:p w14:paraId="66EDED04"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3B1B30A9" w14:textId="77777777" w:rsidTr="00582E41">
        <w:tc>
          <w:tcPr>
            <w:tcW w:w="320" w:type="dxa"/>
            <w:vMerge/>
            <w:tcBorders>
              <w:top w:val="single" w:sz="8" w:space="0" w:color="365F91"/>
              <w:left w:val="nil"/>
              <w:right w:val="nil"/>
            </w:tcBorders>
            <w:vAlign w:val="center"/>
            <w:hideMark/>
          </w:tcPr>
          <w:p w14:paraId="3EEB1055" w14:textId="77777777" w:rsidR="00994F64" w:rsidRPr="00261B7A" w:rsidRDefault="00994F64" w:rsidP="00F753BA">
            <w:pPr>
              <w:pStyle w:val="TableText"/>
              <w:spacing w:before="30" w:after="30"/>
              <w:rPr>
                <w:rFonts w:cs="Calibri"/>
                <w:szCs w:val="16"/>
              </w:rPr>
            </w:pPr>
          </w:p>
        </w:tc>
        <w:tc>
          <w:tcPr>
            <w:tcW w:w="3366" w:type="dxa"/>
            <w:tcBorders>
              <w:top w:val="nil"/>
              <w:left w:val="nil"/>
              <w:bottom w:val="nil"/>
              <w:right w:val="nil"/>
            </w:tcBorders>
            <w:shd w:val="clear" w:color="auto" w:fill="auto"/>
            <w:vAlign w:val="center"/>
            <w:hideMark/>
          </w:tcPr>
          <w:p w14:paraId="5ADE733B" w14:textId="77777777" w:rsidR="00994F64" w:rsidRPr="00261B7A" w:rsidRDefault="00994F64" w:rsidP="00F753BA">
            <w:pPr>
              <w:pStyle w:val="TableText"/>
              <w:spacing w:before="30" w:after="30"/>
              <w:rPr>
                <w:rFonts w:cs="Calibri"/>
                <w:szCs w:val="16"/>
              </w:rPr>
            </w:pPr>
            <w:r w:rsidRPr="00261B7A">
              <w:rPr>
                <w:rFonts w:cs="Calibri"/>
                <w:szCs w:val="16"/>
              </w:rPr>
              <w:t>Sewage Sludge Applied to Soils</w:t>
            </w:r>
          </w:p>
        </w:tc>
        <w:tc>
          <w:tcPr>
            <w:tcW w:w="850" w:type="dxa"/>
            <w:tcBorders>
              <w:top w:val="nil"/>
              <w:left w:val="nil"/>
              <w:bottom w:val="nil"/>
              <w:right w:val="nil"/>
            </w:tcBorders>
            <w:shd w:val="clear" w:color="auto" w:fill="auto"/>
            <w:noWrap/>
            <w:vAlign w:val="center"/>
            <w:hideMark/>
          </w:tcPr>
          <w:p w14:paraId="22F77CEC"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51" w:type="dxa"/>
            <w:tcBorders>
              <w:top w:val="nil"/>
              <w:left w:val="nil"/>
              <w:bottom w:val="nil"/>
              <w:right w:val="nil"/>
            </w:tcBorders>
            <w:shd w:val="clear" w:color="auto" w:fill="auto"/>
            <w:noWrap/>
            <w:vAlign w:val="center"/>
            <w:hideMark/>
          </w:tcPr>
          <w:p w14:paraId="0B801F16"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09" w:type="dxa"/>
            <w:tcBorders>
              <w:top w:val="nil"/>
              <w:left w:val="nil"/>
              <w:bottom w:val="nil"/>
              <w:right w:val="nil"/>
            </w:tcBorders>
            <w:shd w:val="clear" w:color="auto" w:fill="auto"/>
            <w:noWrap/>
            <w:vAlign w:val="center"/>
            <w:hideMark/>
          </w:tcPr>
          <w:p w14:paraId="4D354F0E" w14:textId="77777777" w:rsidR="00994F64" w:rsidRPr="00261B7A" w:rsidRDefault="00994F64" w:rsidP="00F753BA">
            <w:pPr>
              <w:pStyle w:val="TableText"/>
              <w:spacing w:before="30" w:after="30"/>
              <w:jc w:val="center"/>
              <w:rPr>
                <w:rFonts w:cs="Calibri"/>
                <w:szCs w:val="16"/>
              </w:rPr>
            </w:pPr>
            <w:r w:rsidRPr="00261B7A">
              <w:rPr>
                <w:rFonts w:cs="Calibri"/>
                <w:szCs w:val="16"/>
              </w:rPr>
              <w:t>NA</w:t>
            </w:r>
          </w:p>
        </w:tc>
        <w:tc>
          <w:tcPr>
            <w:tcW w:w="794" w:type="dxa"/>
            <w:tcBorders>
              <w:top w:val="nil"/>
              <w:left w:val="nil"/>
              <w:bottom w:val="nil"/>
              <w:right w:val="nil"/>
            </w:tcBorders>
            <w:shd w:val="clear" w:color="auto" w:fill="auto"/>
            <w:noWrap/>
            <w:vAlign w:val="center"/>
            <w:hideMark/>
          </w:tcPr>
          <w:p w14:paraId="1126B18B" w14:textId="77777777" w:rsidR="00994F64" w:rsidRPr="00261B7A" w:rsidRDefault="00994F64" w:rsidP="00F753BA">
            <w:pPr>
              <w:pStyle w:val="TableText"/>
              <w:spacing w:before="30" w:after="30"/>
              <w:jc w:val="center"/>
              <w:rPr>
                <w:rFonts w:cs="Calibri"/>
                <w:szCs w:val="16"/>
              </w:rPr>
            </w:pPr>
            <w:r w:rsidRPr="00261B7A">
              <w:rPr>
                <w:rFonts w:cs="Calibri"/>
                <w:szCs w:val="16"/>
              </w:rPr>
              <w:t>NA</w:t>
            </w:r>
          </w:p>
        </w:tc>
        <w:tc>
          <w:tcPr>
            <w:tcW w:w="812" w:type="dxa"/>
            <w:tcBorders>
              <w:top w:val="nil"/>
              <w:left w:val="nil"/>
              <w:bottom w:val="nil"/>
              <w:right w:val="nil"/>
            </w:tcBorders>
            <w:shd w:val="clear" w:color="auto" w:fill="auto"/>
            <w:noWrap/>
            <w:vAlign w:val="center"/>
            <w:hideMark/>
          </w:tcPr>
          <w:p w14:paraId="1475D2BA"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nil"/>
              <w:left w:val="nil"/>
              <w:bottom w:val="nil"/>
              <w:right w:val="nil"/>
            </w:tcBorders>
            <w:shd w:val="clear" w:color="auto" w:fill="auto"/>
            <w:noWrap/>
            <w:vAlign w:val="center"/>
            <w:hideMark/>
          </w:tcPr>
          <w:p w14:paraId="0721EA03"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2D72E8B7" w14:textId="77777777" w:rsidTr="00582E41">
        <w:tc>
          <w:tcPr>
            <w:tcW w:w="320" w:type="dxa"/>
            <w:vMerge/>
            <w:tcBorders>
              <w:top w:val="single" w:sz="8" w:space="0" w:color="365F91"/>
              <w:left w:val="nil"/>
              <w:right w:val="nil"/>
            </w:tcBorders>
            <w:vAlign w:val="center"/>
            <w:hideMark/>
          </w:tcPr>
          <w:p w14:paraId="1D268662" w14:textId="77777777" w:rsidR="00994F64" w:rsidRPr="00261B7A" w:rsidRDefault="00994F64" w:rsidP="00F753BA">
            <w:pPr>
              <w:pStyle w:val="TableText"/>
              <w:spacing w:before="30" w:after="30"/>
              <w:rPr>
                <w:rFonts w:cs="Calibri"/>
                <w:szCs w:val="16"/>
              </w:rPr>
            </w:pPr>
          </w:p>
        </w:tc>
        <w:tc>
          <w:tcPr>
            <w:tcW w:w="3366" w:type="dxa"/>
            <w:tcBorders>
              <w:top w:val="nil"/>
              <w:left w:val="nil"/>
              <w:bottom w:val="nil"/>
              <w:right w:val="nil"/>
            </w:tcBorders>
            <w:shd w:val="clear" w:color="auto" w:fill="auto"/>
            <w:vAlign w:val="center"/>
            <w:hideMark/>
          </w:tcPr>
          <w:p w14:paraId="69FE1FE9" w14:textId="77777777" w:rsidR="00994F64" w:rsidRPr="00261B7A" w:rsidRDefault="00994F64" w:rsidP="00F753BA">
            <w:pPr>
              <w:pStyle w:val="TableText"/>
              <w:spacing w:before="30" w:after="30"/>
              <w:rPr>
                <w:rFonts w:cs="Calibri"/>
                <w:szCs w:val="16"/>
              </w:rPr>
            </w:pPr>
            <w:r w:rsidRPr="00261B7A">
              <w:rPr>
                <w:rFonts w:cs="Calibri"/>
                <w:szCs w:val="16"/>
              </w:rPr>
              <w:t>Other Organic Fertilisers Applied to Soils</w:t>
            </w:r>
          </w:p>
        </w:tc>
        <w:tc>
          <w:tcPr>
            <w:tcW w:w="850" w:type="dxa"/>
            <w:tcBorders>
              <w:top w:val="nil"/>
              <w:left w:val="nil"/>
              <w:bottom w:val="nil"/>
              <w:right w:val="nil"/>
            </w:tcBorders>
            <w:shd w:val="clear" w:color="auto" w:fill="auto"/>
            <w:noWrap/>
            <w:vAlign w:val="center"/>
            <w:hideMark/>
          </w:tcPr>
          <w:p w14:paraId="551B2454"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51" w:type="dxa"/>
            <w:tcBorders>
              <w:top w:val="nil"/>
              <w:left w:val="nil"/>
              <w:bottom w:val="nil"/>
              <w:right w:val="nil"/>
            </w:tcBorders>
            <w:shd w:val="clear" w:color="auto" w:fill="auto"/>
            <w:noWrap/>
            <w:vAlign w:val="center"/>
            <w:hideMark/>
          </w:tcPr>
          <w:p w14:paraId="0D4D9FEF"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09" w:type="dxa"/>
            <w:tcBorders>
              <w:top w:val="nil"/>
              <w:left w:val="nil"/>
              <w:bottom w:val="nil"/>
              <w:right w:val="nil"/>
            </w:tcBorders>
            <w:shd w:val="clear" w:color="auto" w:fill="auto"/>
            <w:noWrap/>
            <w:vAlign w:val="center"/>
            <w:hideMark/>
          </w:tcPr>
          <w:p w14:paraId="75FD3923" w14:textId="77777777" w:rsidR="00994F64" w:rsidRPr="00261B7A" w:rsidRDefault="00994F64" w:rsidP="00F753BA">
            <w:pPr>
              <w:pStyle w:val="TableText"/>
              <w:spacing w:before="30" w:after="30"/>
              <w:jc w:val="center"/>
              <w:rPr>
                <w:rFonts w:cs="Calibri"/>
                <w:szCs w:val="16"/>
              </w:rPr>
            </w:pPr>
            <w:r w:rsidRPr="00261B7A">
              <w:rPr>
                <w:rFonts w:cs="Calibri"/>
                <w:szCs w:val="16"/>
              </w:rPr>
              <w:t>NA</w:t>
            </w:r>
          </w:p>
        </w:tc>
        <w:tc>
          <w:tcPr>
            <w:tcW w:w="794" w:type="dxa"/>
            <w:tcBorders>
              <w:top w:val="nil"/>
              <w:left w:val="nil"/>
              <w:bottom w:val="nil"/>
              <w:right w:val="nil"/>
            </w:tcBorders>
            <w:shd w:val="clear" w:color="auto" w:fill="auto"/>
            <w:noWrap/>
            <w:vAlign w:val="center"/>
            <w:hideMark/>
          </w:tcPr>
          <w:p w14:paraId="0E85DF17" w14:textId="77777777" w:rsidR="00994F64" w:rsidRPr="00261B7A" w:rsidRDefault="00994F64" w:rsidP="00F753BA">
            <w:pPr>
              <w:pStyle w:val="TableText"/>
              <w:spacing w:before="30" w:after="30"/>
              <w:jc w:val="center"/>
              <w:rPr>
                <w:rFonts w:cs="Calibri"/>
                <w:szCs w:val="16"/>
              </w:rPr>
            </w:pPr>
            <w:r w:rsidRPr="00261B7A">
              <w:rPr>
                <w:rFonts w:cs="Calibri"/>
                <w:szCs w:val="16"/>
              </w:rPr>
              <w:t>NA</w:t>
            </w:r>
          </w:p>
        </w:tc>
        <w:tc>
          <w:tcPr>
            <w:tcW w:w="812" w:type="dxa"/>
            <w:tcBorders>
              <w:top w:val="nil"/>
              <w:left w:val="nil"/>
              <w:bottom w:val="nil"/>
              <w:right w:val="nil"/>
            </w:tcBorders>
            <w:shd w:val="clear" w:color="auto" w:fill="auto"/>
            <w:noWrap/>
            <w:vAlign w:val="center"/>
            <w:hideMark/>
          </w:tcPr>
          <w:p w14:paraId="40CC3412"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nil"/>
              <w:left w:val="nil"/>
              <w:bottom w:val="nil"/>
              <w:right w:val="nil"/>
            </w:tcBorders>
            <w:shd w:val="clear" w:color="auto" w:fill="auto"/>
            <w:noWrap/>
            <w:vAlign w:val="center"/>
            <w:hideMark/>
          </w:tcPr>
          <w:p w14:paraId="74F671A6"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09135479" w14:textId="77777777" w:rsidTr="00582E41">
        <w:tc>
          <w:tcPr>
            <w:tcW w:w="320" w:type="dxa"/>
            <w:vMerge/>
            <w:tcBorders>
              <w:top w:val="single" w:sz="8" w:space="0" w:color="365F91"/>
              <w:left w:val="nil"/>
              <w:right w:val="nil"/>
            </w:tcBorders>
            <w:vAlign w:val="center"/>
            <w:hideMark/>
          </w:tcPr>
          <w:p w14:paraId="2C566E40" w14:textId="77777777" w:rsidR="00994F64" w:rsidRPr="00261B7A" w:rsidRDefault="00994F64" w:rsidP="00F753BA">
            <w:pPr>
              <w:pStyle w:val="TableText"/>
              <w:spacing w:before="30" w:after="30"/>
              <w:rPr>
                <w:rFonts w:cs="Calibri"/>
                <w:szCs w:val="16"/>
              </w:rPr>
            </w:pPr>
          </w:p>
        </w:tc>
        <w:tc>
          <w:tcPr>
            <w:tcW w:w="3366" w:type="dxa"/>
            <w:tcBorders>
              <w:top w:val="nil"/>
              <w:left w:val="nil"/>
              <w:bottom w:val="nil"/>
              <w:right w:val="nil"/>
            </w:tcBorders>
            <w:shd w:val="clear" w:color="auto" w:fill="auto"/>
            <w:vAlign w:val="center"/>
            <w:hideMark/>
          </w:tcPr>
          <w:p w14:paraId="0AD068D1" w14:textId="77777777" w:rsidR="00994F64" w:rsidRPr="00261B7A" w:rsidRDefault="00994F64" w:rsidP="00F753BA">
            <w:pPr>
              <w:pStyle w:val="TableText"/>
              <w:spacing w:before="30" w:after="30"/>
              <w:rPr>
                <w:rFonts w:cs="Calibri"/>
                <w:szCs w:val="16"/>
              </w:rPr>
            </w:pPr>
            <w:r w:rsidRPr="00261B7A">
              <w:rPr>
                <w:rFonts w:cs="Calibri"/>
                <w:szCs w:val="16"/>
              </w:rPr>
              <w:t>Urine and Dung Deposited by Grazing Animals</w:t>
            </w:r>
          </w:p>
        </w:tc>
        <w:tc>
          <w:tcPr>
            <w:tcW w:w="850" w:type="dxa"/>
            <w:tcBorders>
              <w:top w:val="nil"/>
              <w:left w:val="nil"/>
              <w:bottom w:val="nil"/>
              <w:right w:val="nil"/>
            </w:tcBorders>
            <w:shd w:val="clear" w:color="auto" w:fill="auto"/>
            <w:noWrap/>
            <w:vAlign w:val="center"/>
            <w:hideMark/>
          </w:tcPr>
          <w:p w14:paraId="7851CC0D"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51" w:type="dxa"/>
            <w:tcBorders>
              <w:top w:val="nil"/>
              <w:left w:val="nil"/>
              <w:bottom w:val="nil"/>
              <w:right w:val="nil"/>
            </w:tcBorders>
            <w:shd w:val="clear" w:color="auto" w:fill="auto"/>
            <w:noWrap/>
            <w:vAlign w:val="center"/>
            <w:hideMark/>
          </w:tcPr>
          <w:p w14:paraId="750DFC6A"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09" w:type="dxa"/>
            <w:tcBorders>
              <w:top w:val="nil"/>
              <w:left w:val="nil"/>
              <w:bottom w:val="nil"/>
              <w:right w:val="nil"/>
            </w:tcBorders>
            <w:shd w:val="clear" w:color="auto" w:fill="auto"/>
            <w:noWrap/>
            <w:vAlign w:val="center"/>
            <w:hideMark/>
          </w:tcPr>
          <w:p w14:paraId="34996BB7" w14:textId="77777777" w:rsidR="00994F64" w:rsidRPr="00261B7A" w:rsidRDefault="00994F64" w:rsidP="00F753BA">
            <w:pPr>
              <w:pStyle w:val="TableText"/>
              <w:spacing w:before="30" w:after="30"/>
              <w:jc w:val="center"/>
              <w:rPr>
                <w:rFonts w:cs="Calibri"/>
                <w:szCs w:val="16"/>
              </w:rPr>
            </w:pPr>
            <w:r w:rsidRPr="00261B7A">
              <w:rPr>
                <w:rFonts w:cs="Calibri"/>
                <w:szCs w:val="16"/>
              </w:rPr>
              <w:t>T1, T2</w:t>
            </w:r>
          </w:p>
        </w:tc>
        <w:tc>
          <w:tcPr>
            <w:tcW w:w="794" w:type="dxa"/>
            <w:tcBorders>
              <w:top w:val="nil"/>
              <w:left w:val="nil"/>
              <w:bottom w:val="nil"/>
              <w:right w:val="nil"/>
            </w:tcBorders>
            <w:shd w:val="clear" w:color="auto" w:fill="auto"/>
            <w:noWrap/>
            <w:vAlign w:val="center"/>
            <w:hideMark/>
          </w:tcPr>
          <w:p w14:paraId="7CC61309" w14:textId="77777777" w:rsidR="00994F64" w:rsidRPr="00261B7A" w:rsidRDefault="00994F64" w:rsidP="00F753BA">
            <w:pPr>
              <w:pStyle w:val="TableText"/>
              <w:spacing w:before="30" w:after="30"/>
              <w:jc w:val="center"/>
              <w:rPr>
                <w:rFonts w:cs="Calibri"/>
                <w:szCs w:val="16"/>
              </w:rPr>
            </w:pPr>
            <w:r w:rsidRPr="00261B7A">
              <w:rPr>
                <w:rFonts w:cs="Calibri"/>
                <w:szCs w:val="16"/>
              </w:rPr>
              <w:t>CS</w:t>
            </w:r>
          </w:p>
        </w:tc>
        <w:tc>
          <w:tcPr>
            <w:tcW w:w="812" w:type="dxa"/>
            <w:tcBorders>
              <w:top w:val="nil"/>
              <w:left w:val="nil"/>
              <w:bottom w:val="nil"/>
              <w:right w:val="nil"/>
            </w:tcBorders>
            <w:shd w:val="clear" w:color="auto" w:fill="auto"/>
            <w:noWrap/>
            <w:vAlign w:val="center"/>
            <w:hideMark/>
          </w:tcPr>
          <w:p w14:paraId="55D52C04"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nil"/>
              <w:left w:val="nil"/>
              <w:bottom w:val="nil"/>
              <w:right w:val="nil"/>
            </w:tcBorders>
            <w:shd w:val="clear" w:color="auto" w:fill="auto"/>
            <w:noWrap/>
            <w:vAlign w:val="center"/>
            <w:hideMark/>
          </w:tcPr>
          <w:p w14:paraId="6E067715"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680915D5" w14:textId="77777777" w:rsidTr="00582E41">
        <w:tc>
          <w:tcPr>
            <w:tcW w:w="320" w:type="dxa"/>
            <w:vMerge/>
            <w:tcBorders>
              <w:top w:val="single" w:sz="8" w:space="0" w:color="365F91"/>
              <w:left w:val="nil"/>
              <w:right w:val="nil"/>
            </w:tcBorders>
            <w:vAlign w:val="center"/>
            <w:hideMark/>
          </w:tcPr>
          <w:p w14:paraId="459C528A" w14:textId="77777777" w:rsidR="00994F64" w:rsidRPr="00261B7A" w:rsidRDefault="00994F64" w:rsidP="00F753BA">
            <w:pPr>
              <w:pStyle w:val="TableText"/>
              <w:spacing w:before="30" w:after="30"/>
              <w:rPr>
                <w:rFonts w:cs="Calibri"/>
                <w:szCs w:val="16"/>
              </w:rPr>
            </w:pPr>
          </w:p>
        </w:tc>
        <w:tc>
          <w:tcPr>
            <w:tcW w:w="3366" w:type="dxa"/>
            <w:tcBorders>
              <w:top w:val="nil"/>
              <w:left w:val="nil"/>
              <w:bottom w:val="nil"/>
              <w:right w:val="nil"/>
            </w:tcBorders>
            <w:shd w:val="clear" w:color="auto" w:fill="auto"/>
            <w:vAlign w:val="center"/>
            <w:hideMark/>
          </w:tcPr>
          <w:p w14:paraId="191754E6" w14:textId="77777777" w:rsidR="00994F64" w:rsidRPr="00261B7A" w:rsidRDefault="00994F64" w:rsidP="00F753BA">
            <w:pPr>
              <w:pStyle w:val="TableText"/>
              <w:spacing w:before="30" w:after="30"/>
              <w:rPr>
                <w:rFonts w:cs="Calibri"/>
                <w:szCs w:val="16"/>
              </w:rPr>
            </w:pPr>
            <w:r w:rsidRPr="00261B7A">
              <w:rPr>
                <w:rFonts w:cs="Calibri"/>
                <w:szCs w:val="16"/>
              </w:rPr>
              <w:t>Crop Residues</w:t>
            </w:r>
          </w:p>
        </w:tc>
        <w:tc>
          <w:tcPr>
            <w:tcW w:w="850" w:type="dxa"/>
            <w:tcBorders>
              <w:top w:val="nil"/>
              <w:left w:val="nil"/>
              <w:bottom w:val="nil"/>
              <w:right w:val="nil"/>
            </w:tcBorders>
            <w:shd w:val="clear" w:color="auto" w:fill="auto"/>
            <w:noWrap/>
            <w:vAlign w:val="center"/>
            <w:hideMark/>
          </w:tcPr>
          <w:p w14:paraId="2F20AA16"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51" w:type="dxa"/>
            <w:tcBorders>
              <w:top w:val="nil"/>
              <w:left w:val="nil"/>
              <w:bottom w:val="nil"/>
              <w:right w:val="nil"/>
            </w:tcBorders>
            <w:shd w:val="clear" w:color="auto" w:fill="auto"/>
            <w:noWrap/>
            <w:vAlign w:val="center"/>
            <w:hideMark/>
          </w:tcPr>
          <w:p w14:paraId="1329E01E"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709" w:type="dxa"/>
            <w:tcBorders>
              <w:top w:val="nil"/>
              <w:left w:val="nil"/>
              <w:bottom w:val="nil"/>
              <w:right w:val="nil"/>
            </w:tcBorders>
            <w:shd w:val="clear" w:color="auto" w:fill="auto"/>
            <w:noWrap/>
            <w:vAlign w:val="center"/>
            <w:hideMark/>
          </w:tcPr>
          <w:p w14:paraId="4887955F" w14:textId="77777777" w:rsidR="00994F64" w:rsidRPr="00261B7A" w:rsidRDefault="00994F64" w:rsidP="00F753BA">
            <w:pPr>
              <w:pStyle w:val="TableText"/>
              <w:spacing w:before="30" w:after="30"/>
              <w:jc w:val="center"/>
              <w:rPr>
                <w:rFonts w:cs="Calibri"/>
                <w:szCs w:val="16"/>
              </w:rPr>
            </w:pPr>
            <w:r w:rsidRPr="00261B7A">
              <w:rPr>
                <w:rFonts w:cs="Calibri"/>
                <w:szCs w:val="16"/>
              </w:rPr>
              <w:t>T2</w:t>
            </w:r>
          </w:p>
        </w:tc>
        <w:tc>
          <w:tcPr>
            <w:tcW w:w="794" w:type="dxa"/>
            <w:tcBorders>
              <w:top w:val="nil"/>
              <w:left w:val="nil"/>
              <w:bottom w:val="nil"/>
              <w:right w:val="nil"/>
            </w:tcBorders>
            <w:shd w:val="clear" w:color="auto" w:fill="auto"/>
            <w:noWrap/>
            <w:vAlign w:val="center"/>
            <w:hideMark/>
          </w:tcPr>
          <w:p w14:paraId="147A3960" w14:textId="77777777" w:rsidR="00994F64" w:rsidRPr="00261B7A" w:rsidRDefault="00994F64" w:rsidP="00F753BA">
            <w:pPr>
              <w:pStyle w:val="TableText"/>
              <w:spacing w:before="30" w:after="30"/>
              <w:jc w:val="center"/>
              <w:rPr>
                <w:rFonts w:cs="Calibri"/>
                <w:szCs w:val="16"/>
              </w:rPr>
            </w:pPr>
            <w:r w:rsidRPr="00261B7A">
              <w:rPr>
                <w:rFonts w:cs="Calibri"/>
                <w:szCs w:val="16"/>
              </w:rPr>
              <w:t>CS</w:t>
            </w:r>
          </w:p>
        </w:tc>
        <w:tc>
          <w:tcPr>
            <w:tcW w:w="812" w:type="dxa"/>
            <w:tcBorders>
              <w:top w:val="nil"/>
              <w:left w:val="nil"/>
              <w:bottom w:val="nil"/>
              <w:right w:val="nil"/>
            </w:tcBorders>
            <w:shd w:val="clear" w:color="auto" w:fill="auto"/>
            <w:noWrap/>
            <w:vAlign w:val="center"/>
            <w:hideMark/>
          </w:tcPr>
          <w:p w14:paraId="2FF7E5E0"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nil"/>
              <w:left w:val="nil"/>
              <w:bottom w:val="nil"/>
              <w:right w:val="nil"/>
            </w:tcBorders>
            <w:shd w:val="clear" w:color="auto" w:fill="auto"/>
            <w:noWrap/>
            <w:vAlign w:val="center"/>
            <w:hideMark/>
          </w:tcPr>
          <w:p w14:paraId="543A9F96" w14:textId="77777777" w:rsidR="00994F64" w:rsidRPr="00261B7A" w:rsidRDefault="00994F64" w:rsidP="00F753B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0747EEEA" w14:textId="77777777" w:rsidTr="00582E41">
        <w:tc>
          <w:tcPr>
            <w:tcW w:w="320" w:type="dxa"/>
            <w:vMerge/>
            <w:tcBorders>
              <w:top w:val="single" w:sz="8" w:space="0" w:color="365F91"/>
              <w:left w:val="nil"/>
              <w:right w:val="nil"/>
            </w:tcBorders>
            <w:vAlign w:val="center"/>
            <w:hideMark/>
          </w:tcPr>
          <w:p w14:paraId="3F976C23" w14:textId="77777777" w:rsidR="00994F64" w:rsidRPr="00261B7A" w:rsidRDefault="00994F64" w:rsidP="00501B0F">
            <w:pPr>
              <w:pStyle w:val="TableText"/>
              <w:spacing w:before="50" w:after="50"/>
              <w:rPr>
                <w:rFonts w:cs="Calibri"/>
                <w:szCs w:val="16"/>
              </w:rPr>
            </w:pPr>
          </w:p>
        </w:tc>
        <w:tc>
          <w:tcPr>
            <w:tcW w:w="3366" w:type="dxa"/>
            <w:tcBorders>
              <w:top w:val="nil"/>
              <w:left w:val="nil"/>
              <w:bottom w:val="nil"/>
              <w:right w:val="nil"/>
            </w:tcBorders>
            <w:shd w:val="clear" w:color="auto" w:fill="auto"/>
            <w:vAlign w:val="center"/>
            <w:hideMark/>
          </w:tcPr>
          <w:p w14:paraId="2F1C59CD" w14:textId="77777777" w:rsidR="00994F64" w:rsidRPr="00261B7A" w:rsidRDefault="00994F64" w:rsidP="0086449A">
            <w:pPr>
              <w:pStyle w:val="TableText"/>
              <w:spacing w:before="30" w:after="30"/>
              <w:rPr>
                <w:rFonts w:cs="Calibri"/>
                <w:szCs w:val="16"/>
              </w:rPr>
            </w:pPr>
            <w:r w:rsidRPr="00261B7A">
              <w:rPr>
                <w:rFonts w:cs="Calibri"/>
                <w:szCs w:val="16"/>
              </w:rPr>
              <w:t>Mineralisation associated with Loss of Soil Organic Matter</w:t>
            </w:r>
          </w:p>
        </w:tc>
        <w:tc>
          <w:tcPr>
            <w:tcW w:w="850" w:type="dxa"/>
            <w:tcBorders>
              <w:top w:val="nil"/>
              <w:left w:val="nil"/>
              <w:bottom w:val="nil"/>
              <w:right w:val="nil"/>
            </w:tcBorders>
            <w:shd w:val="clear" w:color="auto" w:fill="auto"/>
            <w:noWrap/>
            <w:vAlign w:val="center"/>
            <w:hideMark/>
          </w:tcPr>
          <w:p w14:paraId="6DADD434" w14:textId="77777777" w:rsidR="00994F64" w:rsidRPr="00261B7A" w:rsidRDefault="00994F64" w:rsidP="0086449A">
            <w:pPr>
              <w:pStyle w:val="TableText"/>
              <w:spacing w:before="30" w:after="30"/>
              <w:jc w:val="center"/>
              <w:rPr>
                <w:rFonts w:cs="Calibri"/>
                <w:color w:val="FFFFFF"/>
                <w:szCs w:val="16"/>
              </w:rPr>
            </w:pPr>
            <w:r w:rsidRPr="00261B7A">
              <w:rPr>
                <w:rFonts w:cs="Calibri"/>
                <w:color w:val="FFFFFF"/>
                <w:szCs w:val="16"/>
              </w:rPr>
              <w:t>-</w:t>
            </w:r>
          </w:p>
        </w:tc>
        <w:tc>
          <w:tcPr>
            <w:tcW w:w="851" w:type="dxa"/>
            <w:tcBorders>
              <w:top w:val="nil"/>
              <w:left w:val="nil"/>
              <w:bottom w:val="nil"/>
              <w:right w:val="nil"/>
            </w:tcBorders>
            <w:shd w:val="clear" w:color="auto" w:fill="auto"/>
            <w:noWrap/>
            <w:vAlign w:val="center"/>
            <w:hideMark/>
          </w:tcPr>
          <w:p w14:paraId="40B2BAB6" w14:textId="77777777" w:rsidR="00994F64" w:rsidRPr="00261B7A" w:rsidRDefault="00994F64" w:rsidP="0086449A">
            <w:pPr>
              <w:pStyle w:val="TableText"/>
              <w:spacing w:before="30" w:after="30"/>
              <w:jc w:val="center"/>
              <w:rPr>
                <w:rFonts w:cs="Calibri"/>
                <w:color w:val="FFFFFF"/>
                <w:szCs w:val="16"/>
              </w:rPr>
            </w:pPr>
            <w:r w:rsidRPr="00261B7A">
              <w:rPr>
                <w:rFonts w:cs="Calibri"/>
                <w:color w:val="FFFFFF"/>
                <w:szCs w:val="16"/>
              </w:rPr>
              <w:t>-</w:t>
            </w:r>
          </w:p>
        </w:tc>
        <w:tc>
          <w:tcPr>
            <w:tcW w:w="709" w:type="dxa"/>
            <w:tcBorders>
              <w:top w:val="nil"/>
              <w:left w:val="nil"/>
              <w:bottom w:val="nil"/>
              <w:right w:val="nil"/>
            </w:tcBorders>
            <w:shd w:val="clear" w:color="auto" w:fill="auto"/>
            <w:noWrap/>
            <w:vAlign w:val="center"/>
            <w:hideMark/>
          </w:tcPr>
          <w:p w14:paraId="23B1C0A5" w14:textId="77777777" w:rsidR="00994F64" w:rsidRPr="00261B7A" w:rsidRDefault="00994F64" w:rsidP="0086449A">
            <w:pPr>
              <w:pStyle w:val="TableText"/>
              <w:spacing w:before="30" w:after="30"/>
              <w:jc w:val="center"/>
              <w:rPr>
                <w:rFonts w:cs="Calibri"/>
                <w:szCs w:val="16"/>
              </w:rPr>
            </w:pPr>
            <w:r w:rsidRPr="00261B7A">
              <w:rPr>
                <w:rFonts w:cs="Calibri"/>
                <w:szCs w:val="16"/>
              </w:rPr>
              <w:t>T1</w:t>
            </w:r>
          </w:p>
        </w:tc>
        <w:tc>
          <w:tcPr>
            <w:tcW w:w="794" w:type="dxa"/>
            <w:tcBorders>
              <w:top w:val="nil"/>
              <w:left w:val="nil"/>
              <w:bottom w:val="nil"/>
              <w:right w:val="nil"/>
            </w:tcBorders>
            <w:shd w:val="clear" w:color="auto" w:fill="auto"/>
            <w:noWrap/>
            <w:vAlign w:val="center"/>
            <w:hideMark/>
          </w:tcPr>
          <w:p w14:paraId="75383C53" w14:textId="77777777" w:rsidR="00994F64" w:rsidRPr="00261B7A" w:rsidRDefault="00994F64" w:rsidP="0086449A">
            <w:pPr>
              <w:pStyle w:val="TableText"/>
              <w:spacing w:before="30" w:after="30"/>
              <w:jc w:val="center"/>
              <w:rPr>
                <w:rFonts w:cs="Calibri"/>
                <w:szCs w:val="16"/>
              </w:rPr>
            </w:pPr>
            <w:r w:rsidRPr="00261B7A">
              <w:rPr>
                <w:rFonts w:cs="Calibri"/>
                <w:szCs w:val="16"/>
              </w:rPr>
              <w:t>D</w:t>
            </w:r>
          </w:p>
        </w:tc>
        <w:tc>
          <w:tcPr>
            <w:tcW w:w="812" w:type="dxa"/>
            <w:tcBorders>
              <w:top w:val="nil"/>
              <w:left w:val="nil"/>
              <w:bottom w:val="nil"/>
              <w:right w:val="nil"/>
            </w:tcBorders>
            <w:shd w:val="clear" w:color="auto" w:fill="auto"/>
            <w:noWrap/>
            <w:vAlign w:val="center"/>
            <w:hideMark/>
          </w:tcPr>
          <w:p w14:paraId="096F39D0" w14:textId="77777777" w:rsidR="00994F64" w:rsidRPr="00261B7A" w:rsidRDefault="00994F64" w:rsidP="0086449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nil"/>
              <w:left w:val="nil"/>
              <w:bottom w:val="nil"/>
              <w:right w:val="nil"/>
            </w:tcBorders>
            <w:shd w:val="clear" w:color="auto" w:fill="auto"/>
            <w:noWrap/>
            <w:vAlign w:val="center"/>
            <w:hideMark/>
          </w:tcPr>
          <w:p w14:paraId="0B098535" w14:textId="77777777" w:rsidR="00994F64" w:rsidRPr="00261B7A" w:rsidRDefault="00994F64" w:rsidP="0086449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73DF6CEF" w14:textId="77777777" w:rsidTr="00582E41">
        <w:tc>
          <w:tcPr>
            <w:tcW w:w="320" w:type="dxa"/>
            <w:vMerge/>
            <w:tcBorders>
              <w:top w:val="single" w:sz="8" w:space="0" w:color="365F91"/>
              <w:left w:val="nil"/>
              <w:bottom w:val="single" w:sz="4" w:space="0" w:color="1B556B"/>
              <w:right w:val="nil"/>
            </w:tcBorders>
            <w:vAlign w:val="center"/>
            <w:hideMark/>
          </w:tcPr>
          <w:p w14:paraId="6DA5445F" w14:textId="77777777" w:rsidR="00994F64" w:rsidRPr="00261B7A" w:rsidRDefault="00994F64" w:rsidP="00501B0F">
            <w:pPr>
              <w:pStyle w:val="TableText"/>
              <w:spacing w:before="50" w:after="50"/>
              <w:rPr>
                <w:rFonts w:cs="Calibri"/>
                <w:szCs w:val="16"/>
              </w:rPr>
            </w:pPr>
          </w:p>
        </w:tc>
        <w:tc>
          <w:tcPr>
            <w:tcW w:w="3366" w:type="dxa"/>
            <w:tcBorders>
              <w:top w:val="nil"/>
              <w:left w:val="nil"/>
              <w:bottom w:val="single" w:sz="4" w:space="0" w:color="1B556B"/>
              <w:right w:val="nil"/>
            </w:tcBorders>
            <w:shd w:val="clear" w:color="auto" w:fill="auto"/>
            <w:vAlign w:val="center"/>
            <w:hideMark/>
          </w:tcPr>
          <w:p w14:paraId="783CE7A5" w14:textId="77777777" w:rsidR="00994F64" w:rsidRPr="00261B7A" w:rsidRDefault="00994F64" w:rsidP="0086449A">
            <w:pPr>
              <w:pStyle w:val="TableText"/>
              <w:spacing w:before="30" w:after="30"/>
              <w:rPr>
                <w:rFonts w:cs="Calibri"/>
                <w:szCs w:val="16"/>
              </w:rPr>
            </w:pPr>
            <w:r w:rsidRPr="00261B7A">
              <w:rPr>
                <w:rFonts w:cs="Calibri"/>
                <w:szCs w:val="16"/>
              </w:rPr>
              <w:t>Cultivation of Organic Soils</w:t>
            </w:r>
          </w:p>
        </w:tc>
        <w:tc>
          <w:tcPr>
            <w:tcW w:w="850" w:type="dxa"/>
            <w:tcBorders>
              <w:top w:val="nil"/>
              <w:left w:val="nil"/>
              <w:bottom w:val="single" w:sz="4" w:space="0" w:color="1B556B"/>
              <w:right w:val="nil"/>
            </w:tcBorders>
            <w:shd w:val="clear" w:color="auto" w:fill="auto"/>
            <w:noWrap/>
            <w:vAlign w:val="center"/>
            <w:hideMark/>
          </w:tcPr>
          <w:p w14:paraId="538F9DF3" w14:textId="77777777" w:rsidR="00994F64" w:rsidRPr="00261B7A" w:rsidRDefault="00994F64" w:rsidP="0086449A">
            <w:pPr>
              <w:pStyle w:val="TableText"/>
              <w:spacing w:before="30" w:after="30"/>
              <w:jc w:val="center"/>
              <w:rPr>
                <w:rFonts w:cs="Calibri"/>
                <w:color w:val="FFFFFF"/>
                <w:szCs w:val="16"/>
              </w:rPr>
            </w:pPr>
            <w:r w:rsidRPr="00261B7A">
              <w:rPr>
                <w:rFonts w:cs="Calibri"/>
                <w:color w:val="FFFFFF"/>
                <w:szCs w:val="16"/>
              </w:rPr>
              <w:t>-</w:t>
            </w:r>
          </w:p>
        </w:tc>
        <w:tc>
          <w:tcPr>
            <w:tcW w:w="851" w:type="dxa"/>
            <w:tcBorders>
              <w:top w:val="nil"/>
              <w:left w:val="nil"/>
              <w:bottom w:val="single" w:sz="4" w:space="0" w:color="1B556B"/>
              <w:right w:val="nil"/>
            </w:tcBorders>
            <w:shd w:val="clear" w:color="auto" w:fill="auto"/>
            <w:noWrap/>
            <w:vAlign w:val="center"/>
            <w:hideMark/>
          </w:tcPr>
          <w:p w14:paraId="47AB5A9A" w14:textId="77777777" w:rsidR="00994F64" w:rsidRPr="00261B7A" w:rsidRDefault="00994F64" w:rsidP="0086449A">
            <w:pPr>
              <w:pStyle w:val="TableText"/>
              <w:spacing w:before="30" w:after="30"/>
              <w:jc w:val="center"/>
              <w:rPr>
                <w:rFonts w:cs="Calibri"/>
                <w:color w:val="FFFFFF"/>
                <w:szCs w:val="16"/>
              </w:rPr>
            </w:pPr>
            <w:r w:rsidRPr="00261B7A">
              <w:rPr>
                <w:rFonts w:cs="Calibri"/>
                <w:color w:val="FFFFFF"/>
                <w:szCs w:val="16"/>
              </w:rPr>
              <w:t>-</w:t>
            </w:r>
          </w:p>
        </w:tc>
        <w:tc>
          <w:tcPr>
            <w:tcW w:w="709" w:type="dxa"/>
            <w:tcBorders>
              <w:top w:val="nil"/>
              <w:left w:val="nil"/>
              <w:bottom w:val="single" w:sz="4" w:space="0" w:color="1B556B"/>
              <w:right w:val="nil"/>
            </w:tcBorders>
            <w:shd w:val="clear" w:color="auto" w:fill="auto"/>
            <w:noWrap/>
            <w:vAlign w:val="center"/>
            <w:hideMark/>
          </w:tcPr>
          <w:p w14:paraId="13BFB24B" w14:textId="77777777" w:rsidR="00994F64" w:rsidRPr="00261B7A" w:rsidRDefault="00994F64" w:rsidP="0086449A">
            <w:pPr>
              <w:pStyle w:val="TableText"/>
              <w:spacing w:before="30" w:after="30"/>
              <w:jc w:val="center"/>
              <w:rPr>
                <w:rFonts w:cs="Calibri"/>
                <w:szCs w:val="16"/>
              </w:rPr>
            </w:pPr>
            <w:r w:rsidRPr="00261B7A">
              <w:rPr>
                <w:rFonts w:cs="Calibri"/>
                <w:szCs w:val="16"/>
              </w:rPr>
              <w:t>T1</w:t>
            </w:r>
          </w:p>
        </w:tc>
        <w:tc>
          <w:tcPr>
            <w:tcW w:w="794" w:type="dxa"/>
            <w:tcBorders>
              <w:top w:val="nil"/>
              <w:left w:val="nil"/>
              <w:bottom w:val="single" w:sz="4" w:space="0" w:color="1B556B"/>
              <w:right w:val="nil"/>
            </w:tcBorders>
            <w:shd w:val="clear" w:color="auto" w:fill="auto"/>
            <w:noWrap/>
            <w:vAlign w:val="center"/>
            <w:hideMark/>
          </w:tcPr>
          <w:p w14:paraId="3C27B3C0" w14:textId="77777777" w:rsidR="00994F64" w:rsidRPr="00261B7A" w:rsidRDefault="00994F64" w:rsidP="0086449A">
            <w:pPr>
              <w:pStyle w:val="TableText"/>
              <w:spacing w:before="30" w:after="30"/>
              <w:jc w:val="center"/>
              <w:rPr>
                <w:rFonts w:cs="Calibri"/>
                <w:szCs w:val="16"/>
              </w:rPr>
            </w:pPr>
            <w:r w:rsidRPr="00261B7A">
              <w:rPr>
                <w:rFonts w:cs="Calibri"/>
                <w:szCs w:val="16"/>
              </w:rPr>
              <w:t>D</w:t>
            </w:r>
          </w:p>
        </w:tc>
        <w:tc>
          <w:tcPr>
            <w:tcW w:w="812" w:type="dxa"/>
            <w:tcBorders>
              <w:top w:val="nil"/>
              <w:left w:val="nil"/>
              <w:bottom w:val="single" w:sz="4" w:space="0" w:color="1B556B"/>
              <w:right w:val="nil"/>
            </w:tcBorders>
            <w:shd w:val="clear" w:color="auto" w:fill="auto"/>
            <w:noWrap/>
            <w:vAlign w:val="center"/>
            <w:hideMark/>
          </w:tcPr>
          <w:p w14:paraId="5A2791AF" w14:textId="77777777" w:rsidR="00994F64" w:rsidRPr="00261B7A" w:rsidRDefault="00994F64" w:rsidP="0086449A">
            <w:pPr>
              <w:pStyle w:val="TableText"/>
              <w:spacing w:before="30" w:after="30"/>
              <w:jc w:val="center"/>
              <w:rPr>
                <w:rFonts w:cs="Calibri"/>
                <w:color w:val="FFFFFF"/>
                <w:szCs w:val="16"/>
              </w:rPr>
            </w:pPr>
            <w:r w:rsidRPr="00261B7A">
              <w:rPr>
                <w:rFonts w:cs="Calibri"/>
                <w:color w:val="FFFFFF"/>
                <w:szCs w:val="16"/>
              </w:rPr>
              <w:t>-</w:t>
            </w:r>
          </w:p>
        </w:tc>
        <w:tc>
          <w:tcPr>
            <w:tcW w:w="812" w:type="dxa"/>
            <w:tcBorders>
              <w:top w:val="nil"/>
              <w:left w:val="nil"/>
              <w:bottom w:val="single" w:sz="4" w:space="0" w:color="1B556B"/>
              <w:right w:val="nil"/>
            </w:tcBorders>
            <w:shd w:val="clear" w:color="auto" w:fill="auto"/>
            <w:noWrap/>
            <w:vAlign w:val="center"/>
            <w:hideMark/>
          </w:tcPr>
          <w:p w14:paraId="3B0CC49C" w14:textId="77777777" w:rsidR="00994F64" w:rsidRPr="00261B7A" w:rsidRDefault="00994F64" w:rsidP="0086449A">
            <w:pPr>
              <w:pStyle w:val="TableText"/>
              <w:spacing w:before="30" w:after="30"/>
              <w:jc w:val="center"/>
              <w:rPr>
                <w:rFonts w:cs="Calibri"/>
                <w:color w:val="FFFFFF"/>
                <w:szCs w:val="16"/>
              </w:rPr>
            </w:pPr>
            <w:r w:rsidRPr="00261B7A">
              <w:rPr>
                <w:rFonts w:cs="Calibri"/>
                <w:color w:val="FFFFFF"/>
                <w:szCs w:val="16"/>
              </w:rPr>
              <w:t>-</w:t>
            </w:r>
          </w:p>
        </w:tc>
      </w:tr>
      <w:tr w:rsidR="00994F64" w:rsidRPr="00261B7A" w14:paraId="12BDF995" w14:textId="77777777" w:rsidTr="00582E41">
        <w:tc>
          <w:tcPr>
            <w:tcW w:w="320" w:type="dxa"/>
            <w:vMerge w:val="restart"/>
            <w:tcBorders>
              <w:top w:val="single" w:sz="4" w:space="0" w:color="1B556B"/>
              <w:left w:val="nil"/>
              <w:bottom w:val="single" w:sz="4" w:space="0" w:color="365F91"/>
              <w:right w:val="nil"/>
            </w:tcBorders>
            <w:shd w:val="clear" w:color="auto" w:fill="auto"/>
            <w:noWrap/>
            <w:vAlign w:val="center"/>
            <w:hideMark/>
          </w:tcPr>
          <w:p w14:paraId="5D630BFA" w14:textId="77777777" w:rsidR="00994F64" w:rsidRPr="00261B7A" w:rsidRDefault="00994F64" w:rsidP="00501B0F">
            <w:pPr>
              <w:pStyle w:val="TableText"/>
              <w:spacing w:before="50" w:after="50"/>
              <w:rPr>
                <w:rFonts w:cs="Calibri"/>
                <w:szCs w:val="16"/>
              </w:rPr>
            </w:pPr>
            <w:r w:rsidRPr="00261B7A">
              <w:rPr>
                <w:rFonts w:cs="Calibri"/>
                <w:szCs w:val="16"/>
              </w:rPr>
              <w:t>2</w:t>
            </w:r>
          </w:p>
        </w:tc>
        <w:tc>
          <w:tcPr>
            <w:tcW w:w="3366" w:type="dxa"/>
            <w:tcBorders>
              <w:top w:val="single" w:sz="4" w:space="0" w:color="1B556B"/>
              <w:left w:val="nil"/>
              <w:bottom w:val="nil"/>
              <w:right w:val="nil"/>
            </w:tcBorders>
            <w:shd w:val="clear" w:color="auto" w:fill="auto"/>
            <w:vAlign w:val="center"/>
            <w:hideMark/>
          </w:tcPr>
          <w:p w14:paraId="3BCF591A" w14:textId="77777777" w:rsidR="00994F64" w:rsidRPr="00261B7A" w:rsidRDefault="00994F64" w:rsidP="00501B0F">
            <w:pPr>
              <w:pStyle w:val="TableText"/>
              <w:spacing w:before="40" w:after="0"/>
              <w:rPr>
                <w:rFonts w:cs="Calibri"/>
                <w:szCs w:val="16"/>
              </w:rPr>
            </w:pPr>
            <w:r w:rsidRPr="00261B7A">
              <w:rPr>
                <w:rFonts w:cs="Calibri"/>
                <w:szCs w:val="16"/>
              </w:rPr>
              <w:t>Indirect Emissions</w:t>
            </w:r>
          </w:p>
        </w:tc>
        <w:tc>
          <w:tcPr>
            <w:tcW w:w="850" w:type="dxa"/>
            <w:tcBorders>
              <w:top w:val="single" w:sz="4" w:space="0" w:color="1B556B"/>
              <w:left w:val="nil"/>
              <w:bottom w:val="nil"/>
              <w:right w:val="nil"/>
            </w:tcBorders>
            <w:shd w:val="clear" w:color="auto" w:fill="auto"/>
            <w:noWrap/>
            <w:vAlign w:val="center"/>
            <w:hideMark/>
          </w:tcPr>
          <w:p w14:paraId="1C9A07C6" w14:textId="77777777" w:rsidR="00994F64" w:rsidRPr="00261B7A" w:rsidRDefault="00994F64" w:rsidP="00501B0F">
            <w:pPr>
              <w:pStyle w:val="TableText"/>
              <w:spacing w:before="40" w:after="0"/>
              <w:jc w:val="center"/>
              <w:rPr>
                <w:rFonts w:cs="Calibri"/>
                <w:color w:val="FFFFFF"/>
                <w:szCs w:val="16"/>
              </w:rPr>
            </w:pPr>
            <w:r w:rsidRPr="00261B7A">
              <w:rPr>
                <w:rFonts w:cs="Calibri"/>
                <w:color w:val="FFFFFF"/>
                <w:szCs w:val="16"/>
              </w:rPr>
              <w:t>-</w:t>
            </w:r>
          </w:p>
        </w:tc>
        <w:tc>
          <w:tcPr>
            <w:tcW w:w="851" w:type="dxa"/>
            <w:tcBorders>
              <w:top w:val="single" w:sz="4" w:space="0" w:color="1B556B"/>
              <w:left w:val="nil"/>
              <w:bottom w:val="nil"/>
              <w:right w:val="nil"/>
            </w:tcBorders>
            <w:shd w:val="clear" w:color="auto" w:fill="auto"/>
            <w:noWrap/>
            <w:vAlign w:val="center"/>
            <w:hideMark/>
          </w:tcPr>
          <w:p w14:paraId="5C28FBCA" w14:textId="77777777" w:rsidR="00994F64" w:rsidRPr="00261B7A" w:rsidRDefault="00994F64" w:rsidP="00501B0F">
            <w:pPr>
              <w:pStyle w:val="TableText"/>
              <w:spacing w:before="40" w:after="0"/>
              <w:jc w:val="center"/>
              <w:rPr>
                <w:rFonts w:cs="Calibri"/>
                <w:color w:val="FFFFFF"/>
                <w:szCs w:val="16"/>
              </w:rPr>
            </w:pPr>
            <w:r w:rsidRPr="00261B7A">
              <w:rPr>
                <w:rFonts w:cs="Calibri"/>
                <w:color w:val="FFFFFF"/>
                <w:szCs w:val="16"/>
              </w:rPr>
              <w:t>-</w:t>
            </w:r>
          </w:p>
        </w:tc>
        <w:tc>
          <w:tcPr>
            <w:tcW w:w="709" w:type="dxa"/>
            <w:tcBorders>
              <w:top w:val="single" w:sz="4" w:space="0" w:color="1B556B"/>
              <w:left w:val="nil"/>
              <w:bottom w:val="nil"/>
              <w:right w:val="nil"/>
            </w:tcBorders>
            <w:shd w:val="clear" w:color="auto" w:fill="auto"/>
            <w:noWrap/>
            <w:vAlign w:val="center"/>
            <w:hideMark/>
          </w:tcPr>
          <w:p w14:paraId="2B504B73" w14:textId="77777777" w:rsidR="00994F64" w:rsidRPr="00261B7A" w:rsidRDefault="00994F64" w:rsidP="00501B0F">
            <w:pPr>
              <w:pStyle w:val="TableText"/>
              <w:spacing w:before="40" w:after="0"/>
              <w:jc w:val="center"/>
              <w:rPr>
                <w:rFonts w:cs="Calibri"/>
                <w:color w:val="FFFFFF"/>
                <w:szCs w:val="16"/>
              </w:rPr>
            </w:pPr>
            <w:r w:rsidRPr="00261B7A">
              <w:rPr>
                <w:rFonts w:cs="Calibri"/>
                <w:color w:val="FFFFFF"/>
                <w:szCs w:val="16"/>
              </w:rPr>
              <w:t>-</w:t>
            </w:r>
          </w:p>
        </w:tc>
        <w:tc>
          <w:tcPr>
            <w:tcW w:w="794" w:type="dxa"/>
            <w:tcBorders>
              <w:top w:val="single" w:sz="4" w:space="0" w:color="1B556B"/>
              <w:left w:val="nil"/>
              <w:bottom w:val="nil"/>
              <w:right w:val="nil"/>
            </w:tcBorders>
            <w:shd w:val="clear" w:color="auto" w:fill="auto"/>
            <w:noWrap/>
            <w:vAlign w:val="center"/>
            <w:hideMark/>
          </w:tcPr>
          <w:p w14:paraId="426B572A" w14:textId="77777777" w:rsidR="00994F64" w:rsidRPr="00261B7A" w:rsidRDefault="00994F64" w:rsidP="00501B0F">
            <w:pPr>
              <w:pStyle w:val="TableText"/>
              <w:spacing w:before="40" w:after="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nil"/>
              <w:right w:val="nil"/>
            </w:tcBorders>
            <w:shd w:val="clear" w:color="auto" w:fill="auto"/>
            <w:noWrap/>
            <w:vAlign w:val="center"/>
            <w:hideMark/>
          </w:tcPr>
          <w:p w14:paraId="2AFBBEAD" w14:textId="77777777" w:rsidR="00994F64" w:rsidRPr="00261B7A" w:rsidRDefault="00994F64" w:rsidP="00501B0F">
            <w:pPr>
              <w:pStyle w:val="TableText"/>
              <w:spacing w:before="40" w:after="0"/>
              <w:jc w:val="center"/>
              <w:rPr>
                <w:rFonts w:cs="Calibri"/>
                <w:color w:val="FFFFFF"/>
                <w:szCs w:val="16"/>
              </w:rPr>
            </w:pPr>
            <w:r w:rsidRPr="00261B7A">
              <w:rPr>
                <w:rFonts w:cs="Calibri"/>
                <w:color w:val="FFFFFF"/>
                <w:szCs w:val="16"/>
              </w:rPr>
              <w:t>-</w:t>
            </w:r>
          </w:p>
        </w:tc>
        <w:tc>
          <w:tcPr>
            <w:tcW w:w="812" w:type="dxa"/>
            <w:tcBorders>
              <w:top w:val="single" w:sz="4" w:space="0" w:color="1B556B"/>
              <w:left w:val="nil"/>
              <w:bottom w:val="nil"/>
              <w:right w:val="nil"/>
            </w:tcBorders>
            <w:shd w:val="clear" w:color="auto" w:fill="auto"/>
            <w:noWrap/>
            <w:vAlign w:val="center"/>
            <w:hideMark/>
          </w:tcPr>
          <w:p w14:paraId="16CEB337" w14:textId="77777777" w:rsidR="00994F64" w:rsidRPr="00261B7A" w:rsidRDefault="00994F64" w:rsidP="00501B0F">
            <w:pPr>
              <w:pStyle w:val="TableText"/>
              <w:spacing w:before="40" w:after="40"/>
              <w:jc w:val="center"/>
              <w:rPr>
                <w:rFonts w:cs="Calibri"/>
                <w:color w:val="FFFFFF"/>
                <w:szCs w:val="16"/>
              </w:rPr>
            </w:pPr>
            <w:r w:rsidRPr="00261B7A">
              <w:rPr>
                <w:rFonts w:cs="Calibri"/>
                <w:color w:val="FFFFFF"/>
                <w:szCs w:val="16"/>
              </w:rPr>
              <w:t>-</w:t>
            </w:r>
          </w:p>
        </w:tc>
      </w:tr>
      <w:tr w:rsidR="00994F64" w:rsidRPr="00261B7A" w14:paraId="33AB6A20" w14:textId="77777777" w:rsidTr="00582E41">
        <w:tc>
          <w:tcPr>
            <w:tcW w:w="320" w:type="dxa"/>
            <w:vMerge/>
            <w:tcBorders>
              <w:top w:val="single" w:sz="8" w:space="0" w:color="365F91"/>
              <w:left w:val="nil"/>
              <w:bottom w:val="single" w:sz="4" w:space="0" w:color="365F91"/>
              <w:right w:val="nil"/>
            </w:tcBorders>
            <w:vAlign w:val="center"/>
            <w:hideMark/>
          </w:tcPr>
          <w:p w14:paraId="1D1C903D" w14:textId="77777777" w:rsidR="00994F64" w:rsidRPr="00261B7A" w:rsidRDefault="00994F64" w:rsidP="00501B0F">
            <w:pPr>
              <w:pStyle w:val="TableText"/>
              <w:spacing w:before="50" w:after="50"/>
              <w:rPr>
                <w:rFonts w:cs="Calibri"/>
                <w:szCs w:val="16"/>
              </w:rPr>
            </w:pPr>
          </w:p>
        </w:tc>
        <w:tc>
          <w:tcPr>
            <w:tcW w:w="3366" w:type="dxa"/>
            <w:tcBorders>
              <w:top w:val="nil"/>
              <w:left w:val="nil"/>
              <w:bottom w:val="nil"/>
              <w:right w:val="nil"/>
            </w:tcBorders>
            <w:shd w:val="clear" w:color="auto" w:fill="auto"/>
            <w:vAlign w:val="center"/>
            <w:hideMark/>
          </w:tcPr>
          <w:p w14:paraId="6BD63618" w14:textId="77777777" w:rsidR="00994F64" w:rsidRPr="00261B7A" w:rsidRDefault="00994F64" w:rsidP="00501B0F">
            <w:pPr>
              <w:pStyle w:val="TableText"/>
              <w:spacing w:before="0" w:after="0"/>
              <w:rPr>
                <w:rFonts w:cs="Calibri"/>
                <w:szCs w:val="16"/>
              </w:rPr>
            </w:pPr>
            <w:r w:rsidRPr="00261B7A">
              <w:rPr>
                <w:rFonts w:cs="Calibri"/>
                <w:szCs w:val="16"/>
              </w:rPr>
              <w:t>Atmospheric Deposition</w:t>
            </w:r>
          </w:p>
        </w:tc>
        <w:tc>
          <w:tcPr>
            <w:tcW w:w="850" w:type="dxa"/>
            <w:tcBorders>
              <w:top w:val="nil"/>
              <w:left w:val="nil"/>
              <w:bottom w:val="nil"/>
              <w:right w:val="nil"/>
            </w:tcBorders>
            <w:shd w:val="clear" w:color="auto" w:fill="auto"/>
            <w:noWrap/>
            <w:vAlign w:val="center"/>
            <w:hideMark/>
          </w:tcPr>
          <w:p w14:paraId="13E630EE" w14:textId="77777777" w:rsidR="00994F64" w:rsidRPr="00261B7A" w:rsidRDefault="00994F64" w:rsidP="00501B0F">
            <w:pPr>
              <w:pStyle w:val="TableText"/>
              <w:spacing w:before="0" w:after="0"/>
              <w:jc w:val="center"/>
              <w:rPr>
                <w:rFonts w:cs="Calibri"/>
                <w:color w:val="FFFFFF"/>
                <w:szCs w:val="16"/>
              </w:rPr>
            </w:pPr>
            <w:r w:rsidRPr="00261B7A">
              <w:rPr>
                <w:rFonts w:cs="Calibri"/>
                <w:color w:val="FFFFFF"/>
                <w:szCs w:val="16"/>
              </w:rPr>
              <w:t>-</w:t>
            </w:r>
          </w:p>
        </w:tc>
        <w:tc>
          <w:tcPr>
            <w:tcW w:w="851" w:type="dxa"/>
            <w:tcBorders>
              <w:top w:val="nil"/>
              <w:left w:val="nil"/>
              <w:bottom w:val="nil"/>
              <w:right w:val="nil"/>
            </w:tcBorders>
            <w:shd w:val="clear" w:color="auto" w:fill="auto"/>
            <w:noWrap/>
            <w:vAlign w:val="center"/>
            <w:hideMark/>
          </w:tcPr>
          <w:p w14:paraId="00EFD7D5" w14:textId="77777777" w:rsidR="00994F64" w:rsidRPr="00261B7A" w:rsidRDefault="00994F64" w:rsidP="00501B0F">
            <w:pPr>
              <w:pStyle w:val="TableText"/>
              <w:spacing w:before="0" w:after="0"/>
              <w:jc w:val="center"/>
              <w:rPr>
                <w:rFonts w:cs="Calibri"/>
                <w:color w:val="FFFFFF"/>
                <w:szCs w:val="16"/>
              </w:rPr>
            </w:pPr>
            <w:r w:rsidRPr="00261B7A">
              <w:rPr>
                <w:rFonts w:cs="Calibri"/>
                <w:color w:val="FFFFFF"/>
                <w:szCs w:val="16"/>
              </w:rPr>
              <w:t>-</w:t>
            </w:r>
          </w:p>
        </w:tc>
        <w:tc>
          <w:tcPr>
            <w:tcW w:w="709" w:type="dxa"/>
            <w:tcBorders>
              <w:top w:val="nil"/>
              <w:left w:val="nil"/>
              <w:bottom w:val="nil"/>
              <w:right w:val="nil"/>
            </w:tcBorders>
            <w:shd w:val="clear" w:color="auto" w:fill="auto"/>
            <w:noWrap/>
            <w:vAlign w:val="center"/>
            <w:hideMark/>
          </w:tcPr>
          <w:p w14:paraId="0C37B0CB" w14:textId="77777777" w:rsidR="00994F64" w:rsidRPr="00261B7A" w:rsidRDefault="00994F64" w:rsidP="00501B0F">
            <w:pPr>
              <w:pStyle w:val="TableText"/>
              <w:spacing w:before="0" w:after="0"/>
              <w:jc w:val="center"/>
              <w:rPr>
                <w:rFonts w:cs="Calibri"/>
                <w:szCs w:val="16"/>
              </w:rPr>
            </w:pPr>
            <w:r w:rsidRPr="00261B7A">
              <w:rPr>
                <w:rFonts w:cs="Calibri"/>
                <w:szCs w:val="16"/>
              </w:rPr>
              <w:t>T1, T2</w:t>
            </w:r>
          </w:p>
        </w:tc>
        <w:tc>
          <w:tcPr>
            <w:tcW w:w="794" w:type="dxa"/>
            <w:tcBorders>
              <w:top w:val="nil"/>
              <w:left w:val="nil"/>
              <w:bottom w:val="nil"/>
              <w:right w:val="nil"/>
            </w:tcBorders>
            <w:shd w:val="clear" w:color="auto" w:fill="auto"/>
            <w:noWrap/>
            <w:vAlign w:val="center"/>
            <w:hideMark/>
          </w:tcPr>
          <w:p w14:paraId="4F8607E1" w14:textId="77777777" w:rsidR="00994F64" w:rsidRPr="00261B7A" w:rsidRDefault="00994F64" w:rsidP="00501B0F">
            <w:pPr>
              <w:pStyle w:val="TableText"/>
              <w:spacing w:before="0" w:after="0"/>
              <w:jc w:val="center"/>
              <w:rPr>
                <w:rFonts w:cs="Calibri"/>
                <w:szCs w:val="16"/>
              </w:rPr>
            </w:pPr>
            <w:r w:rsidRPr="00261B7A">
              <w:rPr>
                <w:rFonts w:cs="Calibri"/>
                <w:szCs w:val="16"/>
              </w:rPr>
              <w:t>D</w:t>
            </w:r>
          </w:p>
        </w:tc>
        <w:tc>
          <w:tcPr>
            <w:tcW w:w="812" w:type="dxa"/>
            <w:tcBorders>
              <w:top w:val="nil"/>
              <w:left w:val="nil"/>
              <w:bottom w:val="nil"/>
              <w:right w:val="nil"/>
            </w:tcBorders>
            <w:shd w:val="clear" w:color="auto" w:fill="auto"/>
            <w:noWrap/>
            <w:vAlign w:val="center"/>
            <w:hideMark/>
          </w:tcPr>
          <w:p w14:paraId="63E9278D" w14:textId="77777777" w:rsidR="00994F64" w:rsidRPr="00261B7A" w:rsidRDefault="00994F64" w:rsidP="00501B0F">
            <w:pPr>
              <w:pStyle w:val="TableText"/>
              <w:spacing w:before="40" w:after="0"/>
              <w:jc w:val="center"/>
              <w:rPr>
                <w:rFonts w:cs="Calibri"/>
                <w:color w:val="FFFFFF"/>
                <w:szCs w:val="16"/>
              </w:rPr>
            </w:pPr>
            <w:r w:rsidRPr="00261B7A">
              <w:rPr>
                <w:rFonts w:cs="Calibri"/>
                <w:color w:val="FFFFFF"/>
                <w:szCs w:val="16"/>
              </w:rPr>
              <w:t>-</w:t>
            </w:r>
          </w:p>
        </w:tc>
        <w:tc>
          <w:tcPr>
            <w:tcW w:w="812" w:type="dxa"/>
            <w:tcBorders>
              <w:top w:val="nil"/>
              <w:left w:val="nil"/>
              <w:bottom w:val="nil"/>
              <w:right w:val="nil"/>
            </w:tcBorders>
            <w:shd w:val="clear" w:color="auto" w:fill="auto"/>
            <w:noWrap/>
            <w:vAlign w:val="center"/>
            <w:hideMark/>
          </w:tcPr>
          <w:p w14:paraId="029F4875" w14:textId="77777777" w:rsidR="00994F64" w:rsidRPr="00261B7A" w:rsidRDefault="00994F64" w:rsidP="00501B0F">
            <w:pPr>
              <w:pStyle w:val="TableText"/>
              <w:spacing w:before="40" w:after="40"/>
              <w:jc w:val="center"/>
              <w:rPr>
                <w:rFonts w:cs="Calibri"/>
                <w:color w:val="FFFFFF"/>
                <w:szCs w:val="16"/>
              </w:rPr>
            </w:pPr>
            <w:r w:rsidRPr="00261B7A">
              <w:rPr>
                <w:rFonts w:cs="Calibri"/>
                <w:color w:val="FFFFFF"/>
                <w:szCs w:val="16"/>
              </w:rPr>
              <w:t>-</w:t>
            </w:r>
          </w:p>
        </w:tc>
      </w:tr>
      <w:tr w:rsidR="00994F64" w:rsidRPr="00261B7A" w14:paraId="57680C9C" w14:textId="77777777" w:rsidTr="00582E41">
        <w:tc>
          <w:tcPr>
            <w:tcW w:w="320" w:type="dxa"/>
            <w:vMerge/>
            <w:tcBorders>
              <w:top w:val="single" w:sz="8" w:space="0" w:color="365F91"/>
              <w:left w:val="nil"/>
              <w:bottom w:val="single" w:sz="4" w:space="0" w:color="1B556B"/>
              <w:right w:val="nil"/>
            </w:tcBorders>
            <w:vAlign w:val="center"/>
            <w:hideMark/>
          </w:tcPr>
          <w:p w14:paraId="52131B41" w14:textId="77777777" w:rsidR="00994F64" w:rsidRPr="00261B7A" w:rsidRDefault="00994F64" w:rsidP="00501B0F">
            <w:pPr>
              <w:pStyle w:val="TableText"/>
              <w:spacing w:before="50" w:after="50"/>
              <w:rPr>
                <w:rFonts w:cs="Calibri"/>
                <w:szCs w:val="16"/>
              </w:rPr>
            </w:pPr>
          </w:p>
        </w:tc>
        <w:tc>
          <w:tcPr>
            <w:tcW w:w="3366" w:type="dxa"/>
            <w:tcBorders>
              <w:top w:val="nil"/>
              <w:left w:val="nil"/>
              <w:bottom w:val="single" w:sz="4" w:space="0" w:color="1B556B"/>
              <w:right w:val="nil"/>
            </w:tcBorders>
            <w:shd w:val="clear" w:color="auto" w:fill="auto"/>
            <w:vAlign w:val="center"/>
            <w:hideMark/>
          </w:tcPr>
          <w:p w14:paraId="42095DFC" w14:textId="77777777" w:rsidR="00994F64" w:rsidRPr="00261B7A" w:rsidRDefault="00994F64" w:rsidP="00501B0F">
            <w:pPr>
              <w:pStyle w:val="TableText"/>
              <w:spacing w:before="0" w:after="40"/>
              <w:rPr>
                <w:rFonts w:cs="Calibri"/>
                <w:szCs w:val="16"/>
              </w:rPr>
            </w:pPr>
            <w:r w:rsidRPr="00261B7A">
              <w:rPr>
                <w:rFonts w:cs="Calibri"/>
                <w:szCs w:val="16"/>
              </w:rPr>
              <w:t>Nitrogen Leaching and Run-off</w:t>
            </w:r>
          </w:p>
        </w:tc>
        <w:tc>
          <w:tcPr>
            <w:tcW w:w="850" w:type="dxa"/>
            <w:tcBorders>
              <w:top w:val="nil"/>
              <w:left w:val="nil"/>
              <w:bottom w:val="single" w:sz="4" w:space="0" w:color="1B556B"/>
              <w:right w:val="nil"/>
            </w:tcBorders>
            <w:shd w:val="clear" w:color="auto" w:fill="auto"/>
            <w:noWrap/>
            <w:vAlign w:val="center"/>
            <w:hideMark/>
          </w:tcPr>
          <w:p w14:paraId="7C67706C" w14:textId="77777777" w:rsidR="00994F64" w:rsidRPr="00261B7A" w:rsidRDefault="00994F64" w:rsidP="00501B0F">
            <w:pPr>
              <w:pStyle w:val="TableText"/>
              <w:spacing w:before="0" w:after="40"/>
              <w:jc w:val="center"/>
              <w:rPr>
                <w:rFonts w:cs="Calibri"/>
                <w:color w:val="FFFFFF"/>
                <w:szCs w:val="16"/>
              </w:rPr>
            </w:pPr>
            <w:r w:rsidRPr="00261B7A">
              <w:rPr>
                <w:rFonts w:cs="Calibri"/>
                <w:color w:val="FFFFFF"/>
                <w:szCs w:val="16"/>
              </w:rPr>
              <w:t>-</w:t>
            </w:r>
          </w:p>
        </w:tc>
        <w:tc>
          <w:tcPr>
            <w:tcW w:w="851" w:type="dxa"/>
            <w:tcBorders>
              <w:top w:val="nil"/>
              <w:left w:val="nil"/>
              <w:bottom w:val="single" w:sz="4" w:space="0" w:color="1B556B"/>
              <w:right w:val="nil"/>
            </w:tcBorders>
            <w:shd w:val="clear" w:color="auto" w:fill="auto"/>
            <w:noWrap/>
            <w:vAlign w:val="center"/>
            <w:hideMark/>
          </w:tcPr>
          <w:p w14:paraId="2750E44F" w14:textId="77777777" w:rsidR="00994F64" w:rsidRPr="00261B7A" w:rsidRDefault="00994F64" w:rsidP="00501B0F">
            <w:pPr>
              <w:pStyle w:val="TableText"/>
              <w:spacing w:before="0" w:after="40"/>
              <w:jc w:val="center"/>
              <w:rPr>
                <w:rFonts w:cs="Calibri"/>
                <w:color w:val="FFFFFF"/>
                <w:szCs w:val="16"/>
              </w:rPr>
            </w:pPr>
            <w:r w:rsidRPr="00261B7A">
              <w:rPr>
                <w:rFonts w:cs="Calibri"/>
                <w:color w:val="FFFFFF"/>
                <w:szCs w:val="16"/>
              </w:rPr>
              <w:t>-</w:t>
            </w:r>
          </w:p>
        </w:tc>
        <w:tc>
          <w:tcPr>
            <w:tcW w:w="709" w:type="dxa"/>
            <w:tcBorders>
              <w:top w:val="nil"/>
              <w:left w:val="nil"/>
              <w:bottom w:val="single" w:sz="4" w:space="0" w:color="1B556B"/>
              <w:right w:val="nil"/>
            </w:tcBorders>
            <w:shd w:val="clear" w:color="auto" w:fill="auto"/>
            <w:noWrap/>
            <w:vAlign w:val="center"/>
            <w:hideMark/>
          </w:tcPr>
          <w:p w14:paraId="655374F4" w14:textId="77777777" w:rsidR="00994F64" w:rsidRPr="00261B7A" w:rsidRDefault="00994F64" w:rsidP="00501B0F">
            <w:pPr>
              <w:pStyle w:val="TableText"/>
              <w:spacing w:before="0" w:after="40"/>
              <w:jc w:val="center"/>
              <w:rPr>
                <w:rFonts w:cs="Calibri"/>
                <w:szCs w:val="16"/>
              </w:rPr>
            </w:pPr>
            <w:r w:rsidRPr="00261B7A">
              <w:rPr>
                <w:rFonts w:cs="Calibri"/>
                <w:szCs w:val="16"/>
              </w:rPr>
              <w:t>T1, T2</w:t>
            </w:r>
          </w:p>
        </w:tc>
        <w:tc>
          <w:tcPr>
            <w:tcW w:w="794" w:type="dxa"/>
            <w:tcBorders>
              <w:top w:val="nil"/>
              <w:left w:val="nil"/>
              <w:bottom w:val="single" w:sz="4" w:space="0" w:color="1B556B"/>
              <w:right w:val="nil"/>
            </w:tcBorders>
            <w:shd w:val="clear" w:color="auto" w:fill="auto"/>
            <w:noWrap/>
            <w:vAlign w:val="center"/>
            <w:hideMark/>
          </w:tcPr>
          <w:p w14:paraId="4DBA8EB4" w14:textId="77777777" w:rsidR="00994F64" w:rsidRPr="00261B7A" w:rsidRDefault="00994F64" w:rsidP="00501B0F">
            <w:pPr>
              <w:pStyle w:val="TableText"/>
              <w:spacing w:before="0" w:after="40"/>
              <w:jc w:val="center"/>
              <w:rPr>
                <w:rFonts w:cs="Calibri"/>
                <w:szCs w:val="16"/>
              </w:rPr>
            </w:pPr>
            <w:r w:rsidRPr="00261B7A">
              <w:rPr>
                <w:rFonts w:cs="Calibri"/>
                <w:szCs w:val="16"/>
              </w:rPr>
              <w:t>CS</w:t>
            </w:r>
          </w:p>
        </w:tc>
        <w:tc>
          <w:tcPr>
            <w:tcW w:w="812" w:type="dxa"/>
            <w:tcBorders>
              <w:top w:val="nil"/>
              <w:left w:val="nil"/>
              <w:bottom w:val="single" w:sz="4" w:space="0" w:color="1B556B"/>
              <w:right w:val="nil"/>
            </w:tcBorders>
            <w:shd w:val="clear" w:color="auto" w:fill="auto"/>
            <w:noWrap/>
            <w:vAlign w:val="center"/>
            <w:hideMark/>
          </w:tcPr>
          <w:p w14:paraId="090175F9" w14:textId="77777777" w:rsidR="00994F64" w:rsidRPr="00261B7A" w:rsidRDefault="00994F64" w:rsidP="00501B0F">
            <w:pPr>
              <w:pStyle w:val="TableText"/>
              <w:spacing w:before="40" w:after="40"/>
              <w:jc w:val="center"/>
              <w:rPr>
                <w:rFonts w:cs="Calibri"/>
                <w:color w:val="FFFFFF"/>
                <w:szCs w:val="16"/>
              </w:rPr>
            </w:pPr>
            <w:r w:rsidRPr="00261B7A">
              <w:rPr>
                <w:rFonts w:cs="Calibri"/>
                <w:color w:val="FFFFFF"/>
                <w:szCs w:val="16"/>
              </w:rPr>
              <w:t>-</w:t>
            </w:r>
          </w:p>
        </w:tc>
        <w:tc>
          <w:tcPr>
            <w:tcW w:w="812" w:type="dxa"/>
            <w:tcBorders>
              <w:top w:val="nil"/>
              <w:left w:val="nil"/>
              <w:bottom w:val="single" w:sz="4" w:space="0" w:color="1B556B"/>
              <w:right w:val="nil"/>
            </w:tcBorders>
            <w:shd w:val="clear" w:color="auto" w:fill="auto"/>
            <w:noWrap/>
            <w:vAlign w:val="center"/>
            <w:hideMark/>
          </w:tcPr>
          <w:p w14:paraId="1817781F" w14:textId="77777777" w:rsidR="00994F64" w:rsidRPr="00261B7A" w:rsidRDefault="00994F64" w:rsidP="00501B0F">
            <w:pPr>
              <w:pStyle w:val="TableText"/>
              <w:spacing w:before="40" w:after="40"/>
              <w:jc w:val="center"/>
              <w:rPr>
                <w:rFonts w:cs="Calibri"/>
                <w:color w:val="FFFFFF"/>
                <w:szCs w:val="16"/>
              </w:rPr>
            </w:pPr>
            <w:r w:rsidRPr="00261B7A">
              <w:rPr>
                <w:rFonts w:cs="Calibri"/>
                <w:color w:val="FFFFFF"/>
                <w:szCs w:val="16"/>
              </w:rPr>
              <w:t>-</w:t>
            </w:r>
          </w:p>
        </w:tc>
      </w:tr>
      <w:tr w:rsidR="00994F64" w:rsidRPr="00261B7A" w14:paraId="1759A3B5" w14:textId="77777777" w:rsidTr="00582E41">
        <w:tc>
          <w:tcPr>
            <w:tcW w:w="320" w:type="dxa"/>
            <w:tcBorders>
              <w:top w:val="single" w:sz="4" w:space="0" w:color="1B556B"/>
              <w:left w:val="nil"/>
              <w:bottom w:val="single" w:sz="4" w:space="0" w:color="1B556B"/>
              <w:right w:val="nil"/>
            </w:tcBorders>
            <w:shd w:val="clear" w:color="auto" w:fill="auto"/>
            <w:noWrap/>
            <w:vAlign w:val="center"/>
            <w:hideMark/>
          </w:tcPr>
          <w:p w14:paraId="4DB8A439" w14:textId="77777777" w:rsidR="00994F64" w:rsidRPr="00261B7A" w:rsidRDefault="00994F64" w:rsidP="00501B0F">
            <w:pPr>
              <w:spacing w:before="50" w:after="50"/>
              <w:rPr>
                <w:rFonts w:cs="Calibri"/>
                <w:b/>
                <w:bCs/>
                <w:color w:val="000000"/>
                <w:sz w:val="16"/>
                <w:szCs w:val="16"/>
              </w:rPr>
            </w:pPr>
            <w:r w:rsidRPr="00261B7A">
              <w:rPr>
                <w:rFonts w:cs="Calibri"/>
                <w:b/>
                <w:bCs/>
                <w:color w:val="000000"/>
                <w:sz w:val="16"/>
                <w:szCs w:val="16"/>
              </w:rPr>
              <w:t>E</w:t>
            </w:r>
          </w:p>
        </w:tc>
        <w:tc>
          <w:tcPr>
            <w:tcW w:w="3366" w:type="dxa"/>
            <w:tcBorders>
              <w:top w:val="single" w:sz="4" w:space="0" w:color="1B556B"/>
              <w:left w:val="nil"/>
              <w:bottom w:val="single" w:sz="4" w:space="0" w:color="1B556B"/>
              <w:right w:val="nil"/>
            </w:tcBorders>
            <w:shd w:val="clear" w:color="auto" w:fill="auto"/>
            <w:vAlign w:val="center"/>
            <w:hideMark/>
          </w:tcPr>
          <w:p w14:paraId="3F80F998" w14:textId="77777777" w:rsidR="00994F64" w:rsidRPr="00261B7A" w:rsidRDefault="00994F64" w:rsidP="00501B0F">
            <w:pPr>
              <w:spacing w:before="40" w:after="40"/>
              <w:rPr>
                <w:rFonts w:cs="Calibri"/>
                <w:b/>
                <w:bCs/>
                <w:color w:val="000000"/>
                <w:sz w:val="16"/>
                <w:szCs w:val="16"/>
              </w:rPr>
            </w:pPr>
            <w:r w:rsidRPr="00261B7A">
              <w:rPr>
                <w:rFonts w:cs="Calibri"/>
                <w:b/>
                <w:bCs/>
                <w:color w:val="000000"/>
                <w:sz w:val="16"/>
                <w:szCs w:val="16"/>
              </w:rPr>
              <w:t xml:space="preserve">Prescribed Burning of Savannas </w:t>
            </w:r>
          </w:p>
        </w:tc>
        <w:tc>
          <w:tcPr>
            <w:tcW w:w="850" w:type="dxa"/>
            <w:tcBorders>
              <w:top w:val="single" w:sz="4" w:space="0" w:color="1B556B"/>
              <w:left w:val="nil"/>
              <w:bottom w:val="single" w:sz="4" w:space="0" w:color="1B556B"/>
              <w:right w:val="nil"/>
            </w:tcBorders>
            <w:shd w:val="clear" w:color="auto" w:fill="auto"/>
            <w:noWrap/>
            <w:vAlign w:val="center"/>
            <w:hideMark/>
          </w:tcPr>
          <w:p w14:paraId="51F422B8" w14:textId="77777777" w:rsidR="00994F64" w:rsidRPr="00261B7A" w:rsidRDefault="00994F64" w:rsidP="00501B0F">
            <w:pPr>
              <w:spacing w:before="40" w:after="40"/>
              <w:jc w:val="center"/>
              <w:rPr>
                <w:rFonts w:cs="Calibri"/>
                <w:color w:val="000000"/>
                <w:sz w:val="16"/>
                <w:szCs w:val="16"/>
              </w:rPr>
            </w:pPr>
            <w:r w:rsidRPr="00261B7A">
              <w:rPr>
                <w:rFonts w:cs="Calibri"/>
                <w:color w:val="000000"/>
                <w:sz w:val="16"/>
                <w:szCs w:val="16"/>
              </w:rPr>
              <w:t>NA</w:t>
            </w:r>
          </w:p>
        </w:tc>
        <w:tc>
          <w:tcPr>
            <w:tcW w:w="851" w:type="dxa"/>
            <w:tcBorders>
              <w:top w:val="single" w:sz="4" w:space="0" w:color="1B556B"/>
              <w:left w:val="nil"/>
              <w:bottom w:val="single" w:sz="4" w:space="0" w:color="1B556B"/>
              <w:right w:val="nil"/>
            </w:tcBorders>
            <w:shd w:val="clear" w:color="auto" w:fill="auto"/>
            <w:noWrap/>
            <w:vAlign w:val="center"/>
            <w:hideMark/>
          </w:tcPr>
          <w:p w14:paraId="1DE4D944" w14:textId="77777777" w:rsidR="00994F64" w:rsidRPr="00261B7A" w:rsidRDefault="00994F64" w:rsidP="00501B0F">
            <w:pPr>
              <w:spacing w:before="40" w:after="40"/>
              <w:jc w:val="center"/>
              <w:rPr>
                <w:rFonts w:cs="Calibri"/>
                <w:color w:val="000000"/>
                <w:sz w:val="16"/>
                <w:szCs w:val="16"/>
              </w:rPr>
            </w:pPr>
            <w:r w:rsidRPr="00261B7A">
              <w:rPr>
                <w:rFonts w:cs="Calibri"/>
                <w:color w:val="000000"/>
                <w:sz w:val="16"/>
                <w:szCs w:val="16"/>
              </w:rPr>
              <w:t>NA</w:t>
            </w:r>
          </w:p>
        </w:tc>
        <w:tc>
          <w:tcPr>
            <w:tcW w:w="709" w:type="dxa"/>
            <w:tcBorders>
              <w:top w:val="single" w:sz="4" w:space="0" w:color="1B556B"/>
              <w:left w:val="nil"/>
              <w:bottom w:val="single" w:sz="4" w:space="0" w:color="1B556B"/>
              <w:right w:val="nil"/>
            </w:tcBorders>
            <w:shd w:val="clear" w:color="auto" w:fill="auto"/>
            <w:noWrap/>
            <w:vAlign w:val="center"/>
            <w:hideMark/>
          </w:tcPr>
          <w:p w14:paraId="6F6FD92C" w14:textId="77777777" w:rsidR="00994F64" w:rsidRPr="00261B7A" w:rsidRDefault="00994F64" w:rsidP="00501B0F">
            <w:pPr>
              <w:spacing w:before="40" w:after="40"/>
              <w:jc w:val="center"/>
              <w:rPr>
                <w:rFonts w:cs="Calibri"/>
                <w:color w:val="000000"/>
                <w:sz w:val="16"/>
                <w:szCs w:val="16"/>
              </w:rPr>
            </w:pPr>
            <w:r w:rsidRPr="00261B7A">
              <w:rPr>
                <w:rFonts w:cs="Calibri"/>
                <w:color w:val="000000"/>
                <w:sz w:val="16"/>
                <w:szCs w:val="16"/>
              </w:rPr>
              <w:t>NA</w:t>
            </w:r>
          </w:p>
        </w:tc>
        <w:tc>
          <w:tcPr>
            <w:tcW w:w="794" w:type="dxa"/>
            <w:tcBorders>
              <w:top w:val="single" w:sz="4" w:space="0" w:color="1B556B"/>
              <w:left w:val="nil"/>
              <w:bottom w:val="single" w:sz="4" w:space="0" w:color="1B556B"/>
              <w:right w:val="nil"/>
            </w:tcBorders>
            <w:shd w:val="clear" w:color="auto" w:fill="auto"/>
            <w:noWrap/>
            <w:vAlign w:val="center"/>
            <w:hideMark/>
          </w:tcPr>
          <w:p w14:paraId="30EB5429" w14:textId="77777777" w:rsidR="00994F64" w:rsidRPr="00261B7A" w:rsidRDefault="00994F64" w:rsidP="00501B0F">
            <w:pPr>
              <w:spacing w:before="40" w:after="40"/>
              <w:jc w:val="center"/>
              <w:rPr>
                <w:rFonts w:cs="Calibri"/>
                <w:color w:val="000000"/>
                <w:sz w:val="16"/>
                <w:szCs w:val="16"/>
              </w:rPr>
            </w:pPr>
            <w:r w:rsidRPr="00261B7A">
              <w:rPr>
                <w:rFonts w:cs="Calibri"/>
                <w:color w:val="000000"/>
                <w:sz w:val="16"/>
                <w:szCs w:val="16"/>
              </w:rPr>
              <w:t>NA</w:t>
            </w:r>
          </w:p>
        </w:tc>
        <w:tc>
          <w:tcPr>
            <w:tcW w:w="812" w:type="dxa"/>
            <w:tcBorders>
              <w:top w:val="single" w:sz="4" w:space="0" w:color="1B556B"/>
              <w:left w:val="nil"/>
              <w:bottom w:val="single" w:sz="4" w:space="0" w:color="1B556B"/>
              <w:right w:val="nil"/>
            </w:tcBorders>
            <w:shd w:val="clear" w:color="auto" w:fill="auto"/>
            <w:noWrap/>
            <w:vAlign w:val="center"/>
            <w:hideMark/>
          </w:tcPr>
          <w:p w14:paraId="4F088761" w14:textId="77777777" w:rsidR="00994F64" w:rsidRPr="00261B7A" w:rsidRDefault="00994F64" w:rsidP="00501B0F">
            <w:pPr>
              <w:spacing w:before="40" w:after="40"/>
              <w:jc w:val="center"/>
              <w:rPr>
                <w:rFonts w:cs="Calibri"/>
                <w:color w:val="FFFFFF"/>
                <w:sz w:val="16"/>
                <w:szCs w:val="16"/>
              </w:rPr>
            </w:pPr>
            <w:r w:rsidRPr="00261B7A">
              <w:rPr>
                <w:rFonts w:cs="Calibri"/>
                <w:color w:val="FFFFFF"/>
                <w:sz w:val="16"/>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153E6FF4" w14:textId="77777777" w:rsidR="00994F64" w:rsidRPr="00261B7A" w:rsidRDefault="00994F64" w:rsidP="00501B0F">
            <w:pPr>
              <w:spacing w:before="40" w:after="40"/>
              <w:jc w:val="center"/>
              <w:rPr>
                <w:rFonts w:cs="Calibri"/>
                <w:color w:val="FFFFFF"/>
                <w:sz w:val="16"/>
                <w:szCs w:val="16"/>
              </w:rPr>
            </w:pPr>
            <w:r w:rsidRPr="00261B7A">
              <w:rPr>
                <w:rFonts w:cs="Calibri"/>
                <w:color w:val="FFFFFF"/>
                <w:sz w:val="16"/>
                <w:szCs w:val="16"/>
              </w:rPr>
              <w:t>-</w:t>
            </w:r>
          </w:p>
        </w:tc>
      </w:tr>
      <w:tr w:rsidR="00994F64" w:rsidRPr="00261B7A" w14:paraId="44844458" w14:textId="77777777" w:rsidTr="00582E41">
        <w:tc>
          <w:tcPr>
            <w:tcW w:w="320" w:type="dxa"/>
            <w:tcBorders>
              <w:top w:val="single" w:sz="4" w:space="0" w:color="1B556B"/>
              <w:left w:val="nil"/>
              <w:bottom w:val="single" w:sz="4" w:space="0" w:color="1B556B"/>
              <w:right w:val="nil"/>
            </w:tcBorders>
            <w:shd w:val="clear" w:color="auto" w:fill="auto"/>
            <w:noWrap/>
            <w:vAlign w:val="center"/>
            <w:hideMark/>
          </w:tcPr>
          <w:p w14:paraId="64EA15D7" w14:textId="77777777" w:rsidR="00994F64" w:rsidRPr="00261B7A" w:rsidRDefault="00994F64" w:rsidP="00501B0F">
            <w:pPr>
              <w:spacing w:before="50" w:after="50"/>
              <w:rPr>
                <w:rFonts w:cs="Calibri"/>
                <w:b/>
                <w:bCs/>
                <w:color w:val="000000"/>
                <w:sz w:val="16"/>
                <w:szCs w:val="16"/>
              </w:rPr>
            </w:pPr>
            <w:r w:rsidRPr="00261B7A">
              <w:rPr>
                <w:rFonts w:cs="Calibri"/>
                <w:b/>
                <w:bCs/>
                <w:color w:val="000000"/>
                <w:sz w:val="16"/>
                <w:szCs w:val="16"/>
              </w:rPr>
              <w:t>F</w:t>
            </w:r>
          </w:p>
        </w:tc>
        <w:tc>
          <w:tcPr>
            <w:tcW w:w="3366" w:type="dxa"/>
            <w:tcBorders>
              <w:top w:val="single" w:sz="4" w:space="0" w:color="1B556B"/>
              <w:left w:val="nil"/>
              <w:bottom w:val="single" w:sz="4" w:space="0" w:color="1B556B"/>
              <w:right w:val="nil"/>
            </w:tcBorders>
            <w:shd w:val="clear" w:color="auto" w:fill="auto"/>
            <w:vAlign w:val="center"/>
            <w:hideMark/>
          </w:tcPr>
          <w:p w14:paraId="0354D710" w14:textId="77777777" w:rsidR="00994F64" w:rsidRPr="00261B7A" w:rsidRDefault="00994F64" w:rsidP="00501B0F">
            <w:pPr>
              <w:spacing w:before="40" w:after="40"/>
              <w:rPr>
                <w:rFonts w:cs="Calibri"/>
                <w:b/>
                <w:bCs/>
                <w:color w:val="000000"/>
                <w:sz w:val="16"/>
                <w:szCs w:val="16"/>
              </w:rPr>
            </w:pPr>
            <w:r w:rsidRPr="00261B7A">
              <w:rPr>
                <w:rFonts w:cs="Calibri"/>
                <w:b/>
                <w:bCs/>
                <w:color w:val="000000"/>
                <w:sz w:val="16"/>
                <w:szCs w:val="16"/>
              </w:rPr>
              <w:t>Field Burning of Agricultural Residues</w:t>
            </w:r>
          </w:p>
        </w:tc>
        <w:tc>
          <w:tcPr>
            <w:tcW w:w="850" w:type="dxa"/>
            <w:tcBorders>
              <w:top w:val="single" w:sz="4" w:space="0" w:color="1B556B"/>
              <w:left w:val="nil"/>
              <w:bottom w:val="single" w:sz="4" w:space="0" w:color="1B556B"/>
              <w:right w:val="nil"/>
            </w:tcBorders>
            <w:shd w:val="clear" w:color="auto" w:fill="auto"/>
            <w:noWrap/>
            <w:vAlign w:val="center"/>
            <w:hideMark/>
          </w:tcPr>
          <w:p w14:paraId="68CB4140" w14:textId="77777777" w:rsidR="00994F64" w:rsidRPr="00261B7A" w:rsidRDefault="00994F64" w:rsidP="00501B0F">
            <w:pPr>
              <w:spacing w:before="40" w:after="40"/>
              <w:jc w:val="center"/>
              <w:rPr>
                <w:rFonts w:cs="Calibri"/>
                <w:color w:val="000000"/>
                <w:sz w:val="16"/>
                <w:szCs w:val="16"/>
              </w:rPr>
            </w:pPr>
            <w:r w:rsidRPr="00261B7A">
              <w:rPr>
                <w:rFonts w:cs="Calibri"/>
                <w:color w:val="000000"/>
                <w:sz w:val="16"/>
                <w:szCs w:val="16"/>
              </w:rPr>
              <w:t>T2</w:t>
            </w:r>
          </w:p>
        </w:tc>
        <w:tc>
          <w:tcPr>
            <w:tcW w:w="851" w:type="dxa"/>
            <w:tcBorders>
              <w:top w:val="single" w:sz="4" w:space="0" w:color="1B556B"/>
              <w:left w:val="nil"/>
              <w:bottom w:val="single" w:sz="4" w:space="0" w:color="1B556B"/>
              <w:right w:val="nil"/>
            </w:tcBorders>
            <w:shd w:val="clear" w:color="auto" w:fill="auto"/>
            <w:noWrap/>
            <w:vAlign w:val="center"/>
            <w:hideMark/>
          </w:tcPr>
          <w:p w14:paraId="5893162F" w14:textId="77777777" w:rsidR="00994F64" w:rsidRPr="00261B7A" w:rsidRDefault="00994F64" w:rsidP="00501B0F">
            <w:pPr>
              <w:spacing w:before="40" w:after="40"/>
              <w:jc w:val="center"/>
              <w:rPr>
                <w:rFonts w:cs="Calibri"/>
                <w:color w:val="000000"/>
                <w:sz w:val="16"/>
                <w:szCs w:val="16"/>
              </w:rPr>
            </w:pPr>
            <w:r w:rsidRPr="00261B7A">
              <w:rPr>
                <w:rFonts w:cs="Calibri"/>
                <w:color w:val="000000"/>
                <w:sz w:val="16"/>
                <w:szCs w:val="16"/>
              </w:rPr>
              <w:t>CS</w:t>
            </w:r>
          </w:p>
        </w:tc>
        <w:tc>
          <w:tcPr>
            <w:tcW w:w="709" w:type="dxa"/>
            <w:tcBorders>
              <w:top w:val="single" w:sz="4" w:space="0" w:color="1B556B"/>
              <w:left w:val="nil"/>
              <w:bottom w:val="single" w:sz="4" w:space="0" w:color="1B556B"/>
              <w:right w:val="nil"/>
            </w:tcBorders>
            <w:shd w:val="clear" w:color="auto" w:fill="auto"/>
            <w:noWrap/>
            <w:vAlign w:val="center"/>
            <w:hideMark/>
          </w:tcPr>
          <w:p w14:paraId="1DC6E311" w14:textId="77777777" w:rsidR="00994F64" w:rsidRPr="00261B7A" w:rsidRDefault="00994F64" w:rsidP="00501B0F">
            <w:pPr>
              <w:spacing w:before="40" w:after="40"/>
              <w:jc w:val="center"/>
              <w:rPr>
                <w:rFonts w:cs="Calibri"/>
                <w:color w:val="000000"/>
                <w:sz w:val="16"/>
                <w:szCs w:val="16"/>
              </w:rPr>
            </w:pPr>
            <w:r w:rsidRPr="00261B7A">
              <w:rPr>
                <w:rFonts w:cs="Calibri"/>
                <w:color w:val="000000"/>
                <w:sz w:val="16"/>
                <w:szCs w:val="16"/>
              </w:rPr>
              <w:t>T2</w:t>
            </w:r>
          </w:p>
        </w:tc>
        <w:tc>
          <w:tcPr>
            <w:tcW w:w="794" w:type="dxa"/>
            <w:tcBorders>
              <w:top w:val="single" w:sz="4" w:space="0" w:color="1B556B"/>
              <w:left w:val="nil"/>
              <w:bottom w:val="single" w:sz="4" w:space="0" w:color="1B556B"/>
              <w:right w:val="nil"/>
            </w:tcBorders>
            <w:shd w:val="clear" w:color="auto" w:fill="auto"/>
            <w:noWrap/>
            <w:vAlign w:val="center"/>
            <w:hideMark/>
          </w:tcPr>
          <w:p w14:paraId="7201BC6B" w14:textId="77777777" w:rsidR="00994F64" w:rsidRPr="00261B7A" w:rsidRDefault="00994F64" w:rsidP="00501B0F">
            <w:pPr>
              <w:spacing w:before="40" w:after="40"/>
              <w:jc w:val="center"/>
              <w:rPr>
                <w:rFonts w:cs="Calibri"/>
                <w:color w:val="000000"/>
                <w:sz w:val="16"/>
                <w:szCs w:val="16"/>
              </w:rPr>
            </w:pPr>
            <w:r w:rsidRPr="00261B7A">
              <w:rPr>
                <w:rFonts w:cs="Calibri"/>
                <w:color w:val="000000"/>
                <w:sz w:val="16"/>
                <w:szCs w:val="16"/>
              </w:rPr>
              <w:t>CS</w:t>
            </w:r>
          </w:p>
        </w:tc>
        <w:tc>
          <w:tcPr>
            <w:tcW w:w="812" w:type="dxa"/>
            <w:tcBorders>
              <w:top w:val="single" w:sz="4" w:space="0" w:color="1B556B"/>
              <w:left w:val="nil"/>
              <w:bottom w:val="single" w:sz="4" w:space="0" w:color="1B556B"/>
              <w:right w:val="nil"/>
            </w:tcBorders>
            <w:shd w:val="clear" w:color="auto" w:fill="auto"/>
            <w:noWrap/>
            <w:vAlign w:val="center"/>
            <w:hideMark/>
          </w:tcPr>
          <w:p w14:paraId="47A64C62" w14:textId="77777777" w:rsidR="00994F64" w:rsidRPr="00261B7A" w:rsidRDefault="00994F64" w:rsidP="00501B0F">
            <w:pPr>
              <w:spacing w:before="40" w:after="40"/>
              <w:jc w:val="center"/>
              <w:rPr>
                <w:rFonts w:cs="Calibri"/>
                <w:color w:val="FFFFFF"/>
                <w:sz w:val="16"/>
                <w:szCs w:val="16"/>
              </w:rPr>
            </w:pPr>
            <w:r w:rsidRPr="00261B7A">
              <w:rPr>
                <w:rFonts w:cs="Calibri"/>
                <w:color w:val="FFFFFF"/>
                <w:sz w:val="16"/>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51CD1AA6" w14:textId="77777777" w:rsidR="00994F64" w:rsidRPr="00261B7A" w:rsidRDefault="00994F64" w:rsidP="00501B0F">
            <w:pPr>
              <w:spacing w:before="40" w:after="40"/>
              <w:jc w:val="center"/>
              <w:rPr>
                <w:rFonts w:cs="Calibri"/>
                <w:color w:val="FFFFFF"/>
                <w:sz w:val="16"/>
                <w:szCs w:val="16"/>
              </w:rPr>
            </w:pPr>
            <w:r w:rsidRPr="00261B7A">
              <w:rPr>
                <w:rFonts w:cs="Calibri"/>
                <w:color w:val="FFFFFF"/>
                <w:sz w:val="16"/>
                <w:szCs w:val="16"/>
              </w:rPr>
              <w:t>-</w:t>
            </w:r>
          </w:p>
        </w:tc>
      </w:tr>
      <w:tr w:rsidR="00994F64" w:rsidRPr="00261B7A" w14:paraId="0FA88FC2" w14:textId="77777777" w:rsidTr="00582E41">
        <w:tc>
          <w:tcPr>
            <w:tcW w:w="320" w:type="dxa"/>
            <w:tcBorders>
              <w:top w:val="single" w:sz="4" w:space="0" w:color="1B556B"/>
              <w:left w:val="nil"/>
              <w:bottom w:val="single" w:sz="4" w:space="0" w:color="1B556B"/>
              <w:right w:val="nil"/>
            </w:tcBorders>
            <w:shd w:val="clear" w:color="auto" w:fill="auto"/>
            <w:noWrap/>
            <w:vAlign w:val="center"/>
            <w:hideMark/>
          </w:tcPr>
          <w:p w14:paraId="213ECF58" w14:textId="77777777" w:rsidR="00994F64" w:rsidRPr="00261B7A" w:rsidRDefault="00994F64" w:rsidP="00501B0F">
            <w:pPr>
              <w:spacing w:before="50" w:after="50"/>
              <w:rPr>
                <w:rFonts w:cs="Calibri"/>
                <w:b/>
                <w:bCs/>
                <w:color w:val="000000"/>
                <w:sz w:val="16"/>
                <w:szCs w:val="16"/>
              </w:rPr>
            </w:pPr>
            <w:r w:rsidRPr="00261B7A">
              <w:rPr>
                <w:rFonts w:cs="Calibri"/>
                <w:b/>
                <w:bCs/>
                <w:color w:val="000000"/>
                <w:sz w:val="16"/>
                <w:szCs w:val="16"/>
              </w:rPr>
              <w:t>G</w:t>
            </w:r>
          </w:p>
        </w:tc>
        <w:tc>
          <w:tcPr>
            <w:tcW w:w="3366" w:type="dxa"/>
            <w:tcBorders>
              <w:top w:val="single" w:sz="4" w:space="0" w:color="1B556B"/>
              <w:left w:val="nil"/>
              <w:bottom w:val="single" w:sz="4" w:space="0" w:color="1B556B"/>
              <w:right w:val="nil"/>
            </w:tcBorders>
            <w:shd w:val="clear" w:color="auto" w:fill="auto"/>
            <w:vAlign w:val="center"/>
            <w:hideMark/>
          </w:tcPr>
          <w:p w14:paraId="01A5219D" w14:textId="77777777" w:rsidR="00994F64" w:rsidRPr="00261B7A" w:rsidRDefault="00994F64" w:rsidP="00501B0F">
            <w:pPr>
              <w:spacing w:before="40" w:after="40"/>
              <w:rPr>
                <w:rFonts w:cs="Calibri"/>
                <w:b/>
                <w:bCs/>
                <w:color w:val="000000"/>
                <w:sz w:val="16"/>
                <w:szCs w:val="16"/>
              </w:rPr>
            </w:pPr>
            <w:r w:rsidRPr="00261B7A">
              <w:rPr>
                <w:rFonts w:cs="Calibri"/>
                <w:b/>
                <w:bCs/>
                <w:color w:val="000000"/>
                <w:sz w:val="16"/>
                <w:szCs w:val="16"/>
              </w:rPr>
              <w:t>Liming</w:t>
            </w:r>
          </w:p>
        </w:tc>
        <w:tc>
          <w:tcPr>
            <w:tcW w:w="850" w:type="dxa"/>
            <w:tcBorders>
              <w:top w:val="single" w:sz="4" w:space="0" w:color="1B556B"/>
              <w:left w:val="nil"/>
              <w:bottom w:val="single" w:sz="4" w:space="0" w:color="1B556B"/>
              <w:right w:val="nil"/>
            </w:tcBorders>
            <w:shd w:val="clear" w:color="auto" w:fill="auto"/>
            <w:noWrap/>
            <w:vAlign w:val="center"/>
            <w:hideMark/>
          </w:tcPr>
          <w:p w14:paraId="370731D1" w14:textId="77777777" w:rsidR="00994F64" w:rsidRPr="00261B7A" w:rsidRDefault="00994F64" w:rsidP="00501B0F">
            <w:pPr>
              <w:spacing w:before="40" w:after="40"/>
              <w:jc w:val="center"/>
              <w:rPr>
                <w:rFonts w:cs="Calibri"/>
                <w:color w:val="FFFFFF"/>
                <w:sz w:val="16"/>
                <w:szCs w:val="16"/>
              </w:rPr>
            </w:pPr>
            <w:r w:rsidRPr="00261B7A">
              <w:rPr>
                <w:rFonts w:cs="Calibri"/>
                <w:color w:val="FFFFFF"/>
                <w:sz w:val="16"/>
                <w:szCs w:val="16"/>
              </w:rPr>
              <w:t>-</w:t>
            </w:r>
          </w:p>
        </w:tc>
        <w:tc>
          <w:tcPr>
            <w:tcW w:w="851" w:type="dxa"/>
            <w:tcBorders>
              <w:top w:val="single" w:sz="4" w:space="0" w:color="1B556B"/>
              <w:left w:val="nil"/>
              <w:bottom w:val="single" w:sz="4" w:space="0" w:color="1B556B"/>
              <w:right w:val="nil"/>
            </w:tcBorders>
            <w:shd w:val="clear" w:color="auto" w:fill="auto"/>
            <w:noWrap/>
            <w:vAlign w:val="center"/>
            <w:hideMark/>
          </w:tcPr>
          <w:p w14:paraId="2A0EF818" w14:textId="77777777" w:rsidR="00994F64" w:rsidRPr="00261B7A" w:rsidRDefault="00994F64" w:rsidP="00501B0F">
            <w:pPr>
              <w:spacing w:before="40" w:after="40"/>
              <w:jc w:val="center"/>
              <w:rPr>
                <w:rFonts w:cs="Calibri"/>
                <w:color w:val="FFFFFF"/>
                <w:sz w:val="16"/>
                <w:szCs w:val="16"/>
              </w:rPr>
            </w:pPr>
            <w:r w:rsidRPr="00261B7A">
              <w:rPr>
                <w:rFonts w:cs="Calibri"/>
                <w:color w:val="FFFFFF"/>
                <w:sz w:val="16"/>
                <w:szCs w:val="16"/>
              </w:rPr>
              <w:t>-</w:t>
            </w:r>
          </w:p>
        </w:tc>
        <w:tc>
          <w:tcPr>
            <w:tcW w:w="709" w:type="dxa"/>
            <w:tcBorders>
              <w:top w:val="single" w:sz="4" w:space="0" w:color="1B556B"/>
              <w:left w:val="nil"/>
              <w:bottom w:val="single" w:sz="4" w:space="0" w:color="1B556B"/>
              <w:right w:val="nil"/>
            </w:tcBorders>
            <w:shd w:val="clear" w:color="auto" w:fill="auto"/>
            <w:noWrap/>
            <w:vAlign w:val="center"/>
            <w:hideMark/>
          </w:tcPr>
          <w:p w14:paraId="1B507581" w14:textId="77777777" w:rsidR="00994F64" w:rsidRPr="00261B7A" w:rsidRDefault="00994F64" w:rsidP="00501B0F">
            <w:pPr>
              <w:spacing w:before="40" w:after="40"/>
              <w:jc w:val="center"/>
              <w:rPr>
                <w:rFonts w:cs="Calibri"/>
                <w:color w:val="FFFFFF"/>
                <w:sz w:val="16"/>
                <w:szCs w:val="16"/>
              </w:rPr>
            </w:pPr>
            <w:r w:rsidRPr="00261B7A">
              <w:rPr>
                <w:rFonts w:cs="Calibri"/>
                <w:color w:val="FFFFFF"/>
                <w:sz w:val="16"/>
                <w:szCs w:val="16"/>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78B8A5F5" w14:textId="77777777" w:rsidR="00994F64" w:rsidRPr="00261B7A" w:rsidRDefault="00994F64" w:rsidP="00501B0F">
            <w:pPr>
              <w:spacing w:before="40" w:after="40"/>
              <w:jc w:val="center"/>
              <w:rPr>
                <w:rFonts w:cs="Calibri"/>
                <w:color w:val="FFFFFF"/>
                <w:sz w:val="16"/>
                <w:szCs w:val="16"/>
              </w:rPr>
            </w:pPr>
            <w:r w:rsidRPr="00261B7A">
              <w:rPr>
                <w:rFonts w:cs="Calibri"/>
                <w:color w:val="FFFFFF"/>
                <w:sz w:val="16"/>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5EC3AEE0" w14:textId="77777777" w:rsidR="00994F64" w:rsidRPr="00261B7A" w:rsidRDefault="00994F64" w:rsidP="00501B0F">
            <w:pPr>
              <w:spacing w:before="40" w:after="40"/>
              <w:jc w:val="center"/>
              <w:rPr>
                <w:rFonts w:cs="Calibri"/>
                <w:color w:val="000000"/>
                <w:sz w:val="16"/>
                <w:szCs w:val="16"/>
              </w:rPr>
            </w:pPr>
            <w:r w:rsidRPr="00261B7A">
              <w:rPr>
                <w:rFonts w:cs="Calibri"/>
                <w:color w:val="000000"/>
                <w:sz w:val="16"/>
                <w:szCs w:val="16"/>
              </w:rPr>
              <w:t>T1</w:t>
            </w:r>
          </w:p>
        </w:tc>
        <w:tc>
          <w:tcPr>
            <w:tcW w:w="812" w:type="dxa"/>
            <w:tcBorders>
              <w:top w:val="single" w:sz="4" w:space="0" w:color="1B556B"/>
              <w:left w:val="nil"/>
              <w:bottom w:val="single" w:sz="4" w:space="0" w:color="1B556B"/>
              <w:right w:val="nil"/>
            </w:tcBorders>
            <w:shd w:val="clear" w:color="auto" w:fill="auto"/>
            <w:noWrap/>
            <w:vAlign w:val="center"/>
            <w:hideMark/>
          </w:tcPr>
          <w:p w14:paraId="14189F6B" w14:textId="77777777" w:rsidR="00994F64" w:rsidRPr="00261B7A" w:rsidRDefault="00994F64" w:rsidP="00501B0F">
            <w:pPr>
              <w:spacing w:before="40" w:after="40"/>
              <w:jc w:val="center"/>
              <w:rPr>
                <w:rFonts w:cs="Calibri"/>
                <w:color w:val="000000"/>
                <w:sz w:val="16"/>
                <w:szCs w:val="16"/>
              </w:rPr>
            </w:pPr>
            <w:r w:rsidRPr="00261B7A">
              <w:rPr>
                <w:rFonts w:cs="Calibri"/>
                <w:color w:val="000000"/>
                <w:sz w:val="16"/>
                <w:szCs w:val="16"/>
              </w:rPr>
              <w:t>D</w:t>
            </w:r>
          </w:p>
        </w:tc>
      </w:tr>
      <w:tr w:rsidR="00994F64" w:rsidRPr="00261B7A" w14:paraId="589F271E" w14:textId="77777777" w:rsidTr="00582E41">
        <w:tc>
          <w:tcPr>
            <w:tcW w:w="320" w:type="dxa"/>
            <w:tcBorders>
              <w:top w:val="single" w:sz="4" w:space="0" w:color="1B556B"/>
              <w:left w:val="nil"/>
              <w:bottom w:val="single" w:sz="4" w:space="0" w:color="1B556B"/>
              <w:right w:val="nil"/>
            </w:tcBorders>
            <w:shd w:val="clear" w:color="auto" w:fill="auto"/>
            <w:noWrap/>
            <w:vAlign w:val="center"/>
            <w:hideMark/>
          </w:tcPr>
          <w:p w14:paraId="509FCEAE" w14:textId="77777777" w:rsidR="00994F64" w:rsidRPr="00261B7A" w:rsidRDefault="00994F64" w:rsidP="00501B0F">
            <w:pPr>
              <w:spacing w:before="50" w:after="50"/>
              <w:rPr>
                <w:rFonts w:cs="Calibri"/>
                <w:b/>
                <w:bCs/>
                <w:color w:val="000000"/>
                <w:sz w:val="16"/>
                <w:szCs w:val="16"/>
              </w:rPr>
            </w:pPr>
            <w:r w:rsidRPr="00261B7A">
              <w:rPr>
                <w:rFonts w:cs="Calibri"/>
                <w:b/>
                <w:bCs/>
                <w:color w:val="000000"/>
                <w:sz w:val="16"/>
                <w:szCs w:val="16"/>
              </w:rPr>
              <w:t>H</w:t>
            </w:r>
          </w:p>
        </w:tc>
        <w:tc>
          <w:tcPr>
            <w:tcW w:w="3366" w:type="dxa"/>
            <w:tcBorders>
              <w:top w:val="single" w:sz="4" w:space="0" w:color="1B556B"/>
              <w:left w:val="nil"/>
              <w:bottom w:val="single" w:sz="4" w:space="0" w:color="1B556B"/>
              <w:right w:val="nil"/>
            </w:tcBorders>
            <w:shd w:val="clear" w:color="auto" w:fill="auto"/>
            <w:vAlign w:val="center"/>
            <w:hideMark/>
          </w:tcPr>
          <w:p w14:paraId="1DC8D4CF" w14:textId="77777777" w:rsidR="00994F64" w:rsidRPr="00261B7A" w:rsidRDefault="00994F64" w:rsidP="00501B0F">
            <w:pPr>
              <w:spacing w:before="40" w:after="40"/>
              <w:rPr>
                <w:rFonts w:cs="Calibri"/>
                <w:b/>
                <w:bCs/>
                <w:color w:val="000000"/>
                <w:sz w:val="16"/>
                <w:szCs w:val="16"/>
              </w:rPr>
            </w:pPr>
            <w:r w:rsidRPr="00261B7A">
              <w:rPr>
                <w:rFonts w:cs="Calibri"/>
                <w:b/>
                <w:bCs/>
                <w:color w:val="000000"/>
                <w:sz w:val="16"/>
                <w:szCs w:val="16"/>
              </w:rPr>
              <w:t>Urea Application</w:t>
            </w:r>
          </w:p>
        </w:tc>
        <w:tc>
          <w:tcPr>
            <w:tcW w:w="850" w:type="dxa"/>
            <w:tcBorders>
              <w:top w:val="single" w:sz="4" w:space="0" w:color="1B556B"/>
              <w:left w:val="nil"/>
              <w:bottom w:val="single" w:sz="4" w:space="0" w:color="1B556B"/>
              <w:right w:val="nil"/>
            </w:tcBorders>
            <w:shd w:val="clear" w:color="auto" w:fill="auto"/>
            <w:noWrap/>
            <w:vAlign w:val="center"/>
            <w:hideMark/>
          </w:tcPr>
          <w:p w14:paraId="3C98DCBF" w14:textId="77777777" w:rsidR="00994F64" w:rsidRPr="00261B7A" w:rsidRDefault="00994F64" w:rsidP="00501B0F">
            <w:pPr>
              <w:spacing w:before="40" w:after="40"/>
              <w:jc w:val="center"/>
              <w:rPr>
                <w:rFonts w:cs="Calibri"/>
                <w:color w:val="FFFFFF"/>
                <w:sz w:val="16"/>
                <w:szCs w:val="16"/>
              </w:rPr>
            </w:pPr>
            <w:r w:rsidRPr="00261B7A">
              <w:rPr>
                <w:rFonts w:cs="Calibri"/>
                <w:color w:val="FFFFFF"/>
                <w:sz w:val="16"/>
                <w:szCs w:val="16"/>
              </w:rPr>
              <w:t>-</w:t>
            </w:r>
          </w:p>
        </w:tc>
        <w:tc>
          <w:tcPr>
            <w:tcW w:w="851" w:type="dxa"/>
            <w:tcBorders>
              <w:top w:val="single" w:sz="4" w:space="0" w:color="1B556B"/>
              <w:left w:val="nil"/>
              <w:bottom w:val="single" w:sz="4" w:space="0" w:color="1B556B"/>
              <w:right w:val="nil"/>
            </w:tcBorders>
            <w:shd w:val="clear" w:color="auto" w:fill="auto"/>
            <w:noWrap/>
            <w:vAlign w:val="center"/>
            <w:hideMark/>
          </w:tcPr>
          <w:p w14:paraId="4F59532B" w14:textId="77777777" w:rsidR="00994F64" w:rsidRPr="00261B7A" w:rsidRDefault="00994F64" w:rsidP="00501B0F">
            <w:pPr>
              <w:spacing w:before="40" w:after="40"/>
              <w:jc w:val="center"/>
              <w:rPr>
                <w:rFonts w:cs="Calibri"/>
                <w:color w:val="FFFFFF"/>
                <w:sz w:val="16"/>
                <w:szCs w:val="16"/>
              </w:rPr>
            </w:pPr>
            <w:r w:rsidRPr="00261B7A">
              <w:rPr>
                <w:rFonts w:cs="Calibri"/>
                <w:color w:val="FFFFFF"/>
                <w:sz w:val="16"/>
                <w:szCs w:val="16"/>
              </w:rPr>
              <w:t>-</w:t>
            </w:r>
          </w:p>
        </w:tc>
        <w:tc>
          <w:tcPr>
            <w:tcW w:w="709" w:type="dxa"/>
            <w:tcBorders>
              <w:top w:val="single" w:sz="4" w:space="0" w:color="1B556B"/>
              <w:left w:val="nil"/>
              <w:bottom w:val="single" w:sz="4" w:space="0" w:color="1B556B"/>
              <w:right w:val="nil"/>
            </w:tcBorders>
            <w:shd w:val="clear" w:color="auto" w:fill="auto"/>
            <w:noWrap/>
            <w:vAlign w:val="center"/>
            <w:hideMark/>
          </w:tcPr>
          <w:p w14:paraId="30D872E9" w14:textId="77777777" w:rsidR="00994F64" w:rsidRPr="00261B7A" w:rsidRDefault="00994F64" w:rsidP="00501B0F">
            <w:pPr>
              <w:spacing w:before="40" w:after="40"/>
              <w:jc w:val="center"/>
              <w:rPr>
                <w:rFonts w:cs="Calibri"/>
                <w:color w:val="FFFFFF"/>
                <w:sz w:val="16"/>
                <w:szCs w:val="16"/>
              </w:rPr>
            </w:pPr>
            <w:r w:rsidRPr="00261B7A">
              <w:rPr>
                <w:rFonts w:cs="Calibri"/>
                <w:color w:val="FFFFFF"/>
                <w:sz w:val="16"/>
                <w:szCs w:val="16"/>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7ABD29C3" w14:textId="77777777" w:rsidR="00994F64" w:rsidRPr="00261B7A" w:rsidRDefault="00994F64" w:rsidP="00501B0F">
            <w:pPr>
              <w:spacing w:before="40" w:after="40"/>
              <w:jc w:val="center"/>
              <w:rPr>
                <w:rFonts w:cs="Calibri"/>
                <w:color w:val="FFFFFF"/>
                <w:sz w:val="16"/>
                <w:szCs w:val="16"/>
              </w:rPr>
            </w:pPr>
            <w:r w:rsidRPr="00261B7A">
              <w:rPr>
                <w:rFonts w:cs="Calibri"/>
                <w:color w:val="FFFFFF"/>
                <w:sz w:val="16"/>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45F804DE" w14:textId="77777777" w:rsidR="00994F64" w:rsidRPr="00261B7A" w:rsidRDefault="00994F64" w:rsidP="00501B0F">
            <w:pPr>
              <w:spacing w:before="40" w:after="40"/>
              <w:jc w:val="center"/>
              <w:rPr>
                <w:rFonts w:cs="Calibri"/>
                <w:color w:val="000000"/>
                <w:sz w:val="16"/>
                <w:szCs w:val="16"/>
              </w:rPr>
            </w:pPr>
            <w:r w:rsidRPr="00261B7A">
              <w:rPr>
                <w:rFonts w:cs="Calibri"/>
                <w:color w:val="000000"/>
                <w:sz w:val="16"/>
                <w:szCs w:val="16"/>
              </w:rPr>
              <w:t>T1</w:t>
            </w:r>
          </w:p>
        </w:tc>
        <w:tc>
          <w:tcPr>
            <w:tcW w:w="812" w:type="dxa"/>
            <w:tcBorders>
              <w:top w:val="single" w:sz="4" w:space="0" w:color="1B556B"/>
              <w:left w:val="nil"/>
              <w:bottom w:val="single" w:sz="4" w:space="0" w:color="1B556B"/>
              <w:right w:val="nil"/>
            </w:tcBorders>
            <w:shd w:val="clear" w:color="auto" w:fill="auto"/>
            <w:noWrap/>
            <w:vAlign w:val="center"/>
            <w:hideMark/>
          </w:tcPr>
          <w:p w14:paraId="56DF8932" w14:textId="77777777" w:rsidR="00994F64" w:rsidRPr="00261B7A" w:rsidRDefault="00994F64" w:rsidP="00501B0F">
            <w:pPr>
              <w:spacing w:before="40" w:after="40"/>
              <w:jc w:val="center"/>
              <w:rPr>
                <w:rFonts w:cs="Calibri"/>
                <w:color w:val="000000"/>
                <w:sz w:val="16"/>
                <w:szCs w:val="16"/>
              </w:rPr>
            </w:pPr>
            <w:r w:rsidRPr="00261B7A">
              <w:rPr>
                <w:rFonts w:cs="Calibri"/>
                <w:color w:val="000000"/>
                <w:sz w:val="16"/>
                <w:szCs w:val="16"/>
              </w:rPr>
              <w:t>D</w:t>
            </w:r>
          </w:p>
        </w:tc>
      </w:tr>
      <w:tr w:rsidR="00994F64" w:rsidRPr="00261B7A" w14:paraId="0EBBEA7F" w14:textId="77777777" w:rsidTr="00582E41">
        <w:tc>
          <w:tcPr>
            <w:tcW w:w="320" w:type="dxa"/>
            <w:tcBorders>
              <w:top w:val="single" w:sz="4" w:space="0" w:color="1B556B"/>
              <w:left w:val="nil"/>
              <w:bottom w:val="single" w:sz="4" w:space="0" w:color="1B556B"/>
              <w:right w:val="nil"/>
            </w:tcBorders>
            <w:shd w:val="clear" w:color="auto" w:fill="auto"/>
            <w:noWrap/>
            <w:vAlign w:val="center"/>
            <w:hideMark/>
          </w:tcPr>
          <w:p w14:paraId="6CAC8F93" w14:textId="77777777" w:rsidR="00994F64" w:rsidRPr="00261B7A" w:rsidRDefault="00994F64" w:rsidP="00501B0F">
            <w:pPr>
              <w:spacing w:before="50" w:after="50"/>
              <w:rPr>
                <w:rFonts w:cs="Calibri"/>
                <w:b/>
                <w:bCs/>
                <w:color w:val="000000"/>
                <w:sz w:val="16"/>
                <w:szCs w:val="16"/>
              </w:rPr>
            </w:pPr>
            <w:r w:rsidRPr="00261B7A">
              <w:rPr>
                <w:rFonts w:cs="Calibri"/>
                <w:b/>
                <w:bCs/>
                <w:color w:val="000000"/>
                <w:sz w:val="16"/>
                <w:szCs w:val="16"/>
              </w:rPr>
              <w:t>I</w:t>
            </w:r>
          </w:p>
        </w:tc>
        <w:tc>
          <w:tcPr>
            <w:tcW w:w="3366" w:type="dxa"/>
            <w:tcBorders>
              <w:top w:val="single" w:sz="4" w:space="0" w:color="1B556B"/>
              <w:left w:val="nil"/>
              <w:bottom w:val="single" w:sz="4" w:space="0" w:color="1B556B"/>
              <w:right w:val="nil"/>
            </w:tcBorders>
            <w:shd w:val="clear" w:color="auto" w:fill="auto"/>
            <w:vAlign w:val="center"/>
            <w:hideMark/>
          </w:tcPr>
          <w:p w14:paraId="330CE6E6" w14:textId="77777777" w:rsidR="00994F64" w:rsidRPr="00261B7A" w:rsidRDefault="00994F64" w:rsidP="00501B0F">
            <w:pPr>
              <w:spacing w:before="40" w:after="40"/>
              <w:rPr>
                <w:rFonts w:cs="Calibri"/>
                <w:b/>
                <w:bCs/>
                <w:color w:val="000000"/>
                <w:sz w:val="16"/>
                <w:szCs w:val="16"/>
              </w:rPr>
            </w:pPr>
            <w:r w:rsidRPr="00261B7A">
              <w:rPr>
                <w:rFonts w:cs="Calibri"/>
                <w:b/>
                <w:bCs/>
                <w:color w:val="000000"/>
                <w:sz w:val="16"/>
                <w:szCs w:val="16"/>
              </w:rPr>
              <w:t>Other Carbon-containing Fertilisers</w:t>
            </w:r>
          </w:p>
        </w:tc>
        <w:tc>
          <w:tcPr>
            <w:tcW w:w="850" w:type="dxa"/>
            <w:tcBorders>
              <w:top w:val="single" w:sz="4" w:space="0" w:color="1B556B"/>
              <w:left w:val="nil"/>
              <w:bottom w:val="single" w:sz="4" w:space="0" w:color="1B556B"/>
              <w:right w:val="nil"/>
            </w:tcBorders>
            <w:shd w:val="clear" w:color="auto" w:fill="auto"/>
            <w:noWrap/>
            <w:vAlign w:val="center"/>
            <w:hideMark/>
          </w:tcPr>
          <w:p w14:paraId="1102DFFF" w14:textId="77777777" w:rsidR="00994F64" w:rsidRPr="00261B7A" w:rsidRDefault="00994F64" w:rsidP="00501B0F">
            <w:pPr>
              <w:spacing w:before="40" w:after="40"/>
              <w:jc w:val="center"/>
              <w:rPr>
                <w:rFonts w:cs="Calibri"/>
                <w:color w:val="FFFFFF"/>
                <w:sz w:val="16"/>
                <w:szCs w:val="16"/>
              </w:rPr>
            </w:pPr>
            <w:r w:rsidRPr="00261B7A">
              <w:rPr>
                <w:rFonts w:cs="Calibri"/>
                <w:color w:val="FFFFFF"/>
                <w:sz w:val="16"/>
                <w:szCs w:val="16"/>
              </w:rPr>
              <w:t>-</w:t>
            </w:r>
          </w:p>
        </w:tc>
        <w:tc>
          <w:tcPr>
            <w:tcW w:w="851" w:type="dxa"/>
            <w:tcBorders>
              <w:top w:val="single" w:sz="4" w:space="0" w:color="1B556B"/>
              <w:left w:val="nil"/>
              <w:bottom w:val="single" w:sz="4" w:space="0" w:color="1B556B"/>
              <w:right w:val="nil"/>
            </w:tcBorders>
            <w:shd w:val="clear" w:color="auto" w:fill="auto"/>
            <w:noWrap/>
            <w:vAlign w:val="center"/>
            <w:hideMark/>
          </w:tcPr>
          <w:p w14:paraId="3657F654" w14:textId="77777777" w:rsidR="00994F64" w:rsidRPr="00261B7A" w:rsidRDefault="00994F64" w:rsidP="00501B0F">
            <w:pPr>
              <w:spacing w:before="40" w:after="40"/>
              <w:jc w:val="center"/>
              <w:rPr>
                <w:rFonts w:cs="Calibri"/>
                <w:color w:val="FFFFFF"/>
                <w:sz w:val="16"/>
                <w:szCs w:val="16"/>
              </w:rPr>
            </w:pPr>
            <w:r w:rsidRPr="00261B7A">
              <w:rPr>
                <w:rFonts w:cs="Calibri"/>
                <w:color w:val="FFFFFF"/>
                <w:sz w:val="16"/>
                <w:szCs w:val="16"/>
              </w:rPr>
              <w:t>-</w:t>
            </w:r>
          </w:p>
        </w:tc>
        <w:tc>
          <w:tcPr>
            <w:tcW w:w="709" w:type="dxa"/>
            <w:tcBorders>
              <w:top w:val="single" w:sz="4" w:space="0" w:color="1B556B"/>
              <w:left w:val="nil"/>
              <w:bottom w:val="single" w:sz="4" w:space="0" w:color="1B556B"/>
              <w:right w:val="nil"/>
            </w:tcBorders>
            <w:shd w:val="clear" w:color="auto" w:fill="auto"/>
            <w:noWrap/>
            <w:vAlign w:val="center"/>
            <w:hideMark/>
          </w:tcPr>
          <w:p w14:paraId="6791D34C" w14:textId="77777777" w:rsidR="00994F64" w:rsidRPr="00261B7A" w:rsidRDefault="00994F64" w:rsidP="00501B0F">
            <w:pPr>
              <w:spacing w:before="40" w:after="40"/>
              <w:jc w:val="center"/>
              <w:rPr>
                <w:rFonts w:cs="Calibri"/>
                <w:color w:val="FFFFFF"/>
                <w:sz w:val="16"/>
                <w:szCs w:val="16"/>
              </w:rPr>
            </w:pPr>
            <w:r w:rsidRPr="00261B7A">
              <w:rPr>
                <w:rFonts w:cs="Calibri"/>
                <w:color w:val="FFFFFF"/>
                <w:sz w:val="16"/>
                <w:szCs w:val="16"/>
              </w:rPr>
              <w:t>-</w:t>
            </w:r>
          </w:p>
        </w:tc>
        <w:tc>
          <w:tcPr>
            <w:tcW w:w="794" w:type="dxa"/>
            <w:tcBorders>
              <w:top w:val="single" w:sz="4" w:space="0" w:color="1B556B"/>
              <w:left w:val="nil"/>
              <w:bottom w:val="single" w:sz="4" w:space="0" w:color="1B556B"/>
              <w:right w:val="nil"/>
            </w:tcBorders>
            <w:shd w:val="clear" w:color="auto" w:fill="auto"/>
            <w:noWrap/>
            <w:vAlign w:val="center"/>
            <w:hideMark/>
          </w:tcPr>
          <w:p w14:paraId="60640231" w14:textId="77777777" w:rsidR="00994F64" w:rsidRPr="00261B7A" w:rsidRDefault="00994F64" w:rsidP="00501B0F">
            <w:pPr>
              <w:spacing w:before="40" w:after="40"/>
              <w:jc w:val="center"/>
              <w:rPr>
                <w:rFonts w:cs="Calibri"/>
                <w:color w:val="FFFFFF"/>
                <w:sz w:val="16"/>
                <w:szCs w:val="16"/>
              </w:rPr>
            </w:pPr>
            <w:r w:rsidRPr="00261B7A">
              <w:rPr>
                <w:rFonts w:cs="Calibri"/>
                <w:color w:val="FFFFFF"/>
                <w:sz w:val="16"/>
                <w:szCs w:val="16"/>
              </w:rPr>
              <w:t>-</w:t>
            </w:r>
          </w:p>
        </w:tc>
        <w:tc>
          <w:tcPr>
            <w:tcW w:w="812" w:type="dxa"/>
            <w:tcBorders>
              <w:top w:val="single" w:sz="4" w:space="0" w:color="1B556B"/>
              <w:left w:val="nil"/>
              <w:bottom w:val="single" w:sz="4" w:space="0" w:color="1B556B"/>
              <w:right w:val="nil"/>
            </w:tcBorders>
            <w:shd w:val="clear" w:color="auto" w:fill="auto"/>
            <w:noWrap/>
            <w:vAlign w:val="center"/>
            <w:hideMark/>
          </w:tcPr>
          <w:p w14:paraId="77B50E1B" w14:textId="77777777" w:rsidR="00994F64" w:rsidRPr="00261B7A" w:rsidRDefault="00994F64" w:rsidP="00501B0F">
            <w:pPr>
              <w:spacing w:before="40" w:after="40"/>
              <w:jc w:val="center"/>
              <w:rPr>
                <w:rFonts w:cs="Calibri"/>
                <w:color w:val="000000"/>
                <w:sz w:val="16"/>
                <w:szCs w:val="16"/>
              </w:rPr>
            </w:pPr>
            <w:r w:rsidRPr="00261B7A">
              <w:rPr>
                <w:rFonts w:cs="Calibri"/>
                <w:color w:val="000000"/>
                <w:sz w:val="16"/>
                <w:szCs w:val="16"/>
              </w:rPr>
              <w:t>NA</w:t>
            </w:r>
          </w:p>
        </w:tc>
        <w:tc>
          <w:tcPr>
            <w:tcW w:w="812" w:type="dxa"/>
            <w:tcBorders>
              <w:top w:val="single" w:sz="4" w:space="0" w:color="1B556B"/>
              <w:left w:val="nil"/>
              <w:bottom w:val="single" w:sz="4" w:space="0" w:color="1B556B"/>
              <w:right w:val="nil"/>
            </w:tcBorders>
            <w:shd w:val="clear" w:color="auto" w:fill="auto"/>
            <w:noWrap/>
            <w:vAlign w:val="center"/>
            <w:hideMark/>
          </w:tcPr>
          <w:p w14:paraId="77EB08C2" w14:textId="77777777" w:rsidR="00994F64" w:rsidRPr="00261B7A" w:rsidRDefault="00994F64" w:rsidP="00501B0F">
            <w:pPr>
              <w:spacing w:before="40" w:after="40"/>
              <w:jc w:val="center"/>
              <w:rPr>
                <w:rFonts w:cs="Calibri"/>
                <w:color w:val="000000"/>
                <w:sz w:val="16"/>
                <w:szCs w:val="16"/>
              </w:rPr>
            </w:pPr>
            <w:r w:rsidRPr="00261B7A">
              <w:rPr>
                <w:rFonts w:cs="Calibri"/>
                <w:color w:val="000000"/>
                <w:sz w:val="16"/>
                <w:szCs w:val="16"/>
              </w:rPr>
              <w:t>NA</w:t>
            </w:r>
          </w:p>
        </w:tc>
      </w:tr>
    </w:tbl>
    <w:p w14:paraId="5A1FD2E4" w14:textId="77777777" w:rsidR="00994F64" w:rsidRPr="00261B7A" w:rsidRDefault="00994F64" w:rsidP="00994F64">
      <w:pPr>
        <w:pStyle w:val="Noteundertable"/>
        <w:rPr>
          <w:rFonts w:cs="Calibri"/>
        </w:rPr>
      </w:pPr>
      <w:r w:rsidRPr="00261B7A">
        <w:rPr>
          <w:rFonts w:cs="Calibri"/>
          <w:b/>
          <w:bCs/>
        </w:rPr>
        <w:t>Note:</w:t>
      </w:r>
      <w:r w:rsidRPr="00261B7A">
        <w:rPr>
          <w:rFonts w:cs="Calibri"/>
        </w:rPr>
        <w:t xml:space="preserve"> </w:t>
      </w:r>
      <w:r w:rsidRPr="00261B7A">
        <w:rPr>
          <w:rFonts w:cs="Calibri"/>
        </w:rPr>
        <w:tab/>
        <w:t>CS = country specific; D = IPCC Guidelines (2006) default; NA = not applicable; T1 = Tier 1; T2 = Tier 2.</w:t>
      </w:r>
    </w:p>
    <w:p w14:paraId="11EA5CFB" w14:textId="794B710D" w:rsidR="00994F64" w:rsidRPr="00261B7A" w:rsidRDefault="00994F64" w:rsidP="00994F64">
      <w:pPr>
        <w:pStyle w:val="BodyText"/>
      </w:pPr>
      <w:r w:rsidRPr="00261B7A">
        <w:t>Further technical details on emissions calculations are provided in the inventory methodology document on the Ministry for Primary Industries (MPI) website (</w:t>
      </w:r>
      <w:hyperlink r:id="rId110" w:history="1">
        <w:r w:rsidR="000123F1" w:rsidRPr="00261B7A">
          <w:rPr>
            <w:rStyle w:val="Hyperlink"/>
          </w:rPr>
          <w:t>www.mpi.govt.nz/ dmsdocument/13906-detailed-methodologies-for-agricultural-greenhouse-gas-emission-calculation</w:t>
        </w:r>
      </w:hyperlink>
      <w:r w:rsidRPr="00261B7A">
        <w:t xml:space="preserve">) and in the methodological issues section for each category in this document. The approach for determining livestock nutritional and energy requirements, which is required to calculate </w:t>
      </w:r>
      <w:r w:rsidRPr="00261B7A">
        <w:rPr>
          <w:i/>
          <w:iCs/>
        </w:rPr>
        <w:t>Enteric fermentation</w:t>
      </w:r>
      <w:r w:rsidRPr="00261B7A">
        <w:t xml:space="preserve"> emissions and nitrogen excreted by livestock as the precursor for calculating </w:t>
      </w:r>
      <w:r w:rsidRPr="00261B7A">
        <w:rPr>
          <w:i/>
          <w:iCs/>
        </w:rPr>
        <w:t>Manure management</w:t>
      </w:r>
      <w:r w:rsidRPr="00261B7A">
        <w:t xml:space="preserve"> (and some </w:t>
      </w:r>
      <w:r w:rsidRPr="00261B7A">
        <w:rPr>
          <w:i/>
          <w:iCs/>
        </w:rPr>
        <w:t xml:space="preserve">Agricultural soils </w:t>
      </w:r>
      <w:r w:rsidRPr="00261B7A">
        <w:t>emissions), is described in the following paragraphs.</w:t>
      </w:r>
    </w:p>
    <w:p w14:paraId="66FDCF17" w14:textId="77777777" w:rsidR="00994F64" w:rsidRPr="00261B7A" w:rsidRDefault="00994F64" w:rsidP="00994F64">
      <w:pPr>
        <w:pStyle w:val="Heading4"/>
      </w:pPr>
      <w:r w:rsidRPr="00261B7A">
        <w:t xml:space="preserve">Description of the Tier 2 model for determining emissions from energy requirements for major ruminant livestock categories </w:t>
      </w:r>
    </w:p>
    <w:p w14:paraId="31FE9141" w14:textId="178C1C34" w:rsidR="00994F64" w:rsidRPr="00261B7A" w:rsidRDefault="00994F64" w:rsidP="00994F64">
      <w:pPr>
        <w:pStyle w:val="BodyText"/>
      </w:pPr>
      <w:r w:rsidRPr="00261B7A">
        <w:t>New Zealand uses a Tier 2, process-based model to calculate emissions from the major livestock categories (Clark et al., 2003). Components of the national Agriculture inventory model are constantly being improved through findings from new international and commissioned domestic research. The thoroughly researched country-specific emission factors</w:t>
      </w:r>
      <w:r w:rsidR="001A2DB0">
        <w:t> </w:t>
      </w:r>
      <w:r w:rsidRPr="00261B7A">
        <w:t>and monthly data for livestock populations, animal productivity and feed quality mean</w:t>
      </w:r>
      <w:r w:rsidR="001A2DB0">
        <w:t> </w:t>
      </w:r>
      <w:r w:rsidRPr="00261B7A">
        <w:t xml:space="preserve">New Zealand’s model is close to a Tier 3 inventory. However, data that inform pasture and non-pasture feed quality are not as comprehensive as would be required to report at a Tier 3 level. Figure 5.1.5 outlines the current Tier 2 methodology used to estimate emissions for the four major livestock categories. </w:t>
      </w:r>
    </w:p>
    <w:p w14:paraId="0E1733AC" w14:textId="77777777" w:rsidR="00994F64" w:rsidRPr="00261B7A" w:rsidRDefault="00994F64" w:rsidP="00994F64">
      <w:pPr>
        <w:pStyle w:val="BodyText"/>
      </w:pPr>
      <w:r w:rsidRPr="00261B7A">
        <w:t>Agricultural production (meat, milk and wool) and livestock population data are combined in the model with data on the total metabolisable energy (ME) content of the animal’s diet. To calculate CH</w:t>
      </w:r>
      <w:r w:rsidRPr="00261B7A">
        <w:rPr>
          <w:vertAlign w:val="subscript"/>
        </w:rPr>
        <w:t>4</w:t>
      </w:r>
      <w:r w:rsidRPr="00261B7A">
        <w:t xml:space="preserve"> emissions from enteric fermentation, the production data are used to determine the dry-matter intake (DMI) required to meet total annual productivity levels for each of the livestock categories and are then multiplied by a country-specific CH</w:t>
      </w:r>
      <w:r w:rsidRPr="00261B7A">
        <w:rPr>
          <w:vertAlign w:val="subscript"/>
        </w:rPr>
        <w:t>4</w:t>
      </w:r>
      <w:r w:rsidRPr="00261B7A">
        <w:t xml:space="preserve"> emission factor per unit of DMI. </w:t>
      </w:r>
      <w:r w:rsidRPr="00261B7A">
        <w:rPr>
          <w:i/>
        </w:rPr>
        <w:t>Manure management</w:t>
      </w:r>
      <w:r w:rsidRPr="00261B7A">
        <w:t xml:space="preserve"> emissions are primarily CH</w:t>
      </w:r>
      <w:r w:rsidRPr="00261B7A">
        <w:rPr>
          <w:vertAlign w:val="subscript"/>
        </w:rPr>
        <w:t>4</w:t>
      </w:r>
      <w:r w:rsidRPr="00261B7A">
        <w:t xml:space="preserve"> from manure deposited directly onto pasture, but also N</w:t>
      </w:r>
      <w:r w:rsidRPr="00261B7A">
        <w:rPr>
          <w:vertAlign w:val="subscript"/>
        </w:rPr>
        <w:t>2</w:t>
      </w:r>
      <w:r w:rsidRPr="00261B7A">
        <w:t>O as that manure breaks down due to the processes of nitrification, denitrification, volatilisation and leaching. Information on the nitrogen content of feed is multiplied with the DMI previously calculated to determine quantity of animal nitrogen intake and subsequent nitrogen excretion after allowing for nitrogen in growth and milk production.</w:t>
      </w:r>
    </w:p>
    <w:p w14:paraId="2B2604C8" w14:textId="77777777" w:rsidR="00994F64" w:rsidRPr="00261B7A" w:rsidRDefault="00994F64" w:rsidP="00994F64">
      <w:pPr>
        <w:pStyle w:val="Figure"/>
        <w:spacing w:after="0"/>
      </w:pPr>
      <w:bookmarkStart w:id="676" w:name="_Toc481752010"/>
      <w:bookmarkStart w:id="677" w:name="_Toc507158469"/>
      <w:bookmarkStart w:id="678" w:name="_Toc511116960"/>
      <w:bookmarkStart w:id="679" w:name="_Toc5269690"/>
      <w:bookmarkStart w:id="680" w:name="_Toc32570961"/>
      <w:bookmarkStart w:id="681" w:name="_Toc36292791"/>
      <w:bookmarkStart w:id="682" w:name="_Toc68786656"/>
      <w:bookmarkStart w:id="683" w:name="_Toc95574117"/>
      <w:bookmarkStart w:id="684" w:name="_Toc127458556"/>
      <w:bookmarkStart w:id="685" w:name="_Toc131591558"/>
      <w:r w:rsidRPr="00261B7A">
        <w:t xml:space="preserve">Figure 5.1.5 </w:t>
      </w:r>
      <w:r w:rsidRPr="00261B7A">
        <w:tab/>
        <w:t>Simplified methodology for calculating emissions for major ruminant livestock categories</w:t>
      </w:r>
      <w:bookmarkEnd w:id="676"/>
      <w:bookmarkEnd w:id="677"/>
      <w:bookmarkEnd w:id="678"/>
      <w:bookmarkEnd w:id="679"/>
      <w:bookmarkEnd w:id="680"/>
      <w:bookmarkEnd w:id="681"/>
      <w:bookmarkEnd w:id="682"/>
      <w:bookmarkEnd w:id="683"/>
      <w:bookmarkEnd w:id="684"/>
      <w:bookmarkEnd w:id="685"/>
    </w:p>
    <w:p w14:paraId="6C924871" w14:textId="13CAFE26" w:rsidR="00994F64" w:rsidRPr="00261B7A" w:rsidRDefault="009C2C98" w:rsidP="00994F64">
      <w:pPr>
        <w:pStyle w:val="BodyText"/>
        <w:jc w:val="center"/>
      </w:pPr>
      <w:r w:rsidRPr="00261B7A">
        <w:rPr>
          <w:rFonts w:eastAsia="Calibri"/>
        </w:rPr>
        <w:object w:dxaOrig="14670" w:dyaOrig="13470" w14:anchorId="7242FC0C">
          <v:shape id="_x0000_i1033" type="#_x0000_t75" style="width:324pt;height:353pt" o:ole="">
            <v:imagedata r:id="rId111" o:title="" cropbottom="2082f" cropright="12005f"/>
          </v:shape>
          <o:OLEObject Type="Embed" ProgID="Visio.Drawing.15" ShapeID="_x0000_i1033" DrawAspect="Content" ObjectID="_1742911572" r:id="rId112"/>
        </w:object>
      </w:r>
    </w:p>
    <w:p w14:paraId="42F20472" w14:textId="77777777" w:rsidR="00994F64" w:rsidRPr="00261B7A" w:rsidRDefault="00994F64" w:rsidP="00994F64">
      <w:pPr>
        <w:pStyle w:val="Noteundertable"/>
        <w:spacing w:before="0" w:after="60"/>
        <w:rPr>
          <w:rFonts w:cs="Calibri"/>
        </w:rPr>
      </w:pPr>
      <w:r w:rsidRPr="00261B7A">
        <w:rPr>
          <w:rFonts w:cs="Calibri"/>
          <w:b/>
          <w:bCs/>
        </w:rPr>
        <w:t xml:space="preserve">Note: </w:t>
      </w:r>
      <w:r w:rsidRPr="00261B7A">
        <w:rPr>
          <w:rFonts w:cs="Calibri"/>
        </w:rPr>
        <w:tab/>
        <w:t>CH</w:t>
      </w:r>
      <w:r w:rsidRPr="00261B7A">
        <w:rPr>
          <w:rFonts w:cs="Calibri"/>
          <w:vertAlign w:val="subscript"/>
        </w:rPr>
        <w:t>4</w:t>
      </w:r>
      <w:r w:rsidRPr="00261B7A">
        <w:rPr>
          <w:rFonts w:cs="Calibri"/>
        </w:rPr>
        <w:t xml:space="preserve"> = methane; DMI = dry-matter intake; kg = kilogram; MJ = megajoule; N</w:t>
      </w:r>
      <w:r w:rsidRPr="00261B7A">
        <w:rPr>
          <w:rFonts w:cs="Calibri"/>
          <w:vertAlign w:val="subscript"/>
        </w:rPr>
        <w:t>2</w:t>
      </w:r>
      <w:r w:rsidRPr="00261B7A">
        <w:rPr>
          <w:rFonts w:cs="Calibri"/>
        </w:rPr>
        <w:t>O = nitrous oxide; NZ = New Zealand.</w:t>
      </w:r>
    </w:p>
    <w:p w14:paraId="59A16ABF" w14:textId="77777777" w:rsidR="00994F64" w:rsidRPr="00261B7A" w:rsidRDefault="00994F64" w:rsidP="002A0608">
      <w:pPr>
        <w:pStyle w:val="BodyText"/>
        <w:spacing w:before="80" w:after="60"/>
      </w:pPr>
      <w:r w:rsidRPr="00261B7A">
        <w:t>The main emissions from ruminant livestock are CH</w:t>
      </w:r>
      <w:r w:rsidRPr="00261B7A">
        <w:rPr>
          <w:vertAlign w:val="subscript"/>
        </w:rPr>
        <w:t>4</w:t>
      </w:r>
      <w:r w:rsidRPr="00261B7A">
        <w:t xml:space="preserve"> from enteric fermentation and N</w:t>
      </w:r>
      <w:r w:rsidRPr="00261B7A">
        <w:rPr>
          <w:vertAlign w:val="subscript"/>
        </w:rPr>
        <w:t>2</w:t>
      </w:r>
      <w:r w:rsidRPr="00261B7A">
        <w:t xml:space="preserve">O from manure (urine and dung). The quantity of livestock emissions has a linear relationship with DMI, which is a function of livestock energy requirements and the energy concentration of the feed: </w:t>
      </w:r>
    </w:p>
    <w:p w14:paraId="2088F95B" w14:textId="77777777" w:rsidR="00994F64" w:rsidRPr="00261B7A" w:rsidRDefault="00994F64" w:rsidP="00994F64">
      <w:pPr>
        <w:spacing w:after="120"/>
        <w:jc w:val="center"/>
        <w:rPr>
          <w:rFonts w:cs="Calibri"/>
        </w:rPr>
      </w:pPr>
      <m:oMathPara>
        <m:oMath>
          <m:r>
            <w:rPr>
              <w:rFonts w:ascii="Cambria Math" w:hAnsi="Cambria Math" w:cs="Calibri"/>
            </w:rPr>
            <m:t>DMI=</m:t>
          </m:r>
          <m:f>
            <m:fPr>
              <m:ctrlPr>
                <w:rPr>
                  <w:rFonts w:ascii="Cambria Math" w:hAnsi="Cambria Math" w:cs="Calibri"/>
                  <w:i/>
                </w:rPr>
              </m:ctrlPr>
            </m:fPr>
            <m:num>
              <m:r>
                <w:rPr>
                  <w:rFonts w:ascii="Cambria Math" w:hAnsi="Cambria Math" w:cs="Calibri"/>
                </w:rPr>
                <m:t>M</m:t>
              </m:r>
              <m:sSub>
                <m:sSubPr>
                  <m:ctrlPr>
                    <w:rPr>
                      <w:rFonts w:ascii="Cambria Math" w:hAnsi="Cambria Math" w:cs="Calibri"/>
                      <w:i/>
                    </w:rPr>
                  </m:ctrlPr>
                </m:sSubPr>
                <m:e>
                  <m:r>
                    <w:rPr>
                      <w:rFonts w:ascii="Cambria Math" w:hAnsi="Cambria Math" w:cs="Calibri"/>
                    </w:rPr>
                    <m:t>E</m:t>
                  </m:r>
                </m:e>
                <m:sub>
                  <m:r>
                    <w:rPr>
                      <w:rFonts w:ascii="Cambria Math" w:hAnsi="Cambria Math" w:cs="Calibri"/>
                    </w:rPr>
                    <m:t>TOTAL</m:t>
                  </m:r>
                </m:sub>
              </m:sSub>
            </m:num>
            <m:den>
              <m:r>
                <w:rPr>
                  <w:rFonts w:ascii="Cambria Math" w:hAnsi="Cambria Math" w:cs="Calibri"/>
                </w:rPr>
                <m:t>E</m:t>
              </m:r>
            </m:den>
          </m:f>
        </m:oMath>
      </m:oMathPara>
    </w:p>
    <w:p w14:paraId="41D2D4FA" w14:textId="77777777" w:rsidR="00994F64" w:rsidRPr="00261B7A" w:rsidRDefault="00994F64" w:rsidP="002A0608">
      <w:pPr>
        <w:spacing w:before="80" w:after="60"/>
        <w:ind w:left="993" w:hanging="993"/>
        <w:rPr>
          <w:rFonts w:cs="Calibri"/>
        </w:rPr>
      </w:pPr>
      <w:r w:rsidRPr="00261B7A">
        <w:rPr>
          <w:rFonts w:cs="Calibri"/>
        </w:rPr>
        <w:t>Where:</w:t>
      </w:r>
      <w:r w:rsidRPr="00261B7A">
        <w:rPr>
          <w:rFonts w:cs="Calibri"/>
        </w:rPr>
        <w:tab/>
        <w:t>DMI is the dry-matter intake (kg year</w:t>
      </w:r>
      <w:r w:rsidRPr="00261B7A">
        <w:rPr>
          <w:rFonts w:cs="Calibri"/>
          <w:vertAlign w:val="superscript"/>
        </w:rPr>
        <w:t>-1</w:t>
      </w:r>
      <w:r w:rsidRPr="00261B7A">
        <w:rPr>
          <w:rFonts w:cs="Calibri"/>
        </w:rPr>
        <w:t>)</w:t>
      </w:r>
    </w:p>
    <w:p w14:paraId="50414825" w14:textId="77777777" w:rsidR="00994F64" w:rsidRPr="00261B7A" w:rsidRDefault="00994F64" w:rsidP="002A0608">
      <w:pPr>
        <w:spacing w:before="40" w:after="60"/>
        <w:ind w:left="993" w:hanging="993"/>
        <w:rPr>
          <w:rFonts w:cs="Calibri"/>
        </w:rPr>
      </w:pPr>
      <w:r w:rsidRPr="00261B7A">
        <w:rPr>
          <w:rFonts w:cs="Calibri"/>
        </w:rPr>
        <w:tab/>
        <w:t>ME</w:t>
      </w:r>
      <w:r w:rsidRPr="00261B7A">
        <w:rPr>
          <w:rFonts w:cs="Calibri"/>
          <w:vertAlign w:val="subscript"/>
        </w:rPr>
        <w:t>TOTAL</w:t>
      </w:r>
      <w:r w:rsidRPr="00261B7A">
        <w:rPr>
          <w:rFonts w:cs="Calibri"/>
        </w:rPr>
        <w:t xml:space="preserve"> is the total metabolisable energy requirement of the animal (kJ), and</w:t>
      </w:r>
    </w:p>
    <w:p w14:paraId="73799EA9" w14:textId="77777777" w:rsidR="00994F64" w:rsidRPr="00261B7A" w:rsidRDefault="00994F64" w:rsidP="002A0608">
      <w:pPr>
        <w:spacing w:before="40" w:after="80"/>
        <w:ind w:left="993" w:hanging="993"/>
        <w:rPr>
          <w:rFonts w:cs="Calibri"/>
        </w:rPr>
      </w:pPr>
      <w:r w:rsidRPr="00261B7A">
        <w:rPr>
          <w:rFonts w:cs="Calibri"/>
        </w:rPr>
        <w:tab/>
        <w:t>E is the energy concentration in the feed (kJ/kg DMI).</w:t>
      </w:r>
    </w:p>
    <w:p w14:paraId="1BC8B6D4" w14:textId="77777777" w:rsidR="00994F64" w:rsidRPr="00261B7A" w:rsidRDefault="00994F64" w:rsidP="00994F64">
      <w:pPr>
        <w:pStyle w:val="Heading5"/>
      </w:pPr>
      <w:r w:rsidRPr="00261B7A">
        <w:t>Calculating metabolisable energy requirements (ME</w:t>
      </w:r>
      <w:r w:rsidRPr="00261B7A">
        <w:rPr>
          <w:vertAlign w:val="subscript"/>
        </w:rPr>
        <w:t>TOTAL</w:t>
      </w:r>
      <w:r w:rsidRPr="00261B7A">
        <w:t xml:space="preserve">) </w:t>
      </w:r>
    </w:p>
    <w:p w14:paraId="7E1A992F" w14:textId="77777777" w:rsidR="00994F64" w:rsidRPr="00261B7A" w:rsidRDefault="00994F64" w:rsidP="00994F64">
      <w:pPr>
        <w:pStyle w:val="BodyText"/>
        <w:spacing w:before="100" w:after="100"/>
      </w:pPr>
      <w:r w:rsidRPr="00261B7A">
        <w:t xml:space="preserve">For dairy cattle, beef cattle and sheep, the approach for calculating the total ME requirement </w:t>
      </w:r>
      <w:r w:rsidRPr="00261B7A">
        <w:rPr>
          <w:spacing w:val="-2"/>
        </w:rPr>
        <w:t>was developed in Australia by the Commonwealth Scientific and Industrial Research Organisation</w:t>
      </w:r>
      <w:r w:rsidRPr="00261B7A">
        <w:t xml:space="preserve"> (CSIRO, 1990). The CSIRO algorithms have been chosen because they specifically include methods to estimate the energy requirements of grazing ruminants, which is the predominant feeding method used in New Zealand. Further, </w:t>
      </w:r>
      <w:r w:rsidRPr="00261B7A">
        <w:rPr>
          <w:spacing w:val="-2"/>
        </w:rPr>
        <w:t xml:space="preserve">the CSIRO algorithms consider animal liveweight and production requirements based on the rate of liveweight gain, gender, milk yield and physiological state. </w:t>
      </w:r>
      <w:r w:rsidRPr="00261B7A">
        <w:t xml:space="preserve">All calculations are performed monthly. The equation below is derived from the general equation used in the Australian feeding standards and adjusted to suit New Zealand conditions. </w:t>
      </w:r>
    </w:p>
    <w:p w14:paraId="5D73ACCA" w14:textId="77777777" w:rsidR="00994F64" w:rsidRPr="00261B7A" w:rsidRDefault="00994F64" w:rsidP="00994F64">
      <w:pPr>
        <w:pStyle w:val="BodyText"/>
        <w:spacing w:before="100" w:after="80"/>
      </w:pPr>
      <w:r w:rsidRPr="00261B7A">
        <w:t>The total energy required (ME</w:t>
      </w:r>
      <w:r w:rsidRPr="00261B7A">
        <w:rPr>
          <w:vertAlign w:val="subscript"/>
        </w:rPr>
        <w:t>TOTAL</w:t>
      </w:r>
      <w:r w:rsidRPr="00261B7A">
        <w:t>) is made up of:</w:t>
      </w:r>
    </w:p>
    <w:p w14:paraId="39B8A005" w14:textId="77777777" w:rsidR="00994F64" w:rsidRPr="00261B7A" w:rsidRDefault="00994F64" w:rsidP="00994F64">
      <w:pPr>
        <w:pStyle w:val="Bullet"/>
        <w:spacing w:after="80"/>
      </w:pPr>
      <w:r w:rsidRPr="00261B7A">
        <w:t>energy required to maintain animal weight, which is a function of the animal’s liveweight, gender, breed and stage of maturity (ME</w:t>
      </w:r>
      <w:r w:rsidRPr="00261B7A">
        <w:rPr>
          <w:vertAlign w:val="subscript"/>
        </w:rPr>
        <w:t>BASAL</w:t>
      </w:r>
      <w:r w:rsidRPr="00261B7A">
        <w:t>)</w:t>
      </w:r>
    </w:p>
    <w:p w14:paraId="7ADFA319" w14:textId="77777777" w:rsidR="00994F64" w:rsidRPr="00261B7A" w:rsidRDefault="00994F64" w:rsidP="00994F64">
      <w:pPr>
        <w:pStyle w:val="Bullet"/>
        <w:spacing w:after="80"/>
      </w:pPr>
      <w:r w:rsidRPr="00261B7A">
        <w:t>energy required for the given level of productivity (milk yield and milk fat percentage, and liveweight gain for dairy and beef production respectively) and physiological state (e.g., growing, gestating (ME</w:t>
      </w:r>
      <w:r w:rsidRPr="00261B7A">
        <w:rPr>
          <w:vertAlign w:val="subscript"/>
        </w:rPr>
        <w:t>C</w:t>
      </w:r>
      <w:r w:rsidRPr="00261B7A">
        <w:t xml:space="preserve">) or lactating) </w:t>
      </w:r>
    </w:p>
    <w:p w14:paraId="7080FAA1" w14:textId="77777777" w:rsidR="00994F64" w:rsidRPr="00261B7A" w:rsidRDefault="00994F64" w:rsidP="00994F64">
      <w:pPr>
        <w:pStyle w:val="Bullet"/>
      </w:pPr>
      <w:r w:rsidRPr="00261B7A">
        <w:t>the additional amount of energy expended during grazing, compared with similar housed animals (ME</w:t>
      </w:r>
      <w:r w:rsidRPr="00261B7A">
        <w:rPr>
          <w:vertAlign w:val="subscript"/>
        </w:rPr>
        <w:t>GRAZE</w:t>
      </w:r>
      <w:r w:rsidRPr="00261B7A">
        <w:t>).</w:t>
      </w:r>
    </w:p>
    <w:p w14:paraId="1F1BD8C5" w14:textId="77777777" w:rsidR="00994F64" w:rsidRPr="00261B7A" w:rsidRDefault="00994F64" w:rsidP="00994F64">
      <w:pPr>
        <w:spacing w:before="80" w:after="80"/>
        <w:jc w:val="center"/>
        <w:rPr>
          <w:rFonts w:cs="Calibri"/>
          <w:sz w:val="24"/>
          <w:szCs w:val="24"/>
        </w:rPr>
      </w:pPr>
      <m:oMathPara>
        <m:oMath>
          <m:r>
            <w:rPr>
              <w:rFonts w:ascii="Cambria Math" w:hAnsi="Cambria Math" w:cs="Calibri"/>
              <w:sz w:val="24"/>
              <w:szCs w:val="24"/>
            </w:rPr>
            <m:t>M</m:t>
          </m:r>
          <m:sSub>
            <m:sSubPr>
              <m:ctrlPr>
                <w:rPr>
                  <w:rFonts w:ascii="Cambria Math" w:hAnsi="Cambria Math" w:cs="Calibri"/>
                  <w:sz w:val="24"/>
                  <w:szCs w:val="24"/>
                </w:rPr>
              </m:ctrlPr>
            </m:sSubPr>
            <m:e>
              <m:r>
                <w:rPr>
                  <w:rFonts w:ascii="Cambria Math" w:hAnsi="Cambria Math" w:cs="Calibri"/>
                  <w:sz w:val="24"/>
                  <w:szCs w:val="24"/>
                </w:rPr>
                <m:t>E</m:t>
              </m:r>
            </m:e>
            <m:sub>
              <m:r>
                <w:rPr>
                  <w:rFonts w:ascii="Cambria Math" w:hAnsi="Cambria Math" w:cs="Calibri"/>
                  <w:sz w:val="24"/>
                  <w:szCs w:val="24"/>
                </w:rPr>
                <m:t>TOTAL</m:t>
              </m:r>
            </m:sub>
          </m:sSub>
          <m:r>
            <m:rPr>
              <m:sty m:val="p"/>
            </m:rPr>
            <w:rPr>
              <w:rFonts w:ascii="Cambria Math" w:hAnsi="Cambria Math" w:cs="Calibri"/>
              <w:sz w:val="24"/>
              <w:szCs w:val="24"/>
            </w:rPr>
            <m:t>=</m:t>
          </m:r>
          <m:sSub>
            <m:sSubPr>
              <m:ctrlPr>
                <w:rPr>
                  <w:rFonts w:ascii="Cambria Math" w:hAnsi="Cambria Math" w:cs="Calibri"/>
                  <w:sz w:val="24"/>
                  <w:szCs w:val="24"/>
                </w:rPr>
              </m:ctrlPr>
            </m:sSubPr>
            <m:e>
              <m:r>
                <w:rPr>
                  <w:rFonts w:ascii="Cambria Math" w:hAnsi="Cambria Math" w:cs="Calibri"/>
                  <w:sz w:val="24"/>
                  <w:szCs w:val="24"/>
                </w:rPr>
                <m:t>ME</m:t>
              </m:r>
            </m:e>
            <m:sub>
              <m:r>
                <w:rPr>
                  <w:rFonts w:ascii="Cambria Math" w:hAnsi="Cambria Math" w:cs="Calibri"/>
                  <w:sz w:val="24"/>
                  <w:szCs w:val="24"/>
                </w:rPr>
                <m:t>BASAL</m:t>
              </m:r>
            </m:sub>
          </m:sSub>
          <m:r>
            <m:rPr>
              <m:sty m:val="p"/>
            </m:rPr>
            <w:rPr>
              <w:rFonts w:ascii="Cambria Math" w:hAnsi="Cambria Math" w:cs="Calibri"/>
              <w:sz w:val="24"/>
              <w:szCs w:val="24"/>
            </w:rPr>
            <m:t>+1.1</m:t>
          </m:r>
          <m:sSub>
            <m:sSubPr>
              <m:ctrlPr>
                <w:rPr>
                  <w:rFonts w:ascii="Cambria Math" w:hAnsi="Cambria Math" w:cs="Calibri"/>
                  <w:sz w:val="24"/>
                  <w:szCs w:val="24"/>
                </w:rPr>
              </m:ctrlPr>
            </m:sSubPr>
            <m:e>
              <m:r>
                <w:rPr>
                  <w:rFonts w:ascii="Cambria Math" w:hAnsi="Cambria Math" w:cs="Calibri"/>
                  <w:sz w:val="24"/>
                  <w:szCs w:val="24"/>
                </w:rPr>
                <m:t>ME</m:t>
              </m:r>
            </m:e>
            <m:sub>
              <m:r>
                <w:rPr>
                  <w:rFonts w:ascii="Cambria Math" w:hAnsi="Cambria Math" w:cs="Calibri"/>
                  <w:sz w:val="24"/>
                  <w:szCs w:val="24"/>
                </w:rPr>
                <m:t>P</m:t>
              </m:r>
            </m:sub>
          </m:sSub>
          <m:r>
            <m:rPr>
              <m:sty m:val="p"/>
            </m:rPr>
            <w:rPr>
              <w:rFonts w:ascii="Cambria Math" w:hAnsi="Cambria Math" w:cs="Calibri"/>
              <w:sz w:val="24"/>
              <w:szCs w:val="24"/>
            </w:rPr>
            <m:t>+</m:t>
          </m:r>
          <m:sSub>
            <m:sSubPr>
              <m:ctrlPr>
                <w:rPr>
                  <w:rFonts w:ascii="Cambria Math" w:hAnsi="Cambria Math" w:cs="Calibri"/>
                  <w:sz w:val="24"/>
                  <w:szCs w:val="24"/>
                </w:rPr>
              </m:ctrlPr>
            </m:sSubPr>
            <m:e>
              <m:r>
                <w:rPr>
                  <w:rFonts w:ascii="Cambria Math" w:hAnsi="Cambria Math" w:cs="Calibri"/>
                  <w:sz w:val="24"/>
                  <w:szCs w:val="24"/>
                </w:rPr>
                <m:t>ME</m:t>
              </m:r>
            </m:e>
            <m:sub>
              <m:r>
                <w:rPr>
                  <w:rFonts w:ascii="Cambria Math" w:hAnsi="Cambria Math" w:cs="Calibri"/>
                  <w:sz w:val="24"/>
                  <w:szCs w:val="24"/>
                </w:rPr>
                <m:t>GRAZE</m:t>
              </m:r>
            </m:sub>
          </m:sSub>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ME</m:t>
              </m:r>
            </m:e>
            <m:sub>
              <m:r>
                <w:rPr>
                  <w:rFonts w:ascii="Cambria Math" w:hAnsi="Cambria Math" w:cs="Calibri"/>
                  <w:sz w:val="24"/>
                  <w:szCs w:val="24"/>
                </w:rPr>
                <m:t>c</m:t>
              </m:r>
            </m:sub>
          </m:sSub>
        </m:oMath>
      </m:oMathPara>
    </w:p>
    <w:p w14:paraId="0A57AECC" w14:textId="77777777" w:rsidR="00994F64" w:rsidRPr="00261B7A" w:rsidRDefault="00994F64" w:rsidP="00994F64">
      <w:pPr>
        <w:pStyle w:val="BodyText"/>
        <w:tabs>
          <w:tab w:val="left" w:pos="964"/>
        </w:tabs>
        <w:spacing w:after="60"/>
      </w:pPr>
      <w:r w:rsidRPr="00261B7A">
        <w:t xml:space="preserve">Where: </w:t>
      </w:r>
      <w:r w:rsidRPr="00261B7A">
        <w:tab/>
        <w:t>ME</w:t>
      </w:r>
      <w:r w:rsidRPr="00261B7A">
        <w:rPr>
          <w:vertAlign w:val="subscript"/>
        </w:rPr>
        <w:t>BASAL</w:t>
      </w:r>
      <w:r w:rsidRPr="00261B7A">
        <w:t xml:space="preserve"> is the energy requirement for maintenance</w:t>
      </w:r>
    </w:p>
    <w:p w14:paraId="60D9888C" w14:textId="77777777" w:rsidR="00994F64" w:rsidRPr="00261B7A" w:rsidRDefault="00994F64" w:rsidP="002A0608">
      <w:pPr>
        <w:pStyle w:val="BodyText"/>
        <w:tabs>
          <w:tab w:val="left" w:pos="964"/>
        </w:tabs>
        <w:spacing w:before="40" w:after="60"/>
      </w:pPr>
      <w:r w:rsidRPr="00261B7A">
        <w:tab/>
        <w:t>ME</w:t>
      </w:r>
      <w:r w:rsidRPr="00261B7A">
        <w:rPr>
          <w:vertAlign w:val="subscript"/>
        </w:rPr>
        <w:t>P</w:t>
      </w:r>
      <w:r w:rsidRPr="00261B7A">
        <w:t xml:space="preserve"> is the energy used directly for production (meat, milk, wool and so on) </w:t>
      </w:r>
    </w:p>
    <w:p w14:paraId="145844CB" w14:textId="77777777" w:rsidR="00994F64" w:rsidRPr="00261B7A" w:rsidRDefault="00994F64" w:rsidP="002A0608">
      <w:pPr>
        <w:pStyle w:val="BodyText"/>
        <w:tabs>
          <w:tab w:val="left" w:pos="964"/>
        </w:tabs>
        <w:spacing w:before="40" w:after="60"/>
      </w:pPr>
      <w:r w:rsidRPr="00261B7A">
        <w:tab/>
        <w:t>ME</w:t>
      </w:r>
      <w:r w:rsidRPr="00261B7A">
        <w:rPr>
          <w:vertAlign w:val="subscript"/>
        </w:rPr>
        <w:t>GRAZE</w:t>
      </w:r>
      <w:r w:rsidRPr="00261B7A">
        <w:t xml:space="preserve"> is the additional energy required by grazing livestock, and</w:t>
      </w:r>
    </w:p>
    <w:p w14:paraId="1953E2BC" w14:textId="77777777" w:rsidR="00994F64" w:rsidRPr="00261B7A" w:rsidRDefault="00994F64" w:rsidP="002A0608">
      <w:pPr>
        <w:pStyle w:val="BodyText"/>
        <w:tabs>
          <w:tab w:val="left" w:pos="964"/>
        </w:tabs>
        <w:spacing w:before="40"/>
      </w:pPr>
      <w:r w:rsidRPr="00261B7A">
        <w:tab/>
        <w:t>ME</w:t>
      </w:r>
      <w:r w:rsidRPr="00261B7A">
        <w:rPr>
          <w:vertAlign w:val="subscript"/>
        </w:rPr>
        <w:t>c</w:t>
      </w:r>
      <w:r w:rsidRPr="00261B7A">
        <w:t xml:space="preserve"> is the energy used for gestation or growth of the conceptus (MJ day</w:t>
      </w:r>
      <w:r w:rsidRPr="00261B7A">
        <w:rPr>
          <w:vertAlign w:val="superscript"/>
        </w:rPr>
        <w:t>-1</w:t>
      </w:r>
      <w:r w:rsidRPr="00261B7A">
        <w:t>).</w:t>
      </w:r>
    </w:p>
    <w:p w14:paraId="422E089C" w14:textId="77777777" w:rsidR="00994F64" w:rsidRPr="00261B7A" w:rsidRDefault="00994F64" w:rsidP="00994F64">
      <w:pPr>
        <w:pStyle w:val="BodyText"/>
        <w:spacing w:after="80"/>
      </w:pPr>
      <w:r w:rsidRPr="00261B7A">
        <w:t>And:</w:t>
      </w:r>
    </w:p>
    <w:p w14:paraId="7B0D18FE" w14:textId="77777777" w:rsidR="00994F64" w:rsidRPr="00261B7A" w:rsidRDefault="00994F64" w:rsidP="00994F64">
      <w:pPr>
        <w:tabs>
          <w:tab w:val="left" w:pos="1418"/>
        </w:tabs>
        <w:spacing w:after="120"/>
        <w:jc w:val="center"/>
        <w:rPr>
          <w:rFonts w:cs="Calibri"/>
          <w:sz w:val="24"/>
          <w:szCs w:val="24"/>
        </w:rPr>
      </w:pPr>
      <m:oMathPara>
        <m:oMath>
          <m:r>
            <w:rPr>
              <w:rFonts w:ascii="Cambria Math" w:hAnsi="Cambria Math" w:cs="Calibri"/>
              <w:sz w:val="24"/>
              <w:szCs w:val="24"/>
            </w:rPr>
            <m:t>M</m:t>
          </m:r>
          <m:sSub>
            <m:sSubPr>
              <m:ctrlPr>
                <w:rPr>
                  <w:rFonts w:ascii="Cambria Math" w:hAnsi="Cambria Math" w:cs="Calibri"/>
                  <w:sz w:val="24"/>
                  <w:szCs w:val="24"/>
                </w:rPr>
              </m:ctrlPr>
            </m:sSubPr>
            <m:e>
              <m:r>
                <w:rPr>
                  <w:rFonts w:ascii="Cambria Math" w:hAnsi="Cambria Math" w:cs="Calibri"/>
                  <w:sz w:val="24"/>
                  <w:szCs w:val="24"/>
                </w:rPr>
                <m:t>E</m:t>
              </m:r>
            </m:e>
            <m:sub>
              <m:r>
                <w:rPr>
                  <w:rFonts w:ascii="Cambria Math" w:hAnsi="Cambria Math" w:cs="Calibri"/>
                  <w:sz w:val="24"/>
                  <w:szCs w:val="24"/>
                </w:rPr>
                <m:t>TOTAL</m:t>
              </m:r>
            </m:sub>
          </m:sSub>
          <m:r>
            <m:rPr>
              <m:sty m:val="p"/>
            </m:rPr>
            <w:rPr>
              <w:rFonts w:ascii="Cambria Math" w:hAnsi="Cambria Math" w:cs="Calibri"/>
              <w:sz w:val="24"/>
              <w:szCs w:val="24"/>
            </w:rPr>
            <m:t>=</m:t>
          </m:r>
          <m:f>
            <m:fPr>
              <m:ctrlPr>
                <w:rPr>
                  <w:rFonts w:ascii="Cambria Math" w:hAnsi="Cambria Math" w:cs="Calibri"/>
                  <w:sz w:val="24"/>
                  <w:szCs w:val="24"/>
                </w:rPr>
              </m:ctrlPr>
            </m:fPr>
            <m:num>
              <m:r>
                <w:rPr>
                  <w:rFonts w:ascii="Cambria Math" w:hAnsi="Cambria Math" w:cs="Calibri"/>
                  <w:sz w:val="24"/>
                  <w:szCs w:val="24"/>
                </w:rPr>
                <m:t>KS</m:t>
              </m:r>
              <m:r>
                <m:rPr>
                  <m:sty m:val="p"/>
                </m:rPr>
                <w:rPr>
                  <w:rFonts w:ascii="Cambria Math" w:hAnsi="Cambria Math" w:cs="Calibri"/>
                  <w:sz w:val="24"/>
                  <w:szCs w:val="24"/>
                </w:rPr>
                <m:t>(0.28</m:t>
              </m:r>
              <m:sSup>
                <m:sSupPr>
                  <m:ctrlPr>
                    <w:rPr>
                      <w:rFonts w:ascii="Cambria Math" w:hAnsi="Cambria Math" w:cs="Calibri"/>
                      <w:sz w:val="24"/>
                      <w:szCs w:val="24"/>
                    </w:rPr>
                  </m:ctrlPr>
                </m:sSupPr>
                <m:e>
                  <m:r>
                    <w:rPr>
                      <w:rFonts w:ascii="Cambria Math" w:hAnsi="Cambria Math" w:cs="Calibri"/>
                      <w:sz w:val="24"/>
                      <w:szCs w:val="24"/>
                    </w:rPr>
                    <m:t>W</m:t>
                  </m:r>
                </m:e>
                <m:sup>
                  <m:r>
                    <m:rPr>
                      <m:sty m:val="p"/>
                    </m:rPr>
                    <w:rPr>
                      <w:rFonts w:ascii="Cambria Math" w:hAnsi="Cambria Math" w:cs="Calibri"/>
                      <w:sz w:val="24"/>
                      <w:szCs w:val="24"/>
                    </w:rPr>
                    <m:t>0.75</m:t>
                  </m:r>
                </m:sup>
              </m:sSup>
              <m:func>
                <m:funcPr>
                  <m:ctrlPr>
                    <w:rPr>
                      <w:rFonts w:ascii="Cambria Math" w:hAnsi="Cambria Math" w:cs="Calibri"/>
                      <w:sz w:val="24"/>
                      <w:szCs w:val="24"/>
                    </w:rPr>
                  </m:ctrlPr>
                </m:funcPr>
                <m:fName>
                  <m:r>
                    <m:rPr>
                      <m:sty m:val="p"/>
                    </m:rPr>
                    <w:rPr>
                      <w:rFonts w:ascii="Cambria Math" w:hAnsi="Cambria Math" w:cs="Calibri"/>
                      <w:sz w:val="24"/>
                      <w:szCs w:val="24"/>
                    </w:rPr>
                    <m:t>exp</m:t>
                  </m:r>
                </m:fName>
                <m:e>
                  <m:d>
                    <m:dPr>
                      <m:ctrlPr>
                        <w:rPr>
                          <w:rFonts w:ascii="Cambria Math" w:hAnsi="Cambria Math" w:cs="Calibri"/>
                          <w:sz w:val="24"/>
                          <w:szCs w:val="24"/>
                        </w:rPr>
                      </m:ctrlPr>
                    </m:dPr>
                    <m:e>
                      <m:r>
                        <m:rPr>
                          <m:sty m:val="p"/>
                        </m:rPr>
                        <w:rPr>
                          <w:rFonts w:ascii="Cambria Math" w:hAnsi="Cambria Math" w:cs="Calibri"/>
                          <w:sz w:val="24"/>
                          <w:szCs w:val="24"/>
                        </w:rPr>
                        <m:t>-0.03</m:t>
                      </m:r>
                      <m:r>
                        <w:rPr>
                          <w:rFonts w:ascii="Cambria Math" w:hAnsi="Cambria Math" w:cs="Calibri"/>
                          <w:sz w:val="24"/>
                          <w:szCs w:val="24"/>
                        </w:rPr>
                        <m:t>A</m:t>
                      </m:r>
                    </m:e>
                  </m:d>
                </m:e>
              </m:func>
              <m:r>
                <m:rPr>
                  <m:sty m:val="p"/>
                </m:rPr>
                <w:rPr>
                  <w:rFonts w:ascii="Cambria Math" w:hAnsi="Cambria Math" w:cs="Calibri"/>
                  <w:sz w:val="24"/>
                  <w:szCs w:val="24"/>
                </w:rPr>
                <m:t>)</m:t>
              </m:r>
            </m:num>
            <m:den>
              <m:sSub>
                <m:sSubPr>
                  <m:ctrlPr>
                    <w:rPr>
                      <w:rFonts w:ascii="Cambria Math" w:hAnsi="Cambria Math" w:cs="Calibri"/>
                      <w:sz w:val="24"/>
                      <w:szCs w:val="24"/>
                    </w:rPr>
                  </m:ctrlPr>
                </m:sSubPr>
                <m:e>
                  <m:r>
                    <w:rPr>
                      <w:rFonts w:ascii="Cambria Math" w:hAnsi="Cambria Math" w:cs="Calibri"/>
                      <w:sz w:val="24"/>
                      <w:szCs w:val="24"/>
                    </w:rPr>
                    <m:t>k</m:t>
                  </m:r>
                </m:e>
                <m:sub>
                  <m:r>
                    <w:rPr>
                      <w:rFonts w:ascii="Cambria Math" w:hAnsi="Cambria Math" w:cs="Calibri"/>
                      <w:sz w:val="24"/>
                      <w:szCs w:val="24"/>
                    </w:rPr>
                    <m:t>m</m:t>
                  </m:r>
                </m:sub>
              </m:sSub>
            </m:den>
          </m:f>
          <m:r>
            <m:rPr>
              <m:sty m:val="p"/>
            </m:rPr>
            <w:rPr>
              <w:rFonts w:ascii="Cambria Math" w:hAnsi="Cambria Math" w:cs="Calibri"/>
              <w:sz w:val="24"/>
              <w:szCs w:val="24"/>
            </w:rPr>
            <m:t>+1.1</m:t>
          </m:r>
          <m:sSub>
            <m:sSubPr>
              <m:ctrlPr>
                <w:rPr>
                  <w:rFonts w:ascii="Cambria Math" w:hAnsi="Cambria Math" w:cs="Calibri"/>
                  <w:sz w:val="24"/>
                  <w:szCs w:val="24"/>
                </w:rPr>
              </m:ctrlPr>
            </m:sSubPr>
            <m:e>
              <m:r>
                <w:rPr>
                  <w:rFonts w:ascii="Cambria Math" w:hAnsi="Cambria Math" w:cs="Calibri"/>
                  <w:sz w:val="24"/>
                  <w:szCs w:val="24"/>
                </w:rPr>
                <m:t>ME</m:t>
              </m:r>
            </m:e>
            <m:sub>
              <m:r>
                <w:rPr>
                  <w:rFonts w:ascii="Cambria Math" w:hAnsi="Cambria Math" w:cs="Calibri"/>
                  <w:sz w:val="24"/>
                  <w:szCs w:val="24"/>
                </w:rPr>
                <m:t>P</m:t>
              </m:r>
            </m:sub>
          </m:sSub>
          <m:r>
            <m:rPr>
              <m:sty m:val="p"/>
            </m:rPr>
            <w:rPr>
              <w:rFonts w:ascii="Cambria Math" w:hAnsi="Cambria Math" w:cs="Calibri"/>
              <w:sz w:val="24"/>
              <w:szCs w:val="24"/>
            </w:rPr>
            <m:t>+</m:t>
          </m:r>
          <m:f>
            <m:fPr>
              <m:ctrlPr>
                <w:rPr>
                  <w:rFonts w:ascii="Cambria Math" w:hAnsi="Cambria Math" w:cs="Calibri"/>
                  <w:sz w:val="24"/>
                  <w:szCs w:val="24"/>
                </w:rPr>
              </m:ctrlPr>
            </m:fPr>
            <m:num>
              <m:sSub>
                <m:sSubPr>
                  <m:ctrlPr>
                    <w:rPr>
                      <w:rFonts w:ascii="Cambria Math" w:hAnsi="Cambria Math" w:cs="Calibri"/>
                      <w:sz w:val="24"/>
                      <w:szCs w:val="24"/>
                    </w:rPr>
                  </m:ctrlPr>
                </m:sSubPr>
                <m:e>
                  <m:r>
                    <w:rPr>
                      <w:rFonts w:ascii="Cambria Math" w:hAnsi="Cambria Math" w:cs="Calibri"/>
                      <w:sz w:val="24"/>
                      <w:szCs w:val="24"/>
                    </w:rPr>
                    <m:t>E</m:t>
                  </m:r>
                </m:e>
                <m:sub>
                  <m:r>
                    <w:rPr>
                      <w:rFonts w:ascii="Cambria Math" w:hAnsi="Cambria Math" w:cs="Calibri"/>
                      <w:sz w:val="24"/>
                      <w:szCs w:val="24"/>
                    </w:rPr>
                    <m:t>GRAZE</m:t>
                  </m:r>
                </m:sub>
              </m:sSub>
            </m:num>
            <m:den>
              <m:sSub>
                <m:sSubPr>
                  <m:ctrlPr>
                    <w:rPr>
                      <w:rFonts w:ascii="Cambria Math" w:hAnsi="Cambria Math" w:cs="Calibri"/>
                      <w:sz w:val="24"/>
                      <w:szCs w:val="24"/>
                    </w:rPr>
                  </m:ctrlPr>
                </m:sSubPr>
                <m:e>
                  <m:r>
                    <w:rPr>
                      <w:rFonts w:ascii="Cambria Math" w:hAnsi="Cambria Math" w:cs="Calibri"/>
                      <w:sz w:val="24"/>
                      <w:szCs w:val="24"/>
                    </w:rPr>
                    <m:t>k</m:t>
                  </m:r>
                </m:e>
                <m:sub>
                  <m:r>
                    <w:rPr>
                      <w:rFonts w:ascii="Cambria Math" w:hAnsi="Cambria Math" w:cs="Calibri"/>
                      <w:sz w:val="24"/>
                      <w:szCs w:val="24"/>
                    </w:rPr>
                    <m:t>m</m:t>
                  </m:r>
                </m:sub>
              </m:sSub>
            </m:den>
          </m:f>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ME</m:t>
              </m:r>
            </m:e>
            <m:sub>
              <m:r>
                <w:rPr>
                  <w:rFonts w:ascii="Cambria Math" w:hAnsi="Cambria Math" w:cs="Calibri"/>
                  <w:sz w:val="24"/>
                  <w:szCs w:val="24"/>
                </w:rPr>
                <m:t>c</m:t>
              </m:r>
            </m:sub>
          </m:sSub>
        </m:oMath>
      </m:oMathPara>
    </w:p>
    <w:p w14:paraId="4084BDB0" w14:textId="77777777" w:rsidR="00994F64" w:rsidRPr="00261B7A" w:rsidRDefault="00994F64" w:rsidP="00994F64">
      <w:pPr>
        <w:pStyle w:val="BodyText"/>
        <w:tabs>
          <w:tab w:val="left" w:pos="964"/>
        </w:tabs>
        <w:spacing w:after="60"/>
        <w:ind w:left="993" w:hanging="993"/>
      </w:pPr>
      <w:r w:rsidRPr="00261B7A">
        <w:t>Where:</w:t>
      </w:r>
      <w:r w:rsidRPr="00261B7A">
        <w:tab/>
        <w:t>K is the coefficient that accounts for differences in fasting heat production across species (CSIRO, 1990). This value is 1.0 for sheep and 1.4 for all cattle and deer (CSIRO, 2007)</w:t>
      </w:r>
    </w:p>
    <w:p w14:paraId="3F6DD4B1" w14:textId="77777777" w:rsidR="00994F64" w:rsidRPr="00261B7A" w:rsidRDefault="00994F64" w:rsidP="00994F64">
      <w:pPr>
        <w:pStyle w:val="BodyText"/>
        <w:spacing w:before="60" w:after="60"/>
        <w:ind w:left="964" w:hanging="964"/>
      </w:pPr>
      <w:r w:rsidRPr="00261B7A">
        <w:tab/>
        <w:t>S is the coefficient that accounts for differences in basal metabolic rate between males and females. This value is 1.0 for females and castrates and 1.15 for entire mature males (CSIRO, 2007)</w:t>
      </w:r>
    </w:p>
    <w:p w14:paraId="73855646" w14:textId="77777777" w:rsidR="00994F64" w:rsidRPr="00261B7A" w:rsidRDefault="00994F64" w:rsidP="00994F64">
      <w:pPr>
        <w:pStyle w:val="BodyText"/>
        <w:spacing w:before="60" w:after="60"/>
        <w:ind w:left="964"/>
      </w:pPr>
      <w:r w:rsidRPr="00261B7A">
        <w:t>W is the liveweight (kg)</w:t>
      </w:r>
    </w:p>
    <w:p w14:paraId="5D4BC2AC" w14:textId="77777777" w:rsidR="00994F64" w:rsidRPr="00261B7A" w:rsidRDefault="00994F64" w:rsidP="00994F64">
      <w:pPr>
        <w:pStyle w:val="BodyText"/>
        <w:spacing w:before="60" w:after="60"/>
        <w:ind w:left="964"/>
      </w:pPr>
      <w:r w:rsidRPr="00261B7A">
        <w:t>A is the age in years, up to a maximum value of 6</w:t>
      </w:r>
    </w:p>
    <w:p w14:paraId="3E783B71" w14:textId="77777777" w:rsidR="00994F64" w:rsidRPr="00261B7A" w:rsidRDefault="00994F64" w:rsidP="00994F64">
      <w:pPr>
        <w:pStyle w:val="BodyText"/>
        <w:spacing w:before="60" w:after="60"/>
        <w:ind w:left="964"/>
      </w:pPr>
      <w:r w:rsidRPr="00261B7A">
        <w:t>k</w:t>
      </w:r>
      <w:r w:rsidRPr="00261B7A">
        <w:rPr>
          <w:vertAlign w:val="subscript"/>
        </w:rPr>
        <w:t>m</w:t>
      </w:r>
      <w:r w:rsidRPr="00261B7A">
        <w:t xml:space="preserve"> is the net efficiency of use of ME for maintenance (ME</w:t>
      </w:r>
      <w:r w:rsidRPr="00261B7A">
        <w:rPr>
          <w:vertAlign w:val="subscript"/>
        </w:rPr>
        <w:t>BASAL</w:t>
      </w:r>
      <w:r w:rsidRPr="00261B7A">
        <w:t>), and</w:t>
      </w:r>
    </w:p>
    <w:p w14:paraId="258D3AAA" w14:textId="77777777" w:rsidR="00994F64" w:rsidRPr="00261B7A" w:rsidRDefault="00994F64" w:rsidP="00994F64">
      <w:pPr>
        <w:pStyle w:val="BodyText"/>
        <w:spacing w:before="60"/>
        <w:ind w:left="964"/>
      </w:pPr>
      <w:r w:rsidRPr="00261B7A">
        <w:t>E</w:t>
      </w:r>
      <w:r w:rsidRPr="00261B7A">
        <w:rPr>
          <w:vertAlign w:val="subscript"/>
        </w:rPr>
        <w:t>GRAZE</w:t>
      </w:r>
      <w:r w:rsidRPr="00261B7A">
        <w:t xml:space="preserve"> is the additional energy expenditure of livestock in cold stress.</w:t>
      </w:r>
    </w:p>
    <w:p w14:paraId="361052B7" w14:textId="77777777" w:rsidR="00994F64" w:rsidRPr="00261B7A" w:rsidRDefault="00994F64" w:rsidP="00994F64">
      <w:pPr>
        <w:pStyle w:val="BodyText"/>
        <w:spacing w:before="100" w:after="100"/>
      </w:pPr>
      <w:r w:rsidRPr="00261B7A">
        <w:t>For further details, see the inventory methodology document on the MPI website (</w:t>
      </w:r>
      <w:hyperlink r:id="rId113" w:history="1">
        <w:r w:rsidRPr="00261B7A">
          <w:rPr>
            <w:rStyle w:val="Hyperlink"/>
            <w:rFonts w:cs="Calibri"/>
            <w:spacing w:val="-2"/>
          </w:rPr>
          <w:t>www.mpi.govt.nz/dmsdocument/13906-detailed-methodologies-for-agricultural-greenhouse-gas-emission-calculation</w:t>
        </w:r>
      </w:hyperlink>
      <w:r w:rsidRPr="00261B7A">
        <w:t>).</w:t>
      </w:r>
    </w:p>
    <w:p w14:paraId="2B4210D8" w14:textId="77777777" w:rsidR="00994F64" w:rsidRPr="00261B7A" w:rsidRDefault="00994F64" w:rsidP="00994F64">
      <w:pPr>
        <w:pStyle w:val="Heading5"/>
      </w:pPr>
      <w:r w:rsidRPr="00261B7A">
        <w:t xml:space="preserve">Monthly diet energy (E) concentration </w:t>
      </w:r>
    </w:p>
    <w:p w14:paraId="208D0A8F" w14:textId="77777777" w:rsidR="00994F64" w:rsidRPr="00261B7A" w:rsidRDefault="00994F64" w:rsidP="00994F64">
      <w:pPr>
        <w:pStyle w:val="BodyText"/>
        <w:rPr>
          <w:strike/>
        </w:rPr>
      </w:pPr>
      <w:r w:rsidRPr="00261B7A">
        <w:t>In New Zealand, dairy cattle, beef cattle, sheep and deer are predominantly fed on pasture all year round. Data sets of estimated monthly energy concentrations of pasture consumed by different livestock species are used in the Agriculture inventory model. This diet is typically supplemented with feeds of various types, such as hay and silage, and a range of different crops and crop wastes. Data on the concentration of pasture are reported in the inventory methodology document (Pickering et al., 2022, appendices 3, 9 and 19) and are derived from published and unpublished research trial data and supplemented with additional data from farm surveys on commercial cattle and sheep farms.</w:t>
      </w:r>
    </w:p>
    <w:p w14:paraId="5DDACC7D" w14:textId="77777777" w:rsidR="00994F64" w:rsidRPr="00261B7A" w:rsidRDefault="00994F64" w:rsidP="009C2C98">
      <w:pPr>
        <w:pStyle w:val="BodyText"/>
        <w:spacing w:after="100"/>
      </w:pPr>
      <w:r w:rsidRPr="00261B7A">
        <w:t>To ensure consistency across the livestock emission source categories, a single enhanced livestock population characterisation and DMI estimate is produced by the Tier 2 model. The enhanced livestock characterisation and DMI is used to estimate CH</w:t>
      </w:r>
      <w:r w:rsidRPr="00261B7A">
        <w:rPr>
          <w:vertAlign w:val="subscript"/>
        </w:rPr>
        <w:t>4</w:t>
      </w:r>
      <w:r w:rsidRPr="00261B7A">
        <w:t xml:space="preserve"> emissions for the </w:t>
      </w:r>
      <w:r w:rsidRPr="00261B7A">
        <w:rPr>
          <w:i/>
          <w:iCs/>
        </w:rPr>
        <w:t xml:space="preserve">Enteric fermentation </w:t>
      </w:r>
      <w:r w:rsidRPr="00261B7A">
        <w:t>category, CH</w:t>
      </w:r>
      <w:r w:rsidRPr="00261B7A">
        <w:rPr>
          <w:vertAlign w:val="subscript"/>
        </w:rPr>
        <w:t>4</w:t>
      </w:r>
      <w:r w:rsidRPr="00261B7A">
        <w:t xml:space="preserve"> and N</w:t>
      </w:r>
      <w:r w:rsidRPr="00261B7A">
        <w:rPr>
          <w:vertAlign w:val="subscript"/>
        </w:rPr>
        <w:t>2</w:t>
      </w:r>
      <w:r w:rsidRPr="00261B7A">
        <w:t xml:space="preserve">O emissions for the </w:t>
      </w:r>
      <w:r w:rsidRPr="00261B7A">
        <w:rPr>
          <w:i/>
          <w:iCs/>
        </w:rPr>
        <w:t>Manure management</w:t>
      </w:r>
      <w:r w:rsidRPr="00261B7A">
        <w:t xml:space="preserve"> category and N</w:t>
      </w:r>
      <w:r w:rsidRPr="00261B7A">
        <w:rPr>
          <w:vertAlign w:val="subscript"/>
        </w:rPr>
        <w:t>2</w:t>
      </w:r>
      <w:r w:rsidRPr="00261B7A">
        <w:t xml:space="preserve">O emissions for urine and dung deposited by grazing animals onto pasture in the </w:t>
      </w:r>
      <w:r w:rsidRPr="00261B7A">
        <w:rPr>
          <w:i/>
          <w:iCs/>
        </w:rPr>
        <w:t>Agricultural soils</w:t>
      </w:r>
      <w:r w:rsidRPr="00261B7A">
        <w:t xml:space="preserve"> category.</w:t>
      </w:r>
    </w:p>
    <w:p w14:paraId="2DE3CE9F" w14:textId="77777777" w:rsidR="00994F64" w:rsidRPr="00261B7A" w:rsidRDefault="00994F64" w:rsidP="00994F64">
      <w:pPr>
        <w:pStyle w:val="Heading3"/>
        <w:spacing w:before="240"/>
      </w:pPr>
      <w:bookmarkStart w:id="686" w:name="_Toc32570646"/>
      <w:r w:rsidRPr="00261B7A">
        <w:t xml:space="preserve">5.1.4 </w:t>
      </w:r>
      <w:r w:rsidRPr="00261B7A">
        <w:tab/>
        <w:t>Activity data</w:t>
      </w:r>
      <w:bookmarkEnd w:id="686"/>
    </w:p>
    <w:p w14:paraId="177A833B" w14:textId="77777777" w:rsidR="00994F64" w:rsidRPr="00261B7A" w:rsidRDefault="00994F64" w:rsidP="009C2C98">
      <w:pPr>
        <w:pStyle w:val="Heading4"/>
        <w:spacing w:before="180"/>
      </w:pPr>
      <w:r w:rsidRPr="00261B7A">
        <w:t xml:space="preserve">Major livestock categories </w:t>
      </w:r>
    </w:p>
    <w:p w14:paraId="52091D43" w14:textId="4B1E1D15" w:rsidR="00994F64" w:rsidRPr="00261B7A" w:rsidRDefault="00994F64" w:rsidP="001A2DB0">
      <w:pPr>
        <w:pStyle w:val="BodyText"/>
        <w:spacing w:before="80" w:after="100"/>
      </w:pPr>
      <w:r w:rsidRPr="00261B7A">
        <w:t>The Tier 2 methodology developed by New Zealand uses data on livestock population and productivity to calculate livestock energy requirements and hence DMI. Animal population data are collected by Stats NZ. Productivity data for dairy are provided jointly by the Livestock Improvement Corporation (LIC, a farmer-owned cooperative) and DairyNZ, with other data provided by industry organisations such Beef + Lamb New Zealand Ltd and Deer Industry New</w:t>
      </w:r>
      <w:r w:rsidR="000F7D68" w:rsidRPr="00261B7A">
        <w:t> </w:t>
      </w:r>
      <w:r w:rsidRPr="00261B7A">
        <w:t xml:space="preserve">Zealand, which regularly collect animal sector statistics. Statistics on animal carcass </w:t>
      </w:r>
      <w:r w:rsidRPr="00261B7A">
        <w:rPr>
          <w:spacing w:val="-2"/>
        </w:rPr>
        <w:t>weights are collected by MPI from all major meat processors and are used to derive liveweights.</w:t>
      </w:r>
      <w:r w:rsidRPr="00261B7A">
        <w:t xml:space="preserve"> </w:t>
      </w:r>
    </w:p>
    <w:p w14:paraId="42B48156" w14:textId="77777777" w:rsidR="00994F64" w:rsidRPr="00261B7A" w:rsidRDefault="00994F64" w:rsidP="009C2C98">
      <w:pPr>
        <w:pStyle w:val="BodyText"/>
        <w:spacing w:before="100" w:after="100"/>
      </w:pPr>
      <w:r w:rsidRPr="00261B7A">
        <w:t>A challenge for New Zealand activity data is that the inventory is calculated on a calendar year, while New Zealand uses a June year end for animal statistics because this reflects the natural biological cycle for animals in the southern hemisphere. New Zealand developed a Tier 2 model that estimates livestock emissions on a monthly time step, beginning on 1 July of one calendar year and ending on 30 June of the next year. To calculate emissions for a single calendar year (January–December), the calculated emissions data from the last six months of a July–June year are combined with the first six months’ emissions of the next July–June year. This approach enables comparisons with the agricultural inventories of other countries.</w:t>
      </w:r>
    </w:p>
    <w:p w14:paraId="21D28C99" w14:textId="77777777" w:rsidR="00994F64" w:rsidRPr="00261B7A" w:rsidRDefault="00994F64" w:rsidP="009C2C98">
      <w:pPr>
        <w:pStyle w:val="BodyText"/>
        <w:spacing w:before="100" w:after="100"/>
      </w:pPr>
      <w:r w:rsidRPr="00261B7A">
        <w:rPr>
          <w:iCs/>
        </w:rPr>
        <w:t>Dairy cattle</w:t>
      </w:r>
      <w:r w:rsidRPr="00261B7A">
        <w:t xml:space="preserve"> are the only livestock type where emissions are currently calculated on a sub-national regional area basis represented by regional council areas. This allows the inventory to take into account </w:t>
      </w:r>
      <w:r w:rsidRPr="00261B7A">
        <w:rPr>
          <w:spacing w:val="-2"/>
        </w:rPr>
        <w:t>regional differences in productivity for dairy livestock as a result of New Zealand’s microclimates</w:t>
      </w:r>
      <w:r w:rsidRPr="00261B7A">
        <w:t xml:space="preserve"> and management systems (Clark, 2008a). A regional emissions assessment is not carried out </w:t>
      </w:r>
      <w:r w:rsidRPr="00261B7A">
        <w:rPr>
          <w:spacing w:val="-2"/>
        </w:rPr>
        <w:t>for other livestock types because regional productivity data are currently unable to be accurately</w:t>
      </w:r>
      <w:r w:rsidRPr="00261B7A">
        <w:t xml:space="preserve"> collected at the sub-national level and integrated into the national population data. </w:t>
      </w:r>
    </w:p>
    <w:p w14:paraId="25688095" w14:textId="77777777" w:rsidR="00994F64" w:rsidRPr="00261B7A" w:rsidRDefault="00994F64" w:rsidP="00994F64">
      <w:pPr>
        <w:pStyle w:val="Heading5"/>
      </w:pPr>
      <w:r w:rsidRPr="00261B7A">
        <w:t xml:space="preserve">Animal population data </w:t>
      </w:r>
    </w:p>
    <w:p w14:paraId="3519940B" w14:textId="77777777" w:rsidR="00994F64" w:rsidRPr="00261B7A" w:rsidRDefault="00994F64" w:rsidP="009C2C98">
      <w:pPr>
        <w:pStyle w:val="BodyText"/>
        <w:spacing w:before="80" w:after="100"/>
      </w:pPr>
      <w:r w:rsidRPr="00261B7A">
        <w:t>Stats NZ collects animal population data on a sub-national territorial authority basis. Animal population data are collected on an annual basis through the Agricultural Production Census and Agricultural Production Survey. The census occurs every five years (the most recent occurred in 2022) and the survey is conducted in the interim years. The only difference between these two processes is the sample size. The census attempts to gather information from the entire target population, and the survey attempts to gather information from a representative random sample of that population. Further details about the scope and accuracy of the Stats NZ Agricultural Production data collection are provided in annex 3, section 3.1.</w:t>
      </w:r>
    </w:p>
    <w:p w14:paraId="31514183" w14:textId="77777777" w:rsidR="00994F64" w:rsidRPr="00261B7A" w:rsidRDefault="00994F64" w:rsidP="009C2C98">
      <w:pPr>
        <w:pStyle w:val="BodyText"/>
        <w:spacing w:before="100" w:after="100"/>
      </w:pPr>
      <w:r w:rsidRPr="00261B7A">
        <w:t xml:space="preserve">The timing of Stats NZ final data releases (June the year after the survey) and the inventory submission deadlines mean data from an MPI </w:t>
      </w:r>
      <w:r w:rsidRPr="00261B7A">
        <w:rPr>
          <w:i/>
          <w:iCs/>
        </w:rPr>
        <w:t>Expectations Report</w:t>
      </w:r>
      <w:r w:rsidRPr="00261B7A">
        <w:t xml:space="preserve"> (see chapter 10, section 10.1.3 for more detail) have been used in the 2023 (1990 to 2021) submission. The 2023 submission results will be updated with final data from Stats NZ in the 2024 (1990 to 2023) submission. This affects 2022 livestock population data only, which are needed to estimate emissions for the 2021 year.</w:t>
      </w:r>
    </w:p>
    <w:p w14:paraId="154B1E6D" w14:textId="77777777" w:rsidR="00994F64" w:rsidRPr="00261B7A" w:rsidRDefault="00994F64" w:rsidP="00994F64">
      <w:pPr>
        <w:pStyle w:val="BodyText"/>
        <w:spacing w:before="100" w:after="100"/>
      </w:pPr>
      <w:r w:rsidRPr="00261B7A">
        <w:t xml:space="preserve">The New Zealand Agriculture inventory uses a country-specific population characterisation for pasture-based livestock compared with the default recommended by the Intergovernmental </w:t>
      </w:r>
      <w:r w:rsidRPr="00261B7A">
        <w:rPr>
          <w:spacing w:val="-2"/>
        </w:rPr>
        <w:t>Panel on Climate Change (IPCC) for Tier 2 inventories (IPCC, 2000, 2006). The full list of categories</w:t>
      </w:r>
      <w:r w:rsidRPr="00261B7A">
        <w:t xml:space="preserve"> for the major livestock populations can be found in annex 3, table A3.1.2, and in the inventory methodology document on the MPI website (</w:t>
      </w:r>
      <w:hyperlink r:id="rId114" w:history="1">
        <w:r w:rsidRPr="00261B7A">
          <w:rPr>
            <w:rStyle w:val="Hyperlink"/>
          </w:rPr>
          <w:t>www.mpi.govt.nz/dmsdocument/13906-detailed-methodologies-for-agricultural-greenhouse-gas-emission-calculation</w:t>
        </w:r>
      </w:hyperlink>
      <w:r w:rsidRPr="00261B7A">
        <w:t xml:space="preserve">). </w:t>
      </w:r>
    </w:p>
    <w:p w14:paraId="7DDAFB49" w14:textId="77777777" w:rsidR="00994F64" w:rsidRPr="00261B7A" w:rsidRDefault="00994F64" w:rsidP="00994F64">
      <w:pPr>
        <w:pStyle w:val="BodyText"/>
      </w:pPr>
      <w:r w:rsidRPr="00261B7A">
        <w:t>For the purposes of emissions data reporting, ‘</w:t>
      </w:r>
      <w:r w:rsidRPr="00261B7A">
        <w:rPr>
          <w:i/>
          <w:iCs/>
        </w:rPr>
        <w:t>Dairy cattle’</w:t>
      </w:r>
      <w:r w:rsidRPr="00261B7A">
        <w:t xml:space="preserve"> category encompasses all cattle that support the milking dairy herd. In addition to dairy heifers, this includes calves, young growing non-lactating heifers, dry cows and dairy bulls. All other cattle in New Zealand are characterised as beef cattle. These include beef breeding lactating cows used for producing slaughter animals, such as calves, dry cows, bulls and all slaughter classes. A proportion of male and female calves not required for dairy replacements are transferred into the beef herd and are slaughtered for meat consumption, generally at 18 to 24 months of age.</w:t>
      </w:r>
    </w:p>
    <w:p w14:paraId="54E7087E" w14:textId="77777777" w:rsidR="00994F64" w:rsidRPr="00261B7A" w:rsidRDefault="00994F64" w:rsidP="00994F64">
      <w:pPr>
        <w:pStyle w:val="BodyText"/>
      </w:pPr>
      <w:r w:rsidRPr="00261B7A">
        <w:t>A detailed livestock population model is used to calculate monthly populations for dairy cattle, beef cattle, sheep and deer (see annex 3, table A3.1.2, for the full list of categories).</w:t>
      </w:r>
    </w:p>
    <w:p w14:paraId="3E3DB60C" w14:textId="6E5A5D77" w:rsidR="00994F64" w:rsidRPr="00261B7A" w:rsidRDefault="00994F64" w:rsidP="00994F64">
      <w:pPr>
        <w:pStyle w:val="BodyText"/>
      </w:pPr>
      <w:r w:rsidRPr="00261B7A">
        <w:t>This monthly population delineation has been developed by using industry knowledge and assumptions as detailed in Clark (2008b), Thomson et al. (2010), Suttie (2012) and Burggraaf et al. (2022). Populations within a given year are adjusted on a monthly basis to account for births, deaths and transfers between age groups. For example, because most lambs are born and slaughtered between August and May, their numbers do not appear in the June census or survey data. Additionally, male and female dairy calves not necessary for replacements are usually slaughtered at four days of age or transferred to the beef herd. The monthly population model ensures that the calculated feed demand more accurately reflects the status</w:t>
      </w:r>
      <w:r w:rsidR="00DA69B2">
        <w:t> </w:t>
      </w:r>
      <w:r w:rsidRPr="00261B7A">
        <w:t>of each livestock category at a particular time of the year. Average national estimates of</w:t>
      </w:r>
      <w:r w:rsidR="00DA69B2">
        <w:t> </w:t>
      </w:r>
      <w:r w:rsidRPr="00261B7A">
        <w:t>monthly birth and death dates and rates are used, which are based on expert opinion and limited published data. In reality, these vary across the country, between farming species, climates and between farming systems.</w:t>
      </w:r>
    </w:p>
    <w:p w14:paraId="607DAFE4" w14:textId="77777777" w:rsidR="00994F64" w:rsidRPr="00261B7A" w:rsidRDefault="00994F64" w:rsidP="00994F64">
      <w:pPr>
        <w:pStyle w:val="Heading5"/>
      </w:pPr>
      <w:r w:rsidRPr="00261B7A">
        <w:t xml:space="preserve">Animal productivity data </w:t>
      </w:r>
    </w:p>
    <w:p w14:paraId="50D1AD3F" w14:textId="77777777" w:rsidR="00994F64" w:rsidRPr="00261B7A" w:rsidRDefault="00994F64" w:rsidP="00994F64">
      <w:pPr>
        <w:pStyle w:val="BodyText"/>
      </w:pPr>
      <w:r w:rsidRPr="00261B7A">
        <w:t xml:space="preserve">Animal productivity data are obtained from LIC and DairyNZ, Beef + Lamb New Zealand Ltd and Deer Industry New Zealand. </w:t>
      </w:r>
      <w:r w:rsidRPr="00261B7A">
        <w:rPr>
          <w:rFonts w:cs="Calibri"/>
        </w:rPr>
        <w:t xml:space="preserve">Slaughter statistics are collected by MPI and used as a proxy to establish changes in animal </w:t>
      </w:r>
      <w:r w:rsidRPr="00261B7A">
        <w:t>liveweight over time (</w:t>
      </w:r>
      <w:hyperlink r:id="rId115" w:history="1">
        <w:r w:rsidRPr="00261B7A">
          <w:rPr>
            <w:rStyle w:val="Hyperlink"/>
          </w:rPr>
          <w:t>www.mpi.govt.nz/resources-and-forms/economic-intelligence/data/</w:t>
        </w:r>
      </w:hyperlink>
      <w:r w:rsidRPr="00261B7A">
        <w:t>). Animal liveweight is derived from published slaughter-weight statistics and general nationally derived killing-out percentages (Clark et al., 2003; Muir et al., 2008; Muir</w:t>
      </w:r>
      <w:r w:rsidRPr="00261B7A">
        <w:rPr>
          <w:rFonts w:cs="Calibri"/>
        </w:rPr>
        <w:t xml:space="preserve"> and Thomson, 2010). </w:t>
      </w:r>
    </w:p>
    <w:p w14:paraId="16F0278D" w14:textId="77777777" w:rsidR="00994F64" w:rsidRPr="00261B7A" w:rsidRDefault="00994F64" w:rsidP="00994F64">
      <w:pPr>
        <w:pStyle w:val="BodyText"/>
      </w:pPr>
      <w:r w:rsidRPr="00261B7A">
        <w:t xml:space="preserve">The same data sources are used each year to ensure consistency. Other information, such as the liveweight of beef cattle and breeding bulls, is collected at irregular intervals from small survey populations. For years when data are not available, expert opinion and extrapolation from existing data are used. </w:t>
      </w:r>
    </w:p>
    <w:p w14:paraId="162A01A6" w14:textId="77777777" w:rsidR="00994F64" w:rsidRPr="00261B7A" w:rsidRDefault="00994F64" w:rsidP="00994F64">
      <w:pPr>
        <w:pStyle w:val="BodyText"/>
      </w:pPr>
      <w:r w:rsidRPr="00261B7A">
        <w:rPr>
          <w:b/>
          <w:bCs/>
          <w:i/>
          <w:iCs/>
        </w:rPr>
        <w:t>Dairy cattle – milk production:</w:t>
      </w:r>
      <w:r w:rsidRPr="00261B7A">
        <w:t xml:space="preserve"> Regional data on milk production, proportions of dairy cattle breeds and animal liveweights are provided in the New Zealand dairy statistics reports. These data are collectively compiled by LIC and DairyNZ. </w:t>
      </w:r>
    </w:p>
    <w:p w14:paraId="648E0456" w14:textId="77777777" w:rsidR="00994F64" w:rsidRPr="00261B7A" w:rsidRDefault="00994F64" w:rsidP="00994F64">
      <w:pPr>
        <w:pStyle w:val="BodyText"/>
      </w:pPr>
      <w:r w:rsidRPr="00261B7A">
        <w:t xml:space="preserve">Data on New Zealand’s total milk production are taken from the amount of milk processed through New Zealand dairy factories for both the export and domestic markets. Data on individual animal production are sourced from the Dairy Industry Good Animal Database (DIGAD), maintained by DairyNZ. Dairy farmers are paid on total kilograms of milk solids (fat and protein) collected. Tankers that collect the milk also meter the milk collected from individual farms. These meters are regularly calibrated and audited. Milk samples from individual farms are also independently tested for milk solids, milk fat percentage and protein content. </w:t>
      </w:r>
    </w:p>
    <w:p w14:paraId="37493893" w14:textId="71688F8D" w:rsidR="00994F64" w:rsidRPr="00261B7A" w:rsidRDefault="00994F64" w:rsidP="00994F64">
      <w:pPr>
        <w:pStyle w:val="BodyText"/>
      </w:pPr>
      <w:r w:rsidRPr="00261B7A">
        <w:t xml:space="preserve">LIC provides annual milk production data (milk yield and composition), but the Tier 2 livestock model operates on a monthly time step. Monthly milk production is determined by multiplying the assessed proportion of annual milk production for each month by the total annual milk production (see annex 3, table A3.1.3). Milk production commences from mid-July to earlyAugust every year, peaking around October–November and declines during autumn (April–May in the southern hemisphere). Milk production is low to non-existent in June and July in most herds (see figure 5.1.6), representing the seasonal nature of forage growth. </w:t>
      </w:r>
    </w:p>
    <w:p w14:paraId="0F0C375F" w14:textId="77777777" w:rsidR="00994F64" w:rsidRPr="00261B7A" w:rsidRDefault="00994F64" w:rsidP="00994F64">
      <w:pPr>
        <w:pStyle w:val="BodyText"/>
      </w:pPr>
      <w:r w:rsidRPr="00261B7A">
        <w:t xml:space="preserve">New Zealand’s dairy production per animal is lower than in other developed countries. This is because New Zealand has predominantly pasture-based dairy systems rather than the housed grain-fed systems used in Europe and North America. </w:t>
      </w:r>
    </w:p>
    <w:p w14:paraId="62B4F46D" w14:textId="77777777" w:rsidR="00994F64" w:rsidRPr="00261B7A" w:rsidRDefault="00994F64" w:rsidP="00994F64">
      <w:pPr>
        <w:pStyle w:val="BodyText"/>
      </w:pPr>
      <w:r w:rsidRPr="00261B7A">
        <w:t xml:space="preserve">Annual milk yields per animal have been obtained and reported as additional data in the CRF tables for Annex I country inventories by dividing the total milk produced by the total number of milking dairy cows and heifers. </w:t>
      </w:r>
    </w:p>
    <w:p w14:paraId="5311ED49" w14:textId="77777777" w:rsidR="00994F64" w:rsidRPr="00261B7A" w:rsidRDefault="00994F64" w:rsidP="00994F64">
      <w:pPr>
        <w:pStyle w:val="Figure"/>
      </w:pPr>
      <w:bookmarkStart w:id="687" w:name="_Toc481752011"/>
      <w:bookmarkStart w:id="688" w:name="_Toc507158470"/>
      <w:bookmarkStart w:id="689" w:name="_Toc511116961"/>
      <w:bookmarkStart w:id="690" w:name="_Toc5269691"/>
      <w:bookmarkStart w:id="691" w:name="_Toc32570962"/>
      <w:bookmarkStart w:id="692" w:name="_Toc36292792"/>
      <w:bookmarkStart w:id="693" w:name="_Toc68786657"/>
      <w:bookmarkStart w:id="694" w:name="_Toc95574118"/>
      <w:bookmarkStart w:id="695" w:name="_Toc127458557"/>
      <w:bookmarkStart w:id="696" w:name="_Toc131591559"/>
      <w:r w:rsidRPr="00261B7A">
        <w:t xml:space="preserve">Figure 5.1.6 </w:t>
      </w:r>
      <w:r w:rsidRPr="00261B7A">
        <w:tab/>
        <w:t xml:space="preserve">National monthly milk production in New Zealand from 2019 to </w:t>
      </w:r>
      <w:bookmarkEnd w:id="687"/>
      <w:bookmarkEnd w:id="688"/>
      <w:bookmarkEnd w:id="689"/>
      <w:bookmarkEnd w:id="690"/>
      <w:bookmarkEnd w:id="691"/>
      <w:bookmarkEnd w:id="692"/>
      <w:bookmarkEnd w:id="693"/>
      <w:r w:rsidRPr="00261B7A">
        <w:t>202</w:t>
      </w:r>
      <w:bookmarkEnd w:id="694"/>
      <w:r w:rsidRPr="00261B7A">
        <w:t>1</w:t>
      </w:r>
      <w:bookmarkEnd w:id="695"/>
      <w:bookmarkEnd w:id="696"/>
    </w:p>
    <w:p w14:paraId="71C8F4BD" w14:textId="77777777" w:rsidR="00994F64" w:rsidRPr="00261B7A" w:rsidRDefault="00994F64" w:rsidP="00994F64">
      <w:pPr>
        <w:pStyle w:val="BodyText"/>
        <w:spacing w:before="0" w:after="0"/>
        <w:rPr>
          <w:rFonts w:cs="Calibri"/>
        </w:rPr>
      </w:pPr>
      <w:r w:rsidRPr="00261B7A">
        <w:rPr>
          <w:noProof/>
        </w:rPr>
        <w:drawing>
          <wp:inline distT="0" distB="0" distL="0" distR="0" wp14:anchorId="3BDC7371" wp14:editId="13457C30">
            <wp:extent cx="5400040" cy="3138170"/>
            <wp:effectExtent l="0" t="0" r="0" b="5080"/>
            <wp:docPr id="37" name="Chart 37">
              <a:extLst xmlns:a="http://schemas.openxmlformats.org/drawingml/2006/main">
                <a:ext uri="{FF2B5EF4-FFF2-40B4-BE49-F238E27FC236}">
                  <a16:creationId xmlns:a16="http://schemas.microsoft.com/office/drawing/2014/main" id="{00000000-0008-0000-0B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561F417" w14:textId="77777777" w:rsidR="00994F64" w:rsidRPr="00261B7A" w:rsidRDefault="00994F64" w:rsidP="00994F64">
      <w:pPr>
        <w:pStyle w:val="Source"/>
        <w:spacing w:before="0" w:after="120"/>
        <w:rPr>
          <w:rFonts w:cs="Calibri"/>
          <w:b/>
          <w:bCs/>
          <w:sz w:val="18"/>
          <w:szCs w:val="24"/>
        </w:rPr>
      </w:pPr>
      <w:r w:rsidRPr="00261B7A">
        <w:rPr>
          <w:rFonts w:cs="Calibri"/>
          <w:b/>
          <w:bCs/>
          <w:sz w:val="18"/>
          <w:szCs w:val="24"/>
        </w:rPr>
        <w:t>Source</w:t>
      </w:r>
      <w:r w:rsidRPr="00261B7A">
        <w:rPr>
          <w:rFonts w:cs="Calibri"/>
          <w:sz w:val="18"/>
          <w:szCs w:val="24"/>
        </w:rPr>
        <w:t>:</w:t>
      </w:r>
      <w:r w:rsidRPr="00261B7A">
        <w:rPr>
          <w:rFonts w:cs="Calibri"/>
          <w:sz w:val="18"/>
          <w:szCs w:val="24"/>
        </w:rPr>
        <w:tab/>
        <w:t>Dairy Companies Association of New Zealand (2022)</w:t>
      </w:r>
    </w:p>
    <w:p w14:paraId="59DDF2E4" w14:textId="77777777" w:rsidR="00994F64" w:rsidRPr="00261B7A" w:rsidRDefault="00994F64" w:rsidP="00994F64">
      <w:pPr>
        <w:pStyle w:val="BodyText"/>
        <w:rPr>
          <w:rFonts w:cs="Calibri"/>
          <w:spacing w:val="-2"/>
        </w:rPr>
      </w:pPr>
      <w:r w:rsidRPr="00261B7A">
        <w:rPr>
          <w:rFonts w:cs="Calibri"/>
          <w:spacing w:val="-2"/>
        </w:rPr>
        <w:t xml:space="preserve">Before 1993, no productivity data were collected at a territorial authority level, so pre-1993 data have been estimated by extrapolating from the trends observed in existing data from 1994 to 2008. </w:t>
      </w:r>
    </w:p>
    <w:p w14:paraId="32BBFB2E" w14:textId="77777777" w:rsidR="00994F64" w:rsidRPr="00261B7A" w:rsidRDefault="00994F64" w:rsidP="00994F64">
      <w:pPr>
        <w:pStyle w:val="BodyText"/>
        <w:rPr>
          <w:rFonts w:cs="Calibri"/>
        </w:rPr>
      </w:pPr>
      <w:r w:rsidRPr="00261B7A">
        <w:rPr>
          <w:rFonts w:cs="Calibri"/>
        </w:rPr>
        <w:t>Before 2004, not all productivity data required could be collected from LIC at a territorial authority level. From 1993 to 2003, annual milk yield per cow was determined by the following equation:</w:t>
      </w:r>
    </w:p>
    <w:bookmarkStart w:id="697" w:name="_MON_1579592448"/>
    <w:bookmarkEnd w:id="697"/>
    <w:p w14:paraId="709FF231" w14:textId="77777777" w:rsidR="00994F64" w:rsidRPr="00261B7A" w:rsidRDefault="00994F64" w:rsidP="00994F64">
      <w:pPr>
        <w:pStyle w:val="BodyText"/>
        <w:spacing w:before="0" w:after="0"/>
        <w:rPr>
          <w:rFonts w:cs="Calibri"/>
        </w:rPr>
      </w:pPr>
      <w:r w:rsidRPr="00261B7A">
        <w:rPr>
          <w:rFonts w:cs="Calibri"/>
        </w:rPr>
        <w:object w:dxaOrig="5819" w:dyaOrig="765" w14:anchorId="0ECC42C3">
          <v:shape id="_x0000_i1034" type="#_x0000_t75" style="width:295.5pt;height:35.5pt" o:ole="">
            <v:imagedata r:id="rId117" o:title="" cropbottom="13577f"/>
          </v:shape>
          <o:OLEObject Type="Embed" ProgID="Word.Document.12" ShapeID="_x0000_i1034" DrawAspect="Content" ObjectID="_1742911573" r:id="rId118">
            <o:FieldCodes>\s</o:FieldCodes>
          </o:OLEObject>
        </w:object>
      </w:r>
    </w:p>
    <w:p w14:paraId="431B43E0" w14:textId="483FF200" w:rsidR="00994F64" w:rsidRPr="00261B7A" w:rsidRDefault="00994F64" w:rsidP="00E03510">
      <w:pPr>
        <w:pStyle w:val="BodyText"/>
        <w:spacing w:after="100"/>
        <w:rPr>
          <w:rFonts w:cs="Calibri"/>
        </w:rPr>
      </w:pPr>
      <w:r w:rsidRPr="00261B7A">
        <w:rPr>
          <w:rFonts w:cs="Calibri"/>
        </w:rPr>
        <w:t>From 2004 onwards, productivity data have been collected by LIC at a similar regional level as</w:t>
      </w:r>
      <w:r w:rsidR="00DA69B2">
        <w:rPr>
          <w:rFonts w:cs="Calibri"/>
        </w:rPr>
        <w:t> </w:t>
      </w:r>
      <w:r w:rsidRPr="00261B7A">
        <w:rPr>
          <w:rFonts w:cs="Calibri"/>
        </w:rPr>
        <w:t>the livestock population data collected by Stats NZ. In some instances, the regional level data provided by LIC are disaggregated more than required. MPI officials allocate this to other regions so that it lines up with the population data, that is, districts identified under the region ‘Central Plateau’ are allocated to the ‘Bay of Plenty’. This is a straightforward process because the districts provided by LIC clearly fall within the specified regional boundaries that the Stats NZ data are based upon.</w:t>
      </w:r>
    </w:p>
    <w:p w14:paraId="0807CECE" w14:textId="77777777" w:rsidR="00994F64" w:rsidRPr="00261B7A" w:rsidRDefault="00994F64" w:rsidP="00E03510">
      <w:pPr>
        <w:pStyle w:val="BodyText"/>
        <w:spacing w:before="100" w:after="100"/>
      </w:pPr>
      <w:r w:rsidRPr="00261B7A">
        <w:t xml:space="preserve">In the 2020/21 season, nearly 76 per cent of all dairy cattle in milk were tested by LIC for milk production, along with milk fat and protein levels (LIC and DairyNZ, 2021). LIC also does genetic testing to identify superior breeding stock and their genetic background. Genetic improvement has contributed to the productivity improvements in the New Zealand dairy cattle herd (LIC, 2009). </w:t>
      </w:r>
    </w:p>
    <w:p w14:paraId="2E9573ED" w14:textId="77777777" w:rsidR="00994F64" w:rsidRPr="00261B7A" w:rsidRDefault="00994F64" w:rsidP="00E03510">
      <w:pPr>
        <w:pStyle w:val="BodyText"/>
        <w:spacing w:before="100" w:after="100"/>
      </w:pPr>
      <w:r w:rsidRPr="00261B7A">
        <w:rPr>
          <w:b/>
          <w:bCs/>
          <w:i/>
          <w:iCs/>
        </w:rPr>
        <w:t xml:space="preserve">Dairy cattle – liveweight: </w:t>
      </w:r>
      <w:r w:rsidRPr="00261B7A">
        <w:t xml:space="preserve">Average liveweight data for dairy cows are obtained by taking into </w:t>
      </w:r>
      <w:r w:rsidRPr="00261B7A">
        <w:rPr>
          <w:spacing w:val="-2"/>
        </w:rPr>
        <w:t>account the proportion of each breed in the national herd and its age structure based on LIC data</w:t>
      </w:r>
      <w:r w:rsidRPr="00261B7A">
        <w:t xml:space="preserve">. Dairy cow liveweight data are only available from LIC from 1996 onwards and have been </w:t>
      </w:r>
      <w:r w:rsidRPr="00261B7A">
        <w:rPr>
          <w:spacing w:val="-2"/>
        </w:rPr>
        <w:t xml:space="preserve">disaggregated into eight regions, some of which comprise several regional council </w:t>
      </w:r>
      <w:r w:rsidRPr="00261B7A">
        <w:t>regions</w:t>
      </w:r>
      <w:r w:rsidRPr="00261B7A">
        <w:rPr>
          <w:spacing w:val="-2"/>
        </w:rPr>
        <w:t>.</w:t>
      </w:r>
      <w:r w:rsidRPr="00261B7A">
        <w:t xml:space="preserve"> Data from the livestock improvement regions were appropriately apportioned to regional council areas. Liveweights before 1996 were estimated using the trend in liveweights from 1996 to 2008, together with data on the breed composition of the national herd (LIC, 2009). </w:t>
      </w:r>
    </w:p>
    <w:p w14:paraId="368D22B1" w14:textId="77777777" w:rsidR="00994F64" w:rsidRPr="00261B7A" w:rsidRDefault="00994F64" w:rsidP="00E03510">
      <w:pPr>
        <w:pStyle w:val="BodyText"/>
        <w:spacing w:before="100" w:after="100"/>
      </w:pPr>
      <w:r w:rsidRPr="00261B7A">
        <w:t xml:space="preserve">In the model, replacement dairy animals (calves) are assumed to be about 9 per cent of the weight of the average cow at birth and to reach the weight of the average adult cow at calving (at two years of age) (Clark et al., 2003). Growth between birth and calving is divided into two periods: birth to weaning (two months of age) and weaning to calving. Higher growth rates are applied in the model between birth and weaning when animals receive milk as part of their diet. Within each period, the same daily growth rate is applied for the entire length of the period and applied nationally. </w:t>
      </w:r>
    </w:p>
    <w:p w14:paraId="5F78A0BD" w14:textId="77777777" w:rsidR="00994F64" w:rsidRPr="00261B7A" w:rsidRDefault="00994F64" w:rsidP="00E03510">
      <w:pPr>
        <w:pStyle w:val="BodyText"/>
        <w:spacing w:before="100" w:after="100"/>
      </w:pPr>
      <w:r w:rsidRPr="00261B7A">
        <w:t xml:space="preserve">No data are available on the liveweights and performance of most breeding dairy bulls, which can range from the small Jersey breeds through to larger European beef breeds. It is assumed, based on expert opinion and industry data (Clark et al., 2003), that the average mature weight of a breeding dairy bull is 500 kilograms as of 1 January and that they grow at 0.5 kilograms per day. This gives an average weight (at the mid-point of the year) of 592 kilograms. This is almost 25 per cent higher than the average weight of a New Zealand breeding dairy cow but is supported by expert opinion, given that some of the bulls will be of a heavier breed (e.g., Friesian and some beef breeds). Total emissions are not sensitive to these assumed liveweight values because breeding bulls in the dairy herd are low in number and contribute less than 0.1 per cent of emissions to the dairy sector. </w:t>
      </w:r>
    </w:p>
    <w:p w14:paraId="31BB5498" w14:textId="77777777" w:rsidR="00994F64" w:rsidRPr="00261B7A" w:rsidRDefault="00994F64" w:rsidP="00E03510">
      <w:pPr>
        <w:pStyle w:val="BodyText"/>
        <w:spacing w:before="100" w:after="100"/>
      </w:pPr>
      <w:r w:rsidRPr="00261B7A">
        <w:t>LIC and DairyNZ (2021) reported the proportions of different breeds in the New Zealand dairy herd in 2020 as:</w:t>
      </w:r>
    </w:p>
    <w:p w14:paraId="7AA90E34" w14:textId="77777777" w:rsidR="00994F64" w:rsidRPr="00261B7A" w:rsidRDefault="00994F64" w:rsidP="00E03510">
      <w:pPr>
        <w:pStyle w:val="Bullet"/>
        <w:spacing w:after="100"/>
      </w:pPr>
      <w:r w:rsidRPr="00261B7A">
        <w:t xml:space="preserve">Holstein–Friesian/Jersey crossbreed (49.6 per cent) </w:t>
      </w:r>
    </w:p>
    <w:p w14:paraId="4292C991" w14:textId="77777777" w:rsidR="00994F64" w:rsidRPr="00261B7A" w:rsidRDefault="00994F64" w:rsidP="00E03510">
      <w:pPr>
        <w:pStyle w:val="Bullet"/>
        <w:spacing w:after="100"/>
      </w:pPr>
      <w:r w:rsidRPr="00261B7A">
        <w:t xml:space="preserve">Holstein–Friesian (32.5 per cent) </w:t>
      </w:r>
    </w:p>
    <w:p w14:paraId="144B9014" w14:textId="77777777" w:rsidR="00994F64" w:rsidRPr="00261B7A" w:rsidRDefault="00994F64" w:rsidP="00E03510">
      <w:pPr>
        <w:pStyle w:val="Bullet"/>
        <w:spacing w:after="100"/>
      </w:pPr>
      <w:r w:rsidRPr="00261B7A">
        <w:t xml:space="preserve">Jersey (8.2 per cent) </w:t>
      </w:r>
    </w:p>
    <w:p w14:paraId="31E2FEEC" w14:textId="77777777" w:rsidR="00994F64" w:rsidRPr="00261B7A" w:rsidRDefault="00994F64" w:rsidP="00E03510">
      <w:pPr>
        <w:pStyle w:val="Bullet"/>
        <w:spacing w:after="100"/>
      </w:pPr>
      <w:r w:rsidRPr="00261B7A">
        <w:t xml:space="preserve">Ayrshire (0.4 per cent) </w:t>
      </w:r>
    </w:p>
    <w:p w14:paraId="6C5A6B4A" w14:textId="77777777" w:rsidR="00994F64" w:rsidRPr="00261B7A" w:rsidRDefault="00994F64" w:rsidP="00994F64">
      <w:pPr>
        <w:pStyle w:val="Bullet"/>
      </w:pPr>
      <w:r w:rsidRPr="00261B7A">
        <w:t>other breeds (9.3 per cent).</w:t>
      </w:r>
    </w:p>
    <w:p w14:paraId="63D2E1A1" w14:textId="77777777" w:rsidR="00994F64" w:rsidRPr="00261B7A" w:rsidRDefault="00994F64" w:rsidP="00D25669">
      <w:pPr>
        <w:pStyle w:val="BodyText"/>
        <w:keepLines/>
      </w:pPr>
      <w:r w:rsidRPr="00261B7A">
        <w:t xml:space="preserve">The Holstein–Friesian/Jersey crossbreed has been developed specifically for New Zealand’s pasture-based systems. This breed is nearly 7.8 per cent lighter than a Holstein–Friesian (LIC and DairyNZ, 2021) and has lower maintenance feed requirements. It does less damage to pasture during wet periods due to its lower liveweight, compared with larger cattle breeds. It also has higher milk volumes than the Jersey breed while maintaining a high percentage of milk solids. </w:t>
      </w:r>
    </w:p>
    <w:p w14:paraId="2C26BF1F" w14:textId="77777777" w:rsidR="00994F64" w:rsidRPr="00261B7A" w:rsidRDefault="00994F64" w:rsidP="00994F64">
      <w:pPr>
        <w:pStyle w:val="BodyText"/>
        <w:rPr>
          <w:rFonts w:cs="Calibri"/>
        </w:rPr>
      </w:pPr>
      <w:r w:rsidRPr="00261B7A">
        <w:rPr>
          <w:rFonts w:cs="Calibri"/>
          <w:b/>
          <w:bCs/>
          <w:i/>
          <w:iCs/>
        </w:rPr>
        <w:t>Beef</w:t>
      </w:r>
      <w:r w:rsidRPr="00261B7A">
        <w:rPr>
          <w:rFonts w:cs="Calibri"/>
          <w:b/>
          <w:bCs/>
        </w:rPr>
        <w:t xml:space="preserve"> </w:t>
      </w:r>
      <w:r w:rsidRPr="00261B7A">
        <w:rPr>
          <w:rFonts w:cs="Calibri"/>
          <w:b/>
          <w:bCs/>
          <w:i/>
          <w:iCs/>
        </w:rPr>
        <w:t>cattle:</w:t>
      </w:r>
      <w:r w:rsidRPr="00261B7A">
        <w:rPr>
          <w:rFonts w:cs="Calibri"/>
        </w:rPr>
        <w:t xml:space="preserve"> The principal source of information for estimating productivity for beef cattle is livestock slaughter statistics provided to MPI by meat processors, which are also used to estimate the liveweight of beef cattle at slaughter, assuming killing-out percentages</w:t>
      </w:r>
      <w:r w:rsidRPr="00261B7A">
        <w:rPr>
          <w:rStyle w:val="FootnoteReference"/>
          <w:rFonts w:cs="Calibri"/>
        </w:rPr>
        <w:footnoteReference w:id="35"/>
      </w:r>
      <w:r w:rsidRPr="00261B7A">
        <w:rPr>
          <w:rFonts w:cs="Calibri"/>
        </w:rPr>
        <w:t xml:space="preserve"> of 55 per cent. All growing beef animals are assumed to be slaughtered at two years of age,</w:t>
      </w:r>
      <w:r w:rsidRPr="00261B7A">
        <w:rPr>
          <w:rStyle w:val="FootnoteReference"/>
          <w:rFonts w:cs="Calibri"/>
        </w:rPr>
        <w:footnoteReference w:id="36"/>
      </w:r>
      <w:r w:rsidRPr="00261B7A">
        <w:rPr>
          <w:rFonts w:cs="Calibri"/>
        </w:rPr>
        <w:t xml:space="preserve"> and the average weight at slaughter for the three categories (</w:t>
      </w:r>
      <w:r w:rsidRPr="00261B7A">
        <w:rPr>
          <w:rFonts w:cs="Calibri"/>
          <w:i/>
          <w:iCs/>
        </w:rPr>
        <w:t>Heifers</w:t>
      </w:r>
      <w:r w:rsidRPr="00261B7A">
        <w:rPr>
          <w:rFonts w:cs="Calibri"/>
        </w:rPr>
        <w:t xml:space="preserve">, </w:t>
      </w:r>
      <w:r w:rsidRPr="00261B7A">
        <w:rPr>
          <w:rFonts w:cs="Calibri"/>
          <w:i/>
          <w:iCs/>
        </w:rPr>
        <w:t>Steers</w:t>
      </w:r>
      <w:r w:rsidRPr="00261B7A">
        <w:rPr>
          <w:rFonts w:cs="Calibri"/>
        </w:rPr>
        <w:t xml:space="preserve"> and </w:t>
      </w:r>
      <w:r w:rsidRPr="00261B7A">
        <w:rPr>
          <w:rFonts w:cs="Calibri"/>
          <w:i/>
          <w:iCs/>
        </w:rPr>
        <w:t>Bulls</w:t>
      </w:r>
      <w:r w:rsidRPr="00261B7A">
        <w:rPr>
          <w:rFonts w:cs="Calibri"/>
        </w:rPr>
        <w:t xml:space="preserve">) is estimated from the carcass weight at slaughter. Liveweights at birth are assumed to be around 9 per cent of an adult cow weight for heifers and 10 per cent for steers and bulls (Clark et al., 2003). As with dairy cattle, growth rates of all growing animals are divided into two periods in the model: birth to weaning and weaning to slaughter. Higher growth rates are applied before weaning when animals receive milk as part of their diet. Within each period, the same daily growth rate is applied for the entire period. </w:t>
      </w:r>
    </w:p>
    <w:p w14:paraId="657ED5BC" w14:textId="77777777" w:rsidR="00994F64" w:rsidRPr="00261B7A" w:rsidRDefault="00994F64" w:rsidP="00994F64">
      <w:pPr>
        <w:pStyle w:val="BodyText"/>
        <w:rPr>
          <w:rFonts w:cs="Calibri"/>
        </w:rPr>
      </w:pPr>
      <w:r w:rsidRPr="00261B7A">
        <w:rPr>
          <w:rFonts w:cs="Calibri"/>
        </w:rPr>
        <w:t>MPI slaughter statistics only began to separate carcass weights of adult dairy cows and adult beef cows in 2016 (MPI, 2022). Therefore, several assumptions</w:t>
      </w:r>
      <w:r w:rsidRPr="00261B7A">
        <w:rPr>
          <w:rStyle w:val="FootnoteReference"/>
          <w:rFonts w:cs="Calibri"/>
        </w:rPr>
        <w:footnoteReference w:id="37"/>
      </w:r>
      <w:r w:rsidRPr="00261B7A">
        <w:rPr>
          <w:rFonts w:cs="Calibri"/>
        </w:rPr>
        <w:t xml:space="preserve"> are made to estimate the liveweights of breeding beef cows. A total milk yield of 800 litres is assumed to be produced per breeding beef cow, which is then consumed by beef calves (Clark et al., 2003). </w:t>
      </w:r>
    </w:p>
    <w:p w14:paraId="4DDA8675" w14:textId="77777777" w:rsidR="00994F64" w:rsidRPr="00261B7A" w:rsidRDefault="00994F64" w:rsidP="00994F64">
      <w:pPr>
        <w:pStyle w:val="BodyText"/>
      </w:pPr>
      <w:r w:rsidRPr="00261B7A">
        <w:rPr>
          <w:b/>
          <w:bCs/>
          <w:i/>
          <w:iCs/>
        </w:rPr>
        <w:t>Sheep:</w:t>
      </w:r>
      <w:r w:rsidRPr="00261B7A">
        <w:t xml:space="preserve"> Livestock slaughter statistics provided to MPI by meat processors are used to estimate the liveweights of adult sheep and lambs at slaughter, assuming killing-out percentages of around 40 per cent for ewes and 45 per cent for lambs (Thomson et al., 2010). Lamb liveweights at birth are assumed to be 9 per cent of the adult ewe weight, with all lambs assumed to be born on 11 September (Thomson et al., 2010). Growing breeding and non</w:t>
      </w:r>
      <w:r w:rsidRPr="00261B7A">
        <w:noBreakHyphen/>
        <w:t xml:space="preserve">breeding ewe hoggets are assumed to reach full adult size when subsequently mated at an age of 20 months. Adult wethers (castrated male sheep) are assumed to be the same weight as adult breeding females. No within-year pattern of liveweight change is assumed for either adult wethers or adult ewes. All ewes rearing a lamb are assumed to have a total milk yield of 100 litres. Breeding rams are assumed to weigh 40 per cent more than adult ewes (Clark et al., 2003). Wool growth (greasy fleece growth) is assumed to be 5 kilograms per annum in mature sheep (ewes, rams and wethers) and 2.5 kilograms per annum in growing sheep and lambs. Beef + Lamb New Zealand Ltd provides estimates of the total wool production from 1990 to 2021 from which the individual fleece weight is estimated (Beef + Lamb New Zealand Ltd, 2022). </w:t>
      </w:r>
    </w:p>
    <w:p w14:paraId="53650554" w14:textId="77777777" w:rsidR="00994F64" w:rsidRPr="00261B7A" w:rsidRDefault="00994F64" w:rsidP="00994F64">
      <w:pPr>
        <w:pStyle w:val="BodyText"/>
        <w:spacing w:after="100"/>
        <w:rPr>
          <w:rFonts w:cs="Calibri"/>
        </w:rPr>
      </w:pPr>
      <w:r w:rsidRPr="00261B7A">
        <w:rPr>
          <w:rFonts w:cs="Calibri"/>
          <w:b/>
          <w:bCs/>
          <w:i/>
          <w:iCs/>
        </w:rPr>
        <w:t>Deer</w:t>
      </w:r>
      <w:r w:rsidRPr="00261B7A">
        <w:rPr>
          <w:rFonts w:cs="Calibri"/>
          <w:b/>
          <w:bCs/>
        </w:rPr>
        <w:t>:</w:t>
      </w:r>
      <w:r w:rsidRPr="00261B7A">
        <w:rPr>
          <w:rFonts w:cs="Calibri"/>
        </w:rPr>
        <w:t xml:space="preserve"> Liveweights of growing hinds and stags are estimated from Deer Industry New Zealand statistics, assuming a killing-out percentage of 55 per cent. A fawn birth weight of 9 per cent of the adult female weight and a common birth date of mid-November are assumed. Liveweights of breeding stags and hinds are based on a report by Suttie (2012). It is assumed there is no pattern of liveweight change within any given year. The lactation assumptions are 204 litres of milk over 120 days, an average daily lactation yield of 1.7 litres of milk per day (Suttie, 2012). </w:t>
      </w:r>
    </w:p>
    <w:p w14:paraId="658A44A6" w14:textId="77777777" w:rsidR="00994F64" w:rsidRPr="00261B7A" w:rsidRDefault="00994F64" w:rsidP="00994F64">
      <w:pPr>
        <w:pStyle w:val="Heading4"/>
      </w:pPr>
      <w:r w:rsidRPr="00261B7A">
        <w:t xml:space="preserve">Minor livestock categories </w:t>
      </w:r>
    </w:p>
    <w:p w14:paraId="04788C0B" w14:textId="77777777" w:rsidR="00994F64" w:rsidRPr="00261B7A" w:rsidRDefault="00994F64" w:rsidP="00994F64">
      <w:pPr>
        <w:pStyle w:val="BodyText"/>
      </w:pPr>
      <w:r w:rsidRPr="00261B7A">
        <w:t xml:space="preserve">Tier 1 methodology is used for goats, horses, mules and asses, swine, poultry, and alpacas (IPCC, 2006), using a combination of country-specific and IPCC default emission factors (annex 3, section A3.1.2, table A3.1.4). </w:t>
      </w:r>
    </w:p>
    <w:p w14:paraId="1FA13F84" w14:textId="77777777" w:rsidR="00994F64" w:rsidRPr="00261B7A" w:rsidRDefault="00994F64" w:rsidP="00994F64">
      <w:pPr>
        <w:pStyle w:val="BodyText"/>
        <w:spacing w:after="100"/>
        <w:rPr>
          <w:rFonts w:cs="Calibri"/>
        </w:rPr>
      </w:pPr>
      <w:r w:rsidRPr="00261B7A">
        <w:rPr>
          <w:rFonts w:cs="Calibri"/>
        </w:rPr>
        <w:t>The populations of goats, horses and swine are reported using data from the Stats NZ Agricultural Production Census and the inter-census Agricultural Production Survey. Data on the population of alpacas before 2010 are provided by Henderson and Cameron (unpublished) based on data from the Alpaca Association New Zealand. Alpaca population data from 2010 onwards are provided by Stats NZ.</w:t>
      </w:r>
    </w:p>
    <w:p w14:paraId="080E634E" w14:textId="77777777" w:rsidR="00994F64" w:rsidRPr="00261B7A" w:rsidRDefault="00994F64" w:rsidP="00994F64">
      <w:pPr>
        <w:pStyle w:val="BodyText"/>
      </w:pPr>
      <w:r w:rsidRPr="00261B7A">
        <w:t xml:space="preserve">A small number of buffalo are farmed in New Zealand. Stats NZ advised that, in 2011, there were 192 buffalo. Because the buffalo livestock are used for producing milk, they are reported within the dairy herd, so the notation key ‘IE’ (included elsewhere) is used. </w:t>
      </w:r>
    </w:p>
    <w:p w14:paraId="2B044B3A" w14:textId="77777777" w:rsidR="00994F64" w:rsidRPr="00261B7A" w:rsidRDefault="00994F64" w:rsidP="00994F64">
      <w:pPr>
        <w:pStyle w:val="BodyText"/>
      </w:pPr>
      <w:r w:rsidRPr="00261B7A">
        <w:t xml:space="preserve">Mules and asses are not farmed commercially or used as working animals in New Zealand. A constant population of 141 donkeys has been included in the inventory under mules and asses. The emissions from these populations of animals are extremely small relative to the major livestock categories. </w:t>
      </w:r>
    </w:p>
    <w:p w14:paraId="5EC6CA22" w14:textId="77777777" w:rsidR="00994F64" w:rsidRPr="00261B7A" w:rsidRDefault="00994F64" w:rsidP="00994F64">
      <w:pPr>
        <w:pStyle w:val="BodyText"/>
      </w:pPr>
      <w:r w:rsidRPr="00261B7A">
        <w:t>Poultry is further classified into three categories: broiler chicken,</w:t>
      </w:r>
      <w:r w:rsidRPr="00261B7A">
        <w:rPr>
          <w:rStyle w:val="FootnoteReference"/>
        </w:rPr>
        <w:footnoteReference w:id="38"/>
      </w:r>
      <w:r w:rsidRPr="00261B7A">
        <w:t xml:space="preserve"> layer hens and other poultry. Stats NZ provides estimates of average annual broiler chicken flock sizes using industry data on the numbers of broilers processed every year since 1990. Mortality rates and days alive are used as suggested by Fick (2010). Stats NZ also obtains estimates of the number of layer hens and other poultry (e.g., ducks, turkeys, emus and ostriches) from the Agricultural Production Census and Survey. Ostrich and emu farming in New Zealand is extremely rare. In 2015, it was estimated only 739 ostriches were in the country. Other poultry manure management emissions are included and calculated. Enteric fermentation is negligible and therefore not estimated.</w:t>
      </w:r>
    </w:p>
    <w:p w14:paraId="0B4560EF" w14:textId="77777777" w:rsidR="00994F64" w:rsidRPr="00261B7A" w:rsidRDefault="00994F64" w:rsidP="00994F64">
      <w:pPr>
        <w:pStyle w:val="BodyText"/>
      </w:pPr>
      <w:r w:rsidRPr="00261B7A">
        <w:t xml:space="preserve">The average annual flock size of chickens is determined by the following equation: </w:t>
      </w:r>
    </w:p>
    <w:p w14:paraId="7FA4577C" w14:textId="77777777" w:rsidR="00994F64" w:rsidRPr="00261B7A" w:rsidRDefault="00994F64" w:rsidP="00994F64">
      <w:pPr>
        <w:pStyle w:val="BodyText"/>
        <w:spacing w:before="80" w:after="80"/>
      </w:pPr>
      <w:r w:rsidRPr="00261B7A">
        <w:rPr>
          <w:noProof/>
        </w:rPr>
        <w:drawing>
          <wp:inline distT="0" distB="0" distL="0" distR="0" wp14:anchorId="6BB9F183" wp14:editId="577311A5">
            <wp:extent cx="5114290" cy="266065"/>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114290" cy="266065"/>
                    </a:xfrm>
                    <a:prstGeom prst="rect">
                      <a:avLst/>
                    </a:prstGeom>
                    <a:noFill/>
                    <a:ln>
                      <a:noFill/>
                    </a:ln>
                  </pic:spPr>
                </pic:pic>
              </a:graphicData>
            </a:graphic>
          </wp:inline>
        </w:drawing>
      </w:r>
    </w:p>
    <w:p w14:paraId="5EBD25C2" w14:textId="77777777" w:rsidR="00994F64" w:rsidRPr="00261B7A" w:rsidRDefault="00994F64" w:rsidP="00994F64">
      <w:pPr>
        <w:pStyle w:val="BodyText"/>
      </w:pPr>
      <w:r w:rsidRPr="00261B7A">
        <w:t xml:space="preserve">Rabbits are considered an agricultural pest, and only a very small number are farmed in the country (R Sanson, pers. comm., 2019). Because of this, emissions from farmed rabbits are reported as ‘not estimated’ (NE) because their emissions are insignificant. There is no known farming of other fur-bearing animals. </w:t>
      </w:r>
    </w:p>
    <w:p w14:paraId="195E6B1B" w14:textId="77777777" w:rsidR="00994F64" w:rsidRPr="00261B7A" w:rsidRDefault="00994F64" w:rsidP="00994F64">
      <w:pPr>
        <w:pStyle w:val="Heading3"/>
      </w:pPr>
      <w:bookmarkStart w:id="698" w:name="_Toc32570647"/>
      <w:r w:rsidRPr="00261B7A">
        <w:t xml:space="preserve">5.1.5 </w:t>
      </w:r>
      <w:r w:rsidRPr="00261B7A">
        <w:tab/>
        <w:t>Recalculations</w:t>
      </w:r>
      <w:bookmarkEnd w:id="698"/>
      <w:r w:rsidRPr="00261B7A">
        <w:t xml:space="preserve"> </w:t>
      </w:r>
    </w:p>
    <w:p w14:paraId="563FA64D" w14:textId="77777777" w:rsidR="00994F64" w:rsidRPr="00261B7A" w:rsidRDefault="00994F64" w:rsidP="00994F64">
      <w:pPr>
        <w:pStyle w:val="Heading4"/>
        <w:spacing w:before="160"/>
      </w:pPr>
      <w:r w:rsidRPr="00261B7A">
        <w:t xml:space="preserve">Agricultural emissions research </w:t>
      </w:r>
    </w:p>
    <w:p w14:paraId="62DBBA5A" w14:textId="77777777" w:rsidR="00994F64" w:rsidRPr="00261B7A" w:rsidRDefault="00994F64" w:rsidP="00994F64">
      <w:pPr>
        <w:pStyle w:val="BodyText"/>
      </w:pPr>
      <w:r w:rsidRPr="00261B7A">
        <w:t>New Zealand invests in a comprehensive research programme to develop technologies and practices to reduce biological greenhouse gas emissions from Agriculture. This is facilitated through the following.</w:t>
      </w:r>
    </w:p>
    <w:p w14:paraId="2288FB7E" w14:textId="77777777" w:rsidR="00994F64" w:rsidRPr="00261B7A" w:rsidRDefault="00994F64" w:rsidP="00994F64">
      <w:pPr>
        <w:pStyle w:val="Bullet"/>
      </w:pPr>
      <w:r w:rsidRPr="00261B7A">
        <w:t xml:space="preserve">The New Zealand Agricultural Greenhouse Gas Research Centre (NZAGRC), which was </w:t>
      </w:r>
      <w:r w:rsidRPr="00261B7A">
        <w:rPr>
          <w:spacing w:val="-2"/>
        </w:rPr>
        <w:t xml:space="preserve">established in 2009. Its aims are to contribute to agricultural greenhouse gas </w:t>
      </w:r>
      <w:r w:rsidRPr="00261B7A">
        <w:t>understanding and mitigation through research programmes and international collaboration, and to enhance New Zealand’s research capability and infrastructure in this area. </w:t>
      </w:r>
    </w:p>
    <w:p w14:paraId="7C24E0B8" w14:textId="77777777" w:rsidR="00994F64" w:rsidRPr="00261B7A" w:rsidRDefault="00994F64" w:rsidP="00994F64">
      <w:pPr>
        <w:pStyle w:val="Bullet"/>
      </w:pPr>
      <w:r w:rsidRPr="00261B7A">
        <w:t xml:space="preserve">The Pastoral Greenhouse Gas Research Consortium (PGgRc), which was established in </w:t>
      </w:r>
      <w:r w:rsidRPr="00261B7A">
        <w:rPr>
          <w:spacing w:val="-2"/>
        </w:rPr>
        <w:t>2003 by New Zealand agricultural sector organisations and private companies in partnership</w:t>
      </w:r>
      <w:r w:rsidRPr="00261B7A">
        <w:t xml:space="preserve"> </w:t>
      </w:r>
      <w:r w:rsidRPr="00261B7A">
        <w:rPr>
          <w:spacing w:val="-2"/>
        </w:rPr>
        <w:t>with Government. It funds research, primarily into mitigation technologies and management</w:t>
      </w:r>
      <w:r w:rsidRPr="00261B7A">
        <w:t xml:space="preserve"> practices for ruminants but also to provide information to improve on</w:t>
      </w:r>
      <w:r w:rsidRPr="00261B7A">
        <w:noBreakHyphen/>
        <w:t>farm greenhouse gas inventories. The PGgRc was funded in partnership between the Government, through the Ministry of Business, Innovation and Employment and agriculture sector parties. Funding from the Ministry of Business, Innovation and Employment has since ceased and the PGgRc now largely operates on funding from industry.</w:t>
      </w:r>
    </w:p>
    <w:p w14:paraId="2DCDEBC8" w14:textId="77777777" w:rsidR="00994F64" w:rsidRPr="00261B7A" w:rsidRDefault="00994F64" w:rsidP="00994F64">
      <w:pPr>
        <w:pStyle w:val="Bullet"/>
      </w:pPr>
      <w:r w:rsidRPr="00261B7A">
        <w:t>New Zealand is one of the founding members of the Global Research Alliance on Agricultural Greenhouse Gases (GRA), which facilitates international research collaboration to study means of increasing global food production while reducing agricultural greenhouse gas emissions. This includes building capability, improving greenhouse gas inventories in developing countries, and facilitating the transfer of technologies and knowledge between members. New Zealand has hosted the GRA Secretariat since its establishment in 2009 and coordinates New Zealand’s contribution, largely through the NZAGRC.</w:t>
      </w:r>
    </w:p>
    <w:p w14:paraId="4FDB11BA" w14:textId="77777777" w:rsidR="00994F64" w:rsidRPr="00261B7A" w:rsidRDefault="00994F64" w:rsidP="00994F64">
      <w:pPr>
        <w:pStyle w:val="Bullet"/>
      </w:pPr>
      <w:r w:rsidRPr="00261B7A">
        <w:t>New Zealand’s Greenhouse Gas Inventory Research Fund aims to support continuous improvement of the Agricultural Greenhouse Gas Inventory to improve the accuracy and reduce uncertainty of emissions reporting and forecasting. This is required under the United Nations Framework Convention on Climate Change (UNFCCC).</w:t>
      </w:r>
    </w:p>
    <w:p w14:paraId="2243DDA5" w14:textId="77777777" w:rsidR="00994F64" w:rsidRPr="00261B7A" w:rsidRDefault="00994F64" w:rsidP="00994F64">
      <w:pPr>
        <w:pStyle w:val="Bullet"/>
      </w:pPr>
      <w:r w:rsidRPr="00261B7A">
        <w:t>The Centre for Climate Action on Agricultural Emissions was recently established to accelerate the research, development and commercialisation of tools and technology to reduce emissions. It aims to achieve this via two main components:</w:t>
      </w:r>
    </w:p>
    <w:p w14:paraId="209ACAF3" w14:textId="77777777" w:rsidR="00994F64" w:rsidRPr="00261B7A" w:rsidRDefault="00994F64" w:rsidP="00994F64">
      <w:pPr>
        <w:pStyle w:val="Sub-bullet"/>
      </w:pPr>
      <w:r w:rsidRPr="00261B7A">
        <w:t>Centre for Climate Action joint venture, a long-term partnership between the Government and industry partners to drive a targeted research programme and support the pathway and uptake of new tools and technologies</w:t>
      </w:r>
    </w:p>
    <w:p w14:paraId="6D68951B" w14:textId="77777777" w:rsidR="00994F64" w:rsidRPr="00261B7A" w:rsidRDefault="00994F64" w:rsidP="00994F64">
      <w:pPr>
        <w:pStyle w:val="Sub-bullet"/>
      </w:pPr>
      <w:r w:rsidRPr="00261B7A">
        <w:t>enhancing the NZAGRC via additional investment.</w:t>
      </w:r>
    </w:p>
    <w:p w14:paraId="602D1BED" w14:textId="77777777" w:rsidR="00994F64" w:rsidRPr="00261B7A" w:rsidRDefault="00994F64" w:rsidP="00994F64">
      <w:pPr>
        <w:pStyle w:val="BodyText"/>
      </w:pPr>
      <w:r w:rsidRPr="00261B7A">
        <w:t>Research and data from these sources feed into New Zealand’s improvement of the Agriculture inventory, and these research activities allow New Zealand to share technical skills and expertise internationally.</w:t>
      </w:r>
    </w:p>
    <w:p w14:paraId="3D953B53" w14:textId="77777777" w:rsidR="00994F64" w:rsidRPr="00261B7A" w:rsidRDefault="00994F64" w:rsidP="00994F64">
      <w:pPr>
        <w:pStyle w:val="Heading5"/>
        <w:rPr>
          <w:rFonts w:cs="Calibri"/>
        </w:rPr>
      </w:pPr>
      <w:bookmarkStart w:id="699" w:name="_Hlk63076843"/>
      <w:r w:rsidRPr="00261B7A">
        <w:rPr>
          <w:rFonts w:cs="Calibri"/>
        </w:rPr>
        <w:t>He Waka Eke Noa – Primary Sector Climate Action Partnership</w:t>
      </w:r>
    </w:p>
    <w:p w14:paraId="2111AC08" w14:textId="77777777" w:rsidR="00994F64" w:rsidRPr="00261B7A" w:rsidRDefault="00994F64" w:rsidP="00994F64">
      <w:pPr>
        <w:pStyle w:val="BodyText"/>
      </w:pPr>
      <w:r w:rsidRPr="00261B7A">
        <w:t>He Waka Eke Noa forms part of New Zealand’s actions towards its Climate Change Response (Zero Carbon) Amendment Act 2019 targets and nationally determined contributions under the Paris Agreement. Government has set into law a target for net zero greenhouse gas emissions by 2050, with biogenic CH</w:t>
      </w:r>
      <w:r w:rsidRPr="00261B7A">
        <w:rPr>
          <w:vertAlign w:val="subscript"/>
        </w:rPr>
        <w:t>4</w:t>
      </w:r>
      <w:r w:rsidRPr="00261B7A">
        <w:t xml:space="preserve"> having a separate target of a 10 per cent and 24 per cent to 47 per cent reduction below 2017 levels by 2030 and 2050 respectively.</w:t>
      </w:r>
    </w:p>
    <w:p w14:paraId="3E017052" w14:textId="77777777" w:rsidR="00994F64" w:rsidRPr="00261B7A" w:rsidRDefault="00994F64" w:rsidP="00994F64">
      <w:pPr>
        <w:pStyle w:val="BodyText"/>
      </w:pPr>
      <w:r w:rsidRPr="00261B7A">
        <w:t xml:space="preserve">In October 2019, the Government announced the formation of the Primary Sector Climate Action Partnership (He Waka Eke Noa) with the agri-food and fibre sector to address agricultural emissions. He Waka Eke Noa aims to deliver a world-first nationwide scheme for the Agriculture sector to measure, manage and price agricultural greenhouse gas emissions by 2025. During 2022, the He Waka Eke Noa Partnership delivered a set of recommendations on farm-level pricing and held a series of public consultation meetings with farmers and other stakeholders seeking feedback on the proposal. </w:t>
      </w:r>
    </w:p>
    <w:p w14:paraId="583EC338" w14:textId="77777777" w:rsidR="00994F64" w:rsidRPr="00261B7A" w:rsidRDefault="00994F64" w:rsidP="00994F64">
      <w:pPr>
        <w:pStyle w:val="BodyText"/>
      </w:pPr>
      <w:r w:rsidRPr="00261B7A">
        <w:t xml:space="preserve">As a legislative requirement under the Climate Change Response (Zero Carbon) Amendment Act 2019, the Government published a report on the proposed pricing system on 21 December 2022. Final decisions on the pricing system will be made by Cabinet (government senior ministers) in early 2023. </w:t>
      </w:r>
    </w:p>
    <w:bookmarkEnd w:id="699"/>
    <w:p w14:paraId="7AD4157B" w14:textId="77777777" w:rsidR="00994F64" w:rsidRPr="00261B7A" w:rsidRDefault="00994F64" w:rsidP="00994F64">
      <w:pPr>
        <w:pStyle w:val="Heading4"/>
      </w:pPr>
      <w:r w:rsidRPr="00261B7A">
        <w:t>Recalculation and improvement approval process in the Agriculture inventory</w:t>
      </w:r>
    </w:p>
    <w:p w14:paraId="3548FD3B" w14:textId="77777777" w:rsidR="00994F64" w:rsidRPr="00261B7A" w:rsidRDefault="00994F64" w:rsidP="00994F64">
      <w:pPr>
        <w:pStyle w:val="BodyText"/>
      </w:pPr>
      <w:r w:rsidRPr="00261B7A">
        <w:t xml:space="preserve">The process for developing improvements and agreeing methodological changes to the Agriculture inventory is shown in figure 5.1.7. </w:t>
      </w:r>
    </w:p>
    <w:p w14:paraId="4C27897D" w14:textId="77777777" w:rsidR="00994F64" w:rsidRPr="00261B7A" w:rsidRDefault="00994F64" w:rsidP="00994F64">
      <w:pPr>
        <w:pStyle w:val="BodyText"/>
      </w:pPr>
      <w:r w:rsidRPr="00261B7A">
        <w:t>Domestically, New Zealand has a network of scientific experts in the fields of CO</w:t>
      </w:r>
      <w:r w:rsidRPr="00261B7A">
        <w:rPr>
          <w:vertAlign w:val="subscript"/>
        </w:rPr>
        <w:t>2</w:t>
      </w:r>
      <w:r w:rsidRPr="00261B7A">
        <w:t>, CH</w:t>
      </w:r>
      <w:r w:rsidRPr="00261B7A">
        <w:rPr>
          <w:vertAlign w:val="subscript"/>
        </w:rPr>
        <w:t>4</w:t>
      </w:r>
      <w:r w:rsidRPr="00261B7A">
        <w:t> and N</w:t>
      </w:r>
      <w:r w:rsidRPr="00261B7A">
        <w:rPr>
          <w:vertAlign w:val="subscript"/>
        </w:rPr>
        <w:t>2</w:t>
      </w:r>
      <w:r w:rsidRPr="00261B7A">
        <w:t>O emissions. Research findings are presented annually at the Greenhouse Gas Inventory Research Workshop. New inventory research ideas raised by the research community inform decisions for future inventory research. Final decisions on research priorities are made by MPI, following discussions between the network leaders and Ministry for the Environment (MfE) staff. Research is contracted to address specific questions relating to gaps in New Zealand’s knowledge and to review, test and improve current model parameters used. Draft research reports are peer reviewed by at least one external independent expert with knowledge in the field and are assessed for their scientific robustness and suitability to be included in the inventory. A standard peer review report template is used.</w:t>
      </w:r>
    </w:p>
    <w:p w14:paraId="23D25E13" w14:textId="77777777" w:rsidR="00994F64" w:rsidRPr="00261B7A" w:rsidRDefault="00994F64" w:rsidP="00994F64">
      <w:pPr>
        <w:pStyle w:val="BodyText"/>
      </w:pPr>
      <w:r w:rsidRPr="00261B7A">
        <w:t>If the report recommends changes are made to the inventory, a briefing and the final report are sent to the Agriculture Inventory Advisory Panel, which currently meets annually to review proposed changes to the inventory. The Panel comprises expert representatives from MPI and MfE, nominated science representatives from the Royal Society of New Zealand and the Methanet and NzOnet expert advisory groups.</w:t>
      </w:r>
      <w:r w:rsidRPr="00261B7A">
        <w:rPr>
          <w:rStyle w:val="FootnoteReference"/>
          <w:rFonts w:cs="Calibri"/>
        </w:rPr>
        <w:footnoteReference w:id="39"/>
      </w:r>
      <w:r w:rsidRPr="00261B7A">
        <w:t xml:space="preserve"> The Panel is independent of policy and industry influences and has been formed to give independent advice on whether changes to the Agriculture section of the National Inventory Report are scientifically robust, justifiable, and internationally defensible. The Panel assesses if the proposed changes have been appropriately researched, using recognised scientific principles and practices, and if there is sufficient scientific evidence to support the recommended changes. </w:t>
      </w:r>
    </w:p>
    <w:p w14:paraId="586FB453" w14:textId="77777777" w:rsidR="00994F64" w:rsidRPr="00261B7A" w:rsidRDefault="00994F64" w:rsidP="00994F64">
      <w:pPr>
        <w:pStyle w:val="BodyText"/>
      </w:pPr>
      <w:r w:rsidRPr="00261B7A">
        <w:t xml:space="preserve">Changes recommended by the Panel must be approved by the Deputy Director-General (Policy and Trade) at MPI, as well as the Reporting Governance Group (RGG) which is Chaired by MfE and leads the reporting, modelling and projections of emissions and removals across government and all sectors. Further details of the RGG are provided in chapter 1, section 1.2.2. </w:t>
      </w:r>
    </w:p>
    <w:p w14:paraId="5065C18C" w14:textId="77777777" w:rsidR="00994F64" w:rsidRPr="00261B7A" w:rsidRDefault="00994F64" w:rsidP="00994F64">
      <w:pPr>
        <w:pStyle w:val="Figure"/>
      </w:pPr>
      <w:bookmarkStart w:id="700" w:name="_Toc447275694"/>
      <w:bookmarkStart w:id="701" w:name="_Toc481752012"/>
      <w:bookmarkStart w:id="702" w:name="_Toc507158471"/>
      <w:bookmarkStart w:id="703" w:name="_Toc511116962"/>
      <w:bookmarkStart w:id="704" w:name="_Toc5269692"/>
      <w:bookmarkStart w:id="705" w:name="_Toc32570963"/>
      <w:bookmarkStart w:id="706" w:name="_Toc36292793"/>
      <w:bookmarkStart w:id="707" w:name="_Toc68786658"/>
      <w:bookmarkStart w:id="708" w:name="_Toc95574119"/>
      <w:bookmarkStart w:id="709" w:name="_Toc127458558"/>
      <w:bookmarkStart w:id="710" w:name="_Toc131591560"/>
      <w:r w:rsidRPr="00261B7A">
        <w:t xml:space="preserve">Figure 5.1.7 </w:t>
      </w:r>
      <w:r w:rsidRPr="00261B7A">
        <w:tab/>
        <w:t>Agriculture sectoral approval process for inventory recalculations and improvements</w:t>
      </w:r>
      <w:bookmarkEnd w:id="700"/>
      <w:bookmarkEnd w:id="701"/>
      <w:bookmarkEnd w:id="702"/>
      <w:bookmarkEnd w:id="703"/>
      <w:bookmarkEnd w:id="704"/>
      <w:bookmarkEnd w:id="705"/>
      <w:bookmarkEnd w:id="706"/>
      <w:bookmarkEnd w:id="707"/>
      <w:bookmarkEnd w:id="708"/>
      <w:bookmarkEnd w:id="709"/>
      <w:bookmarkEnd w:id="710"/>
    </w:p>
    <w:p w14:paraId="6ABEF930" w14:textId="77777777" w:rsidR="00994F64" w:rsidRPr="00261B7A" w:rsidRDefault="00994F64" w:rsidP="00994F64">
      <w:pPr>
        <w:pStyle w:val="BodyText"/>
        <w:spacing w:before="0" w:after="60"/>
        <w:jc w:val="center"/>
        <w:rPr>
          <w:rFonts w:eastAsia="Calibri" w:cs="Calibri"/>
        </w:rPr>
      </w:pPr>
      <w:r w:rsidRPr="00261B7A">
        <w:rPr>
          <w:rFonts w:eastAsia="Calibri" w:cs="Calibri"/>
        </w:rPr>
        <w:object w:dxaOrig="14631" w:dyaOrig="24688" w14:anchorId="4D29E39E">
          <v:shape id="_x0000_i1035" type="#_x0000_t75" style="width:374.5pt;height:518.5pt" o:ole="">
            <v:imagedata r:id="rId120" o:title="" croptop="1526f" cropbottom="2910f"/>
          </v:shape>
          <o:OLEObject Type="Embed" ProgID="Visio.Drawing.15" ShapeID="_x0000_i1035" DrawAspect="Content" ObjectID="_1742911574" r:id="rId121"/>
        </w:object>
      </w:r>
    </w:p>
    <w:p w14:paraId="3B6AA4C4" w14:textId="77777777" w:rsidR="00994F64" w:rsidRPr="00261B7A" w:rsidRDefault="00994F64" w:rsidP="00994F64">
      <w:pPr>
        <w:pStyle w:val="Noteundertable"/>
        <w:rPr>
          <w:rFonts w:cs="Calibri"/>
        </w:rPr>
      </w:pPr>
      <w:r w:rsidRPr="00261B7A">
        <w:rPr>
          <w:rFonts w:cs="Calibri"/>
          <w:b/>
          <w:bCs/>
        </w:rPr>
        <w:t>Note:</w:t>
      </w:r>
      <w:r w:rsidRPr="00261B7A">
        <w:rPr>
          <w:rFonts w:cs="Calibri"/>
        </w:rPr>
        <w:tab/>
        <w:t xml:space="preserve">AG = Agriculture; DDG = Deputy Director-General; MfE = Ministry for the Environment; MPI = Ministry for Primary Industries; NIR = National Inventory Report; RGG = Reporting Governance Group (for the NIR). </w:t>
      </w:r>
    </w:p>
    <w:p w14:paraId="053FD67D" w14:textId="77777777" w:rsidR="00994F64" w:rsidRPr="00261B7A" w:rsidRDefault="00994F64" w:rsidP="00994F64">
      <w:pPr>
        <w:pStyle w:val="Heading5"/>
        <w:rPr>
          <w:rFonts w:cs="Calibri"/>
        </w:rPr>
      </w:pPr>
      <w:r w:rsidRPr="00261B7A">
        <w:rPr>
          <w:rFonts w:cs="Calibri"/>
        </w:rPr>
        <w:t>Agriculture Inventory Advisory Panel meeting – October 2022</w:t>
      </w:r>
    </w:p>
    <w:p w14:paraId="7D14205F" w14:textId="77777777" w:rsidR="00994F64" w:rsidRPr="00261B7A" w:rsidRDefault="00994F64" w:rsidP="00994F64">
      <w:pPr>
        <w:pStyle w:val="BodyText"/>
        <w:rPr>
          <w:rFonts w:cs="Calibri"/>
        </w:rPr>
      </w:pPr>
      <w:r w:rsidRPr="00261B7A">
        <w:rPr>
          <w:rFonts w:cs="Calibri"/>
        </w:rPr>
        <w:t xml:space="preserve">The Panel meeting was held on 26 October 2022 and considered the following potential inventory changes: </w:t>
      </w:r>
    </w:p>
    <w:p w14:paraId="082AC7BD" w14:textId="77777777" w:rsidR="00994F64" w:rsidRPr="00261B7A" w:rsidRDefault="00994F64" w:rsidP="00994F64">
      <w:pPr>
        <w:pStyle w:val="Bullet"/>
      </w:pPr>
      <w:r w:rsidRPr="00261B7A">
        <w:t>the adoption of new Frac</w:t>
      </w:r>
      <w:r w:rsidRPr="00261B7A">
        <w:rPr>
          <w:vertAlign w:val="subscript"/>
        </w:rPr>
        <w:t>LEACH</w:t>
      </w:r>
      <w:r w:rsidRPr="00261B7A">
        <w:t xml:space="preserve"> values for grassland and synthetic nitrogen fertiliser</w:t>
      </w:r>
    </w:p>
    <w:p w14:paraId="6C3D4E70" w14:textId="77777777" w:rsidR="00994F64" w:rsidRPr="00261B7A" w:rsidRDefault="00994F64" w:rsidP="00994F64">
      <w:pPr>
        <w:pStyle w:val="Bullet"/>
      </w:pPr>
      <w:r w:rsidRPr="00261B7A">
        <w:t>the inclusion of supplementary (non-pasture) feeds for dairy cattle, sheep, and beef cattle</w:t>
      </w:r>
    </w:p>
    <w:p w14:paraId="06F7020C" w14:textId="77777777" w:rsidR="00994F64" w:rsidRPr="00261B7A" w:rsidRDefault="00994F64" w:rsidP="00994F64">
      <w:pPr>
        <w:pStyle w:val="Bullet"/>
      </w:pPr>
      <w:r w:rsidRPr="00261B7A">
        <w:t xml:space="preserve">an update to the within-year </w:t>
      </w:r>
      <w:r w:rsidRPr="00261B7A">
        <w:rPr>
          <w:i/>
          <w:iCs/>
        </w:rPr>
        <w:t xml:space="preserve">Dairy cattle </w:t>
      </w:r>
      <w:r w:rsidRPr="00261B7A">
        <w:t>population modelling.</w:t>
      </w:r>
    </w:p>
    <w:p w14:paraId="4D163471" w14:textId="77777777" w:rsidR="00994F64" w:rsidRPr="00261B7A" w:rsidRDefault="00994F64" w:rsidP="00994F64">
      <w:pPr>
        <w:pStyle w:val="BodyText"/>
        <w:spacing w:before="100" w:after="100"/>
        <w:rPr>
          <w:rFonts w:cs="Calibri"/>
        </w:rPr>
      </w:pPr>
      <w:r w:rsidRPr="00261B7A">
        <w:rPr>
          <w:rFonts w:cs="Calibri"/>
        </w:rPr>
        <w:t>The Panel recommended the use of new Frac</w:t>
      </w:r>
      <w:r w:rsidRPr="00261B7A">
        <w:rPr>
          <w:rFonts w:cs="Calibri"/>
          <w:vertAlign w:val="subscript"/>
        </w:rPr>
        <w:t>LEACH</w:t>
      </w:r>
      <w:r w:rsidRPr="00261B7A">
        <w:rPr>
          <w:rFonts w:cs="Calibri"/>
        </w:rPr>
        <w:t xml:space="preserve"> values for grassland and synthetic nitrogen fertiliser based on the work of Welten et al. (2021). Following on from the 2021 Panel meeting where a new Frac</w:t>
      </w:r>
      <w:r w:rsidRPr="00261B7A">
        <w:rPr>
          <w:rFonts w:cs="Calibri"/>
          <w:vertAlign w:val="subscript"/>
        </w:rPr>
        <w:t>LEACH</w:t>
      </w:r>
      <w:r w:rsidRPr="00261B7A">
        <w:rPr>
          <w:rFonts w:cs="Calibri"/>
        </w:rPr>
        <w:t xml:space="preserve"> value was recommended for nitrogen applied to cropping systems, the </w:t>
      </w:r>
      <w:r w:rsidRPr="00D25669">
        <w:rPr>
          <w:rFonts w:cs="Calibri"/>
          <w:spacing w:val="-2"/>
        </w:rPr>
        <w:t>Panel required further follow up by MPI officials to ensure the modelling work was also suitable</w:t>
      </w:r>
      <w:r w:rsidRPr="00261B7A">
        <w:rPr>
          <w:rFonts w:cs="Calibri"/>
        </w:rPr>
        <w:t xml:space="preserve"> for grassland. The Panel also recommended that the synthetic nitrogen fertiliser Frac</w:t>
      </w:r>
      <w:r w:rsidRPr="00261B7A">
        <w:rPr>
          <w:rFonts w:cs="Calibri"/>
          <w:vertAlign w:val="subscript"/>
        </w:rPr>
        <w:t>LEACH</w:t>
      </w:r>
      <w:r w:rsidRPr="00261B7A">
        <w:rPr>
          <w:rFonts w:cs="Calibri"/>
        </w:rPr>
        <w:t xml:space="preserve"> value be adjusted based on the grassland and cropping values because it is applied to both systems.</w:t>
      </w:r>
    </w:p>
    <w:p w14:paraId="67E6A1B9" w14:textId="77777777" w:rsidR="00994F64" w:rsidRPr="00261B7A" w:rsidRDefault="00994F64" w:rsidP="00994F64">
      <w:pPr>
        <w:pStyle w:val="BodyText"/>
        <w:spacing w:before="100" w:after="100"/>
        <w:rPr>
          <w:rFonts w:cs="Calibri"/>
        </w:rPr>
      </w:pPr>
      <w:r w:rsidRPr="00261B7A">
        <w:rPr>
          <w:rFonts w:cs="Calibri"/>
        </w:rPr>
        <w:t>For the second proposed change, the Panel recommended the inclusion of supplementary (non-pasture) feeds. Until now, the inventory has assumed that all Tier 2 livestock are 100 per cent pasture fed due to a lack of reliable, national level data on supplementary feeds. New research collated the use and quality of several other feeds at a national level of each animal type, which are now able to be accounted for.</w:t>
      </w:r>
    </w:p>
    <w:p w14:paraId="15D72BC6" w14:textId="77777777" w:rsidR="00994F64" w:rsidRPr="00261B7A" w:rsidRDefault="00994F64" w:rsidP="00994F64">
      <w:pPr>
        <w:pStyle w:val="BodyText"/>
        <w:spacing w:before="100" w:after="100"/>
        <w:rPr>
          <w:rFonts w:cs="Calibri"/>
        </w:rPr>
      </w:pPr>
      <w:r w:rsidRPr="00261B7A">
        <w:rPr>
          <w:rFonts w:cs="Calibri"/>
        </w:rPr>
        <w:t xml:space="preserve">Finally, the Panel also recommended an update to the within-year </w:t>
      </w:r>
      <w:r w:rsidRPr="00261B7A">
        <w:rPr>
          <w:rFonts w:cs="Calibri"/>
          <w:i/>
          <w:iCs/>
        </w:rPr>
        <w:t>Dairy cattle</w:t>
      </w:r>
      <w:r w:rsidRPr="00261B7A">
        <w:rPr>
          <w:rFonts w:cs="Calibri"/>
        </w:rPr>
        <w:t xml:space="preserve"> population modelling. This includes several improvements to the way in which the monthly dairy cattle population is modelled, to better reflect what is occurring on-farm. It also includes export animal data for beef cattle, which were previously unaccounted for or incorrectly attributed to animal losses.</w:t>
      </w:r>
    </w:p>
    <w:p w14:paraId="7AB6FE2D" w14:textId="77777777" w:rsidR="00994F64" w:rsidRPr="00261B7A" w:rsidRDefault="00994F64" w:rsidP="00994F64">
      <w:pPr>
        <w:pStyle w:val="BodyText"/>
        <w:spacing w:before="100" w:after="100"/>
        <w:rPr>
          <w:rFonts w:cs="Calibri"/>
        </w:rPr>
      </w:pPr>
      <w:r w:rsidRPr="00261B7A">
        <w:rPr>
          <w:rFonts w:cs="Calibri"/>
        </w:rPr>
        <w:t xml:space="preserve">All of the changes made have been backdated to the 1990 baseline. Further details on these changes are outlined in sections 5.2.5 and 5.5.5 (source-specific recalculations), as well as chapter 10 (all recalculations). </w:t>
      </w:r>
    </w:p>
    <w:p w14:paraId="59420DD7" w14:textId="77777777" w:rsidR="00994F64" w:rsidRPr="00261B7A" w:rsidRDefault="00994F64" w:rsidP="00994F64">
      <w:pPr>
        <w:pStyle w:val="BodyText"/>
        <w:spacing w:before="100" w:after="100"/>
      </w:pPr>
      <w:r w:rsidRPr="00261B7A">
        <w:rPr>
          <w:rFonts w:cs="Calibri"/>
        </w:rPr>
        <w:t xml:space="preserve">The briefings, reports, supporting documentation and minutes of the 2022 Panel meeting (as well as Panel meetings </w:t>
      </w:r>
      <w:r w:rsidRPr="00261B7A">
        <w:t>for previous years) are available on the MPI website (</w:t>
      </w:r>
      <w:hyperlink r:id="rId122" w:history="1">
        <w:r w:rsidRPr="00261B7A">
          <w:rPr>
            <w:rStyle w:val="Hyperlink"/>
          </w:rPr>
          <w:t>www.mpi.govt.nz/news-and-resources/statistics-and-forecasting/greenhouse-gas-reporting/agricultural-inventory-advisory-panel</w:t>
        </w:r>
      </w:hyperlink>
      <w:r w:rsidRPr="00261B7A">
        <w:t xml:space="preserve">). </w:t>
      </w:r>
    </w:p>
    <w:p w14:paraId="5619D6EF" w14:textId="77777777" w:rsidR="00994F64" w:rsidRPr="00261B7A" w:rsidRDefault="00994F64" w:rsidP="00994F64">
      <w:pPr>
        <w:pStyle w:val="Heading4"/>
      </w:pPr>
      <w:r w:rsidRPr="00261B7A">
        <w:t xml:space="preserve">Recalculations approved for the 2023 National Inventory Report submission in the Agriculture sector </w:t>
      </w:r>
    </w:p>
    <w:p w14:paraId="385762E5" w14:textId="77777777" w:rsidR="00994F64" w:rsidRPr="00261B7A" w:rsidRDefault="00994F64" w:rsidP="00994F64">
      <w:pPr>
        <w:pStyle w:val="BodyText"/>
        <w:spacing w:after="100"/>
        <w:rPr>
          <w:rFonts w:cs="Calibri"/>
          <w:spacing w:val="-2"/>
        </w:rPr>
      </w:pPr>
      <w:r w:rsidRPr="00261B7A">
        <w:rPr>
          <w:rFonts w:cs="Calibri"/>
          <w:spacing w:val="-2"/>
        </w:rPr>
        <w:t>Following the recommendations from the</w:t>
      </w:r>
      <w:r w:rsidRPr="00261B7A">
        <w:rPr>
          <w:rFonts w:cs="Calibri"/>
        </w:rPr>
        <w:t xml:space="preserve"> </w:t>
      </w:r>
      <w:r w:rsidRPr="00261B7A">
        <w:rPr>
          <w:rFonts w:cs="Calibri"/>
          <w:spacing w:val="-2"/>
        </w:rPr>
        <w:t>Agriculture Inventory Advisory Panel and approval from the Deputy Director-General (Policy and Trade) at MPI and the RGG, New Zealand has implemented all of the recommendations in its 2023</w:t>
      </w:r>
      <w:r w:rsidRPr="00261B7A">
        <w:rPr>
          <w:rFonts w:cs="Calibri"/>
        </w:rPr>
        <w:t xml:space="preserve"> </w:t>
      </w:r>
      <w:r w:rsidRPr="00261B7A">
        <w:rPr>
          <w:rFonts w:cs="Calibri"/>
          <w:spacing w:val="-2"/>
        </w:rPr>
        <w:t>annual inventory submission.</w:t>
      </w:r>
    </w:p>
    <w:p w14:paraId="0B79BD64" w14:textId="77777777" w:rsidR="00994F64" w:rsidRPr="00261B7A" w:rsidRDefault="00994F64" w:rsidP="00994F64">
      <w:pPr>
        <w:pStyle w:val="BodyText"/>
        <w:spacing w:after="100"/>
      </w:pPr>
      <w:r w:rsidRPr="00261B7A">
        <w:t>The implementation of these improvements has resulted in the estimate of Agriculture sector emissions in 2020 being 2.7 per cent lower in the 2023 submission than they would otherwise be without the changes.</w:t>
      </w:r>
    </w:p>
    <w:p w14:paraId="586362C5" w14:textId="77777777" w:rsidR="00994F64" w:rsidRPr="00261B7A" w:rsidRDefault="00994F64" w:rsidP="00994F64">
      <w:pPr>
        <w:pStyle w:val="Heading3"/>
      </w:pPr>
      <w:bookmarkStart w:id="711" w:name="_Toc32570648"/>
      <w:r w:rsidRPr="00261B7A">
        <w:t xml:space="preserve">5.1.6 </w:t>
      </w:r>
      <w:r w:rsidRPr="00261B7A">
        <w:tab/>
        <w:t>Quality assurance and quality control (QA/QC)</w:t>
      </w:r>
      <w:bookmarkEnd w:id="711"/>
    </w:p>
    <w:p w14:paraId="77D0F74E" w14:textId="77777777" w:rsidR="00994F64" w:rsidRPr="00261B7A" w:rsidRDefault="00994F64" w:rsidP="00994F64">
      <w:pPr>
        <w:pStyle w:val="BodyText"/>
      </w:pPr>
      <w:r w:rsidRPr="00261B7A">
        <w:t xml:space="preserve">The team responsible for the Agriculture inventory preparation within MPI maintains close contact with the teams responsible for the collation of primary industries (agriculture, horticulture, forestry, and fishing) data. These teams liaise with Stats NZ and provide analysis and forecasts of primary industries activity and performance. This arrangement ensures that the inventory preparation team has a good understanding of activity data and agricultural performance. </w:t>
      </w:r>
    </w:p>
    <w:p w14:paraId="26AC6013" w14:textId="77777777" w:rsidR="00994F64" w:rsidRPr="00261B7A" w:rsidRDefault="00994F64" w:rsidP="00994F64">
      <w:pPr>
        <w:pStyle w:val="BodyText"/>
      </w:pPr>
      <w:r w:rsidRPr="00261B7A">
        <w:t>The connection with Stats NZ ensures that statistical data are aligned with changes in agricultural management practices in the primary industries sector. Capturing this data is required to be able to track changes in emissions as a result of mitigation and shifts in farm management in the inventory.</w:t>
      </w:r>
    </w:p>
    <w:p w14:paraId="3DEE92BE" w14:textId="236D29A8" w:rsidR="00994F64" w:rsidRPr="00261B7A" w:rsidRDefault="00994F64" w:rsidP="00994F64">
      <w:pPr>
        <w:pStyle w:val="BodyText"/>
      </w:pPr>
      <w:r w:rsidRPr="00261B7A">
        <w:t>The team responsible for the Agriculture inventory preparation also maintains relationships with industry bodies that provide additional data, such as Beef + Lamb New Zealand Ltd,</w:t>
      </w:r>
      <w:r w:rsidR="00B441F9">
        <w:t xml:space="preserve"> </w:t>
      </w:r>
      <w:r w:rsidRPr="00261B7A">
        <w:t>DairyNZ, Deer Industry New Zealand, the Poultry Industry Association New Zealand and the Fertiliser Association of New Zealand. This also includes LIC, which is a farmer-owned cooperative.</w:t>
      </w:r>
    </w:p>
    <w:p w14:paraId="048054B3" w14:textId="77777777" w:rsidR="00994F64" w:rsidRPr="00261B7A" w:rsidRDefault="00994F64" w:rsidP="00994F64">
      <w:pPr>
        <w:pStyle w:val="BodyText"/>
      </w:pPr>
      <w:r w:rsidRPr="00261B7A">
        <w:t xml:space="preserve">As part of the quality control procedures, the inventory is reviewed by MPI personnel with expertise in climate change policy, international policy, climate change science and livestock farming policy. The review ensures that the inventory clearly explains the sources of agricultural emissions in New Zealand as well as the trends in emissions from year to year. The results from the inventory also inform domestic and international climate change policy. </w:t>
      </w:r>
    </w:p>
    <w:p w14:paraId="4A3E0A0E" w14:textId="77777777" w:rsidR="00994F64" w:rsidRPr="00261B7A" w:rsidRDefault="00994F64" w:rsidP="00994F64">
      <w:pPr>
        <w:pStyle w:val="BodyText"/>
      </w:pPr>
      <w:r w:rsidRPr="00261B7A">
        <w:t xml:space="preserve">MPI’s Agriculture inventory experts meet regularly with the team at MfE that is responsible for coordinating the annual national inventory submission. MfE monitors MPI progress in implementing recommendations from previous expert review reports and on meeting timelines during the year. </w:t>
      </w:r>
    </w:p>
    <w:p w14:paraId="49148950" w14:textId="77777777" w:rsidR="00994F64" w:rsidRPr="00261B7A" w:rsidRDefault="00994F64" w:rsidP="00994F64">
      <w:pPr>
        <w:pStyle w:val="BodyText"/>
      </w:pPr>
      <w:r w:rsidRPr="00261B7A">
        <w:t xml:space="preserve">MfE also manages an internal guidance document titled ‘New Zealand’s National Inventory System Guidelines for Compiling New Zealand’s Greenhouse Gas Inventory’. This document provides domestic guidelines for the National Inventory Report sector leads to follow, including the decisions under the UNFCCC, Kyoto Protocol and the Paris Agreement. The document also includes New Zealand’s quality-assurance and quality-control plan, which is followed by all inventory sector leads. </w:t>
      </w:r>
    </w:p>
    <w:p w14:paraId="33E48DD1" w14:textId="77777777" w:rsidR="00994F64" w:rsidRPr="00261B7A" w:rsidRDefault="00994F64" w:rsidP="00994F64">
      <w:pPr>
        <w:pStyle w:val="BodyText"/>
      </w:pPr>
      <w:r w:rsidRPr="00261B7A">
        <w:t xml:space="preserve">MPI participates in the annual inventory debrief coordinated by MfE, to ensure the National Inventory Compiler and each sector lead understand what is working well and where improvements could be made. </w:t>
      </w:r>
    </w:p>
    <w:p w14:paraId="622156E7" w14:textId="77777777" w:rsidR="00994F64" w:rsidRPr="00261B7A" w:rsidRDefault="00994F64" w:rsidP="00994F64">
      <w:pPr>
        <w:pStyle w:val="BodyText"/>
      </w:pPr>
      <w:r w:rsidRPr="00261B7A">
        <w:t>In 2016, an external audit firm (Deloitte), with specialist skills in quality-assurance and quality</w:t>
      </w:r>
      <w:r w:rsidRPr="00261B7A">
        <w:noBreakHyphen/>
        <w:t xml:space="preserve">control management, was engaged to evaluate and improve quality-assurance and quality-control processes for the Agriculture inventory. New Zealand has used this feedback to update and improve the quality-assurance and quality-control methodology. </w:t>
      </w:r>
    </w:p>
    <w:p w14:paraId="340FBCCD" w14:textId="77777777" w:rsidR="00994F64" w:rsidRPr="00261B7A" w:rsidRDefault="00994F64" w:rsidP="00994F64">
      <w:pPr>
        <w:pStyle w:val="BodyText"/>
      </w:pPr>
      <w:r w:rsidRPr="00261B7A">
        <w:t xml:space="preserve">A process of quality-control checks is mandated in the </w:t>
      </w:r>
      <w:r w:rsidRPr="00261B7A">
        <w:rPr>
          <w:i/>
          <w:iCs/>
        </w:rPr>
        <w:t>2006 IPCC Guidelines for National Greenhouse Gas Inventories</w:t>
      </w:r>
      <w:r w:rsidRPr="00261B7A">
        <w:t xml:space="preserve"> (IPCC, 2006) and the internal compilation process and is provided in table 5.1.4. </w:t>
      </w:r>
    </w:p>
    <w:p w14:paraId="5ACAD8FE" w14:textId="77777777" w:rsidR="00994F64" w:rsidRPr="00261B7A" w:rsidRDefault="00994F64" w:rsidP="00994F64">
      <w:pPr>
        <w:pStyle w:val="Table"/>
        <w:rPr>
          <w:rFonts w:cs="Calibri"/>
        </w:rPr>
      </w:pPr>
      <w:bookmarkStart w:id="712" w:name="_Toc32570912"/>
      <w:bookmarkStart w:id="713" w:name="_Toc36224547"/>
      <w:bookmarkStart w:id="714" w:name="_Toc68786433"/>
      <w:bookmarkStart w:id="715" w:name="_Toc95574068"/>
      <w:bookmarkStart w:id="716" w:name="_Toc127458251"/>
      <w:bookmarkStart w:id="717" w:name="_Toc131591347"/>
      <w:r w:rsidRPr="00261B7A">
        <w:t xml:space="preserve">Table 5.1.4 </w:t>
      </w:r>
      <w:r w:rsidRPr="00261B7A">
        <w:tab/>
        <w:t>Agriculture sectoral approval process for inventory recalculations and improvements</w:t>
      </w:r>
      <w:bookmarkEnd w:id="712"/>
      <w:bookmarkEnd w:id="713"/>
      <w:bookmarkEnd w:id="714"/>
      <w:bookmarkEnd w:id="715"/>
      <w:bookmarkEnd w:id="716"/>
      <w:bookmarkEnd w:id="717"/>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ook w:val="04A0" w:firstRow="1" w:lastRow="0" w:firstColumn="1" w:lastColumn="0" w:noHBand="0" w:noVBand="1"/>
      </w:tblPr>
      <w:tblGrid>
        <w:gridCol w:w="1324"/>
        <w:gridCol w:w="7181"/>
      </w:tblGrid>
      <w:tr w:rsidR="00994F64" w:rsidRPr="00261B7A" w14:paraId="2B97D4C5" w14:textId="77777777" w:rsidTr="00501B0F">
        <w:trPr>
          <w:tblHeader/>
        </w:trPr>
        <w:tc>
          <w:tcPr>
            <w:tcW w:w="1324" w:type="dxa"/>
            <w:shd w:val="clear" w:color="auto" w:fill="1B556B"/>
            <w:vAlign w:val="bottom"/>
          </w:tcPr>
          <w:p w14:paraId="32F35DEB" w14:textId="77777777" w:rsidR="00994F64" w:rsidRPr="00261B7A" w:rsidRDefault="00994F64" w:rsidP="00501B0F">
            <w:pPr>
              <w:pStyle w:val="TableTextBold"/>
              <w:keepNext/>
              <w:rPr>
                <w:noProof w:val="0"/>
                <w:color w:val="FFFFFF" w:themeColor="background1"/>
              </w:rPr>
            </w:pPr>
            <w:r w:rsidRPr="00261B7A">
              <w:rPr>
                <w:noProof w:val="0"/>
                <w:color w:val="FFFFFF" w:themeColor="background1"/>
              </w:rPr>
              <w:t>QA/QC area</w:t>
            </w:r>
          </w:p>
        </w:tc>
        <w:tc>
          <w:tcPr>
            <w:tcW w:w="7181" w:type="dxa"/>
            <w:shd w:val="clear" w:color="auto" w:fill="1B556B"/>
            <w:vAlign w:val="bottom"/>
          </w:tcPr>
          <w:p w14:paraId="3D66CB73" w14:textId="77777777" w:rsidR="00994F64" w:rsidRPr="00261B7A" w:rsidRDefault="00994F64" w:rsidP="00501B0F">
            <w:pPr>
              <w:pStyle w:val="TableTextBold"/>
              <w:keepNext/>
              <w:rPr>
                <w:noProof w:val="0"/>
                <w:color w:val="FFFFFF" w:themeColor="background1"/>
              </w:rPr>
            </w:pPr>
            <w:r w:rsidRPr="00261B7A">
              <w:rPr>
                <w:noProof w:val="0"/>
                <w:color w:val="FFFFFF" w:themeColor="background1"/>
              </w:rPr>
              <w:t>Details of QA/QC procedure</w:t>
            </w:r>
          </w:p>
        </w:tc>
      </w:tr>
      <w:tr w:rsidR="00994F64" w:rsidRPr="00261B7A" w14:paraId="00937AB4" w14:textId="77777777" w:rsidTr="00501B0F">
        <w:tc>
          <w:tcPr>
            <w:tcW w:w="1324" w:type="dxa"/>
            <w:shd w:val="clear" w:color="auto" w:fill="auto"/>
          </w:tcPr>
          <w:p w14:paraId="7ACA42CF" w14:textId="77777777" w:rsidR="00994F64" w:rsidRPr="00261B7A" w:rsidRDefault="00994F64" w:rsidP="00501B0F">
            <w:pPr>
              <w:pStyle w:val="TableText"/>
            </w:pPr>
            <w:r w:rsidRPr="00261B7A">
              <w:t xml:space="preserve">Activity data </w:t>
            </w:r>
          </w:p>
        </w:tc>
        <w:tc>
          <w:tcPr>
            <w:tcW w:w="7181" w:type="dxa"/>
            <w:shd w:val="clear" w:color="auto" w:fill="auto"/>
          </w:tcPr>
          <w:p w14:paraId="3C71F6B6" w14:textId="77777777" w:rsidR="00994F64" w:rsidRPr="00261B7A" w:rsidRDefault="00994F64" w:rsidP="00501B0F">
            <w:pPr>
              <w:pStyle w:val="TableBullet"/>
            </w:pPr>
            <w:r w:rsidRPr="00261B7A">
              <w:t xml:space="preserve">Data inputs and checks are recorded in a data check table, which is signed by the individual staff members performing the data input and checks. </w:t>
            </w:r>
          </w:p>
          <w:p w14:paraId="7B12732A" w14:textId="77777777" w:rsidR="00994F64" w:rsidRPr="00261B7A" w:rsidRDefault="00994F64" w:rsidP="00994F64">
            <w:pPr>
              <w:pStyle w:val="TableBullet"/>
              <w:spacing w:before="0" w:after="40"/>
            </w:pPr>
            <w:r w:rsidRPr="00261B7A">
              <w:t xml:space="preserve">A comprehensive list of all external data to be collected annually from internal and external sources is included as a part of the data check sheet. </w:t>
            </w:r>
          </w:p>
          <w:p w14:paraId="0DD9044D" w14:textId="77777777" w:rsidR="00994F64" w:rsidRPr="00261B7A" w:rsidRDefault="00994F64" w:rsidP="00994F64">
            <w:pPr>
              <w:pStyle w:val="TableBullet"/>
              <w:spacing w:before="0" w:after="40"/>
            </w:pPr>
            <w:r w:rsidRPr="00261B7A">
              <w:t xml:space="preserve">New activity data are cross checked for accuracy and completeness by someone not involved in the data input and primary compilation. </w:t>
            </w:r>
          </w:p>
          <w:p w14:paraId="5986C321" w14:textId="77777777" w:rsidR="00994F64" w:rsidRPr="00261B7A" w:rsidRDefault="00994F64" w:rsidP="00994F64">
            <w:pPr>
              <w:pStyle w:val="TableBullet"/>
              <w:spacing w:before="0" w:after="40"/>
            </w:pPr>
            <w:r w:rsidRPr="00261B7A">
              <w:t xml:space="preserve">New data on activity and year-to-year time variance are reviewed by commodity analysts and economic modellers, to ensure the data are consistent and reflect the domestic situation. </w:t>
            </w:r>
          </w:p>
          <w:p w14:paraId="21F8BBEE" w14:textId="77777777" w:rsidR="00994F64" w:rsidRPr="00261B7A" w:rsidRDefault="00994F64" w:rsidP="00994F64">
            <w:pPr>
              <w:pStyle w:val="TableBullet"/>
              <w:spacing w:before="0" w:after="40"/>
            </w:pPr>
            <w:r w:rsidRPr="00261B7A">
              <w:t xml:space="preserve">Where practical, key historical data are re-checked concurrently with updating the latest data. </w:t>
            </w:r>
          </w:p>
          <w:p w14:paraId="5E4E655D" w14:textId="77777777" w:rsidR="00994F64" w:rsidRPr="00261B7A" w:rsidRDefault="00994F64" w:rsidP="00994F64">
            <w:pPr>
              <w:pStyle w:val="TableBullet"/>
              <w:spacing w:before="0"/>
            </w:pPr>
            <w:r w:rsidRPr="00261B7A">
              <w:t xml:space="preserve">The data check table is included with the managerial sign-off materials before delivery to the Ministry for the Environment (MfE). </w:t>
            </w:r>
          </w:p>
        </w:tc>
      </w:tr>
      <w:tr w:rsidR="00994F64" w:rsidRPr="00261B7A" w14:paraId="14522C31" w14:textId="77777777" w:rsidTr="00501B0F">
        <w:tc>
          <w:tcPr>
            <w:tcW w:w="1324" w:type="dxa"/>
            <w:shd w:val="clear" w:color="auto" w:fill="auto"/>
          </w:tcPr>
          <w:p w14:paraId="34D6FDAB" w14:textId="77777777" w:rsidR="00994F64" w:rsidRPr="00261B7A" w:rsidRDefault="00994F64" w:rsidP="00501B0F">
            <w:pPr>
              <w:pStyle w:val="TableText"/>
              <w:keepNext/>
              <w:spacing w:before="50" w:after="50"/>
              <w:rPr>
                <w:rFonts w:cs="Calibri"/>
                <w:color w:val="000000"/>
              </w:rPr>
            </w:pPr>
            <w:r w:rsidRPr="00261B7A">
              <w:rPr>
                <w:rFonts w:cs="Calibri"/>
                <w:color w:val="000000"/>
              </w:rPr>
              <w:t xml:space="preserve">Emissions </w:t>
            </w:r>
          </w:p>
        </w:tc>
        <w:tc>
          <w:tcPr>
            <w:tcW w:w="7181" w:type="dxa"/>
            <w:shd w:val="clear" w:color="auto" w:fill="auto"/>
          </w:tcPr>
          <w:p w14:paraId="36CE5E64" w14:textId="77777777" w:rsidR="00994F64" w:rsidRPr="00261B7A" w:rsidRDefault="00994F64" w:rsidP="00501B0F">
            <w:pPr>
              <w:pStyle w:val="TableBullet"/>
              <w:spacing w:after="40"/>
            </w:pPr>
            <w:r w:rsidRPr="00261B7A">
              <w:t xml:space="preserve">Implied emission factors are checked over time (1990 to most recent year) and against previous submissions. Any anomalies are investigated. </w:t>
            </w:r>
          </w:p>
          <w:p w14:paraId="2607FC6E" w14:textId="77777777" w:rsidR="00994F64" w:rsidRPr="00261B7A" w:rsidRDefault="00994F64" w:rsidP="00994F64">
            <w:pPr>
              <w:pStyle w:val="TableBullet"/>
              <w:spacing w:before="0" w:after="40"/>
            </w:pPr>
            <w:r w:rsidRPr="00261B7A">
              <w:t xml:space="preserve">Key category emissions are compared against Tier 1 default methodologies and against similar parties, particularly Australia. A challenge for New Zealand is the lack of countries with similar agricultural circumstances and management practices. For example, New Zealand’s major livestock types are almost all kept outdoors on pasture in all seasons. </w:t>
            </w:r>
          </w:p>
          <w:p w14:paraId="1B6BDEE1" w14:textId="77777777" w:rsidR="00994F64" w:rsidRPr="00261B7A" w:rsidRDefault="00994F64" w:rsidP="00994F64">
            <w:pPr>
              <w:pStyle w:val="TableBullet"/>
              <w:spacing w:before="0"/>
            </w:pPr>
            <w:r w:rsidRPr="00261B7A">
              <w:t>Total emissions and key activity data from the common reporting format (CRF) tables are checked for accuracy against total emissions and activity in the workbooks. Category totals are also checked.</w:t>
            </w:r>
          </w:p>
        </w:tc>
      </w:tr>
      <w:tr w:rsidR="00994F64" w:rsidRPr="00261B7A" w14:paraId="30949E5F" w14:textId="77777777" w:rsidTr="00501B0F">
        <w:tc>
          <w:tcPr>
            <w:tcW w:w="1324" w:type="dxa"/>
            <w:shd w:val="clear" w:color="auto" w:fill="auto"/>
          </w:tcPr>
          <w:p w14:paraId="2F760E19" w14:textId="77777777" w:rsidR="00994F64" w:rsidRPr="00261B7A" w:rsidRDefault="00994F64" w:rsidP="00501B0F">
            <w:pPr>
              <w:pStyle w:val="TableText"/>
              <w:spacing w:before="50" w:after="50"/>
              <w:rPr>
                <w:rFonts w:cs="Calibri"/>
                <w:color w:val="000000"/>
              </w:rPr>
            </w:pPr>
            <w:r w:rsidRPr="00261B7A">
              <w:rPr>
                <w:rFonts w:cs="Calibri"/>
                <w:color w:val="000000"/>
              </w:rPr>
              <w:t xml:space="preserve">Recalculations </w:t>
            </w:r>
          </w:p>
        </w:tc>
        <w:tc>
          <w:tcPr>
            <w:tcW w:w="7181" w:type="dxa"/>
            <w:shd w:val="clear" w:color="auto" w:fill="auto"/>
          </w:tcPr>
          <w:p w14:paraId="5F0794B2" w14:textId="77777777" w:rsidR="00994F64" w:rsidRPr="00261B7A" w:rsidRDefault="00994F64" w:rsidP="00501B0F">
            <w:pPr>
              <w:pStyle w:val="TableBullet"/>
            </w:pPr>
            <w:r w:rsidRPr="00261B7A">
              <w:t xml:space="preserve">Recalculations are agreed with MfE and the Reporting Governance Group every year before the Agriculture inventory compilation commences. </w:t>
            </w:r>
          </w:p>
          <w:p w14:paraId="40E052AC" w14:textId="77777777" w:rsidR="00994F64" w:rsidRPr="00261B7A" w:rsidRDefault="00994F64" w:rsidP="00994F64">
            <w:pPr>
              <w:pStyle w:val="TableBullet"/>
              <w:spacing w:before="0"/>
            </w:pPr>
            <w:r w:rsidRPr="00261B7A">
              <w:t>Recalculations are compared with previous submissions and, as far as possible, explained and confirmed by the changes in method or activity data.</w:t>
            </w:r>
          </w:p>
          <w:p w14:paraId="78D05A6F" w14:textId="77777777" w:rsidR="00994F64" w:rsidRPr="00261B7A" w:rsidRDefault="00994F64" w:rsidP="00994F64">
            <w:pPr>
              <w:pStyle w:val="TableBullet"/>
              <w:spacing w:before="0"/>
            </w:pPr>
            <w:r w:rsidRPr="00261B7A">
              <w:t xml:space="preserve">Anomalous results from recalculations are checked and corrected, if necessary. </w:t>
            </w:r>
          </w:p>
          <w:p w14:paraId="6C2A5F3D" w14:textId="77777777" w:rsidR="00994F64" w:rsidRPr="00261B7A" w:rsidRDefault="00994F64" w:rsidP="00994F64">
            <w:pPr>
              <w:pStyle w:val="TableBullet"/>
              <w:spacing w:before="0"/>
            </w:pPr>
            <w:r w:rsidRPr="00261B7A">
              <w:t xml:space="preserve">The Agriculture inventory compiler completes recalculation forms, signs the forms and forwards them to MfE. </w:t>
            </w:r>
          </w:p>
        </w:tc>
      </w:tr>
      <w:tr w:rsidR="00994F64" w:rsidRPr="00261B7A" w14:paraId="15034C92" w14:textId="77777777" w:rsidTr="00501B0F">
        <w:tc>
          <w:tcPr>
            <w:tcW w:w="1324" w:type="dxa"/>
            <w:shd w:val="clear" w:color="auto" w:fill="auto"/>
          </w:tcPr>
          <w:p w14:paraId="508C7C0D" w14:textId="77777777" w:rsidR="00994F64" w:rsidRPr="00261B7A" w:rsidRDefault="00994F64" w:rsidP="00501B0F">
            <w:pPr>
              <w:pStyle w:val="TableText"/>
              <w:spacing w:before="50" w:after="50"/>
              <w:rPr>
                <w:rFonts w:cs="Calibri"/>
                <w:color w:val="000000"/>
              </w:rPr>
            </w:pPr>
            <w:r w:rsidRPr="00261B7A">
              <w:rPr>
                <w:rFonts w:cs="Calibri"/>
                <w:color w:val="000000"/>
              </w:rPr>
              <w:t xml:space="preserve">Periodic reviews </w:t>
            </w:r>
          </w:p>
        </w:tc>
        <w:tc>
          <w:tcPr>
            <w:tcW w:w="7181" w:type="dxa"/>
            <w:shd w:val="clear" w:color="auto" w:fill="auto"/>
          </w:tcPr>
          <w:p w14:paraId="387FDAE3" w14:textId="77777777" w:rsidR="00994F64" w:rsidRPr="00261B7A" w:rsidRDefault="00994F64" w:rsidP="00501B0F">
            <w:pPr>
              <w:pStyle w:val="TableBullet"/>
            </w:pPr>
            <w:r w:rsidRPr="00261B7A">
              <w:t>Periodic reviews are completed on different aspects of the Agriculture inventory. Examples of these reviews are below.</w:t>
            </w:r>
          </w:p>
          <w:p w14:paraId="1BFCF9FA" w14:textId="77777777" w:rsidR="00994F64" w:rsidRPr="00261B7A" w:rsidRDefault="00994F64" w:rsidP="00994F64">
            <w:pPr>
              <w:pStyle w:val="TableBullet"/>
              <w:spacing w:before="0"/>
            </w:pPr>
            <w:r w:rsidRPr="00261B7A">
              <w:t xml:space="preserve">The livestock population models, and productivity parameters have been reviewed (e.g., Thomson et al., 2010). These reviews have also been used to update and improve the Tier 2 model. </w:t>
            </w:r>
          </w:p>
          <w:p w14:paraId="530EB88C" w14:textId="77777777" w:rsidR="00994F64" w:rsidRPr="00261B7A" w:rsidRDefault="00994F64" w:rsidP="00994F64">
            <w:pPr>
              <w:pStyle w:val="TableBullet"/>
              <w:spacing w:before="0"/>
            </w:pPr>
            <w:r w:rsidRPr="00261B7A">
              <w:t xml:space="preserve">During the 2012 submission, new crops were included in the National Inventory Report and a new complex methodology was implemented. For the 2013 submission, Plant and Food Research, a Crown research institute that has expertise in this area, was hired to review the workbooks, check the formulae, and model parameters. </w:t>
            </w:r>
          </w:p>
          <w:p w14:paraId="76CAACB2" w14:textId="77777777" w:rsidR="00994F64" w:rsidRPr="00261B7A" w:rsidRDefault="00994F64" w:rsidP="00994F64">
            <w:pPr>
              <w:pStyle w:val="TableBullet"/>
              <w:spacing w:before="0"/>
            </w:pPr>
            <w:r w:rsidRPr="00261B7A">
              <w:t xml:space="preserve">During the 2015 submission, a mutual bilateral greenhouse gas inventory review was held between Australia and New Zealand, which included the Agriculture sector (Australian Government, unpublished). </w:t>
            </w:r>
          </w:p>
          <w:p w14:paraId="585020B3" w14:textId="77777777" w:rsidR="00994F64" w:rsidRPr="00261B7A" w:rsidRDefault="00994F64" w:rsidP="00994F64">
            <w:pPr>
              <w:pStyle w:val="TableBullet"/>
              <w:spacing w:before="0"/>
            </w:pPr>
            <w:r w:rsidRPr="00261B7A">
              <w:t xml:space="preserve">In 2018, the population models in the inventory model were reviewed. Small errors in the implementation of the population equations in the inventory model were found and corrected for in the 2019 (1990–2017) submission. </w:t>
            </w:r>
          </w:p>
        </w:tc>
      </w:tr>
      <w:tr w:rsidR="00994F64" w:rsidRPr="00261B7A" w14:paraId="529CE94E" w14:textId="77777777" w:rsidTr="00501B0F">
        <w:tc>
          <w:tcPr>
            <w:tcW w:w="1324" w:type="dxa"/>
            <w:shd w:val="clear" w:color="auto" w:fill="auto"/>
          </w:tcPr>
          <w:p w14:paraId="3A9D32D7" w14:textId="77777777" w:rsidR="00994F64" w:rsidRPr="00261B7A" w:rsidRDefault="00994F64" w:rsidP="00501B0F">
            <w:pPr>
              <w:pStyle w:val="TableText"/>
              <w:spacing w:before="50" w:after="50"/>
              <w:rPr>
                <w:rFonts w:cs="Calibri"/>
                <w:color w:val="000000"/>
              </w:rPr>
            </w:pPr>
            <w:r w:rsidRPr="00261B7A">
              <w:rPr>
                <w:rFonts w:cs="Calibri"/>
                <w:color w:val="000000"/>
              </w:rPr>
              <w:t xml:space="preserve">Error checking and reporting </w:t>
            </w:r>
          </w:p>
        </w:tc>
        <w:tc>
          <w:tcPr>
            <w:tcW w:w="7181" w:type="dxa"/>
            <w:shd w:val="clear" w:color="auto" w:fill="auto"/>
          </w:tcPr>
          <w:p w14:paraId="3BB4259E" w14:textId="77777777" w:rsidR="00994F64" w:rsidRPr="00261B7A" w:rsidRDefault="00994F64" w:rsidP="00501B0F">
            <w:pPr>
              <w:pStyle w:val="TableBullet"/>
            </w:pPr>
            <w:r w:rsidRPr="00261B7A">
              <w:t xml:space="preserve">Errors confirmed during the year are recorded, and the National Inventory Compiler is notified. The factors contributing to the error are assessed. </w:t>
            </w:r>
          </w:p>
          <w:p w14:paraId="0913EB21" w14:textId="77777777" w:rsidR="00994F64" w:rsidRPr="00261B7A" w:rsidRDefault="00994F64" w:rsidP="00994F64">
            <w:pPr>
              <w:pStyle w:val="TableBullet"/>
              <w:spacing w:before="0"/>
            </w:pPr>
            <w:r w:rsidRPr="00261B7A">
              <w:t xml:space="preserve">An issues, risks and enhancements register is kept up to date and used to prioritise the resolution of key sources of risk to the Agriculture inventory compilation and results. </w:t>
            </w:r>
          </w:p>
          <w:p w14:paraId="5C300476" w14:textId="77777777" w:rsidR="00994F64" w:rsidRPr="00261B7A" w:rsidRDefault="00994F64" w:rsidP="00994F64">
            <w:pPr>
              <w:pStyle w:val="TableBullet"/>
              <w:spacing w:before="0"/>
            </w:pPr>
            <w:r w:rsidRPr="00261B7A">
              <w:t xml:space="preserve">A checklist of quality-control activities is followed during data collection and entry into the model, data upload to the CRF reporting tool and National Inventory Report chapter preparation. </w:t>
            </w:r>
          </w:p>
          <w:p w14:paraId="39281AE7" w14:textId="77777777" w:rsidR="00994F64" w:rsidRPr="00261B7A" w:rsidRDefault="00994F64" w:rsidP="00994F64">
            <w:pPr>
              <w:pStyle w:val="TableBullet"/>
              <w:spacing w:before="0"/>
            </w:pPr>
            <w:r w:rsidRPr="00261B7A">
              <w:t xml:space="preserve">The Agriculture chapter of the National Inventory Report and the data exported to the CRF reporter are signed off by the chapter compiler, people involved in data checking and the responsible manager. </w:t>
            </w:r>
          </w:p>
        </w:tc>
      </w:tr>
      <w:tr w:rsidR="00994F64" w:rsidRPr="00261B7A" w14:paraId="05C1442C" w14:textId="77777777" w:rsidTr="00501B0F">
        <w:tc>
          <w:tcPr>
            <w:tcW w:w="1324" w:type="dxa"/>
            <w:shd w:val="clear" w:color="auto" w:fill="auto"/>
          </w:tcPr>
          <w:p w14:paraId="68AF49EC" w14:textId="77777777" w:rsidR="00994F64" w:rsidRPr="00261B7A" w:rsidRDefault="00994F64" w:rsidP="00501B0F">
            <w:pPr>
              <w:pStyle w:val="TableText"/>
              <w:spacing w:before="50" w:after="50"/>
              <w:rPr>
                <w:rFonts w:cs="Calibri"/>
                <w:color w:val="000000"/>
              </w:rPr>
            </w:pPr>
            <w:r w:rsidRPr="00261B7A">
              <w:rPr>
                <w:rFonts w:cs="Calibri"/>
                <w:color w:val="000000"/>
              </w:rPr>
              <w:t xml:space="preserve">Documentation </w:t>
            </w:r>
          </w:p>
        </w:tc>
        <w:tc>
          <w:tcPr>
            <w:tcW w:w="7181" w:type="dxa"/>
            <w:shd w:val="clear" w:color="auto" w:fill="auto"/>
          </w:tcPr>
          <w:p w14:paraId="27B3D4DA" w14:textId="77777777" w:rsidR="00994F64" w:rsidRPr="00261B7A" w:rsidRDefault="00994F64" w:rsidP="00501B0F">
            <w:pPr>
              <w:pStyle w:val="TableBullet"/>
            </w:pPr>
            <w:r w:rsidRPr="00261B7A">
              <w:t xml:space="preserve">Internal working instructions are maintained, to allow for staff movements. </w:t>
            </w:r>
          </w:p>
          <w:p w14:paraId="38F97B2C" w14:textId="77777777" w:rsidR="00994F64" w:rsidRPr="00261B7A" w:rsidRDefault="00994F64" w:rsidP="00994F64">
            <w:pPr>
              <w:pStyle w:val="TableBullet"/>
              <w:spacing w:before="0"/>
            </w:pPr>
            <w:r w:rsidRPr="00261B7A">
              <w:t xml:space="preserve">Workbooks and calculations are kept on an electronic archiving and management system, enabling wider team access to all workbooks. </w:t>
            </w:r>
          </w:p>
          <w:p w14:paraId="55F727DE" w14:textId="77777777" w:rsidR="00994F64" w:rsidRPr="00261B7A" w:rsidRDefault="00994F64" w:rsidP="00994F64">
            <w:pPr>
              <w:pStyle w:val="TableBullet"/>
              <w:spacing w:before="0"/>
            </w:pPr>
            <w:r w:rsidRPr="00261B7A">
              <w:t xml:space="preserve">Hyperlinks between check sheets, sign-off documents and workbooks are used to link relevant files on the document management system. </w:t>
            </w:r>
          </w:p>
        </w:tc>
      </w:tr>
    </w:tbl>
    <w:p w14:paraId="6260FB43" w14:textId="77777777" w:rsidR="00994F64" w:rsidRPr="00261B7A" w:rsidRDefault="00994F64" w:rsidP="00994F64">
      <w:pPr>
        <w:pStyle w:val="Heading3"/>
        <w:spacing w:before="400"/>
      </w:pPr>
      <w:bookmarkStart w:id="718" w:name="_Toc32570649"/>
      <w:r w:rsidRPr="00261B7A">
        <w:t>5.1.7</w:t>
      </w:r>
      <w:r w:rsidRPr="00261B7A">
        <w:tab/>
        <w:t>Planned improvements</w:t>
      </w:r>
      <w:bookmarkEnd w:id="718"/>
      <w:r w:rsidRPr="00261B7A">
        <w:t xml:space="preserve"> and research</w:t>
      </w:r>
    </w:p>
    <w:p w14:paraId="3D942AC8" w14:textId="77777777" w:rsidR="00994F64" w:rsidRPr="00261B7A" w:rsidRDefault="00994F64" w:rsidP="00994F64">
      <w:pPr>
        <w:pStyle w:val="BodyText"/>
        <w:rPr>
          <w:rFonts w:cs="Calibri"/>
        </w:rPr>
      </w:pPr>
      <w:r w:rsidRPr="00261B7A">
        <w:rPr>
          <w:rFonts w:cs="Calibri"/>
        </w:rPr>
        <w:t xml:space="preserve">MPI has commissioned several projects aimed at further improving New Zealand’s Agriculture inventory. </w:t>
      </w:r>
    </w:p>
    <w:p w14:paraId="783A14A4" w14:textId="77777777" w:rsidR="00994F64" w:rsidRPr="00261B7A" w:rsidRDefault="00994F64" w:rsidP="00994F64">
      <w:pPr>
        <w:pStyle w:val="BodyText"/>
        <w:ind w:left="567" w:hanging="567"/>
        <w:rPr>
          <w:rFonts w:cs="Calibri"/>
        </w:rPr>
      </w:pPr>
      <w:r w:rsidRPr="00261B7A">
        <w:rPr>
          <w:rFonts w:cs="Calibri"/>
        </w:rPr>
        <w:t>Short-term studies (around one year) include:</w:t>
      </w:r>
    </w:p>
    <w:p w14:paraId="6736DD8C" w14:textId="77777777" w:rsidR="00994F64" w:rsidRPr="00261B7A" w:rsidRDefault="00994F64" w:rsidP="00994F64">
      <w:pPr>
        <w:pStyle w:val="Bullet"/>
      </w:pPr>
      <w:r w:rsidRPr="00261B7A">
        <w:t>developing a gene flow sub-model for sheep, to account for CH</w:t>
      </w:r>
      <w:r w:rsidRPr="00261B7A">
        <w:rPr>
          <w:vertAlign w:val="subscript"/>
        </w:rPr>
        <w:t>4</w:t>
      </w:r>
      <w:r w:rsidRPr="00261B7A">
        <w:t xml:space="preserve"> reductions in the national flock due to the introduction of low-CH</w:t>
      </w:r>
      <w:r w:rsidRPr="00261B7A">
        <w:rPr>
          <w:vertAlign w:val="subscript"/>
        </w:rPr>
        <w:t>4</w:t>
      </w:r>
      <w:r w:rsidRPr="00261B7A">
        <w:t xml:space="preserve"> rams (see section 5.2.6)</w:t>
      </w:r>
    </w:p>
    <w:p w14:paraId="3EDE3B5F" w14:textId="77777777" w:rsidR="00994F64" w:rsidRPr="00261B7A" w:rsidRDefault="00994F64" w:rsidP="00994F64">
      <w:pPr>
        <w:pStyle w:val="Bullet"/>
      </w:pPr>
      <w:r w:rsidRPr="00261B7A">
        <w:t>developing a national repository of relative genetic merit of New Zealand sheep (see section 5.2.6)</w:t>
      </w:r>
    </w:p>
    <w:p w14:paraId="6E987A7C" w14:textId="77777777" w:rsidR="00994F64" w:rsidRPr="00261B7A" w:rsidRDefault="00994F64" w:rsidP="00994F64">
      <w:pPr>
        <w:pStyle w:val="Bullet"/>
      </w:pPr>
      <w:r w:rsidRPr="00261B7A">
        <w:t>improving emissions estimates from minor animal categories (see section 5.2.6)</w:t>
      </w:r>
    </w:p>
    <w:p w14:paraId="6A9FD21E" w14:textId="77777777" w:rsidR="00994F64" w:rsidRPr="00261B7A" w:rsidRDefault="00994F64" w:rsidP="00994F64">
      <w:pPr>
        <w:pStyle w:val="Bullet"/>
        <w:tabs>
          <w:tab w:val="num" w:pos="567"/>
        </w:tabs>
      </w:pPr>
      <w:r w:rsidRPr="00261B7A">
        <w:t>undertaking a pork industry survey of manure management systems (see section 5.3.6)</w:t>
      </w:r>
    </w:p>
    <w:p w14:paraId="104CB878" w14:textId="77777777" w:rsidR="00994F64" w:rsidRPr="00261B7A" w:rsidRDefault="00994F64" w:rsidP="00994F64">
      <w:pPr>
        <w:pStyle w:val="Bullet"/>
        <w:tabs>
          <w:tab w:val="num" w:pos="567"/>
        </w:tabs>
      </w:pPr>
      <w:r w:rsidRPr="00261B7A">
        <w:t>examining inventory methodology for the incorporation of CO</w:t>
      </w:r>
      <w:r w:rsidRPr="00261B7A">
        <w:rPr>
          <w:vertAlign w:val="subscript"/>
        </w:rPr>
        <w:t>2</w:t>
      </w:r>
      <w:r w:rsidRPr="00261B7A">
        <w:t xml:space="preserve"> absorption through enhanced rock weathering (see section 5.5.6)</w:t>
      </w:r>
    </w:p>
    <w:p w14:paraId="6A4D98D3" w14:textId="77777777" w:rsidR="00994F64" w:rsidRPr="00261B7A" w:rsidRDefault="00994F64" w:rsidP="00994F64">
      <w:pPr>
        <w:pStyle w:val="Bullet"/>
        <w:tabs>
          <w:tab w:val="num" w:pos="567"/>
        </w:tabs>
      </w:pPr>
      <w:r w:rsidRPr="00261B7A">
        <w:t>reviewing N</w:t>
      </w:r>
      <w:r w:rsidRPr="00261B7A">
        <w:rPr>
          <w:vertAlign w:val="subscript"/>
        </w:rPr>
        <w:t>2</w:t>
      </w:r>
      <w:r w:rsidRPr="00261B7A">
        <w:t>O emissions from non-manure components of organic fertilisers (see section 5.5.6)</w:t>
      </w:r>
    </w:p>
    <w:p w14:paraId="3DECD090" w14:textId="77777777" w:rsidR="00994F64" w:rsidRPr="00261B7A" w:rsidRDefault="00994F64" w:rsidP="00994F64">
      <w:pPr>
        <w:pStyle w:val="Bullet"/>
        <w:tabs>
          <w:tab w:val="num" w:pos="567"/>
        </w:tabs>
      </w:pPr>
      <w:r w:rsidRPr="00261B7A">
        <w:t>investigating N</w:t>
      </w:r>
      <w:r w:rsidRPr="00261B7A">
        <w:rPr>
          <w:vertAlign w:val="subscript"/>
        </w:rPr>
        <w:t>2</w:t>
      </w:r>
      <w:r w:rsidRPr="00261B7A">
        <w:t>O</w:t>
      </w:r>
      <w:r w:rsidRPr="00261B7A" w:rsidDel="00637A3F">
        <w:t xml:space="preserve"> </w:t>
      </w:r>
      <w:r w:rsidRPr="00261B7A">
        <w:t>emissions from nitrogen fertilisers and whether more disaggregated emission factors for non-urea nitrogen fertilisers are needed (see section 5.5.6)</w:t>
      </w:r>
    </w:p>
    <w:p w14:paraId="4109EC18" w14:textId="77777777" w:rsidR="00994F64" w:rsidRPr="00261B7A" w:rsidRDefault="00994F64" w:rsidP="00994F64">
      <w:pPr>
        <w:pStyle w:val="Bullet"/>
        <w:tabs>
          <w:tab w:val="num" w:pos="567"/>
        </w:tabs>
      </w:pPr>
      <w:r w:rsidRPr="00261B7A">
        <w:t>improving accounting for emissions attributed to venison and velvet from deer (below).</w:t>
      </w:r>
    </w:p>
    <w:p w14:paraId="34B32F02" w14:textId="77777777" w:rsidR="00994F64" w:rsidRPr="00261B7A" w:rsidRDefault="00994F64" w:rsidP="00994F64">
      <w:pPr>
        <w:pStyle w:val="BodyText"/>
        <w:keepNext/>
        <w:rPr>
          <w:rFonts w:cs="Calibri"/>
        </w:rPr>
      </w:pPr>
      <w:r w:rsidRPr="00261B7A">
        <w:rPr>
          <w:rFonts w:cs="Calibri"/>
        </w:rPr>
        <w:t>Longer-term studies (more than one year) include:</w:t>
      </w:r>
    </w:p>
    <w:p w14:paraId="591F34D8" w14:textId="77777777" w:rsidR="00994F64" w:rsidRPr="00261B7A" w:rsidRDefault="00994F64" w:rsidP="00294EC5">
      <w:pPr>
        <w:pStyle w:val="Bullet"/>
        <w:numPr>
          <w:ilvl w:val="0"/>
          <w:numId w:val="24"/>
        </w:numPr>
      </w:pPr>
      <w:r w:rsidRPr="00261B7A">
        <w:t>measuring the CH</w:t>
      </w:r>
      <w:r w:rsidRPr="00261B7A">
        <w:rPr>
          <w:vertAlign w:val="subscript"/>
        </w:rPr>
        <w:t>4</w:t>
      </w:r>
      <w:r w:rsidRPr="00261B7A">
        <w:t xml:space="preserve"> emissions from feed supplemented dairy cows (see section 5.2.6).</w:t>
      </w:r>
    </w:p>
    <w:p w14:paraId="1D3B297F" w14:textId="77777777" w:rsidR="00994F64" w:rsidRPr="00261B7A" w:rsidRDefault="00994F64" w:rsidP="00294EC5">
      <w:pPr>
        <w:pStyle w:val="Bullet"/>
        <w:numPr>
          <w:ilvl w:val="0"/>
          <w:numId w:val="24"/>
        </w:numPr>
      </w:pPr>
      <w:r w:rsidRPr="00261B7A">
        <w:t>determining the impact of pasture having the grass species kikuyu (</w:t>
      </w:r>
      <w:r w:rsidRPr="00261B7A">
        <w:rPr>
          <w:i/>
          <w:iCs/>
        </w:rPr>
        <w:t>Pennisetum clandestinum</w:t>
      </w:r>
      <w:r w:rsidRPr="00261B7A">
        <w:t>) on enteric fermentation emissions (see section 5.2.6)</w:t>
      </w:r>
    </w:p>
    <w:p w14:paraId="01B3BD9D" w14:textId="77777777" w:rsidR="00994F64" w:rsidRPr="00261B7A" w:rsidRDefault="00994F64" w:rsidP="00294EC5">
      <w:pPr>
        <w:pStyle w:val="Bullet"/>
        <w:numPr>
          <w:ilvl w:val="0"/>
          <w:numId w:val="24"/>
        </w:numPr>
      </w:pPr>
      <w:r w:rsidRPr="00261B7A">
        <w:t>undertaking integrative greenhouse gas evaluation of forages (see section 5.2.6)</w:t>
      </w:r>
    </w:p>
    <w:p w14:paraId="677DE6A8" w14:textId="77777777" w:rsidR="00994F64" w:rsidRPr="00261B7A" w:rsidRDefault="00994F64" w:rsidP="00294EC5">
      <w:pPr>
        <w:pStyle w:val="Bullet"/>
        <w:numPr>
          <w:ilvl w:val="0"/>
          <w:numId w:val="24"/>
        </w:numPr>
      </w:pPr>
      <w:r w:rsidRPr="00261B7A">
        <w:t>improving information on feeding practices in dairy farming systems (see section 5.2.6)</w:t>
      </w:r>
    </w:p>
    <w:p w14:paraId="6406A4D5" w14:textId="77777777" w:rsidR="00994F64" w:rsidRPr="00261B7A" w:rsidRDefault="00994F64" w:rsidP="00294EC5">
      <w:pPr>
        <w:pStyle w:val="Bullet"/>
        <w:numPr>
          <w:ilvl w:val="0"/>
          <w:numId w:val="24"/>
        </w:numPr>
      </w:pPr>
      <w:r w:rsidRPr="00261B7A">
        <w:t>updating data on the use of different manure and effluent management systems in New Zealand dairy farms (see section 5.3.6)</w:t>
      </w:r>
    </w:p>
    <w:p w14:paraId="6DEE5C23" w14:textId="77777777" w:rsidR="00994F64" w:rsidRPr="00261B7A" w:rsidRDefault="00994F64" w:rsidP="00294EC5">
      <w:pPr>
        <w:pStyle w:val="Bullet"/>
        <w:numPr>
          <w:ilvl w:val="0"/>
          <w:numId w:val="24"/>
        </w:numPr>
      </w:pPr>
      <w:r w:rsidRPr="00261B7A">
        <w:t>improving organic soils activity data and providing for the implementation of the IPCC 2013 Wetland Supplement (IPCC, 2014) (see section 5.5.6)</w:t>
      </w:r>
    </w:p>
    <w:p w14:paraId="6C51A5F8" w14:textId="77777777" w:rsidR="00994F64" w:rsidRPr="00261B7A" w:rsidRDefault="00994F64" w:rsidP="00294EC5">
      <w:pPr>
        <w:pStyle w:val="Bullet"/>
        <w:numPr>
          <w:ilvl w:val="0"/>
          <w:numId w:val="24"/>
        </w:numPr>
      </w:pPr>
      <w:r w:rsidRPr="00261B7A">
        <w:t>quantifying N</w:t>
      </w:r>
      <w:r w:rsidRPr="00261B7A">
        <w:rPr>
          <w:vertAlign w:val="subscript"/>
        </w:rPr>
        <w:t>2</w:t>
      </w:r>
      <w:r w:rsidRPr="00261B7A">
        <w:t>O emissions from eutrophic lakes as a result of pollution from agricultural runoffs and wastewater discharge (see section 5.5.6)</w:t>
      </w:r>
    </w:p>
    <w:p w14:paraId="135913A8" w14:textId="77777777" w:rsidR="00994F64" w:rsidRPr="00261B7A" w:rsidRDefault="00994F64" w:rsidP="00294EC5">
      <w:pPr>
        <w:pStyle w:val="Bullet"/>
        <w:numPr>
          <w:ilvl w:val="0"/>
          <w:numId w:val="24"/>
        </w:numPr>
      </w:pPr>
      <w:r w:rsidRPr="00261B7A">
        <w:t>increasing measurements of N</w:t>
      </w:r>
      <w:r w:rsidRPr="00261B7A">
        <w:rPr>
          <w:vertAlign w:val="subscript"/>
        </w:rPr>
        <w:t>2</w:t>
      </w:r>
      <w:r w:rsidRPr="00261B7A">
        <w:t>O in spring and summer to develop N</w:t>
      </w:r>
      <w:r w:rsidRPr="00261B7A">
        <w:rPr>
          <w:vertAlign w:val="subscript"/>
        </w:rPr>
        <w:t>2</w:t>
      </w:r>
      <w:r w:rsidRPr="00261B7A">
        <w:t>O emission factors for dung and urine (EF</w:t>
      </w:r>
      <w:r w:rsidRPr="00261B7A">
        <w:rPr>
          <w:vertAlign w:val="subscript"/>
        </w:rPr>
        <w:t>3</w:t>
      </w:r>
      <w:r w:rsidRPr="00261B7A">
        <w:t>), which vary by season (see section 5.5.6)</w:t>
      </w:r>
    </w:p>
    <w:p w14:paraId="5B53D18C" w14:textId="249F03D9" w:rsidR="00994F64" w:rsidRPr="00261B7A" w:rsidRDefault="00994F64" w:rsidP="00294EC5">
      <w:pPr>
        <w:pStyle w:val="Bullet"/>
        <w:numPr>
          <w:ilvl w:val="0"/>
          <w:numId w:val="24"/>
        </w:numPr>
      </w:pPr>
      <w:r w:rsidRPr="00261B7A">
        <w:t>modelling pasture quality data using remote sensing in the form of hyperspectral imaging</w:t>
      </w:r>
      <w:r w:rsidR="004C6C35" w:rsidRPr="00261B7A">
        <w:t> </w:t>
      </w:r>
      <w:r w:rsidRPr="00261B7A">
        <w:t>(below)</w:t>
      </w:r>
    </w:p>
    <w:p w14:paraId="399AC692" w14:textId="77777777" w:rsidR="00994F64" w:rsidRPr="00261B7A" w:rsidRDefault="00994F64" w:rsidP="00294EC5">
      <w:pPr>
        <w:pStyle w:val="Bullet"/>
        <w:numPr>
          <w:ilvl w:val="0"/>
          <w:numId w:val="24"/>
        </w:numPr>
      </w:pPr>
      <w:r w:rsidRPr="00261B7A">
        <w:t>developing a database of greenhouse gas activity data for whenua Māori (below)</w:t>
      </w:r>
    </w:p>
    <w:p w14:paraId="01C0994C" w14:textId="77777777" w:rsidR="00994F64" w:rsidRPr="00261B7A" w:rsidRDefault="00994F64" w:rsidP="00294EC5">
      <w:pPr>
        <w:pStyle w:val="Bullet"/>
        <w:numPr>
          <w:ilvl w:val="0"/>
          <w:numId w:val="24"/>
        </w:numPr>
      </w:pPr>
      <w:r w:rsidRPr="00261B7A">
        <w:t>top-down measuring and modelling of methane emissions as a verification tool (below)</w:t>
      </w:r>
    </w:p>
    <w:p w14:paraId="54C5AC4F" w14:textId="77777777" w:rsidR="00994F64" w:rsidRPr="00261B7A" w:rsidRDefault="00994F64" w:rsidP="00294EC5">
      <w:pPr>
        <w:pStyle w:val="Bullet"/>
        <w:numPr>
          <w:ilvl w:val="0"/>
          <w:numId w:val="24"/>
        </w:numPr>
      </w:pPr>
      <w:r w:rsidRPr="00261B7A">
        <w:t xml:space="preserve">continuing work to improve activity data, including through the annual collection of agricultural data by Stats NZ. </w:t>
      </w:r>
    </w:p>
    <w:p w14:paraId="3E703947" w14:textId="77777777" w:rsidR="00994F64" w:rsidRPr="00261B7A" w:rsidRDefault="00994F64" w:rsidP="00994F64">
      <w:pPr>
        <w:pStyle w:val="BodyText"/>
      </w:pPr>
      <w:r w:rsidRPr="00261B7A">
        <w:t xml:space="preserve">New Zealand also intends to review the recent publication of the </w:t>
      </w:r>
      <w:r w:rsidRPr="00261B7A">
        <w:rPr>
          <w:i/>
          <w:iCs/>
        </w:rPr>
        <w:t>2019 Refinement to the 2006 IPCC Guidelines for National Greenhouse Gas Inventories</w:t>
      </w:r>
      <w:r w:rsidRPr="00261B7A">
        <w:t xml:space="preserve"> (IPCC, 2019), and investigate changes to methodology and emission factors for Agriculture, where appropriate. Ongoing research into organic soils is being conducted with the aim of enabling the implementation of the IPCC 2013 Wetland Supplement</w:t>
      </w:r>
      <w:r w:rsidRPr="00261B7A">
        <w:rPr>
          <w:i/>
          <w:iCs/>
        </w:rPr>
        <w:t xml:space="preserve"> </w:t>
      </w:r>
      <w:r w:rsidRPr="00261B7A">
        <w:t>(IPCC, 2014).</w:t>
      </w:r>
    </w:p>
    <w:p w14:paraId="72523CD2" w14:textId="77777777" w:rsidR="00994F64" w:rsidRPr="00261B7A" w:rsidRDefault="00994F64" w:rsidP="00994F64">
      <w:pPr>
        <w:pStyle w:val="BodyText"/>
        <w:rPr>
          <w:rFonts w:cs="Calibri"/>
        </w:rPr>
      </w:pPr>
      <w:r w:rsidRPr="00261B7A">
        <w:rPr>
          <w:rFonts w:cs="Calibri"/>
        </w:rPr>
        <w:t>Some of these potential improvements cover multiple categories of the Agriculture inventory and are described further below. The remaining improvements relate only to a single Agriculture inventory category and are discussed in further detail in the relevant planned improvement sections 5.2.6 (</w:t>
      </w:r>
      <w:r w:rsidRPr="00261B7A">
        <w:rPr>
          <w:rFonts w:cs="Calibri"/>
          <w:i/>
          <w:iCs/>
        </w:rPr>
        <w:t xml:space="preserve">Enteric fermentation </w:t>
      </w:r>
      <w:r w:rsidRPr="00261B7A">
        <w:rPr>
          <w:rFonts w:cs="Calibri"/>
        </w:rPr>
        <w:t>(CRF 3.A)), 5.3.6 (</w:t>
      </w:r>
      <w:r w:rsidRPr="00261B7A">
        <w:rPr>
          <w:rFonts w:cs="Calibri"/>
          <w:i/>
        </w:rPr>
        <w:t>Manure management</w:t>
      </w:r>
      <w:r w:rsidRPr="00261B7A">
        <w:rPr>
          <w:rFonts w:cs="Calibri"/>
        </w:rPr>
        <w:t xml:space="preserve"> (CRF 3.B)) and 5.5.6 (</w:t>
      </w:r>
      <w:r w:rsidRPr="00261B7A">
        <w:rPr>
          <w:rFonts w:cs="Calibri"/>
          <w:i/>
        </w:rPr>
        <w:t>Agricultural soils</w:t>
      </w:r>
      <w:r w:rsidRPr="00261B7A">
        <w:rPr>
          <w:rFonts w:cs="Calibri"/>
        </w:rPr>
        <w:t xml:space="preserve"> (CRF 3.D)). </w:t>
      </w:r>
    </w:p>
    <w:p w14:paraId="57F430EF" w14:textId="77777777" w:rsidR="00994F64" w:rsidRPr="00261B7A" w:rsidRDefault="00994F64" w:rsidP="00994F64">
      <w:pPr>
        <w:pStyle w:val="Heading5"/>
        <w:rPr>
          <w:rFonts w:cs="Calibri"/>
        </w:rPr>
      </w:pPr>
      <w:r w:rsidRPr="00261B7A">
        <w:rPr>
          <w:rFonts w:cs="Calibri"/>
        </w:rPr>
        <w:t>Remote sensing of pasture data</w:t>
      </w:r>
    </w:p>
    <w:p w14:paraId="4E062959" w14:textId="77777777" w:rsidR="00994F64" w:rsidRPr="00261B7A" w:rsidRDefault="00994F64" w:rsidP="00994F64">
      <w:pPr>
        <w:pStyle w:val="BodyText"/>
        <w:rPr>
          <w:rFonts w:cs="Calibri"/>
        </w:rPr>
      </w:pPr>
      <w:r w:rsidRPr="00261B7A">
        <w:rPr>
          <w:rFonts w:cs="Calibri"/>
        </w:rPr>
        <w:t>This project will seek to use remote sensing technologies to estimate pasture quality (i.e., metabolisable energy, N content and digestibility). Physical sampling of sites is expensive and time consuming, and limits the amount of comprehensive farm-scale data that are available through New Zealand. Through the use of airborne hyperspectral imaging, this project will undertake a proof-of-concept to illustrate efficacy of mapping farm-scale pasture quality data compared with traditional methods.</w:t>
      </w:r>
    </w:p>
    <w:p w14:paraId="5D6D2415" w14:textId="77777777" w:rsidR="00994F64" w:rsidRPr="00261B7A" w:rsidRDefault="00994F64" w:rsidP="00994F64">
      <w:pPr>
        <w:pStyle w:val="Heading5"/>
      </w:pPr>
      <w:r w:rsidRPr="00261B7A">
        <w:t>Splitting emissions between venison and velvet in the deer industry</w:t>
      </w:r>
    </w:p>
    <w:p w14:paraId="3F0E10EC" w14:textId="77777777" w:rsidR="00994F64" w:rsidRPr="00261B7A" w:rsidRDefault="00994F64" w:rsidP="00994F64">
      <w:pPr>
        <w:pStyle w:val="BodyText"/>
      </w:pPr>
      <w:r w:rsidRPr="00261B7A">
        <w:rPr>
          <w:rFonts w:cs="Calibri"/>
        </w:rPr>
        <w:t>Current</w:t>
      </w:r>
      <w:r w:rsidRPr="00261B7A">
        <w:t xml:space="preserve"> deer industry emissions intensity values attribute all greenhouse gas emissions to venison production. Population statistics suggest that between 25 per cent and 35 per cent of the current deer population now directly supports velvet production. This project will conduct a population-based study, including reassessment of liveweight of various stock classes, and develop a methodology to allocate deer industry emissions to the production of velvet and venison.</w:t>
      </w:r>
    </w:p>
    <w:p w14:paraId="19ABF8AA" w14:textId="77777777" w:rsidR="00994F64" w:rsidRPr="00261B7A" w:rsidRDefault="00994F64" w:rsidP="00994F64">
      <w:pPr>
        <w:pStyle w:val="Heading5"/>
        <w:rPr>
          <w:rFonts w:cs="Calibri"/>
        </w:rPr>
      </w:pPr>
      <w:r w:rsidRPr="00261B7A">
        <w:rPr>
          <w:rFonts w:cs="Calibri"/>
        </w:rPr>
        <w:t>Greenhous gas activity data for whenua Māori</w:t>
      </w:r>
    </w:p>
    <w:p w14:paraId="756F5DCF" w14:textId="77777777" w:rsidR="00994F64" w:rsidRPr="00261B7A" w:rsidRDefault="00994F64" w:rsidP="00994F64">
      <w:pPr>
        <w:pStyle w:val="BodyText"/>
        <w:rPr>
          <w:rFonts w:cs="Calibri"/>
        </w:rPr>
      </w:pPr>
      <w:r w:rsidRPr="00261B7A">
        <w:rPr>
          <w:rFonts w:cs="Calibri"/>
        </w:rPr>
        <w:t>This project will work to develop a database of activity and emission data</w:t>
      </w:r>
      <w:r w:rsidRPr="00261B7A">
        <w:t xml:space="preserve"> for </w:t>
      </w:r>
      <w:r w:rsidRPr="00261B7A">
        <w:rPr>
          <w:rFonts w:cs="Calibri"/>
        </w:rPr>
        <w:t>whenua Māori (Māori land). Māori have significant</w:t>
      </w:r>
      <w:r w:rsidRPr="00261B7A">
        <w:t xml:space="preserve"> agricultural </w:t>
      </w:r>
      <w:r w:rsidRPr="00261B7A">
        <w:rPr>
          <w:rFonts w:cs="Calibri"/>
        </w:rPr>
        <w:t xml:space="preserve">interests across New Zealand and current calculations of emissions are applied across the country, irrespective of land ownership and management differences. This will allow New Zealand to more accurately account for agricultural greenhouse gas emissions at a national level, while also helping to understand the implications of domestic policies on Māori land owners. </w:t>
      </w:r>
    </w:p>
    <w:p w14:paraId="4C6EB60D" w14:textId="77777777" w:rsidR="00994F64" w:rsidRPr="00261B7A" w:rsidRDefault="00994F64" w:rsidP="00994F64">
      <w:pPr>
        <w:pStyle w:val="Heading5"/>
        <w:rPr>
          <w:rFonts w:cs="Calibri"/>
        </w:rPr>
      </w:pPr>
      <w:r w:rsidRPr="00261B7A">
        <w:rPr>
          <w:rFonts w:cs="Calibri"/>
        </w:rPr>
        <w:t>Top-down modelling of methane emissions as a verification tool</w:t>
      </w:r>
    </w:p>
    <w:p w14:paraId="4E4AE145" w14:textId="77777777" w:rsidR="00994F64" w:rsidRPr="00261B7A" w:rsidRDefault="00994F64" w:rsidP="00994F64">
      <w:pPr>
        <w:pStyle w:val="BodyText"/>
        <w:rPr>
          <w:rFonts w:cs="Calibri"/>
        </w:rPr>
      </w:pPr>
      <w:r w:rsidRPr="00261B7A">
        <w:rPr>
          <w:rFonts w:cs="Calibri"/>
        </w:rPr>
        <w:t>Accurate and regular reporting of CH</w:t>
      </w:r>
      <w:r w:rsidRPr="00261B7A">
        <w:rPr>
          <w:rFonts w:cs="Calibri"/>
          <w:vertAlign w:val="subscript"/>
        </w:rPr>
        <w:t>4</w:t>
      </w:r>
      <w:r w:rsidRPr="00261B7A">
        <w:rPr>
          <w:rFonts w:cs="Calibri"/>
        </w:rPr>
        <w:t xml:space="preserve"> is vital to New Zealand’s efforts to monitor and reduce anthropogenic greenhouse gas emissions. This research aims to provide regular reporting of regional CH</w:t>
      </w:r>
      <w:r w:rsidRPr="00261B7A">
        <w:rPr>
          <w:rFonts w:cs="Calibri"/>
          <w:vertAlign w:val="subscript"/>
        </w:rPr>
        <w:t xml:space="preserve">4 </w:t>
      </w:r>
      <w:r w:rsidRPr="00261B7A">
        <w:rPr>
          <w:rFonts w:cs="Calibri"/>
        </w:rPr>
        <w:t>emissions using both ground-based observations and observations from satellites. This will be valuable as a verification tool for the current bottom-up methodology, while also providing a more up-to-date reporting mechanism that could be provided to other stakeholders across New Zealand.</w:t>
      </w:r>
    </w:p>
    <w:p w14:paraId="29B0F806" w14:textId="77777777" w:rsidR="00994F64" w:rsidRPr="00261B7A" w:rsidRDefault="00994F64" w:rsidP="00994F64">
      <w:pPr>
        <w:pStyle w:val="Heading2"/>
      </w:pPr>
      <w:bookmarkStart w:id="719" w:name="_Toc352504860"/>
      <w:bookmarkStart w:id="720" w:name="_Toc448321523"/>
      <w:bookmarkStart w:id="721" w:name="_Toc481751385"/>
      <w:bookmarkStart w:id="722" w:name="_Toc511116600"/>
      <w:bookmarkStart w:id="723" w:name="_Toc5269362"/>
      <w:bookmarkStart w:id="724" w:name="_Toc32570650"/>
      <w:bookmarkStart w:id="725" w:name="_Toc36224402"/>
      <w:bookmarkStart w:id="726" w:name="_Toc68786322"/>
      <w:bookmarkStart w:id="727" w:name="_Toc131591237"/>
      <w:r w:rsidRPr="00261B7A">
        <w:t>5.2</w:t>
      </w:r>
      <w:r w:rsidRPr="00261B7A">
        <w:tab/>
        <w:t>Enteric fermentation (CRF 3.A)</w:t>
      </w:r>
      <w:bookmarkEnd w:id="719"/>
      <w:bookmarkEnd w:id="720"/>
      <w:bookmarkEnd w:id="721"/>
      <w:bookmarkEnd w:id="722"/>
      <w:bookmarkEnd w:id="723"/>
      <w:bookmarkEnd w:id="724"/>
      <w:bookmarkEnd w:id="725"/>
      <w:bookmarkEnd w:id="726"/>
      <w:bookmarkEnd w:id="727"/>
    </w:p>
    <w:p w14:paraId="0527BD7F" w14:textId="77777777" w:rsidR="00994F64" w:rsidRPr="00261B7A" w:rsidRDefault="00994F64" w:rsidP="00994F64">
      <w:pPr>
        <w:pStyle w:val="Heading3"/>
        <w:spacing w:before="240"/>
      </w:pPr>
      <w:bookmarkStart w:id="728" w:name="_Toc139253917"/>
      <w:bookmarkStart w:id="729" w:name="_Toc32570651"/>
      <w:r w:rsidRPr="00261B7A">
        <w:t>5.2.1</w:t>
      </w:r>
      <w:r w:rsidRPr="00261B7A">
        <w:tab/>
        <w:t>Description</w:t>
      </w:r>
      <w:bookmarkEnd w:id="728"/>
      <w:bookmarkEnd w:id="729"/>
    </w:p>
    <w:p w14:paraId="609D7745" w14:textId="77777777" w:rsidR="00994F64" w:rsidRPr="00261B7A" w:rsidRDefault="00994F64" w:rsidP="00994F64">
      <w:pPr>
        <w:pStyle w:val="BodyText"/>
        <w:spacing w:before="100"/>
        <w:rPr>
          <w:rFonts w:cs="Calibri"/>
        </w:rPr>
      </w:pPr>
      <w:r w:rsidRPr="00261B7A">
        <w:rPr>
          <w:rFonts w:cs="Calibri"/>
        </w:rPr>
        <w:t>Methane is produced predominantly by ruminants as a by-product of enteric fermentation, which is the digestive process that breaks down consumed plant material in the rumen under anaerobic conditions. A portion of the plant material is fermented in the rumen to simple fatty acids, hydrogen, CO</w:t>
      </w:r>
      <w:r w:rsidRPr="00261B7A">
        <w:rPr>
          <w:rFonts w:cs="Calibri"/>
          <w:vertAlign w:val="subscript"/>
        </w:rPr>
        <w:t>2</w:t>
      </w:r>
      <w:r w:rsidRPr="00261B7A">
        <w:rPr>
          <w:rFonts w:cs="Calibri"/>
        </w:rPr>
        <w:t xml:space="preserve"> and CH</w:t>
      </w:r>
      <w:r w:rsidRPr="00261B7A">
        <w:rPr>
          <w:rFonts w:cs="Calibri"/>
          <w:vertAlign w:val="subscript"/>
        </w:rPr>
        <w:t>4</w:t>
      </w:r>
      <w:r w:rsidRPr="00261B7A">
        <w:rPr>
          <w:rFonts w:cs="Calibri"/>
        </w:rPr>
        <w:t>. The gases from this process are released by eructation (burping) and exhalation by the animal. The amount of CH</w:t>
      </w:r>
      <w:r w:rsidRPr="00261B7A">
        <w:rPr>
          <w:rFonts w:cs="Calibri"/>
          <w:vertAlign w:val="subscript"/>
        </w:rPr>
        <w:t>4</w:t>
      </w:r>
      <w:r w:rsidRPr="00261B7A">
        <w:rPr>
          <w:rFonts w:cs="Calibri"/>
        </w:rPr>
        <w:t xml:space="preserve"> released is dependent on the type, quality and quantity of feed consumed, and energy expenditure of the animal. Energy expenditure depends on the type, age, weight, health and production of the animal, as well as whether the animal is pregnant (and the stage of pregnancy).</w:t>
      </w:r>
    </w:p>
    <w:p w14:paraId="13F56C82" w14:textId="77777777" w:rsidR="00994F64" w:rsidRPr="00261B7A" w:rsidRDefault="00994F64" w:rsidP="00994F64">
      <w:pPr>
        <w:pStyle w:val="BodyText"/>
      </w:pPr>
      <w:r w:rsidRPr="00261B7A">
        <w:t xml:space="preserve">Methane emissions from the </w:t>
      </w:r>
      <w:r w:rsidRPr="00261B7A">
        <w:rPr>
          <w:i/>
          <w:iCs/>
        </w:rPr>
        <w:t>Enteric fermentation</w:t>
      </w:r>
      <w:r w:rsidRPr="00261B7A">
        <w:t xml:space="preserve"> category from </w:t>
      </w:r>
      <w:r w:rsidRPr="00261B7A">
        <w:rPr>
          <w:i/>
          <w:iCs/>
        </w:rPr>
        <w:t>Dairy</w:t>
      </w:r>
      <w:r w:rsidRPr="00261B7A">
        <w:rPr>
          <w:i/>
        </w:rPr>
        <w:t xml:space="preserve"> cattle, </w:t>
      </w:r>
      <w:r w:rsidRPr="00261B7A">
        <w:rPr>
          <w:i/>
          <w:iCs/>
        </w:rPr>
        <w:t xml:space="preserve">Non-dairy </w:t>
      </w:r>
      <w:r w:rsidRPr="00261B7A">
        <w:t xml:space="preserve">(beef) </w:t>
      </w:r>
      <w:r w:rsidRPr="00261B7A">
        <w:rPr>
          <w:i/>
        </w:rPr>
        <w:t xml:space="preserve">cattle </w:t>
      </w:r>
      <w:r w:rsidRPr="00261B7A">
        <w:t xml:space="preserve">and </w:t>
      </w:r>
      <w:r w:rsidRPr="00261B7A">
        <w:rPr>
          <w:i/>
          <w:iCs/>
        </w:rPr>
        <w:t>Sheep</w:t>
      </w:r>
      <w:r w:rsidRPr="00261B7A">
        <w:t xml:space="preserve"> were identified as among the largest key categories for New Zealand in the 2021 level assessment, and were also assessed as key categories in the trend assessment. The </w:t>
      </w:r>
      <w:r w:rsidRPr="00261B7A">
        <w:rPr>
          <w:i/>
          <w:iCs/>
        </w:rPr>
        <w:t>Enteric fermentation</w:t>
      </w:r>
      <w:r w:rsidRPr="00261B7A">
        <w:t xml:space="preserve"> category from deer was also assessed as an additional key category in the level assessment, and the </w:t>
      </w:r>
      <w:r w:rsidRPr="00261B7A">
        <w:rPr>
          <w:i/>
          <w:iCs/>
        </w:rPr>
        <w:t>Enteric fermentation</w:t>
      </w:r>
      <w:r w:rsidRPr="00261B7A">
        <w:t xml:space="preserve"> category from goats as an additional key category in the trend assessment. The methodology used by New Zealand for calculating CH</w:t>
      </w:r>
      <w:r w:rsidRPr="00261B7A">
        <w:rPr>
          <w:vertAlign w:val="subscript"/>
        </w:rPr>
        <w:t>4</w:t>
      </w:r>
      <w:r w:rsidRPr="00261B7A">
        <w:t xml:space="preserve"> emissions from enteric fermentation in domestic livestock is a Tier 2 modelling approach. </w:t>
      </w:r>
    </w:p>
    <w:p w14:paraId="495073EB" w14:textId="77777777" w:rsidR="00994F64" w:rsidRPr="00261B7A" w:rsidRDefault="00994F64" w:rsidP="00994F64">
      <w:pPr>
        <w:pStyle w:val="BodyText"/>
        <w:spacing w:before="100" w:after="100"/>
        <w:rPr>
          <w:rFonts w:cs="Calibri"/>
        </w:rPr>
      </w:pPr>
      <w:r w:rsidRPr="00261B7A">
        <w:rPr>
          <w:rFonts w:cs="Calibri"/>
          <w:i/>
          <w:iCs/>
        </w:rPr>
        <w:t>Enteric fermentation</w:t>
      </w:r>
      <w:r w:rsidRPr="00261B7A">
        <w:rPr>
          <w:rFonts w:cs="Calibri"/>
        </w:rPr>
        <w:t xml:space="preserve"> contributed an estimated 27,859.0 kt CO</w:t>
      </w:r>
      <w:r w:rsidRPr="00261B7A">
        <w:rPr>
          <w:rFonts w:cs="Calibri"/>
          <w:vertAlign w:val="subscript"/>
        </w:rPr>
        <w:t>2</w:t>
      </w:r>
      <w:r w:rsidRPr="00261B7A">
        <w:rPr>
          <w:rFonts w:cs="Calibri"/>
        </w:rPr>
        <w:t xml:space="preserve">-e, representing 36.3 per cent of New Zealand’s gross emissions and 73.7 per cent of Agriculture emissions in 2021. The major livestock categories contributing to </w:t>
      </w:r>
      <w:r w:rsidRPr="00261B7A">
        <w:rPr>
          <w:rFonts w:cs="Calibri"/>
          <w:i/>
          <w:iCs/>
        </w:rPr>
        <w:t>Enteric fermentation</w:t>
      </w:r>
      <w:r w:rsidRPr="00261B7A">
        <w:rPr>
          <w:rFonts w:cs="Calibri"/>
        </w:rPr>
        <w:t xml:space="preserve"> are:</w:t>
      </w:r>
    </w:p>
    <w:p w14:paraId="2E7BDD28" w14:textId="77777777" w:rsidR="00994F64" w:rsidRPr="00261B7A" w:rsidRDefault="00994F64" w:rsidP="00294EC5">
      <w:pPr>
        <w:pStyle w:val="Bullet"/>
        <w:numPr>
          <w:ilvl w:val="0"/>
          <w:numId w:val="24"/>
        </w:numPr>
      </w:pPr>
      <w:r w:rsidRPr="00261B7A">
        <w:rPr>
          <w:i/>
          <w:iCs/>
        </w:rPr>
        <w:t>Dairy cattle</w:t>
      </w:r>
      <w:r w:rsidRPr="00261B7A">
        <w:t xml:space="preserve"> (48.0 per cent of </w:t>
      </w:r>
      <w:r w:rsidRPr="00261B7A">
        <w:rPr>
          <w:i/>
          <w:iCs/>
        </w:rPr>
        <w:t>Enteric fermentation</w:t>
      </w:r>
      <w:r w:rsidRPr="00261B7A">
        <w:t>)</w:t>
      </w:r>
    </w:p>
    <w:p w14:paraId="60E018C0" w14:textId="77777777" w:rsidR="00994F64" w:rsidRPr="00261B7A" w:rsidRDefault="00994F64" w:rsidP="00294EC5">
      <w:pPr>
        <w:pStyle w:val="Bullet"/>
        <w:numPr>
          <w:ilvl w:val="0"/>
          <w:numId w:val="24"/>
        </w:numPr>
      </w:pPr>
      <w:r w:rsidRPr="00261B7A">
        <w:rPr>
          <w:i/>
          <w:iCs/>
        </w:rPr>
        <w:t>Sheep</w:t>
      </w:r>
      <w:r w:rsidRPr="00261B7A">
        <w:t xml:space="preserve"> (28.8 per cent of </w:t>
      </w:r>
      <w:r w:rsidRPr="00261B7A">
        <w:rPr>
          <w:i/>
          <w:iCs/>
        </w:rPr>
        <w:t>Enteric fermentation</w:t>
      </w:r>
      <w:r w:rsidRPr="00261B7A">
        <w:t>)</w:t>
      </w:r>
    </w:p>
    <w:p w14:paraId="10227A0F" w14:textId="77777777" w:rsidR="00994F64" w:rsidRPr="00261B7A" w:rsidRDefault="00994F64" w:rsidP="00294EC5">
      <w:pPr>
        <w:pStyle w:val="Bullet"/>
        <w:numPr>
          <w:ilvl w:val="0"/>
          <w:numId w:val="24"/>
        </w:numPr>
      </w:pPr>
      <w:r w:rsidRPr="00261B7A">
        <w:rPr>
          <w:i/>
          <w:iCs/>
        </w:rPr>
        <w:t xml:space="preserve">Non-dairy </w:t>
      </w:r>
      <w:r w:rsidRPr="00261B7A">
        <w:t xml:space="preserve">(beef) </w:t>
      </w:r>
      <w:r w:rsidRPr="00261B7A">
        <w:rPr>
          <w:i/>
          <w:iCs/>
        </w:rPr>
        <w:t>cattle</w:t>
      </w:r>
      <w:r w:rsidRPr="00261B7A">
        <w:t xml:space="preserve"> (21.3 per cent of </w:t>
      </w:r>
      <w:r w:rsidRPr="00261B7A">
        <w:rPr>
          <w:i/>
          <w:iCs/>
        </w:rPr>
        <w:t>Enteric fermentation</w:t>
      </w:r>
      <w:r w:rsidRPr="00261B7A">
        <w:t>)</w:t>
      </w:r>
    </w:p>
    <w:p w14:paraId="15B1520A" w14:textId="77777777" w:rsidR="00994F64" w:rsidRPr="00261B7A" w:rsidRDefault="00994F64" w:rsidP="00294EC5">
      <w:pPr>
        <w:pStyle w:val="Bullet"/>
        <w:numPr>
          <w:ilvl w:val="0"/>
          <w:numId w:val="24"/>
        </w:numPr>
      </w:pPr>
      <w:r w:rsidRPr="00261B7A">
        <w:rPr>
          <w:i/>
          <w:iCs/>
        </w:rPr>
        <w:t>Deer</w:t>
      </w:r>
      <w:r w:rsidRPr="00261B7A">
        <w:t xml:space="preserve"> (1.7 per cent of </w:t>
      </w:r>
      <w:r w:rsidRPr="00261B7A">
        <w:rPr>
          <w:i/>
          <w:iCs/>
        </w:rPr>
        <w:t>Enteric fermentation</w:t>
      </w:r>
      <w:r w:rsidRPr="00261B7A">
        <w:t>).</w:t>
      </w:r>
    </w:p>
    <w:p w14:paraId="4EA51323" w14:textId="77777777" w:rsidR="00994F64" w:rsidRPr="00261B7A" w:rsidRDefault="00994F64" w:rsidP="00994F64">
      <w:pPr>
        <w:pStyle w:val="Heading5"/>
        <w:rPr>
          <w:rFonts w:cs="Calibri"/>
        </w:rPr>
      </w:pPr>
      <w:r w:rsidRPr="00261B7A">
        <w:rPr>
          <w:rFonts w:cs="Calibri"/>
        </w:rPr>
        <w:t>Trends</w:t>
      </w:r>
    </w:p>
    <w:p w14:paraId="2DDC06D3" w14:textId="77777777" w:rsidR="00994F64" w:rsidRPr="00261B7A" w:rsidRDefault="00994F64" w:rsidP="00994F64">
      <w:pPr>
        <w:pStyle w:val="BodyText"/>
        <w:rPr>
          <w:rFonts w:cs="Calibri"/>
        </w:rPr>
      </w:pPr>
      <w:r w:rsidRPr="00261B7A">
        <w:rPr>
          <w:rFonts w:cs="Calibri"/>
        </w:rPr>
        <w:t xml:space="preserve">Emissions from </w:t>
      </w:r>
      <w:r w:rsidRPr="00261B7A">
        <w:rPr>
          <w:rFonts w:cs="Calibri"/>
          <w:i/>
          <w:iCs/>
        </w:rPr>
        <w:t xml:space="preserve">Enteric fermentation </w:t>
      </w:r>
      <w:r w:rsidRPr="00261B7A">
        <w:rPr>
          <w:rFonts w:cs="Calibri"/>
        </w:rPr>
        <w:t>increased 3.3 per cent (898.6 kt CO</w:t>
      </w:r>
      <w:r w:rsidRPr="00261B7A">
        <w:rPr>
          <w:rFonts w:cs="Calibri"/>
          <w:vertAlign w:val="subscript"/>
        </w:rPr>
        <w:t>2</w:t>
      </w:r>
      <w:r w:rsidRPr="00261B7A">
        <w:rPr>
          <w:rFonts w:cs="Calibri"/>
        </w:rPr>
        <w:t xml:space="preserve">-e) between 1990 and 2021. Since 1990, there have been changes in the relative sources of emissions within the </w:t>
      </w:r>
      <w:r w:rsidRPr="00261B7A">
        <w:rPr>
          <w:rFonts w:cs="Calibri"/>
          <w:i/>
          <w:iCs/>
        </w:rPr>
        <w:t>Enteric fermentation</w:t>
      </w:r>
      <w:r w:rsidRPr="00261B7A">
        <w:rPr>
          <w:rFonts w:cs="Calibri"/>
        </w:rPr>
        <w:t xml:space="preserve"> category (see table 5.2.1). Large increases in CH</w:t>
      </w:r>
      <w:r w:rsidRPr="00261B7A">
        <w:rPr>
          <w:rFonts w:cs="Calibri"/>
          <w:vertAlign w:val="subscript"/>
        </w:rPr>
        <w:t>4</w:t>
      </w:r>
      <w:r w:rsidRPr="00261B7A">
        <w:rPr>
          <w:rFonts w:cs="Calibri"/>
        </w:rPr>
        <w:t xml:space="preserve"> emissions from </w:t>
      </w:r>
      <w:r w:rsidRPr="00261B7A">
        <w:rPr>
          <w:rFonts w:cs="Calibri"/>
          <w:i/>
          <w:iCs/>
        </w:rPr>
        <w:t>Dairy cattle</w:t>
      </w:r>
      <w:r w:rsidRPr="00261B7A">
        <w:rPr>
          <w:rFonts w:cs="Calibri"/>
        </w:rPr>
        <w:t xml:space="preserve"> (122.6 per cent increase in </w:t>
      </w:r>
      <w:r w:rsidRPr="00261B7A">
        <w:rPr>
          <w:rFonts w:cs="Calibri"/>
          <w:i/>
          <w:iCs/>
        </w:rPr>
        <w:t>Enteric fermentation</w:t>
      </w:r>
      <w:r w:rsidRPr="00261B7A">
        <w:rPr>
          <w:rFonts w:cs="Calibri"/>
        </w:rPr>
        <w:t xml:space="preserve"> emissions between 1990 and 2021) have been partially offset by decreases in emissions from </w:t>
      </w:r>
      <w:r w:rsidRPr="00261B7A">
        <w:rPr>
          <w:rFonts w:cs="Calibri"/>
          <w:i/>
          <w:iCs/>
        </w:rPr>
        <w:t>Non-dairy</w:t>
      </w:r>
      <w:r w:rsidRPr="00261B7A">
        <w:rPr>
          <w:rFonts w:cs="Calibri"/>
        </w:rPr>
        <w:t xml:space="preserve"> (beef) </w:t>
      </w:r>
      <w:r w:rsidRPr="00261B7A">
        <w:rPr>
          <w:rFonts w:cs="Calibri"/>
          <w:i/>
          <w:iCs/>
        </w:rPr>
        <w:t>cattle</w:t>
      </w:r>
      <w:r w:rsidRPr="00261B7A">
        <w:rPr>
          <w:rFonts w:cs="Calibri"/>
        </w:rPr>
        <w:t xml:space="preserve">, </w:t>
      </w:r>
      <w:r w:rsidRPr="00261B7A">
        <w:rPr>
          <w:rFonts w:cs="Calibri"/>
          <w:i/>
          <w:iCs/>
        </w:rPr>
        <w:t>Sheep</w:t>
      </w:r>
      <w:r w:rsidRPr="00261B7A">
        <w:rPr>
          <w:rFonts w:cs="Calibri"/>
        </w:rPr>
        <w:t xml:space="preserve"> and minor livestock species, such as </w:t>
      </w:r>
      <w:r w:rsidRPr="00261B7A">
        <w:rPr>
          <w:rFonts w:cs="Calibri"/>
          <w:i/>
          <w:iCs/>
        </w:rPr>
        <w:t>Goats</w:t>
      </w:r>
      <w:r w:rsidRPr="00261B7A">
        <w:rPr>
          <w:rFonts w:cs="Calibri"/>
        </w:rPr>
        <w:t xml:space="preserve">, </w:t>
      </w:r>
      <w:r w:rsidRPr="00261B7A">
        <w:rPr>
          <w:rFonts w:cs="Calibri"/>
          <w:i/>
          <w:iCs/>
        </w:rPr>
        <w:t>Horses</w:t>
      </w:r>
      <w:r w:rsidRPr="00261B7A">
        <w:rPr>
          <w:rFonts w:cs="Calibri"/>
        </w:rPr>
        <w:t xml:space="preserve"> and </w:t>
      </w:r>
      <w:r w:rsidRPr="00261B7A">
        <w:rPr>
          <w:rFonts w:cs="Calibri"/>
          <w:i/>
          <w:iCs/>
        </w:rPr>
        <w:t>Swine</w:t>
      </w:r>
      <w:r w:rsidRPr="00261B7A">
        <w:rPr>
          <w:rFonts w:cs="Calibri"/>
        </w:rPr>
        <w:t>.</w:t>
      </w:r>
    </w:p>
    <w:p w14:paraId="6CFE8FB6" w14:textId="77777777" w:rsidR="00994F64" w:rsidRPr="00261B7A" w:rsidRDefault="00994F64" w:rsidP="00994F64">
      <w:pPr>
        <w:pStyle w:val="Table"/>
        <w:tabs>
          <w:tab w:val="left" w:pos="709"/>
        </w:tabs>
        <w:rPr>
          <w:rFonts w:cs="Calibri"/>
        </w:rPr>
      </w:pPr>
      <w:bookmarkStart w:id="730" w:name="_Toc441830868"/>
      <w:bookmarkStart w:id="731" w:name="_Toc451176082"/>
      <w:bookmarkStart w:id="732" w:name="_Toc481751508"/>
      <w:bookmarkStart w:id="733" w:name="_Toc507158598"/>
      <w:bookmarkStart w:id="734" w:name="_Toc511116732"/>
      <w:bookmarkStart w:id="735" w:name="_Toc5269472"/>
      <w:bookmarkStart w:id="736" w:name="_Toc32570913"/>
      <w:bookmarkStart w:id="737" w:name="_Toc36224548"/>
      <w:bookmarkStart w:id="738" w:name="_Toc68786434"/>
      <w:bookmarkStart w:id="739" w:name="_Toc95574069"/>
      <w:bookmarkStart w:id="740" w:name="_Toc127458252"/>
      <w:bookmarkStart w:id="741" w:name="_Toc131591348"/>
      <w:bookmarkStart w:id="742" w:name="_Toc139253918"/>
      <w:r w:rsidRPr="00261B7A">
        <w:rPr>
          <w:rFonts w:cs="Calibri"/>
        </w:rPr>
        <w:t>Table 5.2.1</w:t>
      </w:r>
      <w:r w:rsidRPr="00261B7A">
        <w:rPr>
          <w:rFonts w:cs="Calibri"/>
        </w:rPr>
        <w:tab/>
        <w:t>Trends and relative contribution of enteric fermentation (methane expressed in kt CO</w:t>
      </w:r>
      <w:r w:rsidRPr="00261B7A">
        <w:rPr>
          <w:rFonts w:cs="Calibri"/>
          <w:vertAlign w:val="subscript"/>
        </w:rPr>
        <w:t>2</w:t>
      </w:r>
      <w:r w:rsidRPr="00261B7A">
        <w:rPr>
          <w:rFonts w:cs="Calibri"/>
        </w:rPr>
        <w:t xml:space="preserve">-e) from livestock categories between 1990 and </w:t>
      </w:r>
      <w:bookmarkEnd w:id="730"/>
      <w:bookmarkEnd w:id="731"/>
      <w:bookmarkEnd w:id="732"/>
      <w:bookmarkEnd w:id="733"/>
      <w:bookmarkEnd w:id="734"/>
      <w:bookmarkEnd w:id="735"/>
      <w:bookmarkEnd w:id="736"/>
      <w:bookmarkEnd w:id="737"/>
      <w:bookmarkEnd w:id="738"/>
      <w:r w:rsidRPr="00261B7A">
        <w:rPr>
          <w:rFonts w:cs="Calibri"/>
        </w:rPr>
        <w:t>202</w:t>
      </w:r>
      <w:bookmarkEnd w:id="739"/>
      <w:r w:rsidRPr="00261B7A">
        <w:rPr>
          <w:rFonts w:cs="Calibri"/>
        </w:rPr>
        <w:t>1</w:t>
      </w:r>
      <w:bookmarkEnd w:id="740"/>
      <w:bookmarkEnd w:id="741"/>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4A0" w:firstRow="1" w:lastRow="0" w:firstColumn="1" w:lastColumn="0" w:noHBand="0" w:noVBand="1"/>
      </w:tblPr>
      <w:tblGrid>
        <w:gridCol w:w="1638"/>
        <w:gridCol w:w="792"/>
        <w:gridCol w:w="848"/>
        <w:gridCol w:w="755"/>
        <w:gridCol w:w="799"/>
        <w:gridCol w:w="989"/>
        <w:gridCol w:w="989"/>
        <w:gridCol w:w="837"/>
        <w:gridCol w:w="858"/>
      </w:tblGrid>
      <w:tr w:rsidR="00994F64" w:rsidRPr="00261B7A" w14:paraId="07577A9D" w14:textId="77777777" w:rsidTr="00501B0F">
        <w:tc>
          <w:tcPr>
            <w:tcW w:w="1638" w:type="dxa"/>
            <w:shd w:val="clear" w:color="auto" w:fill="1B556B"/>
            <w:vAlign w:val="bottom"/>
          </w:tcPr>
          <w:p w14:paraId="7CDC28C2" w14:textId="77777777" w:rsidR="00994F64" w:rsidRPr="00261B7A" w:rsidRDefault="00994F64" w:rsidP="00501B0F">
            <w:pPr>
              <w:pStyle w:val="TableTextBold"/>
              <w:keepNext/>
              <w:spacing w:after="0"/>
              <w:rPr>
                <w:noProof w:val="0"/>
                <w:color w:val="FFFFFF" w:themeColor="background1"/>
                <w:szCs w:val="16"/>
              </w:rPr>
            </w:pPr>
          </w:p>
        </w:tc>
        <w:tc>
          <w:tcPr>
            <w:tcW w:w="1640" w:type="dxa"/>
            <w:gridSpan w:val="2"/>
            <w:shd w:val="clear" w:color="auto" w:fill="1B556B"/>
            <w:vAlign w:val="bottom"/>
          </w:tcPr>
          <w:p w14:paraId="25148D32" w14:textId="77777777" w:rsidR="00994F64" w:rsidRPr="00261B7A" w:rsidRDefault="00994F64" w:rsidP="00501B0F">
            <w:pPr>
              <w:pStyle w:val="TableTextBold"/>
              <w:keepNext/>
              <w:tabs>
                <w:tab w:val="left" w:pos="241"/>
                <w:tab w:val="left" w:pos="1062"/>
              </w:tabs>
              <w:spacing w:after="0"/>
              <w:jc w:val="center"/>
              <w:rPr>
                <w:noProof w:val="0"/>
                <w:color w:val="FFFFFF" w:themeColor="background1"/>
                <w:szCs w:val="16"/>
              </w:rPr>
            </w:pPr>
            <w:r w:rsidRPr="00261B7A">
              <w:rPr>
                <w:noProof w:val="0"/>
                <w:color w:val="FFFFFF" w:themeColor="background1"/>
                <w:szCs w:val="16"/>
              </w:rPr>
              <w:t>Emissions (kt CO</w:t>
            </w:r>
            <w:r w:rsidRPr="00261B7A">
              <w:rPr>
                <w:noProof w:val="0"/>
                <w:color w:val="FFFFFF" w:themeColor="background1"/>
                <w:szCs w:val="16"/>
                <w:vertAlign w:val="subscript"/>
              </w:rPr>
              <w:t>2</w:t>
            </w:r>
            <w:r w:rsidRPr="00261B7A">
              <w:rPr>
                <w:noProof w:val="0"/>
                <w:color w:val="FFFFFF" w:themeColor="background1"/>
                <w:szCs w:val="16"/>
              </w:rPr>
              <w:t xml:space="preserve">-e) </w:t>
            </w:r>
          </w:p>
        </w:tc>
        <w:tc>
          <w:tcPr>
            <w:tcW w:w="1554" w:type="dxa"/>
            <w:gridSpan w:val="2"/>
            <w:shd w:val="clear" w:color="auto" w:fill="1B556B"/>
            <w:vAlign w:val="bottom"/>
          </w:tcPr>
          <w:p w14:paraId="20796E3D" w14:textId="77777777" w:rsidR="00994F64" w:rsidRPr="00261B7A" w:rsidRDefault="00994F64" w:rsidP="00501B0F">
            <w:pPr>
              <w:pStyle w:val="TableTextBold"/>
              <w:keepNext/>
              <w:spacing w:after="0"/>
              <w:jc w:val="center"/>
              <w:rPr>
                <w:noProof w:val="0"/>
                <w:color w:val="FFFFFF" w:themeColor="background1"/>
                <w:szCs w:val="16"/>
              </w:rPr>
            </w:pPr>
            <w:r w:rsidRPr="00261B7A">
              <w:rPr>
                <w:noProof w:val="0"/>
                <w:color w:val="FFFFFF" w:themeColor="background1"/>
                <w:szCs w:val="16"/>
              </w:rPr>
              <w:t>Change from 1990</w:t>
            </w:r>
          </w:p>
        </w:tc>
        <w:tc>
          <w:tcPr>
            <w:tcW w:w="1978" w:type="dxa"/>
            <w:gridSpan w:val="2"/>
            <w:shd w:val="clear" w:color="auto" w:fill="1B556B"/>
            <w:vAlign w:val="bottom"/>
          </w:tcPr>
          <w:p w14:paraId="6D86E10A" w14:textId="77777777" w:rsidR="00994F64" w:rsidRPr="00261B7A" w:rsidRDefault="00994F64" w:rsidP="00501B0F">
            <w:pPr>
              <w:pStyle w:val="TableTextBold"/>
              <w:keepNext/>
              <w:spacing w:after="0"/>
              <w:jc w:val="center"/>
              <w:rPr>
                <w:noProof w:val="0"/>
                <w:color w:val="FFFFFF" w:themeColor="background1"/>
                <w:szCs w:val="16"/>
              </w:rPr>
            </w:pPr>
            <w:r w:rsidRPr="00261B7A">
              <w:rPr>
                <w:noProof w:val="0"/>
                <w:color w:val="FFFFFF" w:themeColor="background1"/>
                <w:szCs w:val="16"/>
              </w:rPr>
              <w:t>Share of Enteric fermentation category (%)</w:t>
            </w:r>
          </w:p>
        </w:tc>
        <w:tc>
          <w:tcPr>
            <w:tcW w:w="1695" w:type="dxa"/>
            <w:gridSpan w:val="2"/>
            <w:shd w:val="clear" w:color="auto" w:fill="1B556B"/>
            <w:vAlign w:val="bottom"/>
          </w:tcPr>
          <w:p w14:paraId="6A743664" w14:textId="77777777" w:rsidR="00994F64" w:rsidRPr="00261B7A" w:rsidRDefault="00994F64" w:rsidP="00501B0F">
            <w:pPr>
              <w:pStyle w:val="TableTextBold"/>
              <w:keepNext/>
              <w:spacing w:after="0"/>
              <w:jc w:val="center"/>
              <w:rPr>
                <w:noProof w:val="0"/>
                <w:color w:val="FFFFFF" w:themeColor="background1"/>
                <w:szCs w:val="16"/>
              </w:rPr>
            </w:pPr>
            <w:r w:rsidRPr="00261B7A">
              <w:rPr>
                <w:noProof w:val="0"/>
                <w:color w:val="FFFFFF" w:themeColor="background1"/>
                <w:szCs w:val="16"/>
              </w:rPr>
              <w:t>Share of total Agriculture sector (%)</w:t>
            </w:r>
          </w:p>
        </w:tc>
      </w:tr>
      <w:tr w:rsidR="00994F64" w:rsidRPr="00261B7A" w14:paraId="448EA800" w14:textId="77777777" w:rsidTr="00501B0F">
        <w:tc>
          <w:tcPr>
            <w:tcW w:w="1638" w:type="dxa"/>
            <w:shd w:val="clear" w:color="auto" w:fill="1B556B"/>
            <w:vAlign w:val="bottom"/>
          </w:tcPr>
          <w:p w14:paraId="42079C2C" w14:textId="77777777" w:rsidR="00994F64" w:rsidRPr="00261B7A" w:rsidRDefault="00994F64" w:rsidP="00501B0F">
            <w:pPr>
              <w:pStyle w:val="TableTextBold"/>
              <w:keepNext/>
              <w:rPr>
                <w:noProof w:val="0"/>
                <w:color w:val="FFFFFF" w:themeColor="background1"/>
                <w:szCs w:val="16"/>
              </w:rPr>
            </w:pPr>
            <w:r w:rsidRPr="00261B7A">
              <w:rPr>
                <w:noProof w:val="0"/>
                <w:color w:val="FFFFFF" w:themeColor="background1"/>
                <w:szCs w:val="16"/>
              </w:rPr>
              <w:t>Livestock category</w:t>
            </w:r>
          </w:p>
        </w:tc>
        <w:tc>
          <w:tcPr>
            <w:tcW w:w="792" w:type="dxa"/>
            <w:shd w:val="clear" w:color="auto" w:fill="1B556B"/>
            <w:vAlign w:val="center"/>
          </w:tcPr>
          <w:p w14:paraId="38FF143C" w14:textId="77777777" w:rsidR="00994F64" w:rsidRPr="00261B7A" w:rsidRDefault="00994F64" w:rsidP="00501B0F">
            <w:pPr>
              <w:pStyle w:val="TableTextBold"/>
              <w:keepNext/>
              <w:spacing w:before="0"/>
              <w:jc w:val="right"/>
              <w:rPr>
                <w:bCs/>
                <w:noProof w:val="0"/>
                <w:color w:val="FFFFFF" w:themeColor="background1"/>
                <w:szCs w:val="16"/>
              </w:rPr>
            </w:pPr>
            <w:r w:rsidRPr="00261B7A">
              <w:rPr>
                <w:bCs/>
                <w:noProof w:val="0"/>
                <w:color w:val="FFFFFF" w:themeColor="background1"/>
              </w:rPr>
              <w:t>1990</w:t>
            </w:r>
          </w:p>
        </w:tc>
        <w:tc>
          <w:tcPr>
            <w:tcW w:w="848" w:type="dxa"/>
            <w:shd w:val="clear" w:color="auto" w:fill="1B556B"/>
            <w:vAlign w:val="center"/>
          </w:tcPr>
          <w:p w14:paraId="2CB809E1" w14:textId="77777777" w:rsidR="00994F64" w:rsidRPr="00261B7A" w:rsidRDefault="00994F64" w:rsidP="00501B0F">
            <w:pPr>
              <w:pStyle w:val="TableTextBold"/>
              <w:keepNext/>
              <w:spacing w:before="0"/>
              <w:jc w:val="right"/>
              <w:rPr>
                <w:bCs/>
                <w:noProof w:val="0"/>
                <w:color w:val="FFFFFF" w:themeColor="background1"/>
                <w:szCs w:val="16"/>
              </w:rPr>
            </w:pPr>
            <w:r w:rsidRPr="00261B7A">
              <w:rPr>
                <w:rFonts w:cs="Calibri"/>
                <w:bCs/>
                <w:noProof w:val="0"/>
                <w:color w:val="FFFFFF"/>
                <w:szCs w:val="16"/>
              </w:rPr>
              <w:t>2021</w:t>
            </w:r>
          </w:p>
        </w:tc>
        <w:tc>
          <w:tcPr>
            <w:tcW w:w="755" w:type="dxa"/>
            <w:shd w:val="clear" w:color="auto" w:fill="1B556B"/>
            <w:vAlign w:val="center"/>
          </w:tcPr>
          <w:p w14:paraId="2B5FCC8A" w14:textId="77777777" w:rsidR="00994F64" w:rsidRPr="00261B7A" w:rsidRDefault="00994F64" w:rsidP="00501B0F">
            <w:pPr>
              <w:pStyle w:val="TableTextBold"/>
              <w:keepNext/>
              <w:spacing w:before="0"/>
              <w:jc w:val="right"/>
              <w:rPr>
                <w:bCs/>
                <w:noProof w:val="0"/>
                <w:color w:val="FFFFFF" w:themeColor="background1"/>
                <w:szCs w:val="16"/>
              </w:rPr>
            </w:pPr>
            <w:r w:rsidRPr="00261B7A">
              <w:rPr>
                <w:bCs/>
                <w:noProof w:val="0"/>
                <w:color w:val="FFFFFF" w:themeColor="background1"/>
              </w:rPr>
              <w:t>%</w:t>
            </w:r>
          </w:p>
        </w:tc>
        <w:tc>
          <w:tcPr>
            <w:tcW w:w="799" w:type="dxa"/>
            <w:shd w:val="clear" w:color="auto" w:fill="1B556B"/>
            <w:vAlign w:val="center"/>
          </w:tcPr>
          <w:p w14:paraId="15368EC5" w14:textId="77777777" w:rsidR="00994F64" w:rsidRPr="00261B7A" w:rsidRDefault="00994F64" w:rsidP="00501B0F">
            <w:pPr>
              <w:pStyle w:val="TableTextBold"/>
              <w:keepNext/>
              <w:spacing w:before="0"/>
              <w:jc w:val="right"/>
              <w:rPr>
                <w:bCs/>
                <w:noProof w:val="0"/>
                <w:color w:val="FFFFFF" w:themeColor="background1"/>
                <w:szCs w:val="16"/>
              </w:rPr>
            </w:pPr>
            <w:r w:rsidRPr="00261B7A">
              <w:rPr>
                <w:bCs/>
                <w:noProof w:val="0"/>
                <w:color w:val="FFFFFF" w:themeColor="background1"/>
              </w:rPr>
              <w:t>kt CO</w:t>
            </w:r>
            <w:r w:rsidRPr="00261B7A">
              <w:rPr>
                <w:bCs/>
                <w:noProof w:val="0"/>
                <w:color w:val="FFFFFF"/>
                <w:vertAlign w:val="subscript"/>
              </w:rPr>
              <w:t>2</w:t>
            </w:r>
            <w:r w:rsidRPr="00261B7A">
              <w:rPr>
                <w:bCs/>
                <w:noProof w:val="0"/>
                <w:color w:val="FFFFFF"/>
              </w:rPr>
              <w:t>-e</w:t>
            </w:r>
          </w:p>
        </w:tc>
        <w:tc>
          <w:tcPr>
            <w:tcW w:w="989" w:type="dxa"/>
            <w:shd w:val="clear" w:color="auto" w:fill="1B556B"/>
            <w:vAlign w:val="center"/>
          </w:tcPr>
          <w:p w14:paraId="690FDDBA" w14:textId="77777777" w:rsidR="00994F64" w:rsidRPr="00261B7A" w:rsidRDefault="00994F64" w:rsidP="00501B0F">
            <w:pPr>
              <w:pStyle w:val="TableTextBold"/>
              <w:keepNext/>
              <w:spacing w:before="0"/>
              <w:jc w:val="right"/>
              <w:rPr>
                <w:bCs/>
                <w:noProof w:val="0"/>
                <w:color w:val="FFFFFF" w:themeColor="background1"/>
                <w:szCs w:val="16"/>
              </w:rPr>
            </w:pPr>
            <w:r w:rsidRPr="00261B7A">
              <w:rPr>
                <w:bCs/>
                <w:noProof w:val="0"/>
                <w:color w:val="FFFFFF" w:themeColor="background1"/>
              </w:rPr>
              <w:t>1990</w:t>
            </w:r>
          </w:p>
        </w:tc>
        <w:tc>
          <w:tcPr>
            <w:tcW w:w="989" w:type="dxa"/>
            <w:shd w:val="clear" w:color="auto" w:fill="1B556B"/>
            <w:vAlign w:val="center"/>
          </w:tcPr>
          <w:p w14:paraId="20BA1153" w14:textId="77777777" w:rsidR="00994F64" w:rsidRPr="00261B7A" w:rsidRDefault="00994F64" w:rsidP="00501B0F">
            <w:pPr>
              <w:pStyle w:val="TableTextBold"/>
              <w:keepNext/>
              <w:spacing w:before="0"/>
              <w:jc w:val="right"/>
              <w:rPr>
                <w:bCs/>
                <w:noProof w:val="0"/>
                <w:color w:val="FFFFFF" w:themeColor="background1"/>
                <w:szCs w:val="16"/>
              </w:rPr>
            </w:pPr>
            <w:r w:rsidRPr="00261B7A">
              <w:rPr>
                <w:rFonts w:cs="Calibri"/>
                <w:bCs/>
                <w:noProof w:val="0"/>
                <w:color w:val="FFFFFF"/>
                <w:szCs w:val="16"/>
              </w:rPr>
              <w:t>2021</w:t>
            </w:r>
          </w:p>
        </w:tc>
        <w:tc>
          <w:tcPr>
            <w:tcW w:w="837" w:type="dxa"/>
            <w:shd w:val="clear" w:color="auto" w:fill="1B556B"/>
            <w:vAlign w:val="center"/>
          </w:tcPr>
          <w:p w14:paraId="1D374E15" w14:textId="77777777" w:rsidR="00994F64" w:rsidRPr="00261B7A" w:rsidRDefault="00994F64" w:rsidP="00501B0F">
            <w:pPr>
              <w:pStyle w:val="TableTextBold"/>
              <w:keepNext/>
              <w:spacing w:before="0"/>
              <w:jc w:val="right"/>
              <w:rPr>
                <w:bCs/>
                <w:noProof w:val="0"/>
                <w:color w:val="FFFFFF" w:themeColor="background1"/>
                <w:szCs w:val="16"/>
              </w:rPr>
            </w:pPr>
            <w:r w:rsidRPr="00261B7A">
              <w:rPr>
                <w:bCs/>
                <w:noProof w:val="0"/>
                <w:color w:val="FFFFFF" w:themeColor="background1"/>
              </w:rPr>
              <w:t>1990</w:t>
            </w:r>
          </w:p>
        </w:tc>
        <w:tc>
          <w:tcPr>
            <w:tcW w:w="858" w:type="dxa"/>
            <w:shd w:val="clear" w:color="auto" w:fill="1B556B"/>
            <w:vAlign w:val="center"/>
          </w:tcPr>
          <w:p w14:paraId="6DBB468E" w14:textId="77777777" w:rsidR="00994F64" w:rsidRPr="00261B7A" w:rsidRDefault="00994F64" w:rsidP="00501B0F">
            <w:pPr>
              <w:pStyle w:val="TableTextBold"/>
              <w:keepNext/>
              <w:spacing w:before="0"/>
              <w:jc w:val="center"/>
              <w:rPr>
                <w:bCs/>
                <w:noProof w:val="0"/>
                <w:color w:val="FFFFFF" w:themeColor="background1"/>
                <w:szCs w:val="16"/>
              </w:rPr>
            </w:pPr>
            <w:r w:rsidRPr="00261B7A">
              <w:rPr>
                <w:rFonts w:cs="Calibri"/>
                <w:bCs/>
                <w:noProof w:val="0"/>
                <w:color w:val="FFFFFF" w:themeColor="background1"/>
                <w:szCs w:val="16"/>
              </w:rPr>
              <w:t>2021</w:t>
            </w:r>
          </w:p>
        </w:tc>
      </w:tr>
      <w:tr w:rsidR="00994F64" w:rsidRPr="00261B7A" w14:paraId="45370C70" w14:textId="77777777" w:rsidTr="00501B0F">
        <w:tc>
          <w:tcPr>
            <w:tcW w:w="1638" w:type="dxa"/>
            <w:shd w:val="clear" w:color="auto" w:fill="auto"/>
          </w:tcPr>
          <w:p w14:paraId="2FCFEFED" w14:textId="77777777" w:rsidR="00994F64" w:rsidRPr="00261B7A" w:rsidRDefault="00994F64" w:rsidP="00501B0F">
            <w:pPr>
              <w:pStyle w:val="TableText"/>
              <w:rPr>
                <w:rFonts w:cs="Calibri"/>
                <w:szCs w:val="16"/>
              </w:rPr>
            </w:pPr>
            <w:r w:rsidRPr="00261B7A">
              <w:rPr>
                <w:rFonts w:cs="Calibri"/>
                <w:szCs w:val="16"/>
              </w:rPr>
              <w:t>Dairy cattle</w:t>
            </w:r>
          </w:p>
        </w:tc>
        <w:tc>
          <w:tcPr>
            <w:tcW w:w="792" w:type="dxa"/>
            <w:shd w:val="clear" w:color="auto" w:fill="auto"/>
            <w:vAlign w:val="center"/>
          </w:tcPr>
          <w:p w14:paraId="57342E77" w14:textId="77777777" w:rsidR="00994F64" w:rsidRPr="00261B7A" w:rsidRDefault="00994F64" w:rsidP="00501B0F">
            <w:pPr>
              <w:pStyle w:val="TableText"/>
              <w:jc w:val="right"/>
              <w:rPr>
                <w:rFonts w:cs="Calibri"/>
                <w:szCs w:val="16"/>
              </w:rPr>
            </w:pPr>
            <w:r w:rsidRPr="00261B7A">
              <w:rPr>
                <w:color w:val="000000"/>
              </w:rPr>
              <w:t>6,</w:t>
            </w:r>
            <w:r w:rsidRPr="00261B7A">
              <w:rPr>
                <w:rFonts w:cs="Calibri"/>
                <w:color w:val="000000"/>
                <w:szCs w:val="16"/>
              </w:rPr>
              <w:t>012.9</w:t>
            </w:r>
          </w:p>
        </w:tc>
        <w:tc>
          <w:tcPr>
            <w:tcW w:w="848" w:type="dxa"/>
            <w:shd w:val="clear" w:color="auto" w:fill="auto"/>
            <w:vAlign w:val="center"/>
          </w:tcPr>
          <w:p w14:paraId="07E75D21" w14:textId="77777777" w:rsidR="00994F64" w:rsidRPr="00261B7A" w:rsidRDefault="00994F64" w:rsidP="00501B0F">
            <w:pPr>
              <w:pStyle w:val="TableText"/>
              <w:jc w:val="right"/>
              <w:rPr>
                <w:rFonts w:cs="Calibri"/>
                <w:szCs w:val="16"/>
              </w:rPr>
            </w:pPr>
            <w:r w:rsidRPr="00261B7A">
              <w:rPr>
                <w:rFonts w:cs="Calibri"/>
                <w:color w:val="000000"/>
                <w:szCs w:val="16"/>
              </w:rPr>
              <w:t>13,382.5</w:t>
            </w:r>
          </w:p>
        </w:tc>
        <w:tc>
          <w:tcPr>
            <w:tcW w:w="755" w:type="dxa"/>
            <w:shd w:val="clear" w:color="auto" w:fill="auto"/>
            <w:vAlign w:val="center"/>
          </w:tcPr>
          <w:p w14:paraId="51EC82EB" w14:textId="77777777" w:rsidR="00994F64" w:rsidRPr="00261B7A" w:rsidRDefault="00994F64" w:rsidP="00501B0F">
            <w:pPr>
              <w:pStyle w:val="TableText"/>
              <w:jc w:val="right"/>
              <w:rPr>
                <w:rFonts w:cs="Calibri"/>
                <w:szCs w:val="16"/>
              </w:rPr>
            </w:pPr>
            <w:r w:rsidRPr="00261B7A">
              <w:rPr>
                <w:rFonts w:cs="Calibri"/>
                <w:color w:val="000000"/>
                <w:szCs w:val="16"/>
              </w:rPr>
              <w:t>122.6</w:t>
            </w:r>
          </w:p>
        </w:tc>
        <w:tc>
          <w:tcPr>
            <w:tcW w:w="799" w:type="dxa"/>
            <w:shd w:val="clear" w:color="auto" w:fill="auto"/>
            <w:vAlign w:val="center"/>
          </w:tcPr>
          <w:p w14:paraId="79675998" w14:textId="77777777" w:rsidR="00994F64" w:rsidRPr="00261B7A" w:rsidRDefault="00994F64" w:rsidP="00501B0F">
            <w:pPr>
              <w:pStyle w:val="TableText"/>
              <w:jc w:val="right"/>
              <w:rPr>
                <w:rFonts w:cs="Calibri"/>
                <w:szCs w:val="16"/>
              </w:rPr>
            </w:pPr>
            <w:r w:rsidRPr="00261B7A">
              <w:rPr>
                <w:color w:val="000000"/>
              </w:rPr>
              <w:t>7,</w:t>
            </w:r>
            <w:r w:rsidRPr="00261B7A">
              <w:rPr>
                <w:rFonts w:cs="Calibri"/>
                <w:color w:val="000000"/>
                <w:szCs w:val="16"/>
              </w:rPr>
              <w:t>369.6</w:t>
            </w:r>
          </w:p>
        </w:tc>
        <w:tc>
          <w:tcPr>
            <w:tcW w:w="989" w:type="dxa"/>
            <w:shd w:val="clear" w:color="auto" w:fill="auto"/>
            <w:vAlign w:val="center"/>
          </w:tcPr>
          <w:p w14:paraId="0CE50F76" w14:textId="77777777" w:rsidR="00994F64" w:rsidRPr="00261B7A" w:rsidRDefault="00994F64" w:rsidP="00501B0F">
            <w:pPr>
              <w:pStyle w:val="TableText"/>
              <w:jc w:val="right"/>
              <w:rPr>
                <w:rFonts w:cs="Calibri"/>
                <w:szCs w:val="16"/>
              </w:rPr>
            </w:pPr>
            <w:r w:rsidRPr="00261B7A">
              <w:rPr>
                <w:color w:val="000000"/>
              </w:rPr>
              <w:t>22.</w:t>
            </w:r>
            <w:r w:rsidRPr="00261B7A">
              <w:rPr>
                <w:rFonts w:cs="Calibri"/>
                <w:color w:val="000000"/>
                <w:szCs w:val="16"/>
              </w:rPr>
              <w:t>3</w:t>
            </w:r>
          </w:p>
        </w:tc>
        <w:tc>
          <w:tcPr>
            <w:tcW w:w="989" w:type="dxa"/>
            <w:shd w:val="clear" w:color="auto" w:fill="auto"/>
            <w:vAlign w:val="center"/>
          </w:tcPr>
          <w:p w14:paraId="4A8EE36E" w14:textId="77777777" w:rsidR="00994F64" w:rsidRPr="00261B7A" w:rsidRDefault="00994F64" w:rsidP="00501B0F">
            <w:pPr>
              <w:pStyle w:val="TableText"/>
              <w:jc w:val="right"/>
              <w:rPr>
                <w:rFonts w:cs="Calibri"/>
                <w:szCs w:val="16"/>
              </w:rPr>
            </w:pPr>
            <w:r w:rsidRPr="00261B7A">
              <w:rPr>
                <w:color w:val="000000"/>
              </w:rPr>
              <w:t>48.</w:t>
            </w:r>
            <w:r w:rsidRPr="00261B7A">
              <w:rPr>
                <w:rFonts w:cs="Calibri"/>
                <w:color w:val="000000"/>
                <w:szCs w:val="16"/>
              </w:rPr>
              <w:t>0</w:t>
            </w:r>
          </w:p>
        </w:tc>
        <w:tc>
          <w:tcPr>
            <w:tcW w:w="837" w:type="dxa"/>
            <w:shd w:val="clear" w:color="auto" w:fill="auto"/>
            <w:vAlign w:val="center"/>
          </w:tcPr>
          <w:p w14:paraId="66B7CA53" w14:textId="77777777" w:rsidR="00994F64" w:rsidRPr="00261B7A" w:rsidRDefault="00994F64" w:rsidP="00501B0F">
            <w:pPr>
              <w:pStyle w:val="TableText"/>
              <w:jc w:val="right"/>
              <w:rPr>
                <w:rFonts w:cs="Calibri"/>
                <w:szCs w:val="16"/>
              </w:rPr>
            </w:pPr>
            <w:r w:rsidRPr="00261B7A">
              <w:rPr>
                <w:color w:val="000000"/>
              </w:rPr>
              <w:t>18.</w:t>
            </w:r>
            <w:r w:rsidRPr="00261B7A">
              <w:rPr>
                <w:rFonts w:cs="Calibri"/>
                <w:color w:val="000000"/>
                <w:szCs w:val="16"/>
              </w:rPr>
              <w:t>1</w:t>
            </w:r>
          </w:p>
        </w:tc>
        <w:tc>
          <w:tcPr>
            <w:tcW w:w="858" w:type="dxa"/>
            <w:shd w:val="clear" w:color="auto" w:fill="auto"/>
            <w:vAlign w:val="center"/>
          </w:tcPr>
          <w:p w14:paraId="33D9CA6A" w14:textId="77777777" w:rsidR="00994F64" w:rsidRPr="00261B7A" w:rsidRDefault="00994F64" w:rsidP="00501B0F">
            <w:pPr>
              <w:pStyle w:val="TableText"/>
              <w:jc w:val="right"/>
              <w:rPr>
                <w:rFonts w:cs="Calibri"/>
                <w:szCs w:val="16"/>
              </w:rPr>
            </w:pPr>
            <w:r w:rsidRPr="00261B7A">
              <w:rPr>
                <w:color w:val="000000"/>
              </w:rPr>
              <w:t>35.</w:t>
            </w:r>
            <w:r w:rsidRPr="00261B7A">
              <w:rPr>
                <w:rFonts w:cs="Calibri"/>
                <w:color w:val="000000"/>
                <w:szCs w:val="16"/>
              </w:rPr>
              <w:t>4</w:t>
            </w:r>
          </w:p>
        </w:tc>
      </w:tr>
      <w:tr w:rsidR="00994F64" w:rsidRPr="00261B7A" w14:paraId="39B830F6" w14:textId="77777777" w:rsidTr="00501B0F">
        <w:tc>
          <w:tcPr>
            <w:tcW w:w="1638" w:type="dxa"/>
            <w:shd w:val="clear" w:color="auto" w:fill="auto"/>
          </w:tcPr>
          <w:p w14:paraId="6BE50CE9" w14:textId="77777777" w:rsidR="00994F64" w:rsidRPr="00261B7A" w:rsidRDefault="00994F64" w:rsidP="00501B0F">
            <w:pPr>
              <w:pStyle w:val="TableText"/>
              <w:rPr>
                <w:rFonts w:cs="Calibri"/>
                <w:szCs w:val="16"/>
              </w:rPr>
            </w:pPr>
            <w:r w:rsidRPr="00261B7A">
              <w:rPr>
                <w:rFonts w:cs="Calibri"/>
                <w:szCs w:val="16"/>
              </w:rPr>
              <w:t xml:space="preserve">Non-dairy </w:t>
            </w:r>
            <w:r w:rsidRPr="00261B7A">
              <w:rPr>
                <w:rFonts w:cs="Calibri"/>
                <w:i/>
                <w:iCs/>
                <w:szCs w:val="16"/>
              </w:rPr>
              <w:t>(beef)</w:t>
            </w:r>
            <w:r w:rsidRPr="00261B7A">
              <w:rPr>
                <w:rFonts w:cs="Calibri"/>
                <w:szCs w:val="16"/>
              </w:rPr>
              <w:t xml:space="preserve"> cattle</w:t>
            </w:r>
          </w:p>
        </w:tc>
        <w:tc>
          <w:tcPr>
            <w:tcW w:w="792" w:type="dxa"/>
            <w:shd w:val="clear" w:color="auto" w:fill="auto"/>
            <w:vAlign w:val="center"/>
          </w:tcPr>
          <w:p w14:paraId="4D2D39E2" w14:textId="77777777" w:rsidR="00994F64" w:rsidRPr="00261B7A" w:rsidRDefault="00994F64" w:rsidP="00501B0F">
            <w:pPr>
              <w:pStyle w:val="TableText"/>
              <w:jc w:val="right"/>
              <w:rPr>
                <w:rFonts w:cs="Calibri"/>
                <w:szCs w:val="16"/>
              </w:rPr>
            </w:pPr>
            <w:r w:rsidRPr="00261B7A">
              <w:rPr>
                <w:color w:val="000000"/>
              </w:rPr>
              <w:t>5,</w:t>
            </w:r>
            <w:r w:rsidRPr="00261B7A">
              <w:rPr>
                <w:rFonts w:cs="Calibri"/>
                <w:color w:val="000000"/>
                <w:szCs w:val="16"/>
              </w:rPr>
              <w:t>861.6</w:t>
            </w:r>
          </w:p>
        </w:tc>
        <w:tc>
          <w:tcPr>
            <w:tcW w:w="848" w:type="dxa"/>
            <w:shd w:val="clear" w:color="auto" w:fill="auto"/>
            <w:vAlign w:val="center"/>
          </w:tcPr>
          <w:p w14:paraId="5B127B07" w14:textId="77777777" w:rsidR="00994F64" w:rsidRPr="00261B7A" w:rsidRDefault="00994F64" w:rsidP="00501B0F">
            <w:pPr>
              <w:pStyle w:val="TableText"/>
              <w:jc w:val="right"/>
              <w:rPr>
                <w:rFonts w:cs="Calibri"/>
                <w:szCs w:val="16"/>
              </w:rPr>
            </w:pPr>
            <w:r w:rsidRPr="00261B7A">
              <w:rPr>
                <w:color w:val="000000"/>
              </w:rPr>
              <w:t>5,</w:t>
            </w:r>
            <w:r w:rsidRPr="00261B7A">
              <w:rPr>
                <w:rFonts w:cs="Calibri"/>
                <w:color w:val="000000"/>
                <w:szCs w:val="16"/>
              </w:rPr>
              <w:t>944.0</w:t>
            </w:r>
          </w:p>
        </w:tc>
        <w:tc>
          <w:tcPr>
            <w:tcW w:w="755" w:type="dxa"/>
            <w:shd w:val="clear" w:color="auto" w:fill="auto"/>
            <w:vAlign w:val="center"/>
          </w:tcPr>
          <w:p w14:paraId="6F0692E8" w14:textId="77777777" w:rsidR="00994F64" w:rsidRPr="00261B7A" w:rsidRDefault="00994F64" w:rsidP="00501B0F">
            <w:pPr>
              <w:pStyle w:val="TableText"/>
              <w:jc w:val="right"/>
              <w:rPr>
                <w:rFonts w:cs="Calibri"/>
                <w:szCs w:val="16"/>
              </w:rPr>
            </w:pPr>
            <w:r w:rsidRPr="00261B7A">
              <w:rPr>
                <w:rFonts w:cs="Calibri"/>
                <w:color w:val="000000"/>
                <w:szCs w:val="16"/>
              </w:rPr>
              <w:t>1.4</w:t>
            </w:r>
          </w:p>
        </w:tc>
        <w:tc>
          <w:tcPr>
            <w:tcW w:w="799" w:type="dxa"/>
            <w:shd w:val="clear" w:color="auto" w:fill="auto"/>
            <w:vAlign w:val="center"/>
          </w:tcPr>
          <w:p w14:paraId="6A3EC68A" w14:textId="77777777" w:rsidR="00994F64" w:rsidRPr="00261B7A" w:rsidRDefault="00994F64" w:rsidP="00501B0F">
            <w:pPr>
              <w:pStyle w:val="TableText"/>
              <w:jc w:val="right"/>
              <w:rPr>
                <w:rFonts w:cs="Calibri"/>
                <w:szCs w:val="16"/>
              </w:rPr>
            </w:pPr>
            <w:r w:rsidRPr="00261B7A">
              <w:rPr>
                <w:rFonts w:cs="Calibri"/>
                <w:color w:val="000000"/>
                <w:szCs w:val="16"/>
              </w:rPr>
              <w:t>82.3</w:t>
            </w:r>
          </w:p>
        </w:tc>
        <w:tc>
          <w:tcPr>
            <w:tcW w:w="989" w:type="dxa"/>
            <w:shd w:val="clear" w:color="auto" w:fill="auto"/>
            <w:vAlign w:val="center"/>
          </w:tcPr>
          <w:p w14:paraId="05538A82" w14:textId="77777777" w:rsidR="00994F64" w:rsidRPr="00261B7A" w:rsidRDefault="00994F64" w:rsidP="00501B0F">
            <w:pPr>
              <w:pStyle w:val="TableText"/>
              <w:jc w:val="right"/>
              <w:rPr>
                <w:rFonts w:cs="Calibri"/>
                <w:szCs w:val="16"/>
              </w:rPr>
            </w:pPr>
            <w:r w:rsidRPr="00261B7A">
              <w:rPr>
                <w:color w:val="000000"/>
              </w:rPr>
              <w:t>21.</w:t>
            </w:r>
            <w:r w:rsidRPr="00261B7A">
              <w:rPr>
                <w:rFonts w:cs="Calibri"/>
                <w:color w:val="000000"/>
                <w:szCs w:val="16"/>
              </w:rPr>
              <w:t>7</w:t>
            </w:r>
          </w:p>
        </w:tc>
        <w:tc>
          <w:tcPr>
            <w:tcW w:w="989" w:type="dxa"/>
            <w:shd w:val="clear" w:color="auto" w:fill="auto"/>
            <w:vAlign w:val="center"/>
          </w:tcPr>
          <w:p w14:paraId="70F53FB1" w14:textId="77777777" w:rsidR="00994F64" w:rsidRPr="00261B7A" w:rsidRDefault="00994F64" w:rsidP="00501B0F">
            <w:pPr>
              <w:pStyle w:val="TableText"/>
              <w:jc w:val="right"/>
              <w:rPr>
                <w:rFonts w:cs="Calibri"/>
                <w:szCs w:val="16"/>
              </w:rPr>
            </w:pPr>
            <w:r w:rsidRPr="00261B7A">
              <w:rPr>
                <w:color w:val="000000"/>
              </w:rPr>
              <w:t>21.3</w:t>
            </w:r>
          </w:p>
        </w:tc>
        <w:tc>
          <w:tcPr>
            <w:tcW w:w="837" w:type="dxa"/>
            <w:shd w:val="clear" w:color="auto" w:fill="auto"/>
            <w:vAlign w:val="center"/>
          </w:tcPr>
          <w:p w14:paraId="0B99586C" w14:textId="77777777" w:rsidR="00994F64" w:rsidRPr="00261B7A" w:rsidRDefault="00994F64" w:rsidP="00501B0F">
            <w:pPr>
              <w:pStyle w:val="TableText"/>
              <w:jc w:val="right"/>
              <w:rPr>
                <w:rFonts w:cs="Calibri"/>
                <w:szCs w:val="16"/>
              </w:rPr>
            </w:pPr>
            <w:r w:rsidRPr="00261B7A">
              <w:rPr>
                <w:color w:val="000000"/>
              </w:rPr>
              <w:t>17.6</w:t>
            </w:r>
          </w:p>
        </w:tc>
        <w:tc>
          <w:tcPr>
            <w:tcW w:w="858" w:type="dxa"/>
            <w:shd w:val="clear" w:color="auto" w:fill="auto"/>
            <w:vAlign w:val="center"/>
          </w:tcPr>
          <w:p w14:paraId="14E1E919" w14:textId="77777777" w:rsidR="00994F64" w:rsidRPr="00261B7A" w:rsidRDefault="00994F64" w:rsidP="00501B0F">
            <w:pPr>
              <w:pStyle w:val="TableText"/>
              <w:jc w:val="right"/>
              <w:rPr>
                <w:rFonts w:cs="Calibri"/>
                <w:szCs w:val="16"/>
              </w:rPr>
            </w:pPr>
            <w:r w:rsidRPr="00261B7A">
              <w:rPr>
                <w:color w:val="000000"/>
              </w:rPr>
              <w:t>15.</w:t>
            </w:r>
            <w:r w:rsidRPr="00261B7A">
              <w:rPr>
                <w:rFonts w:cs="Calibri"/>
                <w:color w:val="000000"/>
                <w:szCs w:val="16"/>
              </w:rPr>
              <w:t>7</w:t>
            </w:r>
          </w:p>
        </w:tc>
      </w:tr>
      <w:tr w:rsidR="00994F64" w:rsidRPr="00261B7A" w14:paraId="61802E98" w14:textId="77777777" w:rsidTr="00501B0F">
        <w:tc>
          <w:tcPr>
            <w:tcW w:w="1638" w:type="dxa"/>
            <w:shd w:val="clear" w:color="auto" w:fill="auto"/>
          </w:tcPr>
          <w:p w14:paraId="6A3B0EC7" w14:textId="77777777" w:rsidR="00994F64" w:rsidRPr="00261B7A" w:rsidRDefault="00994F64" w:rsidP="00501B0F">
            <w:pPr>
              <w:pStyle w:val="TableText"/>
              <w:rPr>
                <w:rFonts w:cs="Calibri"/>
                <w:szCs w:val="16"/>
              </w:rPr>
            </w:pPr>
            <w:r w:rsidRPr="00261B7A">
              <w:rPr>
                <w:rFonts w:cs="Calibri"/>
                <w:szCs w:val="16"/>
              </w:rPr>
              <w:t>Sheep</w:t>
            </w:r>
          </w:p>
        </w:tc>
        <w:tc>
          <w:tcPr>
            <w:tcW w:w="792" w:type="dxa"/>
            <w:shd w:val="clear" w:color="auto" w:fill="auto"/>
            <w:vAlign w:val="center"/>
          </w:tcPr>
          <w:p w14:paraId="76B2D815" w14:textId="77777777" w:rsidR="00994F64" w:rsidRPr="00261B7A" w:rsidRDefault="00994F64" w:rsidP="00501B0F">
            <w:pPr>
              <w:pStyle w:val="TableText"/>
              <w:jc w:val="right"/>
              <w:rPr>
                <w:rFonts w:cs="Calibri"/>
                <w:szCs w:val="16"/>
              </w:rPr>
            </w:pPr>
            <w:r w:rsidRPr="00261B7A">
              <w:rPr>
                <w:color w:val="000000"/>
              </w:rPr>
              <w:t>14,</w:t>
            </w:r>
            <w:r w:rsidRPr="00261B7A">
              <w:rPr>
                <w:rFonts w:cs="Calibri"/>
                <w:color w:val="000000"/>
                <w:szCs w:val="16"/>
              </w:rPr>
              <w:t>407.4</w:t>
            </w:r>
          </w:p>
        </w:tc>
        <w:tc>
          <w:tcPr>
            <w:tcW w:w="848" w:type="dxa"/>
            <w:shd w:val="clear" w:color="auto" w:fill="auto"/>
            <w:vAlign w:val="center"/>
          </w:tcPr>
          <w:p w14:paraId="46189E22" w14:textId="77777777" w:rsidR="00994F64" w:rsidRPr="00261B7A" w:rsidRDefault="00994F64" w:rsidP="00501B0F">
            <w:pPr>
              <w:pStyle w:val="TableText"/>
              <w:jc w:val="right"/>
              <w:rPr>
                <w:rFonts w:cs="Calibri"/>
                <w:szCs w:val="16"/>
              </w:rPr>
            </w:pPr>
            <w:r w:rsidRPr="00261B7A">
              <w:rPr>
                <w:color w:val="000000"/>
              </w:rPr>
              <w:t>8,</w:t>
            </w:r>
            <w:r w:rsidRPr="00261B7A">
              <w:rPr>
                <w:rFonts w:cs="Calibri"/>
                <w:color w:val="000000"/>
                <w:szCs w:val="16"/>
              </w:rPr>
              <w:t>011.9</w:t>
            </w:r>
          </w:p>
        </w:tc>
        <w:tc>
          <w:tcPr>
            <w:tcW w:w="755" w:type="dxa"/>
            <w:shd w:val="clear" w:color="auto" w:fill="auto"/>
            <w:vAlign w:val="center"/>
          </w:tcPr>
          <w:p w14:paraId="3977459C" w14:textId="77777777" w:rsidR="00994F64" w:rsidRPr="00261B7A" w:rsidRDefault="00994F64" w:rsidP="00501B0F">
            <w:pPr>
              <w:pStyle w:val="TableText"/>
              <w:jc w:val="right"/>
              <w:rPr>
                <w:rFonts w:cs="Calibri"/>
                <w:szCs w:val="16"/>
              </w:rPr>
            </w:pPr>
            <w:r w:rsidRPr="00261B7A">
              <w:rPr>
                <w:rFonts w:cs="Calibri"/>
                <w:color w:val="000000"/>
                <w:szCs w:val="16"/>
              </w:rPr>
              <w:t>–44.4</w:t>
            </w:r>
          </w:p>
        </w:tc>
        <w:tc>
          <w:tcPr>
            <w:tcW w:w="799" w:type="dxa"/>
            <w:shd w:val="clear" w:color="auto" w:fill="auto"/>
            <w:vAlign w:val="center"/>
          </w:tcPr>
          <w:p w14:paraId="2FB6418C" w14:textId="77777777" w:rsidR="00994F64" w:rsidRPr="00261B7A" w:rsidRDefault="00994F64" w:rsidP="00501B0F">
            <w:pPr>
              <w:pStyle w:val="TableText"/>
              <w:jc w:val="right"/>
              <w:rPr>
                <w:rFonts w:cs="Calibri"/>
                <w:szCs w:val="16"/>
              </w:rPr>
            </w:pPr>
            <w:r w:rsidRPr="00261B7A">
              <w:rPr>
                <w:rFonts w:cs="Calibri"/>
                <w:color w:val="000000"/>
                <w:szCs w:val="16"/>
              </w:rPr>
              <w:t>–</w:t>
            </w:r>
            <w:r w:rsidRPr="00261B7A">
              <w:rPr>
                <w:color w:val="000000"/>
              </w:rPr>
              <w:t>6,</w:t>
            </w:r>
            <w:r w:rsidRPr="00261B7A">
              <w:rPr>
                <w:rFonts w:cs="Calibri"/>
                <w:color w:val="000000"/>
                <w:szCs w:val="16"/>
              </w:rPr>
              <w:t>395.4</w:t>
            </w:r>
          </w:p>
        </w:tc>
        <w:tc>
          <w:tcPr>
            <w:tcW w:w="989" w:type="dxa"/>
            <w:shd w:val="clear" w:color="auto" w:fill="auto"/>
            <w:vAlign w:val="center"/>
          </w:tcPr>
          <w:p w14:paraId="7DFD6375" w14:textId="77777777" w:rsidR="00994F64" w:rsidRPr="00261B7A" w:rsidRDefault="00994F64" w:rsidP="00501B0F">
            <w:pPr>
              <w:pStyle w:val="TableText"/>
              <w:jc w:val="right"/>
              <w:rPr>
                <w:rFonts w:cs="Calibri"/>
                <w:szCs w:val="16"/>
              </w:rPr>
            </w:pPr>
            <w:r w:rsidRPr="00261B7A">
              <w:rPr>
                <w:color w:val="000000"/>
              </w:rPr>
              <w:t>53.</w:t>
            </w:r>
            <w:r w:rsidRPr="00261B7A">
              <w:rPr>
                <w:rFonts w:cs="Calibri"/>
                <w:color w:val="000000"/>
                <w:szCs w:val="16"/>
              </w:rPr>
              <w:t>4</w:t>
            </w:r>
          </w:p>
        </w:tc>
        <w:tc>
          <w:tcPr>
            <w:tcW w:w="989" w:type="dxa"/>
            <w:shd w:val="clear" w:color="auto" w:fill="auto"/>
            <w:vAlign w:val="center"/>
          </w:tcPr>
          <w:p w14:paraId="7CDD8A45" w14:textId="77777777" w:rsidR="00994F64" w:rsidRPr="00261B7A" w:rsidRDefault="00994F64" w:rsidP="00501B0F">
            <w:pPr>
              <w:pStyle w:val="TableText"/>
              <w:jc w:val="right"/>
              <w:rPr>
                <w:rFonts w:cs="Calibri"/>
                <w:szCs w:val="16"/>
              </w:rPr>
            </w:pPr>
            <w:r w:rsidRPr="00261B7A">
              <w:rPr>
                <w:color w:val="000000"/>
              </w:rPr>
              <w:t>28.</w:t>
            </w:r>
            <w:r w:rsidRPr="00261B7A">
              <w:rPr>
                <w:rFonts w:cs="Calibri"/>
                <w:color w:val="000000"/>
                <w:szCs w:val="16"/>
              </w:rPr>
              <w:t>8</w:t>
            </w:r>
          </w:p>
        </w:tc>
        <w:tc>
          <w:tcPr>
            <w:tcW w:w="837" w:type="dxa"/>
            <w:shd w:val="clear" w:color="auto" w:fill="auto"/>
            <w:vAlign w:val="center"/>
          </w:tcPr>
          <w:p w14:paraId="5A0E6231" w14:textId="77777777" w:rsidR="00994F64" w:rsidRPr="00261B7A" w:rsidRDefault="00994F64" w:rsidP="00501B0F">
            <w:pPr>
              <w:pStyle w:val="TableText"/>
              <w:jc w:val="right"/>
              <w:rPr>
                <w:rFonts w:cs="Calibri"/>
                <w:szCs w:val="16"/>
              </w:rPr>
            </w:pPr>
            <w:r w:rsidRPr="00261B7A">
              <w:rPr>
                <w:color w:val="000000"/>
              </w:rPr>
              <w:t>43.</w:t>
            </w:r>
            <w:r w:rsidRPr="00261B7A">
              <w:rPr>
                <w:rFonts w:cs="Calibri"/>
                <w:color w:val="000000"/>
                <w:szCs w:val="16"/>
              </w:rPr>
              <w:t>2</w:t>
            </w:r>
          </w:p>
        </w:tc>
        <w:tc>
          <w:tcPr>
            <w:tcW w:w="858" w:type="dxa"/>
            <w:shd w:val="clear" w:color="auto" w:fill="auto"/>
            <w:vAlign w:val="center"/>
          </w:tcPr>
          <w:p w14:paraId="74D9C5A5" w14:textId="77777777" w:rsidR="00994F64" w:rsidRPr="00261B7A" w:rsidRDefault="00994F64" w:rsidP="00501B0F">
            <w:pPr>
              <w:pStyle w:val="TableText"/>
              <w:jc w:val="right"/>
              <w:rPr>
                <w:rFonts w:cs="Calibri"/>
                <w:szCs w:val="16"/>
              </w:rPr>
            </w:pPr>
            <w:r w:rsidRPr="00261B7A">
              <w:rPr>
                <w:color w:val="000000"/>
              </w:rPr>
              <w:t>21.</w:t>
            </w:r>
            <w:r w:rsidRPr="00261B7A">
              <w:rPr>
                <w:rFonts w:cs="Calibri"/>
                <w:color w:val="000000"/>
                <w:szCs w:val="16"/>
              </w:rPr>
              <w:t>2</w:t>
            </w:r>
          </w:p>
        </w:tc>
      </w:tr>
      <w:tr w:rsidR="00994F64" w:rsidRPr="00261B7A" w14:paraId="297B34FE" w14:textId="77777777" w:rsidTr="00501B0F">
        <w:tc>
          <w:tcPr>
            <w:tcW w:w="1638" w:type="dxa"/>
            <w:shd w:val="clear" w:color="auto" w:fill="auto"/>
          </w:tcPr>
          <w:p w14:paraId="0D886D8A" w14:textId="77777777" w:rsidR="00994F64" w:rsidRPr="00261B7A" w:rsidRDefault="00994F64" w:rsidP="00501B0F">
            <w:pPr>
              <w:pStyle w:val="TableText"/>
              <w:rPr>
                <w:rFonts w:cs="Calibri"/>
                <w:szCs w:val="16"/>
              </w:rPr>
            </w:pPr>
            <w:r w:rsidRPr="00261B7A">
              <w:rPr>
                <w:rFonts w:cs="Calibri"/>
                <w:szCs w:val="16"/>
              </w:rPr>
              <w:t>Deer</w:t>
            </w:r>
          </w:p>
        </w:tc>
        <w:tc>
          <w:tcPr>
            <w:tcW w:w="792" w:type="dxa"/>
            <w:shd w:val="clear" w:color="auto" w:fill="auto"/>
            <w:vAlign w:val="center"/>
          </w:tcPr>
          <w:p w14:paraId="45DF0553" w14:textId="77777777" w:rsidR="00994F64" w:rsidRPr="00261B7A" w:rsidRDefault="00994F64" w:rsidP="00501B0F">
            <w:pPr>
              <w:pStyle w:val="TableText"/>
              <w:jc w:val="right"/>
              <w:rPr>
                <w:rFonts w:cs="Calibri"/>
                <w:szCs w:val="16"/>
              </w:rPr>
            </w:pPr>
            <w:r w:rsidRPr="00261B7A">
              <w:rPr>
                <w:rFonts w:cs="Calibri"/>
                <w:color w:val="000000"/>
                <w:szCs w:val="16"/>
              </w:rPr>
              <w:t>429.0</w:t>
            </w:r>
          </w:p>
        </w:tc>
        <w:tc>
          <w:tcPr>
            <w:tcW w:w="848" w:type="dxa"/>
            <w:shd w:val="clear" w:color="auto" w:fill="auto"/>
            <w:vAlign w:val="center"/>
          </w:tcPr>
          <w:p w14:paraId="17DC11DA" w14:textId="77777777" w:rsidR="00994F64" w:rsidRPr="00261B7A" w:rsidRDefault="00994F64" w:rsidP="00501B0F">
            <w:pPr>
              <w:pStyle w:val="TableText"/>
              <w:jc w:val="right"/>
              <w:rPr>
                <w:rFonts w:cs="Calibri"/>
                <w:szCs w:val="16"/>
              </w:rPr>
            </w:pPr>
            <w:r w:rsidRPr="00261B7A">
              <w:rPr>
                <w:rFonts w:cs="Calibri"/>
                <w:color w:val="000000"/>
                <w:szCs w:val="16"/>
              </w:rPr>
              <w:t>468.3</w:t>
            </w:r>
          </w:p>
        </w:tc>
        <w:tc>
          <w:tcPr>
            <w:tcW w:w="755" w:type="dxa"/>
            <w:shd w:val="clear" w:color="auto" w:fill="auto"/>
            <w:vAlign w:val="center"/>
          </w:tcPr>
          <w:p w14:paraId="70A5A3B8" w14:textId="77777777" w:rsidR="00994F64" w:rsidRPr="00261B7A" w:rsidRDefault="00994F64" w:rsidP="00501B0F">
            <w:pPr>
              <w:pStyle w:val="TableText"/>
              <w:jc w:val="right"/>
              <w:rPr>
                <w:rFonts w:cs="Calibri"/>
                <w:szCs w:val="16"/>
              </w:rPr>
            </w:pPr>
            <w:r w:rsidRPr="00261B7A">
              <w:rPr>
                <w:rFonts w:cs="Calibri"/>
                <w:color w:val="000000"/>
                <w:szCs w:val="16"/>
              </w:rPr>
              <w:t>9.2</w:t>
            </w:r>
          </w:p>
        </w:tc>
        <w:tc>
          <w:tcPr>
            <w:tcW w:w="799" w:type="dxa"/>
            <w:shd w:val="clear" w:color="auto" w:fill="auto"/>
            <w:vAlign w:val="center"/>
          </w:tcPr>
          <w:p w14:paraId="1D86CDA5" w14:textId="77777777" w:rsidR="00994F64" w:rsidRPr="00261B7A" w:rsidRDefault="00994F64" w:rsidP="00501B0F">
            <w:pPr>
              <w:pStyle w:val="TableText"/>
              <w:jc w:val="right"/>
              <w:rPr>
                <w:rFonts w:cs="Calibri"/>
                <w:szCs w:val="16"/>
              </w:rPr>
            </w:pPr>
            <w:r w:rsidRPr="00261B7A">
              <w:rPr>
                <w:rFonts w:cs="Calibri"/>
                <w:color w:val="000000"/>
                <w:szCs w:val="16"/>
              </w:rPr>
              <w:t>39.3</w:t>
            </w:r>
          </w:p>
        </w:tc>
        <w:tc>
          <w:tcPr>
            <w:tcW w:w="989" w:type="dxa"/>
            <w:shd w:val="clear" w:color="auto" w:fill="auto"/>
            <w:vAlign w:val="center"/>
          </w:tcPr>
          <w:p w14:paraId="578BF9E6" w14:textId="77777777" w:rsidR="00994F64" w:rsidRPr="00261B7A" w:rsidRDefault="00994F64" w:rsidP="00501B0F">
            <w:pPr>
              <w:pStyle w:val="TableText"/>
              <w:jc w:val="right"/>
              <w:rPr>
                <w:rFonts w:cs="Calibri"/>
                <w:szCs w:val="16"/>
              </w:rPr>
            </w:pPr>
            <w:r w:rsidRPr="00261B7A">
              <w:rPr>
                <w:color w:val="000000"/>
              </w:rPr>
              <w:t>1.6</w:t>
            </w:r>
          </w:p>
        </w:tc>
        <w:tc>
          <w:tcPr>
            <w:tcW w:w="989" w:type="dxa"/>
            <w:shd w:val="clear" w:color="auto" w:fill="auto"/>
            <w:vAlign w:val="center"/>
          </w:tcPr>
          <w:p w14:paraId="2FFEC6EB" w14:textId="77777777" w:rsidR="00994F64" w:rsidRPr="00261B7A" w:rsidRDefault="00994F64" w:rsidP="00501B0F">
            <w:pPr>
              <w:pStyle w:val="TableText"/>
              <w:jc w:val="right"/>
              <w:rPr>
                <w:rFonts w:cs="Calibri"/>
                <w:szCs w:val="16"/>
              </w:rPr>
            </w:pPr>
            <w:r w:rsidRPr="00261B7A">
              <w:rPr>
                <w:color w:val="000000"/>
              </w:rPr>
              <w:t>1.7</w:t>
            </w:r>
          </w:p>
        </w:tc>
        <w:tc>
          <w:tcPr>
            <w:tcW w:w="837" w:type="dxa"/>
            <w:shd w:val="clear" w:color="auto" w:fill="auto"/>
            <w:vAlign w:val="center"/>
          </w:tcPr>
          <w:p w14:paraId="5C220175" w14:textId="77777777" w:rsidR="00994F64" w:rsidRPr="00261B7A" w:rsidRDefault="00994F64" w:rsidP="00501B0F">
            <w:pPr>
              <w:pStyle w:val="TableText"/>
              <w:jc w:val="right"/>
              <w:rPr>
                <w:rFonts w:cs="Calibri"/>
                <w:szCs w:val="16"/>
              </w:rPr>
            </w:pPr>
            <w:r w:rsidRPr="00261B7A">
              <w:rPr>
                <w:color w:val="000000"/>
              </w:rPr>
              <w:t>1.3</w:t>
            </w:r>
          </w:p>
        </w:tc>
        <w:tc>
          <w:tcPr>
            <w:tcW w:w="858" w:type="dxa"/>
            <w:shd w:val="clear" w:color="auto" w:fill="auto"/>
            <w:vAlign w:val="center"/>
          </w:tcPr>
          <w:p w14:paraId="1F9EC869" w14:textId="77777777" w:rsidR="00994F64" w:rsidRPr="00261B7A" w:rsidRDefault="00994F64" w:rsidP="00501B0F">
            <w:pPr>
              <w:pStyle w:val="TableText"/>
              <w:jc w:val="right"/>
              <w:rPr>
                <w:rFonts w:cs="Calibri"/>
                <w:szCs w:val="16"/>
              </w:rPr>
            </w:pPr>
            <w:r w:rsidRPr="00261B7A">
              <w:rPr>
                <w:color w:val="000000"/>
              </w:rPr>
              <w:t>1.</w:t>
            </w:r>
            <w:r w:rsidRPr="00261B7A">
              <w:rPr>
                <w:rFonts w:cs="Calibri"/>
                <w:color w:val="000000"/>
                <w:szCs w:val="16"/>
              </w:rPr>
              <w:t>2</w:t>
            </w:r>
          </w:p>
        </w:tc>
      </w:tr>
      <w:tr w:rsidR="00994F64" w:rsidRPr="00261B7A" w14:paraId="38A3DF75" w14:textId="77777777" w:rsidTr="00501B0F">
        <w:tc>
          <w:tcPr>
            <w:tcW w:w="1638" w:type="dxa"/>
            <w:shd w:val="clear" w:color="auto" w:fill="auto"/>
          </w:tcPr>
          <w:p w14:paraId="76ACCDBC" w14:textId="77777777" w:rsidR="00994F64" w:rsidRPr="00261B7A" w:rsidRDefault="00994F64" w:rsidP="00501B0F">
            <w:pPr>
              <w:pStyle w:val="TableText"/>
              <w:rPr>
                <w:rFonts w:cs="Calibri"/>
                <w:szCs w:val="16"/>
              </w:rPr>
            </w:pPr>
            <w:r w:rsidRPr="00261B7A">
              <w:rPr>
                <w:rFonts w:cs="Calibri"/>
                <w:szCs w:val="16"/>
              </w:rPr>
              <w:t>Minor livestock</w:t>
            </w:r>
          </w:p>
        </w:tc>
        <w:tc>
          <w:tcPr>
            <w:tcW w:w="792" w:type="dxa"/>
            <w:shd w:val="clear" w:color="auto" w:fill="auto"/>
            <w:vAlign w:val="center"/>
          </w:tcPr>
          <w:p w14:paraId="5E5DA0DA" w14:textId="77777777" w:rsidR="00994F64" w:rsidRPr="00261B7A" w:rsidRDefault="00994F64" w:rsidP="00501B0F">
            <w:pPr>
              <w:pStyle w:val="TableText"/>
              <w:jc w:val="right"/>
              <w:rPr>
                <w:rFonts w:cs="Calibri"/>
                <w:szCs w:val="16"/>
              </w:rPr>
            </w:pPr>
            <w:r w:rsidRPr="00261B7A">
              <w:rPr>
                <w:color w:val="000000"/>
              </w:rPr>
              <w:t>249.5</w:t>
            </w:r>
          </w:p>
        </w:tc>
        <w:tc>
          <w:tcPr>
            <w:tcW w:w="848" w:type="dxa"/>
            <w:shd w:val="clear" w:color="auto" w:fill="auto"/>
            <w:vAlign w:val="center"/>
          </w:tcPr>
          <w:p w14:paraId="48F0B944" w14:textId="77777777" w:rsidR="00994F64" w:rsidRPr="00261B7A" w:rsidRDefault="00994F64" w:rsidP="00501B0F">
            <w:pPr>
              <w:pStyle w:val="TableText"/>
              <w:jc w:val="right"/>
              <w:rPr>
                <w:rFonts w:cs="Calibri"/>
                <w:szCs w:val="16"/>
              </w:rPr>
            </w:pPr>
            <w:r w:rsidRPr="00261B7A">
              <w:rPr>
                <w:rFonts w:cs="Calibri"/>
                <w:color w:val="000000"/>
                <w:szCs w:val="16"/>
              </w:rPr>
              <w:t>52.4</w:t>
            </w:r>
          </w:p>
        </w:tc>
        <w:tc>
          <w:tcPr>
            <w:tcW w:w="755" w:type="dxa"/>
            <w:shd w:val="clear" w:color="auto" w:fill="auto"/>
            <w:vAlign w:val="center"/>
          </w:tcPr>
          <w:p w14:paraId="56003906" w14:textId="77777777" w:rsidR="00994F64" w:rsidRPr="00261B7A" w:rsidRDefault="00994F64" w:rsidP="00501B0F">
            <w:pPr>
              <w:pStyle w:val="TableText"/>
              <w:jc w:val="right"/>
              <w:rPr>
                <w:rFonts w:cs="Calibri"/>
                <w:szCs w:val="16"/>
              </w:rPr>
            </w:pPr>
            <w:r w:rsidRPr="00261B7A">
              <w:rPr>
                <w:rFonts w:cs="Calibri"/>
                <w:color w:val="000000"/>
                <w:szCs w:val="16"/>
              </w:rPr>
              <w:t>–79.0</w:t>
            </w:r>
          </w:p>
        </w:tc>
        <w:tc>
          <w:tcPr>
            <w:tcW w:w="799" w:type="dxa"/>
            <w:shd w:val="clear" w:color="auto" w:fill="auto"/>
            <w:vAlign w:val="center"/>
          </w:tcPr>
          <w:p w14:paraId="6198746B" w14:textId="77777777" w:rsidR="00994F64" w:rsidRPr="00261B7A" w:rsidRDefault="00994F64" w:rsidP="00501B0F">
            <w:pPr>
              <w:pStyle w:val="TableText"/>
              <w:jc w:val="right"/>
              <w:rPr>
                <w:rFonts w:cs="Calibri"/>
                <w:szCs w:val="16"/>
              </w:rPr>
            </w:pPr>
            <w:r w:rsidRPr="00261B7A">
              <w:rPr>
                <w:rFonts w:cs="Calibri"/>
                <w:color w:val="000000"/>
                <w:szCs w:val="16"/>
              </w:rPr>
              <w:t>–197.1</w:t>
            </w:r>
          </w:p>
        </w:tc>
        <w:tc>
          <w:tcPr>
            <w:tcW w:w="989" w:type="dxa"/>
            <w:shd w:val="clear" w:color="auto" w:fill="auto"/>
            <w:vAlign w:val="center"/>
          </w:tcPr>
          <w:p w14:paraId="30B71386" w14:textId="77777777" w:rsidR="00994F64" w:rsidRPr="00261B7A" w:rsidRDefault="00994F64" w:rsidP="00501B0F">
            <w:pPr>
              <w:pStyle w:val="TableText"/>
              <w:jc w:val="right"/>
              <w:rPr>
                <w:rFonts w:cs="Calibri"/>
                <w:szCs w:val="16"/>
              </w:rPr>
            </w:pPr>
            <w:r w:rsidRPr="00261B7A">
              <w:rPr>
                <w:color w:val="000000"/>
              </w:rPr>
              <w:t>0.9</w:t>
            </w:r>
          </w:p>
        </w:tc>
        <w:tc>
          <w:tcPr>
            <w:tcW w:w="989" w:type="dxa"/>
            <w:shd w:val="clear" w:color="auto" w:fill="auto"/>
            <w:vAlign w:val="center"/>
          </w:tcPr>
          <w:p w14:paraId="7A74CFAC" w14:textId="77777777" w:rsidR="00994F64" w:rsidRPr="00261B7A" w:rsidRDefault="00994F64" w:rsidP="00501B0F">
            <w:pPr>
              <w:pStyle w:val="TableText"/>
              <w:jc w:val="right"/>
              <w:rPr>
                <w:rFonts w:cs="Calibri"/>
                <w:szCs w:val="16"/>
              </w:rPr>
            </w:pPr>
            <w:r w:rsidRPr="00261B7A">
              <w:rPr>
                <w:color w:val="000000"/>
              </w:rPr>
              <w:t>0.2</w:t>
            </w:r>
          </w:p>
        </w:tc>
        <w:tc>
          <w:tcPr>
            <w:tcW w:w="837" w:type="dxa"/>
            <w:shd w:val="clear" w:color="auto" w:fill="auto"/>
            <w:vAlign w:val="center"/>
          </w:tcPr>
          <w:p w14:paraId="6E4FEB13" w14:textId="77777777" w:rsidR="00994F64" w:rsidRPr="00261B7A" w:rsidRDefault="00994F64" w:rsidP="00501B0F">
            <w:pPr>
              <w:pStyle w:val="TableText"/>
              <w:jc w:val="right"/>
              <w:rPr>
                <w:rFonts w:cs="Calibri"/>
                <w:szCs w:val="16"/>
              </w:rPr>
            </w:pPr>
            <w:r w:rsidRPr="00261B7A">
              <w:rPr>
                <w:color w:val="000000"/>
              </w:rPr>
              <w:t>0.7</w:t>
            </w:r>
          </w:p>
        </w:tc>
        <w:tc>
          <w:tcPr>
            <w:tcW w:w="858" w:type="dxa"/>
            <w:shd w:val="clear" w:color="auto" w:fill="auto"/>
            <w:vAlign w:val="center"/>
          </w:tcPr>
          <w:p w14:paraId="0AFA1FD5" w14:textId="77777777" w:rsidR="00994F64" w:rsidRPr="00261B7A" w:rsidRDefault="00994F64" w:rsidP="00501B0F">
            <w:pPr>
              <w:pStyle w:val="TableText"/>
              <w:jc w:val="right"/>
              <w:rPr>
                <w:rFonts w:cs="Calibri"/>
                <w:szCs w:val="16"/>
              </w:rPr>
            </w:pPr>
            <w:r w:rsidRPr="00261B7A">
              <w:rPr>
                <w:color w:val="000000"/>
              </w:rPr>
              <w:t>0.1</w:t>
            </w:r>
          </w:p>
        </w:tc>
      </w:tr>
      <w:tr w:rsidR="00994F64" w:rsidRPr="00261B7A" w14:paraId="1289BAB4" w14:textId="77777777" w:rsidTr="00501B0F">
        <w:tc>
          <w:tcPr>
            <w:tcW w:w="1638" w:type="dxa"/>
            <w:shd w:val="clear" w:color="auto" w:fill="auto"/>
          </w:tcPr>
          <w:p w14:paraId="01C0645F" w14:textId="77777777" w:rsidR="00994F64" w:rsidRPr="00261B7A" w:rsidRDefault="00994F64" w:rsidP="00501B0F">
            <w:pPr>
              <w:pStyle w:val="TableText"/>
              <w:rPr>
                <w:rFonts w:cs="Calibri"/>
                <w:b/>
                <w:bCs/>
                <w:color w:val="1B556B"/>
                <w:szCs w:val="16"/>
              </w:rPr>
            </w:pPr>
            <w:r w:rsidRPr="00261B7A">
              <w:rPr>
                <w:rFonts w:cs="Calibri"/>
                <w:b/>
                <w:bCs/>
                <w:color w:val="1B556B"/>
                <w:szCs w:val="16"/>
              </w:rPr>
              <w:t>Total</w:t>
            </w:r>
          </w:p>
        </w:tc>
        <w:tc>
          <w:tcPr>
            <w:tcW w:w="792" w:type="dxa"/>
            <w:shd w:val="clear" w:color="auto" w:fill="auto"/>
            <w:vAlign w:val="center"/>
          </w:tcPr>
          <w:p w14:paraId="4CD75452" w14:textId="77777777" w:rsidR="00994F64" w:rsidRPr="00261B7A" w:rsidRDefault="00994F64" w:rsidP="00501B0F">
            <w:pPr>
              <w:pStyle w:val="TableText"/>
              <w:jc w:val="right"/>
              <w:rPr>
                <w:rFonts w:cs="Calibri"/>
                <w:b/>
                <w:color w:val="1B556B"/>
                <w:szCs w:val="16"/>
              </w:rPr>
            </w:pPr>
            <w:r w:rsidRPr="00261B7A">
              <w:rPr>
                <w:rFonts w:cs="Calibri"/>
                <w:b/>
                <w:bCs/>
                <w:color w:val="1B556B"/>
                <w:szCs w:val="16"/>
              </w:rPr>
              <w:t>26,960.4</w:t>
            </w:r>
          </w:p>
        </w:tc>
        <w:tc>
          <w:tcPr>
            <w:tcW w:w="848" w:type="dxa"/>
            <w:shd w:val="clear" w:color="auto" w:fill="auto"/>
            <w:vAlign w:val="center"/>
          </w:tcPr>
          <w:p w14:paraId="7BCAB663" w14:textId="77777777" w:rsidR="00994F64" w:rsidRPr="00261B7A" w:rsidRDefault="00994F64" w:rsidP="00501B0F">
            <w:pPr>
              <w:pStyle w:val="TableText"/>
              <w:jc w:val="right"/>
              <w:rPr>
                <w:rFonts w:cs="Calibri"/>
                <w:b/>
                <w:color w:val="1B556B"/>
                <w:szCs w:val="16"/>
              </w:rPr>
            </w:pPr>
            <w:r w:rsidRPr="00261B7A">
              <w:rPr>
                <w:rFonts w:cs="Calibri"/>
                <w:b/>
                <w:bCs/>
                <w:color w:val="1B556B"/>
                <w:szCs w:val="16"/>
              </w:rPr>
              <w:t>27,859.0</w:t>
            </w:r>
          </w:p>
        </w:tc>
        <w:tc>
          <w:tcPr>
            <w:tcW w:w="755" w:type="dxa"/>
            <w:shd w:val="clear" w:color="auto" w:fill="auto"/>
            <w:vAlign w:val="center"/>
          </w:tcPr>
          <w:p w14:paraId="2AC3FAB0" w14:textId="77777777" w:rsidR="00994F64" w:rsidRPr="00261B7A" w:rsidRDefault="00994F64" w:rsidP="00501B0F">
            <w:pPr>
              <w:pStyle w:val="TableText"/>
              <w:jc w:val="right"/>
              <w:rPr>
                <w:rFonts w:cs="Calibri"/>
                <w:b/>
                <w:color w:val="1B556B"/>
                <w:szCs w:val="16"/>
              </w:rPr>
            </w:pPr>
            <w:r w:rsidRPr="00261B7A">
              <w:rPr>
                <w:rFonts w:cs="Calibri"/>
                <w:b/>
                <w:color w:val="1B556B"/>
                <w:szCs w:val="16"/>
              </w:rPr>
              <w:t>3.3</w:t>
            </w:r>
          </w:p>
        </w:tc>
        <w:tc>
          <w:tcPr>
            <w:tcW w:w="799" w:type="dxa"/>
            <w:shd w:val="clear" w:color="auto" w:fill="auto"/>
            <w:vAlign w:val="center"/>
          </w:tcPr>
          <w:p w14:paraId="3B74FC31" w14:textId="77777777" w:rsidR="00994F64" w:rsidRPr="00261B7A" w:rsidRDefault="00994F64" w:rsidP="00501B0F">
            <w:pPr>
              <w:pStyle w:val="TableText"/>
              <w:jc w:val="right"/>
              <w:rPr>
                <w:rFonts w:cs="Calibri"/>
                <w:b/>
                <w:color w:val="1B556B"/>
                <w:szCs w:val="16"/>
              </w:rPr>
            </w:pPr>
            <w:r w:rsidRPr="00261B7A">
              <w:rPr>
                <w:rFonts w:cs="Calibri"/>
                <w:b/>
                <w:color w:val="1B556B"/>
                <w:szCs w:val="16"/>
              </w:rPr>
              <w:t>898.6</w:t>
            </w:r>
          </w:p>
        </w:tc>
        <w:tc>
          <w:tcPr>
            <w:tcW w:w="989" w:type="dxa"/>
            <w:shd w:val="clear" w:color="auto" w:fill="auto"/>
            <w:vAlign w:val="center"/>
          </w:tcPr>
          <w:p w14:paraId="11FBBDDE" w14:textId="77777777" w:rsidR="00994F64" w:rsidRPr="00261B7A" w:rsidRDefault="00994F64" w:rsidP="00501B0F">
            <w:pPr>
              <w:pStyle w:val="TableText"/>
              <w:jc w:val="right"/>
              <w:rPr>
                <w:rFonts w:cs="Calibri"/>
                <w:b/>
                <w:color w:val="1B556B"/>
                <w:szCs w:val="16"/>
              </w:rPr>
            </w:pPr>
            <w:r w:rsidRPr="00261B7A">
              <w:rPr>
                <w:rFonts w:cs="Calibri"/>
                <w:b/>
                <w:color w:val="1B556B"/>
                <w:szCs w:val="16"/>
              </w:rPr>
              <w:t>100</w:t>
            </w:r>
          </w:p>
        </w:tc>
        <w:tc>
          <w:tcPr>
            <w:tcW w:w="989" w:type="dxa"/>
            <w:shd w:val="clear" w:color="auto" w:fill="auto"/>
            <w:vAlign w:val="center"/>
          </w:tcPr>
          <w:p w14:paraId="01AFADDE" w14:textId="77777777" w:rsidR="00994F64" w:rsidRPr="00261B7A" w:rsidRDefault="00994F64" w:rsidP="00501B0F">
            <w:pPr>
              <w:pStyle w:val="TableText"/>
              <w:jc w:val="right"/>
              <w:rPr>
                <w:rFonts w:cs="Calibri"/>
                <w:b/>
                <w:color w:val="1B556B"/>
                <w:szCs w:val="16"/>
              </w:rPr>
            </w:pPr>
            <w:r w:rsidRPr="00261B7A">
              <w:rPr>
                <w:rFonts w:cs="Calibri"/>
                <w:b/>
                <w:color w:val="1B556B"/>
                <w:szCs w:val="16"/>
              </w:rPr>
              <w:t>100</w:t>
            </w:r>
          </w:p>
        </w:tc>
        <w:tc>
          <w:tcPr>
            <w:tcW w:w="837" w:type="dxa"/>
            <w:shd w:val="clear" w:color="auto" w:fill="auto"/>
            <w:vAlign w:val="center"/>
          </w:tcPr>
          <w:p w14:paraId="4BADC450" w14:textId="77777777" w:rsidR="00994F64" w:rsidRPr="00261B7A" w:rsidRDefault="00994F64" w:rsidP="00501B0F">
            <w:pPr>
              <w:pStyle w:val="TableText"/>
              <w:jc w:val="right"/>
              <w:rPr>
                <w:rFonts w:cs="Calibri"/>
                <w:b/>
                <w:color w:val="1B556B"/>
                <w:szCs w:val="16"/>
              </w:rPr>
            </w:pPr>
            <w:r w:rsidRPr="00261B7A">
              <w:rPr>
                <w:rFonts w:cs="Calibri"/>
                <w:b/>
                <w:color w:val="1B556B"/>
                <w:szCs w:val="16"/>
              </w:rPr>
              <w:t>80.9</w:t>
            </w:r>
          </w:p>
        </w:tc>
        <w:tc>
          <w:tcPr>
            <w:tcW w:w="858" w:type="dxa"/>
            <w:shd w:val="clear" w:color="auto" w:fill="auto"/>
            <w:vAlign w:val="center"/>
          </w:tcPr>
          <w:p w14:paraId="64510069" w14:textId="77777777" w:rsidR="00994F64" w:rsidRPr="00261B7A" w:rsidRDefault="00994F64" w:rsidP="00501B0F">
            <w:pPr>
              <w:pStyle w:val="TableText"/>
              <w:jc w:val="right"/>
              <w:rPr>
                <w:rFonts w:cs="Calibri"/>
                <w:b/>
                <w:color w:val="1B556B"/>
                <w:szCs w:val="16"/>
              </w:rPr>
            </w:pPr>
            <w:r w:rsidRPr="00261B7A">
              <w:rPr>
                <w:rFonts w:cs="Calibri"/>
                <w:b/>
                <w:color w:val="1B556B"/>
                <w:szCs w:val="16"/>
              </w:rPr>
              <w:t>73.7</w:t>
            </w:r>
          </w:p>
        </w:tc>
      </w:tr>
    </w:tbl>
    <w:p w14:paraId="48CC36D9" w14:textId="77777777" w:rsidR="00994F64" w:rsidRPr="00261B7A" w:rsidRDefault="00994F64" w:rsidP="00994F64">
      <w:pPr>
        <w:pStyle w:val="Noteundertable"/>
        <w:rPr>
          <w:rFonts w:cs="Calibri"/>
        </w:rPr>
      </w:pPr>
      <w:r w:rsidRPr="00261B7A">
        <w:rPr>
          <w:rFonts w:cs="Calibri"/>
          <w:b/>
          <w:bCs/>
        </w:rPr>
        <w:t>Note</w:t>
      </w:r>
      <w:r w:rsidRPr="00261B7A">
        <w:rPr>
          <w:rFonts w:cs="Calibri"/>
        </w:rPr>
        <w:t>:</w:t>
      </w:r>
      <w:r w:rsidRPr="00261B7A">
        <w:rPr>
          <w:rFonts w:cs="Calibri"/>
        </w:rPr>
        <w:tab/>
        <w:t>Percentages presented are calculated from unrounded values.</w:t>
      </w:r>
    </w:p>
    <w:p w14:paraId="5D610A28" w14:textId="77777777" w:rsidR="00994F64" w:rsidRPr="00261B7A" w:rsidRDefault="00994F64" w:rsidP="00994F64">
      <w:pPr>
        <w:pStyle w:val="Heading3"/>
      </w:pPr>
      <w:bookmarkStart w:id="743" w:name="_Toc32570652"/>
      <w:r w:rsidRPr="00261B7A">
        <w:t>5.2.2</w:t>
      </w:r>
      <w:r w:rsidRPr="00261B7A">
        <w:tab/>
        <w:t>Methodological issues</w:t>
      </w:r>
      <w:bookmarkEnd w:id="742"/>
      <w:bookmarkEnd w:id="743"/>
      <w:r w:rsidRPr="00261B7A">
        <w:t xml:space="preserve"> </w:t>
      </w:r>
    </w:p>
    <w:p w14:paraId="6ECF8CE0" w14:textId="77777777" w:rsidR="00994F64" w:rsidRPr="00261B7A" w:rsidRDefault="00994F64" w:rsidP="00994F64">
      <w:pPr>
        <w:pStyle w:val="Heading4"/>
        <w:spacing w:before="160"/>
      </w:pPr>
      <w:r w:rsidRPr="00261B7A">
        <w:t>Emissions from Non-dairy (beef) cattle, Dairy cattle and Deer</w:t>
      </w:r>
    </w:p>
    <w:p w14:paraId="2B5C603E" w14:textId="77777777" w:rsidR="00994F64" w:rsidRPr="00261B7A" w:rsidRDefault="00994F64" w:rsidP="00994F64">
      <w:pPr>
        <w:pStyle w:val="BodyText"/>
        <w:rPr>
          <w:rFonts w:cs="Calibri"/>
        </w:rPr>
      </w:pPr>
      <w:r w:rsidRPr="00261B7A">
        <w:rPr>
          <w:rFonts w:cs="Calibri"/>
        </w:rPr>
        <w:t>The total amount of enteric CH</w:t>
      </w:r>
      <w:r w:rsidRPr="00261B7A">
        <w:rPr>
          <w:rFonts w:cs="Calibri"/>
          <w:vertAlign w:val="subscript"/>
        </w:rPr>
        <w:t>4</w:t>
      </w:r>
      <w:r w:rsidRPr="00261B7A">
        <w:rPr>
          <w:rFonts w:cs="Calibri"/>
        </w:rPr>
        <w:t xml:space="preserve"> emitted by </w:t>
      </w:r>
      <w:r w:rsidRPr="00261B7A">
        <w:rPr>
          <w:rFonts w:cs="Calibri"/>
          <w:i/>
          <w:iCs/>
        </w:rPr>
        <w:t xml:space="preserve">Non-dairy </w:t>
      </w:r>
      <w:r w:rsidRPr="00261B7A">
        <w:rPr>
          <w:rFonts w:cs="Calibri"/>
        </w:rPr>
        <w:t>(beef)</w:t>
      </w:r>
      <w:r w:rsidRPr="00261B7A">
        <w:rPr>
          <w:rFonts w:cs="Calibri"/>
          <w:i/>
          <w:iCs/>
        </w:rPr>
        <w:t xml:space="preserve"> cattle, Dairy cattle</w:t>
      </w:r>
      <w:r w:rsidRPr="00261B7A">
        <w:rPr>
          <w:rFonts w:cs="Calibri"/>
        </w:rPr>
        <w:t xml:space="preserve"> and </w:t>
      </w:r>
      <w:r w:rsidRPr="00261B7A">
        <w:rPr>
          <w:rFonts w:cs="Calibri"/>
          <w:i/>
          <w:iCs/>
        </w:rPr>
        <w:t>Deer</w:t>
      </w:r>
      <w:r w:rsidRPr="00261B7A">
        <w:rPr>
          <w:rFonts w:cs="Calibri"/>
        </w:rPr>
        <w:t xml:space="preserve"> is calculated using a CH</w:t>
      </w:r>
      <w:r w:rsidRPr="00261B7A">
        <w:rPr>
          <w:rFonts w:cs="Calibri"/>
          <w:vertAlign w:val="subscript"/>
        </w:rPr>
        <w:t>4</w:t>
      </w:r>
      <w:r w:rsidRPr="00261B7A">
        <w:rPr>
          <w:rFonts w:cs="Calibri"/>
        </w:rPr>
        <w:t xml:space="preserve"> conversion factor for emissions per unit of dry matter feed intake in kilograms of DMI per livestock category (see figure 5.2.1). The enhanced livestock population characterisation and DMI per head is calculated by New Zealand’s Tier 2 inventory model (see section 5.1.3).</w:t>
      </w:r>
      <w:r w:rsidRPr="00261B7A">
        <w:rPr>
          <w:rFonts w:cs="Calibri"/>
          <w:i/>
        </w:rPr>
        <w:t xml:space="preserve"> </w:t>
      </w:r>
      <w:r w:rsidRPr="00261B7A">
        <w:rPr>
          <w:rFonts w:cs="Calibri"/>
        </w:rPr>
        <w:t>A more complex algorithm has been used to calculate enteric CH</w:t>
      </w:r>
      <w:r w:rsidRPr="00261B7A">
        <w:rPr>
          <w:rFonts w:cs="Calibri"/>
          <w:vertAlign w:val="subscript"/>
        </w:rPr>
        <w:t>4</w:t>
      </w:r>
      <w:r w:rsidRPr="00261B7A">
        <w:rPr>
          <w:rFonts w:cs="Calibri"/>
        </w:rPr>
        <w:t xml:space="preserve"> emissions for </w:t>
      </w:r>
      <w:r w:rsidRPr="00261B7A">
        <w:rPr>
          <w:rFonts w:cs="Calibri"/>
          <w:i/>
          <w:iCs/>
        </w:rPr>
        <w:t>Sheep</w:t>
      </w:r>
      <w:r w:rsidRPr="00261B7A">
        <w:rPr>
          <w:rFonts w:cs="Calibri"/>
        </w:rPr>
        <w:t xml:space="preserve"> and is discussed in the next section.</w:t>
      </w:r>
    </w:p>
    <w:p w14:paraId="11E4EF89" w14:textId="77777777" w:rsidR="00994F64" w:rsidRPr="00261B7A" w:rsidRDefault="00994F64" w:rsidP="00994F64">
      <w:pPr>
        <w:pStyle w:val="Figure"/>
      </w:pPr>
      <w:bookmarkStart w:id="744" w:name="_Toc447275695"/>
      <w:bookmarkStart w:id="745" w:name="_Toc481752013"/>
      <w:bookmarkStart w:id="746" w:name="_Toc507158472"/>
      <w:bookmarkStart w:id="747" w:name="_Toc511116963"/>
      <w:bookmarkStart w:id="748" w:name="_Toc5269693"/>
      <w:bookmarkStart w:id="749" w:name="_Toc32570964"/>
      <w:bookmarkStart w:id="750" w:name="_Toc36292794"/>
      <w:bookmarkStart w:id="751" w:name="_Toc68786659"/>
      <w:bookmarkStart w:id="752" w:name="_Toc95574120"/>
      <w:bookmarkStart w:id="753" w:name="_Toc127458559"/>
      <w:bookmarkStart w:id="754" w:name="_Toc131591561"/>
      <w:bookmarkStart w:id="755" w:name="_Toc288316894"/>
      <w:bookmarkStart w:id="756" w:name="_Toc352505149"/>
      <w:r w:rsidRPr="00261B7A">
        <w:t>Figure 5.2.1</w:t>
      </w:r>
      <w:r w:rsidRPr="00261B7A">
        <w:tab/>
        <w:t>Schematic diagram showing how New Zealand’s emissions from enteric fermentation for cattle and deer are calculated</w:t>
      </w:r>
      <w:bookmarkEnd w:id="744"/>
      <w:bookmarkEnd w:id="745"/>
      <w:bookmarkEnd w:id="746"/>
      <w:bookmarkEnd w:id="747"/>
      <w:bookmarkEnd w:id="748"/>
      <w:bookmarkEnd w:id="749"/>
      <w:bookmarkEnd w:id="750"/>
      <w:bookmarkEnd w:id="751"/>
      <w:bookmarkEnd w:id="752"/>
      <w:bookmarkEnd w:id="753"/>
      <w:bookmarkEnd w:id="754"/>
    </w:p>
    <w:p w14:paraId="16C6196A" w14:textId="77777777" w:rsidR="00994F64" w:rsidRPr="00261B7A" w:rsidRDefault="00994F64" w:rsidP="00994F64">
      <w:pPr>
        <w:pStyle w:val="BodyText"/>
        <w:jc w:val="center"/>
        <w:rPr>
          <w:rFonts w:cs="Calibri"/>
        </w:rPr>
      </w:pPr>
      <w:r w:rsidRPr="00261B7A">
        <w:rPr>
          <w:rFonts w:eastAsia="Calibri" w:cs="Calibri"/>
        </w:rPr>
        <w:object w:dxaOrig="17777" w:dyaOrig="9203" w14:anchorId="5B0E07C1">
          <v:shape id="_x0000_i1036" type="#_x0000_t75" style="width:388.5pt;height:210pt" o:ole="">
            <v:imagedata r:id="rId123" o:title="" cropright="6980f"/>
          </v:shape>
          <o:OLEObject Type="Embed" ProgID="Visio.Drawing.15" ShapeID="_x0000_i1036" DrawAspect="Content" ObjectID="_1742911575" r:id="rId124"/>
        </w:object>
      </w:r>
    </w:p>
    <w:bookmarkEnd w:id="755"/>
    <w:bookmarkEnd w:id="756"/>
    <w:p w14:paraId="48C9A54A" w14:textId="77777777" w:rsidR="00994F64" w:rsidRPr="00261B7A" w:rsidRDefault="00994F64" w:rsidP="00994F64">
      <w:pPr>
        <w:pStyle w:val="Noteundertable"/>
        <w:rPr>
          <w:rFonts w:cs="Calibri"/>
        </w:rPr>
      </w:pPr>
      <w:r w:rsidRPr="00261B7A">
        <w:rPr>
          <w:rFonts w:cs="Calibri"/>
          <w:b/>
          <w:bCs/>
        </w:rPr>
        <w:t>Note:</w:t>
      </w:r>
      <w:r w:rsidRPr="00261B7A">
        <w:rPr>
          <w:rFonts w:cs="Calibri"/>
        </w:rPr>
        <w:t xml:space="preserve"> </w:t>
      </w:r>
      <w:r w:rsidRPr="00261B7A">
        <w:rPr>
          <w:rFonts w:cs="Calibri"/>
        </w:rPr>
        <w:tab/>
        <w:t>CH</w:t>
      </w:r>
      <w:r w:rsidRPr="00261B7A">
        <w:rPr>
          <w:rFonts w:cs="Calibri"/>
          <w:vertAlign w:val="subscript"/>
        </w:rPr>
        <w:t>4</w:t>
      </w:r>
      <w:r w:rsidRPr="00261B7A">
        <w:rPr>
          <w:rFonts w:cs="Calibri"/>
        </w:rPr>
        <w:t xml:space="preserve"> = methane; DMI = dry-matter intake; GEI = gross energy intake.</w:t>
      </w:r>
    </w:p>
    <w:p w14:paraId="7AD6E10B" w14:textId="77777777" w:rsidR="00994F64" w:rsidRPr="00261B7A" w:rsidRDefault="00994F64" w:rsidP="00994F64">
      <w:pPr>
        <w:pStyle w:val="BodyText"/>
      </w:pPr>
      <w:r w:rsidRPr="00261B7A">
        <w:t>The equation for the total production of enteric CH</w:t>
      </w:r>
      <w:r w:rsidRPr="00261B7A">
        <w:rPr>
          <w:vertAlign w:val="subscript"/>
        </w:rPr>
        <w:t>4</w:t>
      </w:r>
      <w:r w:rsidRPr="00261B7A">
        <w:t xml:space="preserve"> for cattle and deer is:</w:t>
      </w:r>
    </w:p>
    <w:bookmarkStart w:id="757" w:name="_MON_1545052669"/>
    <w:bookmarkEnd w:id="757"/>
    <w:p w14:paraId="2084690C" w14:textId="77777777" w:rsidR="00994F64" w:rsidRPr="00261B7A" w:rsidRDefault="00994F64" w:rsidP="00994F64">
      <w:pPr>
        <w:pStyle w:val="BodyText"/>
        <w:spacing w:after="0"/>
        <w:jc w:val="center"/>
        <w:rPr>
          <w:rFonts w:cs="Calibri"/>
        </w:rPr>
      </w:pPr>
      <w:r w:rsidRPr="00261B7A">
        <w:rPr>
          <w:rFonts w:cs="Calibri"/>
        </w:rPr>
        <w:object w:dxaOrig="6506" w:dyaOrig="848" w14:anchorId="444C4B68">
          <v:shape id="_x0000_i1037" type="#_x0000_t75" style="width:323.5pt;height:42.5pt" o:ole="">
            <v:imagedata r:id="rId125" o:title=""/>
          </v:shape>
          <o:OLEObject Type="Embed" ProgID="Word.Document.12" ShapeID="_x0000_i1037" DrawAspect="Content" ObjectID="_1742911576" r:id="rId126">
            <o:FieldCodes>\s</o:FieldCodes>
          </o:OLEObject>
        </w:object>
      </w:r>
    </w:p>
    <w:p w14:paraId="12BEA331" w14:textId="77777777" w:rsidR="00994F64" w:rsidRPr="00261B7A" w:rsidRDefault="00994F64" w:rsidP="00994F64">
      <w:pPr>
        <w:pStyle w:val="BodyText"/>
        <w:keepNext/>
        <w:spacing w:after="0"/>
        <w:ind w:left="964" w:hanging="964"/>
        <w:rPr>
          <w:rFonts w:cs="Calibri"/>
        </w:rPr>
      </w:pPr>
      <w:r w:rsidRPr="00261B7A">
        <w:rPr>
          <w:rFonts w:cs="Calibri"/>
        </w:rPr>
        <w:t xml:space="preserve">Where: </w:t>
      </w:r>
      <w:r w:rsidRPr="00261B7A">
        <w:rPr>
          <w:rFonts w:cs="Calibri"/>
        </w:rPr>
        <w:tab/>
        <w:t>CH</w:t>
      </w:r>
      <w:r w:rsidRPr="00261B7A">
        <w:rPr>
          <w:rFonts w:cs="Calibri"/>
          <w:vertAlign w:val="subscript"/>
        </w:rPr>
        <w:t>4-enteric</w:t>
      </w:r>
      <w:r w:rsidRPr="00261B7A">
        <w:rPr>
          <w:rFonts w:cs="Calibri"/>
        </w:rPr>
        <w:t xml:space="preserve"> is the methane from enteric fermentation (kg CH</w:t>
      </w:r>
      <w:r w:rsidRPr="00261B7A">
        <w:rPr>
          <w:rFonts w:cs="Calibri"/>
          <w:vertAlign w:val="subscript"/>
        </w:rPr>
        <w:t>4</w:t>
      </w:r>
      <w:r w:rsidRPr="00261B7A">
        <w:rPr>
          <w:rFonts w:cs="Calibri"/>
        </w:rPr>
        <w:t>/year)</w:t>
      </w:r>
    </w:p>
    <w:p w14:paraId="36873A43" w14:textId="77777777" w:rsidR="00994F64" w:rsidRPr="00261B7A" w:rsidRDefault="00994F64" w:rsidP="00994F64">
      <w:pPr>
        <w:pStyle w:val="BodyText"/>
        <w:keepNext/>
        <w:spacing w:before="80" w:after="0"/>
        <w:ind w:left="964" w:hanging="964"/>
        <w:rPr>
          <w:rFonts w:cs="Calibri"/>
        </w:rPr>
      </w:pPr>
      <w:r w:rsidRPr="00261B7A">
        <w:rPr>
          <w:rFonts w:cs="Calibri"/>
        </w:rPr>
        <w:tab/>
        <w:t xml:space="preserve">Livestock type is cattle or deer </w:t>
      </w:r>
    </w:p>
    <w:p w14:paraId="7CD2DD4D" w14:textId="77777777" w:rsidR="00994F64" w:rsidRPr="00261B7A" w:rsidRDefault="00994F64" w:rsidP="00994F64">
      <w:pPr>
        <w:pStyle w:val="BodyText"/>
        <w:keepNext/>
        <w:spacing w:before="80" w:after="0"/>
        <w:ind w:left="964" w:hanging="964"/>
        <w:rPr>
          <w:rFonts w:cs="Calibri"/>
        </w:rPr>
      </w:pPr>
      <w:r w:rsidRPr="00261B7A">
        <w:rPr>
          <w:rFonts w:cs="Calibri"/>
        </w:rPr>
        <w:tab/>
        <w:t>n is the population of each livestock category (head)</w:t>
      </w:r>
    </w:p>
    <w:p w14:paraId="4080BF52" w14:textId="77777777" w:rsidR="00994F64" w:rsidRPr="00261B7A" w:rsidRDefault="00994F64" w:rsidP="00994F64">
      <w:pPr>
        <w:pStyle w:val="BodyText"/>
        <w:keepNext/>
        <w:spacing w:before="80" w:after="0"/>
        <w:ind w:left="964" w:hanging="964"/>
        <w:rPr>
          <w:rFonts w:cs="Calibri"/>
        </w:rPr>
      </w:pPr>
      <w:r w:rsidRPr="00261B7A">
        <w:rPr>
          <w:rFonts w:cs="Calibri"/>
        </w:rPr>
        <w:tab/>
        <w:t>DMI is the dry matter intake (kg dry matter/head/year), and</w:t>
      </w:r>
    </w:p>
    <w:p w14:paraId="26387971" w14:textId="77777777" w:rsidR="00994F64" w:rsidRPr="00261B7A" w:rsidRDefault="00994F64" w:rsidP="00994F64">
      <w:pPr>
        <w:pStyle w:val="BodyText"/>
        <w:keepNext/>
        <w:spacing w:before="80"/>
        <w:ind w:left="964" w:hanging="964"/>
        <w:rPr>
          <w:rFonts w:cs="Calibri"/>
        </w:rPr>
      </w:pPr>
      <w:r w:rsidRPr="00261B7A">
        <w:rPr>
          <w:rFonts w:cs="Calibri"/>
        </w:rPr>
        <w:tab/>
        <w:t>CH</w:t>
      </w:r>
      <w:r w:rsidRPr="00261B7A">
        <w:rPr>
          <w:rFonts w:cs="Calibri"/>
          <w:vertAlign w:val="subscript"/>
        </w:rPr>
        <w:t>4</w:t>
      </w:r>
      <w:r w:rsidRPr="00261B7A">
        <w:rPr>
          <w:rFonts w:cs="Calibri"/>
        </w:rPr>
        <w:t xml:space="preserve"> conversion rate is the CH</w:t>
      </w:r>
      <w:r w:rsidRPr="00261B7A">
        <w:rPr>
          <w:rFonts w:cs="Calibri"/>
          <w:vertAlign w:val="subscript"/>
        </w:rPr>
        <w:t>4</w:t>
      </w:r>
      <w:r w:rsidRPr="00261B7A">
        <w:rPr>
          <w:rFonts w:cs="Calibri"/>
        </w:rPr>
        <w:t xml:space="preserve"> emissions per unit of feed intake (g CH</w:t>
      </w:r>
      <w:r w:rsidRPr="00261B7A">
        <w:rPr>
          <w:rFonts w:cs="Calibri"/>
          <w:vertAlign w:val="subscript"/>
        </w:rPr>
        <w:t>4</w:t>
      </w:r>
      <w:r w:rsidRPr="00261B7A">
        <w:rPr>
          <w:rFonts w:cs="Calibri"/>
        </w:rPr>
        <w:t>/kg DMI) (see table 5.2.2).</w:t>
      </w:r>
    </w:p>
    <w:p w14:paraId="5F97B6EB" w14:textId="77777777" w:rsidR="00994F64" w:rsidRPr="00261B7A" w:rsidRDefault="00994F64" w:rsidP="00994F64">
      <w:pPr>
        <w:pStyle w:val="Heading4"/>
      </w:pPr>
      <w:r w:rsidRPr="00261B7A">
        <w:t>Emissions from Sheep</w:t>
      </w:r>
    </w:p>
    <w:p w14:paraId="5A515187" w14:textId="13920780" w:rsidR="00994F64" w:rsidRPr="00261B7A" w:rsidRDefault="00994F64" w:rsidP="00994F64">
      <w:pPr>
        <w:pStyle w:val="BodyText"/>
        <w:rPr>
          <w:rFonts w:cs="Calibri"/>
        </w:rPr>
      </w:pPr>
      <w:r w:rsidRPr="00261B7A">
        <w:rPr>
          <w:rFonts w:cs="Calibri"/>
        </w:rPr>
        <w:t>Enteric CH</w:t>
      </w:r>
      <w:r w:rsidRPr="00261B7A">
        <w:rPr>
          <w:rFonts w:cs="Calibri"/>
          <w:vertAlign w:val="subscript"/>
        </w:rPr>
        <w:t>4</w:t>
      </w:r>
      <w:r w:rsidRPr="00261B7A">
        <w:rPr>
          <w:rFonts w:cs="Calibri"/>
        </w:rPr>
        <w:t xml:space="preserve"> emissions from </w:t>
      </w:r>
      <w:r w:rsidRPr="00261B7A">
        <w:rPr>
          <w:rFonts w:cs="Calibri"/>
          <w:i/>
          <w:iCs/>
        </w:rPr>
        <w:t>Sheep</w:t>
      </w:r>
      <w:r w:rsidRPr="00261B7A">
        <w:rPr>
          <w:rFonts w:cs="Calibri"/>
        </w:rPr>
        <w:t xml:space="preserve"> are calculated using the methodology outlined in a peer reviewed paper published by Swainson et al. (2016). The study confirmed that DMI alone has</w:t>
      </w:r>
      <w:r w:rsidR="004C6C35" w:rsidRPr="00261B7A">
        <w:rPr>
          <w:rFonts w:cs="Calibri"/>
        </w:rPr>
        <w:t> </w:t>
      </w:r>
      <w:r w:rsidRPr="00261B7A">
        <w:rPr>
          <w:rFonts w:cs="Calibri"/>
        </w:rPr>
        <w:t>the largest influence on CH</w:t>
      </w:r>
      <w:r w:rsidRPr="00261B7A">
        <w:rPr>
          <w:rFonts w:cs="Calibri"/>
          <w:vertAlign w:val="subscript"/>
        </w:rPr>
        <w:t>4</w:t>
      </w:r>
      <w:r w:rsidRPr="00261B7A">
        <w:rPr>
          <w:rFonts w:cs="Calibri"/>
        </w:rPr>
        <w:t xml:space="preserve"> emissions and that pasture quality (as measured by the ME content) has a small but statistically significant effect on emissions from sheep less than one</w:t>
      </w:r>
      <w:r w:rsidR="004C6C35" w:rsidRPr="00261B7A">
        <w:rPr>
          <w:rFonts w:cs="Calibri"/>
        </w:rPr>
        <w:t> </w:t>
      </w:r>
      <w:r w:rsidRPr="00261B7A">
        <w:rPr>
          <w:rFonts w:cs="Calibri"/>
        </w:rPr>
        <w:t>year of age.</w:t>
      </w:r>
    </w:p>
    <w:p w14:paraId="7CB1810E" w14:textId="77777777" w:rsidR="00994F64" w:rsidRPr="00261B7A" w:rsidRDefault="00994F64" w:rsidP="00994F64">
      <w:pPr>
        <w:pStyle w:val="BodyText"/>
        <w:rPr>
          <w:rFonts w:cs="Calibri"/>
        </w:rPr>
      </w:pPr>
      <w:r w:rsidRPr="00261B7A">
        <w:rPr>
          <w:rFonts w:cs="Calibri"/>
        </w:rPr>
        <w:t>Swainson et al. (2016) concluded that two log-transformed linear regressions (one for sheep less than one year of age and one for sheep greater than one year of age) provided the best fit for the data and recommended that these equations be used in the National Inventory Report.</w:t>
      </w:r>
      <w:r w:rsidRPr="00261B7A" w:rsidDel="00970856">
        <w:rPr>
          <w:rFonts w:cs="Calibri"/>
        </w:rPr>
        <w:t xml:space="preserve"> </w:t>
      </w:r>
    </w:p>
    <w:p w14:paraId="40B0EE32" w14:textId="77777777" w:rsidR="00994F64" w:rsidRPr="00261B7A" w:rsidRDefault="00994F64" w:rsidP="00994F64">
      <w:pPr>
        <w:pStyle w:val="BodyText"/>
        <w:keepNext/>
      </w:pPr>
      <w:r w:rsidRPr="00261B7A">
        <w:t>The equation</w:t>
      </w:r>
      <w:r w:rsidRPr="00261B7A">
        <w:rPr>
          <w:rStyle w:val="FootnoteReference"/>
          <w:rFonts w:cs="Calibri"/>
        </w:rPr>
        <w:footnoteReference w:id="40"/>
      </w:r>
      <w:r w:rsidRPr="00261B7A">
        <w:t xml:space="preserve"> for the total production of enteric CH</w:t>
      </w:r>
      <w:r w:rsidRPr="00261B7A">
        <w:rPr>
          <w:vertAlign w:val="subscript"/>
        </w:rPr>
        <w:t>4</w:t>
      </w:r>
      <w:r w:rsidRPr="00261B7A">
        <w:t xml:space="preserve"> for sheep less than one year of age is:</w:t>
      </w:r>
    </w:p>
    <w:p w14:paraId="5EAED498" w14:textId="77777777" w:rsidR="00994F64" w:rsidRPr="00261B7A" w:rsidRDefault="007E17B8" w:rsidP="00994F64">
      <w:pPr>
        <w:pStyle w:val="BodyText"/>
      </w:pPr>
      <m:oMathPara>
        <m:oMath>
          <m:sSub>
            <m:sSubPr>
              <m:ctrlPr>
                <w:rPr>
                  <w:rFonts w:ascii="Cambria Math" w:hAnsi="Cambria Math"/>
                </w:rPr>
              </m:ctrlPr>
            </m:sSubPr>
            <m:e>
              <m:r>
                <w:rPr>
                  <w:rFonts w:ascii="Cambria Math" w:hAnsi="Cambria Math"/>
                </w:rPr>
                <m:t>CH</m:t>
              </m:r>
            </m:e>
            <m:sub>
              <m:r>
                <m:rPr>
                  <m:sty m:val="p"/>
                </m:rPr>
                <w:rPr>
                  <w:rFonts w:ascii="Cambria Math" w:hAnsi="Cambria Math"/>
                </w:rPr>
                <m:t>4-</m:t>
              </m:r>
              <m:r>
                <w:rPr>
                  <w:rFonts w:ascii="Cambria Math" w:hAnsi="Cambria Math"/>
                </w:rPr>
                <m:t>enteric</m:t>
              </m:r>
            </m:sub>
          </m:sSub>
          <m:r>
            <m:rPr>
              <m:sty m:val="p"/>
            </m:rPr>
            <w:rPr>
              <w:rFonts w:ascii="Cambria Math" w:hAnsi="Cambria Math"/>
            </w:rPr>
            <m:t xml:space="preserve">= </m:t>
          </m:r>
          <m:nary>
            <m:naryPr>
              <m:chr m:val="∑"/>
              <m:limLoc m:val="undOvr"/>
              <m:supHide m:val="1"/>
              <m:ctrlPr>
                <w:rPr>
                  <w:rFonts w:ascii="Cambria Math" w:hAnsi="Cambria Math"/>
                </w:rPr>
              </m:ctrlPr>
            </m:naryPr>
            <m:sub>
              <m:r>
                <w:rPr>
                  <w:rFonts w:ascii="Cambria Math" w:hAnsi="Cambria Math"/>
                </w:rPr>
                <m:t>class</m:t>
              </m:r>
              <m:r>
                <m:rPr>
                  <m:sty m:val="p"/>
                </m:rPr>
                <w:rPr>
                  <w:rFonts w:ascii="Cambria Math" w:hAnsi="Cambria Math"/>
                </w:rPr>
                <m:t xml:space="preserve"> </m:t>
              </m:r>
            </m:sub>
            <m:sup/>
            <m:e>
              <m:nary>
                <m:naryPr>
                  <m:chr m:val="∑"/>
                  <m:limLoc m:val="undOvr"/>
                  <m:supHide m:val="1"/>
                  <m:ctrlPr>
                    <w:rPr>
                      <w:rFonts w:ascii="Cambria Math" w:hAnsi="Cambria Math"/>
                    </w:rPr>
                  </m:ctrlPr>
                </m:naryPr>
                <m:sub>
                  <m:r>
                    <w:rPr>
                      <w:rFonts w:ascii="Cambria Math" w:hAnsi="Cambria Math"/>
                    </w:rPr>
                    <m:t>month</m:t>
                  </m:r>
                </m:sub>
                <m:sup/>
                <m:e>
                  <m:sSub>
                    <m:sSubPr>
                      <m:ctrlPr>
                        <w:rPr>
                          <w:rFonts w:ascii="Cambria Math" w:hAnsi="Cambria Math"/>
                        </w:rPr>
                      </m:ctrlPr>
                    </m:sSubPr>
                    <m:e>
                      <m:r>
                        <w:rPr>
                          <w:rFonts w:ascii="Cambria Math" w:hAnsi="Cambria Math"/>
                        </w:rPr>
                        <m:t>d</m:t>
                      </m:r>
                    </m:e>
                    <m:sub>
                      <m:r>
                        <w:rPr>
                          <w:rFonts w:ascii="Cambria Math" w:hAnsi="Cambria Math"/>
                        </w:rPr>
                        <m:t>m</m:t>
                      </m:r>
                    </m:sub>
                  </m:sSub>
                </m:e>
              </m:nary>
              <m:sSub>
                <m:sSubPr>
                  <m:ctrlPr>
                    <w:rPr>
                      <w:rFonts w:ascii="Cambria Math" w:hAnsi="Cambria Math"/>
                    </w:rPr>
                  </m:ctrlPr>
                </m:sSubPr>
                <m:e>
                  <m:r>
                    <w:rPr>
                      <w:rFonts w:ascii="Cambria Math" w:hAnsi="Cambria Math"/>
                    </w:rPr>
                    <m:t>Lamb</m:t>
                  </m:r>
                </m:e>
                <m:sub>
                  <m:r>
                    <w:rPr>
                      <w:rFonts w:ascii="Cambria Math" w:hAnsi="Cambria Math"/>
                    </w:rPr>
                    <m:t>cm</m:t>
                  </m:r>
                </m:sub>
              </m:sSub>
              <m:f>
                <m:fPr>
                  <m:ctrlPr>
                    <w:rPr>
                      <w:rFonts w:ascii="Cambria Math" w:hAnsi="Cambria Math"/>
                    </w:rPr>
                  </m:ctrlPr>
                </m:fPr>
                <m:num>
                  <m:r>
                    <m:rPr>
                      <m:sty m:val="p"/>
                    </m:rPr>
                    <w:rPr>
                      <w:rFonts w:ascii="Cambria Math" w:hAnsi="Cambria Math"/>
                    </w:rPr>
                    <m:t>11.705</m:t>
                  </m:r>
                </m:num>
                <m:den>
                  <m:r>
                    <m:rPr>
                      <m:sty m:val="p"/>
                    </m:rPr>
                    <w:rPr>
                      <w:rFonts w:ascii="Cambria Math" w:hAnsi="Cambria Math"/>
                    </w:rPr>
                    <m:t>1000</m:t>
                  </m:r>
                </m:den>
              </m:f>
            </m:e>
          </m:nary>
          <m:sSup>
            <m:sSupPr>
              <m:ctrlPr>
                <w:rPr>
                  <w:rFonts w:ascii="Cambria Math" w:hAnsi="Cambria Math"/>
                </w:rPr>
              </m:ctrlPr>
            </m:sSupPr>
            <m:e>
              <m:sSup>
                <m:sSupPr>
                  <m:ctrlPr>
                    <w:rPr>
                      <w:rFonts w:ascii="Cambria Math" w:hAnsi="Cambria Math"/>
                    </w:rPr>
                  </m:ctrlPr>
                </m:sSupPr>
                <m:e>
                  <m:r>
                    <w:rPr>
                      <w:rFonts w:ascii="Cambria Math" w:hAnsi="Cambria Math"/>
                    </w:rPr>
                    <m:t>e</m:t>
                  </m:r>
                </m:e>
                <m:sup>
                  <m:r>
                    <m:rPr>
                      <m:sty m:val="p"/>
                    </m:rPr>
                    <w:rPr>
                      <w:rFonts w:ascii="Cambria Math" w:hAnsi="Cambria Math"/>
                    </w:rPr>
                    <m:t>0.05×</m:t>
                  </m:r>
                  <m:r>
                    <w:rPr>
                      <w:rFonts w:ascii="Cambria Math" w:hAnsi="Cambria Math"/>
                    </w:rPr>
                    <m:t>ME</m:t>
                  </m:r>
                </m:sup>
              </m:sSup>
              <m:r>
                <w:rPr>
                  <w:rFonts w:ascii="Cambria Math" w:hAnsi="Cambria Math"/>
                </w:rPr>
                <m:t>DMI</m:t>
              </m:r>
            </m:e>
            <m:sup>
              <m:r>
                <m:rPr>
                  <m:sty m:val="p"/>
                </m:rPr>
                <w:rPr>
                  <w:rFonts w:ascii="Cambria Math" w:hAnsi="Cambria Math"/>
                </w:rPr>
                <m:t>0.734</m:t>
              </m:r>
            </m:sup>
          </m:sSup>
        </m:oMath>
      </m:oMathPara>
    </w:p>
    <w:p w14:paraId="741EC2A7" w14:textId="77777777" w:rsidR="00994F64" w:rsidRPr="00261B7A" w:rsidRDefault="00994F64" w:rsidP="00994F64">
      <w:pPr>
        <w:pStyle w:val="BodyText"/>
      </w:pPr>
      <w:r w:rsidRPr="00261B7A">
        <w:t>The equation</w:t>
      </w:r>
      <w:r w:rsidRPr="00261B7A">
        <w:rPr>
          <w:rStyle w:val="FootnoteReference"/>
          <w:rFonts w:cs="Calibri"/>
        </w:rPr>
        <w:footnoteReference w:id="41"/>
      </w:r>
      <w:r w:rsidRPr="00261B7A">
        <w:t xml:space="preserve"> for the total production of enteric CH</w:t>
      </w:r>
      <w:r w:rsidRPr="00261B7A">
        <w:rPr>
          <w:vertAlign w:val="subscript"/>
        </w:rPr>
        <w:t>4</w:t>
      </w:r>
      <w:r w:rsidRPr="00261B7A">
        <w:t xml:space="preserve"> for sheep greater than one year of age is:</w:t>
      </w:r>
    </w:p>
    <w:p w14:paraId="5B1E6F09" w14:textId="77777777" w:rsidR="00994F64" w:rsidRPr="00261B7A" w:rsidRDefault="007E17B8" w:rsidP="00994F64">
      <w:pPr>
        <w:pStyle w:val="BodyText"/>
      </w:pPr>
      <m:oMathPara>
        <m:oMath>
          <m:sSub>
            <m:sSubPr>
              <m:ctrlPr>
                <w:rPr>
                  <w:rFonts w:ascii="Cambria Math" w:hAnsi="Cambria Math"/>
                </w:rPr>
              </m:ctrlPr>
            </m:sSubPr>
            <m:e>
              <m:r>
                <w:rPr>
                  <w:rFonts w:ascii="Cambria Math" w:hAnsi="Cambria Math"/>
                </w:rPr>
                <m:t>CH</m:t>
              </m:r>
            </m:e>
            <m:sub>
              <m:r>
                <m:rPr>
                  <m:sty m:val="p"/>
                </m:rPr>
                <w:rPr>
                  <w:rFonts w:ascii="Cambria Math" w:hAnsi="Cambria Math"/>
                </w:rPr>
                <m:t>4-</m:t>
              </m:r>
              <m:r>
                <w:rPr>
                  <w:rFonts w:ascii="Cambria Math" w:hAnsi="Cambria Math"/>
                </w:rPr>
                <m:t>enteric</m:t>
              </m:r>
            </m:sub>
          </m:sSub>
          <m:r>
            <m:rPr>
              <m:sty m:val="p"/>
            </m:rPr>
            <w:rPr>
              <w:rFonts w:ascii="Cambria Math" w:hAnsi="Cambria Math"/>
            </w:rPr>
            <m:t xml:space="preserve">= </m:t>
          </m:r>
          <m:nary>
            <m:naryPr>
              <m:chr m:val="∑"/>
              <m:limLoc m:val="undOvr"/>
              <m:supHide m:val="1"/>
              <m:ctrlPr>
                <w:rPr>
                  <w:rFonts w:ascii="Cambria Math" w:hAnsi="Cambria Math"/>
                </w:rPr>
              </m:ctrlPr>
            </m:naryPr>
            <m:sub>
              <m:r>
                <w:rPr>
                  <w:rFonts w:ascii="Cambria Math" w:hAnsi="Cambria Math"/>
                </w:rPr>
                <m:t>class</m:t>
              </m:r>
              <m:r>
                <m:rPr>
                  <m:sty m:val="p"/>
                </m:rPr>
                <w:rPr>
                  <w:rFonts w:ascii="Cambria Math" w:hAnsi="Cambria Math"/>
                </w:rPr>
                <m:t xml:space="preserve"> </m:t>
              </m:r>
            </m:sub>
            <m:sup/>
            <m:e>
              <m:nary>
                <m:naryPr>
                  <m:chr m:val="∑"/>
                  <m:limLoc m:val="undOvr"/>
                  <m:supHide m:val="1"/>
                  <m:ctrlPr>
                    <w:rPr>
                      <w:rFonts w:ascii="Cambria Math" w:hAnsi="Cambria Math"/>
                    </w:rPr>
                  </m:ctrlPr>
                </m:naryPr>
                <m:sub>
                  <m:r>
                    <w:rPr>
                      <w:rFonts w:ascii="Cambria Math" w:hAnsi="Cambria Math"/>
                    </w:rPr>
                    <m:t>month</m:t>
                  </m:r>
                </m:sub>
                <m:sup/>
                <m:e>
                  <m:sSub>
                    <m:sSubPr>
                      <m:ctrlPr>
                        <w:rPr>
                          <w:rFonts w:ascii="Cambria Math" w:hAnsi="Cambria Math"/>
                        </w:rPr>
                      </m:ctrlPr>
                    </m:sSubPr>
                    <m:e>
                      <m:r>
                        <w:rPr>
                          <w:rFonts w:ascii="Cambria Math" w:hAnsi="Cambria Math"/>
                        </w:rPr>
                        <m:t>d</m:t>
                      </m:r>
                    </m:e>
                    <m:sub>
                      <m:r>
                        <w:rPr>
                          <w:rFonts w:ascii="Cambria Math" w:hAnsi="Cambria Math"/>
                        </w:rPr>
                        <m:t>m</m:t>
                      </m:r>
                    </m:sub>
                  </m:sSub>
                </m:e>
              </m:nary>
              <m:sSub>
                <m:sSubPr>
                  <m:ctrlPr>
                    <w:rPr>
                      <w:rFonts w:ascii="Cambria Math" w:hAnsi="Cambria Math"/>
                    </w:rPr>
                  </m:ctrlPr>
                </m:sSubPr>
                <m:e>
                  <m:r>
                    <w:rPr>
                      <w:rFonts w:ascii="Cambria Math" w:hAnsi="Cambria Math"/>
                    </w:rPr>
                    <m:t>Sheep</m:t>
                  </m:r>
                </m:e>
                <m:sub>
                  <m:r>
                    <w:rPr>
                      <w:rFonts w:ascii="Cambria Math" w:hAnsi="Cambria Math"/>
                    </w:rPr>
                    <m:t>cm</m:t>
                  </m:r>
                </m:sub>
              </m:sSub>
              <m:f>
                <m:fPr>
                  <m:ctrlPr>
                    <w:rPr>
                      <w:rFonts w:ascii="Cambria Math" w:hAnsi="Cambria Math"/>
                    </w:rPr>
                  </m:ctrlPr>
                </m:fPr>
                <m:num>
                  <m:r>
                    <m:rPr>
                      <m:sty m:val="p"/>
                    </m:rPr>
                    <w:rPr>
                      <w:rFonts w:ascii="Cambria Math" w:hAnsi="Cambria Math"/>
                    </w:rPr>
                    <m:t>21.977</m:t>
                  </m:r>
                </m:num>
                <m:den>
                  <m:r>
                    <m:rPr>
                      <m:sty m:val="p"/>
                    </m:rPr>
                    <w:rPr>
                      <w:rFonts w:ascii="Cambria Math" w:hAnsi="Cambria Math"/>
                    </w:rPr>
                    <m:t>1000</m:t>
                  </m:r>
                </m:den>
              </m:f>
            </m:e>
          </m:nary>
          <m:sSup>
            <m:sSupPr>
              <m:ctrlPr>
                <w:rPr>
                  <w:rFonts w:ascii="Cambria Math" w:hAnsi="Cambria Math"/>
                </w:rPr>
              </m:ctrlPr>
            </m:sSupPr>
            <m:e>
              <m:r>
                <w:rPr>
                  <w:rFonts w:ascii="Cambria Math" w:hAnsi="Cambria Math"/>
                </w:rPr>
                <m:t>DMI</m:t>
              </m:r>
            </m:e>
            <m:sup>
              <m:r>
                <m:rPr>
                  <m:sty m:val="p"/>
                </m:rPr>
                <w:rPr>
                  <w:rFonts w:ascii="Cambria Math" w:hAnsi="Cambria Math"/>
                </w:rPr>
                <m:t>0.765</m:t>
              </m:r>
            </m:sup>
          </m:sSup>
        </m:oMath>
      </m:oMathPara>
    </w:p>
    <w:p w14:paraId="39969B8A" w14:textId="77777777" w:rsidR="00994F64" w:rsidRPr="00261B7A" w:rsidRDefault="00994F64" w:rsidP="00994F64">
      <w:pPr>
        <w:pStyle w:val="BodyText"/>
        <w:spacing w:before="80" w:after="60"/>
        <w:ind w:left="964" w:hanging="964"/>
        <w:rPr>
          <w:rFonts w:cs="Calibri"/>
        </w:rPr>
      </w:pPr>
      <w:r w:rsidRPr="00261B7A">
        <w:rPr>
          <w:rFonts w:cs="Calibri"/>
        </w:rPr>
        <w:t xml:space="preserve">Where: </w:t>
      </w:r>
      <w:r w:rsidRPr="00261B7A">
        <w:rPr>
          <w:rFonts w:cs="Calibri"/>
        </w:rPr>
        <w:tab/>
        <w:t>CH</w:t>
      </w:r>
      <w:r w:rsidRPr="00261B7A">
        <w:rPr>
          <w:rFonts w:cs="Calibri"/>
          <w:vertAlign w:val="subscript"/>
        </w:rPr>
        <w:t>4-enteric</w:t>
      </w:r>
      <w:r w:rsidRPr="00261B7A">
        <w:rPr>
          <w:rFonts w:cs="Calibri"/>
        </w:rPr>
        <w:t xml:space="preserve"> is the total CH</w:t>
      </w:r>
      <w:r w:rsidRPr="00261B7A">
        <w:rPr>
          <w:rFonts w:cs="Calibri"/>
          <w:vertAlign w:val="subscript"/>
        </w:rPr>
        <w:t>4</w:t>
      </w:r>
      <w:r w:rsidRPr="00261B7A">
        <w:rPr>
          <w:rFonts w:cs="Calibri"/>
        </w:rPr>
        <w:t xml:space="preserve"> from enteric fermentation (kg CH</w:t>
      </w:r>
      <w:r w:rsidRPr="00261B7A">
        <w:rPr>
          <w:rFonts w:cs="Calibri"/>
          <w:vertAlign w:val="subscript"/>
        </w:rPr>
        <w:t>4</w:t>
      </w:r>
      <w:r w:rsidRPr="00261B7A">
        <w:rPr>
          <w:rFonts w:cs="Calibri"/>
        </w:rPr>
        <w:t>/year)</w:t>
      </w:r>
    </w:p>
    <w:p w14:paraId="61D9CCDB" w14:textId="77777777" w:rsidR="00994F64" w:rsidRPr="00261B7A" w:rsidRDefault="00994F64" w:rsidP="004C6C35">
      <w:pPr>
        <w:pStyle w:val="BodyText"/>
        <w:spacing w:before="40" w:after="60"/>
        <w:ind w:left="964"/>
        <w:rPr>
          <w:rFonts w:cs="Calibri"/>
        </w:rPr>
      </w:pPr>
      <w:r w:rsidRPr="00261B7A">
        <w:rPr>
          <w:rFonts w:cs="Calibri"/>
        </w:rPr>
        <w:t>d</w:t>
      </w:r>
      <w:r w:rsidRPr="00261B7A">
        <w:rPr>
          <w:rFonts w:cs="Calibri"/>
          <w:vertAlign w:val="subscript"/>
        </w:rPr>
        <w:t>m</w:t>
      </w:r>
      <w:r w:rsidRPr="00261B7A">
        <w:rPr>
          <w:rFonts w:cs="Calibri"/>
        </w:rPr>
        <w:t xml:space="preserve"> is the number of days in month m</w:t>
      </w:r>
    </w:p>
    <w:p w14:paraId="7B94D196" w14:textId="77777777" w:rsidR="00994F64" w:rsidRPr="00261B7A" w:rsidRDefault="00994F64" w:rsidP="004C6C35">
      <w:pPr>
        <w:pStyle w:val="BodyText"/>
        <w:spacing w:before="40" w:after="60"/>
        <w:ind w:left="964"/>
        <w:rPr>
          <w:rFonts w:cs="Calibri"/>
        </w:rPr>
      </w:pPr>
      <w:r w:rsidRPr="00261B7A">
        <w:rPr>
          <w:rFonts w:cs="Calibri"/>
        </w:rPr>
        <w:t>Lamb</w:t>
      </w:r>
      <w:r w:rsidRPr="00261B7A">
        <w:rPr>
          <w:rFonts w:cs="Calibri"/>
          <w:vertAlign w:val="subscript"/>
        </w:rPr>
        <w:t xml:space="preserve">cm </w:t>
      </w:r>
      <w:r w:rsidRPr="00261B7A">
        <w:rPr>
          <w:rFonts w:cs="Calibri"/>
        </w:rPr>
        <w:t>is the population of sheep in class c during month m (head), less than one year of age (i.e., lambs)</w:t>
      </w:r>
    </w:p>
    <w:p w14:paraId="17395424" w14:textId="77777777" w:rsidR="00994F64" w:rsidRPr="00261B7A" w:rsidRDefault="00994F64" w:rsidP="004C6C35">
      <w:pPr>
        <w:pStyle w:val="BodyText"/>
        <w:spacing w:before="40" w:after="60"/>
        <w:ind w:left="964"/>
        <w:rPr>
          <w:rFonts w:cs="Calibri"/>
        </w:rPr>
      </w:pPr>
      <w:r w:rsidRPr="00261B7A">
        <w:rPr>
          <w:rFonts w:cs="Calibri"/>
        </w:rPr>
        <w:t>Sheep</w:t>
      </w:r>
      <w:r w:rsidRPr="00261B7A">
        <w:rPr>
          <w:rFonts w:cs="Calibri"/>
          <w:vertAlign w:val="subscript"/>
        </w:rPr>
        <w:t xml:space="preserve">cm </w:t>
      </w:r>
      <w:r w:rsidRPr="00261B7A">
        <w:rPr>
          <w:rFonts w:cs="Calibri"/>
        </w:rPr>
        <w:t xml:space="preserve">is the population of sheep in class c during month m (head), greater than one year of age </w:t>
      </w:r>
    </w:p>
    <w:p w14:paraId="0D5DAB3E" w14:textId="77777777" w:rsidR="00994F64" w:rsidRPr="00261B7A" w:rsidRDefault="00994F64" w:rsidP="004C6C35">
      <w:pPr>
        <w:pStyle w:val="BodyText"/>
        <w:spacing w:before="40" w:after="60"/>
        <w:ind w:left="964"/>
        <w:rPr>
          <w:rFonts w:cs="Calibri"/>
        </w:rPr>
      </w:pPr>
      <w:r w:rsidRPr="00261B7A">
        <w:rPr>
          <w:rFonts w:cs="Calibri"/>
        </w:rPr>
        <w:t>ME is the metabolisable energy concentration of diet during month m (megajoules of metabolisable energy per kg of dry matter)</w:t>
      </w:r>
    </w:p>
    <w:p w14:paraId="5D7F2BE9" w14:textId="77777777" w:rsidR="00994F64" w:rsidRPr="00261B7A" w:rsidRDefault="00994F64" w:rsidP="004C6C35">
      <w:pPr>
        <w:pStyle w:val="BodyText"/>
        <w:spacing w:before="40" w:after="60"/>
        <w:ind w:left="964"/>
        <w:rPr>
          <w:rFonts w:cs="Calibri"/>
        </w:rPr>
      </w:pPr>
      <w:r w:rsidRPr="00261B7A">
        <w:rPr>
          <w:rFonts w:cs="Calibri"/>
        </w:rPr>
        <w:t>DMI is the daily dry-matter intake of an individual sheep of class c in month m (kg dry matter/head/day)</w:t>
      </w:r>
    </w:p>
    <w:p w14:paraId="72C460EF" w14:textId="77777777" w:rsidR="00994F64" w:rsidRPr="00261B7A" w:rsidRDefault="00994F64" w:rsidP="004C6C35">
      <w:pPr>
        <w:pStyle w:val="BodyText"/>
        <w:spacing w:before="40" w:after="60"/>
        <w:ind w:left="964"/>
        <w:rPr>
          <w:rFonts w:cs="Calibri"/>
        </w:rPr>
      </w:pPr>
      <w:r w:rsidRPr="00261B7A">
        <w:rPr>
          <w:rFonts w:cs="Calibri"/>
        </w:rPr>
        <w:t>class refers to the different categories of sheep greater than one year of age (e.g., dry ewes, wethers, rams) used in the Agriculture inventory, and</w:t>
      </w:r>
    </w:p>
    <w:p w14:paraId="72C7A21D" w14:textId="77777777" w:rsidR="00994F64" w:rsidRPr="00261B7A" w:rsidRDefault="00994F64" w:rsidP="004C6C35">
      <w:pPr>
        <w:pStyle w:val="BodyText"/>
        <w:spacing w:before="40" w:after="80"/>
        <w:ind w:left="964"/>
        <w:rPr>
          <w:rFonts w:cs="Calibri"/>
        </w:rPr>
      </w:pPr>
      <w:r w:rsidRPr="00261B7A">
        <w:rPr>
          <w:rFonts w:cs="Calibri"/>
        </w:rPr>
        <w:t>month refers to the 12 months of the calendar year.</w:t>
      </w:r>
    </w:p>
    <w:p w14:paraId="6FA324F3" w14:textId="77777777" w:rsidR="00994F64" w:rsidRPr="00261B7A" w:rsidRDefault="00994F64" w:rsidP="00994F64">
      <w:pPr>
        <w:pStyle w:val="BodyText"/>
      </w:pPr>
      <w:r w:rsidRPr="00261B7A">
        <w:t xml:space="preserve">Dry-matter intake per sheep per day is calculated by New Zealand’s Tier 2 inventory model (see section 5.1.3). Monthly values of ME concentration for total diet (pasture and non-pasture feed) are calculated by New Zealand’s Tier 2 inventory model (see section 5.1.3). </w:t>
      </w:r>
    </w:p>
    <w:p w14:paraId="60CD6634" w14:textId="77777777" w:rsidR="00994F64" w:rsidRPr="00261B7A" w:rsidRDefault="00994F64" w:rsidP="00994F64">
      <w:pPr>
        <w:pStyle w:val="Heading4"/>
        <w:spacing w:before="200"/>
      </w:pPr>
      <w:r w:rsidRPr="00261B7A">
        <w:t>Methane measurement and modelling</w:t>
      </w:r>
    </w:p>
    <w:p w14:paraId="42D6B055" w14:textId="77777777" w:rsidR="00994F64" w:rsidRPr="00261B7A" w:rsidRDefault="00994F64" w:rsidP="00994F64">
      <w:pPr>
        <w:pStyle w:val="BodyText"/>
      </w:pPr>
      <w:r w:rsidRPr="00261B7A">
        <w:t>New Zealand uses country-specific methodology and emission factors for estimating enteric fermentation CH</w:t>
      </w:r>
      <w:r w:rsidRPr="00261B7A">
        <w:rPr>
          <w:vertAlign w:val="subscript"/>
        </w:rPr>
        <w:t>4</w:t>
      </w:r>
      <w:r w:rsidRPr="00261B7A">
        <w:t xml:space="preserve"> emissions per kilogram of dry matter feed intake (i.e., DMI) for several reasons. First, the data requirements for existing digestion models</w:t>
      </w:r>
      <w:r w:rsidRPr="00261B7A">
        <w:rPr>
          <w:rStyle w:val="FootnoteReference"/>
          <w:rFonts w:cs="Calibri"/>
        </w:rPr>
        <w:footnoteReference w:id="42"/>
      </w:r>
      <w:r w:rsidRPr="00261B7A">
        <w:t xml:space="preserve"> are less relevant to New Zealand’s predominantly pasture-based systems. Existing digestion models have been largely derived from animals fed indoors on diets unlike the grass-based diets fed to New Zealand livestock. Further, these existing models have a lower predictive power when compared against empirical experimental data derived from New Zealand research (Clark et al., 2003).</w:t>
      </w:r>
    </w:p>
    <w:p w14:paraId="413785BE" w14:textId="77777777" w:rsidR="00994F64" w:rsidRPr="00261B7A" w:rsidRDefault="00994F64" w:rsidP="00994F64">
      <w:pPr>
        <w:pStyle w:val="BodyText"/>
      </w:pPr>
      <w:r w:rsidRPr="00261B7A">
        <w:t>Since 1996, New Zealand scientists have been measuring CH</w:t>
      </w:r>
      <w:r w:rsidRPr="00261B7A">
        <w:rPr>
          <w:vertAlign w:val="subscript"/>
        </w:rPr>
        <w:t>4</w:t>
      </w:r>
      <w:r w:rsidRPr="00261B7A">
        <w:t xml:space="preserve"> emissions from grazing (non-housed) cattle and sheep initially using the sulphur hexafluoride (SF</w:t>
      </w:r>
      <w:r w:rsidRPr="00261B7A">
        <w:rPr>
          <w:vertAlign w:val="subscript"/>
        </w:rPr>
        <w:t>6</w:t>
      </w:r>
      <w:r w:rsidRPr="00261B7A">
        <w:t>) tracer technique (Lassey et al., 1997; Ulyatt et al., 1999). In recent years, New Zealand-based research has used closed-circuit respiration chambers, which are considered the gold standard for assessing CH</w:t>
      </w:r>
      <w:r w:rsidRPr="00261B7A">
        <w:rPr>
          <w:vertAlign w:val="subscript"/>
        </w:rPr>
        <w:t>4</w:t>
      </w:r>
      <w:r w:rsidRPr="00261B7A">
        <w:t xml:space="preserve"> emissions from livestock. These have been used to derive respiration-chamber-based measurements of CH</w:t>
      </w:r>
      <w:r w:rsidRPr="00261B7A">
        <w:rPr>
          <w:vertAlign w:val="subscript"/>
        </w:rPr>
        <w:t>4</w:t>
      </w:r>
      <w:r w:rsidRPr="00261B7A">
        <w:t xml:space="preserve"> emissions for sheep and, more recently, an expanded programme for dairy and beef cattle. </w:t>
      </w:r>
    </w:p>
    <w:p w14:paraId="0A12B433" w14:textId="77777777" w:rsidR="00994F64" w:rsidRPr="00261B7A" w:rsidRDefault="00994F64" w:rsidP="00994F64">
      <w:pPr>
        <w:pStyle w:val="BodyText"/>
      </w:pPr>
      <w:r w:rsidRPr="00261B7A">
        <w:t>To obtain New Zealand-specific values (or algorithms for sheep emissions), all relevant published and unpublished New Zealand-specific data were collated and used to derive average values for CH</w:t>
      </w:r>
      <w:r w:rsidRPr="00261B7A">
        <w:rPr>
          <w:vertAlign w:val="subscript"/>
        </w:rPr>
        <w:t>4</w:t>
      </w:r>
      <w:r w:rsidRPr="00261B7A">
        <w:t xml:space="preserve"> emissions from different categories of livestock </w:t>
      </w:r>
      <w:r w:rsidRPr="00261B7A">
        <w:rPr>
          <w:spacing w:val="-2"/>
        </w:rPr>
        <w:t xml:space="preserve">(Clark et al., 2003; </w:t>
      </w:r>
      <w:r w:rsidRPr="00261B7A">
        <w:t>Swainson et al., 2016). The associated data are presented in table 5.2.2 together with the IPCC (2006, tables 10.12 and 10.13) default values for per cent gross energy intake (GEI) used to calculate CH</w:t>
      </w:r>
      <w:r w:rsidRPr="00261B7A">
        <w:rPr>
          <w:vertAlign w:val="subscript"/>
        </w:rPr>
        <w:t>4</w:t>
      </w:r>
      <w:r w:rsidRPr="00261B7A">
        <w:t xml:space="preserve">. The New Zealand values for cattle fall within the IPCC range and are applied in this submission. </w:t>
      </w:r>
    </w:p>
    <w:p w14:paraId="0A97CAC4" w14:textId="77777777" w:rsidR="00994F64" w:rsidRPr="00261B7A" w:rsidRDefault="00994F64" w:rsidP="00994F64">
      <w:pPr>
        <w:pStyle w:val="Table"/>
        <w:rPr>
          <w:rFonts w:cs="Calibri"/>
        </w:rPr>
      </w:pPr>
      <w:bookmarkStart w:id="758" w:name="_Toc441830869"/>
      <w:bookmarkStart w:id="759" w:name="_Toc451176083"/>
      <w:bookmarkStart w:id="760" w:name="_Toc481751509"/>
      <w:bookmarkStart w:id="761" w:name="_Toc507158599"/>
      <w:bookmarkStart w:id="762" w:name="_Toc511116733"/>
      <w:bookmarkStart w:id="763" w:name="_Toc5269473"/>
      <w:bookmarkStart w:id="764" w:name="_Toc32570914"/>
      <w:bookmarkStart w:id="765" w:name="_Toc36224549"/>
      <w:bookmarkStart w:id="766" w:name="_Toc68786435"/>
      <w:bookmarkStart w:id="767" w:name="_Toc95574070"/>
      <w:bookmarkStart w:id="768" w:name="_Toc127458253"/>
      <w:bookmarkStart w:id="769" w:name="_Toc131591349"/>
      <w:r w:rsidRPr="00261B7A">
        <w:rPr>
          <w:rFonts w:cs="Calibri"/>
        </w:rPr>
        <w:t>Table 5.2.2</w:t>
      </w:r>
      <w:r w:rsidRPr="00261B7A">
        <w:rPr>
          <w:rFonts w:cs="Calibri"/>
        </w:rPr>
        <w:tab/>
        <w:t>Methane (CH</w:t>
      </w:r>
      <w:r w:rsidRPr="00261B7A">
        <w:rPr>
          <w:rFonts w:cs="Calibri"/>
          <w:vertAlign w:val="subscript"/>
        </w:rPr>
        <w:t>4</w:t>
      </w:r>
      <w:r w:rsidRPr="00261B7A">
        <w:rPr>
          <w:rFonts w:cs="Calibri"/>
        </w:rPr>
        <w:t>) emissions and gross energy intake (GEI) from New Zealand measurements and IPCC (2006) default values</w:t>
      </w:r>
      <w:bookmarkEnd w:id="758"/>
      <w:bookmarkEnd w:id="759"/>
      <w:bookmarkEnd w:id="760"/>
      <w:bookmarkEnd w:id="761"/>
      <w:bookmarkEnd w:id="762"/>
      <w:bookmarkEnd w:id="763"/>
      <w:bookmarkEnd w:id="764"/>
      <w:bookmarkEnd w:id="765"/>
      <w:bookmarkEnd w:id="766"/>
      <w:bookmarkEnd w:id="767"/>
      <w:bookmarkEnd w:id="768"/>
      <w:bookmarkEnd w:id="769"/>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000" w:firstRow="0" w:lastRow="0" w:firstColumn="0" w:lastColumn="0" w:noHBand="0" w:noVBand="0"/>
      </w:tblPr>
      <w:tblGrid>
        <w:gridCol w:w="3402"/>
        <w:gridCol w:w="1418"/>
        <w:gridCol w:w="1701"/>
        <w:gridCol w:w="1984"/>
      </w:tblGrid>
      <w:tr w:rsidR="00994F64" w:rsidRPr="00261B7A" w14:paraId="36D20E48" w14:textId="77777777" w:rsidTr="00501B0F">
        <w:trPr>
          <w:tblHeader/>
        </w:trPr>
        <w:tc>
          <w:tcPr>
            <w:tcW w:w="3402" w:type="dxa"/>
            <w:shd w:val="clear" w:color="auto" w:fill="1B556B"/>
            <w:vAlign w:val="bottom"/>
          </w:tcPr>
          <w:p w14:paraId="7C4A8A8E" w14:textId="77777777" w:rsidR="00994F64" w:rsidRPr="00261B7A" w:rsidRDefault="00994F64" w:rsidP="00501B0F">
            <w:pPr>
              <w:pStyle w:val="TableTextBold"/>
              <w:keepNext/>
              <w:rPr>
                <w:noProof w:val="0"/>
                <w:color w:val="FFFFFF" w:themeColor="background1"/>
              </w:rPr>
            </w:pPr>
          </w:p>
        </w:tc>
        <w:tc>
          <w:tcPr>
            <w:tcW w:w="1418" w:type="dxa"/>
            <w:shd w:val="clear" w:color="auto" w:fill="1B556B"/>
            <w:vAlign w:val="bottom"/>
          </w:tcPr>
          <w:p w14:paraId="52B2631E" w14:textId="77777777" w:rsidR="00994F64" w:rsidRPr="00261B7A" w:rsidRDefault="00994F64" w:rsidP="00501B0F">
            <w:pPr>
              <w:pStyle w:val="TableTextBold"/>
              <w:keepNext/>
              <w:jc w:val="center"/>
              <w:rPr>
                <w:noProof w:val="0"/>
                <w:color w:val="FFFFFF" w:themeColor="background1"/>
              </w:rPr>
            </w:pPr>
            <w:r w:rsidRPr="00261B7A">
              <w:rPr>
                <w:noProof w:val="0"/>
                <w:color w:val="FFFFFF" w:themeColor="background1"/>
              </w:rPr>
              <w:t>Adult cattle</w:t>
            </w:r>
          </w:p>
        </w:tc>
        <w:tc>
          <w:tcPr>
            <w:tcW w:w="1701" w:type="dxa"/>
            <w:shd w:val="clear" w:color="auto" w:fill="1B556B"/>
            <w:vAlign w:val="bottom"/>
          </w:tcPr>
          <w:p w14:paraId="209167B7" w14:textId="77777777" w:rsidR="00994F64" w:rsidRPr="00261B7A" w:rsidRDefault="00994F64" w:rsidP="00501B0F">
            <w:pPr>
              <w:pStyle w:val="TableTextBold"/>
              <w:keepNext/>
              <w:jc w:val="center"/>
              <w:rPr>
                <w:noProof w:val="0"/>
                <w:color w:val="FFFFFF" w:themeColor="background1"/>
              </w:rPr>
            </w:pPr>
            <w:r w:rsidRPr="00261B7A">
              <w:rPr>
                <w:noProof w:val="0"/>
                <w:color w:val="FFFFFF" w:themeColor="background1"/>
              </w:rPr>
              <w:t>Adult sheep (&gt; 1 year)</w:t>
            </w:r>
          </w:p>
        </w:tc>
        <w:tc>
          <w:tcPr>
            <w:tcW w:w="1984" w:type="dxa"/>
            <w:shd w:val="clear" w:color="auto" w:fill="1B556B"/>
            <w:vAlign w:val="bottom"/>
          </w:tcPr>
          <w:p w14:paraId="0544ADF4" w14:textId="77777777" w:rsidR="00994F64" w:rsidRPr="00261B7A" w:rsidRDefault="00994F64" w:rsidP="00501B0F">
            <w:pPr>
              <w:pStyle w:val="TableTextBold"/>
              <w:keepNext/>
              <w:jc w:val="center"/>
              <w:rPr>
                <w:noProof w:val="0"/>
                <w:color w:val="FFFFFF" w:themeColor="background1"/>
              </w:rPr>
            </w:pPr>
            <w:r w:rsidRPr="00261B7A">
              <w:rPr>
                <w:noProof w:val="0"/>
                <w:color w:val="FFFFFF" w:themeColor="background1"/>
              </w:rPr>
              <w:t>Young sheep (&lt; 1 year)</w:t>
            </w:r>
          </w:p>
        </w:tc>
      </w:tr>
      <w:tr w:rsidR="00994F64" w:rsidRPr="00261B7A" w14:paraId="548F324D" w14:textId="77777777" w:rsidTr="00501B0F">
        <w:tc>
          <w:tcPr>
            <w:tcW w:w="3402" w:type="dxa"/>
            <w:vAlign w:val="bottom"/>
          </w:tcPr>
          <w:p w14:paraId="337AB32E" w14:textId="77777777" w:rsidR="00994F64" w:rsidRPr="00261B7A" w:rsidRDefault="00994F64" w:rsidP="00501B0F">
            <w:pPr>
              <w:pStyle w:val="TableText"/>
              <w:keepNext/>
              <w:spacing w:before="50" w:after="50"/>
              <w:rPr>
                <w:rFonts w:cs="Calibri"/>
              </w:rPr>
            </w:pPr>
            <w:r w:rsidRPr="00261B7A">
              <w:rPr>
                <w:rFonts w:cs="Calibri"/>
              </w:rPr>
              <w:t>New Zealand CH</w:t>
            </w:r>
            <w:r w:rsidRPr="00261B7A">
              <w:rPr>
                <w:rFonts w:cs="Calibri"/>
                <w:vertAlign w:val="subscript"/>
              </w:rPr>
              <w:t>4</w:t>
            </w:r>
            <w:r w:rsidRPr="00261B7A">
              <w:rPr>
                <w:rFonts w:cs="Calibri"/>
              </w:rPr>
              <w:t xml:space="preserve"> emission rates from Clark et al. (2003) and Swainson et al. (2016) (g CH</w:t>
            </w:r>
            <w:r w:rsidRPr="00261B7A">
              <w:rPr>
                <w:rFonts w:cs="Calibri"/>
                <w:vertAlign w:val="subscript"/>
              </w:rPr>
              <w:t>4</w:t>
            </w:r>
            <w:r w:rsidRPr="00261B7A">
              <w:rPr>
                <w:rFonts w:cs="Calibri"/>
              </w:rPr>
              <w:t>/kg DMI)</w:t>
            </w:r>
          </w:p>
        </w:tc>
        <w:tc>
          <w:tcPr>
            <w:tcW w:w="1418" w:type="dxa"/>
            <w:vAlign w:val="bottom"/>
          </w:tcPr>
          <w:p w14:paraId="0538A915" w14:textId="77777777" w:rsidR="00994F64" w:rsidRPr="00261B7A" w:rsidRDefault="00994F64" w:rsidP="00501B0F">
            <w:pPr>
              <w:pStyle w:val="TableText"/>
              <w:keepNext/>
              <w:spacing w:before="50" w:after="50"/>
              <w:jc w:val="center"/>
              <w:rPr>
                <w:rFonts w:cs="Calibri"/>
              </w:rPr>
            </w:pPr>
            <w:r w:rsidRPr="00261B7A">
              <w:rPr>
                <w:rFonts w:cs="Calibri"/>
              </w:rPr>
              <w:t>21.6 × DMI</w:t>
            </w:r>
          </w:p>
        </w:tc>
        <w:tc>
          <w:tcPr>
            <w:tcW w:w="1701" w:type="dxa"/>
            <w:vAlign w:val="bottom"/>
          </w:tcPr>
          <w:p w14:paraId="69BB3509" w14:textId="77777777" w:rsidR="00994F64" w:rsidRPr="00261B7A" w:rsidRDefault="00994F64" w:rsidP="00501B0F">
            <w:pPr>
              <w:pStyle w:val="TableText"/>
              <w:keepNext/>
              <w:spacing w:before="50" w:after="50"/>
              <w:jc w:val="center"/>
              <w:rPr>
                <w:rFonts w:cs="Calibri"/>
              </w:rPr>
            </w:pPr>
            <w:r w:rsidRPr="00261B7A">
              <w:rPr>
                <w:rFonts w:cs="Calibri"/>
              </w:rPr>
              <w:t>21.977 × DM</w:t>
            </w:r>
            <w:r w:rsidRPr="00261B7A">
              <w:rPr>
                <w:rFonts w:cs="Calibri"/>
                <w:vertAlign w:val="superscript"/>
              </w:rPr>
              <w:t>0.765</w:t>
            </w:r>
          </w:p>
        </w:tc>
        <w:tc>
          <w:tcPr>
            <w:tcW w:w="1984" w:type="dxa"/>
            <w:vAlign w:val="bottom"/>
          </w:tcPr>
          <w:p w14:paraId="4DEE9321" w14:textId="77777777" w:rsidR="00994F64" w:rsidRPr="00261B7A" w:rsidRDefault="00994F64" w:rsidP="00501B0F">
            <w:pPr>
              <w:pStyle w:val="TableText"/>
              <w:keepNext/>
              <w:spacing w:before="50" w:after="50"/>
              <w:jc w:val="center"/>
              <w:rPr>
                <w:rFonts w:cs="Calibri"/>
              </w:rPr>
            </w:pPr>
            <w:r w:rsidRPr="00261B7A">
              <w:rPr>
                <w:rFonts w:cs="Calibri"/>
              </w:rPr>
              <w:t>11.705 × e</w:t>
            </w:r>
            <w:r w:rsidRPr="00261B7A">
              <w:rPr>
                <w:rFonts w:cs="Calibri"/>
                <w:vertAlign w:val="superscript"/>
              </w:rPr>
              <w:t>0.5ME</w:t>
            </w:r>
            <w:r w:rsidRPr="00261B7A">
              <w:rPr>
                <w:rFonts w:cs="Calibri"/>
              </w:rPr>
              <w:t xml:space="preserve"> × DMI</w:t>
            </w:r>
            <w:r w:rsidRPr="00261B7A">
              <w:rPr>
                <w:rFonts w:cs="Calibri"/>
                <w:vertAlign w:val="superscript"/>
              </w:rPr>
              <w:t>0.734</w:t>
            </w:r>
          </w:p>
        </w:tc>
      </w:tr>
      <w:tr w:rsidR="00994F64" w:rsidRPr="00261B7A" w14:paraId="3490BECC" w14:textId="77777777" w:rsidTr="00501B0F">
        <w:tc>
          <w:tcPr>
            <w:tcW w:w="3402" w:type="dxa"/>
            <w:shd w:val="clear" w:color="auto" w:fill="auto"/>
            <w:vAlign w:val="bottom"/>
          </w:tcPr>
          <w:p w14:paraId="1489A199" w14:textId="77777777" w:rsidR="00994F64" w:rsidRPr="00261B7A" w:rsidRDefault="00994F64" w:rsidP="00501B0F">
            <w:pPr>
              <w:pStyle w:val="TableText"/>
              <w:spacing w:before="50" w:after="50"/>
              <w:rPr>
                <w:rFonts w:cs="Calibri"/>
              </w:rPr>
            </w:pPr>
            <w:r w:rsidRPr="00261B7A">
              <w:rPr>
                <w:rFonts w:cs="Calibri"/>
              </w:rPr>
              <w:t>New Zealand data (GEI, %)</w:t>
            </w:r>
          </w:p>
        </w:tc>
        <w:tc>
          <w:tcPr>
            <w:tcW w:w="1418" w:type="dxa"/>
            <w:shd w:val="clear" w:color="auto" w:fill="auto"/>
            <w:vAlign w:val="bottom"/>
          </w:tcPr>
          <w:p w14:paraId="7F091417" w14:textId="77777777" w:rsidR="00994F64" w:rsidRPr="00261B7A" w:rsidRDefault="00994F64" w:rsidP="00501B0F">
            <w:pPr>
              <w:pStyle w:val="TableText"/>
              <w:spacing w:before="50" w:after="50"/>
              <w:jc w:val="center"/>
              <w:rPr>
                <w:rFonts w:cs="Calibri"/>
              </w:rPr>
            </w:pPr>
            <w:r w:rsidRPr="00261B7A">
              <w:rPr>
                <w:rFonts w:cs="Calibri"/>
              </w:rPr>
              <w:t>6.5</w:t>
            </w:r>
          </w:p>
        </w:tc>
        <w:tc>
          <w:tcPr>
            <w:tcW w:w="1701" w:type="dxa"/>
            <w:shd w:val="clear" w:color="auto" w:fill="auto"/>
            <w:vAlign w:val="bottom"/>
          </w:tcPr>
          <w:p w14:paraId="1A54A853" w14:textId="77777777" w:rsidR="00994F64" w:rsidRPr="00261B7A" w:rsidRDefault="00994F64" w:rsidP="00501B0F">
            <w:pPr>
              <w:pStyle w:val="TableText"/>
              <w:spacing w:before="50" w:after="50"/>
              <w:jc w:val="center"/>
              <w:rPr>
                <w:rFonts w:cs="Calibri"/>
              </w:rPr>
            </w:pPr>
            <w:r w:rsidRPr="00261B7A">
              <w:rPr>
                <w:rFonts w:cs="Calibri"/>
              </w:rPr>
              <w:t>–</w:t>
            </w:r>
          </w:p>
        </w:tc>
        <w:tc>
          <w:tcPr>
            <w:tcW w:w="1984" w:type="dxa"/>
            <w:shd w:val="clear" w:color="auto" w:fill="auto"/>
            <w:vAlign w:val="bottom"/>
          </w:tcPr>
          <w:p w14:paraId="3CCA3645" w14:textId="77777777" w:rsidR="00994F64" w:rsidRPr="00261B7A" w:rsidRDefault="00994F64" w:rsidP="00501B0F">
            <w:pPr>
              <w:pStyle w:val="TableText"/>
              <w:spacing w:before="50" w:after="50"/>
              <w:jc w:val="center"/>
              <w:rPr>
                <w:rFonts w:cs="Calibri"/>
              </w:rPr>
            </w:pPr>
            <w:r w:rsidRPr="00261B7A">
              <w:rPr>
                <w:rFonts w:cs="Calibri"/>
              </w:rPr>
              <w:t>–</w:t>
            </w:r>
          </w:p>
        </w:tc>
      </w:tr>
      <w:tr w:rsidR="00994F64" w:rsidRPr="00261B7A" w14:paraId="1B2BB0E7" w14:textId="77777777" w:rsidTr="00501B0F">
        <w:tc>
          <w:tcPr>
            <w:tcW w:w="3402" w:type="dxa"/>
            <w:vAlign w:val="bottom"/>
          </w:tcPr>
          <w:p w14:paraId="2FF467C2" w14:textId="77777777" w:rsidR="00994F64" w:rsidRPr="00261B7A" w:rsidRDefault="00994F64" w:rsidP="00501B0F">
            <w:pPr>
              <w:pStyle w:val="TableText"/>
              <w:spacing w:before="50" w:after="50"/>
              <w:rPr>
                <w:rFonts w:cs="Calibri"/>
              </w:rPr>
            </w:pPr>
            <w:r w:rsidRPr="00261B7A">
              <w:rPr>
                <w:rFonts w:cs="Calibri"/>
              </w:rPr>
              <w:t>IPCC (2006) default Y</w:t>
            </w:r>
            <w:r w:rsidRPr="00261B7A">
              <w:rPr>
                <w:rFonts w:cs="Calibri"/>
                <w:vertAlign w:val="subscript"/>
              </w:rPr>
              <w:t>m</w:t>
            </w:r>
            <w:r w:rsidRPr="00261B7A">
              <w:rPr>
                <w:rFonts w:cs="Calibri"/>
              </w:rPr>
              <w:t xml:space="preserve"> values (GEI, %)</w:t>
            </w:r>
          </w:p>
        </w:tc>
        <w:tc>
          <w:tcPr>
            <w:tcW w:w="1418" w:type="dxa"/>
            <w:vAlign w:val="bottom"/>
          </w:tcPr>
          <w:p w14:paraId="4E3D5A89" w14:textId="77777777" w:rsidR="00994F64" w:rsidRPr="00261B7A" w:rsidRDefault="00994F64" w:rsidP="00501B0F">
            <w:pPr>
              <w:pStyle w:val="TableText"/>
              <w:spacing w:before="50" w:after="50"/>
              <w:jc w:val="center"/>
              <w:rPr>
                <w:rFonts w:cs="Calibri"/>
              </w:rPr>
            </w:pPr>
            <w:r w:rsidRPr="00261B7A">
              <w:rPr>
                <w:rFonts w:cs="Calibri"/>
              </w:rPr>
              <w:t>6.5 ± 1.0</w:t>
            </w:r>
          </w:p>
        </w:tc>
        <w:tc>
          <w:tcPr>
            <w:tcW w:w="1701" w:type="dxa"/>
            <w:vAlign w:val="bottom"/>
          </w:tcPr>
          <w:p w14:paraId="22C72A8A" w14:textId="77777777" w:rsidR="00994F64" w:rsidRPr="00261B7A" w:rsidRDefault="00994F64" w:rsidP="00501B0F">
            <w:pPr>
              <w:pStyle w:val="TableText"/>
              <w:spacing w:before="50" w:after="50"/>
              <w:jc w:val="center"/>
              <w:rPr>
                <w:rFonts w:cs="Calibri"/>
              </w:rPr>
            </w:pPr>
            <w:r w:rsidRPr="00261B7A">
              <w:rPr>
                <w:rFonts w:cs="Calibri"/>
              </w:rPr>
              <w:t>6.5 ± 1.0</w:t>
            </w:r>
          </w:p>
        </w:tc>
        <w:tc>
          <w:tcPr>
            <w:tcW w:w="1984" w:type="dxa"/>
            <w:vAlign w:val="bottom"/>
          </w:tcPr>
          <w:p w14:paraId="4DB7B1C5" w14:textId="77777777" w:rsidR="00994F64" w:rsidRPr="00261B7A" w:rsidRDefault="00994F64" w:rsidP="00501B0F">
            <w:pPr>
              <w:pStyle w:val="TableText"/>
              <w:spacing w:before="50" w:after="50"/>
              <w:jc w:val="center"/>
              <w:rPr>
                <w:rFonts w:cs="Calibri"/>
              </w:rPr>
            </w:pPr>
            <w:r w:rsidRPr="00261B7A">
              <w:rPr>
                <w:rFonts w:cs="Calibri"/>
              </w:rPr>
              <w:t>4.5 ± 1.0</w:t>
            </w:r>
          </w:p>
        </w:tc>
      </w:tr>
    </w:tbl>
    <w:p w14:paraId="762E5BB1" w14:textId="77777777" w:rsidR="00994F64" w:rsidRPr="00261B7A" w:rsidRDefault="00994F64" w:rsidP="00994F64">
      <w:pPr>
        <w:pStyle w:val="Noteundertable"/>
        <w:rPr>
          <w:rFonts w:cs="Calibri"/>
        </w:rPr>
      </w:pPr>
      <w:r w:rsidRPr="00261B7A">
        <w:rPr>
          <w:rFonts w:cs="Calibri"/>
          <w:b/>
          <w:bCs/>
        </w:rPr>
        <w:t xml:space="preserve">Note: </w:t>
      </w:r>
      <w:r w:rsidRPr="00261B7A">
        <w:rPr>
          <w:rFonts w:cs="Calibri"/>
        </w:rPr>
        <w:tab/>
        <w:t>DMI = dry matter intake; Y</w:t>
      </w:r>
      <w:r w:rsidRPr="00261B7A">
        <w:rPr>
          <w:rFonts w:cs="Calibri"/>
          <w:vertAlign w:val="subscript"/>
        </w:rPr>
        <w:t>m</w:t>
      </w:r>
      <w:r w:rsidRPr="00261B7A">
        <w:rPr>
          <w:rFonts w:cs="Calibri"/>
        </w:rPr>
        <w:t xml:space="preserve"> = methane yield, ME = metabolisable energy.</w:t>
      </w:r>
    </w:p>
    <w:p w14:paraId="6B8083F8" w14:textId="77777777" w:rsidR="00994F64" w:rsidRPr="00261B7A" w:rsidRDefault="00994F64" w:rsidP="00994F64">
      <w:pPr>
        <w:pStyle w:val="BodyText"/>
        <w:rPr>
          <w:rFonts w:cs="Calibri"/>
        </w:rPr>
      </w:pPr>
      <w:r w:rsidRPr="00261B7A">
        <w:rPr>
          <w:rFonts w:cs="Calibri"/>
        </w:rPr>
        <w:t>The adult cattle value is applied to all dairy and beef cattle, irrespective of age. The value for deer is calculated based on the average value for adult cows and the (now defunct) CH</w:t>
      </w:r>
      <w:r w:rsidRPr="00261B7A">
        <w:rPr>
          <w:rFonts w:cs="Calibri"/>
          <w:vertAlign w:val="subscript"/>
        </w:rPr>
        <w:t>4</w:t>
      </w:r>
      <w:r w:rsidRPr="00261B7A">
        <w:rPr>
          <w:rFonts w:cs="Calibri"/>
        </w:rPr>
        <w:t xml:space="preserve"> emission rate for adult ewes</w:t>
      </w:r>
      <w:r w:rsidRPr="00261B7A">
        <w:rPr>
          <w:rStyle w:val="FootnoteReference"/>
          <w:rFonts w:cs="Calibri"/>
        </w:rPr>
        <w:footnoteReference w:id="43"/>
      </w:r>
      <w:r w:rsidRPr="00261B7A">
        <w:rPr>
          <w:rFonts w:cs="Calibri"/>
        </w:rPr>
        <w:t xml:space="preserve"> (Clark et al., 2003). This is due to (i) a lack of country-specific data for deer and (ii) that their liveweights are around halfway between cattle and sheep, both of which have emission factors based on robust, country-specific research. No CH</w:t>
      </w:r>
      <w:r w:rsidRPr="00261B7A">
        <w:rPr>
          <w:rFonts w:cs="Calibri"/>
          <w:vertAlign w:val="subscript"/>
        </w:rPr>
        <w:t>4</w:t>
      </w:r>
      <w:r w:rsidRPr="00261B7A">
        <w:rPr>
          <w:rFonts w:cs="Calibri"/>
        </w:rPr>
        <w:t xml:space="preserve"> emissions are assumed to arise from very young animals during the time that their diet only consists of milk.</w:t>
      </w:r>
    </w:p>
    <w:p w14:paraId="3C53A5DF" w14:textId="77777777" w:rsidR="00994F64" w:rsidRPr="00261B7A" w:rsidRDefault="00994F64" w:rsidP="00994F64">
      <w:pPr>
        <w:pStyle w:val="BodyText"/>
        <w:rPr>
          <w:rFonts w:cs="Calibri"/>
        </w:rPr>
      </w:pPr>
      <w:r w:rsidRPr="00261B7A">
        <w:rPr>
          <w:rFonts w:cs="Calibri"/>
        </w:rPr>
        <w:t>Table 5.2.3 shows a time series of CH</w:t>
      </w:r>
      <w:r w:rsidRPr="00261B7A">
        <w:rPr>
          <w:rFonts w:cs="Calibri"/>
          <w:vertAlign w:val="subscript"/>
        </w:rPr>
        <w:t>4</w:t>
      </w:r>
      <w:r w:rsidRPr="00261B7A">
        <w:rPr>
          <w:rFonts w:cs="Calibri"/>
        </w:rPr>
        <w:t xml:space="preserve"> IEFs (total emissions produced per animal type divided by the population of animals for each category) for dairy cattle, non-dairy (beef) cattle, sheep and deer. New Zealand experiences significant inter-annual variability in these IEFs, which is explained further in section 5.1.1. In table 5.2.3, </w:t>
      </w:r>
      <w:r w:rsidRPr="00261B7A">
        <w:rPr>
          <w:rFonts w:cs="Calibri"/>
          <w:i/>
          <w:iCs/>
        </w:rPr>
        <w:t>Milking dairy cattle</w:t>
      </w:r>
      <w:r w:rsidRPr="00261B7A">
        <w:rPr>
          <w:rFonts w:cs="Calibri"/>
        </w:rPr>
        <w:t xml:space="preserve"> is a subset of </w:t>
      </w:r>
      <w:r w:rsidRPr="00261B7A">
        <w:rPr>
          <w:rFonts w:cs="Calibri"/>
          <w:i/>
          <w:iCs/>
        </w:rPr>
        <w:t>All dairy cattle</w:t>
      </w:r>
      <w:r w:rsidRPr="00261B7A">
        <w:rPr>
          <w:rFonts w:cs="Calibri"/>
        </w:rPr>
        <w:t xml:space="preserve"> and only includes mature dairy cows that are being milked. </w:t>
      </w:r>
      <w:r w:rsidRPr="00261B7A">
        <w:rPr>
          <w:rFonts w:cs="Calibri"/>
          <w:i/>
          <w:iCs/>
        </w:rPr>
        <w:t>All dairy cattle</w:t>
      </w:r>
      <w:r w:rsidRPr="00261B7A">
        <w:rPr>
          <w:rFonts w:cs="Calibri"/>
        </w:rPr>
        <w:t xml:space="preserve"> includes milking cows as well as calves, dairy bulls and other dairy cattle not being milked.</w:t>
      </w:r>
    </w:p>
    <w:p w14:paraId="700F41B0" w14:textId="77777777" w:rsidR="00994F64" w:rsidRPr="00261B7A" w:rsidRDefault="00994F64" w:rsidP="00994F64">
      <w:pPr>
        <w:pStyle w:val="Table"/>
        <w:rPr>
          <w:rFonts w:cs="Calibri"/>
        </w:rPr>
      </w:pPr>
      <w:bookmarkStart w:id="770" w:name="_Toc441830870"/>
      <w:bookmarkStart w:id="771" w:name="_Toc451176084"/>
      <w:bookmarkStart w:id="772" w:name="_Toc481751510"/>
      <w:bookmarkStart w:id="773" w:name="_Toc507158600"/>
      <w:bookmarkStart w:id="774" w:name="_Toc511116734"/>
      <w:bookmarkStart w:id="775" w:name="_Toc5269474"/>
      <w:bookmarkStart w:id="776" w:name="_Toc32570915"/>
      <w:bookmarkStart w:id="777" w:name="_Toc36224550"/>
      <w:bookmarkStart w:id="778" w:name="_Toc68786436"/>
      <w:bookmarkStart w:id="779" w:name="_Toc95574071"/>
      <w:bookmarkStart w:id="780" w:name="_Toc127458254"/>
      <w:bookmarkStart w:id="781" w:name="_Toc131591350"/>
      <w:r w:rsidRPr="00261B7A">
        <w:rPr>
          <w:rFonts w:cs="Calibri"/>
        </w:rPr>
        <w:t>Table 5.2.3</w:t>
      </w:r>
      <w:r w:rsidRPr="00261B7A">
        <w:rPr>
          <w:rFonts w:cs="Calibri"/>
        </w:rPr>
        <w:tab/>
        <w:t>New Zealand’s implied emission factors for enteric fermentation from 1990 to</w:t>
      </w:r>
      <w:bookmarkEnd w:id="770"/>
      <w:bookmarkEnd w:id="771"/>
      <w:bookmarkEnd w:id="772"/>
      <w:r w:rsidRPr="00261B7A">
        <w:rPr>
          <w:rFonts w:cs="Calibri"/>
        </w:rPr>
        <w:t> </w:t>
      </w:r>
      <w:bookmarkEnd w:id="773"/>
      <w:bookmarkEnd w:id="774"/>
      <w:bookmarkEnd w:id="775"/>
      <w:bookmarkEnd w:id="776"/>
      <w:bookmarkEnd w:id="777"/>
      <w:bookmarkEnd w:id="778"/>
      <w:bookmarkEnd w:id="779"/>
      <w:r w:rsidRPr="00261B7A">
        <w:rPr>
          <w:rFonts w:cs="Calibri"/>
        </w:rPr>
        <w:t>2021</w:t>
      </w:r>
      <w:bookmarkEnd w:id="780"/>
      <w:bookmarkEnd w:id="781"/>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000" w:firstRow="0" w:lastRow="0" w:firstColumn="0" w:lastColumn="0" w:noHBand="0" w:noVBand="0"/>
      </w:tblPr>
      <w:tblGrid>
        <w:gridCol w:w="988"/>
        <w:gridCol w:w="1489"/>
        <w:gridCol w:w="1487"/>
        <w:gridCol w:w="1487"/>
        <w:gridCol w:w="1536"/>
        <w:gridCol w:w="1518"/>
      </w:tblGrid>
      <w:tr w:rsidR="00994F64" w:rsidRPr="00261B7A" w14:paraId="677A9823" w14:textId="77777777" w:rsidTr="00501B0F">
        <w:trPr>
          <w:trHeight w:val="623"/>
          <w:tblHeader/>
        </w:trPr>
        <w:tc>
          <w:tcPr>
            <w:tcW w:w="988" w:type="dxa"/>
            <w:shd w:val="clear" w:color="auto" w:fill="1B556B"/>
            <w:vAlign w:val="bottom"/>
          </w:tcPr>
          <w:p w14:paraId="1457E970" w14:textId="77777777" w:rsidR="00994F64" w:rsidRPr="00261B7A" w:rsidRDefault="00994F64" w:rsidP="00501B0F">
            <w:pPr>
              <w:pStyle w:val="TableTextBold"/>
              <w:keepNext/>
              <w:spacing w:before="40" w:after="40"/>
              <w:rPr>
                <w:noProof w:val="0"/>
                <w:color w:val="FFFFFF" w:themeColor="background1"/>
                <w:szCs w:val="16"/>
              </w:rPr>
            </w:pPr>
            <w:r w:rsidRPr="00261B7A">
              <w:rPr>
                <w:noProof w:val="0"/>
                <w:color w:val="FFFFFF" w:themeColor="background1"/>
                <w:szCs w:val="16"/>
              </w:rPr>
              <w:t>Year</w:t>
            </w:r>
          </w:p>
        </w:tc>
        <w:tc>
          <w:tcPr>
            <w:tcW w:w="1489" w:type="dxa"/>
            <w:shd w:val="clear" w:color="auto" w:fill="1B556B"/>
            <w:vAlign w:val="bottom"/>
          </w:tcPr>
          <w:p w14:paraId="0BA321C4" w14:textId="77777777" w:rsidR="00994F64" w:rsidRPr="00261B7A" w:rsidRDefault="00994F64" w:rsidP="00501B0F">
            <w:pPr>
              <w:pStyle w:val="TableTextBold"/>
              <w:spacing w:before="40" w:after="40"/>
              <w:jc w:val="right"/>
              <w:rPr>
                <w:noProof w:val="0"/>
                <w:color w:val="FFFFFF" w:themeColor="background1"/>
                <w:szCs w:val="16"/>
              </w:rPr>
            </w:pPr>
            <w:r w:rsidRPr="00261B7A">
              <w:rPr>
                <w:noProof w:val="0"/>
                <w:color w:val="FFFFFF" w:themeColor="background1"/>
                <w:szCs w:val="16"/>
              </w:rPr>
              <w:t>All dairy cattle</w:t>
            </w:r>
            <w:r w:rsidRPr="00261B7A">
              <w:rPr>
                <w:noProof w:val="0"/>
                <w:color w:val="FFFFFF" w:themeColor="background1"/>
                <w:szCs w:val="16"/>
              </w:rPr>
              <w:br/>
              <w:t>(kg CH</w:t>
            </w:r>
            <w:r w:rsidRPr="00261B7A">
              <w:rPr>
                <w:noProof w:val="0"/>
                <w:color w:val="FFFFFF" w:themeColor="background1"/>
                <w:szCs w:val="16"/>
                <w:vertAlign w:val="subscript"/>
              </w:rPr>
              <w:t xml:space="preserve">4 </w:t>
            </w:r>
            <w:r w:rsidRPr="00261B7A">
              <w:rPr>
                <w:noProof w:val="0"/>
                <w:color w:val="FFFFFF" w:themeColor="background1"/>
                <w:szCs w:val="16"/>
              </w:rPr>
              <w:t>per animal per annum)</w:t>
            </w:r>
          </w:p>
        </w:tc>
        <w:tc>
          <w:tcPr>
            <w:tcW w:w="1487" w:type="dxa"/>
            <w:shd w:val="clear" w:color="auto" w:fill="1B556B"/>
          </w:tcPr>
          <w:p w14:paraId="0C5318E6" w14:textId="77777777" w:rsidR="00994F64" w:rsidRPr="00261B7A" w:rsidRDefault="00994F64" w:rsidP="00501B0F">
            <w:pPr>
              <w:pStyle w:val="TableTextBold"/>
              <w:spacing w:before="40" w:after="40"/>
              <w:jc w:val="right"/>
              <w:rPr>
                <w:noProof w:val="0"/>
                <w:color w:val="FFFFFF" w:themeColor="background1"/>
                <w:szCs w:val="16"/>
              </w:rPr>
            </w:pPr>
            <w:r w:rsidRPr="00261B7A">
              <w:rPr>
                <w:noProof w:val="0"/>
                <w:color w:val="FFFFFF" w:themeColor="background1"/>
                <w:szCs w:val="16"/>
              </w:rPr>
              <w:t>Milking dairy cattle (kg CH</w:t>
            </w:r>
            <w:r w:rsidRPr="00261B7A">
              <w:rPr>
                <w:noProof w:val="0"/>
                <w:color w:val="FFFFFF" w:themeColor="background1"/>
                <w:szCs w:val="16"/>
                <w:vertAlign w:val="subscript"/>
              </w:rPr>
              <w:t xml:space="preserve">4 </w:t>
            </w:r>
            <w:r w:rsidRPr="00261B7A">
              <w:rPr>
                <w:noProof w:val="0"/>
                <w:color w:val="FFFFFF" w:themeColor="background1"/>
                <w:szCs w:val="16"/>
              </w:rPr>
              <w:t>per animal per annum)</w:t>
            </w:r>
          </w:p>
        </w:tc>
        <w:tc>
          <w:tcPr>
            <w:tcW w:w="1487" w:type="dxa"/>
            <w:shd w:val="clear" w:color="auto" w:fill="1B556B"/>
            <w:vAlign w:val="bottom"/>
          </w:tcPr>
          <w:p w14:paraId="6AEEE7F9" w14:textId="77777777" w:rsidR="00994F64" w:rsidRPr="00261B7A" w:rsidRDefault="00994F64" w:rsidP="00501B0F">
            <w:pPr>
              <w:pStyle w:val="TableTextBold"/>
              <w:spacing w:before="40" w:after="40"/>
              <w:jc w:val="right"/>
              <w:rPr>
                <w:noProof w:val="0"/>
                <w:color w:val="FFFFFF" w:themeColor="background1"/>
                <w:szCs w:val="16"/>
              </w:rPr>
            </w:pPr>
            <w:r w:rsidRPr="00261B7A">
              <w:rPr>
                <w:noProof w:val="0"/>
                <w:color w:val="FFFFFF" w:themeColor="background1"/>
                <w:szCs w:val="16"/>
              </w:rPr>
              <w:t xml:space="preserve">Non-dairy </w:t>
            </w:r>
            <w:r w:rsidRPr="00261B7A">
              <w:rPr>
                <w:i/>
                <w:iCs/>
                <w:noProof w:val="0"/>
                <w:color w:val="FFFFFF" w:themeColor="background1"/>
                <w:szCs w:val="16"/>
              </w:rPr>
              <w:t>(beef)</w:t>
            </w:r>
            <w:r w:rsidRPr="00261B7A">
              <w:rPr>
                <w:noProof w:val="0"/>
                <w:color w:val="FFFFFF" w:themeColor="background1"/>
                <w:szCs w:val="16"/>
              </w:rPr>
              <w:t xml:space="preserve"> cattle (kg CH</w:t>
            </w:r>
            <w:r w:rsidRPr="00261B7A">
              <w:rPr>
                <w:noProof w:val="0"/>
                <w:color w:val="FFFFFF" w:themeColor="background1"/>
                <w:szCs w:val="16"/>
                <w:vertAlign w:val="subscript"/>
              </w:rPr>
              <w:t xml:space="preserve">4 </w:t>
            </w:r>
            <w:r w:rsidRPr="00261B7A">
              <w:rPr>
                <w:noProof w:val="0"/>
                <w:color w:val="FFFFFF" w:themeColor="background1"/>
                <w:szCs w:val="16"/>
              </w:rPr>
              <w:t>per animal per annum)</w:t>
            </w:r>
          </w:p>
        </w:tc>
        <w:tc>
          <w:tcPr>
            <w:tcW w:w="1536" w:type="dxa"/>
            <w:shd w:val="clear" w:color="auto" w:fill="1B556B"/>
            <w:vAlign w:val="bottom"/>
          </w:tcPr>
          <w:p w14:paraId="6A46330A" w14:textId="77777777" w:rsidR="00994F64" w:rsidRPr="00261B7A" w:rsidRDefault="00994F64" w:rsidP="00501B0F">
            <w:pPr>
              <w:pStyle w:val="TableText"/>
              <w:spacing w:before="40" w:after="40"/>
              <w:jc w:val="right"/>
              <w:rPr>
                <w:b/>
                <w:bCs/>
                <w:color w:val="FFFFFF" w:themeColor="background1"/>
              </w:rPr>
            </w:pPr>
            <w:r w:rsidRPr="00261B7A">
              <w:rPr>
                <w:b/>
                <w:bCs/>
                <w:color w:val="FFFFFF" w:themeColor="background1"/>
              </w:rPr>
              <w:t>Sheep, all</w:t>
            </w:r>
            <w:r w:rsidRPr="00261B7A">
              <w:rPr>
                <w:b/>
                <w:bCs/>
                <w:color w:val="FFFFFF" w:themeColor="background1"/>
              </w:rPr>
              <w:br/>
              <w:t>(kg CH</w:t>
            </w:r>
            <w:r w:rsidRPr="00261B7A">
              <w:rPr>
                <w:b/>
                <w:bCs/>
                <w:color w:val="FFFFFF" w:themeColor="background1"/>
                <w:vertAlign w:val="subscript"/>
              </w:rPr>
              <w:t xml:space="preserve">4 </w:t>
            </w:r>
            <w:r w:rsidRPr="00261B7A">
              <w:rPr>
                <w:b/>
                <w:bCs/>
                <w:color w:val="FFFFFF" w:themeColor="background1"/>
              </w:rPr>
              <w:t>per animal per annum)</w:t>
            </w:r>
          </w:p>
        </w:tc>
        <w:tc>
          <w:tcPr>
            <w:tcW w:w="1518" w:type="dxa"/>
            <w:shd w:val="clear" w:color="auto" w:fill="1B556B"/>
            <w:vAlign w:val="bottom"/>
          </w:tcPr>
          <w:p w14:paraId="222102F1" w14:textId="77777777" w:rsidR="00994F64" w:rsidRPr="00261B7A" w:rsidRDefault="00994F64" w:rsidP="00501B0F">
            <w:pPr>
              <w:pStyle w:val="TableTextBold"/>
              <w:spacing w:before="40" w:after="40"/>
              <w:jc w:val="right"/>
              <w:rPr>
                <w:bCs/>
                <w:noProof w:val="0"/>
                <w:color w:val="FFFFFF" w:themeColor="background1"/>
                <w:szCs w:val="16"/>
              </w:rPr>
            </w:pPr>
            <w:r w:rsidRPr="00261B7A">
              <w:rPr>
                <w:bCs/>
                <w:noProof w:val="0"/>
                <w:color w:val="FFFFFF" w:themeColor="background1"/>
                <w:szCs w:val="16"/>
              </w:rPr>
              <w:t>Deer (kg CH</w:t>
            </w:r>
            <w:r w:rsidRPr="00261B7A">
              <w:rPr>
                <w:bCs/>
                <w:noProof w:val="0"/>
                <w:color w:val="FFFFFF" w:themeColor="background1"/>
                <w:szCs w:val="16"/>
                <w:vertAlign w:val="subscript"/>
              </w:rPr>
              <w:t xml:space="preserve">4 </w:t>
            </w:r>
            <w:r w:rsidRPr="00261B7A">
              <w:rPr>
                <w:bCs/>
                <w:noProof w:val="0"/>
                <w:color w:val="FFFFFF" w:themeColor="background1"/>
                <w:szCs w:val="16"/>
              </w:rPr>
              <w:t>per animal per annum)</w:t>
            </w:r>
          </w:p>
        </w:tc>
      </w:tr>
      <w:tr w:rsidR="00994F64" w:rsidRPr="00261B7A" w14:paraId="1A1ED379" w14:textId="77777777" w:rsidTr="00501B0F">
        <w:trPr>
          <w:trHeight w:val="239"/>
        </w:trPr>
        <w:tc>
          <w:tcPr>
            <w:tcW w:w="988" w:type="dxa"/>
          </w:tcPr>
          <w:p w14:paraId="652B6695" w14:textId="77777777" w:rsidR="00994F64" w:rsidRPr="00261B7A" w:rsidRDefault="00994F64" w:rsidP="00501B0F">
            <w:pPr>
              <w:pStyle w:val="TableText"/>
              <w:keepNext/>
              <w:spacing w:before="40" w:after="40"/>
              <w:rPr>
                <w:rFonts w:cs="Calibri"/>
                <w:szCs w:val="16"/>
              </w:rPr>
            </w:pPr>
            <w:r w:rsidRPr="00261B7A">
              <w:rPr>
                <w:rFonts w:cs="Calibri"/>
                <w:szCs w:val="16"/>
              </w:rPr>
              <w:t>1990</w:t>
            </w:r>
          </w:p>
        </w:tc>
        <w:tc>
          <w:tcPr>
            <w:tcW w:w="1489" w:type="dxa"/>
            <w:vAlign w:val="center"/>
          </w:tcPr>
          <w:p w14:paraId="4D0B433C" w14:textId="77777777" w:rsidR="00994F64" w:rsidRPr="00261B7A" w:rsidRDefault="00994F64" w:rsidP="00501B0F">
            <w:pPr>
              <w:pStyle w:val="TableText"/>
              <w:spacing w:before="40" w:after="40"/>
              <w:jc w:val="right"/>
              <w:rPr>
                <w:highlight w:val="yellow"/>
              </w:rPr>
            </w:pPr>
            <w:r w:rsidRPr="00261B7A">
              <w:rPr>
                <w:rFonts w:cs="Calibri"/>
                <w:color w:val="000000"/>
                <w:szCs w:val="16"/>
              </w:rPr>
              <w:t>59</w:t>
            </w:r>
            <w:r w:rsidRPr="00261B7A">
              <w:rPr>
                <w:color w:val="000000"/>
              </w:rPr>
              <w:t>.5</w:t>
            </w:r>
          </w:p>
        </w:tc>
        <w:tc>
          <w:tcPr>
            <w:tcW w:w="1487" w:type="dxa"/>
            <w:vAlign w:val="center"/>
          </w:tcPr>
          <w:p w14:paraId="441F3E39" w14:textId="77777777" w:rsidR="00994F64" w:rsidRPr="00261B7A" w:rsidRDefault="00994F64" w:rsidP="00501B0F">
            <w:pPr>
              <w:pStyle w:val="TableText"/>
              <w:spacing w:before="40" w:after="40"/>
              <w:jc w:val="right"/>
              <w:rPr>
                <w:highlight w:val="yellow"/>
              </w:rPr>
            </w:pPr>
            <w:r w:rsidRPr="00261B7A">
              <w:rPr>
                <w:rFonts w:cs="Calibri"/>
                <w:color w:val="000000"/>
                <w:szCs w:val="16"/>
              </w:rPr>
              <w:t>75.1</w:t>
            </w:r>
          </w:p>
        </w:tc>
        <w:tc>
          <w:tcPr>
            <w:tcW w:w="1487" w:type="dxa"/>
            <w:vAlign w:val="center"/>
          </w:tcPr>
          <w:p w14:paraId="7DA2D9FC" w14:textId="77777777" w:rsidR="00994F64" w:rsidRPr="00261B7A" w:rsidRDefault="00994F64" w:rsidP="00501B0F">
            <w:pPr>
              <w:pStyle w:val="TableText"/>
              <w:spacing w:before="40" w:after="40"/>
              <w:jc w:val="right"/>
              <w:rPr>
                <w:highlight w:val="yellow"/>
              </w:rPr>
            </w:pPr>
            <w:r w:rsidRPr="00261B7A">
              <w:rPr>
                <w:color w:val="000000"/>
              </w:rPr>
              <w:t>51.</w:t>
            </w:r>
            <w:r w:rsidRPr="00261B7A">
              <w:rPr>
                <w:rFonts w:cs="Calibri"/>
                <w:color w:val="000000"/>
                <w:szCs w:val="16"/>
              </w:rPr>
              <w:t>0</w:t>
            </w:r>
          </w:p>
        </w:tc>
        <w:tc>
          <w:tcPr>
            <w:tcW w:w="1536" w:type="dxa"/>
            <w:vAlign w:val="center"/>
          </w:tcPr>
          <w:p w14:paraId="6B918B1C" w14:textId="77777777" w:rsidR="00994F64" w:rsidRPr="00261B7A" w:rsidRDefault="00994F64" w:rsidP="00501B0F">
            <w:pPr>
              <w:pStyle w:val="TableText"/>
              <w:spacing w:before="40" w:after="40"/>
              <w:jc w:val="right"/>
              <w:rPr>
                <w:highlight w:val="yellow"/>
              </w:rPr>
            </w:pPr>
            <w:r w:rsidRPr="00261B7A">
              <w:t>10.0</w:t>
            </w:r>
          </w:p>
        </w:tc>
        <w:tc>
          <w:tcPr>
            <w:tcW w:w="1518" w:type="dxa"/>
            <w:vAlign w:val="center"/>
          </w:tcPr>
          <w:p w14:paraId="4992A709" w14:textId="77777777" w:rsidR="00994F64" w:rsidRPr="00261B7A" w:rsidRDefault="00994F64" w:rsidP="00501B0F">
            <w:pPr>
              <w:pStyle w:val="TableText"/>
              <w:spacing w:before="40" w:after="40"/>
              <w:jc w:val="right"/>
              <w:rPr>
                <w:highlight w:val="yellow"/>
              </w:rPr>
            </w:pPr>
            <w:r w:rsidRPr="00261B7A">
              <w:rPr>
                <w:rFonts w:cs="Calibri"/>
                <w:color w:val="000000"/>
                <w:szCs w:val="16"/>
              </w:rPr>
              <w:t>17.6</w:t>
            </w:r>
          </w:p>
        </w:tc>
      </w:tr>
      <w:tr w:rsidR="00994F64" w:rsidRPr="00261B7A" w14:paraId="6FC396EB" w14:textId="77777777" w:rsidTr="00501B0F">
        <w:trPr>
          <w:trHeight w:val="239"/>
        </w:trPr>
        <w:tc>
          <w:tcPr>
            <w:tcW w:w="988" w:type="dxa"/>
          </w:tcPr>
          <w:p w14:paraId="2BA37C36" w14:textId="77777777" w:rsidR="00994F64" w:rsidRPr="00261B7A" w:rsidRDefault="00994F64" w:rsidP="00501B0F">
            <w:pPr>
              <w:pStyle w:val="TableText"/>
              <w:spacing w:before="40" w:after="40"/>
              <w:rPr>
                <w:rFonts w:cs="Calibri"/>
                <w:szCs w:val="16"/>
              </w:rPr>
            </w:pPr>
            <w:r w:rsidRPr="00261B7A">
              <w:rPr>
                <w:rFonts w:cs="Calibri"/>
                <w:szCs w:val="16"/>
              </w:rPr>
              <w:t>1991</w:t>
            </w:r>
          </w:p>
        </w:tc>
        <w:tc>
          <w:tcPr>
            <w:tcW w:w="1489" w:type="dxa"/>
            <w:vAlign w:val="center"/>
          </w:tcPr>
          <w:p w14:paraId="39E0E062" w14:textId="77777777" w:rsidR="00994F64" w:rsidRPr="00261B7A" w:rsidRDefault="00994F64" w:rsidP="00501B0F">
            <w:pPr>
              <w:pStyle w:val="TableText"/>
              <w:spacing w:before="40" w:after="40"/>
              <w:jc w:val="right"/>
              <w:rPr>
                <w:highlight w:val="yellow"/>
              </w:rPr>
            </w:pPr>
            <w:r w:rsidRPr="00261B7A">
              <w:rPr>
                <w:rFonts w:cs="Calibri"/>
                <w:color w:val="000000"/>
                <w:szCs w:val="16"/>
              </w:rPr>
              <w:t>62.8</w:t>
            </w:r>
          </w:p>
        </w:tc>
        <w:tc>
          <w:tcPr>
            <w:tcW w:w="1487" w:type="dxa"/>
            <w:vAlign w:val="center"/>
          </w:tcPr>
          <w:p w14:paraId="030CF55C" w14:textId="77777777" w:rsidR="00994F64" w:rsidRPr="00261B7A" w:rsidRDefault="00994F64" w:rsidP="00501B0F">
            <w:pPr>
              <w:pStyle w:val="TableText"/>
              <w:spacing w:before="40" w:after="40"/>
              <w:jc w:val="right"/>
              <w:rPr>
                <w:highlight w:val="yellow"/>
              </w:rPr>
            </w:pPr>
            <w:r w:rsidRPr="00261B7A">
              <w:rPr>
                <w:rFonts w:cs="Calibri"/>
                <w:color w:val="000000"/>
                <w:szCs w:val="16"/>
              </w:rPr>
              <w:t>75.0</w:t>
            </w:r>
          </w:p>
        </w:tc>
        <w:tc>
          <w:tcPr>
            <w:tcW w:w="1487" w:type="dxa"/>
            <w:vAlign w:val="center"/>
          </w:tcPr>
          <w:p w14:paraId="232D7129" w14:textId="77777777" w:rsidR="00994F64" w:rsidRPr="00261B7A" w:rsidRDefault="00994F64" w:rsidP="00501B0F">
            <w:pPr>
              <w:pStyle w:val="TableText"/>
              <w:spacing w:before="40" w:after="40"/>
              <w:jc w:val="right"/>
              <w:rPr>
                <w:highlight w:val="yellow"/>
              </w:rPr>
            </w:pPr>
            <w:r w:rsidRPr="00261B7A">
              <w:rPr>
                <w:rFonts w:cs="Calibri"/>
                <w:color w:val="000000"/>
                <w:szCs w:val="16"/>
              </w:rPr>
              <w:t>52.6</w:t>
            </w:r>
          </w:p>
        </w:tc>
        <w:tc>
          <w:tcPr>
            <w:tcW w:w="1536" w:type="dxa"/>
            <w:vAlign w:val="center"/>
          </w:tcPr>
          <w:p w14:paraId="215B0837" w14:textId="77777777" w:rsidR="00994F64" w:rsidRPr="00261B7A" w:rsidRDefault="00994F64" w:rsidP="00501B0F">
            <w:pPr>
              <w:pStyle w:val="TableText"/>
              <w:spacing w:before="40" w:after="40"/>
              <w:jc w:val="right"/>
              <w:rPr>
                <w:highlight w:val="yellow"/>
              </w:rPr>
            </w:pPr>
            <w:r w:rsidRPr="00261B7A">
              <w:t>10.1</w:t>
            </w:r>
          </w:p>
        </w:tc>
        <w:tc>
          <w:tcPr>
            <w:tcW w:w="1518" w:type="dxa"/>
            <w:vAlign w:val="center"/>
          </w:tcPr>
          <w:p w14:paraId="3C56FA0D" w14:textId="77777777" w:rsidR="00994F64" w:rsidRPr="00261B7A" w:rsidRDefault="00994F64" w:rsidP="00501B0F">
            <w:pPr>
              <w:pStyle w:val="TableText"/>
              <w:spacing w:before="40" w:after="40"/>
              <w:jc w:val="right"/>
              <w:rPr>
                <w:highlight w:val="yellow"/>
              </w:rPr>
            </w:pPr>
            <w:r w:rsidRPr="00261B7A">
              <w:rPr>
                <w:color w:val="000000"/>
              </w:rPr>
              <w:t>18.</w:t>
            </w:r>
            <w:r w:rsidRPr="00261B7A">
              <w:rPr>
                <w:rFonts w:cs="Calibri"/>
                <w:color w:val="000000"/>
                <w:szCs w:val="16"/>
              </w:rPr>
              <w:t>1</w:t>
            </w:r>
          </w:p>
        </w:tc>
      </w:tr>
      <w:tr w:rsidR="00994F64" w:rsidRPr="00261B7A" w14:paraId="40F222F4" w14:textId="77777777" w:rsidTr="00501B0F">
        <w:trPr>
          <w:trHeight w:val="239"/>
        </w:trPr>
        <w:tc>
          <w:tcPr>
            <w:tcW w:w="988" w:type="dxa"/>
          </w:tcPr>
          <w:p w14:paraId="3D81992D" w14:textId="77777777" w:rsidR="00994F64" w:rsidRPr="00261B7A" w:rsidRDefault="00994F64" w:rsidP="00501B0F">
            <w:pPr>
              <w:pStyle w:val="TableText"/>
              <w:spacing w:before="40" w:after="40"/>
              <w:rPr>
                <w:rFonts w:cs="Calibri"/>
                <w:szCs w:val="16"/>
              </w:rPr>
            </w:pPr>
            <w:r w:rsidRPr="00261B7A">
              <w:rPr>
                <w:rFonts w:cs="Calibri"/>
                <w:szCs w:val="16"/>
              </w:rPr>
              <w:t>1992</w:t>
            </w:r>
          </w:p>
        </w:tc>
        <w:tc>
          <w:tcPr>
            <w:tcW w:w="1489" w:type="dxa"/>
            <w:vAlign w:val="center"/>
          </w:tcPr>
          <w:p w14:paraId="2FDE2B17" w14:textId="77777777" w:rsidR="00994F64" w:rsidRPr="00261B7A" w:rsidRDefault="00994F64" w:rsidP="00501B0F">
            <w:pPr>
              <w:pStyle w:val="TableText"/>
              <w:spacing w:before="40" w:after="40"/>
              <w:jc w:val="right"/>
              <w:rPr>
                <w:highlight w:val="yellow"/>
              </w:rPr>
            </w:pPr>
            <w:r w:rsidRPr="00261B7A">
              <w:rPr>
                <w:rFonts w:cs="Calibri"/>
                <w:color w:val="000000"/>
                <w:szCs w:val="16"/>
              </w:rPr>
              <w:t>63.5</w:t>
            </w:r>
          </w:p>
        </w:tc>
        <w:tc>
          <w:tcPr>
            <w:tcW w:w="1487" w:type="dxa"/>
            <w:vAlign w:val="center"/>
          </w:tcPr>
          <w:p w14:paraId="7927DFBA" w14:textId="77777777" w:rsidR="00994F64" w:rsidRPr="00261B7A" w:rsidRDefault="00994F64" w:rsidP="00501B0F">
            <w:pPr>
              <w:pStyle w:val="TableText"/>
              <w:spacing w:before="40" w:after="40"/>
              <w:jc w:val="right"/>
              <w:rPr>
                <w:highlight w:val="yellow"/>
              </w:rPr>
            </w:pPr>
            <w:r w:rsidRPr="00261B7A">
              <w:rPr>
                <w:rFonts w:cs="Calibri"/>
                <w:color w:val="000000"/>
                <w:szCs w:val="16"/>
              </w:rPr>
              <w:t>78.8</w:t>
            </w:r>
          </w:p>
        </w:tc>
        <w:tc>
          <w:tcPr>
            <w:tcW w:w="1487" w:type="dxa"/>
            <w:vAlign w:val="center"/>
          </w:tcPr>
          <w:p w14:paraId="09BEE2A0" w14:textId="77777777" w:rsidR="00994F64" w:rsidRPr="00261B7A" w:rsidRDefault="00994F64" w:rsidP="00501B0F">
            <w:pPr>
              <w:pStyle w:val="TableText"/>
              <w:spacing w:before="40" w:after="40"/>
              <w:jc w:val="right"/>
              <w:rPr>
                <w:highlight w:val="yellow"/>
              </w:rPr>
            </w:pPr>
            <w:r w:rsidRPr="00261B7A">
              <w:rPr>
                <w:rFonts w:cs="Calibri"/>
                <w:color w:val="000000"/>
                <w:szCs w:val="16"/>
              </w:rPr>
              <w:t>53.4</w:t>
            </w:r>
          </w:p>
        </w:tc>
        <w:tc>
          <w:tcPr>
            <w:tcW w:w="1536" w:type="dxa"/>
            <w:vAlign w:val="center"/>
          </w:tcPr>
          <w:p w14:paraId="7B08D7EF" w14:textId="77777777" w:rsidR="00994F64" w:rsidRPr="00261B7A" w:rsidRDefault="00994F64" w:rsidP="00501B0F">
            <w:pPr>
              <w:pStyle w:val="TableText"/>
              <w:spacing w:before="40" w:after="40"/>
              <w:jc w:val="right"/>
              <w:rPr>
                <w:highlight w:val="yellow"/>
              </w:rPr>
            </w:pPr>
            <w:r w:rsidRPr="00261B7A">
              <w:t>10.1</w:t>
            </w:r>
          </w:p>
        </w:tc>
        <w:tc>
          <w:tcPr>
            <w:tcW w:w="1518" w:type="dxa"/>
            <w:vAlign w:val="center"/>
          </w:tcPr>
          <w:p w14:paraId="1D50D46D" w14:textId="77777777" w:rsidR="00994F64" w:rsidRPr="00261B7A" w:rsidRDefault="00994F64" w:rsidP="00501B0F">
            <w:pPr>
              <w:pStyle w:val="TableText"/>
              <w:spacing w:before="40" w:after="40"/>
              <w:jc w:val="right"/>
              <w:rPr>
                <w:highlight w:val="yellow"/>
              </w:rPr>
            </w:pPr>
            <w:r w:rsidRPr="00261B7A">
              <w:rPr>
                <w:rFonts w:cs="Calibri"/>
                <w:color w:val="000000"/>
                <w:szCs w:val="16"/>
              </w:rPr>
              <w:t>18.8</w:t>
            </w:r>
          </w:p>
        </w:tc>
      </w:tr>
      <w:tr w:rsidR="00994F64" w:rsidRPr="00261B7A" w14:paraId="12355A84" w14:textId="77777777" w:rsidTr="00501B0F">
        <w:trPr>
          <w:trHeight w:val="239"/>
        </w:trPr>
        <w:tc>
          <w:tcPr>
            <w:tcW w:w="988" w:type="dxa"/>
          </w:tcPr>
          <w:p w14:paraId="2433BDD0" w14:textId="77777777" w:rsidR="00994F64" w:rsidRPr="00261B7A" w:rsidRDefault="00994F64" w:rsidP="00501B0F">
            <w:pPr>
              <w:pStyle w:val="TableText"/>
              <w:spacing w:before="40" w:after="40"/>
              <w:rPr>
                <w:rFonts w:cs="Calibri"/>
                <w:szCs w:val="16"/>
              </w:rPr>
            </w:pPr>
            <w:r w:rsidRPr="00261B7A">
              <w:rPr>
                <w:rFonts w:cs="Calibri"/>
                <w:szCs w:val="16"/>
              </w:rPr>
              <w:t>1993</w:t>
            </w:r>
          </w:p>
        </w:tc>
        <w:tc>
          <w:tcPr>
            <w:tcW w:w="1489" w:type="dxa"/>
            <w:vAlign w:val="center"/>
          </w:tcPr>
          <w:p w14:paraId="70059FDD" w14:textId="77777777" w:rsidR="00994F64" w:rsidRPr="00261B7A" w:rsidRDefault="00994F64" w:rsidP="00501B0F">
            <w:pPr>
              <w:pStyle w:val="TableText"/>
              <w:spacing w:before="40" w:after="40"/>
              <w:jc w:val="right"/>
              <w:rPr>
                <w:highlight w:val="yellow"/>
              </w:rPr>
            </w:pPr>
            <w:r w:rsidRPr="00261B7A">
              <w:rPr>
                <w:rFonts w:cs="Calibri"/>
                <w:color w:val="000000"/>
                <w:szCs w:val="16"/>
              </w:rPr>
              <w:t>63.5</w:t>
            </w:r>
          </w:p>
        </w:tc>
        <w:tc>
          <w:tcPr>
            <w:tcW w:w="1487" w:type="dxa"/>
            <w:vAlign w:val="center"/>
          </w:tcPr>
          <w:p w14:paraId="22D2D02E" w14:textId="77777777" w:rsidR="00994F64" w:rsidRPr="00261B7A" w:rsidRDefault="00994F64" w:rsidP="00501B0F">
            <w:pPr>
              <w:pStyle w:val="TableText"/>
              <w:spacing w:before="40" w:after="40"/>
              <w:jc w:val="right"/>
              <w:rPr>
                <w:highlight w:val="yellow"/>
              </w:rPr>
            </w:pPr>
            <w:r w:rsidRPr="00261B7A">
              <w:rPr>
                <w:color w:val="000000"/>
              </w:rPr>
              <w:t>79.</w:t>
            </w:r>
            <w:r w:rsidRPr="00261B7A">
              <w:rPr>
                <w:rFonts w:cs="Calibri"/>
                <w:color w:val="000000"/>
                <w:szCs w:val="16"/>
              </w:rPr>
              <w:t>9</w:t>
            </w:r>
          </w:p>
        </w:tc>
        <w:tc>
          <w:tcPr>
            <w:tcW w:w="1487" w:type="dxa"/>
            <w:vAlign w:val="center"/>
          </w:tcPr>
          <w:p w14:paraId="0C8947F6" w14:textId="77777777" w:rsidR="00994F64" w:rsidRPr="00261B7A" w:rsidRDefault="00994F64" w:rsidP="00501B0F">
            <w:pPr>
              <w:pStyle w:val="TableText"/>
              <w:spacing w:before="40" w:after="40"/>
              <w:jc w:val="right"/>
              <w:rPr>
                <w:highlight w:val="yellow"/>
              </w:rPr>
            </w:pPr>
            <w:r w:rsidRPr="00261B7A">
              <w:rPr>
                <w:color w:val="000000"/>
              </w:rPr>
              <w:t>54.</w:t>
            </w:r>
            <w:r w:rsidRPr="00261B7A">
              <w:rPr>
                <w:rFonts w:cs="Calibri"/>
                <w:color w:val="000000"/>
                <w:szCs w:val="16"/>
              </w:rPr>
              <w:t>2</w:t>
            </w:r>
          </w:p>
        </w:tc>
        <w:tc>
          <w:tcPr>
            <w:tcW w:w="1536" w:type="dxa"/>
            <w:vAlign w:val="center"/>
          </w:tcPr>
          <w:p w14:paraId="099A5447" w14:textId="77777777" w:rsidR="00994F64" w:rsidRPr="00261B7A" w:rsidRDefault="00994F64" w:rsidP="00501B0F">
            <w:pPr>
              <w:pStyle w:val="TableText"/>
              <w:spacing w:before="40" w:after="40"/>
              <w:jc w:val="right"/>
              <w:rPr>
                <w:highlight w:val="yellow"/>
              </w:rPr>
            </w:pPr>
            <w:r w:rsidRPr="00261B7A">
              <w:t>10.3</w:t>
            </w:r>
          </w:p>
        </w:tc>
        <w:tc>
          <w:tcPr>
            <w:tcW w:w="1518" w:type="dxa"/>
            <w:vAlign w:val="center"/>
          </w:tcPr>
          <w:p w14:paraId="009FEC35" w14:textId="77777777" w:rsidR="00994F64" w:rsidRPr="00261B7A" w:rsidRDefault="00994F64" w:rsidP="00501B0F">
            <w:pPr>
              <w:pStyle w:val="TableText"/>
              <w:spacing w:before="40" w:after="40"/>
              <w:jc w:val="right"/>
              <w:rPr>
                <w:highlight w:val="yellow"/>
              </w:rPr>
            </w:pPr>
            <w:r w:rsidRPr="00261B7A">
              <w:rPr>
                <w:rFonts w:cs="Calibri"/>
                <w:color w:val="000000"/>
                <w:szCs w:val="16"/>
              </w:rPr>
              <w:t>19.2</w:t>
            </w:r>
          </w:p>
        </w:tc>
      </w:tr>
      <w:tr w:rsidR="00994F64" w:rsidRPr="00261B7A" w14:paraId="7DC96A0F" w14:textId="77777777" w:rsidTr="00501B0F">
        <w:trPr>
          <w:trHeight w:val="239"/>
        </w:trPr>
        <w:tc>
          <w:tcPr>
            <w:tcW w:w="988" w:type="dxa"/>
          </w:tcPr>
          <w:p w14:paraId="23DE2258" w14:textId="77777777" w:rsidR="00994F64" w:rsidRPr="00261B7A" w:rsidRDefault="00994F64" w:rsidP="00501B0F">
            <w:pPr>
              <w:pStyle w:val="TableText"/>
              <w:spacing w:before="40" w:after="40"/>
              <w:rPr>
                <w:rFonts w:cs="Calibri"/>
                <w:szCs w:val="16"/>
              </w:rPr>
            </w:pPr>
            <w:r w:rsidRPr="00261B7A">
              <w:rPr>
                <w:rFonts w:cs="Calibri"/>
                <w:szCs w:val="16"/>
              </w:rPr>
              <w:t>1994</w:t>
            </w:r>
          </w:p>
        </w:tc>
        <w:tc>
          <w:tcPr>
            <w:tcW w:w="1489" w:type="dxa"/>
            <w:vAlign w:val="center"/>
          </w:tcPr>
          <w:p w14:paraId="1BD84547" w14:textId="77777777" w:rsidR="00994F64" w:rsidRPr="00261B7A" w:rsidRDefault="00994F64" w:rsidP="00501B0F">
            <w:pPr>
              <w:pStyle w:val="TableText"/>
              <w:spacing w:before="40" w:after="40"/>
              <w:jc w:val="right"/>
              <w:rPr>
                <w:highlight w:val="yellow"/>
              </w:rPr>
            </w:pPr>
            <w:r w:rsidRPr="00261B7A">
              <w:rPr>
                <w:rFonts w:cs="Calibri"/>
                <w:color w:val="000000"/>
                <w:szCs w:val="16"/>
              </w:rPr>
              <w:t>62.1</w:t>
            </w:r>
          </w:p>
        </w:tc>
        <w:tc>
          <w:tcPr>
            <w:tcW w:w="1487" w:type="dxa"/>
            <w:vAlign w:val="center"/>
          </w:tcPr>
          <w:p w14:paraId="52E67292" w14:textId="77777777" w:rsidR="00994F64" w:rsidRPr="00261B7A" w:rsidRDefault="00994F64" w:rsidP="00501B0F">
            <w:pPr>
              <w:pStyle w:val="TableText"/>
              <w:spacing w:before="40" w:after="40"/>
              <w:jc w:val="right"/>
              <w:rPr>
                <w:highlight w:val="yellow"/>
              </w:rPr>
            </w:pPr>
            <w:r w:rsidRPr="00261B7A">
              <w:rPr>
                <w:rFonts w:cs="Calibri"/>
                <w:color w:val="000000"/>
                <w:szCs w:val="16"/>
              </w:rPr>
              <w:t>81.8</w:t>
            </w:r>
          </w:p>
        </w:tc>
        <w:tc>
          <w:tcPr>
            <w:tcW w:w="1487" w:type="dxa"/>
            <w:vAlign w:val="center"/>
          </w:tcPr>
          <w:p w14:paraId="6DC62EF4" w14:textId="77777777" w:rsidR="00994F64" w:rsidRPr="00261B7A" w:rsidRDefault="00994F64" w:rsidP="00501B0F">
            <w:pPr>
              <w:pStyle w:val="TableText"/>
              <w:spacing w:before="40" w:after="40"/>
              <w:jc w:val="right"/>
              <w:rPr>
                <w:highlight w:val="yellow"/>
              </w:rPr>
            </w:pPr>
            <w:r w:rsidRPr="00261B7A">
              <w:rPr>
                <w:rFonts w:cs="Calibri"/>
                <w:color w:val="000000"/>
                <w:szCs w:val="16"/>
              </w:rPr>
              <w:t>54.7</w:t>
            </w:r>
          </w:p>
        </w:tc>
        <w:tc>
          <w:tcPr>
            <w:tcW w:w="1536" w:type="dxa"/>
            <w:vAlign w:val="center"/>
          </w:tcPr>
          <w:p w14:paraId="67043BFA" w14:textId="77777777" w:rsidR="00994F64" w:rsidRPr="00261B7A" w:rsidRDefault="00994F64" w:rsidP="00501B0F">
            <w:pPr>
              <w:pStyle w:val="TableText"/>
              <w:spacing w:before="40" w:after="40"/>
              <w:jc w:val="right"/>
              <w:rPr>
                <w:highlight w:val="yellow"/>
              </w:rPr>
            </w:pPr>
            <w:r w:rsidRPr="00261B7A">
              <w:t>10.5</w:t>
            </w:r>
          </w:p>
        </w:tc>
        <w:tc>
          <w:tcPr>
            <w:tcW w:w="1518" w:type="dxa"/>
            <w:vAlign w:val="center"/>
          </w:tcPr>
          <w:p w14:paraId="287DD10B" w14:textId="77777777" w:rsidR="00994F64" w:rsidRPr="00261B7A" w:rsidRDefault="00994F64" w:rsidP="00501B0F">
            <w:pPr>
              <w:pStyle w:val="TableText"/>
              <w:spacing w:before="40" w:after="40"/>
              <w:jc w:val="right"/>
              <w:rPr>
                <w:highlight w:val="yellow"/>
              </w:rPr>
            </w:pPr>
            <w:r w:rsidRPr="00261B7A">
              <w:rPr>
                <w:color w:val="000000"/>
              </w:rPr>
              <w:t>19.</w:t>
            </w:r>
            <w:r w:rsidRPr="00261B7A">
              <w:rPr>
                <w:rFonts w:cs="Calibri"/>
                <w:color w:val="000000"/>
                <w:szCs w:val="16"/>
              </w:rPr>
              <w:t>0</w:t>
            </w:r>
          </w:p>
        </w:tc>
      </w:tr>
      <w:tr w:rsidR="00994F64" w:rsidRPr="00261B7A" w14:paraId="74342973" w14:textId="77777777" w:rsidTr="00501B0F">
        <w:trPr>
          <w:trHeight w:val="239"/>
        </w:trPr>
        <w:tc>
          <w:tcPr>
            <w:tcW w:w="988" w:type="dxa"/>
          </w:tcPr>
          <w:p w14:paraId="32F6C433" w14:textId="77777777" w:rsidR="00994F64" w:rsidRPr="00261B7A" w:rsidRDefault="00994F64" w:rsidP="00501B0F">
            <w:pPr>
              <w:pStyle w:val="TableText"/>
              <w:spacing w:before="40" w:after="40"/>
              <w:rPr>
                <w:rFonts w:cs="Calibri"/>
                <w:szCs w:val="16"/>
              </w:rPr>
            </w:pPr>
            <w:r w:rsidRPr="00261B7A">
              <w:rPr>
                <w:rFonts w:cs="Calibri"/>
                <w:szCs w:val="16"/>
              </w:rPr>
              <w:t>1995</w:t>
            </w:r>
          </w:p>
        </w:tc>
        <w:tc>
          <w:tcPr>
            <w:tcW w:w="1489" w:type="dxa"/>
            <w:vAlign w:val="center"/>
          </w:tcPr>
          <w:p w14:paraId="3FD1B105" w14:textId="77777777" w:rsidR="00994F64" w:rsidRPr="00261B7A" w:rsidRDefault="00994F64" w:rsidP="00501B0F">
            <w:pPr>
              <w:pStyle w:val="TableText"/>
              <w:spacing w:before="40" w:after="40"/>
              <w:jc w:val="right"/>
              <w:rPr>
                <w:highlight w:val="yellow"/>
              </w:rPr>
            </w:pPr>
            <w:r w:rsidRPr="00261B7A">
              <w:rPr>
                <w:rFonts w:cs="Calibri"/>
                <w:color w:val="000000"/>
                <w:szCs w:val="16"/>
              </w:rPr>
              <w:t>62.7</w:t>
            </w:r>
          </w:p>
        </w:tc>
        <w:tc>
          <w:tcPr>
            <w:tcW w:w="1487" w:type="dxa"/>
            <w:vAlign w:val="center"/>
          </w:tcPr>
          <w:p w14:paraId="6A80D425" w14:textId="77777777" w:rsidR="00994F64" w:rsidRPr="00261B7A" w:rsidRDefault="00994F64" w:rsidP="00501B0F">
            <w:pPr>
              <w:pStyle w:val="TableText"/>
              <w:spacing w:before="40" w:after="40"/>
              <w:jc w:val="right"/>
              <w:rPr>
                <w:highlight w:val="yellow"/>
              </w:rPr>
            </w:pPr>
            <w:r w:rsidRPr="00261B7A">
              <w:rPr>
                <w:rFonts w:cs="Calibri"/>
                <w:color w:val="000000"/>
                <w:szCs w:val="16"/>
              </w:rPr>
              <w:t>81.5</w:t>
            </w:r>
          </w:p>
        </w:tc>
        <w:tc>
          <w:tcPr>
            <w:tcW w:w="1487" w:type="dxa"/>
            <w:vAlign w:val="center"/>
          </w:tcPr>
          <w:p w14:paraId="6B578CA5" w14:textId="77777777" w:rsidR="00994F64" w:rsidRPr="00261B7A" w:rsidRDefault="00994F64" w:rsidP="00501B0F">
            <w:pPr>
              <w:pStyle w:val="TableText"/>
              <w:spacing w:before="40" w:after="40"/>
              <w:jc w:val="right"/>
              <w:rPr>
                <w:highlight w:val="yellow"/>
              </w:rPr>
            </w:pPr>
            <w:r w:rsidRPr="00261B7A">
              <w:rPr>
                <w:color w:val="000000"/>
              </w:rPr>
              <w:t>54.</w:t>
            </w:r>
            <w:r w:rsidRPr="00261B7A">
              <w:rPr>
                <w:rFonts w:cs="Calibri"/>
                <w:color w:val="000000"/>
                <w:szCs w:val="16"/>
              </w:rPr>
              <w:t>1</w:t>
            </w:r>
          </w:p>
        </w:tc>
        <w:tc>
          <w:tcPr>
            <w:tcW w:w="1536" w:type="dxa"/>
            <w:vAlign w:val="center"/>
          </w:tcPr>
          <w:p w14:paraId="18BB83CA" w14:textId="77777777" w:rsidR="00994F64" w:rsidRPr="00261B7A" w:rsidRDefault="00994F64" w:rsidP="00501B0F">
            <w:pPr>
              <w:pStyle w:val="TableText"/>
              <w:spacing w:before="40" w:after="40"/>
              <w:jc w:val="right"/>
              <w:rPr>
                <w:highlight w:val="yellow"/>
              </w:rPr>
            </w:pPr>
            <w:r w:rsidRPr="00261B7A">
              <w:t>10.4</w:t>
            </w:r>
          </w:p>
        </w:tc>
        <w:tc>
          <w:tcPr>
            <w:tcW w:w="1518" w:type="dxa"/>
            <w:vAlign w:val="center"/>
          </w:tcPr>
          <w:p w14:paraId="6CBB9AF2" w14:textId="77777777" w:rsidR="00994F64" w:rsidRPr="00261B7A" w:rsidRDefault="00994F64" w:rsidP="00501B0F">
            <w:pPr>
              <w:pStyle w:val="TableText"/>
              <w:spacing w:before="40" w:after="40"/>
              <w:jc w:val="right"/>
              <w:rPr>
                <w:highlight w:val="yellow"/>
              </w:rPr>
            </w:pPr>
            <w:r w:rsidRPr="00261B7A">
              <w:rPr>
                <w:rFonts w:cs="Calibri"/>
                <w:color w:val="000000"/>
                <w:szCs w:val="16"/>
              </w:rPr>
              <w:t>19.7</w:t>
            </w:r>
          </w:p>
        </w:tc>
      </w:tr>
      <w:tr w:rsidR="00994F64" w:rsidRPr="00261B7A" w14:paraId="0D227B28" w14:textId="77777777" w:rsidTr="00501B0F">
        <w:trPr>
          <w:trHeight w:val="239"/>
        </w:trPr>
        <w:tc>
          <w:tcPr>
            <w:tcW w:w="988" w:type="dxa"/>
          </w:tcPr>
          <w:p w14:paraId="10272494" w14:textId="77777777" w:rsidR="00994F64" w:rsidRPr="00261B7A" w:rsidRDefault="00994F64" w:rsidP="00501B0F">
            <w:pPr>
              <w:pStyle w:val="TableText"/>
              <w:spacing w:before="40" w:after="40"/>
              <w:rPr>
                <w:rFonts w:cs="Calibri"/>
                <w:szCs w:val="16"/>
              </w:rPr>
            </w:pPr>
            <w:r w:rsidRPr="00261B7A">
              <w:rPr>
                <w:rFonts w:cs="Calibri"/>
                <w:szCs w:val="16"/>
              </w:rPr>
              <w:t>1996</w:t>
            </w:r>
          </w:p>
        </w:tc>
        <w:tc>
          <w:tcPr>
            <w:tcW w:w="1489" w:type="dxa"/>
            <w:vAlign w:val="center"/>
          </w:tcPr>
          <w:p w14:paraId="48B308B9" w14:textId="77777777" w:rsidR="00994F64" w:rsidRPr="00261B7A" w:rsidRDefault="00994F64" w:rsidP="00501B0F">
            <w:pPr>
              <w:pStyle w:val="TableText"/>
              <w:spacing w:before="40" w:after="40"/>
              <w:jc w:val="right"/>
              <w:rPr>
                <w:highlight w:val="yellow"/>
              </w:rPr>
            </w:pPr>
            <w:r w:rsidRPr="00261B7A">
              <w:rPr>
                <w:rFonts w:cs="Calibri"/>
                <w:color w:val="000000"/>
                <w:szCs w:val="16"/>
              </w:rPr>
              <w:t>65.6</w:t>
            </w:r>
          </w:p>
        </w:tc>
        <w:tc>
          <w:tcPr>
            <w:tcW w:w="1487" w:type="dxa"/>
            <w:vAlign w:val="center"/>
          </w:tcPr>
          <w:p w14:paraId="17627B93" w14:textId="77777777" w:rsidR="00994F64" w:rsidRPr="00261B7A" w:rsidRDefault="00994F64" w:rsidP="00501B0F">
            <w:pPr>
              <w:pStyle w:val="TableText"/>
              <w:spacing w:before="40" w:after="40"/>
              <w:jc w:val="right"/>
              <w:rPr>
                <w:highlight w:val="yellow"/>
              </w:rPr>
            </w:pPr>
            <w:r w:rsidRPr="00261B7A">
              <w:rPr>
                <w:rFonts w:cs="Calibri"/>
                <w:color w:val="000000"/>
                <w:szCs w:val="16"/>
              </w:rPr>
              <w:t>82.5</w:t>
            </w:r>
          </w:p>
        </w:tc>
        <w:tc>
          <w:tcPr>
            <w:tcW w:w="1487" w:type="dxa"/>
            <w:vAlign w:val="center"/>
          </w:tcPr>
          <w:p w14:paraId="382B6C20" w14:textId="77777777" w:rsidR="00994F64" w:rsidRPr="00261B7A" w:rsidRDefault="00994F64" w:rsidP="00501B0F">
            <w:pPr>
              <w:pStyle w:val="TableText"/>
              <w:spacing w:before="40" w:after="40"/>
              <w:jc w:val="right"/>
              <w:rPr>
                <w:highlight w:val="yellow"/>
              </w:rPr>
            </w:pPr>
            <w:r w:rsidRPr="00261B7A">
              <w:rPr>
                <w:rFonts w:cs="Calibri"/>
                <w:color w:val="000000"/>
                <w:szCs w:val="16"/>
              </w:rPr>
              <w:t>55.9</w:t>
            </w:r>
          </w:p>
        </w:tc>
        <w:tc>
          <w:tcPr>
            <w:tcW w:w="1536" w:type="dxa"/>
            <w:vAlign w:val="center"/>
          </w:tcPr>
          <w:p w14:paraId="74DFEA87" w14:textId="77777777" w:rsidR="00994F64" w:rsidRPr="00261B7A" w:rsidRDefault="00994F64" w:rsidP="00501B0F">
            <w:pPr>
              <w:pStyle w:val="TableText"/>
              <w:spacing w:before="40" w:after="40"/>
              <w:jc w:val="right"/>
              <w:rPr>
                <w:highlight w:val="yellow"/>
              </w:rPr>
            </w:pPr>
            <w:r w:rsidRPr="00261B7A">
              <w:t>10.7</w:t>
            </w:r>
          </w:p>
        </w:tc>
        <w:tc>
          <w:tcPr>
            <w:tcW w:w="1518" w:type="dxa"/>
            <w:vAlign w:val="center"/>
          </w:tcPr>
          <w:p w14:paraId="4D353441" w14:textId="77777777" w:rsidR="00994F64" w:rsidRPr="00261B7A" w:rsidRDefault="00994F64" w:rsidP="00501B0F">
            <w:pPr>
              <w:pStyle w:val="TableText"/>
              <w:spacing w:before="40" w:after="40"/>
              <w:jc w:val="right"/>
              <w:rPr>
                <w:highlight w:val="yellow"/>
              </w:rPr>
            </w:pPr>
            <w:r w:rsidRPr="00261B7A">
              <w:rPr>
                <w:rFonts w:cs="Calibri"/>
                <w:color w:val="000000"/>
                <w:szCs w:val="16"/>
              </w:rPr>
              <w:t>19.9</w:t>
            </w:r>
          </w:p>
        </w:tc>
      </w:tr>
      <w:tr w:rsidR="00994F64" w:rsidRPr="00261B7A" w14:paraId="3A3F3D9A" w14:textId="77777777" w:rsidTr="00501B0F">
        <w:trPr>
          <w:trHeight w:val="251"/>
        </w:trPr>
        <w:tc>
          <w:tcPr>
            <w:tcW w:w="988" w:type="dxa"/>
          </w:tcPr>
          <w:p w14:paraId="7EDB6354" w14:textId="77777777" w:rsidR="00994F64" w:rsidRPr="00261B7A" w:rsidRDefault="00994F64" w:rsidP="00501B0F">
            <w:pPr>
              <w:pStyle w:val="TableText"/>
              <w:spacing w:before="40" w:after="40"/>
              <w:rPr>
                <w:rFonts w:cs="Calibri"/>
                <w:szCs w:val="16"/>
              </w:rPr>
            </w:pPr>
            <w:r w:rsidRPr="00261B7A">
              <w:rPr>
                <w:rFonts w:cs="Calibri"/>
                <w:szCs w:val="16"/>
              </w:rPr>
              <w:t>1997</w:t>
            </w:r>
          </w:p>
        </w:tc>
        <w:tc>
          <w:tcPr>
            <w:tcW w:w="1489" w:type="dxa"/>
            <w:vAlign w:val="center"/>
          </w:tcPr>
          <w:p w14:paraId="417E7764" w14:textId="77777777" w:rsidR="00994F64" w:rsidRPr="00261B7A" w:rsidRDefault="00994F64" w:rsidP="00501B0F">
            <w:pPr>
              <w:pStyle w:val="TableText"/>
              <w:spacing w:before="40" w:after="40"/>
              <w:jc w:val="right"/>
              <w:rPr>
                <w:highlight w:val="yellow"/>
              </w:rPr>
            </w:pPr>
            <w:r w:rsidRPr="00261B7A">
              <w:rPr>
                <w:rFonts w:cs="Calibri"/>
                <w:color w:val="000000"/>
                <w:szCs w:val="16"/>
              </w:rPr>
              <w:t>66.3</w:t>
            </w:r>
          </w:p>
        </w:tc>
        <w:tc>
          <w:tcPr>
            <w:tcW w:w="1487" w:type="dxa"/>
            <w:vAlign w:val="center"/>
          </w:tcPr>
          <w:p w14:paraId="2BB70422" w14:textId="77777777" w:rsidR="00994F64" w:rsidRPr="00261B7A" w:rsidRDefault="00994F64" w:rsidP="00501B0F">
            <w:pPr>
              <w:pStyle w:val="TableText"/>
              <w:spacing w:before="40" w:after="40"/>
              <w:jc w:val="right"/>
              <w:rPr>
                <w:highlight w:val="yellow"/>
              </w:rPr>
            </w:pPr>
            <w:r w:rsidRPr="00261B7A">
              <w:rPr>
                <w:rFonts w:cs="Calibri"/>
                <w:color w:val="000000"/>
                <w:szCs w:val="16"/>
              </w:rPr>
              <w:t>84.2</w:t>
            </w:r>
          </w:p>
        </w:tc>
        <w:tc>
          <w:tcPr>
            <w:tcW w:w="1487" w:type="dxa"/>
            <w:vAlign w:val="center"/>
          </w:tcPr>
          <w:p w14:paraId="272646CC" w14:textId="77777777" w:rsidR="00994F64" w:rsidRPr="00261B7A" w:rsidRDefault="00994F64" w:rsidP="00501B0F">
            <w:pPr>
              <w:pStyle w:val="TableText"/>
              <w:spacing w:before="40" w:after="40"/>
              <w:jc w:val="right"/>
              <w:rPr>
                <w:highlight w:val="yellow"/>
              </w:rPr>
            </w:pPr>
            <w:r w:rsidRPr="00261B7A">
              <w:rPr>
                <w:rFonts w:cs="Calibri"/>
                <w:color w:val="000000"/>
                <w:szCs w:val="16"/>
              </w:rPr>
              <w:t>56.9</w:t>
            </w:r>
          </w:p>
        </w:tc>
        <w:tc>
          <w:tcPr>
            <w:tcW w:w="1536" w:type="dxa"/>
            <w:vAlign w:val="center"/>
          </w:tcPr>
          <w:p w14:paraId="0276CDAA" w14:textId="77777777" w:rsidR="00994F64" w:rsidRPr="00261B7A" w:rsidRDefault="00994F64" w:rsidP="00501B0F">
            <w:pPr>
              <w:pStyle w:val="TableText"/>
              <w:spacing w:before="40" w:after="40"/>
              <w:jc w:val="right"/>
              <w:rPr>
                <w:highlight w:val="yellow"/>
              </w:rPr>
            </w:pPr>
            <w:r w:rsidRPr="00261B7A">
              <w:t>11.1</w:t>
            </w:r>
          </w:p>
        </w:tc>
        <w:tc>
          <w:tcPr>
            <w:tcW w:w="1518" w:type="dxa"/>
            <w:vAlign w:val="center"/>
          </w:tcPr>
          <w:p w14:paraId="22BCA629" w14:textId="77777777" w:rsidR="00994F64" w:rsidRPr="00261B7A" w:rsidRDefault="00994F64" w:rsidP="00501B0F">
            <w:pPr>
              <w:pStyle w:val="TableText"/>
              <w:spacing w:before="40" w:after="40"/>
              <w:jc w:val="right"/>
              <w:rPr>
                <w:highlight w:val="yellow"/>
              </w:rPr>
            </w:pPr>
            <w:r w:rsidRPr="00261B7A">
              <w:rPr>
                <w:rFonts w:cs="Calibri"/>
                <w:color w:val="000000"/>
                <w:szCs w:val="16"/>
              </w:rPr>
              <w:t>20.2</w:t>
            </w:r>
          </w:p>
        </w:tc>
      </w:tr>
      <w:tr w:rsidR="00994F64" w:rsidRPr="00261B7A" w14:paraId="035659BB" w14:textId="77777777" w:rsidTr="00501B0F">
        <w:trPr>
          <w:trHeight w:val="239"/>
        </w:trPr>
        <w:tc>
          <w:tcPr>
            <w:tcW w:w="988" w:type="dxa"/>
          </w:tcPr>
          <w:p w14:paraId="272B0B19" w14:textId="77777777" w:rsidR="00994F64" w:rsidRPr="00261B7A" w:rsidRDefault="00994F64" w:rsidP="00501B0F">
            <w:pPr>
              <w:pStyle w:val="TableText"/>
              <w:spacing w:before="40" w:after="40"/>
              <w:rPr>
                <w:rFonts w:cs="Calibri"/>
                <w:szCs w:val="16"/>
              </w:rPr>
            </w:pPr>
            <w:r w:rsidRPr="00261B7A">
              <w:rPr>
                <w:rFonts w:cs="Calibri"/>
                <w:szCs w:val="16"/>
              </w:rPr>
              <w:t>1998</w:t>
            </w:r>
          </w:p>
        </w:tc>
        <w:tc>
          <w:tcPr>
            <w:tcW w:w="1489" w:type="dxa"/>
            <w:vAlign w:val="center"/>
          </w:tcPr>
          <w:p w14:paraId="395582DE" w14:textId="77777777" w:rsidR="00994F64" w:rsidRPr="00261B7A" w:rsidRDefault="00994F64" w:rsidP="00501B0F">
            <w:pPr>
              <w:pStyle w:val="TableText"/>
              <w:spacing w:before="40" w:after="40"/>
              <w:jc w:val="right"/>
              <w:rPr>
                <w:highlight w:val="yellow"/>
              </w:rPr>
            </w:pPr>
            <w:r w:rsidRPr="00261B7A">
              <w:rPr>
                <w:color w:val="000000"/>
              </w:rPr>
              <w:t>64.4</w:t>
            </w:r>
          </w:p>
        </w:tc>
        <w:tc>
          <w:tcPr>
            <w:tcW w:w="1487" w:type="dxa"/>
            <w:vAlign w:val="center"/>
          </w:tcPr>
          <w:p w14:paraId="208A4EC0" w14:textId="77777777" w:rsidR="00994F64" w:rsidRPr="00261B7A" w:rsidRDefault="00994F64" w:rsidP="00501B0F">
            <w:pPr>
              <w:pStyle w:val="TableText"/>
              <w:spacing w:before="40" w:after="40"/>
              <w:jc w:val="right"/>
              <w:rPr>
                <w:highlight w:val="yellow"/>
              </w:rPr>
            </w:pPr>
            <w:r w:rsidRPr="00261B7A">
              <w:rPr>
                <w:rFonts w:cs="Calibri"/>
                <w:color w:val="000000"/>
                <w:szCs w:val="16"/>
              </w:rPr>
              <w:t>81.1</w:t>
            </w:r>
          </w:p>
        </w:tc>
        <w:tc>
          <w:tcPr>
            <w:tcW w:w="1487" w:type="dxa"/>
            <w:vAlign w:val="center"/>
          </w:tcPr>
          <w:p w14:paraId="74FBD5E4" w14:textId="77777777" w:rsidR="00994F64" w:rsidRPr="00261B7A" w:rsidRDefault="00994F64" w:rsidP="00501B0F">
            <w:pPr>
              <w:pStyle w:val="TableText"/>
              <w:spacing w:before="40" w:after="40"/>
              <w:jc w:val="right"/>
              <w:rPr>
                <w:highlight w:val="yellow"/>
              </w:rPr>
            </w:pPr>
            <w:r w:rsidRPr="00261B7A">
              <w:rPr>
                <w:color w:val="000000"/>
              </w:rPr>
              <w:t>57.</w:t>
            </w:r>
            <w:r w:rsidRPr="00261B7A">
              <w:rPr>
                <w:rFonts w:cs="Calibri"/>
                <w:color w:val="000000"/>
                <w:szCs w:val="16"/>
              </w:rPr>
              <w:t>2</w:t>
            </w:r>
          </w:p>
        </w:tc>
        <w:tc>
          <w:tcPr>
            <w:tcW w:w="1536" w:type="dxa"/>
            <w:vAlign w:val="center"/>
          </w:tcPr>
          <w:p w14:paraId="7C498A3B" w14:textId="77777777" w:rsidR="00994F64" w:rsidRPr="00261B7A" w:rsidRDefault="00994F64" w:rsidP="00501B0F">
            <w:pPr>
              <w:pStyle w:val="TableText"/>
              <w:spacing w:before="40" w:after="40"/>
              <w:jc w:val="right"/>
              <w:rPr>
                <w:highlight w:val="yellow"/>
              </w:rPr>
            </w:pPr>
            <w:r w:rsidRPr="00261B7A">
              <w:rPr>
                <w:color w:val="000000"/>
              </w:rPr>
              <w:t>11.</w:t>
            </w:r>
            <w:r w:rsidRPr="00261B7A">
              <w:rPr>
                <w:rFonts w:cs="Calibri"/>
                <w:color w:val="000000"/>
              </w:rPr>
              <w:t>2</w:t>
            </w:r>
          </w:p>
        </w:tc>
        <w:tc>
          <w:tcPr>
            <w:tcW w:w="1518" w:type="dxa"/>
            <w:vAlign w:val="center"/>
          </w:tcPr>
          <w:p w14:paraId="2C48E3C2" w14:textId="77777777" w:rsidR="00994F64" w:rsidRPr="00261B7A" w:rsidRDefault="00994F64" w:rsidP="00501B0F">
            <w:pPr>
              <w:pStyle w:val="TableText"/>
              <w:spacing w:before="40" w:after="40"/>
              <w:jc w:val="right"/>
              <w:rPr>
                <w:highlight w:val="yellow"/>
              </w:rPr>
            </w:pPr>
            <w:r w:rsidRPr="00261B7A">
              <w:rPr>
                <w:rFonts w:cs="Calibri"/>
                <w:color w:val="000000"/>
                <w:szCs w:val="16"/>
              </w:rPr>
              <w:t>20.3</w:t>
            </w:r>
          </w:p>
        </w:tc>
      </w:tr>
      <w:tr w:rsidR="00994F64" w:rsidRPr="00261B7A" w14:paraId="625B9BA2" w14:textId="77777777" w:rsidTr="00501B0F">
        <w:trPr>
          <w:trHeight w:val="239"/>
        </w:trPr>
        <w:tc>
          <w:tcPr>
            <w:tcW w:w="988" w:type="dxa"/>
          </w:tcPr>
          <w:p w14:paraId="22BCFCA7" w14:textId="77777777" w:rsidR="00994F64" w:rsidRPr="00261B7A" w:rsidRDefault="00994F64" w:rsidP="00501B0F">
            <w:pPr>
              <w:pStyle w:val="TableText"/>
              <w:spacing w:before="40" w:after="40"/>
              <w:rPr>
                <w:rFonts w:cs="Calibri"/>
                <w:szCs w:val="16"/>
              </w:rPr>
            </w:pPr>
            <w:r w:rsidRPr="00261B7A">
              <w:rPr>
                <w:rFonts w:cs="Calibri"/>
                <w:szCs w:val="16"/>
              </w:rPr>
              <w:t>1999</w:t>
            </w:r>
          </w:p>
        </w:tc>
        <w:tc>
          <w:tcPr>
            <w:tcW w:w="1489" w:type="dxa"/>
            <w:vAlign w:val="center"/>
          </w:tcPr>
          <w:p w14:paraId="47356277" w14:textId="77777777" w:rsidR="00994F64" w:rsidRPr="00261B7A" w:rsidRDefault="00994F64" w:rsidP="00501B0F">
            <w:pPr>
              <w:pStyle w:val="TableText"/>
              <w:spacing w:before="40" w:after="40"/>
              <w:jc w:val="right"/>
              <w:rPr>
                <w:highlight w:val="yellow"/>
              </w:rPr>
            </w:pPr>
            <w:r w:rsidRPr="00261B7A">
              <w:rPr>
                <w:rFonts w:cs="Calibri"/>
                <w:color w:val="000000"/>
                <w:szCs w:val="16"/>
              </w:rPr>
              <w:t>64.8</w:t>
            </w:r>
          </w:p>
        </w:tc>
        <w:tc>
          <w:tcPr>
            <w:tcW w:w="1487" w:type="dxa"/>
            <w:vAlign w:val="center"/>
          </w:tcPr>
          <w:p w14:paraId="660F5A3A" w14:textId="77777777" w:rsidR="00994F64" w:rsidRPr="00261B7A" w:rsidRDefault="00994F64" w:rsidP="00501B0F">
            <w:pPr>
              <w:pStyle w:val="TableText"/>
              <w:spacing w:before="40" w:after="40"/>
              <w:jc w:val="right"/>
              <w:rPr>
                <w:highlight w:val="yellow"/>
              </w:rPr>
            </w:pPr>
            <w:r w:rsidRPr="00261B7A">
              <w:rPr>
                <w:color w:val="000000"/>
              </w:rPr>
              <w:t>80.2</w:t>
            </w:r>
          </w:p>
        </w:tc>
        <w:tc>
          <w:tcPr>
            <w:tcW w:w="1487" w:type="dxa"/>
            <w:vAlign w:val="center"/>
          </w:tcPr>
          <w:p w14:paraId="76054B98" w14:textId="77777777" w:rsidR="00994F64" w:rsidRPr="00261B7A" w:rsidRDefault="00994F64" w:rsidP="00501B0F">
            <w:pPr>
              <w:pStyle w:val="TableText"/>
              <w:spacing w:before="40" w:after="40"/>
              <w:jc w:val="right"/>
              <w:rPr>
                <w:highlight w:val="yellow"/>
              </w:rPr>
            </w:pPr>
            <w:r w:rsidRPr="00261B7A">
              <w:rPr>
                <w:rFonts w:cs="Calibri"/>
                <w:color w:val="000000"/>
                <w:szCs w:val="16"/>
              </w:rPr>
              <w:t>55.7</w:t>
            </w:r>
          </w:p>
        </w:tc>
        <w:tc>
          <w:tcPr>
            <w:tcW w:w="1536" w:type="dxa"/>
            <w:vAlign w:val="center"/>
          </w:tcPr>
          <w:p w14:paraId="4431EEF8" w14:textId="77777777" w:rsidR="00994F64" w:rsidRPr="00261B7A" w:rsidRDefault="00994F64" w:rsidP="00501B0F">
            <w:pPr>
              <w:pStyle w:val="TableText"/>
              <w:spacing w:before="40" w:after="40"/>
              <w:jc w:val="right"/>
              <w:rPr>
                <w:highlight w:val="yellow"/>
              </w:rPr>
            </w:pPr>
            <w:r w:rsidRPr="00261B7A">
              <w:rPr>
                <w:color w:val="000000"/>
              </w:rPr>
              <w:t>11.</w:t>
            </w:r>
            <w:r w:rsidRPr="00261B7A">
              <w:rPr>
                <w:rFonts w:cs="Calibri"/>
                <w:color w:val="000000"/>
              </w:rPr>
              <w:t>1</w:t>
            </w:r>
          </w:p>
        </w:tc>
        <w:tc>
          <w:tcPr>
            <w:tcW w:w="1518" w:type="dxa"/>
            <w:vAlign w:val="center"/>
          </w:tcPr>
          <w:p w14:paraId="4AA97789" w14:textId="77777777" w:rsidR="00994F64" w:rsidRPr="00261B7A" w:rsidRDefault="00994F64" w:rsidP="00501B0F">
            <w:pPr>
              <w:pStyle w:val="TableText"/>
              <w:spacing w:before="40" w:after="40"/>
              <w:jc w:val="right"/>
              <w:rPr>
                <w:highlight w:val="yellow"/>
              </w:rPr>
            </w:pPr>
            <w:r w:rsidRPr="00261B7A">
              <w:rPr>
                <w:rFonts w:cs="Calibri"/>
                <w:color w:val="000000"/>
                <w:szCs w:val="16"/>
              </w:rPr>
              <w:t>20.5</w:t>
            </w:r>
          </w:p>
        </w:tc>
      </w:tr>
      <w:tr w:rsidR="00994F64" w:rsidRPr="00261B7A" w14:paraId="2E4E7226" w14:textId="77777777" w:rsidTr="00501B0F">
        <w:trPr>
          <w:trHeight w:val="239"/>
        </w:trPr>
        <w:tc>
          <w:tcPr>
            <w:tcW w:w="988" w:type="dxa"/>
          </w:tcPr>
          <w:p w14:paraId="6F6E8006" w14:textId="77777777" w:rsidR="00994F64" w:rsidRPr="00261B7A" w:rsidRDefault="00994F64" w:rsidP="00501B0F">
            <w:pPr>
              <w:pStyle w:val="TableText"/>
              <w:spacing w:before="40" w:after="40"/>
              <w:rPr>
                <w:rFonts w:cs="Calibri"/>
                <w:szCs w:val="16"/>
              </w:rPr>
            </w:pPr>
            <w:r w:rsidRPr="00261B7A">
              <w:rPr>
                <w:rFonts w:cs="Calibri"/>
                <w:szCs w:val="16"/>
              </w:rPr>
              <w:t>2000</w:t>
            </w:r>
          </w:p>
        </w:tc>
        <w:tc>
          <w:tcPr>
            <w:tcW w:w="1489" w:type="dxa"/>
            <w:vAlign w:val="center"/>
          </w:tcPr>
          <w:p w14:paraId="7D324EC7" w14:textId="77777777" w:rsidR="00994F64" w:rsidRPr="00261B7A" w:rsidRDefault="00994F64" w:rsidP="00501B0F">
            <w:pPr>
              <w:pStyle w:val="TableText"/>
              <w:spacing w:before="40" w:after="40"/>
              <w:jc w:val="right"/>
              <w:rPr>
                <w:highlight w:val="yellow"/>
              </w:rPr>
            </w:pPr>
            <w:r w:rsidRPr="00261B7A">
              <w:rPr>
                <w:rFonts w:cs="Calibri"/>
                <w:color w:val="000000"/>
                <w:szCs w:val="16"/>
              </w:rPr>
              <w:t>65</w:t>
            </w:r>
            <w:r w:rsidRPr="00261B7A">
              <w:rPr>
                <w:color w:val="000000"/>
              </w:rPr>
              <w:t>.5</w:t>
            </w:r>
          </w:p>
        </w:tc>
        <w:tc>
          <w:tcPr>
            <w:tcW w:w="1487" w:type="dxa"/>
            <w:vAlign w:val="center"/>
          </w:tcPr>
          <w:p w14:paraId="0E051804" w14:textId="77777777" w:rsidR="00994F64" w:rsidRPr="00261B7A" w:rsidRDefault="00994F64" w:rsidP="00501B0F">
            <w:pPr>
              <w:pStyle w:val="TableText"/>
              <w:spacing w:before="40" w:after="40"/>
              <w:jc w:val="right"/>
              <w:rPr>
                <w:highlight w:val="yellow"/>
              </w:rPr>
            </w:pPr>
            <w:r w:rsidRPr="00261B7A">
              <w:rPr>
                <w:rFonts w:cs="Calibri"/>
                <w:color w:val="000000"/>
                <w:szCs w:val="16"/>
              </w:rPr>
              <w:t>87.7</w:t>
            </w:r>
          </w:p>
        </w:tc>
        <w:tc>
          <w:tcPr>
            <w:tcW w:w="1487" w:type="dxa"/>
            <w:vAlign w:val="center"/>
          </w:tcPr>
          <w:p w14:paraId="7476FE55" w14:textId="77777777" w:rsidR="00994F64" w:rsidRPr="00261B7A" w:rsidRDefault="00994F64" w:rsidP="00501B0F">
            <w:pPr>
              <w:pStyle w:val="TableText"/>
              <w:spacing w:before="40" w:after="40"/>
              <w:jc w:val="right"/>
              <w:rPr>
                <w:highlight w:val="yellow"/>
              </w:rPr>
            </w:pPr>
            <w:r w:rsidRPr="00261B7A">
              <w:rPr>
                <w:rFonts w:cs="Calibri"/>
                <w:color w:val="000000"/>
                <w:szCs w:val="16"/>
              </w:rPr>
              <w:t>57.8</w:t>
            </w:r>
          </w:p>
        </w:tc>
        <w:tc>
          <w:tcPr>
            <w:tcW w:w="1536" w:type="dxa"/>
            <w:vAlign w:val="center"/>
          </w:tcPr>
          <w:p w14:paraId="1407FB84" w14:textId="77777777" w:rsidR="00994F64" w:rsidRPr="00261B7A" w:rsidRDefault="00994F64" w:rsidP="00501B0F">
            <w:pPr>
              <w:pStyle w:val="TableText"/>
              <w:spacing w:before="40" w:after="40"/>
              <w:jc w:val="right"/>
              <w:rPr>
                <w:highlight w:val="yellow"/>
              </w:rPr>
            </w:pPr>
            <w:r w:rsidRPr="00261B7A">
              <w:rPr>
                <w:color w:val="000000"/>
              </w:rPr>
              <w:t>11.</w:t>
            </w:r>
            <w:r w:rsidRPr="00261B7A">
              <w:rPr>
                <w:rFonts w:cs="Calibri"/>
                <w:color w:val="000000"/>
              </w:rPr>
              <w:t>5</w:t>
            </w:r>
          </w:p>
        </w:tc>
        <w:tc>
          <w:tcPr>
            <w:tcW w:w="1518" w:type="dxa"/>
            <w:vAlign w:val="center"/>
          </w:tcPr>
          <w:p w14:paraId="1148BB84" w14:textId="77777777" w:rsidR="00994F64" w:rsidRPr="00261B7A" w:rsidRDefault="00994F64" w:rsidP="00501B0F">
            <w:pPr>
              <w:pStyle w:val="TableText"/>
              <w:spacing w:before="40" w:after="40"/>
              <w:jc w:val="right"/>
              <w:rPr>
                <w:highlight w:val="yellow"/>
              </w:rPr>
            </w:pPr>
            <w:r w:rsidRPr="00261B7A">
              <w:rPr>
                <w:rFonts w:cs="Calibri"/>
                <w:color w:val="000000"/>
                <w:szCs w:val="16"/>
              </w:rPr>
              <w:t>20.8</w:t>
            </w:r>
          </w:p>
        </w:tc>
      </w:tr>
      <w:tr w:rsidR="00994F64" w:rsidRPr="00261B7A" w14:paraId="1FF669F2" w14:textId="77777777" w:rsidTr="00501B0F">
        <w:trPr>
          <w:trHeight w:val="239"/>
        </w:trPr>
        <w:tc>
          <w:tcPr>
            <w:tcW w:w="988" w:type="dxa"/>
          </w:tcPr>
          <w:p w14:paraId="127DE251" w14:textId="77777777" w:rsidR="00994F64" w:rsidRPr="00261B7A" w:rsidRDefault="00994F64" w:rsidP="00501B0F">
            <w:pPr>
              <w:pStyle w:val="TableText"/>
              <w:spacing w:before="40" w:after="40"/>
              <w:rPr>
                <w:rFonts w:cs="Calibri"/>
                <w:szCs w:val="16"/>
              </w:rPr>
            </w:pPr>
            <w:r w:rsidRPr="00261B7A">
              <w:rPr>
                <w:rFonts w:cs="Calibri"/>
                <w:szCs w:val="16"/>
              </w:rPr>
              <w:t>2001</w:t>
            </w:r>
          </w:p>
        </w:tc>
        <w:tc>
          <w:tcPr>
            <w:tcW w:w="1489" w:type="dxa"/>
            <w:vAlign w:val="center"/>
          </w:tcPr>
          <w:p w14:paraId="025FEDFC" w14:textId="77777777" w:rsidR="00994F64" w:rsidRPr="00261B7A" w:rsidRDefault="00994F64" w:rsidP="00501B0F">
            <w:pPr>
              <w:pStyle w:val="TableText"/>
              <w:spacing w:before="40" w:after="40"/>
              <w:jc w:val="right"/>
              <w:rPr>
                <w:highlight w:val="yellow"/>
              </w:rPr>
            </w:pPr>
            <w:r w:rsidRPr="00261B7A">
              <w:rPr>
                <w:rFonts w:cs="Calibri"/>
                <w:color w:val="000000"/>
                <w:szCs w:val="16"/>
              </w:rPr>
              <w:t>65.7</w:t>
            </w:r>
          </w:p>
        </w:tc>
        <w:tc>
          <w:tcPr>
            <w:tcW w:w="1487" w:type="dxa"/>
            <w:vAlign w:val="center"/>
          </w:tcPr>
          <w:p w14:paraId="353984A2" w14:textId="77777777" w:rsidR="00994F64" w:rsidRPr="00261B7A" w:rsidRDefault="00994F64" w:rsidP="00501B0F">
            <w:pPr>
              <w:pStyle w:val="TableText"/>
              <w:spacing w:before="40" w:after="40"/>
              <w:jc w:val="right"/>
              <w:rPr>
                <w:highlight w:val="yellow"/>
              </w:rPr>
            </w:pPr>
            <w:r w:rsidRPr="00261B7A">
              <w:rPr>
                <w:rFonts w:cs="Calibri"/>
                <w:color w:val="000000"/>
                <w:szCs w:val="16"/>
              </w:rPr>
              <w:t>89.4</w:t>
            </w:r>
          </w:p>
        </w:tc>
        <w:tc>
          <w:tcPr>
            <w:tcW w:w="1487" w:type="dxa"/>
            <w:vAlign w:val="center"/>
          </w:tcPr>
          <w:p w14:paraId="7AA21B82" w14:textId="77777777" w:rsidR="00994F64" w:rsidRPr="00261B7A" w:rsidRDefault="00994F64" w:rsidP="00501B0F">
            <w:pPr>
              <w:pStyle w:val="TableText"/>
              <w:spacing w:before="40" w:after="40"/>
              <w:jc w:val="right"/>
              <w:rPr>
                <w:highlight w:val="yellow"/>
              </w:rPr>
            </w:pPr>
            <w:r w:rsidRPr="00261B7A">
              <w:rPr>
                <w:rFonts w:cs="Calibri"/>
                <w:color w:val="000000"/>
                <w:szCs w:val="16"/>
              </w:rPr>
              <w:t>58.8</w:t>
            </w:r>
          </w:p>
        </w:tc>
        <w:tc>
          <w:tcPr>
            <w:tcW w:w="1536" w:type="dxa"/>
            <w:vAlign w:val="center"/>
          </w:tcPr>
          <w:p w14:paraId="38064735" w14:textId="77777777" w:rsidR="00994F64" w:rsidRPr="00261B7A" w:rsidRDefault="00994F64" w:rsidP="00501B0F">
            <w:pPr>
              <w:pStyle w:val="TableText"/>
              <w:spacing w:before="40" w:after="40"/>
              <w:jc w:val="right"/>
              <w:rPr>
                <w:highlight w:val="yellow"/>
              </w:rPr>
            </w:pPr>
            <w:r w:rsidRPr="00261B7A">
              <w:rPr>
                <w:color w:val="000000"/>
              </w:rPr>
              <w:t>11.</w:t>
            </w:r>
            <w:r w:rsidRPr="00261B7A">
              <w:rPr>
                <w:rFonts w:cs="Calibri"/>
                <w:color w:val="000000"/>
              </w:rPr>
              <w:t>6</w:t>
            </w:r>
          </w:p>
        </w:tc>
        <w:tc>
          <w:tcPr>
            <w:tcW w:w="1518" w:type="dxa"/>
            <w:vAlign w:val="center"/>
          </w:tcPr>
          <w:p w14:paraId="63E69531" w14:textId="77777777" w:rsidR="00994F64" w:rsidRPr="00261B7A" w:rsidRDefault="00994F64" w:rsidP="00501B0F">
            <w:pPr>
              <w:pStyle w:val="TableText"/>
              <w:spacing w:before="40" w:after="40"/>
              <w:jc w:val="right"/>
              <w:rPr>
                <w:highlight w:val="yellow"/>
              </w:rPr>
            </w:pPr>
            <w:r w:rsidRPr="00261B7A">
              <w:rPr>
                <w:rFonts w:cs="Calibri"/>
                <w:color w:val="000000"/>
                <w:szCs w:val="16"/>
              </w:rPr>
              <w:t>20</w:t>
            </w:r>
            <w:r w:rsidRPr="00261B7A">
              <w:rPr>
                <w:color w:val="000000"/>
              </w:rPr>
              <w:t>.7</w:t>
            </w:r>
          </w:p>
        </w:tc>
      </w:tr>
      <w:tr w:rsidR="00994F64" w:rsidRPr="00261B7A" w14:paraId="42B0A3F2" w14:textId="77777777" w:rsidTr="00501B0F">
        <w:trPr>
          <w:trHeight w:val="239"/>
        </w:trPr>
        <w:tc>
          <w:tcPr>
            <w:tcW w:w="988" w:type="dxa"/>
          </w:tcPr>
          <w:p w14:paraId="4B4B2707" w14:textId="77777777" w:rsidR="00994F64" w:rsidRPr="00261B7A" w:rsidRDefault="00994F64" w:rsidP="00501B0F">
            <w:pPr>
              <w:pStyle w:val="TableText"/>
              <w:spacing w:before="40" w:after="40"/>
              <w:rPr>
                <w:rFonts w:cs="Calibri"/>
                <w:szCs w:val="16"/>
              </w:rPr>
            </w:pPr>
            <w:r w:rsidRPr="00261B7A">
              <w:rPr>
                <w:rFonts w:cs="Calibri"/>
                <w:szCs w:val="16"/>
              </w:rPr>
              <w:t>2002</w:t>
            </w:r>
          </w:p>
        </w:tc>
        <w:tc>
          <w:tcPr>
            <w:tcW w:w="1489" w:type="dxa"/>
            <w:vAlign w:val="center"/>
          </w:tcPr>
          <w:p w14:paraId="1D2527A3" w14:textId="77777777" w:rsidR="00994F64" w:rsidRPr="00261B7A" w:rsidRDefault="00994F64" w:rsidP="00501B0F">
            <w:pPr>
              <w:pStyle w:val="TableText"/>
              <w:spacing w:before="40" w:after="40"/>
              <w:jc w:val="right"/>
              <w:rPr>
                <w:highlight w:val="yellow"/>
              </w:rPr>
            </w:pPr>
            <w:r w:rsidRPr="00261B7A">
              <w:rPr>
                <w:rFonts w:cs="Calibri"/>
                <w:color w:val="000000"/>
                <w:szCs w:val="16"/>
              </w:rPr>
              <w:t>66</w:t>
            </w:r>
            <w:r w:rsidRPr="00261B7A">
              <w:rPr>
                <w:color w:val="000000"/>
              </w:rPr>
              <w:t>.1</w:t>
            </w:r>
          </w:p>
        </w:tc>
        <w:tc>
          <w:tcPr>
            <w:tcW w:w="1487" w:type="dxa"/>
            <w:vAlign w:val="center"/>
          </w:tcPr>
          <w:p w14:paraId="356E67DD" w14:textId="77777777" w:rsidR="00994F64" w:rsidRPr="00261B7A" w:rsidRDefault="00994F64" w:rsidP="00501B0F">
            <w:pPr>
              <w:pStyle w:val="TableText"/>
              <w:spacing w:before="40" w:after="40"/>
              <w:jc w:val="right"/>
              <w:rPr>
                <w:highlight w:val="yellow"/>
              </w:rPr>
            </w:pPr>
            <w:r w:rsidRPr="00261B7A">
              <w:rPr>
                <w:rFonts w:cs="Calibri"/>
                <w:color w:val="000000"/>
                <w:szCs w:val="16"/>
              </w:rPr>
              <w:t>88.9</w:t>
            </w:r>
          </w:p>
        </w:tc>
        <w:tc>
          <w:tcPr>
            <w:tcW w:w="1487" w:type="dxa"/>
            <w:vAlign w:val="center"/>
          </w:tcPr>
          <w:p w14:paraId="67936658" w14:textId="77777777" w:rsidR="00994F64" w:rsidRPr="00261B7A" w:rsidRDefault="00994F64" w:rsidP="00501B0F">
            <w:pPr>
              <w:pStyle w:val="TableText"/>
              <w:spacing w:before="40" w:after="40"/>
              <w:jc w:val="right"/>
              <w:rPr>
                <w:highlight w:val="yellow"/>
              </w:rPr>
            </w:pPr>
            <w:r w:rsidRPr="00261B7A">
              <w:rPr>
                <w:rFonts w:cs="Calibri"/>
                <w:color w:val="000000"/>
                <w:szCs w:val="16"/>
              </w:rPr>
              <w:t>58.6</w:t>
            </w:r>
          </w:p>
        </w:tc>
        <w:tc>
          <w:tcPr>
            <w:tcW w:w="1536" w:type="dxa"/>
            <w:vAlign w:val="center"/>
          </w:tcPr>
          <w:p w14:paraId="1CCA2EBD" w14:textId="77777777" w:rsidR="00994F64" w:rsidRPr="00261B7A" w:rsidRDefault="00994F64" w:rsidP="00501B0F">
            <w:pPr>
              <w:pStyle w:val="TableText"/>
              <w:spacing w:before="40" w:after="40"/>
              <w:jc w:val="right"/>
              <w:rPr>
                <w:highlight w:val="yellow"/>
              </w:rPr>
            </w:pPr>
            <w:r w:rsidRPr="00261B7A">
              <w:rPr>
                <w:color w:val="000000"/>
              </w:rPr>
              <w:t>11.</w:t>
            </w:r>
            <w:r w:rsidRPr="00261B7A">
              <w:rPr>
                <w:rFonts w:cs="Calibri"/>
                <w:color w:val="000000"/>
              </w:rPr>
              <w:t>6</w:t>
            </w:r>
          </w:p>
        </w:tc>
        <w:tc>
          <w:tcPr>
            <w:tcW w:w="1518" w:type="dxa"/>
            <w:vAlign w:val="center"/>
          </w:tcPr>
          <w:p w14:paraId="136FCA4D" w14:textId="77777777" w:rsidR="00994F64" w:rsidRPr="00261B7A" w:rsidRDefault="00994F64" w:rsidP="00501B0F">
            <w:pPr>
              <w:pStyle w:val="TableText"/>
              <w:spacing w:before="40" w:after="40"/>
              <w:jc w:val="right"/>
              <w:rPr>
                <w:highlight w:val="yellow"/>
              </w:rPr>
            </w:pPr>
            <w:r w:rsidRPr="00261B7A">
              <w:rPr>
                <w:rFonts w:cs="Calibri"/>
                <w:color w:val="000000"/>
                <w:szCs w:val="16"/>
              </w:rPr>
              <w:t>20</w:t>
            </w:r>
            <w:r w:rsidRPr="00261B7A">
              <w:rPr>
                <w:color w:val="000000"/>
              </w:rPr>
              <w:t>.8</w:t>
            </w:r>
          </w:p>
        </w:tc>
      </w:tr>
      <w:tr w:rsidR="00994F64" w:rsidRPr="00261B7A" w14:paraId="0FCE463B" w14:textId="77777777" w:rsidTr="00501B0F">
        <w:trPr>
          <w:trHeight w:val="239"/>
        </w:trPr>
        <w:tc>
          <w:tcPr>
            <w:tcW w:w="988" w:type="dxa"/>
          </w:tcPr>
          <w:p w14:paraId="0D8E48B1" w14:textId="77777777" w:rsidR="00994F64" w:rsidRPr="00261B7A" w:rsidRDefault="00994F64" w:rsidP="00501B0F">
            <w:pPr>
              <w:pStyle w:val="TableText"/>
              <w:spacing w:before="40" w:after="40"/>
              <w:rPr>
                <w:rFonts w:cs="Calibri"/>
                <w:szCs w:val="16"/>
              </w:rPr>
            </w:pPr>
            <w:r w:rsidRPr="00261B7A">
              <w:rPr>
                <w:rFonts w:cs="Calibri"/>
                <w:szCs w:val="16"/>
              </w:rPr>
              <w:t>2003</w:t>
            </w:r>
          </w:p>
        </w:tc>
        <w:tc>
          <w:tcPr>
            <w:tcW w:w="1489" w:type="dxa"/>
            <w:vAlign w:val="center"/>
          </w:tcPr>
          <w:p w14:paraId="2687769C" w14:textId="77777777" w:rsidR="00994F64" w:rsidRPr="00261B7A" w:rsidRDefault="00994F64" w:rsidP="00501B0F">
            <w:pPr>
              <w:pStyle w:val="TableText"/>
              <w:spacing w:before="40" w:after="40"/>
              <w:jc w:val="right"/>
              <w:rPr>
                <w:highlight w:val="yellow"/>
              </w:rPr>
            </w:pPr>
            <w:r w:rsidRPr="00261B7A">
              <w:rPr>
                <w:rFonts w:cs="Calibri"/>
                <w:color w:val="000000"/>
                <w:szCs w:val="16"/>
              </w:rPr>
              <w:t>69.7</w:t>
            </w:r>
          </w:p>
        </w:tc>
        <w:tc>
          <w:tcPr>
            <w:tcW w:w="1487" w:type="dxa"/>
            <w:vAlign w:val="center"/>
          </w:tcPr>
          <w:p w14:paraId="35DDFD03" w14:textId="77777777" w:rsidR="00994F64" w:rsidRPr="00261B7A" w:rsidRDefault="00994F64" w:rsidP="00501B0F">
            <w:pPr>
              <w:pStyle w:val="TableText"/>
              <w:spacing w:before="40" w:after="40"/>
              <w:jc w:val="right"/>
              <w:rPr>
                <w:highlight w:val="yellow"/>
              </w:rPr>
            </w:pPr>
            <w:r w:rsidRPr="00261B7A">
              <w:rPr>
                <w:color w:val="000000"/>
              </w:rPr>
              <w:t>87.</w:t>
            </w:r>
            <w:r w:rsidRPr="00261B7A">
              <w:rPr>
                <w:rFonts w:cs="Calibri"/>
                <w:color w:val="000000"/>
                <w:szCs w:val="16"/>
              </w:rPr>
              <w:t>8</w:t>
            </w:r>
          </w:p>
        </w:tc>
        <w:tc>
          <w:tcPr>
            <w:tcW w:w="1487" w:type="dxa"/>
            <w:vAlign w:val="center"/>
          </w:tcPr>
          <w:p w14:paraId="20403ABA" w14:textId="77777777" w:rsidR="00994F64" w:rsidRPr="00261B7A" w:rsidRDefault="00994F64" w:rsidP="00501B0F">
            <w:pPr>
              <w:pStyle w:val="TableText"/>
              <w:spacing w:before="40" w:after="40"/>
              <w:jc w:val="right"/>
              <w:rPr>
                <w:highlight w:val="yellow"/>
              </w:rPr>
            </w:pPr>
            <w:r w:rsidRPr="00261B7A">
              <w:rPr>
                <w:rFonts w:cs="Calibri"/>
                <w:color w:val="000000"/>
                <w:szCs w:val="16"/>
              </w:rPr>
              <w:t>58.2</w:t>
            </w:r>
          </w:p>
        </w:tc>
        <w:tc>
          <w:tcPr>
            <w:tcW w:w="1536" w:type="dxa"/>
            <w:vAlign w:val="center"/>
          </w:tcPr>
          <w:p w14:paraId="5B19B4DB" w14:textId="77777777" w:rsidR="00994F64" w:rsidRPr="00261B7A" w:rsidRDefault="00994F64" w:rsidP="00501B0F">
            <w:pPr>
              <w:pStyle w:val="TableText"/>
              <w:spacing w:before="40" w:after="40"/>
              <w:jc w:val="right"/>
              <w:rPr>
                <w:highlight w:val="yellow"/>
              </w:rPr>
            </w:pPr>
            <w:r w:rsidRPr="00261B7A">
              <w:rPr>
                <w:color w:val="000000"/>
              </w:rPr>
              <w:t>11.</w:t>
            </w:r>
            <w:r w:rsidRPr="00261B7A">
              <w:rPr>
                <w:rFonts w:cs="Calibri"/>
                <w:color w:val="000000"/>
              </w:rPr>
              <w:t>5</w:t>
            </w:r>
          </w:p>
        </w:tc>
        <w:tc>
          <w:tcPr>
            <w:tcW w:w="1518" w:type="dxa"/>
            <w:vAlign w:val="center"/>
          </w:tcPr>
          <w:p w14:paraId="043C13BF" w14:textId="77777777" w:rsidR="00994F64" w:rsidRPr="00261B7A" w:rsidRDefault="00994F64" w:rsidP="00501B0F">
            <w:pPr>
              <w:pStyle w:val="TableText"/>
              <w:spacing w:before="40" w:after="40"/>
              <w:jc w:val="right"/>
              <w:rPr>
                <w:highlight w:val="yellow"/>
              </w:rPr>
            </w:pPr>
            <w:r w:rsidRPr="00261B7A">
              <w:rPr>
                <w:rFonts w:cs="Calibri"/>
                <w:color w:val="000000"/>
                <w:szCs w:val="16"/>
              </w:rPr>
              <w:t>20</w:t>
            </w:r>
            <w:r w:rsidRPr="00261B7A">
              <w:rPr>
                <w:color w:val="000000"/>
              </w:rPr>
              <w:t>.8</w:t>
            </w:r>
          </w:p>
        </w:tc>
      </w:tr>
      <w:tr w:rsidR="00994F64" w:rsidRPr="00261B7A" w14:paraId="681F165D" w14:textId="77777777" w:rsidTr="00501B0F">
        <w:trPr>
          <w:trHeight w:val="239"/>
        </w:trPr>
        <w:tc>
          <w:tcPr>
            <w:tcW w:w="988" w:type="dxa"/>
          </w:tcPr>
          <w:p w14:paraId="7768EF9D" w14:textId="77777777" w:rsidR="00994F64" w:rsidRPr="00261B7A" w:rsidRDefault="00994F64" w:rsidP="00501B0F">
            <w:pPr>
              <w:pStyle w:val="TableText"/>
              <w:spacing w:before="40" w:after="40"/>
              <w:rPr>
                <w:rFonts w:cs="Calibri"/>
                <w:szCs w:val="16"/>
              </w:rPr>
            </w:pPr>
            <w:r w:rsidRPr="00261B7A">
              <w:rPr>
                <w:rFonts w:cs="Calibri"/>
                <w:szCs w:val="16"/>
              </w:rPr>
              <w:t>2004</w:t>
            </w:r>
          </w:p>
        </w:tc>
        <w:tc>
          <w:tcPr>
            <w:tcW w:w="1489" w:type="dxa"/>
            <w:vAlign w:val="center"/>
          </w:tcPr>
          <w:p w14:paraId="0FBD645B" w14:textId="77777777" w:rsidR="00994F64" w:rsidRPr="00261B7A" w:rsidRDefault="00994F64" w:rsidP="00501B0F">
            <w:pPr>
              <w:pStyle w:val="TableText"/>
              <w:spacing w:before="40" w:after="40"/>
              <w:jc w:val="right"/>
              <w:rPr>
                <w:highlight w:val="yellow"/>
              </w:rPr>
            </w:pPr>
            <w:r w:rsidRPr="00261B7A">
              <w:rPr>
                <w:rFonts w:cs="Calibri"/>
                <w:color w:val="000000"/>
                <w:szCs w:val="16"/>
              </w:rPr>
              <w:t>70.3</w:t>
            </w:r>
          </w:p>
        </w:tc>
        <w:tc>
          <w:tcPr>
            <w:tcW w:w="1487" w:type="dxa"/>
            <w:vAlign w:val="center"/>
          </w:tcPr>
          <w:p w14:paraId="6FBFB685" w14:textId="77777777" w:rsidR="00994F64" w:rsidRPr="00261B7A" w:rsidRDefault="00994F64" w:rsidP="00501B0F">
            <w:pPr>
              <w:pStyle w:val="TableText"/>
              <w:spacing w:before="40" w:after="40"/>
              <w:jc w:val="right"/>
              <w:rPr>
                <w:highlight w:val="yellow"/>
              </w:rPr>
            </w:pPr>
            <w:r w:rsidRPr="00261B7A">
              <w:rPr>
                <w:rFonts w:cs="Calibri"/>
                <w:color w:val="000000"/>
                <w:szCs w:val="16"/>
              </w:rPr>
              <w:t>87.0</w:t>
            </w:r>
          </w:p>
        </w:tc>
        <w:tc>
          <w:tcPr>
            <w:tcW w:w="1487" w:type="dxa"/>
            <w:vAlign w:val="center"/>
          </w:tcPr>
          <w:p w14:paraId="28CA06C0" w14:textId="77777777" w:rsidR="00994F64" w:rsidRPr="00261B7A" w:rsidRDefault="00994F64" w:rsidP="00501B0F">
            <w:pPr>
              <w:pStyle w:val="TableText"/>
              <w:spacing w:before="40" w:after="40"/>
              <w:jc w:val="right"/>
              <w:rPr>
                <w:highlight w:val="yellow"/>
              </w:rPr>
            </w:pPr>
            <w:r w:rsidRPr="00261B7A">
              <w:rPr>
                <w:rFonts w:cs="Calibri"/>
                <w:color w:val="000000"/>
                <w:szCs w:val="16"/>
              </w:rPr>
              <w:t>59.2</w:t>
            </w:r>
          </w:p>
        </w:tc>
        <w:tc>
          <w:tcPr>
            <w:tcW w:w="1536" w:type="dxa"/>
            <w:vAlign w:val="center"/>
          </w:tcPr>
          <w:p w14:paraId="6971C618" w14:textId="77777777" w:rsidR="00994F64" w:rsidRPr="00261B7A" w:rsidRDefault="00994F64" w:rsidP="00501B0F">
            <w:pPr>
              <w:pStyle w:val="TableText"/>
              <w:spacing w:before="40" w:after="40"/>
              <w:jc w:val="right"/>
              <w:rPr>
                <w:highlight w:val="yellow"/>
              </w:rPr>
            </w:pPr>
            <w:r w:rsidRPr="00261B7A">
              <w:rPr>
                <w:color w:val="000000"/>
              </w:rPr>
              <w:t>11.</w:t>
            </w:r>
            <w:r w:rsidRPr="00261B7A">
              <w:rPr>
                <w:rFonts w:cs="Calibri"/>
                <w:color w:val="000000"/>
              </w:rPr>
              <w:t>8</w:t>
            </w:r>
          </w:p>
        </w:tc>
        <w:tc>
          <w:tcPr>
            <w:tcW w:w="1518" w:type="dxa"/>
            <w:vAlign w:val="center"/>
          </w:tcPr>
          <w:p w14:paraId="4CC97876" w14:textId="77777777" w:rsidR="00994F64" w:rsidRPr="00261B7A" w:rsidRDefault="00994F64" w:rsidP="00501B0F">
            <w:pPr>
              <w:pStyle w:val="TableText"/>
              <w:spacing w:before="40" w:after="40"/>
              <w:jc w:val="right"/>
              <w:rPr>
                <w:highlight w:val="yellow"/>
              </w:rPr>
            </w:pPr>
            <w:r w:rsidRPr="00261B7A">
              <w:rPr>
                <w:rFonts w:cs="Calibri"/>
                <w:color w:val="000000"/>
                <w:szCs w:val="16"/>
              </w:rPr>
              <w:t>21</w:t>
            </w:r>
            <w:r w:rsidRPr="00261B7A">
              <w:rPr>
                <w:color w:val="000000"/>
              </w:rPr>
              <w:t>.1</w:t>
            </w:r>
          </w:p>
        </w:tc>
      </w:tr>
      <w:tr w:rsidR="00994F64" w:rsidRPr="00261B7A" w14:paraId="60A27FDD" w14:textId="77777777" w:rsidTr="00501B0F">
        <w:trPr>
          <w:trHeight w:val="239"/>
        </w:trPr>
        <w:tc>
          <w:tcPr>
            <w:tcW w:w="988" w:type="dxa"/>
          </w:tcPr>
          <w:p w14:paraId="0BA9E347" w14:textId="77777777" w:rsidR="00994F64" w:rsidRPr="00261B7A" w:rsidRDefault="00994F64" w:rsidP="00501B0F">
            <w:pPr>
              <w:pStyle w:val="TableText"/>
              <w:spacing w:before="40" w:after="40"/>
              <w:rPr>
                <w:rFonts w:cs="Calibri"/>
                <w:szCs w:val="16"/>
              </w:rPr>
            </w:pPr>
            <w:r w:rsidRPr="00261B7A">
              <w:rPr>
                <w:rFonts w:cs="Calibri"/>
                <w:szCs w:val="16"/>
              </w:rPr>
              <w:t>2005</w:t>
            </w:r>
          </w:p>
        </w:tc>
        <w:tc>
          <w:tcPr>
            <w:tcW w:w="1489" w:type="dxa"/>
            <w:vAlign w:val="center"/>
          </w:tcPr>
          <w:p w14:paraId="0F80C714" w14:textId="77777777" w:rsidR="00994F64" w:rsidRPr="00261B7A" w:rsidRDefault="00994F64" w:rsidP="00501B0F">
            <w:pPr>
              <w:pStyle w:val="TableText"/>
              <w:spacing w:before="40" w:after="40"/>
              <w:jc w:val="right"/>
              <w:rPr>
                <w:highlight w:val="yellow"/>
              </w:rPr>
            </w:pPr>
            <w:r w:rsidRPr="00261B7A">
              <w:rPr>
                <w:rFonts w:cs="Calibri"/>
                <w:color w:val="000000"/>
                <w:szCs w:val="16"/>
              </w:rPr>
              <w:t>70.8</w:t>
            </w:r>
          </w:p>
        </w:tc>
        <w:tc>
          <w:tcPr>
            <w:tcW w:w="1487" w:type="dxa"/>
            <w:vAlign w:val="center"/>
          </w:tcPr>
          <w:p w14:paraId="5A620B27" w14:textId="77777777" w:rsidR="00994F64" w:rsidRPr="00261B7A" w:rsidRDefault="00994F64" w:rsidP="00501B0F">
            <w:pPr>
              <w:pStyle w:val="TableText"/>
              <w:spacing w:before="40" w:after="40"/>
              <w:jc w:val="right"/>
              <w:rPr>
                <w:highlight w:val="yellow"/>
              </w:rPr>
            </w:pPr>
            <w:r w:rsidRPr="00261B7A">
              <w:rPr>
                <w:rFonts w:cs="Calibri"/>
                <w:color w:val="000000"/>
                <w:szCs w:val="16"/>
              </w:rPr>
              <w:t>84.9</w:t>
            </w:r>
          </w:p>
        </w:tc>
        <w:tc>
          <w:tcPr>
            <w:tcW w:w="1487" w:type="dxa"/>
            <w:vAlign w:val="center"/>
          </w:tcPr>
          <w:p w14:paraId="7E52BC8B" w14:textId="77777777" w:rsidR="00994F64" w:rsidRPr="00261B7A" w:rsidRDefault="00994F64" w:rsidP="00501B0F">
            <w:pPr>
              <w:pStyle w:val="TableText"/>
              <w:spacing w:before="40" w:after="40"/>
              <w:jc w:val="right"/>
              <w:rPr>
                <w:highlight w:val="yellow"/>
              </w:rPr>
            </w:pPr>
            <w:r w:rsidRPr="00261B7A">
              <w:rPr>
                <w:rFonts w:cs="Calibri"/>
                <w:color w:val="000000"/>
                <w:szCs w:val="16"/>
              </w:rPr>
              <w:t>59.8</w:t>
            </w:r>
          </w:p>
        </w:tc>
        <w:tc>
          <w:tcPr>
            <w:tcW w:w="1536" w:type="dxa"/>
            <w:vAlign w:val="center"/>
          </w:tcPr>
          <w:p w14:paraId="4718177B" w14:textId="77777777" w:rsidR="00994F64" w:rsidRPr="00261B7A" w:rsidRDefault="00994F64" w:rsidP="00501B0F">
            <w:pPr>
              <w:pStyle w:val="TableText"/>
              <w:spacing w:before="40" w:after="40"/>
              <w:jc w:val="right"/>
              <w:rPr>
                <w:highlight w:val="yellow"/>
              </w:rPr>
            </w:pPr>
            <w:r w:rsidRPr="00261B7A">
              <w:rPr>
                <w:rFonts w:cs="Calibri"/>
                <w:color w:val="000000"/>
              </w:rPr>
              <w:t>11.8</w:t>
            </w:r>
          </w:p>
        </w:tc>
        <w:tc>
          <w:tcPr>
            <w:tcW w:w="1518" w:type="dxa"/>
            <w:vAlign w:val="center"/>
          </w:tcPr>
          <w:p w14:paraId="0249B49C" w14:textId="77777777" w:rsidR="00994F64" w:rsidRPr="00261B7A" w:rsidRDefault="00994F64" w:rsidP="00501B0F">
            <w:pPr>
              <w:pStyle w:val="TableText"/>
              <w:spacing w:before="40" w:after="40"/>
              <w:jc w:val="right"/>
              <w:rPr>
                <w:highlight w:val="yellow"/>
              </w:rPr>
            </w:pPr>
            <w:r w:rsidRPr="00261B7A">
              <w:rPr>
                <w:rFonts w:cs="Calibri"/>
                <w:color w:val="000000"/>
                <w:szCs w:val="16"/>
              </w:rPr>
              <w:t>21</w:t>
            </w:r>
            <w:r w:rsidRPr="00261B7A">
              <w:rPr>
                <w:color w:val="000000"/>
              </w:rPr>
              <w:t>.5</w:t>
            </w:r>
          </w:p>
        </w:tc>
      </w:tr>
      <w:tr w:rsidR="00994F64" w:rsidRPr="00261B7A" w14:paraId="194891E2" w14:textId="77777777" w:rsidTr="00501B0F">
        <w:trPr>
          <w:trHeight w:val="251"/>
        </w:trPr>
        <w:tc>
          <w:tcPr>
            <w:tcW w:w="988" w:type="dxa"/>
          </w:tcPr>
          <w:p w14:paraId="55102E28" w14:textId="77777777" w:rsidR="00994F64" w:rsidRPr="00261B7A" w:rsidRDefault="00994F64" w:rsidP="00501B0F">
            <w:pPr>
              <w:pStyle w:val="TableText"/>
              <w:spacing w:before="40" w:after="40"/>
              <w:rPr>
                <w:rFonts w:cs="Calibri"/>
                <w:szCs w:val="16"/>
              </w:rPr>
            </w:pPr>
            <w:r w:rsidRPr="00261B7A">
              <w:rPr>
                <w:rFonts w:cs="Calibri"/>
                <w:szCs w:val="16"/>
              </w:rPr>
              <w:t>2006</w:t>
            </w:r>
          </w:p>
        </w:tc>
        <w:tc>
          <w:tcPr>
            <w:tcW w:w="1489" w:type="dxa"/>
            <w:vAlign w:val="center"/>
          </w:tcPr>
          <w:p w14:paraId="68C7A273" w14:textId="77777777" w:rsidR="00994F64" w:rsidRPr="00261B7A" w:rsidRDefault="00994F64" w:rsidP="00501B0F">
            <w:pPr>
              <w:pStyle w:val="TableText"/>
              <w:spacing w:before="40" w:after="40"/>
              <w:jc w:val="right"/>
              <w:rPr>
                <w:highlight w:val="yellow"/>
              </w:rPr>
            </w:pPr>
            <w:r w:rsidRPr="00261B7A">
              <w:rPr>
                <w:rFonts w:cs="Calibri"/>
                <w:color w:val="000000"/>
                <w:szCs w:val="16"/>
              </w:rPr>
              <w:t>70.6</w:t>
            </w:r>
          </w:p>
        </w:tc>
        <w:tc>
          <w:tcPr>
            <w:tcW w:w="1487" w:type="dxa"/>
            <w:vAlign w:val="center"/>
          </w:tcPr>
          <w:p w14:paraId="4DB00186" w14:textId="77777777" w:rsidR="00994F64" w:rsidRPr="00261B7A" w:rsidRDefault="00994F64" w:rsidP="00501B0F">
            <w:pPr>
              <w:pStyle w:val="TableText"/>
              <w:spacing w:before="40" w:after="40"/>
              <w:jc w:val="right"/>
              <w:rPr>
                <w:highlight w:val="yellow"/>
              </w:rPr>
            </w:pPr>
            <w:r w:rsidRPr="00261B7A">
              <w:rPr>
                <w:color w:val="000000"/>
              </w:rPr>
              <w:t>86.</w:t>
            </w:r>
            <w:r w:rsidRPr="00261B7A">
              <w:rPr>
                <w:rFonts w:cs="Calibri"/>
                <w:color w:val="000000"/>
                <w:szCs w:val="16"/>
              </w:rPr>
              <w:t>1</w:t>
            </w:r>
          </w:p>
        </w:tc>
        <w:tc>
          <w:tcPr>
            <w:tcW w:w="1487" w:type="dxa"/>
            <w:vAlign w:val="center"/>
          </w:tcPr>
          <w:p w14:paraId="74375329" w14:textId="77777777" w:rsidR="00994F64" w:rsidRPr="00261B7A" w:rsidRDefault="00994F64" w:rsidP="00501B0F">
            <w:pPr>
              <w:pStyle w:val="TableText"/>
              <w:spacing w:before="40" w:after="40"/>
              <w:jc w:val="right"/>
              <w:rPr>
                <w:highlight w:val="yellow"/>
              </w:rPr>
            </w:pPr>
            <w:r w:rsidRPr="00261B7A">
              <w:rPr>
                <w:rFonts w:cs="Calibri"/>
                <w:color w:val="000000"/>
                <w:szCs w:val="16"/>
              </w:rPr>
              <w:t>60</w:t>
            </w:r>
            <w:r w:rsidRPr="00261B7A">
              <w:rPr>
                <w:color w:val="000000"/>
              </w:rPr>
              <w:t>.9</w:t>
            </w:r>
          </w:p>
        </w:tc>
        <w:tc>
          <w:tcPr>
            <w:tcW w:w="1536" w:type="dxa"/>
            <w:vAlign w:val="center"/>
          </w:tcPr>
          <w:p w14:paraId="097E31CD" w14:textId="77777777" w:rsidR="00994F64" w:rsidRPr="00261B7A" w:rsidRDefault="00994F64" w:rsidP="00501B0F">
            <w:pPr>
              <w:pStyle w:val="TableText"/>
              <w:spacing w:before="40" w:after="40"/>
              <w:jc w:val="right"/>
              <w:rPr>
                <w:highlight w:val="yellow"/>
              </w:rPr>
            </w:pPr>
            <w:r w:rsidRPr="00261B7A">
              <w:rPr>
                <w:color w:val="000000"/>
              </w:rPr>
              <w:t>11.</w:t>
            </w:r>
            <w:r w:rsidRPr="00261B7A">
              <w:rPr>
                <w:rFonts w:cs="Calibri"/>
                <w:color w:val="000000"/>
              </w:rPr>
              <w:t>7</w:t>
            </w:r>
          </w:p>
        </w:tc>
        <w:tc>
          <w:tcPr>
            <w:tcW w:w="1518" w:type="dxa"/>
            <w:vAlign w:val="center"/>
          </w:tcPr>
          <w:p w14:paraId="49493A26" w14:textId="77777777" w:rsidR="00994F64" w:rsidRPr="00261B7A" w:rsidRDefault="00994F64" w:rsidP="00501B0F">
            <w:pPr>
              <w:pStyle w:val="TableText"/>
              <w:spacing w:before="40" w:after="40"/>
              <w:jc w:val="right"/>
              <w:rPr>
                <w:highlight w:val="yellow"/>
              </w:rPr>
            </w:pPr>
            <w:r w:rsidRPr="00261B7A">
              <w:rPr>
                <w:rFonts w:cs="Calibri"/>
                <w:color w:val="000000"/>
                <w:szCs w:val="16"/>
              </w:rPr>
              <w:t>21.7</w:t>
            </w:r>
          </w:p>
        </w:tc>
      </w:tr>
      <w:tr w:rsidR="00994F64" w:rsidRPr="00261B7A" w14:paraId="4ADEF672" w14:textId="77777777" w:rsidTr="00501B0F">
        <w:trPr>
          <w:trHeight w:val="239"/>
        </w:trPr>
        <w:tc>
          <w:tcPr>
            <w:tcW w:w="988" w:type="dxa"/>
          </w:tcPr>
          <w:p w14:paraId="101148EC" w14:textId="77777777" w:rsidR="00994F64" w:rsidRPr="00261B7A" w:rsidRDefault="00994F64" w:rsidP="00501B0F">
            <w:pPr>
              <w:pStyle w:val="TableText"/>
              <w:spacing w:before="40" w:after="40"/>
              <w:rPr>
                <w:rFonts w:cs="Calibri"/>
                <w:szCs w:val="16"/>
              </w:rPr>
            </w:pPr>
            <w:r w:rsidRPr="00261B7A">
              <w:rPr>
                <w:rFonts w:cs="Calibri"/>
                <w:szCs w:val="16"/>
              </w:rPr>
              <w:t>2007</w:t>
            </w:r>
          </w:p>
        </w:tc>
        <w:tc>
          <w:tcPr>
            <w:tcW w:w="1489" w:type="dxa"/>
            <w:vAlign w:val="center"/>
          </w:tcPr>
          <w:p w14:paraId="02273398" w14:textId="77777777" w:rsidR="00994F64" w:rsidRPr="00261B7A" w:rsidRDefault="00994F64" w:rsidP="00501B0F">
            <w:pPr>
              <w:pStyle w:val="TableText"/>
              <w:spacing w:before="40" w:after="40"/>
              <w:jc w:val="right"/>
              <w:rPr>
                <w:highlight w:val="yellow"/>
              </w:rPr>
            </w:pPr>
            <w:r w:rsidRPr="00261B7A">
              <w:rPr>
                <w:rFonts w:cs="Calibri"/>
                <w:color w:val="000000"/>
                <w:szCs w:val="16"/>
              </w:rPr>
              <w:t>69.2</w:t>
            </w:r>
          </w:p>
        </w:tc>
        <w:tc>
          <w:tcPr>
            <w:tcW w:w="1487" w:type="dxa"/>
            <w:vAlign w:val="center"/>
          </w:tcPr>
          <w:p w14:paraId="34F307FD" w14:textId="77777777" w:rsidR="00994F64" w:rsidRPr="00261B7A" w:rsidRDefault="00994F64" w:rsidP="00501B0F">
            <w:pPr>
              <w:pStyle w:val="TableText"/>
              <w:spacing w:before="40" w:after="40"/>
              <w:jc w:val="right"/>
              <w:rPr>
                <w:highlight w:val="yellow"/>
              </w:rPr>
            </w:pPr>
            <w:r w:rsidRPr="00261B7A">
              <w:rPr>
                <w:color w:val="000000"/>
              </w:rPr>
              <w:t>86.1</w:t>
            </w:r>
          </w:p>
        </w:tc>
        <w:tc>
          <w:tcPr>
            <w:tcW w:w="1487" w:type="dxa"/>
            <w:vAlign w:val="center"/>
          </w:tcPr>
          <w:p w14:paraId="6A865079" w14:textId="77777777" w:rsidR="00994F64" w:rsidRPr="00261B7A" w:rsidRDefault="00994F64" w:rsidP="00501B0F">
            <w:pPr>
              <w:pStyle w:val="TableText"/>
              <w:spacing w:before="40" w:after="40"/>
              <w:jc w:val="right"/>
              <w:rPr>
                <w:highlight w:val="yellow"/>
              </w:rPr>
            </w:pPr>
            <w:r w:rsidRPr="00261B7A">
              <w:rPr>
                <w:rFonts w:cs="Calibri"/>
                <w:color w:val="000000"/>
                <w:szCs w:val="16"/>
              </w:rPr>
              <w:t>60</w:t>
            </w:r>
            <w:r w:rsidRPr="00261B7A">
              <w:rPr>
                <w:color w:val="000000"/>
              </w:rPr>
              <w:t>.1</w:t>
            </w:r>
          </w:p>
        </w:tc>
        <w:tc>
          <w:tcPr>
            <w:tcW w:w="1536" w:type="dxa"/>
            <w:vAlign w:val="center"/>
          </w:tcPr>
          <w:p w14:paraId="3DCA2173" w14:textId="77777777" w:rsidR="00994F64" w:rsidRPr="00261B7A" w:rsidRDefault="00994F64" w:rsidP="00501B0F">
            <w:pPr>
              <w:pStyle w:val="TableText"/>
              <w:spacing w:before="40" w:after="40"/>
              <w:jc w:val="right"/>
              <w:rPr>
                <w:highlight w:val="yellow"/>
              </w:rPr>
            </w:pPr>
            <w:r w:rsidRPr="00261B7A">
              <w:rPr>
                <w:color w:val="000000"/>
              </w:rPr>
              <w:t>11.</w:t>
            </w:r>
            <w:r w:rsidRPr="00261B7A">
              <w:rPr>
                <w:rFonts w:cs="Calibri"/>
                <w:color w:val="000000"/>
              </w:rPr>
              <w:t>6</w:t>
            </w:r>
          </w:p>
        </w:tc>
        <w:tc>
          <w:tcPr>
            <w:tcW w:w="1518" w:type="dxa"/>
            <w:vAlign w:val="center"/>
          </w:tcPr>
          <w:p w14:paraId="0E721D69" w14:textId="77777777" w:rsidR="00994F64" w:rsidRPr="00261B7A" w:rsidRDefault="00994F64" w:rsidP="00501B0F">
            <w:pPr>
              <w:pStyle w:val="TableText"/>
              <w:spacing w:before="40" w:after="40"/>
              <w:jc w:val="right"/>
              <w:rPr>
                <w:highlight w:val="yellow"/>
              </w:rPr>
            </w:pPr>
            <w:r w:rsidRPr="00261B7A">
              <w:rPr>
                <w:rFonts w:cs="Calibri"/>
                <w:color w:val="000000"/>
                <w:szCs w:val="16"/>
              </w:rPr>
              <w:t>21.8</w:t>
            </w:r>
          </w:p>
        </w:tc>
      </w:tr>
      <w:tr w:rsidR="00994F64" w:rsidRPr="00261B7A" w14:paraId="6F39EBF6" w14:textId="77777777" w:rsidTr="00501B0F">
        <w:trPr>
          <w:trHeight w:val="239"/>
        </w:trPr>
        <w:tc>
          <w:tcPr>
            <w:tcW w:w="988" w:type="dxa"/>
          </w:tcPr>
          <w:p w14:paraId="66A1612F" w14:textId="77777777" w:rsidR="00994F64" w:rsidRPr="00261B7A" w:rsidRDefault="00994F64" w:rsidP="00501B0F">
            <w:pPr>
              <w:pStyle w:val="TableText"/>
              <w:spacing w:before="40" w:after="40"/>
              <w:rPr>
                <w:rFonts w:cs="Calibri"/>
                <w:szCs w:val="16"/>
              </w:rPr>
            </w:pPr>
            <w:r w:rsidRPr="00261B7A">
              <w:rPr>
                <w:rFonts w:cs="Calibri"/>
                <w:szCs w:val="16"/>
              </w:rPr>
              <w:t>2008</w:t>
            </w:r>
          </w:p>
        </w:tc>
        <w:tc>
          <w:tcPr>
            <w:tcW w:w="1489" w:type="dxa"/>
            <w:vAlign w:val="center"/>
          </w:tcPr>
          <w:p w14:paraId="581A25E2" w14:textId="77777777" w:rsidR="00994F64" w:rsidRPr="00261B7A" w:rsidRDefault="00994F64" w:rsidP="00501B0F">
            <w:pPr>
              <w:pStyle w:val="TableText"/>
              <w:spacing w:before="40" w:after="40"/>
              <w:jc w:val="right"/>
              <w:rPr>
                <w:highlight w:val="yellow"/>
              </w:rPr>
            </w:pPr>
            <w:r w:rsidRPr="00261B7A">
              <w:rPr>
                <w:color w:val="000000"/>
              </w:rPr>
              <w:t>68.1</w:t>
            </w:r>
          </w:p>
        </w:tc>
        <w:tc>
          <w:tcPr>
            <w:tcW w:w="1487" w:type="dxa"/>
            <w:vAlign w:val="center"/>
          </w:tcPr>
          <w:p w14:paraId="7E2C38D2" w14:textId="77777777" w:rsidR="00994F64" w:rsidRPr="00261B7A" w:rsidRDefault="00994F64" w:rsidP="00501B0F">
            <w:pPr>
              <w:pStyle w:val="TableText"/>
              <w:spacing w:before="40" w:after="40"/>
              <w:jc w:val="right"/>
              <w:rPr>
                <w:highlight w:val="yellow"/>
              </w:rPr>
            </w:pPr>
            <w:r w:rsidRPr="00261B7A">
              <w:rPr>
                <w:rFonts w:cs="Calibri"/>
                <w:color w:val="000000"/>
                <w:szCs w:val="16"/>
              </w:rPr>
              <w:t>88.9</w:t>
            </w:r>
          </w:p>
        </w:tc>
        <w:tc>
          <w:tcPr>
            <w:tcW w:w="1487" w:type="dxa"/>
            <w:vAlign w:val="center"/>
          </w:tcPr>
          <w:p w14:paraId="018CDBCF" w14:textId="77777777" w:rsidR="00994F64" w:rsidRPr="00261B7A" w:rsidRDefault="00994F64" w:rsidP="00501B0F">
            <w:pPr>
              <w:pStyle w:val="TableText"/>
              <w:spacing w:before="40" w:after="40"/>
              <w:jc w:val="right"/>
              <w:rPr>
                <w:highlight w:val="yellow"/>
              </w:rPr>
            </w:pPr>
            <w:r w:rsidRPr="00261B7A">
              <w:rPr>
                <w:rFonts w:cs="Calibri"/>
                <w:color w:val="000000"/>
                <w:szCs w:val="16"/>
              </w:rPr>
              <w:t>59</w:t>
            </w:r>
            <w:r w:rsidRPr="00261B7A">
              <w:rPr>
                <w:color w:val="000000"/>
              </w:rPr>
              <w:t>.6</w:t>
            </w:r>
          </w:p>
        </w:tc>
        <w:tc>
          <w:tcPr>
            <w:tcW w:w="1536" w:type="dxa"/>
            <w:vAlign w:val="center"/>
          </w:tcPr>
          <w:p w14:paraId="13D95012" w14:textId="77777777" w:rsidR="00994F64" w:rsidRPr="00261B7A" w:rsidRDefault="00994F64" w:rsidP="00501B0F">
            <w:pPr>
              <w:pStyle w:val="TableText"/>
              <w:spacing w:before="40" w:after="40"/>
              <w:jc w:val="right"/>
              <w:rPr>
                <w:highlight w:val="yellow"/>
              </w:rPr>
            </w:pPr>
            <w:r w:rsidRPr="00261B7A">
              <w:rPr>
                <w:rFonts w:cs="Calibri"/>
                <w:color w:val="000000"/>
              </w:rPr>
              <w:t>11.8</w:t>
            </w:r>
          </w:p>
        </w:tc>
        <w:tc>
          <w:tcPr>
            <w:tcW w:w="1518" w:type="dxa"/>
            <w:vAlign w:val="center"/>
          </w:tcPr>
          <w:p w14:paraId="12E17B0A" w14:textId="77777777" w:rsidR="00994F64" w:rsidRPr="00261B7A" w:rsidRDefault="00994F64" w:rsidP="00501B0F">
            <w:pPr>
              <w:pStyle w:val="TableText"/>
              <w:spacing w:before="40" w:after="40"/>
              <w:jc w:val="right"/>
              <w:rPr>
                <w:highlight w:val="yellow"/>
              </w:rPr>
            </w:pPr>
            <w:r w:rsidRPr="00261B7A">
              <w:rPr>
                <w:rFonts w:cs="Calibri"/>
                <w:color w:val="000000"/>
                <w:szCs w:val="16"/>
              </w:rPr>
              <w:t>22.0</w:t>
            </w:r>
          </w:p>
        </w:tc>
      </w:tr>
      <w:tr w:rsidR="00994F64" w:rsidRPr="00261B7A" w14:paraId="5336D28B" w14:textId="77777777" w:rsidTr="00501B0F">
        <w:trPr>
          <w:trHeight w:val="239"/>
        </w:trPr>
        <w:tc>
          <w:tcPr>
            <w:tcW w:w="988" w:type="dxa"/>
          </w:tcPr>
          <w:p w14:paraId="1C1E1CD7" w14:textId="77777777" w:rsidR="00994F64" w:rsidRPr="00261B7A" w:rsidRDefault="00994F64" w:rsidP="00501B0F">
            <w:pPr>
              <w:pStyle w:val="TableText"/>
              <w:spacing w:before="40" w:after="40"/>
              <w:rPr>
                <w:rFonts w:cs="Calibri"/>
                <w:szCs w:val="16"/>
              </w:rPr>
            </w:pPr>
            <w:r w:rsidRPr="00261B7A">
              <w:rPr>
                <w:rFonts w:cs="Calibri"/>
                <w:szCs w:val="16"/>
              </w:rPr>
              <w:t>2009</w:t>
            </w:r>
          </w:p>
        </w:tc>
        <w:tc>
          <w:tcPr>
            <w:tcW w:w="1489" w:type="dxa"/>
            <w:vAlign w:val="center"/>
          </w:tcPr>
          <w:p w14:paraId="4A452584" w14:textId="77777777" w:rsidR="00994F64" w:rsidRPr="00261B7A" w:rsidRDefault="00994F64" w:rsidP="00501B0F">
            <w:pPr>
              <w:pStyle w:val="TableText"/>
              <w:spacing w:before="40" w:after="40"/>
              <w:jc w:val="right"/>
              <w:rPr>
                <w:highlight w:val="yellow"/>
              </w:rPr>
            </w:pPr>
            <w:r w:rsidRPr="00261B7A">
              <w:rPr>
                <w:rFonts w:cs="Calibri"/>
                <w:color w:val="000000"/>
                <w:szCs w:val="16"/>
              </w:rPr>
              <w:t>68.9</w:t>
            </w:r>
          </w:p>
        </w:tc>
        <w:tc>
          <w:tcPr>
            <w:tcW w:w="1487" w:type="dxa"/>
            <w:vAlign w:val="center"/>
          </w:tcPr>
          <w:p w14:paraId="59BD28BF" w14:textId="77777777" w:rsidR="00994F64" w:rsidRPr="00261B7A" w:rsidRDefault="00994F64" w:rsidP="00501B0F">
            <w:pPr>
              <w:pStyle w:val="TableText"/>
              <w:spacing w:before="40" w:after="40"/>
              <w:jc w:val="right"/>
              <w:rPr>
                <w:highlight w:val="yellow"/>
              </w:rPr>
            </w:pPr>
            <w:r w:rsidRPr="00261B7A">
              <w:rPr>
                <w:rFonts w:cs="Calibri"/>
                <w:color w:val="000000"/>
                <w:szCs w:val="16"/>
              </w:rPr>
              <w:t>89.8</w:t>
            </w:r>
          </w:p>
        </w:tc>
        <w:tc>
          <w:tcPr>
            <w:tcW w:w="1487" w:type="dxa"/>
            <w:vAlign w:val="center"/>
          </w:tcPr>
          <w:p w14:paraId="48D10186" w14:textId="77777777" w:rsidR="00994F64" w:rsidRPr="00261B7A" w:rsidRDefault="00994F64" w:rsidP="00501B0F">
            <w:pPr>
              <w:pStyle w:val="TableText"/>
              <w:spacing w:before="40" w:after="40"/>
              <w:jc w:val="right"/>
              <w:rPr>
                <w:highlight w:val="yellow"/>
              </w:rPr>
            </w:pPr>
            <w:r w:rsidRPr="00261B7A">
              <w:rPr>
                <w:rFonts w:cs="Calibri"/>
                <w:color w:val="000000"/>
                <w:szCs w:val="16"/>
              </w:rPr>
              <w:t>59.0</w:t>
            </w:r>
          </w:p>
        </w:tc>
        <w:tc>
          <w:tcPr>
            <w:tcW w:w="1536" w:type="dxa"/>
            <w:vAlign w:val="center"/>
          </w:tcPr>
          <w:p w14:paraId="15345F3A" w14:textId="77777777" w:rsidR="00994F64" w:rsidRPr="00261B7A" w:rsidRDefault="00994F64" w:rsidP="00501B0F">
            <w:pPr>
              <w:pStyle w:val="TableText"/>
              <w:spacing w:before="40" w:after="40"/>
              <w:jc w:val="right"/>
              <w:rPr>
                <w:highlight w:val="yellow"/>
              </w:rPr>
            </w:pPr>
            <w:r w:rsidRPr="00261B7A">
              <w:rPr>
                <w:color w:val="000000"/>
              </w:rPr>
              <w:t>12.</w:t>
            </w:r>
            <w:r w:rsidRPr="00261B7A">
              <w:rPr>
                <w:rFonts w:cs="Calibri"/>
                <w:color w:val="000000"/>
              </w:rPr>
              <w:t>0</w:t>
            </w:r>
          </w:p>
        </w:tc>
        <w:tc>
          <w:tcPr>
            <w:tcW w:w="1518" w:type="dxa"/>
            <w:vAlign w:val="center"/>
          </w:tcPr>
          <w:p w14:paraId="1535FCFA" w14:textId="77777777" w:rsidR="00994F64" w:rsidRPr="00261B7A" w:rsidRDefault="00994F64" w:rsidP="00501B0F">
            <w:pPr>
              <w:pStyle w:val="TableText"/>
              <w:spacing w:before="40" w:after="40"/>
              <w:jc w:val="right"/>
              <w:rPr>
                <w:highlight w:val="yellow"/>
              </w:rPr>
            </w:pPr>
            <w:r w:rsidRPr="00261B7A">
              <w:rPr>
                <w:rFonts w:cs="Calibri"/>
                <w:color w:val="000000"/>
                <w:szCs w:val="16"/>
              </w:rPr>
              <w:t>22.2</w:t>
            </w:r>
          </w:p>
        </w:tc>
      </w:tr>
      <w:tr w:rsidR="00994F64" w:rsidRPr="00261B7A" w14:paraId="7C523C96" w14:textId="77777777" w:rsidTr="00501B0F">
        <w:trPr>
          <w:trHeight w:val="239"/>
        </w:trPr>
        <w:tc>
          <w:tcPr>
            <w:tcW w:w="988" w:type="dxa"/>
          </w:tcPr>
          <w:p w14:paraId="79380286" w14:textId="77777777" w:rsidR="00994F64" w:rsidRPr="00261B7A" w:rsidRDefault="00994F64" w:rsidP="00501B0F">
            <w:pPr>
              <w:pStyle w:val="TableText"/>
              <w:spacing w:before="40" w:after="40"/>
              <w:rPr>
                <w:rFonts w:cs="Calibri"/>
                <w:szCs w:val="16"/>
              </w:rPr>
            </w:pPr>
            <w:r w:rsidRPr="00261B7A">
              <w:rPr>
                <w:rFonts w:cs="Calibri"/>
                <w:szCs w:val="16"/>
              </w:rPr>
              <w:t>2010</w:t>
            </w:r>
          </w:p>
        </w:tc>
        <w:tc>
          <w:tcPr>
            <w:tcW w:w="1489" w:type="dxa"/>
            <w:vAlign w:val="center"/>
          </w:tcPr>
          <w:p w14:paraId="74C5BB53" w14:textId="77777777" w:rsidR="00994F64" w:rsidRPr="00261B7A" w:rsidRDefault="00994F64" w:rsidP="00501B0F">
            <w:pPr>
              <w:pStyle w:val="TableText"/>
              <w:spacing w:before="40" w:after="40"/>
              <w:jc w:val="right"/>
              <w:rPr>
                <w:highlight w:val="yellow"/>
              </w:rPr>
            </w:pPr>
            <w:r w:rsidRPr="00261B7A">
              <w:rPr>
                <w:rFonts w:cs="Calibri"/>
                <w:color w:val="000000"/>
                <w:szCs w:val="16"/>
              </w:rPr>
              <w:t>70.7</w:t>
            </w:r>
          </w:p>
        </w:tc>
        <w:tc>
          <w:tcPr>
            <w:tcW w:w="1487" w:type="dxa"/>
            <w:vAlign w:val="center"/>
          </w:tcPr>
          <w:p w14:paraId="60B047AD" w14:textId="77777777" w:rsidR="00994F64" w:rsidRPr="00261B7A" w:rsidRDefault="00994F64" w:rsidP="00501B0F">
            <w:pPr>
              <w:pStyle w:val="TableText"/>
              <w:spacing w:before="40" w:after="40"/>
              <w:jc w:val="right"/>
              <w:rPr>
                <w:highlight w:val="yellow"/>
              </w:rPr>
            </w:pPr>
            <w:r w:rsidRPr="00261B7A">
              <w:rPr>
                <w:rFonts w:cs="Calibri"/>
                <w:color w:val="000000"/>
                <w:szCs w:val="16"/>
              </w:rPr>
              <w:t>88.3</w:t>
            </w:r>
          </w:p>
        </w:tc>
        <w:tc>
          <w:tcPr>
            <w:tcW w:w="1487" w:type="dxa"/>
            <w:vAlign w:val="center"/>
          </w:tcPr>
          <w:p w14:paraId="65BAA0AC" w14:textId="77777777" w:rsidR="00994F64" w:rsidRPr="00261B7A" w:rsidRDefault="00994F64" w:rsidP="00501B0F">
            <w:pPr>
              <w:pStyle w:val="TableText"/>
              <w:spacing w:before="40" w:after="40"/>
              <w:jc w:val="right"/>
              <w:rPr>
                <w:highlight w:val="yellow"/>
              </w:rPr>
            </w:pPr>
            <w:r w:rsidRPr="00261B7A">
              <w:rPr>
                <w:rFonts w:cs="Calibri"/>
                <w:color w:val="000000"/>
                <w:szCs w:val="16"/>
              </w:rPr>
              <w:t>59</w:t>
            </w:r>
            <w:r w:rsidRPr="00261B7A">
              <w:rPr>
                <w:color w:val="000000"/>
              </w:rPr>
              <w:t>.0</w:t>
            </w:r>
          </w:p>
        </w:tc>
        <w:tc>
          <w:tcPr>
            <w:tcW w:w="1536" w:type="dxa"/>
            <w:vAlign w:val="center"/>
          </w:tcPr>
          <w:p w14:paraId="43B2C4BF" w14:textId="77777777" w:rsidR="00994F64" w:rsidRPr="00261B7A" w:rsidRDefault="00994F64" w:rsidP="00501B0F">
            <w:pPr>
              <w:pStyle w:val="TableText"/>
              <w:spacing w:before="40" w:after="40"/>
              <w:jc w:val="right"/>
              <w:rPr>
                <w:highlight w:val="yellow"/>
              </w:rPr>
            </w:pPr>
            <w:r w:rsidRPr="00261B7A">
              <w:rPr>
                <w:color w:val="000000"/>
              </w:rPr>
              <w:t>11.</w:t>
            </w:r>
            <w:r w:rsidRPr="00261B7A">
              <w:rPr>
                <w:rFonts w:cs="Calibri"/>
                <w:color w:val="000000"/>
              </w:rPr>
              <w:t>6</w:t>
            </w:r>
          </w:p>
        </w:tc>
        <w:tc>
          <w:tcPr>
            <w:tcW w:w="1518" w:type="dxa"/>
            <w:vAlign w:val="center"/>
          </w:tcPr>
          <w:p w14:paraId="3C329A32" w14:textId="77777777" w:rsidR="00994F64" w:rsidRPr="00261B7A" w:rsidRDefault="00994F64" w:rsidP="00501B0F">
            <w:pPr>
              <w:pStyle w:val="TableText"/>
              <w:spacing w:before="40" w:after="40"/>
              <w:jc w:val="right"/>
              <w:rPr>
                <w:highlight w:val="yellow"/>
              </w:rPr>
            </w:pPr>
            <w:r w:rsidRPr="00261B7A">
              <w:rPr>
                <w:rFonts w:cs="Calibri"/>
                <w:color w:val="000000"/>
                <w:szCs w:val="16"/>
              </w:rPr>
              <w:t>22.2</w:t>
            </w:r>
          </w:p>
        </w:tc>
      </w:tr>
      <w:tr w:rsidR="00994F64" w:rsidRPr="00261B7A" w14:paraId="6E17BF86" w14:textId="77777777" w:rsidTr="00501B0F">
        <w:trPr>
          <w:trHeight w:val="217"/>
        </w:trPr>
        <w:tc>
          <w:tcPr>
            <w:tcW w:w="988" w:type="dxa"/>
          </w:tcPr>
          <w:p w14:paraId="79EB512E" w14:textId="77777777" w:rsidR="00994F64" w:rsidRPr="00261B7A" w:rsidRDefault="00994F64" w:rsidP="00501B0F">
            <w:pPr>
              <w:pStyle w:val="TableText"/>
              <w:spacing w:before="40" w:after="40"/>
              <w:rPr>
                <w:rFonts w:cs="Calibri"/>
                <w:szCs w:val="16"/>
              </w:rPr>
            </w:pPr>
            <w:r w:rsidRPr="00261B7A">
              <w:rPr>
                <w:rFonts w:cs="Calibri"/>
                <w:szCs w:val="16"/>
              </w:rPr>
              <w:t>2011</w:t>
            </w:r>
          </w:p>
        </w:tc>
        <w:tc>
          <w:tcPr>
            <w:tcW w:w="1489" w:type="dxa"/>
            <w:vAlign w:val="center"/>
          </w:tcPr>
          <w:p w14:paraId="53965A4E" w14:textId="77777777" w:rsidR="00994F64" w:rsidRPr="00261B7A" w:rsidRDefault="00994F64" w:rsidP="00501B0F">
            <w:pPr>
              <w:pStyle w:val="TableText"/>
              <w:spacing w:before="40" w:after="40"/>
              <w:jc w:val="right"/>
              <w:rPr>
                <w:highlight w:val="yellow"/>
              </w:rPr>
            </w:pPr>
            <w:r w:rsidRPr="00261B7A">
              <w:rPr>
                <w:rFonts w:cs="Calibri"/>
                <w:color w:val="000000"/>
                <w:szCs w:val="16"/>
              </w:rPr>
              <w:t>71</w:t>
            </w:r>
            <w:r w:rsidRPr="00261B7A">
              <w:rPr>
                <w:color w:val="000000"/>
              </w:rPr>
              <w:t>.3</w:t>
            </w:r>
          </w:p>
        </w:tc>
        <w:tc>
          <w:tcPr>
            <w:tcW w:w="1487" w:type="dxa"/>
            <w:vAlign w:val="center"/>
          </w:tcPr>
          <w:p w14:paraId="4A134145" w14:textId="77777777" w:rsidR="00994F64" w:rsidRPr="00261B7A" w:rsidRDefault="00994F64" w:rsidP="00501B0F">
            <w:pPr>
              <w:pStyle w:val="TableText"/>
              <w:spacing w:before="40" w:after="40"/>
              <w:jc w:val="right"/>
              <w:rPr>
                <w:highlight w:val="yellow"/>
              </w:rPr>
            </w:pPr>
            <w:r w:rsidRPr="00261B7A">
              <w:rPr>
                <w:rFonts w:cs="Calibri"/>
                <w:color w:val="000000"/>
                <w:szCs w:val="16"/>
              </w:rPr>
              <w:t>92.0</w:t>
            </w:r>
          </w:p>
        </w:tc>
        <w:tc>
          <w:tcPr>
            <w:tcW w:w="1487" w:type="dxa"/>
            <w:vAlign w:val="center"/>
          </w:tcPr>
          <w:p w14:paraId="5FBBD339" w14:textId="77777777" w:rsidR="00994F64" w:rsidRPr="00261B7A" w:rsidRDefault="00994F64" w:rsidP="00501B0F">
            <w:pPr>
              <w:pStyle w:val="TableText"/>
              <w:spacing w:before="40" w:after="40"/>
              <w:jc w:val="right"/>
              <w:rPr>
                <w:highlight w:val="yellow"/>
              </w:rPr>
            </w:pPr>
            <w:r w:rsidRPr="00261B7A">
              <w:rPr>
                <w:rFonts w:cs="Calibri"/>
                <w:color w:val="000000"/>
                <w:szCs w:val="16"/>
              </w:rPr>
              <w:t>59</w:t>
            </w:r>
            <w:r w:rsidRPr="00261B7A">
              <w:rPr>
                <w:color w:val="000000"/>
              </w:rPr>
              <w:t>.8</w:t>
            </w:r>
          </w:p>
        </w:tc>
        <w:tc>
          <w:tcPr>
            <w:tcW w:w="1536" w:type="dxa"/>
            <w:vAlign w:val="center"/>
          </w:tcPr>
          <w:p w14:paraId="43A325C5" w14:textId="77777777" w:rsidR="00994F64" w:rsidRPr="00261B7A" w:rsidRDefault="00994F64" w:rsidP="00501B0F">
            <w:pPr>
              <w:pStyle w:val="TableText"/>
              <w:spacing w:before="40" w:after="40"/>
              <w:jc w:val="right"/>
              <w:rPr>
                <w:highlight w:val="yellow"/>
              </w:rPr>
            </w:pPr>
            <w:r w:rsidRPr="00261B7A">
              <w:rPr>
                <w:rFonts w:cs="Calibri"/>
                <w:color w:val="000000"/>
              </w:rPr>
              <w:t>11.9</w:t>
            </w:r>
          </w:p>
        </w:tc>
        <w:tc>
          <w:tcPr>
            <w:tcW w:w="1518" w:type="dxa"/>
            <w:vAlign w:val="center"/>
          </w:tcPr>
          <w:p w14:paraId="64ECDE44" w14:textId="77777777" w:rsidR="00994F64" w:rsidRPr="00261B7A" w:rsidRDefault="00994F64" w:rsidP="00501B0F">
            <w:pPr>
              <w:pStyle w:val="TableText"/>
              <w:spacing w:before="40" w:after="40"/>
              <w:jc w:val="right"/>
              <w:rPr>
                <w:highlight w:val="yellow"/>
              </w:rPr>
            </w:pPr>
            <w:r w:rsidRPr="00261B7A">
              <w:rPr>
                <w:rFonts w:cs="Calibri"/>
                <w:color w:val="000000"/>
                <w:szCs w:val="16"/>
              </w:rPr>
              <w:t>22.4</w:t>
            </w:r>
          </w:p>
        </w:tc>
      </w:tr>
      <w:tr w:rsidR="00994F64" w:rsidRPr="00261B7A" w14:paraId="6EE82C3D" w14:textId="77777777" w:rsidTr="00501B0F">
        <w:trPr>
          <w:trHeight w:val="239"/>
        </w:trPr>
        <w:tc>
          <w:tcPr>
            <w:tcW w:w="988" w:type="dxa"/>
          </w:tcPr>
          <w:p w14:paraId="201B7C4E" w14:textId="77777777" w:rsidR="00994F64" w:rsidRPr="00261B7A" w:rsidRDefault="00994F64" w:rsidP="00501B0F">
            <w:pPr>
              <w:pStyle w:val="TableText"/>
              <w:spacing w:before="40" w:after="40"/>
              <w:rPr>
                <w:rFonts w:cs="Calibri"/>
                <w:szCs w:val="16"/>
              </w:rPr>
            </w:pPr>
            <w:r w:rsidRPr="00261B7A">
              <w:rPr>
                <w:rFonts w:cs="Calibri"/>
                <w:szCs w:val="16"/>
              </w:rPr>
              <w:t>2012</w:t>
            </w:r>
          </w:p>
        </w:tc>
        <w:tc>
          <w:tcPr>
            <w:tcW w:w="1489" w:type="dxa"/>
            <w:vAlign w:val="center"/>
          </w:tcPr>
          <w:p w14:paraId="597C834B" w14:textId="77777777" w:rsidR="00994F64" w:rsidRPr="00261B7A" w:rsidRDefault="00994F64" w:rsidP="00501B0F">
            <w:pPr>
              <w:pStyle w:val="TableText"/>
              <w:spacing w:before="40" w:after="40"/>
              <w:jc w:val="right"/>
              <w:rPr>
                <w:highlight w:val="yellow"/>
              </w:rPr>
            </w:pPr>
            <w:r w:rsidRPr="00261B7A">
              <w:rPr>
                <w:rFonts w:cs="Calibri"/>
                <w:color w:val="000000"/>
                <w:szCs w:val="16"/>
              </w:rPr>
              <w:t>71.0</w:t>
            </w:r>
          </w:p>
        </w:tc>
        <w:tc>
          <w:tcPr>
            <w:tcW w:w="1487" w:type="dxa"/>
            <w:vAlign w:val="center"/>
          </w:tcPr>
          <w:p w14:paraId="18C5AE9D" w14:textId="77777777" w:rsidR="00994F64" w:rsidRPr="00261B7A" w:rsidRDefault="00994F64" w:rsidP="00501B0F">
            <w:pPr>
              <w:pStyle w:val="TableText"/>
              <w:spacing w:before="40" w:after="40"/>
              <w:jc w:val="right"/>
              <w:rPr>
                <w:highlight w:val="yellow"/>
              </w:rPr>
            </w:pPr>
            <w:r w:rsidRPr="00261B7A">
              <w:rPr>
                <w:rFonts w:cs="Calibri"/>
                <w:color w:val="000000"/>
                <w:szCs w:val="16"/>
              </w:rPr>
              <w:t>92.6</w:t>
            </w:r>
          </w:p>
        </w:tc>
        <w:tc>
          <w:tcPr>
            <w:tcW w:w="1487" w:type="dxa"/>
            <w:vAlign w:val="center"/>
          </w:tcPr>
          <w:p w14:paraId="72C872C2" w14:textId="77777777" w:rsidR="00994F64" w:rsidRPr="00261B7A" w:rsidRDefault="00994F64" w:rsidP="00501B0F">
            <w:pPr>
              <w:pStyle w:val="TableText"/>
              <w:spacing w:before="40" w:after="40"/>
              <w:jc w:val="right"/>
              <w:rPr>
                <w:highlight w:val="yellow"/>
              </w:rPr>
            </w:pPr>
            <w:r w:rsidRPr="00261B7A">
              <w:rPr>
                <w:rFonts w:cs="Calibri"/>
                <w:color w:val="000000"/>
                <w:szCs w:val="16"/>
              </w:rPr>
              <w:t>60</w:t>
            </w:r>
            <w:r w:rsidRPr="00261B7A">
              <w:rPr>
                <w:color w:val="000000"/>
              </w:rPr>
              <w:t>.7</w:t>
            </w:r>
          </w:p>
        </w:tc>
        <w:tc>
          <w:tcPr>
            <w:tcW w:w="1536" w:type="dxa"/>
            <w:vAlign w:val="center"/>
          </w:tcPr>
          <w:p w14:paraId="0EE75F63" w14:textId="77777777" w:rsidR="00994F64" w:rsidRPr="00261B7A" w:rsidRDefault="00994F64" w:rsidP="00501B0F">
            <w:pPr>
              <w:pStyle w:val="TableText"/>
              <w:spacing w:before="40" w:after="40"/>
              <w:jc w:val="right"/>
              <w:rPr>
                <w:highlight w:val="yellow"/>
              </w:rPr>
            </w:pPr>
            <w:r w:rsidRPr="00261B7A">
              <w:rPr>
                <w:color w:val="000000"/>
              </w:rPr>
              <w:t>12.</w:t>
            </w:r>
            <w:r w:rsidRPr="00261B7A">
              <w:rPr>
                <w:rFonts w:cs="Calibri"/>
                <w:color w:val="000000"/>
              </w:rPr>
              <w:t>0</w:t>
            </w:r>
          </w:p>
        </w:tc>
        <w:tc>
          <w:tcPr>
            <w:tcW w:w="1518" w:type="dxa"/>
            <w:vAlign w:val="center"/>
          </w:tcPr>
          <w:p w14:paraId="5D430373" w14:textId="77777777" w:rsidR="00994F64" w:rsidRPr="00261B7A" w:rsidRDefault="00994F64" w:rsidP="00501B0F">
            <w:pPr>
              <w:pStyle w:val="TableText"/>
              <w:spacing w:before="40" w:after="40"/>
              <w:jc w:val="right"/>
              <w:rPr>
                <w:highlight w:val="yellow"/>
              </w:rPr>
            </w:pPr>
            <w:r w:rsidRPr="00261B7A">
              <w:rPr>
                <w:rFonts w:cs="Calibri"/>
                <w:color w:val="000000"/>
                <w:szCs w:val="16"/>
              </w:rPr>
              <w:t>22.5</w:t>
            </w:r>
          </w:p>
        </w:tc>
      </w:tr>
      <w:tr w:rsidR="00994F64" w:rsidRPr="00261B7A" w14:paraId="0891B6CF" w14:textId="77777777" w:rsidTr="00501B0F">
        <w:trPr>
          <w:trHeight w:val="239"/>
        </w:trPr>
        <w:tc>
          <w:tcPr>
            <w:tcW w:w="988" w:type="dxa"/>
          </w:tcPr>
          <w:p w14:paraId="5BF61BB7" w14:textId="77777777" w:rsidR="00994F64" w:rsidRPr="00261B7A" w:rsidRDefault="00994F64" w:rsidP="00501B0F">
            <w:pPr>
              <w:pStyle w:val="TableText"/>
              <w:spacing w:before="40" w:after="40"/>
              <w:rPr>
                <w:rFonts w:cs="Calibri"/>
                <w:szCs w:val="16"/>
              </w:rPr>
            </w:pPr>
            <w:r w:rsidRPr="00261B7A">
              <w:rPr>
                <w:rFonts w:cs="Calibri"/>
                <w:szCs w:val="16"/>
              </w:rPr>
              <w:t>2013</w:t>
            </w:r>
          </w:p>
        </w:tc>
        <w:tc>
          <w:tcPr>
            <w:tcW w:w="1489" w:type="dxa"/>
            <w:vAlign w:val="center"/>
          </w:tcPr>
          <w:p w14:paraId="0B92298E" w14:textId="77777777" w:rsidR="00994F64" w:rsidRPr="00261B7A" w:rsidRDefault="00994F64" w:rsidP="00501B0F">
            <w:pPr>
              <w:pStyle w:val="TableText"/>
              <w:spacing w:before="40" w:after="40"/>
              <w:jc w:val="right"/>
              <w:rPr>
                <w:highlight w:val="yellow"/>
              </w:rPr>
            </w:pPr>
            <w:r w:rsidRPr="00261B7A">
              <w:rPr>
                <w:rFonts w:cs="Calibri"/>
                <w:color w:val="000000"/>
                <w:szCs w:val="16"/>
              </w:rPr>
              <w:t>73</w:t>
            </w:r>
            <w:r w:rsidRPr="00261B7A">
              <w:rPr>
                <w:color w:val="000000"/>
              </w:rPr>
              <w:t>.3</w:t>
            </w:r>
          </w:p>
        </w:tc>
        <w:tc>
          <w:tcPr>
            <w:tcW w:w="1487" w:type="dxa"/>
            <w:vAlign w:val="center"/>
          </w:tcPr>
          <w:p w14:paraId="0150D98C" w14:textId="77777777" w:rsidR="00994F64" w:rsidRPr="00261B7A" w:rsidRDefault="00994F64" w:rsidP="00501B0F">
            <w:pPr>
              <w:pStyle w:val="TableText"/>
              <w:spacing w:before="40" w:after="40"/>
              <w:jc w:val="right"/>
              <w:rPr>
                <w:highlight w:val="yellow"/>
              </w:rPr>
            </w:pPr>
            <w:r w:rsidRPr="00261B7A">
              <w:rPr>
                <w:rFonts w:cs="Calibri"/>
                <w:color w:val="000000"/>
                <w:szCs w:val="16"/>
              </w:rPr>
              <w:t>92</w:t>
            </w:r>
            <w:r w:rsidRPr="00261B7A">
              <w:rPr>
                <w:color w:val="000000"/>
              </w:rPr>
              <w:t>.1</w:t>
            </w:r>
          </w:p>
        </w:tc>
        <w:tc>
          <w:tcPr>
            <w:tcW w:w="1487" w:type="dxa"/>
            <w:vAlign w:val="center"/>
          </w:tcPr>
          <w:p w14:paraId="15B682BD" w14:textId="77777777" w:rsidR="00994F64" w:rsidRPr="00261B7A" w:rsidRDefault="00994F64" w:rsidP="00501B0F">
            <w:pPr>
              <w:pStyle w:val="TableText"/>
              <w:spacing w:before="40" w:after="40"/>
              <w:jc w:val="right"/>
              <w:rPr>
                <w:highlight w:val="yellow"/>
              </w:rPr>
            </w:pPr>
            <w:r w:rsidRPr="00261B7A">
              <w:rPr>
                <w:rFonts w:cs="Calibri"/>
                <w:color w:val="000000"/>
                <w:szCs w:val="16"/>
              </w:rPr>
              <w:t>59</w:t>
            </w:r>
            <w:r w:rsidRPr="00261B7A">
              <w:rPr>
                <w:color w:val="000000"/>
              </w:rPr>
              <w:t>.7</w:t>
            </w:r>
          </w:p>
        </w:tc>
        <w:tc>
          <w:tcPr>
            <w:tcW w:w="1536" w:type="dxa"/>
            <w:vAlign w:val="center"/>
          </w:tcPr>
          <w:p w14:paraId="15C24CF4" w14:textId="77777777" w:rsidR="00994F64" w:rsidRPr="00261B7A" w:rsidRDefault="00994F64" w:rsidP="00501B0F">
            <w:pPr>
              <w:pStyle w:val="TableText"/>
              <w:spacing w:before="40" w:after="40"/>
              <w:jc w:val="right"/>
              <w:rPr>
                <w:highlight w:val="yellow"/>
              </w:rPr>
            </w:pPr>
            <w:r w:rsidRPr="00261B7A">
              <w:rPr>
                <w:rFonts w:cs="Calibri"/>
                <w:color w:val="000000"/>
              </w:rPr>
              <w:t>11.9</w:t>
            </w:r>
          </w:p>
        </w:tc>
        <w:tc>
          <w:tcPr>
            <w:tcW w:w="1518" w:type="dxa"/>
            <w:vAlign w:val="center"/>
          </w:tcPr>
          <w:p w14:paraId="5A0EE5C6" w14:textId="77777777" w:rsidR="00994F64" w:rsidRPr="00261B7A" w:rsidRDefault="00994F64" w:rsidP="00501B0F">
            <w:pPr>
              <w:pStyle w:val="TableText"/>
              <w:spacing w:before="40" w:after="40"/>
              <w:jc w:val="right"/>
              <w:rPr>
                <w:highlight w:val="yellow"/>
              </w:rPr>
            </w:pPr>
            <w:r w:rsidRPr="00261B7A">
              <w:rPr>
                <w:rFonts w:cs="Calibri"/>
                <w:color w:val="000000"/>
                <w:szCs w:val="16"/>
              </w:rPr>
              <w:t>22.2</w:t>
            </w:r>
          </w:p>
        </w:tc>
      </w:tr>
      <w:tr w:rsidR="00994F64" w:rsidRPr="00261B7A" w14:paraId="1CC86CF4" w14:textId="77777777" w:rsidTr="00501B0F">
        <w:trPr>
          <w:trHeight w:val="251"/>
        </w:trPr>
        <w:tc>
          <w:tcPr>
            <w:tcW w:w="988" w:type="dxa"/>
          </w:tcPr>
          <w:p w14:paraId="591EE523" w14:textId="77777777" w:rsidR="00994F64" w:rsidRPr="00261B7A" w:rsidRDefault="00994F64" w:rsidP="00501B0F">
            <w:pPr>
              <w:pStyle w:val="TableText"/>
              <w:spacing w:before="40" w:after="40"/>
              <w:rPr>
                <w:rFonts w:cs="Calibri"/>
                <w:szCs w:val="16"/>
              </w:rPr>
            </w:pPr>
            <w:r w:rsidRPr="00261B7A">
              <w:rPr>
                <w:rFonts w:cs="Calibri"/>
                <w:szCs w:val="16"/>
              </w:rPr>
              <w:t>2014</w:t>
            </w:r>
          </w:p>
        </w:tc>
        <w:tc>
          <w:tcPr>
            <w:tcW w:w="1489" w:type="dxa"/>
            <w:vAlign w:val="center"/>
          </w:tcPr>
          <w:p w14:paraId="11494390" w14:textId="77777777" w:rsidR="00994F64" w:rsidRPr="00261B7A" w:rsidRDefault="00994F64" w:rsidP="00501B0F">
            <w:pPr>
              <w:pStyle w:val="TableText"/>
              <w:spacing w:before="40" w:after="40"/>
              <w:jc w:val="right"/>
              <w:rPr>
                <w:highlight w:val="yellow"/>
              </w:rPr>
            </w:pPr>
            <w:r w:rsidRPr="00261B7A">
              <w:rPr>
                <w:rFonts w:cs="Calibri"/>
                <w:color w:val="000000"/>
                <w:szCs w:val="16"/>
              </w:rPr>
              <w:t>73.5</w:t>
            </w:r>
          </w:p>
        </w:tc>
        <w:tc>
          <w:tcPr>
            <w:tcW w:w="1487" w:type="dxa"/>
            <w:vAlign w:val="center"/>
          </w:tcPr>
          <w:p w14:paraId="42B1A89B" w14:textId="77777777" w:rsidR="00994F64" w:rsidRPr="00261B7A" w:rsidRDefault="00994F64" w:rsidP="00501B0F">
            <w:pPr>
              <w:pStyle w:val="TableText"/>
              <w:spacing w:before="40" w:after="40"/>
              <w:jc w:val="right"/>
              <w:rPr>
                <w:highlight w:val="yellow"/>
              </w:rPr>
            </w:pPr>
            <w:r w:rsidRPr="00261B7A">
              <w:rPr>
                <w:rFonts w:cs="Calibri"/>
                <w:color w:val="000000"/>
                <w:szCs w:val="16"/>
              </w:rPr>
              <w:t>95.9</w:t>
            </w:r>
          </w:p>
        </w:tc>
        <w:tc>
          <w:tcPr>
            <w:tcW w:w="1487" w:type="dxa"/>
            <w:vAlign w:val="center"/>
          </w:tcPr>
          <w:p w14:paraId="349E0C1D" w14:textId="77777777" w:rsidR="00994F64" w:rsidRPr="00261B7A" w:rsidRDefault="00994F64" w:rsidP="00501B0F">
            <w:pPr>
              <w:pStyle w:val="TableText"/>
              <w:spacing w:before="40" w:after="40"/>
              <w:jc w:val="right"/>
              <w:rPr>
                <w:highlight w:val="yellow"/>
              </w:rPr>
            </w:pPr>
            <w:r w:rsidRPr="00261B7A">
              <w:rPr>
                <w:rFonts w:cs="Calibri"/>
                <w:color w:val="000000"/>
                <w:szCs w:val="16"/>
              </w:rPr>
              <w:t>59</w:t>
            </w:r>
            <w:r w:rsidRPr="00261B7A">
              <w:rPr>
                <w:color w:val="000000"/>
              </w:rPr>
              <w:t>.4</w:t>
            </w:r>
          </w:p>
        </w:tc>
        <w:tc>
          <w:tcPr>
            <w:tcW w:w="1536" w:type="dxa"/>
            <w:vAlign w:val="center"/>
          </w:tcPr>
          <w:p w14:paraId="2E438B27" w14:textId="77777777" w:rsidR="00994F64" w:rsidRPr="00261B7A" w:rsidRDefault="00994F64" w:rsidP="00501B0F">
            <w:pPr>
              <w:pStyle w:val="TableText"/>
              <w:spacing w:before="40" w:after="40"/>
              <w:jc w:val="right"/>
              <w:rPr>
                <w:highlight w:val="yellow"/>
              </w:rPr>
            </w:pPr>
            <w:r w:rsidRPr="00261B7A">
              <w:rPr>
                <w:color w:val="000000"/>
              </w:rPr>
              <w:t>12.</w:t>
            </w:r>
            <w:r w:rsidRPr="00261B7A">
              <w:rPr>
                <w:rFonts w:cs="Calibri"/>
                <w:color w:val="000000"/>
              </w:rPr>
              <w:t>1</w:t>
            </w:r>
          </w:p>
        </w:tc>
        <w:tc>
          <w:tcPr>
            <w:tcW w:w="1518" w:type="dxa"/>
            <w:vAlign w:val="center"/>
          </w:tcPr>
          <w:p w14:paraId="703E301B" w14:textId="77777777" w:rsidR="00994F64" w:rsidRPr="00261B7A" w:rsidRDefault="00994F64" w:rsidP="00501B0F">
            <w:pPr>
              <w:pStyle w:val="TableText"/>
              <w:spacing w:before="40" w:after="40"/>
              <w:jc w:val="right"/>
              <w:rPr>
                <w:highlight w:val="yellow"/>
              </w:rPr>
            </w:pPr>
            <w:r w:rsidRPr="00261B7A">
              <w:rPr>
                <w:rFonts w:cs="Calibri"/>
                <w:color w:val="000000"/>
                <w:szCs w:val="16"/>
              </w:rPr>
              <w:t>22.4</w:t>
            </w:r>
          </w:p>
        </w:tc>
      </w:tr>
      <w:tr w:rsidR="00994F64" w:rsidRPr="00261B7A" w14:paraId="1B4E51A0" w14:textId="77777777" w:rsidTr="00501B0F">
        <w:trPr>
          <w:trHeight w:val="239"/>
        </w:trPr>
        <w:tc>
          <w:tcPr>
            <w:tcW w:w="988" w:type="dxa"/>
          </w:tcPr>
          <w:p w14:paraId="50088AE8" w14:textId="77777777" w:rsidR="00994F64" w:rsidRPr="00261B7A" w:rsidRDefault="00994F64" w:rsidP="00501B0F">
            <w:pPr>
              <w:pStyle w:val="TableText"/>
              <w:spacing w:before="40" w:after="40"/>
              <w:rPr>
                <w:rFonts w:cs="Calibri"/>
                <w:szCs w:val="16"/>
              </w:rPr>
            </w:pPr>
            <w:r w:rsidRPr="00261B7A">
              <w:rPr>
                <w:rFonts w:cs="Calibri"/>
                <w:szCs w:val="16"/>
              </w:rPr>
              <w:t>2015</w:t>
            </w:r>
          </w:p>
        </w:tc>
        <w:tc>
          <w:tcPr>
            <w:tcW w:w="1489" w:type="dxa"/>
            <w:vAlign w:val="center"/>
          </w:tcPr>
          <w:p w14:paraId="72C5BDF2" w14:textId="77777777" w:rsidR="00994F64" w:rsidRPr="00261B7A" w:rsidRDefault="00994F64" w:rsidP="00501B0F">
            <w:pPr>
              <w:pStyle w:val="TableText"/>
              <w:spacing w:before="40" w:after="40"/>
              <w:jc w:val="right"/>
              <w:rPr>
                <w:highlight w:val="yellow"/>
              </w:rPr>
            </w:pPr>
            <w:r w:rsidRPr="00261B7A">
              <w:rPr>
                <w:rFonts w:cs="Calibri"/>
                <w:color w:val="000000"/>
                <w:szCs w:val="16"/>
              </w:rPr>
              <w:t>74.7</w:t>
            </w:r>
          </w:p>
        </w:tc>
        <w:tc>
          <w:tcPr>
            <w:tcW w:w="1487" w:type="dxa"/>
            <w:vAlign w:val="center"/>
          </w:tcPr>
          <w:p w14:paraId="2714DAB0" w14:textId="77777777" w:rsidR="00994F64" w:rsidRPr="00261B7A" w:rsidRDefault="00994F64" w:rsidP="00501B0F">
            <w:pPr>
              <w:pStyle w:val="TableText"/>
              <w:spacing w:before="40" w:after="40"/>
              <w:jc w:val="right"/>
              <w:rPr>
                <w:highlight w:val="yellow"/>
              </w:rPr>
            </w:pPr>
            <w:r w:rsidRPr="00261B7A">
              <w:rPr>
                <w:rFonts w:cs="Calibri"/>
                <w:color w:val="000000"/>
                <w:szCs w:val="16"/>
              </w:rPr>
              <w:t>92.3</w:t>
            </w:r>
          </w:p>
        </w:tc>
        <w:tc>
          <w:tcPr>
            <w:tcW w:w="1487" w:type="dxa"/>
            <w:vAlign w:val="center"/>
          </w:tcPr>
          <w:p w14:paraId="66164975" w14:textId="77777777" w:rsidR="00994F64" w:rsidRPr="00261B7A" w:rsidRDefault="00994F64" w:rsidP="00501B0F">
            <w:pPr>
              <w:pStyle w:val="TableText"/>
              <w:spacing w:before="40" w:after="40"/>
              <w:jc w:val="right"/>
              <w:rPr>
                <w:highlight w:val="yellow"/>
              </w:rPr>
            </w:pPr>
            <w:r w:rsidRPr="00261B7A">
              <w:rPr>
                <w:color w:val="000000"/>
              </w:rPr>
              <w:t>60.1</w:t>
            </w:r>
          </w:p>
        </w:tc>
        <w:tc>
          <w:tcPr>
            <w:tcW w:w="1536" w:type="dxa"/>
            <w:vAlign w:val="center"/>
          </w:tcPr>
          <w:p w14:paraId="000CFE33" w14:textId="77777777" w:rsidR="00994F64" w:rsidRPr="00261B7A" w:rsidRDefault="00994F64" w:rsidP="00501B0F">
            <w:pPr>
              <w:pStyle w:val="TableText"/>
              <w:spacing w:before="40" w:after="40"/>
              <w:jc w:val="right"/>
              <w:rPr>
                <w:highlight w:val="yellow"/>
              </w:rPr>
            </w:pPr>
            <w:r w:rsidRPr="00261B7A">
              <w:rPr>
                <w:color w:val="000000"/>
              </w:rPr>
              <w:t>12.</w:t>
            </w:r>
            <w:r w:rsidRPr="00261B7A">
              <w:rPr>
                <w:rFonts w:cs="Calibri"/>
                <w:color w:val="000000"/>
              </w:rPr>
              <w:t>1</w:t>
            </w:r>
          </w:p>
        </w:tc>
        <w:tc>
          <w:tcPr>
            <w:tcW w:w="1518" w:type="dxa"/>
            <w:vAlign w:val="center"/>
          </w:tcPr>
          <w:p w14:paraId="0D80A533" w14:textId="77777777" w:rsidR="00994F64" w:rsidRPr="00261B7A" w:rsidRDefault="00994F64" w:rsidP="00501B0F">
            <w:pPr>
              <w:pStyle w:val="TableText"/>
              <w:spacing w:before="40" w:after="40"/>
              <w:jc w:val="right"/>
              <w:rPr>
                <w:highlight w:val="yellow"/>
              </w:rPr>
            </w:pPr>
            <w:r w:rsidRPr="00261B7A">
              <w:rPr>
                <w:rFonts w:cs="Calibri"/>
                <w:color w:val="000000"/>
                <w:szCs w:val="16"/>
              </w:rPr>
              <w:t>22.5</w:t>
            </w:r>
          </w:p>
        </w:tc>
      </w:tr>
      <w:tr w:rsidR="00994F64" w:rsidRPr="00261B7A" w14:paraId="6EE022CF" w14:textId="77777777" w:rsidTr="00501B0F">
        <w:trPr>
          <w:trHeight w:val="239"/>
        </w:trPr>
        <w:tc>
          <w:tcPr>
            <w:tcW w:w="988" w:type="dxa"/>
          </w:tcPr>
          <w:p w14:paraId="269E1BD2" w14:textId="77777777" w:rsidR="00994F64" w:rsidRPr="00261B7A" w:rsidRDefault="00994F64" w:rsidP="00501B0F">
            <w:pPr>
              <w:pStyle w:val="TableText"/>
              <w:spacing w:before="40" w:after="40"/>
              <w:rPr>
                <w:rFonts w:cs="Calibri"/>
                <w:szCs w:val="16"/>
              </w:rPr>
            </w:pPr>
            <w:r w:rsidRPr="00261B7A">
              <w:rPr>
                <w:rFonts w:cs="Calibri"/>
                <w:szCs w:val="16"/>
              </w:rPr>
              <w:t>2016</w:t>
            </w:r>
          </w:p>
        </w:tc>
        <w:tc>
          <w:tcPr>
            <w:tcW w:w="1489" w:type="dxa"/>
            <w:vAlign w:val="center"/>
          </w:tcPr>
          <w:p w14:paraId="1A9E0D80" w14:textId="77777777" w:rsidR="00994F64" w:rsidRPr="00261B7A" w:rsidRDefault="00994F64" w:rsidP="00501B0F">
            <w:pPr>
              <w:pStyle w:val="TableText"/>
              <w:spacing w:before="40" w:after="40"/>
              <w:jc w:val="right"/>
              <w:rPr>
                <w:highlight w:val="yellow"/>
              </w:rPr>
            </w:pPr>
            <w:r w:rsidRPr="00261B7A">
              <w:rPr>
                <w:rFonts w:cs="Calibri"/>
                <w:color w:val="000000"/>
                <w:szCs w:val="16"/>
              </w:rPr>
              <w:t>73.0</w:t>
            </w:r>
          </w:p>
        </w:tc>
        <w:tc>
          <w:tcPr>
            <w:tcW w:w="1487" w:type="dxa"/>
            <w:vAlign w:val="center"/>
          </w:tcPr>
          <w:p w14:paraId="3C78A28B" w14:textId="77777777" w:rsidR="00994F64" w:rsidRPr="00261B7A" w:rsidRDefault="00994F64" w:rsidP="00501B0F">
            <w:pPr>
              <w:pStyle w:val="TableText"/>
              <w:spacing w:before="40" w:after="40"/>
              <w:jc w:val="right"/>
              <w:rPr>
                <w:highlight w:val="yellow"/>
              </w:rPr>
            </w:pPr>
            <w:r w:rsidRPr="00261B7A">
              <w:rPr>
                <w:rFonts w:cs="Calibri"/>
                <w:color w:val="000000"/>
                <w:szCs w:val="16"/>
              </w:rPr>
              <w:t>93.4</w:t>
            </w:r>
          </w:p>
        </w:tc>
        <w:tc>
          <w:tcPr>
            <w:tcW w:w="1487" w:type="dxa"/>
            <w:vAlign w:val="center"/>
          </w:tcPr>
          <w:p w14:paraId="7B008D6D" w14:textId="77777777" w:rsidR="00994F64" w:rsidRPr="00261B7A" w:rsidRDefault="00994F64" w:rsidP="00501B0F">
            <w:pPr>
              <w:pStyle w:val="TableText"/>
              <w:spacing w:before="40" w:after="40"/>
              <w:jc w:val="right"/>
              <w:rPr>
                <w:highlight w:val="yellow"/>
              </w:rPr>
            </w:pPr>
            <w:r w:rsidRPr="00261B7A">
              <w:rPr>
                <w:rFonts w:cs="Calibri"/>
                <w:color w:val="000000"/>
                <w:szCs w:val="16"/>
              </w:rPr>
              <w:t>60</w:t>
            </w:r>
            <w:r w:rsidRPr="00261B7A">
              <w:rPr>
                <w:color w:val="000000"/>
              </w:rPr>
              <w:t>.6</w:t>
            </w:r>
          </w:p>
        </w:tc>
        <w:tc>
          <w:tcPr>
            <w:tcW w:w="1536" w:type="dxa"/>
            <w:vAlign w:val="center"/>
          </w:tcPr>
          <w:p w14:paraId="5F3E941E" w14:textId="77777777" w:rsidR="00994F64" w:rsidRPr="00261B7A" w:rsidRDefault="00994F64" w:rsidP="00501B0F">
            <w:pPr>
              <w:pStyle w:val="TableText"/>
              <w:spacing w:before="40" w:after="40"/>
              <w:jc w:val="right"/>
              <w:rPr>
                <w:highlight w:val="yellow"/>
              </w:rPr>
            </w:pPr>
            <w:r w:rsidRPr="00261B7A">
              <w:rPr>
                <w:color w:val="000000"/>
              </w:rPr>
              <w:t>12.</w:t>
            </w:r>
            <w:r w:rsidRPr="00261B7A">
              <w:rPr>
                <w:rFonts w:cs="Calibri"/>
                <w:color w:val="000000"/>
              </w:rPr>
              <w:t>3</w:t>
            </w:r>
          </w:p>
        </w:tc>
        <w:tc>
          <w:tcPr>
            <w:tcW w:w="1518" w:type="dxa"/>
            <w:vAlign w:val="center"/>
          </w:tcPr>
          <w:p w14:paraId="7EC5371C" w14:textId="77777777" w:rsidR="00994F64" w:rsidRPr="00261B7A" w:rsidRDefault="00994F64" w:rsidP="00501B0F">
            <w:pPr>
              <w:pStyle w:val="TableText"/>
              <w:spacing w:before="40" w:after="40"/>
              <w:jc w:val="right"/>
              <w:rPr>
                <w:highlight w:val="yellow"/>
              </w:rPr>
            </w:pPr>
            <w:r w:rsidRPr="00261B7A">
              <w:rPr>
                <w:color w:val="000000"/>
              </w:rPr>
              <w:t>23.0</w:t>
            </w:r>
          </w:p>
        </w:tc>
      </w:tr>
      <w:tr w:rsidR="00994F64" w:rsidRPr="00261B7A" w14:paraId="17422256" w14:textId="77777777" w:rsidTr="00501B0F">
        <w:trPr>
          <w:trHeight w:val="239"/>
        </w:trPr>
        <w:tc>
          <w:tcPr>
            <w:tcW w:w="988" w:type="dxa"/>
          </w:tcPr>
          <w:p w14:paraId="27A43FEF" w14:textId="77777777" w:rsidR="00994F64" w:rsidRPr="00261B7A" w:rsidRDefault="00994F64" w:rsidP="00501B0F">
            <w:pPr>
              <w:pStyle w:val="TableText"/>
              <w:spacing w:before="40" w:after="40"/>
              <w:rPr>
                <w:rFonts w:cs="Calibri"/>
                <w:szCs w:val="16"/>
              </w:rPr>
            </w:pPr>
            <w:r w:rsidRPr="00261B7A">
              <w:rPr>
                <w:rFonts w:cs="Calibri"/>
                <w:szCs w:val="16"/>
              </w:rPr>
              <w:t>2017</w:t>
            </w:r>
          </w:p>
        </w:tc>
        <w:tc>
          <w:tcPr>
            <w:tcW w:w="1489" w:type="dxa"/>
            <w:vAlign w:val="center"/>
          </w:tcPr>
          <w:p w14:paraId="63357A7B" w14:textId="77777777" w:rsidR="00994F64" w:rsidRPr="00261B7A" w:rsidRDefault="00994F64" w:rsidP="00501B0F">
            <w:pPr>
              <w:pStyle w:val="TableText"/>
              <w:spacing w:before="40" w:after="40"/>
              <w:jc w:val="right"/>
              <w:rPr>
                <w:highlight w:val="yellow"/>
              </w:rPr>
            </w:pPr>
            <w:r w:rsidRPr="00261B7A">
              <w:rPr>
                <w:rFonts w:cs="Calibri"/>
                <w:color w:val="000000"/>
                <w:szCs w:val="16"/>
              </w:rPr>
              <w:t>75.5</w:t>
            </w:r>
          </w:p>
        </w:tc>
        <w:tc>
          <w:tcPr>
            <w:tcW w:w="1487" w:type="dxa"/>
            <w:vAlign w:val="center"/>
          </w:tcPr>
          <w:p w14:paraId="15A8A58A" w14:textId="77777777" w:rsidR="00994F64" w:rsidRPr="00261B7A" w:rsidRDefault="00994F64" w:rsidP="00501B0F">
            <w:pPr>
              <w:pStyle w:val="TableText"/>
              <w:spacing w:before="40" w:after="40"/>
              <w:jc w:val="right"/>
              <w:rPr>
                <w:highlight w:val="yellow"/>
              </w:rPr>
            </w:pPr>
            <w:r w:rsidRPr="00261B7A">
              <w:rPr>
                <w:rFonts w:cs="Calibri"/>
                <w:color w:val="000000"/>
                <w:szCs w:val="16"/>
              </w:rPr>
              <w:t>91.3</w:t>
            </w:r>
          </w:p>
        </w:tc>
        <w:tc>
          <w:tcPr>
            <w:tcW w:w="1487" w:type="dxa"/>
            <w:vAlign w:val="center"/>
          </w:tcPr>
          <w:p w14:paraId="01E36558" w14:textId="77777777" w:rsidR="00994F64" w:rsidRPr="00261B7A" w:rsidRDefault="00994F64" w:rsidP="00501B0F">
            <w:pPr>
              <w:pStyle w:val="TableText"/>
              <w:spacing w:before="40" w:after="40"/>
              <w:jc w:val="right"/>
              <w:rPr>
                <w:highlight w:val="yellow"/>
              </w:rPr>
            </w:pPr>
            <w:r w:rsidRPr="00261B7A">
              <w:rPr>
                <w:rFonts w:cs="Calibri"/>
                <w:color w:val="000000"/>
                <w:szCs w:val="16"/>
              </w:rPr>
              <w:t>60</w:t>
            </w:r>
            <w:r w:rsidRPr="00261B7A">
              <w:rPr>
                <w:color w:val="000000"/>
              </w:rPr>
              <w:t>.2</w:t>
            </w:r>
          </w:p>
        </w:tc>
        <w:tc>
          <w:tcPr>
            <w:tcW w:w="1536" w:type="dxa"/>
            <w:vAlign w:val="center"/>
          </w:tcPr>
          <w:p w14:paraId="0BB39C04" w14:textId="77777777" w:rsidR="00994F64" w:rsidRPr="00261B7A" w:rsidRDefault="00994F64" w:rsidP="00501B0F">
            <w:pPr>
              <w:pStyle w:val="TableText"/>
              <w:spacing w:before="40" w:after="40"/>
              <w:jc w:val="right"/>
              <w:rPr>
                <w:highlight w:val="yellow"/>
              </w:rPr>
            </w:pPr>
            <w:r w:rsidRPr="00261B7A">
              <w:rPr>
                <w:color w:val="000000"/>
              </w:rPr>
              <w:t>12.</w:t>
            </w:r>
            <w:r w:rsidRPr="00261B7A">
              <w:rPr>
                <w:rFonts w:cs="Calibri"/>
                <w:color w:val="000000"/>
              </w:rPr>
              <w:t>3</w:t>
            </w:r>
          </w:p>
        </w:tc>
        <w:tc>
          <w:tcPr>
            <w:tcW w:w="1518" w:type="dxa"/>
            <w:vAlign w:val="center"/>
          </w:tcPr>
          <w:p w14:paraId="0474FE08" w14:textId="77777777" w:rsidR="00994F64" w:rsidRPr="00261B7A" w:rsidRDefault="00994F64" w:rsidP="00501B0F">
            <w:pPr>
              <w:pStyle w:val="TableText"/>
              <w:tabs>
                <w:tab w:val="left" w:pos="402"/>
                <w:tab w:val="center" w:pos="643"/>
              </w:tabs>
              <w:spacing w:before="40" w:after="40"/>
              <w:jc w:val="right"/>
              <w:rPr>
                <w:highlight w:val="yellow"/>
              </w:rPr>
            </w:pPr>
            <w:r w:rsidRPr="00261B7A">
              <w:rPr>
                <w:rFonts w:cs="Calibri"/>
                <w:color w:val="000000"/>
                <w:szCs w:val="16"/>
              </w:rPr>
              <w:t>22.9</w:t>
            </w:r>
          </w:p>
        </w:tc>
      </w:tr>
      <w:tr w:rsidR="00994F64" w:rsidRPr="00261B7A" w14:paraId="76865E7E" w14:textId="77777777" w:rsidTr="00501B0F">
        <w:trPr>
          <w:trHeight w:val="239"/>
        </w:trPr>
        <w:tc>
          <w:tcPr>
            <w:tcW w:w="988" w:type="dxa"/>
          </w:tcPr>
          <w:p w14:paraId="5F2BF29E" w14:textId="77777777" w:rsidR="00994F64" w:rsidRPr="00261B7A" w:rsidRDefault="00994F64" w:rsidP="00501B0F">
            <w:pPr>
              <w:pStyle w:val="TableText"/>
              <w:spacing w:before="40" w:after="40"/>
              <w:rPr>
                <w:rFonts w:cs="Calibri"/>
                <w:szCs w:val="16"/>
              </w:rPr>
            </w:pPr>
            <w:r w:rsidRPr="00261B7A">
              <w:rPr>
                <w:rFonts w:cs="Calibri"/>
                <w:szCs w:val="16"/>
              </w:rPr>
              <w:t>2018</w:t>
            </w:r>
          </w:p>
        </w:tc>
        <w:tc>
          <w:tcPr>
            <w:tcW w:w="1489" w:type="dxa"/>
            <w:vAlign w:val="center"/>
          </w:tcPr>
          <w:p w14:paraId="3407853F" w14:textId="77777777" w:rsidR="00994F64" w:rsidRPr="00261B7A" w:rsidRDefault="00994F64" w:rsidP="00501B0F">
            <w:pPr>
              <w:pStyle w:val="TableText"/>
              <w:spacing w:before="40" w:after="40"/>
              <w:jc w:val="right"/>
              <w:rPr>
                <w:highlight w:val="yellow"/>
              </w:rPr>
            </w:pPr>
            <w:r w:rsidRPr="00261B7A">
              <w:rPr>
                <w:rFonts w:cs="Calibri"/>
                <w:color w:val="000000"/>
                <w:szCs w:val="16"/>
              </w:rPr>
              <w:t>76.3</w:t>
            </w:r>
          </w:p>
        </w:tc>
        <w:tc>
          <w:tcPr>
            <w:tcW w:w="1487" w:type="dxa"/>
            <w:vAlign w:val="center"/>
          </w:tcPr>
          <w:p w14:paraId="1F8F804E" w14:textId="77777777" w:rsidR="00994F64" w:rsidRPr="00261B7A" w:rsidRDefault="00994F64" w:rsidP="00501B0F">
            <w:pPr>
              <w:pStyle w:val="TableText"/>
              <w:spacing w:before="40" w:after="40"/>
              <w:jc w:val="right"/>
              <w:rPr>
                <w:highlight w:val="yellow"/>
              </w:rPr>
            </w:pPr>
            <w:r w:rsidRPr="00261B7A">
              <w:rPr>
                <w:rFonts w:cs="Calibri"/>
                <w:color w:val="000000"/>
                <w:szCs w:val="16"/>
              </w:rPr>
              <w:t>94.8</w:t>
            </w:r>
          </w:p>
        </w:tc>
        <w:tc>
          <w:tcPr>
            <w:tcW w:w="1487" w:type="dxa"/>
            <w:vAlign w:val="center"/>
          </w:tcPr>
          <w:p w14:paraId="5F39EF93" w14:textId="77777777" w:rsidR="00994F64" w:rsidRPr="00261B7A" w:rsidRDefault="00994F64" w:rsidP="00501B0F">
            <w:pPr>
              <w:pStyle w:val="TableText"/>
              <w:spacing w:before="40" w:after="40"/>
              <w:jc w:val="right"/>
              <w:rPr>
                <w:highlight w:val="yellow"/>
              </w:rPr>
            </w:pPr>
            <w:r w:rsidRPr="00261B7A">
              <w:rPr>
                <w:color w:val="000000"/>
              </w:rPr>
              <w:t>59.</w:t>
            </w:r>
            <w:r w:rsidRPr="00261B7A">
              <w:rPr>
                <w:rFonts w:cs="Calibri"/>
                <w:color w:val="000000"/>
                <w:szCs w:val="16"/>
              </w:rPr>
              <w:t>2</w:t>
            </w:r>
          </w:p>
        </w:tc>
        <w:tc>
          <w:tcPr>
            <w:tcW w:w="1536" w:type="dxa"/>
            <w:vAlign w:val="center"/>
          </w:tcPr>
          <w:p w14:paraId="4CA8BFEE" w14:textId="77777777" w:rsidR="00994F64" w:rsidRPr="00261B7A" w:rsidRDefault="00994F64" w:rsidP="00501B0F">
            <w:pPr>
              <w:pStyle w:val="TableText"/>
              <w:spacing w:before="40" w:after="40"/>
              <w:jc w:val="right"/>
              <w:rPr>
                <w:highlight w:val="yellow"/>
              </w:rPr>
            </w:pPr>
            <w:r w:rsidRPr="00261B7A">
              <w:rPr>
                <w:color w:val="000000"/>
              </w:rPr>
              <w:t>12.</w:t>
            </w:r>
            <w:r w:rsidRPr="00261B7A">
              <w:rPr>
                <w:rFonts w:cs="Calibri"/>
                <w:color w:val="000000"/>
              </w:rPr>
              <w:t>5</w:t>
            </w:r>
          </w:p>
        </w:tc>
        <w:tc>
          <w:tcPr>
            <w:tcW w:w="1518" w:type="dxa"/>
            <w:vAlign w:val="center"/>
          </w:tcPr>
          <w:p w14:paraId="00D7EC06" w14:textId="77777777" w:rsidR="00994F64" w:rsidRPr="00261B7A" w:rsidRDefault="00994F64" w:rsidP="00501B0F">
            <w:pPr>
              <w:pStyle w:val="TableText"/>
              <w:tabs>
                <w:tab w:val="left" w:pos="402"/>
                <w:tab w:val="center" w:pos="643"/>
              </w:tabs>
              <w:spacing w:before="40" w:after="40"/>
              <w:jc w:val="right"/>
              <w:rPr>
                <w:highlight w:val="yellow"/>
              </w:rPr>
            </w:pPr>
            <w:r w:rsidRPr="00261B7A">
              <w:rPr>
                <w:rFonts w:cs="Calibri"/>
                <w:color w:val="000000"/>
                <w:szCs w:val="16"/>
              </w:rPr>
              <w:t>22.9</w:t>
            </w:r>
          </w:p>
        </w:tc>
      </w:tr>
      <w:tr w:rsidR="00994F64" w:rsidRPr="00261B7A" w14:paraId="6A2200C7" w14:textId="77777777" w:rsidTr="00501B0F">
        <w:trPr>
          <w:trHeight w:val="239"/>
        </w:trPr>
        <w:tc>
          <w:tcPr>
            <w:tcW w:w="988" w:type="dxa"/>
          </w:tcPr>
          <w:p w14:paraId="1BE41072" w14:textId="77777777" w:rsidR="00994F64" w:rsidRPr="00261B7A" w:rsidRDefault="00994F64" w:rsidP="00501B0F">
            <w:pPr>
              <w:pStyle w:val="TableText"/>
              <w:spacing w:before="40" w:after="40"/>
              <w:rPr>
                <w:rFonts w:cs="Calibri"/>
                <w:szCs w:val="16"/>
              </w:rPr>
            </w:pPr>
            <w:r w:rsidRPr="00261B7A">
              <w:rPr>
                <w:rFonts w:cs="Calibri"/>
                <w:szCs w:val="16"/>
              </w:rPr>
              <w:t>2019</w:t>
            </w:r>
          </w:p>
        </w:tc>
        <w:tc>
          <w:tcPr>
            <w:tcW w:w="1489" w:type="dxa"/>
            <w:vAlign w:val="center"/>
          </w:tcPr>
          <w:p w14:paraId="1757B06C" w14:textId="77777777" w:rsidR="00994F64" w:rsidRPr="00261B7A" w:rsidRDefault="00994F64" w:rsidP="00501B0F">
            <w:pPr>
              <w:pStyle w:val="TableText"/>
              <w:spacing w:before="40" w:after="40"/>
              <w:jc w:val="right"/>
              <w:rPr>
                <w:highlight w:val="yellow"/>
              </w:rPr>
            </w:pPr>
            <w:r w:rsidRPr="00261B7A">
              <w:rPr>
                <w:rFonts w:cs="Calibri"/>
                <w:color w:val="000000"/>
                <w:szCs w:val="16"/>
              </w:rPr>
              <w:t>77.4</w:t>
            </w:r>
          </w:p>
        </w:tc>
        <w:tc>
          <w:tcPr>
            <w:tcW w:w="1487" w:type="dxa"/>
            <w:vAlign w:val="center"/>
          </w:tcPr>
          <w:p w14:paraId="1A17CBE5" w14:textId="77777777" w:rsidR="00994F64" w:rsidRPr="00261B7A" w:rsidRDefault="00994F64" w:rsidP="00501B0F">
            <w:pPr>
              <w:pStyle w:val="TableText"/>
              <w:spacing w:before="40" w:after="40"/>
              <w:jc w:val="right"/>
              <w:rPr>
                <w:highlight w:val="yellow"/>
              </w:rPr>
            </w:pPr>
            <w:r w:rsidRPr="00261B7A">
              <w:rPr>
                <w:rFonts w:cs="Calibri"/>
                <w:color w:val="000000"/>
                <w:szCs w:val="16"/>
              </w:rPr>
              <w:t>94.9</w:t>
            </w:r>
          </w:p>
        </w:tc>
        <w:tc>
          <w:tcPr>
            <w:tcW w:w="1487" w:type="dxa"/>
            <w:vAlign w:val="center"/>
          </w:tcPr>
          <w:p w14:paraId="1DF5CD8F" w14:textId="77777777" w:rsidR="00994F64" w:rsidRPr="00261B7A" w:rsidRDefault="00994F64" w:rsidP="00501B0F">
            <w:pPr>
              <w:pStyle w:val="TableText"/>
              <w:spacing w:before="40" w:after="40"/>
              <w:jc w:val="right"/>
              <w:rPr>
                <w:highlight w:val="yellow"/>
              </w:rPr>
            </w:pPr>
            <w:r w:rsidRPr="00261B7A">
              <w:rPr>
                <w:rFonts w:cs="Calibri"/>
                <w:color w:val="000000"/>
                <w:szCs w:val="16"/>
              </w:rPr>
              <w:t>59</w:t>
            </w:r>
            <w:r w:rsidRPr="00261B7A">
              <w:rPr>
                <w:color w:val="000000"/>
              </w:rPr>
              <w:t>.8</w:t>
            </w:r>
          </w:p>
        </w:tc>
        <w:tc>
          <w:tcPr>
            <w:tcW w:w="1536" w:type="dxa"/>
            <w:vAlign w:val="center"/>
          </w:tcPr>
          <w:p w14:paraId="79DBB7B8" w14:textId="77777777" w:rsidR="00994F64" w:rsidRPr="00261B7A" w:rsidRDefault="00994F64" w:rsidP="00501B0F">
            <w:pPr>
              <w:pStyle w:val="TableText"/>
              <w:spacing w:before="40" w:after="40"/>
              <w:jc w:val="right"/>
              <w:rPr>
                <w:highlight w:val="yellow"/>
              </w:rPr>
            </w:pPr>
            <w:r w:rsidRPr="00261B7A">
              <w:rPr>
                <w:color w:val="000000"/>
              </w:rPr>
              <w:t>12.</w:t>
            </w:r>
            <w:r w:rsidRPr="00261B7A">
              <w:rPr>
                <w:rFonts w:cs="Calibri"/>
                <w:color w:val="000000"/>
              </w:rPr>
              <w:t>5</w:t>
            </w:r>
          </w:p>
        </w:tc>
        <w:tc>
          <w:tcPr>
            <w:tcW w:w="1518" w:type="dxa"/>
            <w:vAlign w:val="center"/>
          </w:tcPr>
          <w:p w14:paraId="7D2406B3" w14:textId="77777777" w:rsidR="00994F64" w:rsidRPr="00261B7A" w:rsidRDefault="00994F64" w:rsidP="00501B0F">
            <w:pPr>
              <w:pStyle w:val="TableText"/>
              <w:tabs>
                <w:tab w:val="left" w:pos="402"/>
                <w:tab w:val="center" w:pos="643"/>
              </w:tabs>
              <w:spacing w:before="40" w:after="40"/>
              <w:jc w:val="right"/>
              <w:rPr>
                <w:highlight w:val="yellow"/>
              </w:rPr>
            </w:pPr>
            <w:r w:rsidRPr="00261B7A">
              <w:rPr>
                <w:rFonts w:cs="Calibri"/>
                <w:color w:val="000000"/>
                <w:szCs w:val="16"/>
              </w:rPr>
              <w:t>23</w:t>
            </w:r>
            <w:r w:rsidRPr="00261B7A">
              <w:rPr>
                <w:color w:val="000000"/>
              </w:rPr>
              <w:t>.4</w:t>
            </w:r>
          </w:p>
        </w:tc>
      </w:tr>
      <w:tr w:rsidR="00994F64" w:rsidRPr="00261B7A" w14:paraId="56522EDC" w14:textId="77777777" w:rsidTr="00501B0F">
        <w:trPr>
          <w:trHeight w:val="239"/>
        </w:trPr>
        <w:tc>
          <w:tcPr>
            <w:tcW w:w="988" w:type="dxa"/>
          </w:tcPr>
          <w:p w14:paraId="3584C6F5" w14:textId="77777777" w:rsidR="00994F64" w:rsidRPr="00261B7A" w:rsidRDefault="00994F64" w:rsidP="00501B0F">
            <w:pPr>
              <w:pStyle w:val="TableText"/>
              <w:spacing w:before="40" w:after="40"/>
              <w:rPr>
                <w:rFonts w:cs="Calibri"/>
                <w:szCs w:val="16"/>
              </w:rPr>
            </w:pPr>
            <w:r w:rsidRPr="00261B7A">
              <w:rPr>
                <w:rFonts w:cs="Calibri"/>
                <w:szCs w:val="16"/>
              </w:rPr>
              <w:t>2020</w:t>
            </w:r>
          </w:p>
        </w:tc>
        <w:tc>
          <w:tcPr>
            <w:tcW w:w="1489" w:type="dxa"/>
            <w:vAlign w:val="center"/>
          </w:tcPr>
          <w:p w14:paraId="41D177BA" w14:textId="77777777" w:rsidR="00994F64" w:rsidRPr="00261B7A" w:rsidRDefault="00994F64" w:rsidP="00501B0F">
            <w:pPr>
              <w:pStyle w:val="TableText"/>
              <w:spacing w:before="40" w:after="40"/>
              <w:jc w:val="right"/>
              <w:rPr>
                <w:highlight w:val="yellow"/>
              </w:rPr>
            </w:pPr>
            <w:r w:rsidRPr="00261B7A">
              <w:rPr>
                <w:rFonts w:cs="Calibri"/>
                <w:color w:val="000000"/>
                <w:szCs w:val="16"/>
              </w:rPr>
              <w:t>78.6</w:t>
            </w:r>
          </w:p>
        </w:tc>
        <w:tc>
          <w:tcPr>
            <w:tcW w:w="1487" w:type="dxa"/>
            <w:vAlign w:val="center"/>
          </w:tcPr>
          <w:p w14:paraId="1BEAE26E" w14:textId="77777777" w:rsidR="00994F64" w:rsidRPr="00261B7A" w:rsidRDefault="00994F64" w:rsidP="00501B0F">
            <w:pPr>
              <w:pStyle w:val="TableText"/>
              <w:spacing w:before="40" w:after="40"/>
              <w:jc w:val="right"/>
              <w:rPr>
                <w:highlight w:val="yellow"/>
              </w:rPr>
            </w:pPr>
            <w:r w:rsidRPr="00261B7A">
              <w:rPr>
                <w:rFonts w:cs="Calibri"/>
                <w:color w:val="000000"/>
                <w:szCs w:val="16"/>
              </w:rPr>
              <w:t>96.6</w:t>
            </w:r>
          </w:p>
        </w:tc>
        <w:tc>
          <w:tcPr>
            <w:tcW w:w="1487" w:type="dxa"/>
            <w:vAlign w:val="center"/>
          </w:tcPr>
          <w:p w14:paraId="1CFD50DB" w14:textId="77777777" w:rsidR="00994F64" w:rsidRPr="00261B7A" w:rsidRDefault="00994F64" w:rsidP="00501B0F">
            <w:pPr>
              <w:pStyle w:val="TableText"/>
              <w:spacing w:before="40" w:after="40"/>
              <w:jc w:val="right"/>
              <w:rPr>
                <w:highlight w:val="yellow"/>
              </w:rPr>
            </w:pPr>
            <w:r w:rsidRPr="00261B7A">
              <w:rPr>
                <w:rFonts w:cs="Calibri"/>
                <w:color w:val="000000"/>
                <w:szCs w:val="16"/>
              </w:rPr>
              <w:t>60.8</w:t>
            </w:r>
          </w:p>
        </w:tc>
        <w:tc>
          <w:tcPr>
            <w:tcW w:w="1536" w:type="dxa"/>
            <w:vAlign w:val="center"/>
          </w:tcPr>
          <w:p w14:paraId="3D13B28E" w14:textId="77777777" w:rsidR="00994F64" w:rsidRPr="00261B7A" w:rsidRDefault="00994F64" w:rsidP="00501B0F">
            <w:pPr>
              <w:pStyle w:val="TableText"/>
              <w:spacing w:before="40" w:after="40"/>
              <w:jc w:val="right"/>
              <w:rPr>
                <w:highlight w:val="yellow"/>
              </w:rPr>
            </w:pPr>
            <w:r w:rsidRPr="00261B7A">
              <w:rPr>
                <w:color w:val="000000"/>
              </w:rPr>
              <w:t>12.</w:t>
            </w:r>
            <w:r w:rsidRPr="00261B7A">
              <w:rPr>
                <w:rFonts w:cs="Calibri"/>
                <w:color w:val="000000"/>
              </w:rPr>
              <w:t>5</w:t>
            </w:r>
          </w:p>
        </w:tc>
        <w:tc>
          <w:tcPr>
            <w:tcW w:w="1518" w:type="dxa"/>
            <w:vAlign w:val="center"/>
          </w:tcPr>
          <w:p w14:paraId="37B5D8FD" w14:textId="77777777" w:rsidR="00994F64" w:rsidRPr="00261B7A" w:rsidRDefault="00994F64" w:rsidP="00501B0F">
            <w:pPr>
              <w:pStyle w:val="TableText"/>
              <w:tabs>
                <w:tab w:val="left" w:pos="402"/>
                <w:tab w:val="center" w:pos="643"/>
              </w:tabs>
              <w:spacing w:before="40" w:after="40"/>
              <w:jc w:val="right"/>
              <w:rPr>
                <w:highlight w:val="yellow"/>
              </w:rPr>
            </w:pPr>
            <w:r w:rsidRPr="00261B7A">
              <w:rPr>
                <w:color w:val="000000"/>
              </w:rPr>
              <w:t>23.</w:t>
            </w:r>
            <w:r w:rsidRPr="00261B7A">
              <w:rPr>
                <w:rFonts w:cs="Calibri"/>
                <w:color w:val="000000"/>
                <w:szCs w:val="16"/>
              </w:rPr>
              <w:t>1</w:t>
            </w:r>
          </w:p>
        </w:tc>
      </w:tr>
      <w:tr w:rsidR="00994F64" w:rsidRPr="00261B7A" w14:paraId="00972563" w14:textId="77777777" w:rsidTr="00501B0F">
        <w:trPr>
          <w:trHeight w:val="239"/>
        </w:trPr>
        <w:tc>
          <w:tcPr>
            <w:tcW w:w="988" w:type="dxa"/>
          </w:tcPr>
          <w:p w14:paraId="29DC9CAB" w14:textId="77777777" w:rsidR="00994F64" w:rsidRPr="00261B7A" w:rsidRDefault="00994F64" w:rsidP="00501B0F">
            <w:pPr>
              <w:pStyle w:val="TableText"/>
              <w:spacing w:before="40" w:after="40"/>
              <w:rPr>
                <w:rFonts w:cs="Calibri"/>
                <w:szCs w:val="16"/>
              </w:rPr>
            </w:pPr>
            <w:r w:rsidRPr="00261B7A">
              <w:rPr>
                <w:rFonts w:cs="Calibri"/>
                <w:szCs w:val="16"/>
              </w:rPr>
              <w:t>2021</w:t>
            </w:r>
          </w:p>
        </w:tc>
        <w:tc>
          <w:tcPr>
            <w:tcW w:w="1489" w:type="dxa"/>
            <w:vAlign w:val="center"/>
          </w:tcPr>
          <w:p w14:paraId="0F73116F" w14:textId="77777777" w:rsidR="00994F64" w:rsidRPr="00261B7A" w:rsidRDefault="00994F64" w:rsidP="00501B0F">
            <w:pPr>
              <w:pStyle w:val="TableText"/>
              <w:spacing w:before="40" w:after="40"/>
              <w:jc w:val="right"/>
              <w:rPr>
                <w:rFonts w:cs="Calibri"/>
                <w:szCs w:val="16"/>
              </w:rPr>
            </w:pPr>
            <w:r w:rsidRPr="00261B7A">
              <w:rPr>
                <w:rFonts w:cs="Calibri"/>
                <w:color w:val="000000"/>
                <w:szCs w:val="16"/>
              </w:rPr>
              <w:t>79.4</w:t>
            </w:r>
          </w:p>
        </w:tc>
        <w:tc>
          <w:tcPr>
            <w:tcW w:w="1487" w:type="dxa"/>
            <w:vAlign w:val="center"/>
          </w:tcPr>
          <w:p w14:paraId="4C708379" w14:textId="77777777" w:rsidR="00994F64" w:rsidRPr="00261B7A" w:rsidRDefault="00994F64" w:rsidP="00501B0F">
            <w:pPr>
              <w:pStyle w:val="TableText"/>
              <w:spacing w:before="40" w:after="40"/>
              <w:jc w:val="right"/>
              <w:rPr>
                <w:rFonts w:cs="Calibri"/>
                <w:szCs w:val="16"/>
              </w:rPr>
            </w:pPr>
            <w:r w:rsidRPr="00261B7A">
              <w:rPr>
                <w:rFonts w:cs="Calibri"/>
                <w:color w:val="000000"/>
                <w:szCs w:val="16"/>
              </w:rPr>
              <w:t>97.0</w:t>
            </w:r>
          </w:p>
        </w:tc>
        <w:tc>
          <w:tcPr>
            <w:tcW w:w="1487" w:type="dxa"/>
            <w:vAlign w:val="center"/>
          </w:tcPr>
          <w:p w14:paraId="1370A2FC" w14:textId="77777777" w:rsidR="00994F64" w:rsidRPr="00261B7A" w:rsidRDefault="00994F64" w:rsidP="00501B0F">
            <w:pPr>
              <w:pStyle w:val="TableText"/>
              <w:spacing w:before="40" w:after="40"/>
              <w:jc w:val="right"/>
              <w:rPr>
                <w:rFonts w:cs="Calibri"/>
                <w:szCs w:val="16"/>
              </w:rPr>
            </w:pPr>
            <w:r w:rsidRPr="00261B7A">
              <w:rPr>
                <w:rFonts w:cs="Calibri"/>
                <w:color w:val="000000"/>
                <w:szCs w:val="16"/>
              </w:rPr>
              <w:t>60.0</w:t>
            </w:r>
          </w:p>
        </w:tc>
        <w:tc>
          <w:tcPr>
            <w:tcW w:w="1536" w:type="dxa"/>
            <w:vAlign w:val="center"/>
          </w:tcPr>
          <w:p w14:paraId="632951D8" w14:textId="77777777" w:rsidR="00994F64" w:rsidRPr="00261B7A" w:rsidRDefault="00994F64" w:rsidP="00501B0F">
            <w:pPr>
              <w:pStyle w:val="TableText"/>
              <w:spacing w:before="40" w:after="40"/>
              <w:jc w:val="right"/>
              <w:rPr>
                <w:rFonts w:cs="Calibri"/>
              </w:rPr>
            </w:pPr>
            <w:r w:rsidRPr="00261B7A">
              <w:rPr>
                <w:rFonts w:cs="Calibri"/>
                <w:color w:val="000000"/>
              </w:rPr>
              <w:t>12.5</w:t>
            </w:r>
          </w:p>
        </w:tc>
        <w:tc>
          <w:tcPr>
            <w:tcW w:w="1518" w:type="dxa"/>
            <w:vAlign w:val="center"/>
          </w:tcPr>
          <w:p w14:paraId="4335C36E" w14:textId="77777777" w:rsidR="00994F64" w:rsidRPr="00261B7A" w:rsidRDefault="00994F64" w:rsidP="00501B0F">
            <w:pPr>
              <w:pStyle w:val="TableText"/>
              <w:tabs>
                <w:tab w:val="left" w:pos="402"/>
                <w:tab w:val="center" w:pos="643"/>
              </w:tabs>
              <w:spacing w:before="40" w:after="40"/>
              <w:jc w:val="right"/>
              <w:rPr>
                <w:rFonts w:cs="Calibri"/>
                <w:szCs w:val="16"/>
              </w:rPr>
            </w:pPr>
            <w:r w:rsidRPr="00261B7A">
              <w:rPr>
                <w:rFonts w:cs="Calibri"/>
                <w:color w:val="000000"/>
                <w:szCs w:val="16"/>
              </w:rPr>
              <w:t>23.0</w:t>
            </w:r>
          </w:p>
        </w:tc>
      </w:tr>
    </w:tbl>
    <w:p w14:paraId="4181F2F3" w14:textId="77777777" w:rsidR="00994F64" w:rsidRPr="00261B7A" w:rsidRDefault="00994F64" w:rsidP="00994F64">
      <w:pPr>
        <w:pStyle w:val="Heading4"/>
        <w:spacing w:before="360"/>
      </w:pPr>
      <w:r w:rsidRPr="00261B7A">
        <w:t>Emissions from minor livestock categories</w:t>
      </w:r>
    </w:p>
    <w:p w14:paraId="31521FA8" w14:textId="77777777" w:rsidR="00994F64" w:rsidRPr="00261B7A" w:rsidRDefault="00994F64" w:rsidP="00994F64">
      <w:pPr>
        <w:pStyle w:val="BodyText"/>
      </w:pPr>
      <w:r w:rsidRPr="00261B7A">
        <w:t xml:space="preserve">A Tier 1 approach is adopted for the minor livestock categories of </w:t>
      </w:r>
      <w:r w:rsidRPr="00261B7A">
        <w:rPr>
          <w:i/>
          <w:iCs/>
        </w:rPr>
        <w:t>Goats</w:t>
      </w:r>
      <w:r w:rsidRPr="00261B7A">
        <w:t xml:space="preserve">, </w:t>
      </w:r>
      <w:r w:rsidRPr="00261B7A">
        <w:rPr>
          <w:i/>
          <w:iCs/>
        </w:rPr>
        <w:t>Horses</w:t>
      </w:r>
      <w:r w:rsidRPr="00261B7A">
        <w:t xml:space="preserve">, </w:t>
      </w:r>
      <w:r w:rsidRPr="00261B7A">
        <w:rPr>
          <w:i/>
          <w:iCs/>
        </w:rPr>
        <w:t>Swine</w:t>
      </w:r>
      <w:r w:rsidRPr="00261B7A">
        <w:t xml:space="preserve">, </w:t>
      </w:r>
      <w:r w:rsidRPr="00261B7A">
        <w:rPr>
          <w:i/>
          <w:iCs/>
        </w:rPr>
        <w:t>Llamas and alpacas</w:t>
      </w:r>
      <w:r w:rsidRPr="00261B7A">
        <w:t xml:space="preserve">, and </w:t>
      </w:r>
      <w:r w:rsidRPr="00261B7A">
        <w:rPr>
          <w:i/>
          <w:iCs/>
        </w:rPr>
        <w:t>Mules and asses</w:t>
      </w:r>
      <w:r w:rsidRPr="00261B7A">
        <w:t xml:space="preserve">, using either IPCC (2006) default emission factors (horses, alpacas, and mules and asses) or New Zealand country-specific emission factors (goats and swine). These minor livestock species comprised 0.2 per cent of the total </w:t>
      </w:r>
      <w:r w:rsidRPr="00261B7A">
        <w:rPr>
          <w:i/>
          <w:iCs/>
        </w:rPr>
        <w:t>Enteric fermentation</w:t>
      </w:r>
      <w:r w:rsidRPr="00261B7A">
        <w:t xml:space="preserve"> emissions in 2021. The populations of goats, horses, pigs, alpacas, and mules and asses are reported using the statistics and assumptions described in section 5.1.4.</w:t>
      </w:r>
    </w:p>
    <w:p w14:paraId="36954AFF" w14:textId="0CDBFCC8" w:rsidR="00994F64" w:rsidRPr="00261B7A" w:rsidRDefault="00994F64" w:rsidP="00994F64">
      <w:pPr>
        <w:pStyle w:val="BodyText"/>
      </w:pPr>
      <w:r w:rsidRPr="00261B7A">
        <w:rPr>
          <w:b/>
          <w:bCs/>
          <w:i/>
          <w:iCs/>
        </w:rPr>
        <w:t>Goats:</w:t>
      </w:r>
      <w:r w:rsidRPr="00261B7A">
        <w:t xml:space="preserve"> From 1990 to 2021, the goat population declined from 1,062,900 to 116,666. This was largely driven by a decrease in demand for goat fibre and meat. New Zealand uses a country-specific emission factor for goats for enteric fermentation of 7.4 kg CH</w:t>
      </w:r>
      <w:r w:rsidRPr="00261B7A">
        <w:rPr>
          <w:vertAlign w:val="subscript"/>
        </w:rPr>
        <w:t>4</w:t>
      </w:r>
      <w:r w:rsidRPr="00261B7A">
        <w:t xml:space="preserve"> head</w:t>
      </w:r>
      <w:r w:rsidRPr="00261B7A">
        <w:rPr>
          <w:vertAlign w:val="superscript"/>
        </w:rPr>
        <w:t>-1</w:t>
      </w:r>
      <w:r w:rsidRPr="00261B7A">
        <w:t xml:space="preserve"> year</w:t>
      </w:r>
      <w:r w:rsidRPr="00261B7A">
        <w:rPr>
          <w:vertAlign w:val="superscript"/>
        </w:rPr>
        <w:t>-1</w:t>
      </w:r>
      <w:r w:rsidRPr="00261B7A">
        <w:t xml:space="preserve"> for 1990 and 8.5 kg CH</w:t>
      </w:r>
      <w:r w:rsidRPr="00261B7A">
        <w:rPr>
          <w:vertAlign w:val="subscript"/>
        </w:rPr>
        <w:t>4</w:t>
      </w:r>
      <w:r w:rsidRPr="00261B7A">
        <w:t xml:space="preserve"> head</w:t>
      </w:r>
      <w:r w:rsidRPr="00261B7A">
        <w:rPr>
          <w:vertAlign w:val="superscript"/>
        </w:rPr>
        <w:t>-1</w:t>
      </w:r>
      <w:r w:rsidRPr="00261B7A">
        <w:t xml:space="preserve"> year</w:t>
      </w:r>
      <w:r w:rsidRPr="00261B7A">
        <w:rPr>
          <w:vertAlign w:val="superscript"/>
        </w:rPr>
        <w:t>-1</w:t>
      </w:r>
      <w:r w:rsidRPr="00261B7A">
        <w:t xml:space="preserve"> for 2009 based on the differing population characteristics for those two years (Lassey, 2011). For the intermediate years between 1990 and 2009 and for 2010 to 2021, the emission factor is calculated based on the goat population, with the assumption that the dairy goat population has remained relatively consistent over time while the rest of</w:t>
      </w:r>
      <w:r w:rsidR="006767D9" w:rsidRPr="00261B7A">
        <w:t xml:space="preserve"> </w:t>
      </w:r>
      <w:r w:rsidRPr="00261B7A">
        <w:t>the goat population has declined (Burggraaf et al., unpublished). The emission factor in 2021 was calculated to be 9.0 kg CH</w:t>
      </w:r>
      <w:r w:rsidRPr="00261B7A">
        <w:rPr>
          <w:vertAlign w:val="subscript"/>
        </w:rPr>
        <w:t>4</w:t>
      </w:r>
      <w:r w:rsidRPr="00261B7A">
        <w:t xml:space="preserve"> head</w:t>
      </w:r>
      <w:r w:rsidRPr="00261B7A">
        <w:rPr>
          <w:vertAlign w:val="superscript"/>
        </w:rPr>
        <w:t>-1</w:t>
      </w:r>
      <w:r w:rsidRPr="00261B7A">
        <w:t xml:space="preserve"> year</w:t>
      </w:r>
      <w:r w:rsidRPr="00261B7A">
        <w:rPr>
          <w:vertAlign w:val="superscript"/>
        </w:rPr>
        <w:t>-1</w:t>
      </w:r>
      <w:r w:rsidRPr="00261B7A">
        <w:t xml:space="preserve">. </w:t>
      </w:r>
    </w:p>
    <w:p w14:paraId="186ADFBF" w14:textId="77777777" w:rsidR="00994F64" w:rsidRPr="00261B7A" w:rsidRDefault="00994F64" w:rsidP="00994F64">
      <w:pPr>
        <w:pStyle w:val="BodyText"/>
        <w:spacing w:after="100"/>
      </w:pPr>
      <w:r w:rsidRPr="00261B7A">
        <w:rPr>
          <w:b/>
          <w:bCs/>
          <w:i/>
          <w:iCs/>
          <w:spacing w:val="-2"/>
        </w:rPr>
        <w:t>Swine:</w:t>
      </w:r>
      <w:r w:rsidRPr="00261B7A">
        <w:rPr>
          <w:spacing w:val="-2"/>
        </w:rPr>
        <w:t xml:space="preserve"> New Zealand uses a Tier 1 approach with country-specific emission factors to determine</w:t>
      </w:r>
      <w:r w:rsidRPr="00261B7A">
        <w:t xml:space="preserve"> enteric fermentation emissions from swine and emissions from swine manure management. The country-specific emission factor for enteric fermentation (1.06 kg CH</w:t>
      </w:r>
      <w:r w:rsidRPr="00261B7A">
        <w:rPr>
          <w:vertAlign w:val="subscript"/>
        </w:rPr>
        <w:t>4</w:t>
      </w:r>
      <w:r w:rsidRPr="00261B7A">
        <w:t xml:space="preserve"> head</w:t>
      </w:r>
      <w:r w:rsidRPr="00261B7A">
        <w:rPr>
          <w:vertAlign w:val="superscript"/>
        </w:rPr>
        <w:t>-1</w:t>
      </w:r>
      <w:r w:rsidRPr="00261B7A">
        <w:t xml:space="preserve"> year</w:t>
      </w:r>
      <w:r w:rsidRPr="00261B7A">
        <w:rPr>
          <w:vertAlign w:val="superscript"/>
        </w:rPr>
        <w:t>-1</w:t>
      </w:r>
      <w:r w:rsidRPr="00261B7A">
        <w:t>) was developed from industry data on GEI (Hill, 2012). Gross energy data from swine diets were used in the Tier 2 IPCC equation (equation 10.21, IPCC, 2006) to determine the country-specific enteric fermentation emission factor. This factor is then multiplied by population data to obtain the total CH</w:t>
      </w:r>
      <w:r w:rsidRPr="00261B7A">
        <w:rPr>
          <w:vertAlign w:val="subscript"/>
        </w:rPr>
        <w:t>4</w:t>
      </w:r>
      <w:r w:rsidRPr="00261B7A">
        <w:t xml:space="preserve"> emissions produced by swine from enteric fermentation for a given inventory year. </w:t>
      </w:r>
    </w:p>
    <w:p w14:paraId="57166453" w14:textId="77777777" w:rsidR="00994F64" w:rsidRPr="00261B7A" w:rsidRDefault="00994F64" w:rsidP="00994F64">
      <w:pPr>
        <w:pStyle w:val="BodyText"/>
        <w:spacing w:after="100"/>
      </w:pPr>
      <w:r w:rsidRPr="00261B7A">
        <w:t xml:space="preserve">The country-specific emission factor was developed from research performed by Hill (2012) in which data on the composition of swine diets and industry practices in place to manage waste from production systems were obtained from a representative survey of 56 swine farms. The information obtained on swine diets and waste management practices was representative of practices from 59 per cent and over 67 per cent of New Zealand pork production respectively. </w:t>
      </w:r>
      <w:r w:rsidRPr="00261B7A">
        <w:rPr>
          <w:spacing w:val="-2"/>
        </w:rPr>
        <w:t>Nutritional information was available for different swine age classes and categories. Additionally</w:t>
      </w:r>
      <w:r w:rsidRPr="00261B7A">
        <w:t>, the average value of GEI was adjusted for population and further verified against national animal welfare standards.</w:t>
      </w:r>
    </w:p>
    <w:p w14:paraId="11139800" w14:textId="77777777" w:rsidR="00994F64" w:rsidRPr="00261B7A" w:rsidRDefault="00994F64" w:rsidP="00994F64">
      <w:pPr>
        <w:pStyle w:val="BodyText"/>
        <w:spacing w:before="100" w:after="100"/>
        <w:rPr>
          <w:rFonts w:cs="Calibri"/>
        </w:rPr>
      </w:pPr>
      <w:r w:rsidRPr="00261B7A">
        <w:rPr>
          <w:rFonts w:cs="Calibri"/>
        </w:rPr>
        <w:t>The New Zealand emission factor for swine is lower than the IPCC (2006) default for developed countries.</w:t>
      </w:r>
      <w:r w:rsidRPr="00261B7A">
        <w:rPr>
          <w:rStyle w:val="FootnoteReference"/>
          <w:rFonts w:cs="Calibri"/>
        </w:rPr>
        <w:footnoteReference w:id="44"/>
      </w:r>
      <w:r w:rsidRPr="00261B7A">
        <w:rPr>
          <w:rFonts w:cs="Calibri"/>
        </w:rPr>
        <w:t xml:space="preserve"> The IPCC (2006) default value for swine is based on average values derived from 1980s Western German swine production and population statistics and is not representative of New Zealand swine systems. In particular, the default value does not reflect changes in production due to improvements in genetic selection, reproductive cycle performance, housing and feed, animal husbandry and herd management. Further information on these factors is provided in the report by Hill (2012). </w:t>
      </w:r>
    </w:p>
    <w:p w14:paraId="37BAF54B" w14:textId="77777777" w:rsidR="00994F64" w:rsidRPr="00261B7A" w:rsidRDefault="00994F64" w:rsidP="00994F64">
      <w:pPr>
        <w:pStyle w:val="BodyText"/>
        <w:spacing w:before="100" w:after="100"/>
        <w:rPr>
          <w:rFonts w:cs="Calibri"/>
        </w:rPr>
      </w:pPr>
      <w:r w:rsidRPr="00261B7A">
        <w:rPr>
          <w:rFonts w:cs="Calibri"/>
          <w:b/>
          <w:bCs/>
          <w:i/>
          <w:iCs/>
        </w:rPr>
        <w:t>Horses:</w:t>
      </w:r>
      <w:r w:rsidRPr="00261B7A">
        <w:rPr>
          <w:rFonts w:cs="Calibri"/>
        </w:rPr>
        <w:t xml:space="preserve"> The IPCC (2006) default value (18 kg CH</w:t>
      </w:r>
      <w:r w:rsidRPr="00261B7A">
        <w:rPr>
          <w:rFonts w:cs="Calibri"/>
          <w:vertAlign w:val="subscript"/>
        </w:rPr>
        <w:t>4</w:t>
      </w:r>
      <w:r w:rsidRPr="00261B7A">
        <w:rPr>
          <w:rFonts w:cs="Calibri"/>
        </w:rPr>
        <w:t xml:space="preserve"> head</w:t>
      </w:r>
      <w:r w:rsidRPr="00261B7A">
        <w:rPr>
          <w:rFonts w:cs="Calibri"/>
          <w:vertAlign w:val="superscript"/>
        </w:rPr>
        <w:t>-1</w:t>
      </w:r>
      <w:r w:rsidRPr="00261B7A">
        <w:rPr>
          <w:rFonts w:cs="Calibri"/>
        </w:rPr>
        <w:t xml:space="preserve"> year</w:t>
      </w:r>
      <w:r w:rsidRPr="00261B7A">
        <w:rPr>
          <w:rFonts w:cs="Calibri"/>
          <w:vertAlign w:val="superscript"/>
        </w:rPr>
        <w:t>-1</w:t>
      </w:r>
      <w:r w:rsidRPr="00261B7A">
        <w:rPr>
          <w:rFonts w:cs="Calibri"/>
        </w:rPr>
        <w:t>) is used to estimate emissions from this livestock category.</w:t>
      </w:r>
    </w:p>
    <w:p w14:paraId="1A61080E" w14:textId="77777777" w:rsidR="00994F64" w:rsidRPr="00261B7A" w:rsidRDefault="00994F64" w:rsidP="00994F64">
      <w:pPr>
        <w:pStyle w:val="BodyText"/>
        <w:spacing w:before="100"/>
        <w:rPr>
          <w:rFonts w:cs="Calibri"/>
        </w:rPr>
      </w:pPr>
      <w:r w:rsidRPr="00261B7A">
        <w:rPr>
          <w:rFonts w:cs="Calibri"/>
          <w:b/>
          <w:bCs/>
          <w:i/>
          <w:iCs/>
        </w:rPr>
        <w:t>Llamas</w:t>
      </w:r>
      <w:r w:rsidRPr="00261B7A">
        <w:rPr>
          <w:b/>
          <w:i/>
          <w:iCs/>
        </w:rPr>
        <w:t xml:space="preserve"> and alpacas</w:t>
      </w:r>
      <w:r w:rsidRPr="00261B7A">
        <w:rPr>
          <w:rFonts w:cs="Calibri"/>
          <w:b/>
          <w:bCs/>
          <w:i/>
          <w:iCs/>
        </w:rPr>
        <w:t>:</w:t>
      </w:r>
      <w:r w:rsidRPr="00261B7A">
        <w:rPr>
          <w:rFonts w:cs="Calibri"/>
        </w:rPr>
        <w:t xml:space="preserve"> The IPCC (2006) default value (8 kg CH</w:t>
      </w:r>
      <w:r w:rsidRPr="00261B7A">
        <w:rPr>
          <w:rFonts w:cs="Calibri"/>
          <w:vertAlign w:val="subscript"/>
        </w:rPr>
        <w:t>4</w:t>
      </w:r>
      <w:r w:rsidRPr="00261B7A">
        <w:rPr>
          <w:rFonts w:cs="Calibri"/>
        </w:rPr>
        <w:t xml:space="preserve"> head</w:t>
      </w:r>
      <w:r w:rsidRPr="00261B7A">
        <w:rPr>
          <w:rFonts w:cs="Calibri"/>
          <w:vertAlign w:val="superscript"/>
        </w:rPr>
        <w:t>-1</w:t>
      </w:r>
      <w:r w:rsidRPr="00261B7A">
        <w:rPr>
          <w:rFonts w:cs="Calibri"/>
        </w:rPr>
        <w:t xml:space="preserve"> year</w:t>
      </w:r>
      <w:r w:rsidRPr="00261B7A">
        <w:rPr>
          <w:rFonts w:cs="Calibri"/>
          <w:vertAlign w:val="superscript"/>
        </w:rPr>
        <w:t>-1</w:t>
      </w:r>
      <w:r w:rsidRPr="00261B7A">
        <w:rPr>
          <w:rFonts w:cs="Calibri"/>
        </w:rPr>
        <w:t xml:space="preserve">) is used to estimate emissions from this livestock category. </w:t>
      </w:r>
    </w:p>
    <w:p w14:paraId="177EB158" w14:textId="77777777" w:rsidR="00994F64" w:rsidRPr="00261B7A" w:rsidRDefault="00994F64" w:rsidP="00994F64">
      <w:pPr>
        <w:pStyle w:val="BodyText"/>
        <w:spacing w:before="100"/>
        <w:rPr>
          <w:rFonts w:cs="Calibri"/>
        </w:rPr>
      </w:pPr>
      <w:r w:rsidRPr="00261B7A">
        <w:rPr>
          <w:rFonts w:cs="Calibri"/>
          <w:b/>
          <w:bCs/>
          <w:i/>
          <w:iCs/>
        </w:rPr>
        <w:t>Mules and asses:</w:t>
      </w:r>
      <w:r w:rsidRPr="00261B7A">
        <w:rPr>
          <w:rFonts w:cs="Calibri"/>
        </w:rPr>
        <w:t xml:space="preserve"> The IPCC (2006) default value is used (10 kg CH</w:t>
      </w:r>
      <w:r w:rsidRPr="00261B7A">
        <w:rPr>
          <w:rFonts w:cs="Calibri"/>
          <w:vertAlign w:val="subscript"/>
        </w:rPr>
        <w:t>4</w:t>
      </w:r>
      <w:r w:rsidRPr="00261B7A">
        <w:rPr>
          <w:rFonts w:cs="Calibri"/>
        </w:rPr>
        <w:t xml:space="preserve"> head</w:t>
      </w:r>
      <w:r w:rsidRPr="00261B7A">
        <w:rPr>
          <w:rFonts w:cs="Calibri"/>
          <w:vertAlign w:val="superscript"/>
        </w:rPr>
        <w:t>-1</w:t>
      </w:r>
      <w:r w:rsidRPr="00261B7A">
        <w:rPr>
          <w:rFonts w:cs="Calibri"/>
        </w:rPr>
        <w:t xml:space="preserve"> year</w:t>
      </w:r>
      <w:r w:rsidRPr="00261B7A">
        <w:rPr>
          <w:rFonts w:cs="Calibri"/>
          <w:vertAlign w:val="superscript"/>
        </w:rPr>
        <w:t>-1</w:t>
      </w:r>
      <w:r w:rsidRPr="00261B7A">
        <w:rPr>
          <w:rFonts w:cs="Calibri"/>
        </w:rPr>
        <w:t>) to estimate emissions from this livestock category.</w:t>
      </w:r>
    </w:p>
    <w:p w14:paraId="72662F8B" w14:textId="77777777" w:rsidR="00994F64" w:rsidRPr="00261B7A" w:rsidRDefault="00994F64" w:rsidP="00994F64">
      <w:pPr>
        <w:pStyle w:val="Heading3"/>
      </w:pPr>
      <w:bookmarkStart w:id="782" w:name="_Toc139253919"/>
      <w:bookmarkStart w:id="783" w:name="_Toc32570653"/>
      <w:r w:rsidRPr="00261B7A">
        <w:t>5.2.3</w:t>
      </w:r>
      <w:r w:rsidRPr="00261B7A">
        <w:tab/>
        <w:t>Uncertainties and time-series consistency</w:t>
      </w:r>
      <w:bookmarkEnd w:id="782"/>
      <w:bookmarkEnd w:id="783"/>
    </w:p>
    <w:p w14:paraId="553AD8A3" w14:textId="77777777" w:rsidR="00994F64" w:rsidRPr="00261B7A" w:rsidRDefault="00994F64" w:rsidP="00994F64">
      <w:pPr>
        <w:pStyle w:val="BodyText"/>
        <w:spacing w:before="100" w:after="100"/>
        <w:rPr>
          <w:rFonts w:cs="Calibri"/>
        </w:rPr>
      </w:pPr>
      <w:r w:rsidRPr="00261B7A">
        <w:rPr>
          <w:rFonts w:cs="Calibri"/>
        </w:rPr>
        <w:t>To ensure consistency across emission categories, a single enhanced livestock population characterisation and feed-intake estimate is produced by the Tier 2 model (see annex 3, table A3.1.2). It is used in different parts of the calculations for the National Inventory Report to estimate: CH</w:t>
      </w:r>
      <w:r w:rsidRPr="00261B7A">
        <w:rPr>
          <w:rFonts w:cs="Calibri"/>
          <w:vertAlign w:val="subscript"/>
        </w:rPr>
        <w:t>4</w:t>
      </w:r>
      <w:r w:rsidRPr="00261B7A">
        <w:rPr>
          <w:rFonts w:cs="Calibri"/>
        </w:rPr>
        <w:t xml:space="preserve"> emissions for the </w:t>
      </w:r>
      <w:r w:rsidRPr="00261B7A">
        <w:rPr>
          <w:rFonts w:cs="Calibri"/>
          <w:i/>
          <w:iCs/>
        </w:rPr>
        <w:t>Enteric fermentation</w:t>
      </w:r>
      <w:r w:rsidRPr="00261B7A">
        <w:rPr>
          <w:rFonts w:cs="Calibri"/>
        </w:rPr>
        <w:t xml:space="preserve"> category, CH</w:t>
      </w:r>
      <w:r w:rsidRPr="00261B7A">
        <w:rPr>
          <w:rFonts w:cs="Calibri"/>
          <w:vertAlign w:val="subscript"/>
        </w:rPr>
        <w:t>4</w:t>
      </w:r>
      <w:r w:rsidRPr="00261B7A">
        <w:rPr>
          <w:rFonts w:cs="Calibri"/>
        </w:rPr>
        <w:t xml:space="preserve"> and N</w:t>
      </w:r>
      <w:r w:rsidRPr="00261B7A">
        <w:rPr>
          <w:rFonts w:cs="Calibri"/>
          <w:vertAlign w:val="subscript"/>
        </w:rPr>
        <w:t>2</w:t>
      </w:r>
      <w:r w:rsidRPr="00261B7A">
        <w:rPr>
          <w:rFonts w:cs="Calibri"/>
        </w:rPr>
        <w:t xml:space="preserve">O emissions for the </w:t>
      </w:r>
      <w:r w:rsidRPr="00261B7A">
        <w:rPr>
          <w:rFonts w:cs="Calibri"/>
          <w:i/>
          <w:iCs/>
        </w:rPr>
        <w:t>Manure management</w:t>
      </w:r>
      <w:r w:rsidRPr="00261B7A">
        <w:rPr>
          <w:rFonts w:cs="Calibri"/>
        </w:rPr>
        <w:t xml:space="preserve"> category and N</w:t>
      </w:r>
      <w:r w:rsidRPr="00261B7A">
        <w:rPr>
          <w:rFonts w:cs="Calibri"/>
          <w:vertAlign w:val="subscript"/>
        </w:rPr>
        <w:t>2</w:t>
      </w:r>
      <w:r w:rsidRPr="00261B7A">
        <w:rPr>
          <w:rFonts w:cs="Calibri"/>
        </w:rPr>
        <w:t xml:space="preserve">O emissions for the </w:t>
      </w:r>
      <w:r w:rsidRPr="00261B7A">
        <w:rPr>
          <w:rFonts w:cs="Calibri"/>
          <w:i/>
          <w:iCs/>
        </w:rPr>
        <w:t>Pasture, range and paddock manure</w:t>
      </w:r>
      <w:r w:rsidRPr="00261B7A">
        <w:rPr>
          <w:rFonts w:cs="Calibri"/>
        </w:rPr>
        <w:t xml:space="preserve"> category.</w:t>
      </w:r>
    </w:p>
    <w:p w14:paraId="4D95C9D8" w14:textId="77777777" w:rsidR="00994F64" w:rsidRPr="00261B7A" w:rsidRDefault="00994F64" w:rsidP="00994F64">
      <w:pPr>
        <w:pStyle w:val="Heading4"/>
      </w:pPr>
      <w:r w:rsidRPr="00261B7A">
        <w:t>Livestock numbers</w:t>
      </w:r>
    </w:p>
    <w:p w14:paraId="066D3B24" w14:textId="77777777" w:rsidR="00994F64" w:rsidRPr="00261B7A" w:rsidRDefault="00994F64" w:rsidP="00994F64">
      <w:pPr>
        <w:pStyle w:val="BodyText"/>
        <w:rPr>
          <w:rFonts w:cs="Calibri"/>
        </w:rPr>
      </w:pPr>
      <w:r w:rsidRPr="00261B7A">
        <w:rPr>
          <w:rFonts w:cs="Calibri"/>
        </w:rPr>
        <w:t xml:space="preserve">The calculations for total enteric fermentation require livestock population data. Information on the uncertainties and time-series consistency for the livestock population data is included in section 5.1.4 and annex 3, section 3.1. </w:t>
      </w:r>
    </w:p>
    <w:p w14:paraId="27827520" w14:textId="77777777" w:rsidR="00994F64" w:rsidRPr="00261B7A" w:rsidRDefault="00994F64" w:rsidP="00994F64">
      <w:pPr>
        <w:pStyle w:val="Heading4"/>
      </w:pPr>
      <w:r w:rsidRPr="00261B7A">
        <w:t>Methane emissions from enteric fermentation</w:t>
      </w:r>
    </w:p>
    <w:p w14:paraId="52D40412" w14:textId="77777777" w:rsidR="00994F64" w:rsidRPr="00261B7A" w:rsidRDefault="00994F64" w:rsidP="00994F64">
      <w:pPr>
        <w:pStyle w:val="BodyText"/>
        <w:rPr>
          <w:rFonts w:cs="Calibri"/>
        </w:rPr>
      </w:pPr>
      <w:r w:rsidRPr="00261B7A">
        <w:rPr>
          <w:rFonts w:cs="Calibri"/>
        </w:rPr>
        <w:t>Kelliher et al. (2009) calculated the uncertainty of enteric fermentation CH</w:t>
      </w:r>
      <w:r w:rsidRPr="00261B7A">
        <w:rPr>
          <w:rFonts w:cs="Calibri"/>
          <w:vertAlign w:val="subscript"/>
        </w:rPr>
        <w:t>4</w:t>
      </w:r>
      <w:r w:rsidRPr="00261B7A">
        <w:rPr>
          <w:rFonts w:cs="Calibri"/>
        </w:rPr>
        <w:t xml:space="preserve"> emissions for </w:t>
      </w:r>
      <w:r w:rsidRPr="00261B7A">
        <w:rPr>
          <w:rFonts w:cs="Calibri"/>
          <w:spacing w:val="-2"/>
        </w:rPr>
        <w:t>sheep and cattle using a Monte Carlo approach. This superseded a previous analysis undertaken</w:t>
      </w:r>
      <w:r w:rsidRPr="00261B7A">
        <w:rPr>
          <w:rFonts w:cs="Calibri"/>
        </w:rPr>
        <w:t xml:space="preserve"> by Clark et al. (2003). The analysis expressed the coefficient of variation according to the standard deviation of the CH</w:t>
      </w:r>
      <w:r w:rsidRPr="00261B7A">
        <w:rPr>
          <w:rFonts w:cs="Calibri"/>
          <w:vertAlign w:val="subscript"/>
        </w:rPr>
        <w:t>4</w:t>
      </w:r>
      <w:r w:rsidRPr="00261B7A">
        <w:rPr>
          <w:rFonts w:cs="Calibri"/>
        </w:rPr>
        <w:t xml:space="preserve"> yield. Kelliher et al. (2009) calculated the uncertainty by expressing the coefficient of variation according to the standard deviation of the CH</w:t>
      </w:r>
      <w:r w:rsidRPr="00261B7A">
        <w:rPr>
          <w:rFonts w:cs="Calibri"/>
          <w:vertAlign w:val="subscript"/>
        </w:rPr>
        <w:t>4</w:t>
      </w:r>
      <w:r w:rsidRPr="00261B7A">
        <w:rPr>
          <w:rFonts w:cs="Calibri"/>
        </w:rPr>
        <w:t xml:space="preserve"> yield using a larger sample of measurements (relative to the previous analysis). The analysis was restricted to grass–legume pasture, the predominant diet of sheep and cattle in New Zealand. The resulting overall uncertainty of the enteric CH</w:t>
      </w:r>
      <w:r w:rsidRPr="00261B7A">
        <w:rPr>
          <w:rFonts w:cs="Calibri"/>
          <w:vertAlign w:val="subscript"/>
        </w:rPr>
        <w:t>4</w:t>
      </w:r>
      <w:r w:rsidRPr="00261B7A">
        <w:rPr>
          <w:rFonts w:cs="Calibri"/>
        </w:rPr>
        <w:t xml:space="preserve"> emissions inventory, expressed as a 95 per cent confidence interval, was ±16 per cent (see table 5.2.4).</w:t>
      </w:r>
    </w:p>
    <w:p w14:paraId="2AAD1044" w14:textId="77777777" w:rsidR="00994F64" w:rsidRPr="00261B7A" w:rsidRDefault="00994F64" w:rsidP="00994F64">
      <w:pPr>
        <w:pStyle w:val="Table"/>
        <w:rPr>
          <w:rFonts w:cs="Calibri"/>
        </w:rPr>
      </w:pPr>
      <w:bookmarkStart w:id="784" w:name="_Toc144607406"/>
      <w:bookmarkStart w:id="785" w:name="_Toc144607683"/>
      <w:bookmarkStart w:id="786" w:name="_Toc235955625"/>
      <w:bookmarkStart w:id="787" w:name="_Toc288316750"/>
      <w:bookmarkStart w:id="788" w:name="_Toc352504968"/>
      <w:bookmarkStart w:id="789" w:name="_Toc441830871"/>
      <w:bookmarkStart w:id="790" w:name="_Toc451176085"/>
      <w:bookmarkStart w:id="791" w:name="_Toc481751511"/>
      <w:bookmarkStart w:id="792" w:name="_Toc507158601"/>
      <w:bookmarkStart w:id="793" w:name="_Toc511116735"/>
      <w:bookmarkStart w:id="794" w:name="_Toc5269475"/>
      <w:bookmarkStart w:id="795" w:name="_Toc32570916"/>
      <w:bookmarkStart w:id="796" w:name="_Toc36224551"/>
      <w:bookmarkStart w:id="797" w:name="_Toc68786437"/>
      <w:bookmarkStart w:id="798" w:name="_Toc95574072"/>
      <w:bookmarkStart w:id="799" w:name="_Toc127458255"/>
      <w:bookmarkStart w:id="800" w:name="_Toc131591351"/>
      <w:r w:rsidRPr="00261B7A">
        <w:rPr>
          <w:rFonts w:cs="Calibri"/>
        </w:rPr>
        <w:t>Table 5.2.4</w:t>
      </w:r>
      <w:r w:rsidRPr="00261B7A">
        <w:rPr>
          <w:rFonts w:cs="Calibri"/>
        </w:rPr>
        <w:tab/>
        <w:t xml:space="preserve">New Zealand’s uncertainty in the annual estimate of enteric fermentation emissions for 1990 and 2021, estimated using </w:t>
      </w:r>
      <w:bookmarkEnd w:id="784"/>
      <w:bookmarkEnd w:id="785"/>
      <w:bookmarkEnd w:id="786"/>
      <w:r w:rsidRPr="00261B7A">
        <w:rPr>
          <w:rFonts w:cs="Calibri"/>
        </w:rPr>
        <w:t>the 95 per cent confidence interval (±16 per cent</w:t>
      </w:r>
      <w:bookmarkEnd w:id="787"/>
      <w:bookmarkEnd w:id="788"/>
      <w:r w:rsidRPr="00261B7A">
        <w:rPr>
          <w:rFonts w:cs="Calibri"/>
        </w:rPr>
        <w:t>)</w:t>
      </w:r>
      <w:bookmarkEnd w:id="789"/>
      <w:bookmarkEnd w:id="790"/>
      <w:bookmarkEnd w:id="791"/>
      <w:bookmarkEnd w:id="792"/>
      <w:bookmarkEnd w:id="793"/>
      <w:bookmarkEnd w:id="794"/>
      <w:bookmarkEnd w:id="795"/>
      <w:bookmarkEnd w:id="796"/>
      <w:bookmarkEnd w:id="797"/>
      <w:bookmarkEnd w:id="798"/>
      <w:bookmarkEnd w:id="799"/>
      <w:bookmarkEnd w:id="800"/>
    </w:p>
    <w:tbl>
      <w:tblPr>
        <w:tblW w:w="8505" w:type="dxa"/>
        <w:tblBorders>
          <w:top w:val="single" w:sz="4" w:space="0" w:color="1B556B" w:themeColor="text2"/>
          <w:bottom w:val="single" w:sz="4" w:space="0" w:color="1B556B" w:themeColor="text2"/>
          <w:insideH w:val="single" w:sz="4" w:space="0" w:color="1B556B" w:themeColor="text2"/>
        </w:tblBorders>
        <w:tblLook w:val="01E0" w:firstRow="1" w:lastRow="1" w:firstColumn="1" w:lastColumn="1" w:noHBand="0" w:noVBand="0"/>
      </w:tblPr>
      <w:tblGrid>
        <w:gridCol w:w="1701"/>
        <w:gridCol w:w="1701"/>
        <w:gridCol w:w="1701"/>
        <w:gridCol w:w="1701"/>
        <w:gridCol w:w="1701"/>
      </w:tblGrid>
      <w:tr w:rsidR="00994F64" w:rsidRPr="00261B7A" w14:paraId="529DE255" w14:textId="77777777" w:rsidTr="00501B0F">
        <w:tc>
          <w:tcPr>
            <w:tcW w:w="1000" w:type="pct"/>
            <w:shd w:val="clear" w:color="auto" w:fill="1B556B"/>
            <w:vAlign w:val="bottom"/>
          </w:tcPr>
          <w:p w14:paraId="4C55BF7E" w14:textId="77777777" w:rsidR="00994F64" w:rsidRPr="00261B7A" w:rsidRDefault="00994F64" w:rsidP="00501B0F">
            <w:pPr>
              <w:pStyle w:val="TableTextBold"/>
              <w:keepNext/>
              <w:spacing w:before="40" w:after="40"/>
              <w:rPr>
                <w:noProof w:val="0"/>
                <w:color w:val="FFFFFF" w:themeColor="background1"/>
              </w:rPr>
            </w:pPr>
            <w:r w:rsidRPr="00261B7A">
              <w:rPr>
                <w:noProof w:val="0"/>
                <w:color w:val="FFFFFF" w:themeColor="background1"/>
              </w:rPr>
              <w:t>Year</w:t>
            </w:r>
          </w:p>
        </w:tc>
        <w:tc>
          <w:tcPr>
            <w:tcW w:w="1000" w:type="pct"/>
            <w:shd w:val="clear" w:color="auto" w:fill="1B556B"/>
            <w:vAlign w:val="bottom"/>
          </w:tcPr>
          <w:p w14:paraId="10A026DC" w14:textId="77777777" w:rsidR="00994F64" w:rsidRPr="00261B7A" w:rsidRDefault="00994F64" w:rsidP="00501B0F">
            <w:pPr>
              <w:pStyle w:val="TableTextBold"/>
              <w:keepNext/>
              <w:spacing w:before="40" w:after="40"/>
              <w:jc w:val="center"/>
              <w:rPr>
                <w:noProof w:val="0"/>
                <w:color w:val="FFFFFF" w:themeColor="background1"/>
              </w:rPr>
            </w:pPr>
            <w:r w:rsidRPr="00261B7A">
              <w:rPr>
                <w:noProof w:val="0"/>
                <w:color w:val="FFFFFF" w:themeColor="background1"/>
              </w:rPr>
              <w:t>Enteric CH</w:t>
            </w:r>
            <w:r w:rsidRPr="00261B7A">
              <w:rPr>
                <w:noProof w:val="0"/>
                <w:color w:val="FFFFFF" w:themeColor="background1"/>
                <w:vertAlign w:val="subscript"/>
              </w:rPr>
              <w:t>4</w:t>
            </w:r>
            <w:r w:rsidRPr="00261B7A">
              <w:rPr>
                <w:noProof w:val="0"/>
                <w:color w:val="FFFFFF" w:themeColor="background1"/>
              </w:rPr>
              <w:t xml:space="preserve"> emissions </w:t>
            </w:r>
            <w:r w:rsidRPr="00261B7A">
              <w:rPr>
                <w:noProof w:val="0"/>
                <w:color w:val="FFFFFF" w:themeColor="background1"/>
                <w:szCs w:val="16"/>
              </w:rPr>
              <w:br/>
            </w:r>
            <w:r w:rsidRPr="00261B7A">
              <w:rPr>
                <w:noProof w:val="0"/>
                <w:color w:val="FFFFFF" w:themeColor="background1"/>
              </w:rPr>
              <w:t>(kt CH</w:t>
            </w:r>
            <w:r w:rsidRPr="00261B7A">
              <w:rPr>
                <w:noProof w:val="0"/>
                <w:color w:val="FFFFFF" w:themeColor="background1"/>
                <w:vertAlign w:val="subscript"/>
              </w:rPr>
              <w:t>4</w:t>
            </w:r>
            <w:r w:rsidRPr="00261B7A">
              <w:rPr>
                <w:noProof w:val="0"/>
                <w:color w:val="FFFFFF" w:themeColor="background1"/>
              </w:rPr>
              <w:t>/annum)</w:t>
            </w:r>
          </w:p>
        </w:tc>
        <w:tc>
          <w:tcPr>
            <w:tcW w:w="1000" w:type="pct"/>
            <w:shd w:val="clear" w:color="auto" w:fill="1B556B"/>
            <w:vAlign w:val="bottom"/>
          </w:tcPr>
          <w:p w14:paraId="6AFF707B" w14:textId="77777777" w:rsidR="00994F64" w:rsidRPr="00261B7A" w:rsidRDefault="00994F64" w:rsidP="00501B0F">
            <w:pPr>
              <w:pStyle w:val="TableTextBold"/>
              <w:keepNext/>
              <w:spacing w:before="40" w:after="40"/>
              <w:jc w:val="center"/>
              <w:rPr>
                <w:noProof w:val="0"/>
                <w:color w:val="FFFFFF" w:themeColor="background1"/>
              </w:rPr>
            </w:pPr>
            <w:r w:rsidRPr="00261B7A">
              <w:rPr>
                <w:noProof w:val="0"/>
                <w:color w:val="FFFFFF" w:themeColor="background1"/>
              </w:rPr>
              <w:t>95% confidence interval minimum</w:t>
            </w:r>
            <w:r w:rsidRPr="00261B7A">
              <w:rPr>
                <w:noProof w:val="0"/>
                <w:color w:val="FFFFFF" w:themeColor="background1"/>
                <w:szCs w:val="16"/>
              </w:rPr>
              <w:br/>
            </w:r>
            <w:r w:rsidRPr="00261B7A">
              <w:rPr>
                <w:noProof w:val="0"/>
                <w:color w:val="FFFFFF" w:themeColor="background1"/>
              </w:rPr>
              <w:t xml:space="preserve"> (kt CH</w:t>
            </w:r>
            <w:r w:rsidRPr="00261B7A">
              <w:rPr>
                <w:noProof w:val="0"/>
                <w:color w:val="FFFFFF" w:themeColor="background1"/>
                <w:vertAlign w:val="subscript"/>
              </w:rPr>
              <w:t>4</w:t>
            </w:r>
            <w:r w:rsidRPr="00261B7A">
              <w:rPr>
                <w:noProof w:val="0"/>
                <w:color w:val="FFFFFF" w:themeColor="background1"/>
              </w:rPr>
              <w:t>/annum)</w:t>
            </w:r>
          </w:p>
        </w:tc>
        <w:tc>
          <w:tcPr>
            <w:tcW w:w="1000" w:type="pct"/>
            <w:shd w:val="clear" w:color="auto" w:fill="1B556B"/>
            <w:vAlign w:val="bottom"/>
          </w:tcPr>
          <w:p w14:paraId="648AFF1D" w14:textId="77777777" w:rsidR="00994F64" w:rsidRPr="00261B7A" w:rsidRDefault="00994F64" w:rsidP="00501B0F">
            <w:pPr>
              <w:pStyle w:val="TableTextBold"/>
              <w:keepNext/>
              <w:spacing w:before="40" w:after="40"/>
              <w:jc w:val="center"/>
              <w:rPr>
                <w:noProof w:val="0"/>
                <w:color w:val="FFFFFF" w:themeColor="background1"/>
              </w:rPr>
            </w:pPr>
            <w:r w:rsidRPr="00261B7A">
              <w:rPr>
                <w:noProof w:val="0"/>
                <w:color w:val="FFFFFF" w:themeColor="background1"/>
              </w:rPr>
              <w:t xml:space="preserve">95% confidence interval maximum </w:t>
            </w:r>
            <w:r w:rsidRPr="00261B7A">
              <w:rPr>
                <w:noProof w:val="0"/>
                <w:color w:val="FFFFFF" w:themeColor="background1"/>
                <w:szCs w:val="16"/>
              </w:rPr>
              <w:br/>
            </w:r>
            <w:r w:rsidRPr="00261B7A">
              <w:rPr>
                <w:noProof w:val="0"/>
                <w:color w:val="FFFFFF" w:themeColor="background1"/>
              </w:rPr>
              <w:t>(kt CH</w:t>
            </w:r>
            <w:r w:rsidRPr="00261B7A">
              <w:rPr>
                <w:noProof w:val="0"/>
                <w:color w:val="FFFFFF" w:themeColor="background1"/>
                <w:vertAlign w:val="subscript"/>
              </w:rPr>
              <w:t>4</w:t>
            </w:r>
            <w:r w:rsidRPr="00261B7A">
              <w:rPr>
                <w:noProof w:val="0"/>
                <w:color w:val="FFFFFF" w:themeColor="background1"/>
              </w:rPr>
              <w:t>/annum)</w:t>
            </w:r>
          </w:p>
        </w:tc>
        <w:tc>
          <w:tcPr>
            <w:tcW w:w="1000" w:type="pct"/>
            <w:shd w:val="clear" w:color="auto" w:fill="1B556B"/>
            <w:vAlign w:val="bottom"/>
          </w:tcPr>
          <w:p w14:paraId="4369F30C" w14:textId="77777777" w:rsidR="00994F64" w:rsidRPr="00261B7A" w:rsidRDefault="00994F64" w:rsidP="00501B0F">
            <w:pPr>
              <w:pStyle w:val="TableTextBold"/>
              <w:keepNext/>
              <w:spacing w:before="40" w:after="40"/>
              <w:jc w:val="center"/>
              <w:rPr>
                <w:noProof w:val="0"/>
                <w:color w:val="FFFFFF" w:themeColor="background1"/>
              </w:rPr>
            </w:pPr>
            <w:r w:rsidRPr="00261B7A">
              <w:rPr>
                <w:noProof w:val="0"/>
                <w:color w:val="FFFFFF" w:themeColor="background1"/>
              </w:rPr>
              <w:t>Range of uncertainty (kt CH</w:t>
            </w:r>
            <w:r w:rsidRPr="00261B7A">
              <w:rPr>
                <w:noProof w:val="0"/>
                <w:color w:val="FFFFFF" w:themeColor="background1"/>
                <w:vertAlign w:val="subscript"/>
              </w:rPr>
              <w:t>4</w:t>
            </w:r>
            <w:r w:rsidRPr="00261B7A">
              <w:rPr>
                <w:noProof w:val="0"/>
                <w:color w:val="FFFFFF" w:themeColor="background1"/>
              </w:rPr>
              <w:t>/annum)</w:t>
            </w:r>
          </w:p>
        </w:tc>
      </w:tr>
      <w:tr w:rsidR="00994F64" w:rsidRPr="00261B7A" w14:paraId="36B6CBD5" w14:textId="77777777" w:rsidTr="00501B0F">
        <w:trPr>
          <w:trHeight w:val="247"/>
        </w:trPr>
        <w:tc>
          <w:tcPr>
            <w:tcW w:w="1000" w:type="pct"/>
            <w:vAlign w:val="bottom"/>
          </w:tcPr>
          <w:p w14:paraId="0E00C1F4" w14:textId="77777777" w:rsidR="00994F64" w:rsidRPr="00261B7A" w:rsidRDefault="00994F64" w:rsidP="00501B0F">
            <w:pPr>
              <w:pStyle w:val="TableText"/>
            </w:pPr>
            <w:r w:rsidRPr="00261B7A">
              <w:t>1990</w:t>
            </w:r>
          </w:p>
        </w:tc>
        <w:tc>
          <w:tcPr>
            <w:tcW w:w="1000" w:type="pct"/>
            <w:vAlign w:val="bottom"/>
          </w:tcPr>
          <w:p w14:paraId="4E1D76C5" w14:textId="77777777" w:rsidR="00994F64" w:rsidRPr="00261B7A" w:rsidRDefault="00994F64" w:rsidP="00501B0F">
            <w:pPr>
              <w:pStyle w:val="TableText"/>
              <w:jc w:val="center"/>
            </w:pPr>
            <w:r w:rsidRPr="00261B7A">
              <w:t>1,078.4</w:t>
            </w:r>
          </w:p>
        </w:tc>
        <w:tc>
          <w:tcPr>
            <w:tcW w:w="1000" w:type="pct"/>
            <w:vAlign w:val="bottom"/>
          </w:tcPr>
          <w:p w14:paraId="5B624832" w14:textId="77777777" w:rsidR="00994F64" w:rsidRPr="00261B7A" w:rsidRDefault="00994F64" w:rsidP="00501B0F">
            <w:pPr>
              <w:pStyle w:val="TableText"/>
              <w:jc w:val="center"/>
            </w:pPr>
            <w:r w:rsidRPr="00261B7A">
              <w:t>905.9</w:t>
            </w:r>
          </w:p>
        </w:tc>
        <w:tc>
          <w:tcPr>
            <w:tcW w:w="1000" w:type="pct"/>
            <w:vAlign w:val="bottom"/>
          </w:tcPr>
          <w:p w14:paraId="64787DD4" w14:textId="77777777" w:rsidR="00994F64" w:rsidRPr="00261B7A" w:rsidRDefault="00994F64" w:rsidP="00501B0F">
            <w:pPr>
              <w:pStyle w:val="TableText"/>
              <w:jc w:val="center"/>
            </w:pPr>
            <w:r w:rsidRPr="00261B7A">
              <w:t>1,251.0</w:t>
            </w:r>
          </w:p>
        </w:tc>
        <w:tc>
          <w:tcPr>
            <w:tcW w:w="1000" w:type="pct"/>
            <w:vAlign w:val="bottom"/>
          </w:tcPr>
          <w:p w14:paraId="7D801BC8" w14:textId="77777777" w:rsidR="00994F64" w:rsidRPr="00261B7A" w:rsidRDefault="00994F64" w:rsidP="00501B0F">
            <w:pPr>
              <w:pStyle w:val="TableText"/>
              <w:jc w:val="center"/>
            </w:pPr>
            <w:r w:rsidRPr="00261B7A">
              <w:t>345.1</w:t>
            </w:r>
          </w:p>
        </w:tc>
      </w:tr>
      <w:tr w:rsidR="00994F64" w:rsidRPr="00261B7A" w14:paraId="14F05EAE" w14:textId="77777777" w:rsidTr="00501B0F">
        <w:trPr>
          <w:trHeight w:val="247"/>
        </w:trPr>
        <w:tc>
          <w:tcPr>
            <w:tcW w:w="1000" w:type="pct"/>
            <w:vAlign w:val="bottom"/>
          </w:tcPr>
          <w:p w14:paraId="1DB66DBE" w14:textId="77777777" w:rsidR="00994F64" w:rsidRPr="00261B7A" w:rsidRDefault="00994F64" w:rsidP="00501B0F">
            <w:pPr>
              <w:pStyle w:val="TableText"/>
            </w:pPr>
            <w:r w:rsidRPr="00261B7A">
              <w:t>2021</w:t>
            </w:r>
          </w:p>
        </w:tc>
        <w:tc>
          <w:tcPr>
            <w:tcW w:w="1000" w:type="pct"/>
            <w:vAlign w:val="bottom"/>
          </w:tcPr>
          <w:p w14:paraId="7A9CD0CF" w14:textId="77777777" w:rsidR="00994F64" w:rsidRPr="00261B7A" w:rsidRDefault="00994F64" w:rsidP="00501B0F">
            <w:pPr>
              <w:pStyle w:val="TableText"/>
              <w:jc w:val="center"/>
            </w:pPr>
            <w:r w:rsidRPr="00261B7A">
              <w:t>1,114.4</w:t>
            </w:r>
          </w:p>
        </w:tc>
        <w:tc>
          <w:tcPr>
            <w:tcW w:w="1000" w:type="pct"/>
            <w:vAlign w:val="bottom"/>
          </w:tcPr>
          <w:p w14:paraId="6D039DA4" w14:textId="77777777" w:rsidR="00994F64" w:rsidRPr="00261B7A" w:rsidRDefault="00994F64" w:rsidP="00501B0F">
            <w:pPr>
              <w:pStyle w:val="TableText"/>
              <w:jc w:val="center"/>
            </w:pPr>
            <w:r w:rsidRPr="00261B7A">
              <w:t>936.1</w:t>
            </w:r>
          </w:p>
        </w:tc>
        <w:tc>
          <w:tcPr>
            <w:tcW w:w="1000" w:type="pct"/>
            <w:vAlign w:val="bottom"/>
          </w:tcPr>
          <w:p w14:paraId="3EC393F0" w14:textId="77777777" w:rsidR="00994F64" w:rsidRPr="00261B7A" w:rsidRDefault="00994F64" w:rsidP="00501B0F">
            <w:pPr>
              <w:pStyle w:val="TableText"/>
              <w:jc w:val="center"/>
            </w:pPr>
            <w:r w:rsidRPr="00261B7A">
              <w:t>1,292.7</w:t>
            </w:r>
          </w:p>
        </w:tc>
        <w:tc>
          <w:tcPr>
            <w:tcW w:w="1000" w:type="pct"/>
            <w:vAlign w:val="bottom"/>
          </w:tcPr>
          <w:p w14:paraId="700F45A9" w14:textId="77777777" w:rsidR="00994F64" w:rsidRPr="00261B7A" w:rsidRDefault="00994F64" w:rsidP="00501B0F">
            <w:pPr>
              <w:pStyle w:val="TableText"/>
              <w:jc w:val="center"/>
            </w:pPr>
            <w:r w:rsidRPr="00261B7A">
              <w:t>356.6</w:t>
            </w:r>
          </w:p>
        </w:tc>
      </w:tr>
    </w:tbl>
    <w:p w14:paraId="646CFD78" w14:textId="77777777" w:rsidR="00994F64" w:rsidRPr="00261B7A" w:rsidRDefault="00994F64" w:rsidP="00994F64">
      <w:pPr>
        <w:pStyle w:val="Noteundertable"/>
        <w:rPr>
          <w:rFonts w:cs="Calibri"/>
        </w:rPr>
      </w:pPr>
      <w:r w:rsidRPr="00261B7A">
        <w:rPr>
          <w:rFonts w:cs="Calibri"/>
          <w:b/>
          <w:bCs/>
        </w:rPr>
        <w:t xml:space="preserve">Note: </w:t>
      </w:r>
      <w:r w:rsidRPr="00261B7A">
        <w:rPr>
          <w:rFonts w:cs="Calibri"/>
          <w:b/>
        </w:rPr>
        <w:tab/>
      </w:r>
      <w:r w:rsidRPr="00261B7A">
        <w:rPr>
          <w:rFonts w:cs="Calibri"/>
        </w:rPr>
        <w:t>The CH</w:t>
      </w:r>
      <w:r w:rsidRPr="00261B7A">
        <w:rPr>
          <w:rFonts w:cs="Calibri"/>
          <w:vertAlign w:val="subscript"/>
        </w:rPr>
        <w:t>4</w:t>
      </w:r>
      <w:r w:rsidRPr="00261B7A">
        <w:rPr>
          <w:rFonts w:cs="Calibri"/>
        </w:rPr>
        <w:t xml:space="preserve"> emissions used in the Monte Carlo analysis exclude those from swine, horses, goats, mules and asses, and llamas and alpacas, which represent a very small proportion of total CH</w:t>
      </w:r>
      <w:r w:rsidRPr="00261B7A">
        <w:rPr>
          <w:rFonts w:cs="Calibri"/>
          <w:vertAlign w:val="subscript"/>
        </w:rPr>
        <w:t>4</w:t>
      </w:r>
      <w:r w:rsidRPr="00261B7A">
        <w:rPr>
          <w:rFonts w:cs="Calibri"/>
        </w:rPr>
        <w:t> emissions.</w:t>
      </w:r>
    </w:p>
    <w:p w14:paraId="4444D0A4" w14:textId="77777777" w:rsidR="00994F64" w:rsidRPr="00261B7A" w:rsidRDefault="00994F64" w:rsidP="00994F64">
      <w:pPr>
        <w:pStyle w:val="BodyText"/>
        <w:rPr>
          <w:rFonts w:cs="Calibri"/>
        </w:rPr>
      </w:pPr>
      <w:r w:rsidRPr="00261B7A">
        <w:rPr>
          <w:rFonts w:cs="Calibri"/>
        </w:rPr>
        <w:t>Uncertainty in the annual CH</w:t>
      </w:r>
      <w:r w:rsidRPr="00261B7A">
        <w:rPr>
          <w:rFonts w:cs="Calibri"/>
          <w:vertAlign w:val="subscript"/>
        </w:rPr>
        <w:t>4</w:t>
      </w:r>
      <w:r w:rsidRPr="00261B7A">
        <w:rPr>
          <w:rFonts w:cs="Calibri"/>
        </w:rPr>
        <w:t xml:space="preserve"> estimate is dominated by variance in the measurements of the ‘CH</w:t>
      </w:r>
      <w:r w:rsidRPr="00261B7A">
        <w:rPr>
          <w:rFonts w:cs="Calibri"/>
          <w:vertAlign w:val="subscript"/>
        </w:rPr>
        <w:t>4</w:t>
      </w:r>
      <w:r w:rsidRPr="00261B7A">
        <w:rPr>
          <w:rFonts w:cs="Calibri"/>
        </w:rPr>
        <w:t xml:space="preserve"> per unit of intake’ factor. This uncertainty is predominantly due to natural variation from one animal to the next due to genetic, management and environmental factors. Uncertainties in the estimates of livestock energy requirements, forage quality and animal population data are much smaller (Clark et al., 2003).</w:t>
      </w:r>
    </w:p>
    <w:p w14:paraId="1F04FA92" w14:textId="77777777" w:rsidR="00994F64" w:rsidRPr="00261B7A" w:rsidRDefault="00994F64" w:rsidP="00994F64">
      <w:pPr>
        <w:pStyle w:val="Heading3"/>
      </w:pPr>
      <w:bookmarkStart w:id="801" w:name="_Toc139253920"/>
      <w:bookmarkStart w:id="802" w:name="_Toc32570654"/>
      <w:r w:rsidRPr="00261B7A">
        <w:t>5.2.4</w:t>
      </w:r>
      <w:r w:rsidRPr="00261B7A">
        <w:tab/>
        <w:t>Source-specific QA/QC</w:t>
      </w:r>
      <w:r w:rsidRPr="00261B7A">
        <w:rPr>
          <w:lang w:eastAsia="en-GB"/>
        </w:rPr>
        <w:t xml:space="preserve"> control </w:t>
      </w:r>
      <w:r w:rsidRPr="00261B7A">
        <w:t>and verification</w:t>
      </w:r>
      <w:bookmarkEnd w:id="801"/>
      <w:bookmarkEnd w:id="802"/>
    </w:p>
    <w:p w14:paraId="1D0D8876" w14:textId="77777777" w:rsidR="00994F64" w:rsidRPr="00261B7A" w:rsidRDefault="00994F64" w:rsidP="00994F64">
      <w:pPr>
        <w:pStyle w:val="BodyText"/>
        <w:rPr>
          <w:rFonts w:cs="Calibri"/>
        </w:rPr>
      </w:pPr>
      <w:r w:rsidRPr="00261B7A">
        <w:rPr>
          <w:rFonts w:cs="Calibri"/>
        </w:rPr>
        <w:t xml:space="preserve">Methane from </w:t>
      </w:r>
      <w:r w:rsidRPr="00261B7A">
        <w:rPr>
          <w:rFonts w:cs="Calibri"/>
          <w:i/>
        </w:rPr>
        <w:t>Enteric fermentation</w:t>
      </w:r>
      <w:r w:rsidRPr="00261B7A">
        <w:rPr>
          <w:rFonts w:cs="Calibri"/>
        </w:rPr>
        <w:t xml:space="preserve"> from </w:t>
      </w:r>
      <w:r w:rsidRPr="00261B7A">
        <w:rPr>
          <w:rFonts w:cs="Calibri"/>
          <w:i/>
          <w:iCs/>
        </w:rPr>
        <w:t>Dairy cattle</w:t>
      </w:r>
      <w:r w:rsidRPr="00261B7A">
        <w:rPr>
          <w:rFonts w:cs="Calibri"/>
        </w:rPr>
        <w:t xml:space="preserve">, </w:t>
      </w:r>
      <w:r w:rsidRPr="00261B7A">
        <w:rPr>
          <w:rFonts w:cs="Calibri"/>
          <w:i/>
          <w:iCs/>
        </w:rPr>
        <w:t>Non-dairy</w:t>
      </w:r>
      <w:r w:rsidRPr="00261B7A">
        <w:rPr>
          <w:rFonts w:cs="Calibri"/>
        </w:rPr>
        <w:t xml:space="preserve"> (beef) </w:t>
      </w:r>
      <w:r w:rsidRPr="00261B7A">
        <w:rPr>
          <w:rFonts w:cs="Calibri"/>
          <w:i/>
          <w:iCs/>
        </w:rPr>
        <w:t>cattle</w:t>
      </w:r>
      <w:r w:rsidRPr="00261B7A">
        <w:rPr>
          <w:rFonts w:cs="Calibri"/>
        </w:rPr>
        <w:t xml:space="preserve"> and</w:t>
      </w:r>
      <w:r w:rsidRPr="00261B7A">
        <w:rPr>
          <w:rFonts w:cs="Calibri"/>
          <w:i/>
          <w:iCs/>
        </w:rPr>
        <w:t xml:space="preserve"> Sheep </w:t>
      </w:r>
      <w:r w:rsidRPr="00261B7A">
        <w:rPr>
          <w:rFonts w:cs="Calibri"/>
        </w:rPr>
        <w:t xml:space="preserve">was identified as a key category (level and trend assessment). Methane from </w:t>
      </w:r>
      <w:r w:rsidRPr="00261B7A">
        <w:rPr>
          <w:rFonts w:cs="Calibri"/>
          <w:i/>
        </w:rPr>
        <w:t>Enteric fermentation</w:t>
      </w:r>
      <w:r w:rsidRPr="00261B7A">
        <w:rPr>
          <w:rFonts w:cs="Calibri"/>
        </w:rPr>
        <w:t xml:space="preserve"> from </w:t>
      </w:r>
      <w:r w:rsidRPr="00261B7A">
        <w:rPr>
          <w:rFonts w:cs="Calibri"/>
          <w:i/>
          <w:iCs/>
        </w:rPr>
        <w:t>Goats</w:t>
      </w:r>
      <w:r w:rsidRPr="00261B7A">
        <w:rPr>
          <w:rFonts w:cs="Calibri"/>
        </w:rPr>
        <w:t xml:space="preserve"> is a key category in the trend assessment, and from </w:t>
      </w:r>
      <w:r w:rsidRPr="00261B7A">
        <w:rPr>
          <w:rFonts w:cs="Calibri"/>
          <w:i/>
          <w:iCs/>
        </w:rPr>
        <w:t>Deer</w:t>
      </w:r>
      <w:r w:rsidRPr="00261B7A">
        <w:rPr>
          <w:rFonts w:cs="Calibri"/>
        </w:rPr>
        <w:t xml:space="preserve"> in the level assessment. In the preparation for this inventory, the data for this category underwent Tier 1 and Tier 2 quality checks.</w:t>
      </w:r>
    </w:p>
    <w:p w14:paraId="2B38CD0B" w14:textId="77777777" w:rsidR="00994F64" w:rsidRPr="00261B7A" w:rsidRDefault="00994F64" w:rsidP="00994F64">
      <w:pPr>
        <w:pStyle w:val="BodyText"/>
        <w:rPr>
          <w:rFonts w:cs="Calibri"/>
        </w:rPr>
      </w:pPr>
      <w:r w:rsidRPr="00261B7A">
        <w:rPr>
          <w:rFonts w:cs="Calibri"/>
        </w:rPr>
        <w:t>Enteric CH</w:t>
      </w:r>
      <w:r w:rsidRPr="00261B7A">
        <w:rPr>
          <w:rFonts w:cs="Calibri"/>
          <w:vertAlign w:val="subscript"/>
        </w:rPr>
        <w:t>4</w:t>
      </w:r>
      <w:r w:rsidRPr="00261B7A">
        <w:rPr>
          <w:rFonts w:cs="Calibri"/>
        </w:rPr>
        <w:t xml:space="preserve"> emission rates per animal have been verified using micrometeorological techniques. Laubach and Kelliher (2004) used the integrated horizontal flux technique and the flux gradient technique to measure CH</w:t>
      </w:r>
      <w:r w:rsidRPr="00261B7A">
        <w:rPr>
          <w:rFonts w:cs="Calibri"/>
          <w:vertAlign w:val="subscript"/>
        </w:rPr>
        <w:t>4</w:t>
      </w:r>
      <w:r w:rsidRPr="00261B7A">
        <w:rPr>
          <w:rFonts w:cs="Calibri"/>
        </w:rPr>
        <w:t xml:space="preserve"> emission flux above a dairy herd. Both techniques are comparable, within estimated errors, to scaled-up dairy animal emissions. The emissions from the cows measured by integrated horizontal flux (averaged over three trials) were 329 (±153) g CH</w:t>
      </w:r>
      <w:r w:rsidRPr="00261B7A">
        <w:rPr>
          <w:rFonts w:cs="Calibri"/>
          <w:vertAlign w:val="subscript"/>
        </w:rPr>
        <w:t>4</w:t>
      </w:r>
      <w:r w:rsidRPr="00261B7A">
        <w:rPr>
          <w:rFonts w:cs="Calibri"/>
        </w:rPr>
        <w:t>/day/cow, compared with 365 (±61) g CH</w:t>
      </w:r>
      <w:r w:rsidRPr="00261B7A">
        <w:rPr>
          <w:rFonts w:cs="Calibri"/>
          <w:vertAlign w:val="subscript"/>
        </w:rPr>
        <w:t>4</w:t>
      </w:r>
      <w:r w:rsidRPr="00261B7A">
        <w:rPr>
          <w:rFonts w:cs="Calibri"/>
        </w:rPr>
        <w:t>/day/cow for the scaled-up measurements reported by Waghorn et al. (unpublished(a), unpublished</w:t>
      </w:r>
      <w:r w:rsidRPr="00261B7A" w:rsidDel="00810C5B">
        <w:rPr>
          <w:rFonts w:cs="Calibri"/>
        </w:rPr>
        <w:t xml:space="preserve"> </w:t>
      </w:r>
      <w:r w:rsidRPr="00261B7A">
        <w:rPr>
          <w:rFonts w:cs="Calibri"/>
        </w:rPr>
        <w:t>(b)) using the SF</w:t>
      </w:r>
      <w:r w:rsidRPr="00261B7A">
        <w:rPr>
          <w:rFonts w:cs="Calibri"/>
          <w:vertAlign w:val="subscript"/>
        </w:rPr>
        <w:t>6</w:t>
      </w:r>
      <w:r w:rsidRPr="00261B7A">
        <w:rPr>
          <w:rFonts w:cs="Calibri"/>
        </w:rPr>
        <w:t> technique for CH</w:t>
      </w:r>
      <w:r w:rsidRPr="00261B7A">
        <w:rPr>
          <w:rFonts w:cs="Calibri"/>
          <w:vertAlign w:val="subscript"/>
        </w:rPr>
        <w:t>4</w:t>
      </w:r>
      <w:r w:rsidRPr="00261B7A">
        <w:rPr>
          <w:rFonts w:cs="Calibri"/>
        </w:rPr>
        <w:t xml:space="preserve"> measurement. </w:t>
      </w:r>
    </w:p>
    <w:p w14:paraId="3D1EDEFC" w14:textId="77777777" w:rsidR="00994F64" w:rsidRPr="00261B7A" w:rsidRDefault="00994F64" w:rsidP="00994F64">
      <w:pPr>
        <w:pStyle w:val="BodyText"/>
        <w:rPr>
          <w:rFonts w:cs="Calibri"/>
        </w:rPr>
      </w:pPr>
      <w:r w:rsidRPr="00261B7A">
        <w:rPr>
          <w:rFonts w:cs="Calibri"/>
        </w:rPr>
        <w:t>Enteric CH</w:t>
      </w:r>
      <w:r w:rsidRPr="00261B7A">
        <w:rPr>
          <w:rFonts w:cs="Calibri"/>
          <w:vertAlign w:val="subscript"/>
        </w:rPr>
        <w:t>4</w:t>
      </w:r>
      <w:r w:rsidRPr="00261B7A">
        <w:rPr>
          <w:rFonts w:cs="Calibri"/>
        </w:rPr>
        <w:t xml:space="preserve"> emissions from lactating dairy cows have also been measured using the New Zealand SF</w:t>
      </w:r>
      <w:r w:rsidRPr="00261B7A">
        <w:rPr>
          <w:rFonts w:cs="Calibri"/>
          <w:vertAlign w:val="subscript"/>
        </w:rPr>
        <w:t>6</w:t>
      </w:r>
      <w:r w:rsidRPr="00261B7A">
        <w:rPr>
          <w:rFonts w:cs="Calibri"/>
        </w:rPr>
        <w:t xml:space="preserve"> tracer method compared with the respiration chamber techniques (Grainger et al., 2007). </w:t>
      </w:r>
      <w:r w:rsidRPr="00261B7A">
        <w:rPr>
          <w:rFonts w:cs="Calibri"/>
          <w:snapToGrid w:val="0"/>
          <w:color w:val="000000"/>
        </w:rPr>
        <w:t xml:space="preserve">Total </w:t>
      </w:r>
      <w:r w:rsidRPr="00261B7A">
        <w:rPr>
          <w:rFonts w:cs="Calibri"/>
        </w:rPr>
        <w:t>CH</w:t>
      </w:r>
      <w:r w:rsidRPr="00261B7A">
        <w:rPr>
          <w:rFonts w:cs="Calibri"/>
          <w:vertAlign w:val="subscript"/>
        </w:rPr>
        <w:t xml:space="preserve">4 </w:t>
      </w:r>
      <w:r w:rsidRPr="00261B7A">
        <w:rPr>
          <w:rFonts w:cs="Calibri"/>
        </w:rPr>
        <w:t>emissions were similar when measured using respiration chambers (322 g CH</w:t>
      </w:r>
      <w:r w:rsidRPr="00261B7A">
        <w:rPr>
          <w:rFonts w:cs="Calibri"/>
          <w:vertAlign w:val="subscript"/>
        </w:rPr>
        <w:t>4</w:t>
      </w:r>
      <w:r w:rsidRPr="00261B7A">
        <w:rPr>
          <w:rFonts w:cs="Calibri"/>
        </w:rPr>
        <w:t xml:space="preserve">/day/cow) or the </w:t>
      </w:r>
      <w:r w:rsidRPr="00261B7A">
        <w:rPr>
          <w:rFonts w:cs="Calibri"/>
          <w:snapToGrid w:val="0"/>
          <w:color w:val="000000"/>
        </w:rPr>
        <w:t>SF</w:t>
      </w:r>
      <w:r w:rsidRPr="00261B7A">
        <w:rPr>
          <w:rFonts w:cs="Calibri"/>
          <w:snapToGrid w:val="0"/>
          <w:color w:val="000000"/>
          <w:vertAlign w:val="subscript"/>
        </w:rPr>
        <w:t>6</w:t>
      </w:r>
      <w:r w:rsidRPr="00261B7A">
        <w:rPr>
          <w:rFonts w:cs="Calibri"/>
          <w:snapToGrid w:val="0"/>
          <w:color w:val="000000"/>
        </w:rPr>
        <w:t xml:space="preserve"> tracer technique (</w:t>
      </w:r>
      <w:r w:rsidRPr="00261B7A">
        <w:rPr>
          <w:rFonts w:cs="Calibri"/>
        </w:rPr>
        <w:t>331 g CH</w:t>
      </w:r>
      <w:r w:rsidRPr="00261B7A">
        <w:rPr>
          <w:rFonts w:cs="Calibri"/>
          <w:vertAlign w:val="subscript"/>
        </w:rPr>
        <w:t>4</w:t>
      </w:r>
      <w:r w:rsidRPr="00261B7A">
        <w:rPr>
          <w:rFonts w:cs="Calibri"/>
        </w:rPr>
        <w:t>/day/cow) but the uncertainty of the SF</w:t>
      </w:r>
      <w:r w:rsidRPr="00261B7A">
        <w:rPr>
          <w:rFonts w:cs="Calibri"/>
          <w:vertAlign w:val="subscript"/>
        </w:rPr>
        <w:t>6</w:t>
      </w:r>
      <w:r w:rsidRPr="00261B7A">
        <w:rPr>
          <w:rFonts w:cs="Calibri"/>
        </w:rPr>
        <w:t xml:space="preserve"> technique measurements was greater. </w:t>
      </w:r>
    </w:p>
    <w:p w14:paraId="645D4808" w14:textId="77777777" w:rsidR="00994F64" w:rsidRPr="00261B7A" w:rsidRDefault="00994F64" w:rsidP="00994F64">
      <w:pPr>
        <w:pStyle w:val="BodyText"/>
      </w:pPr>
      <w:r w:rsidRPr="00261B7A">
        <w:t xml:space="preserve">The calculations in New Zealand’s model for all cattle, sheep and deer are Tier 2 and are based on the 2006 IPCC Guidelines (IPCC, 2006). Table 5.2.5 shows a comparison of the New Zealand-specific 2020 IEFs for enteric fermentation with the IPCC Tier 1 Oceania default value, the IPCC Tier 2 net energy-based value and the Australian-specific 2019 IEF for dairy cattle, beef cattle and sheep. </w:t>
      </w:r>
    </w:p>
    <w:p w14:paraId="69A1369E" w14:textId="77777777" w:rsidR="00994F64" w:rsidRPr="00261B7A" w:rsidRDefault="00994F64" w:rsidP="00994F64">
      <w:pPr>
        <w:pStyle w:val="BodyText"/>
      </w:pPr>
      <w:r w:rsidRPr="00261B7A">
        <w:t>The IPCC Tier 2 net energy-based values are determined from the net energy algorithms in the 2006 IPCC Guidelines (equation 10.16) for dairy cattle, beef cattle and sheep. New Zealand’s inventory model calculates emissions for sheep (one year of age and older) and lambs (less than one year old) separately. Therefore, to provide an appropriate comparison between the New Zealand-specific IEF and the IPCC Tier 2 net energy-based values for sheep, the gross energy values determined using the IPCC Tier 2 energy equations were obtained for both sheep and lambs.</w:t>
      </w:r>
    </w:p>
    <w:p w14:paraId="68B931D3" w14:textId="77777777" w:rsidR="00994F64" w:rsidRPr="00261B7A" w:rsidRDefault="00994F64" w:rsidP="00994F64">
      <w:pPr>
        <w:pStyle w:val="Table"/>
        <w:rPr>
          <w:rFonts w:cs="Calibri"/>
        </w:rPr>
      </w:pPr>
      <w:bookmarkStart w:id="803" w:name="_Toc288316751"/>
      <w:bookmarkStart w:id="804" w:name="_Toc352504969"/>
      <w:bookmarkStart w:id="805" w:name="_Toc441830872"/>
      <w:bookmarkStart w:id="806" w:name="_Toc451176086"/>
      <w:bookmarkStart w:id="807" w:name="_Toc481751512"/>
      <w:bookmarkStart w:id="808" w:name="_Toc507158602"/>
      <w:bookmarkStart w:id="809" w:name="_Toc511116736"/>
      <w:bookmarkStart w:id="810" w:name="_Toc5269476"/>
      <w:bookmarkStart w:id="811" w:name="_Toc32570917"/>
      <w:bookmarkStart w:id="812" w:name="_Toc36224552"/>
      <w:bookmarkStart w:id="813" w:name="_Toc68786438"/>
      <w:bookmarkStart w:id="814" w:name="_Toc95574073"/>
      <w:bookmarkStart w:id="815" w:name="_Toc127458256"/>
      <w:bookmarkStart w:id="816" w:name="_Toc131591352"/>
      <w:r w:rsidRPr="00261B7A">
        <w:rPr>
          <w:rFonts w:cs="Calibri"/>
        </w:rPr>
        <w:t>Table 5.2.5</w:t>
      </w:r>
      <w:r w:rsidRPr="00261B7A">
        <w:rPr>
          <w:rFonts w:cs="Calibri"/>
        </w:rPr>
        <w:tab/>
        <w:t>Comparison of the IPCC (2006) default emission factor and country-specific implied emission factors (IEFs) for methane (CH</w:t>
      </w:r>
      <w:r w:rsidRPr="00261B7A">
        <w:rPr>
          <w:rFonts w:cs="Calibri"/>
          <w:vertAlign w:val="subscript"/>
        </w:rPr>
        <w:t>4</w:t>
      </w:r>
      <w:r w:rsidRPr="00261B7A">
        <w:rPr>
          <w:rFonts w:cs="Calibri"/>
        </w:rPr>
        <w:t xml:space="preserve">) from </w:t>
      </w:r>
      <w:r w:rsidRPr="00261B7A">
        <w:rPr>
          <w:rFonts w:cs="Calibri"/>
          <w:i/>
          <w:iCs/>
        </w:rPr>
        <w:t>Enteric fermentation</w:t>
      </w:r>
      <w:r w:rsidRPr="00261B7A">
        <w:rPr>
          <w:rFonts w:cs="Calibri"/>
        </w:rPr>
        <w:t xml:space="preserve"> for </w:t>
      </w:r>
      <w:r w:rsidRPr="00261B7A">
        <w:rPr>
          <w:rFonts w:cs="Calibri"/>
          <w:i/>
          <w:iCs/>
        </w:rPr>
        <w:t>Dairy cattle</w:t>
      </w:r>
      <w:r w:rsidRPr="00261B7A">
        <w:rPr>
          <w:rFonts w:cs="Calibri"/>
        </w:rPr>
        <w:t>,</w:t>
      </w:r>
      <w:r w:rsidRPr="00261B7A">
        <w:rPr>
          <w:rFonts w:cs="Calibri"/>
        </w:rPr>
        <w:br/>
      </w:r>
      <w:r w:rsidRPr="00261B7A">
        <w:rPr>
          <w:rFonts w:cs="Calibri"/>
          <w:i/>
          <w:iCs/>
        </w:rPr>
        <w:t>Non</w:t>
      </w:r>
      <w:r w:rsidRPr="00261B7A">
        <w:rPr>
          <w:rFonts w:cs="Calibri"/>
          <w:i/>
          <w:iCs/>
        </w:rPr>
        <w:noBreakHyphen/>
        <w:t>dairy</w:t>
      </w:r>
      <w:r w:rsidRPr="00261B7A">
        <w:rPr>
          <w:rFonts w:cs="Calibri"/>
        </w:rPr>
        <w:t xml:space="preserve"> (beef) </w:t>
      </w:r>
      <w:r w:rsidRPr="00261B7A">
        <w:rPr>
          <w:rFonts w:cs="Calibri"/>
          <w:i/>
          <w:iCs/>
        </w:rPr>
        <w:t>cattle</w:t>
      </w:r>
      <w:r w:rsidRPr="00261B7A">
        <w:rPr>
          <w:rFonts w:cs="Calibri"/>
        </w:rPr>
        <w:t xml:space="preserve"> and </w:t>
      </w:r>
      <w:r w:rsidRPr="00261B7A">
        <w:rPr>
          <w:rFonts w:cs="Calibri"/>
          <w:i/>
          <w:iCs/>
        </w:rPr>
        <w:t>Sheep</w:t>
      </w:r>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p>
    <w:tbl>
      <w:tblPr>
        <w:tblW w:w="8448"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57" w:type="dxa"/>
        </w:tblCellMar>
        <w:tblLook w:val="0000" w:firstRow="0" w:lastRow="0" w:firstColumn="0" w:lastColumn="0" w:noHBand="0" w:noVBand="0"/>
      </w:tblPr>
      <w:tblGrid>
        <w:gridCol w:w="2875"/>
        <w:gridCol w:w="2648"/>
        <w:gridCol w:w="1447"/>
        <w:gridCol w:w="1478"/>
      </w:tblGrid>
      <w:tr w:rsidR="00994F64" w:rsidRPr="00261B7A" w14:paraId="17AE22C3" w14:textId="77777777" w:rsidTr="00501B0F">
        <w:trPr>
          <w:trHeight w:val="406"/>
          <w:tblHeader/>
        </w:trPr>
        <w:tc>
          <w:tcPr>
            <w:tcW w:w="2892" w:type="dxa"/>
            <w:shd w:val="clear" w:color="auto" w:fill="1B556B"/>
          </w:tcPr>
          <w:p w14:paraId="23B9511B" w14:textId="77777777" w:rsidR="00994F64" w:rsidRPr="00261B7A" w:rsidRDefault="00994F64" w:rsidP="00501B0F">
            <w:pPr>
              <w:pStyle w:val="TableTextBold"/>
              <w:rPr>
                <w:noProof w:val="0"/>
                <w:color w:val="FFFFFF" w:themeColor="background1"/>
                <w:szCs w:val="16"/>
              </w:rPr>
            </w:pPr>
          </w:p>
        </w:tc>
        <w:tc>
          <w:tcPr>
            <w:tcW w:w="2665" w:type="dxa"/>
            <w:shd w:val="clear" w:color="auto" w:fill="1B556B"/>
            <w:vAlign w:val="bottom"/>
          </w:tcPr>
          <w:p w14:paraId="17695067" w14:textId="77777777" w:rsidR="00994F64" w:rsidRPr="00261B7A" w:rsidRDefault="00994F64" w:rsidP="00501B0F">
            <w:pPr>
              <w:pStyle w:val="TableTextBold"/>
              <w:jc w:val="center"/>
              <w:rPr>
                <w:noProof w:val="0"/>
                <w:color w:val="FFFFFF" w:themeColor="background1"/>
                <w:szCs w:val="16"/>
              </w:rPr>
            </w:pPr>
            <w:r w:rsidRPr="00261B7A">
              <w:rPr>
                <w:noProof w:val="0"/>
                <w:color w:val="FFFFFF" w:themeColor="background1"/>
                <w:szCs w:val="16"/>
              </w:rPr>
              <w:t>Dairy cattle</w:t>
            </w:r>
            <w:r w:rsidRPr="00261B7A">
              <w:rPr>
                <w:noProof w:val="0"/>
                <w:color w:val="FFFFFF" w:themeColor="background1"/>
                <w:szCs w:val="16"/>
              </w:rPr>
              <w:br/>
              <w:t>(kg CH</w:t>
            </w:r>
            <w:r w:rsidRPr="00261B7A">
              <w:rPr>
                <w:noProof w:val="0"/>
                <w:color w:val="FFFFFF" w:themeColor="background1"/>
                <w:szCs w:val="16"/>
                <w:vertAlign w:val="subscript"/>
              </w:rPr>
              <w:t>4</w:t>
            </w:r>
            <w:r w:rsidRPr="00261B7A">
              <w:rPr>
                <w:noProof w:val="0"/>
                <w:color w:val="FFFFFF" w:themeColor="background1"/>
                <w:szCs w:val="16"/>
              </w:rPr>
              <w:t>/head/year)</w:t>
            </w:r>
          </w:p>
        </w:tc>
        <w:tc>
          <w:tcPr>
            <w:tcW w:w="1456" w:type="dxa"/>
            <w:shd w:val="clear" w:color="auto" w:fill="1B556B"/>
            <w:vAlign w:val="bottom"/>
          </w:tcPr>
          <w:p w14:paraId="3E3E3FDB" w14:textId="77777777" w:rsidR="00994F64" w:rsidRPr="00261B7A" w:rsidRDefault="00994F64" w:rsidP="00501B0F">
            <w:pPr>
              <w:pStyle w:val="TableTextBold"/>
              <w:jc w:val="center"/>
              <w:rPr>
                <w:noProof w:val="0"/>
                <w:color w:val="FFFFFF" w:themeColor="background1"/>
                <w:szCs w:val="16"/>
              </w:rPr>
            </w:pPr>
            <w:r w:rsidRPr="00261B7A">
              <w:rPr>
                <w:noProof w:val="0"/>
                <w:color w:val="FFFFFF" w:themeColor="background1"/>
                <w:szCs w:val="16"/>
              </w:rPr>
              <w:t xml:space="preserve">Non-dairy </w:t>
            </w:r>
            <w:r w:rsidRPr="00261B7A">
              <w:rPr>
                <w:noProof w:val="0"/>
                <w:color w:val="FFFFFF" w:themeColor="background1"/>
                <w:szCs w:val="16"/>
              </w:rPr>
              <w:br/>
              <w:t>(beef) cattle</w:t>
            </w:r>
            <w:r w:rsidRPr="00261B7A">
              <w:rPr>
                <w:noProof w:val="0"/>
                <w:color w:val="FFFFFF" w:themeColor="background1"/>
                <w:szCs w:val="16"/>
              </w:rPr>
              <w:br/>
              <w:t>(kg CH</w:t>
            </w:r>
            <w:r w:rsidRPr="00261B7A">
              <w:rPr>
                <w:noProof w:val="0"/>
                <w:color w:val="FFFFFF" w:themeColor="background1"/>
                <w:szCs w:val="16"/>
                <w:vertAlign w:val="subscript"/>
              </w:rPr>
              <w:t>4</w:t>
            </w:r>
            <w:r w:rsidRPr="00261B7A">
              <w:rPr>
                <w:noProof w:val="0"/>
                <w:color w:val="FFFFFF" w:themeColor="background1"/>
                <w:szCs w:val="16"/>
              </w:rPr>
              <w:t>/head/year)</w:t>
            </w:r>
          </w:p>
        </w:tc>
        <w:tc>
          <w:tcPr>
            <w:tcW w:w="1487" w:type="dxa"/>
            <w:shd w:val="clear" w:color="auto" w:fill="1B556B"/>
            <w:vAlign w:val="bottom"/>
          </w:tcPr>
          <w:p w14:paraId="7524967D" w14:textId="77777777" w:rsidR="00994F64" w:rsidRPr="00261B7A" w:rsidRDefault="00994F64" w:rsidP="00501B0F">
            <w:pPr>
              <w:pStyle w:val="TableTextBold"/>
              <w:jc w:val="center"/>
              <w:rPr>
                <w:noProof w:val="0"/>
                <w:color w:val="FFFFFF" w:themeColor="background1"/>
                <w:szCs w:val="16"/>
              </w:rPr>
            </w:pPr>
            <w:r w:rsidRPr="00261B7A">
              <w:rPr>
                <w:noProof w:val="0"/>
                <w:color w:val="FFFFFF" w:themeColor="background1"/>
                <w:szCs w:val="16"/>
              </w:rPr>
              <w:t>Sheep</w:t>
            </w:r>
            <w:r w:rsidRPr="00261B7A">
              <w:rPr>
                <w:noProof w:val="0"/>
                <w:color w:val="FFFFFF" w:themeColor="background1"/>
                <w:szCs w:val="16"/>
              </w:rPr>
              <w:br/>
              <w:t>(kg CH</w:t>
            </w:r>
            <w:r w:rsidRPr="00261B7A">
              <w:rPr>
                <w:noProof w:val="0"/>
                <w:color w:val="FFFFFF" w:themeColor="background1"/>
                <w:szCs w:val="16"/>
                <w:vertAlign w:val="subscript"/>
              </w:rPr>
              <w:t>4</w:t>
            </w:r>
            <w:r w:rsidRPr="00261B7A">
              <w:rPr>
                <w:noProof w:val="0"/>
                <w:color w:val="FFFFFF" w:themeColor="background1"/>
                <w:szCs w:val="16"/>
              </w:rPr>
              <w:t>/head/year)</w:t>
            </w:r>
          </w:p>
        </w:tc>
      </w:tr>
      <w:tr w:rsidR="00994F64" w:rsidRPr="00261B7A" w14:paraId="0D188FA1" w14:textId="77777777" w:rsidTr="00501B0F">
        <w:trPr>
          <w:trHeight w:val="248"/>
        </w:trPr>
        <w:tc>
          <w:tcPr>
            <w:tcW w:w="2892" w:type="dxa"/>
          </w:tcPr>
          <w:p w14:paraId="0E78554E" w14:textId="77777777" w:rsidR="00994F64" w:rsidRPr="00261B7A" w:rsidRDefault="00994F64" w:rsidP="00501B0F">
            <w:pPr>
              <w:pStyle w:val="TableText"/>
              <w:rPr>
                <w:rFonts w:cs="Calibri"/>
                <w:szCs w:val="16"/>
              </w:rPr>
            </w:pPr>
            <w:r w:rsidRPr="00261B7A">
              <w:rPr>
                <w:rFonts w:cs="Calibri"/>
                <w:szCs w:val="16"/>
              </w:rPr>
              <w:t>IPCC (2006) Tier 1 Oceania default value</w:t>
            </w:r>
          </w:p>
        </w:tc>
        <w:tc>
          <w:tcPr>
            <w:tcW w:w="2665" w:type="dxa"/>
          </w:tcPr>
          <w:p w14:paraId="396D493C" w14:textId="77777777" w:rsidR="00994F64" w:rsidRPr="00261B7A" w:rsidRDefault="00994F64" w:rsidP="00501B0F">
            <w:pPr>
              <w:pStyle w:val="TableText"/>
              <w:jc w:val="center"/>
              <w:rPr>
                <w:rFonts w:cs="Calibri"/>
                <w:szCs w:val="16"/>
              </w:rPr>
            </w:pPr>
            <w:r w:rsidRPr="00261B7A">
              <w:rPr>
                <w:rFonts w:cs="Calibri"/>
                <w:szCs w:val="16"/>
              </w:rPr>
              <w:t>90.0</w:t>
            </w:r>
          </w:p>
        </w:tc>
        <w:tc>
          <w:tcPr>
            <w:tcW w:w="1456" w:type="dxa"/>
          </w:tcPr>
          <w:p w14:paraId="309F499B" w14:textId="77777777" w:rsidR="00994F64" w:rsidRPr="00261B7A" w:rsidRDefault="00994F64" w:rsidP="00501B0F">
            <w:pPr>
              <w:pStyle w:val="TableText"/>
              <w:jc w:val="center"/>
              <w:rPr>
                <w:rFonts w:cs="Calibri"/>
                <w:szCs w:val="16"/>
              </w:rPr>
            </w:pPr>
            <w:r w:rsidRPr="00261B7A">
              <w:rPr>
                <w:rFonts w:cs="Calibri"/>
                <w:szCs w:val="16"/>
              </w:rPr>
              <w:t>60.0</w:t>
            </w:r>
          </w:p>
        </w:tc>
        <w:tc>
          <w:tcPr>
            <w:tcW w:w="1487" w:type="dxa"/>
          </w:tcPr>
          <w:p w14:paraId="69D78BBC" w14:textId="77777777" w:rsidR="00994F64" w:rsidRPr="00261B7A" w:rsidRDefault="00994F64" w:rsidP="00501B0F">
            <w:pPr>
              <w:pStyle w:val="TableText"/>
              <w:jc w:val="center"/>
              <w:rPr>
                <w:rFonts w:cs="Calibri"/>
                <w:szCs w:val="16"/>
              </w:rPr>
            </w:pPr>
            <w:r w:rsidRPr="00261B7A">
              <w:rPr>
                <w:rFonts w:cs="Calibri"/>
                <w:szCs w:val="16"/>
              </w:rPr>
              <w:t>8.0</w:t>
            </w:r>
          </w:p>
        </w:tc>
      </w:tr>
      <w:tr w:rsidR="00994F64" w:rsidRPr="00261B7A" w14:paraId="7AFD9DBE" w14:textId="77777777" w:rsidTr="00501B0F">
        <w:trPr>
          <w:trHeight w:val="248"/>
        </w:trPr>
        <w:tc>
          <w:tcPr>
            <w:tcW w:w="2892" w:type="dxa"/>
            <w:shd w:val="clear" w:color="auto" w:fill="auto"/>
          </w:tcPr>
          <w:p w14:paraId="024ACF49" w14:textId="77777777" w:rsidR="00994F64" w:rsidRPr="00261B7A" w:rsidRDefault="00994F64" w:rsidP="00501B0F">
            <w:pPr>
              <w:pStyle w:val="TableText"/>
              <w:rPr>
                <w:rFonts w:cs="Calibri"/>
                <w:szCs w:val="16"/>
              </w:rPr>
            </w:pPr>
            <w:r w:rsidRPr="00261B7A">
              <w:rPr>
                <w:rFonts w:cs="Calibri"/>
                <w:szCs w:val="16"/>
              </w:rPr>
              <w:t>IPCC (2006) Tier 2 net energy-based value</w:t>
            </w:r>
          </w:p>
        </w:tc>
        <w:tc>
          <w:tcPr>
            <w:tcW w:w="2665" w:type="dxa"/>
            <w:shd w:val="clear" w:color="auto" w:fill="auto"/>
          </w:tcPr>
          <w:p w14:paraId="0AFED50D" w14:textId="77777777" w:rsidR="00994F64" w:rsidRPr="00261B7A" w:rsidRDefault="00994F64" w:rsidP="00501B0F">
            <w:pPr>
              <w:pStyle w:val="TableText"/>
              <w:jc w:val="center"/>
              <w:rPr>
                <w:rFonts w:cs="Calibri"/>
                <w:szCs w:val="16"/>
              </w:rPr>
            </w:pPr>
            <w:r w:rsidRPr="00261B7A">
              <w:rPr>
                <w:rFonts w:cs="Calibri"/>
                <w:szCs w:val="16"/>
              </w:rPr>
              <w:t>72.5</w:t>
            </w:r>
          </w:p>
        </w:tc>
        <w:tc>
          <w:tcPr>
            <w:tcW w:w="1456" w:type="dxa"/>
            <w:shd w:val="clear" w:color="auto" w:fill="auto"/>
          </w:tcPr>
          <w:p w14:paraId="6D4009AC" w14:textId="77777777" w:rsidR="00994F64" w:rsidRPr="00261B7A" w:rsidRDefault="00994F64" w:rsidP="00501B0F">
            <w:pPr>
              <w:pStyle w:val="TableText"/>
              <w:jc w:val="center"/>
              <w:rPr>
                <w:rFonts w:cs="Calibri"/>
                <w:szCs w:val="16"/>
              </w:rPr>
            </w:pPr>
            <w:r w:rsidRPr="00261B7A">
              <w:rPr>
                <w:rFonts w:cs="Calibri"/>
                <w:szCs w:val="16"/>
              </w:rPr>
              <w:t>51.6</w:t>
            </w:r>
          </w:p>
        </w:tc>
        <w:tc>
          <w:tcPr>
            <w:tcW w:w="1487" w:type="dxa"/>
            <w:shd w:val="clear" w:color="auto" w:fill="auto"/>
          </w:tcPr>
          <w:p w14:paraId="4CBFF3ED" w14:textId="77777777" w:rsidR="00994F64" w:rsidRPr="00261B7A" w:rsidRDefault="00994F64" w:rsidP="00501B0F">
            <w:pPr>
              <w:pStyle w:val="TableText"/>
              <w:jc w:val="center"/>
              <w:rPr>
                <w:rFonts w:cs="Calibri"/>
                <w:szCs w:val="16"/>
              </w:rPr>
            </w:pPr>
            <w:r w:rsidRPr="00261B7A">
              <w:rPr>
                <w:rFonts w:cs="Calibri"/>
                <w:szCs w:val="16"/>
              </w:rPr>
              <w:t>8.9</w:t>
            </w:r>
          </w:p>
        </w:tc>
      </w:tr>
      <w:tr w:rsidR="00994F64" w:rsidRPr="00261B7A" w14:paraId="1E1113CC" w14:textId="77777777" w:rsidTr="00501B0F">
        <w:trPr>
          <w:trHeight w:val="455"/>
        </w:trPr>
        <w:tc>
          <w:tcPr>
            <w:tcW w:w="2892" w:type="dxa"/>
          </w:tcPr>
          <w:p w14:paraId="6E996946" w14:textId="77777777" w:rsidR="00994F64" w:rsidRPr="00261B7A" w:rsidRDefault="00994F64" w:rsidP="00501B0F">
            <w:pPr>
              <w:pStyle w:val="TableText"/>
              <w:rPr>
                <w:rFonts w:cs="Calibri"/>
                <w:szCs w:val="16"/>
              </w:rPr>
            </w:pPr>
            <w:r w:rsidRPr="00261B7A">
              <w:rPr>
                <w:rFonts w:cs="Calibri"/>
                <w:szCs w:val="16"/>
              </w:rPr>
              <w:t>Australian-specific IEF 2020 value</w:t>
            </w:r>
            <w:r w:rsidRPr="00261B7A">
              <w:rPr>
                <w:rStyle w:val="FootnoteReference"/>
                <w:rFonts w:cs="Calibri"/>
                <w:sz w:val="16"/>
                <w:szCs w:val="16"/>
              </w:rPr>
              <w:footnoteReference w:id="45"/>
            </w:r>
          </w:p>
        </w:tc>
        <w:tc>
          <w:tcPr>
            <w:tcW w:w="2665" w:type="dxa"/>
          </w:tcPr>
          <w:p w14:paraId="0E6887F6" w14:textId="77777777" w:rsidR="00994F64" w:rsidRPr="00261B7A" w:rsidRDefault="00994F64" w:rsidP="00501B0F">
            <w:pPr>
              <w:pStyle w:val="TableText"/>
              <w:jc w:val="center"/>
              <w:rPr>
                <w:rFonts w:cs="Calibri"/>
                <w:szCs w:val="16"/>
              </w:rPr>
            </w:pPr>
            <w:r w:rsidRPr="00261B7A">
              <w:rPr>
                <w:rFonts w:cs="Calibri"/>
                <w:szCs w:val="16"/>
              </w:rPr>
              <w:t>95.7</w:t>
            </w:r>
          </w:p>
        </w:tc>
        <w:tc>
          <w:tcPr>
            <w:tcW w:w="1456" w:type="dxa"/>
          </w:tcPr>
          <w:p w14:paraId="5B34A0A3" w14:textId="77777777" w:rsidR="00994F64" w:rsidRPr="00261B7A" w:rsidRDefault="00994F64" w:rsidP="00501B0F">
            <w:pPr>
              <w:pStyle w:val="TableText"/>
              <w:spacing w:after="20"/>
              <w:jc w:val="center"/>
              <w:rPr>
                <w:rFonts w:cs="Calibri"/>
                <w:szCs w:val="16"/>
              </w:rPr>
            </w:pPr>
            <w:r w:rsidRPr="00261B7A">
              <w:rPr>
                <w:rFonts w:cs="Calibri"/>
                <w:szCs w:val="16"/>
              </w:rPr>
              <w:t>51.2 (pasture)</w:t>
            </w:r>
          </w:p>
          <w:p w14:paraId="0D0376DE" w14:textId="77777777" w:rsidR="00994F64" w:rsidRPr="00261B7A" w:rsidRDefault="00994F64" w:rsidP="00501B0F">
            <w:pPr>
              <w:pStyle w:val="TableText"/>
              <w:spacing w:before="0"/>
              <w:jc w:val="center"/>
              <w:rPr>
                <w:rFonts w:cs="Calibri"/>
                <w:szCs w:val="16"/>
              </w:rPr>
            </w:pPr>
            <w:r w:rsidRPr="00261B7A">
              <w:rPr>
                <w:rFonts w:cs="Calibri"/>
                <w:szCs w:val="16"/>
              </w:rPr>
              <w:t>67.2 (feedlot)</w:t>
            </w:r>
          </w:p>
        </w:tc>
        <w:tc>
          <w:tcPr>
            <w:tcW w:w="1487" w:type="dxa"/>
          </w:tcPr>
          <w:p w14:paraId="58F3DA78" w14:textId="77777777" w:rsidR="00994F64" w:rsidRPr="00261B7A" w:rsidRDefault="00994F64" w:rsidP="00501B0F">
            <w:pPr>
              <w:pStyle w:val="TableText"/>
              <w:jc w:val="center"/>
              <w:rPr>
                <w:rFonts w:cs="Calibri"/>
                <w:szCs w:val="16"/>
              </w:rPr>
            </w:pPr>
            <w:r w:rsidRPr="00261B7A">
              <w:rPr>
                <w:rFonts w:cs="Calibri"/>
                <w:szCs w:val="16"/>
              </w:rPr>
              <w:t>6.7</w:t>
            </w:r>
          </w:p>
        </w:tc>
      </w:tr>
      <w:tr w:rsidR="00994F64" w:rsidRPr="00261B7A" w14:paraId="1691CB93" w14:textId="77777777" w:rsidTr="00501B0F">
        <w:trPr>
          <w:trHeight w:val="36"/>
        </w:trPr>
        <w:tc>
          <w:tcPr>
            <w:tcW w:w="2892" w:type="dxa"/>
          </w:tcPr>
          <w:p w14:paraId="103149A9" w14:textId="77777777" w:rsidR="00994F64" w:rsidRPr="00261B7A" w:rsidRDefault="00994F64" w:rsidP="00501B0F">
            <w:pPr>
              <w:pStyle w:val="TableText"/>
              <w:rPr>
                <w:rFonts w:cs="Calibri"/>
                <w:szCs w:val="16"/>
              </w:rPr>
            </w:pPr>
            <w:r w:rsidRPr="00261B7A">
              <w:rPr>
                <w:rFonts w:cs="Calibri"/>
                <w:szCs w:val="16"/>
              </w:rPr>
              <w:t>New Zealand-specific IEF 2021 value</w:t>
            </w:r>
          </w:p>
        </w:tc>
        <w:tc>
          <w:tcPr>
            <w:tcW w:w="2665" w:type="dxa"/>
          </w:tcPr>
          <w:p w14:paraId="4DE395FC" w14:textId="77777777" w:rsidR="00994F64" w:rsidRPr="00261B7A" w:rsidRDefault="00994F64" w:rsidP="00501B0F">
            <w:pPr>
              <w:pStyle w:val="TableText"/>
              <w:spacing w:after="0"/>
              <w:jc w:val="center"/>
              <w:rPr>
                <w:rFonts w:cs="Calibri"/>
                <w:szCs w:val="16"/>
              </w:rPr>
            </w:pPr>
            <w:r w:rsidRPr="00261B7A">
              <w:rPr>
                <w:rFonts w:cs="Calibri"/>
                <w:szCs w:val="16"/>
              </w:rPr>
              <w:t>79.4 (all dairy cattle, including calves)</w:t>
            </w:r>
          </w:p>
          <w:p w14:paraId="2EFDCA3A" w14:textId="77777777" w:rsidR="00994F64" w:rsidRPr="00261B7A" w:rsidRDefault="00994F64" w:rsidP="00501B0F">
            <w:pPr>
              <w:pStyle w:val="TableText"/>
              <w:spacing w:before="20"/>
              <w:jc w:val="center"/>
              <w:rPr>
                <w:rFonts w:cs="Calibri"/>
                <w:szCs w:val="16"/>
              </w:rPr>
            </w:pPr>
            <w:r w:rsidRPr="00261B7A">
              <w:rPr>
                <w:rFonts w:cs="Calibri"/>
                <w:szCs w:val="16"/>
              </w:rPr>
              <w:t>97.0 (mature milking cattle only)</w:t>
            </w:r>
          </w:p>
        </w:tc>
        <w:tc>
          <w:tcPr>
            <w:tcW w:w="1456" w:type="dxa"/>
          </w:tcPr>
          <w:p w14:paraId="5943D934" w14:textId="77777777" w:rsidR="00994F64" w:rsidRPr="00261B7A" w:rsidRDefault="00994F64" w:rsidP="00501B0F">
            <w:pPr>
              <w:pStyle w:val="TableText"/>
              <w:jc w:val="center"/>
              <w:rPr>
                <w:rFonts w:cs="Calibri"/>
                <w:szCs w:val="16"/>
              </w:rPr>
            </w:pPr>
            <w:r w:rsidRPr="00261B7A">
              <w:rPr>
                <w:rFonts w:cs="Calibri"/>
                <w:szCs w:val="16"/>
              </w:rPr>
              <w:t>60.0</w:t>
            </w:r>
          </w:p>
        </w:tc>
        <w:tc>
          <w:tcPr>
            <w:tcW w:w="1487" w:type="dxa"/>
          </w:tcPr>
          <w:p w14:paraId="1AF07A55" w14:textId="77777777" w:rsidR="00994F64" w:rsidRPr="00261B7A" w:rsidDel="00176609" w:rsidRDefault="00994F64" w:rsidP="00501B0F">
            <w:pPr>
              <w:pStyle w:val="TableText"/>
              <w:jc w:val="center"/>
              <w:rPr>
                <w:rFonts w:cs="Calibri"/>
                <w:szCs w:val="16"/>
              </w:rPr>
            </w:pPr>
            <w:r w:rsidRPr="00261B7A">
              <w:rPr>
                <w:rFonts w:cs="Calibri"/>
                <w:szCs w:val="16"/>
              </w:rPr>
              <w:t>12.5</w:t>
            </w:r>
          </w:p>
        </w:tc>
      </w:tr>
    </w:tbl>
    <w:p w14:paraId="723B7ED2" w14:textId="77777777" w:rsidR="00994F64" w:rsidRPr="00261B7A" w:rsidRDefault="00994F64" w:rsidP="00994F64">
      <w:pPr>
        <w:pStyle w:val="Noteundertable"/>
        <w:rPr>
          <w:rFonts w:cs="Calibri"/>
        </w:rPr>
      </w:pPr>
      <w:r w:rsidRPr="00261B7A">
        <w:rPr>
          <w:rFonts w:cs="Calibri"/>
          <w:b/>
          <w:bCs/>
        </w:rPr>
        <w:t xml:space="preserve">Note: </w:t>
      </w:r>
      <w:r w:rsidRPr="00261B7A">
        <w:rPr>
          <w:rFonts w:cs="Calibri"/>
          <w:b/>
        </w:rPr>
        <w:tab/>
      </w:r>
      <w:r w:rsidRPr="00261B7A">
        <w:rPr>
          <w:rFonts w:cs="Calibri"/>
        </w:rPr>
        <w:t>The IPCC (2006) value for sheep is for developed countries.</w:t>
      </w:r>
    </w:p>
    <w:p w14:paraId="6F7D35DF" w14:textId="77777777" w:rsidR="00994F64" w:rsidRPr="00261B7A" w:rsidRDefault="00994F64" w:rsidP="00994F64">
      <w:pPr>
        <w:pStyle w:val="BodyText"/>
        <w:rPr>
          <w:rFonts w:cs="Calibri"/>
        </w:rPr>
      </w:pPr>
      <w:r w:rsidRPr="00261B7A">
        <w:rPr>
          <w:rFonts w:cs="Calibri"/>
          <w:b/>
          <w:bCs/>
          <w:i/>
          <w:iCs/>
        </w:rPr>
        <w:t>Dairy cattle:</w:t>
      </w:r>
      <w:r w:rsidRPr="00261B7A">
        <w:rPr>
          <w:rFonts w:cs="Calibri"/>
        </w:rPr>
        <w:t xml:space="preserve"> New Zealand’s 2021 IEF for all dairy cattle, including calves, is lower than the IPCC Tier 1 Oceania default value and the Australian-specific IEF. New Zealand’s 2021 IEF for mature milking cattle is higher than the IPCC Tier 1 Oceania default value and the 2020 Australian-specific IEF.</w:t>
      </w:r>
    </w:p>
    <w:p w14:paraId="3188A852" w14:textId="77777777" w:rsidR="00994F64" w:rsidRPr="00261B7A" w:rsidRDefault="00994F64" w:rsidP="00994F64">
      <w:pPr>
        <w:pStyle w:val="BodyText"/>
        <w:rPr>
          <w:rFonts w:cs="Calibri"/>
        </w:rPr>
      </w:pPr>
      <w:r w:rsidRPr="00261B7A">
        <w:rPr>
          <w:rFonts w:cs="Calibri"/>
        </w:rPr>
        <w:t xml:space="preserve">Although New Zealand’s predominantly pasture-based system is similar to Australian dairy cattle management, the lower IEF value could be explained by New Zealand’s higher proportion of lower liveweight cattle breeds. The 2017 Australian dairy herd comprised 74 per cent Holstein; other breeds include Jersey, Brown Swiss, Ayrshire, the Australian Red and the Illawarra (DataGene Limited, 2018). In 2020, 49.6 per cent of New Zealand’s cow population comprised a Holstein–Friesian/Jersey crossbreed, 32.5 per cent are Holstein–Friesian and 8.2 per cent are Jersey (LIC and DairyNZ, 2021). </w:t>
      </w:r>
    </w:p>
    <w:p w14:paraId="62AE1273" w14:textId="77777777" w:rsidR="00994F64" w:rsidRPr="00261B7A" w:rsidRDefault="00994F64" w:rsidP="00994F64">
      <w:pPr>
        <w:pStyle w:val="BodyText"/>
        <w:rPr>
          <w:rFonts w:cs="Calibri"/>
          <w:spacing w:val="-2"/>
        </w:rPr>
      </w:pPr>
      <w:r w:rsidRPr="00261B7A">
        <w:rPr>
          <w:rFonts w:cs="Calibri"/>
          <w:spacing w:val="-2"/>
        </w:rPr>
        <w:t>In New Zealand’s Tier 2 inventory model, dairy cattle encompass all cattle that are required to support the milking dairy herd. This includes calves, young growing non</w:t>
      </w:r>
      <w:r w:rsidRPr="00261B7A">
        <w:rPr>
          <w:rFonts w:cs="Calibri"/>
          <w:spacing w:val="-2"/>
        </w:rPr>
        <w:noBreakHyphen/>
        <w:t xml:space="preserve">lactating heifers, dry cows and bulls. Because the emissions from these animals are included in the IEF calculations, the IEF will be lower than if only mature milking cows had been taken into account. </w:t>
      </w:r>
    </w:p>
    <w:p w14:paraId="4B06BC9D" w14:textId="77777777" w:rsidR="00994F64" w:rsidRPr="00261B7A" w:rsidRDefault="00994F64" w:rsidP="00994F64">
      <w:pPr>
        <w:pStyle w:val="BodyText"/>
        <w:rPr>
          <w:rFonts w:cs="Calibri"/>
        </w:rPr>
      </w:pPr>
      <w:r w:rsidRPr="00261B7A">
        <w:rPr>
          <w:rFonts w:cs="Calibri"/>
        </w:rPr>
        <w:t>New Zealand’s dairy 2021 IEF is higher than the IPCC Tier 2 net energy-based value because the feeding algorithms within New Zealand’s national inventory use New Zealand-specific activity data and methodology that better reflect the pastoral-based farming systems in New Zealand.</w:t>
      </w:r>
    </w:p>
    <w:p w14:paraId="5C7EB005" w14:textId="77777777" w:rsidR="00994F64" w:rsidRPr="00261B7A" w:rsidRDefault="00994F64" w:rsidP="00994F64">
      <w:pPr>
        <w:pStyle w:val="BodyText"/>
        <w:rPr>
          <w:rFonts w:cs="Calibri"/>
        </w:rPr>
      </w:pPr>
      <w:r w:rsidRPr="00261B7A">
        <w:rPr>
          <w:rFonts w:cs="Calibri"/>
          <w:b/>
          <w:bCs/>
          <w:i/>
          <w:iCs/>
        </w:rPr>
        <w:t xml:space="preserve">Non-dairy </w:t>
      </w:r>
      <w:r w:rsidRPr="00261B7A">
        <w:rPr>
          <w:rFonts w:cs="Calibri"/>
          <w:b/>
          <w:bCs/>
        </w:rPr>
        <w:t>(beef)</w:t>
      </w:r>
      <w:r w:rsidRPr="00261B7A">
        <w:rPr>
          <w:rFonts w:cs="Calibri"/>
          <w:b/>
          <w:bCs/>
          <w:i/>
          <w:iCs/>
        </w:rPr>
        <w:t xml:space="preserve"> cattle:</w:t>
      </w:r>
      <w:r w:rsidRPr="00261B7A">
        <w:rPr>
          <w:rFonts w:cs="Calibri"/>
        </w:rPr>
        <w:t xml:space="preserve"> The New Zealand-specific 2021 IEF for </w:t>
      </w:r>
      <w:r w:rsidRPr="00261B7A">
        <w:rPr>
          <w:rFonts w:cs="Calibri"/>
          <w:i/>
          <w:iCs/>
        </w:rPr>
        <w:t xml:space="preserve">Non-dairy </w:t>
      </w:r>
      <w:r w:rsidRPr="00261B7A">
        <w:rPr>
          <w:rFonts w:cs="Calibri"/>
        </w:rPr>
        <w:t>(beef)</w:t>
      </w:r>
      <w:r w:rsidRPr="00261B7A">
        <w:rPr>
          <w:rFonts w:cs="Calibri"/>
          <w:i/>
          <w:iCs/>
        </w:rPr>
        <w:t xml:space="preserve"> cattle</w:t>
      </w:r>
      <w:r w:rsidRPr="00261B7A">
        <w:rPr>
          <w:rFonts w:cs="Calibri"/>
        </w:rPr>
        <w:t xml:space="preserve"> is similar to the IPCC Tier 1 Oceania default value but greater than the IPCC Tier 2 net energy-based value. Differences such as feed type and quality, breed and which animals are characterised as non</w:t>
      </w:r>
      <w:r w:rsidRPr="00261B7A">
        <w:rPr>
          <w:rFonts w:cs="Calibri"/>
        </w:rPr>
        <w:noBreakHyphen/>
        <w:t>dairy will influence the IEFs. As explained for dairy cattle above, the main difference between the IPCC Tier 2 value and the New Zealand-specific value (apart from the different energy equations determining them) is that the feeding algorithms within New Zealand’s national inventory use New Zealand-specific activity data and methodology that better reflect New Zealand’s outdoor pastoral-based farming systems.</w:t>
      </w:r>
    </w:p>
    <w:p w14:paraId="0333999F" w14:textId="77777777" w:rsidR="00994F64" w:rsidRPr="00261B7A" w:rsidRDefault="00994F64" w:rsidP="00994F64">
      <w:pPr>
        <w:pStyle w:val="BodyText"/>
        <w:rPr>
          <w:rFonts w:cs="Calibri"/>
        </w:rPr>
      </w:pPr>
      <w:r w:rsidRPr="00261B7A">
        <w:rPr>
          <w:rFonts w:cs="Calibri"/>
          <w:b/>
          <w:bCs/>
          <w:i/>
          <w:iCs/>
        </w:rPr>
        <w:t>Sheep:</w:t>
      </w:r>
      <w:r w:rsidRPr="00261B7A">
        <w:rPr>
          <w:rFonts w:cs="Calibri"/>
        </w:rPr>
        <w:t xml:space="preserve"> New Zealand’s 2021 IEF for sheep is higher than the IPCC Tier 1 default value and higher than the 2020 Australian-specific IEF. This is because the annual sheep population figure used to calculate the IEF is based on the June population, in winter. This count excludes most lambs, born in spring (August–September) and raised and slaughtered during summer and early autumn (February, March and April). New Zealand does take lambs into account when determining total annual enteric CH</w:t>
      </w:r>
      <w:r w:rsidRPr="00261B7A">
        <w:rPr>
          <w:rFonts w:cs="Calibri"/>
          <w:vertAlign w:val="subscript"/>
        </w:rPr>
        <w:t>4</w:t>
      </w:r>
      <w:r w:rsidRPr="00261B7A">
        <w:rPr>
          <w:rFonts w:cs="Calibri"/>
        </w:rPr>
        <w:t xml:space="preserve"> emissions because emissions are calculated monthly, but it does not include the lamb population when estimating the IEF. This results in the 2021 calculated sheep IEF being higher than the IPCC default IEF. The IPCC Tier 2 net energy-based sheep IEF is lower than New Zealand’s-specific 2021 sheep IEF. The difference can be explained by the same rationale as put forward for cattle.</w:t>
      </w:r>
    </w:p>
    <w:p w14:paraId="6D990827" w14:textId="77777777" w:rsidR="00994F64" w:rsidRPr="00261B7A" w:rsidRDefault="00994F64" w:rsidP="00994F64">
      <w:pPr>
        <w:pStyle w:val="Heading4"/>
      </w:pPr>
      <w:r w:rsidRPr="00261B7A">
        <w:t>Verifying regional methane emissions using inverse modelling techniques</w:t>
      </w:r>
    </w:p>
    <w:p w14:paraId="22DAC47F" w14:textId="77777777" w:rsidR="00994F64" w:rsidRPr="00261B7A" w:rsidRDefault="00994F64" w:rsidP="00994F64">
      <w:pPr>
        <w:pStyle w:val="BodyText"/>
      </w:pPr>
      <w:r w:rsidRPr="00261B7A">
        <w:t>New Zealand has invested in developing country-specific methods and emission factors to estimate CH</w:t>
      </w:r>
      <w:r w:rsidRPr="00261B7A">
        <w:rPr>
          <w:vertAlign w:val="subscript"/>
        </w:rPr>
        <w:t>4</w:t>
      </w:r>
      <w:r w:rsidRPr="00261B7A">
        <w:t xml:space="preserve"> emissions from ruminant animals, given their contribution to gross greenhouse gas emissions in the New Zealand inventory. Present CH</w:t>
      </w:r>
      <w:r w:rsidRPr="00261B7A">
        <w:rPr>
          <w:vertAlign w:val="subscript"/>
        </w:rPr>
        <w:t>4</w:t>
      </w:r>
      <w:r w:rsidRPr="00261B7A">
        <w:t xml:space="preserve"> emissions can be robustly calculated from estimates of animal populations, DMI and emission factors, but it is challenging to verify the efficacy of mitigation technologies in the field. A possible solution is inverse modelling of emissions, based on atmospheric greenhouse gas measurements from a network of observing stations, combined with models that describe the pathway the air took before arriving at the station to infer regional to national greenhouse gas emissions or uptake. The inversion is conducted by taking all existing data, the initial estimates of regional CH</w:t>
      </w:r>
      <w:r w:rsidRPr="00261B7A">
        <w:rPr>
          <w:vertAlign w:val="subscript"/>
        </w:rPr>
        <w:t>4</w:t>
      </w:r>
      <w:r w:rsidRPr="00261B7A">
        <w:t xml:space="preserve"> (a priori), observations and back trajectory modelling, to infer what the regional emissions of CH</w:t>
      </w:r>
      <w:r w:rsidRPr="00261B7A">
        <w:rPr>
          <w:vertAlign w:val="subscript"/>
        </w:rPr>
        <w:t>4</w:t>
      </w:r>
      <w:r w:rsidRPr="00261B7A">
        <w:t xml:space="preserve"> were.</w:t>
      </w:r>
    </w:p>
    <w:p w14:paraId="3DB0FE26" w14:textId="77777777" w:rsidR="00994F64" w:rsidRPr="00261B7A" w:rsidRDefault="00994F64" w:rsidP="00994F64">
      <w:pPr>
        <w:pStyle w:val="BodyText"/>
      </w:pPr>
      <w:r w:rsidRPr="00261B7A">
        <w:t>In Geddes et al. (2021), atmospheric inverse modelling was tested on regional and national emission estimates for 2011 to 2013 and 2018 using data collected from the National Institute of Water and Atmospheric Research observing stations at Lauder, Central Otago, and Baring Head, Wellington region. The emission estimates from this research are underpinned by several key resources: (i) an initial estimate of monthly CH</w:t>
      </w:r>
      <w:r w:rsidRPr="00261B7A">
        <w:rPr>
          <w:vertAlign w:val="subscript"/>
        </w:rPr>
        <w:t>4</w:t>
      </w:r>
      <w:r w:rsidRPr="00261B7A">
        <w:t xml:space="preserve"> emissions and distributions; (ii) atmospheric CH</w:t>
      </w:r>
      <w:r w:rsidRPr="00261B7A">
        <w:rPr>
          <w:vertAlign w:val="subscript"/>
        </w:rPr>
        <w:t>4</w:t>
      </w:r>
      <w:r w:rsidRPr="00261B7A">
        <w:t xml:space="preserve"> measurements at an inland and a background (baseline CH</w:t>
      </w:r>
      <w:r w:rsidRPr="00261B7A">
        <w:rPr>
          <w:vertAlign w:val="subscript"/>
        </w:rPr>
        <w:t>4</w:t>
      </w:r>
      <w:r w:rsidRPr="00261B7A">
        <w:t xml:space="preserve"> levels) site; (iii) an atmospheric transport model that describes the pathway air took before arriving at the observing sites; and (iv) an inverse method that estimates the best combination of emissions to match the available data. </w:t>
      </w:r>
    </w:p>
    <w:p w14:paraId="4A12D29E" w14:textId="77777777" w:rsidR="00994F64" w:rsidRPr="00261B7A" w:rsidRDefault="00994F64" w:rsidP="00994F64">
      <w:pPr>
        <w:pStyle w:val="BodyText"/>
      </w:pPr>
      <w:r w:rsidRPr="00261B7A">
        <w:t>Due to the atmospheric observing network’s insensitivity to North Island CH</w:t>
      </w:r>
      <w:r w:rsidRPr="00261B7A">
        <w:rPr>
          <w:vertAlign w:val="subscript"/>
        </w:rPr>
        <w:t>4</w:t>
      </w:r>
      <w:r w:rsidRPr="00261B7A">
        <w:t xml:space="preserve"> emissions, calculated emissions for the South Island using the inverse model were more robust than North Island estimates. For the South Island, estimated emissions using this technique were found to be comparable with those reported using inventory methods and data. The analysis showed that the atmospheric observations are adding new information that can be used to validate and enhance the Agriculture inventory. The inverse approach has the potential to shed light on seasonal and inter-annual variability and detect emission changes. </w:t>
      </w:r>
    </w:p>
    <w:p w14:paraId="4F26D6EE" w14:textId="77777777" w:rsidR="00994F64" w:rsidRPr="00261B7A" w:rsidRDefault="00994F64" w:rsidP="0054382B">
      <w:pPr>
        <w:pStyle w:val="BodyText"/>
        <w:spacing w:after="100"/>
      </w:pPr>
      <w:r w:rsidRPr="00261B7A">
        <w:t>The accuracy of these estimates will be improved by the addition of more observations, the installation of additional sites, and further quality control. An expansion of New Zealand’s national CH</w:t>
      </w:r>
      <w:r w:rsidRPr="00261B7A">
        <w:rPr>
          <w:vertAlign w:val="subscript"/>
        </w:rPr>
        <w:t>4</w:t>
      </w:r>
      <w:r w:rsidRPr="00261B7A">
        <w:t xml:space="preserve"> observing network from two to eight sites is under way through the CarbonWatch NZ research programme. Satellites could also be a useful adjunct to allow further analysis of historical emissions and to constrain emissions where ground-based measurements are challenging (Geddes et al., 2021).</w:t>
      </w:r>
      <w:bookmarkStart w:id="817" w:name="_Toc139253921"/>
      <w:bookmarkStart w:id="818" w:name="_Toc32570655"/>
      <w:r w:rsidRPr="00261B7A">
        <w:t xml:space="preserve"> In 2019, New Zealand’s Ministry of Business, Innovation and Employment signed on to collaborate on MethaneSAT, a state-of-the-art satellite designed to detect global CH</w:t>
      </w:r>
      <w:r w:rsidRPr="00261B7A">
        <w:rPr>
          <w:vertAlign w:val="subscript"/>
        </w:rPr>
        <w:t>4</w:t>
      </w:r>
      <w:r w:rsidRPr="00261B7A">
        <w:t xml:space="preserve"> emissions. It is currently scheduled for launch in October 2023 and will provide a valuable tool alongside the atmospheric observing network.</w:t>
      </w:r>
    </w:p>
    <w:p w14:paraId="20105901" w14:textId="77777777" w:rsidR="00994F64" w:rsidRPr="00261B7A" w:rsidRDefault="00994F64" w:rsidP="0054382B">
      <w:pPr>
        <w:pStyle w:val="BodyText"/>
        <w:spacing w:after="100"/>
        <w:rPr>
          <w:rFonts w:eastAsiaTheme="minorHAnsi" w:cs="Calibri"/>
          <w:color w:val="000000"/>
          <w:lang w:eastAsia="en-US"/>
        </w:rPr>
      </w:pPr>
      <w:r w:rsidRPr="00261B7A">
        <w:t>A project is planned to establish regular reporting of regional CH</w:t>
      </w:r>
      <w:r w:rsidRPr="00261B7A">
        <w:rPr>
          <w:vertAlign w:val="subscript"/>
        </w:rPr>
        <w:t>4</w:t>
      </w:r>
      <w:r w:rsidRPr="00261B7A">
        <w:t xml:space="preserve"> emissions using top-down approaches (see section 5.1.7 for more details) from both ground-based observations and satellites enabling quarterly estimates of regional </w:t>
      </w:r>
      <w:r w:rsidRPr="00261B7A">
        <w:rPr>
          <w:rFonts w:cs="Calibri"/>
        </w:rPr>
        <w:t>CH</w:t>
      </w:r>
      <w:r w:rsidRPr="00261B7A">
        <w:rPr>
          <w:rFonts w:cs="Calibri"/>
          <w:vertAlign w:val="subscript"/>
        </w:rPr>
        <w:t>4</w:t>
      </w:r>
      <w:r w:rsidRPr="00261B7A">
        <w:rPr>
          <w:rFonts w:cs="Calibri"/>
        </w:rPr>
        <w:t xml:space="preserve"> </w:t>
      </w:r>
      <w:r w:rsidRPr="00261B7A">
        <w:t>emissions across New Zealand.</w:t>
      </w:r>
      <w:r w:rsidRPr="00261B7A">
        <w:rPr>
          <w:rFonts w:eastAsiaTheme="minorHAnsi" w:cs="Calibri"/>
          <w:color w:val="000000"/>
          <w:lang w:eastAsia="en-US"/>
        </w:rPr>
        <w:t xml:space="preserve"> Any relevant data can be incorporated into the reports, with the ground-based inversion adapted to provide relevant intercomparison. </w:t>
      </w:r>
    </w:p>
    <w:p w14:paraId="2E334E76" w14:textId="77777777" w:rsidR="00994F64" w:rsidRPr="00261B7A" w:rsidRDefault="00994F64" w:rsidP="0054382B">
      <w:pPr>
        <w:pStyle w:val="Heading3"/>
        <w:spacing w:before="320"/>
      </w:pPr>
      <w:r w:rsidRPr="00261B7A">
        <w:t>5.2.5</w:t>
      </w:r>
      <w:r w:rsidRPr="00261B7A">
        <w:tab/>
        <w:t>Source-specific recalculations</w:t>
      </w:r>
      <w:bookmarkEnd w:id="817"/>
      <w:bookmarkEnd w:id="818"/>
    </w:p>
    <w:p w14:paraId="0155C935" w14:textId="77777777" w:rsidR="00994F64" w:rsidRPr="00261B7A" w:rsidRDefault="00994F64" w:rsidP="0054382B">
      <w:pPr>
        <w:pStyle w:val="BodyText"/>
        <w:spacing w:after="100"/>
      </w:pPr>
      <w:r w:rsidRPr="00261B7A">
        <w:t xml:space="preserve">Emissions estimates in the </w:t>
      </w:r>
      <w:r w:rsidRPr="00261B7A">
        <w:rPr>
          <w:i/>
          <w:iCs/>
        </w:rPr>
        <w:t>Enteric fermentation</w:t>
      </w:r>
      <w:r w:rsidRPr="00261B7A">
        <w:t xml:space="preserve"> category reported in the 2023 submission have been affected by methodological improvements to</w:t>
      </w:r>
      <w:r w:rsidRPr="00261B7A">
        <w:rPr>
          <w:rFonts w:cs="Calibri"/>
          <w:color w:val="000000"/>
          <w:shd w:val="clear" w:color="auto" w:fill="FFFFFF"/>
        </w:rPr>
        <w:t xml:space="preserve"> (i) estimates of within-year </w:t>
      </w:r>
      <w:r w:rsidRPr="00261B7A">
        <w:rPr>
          <w:rFonts w:cs="Calibri"/>
          <w:i/>
          <w:iCs/>
          <w:color w:val="000000"/>
          <w:shd w:val="clear" w:color="auto" w:fill="FFFFFF"/>
        </w:rPr>
        <w:t>Dairy cattle</w:t>
      </w:r>
      <w:r w:rsidRPr="00261B7A">
        <w:rPr>
          <w:rFonts w:cs="Calibri"/>
          <w:color w:val="000000"/>
          <w:shd w:val="clear" w:color="auto" w:fill="FFFFFF"/>
        </w:rPr>
        <w:t xml:space="preserve"> population change and (ii) to feed quality values to account for the use of non-pasture feed supplements.</w:t>
      </w:r>
    </w:p>
    <w:p w14:paraId="53149C8B" w14:textId="77777777" w:rsidR="00994F64" w:rsidRPr="00261B7A" w:rsidRDefault="00994F64" w:rsidP="00994F64">
      <w:pPr>
        <w:pStyle w:val="Heading5"/>
      </w:pPr>
      <w:r w:rsidRPr="00261B7A">
        <w:t>Improved estimates of within-year Dairy cattle population change </w:t>
      </w:r>
    </w:p>
    <w:p w14:paraId="58C6535E" w14:textId="77777777" w:rsidR="00994F64" w:rsidRPr="00261B7A" w:rsidRDefault="00994F64" w:rsidP="0054382B">
      <w:pPr>
        <w:pStyle w:val="BodyText"/>
        <w:spacing w:after="100"/>
        <w:rPr>
          <w:rFonts w:cs="Calibri"/>
          <w:color w:val="000000"/>
          <w:shd w:val="clear" w:color="auto" w:fill="FFFFFF"/>
        </w:rPr>
      </w:pPr>
      <w:r w:rsidRPr="00261B7A">
        <w:rPr>
          <w:rFonts w:cs="Calibri"/>
          <w:color w:val="000000"/>
          <w:shd w:val="clear" w:color="auto" w:fill="FFFFFF"/>
        </w:rPr>
        <w:t xml:space="preserve">Emissions estimates in all categories relating to </w:t>
      </w:r>
      <w:r w:rsidRPr="00261B7A">
        <w:rPr>
          <w:rFonts w:cs="Calibri"/>
          <w:i/>
          <w:iCs/>
          <w:color w:val="000000"/>
          <w:shd w:val="clear" w:color="auto" w:fill="FFFFFF"/>
        </w:rPr>
        <w:t>Dairy cattle</w:t>
      </w:r>
      <w:r w:rsidRPr="00261B7A">
        <w:rPr>
          <w:rFonts w:cs="Calibri"/>
          <w:color w:val="000000"/>
          <w:shd w:val="clear" w:color="auto" w:fill="FFFFFF"/>
        </w:rPr>
        <w:t xml:space="preserve"> reported in the 2023 submission have been enhanced by a methodological update to estimates of within-year </w:t>
      </w:r>
      <w:r w:rsidRPr="00261B7A">
        <w:rPr>
          <w:rFonts w:cs="Calibri"/>
          <w:i/>
          <w:iCs/>
          <w:color w:val="000000"/>
          <w:shd w:val="clear" w:color="auto" w:fill="FFFFFF"/>
        </w:rPr>
        <w:t>Dairy cattle</w:t>
      </w:r>
      <w:r w:rsidRPr="00261B7A">
        <w:rPr>
          <w:rFonts w:cs="Calibri"/>
          <w:color w:val="000000"/>
          <w:shd w:val="clear" w:color="auto" w:fill="FFFFFF"/>
        </w:rPr>
        <w:t xml:space="preserve"> population change.</w:t>
      </w:r>
    </w:p>
    <w:p w14:paraId="4B791E68" w14:textId="77777777" w:rsidR="00994F64" w:rsidRPr="00261B7A" w:rsidRDefault="00994F64" w:rsidP="0054382B">
      <w:pPr>
        <w:pStyle w:val="BodyText"/>
        <w:spacing w:after="100"/>
        <w:rPr>
          <w:rFonts w:cs="Calibri"/>
          <w:color w:val="000000"/>
          <w:shd w:val="clear" w:color="auto" w:fill="FFFFFF"/>
        </w:rPr>
      </w:pPr>
      <w:r w:rsidRPr="00261B7A">
        <w:rPr>
          <w:rFonts w:cs="Calibri"/>
          <w:color w:val="000000"/>
          <w:shd w:val="clear" w:color="auto" w:fill="FFFFFF"/>
        </w:rPr>
        <w:t xml:space="preserve">The inventory models the </w:t>
      </w:r>
      <w:r w:rsidRPr="00261B7A">
        <w:rPr>
          <w:rFonts w:cs="Calibri"/>
          <w:i/>
          <w:iCs/>
          <w:color w:val="000000"/>
          <w:shd w:val="clear" w:color="auto" w:fill="FFFFFF"/>
        </w:rPr>
        <w:t>Dairy cattle</w:t>
      </w:r>
      <w:r w:rsidRPr="00261B7A">
        <w:rPr>
          <w:rFonts w:cs="Calibri"/>
          <w:color w:val="000000"/>
          <w:shd w:val="clear" w:color="auto" w:fill="FFFFFF"/>
        </w:rPr>
        <w:t xml:space="preserve"> population of each production year (1 July to the following 30 June). Livestock population data derived from the Agricultural Production Survey for animals present on 30 June of each year for each region are used as a baseline. The number of animals present each month for the remainder of the production year (July to June) is then based on assumptions on timing and number of deaths, culling to slaughter and birth dates (with assumptions applied at a national level), along with the number present on 30 June the following year. Each of the four stock classes has a different set of methods, timing and assumptions. </w:t>
      </w:r>
    </w:p>
    <w:p w14:paraId="00904CC8" w14:textId="77777777" w:rsidR="00994F64" w:rsidRPr="00261B7A" w:rsidRDefault="00994F64" w:rsidP="0054382B">
      <w:pPr>
        <w:pStyle w:val="BodyText"/>
        <w:spacing w:after="100"/>
        <w:rPr>
          <w:rFonts w:cs="Calibri"/>
          <w:color w:val="000000"/>
          <w:shd w:val="clear" w:color="auto" w:fill="FFFFFF"/>
        </w:rPr>
      </w:pPr>
      <w:r w:rsidRPr="00261B7A">
        <w:rPr>
          <w:rFonts w:cs="Calibri"/>
          <w:color w:val="000000"/>
          <w:shd w:val="clear" w:color="auto" w:fill="FFFFFF"/>
        </w:rPr>
        <w:t xml:space="preserve">Recent research carried out by AgResearch (Burggraaf et al., 2022) has used industry data to improve inventory population dynamics. A focus was placed on sources with data from 1990 to the present, in line with the timeline required for national greenhouse gas reporting. The study recommended improvements to population dynamics based on long-term averages in birth, death and slaughter timing, combined with monthly data for each year for heifer exports. </w:t>
      </w:r>
    </w:p>
    <w:p w14:paraId="3ADE55B2" w14:textId="77777777" w:rsidR="00994F64" w:rsidRPr="00261B7A" w:rsidRDefault="00994F64" w:rsidP="0054382B">
      <w:pPr>
        <w:pStyle w:val="BodyText"/>
        <w:spacing w:after="100"/>
      </w:pPr>
      <w:r w:rsidRPr="00261B7A">
        <w:t>The following recommendations from Burggraaf et al., (</w:t>
      </w:r>
      <w:r w:rsidRPr="00261B7A">
        <w:rPr>
          <w:rFonts w:cs="Calibri"/>
          <w:color w:val="000000"/>
          <w:shd w:val="clear" w:color="auto" w:fill="FFFFFF"/>
        </w:rPr>
        <w:t>2022</w:t>
      </w:r>
      <w:r w:rsidRPr="00261B7A">
        <w:t xml:space="preserve">) were implemented in the 2023 inventory submission: </w:t>
      </w:r>
    </w:p>
    <w:p w14:paraId="7E8A5A9D" w14:textId="77777777" w:rsidR="00994F64" w:rsidRPr="00261B7A" w:rsidRDefault="00994F64" w:rsidP="0054382B">
      <w:pPr>
        <w:pStyle w:val="Bullet"/>
        <w:spacing w:after="100"/>
      </w:pPr>
      <w:r w:rsidRPr="00261B7A">
        <w:t>changing the weighted average calving and birth date from 1 August to 13 August</w:t>
      </w:r>
    </w:p>
    <w:p w14:paraId="1CC3333F" w14:textId="77777777" w:rsidR="00994F64" w:rsidRPr="00261B7A" w:rsidRDefault="00994F64" w:rsidP="0054382B">
      <w:pPr>
        <w:pStyle w:val="Bullet"/>
        <w:spacing w:after="100"/>
      </w:pPr>
      <w:r w:rsidRPr="00261B7A">
        <w:t xml:space="preserve">adding 1 per cent to the growing heifers (0–1 years) population from birth (August) and then gradually losing these additional calves to then reach the June </w:t>
      </w:r>
      <w:r w:rsidRPr="00261B7A">
        <w:rPr>
          <w:rFonts w:cs="Calibri"/>
          <w:color w:val="000000"/>
          <w:shd w:val="clear" w:color="auto" w:fill="FFFFFF"/>
        </w:rPr>
        <w:t>Agricultural Production Survey</w:t>
      </w:r>
      <w:r w:rsidRPr="00261B7A">
        <w:t xml:space="preserve"> value</w:t>
      </w:r>
    </w:p>
    <w:p w14:paraId="0791B542" w14:textId="77777777" w:rsidR="00994F64" w:rsidRPr="00261B7A" w:rsidRDefault="00994F64" w:rsidP="0054382B">
      <w:pPr>
        <w:pStyle w:val="Bullet"/>
        <w:spacing w:after="100"/>
      </w:pPr>
      <w:r w:rsidRPr="00261B7A">
        <w:t>subtracting monthly dairy cattle exports from the growing heifers (1–2 years) population. Exports are assumed to come from the not-in calf and not-lactating heifers</w:t>
      </w:r>
    </w:p>
    <w:p w14:paraId="7BE34F62" w14:textId="77777777" w:rsidR="00994F64" w:rsidRPr="00261B7A" w:rsidRDefault="00994F64" w:rsidP="00994F64">
      <w:pPr>
        <w:pStyle w:val="Bullet"/>
      </w:pPr>
      <w:r w:rsidRPr="00261B7A">
        <w:t>including a 1 per cent death rate for growing heifers (1–2 years) spread across the year</w:t>
      </w:r>
    </w:p>
    <w:p w14:paraId="5A695B76" w14:textId="77777777" w:rsidR="00994F64" w:rsidRPr="00261B7A" w:rsidRDefault="00994F64" w:rsidP="00994F64">
      <w:pPr>
        <w:pStyle w:val="Bullet"/>
      </w:pPr>
      <w:r w:rsidRPr="00261B7A">
        <w:t xml:space="preserve">retaining stock in the growing heifers (1–2 years) class until 1 July. Previously, stock were moved into the mature milking cow population in May </w:t>
      </w:r>
    </w:p>
    <w:p w14:paraId="16E69742" w14:textId="77777777" w:rsidR="00994F64" w:rsidRPr="00261B7A" w:rsidRDefault="00994F64" w:rsidP="0054382B">
      <w:pPr>
        <w:pStyle w:val="Bullet"/>
        <w:spacing w:after="100"/>
      </w:pPr>
      <w:r w:rsidRPr="00261B7A">
        <w:t>using a 16.9 per cent mortality rate for the national mature dairy cow population, which includes provision for replacement cull animals</w:t>
      </w:r>
    </w:p>
    <w:p w14:paraId="27458D34" w14:textId="77777777" w:rsidR="00994F64" w:rsidRPr="00261B7A" w:rsidRDefault="00994F64" w:rsidP="0054382B">
      <w:pPr>
        <w:pStyle w:val="Bullet"/>
        <w:spacing w:after="100"/>
      </w:pPr>
      <w:r w:rsidRPr="00261B7A">
        <w:t xml:space="preserve">using the long-term average monthly cull distribution to determine the proportion of the starting population of mature cows still present each month. </w:t>
      </w:r>
    </w:p>
    <w:p w14:paraId="3246CFA5" w14:textId="77777777" w:rsidR="00994F64" w:rsidRPr="00261B7A" w:rsidRDefault="00994F64" w:rsidP="0054382B">
      <w:pPr>
        <w:pStyle w:val="BodyText"/>
        <w:spacing w:after="100"/>
      </w:pPr>
      <w:r w:rsidRPr="00261B7A">
        <w:t xml:space="preserve">Additionally, a change has also been made to the liveweight of growing heifers within the </w:t>
      </w:r>
      <w:r w:rsidRPr="00261B7A">
        <w:rPr>
          <w:i/>
          <w:iCs/>
        </w:rPr>
        <w:t>Dairy cattle</w:t>
      </w:r>
      <w:r w:rsidRPr="00261B7A">
        <w:t xml:space="preserve"> population. It was previously assumed that all dairy calves (growing heifers </w:t>
      </w:r>
      <w:r w:rsidRPr="00261B7A">
        <w:br/>
        <w:t>0–1 years) are born on 1 August and have a birth weight equal to 9 per cent of an adult dairy cow weight. The weight of these animals was increased linearly until they were 638 days old, at which point their weight was assumed to be 90 per cent of an adult dairy cow’s. After 638 days, they joined the class of mature milking cows and made an instantaneous jump in weight to the full mature dairy cow weight.</w:t>
      </w:r>
    </w:p>
    <w:p w14:paraId="6198B8EB" w14:textId="77777777" w:rsidR="00994F64" w:rsidRPr="00261B7A" w:rsidRDefault="00994F64" w:rsidP="0054382B">
      <w:pPr>
        <w:pStyle w:val="BodyText"/>
        <w:spacing w:after="100"/>
      </w:pPr>
      <w:r w:rsidRPr="00261B7A">
        <w:t>In the improved calculation, it is assumed that all dairy calves (growing heifers 0–1 years) are born on 13 August and have a birth weight equal to 9 per cent of an adult dairy cow weight. The weight of these animals increases linearly until they are 730 days old, at which point their weight is assumed to be that of a mature dairy cow.</w:t>
      </w:r>
    </w:p>
    <w:p w14:paraId="3AFAF041" w14:textId="77777777" w:rsidR="00994F64" w:rsidRPr="00261B7A" w:rsidRDefault="00994F64" w:rsidP="00994F64">
      <w:pPr>
        <w:pStyle w:val="BodyText"/>
      </w:pPr>
      <w:r w:rsidRPr="00261B7A">
        <w:t xml:space="preserve">Implementing the 2023 changes caused estimated emissions from the </w:t>
      </w:r>
      <w:r w:rsidRPr="00261B7A">
        <w:rPr>
          <w:i/>
          <w:iCs/>
        </w:rPr>
        <w:t xml:space="preserve">Enteric fermentation </w:t>
      </w:r>
      <w:r w:rsidRPr="00261B7A">
        <w:t>category to decrease by 0.6 per cent (167.4 kt CO</w:t>
      </w:r>
      <w:r w:rsidRPr="00261B7A">
        <w:rPr>
          <w:vertAlign w:val="subscript"/>
        </w:rPr>
        <w:t>2</w:t>
      </w:r>
      <w:r w:rsidRPr="00261B7A">
        <w:t>-e) in 1990 and 1.3 per cent (374.1 kt CO</w:t>
      </w:r>
      <w:r w:rsidRPr="00261B7A">
        <w:rPr>
          <w:vertAlign w:val="subscript"/>
        </w:rPr>
        <w:t>2</w:t>
      </w:r>
      <w:r w:rsidRPr="00261B7A">
        <w:t>-e) in 2020 (see table 5.2.6).</w:t>
      </w:r>
    </w:p>
    <w:p w14:paraId="47DFC222" w14:textId="77777777" w:rsidR="00994F64" w:rsidRPr="00261B7A" w:rsidRDefault="00994F64" w:rsidP="00994F64">
      <w:pPr>
        <w:pStyle w:val="Table"/>
        <w:rPr>
          <w:rFonts w:cs="Calibri"/>
        </w:rPr>
      </w:pPr>
      <w:bookmarkStart w:id="819" w:name="_Toc127458257"/>
      <w:bookmarkStart w:id="820" w:name="_Toc131591353"/>
      <w:r w:rsidRPr="00261B7A">
        <w:rPr>
          <w:rFonts w:cs="Calibri"/>
        </w:rPr>
        <w:t>Table 5.2.6</w:t>
      </w:r>
      <w:r w:rsidRPr="00261B7A">
        <w:rPr>
          <w:rFonts w:cs="Calibri"/>
        </w:rPr>
        <w:tab/>
        <w:t xml:space="preserve">Comparison of the previous dairy population model and the improved dairy population model for emissions from </w:t>
      </w:r>
      <w:r w:rsidRPr="00261B7A">
        <w:rPr>
          <w:rFonts w:cs="Calibri"/>
          <w:i/>
          <w:iCs/>
        </w:rPr>
        <w:t>Enteric fermentation</w:t>
      </w:r>
      <w:bookmarkEnd w:id="819"/>
      <w:bookmarkEnd w:id="820"/>
      <w:r w:rsidRPr="00261B7A">
        <w:rPr>
          <w:rFonts w:cs="Calibri"/>
          <w:i/>
          <w:iCs/>
        </w:rPr>
        <w:t xml:space="preserve"> </w:t>
      </w:r>
    </w:p>
    <w:tbl>
      <w:tblPr>
        <w:tblW w:w="5000" w:type="pct"/>
        <w:tblLook w:val="04A0" w:firstRow="1" w:lastRow="0" w:firstColumn="1" w:lastColumn="0" w:noHBand="0" w:noVBand="1"/>
      </w:tblPr>
      <w:tblGrid>
        <w:gridCol w:w="1568"/>
        <w:gridCol w:w="2047"/>
        <w:gridCol w:w="796"/>
        <w:gridCol w:w="796"/>
        <w:gridCol w:w="1649"/>
        <w:gridCol w:w="1649"/>
      </w:tblGrid>
      <w:tr w:rsidR="00994F64" w:rsidRPr="00261B7A" w14:paraId="4953C936" w14:textId="77777777" w:rsidTr="00501B0F">
        <w:tc>
          <w:tcPr>
            <w:tcW w:w="1562" w:type="dxa"/>
            <w:tcBorders>
              <w:top w:val="nil"/>
              <w:left w:val="nil"/>
              <w:bottom w:val="single" w:sz="8" w:space="0" w:color="44546A"/>
              <w:right w:val="nil"/>
            </w:tcBorders>
            <w:shd w:val="clear" w:color="000000" w:fill="1B556B"/>
            <w:vAlign w:val="bottom"/>
            <w:hideMark/>
          </w:tcPr>
          <w:p w14:paraId="6E2767FE" w14:textId="77777777" w:rsidR="00994F64" w:rsidRPr="00261B7A" w:rsidRDefault="00994F64" w:rsidP="00501B0F">
            <w:pPr>
              <w:pStyle w:val="TableText"/>
              <w:spacing w:before="40" w:after="40"/>
              <w:rPr>
                <w:b/>
                <w:bCs/>
                <w:color w:val="FFFFFF" w:themeColor="background1"/>
              </w:rPr>
            </w:pPr>
            <w:r w:rsidRPr="00261B7A">
              <w:rPr>
                <w:b/>
                <w:bCs/>
                <w:color w:val="FFFFFF" w:themeColor="background1"/>
              </w:rPr>
              <w:t>Emissions (kt CO</w:t>
            </w:r>
            <w:r w:rsidRPr="00261B7A">
              <w:rPr>
                <w:b/>
                <w:bCs/>
                <w:color w:val="FFFFFF" w:themeColor="background1"/>
                <w:vertAlign w:val="subscript"/>
              </w:rPr>
              <w:t>2</w:t>
            </w:r>
            <w:r w:rsidRPr="00261B7A">
              <w:rPr>
                <w:b/>
                <w:bCs/>
                <w:color w:val="FFFFFF" w:themeColor="background1"/>
              </w:rPr>
              <w:t>-e)</w:t>
            </w:r>
          </w:p>
        </w:tc>
        <w:tc>
          <w:tcPr>
            <w:tcW w:w="2041" w:type="dxa"/>
            <w:tcBorders>
              <w:top w:val="single" w:sz="8" w:space="0" w:color="44546A"/>
              <w:left w:val="nil"/>
              <w:bottom w:val="single" w:sz="8" w:space="0" w:color="44546A"/>
              <w:right w:val="nil"/>
            </w:tcBorders>
            <w:shd w:val="clear" w:color="auto" w:fill="1B556B" w:themeFill="text2"/>
            <w:vAlign w:val="bottom"/>
            <w:hideMark/>
          </w:tcPr>
          <w:p w14:paraId="78CD6CB6" w14:textId="77777777" w:rsidR="00994F64" w:rsidRPr="00261B7A" w:rsidRDefault="00994F64" w:rsidP="00501B0F">
            <w:pPr>
              <w:pStyle w:val="TableText"/>
              <w:spacing w:before="40" w:after="40"/>
              <w:rPr>
                <w:b/>
                <w:bCs/>
                <w:color w:val="FFFFFF" w:themeColor="background1"/>
              </w:rPr>
            </w:pPr>
          </w:p>
        </w:tc>
        <w:tc>
          <w:tcPr>
            <w:tcW w:w="794" w:type="dxa"/>
            <w:tcBorders>
              <w:left w:val="nil"/>
              <w:bottom w:val="single" w:sz="8" w:space="0" w:color="44546A"/>
              <w:right w:val="nil"/>
            </w:tcBorders>
            <w:shd w:val="clear" w:color="000000" w:fill="1B556B"/>
            <w:vAlign w:val="bottom"/>
            <w:hideMark/>
          </w:tcPr>
          <w:p w14:paraId="7BD0829E" w14:textId="77777777" w:rsidR="00994F64" w:rsidRPr="00261B7A" w:rsidRDefault="00994F64" w:rsidP="00501B0F">
            <w:pPr>
              <w:pStyle w:val="TableText"/>
              <w:spacing w:before="40" w:after="40"/>
              <w:jc w:val="center"/>
              <w:rPr>
                <w:b/>
                <w:bCs/>
                <w:color w:val="FFFFFF" w:themeColor="background1"/>
              </w:rPr>
            </w:pPr>
            <w:r w:rsidRPr="00261B7A">
              <w:rPr>
                <w:b/>
                <w:bCs/>
                <w:color w:val="FFFFFF" w:themeColor="background1"/>
              </w:rPr>
              <w:t>1990</w:t>
            </w:r>
          </w:p>
        </w:tc>
        <w:tc>
          <w:tcPr>
            <w:tcW w:w="794" w:type="dxa"/>
            <w:tcBorders>
              <w:left w:val="nil"/>
              <w:bottom w:val="single" w:sz="8" w:space="0" w:color="44546A"/>
              <w:right w:val="nil"/>
            </w:tcBorders>
            <w:shd w:val="clear" w:color="000000" w:fill="1B556B"/>
            <w:vAlign w:val="bottom"/>
          </w:tcPr>
          <w:p w14:paraId="092FD506" w14:textId="77777777" w:rsidR="00994F64" w:rsidRPr="00261B7A" w:rsidRDefault="00994F64" w:rsidP="00501B0F">
            <w:pPr>
              <w:pStyle w:val="TableText"/>
              <w:spacing w:before="40" w:after="40"/>
              <w:jc w:val="center"/>
              <w:rPr>
                <w:b/>
                <w:bCs/>
                <w:color w:val="FFFFFF" w:themeColor="background1"/>
              </w:rPr>
            </w:pPr>
            <w:r w:rsidRPr="00261B7A">
              <w:rPr>
                <w:b/>
                <w:bCs/>
                <w:color w:val="FFFFFF" w:themeColor="background1"/>
              </w:rPr>
              <w:t>2020</w:t>
            </w:r>
          </w:p>
        </w:tc>
        <w:tc>
          <w:tcPr>
            <w:tcW w:w="1644" w:type="dxa"/>
            <w:tcBorders>
              <w:top w:val="nil"/>
              <w:left w:val="nil"/>
              <w:bottom w:val="single" w:sz="8" w:space="0" w:color="44546A"/>
              <w:right w:val="nil"/>
            </w:tcBorders>
            <w:shd w:val="clear" w:color="000000" w:fill="1B556B"/>
            <w:vAlign w:val="bottom"/>
            <w:hideMark/>
          </w:tcPr>
          <w:p w14:paraId="0B0BF0C5" w14:textId="77777777" w:rsidR="00994F64" w:rsidRPr="00261B7A" w:rsidRDefault="00994F64" w:rsidP="00501B0F">
            <w:pPr>
              <w:pStyle w:val="TableText"/>
              <w:spacing w:before="40" w:after="40"/>
              <w:jc w:val="center"/>
              <w:rPr>
                <w:b/>
                <w:bCs/>
                <w:color w:val="FFFFFF" w:themeColor="background1"/>
              </w:rPr>
            </w:pPr>
            <w:r w:rsidRPr="00261B7A">
              <w:rPr>
                <w:b/>
                <w:bCs/>
                <w:color w:val="FFFFFF" w:themeColor="background1"/>
              </w:rPr>
              <w:t>Change in emission outputs between 1990 and 2020 (kt CO</w:t>
            </w:r>
            <w:r w:rsidRPr="00261B7A">
              <w:rPr>
                <w:b/>
                <w:bCs/>
                <w:color w:val="FFFFFF" w:themeColor="background1"/>
                <w:vertAlign w:val="subscript"/>
              </w:rPr>
              <w:t>2</w:t>
            </w:r>
            <w:r w:rsidRPr="00261B7A">
              <w:rPr>
                <w:b/>
                <w:bCs/>
                <w:color w:val="FFFFFF" w:themeColor="background1"/>
              </w:rPr>
              <w:t>-e)</w:t>
            </w:r>
          </w:p>
        </w:tc>
        <w:tc>
          <w:tcPr>
            <w:tcW w:w="1644" w:type="dxa"/>
            <w:tcBorders>
              <w:top w:val="nil"/>
              <w:left w:val="nil"/>
              <w:bottom w:val="single" w:sz="8" w:space="0" w:color="44546A"/>
              <w:right w:val="nil"/>
            </w:tcBorders>
            <w:shd w:val="clear" w:color="000000" w:fill="1B556B"/>
            <w:vAlign w:val="bottom"/>
            <w:hideMark/>
          </w:tcPr>
          <w:p w14:paraId="642061C6" w14:textId="77777777" w:rsidR="00994F64" w:rsidRPr="00261B7A" w:rsidRDefault="00994F64" w:rsidP="00501B0F">
            <w:pPr>
              <w:pStyle w:val="TableText"/>
              <w:spacing w:before="40" w:after="40"/>
              <w:jc w:val="center"/>
              <w:rPr>
                <w:b/>
                <w:bCs/>
                <w:color w:val="FFFFFF" w:themeColor="background1"/>
              </w:rPr>
            </w:pPr>
            <w:r w:rsidRPr="00261B7A">
              <w:rPr>
                <w:b/>
                <w:bCs/>
                <w:color w:val="FFFFFF" w:themeColor="background1"/>
              </w:rPr>
              <w:t>Percentage change in emission outputs between 1990 and 2020 (%)</w:t>
            </w:r>
          </w:p>
        </w:tc>
      </w:tr>
      <w:tr w:rsidR="00994F64" w:rsidRPr="00261B7A" w14:paraId="6446AA6E" w14:textId="77777777" w:rsidTr="00501B0F">
        <w:tc>
          <w:tcPr>
            <w:tcW w:w="1562" w:type="dxa"/>
            <w:vMerge w:val="restart"/>
            <w:tcBorders>
              <w:top w:val="nil"/>
              <w:left w:val="nil"/>
              <w:bottom w:val="single" w:sz="8" w:space="0" w:color="365F91"/>
              <w:right w:val="nil"/>
            </w:tcBorders>
            <w:shd w:val="clear" w:color="auto" w:fill="auto"/>
            <w:vAlign w:val="center"/>
            <w:hideMark/>
          </w:tcPr>
          <w:p w14:paraId="2E5B061E" w14:textId="77777777" w:rsidR="00994F64" w:rsidRPr="00261B7A" w:rsidRDefault="00994F64" w:rsidP="00501B0F">
            <w:pPr>
              <w:pStyle w:val="TableText"/>
              <w:spacing w:before="40" w:after="40"/>
              <w:rPr>
                <w:color w:val="000000"/>
              </w:rPr>
            </w:pPr>
            <w:r w:rsidRPr="00261B7A">
              <w:rPr>
                <w:color w:val="000000"/>
              </w:rPr>
              <w:t xml:space="preserve">Total emissions from </w:t>
            </w:r>
            <w:r w:rsidRPr="00261B7A">
              <w:rPr>
                <w:i/>
                <w:iCs/>
                <w:color w:val="000000"/>
              </w:rPr>
              <w:t>Enteric fermentation</w:t>
            </w:r>
            <w:r w:rsidRPr="00261B7A">
              <w:rPr>
                <w:color w:val="000000"/>
              </w:rPr>
              <w:t xml:space="preserve"> (kt CO</w:t>
            </w:r>
            <w:r w:rsidRPr="00261B7A">
              <w:rPr>
                <w:color w:val="000000"/>
                <w:vertAlign w:val="subscript"/>
              </w:rPr>
              <w:t>2</w:t>
            </w:r>
            <w:r w:rsidRPr="00261B7A">
              <w:rPr>
                <w:color w:val="000000"/>
              </w:rPr>
              <w:t>-e)</w:t>
            </w:r>
          </w:p>
        </w:tc>
        <w:tc>
          <w:tcPr>
            <w:tcW w:w="2041" w:type="dxa"/>
            <w:tcBorders>
              <w:top w:val="nil"/>
              <w:left w:val="nil"/>
              <w:bottom w:val="single" w:sz="8" w:space="0" w:color="44546A"/>
              <w:right w:val="nil"/>
            </w:tcBorders>
            <w:shd w:val="clear" w:color="auto" w:fill="auto"/>
            <w:vAlign w:val="center"/>
            <w:hideMark/>
          </w:tcPr>
          <w:p w14:paraId="75067D25" w14:textId="77777777" w:rsidR="00994F64" w:rsidRPr="00261B7A" w:rsidRDefault="00994F64" w:rsidP="00501B0F">
            <w:pPr>
              <w:pStyle w:val="TableText"/>
              <w:spacing w:before="40" w:after="40"/>
              <w:rPr>
                <w:color w:val="000000"/>
              </w:rPr>
            </w:pPr>
            <w:r w:rsidRPr="00261B7A">
              <w:rPr>
                <w:color w:val="000000"/>
              </w:rPr>
              <w:t>2023 (1990–2021) emissions estimate using previous population model </w:t>
            </w:r>
          </w:p>
        </w:tc>
        <w:tc>
          <w:tcPr>
            <w:tcW w:w="794" w:type="dxa"/>
            <w:tcBorders>
              <w:top w:val="nil"/>
              <w:left w:val="nil"/>
              <w:bottom w:val="single" w:sz="8" w:space="0" w:color="44546A"/>
              <w:right w:val="nil"/>
            </w:tcBorders>
            <w:shd w:val="clear" w:color="auto" w:fill="auto"/>
            <w:vAlign w:val="center"/>
            <w:hideMark/>
          </w:tcPr>
          <w:p w14:paraId="14FBE2E4" w14:textId="77777777" w:rsidR="00994F64" w:rsidRPr="00261B7A" w:rsidRDefault="00994F64" w:rsidP="00501B0F">
            <w:pPr>
              <w:pStyle w:val="TableText"/>
              <w:spacing w:before="40" w:after="40"/>
              <w:jc w:val="center"/>
              <w:rPr>
                <w:color w:val="000000"/>
              </w:rPr>
            </w:pPr>
            <w:r w:rsidRPr="00261B7A">
              <w:rPr>
                <w:color w:val="000000"/>
              </w:rPr>
              <w:t>27,127.8</w:t>
            </w:r>
          </w:p>
        </w:tc>
        <w:tc>
          <w:tcPr>
            <w:tcW w:w="794" w:type="dxa"/>
            <w:tcBorders>
              <w:top w:val="nil"/>
              <w:left w:val="nil"/>
              <w:bottom w:val="single" w:sz="8" w:space="0" w:color="44546A"/>
              <w:right w:val="nil"/>
            </w:tcBorders>
            <w:shd w:val="clear" w:color="auto" w:fill="auto"/>
            <w:vAlign w:val="center"/>
            <w:hideMark/>
          </w:tcPr>
          <w:p w14:paraId="1E3BEE6A" w14:textId="77777777" w:rsidR="00994F64" w:rsidRPr="00261B7A" w:rsidRDefault="00994F64" w:rsidP="00501B0F">
            <w:pPr>
              <w:pStyle w:val="TableText"/>
              <w:spacing w:before="40" w:after="40"/>
              <w:jc w:val="center"/>
              <w:rPr>
                <w:color w:val="000000"/>
              </w:rPr>
            </w:pPr>
            <w:r w:rsidRPr="00261B7A">
              <w:rPr>
                <w:color w:val="000000"/>
              </w:rPr>
              <w:t>28,529.4</w:t>
            </w:r>
          </w:p>
        </w:tc>
        <w:tc>
          <w:tcPr>
            <w:tcW w:w="1644" w:type="dxa"/>
            <w:tcBorders>
              <w:top w:val="nil"/>
              <w:left w:val="nil"/>
              <w:bottom w:val="single" w:sz="8" w:space="0" w:color="44546A"/>
              <w:right w:val="nil"/>
            </w:tcBorders>
            <w:shd w:val="clear" w:color="auto" w:fill="auto"/>
            <w:vAlign w:val="center"/>
            <w:hideMark/>
          </w:tcPr>
          <w:p w14:paraId="7C362B13" w14:textId="77777777" w:rsidR="00994F64" w:rsidRPr="00261B7A" w:rsidRDefault="00994F64" w:rsidP="00501B0F">
            <w:pPr>
              <w:pStyle w:val="TableText"/>
              <w:spacing w:before="40" w:after="40"/>
              <w:jc w:val="center"/>
              <w:rPr>
                <w:color w:val="000000"/>
              </w:rPr>
            </w:pPr>
            <w:r w:rsidRPr="00261B7A">
              <w:rPr>
                <w:color w:val="000000"/>
              </w:rPr>
              <w:t>1,401.6</w:t>
            </w:r>
          </w:p>
        </w:tc>
        <w:tc>
          <w:tcPr>
            <w:tcW w:w="1644" w:type="dxa"/>
            <w:tcBorders>
              <w:top w:val="nil"/>
              <w:left w:val="nil"/>
              <w:bottom w:val="single" w:sz="8" w:space="0" w:color="44546A"/>
              <w:right w:val="nil"/>
            </w:tcBorders>
            <w:shd w:val="clear" w:color="auto" w:fill="auto"/>
            <w:vAlign w:val="center"/>
          </w:tcPr>
          <w:p w14:paraId="451F7E8C" w14:textId="77777777" w:rsidR="00994F64" w:rsidRPr="00261B7A" w:rsidRDefault="00994F64" w:rsidP="00501B0F">
            <w:pPr>
              <w:pStyle w:val="TableText"/>
              <w:spacing w:before="40" w:after="40"/>
              <w:jc w:val="center"/>
              <w:rPr>
                <w:color w:val="000000"/>
              </w:rPr>
            </w:pPr>
            <w:r w:rsidRPr="00261B7A">
              <w:rPr>
                <w:color w:val="000000"/>
              </w:rPr>
              <w:t>5.2</w:t>
            </w:r>
          </w:p>
        </w:tc>
      </w:tr>
      <w:tr w:rsidR="00994F64" w:rsidRPr="00261B7A" w14:paraId="74D3F4F0" w14:textId="77777777" w:rsidTr="00501B0F">
        <w:tc>
          <w:tcPr>
            <w:tcW w:w="1562" w:type="dxa"/>
            <w:vMerge/>
            <w:tcBorders>
              <w:top w:val="nil"/>
              <w:left w:val="nil"/>
              <w:bottom w:val="single" w:sz="8" w:space="0" w:color="365F91"/>
              <w:right w:val="nil"/>
            </w:tcBorders>
            <w:vAlign w:val="center"/>
            <w:hideMark/>
          </w:tcPr>
          <w:p w14:paraId="06053B8B" w14:textId="77777777" w:rsidR="00994F64" w:rsidRPr="00261B7A" w:rsidRDefault="00994F64" w:rsidP="00501B0F">
            <w:pPr>
              <w:pStyle w:val="TableText"/>
              <w:spacing w:before="40" w:after="40"/>
              <w:rPr>
                <w:color w:val="000000"/>
              </w:rPr>
            </w:pPr>
          </w:p>
        </w:tc>
        <w:tc>
          <w:tcPr>
            <w:tcW w:w="2041" w:type="dxa"/>
            <w:tcBorders>
              <w:top w:val="nil"/>
              <w:left w:val="nil"/>
              <w:bottom w:val="single" w:sz="8" w:space="0" w:color="44546A"/>
              <w:right w:val="nil"/>
            </w:tcBorders>
            <w:shd w:val="clear" w:color="auto" w:fill="auto"/>
            <w:vAlign w:val="center"/>
            <w:hideMark/>
          </w:tcPr>
          <w:p w14:paraId="11CA0776" w14:textId="77777777" w:rsidR="00994F64" w:rsidRPr="00261B7A" w:rsidRDefault="00994F64" w:rsidP="00501B0F">
            <w:pPr>
              <w:pStyle w:val="TableText"/>
              <w:spacing w:before="40" w:after="40"/>
              <w:rPr>
                <w:color w:val="000000"/>
              </w:rPr>
            </w:pPr>
            <w:r w:rsidRPr="00261B7A">
              <w:rPr>
                <w:color w:val="000000"/>
              </w:rPr>
              <w:t>2023 (1990–2021) emissions estimate using new population model </w:t>
            </w:r>
          </w:p>
        </w:tc>
        <w:tc>
          <w:tcPr>
            <w:tcW w:w="794" w:type="dxa"/>
            <w:tcBorders>
              <w:top w:val="nil"/>
              <w:left w:val="nil"/>
              <w:bottom w:val="single" w:sz="8" w:space="0" w:color="44546A"/>
              <w:right w:val="nil"/>
            </w:tcBorders>
            <w:shd w:val="clear" w:color="auto" w:fill="auto"/>
            <w:vAlign w:val="center"/>
            <w:hideMark/>
          </w:tcPr>
          <w:p w14:paraId="0E8CE3AE" w14:textId="77777777" w:rsidR="00994F64" w:rsidRPr="00261B7A" w:rsidRDefault="00994F64" w:rsidP="00501B0F">
            <w:pPr>
              <w:pStyle w:val="TableText"/>
              <w:spacing w:before="40" w:after="40"/>
              <w:jc w:val="center"/>
              <w:rPr>
                <w:color w:val="000000"/>
              </w:rPr>
            </w:pPr>
            <w:r w:rsidRPr="00261B7A">
              <w:rPr>
                <w:color w:val="000000"/>
              </w:rPr>
              <w:t>26,960.4</w:t>
            </w:r>
          </w:p>
        </w:tc>
        <w:tc>
          <w:tcPr>
            <w:tcW w:w="794" w:type="dxa"/>
            <w:tcBorders>
              <w:top w:val="nil"/>
              <w:left w:val="nil"/>
              <w:bottom w:val="single" w:sz="8" w:space="0" w:color="44546A"/>
              <w:right w:val="nil"/>
            </w:tcBorders>
            <w:shd w:val="clear" w:color="auto" w:fill="auto"/>
            <w:vAlign w:val="center"/>
            <w:hideMark/>
          </w:tcPr>
          <w:p w14:paraId="4E074B53" w14:textId="77777777" w:rsidR="00994F64" w:rsidRPr="00261B7A" w:rsidRDefault="00994F64" w:rsidP="00501B0F">
            <w:pPr>
              <w:pStyle w:val="TableText"/>
              <w:spacing w:before="40" w:after="40"/>
              <w:jc w:val="center"/>
              <w:rPr>
                <w:color w:val="000000"/>
              </w:rPr>
            </w:pPr>
            <w:r w:rsidRPr="00261B7A">
              <w:rPr>
                <w:color w:val="000000"/>
              </w:rPr>
              <w:t>28,155.3</w:t>
            </w:r>
          </w:p>
        </w:tc>
        <w:tc>
          <w:tcPr>
            <w:tcW w:w="1644" w:type="dxa"/>
            <w:tcBorders>
              <w:top w:val="nil"/>
              <w:left w:val="nil"/>
              <w:bottom w:val="single" w:sz="8" w:space="0" w:color="44546A"/>
              <w:right w:val="nil"/>
            </w:tcBorders>
            <w:shd w:val="clear" w:color="auto" w:fill="auto"/>
            <w:vAlign w:val="center"/>
            <w:hideMark/>
          </w:tcPr>
          <w:p w14:paraId="08E18313" w14:textId="77777777" w:rsidR="00994F64" w:rsidRPr="00261B7A" w:rsidRDefault="00994F64" w:rsidP="00501B0F">
            <w:pPr>
              <w:pStyle w:val="TableText"/>
              <w:spacing w:before="40" w:after="40"/>
              <w:jc w:val="center"/>
              <w:rPr>
                <w:color w:val="000000"/>
              </w:rPr>
            </w:pPr>
            <w:r w:rsidRPr="00261B7A">
              <w:rPr>
                <w:color w:val="000000"/>
              </w:rPr>
              <w:t>1,194.8</w:t>
            </w:r>
          </w:p>
        </w:tc>
        <w:tc>
          <w:tcPr>
            <w:tcW w:w="1644" w:type="dxa"/>
            <w:tcBorders>
              <w:top w:val="nil"/>
              <w:left w:val="nil"/>
              <w:bottom w:val="single" w:sz="8" w:space="0" w:color="44546A"/>
              <w:right w:val="nil"/>
            </w:tcBorders>
            <w:shd w:val="clear" w:color="auto" w:fill="auto"/>
            <w:vAlign w:val="center"/>
          </w:tcPr>
          <w:p w14:paraId="4E6E3429" w14:textId="77777777" w:rsidR="00994F64" w:rsidRPr="00261B7A" w:rsidRDefault="00994F64" w:rsidP="00501B0F">
            <w:pPr>
              <w:pStyle w:val="TableText"/>
              <w:spacing w:before="40" w:after="40"/>
              <w:jc w:val="center"/>
              <w:rPr>
                <w:color w:val="000000"/>
              </w:rPr>
            </w:pPr>
            <w:r w:rsidRPr="00261B7A">
              <w:rPr>
                <w:color w:val="000000"/>
              </w:rPr>
              <w:t>4.4</w:t>
            </w:r>
          </w:p>
        </w:tc>
      </w:tr>
      <w:tr w:rsidR="00994F64" w:rsidRPr="00261B7A" w14:paraId="28C03B37" w14:textId="77777777" w:rsidTr="00501B0F">
        <w:tc>
          <w:tcPr>
            <w:tcW w:w="1562" w:type="dxa"/>
            <w:vMerge/>
            <w:tcBorders>
              <w:top w:val="nil"/>
              <w:left w:val="nil"/>
              <w:bottom w:val="single" w:sz="8" w:space="0" w:color="365F91"/>
              <w:right w:val="nil"/>
            </w:tcBorders>
            <w:vAlign w:val="center"/>
            <w:hideMark/>
          </w:tcPr>
          <w:p w14:paraId="0268988C" w14:textId="77777777" w:rsidR="00994F64" w:rsidRPr="00261B7A" w:rsidRDefault="00994F64" w:rsidP="00501B0F">
            <w:pPr>
              <w:pStyle w:val="TableText"/>
              <w:spacing w:before="40" w:after="40"/>
              <w:rPr>
                <w:color w:val="000000"/>
              </w:rPr>
            </w:pPr>
          </w:p>
        </w:tc>
        <w:tc>
          <w:tcPr>
            <w:tcW w:w="2041" w:type="dxa"/>
            <w:tcBorders>
              <w:top w:val="nil"/>
              <w:left w:val="nil"/>
              <w:bottom w:val="single" w:sz="8" w:space="0" w:color="44546A"/>
              <w:right w:val="nil"/>
            </w:tcBorders>
            <w:shd w:val="clear" w:color="auto" w:fill="auto"/>
            <w:vAlign w:val="center"/>
            <w:hideMark/>
          </w:tcPr>
          <w:p w14:paraId="01B0E1FE" w14:textId="77777777" w:rsidR="00994F64" w:rsidRPr="00261B7A" w:rsidRDefault="00994F64" w:rsidP="00501B0F">
            <w:pPr>
              <w:pStyle w:val="TableText"/>
              <w:spacing w:before="40" w:after="40"/>
              <w:rPr>
                <w:color w:val="000000"/>
              </w:rPr>
            </w:pPr>
            <w:r w:rsidRPr="00261B7A">
              <w:rPr>
                <w:color w:val="000000"/>
              </w:rPr>
              <w:t>Difference in emissions estimates compared with current inventory </w:t>
            </w:r>
          </w:p>
        </w:tc>
        <w:tc>
          <w:tcPr>
            <w:tcW w:w="794" w:type="dxa"/>
            <w:tcBorders>
              <w:top w:val="nil"/>
              <w:left w:val="nil"/>
              <w:bottom w:val="single" w:sz="8" w:space="0" w:color="44546A"/>
              <w:right w:val="nil"/>
            </w:tcBorders>
            <w:shd w:val="clear" w:color="auto" w:fill="auto"/>
            <w:vAlign w:val="center"/>
            <w:hideMark/>
          </w:tcPr>
          <w:p w14:paraId="79DA8A6A" w14:textId="77777777" w:rsidR="00994F64" w:rsidRPr="00261B7A" w:rsidRDefault="00994F64" w:rsidP="00501B0F">
            <w:pPr>
              <w:pStyle w:val="TableText"/>
              <w:spacing w:before="40" w:after="40"/>
              <w:jc w:val="center"/>
              <w:rPr>
                <w:color w:val="000000"/>
              </w:rPr>
            </w:pPr>
            <w:r w:rsidRPr="00261B7A">
              <w:rPr>
                <w:color w:val="000000"/>
              </w:rPr>
              <w:t>–167.4</w:t>
            </w:r>
          </w:p>
        </w:tc>
        <w:tc>
          <w:tcPr>
            <w:tcW w:w="794" w:type="dxa"/>
            <w:tcBorders>
              <w:top w:val="nil"/>
              <w:left w:val="nil"/>
              <w:bottom w:val="single" w:sz="8" w:space="0" w:color="44546A"/>
              <w:right w:val="nil"/>
            </w:tcBorders>
            <w:shd w:val="clear" w:color="auto" w:fill="auto"/>
            <w:vAlign w:val="center"/>
            <w:hideMark/>
          </w:tcPr>
          <w:p w14:paraId="4FFCFDBD" w14:textId="77777777" w:rsidR="00994F64" w:rsidRPr="00261B7A" w:rsidRDefault="00994F64" w:rsidP="00501B0F">
            <w:pPr>
              <w:pStyle w:val="TableText"/>
              <w:spacing w:before="40" w:after="40"/>
              <w:jc w:val="center"/>
              <w:rPr>
                <w:color w:val="000000"/>
              </w:rPr>
            </w:pPr>
            <w:r w:rsidRPr="00261B7A">
              <w:rPr>
                <w:color w:val="000000"/>
              </w:rPr>
              <w:t>–374.1</w:t>
            </w:r>
          </w:p>
        </w:tc>
        <w:tc>
          <w:tcPr>
            <w:tcW w:w="1644" w:type="dxa"/>
            <w:tcBorders>
              <w:top w:val="nil"/>
              <w:left w:val="nil"/>
              <w:bottom w:val="single" w:sz="8" w:space="0" w:color="44546A"/>
              <w:right w:val="nil"/>
            </w:tcBorders>
            <w:shd w:val="clear" w:color="auto" w:fill="auto"/>
            <w:vAlign w:val="center"/>
            <w:hideMark/>
          </w:tcPr>
          <w:p w14:paraId="379F09F6" w14:textId="77777777" w:rsidR="00994F64" w:rsidRPr="00261B7A" w:rsidRDefault="00994F64" w:rsidP="00501B0F">
            <w:pPr>
              <w:pStyle w:val="TableText"/>
              <w:spacing w:before="40" w:after="40"/>
              <w:jc w:val="center"/>
              <w:rPr>
                <w:color w:val="000000"/>
              </w:rPr>
            </w:pPr>
            <w:r w:rsidRPr="00261B7A">
              <w:rPr>
                <w:color w:val="000000"/>
              </w:rPr>
              <w:t>–206.8</w:t>
            </w:r>
          </w:p>
        </w:tc>
        <w:tc>
          <w:tcPr>
            <w:tcW w:w="1644" w:type="dxa"/>
            <w:tcBorders>
              <w:top w:val="nil"/>
              <w:left w:val="nil"/>
              <w:bottom w:val="single" w:sz="8" w:space="0" w:color="44546A"/>
              <w:right w:val="nil"/>
            </w:tcBorders>
            <w:shd w:val="clear" w:color="auto" w:fill="auto"/>
            <w:vAlign w:val="center"/>
            <w:hideMark/>
          </w:tcPr>
          <w:p w14:paraId="6B4DF516" w14:textId="77777777" w:rsidR="00994F64" w:rsidRPr="00261B7A" w:rsidRDefault="00994F64" w:rsidP="00501B0F">
            <w:pPr>
              <w:pStyle w:val="TableText"/>
              <w:spacing w:before="40" w:after="40"/>
              <w:jc w:val="center"/>
              <w:rPr>
                <w:color w:val="000000"/>
              </w:rPr>
            </w:pPr>
            <w:r w:rsidRPr="00261B7A">
              <w:rPr>
                <w:color w:val="000000"/>
              </w:rPr>
              <w:t>–</w:t>
            </w:r>
          </w:p>
        </w:tc>
      </w:tr>
      <w:tr w:rsidR="00994F64" w:rsidRPr="00261B7A" w14:paraId="5179A085" w14:textId="77777777" w:rsidTr="00501B0F">
        <w:tc>
          <w:tcPr>
            <w:tcW w:w="1562" w:type="dxa"/>
            <w:vMerge/>
            <w:tcBorders>
              <w:top w:val="nil"/>
              <w:left w:val="nil"/>
              <w:bottom w:val="single" w:sz="8" w:space="0" w:color="365F91"/>
              <w:right w:val="nil"/>
            </w:tcBorders>
            <w:vAlign w:val="center"/>
            <w:hideMark/>
          </w:tcPr>
          <w:p w14:paraId="71AC67F2" w14:textId="77777777" w:rsidR="00994F64" w:rsidRPr="00261B7A" w:rsidRDefault="00994F64" w:rsidP="00501B0F">
            <w:pPr>
              <w:pStyle w:val="TableText"/>
              <w:spacing w:before="40" w:after="40"/>
              <w:rPr>
                <w:color w:val="000000"/>
              </w:rPr>
            </w:pPr>
          </w:p>
        </w:tc>
        <w:tc>
          <w:tcPr>
            <w:tcW w:w="2041" w:type="dxa"/>
            <w:tcBorders>
              <w:top w:val="nil"/>
              <w:left w:val="nil"/>
              <w:bottom w:val="single" w:sz="8" w:space="0" w:color="44546A"/>
              <w:right w:val="nil"/>
            </w:tcBorders>
            <w:shd w:val="clear" w:color="auto" w:fill="auto"/>
            <w:vAlign w:val="center"/>
            <w:hideMark/>
          </w:tcPr>
          <w:p w14:paraId="7E1CAD3D" w14:textId="77777777" w:rsidR="00994F64" w:rsidRPr="00261B7A" w:rsidRDefault="00994F64" w:rsidP="00501B0F">
            <w:pPr>
              <w:pStyle w:val="TableText"/>
              <w:spacing w:before="40" w:after="40"/>
              <w:rPr>
                <w:color w:val="000000"/>
              </w:rPr>
            </w:pPr>
            <w:r w:rsidRPr="00261B7A">
              <w:rPr>
                <w:color w:val="000000"/>
              </w:rPr>
              <w:t>Percentage difference in emissions estimates (%)</w:t>
            </w:r>
          </w:p>
        </w:tc>
        <w:tc>
          <w:tcPr>
            <w:tcW w:w="794" w:type="dxa"/>
            <w:tcBorders>
              <w:top w:val="nil"/>
              <w:left w:val="nil"/>
              <w:bottom w:val="single" w:sz="8" w:space="0" w:color="44546A"/>
              <w:right w:val="nil"/>
            </w:tcBorders>
            <w:shd w:val="clear" w:color="auto" w:fill="auto"/>
            <w:vAlign w:val="center"/>
            <w:hideMark/>
          </w:tcPr>
          <w:p w14:paraId="2D2F06F4" w14:textId="77777777" w:rsidR="00994F64" w:rsidRPr="00261B7A" w:rsidRDefault="00994F64" w:rsidP="00501B0F">
            <w:pPr>
              <w:pStyle w:val="TableText"/>
              <w:spacing w:before="40" w:after="40"/>
              <w:jc w:val="center"/>
              <w:rPr>
                <w:color w:val="000000"/>
              </w:rPr>
            </w:pPr>
            <w:r w:rsidRPr="00261B7A">
              <w:rPr>
                <w:color w:val="000000"/>
              </w:rPr>
              <w:t>–0.6</w:t>
            </w:r>
          </w:p>
        </w:tc>
        <w:tc>
          <w:tcPr>
            <w:tcW w:w="794" w:type="dxa"/>
            <w:tcBorders>
              <w:top w:val="nil"/>
              <w:left w:val="nil"/>
              <w:bottom w:val="single" w:sz="8" w:space="0" w:color="44546A"/>
              <w:right w:val="nil"/>
            </w:tcBorders>
            <w:shd w:val="clear" w:color="auto" w:fill="auto"/>
            <w:vAlign w:val="center"/>
            <w:hideMark/>
          </w:tcPr>
          <w:p w14:paraId="002A99FC" w14:textId="77777777" w:rsidR="00994F64" w:rsidRPr="00261B7A" w:rsidRDefault="00994F64" w:rsidP="00501B0F">
            <w:pPr>
              <w:pStyle w:val="TableText"/>
              <w:spacing w:before="40" w:after="40"/>
              <w:jc w:val="center"/>
              <w:rPr>
                <w:color w:val="000000"/>
              </w:rPr>
            </w:pPr>
            <w:r w:rsidRPr="00261B7A">
              <w:rPr>
                <w:color w:val="000000"/>
              </w:rPr>
              <w:t>–1.3</w:t>
            </w:r>
          </w:p>
        </w:tc>
        <w:tc>
          <w:tcPr>
            <w:tcW w:w="1644" w:type="dxa"/>
            <w:tcBorders>
              <w:top w:val="nil"/>
              <w:left w:val="nil"/>
              <w:bottom w:val="single" w:sz="8" w:space="0" w:color="44546A"/>
              <w:right w:val="nil"/>
            </w:tcBorders>
            <w:shd w:val="clear" w:color="auto" w:fill="auto"/>
            <w:vAlign w:val="center"/>
            <w:hideMark/>
          </w:tcPr>
          <w:p w14:paraId="7D61F5C4" w14:textId="77777777" w:rsidR="00994F64" w:rsidRPr="00261B7A" w:rsidRDefault="00994F64" w:rsidP="00501B0F">
            <w:pPr>
              <w:pStyle w:val="TableText"/>
              <w:spacing w:before="40" w:after="40"/>
              <w:jc w:val="center"/>
              <w:rPr>
                <w:color w:val="000000"/>
              </w:rPr>
            </w:pPr>
            <w:r w:rsidRPr="00261B7A">
              <w:rPr>
                <w:color w:val="000000"/>
              </w:rPr>
              <w:t>–</w:t>
            </w:r>
          </w:p>
        </w:tc>
        <w:tc>
          <w:tcPr>
            <w:tcW w:w="1644" w:type="dxa"/>
            <w:tcBorders>
              <w:top w:val="nil"/>
              <w:left w:val="nil"/>
              <w:bottom w:val="single" w:sz="8" w:space="0" w:color="44546A"/>
              <w:right w:val="nil"/>
            </w:tcBorders>
            <w:shd w:val="clear" w:color="auto" w:fill="auto"/>
            <w:vAlign w:val="center"/>
            <w:hideMark/>
          </w:tcPr>
          <w:p w14:paraId="321E5A44" w14:textId="77777777" w:rsidR="00994F64" w:rsidRPr="00261B7A" w:rsidRDefault="00994F64" w:rsidP="00501B0F">
            <w:pPr>
              <w:pStyle w:val="TableText"/>
              <w:spacing w:before="40" w:after="40"/>
              <w:jc w:val="center"/>
              <w:rPr>
                <w:color w:val="000000"/>
              </w:rPr>
            </w:pPr>
            <w:r w:rsidRPr="00261B7A">
              <w:rPr>
                <w:color w:val="000000"/>
              </w:rPr>
              <w:t>–</w:t>
            </w:r>
          </w:p>
        </w:tc>
      </w:tr>
    </w:tbl>
    <w:p w14:paraId="420FE289" w14:textId="77777777" w:rsidR="00994F64" w:rsidRPr="00261B7A" w:rsidRDefault="00994F64" w:rsidP="00994F64">
      <w:pPr>
        <w:pStyle w:val="Heading5"/>
        <w:spacing w:before="360"/>
      </w:pPr>
      <w:r w:rsidRPr="00261B7A">
        <w:t>Use of non-pasture feed</w:t>
      </w:r>
    </w:p>
    <w:p w14:paraId="767281E6" w14:textId="77777777" w:rsidR="00994F64" w:rsidRPr="00261B7A" w:rsidRDefault="00994F64" w:rsidP="0054382B">
      <w:pPr>
        <w:pStyle w:val="BodyText"/>
        <w:spacing w:before="100" w:after="100"/>
      </w:pPr>
      <w:r w:rsidRPr="00261B7A">
        <w:t xml:space="preserve">Emissions estimates for </w:t>
      </w:r>
      <w:r w:rsidRPr="00261B7A">
        <w:rPr>
          <w:i/>
          <w:iCs/>
        </w:rPr>
        <w:t>Dairy cattle</w:t>
      </w:r>
      <w:r w:rsidRPr="00261B7A">
        <w:t xml:space="preserve">, </w:t>
      </w:r>
      <w:r w:rsidRPr="00261B7A">
        <w:rPr>
          <w:i/>
          <w:iCs/>
        </w:rPr>
        <w:t xml:space="preserve">Non-dairy </w:t>
      </w:r>
      <w:r w:rsidRPr="00261B7A">
        <w:t>(beef)</w:t>
      </w:r>
      <w:r w:rsidRPr="00261B7A">
        <w:rPr>
          <w:i/>
          <w:iCs/>
        </w:rPr>
        <w:t xml:space="preserve"> cattle</w:t>
      </w:r>
      <w:r w:rsidRPr="00261B7A">
        <w:t xml:space="preserve"> and </w:t>
      </w:r>
      <w:r w:rsidRPr="00261B7A">
        <w:rPr>
          <w:i/>
          <w:iCs/>
        </w:rPr>
        <w:t>Sheep </w:t>
      </w:r>
      <w:r w:rsidRPr="00261B7A">
        <w:t xml:space="preserve">have been improved by a methodological update to account for the use of non-pasture feed supplements. Previously, the inventory assumed that cattle and sheep consume only pasture to satisfy their energy requirements. </w:t>
      </w:r>
    </w:p>
    <w:p w14:paraId="21EE567C" w14:textId="77777777" w:rsidR="00994F64" w:rsidRPr="00261B7A" w:rsidRDefault="00994F64" w:rsidP="0054382B">
      <w:pPr>
        <w:pStyle w:val="BodyText"/>
        <w:spacing w:before="100" w:after="100"/>
      </w:pPr>
      <w:r w:rsidRPr="00261B7A">
        <w:t xml:space="preserve">A recent report by Sangster (2022) makes recommendations for adjusting the feed quality values used in the inventory to account for the use of non-pasture feed. Adjusted feed quality values are calculated using a weighted average dependent on the consumption of supplementary feed by livestock. </w:t>
      </w:r>
    </w:p>
    <w:p w14:paraId="4F788553" w14:textId="77777777" w:rsidR="00994F64" w:rsidRPr="00261B7A" w:rsidRDefault="00994F64" w:rsidP="0054382B">
      <w:pPr>
        <w:pStyle w:val="BodyText"/>
        <w:spacing w:before="100" w:after="100"/>
      </w:pPr>
      <w:r w:rsidRPr="00261B7A">
        <w:t xml:space="preserve">The Agriculture inventory requires feed quality data to calculate </w:t>
      </w:r>
      <w:r w:rsidRPr="00261B7A">
        <w:rPr>
          <w:rFonts w:cs="Calibri"/>
        </w:rPr>
        <w:t>CH</w:t>
      </w:r>
      <w:r w:rsidRPr="00261B7A">
        <w:rPr>
          <w:rFonts w:cs="Calibri"/>
          <w:vertAlign w:val="subscript"/>
        </w:rPr>
        <w:t>4</w:t>
      </w:r>
      <w:r w:rsidRPr="00261B7A">
        <w:t xml:space="preserve">. For the purpose of calculating emissions from </w:t>
      </w:r>
      <w:r w:rsidRPr="00261B7A">
        <w:rPr>
          <w:i/>
          <w:iCs/>
        </w:rPr>
        <w:t>Enteric fermentation</w:t>
      </w:r>
      <w:r w:rsidRPr="00261B7A">
        <w:t xml:space="preserve">, the key component of feed quality is ME used to calculate DMI. </w:t>
      </w:r>
    </w:p>
    <w:p w14:paraId="5D9F966B" w14:textId="77777777" w:rsidR="00994F64" w:rsidRPr="00261B7A" w:rsidRDefault="00994F64" w:rsidP="00994F64">
      <w:pPr>
        <w:pStyle w:val="BodyText"/>
      </w:pPr>
      <w:r w:rsidRPr="00261B7A">
        <w:t xml:space="preserve">Sangster (2022) uses the pasture feed quality values recommended by Giltrap and McNeill (2020). These pasture feed quality values were implemented in 2021, replacing values from research completed in the early 2000s (Litherland et al., 2002 and Ian Brooks (pers. comm.)). The feed quality values used for non-pasture feed supplements have been recommended by Calvert (unpublished). </w:t>
      </w:r>
    </w:p>
    <w:p w14:paraId="4E5A7BD5" w14:textId="77777777" w:rsidR="00994F64" w:rsidRPr="00261B7A" w:rsidRDefault="00994F64" w:rsidP="00994F64">
      <w:pPr>
        <w:pStyle w:val="BodyText"/>
      </w:pPr>
      <w:r w:rsidRPr="00261B7A">
        <w:t xml:space="preserve">Activity data on the consumption of non-pasture feed by livestock are provided by DairyNZ (MPI, 2019) and AbacusBio (MPI, 2017, 2018). </w:t>
      </w:r>
    </w:p>
    <w:p w14:paraId="004D88FA" w14:textId="77777777" w:rsidR="00994F64" w:rsidRPr="00261B7A" w:rsidRDefault="00994F64" w:rsidP="00994F64">
      <w:pPr>
        <w:pStyle w:val="BodyText"/>
      </w:pPr>
      <w:r w:rsidRPr="00261B7A">
        <w:t xml:space="preserve">The 10 most commonly used non-pasture feeds were included in the analysis. These account for 90 per cent of non-pasture feed consumed by dairy cattle in 2019. To reduce the complexity of the analysis, and in recognition of the uncertainty in the source data, less common feeds were aggregated and assumed to have the same feed quality as pasture. </w:t>
      </w:r>
    </w:p>
    <w:p w14:paraId="398C9631" w14:textId="77777777" w:rsidR="00994F64" w:rsidRPr="00261B7A" w:rsidRDefault="00994F64" w:rsidP="00994F64">
      <w:pPr>
        <w:pStyle w:val="BodyText"/>
      </w:pPr>
      <w:r w:rsidRPr="00261B7A">
        <w:t xml:space="preserve">Implementing these changes resulted in estimated emissions from </w:t>
      </w:r>
      <w:r w:rsidRPr="00261B7A">
        <w:rPr>
          <w:i/>
          <w:iCs/>
        </w:rPr>
        <w:t>Enteric fermentation</w:t>
      </w:r>
      <w:r w:rsidRPr="00261B7A">
        <w:t xml:space="preserve"> decreasing by 1.0 per cent (258.6 kt CO</w:t>
      </w:r>
      <w:r w:rsidRPr="00261B7A">
        <w:rPr>
          <w:vertAlign w:val="subscript"/>
        </w:rPr>
        <w:t>2</w:t>
      </w:r>
      <w:r w:rsidRPr="00261B7A">
        <w:t>-e) in 1990 and 1.4 per cent (397.8 kt CO</w:t>
      </w:r>
      <w:r w:rsidRPr="00261B7A">
        <w:rPr>
          <w:vertAlign w:val="subscript"/>
        </w:rPr>
        <w:t>2</w:t>
      </w:r>
      <w:r w:rsidRPr="00261B7A">
        <w:t>-e) in 2020 (see table 5.2.7).</w:t>
      </w:r>
    </w:p>
    <w:p w14:paraId="616AB88E" w14:textId="77777777" w:rsidR="00994F64" w:rsidRPr="00261B7A" w:rsidRDefault="00994F64" w:rsidP="00994F64">
      <w:pPr>
        <w:pStyle w:val="Table"/>
        <w:rPr>
          <w:rFonts w:cs="Calibri"/>
        </w:rPr>
      </w:pPr>
      <w:bookmarkStart w:id="821" w:name="_Toc127458258"/>
      <w:bookmarkStart w:id="822" w:name="_Toc131591354"/>
      <w:r w:rsidRPr="00261B7A">
        <w:rPr>
          <w:rFonts w:cs="Calibri"/>
        </w:rPr>
        <w:t>Table 5.2.7</w:t>
      </w:r>
      <w:r w:rsidRPr="00261B7A">
        <w:rPr>
          <w:rFonts w:cs="Calibri"/>
        </w:rPr>
        <w:tab/>
        <w:t>Comparison of the pasture quality values and adjusted feed quality values for emissions from </w:t>
      </w:r>
      <w:r w:rsidRPr="00261B7A">
        <w:rPr>
          <w:rFonts w:cs="Calibri"/>
          <w:i/>
          <w:iCs/>
        </w:rPr>
        <w:t>Enteric fermentation</w:t>
      </w:r>
      <w:bookmarkEnd w:id="821"/>
      <w:bookmarkEnd w:id="822"/>
      <w:r w:rsidRPr="00261B7A">
        <w:rPr>
          <w:rFonts w:cs="Calibri"/>
          <w:i/>
          <w:iCs/>
        </w:rPr>
        <w:t xml:space="preserve"> </w:t>
      </w:r>
    </w:p>
    <w:tbl>
      <w:tblPr>
        <w:tblW w:w="5000" w:type="pct"/>
        <w:tblLook w:val="04A0" w:firstRow="1" w:lastRow="0" w:firstColumn="1" w:lastColumn="0" w:noHBand="0" w:noVBand="1"/>
      </w:tblPr>
      <w:tblGrid>
        <w:gridCol w:w="1702"/>
        <w:gridCol w:w="2096"/>
        <w:gridCol w:w="783"/>
        <w:gridCol w:w="837"/>
        <w:gridCol w:w="1514"/>
        <w:gridCol w:w="1573"/>
      </w:tblGrid>
      <w:tr w:rsidR="00994F64" w:rsidRPr="00261B7A" w14:paraId="0DBDB15E" w14:textId="77777777" w:rsidTr="00501B0F">
        <w:tc>
          <w:tcPr>
            <w:tcW w:w="1000" w:type="pct"/>
            <w:tcBorders>
              <w:top w:val="single" w:sz="8" w:space="0" w:color="44546A"/>
              <w:left w:val="nil"/>
              <w:bottom w:val="nil"/>
              <w:right w:val="nil"/>
            </w:tcBorders>
            <w:shd w:val="clear" w:color="000000" w:fill="1B556B"/>
            <w:vAlign w:val="bottom"/>
            <w:hideMark/>
          </w:tcPr>
          <w:p w14:paraId="5637173F" w14:textId="77777777" w:rsidR="00994F64" w:rsidRPr="00261B7A" w:rsidRDefault="00994F64" w:rsidP="00501B0F">
            <w:pPr>
              <w:pStyle w:val="TableText"/>
              <w:spacing w:before="40" w:after="40"/>
              <w:rPr>
                <w:b/>
                <w:bCs/>
                <w:color w:val="FFFFFF" w:themeColor="background1"/>
              </w:rPr>
            </w:pPr>
            <w:r w:rsidRPr="00261B7A">
              <w:rPr>
                <w:b/>
                <w:bCs/>
                <w:color w:val="FFFFFF" w:themeColor="background1"/>
              </w:rPr>
              <w:t>Emissions (kt CO</w:t>
            </w:r>
            <w:r w:rsidRPr="00261B7A">
              <w:rPr>
                <w:b/>
                <w:bCs/>
                <w:color w:val="FFFFFF" w:themeColor="background1"/>
                <w:vertAlign w:val="subscript"/>
              </w:rPr>
              <w:t>2</w:t>
            </w:r>
            <w:r w:rsidRPr="00261B7A">
              <w:rPr>
                <w:b/>
                <w:bCs/>
                <w:color w:val="FFFFFF" w:themeColor="background1"/>
              </w:rPr>
              <w:t>-e)</w:t>
            </w:r>
          </w:p>
        </w:tc>
        <w:tc>
          <w:tcPr>
            <w:tcW w:w="1232" w:type="pct"/>
            <w:tcBorders>
              <w:top w:val="single" w:sz="8" w:space="0" w:color="44546A"/>
              <w:left w:val="nil"/>
              <w:bottom w:val="single" w:sz="8" w:space="0" w:color="44546A"/>
              <w:right w:val="nil"/>
            </w:tcBorders>
            <w:shd w:val="clear" w:color="000000" w:fill="1B556B"/>
            <w:vAlign w:val="bottom"/>
            <w:hideMark/>
          </w:tcPr>
          <w:p w14:paraId="1A83A8CD" w14:textId="77777777" w:rsidR="00994F64" w:rsidRPr="00261B7A" w:rsidRDefault="00994F64" w:rsidP="00501B0F">
            <w:pPr>
              <w:pStyle w:val="TableText"/>
              <w:spacing w:before="40" w:after="40"/>
              <w:rPr>
                <w:b/>
                <w:bCs/>
                <w:color w:val="FFFFFF" w:themeColor="background1"/>
              </w:rPr>
            </w:pPr>
          </w:p>
        </w:tc>
        <w:tc>
          <w:tcPr>
            <w:tcW w:w="460" w:type="pct"/>
            <w:tcBorders>
              <w:top w:val="single" w:sz="8" w:space="0" w:color="44546A"/>
              <w:left w:val="nil"/>
              <w:bottom w:val="single" w:sz="8" w:space="0" w:color="44546A"/>
              <w:right w:val="nil"/>
            </w:tcBorders>
            <w:shd w:val="clear" w:color="000000" w:fill="1B556B"/>
            <w:vAlign w:val="bottom"/>
            <w:hideMark/>
          </w:tcPr>
          <w:p w14:paraId="47EF7CF1" w14:textId="77777777" w:rsidR="00994F64" w:rsidRPr="00261B7A" w:rsidRDefault="00994F64" w:rsidP="00501B0F">
            <w:pPr>
              <w:pStyle w:val="TableText"/>
              <w:spacing w:before="40" w:after="40"/>
              <w:jc w:val="center"/>
              <w:rPr>
                <w:b/>
                <w:bCs/>
                <w:color w:val="FFFFFF" w:themeColor="background1"/>
              </w:rPr>
            </w:pPr>
            <w:r w:rsidRPr="00261B7A">
              <w:rPr>
                <w:b/>
                <w:bCs/>
                <w:color w:val="FFFFFF" w:themeColor="background1"/>
              </w:rPr>
              <w:t>1990</w:t>
            </w:r>
          </w:p>
        </w:tc>
        <w:tc>
          <w:tcPr>
            <w:tcW w:w="492" w:type="pct"/>
            <w:tcBorders>
              <w:top w:val="single" w:sz="8" w:space="0" w:color="44546A"/>
              <w:left w:val="nil"/>
              <w:bottom w:val="single" w:sz="8" w:space="0" w:color="44546A"/>
              <w:right w:val="nil"/>
            </w:tcBorders>
            <w:shd w:val="clear" w:color="000000" w:fill="1B556B"/>
            <w:vAlign w:val="bottom"/>
            <w:hideMark/>
          </w:tcPr>
          <w:p w14:paraId="4998F36E" w14:textId="77777777" w:rsidR="00994F64" w:rsidRPr="00261B7A" w:rsidRDefault="00994F64" w:rsidP="00501B0F">
            <w:pPr>
              <w:pStyle w:val="TableText"/>
              <w:spacing w:before="40" w:after="40"/>
              <w:jc w:val="center"/>
              <w:rPr>
                <w:b/>
                <w:bCs/>
                <w:color w:val="FFFFFF" w:themeColor="background1"/>
              </w:rPr>
            </w:pPr>
            <w:r w:rsidRPr="00261B7A">
              <w:rPr>
                <w:b/>
                <w:bCs/>
                <w:color w:val="FFFFFF" w:themeColor="background1"/>
              </w:rPr>
              <w:t>2020</w:t>
            </w:r>
          </w:p>
        </w:tc>
        <w:tc>
          <w:tcPr>
            <w:tcW w:w="890" w:type="pct"/>
            <w:tcBorders>
              <w:top w:val="single" w:sz="8" w:space="0" w:color="44546A"/>
              <w:left w:val="nil"/>
              <w:bottom w:val="nil"/>
              <w:right w:val="nil"/>
            </w:tcBorders>
            <w:shd w:val="clear" w:color="000000" w:fill="1B556B"/>
            <w:vAlign w:val="bottom"/>
            <w:hideMark/>
          </w:tcPr>
          <w:p w14:paraId="0BBFA08D" w14:textId="77777777" w:rsidR="00994F64" w:rsidRPr="00261B7A" w:rsidRDefault="00994F64" w:rsidP="00501B0F">
            <w:pPr>
              <w:pStyle w:val="TableText"/>
              <w:spacing w:before="40" w:after="40"/>
              <w:jc w:val="center"/>
              <w:rPr>
                <w:b/>
                <w:bCs/>
                <w:color w:val="FFFFFF" w:themeColor="background1"/>
              </w:rPr>
            </w:pPr>
            <w:r w:rsidRPr="00261B7A">
              <w:rPr>
                <w:b/>
                <w:bCs/>
                <w:color w:val="FFFFFF" w:themeColor="background1"/>
              </w:rPr>
              <w:t>Change in emission outputs between 1990 and 2020 (kt CO</w:t>
            </w:r>
            <w:r w:rsidRPr="00261B7A">
              <w:rPr>
                <w:b/>
                <w:bCs/>
                <w:color w:val="FFFFFF" w:themeColor="background1"/>
                <w:vertAlign w:val="subscript"/>
              </w:rPr>
              <w:t>2</w:t>
            </w:r>
            <w:r w:rsidRPr="00261B7A">
              <w:rPr>
                <w:b/>
                <w:bCs/>
                <w:color w:val="FFFFFF" w:themeColor="background1"/>
              </w:rPr>
              <w:t>-e)</w:t>
            </w:r>
          </w:p>
        </w:tc>
        <w:tc>
          <w:tcPr>
            <w:tcW w:w="925" w:type="pct"/>
            <w:tcBorders>
              <w:top w:val="single" w:sz="8" w:space="0" w:color="44546A"/>
              <w:left w:val="nil"/>
              <w:bottom w:val="nil"/>
              <w:right w:val="nil"/>
            </w:tcBorders>
            <w:shd w:val="clear" w:color="000000" w:fill="1B556B"/>
            <w:vAlign w:val="bottom"/>
            <w:hideMark/>
          </w:tcPr>
          <w:p w14:paraId="517EEFAD" w14:textId="77777777" w:rsidR="00994F64" w:rsidRPr="00261B7A" w:rsidRDefault="00994F64" w:rsidP="00501B0F">
            <w:pPr>
              <w:pStyle w:val="TableText"/>
              <w:spacing w:before="40" w:after="40"/>
              <w:jc w:val="center"/>
              <w:rPr>
                <w:b/>
                <w:bCs/>
                <w:color w:val="FFFFFF" w:themeColor="background1"/>
              </w:rPr>
            </w:pPr>
            <w:r w:rsidRPr="00261B7A">
              <w:rPr>
                <w:b/>
                <w:bCs/>
                <w:color w:val="FFFFFF" w:themeColor="background1"/>
              </w:rPr>
              <w:t>Percentage change in emission outputs between 1990 and 2020 (%)</w:t>
            </w:r>
          </w:p>
        </w:tc>
      </w:tr>
      <w:tr w:rsidR="00994F64" w:rsidRPr="00261B7A" w14:paraId="2C448C8C" w14:textId="77777777" w:rsidTr="00501B0F">
        <w:tc>
          <w:tcPr>
            <w:tcW w:w="1000" w:type="pct"/>
            <w:vMerge w:val="restart"/>
            <w:tcBorders>
              <w:top w:val="nil"/>
              <w:left w:val="nil"/>
              <w:bottom w:val="single" w:sz="8" w:space="0" w:color="365F91"/>
              <w:right w:val="nil"/>
            </w:tcBorders>
            <w:shd w:val="clear" w:color="auto" w:fill="auto"/>
            <w:vAlign w:val="center"/>
            <w:hideMark/>
          </w:tcPr>
          <w:p w14:paraId="414A1DBE" w14:textId="77777777" w:rsidR="00994F64" w:rsidRPr="00261B7A" w:rsidRDefault="00994F64" w:rsidP="00501B0F">
            <w:pPr>
              <w:pStyle w:val="TableText"/>
              <w:spacing w:before="40" w:after="40"/>
              <w:rPr>
                <w:color w:val="000000"/>
              </w:rPr>
            </w:pPr>
            <w:r w:rsidRPr="00261B7A">
              <w:rPr>
                <w:color w:val="000000"/>
              </w:rPr>
              <w:t xml:space="preserve">Total emissions from </w:t>
            </w:r>
            <w:r w:rsidRPr="00261B7A">
              <w:rPr>
                <w:i/>
                <w:iCs/>
                <w:color w:val="000000"/>
              </w:rPr>
              <w:t>Enteric fermentation</w:t>
            </w:r>
            <w:r w:rsidRPr="00261B7A">
              <w:rPr>
                <w:color w:val="000000"/>
              </w:rPr>
              <w:t xml:space="preserve"> (kt CO</w:t>
            </w:r>
            <w:r w:rsidRPr="00261B7A">
              <w:rPr>
                <w:color w:val="000000"/>
                <w:vertAlign w:val="subscript"/>
              </w:rPr>
              <w:t>2</w:t>
            </w:r>
            <w:r w:rsidRPr="00261B7A">
              <w:rPr>
                <w:color w:val="000000"/>
              </w:rPr>
              <w:t>-e)</w:t>
            </w:r>
          </w:p>
        </w:tc>
        <w:tc>
          <w:tcPr>
            <w:tcW w:w="1232" w:type="pct"/>
            <w:tcBorders>
              <w:top w:val="nil"/>
              <w:left w:val="nil"/>
              <w:bottom w:val="single" w:sz="8" w:space="0" w:color="44546A"/>
              <w:right w:val="nil"/>
            </w:tcBorders>
            <w:shd w:val="clear" w:color="auto" w:fill="auto"/>
            <w:vAlign w:val="center"/>
            <w:hideMark/>
          </w:tcPr>
          <w:p w14:paraId="5363DD83" w14:textId="77777777" w:rsidR="00994F64" w:rsidRPr="00261B7A" w:rsidRDefault="00994F64" w:rsidP="00501B0F">
            <w:pPr>
              <w:pStyle w:val="TableText"/>
              <w:spacing w:before="40" w:after="40"/>
              <w:rPr>
                <w:color w:val="000000"/>
              </w:rPr>
            </w:pPr>
            <w:r w:rsidRPr="00261B7A">
              <w:rPr>
                <w:color w:val="000000"/>
              </w:rPr>
              <w:t>2023 (1990–2021) emissions estimate using pasture quality values </w:t>
            </w:r>
          </w:p>
        </w:tc>
        <w:tc>
          <w:tcPr>
            <w:tcW w:w="460" w:type="pct"/>
            <w:tcBorders>
              <w:top w:val="nil"/>
              <w:left w:val="nil"/>
              <w:bottom w:val="single" w:sz="8" w:space="0" w:color="44546A"/>
              <w:right w:val="nil"/>
            </w:tcBorders>
            <w:shd w:val="clear" w:color="auto" w:fill="auto"/>
            <w:vAlign w:val="center"/>
            <w:hideMark/>
          </w:tcPr>
          <w:p w14:paraId="3935BC1D" w14:textId="77777777" w:rsidR="00994F64" w:rsidRPr="00261B7A" w:rsidRDefault="00994F64" w:rsidP="00501B0F">
            <w:pPr>
              <w:pStyle w:val="TableText"/>
              <w:spacing w:before="40" w:after="40"/>
              <w:jc w:val="center"/>
              <w:rPr>
                <w:color w:val="000000"/>
              </w:rPr>
            </w:pPr>
            <w:r w:rsidRPr="00261B7A">
              <w:rPr>
                <w:color w:val="000000"/>
              </w:rPr>
              <w:t>27,219.0</w:t>
            </w:r>
          </w:p>
        </w:tc>
        <w:tc>
          <w:tcPr>
            <w:tcW w:w="492" w:type="pct"/>
            <w:tcBorders>
              <w:top w:val="nil"/>
              <w:left w:val="nil"/>
              <w:bottom w:val="single" w:sz="8" w:space="0" w:color="44546A"/>
              <w:right w:val="nil"/>
            </w:tcBorders>
            <w:shd w:val="clear" w:color="auto" w:fill="auto"/>
            <w:vAlign w:val="center"/>
            <w:hideMark/>
          </w:tcPr>
          <w:p w14:paraId="5D7E6FFD" w14:textId="77777777" w:rsidR="00994F64" w:rsidRPr="00261B7A" w:rsidRDefault="00994F64" w:rsidP="00501B0F">
            <w:pPr>
              <w:pStyle w:val="TableText"/>
              <w:spacing w:before="40" w:after="40"/>
              <w:jc w:val="center"/>
              <w:rPr>
                <w:color w:val="000000"/>
              </w:rPr>
            </w:pPr>
            <w:r w:rsidRPr="00261B7A">
              <w:rPr>
                <w:color w:val="000000"/>
              </w:rPr>
              <w:t>28,553.0</w:t>
            </w:r>
          </w:p>
        </w:tc>
        <w:tc>
          <w:tcPr>
            <w:tcW w:w="890" w:type="pct"/>
            <w:tcBorders>
              <w:top w:val="nil"/>
              <w:left w:val="nil"/>
              <w:bottom w:val="single" w:sz="8" w:space="0" w:color="44546A"/>
              <w:right w:val="nil"/>
            </w:tcBorders>
            <w:shd w:val="clear" w:color="auto" w:fill="auto"/>
            <w:vAlign w:val="center"/>
            <w:hideMark/>
          </w:tcPr>
          <w:p w14:paraId="569B1360" w14:textId="77777777" w:rsidR="00994F64" w:rsidRPr="00261B7A" w:rsidRDefault="00994F64" w:rsidP="00501B0F">
            <w:pPr>
              <w:pStyle w:val="TableText"/>
              <w:spacing w:before="40" w:after="40"/>
              <w:jc w:val="center"/>
              <w:rPr>
                <w:color w:val="000000"/>
              </w:rPr>
            </w:pPr>
            <w:r w:rsidRPr="00261B7A">
              <w:rPr>
                <w:color w:val="000000"/>
              </w:rPr>
              <w:t>1,334.0</w:t>
            </w:r>
          </w:p>
        </w:tc>
        <w:tc>
          <w:tcPr>
            <w:tcW w:w="925" w:type="pct"/>
            <w:tcBorders>
              <w:top w:val="nil"/>
              <w:left w:val="nil"/>
              <w:bottom w:val="single" w:sz="8" w:space="0" w:color="44546A"/>
              <w:right w:val="nil"/>
            </w:tcBorders>
            <w:shd w:val="clear" w:color="auto" w:fill="auto"/>
            <w:vAlign w:val="center"/>
            <w:hideMark/>
          </w:tcPr>
          <w:p w14:paraId="16433B3F" w14:textId="77777777" w:rsidR="00994F64" w:rsidRPr="00261B7A" w:rsidRDefault="00994F64" w:rsidP="00501B0F">
            <w:pPr>
              <w:pStyle w:val="TableText"/>
              <w:spacing w:before="40" w:after="40"/>
              <w:jc w:val="center"/>
              <w:rPr>
                <w:color w:val="000000"/>
              </w:rPr>
            </w:pPr>
            <w:r w:rsidRPr="00261B7A">
              <w:rPr>
                <w:color w:val="000000"/>
              </w:rPr>
              <w:t>4.9</w:t>
            </w:r>
          </w:p>
        </w:tc>
      </w:tr>
      <w:tr w:rsidR="00994F64" w:rsidRPr="00261B7A" w14:paraId="09F77F09" w14:textId="77777777" w:rsidTr="00501B0F">
        <w:tc>
          <w:tcPr>
            <w:tcW w:w="1000" w:type="pct"/>
            <w:vMerge/>
            <w:tcBorders>
              <w:top w:val="nil"/>
              <w:left w:val="nil"/>
              <w:bottom w:val="single" w:sz="8" w:space="0" w:color="365F91"/>
              <w:right w:val="nil"/>
            </w:tcBorders>
            <w:vAlign w:val="center"/>
            <w:hideMark/>
          </w:tcPr>
          <w:p w14:paraId="5CD09439" w14:textId="77777777" w:rsidR="00994F64" w:rsidRPr="00261B7A" w:rsidRDefault="00994F64" w:rsidP="00501B0F">
            <w:pPr>
              <w:pStyle w:val="TableText"/>
              <w:spacing w:before="40" w:after="40"/>
              <w:rPr>
                <w:color w:val="000000"/>
              </w:rPr>
            </w:pPr>
          </w:p>
        </w:tc>
        <w:tc>
          <w:tcPr>
            <w:tcW w:w="1232" w:type="pct"/>
            <w:tcBorders>
              <w:top w:val="nil"/>
              <w:left w:val="nil"/>
              <w:bottom w:val="single" w:sz="8" w:space="0" w:color="44546A"/>
              <w:right w:val="nil"/>
            </w:tcBorders>
            <w:shd w:val="clear" w:color="auto" w:fill="auto"/>
            <w:vAlign w:val="center"/>
            <w:hideMark/>
          </w:tcPr>
          <w:p w14:paraId="48D345D8" w14:textId="77777777" w:rsidR="00994F64" w:rsidRPr="00261B7A" w:rsidRDefault="00994F64" w:rsidP="00501B0F">
            <w:pPr>
              <w:pStyle w:val="TableText"/>
              <w:spacing w:before="40" w:after="40"/>
              <w:rPr>
                <w:color w:val="000000"/>
              </w:rPr>
            </w:pPr>
            <w:r w:rsidRPr="00261B7A">
              <w:rPr>
                <w:color w:val="000000"/>
              </w:rPr>
              <w:t>2023 (1990–2021) emissions estimate using adjusted feed quality values</w:t>
            </w:r>
          </w:p>
        </w:tc>
        <w:tc>
          <w:tcPr>
            <w:tcW w:w="460" w:type="pct"/>
            <w:tcBorders>
              <w:top w:val="nil"/>
              <w:left w:val="nil"/>
              <w:bottom w:val="single" w:sz="8" w:space="0" w:color="44546A"/>
              <w:right w:val="nil"/>
            </w:tcBorders>
            <w:shd w:val="clear" w:color="auto" w:fill="auto"/>
            <w:vAlign w:val="center"/>
            <w:hideMark/>
          </w:tcPr>
          <w:p w14:paraId="6C2B41F6" w14:textId="77777777" w:rsidR="00994F64" w:rsidRPr="00261B7A" w:rsidRDefault="00994F64" w:rsidP="00501B0F">
            <w:pPr>
              <w:pStyle w:val="TableText"/>
              <w:spacing w:before="40" w:after="40"/>
              <w:jc w:val="center"/>
              <w:rPr>
                <w:color w:val="000000"/>
              </w:rPr>
            </w:pPr>
            <w:r w:rsidRPr="00261B7A">
              <w:rPr>
                <w:color w:val="000000"/>
              </w:rPr>
              <w:t>26,960.4</w:t>
            </w:r>
          </w:p>
        </w:tc>
        <w:tc>
          <w:tcPr>
            <w:tcW w:w="492" w:type="pct"/>
            <w:tcBorders>
              <w:top w:val="nil"/>
              <w:left w:val="nil"/>
              <w:bottom w:val="single" w:sz="8" w:space="0" w:color="44546A"/>
              <w:right w:val="nil"/>
            </w:tcBorders>
            <w:shd w:val="clear" w:color="auto" w:fill="auto"/>
            <w:vAlign w:val="center"/>
            <w:hideMark/>
          </w:tcPr>
          <w:p w14:paraId="528E7A0B" w14:textId="77777777" w:rsidR="00994F64" w:rsidRPr="00261B7A" w:rsidRDefault="00994F64" w:rsidP="00501B0F">
            <w:pPr>
              <w:pStyle w:val="TableText"/>
              <w:spacing w:before="40" w:after="40"/>
              <w:jc w:val="center"/>
              <w:rPr>
                <w:color w:val="000000"/>
              </w:rPr>
            </w:pPr>
            <w:r w:rsidRPr="00261B7A">
              <w:rPr>
                <w:color w:val="000000"/>
              </w:rPr>
              <w:t>28,155.3</w:t>
            </w:r>
          </w:p>
        </w:tc>
        <w:tc>
          <w:tcPr>
            <w:tcW w:w="890" w:type="pct"/>
            <w:tcBorders>
              <w:top w:val="nil"/>
              <w:left w:val="nil"/>
              <w:bottom w:val="single" w:sz="8" w:space="0" w:color="44546A"/>
              <w:right w:val="nil"/>
            </w:tcBorders>
            <w:shd w:val="clear" w:color="auto" w:fill="auto"/>
            <w:vAlign w:val="center"/>
            <w:hideMark/>
          </w:tcPr>
          <w:p w14:paraId="3EECE59E" w14:textId="77777777" w:rsidR="00994F64" w:rsidRPr="00261B7A" w:rsidRDefault="00994F64" w:rsidP="00501B0F">
            <w:pPr>
              <w:pStyle w:val="TableText"/>
              <w:spacing w:before="40" w:after="40"/>
              <w:jc w:val="center"/>
              <w:rPr>
                <w:color w:val="000000"/>
              </w:rPr>
            </w:pPr>
            <w:r w:rsidRPr="00261B7A">
              <w:rPr>
                <w:color w:val="000000"/>
              </w:rPr>
              <w:t>1,194.8</w:t>
            </w:r>
          </w:p>
        </w:tc>
        <w:tc>
          <w:tcPr>
            <w:tcW w:w="925" w:type="pct"/>
            <w:tcBorders>
              <w:top w:val="nil"/>
              <w:left w:val="nil"/>
              <w:bottom w:val="single" w:sz="8" w:space="0" w:color="44546A"/>
              <w:right w:val="nil"/>
            </w:tcBorders>
            <w:shd w:val="clear" w:color="auto" w:fill="auto"/>
            <w:vAlign w:val="center"/>
            <w:hideMark/>
          </w:tcPr>
          <w:p w14:paraId="2131AE46" w14:textId="77777777" w:rsidR="00994F64" w:rsidRPr="00261B7A" w:rsidRDefault="00994F64" w:rsidP="00501B0F">
            <w:pPr>
              <w:pStyle w:val="TableText"/>
              <w:spacing w:before="40" w:after="40"/>
              <w:jc w:val="center"/>
              <w:rPr>
                <w:color w:val="000000"/>
              </w:rPr>
            </w:pPr>
            <w:r w:rsidRPr="00261B7A">
              <w:rPr>
                <w:color w:val="000000"/>
              </w:rPr>
              <w:t>4.4</w:t>
            </w:r>
          </w:p>
        </w:tc>
      </w:tr>
      <w:tr w:rsidR="00994F64" w:rsidRPr="00261B7A" w14:paraId="10558F0C" w14:textId="77777777" w:rsidTr="00501B0F">
        <w:tc>
          <w:tcPr>
            <w:tcW w:w="1000" w:type="pct"/>
            <w:vMerge/>
            <w:tcBorders>
              <w:top w:val="nil"/>
              <w:left w:val="nil"/>
              <w:bottom w:val="single" w:sz="8" w:space="0" w:color="365F91"/>
              <w:right w:val="nil"/>
            </w:tcBorders>
            <w:vAlign w:val="center"/>
            <w:hideMark/>
          </w:tcPr>
          <w:p w14:paraId="76D13A4F" w14:textId="77777777" w:rsidR="00994F64" w:rsidRPr="00261B7A" w:rsidRDefault="00994F64" w:rsidP="00501B0F">
            <w:pPr>
              <w:pStyle w:val="TableText"/>
              <w:spacing w:before="40" w:after="40"/>
              <w:rPr>
                <w:color w:val="000000"/>
              </w:rPr>
            </w:pPr>
          </w:p>
        </w:tc>
        <w:tc>
          <w:tcPr>
            <w:tcW w:w="1232" w:type="pct"/>
            <w:tcBorders>
              <w:top w:val="nil"/>
              <w:left w:val="nil"/>
              <w:bottom w:val="single" w:sz="8" w:space="0" w:color="44546A"/>
              <w:right w:val="nil"/>
            </w:tcBorders>
            <w:shd w:val="clear" w:color="auto" w:fill="auto"/>
            <w:vAlign w:val="center"/>
            <w:hideMark/>
          </w:tcPr>
          <w:p w14:paraId="53B6D1D3" w14:textId="77777777" w:rsidR="00994F64" w:rsidRPr="00261B7A" w:rsidRDefault="00994F64" w:rsidP="00501B0F">
            <w:pPr>
              <w:pStyle w:val="TableText"/>
              <w:spacing w:before="40" w:after="40"/>
              <w:rPr>
                <w:color w:val="000000"/>
              </w:rPr>
            </w:pPr>
            <w:r w:rsidRPr="00261B7A">
              <w:rPr>
                <w:color w:val="000000"/>
              </w:rPr>
              <w:t>Difference in emissions estimates compared with current inventory </w:t>
            </w:r>
          </w:p>
        </w:tc>
        <w:tc>
          <w:tcPr>
            <w:tcW w:w="460" w:type="pct"/>
            <w:tcBorders>
              <w:top w:val="nil"/>
              <w:left w:val="nil"/>
              <w:bottom w:val="single" w:sz="8" w:space="0" w:color="44546A"/>
              <w:right w:val="nil"/>
            </w:tcBorders>
            <w:shd w:val="clear" w:color="auto" w:fill="auto"/>
            <w:vAlign w:val="center"/>
            <w:hideMark/>
          </w:tcPr>
          <w:p w14:paraId="279C5F80" w14:textId="77777777" w:rsidR="00994F64" w:rsidRPr="00261B7A" w:rsidRDefault="00994F64" w:rsidP="00501B0F">
            <w:pPr>
              <w:pStyle w:val="TableText"/>
              <w:spacing w:before="40" w:after="40"/>
              <w:jc w:val="center"/>
              <w:rPr>
                <w:color w:val="000000"/>
              </w:rPr>
            </w:pPr>
            <w:r w:rsidRPr="00261B7A">
              <w:rPr>
                <w:color w:val="000000"/>
              </w:rPr>
              <w:t>–258.6</w:t>
            </w:r>
          </w:p>
        </w:tc>
        <w:tc>
          <w:tcPr>
            <w:tcW w:w="492" w:type="pct"/>
            <w:tcBorders>
              <w:top w:val="nil"/>
              <w:left w:val="nil"/>
              <w:bottom w:val="single" w:sz="8" w:space="0" w:color="44546A"/>
              <w:right w:val="nil"/>
            </w:tcBorders>
            <w:shd w:val="clear" w:color="auto" w:fill="auto"/>
            <w:vAlign w:val="center"/>
            <w:hideMark/>
          </w:tcPr>
          <w:p w14:paraId="35086ECB" w14:textId="77777777" w:rsidR="00994F64" w:rsidRPr="00261B7A" w:rsidRDefault="00994F64" w:rsidP="00501B0F">
            <w:pPr>
              <w:pStyle w:val="TableText"/>
              <w:spacing w:before="40" w:after="40"/>
              <w:jc w:val="center"/>
              <w:rPr>
                <w:color w:val="000000"/>
              </w:rPr>
            </w:pPr>
            <w:r w:rsidRPr="00261B7A">
              <w:rPr>
                <w:color w:val="000000"/>
              </w:rPr>
              <w:t>–397.8</w:t>
            </w:r>
          </w:p>
        </w:tc>
        <w:tc>
          <w:tcPr>
            <w:tcW w:w="890" w:type="pct"/>
            <w:tcBorders>
              <w:top w:val="nil"/>
              <w:left w:val="nil"/>
              <w:bottom w:val="single" w:sz="8" w:space="0" w:color="44546A"/>
              <w:right w:val="nil"/>
            </w:tcBorders>
            <w:shd w:val="clear" w:color="auto" w:fill="auto"/>
            <w:vAlign w:val="center"/>
            <w:hideMark/>
          </w:tcPr>
          <w:p w14:paraId="1F8F2B8E" w14:textId="77777777" w:rsidR="00994F64" w:rsidRPr="00261B7A" w:rsidRDefault="00994F64" w:rsidP="00501B0F">
            <w:pPr>
              <w:pStyle w:val="TableText"/>
              <w:spacing w:before="40" w:after="40"/>
              <w:jc w:val="center"/>
              <w:rPr>
                <w:color w:val="000000"/>
              </w:rPr>
            </w:pPr>
            <w:r w:rsidRPr="00261B7A">
              <w:rPr>
                <w:color w:val="000000"/>
              </w:rPr>
              <w:t>–139.2</w:t>
            </w:r>
          </w:p>
        </w:tc>
        <w:tc>
          <w:tcPr>
            <w:tcW w:w="925" w:type="pct"/>
            <w:tcBorders>
              <w:top w:val="nil"/>
              <w:left w:val="nil"/>
              <w:bottom w:val="single" w:sz="8" w:space="0" w:color="44546A"/>
              <w:right w:val="nil"/>
            </w:tcBorders>
            <w:shd w:val="clear" w:color="auto" w:fill="auto"/>
            <w:vAlign w:val="center"/>
            <w:hideMark/>
          </w:tcPr>
          <w:p w14:paraId="528696D7" w14:textId="77777777" w:rsidR="00994F64" w:rsidRPr="00261B7A" w:rsidRDefault="00994F64" w:rsidP="00501B0F">
            <w:pPr>
              <w:pStyle w:val="TableText"/>
              <w:spacing w:before="40" w:after="40"/>
              <w:jc w:val="center"/>
              <w:rPr>
                <w:color w:val="000000"/>
              </w:rPr>
            </w:pPr>
          </w:p>
        </w:tc>
      </w:tr>
      <w:tr w:rsidR="00994F64" w:rsidRPr="00261B7A" w14:paraId="4EA48F2E" w14:textId="77777777" w:rsidTr="00501B0F">
        <w:tc>
          <w:tcPr>
            <w:tcW w:w="1000" w:type="pct"/>
            <w:vMerge/>
            <w:tcBorders>
              <w:top w:val="nil"/>
              <w:left w:val="nil"/>
              <w:bottom w:val="single" w:sz="8" w:space="0" w:color="365F91"/>
              <w:right w:val="nil"/>
            </w:tcBorders>
            <w:vAlign w:val="center"/>
            <w:hideMark/>
          </w:tcPr>
          <w:p w14:paraId="3D5D8A23" w14:textId="77777777" w:rsidR="00994F64" w:rsidRPr="00261B7A" w:rsidRDefault="00994F64" w:rsidP="00501B0F">
            <w:pPr>
              <w:pStyle w:val="TableText"/>
              <w:spacing w:before="40" w:after="40"/>
              <w:rPr>
                <w:color w:val="000000"/>
              </w:rPr>
            </w:pPr>
          </w:p>
        </w:tc>
        <w:tc>
          <w:tcPr>
            <w:tcW w:w="1232" w:type="pct"/>
            <w:tcBorders>
              <w:top w:val="nil"/>
              <w:left w:val="nil"/>
              <w:bottom w:val="single" w:sz="8" w:space="0" w:color="44546A"/>
              <w:right w:val="nil"/>
            </w:tcBorders>
            <w:shd w:val="clear" w:color="auto" w:fill="auto"/>
            <w:vAlign w:val="center"/>
            <w:hideMark/>
          </w:tcPr>
          <w:p w14:paraId="48894532" w14:textId="77777777" w:rsidR="00994F64" w:rsidRPr="00261B7A" w:rsidRDefault="00994F64" w:rsidP="00501B0F">
            <w:pPr>
              <w:pStyle w:val="TableText"/>
              <w:spacing w:before="40" w:after="40"/>
              <w:rPr>
                <w:color w:val="000000"/>
              </w:rPr>
            </w:pPr>
            <w:r w:rsidRPr="00261B7A">
              <w:rPr>
                <w:color w:val="000000"/>
              </w:rPr>
              <w:t>Percentage difference in emissions estimates (%)</w:t>
            </w:r>
          </w:p>
        </w:tc>
        <w:tc>
          <w:tcPr>
            <w:tcW w:w="460" w:type="pct"/>
            <w:tcBorders>
              <w:top w:val="nil"/>
              <w:left w:val="nil"/>
              <w:bottom w:val="single" w:sz="8" w:space="0" w:color="44546A"/>
              <w:right w:val="nil"/>
            </w:tcBorders>
            <w:shd w:val="clear" w:color="auto" w:fill="auto"/>
            <w:vAlign w:val="center"/>
            <w:hideMark/>
          </w:tcPr>
          <w:p w14:paraId="553058E4" w14:textId="77777777" w:rsidR="00994F64" w:rsidRPr="00261B7A" w:rsidRDefault="00994F64" w:rsidP="00501B0F">
            <w:pPr>
              <w:pStyle w:val="TableText"/>
              <w:spacing w:before="40" w:after="40"/>
              <w:jc w:val="center"/>
              <w:rPr>
                <w:color w:val="000000"/>
              </w:rPr>
            </w:pPr>
            <w:r w:rsidRPr="00261B7A">
              <w:rPr>
                <w:color w:val="000000"/>
              </w:rPr>
              <w:t>–1.0</w:t>
            </w:r>
          </w:p>
        </w:tc>
        <w:tc>
          <w:tcPr>
            <w:tcW w:w="492" w:type="pct"/>
            <w:tcBorders>
              <w:top w:val="nil"/>
              <w:left w:val="nil"/>
              <w:bottom w:val="single" w:sz="8" w:space="0" w:color="44546A"/>
              <w:right w:val="nil"/>
            </w:tcBorders>
            <w:shd w:val="clear" w:color="auto" w:fill="auto"/>
            <w:vAlign w:val="center"/>
            <w:hideMark/>
          </w:tcPr>
          <w:p w14:paraId="3ACF18D7" w14:textId="77777777" w:rsidR="00994F64" w:rsidRPr="00261B7A" w:rsidRDefault="00994F64" w:rsidP="00501B0F">
            <w:pPr>
              <w:pStyle w:val="TableText"/>
              <w:spacing w:before="40" w:after="40"/>
              <w:jc w:val="center"/>
              <w:rPr>
                <w:color w:val="000000"/>
              </w:rPr>
            </w:pPr>
            <w:r w:rsidRPr="00261B7A">
              <w:rPr>
                <w:color w:val="000000"/>
              </w:rPr>
              <w:t>–1.4</w:t>
            </w:r>
          </w:p>
        </w:tc>
        <w:tc>
          <w:tcPr>
            <w:tcW w:w="890" w:type="pct"/>
            <w:tcBorders>
              <w:top w:val="nil"/>
              <w:left w:val="nil"/>
              <w:bottom w:val="single" w:sz="8" w:space="0" w:color="44546A"/>
              <w:right w:val="nil"/>
            </w:tcBorders>
            <w:shd w:val="clear" w:color="auto" w:fill="auto"/>
            <w:vAlign w:val="center"/>
            <w:hideMark/>
          </w:tcPr>
          <w:p w14:paraId="35F8CD2B" w14:textId="77777777" w:rsidR="00994F64" w:rsidRPr="00261B7A" w:rsidRDefault="00994F64" w:rsidP="00501B0F">
            <w:pPr>
              <w:pStyle w:val="TableText"/>
              <w:spacing w:before="40" w:after="40"/>
              <w:jc w:val="center"/>
              <w:rPr>
                <w:color w:val="000000"/>
              </w:rPr>
            </w:pPr>
          </w:p>
        </w:tc>
        <w:tc>
          <w:tcPr>
            <w:tcW w:w="925" w:type="pct"/>
            <w:tcBorders>
              <w:top w:val="nil"/>
              <w:left w:val="nil"/>
              <w:bottom w:val="single" w:sz="8" w:space="0" w:color="44546A"/>
              <w:right w:val="nil"/>
            </w:tcBorders>
            <w:shd w:val="clear" w:color="auto" w:fill="auto"/>
            <w:vAlign w:val="center"/>
            <w:hideMark/>
          </w:tcPr>
          <w:p w14:paraId="24E3B507" w14:textId="77777777" w:rsidR="00994F64" w:rsidRPr="00261B7A" w:rsidRDefault="00994F64" w:rsidP="00501B0F">
            <w:pPr>
              <w:pStyle w:val="TableText"/>
              <w:spacing w:before="40" w:after="40"/>
              <w:jc w:val="center"/>
              <w:rPr>
                <w:color w:val="000000"/>
              </w:rPr>
            </w:pPr>
          </w:p>
        </w:tc>
      </w:tr>
    </w:tbl>
    <w:p w14:paraId="1A15B60C" w14:textId="77777777" w:rsidR="00994F64" w:rsidRPr="00261B7A" w:rsidRDefault="00994F64" w:rsidP="00994F64">
      <w:pPr>
        <w:pStyle w:val="Heading3"/>
        <w:spacing w:before="400"/>
      </w:pPr>
      <w:bookmarkStart w:id="823" w:name="_Toc32570656"/>
      <w:bookmarkStart w:id="824" w:name="_Toc69611740"/>
      <w:bookmarkStart w:id="825" w:name="_Toc69612696"/>
      <w:bookmarkStart w:id="826" w:name="_Toc69612895"/>
      <w:bookmarkStart w:id="827" w:name="_Toc69613155"/>
      <w:bookmarkStart w:id="828" w:name="_Toc69633319"/>
      <w:bookmarkStart w:id="829" w:name="_Toc69717484"/>
      <w:bookmarkStart w:id="830" w:name="_Toc69802966"/>
      <w:bookmarkStart w:id="831" w:name="_Toc69815103"/>
      <w:bookmarkStart w:id="832" w:name="_Toc70492396"/>
      <w:bookmarkStart w:id="833" w:name="_Toc101310603"/>
      <w:bookmarkStart w:id="834" w:name="_Toc101318463"/>
      <w:bookmarkStart w:id="835" w:name="_Toc101318568"/>
      <w:bookmarkStart w:id="836" w:name="_Toc101318752"/>
      <w:bookmarkStart w:id="837" w:name="_Toc101334028"/>
      <w:bookmarkStart w:id="838" w:name="_Toc134847205"/>
      <w:bookmarkStart w:id="839" w:name="_Toc139253923"/>
      <w:bookmarkStart w:id="840" w:name="_Toc144710414"/>
      <w:bookmarkStart w:id="841" w:name="_Toc165890368"/>
      <w:bookmarkStart w:id="842" w:name="_Toc195322662"/>
      <w:bookmarkStart w:id="843" w:name="_Toc235955528"/>
      <w:bookmarkStart w:id="844" w:name="_Toc288316641"/>
      <w:bookmarkStart w:id="845" w:name="_Toc352504861"/>
      <w:bookmarkStart w:id="846" w:name="_Toc448321524"/>
      <w:bookmarkStart w:id="847" w:name="_Toc481751386"/>
      <w:bookmarkStart w:id="848" w:name="_Toc511116601"/>
      <w:bookmarkStart w:id="849" w:name="_Toc5269363"/>
      <w:r w:rsidRPr="00261B7A">
        <w:t>5.2.6</w:t>
      </w:r>
      <w:r w:rsidRPr="00261B7A">
        <w:tab/>
        <w:t>Source-specific planned improvements</w:t>
      </w:r>
      <w:bookmarkEnd w:id="823"/>
      <w:r w:rsidRPr="00261B7A">
        <w:t xml:space="preserve"> </w:t>
      </w:r>
    </w:p>
    <w:p w14:paraId="4DF5B822" w14:textId="77777777" w:rsidR="00994F64" w:rsidRPr="00261B7A" w:rsidRDefault="00994F64" w:rsidP="00994F64">
      <w:pPr>
        <w:pStyle w:val="BodyText"/>
        <w:rPr>
          <w:rFonts w:cs="Calibri"/>
        </w:rPr>
      </w:pPr>
      <w:r w:rsidRPr="00261B7A">
        <w:rPr>
          <w:rFonts w:cs="Calibri"/>
        </w:rPr>
        <w:t>New Zealand is carrying out ongoing research to improve estimates of CH</w:t>
      </w:r>
      <w:r w:rsidRPr="00261B7A">
        <w:rPr>
          <w:rFonts w:cs="Calibri"/>
          <w:vertAlign w:val="subscript"/>
        </w:rPr>
        <w:t>4</w:t>
      </w:r>
      <w:r w:rsidRPr="00261B7A">
        <w:rPr>
          <w:rFonts w:cs="Calibri"/>
        </w:rPr>
        <w:t xml:space="preserve"> emissions from </w:t>
      </w:r>
      <w:r w:rsidRPr="00261B7A">
        <w:rPr>
          <w:rFonts w:cs="Calibri"/>
          <w:i/>
          <w:iCs/>
        </w:rPr>
        <w:t>Enteric fermentation</w:t>
      </w:r>
      <w:r w:rsidRPr="00261B7A">
        <w:rPr>
          <w:rFonts w:cs="Calibri"/>
        </w:rPr>
        <w:t>. The projects described below outline research focused specifically on the </w:t>
      </w:r>
      <w:r w:rsidRPr="00261B7A">
        <w:rPr>
          <w:rFonts w:cs="Calibri"/>
          <w:i/>
          <w:iCs/>
        </w:rPr>
        <w:t>Enteric fermentation</w:t>
      </w:r>
      <w:r w:rsidRPr="00261B7A">
        <w:rPr>
          <w:rFonts w:cs="Calibri"/>
        </w:rPr>
        <w:t xml:space="preserve"> reporting category of the Agriculture inventory, although several cross-cutting, broader projects that will improve the accuracy of emissions estimates in multiple categories (including </w:t>
      </w:r>
      <w:r w:rsidRPr="00261B7A">
        <w:rPr>
          <w:rFonts w:cs="Calibri"/>
          <w:i/>
        </w:rPr>
        <w:t>Enteric fermentation</w:t>
      </w:r>
      <w:r w:rsidRPr="00261B7A">
        <w:rPr>
          <w:rFonts w:cs="Calibri"/>
        </w:rPr>
        <w:t xml:space="preserve">, </w:t>
      </w:r>
      <w:r w:rsidRPr="00261B7A">
        <w:rPr>
          <w:rFonts w:cs="Calibri"/>
          <w:i/>
        </w:rPr>
        <w:t>Manure management</w:t>
      </w:r>
      <w:r w:rsidRPr="00261B7A">
        <w:rPr>
          <w:rFonts w:cs="Calibri"/>
        </w:rPr>
        <w:t xml:space="preserve"> and </w:t>
      </w:r>
      <w:r w:rsidRPr="00261B7A">
        <w:rPr>
          <w:rFonts w:cs="Calibri"/>
          <w:i/>
          <w:iCs/>
        </w:rPr>
        <w:t>Agricultural soils</w:t>
      </w:r>
      <w:r w:rsidRPr="00261B7A">
        <w:rPr>
          <w:rFonts w:cs="Calibri"/>
        </w:rPr>
        <w:t>) are described in section 5.1.7.</w:t>
      </w:r>
    </w:p>
    <w:p w14:paraId="66A5DF05" w14:textId="77777777" w:rsidR="00994F64" w:rsidRPr="00261B7A" w:rsidRDefault="00994F64" w:rsidP="00994F64">
      <w:pPr>
        <w:pStyle w:val="Heading5"/>
        <w:spacing w:before="200"/>
        <w:rPr>
          <w:rFonts w:cs="Calibri"/>
        </w:rPr>
      </w:pPr>
      <w:r w:rsidRPr="00261B7A">
        <w:rPr>
          <w:rFonts w:cs="Calibri"/>
        </w:rPr>
        <w:t>Methane emissions from forage supplemented dairy cows</w:t>
      </w:r>
    </w:p>
    <w:p w14:paraId="0469A786" w14:textId="77777777" w:rsidR="00994F64" w:rsidRPr="00261B7A" w:rsidRDefault="00994F64" w:rsidP="00994F64">
      <w:pPr>
        <w:pStyle w:val="BodyText"/>
      </w:pPr>
      <w:r w:rsidRPr="00261B7A">
        <w:t xml:space="preserve">This project will determine </w:t>
      </w:r>
      <w:r w:rsidRPr="00261B7A">
        <w:rPr>
          <w:rFonts w:cs="Calibri"/>
        </w:rPr>
        <w:t>CH</w:t>
      </w:r>
      <w:r w:rsidRPr="00261B7A">
        <w:rPr>
          <w:rFonts w:cs="Calibri"/>
          <w:vertAlign w:val="subscript"/>
        </w:rPr>
        <w:t>4</w:t>
      </w:r>
      <w:r w:rsidRPr="00261B7A">
        <w:rPr>
          <w:rFonts w:cs="Calibri"/>
        </w:rPr>
        <w:t xml:space="preserve"> </w:t>
      </w:r>
      <w:r w:rsidRPr="00261B7A">
        <w:t xml:space="preserve">emissions, using several measurement techniques, from early to mid-lactation dairy cows grazing pasture and supplemented with graded levels of concentrate feeds. This new data will be combined with relevant existing data from New Zealand and international databases on </w:t>
      </w:r>
      <w:r w:rsidRPr="00261B7A">
        <w:rPr>
          <w:rFonts w:cs="Calibri"/>
        </w:rPr>
        <w:t>CH</w:t>
      </w:r>
      <w:r w:rsidRPr="00261B7A">
        <w:rPr>
          <w:rFonts w:cs="Calibri"/>
          <w:vertAlign w:val="subscript"/>
        </w:rPr>
        <w:t>4</w:t>
      </w:r>
      <w:r w:rsidRPr="00261B7A">
        <w:rPr>
          <w:rFonts w:cs="Calibri"/>
        </w:rPr>
        <w:t xml:space="preserve"> </w:t>
      </w:r>
      <w:r w:rsidRPr="00261B7A">
        <w:t>emissions from dairy cattle fed pasture plus supplements. This will be used to determine if CH</w:t>
      </w:r>
      <w:r w:rsidRPr="00261B7A">
        <w:rPr>
          <w:vertAlign w:val="subscript"/>
        </w:rPr>
        <w:t>4</w:t>
      </w:r>
      <w:r w:rsidRPr="00261B7A">
        <w:t xml:space="preserve"> emissions differ between dairy cattle fed (i) pasture alone or (ii) pasture with supplementation.</w:t>
      </w:r>
    </w:p>
    <w:p w14:paraId="644C77F3" w14:textId="77777777" w:rsidR="00994F64" w:rsidRPr="00261B7A" w:rsidRDefault="00994F64" w:rsidP="00994F64">
      <w:pPr>
        <w:pStyle w:val="Heading5"/>
        <w:spacing w:before="200"/>
        <w:rPr>
          <w:rFonts w:cs="Calibri"/>
        </w:rPr>
      </w:pPr>
      <w:r w:rsidRPr="00261B7A">
        <w:rPr>
          <w:rFonts w:cs="Calibri"/>
        </w:rPr>
        <w:t>Impact of pasture kikuyu content on enteric methane emissions</w:t>
      </w:r>
    </w:p>
    <w:p w14:paraId="64A28EED" w14:textId="77777777" w:rsidR="00994F64" w:rsidRPr="00261B7A" w:rsidRDefault="00994F64" w:rsidP="00994F64">
      <w:pPr>
        <w:pStyle w:val="BodyText"/>
      </w:pPr>
      <w:r w:rsidRPr="00261B7A">
        <w:rPr>
          <w:spacing w:val="-2"/>
        </w:rPr>
        <w:t>Kikuyu grass is dominant in pastures during summer and autumn in Northland and other coastal</w:t>
      </w:r>
      <w:r w:rsidRPr="00261B7A">
        <w:t xml:space="preserve"> areas within the upper North Island of New Zealand due to its drought tolerance. Global </w:t>
      </w:r>
      <w:r w:rsidRPr="00261B7A">
        <w:rPr>
          <w:spacing w:val="-2"/>
        </w:rPr>
        <w:t>warming is expected to increase and spread the dominance of Kikuyu grass further. Preliminary</w:t>
      </w:r>
      <w:r w:rsidRPr="00261B7A">
        <w:t xml:space="preserve"> research has shown it to produce more </w:t>
      </w:r>
      <w:r w:rsidRPr="00261B7A">
        <w:rPr>
          <w:rFonts w:cs="Calibri"/>
        </w:rPr>
        <w:t>CH</w:t>
      </w:r>
      <w:r w:rsidRPr="00261B7A">
        <w:rPr>
          <w:rFonts w:cs="Calibri"/>
          <w:vertAlign w:val="subscript"/>
        </w:rPr>
        <w:t>4</w:t>
      </w:r>
      <w:r w:rsidRPr="00261B7A">
        <w:rPr>
          <w:rFonts w:cs="Calibri"/>
        </w:rPr>
        <w:t xml:space="preserve"> </w:t>
      </w:r>
      <w:r w:rsidRPr="00261B7A">
        <w:t xml:space="preserve">per unit of organic matter intake; however, this has not been tested in New Zealand. This research will compare the composition of kikuyu </w:t>
      </w:r>
      <w:r w:rsidRPr="00261B7A">
        <w:rPr>
          <w:spacing w:val="-2"/>
        </w:rPr>
        <w:t>grass against the default values used in the inventory. It will also estimate how the management</w:t>
      </w:r>
      <w:r w:rsidRPr="00261B7A">
        <w:t xml:space="preserve"> of this pasture affects CH</w:t>
      </w:r>
      <w:r w:rsidRPr="00261B7A">
        <w:rPr>
          <w:vertAlign w:val="subscript"/>
        </w:rPr>
        <w:t>4</w:t>
      </w:r>
      <w:r w:rsidRPr="00261B7A">
        <w:t xml:space="preserve"> production potential, using in vitro and modelling approaches.</w:t>
      </w:r>
    </w:p>
    <w:p w14:paraId="4B51F848" w14:textId="77777777" w:rsidR="00994F64" w:rsidRPr="00261B7A" w:rsidRDefault="00994F64" w:rsidP="00994F64">
      <w:pPr>
        <w:pStyle w:val="Heading5"/>
      </w:pPr>
      <w:r w:rsidRPr="00261B7A">
        <w:t>Integrative greenhouse gas evaluation of forages</w:t>
      </w:r>
    </w:p>
    <w:p w14:paraId="22AEC85C" w14:textId="77777777" w:rsidR="00994F64" w:rsidRPr="00261B7A" w:rsidRDefault="00994F64" w:rsidP="00994F64">
      <w:pPr>
        <w:pStyle w:val="BodyText"/>
      </w:pPr>
      <w:r w:rsidRPr="00261B7A">
        <w:t>Forage rape (</w:t>
      </w:r>
      <w:r w:rsidRPr="00261B7A">
        <w:rPr>
          <w:i/>
          <w:iCs/>
        </w:rPr>
        <w:t>Brassica napus</w:t>
      </w:r>
      <w:r w:rsidRPr="00261B7A">
        <w:t>) and plantain (</w:t>
      </w:r>
      <w:r w:rsidRPr="00261B7A">
        <w:rPr>
          <w:i/>
          <w:iCs/>
        </w:rPr>
        <w:t>Plantago lanceolata</w:t>
      </w:r>
      <w:r w:rsidRPr="00261B7A">
        <w:t xml:space="preserve">) have been identified as forages with the potential to reduce </w:t>
      </w:r>
      <w:r w:rsidRPr="00261B7A">
        <w:rPr>
          <w:rFonts w:cs="Calibri"/>
        </w:rPr>
        <w:t>CH</w:t>
      </w:r>
      <w:r w:rsidRPr="00261B7A">
        <w:rPr>
          <w:rFonts w:cs="Calibri"/>
          <w:vertAlign w:val="subscript"/>
        </w:rPr>
        <w:t>4</w:t>
      </w:r>
      <w:r w:rsidRPr="00261B7A">
        <w:rPr>
          <w:rFonts w:cs="Calibri"/>
        </w:rPr>
        <w:t xml:space="preserve"> </w:t>
      </w:r>
      <w:r w:rsidRPr="00261B7A">
        <w:t>emissions per unit of dry matter eaten, as well as reducing the direct and indirect N</w:t>
      </w:r>
      <w:r w:rsidRPr="00261B7A">
        <w:rPr>
          <w:vertAlign w:val="subscript"/>
        </w:rPr>
        <w:t>2</w:t>
      </w:r>
      <w:r w:rsidRPr="00261B7A">
        <w:t xml:space="preserve">O emissions from urine patches. The effect of growing and grazing these forages on soil carbon stocks is largely unknown. While previous studies have identified some emission reduction potential from their use, these findings need to be integrated across all greenhouse gases and whole-year operations, to quantify their overall emissions reduction potential, including implications for soil carbon. These forages are used differently in farming practice: forage rape is a crop grown in cultivated ground and used over short periods as supplemental feed. In contrast, plantain is commonly used in pasture mixes with grasses and legumes throughout the year. </w:t>
      </w:r>
    </w:p>
    <w:p w14:paraId="264941F9" w14:textId="77777777" w:rsidR="00994F64" w:rsidRPr="00261B7A" w:rsidRDefault="00994F64" w:rsidP="00994F64">
      <w:pPr>
        <w:pStyle w:val="Heading5"/>
        <w:spacing w:before="200"/>
        <w:rPr>
          <w:rFonts w:cs="Calibri"/>
        </w:rPr>
      </w:pPr>
      <w:r w:rsidRPr="00261B7A">
        <w:rPr>
          <w:rFonts w:cs="Calibri"/>
        </w:rPr>
        <w:t>Improving information on feeding practices in dairy farming systems</w:t>
      </w:r>
    </w:p>
    <w:p w14:paraId="6374AB0C" w14:textId="77777777" w:rsidR="00994F64" w:rsidRPr="00261B7A" w:rsidRDefault="00994F64" w:rsidP="00994F64">
      <w:pPr>
        <w:pStyle w:val="BodyText"/>
      </w:pPr>
      <w:r w:rsidRPr="00261B7A">
        <w:t>This research will estimate the number of dairy cattle in different farm systems and the likely timing and difference in diets between 1990 and present. Typical farming systems used in the New Zealand dairy sector are outlined by DairyNZ.</w:t>
      </w:r>
      <w:r w:rsidRPr="00261B7A">
        <w:rPr>
          <w:rStyle w:val="FootnoteReference"/>
        </w:rPr>
        <w:footnoteReference w:id="46"/>
      </w:r>
    </w:p>
    <w:p w14:paraId="0DD2D10A" w14:textId="77777777" w:rsidR="00994F64" w:rsidRPr="00261B7A" w:rsidRDefault="00994F64" w:rsidP="00994F64">
      <w:pPr>
        <w:pStyle w:val="Heading5"/>
      </w:pPr>
      <w:r w:rsidRPr="00261B7A">
        <w:t>Development of a gene flow sub-model for sheep to account for low-methane rams</w:t>
      </w:r>
    </w:p>
    <w:p w14:paraId="6BAA32C3" w14:textId="77777777" w:rsidR="00994F64" w:rsidRPr="00261B7A" w:rsidRDefault="00994F64" w:rsidP="00994F64">
      <w:pPr>
        <w:pStyle w:val="BodyText"/>
      </w:pPr>
      <w:r w:rsidRPr="00261B7A">
        <w:t xml:space="preserve">Research in New Zealand during the past two decades has proven that breeding sheep with lower </w:t>
      </w:r>
      <w:r w:rsidRPr="00261B7A">
        <w:rPr>
          <w:rFonts w:cs="Calibri"/>
        </w:rPr>
        <w:t>CH</w:t>
      </w:r>
      <w:r w:rsidRPr="00261B7A">
        <w:rPr>
          <w:rFonts w:cs="Calibri"/>
          <w:vertAlign w:val="subscript"/>
        </w:rPr>
        <w:t>4</w:t>
      </w:r>
      <w:r w:rsidRPr="00261B7A">
        <w:rPr>
          <w:rFonts w:cs="Calibri"/>
        </w:rPr>
        <w:t xml:space="preserve"> </w:t>
      </w:r>
      <w:r w:rsidRPr="00261B7A">
        <w:t>emissions per unit of DMI is feasible. This project aims to develop a deterministic gene flow model for the New Zealand sheep industry that uses industry genetics data to provide a set of outputs relating to wide-scale commercial farm changes and the potential distribution of low CH</w:t>
      </w:r>
      <w:r w:rsidRPr="00261B7A">
        <w:rPr>
          <w:vertAlign w:val="subscript"/>
        </w:rPr>
        <w:t>4</w:t>
      </w:r>
      <w:r w:rsidRPr="00261B7A">
        <w:t xml:space="preserve"> genes throughout the sheep population.</w:t>
      </w:r>
    </w:p>
    <w:p w14:paraId="7B6A63A3" w14:textId="77777777" w:rsidR="00994F64" w:rsidRPr="00261B7A" w:rsidRDefault="00994F64" w:rsidP="00994F64">
      <w:pPr>
        <w:pStyle w:val="Heading5"/>
      </w:pPr>
      <w:r w:rsidRPr="00261B7A">
        <w:t>Development of a national repository of relative genetic merit of New Zealand sheep</w:t>
      </w:r>
    </w:p>
    <w:p w14:paraId="3B7D6DB5" w14:textId="77777777" w:rsidR="00994F64" w:rsidRPr="00261B7A" w:rsidRDefault="00994F64" w:rsidP="00994F64">
      <w:pPr>
        <w:pStyle w:val="BodyText"/>
        <w:rPr>
          <w:rFonts w:eastAsiaTheme="minorHAnsi"/>
          <w:lang w:eastAsia="en-US"/>
        </w:rPr>
      </w:pPr>
      <w:r w:rsidRPr="00261B7A">
        <w:rPr>
          <w:rFonts w:eastAsiaTheme="minorHAnsi"/>
          <w:lang w:eastAsia="en-US"/>
        </w:rPr>
        <w:t xml:space="preserve">The successful implementation of a gene flow model requires genetic activity data. This research will modify an existing industry database to enable commercial farmers to update their associated </w:t>
      </w:r>
      <w:r w:rsidRPr="00261B7A">
        <w:rPr>
          <w:rFonts w:cs="Calibri"/>
        </w:rPr>
        <w:t>CH</w:t>
      </w:r>
      <w:r w:rsidRPr="00261B7A">
        <w:rPr>
          <w:rFonts w:cs="Calibri"/>
          <w:vertAlign w:val="subscript"/>
        </w:rPr>
        <w:t>4</w:t>
      </w:r>
      <w:r w:rsidRPr="00261B7A">
        <w:rPr>
          <w:rFonts w:cs="Calibri"/>
        </w:rPr>
        <w:t xml:space="preserve"> </w:t>
      </w:r>
      <w:r w:rsidRPr="00261B7A">
        <w:rPr>
          <w:rFonts w:eastAsiaTheme="minorHAnsi"/>
          <w:lang w:eastAsia="en-US"/>
        </w:rPr>
        <w:t xml:space="preserve">breeding values. This will include standardising the way </w:t>
      </w:r>
      <w:r w:rsidRPr="00261B7A">
        <w:rPr>
          <w:rFonts w:cs="Calibri"/>
        </w:rPr>
        <w:t>CH</w:t>
      </w:r>
      <w:r w:rsidRPr="00261B7A">
        <w:rPr>
          <w:rFonts w:cs="Calibri"/>
          <w:vertAlign w:val="subscript"/>
        </w:rPr>
        <w:t>4</w:t>
      </w:r>
      <w:r w:rsidRPr="00261B7A">
        <w:rPr>
          <w:rFonts w:cs="Calibri"/>
        </w:rPr>
        <w:t xml:space="preserve"> </w:t>
      </w:r>
      <w:r w:rsidRPr="00261B7A">
        <w:rPr>
          <w:rFonts w:eastAsiaTheme="minorHAnsi"/>
          <w:lang w:eastAsia="en-US"/>
        </w:rPr>
        <w:t xml:space="preserve">breeding values are recorded, developing conversion between existing metrics and standard metrics, and implementation of the database. </w:t>
      </w:r>
    </w:p>
    <w:p w14:paraId="55E69E95" w14:textId="77777777" w:rsidR="00994F64" w:rsidRPr="00261B7A" w:rsidRDefault="00994F64" w:rsidP="00994F64">
      <w:pPr>
        <w:pStyle w:val="Heading5"/>
      </w:pPr>
      <w:r w:rsidRPr="00261B7A">
        <w:t>Improving emissions from minor animal categories</w:t>
      </w:r>
    </w:p>
    <w:p w14:paraId="0B5E8E34" w14:textId="77777777" w:rsidR="00994F64" w:rsidRPr="00261B7A" w:rsidRDefault="00994F64" w:rsidP="00994F64">
      <w:pPr>
        <w:pStyle w:val="BodyText"/>
        <w:spacing w:before="100" w:after="100"/>
      </w:pPr>
      <w:r w:rsidRPr="00261B7A">
        <w:rPr>
          <w:rFonts w:eastAsiaTheme="minorHAnsi"/>
          <w:lang w:eastAsia="en-US"/>
        </w:rPr>
        <w:t>Emissions from minor animal categories (</w:t>
      </w:r>
      <w:r w:rsidRPr="00261B7A">
        <w:rPr>
          <w:rFonts w:eastAsiaTheme="minorHAnsi"/>
          <w:i/>
          <w:iCs/>
          <w:lang w:eastAsia="en-US"/>
        </w:rPr>
        <w:t>Goats</w:t>
      </w:r>
      <w:r w:rsidRPr="00261B7A">
        <w:rPr>
          <w:rFonts w:eastAsiaTheme="minorHAnsi"/>
          <w:lang w:eastAsia="en-US"/>
        </w:rPr>
        <w:t xml:space="preserve">, </w:t>
      </w:r>
      <w:r w:rsidRPr="00261B7A">
        <w:rPr>
          <w:rFonts w:eastAsiaTheme="minorHAnsi"/>
          <w:i/>
          <w:iCs/>
          <w:lang w:eastAsia="en-US"/>
        </w:rPr>
        <w:t>Horses</w:t>
      </w:r>
      <w:r w:rsidRPr="00261B7A">
        <w:rPr>
          <w:rFonts w:eastAsiaTheme="minorHAnsi"/>
          <w:lang w:eastAsia="en-US"/>
        </w:rPr>
        <w:t xml:space="preserve">, </w:t>
      </w:r>
      <w:r w:rsidRPr="00261B7A">
        <w:rPr>
          <w:rFonts w:eastAsiaTheme="minorHAnsi"/>
          <w:i/>
          <w:iCs/>
          <w:lang w:eastAsia="en-US"/>
        </w:rPr>
        <w:t>Mules and asses</w:t>
      </w:r>
      <w:r w:rsidRPr="00261B7A">
        <w:rPr>
          <w:rFonts w:eastAsiaTheme="minorHAnsi"/>
          <w:lang w:eastAsia="en-US"/>
        </w:rPr>
        <w:t xml:space="preserve">, </w:t>
      </w:r>
      <w:r w:rsidRPr="00261B7A">
        <w:rPr>
          <w:rFonts w:eastAsiaTheme="minorHAnsi"/>
          <w:i/>
          <w:iCs/>
          <w:lang w:eastAsia="en-US"/>
        </w:rPr>
        <w:t>Swine</w:t>
      </w:r>
      <w:r w:rsidRPr="00261B7A">
        <w:rPr>
          <w:rFonts w:eastAsiaTheme="minorHAnsi"/>
          <w:lang w:eastAsia="en-US"/>
        </w:rPr>
        <w:t xml:space="preserve">, </w:t>
      </w:r>
      <w:r w:rsidRPr="00261B7A">
        <w:rPr>
          <w:rFonts w:eastAsiaTheme="minorHAnsi"/>
          <w:i/>
          <w:iCs/>
          <w:lang w:eastAsia="en-US"/>
        </w:rPr>
        <w:t>Poultry</w:t>
      </w:r>
      <w:r w:rsidRPr="00261B7A">
        <w:rPr>
          <w:rFonts w:eastAsiaTheme="minorHAnsi"/>
          <w:lang w:eastAsia="en-US"/>
        </w:rPr>
        <w:t xml:space="preserve">, </w:t>
      </w:r>
      <w:r w:rsidRPr="00261B7A">
        <w:rPr>
          <w:rFonts w:eastAsiaTheme="minorHAnsi"/>
          <w:i/>
          <w:iCs/>
          <w:lang w:eastAsia="en-US"/>
        </w:rPr>
        <w:t>Llamas and alpacas</w:t>
      </w:r>
      <w:r w:rsidRPr="00261B7A">
        <w:rPr>
          <w:rFonts w:eastAsiaTheme="minorHAnsi"/>
          <w:lang w:eastAsia="en-US"/>
        </w:rPr>
        <w:t xml:space="preserve">) are currently estimated using a Tier 1 methodology, with a combination of country-specific and IPCC default emission factors. </w:t>
      </w:r>
      <w:r w:rsidRPr="00261B7A">
        <w:t xml:space="preserve">This research will review key data sources and parameters currently used to estimate some minor animal populations and their emissions output by assessing these data sets against other readily available data. The research will also identify possible improvements to the estimation of minor animal populations and their emissions. </w:t>
      </w:r>
    </w:p>
    <w:p w14:paraId="45820CB9" w14:textId="77777777" w:rsidR="00994F64" w:rsidRPr="00261B7A" w:rsidRDefault="00994F64" w:rsidP="00994F64">
      <w:pPr>
        <w:pStyle w:val="BodyText"/>
        <w:spacing w:before="100" w:after="100"/>
      </w:pPr>
      <w:r w:rsidRPr="00261B7A">
        <w:t xml:space="preserve">Research will also aim to better characterise the goat industry, especially the split between meat and dairy goats. An important step is to develop a multi-year population model that provides an accurate reflection of changes in the meat and dairy goat sectors over time. </w:t>
      </w:r>
    </w:p>
    <w:p w14:paraId="292EF903" w14:textId="77777777" w:rsidR="00994F64" w:rsidRPr="00261B7A" w:rsidRDefault="00994F64" w:rsidP="00994F64">
      <w:pPr>
        <w:pStyle w:val="Heading2"/>
        <w:spacing w:before="320"/>
      </w:pPr>
      <w:bookmarkStart w:id="850" w:name="_Toc32570657"/>
      <w:bookmarkStart w:id="851" w:name="_Toc36224403"/>
      <w:bookmarkStart w:id="852" w:name="_Toc68786323"/>
      <w:bookmarkStart w:id="853" w:name="_Toc131591238"/>
      <w:r w:rsidRPr="00261B7A">
        <w:t>5.3</w:t>
      </w:r>
      <w:bookmarkStart w:id="854" w:name="Manure_Management"/>
      <w:r w:rsidRPr="00261B7A">
        <w:tab/>
        <w:t xml:space="preserve">Manure management </w:t>
      </w:r>
      <w:bookmarkEnd w:id="854"/>
      <w:r w:rsidRPr="00261B7A">
        <w:t>(CRF 3.B)</w:t>
      </w:r>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p>
    <w:p w14:paraId="0A13BFD6" w14:textId="77777777" w:rsidR="00994F64" w:rsidRPr="00261B7A" w:rsidRDefault="00994F64" w:rsidP="00994F64">
      <w:pPr>
        <w:pStyle w:val="Heading3"/>
        <w:spacing w:before="240"/>
      </w:pPr>
      <w:bookmarkStart w:id="855" w:name="_Toc32570658"/>
      <w:bookmarkStart w:id="856" w:name="_Toc139253925"/>
      <w:r w:rsidRPr="00261B7A">
        <w:t>5.3.1</w:t>
      </w:r>
      <w:r w:rsidRPr="00261B7A">
        <w:tab/>
        <w:t>Description</w:t>
      </w:r>
      <w:bookmarkEnd w:id="855"/>
    </w:p>
    <w:p w14:paraId="32B31CC1" w14:textId="77777777" w:rsidR="00994F64" w:rsidRPr="00261B7A" w:rsidRDefault="00994F64" w:rsidP="00994F64">
      <w:pPr>
        <w:pStyle w:val="BodyText"/>
        <w:spacing w:before="100" w:after="100"/>
      </w:pPr>
      <w:r w:rsidRPr="00261B7A">
        <w:t xml:space="preserve">Most emissions from the </w:t>
      </w:r>
      <w:r w:rsidRPr="00261B7A">
        <w:rPr>
          <w:i/>
          <w:iCs/>
        </w:rPr>
        <w:t>Manure management</w:t>
      </w:r>
      <w:r w:rsidRPr="00261B7A">
        <w:t xml:space="preserve"> category are from </w:t>
      </w:r>
      <w:r w:rsidRPr="00261B7A">
        <w:rPr>
          <w:rFonts w:cs="Calibri"/>
        </w:rPr>
        <w:t>CH</w:t>
      </w:r>
      <w:r w:rsidRPr="00261B7A">
        <w:rPr>
          <w:rFonts w:cs="Calibri"/>
          <w:vertAlign w:val="subscript"/>
        </w:rPr>
        <w:t>4</w:t>
      </w:r>
      <w:r w:rsidRPr="00261B7A">
        <w:rPr>
          <w:rFonts w:cs="Calibri"/>
        </w:rPr>
        <w:t xml:space="preserve"> </w:t>
      </w:r>
      <w:r w:rsidRPr="00261B7A">
        <w:t>produced during the storage and treatment of manure, and from manure deposited on pasture. The category also includes N</w:t>
      </w:r>
      <w:r w:rsidRPr="00261B7A">
        <w:rPr>
          <w:vertAlign w:val="subscript"/>
        </w:rPr>
        <w:t>2</w:t>
      </w:r>
      <w:r w:rsidRPr="00261B7A">
        <w:t>O emissions produced during the storage and treatment of manure. It does not include N</w:t>
      </w:r>
      <w:r w:rsidRPr="00261B7A">
        <w:rPr>
          <w:vertAlign w:val="subscript"/>
        </w:rPr>
        <w:t>2</w:t>
      </w:r>
      <w:r w:rsidRPr="00261B7A">
        <w:t xml:space="preserve">O emissions from the spreading of animal manure and from manure deposited directly onto pasture by grazing livestock. Instead, emissions from these sources are included in the </w:t>
      </w:r>
      <w:r w:rsidRPr="00261B7A">
        <w:rPr>
          <w:i/>
          <w:iCs/>
        </w:rPr>
        <w:t>Agricultural soils</w:t>
      </w:r>
      <w:r w:rsidRPr="00261B7A">
        <w:t xml:space="preserve"> category (under </w:t>
      </w:r>
      <w:r w:rsidRPr="00261B7A">
        <w:rPr>
          <w:i/>
          <w:iCs/>
        </w:rPr>
        <w:t>Organic nitrogen fertilisers</w:t>
      </w:r>
      <w:r w:rsidRPr="00261B7A">
        <w:t xml:space="preserve"> and </w:t>
      </w:r>
      <w:r w:rsidRPr="00261B7A">
        <w:rPr>
          <w:i/>
          <w:iCs/>
        </w:rPr>
        <w:t>Urine and dung deposited by grazing animals</w:t>
      </w:r>
      <w:r w:rsidRPr="00261B7A">
        <w:t xml:space="preserve"> respectively).</w:t>
      </w:r>
    </w:p>
    <w:p w14:paraId="1C62F1CE" w14:textId="77777777" w:rsidR="00994F64" w:rsidRPr="00261B7A" w:rsidRDefault="00994F64" w:rsidP="00994F64">
      <w:pPr>
        <w:pStyle w:val="BodyText"/>
        <w:spacing w:before="100" w:after="100"/>
      </w:pPr>
      <w:r w:rsidRPr="00261B7A">
        <w:t xml:space="preserve">Methane is produced when manure decomposes in the absence of oxygen (anaerobic conditions). The main factors affecting </w:t>
      </w:r>
      <w:r w:rsidRPr="00261B7A">
        <w:rPr>
          <w:rFonts w:cs="Calibri"/>
        </w:rPr>
        <w:t>CH</w:t>
      </w:r>
      <w:r w:rsidRPr="00261B7A">
        <w:rPr>
          <w:rFonts w:cs="Calibri"/>
          <w:vertAlign w:val="subscript"/>
        </w:rPr>
        <w:t>4</w:t>
      </w:r>
      <w:r w:rsidRPr="00261B7A">
        <w:rPr>
          <w:rFonts w:cs="Calibri"/>
        </w:rPr>
        <w:t xml:space="preserve"> </w:t>
      </w:r>
      <w:r w:rsidRPr="00261B7A">
        <w:t xml:space="preserve">emissions are the amount of manure produced and the portion of the manure that decomposes anaerobically. When manure is stored or treated as a liquid (e.g., in lagoons or ponds), it decomposes anaerobically and can produce </w:t>
      </w:r>
      <w:r w:rsidRPr="00261B7A">
        <w:rPr>
          <w:rFonts w:cs="Calibri"/>
        </w:rPr>
        <w:t>CH</w:t>
      </w:r>
      <w:r w:rsidRPr="00261B7A">
        <w:rPr>
          <w:rFonts w:cs="Calibri"/>
          <w:vertAlign w:val="subscript"/>
        </w:rPr>
        <w:t>4</w:t>
      </w:r>
      <w:r w:rsidRPr="00261B7A">
        <w:t xml:space="preserve">. The temperature and the length of time spent in storage also affect the cumulative amount of </w:t>
      </w:r>
      <w:r w:rsidRPr="00261B7A">
        <w:rPr>
          <w:rFonts w:cs="Calibri"/>
        </w:rPr>
        <w:t>CH</w:t>
      </w:r>
      <w:r w:rsidRPr="00261B7A">
        <w:rPr>
          <w:rFonts w:cs="Calibri"/>
          <w:vertAlign w:val="subscript"/>
        </w:rPr>
        <w:t>4</w:t>
      </w:r>
      <w:r w:rsidRPr="00261B7A">
        <w:rPr>
          <w:rFonts w:cs="Calibri"/>
        </w:rPr>
        <w:t xml:space="preserve"> </w:t>
      </w:r>
      <w:r w:rsidRPr="00261B7A">
        <w:t xml:space="preserve">produced over the inventory year. When manure is handled as a solid or deposited directly on pastures, it tends to decompose under aerobic conditions and less </w:t>
      </w:r>
      <w:r w:rsidRPr="00261B7A">
        <w:rPr>
          <w:rFonts w:cs="Calibri"/>
        </w:rPr>
        <w:t>CH</w:t>
      </w:r>
      <w:r w:rsidRPr="00261B7A">
        <w:rPr>
          <w:rFonts w:cs="Calibri"/>
          <w:vertAlign w:val="subscript"/>
        </w:rPr>
        <w:t>4</w:t>
      </w:r>
      <w:r w:rsidRPr="00261B7A">
        <w:rPr>
          <w:rFonts w:cs="Calibri"/>
        </w:rPr>
        <w:t> </w:t>
      </w:r>
      <w:r w:rsidRPr="00261B7A">
        <w:t>is produced overall.</w:t>
      </w:r>
    </w:p>
    <w:p w14:paraId="1AE32F93" w14:textId="77777777" w:rsidR="00994F64" w:rsidRPr="00261B7A" w:rsidRDefault="00994F64" w:rsidP="00994F64">
      <w:pPr>
        <w:pStyle w:val="BodyText"/>
        <w:spacing w:before="100" w:after="100"/>
      </w:pPr>
      <w:r w:rsidRPr="00261B7A">
        <w:t>Nitrous oxide emissions from managed manure occur directly through the processes of nitrification and denitrification of nitrogen contained in the manure. Nitrous oxide is also emitted indirectly through diffusion of oxides of nitrogen (NO</w:t>
      </w:r>
      <w:r w:rsidRPr="00261B7A">
        <w:rPr>
          <w:vertAlign w:val="subscript"/>
        </w:rPr>
        <w:t>x</w:t>
      </w:r>
      <w:r w:rsidRPr="00261B7A">
        <w:t xml:space="preserve">) into the surrounding air (volatilisation) or via leaching and runoff. As with </w:t>
      </w:r>
      <w:r w:rsidRPr="00261B7A">
        <w:rPr>
          <w:rFonts w:cs="Calibri"/>
        </w:rPr>
        <w:t>CH</w:t>
      </w:r>
      <w:r w:rsidRPr="00261B7A">
        <w:rPr>
          <w:rFonts w:cs="Calibri"/>
          <w:vertAlign w:val="subscript"/>
        </w:rPr>
        <w:t>4</w:t>
      </w:r>
      <w:r w:rsidRPr="00261B7A">
        <w:t>, the amount of manure N</w:t>
      </w:r>
      <w:r w:rsidRPr="00261B7A">
        <w:rPr>
          <w:vertAlign w:val="subscript"/>
        </w:rPr>
        <w:t>2</w:t>
      </w:r>
      <w:r w:rsidRPr="00261B7A">
        <w:t xml:space="preserve">O emissions produced depends on the system of waste management and the duration of storage. In New Zealand, most manure is deposited directly on pasture by grazing animals, with little going into manure management systems. </w:t>
      </w:r>
    </w:p>
    <w:p w14:paraId="18A4D5AC" w14:textId="77777777" w:rsidR="00994F64" w:rsidRPr="00261B7A" w:rsidRDefault="00994F64" w:rsidP="00994F64">
      <w:pPr>
        <w:pStyle w:val="BodyText"/>
        <w:spacing w:before="100" w:after="100"/>
      </w:pPr>
      <w:r w:rsidRPr="00261B7A">
        <w:t xml:space="preserve">Methane from </w:t>
      </w:r>
      <w:r w:rsidRPr="00261B7A">
        <w:rPr>
          <w:i/>
          <w:iCs/>
        </w:rPr>
        <w:t>Manure management</w:t>
      </w:r>
      <w:r w:rsidRPr="00261B7A">
        <w:t xml:space="preserve"> from </w:t>
      </w:r>
      <w:r w:rsidRPr="00261B7A">
        <w:rPr>
          <w:i/>
          <w:iCs/>
        </w:rPr>
        <w:t>Dairy</w:t>
      </w:r>
      <w:r w:rsidRPr="00261B7A">
        <w:rPr>
          <w:i/>
        </w:rPr>
        <w:t xml:space="preserve"> cattle</w:t>
      </w:r>
      <w:r w:rsidRPr="00261B7A">
        <w:t xml:space="preserve"> (level and trend assessment) was identified as a key category for New Zealand in 2021.</w:t>
      </w:r>
    </w:p>
    <w:p w14:paraId="06A5F4F7" w14:textId="77777777" w:rsidR="00994F64" w:rsidRPr="00261B7A" w:rsidRDefault="00994F64" w:rsidP="00994F64">
      <w:pPr>
        <w:pStyle w:val="BodyText"/>
        <w:spacing w:before="100" w:after="100"/>
        <w:rPr>
          <w:rFonts w:cs="Calibri"/>
        </w:rPr>
      </w:pPr>
      <w:r w:rsidRPr="00261B7A">
        <w:rPr>
          <w:rFonts w:cs="Calibri"/>
          <w:i/>
          <w:iCs/>
        </w:rPr>
        <w:t>Manure management</w:t>
      </w:r>
      <w:r w:rsidRPr="00261B7A">
        <w:rPr>
          <w:rFonts w:cs="Calibri"/>
        </w:rPr>
        <w:t xml:space="preserve"> contributed an estimated </w:t>
      </w:r>
      <w:r w:rsidRPr="00261B7A">
        <w:rPr>
          <w:rFonts w:cs="Calibri"/>
          <w:color w:val="000000"/>
        </w:rPr>
        <w:t>1,680.5 kt CO</w:t>
      </w:r>
      <w:r w:rsidRPr="00261B7A">
        <w:rPr>
          <w:rFonts w:cs="Calibri"/>
          <w:color w:val="000000"/>
          <w:vertAlign w:val="subscript"/>
        </w:rPr>
        <w:t>2</w:t>
      </w:r>
      <w:r w:rsidRPr="00261B7A">
        <w:rPr>
          <w:rFonts w:cs="Calibri"/>
        </w:rPr>
        <w:t>-e, representing 4.4 per cent of Agriculture</w:t>
      </w:r>
      <w:r w:rsidRPr="00261B7A">
        <w:rPr>
          <w:rFonts w:cs="Calibri"/>
          <w:i/>
          <w:iCs/>
        </w:rPr>
        <w:t xml:space="preserve"> </w:t>
      </w:r>
      <w:r w:rsidRPr="00261B7A">
        <w:rPr>
          <w:rFonts w:cs="Calibri"/>
        </w:rPr>
        <w:t>emissions in 2021. Estimated emissions from this category consist of:</w:t>
      </w:r>
    </w:p>
    <w:p w14:paraId="27B3542A" w14:textId="77777777" w:rsidR="00994F64" w:rsidRPr="00261B7A" w:rsidRDefault="00994F64" w:rsidP="00994F64">
      <w:pPr>
        <w:pStyle w:val="Bullet"/>
      </w:pPr>
      <w:r w:rsidRPr="00261B7A">
        <w:rPr>
          <w:rFonts w:cs="Calibri"/>
        </w:rPr>
        <w:t>CH</w:t>
      </w:r>
      <w:r w:rsidRPr="00261B7A">
        <w:rPr>
          <w:rFonts w:cs="Calibri"/>
          <w:vertAlign w:val="subscript"/>
        </w:rPr>
        <w:t>4</w:t>
      </w:r>
      <w:r w:rsidRPr="00261B7A">
        <w:t xml:space="preserve"> emissions (93.5 per cent of </w:t>
      </w:r>
      <w:r w:rsidRPr="00261B7A">
        <w:rPr>
          <w:i/>
          <w:iCs/>
        </w:rPr>
        <w:t>Manure management</w:t>
      </w:r>
      <w:r w:rsidRPr="00261B7A">
        <w:t xml:space="preserve"> emissions)</w:t>
      </w:r>
    </w:p>
    <w:p w14:paraId="25B09E16" w14:textId="77777777" w:rsidR="00994F64" w:rsidRPr="00261B7A" w:rsidRDefault="00994F64" w:rsidP="00294EC5">
      <w:pPr>
        <w:pStyle w:val="Bullet"/>
        <w:numPr>
          <w:ilvl w:val="0"/>
          <w:numId w:val="24"/>
        </w:numPr>
      </w:pPr>
      <w:r w:rsidRPr="00261B7A">
        <w:rPr>
          <w:rFonts w:eastAsia="Calibri" w:cs="Calibri"/>
          <w:bCs/>
        </w:rPr>
        <w:t>N</w:t>
      </w:r>
      <w:r w:rsidRPr="00261B7A">
        <w:rPr>
          <w:rFonts w:eastAsia="Calibri" w:cs="Calibri"/>
          <w:bCs/>
          <w:vertAlign w:val="subscript"/>
        </w:rPr>
        <w:t>2</w:t>
      </w:r>
      <w:r w:rsidRPr="00261B7A">
        <w:rPr>
          <w:rFonts w:eastAsia="Calibri" w:cs="Calibri"/>
          <w:bCs/>
        </w:rPr>
        <w:t>O</w:t>
      </w:r>
      <w:r w:rsidRPr="00261B7A">
        <w:t xml:space="preserve"> emissions (6.5 per cent of </w:t>
      </w:r>
      <w:r w:rsidRPr="00261B7A">
        <w:rPr>
          <w:i/>
          <w:iCs/>
        </w:rPr>
        <w:t xml:space="preserve">Manure management </w:t>
      </w:r>
      <w:r w:rsidRPr="00261B7A">
        <w:t>emissions).</w:t>
      </w:r>
    </w:p>
    <w:p w14:paraId="03AD68C5" w14:textId="77777777" w:rsidR="00994F64" w:rsidRPr="00261B7A" w:rsidRDefault="00994F64" w:rsidP="00994F64">
      <w:pPr>
        <w:pStyle w:val="BodyText"/>
        <w:rPr>
          <w:rFonts w:cs="Calibri"/>
        </w:rPr>
      </w:pPr>
      <w:r w:rsidRPr="00261B7A">
        <w:rPr>
          <w:rFonts w:cs="Calibri"/>
        </w:rPr>
        <w:t xml:space="preserve">In 2021, </w:t>
      </w:r>
      <w:r w:rsidRPr="00261B7A">
        <w:t>N</w:t>
      </w:r>
      <w:r w:rsidRPr="00261B7A">
        <w:rPr>
          <w:vertAlign w:val="subscript"/>
        </w:rPr>
        <w:t>2</w:t>
      </w:r>
      <w:r w:rsidRPr="00261B7A">
        <w:t>O</w:t>
      </w:r>
      <w:r w:rsidRPr="00261B7A">
        <w:rPr>
          <w:rFonts w:cs="Calibri"/>
        </w:rPr>
        <w:t xml:space="preserve"> emissions from </w:t>
      </w:r>
      <w:r w:rsidRPr="00261B7A">
        <w:rPr>
          <w:rFonts w:cs="Calibri"/>
          <w:i/>
          <w:iCs/>
        </w:rPr>
        <w:t>Manure management</w:t>
      </w:r>
      <w:r w:rsidRPr="00261B7A">
        <w:rPr>
          <w:rFonts w:cs="Calibri"/>
        </w:rPr>
        <w:t xml:space="preserve"> totalled 108.6 kt CO</w:t>
      </w:r>
      <w:r w:rsidRPr="00261B7A">
        <w:rPr>
          <w:rFonts w:cs="Calibri"/>
          <w:vertAlign w:val="subscript"/>
        </w:rPr>
        <w:t>2</w:t>
      </w:r>
      <w:r w:rsidRPr="00261B7A">
        <w:rPr>
          <w:rFonts w:cs="Calibri"/>
        </w:rPr>
        <w:t xml:space="preserve">-e (0.3 per cent of gross emissions from the Agriculture sector) (see table 5.3.1). In comparison, the combined direct and indirect </w:t>
      </w:r>
      <w:r w:rsidRPr="00261B7A">
        <w:t>N</w:t>
      </w:r>
      <w:r w:rsidRPr="00261B7A">
        <w:rPr>
          <w:vertAlign w:val="subscript"/>
        </w:rPr>
        <w:t>2</w:t>
      </w:r>
      <w:r w:rsidRPr="00261B7A">
        <w:t>O</w:t>
      </w:r>
      <w:r w:rsidRPr="00261B7A">
        <w:rPr>
          <w:rFonts w:cs="Calibri"/>
        </w:rPr>
        <w:t xml:space="preserve"> emissions from organic fertilisers (spreading of animal manure) and manure deposited directly by grazing livestock reported in the </w:t>
      </w:r>
      <w:r w:rsidRPr="00261B7A">
        <w:rPr>
          <w:rFonts w:cs="Calibri"/>
          <w:i/>
          <w:iCs/>
        </w:rPr>
        <w:t>Agricultural soils</w:t>
      </w:r>
      <w:r w:rsidRPr="00261B7A">
        <w:rPr>
          <w:rFonts w:cs="Calibri"/>
        </w:rPr>
        <w:t xml:space="preserve"> category totalled 7,315.2</w:t>
      </w:r>
      <w:r w:rsidRPr="00261B7A" w:rsidDel="00DD5978">
        <w:rPr>
          <w:rFonts w:cs="Calibri"/>
        </w:rPr>
        <w:t xml:space="preserve"> </w:t>
      </w:r>
      <w:r w:rsidRPr="00261B7A">
        <w:rPr>
          <w:rFonts w:cs="Calibri"/>
        </w:rPr>
        <w:t>kt CO</w:t>
      </w:r>
      <w:r w:rsidRPr="00261B7A">
        <w:rPr>
          <w:rFonts w:cs="Calibri"/>
          <w:vertAlign w:val="subscript"/>
        </w:rPr>
        <w:t>2</w:t>
      </w:r>
      <w:r w:rsidRPr="00261B7A">
        <w:rPr>
          <w:rFonts w:cs="Calibri"/>
        </w:rPr>
        <w:t>-e in 2021 (19.4 per cent of emissions from the Agriculture sector).</w:t>
      </w:r>
    </w:p>
    <w:p w14:paraId="2E98F894" w14:textId="77777777" w:rsidR="00994F64" w:rsidRPr="00261B7A" w:rsidRDefault="00994F64" w:rsidP="00994F64">
      <w:pPr>
        <w:pStyle w:val="Table"/>
        <w:rPr>
          <w:rFonts w:cs="Calibri"/>
        </w:rPr>
      </w:pPr>
      <w:bookmarkStart w:id="857" w:name="_Toc32570920"/>
      <w:bookmarkStart w:id="858" w:name="_Toc36224555"/>
      <w:bookmarkStart w:id="859" w:name="_Toc68786440"/>
      <w:bookmarkStart w:id="860" w:name="_Toc95574074"/>
      <w:bookmarkStart w:id="861" w:name="_Toc127458259"/>
      <w:bookmarkStart w:id="862" w:name="_Toc131591355"/>
      <w:r w:rsidRPr="00261B7A">
        <w:rPr>
          <w:rFonts w:cs="Calibri"/>
        </w:rPr>
        <w:t>Table 5.3.1</w:t>
      </w:r>
      <w:r w:rsidRPr="00261B7A">
        <w:rPr>
          <w:rFonts w:cs="Calibri"/>
        </w:rPr>
        <w:tab/>
        <w:t xml:space="preserve">Trends and relative contribution of methane and nitrous oxide emissions under the </w:t>
      </w:r>
      <w:r w:rsidRPr="00261B7A">
        <w:rPr>
          <w:rFonts w:cs="Calibri"/>
          <w:i/>
          <w:iCs/>
        </w:rPr>
        <w:t>Manure management</w:t>
      </w:r>
      <w:r w:rsidRPr="00261B7A">
        <w:rPr>
          <w:rFonts w:cs="Calibri"/>
        </w:rPr>
        <w:t xml:space="preserve"> category between 1990 and </w:t>
      </w:r>
      <w:bookmarkEnd w:id="857"/>
      <w:bookmarkEnd w:id="858"/>
      <w:bookmarkEnd w:id="859"/>
      <w:bookmarkEnd w:id="860"/>
      <w:r w:rsidRPr="00261B7A">
        <w:rPr>
          <w:rFonts w:cs="Calibri"/>
        </w:rPr>
        <w:t>2021</w:t>
      </w:r>
      <w:bookmarkEnd w:id="861"/>
      <w:bookmarkEnd w:id="862"/>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A0" w:firstRow="1" w:lastRow="0" w:firstColumn="1" w:lastColumn="0" w:noHBand="0" w:noVBand="1"/>
      </w:tblPr>
      <w:tblGrid>
        <w:gridCol w:w="1948"/>
        <w:gridCol w:w="837"/>
        <w:gridCol w:w="838"/>
        <w:gridCol w:w="772"/>
        <w:gridCol w:w="1039"/>
        <w:gridCol w:w="837"/>
        <w:gridCol w:w="774"/>
        <w:gridCol w:w="733"/>
        <w:gridCol w:w="727"/>
      </w:tblGrid>
      <w:tr w:rsidR="00994F64" w:rsidRPr="00261B7A" w14:paraId="042B40F2" w14:textId="77777777" w:rsidTr="00501B0F">
        <w:tc>
          <w:tcPr>
            <w:tcW w:w="1948" w:type="dxa"/>
            <w:vMerge w:val="restart"/>
            <w:shd w:val="clear" w:color="auto" w:fill="1B556B"/>
            <w:vAlign w:val="bottom"/>
          </w:tcPr>
          <w:p w14:paraId="3D850348" w14:textId="77777777" w:rsidR="00994F64" w:rsidRPr="00261B7A" w:rsidRDefault="00994F64" w:rsidP="00501B0F">
            <w:pPr>
              <w:pStyle w:val="TableTextBold"/>
              <w:keepNext/>
              <w:spacing w:before="40" w:after="40"/>
              <w:rPr>
                <w:noProof w:val="0"/>
                <w:color w:val="FFFFFF" w:themeColor="background1"/>
                <w:szCs w:val="16"/>
              </w:rPr>
            </w:pPr>
            <w:r w:rsidRPr="00261B7A">
              <w:rPr>
                <w:i/>
                <w:iCs/>
                <w:noProof w:val="0"/>
                <w:color w:val="FFFFFF" w:themeColor="background1"/>
                <w:szCs w:val="16"/>
              </w:rPr>
              <w:t>Manure management</w:t>
            </w:r>
            <w:r w:rsidRPr="00261B7A">
              <w:rPr>
                <w:noProof w:val="0"/>
                <w:color w:val="FFFFFF" w:themeColor="background1"/>
                <w:szCs w:val="16"/>
              </w:rPr>
              <w:t xml:space="preserve"> category</w:t>
            </w:r>
          </w:p>
        </w:tc>
        <w:tc>
          <w:tcPr>
            <w:tcW w:w="1675" w:type="dxa"/>
            <w:gridSpan w:val="2"/>
            <w:shd w:val="clear" w:color="auto" w:fill="1B556B"/>
            <w:vAlign w:val="bottom"/>
          </w:tcPr>
          <w:p w14:paraId="32DBBFDE" w14:textId="77777777" w:rsidR="00994F64" w:rsidRPr="00261B7A" w:rsidRDefault="00994F64" w:rsidP="00501B0F">
            <w:pPr>
              <w:pStyle w:val="TableTextBold"/>
              <w:keepNext/>
              <w:spacing w:before="40" w:after="0"/>
              <w:jc w:val="center"/>
              <w:rPr>
                <w:noProof w:val="0"/>
                <w:color w:val="FFFFFF" w:themeColor="background1"/>
                <w:szCs w:val="16"/>
              </w:rPr>
            </w:pPr>
            <w:r w:rsidRPr="00261B7A">
              <w:rPr>
                <w:noProof w:val="0"/>
                <w:color w:val="FFFFFF" w:themeColor="background1"/>
                <w:szCs w:val="16"/>
              </w:rPr>
              <w:t xml:space="preserve">Emissions </w:t>
            </w:r>
            <w:r w:rsidRPr="00261B7A">
              <w:rPr>
                <w:noProof w:val="0"/>
                <w:color w:val="FFFFFF" w:themeColor="background1"/>
                <w:szCs w:val="16"/>
              </w:rPr>
              <w:br/>
              <w:t>(kt CO</w:t>
            </w:r>
            <w:r w:rsidRPr="00261B7A">
              <w:rPr>
                <w:noProof w:val="0"/>
                <w:color w:val="FFFFFF" w:themeColor="background1"/>
                <w:szCs w:val="16"/>
                <w:vertAlign w:val="subscript"/>
              </w:rPr>
              <w:t>2</w:t>
            </w:r>
            <w:r w:rsidRPr="00261B7A">
              <w:rPr>
                <w:noProof w:val="0"/>
                <w:color w:val="FFFFFF" w:themeColor="background1"/>
                <w:szCs w:val="16"/>
              </w:rPr>
              <w:t>-e)</w:t>
            </w:r>
          </w:p>
        </w:tc>
        <w:tc>
          <w:tcPr>
            <w:tcW w:w="1811" w:type="dxa"/>
            <w:gridSpan w:val="2"/>
            <w:shd w:val="clear" w:color="auto" w:fill="1B556B"/>
            <w:vAlign w:val="bottom"/>
          </w:tcPr>
          <w:p w14:paraId="335C71E7" w14:textId="77777777" w:rsidR="00994F64" w:rsidRPr="00261B7A" w:rsidRDefault="00994F64" w:rsidP="00501B0F">
            <w:pPr>
              <w:pStyle w:val="TableTextBold"/>
              <w:keepNext/>
              <w:spacing w:before="40" w:after="0"/>
              <w:jc w:val="center"/>
              <w:rPr>
                <w:noProof w:val="0"/>
                <w:color w:val="FFFFFF" w:themeColor="background1"/>
                <w:szCs w:val="16"/>
              </w:rPr>
            </w:pPr>
            <w:r w:rsidRPr="00261B7A">
              <w:rPr>
                <w:noProof w:val="0"/>
                <w:color w:val="FFFFFF" w:themeColor="background1"/>
                <w:szCs w:val="16"/>
              </w:rPr>
              <w:t>Change from 1990</w:t>
            </w:r>
          </w:p>
        </w:tc>
        <w:tc>
          <w:tcPr>
            <w:tcW w:w="1611" w:type="dxa"/>
            <w:gridSpan w:val="2"/>
            <w:shd w:val="clear" w:color="auto" w:fill="1B556B"/>
            <w:vAlign w:val="bottom"/>
          </w:tcPr>
          <w:p w14:paraId="7C8A84FA" w14:textId="77777777" w:rsidR="00994F64" w:rsidRPr="00261B7A" w:rsidRDefault="00994F64" w:rsidP="00501B0F">
            <w:pPr>
              <w:pStyle w:val="TableTextBold"/>
              <w:keepNext/>
              <w:spacing w:before="40" w:after="0"/>
              <w:jc w:val="center"/>
              <w:rPr>
                <w:noProof w:val="0"/>
                <w:color w:val="FFFFFF" w:themeColor="background1"/>
                <w:szCs w:val="16"/>
              </w:rPr>
            </w:pPr>
            <w:r w:rsidRPr="00261B7A">
              <w:rPr>
                <w:noProof w:val="0"/>
                <w:color w:val="FFFFFF" w:themeColor="background1"/>
                <w:szCs w:val="16"/>
              </w:rPr>
              <w:t xml:space="preserve">Share of </w:t>
            </w:r>
            <w:r w:rsidRPr="00261B7A">
              <w:rPr>
                <w:i/>
                <w:iCs/>
                <w:noProof w:val="0"/>
                <w:color w:val="FFFFFF" w:themeColor="background1"/>
                <w:szCs w:val="16"/>
              </w:rPr>
              <w:t>Manure management</w:t>
            </w:r>
            <w:r w:rsidRPr="00261B7A">
              <w:rPr>
                <w:noProof w:val="0"/>
                <w:color w:val="FFFFFF" w:themeColor="background1"/>
                <w:szCs w:val="16"/>
              </w:rPr>
              <w:t xml:space="preserve"> category (%)</w:t>
            </w:r>
          </w:p>
        </w:tc>
        <w:tc>
          <w:tcPr>
            <w:tcW w:w="1460" w:type="dxa"/>
            <w:gridSpan w:val="2"/>
            <w:shd w:val="clear" w:color="auto" w:fill="1B556B"/>
            <w:vAlign w:val="bottom"/>
          </w:tcPr>
          <w:p w14:paraId="691C77C2" w14:textId="77777777" w:rsidR="00994F64" w:rsidRPr="00261B7A" w:rsidRDefault="00994F64" w:rsidP="00501B0F">
            <w:pPr>
              <w:pStyle w:val="TableTextBold"/>
              <w:keepNext/>
              <w:spacing w:before="40" w:after="0"/>
              <w:jc w:val="center"/>
              <w:rPr>
                <w:noProof w:val="0"/>
                <w:color w:val="FFFFFF" w:themeColor="background1"/>
                <w:szCs w:val="16"/>
              </w:rPr>
            </w:pPr>
            <w:r w:rsidRPr="00261B7A">
              <w:rPr>
                <w:noProof w:val="0"/>
                <w:color w:val="FFFFFF" w:themeColor="background1"/>
                <w:szCs w:val="16"/>
              </w:rPr>
              <w:t>Share of total Agriculture sector (%)</w:t>
            </w:r>
          </w:p>
        </w:tc>
      </w:tr>
      <w:tr w:rsidR="00994F64" w:rsidRPr="00261B7A" w14:paraId="29AB462E" w14:textId="77777777" w:rsidTr="00501B0F">
        <w:tc>
          <w:tcPr>
            <w:tcW w:w="1948" w:type="dxa"/>
            <w:vMerge/>
            <w:shd w:val="clear" w:color="auto" w:fill="1B556B"/>
            <w:vAlign w:val="bottom"/>
          </w:tcPr>
          <w:p w14:paraId="0A6733DF" w14:textId="77777777" w:rsidR="00994F64" w:rsidRPr="00261B7A" w:rsidRDefault="00994F64" w:rsidP="00501B0F">
            <w:pPr>
              <w:keepNext/>
              <w:spacing w:before="40" w:after="40"/>
              <w:rPr>
                <w:rFonts w:cs="Calibri"/>
                <w:b/>
                <w:color w:val="FFFFFF" w:themeColor="background1"/>
                <w:sz w:val="16"/>
                <w:szCs w:val="16"/>
              </w:rPr>
            </w:pPr>
          </w:p>
        </w:tc>
        <w:tc>
          <w:tcPr>
            <w:tcW w:w="837" w:type="dxa"/>
            <w:shd w:val="clear" w:color="auto" w:fill="1B556B"/>
            <w:vAlign w:val="bottom"/>
          </w:tcPr>
          <w:p w14:paraId="343DAF14" w14:textId="77777777" w:rsidR="00994F64" w:rsidRPr="00261B7A" w:rsidRDefault="00994F64" w:rsidP="00501B0F">
            <w:pPr>
              <w:pStyle w:val="TableTextBold"/>
              <w:keepNext/>
              <w:spacing w:before="40" w:after="40"/>
              <w:jc w:val="center"/>
              <w:rPr>
                <w:noProof w:val="0"/>
                <w:color w:val="FFFFFF" w:themeColor="background1"/>
                <w:szCs w:val="16"/>
              </w:rPr>
            </w:pPr>
            <w:r w:rsidRPr="00261B7A">
              <w:rPr>
                <w:noProof w:val="0"/>
                <w:color w:val="FFFFFF" w:themeColor="background1"/>
                <w:szCs w:val="16"/>
              </w:rPr>
              <w:t>1990</w:t>
            </w:r>
          </w:p>
        </w:tc>
        <w:tc>
          <w:tcPr>
            <w:tcW w:w="838" w:type="dxa"/>
            <w:shd w:val="clear" w:color="auto" w:fill="1B556B"/>
            <w:vAlign w:val="bottom"/>
          </w:tcPr>
          <w:p w14:paraId="3D726D87" w14:textId="77777777" w:rsidR="00994F64" w:rsidRPr="00261B7A" w:rsidRDefault="00994F64" w:rsidP="00501B0F">
            <w:pPr>
              <w:pStyle w:val="TableTextBold"/>
              <w:keepNext/>
              <w:spacing w:before="40" w:after="40"/>
              <w:jc w:val="center"/>
              <w:rPr>
                <w:noProof w:val="0"/>
                <w:color w:val="FFFFFF" w:themeColor="background1"/>
                <w:szCs w:val="16"/>
              </w:rPr>
            </w:pPr>
            <w:r w:rsidRPr="00261B7A">
              <w:rPr>
                <w:noProof w:val="0"/>
                <w:color w:val="FFFFFF" w:themeColor="background1"/>
                <w:szCs w:val="16"/>
              </w:rPr>
              <w:t>2021</w:t>
            </w:r>
          </w:p>
        </w:tc>
        <w:tc>
          <w:tcPr>
            <w:tcW w:w="772" w:type="dxa"/>
            <w:shd w:val="clear" w:color="auto" w:fill="1B556B"/>
            <w:vAlign w:val="bottom"/>
          </w:tcPr>
          <w:p w14:paraId="69E0B705" w14:textId="77777777" w:rsidR="00994F64" w:rsidRPr="00261B7A" w:rsidRDefault="00994F64" w:rsidP="00501B0F">
            <w:pPr>
              <w:pStyle w:val="TableTextBold"/>
              <w:keepNext/>
              <w:spacing w:before="40" w:after="40"/>
              <w:jc w:val="center"/>
              <w:rPr>
                <w:noProof w:val="0"/>
                <w:color w:val="FFFFFF" w:themeColor="background1"/>
                <w:szCs w:val="16"/>
              </w:rPr>
            </w:pPr>
            <w:r w:rsidRPr="00261B7A">
              <w:rPr>
                <w:noProof w:val="0"/>
                <w:color w:val="FFFFFF" w:themeColor="background1"/>
                <w:szCs w:val="16"/>
              </w:rPr>
              <w:t>%</w:t>
            </w:r>
          </w:p>
        </w:tc>
        <w:tc>
          <w:tcPr>
            <w:tcW w:w="1039" w:type="dxa"/>
            <w:shd w:val="clear" w:color="auto" w:fill="1B556B"/>
            <w:vAlign w:val="bottom"/>
          </w:tcPr>
          <w:p w14:paraId="6CDA38FE" w14:textId="77777777" w:rsidR="00994F64" w:rsidRPr="00261B7A" w:rsidRDefault="00994F64" w:rsidP="00501B0F">
            <w:pPr>
              <w:pStyle w:val="TableTextBold"/>
              <w:keepNext/>
              <w:spacing w:before="40" w:after="40"/>
              <w:jc w:val="center"/>
              <w:rPr>
                <w:noProof w:val="0"/>
                <w:color w:val="FFFFFF" w:themeColor="background1"/>
                <w:szCs w:val="16"/>
              </w:rPr>
            </w:pPr>
            <w:r w:rsidRPr="00261B7A">
              <w:rPr>
                <w:noProof w:val="0"/>
                <w:color w:val="FFFFFF" w:themeColor="background1"/>
                <w:szCs w:val="16"/>
              </w:rPr>
              <w:t>Difference</w:t>
            </w:r>
            <w:r w:rsidRPr="00261B7A">
              <w:rPr>
                <w:noProof w:val="0"/>
                <w:color w:val="FFFFFF" w:themeColor="background1"/>
                <w:szCs w:val="16"/>
              </w:rPr>
              <w:br/>
              <w:t>(kt CO</w:t>
            </w:r>
            <w:r w:rsidRPr="00261B7A">
              <w:rPr>
                <w:noProof w:val="0"/>
                <w:color w:val="FFFFFF" w:themeColor="background1"/>
                <w:szCs w:val="16"/>
                <w:vertAlign w:val="subscript"/>
              </w:rPr>
              <w:t>2</w:t>
            </w:r>
            <w:r w:rsidRPr="00261B7A">
              <w:rPr>
                <w:noProof w:val="0"/>
                <w:color w:val="FFFFFF" w:themeColor="background1"/>
                <w:szCs w:val="16"/>
              </w:rPr>
              <w:t>-e)</w:t>
            </w:r>
          </w:p>
        </w:tc>
        <w:tc>
          <w:tcPr>
            <w:tcW w:w="837" w:type="dxa"/>
            <w:shd w:val="clear" w:color="auto" w:fill="1B556B"/>
            <w:vAlign w:val="bottom"/>
          </w:tcPr>
          <w:p w14:paraId="0AC963FC" w14:textId="77777777" w:rsidR="00994F64" w:rsidRPr="00261B7A" w:rsidRDefault="00994F64" w:rsidP="00501B0F">
            <w:pPr>
              <w:pStyle w:val="TableTextBold"/>
              <w:keepNext/>
              <w:spacing w:before="40" w:after="40"/>
              <w:jc w:val="right"/>
              <w:rPr>
                <w:noProof w:val="0"/>
                <w:color w:val="FFFFFF" w:themeColor="background1"/>
                <w:szCs w:val="16"/>
              </w:rPr>
            </w:pPr>
            <w:r w:rsidRPr="00261B7A">
              <w:rPr>
                <w:noProof w:val="0"/>
                <w:color w:val="FFFFFF" w:themeColor="background1"/>
                <w:szCs w:val="16"/>
              </w:rPr>
              <w:t>1990</w:t>
            </w:r>
          </w:p>
        </w:tc>
        <w:tc>
          <w:tcPr>
            <w:tcW w:w="774" w:type="dxa"/>
            <w:shd w:val="clear" w:color="auto" w:fill="1B556B"/>
            <w:vAlign w:val="bottom"/>
          </w:tcPr>
          <w:p w14:paraId="6B0D69D3" w14:textId="77777777" w:rsidR="00994F64" w:rsidRPr="00261B7A" w:rsidRDefault="00994F64" w:rsidP="00501B0F">
            <w:pPr>
              <w:pStyle w:val="TableTextBold"/>
              <w:keepNext/>
              <w:spacing w:before="40" w:after="40"/>
              <w:jc w:val="right"/>
              <w:rPr>
                <w:noProof w:val="0"/>
                <w:color w:val="FFFFFF" w:themeColor="background1"/>
                <w:szCs w:val="16"/>
              </w:rPr>
            </w:pPr>
            <w:r w:rsidRPr="00261B7A">
              <w:rPr>
                <w:noProof w:val="0"/>
                <w:color w:val="FFFFFF" w:themeColor="background1"/>
                <w:szCs w:val="16"/>
              </w:rPr>
              <w:t>2021</w:t>
            </w:r>
          </w:p>
        </w:tc>
        <w:tc>
          <w:tcPr>
            <w:tcW w:w="733" w:type="dxa"/>
            <w:shd w:val="clear" w:color="auto" w:fill="1B556B"/>
            <w:vAlign w:val="bottom"/>
          </w:tcPr>
          <w:p w14:paraId="7CA1B517" w14:textId="77777777" w:rsidR="00994F64" w:rsidRPr="00261B7A" w:rsidRDefault="00994F64" w:rsidP="00501B0F">
            <w:pPr>
              <w:pStyle w:val="TableTextBold"/>
              <w:keepNext/>
              <w:spacing w:before="40" w:after="40"/>
              <w:jc w:val="right"/>
              <w:rPr>
                <w:noProof w:val="0"/>
                <w:color w:val="FFFFFF" w:themeColor="background1"/>
                <w:szCs w:val="16"/>
              </w:rPr>
            </w:pPr>
            <w:r w:rsidRPr="00261B7A">
              <w:rPr>
                <w:noProof w:val="0"/>
                <w:color w:val="FFFFFF" w:themeColor="background1"/>
                <w:szCs w:val="16"/>
              </w:rPr>
              <w:t>1990</w:t>
            </w:r>
          </w:p>
        </w:tc>
        <w:tc>
          <w:tcPr>
            <w:tcW w:w="727" w:type="dxa"/>
            <w:shd w:val="clear" w:color="auto" w:fill="1B556B"/>
            <w:vAlign w:val="bottom"/>
          </w:tcPr>
          <w:p w14:paraId="62AD33DB" w14:textId="77777777" w:rsidR="00994F64" w:rsidRPr="00261B7A" w:rsidRDefault="00994F64" w:rsidP="00501B0F">
            <w:pPr>
              <w:pStyle w:val="TableTextBold"/>
              <w:keepNext/>
              <w:spacing w:before="40" w:after="40"/>
              <w:jc w:val="right"/>
              <w:rPr>
                <w:noProof w:val="0"/>
                <w:color w:val="FFFFFF" w:themeColor="background1"/>
                <w:szCs w:val="16"/>
              </w:rPr>
            </w:pPr>
            <w:r w:rsidRPr="00261B7A">
              <w:rPr>
                <w:noProof w:val="0"/>
                <w:color w:val="FFFFFF" w:themeColor="background1"/>
                <w:szCs w:val="16"/>
              </w:rPr>
              <w:t>2021</w:t>
            </w:r>
          </w:p>
        </w:tc>
      </w:tr>
      <w:tr w:rsidR="00994F64" w:rsidRPr="00261B7A" w14:paraId="48C3914F" w14:textId="77777777" w:rsidTr="00501B0F">
        <w:tc>
          <w:tcPr>
            <w:tcW w:w="1948" w:type="dxa"/>
            <w:shd w:val="clear" w:color="auto" w:fill="auto"/>
          </w:tcPr>
          <w:p w14:paraId="2AB02296" w14:textId="77777777" w:rsidR="00994F64" w:rsidRPr="00261B7A" w:rsidRDefault="00994F64" w:rsidP="00501B0F">
            <w:pPr>
              <w:pStyle w:val="TableText"/>
              <w:keepNext/>
              <w:spacing w:before="40" w:after="40"/>
              <w:rPr>
                <w:rFonts w:cs="Calibri"/>
                <w:szCs w:val="16"/>
              </w:rPr>
            </w:pPr>
            <w:r w:rsidRPr="00261B7A">
              <w:rPr>
                <w:rFonts w:cs="Calibri"/>
                <w:szCs w:val="16"/>
              </w:rPr>
              <w:t>Methane (CRF 3.B.(a))</w:t>
            </w:r>
          </w:p>
        </w:tc>
        <w:tc>
          <w:tcPr>
            <w:tcW w:w="837" w:type="dxa"/>
            <w:shd w:val="clear" w:color="auto" w:fill="auto"/>
          </w:tcPr>
          <w:p w14:paraId="422BA018" w14:textId="77777777" w:rsidR="00994F64" w:rsidRPr="00261B7A" w:rsidRDefault="00994F64" w:rsidP="00501B0F">
            <w:pPr>
              <w:pStyle w:val="TableText"/>
              <w:keepNext/>
              <w:spacing w:before="40" w:after="40"/>
              <w:jc w:val="right"/>
              <w:rPr>
                <w:rFonts w:cs="Calibri"/>
                <w:szCs w:val="16"/>
              </w:rPr>
            </w:pPr>
            <w:r w:rsidRPr="00261B7A">
              <w:t>722.0</w:t>
            </w:r>
          </w:p>
        </w:tc>
        <w:tc>
          <w:tcPr>
            <w:tcW w:w="838" w:type="dxa"/>
            <w:shd w:val="clear" w:color="auto" w:fill="auto"/>
          </w:tcPr>
          <w:p w14:paraId="1EA99D20" w14:textId="77777777" w:rsidR="00994F64" w:rsidRPr="00261B7A" w:rsidRDefault="00994F64" w:rsidP="00501B0F">
            <w:pPr>
              <w:pStyle w:val="TableText"/>
              <w:keepNext/>
              <w:spacing w:before="40" w:after="40"/>
              <w:jc w:val="right"/>
              <w:rPr>
                <w:rFonts w:cs="Calibri"/>
                <w:szCs w:val="16"/>
              </w:rPr>
            </w:pPr>
            <w:r w:rsidRPr="00261B7A">
              <w:t>1,571.9</w:t>
            </w:r>
          </w:p>
        </w:tc>
        <w:tc>
          <w:tcPr>
            <w:tcW w:w="772" w:type="dxa"/>
            <w:shd w:val="clear" w:color="auto" w:fill="auto"/>
          </w:tcPr>
          <w:p w14:paraId="6BFD9762" w14:textId="77777777" w:rsidR="00994F64" w:rsidRPr="00261B7A" w:rsidRDefault="00994F64" w:rsidP="00501B0F">
            <w:pPr>
              <w:pStyle w:val="TableText"/>
              <w:keepNext/>
              <w:spacing w:before="40" w:after="40"/>
              <w:jc w:val="right"/>
              <w:rPr>
                <w:rFonts w:cs="Calibri"/>
                <w:szCs w:val="16"/>
              </w:rPr>
            </w:pPr>
            <w:r w:rsidRPr="00261B7A">
              <w:t>117.7</w:t>
            </w:r>
          </w:p>
        </w:tc>
        <w:tc>
          <w:tcPr>
            <w:tcW w:w="1039" w:type="dxa"/>
            <w:shd w:val="clear" w:color="auto" w:fill="auto"/>
          </w:tcPr>
          <w:p w14:paraId="7AA584BB" w14:textId="77777777" w:rsidR="00994F64" w:rsidRPr="00261B7A" w:rsidRDefault="00994F64" w:rsidP="00501B0F">
            <w:pPr>
              <w:pStyle w:val="TableText"/>
              <w:keepNext/>
              <w:spacing w:before="40" w:after="40"/>
              <w:jc w:val="center"/>
              <w:rPr>
                <w:rFonts w:cs="Calibri"/>
                <w:szCs w:val="16"/>
              </w:rPr>
            </w:pPr>
            <w:r w:rsidRPr="00261B7A">
              <w:t>849.9</w:t>
            </w:r>
          </w:p>
        </w:tc>
        <w:tc>
          <w:tcPr>
            <w:tcW w:w="837" w:type="dxa"/>
            <w:shd w:val="clear" w:color="auto" w:fill="auto"/>
          </w:tcPr>
          <w:p w14:paraId="3AE1FD22" w14:textId="77777777" w:rsidR="00994F64" w:rsidRPr="00261B7A" w:rsidRDefault="00994F64" w:rsidP="00501B0F">
            <w:pPr>
              <w:pStyle w:val="TableText"/>
              <w:keepNext/>
              <w:spacing w:before="40" w:after="40"/>
              <w:jc w:val="right"/>
              <w:rPr>
                <w:rFonts w:cs="Calibri"/>
                <w:szCs w:val="16"/>
              </w:rPr>
            </w:pPr>
            <w:r w:rsidRPr="00261B7A">
              <w:t>93.6</w:t>
            </w:r>
          </w:p>
        </w:tc>
        <w:tc>
          <w:tcPr>
            <w:tcW w:w="774" w:type="dxa"/>
            <w:shd w:val="clear" w:color="auto" w:fill="auto"/>
          </w:tcPr>
          <w:p w14:paraId="0AB8DD4B" w14:textId="77777777" w:rsidR="00994F64" w:rsidRPr="00261B7A" w:rsidRDefault="00994F64" w:rsidP="00501B0F">
            <w:pPr>
              <w:pStyle w:val="TableText"/>
              <w:keepNext/>
              <w:spacing w:before="40" w:after="40"/>
              <w:jc w:val="right"/>
              <w:rPr>
                <w:rFonts w:cs="Calibri"/>
                <w:szCs w:val="16"/>
              </w:rPr>
            </w:pPr>
            <w:r w:rsidRPr="00261B7A">
              <w:t>93.5</w:t>
            </w:r>
          </w:p>
        </w:tc>
        <w:tc>
          <w:tcPr>
            <w:tcW w:w="733" w:type="dxa"/>
            <w:shd w:val="clear" w:color="auto" w:fill="auto"/>
          </w:tcPr>
          <w:p w14:paraId="710E34D9" w14:textId="77777777" w:rsidR="00994F64" w:rsidRPr="00261B7A" w:rsidRDefault="00994F64" w:rsidP="00501B0F">
            <w:pPr>
              <w:pStyle w:val="TableText"/>
              <w:keepNext/>
              <w:spacing w:before="40" w:after="40"/>
              <w:jc w:val="right"/>
              <w:rPr>
                <w:rFonts w:cs="Calibri"/>
                <w:szCs w:val="16"/>
              </w:rPr>
            </w:pPr>
            <w:r w:rsidRPr="00261B7A">
              <w:t>2.2</w:t>
            </w:r>
          </w:p>
        </w:tc>
        <w:tc>
          <w:tcPr>
            <w:tcW w:w="727" w:type="dxa"/>
            <w:shd w:val="clear" w:color="auto" w:fill="auto"/>
          </w:tcPr>
          <w:p w14:paraId="490E6849" w14:textId="77777777" w:rsidR="00994F64" w:rsidRPr="00261B7A" w:rsidRDefault="00994F64" w:rsidP="00501B0F">
            <w:pPr>
              <w:pStyle w:val="TableText"/>
              <w:keepNext/>
              <w:spacing w:before="40" w:after="40"/>
              <w:jc w:val="right"/>
              <w:rPr>
                <w:rFonts w:cs="Calibri"/>
                <w:szCs w:val="16"/>
              </w:rPr>
            </w:pPr>
            <w:r w:rsidRPr="00261B7A">
              <w:t>4.2</w:t>
            </w:r>
          </w:p>
        </w:tc>
      </w:tr>
      <w:tr w:rsidR="00994F64" w:rsidRPr="00261B7A" w14:paraId="5E9BA85B" w14:textId="77777777" w:rsidTr="00501B0F">
        <w:tc>
          <w:tcPr>
            <w:tcW w:w="1948" w:type="dxa"/>
            <w:shd w:val="clear" w:color="auto" w:fill="auto"/>
          </w:tcPr>
          <w:p w14:paraId="11AA66E8" w14:textId="77777777" w:rsidR="00994F64" w:rsidRPr="00261B7A" w:rsidRDefault="00994F64" w:rsidP="00501B0F">
            <w:pPr>
              <w:pStyle w:val="TableText"/>
              <w:spacing w:before="40" w:after="40"/>
              <w:rPr>
                <w:rFonts w:cs="Calibri"/>
                <w:szCs w:val="16"/>
              </w:rPr>
            </w:pPr>
            <w:r w:rsidRPr="00261B7A">
              <w:rPr>
                <w:rFonts w:cs="Calibri"/>
                <w:szCs w:val="16"/>
              </w:rPr>
              <w:t>Nitrous oxide (</w:t>
            </w:r>
            <w:r w:rsidRPr="00261B7A">
              <w:rPr>
                <w:rFonts w:cs="Calibri"/>
                <w:spacing w:val="-2"/>
                <w:szCs w:val="16"/>
              </w:rPr>
              <w:t>CRF 3.B.(b))</w:t>
            </w:r>
          </w:p>
        </w:tc>
        <w:tc>
          <w:tcPr>
            <w:tcW w:w="837" w:type="dxa"/>
            <w:shd w:val="clear" w:color="auto" w:fill="auto"/>
          </w:tcPr>
          <w:p w14:paraId="513A98A3" w14:textId="77777777" w:rsidR="00994F64" w:rsidRPr="00261B7A" w:rsidRDefault="00994F64" w:rsidP="00501B0F">
            <w:pPr>
              <w:pStyle w:val="TableText"/>
              <w:spacing w:before="40" w:after="40"/>
              <w:jc w:val="right"/>
              <w:rPr>
                <w:rFonts w:cs="Calibri"/>
                <w:szCs w:val="16"/>
              </w:rPr>
            </w:pPr>
            <w:r w:rsidRPr="00261B7A">
              <w:t>49.7</w:t>
            </w:r>
          </w:p>
        </w:tc>
        <w:tc>
          <w:tcPr>
            <w:tcW w:w="838" w:type="dxa"/>
            <w:shd w:val="clear" w:color="auto" w:fill="auto"/>
          </w:tcPr>
          <w:p w14:paraId="4FFE948F" w14:textId="77777777" w:rsidR="00994F64" w:rsidRPr="00261B7A" w:rsidRDefault="00994F64" w:rsidP="00501B0F">
            <w:pPr>
              <w:pStyle w:val="TableText"/>
              <w:spacing w:before="40" w:after="40"/>
              <w:jc w:val="right"/>
              <w:rPr>
                <w:rFonts w:cs="Calibri"/>
                <w:szCs w:val="16"/>
              </w:rPr>
            </w:pPr>
            <w:r w:rsidRPr="00261B7A">
              <w:t>108.6</w:t>
            </w:r>
          </w:p>
        </w:tc>
        <w:tc>
          <w:tcPr>
            <w:tcW w:w="772" w:type="dxa"/>
            <w:shd w:val="clear" w:color="auto" w:fill="auto"/>
          </w:tcPr>
          <w:p w14:paraId="749608A3" w14:textId="77777777" w:rsidR="00994F64" w:rsidRPr="00261B7A" w:rsidRDefault="00994F64" w:rsidP="00501B0F">
            <w:pPr>
              <w:pStyle w:val="TableText"/>
              <w:spacing w:before="40" w:after="40"/>
              <w:jc w:val="right"/>
              <w:rPr>
                <w:rFonts w:cs="Calibri"/>
                <w:szCs w:val="16"/>
              </w:rPr>
            </w:pPr>
            <w:r w:rsidRPr="00261B7A">
              <w:t>118.4</w:t>
            </w:r>
          </w:p>
        </w:tc>
        <w:tc>
          <w:tcPr>
            <w:tcW w:w="1039" w:type="dxa"/>
            <w:shd w:val="clear" w:color="auto" w:fill="auto"/>
          </w:tcPr>
          <w:p w14:paraId="3AD65B7D" w14:textId="77777777" w:rsidR="00994F64" w:rsidRPr="00261B7A" w:rsidRDefault="00994F64" w:rsidP="00501B0F">
            <w:pPr>
              <w:pStyle w:val="TableText"/>
              <w:spacing w:before="40" w:after="40"/>
              <w:jc w:val="center"/>
              <w:rPr>
                <w:rFonts w:cs="Calibri"/>
                <w:szCs w:val="16"/>
              </w:rPr>
            </w:pPr>
            <w:r w:rsidRPr="00261B7A">
              <w:t>58.9</w:t>
            </w:r>
          </w:p>
        </w:tc>
        <w:tc>
          <w:tcPr>
            <w:tcW w:w="837" w:type="dxa"/>
            <w:shd w:val="clear" w:color="auto" w:fill="auto"/>
          </w:tcPr>
          <w:p w14:paraId="4C809111" w14:textId="77777777" w:rsidR="00994F64" w:rsidRPr="00261B7A" w:rsidRDefault="00994F64" w:rsidP="00501B0F">
            <w:pPr>
              <w:pStyle w:val="TableText"/>
              <w:spacing w:before="40" w:after="40"/>
              <w:jc w:val="right"/>
              <w:rPr>
                <w:rFonts w:cs="Calibri"/>
                <w:szCs w:val="16"/>
              </w:rPr>
            </w:pPr>
            <w:r w:rsidRPr="00261B7A">
              <w:t>6.4</w:t>
            </w:r>
          </w:p>
        </w:tc>
        <w:tc>
          <w:tcPr>
            <w:tcW w:w="774" w:type="dxa"/>
            <w:shd w:val="clear" w:color="auto" w:fill="auto"/>
          </w:tcPr>
          <w:p w14:paraId="7B4A1E07" w14:textId="77777777" w:rsidR="00994F64" w:rsidRPr="00261B7A" w:rsidRDefault="00994F64" w:rsidP="00501B0F">
            <w:pPr>
              <w:pStyle w:val="TableText"/>
              <w:spacing w:before="40" w:after="40"/>
              <w:jc w:val="right"/>
              <w:rPr>
                <w:rFonts w:cs="Calibri"/>
                <w:szCs w:val="16"/>
              </w:rPr>
            </w:pPr>
            <w:r w:rsidRPr="00261B7A">
              <w:t>6.5</w:t>
            </w:r>
          </w:p>
        </w:tc>
        <w:tc>
          <w:tcPr>
            <w:tcW w:w="733" w:type="dxa"/>
            <w:shd w:val="clear" w:color="auto" w:fill="auto"/>
          </w:tcPr>
          <w:p w14:paraId="656EDF1D" w14:textId="77777777" w:rsidR="00994F64" w:rsidRPr="00261B7A" w:rsidRDefault="00994F64" w:rsidP="00501B0F">
            <w:pPr>
              <w:pStyle w:val="TableText"/>
              <w:spacing w:before="40" w:after="40"/>
              <w:jc w:val="right"/>
              <w:rPr>
                <w:rFonts w:cs="Calibri"/>
                <w:szCs w:val="16"/>
              </w:rPr>
            </w:pPr>
            <w:r w:rsidRPr="00261B7A">
              <w:t>0.1</w:t>
            </w:r>
          </w:p>
        </w:tc>
        <w:tc>
          <w:tcPr>
            <w:tcW w:w="727" w:type="dxa"/>
            <w:shd w:val="clear" w:color="auto" w:fill="auto"/>
          </w:tcPr>
          <w:p w14:paraId="69723D04" w14:textId="77777777" w:rsidR="00994F64" w:rsidRPr="00261B7A" w:rsidRDefault="00994F64" w:rsidP="00501B0F">
            <w:pPr>
              <w:pStyle w:val="TableText"/>
              <w:spacing w:before="40" w:after="40"/>
              <w:jc w:val="right"/>
              <w:rPr>
                <w:rFonts w:cs="Calibri"/>
                <w:szCs w:val="16"/>
              </w:rPr>
            </w:pPr>
            <w:r w:rsidRPr="00261B7A">
              <w:t>0.3</w:t>
            </w:r>
          </w:p>
        </w:tc>
      </w:tr>
    </w:tbl>
    <w:p w14:paraId="14968619" w14:textId="77777777" w:rsidR="00994F64" w:rsidRPr="00261B7A" w:rsidRDefault="00994F64" w:rsidP="00994F64">
      <w:pPr>
        <w:pStyle w:val="BodyText"/>
        <w:spacing w:before="240"/>
        <w:rPr>
          <w:rFonts w:cs="Calibri"/>
        </w:rPr>
      </w:pPr>
      <w:r w:rsidRPr="00261B7A">
        <w:rPr>
          <w:rFonts w:cs="Calibri"/>
        </w:rPr>
        <w:t xml:space="preserve">Table 5.3.2 shows the distribution of livestock waste across animal waste management systems in New Zealand. The Agriculture inventory assumes all beef cattle, sheep and deer manure is deposited directly onto pasture (there are minor instances where this does not occur). A small amount of excreta from dairy cattle (7.3 per cent) is stored in anaerobic lagoon waste systems (Rollo et al., 2017). This is based on the proportion of time dairy cattle spend on pasture compared with the time they spend in the milking shed. </w:t>
      </w:r>
    </w:p>
    <w:p w14:paraId="6DA33B28" w14:textId="77777777" w:rsidR="00994F64" w:rsidRPr="00261B7A" w:rsidRDefault="00994F64" w:rsidP="00994F64">
      <w:pPr>
        <w:pStyle w:val="BodyText"/>
        <w:rPr>
          <w:rFonts w:cs="Calibri"/>
        </w:rPr>
      </w:pPr>
      <w:r w:rsidRPr="00261B7A">
        <w:rPr>
          <w:rFonts w:cs="Calibri"/>
        </w:rPr>
        <w:t xml:space="preserve">The minor livestock categories of </w:t>
      </w:r>
      <w:r w:rsidRPr="00261B7A">
        <w:rPr>
          <w:rFonts w:cs="Calibri"/>
          <w:i/>
          <w:iCs/>
        </w:rPr>
        <w:t>Goats</w:t>
      </w:r>
      <w:r w:rsidRPr="00261B7A">
        <w:rPr>
          <w:rFonts w:cs="Calibri"/>
        </w:rPr>
        <w:t xml:space="preserve">, </w:t>
      </w:r>
      <w:r w:rsidRPr="00261B7A">
        <w:rPr>
          <w:rFonts w:cs="Calibri"/>
          <w:i/>
          <w:iCs/>
        </w:rPr>
        <w:t>Horses</w:t>
      </w:r>
      <w:r w:rsidRPr="00261B7A">
        <w:rPr>
          <w:rFonts w:cs="Calibri"/>
        </w:rPr>
        <w:t xml:space="preserve">, </w:t>
      </w:r>
      <w:r w:rsidRPr="00261B7A">
        <w:rPr>
          <w:rFonts w:cs="Calibri"/>
          <w:i/>
          <w:iCs/>
        </w:rPr>
        <w:t>Mules and asses</w:t>
      </w:r>
      <w:r w:rsidRPr="00261B7A">
        <w:rPr>
          <w:rFonts w:cs="Calibri"/>
        </w:rPr>
        <w:t xml:space="preserve">, and </w:t>
      </w:r>
      <w:r w:rsidRPr="00261B7A">
        <w:rPr>
          <w:rFonts w:cs="Calibri"/>
          <w:i/>
          <w:iCs/>
        </w:rPr>
        <w:t>Llamas and alpacas</w:t>
      </w:r>
      <w:r w:rsidRPr="00261B7A">
        <w:rPr>
          <w:rFonts w:cs="Calibri"/>
        </w:rPr>
        <w:t xml:space="preserve"> are assumed to graze outdoors all year and deposit all their manure directly onto pastures. Estimates of the proportions of different waste management systems for swine and poultry in the manure management systems in New Zealand have been provided by Hill (2012) and Fick et al. (2011) respectively.</w:t>
      </w:r>
    </w:p>
    <w:p w14:paraId="2A2151B6" w14:textId="77777777" w:rsidR="00994F64" w:rsidRPr="00261B7A" w:rsidRDefault="00994F64" w:rsidP="00994F64">
      <w:pPr>
        <w:pStyle w:val="Table"/>
        <w:rPr>
          <w:rFonts w:cs="Calibri"/>
        </w:rPr>
      </w:pPr>
      <w:bookmarkStart w:id="863" w:name="_Toc32570921"/>
      <w:bookmarkStart w:id="864" w:name="_Toc36224556"/>
      <w:bookmarkStart w:id="865" w:name="_Toc68786441"/>
      <w:bookmarkStart w:id="866" w:name="_Toc95574075"/>
      <w:bookmarkStart w:id="867" w:name="_Toc127458260"/>
      <w:bookmarkStart w:id="868" w:name="_Toc131591356"/>
      <w:r w:rsidRPr="00261B7A">
        <w:rPr>
          <w:rFonts w:cs="Calibri"/>
        </w:rPr>
        <w:t>Table 5.3.2</w:t>
      </w:r>
      <w:r w:rsidRPr="00261B7A">
        <w:rPr>
          <w:rFonts w:cs="Calibri"/>
        </w:rPr>
        <w:tab/>
        <w:t>Distribution of livestock waste across animal waste management systems in New Zealand</w:t>
      </w:r>
      <w:bookmarkEnd w:id="863"/>
      <w:bookmarkEnd w:id="864"/>
      <w:bookmarkEnd w:id="865"/>
      <w:bookmarkEnd w:id="866"/>
      <w:bookmarkEnd w:id="867"/>
      <w:bookmarkEnd w:id="868"/>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1E0" w:firstRow="1" w:lastRow="1" w:firstColumn="1" w:lastColumn="1" w:noHBand="0" w:noVBand="0"/>
      </w:tblPr>
      <w:tblGrid>
        <w:gridCol w:w="1767"/>
        <w:gridCol w:w="1651"/>
        <w:gridCol w:w="1424"/>
        <w:gridCol w:w="1431"/>
        <w:gridCol w:w="1264"/>
        <w:gridCol w:w="968"/>
      </w:tblGrid>
      <w:tr w:rsidR="00994F64" w:rsidRPr="00261B7A" w14:paraId="6BB967D1" w14:textId="77777777" w:rsidTr="00501B0F">
        <w:trPr>
          <w:cantSplit/>
          <w:tblHeader/>
        </w:trPr>
        <w:tc>
          <w:tcPr>
            <w:tcW w:w="1758" w:type="dxa"/>
            <w:shd w:val="clear" w:color="auto" w:fill="1B556B"/>
            <w:vAlign w:val="bottom"/>
          </w:tcPr>
          <w:p w14:paraId="5B488769" w14:textId="77777777" w:rsidR="00994F64" w:rsidRPr="00261B7A" w:rsidRDefault="00994F64" w:rsidP="00501B0F">
            <w:pPr>
              <w:pStyle w:val="TableTextBold"/>
              <w:keepNext/>
              <w:spacing w:before="40" w:after="40"/>
              <w:rPr>
                <w:noProof w:val="0"/>
                <w:color w:val="FFFFFF" w:themeColor="background1"/>
                <w:szCs w:val="16"/>
              </w:rPr>
            </w:pPr>
            <w:r w:rsidRPr="00261B7A">
              <w:rPr>
                <w:noProof w:val="0"/>
                <w:color w:val="FFFFFF" w:themeColor="background1"/>
                <w:szCs w:val="16"/>
              </w:rPr>
              <w:t>Livestock category</w:t>
            </w:r>
          </w:p>
        </w:tc>
        <w:tc>
          <w:tcPr>
            <w:tcW w:w="1644" w:type="dxa"/>
            <w:shd w:val="clear" w:color="auto" w:fill="1B556B"/>
            <w:vAlign w:val="bottom"/>
          </w:tcPr>
          <w:p w14:paraId="087FAE40" w14:textId="77777777" w:rsidR="00994F64" w:rsidRPr="00261B7A" w:rsidRDefault="00994F64" w:rsidP="00501B0F">
            <w:pPr>
              <w:pStyle w:val="TableTextBold"/>
              <w:keepNext/>
              <w:spacing w:before="40" w:after="40"/>
              <w:jc w:val="center"/>
              <w:rPr>
                <w:noProof w:val="0"/>
                <w:color w:val="FFFFFF" w:themeColor="background1"/>
                <w:szCs w:val="16"/>
              </w:rPr>
            </w:pPr>
            <w:r w:rsidRPr="00261B7A">
              <w:rPr>
                <w:noProof w:val="0"/>
                <w:color w:val="FFFFFF" w:themeColor="background1"/>
                <w:szCs w:val="16"/>
              </w:rPr>
              <w:t>Anaerobic lagoon (%)</w:t>
            </w:r>
          </w:p>
        </w:tc>
        <w:tc>
          <w:tcPr>
            <w:tcW w:w="1418" w:type="dxa"/>
            <w:shd w:val="clear" w:color="auto" w:fill="1B556B"/>
            <w:vAlign w:val="bottom"/>
          </w:tcPr>
          <w:p w14:paraId="254C7E54" w14:textId="77777777" w:rsidR="00994F64" w:rsidRPr="00261B7A" w:rsidRDefault="00994F64" w:rsidP="00501B0F">
            <w:pPr>
              <w:pStyle w:val="TableTextBold"/>
              <w:keepNext/>
              <w:spacing w:before="40" w:after="40"/>
              <w:jc w:val="center"/>
              <w:rPr>
                <w:noProof w:val="0"/>
                <w:color w:val="FFFFFF" w:themeColor="background1"/>
                <w:szCs w:val="16"/>
              </w:rPr>
            </w:pPr>
            <w:r w:rsidRPr="00261B7A">
              <w:rPr>
                <w:noProof w:val="0"/>
                <w:color w:val="FFFFFF" w:themeColor="background1"/>
                <w:szCs w:val="16"/>
              </w:rPr>
              <w:t>Daily spread</w:t>
            </w:r>
            <w:r w:rsidRPr="00261B7A">
              <w:rPr>
                <w:rStyle w:val="FootnoteReference"/>
                <w:noProof w:val="0"/>
                <w:color w:val="FFFFFF" w:themeColor="background1"/>
                <w:sz w:val="16"/>
                <w:szCs w:val="16"/>
              </w:rPr>
              <w:footnoteReference w:id="47"/>
            </w:r>
            <w:r w:rsidRPr="00261B7A">
              <w:rPr>
                <w:noProof w:val="0"/>
                <w:color w:val="FFFFFF" w:themeColor="background1"/>
                <w:szCs w:val="16"/>
              </w:rPr>
              <w:t xml:space="preserve"> (%)</w:t>
            </w:r>
          </w:p>
        </w:tc>
        <w:tc>
          <w:tcPr>
            <w:tcW w:w="1425" w:type="dxa"/>
            <w:shd w:val="clear" w:color="auto" w:fill="1B556B"/>
            <w:vAlign w:val="bottom"/>
          </w:tcPr>
          <w:p w14:paraId="02973562" w14:textId="77777777" w:rsidR="00994F64" w:rsidRPr="00261B7A" w:rsidRDefault="00994F64" w:rsidP="00501B0F">
            <w:pPr>
              <w:pStyle w:val="TableTextBold"/>
              <w:keepNext/>
              <w:spacing w:before="40" w:after="40"/>
              <w:jc w:val="center"/>
              <w:rPr>
                <w:noProof w:val="0"/>
                <w:color w:val="FFFFFF" w:themeColor="background1"/>
                <w:szCs w:val="16"/>
              </w:rPr>
            </w:pPr>
            <w:r w:rsidRPr="00261B7A">
              <w:rPr>
                <w:noProof w:val="0"/>
                <w:color w:val="FFFFFF" w:themeColor="background1"/>
                <w:szCs w:val="16"/>
              </w:rPr>
              <w:t>Pasture, range and paddock</w:t>
            </w:r>
            <w:r w:rsidRPr="00261B7A">
              <w:rPr>
                <w:rStyle w:val="FootnoteReference"/>
                <w:noProof w:val="0"/>
                <w:color w:val="FFFFFF" w:themeColor="background1"/>
                <w:sz w:val="16"/>
                <w:szCs w:val="16"/>
              </w:rPr>
              <w:footnoteReference w:id="48"/>
            </w:r>
            <w:r w:rsidRPr="00261B7A">
              <w:rPr>
                <w:noProof w:val="0"/>
                <w:color w:val="FFFFFF" w:themeColor="background1"/>
                <w:szCs w:val="16"/>
              </w:rPr>
              <w:t xml:space="preserve"> (%)</w:t>
            </w:r>
          </w:p>
        </w:tc>
        <w:tc>
          <w:tcPr>
            <w:tcW w:w="1258" w:type="dxa"/>
            <w:shd w:val="clear" w:color="auto" w:fill="1B556B"/>
            <w:vAlign w:val="bottom"/>
          </w:tcPr>
          <w:p w14:paraId="7DE7B469" w14:textId="77777777" w:rsidR="00994F64" w:rsidRPr="00261B7A" w:rsidRDefault="00994F64" w:rsidP="00501B0F">
            <w:pPr>
              <w:pStyle w:val="TableTextBold"/>
              <w:keepNext/>
              <w:spacing w:before="40" w:after="40"/>
              <w:jc w:val="center"/>
              <w:rPr>
                <w:noProof w:val="0"/>
                <w:color w:val="FFFFFF" w:themeColor="background1"/>
                <w:szCs w:val="16"/>
              </w:rPr>
            </w:pPr>
            <w:r w:rsidRPr="00261B7A">
              <w:rPr>
                <w:noProof w:val="0"/>
                <w:color w:val="FFFFFF" w:themeColor="background1"/>
                <w:szCs w:val="16"/>
              </w:rPr>
              <w:t>Solid storage and dry lot (%)</w:t>
            </w:r>
          </w:p>
        </w:tc>
        <w:tc>
          <w:tcPr>
            <w:tcW w:w="964" w:type="dxa"/>
            <w:shd w:val="clear" w:color="auto" w:fill="1B556B"/>
            <w:vAlign w:val="bottom"/>
          </w:tcPr>
          <w:p w14:paraId="3D0108BF" w14:textId="77777777" w:rsidR="00994F64" w:rsidRPr="00261B7A" w:rsidRDefault="00994F64" w:rsidP="00501B0F">
            <w:pPr>
              <w:pStyle w:val="TableTextBold"/>
              <w:keepNext/>
              <w:spacing w:before="40" w:after="40"/>
              <w:jc w:val="center"/>
              <w:rPr>
                <w:noProof w:val="0"/>
                <w:color w:val="FFFFFF" w:themeColor="background1"/>
                <w:szCs w:val="16"/>
              </w:rPr>
            </w:pPr>
            <w:r w:rsidRPr="00261B7A">
              <w:rPr>
                <w:noProof w:val="0"/>
                <w:color w:val="FFFFFF" w:themeColor="background1"/>
                <w:szCs w:val="16"/>
              </w:rPr>
              <w:t>Other (%)</w:t>
            </w:r>
          </w:p>
        </w:tc>
      </w:tr>
      <w:tr w:rsidR="00994F64" w:rsidRPr="00261B7A" w14:paraId="2A560FD3" w14:textId="77777777" w:rsidTr="00501B0F">
        <w:trPr>
          <w:cantSplit/>
        </w:trPr>
        <w:tc>
          <w:tcPr>
            <w:tcW w:w="1758" w:type="dxa"/>
            <w:vAlign w:val="bottom"/>
          </w:tcPr>
          <w:p w14:paraId="42D0B45D" w14:textId="77777777" w:rsidR="00994F64" w:rsidRPr="00261B7A" w:rsidRDefault="00994F64" w:rsidP="00501B0F">
            <w:pPr>
              <w:pStyle w:val="TableText"/>
              <w:spacing w:before="40" w:after="40"/>
              <w:rPr>
                <w:rFonts w:cs="Calibri"/>
                <w:szCs w:val="16"/>
              </w:rPr>
            </w:pPr>
            <w:r w:rsidRPr="00261B7A">
              <w:rPr>
                <w:rFonts w:cs="Calibri"/>
                <w:szCs w:val="16"/>
              </w:rPr>
              <w:t>Dairy cattle</w:t>
            </w:r>
            <w:r w:rsidRPr="00261B7A">
              <w:rPr>
                <w:rStyle w:val="FootnoteReference"/>
                <w:rFonts w:cs="Calibri"/>
                <w:szCs w:val="16"/>
              </w:rPr>
              <w:footnoteReference w:id="49"/>
            </w:r>
          </w:p>
        </w:tc>
        <w:tc>
          <w:tcPr>
            <w:tcW w:w="1644" w:type="dxa"/>
            <w:vAlign w:val="center"/>
          </w:tcPr>
          <w:p w14:paraId="5BA41BF1" w14:textId="77777777" w:rsidR="00994F64" w:rsidRPr="00261B7A" w:rsidRDefault="00994F64" w:rsidP="00501B0F">
            <w:pPr>
              <w:pStyle w:val="TableText"/>
              <w:spacing w:before="40" w:after="40"/>
              <w:jc w:val="center"/>
              <w:rPr>
                <w:rFonts w:cs="Calibri"/>
                <w:szCs w:val="16"/>
              </w:rPr>
            </w:pPr>
            <w:r w:rsidRPr="00261B7A">
              <w:rPr>
                <w:rFonts w:cs="Calibri"/>
                <w:szCs w:val="16"/>
              </w:rPr>
              <w:t>7.5</w:t>
            </w:r>
          </w:p>
        </w:tc>
        <w:tc>
          <w:tcPr>
            <w:tcW w:w="1418" w:type="dxa"/>
            <w:vAlign w:val="center"/>
          </w:tcPr>
          <w:p w14:paraId="41D0C351"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25" w:type="dxa"/>
            <w:vAlign w:val="center"/>
          </w:tcPr>
          <w:p w14:paraId="00E1E14E" w14:textId="77777777" w:rsidR="00994F64" w:rsidRPr="00261B7A" w:rsidRDefault="00994F64" w:rsidP="00501B0F">
            <w:pPr>
              <w:pStyle w:val="TableText"/>
              <w:spacing w:before="40" w:after="40"/>
              <w:jc w:val="center"/>
              <w:rPr>
                <w:rFonts w:cs="Calibri"/>
                <w:szCs w:val="16"/>
              </w:rPr>
            </w:pPr>
            <w:r w:rsidRPr="00261B7A">
              <w:rPr>
                <w:rFonts w:cs="Calibri"/>
                <w:szCs w:val="16"/>
              </w:rPr>
              <w:t>92.5</w:t>
            </w:r>
          </w:p>
        </w:tc>
        <w:tc>
          <w:tcPr>
            <w:tcW w:w="1258" w:type="dxa"/>
            <w:vAlign w:val="center"/>
          </w:tcPr>
          <w:p w14:paraId="748D2FDF"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964" w:type="dxa"/>
            <w:vAlign w:val="center"/>
          </w:tcPr>
          <w:p w14:paraId="6772633D"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r>
      <w:tr w:rsidR="00994F64" w:rsidRPr="00261B7A" w14:paraId="518418F3" w14:textId="77777777" w:rsidTr="00501B0F">
        <w:trPr>
          <w:cantSplit/>
        </w:trPr>
        <w:tc>
          <w:tcPr>
            <w:tcW w:w="1758" w:type="dxa"/>
            <w:vAlign w:val="bottom"/>
          </w:tcPr>
          <w:p w14:paraId="42A9E460" w14:textId="77777777" w:rsidR="00994F64" w:rsidRPr="00261B7A" w:rsidRDefault="00994F64" w:rsidP="00501B0F">
            <w:pPr>
              <w:pStyle w:val="TableText"/>
              <w:spacing w:before="40" w:after="40"/>
              <w:rPr>
                <w:rFonts w:cs="Calibri"/>
                <w:szCs w:val="16"/>
              </w:rPr>
            </w:pPr>
            <w:r w:rsidRPr="00261B7A">
              <w:rPr>
                <w:rFonts w:cs="Calibri"/>
                <w:szCs w:val="16"/>
              </w:rPr>
              <w:t xml:space="preserve">Non-dairy </w:t>
            </w:r>
            <w:r w:rsidRPr="00261B7A">
              <w:rPr>
                <w:rFonts w:cs="Calibri"/>
                <w:i/>
                <w:iCs/>
                <w:szCs w:val="16"/>
              </w:rPr>
              <w:t>(beef)</w:t>
            </w:r>
            <w:r w:rsidRPr="00261B7A">
              <w:rPr>
                <w:rFonts w:cs="Calibri"/>
                <w:szCs w:val="16"/>
              </w:rPr>
              <w:t xml:space="preserve"> cattle</w:t>
            </w:r>
          </w:p>
        </w:tc>
        <w:tc>
          <w:tcPr>
            <w:tcW w:w="1644" w:type="dxa"/>
            <w:vAlign w:val="center"/>
          </w:tcPr>
          <w:p w14:paraId="0AAAFEBC"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18" w:type="dxa"/>
            <w:vAlign w:val="center"/>
          </w:tcPr>
          <w:p w14:paraId="5CFB2D30"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25" w:type="dxa"/>
            <w:vAlign w:val="center"/>
          </w:tcPr>
          <w:p w14:paraId="2B0181CD" w14:textId="77777777" w:rsidR="00994F64" w:rsidRPr="00261B7A" w:rsidRDefault="00994F64" w:rsidP="00501B0F">
            <w:pPr>
              <w:pStyle w:val="TableText"/>
              <w:spacing w:before="40" w:after="40"/>
              <w:jc w:val="center"/>
              <w:rPr>
                <w:rFonts w:cs="Calibri"/>
                <w:szCs w:val="16"/>
              </w:rPr>
            </w:pPr>
            <w:r w:rsidRPr="00261B7A">
              <w:rPr>
                <w:rFonts w:cs="Calibri"/>
                <w:szCs w:val="16"/>
              </w:rPr>
              <w:t>100.0</w:t>
            </w:r>
          </w:p>
        </w:tc>
        <w:tc>
          <w:tcPr>
            <w:tcW w:w="1258" w:type="dxa"/>
            <w:vAlign w:val="center"/>
          </w:tcPr>
          <w:p w14:paraId="73DD5682"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964" w:type="dxa"/>
            <w:vAlign w:val="center"/>
          </w:tcPr>
          <w:p w14:paraId="0D4CAC8B"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r>
      <w:tr w:rsidR="00994F64" w:rsidRPr="00261B7A" w14:paraId="3DA37A4D" w14:textId="77777777" w:rsidTr="00501B0F">
        <w:trPr>
          <w:cantSplit/>
        </w:trPr>
        <w:tc>
          <w:tcPr>
            <w:tcW w:w="1758" w:type="dxa"/>
            <w:vAlign w:val="bottom"/>
          </w:tcPr>
          <w:p w14:paraId="53BE14EB" w14:textId="77777777" w:rsidR="00994F64" w:rsidRPr="00261B7A" w:rsidRDefault="00994F64" w:rsidP="00501B0F">
            <w:pPr>
              <w:pStyle w:val="TableText"/>
              <w:spacing w:before="40" w:after="40"/>
              <w:rPr>
                <w:rFonts w:cs="Calibri"/>
                <w:szCs w:val="16"/>
              </w:rPr>
            </w:pPr>
            <w:r w:rsidRPr="00261B7A">
              <w:rPr>
                <w:rFonts w:cs="Calibri"/>
                <w:szCs w:val="16"/>
              </w:rPr>
              <w:t>Sheep</w:t>
            </w:r>
          </w:p>
        </w:tc>
        <w:tc>
          <w:tcPr>
            <w:tcW w:w="1644" w:type="dxa"/>
            <w:vAlign w:val="center"/>
          </w:tcPr>
          <w:p w14:paraId="3E3551C4"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18" w:type="dxa"/>
            <w:vAlign w:val="center"/>
          </w:tcPr>
          <w:p w14:paraId="1E8E903E"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25" w:type="dxa"/>
            <w:vAlign w:val="center"/>
          </w:tcPr>
          <w:p w14:paraId="5E404B4D" w14:textId="77777777" w:rsidR="00994F64" w:rsidRPr="00261B7A" w:rsidRDefault="00994F64" w:rsidP="00501B0F">
            <w:pPr>
              <w:pStyle w:val="TableText"/>
              <w:spacing w:before="40" w:after="40"/>
              <w:jc w:val="center"/>
              <w:rPr>
                <w:rFonts w:cs="Calibri"/>
                <w:szCs w:val="16"/>
              </w:rPr>
            </w:pPr>
            <w:r w:rsidRPr="00261B7A">
              <w:rPr>
                <w:rFonts w:cs="Calibri"/>
                <w:szCs w:val="16"/>
              </w:rPr>
              <w:t>100.0</w:t>
            </w:r>
          </w:p>
        </w:tc>
        <w:tc>
          <w:tcPr>
            <w:tcW w:w="1258" w:type="dxa"/>
            <w:vAlign w:val="center"/>
          </w:tcPr>
          <w:p w14:paraId="6395AC53"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964" w:type="dxa"/>
            <w:vAlign w:val="center"/>
          </w:tcPr>
          <w:p w14:paraId="0000E6D0"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r>
      <w:tr w:rsidR="00994F64" w:rsidRPr="00261B7A" w14:paraId="6554DB66" w14:textId="77777777" w:rsidTr="00501B0F">
        <w:trPr>
          <w:cantSplit/>
        </w:trPr>
        <w:tc>
          <w:tcPr>
            <w:tcW w:w="1758" w:type="dxa"/>
            <w:vAlign w:val="bottom"/>
          </w:tcPr>
          <w:p w14:paraId="4397B36A" w14:textId="77777777" w:rsidR="00994F64" w:rsidRPr="00261B7A" w:rsidRDefault="00994F64" w:rsidP="00501B0F">
            <w:pPr>
              <w:pStyle w:val="TableText"/>
              <w:spacing w:before="40" w:after="40"/>
              <w:rPr>
                <w:rFonts w:cs="Calibri"/>
                <w:szCs w:val="16"/>
              </w:rPr>
            </w:pPr>
            <w:r w:rsidRPr="00261B7A">
              <w:rPr>
                <w:rFonts w:cs="Calibri"/>
                <w:szCs w:val="16"/>
              </w:rPr>
              <w:t>Deer</w:t>
            </w:r>
          </w:p>
        </w:tc>
        <w:tc>
          <w:tcPr>
            <w:tcW w:w="1644" w:type="dxa"/>
            <w:vAlign w:val="center"/>
          </w:tcPr>
          <w:p w14:paraId="2DCAD029"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18" w:type="dxa"/>
            <w:vAlign w:val="center"/>
          </w:tcPr>
          <w:p w14:paraId="58A088E3"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25" w:type="dxa"/>
            <w:vAlign w:val="center"/>
          </w:tcPr>
          <w:p w14:paraId="21B05E0F" w14:textId="77777777" w:rsidR="00994F64" w:rsidRPr="00261B7A" w:rsidRDefault="00994F64" w:rsidP="00501B0F">
            <w:pPr>
              <w:pStyle w:val="TableText"/>
              <w:spacing w:before="40" w:after="40"/>
              <w:jc w:val="center"/>
              <w:rPr>
                <w:rFonts w:cs="Calibri"/>
                <w:szCs w:val="16"/>
              </w:rPr>
            </w:pPr>
            <w:r w:rsidRPr="00261B7A">
              <w:rPr>
                <w:rFonts w:cs="Calibri"/>
                <w:szCs w:val="16"/>
              </w:rPr>
              <w:t>100.0</w:t>
            </w:r>
          </w:p>
        </w:tc>
        <w:tc>
          <w:tcPr>
            <w:tcW w:w="1258" w:type="dxa"/>
            <w:vAlign w:val="center"/>
          </w:tcPr>
          <w:p w14:paraId="06152704"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964" w:type="dxa"/>
            <w:vAlign w:val="center"/>
          </w:tcPr>
          <w:p w14:paraId="74867574"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r>
      <w:tr w:rsidR="00994F64" w:rsidRPr="00261B7A" w14:paraId="06A621EF" w14:textId="77777777" w:rsidTr="00501B0F">
        <w:trPr>
          <w:cantSplit/>
        </w:trPr>
        <w:tc>
          <w:tcPr>
            <w:tcW w:w="1758" w:type="dxa"/>
            <w:vAlign w:val="bottom"/>
          </w:tcPr>
          <w:p w14:paraId="0371C66E" w14:textId="77777777" w:rsidR="00994F64" w:rsidRPr="00261B7A" w:rsidRDefault="00994F64" w:rsidP="00501B0F">
            <w:pPr>
              <w:pStyle w:val="TableText"/>
              <w:spacing w:before="40" w:after="40"/>
              <w:rPr>
                <w:rFonts w:cs="Calibri"/>
                <w:szCs w:val="16"/>
              </w:rPr>
            </w:pPr>
            <w:r w:rsidRPr="00261B7A">
              <w:rPr>
                <w:rFonts w:cs="Calibri"/>
                <w:szCs w:val="16"/>
              </w:rPr>
              <w:t>Goats</w:t>
            </w:r>
          </w:p>
        </w:tc>
        <w:tc>
          <w:tcPr>
            <w:tcW w:w="1644" w:type="dxa"/>
            <w:vAlign w:val="center"/>
          </w:tcPr>
          <w:p w14:paraId="3ED60C6E"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18" w:type="dxa"/>
            <w:vAlign w:val="center"/>
          </w:tcPr>
          <w:p w14:paraId="34A7A0B8"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25" w:type="dxa"/>
            <w:vAlign w:val="center"/>
          </w:tcPr>
          <w:p w14:paraId="1DCD74A2" w14:textId="77777777" w:rsidR="00994F64" w:rsidRPr="00261B7A" w:rsidRDefault="00994F64" w:rsidP="00501B0F">
            <w:pPr>
              <w:pStyle w:val="TableText"/>
              <w:spacing w:before="40" w:after="40"/>
              <w:jc w:val="center"/>
              <w:rPr>
                <w:rFonts w:cs="Calibri"/>
                <w:szCs w:val="16"/>
              </w:rPr>
            </w:pPr>
            <w:r w:rsidRPr="00261B7A">
              <w:rPr>
                <w:rFonts w:cs="Calibri"/>
                <w:szCs w:val="16"/>
              </w:rPr>
              <w:t>100.0</w:t>
            </w:r>
          </w:p>
        </w:tc>
        <w:tc>
          <w:tcPr>
            <w:tcW w:w="1258" w:type="dxa"/>
            <w:vAlign w:val="center"/>
          </w:tcPr>
          <w:p w14:paraId="6E0030C2"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964" w:type="dxa"/>
            <w:vAlign w:val="center"/>
          </w:tcPr>
          <w:p w14:paraId="185B6E60"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r>
      <w:tr w:rsidR="00994F64" w:rsidRPr="00261B7A" w14:paraId="2C074063" w14:textId="77777777" w:rsidTr="00501B0F">
        <w:trPr>
          <w:cantSplit/>
        </w:trPr>
        <w:tc>
          <w:tcPr>
            <w:tcW w:w="1758" w:type="dxa"/>
            <w:vAlign w:val="bottom"/>
          </w:tcPr>
          <w:p w14:paraId="2E70851F" w14:textId="77777777" w:rsidR="00994F64" w:rsidRPr="00261B7A" w:rsidRDefault="00994F64" w:rsidP="00501B0F">
            <w:pPr>
              <w:pStyle w:val="TableText"/>
              <w:spacing w:before="40" w:after="40"/>
              <w:rPr>
                <w:rFonts w:cs="Calibri"/>
                <w:szCs w:val="16"/>
              </w:rPr>
            </w:pPr>
            <w:r w:rsidRPr="00261B7A">
              <w:rPr>
                <w:rFonts w:cs="Calibri"/>
                <w:szCs w:val="16"/>
              </w:rPr>
              <w:t>Horses</w:t>
            </w:r>
          </w:p>
        </w:tc>
        <w:tc>
          <w:tcPr>
            <w:tcW w:w="1644" w:type="dxa"/>
            <w:vAlign w:val="center"/>
          </w:tcPr>
          <w:p w14:paraId="2DAFD20D"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18" w:type="dxa"/>
            <w:vAlign w:val="center"/>
          </w:tcPr>
          <w:p w14:paraId="4D1A03C1"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25" w:type="dxa"/>
            <w:vAlign w:val="center"/>
          </w:tcPr>
          <w:p w14:paraId="7A0EE471" w14:textId="77777777" w:rsidR="00994F64" w:rsidRPr="00261B7A" w:rsidRDefault="00994F64" w:rsidP="00501B0F">
            <w:pPr>
              <w:pStyle w:val="TableText"/>
              <w:spacing w:before="40" w:after="40"/>
              <w:jc w:val="center"/>
              <w:rPr>
                <w:rFonts w:cs="Calibri"/>
                <w:szCs w:val="16"/>
              </w:rPr>
            </w:pPr>
            <w:r w:rsidRPr="00261B7A">
              <w:rPr>
                <w:rFonts w:cs="Calibri"/>
                <w:szCs w:val="16"/>
              </w:rPr>
              <w:t>100.0</w:t>
            </w:r>
          </w:p>
        </w:tc>
        <w:tc>
          <w:tcPr>
            <w:tcW w:w="1258" w:type="dxa"/>
            <w:vAlign w:val="center"/>
          </w:tcPr>
          <w:p w14:paraId="285EC162"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964" w:type="dxa"/>
            <w:vAlign w:val="center"/>
          </w:tcPr>
          <w:p w14:paraId="562D89AB"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r>
      <w:tr w:rsidR="00994F64" w:rsidRPr="00261B7A" w14:paraId="26201720" w14:textId="77777777" w:rsidTr="00501B0F">
        <w:trPr>
          <w:cantSplit/>
        </w:trPr>
        <w:tc>
          <w:tcPr>
            <w:tcW w:w="1758" w:type="dxa"/>
            <w:vAlign w:val="bottom"/>
          </w:tcPr>
          <w:p w14:paraId="2D3DD295" w14:textId="77777777" w:rsidR="00994F64" w:rsidRPr="00261B7A" w:rsidRDefault="00994F64" w:rsidP="00501B0F">
            <w:pPr>
              <w:pStyle w:val="TableText"/>
              <w:spacing w:before="40" w:after="40"/>
              <w:rPr>
                <w:rFonts w:cs="Calibri"/>
                <w:szCs w:val="16"/>
              </w:rPr>
            </w:pPr>
            <w:r w:rsidRPr="00261B7A">
              <w:rPr>
                <w:rFonts w:cs="Calibri"/>
                <w:szCs w:val="16"/>
              </w:rPr>
              <w:t>Swine</w:t>
            </w:r>
            <w:r w:rsidRPr="00261B7A">
              <w:rPr>
                <w:rStyle w:val="FootnoteReference"/>
                <w:rFonts w:cs="Calibri"/>
                <w:szCs w:val="16"/>
              </w:rPr>
              <w:footnoteReference w:id="50"/>
            </w:r>
          </w:p>
        </w:tc>
        <w:tc>
          <w:tcPr>
            <w:tcW w:w="1644" w:type="dxa"/>
            <w:vAlign w:val="center"/>
          </w:tcPr>
          <w:p w14:paraId="37C475F2" w14:textId="77777777" w:rsidR="00994F64" w:rsidRPr="00261B7A" w:rsidRDefault="00994F64" w:rsidP="00501B0F">
            <w:pPr>
              <w:pStyle w:val="TableText"/>
              <w:spacing w:before="40" w:after="40"/>
              <w:jc w:val="center"/>
              <w:rPr>
                <w:rFonts w:cs="Calibri"/>
                <w:szCs w:val="16"/>
              </w:rPr>
            </w:pPr>
            <w:r w:rsidRPr="00261B7A">
              <w:rPr>
                <w:rFonts w:cs="Calibri"/>
                <w:szCs w:val="16"/>
              </w:rPr>
              <w:t>20.5</w:t>
            </w:r>
          </w:p>
        </w:tc>
        <w:tc>
          <w:tcPr>
            <w:tcW w:w="1418" w:type="dxa"/>
            <w:vAlign w:val="center"/>
          </w:tcPr>
          <w:p w14:paraId="06ED9A43" w14:textId="77777777" w:rsidR="00994F64" w:rsidRPr="00261B7A" w:rsidRDefault="00994F64" w:rsidP="00501B0F">
            <w:pPr>
              <w:pStyle w:val="TableText"/>
              <w:spacing w:before="40" w:after="40"/>
              <w:jc w:val="center"/>
              <w:rPr>
                <w:rFonts w:cs="Calibri"/>
                <w:szCs w:val="16"/>
              </w:rPr>
            </w:pPr>
            <w:r w:rsidRPr="00261B7A">
              <w:rPr>
                <w:rFonts w:cs="Calibri"/>
                <w:szCs w:val="16"/>
              </w:rPr>
              <w:t>25.7</w:t>
            </w:r>
          </w:p>
        </w:tc>
        <w:tc>
          <w:tcPr>
            <w:tcW w:w="1425" w:type="dxa"/>
            <w:vAlign w:val="center"/>
          </w:tcPr>
          <w:p w14:paraId="6443AB8B" w14:textId="77777777" w:rsidR="00994F64" w:rsidRPr="00261B7A" w:rsidRDefault="00994F64" w:rsidP="00501B0F">
            <w:pPr>
              <w:pStyle w:val="TableText"/>
              <w:spacing w:before="40" w:after="40"/>
              <w:jc w:val="center"/>
              <w:rPr>
                <w:highlight w:val="yellow"/>
              </w:rPr>
            </w:pPr>
            <w:r w:rsidRPr="00261B7A">
              <w:rPr>
                <w:rFonts w:cs="Calibri"/>
                <w:szCs w:val="16"/>
              </w:rPr>
              <w:t>8.9</w:t>
            </w:r>
          </w:p>
        </w:tc>
        <w:tc>
          <w:tcPr>
            <w:tcW w:w="1258" w:type="dxa"/>
            <w:vAlign w:val="center"/>
          </w:tcPr>
          <w:p w14:paraId="1318DDF9" w14:textId="77777777" w:rsidR="00994F64" w:rsidRPr="00261B7A" w:rsidRDefault="00994F64" w:rsidP="00501B0F">
            <w:pPr>
              <w:pStyle w:val="TableText"/>
              <w:spacing w:before="40" w:after="40"/>
              <w:jc w:val="center"/>
              <w:rPr>
                <w:rFonts w:cs="Calibri"/>
                <w:szCs w:val="16"/>
              </w:rPr>
            </w:pPr>
            <w:r w:rsidRPr="00261B7A">
              <w:rPr>
                <w:rFonts w:cs="Calibri"/>
                <w:szCs w:val="16"/>
              </w:rPr>
              <w:t>42.5</w:t>
            </w:r>
          </w:p>
        </w:tc>
        <w:tc>
          <w:tcPr>
            <w:tcW w:w="964" w:type="dxa"/>
            <w:vAlign w:val="center"/>
          </w:tcPr>
          <w:p w14:paraId="3C085134" w14:textId="77777777" w:rsidR="00994F64" w:rsidRPr="00261B7A" w:rsidRDefault="00994F64" w:rsidP="00501B0F">
            <w:pPr>
              <w:pStyle w:val="TableText"/>
              <w:spacing w:before="40" w:after="40"/>
              <w:jc w:val="center"/>
              <w:rPr>
                <w:rFonts w:cs="Calibri"/>
                <w:szCs w:val="16"/>
              </w:rPr>
            </w:pPr>
            <w:r w:rsidRPr="00261B7A">
              <w:rPr>
                <w:rFonts w:cs="Calibri"/>
                <w:szCs w:val="16"/>
              </w:rPr>
              <w:t>2.4</w:t>
            </w:r>
          </w:p>
        </w:tc>
      </w:tr>
      <w:tr w:rsidR="00994F64" w:rsidRPr="00261B7A" w14:paraId="3B39631A" w14:textId="77777777" w:rsidTr="00501B0F">
        <w:trPr>
          <w:cantSplit/>
        </w:trPr>
        <w:tc>
          <w:tcPr>
            <w:tcW w:w="1758" w:type="dxa"/>
            <w:vAlign w:val="bottom"/>
          </w:tcPr>
          <w:p w14:paraId="3823FB4B" w14:textId="77777777" w:rsidR="00994F64" w:rsidRPr="00261B7A" w:rsidRDefault="00994F64" w:rsidP="00501B0F">
            <w:pPr>
              <w:pStyle w:val="TableText"/>
              <w:spacing w:before="40" w:after="40"/>
              <w:rPr>
                <w:rFonts w:cs="Calibri"/>
                <w:szCs w:val="16"/>
              </w:rPr>
            </w:pPr>
            <w:r w:rsidRPr="00261B7A">
              <w:rPr>
                <w:rFonts w:cs="Calibri"/>
                <w:szCs w:val="16"/>
              </w:rPr>
              <w:t>Poultry – broilers</w:t>
            </w:r>
            <w:r w:rsidRPr="00261B7A">
              <w:rPr>
                <w:rStyle w:val="FootnoteReference"/>
                <w:rFonts w:cs="Calibri"/>
                <w:szCs w:val="16"/>
              </w:rPr>
              <w:footnoteReference w:id="51"/>
            </w:r>
          </w:p>
        </w:tc>
        <w:tc>
          <w:tcPr>
            <w:tcW w:w="1644" w:type="dxa"/>
            <w:vAlign w:val="center"/>
          </w:tcPr>
          <w:p w14:paraId="576C4FD3"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18" w:type="dxa"/>
            <w:vAlign w:val="center"/>
          </w:tcPr>
          <w:p w14:paraId="713F3AD9"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25" w:type="dxa"/>
            <w:vAlign w:val="center"/>
          </w:tcPr>
          <w:p w14:paraId="21C197F0" w14:textId="77777777" w:rsidR="00994F64" w:rsidRPr="00261B7A" w:rsidRDefault="00994F64" w:rsidP="00501B0F">
            <w:pPr>
              <w:pStyle w:val="TableText"/>
              <w:spacing w:before="40" w:after="40"/>
              <w:jc w:val="center"/>
              <w:rPr>
                <w:rFonts w:cs="Calibri"/>
                <w:szCs w:val="16"/>
              </w:rPr>
            </w:pPr>
            <w:r w:rsidRPr="00261B7A">
              <w:rPr>
                <w:rFonts w:cs="Calibri"/>
                <w:szCs w:val="16"/>
              </w:rPr>
              <w:t>4.9</w:t>
            </w:r>
          </w:p>
        </w:tc>
        <w:tc>
          <w:tcPr>
            <w:tcW w:w="1258" w:type="dxa"/>
            <w:vAlign w:val="center"/>
          </w:tcPr>
          <w:p w14:paraId="1AEE8478"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964" w:type="dxa"/>
            <w:vAlign w:val="center"/>
          </w:tcPr>
          <w:p w14:paraId="4B5C9E80" w14:textId="77777777" w:rsidR="00994F64" w:rsidRPr="00261B7A" w:rsidRDefault="00994F64" w:rsidP="00501B0F">
            <w:pPr>
              <w:pStyle w:val="TableText"/>
              <w:spacing w:before="40" w:after="40"/>
              <w:jc w:val="center"/>
              <w:rPr>
                <w:rFonts w:cs="Calibri"/>
                <w:szCs w:val="16"/>
              </w:rPr>
            </w:pPr>
            <w:r w:rsidRPr="00261B7A">
              <w:rPr>
                <w:rFonts w:cs="Calibri"/>
                <w:szCs w:val="16"/>
              </w:rPr>
              <w:t>95.1</w:t>
            </w:r>
          </w:p>
        </w:tc>
      </w:tr>
      <w:tr w:rsidR="00994F64" w:rsidRPr="00261B7A" w14:paraId="7C4A2AF7" w14:textId="77777777" w:rsidTr="00501B0F">
        <w:trPr>
          <w:cantSplit/>
        </w:trPr>
        <w:tc>
          <w:tcPr>
            <w:tcW w:w="1758" w:type="dxa"/>
            <w:vAlign w:val="bottom"/>
          </w:tcPr>
          <w:p w14:paraId="239BA4AE" w14:textId="77777777" w:rsidR="00994F64" w:rsidRPr="00261B7A" w:rsidRDefault="00994F64" w:rsidP="00501B0F">
            <w:pPr>
              <w:pStyle w:val="TableText"/>
              <w:spacing w:before="40" w:after="40"/>
              <w:rPr>
                <w:rFonts w:cs="Calibri"/>
                <w:szCs w:val="16"/>
                <w:vertAlign w:val="superscript"/>
              </w:rPr>
            </w:pPr>
            <w:r w:rsidRPr="00261B7A">
              <w:rPr>
                <w:rFonts w:cs="Calibri"/>
                <w:szCs w:val="16"/>
              </w:rPr>
              <w:t>Poultry – layers</w:t>
            </w:r>
            <w:r w:rsidRPr="00261B7A">
              <w:rPr>
                <w:rStyle w:val="FootnoteReference"/>
                <w:rFonts w:cs="Calibri"/>
                <w:szCs w:val="16"/>
              </w:rPr>
              <w:footnoteReference w:id="52"/>
            </w:r>
          </w:p>
        </w:tc>
        <w:tc>
          <w:tcPr>
            <w:tcW w:w="1644" w:type="dxa"/>
            <w:vAlign w:val="center"/>
          </w:tcPr>
          <w:p w14:paraId="25095E96"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18" w:type="dxa"/>
            <w:vAlign w:val="center"/>
          </w:tcPr>
          <w:p w14:paraId="737E5CE2" w14:textId="77777777" w:rsidR="00994F64" w:rsidRPr="00261B7A" w:rsidDel="00063FE1" w:rsidRDefault="00994F64" w:rsidP="00501B0F">
            <w:pPr>
              <w:pStyle w:val="TableText"/>
              <w:spacing w:before="40" w:after="40"/>
              <w:jc w:val="center"/>
              <w:rPr>
                <w:rFonts w:cs="Calibri"/>
                <w:szCs w:val="16"/>
              </w:rPr>
            </w:pPr>
            <w:r w:rsidRPr="00261B7A">
              <w:rPr>
                <w:rFonts w:cs="Calibri"/>
                <w:szCs w:val="16"/>
              </w:rPr>
              <w:t>–</w:t>
            </w:r>
          </w:p>
        </w:tc>
        <w:tc>
          <w:tcPr>
            <w:tcW w:w="1425" w:type="dxa"/>
            <w:vAlign w:val="center"/>
          </w:tcPr>
          <w:p w14:paraId="51BE3360" w14:textId="77777777" w:rsidR="00994F64" w:rsidRPr="00261B7A" w:rsidRDefault="00994F64" w:rsidP="00501B0F">
            <w:pPr>
              <w:pStyle w:val="TableText"/>
              <w:spacing w:before="40" w:after="40"/>
              <w:jc w:val="center"/>
              <w:rPr>
                <w:rFonts w:cs="Calibri"/>
                <w:szCs w:val="16"/>
              </w:rPr>
            </w:pPr>
            <w:r w:rsidRPr="00261B7A">
              <w:rPr>
                <w:rFonts w:cs="Calibri"/>
                <w:szCs w:val="16"/>
              </w:rPr>
              <w:t>5.8</w:t>
            </w:r>
          </w:p>
        </w:tc>
        <w:tc>
          <w:tcPr>
            <w:tcW w:w="1258" w:type="dxa"/>
            <w:vAlign w:val="center"/>
          </w:tcPr>
          <w:p w14:paraId="08C5CBA9"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964" w:type="dxa"/>
            <w:vAlign w:val="center"/>
          </w:tcPr>
          <w:p w14:paraId="2722C772" w14:textId="77777777" w:rsidR="00994F64" w:rsidRPr="00261B7A" w:rsidRDefault="00994F64" w:rsidP="00501B0F">
            <w:pPr>
              <w:pStyle w:val="TableText"/>
              <w:spacing w:before="40" w:after="40"/>
              <w:jc w:val="center"/>
              <w:rPr>
                <w:rFonts w:cs="Calibri"/>
                <w:szCs w:val="16"/>
              </w:rPr>
            </w:pPr>
            <w:r w:rsidRPr="00261B7A">
              <w:rPr>
                <w:rFonts w:cs="Calibri"/>
                <w:szCs w:val="16"/>
              </w:rPr>
              <w:t>94.2</w:t>
            </w:r>
          </w:p>
        </w:tc>
      </w:tr>
      <w:tr w:rsidR="00994F64" w:rsidRPr="00261B7A" w14:paraId="3DCFBD3D" w14:textId="77777777" w:rsidTr="00501B0F">
        <w:trPr>
          <w:cantSplit/>
        </w:trPr>
        <w:tc>
          <w:tcPr>
            <w:tcW w:w="1758" w:type="dxa"/>
            <w:vAlign w:val="bottom"/>
          </w:tcPr>
          <w:p w14:paraId="445F3BAB" w14:textId="77777777" w:rsidR="00994F64" w:rsidRPr="00261B7A" w:rsidRDefault="00994F64" w:rsidP="00501B0F">
            <w:pPr>
              <w:pStyle w:val="TableText"/>
              <w:spacing w:before="40" w:after="40"/>
              <w:rPr>
                <w:rFonts w:cs="Calibri"/>
                <w:szCs w:val="16"/>
              </w:rPr>
            </w:pPr>
            <w:r w:rsidRPr="00261B7A">
              <w:rPr>
                <w:rFonts w:cs="Calibri"/>
                <w:szCs w:val="16"/>
              </w:rPr>
              <w:t>Poultry – other</w:t>
            </w:r>
            <w:r w:rsidRPr="00261B7A">
              <w:rPr>
                <w:rStyle w:val="FootnoteReference"/>
                <w:rFonts w:cs="Calibri"/>
                <w:szCs w:val="16"/>
              </w:rPr>
              <w:footnoteReference w:id="53"/>
            </w:r>
          </w:p>
        </w:tc>
        <w:tc>
          <w:tcPr>
            <w:tcW w:w="1644" w:type="dxa"/>
            <w:vAlign w:val="center"/>
          </w:tcPr>
          <w:p w14:paraId="1480E55E"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18" w:type="dxa"/>
            <w:vAlign w:val="center"/>
          </w:tcPr>
          <w:p w14:paraId="2FEBFD3F"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25" w:type="dxa"/>
            <w:vAlign w:val="center"/>
          </w:tcPr>
          <w:p w14:paraId="0B5F3946" w14:textId="77777777" w:rsidR="00994F64" w:rsidRPr="00261B7A" w:rsidRDefault="00994F64" w:rsidP="00501B0F">
            <w:pPr>
              <w:pStyle w:val="TableText"/>
              <w:spacing w:before="40" w:after="40"/>
              <w:jc w:val="center"/>
              <w:rPr>
                <w:rFonts w:cs="Calibri"/>
                <w:szCs w:val="16"/>
              </w:rPr>
            </w:pPr>
            <w:r w:rsidRPr="00261B7A">
              <w:rPr>
                <w:rFonts w:cs="Calibri"/>
                <w:szCs w:val="16"/>
              </w:rPr>
              <w:t>3.0</w:t>
            </w:r>
          </w:p>
        </w:tc>
        <w:tc>
          <w:tcPr>
            <w:tcW w:w="1258" w:type="dxa"/>
            <w:vAlign w:val="center"/>
          </w:tcPr>
          <w:p w14:paraId="5F24EEAC"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964" w:type="dxa"/>
            <w:vAlign w:val="center"/>
          </w:tcPr>
          <w:p w14:paraId="26E517D3" w14:textId="77777777" w:rsidR="00994F64" w:rsidRPr="00261B7A" w:rsidRDefault="00994F64" w:rsidP="00501B0F">
            <w:pPr>
              <w:pStyle w:val="TableText"/>
              <w:spacing w:before="40" w:after="40"/>
              <w:jc w:val="center"/>
              <w:rPr>
                <w:rFonts w:cs="Calibri"/>
                <w:szCs w:val="16"/>
              </w:rPr>
            </w:pPr>
            <w:r w:rsidRPr="00261B7A">
              <w:rPr>
                <w:rFonts w:cs="Calibri"/>
                <w:szCs w:val="16"/>
              </w:rPr>
              <w:t>97.0</w:t>
            </w:r>
          </w:p>
        </w:tc>
      </w:tr>
      <w:tr w:rsidR="00994F64" w:rsidRPr="00261B7A" w14:paraId="6610E1A8" w14:textId="77777777" w:rsidTr="00501B0F">
        <w:trPr>
          <w:cantSplit/>
        </w:trPr>
        <w:tc>
          <w:tcPr>
            <w:tcW w:w="1758" w:type="dxa"/>
            <w:vAlign w:val="bottom"/>
          </w:tcPr>
          <w:p w14:paraId="659BA0DA" w14:textId="77777777" w:rsidR="00994F64" w:rsidRPr="00261B7A" w:rsidRDefault="00994F64" w:rsidP="00501B0F">
            <w:pPr>
              <w:pStyle w:val="TableText"/>
              <w:spacing w:before="40" w:after="40"/>
              <w:rPr>
                <w:rFonts w:cs="Calibri"/>
                <w:szCs w:val="16"/>
              </w:rPr>
            </w:pPr>
            <w:r w:rsidRPr="00261B7A">
              <w:rPr>
                <w:rFonts w:cs="Calibri"/>
                <w:szCs w:val="16"/>
              </w:rPr>
              <w:t>Alpacas</w:t>
            </w:r>
          </w:p>
        </w:tc>
        <w:tc>
          <w:tcPr>
            <w:tcW w:w="1644" w:type="dxa"/>
            <w:vAlign w:val="center"/>
          </w:tcPr>
          <w:p w14:paraId="1E76C747"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18" w:type="dxa"/>
            <w:vAlign w:val="center"/>
          </w:tcPr>
          <w:p w14:paraId="4DC7C0D7"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25" w:type="dxa"/>
            <w:vAlign w:val="center"/>
          </w:tcPr>
          <w:p w14:paraId="033DCDFA" w14:textId="77777777" w:rsidR="00994F64" w:rsidRPr="00261B7A" w:rsidRDefault="00994F64" w:rsidP="00501B0F">
            <w:pPr>
              <w:pStyle w:val="TableText"/>
              <w:spacing w:before="40" w:after="40"/>
              <w:jc w:val="center"/>
              <w:rPr>
                <w:rFonts w:cs="Calibri"/>
                <w:szCs w:val="16"/>
              </w:rPr>
            </w:pPr>
            <w:r w:rsidRPr="00261B7A">
              <w:rPr>
                <w:rFonts w:cs="Calibri"/>
                <w:szCs w:val="16"/>
              </w:rPr>
              <w:t>100.0</w:t>
            </w:r>
          </w:p>
        </w:tc>
        <w:tc>
          <w:tcPr>
            <w:tcW w:w="1258" w:type="dxa"/>
            <w:vAlign w:val="center"/>
          </w:tcPr>
          <w:p w14:paraId="7513A970"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964" w:type="dxa"/>
            <w:vAlign w:val="center"/>
          </w:tcPr>
          <w:p w14:paraId="0E5821AF"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r>
      <w:tr w:rsidR="00994F64" w:rsidRPr="00261B7A" w14:paraId="3631BC29" w14:textId="77777777" w:rsidTr="00501B0F">
        <w:trPr>
          <w:cantSplit/>
        </w:trPr>
        <w:tc>
          <w:tcPr>
            <w:tcW w:w="1758" w:type="dxa"/>
            <w:vAlign w:val="bottom"/>
          </w:tcPr>
          <w:p w14:paraId="30ADD4E1" w14:textId="77777777" w:rsidR="00994F64" w:rsidRPr="00261B7A" w:rsidRDefault="00994F64" w:rsidP="00501B0F">
            <w:pPr>
              <w:pStyle w:val="TableText"/>
              <w:spacing w:before="40" w:after="40"/>
              <w:rPr>
                <w:rFonts w:cs="Calibri"/>
                <w:szCs w:val="16"/>
              </w:rPr>
            </w:pPr>
            <w:r w:rsidRPr="00261B7A">
              <w:rPr>
                <w:rFonts w:cs="Calibri"/>
                <w:szCs w:val="16"/>
              </w:rPr>
              <w:t>Mules and asses</w:t>
            </w:r>
          </w:p>
        </w:tc>
        <w:tc>
          <w:tcPr>
            <w:tcW w:w="1644" w:type="dxa"/>
            <w:vAlign w:val="center"/>
          </w:tcPr>
          <w:p w14:paraId="17CC9654"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18" w:type="dxa"/>
            <w:vAlign w:val="center"/>
          </w:tcPr>
          <w:p w14:paraId="1EAFDF26"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1425" w:type="dxa"/>
            <w:vAlign w:val="center"/>
          </w:tcPr>
          <w:p w14:paraId="5C1064FB" w14:textId="77777777" w:rsidR="00994F64" w:rsidRPr="00261B7A" w:rsidRDefault="00994F64" w:rsidP="00501B0F">
            <w:pPr>
              <w:pStyle w:val="TableText"/>
              <w:spacing w:before="40" w:after="40"/>
              <w:jc w:val="center"/>
              <w:rPr>
                <w:rFonts w:cs="Calibri"/>
                <w:szCs w:val="16"/>
              </w:rPr>
            </w:pPr>
            <w:r w:rsidRPr="00261B7A">
              <w:rPr>
                <w:rFonts w:cs="Calibri"/>
                <w:szCs w:val="16"/>
              </w:rPr>
              <w:t>100.0</w:t>
            </w:r>
          </w:p>
        </w:tc>
        <w:tc>
          <w:tcPr>
            <w:tcW w:w="1258" w:type="dxa"/>
            <w:vAlign w:val="center"/>
          </w:tcPr>
          <w:p w14:paraId="7BFEE984"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c>
          <w:tcPr>
            <w:tcW w:w="964" w:type="dxa"/>
            <w:vAlign w:val="center"/>
          </w:tcPr>
          <w:p w14:paraId="7D516236" w14:textId="77777777" w:rsidR="00994F64" w:rsidRPr="00261B7A" w:rsidRDefault="00994F64" w:rsidP="00501B0F">
            <w:pPr>
              <w:pStyle w:val="TableText"/>
              <w:spacing w:before="40" w:after="40"/>
              <w:jc w:val="center"/>
              <w:rPr>
                <w:rFonts w:cs="Calibri"/>
                <w:szCs w:val="16"/>
              </w:rPr>
            </w:pPr>
            <w:r w:rsidRPr="00261B7A">
              <w:rPr>
                <w:rFonts w:cs="Calibri"/>
                <w:szCs w:val="16"/>
              </w:rPr>
              <w:t>–</w:t>
            </w:r>
          </w:p>
        </w:tc>
      </w:tr>
    </w:tbl>
    <w:p w14:paraId="2D0C4531" w14:textId="77777777" w:rsidR="00994F64" w:rsidRPr="00261B7A" w:rsidRDefault="00994F64" w:rsidP="00994F64">
      <w:pPr>
        <w:pStyle w:val="Heading3"/>
        <w:spacing w:before="400"/>
      </w:pPr>
      <w:bookmarkStart w:id="869" w:name="_Toc32570659"/>
      <w:r w:rsidRPr="00261B7A">
        <w:t>5.3.2</w:t>
      </w:r>
      <w:r w:rsidRPr="00261B7A">
        <w:tab/>
        <w:t>Methodological issues</w:t>
      </w:r>
      <w:bookmarkEnd w:id="856"/>
      <w:bookmarkEnd w:id="869"/>
    </w:p>
    <w:p w14:paraId="4AC7298A" w14:textId="77777777" w:rsidR="00994F64" w:rsidRPr="00261B7A" w:rsidRDefault="00994F64" w:rsidP="00994F64">
      <w:pPr>
        <w:pStyle w:val="Heading4"/>
      </w:pPr>
      <w:r w:rsidRPr="00261B7A">
        <w:t xml:space="preserve">Methane from manure management systems (CRF 3.B.(a)) </w:t>
      </w:r>
    </w:p>
    <w:p w14:paraId="55916A93" w14:textId="77777777" w:rsidR="00994F64" w:rsidRPr="00261B7A" w:rsidRDefault="00994F64" w:rsidP="000A6EE0">
      <w:pPr>
        <w:pStyle w:val="BodyText"/>
        <w:spacing w:before="100" w:after="100"/>
      </w:pPr>
      <w:r w:rsidRPr="00261B7A">
        <w:t xml:space="preserve">New Zealand uses a Tier 2 approach to calculate </w:t>
      </w:r>
      <w:r w:rsidRPr="00261B7A">
        <w:rPr>
          <w:rFonts w:cs="Calibri"/>
        </w:rPr>
        <w:t>CH</w:t>
      </w:r>
      <w:r w:rsidRPr="00261B7A">
        <w:rPr>
          <w:rFonts w:cs="Calibri"/>
          <w:vertAlign w:val="subscript"/>
        </w:rPr>
        <w:t>4</w:t>
      </w:r>
      <w:r w:rsidRPr="00261B7A">
        <w:t xml:space="preserve"> emissions from ruminant animal wastes from the major livestock categories in New Zealand (</w:t>
      </w:r>
      <w:r w:rsidRPr="00261B7A">
        <w:rPr>
          <w:i/>
          <w:iCs/>
        </w:rPr>
        <w:t>Dairy cattle</w:t>
      </w:r>
      <w:r w:rsidRPr="00261B7A">
        <w:t xml:space="preserve">, </w:t>
      </w:r>
      <w:r w:rsidRPr="00261B7A">
        <w:rPr>
          <w:i/>
          <w:iCs/>
        </w:rPr>
        <w:t xml:space="preserve">Non-dairy </w:t>
      </w:r>
      <w:r w:rsidRPr="00261B7A">
        <w:t>(beef)</w:t>
      </w:r>
      <w:r w:rsidRPr="00261B7A">
        <w:rPr>
          <w:i/>
          <w:iCs/>
        </w:rPr>
        <w:t xml:space="preserve"> cattle</w:t>
      </w:r>
      <w:r w:rsidRPr="00261B7A">
        <w:t xml:space="preserve">, </w:t>
      </w:r>
      <w:r w:rsidRPr="00261B7A">
        <w:rPr>
          <w:i/>
          <w:iCs/>
        </w:rPr>
        <w:t>Sheep</w:t>
      </w:r>
      <w:r w:rsidRPr="00261B7A">
        <w:t xml:space="preserve"> and </w:t>
      </w:r>
      <w:r w:rsidRPr="00261B7A">
        <w:rPr>
          <w:i/>
          <w:iCs/>
        </w:rPr>
        <w:t>Deer</w:t>
      </w:r>
      <w:r w:rsidRPr="00261B7A">
        <w:t>). This approach is based on the methods recommended by Saggar et al</w:t>
      </w:r>
      <w:r w:rsidRPr="00261B7A">
        <w:rPr>
          <w:spacing w:val="-2"/>
        </w:rPr>
        <w:t xml:space="preserve">. </w:t>
      </w:r>
      <w:r w:rsidRPr="00261B7A">
        <w:t>(unpublished) and is consistent with the 2006 IPCC Guidelines.</w:t>
      </w:r>
    </w:p>
    <w:p w14:paraId="46B26244" w14:textId="77777777" w:rsidR="00994F64" w:rsidRPr="00261B7A" w:rsidRDefault="00994F64" w:rsidP="000A6EE0">
      <w:pPr>
        <w:pStyle w:val="BodyText"/>
        <w:spacing w:before="100" w:after="100"/>
        <w:ind w:right="-57"/>
        <w:rPr>
          <w:rFonts w:cs="Calibri"/>
        </w:rPr>
      </w:pPr>
      <w:r w:rsidRPr="00261B7A">
        <w:rPr>
          <w:rFonts w:cs="Calibri"/>
        </w:rPr>
        <w:t>Because New Zealand has detailed information on the dairy cattle population and its characteristics (such as feed intake), the IPCC (2006) Tier 2 methodology for dairy anaerobic lagoons is used. The Tier 1 methodology New Zealand uses for estimating emissions from various manure management systems of the minor livestock categories uses country-specific and IPCC (2006) default emission factors.</w:t>
      </w:r>
    </w:p>
    <w:p w14:paraId="4470B4E0" w14:textId="77777777" w:rsidR="00994F64" w:rsidRPr="00261B7A" w:rsidRDefault="00994F64" w:rsidP="00994F64">
      <w:pPr>
        <w:pStyle w:val="Heading5"/>
        <w:rPr>
          <w:rFonts w:cs="Calibri"/>
        </w:rPr>
      </w:pPr>
      <w:bookmarkStart w:id="870" w:name="_Toc139264110"/>
      <w:r w:rsidRPr="00261B7A">
        <w:rPr>
          <w:rFonts w:cs="Calibri"/>
        </w:rPr>
        <w:t xml:space="preserve">Manure methane </w:t>
      </w:r>
      <w:bookmarkEnd w:id="870"/>
      <w:r w:rsidRPr="00261B7A">
        <w:rPr>
          <w:rFonts w:cs="Calibri"/>
        </w:rPr>
        <w:t xml:space="preserve">from the major livestock categories </w:t>
      </w:r>
    </w:p>
    <w:p w14:paraId="32D7DDFA" w14:textId="77777777" w:rsidR="00994F64" w:rsidRPr="00261B7A" w:rsidRDefault="00994F64" w:rsidP="000A6EE0">
      <w:pPr>
        <w:pStyle w:val="BodyText"/>
        <w:spacing w:after="100"/>
        <w:rPr>
          <w:rFonts w:cs="Calibri"/>
        </w:rPr>
      </w:pPr>
      <w:r w:rsidRPr="00261B7A">
        <w:rPr>
          <w:rFonts w:cs="Calibri"/>
        </w:rPr>
        <w:t>The approach for calculating CH</w:t>
      </w:r>
      <w:r w:rsidRPr="00261B7A">
        <w:rPr>
          <w:rFonts w:cs="Calibri"/>
          <w:vertAlign w:val="subscript"/>
        </w:rPr>
        <w:t>4</w:t>
      </w:r>
      <w:r w:rsidRPr="00261B7A">
        <w:rPr>
          <w:rFonts w:cs="Calibri"/>
        </w:rPr>
        <w:t xml:space="preserve"> emissions from the major livestock categories relies on: </w:t>
      </w:r>
    </w:p>
    <w:p w14:paraId="1E6B892D" w14:textId="77777777" w:rsidR="00994F64" w:rsidRPr="00261B7A" w:rsidRDefault="00994F64" w:rsidP="000A6EE0">
      <w:pPr>
        <w:pStyle w:val="BodyText"/>
        <w:spacing w:before="0" w:after="100"/>
        <w:ind w:left="567" w:hanging="567"/>
        <w:rPr>
          <w:rFonts w:cs="Calibri"/>
        </w:rPr>
      </w:pPr>
      <w:r w:rsidRPr="00261B7A">
        <w:rPr>
          <w:rFonts w:cs="Calibri"/>
        </w:rPr>
        <w:t xml:space="preserve">(1) </w:t>
      </w:r>
      <w:r w:rsidRPr="00261B7A">
        <w:rPr>
          <w:rFonts w:cs="Calibri"/>
        </w:rPr>
        <w:tab/>
        <w:t>an estimation of the total quantity of faecal material produced, split into dung and urine</w:t>
      </w:r>
    </w:p>
    <w:p w14:paraId="1E7A5685" w14:textId="77777777" w:rsidR="00994F64" w:rsidRPr="00261B7A" w:rsidRDefault="00994F64" w:rsidP="000A6EE0">
      <w:pPr>
        <w:pStyle w:val="BodyText"/>
        <w:spacing w:before="0" w:after="100"/>
        <w:ind w:left="567" w:hanging="567"/>
        <w:rPr>
          <w:rFonts w:cs="Calibri"/>
        </w:rPr>
      </w:pPr>
      <w:r w:rsidRPr="00261B7A">
        <w:rPr>
          <w:rFonts w:cs="Calibri"/>
        </w:rPr>
        <w:t xml:space="preserve">(2) </w:t>
      </w:r>
      <w:r w:rsidRPr="00261B7A">
        <w:rPr>
          <w:rFonts w:cs="Calibri"/>
        </w:rPr>
        <w:tab/>
        <w:t xml:space="preserve">allocating the faecal material to the appropriate manure management system, either onto pastures or anaerobic lagoons (based on the distributions in table 5.3.2) </w:t>
      </w:r>
    </w:p>
    <w:p w14:paraId="5655F79E" w14:textId="77777777" w:rsidR="00994F64" w:rsidRPr="00261B7A" w:rsidRDefault="00994F64" w:rsidP="00994F64">
      <w:pPr>
        <w:pStyle w:val="BodyText"/>
        <w:spacing w:before="0"/>
        <w:ind w:left="567" w:hanging="567"/>
        <w:rPr>
          <w:rFonts w:cs="Calibri"/>
        </w:rPr>
      </w:pPr>
      <w:r w:rsidRPr="00261B7A">
        <w:rPr>
          <w:rFonts w:cs="Calibri"/>
        </w:rPr>
        <w:t xml:space="preserve">(3) </w:t>
      </w:r>
      <w:r w:rsidRPr="00261B7A">
        <w:rPr>
          <w:rFonts w:cs="Calibri"/>
        </w:rPr>
        <w:tab/>
        <w:t>New Zealand-specific emission factors for the quantity of CH</w:t>
      </w:r>
      <w:r w:rsidRPr="00261B7A">
        <w:rPr>
          <w:rFonts w:cs="Calibri"/>
          <w:vertAlign w:val="subscript"/>
        </w:rPr>
        <w:t>4</w:t>
      </w:r>
      <w:r w:rsidRPr="00261B7A">
        <w:rPr>
          <w:rFonts w:cs="Calibri"/>
        </w:rPr>
        <w:t xml:space="preserve"> produced per unit of faecal dry-matter (FDM) output.</w:t>
      </w:r>
    </w:p>
    <w:p w14:paraId="3B09574B" w14:textId="77777777" w:rsidR="00994F64" w:rsidRPr="00261B7A" w:rsidRDefault="00994F64" w:rsidP="00994F64">
      <w:pPr>
        <w:pStyle w:val="BodyText"/>
        <w:keepNext/>
        <w:rPr>
          <w:rFonts w:cs="Calibri"/>
        </w:rPr>
      </w:pPr>
      <w:r w:rsidRPr="00261B7A">
        <w:rPr>
          <w:rFonts w:cs="Calibri"/>
        </w:rPr>
        <w:t>The following equation is used to determine the monthly FDM output for each livestock category (</w:t>
      </w:r>
      <w:r w:rsidRPr="00261B7A">
        <w:rPr>
          <w:rFonts w:cs="Calibri"/>
          <w:i/>
          <w:iCs/>
        </w:rPr>
        <w:t>Dairy cattle</w:t>
      </w:r>
      <w:r w:rsidRPr="00261B7A">
        <w:rPr>
          <w:rFonts w:cs="Calibri"/>
        </w:rPr>
        <w:t xml:space="preserve">, </w:t>
      </w:r>
      <w:r w:rsidRPr="00261B7A">
        <w:rPr>
          <w:rFonts w:cs="Calibri"/>
          <w:i/>
          <w:iCs/>
        </w:rPr>
        <w:t xml:space="preserve">Non-dairy </w:t>
      </w:r>
      <w:r w:rsidRPr="00261B7A">
        <w:rPr>
          <w:rFonts w:cs="Calibri"/>
        </w:rPr>
        <w:t xml:space="preserve">(beef) </w:t>
      </w:r>
      <w:r w:rsidRPr="00261B7A">
        <w:rPr>
          <w:rFonts w:cs="Calibri"/>
          <w:i/>
          <w:iCs/>
        </w:rPr>
        <w:t>cattle</w:t>
      </w:r>
      <w:r w:rsidRPr="00261B7A">
        <w:rPr>
          <w:rFonts w:cs="Calibri"/>
        </w:rPr>
        <w:t xml:space="preserve">, </w:t>
      </w:r>
      <w:r w:rsidRPr="00261B7A">
        <w:rPr>
          <w:rFonts w:cs="Calibri"/>
          <w:i/>
          <w:iCs/>
        </w:rPr>
        <w:t>Sheep</w:t>
      </w:r>
      <w:r w:rsidRPr="00261B7A">
        <w:rPr>
          <w:rFonts w:cs="Calibri"/>
        </w:rPr>
        <w:t xml:space="preserve"> and </w:t>
      </w:r>
      <w:r w:rsidRPr="00261B7A">
        <w:rPr>
          <w:rFonts w:cs="Calibri"/>
          <w:i/>
          <w:iCs/>
        </w:rPr>
        <w:t>Deer</w:t>
      </w:r>
      <w:r w:rsidRPr="00261B7A">
        <w:rPr>
          <w:rFonts w:cs="Calibri"/>
        </w:rPr>
        <w:t>):</w:t>
      </w:r>
    </w:p>
    <w:p w14:paraId="7066AB7D" w14:textId="77777777" w:rsidR="00994F64" w:rsidRPr="00261B7A" w:rsidRDefault="00994F64" w:rsidP="001B6225">
      <w:pPr>
        <w:spacing w:before="80" w:after="120"/>
        <w:jc w:val="center"/>
        <w:rPr>
          <w:rFonts w:ascii="Cambria Math" w:hAnsi="Cambria Math" w:cs="Calibri"/>
          <w:i/>
          <w:iCs/>
          <w:szCs w:val="24"/>
        </w:rPr>
      </w:pPr>
      <w:r w:rsidRPr="00261B7A">
        <w:rPr>
          <w:rFonts w:ascii="Cambria Math" w:hAnsi="Cambria Math" w:cs="Calibri"/>
          <w:i/>
          <w:iCs/>
          <w:szCs w:val="24"/>
        </w:rPr>
        <w:t>FDM = DMI × (1 – DMD)</w:t>
      </w:r>
    </w:p>
    <w:p w14:paraId="2DCDD30C" w14:textId="77777777" w:rsidR="00994F64" w:rsidRPr="00261B7A" w:rsidRDefault="00994F64" w:rsidP="00994F64">
      <w:pPr>
        <w:pStyle w:val="BodyText"/>
        <w:spacing w:before="60" w:after="60"/>
        <w:ind w:left="964" w:hanging="964"/>
      </w:pPr>
      <w:r w:rsidRPr="00261B7A">
        <w:t xml:space="preserve">Where: </w:t>
      </w:r>
      <w:r w:rsidRPr="00261B7A">
        <w:tab/>
        <w:t>FDM is faecal dry matter (kg head</w:t>
      </w:r>
      <w:r w:rsidRPr="00261B7A">
        <w:rPr>
          <w:vertAlign w:val="superscript"/>
        </w:rPr>
        <w:t xml:space="preserve">-1 </w:t>
      </w:r>
      <w:r w:rsidRPr="00261B7A">
        <w:t>month</w:t>
      </w:r>
      <w:r w:rsidRPr="00261B7A">
        <w:rPr>
          <w:vertAlign w:val="superscript"/>
        </w:rPr>
        <w:t>-1</w:t>
      </w:r>
      <w:r w:rsidRPr="00261B7A">
        <w:t>)</w:t>
      </w:r>
    </w:p>
    <w:p w14:paraId="4C2637EB" w14:textId="77777777" w:rsidR="00994F64" w:rsidRPr="00261B7A" w:rsidRDefault="00994F64" w:rsidP="000A6EE0">
      <w:pPr>
        <w:pStyle w:val="BodyText"/>
        <w:spacing w:before="40" w:after="60"/>
        <w:ind w:left="964" w:hanging="964"/>
      </w:pPr>
      <w:r w:rsidRPr="00261B7A">
        <w:tab/>
        <w:t>DMI is dry-matter intake (kg head</w:t>
      </w:r>
      <w:r w:rsidRPr="00261B7A">
        <w:rPr>
          <w:vertAlign w:val="superscript"/>
        </w:rPr>
        <w:t>-1</w:t>
      </w:r>
      <w:r w:rsidRPr="00261B7A">
        <w:t xml:space="preserve"> month</w:t>
      </w:r>
      <w:r w:rsidRPr="00261B7A">
        <w:rPr>
          <w:vertAlign w:val="superscript"/>
        </w:rPr>
        <w:t>-1</w:t>
      </w:r>
      <w:r w:rsidRPr="00261B7A">
        <w:t>), and</w:t>
      </w:r>
    </w:p>
    <w:p w14:paraId="713C13ED" w14:textId="77777777" w:rsidR="00994F64" w:rsidRPr="00261B7A" w:rsidRDefault="00994F64" w:rsidP="000A6EE0">
      <w:pPr>
        <w:pStyle w:val="BodyText"/>
        <w:spacing w:before="40"/>
        <w:ind w:left="964" w:hanging="964"/>
      </w:pPr>
      <w:r w:rsidRPr="00261B7A">
        <w:tab/>
        <w:t>DMD is dry-matter digestibility (decimal proportion).</w:t>
      </w:r>
    </w:p>
    <w:p w14:paraId="28D557F8" w14:textId="77777777" w:rsidR="00994F64" w:rsidRPr="00261B7A" w:rsidRDefault="00994F64" w:rsidP="002A0273">
      <w:pPr>
        <w:pStyle w:val="BodyText"/>
        <w:spacing w:before="80"/>
        <w:rPr>
          <w:rFonts w:cs="Calibri"/>
        </w:rPr>
      </w:pPr>
      <w:r w:rsidRPr="00261B7A">
        <w:rPr>
          <w:rFonts w:cs="Calibri"/>
        </w:rPr>
        <w:t>The DMI and dry-matter digestibility estimates in this calculation are the same as those used to calculate CH</w:t>
      </w:r>
      <w:r w:rsidRPr="00261B7A">
        <w:rPr>
          <w:rFonts w:cs="Calibri"/>
          <w:vertAlign w:val="subscript"/>
        </w:rPr>
        <w:t>4</w:t>
      </w:r>
      <w:r w:rsidRPr="00261B7A">
        <w:rPr>
          <w:rFonts w:cs="Calibri"/>
        </w:rPr>
        <w:t xml:space="preserve"> from </w:t>
      </w:r>
      <w:r w:rsidRPr="00261B7A">
        <w:rPr>
          <w:rFonts w:cs="Calibri"/>
          <w:i/>
          <w:iCs/>
        </w:rPr>
        <w:t>Enteric</w:t>
      </w:r>
      <w:r w:rsidRPr="00261B7A">
        <w:rPr>
          <w:i/>
        </w:rPr>
        <w:t xml:space="preserve"> fermentation</w:t>
      </w:r>
      <w:r w:rsidRPr="00261B7A">
        <w:rPr>
          <w:rFonts w:cs="Calibri"/>
        </w:rPr>
        <w:t xml:space="preserve"> </w:t>
      </w:r>
      <w:r w:rsidRPr="00261B7A">
        <w:rPr>
          <w:rFonts w:cs="Calibri"/>
          <w:spacing w:val="-2"/>
        </w:rPr>
        <w:t xml:space="preserve">and </w:t>
      </w:r>
      <w:r w:rsidRPr="00261B7A">
        <w:rPr>
          <w:rFonts w:cs="Calibri"/>
        </w:rPr>
        <w:t>nitrogen</w:t>
      </w:r>
      <w:r w:rsidRPr="00261B7A">
        <w:rPr>
          <w:rFonts w:cs="Calibri"/>
          <w:spacing w:val="-2"/>
        </w:rPr>
        <w:t xml:space="preserve"> in excreta.</w:t>
      </w:r>
      <w:r w:rsidRPr="00261B7A">
        <w:rPr>
          <w:rFonts w:cs="Calibri"/>
        </w:rPr>
        <w:t xml:space="preserve"> These Tier 2 model calculations are based on livestock performance statistics (see section 5.1.4). </w:t>
      </w:r>
    </w:p>
    <w:p w14:paraId="1B9C9C17" w14:textId="77777777" w:rsidR="00994F64" w:rsidRPr="00261B7A" w:rsidRDefault="00994F64" w:rsidP="00994F64">
      <w:pPr>
        <w:pStyle w:val="Heading5"/>
        <w:spacing w:before="200"/>
        <w:rPr>
          <w:rFonts w:cs="Calibri"/>
        </w:rPr>
      </w:pPr>
      <w:r w:rsidRPr="00261B7A">
        <w:rPr>
          <w:rFonts w:cs="Calibri"/>
        </w:rPr>
        <w:t xml:space="preserve">Methane from dairy effluent anaerobic lagoons </w:t>
      </w:r>
    </w:p>
    <w:p w14:paraId="621CCD69" w14:textId="77777777" w:rsidR="00994F64" w:rsidRPr="00261B7A" w:rsidRDefault="00994F64" w:rsidP="00994F64">
      <w:pPr>
        <w:pStyle w:val="BodyText"/>
        <w:spacing w:before="100" w:after="60"/>
        <w:rPr>
          <w:rFonts w:cs="Calibri"/>
        </w:rPr>
      </w:pPr>
      <w:r w:rsidRPr="00261B7A">
        <w:rPr>
          <w:rFonts w:cs="Calibri"/>
        </w:rPr>
        <w:t>Each year, a proportion of manure from dairy cows is stored in anaerobic lagoons (Rollo et al., 2017). A Tier 2 methodology derived from the 2006 IPCC Guidelines (equations 10.23 and 10.24) linking volatile solids to FDM is used for calculating CH</w:t>
      </w:r>
      <w:r w:rsidRPr="00261B7A">
        <w:rPr>
          <w:rFonts w:cs="Calibri"/>
          <w:vertAlign w:val="subscript"/>
        </w:rPr>
        <w:t>4</w:t>
      </w:r>
      <w:r w:rsidRPr="00261B7A">
        <w:rPr>
          <w:rFonts w:cs="Calibri"/>
        </w:rPr>
        <w:t xml:space="preserve"> emissions from this activity.</w:t>
      </w:r>
    </w:p>
    <w:p w14:paraId="060111AF" w14:textId="77777777" w:rsidR="00994F64" w:rsidRPr="00261B7A" w:rsidRDefault="00994F64" w:rsidP="00994F64">
      <w:pPr>
        <w:pStyle w:val="BodyText"/>
        <w:spacing w:after="0"/>
        <w:rPr>
          <w:rFonts w:cs="Calibri"/>
        </w:rPr>
      </w:pPr>
      <w:r w:rsidRPr="00261B7A">
        <w:rPr>
          <w:rFonts w:cs="Calibri"/>
        </w:rPr>
        <w:t>The following equation is used to determine CH</w:t>
      </w:r>
      <w:r w:rsidRPr="00261B7A">
        <w:rPr>
          <w:rFonts w:cs="Calibri"/>
          <w:vertAlign w:val="subscript"/>
        </w:rPr>
        <w:t>4</w:t>
      </w:r>
      <w:r w:rsidRPr="00261B7A">
        <w:rPr>
          <w:rFonts w:cs="Calibri"/>
        </w:rPr>
        <w:t xml:space="preserve"> emissions (CH</w:t>
      </w:r>
      <w:r w:rsidRPr="00261B7A">
        <w:rPr>
          <w:rFonts w:cs="Calibri"/>
          <w:vertAlign w:val="subscript"/>
        </w:rPr>
        <w:t>4-MM</w:t>
      </w:r>
      <w:r w:rsidRPr="00261B7A">
        <w:rPr>
          <w:rFonts w:cs="Calibri"/>
        </w:rPr>
        <w:t>) from dairy cattle manure in anaerobic lagoons:</w:t>
      </w:r>
    </w:p>
    <w:bookmarkStart w:id="871" w:name="_MON_1573034334"/>
    <w:bookmarkEnd w:id="871"/>
    <w:p w14:paraId="7210268F" w14:textId="77777777" w:rsidR="00994F64" w:rsidRPr="00261B7A" w:rsidRDefault="00994F64" w:rsidP="00994F64">
      <w:pPr>
        <w:pStyle w:val="BodyText"/>
        <w:spacing w:after="0"/>
        <w:rPr>
          <w:rFonts w:cs="Calibri"/>
        </w:rPr>
      </w:pPr>
      <w:r w:rsidRPr="00261B7A">
        <w:rPr>
          <w:rFonts w:cs="Calibri"/>
        </w:rPr>
        <w:object w:dxaOrig="7814" w:dyaOrig="448" w14:anchorId="3DF5BBE2">
          <v:shape id="_x0000_i1038" type="#_x0000_t75" style="width:389.5pt;height:24.5pt" o:ole="">
            <v:imagedata r:id="rId127" o:title=""/>
          </v:shape>
          <o:OLEObject Type="Embed" ProgID="Word.Document.12" ShapeID="_x0000_i1038" DrawAspect="Content" ObjectID="_1742911577" r:id="rId128">
            <o:FieldCodes>\s</o:FieldCodes>
          </o:OLEObject>
        </w:object>
      </w:r>
    </w:p>
    <w:p w14:paraId="70A440CB" w14:textId="77777777" w:rsidR="00994F64" w:rsidRPr="00261B7A" w:rsidRDefault="00994F64" w:rsidP="00994F64">
      <w:pPr>
        <w:pStyle w:val="BodyText"/>
        <w:spacing w:before="60" w:after="60"/>
        <w:ind w:left="964" w:hanging="964"/>
      </w:pPr>
      <w:r w:rsidRPr="00261B7A">
        <w:t xml:space="preserve">Where: </w:t>
      </w:r>
      <w:r w:rsidRPr="00261B7A">
        <w:tab/>
        <w:t>FDM is the faecal dry matter excreted by dairy cows (on pasture and stored in anaerobic lagoons) (kg head</w:t>
      </w:r>
      <w:r w:rsidRPr="00261B7A">
        <w:rPr>
          <w:vertAlign w:val="superscript"/>
        </w:rPr>
        <w:t>-1</w:t>
      </w:r>
      <w:r w:rsidRPr="00261B7A">
        <w:t xml:space="preserve"> month</w:t>
      </w:r>
      <w:r w:rsidRPr="00261B7A">
        <w:rPr>
          <w:vertAlign w:val="superscript"/>
        </w:rPr>
        <w:t>-1</w:t>
      </w:r>
      <w:r w:rsidRPr="00261B7A">
        <w:t>)</w:t>
      </w:r>
    </w:p>
    <w:p w14:paraId="6856ADE5" w14:textId="77777777" w:rsidR="00994F64" w:rsidRPr="00261B7A" w:rsidRDefault="00994F64" w:rsidP="001B6225">
      <w:pPr>
        <w:pStyle w:val="BodyText"/>
        <w:spacing w:before="40" w:after="40"/>
        <w:ind w:left="964" w:hanging="964"/>
      </w:pPr>
      <w:r w:rsidRPr="00261B7A">
        <w:tab/>
        <w:t>ASH is the ash content of manure, 0.08 (IPCC, 2006, default value)</w:t>
      </w:r>
    </w:p>
    <w:p w14:paraId="605A17A9" w14:textId="77777777" w:rsidR="00994F64" w:rsidRPr="00261B7A" w:rsidRDefault="00994F64" w:rsidP="000A6EE0">
      <w:pPr>
        <w:pStyle w:val="BodyText"/>
        <w:spacing w:before="40" w:after="60"/>
        <w:ind w:left="964" w:hanging="964"/>
      </w:pPr>
      <w:r w:rsidRPr="00261B7A">
        <w:tab/>
        <w:t>B</w:t>
      </w:r>
      <w:r w:rsidRPr="00261B7A">
        <w:rPr>
          <w:vertAlign w:val="subscript"/>
        </w:rPr>
        <w:t>0</w:t>
      </w:r>
      <w:r w:rsidRPr="00261B7A">
        <w:t xml:space="preserve"> is the maximum CH</w:t>
      </w:r>
      <w:r w:rsidRPr="00261B7A">
        <w:rPr>
          <w:vertAlign w:val="subscript"/>
        </w:rPr>
        <w:t>4</w:t>
      </w:r>
      <w:r w:rsidRPr="00261B7A">
        <w:t>-producing capacity of manure variable by species and diet, 0.24 (IPCC, 2006; Oceania default value, verified by Pratt et al., 2012)</w:t>
      </w:r>
    </w:p>
    <w:p w14:paraId="7B4A96B1" w14:textId="77777777" w:rsidR="00994F64" w:rsidRPr="00261B7A" w:rsidRDefault="00994F64" w:rsidP="000A6EE0">
      <w:pPr>
        <w:pStyle w:val="BodyText"/>
        <w:spacing w:before="40" w:after="40"/>
        <w:ind w:left="964" w:hanging="964"/>
      </w:pPr>
      <w:r w:rsidRPr="00261B7A">
        <w:tab/>
        <w:t>0.67 is the conversion factor for converting methane from cubic metres to kilograms (IPCC, 2006)</w:t>
      </w:r>
    </w:p>
    <w:p w14:paraId="7783FE81" w14:textId="77777777" w:rsidR="00994F64" w:rsidRPr="00261B7A" w:rsidRDefault="00994F64" w:rsidP="000A6EE0">
      <w:pPr>
        <w:pStyle w:val="BodyText"/>
        <w:spacing w:before="40" w:after="40"/>
        <w:ind w:left="964" w:hanging="964"/>
      </w:pPr>
      <w:r w:rsidRPr="00261B7A">
        <w:tab/>
        <w:t xml:space="preserve">MCF is the methane conversion factor, 0.76 (IPCC, 2006, table 10.17, default for uncovered anaerobic lagoon, average annual temperature 15 degrees Celsius, verified by Pratt et al., 2012) </w:t>
      </w:r>
    </w:p>
    <w:p w14:paraId="1DC7A4F5" w14:textId="77777777" w:rsidR="00994F64" w:rsidRPr="00261B7A" w:rsidRDefault="00994F64" w:rsidP="000A6EE0">
      <w:pPr>
        <w:pStyle w:val="BodyText"/>
        <w:spacing w:before="40" w:after="60"/>
        <w:ind w:left="964" w:hanging="964"/>
      </w:pPr>
      <w:r w:rsidRPr="00261B7A">
        <w:tab/>
        <w:t>MS is the fraction of total dairy manure excreted in anaerobic lagoons.</w:t>
      </w:r>
    </w:p>
    <w:p w14:paraId="0F101BDB" w14:textId="77777777" w:rsidR="00994F64" w:rsidRPr="00261B7A" w:rsidRDefault="00994F64" w:rsidP="00994F64">
      <w:pPr>
        <w:pStyle w:val="Heading5"/>
        <w:spacing w:before="200"/>
        <w:rPr>
          <w:rFonts w:cs="Calibri"/>
        </w:rPr>
      </w:pPr>
      <w:r w:rsidRPr="00261B7A">
        <w:rPr>
          <w:rFonts w:cs="Calibri"/>
        </w:rPr>
        <w:t>Methane emissions from the major livestock categories</w:t>
      </w:r>
    </w:p>
    <w:p w14:paraId="780953A8" w14:textId="77777777" w:rsidR="00994F64" w:rsidRPr="00261B7A" w:rsidRDefault="00994F64" w:rsidP="00994F64">
      <w:pPr>
        <w:pStyle w:val="BodyText"/>
        <w:spacing w:after="0"/>
      </w:pPr>
      <w:r w:rsidRPr="00261B7A">
        <w:t xml:space="preserve">The following equation is used to determine </w:t>
      </w:r>
      <w:r w:rsidRPr="00261B7A">
        <w:rPr>
          <w:rFonts w:cs="Calibri"/>
        </w:rPr>
        <w:t>CH</w:t>
      </w:r>
      <w:r w:rsidRPr="00261B7A">
        <w:rPr>
          <w:rFonts w:cs="Calibri"/>
          <w:vertAlign w:val="subscript"/>
        </w:rPr>
        <w:t>4</w:t>
      </w:r>
      <w:r w:rsidRPr="00261B7A">
        <w:rPr>
          <w:rFonts w:cs="Calibri"/>
        </w:rPr>
        <w:t xml:space="preserve"> </w:t>
      </w:r>
      <w:r w:rsidRPr="00261B7A">
        <w:t>emissions (CH</w:t>
      </w:r>
      <w:r w:rsidRPr="00261B7A">
        <w:rPr>
          <w:vertAlign w:val="subscript"/>
        </w:rPr>
        <w:t>4-PRP</w:t>
      </w:r>
      <w:r w:rsidRPr="00261B7A">
        <w:t>) from beef cattle, sheep and deer manure deposited onto pasture:</w:t>
      </w:r>
    </w:p>
    <w:bookmarkStart w:id="872" w:name="_MON_1573034444"/>
    <w:bookmarkEnd w:id="872"/>
    <w:p w14:paraId="18DB4F97" w14:textId="77777777" w:rsidR="00994F64" w:rsidRPr="00261B7A" w:rsidRDefault="00994F64" w:rsidP="00994F64">
      <w:pPr>
        <w:pStyle w:val="BodyText"/>
        <w:spacing w:after="0"/>
        <w:rPr>
          <w:rFonts w:cs="Calibri"/>
        </w:rPr>
      </w:pPr>
      <w:r w:rsidRPr="00261B7A">
        <w:rPr>
          <w:rFonts w:cs="Calibri"/>
        </w:rPr>
        <w:object w:dxaOrig="7289" w:dyaOrig="411" w14:anchorId="1735A48C">
          <v:shape id="_x0000_i1039" type="#_x0000_t75" style="width:366pt;height:24.5pt" o:ole="">
            <v:imagedata r:id="rId129" o:title=""/>
          </v:shape>
          <o:OLEObject Type="Embed" ProgID="Word.Document.12" ShapeID="_x0000_i1039" DrawAspect="Content" ObjectID="_1742911578" r:id="rId130">
            <o:FieldCodes>\s</o:FieldCodes>
          </o:OLEObject>
        </w:object>
      </w:r>
    </w:p>
    <w:p w14:paraId="30891B90" w14:textId="77777777" w:rsidR="00994F64" w:rsidRPr="00261B7A" w:rsidRDefault="00994F64" w:rsidP="00994F64">
      <w:pPr>
        <w:pStyle w:val="BodyText"/>
        <w:spacing w:before="80" w:after="40"/>
        <w:ind w:left="964" w:hanging="964"/>
      </w:pPr>
      <w:r w:rsidRPr="00261B7A">
        <w:t xml:space="preserve">Where: </w:t>
      </w:r>
      <w:r w:rsidRPr="00261B7A">
        <w:tab/>
        <w:t>FDM is the faecal dry matter (kg/head/month)</w:t>
      </w:r>
    </w:p>
    <w:p w14:paraId="16F336A3" w14:textId="77777777" w:rsidR="00994F64" w:rsidRPr="00261B7A" w:rsidRDefault="00994F64" w:rsidP="00994F64">
      <w:pPr>
        <w:pStyle w:val="BodyText"/>
        <w:spacing w:before="40"/>
        <w:ind w:left="964" w:hanging="964"/>
      </w:pPr>
      <w:r w:rsidRPr="00261B7A">
        <w:tab/>
        <w:t>Y</w:t>
      </w:r>
      <w:r w:rsidRPr="00261B7A">
        <w:rPr>
          <w:vertAlign w:val="subscript"/>
        </w:rPr>
        <w:t>m</w:t>
      </w:r>
      <w:r w:rsidRPr="00261B7A">
        <w:t xml:space="preserve"> is the CH</w:t>
      </w:r>
      <w:r w:rsidRPr="00261B7A">
        <w:rPr>
          <w:vertAlign w:val="subscript"/>
        </w:rPr>
        <w:t>4</w:t>
      </w:r>
      <w:r w:rsidRPr="00261B7A">
        <w:t xml:space="preserve"> yield value.</w:t>
      </w:r>
    </w:p>
    <w:p w14:paraId="0B83BE18" w14:textId="77777777" w:rsidR="00994F64" w:rsidRPr="00261B7A" w:rsidRDefault="00994F64" w:rsidP="00994F64">
      <w:pPr>
        <w:pStyle w:val="BodyText"/>
        <w:spacing w:before="100" w:after="100"/>
      </w:pPr>
      <w:r w:rsidRPr="00261B7A">
        <w:t xml:space="preserve">Country-specific </w:t>
      </w:r>
      <w:r w:rsidRPr="00261B7A">
        <w:rPr>
          <w:rFonts w:cs="Calibri"/>
        </w:rPr>
        <w:t>CH</w:t>
      </w:r>
      <w:r w:rsidRPr="00261B7A">
        <w:rPr>
          <w:rFonts w:cs="Calibri"/>
          <w:vertAlign w:val="subscript"/>
        </w:rPr>
        <w:t>4</w:t>
      </w:r>
      <w:r w:rsidRPr="00261B7A">
        <w:rPr>
          <w:rFonts w:cs="Calibri"/>
        </w:rPr>
        <w:t xml:space="preserve"> </w:t>
      </w:r>
      <w:r w:rsidRPr="00261B7A">
        <w:t>yield values have been developed from New Zealand studies. Details on the values used for each of the major livestock categories are provided below.</w:t>
      </w:r>
    </w:p>
    <w:p w14:paraId="58205F02" w14:textId="77777777" w:rsidR="00994F64" w:rsidRPr="00261B7A" w:rsidRDefault="00994F64" w:rsidP="00994F64">
      <w:pPr>
        <w:pStyle w:val="BodyText"/>
        <w:spacing w:before="100" w:after="100"/>
        <w:rPr>
          <w:rFonts w:cs="Calibri"/>
        </w:rPr>
      </w:pPr>
      <w:r w:rsidRPr="00261B7A">
        <w:rPr>
          <w:rFonts w:cs="Calibri"/>
          <w:b/>
          <w:bCs/>
          <w:i/>
          <w:iCs/>
        </w:rPr>
        <w:t>Dairy cattle:</w:t>
      </w:r>
      <w:r w:rsidRPr="00261B7A">
        <w:rPr>
          <w:rFonts w:cs="Calibri"/>
        </w:rPr>
        <w:t xml:space="preserve"> The quantity of CH</w:t>
      </w:r>
      <w:r w:rsidRPr="00261B7A">
        <w:rPr>
          <w:rFonts w:cs="Calibri"/>
          <w:vertAlign w:val="subscript"/>
        </w:rPr>
        <w:t>4</w:t>
      </w:r>
      <w:r w:rsidRPr="00261B7A">
        <w:rPr>
          <w:rFonts w:cs="Calibri"/>
        </w:rPr>
        <w:t xml:space="preserve"> produced per kilogram of FDM is 0.98 g CH</w:t>
      </w:r>
      <w:r w:rsidRPr="00261B7A">
        <w:rPr>
          <w:rFonts w:cs="Calibri"/>
          <w:vertAlign w:val="subscript"/>
        </w:rPr>
        <w:t>4</w:t>
      </w:r>
      <w:r w:rsidRPr="00261B7A">
        <w:rPr>
          <w:rFonts w:cs="Calibri"/>
        </w:rPr>
        <w:t>/kg for manure deposited on pasture. This value is obtained from New Zealand studies on dairy cows and varies from around 0.92 to 1.04 g CH</w:t>
      </w:r>
      <w:r w:rsidRPr="00261B7A">
        <w:rPr>
          <w:rFonts w:cs="Calibri"/>
          <w:vertAlign w:val="subscript"/>
        </w:rPr>
        <w:t>4</w:t>
      </w:r>
      <w:r w:rsidRPr="00261B7A">
        <w:rPr>
          <w:rFonts w:cs="Calibri"/>
        </w:rPr>
        <w:t>/kg (Saggar et al., unpublished; Sherlock et al., unpublished).</w:t>
      </w:r>
    </w:p>
    <w:p w14:paraId="6CE9A3B8" w14:textId="77777777" w:rsidR="00994F64" w:rsidRPr="00261B7A" w:rsidRDefault="00994F64" w:rsidP="00652A35">
      <w:pPr>
        <w:pStyle w:val="BodyText"/>
        <w:spacing w:before="100" w:after="100"/>
      </w:pPr>
      <w:r w:rsidRPr="00261B7A">
        <w:rPr>
          <w:b/>
          <w:bCs/>
          <w:i/>
          <w:iCs/>
        </w:rPr>
        <w:t xml:space="preserve">Non-dairy </w:t>
      </w:r>
      <w:r w:rsidRPr="00261B7A">
        <w:rPr>
          <w:b/>
          <w:bCs/>
        </w:rPr>
        <w:t>(beef)</w:t>
      </w:r>
      <w:r w:rsidRPr="00261B7A">
        <w:rPr>
          <w:b/>
          <w:bCs/>
          <w:i/>
          <w:iCs/>
        </w:rPr>
        <w:t xml:space="preserve"> cattle:</w:t>
      </w:r>
      <w:r w:rsidRPr="00261B7A">
        <w:t xml:space="preserve"> The value of 0.98 g CH</w:t>
      </w:r>
      <w:r w:rsidRPr="00261B7A">
        <w:rPr>
          <w:vertAlign w:val="subscript"/>
        </w:rPr>
        <w:t>4</w:t>
      </w:r>
      <w:r w:rsidRPr="00261B7A">
        <w:t xml:space="preserve">/kg per unit of FDM is based on New Zealand studies on dairy cattle manure (Saggar et al., </w:t>
      </w:r>
      <w:r w:rsidRPr="00261B7A">
        <w:rPr>
          <w:rFonts w:cs="Calibri"/>
        </w:rPr>
        <w:t>unpublished</w:t>
      </w:r>
      <w:r w:rsidRPr="00261B7A">
        <w:t xml:space="preserve">; Sherlock et al., </w:t>
      </w:r>
      <w:r w:rsidRPr="00261B7A">
        <w:rPr>
          <w:rFonts w:cs="Calibri"/>
        </w:rPr>
        <w:t>unpublished</w:t>
      </w:r>
      <w:r w:rsidRPr="00261B7A">
        <w:t xml:space="preserve">). No specific studies have been conducted in New Zealand on </w:t>
      </w:r>
      <w:r w:rsidRPr="00261B7A">
        <w:rPr>
          <w:rFonts w:cs="Calibri"/>
        </w:rPr>
        <w:t>CH</w:t>
      </w:r>
      <w:r w:rsidRPr="00261B7A">
        <w:rPr>
          <w:rFonts w:cs="Calibri"/>
          <w:vertAlign w:val="subscript"/>
        </w:rPr>
        <w:t>4</w:t>
      </w:r>
      <w:r w:rsidRPr="00261B7A">
        <w:rPr>
          <w:rFonts w:cs="Calibri"/>
        </w:rPr>
        <w:t xml:space="preserve"> </w:t>
      </w:r>
      <w:r w:rsidRPr="00261B7A">
        <w:t>emissions from beef cattle manure.</w:t>
      </w:r>
    </w:p>
    <w:p w14:paraId="5A3ABB6F" w14:textId="77777777" w:rsidR="00994F64" w:rsidRPr="00261B7A" w:rsidRDefault="00994F64" w:rsidP="00652A35">
      <w:pPr>
        <w:pStyle w:val="BodyText"/>
        <w:spacing w:before="100" w:after="100"/>
      </w:pPr>
      <w:r w:rsidRPr="00261B7A">
        <w:rPr>
          <w:b/>
          <w:bCs/>
          <w:i/>
          <w:iCs/>
        </w:rPr>
        <w:t>Sheep:</w:t>
      </w:r>
      <w:r w:rsidRPr="00261B7A">
        <w:rPr>
          <w:i/>
          <w:iCs/>
        </w:rPr>
        <w:t xml:space="preserve"> </w:t>
      </w:r>
      <w:r w:rsidRPr="00261B7A">
        <w:t xml:space="preserve">The quantity of </w:t>
      </w:r>
      <w:r w:rsidRPr="00261B7A">
        <w:rPr>
          <w:rFonts w:cs="Calibri"/>
        </w:rPr>
        <w:t>CH</w:t>
      </w:r>
      <w:r w:rsidRPr="00261B7A">
        <w:rPr>
          <w:rFonts w:cs="Calibri"/>
          <w:vertAlign w:val="subscript"/>
        </w:rPr>
        <w:t>4</w:t>
      </w:r>
      <w:r w:rsidRPr="00261B7A">
        <w:rPr>
          <w:rFonts w:cs="Calibri"/>
        </w:rPr>
        <w:t xml:space="preserve"> </w:t>
      </w:r>
      <w:r w:rsidRPr="00261B7A">
        <w:t>produced per unit of sheep FDM is 0.69 g CH</w:t>
      </w:r>
      <w:r w:rsidRPr="00261B7A">
        <w:rPr>
          <w:vertAlign w:val="subscript"/>
        </w:rPr>
        <w:t>4</w:t>
      </w:r>
      <w:r w:rsidRPr="00261B7A">
        <w:t>/kg. This value is obtained from a New Zealand study on sheep in which values ranged from 0.340 to 1.288 over six sampling periods (Carran et al., unpublished).</w:t>
      </w:r>
    </w:p>
    <w:p w14:paraId="1A357941" w14:textId="77777777" w:rsidR="00994F64" w:rsidRPr="00261B7A" w:rsidRDefault="00994F64" w:rsidP="00652A35">
      <w:pPr>
        <w:pStyle w:val="BodyText"/>
        <w:spacing w:before="100" w:after="100"/>
      </w:pPr>
      <w:r w:rsidRPr="00261B7A">
        <w:rPr>
          <w:b/>
          <w:bCs/>
          <w:i/>
          <w:iCs/>
        </w:rPr>
        <w:t>Deer:</w:t>
      </w:r>
      <w:r w:rsidRPr="00261B7A">
        <w:t xml:space="preserve"> The quantity of </w:t>
      </w:r>
      <w:r w:rsidRPr="00261B7A">
        <w:rPr>
          <w:rFonts w:cs="Calibri"/>
        </w:rPr>
        <w:t>CH</w:t>
      </w:r>
      <w:r w:rsidRPr="00261B7A">
        <w:rPr>
          <w:rFonts w:cs="Calibri"/>
          <w:vertAlign w:val="subscript"/>
        </w:rPr>
        <w:t>4</w:t>
      </w:r>
      <w:r w:rsidRPr="00261B7A">
        <w:rPr>
          <w:rFonts w:cs="Calibri"/>
        </w:rPr>
        <w:t xml:space="preserve"> </w:t>
      </w:r>
      <w:r w:rsidRPr="00261B7A">
        <w:t>produced per unit of FDM is assumed to be 0.91 g CH</w:t>
      </w:r>
      <w:r w:rsidRPr="00261B7A">
        <w:rPr>
          <w:vertAlign w:val="subscript"/>
        </w:rPr>
        <w:t>4</w:t>
      </w:r>
      <w:r w:rsidRPr="00261B7A">
        <w:t>/kg. Deer are not housed in New Zealand, and all faecal material is deposited directly onto pasture. This value is derived from New Zealand studies on sheep (Carran et al.,</w:t>
      </w:r>
      <w:r w:rsidRPr="00261B7A">
        <w:rPr>
          <w:i/>
          <w:iCs/>
        </w:rPr>
        <w:t xml:space="preserve"> </w:t>
      </w:r>
      <w:r w:rsidRPr="00261B7A">
        <w:rPr>
          <w:rFonts w:cs="Calibri"/>
        </w:rPr>
        <w:t>unpublished</w:t>
      </w:r>
      <w:r w:rsidRPr="00261B7A">
        <w:t xml:space="preserve">) and dairy cattle (Saggar et al., </w:t>
      </w:r>
      <w:r w:rsidRPr="00261B7A">
        <w:rPr>
          <w:rFonts w:cs="Calibri"/>
        </w:rPr>
        <w:t>unpublished</w:t>
      </w:r>
      <w:r w:rsidRPr="00261B7A">
        <w:t xml:space="preserve">; Sherlock et al., </w:t>
      </w:r>
      <w:r w:rsidRPr="00261B7A">
        <w:rPr>
          <w:rFonts w:cs="Calibri"/>
        </w:rPr>
        <w:t>unpublished</w:t>
      </w:r>
      <w:r w:rsidRPr="00261B7A">
        <w:t xml:space="preserve">). No New Zealand studies have been completed on </w:t>
      </w:r>
      <w:r w:rsidRPr="00261B7A">
        <w:rPr>
          <w:rFonts w:cs="Calibri"/>
        </w:rPr>
        <w:t>CH</w:t>
      </w:r>
      <w:r w:rsidRPr="00261B7A">
        <w:rPr>
          <w:rFonts w:cs="Calibri"/>
          <w:vertAlign w:val="subscript"/>
        </w:rPr>
        <w:t>4</w:t>
      </w:r>
      <w:r w:rsidRPr="00261B7A">
        <w:rPr>
          <w:rFonts w:cs="Calibri"/>
        </w:rPr>
        <w:t xml:space="preserve"> </w:t>
      </w:r>
      <w:r w:rsidRPr="00261B7A">
        <w:t>emissions from deer manure. Further information on the calculation of the manure CH</w:t>
      </w:r>
      <w:r w:rsidRPr="00261B7A">
        <w:rPr>
          <w:vertAlign w:val="subscript"/>
        </w:rPr>
        <w:t>4</w:t>
      </w:r>
      <w:r w:rsidRPr="00261B7A">
        <w:t xml:space="preserve"> emission factor for deer is contained in section 7.1.4 of the Agriculture inventory methodology (Pickering et al., 2022.</w:t>
      </w:r>
    </w:p>
    <w:p w14:paraId="1079639F" w14:textId="77777777" w:rsidR="00994F64" w:rsidRPr="00261B7A" w:rsidRDefault="00994F64" w:rsidP="00994F64">
      <w:pPr>
        <w:pStyle w:val="Heading5"/>
        <w:spacing w:before="200"/>
        <w:rPr>
          <w:rFonts w:cs="Calibri"/>
        </w:rPr>
      </w:pPr>
      <w:r w:rsidRPr="00261B7A">
        <w:rPr>
          <w:rFonts w:cs="Calibri"/>
        </w:rPr>
        <w:t xml:space="preserve">Methane emissions from minor livestock categories </w:t>
      </w:r>
    </w:p>
    <w:p w14:paraId="1BEF764C" w14:textId="77777777" w:rsidR="00994F64" w:rsidRPr="00261B7A" w:rsidRDefault="00994F64" w:rsidP="00652A35">
      <w:pPr>
        <w:pStyle w:val="BodyText"/>
        <w:spacing w:before="100" w:after="100"/>
        <w:rPr>
          <w:rFonts w:cs="Calibri"/>
        </w:rPr>
      </w:pPr>
      <w:r w:rsidRPr="00261B7A">
        <w:rPr>
          <w:rFonts w:cs="Calibri"/>
        </w:rPr>
        <w:t>Manure CH</w:t>
      </w:r>
      <w:r w:rsidRPr="00261B7A">
        <w:rPr>
          <w:rFonts w:cs="Calibri"/>
          <w:vertAlign w:val="subscript"/>
        </w:rPr>
        <w:t>4</w:t>
      </w:r>
      <w:r w:rsidRPr="00261B7A">
        <w:rPr>
          <w:rFonts w:cs="Calibri"/>
        </w:rPr>
        <w:t xml:space="preserve"> emissions from the minor livestock categories are calculated per head</w:t>
      </w:r>
      <w:r w:rsidRPr="00261B7A">
        <w:rPr>
          <w:rFonts w:cs="Calibri"/>
          <w:vertAlign w:val="superscript"/>
        </w:rPr>
        <w:t>-1</w:t>
      </w:r>
      <w:r w:rsidRPr="00261B7A">
        <w:rPr>
          <w:rFonts w:cs="Calibri"/>
        </w:rPr>
        <w:t>, using country-specific and IPCC default emission factors.</w:t>
      </w:r>
    </w:p>
    <w:p w14:paraId="4C9A098A" w14:textId="77777777" w:rsidR="00994F64" w:rsidRPr="00261B7A" w:rsidRDefault="00994F64" w:rsidP="00652A35">
      <w:pPr>
        <w:pStyle w:val="BodyText"/>
        <w:spacing w:before="100" w:after="100"/>
        <w:rPr>
          <w:rFonts w:cs="Calibri"/>
        </w:rPr>
      </w:pPr>
      <w:r w:rsidRPr="00261B7A">
        <w:rPr>
          <w:rFonts w:cs="Calibri"/>
          <w:b/>
          <w:bCs/>
          <w:i/>
          <w:iCs/>
        </w:rPr>
        <w:t>Swine:</w:t>
      </w:r>
      <w:r w:rsidRPr="00261B7A">
        <w:rPr>
          <w:rFonts w:cs="Calibri"/>
          <w:b/>
          <w:bCs/>
        </w:rPr>
        <w:t xml:space="preserve"> </w:t>
      </w:r>
      <w:r w:rsidRPr="00261B7A">
        <w:rPr>
          <w:rFonts w:cs="Calibri"/>
        </w:rPr>
        <w:t>New Zealand uses a country-specific emission factor of 5.94 kg CH</w:t>
      </w:r>
      <w:r w:rsidRPr="00261B7A">
        <w:rPr>
          <w:rFonts w:cs="Calibri"/>
          <w:vertAlign w:val="subscript"/>
        </w:rPr>
        <w:t>4</w:t>
      </w:r>
      <w:r w:rsidRPr="00261B7A">
        <w:rPr>
          <w:rFonts w:cs="Calibri"/>
        </w:rPr>
        <w:t xml:space="preserve"> head</w:t>
      </w:r>
      <w:r w:rsidRPr="00261B7A">
        <w:rPr>
          <w:rFonts w:cs="Calibri"/>
          <w:vertAlign w:val="superscript"/>
        </w:rPr>
        <w:t>-1</w:t>
      </w:r>
      <w:r w:rsidRPr="00261B7A">
        <w:rPr>
          <w:rFonts w:cs="Calibri"/>
        </w:rPr>
        <w:t xml:space="preserve"> year</w:t>
      </w:r>
      <w:r w:rsidRPr="00261B7A">
        <w:rPr>
          <w:rFonts w:cs="Calibri"/>
          <w:vertAlign w:val="superscript"/>
        </w:rPr>
        <w:t>-1</w:t>
      </w:r>
      <w:r w:rsidRPr="00261B7A">
        <w:rPr>
          <w:rFonts w:cs="Calibri"/>
        </w:rPr>
        <w:t xml:space="preserve"> (Hill, 2012) for estimating CH</w:t>
      </w:r>
      <w:r w:rsidRPr="00261B7A">
        <w:rPr>
          <w:rFonts w:cs="Calibri"/>
          <w:vertAlign w:val="subscript"/>
        </w:rPr>
        <w:t>4</w:t>
      </w:r>
      <w:r w:rsidRPr="00261B7A">
        <w:rPr>
          <w:rFonts w:cs="Calibri"/>
        </w:rPr>
        <w:t xml:space="preserve"> emissions from swine manure management. Industry data on swine diets </w:t>
      </w:r>
      <w:r w:rsidRPr="00261B7A">
        <w:rPr>
          <w:rFonts w:cs="Calibri"/>
          <w:spacing w:val="-2"/>
        </w:rPr>
        <w:t>(to determine digestible energy of the swine feed and volatile solid excretion levels) and the use of waste management systems used by New Zealand swine producers were used (equations 10.23 and 10.24 in the 2006 IPCC Guidelines (IPCC, 2006)) to determine a country-specific manure management emission factor. Further information on this is provided by Hill (2012).</w:t>
      </w:r>
    </w:p>
    <w:p w14:paraId="4C6CDB5C" w14:textId="77777777" w:rsidR="00994F64" w:rsidRPr="00261B7A" w:rsidRDefault="00994F64" w:rsidP="004E2E75">
      <w:pPr>
        <w:pStyle w:val="BodyText"/>
        <w:keepLines/>
        <w:spacing w:before="100" w:after="80"/>
        <w:rPr>
          <w:rFonts w:cs="Calibri"/>
          <w:spacing w:val="-2"/>
        </w:rPr>
      </w:pPr>
      <w:r w:rsidRPr="00261B7A">
        <w:rPr>
          <w:rFonts w:cs="Calibri"/>
          <w:b/>
          <w:bCs/>
          <w:i/>
          <w:iCs/>
          <w:spacing w:val="-2"/>
        </w:rPr>
        <w:t>Poultry:</w:t>
      </w:r>
      <w:r w:rsidRPr="00261B7A">
        <w:rPr>
          <w:rFonts w:cs="Calibri"/>
          <w:i/>
          <w:iCs/>
          <w:spacing w:val="-2"/>
        </w:rPr>
        <w:t xml:space="preserve"> </w:t>
      </w:r>
      <w:r w:rsidRPr="00261B7A">
        <w:rPr>
          <w:rFonts w:cs="Calibri"/>
          <w:spacing w:val="-2"/>
        </w:rPr>
        <w:t xml:space="preserve">Methane emissions from poultry manure management use New Zealand-specific emission factor values derived from Fick et al. (2011). These are based on New Zealand-specific volatile solids and proportions of poultry faeces in each manure management system for each production category. The poultry population has been disaggregated into three different categories, and the manure management emission factor values for each category are: </w:t>
      </w:r>
      <w:r w:rsidRPr="00261B7A">
        <w:rPr>
          <w:rFonts w:cs="Calibri"/>
          <w:i/>
          <w:iCs/>
          <w:spacing w:val="-2"/>
        </w:rPr>
        <w:t>Broiler birds</w:t>
      </w:r>
      <w:r w:rsidRPr="00261B7A">
        <w:rPr>
          <w:rFonts w:cs="Calibri"/>
          <w:spacing w:val="-2"/>
        </w:rPr>
        <w:t xml:space="preserve"> 0.022 kg CH</w:t>
      </w:r>
      <w:r w:rsidRPr="00261B7A">
        <w:rPr>
          <w:rFonts w:cs="Calibri"/>
          <w:spacing w:val="-2"/>
          <w:vertAlign w:val="subscript"/>
        </w:rPr>
        <w:t>4</w:t>
      </w:r>
      <w:r w:rsidRPr="00261B7A">
        <w:rPr>
          <w:rFonts w:cs="Calibri"/>
          <w:spacing w:val="-2"/>
        </w:rPr>
        <w:t xml:space="preserve"> head</w:t>
      </w:r>
      <w:r w:rsidRPr="00261B7A">
        <w:rPr>
          <w:rFonts w:cs="Calibri"/>
          <w:spacing w:val="-2"/>
          <w:vertAlign w:val="superscript"/>
        </w:rPr>
        <w:t>-1</w:t>
      </w:r>
      <w:r w:rsidRPr="00261B7A">
        <w:rPr>
          <w:rFonts w:cs="Calibri"/>
          <w:spacing w:val="-2"/>
        </w:rPr>
        <w:t xml:space="preserve"> year</w:t>
      </w:r>
      <w:r w:rsidRPr="00261B7A">
        <w:rPr>
          <w:rFonts w:cs="Calibri"/>
          <w:spacing w:val="-2"/>
          <w:vertAlign w:val="superscript"/>
        </w:rPr>
        <w:t>-1</w:t>
      </w:r>
      <w:r w:rsidRPr="00261B7A">
        <w:rPr>
          <w:rFonts w:cs="Calibri"/>
        </w:rPr>
        <w:t xml:space="preserve">; </w:t>
      </w:r>
      <w:r w:rsidRPr="00261B7A">
        <w:rPr>
          <w:rFonts w:cs="Calibri"/>
          <w:i/>
          <w:iCs/>
          <w:spacing w:val="-2"/>
        </w:rPr>
        <w:t>Layer hens</w:t>
      </w:r>
      <w:r w:rsidRPr="00261B7A">
        <w:rPr>
          <w:rFonts w:cs="Calibri"/>
          <w:spacing w:val="-2"/>
        </w:rPr>
        <w:t xml:space="preserve"> 0.016 kg CH</w:t>
      </w:r>
      <w:r w:rsidRPr="00261B7A">
        <w:rPr>
          <w:rFonts w:cs="Calibri"/>
          <w:spacing w:val="-2"/>
          <w:vertAlign w:val="subscript"/>
        </w:rPr>
        <w:t>4</w:t>
      </w:r>
      <w:r w:rsidRPr="00261B7A">
        <w:rPr>
          <w:rFonts w:cs="Calibri"/>
          <w:spacing w:val="-2"/>
        </w:rPr>
        <w:t xml:space="preserve"> head</w:t>
      </w:r>
      <w:r w:rsidRPr="00261B7A">
        <w:rPr>
          <w:rFonts w:cs="Calibri"/>
          <w:spacing w:val="-2"/>
          <w:vertAlign w:val="superscript"/>
        </w:rPr>
        <w:t>-1</w:t>
      </w:r>
      <w:r w:rsidRPr="00261B7A">
        <w:rPr>
          <w:rFonts w:cs="Calibri"/>
          <w:spacing w:val="-2"/>
        </w:rPr>
        <w:t xml:space="preserve"> year</w:t>
      </w:r>
      <w:r w:rsidRPr="00261B7A">
        <w:rPr>
          <w:rFonts w:cs="Calibri"/>
          <w:spacing w:val="-2"/>
          <w:vertAlign w:val="superscript"/>
        </w:rPr>
        <w:t>-1</w:t>
      </w:r>
      <w:r w:rsidRPr="00261B7A">
        <w:rPr>
          <w:rFonts w:cs="Calibri"/>
          <w:spacing w:val="-2"/>
        </w:rPr>
        <w:t xml:space="preserve">; and </w:t>
      </w:r>
      <w:r w:rsidRPr="00261B7A">
        <w:rPr>
          <w:rFonts w:cs="Calibri"/>
          <w:i/>
          <w:iCs/>
          <w:spacing w:val="-2"/>
        </w:rPr>
        <w:t>Other</w:t>
      </w:r>
      <w:r w:rsidRPr="00261B7A">
        <w:rPr>
          <w:rStyle w:val="FootnoteReference"/>
          <w:rFonts w:cs="Calibri"/>
          <w:spacing w:val="-2"/>
        </w:rPr>
        <w:footnoteReference w:id="54"/>
      </w:r>
      <w:r w:rsidRPr="00261B7A">
        <w:rPr>
          <w:rFonts w:cs="Calibri"/>
          <w:spacing w:val="-2"/>
        </w:rPr>
        <w:t xml:space="preserve"> 0.117</w:t>
      </w:r>
      <w:r w:rsidRPr="00261B7A">
        <w:rPr>
          <w:rFonts w:cs="Calibri"/>
        </w:rPr>
        <w:t> </w:t>
      </w:r>
      <w:r w:rsidRPr="00261B7A">
        <w:rPr>
          <w:rFonts w:cs="Calibri"/>
          <w:spacing w:val="-2"/>
        </w:rPr>
        <w:t>kg CH</w:t>
      </w:r>
      <w:r w:rsidRPr="00261B7A">
        <w:rPr>
          <w:rFonts w:cs="Calibri"/>
          <w:spacing w:val="-2"/>
          <w:vertAlign w:val="subscript"/>
        </w:rPr>
        <w:t>4</w:t>
      </w:r>
      <w:r w:rsidRPr="00261B7A">
        <w:rPr>
          <w:rFonts w:cs="Calibri"/>
          <w:spacing w:val="-2"/>
        </w:rPr>
        <w:t xml:space="preserve"> head</w:t>
      </w:r>
      <w:r w:rsidRPr="00261B7A">
        <w:rPr>
          <w:rFonts w:cs="Calibri"/>
          <w:spacing w:val="-2"/>
          <w:vertAlign w:val="superscript"/>
        </w:rPr>
        <w:t>-1</w:t>
      </w:r>
      <w:r w:rsidRPr="00261B7A">
        <w:rPr>
          <w:rFonts w:cs="Calibri"/>
          <w:spacing w:val="-2"/>
        </w:rPr>
        <w:t xml:space="preserve"> year</w:t>
      </w:r>
      <w:r w:rsidRPr="00261B7A">
        <w:rPr>
          <w:rFonts w:cs="Calibri"/>
          <w:spacing w:val="-2"/>
          <w:vertAlign w:val="superscript"/>
        </w:rPr>
        <w:t>-1</w:t>
      </w:r>
      <w:r w:rsidRPr="00261B7A">
        <w:rPr>
          <w:rFonts w:cs="Calibri"/>
          <w:spacing w:val="-2"/>
        </w:rPr>
        <w:t xml:space="preserve">. The overall IEF for </w:t>
      </w:r>
      <w:r w:rsidRPr="00261B7A">
        <w:rPr>
          <w:rFonts w:cs="Calibri"/>
          <w:i/>
          <w:iCs/>
          <w:spacing w:val="-2"/>
        </w:rPr>
        <w:t>Poultry</w:t>
      </w:r>
      <w:r w:rsidRPr="00261B7A">
        <w:rPr>
          <w:rFonts w:cs="Calibri"/>
          <w:spacing w:val="-2"/>
        </w:rPr>
        <w:t xml:space="preserve"> is affected by the change over time in the population proportions of these different </w:t>
      </w:r>
      <w:r w:rsidRPr="00261B7A">
        <w:rPr>
          <w:rFonts w:cs="Calibri"/>
          <w:i/>
          <w:iCs/>
          <w:spacing w:val="-2"/>
        </w:rPr>
        <w:t>Poultry</w:t>
      </w:r>
      <w:r w:rsidRPr="00261B7A">
        <w:rPr>
          <w:rFonts w:cs="Calibri"/>
          <w:spacing w:val="-2"/>
        </w:rPr>
        <w:t xml:space="preserve"> categories.</w:t>
      </w:r>
    </w:p>
    <w:p w14:paraId="0728254D" w14:textId="77777777" w:rsidR="00994F64" w:rsidRPr="00261B7A" w:rsidRDefault="00994F64" w:rsidP="004E2E75">
      <w:pPr>
        <w:pStyle w:val="BodyText"/>
        <w:spacing w:before="100" w:after="80"/>
        <w:rPr>
          <w:rFonts w:cs="Calibri"/>
        </w:rPr>
      </w:pPr>
      <w:r w:rsidRPr="00261B7A">
        <w:rPr>
          <w:rFonts w:cs="Calibri"/>
          <w:b/>
          <w:bCs/>
          <w:i/>
          <w:iCs/>
        </w:rPr>
        <w:t>Goats</w:t>
      </w:r>
      <w:r w:rsidRPr="00261B7A">
        <w:rPr>
          <w:rFonts w:cs="Calibri"/>
          <w:b/>
          <w:bCs/>
        </w:rPr>
        <w:t xml:space="preserve">, </w:t>
      </w:r>
      <w:r w:rsidRPr="00261B7A">
        <w:rPr>
          <w:rFonts w:cs="Calibri"/>
          <w:b/>
          <w:bCs/>
          <w:i/>
          <w:iCs/>
        </w:rPr>
        <w:t>Horses</w:t>
      </w:r>
      <w:r w:rsidRPr="00261B7A">
        <w:rPr>
          <w:rFonts w:cs="Calibri"/>
          <w:b/>
          <w:bCs/>
        </w:rPr>
        <w:t xml:space="preserve">, and </w:t>
      </w:r>
      <w:r w:rsidRPr="00261B7A">
        <w:rPr>
          <w:rFonts w:cs="Calibri"/>
          <w:b/>
          <w:bCs/>
          <w:i/>
          <w:iCs/>
        </w:rPr>
        <w:t>Mules and asses:</w:t>
      </w:r>
      <w:r w:rsidRPr="00261B7A">
        <w:rPr>
          <w:rFonts w:cs="Calibri"/>
          <w:b/>
          <w:bCs/>
        </w:rPr>
        <w:t xml:space="preserve"> </w:t>
      </w:r>
      <w:r w:rsidRPr="00261B7A">
        <w:rPr>
          <w:rFonts w:cs="Calibri"/>
        </w:rPr>
        <w:t>New Zealand uses IPCC (2006) default emission factors for CH</w:t>
      </w:r>
      <w:r w:rsidRPr="00261B7A">
        <w:rPr>
          <w:rFonts w:cs="Calibri"/>
          <w:vertAlign w:val="subscript"/>
        </w:rPr>
        <w:t>4</w:t>
      </w:r>
      <w:r w:rsidRPr="00261B7A">
        <w:rPr>
          <w:rFonts w:cs="Calibri"/>
        </w:rPr>
        <w:t xml:space="preserve"> emissions from manure management for </w:t>
      </w:r>
      <w:r w:rsidRPr="00261B7A">
        <w:rPr>
          <w:rFonts w:cs="Calibri"/>
          <w:i/>
          <w:iCs/>
        </w:rPr>
        <w:t>Goats</w:t>
      </w:r>
      <w:r w:rsidRPr="00261B7A">
        <w:rPr>
          <w:rFonts w:cs="Calibri"/>
        </w:rPr>
        <w:t xml:space="preserve">, </w:t>
      </w:r>
      <w:r w:rsidRPr="00261B7A">
        <w:rPr>
          <w:rFonts w:cs="Calibri"/>
          <w:i/>
          <w:iCs/>
        </w:rPr>
        <w:t>Horses</w:t>
      </w:r>
      <w:r w:rsidRPr="00261B7A">
        <w:rPr>
          <w:rFonts w:cs="Calibri"/>
        </w:rPr>
        <w:t xml:space="preserve">, </w:t>
      </w:r>
      <w:r w:rsidRPr="00261B7A">
        <w:rPr>
          <w:rFonts w:cs="Calibri"/>
          <w:i/>
          <w:iCs/>
        </w:rPr>
        <w:t>Mules</w:t>
      </w:r>
      <w:r w:rsidRPr="00261B7A">
        <w:rPr>
          <w:i/>
        </w:rPr>
        <w:t xml:space="preserve"> and asses</w:t>
      </w:r>
      <w:r w:rsidRPr="00261B7A">
        <w:rPr>
          <w:rFonts w:cs="Calibri"/>
        </w:rPr>
        <w:t xml:space="preserve"> (table 10.15 of the 2006 IPCC Guidelines (IPCC, 2006)). The emission factors are 0.20 kg CH</w:t>
      </w:r>
      <w:r w:rsidRPr="00261B7A">
        <w:rPr>
          <w:rFonts w:cs="Calibri"/>
          <w:vertAlign w:val="subscript"/>
        </w:rPr>
        <w:t>4</w:t>
      </w:r>
      <w:r w:rsidRPr="00261B7A">
        <w:rPr>
          <w:rFonts w:cs="Calibri"/>
        </w:rPr>
        <w:t xml:space="preserve"> head</w:t>
      </w:r>
      <w:r w:rsidRPr="00261B7A">
        <w:rPr>
          <w:rFonts w:cs="Calibri"/>
          <w:vertAlign w:val="superscript"/>
        </w:rPr>
        <w:t>-1</w:t>
      </w:r>
      <w:r w:rsidRPr="00261B7A">
        <w:rPr>
          <w:rFonts w:cs="Calibri"/>
        </w:rPr>
        <w:t xml:space="preserve"> year</w:t>
      </w:r>
      <w:r w:rsidRPr="00261B7A">
        <w:rPr>
          <w:rFonts w:cs="Calibri"/>
          <w:vertAlign w:val="superscript"/>
        </w:rPr>
        <w:t>-1</w:t>
      </w:r>
      <w:r w:rsidRPr="00261B7A">
        <w:rPr>
          <w:rFonts w:cs="Calibri"/>
        </w:rPr>
        <w:t xml:space="preserve"> for </w:t>
      </w:r>
      <w:r w:rsidRPr="00261B7A">
        <w:rPr>
          <w:rFonts w:cs="Calibri"/>
          <w:i/>
          <w:iCs/>
        </w:rPr>
        <w:t>Goats</w:t>
      </w:r>
      <w:r w:rsidRPr="00261B7A">
        <w:rPr>
          <w:rFonts w:cs="Calibri"/>
        </w:rPr>
        <w:t>, 2.34 kg CH</w:t>
      </w:r>
      <w:r w:rsidRPr="00261B7A">
        <w:rPr>
          <w:rFonts w:cs="Calibri"/>
          <w:vertAlign w:val="subscript"/>
        </w:rPr>
        <w:t>4</w:t>
      </w:r>
      <w:r w:rsidRPr="00261B7A">
        <w:rPr>
          <w:rFonts w:cs="Calibri"/>
        </w:rPr>
        <w:t xml:space="preserve"> head</w:t>
      </w:r>
      <w:r w:rsidRPr="00261B7A">
        <w:rPr>
          <w:rFonts w:cs="Calibri"/>
          <w:vertAlign w:val="superscript"/>
        </w:rPr>
        <w:t>-1</w:t>
      </w:r>
      <w:r w:rsidRPr="00261B7A">
        <w:rPr>
          <w:rFonts w:cs="Calibri"/>
        </w:rPr>
        <w:t xml:space="preserve"> year</w:t>
      </w:r>
      <w:r w:rsidRPr="00261B7A">
        <w:rPr>
          <w:rFonts w:cs="Calibri"/>
          <w:vertAlign w:val="superscript"/>
        </w:rPr>
        <w:t>-1</w:t>
      </w:r>
      <w:r w:rsidRPr="00261B7A">
        <w:rPr>
          <w:rFonts w:cs="Calibri"/>
        </w:rPr>
        <w:t xml:space="preserve"> for </w:t>
      </w:r>
      <w:r w:rsidRPr="00261B7A">
        <w:rPr>
          <w:rFonts w:cs="Calibri"/>
          <w:i/>
          <w:iCs/>
        </w:rPr>
        <w:t>Horses</w:t>
      </w:r>
      <w:r w:rsidRPr="00261B7A">
        <w:rPr>
          <w:rFonts w:cs="Calibri"/>
        </w:rPr>
        <w:t xml:space="preserve"> and 1.10 kg CH</w:t>
      </w:r>
      <w:r w:rsidRPr="00261B7A">
        <w:rPr>
          <w:rFonts w:cs="Calibri"/>
          <w:vertAlign w:val="subscript"/>
        </w:rPr>
        <w:t>4</w:t>
      </w:r>
      <w:r w:rsidRPr="00261B7A">
        <w:rPr>
          <w:rFonts w:cs="Calibri"/>
        </w:rPr>
        <w:t xml:space="preserve"> head</w:t>
      </w:r>
      <w:r w:rsidRPr="00261B7A">
        <w:rPr>
          <w:rFonts w:cs="Calibri"/>
          <w:vertAlign w:val="superscript"/>
        </w:rPr>
        <w:t>-1</w:t>
      </w:r>
      <w:r w:rsidRPr="00261B7A">
        <w:rPr>
          <w:rFonts w:cs="Calibri"/>
        </w:rPr>
        <w:t xml:space="preserve"> year</w:t>
      </w:r>
      <w:r w:rsidRPr="00261B7A">
        <w:rPr>
          <w:rFonts w:cs="Calibri"/>
          <w:vertAlign w:val="superscript"/>
        </w:rPr>
        <w:t>-1</w:t>
      </w:r>
      <w:r w:rsidRPr="00261B7A">
        <w:rPr>
          <w:rFonts w:cs="Calibri"/>
        </w:rPr>
        <w:t xml:space="preserve"> for </w:t>
      </w:r>
      <w:r w:rsidRPr="00261B7A">
        <w:rPr>
          <w:rFonts w:cs="Calibri"/>
          <w:i/>
          <w:iCs/>
        </w:rPr>
        <w:t>Mules and asses</w:t>
      </w:r>
      <w:r w:rsidRPr="00261B7A">
        <w:rPr>
          <w:rFonts w:cs="Calibri"/>
        </w:rPr>
        <w:t xml:space="preserve">. These are the IPCC values for temperate developed countries. </w:t>
      </w:r>
    </w:p>
    <w:p w14:paraId="2A2BBC63" w14:textId="77777777" w:rsidR="00994F64" w:rsidRPr="00261B7A" w:rsidRDefault="00994F64" w:rsidP="004E2E75">
      <w:pPr>
        <w:pStyle w:val="BodyText"/>
        <w:spacing w:before="100" w:after="80"/>
        <w:rPr>
          <w:rFonts w:cs="Calibri"/>
        </w:rPr>
      </w:pPr>
      <w:r w:rsidRPr="00261B7A">
        <w:rPr>
          <w:rFonts w:cs="Calibri"/>
          <w:b/>
          <w:bCs/>
          <w:i/>
          <w:iCs/>
        </w:rPr>
        <w:t>Llamas and alpacas:</w:t>
      </w:r>
      <w:r w:rsidRPr="00261B7A">
        <w:rPr>
          <w:rFonts w:cs="Calibri"/>
        </w:rPr>
        <w:t xml:space="preserve"> No IPCC default value is available for CH</w:t>
      </w:r>
      <w:r w:rsidRPr="00261B7A">
        <w:rPr>
          <w:rFonts w:cs="Calibri"/>
          <w:vertAlign w:val="subscript"/>
        </w:rPr>
        <w:t>4</w:t>
      </w:r>
      <w:r w:rsidRPr="00261B7A">
        <w:rPr>
          <w:rFonts w:cs="Calibri"/>
        </w:rPr>
        <w:t xml:space="preserve"> emissions from manure management for </w:t>
      </w:r>
      <w:r w:rsidRPr="00261B7A">
        <w:rPr>
          <w:rFonts w:cs="Calibri"/>
          <w:i/>
          <w:iCs/>
        </w:rPr>
        <w:t>Llamas and alpacas</w:t>
      </w:r>
      <w:r w:rsidRPr="00261B7A">
        <w:rPr>
          <w:rFonts w:cs="Calibri"/>
        </w:rPr>
        <w:t>. The emissions are calculated by assuming that the CH</w:t>
      </w:r>
      <w:r w:rsidRPr="00261B7A">
        <w:rPr>
          <w:rFonts w:cs="Calibri"/>
          <w:vertAlign w:val="subscript"/>
        </w:rPr>
        <w:t>4</w:t>
      </w:r>
      <w:r w:rsidRPr="00261B7A">
        <w:rPr>
          <w:rFonts w:cs="Calibri"/>
        </w:rPr>
        <w:t xml:space="preserve"> emission factor from manure management for </w:t>
      </w:r>
      <w:r w:rsidRPr="00261B7A">
        <w:rPr>
          <w:rFonts w:cs="Calibri"/>
          <w:i/>
          <w:iCs/>
        </w:rPr>
        <w:t>Llamas and alpacas</w:t>
      </w:r>
      <w:r w:rsidRPr="00261B7A">
        <w:rPr>
          <w:rFonts w:cs="Calibri"/>
        </w:rPr>
        <w:t xml:space="preserve"> for all years is equal to the CH</w:t>
      </w:r>
      <w:r w:rsidRPr="00261B7A">
        <w:rPr>
          <w:rFonts w:cs="Calibri"/>
          <w:vertAlign w:val="subscript"/>
        </w:rPr>
        <w:t>4</w:t>
      </w:r>
      <w:r w:rsidRPr="00261B7A">
        <w:rPr>
          <w:rFonts w:cs="Calibri"/>
        </w:rPr>
        <w:t xml:space="preserve"> manure management IEF for </w:t>
      </w:r>
      <w:r w:rsidRPr="00261B7A">
        <w:rPr>
          <w:rFonts w:cs="Calibri"/>
          <w:i/>
          <w:iCs/>
        </w:rPr>
        <w:t>Sheep</w:t>
      </w:r>
      <w:r w:rsidRPr="00261B7A">
        <w:rPr>
          <w:rFonts w:cs="Calibri"/>
        </w:rPr>
        <w:t xml:space="preserve"> in 1990. The </w:t>
      </w:r>
      <w:r w:rsidRPr="00261B7A">
        <w:rPr>
          <w:rFonts w:cs="Calibri"/>
          <w:i/>
          <w:iCs/>
        </w:rPr>
        <w:t>Llamas and alpacas</w:t>
      </w:r>
      <w:r w:rsidRPr="00261B7A">
        <w:rPr>
          <w:rFonts w:cs="Calibri"/>
        </w:rPr>
        <w:t xml:space="preserve"> emission factor (0.10 kg CH</w:t>
      </w:r>
      <w:r w:rsidRPr="00261B7A">
        <w:rPr>
          <w:rFonts w:cs="Calibri"/>
          <w:vertAlign w:val="subscript"/>
        </w:rPr>
        <w:t>4</w:t>
      </w:r>
      <w:r w:rsidRPr="00261B7A">
        <w:rPr>
          <w:rFonts w:cs="Calibri"/>
        </w:rPr>
        <w:t xml:space="preserve"> head</w:t>
      </w:r>
      <w:r w:rsidRPr="00261B7A">
        <w:rPr>
          <w:rFonts w:cs="Calibri"/>
          <w:vertAlign w:val="superscript"/>
        </w:rPr>
        <w:t>-1</w:t>
      </w:r>
      <w:r w:rsidRPr="00261B7A">
        <w:rPr>
          <w:rFonts w:cs="Calibri"/>
        </w:rPr>
        <w:t xml:space="preserve"> year</w:t>
      </w:r>
      <w:r w:rsidRPr="00261B7A">
        <w:rPr>
          <w:rFonts w:cs="Calibri"/>
          <w:vertAlign w:val="superscript"/>
        </w:rPr>
        <w:t>-1</w:t>
      </w:r>
      <w:r w:rsidRPr="00261B7A">
        <w:rPr>
          <w:rFonts w:cs="Calibri"/>
        </w:rPr>
        <w:t>) is not indexed to sheep over time because there are no data indicating that alpacas have had the productivity increases over time seen in sheep.</w:t>
      </w:r>
    </w:p>
    <w:p w14:paraId="6AE6EB64" w14:textId="77777777" w:rsidR="00994F64" w:rsidRPr="00261B7A" w:rsidRDefault="00994F64" w:rsidP="00994F64">
      <w:pPr>
        <w:pStyle w:val="Heading4"/>
      </w:pPr>
      <w:r w:rsidRPr="00261B7A">
        <w:t xml:space="preserve">Nitrous oxide from manure management systems (CRF 3.B.(b)) </w:t>
      </w:r>
    </w:p>
    <w:p w14:paraId="37E15BD5" w14:textId="77777777" w:rsidR="00994F64" w:rsidRPr="00261B7A" w:rsidRDefault="00994F64" w:rsidP="002A0273">
      <w:pPr>
        <w:pStyle w:val="BodyText"/>
        <w:spacing w:before="80" w:after="100"/>
        <w:rPr>
          <w:rFonts w:cs="Calibri"/>
        </w:rPr>
      </w:pPr>
      <w:r w:rsidRPr="00261B7A">
        <w:rPr>
          <w:rFonts w:cs="Calibri"/>
          <w:spacing w:val="-2"/>
        </w:rPr>
        <w:t>Nitrous oxide emissions from manure management can be classified as either direct or indirec</w:t>
      </w:r>
      <w:r w:rsidRPr="00261B7A">
        <w:rPr>
          <w:rFonts w:cs="Calibri"/>
        </w:rPr>
        <w:t xml:space="preserve">t. Direct </w:t>
      </w:r>
      <w:r w:rsidRPr="00261B7A">
        <w:t>N</w:t>
      </w:r>
      <w:r w:rsidRPr="00261B7A">
        <w:rPr>
          <w:vertAlign w:val="subscript"/>
        </w:rPr>
        <w:t>2</w:t>
      </w:r>
      <w:r w:rsidRPr="00261B7A">
        <w:t>O</w:t>
      </w:r>
      <w:r w:rsidRPr="00261B7A">
        <w:rPr>
          <w:rFonts w:cs="Calibri"/>
        </w:rPr>
        <w:t xml:space="preserve"> emissions occur from nitrification and denitrification of nitrogen contained in the manure. Indirect </w:t>
      </w:r>
      <w:r w:rsidRPr="00261B7A">
        <w:t>N</w:t>
      </w:r>
      <w:r w:rsidRPr="00261B7A">
        <w:rPr>
          <w:vertAlign w:val="subscript"/>
        </w:rPr>
        <w:t>2</w:t>
      </w:r>
      <w:r w:rsidRPr="00261B7A">
        <w:t>O</w:t>
      </w:r>
      <w:r w:rsidRPr="00261B7A">
        <w:rPr>
          <w:rFonts w:cs="Calibri"/>
        </w:rPr>
        <w:t xml:space="preserve"> emissions result from volatile nitrogen losses in the forms of ammonia (NH</w:t>
      </w:r>
      <w:r w:rsidRPr="00261B7A">
        <w:rPr>
          <w:rFonts w:cs="Calibri"/>
          <w:vertAlign w:val="subscript"/>
        </w:rPr>
        <w:t>3</w:t>
      </w:r>
      <w:r w:rsidRPr="00261B7A">
        <w:rPr>
          <w:rFonts w:cs="Calibri"/>
        </w:rPr>
        <w:t>) and NO</w:t>
      </w:r>
      <w:r w:rsidRPr="00261B7A">
        <w:rPr>
          <w:rFonts w:cs="Calibri"/>
          <w:vertAlign w:val="subscript"/>
        </w:rPr>
        <w:t>x</w:t>
      </w:r>
      <w:r w:rsidRPr="00261B7A">
        <w:rPr>
          <w:rFonts w:cs="Calibri"/>
        </w:rPr>
        <w:t xml:space="preserve"> that are emitted via diffusion into the surrounding air (volatilisation) or via leaching and runoff. </w:t>
      </w:r>
    </w:p>
    <w:p w14:paraId="5B8CC1A2" w14:textId="77777777" w:rsidR="00994F64" w:rsidRPr="00261B7A" w:rsidRDefault="00994F64" w:rsidP="004E2E75">
      <w:pPr>
        <w:pStyle w:val="BodyText"/>
        <w:spacing w:after="80"/>
        <w:rPr>
          <w:rFonts w:cs="Calibri"/>
        </w:rPr>
      </w:pPr>
      <w:r w:rsidRPr="00261B7A">
        <w:rPr>
          <w:rFonts w:cs="Calibri"/>
        </w:rPr>
        <w:t>Nitrous oxide emissions from manure are calculated for each livestock category based on:</w:t>
      </w:r>
    </w:p>
    <w:p w14:paraId="41ED5A17" w14:textId="77777777" w:rsidR="00994F64" w:rsidRPr="00261B7A" w:rsidRDefault="00994F64" w:rsidP="004E2E75">
      <w:pPr>
        <w:spacing w:after="80"/>
        <w:ind w:left="397" w:hanging="397"/>
        <w:rPr>
          <w:rFonts w:cs="Calibri"/>
        </w:rPr>
      </w:pPr>
      <w:r w:rsidRPr="00261B7A">
        <w:rPr>
          <w:rFonts w:cs="Calibri"/>
        </w:rPr>
        <w:t xml:space="preserve">(1) </w:t>
      </w:r>
      <w:r w:rsidRPr="00261B7A">
        <w:rPr>
          <w:rFonts w:cs="Calibri"/>
        </w:rPr>
        <w:tab/>
        <w:t xml:space="preserve">livestock population characterisation data (consistent with section 5.1.3) </w:t>
      </w:r>
    </w:p>
    <w:p w14:paraId="49A5EFF5" w14:textId="77777777" w:rsidR="00994F64" w:rsidRPr="00261B7A" w:rsidRDefault="00994F64" w:rsidP="004E2E75">
      <w:pPr>
        <w:spacing w:after="80"/>
        <w:ind w:left="397" w:hanging="397"/>
        <w:rPr>
          <w:rFonts w:cs="Calibri"/>
        </w:rPr>
      </w:pPr>
      <w:r w:rsidRPr="00261B7A">
        <w:rPr>
          <w:rFonts w:cs="Calibri"/>
        </w:rPr>
        <w:t xml:space="preserve">(2) </w:t>
      </w:r>
      <w:r w:rsidRPr="00261B7A">
        <w:rPr>
          <w:rFonts w:cs="Calibri"/>
        </w:rPr>
        <w:tab/>
        <w:t>the average nitrogen excretion rate per head</w:t>
      </w:r>
      <w:r w:rsidRPr="00261B7A">
        <w:rPr>
          <w:rFonts w:cs="Calibri"/>
          <w:vertAlign w:val="superscript"/>
        </w:rPr>
        <w:t>-1</w:t>
      </w:r>
      <w:r w:rsidRPr="00261B7A">
        <w:rPr>
          <w:rFonts w:cs="Calibri"/>
        </w:rPr>
        <w:t xml:space="preserve"> year</w:t>
      </w:r>
      <w:r w:rsidRPr="00261B7A">
        <w:rPr>
          <w:rFonts w:cs="Calibri"/>
          <w:vertAlign w:val="superscript"/>
        </w:rPr>
        <w:t>-1</w:t>
      </w:r>
    </w:p>
    <w:p w14:paraId="7DF36E68" w14:textId="77777777" w:rsidR="00994F64" w:rsidRPr="00261B7A" w:rsidRDefault="00994F64" w:rsidP="004E2E75">
      <w:pPr>
        <w:spacing w:after="80"/>
        <w:ind w:left="397" w:hanging="397"/>
        <w:rPr>
          <w:rFonts w:cs="Calibri"/>
        </w:rPr>
      </w:pPr>
      <w:r w:rsidRPr="00261B7A">
        <w:rPr>
          <w:rFonts w:cs="Calibri"/>
        </w:rPr>
        <w:t xml:space="preserve">(3) </w:t>
      </w:r>
      <w:r w:rsidRPr="00261B7A">
        <w:rPr>
          <w:rFonts w:cs="Calibri"/>
        </w:rPr>
        <w:tab/>
        <w:t>an estimation of the total quantity of faecal material produced (consistent with the calculations in the previous section for CH</w:t>
      </w:r>
      <w:r w:rsidRPr="00261B7A">
        <w:rPr>
          <w:rFonts w:cs="Calibri"/>
          <w:vertAlign w:val="subscript"/>
        </w:rPr>
        <w:t>4</w:t>
      </w:r>
      <w:r w:rsidRPr="00261B7A">
        <w:rPr>
          <w:rFonts w:cs="Calibri"/>
        </w:rPr>
        <w:t xml:space="preserve"> from manure management) split into dung and urine</w:t>
      </w:r>
    </w:p>
    <w:p w14:paraId="7EDF74E7" w14:textId="77777777" w:rsidR="00994F64" w:rsidRPr="00261B7A" w:rsidRDefault="00994F64" w:rsidP="004E2E75">
      <w:pPr>
        <w:spacing w:after="80"/>
        <w:ind w:left="397" w:hanging="397"/>
        <w:rPr>
          <w:rFonts w:cs="Calibri"/>
        </w:rPr>
      </w:pPr>
      <w:r w:rsidRPr="00261B7A">
        <w:rPr>
          <w:rFonts w:cs="Calibri"/>
        </w:rPr>
        <w:t xml:space="preserve">(4) </w:t>
      </w:r>
      <w:r w:rsidRPr="00261B7A">
        <w:rPr>
          <w:rFonts w:cs="Calibri"/>
        </w:rPr>
        <w:tab/>
        <w:t>the partitioning of this faecal material between manure management systems (based on the manure distributions in table 5.3.2)</w:t>
      </w:r>
    </w:p>
    <w:p w14:paraId="5D94BC20" w14:textId="77777777" w:rsidR="00994F64" w:rsidRPr="00261B7A" w:rsidRDefault="00994F64" w:rsidP="004E2E75">
      <w:pPr>
        <w:spacing w:after="80"/>
        <w:ind w:left="397" w:hanging="397"/>
        <w:rPr>
          <w:rFonts w:cs="Calibri"/>
        </w:rPr>
      </w:pPr>
      <w:r w:rsidRPr="00261B7A">
        <w:rPr>
          <w:rFonts w:cs="Calibri"/>
        </w:rPr>
        <w:t xml:space="preserve">(5) </w:t>
      </w:r>
      <w:r w:rsidRPr="00261B7A">
        <w:rPr>
          <w:rFonts w:cs="Calibri"/>
        </w:rPr>
        <w:tab/>
        <w:t xml:space="preserve">the total amount of nitrogen managed in each system multiplied by an emission factor (IPCC, 2006). </w:t>
      </w:r>
    </w:p>
    <w:p w14:paraId="2E01FB5B" w14:textId="77777777" w:rsidR="00994F64" w:rsidRPr="00261B7A" w:rsidRDefault="00994F64" w:rsidP="00994F64">
      <w:pPr>
        <w:pStyle w:val="Heading5"/>
        <w:rPr>
          <w:rFonts w:cs="Calibri"/>
        </w:rPr>
      </w:pPr>
      <w:r w:rsidRPr="00261B7A">
        <w:rPr>
          <w:rFonts w:cs="Calibri"/>
        </w:rPr>
        <w:t>Nitrogen excretion rates for the major livestock categories</w:t>
      </w:r>
    </w:p>
    <w:p w14:paraId="1D14A2D5" w14:textId="77777777" w:rsidR="00994F64" w:rsidRPr="00261B7A" w:rsidRDefault="00994F64" w:rsidP="004E2E75">
      <w:pPr>
        <w:pStyle w:val="BodyText"/>
        <w:spacing w:before="80"/>
      </w:pPr>
      <w:r w:rsidRPr="00261B7A">
        <w:t>The nitrogen excretion (N</w:t>
      </w:r>
      <w:r w:rsidRPr="00261B7A">
        <w:rPr>
          <w:vertAlign w:val="subscript"/>
        </w:rPr>
        <w:t>ex</w:t>
      </w:r>
      <w:r w:rsidRPr="00261B7A">
        <w:t xml:space="preserve">) rates for the main livestock categories in New Zealand are calculated from the </w:t>
      </w:r>
      <w:r w:rsidRPr="001B6225">
        <w:t>nitrogen</w:t>
      </w:r>
      <w:r w:rsidRPr="00261B7A">
        <w:t xml:space="preserve"> intake less the nitrogen retained through digestion and contained within animal products, such as liveweight gain, milk, wool and velvet. Nitrogen intake is determined from the dry-matter feed intake and the nitrogen content of the feed eaten. Feed intake and animal productivity values are the same as those used in a Tier 3 model for determining DMI (Clark et al., 2003; section 5.1.3). Monthly values for the nitrogen content of feed are provided by Giltrap and McNeill (2020).</w:t>
      </w:r>
    </w:p>
    <w:p w14:paraId="3BB797E0" w14:textId="77777777" w:rsidR="00994F64" w:rsidRPr="00261B7A" w:rsidRDefault="00994F64" w:rsidP="00994F64">
      <w:pPr>
        <w:pStyle w:val="BodyText"/>
        <w:spacing w:before="100" w:after="100"/>
        <w:rPr>
          <w:rFonts w:cs="Calibri"/>
        </w:rPr>
      </w:pPr>
      <w:r w:rsidRPr="00261B7A">
        <w:rPr>
          <w:rFonts w:cs="Calibri"/>
        </w:rPr>
        <w:t xml:space="preserve">The nitrogen content of animal products is derived from industry data. for lactating dairy cows, the nitrogen content of milk is derived from the protein content of milk, which is published annually by LIC. The nitrogen content of sheep meat, milk and wool, as well as non-dairy (beef) meat and milk, and the nitrogen retained in deer velvet, is taken from New Zealand research (Bown et al., 2013). </w:t>
      </w:r>
    </w:p>
    <w:p w14:paraId="0D4A45B1" w14:textId="77777777" w:rsidR="00994F64" w:rsidRPr="00261B7A" w:rsidRDefault="00994F64" w:rsidP="00994F64">
      <w:pPr>
        <w:pStyle w:val="BodyText"/>
        <w:spacing w:before="100" w:after="100"/>
        <w:rPr>
          <w:rFonts w:cs="Calibri"/>
        </w:rPr>
      </w:pPr>
      <w:r w:rsidRPr="00261B7A">
        <w:rPr>
          <w:rFonts w:cs="Calibri"/>
        </w:rPr>
        <w:t>Table 5.3.3 shows the N</w:t>
      </w:r>
      <w:r w:rsidRPr="00261B7A">
        <w:rPr>
          <w:rFonts w:cs="Calibri"/>
          <w:vertAlign w:val="subscript"/>
        </w:rPr>
        <w:t>ex</w:t>
      </w:r>
      <w:r w:rsidRPr="00261B7A">
        <w:rPr>
          <w:rFonts w:cs="Calibri"/>
        </w:rPr>
        <w:t xml:space="preserve"> rates for the major livestock categories. These rates have increased over time, reflecting the increases in animal productivity and animal DMI in New Zealand since 1990. Nitrogen excretion</w:t>
      </w:r>
      <w:r w:rsidRPr="00261B7A" w:rsidDel="00317E26">
        <w:rPr>
          <w:rFonts w:cs="Calibri"/>
        </w:rPr>
        <w:t xml:space="preserve"> </w:t>
      </w:r>
      <w:r w:rsidRPr="00261B7A">
        <w:rPr>
          <w:rFonts w:cs="Calibri"/>
        </w:rPr>
        <w:t>rates are also affected by adverse weather events, which affect the amount of DMI and can cause large changes in productivity and N</w:t>
      </w:r>
      <w:r w:rsidRPr="00261B7A">
        <w:rPr>
          <w:rFonts w:cs="Calibri"/>
          <w:vertAlign w:val="subscript"/>
        </w:rPr>
        <w:t>ex</w:t>
      </w:r>
      <w:r w:rsidRPr="00261B7A">
        <w:rPr>
          <w:rFonts w:cs="Calibri"/>
        </w:rPr>
        <w:t xml:space="preserve"> rates in adjacent years (see section 5.1.1).</w:t>
      </w:r>
      <w:r w:rsidRPr="00261B7A">
        <w:rPr>
          <w:rStyle w:val="FootnoteReference"/>
          <w:rFonts w:cs="Calibri"/>
        </w:rPr>
        <w:footnoteReference w:id="55"/>
      </w:r>
      <w:r w:rsidRPr="00261B7A">
        <w:rPr>
          <w:rFonts w:cs="Calibri"/>
        </w:rPr>
        <w:t xml:space="preserve"> </w:t>
      </w:r>
    </w:p>
    <w:p w14:paraId="75605E8E" w14:textId="77777777" w:rsidR="00994F64" w:rsidRPr="00261B7A" w:rsidRDefault="00994F64" w:rsidP="00994F64">
      <w:pPr>
        <w:pStyle w:val="Table"/>
        <w:rPr>
          <w:rFonts w:cs="Calibri"/>
        </w:rPr>
      </w:pPr>
      <w:bookmarkStart w:id="873" w:name="_Toc288316754"/>
      <w:bookmarkStart w:id="874" w:name="_Toc235955628"/>
      <w:bookmarkStart w:id="875" w:name="_Toc352504972"/>
      <w:bookmarkStart w:id="876" w:name="_Toc441830875"/>
      <w:bookmarkStart w:id="877" w:name="_Toc451176089"/>
      <w:bookmarkStart w:id="878" w:name="_Toc481751517"/>
      <w:bookmarkStart w:id="879" w:name="_Toc507158605"/>
      <w:bookmarkStart w:id="880" w:name="_Toc511116739"/>
      <w:bookmarkStart w:id="881" w:name="_Toc5269479"/>
      <w:bookmarkStart w:id="882" w:name="_Toc32570922"/>
      <w:bookmarkStart w:id="883" w:name="_Toc36224557"/>
      <w:bookmarkStart w:id="884" w:name="_Toc68786442"/>
      <w:bookmarkStart w:id="885" w:name="_Toc95574076"/>
      <w:bookmarkStart w:id="886" w:name="_Toc127458261"/>
      <w:bookmarkStart w:id="887" w:name="_Toc131591357"/>
      <w:r w:rsidRPr="00261B7A">
        <w:rPr>
          <w:rFonts w:cs="Calibri"/>
        </w:rPr>
        <w:t>Table 5.3.3</w:t>
      </w:r>
      <w:r w:rsidRPr="00261B7A">
        <w:rPr>
          <w:rFonts w:cs="Calibri"/>
        </w:rPr>
        <w:tab/>
        <w:t>Nitrogen excretion rates (N</w:t>
      </w:r>
      <w:r w:rsidRPr="00261B7A">
        <w:rPr>
          <w:rFonts w:cs="Calibri"/>
          <w:vertAlign w:val="subscript"/>
        </w:rPr>
        <w:t>ex</w:t>
      </w:r>
      <w:r w:rsidRPr="00261B7A">
        <w:rPr>
          <w:rFonts w:cs="Calibri"/>
        </w:rPr>
        <w:t>) for New Zealand’s major livestock categories from 1990 to </w:t>
      </w:r>
      <w:bookmarkEnd w:id="873"/>
      <w:bookmarkEnd w:id="874"/>
      <w:bookmarkEnd w:id="875"/>
      <w:bookmarkEnd w:id="876"/>
      <w:bookmarkEnd w:id="877"/>
      <w:bookmarkEnd w:id="878"/>
      <w:bookmarkEnd w:id="879"/>
      <w:bookmarkEnd w:id="880"/>
      <w:bookmarkEnd w:id="881"/>
      <w:bookmarkEnd w:id="882"/>
      <w:bookmarkEnd w:id="883"/>
      <w:bookmarkEnd w:id="884"/>
      <w:bookmarkEnd w:id="885"/>
      <w:r w:rsidRPr="00261B7A">
        <w:rPr>
          <w:rFonts w:cs="Calibri"/>
        </w:rPr>
        <w:t>2021</w:t>
      </w:r>
      <w:bookmarkEnd w:id="886"/>
      <w:bookmarkEnd w:id="887"/>
      <w:r w:rsidRPr="00261B7A">
        <w:rPr>
          <w:rFonts w:cs="Calibri"/>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Look w:val="0000" w:firstRow="0" w:lastRow="0" w:firstColumn="0" w:lastColumn="0" w:noHBand="0" w:noVBand="0"/>
      </w:tblPr>
      <w:tblGrid>
        <w:gridCol w:w="1378"/>
        <w:gridCol w:w="1826"/>
        <w:gridCol w:w="1826"/>
        <w:gridCol w:w="1842"/>
        <w:gridCol w:w="1633"/>
      </w:tblGrid>
      <w:tr w:rsidR="00994F64" w:rsidRPr="00261B7A" w14:paraId="2393B0FA" w14:textId="77777777" w:rsidTr="00501B0F">
        <w:trPr>
          <w:tblHeader/>
        </w:trPr>
        <w:tc>
          <w:tcPr>
            <w:tcW w:w="1378" w:type="dxa"/>
            <w:tcBorders>
              <w:bottom w:val="single" w:sz="4" w:space="0" w:color="1B556B" w:themeColor="text2"/>
            </w:tcBorders>
            <w:shd w:val="clear" w:color="auto" w:fill="1B556B"/>
            <w:noWrap/>
            <w:vAlign w:val="bottom"/>
          </w:tcPr>
          <w:p w14:paraId="0D1863D4" w14:textId="77777777" w:rsidR="00994F64" w:rsidRPr="00261B7A" w:rsidRDefault="00994F64" w:rsidP="009B3201">
            <w:pPr>
              <w:pStyle w:val="TableTextBold"/>
              <w:keepNext/>
              <w:spacing w:before="30" w:after="30"/>
              <w:rPr>
                <w:noProof w:val="0"/>
                <w:color w:val="FFFFFF" w:themeColor="background1"/>
                <w:szCs w:val="16"/>
              </w:rPr>
            </w:pPr>
            <w:r w:rsidRPr="00261B7A">
              <w:rPr>
                <w:noProof w:val="0"/>
                <w:color w:val="FFFFFF" w:themeColor="background1"/>
                <w:szCs w:val="16"/>
              </w:rPr>
              <w:t>Year</w:t>
            </w:r>
          </w:p>
        </w:tc>
        <w:tc>
          <w:tcPr>
            <w:tcW w:w="1826" w:type="dxa"/>
            <w:shd w:val="clear" w:color="auto" w:fill="1B556B"/>
            <w:noWrap/>
            <w:vAlign w:val="bottom"/>
          </w:tcPr>
          <w:p w14:paraId="7BBA6167" w14:textId="77777777" w:rsidR="00994F64" w:rsidRPr="00261B7A" w:rsidRDefault="00994F64" w:rsidP="009B3201">
            <w:pPr>
              <w:pStyle w:val="TableTextBold"/>
              <w:keepNext/>
              <w:spacing w:before="30" w:after="30"/>
              <w:jc w:val="center"/>
              <w:rPr>
                <w:noProof w:val="0"/>
                <w:color w:val="FFFFFF" w:themeColor="background1"/>
                <w:szCs w:val="16"/>
              </w:rPr>
            </w:pPr>
            <w:r w:rsidRPr="00261B7A">
              <w:rPr>
                <w:noProof w:val="0"/>
                <w:color w:val="FFFFFF" w:themeColor="background1"/>
                <w:szCs w:val="16"/>
              </w:rPr>
              <w:t>Dairy cattle N</w:t>
            </w:r>
            <w:r w:rsidRPr="00261B7A">
              <w:rPr>
                <w:noProof w:val="0"/>
                <w:color w:val="FFFFFF" w:themeColor="background1"/>
                <w:szCs w:val="16"/>
                <w:vertAlign w:val="subscript"/>
              </w:rPr>
              <w:t>ex</w:t>
            </w:r>
            <w:r w:rsidRPr="00261B7A">
              <w:rPr>
                <w:noProof w:val="0"/>
                <w:color w:val="FFFFFF" w:themeColor="background1"/>
                <w:szCs w:val="16"/>
              </w:rPr>
              <w:t xml:space="preserve"> (kg/head/year)</w:t>
            </w:r>
          </w:p>
        </w:tc>
        <w:tc>
          <w:tcPr>
            <w:tcW w:w="1826" w:type="dxa"/>
            <w:shd w:val="clear" w:color="auto" w:fill="1B556B"/>
            <w:noWrap/>
            <w:vAlign w:val="bottom"/>
          </w:tcPr>
          <w:p w14:paraId="38379EC2" w14:textId="77777777" w:rsidR="00994F64" w:rsidRPr="00261B7A" w:rsidRDefault="00994F64" w:rsidP="009B3201">
            <w:pPr>
              <w:pStyle w:val="TableTextBold"/>
              <w:keepNext/>
              <w:spacing w:before="30" w:after="30"/>
              <w:jc w:val="center"/>
              <w:rPr>
                <w:noProof w:val="0"/>
                <w:color w:val="FFFFFF" w:themeColor="background1"/>
                <w:szCs w:val="16"/>
              </w:rPr>
            </w:pPr>
            <w:r w:rsidRPr="00261B7A">
              <w:rPr>
                <w:noProof w:val="0"/>
                <w:color w:val="FFFFFF" w:themeColor="background1"/>
                <w:szCs w:val="16"/>
              </w:rPr>
              <w:t xml:space="preserve">Non-dairy </w:t>
            </w:r>
            <w:r w:rsidRPr="00261B7A">
              <w:rPr>
                <w:i/>
                <w:iCs/>
                <w:noProof w:val="0"/>
                <w:color w:val="FFFFFF" w:themeColor="background1"/>
                <w:szCs w:val="16"/>
              </w:rPr>
              <w:t xml:space="preserve">(beef) </w:t>
            </w:r>
            <w:r w:rsidRPr="00261B7A">
              <w:rPr>
                <w:noProof w:val="0"/>
                <w:color w:val="FFFFFF" w:themeColor="background1"/>
                <w:szCs w:val="16"/>
              </w:rPr>
              <w:t>cattle N</w:t>
            </w:r>
            <w:r w:rsidRPr="00261B7A">
              <w:rPr>
                <w:noProof w:val="0"/>
                <w:color w:val="FFFFFF" w:themeColor="background1"/>
                <w:szCs w:val="16"/>
                <w:vertAlign w:val="subscript"/>
              </w:rPr>
              <w:t>ex</w:t>
            </w:r>
            <w:r w:rsidRPr="00261B7A">
              <w:rPr>
                <w:noProof w:val="0"/>
                <w:color w:val="FFFFFF" w:themeColor="background1"/>
                <w:szCs w:val="16"/>
              </w:rPr>
              <w:t xml:space="preserve"> (kg/head/year)</w:t>
            </w:r>
          </w:p>
        </w:tc>
        <w:tc>
          <w:tcPr>
            <w:tcW w:w="1842" w:type="dxa"/>
            <w:tcBorders>
              <w:bottom w:val="single" w:sz="4" w:space="0" w:color="auto"/>
            </w:tcBorders>
            <w:shd w:val="clear" w:color="auto" w:fill="1B556B"/>
            <w:noWrap/>
            <w:vAlign w:val="bottom"/>
          </w:tcPr>
          <w:p w14:paraId="48D25982" w14:textId="77777777" w:rsidR="00994F64" w:rsidRPr="00261B7A" w:rsidRDefault="00994F64" w:rsidP="009B3201">
            <w:pPr>
              <w:pStyle w:val="TableTextBold"/>
              <w:keepNext/>
              <w:spacing w:before="30" w:after="30"/>
              <w:jc w:val="center"/>
              <w:rPr>
                <w:noProof w:val="0"/>
                <w:color w:val="FFFFFF" w:themeColor="background1"/>
                <w:szCs w:val="16"/>
              </w:rPr>
            </w:pPr>
            <w:r w:rsidRPr="00261B7A">
              <w:rPr>
                <w:noProof w:val="0"/>
                <w:color w:val="FFFFFF" w:themeColor="background1"/>
                <w:szCs w:val="16"/>
              </w:rPr>
              <w:t>Sheep N</w:t>
            </w:r>
            <w:r w:rsidRPr="00261B7A">
              <w:rPr>
                <w:noProof w:val="0"/>
                <w:color w:val="FFFFFF" w:themeColor="background1"/>
                <w:szCs w:val="16"/>
                <w:vertAlign w:val="subscript"/>
              </w:rPr>
              <w:t>ex</w:t>
            </w:r>
            <w:r w:rsidRPr="00261B7A">
              <w:rPr>
                <w:noProof w:val="0"/>
                <w:color w:val="FFFFFF" w:themeColor="background1"/>
                <w:szCs w:val="16"/>
              </w:rPr>
              <w:t xml:space="preserve"> (kg/head/year)</w:t>
            </w:r>
          </w:p>
        </w:tc>
        <w:tc>
          <w:tcPr>
            <w:tcW w:w="1633" w:type="dxa"/>
            <w:tcBorders>
              <w:bottom w:val="single" w:sz="4" w:space="0" w:color="auto"/>
            </w:tcBorders>
            <w:shd w:val="clear" w:color="auto" w:fill="1B556B"/>
            <w:noWrap/>
            <w:vAlign w:val="bottom"/>
          </w:tcPr>
          <w:p w14:paraId="48C0B2AF" w14:textId="77777777" w:rsidR="00994F64" w:rsidRPr="00261B7A" w:rsidRDefault="00994F64" w:rsidP="009B3201">
            <w:pPr>
              <w:pStyle w:val="TableTextBold"/>
              <w:keepNext/>
              <w:spacing w:before="30" w:after="30"/>
              <w:jc w:val="center"/>
              <w:rPr>
                <w:noProof w:val="0"/>
                <w:color w:val="FFFFFF" w:themeColor="background1"/>
                <w:szCs w:val="16"/>
              </w:rPr>
            </w:pPr>
            <w:r w:rsidRPr="00261B7A">
              <w:rPr>
                <w:noProof w:val="0"/>
                <w:color w:val="FFFFFF" w:themeColor="background1"/>
                <w:szCs w:val="16"/>
              </w:rPr>
              <w:t>Deer N</w:t>
            </w:r>
            <w:r w:rsidRPr="00261B7A">
              <w:rPr>
                <w:noProof w:val="0"/>
                <w:color w:val="FFFFFF" w:themeColor="background1"/>
                <w:szCs w:val="16"/>
                <w:vertAlign w:val="subscript"/>
              </w:rPr>
              <w:t>ex</w:t>
            </w:r>
            <w:r w:rsidRPr="00261B7A">
              <w:rPr>
                <w:noProof w:val="0"/>
                <w:color w:val="FFFFFF" w:themeColor="background1"/>
                <w:szCs w:val="16"/>
              </w:rPr>
              <w:t xml:space="preserve"> (kg/head/year)</w:t>
            </w:r>
          </w:p>
        </w:tc>
      </w:tr>
      <w:tr w:rsidR="00994F64" w:rsidRPr="00261B7A" w14:paraId="43105E29" w14:textId="77777777" w:rsidTr="00833EE3">
        <w:tc>
          <w:tcPr>
            <w:tcW w:w="1378" w:type="dxa"/>
            <w:tcBorders>
              <w:left w:val="nil"/>
            </w:tcBorders>
            <w:noWrap/>
          </w:tcPr>
          <w:p w14:paraId="73F932A5" w14:textId="77777777" w:rsidR="00994F64" w:rsidRPr="00261B7A" w:rsidRDefault="00994F64" w:rsidP="009B3201">
            <w:pPr>
              <w:pStyle w:val="TableText"/>
              <w:keepNext/>
              <w:spacing w:before="40" w:after="30"/>
              <w:rPr>
                <w:rFonts w:cs="Calibri"/>
                <w:szCs w:val="16"/>
              </w:rPr>
            </w:pPr>
            <w:r w:rsidRPr="00261B7A">
              <w:rPr>
                <w:rFonts w:cs="Calibri"/>
                <w:szCs w:val="16"/>
              </w:rPr>
              <w:t>1990</w:t>
            </w:r>
          </w:p>
        </w:tc>
        <w:tc>
          <w:tcPr>
            <w:tcW w:w="1826" w:type="dxa"/>
            <w:shd w:val="clear" w:color="auto" w:fill="auto"/>
            <w:noWrap/>
          </w:tcPr>
          <w:p w14:paraId="3A18DD40" w14:textId="77777777" w:rsidR="00994F64" w:rsidRPr="00261B7A" w:rsidRDefault="00994F64" w:rsidP="009B3201">
            <w:pPr>
              <w:pStyle w:val="TableText"/>
              <w:spacing w:before="40" w:after="30"/>
              <w:jc w:val="center"/>
              <w:rPr>
                <w:rFonts w:cs="Calibri"/>
                <w:szCs w:val="16"/>
              </w:rPr>
            </w:pPr>
            <w:r w:rsidRPr="00261B7A">
              <w:t>82.1</w:t>
            </w:r>
          </w:p>
        </w:tc>
        <w:tc>
          <w:tcPr>
            <w:tcW w:w="1826" w:type="dxa"/>
            <w:shd w:val="clear" w:color="auto" w:fill="auto"/>
            <w:noWrap/>
          </w:tcPr>
          <w:p w14:paraId="66ECBD16" w14:textId="77777777" w:rsidR="00994F64" w:rsidRPr="00261B7A" w:rsidRDefault="00994F64" w:rsidP="009B3201">
            <w:pPr>
              <w:pStyle w:val="TableText"/>
              <w:spacing w:before="40" w:after="30"/>
              <w:jc w:val="center"/>
            </w:pPr>
            <w:r w:rsidRPr="00261B7A">
              <w:t>65.6</w:t>
            </w:r>
          </w:p>
        </w:tc>
        <w:tc>
          <w:tcPr>
            <w:tcW w:w="1842" w:type="dxa"/>
            <w:tcBorders>
              <w:top w:val="single" w:sz="4" w:space="0" w:color="auto"/>
              <w:left w:val="nil"/>
              <w:bottom w:val="single" w:sz="4" w:space="0" w:color="auto"/>
              <w:right w:val="nil"/>
            </w:tcBorders>
            <w:shd w:val="clear" w:color="auto" w:fill="auto"/>
            <w:noWrap/>
            <w:vAlign w:val="bottom"/>
          </w:tcPr>
          <w:p w14:paraId="231ED0DB"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13.7</w:t>
            </w:r>
          </w:p>
        </w:tc>
        <w:tc>
          <w:tcPr>
            <w:tcW w:w="1633" w:type="dxa"/>
            <w:tcBorders>
              <w:top w:val="single" w:sz="4" w:space="0" w:color="auto"/>
              <w:left w:val="nil"/>
              <w:bottom w:val="single" w:sz="4" w:space="0" w:color="auto"/>
              <w:right w:val="nil"/>
            </w:tcBorders>
            <w:shd w:val="clear" w:color="auto" w:fill="auto"/>
            <w:noWrap/>
            <w:vAlign w:val="bottom"/>
          </w:tcPr>
          <w:p w14:paraId="703F2F8E"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25</w:t>
            </w:r>
            <w:r w:rsidRPr="00261B7A">
              <w:rPr>
                <w:rFonts w:asciiTheme="minorHAnsi" w:hAnsiTheme="minorHAnsi"/>
              </w:rPr>
              <w:t>.2</w:t>
            </w:r>
          </w:p>
        </w:tc>
      </w:tr>
      <w:tr w:rsidR="00994F64" w:rsidRPr="00261B7A" w14:paraId="47C7CCEC" w14:textId="77777777" w:rsidTr="00833EE3">
        <w:tc>
          <w:tcPr>
            <w:tcW w:w="1378" w:type="dxa"/>
            <w:tcBorders>
              <w:left w:val="nil"/>
            </w:tcBorders>
            <w:noWrap/>
          </w:tcPr>
          <w:p w14:paraId="65F9233C" w14:textId="77777777" w:rsidR="00994F64" w:rsidRPr="00261B7A" w:rsidRDefault="00994F64" w:rsidP="009B3201">
            <w:pPr>
              <w:pStyle w:val="TableText"/>
              <w:keepNext/>
              <w:spacing w:before="40" w:after="30"/>
              <w:rPr>
                <w:rFonts w:cs="Calibri"/>
                <w:szCs w:val="16"/>
              </w:rPr>
            </w:pPr>
            <w:r w:rsidRPr="00261B7A">
              <w:rPr>
                <w:rFonts w:cs="Calibri"/>
                <w:szCs w:val="16"/>
              </w:rPr>
              <w:t>1991</w:t>
            </w:r>
          </w:p>
        </w:tc>
        <w:tc>
          <w:tcPr>
            <w:tcW w:w="1826" w:type="dxa"/>
            <w:shd w:val="clear" w:color="auto" w:fill="auto"/>
            <w:noWrap/>
          </w:tcPr>
          <w:p w14:paraId="21C9948F" w14:textId="77777777" w:rsidR="00994F64" w:rsidRPr="00261B7A" w:rsidRDefault="00994F64" w:rsidP="009B3201">
            <w:pPr>
              <w:pStyle w:val="TableText"/>
              <w:spacing w:before="40" w:after="30"/>
              <w:jc w:val="center"/>
              <w:rPr>
                <w:rFonts w:cs="Calibri"/>
                <w:szCs w:val="16"/>
              </w:rPr>
            </w:pPr>
            <w:r w:rsidRPr="00261B7A">
              <w:t>86.3</w:t>
            </w:r>
          </w:p>
        </w:tc>
        <w:tc>
          <w:tcPr>
            <w:tcW w:w="1826" w:type="dxa"/>
            <w:shd w:val="clear" w:color="auto" w:fill="auto"/>
            <w:noWrap/>
          </w:tcPr>
          <w:p w14:paraId="4D54EAAB" w14:textId="77777777" w:rsidR="00994F64" w:rsidRPr="00261B7A" w:rsidRDefault="00994F64" w:rsidP="009B3201">
            <w:pPr>
              <w:pStyle w:val="TableText"/>
              <w:spacing w:before="40" w:after="30"/>
              <w:jc w:val="center"/>
            </w:pPr>
            <w:r w:rsidRPr="00261B7A">
              <w:t>67.7</w:t>
            </w:r>
          </w:p>
        </w:tc>
        <w:tc>
          <w:tcPr>
            <w:tcW w:w="1842" w:type="dxa"/>
            <w:tcBorders>
              <w:top w:val="single" w:sz="4" w:space="0" w:color="auto"/>
              <w:left w:val="nil"/>
              <w:bottom w:val="single" w:sz="4" w:space="0" w:color="auto"/>
              <w:right w:val="nil"/>
            </w:tcBorders>
            <w:shd w:val="clear" w:color="auto" w:fill="auto"/>
            <w:noWrap/>
            <w:vAlign w:val="bottom"/>
          </w:tcPr>
          <w:p w14:paraId="4DBB8F37"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14.</w:t>
            </w:r>
            <w:r w:rsidRPr="00261B7A">
              <w:rPr>
                <w:rFonts w:asciiTheme="minorHAnsi" w:hAnsiTheme="minorHAnsi" w:cstheme="minorHAnsi"/>
                <w:szCs w:val="16"/>
              </w:rPr>
              <w:t>0</w:t>
            </w:r>
          </w:p>
        </w:tc>
        <w:tc>
          <w:tcPr>
            <w:tcW w:w="1633" w:type="dxa"/>
            <w:tcBorders>
              <w:top w:val="single" w:sz="4" w:space="0" w:color="auto"/>
              <w:left w:val="nil"/>
              <w:bottom w:val="single" w:sz="4" w:space="0" w:color="auto"/>
              <w:right w:val="nil"/>
            </w:tcBorders>
            <w:shd w:val="clear" w:color="auto" w:fill="auto"/>
            <w:noWrap/>
            <w:vAlign w:val="bottom"/>
          </w:tcPr>
          <w:p w14:paraId="2F721CCE"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26.</w:t>
            </w:r>
            <w:r w:rsidRPr="00261B7A">
              <w:rPr>
                <w:rFonts w:asciiTheme="minorHAnsi" w:hAnsiTheme="minorHAnsi" w:cstheme="minorHAnsi"/>
                <w:szCs w:val="16"/>
              </w:rPr>
              <w:t>0</w:t>
            </w:r>
          </w:p>
        </w:tc>
      </w:tr>
      <w:tr w:rsidR="00994F64" w:rsidRPr="00261B7A" w14:paraId="5953FC2D" w14:textId="77777777" w:rsidTr="00833EE3">
        <w:tc>
          <w:tcPr>
            <w:tcW w:w="1378" w:type="dxa"/>
            <w:tcBorders>
              <w:left w:val="nil"/>
            </w:tcBorders>
            <w:noWrap/>
          </w:tcPr>
          <w:p w14:paraId="570D5B84" w14:textId="77777777" w:rsidR="00994F64" w:rsidRPr="00261B7A" w:rsidRDefault="00994F64" w:rsidP="009B3201">
            <w:pPr>
              <w:pStyle w:val="TableText"/>
              <w:spacing w:before="40" w:after="30"/>
              <w:rPr>
                <w:rFonts w:cs="Calibri"/>
                <w:szCs w:val="16"/>
              </w:rPr>
            </w:pPr>
            <w:r w:rsidRPr="00261B7A">
              <w:rPr>
                <w:rFonts w:cs="Calibri"/>
                <w:szCs w:val="16"/>
              </w:rPr>
              <w:t>1992</w:t>
            </w:r>
          </w:p>
        </w:tc>
        <w:tc>
          <w:tcPr>
            <w:tcW w:w="1826" w:type="dxa"/>
            <w:shd w:val="clear" w:color="auto" w:fill="auto"/>
            <w:noWrap/>
          </w:tcPr>
          <w:p w14:paraId="367CB25E" w14:textId="77777777" w:rsidR="00994F64" w:rsidRPr="00261B7A" w:rsidRDefault="00994F64" w:rsidP="009B3201">
            <w:pPr>
              <w:pStyle w:val="TableText"/>
              <w:spacing w:before="40" w:after="30"/>
              <w:jc w:val="center"/>
              <w:rPr>
                <w:rFonts w:cs="Calibri"/>
                <w:szCs w:val="16"/>
              </w:rPr>
            </w:pPr>
            <w:r w:rsidRPr="00261B7A">
              <w:rPr>
                <w:szCs w:val="16"/>
              </w:rPr>
              <w:t>86.9</w:t>
            </w:r>
          </w:p>
        </w:tc>
        <w:tc>
          <w:tcPr>
            <w:tcW w:w="1826" w:type="dxa"/>
            <w:shd w:val="clear" w:color="auto" w:fill="auto"/>
            <w:noWrap/>
          </w:tcPr>
          <w:p w14:paraId="68D38AB3" w14:textId="77777777" w:rsidR="00994F64" w:rsidRPr="00261B7A" w:rsidRDefault="00994F64" w:rsidP="009B3201">
            <w:pPr>
              <w:pStyle w:val="TableText"/>
              <w:spacing w:before="40" w:after="30"/>
              <w:jc w:val="center"/>
            </w:pPr>
            <w:r w:rsidRPr="00261B7A">
              <w:t>68.8</w:t>
            </w:r>
          </w:p>
        </w:tc>
        <w:tc>
          <w:tcPr>
            <w:tcW w:w="1842" w:type="dxa"/>
            <w:tcBorders>
              <w:top w:val="single" w:sz="4" w:space="0" w:color="auto"/>
              <w:left w:val="nil"/>
              <w:bottom w:val="single" w:sz="4" w:space="0" w:color="auto"/>
              <w:right w:val="nil"/>
            </w:tcBorders>
            <w:shd w:val="clear" w:color="auto" w:fill="auto"/>
            <w:noWrap/>
            <w:vAlign w:val="bottom"/>
          </w:tcPr>
          <w:p w14:paraId="167CEAF8"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13.9</w:t>
            </w:r>
          </w:p>
        </w:tc>
        <w:tc>
          <w:tcPr>
            <w:tcW w:w="1633" w:type="dxa"/>
            <w:tcBorders>
              <w:top w:val="single" w:sz="4" w:space="0" w:color="auto"/>
              <w:left w:val="nil"/>
              <w:bottom w:val="single" w:sz="4" w:space="0" w:color="auto"/>
              <w:right w:val="nil"/>
            </w:tcBorders>
            <w:shd w:val="clear" w:color="auto" w:fill="auto"/>
            <w:noWrap/>
            <w:vAlign w:val="bottom"/>
          </w:tcPr>
          <w:p w14:paraId="514EDBD3"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26.9</w:t>
            </w:r>
          </w:p>
        </w:tc>
      </w:tr>
      <w:tr w:rsidR="00994F64" w:rsidRPr="00261B7A" w14:paraId="5E56CC4D" w14:textId="77777777" w:rsidTr="00833EE3">
        <w:tc>
          <w:tcPr>
            <w:tcW w:w="1378" w:type="dxa"/>
            <w:tcBorders>
              <w:left w:val="nil"/>
            </w:tcBorders>
            <w:noWrap/>
          </w:tcPr>
          <w:p w14:paraId="05FE31FA" w14:textId="77777777" w:rsidR="00994F64" w:rsidRPr="00261B7A" w:rsidRDefault="00994F64" w:rsidP="009B3201">
            <w:pPr>
              <w:pStyle w:val="TableText"/>
              <w:spacing w:before="40" w:after="30"/>
              <w:rPr>
                <w:rFonts w:cs="Calibri"/>
                <w:szCs w:val="16"/>
              </w:rPr>
            </w:pPr>
            <w:r w:rsidRPr="00261B7A">
              <w:rPr>
                <w:rFonts w:cs="Calibri"/>
                <w:szCs w:val="16"/>
              </w:rPr>
              <w:t>1993</w:t>
            </w:r>
          </w:p>
        </w:tc>
        <w:tc>
          <w:tcPr>
            <w:tcW w:w="1826" w:type="dxa"/>
            <w:shd w:val="clear" w:color="auto" w:fill="auto"/>
            <w:noWrap/>
          </w:tcPr>
          <w:p w14:paraId="03CFFF51" w14:textId="77777777" w:rsidR="00994F64" w:rsidRPr="00261B7A" w:rsidRDefault="00994F64" w:rsidP="009B3201">
            <w:pPr>
              <w:pStyle w:val="TableText"/>
              <w:spacing w:before="40" w:after="30"/>
              <w:jc w:val="center"/>
              <w:rPr>
                <w:rFonts w:cs="Calibri"/>
                <w:szCs w:val="16"/>
              </w:rPr>
            </w:pPr>
            <w:r w:rsidRPr="00261B7A">
              <w:rPr>
                <w:rFonts w:cs="Calibri"/>
                <w:szCs w:val="16"/>
              </w:rPr>
              <w:t>86.6</w:t>
            </w:r>
          </w:p>
        </w:tc>
        <w:tc>
          <w:tcPr>
            <w:tcW w:w="1826" w:type="dxa"/>
            <w:shd w:val="clear" w:color="auto" w:fill="auto"/>
            <w:noWrap/>
          </w:tcPr>
          <w:p w14:paraId="5D828271" w14:textId="77777777" w:rsidR="00994F64" w:rsidRPr="00261B7A" w:rsidRDefault="00994F64" w:rsidP="009B3201">
            <w:pPr>
              <w:pStyle w:val="TableText"/>
              <w:spacing w:before="40" w:after="30"/>
              <w:jc w:val="center"/>
            </w:pPr>
            <w:r w:rsidRPr="00261B7A">
              <w:t>70.1</w:t>
            </w:r>
          </w:p>
        </w:tc>
        <w:tc>
          <w:tcPr>
            <w:tcW w:w="1842" w:type="dxa"/>
            <w:tcBorders>
              <w:top w:val="single" w:sz="4" w:space="0" w:color="auto"/>
              <w:left w:val="nil"/>
              <w:bottom w:val="single" w:sz="4" w:space="0" w:color="auto"/>
              <w:right w:val="nil"/>
            </w:tcBorders>
            <w:shd w:val="clear" w:color="auto" w:fill="auto"/>
            <w:noWrap/>
            <w:vAlign w:val="bottom"/>
          </w:tcPr>
          <w:p w14:paraId="72D315D8"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14.</w:t>
            </w:r>
            <w:r w:rsidRPr="00261B7A">
              <w:rPr>
                <w:rFonts w:asciiTheme="minorHAnsi" w:hAnsiTheme="minorHAnsi" w:cstheme="minorHAnsi"/>
                <w:szCs w:val="16"/>
              </w:rPr>
              <w:t>4</w:t>
            </w:r>
          </w:p>
        </w:tc>
        <w:tc>
          <w:tcPr>
            <w:tcW w:w="1633" w:type="dxa"/>
            <w:tcBorders>
              <w:top w:val="single" w:sz="4" w:space="0" w:color="auto"/>
              <w:left w:val="nil"/>
              <w:bottom w:val="single" w:sz="4" w:space="0" w:color="auto"/>
              <w:right w:val="nil"/>
            </w:tcBorders>
            <w:shd w:val="clear" w:color="auto" w:fill="auto"/>
            <w:noWrap/>
            <w:vAlign w:val="bottom"/>
          </w:tcPr>
          <w:p w14:paraId="26F9F5C8"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27.4</w:t>
            </w:r>
          </w:p>
        </w:tc>
      </w:tr>
      <w:tr w:rsidR="00994F64" w:rsidRPr="00261B7A" w14:paraId="5B57D0D2" w14:textId="77777777" w:rsidTr="00833EE3">
        <w:tc>
          <w:tcPr>
            <w:tcW w:w="1378" w:type="dxa"/>
            <w:tcBorders>
              <w:left w:val="nil"/>
            </w:tcBorders>
            <w:noWrap/>
          </w:tcPr>
          <w:p w14:paraId="42E88D39" w14:textId="77777777" w:rsidR="00994F64" w:rsidRPr="00261B7A" w:rsidRDefault="00994F64" w:rsidP="009B3201">
            <w:pPr>
              <w:pStyle w:val="TableText"/>
              <w:spacing w:before="40" w:after="30"/>
              <w:rPr>
                <w:rFonts w:cs="Calibri"/>
                <w:szCs w:val="16"/>
              </w:rPr>
            </w:pPr>
            <w:r w:rsidRPr="00261B7A">
              <w:rPr>
                <w:rFonts w:cs="Calibri"/>
                <w:szCs w:val="16"/>
              </w:rPr>
              <w:t>1994</w:t>
            </w:r>
          </w:p>
        </w:tc>
        <w:tc>
          <w:tcPr>
            <w:tcW w:w="1826" w:type="dxa"/>
            <w:shd w:val="clear" w:color="auto" w:fill="auto"/>
            <w:noWrap/>
          </w:tcPr>
          <w:p w14:paraId="6E7EA915" w14:textId="77777777" w:rsidR="00994F64" w:rsidRPr="00261B7A" w:rsidRDefault="00994F64" w:rsidP="009B3201">
            <w:pPr>
              <w:pStyle w:val="TableText"/>
              <w:spacing w:before="40" w:after="30"/>
              <w:jc w:val="center"/>
              <w:rPr>
                <w:rFonts w:cs="Calibri"/>
                <w:szCs w:val="16"/>
              </w:rPr>
            </w:pPr>
            <w:r w:rsidRPr="00261B7A">
              <w:rPr>
                <w:rFonts w:cs="Calibri"/>
                <w:szCs w:val="16"/>
              </w:rPr>
              <w:t>84</w:t>
            </w:r>
            <w:r w:rsidRPr="00261B7A">
              <w:t>.8</w:t>
            </w:r>
          </w:p>
        </w:tc>
        <w:tc>
          <w:tcPr>
            <w:tcW w:w="1826" w:type="dxa"/>
            <w:shd w:val="clear" w:color="auto" w:fill="auto"/>
            <w:noWrap/>
          </w:tcPr>
          <w:p w14:paraId="0C29819E" w14:textId="77777777" w:rsidR="00994F64" w:rsidRPr="00261B7A" w:rsidRDefault="00994F64" w:rsidP="009B3201">
            <w:pPr>
              <w:pStyle w:val="TableText"/>
              <w:spacing w:before="40" w:after="30"/>
              <w:jc w:val="center"/>
            </w:pPr>
            <w:r w:rsidRPr="00261B7A">
              <w:t>70.7</w:t>
            </w:r>
          </w:p>
        </w:tc>
        <w:tc>
          <w:tcPr>
            <w:tcW w:w="1842" w:type="dxa"/>
            <w:tcBorders>
              <w:top w:val="single" w:sz="4" w:space="0" w:color="auto"/>
              <w:left w:val="nil"/>
              <w:bottom w:val="single" w:sz="4" w:space="0" w:color="auto"/>
              <w:right w:val="nil"/>
            </w:tcBorders>
            <w:shd w:val="clear" w:color="auto" w:fill="auto"/>
            <w:noWrap/>
            <w:vAlign w:val="bottom"/>
          </w:tcPr>
          <w:p w14:paraId="2F5E4EF6"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14.</w:t>
            </w:r>
            <w:r w:rsidRPr="00261B7A">
              <w:rPr>
                <w:rFonts w:asciiTheme="minorHAnsi" w:hAnsiTheme="minorHAnsi" w:cstheme="minorHAnsi"/>
                <w:szCs w:val="16"/>
              </w:rPr>
              <w:t>6</w:t>
            </w:r>
          </w:p>
        </w:tc>
        <w:tc>
          <w:tcPr>
            <w:tcW w:w="1633" w:type="dxa"/>
            <w:tcBorders>
              <w:top w:val="single" w:sz="4" w:space="0" w:color="auto"/>
              <w:left w:val="nil"/>
              <w:bottom w:val="single" w:sz="4" w:space="0" w:color="auto"/>
              <w:right w:val="nil"/>
            </w:tcBorders>
            <w:shd w:val="clear" w:color="auto" w:fill="auto"/>
            <w:noWrap/>
            <w:vAlign w:val="bottom"/>
          </w:tcPr>
          <w:p w14:paraId="5007EE8F"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27.1</w:t>
            </w:r>
          </w:p>
        </w:tc>
      </w:tr>
      <w:tr w:rsidR="00994F64" w:rsidRPr="00261B7A" w14:paraId="12215835" w14:textId="77777777" w:rsidTr="00833EE3">
        <w:tc>
          <w:tcPr>
            <w:tcW w:w="1378" w:type="dxa"/>
            <w:tcBorders>
              <w:left w:val="nil"/>
            </w:tcBorders>
            <w:noWrap/>
          </w:tcPr>
          <w:p w14:paraId="52F2DF34" w14:textId="77777777" w:rsidR="00994F64" w:rsidRPr="00261B7A" w:rsidRDefault="00994F64" w:rsidP="009B3201">
            <w:pPr>
              <w:pStyle w:val="TableText"/>
              <w:spacing w:before="40" w:after="30"/>
              <w:rPr>
                <w:rFonts w:cs="Calibri"/>
                <w:szCs w:val="16"/>
              </w:rPr>
            </w:pPr>
            <w:r w:rsidRPr="00261B7A">
              <w:rPr>
                <w:rFonts w:cs="Calibri"/>
                <w:szCs w:val="16"/>
              </w:rPr>
              <w:t>1995</w:t>
            </w:r>
          </w:p>
        </w:tc>
        <w:tc>
          <w:tcPr>
            <w:tcW w:w="1826" w:type="dxa"/>
            <w:shd w:val="clear" w:color="auto" w:fill="auto"/>
            <w:noWrap/>
          </w:tcPr>
          <w:p w14:paraId="4A69C2B4" w14:textId="77777777" w:rsidR="00994F64" w:rsidRPr="00261B7A" w:rsidRDefault="00994F64" w:rsidP="009B3201">
            <w:pPr>
              <w:pStyle w:val="TableText"/>
              <w:spacing w:before="40" w:after="30"/>
              <w:jc w:val="center"/>
              <w:rPr>
                <w:rFonts w:cs="Calibri"/>
                <w:szCs w:val="16"/>
              </w:rPr>
            </w:pPr>
            <w:r w:rsidRPr="00261B7A">
              <w:rPr>
                <w:rFonts w:cs="Calibri"/>
                <w:szCs w:val="16"/>
              </w:rPr>
              <w:t>85.8</w:t>
            </w:r>
          </w:p>
        </w:tc>
        <w:tc>
          <w:tcPr>
            <w:tcW w:w="1826" w:type="dxa"/>
            <w:shd w:val="clear" w:color="auto" w:fill="auto"/>
            <w:noWrap/>
          </w:tcPr>
          <w:p w14:paraId="565F540C" w14:textId="77777777" w:rsidR="00994F64" w:rsidRPr="00261B7A" w:rsidRDefault="00994F64" w:rsidP="009B3201">
            <w:pPr>
              <w:pStyle w:val="TableText"/>
              <w:spacing w:before="40" w:after="30"/>
              <w:jc w:val="center"/>
            </w:pPr>
            <w:r w:rsidRPr="00261B7A">
              <w:t>70.0</w:t>
            </w:r>
          </w:p>
        </w:tc>
        <w:tc>
          <w:tcPr>
            <w:tcW w:w="1842" w:type="dxa"/>
            <w:tcBorders>
              <w:top w:val="single" w:sz="4" w:space="0" w:color="auto"/>
              <w:left w:val="nil"/>
              <w:bottom w:val="single" w:sz="4" w:space="0" w:color="auto"/>
              <w:right w:val="nil"/>
            </w:tcBorders>
            <w:shd w:val="clear" w:color="auto" w:fill="auto"/>
            <w:noWrap/>
            <w:vAlign w:val="bottom"/>
          </w:tcPr>
          <w:p w14:paraId="22283657"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14.</w:t>
            </w:r>
            <w:r w:rsidRPr="00261B7A">
              <w:rPr>
                <w:rFonts w:asciiTheme="minorHAnsi" w:hAnsiTheme="minorHAnsi" w:cstheme="minorHAnsi"/>
                <w:szCs w:val="16"/>
              </w:rPr>
              <w:t>4</w:t>
            </w:r>
          </w:p>
        </w:tc>
        <w:tc>
          <w:tcPr>
            <w:tcW w:w="1633" w:type="dxa"/>
            <w:tcBorders>
              <w:top w:val="single" w:sz="4" w:space="0" w:color="auto"/>
              <w:left w:val="nil"/>
              <w:bottom w:val="single" w:sz="4" w:space="0" w:color="auto"/>
              <w:right w:val="nil"/>
            </w:tcBorders>
            <w:shd w:val="clear" w:color="auto" w:fill="auto"/>
            <w:noWrap/>
            <w:vAlign w:val="bottom"/>
          </w:tcPr>
          <w:p w14:paraId="7BB9633F"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28.01</w:t>
            </w:r>
          </w:p>
        </w:tc>
      </w:tr>
      <w:tr w:rsidR="00994F64" w:rsidRPr="00261B7A" w14:paraId="58D304A7" w14:textId="77777777" w:rsidTr="00833EE3">
        <w:tc>
          <w:tcPr>
            <w:tcW w:w="1378" w:type="dxa"/>
            <w:tcBorders>
              <w:left w:val="nil"/>
            </w:tcBorders>
            <w:noWrap/>
          </w:tcPr>
          <w:p w14:paraId="2441A785" w14:textId="77777777" w:rsidR="00994F64" w:rsidRPr="00261B7A" w:rsidRDefault="00994F64" w:rsidP="009B3201">
            <w:pPr>
              <w:pStyle w:val="TableText"/>
              <w:spacing w:before="40" w:after="30"/>
              <w:rPr>
                <w:rFonts w:cs="Calibri"/>
                <w:szCs w:val="16"/>
              </w:rPr>
            </w:pPr>
            <w:r w:rsidRPr="00261B7A">
              <w:rPr>
                <w:rFonts w:cs="Calibri"/>
                <w:szCs w:val="16"/>
              </w:rPr>
              <w:t>1996</w:t>
            </w:r>
          </w:p>
        </w:tc>
        <w:tc>
          <w:tcPr>
            <w:tcW w:w="1826" w:type="dxa"/>
            <w:shd w:val="clear" w:color="auto" w:fill="auto"/>
            <w:noWrap/>
          </w:tcPr>
          <w:p w14:paraId="05C470FD" w14:textId="77777777" w:rsidR="00994F64" w:rsidRPr="00261B7A" w:rsidRDefault="00994F64" w:rsidP="009B3201">
            <w:pPr>
              <w:pStyle w:val="TableText"/>
              <w:spacing w:before="40" w:after="30"/>
              <w:jc w:val="center"/>
              <w:rPr>
                <w:rFonts w:cs="Calibri"/>
                <w:szCs w:val="16"/>
              </w:rPr>
            </w:pPr>
            <w:r w:rsidRPr="00261B7A">
              <w:rPr>
                <w:rFonts w:cs="Calibri"/>
                <w:szCs w:val="16"/>
              </w:rPr>
              <w:t>88.8</w:t>
            </w:r>
          </w:p>
        </w:tc>
        <w:tc>
          <w:tcPr>
            <w:tcW w:w="1826" w:type="dxa"/>
            <w:shd w:val="clear" w:color="auto" w:fill="auto"/>
            <w:noWrap/>
          </w:tcPr>
          <w:p w14:paraId="5C2F3AF4" w14:textId="77777777" w:rsidR="00994F64" w:rsidRPr="00261B7A" w:rsidRDefault="00994F64" w:rsidP="009B3201">
            <w:pPr>
              <w:pStyle w:val="TableText"/>
              <w:spacing w:before="40" w:after="30"/>
              <w:jc w:val="center"/>
            </w:pPr>
            <w:r w:rsidRPr="00261B7A">
              <w:t>72.6</w:t>
            </w:r>
          </w:p>
        </w:tc>
        <w:tc>
          <w:tcPr>
            <w:tcW w:w="1842" w:type="dxa"/>
            <w:tcBorders>
              <w:top w:val="single" w:sz="4" w:space="0" w:color="auto"/>
              <w:left w:val="nil"/>
              <w:bottom w:val="single" w:sz="4" w:space="0" w:color="auto"/>
              <w:right w:val="nil"/>
            </w:tcBorders>
            <w:shd w:val="clear" w:color="auto" w:fill="auto"/>
            <w:noWrap/>
            <w:vAlign w:val="bottom"/>
          </w:tcPr>
          <w:p w14:paraId="1AF58074"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15.</w:t>
            </w:r>
            <w:r w:rsidRPr="00261B7A">
              <w:rPr>
                <w:rFonts w:asciiTheme="minorHAnsi" w:hAnsiTheme="minorHAnsi" w:cstheme="minorHAnsi"/>
                <w:szCs w:val="16"/>
              </w:rPr>
              <w:t>0</w:t>
            </w:r>
          </w:p>
        </w:tc>
        <w:tc>
          <w:tcPr>
            <w:tcW w:w="1633" w:type="dxa"/>
            <w:tcBorders>
              <w:top w:val="single" w:sz="4" w:space="0" w:color="auto"/>
              <w:left w:val="nil"/>
              <w:bottom w:val="single" w:sz="4" w:space="0" w:color="auto"/>
              <w:right w:val="nil"/>
            </w:tcBorders>
            <w:shd w:val="clear" w:color="auto" w:fill="auto"/>
            <w:noWrap/>
            <w:vAlign w:val="bottom"/>
          </w:tcPr>
          <w:p w14:paraId="574DA580"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28.3</w:t>
            </w:r>
          </w:p>
        </w:tc>
      </w:tr>
      <w:tr w:rsidR="00994F64" w:rsidRPr="00261B7A" w14:paraId="3A7A28E2" w14:textId="77777777" w:rsidTr="00833EE3">
        <w:tc>
          <w:tcPr>
            <w:tcW w:w="1378" w:type="dxa"/>
            <w:tcBorders>
              <w:left w:val="nil"/>
            </w:tcBorders>
            <w:noWrap/>
          </w:tcPr>
          <w:p w14:paraId="32665CC0" w14:textId="77777777" w:rsidR="00994F64" w:rsidRPr="00261B7A" w:rsidRDefault="00994F64" w:rsidP="009B3201">
            <w:pPr>
              <w:pStyle w:val="TableText"/>
              <w:spacing w:before="40" w:after="30"/>
              <w:rPr>
                <w:rFonts w:cs="Calibri"/>
                <w:szCs w:val="16"/>
              </w:rPr>
            </w:pPr>
            <w:r w:rsidRPr="00261B7A">
              <w:rPr>
                <w:rFonts w:cs="Calibri"/>
                <w:szCs w:val="16"/>
              </w:rPr>
              <w:t>1997</w:t>
            </w:r>
          </w:p>
        </w:tc>
        <w:tc>
          <w:tcPr>
            <w:tcW w:w="1826" w:type="dxa"/>
            <w:shd w:val="clear" w:color="auto" w:fill="auto"/>
            <w:noWrap/>
          </w:tcPr>
          <w:p w14:paraId="1C0102AD" w14:textId="77777777" w:rsidR="00994F64" w:rsidRPr="00261B7A" w:rsidRDefault="00994F64" w:rsidP="009B3201">
            <w:pPr>
              <w:pStyle w:val="TableText"/>
              <w:spacing w:before="40" w:after="30"/>
              <w:jc w:val="center"/>
              <w:rPr>
                <w:rFonts w:cs="Calibri"/>
                <w:szCs w:val="16"/>
              </w:rPr>
            </w:pPr>
            <w:r w:rsidRPr="00261B7A">
              <w:rPr>
                <w:rFonts w:cs="Calibri"/>
                <w:szCs w:val="16"/>
              </w:rPr>
              <w:t>89.2</w:t>
            </w:r>
          </w:p>
        </w:tc>
        <w:tc>
          <w:tcPr>
            <w:tcW w:w="1826" w:type="dxa"/>
            <w:shd w:val="clear" w:color="auto" w:fill="auto"/>
            <w:noWrap/>
          </w:tcPr>
          <w:p w14:paraId="6DD060EA" w14:textId="77777777" w:rsidR="00994F64" w:rsidRPr="00261B7A" w:rsidRDefault="00994F64" w:rsidP="009B3201">
            <w:pPr>
              <w:pStyle w:val="TableText"/>
              <w:spacing w:before="40" w:after="30"/>
              <w:jc w:val="center"/>
            </w:pPr>
            <w:r w:rsidRPr="00261B7A">
              <w:t>73.9</w:t>
            </w:r>
          </w:p>
        </w:tc>
        <w:tc>
          <w:tcPr>
            <w:tcW w:w="1842" w:type="dxa"/>
            <w:tcBorders>
              <w:top w:val="single" w:sz="4" w:space="0" w:color="auto"/>
              <w:left w:val="nil"/>
              <w:bottom w:val="single" w:sz="4" w:space="0" w:color="auto"/>
              <w:right w:val="nil"/>
            </w:tcBorders>
            <w:shd w:val="clear" w:color="auto" w:fill="auto"/>
            <w:noWrap/>
            <w:vAlign w:val="bottom"/>
          </w:tcPr>
          <w:p w14:paraId="6E22E871"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15.7</w:t>
            </w:r>
          </w:p>
        </w:tc>
        <w:tc>
          <w:tcPr>
            <w:tcW w:w="1633" w:type="dxa"/>
            <w:tcBorders>
              <w:top w:val="single" w:sz="4" w:space="0" w:color="auto"/>
              <w:left w:val="nil"/>
              <w:bottom w:val="single" w:sz="4" w:space="0" w:color="auto"/>
              <w:right w:val="nil"/>
            </w:tcBorders>
            <w:shd w:val="clear" w:color="auto" w:fill="auto"/>
            <w:noWrap/>
            <w:vAlign w:val="bottom"/>
          </w:tcPr>
          <w:p w14:paraId="4C3C2592"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28</w:t>
            </w:r>
            <w:r w:rsidRPr="00261B7A">
              <w:rPr>
                <w:rFonts w:asciiTheme="minorHAnsi" w:hAnsiTheme="minorHAnsi"/>
              </w:rPr>
              <w:t>.7</w:t>
            </w:r>
          </w:p>
        </w:tc>
      </w:tr>
      <w:tr w:rsidR="00994F64" w:rsidRPr="00261B7A" w14:paraId="055B6B3F" w14:textId="77777777" w:rsidTr="00833EE3">
        <w:tc>
          <w:tcPr>
            <w:tcW w:w="1378" w:type="dxa"/>
            <w:tcBorders>
              <w:left w:val="nil"/>
            </w:tcBorders>
            <w:noWrap/>
          </w:tcPr>
          <w:p w14:paraId="7B7F2D94" w14:textId="77777777" w:rsidR="00994F64" w:rsidRPr="00261B7A" w:rsidRDefault="00994F64" w:rsidP="009B3201">
            <w:pPr>
              <w:pStyle w:val="TableText"/>
              <w:spacing w:before="40" w:after="30"/>
              <w:rPr>
                <w:rFonts w:cs="Calibri"/>
                <w:szCs w:val="16"/>
              </w:rPr>
            </w:pPr>
            <w:r w:rsidRPr="00261B7A">
              <w:rPr>
                <w:rFonts w:cs="Calibri"/>
                <w:szCs w:val="16"/>
              </w:rPr>
              <w:t>1998</w:t>
            </w:r>
          </w:p>
        </w:tc>
        <w:tc>
          <w:tcPr>
            <w:tcW w:w="1826" w:type="dxa"/>
            <w:noWrap/>
          </w:tcPr>
          <w:p w14:paraId="590491E8" w14:textId="77777777" w:rsidR="00994F64" w:rsidRPr="00261B7A" w:rsidRDefault="00994F64" w:rsidP="009B3201">
            <w:pPr>
              <w:pStyle w:val="TableText"/>
              <w:spacing w:before="40" w:after="30"/>
              <w:jc w:val="center"/>
              <w:rPr>
                <w:rFonts w:cs="Calibri"/>
                <w:szCs w:val="16"/>
              </w:rPr>
            </w:pPr>
            <w:r w:rsidRPr="00261B7A">
              <w:rPr>
                <w:rFonts w:cs="Calibri"/>
                <w:szCs w:val="16"/>
              </w:rPr>
              <w:t>86.9</w:t>
            </w:r>
          </w:p>
        </w:tc>
        <w:tc>
          <w:tcPr>
            <w:tcW w:w="1826" w:type="dxa"/>
            <w:noWrap/>
          </w:tcPr>
          <w:p w14:paraId="1F5E56F6" w14:textId="77777777" w:rsidR="00994F64" w:rsidRPr="00261B7A" w:rsidRDefault="00994F64" w:rsidP="009B3201">
            <w:pPr>
              <w:pStyle w:val="TableText"/>
              <w:spacing w:before="40" w:after="30"/>
              <w:jc w:val="center"/>
            </w:pPr>
            <w:r w:rsidRPr="00261B7A">
              <w:t>73.9</w:t>
            </w:r>
          </w:p>
        </w:tc>
        <w:tc>
          <w:tcPr>
            <w:tcW w:w="1842" w:type="dxa"/>
            <w:tcBorders>
              <w:top w:val="single" w:sz="4" w:space="0" w:color="auto"/>
              <w:left w:val="nil"/>
              <w:bottom w:val="single" w:sz="4" w:space="0" w:color="auto"/>
              <w:right w:val="nil"/>
            </w:tcBorders>
            <w:shd w:val="clear" w:color="auto" w:fill="auto"/>
            <w:noWrap/>
            <w:vAlign w:val="bottom"/>
          </w:tcPr>
          <w:p w14:paraId="013AE181"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15.8</w:t>
            </w:r>
          </w:p>
        </w:tc>
        <w:tc>
          <w:tcPr>
            <w:tcW w:w="1633" w:type="dxa"/>
            <w:tcBorders>
              <w:top w:val="single" w:sz="4" w:space="0" w:color="auto"/>
              <w:left w:val="nil"/>
              <w:bottom w:val="single" w:sz="4" w:space="0" w:color="auto"/>
              <w:right w:val="nil"/>
            </w:tcBorders>
            <w:shd w:val="clear" w:color="auto" w:fill="auto"/>
            <w:noWrap/>
            <w:vAlign w:val="bottom"/>
          </w:tcPr>
          <w:p w14:paraId="4AE9C5F0"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28.7</w:t>
            </w:r>
          </w:p>
        </w:tc>
      </w:tr>
      <w:tr w:rsidR="00994F64" w:rsidRPr="00261B7A" w14:paraId="5B217A7B" w14:textId="77777777" w:rsidTr="00833EE3">
        <w:tc>
          <w:tcPr>
            <w:tcW w:w="1378" w:type="dxa"/>
            <w:tcBorders>
              <w:left w:val="nil"/>
            </w:tcBorders>
            <w:noWrap/>
          </w:tcPr>
          <w:p w14:paraId="1F2E13C6" w14:textId="77777777" w:rsidR="00994F64" w:rsidRPr="00261B7A" w:rsidRDefault="00994F64" w:rsidP="009B3201">
            <w:pPr>
              <w:pStyle w:val="TableText"/>
              <w:spacing w:before="40" w:after="30"/>
              <w:rPr>
                <w:rFonts w:cs="Calibri"/>
                <w:szCs w:val="16"/>
              </w:rPr>
            </w:pPr>
            <w:r w:rsidRPr="00261B7A">
              <w:rPr>
                <w:rFonts w:cs="Calibri"/>
                <w:szCs w:val="16"/>
              </w:rPr>
              <w:t>1999</w:t>
            </w:r>
          </w:p>
        </w:tc>
        <w:tc>
          <w:tcPr>
            <w:tcW w:w="1826" w:type="dxa"/>
            <w:noWrap/>
          </w:tcPr>
          <w:p w14:paraId="45B95C22" w14:textId="77777777" w:rsidR="00994F64" w:rsidRPr="00261B7A" w:rsidRDefault="00994F64" w:rsidP="009B3201">
            <w:pPr>
              <w:pStyle w:val="TableText"/>
              <w:spacing w:before="40" w:after="30"/>
              <w:jc w:val="center"/>
              <w:rPr>
                <w:rFonts w:cs="Calibri"/>
                <w:szCs w:val="16"/>
              </w:rPr>
            </w:pPr>
            <w:r w:rsidRPr="00261B7A">
              <w:rPr>
                <w:rFonts w:cs="Calibri"/>
                <w:szCs w:val="16"/>
              </w:rPr>
              <w:t>87.2</w:t>
            </w:r>
          </w:p>
        </w:tc>
        <w:tc>
          <w:tcPr>
            <w:tcW w:w="1826" w:type="dxa"/>
            <w:noWrap/>
          </w:tcPr>
          <w:p w14:paraId="73106FF2" w14:textId="77777777" w:rsidR="00994F64" w:rsidRPr="00261B7A" w:rsidRDefault="00994F64" w:rsidP="009B3201">
            <w:pPr>
              <w:pStyle w:val="TableText"/>
              <w:spacing w:before="40" w:after="30"/>
              <w:jc w:val="center"/>
            </w:pPr>
            <w:r w:rsidRPr="00261B7A">
              <w:t>72.2</w:t>
            </w:r>
          </w:p>
        </w:tc>
        <w:tc>
          <w:tcPr>
            <w:tcW w:w="1842" w:type="dxa"/>
            <w:tcBorders>
              <w:top w:val="single" w:sz="4" w:space="0" w:color="auto"/>
              <w:left w:val="nil"/>
              <w:bottom w:val="single" w:sz="4" w:space="0" w:color="auto"/>
              <w:right w:val="nil"/>
            </w:tcBorders>
            <w:shd w:val="clear" w:color="auto" w:fill="auto"/>
            <w:noWrap/>
            <w:vAlign w:val="bottom"/>
          </w:tcPr>
          <w:p w14:paraId="58A390D2"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15.7</w:t>
            </w:r>
          </w:p>
        </w:tc>
        <w:tc>
          <w:tcPr>
            <w:tcW w:w="1633" w:type="dxa"/>
            <w:tcBorders>
              <w:top w:val="single" w:sz="4" w:space="0" w:color="auto"/>
              <w:left w:val="nil"/>
              <w:bottom w:val="single" w:sz="4" w:space="0" w:color="auto"/>
              <w:right w:val="nil"/>
            </w:tcBorders>
            <w:shd w:val="clear" w:color="auto" w:fill="auto"/>
            <w:noWrap/>
            <w:vAlign w:val="bottom"/>
          </w:tcPr>
          <w:p w14:paraId="15F7B683"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29.0</w:t>
            </w:r>
          </w:p>
        </w:tc>
      </w:tr>
      <w:tr w:rsidR="00994F64" w:rsidRPr="00261B7A" w14:paraId="2C706433" w14:textId="77777777" w:rsidTr="00833EE3">
        <w:tc>
          <w:tcPr>
            <w:tcW w:w="1378" w:type="dxa"/>
            <w:tcBorders>
              <w:left w:val="nil"/>
            </w:tcBorders>
            <w:noWrap/>
          </w:tcPr>
          <w:p w14:paraId="2E64B80C" w14:textId="77777777" w:rsidR="00994F64" w:rsidRPr="00261B7A" w:rsidRDefault="00994F64" w:rsidP="009B3201">
            <w:pPr>
              <w:pStyle w:val="TableText"/>
              <w:spacing w:before="40" w:after="30"/>
              <w:rPr>
                <w:rFonts w:cs="Calibri"/>
                <w:szCs w:val="16"/>
              </w:rPr>
            </w:pPr>
            <w:r w:rsidRPr="00261B7A">
              <w:rPr>
                <w:rFonts w:cs="Calibri"/>
                <w:szCs w:val="16"/>
              </w:rPr>
              <w:t>2000</w:t>
            </w:r>
          </w:p>
        </w:tc>
        <w:tc>
          <w:tcPr>
            <w:tcW w:w="1826" w:type="dxa"/>
            <w:noWrap/>
          </w:tcPr>
          <w:p w14:paraId="68F56565" w14:textId="77777777" w:rsidR="00994F64" w:rsidRPr="00261B7A" w:rsidRDefault="00994F64" w:rsidP="009B3201">
            <w:pPr>
              <w:pStyle w:val="TableText"/>
              <w:spacing w:before="40" w:after="30"/>
              <w:jc w:val="center"/>
              <w:rPr>
                <w:rFonts w:cs="Calibri"/>
                <w:szCs w:val="16"/>
              </w:rPr>
            </w:pPr>
            <w:r w:rsidRPr="00261B7A">
              <w:rPr>
                <w:rFonts w:cs="Calibri"/>
                <w:szCs w:val="16"/>
              </w:rPr>
              <w:t>87.3</w:t>
            </w:r>
          </w:p>
        </w:tc>
        <w:tc>
          <w:tcPr>
            <w:tcW w:w="1826" w:type="dxa"/>
            <w:noWrap/>
          </w:tcPr>
          <w:p w14:paraId="293FC702" w14:textId="77777777" w:rsidR="00994F64" w:rsidRPr="00261B7A" w:rsidRDefault="00994F64" w:rsidP="009B3201">
            <w:pPr>
              <w:pStyle w:val="TableText"/>
              <w:spacing w:before="40" w:after="30"/>
              <w:jc w:val="center"/>
            </w:pPr>
            <w:r w:rsidRPr="00261B7A">
              <w:t>74.8</w:t>
            </w:r>
          </w:p>
        </w:tc>
        <w:tc>
          <w:tcPr>
            <w:tcW w:w="1842" w:type="dxa"/>
            <w:tcBorders>
              <w:top w:val="single" w:sz="4" w:space="0" w:color="auto"/>
              <w:left w:val="nil"/>
              <w:bottom w:val="single" w:sz="4" w:space="0" w:color="auto"/>
              <w:right w:val="nil"/>
            </w:tcBorders>
            <w:shd w:val="clear" w:color="auto" w:fill="auto"/>
            <w:noWrap/>
            <w:vAlign w:val="bottom"/>
          </w:tcPr>
          <w:p w14:paraId="0EC2601C"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16.</w:t>
            </w:r>
            <w:r w:rsidRPr="00261B7A">
              <w:rPr>
                <w:rFonts w:asciiTheme="minorHAnsi" w:hAnsiTheme="minorHAnsi" w:cstheme="minorHAnsi"/>
                <w:szCs w:val="16"/>
              </w:rPr>
              <w:t>4</w:t>
            </w:r>
          </w:p>
        </w:tc>
        <w:tc>
          <w:tcPr>
            <w:tcW w:w="1633" w:type="dxa"/>
            <w:tcBorders>
              <w:top w:val="single" w:sz="4" w:space="0" w:color="auto"/>
              <w:left w:val="nil"/>
              <w:bottom w:val="single" w:sz="4" w:space="0" w:color="auto"/>
              <w:right w:val="nil"/>
            </w:tcBorders>
            <w:shd w:val="clear" w:color="auto" w:fill="auto"/>
            <w:noWrap/>
            <w:vAlign w:val="bottom"/>
          </w:tcPr>
          <w:p w14:paraId="51EDD77B"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29.4</w:t>
            </w:r>
          </w:p>
        </w:tc>
      </w:tr>
      <w:tr w:rsidR="00994F64" w:rsidRPr="00261B7A" w14:paraId="18E44BE4" w14:textId="77777777" w:rsidTr="00833EE3">
        <w:tc>
          <w:tcPr>
            <w:tcW w:w="1378" w:type="dxa"/>
            <w:tcBorders>
              <w:left w:val="nil"/>
            </w:tcBorders>
            <w:noWrap/>
          </w:tcPr>
          <w:p w14:paraId="6EC0BC2F" w14:textId="77777777" w:rsidR="00994F64" w:rsidRPr="00261B7A" w:rsidRDefault="00994F64" w:rsidP="009B3201">
            <w:pPr>
              <w:pStyle w:val="TableText"/>
              <w:spacing w:before="40" w:after="30"/>
              <w:rPr>
                <w:rFonts w:cs="Calibri"/>
                <w:szCs w:val="16"/>
              </w:rPr>
            </w:pPr>
            <w:r w:rsidRPr="00261B7A">
              <w:rPr>
                <w:rFonts w:cs="Calibri"/>
                <w:szCs w:val="16"/>
              </w:rPr>
              <w:t>2001</w:t>
            </w:r>
          </w:p>
        </w:tc>
        <w:tc>
          <w:tcPr>
            <w:tcW w:w="1826" w:type="dxa"/>
            <w:noWrap/>
          </w:tcPr>
          <w:p w14:paraId="73005819" w14:textId="77777777" w:rsidR="00994F64" w:rsidRPr="00261B7A" w:rsidRDefault="00994F64" w:rsidP="009B3201">
            <w:pPr>
              <w:pStyle w:val="TableText"/>
              <w:spacing w:before="40" w:after="30"/>
              <w:jc w:val="center"/>
              <w:rPr>
                <w:rFonts w:cs="Calibri"/>
                <w:szCs w:val="16"/>
              </w:rPr>
            </w:pPr>
            <w:r w:rsidRPr="00261B7A">
              <w:rPr>
                <w:rFonts w:cs="Calibri"/>
                <w:szCs w:val="16"/>
              </w:rPr>
              <w:t>86.9</w:t>
            </w:r>
          </w:p>
        </w:tc>
        <w:tc>
          <w:tcPr>
            <w:tcW w:w="1826" w:type="dxa"/>
            <w:noWrap/>
          </w:tcPr>
          <w:p w14:paraId="6F40AF31" w14:textId="77777777" w:rsidR="00994F64" w:rsidRPr="00261B7A" w:rsidRDefault="00994F64" w:rsidP="009B3201">
            <w:pPr>
              <w:pStyle w:val="TableText"/>
              <w:spacing w:before="40" w:after="30"/>
              <w:jc w:val="center"/>
            </w:pPr>
            <w:r w:rsidRPr="00261B7A">
              <w:t>76.0</w:t>
            </w:r>
          </w:p>
        </w:tc>
        <w:tc>
          <w:tcPr>
            <w:tcW w:w="1842" w:type="dxa"/>
            <w:tcBorders>
              <w:top w:val="single" w:sz="4" w:space="0" w:color="auto"/>
              <w:left w:val="nil"/>
              <w:bottom w:val="single" w:sz="4" w:space="0" w:color="auto"/>
              <w:right w:val="nil"/>
            </w:tcBorders>
            <w:shd w:val="clear" w:color="auto" w:fill="auto"/>
            <w:noWrap/>
            <w:vAlign w:val="bottom"/>
          </w:tcPr>
          <w:p w14:paraId="1F8DCB3C"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16.</w:t>
            </w:r>
            <w:r w:rsidRPr="00261B7A">
              <w:rPr>
                <w:rFonts w:asciiTheme="minorHAnsi" w:hAnsiTheme="minorHAnsi" w:cstheme="minorHAnsi"/>
                <w:szCs w:val="16"/>
              </w:rPr>
              <w:t>5</w:t>
            </w:r>
          </w:p>
        </w:tc>
        <w:tc>
          <w:tcPr>
            <w:tcW w:w="1633" w:type="dxa"/>
            <w:tcBorders>
              <w:top w:val="single" w:sz="4" w:space="0" w:color="auto"/>
              <w:left w:val="nil"/>
              <w:bottom w:val="single" w:sz="4" w:space="0" w:color="auto"/>
              <w:right w:val="nil"/>
            </w:tcBorders>
            <w:shd w:val="clear" w:color="auto" w:fill="auto"/>
            <w:noWrap/>
            <w:vAlign w:val="bottom"/>
          </w:tcPr>
          <w:p w14:paraId="1DBA8DF2"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29.3</w:t>
            </w:r>
          </w:p>
        </w:tc>
      </w:tr>
      <w:tr w:rsidR="00994F64" w:rsidRPr="00261B7A" w14:paraId="3666E497" w14:textId="77777777" w:rsidTr="00833EE3">
        <w:tc>
          <w:tcPr>
            <w:tcW w:w="1378" w:type="dxa"/>
            <w:tcBorders>
              <w:left w:val="nil"/>
            </w:tcBorders>
            <w:noWrap/>
          </w:tcPr>
          <w:p w14:paraId="09402E8B" w14:textId="77777777" w:rsidR="00994F64" w:rsidRPr="00261B7A" w:rsidRDefault="00994F64" w:rsidP="009B3201">
            <w:pPr>
              <w:pStyle w:val="TableText"/>
              <w:spacing w:before="40" w:after="30"/>
              <w:rPr>
                <w:rFonts w:cs="Calibri"/>
                <w:szCs w:val="16"/>
              </w:rPr>
            </w:pPr>
            <w:r w:rsidRPr="00261B7A">
              <w:rPr>
                <w:rFonts w:cs="Calibri"/>
                <w:szCs w:val="16"/>
              </w:rPr>
              <w:t>2002</w:t>
            </w:r>
          </w:p>
        </w:tc>
        <w:tc>
          <w:tcPr>
            <w:tcW w:w="1826" w:type="dxa"/>
            <w:noWrap/>
          </w:tcPr>
          <w:p w14:paraId="7E462D42" w14:textId="77777777" w:rsidR="00994F64" w:rsidRPr="00261B7A" w:rsidRDefault="00994F64" w:rsidP="009B3201">
            <w:pPr>
              <w:pStyle w:val="TableText"/>
              <w:spacing w:before="40" w:after="30"/>
              <w:jc w:val="center"/>
              <w:rPr>
                <w:rFonts w:cs="Calibri"/>
                <w:szCs w:val="16"/>
              </w:rPr>
            </w:pPr>
            <w:r w:rsidRPr="00261B7A">
              <w:rPr>
                <w:rFonts w:cs="Calibri"/>
                <w:szCs w:val="16"/>
              </w:rPr>
              <w:t>87.1</w:t>
            </w:r>
          </w:p>
        </w:tc>
        <w:tc>
          <w:tcPr>
            <w:tcW w:w="1826" w:type="dxa"/>
            <w:noWrap/>
          </w:tcPr>
          <w:p w14:paraId="654347F7" w14:textId="77777777" w:rsidR="00994F64" w:rsidRPr="00261B7A" w:rsidRDefault="00994F64" w:rsidP="009B3201">
            <w:pPr>
              <w:pStyle w:val="TableText"/>
              <w:spacing w:before="40" w:after="30"/>
              <w:jc w:val="center"/>
            </w:pPr>
            <w:r w:rsidRPr="00261B7A">
              <w:t>75.6</w:t>
            </w:r>
          </w:p>
        </w:tc>
        <w:tc>
          <w:tcPr>
            <w:tcW w:w="1842" w:type="dxa"/>
            <w:tcBorders>
              <w:top w:val="single" w:sz="4" w:space="0" w:color="auto"/>
              <w:left w:val="nil"/>
              <w:bottom w:val="single" w:sz="4" w:space="0" w:color="auto"/>
              <w:right w:val="nil"/>
            </w:tcBorders>
            <w:shd w:val="clear" w:color="auto" w:fill="auto"/>
            <w:noWrap/>
            <w:vAlign w:val="bottom"/>
          </w:tcPr>
          <w:p w14:paraId="612CCCD5"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16.</w:t>
            </w:r>
            <w:r w:rsidRPr="00261B7A">
              <w:rPr>
                <w:rFonts w:asciiTheme="minorHAnsi" w:hAnsiTheme="minorHAnsi" w:cstheme="minorHAnsi"/>
                <w:szCs w:val="16"/>
              </w:rPr>
              <w:t>5</w:t>
            </w:r>
          </w:p>
        </w:tc>
        <w:tc>
          <w:tcPr>
            <w:tcW w:w="1633" w:type="dxa"/>
            <w:tcBorders>
              <w:top w:val="single" w:sz="4" w:space="0" w:color="auto"/>
              <w:left w:val="nil"/>
              <w:bottom w:val="single" w:sz="4" w:space="0" w:color="auto"/>
              <w:right w:val="nil"/>
            </w:tcBorders>
            <w:shd w:val="clear" w:color="auto" w:fill="auto"/>
            <w:noWrap/>
            <w:vAlign w:val="bottom"/>
          </w:tcPr>
          <w:p w14:paraId="0EBAFC1F"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29.3</w:t>
            </w:r>
          </w:p>
        </w:tc>
      </w:tr>
      <w:tr w:rsidR="00994F64" w:rsidRPr="00261B7A" w14:paraId="1379AA8C" w14:textId="77777777" w:rsidTr="00833EE3">
        <w:tc>
          <w:tcPr>
            <w:tcW w:w="1378" w:type="dxa"/>
            <w:tcBorders>
              <w:left w:val="nil"/>
            </w:tcBorders>
            <w:noWrap/>
          </w:tcPr>
          <w:p w14:paraId="245C3898" w14:textId="77777777" w:rsidR="00994F64" w:rsidRPr="00261B7A" w:rsidRDefault="00994F64" w:rsidP="009B3201">
            <w:pPr>
              <w:pStyle w:val="TableText"/>
              <w:spacing w:before="40" w:after="30"/>
              <w:rPr>
                <w:rFonts w:cs="Calibri"/>
                <w:szCs w:val="16"/>
              </w:rPr>
            </w:pPr>
            <w:r w:rsidRPr="00261B7A">
              <w:rPr>
                <w:rFonts w:cs="Calibri"/>
                <w:szCs w:val="16"/>
              </w:rPr>
              <w:t>2003</w:t>
            </w:r>
          </w:p>
        </w:tc>
        <w:tc>
          <w:tcPr>
            <w:tcW w:w="1826" w:type="dxa"/>
            <w:noWrap/>
          </w:tcPr>
          <w:p w14:paraId="00F3DA7E" w14:textId="77777777" w:rsidR="00994F64" w:rsidRPr="00261B7A" w:rsidRDefault="00994F64" w:rsidP="009B3201">
            <w:pPr>
              <w:pStyle w:val="TableText"/>
              <w:spacing w:before="40" w:after="30"/>
              <w:jc w:val="center"/>
              <w:rPr>
                <w:rFonts w:cs="Calibri"/>
                <w:szCs w:val="16"/>
              </w:rPr>
            </w:pPr>
            <w:r w:rsidRPr="00261B7A">
              <w:rPr>
                <w:rFonts w:cs="Calibri"/>
                <w:szCs w:val="16"/>
              </w:rPr>
              <w:t>91.4</w:t>
            </w:r>
          </w:p>
        </w:tc>
        <w:tc>
          <w:tcPr>
            <w:tcW w:w="1826" w:type="dxa"/>
            <w:noWrap/>
          </w:tcPr>
          <w:p w14:paraId="2611BAE3" w14:textId="77777777" w:rsidR="00994F64" w:rsidRPr="00261B7A" w:rsidRDefault="00994F64" w:rsidP="009B3201">
            <w:pPr>
              <w:pStyle w:val="TableText"/>
              <w:spacing w:before="40" w:after="30"/>
              <w:jc w:val="center"/>
            </w:pPr>
            <w:r w:rsidRPr="00261B7A">
              <w:t>75.2</w:t>
            </w:r>
          </w:p>
        </w:tc>
        <w:tc>
          <w:tcPr>
            <w:tcW w:w="1842" w:type="dxa"/>
            <w:tcBorders>
              <w:top w:val="single" w:sz="4" w:space="0" w:color="auto"/>
              <w:left w:val="nil"/>
              <w:bottom w:val="single" w:sz="4" w:space="0" w:color="auto"/>
              <w:right w:val="nil"/>
            </w:tcBorders>
            <w:shd w:val="clear" w:color="auto" w:fill="auto"/>
            <w:noWrap/>
            <w:vAlign w:val="bottom"/>
          </w:tcPr>
          <w:p w14:paraId="113B6944"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16.</w:t>
            </w:r>
            <w:r w:rsidRPr="00261B7A">
              <w:rPr>
                <w:rFonts w:asciiTheme="minorHAnsi" w:hAnsiTheme="minorHAnsi" w:cstheme="minorHAnsi"/>
                <w:szCs w:val="16"/>
              </w:rPr>
              <w:t>5</w:t>
            </w:r>
          </w:p>
        </w:tc>
        <w:tc>
          <w:tcPr>
            <w:tcW w:w="1633" w:type="dxa"/>
            <w:tcBorders>
              <w:top w:val="single" w:sz="4" w:space="0" w:color="auto"/>
              <w:left w:val="nil"/>
              <w:bottom w:val="single" w:sz="4" w:space="0" w:color="auto"/>
              <w:right w:val="nil"/>
            </w:tcBorders>
            <w:shd w:val="clear" w:color="auto" w:fill="auto"/>
            <w:noWrap/>
            <w:vAlign w:val="bottom"/>
          </w:tcPr>
          <w:p w14:paraId="2F4209AB"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29.3</w:t>
            </w:r>
          </w:p>
        </w:tc>
      </w:tr>
      <w:tr w:rsidR="00994F64" w:rsidRPr="00261B7A" w14:paraId="79BF0C26" w14:textId="77777777" w:rsidTr="00833EE3">
        <w:tc>
          <w:tcPr>
            <w:tcW w:w="1378" w:type="dxa"/>
            <w:tcBorders>
              <w:left w:val="nil"/>
            </w:tcBorders>
            <w:noWrap/>
          </w:tcPr>
          <w:p w14:paraId="3D906848" w14:textId="77777777" w:rsidR="00994F64" w:rsidRPr="00261B7A" w:rsidRDefault="00994F64" w:rsidP="009B3201">
            <w:pPr>
              <w:pStyle w:val="TableText"/>
              <w:spacing w:before="40" w:after="30"/>
              <w:rPr>
                <w:rFonts w:cs="Calibri"/>
                <w:szCs w:val="16"/>
              </w:rPr>
            </w:pPr>
            <w:r w:rsidRPr="00261B7A">
              <w:rPr>
                <w:rFonts w:cs="Calibri"/>
                <w:szCs w:val="16"/>
              </w:rPr>
              <w:t>2004</w:t>
            </w:r>
          </w:p>
        </w:tc>
        <w:tc>
          <w:tcPr>
            <w:tcW w:w="1826" w:type="dxa"/>
            <w:noWrap/>
          </w:tcPr>
          <w:p w14:paraId="67FD62D0" w14:textId="77777777" w:rsidR="00994F64" w:rsidRPr="00261B7A" w:rsidRDefault="00994F64" w:rsidP="009B3201">
            <w:pPr>
              <w:pStyle w:val="TableText"/>
              <w:spacing w:before="40" w:after="30"/>
              <w:jc w:val="center"/>
              <w:rPr>
                <w:rFonts w:cs="Calibri"/>
                <w:szCs w:val="16"/>
              </w:rPr>
            </w:pPr>
            <w:r w:rsidRPr="00261B7A">
              <w:rPr>
                <w:rFonts w:cs="Calibri"/>
                <w:szCs w:val="16"/>
              </w:rPr>
              <w:t>91.6</w:t>
            </w:r>
          </w:p>
        </w:tc>
        <w:tc>
          <w:tcPr>
            <w:tcW w:w="1826" w:type="dxa"/>
            <w:noWrap/>
          </w:tcPr>
          <w:p w14:paraId="7EC4C72F" w14:textId="77777777" w:rsidR="00994F64" w:rsidRPr="00261B7A" w:rsidRDefault="00994F64" w:rsidP="009B3201">
            <w:pPr>
              <w:pStyle w:val="TableText"/>
              <w:spacing w:before="40" w:after="30"/>
              <w:jc w:val="center"/>
            </w:pPr>
            <w:r w:rsidRPr="00261B7A">
              <w:t>76.4</w:t>
            </w:r>
          </w:p>
        </w:tc>
        <w:tc>
          <w:tcPr>
            <w:tcW w:w="1842" w:type="dxa"/>
            <w:tcBorders>
              <w:top w:val="single" w:sz="4" w:space="0" w:color="auto"/>
              <w:left w:val="nil"/>
              <w:bottom w:val="single" w:sz="4" w:space="0" w:color="auto"/>
              <w:right w:val="nil"/>
            </w:tcBorders>
            <w:shd w:val="clear" w:color="auto" w:fill="auto"/>
            <w:noWrap/>
            <w:vAlign w:val="bottom"/>
          </w:tcPr>
          <w:p w14:paraId="5E1A5F6B"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17.</w:t>
            </w:r>
            <w:r w:rsidRPr="00261B7A">
              <w:rPr>
                <w:rFonts w:asciiTheme="minorHAnsi" w:hAnsiTheme="minorHAnsi" w:cstheme="minorHAnsi"/>
                <w:szCs w:val="16"/>
              </w:rPr>
              <w:t>0</w:t>
            </w:r>
          </w:p>
        </w:tc>
        <w:tc>
          <w:tcPr>
            <w:tcW w:w="1633" w:type="dxa"/>
            <w:tcBorders>
              <w:top w:val="single" w:sz="4" w:space="0" w:color="auto"/>
              <w:left w:val="nil"/>
              <w:bottom w:val="single" w:sz="4" w:space="0" w:color="auto"/>
              <w:right w:val="nil"/>
            </w:tcBorders>
            <w:shd w:val="clear" w:color="auto" w:fill="auto"/>
            <w:noWrap/>
            <w:vAlign w:val="bottom"/>
          </w:tcPr>
          <w:p w14:paraId="34CB63C3"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29.6</w:t>
            </w:r>
          </w:p>
        </w:tc>
      </w:tr>
      <w:tr w:rsidR="00994F64" w:rsidRPr="00261B7A" w14:paraId="5B0BF6B4" w14:textId="77777777" w:rsidTr="00833EE3">
        <w:tc>
          <w:tcPr>
            <w:tcW w:w="1378" w:type="dxa"/>
            <w:tcBorders>
              <w:left w:val="nil"/>
            </w:tcBorders>
            <w:noWrap/>
          </w:tcPr>
          <w:p w14:paraId="3142059E" w14:textId="77777777" w:rsidR="00994F64" w:rsidRPr="00261B7A" w:rsidRDefault="00994F64" w:rsidP="009B3201">
            <w:pPr>
              <w:pStyle w:val="TableText"/>
              <w:spacing w:before="40" w:after="30"/>
              <w:rPr>
                <w:rFonts w:cs="Calibri"/>
                <w:szCs w:val="16"/>
              </w:rPr>
            </w:pPr>
            <w:r w:rsidRPr="00261B7A">
              <w:rPr>
                <w:rFonts w:cs="Calibri"/>
                <w:szCs w:val="16"/>
              </w:rPr>
              <w:t>2005</w:t>
            </w:r>
          </w:p>
        </w:tc>
        <w:tc>
          <w:tcPr>
            <w:tcW w:w="1826" w:type="dxa"/>
            <w:noWrap/>
          </w:tcPr>
          <w:p w14:paraId="4CDE42F5" w14:textId="77777777" w:rsidR="00994F64" w:rsidRPr="00261B7A" w:rsidRDefault="00994F64" w:rsidP="009B3201">
            <w:pPr>
              <w:pStyle w:val="TableText"/>
              <w:spacing w:before="40" w:after="30"/>
              <w:jc w:val="center"/>
              <w:rPr>
                <w:rFonts w:cs="Calibri"/>
                <w:szCs w:val="16"/>
              </w:rPr>
            </w:pPr>
            <w:r w:rsidRPr="00261B7A">
              <w:rPr>
                <w:rFonts w:cs="Calibri"/>
                <w:szCs w:val="16"/>
              </w:rPr>
              <w:t>91.0</w:t>
            </w:r>
          </w:p>
        </w:tc>
        <w:tc>
          <w:tcPr>
            <w:tcW w:w="1826" w:type="dxa"/>
            <w:noWrap/>
          </w:tcPr>
          <w:p w14:paraId="05BB9290" w14:textId="77777777" w:rsidR="00994F64" w:rsidRPr="00261B7A" w:rsidRDefault="00994F64" w:rsidP="009B3201">
            <w:pPr>
              <w:pStyle w:val="TableText"/>
              <w:spacing w:before="40" w:after="30"/>
              <w:jc w:val="center"/>
            </w:pPr>
            <w:r w:rsidRPr="00261B7A">
              <w:t>77.4</w:t>
            </w:r>
          </w:p>
        </w:tc>
        <w:tc>
          <w:tcPr>
            <w:tcW w:w="1842" w:type="dxa"/>
            <w:tcBorders>
              <w:top w:val="single" w:sz="4" w:space="0" w:color="auto"/>
              <w:left w:val="nil"/>
              <w:bottom w:val="single" w:sz="4" w:space="0" w:color="auto"/>
              <w:right w:val="nil"/>
            </w:tcBorders>
            <w:shd w:val="clear" w:color="auto" w:fill="auto"/>
            <w:noWrap/>
            <w:vAlign w:val="bottom"/>
          </w:tcPr>
          <w:p w14:paraId="07F264D3"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17.</w:t>
            </w:r>
            <w:r w:rsidRPr="00261B7A">
              <w:rPr>
                <w:rFonts w:asciiTheme="minorHAnsi" w:hAnsiTheme="minorHAnsi" w:cstheme="minorHAnsi"/>
                <w:szCs w:val="16"/>
              </w:rPr>
              <w:t>1</w:t>
            </w:r>
          </w:p>
        </w:tc>
        <w:tc>
          <w:tcPr>
            <w:tcW w:w="1633" w:type="dxa"/>
            <w:tcBorders>
              <w:top w:val="single" w:sz="4" w:space="0" w:color="auto"/>
              <w:left w:val="nil"/>
              <w:bottom w:val="single" w:sz="4" w:space="0" w:color="auto"/>
              <w:right w:val="nil"/>
            </w:tcBorders>
            <w:shd w:val="clear" w:color="auto" w:fill="auto"/>
            <w:noWrap/>
            <w:vAlign w:val="bottom"/>
          </w:tcPr>
          <w:p w14:paraId="7912A334"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29.9</w:t>
            </w:r>
          </w:p>
        </w:tc>
      </w:tr>
      <w:tr w:rsidR="00994F64" w:rsidRPr="00261B7A" w14:paraId="42D78880" w14:textId="77777777" w:rsidTr="00833EE3">
        <w:tc>
          <w:tcPr>
            <w:tcW w:w="1378" w:type="dxa"/>
            <w:tcBorders>
              <w:left w:val="nil"/>
            </w:tcBorders>
            <w:noWrap/>
          </w:tcPr>
          <w:p w14:paraId="7504381F" w14:textId="77777777" w:rsidR="00994F64" w:rsidRPr="00261B7A" w:rsidRDefault="00994F64" w:rsidP="009B3201">
            <w:pPr>
              <w:pStyle w:val="TableText"/>
              <w:spacing w:before="40" w:after="30"/>
              <w:rPr>
                <w:rFonts w:cs="Calibri"/>
                <w:szCs w:val="16"/>
              </w:rPr>
            </w:pPr>
            <w:r w:rsidRPr="00261B7A">
              <w:rPr>
                <w:rFonts w:cs="Calibri"/>
                <w:szCs w:val="16"/>
              </w:rPr>
              <w:t>2006</w:t>
            </w:r>
          </w:p>
        </w:tc>
        <w:tc>
          <w:tcPr>
            <w:tcW w:w="1826" w:type="dxa"/>
            <w:noWrap/>
          </w:tcPr>
          <w:p w14:paraId="3DE9EA35" w14:textId="77777777" w:rsidR="00994F64" w:rsidRPr="00261B7A" w:rsidRDefault="00994F64" w:rsidP="009B3201">
            <w:pPr>
              <w:pStyle w:val="TableText"/>
              <w:spacing w:before="40" w:after="30"/>
              <w:jc w:val="center"/>
              <w:rPr>
                <w:rFonts w:cs="Calibri"/>
                <w:szCs w:val="16"/>
              </w:rPr>
            </w:pPr>
            <w:r w:rsidRPr="00261B7A">
              <w:rPr>
                <w:rFonts w:cs="Calibri"/>
                <w:szCs w:val="16"/>
              </w:rPr>
              <w:t>89.7</w:t>
            </w:r>
          </w:p>
        </w:tc>
        <w:tc>
          <w:tcPr>
            <w:tcW w:w="1826" w:type="dxa"/>
            <w:noWrap/>
          </w:tcPr>
          <w:p w14:paraId="51CAD14A" w14:textId="77777777" w:rsidR="00994F64" w:rsidRPr="00261B7A" w:rsidRDefault="00994F64" w:rsidP="009B3201">
            <w:pPr>
              <w:pStyle w:val="TableText"/>
              <w:spacing w:before="40" w:after="30"/>
              <w:jc w:val="center"/>
            </w:pPr>
            <w:r w:rsidRPr="00261B7A">
              <w:t>78.8</w:t>
            </w:r>
          </w:p>
        </w:tc>
        <w:tc>
          <w:tcPr>
            <w:tcW w:w="1842" w:type="dxa"/>
            <w:tcBorders>
              <w:top w:val="single" w:sz="4" w:space="0" w:color="auto"/>
              <w:left w:val="nil"/>
              <w:bottom w:val="single" w:sz="4" w:space="0" w:color="auto"/>
              <w:right w:val="nil"/>
            </w:tcBorders>
            <w:shd w:val="clear" w:color="auto" w:fill="auto"/>
            <w:noWrap/>
            <w:vAlign w:val="bottom"/>
          </w:tcPr>
          <w:p w14:paraId="6CCBDC25"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16.8</w:t>
            </w:r>
          </w:p>
        </w:tc>
        <w:tc>
          <w:tcPr>
            <w:tcW w:w="1633" w:type="dxa"/>
            <w:tcBorders>
              <w:top w:val="single" w:sz="4" w:space="0" w:color="auto"/>
              <w:left w:val="nil"/>
              <w:bottom w:val="single" w:sz="4" w:space="0" w:color="auto"/>
              <w:right w:val="nil"/>
            </w:tcBorders>
            <w:shd w:val="clear" w:color="auto" w:fill="auto"/>
            <w:noWrap/>
            <w:vAlign w:val="bottom"/>
          </w:tcPr>
          <w:p w14:paraId="63C97698"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30.0</w:t>
            </w:r>
          </w:p>
        </w:tc>
      </w:tr>
      <w:tr w:rsidR="00994F64" w:rsidRPr="00261B7A" w14:paraId="551C342C" w14:textId="77777777" w:rsidTr="00833EE3">
        <w:tc>
          <w:tcPr>
            <w:tcW w:w="1378" w:type="dxa"/>
            <w:tcBorders>
              <w:left w:val="nil"/>
            </w:tcBorders>
            <w:noWrap/>
          </w:tcPr>
          <w:p w14:paraId="619C63D3" w14:textId="77777777" w:rsidR="00994F64" w:rsidRPr="00261B7A" w:rsidRDefault="00994F64" w:rsidP="009B3201">
            <w:pPr>
              <w:pStyle w:val="TableText"/>
              <w:spacing w:before="40" w:after="30"/>
              <w:rPr>
                <w:rFonts w:cs="Calibri"/>
                <w:szCs w:val="16"/>
              </w:rPr>
            </w:pPr>
            <w:r w:rsidRPr="00261B7A">
              <w:rPr>
                <w:rFonts w:cs="Calibri"/>
                <w:szCs w:val="16"/>
              </w:rPr>
              <w:t>2007</w:t>
            </w:r>
          </w:p>
        </w:tc>
        <w:tc>
          <w:tcPr>
            <w:tcW w:w="1826" w:type="dxa"/>
            <w:noWrap/>
          </w:tcPr>
          <w:p w14:paraId="47AE80E0" w14:textId="77777777" w:rsidR="00994F64" w:rsidRPr="00261B7A" w:rsidRDefault="00994F64" w:rsidP="009B3201">
            <w:pPr>
              <w:pStyle w:val="TableText"/>
              <w:spacing w:before="40" w:after="30"/>
              <w:jc w:val="center"/>
              <w:rPr>
                <w:rFonts w:cs="Calibri"/>
                <w:szCs w:val="16"/>
              </w:rPr>
            </w:pPr>
            <w:r w:rsidRPr="00261B7A">
              <w:rPr>
                <w:rFonts w:cs="Calibri"/>
                <w:szCs w:val="16"/>
              </w:rPr>
              <w:t>88.7</w:t>
            </w:r>
          </w:p>
        </w:tc>
        <w:tc>
          <w:tcPr>
            <w:tcW w:w="1826" w:type="dxa"/>
            <w:noWrap/>
          </w:tcPr>
          <w:p w14:paraId="0C92E872" w14:textId="77777777" w:rsidR="00994F64" w:rsidRPr="00261B7A" w:rsidRDefault="00994F64" w:rsidP="009B3201">
            <w:pPr>
              <w:pStyle w:val="TableText"/>
              <w:spacing w:before="40" w:after="30"/>
              <w:jc w:val="center"/>
            </w:pPr>
            <w:r w:rsidRPr="00261B7A">
              <w:t>77.6</w:t>
            </w:r>
          </w:p>
        </w:tc>
        <w:tc>
          <w:tcPr>
            <w:tcW w:w="1842" w:type="dxa"/>
            <w:tcBorders>
              <w:top w:val="single" w:sz="4" w:space="0" w:color="auto"/>
              <w:left w:val="nil"/>
              <w:bottom w:val="single" w:sz="4" w:space="0" w:color="auto"/>
              <w:right w:val="nil"/>
            </w:tcBorders>
            <w:shd w:val="clear" w:color="auto" w:fill="auto"/>
            <w:noWrap/>
            <w:vAlign w:val="bottom"/>
          </w:tcPr>
          <w:p w14:paraId="7AEC136F"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16.</w:t>
            </w:r>
            <w:r w:rsidRPr="00261B7A">
              <w:rPr>
                <w:rFonts w:asciiTheme="minorHAnsi" w:hAnsiTheme="minorHAnsi" w:cstheme="minorHAnsi"/>
                <w:szCs w:val="16"/>
              </w:rPr>
              <w:t>5</w:t>
            </w:r>
          </w:p>
        </w:tc>
        <w:tc>
          <w:tcPr>
            <w:tcW w:w="1633" w:type="dxa"/>
            <w:tcBorders>
              <w:top w:val="single" w:sz="4" w:space="0" w:color="auto"/>
              <w:left w:val="nil"/>
              <w:bottom w:val="single" w:sz="4" w:space="0" w:color="auto"/>
              <w:right w:val="nil"/>
            </w:tcBorders>
            <w:shd w:val="clear" w:color="auto" w:fill="auto"/>
            <w:noWrap/>
            <w:vAlign w:val="bottom"/>
          </w:tcPr>
          <w:p w14:paraId="4DB2881A"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29.9</w:t>
            </w:r>
          </w:p>
        </w:tc>
      </w:tr>
      <w:tr w:rsidR="00994F64" w:rsidRPr="00261B7A" w14:paraId="225C5FF2" w14:textId="77777777" w:rsidTr="00833EE3">
        <w:tc>
          <w:tcPr>
            <w:tcW w:w="1378" w:type="dxa"/>
            <w:tcBorders>
              <w:left w:val="nil"/>
            </w:tcBorders>
            <w:noWrap/>
          </w:tcPr>
          <w:p w14:paraId="360A56F3" w14:textId="77777777" w:rsidR="00994F64" w:rsidRPr="00261B7A" w:rsidRDefault="00994F64" w:rsidP="009B3201">
            <w:pPr>
              <w:pStyle w:val="TableText"/>
              <w:spacing w:before="40" w:after="30"/>
              <w:rPr>
                <w:rFonts w:cs="Calibri"/>
                <w:szCs w:val="16"/>
              </w:rPr>
            </w:pPr>
            <w:r w:rsidRPr="00261B7A">
              <w:rPr>
                <w:rFonts w:cs="Calibri"/>
                <w:szCs w:val="16"/>
              </w:rPr>
              <w:t>2008</w:t>
            </w:r>
          </w:p>
        </w:tc>
        <w:tc>
          <w:tcPr>
            <w:tcW w:w="1826" w:type="dxa"/>
            <w:noWrap/>
          </w:tcPr>
          <w:p w14:paraId="45B66F62" w14:textId="77777777" w:rsidR="00994F64" w:rsidRPr="00261B7A" w:rsidRDefault="00994F64" w:rsidP="009B3201">
            <w:pPr>
              <w:pStyle w:val="TableText"/>
              <w:spacing w:before="40" w:after="30"/>
              <w:jc w:val="center"/>
              <w:rPr>
                <w:rFonts w:cs="Calibri"/>
                <w:szCs w:val="16"/>
              </w:rPr>
            </w:pPr>
            <w:r w:rsidRPr="00261B7A">
              <w:rPr>
                <w:rFonts w:cs="Calibri"/>
                <w:szCs w:val="16"/>
              </w:rPr>
              <w:t>87.5</w:t>
            </w:r>
          </w:p>
        </w:tc>
        <w:tc>
          <w:tcPr>
            <w:tcW w:w="1826" w:type="dxa"/>
            <w:noWrap/>
          </w:tcPr>
          <w:p w14:paraId="02DBEAE8" w14:textId="77777777" w:rsidR="00994F64" w:rsidRPr="00261B7A" w:rsidRDefault="00994F64" w:rsidP="009B3201">
            <w:pPr>
              <w:pStyle w:val="TableText"/>
              <w:spacing w:before="40" w:after="30"/>
              <w:jc w:val="center"/>
            </w:pPr>
            <w:r w:rsidRPr="00261B7A">
              <w:t>76.9</w:t>
            </w:r>
          </w:p>
        </w:tc>
        <w:tc>
          <w:tcPr>
            <w:tcW w:w="1842" w:type="dxa"/>
            <w:tcBorders>
              <w:top w:val="single" w:sz="4" w:space="0" w:color="auto"/>
              <w:left w:val="nil"/>
              <w:bottom w:val="single" w:sz="4" w:space="0" w:color="auto"/>
              <w:right w:val="nil"/>
            </w:tcBorders>
            <w:shd w:val="clear" w:color="auto" w:fill="auto"/>
            <w:noWrap/>
            <w:vAlign w:val="bottom"/>
          </w:tcPr>
          <w:p w14:paraId="49CF73C3"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16.8</w:t>
            </w:r>
          </w:p>
        </w:tc>
        <w:tc>
          <w:tcPr>
            <w:tcW w:w="1633" w:type="dxa"/>
            <w:tcBorders>
              <w:top w:val="single" w:sz="4" w:space="0" w:color="auto"/>
              <w:left w:val="nil"/>
              <w:bottom w:val="single" w:sz="4" w:space="0" w:color="auto"/>
              <w:right w:val="nil"/>
            </w:tcBorders>
            <w:shd w:val="clear" w:color="auto" w:fill="auto"/>
            <w:noWrap/>
            <w:vAlign w:val="bottom"/>
          </w:tcPr>
          <w:p w14:paraId="3698E37F"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rPr>
              <w:t>30.0</w:t>
            </w:r>
          </w:p>
        </w:tc>
      </w:tr>
      <w:tr w:rsidR="00994F64" w:rsidRPr="00261B7A" w14:paraId="378EA706" w14:textId="77777777" w:rsidTr="00833EE3">
        <w:tc>
          <w:tcPr>
            <w:tcW w:w="1378" w:type="dxa"/>
            <w:tcBorders>
              <w:left w:val="nil"/>
            </w:tcBorders>
            <w:noWrap/>
          </w:tcPr>
          <w:p w14:paraId="4CD99477" w14:textId="77777777" w:rsidR="00994F64" w:rsidRPr="00261B7A" w:rsidRDefault="00994F64" w:rsidP="009B3201">
            <w:pPr>
              <w:pStyle w:val="TableText"/>
              <w:spacing w:before="40" w:after="30"/>
              <w:rPr>
                <w:rFonts w:cs="Calibri"/>
                <w:szCs w:val="16"/>
              </w:rPr>
            </w:pPr>
            <w:r w:rsidRPr="00261B7A">
              <w:rPr>
                <w:rFonts w:cs="Calibri"/>
                <w:szCs w:val="16"/>
              </w:rPr>
              <w:t>2009</w:t>
            </w:r>
          </w:p>
        </w:tc>
        <w:tc>
          <w:tcPr>
            <w:tcW w:w="1826" w:type="dxa"/>
            <w:noWrap/>
          </w:tcPr>
          <w:p w14:paraId="522172FE" w14:textId="77777777" w:rsidR="00994F64" w:rsidRPr="00261B7A" w:rsidRDefault="00994F64" w:rsidP="009B3201">
            <w:pPr>
              <w:pStyle w:val="TableText"/>
              <w:spacing w:before="40" w:after="30"/>
              <w:jc w:val="center"/>
              <w:rPr>
                <w:rFonts w:cs="Calibri"/>
                <w:szCs w:val="16"/>
              </w:rPr>
            </w:pPr>
            <w:r w:rsidRPr="00261B7A">
              <w:rPr>
                <w:rFonts w:cs="Calibri"/>
                <w:szCs w:val="16"/>
              </w:rPr>
              <w:t>88.4</w:t>
            </w:r>
          </w:p>
        </w:tc>
        <w:tc>
          <w:tcPr>
            <w:tcW w:w="1826" w:type="dxa"/>
            <w:noWrap/>
          </w:tcPr>
          <w:p w14:paraId="68456B57" w14:textId="77777777" w:rsidR="00994F64" w:rsidRPr="00261B7A" w:rsidRDefault="00994F64" w:rsidP="009B3201">
            <w:pPr>
              <w:pStyle w:val="TableText"/>
              <w:spacing w:before="40" w:after="30"/>
              <w:jc w:val="center"/>
            </w:pPr>
            <w:r w:rsidRPr="00261B7A">
              <w:t>76.2</w:t>
            </w:r>
          </w:p>
        </w:tc>
        <w:tc>
          <w:tcPr>
            <w:tcW w:w="1842" w:type="dxa"/>
            <w:tcBorders>
              <w:top w:val="single" w:sz="4" w:space="0" w:color="auto"/>
              <w:left w:val="nil"/>
              <w:bottom w:val="single" w:sz="4" w:space="0" w:color="auto"/>
              <w:right w:val="nil"/>
            </w:tcBorders>
            <w:shd w:val="clear" w:color="auto" w:fill="auto"/>
            <w:noWrap/>
            <w:vAlign w:val="bottom"/>
          </w:tcPr>
          <w:p w14:paraId="4A33C61E"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17.</w:t>
            </w:r>
            <w:r w:rsidRPr="00261B7A">
              <w:rPr>
                <w:rFonts w:asciiTheme="minorHAnsi" w:hAnsiTheme="minorHAnsi" w:cstheme="minorHAnsi"/>
                <w:szCs w:val="16"/>
              </w:rPr>
              <w:t>3</w:t>
            </w:r>
          </w:p>
        </w:tc>
        <w:tc>
          <w:tcPr>
            <w:tcW w:w="1633" w:type="dxa"/>
            <w:tcBorders>
              <w:top w:val="single" w:sz="4" w:space="0" w:color="auto"/>
              <w:left w:val="nil"/>
              <w:bottom w:val="single" w:sz="4" w:space="0" w:color="auto"/>
              <w:right w:val="nil"/>
            </w:tcBorders>
            <w:shd w:val="clear" w:color="auto" w:fill="auto"/>
            <w:noWrap/>
            <w:vAlign w:val="bottom"/>
          </w:tcPr>
          <w:p w14:paraId="3F443AC0"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30.2</w:t>
            </w:r>
          </w:p>
        </w:tc>
      </w:tr>
      <w:tr w:rsidR="00994F64" w:rsidRPr="00261B7A" w14:paraId="56123A36" w14:textId="77777777" w:rsidTr="00833EE3">
        <w:tc>
          <w:tcPr>
            <w:tcW w:w="1378" w:type="dxa"/>
            <w:tcBorders>
              <w:left w:val="nil"/>
            </w:tcBorders>
            <w:noWrap/>
          </w:tcPr>
          <w:p w14:paraId="76AA71C2" w14:textId="77777777" w:rsidR="00994F64" w:rsidRPr="00261B7A" w:rsidRDefault="00994F64" w:rsidP="009B3201">
            <w:pPr>
              <w:pStyle w:val="TableText"/>
              <w:spacing w:before="40" w:after="30"/>
              <w:rPr>
                <w:rFonts w:cs="Calibri"/>
                <w:szCs w:val="16"/>
              </w:rPr>
            </w:pPr>
            <w:r w:rsidRPr="00261B7A">
              <w:rPr>
                <w:rFonts w:cs="Calibri"/>
                <w:szCs w:val="16"/>
              </w:rPr>
              <w:t>2010</w:t>
            </w:r>
          </w:p>
        </w:tc>
        <w:tc>
          <w:tcPr>
            <w:tcW w:w="1826" w:type="dxa"/>
            <w:noWrap/>
          </w:tcPr>
          <w:p w14:paraId="03DB24DA" w14:textId="77777777" w:rsidR="00994F64" w:rsidRPr="00261B7A" w:rsidRDefault="00994F64" w:rsidP="009B3201">
            <w:pPr>
              <w:pStyle w:val="TableText"/>
              <w:spacing w:before="40" w:after="30"/>
              <w:jc w:val="center"/>
              <w:rPr>
                <w:rFonts w:cs="Calibri"/>
                <w:szCs w:val="16"/>
              </w:rPr>
            </w:pPr>
            <w:r w:rsidRPr="00261B7A">
              <w:rPr>
                <w:rFonts w:cs="Calibri"/>
                <w:szCs w:val="16"/>
              </w:rPr>
              <w:t>90.1</w:t>
            </w:r>
          </w:p>
        </w:tc>
        <w:tc>
          <w:tcPr>
            <w:tcW w:w="1826" w:type="dxa"/>
            <w:noWrap/>
          </w:tcPr>
          <w:p w14:paraId="09217EF7" w14:textId="77777777" w:rsidR="00994F64" w:rsidRPr="00261B7A" w:rsidRDefault="00994F64" w:rsidP="009B3201">
            <w:pPr>
              <w:pStyle w:val="TableText"/>
              <w:spacing w:before="40" w:after="30"/>
              <w:jc w:val="center"/>
            </w:pPr>
            <w:r w:rsidRPr="00261B7A">
              <w:t>76.1</w:t>
            </w:r>
          </w:p>
        </w:tc>
        <w:tc>
          <w:tcPr>
            <w:tcW w:w="1842" w:type="dxa"/>
            <w:tcBorders>
              <w:top w:val="single" w:sz="4" w:space="0" w:color="auto"/>
              <w:left w:val="nil"/>
              <w:bottom w:val="single" w:sz="4" w:space="0" w:color="auto"/>
              <w:right w:val="nil"/>
            </w:tcBorders>
            <w:shd w:val="clear" w:color="auto" w:fill="auto"/>
            <w:noWrap/>
            <w:vAlign w:val="bottom"/>
          </w:tcPr>
          <w:p w14:paraId="65106CF2"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16.7</w:t>
            </w:r>
          </w:p>
        </w:tc>
        <w:tc>
          <w:tcPr>
            <w:tcW w:w="1633" w:type="dxa"/>
            <w:tcBorders>
              <w:top w:val="single" w:sz="4" w:space="0" w:color="auto"/>
              <w:left w:val="nil"/>
              <w:bottom w:val="single" w:sz="4" w:space="0" w:color="auto"/>
              <w:right w:val="nil"/>
            </w:tcBorders>
            <w:shd w:val="clear" w:color="auto" w:fill="auto"/>
            <w:noWrap/>
            <w:vAlign w:val="bottom"/>
          </w:tcPr>
          <w:p w14:paraId="423067FD"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30.2</w:t>
            </w:r>
          </w:p>
        </w:tc>
      </w:tr>
      <w:tr w:rsidR="00994F64" w:rsidRPr="00261B7A" w14:paraId="32BC70A1" w14:textId="77777777" w:rsidTr="00833EE3">
        <w:tc>
          <w:tcPr>
            <w:tcW w:w="1378" w:type="dxa"/>
            <w:tcBorders>
              <w:left w:val="nil"/>
            </w:tcBorders>
            <w:noWrap/>
          </w:tcPr>
          <w:p w14:paraId="145019A3" w14:textId="77777777" w:rsidR="00994F64" w:rsidRPr="00261B7A" w:rsidRDefault="00994F64" w:rsidP="009B3201">
            <w:pPr>
              <w:pStyle w:val="TableText"/>
              <w:spacing w:before="40" w:after="30"/>
              <w:rPr>
                <w:rFonts w:cs="Calibri"/>
                <w:szCs w:val="16"/>
              </w:rPr>
            </w:pPr>
            <w:r w:rsidRPr="00261B7A">
              <w:rPr>
                <w:rFonts w:cs="Calibri"/>
                <w:szCs w:val="16"/>
              </w:rPr>
              <w:t>2011</w:t>
            </w:r>
          </w:p>
        </w:tc>
        <w:tc>
          <w:tcPr>
            <w:tcW w:w="1826" w:type="dxa"/>
            <w:noWrap/>
          </w:tcPr>
          <w:p w14:paraId="5FF44AE5" w14:textId="77777777" w:rsidR="00994F64" w:rsidRPr="00261B7A" w:rsidRDefault="00994F64" w:rsidP="009B3201">
            <w:pPr>
              <w:pStyle w:val="TableText"/>
              <w:spacing w:before="40" w:after="30"/>
              <w:jc w:val="center"/>
              <w:rPr>
                <w:rFonts w:cs="Calibri"/>
                <w:szCs w:val="16"/>
              </w:rPr>
            </w:pPr>
            <w:r w:rsidRPr="00261B7A">
              <w:rPr>
                <w:rFonts w:cs="Calibri"/>
                <w:szCs w:val="16"/>
              </w:rPr>
              <w:t>89.7</w:t>
            </w:r>
          </w:p>
        </w:tc>
        <w:tc>
          <w:tcPr>
            <w:tcW w:w="1826" w:type="dxa"/>
            <w:noWrap/>
          </w:tcPr>
          <w:p w14:paraId="39EA1460" w14:textId="77777777" w:rsidR="00994F64" w:rsidRPr="00261B7A" w:rsidRDefault="00994F64" w:rsidP="009B3201">
            <w:pPr>
              <w:pStyle w:val="TableText"/>
              <w:spacing w:before="40" w:after="30"/>
              <w:jc w:val="center"/>
            </w:pPr>
            <w:r w:rsidRPr="00261B7A">
              <w:t>77.2</w:t>
            </w:r>
          </w:p>
        </w:tc>
        <w:tc>
          <w:tcPr>
            <w:tcW w:w="1842" w:type="dxa"/>
            <w:tcBorders>
              <w:top w:val="single" w:sz="4" w:space="0" w:color="auto"/>
              <w:left w:val="nil"/>
              <w:bottom w:val="single" w:sz="4" w:space="0" w:color="auto"/>
              <w:right w:val="nil"/>
            </w:tcBorders>
            <w:shd w:val="clear" w:color="auto" w:fill="auto"/>
            <w:noWrap/>
            <w:vAlign w:val="bottom"/>
          </w:tcPr>
          <w:p w14:paraId="641C70E7"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17.</w:t>
            </w:r>
            <w:r w:rsidRPr="00261B7A">
              <w:rPr>
                <w:rFonts w:asciiTheme="minorHAnsi" w:hAnsiTheme="minorHAnsi" w:cstheme="minorHAnsi"/>
                <w:szCs w:val="16"/>
              </w:rPr>
              <w:t>1</w:t>
            </w:r>
          </w:p>
        </w:tc>
        <w:tc>
          <w:tcPr>
            <w:tcW w:w="1633" w:type="dxa"/>
            <w:tcBorders>
              <w:top w:val="single" w:sz="4" w:space="0" w:color="auto"/>
              <w:left w:val="nil"/>
              <w:bottom w:val="single" w:sz="4" w:space="0" w:color="auto"/>
              <w:right w:val="nil"/>
            </w:tcBorders>
            <w:shd w:val="clear" w:color="auto" w:fill="auto"/>
            <w:noWrap/>
            <w:vAlign w:val="bottom"/>
          </w:tcPr>
          <w:p w14:paraId="32243971"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30.5</w:t>
            </w:r>
          </w:p>
        </w:tc>
      </w:tr>
      <w:tr w:rsidR="00994F64" w:rsidRPr="00261B7A" w14:paraId="0310B49C" w14:textId="77777777" w:rsidTr="00833EE3">
        <w:tc>
          <w:tcPr>
            <w:tcW w:w="1378" w:type="dxa"/>
            <w:tcBorders>
              <w:left w:val="nil"/>
            </w:tcBorders>
            <w:noWrap/>
          </w:tcPr>
          <w:p w14:paraId="02399C65" w14:textId="77777777" w:rsidR="00994F64" w:rsidRPr="00261B7A" w:rsidRDefault="00994F64" w:rsidP="009B3201">
            <w:pPr>
              <w:pStyle w:val="TableText"/>
              <w:spacing w:before="40" w:after="30"/>
              <w:rPr>
                <w:rFonts w:cs="Calibri"/>
                <w:szCs w:val="16"/>
              </w:rPr>
            </w:pPr>
            <w:r w:rsidRPr="00261B7A">
              <w:rPr>
                <w:rFonts w:cs="Calibri"/>
                <w:szCs w:val="16"/>
              </w:rPr>
              <w:t>2012</w:t>
            </w:r>
          </w:p>
        </w:tc>
        <w:tc>
          <w:tcPr>
            <w:tcW w:w="1826" w:type="dxa"/>
            <w:noWrap/>
          </w:tcPr>
          <w:p w14:paraId="7731823D" w14:textId="77777777" w:rsidR="00994F64" w:rsidRPr="00261B7A" w:rsidRDefault="00994F64" w:rsidP="009B3201">
            <w:pPr>
              <w:pStyle w:val="TableText"/>
              <w:spacing w:before="40" w:after="30"/>
              <w:jc w:val="center"/>
              <w:rPr>
                <w:rFonts w:cs="Calibri"/>
                <w:szCs w:val="16"/>
              </w:rPr>
            </w:pPr>
            <w:r w:rsidRPr="00261B7A">
              <w:rPr>
                <w:rFonts w:cs="Calibri"/>
                <w:szCs w:val="16"/>
              </w:rPr>
              <w:t>89.0</w:t>
            </w:r>
          </w:p>
        </w:tc>
        <w:tc>
          <w:tcPr>
            <w:tcW w:w="1826" w:type="dxa"/>
            <w:noWrap/>
          </w:tcPr>
          <w:p w14:paraId="415E5D2B" w14:textId="77777777" w:rsidR="00994F64" w:rsidRPr="00261B7A" w:rsidRDefault="00994F64" w:rsidP="009B3201">
            <w:pPr>
              <w:pStyle w:val="TableText"/>
              <w:spacing w:before="40" w:after="30"/>
              <w:jc w:val="center"/>
            </w:pPr>
            <w:r w:rsidRPr="00261B7A">
              <w:t>78.3</w:t>
            </w:r>
          </w:p>
        </w:tc>
        <w:tc>
          <w:tcPr>
            <w:tcW w:w="1842" w:type="dxa"/>
            <w:tcBorders>
              <w:top w:val="single" w:sz="4" w:space="0" w:color="auto"/>
              <w:left w:val="nil"/>
              <w:bottom w:val="single" w:sz="4" w:space="0" w:color="auto"/>
              <w:right w:val="nil"/>
            </w:tcBorders>
            <w:shd w:val="clear" w:color="auto" w:fill="auto"/>
            <w:noWrap/>
            <w:vAlign w:val="bottom"/>
          </w:tcPr>
          <w:p w14:paraId="5C290087"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17.</w:t>
            </w:r>
            <w:r w:rsidRPr="00261B7A">
              <w:rPr>
                <w:rFonts w:asciiTheme="minorHAnsi" w:hAnsiTheme="minorHAnsi" w:cstheme="minorHAnsi"/>
                <w:szCs w:val="16"/>
              </w:rPr>
              <w:t>4</w:t>
            </w:r>
          </w:p>
        </w:tc>
        <w:tc>
          <w:tcPr>
            <w:tcW w:w="1633" w:type="dxa"/>
            <w:tcBorders>
              <w:top w:val="single" w:sz="4" w:space="0" w:color="auto"/>
              <w:left w:val="nil"/>
              <w:bottom w:val="single" w:sz="4" w:space="0" w:color="auto"/>
              <w:right w:val="nil"/>
            </w:tcBorders>
            <w:shd w:val="clear" w:color="auto" w:fill="auto"/>
            <w:noWrap/>
            <w:vAlign w:val="bottom"/>
          </w:tcPr>
          <w:p w14:paraId="2C0626F1"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30.5</w:t>
            </w:r>
          </w:p>
        </w:tc>
      </w:tr>
      <w:tr w:rsidR="00994F64" w:rsidRPr="00261B7A" w14:paraId="182D5A68" w14:textId="77777777" w:rsidTr="00833EE3">
        <w:tc>
          <w:tcPr>
            <w:tcW w:w="1378" w:type="dxa"/>
            <w:tcBorders>
              <w:left w:val="nil"/>
            </w:tcBorders>
            <w:noWrap/>
          </w:tcPr>
          <w:p w14:paraId="32ED7BF8" w14:textId="77777777" w:rsidR="00994F64" w:rsidRPr="00261B7A" w:rsidRDefault="00994F64" w:rsidP="009B3201">
            <w:pPr>
              <w:pStyle w:val="TableText"/>
              <w:spacing w:before="40" w:after="30"/>
              <w:rPr>
                <w:rFonts w:cs="Calibri"/>
                <w:szCs w:val="16"/>
              </w:rPr>
            </w:pPr>
            <w:r w:rsidRPr="00261B7A">
              <w:rPr>
                <w:rFonts w:cs="Calibri"/>
                <w:szCs w:val="16"/>
              </w:rPr>
              <w:t>2013</w:t>
            </w:r>
          </w:p>
        </w:tc>
        <w:tc>
          <w:tcPr>
            <w:tcW w:w="1826" w:type="dxa"/>
            <w:noWrap/>
          </w:tcPr>
          <w:p w14:paraId="5BB9B4E2" w14:textId="77777777" w:rsidR="00994F64" w:rsidRPr="00261B7A" w:rsidRDefault="00994F64" w:rsidP="009B3201">
            <w:pPr>
              <w:pStyle w:val="TableText"/>
              <w:spacing w:before="40" w:after="30"/>
              <w:jc w:val="center"/>
              <w:rPr>
                <w:rFonts w:cs="Calibri"/>
                <w:szCs w:val="16"/>
              </w:rPr>
            </w:pPr>
            <w:r w:rsidRPr="00261B7A">
              <w:rPr>
                <w:rFonts w:cs="Calibri"/>
                <w:szCs w:val="16"/>
              </w:rPr>
              <w:t>91.7</w:t>
            </w:r>
          </w:p>
        </w:tc>
        <w:tc>
          <w:tcPr>
            <w:tcW w:w="1826" w:type="dxa"/>
            <w:noWrap/>
          </w:tcPr>
          <w:p w14:paraId="7E5D2022" w14:textId="77777777" w:rsidR="00994F64" w:rsidRPr="00261B7A" w:rsidRDefault="00994F64" w:rsidP="009B3201">
            <w:pPr>
              <w:pStyle w:val="TableText"/>
              <w:spacing w:before="40" w:after="30"/>
              <w:jc w:val="center"/>
            </w:pPr>
            <w:r w:rsidRPr="00261B7A">
              <w:t>77.0</w:t>
            </w:r>
          </w:p>
        </w:tc>
        <w:tc>
          <w:tcPr>
            <w:tcW w:w="1842" w:type="dxa"/>
            <w:tcBorders>
              <w:top w:val="single" w:sz="4" w:space="0" w:color="auto"/>
              <w:left w:val="nil"/>
              <w:bottom w:val="single" w:sz="4" w:space="0" w:color="auto"/>
              <w:right w:val="nil"/>
            </w:tcBorders>
            <w:shd w:val="clear" w:color="auto" w:fill="auto"/>
            <w:noWrap/>
            <w:vAlign w:val="bottom"/>
          </w:tcPr>
          <w:p w14:paraId="55A6B6FB"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17.</w:t>
            </w:r>
            <w:r w:rsidRPr="00261B7A">
              <w:rPr>
                <w:rFonts w:asciiTheme="minorHAnsi" w:hAnsiTheme="minorHAnsi" w:cstheme="minorHAnsi"/>
                <w:szCs w:val="16"/>
              </w:rPr>
              <w:t>3</w:t>
            </w:r>
          </w:p>
        </w:tc>
        <w:tc>
          <w:tcPr>
            <w:tcW w:w="1633" w:type="dxa"/>
            <w:tcBorders>
              <w:top w:val="single" w:sz="4" w:space="0" w:color="auto"/>
              <w:left w:val="nil"/>
              <w:bottom w:val="single" w:sz="4" w:space="0" w:color="auto"/>
              <w:right w:val="nil"/>
            </w:tcBorders>
            <w:shd w:val="clear" w:color="auto" w:fill="auto"/>
            <w:noWrap/>
            <w:vAlign w:val="bottom"/>
          </w:tcPr>
          <w:p w14:paraId="77C6941F"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30.2</w:t>
            </w:r>
          </w:p>
        </w:tc>
      </w:tr>
      <w:tr w:rsidR="00994F64" w:rsidRPr="00261B7A" w14:paraId="7A47ABA1" w14:textId="77777777" w:rsidTr="00833EE3">
        <w:tc>
          <w:tcPr>
            <w:tcW w:w="1378" w:type="dxa"/>
            <w:tcBorders>
              <w:left w:val="nil"/>
            </w:tcBorders>
            <w:noWrap/>
          </w:tcPr>
          <w:p w14:paraId="1EF2060D" w14:textId="77777777" w:rsidR="00994F64" w:rsidRPr="00261B7A" w:rsidRDefault="00994F64" w:rsidP="009B3201">
            <w:pPr>
              <w:pStyle w:val="TableText"/>
              <w:spacing w:before="40" w:after="30"/>
              <w:rPr>
                <w:rFonts w:cs="Calibri"/>
                <w:szCs w:val="16"/>
              </w:rPr>
            </w:pPr>
            <w:r w:rsidRPr="00261B7A">
              <w:rPr>
                <w:rFonts w:cs="Calibri"/>
                <w:szCs w:val="16"/>
              </w:rPr>
              <w:t>2014</w:t>
            </w:r>
          </w:p>
        </w:tc>
        <w:tc>
          <w:tcPr>
            <w:tcW w:w="1826" w:type="dxa"/>
            <w:noWrap/>
          </w:tcPr>
          <w:p w14:paraId="45DED207" w14:textId="77777777" w:rsidR="00994F64" w:rsidRPr="00261B7A" w:rsidRDefault="00994F64" w:rsidP="009B3201">
            <w:pPr>
              <w:pStyle w:val="TableText"/>
              <w:spacing w:before="40" w:after="30"/>
              <w:jc w:val="center"/>
              <w:rPr>
                <w:rFonts w:cs="Calibri"/>
                <w:szCs w:val="16"/>
              </w:rPr>
            </w:pPr>
            <w:r w:rsidRPr="00261B7A">
              <w:rPr>
                <w:rFonts w:cs="Calibri"/>
                <w:szCs w:val="16"/>
              </w:rPr>
              <w:t>91.7</w:t>
            </w:r>
          </w:p>
        </w:tc>
        <w:tc>
          <w:tcPr>
            <w:tcW w:w="1826" w:type="dxa"/>
            <w:noWrap/>
          </w:tcPr>
          <w:p w14:paraId="102C1DF4" w14:textId="77777777" w:rsidR="00994F64" w:rsidRPr="00261B7A" w:rsidRDefault="00994F64" w:rsidP="009B3201">
            <w:pPr>
              <w:pStyle w:val="TableText"/>
              <w:spacing w:before="40" w:after="30"/>
              <w:jc w:val="center"/>
            </w:pPr>
            <w:r w:rsidRPr="00261B7A">
              <w:t>76.7</w:t>
            </w:r>
          </w:p>
        </w:tc>
        <w:tc>
          <w:tcPr>
            <w:tcW w:w="1842" w:type="dxa"/>
            <w:tcBorders>
              <w:top w:val="single" w:sz="4" w:space="0" w:color="auto"/>
              <w:left w:val="nil"/>
              <w:bottom w:val="single" w:sz="4" w:space="0" w:color="auto"/>
              <w:right w:val="nil"/>
            </w:tcBorders>
            <w:shd w:val="clear" w:color="auto" w:fill="auto"/>
            <w:noWrap/>
            <w:vAlign w:val="bottom"/>
          </w:tcPr>
          <w:p w14:paraId="0785D117"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17.6</w:t>
            </w:r>
          </w:p>
        </w:tc>
        <w:tc>
          <w:tcPr>
            <w:tcW w:w="1633" w:type="dxa"/>
            <w:tcBorders>
              <w:top w:val="single" w:sz="4" w:space="0" w:color="auto"/>
              <w:left w:val="nil"/>
              <w:bottom w:val="single" w:sz="4" w:space="0" w:color="auto"/>
              <w:right w:val="nil"/>
            </w:tcBorders>
            <w:shd w:val="clear" w:color="auto" w:fill="auto"/>
            <w:noWrap/>
            <w:vAlign w:val="bottom"/>
          </w:tcPr>
          <w:p w14:paraId="33B322B8"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30.4</w:t>
            </w:r>
          </w:p>
        </w:tc>
      </w:tr>
      <w:tr w:rsidR="00994F64" w:rsidRPr="00261B7A" w14:paraId="118C7EF3" w14:textId="77777777" w:rsidTr="00833EE3">
        <w:tc>
          <w:tcPr>
            <w:tcW w:w="1378" w:type="dxa"/>
            <w:tcBorders>
              <w:left w:val="nil"/>
            </w:tcBorders>
            <w:noWrap/>
          </w:tcPr>
          <w:p w14:paraId="2A9047EF" w14:textId="77777777" w:rsidR="00994F64" w:rsidRPr="00261B7A" w:rsidRDefault="00994F64" w:rsidP="009B3201">
            <w:pPr>
              <w:pStyle w:val="TableText"/>
              <w:spacing w:before="40" w:after="30"/>
              <w:rPr>
                <w:rFonts w:cs="Calibri"/>
                <w:szCs w:val="16"/>
              </w:rPr>
            </w:pPr>
            <w:r w:rsidRPr="00261B7A">
              <w:rPr>
                <w:rFonts w:cs="Calibri"/>
                <w:szCs w:val="16"/>
              </w:rPr>
              <w:t>2015</w:t>
            </w:r>
          </w:p>
        </w:tc>
        <w:tc>
          <w:tcPr>
            <w:tcW w:w="1826" w:type="dxa"/>
            <w:noWrap/>
          </w:tcPr>
          <w:p w14:paraId="7C246CD1" w14:textId="77777777" w:rsidR="00994F64" w:rsidRPr="00261B7A" w:rsidRDefault="00994F64" w:rsidP="009B3201">
            <w:pPr>
              <w:pStyle w:val="TableText"/>
              <w:spacing w:before="40" w:after="30"/>
              <w:jc w:val="center"/>
              <w:rPr>
                <w:rFonts w:cs="Calibri"/>
                <w:szCs w:val="16"/>
              </w:rPr>
            </w:pPr>
            <w:r w:rsidRPr="00261B7A">
              <w:rPr>
                <w:rFonts w:cs="Calibri"/>
                <w:szCs w:val="16"/>
              </w:rPr>
              <w:t>93.0</w:t>
            </w:r>
          </w:p>
        </w:tc>
        <w:tc>
          <w:tcPr>
            <w:tcW w:w="1826" w:type="dxa"/>
            <w:noWrap/>
          </w:tcPr>
          <w:p w14:paraId="1C6F9BB1" w14:textId="77777777" w:rsidR="00994F64" w:rsidRPr="00261B7A" w:rsidRDefault="00994F64" w:rsidP="009B3201">
            <w:pPr>
              <w:pStyle w:val="TableText"/>
              <w:spacing w:before="40" w:after="30"/>
              <w:jc w:val="center"/>
            </w:pPr>
            <w:r w:rsidRPr="00261B7A">
              <w:t>77.5</w:t>
            </w:r>
          </w:p>
        </w:tc>
        <w:tc>
          <w:tcPr>
            <w:tcW w:w="1842" w:type="dxa"/>
            <w:tcBorders>
              <w:top w:val="single" w:sz="4" w:space="0" w:color="auto"/>
              <w:left w:val="nil"/>
              <w:bottom w:val="single" w:sz="4" w:space="0" w:color="auto"/>
              <w:right w:val="nil"/>
            </w:tcBorders>
            <w:shd w:val="clear" w:color="auto" w:fill="auto"/>
            <w:noWrap/>
            <w:vAlign w:val="bottom"/>
          </w:tcPr>
          <w:p w14:paraId="00B4A242"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17.6</w:t>
            </w:r>
          </w:p>
        </w:tc>
        <w:tc>
          <w:tcPr>
            <w:tcW w:w="1633" w:type="dxa"/>
            <w:tcBorders>
              <w:top w:val="single" w:sz="4" w:space="0" w:color="auto"/>
              <w:left w:val="nil"/>
              <w:bottom w:val="single" w:sz="4" w:space="0" w:color="auto"/>
              <w:right w:val="nil"/>
            </w:tcBorders>
            <w:shd w:val="clear" w:color="auto" w:fill="auto"/>
            <w:noWrap/>
            <w:vAlign w:val="bottom"/>
          </w:tcPr>
          <w:p w14:paraId="2CC15FFF"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30.6</w:t>
            </w:r>
          </w:p>
        </w:tc>
      </w:tr>
      <w:tr w:rsidR="00994F64" w:rsidRPr="00261B7A" w14:paraId="5F842B14" w14:textId="77777777" w:rsidTr="00833EE3">
        <w:tc>
          <w:tcPr>
            <w:tcW w:w="1378" w:type="dxa"/>
            <w:tcBorders>
              <w:left w:val="nil"/>
            </w:tcBorders>
            <w:noWrap/>
          </w:tcPr>
          <w:p w14:paraId="55EEEFEE" w14:textId="77777777" w:rsidR="00994F64" w:rsidRPr="00261B7A" w:rsidRDefault="00994F64" w:rsidP="009B3201">
            <w:pPr>
              <w:pStyle w:val="TableText"/>
              <w:spacing w:before="40" w:after="30"/>
              <w:rPr>
                <w:rFonts w:cs="Calibri"/>
                <w:szCs w:val="16"/>
              </w:rPr>
            </w:pPr>
            <w:r w:rsidRPr="00261B7A">
              <w:rPr>
                <w:rFonts w:cs="Calibri"/>
                <w:szCs w:val="16"/>
              </w:rPr>
              <w:t>2016</w:t>
            </w:r>
          </w:p>
        </w:tc>
        <w:tc>
          <w:tcPr>
            <w:tcW w:w="1826" w:type="dxa"/>
            <w:noWrap/>
          </w:tcPr>
          <w:p w14:paraId="4A774FC5" w14:textId="77777777" w:rsidR="00994F64" w:rsidRPr="00261B7A" w:rsidRDefault="00994F64" w:rsidP="009B3201">
            <w:pPr>
              <w:pStyle w:val="TableText"/>
              <w:spacing w:before="40" w:after="30"/>
              <w:jc w:val="center"/>
              <w:rPr>
                <w:rFonts w:cs="Calibri"/>
                <w:szCs w:val="16"/>
              </w:rPr>
            </w:pPr>
            <w:r w:rsidRPr="00261B7A">
              <w:rPr>
                <w:rFonts w:cs="Calibri"/>
                <w:szCs w:val="16"/>
              </w:rPr>
              <w:t>91</w:t>
            </w:r>
            <w:r w:rsidRPr="00261B7A">
              <w:t>.2</w:t>
            </w:r>
          </w:p>
        </w:tc>
        <w:tc>
          <w:tcPr>
            <w:tcW w:w="1826" w:type="dxa"/>
            <w:noWrap/>
          </w:tcPr>
          <w:p w14:paraId="5E3C13AD" w14:textId="77777777" w:rsidR="00994F64" w:rsidRPr="00261B7A" w:rsidRDefault="00994F64" w:rsidP="009B3201">
            <w:pPr>
              <w:pStyle w:val="TableText"/>
              <w:spacing w:before="40" w:after="30"/>
              <w:jc w:val="center"/>
            </w:pPr>
            <w:r w:rsidRPr="00261B7A">
              <w:t>78.2</w:t>
            </w:r>
          </w:p>
        </w:tc>
        <w:tc>
          <w:tcPr>
            <w:tcW w:w="1842" w:type="dxa"/>
            <w:tcBorders>
              <w:top w:val="single" w:sz="4" w:space="0" w:color="auto"/>
              <w:left w:val="nil"/>
              <w:bottom w:val="single" w:sz="4" w:space="0" w:color="auto"/>
              <w:right w:val="nil"/>
            </w:tcBorders>
            <w:shd w:val="clear" w:color="auto" w:fill="auto"/>
            <w:noWrap/>
            <w:vAlign w:val="bottom"/>
          </w:tcPr>
          <w:p w14:paraId="41CBCF41"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18.</w:t>
            </w:r>
            <w:r w:rsidRPr="00261B7A">
              <w:rPr>
                <w:rFonts w:asciiTheme="minorHAnsi" w:hAnsiTheme="minorHAnsi" w:cstheme="minorHAnsi"/>
                <w:szCs w:val="16"/>
              </w:rPr>
              <w:t>0</w:t>
            </w:r>
          </w:p>
        </w:tc>
        <w:tc>
          <w:tcPr>
            <w:tcW w:w="1633" w:type="dxa"/>
            <w:tcBorders>
              <w:top w:val="single" w:sz="4" w:space="0" w:color="auto"/>
              <w:left w:val="nil"/>
              <w:bottom w:val="single" w:sz="4" w:space="0" w:color="auto"/>
              <w:right w:val="nil"/>
            </w:tcBorders>
            <w:shd w:val="clear" w:color="auto" w:fill="auto"/>
            <w:noWrap/>
            <w:vAlign w:val="bottom"/>
          </w:tcPr>
          <w:p w14:paraId="42DAD0AC"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31.2</w:t>
            </w:r>
          </w:p>
        </w:tc>
      </w:tr>
      <w:tr w:rsidR="00994F64" w:rsidRPr="00261B7A" w14:paraId="70045FC8" w14:textId="77777777" w:rsidTr="00833EE3">
        <w:tc>
          <w:tcPr>
            <w:tcW w:w="1378" w:type="dxa"/>
            <w:tcBorders>
              <w:left w:val="nil"/>
            </w:tcBorders>
            <w:noWrap/>
          </w:tcPr>
          <w:p w14:paraId="6C757AE0" w14:textId="77777777" w:rsidR="00994F64" w:rsidRPr="00261B7A" w:rsidRDefault="00994F64" w:rsidP="009B3201">
            <w:pPr>
              <w:pStyle w:val="TableText"/>
              <w:spacing w:before="40" w:after="30"/>
              <w:rPr>
                <w:rFonts w:cs="Calibri"/>
                <w:szCs w:val="16"/>
              </w:rPr>
            </w:pPr>
            <w:r w:rsidRPr="00261B7A">
              <w:rPr>
                <w:rFonts w:cs="Calibri"/>
                <w:szCs w:val="16"/>
              </w:rPr>
              <w:t>2017</w:t>
            </w:r>
          </w:p>
        </w:tc>
        <w:tc>
          <w:tcPr>
            <w:tcW w:w="1826" w:type="dxa"/>
            <w:noWrap/>
          </w:tcPr>
          <w:p w14:paraId="71F7D0B1" w14:textId="77777777" w:rsidR="00994F64" w:rsidRPr="00261B7A" w:rsidRDefault="00994F64" w:rsidP="009B3201">
            <w:pPr>
              <w:pStyle w:val="TableText"/>
              <w:spacing w:before="40" w:after="30"/>
              <w:jc w:val="center"/>
              <w:rPr>
                <w:rFonts w:cs="Calibri"/>
                <w:szCs w:val="16"/>
              </w:rPr>
            </w:pPr>
            <w:r w:rsidRPr="00261B7A">
              <w:rPr>
                <w:rFonts w:cs="Calibri"/>
                <w:szCs w:val="16"/>
              </w:rPr>
              <w:t>94.6</w:t>
            </w:r>
          </w:p>
        </w:tc>
        <w:tc>
          <w:tcPr>
            <w:tcW w:w="1826" w:type="dxa"/>
            <w:noWrap/>
          </w:tcPr>
          <w:p w14:paraId="4B0E171A" w14:textId="77777777" w:rsidR="00994F64" w:rsidRPr="00261B7A" w:rsidRDefault="00994F64" w:rsidP="009B3201">
            <w:pPr>
              <w:pStyle w:val="TableText"/>
              <w:spacing w:before="40" w:after="30"/>
              <w:jc w:val="center"/>
            </w:pPr>
            <w:r w:rsidRPr="00261B7A">
              <w:t>77.6</w:t>
            </w:r>
          </w:p>
        </w:tc>
        <w:tc>
          <w:tcPr>
            <w:tcW w:w="1842" w:type="dxa"/>
            <w:tcBorders>
              <w:top w:val="single" w:sz="4" w:space="0" w:color="auto"/>
              <w:left w:val="nil"/>
              <w:bottom w:val="single" w:sz="4" w:space="0" w:color="auto"/>
              <w:right w:val="nil"/>
            </w:tcBorders>
            <w:shd w:val="clear" w:color="auto" w:fill="auto"/>
            <w:noWrap/>
            <w:vAlign w:val="bottom"/>
          </w:tcPr>
          <w:p w14:paraId="76992393"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18.</w:t>
            </w:r>
            <w:r w:rsidRPr="00261B7A">
              <w:rPr>
                <w:rFonts w:asciiTheme="minorHAnsi" w:hAnsiTheme="minorHAnsi" w:cstheme="minorHAnsi"/>
                <w:szCs w:val="16"/>
              </w:rPr>
              <w:t>1</w:t>
            </w:r>
          </w:p>
        </w:tc>
        <w:tc>
          <w:tcPr>
            <w:tcW w:w="1633" w:type="dxa"/>
            <w:tcBorders>
              <w:top w:val="single" w:sz="4" w:space="0" w:color="auto"/>
              <w:left w:val="nil"/>
              <w:bottom w:val="single" w:sz="4" w:space="0" w:color="auto"/>
              <w:right w:val="nil"/>
            </w:tcBorders>
            <w:shd w:val="clear" w:color="auto" w:fill="auto"/>
            <w:noWrap/>
            <w:vAlign w:val="bottom"/>
          </w:tcPr>
          <w:p w14:paraId="6BF6A427"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31.1</w:t>
            </w:r>
          </w:p>
        </w:tc>
      </w:tr>
      <w:tr w:rsidR="00994F64" w:rsidRPr="00261B7A" w14:paraId="425F1E0D" w14:textId="77777777" w:rsidTr="00833EE3">
        <w:tc>
          <w:tcPr>
            <w:tcW w:w="1378" w:type="dxa"/>
            <w:tcBorders>
              <w:left w:val="nil"/>
            </w:tcBorders>
            <w:noWrap/>
          </w:tcPr>
          <w:p w14:paraId="72DB5FFC" w14:textId="77777777" w:rsidR="00994F64" w:rsidRPr="00261B7A" w:rsidRDefault="00994F64" w:rsidP="009B3201">
            <w:pPr>
              <w:pStyle w:val="TableText"/>
              <w:spacing w:before="40" w:after="30"/>
              <w:rPr>
                <w:rFonts w:cs="Calibri"/>
                <w:szCs w:val="16"/>
              </w:rPr>
            </w:pPr>
            <w:r w:rsidRPr="00261B7A">
              <w:rPr>
                <w:rFonts w:cs="Calibri"/>
                <w:szCs w:val="16"/>
              </w:rPr>
              <w:t>2018</w:t>
            </w:r>
          </w:p>
        </w:tc>
        <w:tc>
          <w:tcPr>
            <w:tcW w:w="1826" w:type="dxa"/>
            <w:noWrap/>
          </w:tcPr>
          <w:p w14:paraId="64FE28C7" w14:textId="77777777" w:rsidR="00994F64" w:rsidRPr="00261B7A" w:rsidRDefault="00994F64" w:rsidP="009B3201">
            <w:pPr>
              <w:pStyle w:val="TableText"/>
              <w:spacing w:before="40" w:after="30"/>
              <w:jc w:val="center"/>
              <w:rPr>
                <w:rFonts w:cs="Calibri"/>
                <w:szCs w:val="16"/>
              </w:rPr>
            </w:pPr>
            <w:r w:rsidRPr="00261B7A">
              <w:rPr>
                <w:rFonts w:cs="Calibri"/>
                <w:szCs w:val="16"/>
              </w:rPr>
              <w:t>95.5</w:t>
            </w:r>
          </w:p>
        </w:tc>
        <w:tc>
          <w:tcPr>
            <w:tcW w:w="1826" w:type="dxa"/>
            <w:noWrap/>
          </w:tcPr>
          <w:p w14:paraId="056F393B" w14:textId="77777777" w:rsidR="00994F64" w:rsidRPr="00261B7A" w:rsidRDefault="00994F64" w:rsidP="009B3201">
            <w:pPr>
              <w:pStyle w:val="TableText"/>
              <w:spacing w:before="40" w:after="30"/>
              <w:jc w:val="center"/>
            </w:pPr>
            <w:r w:rsidRPr="00261B7A">
              <w:t>76.4</w:t>
            </w:r>
          </w:p>
        </w:tc>
        <w:tc>
          <w:tcPr>
            <w:tcW w:w="1842" w:type="dxa"/>
            <w:tcBorders>
              <w:top w:val="single" w:sz="4" w:space="0" w:color="auto"/>
              <w:left w:val="nil"/>
              <w:bottom w:val="single" w:sz="4" w:space="0" w:color="auto"/>
              <w:right w:val="nil"/>
            </w:tcBorders>
            <w:shd w:val="clear" w:color="auto" w:fill="auto"/>
            <w:noWrap/>
            <w:vAlign w:val="bottom"/>
          </w:tcPr>
          <w:p w14:paraId="16F3453B"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18.</w:t>
            </w:r>
            <w:r w:rsidRPr="00261B7A">
              <w:rPr>
                <w:rFonts w:asciiTheme="minorHAnsi" w:hAnsiTheme="minorHAnsi" w:cstheme="minorHAnsi"/>
                <w:szCs w:val="16"/>
              </w:rPr>
              <w:t>3</w:t>
            </w:r>
          </w:p>
        </w:tc>
        <w:tc>
          <w:tcPr>
            <w:tcW w:w="1633" w:type="dxa"/>
            <w:tcBorders>
              <w:top w:val="single" w:sz="4" w:space="0" w:color="auto"/>
              <w:left w:val="nil"/>
              <w:bottom w:val="single" w:sz="4" w:space="0" w:color="auto"/>
              <w:right w:val="nil"/>
            </w:tcBorders>
            <w:shd w:val="clear" w:color="auto" w:fill="auto"/>
            <w:noWrap/>
            <w:vAlign w:val="bottom"/>
          </w:tcPr>
          <w:p w14:paraId="0DB3B623"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31.2</w:t>
            </w:r>
          </w:p>
        </w:tc>
      </w:tr>
      <w:tr w:rsidR="00994F64" w:rsidRPr="00261B7A" w14:paraId="4BB7499B" w14:textId="77777777" w:rsidTr="00833EE3">
        <w:tc>
          <w:tcPr>
            <w:tcW w:w="1378" w:type="dxa"/>
            <w:tcBorders>
              <w:left w:val="nil"/>
            </w:tcBorders>
            <w:noWrap/>
          </w:tcPr>
          <w:p w14:paraId="5610C18C" w14:textId="77777777" w:rsidR="00994F64" w:rsidRPr="00261B7A" w:rsidRDefault="00994F64" w:rsidP="009B3201">
            <w:pPr>
              <w:pStyle w:val="TableText"/>
              <w:spacing w:before="40" w:after="30"/>
              <w:rPr>
                <w:rFonts w:cs="Calibri"/>
                <w:szCs w:val="16"/>
              </w:rPr>
            </w:pPr>
            <w:r w:rsidRPr="00261B7A">
              <w:rPr>
                <w:rFonts w:cs="Calibri"/>
                <w:szCs w:val="16"/>
              </w:rPr>
              <w:t>2019</w:t>
            </w:r>
          </w:p>
        </w:tc>
        <w:tc>
          <w:tcPr>
            <w:tcW w:w="1826" w:type="dxa"/>
            <w:noWrap/>
          </w:tcPr>
          <w:p w14:paraId="5BDDF61E" w14:textId="77777777" w:rsidR="00994F64" w:rsidRPr="00261B7A" w:rsidRDefault="00994F64" w:rsidP="009B3201">
            <w:pPr>
              <w:pStyle w:val="TableText"/>
              <w:spacing w:before="40" w:after="30"/>
              <w:jc w:val="center"/>
              <w:rPr>
                <w:rFonts w:cs="Calibri"/>
                <w:szCs w:val="16"/>
              </w:rPr>
            </w:pPr>
            <w:r w:rsidRPr="00261B7A">
              <w:rPr>
                <w:rFonts w:cs="Calibri"/>
                <w:szCs w:val="16"/>
              </w:rPr>
              <w:t>96.2</w:t>
            </w:r>
          </w:p>
        </w:tc>
        <w:tc>
          <w:tcPr>
            <w:tcW w:w="1826" w:type="dxa"/>
            <w:noWrap/>
          </w:tcPr>
          <w:p w14:paraId="6D37CA11" w14:textId="77777777" w:rsidR="00994F64" w:rsidRPr="00261B7A" w:rsidRDefault="00994F64" w:rsidP="009B3201">
            <w:pPr>
              <w:pStyle w:val="TableText"/>
              <w:spacing w:before="40" w:after="30"/>
              <w:jc w:val="center"/>
            </w:pPr>
            <w:r w:rsidRPr="00261B7A">
              <w:t>77.3</w:t>
            </w:r>
          </w:p>
        </w:tc>
        <w:tc>
          <w:tcPr>
            <w:tcW w:w="1842" w:type="dxa"/>
            <w:tcBorders>
              <w:top w:val="single" w:sz="4" w:space="0" w:color="auto"/>
              <w:left w:val="nil"/>
              <w:bottom w:val="single" w:sz="4" w:space="0" w:color="auto"/>
              <w:right w:val="nil"/>
            </w:tcBorders>
            <w:shd w:val="clear" w:color="auto" w:fill="auto"/>
            <w:noWrap/>
            <w:vAlign w:val="bottom"/>
          </w:tcPr>
          <w:p w14:paraId="104FE0F8"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rPr>
              <w:t>18.</w:t>
            </w:r>
            <w:r w:rsidRPr="00261B7A">
              <w:rPr>
                <w:rFonts w:asciiTheme="minorHAnsi" w:hAnsiTheme="minorHAnsi" w:cstheme="minorHAnsi"/>
                <w:szCs w:val="16"/>
              </w:rPr>
              <w:t>4</w:t>
            </w:r>
          </w:p>
        </w:tc>
        <w:tc>
          <w:tcPr>
            <w:tcW w:w="1633" w:type="dxa"/>
            <w:tcBorders>
              <w:top w:val="single" w:sz="4" w:space="0" w:color="auto"/>
              <w:left w:val="nil"/>
              <w:bottom w:val="single" w:sz="4" w:space="0" w:color="auto"/>
              <w:right w:val="nil"/>
            </w:tcBorders>
            <w:shd w:val="clear" w:color="auto" w:fill="auto"/>
            <w:noWrap/>
            <w:vAlign w:val="bottom"/>
          </w:tcPr>
          <w:p w14:paraId="6376480F"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31.8</w:t>
            </w:r>
          </w:p>
        </w:tc>
      </w:tr>
      <w:tr w:rsidR="00994F64" w:rsidRPr="00261B7A" w14:paraId="3735D99E" w14:textId="77777777" w:rsidTr="00833EE3">
        <w:tc>
          <w:tcPr>
            <w:tcW w:w="1378" w:type="dxa"/>
            <w:tcBorders>
              <w:left w:val="nil"/>
            </w:tcBorders>
            <w:shd w:val="clear" w:color="auto" w:fill="auto"/>
            <w:noWrap/>
          </w:tcPr>
          <w:p w14:paraId="518F9733" w14:textId="77777777" w:rsidR="00994F64" w:rsidRPr="00261B7A" w:rsidRDefault="00994F64" w:rsidP="009B3201">
            <w:pPr>
              <w:pStyle w:val="TableText"/>
              <w:spacing w:before="40" w:after="30"/>
              <w:rPr>
                <w:rFonts w:cs="Calibri"/>
                <w:szCs w:val="16"/>
              </w:rPr>
            </w:pPr>
            <w:r w:rsidRPr="00261B7A">
              <w:rPr>
                <w:rFonts w:cs="Calibri"/>
                <w:szCs w:val="16"/>
              </w:rPr>
              <w:t>2020</w:t>
            </w:r>
          </w:p>
        </w:tc>
        <w:tc>
          <w:tcPr>
            <w:tcW w:w="1826" w:type="dxa"/>
            <w:shd w:val="clear" w:color="auto" w:fill="auto"/>
            <w:noWrap/>
          </w:tcPr>
          <w:p w14:paraId="0CA85BD8" w14:textId="77777777" w:rsidR="00994F64" w:rsidRPr="00261B7A" w:rsidRDefault="00994F64" w:rsidP="009B3201">
            <w:pPr>
              <w:pStyle w:val="TableText"/>
              <w:spacing w:before="40" w:after="30"/>
              <w:jc w:val="center"/>
            </w:pPr>
            <w:r w:rsidRPr="00261B7A">
              <w:t>97.5</w:t>
            </w:r>
          </w:p>
        </w:tc>
        <w:tc>
          <w:tcPr>
            <w:tcW w:w="1826" w:type="dxa"/>
            <w:shd w:val="clear" w:color="auto" w:fill="auto"/>
            <w:noWrap/>
          </w:tcPr>
          <w:p w14:paraId="31D8188E" w14:textId="77777777" w:rsidR="00994F64" w:rsidRPr="00261B7A" w:rsidRDefault="00994F64" w:rsidP="009B3201">
            <w:pPr>
              <w:pStyle w:val="TableText"/>
              <w:spacing w:before="40" w:after="30"/>
              <w:jc w:val="center"/>
            </w:pPr>
            <w:r w:rsidRPr="00261B7A">
              <w:t>78.4</w:t>
            </w:r>
          </w:p>
        </w:tc>
        <w:tc>
          <w:tcPr>
            <w:tcW w:w="1842" w:type="dxa"/>
            <w:tcBorders>
              <w:top w:val="single" w:sz="4" w:space="0" w:color="auto"/>
              <w:left w:val="nil"/>
              <w:bottom w:val="single" w:sz="4" w:space="0" w:color="auto"/>
              <w:right w:val="nil"/>
            </w:tcBorders>
            <w:shd w:val="clear" w:color="auto" w:fill="auto"/>
            <w:noWrap/>
            <w:vAlign w:val="bottom"/>
          </w:tcPr>
          <w:p w14:paraId="4A32C412"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18.5</w:t>
            </w:r>
          </w:p>
        </w:tc>
        <w:tc>
          <w:tcPr>
            <w:tcW w:w="1633" w:type="dxa"/>
            <w:tcBorders>
              <w:top w:val="single" w:sz="4" w:space="0" w:color="auto"/>
              <w:left w:val="nil"/>
              <w:bottom w:val="single" w:sz="4" w:space="0" w:color="auto"/>
              <w:right w:val="nil"/>
            </w:tcBorders>
            <w:shd w:val="clear" w:color="auto" w:fill="auto"/>
            <w:noWrap/>
            <w:vAlign w:val="bottom"/>
          </w:tcPr>
          <w:p w14:paraId="1898C121" w14:textId="77777777" w:rsidR="00994F64" w:rsidRPr="00261B7A" w:rsidRDefault="00994F64" w:rsidP="009B3201">
            <w:pPr>
              <w:pStyle w:val="TableText"/>
              <w:spacing w:before="40" w:after="30"/>
              <w:jc w:val="center"/>
              <w:rPr>
                <w:rFonts w:asciiTheme="minorHAnsi" w:hAnsiTheme="minorHAnsi"/>
              </w:rPr>
            </w:pPr>
            <w:r w:rsidRPr="00261B7A">
              <w:rPr>
                <w:rFonts w:asciiTheme="minorHAnsi" w:hAnsiTheme="minorHAnsi" w:cstheme="minorHAnsi"/>
                <w:szCs w:val="16"/>
              </w:rPr>
              <w:t>31</w:t>
            </w:r>
            <w:r w:rsidRPr="00261B7A">
              <w:rPr>
                <w:rFonts w:asciiTheme="minorHAnsi" w:hAnsiTheme="minorHAnsi"/>
              </w:rPr>
              <w:t>.4</w:t>
            </w:r>
          </w:p>
        </w:tc>
      </w:tr>
      <w:tr w:rsidR="00994F64" w:rsidRPr="00261B7A" w14:paraId="29F2A598" w14:textId="77777777" w:rsidTr="00833EE3">
        <w:tc>
          <w:tcPr>
            <w:tcW w:w="1378" w:type="dxa"/>
            <w:tcBorders>
              <w:left w:val="nil"/>
            </w:tcBorders>
            <w:shd w:val="clear" w:color="auto" w:fill="auto"/>
            <w:noWrap/>
          </w:tcPr>
          <w:p w14:paraId="27EA58F1" w14:textId="77777777" w:rsidR="00994F64" w:rsidRPr="00261B7A" w:rsidRDefault="00994F64" w:rsidP="009B3201">
            <w:pPr>
              <w:pStyle w:val="TableText"/>
              <w:spacing w:before="40" w:after="30"/>
              <w:rPr>
                <w:rFonts w:cs="Calibri"/>
                <w:szCs w:val="16"/>
              </w:rPr>
            </w:pPr>
            <w:r w:rsidRPr="00261B7A">
              <w:rPr>
                <w:rFonts w:cs="Calibri"/>
                <w:szCs w:val="16"/>
              </w:rPr>
              <w:t>2021</w:t>
            </w:r>
          </w:p>
        </w:tc>
        <w:tc>
          <w:tcPr>
            <w:tcW w:w="1826" w:type="dxa"/>
            <w:shd w:val="clear" w:color="auto" w:fill="auto"/>
            <w:noWrap/>
          </w:tcPr>
          <w:p w14:paraId="6462E785" w14:textId="77777777" w:rsidR="00994F64" w:rsidRPr="00261B7A" w:rsidRDefault="00994F64" w:rsidP="009B3201">
            <w:pPr>
              <w:pStyle w:val="TableText"/>
              <w:spacing w:before="40" w:after="30"/>
              <w:jc w:val="center"/>
            </w:pPr>
            <w:r w:rsidRPr="00261B7A">
              <w:t>98.5</w:t>
            </w:r>
          </w:p>
        </w:tc>
        <w:tc>
          <w:tcPr>
            <w:tcW w:w="1826" w:type="dxa"/>
            <w:shd w:val="clear" w:color="auto" w:fill="auto"/>
            <w:noWrap/>
          </w:tcPr>
          <w:p w14:paraId="4158CE94" w14:textId="77777777" w:rsidR="00994F64" w:rsidRPr="00261B7A" w:rsidRDefault="00994F64" w:rsidP="009B3201">
            <w:pPr>
              <w:pStyle w:val="TableText"/>
              <w:spacing w:before="40" w:after="30"/>
              <w:jc w:val="center"/>
            </w:pPr>
            <w:r w:rsidRPr="00261B7A">
              <w:t>77.3</w:t>
            </w:r>
          </w:p>
        </w:tc>
        <w:tc>
          <w:tcPr>
            <w:tcW w:w="1842" w:type="dxa"/>
            <w:tcBorders>
              <w:top w:val="single" w:sz="4" w:space="0" w:color="auto"/>
              <w:left w:val="nil"/>
              <w:bottom w:val="single" w:sz="4" w:space="0" w:color="auto"/>
              <w:right w:val="nil"/>
            </w:tcBorders>
            <w:shd w:val="clear" w:color="auto" w:fill="auto"/>
            <w:noWrap/>
            <w:vAlign w:val="bottom"/>
          </w:tcPr>
          <w:p w14:paraId="06F9E7E0" w14:textId="77777777" w:rsidR="00994F64" w:rsidRPr="00261B7A" w:rsidRDefault="00994F64" w:rsidP="009B3201">
            <w:pPr>
              <w:pStyle w:val="TableText"/>
              <w:spacing w:before="40" w:after="30"/>
              <w:jc w:val="center"/>
              <w:rPr>
                <w:rFonts w:asciiTheme="minorHAnsi" w:hAnsiTheme="minorHAnsi" w:cstheme="minorHAnsi"/>
              </w:rPr>
            </w:pPr>
            <w:r w:rsidRPr="00261B7A">
              <w:rPr>
                <w:rFonts w:asciiTheme="minorHAnsi" w:hAnsiTheme="minorHAnsi" w:cstheme="minorHAnsi"/>
                <w:szCs w:val="16"/>
              </w:rPr>
              <w:t>18.3</w:t>
            </w:r>
          </w:p>
        </w:tc>
        <w:tc>
          <w:tcPr>
            <w:tcW w:w="1633" w:type="dxa"/>
            <w:tcBorders>
              <w:top w:val="single" w:sz="4" w:space="0" w:color="auto"/>
              <w:left w:val="nil"/>
              <w:bottom w:val="single" w:sz="4" w:space="0" w:color="auto"/>
              <w:right w:val="nil"/>
            </w:tcBorders>
            <w:shd w:val="clear" w:color="auto" w:fill="auto"/>
            <w:noWrap/>
            <w:vAlign w:val="bottom"/>
          </w:tcPr>
          <w:p w14:paraId="3C412343" w14:textId="77777777" w:rsidR="00994F64" w:rsidRPr="00261B7A" w:rsidRDefault="00994F64" w:rsidP="009B3201">
            <w:pPr>
              <w:pStyle w:val="TableText"/>
              <w:spacing w:before="40" w:after="30"/>
              <w:jc w:val="center"/>
              <w:rPr>
                <w:rFonts w:asciiTheme="minorHAnsi" w:hAnsiTheme="minorHAnsi" w:cstheme="minorHAnsi"/>
              </w:rPr>
            </w:pPr>
            <w:r w:rsidRPr="00261B7A">
              <w:rPr>
                <w:rFonts w:asciiTheme="minorHAnsi" w:hAnsiTheme="minorHAnsi" w:cstheme="minorHAnsi"/>
                <w:szCs w:val="16"/>
              </w:rPr>
              <w:t>31.3</w:t>
            </w:r>
          </w:p>
        </w:tc>
      </w:tr>
    </w:tbl>
    <w:p w14:paraId="5CC79368" w14:textId="77777777" w:rsidR="00994F64" w:rsidRPr="00261B7A" w:rsidRDefault="00994F64" w:rsidP="00994F64">
      <w:pPr>
        <w:pStyle w:val="Heading5"/>
        <w:spacing w:before="320"/>
        <w:rPr>
          <w:rFonts w:cs="Calibri"/>
        </w:rPr>
      </w:pPr>
      <w:r w:rsidRPr="00261B7A">
        <w:rPr>
          <w:rFonts w:cs="Calibri"/>
        </w:rPr>
        <w:t xml:space="preserve">Nitrogen excretion rates for the minor livestock categories </w:t>
      </w:r>
    </w:p>
    <w:p w14:paraId="6F6ED8CA" w14:textId="77777777" w:rsidR="00994F64" w:rsidRPr="00261B7A" w:rsidRDefault="00994F64" w:rsidP="00994F64">
      <w:pPr>
        <w:pStyle w:val="BodyText"/>
      </w:pPr>
      <w:r w:rsidRPr="00261B7A">
        <w:rPr>
          <w:b/>
          <w:bCs/>
          <w:i/>
          <w:iCs/>
        </w:rPr>
        <w:t>Swine:</w:t>
      </w:r>
      <w:r w:rsidRPr="00261B7A">
        <w:rPr>
          <w:i/>
          <w:iCs/>
        </w:rPr>
        <w:t xml:space="preserve"> </w:t>
      </w:r>
      <w:r w:rsidRPr="00261B7A">
        <w:t>A New Zealand-specific N</w:t>
      </w:r>
      <w:r w:rsidRPr="00261B7A">
        <w:rPr>
          <w:vertAlign w:val="subscript"/>
        </w:rPr>
        <w:t>ex</w:t>
      </w:r>
      <w:r w:rsidRPr="00261B7A">
        <w:t xml:space="preserve"> rate for swine is calculated for each year (see table 5.3.4) based on the 2009 value of 10.8 kg nitrogen (N) head</w:t>
      </w:r>
      <w:r w:rsidRPr="00261B7A">
        <w:rPr>
          <w:vertAlign w:val="superscript"/>
        </w:rPr>
        <w:t>-1</w:t>
      </w:r>
      <w:r w:rsidRPr="00261B7A">
        <w:t xml:space="preserve"> year</w:t>
      </w:r>
      <w:r w:rsidRPr="00261B7A">
        <w:rPr>
          <w:vertAlign w:val="superscript"/>
        </w:rPr>
        <w:t>-1</w:t>
      </w:r>
      <w:r w:rsidRPr="00261B7A">
        <w:t xml:space="preserve"> (Hill, 2012). This 2009 value is based on the weighted average of the distribution of animal weights by swine category. Estimates of N</w:t>
      </w:r>
      <w:r w:rsidRPr="00261B7A">
        <w:rPr>
          <w:vertAlign w:val="subscript"/>
        </w:rPr>
        <w:t>ex</w:t>
      </w:r>
      <w:r w:rsidRPr="00261B7A">
        <w:t xml:space="preserve"> rates for all other years are indexed relative to 2009 for the average pig kill weights for each year. Average pig weights have increased since 1990 due to improvements in productivity. Data on swine carcass weights are collected by MPI from meat processors.</w:t>
      </w:r>
    </w:p>
    <w:p w14:paraId="0A7FBFB0" w14:textId="77777777" w:rsidR="00994F64" w:rsidRPr="00261B7A" w:rsidRDefault="00994F64" w:rsidP="00994F64">
      <w:pPr>
        <w:pStyle w:val="BodyText"/>
      </w:pPr>
      <w:r w:rsidRPr="00261B7A">
        <w:rPr>
          <w:b/>
          <w:bCs/>
          <w:i/>
          <w:iCs/>
        </w:rPr>
        <w:t>Goats:</w:t>
      </w:r>
      <w:r w:rsidRPr="00261B7A">
        <w:t xml:space="preserve"> New Zealand uses country-specific N</w:t>
      </w:r>
      <w:r w:rsidRPr="00261B7A">
        <w:rPr>
          <w:vertAlign w:val="subscript"/>
        </w:rPr>
        <w:t>ex</w:t>
      </w:r>
      <w:r w:rsidRPr="00261B7A">
        <w:t xml:space="preserve"> rates for goats to estimate N</w:t>
      </w:r>
      <w:r w:rsidRPr="00261B7A">
        <w:rPr>
          <w:vertAlign w:val="subscript"/>
        </w:rPr>
        <w:t>2</w:t>
      </w:r>
      <w:r w:rsidRPr="00261B7A">
        <w:t>O emissions of 10.6 kg N head</w:t>
      </w:r>
      <w:r w:rsidRPr="00261B7A">
        <w:rPr>
          <w:vertAlign w:val="superscript"/>
        </w:rPr>
        <w:t>-1</w:t>
      </w:r>
      <w:r w:rsidRPr="00261B7A">
        <w:t xml:space="preserve"> year</w:t>
      </w:r>
      <w:r w:rsidRPr="00261B7A">
        <w:rPr>
          <w:vertAlign w:val="superscript"/>
        </w:rPr>
        <w:t>-1</w:t>
      </w:r>
      <w:r w:rsidRPr="00261B7A">
        <w:t xml:space="preserve"> for 1990 and 12.1 kg N head</w:t>
      </w:r>
      <w:r w:rsidRPr="00261B7A">
        <w:rPr>
          <w:vertAlign w:val="superscript"/>
        </w:rPr>
        <w:t>-1</w:t>
      </w:r>
      <w:r w:rsidRPr="00261B7A">
        <w:t xml:space="preserve"> year</w:t>
      </w:r>
      <w:r w:rsidRPr="00261B7A">
        <w:rPr>
          <w:vertAlign w:val="superscript"/>
        </w:rPr>
        <w:t>-1</w:t>
      </w:r>
      <w:r w:rsidRPr="00261B7A">
        <w:t xml:space="preserve"> for 2009 based on the differing population characteristics for those two years (Lassey, 2011). As explained in section 5.2.2 for </w:t>
      </w:r>
      <w:r w:rsidRPr="00261B7A">
        <w:rPr>
          <w:i/>
          <w:iCs/>
        </w:rPr>
        <w:t>Enteric fermentation</w:t>
      </w:r>
      <w:r w:rsidRPr="00261B7A">
        <w:t xml:space="preserve">, for the intermediate years between 1990 and 2009 and for later years, the excretion rate was interpolated based on assumptions that the dairy goat population has remained in a near constant state over time while the rest of the goat population has declined (see table 5.3.4). </w:t>
      </w:r>
    </w:p>
    <w:p w14:paraId="61E9719E" w14:textId="77777777" w:rsidR="00994F64" w:rsidRPr="00261B7A" w:rsidRDefault="00994F64" w:rsidP="00994F64">
      <w:pPr>
        <w:pStyle w:val="BodyText"/>
      </w:pPr>
      <w:r w:rsidRPr="00261B7A">
        <w:rPr>
          <w:b/>
          <w:bCs/>
          <w:i/>
          <w:iCs/>
        </w:rPr>
        <w:t>Poultry:</w:t>
      </w:r>
      <w:r w:rsidRPr="00261B7A">
        <w:t xml:space="preserve"> New Zealand-specific and IPCC default N</w:t>
      </w:r>
      <w:r w:rsidRPr="00261B7A">
        <w:rPr>
          <w:vertAlign w:val="subscript"/>
        </w:rPr>
        <w:t>ex</w:t>
      </w:r>
      <w:r w:rsidRPr="00261B7A">
        <w:t xml:space="preserve"> rates are used for poultry (Fick et al., 2011). These are the country-specific values of 0.39 kg N head</w:t>
      </w:r>
      <w:r w:rsidRPr="00261B7A">
        <w:rPr>
          <w:vertAlign w:val="superscript"/>
        </w:rPr>
        <w:t>-1</w:t>
      </w:r>
      <w:r w:rsidRPr="00261B7A">
        <w:t xml:space="preserve"> year</w:t>
      </w:r>
      <w:r w:rsidRPr="00261B7A">
        <w:rPr>
          <w:vertAlign w:val="superscript"/>
        </w:rPr>
        <w:t>-1</w:t>
      </w:r>
      <w:r w:rsidRPr="00261B7A">
        <w:t xml:space="preserve"> for broiler birds and 0.42 kg N head</w:t>
      </w:r>
      <w:r w:rsidRPr="00261B7A">
        <w:rPr>
          <w:vertAlign w:val="superscript"/>
        </w:rPr>
        <w:t>-1</w:t>
      </w:r>
      <w:r w:rsidRPr="00261B7A">
        <w:t xml:space="preserve"> year</w:t>
      </w:r>
      <w:r w:rsidRPr="00261B7A">
        <w:rPr>
          <w:vertAlign w:val="superscript"/>
        </w:rPr>
        <w:t>-1</w:t>
      </w:r>
      <w:r w:rsidRPr="00261B7A">
        <w:t xml:space="preserve"> for layer hens. Ducks, turkeys and other poultry types, such as ostriches, make up around 1 per cent of New Zealand’s poultry population, and flock sizes are unclear because they are reported by Stats NZ under ‘other poultry’. Therefore, the value of 0.60 kg N head</w:t>
      </w:r>
      <w:r w:rsidRPr="00261B7A">
        <w:rPr>
          <w:vertAlign w:val="superscript"/>
        </w:rPr>
        <w:t>-1</w:t>
      </w:r>
      <w:r w:rsidRPr="00261B7A">
        <w:t xml:space="preserve"> year</w:t>
      </w:r>
      <w:r w:rsidRPr="00261B7A">
        <w:rPr>
          <w:vertAlign w:val="superscript"/>
        </w:rPr>
        <w:t>-1</w:t>
      </w:r>
      <w:r w:rsidRPr="00261B7A">
        <w:t xml:space="preserve"> for ducks and turkeys recommended by Fick et al. (2011) is retained. These values are used for all years from 1990. The overall N</w:t>
      </w:r>
      <w:r w:rsidRPr="00261B7A">
        <w:rPr>
          <w:vertAlign w:val="subscript"/>
        </w:rPr>
        <w:t>ex</w:t>
      </w:r>
      <w:r w:rsidRPr="00261B7A">
        <w:t xml:space="preserve"> rate for poultry is affected by the change over time in the population proportions of these different categories.</w:t>
      </w:r>
    </w:p>
    <w:p w14:paraId="53B89A75" w14:textId="77777777" w:rsidR="00994F64" w:rsidRPr="00261B7A" w:rsidRDefault="00994F64" w:rsidP="00994F64">
      <w:pPr>
        <w:pStyle w:val="BodyText"/>
        <w:rPr>
          <w:rFonts w:cs="Calibri"/>
        </w:rPr>
      </w:pPr>
      <w:r w:rsidRPr="00261B7A">
        <w:rPr>
          <w:rFonts w:cs="Calibri"/>
          <w:b/>
          <w:bCs/>
          <w:i/>
          <w:iCs/>
        </w:rPr>
        <w:t>Horses</w:t>
      </w:r>
      <w:r w:rsidRPr="00261B7A">
        <w:rPr>
          <w:rFonts w:cs="Calibri"/>
          <w:b/>
          <w:bCs/>
        </w:rPr>
        <w:t xml:space="preserve">, and </w:t>
      </w:r>
      <w:r w:rsidRPr="00261B7A">
        <w:rPr>
          <w:rFonts w:cs="Calibri"/>
          <w:b/>
          <w:bCs/>
          <w:i/>
          <w:iCs/>
        </w:rPr>
        <w:t>Mules and asses:</w:t>
      </w:r>
      <w:r w:rsidRPr="00261B7A">
        <w:rPr>
          <w:rFonts w:cs="Calibri"/>
        </w:rPr>
        <w:t xml:space="preserve"> New Zealand-specific N</w:t>
      </w:r>
      <w:r w:rsidRPr="00261B7A">
        <w:rPr>
          <w:rFonts w:cs="Calibri"/>
          <w:vertAlign w:val="subscript"/>
        </w:rPr>
        <w:t>ex</w:t>
      </w:r>
      <w:r w:rsidRPr="00261B7A">
        <w:rPr>
          <w:rFonts w:cs="Calibri"/>
        </w:rPr>
        <w:t xml:space="preserve"> rates are not available for horses or mules and asses, and the default N</w:t>
      </w:r>
      <w:r w:rsidRPr="00261B7A">
        <w:rPr>
          <w:rFonts w:cs="Calibri"/>
          <w:vertAlign w:val="subscript"/>
        </w:rPr>
        <w:t>ex</w:t>
      </w:r>
      <w:r w:rsidRPr="00261B7A">
        <w:rPr>
          <w:rFonts w:cs="Calibri"/>
        </w:rPr>
        <w:t xml:space="preserve"> rate for Oceania of 0.3 kg N per 1,000 kg of animal mass per day is used (IPCC, 2006, table 10.19).</w:t>
      </w:r>
    </w:p>
    <w:p w14:paraId="6C0A4F18" w14:textId="77777777" w:rsidR="00994F64" w:rsidRPr="00261B7A" w:rsidRDefault="00994F64" w:rsidP="00994F64">
      <w:pPr>
        <w:pStyle w:val="BodyText"/>
        <w:rPr>
          <w:rFonts w:cs="Calibri"/>
          <w:spacing w:val="-2"/>
        </w:rPr>
      </w:pPr>
      <w:r w:rsidRPr="00261B7A">
        <w:rPr>
          <w:rFonts w:cs="Calibri"/>
          <w:b/>
          <w:bCs/>
          <w:i/>
          <w:iCs/>
          <w:spacing w:val="-2"/>
        </w:rPr>
        <w:t>Llamas</w:t>
      </w:r>
      <w:r w:rsidRPr="00261B7A">
        <w:rPr>
          <w:b/>
          <w:spacing w:val="-2"/>
        </w:rPr>
        <w:t xml:space="preserve"> </w:t>
      </w:r>
      <w:r w:rsidRPr="00261B7A">
        <w:rPr>
          <w:b/>
          <w:i/>
          <w:iCs/>
          <w:spacing w:val="-2"/>
        </w:rPr>
        <w:t>and</w:t>
      </w:r>
      <w:r w:rsidRPr="00261B7A">
        <w:rPr>
          <w:b/>
          <w:spacing w:val="-2"/>
        </w:rPr>
        <w:t xml:space="preserve"> </w:t>
      </w:r>
      <w:r w:rsidRPr="00261B7A">
        <w:rPr>
          <w:rFonts w:cs="Calibri"/>
          <w:b/>
          <w:bCs/>
          <w:i/>
          <w:iCs/>
          <w:spacing w:val="-2"/>
        </w:rPr>
        <w:t>alpacas</w:t>
      </w:r>
      <w:r w:rsidRPr="00261B7A">
        <w:rPr>
          <w:b/>
          <w:spacing w:val="-2"/>
        </w:rPr>
        <w:t>:</w:t>
      </w:r>
      <w:r w:rsidRPr="00261B7A">
        <w:rPr>
          <w:rFonts w:cs="Calibri"/>
          <w:i/>
          <w:iCs/>
          <w:spacing w:val="-2"/>
        </w:rPr>
        <w:t xml:space="preserve"> </w:t>
      </w:r>
      <w:r w:rsidRPr="00261B7A">
        <w:rPr>
          <w:rFonts w:cs="Calibri"/>
          <w:spacing w:val="-2"/>
        </w:rPr>
        <w:t>Because there is no IPCC default N</w:t>
      </w:r>
      <w:r w:rsidRPr="00261B7A">
        <w:rPr>
          <w:rFonts w:cs="Calibri"/>
          <w:spacing w:val="-2"/>
          <w:vertAlign w:val="subscript"/>
        </w:rPr>
        <w:t>ex</w:t>
      </w:r>
      <w:r w:rsidRPr="00261B7A">
        <w:rPr>
          <w:rFonts w:cs="Calibri"/>
          <w:spacing w:val="-2"/>
        </w:rPr>
        <w:t xml:space="preserve"> rate for </w:t>
      </w:r>
      <w:r w:rsidRPr="00261B7A">
        <w:rPr>
          <w:rFonts w:cs="Calibri"/>
          <w:i/>
          <w:iCs/>
          <w:spacing w:val="-2"/>
        </w:rPr>
        <w:t>Llamas and</w:t>
      </w:r>
      <w:r w:rsidRPr="00261B7A">
        <w:rPr>
          <w:rFonts w:cs="Calibri"/>
          <w:spacing w:val="-2"/>
        </w:rPr>
        <w:t xml:space="preserve"> </w:t>
      </w:r>
      <w:r w:rsidRPr="00261B7A">
        <w:rPr>
          <w:rFonts w:cs="Calibri"/>
          <w:i/>
          <w:iCs/>
          <w:spacing w:val="-2"/>
        </w:rPr>
        <w:t>alpacas</w:t>
      </w:r>
      <w:r w:rsidRPr="00261B7A">
        <w:rPr>
          <w:rFonts w:cs="Calibri"/>
          <w:spacing w:val="-2"/>
        </w:rPr>
        <w:t>, this was calculated by assuming a default N</w:t>
      </w:r>
      <w:r w:rsidRPr="00261B7A">
        <w:rPr>
          <w:rFonts w:cs="Calibri"/>
          <w:spacing w:val="-2"/>
          <w:vertAlign w:val="subscript"/>
        </w:rPr>
        <w:t>ex</w:t>
      </w:r>
      <w:r w:rsidRPr="00261B7A">
        <w:rPr>
          <w:rFonts w:cs="Calibri"/>
          <w:spacing w:val="-2"/>
        </w:rPr>
        <w:t xml:space="preserve"> rate for alpacas for all years that is equal to the per-head value of the average sheep in 1990 (i.e., 14.1 kg head</w:t>
      </w:r>
      <w:r w:rsidRPr="00261B7A">
        <w:rPr>
          <w:rFonts w:cs="Calibri"/>
          <w:spacing w:val="-2"/>
          <w:vertAlign w:val="superscript"/>
        </w:rPr>
        <w:t>-1</w:t>
      </w:r>
      <w:r w:rsidRPr="00261B7A">
        <w:rPr>
          <w:rFonts w:cs="Calibri"/>
          <w:spacing w:val="-2"/>
        </w:rPr>
        <w:t xml:space="preserve"> year</w:t>
      </w:r>
      <w:r w:rsidRPr="00261B7A">
        <w:rPr>
          <w:rFonts w:cs="Calibri"/>
          <w:spacing w:val="-2"/>
          <w:vertAlign w:val="superscript"/>
        </w:rPr>
        <w:t>-1</w:t>
      </w:r>
      <w:r w:rsidRPr="00261B7A">
        <w:rPr>
          <w:rFonts w:cs="Calibri"/>
          <w:spacing w:val="-2"/>
        </w:rPr>
        <w:t>). The alpaca emission factor is not indexed to sheep over time because no data are available to support the productivity increases that have been seen in sheep. Sheep were used, rather than the IPCC default value for ‘other animals’, because the literature indicates that alpacas have a nitrogen intake close to that of sheep and no significant difference in the partitioning of nitrogen (Pinares-Patino et al., 2003).</w:t>
      </w:r>
    </w:p>
    <w:p w14:paraId="62894EB1" w14:textId="77777777" w:rsidR="00994F64" w:rsidRPr="00261B7A" w:rsidRDefault="00994F64" w:rsidP="00994F64">
      <w:pPr>
        <w:pStyle w:val="Table"/>
        <w:rPr>
          <w:rFonts w:cs="Calibri"/>
        </w:rPr>
      </w:pPr>
      <w:bookmarkStart w:id="888" w:name="_Toc441830876"/>
      <w:bookmarkStart w:id="889" w:name="_Toc451176090"/>
      <w:bookmarkStart w:id="890" w:name="_Toc481751518"/>
      <w:bookmarkStart w:id="891" w:name="_Toc507158606"/>
      <w:bookmarkStart w:id="892" w:name="_Toc511116740"/>
      <w:bookmarkStart w:id="893" w:name="_Toc5269480"/>
      <w:bookmarkStart w:id="894" w:name="_Toc32570923"/>
      <w:bookmarkStart w:id="895" w:name="_Toc36224558"/>
      <w:bookmarkStart w:id="896" w:name="_Toc68786443"/>
      <w:bookmarkStart w:id="897" w:name="_Toc95574077"/>
      <w:bookmarkStart w:id="898" w:name="_Toc127458262"/>
      <w:bookmarkStart w:id="899" w:name="_Toc131591358"/>
      <w:r w:rsidRPr="00261B7A">
        <w:rPr>
          <w:rFonts w:cs="Calibri"/>
        </w:rPr>
        <w:t>Table 5.3.4</w:t>
      </w:r>
      <w:r w:rsidRPr="00261B7A">
        <w:rPr>
          <w:rFonts w:cs="Calibri"/>
        </w:rPr>
        <w:tab/>
        <w:t>Nitrogen excretion (N</w:t>
      </w:r>
      <w:r w:rsidRPr="00261B7A">
        <w:rPr>
          <w:rFonts w:cs="Calibri"/>
          <w:vertAlign w:val="subscript"/>
        </w:rPr>
        <w:t>ex</w:t>
      </w:r>
      <w:r w:rsidRPr="00261B7A">
        <w:rPr>
          <w:rFonts w:cs="Calibri"/>
        </w:rPr>
        <w:t>) rates for New Zealand’s swine and goats from 1990 to </w:t>
      </w:r>
      <w:bookmarkEnd w:id="888"/>
      <w:bookmarkEnd w:id="889"/>
      <w:bookmarkEnd w:id="890"/>
      <w:bookmarkEnd w:id="891"/>
      <w:bookmarkEnd w:id="892"/>
      <w:bookmarkEnd w:id="893"/>
      <w:bookmarkEnd w:id="894"/>
      <w:bookmarkEnd w:id="895"/>
      <w:bookmarkEnd w:id="896"/>
      <w:bookmarkEnd w:id="897"/>
      <w:r w:rsidRPr="00261B7A">
        <w:rPr>
          <w:rFonts w:cs="Calibri"/>
        </w:rPr>
        <w:t>2021</w:t>
      </w:r>
      <w:bookmarkEnd w:id="898"/>
      <w:bookmarkEnd w:id="899"/>
    </w:p>
    <w:tbl>
      <w:tblPr>
        <w:tblW w:w="8505" w:type="dxa"/>
        <w:tblBorders>
          <w:top w:val="single" w:sz="4" w:space="0" w:color="1B556B" w:themeColor="text2"/>
          <w:bottom w:val="single" w:sz="4" w:space="0" w:color="1B556B" w:themeColor="text2"/>
          <w:insideH w:val="single" w:sz="4" w:space="0" w:color="1B556B" w:themeColor="text2"/>
        </w:tblBorders>
        <w:tblLook w:val="0000" w:firstRow="0" w:lastRow="0" w:firstColumn="0" w:lastColumn="0" w:noHBand="0" w:noVBand="0"/>
      </w:tblPr>
      <w:tblGrid>
        <w:gridCol w:w="930"/>
        <w:gridCol w:w="1601"/>
        <w:gridCol w:w="1601"/>
        <w:gridCol w:w="349"/>
        <w:gridCol w:w="987"/>
        <w:gridCol w:w="1601"/>
        <w:gridCol w:w="1436"/>
      </w:tblGrid>
      <w:tr w:rsidR="00994F64" w:rsidRPr="00261B7A" w14:paraId="3CEBDA5E" w14:textId="77777777" w:rsidTr="00580DC2">
        <w:trPr>
          <w:tblHeader/>
        </w:trPr>
        <w:tc>
          <w:tcPr>
            <w:tcW w:w="547" w:type="pct"/>
            <w:shd w:val="clear" w:color="auto" w:fill="1B556B"/>
            <w:noWrap/>
            <w:vAlign w:val="bottom"/>
          </w:tcPr>
          <w:p w14:paraId="489CC99F" w14:textId="77777777" w:rsidR="00994F64" w:rsidRPr="00261B7A" w:rsidRDefault="00994F64" w:rsidP="005C564D">
            <w:pPr>
              <w:pStyle w:val="TableTextBold"/>
              <w:keepNext/>
              <w:spacing w:before="40" w:after="40"/>
              <w:rPr>
                <w:noProof w:val="0"/>
                <w:color w:val="FFFFFF" w:themeColor="background1"/>
              </w:rPr>
            </w:pPr>
            <w:r w:rsidRPr="00261B7A">
              <w:rPr>
                <w:noProof w:val="0"/>
                <w:color w:val="FFFFFF" w:themeColor="background1"/>
              </w:rPr>
              <w:t>Year</w:t>
            </w:r>
          </w:p>
        </w:tc>
        <w:tc>
          <w:tcPr>
            <w:tcW w:w="941" w:type="pct"/>
            <w:shd w:val="clear" w:color="auto" w:fill="1B556B"/>
            <w:noWrap/>
            <w:vAlign w:val="bottom"/>
          </w:tcPr>
          <w:p w14:paraId="41EFB320" w14:textId="77777777" w:rsidR="00994F64" w:rsidRPr="00261B7A" w:rsidRDefault="00994F64" w:rsidP="005C564D">
            <w:pPr>
              <w:pStyle w:val="TableTextBold"/>
              <w:keepNext/>
              <w:spacing w:before="40" w:after="40"/>
              <w:jc w:val="center"/>
              <w:rPr>
                <w:noProof w:val="0"/>
                <w:color w:val="FFFFFF" w:themeColor="background1"/>
              </w:rPr>
            </w:pPr>
            <w:r w:rsidRPr="00261B7A">
              <w:rPr>
                <w:noProof w:val="0"/>
                <w:color w:val="FFFFFF" w:themeColor="background1"/>
              </w:rPr>
              <w:t>Goat N</w:t>
            </w:r>
            <w:r w:rsidRPr="00261B7A">
              <w:rPr>
                <w:noProof w:val="0"/>
                <w:color w:val="FFFFFF" w:themeColor="background1"/>
                <w:vertAlign w:val="subscript"/>
              </w:rPr>
              <w:t xml:space="preserve">ex </w:t>
            </w:r>
            <w:r w:rsidRPr="00261B7A">
              <w:rPr>
                <w:noProof w:val="0"/>
                <w:color w:val="FFFFFF" w:themeColor="background1"/>
              </w:rPr>
              <w:br/>
              <w:t>(kg/head/year)</w:t>
            </w:r>
          </w:p>
        </w:tc>
        <w:tc>
          <w:tcPr>
            <w:tcW w:w="941" w:type="pct"/>
            <w:tcBorders>
              <w:right w:val="single" w:sz="4" w:space="0" w:color="1B556B" w:themeColor="text2"/>
            </w:tcBorders>
            <w:shd w:val="clear" w:color="auto" w:fill="1B556B"/>
            <w:noWrap/>
            <w:vAlign w:val="bottom"/>
          </w:tcPr>
          <w:p w14:paraId="23B7AEB7" w14:textId="77777777" w:rsidR="00994F64" w:rsidRPr="00261B7A" w:rsidRDefault="00994F64" w:rsidP="005C564D">
            <w:pPr>
              <w:pStyle w:val="TableTextBold"/>
              <w:keepNext/>
              <w:spacing w:before="40" w:after="40"/>
              <w:jc w:val="center"/>
              <w:rPr>
                <w:noProof w:val="0"/>
                <w:color w:val="FFFFFF" w:themeColor="background1"/>
              </w:rPr>
            </w:pPr>
            <w:r w:rsidRPr="00261B7A">
              <w:rPr>
                <w:noProof w:val="0"/>
                <w:color w:val="FFFFFF" w:themeColor="background1"/>
              </w:rPr>
              <w:t>Swine N</w:t>
            </w:r>
            <w:r w:rsidRPr="00261B7A">
              <w:rPr>
                <w:noProof w:val="0"/>
                <w:color w:val="FFFFFF" w:themeColor="background1"/>
                <w:vertAlign w:val="subscript"/>
              </w:rPr>
              <w:t>ex</w:t>
            </w:r>
            <w:r w:rsidRPr="00261B7A">
              <w:rPr>
                <w:noProof w:val="0"/>
                <w:color w:val="FFFFFF" w:themeColor="background1"/>
              </w:rPr>
              <w:t xml:space="preserve"> </w:t>
            </w:r>
            <w:r w:rsidRPr="00261B7A">
              <w:rPr>
                <w:noProof w:val="0"/>
                <w:color w:val="FFFFFF" w:themeColor="background1"/>
              </w:rPr>
              <w:br/>
              <w:t>(kg/head/year)</w:t>
            </w:r>
          </w:p>
        </w:tc>
        <w:tc>
          <w:tcPr>
            <w:tcW w:w="205" w:type="pct"/>
            <w:tcBorders>
              <w:left w:val="single" w:sz="4" w:space="0" w:color="1B556B" w:themeColor="text2"/>
              <w:bottom w:val="single" w:sz="4" w:space="0" w:color="1B556B" w:themeColor="text2"/>
              <w:right w:val="single" w:sz="4" w:space="0" w:color="1B556B" w:themeColor="text2"/>
            </w:tcBorders>
            <w:shd w:val="clear" w:color="auto" w:fill="1B556B"/>
          </w:tcPr>
          <w:p w14:paraId="58B65F05" w14:textId="77777777" w:rsidR="00994F64" w:rsidRPr="00261B7A" w:rsidRDefault="00994F64" w:rsidP="005C564D">
            <w:pPr>
              <w:pStyle w:val="TableTextBold"/>
              <w:keepNext/>
              <w:spacing w:before="40" w:after="40"/>
              <w:rPr>
                <w:b w:val="0"/>
                <w:bCs/>
                <w:noProof w:val="0"/>
                <w:color w:val="FFFFFF" w:themeColor="background1"/>
              </w:rPr>
            </w:pPr>
          </w:p>
        </w:tc>
        <w:tc>
          <w:tcPr>
            <w:tcW w:w="580" w:type="pct"/>
            <w:tcBorders>
              <w:left w:val="single" w:sz="4" w:space="0" w:color="1B556B" w:themeColor="text2"/>
            </w:tcBorders>
            <w:shd w:val="clear" w:color="auto" w:fill="1B556B"/>
            <w:noWrap/>
            <w:vAlign w:val="bottom"/>
          </w:tcPr>
          <w:p w14:paraId="67683A06" w14:textId="77777777" w:rsidR="00994F64" w:rsidRPr="00261B7A" w:rsidRDefault="00994F64" w:rsidP="009B3201">
            <w:pPr>
              <w:pStyle w:val="TableTextBold"/>
              <w:keepNext/>
              <w:spacing w:before="40" w:after="40"/>
              <w:rPr>
                <w:noProof w:val="0"/>
                <w:color w:val="FFFFFF" w:themeColor="background1"/>
              </w:rPr>
            </w:pPr>
            <w:r w:rsidRPr="00261B7A">
              <w:rPr>
                <w:noProof w:val="0"/>
                <w:color w:val="FFFFFF" w:themeColor="background1"/>
              </w:rPr>
              <w:t>Year</w:t>
            </w:r>
          </w:p>
        </w:tc>
        <w:tc>
          <w:tcPr>
            <w:tcW w:w="941" w:type="pct"/>
            <w:shd w:val="clear" w:color="auto" w:fill="1B556B"/>
            <w:noWrap/>
            <w:vAlign w:val="bottom"/>
          </w:tcPr>
          <w:p w14:paraId="2486F802" w14:textId="77777777" w:rsidR="00994F64" w:rsidRPr="00261B7A" w:rsidRDefault="00994F64" w:rsidP="005C564D">
            <w:pPr>
              <w:pStyle w:val="TableTextBold"/>
              <w:keepNext/>
              <w:spacing w:before="40" w:after="40"/>
              <w:jc w:val="center"/>
              <w:rPr>
                <w:noProof w:val="0"/>
                <w:color w:val="FFFFFF" w:themeColor="background1"/>
              </w:rPr>
            </w:pPr>
            <w:r w:rsidRPr="00261B7A">
              <w:rPr>
                <w:noProof w:val="0"/>
                <w:color w:val="FFFFFF" w:themeColor="background1"/>
              </w:rPr>
              <w:t>Goat N</w:t>
            </w:r>
            <w:r w:rsidRPr="00261B7A">
              <w:rPr>
                <w:noProof w:val="0"/>
                <w:color w:val="FFFFFF" w:themeColor="background1"/>
                <w:vertAlign w:val="subscript"/>
              </w:rPr>
              <w:t xml:space="preserve">ex </w:t>
            </w:r>
            <w:r w:rsidRPr="00261B7A">
              <w:rPr>
                <w:noProof w:val="0"/>
                <w:color w:val="FFFFFF" w:themeColor="background1"/>
              </w:rPr>
              <w:br/>
              <w:t>(kg/head/year)</w:t>
            </w:r>
          </w:p>
        </w:tc>
        <w:tc>
          <w:tcPr>
            <w:tcW w:w="844" w:type="pct"/>
            <w:shd w:val="clear" w:color="auto" w:fill="1B556B"/>
            <w:vAlign w:val="bottom"/>
          </w:tcPr>
          <w:p w14:paraId="68E539EB" w14:textId="77777777" w:rsidR="00994F64" w:rsidRPr="00261B7A" w:rsidRDefault="00994F64" w:rsidP="005C564D">
            <w:pPr>
              <w:pStyle w:val="TableTextBold"/>
              <w:keepNext/>
              <w:spacing w:before="40" w:after="40"/>
              <w:jc w:val="center"/>
              <w:rPr>
                <w:noProof w:val="0"/>
                <w:color w:val="FFFFFF" w:themeColor="background1"/>
              </w:rPr>
            </w:pPr>
            <w:r w:rsidRPr="00261B7A">
              <w:rPr>
                <w:noProof w:val="0"/>
                <w:color w:val="FFFFFF" w:themeColor="background1"/>
              </w:rPr>
              <w:t>Swine N</w:t>
            </w:r>
            <w:r w:rsidRPr="00261B7A">
              <w:rPr>
                <w:noProof w:val="0"/>
                <w:color w:val="FFFFFF" w:themeColor="background1"/>
                <w:vertAlign w:val="subscript"/>
              </w:rPr>
              <w:t xml:space="preserve">ex </w:t>
            </w:r>
            <w:r w:rsidRPr="00261B7A">
              <w:rPr>
                <w:noProof w:val="0"/>
                <w:color w:val="FFFFFF" w:themeColor="background1"/>
              </w:rPr>
              <w:br/>
              <w:t>(kg/head/year)</w:t>
            </w:r>
          </w:p>
        </w:tc>
      </w:tr>
      <w:tr w:rsidR="00994F64" w:rsidRPr="00261B7A" w14:paraId="39F933BE" w14:textId="77777777" w:rsidTr="00580DC2">
        <w:tc>
          <w:tcPr>
            <w:tcW w:w="547" w:type="pct"/>
            <w:shd w:val="clear" w:color="auto" w:fill="auto"/>
            <w:noWrap/>
          </w:tcPr>
          <w:p w14:paraId="3F251480" w14:textId="77777777" w:rsidR="00994F64" w:rsidRPr="00261B7A" w:rsidRDefault="00994F64" w:rsidP="005C564D">
            <w:pPr>
              <w:pStyle w:val="TableText"/>
              <w:keepNext/>
              <w:spacing w:before="40" w:after="40"/>
            </w:pPr>
            <w:r w:rsidRPr="00261B7A">
              <w:t>1990</w:t>
            </w:r>
          </w:p>
        </w:tc>
        <w:tc>
          <w:tcPr>
            <w:tcW w:w="941" w:type="pct"/>
            <w:shd w:val="clear" w:color="auto" w:fill="auto"/>
            <w:noWrap/>
            <w:vAlign w:val="bottom"/>
          </w:tcPr>
          <w:p w14:paraId="0C904FDD" w14:textId="77777777" w:rsidR="00994F64" w:rsidRPr="00261B7A" w:rsidRDefault="00994F64" w:rsidP="005C564D">
            <w:pPr>
              <w:pStyle w:val="TableText"/>
              <w:keepNext/>
              <w:spacing w:before="40" w:after="40"/>
              <w:jc w:val="center"/>
              <w:rPr>
                <w:rFonts w:asciiTheme="minorHAnsi" w:hAnsiTheme="minorHAnsi"/>
              </w:rPr>
            </w:pPr>
            <w:r w:rsidRPr="00261B7A">
              <w:rPr>
                <w:rFonts w:asciiTheme="minorHAnsi" w:hAnsiTheme="minorHAnsi"/>
                <w:color w:val="000000"/>
              </w:rPr>
              <w:t>10.6</w:t>
            </w:r>
          </w:p>
        </w:tc>
        <w:tc>
          <w:tcPr>
            <w:tcW w:w="941" w:type="pct"/>
            <w:tcBorders>
              <w:right w:val="single" w:sz="4" w:space="0" w:color="1B556B" w:themeColor="text2"/>
            </w:tcBorders>
            <w:shd w:val="clear" w:color="auto" w:fill="auto"/>
            <w:noWrap/>
            <w:vAlign w:val="bottom"/>
          </w:tcPr>
          <w:p w14:paraId="17549134" w14:textId="77777777" w:rsidR="00994F64" w:rsidRPr="00261B7A" w:rsidRDefault="00994F64" w:rsidP="005C564D">
            <w:pPr>
              <w:pStyle w:val="TableText"/>
              <w:keepNext/>
              <w:spacing w:before="40" w:after="40"/>
              <w:jc w:val="center"/>
              <w:rPr>
                <w:rFonts w:asciiTheme="minorHAnsi" w:hAnsiTheme="minorHAnsi"/>
              </w:rPr>
            </w:pPr>
            <w:r w:rsidRPr="00261B7A">
              <w:rPr>
                <w:rFonts w:asciiTheme="minorHAnsi" w:hAnsiTheme="minorHAnsi"/>
                <w:color w:val="000000"/>
              </w:rPr>
              <w:t>9.0</w:t>
            </w:r>
          </w:p>
        </w:tc>
        <w:tc>
          <w:tcPr>
            <w:tcW w:w="205" w:type="pct"/>
            <w:tcBorders>
              <w:left w:val="single" w:sz="4" w:space="0" w:color="1B556B" w:themeColor="text2"/>
              <w:bottom w:val="nil"/>
              <w:right w:val="single" w:sz="4" w:space="0" w:color="1B556B" w:themeColor="text2"/>
            </w:tcBorders>
          </w:tcPr>
          <w:p w14:paraId="2253290C" w14:textId="77777777" w:rsidR="00994F64" w:rsidRPr="00261B7A" w:rsidRDefault="00994F64" w:rsidP="005C564D">
            <w:pPr>
              <w:pStyle w:val="TableText"/>
              <w:keepNext/>
              <w:spacing w:before="40" w:after="40"/>
            </w:pPr>
          </w:p>
        </w:tc>
        <w:tc>
          <w:tcPr>
            <w:tcW w:w="580" w:type="pct"/>
            <w:tcBorders>
              <w:left w:val="single" w:sz="4" w:space="0" w:color="1B556B" w:themeColor="text2"/>
            </w:tcBorders>
            <w:noWrap/>
          </w:tcPr>
          <w:p w14:paraId="6B5A6AD4" w14:textId="77777777" w:rsidR="00994F64" w:rsidRPr="00261B7A" w:rsidRDefault="00994F64" w:rsidP="005C564D">
            <w:pPr>
              <w:pStyle w:val="TableText"/>
              <w:keepNext/>
              <w:spacing w:before="40" w:after="40"/>
            </w:pPr>
            <w:r w:rsidRPr="00261B7A">
              <w:t>2006</w:t>
            </w:r>
          </w:p>
        </w:tc>
        <w:tc>
          <w:tcPr>
            <w:tcW w:w="941" w:type="pct"/>
            <w:shd w:val="clear" w:color="auto" w:fill="auto"/>
            <w:noWrap/>
            <w:vAlign w:val="bottom"/>
          </w:tcPr>
          <w:p w14:paraId="06C12D12" w14:textId="77777777" w:rsidR="00994F64" w:rsidRPr="00261B7A" w:rsidRDefault="00994F64" w:rsidP="005C564D">
            <w:pPr>
              <w:pStyle w:val="TableText"/>
              <w:keepNext/>
              <w:spacing w:before="40" w:after="40"/>
              <w:jc w:val="center"/>
              <w:rPr>
                <w:rFonts w:asciiTheme="minorHAnsi" w:hAnsiTheme="minorHAnsi"/>
              </w:rPr>
            </w:pPr>
            <w:r w:rsidRPr="00261B7A">
              <w:rPr>
                <w:rFonts w:asciiTheme="minorHAnsi" w:hAnsiTheme="minorHAnsi"/>
                <w:color w:val="000000"/>
              </w:rPr>
              <w:t>11.9</w:t>
            </w:r>
          </w:p>
        </w:tc>
        <w:tc>
          <w:tcPr>
            <w:tcW w:w="844" w:type="pct"/>
            <w:shd w:val="clear" w:color="auto" w:fill="auto"/>
            <w:vAlign w:val="bottom"/>
          </w:tcPr>
          <w:p w14:paraId="3BEACE4D" w14:textId="77777777" w:rsidR="00994F64" w:rsidRPr="00261B7A" w:rsidRDefault="00994F64" w:rsidP="005C564D">
            <w:pPr>
              <w:pStyle w:val="TableText"/>
              <w:keepNext/>
              <w:spacing w:before="40" w:after="40"/>
              <w:jc w:val="center"/>
              <w:rPr>
                <w:rFonts w:asciiTheme="minorHAnsi" w:hAnsiTheme="minorHAnsi"/>
              </w:rPr>
            </w:pPr>
            <w:r w:rsidRPr="00261B7A">
              <w:rPr>
                <w:rFonts w:asciiTheme="minorHAnsi" w:hAnsiTheme="minorHAnsi"/>
                <w:color w:val="000000"/>
              </w:rPr>
              <w:t>10.7</w:t>
            </w:r>
          </w:p>
        </w:tc>
      </w:tr>
      <w:tr w:rsidR="00994F64" w:rsidRPr="00261B7A" w14:paraId="407AEA9D" w14:textId="77777777" w:rsidTr="00580DC2">
        <w:tc>
          <w:tcPr>
            <w:tcW w:w="547" w:type="pct"/>
            <w:shd w:val="clear" w:color="auto" w:fill="auto"/>
            <w:noWrap/>
          </w:tcPr>
          <w:p w14:paraId="2842DCB6" w14:textId="77777777" w:rsidR="00994F64" w:rsidRPr="00261B7A" w:rsidRDefault="00994F64" w:rsidP="005C564D">
            <w:pPr>
              <w:pStyle w:val="TableText"/>
              <w:keepNext/>
              <w:spacing w:before="40" w:after="40"/>
            </w:pPr>
            <w:r w:rsidRPr="00261B7A">
              <w:t>1991</w:t>
            </w:r>
          </w:p>
        </w:tc>
        <w:tc>
          <w:tcPr>
            <w:tcW w:w="941" w:type="pct"/>
            <w:shd w:val="clear" w:color="auto" w:fill="auto"/>
            <w:noWrap/>
            <w:vAlign w:val="bottom"/>
          </w:tcPr>
          <w:p w14:paraId="281A000B" w14:textId="77777777" w:rsidR="00994F64" w:rsidRPr="00261B7A" w:rsidRDefault="00994F64" w:rsidP="005C564D">
            <w:pPr>
              <w:pStyle w:val="TableText"/>
              <w:keepNext/>
              <w:spacing w:before="40" w:after="40"/>
              <w:jc w:val="center"/>
              <w:rPr>
                <w:rFonts w:asciiTheme="minorHAnsi" w:hAnsiTheme="minorHAnsi"/>
              </w:rPr>
            </w:pPr>
            <w:r w:rsidRPr="00261B7A">
              <w:rPr>
                <w:rFonts w:asciiTheme="minorHAnsi" w:hAnsiTheme="minorHAnsi"/>
                <w:color w:val="000000"/>
              </w:rPr>
              <w:t>10.7</w:t>
            </w:r>
          </w:p>
        </w:tc>
        <w:tc>
          <w:tcPr>
            <w:tcW w:w="941" w:type="pct"/>
            <w:tcBorders>
              <w:right w:val="single" w:sz="4" w:space="0" w:color="1B556B" w:themeColor="text2"/>
            </w:tcBorders>
            <w:shd w:val="clear" w:color="auto" w:fill="auto"/>
            <w:noWrap/>
            <w:vAlign w:val="bottom"/>
          </w:tcPr>
          <w:p w14:paraId="08807C3E" w14:textId="77777777" w:rsidR="00994F64" w:rsidRPr="00261B7A" w:rsidRDefault="00994F64" w:rsidP="005C564D">
            <w:pPr>
              <w:pStyle w:val="TableText"/>
              <w:keepNext/>
              <w:spacing w:before="40" w:after="40"/>
              <w:jc w:val="center"/>
              <w:rPr>
                <w:rFonts w:asciiTheme="minorHAnsi" w:hAnsiTheme="minorHAnsi"/>
              </w:rPr>
            </w:pPr>
            <w:r w:rsidRPr="00261B7A">
              <w:rPr>
                <w:rFonts w:asciiTheme="minorHAnsi" w:hAnsiTheme="minorHAnsi"/>
                <w:color w:val="000000"/>
              </w:rPr>
              <w:t>9.2</w:t>
            </w:r>
          </w:p>
        </w:tc>
        <w:tc>
          <w:tcPr>
            <w:tcW w:w="205" w:type="pct"/>
            <w:tcBorders>
              <w:top w:val="nil"/>
              <w:left w:val="single" w:sz="4" w:space="0" w:color="1B556B" w:themeColor="text2"/>
              <w:bottom w:val="nil"/>
              <w:right w:val="single" w:sz="4" w:space="0" w:color="1B556B" w:themeColor="text2"/>
            </w:tcBorders>
          </w:tcPr>
          <w:p w14:paraId="442B0C9F" w14:textId="77777777" w:rsidR="00994F64" w:rsidRPr="00261B7A" w:rsidRDefault="00994F64" w:rsidP="005C564D">
            <w:pPr>
              <w:pStyle w:val="TableText"/>
              <w:keepNext/>
              <w:spacing w:before="40" w:after="40"/>
            </w:pPr>
          </w:p>
        </w:tc>
        <w:tc>
          <w:tcPr>
            <w:tcW w:w="580" w:type="pct"/>
            <w:tcBorders>
              <w:left w:val="single" w:sz="4" w:space="0" w:color="1B556B" w:themeColor="text2"/>
            </w:tcBorders>
            <w:noWrap/>
          </w:tcPr>
          <w:p w14:paraId="42900F25" w14:textId="77777777" w:rsidR="00994F64" w:rsidRPr="00261B7A" w:rsidRDefault="00994F64" w:rsidP="005C564D">
            <w:pPr>
              <w:pStyle w:val="TableText"/>
              <w:keepNext/>
              <w:spacing w:before="40" w:after="40"/>
            </w:pPr>
            <w:r w:rsidRPr="00261B7A">
              <w:t>2007</w:t>
            </w:r>
          </w:p>
        </w:tc>
        <w:tc>
          <w:tcPr>
            <w:tcW w:w="941" w:type="pct"/>
            <w:shd w:val="clear" w:color="auto" w:fill="auto"/>
            <w:noWrap/>
            <w:vAlign w:val="bottom"/>
          </w:tcPr>
          <w:p w14:paraId="2BA1E10C" w14:textId="77777777" w:rsidR="00994F64" w:rsidRPr="00261B7A" w:rsidRDefault="00994F64" w:rsidP="005C564D">
            <w:pPr>
              <w:pStyle w:val="TableText"/>
              <w:keepNext/>
              <w:spacing w:before="40" w:after="40"/>
              <w:jc w:val="center"/>
              <w:rPr>
                <w:rFonts w:asciiTheme="minorHAnsi" w:hAnsiTheme="minorHAnsi"/>
              </w:rPr>
            </w:pPr>
            <w:r w:rsidRPr="00261B7A">
              <w:rPr>
                <w:rFonts w:asciiTheme="minorHAnsi" w:hAnsiTheme="minorHAnsi"/>
                <w:color w:val="000000"/>
              </w:rPr>
              <w:t>11.9</w:t>
            </w:r>
          </w:p>
        </w:tc>
        <w:tc>
          <w:tcPr>
            <w:tcW w:w="844" w:type="pct"/>
            <w:shd w:val="clear" w:color="auto" w:fill="auto"/>
            <w:vAlign w:val="bottom"/>
          </w:tcPr>
          <w:p w14:paraId="7C4364B2" w14:textId="77777777" w:rsidR="00994F64" w:rsidRPr="00261B7A" w:rsidRDefault="00994F64" w:rsidP="005C564D">
            <w:pPr>
              <w:pStyle w:val="TableText"/>
              <w:keepNext/>
              <w:spacing w:before="40" w:after="40"/>
              <w:jc w:val="center"/>
              <w:rPr>
                <w:rFonts w:asciiTheme="minorHAnsi" w:hAnsiTheme="minorHAnsi"/>
              </w:rPr>
            </w:pPr>
            <w:r w:rsidRPr="00261B7A">
              <w:rPr>
                <w:rFonts w:asciiTheme="minorHAnsi" w:hAnsiTheme="minorHAnsi"/>
                <w:color w:val="000000"/>
              </w:rPr>
              <w:t>10.8</w:t>
            </w:r>
          </w:p>
        </w:tc>
      </w:tr>
      <w:tr w:rsidR="00994F64" w:rsidRPr="00261B7A" w14:paraId="33EEC9D3" w14:textId="77777777" w:rsidTr="00580DC2">
        <w:tc>
          <w:tcPr>
            <w:tcW w:w="547" w:type="pct"/>
            <w:shd w:val="clear" w:color="auto" w:fill="auto"/>
            <w:noWrap/>
          </w:tcPr>
          <w:p w14:paraId="46875CE1" w14:textId="77777777" w:rsidR="00994F64" w:rsidRPr="00261B7A" w:rsidRDefault="00994F64" w:rsidP="005C564D">
            <w:pPr>
              <w:pStyle w:val="TableText"/>
              <w:keepNext/>
              <w:spacing w:before="40" w:after="40"/>
            </w:pPr>
            <w:r w:rsidRPr="00261B7A">
              <w:t>1992</w:t>
            </w:r>
          </w:p>
        </w:tc>
        <w:tc>
          <w:tcPr>
            <w:tcW w:w="941" w:type="pct"/>
            <w:shd w:val="clear" w:color="auto" w:fill="auto"/>
            <w:noWrap/>
            <w:vAlign w:val="bottom"/>
          </w:tcPr>
          <w:p w14:paraId="52030764" w14:textId="77777777" w:rsidR="00994F64" w:rsidRPr="00261B7A" w:rsidRDefault="00994F64" w:rsidP="005C564D">
            <w:pPr>
              <w:pStyle w:val="TableText"/>
              <w:keepNext/>
              <w:spacing w:before="40" w:after="40"/>
              <w:jc w:val="center"/>
              <w:rPr>
                <w:rFonts w:asciiTheme="minorHAnsi" w:hAnsiTheme="minorHAnsi"/>
              </w:rPr>
            </w:pPr>
            <w:r w:rsidRPr="00261B7A">
              <w:rPr>
                <w:rFonts w:asciiTheme="minorHAnsi" w:hAnsiTheme="minorHAnsi"/>
                <w:color w:val="000000"/>
              </w:rPr>
              <w:t>10.8</w:t>
            </w:r>
          </w:p>
        </w:tc>
        <w:tc>
          <w:tcPr>
            <w:tcW w:w="941" w:type="pct"/>
            <w:tcBorders>
              <w:right w:val="single" w:sz="4" w:space="0" w:color="1B556B" w:themeColor="text2"/>
            </w:tcBorders>
            <w:shd w:val="clear" w:color="auto" w:fill="auto"/>
            <w:noWrap/>
            <w:vAlign w:val="bottom"/>
          </w:tcPr>
          <w:p w14:paraId="593F777F" w14:textId="77777777" w:rsidR="00994F64" w:rsidRPr="00261B7A" w:rsidRDefault="00994F64" w:rsidP="005C564D">
            <w:pPr>
              <w:pStyle w:val="TableText"/>
              <w:keepNext/>
              <w:spacing w:before="40" w:after="40"/>
              <w:jc w:val="center"/>
              <w:rPr>
                <w:rFonts w:asciiTheme="minorHAnsi" w:hAnsiTheme="minorHAnsi"/>
              </w:rPr>
            </w:pPr>
            <w:r w:rsidRPr="00261B7A">
              <w:rPr>
                <w:rFonts w:asciiTheme="minorHAnsi" w:hAnsiTheme="minorHAnsi"/>
                <w:color w:val="000000"/>
              </w:rPr>
              <w:t>9.3</w:t>
            </w:r>
          </w:p>
        </w:tc>
        <w:tc>
          <w:tcPr>
            <w:tcW w:w="205" w:type="pct"/>
            <w:tcBorders>
              <w:top w:val="nil"/>
              <w:left w:val="single" w:sz="4" w:space="0" w:color="1B556B" w:themeColor="text2"/>
              <w:bottom w:val="nil"/>
              <w:right w:val="single" w:sz="4" w:space="0" w:color="1B556B" w:themeColor="text2"/>
            </w:tcBorders>
          </w:tcPr>
          <w:p w14:paraId="72D819C0" w14:textId="77777777" w:rsidR="00994F64" w:rsidRPr="00261B7A" w:rsidRDefault="00994F64" w:rsidP="005C564D">
            <w:pPr>
              <w:pStyle w:val="TableText"/>
              <w:keepNext/>
              <w:spacing w:before="40" w:after="40"/>
            </w:pPr>
          </w:p>
        </w:tc>
        <w:tc>
          <w:tcPr>
            <w:tcW w:w="580" w:type="pct"/>
            <w:tcBorders>
              <w:left w:val="single" w:sz="4" w:space="0" w:color="1B556B" w:themeColor="text2"/>
            </w:tcBorders>
            <w:noWrap/>
          </w:tcPr>
          <w:p w14:paraId="6760DA0D" w14:textId="77777777" w:rsidR="00994F64" w:rsidRPr="00261B7A" w:rsidRDefault="00994F64" w:rsidP="005C564D">
            <w:pPr>
              <w:pStyle w:val="TableText"/>
              <w:keepNext/>
              <w:spacing w:before="40" w:after="40"/>
            </w:pPr>
            <w:r w:rsidRPr="00261B7A">
              <w:t>2008</w:t>
            </w:r>
          </w:p>
        </w:tc>
        <w:tc>
          <w:tcPr>
            <w:tcW w:w="941" w:type="pct"/>
            <w:shd w:val="clear" w:color="auto" w:fill="auto"/>
            <w:noWrap/>
            <w:vAlign w:val="bottom"/>
          </w:tcPr>
          <w:p w14:paraId="099A15F1" w14:textId="77777777" w:rsidR="00994F64" w:rsidRPr="00261B7A" w:rsidRDefault="00994F64" w:rsidP="005C564D">
            <w:pPr>
              <w:pStyle w:val="TableText"/>
              <w:keepNext/>
              <w:spacing w:before="40" w:after="40"/>
              <w:jc w:val="center"/>
              <w:rPr>
                <w:rFonts w:asciiTheme="minorHAnsi" w:hAnsiTheme="minorHAnsi"/>
              </w:rPr>
            </w:pPr>
            <w:r w:rsidRPr="00261B7A">
              <w:rPr>
                <w:rFonts w:asciiTheme="minorHAnsi" w:hAnsiTheme="minorHAnsi"/>
                <w:color w:val="000000"/>
              </w:rPr>
              <w:t>12.0</w:t>
            </w:r>
          </w:p>
        </w:tc>
        <w:tc>
          <w:tcPr>
            <w:tcW w:w="844" w:type="pct"/>
            <w:shd w:val="clear" w:color="auto" w:fill="auto"/>
            <w:vAlign w:val="bottom"/>
          </w:tcPr>
          <w:p w14:paraId="774883A2" w14:textId="77777777" w:rsidR="00994F64" w:rsidRPr="00261B7A" w:rsidRDefault="00994F64" w:rsidP="005C564D">
            <w:pPr>
              <w:pStyle w:val="TableText"/>
              <w:keepNext/>
              <w:spacing w:before="40" w:after="40"/>
              <w:jc w:val="center"/>
              <w:rPr>
                <w:rFonts w:asciiTheme="minorHAnsi" w:hAnsiTheme="minorHAnsi"/>
              </w:rPr>
            </w:pPr>
            <w:r w:rsidRPr="00261B7A">
              <w:rPr>
                <w:rFonts w:asciiTheme="minorHAnsi" w:hAnsiTheme="minorHAnsi"/>
                <w:color w:val="000000"/>
              </w:rPr>
              <w:t>10.8</w:t>
            </w:r>
          </w:p>
        </w:tc>
      </w:tr>
      <w:tr w:rsidR="00994F64" w:rsidRPr="00261B7A" w14:paraId="2093A1BE" w14:textId="77777777" w:rsidTr="00580DC2">
        <w:tc>
          <w:tcPr>
            <w:tcW w:w="547" w:type="pct"/>
            <w:shd w:val="clear" w:color="auto" w:fill="auto"/>
            <w:noWrap/>
          </w:tcPr>
          <w:p w14:paraId="6AC173C0" w14:textId="77777777" w:rsidR="00994F64" w:rsidRPr="00261B7A" w:rsidRDefault="00994F64" w:rsidP="00501B0F">
            <w:pPr>
              <w:pStyle w:val="TableText"/>
              <w:spacing w:before="40" w:after="40"/>
            </w:pPr>
            <w:r w:rsidRPr="00261B7A">
              <w:t>1993</w:t>
            </w:r>
          </w:p>
        </w:tc>
        <w:tc>
          <w:tcPr>
            <w:tcW w:w="941" w:type="pct"/>
            <w:shd w:val="clear" w:color="auto" w:fill="auto"/>
            <w:noWrap/>
            <w:vAlign w:val="bottom"/>
          </w:tcPr>
          <w:p w14:paraId="1A826D43"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10.8</w:t>
            </w:r>
          </w:p>
        </w:tc>
        <w:tc>
          <w:tcPr>
            <w:tcW w:w="941" w:type="pct"/>
            <w:tcBorders>
              <w:right w:val="single" w:sz="4" w:space="0" w:color="1B556B" w:themeColor="text2"/>
            </w:tcBorders>
            <w:shd w:val="clear" w:color="auto" w:fill="auto"/>
            <w:noWrap/>
            <w:vAlign w:val="bottom"/>
          </w:tcPr>
          <w:p w14:paraId="18A65505"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9.5</w:t>
            </w:r>
          </w:p>
        </w:tc>
        <w:tc>
          <w:tcPr>
            <w:tcW w:w="205" w:type="pct"/>
            <w:tcBorders>
              <w:top w:val="nil"/>
              <w:left w:val="single" w:sz="4" w:space="0" w:color="1B556B" w:themeColor="text2"/>
              <w:bottom w:val="nil"/>
              <w:right w:val="single" w:sz="4" w:space="0" w:color="1B556B" w:themeColor="text2"/>
            </w:tcBorders>
          </w:tcPr>
          <w:p w14:paraId="401864B4" w14:textId="77777777" w:rsidR="00994F64" w:rsidRPr="00261B7A" w:rsidRDefault="00994F64" w:rsidP="00501B0F">
            <w:pPr>
              <w:pStyle w:val="TableText"/>
              <w:spacing w:before="40" w:after="40"/>
            </w:pPr>
          </w:p>
        </w:tc>
        <w:tc>
          <w:tcPr>
            <w:tcW w:w="580" w:type="pct"/>
            <w:tcBorders>
              <w:left w:val="single" w:sz="4" w:space="0" w:color="1B556B" w:themeColor="text2"/>
            </w:tcBorders>
            <w:noWrap/>
          </w:tcPr>
          <w:p w14:paraId="02DC169A" w14:textId="77777777" w:rsidR="00994F64" w:rsidRPr="00261B7A" w:rsidRDefault="00994F64" w:rsidP="00501B0F">
            <w:pPr>
              <w:pStyle w:val="TableText"/>
              <w:spacing w:before="40" w:after="40"/>
            </w:pPr>
            <w:r w:rsidRPr="00261B7A">
              <w:t>2009</w:t>
            </w:r>
          </w:p>
        </w:tc>
        <w:tc>
          <w:tcPr>
            <w:tcW w:w="941" w:type="pct"/>
            <w:shd w:val="clear" w:color="auto" w:fill="auto"/>
            <w:noWrap/>
            <w:vAlign w:val="bottom"/>
          </w:tcPr>
          <w:p w14:paraId="505BB0D1"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12.1</w:t>
            </w:r>
          </w:p>
        </w:tc>
        <w:tc>
          <w:tcPr>
            <w:tcW w:w="844" w:type="pct"/>
            <w:shd w:val="clear" w:color="auto" w:fill="auto"/>
            <w:vAlign w:val="bottom"/>
          </w:tcPr>
          <w:p w14:paraId="689B1579"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10.8</w:t>
            </w:r>
          </w:p>
        </w:tc>
      </w:tr>
      <w:tr w:rsidR="00994F64" w:rsidRPr="00261B7A" w14:paraId="67A15957" w14:textId="77777777" w:rsidTr="00580DC2">
        <w:tc>
          <w:tcPr>
            <w:tcW w:w="547" w:type="pct"/>
            <w:shd w:val="clear" w:color="auto" w:fill="auto"/>
            <w:noWrap/>
          </w:tcPr>
          <w:p w14:paraId="5AB0C73F" w14:textId="77777777" w:rsidR="00994F64" w:rsidRPr="00261B7A" w:rsidRDefault="00994F64" w:rsidP="00501B0F">
            <w:pPr>
              <w:pStyle w:val="TableText"/>
              <w:spacing w:before="40" w:after="40"/>
            </w:pPr>
            <w:r w:rsidRPr="00261B7A">
              <w:t>1994</w:t>
            </w:r>
          </w:p>
        </w:tc>
        <w:tc>
          <w:tcPr>
            <w:tcW w:w="941" w:type="pct"/>
            <w:shd w:val="clear" w:color="auto" w:fill="auto"/>
            <w:noWrap/>
            <w:vAlign w:val="bottom"/>
          </w:tcPr>
          <w:p w14:paraId="4AD891D4"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10.9</w:t>
            </w:r>
          </w:p>
        </w:tc>
        <w:tc>
          <w:tcPr>
            <w:tcW w:w="941" w:type="pct"/>
            <w:tcBorders>
              <w:right w:val="single" w:sz="4" w:space="0" w:color="1B556B" w:themeColor="text2"/>
            </w:tcBorders>
            <w:shd w:val="clear" w:color="auto" w:fill="auto"/>
            <w:noWrap/>
            <w:vAlign w:val="bottom"/>
          </w:tcPr>
          <w:p w14:paraId="715F58F7"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9.5</w:t>
            </w:r>
          </w:p>
        </w:tc>
        <w:tc>
          <w:tcPr>
            <w:tcW w:w="205" w:type="pct"/>
            <w:tcBorders>
              <w:top w:val="nil"/>
              <w:left w:val="single" w:sz="4" w:space="0" w:color="1B556B" w:themeColor="text2"/>
              <w:bottom w:val="nil"/>
              <w:right w:val="single" w:sz="4" w:space="0" w:color="1B556B" w:themeColor="text2"/>
            </w:tcBorders>
          </w:tcPr>
          <w:p w14:paraId="71E4EB98" w14:textId="77777777" w:rsidR="00994F64" w:rsidRPr="00261B7A" w:rsidRDefault="00994F64" w:rsidP="00501B0F">
            <w:pPr>
              <w:pStyle w:val="TableText"/>
              <w:spacing w:before="40" w:after="40"/>
            </w:pPr>
          </w:p>
        </w:tc>
        <w:tc>
          <w:tcPr>
            <w:tcW w:w="580" w:type="pct"/>
            <w:tcBorders>
              <w:left w:val="single" w:sz="4" w:space="0" w:color="1B556B" w:themeColor="text2"/>
            </w:tcBorders>
            <w:noWrap/>
          </w:tcPr>
          <w:p w14:paraId="762F2DC3" w14:textId="77777777" w:rsidR="00994F64" w:rsidRPr="00261B7A" w:rsidRDefault="00994F64" w:rsidP="00501B0F">
            <w:pPr>
              <w:pStyle w:val="TableText"/>
              <w:spacing w:before="40" w:after="40"/>
            </w:pPr>
            <w:r w:rsidRPr="00261B7A">
              <w:rPr>
                <w:rFonts w:cs="Calibri"/>
              </w:rPr>
              <w:t>2010</w:t>
            </w:r>
          </w:p>
        </w:tc>
        <w:tc>
          <w:tcPr>
            <w:tcW w:w="941" w:type="pct"/>
            <w:shd w:val="clear" w:color="auto" w:fill="auto"/>
            <w:noWrap/>
            <w:vAlign w:val="bottom"/>
          </w:tcPr>
          <w:p w14:paraId="0AFB8250"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12.2</w:t>
            </w:r>
          </w:p>
        </w:tc>
        <w:tc>
          <w:tcPr>
            <w:tcW w:w="844" w:type="pct"/>
            <w:shd w:val="clear" w:color="auto" w:fill="auto"/>
            <w:vAlign w:val="bottom"/>
          </w:tcPr>
          <w:p w14:paraId="6DC2DCE6"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10.8</w:t>
            </w:r>
          </w:p>
        </w:tc>
      </w:tr>
      <w:tr w:rsidR="00994F64" w:rsidRPr="00261B7A" w14:paraId="38B76B89" w14:textId="77777777" w:rsidTr="00580DC2">
        <w:tc>
          <w:tcPr>
            <w:tcW w:w="547" w:type="pct"/>
            <w:shd w:val="clear" w:color="auto" w:fill="auto"/>
            <w:noWrap/>
          </w:tcPr>
          <w:p w14:paraId="33ED4D20" w14:textId="77777777" w:rsidR="00994F64" w:rsidRPr="00261B7A" w:rsidRDefault="00994F64" w:rsidP="00501B0F">
            <w:pPr>
              <w:pStyle w:val="TableText"/>
              <w:spacing w:before="40" w:after="40"/>
              <w:rPr>
                <w:rFonts w:cs="Calibri"/>
              </w:rPr>
            </w:pPr>
            <w:r w:rsidRPr="00261B7A">
              <w:rPr>
                <w:rFonts w:cs="Calibri"/>
              </w:rPr>
              <w:t>1995</w:t>
            </w:r>
          </w:p>
        </w:tc>
        <w:tc>
          <w:tcPr>
            <w:tcW w:w="941" w:type="pct"/>
            <w:shd w:val="clear" w:color="auto" w:fill="auto"/>
            <w:noWrap/>
            <w:vAlign w:val="bottom"/>
          </w:tcPr>
          <w:p w14:paraId="31B49B65"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11.0</w:t>
            </w:r>
          </w:p>
        </w:tc>
        <w:tc>
          <w:tcPr>
            <w:tcW w:w="941" w:type="pct"/>
            <w:tcBorders>
              <w:right w:val="single" w:sz="4" w:space="0" w:color="1B556B" w:themeColor="text2"/>
            </w:tcBorders>
            <w:shd w:val="clear" w:color="auto" w:fill="auto"/>
            <w:noWrap/>
            <w:vAlign w:val="bottom"/>
          </w:tcPr>
          <w:p w14:paraId="78BA3234"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9.6</w:t>
            </w:r>
          </w:p>
        </w:tc>
        <w:tc>
          <w:tcPr>
            <w:tcW w:w="205" w:type="pct"/>
            <w:tcBorders>
              <w:top w:val="nil"/>
              <w:left w:val="single" w:sz="4" w:space="0" w:color="1B556B" w:themeColor="text2"/>
              <w:bottom w:val="nil"/>
              <w:right w:val="single" w:sz="4" w:space="0" w:color="1B556B" w:themeColor="text2"/>
            </w:tcBorders>
          </w:tcPr>
          <w:p w14:paraId="1A24DDCB" w14:textId="77777777" w:rsidR="00994F64" w:rsidRPr="00261B7A" w:rsidRDefault="00994F64" w:rsidP="00501B0F">
            <w:pPr>
              <w:pStyle w:val="TableText"/>
              <w:spacing w:before="40" w:after="40"/>
              <w:rPr>
                <w:rFonts w:cs="Calibri"/>
                <w:bCs/>
              </w:rPr>
            </w:pPr>
          </w:p>
        </w:tc>
        <w:tc>
          <w:tcPr>
            <w:tcW w:w="580" w:type="pct"/>
            <w:tcBorders>
              <w:left w:val="single" w:sz="4" w:space="0" w:color="1B556B" w:themeColor="text2"/>
            </w:tcBorders>
            <w:noWrap/>
          </w:tcPr>
          <w:p w14:paraId="135D739D" w14:textId="77777777" w:rsidR="00994F64" w:rsidRPr="00261B7A" w:rsidRDefault="00994F64" w:rsidP="00501B0F">
            <w:pPr>
              <w:pStyle w:val="TableText"/>
              <w:spacing w:before="40" w:after="40"/>
              <w:rPr>
                <w:rFonts w:cs="Calibri"/>
              </w:rPr>
            </w:pPr>
            <w:r w:rsidRPr="00261B7A">
              <w:rPr>
                <w:rFonts w:cs="Calibri"/>
              </w:rPr>
              <w:t>2011</w:t>
            </w:r>
          </w:p>
        </w:tc>
        <w:tc>
          <w:tcPr>
            <w:tcW w:w="941" w:type="pct"/>
            <w:shd w:val="clear" w:color="auto" w:fill="auto"/>
            <w:noWrap/>
            <w:vAlign w:val="bottom"/>
          </w:tcPr>
          <w:p w14:paraId="032910BA"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12.3</w:t>
            </w:r>
          </w:p>
        </w:tc>
        <w:tc>
          <w:tcPr>
            <w:tcW w:w="844" w:type="pct"/>
            <w:shd w:val="clear" w:color="auto" w:fill="auto"/>
            <w:vAlign w:val="bottom"/>
          </w:tcPr>
          <w:p w14:paraId="59735602"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11.0</w:t>
            </w:r>
          </w:p>
        </w:tc>
      </w:tr>
      <w:tr w:rsidR="00994F64" w:rsidRPr="00261B7A" w14:paraId="0196791E" w14:textId="77777777" w:rsidTr="00580DC2">
        <w:tc>
          <w:tcPr>
            <w:tcW w:w="547" w:type="pct"/>
            <w:shd w:val="clear" w:color="auto" w:fill="auto"/>
            <w:noWrap/>
          </w:tcPr>
          <w:p w14:paraId="6FA54B52" w14:textId="77777777" w:rsidR="00994F64" w:rsidRPr="00261B7A" w:rsidRDefault="00994F64" w:rsidP="00501B0F">
            <w:pPr>
              <w:pStyle w:val="TableText"/>
              <w:spacing w:before="40" w:after="40"/>
              <w:rPr>
                <w:rFonts w:cs="Calibri"/>
              </w:rPr>
            </w:pPr>
            <w:r w:rsidRPr="00261B7A">
              <w:rPr>
                <w:rFonts w:cs="Calibri"/>
              </w:rPr>
              <w:t>1996</w:t>
            </w:r>
          </w:p>
        </w:tc>
        <w:tc>
          <w:tcPr>
            <w:tcW w:w="941" w:type="pct"/>
            <w:shd w:val="clear" w:color="auto" w:fill="auto"/>
            <w:noWrap/>
            <w:vAlign w:val="bottom"/>
          </w:tcPr>
          <w:p w14:paraId="33477FDA"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11.1</w:t>
            </w:r>
          </w:p>
        </w:tc>
        <w:tc>
          <w:tcPr>
            <w:tcW w:w="941" w:type="pct"/>
            <w:tcBorders>
              <w:right w:val="single" w:sz="4" w:space="0" w:color="1B556B" w:themeColor="text2"/>
            </w:tcBorders>
            <w:shd w:val="clear" w:color="auto" w:fill="auto"/>
            <w:noWrap/>
            <w:vAlign w:val="bottom"/>
          </w:tcPr>
          <w:p w14:paraId="590099CC"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9.8</w:t>
            </w:r>
          </w:p>
        </w:tc>
        <w:tc>
          <w:tcPr>
            <w:tcW w:w="205" w:type="pct"/>
            <w:tcBorders>
              <w:top w:val="nil"/>
              <w:left w:val="single" w:sz="4" w:space="0" w:color="1B556B" w:themeColor="text2"/>
              <w:bottom w:val="nil"/>
              <w:right w:val="single" w:sz="4" w:space="0" w:color="1B556B" w:themeColor="text2"/>
            </w:tcBorders>
          </w:tcPr>
          <w:p w14:paraId="07190B84" w14:textId="77777777" w:rsidR="00994F64" w:rsidRPr="00261B7A" w:rsidRDefault="00994F64" w:rsidP="00501B0F">
            <w:pPr>
              <w:pStyle w:val="TableText"/>
              <w:spacing w:before="40" w:after="40"/>
              <w:rPr>
                <w:rFonts w:cs="Calibri"/>
                <w:bCs/>
              </w:rPr>
            </w:pPr>
          </w:p>
        </w:tc>
        <w:tc>
          <w:tcPr>
            <w:tcW w:w="580" w:type="pct"/>
            <w:tcBorders>
              <w:left w:val="single" w:sz="4" w:space="0" w:color="1B556B" w:themeColor="text2"/>
            </w:tcBorders>
            <w:noWrap/>
          </w:tcPr>
          <w:p w14:paraId="66DB89B6" w14:textId="77777777" w:rsidR="00994F64" w:rsidRPr="00261B7A" w:rsidRDefault="00994F64" w:rsidP="00501B0F">
            <w:pPr>
              <w:pStyle w:val="TableText"/>
              <w:spacing w:before="40" w:after="40"/>
              <w:rPr>
                <w:rFonts w:cs="Calibri"/>
              </w:rPr>
            </w:pPr>
            <w:r w:rsidRPr="00261B7A">
              <w:rPr>
                <w:rFonts w:cs="Calibri"/>
              </w:rPr>
              <w:t>2012</w:t>
            </w:r>
          </w:p>
        </w:tc>
        <w:tc>
          <w:tcPr>
            <w:tcW w:w="941" w:type="pct"/>
            <w:shd w:val="clear" w:color="auto" w:fill="auto"/>
            <w:noWrap/>
            <w:vAlign w:val="bottom"/>
          </w:tcPr>
          <w:p w14:paraId="0F3F0541"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12.3</w:t>
            </w:r>
          </w:p>
        </w:tc>
        <w:tc>
          <w:tcPr>
            <w:tcW w:w="844" w:type="pct"/>
            <w:shd w:val="clear" w:color="auto" w:fill="auto"/>
            <w:vAlign w:val="bottom"/>
          </w:tcPr>
          <w:p w14:paraId="7FB944EF"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11.0</w:t>
            </w:r>
          </w:p>
        </w:tc>
      </w:tr>
      <w:tr w:rsidR="00994F64" w:rsidRPr="00261B7A" w14:paraId="26950573" w14:textId="77777777" w:rsidTr="00580DC2">
        <w:tc>
          <w:tcPr>
            <w:tcW w:w="547" w:type="pct"/>
            <w:shd w:val="clear" w:color="auto" w:fill="auto"/>
            <w:noWrap/>
          </w:tcPr>
          <w:p w14:paraId="04B123C8" w14:textId="77777777" w:rsidR="00994F64" w:rsidRPr="00261B7A" w:rsidRDefault="00994F64" w:rsidP="00501B0F">
            <w:pPr>
              <w:pStyle w:val="TableText"/>
              <w:spacing w:before="40" w:after="40"/>
              <w:rPr>
                <w:rFonts w:cs="Calibri"/>
              </w:rPr>
            </w:pPr>
            <w:r w:rsidRPr="00261B7A">
              <w:rPr>
                <w:rFonts w:cs="Calibri"/>
              </w:rPr>
              <w:t>1997</w:t>
            </w:r>
          </w:p>
        </w:tc>
        <w:tc>
          <w:tcPr>
            <w:tcW w:w="941" w:type="pct"/>
            <w:shd w:val="clear" w:color="auto" w:fill="auto"/>
            <w:noWrap/>
            <w:vAlign w:val="bottom"/>
          </w:tcPr>
          <w:p w14:paraId="1AB665C2"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11.2</w:t>
            </w:r>
          </w:p>
        </w:tc>
        <w:tc>
          <w:tcPr>
            <w:tcW w:w="941" w:type="pct"/>
            <w:tcBorders>
              <w:right w:val="single" w:sz="4" w:space="0" w:color="1B556B" w:themeColor="text2"/>
            </w:tcBorders>
            <w:shd w:val="clear" w:color="auto" w:fill="auto"/>
            <w:noWrap/>
            <w:vAlign w:val="bottom"/>
          </w:tcPr>
          <w:p w14:paraId="626A87FE"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9.9</w:t>
            </w:r>
          </w:p>
        </w:tc>
        <w:tc>
          <w:tcPr>
            <w:tcW w:w="205" w:type="pct"/>
            <w:tcBorders>
              <w:top w:val="nil"/>
              <w:left w:val="single" w:sz="4" w:space="0" w:color="1B556B" w:themeColor="text2"/>
              <w:bottom w:val="nil"/>
              <w:right w:val="single" w:sz="4" w:space="0" w:color="1B556B" w:themeColor="text2"/>
            </w:tcBorders>
          </w:tcPr>
          <w:p w14:paraId="2BF004E3" w14:textId="77777777" w:rsidR="00994F64" w:rsidRPr="00261B7A" w:rsidRDefault="00994F64" w:rsidP="00501B0F">
            <w:pPr>
              <w:pStyle w:val="TableText"/>
              <w:spacing w:before="40" w:after="40"/>
              <w:rPr>
                <w:rFonts w:cs="Calibri"/>
                <w:bCs/>
              </w:rPr>
            </w:pPr>
          </w:p>
        </w:tc>
        <w:tc>
          <w:tcPr>
            <w:tcW w:w="580" w:type="pct"/>
            <w:tcBorders>
              <w:left w:val="single" w:sz="4" w:space="0" w:color="1B556B" w:themeColor="text2"/>
            </w:tcBorders>
            <w:noWrap/>
          </w:tcPr>
          <w:p w14:paraId="31F83FF3" w14:textId="77777777" w:rsidR="00994F64" w:rsidRPr="00261B7A" w:rsidRDefault="00994F64" w:rsidP="00501B0F">
            <w:pPr>
              <w:pStyle w:val="TableText"/>
              <w:spacing w:before="40" w:after="40"/>
              <w:rPr>
                <w:rFonts w:cs="Calibri"/>
              </w:rPr>
            </w:pPr>
            <w:r w:rsidRPr="00261B7A">
              <w:rPr>
                <w:rFonts w:cs="Calibri"/>
              </w:rPr>
              <w:t>2013</w:t>
            </w:r>
          </w:p>
        </w:tc>
        <w:tc>
          <w:tcPr>
            <w:tcW w:w="941" w:type="pct"/>
            <w:shd w:val="clear" w:color="auto" w:fill="auto"/>
            <w:noWrap/>
            <w:vAlign w:val="bottom"/>
          </w:tcPr>
          <w:p w14:paraId="1BBA0BB2"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12.4</w:t>
            </w:r>
          </w:p>
        </w:tc>
        <w:tc>
          <w:tcPr>
            <w:tcW w:w="844" w:type="pct"/>
            <w:shd w:val="clear" w:color="auto" w:fill="auto"/>
            <w:vAlign w:val="bottom"/>
          </w:tcPr>
          <w:p w14:paraId="4B5F6AE7"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11.1</w:t>
            </w:r>
          </w:p>
        </w:tc>
      </w:tr>
      <w:tr w:rsidR="00994F64" w:rsidRPr="00261B7A" w14:paraId="12D1E019" w14:textId="77777777" w:rsidTr="00580DC2">
        <w:tc>
          <w:tcPr>
            <w:tcW w:w="547" w:type="pct"/>
            <w:shd w:val="clear" w:color="auto" w:fill="auto"/>
            <w:noWrap/>
          </w:tcPr>
          <w:p w14:paraId="3DFEC4F9" w14:textId="77777777" w:rsidR="00994F64" w:rsidRPr="00261B7A" w:rsidRDefault="00994F64" w:rsidP="00501B0F">
            <w:pPr>
              <w:pStyle w:val="TableText"/>
              <w:spacing w:before="40" w:after="40"/>
              <w:rPr>
                <w:rFonts w:cs="Calibri"/>
              </w:rPr>
            </w:pPr>
            <w:r w:rsidRPr="00261B7A">
              <w:rPr>
                <w:rFonts w:cs="Calibri"/>
              </w:rPr>
              <w:t>1998</w:t>
            </w:r>
          </w:p>
        </w:tc>
        <w:tc>
          <w:tcPr>
            <w:tcW w:w="941" w:type="pct"/>
            <w:shd w:val="clear" w:color="auto" w:fill="auto"/>
            <w:noWrap/>
            <w:vAlign w:val="bottom"/>
          </w:tcPr>
          <w:p w14:paraId="71D76723"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11.2</w:t>
            </w:r>
          </w:p>
        </w:tc>
        <w:tc>
          <w:tcPr>
            <w:tcW w:w="941" w:type="pct"/>
            <w:tcBorders>
              <w:right w:val="single" w:sz="4" w:space="0" w:color="1B556B" w:themeColor="text2"/>
            </w:tcBorders>
            <w:shd w:val="clear" w:color="auto" w:fill="auto"/>
            <w:noWrap/>
            <w:vAlign w:val="bottom"/>
          </w:tcPr>
          <w:p w14:paraId="6F9C8C05"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9.9</w:t>
            </w:r>
          </w:p>
        </w:tc>
        <w:tc>
          <w:tcPr>
            <w:tcW w:w="205" w:type="pct"/>
            <w:tcBorders>
              <w:top w:val="nil"/>
              <w:left w:val="single" w:sz="4" w:space="0" w:color="1B556B" w:themeColor="text2"/>
              <w:bottom w:val="nil"/>
              <w:right w:val="single" w:sz="4" w:space="0" w:color="1B556B" w:themeColor="text2"/>
            </w:tcBorders>
          </w:tcPr>
          <w:p w14:paraId="63B481A4" w14:textId="77777777" w:rsidR="00994F64" w:rsidRPr="00261B7A" w:rsidRDefault="00994F64" w:rsidP="00501B0F">
            <w:pPr>
              <w:pStyle w:val="TableText"/>
              <w:spacing w:before="40" w:after="40"/>
              <w:rPr>
                <w:rFonts w:cs="Calibri"/>
                <w:bCs/>
              </w:rPr>
            </w:pPr>
          </w:p>
        </w:tc>
        <w:tc>
          <w:tcPr>
            <w:tcW w:w="580" w:type="pct"/>
            <w:tcBorders>
              <w:left w:val="single" w:sz="4" w:space="0" w:color="1B556B" w:themeColor="text2"/>
            </w:tcBorders>
            <w:noWrap/>
          </w:tcPr>
          <w:p w14:paraId="1EDE6B17" w14:textId="77777777" w:rsidR="00994F64" w:rsidRPr="00261B7A" w:rsidRDefault="00994F64" w:rsidP="00501B0F">
            <w:pPr>
              <w:pStyle w:val="TableText"/>
              <w:spacing w:before="40" w:after="40"/>
              <w:rPr>
                <w:rFonts w:cs="Calibri"/>
              </w:rPr>
            </w:pPr>
            <w:r w:rsidRPr="00261B7A">
              <w:rPr>
                <w:rFonts w:cs="Calibri"/>
              </w:rPr>
              <w:t>2014</w:t>
            </w:r>
          </w:p>
        </w:tc>
        <w:tc>
          <w:tcPr>
            <w:tcW w:w="941" w:type="pct"/>
            <w:shd w:val="clear" w:color="auto" w:fill="auto"/>
            <w:noWrap/>
            <w:vAlign w:val="bottom"/>
          </w:tcPr>
          <w:p w14:paraId="55BF0428"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12.5</w:t>
            </w:r>
          </w:p>
        </w:tc>
        <w:tc>
          <w:tcPr>
            <w:tcW w:w="844" w:type="pct"/>
            <w:shd w:val="clear" w:color="auto" w:fill="auto"/>
            <w:vAlign w:val="bottom"/>
          </w:tcPr>
          <w:p w14:paraId="1C0F5238"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11.3</w:t>
            </w:r>
          </w:p>
        </w:tc>
      </w:tr>
      <w:tr w:rsidR="00994F64" w:rsidRPr="00261B7A" w14:paraId="1A3C5426" w14:textId="77777777" w:rsidTr="00580DC2">
        <w:tc>
          <w:tcPr>
            <w:tcW w:w="547" w:type="pct"/>
            <w:shd w:val="clear" w:color="auto" w:fill="auto"/>
            <w:noWrap/>
          </w:tcPr>
          <w:p w14:paraId="188EE9F0" w14:textId="77777777" w:rsidR="00994F64" w:rsidRPr="00261B7A" w:rsidRDefault="00994F64" w:rsidP="00501B0F">
            <w:pPr>
              <w:pStyle w:val="TableText"/>
              <w:spacing w:before="40" w:after="40"/>
              <w:rPr>
                <w:rFonts w:cs="Calibri"/>
              </w:rPr>
            </w:pPr>
            <w:r w:rsidRPr="00261B7A">
              <w:rPr>
                <w:rFonts w:cs="Calibri"/>
              </w:rPr>
              <w:t>1999</w:t>
            </w:r>
          </w:p>
        </w:tc>
        <w:tc>
          <w:tcPr>
            <w:tcW w:w="941" w:type="pct"/>
            <w:shd w:val="clear" w:color="auto" w:fill="auto"/>
            <w:noWrap/>
            <w:vAlign w:val="bottom"/>
          </w:tcPr>
          <w:p w14:paraId="3DB16146"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11.3</w:t>
            </w:r>
          </w:p>
        </w:tc>
        <w:tc>
          <w:tcPr>
            <w:tcW w:w="941" w:type="pct"/>
            <w:tcBorders>
              <w:right w:val="single" w:sz="4" w:space="0" w:color="1B556B" w:themeColor="text2"/>
            </w:tcBorders>
            <w:shd w:val="clear" w:color="auto" w:fill="auto"/>
            <w:noWrap/>
            <w:vAlign w:val="bottom"/>
          </w:tcPr>
          <w:p w14:paraId="58ED8009"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9.9</w:t>
            </w:r>
          </w:p>
        </w:tc>
        <w:tc>
          <w:tcPr>
            <w:tcW w:w="205" w:type="pct"/>
            <w:tcBorders>
              <w:top w:val="nil"/>
              <w:left w:val="single" w:sz="4" w:space="0" w:color="1B556B" w:themeColor="text2"/>
              <w:bottom w:val="nil"/>
              <w:right w:val="single" w:sz="4" w:space="0" w:color="1B556B" w:themeColor="text2"/>
            </w:tcBorders>
          </w:tcPr>
          <w:p w14:paraId="2A55CFA8" w14:textId="77777777" w:rsidR="00994F64" w:rsidRPr="00261B7A" w:rsidRDefault="00994F64" w:rsidP="00501B0F">
            <w:pPr>
              <w:pStyle w:val="TableText"/>
              <w:spacing w:before="40" w:after="40"/>
              <w:rPr>
                <w:rFonts w:cs="Calibri"/>
                <w:bCs/>
              </w:rPr>
            </w:pPr>
          </w:p>
        </w:tc>
        <w:tc>
          <w:tcPr>
            <w:tcW w:w="580" w:type="pct"/>
            <w:tcBorders>
              <w:left w:val="single" w:sz="4" w:space="0" w:color="1B556B" w:themeColor="text2"/>
            </w:tcBorders>
            <w:noWrap/>
          </w:tcPr>
          <w:p w14:paraId="390C3992" w14:textId="77777777" w:rsidR="00994F64" w:rsidRPr="00261B7A" w:rsidRDefault="00994F64" w:rsidP="00501B0F">
            <w:pPr>
              <w:pStyle w:val="TableText"/>
              <w:spacing w:before="40" w:after="40"/>
              <w:rPr>
                <w:rFonts w:cs="Calibri"/>
              </w:rPr>
            </w:pPr>
            <w:r w:rsidRPr="00261B7A">
              <w:rPr>
                <w:rFonts w:cs="Calibri"/>
              </w:rPr>
              <w:t>2015</w:t>
            </w:r>
          </w:p>
        </w:tc>
        <w:tc>
          <w:tcPr>
            <w:tcW w:w="941" w:type="pct"/>
            <w:shd w:val="clear" w:color="auto" w:fill="auto"/>
            <w:noWrap/>
            <w:vAlign w:val="bottom"/>
          </w:tcPr>
          <w:p w14:paraId="25097234"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12.6</w:t>
            </w:r>
          </w:p>
        </w:tc>
        <w:tc>
          <w:tcPr>
            <w:tcW w:w="844" w:type="pct"/>
            <w:shd w:val="clear" w:color="auto" w:fill="auto"/>
            <w:vAlign w:val="bottom"/>
          </w:tcPr>
          <w:p w14:paraId="766EF866"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11.4</w:t>
            </w:r>
          </w:p>
        </w:tc>
      </w:tr>
      <w:tr w:rsidR="00994F64" w:rsidRPr="00261B7A" w14:paraId="0D255FAF" w14:textId="77777777" w:rsidTr="00580DC2">
        <w:tc>
          <w:tcPr>
            <w:tcW w:w="547" w:type="pct"/>
            <w:shd w:val="clear" w:color="auto" w:fill="auto"/>
            <w:noWrap/>
          </w:tcPr>
          <w:p w14:paraId="1774E949" w14:textId="77777777" w:rsidR="00994F64" w:rsidRPr="00261B7A" w:rsidRDefault="00994F64" w:rsidP="00501B0F">
            <w:pPr>
              <w:pStyle w:val="TableText"/>
              <w:spacing w:before="40" w:after="40"/>
              <w:rPr>
                <w:rFonts w:cs="Calibri"/>
              </w:rPr>
            </w:pPr>
            <w:r w:rsidRPr="00261B7A">
              <w:rPr>
                <w:rFonts w:cs="Calibri"/>
              </w:rPr>
              <w:t>2000</w:t>
            </w:r>
          </w:p>
        </w:tc>
        <w:tc>
          <w:tcPr>
            <w:tcW w:w="941" w:type="pct"/>
            <w:shd w:val="clear" w:color="auto" w:fill="auto"/>
            <w:noWrap/>
            <w:vAlign w:val="bottom"/>
          </w:tcPr>
          <w:p w14:paraId="7B2640D3"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11.4</w:t>
            </w:r>
          </w:p>
        </w:tc>
        <w:tc>
          <w:tcPr>
            <w:tcW w:w="941" w:type="pct"/>
            <w:tcBorders>
              <w:right w:val="single" w:sz="4" w:space="0" w:color="1B556B" w:themeColor="text2"/>
            </w:tcBorders>
            <w:shd w:val="clear" w:color="auto" w:fill="auto"/>
            <w:noWrap/>
            <w:vAlign w:val="bottom"/>
          </w:tcPr>
          <w:p w14:paraId="0591DE69"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10.2</w:t>
            </w:r>
          </w:p>
        </w:tc>
        <w:tc>
          <w:tcPr>
            <w:tcW w:w="205" w:type="pct"/>
            <w:tcBorders>
              <w:top w:val="nil"/>
              <w:left w:val="single" w:sz="4" w:space="0" w:color="1B556B" w:themeColor="text2"/>
              <w:bottom w:val="nil"/>
              <w:right w:val="single" w:sz="4" w:space="0" w:color="1B556B" w:themeColor="text2"/>
            </w:tcBorders>
          </w:tcPr>
          <w:p w14:paraId="480E0A15" w14:textId="77777777" w:rsidR="00994F64" w:rsidRPr="00261B7A" w:rsidRDefault="00994F64" w:rsidP="00501B0F">
            <w:pPr>
              <w:pStyle w:val="TableText"/>
              <w:spacing w:before="40" w:after="40"/>
              <w:rPr>
                <w:rFonts w:cs="Calibri"/>
                <w:bCs/>
              </w:rPr>
            </w:pPr>
          </w:p>
        </w:tc>
        <w:tc>
          <w:tcPr>
            <w:tcW w:w="580" w:type="pct"/>
            <w:tcBorders>
              <w:left w:val="single" w:sz="4" w:space="0" w:color="1B556B" w:themeColor="text2"/>
            </w:tcBorders>
            <w:noWrap/>
          </w:tcPr>
          <w:p w14:paraId="5DA59A59" w14:textId="77777777" w:rsidR="00994F64" w:rsidRPr="00261B7A" w:rsidRDefault="00994F64" w:rsidP="00501B0F">
            <w:pPr>
              <w:pStyle w:val="TableText"/>
              <w:spacing w:before="40" w:after="40"/>
              <w:rPr>
                <w:rFonts w:cs="Calibri"/>
              </w:rPr>
            </w:pPr>
            <w:r w:rsidRPr="00261B7A">
              <w:rPr>
                <w:rFonts w:cs="Calibri"/>
              </w:rPr>
              <w:t>2016</w:t>
            </w:r>
          </w:p>
        </w:tc>
        <w:tc>
          <w:tcPr>
            <w:tcW w:w="941" w:type="pct"/>
            <w:shd w:val="clear" w:color="auto" w:fill="auto"/>
            <w:noWrap/>
            <w:vAlign w:val="bottom"/>
          </w:tcPr>
          <w:p w14:paraId="351F368D"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12.7</w:t>
            </w:r>
          </w:p>
        </w:tc>
        <w:tc>
          <w:tcPr>
            <w:tcW w:w="844" w:type="pct"/>
            <w:shd w:val="clear" w:color="auto" w:fill="auto"/>
            <w:vAlign w:val="bottom"/>
          </w:tcPr>
          <w:p w14:paraId="097CA07C"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11.3</w:t>
            </w:r>
          </w:p>
        </w:tc>
      </w:tr>
      <w:tr w:rsidR="00994F64" w:rsidRPr="00261B7A" w14:paraId="60ECE775" w14:textId="77777777" w:rsidTr="00580DC2">
        <w:tc>
          <w:tcPr>
            <w:tcW w:w="547" w:type="pct"/>
            <w:shd w:val="clear" w:color="auto" w:fill="auto"/>
            <w:noWrap/>
          </w:tcPr>
          <w:p w14:paraId="6DD47D9C" w14:textId="77777777" w:rsidR="00994F64" w:rsidRPr="00261B7A" w:rsidRDefault="00994F64" w:rsidP="00501B0F">
            <w:pPr>
              <w:pStyle w:val="TableText"/>
              <w:spacing w:before="40" w:after="40"/>
              <w:rPr>
                <w:rFonts w:cs="Calibri"/>
              </w:rPr>
            </w:pPr>
            <w:r w:rsidRPr="00261B7A">
              <w:rPr>
                <w:rFonts w:cs="Calibri"/>
              </w:rPr>
              <w:t>2001</w:t>
            </w:r>
          </w:p>
        </w:tc>
        <w:tc>
          <w:tcPr>
            <w:tcW w:w="941" w:type="pct"/>
            <w:shd w:val="clear" w:color="auto" w:fill="auto"/>
            <w:noWrap/>
            <w:vAlign w:val="bottom"/>
          </w:tcPr>
          <w:p w14:paraId="0BE3BCFD"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11.5</w:t>
            </w:r>
          </w:p>
        </w:tc>
        <w:tc>
          <w:tcPr>
            <w:tcW w:w="941" w:type="pct"/>
            <w:tcBorders>
              <w:right w:val="single" w:sz="4" w:space="0" w:color="1B556B" w:themeColor="text2"/>
            </w:tcBorders>
            <w:shd w:val="clear" w:color="auto" w:fill="auto"/>
            <w:noWrap/>
            <w:vAlign w:val="bottom"/>
          </w:tcPr>
          <w:p w14:paraId="3AD5FE5E"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10.5</w:t>
            </w:r>
          </w:p>
        </w:tc>
        <w:tc>
          <w:tcPr>
            <w:tcW w:w="205" w:type="pct"/>
            <w:tcBorders>
              <w:top w:val="nil"/>
              <w:left w:val="single" w:sz="4" w:space="0" w:color="1B556B" w:themeColor="text2"/>
              <w:bottom w:val="nil"/>
              <w:right w:val="single" w:sz="4" w:space="0" w:color="1B556B" w:themeColor="text2"/>
            </w:tcBorders>
          </w:tcPr>
          <w:p w14:paraId="3E8C286D" w14:textId="77777777" w:rsidR="00994F64" w:rsidRPr="00261B7A" w:rsidRDefault="00994F64" w:rsidP="00501B0F">
            <w:pPr>
              <w:pStyle w:val="TableText"/>
              <w:spacing w:before="40" w:after="40"/>
              <w:rPr>
                <w:rFonts w:cs="Calibri"/>
                <w:bCs/>
              </w:rPr>
            </w:pPr>
          </w:p>
        </w:tc>
        <w:tc>
          <w:tcPr>
            <w:tcW w:w="580" w:type="pct"/>
            <w:tcBorders>
              <w:left w:val="single" w:sz="4" w:space="0" w:color="1B556B" w:themeColor="text2"/>
            </w:tcBorders>
            <w:noWrap/>
          </w:tcPr>
          <w:p w14:paraId="21F7B3FE" w14:textId="77777777" w:rsidR="00994F64" w:rsidRPr="00261B7A" w:rsidRDefault="00994F64" w:rsidP="00501B0F">
            <w:pPr>
              <w:pStyle w:val="TableText"/>
              <w:spacing w:before="40" w:after="40"/>
              <w:rPr>
                <w:rFonts w:cs="Calibri"/>
              </w:rPr>
            </w:pPr>
            <w:r w:rsidRPr="00261B7A">
              <w:rPr>
                <w:rFonts w:cs="Calibri"/>
              </w:rPr>
              <w:t>2017</w:t>
            </w:r>
          </w:p>
        </w:tc>
        <w:tc>
          <w:tcPr>
            <w:tcW w:w="941" w:type="pct"/>
            <w:shd w:val="clear" w:color="auto" w:fill="auto"/>
            <w:noWrap/>
            <w:vAlign w:val="bottom"/>
          </w:tcPr>
          <w:p w14:paraId="36C0DB4F"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12.8</w:t>
            </w:r>
          </w:p>
        </w:tc>
        <w:tc>
          <w:tcPr>
            <w:tcW w:w="844" w:type="pct"/>
            <w:shd w:val="clear" w:color="auto" w:fill="auto"/>
            <w:vAlign w:val="bottom"/>
          </w:tcPr>
          <w:p w14:paraId="1FAA3CD8"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11.3</w:t>
            </w:r>
          </w:p>
        </w:tc>
      </w:tr>
      <w:tr w:rsidR="00994F64" w:rsidRPr="00261B7A" w14:paraId="4B7E89F2" w14:textId="77777777" w:rsidTr="00580DC2">
        <w:tc>
          <w:tcPr>
            <w:tcW w:w="547" w:type="pct"/>
            <w:shd w:val="clear" w:color="auto" w:fill="auto"/>
            <w:noWrap/>
          </w:tcPr>
          <w:p w14:paraId="7B786E29" w14:textId="77777777" w:rsidR="00994F64" w:rsidRPr="00261B7A" w:rsidRDefault="00994F64" w:rsidP="00501B0F">
            <w:pPr>
              <w:pStyle w:val="TableText"/>
              <w:spacing w:before="40" w:after="40"/>
              <w:rPr>
                <w:rFonts w:cs="Calibri"/>
              </w:rPr>
            </w:pPr>
            <w:r w:rsidRPr="00261B7A">
              <w:rPr>
                <w:rFonts w:cs="Calibri"/>
              </w:rPr>
              <w:t>2002</w:t>
            </w:r>
          </w:p>
        </w:tc>
        <w:tc>
          <w:tcPr>
            <w:tcW w:w="941" w:type="pct"/>
            <w:shd w:val="clear" w:color="auto" w:fill="auto"/>
            <w:noWrap/>
            <w:vAlign w:val="bottom"/>
          </w:tcPr>
          <w:p w14:paraId="562701FF"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11.5</w:t>
            </w:r>
          </w:p>
        </w:tc>
        <w:tc>
          <w:tcPr>
            <w:tcW w:w="941" w:type="pct"/>
            <w:tcBorders>
              <w:right w:val="single" w:sz="4" w:space="0" w:color="1B556B" w:themeColor="text2"/>
            </w:tcBorders>
            <w:shd w:val="clear" w:color="auto" w:fill="auto"/>
            <w:noWrap/>
            <w:vAlign w:val="bottom"/>
          </w:tcPr>
          <w:p w14:paraId="31846B14"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10.2</w:t>
            </w:r>
          </w:p>
        </w:tc>
        <w:tc>
          <w:tcPr>
            <w:tcW w:w="205" w:type="pct"/>
            <w:tcBorders>
              <w:top w:val="nil"/>
              <w:left w:val="single" w:sz="4" w:space="0" w:color="1B556B" w:themeColor="text2"/>
              <w:bottom w:val="nil"/>
              <w:right w:val="single" w:sz="4" w:space="0" w:color="1B556B" w:themeColor="text2"/>
            </w:tcBorders>
          </w:tcPr>
          <w:p w14:paraId="400CB722" w14:textId="77777777" w:rsidR="00994F64" w:rsidRPr="00261B7A" w:rsidRDefault="00994F64" w:rsidP="00501B0F">
            <w:pPr>
              <w:pStyle w:val="TableText"/>
              <w:spacing w:before="40" w:after="40"/>
              <w:rPr>
                <w:rFonts w:cs="Calibri"/>
                <w:bCs/>
              </w:rPr>
            </w:pPr>
          </w:p>
        </w:tc>
        <w:tc>
          <w:tcPr>
            <w:tcW w:w="580" w:type="pct"/>
            <w:tcBorders>
              <w:left w:val="single" w:sz="4" w:space="0" w:color="1B556B" w:themeColor="text2"/>
            </w:tcBorders>
            <w:noWrap/>
          </w:tcPr>
          <w:p w14:paraId="42DA5729" w14:textId="77777777" w:rsidR="00994F64" w:rsidRPr="00261B7A" w:rsidRDefault="00994F64" w:rsidP="00501B0F">
            <w:pPr>
              <w:pStyle w:val="TableText"/>
              <w:spacing w:before="40" w:after="40"/>
              <w:rPr>
                <w:rFonts w:cs="Calibri"/>
              </w:rPr>
            </w:pPr>
            <w:r w:rsidRPr="00261B7A">
              <w:rPr>
                <w:rFonts w:cs="Calibri"/>
              </w:rPr>
              <w:t>2018</w:t>
            </w:r>
          </w:p>
        </w:tc>
        <w:tc>
          <w:tcPr>
            <w:tcW w:w="941" w:type="pct"/>
            <w:shd w:val="clear" w:color="auto" w:fill="auto"/>
            <w:noWrap/>
            <w:vAlign w:val="bottom"/>
          </w:tcPr>
          <w:p w14:paraId="4D4EA87E"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12.7</w:t>
            </w:r>
          </w:p>
        </w:tc>
        <w:tc>
          <w:tcPr>
            <w:tcW w:w="844" w:type="pct"/>
            <w:shd w:val="clear" w:color="auto" w:fill="auto"/>
            <w:vAlign w:val="bottom"/>
          </w:tcPr>
          <w:p w14:paraId="5DA2D97D"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11.4</w:t>
            </w:r>
          </w:p>
        </w:tc>
      </w:tr>
      <w:tr w:rsidR="00994F64" w:rsidRPr="00261B7A" w14:paraId="7237B50B" w14:textId="77777777" w:rsidTr="00580DC2">
        <w:tc>
          <w:tcPr>
            <w:tcW w:w="547" w:type="pct"/>
            <w:shd w:val="clear" w:color="auto" w:fill="auto"/>
            <w:noWrap/>
          </w:tcPr>
          <w:p w14:paraId="507ED437" w14:textId="77777777" w:rsidR="00994F64" w:rsidRPr="00261B7A" w:rsidRDefault="00994F64" w:rsidP="00501B0F">
            <w:pPr>
              <w:pStyle w:val="TableText"/>
              <w:spacing w:before="40" w:after="40"/>
              <w:rPr>
                <w:rFonts w:cs="Calibri"/>
              </w:rPr>
            </w:pPr>
            <w:r w:rsidRPr="00261B7A">
              <w:rPr>
                <w:rFonts w:cs="Calibri"/>
              </w:rPr>
              <w:t>2003</w:t>
            </w:r>
          </w:p>
        </w:tc>
        <w:tc>
          <w:tcPr>
            <w:tcW w:w="941" w:type="pct"/>
            <w:shd w:val="clear" w:color="auto" w:fill="auto"/>
            <w:noWrap/>
            <w:vAlign w:val="bottom"/>
          </w:tcPr>
          <w:p w14:paraId="2CA030E0"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11.6</w:t>
            </w:r>
          </w:p>
        </w:tc>
        <w:tc>
          <w:tcPr>
            <w:tcW w:w="941" w:type="pct"/>
            <w:tcBorders>
              <w:right w:val="single" w:sz="4" w:space="0" w:color="1B556B" w:themeColor="text2"/>
            </w:tcBorders>
            <w:shd w:val="clear" w:color="auto" w:fill="auto"/>
            <w:noWrap/>
            <w:vAlign w:val="bottom"/>
          </w:tcPr>
          <w:p w14:paraId="187FD4A0"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10.1</w:t>
            </w:r>
          </w:p>
        </w:tc>
        <w:tc>
          <w:tcPr>
            <w:tcW w:w="205" w:type="pct"/>
            <w:tcBorders>
              <w:top w:val="nil"/>
              <w:left w:val="single" w:sz="4" w:space="0" w:color="1B556B" w:themeColor="text2"/>
              <w:bottom w:val="nil"/>
              <w:right w:val="single" w:sz="4" w:space="0" w:color="1B556B" w:themeColor="text2"/>
            </w:tcBorders>
          </w:tcPr>
          <w:p w14:paraId="7B0CAA08" w14:textId="77777777" w:rsidR="00994F64" w:rsidRPr="00261B7A" w:rsidRDefault="00994F64" w:rsidP="00501B0F">
            <w:pPr>
              <w:pStyle w:val="TableText"/>
              <w:spacing w:before="40" w:after="40"/>
              <w:rPr>
                <w:rFonts w:cs="Calibri"/>
                <w:bCs/>
              </w:rPr>
            </w:pPr>
          </w:p>
        </w:tc>
        <w:tc>
          <w:tcPr>
            <w:tcW w:w="580" w:type="pct"/>
            <w:tcBorders>
              <w:left w:val="single" w:sz="4" w:space="0" w:color="1B556B" w:themeColor="text2"/>
            </w:tcBorders>
            <w:noWrap/>
          </w:tcPr>
          <w:p w14:paraId="2FE3DFAE" w14:textId="77777777" w:rsidR="00994F64" w:rsidRPr="00261B7A" w:rsidRDefault="00994F64" w:rsidP="00501B0F">
            <w:pPr>
              <w:pStyle w:val="TableText"/>
              <w:spacing w:before="40" w:after="40"/>
              <w:rPr>
                <w:rFonts w:cs="Calibri"/>
              </w:rPr>
            </w:pPr>
            <w:r w:rsidRPr="00261B7A">
              <w:rPr>
                <w:rFonts w:cs="Calibri"/>
              </w:rPr>
              <w:t>2019</w:t>
            </w:r>
          </w:p>
        </w:tc>
        <w:tc>
          <w:tcPr>
            <w:tcW w:w="941" w:type="pct"/>
            <w:shd w:val="clear" w:color="auto" w:fill="auto"/>
            <w:noWrap/>
            <w:vAlign w:val="bottom"/>
          </w:tcPr>
          <w:p w14:paraId="5408E9E8"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12.7</w:t>
            </w:r>
          </w:p>
        </w:tc>
        <w:tc>
          <w:tcPr>
            <w:tcW w:w="844" w:type="pct"/>
            <w:shd w:val="clear" w:color="auto" w:fill="auto"/>
            <w:vAlign w:val="bottom"/>
          </w:tcPr>
          <w:p w14:paraId="75023EFF"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11.3</w:t>
            </w:r>
          </w:p>
        </w:tc>
      </w:tr>
      <w:tr w:rsidR="00994F64" w:rsidRPr="00261B7A" w14:paraId="6B2200AE" w14:textId="77777777" w:rsidTr="00580DC2">
        <w:tc>
          <w:tcPr>
            <w:tcW w:w="547" w:type="pct"/>
            <w:shd w:val="clear" w:color="auto" w:fill="auto"/>
            <w:noWrap/>
          </w:tcPr>
          <w:p w14:paraId="5E29634D" w14:textId="77777777" w:rsidR="00994F64" w:rsidRPr="00261B7A" w:rsidRDefault="00994F64" w:rsidP="00501B0F">
            <w:pPr>
              <w:pStyle w:val="TableText"/>
              <w:spacing w:before="40" w:after="40"/>
              <w:rPr>
                <w:rFonts w:cs="Calibri"/>
              </w:rPr>
            </w:pPr>
            <w:r w:rsidRPr="00261B7A">
              <w:rPr>
                <w:rFonts w:cs="Calibri"/>
              </w:rPr>
              <w:t>2004</w:t>
            </w:r>
          </w:p>
        </w:tc>
        <w:tc>
          <w:tcPr>
            <w:tcW w:w="941" w:type="pct"/>
            <w:shd w:val="clear" w:color="auto" w:fill="auto"/>
            <w:noWrap/>
            <w:vAlign w:val="bottom"/>
          </w:tcPr>
          <w:p w14:paraId="74D367FF"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11.7</w:t>
            </w:r>
          </w:p>
        </w:tc>
        <w:tc>
          <w:tcPr>
            <w:tcW w:w="941" w:type="pct"/>
            <w:tcBorders>
              <w:right w:val="single" w:sz="4" w:space="0" w:color="1B556B" w:themeColor="text2"/>
            </w:tcBorders>
            <w:shd w:val="clear" w:color="auto" w:fill="auto"/>
            <w:noWrap/>
            <w:vAlign w:val="bottom"/>
          </w:tcPr>
          <w:p w14:paraId="6D499878"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10.5</w:t>
            </w:r>
          </w:p>
        </w:tc>
        <w:tc>
          <w:tcPr>
            <w:tcW w:w="205" w:type="pct"/>
            <w:tcBorders>
              <w:top w:val="nil"/>
              <w:left w:val="single" w:sz="4" w:space="0" w:color="1B556B" w:themeColor="text2"/>
              <w:bottom w:val="nil"/>
              <w:right w:val="single" w:sz="4" w:space="0" w:color="1B556B" w:themeColor="text2"/>
            </w:tcBorders>
          </w:tcPr>
          <w:p w14:paraId="3B6B3718" w14:textId="77777777" w:rsidR="00994F64" w:rsidRPr="00261B7A" w:rsidRDefault="00994F64" w:rsidP="00501B0F">
            <w:pPr>
              <w:pStyle w:val="TableText"/>
              <w:spacing w:before="40" w:after="40"/>
              <w:rPr>
                <w:rFonts w:cs="Calibri"/>
                <w:bCs/>
              </w:rPr>
            </w:pPr>
          </w:p>
        </w:tc>
        <w:tc>
          <w:tcPr>
            <w:tcW w:w="580" w:type="pct"/>
            <w:tcBorders>
              <w:left w:val="single" w:sz="4" w:space="0" w:color="1B556B" w:themeColor="text2"/>
            </w:tcBorders>
            <w:noWrap/>
          </w:tcPr>
          <w:p w14:paraId="1B2D652B" w14:textId="77777777" w:rsidR="00994F64" w:rsidRPr="00261B7A" w:rsidRDefault="00994F64" w:rsidP="00501B0F">
            <w:pPr>
              <w:pStyle w:val="TableText"/>
              <w:spacing w:before="40" w:after="40"/>
              <w:rPr>
                <w:rFonts w:cs="Calibri"/>
              </w:rPr>
            </w:pPr>
            <w:r w:rsidRPr="00261B7A">
              <w:rPr>
                <w:rFonts w:cs="Calibri"/>
              </w:rPr>
              <w:t>2020</w:t>
            </w:r>
          </w:p>
        </w:tc>
        <w:tc>
          <w:tcPr>
            <w:tcW w:w="941" w:type="pct"/>
            <w:shd w:val="clear" w:color="auto" w:fill="auto"/>
            <w:noWrap/>
            <w:vAlign w:val="bottom"/>
          </w:tcPr>
          <w:p w14:paraId="378EE71B"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12.7</w:t>
            </w:r>
          </w:p>
        </w:tc>
        <w:tc>
          <w:tcPr>
            <w:tcW w:w="844" w:type="pct"/>
            <w:shd w:val="clear" w:color="auto" w:fill="auto"/>
            <w:vAlign w:val="bottom"/>
          </w:tcPr>
          <w:p w14:paraId="0044D167"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w:t>
            </w:r>
            <w:r w:rsidRPr="00261B7A">
              <w:rPr>
                <w:rFonts w:asciiTheme="minorHAnsi" w:hAnsiTheme="minorHAnsi" w:cstheme="minorHAnsi"/>
                <w:color w:val="000000"/>
                <w:szCs w:val="16"/>
              </w:rPr>
              <w:t>4</w:t>
            </w:r>
          </w:p>
        </w:tc>
      </w:tr>
      <w:tr w:rsidR="00994F64" w:rsidRPr="00261B7A" w14:paraId="53B94F08" w14:textId="77777777" w:rsidTr="00580DC2">
        <w:tc>
          <w:tcPr>
            <w:tcW w:w="547" w:type="pct"/>
            <w:shd w:val="clear" w:color="auto" w:fill="auto"/>
            <w:noWrap/>
          </w:tcPr>
          <w:p w14:paraId="1281101F" w14:textId="77777777" w:rsidR="00994F64" w:rsidRPr="00261B7A" w:rsidRDefault="00994F64" w:rsidP="00501B0F">
            <w:pPr>
              <w:pStyle w:val="TableText"/>
              <w:spacing w:before="40" w:after="40"/>
              <w:rPr>
                <w:rFonts w:cs="Calibri"/>
              </w:rPr>
            </w:pPr>
            <w:r w:rsidRPr="00261B7A">
              <w:t>2005</w:t>
            </w:r>
          </w:p>
        </w:tc>
        <w:tc>
          <w:tcPr>
            <w:tcW w:w="941" w:type="pct"/>
            <w:shd w:val="clear" w:color="auto" w:fill="auto"/>
            <w:noWrap/>
            <w:vAlign w:val="bottom"/>
          </w:tcPr>
          <w:p w14:paraId="7C542F54"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11.8</w:t>
            </w:r>
          </w:p>
        </w:tc>
        <w:tc>
          <w:tcPr>
            <w:tcW w:w="941" w:type="pct"/>
            <w:tcBorders>
              <w:right w:val="single" w:sz="4" w:space="0" w:color="1B556B" w:themeColor="text2"/>
            </w:tcBorders>
            <w:shd w:val="clear" w:color="auto" w:fill="auto"/>
            <w:noWrap/>
            <w:vAlign w:val="bottom"/>
          </w:tcPr>
          <w:p w14:paraId="44A8A0F4"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olor w:val="000000"/>
              </w:rPr>
              <w:t>10.6</w:t>
            </w:r>
          </w:p>
        </w:tc>
        <w:tc>
          <w:tcPr>
            <w:tcW w:w="205" w:type="pct"/>
            <w:tcBorders>
              <w:top w:val="nil"/>
              <w:left w:val="single" w:sz="4" w:space="0" w:color="1B556B" w:themeColor="text2"/>
              <w:bottom w:val="nil"/>
              <w:right w:val="single" w:sz="4" w:space="0" w:color="1B556B" w:themeColor="text2"/>
            </w:tcBorders>
          </w:tcPr>
          <w:p w14:paraId="143378CD" w14:textId="77777777" w:rsidR="00994F64" w:rsidRPr="00261B7A" w:rsidRDefault="00994F64" w:rsidP="00501B0F">
            <w:pPr>
              <w:pStyle w:val="TableText"/>
              <w:spacing w:before="40" w:after="40"/>
              <w:rPr>
                <w:rFonts w:cs="Calibri"/>
                <w:bCs/>
              </w:rPr>
            </w:pPr>
          </w:p>
        </w:tc>
        <w:tc>
          <w:tcPr>
            <w:tcW w:w="580" w:type="pct"/>
            <w:tcBorders>
              <w:left w:val="single" w:sz="4" w:space="0" w:color="1B556B" w:themeColor="text2"/>
            </w:tcBorders>
            <w:noWrap/>
          </w:tcPr>
          <w:p w14:paraId="15AE00E1" w14:textId="77777777" w:rsidR="00994F64" w:rsidRPr="00261B7A" w:rsidRDefault="00994F64" w:rsidP="00501B0F">
            <w:pPr>
              <w:pStyle w:val="TableText"/>
              <w:spacing w:before="40" w:after="40"/>
              <w:rPr>
                <w:rFonts w:cs="Calibri"/>
              </w:rPr>
            </w:pPr>
            <w:r w:rsidRPr="00261B7A">
              <w:rPr>
                <w:rFonts w:cs="Calibri"/>
              </w:rPr>
              <w:t>2021</w:t>
            </w:r>
          </w:p>
        </w:tc>
        <w:tc>
          <w:tcPr>
            <w:tcW w:w="941" w:type="pct"/>
            <w:shd w:val="clear" w:color="auto" w:fill="auto"/>
            <w:noWrap/>
            <w:vAlign w:val="bottom"/>
          </w:tcPr>
          <w:p w14:paraId="4F647840"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stheme="minorHAnsi"/>
                <w:color w:val="000000"/>
                <w:szCs w:val="16"/>
              </w:rPr>
              <w:t>12.7</w:t>
            </w:r>
          </w:p>
        </w:tc>
        <w:tc>
          <w:tcPr>
            <w:tcW w:w="844" w:type="pct"/>
            <w:shd w:val="clear" w:color="auto" w:fill="auto"/>
            <w:vAlign w:val="bottom"/>
          </w:tcPr>
          <w:p w14:paraId="5C661826" w14:textId="77777777" w:rsidR="00994F64" w:rsidRPr="00261B7A" w:rsidRDefault="00994F64" w:rsidP="00501B0F">
            <w:pPr>
              <w:pStyle w:val="TableText"/>
              <w:spacing w:before="40" w:after="40"/>
              <w:jc w:val="center"/>
              <w:rPr>
                <w:rFonts w:asciiTheme="minorHAnsi" w:hAnsiTheme="minorHAnsi"/>
              </w:rPr>
            </w:pPr>
            <w:r w:rsidRPr="00261B7A">
              <w:rPr>
                <w:rFonts w:asciiTheme="minorHAnsi" w:hAnsiTheme="minorHAnsi" w:cstheme="minorHAnsi"/>
                <w:color w:val="000000"/>
                <w:szCs w:val="16"/>
              </w:rPr>
              <w:t>11.3</w:t>
            </w:r>
          </w:p>
        </w:tc>
      </w:tr>
    </w:tbl>
    <w:p w14:paraId="0719CEF6" w14:textId="77777777" w:rsidR="00994F64" w:rsidRPr="00261B7A" w:rsidRDefault="00994F64" w:rsidP="00994F64">
      <w:pPr>
        <w:pStyle w:val="Heading5"/>
        <w:spacing w:before="320"/>
        <w:rPr>
          <w:rFonts w:cs="Calibri"/>
        </w:rPr>
      </w:pPr>
      <w:r w:rsidRPr="00261B7A">
        <w:rPr>
          <w:rFonts w:cs="Calibri"/>
        </w:rPr>
        <w:t xml:space="preserve">Direct nitrous oxide emissions from manure management </w:t>
      </w:r>
    </w:p>
    <w:p w14:paraId="042559CF" w14:textId="77777777" w:rsidR="00994F64" w:rsidRPr="00261B7A" w:rsidRDefault="00994F64" w:rsidP="00994F64">
      <w:pPr>
        <w:pStyle w:val="BodyText"/>
      </w:pPr>
      <w:r w:rsidRPr="00261B7A">
        <w:rPr>
          <w:b/>
          <w:bCs/>
        </w:rPr>
        <w:t>Major livestock categories:</w:t>
      </w:r>
      <w:r w:rsidRPr="00261B7A">
        <w:t xml:space="preserve"> For the major livestock categories (</w:t>
      </w:r>
      <w:r w:rsidRPr="00261B7A">
        <w:rPr>
          <w:i/>
          <w:iCs/>
        </w:rPr>
        <w:t>Dairy cattle</w:t>
      </w:r>
      <w:r w:rsidRPr="00261B7A">
        <w:t xml:space="preserve">, </w:t>
      </w:r>
      <w:r w:rsidRPr="00261B7A">
        <w:rPr>
          <w:i/>
          <w:iCs/>
        </w:rPr>
        <w:t xml:space="preserve">Non-dairy </w:t>
      </w:r>
      <w:r w:rsidRPr="00261B7A">
        <w:t xml:space="preserve">(beef) </w:t>
      </w:r>
      <w:r w:rsidRPr="00261B7A">
        <w:rPr>
          <w:i/>
          <w:iCs/>
        </w:rPr>
        <w:t>cattle</w:t>
      </w:r>
      <w:r w:rsidRPr="00261B7A">
        <w:t xml:space="preserve">, </w:t>
      </w:r>
      <w:r w:rsidRPr="00261B7A">
        <w:rPr>
          <w:i/>
          <w:iCs/>
        </w:rPr>
        <w:t>Sheep</w:t>
      </w:r>
      <w:r w:rsidRPr="00261B7A">
        <w:t xml:space="preserve"> and </w:t>
      </w:r>
      <w:r w:rsidRPr="00261B7A">
        <w:rPr>
          <w:i/>
          <w:iCs/>
        </w:rPr>
        <w:t>Deer</w:t>
      </w:r>
      <w:r w:rsidRPr="00261B7A">
        <w:t>), most manure is deposited directly onto pasture by grazing animals (see table 5.3.2). Direct and indirect N</w:t>
      </w:r>
      <w:r w:rsidRPr="00261B7A">
        <w:rPr>
          <w:vertAlign w:val="subscript"/>
        </w:rPr>
        <w:t>2</w:t>
      </w:r>
      <w:r w:rsidRPr="00261B7A">
        <w:t xml:space="preserve">O emissions from the manure deposited by grazing animals are reported in the </w:t>
      </w:r>
      <w:r w:rsidRPr="00261B7A">
        <w:rPr>
          <w:i/>
          <w:iCs/>
        </w:rPr>
        <w:t>Agricultural soils</w:t>
      </w:r>
      <w:r w:rsidRPr="00261B7A">
        <w:t xml:space="preserve"> category (</w:t>
      </w:r>
      <w:r w:rsidRPr="00261B7A">
        <w:rPr>
          <w:i/>
          <w:iCs/>
        </w:rPr>
        <w:t xml:space="preserve">Urine and dung deposited by grazing animals </w:t>
      </w:r>
      <w:r w:rsidRPr="00261B7A">
        <w:t xml:space="preserve">(CRF 3.D.1.3)). </w:t>
      </w:r>
    </w:p>
    <w:p w14:paraId="27F314A5" w14:textId="7EB592DC" w:rsidR="00994F64" w:rsidRPr="00261B7A" w:rsidRDefault="00994F64" w:rsidP="00994F64">
      <w:pPr>
        <w:pStyle w:val="BodyText"/>
      </w:pPr>
      <w:r w:rsidRPr="00261B7A">
        <w:t>The remainder of dairy manure is managed in anaerobic lagoons. The 2006 IPCC Guidelines note that the production of emissions of direct N</w:t>
      </w:r>
      <w:r w:rsidRPr="00261B7A">
        <w:rPr>
          <w:vertAlign w:val="subscript"/>
        </w:rPr>
        <w:t>2</w:t>
      </w:r>
      <w:r w:rsidRPr="00261B7A">
        <w:t>O from managed manure requires aerobic conditions for the formation of oxidised forms of nitrogen, but assumes that negligible direct N</w:t>
      </w:r>
      <w:r w:rsidRPr="00261B7A">
        <w:rPr>
          <w:vertAlign w:val="subscript"/>
        </w:rPr>
        <w:t>2</w:t>
      </w:r>
      <w:r w:rsidRPr="00261B7A">
        <w:t>O emissions occur during storage in anaerobic lagoons (IPCC, 2006, table 10.21). Direct N</w:t>
      </w:r>
      <w:r w:rsidRPr="00261B7A">
        <w:rPr>
          <w:vertAlign w:val="subscript"/>
        </w:rPr>
        <w:t>2</w:t>
      </w:r>
      <w:r w:rsidRPr="00261B7A">
        <w:t>O</w:t>
      </w:r>
      <w:r w:rsidR="00E74167" w:rsidRPr="00261B7A">
        <w:t> </w:t>
      </w:r>
      <w:r w:rsidRPr="00261B7A">
        <w:t xml:space="preserve">emissions from dairy effluent anaerobic lagoons are reported in the </w:t>
      </w:r>
      <w:r w:rsidRPr="00261B7A">
        <w:rPr>
          <w:i/>
          <w:iCs/>
        </w:rPr>
        <w:t>Agricultural soils</w:t>
      </w:r>
      <w:r w:rsidRPr="00261B7A">
        <w:t xml:space="preserve"> category (</w:t>
      </w:r>
      <w:r w:rsidRPr="00261B7A">
        <w:rPr>
          <w:i/>
          <w:iCs/>
        </w:rPr>
        <w:t xml:space="preserve">Organic nitrogen fertilisers </w:t>
      </w:r>
      <w:r w:rsidRPr="00261B7A">
        <w:t>(CRF 3.D.1.2)) when the stored effluent is spread onto agricultural land.</w:t>
      </w:r>
    </w:p>
    <w:p w14:paraId="336BCB7E" w14:textId="77777777" w:rsidR="00994F64" w:rsidRPr="00261B7A" w:rsidRDefault="00994F64" w:rsidP="00994F64">
      <w:pPr>
        <w:pStyle w:val="BodyText"/>
      </w:pPr>
      <w:r w:rsidRPr="00261B7A">
        <w:rPr>
          <w:b/>
          <w:bCs/>
          <w:i/>
          <w:iCs/>
        </w:rPr>
        <w:t>Swine:</w:t>
      </w:r>
      <w:r w:rsidRPr="00261B7A">
        <w:t xml:space="preserve"> Swine manure is managed under various types of waste management systems (see table 5.3.2). The 2006 IPCC Guidelines (table 10.21, IPCC, 2006) assume that negligible direct N</w:t>
      </w:r>
      <w:r w:rsidRPr="00261B7A">
        <w:rPr>
          <w:vertAlign w:val="subscript"/>
        </w:rPr>
        <w:t>2</w:t>
      </w:r>
      <w:r w:rsidRPr="00261B7A">
        <w:t xml:space="preserve">O emissions occur in anaerobic lagoons and daily spread. Nitrous oxide emissions from manure from these systems occur once the stored effluent is spread onto agricultural land and are reported in the </w:t>
      </w:r>
      <w:r w:rsidRPr="00261B7A">
        <w:rPr>
          <w:i/>
          <w:iCs/>
        </w:rPr>
        <w:t>Agricultural soils</w:t>
      </w:r>
      <w:r w:rsidRPr="00261B7A">
        <w:t xml:space="preserve"> category (</w:t>
      </w:r>
      <w:r w:rsidRPr="00261B7A">
        <w:rPr>
          <w:i/>
          <w:iCs/>
        </w:rPr>
        <w:t xml:space="preserve">Organic nitrogen fertilisers </w:t>
      </w:r>
      <w:r w:rsidRPr="00261B7A">
        <w:t>(CRF 3.D.1.2)). Nitrous oxide emissions from manure management of swine for dry lot and other manure management systems are estimated using the IPCC (2006) default emission factors for direct N</w:t>
      </w:r>
      <w:r w:rsidRPr="00261B7A">
        <w:rPr>
          <w:vertAlign w:val="subscript"/>
        </w:rPr>
        <w:t>2</w:t>
      </w:r>
      <w:r w:rsidRPr="00261B7A">
        <w:t>O emission</w:t>
      </w:r>
      <w:r w:rsidRPr="00261B7A">
        <w:rPr>
          <w:spacing w:val="-2"/>
        </w:rPr>
        <w:t>s from manure management (EF</w:t>
      </w:r>
      <w:r w:rsidRPr="00261B7A">
        <w:rPr>
          <w:spacing w:val="-2"/>
          <w:vertAlign w:val="subscript"/>
        </w:rPr>
        <w:t>3,PRP</w:t>
      </w:r>
      <w:r w:rsidRPr="00261B7A">
        <w:rPr>
          <w:spacing w:val="-2"/>
        </w:rPr>
        <w:t>)</w:t>
      </w:r>
      <w:r w:rsidRPr="00261B7A">
        <w:rPr>
          <w:spacing w:val="-2"/>
          <w:vertAlign w:val="subscript"/>
        </w:rPr>
        <w:t xml:space="preserve"> </w:t>
      </w:r>
      <w:r w:rsidRPr="00261B7A">
        <w:rPr>
          <w:spacing w:val="-2"/>
        </w:rPr>
        <w:t>of 0.02 and 0.005 kg N</w:t>
      </w:r>
      <w:r w:rsidRPr="00261B7A">
        <w:rPr>
          <w:spacing w:val="-2"/>
          <w:vertAlign w:val="subscript"/>
        </w:rPr>
        <w:t>2</w:t>
      </w:r>
      <w:r w:rsidRPr="00261B7A">
        <w:rPr>
          <w:spacing w:val="-2"/>
        </w:rPr>
        <w:t>O</w:t>
      </w:r>
      <w:r w:rsidRPr="00261B7A">
        <w:rPr>
          <w:spacing w:val="-2"/>
        </w:rPr>
        <w:noBreakHyphen/>
        <w:t xml:space="preserve">N/kg N respectively. </w:t>
      </w:r>
    </w:p>
    <w:p w14:paraId="496A7A8A" w14:textId="77777777" w:rsidR="00994F64" w:rsidRPr="00261B7A" w:rsidRDefault="00994F64" w:rsidP="00994F64">
      <w:pPr>
        <w:pStyle w:val="BodyText"/>
      </w:pPr>
      <w:r w:rsidRPr="00261B7A">
        <w:rPr>
          <w:b/>
          <w:bCs/>
          <w:i/>
          <w:iCs/>
        </w:rPr>
        <w:t>Poultry</w:t>
      </w:r>
      <w:r w:rsidRPr="00261B7A">
        <w:rPr>
          <w:i/>
          <w:iCs/>
        </w:rPr>
        <w:t>:</w:t>
      </w:r>
      <w:r w:rsidRPr="00261B7A">
        <w:t xml:space="preserve"> Direct N</w:t>
      </w:r>
      <w:r w:rsidRPr="00261B7A">
        <w:rPr>
          <w:vertAlign w:val="subscript"/>
        </w:rPr>
        <w:t>2</w:t>
      </w:r>
      <w:r w:rsidRPr="00261B7A">
        <w:t xml:space="preserve">O emissions from poultry manure deposited directly on pasture are reported in the </w:t>
      </w:r>
      <w:r w:rsidRPr="00261B7A">
        <w:rPr>
          <w:i/>
          <w:iCs/>
        </w:rPr>
        <w:t>Agricultural soils</w:t>
      </w:r>
      <w:r w:rsidRPr="00261B7A">
        <w:t xml:space="preserve"> category (</w:t>
      </w:r>
      <w:r w:rsidRPr="00261B7A">
        <w:rPr>
          <w:i/>
          <w:iCs/>
        </w:rPr>
        <w:t>Urine and dung deposited by grazing animals</w:t>
      </w:r>
      <w:r w:rsidRPr="00261B7A">
        <w:t xml:space="preserve"> (CRF 3.D.1.3)). For other manure management systems, the IPCC (2006, table 10.21) default emission factor for EF</w:t>
      </w:r>
      <w:r w:rsidRPr="00261B7A">
        <w:rPr>
          <w:vertAlign w:val="subscript"/>
        </w:rPr>
        <w:t>3,PRP</w:t>
      </w:r>
      <w:r w:rsidRPr="00261B7A">
        <w:t xml:space="preserve"> of 0.001 kg N</w:t>
      </w:r>
      <w:r w:rsidRPr="00261B7A">
        <w:rPr>
          <w:vertAlign w:val="subscript"/>
        </w:rPr>
        <w:t>2</w:t>
      </w:r>
      <w:r w:rsidRPr="00261B7A">
        <w:t>O-N/kg N for poultry manure with and without litter is assumed.</w:t>
      </w:r>
    </w:p>
    <w:p w14:paraId="14EBCAD7" w14:textId="77777777" w:rsidR="00994F64" w:rsidRPr="00261B7A" w:rsidRDefault="00994F64" w:rsidP="00994F64">
      <w:pPr>
        <w:pStyle w:val="BodyText"/>
        <w:spacing w:after="100"/>
      </w:pPr>
      <w:r w:rsidRPr="00261B7A">
        <w:rPr>
          <w:b/>
          <w:bCs/>
          <w:i/>
          <w:iCs/>
        </w:rPr>
        <w:t>Goats</w:t>
      </w:r>
      <w:r w:rsidRPr="00261B7A">
        <w:rPr>
          <w:b/>
          <w:bCs/>
        </w:rPr>
        <w:t xml:space="preserve">, </w:t>
      </w:r>
      <w:r w:rsidRPr="00261B7A">
        <w:rPr>
          <w:b/>
          <w:bCs/>
          <w:i/>
          <w:iCs/>
        </w:rPr>
        <w:t>Horses</w:t>
      </w:r>
      <w:r w:rsidRPr="00261B7A">
        <w:rPr>
          <w:b/>
        </w:rPr>
        <w:t xml:space="preserve">, </w:t>
      </w:r>
      <w:r w:rsidRPr="00261B7A">
        <w:rPr>
          <w:b/>
          <w:i/>
        </w:rPr>
        <w:t>Llamas and</w:t>
      </w:r>
      <w:r w:rsidRPr="00261B7A">
        <w:rPr>
          <w:b/>
          <w:bCs/>
          <w:i/>
        </w:rPr>
        <w:t xml:space="preserve"> a</w:t>
      </w:r>
      <w:r w:rsidRPr="00261B7A">
        <w:rPr>
          <w:b/>
          <w:i/>
        </w:rPr>
        <w:t>lpacas</w:t>
      </w:r>
      <w:r w:rsidRPr="00261B7A">
        <w:rPr>
          <w:b/>
          <w:bCs/>
          <w:iCs/>
        </w:rPr>
        <w:t xml:space="preserve">, </w:t>
      </w:r>
      <w:r w:rsidRPr="00261B7A">
        <w:rPr>
          <w:b/>
          <w:bCs/>
        </w:rPr>
        <w:t xml:space="preserve">and </w:t>
      </w:r>
      <w:r w:rsidRPr="00261B7A">
        <w:rPr>
          <w:b/>
          <w:i/>
        </w:rPr>
        <w:t>Mules and asses</w:t>
      </w:r>
      <w:r w:rsidRPr="00261B7A">
        <w:rPr>
          <w:b/>
        </w:rPr>
        <w:t xml:space="preserve">: </w:t>
      </w:r>
      <w:r w:rsidRPr="00261B7A">
        <w:t>All faecal material from these livestock is deposited directly onto pasture, and direct N</w:t>
      </w:r>
      <w:r w:rsidRPr="00261B7A">
        <w:rPr>
          <w:vertAlign w:val="subscript"/>
        </w:rPr>
        <w:t>2</w:t>
      </w:r>
      <w:r w:rsidRPr="00261B7A">
        <w:t xml:space="preserve">O emissions from grazing animals are reported in the </w:t>
      </w:r>
      <w:r w:rsidRPr="00261B7A">
        <w:rPr>
          <w:i/>
          <w:iCs/>
        </w:rPr>
        <w:t>Agricultural soils</w:t>
      </w:r>
      <w:r w:rsidRPr="00261B7A">
        <w:t xml:space="preserve"> category (</w:t>
      </w:r>
      <w:r w:rsidRPr="00261B7A">
        <w:rPr>
          <w:i/>
          <w:iCs/>
        </w:rPr>
        <w:t>Urine and dung deposited by grazing animals</w:t>
      </w:r>
      <w:r w:rsidRPr="00261B7A">
        <w:t xml:space="preserve"> (CRF 3.D.1.3)). </w:t>
      </w:r>
    </w:p>
    <w:p w14:paraId="34D15141" w14:textId="77777777" w:rsidR="00994F64" w:rsidRPr="00261B7A" w:rsidRDefault="00994F64" w:rsidP="00994F64">
      <w:pPr>
        <w:pStyle w:val="Heading5"/>
        <w:spacing w:before="200"/>
        <w:rPr>
          <w:rFonts w:cs="Calibri"/>
        </w:rPr>
      </w:pPr>
      <w:r w:rsidRPr="00261B7A">
        <w:rPr>
          <w:rFonts w:cs="Calibri"/>
        </w:rPr>
        <w:t>Indirect nitrous oxide emissions from manure management</w:t>
      </w:r>
    </w:p>
    <w:p w14:paraId="5D26F876" w14:textId="77777777" w:rsidR="00994F64" w:rsidRPr="00261B7A" w:rsidRDefault="00994F64" w:rsidP="00994F64">
      <w:pPr>
        <w:pStyle w:val="BodyText"/>
        <w:spacing w:before="80" w:after="100"/>
      </w:pPr>
      <w:r w:rsidRPr="00261B7A">
        <w:t>Indirect N</w:t>
      </w:r>
      <w:r w:rsidRPr="00261B7A">
        <w:rPr>
          <w:vertAlign w:val="subscript"/>
        </w:rPr>
        <w:t>2</w:t>
      </w:r>
      <w:r w:rsidRPr="00261B7A">
        <w:t xml:space="preserve">O emissions from manure management result from diffusion into the surrounding </w:t>
      </w:r>
      <w:r w:rsidRPr="00261B7A">
        <w:rPr>
          <w:spacing w:val="-2"/>
        </w:rPr>
        <w:t xml:space="preserve">air (volatilisation) and from leaching and runoff. All indirect </w:t>
      </w:r>
      <w:r w:rsidRPr="00261B7A">
        <w:t>N</w:t>
      </w:r>
      <w:r w:rsidRPr="00261B7A">
        <w:rPr>
          <w:vertAlign w:val="subscript"/>
        </w:rPr>
        <w:t>2</w:t>
      </w:r>
      <w:r w:rsidRPr="00261B7A">
        <w:t>O</w:t>
      </w:r>
      <w:r w:rsidRPr="00261B7A">
        <w:rPr>
          <w:spacing w:val="-2"/>
        </w:rPr>
        <w:t xml:space="preserve"> emissions for the pasture, range</w:t>
      </w:r>
      <w:r w:rsidRPr="00261B7A">
        <w:t xml:space="preserve"> and paddock manure management systems are reported in the </w:t>
      </w:r>
      <w:r w:rsidRPr="00261B7A">
        <w:rPr>
          <w:i/>
          <w:iCs/>
        </w:rPr>
        <w:t>Agricultural soils</w:t>
      </w:r>
      <w:r w:rsidRPr="00261B7A">
        <w:t xml:space="preserve"> category. </w:t>
      </w:r>
    </w:p>
    <w:p w14:paraId="3B16BC81" w14:textId="77777777" w:rsidR="00994F64" w:rsidRPr="00261B7A" w:rsidRDefault="00994F64" w:rsidP="00994F64">
      <w:pPr>
        <w:pStyle w:val="BodyText"/>
        <w:spacing w:before="100" w:after="100"/>
      </w:pPr>
      <w:r w:rsidRPr="00261B7A">
        <w:t>The IPCC (2006) Tier 1 methodology is used for calculating N</w:t>
      </w:r>
      <w:r w:rsidRPr="00261B7A">
        <w:rPr>
          <w:vertAlign w:val="subscript"/>
        </w:rPr>
        <w:t>2</w:t>
      </w:r>
      <w:r w:rsidRPr="00261B7A">
        <w:t>O emissions resulting from volatilisation:</w:t>
      </w:r>
    </w:p>
    <w:bookmarkStart w:id="900" w:name="_1543985758"/>
    <w:bookmarkStart w:id="901" w:name="_1670051240"/>
    <w:bookmarkEnd w:id="900"/>
    <w:bookmarkEnd w:id="901"/>
    <w:p w14:paraId="724A8171" w14:textId="77777777" w:rsidR="00994F64" w:rsidRPr="00261B7A" w:rsidRDefault="00994F64" w:rsidP="00994F64">
      <w:pPr>
        <w:pStyle w:val="BodyText"/>
        <w:spacing w:before="0" w:after="0"/>
      </w:pPr>
      <w:r w:rsidRPr="00261B7A">
        <w:object w:dxaOrig="7889" w:dyaOrig="495" w14:anchorId="7FF6415C">
          <v:shape id="_x0000_i1040" type="#_x0000_t75" style="width:390pt;height:24.5pt" o:ole="">
            <v:imagedata r:id="rId131" o:title=""/>
          </v:shape>
          <o:OLEObject Type="Embed" ProgID="Word.Document.12" ShapeID="_x0000_i1040" DrawAspect="Content" ObjectID="_1742911579" r:id="rId132">
            <o:FieldCodes>\s</o:FieldCodes>
          </o:OLEObject>
        </w:object>
      </w:r>
    </w:p>
    <w:p w14:paraId="2F54D16D" w14:textId="77777777" w:rsidR="00994F64" w:rsidRPr="00261B7A" w:rsidRDefault="00994F64" w:rsidP="00994F64">
      <w:pPr>
        <w:pStyle w:val="BodyText"/>
        <w:spacing w:after="0"/>
        <w:rPr>
          <w:rFonts w:cs="Calibri"/>
        </w:rPr>
      </w:pPr>
      <w:r w:rsidRPr="00261B7A">
        <w:rPr>
          <w:rFonts w:cs="Calibri"/>
        </w:rPr>
        <w:t>And:</w:t>
      </w:r>
    </w:p>
    <w:bookmarkStart w:id="902" w:name="_1545464011"/>
    <w:bookmarkEnd w:id="902"/>
    <w:bookmarkStart w:id="903" w:name="_MON_1576576510"/>
    <w:bookmarkEnd w:id="903"/>
    <w:p w14:paraId="63F3025C" w14:textId="77777777" w:rsidR="00994F64" w:rsidRPr="00261B7A" w:rsidRDefault="00994F64" w:rsidP="00994F64">
      <w:pPr>
        <w:pStyle w:val="BodyText"/>
        <w:spacing w:before="0" w:after="80"/>
        <w:jc w:val="center"/>
        <w:rPr>
          <w:rFonts w:cs="Calibri"/>
        </w:rPr>
      </w:pPr>
      <w:r w:rsidRPr="00261B7A">
        <w:rPr>
          <w:rFonts w:cs="Calibri"/>
        </w:rPr>
        <w:object w:dxaOrig="6947" w:dyaOrig="704" w14:anchorId="25365099">
          <v:shape id="_x0000_i1041" type="#_x0000_t75" style="width:347.5pt;height:36.5pt" o:ole="">
            <v:imagedata r:id="rId133" o:title=""/>
          </v:shape>
          <o:OLEObject Type="Embed" ProgID="Word.Document.12" ShapeID="_x0000_i1041" DrawAspect="Content" ObjectID="_1742911580" r:id="rId134">
            <o:FieldCodes>\s</o:FieldCodes>
          </o:OLEObject>
        </w:object>
      </w:r>
    </w:p>
    <w:p w14:paraId="7CAE735D" w14:textId="77777777" w:rsidR="00994F64" w:rsidRPr="00261B7A" w:rsidRDefault="00994F64" w:rsidP="00994F64">
      <w:pPr>
        <w:pStyle w:val="BodyText"/>
        <w:spacing w:after="60"/>
        <w:ind w:left="964" w:hanging="964"/>
      </w:pPr>
      <w:r w:rsidRPr="00261B7A">
        <w:t>Where:</w:t>
      </w:r>
      <w:r w:rsidRPr="00261B7A">
        <w:tab/>
        <w:t>N</w:t>
      </w:r>
      <w:r w:rsidRPr="00261B7A">
        <w:rPr>
          <w:vertAlign w:val="subscript"/>
        </w:rPr>
        <w:t>vol – MMS</w:t>
      </w:r>
      <w:r w:rsidRPr="00261B7A">
        <w:t xml:space="preserve"> is the amount of manure nitrogen that is lost due to volatilisation (kg/year)</w:t>
      </w:r>
    </w:p>
    <w:p w14:paraId="4B8C9EDC" w14:textId="77777777" w:rsidR="00994F64" w:rsidRPr="00261B7A" w:rsidRDefault="00994F64" w:rsidP="00994F64">
      <w:pPr>
        <w:pStyle w:val="BodyText"/>
        <w:spacing w:before="20" w:after="60"/>
        <w:ind w:left="964"/>
      </w:pPr>
      <w:r w:rsidRPr="00261B7A">
        <w:t>EF</w:t>
      </w:r>
      <w:r w:rsidRPr="00261B7A">
        <w:rPr>
          <w:vertAlign w:val="subscript"/>
        </w:rPr>
        <w:t>4</w:t>
      </w:r>
      <w:r w:rsidRPr="00261B7A">
        <w:t xml:space="preserve"> is the emission factor for N</w:t>
      </w:r>
      <w:r w:rsidRPr="00261B7A">
        <w:rPr>
          <w:vertAlign w:val="subscript"/>
        </w:rPr>
        <w:t>2</w:t>
      </w:r>
      <w:r w:rsidRPr="00261B7A">
        <w:t>O emissions from volatilisation; the IPCC (2006) default value of 0.01 kg N</w:t>
      </w:r>
      <w:r w:rsidRPr="00261B7A">
        <w:rPr>
          <w:vertAlign w:val="subscript"/>
        </w:rPr>
        <w:t>2</w:t>
      </w:r>
      <w:r w:rsidRPr="00261B7A">
        <w:t>O-N/(kg NH</w:t>
      </w:r>
      <w:r w:rsidRPr="00261B7A">
        <w:rPr>
          <w:vertAlign w:val="subscript"/>
        </w:rPr>
        <w:t>3</w:t>
      </w:r>
      <w:r w:rsidRPr="00261B7A">
        <w:t>-N + NO</w:t>
      </w:r>
      <w:r w:rsidRPr="00261B7A">
        <w:rPr>
          <w:vertAlign w:val="subscript"/>
        </w:rPr>
        <w:t>x</w:t>
      </w:r>
      <w:r w:rsidRPr="00261B7A">
        <w:t>-N volatilised) is used</w:t>
      </w:r>
    </w:p>
    <w:p w14:paraId="6CB7434C" w14:textId="77777777" w:rsidR="00994F64" w:rsidRPr="00261B7A" w:rsidRDefault="00994F64" w:rsidP="00994F64">
      <w:pPr>
        <w:pStyle w:val="BodyText"/>
        <w:spacing w:before="20" w:after="60"/>
        <w:ind w:left="964"/>
      </w:pPr>
      <w:r w:rsidRPr="00261B7A">
        <w:t>N</w:t>
      </w:r>
      <w:r w:rsidRPr="00261B7A">
        <w:rPr>
          <w:vertAlign w:val="subscript"/>
        </w:rPr>
        <w:t>T</w:t>
      </w:r>
      <w:r w:rsidRPr="00261B7A">
        <w:t xml:space="preserve"> is the number of livestock per category (head), detailed in section 5.1.4</w:t>
      </w:r>
    </w:p>
    <w:p w14:paraId="4D9DB198" w14:textId="77777777" w:rsidR="00994F64" w:rsidRPr="00261B7A" w:rsidRDefault="00994F64" w:rsidP="00994F64">
      <w:pPr>
        <w:pStyle w:val="BodyText"/>
        <w:spacing w:before="20" w:after="60"/>
        <w:ind w:left="964"/>
      </w:pPr>
      <w:r w:rsidRPr="00261B7A">
        <w:t>Nex</w:t>
      </w:r>
      <w:r w:rsidRPr="00261B7A">
        <w:rPr>
          <w:vertAlign w:val="subscript"/>
        </w:rPr>
        <w:t>T</w:t>
      </w:r>
      <w:r w:rsidRPr="00261B7A">
        <w:t xml:space="preserve"> is the average nitrogen excretion for each livestock category, T, detailed above</w:t>
      </w:r>
    </w:p>
    <w:p w14:paraId="35B2FF24" w14:textId="77777777" w:rsidR="00994F64" w:rsidRPr="00261B7A" w:rsidRDefault="00994F64" w:rsidP="00994F64">
      <w:pPr>
        <w:pStyle w:val="BodyText"/>
        <w:spacing w:before="20" w:after="60"/>
        <w:ind w:left="964"/>
      </w:pPr>
      <w:r w:rsidRPr="00261B7A">
        <w:t>MS</w:t>
      </w:r>
      <w:r w:rsidRPr="00261B7A">
        <w:rPr>
          <w:vertAlign w:val="subscript"/>
        </w:rPr>
        <w:t>T,S</w:t>
      </w:r>
      <w:r w:rsidRPr="00261B7A">
        <w:t xml:space="preserve"> is the fraction of total nitrogen excretion per livestock category, T, per manure management system, S, derived from table 5.3.2, and</w:t>
      </w:r>
    </w:p>
    <w:p w14:paraId="2EF2E9A3" w14:textId="77777777" w:rsidR="00994F64" w:rsidRPr="00261B7A" w:rsidRDefault="00994F64" w:rsidP="00994F64">
      <w:pPr>
        <w:pStyle w:val="BodyText"/>
        <w:spacing w:before="20"/>
        <w:ind w:left="964"/>
      </w:pPr>
      <w:r w:rsidRPr="00261B7A">
        <w:t>Frac</w:t>
      </w:r>
      <w:r w:rsidRPr="00261B7A">
        <w:rPr>
          <w:vertAlign w:val="subscript"/>
        </w:rPr>
        <w:t>GasMS</w:t>
      </w:r>
      <w:r w:rsidRPr="00261B7A">
        <w:t xml:space="preserve"> is the per cent of managed manure nitrogen for each livestock category, T, which volatilises as NH</w:t>
      </w:r>
      <w:r w:rsidRPr="00261B7A">
        <w:rPr>
          <w:vertAlign w:val="subscript"/>
        </w:rPr>
        <w:t>3</w:t>
      </w:r>
      <w:r w:rsidRPr="00261B7A">
        <w:t xml:space="preserve"> and NO</w:t>
      </w:r>
      <w:r w:rsidRPr="00261B7A">
        <w:rPr>
          <w:vertAlign w:val="subscript"/>
        </w:rPr>
        <w:t>x</w:t>
      </w:r>
      <w:r w:rsidRPr="00261B7A">
        <w:t xml:space="preserve"> per manure management system, S. New Zealand uses default values for Frac</w:t>
      </w:r>
      <w:r w:rsidRPr="00261B7A">
        <w:rPr>
          <w:vertAlign w:val="subscript"/>
        </w:rPr>
        <w:t>GasMS</w:t>
      </w:r>
      <w:r w:rsidRPr="00261B7A">
        <w:t xml:space="preserve"> detailed in table 5.3.5.</w:t>
      </w:r>
    </w:p>
    <w:p w14:paraId="37F9D8B9" w14:textId="4B4076D5" w:rsidR="00994F64" w:rsidRPr="00261B7A" w:rsidRDefault="00994F64" w:rsidP="00994F64">
      <w:pPr>
        <w:pStyle w:val="BodyText"/>
        <w:spacing w:before="100" w:after="100"/>
      </w:pPr>
      <w:r w:rsidRPr="00261B7A">
        <w:t>The IPCC (2006) Tier 1 guidelines do not provide a methodology for determining indirect N</w:t>
      </w:r>
      <w:r w:rsidRPr="00261B7A">
        <w:rPr>
          <w:vertAlign w:val="subscript"/>
        </w:rPr>
        <w:t>2</w:t>
      </w:r>
      <w:r w:rsidRPr="00261B7A">
        <w:t>O</w:t>
      </w:r>
      <w:r w:rsidR="00B0310D" w:rsidRPr="00261B7A">
        <w:t> </w:t>
      </w:r>
      <w:r w:rsidRPr="00261B7A">
        <w:t>emissions from leaching and runoff. There have been no country-specific emission factors</w:t>
      </w:r>
      <w:r w:rsidR="00B0310D" w:rsidRPr="00261B7A">
        <w:t> </w:t>
      </w:r>
      <w:r w:rsidRPr="00261B7A">
        <w:t>derived for leaching and runoff from manure management systems in New Zealand (e.g., Hill, 2012), and available data are usually extremely limited (IPCC, 2006). Leaching and runoff from dairy anaerobic lagoons is likely to be an insignificant activity in New Zealand (T Wilson, pers. comm., 2014). All indirect N</w:t>
      </w:r>
      <w:r w:rsidRPr="00261B7A">
        <w:rPr>
          <w:vertAlign w:val="subscript"/>
        </w:rPr>
        <w:t>2</w:t>
      </w:r>
      <w:r w:rsidRPr="00261B7A">
        <w:t xml:space="preserve">O emissions from leaching and runoff are reported in the </w:t>
      </w:r>
      <w:r w:rsidRPr="00261B7A">
        <w:rPr>
          <w:i/>
          <w:iCs/>
        </w:rPr>
        <w:t>Agricultural soils</w:t>
      </w:r>
      <w:r w:rsidRPr="00261B7A">
        <w:t> category.</w:t>
      </w:r>
    </w:p>
    <w:p w14:paraId="06FC0821" w14:textId="77777777" w:rsidR="00994F64" w:rsidRPr="00261B7A" w:rsidRDefault="00994F64" w:rsidP="00994F64">
      <w:pPr>
        <w:pStyle w:val="Table"/>
        <w:rPr>
          <w:rFonts w:cs="Calibri"/>
        </w:rPr>
      </w:pPr>
      <w:bookmarkStart w:id="904" w:name="_Toc441830877"/>
      <w:bookmarkStart w:id="905" w:name="_Toc451176091"/>
      <w:bookmarkStart w:id="906" w:name="_Toc481751519"/>
      <w:bookmarkStart w:id="907" w:name="_Toc507158607"/>
      <w:bookmarkStart w:id="908" w:name="_Toc511116741"/>
      <w:bookmarkStart w:id="909" w:name="_Toc5269481"/>
      <w:bookmarkStart w:id="910" w:name="_Toc32570924"/>
      <w:bookmarkStart w:id="911" w:name="_Toc36224559"/>
      <w:bookmarkStart w:id="912" w:name="_Toc68786444"/>
      <w:bookmarkStart w:id="913" w:name="_Toc95574078"/>
      <w:bookmarkStart w:id="914" w:name="_Toc127458263"/>
      <w:bookmarkStart w:id="915" w:name="_Toc131591359"/>
      <w:r w:rsidRPr="00261B7A">
        <w:rPr>
          <w:rFonts w:cs="Calibri"/>
        </w:rPr>
        <w:t>Table 5.3.5</w:t>
      </w:r>
      <w:r w:rsidRPr="00261B7A">
        <w:rPr>
          <w:rFonts w:cs="Calibri"/>
        </w:rPr>
        <w:tab/>
        <w:t>IPCC default values for the fraction of managed manure nitrogen that volatilises as ammonia and oxides of nitrogen (Frac</w:t>
      </w:r>
      <w:r w:rsidRPr="00261B7A">
        <w:rPr>
          <w:rFonts w:cs="Calibri"/>
          <w:vertAlign w:val="subscript"/>
        </w:rPr>
        <w:t>GasMS</w:t>
      </w:r>
      <w:r w:rsidRPr="00261B7A">
        <w:rPr>
          <w:rFonts w:cs="Calibri"/>
        </w:rPr>
        <w:t>/100) for livestock categories per manure management system in New Zealand</w:t>
      </w:r>
      <w:bookmarkEnd w:id="904"/>
      <w:bookmarkEnd w:id="905"/>
      <w:bookmarkEnd w:id="906"/>
      <w:bookmarkEnd w:id="907"/>
      <w:bookmarkEnd w:id="908"/>
      <w:bookmarkEnd w:id="909"/>
      <w:bookmarkEnd w:id="910"/>
      <w:bookmarkEnd w:id="911"/>
      <w:bookmarkEnd w:id="912"/>
      <w:bookmarkEnd w:id="913"/>
      <w:bookmarkEnd w:id="914"/>
      <w:bookmarkEnd w:id="915"/>
    </w:p>
    <w:tbl>
      <w:tblPr>
        <w:tblW w:w="850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41"/>
        <w:gridCol w:w="3648"/>
        <w:gridCol w:w="1916"/>
      </w:tblGrid>
      <w:tr w:rsidR="00994F64" w:rsidRPr="00261B7A" w14:paraId="418A581B" w14:textId="77777777" w:rsidTr="00501B0F">
        <w:trPr>
          <w:tblHeader/>
        </w:trPr>
        <w:tc>
          <w:tcPr>
            <w:tcW w:w="2745" w:type="dxa"/>
            <w:tcBorders>
              <w:top w:val="single" w:sz="4" w:space="0" w:color="1B556B" w:themeColor="text2"/>
              <w:left w:val="nil"/>
              <w:bottom w:val="single" w:sz="4" w:space="0" w:color="1B556B" w:themeColor="text2"/>
              <w:right w:val="nil"/>
            </w:tcBorders>
            <w:shd w:val="clear" w:color="auto" w:fill="1B556B"/>
            <w:vAlign w:val="bottom"/>
          </w:tcPr>
          <w:p w14:paraId="0DD08214" w14:textId="77777777" w:rsidR="00994F64" w:rsidRPr="00261B7A" w:rsidRDefault="00994F64" w:rsidP="002B0C5B">
            <w:pPr>
              <w:pStyle w:val="TableTextBold"/>
              <w:keepNext/>
              <w:spacing w:before="30" w:after="30"/>
              <w:rPr>
                <w:noProof w:val="0"/>
                <w:color w:val="FFFFFF" w:themeColor="background1"/>
              </w:rPr>
            </w:pPr>
            <w:r w:rsidRPr="00261B7A">
              <w:rPr>
                <w:noProof w:val="0"/>
                <w:color w:val="FFFFFF" w:themeColor="background1"/>
              </w:rPr>
              <w:t>Manure management system</w:t>
            </w:r>
          </w:p>
        </w:tc>
        <w:tc>
          <w:tcPr>
            <w:tcW w:w="3405" w:type="dxa"/>
            <w:tcBorders>
              <w:top w:val="single" w:sz="4" w:space="0" w:color="1B556B" w:themeColor="text2"/>
              <w:left w:val="nil"/>
              <w:bottom w:val="single" w:sz="4" w:space="0" w:color="1B556B" w:themeColor="text2"/>
              <w:right w:val="nil"/>
            </w:tcBorders>
            <w:shd w:val="clear" w:color="auto" w:fill="1B556B"/>
            <w:vAlign w:val="bottom"/>
          </w:tcPr>
          <w:p w14:paraId="131AF390" w14:textId="77777777" w:rsidR="00994F64" w:rsidRPr="00261B7A" w:rsidRDefault="00994F64" w:rsidP="002B0C5B">
            <w:pPr>
              <w:pStyle w:val="TableTextBold"/>
              <w:keepNext/>
              <w:spacing w:before="30" w:after="30"/>
              <w:rPr>
                <w:noProof w:val="0"/>
                <w:color w:val="FFFFFF" w:themeColor="background1"/>
              </w:rPr>
            </w:pPr>
            <w:r w:rsidRPr="00261B7A">
              <w:rPr>
                <w:noProof w:val="0"/>
                <w:color w:val="FFFFFF" w:themeColor="background1"/>
              </w:rPr>
              <w:t>Livestock category</w:t>
            </w:r>
          </w:p>
        </w:tc>
        <w:tc>
          <w:tcPr>
            <w:tcW w:w="1788" w:type="dxa"/>
            <w:tcBorders>
              <w:top w:val="single" w:sz="4" w:space="0" w:color="1B556B" w:themeColor="text2"/>
              <w:left w:val="nil"/>
              <w:bottom w:val="single" w:sz="4" w:space="0" w:color="1B556B" w:themeColor="text2"/>
              <w:right w:val="nil"/>
            </w:tcBorders>
            <w:shd w:val="clear" w:color="auto" w:fill="1B556B"/>
          </w:tcPr>
          <w:p w14:paraId="0BFE9AEE" w14:textId="77777777" w:rsidR="00994F64" w:rsidRPr="00261B7A" w:rsidRDefault="00994F64" w:rsidP="002B0C5B">
            <w:pPr>
              <w:pStyle w:val="TableTextBold"/>
              <w:keepNext/>
              <w:spacing w:before="30" w:after="30"/>
              <w:jc w:val="center"/>
              <w:rPr>
                <w:noProof w:val="0"/>
                <w:color w:val="FFFFFF" w:themeColor="background1"/>
              </w:rPr>
            </w:pPr>
            <w:r w:rsidRPr="00261B7A">
              <w:rPr>
                <w:noProof w:val="0"/>
                <w:color w:val="FFFFFF" w:themeColor="background1"/>
              </w:rPr>
              <w:t>Value</w:t>
            </w:r>
          </w:p>
        </w:tc>
      </w:tr>
      <w:tr w:rsidR="00994F64" w:rsidRPr="00261B7A" w14:paraId="10EA949A" w14:textId="77777777" w:rsidTr="00501B0F">
        <w:tc>
          <w:tcPr>
            <w:tcW w:w="2745" w:type="dxa"/>
            <w:vMerge w:val="restart"/>
            <w:tcBorders>
              <w:top w:val="single" w:sz="4" w:space="0" w:color="1B556B" w:themeColor="text2"/>
              <w:left w:val="nil"/>
              <w:right w:val="nil"/>
            </w:tcBorders>
            <w:vAlign w:val="center"/>
          </w:tcPr>
          <w:p w14:paraId="7362CDC3" w14:textId="77777777" w:rsidR="00994F64" w:rsidRPr="00261B7A" w:rsidRDefault="00994F64" w:rsidP="000F55D6">
            <w:pPr>
              <w:pStyle w:val="TableText"/>
              <w:spacing w:before="40" w:after="40"/>
              <w:rPr>
                <w:rFonts w:cs="Calibri"/>
              </w:rPr>
            </w:pPr>
            <w:r w:rsidRPr="00261B7A">
              <w:rPr>
                <w:rFonts w:cs="Calibri"/>
              </w:rPr>
              <w:t>Anaerobic lagoons</w:t>
            </w:r>
          </w:p>
        </w:tc>
        <w:tc>
          <w:tcPr>
            <w:tcW w:w="3405" w:type="dxa"/>
            <w:tcBorders>
              <w:top w:val="single" w:sz="4" w:space="0" w:color="1B556B" w:themeColor="text2"/>
              <w:left w:val="nil"/>
              <w:bottom w:val="single" w:sz="4" w:space="0" w:color="365F91"/>
              <w:right w:val="nil"/>
            </w:tcBorders>
          </w:tcPr>
          <w:p w14:paraId="307C9665" w14:textId="77777777" w:rsidR="00994F64" w:rsidRPr="00261B7A" w:rsidRDefault="00994F64" w:rsidP="000F55D6">
            <w:pPr>
              <w:pStyle w:val="TableText"/>
              <w:spacing w:before="40" w:after="40"/>
              <w:rPr>
                <w:rFonts w:cs="Calibri"/>
              </w:rPr>
            </w:pPr>
            <w:r w:rsidRPr="00261B7A">
              <w:rPr>
                <w:rFonts w:cs="Calibri"/>
              </w:rPr>
              <w:t>Dairy</w:t>
            </w:r>
          </w:p>
        </w:tc>
        <w:tc>
          <w:tcPr>
            <w:tcW w:w="1788" w:type="dxa"/>
            <w:tcBorders>
              <w:top w:val="single" w:sz="4" w:space="0" w:color="1B556B" w:themeColor="text2"/>
              <w:left w:val="nil"/>
              <w:bottom w:val="single" w:sz="4" w:space="0" w:color="365F91"/>
              <w:right w:val="nil"/>
            </w:tcBorders>
          </w:tcPr>
          <w:p w14:paraId="36A2718A" w14:textId="77777777" w:rsidR="00994F64" w:rsidRPr="00261B7A" w:rsidRDefault="00994F64" w:rsidP="000F55D6">
            <w:pPr>
              <w:pStyle w:val="TableText"/>
              <w:tabs>
                <w:tab w:val="decimal" w:pos="283"/>
              </w:tabs>
              <w:spacing w:before="40" w:after="40"/>
              <w:jc w:val="center"/>
              <w:rPr>
                <w:rFonts w:cs="Calibri"/>
              </w:rPr>
            </w:pPr>
            <w:r w:rsidRPr="00261B7A">
              <w:rPr>
                <w:rFonts w:cs="Calibri"/>
              </w:rPr>
              <w:t>0.35</w:t>
            </w:r>
          </w:p>
        </w:tc>
      </w:tr>
      <w:tr w:rsidR="00994F64" w:rsidRPr="00261B7A" w14:paraId="2443E824" w14:textId="77777777" w:rsidTr="00501B0F">
        <w:tc>
          <w:tcPr>
            <w:tcW w:w="2745" w:type="dxa"/>
            <w:vMerge/>
            <w:tcBorders>
              <w:left w:val="nil"/>
              <w:bottom w:val="single" w:sz="4" w:space="0" w:color="365F91"/>
              <w:right w:val="nil"/>
            </w:tcBorders>
          </w:tcPr>
          <w:p w14:paraId="125386C7" w14:textId="77777777" w:rsidR="00994F64" w:rsidRPr="00261B7A" w:rsidRDefault="00994F64" w:rsidP="000F55D6">
            <w:pPr>
              <w:pStyle w:val="TableText"/>
              <w:spacing w:before="40" w:after="40"/>
              <w:rPr>
                <w:rFonts w:cs="Calibri"/>
              </w:rPr>
            </w:pPr>
          </w:p>
        </w:tc>
        <w:tc>
          <w:tcPr>
            <w:tcW w:w="3405" w:type="dxa"/>
            <w:tcBorders>
              <w:top w:val="single" w:sz="4" w:space="0" w:color="365F91"/>
              <w:left w:val="nil"/>
              <w:bottom w:val="single" w:sz="4" w:space="0" w:color="365F91"/>
              <w:right w:val="nil"/>
            </w:tcBorders>
          </w:tcPr>
          <w:p w14:paraId="296647ED" w14:textId="77777777" w:rsidR="00994F64" w:rsidRPr="00261B7A" w:rsidRDefault="00994F64" w:rsidP="000F55D6">
            <w:pPr>
              <w:pStyle w:val="TableText"/>
              <w:spacing w:before="40" w:after="40"/>
              <w:rPr>
                <w:rFonts w:cs="Calibri"/>
              </w:rPr>
            </w:pPr>
            <w:r w:rsidRPr="00261B7A">
              <w:rPr>
                <w:rFonts w:cs="Calibri"/>
              </w:rPr>
              <w:t>Swine</w:t>
            </w:r>
          </w:p>
        </w:tc>
        <w:tc>
          <w:tcPr>
            <w:tcW w:w="1788" w:type="dxa"/>
            <w:tcBorders>
              <w:top w:val="single" w:sz="4" w:space="0" w:color="365F91"/>
              <w:left w:val="nil"/>
              <w:bottom w:val="single" w:sz="4" w:space="0" w:color="365F91"/>
              <w:right w:val="nil"/>
            </w:tcBorders>
          </w:tcPr>
          <w:p w14:paraId="53E21B73" w14:textId="77777777" w:rsidR="00994F64" w:rsidRPr="00261B7A" w:rsidRDefault="00994F64" w:rsidP="000F55D6">
            <w:pPr>
              <w:pStyle w:val="TableText"/>
              <w:tabs>
                <w:tab w:val="decimal" w:pos="283"/>
              </w:tabs>
              <w:spacing w:before="40" w:after="40"/>
              <w:jc w:val="center"/>
              <w:rPr>
                <w:rFonts w:cs="Calibri"/>
              </w:rPr>
            </w:pPr>
            <w:r w:rsidRPr="00261B7A">
              <w:rPr>
                <w:rFonts w:cs="Calibri"/>
              </w:rPr>
              <w:t>0.40</w:t>
            </w:r>
          </w:p>
        </w:tc>
      </w:tr>
      <w:tr w:rsidR="00994F64" w:rsidRPr="00261B7A" w14:paraId="77051008" w14:textId="77777777" w:rsidTr="00501B0F">
        <w:tc>
          <w:tcPr>
            <w:tcW w:w="2745" w:type="dxa"/>
            <w:tcBorders>
              <w:top w:val="single" w:sz="4" w:space="0" w:color="365F91"/>
              <w:left w:val="nil"/>
              <w:bottom w:val="single" w:sz="4" w:space="0" w:color="365F91"/>
              <w:right w:val="nil"/>
            </w:tcBorders>
          </w:tcPr>
          <w:p w14:paraId="5C2D6CFE" w14:textId="77777777" w:rsidR="00994F64" w:rsidRPr="00261B7A" w:rsidRDefault="00994F64" w:rsidP="000F55D6">
            <w:pPr>
              <w:pStyle w:val="TableText"/>
              <w:spacing w:before="40" w:after="40"/>
              <w:rPr>
                <w:rFonts w:cs="Calibri"/>
              </w:rPr>
            </w:pPr>
            <w:r w:rsidRPr="00261B7A">
              <w:rPr>
                <w:rFonts w:cs="Calibri"/>
              </w:rPr>
              <w:t>Daily spread</w:t>
            </w:r>
          </w:p>
        </w:tc>
        <w:tc>
          <w:tcPr>
            <w:tcW w:w="3405" w:type="dxa"/>
            <w:tcBorders>
              <w:top w:val="single" w:sz="4" w:space="0" w:color="365F91"/>
              <w:left w:val="nil"/>
              <w:bottom w:val="single" w:sz="4" w:space="0" w:color="365F91"/>
              <w:right w:val="nil"/>
            </w:tcBorders>
          </w:tcPr>
          <w:p w14:paraId="55BB23CA" w14:textId="77777777" w:rsidR="00994F64" w:rsidRPr="00261B7A" w:rsidRDefault="00994F64" w:rsidP="000F55D6">
            <w:pPr>
              <w:pStyle w:val="TableText"/>
              <w:spacing w:before="40" w:after="40"/>
              <w:rPr>
                <w:rFonts w:cs="Calibri"/>
              </w:rPr>
            </w:pPr>
            <w:r w:rsidRPr="00261B7A">
              <w:rPr>
                <w:rFonts w:cs="Calibri"/>
              </w:rPr>
              <w:t>Swine (Hill, 2012)</w:t>
            </w:r>
          </w:p>
        </w:tc>
        <w:tc>
          <w:tcPr>
            <w:tcW w:w="1788" w:type="dxa"/>
            <w:tcBorders>
              <w:top w:val="single" w:sz="4" w:space="0" w:color="365F91"/>
              <w:left w:val="nil"/>
              <w:bottom w:val="single" w:sz="4" w:space="0" w:color="365F91"/>
              <w:right w:val="nil"/>
            </w:tcBorders>
          </w:tcPr>
          <w:p w14:paraId="0758DC38" w14:textId="77777777" w:rsidR="00994F64" w:rsidRPr="00261B7A" w:rsidRDefault="00994F64" w:rsidP="000F55D6">
            <w:pPr>
              <w:pStyle w:val="TableText"/>
              <w:tabs>
                <w:tab w:val="decimal" w:pos="283"/>
              </w:tabs>
              <w:spacing w:before="40" w:after="40"/>
              <w:jc w:val="center"/>
              <w:rPr>
                <w:rFonts w:cs="Calibri"/>
              </w:rPr>
            </w:pPr>
            <w:r w:rsidRPr="00261B7A">
              <w:rPr>
                <w:rFonts w:cs="Calibri"/>
              </w:rPr>
              <w:t>0.07</w:t>
            </w:r>
          </w:p>
        </w:tc>
      </w:tr>
      <w:tr w:rsidR="00994F64" w:rsidRPr="00261B7A" w14:paraId="09E5762F" w14:textId="77777777" w:rsidTr="00501B0F">
        <w:tc>
          <w:tcPr>
            <w:tcW w:w="2745" w:type="dxa"/>
            <w:tcBorders>
              <w:top w:val="single" w:sz="4" w:space="0" w:color="365F91"/>
              <w:left w:val="nil"/>
              <w:bottom w:val="single" w:sz="4" w:space="0" w:color="365F91"/>
              <w:right w:val="nil"/>
            </w:tcBorders>
          </w:tcPr>
          <w:p w14:paraId="1844EBE2" w14:textId="77777777" w:rsidR="00994F64" w:rsidRPr="00261B7A" w:rsidRDefault="00994F64" w:rsidP="000F55D6">
            <w:pPr>
              <w:pStyle w:val="TableText"/>
              <w:spacing w:before="40" w:after="40"/>
              <w:rPr>
                <w:rFonts w:cs="Calibri"/>
              </w:rPr>
            </w:pPr>
            <w:r w:rsidRPr="00261B7A">
              <w:rPr>
                <w:rFonts w:cs="Calibri"/>
              </w:rPr>
              <w:t>Solid storage and dry lot</w:t>
            </w:r>
          </w:p>
        </w:tc>
        <w:tc>
          <w:tcPr>
            <w:tcW w:w="3405" w:type="dxa"/>
            <w:tcBorders>
              <w:top w:val="single" w:sz="4" w:space="0" w:color="365F91"/>
              <w:left w:val="nil"/>
              <w:bottom w:val="single" w:sz="4" w:space="0" w:color="365F91"/>
              <w:right w:val="nil"/>
            </w:tcBorders>
          </w:tcPr>
          <w:p w14:paraId="271A0303" w14:textId="77777777" w:rsidR="00994F64" w:rsidRPr="00261B7A" w:rsidRDefault="00994F64" w:rsidP="000F55D6">
            <w:pPr>
              <w:pStyle w:val="TableText"/>
              <w:spacing w:before="40" w:after="40"/>
              <w:rPr>
                <w:rFonts w:cs="Calibri"/>
              </w:rPr>
            </w:pPr>
            <w:r w:rsidRPr="00261B7A">
              <w:rPr>
                <w:rFonts w:cs="Calibri"/>
              </w:rPr>
              <w:t>Swine</w:t>
            </w:r>
          </w:p>
        </w:tc>
        <w:tc>
          <w:tcPr>
            <w:tcW w:w="1788" w:type="dxa"/>
            <w:tcBorders>
              <w:top w:val="single" w:sz="4" w:space="0" w:color="365F91"/>
              <w:left w:val="nil"/>
              <w:bottom w:val="single" w:sz="4" w:space="0" w:color="365F91"/>
              <w:right w:val="nil"/>
            </w:tcBorders>
          </w:tcPr>
          <w:p w14:paraId="2BF24FA0" w14:textId="77777777" w:rsidR="00994F64" w:rsidRPr="00261B7A" w:rsidRDefault="00994F64" w:rsidP="000F55D6">
            <w:pPr>
              <w:pStyle w:val="TableText"/>
              <w:tabs>
                <w:tab w:val="decimal" w:pos="283"/>
              </w:tabs>
              <w:spacing w:before="40" w:after="40"/>
              <w:jc w:val="center"/>
              <w:rPr>
                <w:rFonts w:cs="Calibri"/>
              </w:rPr>
            </w:pPr>
            <w:r w:rsidRPr="00261B7A">
              <w:rPr>
                <w:rFonts w:cs="Calibri"/>
              </w:rPr>
              <w:t>0.30</w:t>
            </w:r>
          </w:p>
        </w:tc>
      </w:tr>
      <w:tr w:rsidR="00994F64" w:rsidRPr="00261B7A" w14:paraId="43A86CB2" w14:textId="77777777" w:rsidTr="00501B0F">
        <w:tc>
          <w:tcPr>
            <w:tcW w:w="2745" w:type="dxa"/>
            <w:vMerge w:val="restart"/>
            <w:tcBorders>
              <w:top w:val="single" w:sz="4" w:space="0" w:color="365F91"/>
              <w:left w:val="nil"/>
              <w:right w:val="nil"/>
            </w:tcBorders>
            <w:vAlign w:val="center"/>
          </w:tcPr>
          <w:p w14:paraId="42F3A05F" w14:textId="77777777" w:rsidR="00994F64" w:rsidRPr="00261B7A" w:rsidRDefault="00994F64" w:rsidP="000F55D6">
            <w:pPr>
              <w:pStyle w:val="TableText"/>
              <w:spacing w:before="40" w:after="40"/>
              <w:rPr>
                <w:rFonts w:cs="Calibri"/>
              </w:rPr>
            </w:pPr>
            <w:r w:rsidRPr="00261B7A">
              <w:rPr>
                <w:rFonts w:cs="Calibri"/>
              </w:rPr>
              <w:t>Other (deep bedding)</w:t>
            </w:r>
          </w:p>
        </w:tc>
        <w:tc>
          <w:tcPr>
            <w:tcW w:w="3405" w:type="dxa"/>
            <w:tcBorders>
              <w:top w:val="single" w:sz="4" w:space="0" w:color="365F91"/>
              <w:left w:val="nil"/>
              <w:bottom w:val="single" w:sz="4" w:space="0" w:color="365F91"/>
              <w:right w:val="nil"/>
            </w:tcBorders>
          </w:tcPr>
          <w:p w14:paraId="175C384D" w14:textId="77777777" w:rsidR="00994F64" w:rsidRPr="00261B7A" w:rsidRDefault="00994F64" w:rsidP="000F55D6">
            <w:pPr>
              <w:pStyle w:val="TableText"/>
              <w:spacing w:before="40" w:after="40"/>
              <w:rPr>
                <w:rFonts w:cs="Calibri"/>
              </w:rPr>
            </w:pPr>
            <w:r w:rsidRPr="00261B7A">
              <w:rPr>
                <w:rFonts w:cs="Calibri"/>
              </w:rPr>
              <w:t>Swine</w:t>
            </w:r>
          </w:p>
        </w:tc>
        <w:tc>
          <w:tcPr>
            <w:tcW w:w="1788" w:type="dxa"/>
            <w:tcBorders>
              <w:top w:val="single" w:sz="4" w:space="0" w:color="365F91"/>
              <w:left w:val="nil"/>
              <w:bottom w:val="single" w:sz="4" w:space="0" w:color="365F91"/>
              <w:right w:val="nil"/>
            </w:tcBorders>
          </w:tcPr>
          <w:p w14:paraId="47E8A901" w14:textId="77777777" w:rsidR="00994F64" w:rsidRPr="00261B7A" w:rsidRDefault="00994F64" w:rsidP="000F55D6">
            <w:pPr>
              <w:pStyle w:val="TableText"/>
              <w:tabs>
                <w:tab w:val="decimal" w:pos="283"/>
              </w:tabs>
              <w:spacing w:before="40" w:after="40"/>
              <w:jc w:val="center"/>
              <w:rPr>
                <w:rFonts w:cs="Calibri"/>
              </w:rPr>
            </w:pPr>
            <w:r w:rsidRPr="00261B7A">
              <w:rPr>
                <w:rFonts w:cs="Calibri"/>
              </w:rPr>
              <w:t>0.25</w:t>
            </w:r>
          </w:p>
        </w:tc>
      </w:tr>
      <w:tr w:rsidR="00994F64" w:rsidRPr="00261B7A" w14:paraId="54DAFB0D" w14:textId="77777777" w:rsidTr="00501B0F">
        <w:tc>
          <w:tcPr>
            <w:tcW w:w="2745" w:type="dxa"/>
            <w:vMerge/>
            <w:tcBorders>
              <w:left w:val="nil"/>
              <w:right w:val="nil"/>
            </w:tcBorders>
          </w:tcPr>
          <w:p w14:paraId="2F5EC0A2" w14:textId="77777777" w:rsidR="00994F64" w:rsidRPr="00261B7A" w:rsidRDefault="00994F64" w:rsidP="000F55D6">
            <w:pPr>
              <w:pStyle w:val="TableText"/>
              <w:spacing w:before="40" w:after="40"/>
              <w:rPr>
                <w:rFonts w:cs="Calibri"/>
              </w:rPr>
            </w:pPr>
          </w:p>
        </w:tc>
        <w:tc>
          <w:tcPr>
            <w:tcW w:w="3405" w:type="dxa"/>
            <w:tcBorders>
              <w:top w:val="single" w:sz="4" w:space="0" w:color="365F91"/>
              <w:left w:val="nil"/>
              <w:bottom w:val="single" w:sz="4" w:space="0" w:color="365F91"/>
              <w:right w:val="nil"/>
            </w:tcBorders>
          </w:tcPr>
          <w:p w14:paraId="6110C3C4" w14:textId="77777777" w:rsidR="00994F64" w:rsidRPr="00261B7A" w:rsidRDefault="00994F64" w:rsidP="000F55D6">
            <w:pPr>
              <w:pStyle w:val="TableText"/>
              <w:spacing w:before="40" w:after="40"/>
              <w:rPr>
                <w:rFonts w:cs="Calibri"/>
              </w:rPr>
            </w:pPr>
            <w:r w:rsidRPr="00261B7A">
              <w:rPr>
                <w:rFonts w:cs="Calibri"/>
              </w:rPr>
              <w:t>Poultry – broilers</w:t>
            </w:r>
          </w:p>
        </w:tc>
        <w:tc>
          <w:tcPr>
            <w:tcW w:w="1788" w:type="dxa"/>
            <w:tcBorders>
              <w:top w:val="single" w:sz="4" w:space="0" w:color="365F91"/>
              <w:left w:val="nil"/>
              <w:bottom w:val="single" w:sz="4" w:space="0" w:color="365F91"/>
              <w:right w:val="nil"/>
            </w:tcBorders>
          </w:tcPr>
          <w:p w14:paraId="5B3329E4" w14:textId="77777777" w:rsidR="00994F64" w:rsidRPr="00261B7A" w:rsidRDefault="00994F64" w:rsidP="000F55D6">
            <w:pPr>
              <w:pStyle w:val="TableText"/>
              <w:tabs>
                <w:tab w:val="decimal" w:pos="283"/>
              </w:tabs>
              <w:spacing w:before="40" w:after="40"/>
              <w:jc w:val="center"/>
              <w:rPr>
                <w:rFonts w:cs="Calibri"/>
              </w:rPr>
            </w:pPr>
            <w:r w:rsidRPr="00261B7A">
              <w:rPr>
                <w:rFonts w:cs="Calibri"/>
              </w:rPr>
              <w:t>0.25</w:t>
            </w:r>
          </w:p>
        </w:tc>
      </w:tr>
      <w:tr w:rsidR="00994F64" w:rsidRPr="00261B7A" w14:paraId="0FB6EDC9" w14:textId="77777777" w:rsidTr="00501B0F">
        <w:tc>
          <w:tcPr>
            <w:tcW w:w="2745" w:type="dxa"/>
            <w:vMerge/>
            <w:tcBorders>
              <w:left w:val="nil"/>
              <w:right w:val="nil"/>
            </w:tcBorders>
          </w:tcPr>
          <w:p w14:paraId="6FDDF8C9" w14:textId="77777777" w:rsidR="00994F64" w:rsidRPr="00261B7A" w:rsidRDefault="00994F64" w:rsidP="000F55D6">
            <w:pPr>
              <w:pStyle w:val="TableText"/>
              <w:spacing w:before="40" w:after="40"/>
              <w:rPr>
                <w:rFonts w:cs="Calibri"/>
              </w:rPr>
            </w:pPr>
          </w:p>
        </w:tc>
        <w:tc>
          <w:tcPr>
            <w:tcW w:w="3405" w:type="dxa"/>
            <w:tcBorders>
              <w:top w:val="single" w:sz="4" w:space="0" w:color="365F91"/>
              <w:left w:val="nil"/>
              <w:bottom w:val="single" w:sz="4" w:space="0" w:color="365F91"/>
              <w:right w:val="nil"/>
            </w:tcBorders>
          </w:tcPr>
          <w:p w14:paraId="319E39C5" w14:textId="77777777" w:rsidR="00994F64" w:rsidRPr="00261B7A" w:rsidRDefault="00994F64" w:rsidP="000F55D6">
            <w:pPr>
              <w:pStyle w:val="TableText"/>
              <w:spacing w:before="40" w:after="40"/>
              <w:rPr>
                <w:rFonts w:cs="Calibri"/>
              </w:rPr>
            </w:pPr>
            <w:r w:rsidRPr="00261B7A">
              <w:rPr>
                <w:rFonts w:cs="Calibri"/>
              </w:rPr>
              <w:t xml:space="preserve">Poultry – layers </w:t>
            </w:r>
          </w:p>
        </w:tc>
        <w:tc>
          <w:tcPr>
            <w:tcW w:w="1788" w:type="dxa"/>
            <w:tcBorders>
              <w:top w:val="single" w:sz="4" w:space="0" w:color="365F91"/>
              <w:left w:val="nil"/>
              <w:bottom w:val="single" w:sz="4" w:space="0" w:color="365F91"/>
              <w:right w:val="nil"/>
            </w:tcBorders>
          </w:tcPr>
          <w:p w14:paraId="1E1B130F" w14:textId="77777777" w:rsidR="00994F64" w:rsidRPr="00261B7A" w:rsidRDefault="00994F64" w:rsidP="000F55D6">
            <w:pPr>
              <w:pStyle w:val="TableText"/>
              <w:tabs>
                <w:tab w:val="decimal" w:pos="283"/>
              </w:tabs>
              <w:spacing w:before="40" w:after="40"/>
              <w:jc w:val="center"/>
              <w:rPr>
                <w:rFonts w:cs="Calibri"/>
              </w:rPr>
            </w:pPr>
            <w:r w:rsidRPr="00261B7A">
              <w:rPr>
                <w:rFonts w:cs="Calibri"/>
              </w:rPr>
              <w:t>0.25</w:t>
            </w:r>
          </w:p>
        </w:tc>
      </w:tr>
      <w:tr w:rsidR="00994F64" w:rsidRPr="00261B7A" w14:paraId="4EEF44B6" w14:textId="77777777" w:rsidTr="00501B0F">
        <w:tc>
          <w:tcPr>
            <w:tcW w:w="2745" w:type="dxa"/>
            <w:vMerge/>
            <w:tcBorders>
              <w:left w:val="nil"/>
              <w:bottom w:val="single" w:sz="4" w:space="0" w:color="365F91"/>
              <w:right w:val="nil"/>
            </w:tcBorders>
          </w:tcPr>
          <w:p w14:paraId="77CCE87F" w14:textId="77777777" w:rsidR="00994F64" w:rsidRPr="00261B7A" w:rsidRDefault="00994F64" w:rsidP="000F55D6">
            <w:pPr>
              <w:pStyle w:val="TableText"/>
              <w:spacing w:before="40" w:after="40"/>
              <w:rPr>
                <w:rFonts w:cs="Calibri"/>
              </w:rPr>
            </w:pPr>
          </w:p>
        </w:tc>
        <w:tc>
          <w:tcPr>
            <w:tcW w:w="3405" w:type="dxa"/>
            <w:tcBorders>
              <w:top w:val="single" w:sz="4" w:space="0" w:color="365F91"/>
              <w:left w:val="nil"/>
              <w:bottom w:val="single" w:sz="4" w:space="0" w:color="365F91"/>
              <w:right w:val="nil"/>
            </w:tcBorders>
          </w:tcPr>
          <w:p w14:paraId="0B003DFC" w14:textId="77777777" w:rsidR="00994F64" w:rsidRPr="00261B7A" w:rsidRDefault="00994F64" w:rsidP="000F55D6">
            <w:pPr>
              <w:pStyle w:val="TableText"/>
              <w:spacing w:before="40" w:after="40"/>
              <w:rPr>
                <w:rFonts w:cs="Calibri"/>
              </w:rPr>
            </w:pPr>
            <w:r w:rsidRPr="00261B7A">
              <w:rPr>
                <w:rFonts w:cs="Calibri"/>
              </w:rPr>
              <w:t xml:space="preserve">Poultry – other </w:t>
            </w:r>
          </w:p>
        </w:tc>
        <w:tc>
          <w:tcPr>
            <w:tcW w:w="1788" w:type="dxa"/>
            <w:tcBorders>
              <w:top w:val="single" w:sz="4" w:space="0" w:color="365F91"/>
              <w:left w:val="nil"/>
              <w:bottom w:val="single" w:sz="4" w:space="0" w:color="365F91"/>
              <w:right w:val="nil"/>
            </w:tcBorders>
          </w:tcPr>
          <w:p w14:paraId="2356AB1D" w14:textId="77777777" w:rsidR="00994F64" w:rsidRPr="00261B7A" w:rsidRDefault="00994F64" w:rsidP="000F55D6">
            <w:pPr>
              <w:pStyle w:val="TableText"/>
              <w:tabs>
                <w:tab w:val="decimal" w:pos="283"/>
              </w:tabs>
              <w:spacing w:before="40" w:after="40"/>
              <w:jc w:val="center"/>
              <w:rPr>
                <w:rFonts w:cs="Calibri"/>
              </w:rPr>
            </w:pPr>
            <w:r w:rsidRPr="00261B7A">
              <w:rPr>
                <w:rFonts w:cs="Calibri"/>
              </w:rPr>
              <w:t>0.25</w:t>
            </w:r>
          </w:p>
        </w:tc>
      </w:tr>
    </w:tbl>
    <w:p w14:paraId="4C2BD767" w14:textId="77777777" w:rsidR="00994F64" w:rsidRPr="00261B7A" w:rsidRDefault="00994F64" w:rsidP="000F55D6">
      <w:pPr>
        <w:pStyle w:val="Source"/>
        <w:spacing w:after="120"/>
        <w:rPr>
          <w:rFonts w:cs="Calibri"/>
          <w:sz w:val="18"/>
          <w:szCs w:val="24"/>
        </w:rPr>
      </w:pPr>
      <w:r w:rsidRPr="00261B7A">
        <w:rPr>
          <w:rFonts w:cs="Calibri"/>
          <w:b/>
          <w:bCs/>
          <w:sz w:val="18"/>
          <w:szCs w:val="24"/>
        </w:rPr>
        <w:t xml:space="preserve">Source: </w:t>
      </w:r>
      <w:r w:rsidRPr="00261B7A">
        <w:rPr>
          <w:rFonts w:cs="Calibri"/>
          <w:b/>
          <w:sz w:val="18"/>
          <w:szCs w:val="24"/>
        </w:rPr>
        <w:tab/>
      </w:r>
      <w:r w:rsidRPr="00261B7A">
        <w:rPr>
          <w:rFonts w:cs="Calibri"/>
          <w:sz w:val="18"/>
          <w:szCs w:val="24"/>
        </w:rPr>
        <w:t>IPCC (2006) table 10.22 and Hill (2012)</w:t>
      </w:r>
    </w:p>
    <w:p w14:paraId="48F369BA" w14:textId="77777777" w:rsidR="00994F64" w:rsidRPr="00261B7A" w:rsidRDefault="00994F64" w:rsidP="00994F64">
      <w:pPr>
        <w:pStyle w:val="Heading3"/>
      </w:pPr>
      <w:bookmarkStart w:id="916" w:name="_Toc32570660"/>
      <w:r w:rsidRPr="00261B7A">
        <w:t>5.3.3</w:t>
      </w:r>
      <w:r w:rsidRPr="00261B7A">
        <w:tab/>
        <w:t>Uncertainties and time-series consistency</w:t>
      </w:r>
      <w:bookmarkEnd w:id="916"/>
    </w:p>
    <w:p w14:paraId="3D2BE035" w14:textId="77777777" w:rsidR="00994F64" w:rsidRPr="00261B7A" w:rsidRDefault="00994F64" w:rsidP="00994F64">
      <w:pPr>
        <w:pStyle w:val="BodyText"/>
        <w:rPr>
          <w:rFonts w:cs="Calibri"/>
        </w:rPr>
      </w:pPr>
      <w:r w:rsidRPr="00261B7A">
        <w:rPr>
          <w:rFonts w:cs="Calibri"/>
        </w:rPr>
        <w:t>To ensure consistency, a single enhanced livestock population characterisation and feed-intake estimate is produced by the Tier 2 model for the major livestock categories. It is used in different parts of the calculations for the inventory to estimate CH</w:t>
      </w:r>
      <w:r w:rsidRPr="00261B7A">
        <w:rPr>
          <w:rFonts w:cs="Calibri"/>
          <w:vertAlign w:val="subscript"/>
        </w:rPr>
        <w:t>4</w:t>
      </w:r>
      <w:r w:rsidRPr="00261B7A">
        <w:rPr>
          <w:rFonts w:cs="Calibri"/>
        </w:rPr>
        <w:t xml:space="preserve"> emissions for the </w:t>
      </w:r>
      <w:r w:rsidRPr="00261B7A">
        <w:rPr>
          <w:rFonts w:cs="Calibri"/>
          <w:i/>
          <w:iCs/>
        </w:rPr>
        <w:t>Enteric fermentation</w:t>
      </w:r>
      <w:r w:rsidRPr="00261B7A">
        <w:rPr>
          <w:rFonts w:cs="Calibri"/>
        </w:rPr>
        <w:t xml:space="preserve"> category, CH</w:t>
      </w:r>
      <w:r w:rsidRPr="00261B7A">
        <w:rPr>
          <w:rFonts w:cs="Calibri"/>
          <w:vertAlign w:val="subscript"/>
        </w:rPr>
        <w:t>4</w:t>
      </w:r>
      <w:r w:rsidRPr="00261B7A">
        <w:rPr>
          <w:rFonts w:cs="Calibri"/>
        </w:rPr>
        <w:t xml:space="preserve"> and </w:t>
      </w:r>
      <w:r w:rsidRPr="00261B7A">
        <w:t>N</w:t>
      </w:r>
      <w:r w:rsidRPr="00261B7A">
        <w:rPr>
          <w:vertAlign w:val="subscript"/>
        </w:rPr>
        <w:t>2</w:t>
      </w:r>
      <w:r w:rsidRPr="00261B7A">
        <w:t xml:space="preserve">O </w:t>
      </w:r>
      <w:r w:rsidRPr="00261B7A">
        <w:rPr>
          <w:rFonts w:cs="Calibri"/>
        </w:rPr>
        <w:t xml:space="preserve">emissions for the </w:t>
      </w:r>
      <w:r w:rsidRPr="00261B7A">
        <w:rPr>
          <w:rFonts w:cs="Calibri"/>
          <w:i/>
          <w:iCs/>
        </w:rPr>
        <w:t>Manure management</w:t>
      </w:r>
      <w:r w:rsidRPr="00261B7A">
        <w:rPr>
          <w:rFonts w:cs="Calibri"/>
        </w:rPr>
        <w:t xml:space="preserve"> category and </w:t>
      </w:r>
      <w:r w:rsidRPr="00261B7A">
        <w:t>N</w:t>
      </w:r>
      <w:r w:rsidRPr="00261B7A">
        <w:rPr>
          <w:vertAlign w:val="subscript"/>
        </w:rPr>
        <w:t>2</w:t>
      </w:r>
      <w:r w:rsidRPr="00261B7A">
        <w:t>O</w:t>
      </w:r>
      <w:r w:rsidRPr="00261B7A">
        <w:rPr>
          <w:rFonts w:cs="Calibri"/>
        </w:rPr>
        <w:t xml:space="preserve"> emissions for the </w:t>
      </w:r>
      <w:r w:rsidRPr="00261B7A">
        <w:rPr>
          <w:rFonts w:cs="Calibri"/>
          <w:i/>
          <w:iCs/>
        </w:rPr>
        <w:t>Agricultural soils</w:t>
      </w:r>
      <w:r w:rsidRPr="00261B7A">
        <w:rPr>
          <w:rFonts w:cs="Calibri"/>
        </w:rPr>
        <w:t xml:space="preserve"> category.</w:t>
      </w:r>
    </w:p>
    <w:p w14:paraId="574530B6" w14:textId="77777777" w:rsidR="00994F64" w:rsidRPr="00261B7A" w:rsidRDefault="00994F64" w:rsidP="00994F64">
      <w:pPr>
        <w:pStyle w:val="Heading4"/>
      </w:pPr>
      <w:r w:rsidRPr="00261B7A">
        <w:t xml:space="preserve">Methane emissions </w:t>
      </w:r>
    </w:p>
    <w:p w14:paraId="146A9FB2" w14:textId="77777777" w:rsidR="00994F64" w:rsidRPr="00261B7A" w:rsidRDefault="00994F64" w:rsidP="00E20D61">
      <w:pPr>
        <w:pStyle w:val="BodyText"/>
        <w:keepLines/>
        <w:rPr>
          <w:rFonts w:cs="Calibri"/>
        </w:rPr>
      </w:pPr>
      <w:r w:rsidRPr="00261B7A">
        <w:rPr>
          <w:rFonts w:cs="Calibri"/>
        </w:rPr>
        <w:t>The major sources of uncertainty in CH</w:t>
      </w:r>
      <w:r w:rsidRPr="00261B7A">
        <w:rPr>
          <w:rFonts w:cs="Calibri"/>
          <w:vertAlign w:val="subscript"/>
        </w:rPr>
        <w:t>4</w:t>
      </w:r>
      <w:r w:rsidRPr="00261B7A">
        <w:rPr>
          <w:rFonts w:cs="Calibri"/>
        </w:rPr>
        <w:t xml:space="preserve"> emissions from </w:t>
      </w:r>
      <w:r w:rsidRPr="00261B7A">
        <w:rPr>
          <w:rFonts w:cs="Calibri"/>
          <w:i/>
          <w:iCs/>
        </w:rPr>
        <w:t>Manure management</w:t>
      </w:r>
      <w:r w:rsidRPr="00261B7A">
        <w:rPr>
          <w:rFonts w:cs="Calibri"/>
        </w:rPr>
        <w:t xml:space="preserve"> are the accuracy of emission factors for manure management system distribution, the activity data for the livestock population and the classification and use of the various manure management systems (IPCC, 2006). The ranges for measured emissions for the major livestock categories have been stated where available. </w:t>
      </w:r>
    </w:p>
    <w:p w14:paraId="597D2084" w14:textId="77777777" w:rsidR="00994F64" w:rsidRPr="00261B7A" w:rsidRDefault="00994F64" w:rsidP="00994F64">
      <w:pPr>
        <w:pStyle w:val="BodyText"/>
        <w:rPr>
          <w:rFonts w:cs="Calibri"/>
        </w:rPr>
      </w:pPr>
      <w:r w:rsidRPr="00261B7A">
        <w:rPr>
          <w:rFonts w:cs="Calibri"/>
        </w:rPr>
        <w:t xml:space="preserve">The IPCC (2006) states that emission factor estimates are likely to have uncertainties of ±30 per cent for Tier 1 methodologies and ±20 per cent for Tier 2 methodologies. New Zealand </w:t>
      </w:r>
      <w:r w:rsidRPr="00261B7A">
        <w:rPr>
          <w:rFonts w:cs="Calibri"/>
          <w:spacing w:val="-2"/>
        </w:rPr>
        <w:t>does not currently have country-specific uncertainty values for CH</w:t>
      </w:r>
      <w:r w:rsidRPr="00261B7A">
        <w:rPr>
          <w:rFonts w:cs="Calibri"/>
          <w:spacing w:val="-2"/>
          <w:vertAlign w:val="subscript"/>
        </w:rPr>
        <w:t>4</w:t>
      </w:r>
      <w:r w:rsidRPr="00261B7A">
        <w:rPr>
          <w:rFonts w:cs="Calibri"/>
          <w:spacing w:val="-2"/>
        </w:rPr>
        <w:t xml:space="preserve"> from </w:t>
      </w:r>
      <w:r w:rsidRPr="00261B7A">
        <w:rPr>
          <w:rFonts w:cs="Calibri"/>
          <w:i/>
          <w:iCs/>
          <w:spacing w:val="-2"/>
        </w:rPr>
        <w:t>Manure</w:t>
      </w:r>
      <w:r w:rsidRPr="00261B7A">
        <w:rPr>
          <w:i/>
          <w:spacing w:val="-2"/>
        </w:rPr>
        <w:t xml:space="preserve"> management</w:t>
      </w:r>
      <w:r w:rsidRPr="00261B7A">
        <w:rPr>
          <w:rFonts w:cs="Calibri"/>
          <w:spacing w:val="-2"/>
        </w:rPr>
        <w:t>.</w:t>
      </w:r>
      <w:r w:rsidRPr="00261B7A">
        <w:rPr>
          <w:rFonts w:cs="Calibri"/>
        </w:rPr>
        <w:t xml:space="preserve"> Because around 95 per cent of CH</w:t>
      </w:r>
      <w:r w:rsidRPr="00261B7A">
        <w:rPr>
          <w:rFonts w:cs="Calibri"/>
          <w:vertAlign w:val="subscript"/>
        </w:rPr>
        <w:t>4</w:t>
      </w:r>
      <w:r w:rsidRPr="00261B7A">
        <w:rPr>
          <w:rFonts w:cs="Calibri"/>
        </w:rPr>
        <w:t xml:space="preserve"> from </w:t>
      </w:r>
      <w:r w:rsidRPr="00261B7A">
        <w:rPr>
          <w:rFonts w:cs="Calibri"/>
          <w:i/>
          <w:iCs/>
        </w:rPr>
        <w:t>Manure management</w:t>
      </w:r>
      <w:r w:rsidRPr="00261B7A">
        <w:rPr>
          <w:rFonts w:cs="Calibri"/>
        </w:rPr>
        <w:t xml:space="preserve"> is calculated using Tier 2 methodologies, an uncertainty value of ±20 per cent has been used instead for the </w:t>
      </w:r>
      <w:r w:rsidRPr="00261B7A">
        <w:rPr>
          <w:rFonts w:cs="Calibri"/>
          <w:i/>
          <w:iCs/>
        </w:rPr>
        <w:t xml:space="preserve">Manure management </w:t>
      </w:r>
      <w:r w:rsidRPr="00261B7A">
        <w:rPr>
          <w:rFonts w:cs="Calibri"/>
        </w:rPr>
        <w:t>CH</w:t>
      </w:r>
      <w:r w:rsidRPr="00261B7A">
        <w:rPr>
          <w:rFonts w:cs="Calibri"/>
          <w:vertAlign w:val="subscript"/>
        </w:rPr>
        <w:t>4</w:t>
      </w:r>
      <w:r w:rsidRPr="00261B7A">
        <w:rPr>
          <w:rFonts w:cs="Calibri"/>
        </w:rPr>
        <w:t xml:space="preserve"> emissions uncertainty. </w:t>
      </w:r>
    </w:p>
    <w:p w14:paraId="30555247" w14:textId="77777777" w:rsidR="00994F64" w:rsidRPr="00261B7A" w:rsidRDefault="00994F64" w:rsidP="00994F64">
      <w:pPr>
        <w:pStyle w:val="BodyText"/>
        <w:rPr>
          <w:rFonts w:cs="Calibri"/>
        </w:rPr>
      </w:pPr>
      <w:r w:rsidRPr="00261B7A">
        <w:rPr>
          <w:rFonts w:cs="Calibri"/>
        </w:rPr>
        <w:t xml:space="preserve">Uncertainties for the livestock characterisation are also discussed in section 5.1.4 and annex 3, section A3.1.1. </w:t>
      </w:r>
    </w:p>
    <w:p w14:paraId="54423DF7" w14:textId="77777777" w:rsidR="00994F64" w:rsidRPr="00261B7A" w:rsidRDefault="00994F64" w:rsidP="00994F64">
      <w:pPr>
        <w:pStyle w:val="Heading4"/>
      </w:pPr>
      <w:r w:rsidRPr="00261B7A">
        <w:t>Nitrous oxide emissions</w:t>
      </w:r>
    </w:p>
    <w:p w14:paraId="0C501436" w14:textId="77777777" w:rsidR="00994F64" w:rsidRPr="00261B7A" w:rsidRDefault="00994F64" w:rsidP="00994F64">
      <w:pPr>
        <w:pStyle w:val="BodyText"/>
        <w:spacing w:before="100" w:after="100"/>
        <w:rPr>
          <w:rFonts w:cs="Calibri"/>
        </w:rPr>
      </w:pPr>
      <w:r w:rsidRPr="00261B7A">
        <w:rPr>
          <w:rFonts w:cs="Calibri"/>
        </w:rPr>
        <w:t xml:space="preserve">The main factors causing uncertainty in direct and indirect </w:t>
      </w:r>
      <w:r w:rsidRPr="00261B7A">
        <w:t>N</w:t>
      </w:r>
      <w:r w:rsidRPr="00261B7A">
        <w:rPr>
          <w:vertAlign w:val="subscript"/>
        </w:rPr>
        <w:t>2</w:t>
      </w:r>
      <w:r w:rsidRPr="00261B7A">
        <w:t>O</w:t>
      </w:r>
      <w:r w:rsidRPr="00261B7A">
        <w:rPr>
          <w:rFonts w:cs="Calibri"/>
        </w:rPr>
        <w:t xml:space="preserve"> emissions from manure management are the N</w:t>
      </w:r>
      <w:r w:rsidRPr="00261B7A">
        <w:rPr>
          <w:rFonts w:cs="Calibri"/>
          <w:vertAlign w:val="subscript"/>
        </w:rPr>
        <w:t>ex</w:t>
      </w:r>
      <w:r w:rsidRPr="00261B7A">
        <w:rPr>
          <w:rFonts w:cs="Calibri"/>
        </w:rPr>
        <w:t xml:space="preserve"> rates, the emission factors for manure and manure management systems, activity data on the livestock populations and the classification and use of the various manure management systems (IPCC, 2006). </w:t>
      </w:r>
    </w:p>
    <w:p w14:paraId="7724092C" w14:textId="77777777" w:rsidR="00994F64" w:rsidRPr="00261B7A" w:rsidRDefault="00994F64" w:rsidP="00994F64">
      <w:pPr>
        <w:pStyle w:val="BodyText"/>
        <w:spacing w:before="100" w:after="100"/>
        <w:rPr>
          <w:rFonts w:cs="Calibri"/>
        </w:rPr>
      </w:pPr>
      <w:r w:rsidRPr="00261B7A">
        <w:rPr>
          <w:rFonts w:cs="Calibri"/>
        </w:rPr>
        <w:t>Uncertainty ranges for the default N</w:t>
      </w:r>
      <w:r w:rsidRPr="00261B7A">
        <w:rPr>
          <w:rFonts w:cs="Calibri"/>
          <w:vertAlign w:val="subscript"/>
        </w:rPr>
        <w:t>ex</w:t>
      </w:r>
      <w:r w:rsidRPr="00261B7A">
        <w:rPr>
          <w:rFonts w:cs="Calibri"/>
        </w:rPr>
        <w:t xml:space="preserve"> values are estimated at about ±50 per cent (IPCC, 2006), and may be substantially smaller for the values for the livestock whose N</w:t>
      </w:r>
      <w:r w:rsidRPr="00261B7A">
        <w:rPr>
          <w:rFonts w:cs="Calibri"/>
          <w:vertAlign w:val="subscript"/>
        </w:rPr>
        <w:t>ex</w:t>
      </w:r>
      <w:r w:rsidRPr="00261B7A">
        <w:rPr>
          <w:rFonts w:cs="Calibri"/>
        </w:rPr>
        <w:t xml:space="preserve"> rates were derived from in-country statistics on productivity. New Zealand uses the default values for EF</w:t>
      </w:r>
      <w:r w:rsidRPr="00261B7A">
        <w:rPr>
          <w:rFonts w:cs="Calibri"/>
          <w:vertAlign w:val="subscript"/>
        </w:rPr>
        <w:t>3,PRP</w:t>
      </w:r>
      <w:r w:rsidRPr="00261B7A">
        <w:rPr>
          <w:rFonts w:cs="Calibri"/>
        </w:rPr>
        <w:t xml:space="preserve"> for direct </w:t>
      </w:r>
      <w:r w:rsidRPr="00261B7A">
        <w:t>N</w:t>
      </w:r>
      <w:r w:rsidRPr="00261B7A">
        <w:rPr>
          <w:vertAlign w:val="subscript"/>
        </w:rPr>
        <w:t>2</w:t>
      </w:r>
      <w:r w:rsidRPr="00261B7A">
        <w:t>O</w:t>
      </w:r>
      <w:r w:rsidRPr="00261B7A">
        <w:rPr>
          <w:rFonts w:cs="Calibri"/>
        </w:rPr>
        <w:t xml:space="preserve"> emissions from the manure management of swine and poultry, which have uncertainties ranging from –50 per cent to +100 per cent. An uncertainty value range of ±100 per cent has been used for the </w:t>
      </w:r>
      <w:r w:rsidRPr="00261B7A">
        <w:rPr>
          <w:rFonts w:cs="Calibri"/>
          <w:i/>
          <w:iCs/>
        </w:rPr>
        <w:t>Manure management</w:t>
      </w:r>
      <w:r w:rsidRPr="00261B7A">
        <w:rPr>
          <w:rFonts w:cs="Calibri"/>
        </w:rPr>
        <w:t xml:space="preserve"> </w:t>
      </w:r>
      <w:r w:rsidRPr="00261B7A">
        <w:t>N</w:t>
      </w:r>
      <w:r w:rsidRPr="00261B7A">
        <w:rPr>
          <w:vertAlign w:val="subscript"/>
        </w:rPr>
        <w:t>2</w:t>
      </w:r>
      <w:r w:rsidRPr="00261B7A">
        <w:t>O</w:t>
      </w:r>
      <w:r w:rsidRPr="00261B7A">
        <w:rPr>
          <w:rFonts w:cs="Calibri"/>
        </w:rPr>
        <w:t xml:space="preserve"> emissions uncertainty (Giltrap et al., u</w:t>
      </w:r>
      <w:r w:rsidRPr="00261B7A">
        <w:t>npublished</w:t>
      </w:r>
      <w:r w:rsidRPr="00261B7A">
        <w:rPr>
          <w:rFonts w:cs="Calibri"/>
        </w:rPr>
        <w:t>).</w:t>
      </w:r>
    </w:p>
    <w:p w14:paraId="3C80C79C" w14:textId="77777777" w:rsidR="00994F64" w:rsidRPr="00261B7A" w:rsidRDefault="00994F64" w:rsidP="00994F64">
      <w:pPr>
        <w:pStyle w:val="BodyText"/>
      </w:pPr>
      <w:r w:rsidRPr="00261B7A">
        <w:t xml:space="preserve">As above, uncertainties for the livestock characterisation are discussed in section 5.1.4 and annex 3, section A3.1.1. </w:t>
      </w:r>
    </w:p>
    <w:p w14:paraId="3376716E" w14:textId="77777777" w:rsidR="00994F64" w:rsidRPr="00261B7A" w:rsidRDefault="00994F64" w:rsidP="00994F64">
      <w:pPr>
        <w:pStyle w:val="Heading3"/>
      </w:pPr>
      <w:bookmarkStart w:id="917" w:name="_Toc139253927"/>
      <w:bookmarkStart w:id="918" w:name="_Toc32570661"/>
      <w:r w:rsidRPr="00261B7A">
        <w:t>5.3.4</w:t>
      </w:r>
      <w:r w:rsidRPr="00261B7A">
        <w:tab/>
        <w:t>Source-specific QA/QC and verification</w:t>
      </w:r>
      <w:bookmarkEnd w:id="917"/>
      <w:bookmarkEnd w:id="918"/>
    </w:p>
    <w:p w14:paraId="61EA66EB" w14:textId="77777777" w:rsidR="00994F64" w:rsidRPr="00261B7A" w:rsidRDefault="00994F64" w:rsidP="00994F64">
      <w:pPr>
        <w:pStyle w:val="BodyText"/>
      </w:pPr>
      <w:r w:rsidRPr="00261B7A">
        <w:t xml:space="preserve">Methane from </w:t>
      </w:r>
      <w:r w:rsidRPr="00261B7A">
        <w:rPr>
          <w:i/>
          <w:iCs/>
        </w:rPr>
        <w:t>Manure management</w:t>
      </w:r>
      <w:r w:rsidRPr="00261B7A">
        <w:t xml:space="preserve"> from </w:t>
      </w:r>
      <w:r w:rsidRPr="00261B7A">
        <w:rPr>
          <w:i/>
          <w:iCs/>
        </w:rPr>
        <w:t>Dairy</w:t>
      </w:r>
      <w:r w:rsidRPr="00261B7A">
        <w:rPr>
          <w:i/>
        </w:rPr>
        <w:t xml:space="preserve"> cattle</w:t>
      </w:r>
      <w:r w:rsidRPr="00261B7A">
        <w:t xml:space="preserve"> was identified as a key category for New Zealand in the 2021 level and trend assessment. </w:t>
      </w:r>
    </w:p>
    <w:p w14:paraId="787B3D07" w14:textId="77777777" w:rsidR="00994F64" w:rsidRPr="00261B7A" w:rsidRDefault="00994F64" w:rsidP="00994F64">
      <w:pPr>
        <w:pStyle w:val="BodyText"/>
      </w:pPr>
      <w:r w:rsidRPr="00261B7A">
        <w:t>In the preparation for this inventory submission, the data for this category underwent Tier 1 and Tier 2 quality checks.</w:t>
      </w:r>
    </w:p>
    <w:p w14:paraId="2AE138D2" w14:textId="77777777" w:rsidR="00994F64" w:rsidRPr="00261B7A" w:rsidRDefault="00994F64" w:rsidP="00994F64">
      <w:pPr>
        <w:pStyle w:val="BodyText"/>
      </w:pPr>
      <w:r w:rsidRPr="00261B7A">
        <w:t>Table 5.3.6 shows a comparison of the New Zealand-specific 2021 IEF for CH</w:t>
      </w:r>
      <w:r w:rsidRPr="00261B7A">
        <w:rPr>
          <w:vertAlign w:val="subscript"/>
        </w:rPr>
        <w:t>4</w:t>
      </w:r>
      <w:r w:rsidRPr="00261B7A">
        <w:t xml:space="preserve"> from </w:t>
      </w:r>
      <w:r w:rsidRPr="00261B7A">
        <w:rPr>
          <w:i/>
          <w:iCs/>
        </w:rPr>
        <w:t>Manure management</w:t>
      </w:r>
      <w:r w:rsidRPr="00261B7A">
        <w:t xml:space="preserve"> with the IPCC (2006) Tier 1 Oceania default, the IPCC Tier 2 net energy-based value and the 2020 Australian-specific IEF for </w:t>
      </w:r>
      <w:r w:rsidRPr="00261B7A">
        <w:rPr>
          <w:i/>
          <w:iCs/>
        </w:rPr>
        <w:t>Dairy cattle</w:t>
      </w:r>
      <w:r w:rsidRPr="00261B7A">
        <w:t xml:space="preserve">, </w:t>
      </w:r>
      <w:r w:rsidRPr="00261B7A">
        <w:rPr>
          <w:i/>
          <w:iCs/>
        </w:rPr>
        <w:t xml:space="preserve">Non-dairy </w:t>
      </w:r>
      <w:r w:rsidRPr="00261B7A">
        <w:t>(beef)</w:t>
      </w:r>
      <w:r w:rsidRPr="00261B7A">
        <w:rPr>
          <w:i/>
          <w:iCs/>
        </w:rPr>
        <w:t xml:space="preserve"> cattle</w:t>
      </w:r>
      <w:r w:rsidRPr="00261B7A">
        <w:t xml:space="preserve"> and </w:t>
      </w:r>
      <w:r w:rsidRPr="00261B7A">
        <w:rPr>
          <w:i/>
          <w:iCs/>
        </w:rPr>
        <w:t>Sheep</w:t>
      </w:r>
      <w:r w:rsidRPr="00261B7A">
        <w:t>. The IPCC Tier 2 value was determined from net energy equations to determine gross energy for each of New Zealand’s major livestock categories. This information is then used to determine volatile solid excretion and the annual CH</w:t>
      </w:r>
      <w:r w:rsidRPr="00261B7A">
        <w:rPr>
          <w:vertAlign w:val="subscript"/>
        </w:rPr>
        <w:t>4</w:t>
      </w:r>
      <w:r w:rsidRPr="00261B7A">
        <w:t xml:space="preserve"> emission factors for each livestock category as per the equations described in the 2006 IPCC Guidelines (i.e., equations 10.16, 10.23 and 10.24).</w:t>
      </w:r>
    </w:p>
    <w:p w14:paraId="1D4D8CC2" w14:textId="77777777" w:rsidR="00994F64" w:rsidRPr="00261B7A" w:rsidRDefault="00994F64" w:rsidP="00994F64">
      <w:pPr>
        <w:pStyle w:val="BodyText"/>
      </w:pPr>
      <w:r w:rsidRPr="00261B7A">
        <w:t>New Zealand has lower IEFs for CH</w:t>
      </w:r>
      <w:r w:rsidRPr="00261B7A">
        <w:rPr>
          <w:vertAlign w:val="subscript"/>
        </w:rPr>
        <w:t>4</w:t>
      </w:r>
      <w:r w:rsidRPr="00261B7A">
        <w:t xml:space="preserve"> from </w:t>
      </w:r>
      <w:r w:rsidRPr="00261B7A">
        <w:rPr>
          <w:i/>
          <w:iCs/>
        </w:rPr>
        <w:t>Manure management</w:t>
      </w:r>
      <w:r w:rsidRPr="00261B7A">
        <w:t xml:space="preserve"> for beef cattle and sheep than the IPCC Tier 1 Oceania default and the IPCC Tier 2 net energy-based emission factors. Additionally, New Zealand has lower dairy and non-dairy IEFs for CH</w:t>
      </w:r>
      <w:r w:rsidRPr="00261B7A">
        <w:rPr>
          <w:vertAlign w:val="subscript"/>
        </w:rPr>
        <w:t>4</w:t>
      </w:r>
      <w:r w:rsidRPr="00261B7A">
        <w:t xml:space="preserve"> from </w:t>
      </w:r>
      <w:r w:rsidRPr="00261B7A">
        <w:rPr>
          <w:i/>
          <w:iCs/>
        </w:rPr>
        <w:t>Manure management</w:t>
      </w:r>
      <w:r w:rsidRPr="00261B7A">
        <w:t xml:space="preserve"> than the Australian-specific 2020 IEFs. Differences between New Zealand’s IEFs, the IPCC Tier 1 and Tier 2 and the Australian-specific IEFs are due to the reasons outlined under </w:t>
      </w:r>
      <w:r w:rsidRPr="00261B7A">
        <w:rPr>
          <w:i/>
          <w:iCs/>
        </w:rPr>
        <w:t>Enteric fermentation</w:t>
      </w:r>
      <w:r w:rsidRPr="00261B7A">
        <w:t xml:space="preserve"> (see section 5.2.4): that is, size and productivity of the animals, the age classes of livestock included in New Zealand’s modelling and the use of different algorithms to determine energy intake. The New Zealand-specific IEF from </w:t>
      </w:r>
      <w:r w:rsidRPr="00261B7A">
        <w:rPr>
          <w:i/>
          <w:iCs/>
        </w:rPr>
        <w:t>Manure management</w:t>
      </w:r>
      <w:r w:rsidRPr="00261B7A">
        <w:t xml:space="preserve"> for dairy cattle also reflects the activity data on the use of dairy effluent management systems in New Zealand (see section 5.3.2).</w:t>
      </w:r>
    </w:p>
    <w:p w14:paraId="431DB85B" w14:textId="77777777" w:rsidR="00994F64" w:rsidRPr="00261B7A" w:rsidRDefault="00994F64" w:rsidP="00994F64">
      <w:pPr>
        <w:pStyle w:val="Table"/>
        <w:rPr>
          <w:rFonts w:cs="Calibri"/>
        </w:rPr>
      </w:pPr>
      <w:bookmarkStart w:id="919" w:name="_Toc441830878"/>
      <w:bookmarkStart w:id="920" w:name="_Toc451176092"/>
      <w:bookmarkStart w:id="921" w:name="_Toc481751520"/>
      <w:bookmarkStart w:id="922" w:name="_Toc507158608"/>
      <w:bookmarkStart w:id="923" w:name="_Toc511116742"/>
      <w:bookmarkStart w:id="924" w:name="_Toc5269482"/>
      <w:bookmarkStart w:id="925" w:name="_Toc32570925"/>
      <w:bookmarkStart w:id="926" w:name="_Toc36224560"/>
      <w:bookmarkStart w:id="927" w:name="_Toc68786445"/>
      <w:bookmarkStart w:id="928" w:name="_Toc95574079"/>
      <w:bookmarkStart w:id="929" w:name="_Toc127458264"/>
      <w:bookmarkStart w:id="930" w:name="_Toc131591360"/>
      <w:bookmarkStart w:id="931" w:name="_Toc288316755"/>
      <w:bookmarkStart w:id="932" w:name="_Toc352504973"/>
      <w:r w:rsidRPr="00261B7A">
        <w:rPr>
          <w:rFonts w:cs="Calibri"/>
        </w:rPr>
        <w:t>Table 5.3.6</w:t>
      </w:r>
      <w:r w:rsidRPr="00261B7A">
        <w:rPr>
          <w:rFonts w:cs="Calibri"/>
        </w:rPr>
        <w:tab/>
        <w:t>Comparison of IPCC (2006) table 10A-4 default emission factors and country-specific implied emission factors (IEFs) for methane from manure management</w:t>
      </w:r>
      <w:bookmarkEnd w:id="919"/>
      <w:bookmarkEnd w:id="920"/>
      <w:bookmarkEnd w:id="921"/>
      <w:bookmarkEnd w:id="922"/>
      <w:bookmarkEnd w:id="923"/>
      <w:bookmarkEnd w:id="924"/>
      <w:bookmarkEnd w:id="925"/>
      <w:bookmarkEnd w:id="926"/>
      <w:bookmarkEnd w:id="927"/>
      <w:bookmarkEnd w:id="928"/>
      <w:bookmarkEnd w:id="929"/>
      <w:bookmarkEnd w:id="930"/>
      <w:r w:rsidRPr="00261B7A">
        <w:rPr>
          <w:rFonts w:cs="Calibri"/>
        </w:rPr>
        <w:t xml:space="preserve"> </w:t>
      </w:r>
      <w:bookmarkEnd w:id="931"/>
      <w:bookmarkEnd w:id="932"/>
    </w:p>
    <w:tbl>
      <w:tblPr>
        <w:tblW w:w="8505" w:type="dxa"/>
        <w:tblBorders>
          <w:top w:val="single" w:sz="4" w:space="0" w:color="365F91"/>
          <w:bottom w:val="single" w:sz="4" w:space="0" w:color="365F91"/>
          <w:insideH w:val="single" w:sz="4" w:space="0" w:color="365F91"/>
        </w:tblBorders>
        <w:tblLayout w:type="fixed"/>
        <w:tblCellMar>
          <w:left w:w="57" w:type="dxa"/>
          <w:right w:w="0" w:type="dxa"/>
        </w:tblCellMar>
        <w:tblLook w:val="0000" w:firstRow="0" w:lastRow="0" w:firstColumn="0" w:lastColumn="0" w:noHBand="0" w:noVBand="0"/>
      </w:tblPr>
      <w:tblGrid>
        <w:gridCol w:w="3887"/>
        <w:gridCol w:w="2492"/>
        <w:gridCol w:w="1276"/>
        <w:gridCol w:w="850"/>
      </w:tblGrid>
      <w:tr w:rsidR="00EC566B" w:rsidRPr="00261B7A" w14:paraId="1285B1FF" w14:textId="77777777" w:rsidTr="00EE1ED4">
        <w:trPr>
          <w:tblHeader/>
        </w:trPr>
        <w:tc>
          <w:tcPr>
            <w:tcW w:w="3887" w:type="dxa"/>
            <w:vMerge w:val="restart"/>
            <w:tcBorders>
              <w:top w:val="single" w:sz="4" w:space="0" w:color="1B556B" w:themeColor="text2"/>
            </w:tcBorders>
            <w:shd w:val="clear" w:color="auto" w:fill="1B556B"/>
            <w:vAlign w:val="bottom"/>
          </w:tcPr>
          <w:p w14:paraId="663658A4" w14:textId="77777777" w:rsidR="00EC566B" w:rsidRPr="00261B7A" w:rsidRDefault="00EC566B" w:rsidP="00501B0F">
            <w:pPr>
              <w:pStyle w:val="TableTextBold"/>
              <w:keepNext/>
              <w:spacing w:after="0"/>
              <w:rPr>
                <w:noProof w:val="0"/>
                <w:color w:val="FFFFFF" w:themeColor="background1"/>
              </w:rPr>
            </w:pPr>
          </w:p>
        </w:tc>
        <w:tc>
          <w:tcPr>
            <w:tcW w:w="4618" w:type="dxa"/>
            <w:gridSpan w:val="3"/>
            <w:tcBorders>
              <w:top w:val="single" w:sz="4" w:space="0" w:color="1B556B" w:themeColor="text2"/>
              <w:bottom w:val="single" w:sz="4" w:space="0" w:color="1B556B" w:themeColor="text2"/>
            </w:tcBorders>
            <w:shd w:val="clear" w:color="auto" w:fill="1B556B"/>
            <w:vAlign w:val="bottom"/>
          </w:tcPr>
          <w:p w14:paraId="4DF386C2" w14:textId="77777777" w:rsidR="00EC566B" w:rsidRPr="00261B7A" w:rsidRDefault="00EC566B" w:rsidP="00501B0F">
            <w:pPr>
              <w:pStyle w:val="TableTextBold"/>
              <w:spacing w:after="0"/>
              <w:jc w:val="center"/>
              <w:rPr>
                <w:noProof w:val="0"/>
                <w:color w:val="FFFFFF" w:themeColor="background1"/>
              </w:rPr>
            </w:pPr>
            <w:r w:rsidRPr="00261B7A">
              <w:rPr>
                <w:noProof w:val="0"/>
                <w:color w:val="FFFFFF" w:themeColor="background1"/>
              </w:rPr>
              <w:t>kg CH</w:t>
            </w:r>
            <w:r w:rsidRPr="00261B7A">
              <w:rPr>
                <w:noProof w:val="0"/>
                <w:color w:val="FFFFFF" w:themeColor="background1"/>
                <w:vertAlign w:val="subscript"/>
              </w:rPr>
              <w:t>4</w:t>
            </w:r>
            <w:r w:rsidRPr="00261B7A">
              <w:rPr>
                <w:noProof w:val="0"/>
                <w:color w:val="FFFFFF" w:themeColor="background1"/>
              </w:rPr>
              <w:t>/head/year</w:t>
            </w:r>
          </w:p>
        </w:tc>
      </w:tr>
      <w:tr w:rsidR="00EC566B" w:rsidRPr="00261B7A" w14:paraId="72A7E46D" w14:textId="77777777" w:rsidTr="00EE1ED4">
        <w:trPr>
          <w:tblHeader/>
        </w:trPr>
        <w:tc>
          <w:tcPr>
            <w:tcW w:w="3887" w:type="dxa"/>
            <w:vMerge/>
            <w:tcBorders>
              <w:bottom w:val="single" w:sz="4" w:space="0" w:color="1B556B" w:themeColor="text2"/>
            </w:tcBorders>
            <w:shd w:val="clear" w:color="auto" w:fill="1B556B"/>
            <w:vAlign w:val="bottom"/>
          </w:tcPr>
          <w:p w14:paraId="2E0A3E3B" w14:textId="77777777" w:rsidR="00EC566B" w:rsidRPr="00261B7A" w:rsidRDefault="00EC566B" w:rsidP="00501B0F">
            <w:pPr>
              <w:pStyle w:val="TableTextBold"/>
              <w:keepNext/>
              <w:rPr>
                <w:noProof w:val="0"/>
                <w:color w:val="FFFFFF" w:themeColor="background1"/>
              </w:rPr>
            </w:pPr>
          </w:p>
        </w:tc>
        <w:tc>
          <w:tcPr>
            <w:tcW w:w="2492" w:type="dxa"/>
            <w:tcBorders>
              <w:top w:val="single" w:sz="4" w:space="0" w:color="1B556B" w:themeColor="text2"/>
              <w:bottom w:val="single" w:sz="4" w:space="0" w:color="1B556B" w:themeColor="text2"/>
            </w:tcBorders>
            <w:shd w:val="clear" w:color="auto" w:fill="1B556B"/>
            <w:vAlign w:val="bottom"/>
          </w:tcPr>
          <w:p w14:paraId="5A0238EB" w14:textId="77777777" w:rsidR="00EC566B" w:rsidRPr="00261B7A" w:rsidRDefault="00EC566B" w:rsidP="00501B0F">
            <w:pPr>
              <w:pStyle w:val="TableTextBold"/>
              <w:spacing w:before="0"/>
              <w:jc w:val="center"/>
              <w:rPr>
                <w:noProof w:val="0"/>
                <w:color w:val="FFFFFF" w:themeColor="background1"/>
              </w:rPr>
            </w:pPr>
            <w:r w:rsidRPr="00261B7A">
              <w:rPr>
                <w:noProof w:val="0"/>
                <w:color w:val="FFFFFF" w:themeColor="background1"/>
              </w:rPr>
              <w:t>Dairy cattle</w:t>
            </w:r>
          </w:p>
        </w:tc>
        <w:tc>
          <w:tcPr>
            <w:tcW w:w="1276" w:type="dxa"/>
            <w:tcBorders>
              <w:top w:val="single" w:sz="4" w:space="0" w:color="1B556B" w:themeColor="text2"/>
              <w:bottom w:val="single" w:sz="4" w:space="0" w:color="1B556B" w:themeColor="text2"/>
            </w:tcBorders>
            <w:shd w:val="clear" w:color="auto" w:fill="1B556B"/>
            <w:vAlign w:val="bottom"/>
          </w:tcPr>
          <w:p w14:paraId="224E8742" w14:textId="77777777" w:rsidR="00EC566B" w:rsidRPr="00261B7A" w:rsidRDefault="00EC566B" w:rsidP="00501B0F">
            <w:pPr>
              <w:pStyle w:val="TableTextBold"/>
              <w:spacing w:before="0"/>
              <w:jc w:val="center"/>
              <w:rPr>
                <w:noProof w:val="0"/>
                <w:color w:val="FFFFFF" w:themeColor="background1"/>
              </w:rPr>
            </w:pPr>
            <w:r w:rsidRPr="00261B7A">
              <w:rPr>
                <w:noProof w:val="0"/>
                <w:color w:val="FFFFFF" w:themeColor="background1"/>
              </w:rPr>
              <w:t xml:space="preserve">Non-dairy </w:t>
            </w:r>
            <w:r w:rsidRPr="00261B7A">
              <w:rPr>
                <w:i/>
                <w:iCs/>
                <w:noProof w:val="0"/>
                <w:color w:val="FFFFFF" w:themeColor="background1"/>
              </w:rPr>
              <w:t>(beef)</w:t>
            </w:r>
            <w:r w:rsidRPr="00261B7A">
              <w:rPr>
                <w:noProof w:val="0"/>
                <w:color w:val="FFFFFF" w:themeColor="background1"/>
              </w:rPr>
              <w:t xml:space="preserve"> cattle</w:t>
            </w:r>
          </w:p>
        </w:tc>
        <w:tc>
          <w:tcPr>
            <w:tcW w:w="850" w:type="dxa"/>
            <w:tcBorders>
              <w:top w:val="single" w:sz="4" w:space="0" w:color="1B556B" w:themeColor="text2"/>
              <w:bottom w:val="single" w:sz="4" w:space="0" w:color="1B556B" w:themeColor="text2"/>
            </w:tcBorders>
            <w:shd w:val="clear" w:color="auto" w:fill="1B556B"/>
            <w:vAlign w:val="bottom"/>
          </w:tcPr>
          <w:p w14:paraId="39A7BA6E" w14:textId="77777777" w:rsidR="00EC566B" w:rsidRPr="00261B7A" w:rsidRDefault="00EC566B" w:rsidP="00501B0F">
            <w:pPr>
              <w:pStyle w:val="TableTextBold"/>
              <w:spacing w:before="0"/>
              <w:jc w:val="center"/>
              <w:rPr>
                <w:noProof w:val="0"/>
                <w:color w:val="FFFFFF" w:themeColor="background1"/>
              </w:rPr>
            </w:pPr>
            <w:r w:rsidRPr="00261B7A">
              <w:rPr>
                <w:noProof w:val="0"/>
                <w:color w:val="FFFFFF" w:themeColor="background1"/>
              </w:rPr>
              <w:t>Sheep</w:t>
            </w:r>
          </w:p>
        </w:tc>
      </w:tr>
      <w:tr w:rsidR="00994F64" w:rsidRPr="00261B7A" w14:paraId="34B0A734" w14:textId="77777777" w:rsidTr="003E1C33">
        <w:trPr>
          <w:trHeight w:val="254"/>
        </w:trPr>
        <w:tc>
          <w:tcPr>
            <w:tcW w:w="3887" w:type="dxa"/>
            <w:tcBorders>
              <w:top w:val="single" w:sz="4" w:space="0" w:color="1B556B" w:themeColor="text2"/>
            </w:tcBorders>
          </w:tcPr>
          <w:p w14:paraId="2DF31AF7" w14:textId="77777777" w:rsidR="00994F64" w:rsidRPr="00261B7A" w:rsidRDefault="00994F64" w:rsidP="00501B0F">
            <w:pPr>
              <w:pStyle w:val="TableText"/>
              <w:keepNext/>
              <w:spacing w:before="50" w:after="50"/>
              <w:rPr>
                <w:rFonts w:cs="Calibri"/>
              </w:rPr>
            </w:pPr>
            <w:r w:rsidRPr="00261B7A">
              <w:rPr>
                <w:rFonts w:cs="Calibri"/>
              </w:rPr>
              <w:t>IPCC Tier 1 Oceania default value (average temperature 15°C (cattle)/developed temperate default value (sheep))</w:t>
            </w:r>
          </w:p>
        </w:tc>
        <w:tc>
          <w:tcPr>
            <w:tcW w:w="2492" w:type="dxa"/>
            <w:tcBorders>
              <w:top w:val="single" w:sz="4" w:space="0" w:color="1B556B" w:themeColor="text2"/>
            </w:tcBorders>
          </w:tcPr>
          <w:p w14:paraId="625E48D3" w14:textId="77777777" w:rsidR="00994F64" w:rsidRPr="00261B7A" w:rsidRDefault="00994F64" w:rsidP="00501B0F">
            <w:pPr>
              <w:pStyle w:val="TableText"/>
              <w:jc w:val="center"/>
              <w:rPr>
                <w:rFonts w:cs="Calibri"/>
              </w:rPr>
            </w:pPr>
            <w:r w:rsidRPr="00261B7A">
              <w:rPr>
                <w:rFonts w:cs="Calibri"/>
              </w:rPr>
              <w:t>27.00</w:t>
            </w:r>
          </w:p>
        </w:tc>
        <w:tc>
          <w:tcPr>
            <w:tcW w:w="1276" w:type="dxa"/>
            <w:tcBorders>
              <w:top w:val="single" w:sz="4" w:space="0" w:color="1B556B" w:themeColor="text2"/>
            </w:tcBorders>
          </w:tcPr>
          <w:p w14:paraId="561CB159" w14:textId="77777777" w:rsidR="00994F64" w:rsidRPr="00261B7A" w:rsidRDefault="00994F64" w:rsidP="00501B0F">
            <w:pPr>
              <w:pStyle w:val="TableText"/>
              <w:spacing w:before="50" w:after="50"/>
              <w:jc w:val="center"/>
              <w:rPr>
                <w:rFonts w:cs="Calibri"/>
              </w:rPr>
            </w:pPr>
            <w:r w:rsidRPr="00261B7A">
              <w:rPr>
                <w:rFonts w:cs="Calibri"/>
              </w:rPr>
              <w:t>2.00</w:t>
            </w:r>
          </w:p>
        </w:tc>
        <w:tc>
          <w:tcPr>
            <w:tcW w:w="850" w:type="dxa"/>
            <w:tcBorders>
              <w:top w:val="single" w:sz="4" w:space="0" w:color="1B556B" w:themeColor="text2"/>
            </w:tcBorders>
          </w:tcPr>
          <w:p w14:paraId="25CC9659" w14:textId="77777777" w:rsidR="00994F64" w:rsidRPr="00261B7A" w:rsidRDefault="00994F64" w:rsidP="00501B0F">
            <w:pPr>
              <w:pStyle w:val="TableText"/>
              <w:spacing w:before="50" w:after="50"/>
              <w:jc w:val="center"/>
              <w:rPr>
                <w:rFonts w:cs="Calibri"/>
              </w:rPr>
            </w:pPr>
            <w:r w:rsidRPr="00261B7A">
              <w:rPr>
                <w:rFonts w:cs="Calibri"/>
              </w:rPr>
              <w:t>0.28</w:t>
            </w:r>
          </w:p>
        </w:tc>
      </w:tr>
      <w:tr w:rsidR="00994F64" w:rsidRPr="00261B7A" w14:paraId="25973571" w14:textId="77777777" w:rsidTr="003E1C33">
        <w:trPr>
          <w:trHeight w:val="254"/>
        </w:trPr>
        <w:tc>
          <w:tcPr>
            <w:tcW w:w="3887" w:type="dxa"/>
            <w:shd w:val="clear" w:color="auto" w:fill="auto"/>
          </w:tcPr>
          <w:p w14:paraId="780B4BAE" w14:textId="77777777" w:rsidR="00994F64" w:rsidRPr="00261B7A" w:rsidRDefault="00994F64" w:rsidP="00501B0F">
            <w:pPr>
              <w:pStyle w:val="TableText"/>
              <w:keepNext/>
              <w:spacing w:before="50" w:after="50"/>
              <w:rPr>
                <w:rFonts w:cs="Calibri"/>
              </w:rPr>
            </w:pPr>
            <w:r w:rsidRPr="00261B7A">
              <w:rPr>
                <w:rFonts w:cs="Calibri"/>
              </w:rPr>
              <w:t>IPCC Tier 2 net energy-based value</w:t>
            </w:r>
          </w:p>
        </w:tc>
        <w:tc>
          <w:tcPr>
            <w:tcW w:w="2492" w:type="dxa"/>
            <w:shd w:val="clear" w:color="auto" w:fill="auto"/>
          </w:tcPr>
          <w:p w14:paraId="64635196" w14:textId="77777777" w:rsidR="00994F64" w:rsidRPr="00261B7A" w:rsidRDefault="00994F64" w:rsidP="00501B0F">
            <w:pPr>
              <w:pStyle w:val="TableText"/>
              <w:jc w:val="center"/>
              <w:rPr>
                <w:rFonts w:cs="Calibri"/>
              </w:rPr>
            </w:pPr>
            <w:r w:rsidRPr="00261B7A">
              <w:rPr>
                <w:rFonts w:cs="Calibri"/>
              </w:rPr>
              <w:t>5.97</w:t>
            </w:r>
          </w:p>
        </w:tc>
        <w:tc>
          <w:tcPr>
            <w:tcW w:w="1276" w:type="dxa"/>
            <w:shd w:val="clear" w:color="auto" w:fill="auto"/>
          </w:tcPr>
          <w:p w14:paraId="513DDF9A" w14:textId="77777777" w:rsidR="00994F64" w:rsidRPr="00261B7A" w:rsidRDefault="00994F64" w:rsidP="00501B0F">
            <w:pPr>
              <w:pStyle w:val="TableText"/>
              <w:spacing w:before="50" w:after="50"/>
              <w:jc w:val="center"/>
              <w:rPr>
                <w:rFonts w:cs="Calibri"/>
              </w:rPr>
            </w:pPr>
            <w:r w:rsidRPr="00261B7A">
              <w:rPr>
                <w:rFonts w:cs="Calibri"/>
              </w:rPr>
              <w:t>0.82</w:t>
            </w:r>
          </w:p>
        </w:tc>
        <w:tc>
          <w:tcPr>
            <w:tcW w:w="850" w:type="dxa"/>
            <w:shd w:val="clear" w:color="auto" w:fill="auto"/>
          </w:tcPr>
          <w:p w14:paraId="4DB7F74D" w14:textId="77777777" w:rsidR="00994F64" w:rsidRPr="00261B7A" w:rsidRDefault="00994F64" w:rsidP="00501B0F">
            <w:pPr>
              <w:pStyle w:val="TableText"/>
              <w:spacing w:before="50" w:after="50"/>
              <w:jc w:val="center"/>
              <w:rPr>
                <w:rFonts w:cs="Calibri"/>
              </w:rPr>
            </w:pPr>
            <w:r w:rsidRPr="00261B7A">
              <w:rPr>
                <w:rFonts w:cs="Calibri"/>
              </w:rPr>
              <w:t>0.18</w:t>
            </w:r>
          </w:p>
        </w:tc>
      </w:tr>
      <w:tr w:rsidR="00994F64" w:rsidRPr="00261B7A" w14:paraId="1528B935" w14:textId="77777777" w:rsidTr="003E1C33">
        <w:trPr>
          <w:trHeight w:val="254"/>
        </w:trPr>
        <w:tc>
          <w:tcPr>
            <w:tcW w:w="3887" w:type="dxa"/>
          </w:tcPr>
          <w:p w14:paraId="34E9FC2E" w14:textId="77777777" w:rsidR="00994F64" w:rsidRPr="00261B7A" w:rsidRDefault="00994F64" w:rsidP="00501B0F">
            <w:pPr>
              <w:pStyle w:val="TableText"/>
              <w:spacing w:before="50" w:after="50"/>
              <w:rPr>
                <w:rFonts w:cs="Calibri"/>
                <w:szCs w:val="16"/>
              </w:rPr>
            </w:pPr>
            <w:r w:rsidRPr="00261B7A">
              <w:rPr>
                <w:rFonts w:cs="Calibri"/>
                <w:szCs w:val="16"/>
              </w:rPr>
              <w:t>Australian-specific IEF 2020 value</w:t>
            </w:r>
            <w:r w:rsidRPr="00261B7A">
              <w:rPr>
                <w:rStyle w:val="FootnoteReference"/>
                <w:rFonts w:cs="Calibri"/>
                <w:szCs w:val="16"/>
              </w:rPr>
              <w:footnoteReference w:id="56"/>
            </w:r>
          </w:p>
        </w:tc>
        <w:tc>
          <w:tcPr>
            <w:tcW w:w="2492" w:type="dxa"/>
          </w:tcPr>
          <w:p w14:paraId="0F7C392B" w14:textId="77777777" w:rsidR="00994F64" w:rsidRPr="00261B7A" w:rsidRDefault="00994F64" w:rsidP="00501B0F">
            <w:pPr>
              <w:pStyle w:val="TableText"/>
              <w:jc w:val="center"/>
              <w:rPr>
                <w:rFonts w:cs="Calibri"/>
                <w:szCs w:val="16"/>
              </w:rPr>
            </w:pPr>
            <w:r w:rsidRPr="00261B7A">
              <w:rPr>
                <w:rFonts w:cs="Calibri"/>
                <w:szCs w:val="16"/>
              </w:rPr>
              <w:t>15.32</w:t>
            </w:r>
          </w:p>
        </w:tc>
        <w:tc>
          <w:tcPr>
            <w:tcW w:w="1276" w:type="dxa"/>
          </w:tcPr>
          <w:p w14:paraId="2BA9F2E6" w14:textId="77777777" w:rsidR="00994F64" w:rsidRPr="00261B7A" w:rsidRDefault="00994F64" w:rsidP="00501B0F">
            <w:pPr>
              <w:pStyle w:val="TableText"/>
              <w:spacing w:before="50" w:after="0"/>
              <w:jc w:val="center"/>
              <w:rPr>
                <w:rFonts w:cs="Calibri"/>
                <w:color w:val="000000"/>
                <w:szCs w:val="16"/>
              </w:rPr>
            </w:pPr>
            <w:r w:rsidRPr="00261B7A">
              <w:rPr>
                <w:rFonts w:cs="Calibri"/>
                <w:color w:val="000000"/>
                <w:szCs w:val="16"/>
              </w:rPr>
              <w:t>4.83 (pasture)</w:t>
            </w:r>
          </w:p>
          <w:p w14:paraId="31D837F3" w14:textId="77777777" w:rsidR="00994F64" w:rsidRPr="00261B7A" w:rsidRDefault="00994F64" w:rsidP="00501B0F">
            <w:pPr>
              <w:pStyle w:val="TableText"/>
              <w:spacing w:before="50" w:after="50"/>
              <w:jc w:val="center"/>
              <w:rPr>
                <w:rFonts w:cs="Calibri"/>
                <w:color w:val="000000"/>
                <w:szCs w:val="16"/>
              </w:rPr>
            </w:pPr>
            <w:r w:rsidRPr="00261B7A">
              <w:rPr>
                <w:rFonts w:cs="Calibri"/>
                <w:szCs w:val="16"/>
              </w:rPr>
              <w:t>3.47 (feedlot)</w:t>
            </w:r>
          </w:p>
        </w:tc>
        <w:tc>
          <w:tcPr>
            <w:tcW w:w="850" w:type="dxa"/>
          </w:tcPr>
          <w:p w14:paraId="4EE72950" w14:textId="77777777" w:rsidR="00994F64" w:rsidRPr="00261B7A" w:rsidRDefault="00994F64" w:rsidP="00501B0F">
            <w:pPr>
              <w:pStyle w:val="TableText"/>
              <w:spacing w:before="50" w:after="50"/>
              <w:jc w:val="center"/>
              <w:rPr>
                <w:rFonts w:cs="Calibri"/>
                <w:szCs w:val="16"/>
              </w:rPr>
            </w:pPr>
            <w:r w:rsidRPr="00261B7A">
              <w:rPr>
                <w:rFonts w:cs="Calibri"/>
                <w:color w:val="000000"/>
                <w:szCs w:val="16"/>
              </w:rPr>
              <w:t>0.34</w:t>
            </w:r>
          </w:p>
        </w:tc>
      </w:tr>
      <w:tr w:rsidR="00994F64" w:rsidRPr="00261B7A" w14:paraId="39910C65" w14:textId="77777777" w:rsidTr="003E1C33">
        <w:trPr>
          <w:trHeight w:val="254"/>
        </w:trPr>
        <w:tc>
          <w:tcPr>
            <w:tcW w:w="3887" w:type="dxa"/>
          </w:tcPr>
          <w:p w14:paraId="5655E33F" w14:textId="77777777" w:rsidR="00994F64" w:rsidRPr="00261B7A" w:rsidRDefault="00994F64" w:rsidP="00501B0F">
            <w:pPr>
              <w:pStyle w:val="TableText"/>
              <w:spacing w:before="50" w:after="50"/>
              <w:rPr>
                <w:rFonts w:cs="Calibri"/>
              </w:rPr>
            </w:pPr>
            <w:r w:rsidRPr="00261B7A">
              <w:rPr>
                <w:rFonts w:cs="Calibri"/>
              </w:rPr>
              <w:t>New Zealand-specific IEF 2021 value</w:t>
            </w:r>
          </w:p>
        </w:tc>
        <w:tc>
          <w:tcPr>
            <w:tcW w:w="2492" w:type="dxa"/>
          </w:tcPr>
          <w:p w14:paraId="37FBBC2F" w14:textId="77777777" w:rsidR="00994F64" w:rsidRPr="00261B7A" w:rsidRDefault="00994F64" w:rsidP="00501B0F">
            <w:pPr>
              <w:pStyle w:val="TableText"/>
              <w:spacing w:after="20"/>
              <w:jc w:val="center"/>
              <w:rPr>
                <w:rFonts w:cs="Calibri"/>
              </w:rPr>
            </w:pPr>
            <w:r w:rsidRPr="00261B7A">
              <w:rPr>
                <w:rFonts w:cs="Calibri"/>
              </w:rPr>
              <w:t>8.67 (all dairy cattle, including calves)</w:t>
            </w:r>
          </w:p>
          <w:p w14:paraId="4F6F17D0" w14:textId="77777777" w:rsidR="00994F64" w:rsidRPr="00261B7A" w:rsidRDefault="00994F64" w:rsidP="00501B0F">
            <w:pPr>
              <w:pStyle w:val="TableText"/>
              <w:spacing w:before="0"/>
              <w:jc w:val="center"/>
              <w:rPr>
                <w:rFonts w:cs="Calibri"/>
              </w:rPr>
            </w:pPr>
            <w:r w:rsidRPr="00261B7A">
              <w:rPr>
                <w:rFonts w:cs="Calibri"/>
              </w:rPr>
              <w:t>10.86 (mature milking cows only)</w:t>
            </w:r>
          </w:p>
        </w:tc>
        <w:tc>
          <w:tcPr>
            <w:tcW w:w="1276" w:type="dxa"/>
          </w:tcPr>
          <w:p w14:paraId="73F15E00" w14:textId="77777777" w:rsidR="00994F64" w:rsidRPr="00261B7A" w:rsidRDefault="00994F64" w:rsidP="00501B0F">
            <w:pPr>
              <w:pStyle w:val="TableText"/>
              <w:spacing w:before="50" w:after="50"/>
              <w:jc w:val="center"/>
              <w:rPr>
                <w:rFonts w:cs="Calibri"/>
                <w:color w:val="000000"/>
                <w:szCs w:val="16"/>
              </w:rPr>
            </w:pPr>
            <w:r w:rsidRPr="00261B7A">
              <w:t>0.83</w:t>
            </w:r>
          </w:p>
        </w:tc>
        <w:tc>
          <w:tcPr>
            <w:tcW w:w="850" w:type="dxa"/>
          </w:tcPr>
          <w:p w14:paraId="0DB0253B" w14:textId="77777777" w:rsidR="00994F64" w:rsidRPr="00261B7A" w:rsidRDefault="00994F64" w:rsidP="00501B0F">
            <w:pPr>
              <w:pStyle w:val="TableText"/>
              <w:spacing w:before="50" w:after="50"/>
              <w:jc w:val="center"/>
              <w:rPr>
                <w:rFonts w:cs="Calibri"/>
                <w:color w:val="000000"/>
                <w:szCs w:val="16"/>
              </w:rPr>
            </w:pPr>
            <w:r w:rsidRPr="00261B7A">
              <w:t>0.14</w:t>
            </w:r>
          </w:p>
        </w:tc>
      </w:tr>
    </w:tbl>
    <w:p w14:paraId="0C954EDE" w14:textId="77777777" w:rsidR="00994F64" w:rsidRPr="00261B7A" w:rsidRDefault="00994F64" w:rsidP="00994F64">
      <w:pPr>
        <w:pStyle w:val="Heading3"/>
      </w:pPr>
      <w:bookmarkStart w:id="933" w:name="_Toc139253928"/>
      <w:bookmarkStart w:id="934" w:name="_Toc32570662"/>
      <w:r w:rsidRPr="00261B7A">
        <w:t>5.3.5</w:t>
      </w:r>
      <w:r w:rsidRPr="00261B7A">
        <w:tab/>
        <w:t>Source-specific recalculations</w:t>
      </w:r>
      <w:bookmarkEnd w:id="933"/>
      <w:bookmarkEnd w:id="934"/>
    </w:p>
    <w:p w14:paraId="56FF5BC3" w14:textId="77777777" w:rsidR="00994F64" w:rsidRPr="00261B7A" w:rsidRDefault="00994F64" w:rsidP="00994F64">
      <w:pPr>
        <w:pStyle w:val="BodyText"/>
      </w:pPr>
      <w:r w:rsidRPr="00261B7A">
        <w:t xml:space="preserve">Emissions estimates in the </w:t>
      </w:r>
      <w:r w:rsidRPr="00261B7A">
        <w:rPr>
          <w:i/>
          <w:iCs/>
        </w:rPr>
        <w:t>Manure management</w:t>
      </w:r>
      <w:r w:rsidRPr="00261B7A">
        <w:t xml:space="preserve"> category reported in the 2023 submission have been affected by a methodological improvement to</w:t>
      </w:r>
      <w:r w:rsidRPr="00261B7A">
        <w:rPr>
          <w:rFonts w:cs="Calibri"/>
          <w:color w:val="000000"/>
          <w:shd w:val="clear" w:color="auto" w:fill="FFFFFF"/>
        </w:rPr>
        <w:t xml:space="preserve"> estimates of within-year </w:t>
      </w:r>
      <w:r w:rsidRPr="00261B7A">
        <w:rPr>
          <w:rFonts w:cs="Calibri"/>
          <w:i/>
          <w:iCs/>
          <w:color w:val="000000"/>
          <w:shd w:val="clear" w:color="auto" w:fill="FFFFFF"/>
        </w:rPr>
        <w:t>Dairy cattle</w:t>
      </w:r>
      <w:r w:rsidRPr="00261B7A">
        <w:rPr>
          <w:rFonts w:cs="Calibri"/>
          <w:color w:val="000000"/>
          <w:shd w:val="clear" w:color="auto" w:fill="FFFFFF"/>
        </w:rPr>
        <w:t xml:space="preserve"> population change and a methodological improvement to feed quality values, to account</w:t>
      </w:r>
      <w:r w:rsidRPr="00261B7A">
        <w:rPr>
          <w:color w:val="000000"/>
          <w:shd w:val="clear" w:color="auto" w:fill="FFFFFF"/>
        </w:rPr>
        <w:t xml:space="preserve"> for the </w:t>
      </w:r>
      <w:r w:rsidRPr="00261B7A">
        <w:rPr>
          <w:rFonts w:cs="Calibri"/>
          <w:color w:val="000000"/>
          <w:shd w:val="clear" w:color="auto" w:fill="FFFFFF"/>
        </w:rPr>
        <w:t>use of non-pasture feed.</w:t>
      </w:r>
      <w:r w:rsidRPr="00261B7A">
        <w:rPr>
          <w:color w:val="000000"/>
          <w:shd w:val="clear" w:color="auto" w:fill="FFFFFF"/>
        </w:rPr>
        <w:t xml:space="preserve"> For more </w:t>
      </w:r>
      <w:r w:rsidRPr="00261B7A">
        <w:rPr>
          <w:rFonts w:cs="Calibri"/>
          <w:color w:val="000000"/>
          <w:shd w:val="clear" w:color="auto" w:fill="FFFFFF"/>
        </w:rPr>
        <w:t>detail on these changes,</w:t>
      </w:r>
      <w:r w:rsidRPr="00261B7A">
        <w:rPr>
          <w:color w:val="000000"/>
          <w:shd w:val="clear" w:color="auto" w:fill="FFFFFF"/>
        </w:rPr>
        <w:t xml:space="preserve"> see section </w:t>
      </w:r>
      <w:r w:rsidRPr="00261B7A">
        <w:rPr>
          <w:rFonts w:cs="Calibri"/>
          <w:color w:val="000000"/>
          <w:shd w:val="clear" w:color="auto" w:fill="FFFFFF"/>
        </w:rPr>
        <w:t xml:space="preserve">5.2.5. </w:t>
      </w:r>
    </w:p>
    <w:p w14:paraId="1D701BC3" w14:textId="77777777" w:rsidR="00994F64" w:rsidRPr="00261B7A" w:rsidRDefault="00994F64" w:rsidP="00994F64">
      <w:pPr>
        <w:pStyle w:val="BodyText"/>
      </w:pPr>
      <w:r w:rsidRPr="00261B7A">
        <w:t xml:space="preserve">The implementation of the 2023 changes to </w:t>
      </w:r>
      <w:r w:rsidRPr="00261B7A">
        <w:rPr>
          <w:rFonts w:cs="Calibri"/>
          <w:color w:val="000000"/>
          <w:shd w:val="clear" w:color="auto" w:fill="FFFFFF"/>
        </w:rPr>
        <w:t xml:space="preserve">estimates of within-year </w:t>
      </w:r>
      <w:r w:rsidRPr="00261B7A">
        <w:rPr>
          <w:rFonts w:cs="Calibri"/>
          <w:i/>
          <w:iCs/>
          <w:color w:val="000000"/>
          <w:shd w:val="clear" w:color="auto" w:fill="FFFFFF"/>
        </w:rPr>
        <w:t>Dairy cattle</w:t>
      </w:r>
      <w:r w:rsidRPr="00261B7A">
        <w:rPr>
          <w:rFonts w:cs="Calibri"/>
          <w:color w:val="000000"/>
          <w:shd w:val="clear" w:color="auto" w:fill="FFFFFF"/>
        </w:rPr>
        <w:t xml:space="preserve"> population change </w:t>
      </w:r>
      <w:r w:rsidRPr="00261B7A">
        <w:t xml:space="preserve">caused estimated emissions from the </w:t>
      </w:r>
      <w:r w:rsidRPr="00261B7A">
        <w:rPr>
          <w:i/>
          <w:iCs/>
        </w:rPr>
        <w:t>Manure management</w:t>
      </w:r>
      <w:r w:rsidRPr="00261B7A">
        <w:t xml:space="preserve"> category to decrease by 2.4 per cent (19.3 kt CO</w:t>
      </w:r>
      <w:r w:rsidRPr="00261B7A">
        <w:rPr>
          <w:vertAlign w:val="subscript"/>
        </w:rPr>
        <w:t>2</w:t>
      </w:r>
      <w:r w:rsidRPr="00261B7A">
        <w:t>-e) in 1990 and 1.8 per cent (30.3 kt CO</w:t>
      </w:r>
      <w:r w:rsidRPr="00261B7A">
        <w:rPr>
          <w:vertAlign w:val="subscript"/>
        </w:rPr>
        <w:t>2</w:t>
      </w:r>
      <w:r w:rsidRPr="00261B7A">
        <w:t>-e) in 2020 (see table 5.3.7).</w:t>
      </w:r>
    </w:p>
    <w:p w14:paraId="70E5CC19" w14:textId="77777777" w:rsidR="00994F64" w:rsidRPr="00261B7A" w:rsidRDefault="00994F64" w:rsidP="00994F64">
      <w:pPr>
        <w:pStyle w:val="BodyText"/>
      </w:pPr>
      <w:r w:rsidRPr="00261B7A">
        <w:t xml:space="preserve">The inclusion of non-pasture feed reported in the 2023 submission caused estimated emissions from the </w:t>
      </w:r>
      <w:r w:rsidRPr="00261B7A">
        <w:rPr>
          <w:i/>
          <w:iCs/>
        </w:rPr>
        <w:t xml:space="preserve">Manure management </w:t>
      </w:r>
      <w:r w:rsidRPr="00261B7A">
        <w:t>category to increase by 1.2 per cent (9.3 kt CO</w:t>
      </w:r>
      <w:r w:rsidRPr="00261B7A">
        <w:rPr>
          <w:vertAlign w:val="subscript"/>
        </w:rPr>
        <w:t>2</w:t>
      </w:r>
      <w:r w:rsidRPr="00261B7A">
        <w:t>-e) in 1990 and decrease by 1.4 per cent (24.8 kt CO</w:t>
      </w:r>
      <w:r w:rsidRPr="00261B7A">
        <w:rPr>
          <w:vertAlign w:val="subscript"/>
        </w:rPr>
        <w:t>2</w:t>
      </w:r>
      <w:r w:rsidRPr="00261B7A">
        <w:t>-e) in 2020 (see table 5.3.8).</w:t>
      </w:r>
    </w:p>
    <w:p w14:paraId="3AD3C721" w14:textId="77777777" w:rsidR="00994F64" w:rsidRPr="00261B7A" w:rsidRDefault="00994F64" w:rsidP="00994F64">
      <w:pPr>
        <w:pStyle w:val="Table"/>
        <w:rPr>
          <w:rFonts w:cs="Calibri"/>
        </w:rPr>
      </w:pPr>
      <w:bookmarkStart w:id="935" w:name="_Toc127458265"/>
      <w:bookmarkStart w:id="936" w:name="_Toc131591361"/>
      <w:r w:rsidRPr="00261B7A">
        <w:rPr>
          <w:rFonts w:cs="Calibri"/>
        </w:rPr>
        <w:t>Table 5.3.7</w:t>
      </w:r>
      <w:r w:rsidRPr="00261B7A">
        <w:rPr>
          <w:rFonts w:cs="Calibri"/>
        </w:rPr>
        <w:tab/>
        <w:t xml:space="preserve">Comparison of the previous dairy population model and the improved dairy population model for emissions from </w:t>
      </w:r>
      <w:r w:rsidRPr="00261B7A">
        <w:rPr>
          <w:rFonts w:cs="Calibri"/>
          <w:i/>
          <w:iCs/>
        </w:rPr>
        <w:t>Manure management</w:t>
      </w:r>
      <w:bookmarkEnd w:id="935"/>
      <w:bookmarkEnd w:id="936"/>
      <w:r w:rsidRPr="00261B7A">
        <w:rPr>
          <w:rFonts w:cs="Calibri"/>
          <w:i/>
          <w:iCs/>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Look w:val="04A0" w:firstRow="1" w:lastRow="0" w:firstColumn="1" w:lastColumn="0" w:noHBand="0" w:noVBand="1"/>
      </w:tblPr>
      <w:tblGrid>
        <w:gridCol w:w="1759"/>
        <w:gridCol w:w="2346"/>
        <w:gridCol w:w="586"/>
        <w:gridCol w:w="707"/>
        <w:gridCol w:w="1524"/>
        <w:gridCol w:w="1583"/>
      </w:tblGrid>
      <w:tr w:rsidR="00850573" w:rsidRPr="00261B7A" w14:paraId="7A2D7D89" w14:textId="77777777" w:rsidTr="00850573">
        <w:tc>
          <w:tcPr>
            <w:tcW w:w="1748" w:type="dxa"/>
            <w:shd w:val="clear" w:color="000000" w:fill="1B556B"/>
            <w:vAlign w:val="bottom"/>
            <w:hideMark/>
          </w:tcPr>
          <w:p w14:paraId="698B1421" w14:textId="77777777" w:rsidR="00994F64" w:rsidRPr="00261B7A" w:rsidRDefault="00994F64" w:rsidP="00E20D61">
            <w:pPr>
              <w:pStyle w:val="TableText"/>
              <w:keepNext/>
              <w:spacing w:before="50" w:after="50"/>
              <w:rPr>
                <w:b/>
                <w:bCs/>
                <w:color w:val="FFFFFF" w:themeColor="background1"/>
              </w:rPr>
            </w:pPr>
            <w:r w:rsidRPr="00261B7A">
              <w:rPr>
                <w:b/>
                <w:bCs/>
                <w:color w:val="FFFFFF" w:themeColor="background1"/>
              </w:rPr>
              <w:t>Emissions (kt CO</w:t>
            </w:r>
            <w:r w:rsidRPr="00261B7A">
              <w:rPr>
                <w:b/>
                <w:bCs/>
                <w:color w:val="FFFFFF" w:themeColor="background1"/>
                <w:vertAlign w:val="subscript"/>
              </w:rPr>
              <w:t>2</w:t>
            </w:r>
            <w:r w:rsidRPr="00261B7A">
              <w:rPr>
                <w:b/>
                <w:bCs/>
                <w:color w:val="FFFFFF" w:themeColor="background1"/>
              </w:rPr>
              <w:t>-e)</w:t>
            </w:r>
          </w:p>
        </w:tc>
        <w:tc>
          <w:tcPr>
            <w:tcW w:w="2331" w:type="dxa"/>
            <w:shd w:val="clear" w:color="000000" w:fill="1B556B"/>
            <w:vAlign w:val="bottom"/>
            <w:hideMark/>
          </w:tcPr>
          <w:p w14:paraId="17901959" w14:textId="77777777" w:rsidR="00994F64" w:rsidRPr="00261B7A" w:rsidRDefault="00994F64" w:rsidP="00E20D61">
            <w:pPr>
              <w:pStyle w:val="TableText"/>
              <w:keepNext/>
              <w:spacing w:before="50" w:after="50"/>
              <w:rPr>
                <w:b/>
                <w:bCs/>
                <w:color w:val="FFFFFF" w:themeColor="background1"/>
              </w:rPr>
            </w:pPr>
            <w:r w:rsidRPr="00261B7A">
              <w:rPr>
                <w:b/>
                <w:bCs/>
                <w:color w:val="FFFFFF" w:themeColor="background1"/>
              </w:rPr>
              <w:t> </w:t>
            </w:r>
          </w:p>
        </w:tc>
        <w:tc>
          <w:tcPr>
            <w:tcW w:w="582" w:type="dxa"/>
            <w:shd w:val="clear" w:color="000000" w:fill="1B556B"/>
            <w:vAlign w:val="bottom"/>
            <w:hideMark/>
          </w:tcPr>
          <w:p w14:paraId="0E291944" w14:textId="77777777" w:rsidR="00994F64" w:rsidRPr="00261B7A" w:rsidRDefault="00994F64" w:rsidP="00E20D61">
            <w:pPr>
              <w:pStyle w:val="TableText"/>
              <w:keepNext/>
              <w:spacing w:before="50" w:after="50"/>
              <w:jc w:val="center"/>
              <w:rPr>
                <w:b/>
                <w:bCs/>
                <w:color w:val="FFFFFF" w:themeColor="background1"/>
              </w:rPr>
            </w:pPr>
            <w:r w:rsidRPr="00261B7A">
              <w:rPr>
                <w:b/>
                <w:bCs/>
                <w:color w:val="FFFFFF" w:themeColor="background1"/>
              </w:rPr>
              <w:t>1990</w:t>
            </w:r>
          </w:p>
        </w:tc>
        <w:tc>
          <w:tcPr>
            <w:tcW w:w="680" w:type="dxa"/>
            <w:shd w:val="clear" w:color="000000" w:fill="1B556B"/>
            <w:vAlign w:val="bottom"/>
            <w:hideMark/>
          </w:tcPr>
          <w:p w14:paraId="59BB0671" w14:textId="77777777" w:rsidR="00994F64" w:rsidRPr="00261B7A" w:rsidRDefault="00994F64" w:rsidP="00E20D61">
            <w:pPr>
              <w:pStyle w:val="TableText"/>
              <w:keepNext/>
              <w:spacing w:before="50" w:after="50"/>
              <w:jc w:val="center"/>
              <w:rPr>
                <w:b/>
                <w:bCs/>
                <w:color w:val="FFFFFF" w:themeColor="background1"/>
              </w:rPr>
            </w:pPr>
            <w:r w:rsidRPr="00261B7A">
              <w:rPr>
                <w:b/>
                <w:bCs/>
                <w:color w:val="FFFFFF" w:themeColor="background1"/>
              </w:rPr>
              <w:t>2020</w:t>
            </w:r>
          </w:p>
        </w:tc>
        <w:tc>
          <w:tcPr>
            <w:tcW w:w="1514" w:type="dxa"/>
            <w:shd w:val="clear" w:color="000000" w:fill="1B556B"/>
            <w:vAlign w:val="bottom"/>
            <w:hideMark/>
          </w:tcPr>
          <w:p w14:paraId="76F2F47D" w14:textId="77777777" w:rsidR="00994F64" w:rsidRPr="00261B7A" w:rsidRDefault="00994F64" w:rsidP="00E20D61">
            <w:pPr>
              <w:pStyle w:val="TableText"/>
              <w:keepNext/>
              <w:spacing w:before="50" w:after="50"/>
              <w:jc w:val="center"/>
              <w:rPr>
                <w:b/>
                <w:bCs/>
                <w:color w:val="FFFFFF" w:themeColor="background1"/>
              </w:rPr>
            </w:pPr>
            <w:r w:rsidRPr="00261B7A">
              <w:rPr>
                <w:b/>
                <w:bCs/>
                <w:color w:val="FFFFFF" w:themeColor="background1"/>
              </w:rPr>
              <w:t>Change in emission outputs between 1990 and 2020 (kt CO</w:t>
            </w:r>
            <w:r w:rsidRPr="00261B7A">
              <w:rPr>
                <w:b/>
                <w:bCs/>
                <w:color w:val="FFFFFF" w:themeColor="background1"/>
                <w:vertAlign w:val="subscript"/>
              </w:rPr>
              <w:t>2</w:t>
            </w:r>
            <w:r w:rsidRPr="00261B7A">
              <w:rPr>
                <w:b/>
                <w:bCs/>
                <w:color w:val="FFFFFF" w:themeColor="background1"/>
              </w:rPr>
              <w:t>-e)</w:t>
            </w:r>
          </w:p>
        </w:tc>
        <w:tc>
          <w:tcPr>
            <w:tcW w:w="1573" w:type="dxa"/>
            <w:shd w:val="clear" w:color="000000" w:fill="1B556B"/>
            <w:vAlign w:val="bottom"/>
            <w:hideMark/>
          </w:tcPr>
          <w:p w14:paraId="619A5EA3" w14:textId="77777777" w:rsidR="00994F64" w:rsidRPr="00261B7A" w:rsidRDefault="00994F64" w:rsidP="00E20D61">
            <w:pPr>
              <w:pStyle w:val="TableText"/>
              <w:keepNext/>
              <w:spacing w:before="50" w:after="50"/>
              <w:jc w:val="center"/>
              <w:rPr>
                <w:b/>
                <w:bCs/>
                <w:color w:val="FFFFFF" w:themeColor="background1"/>
              </w:rPr>
            </w:pPr>
            <w:r w:rsidRPr="00261B7A">
              <w:rPr>
                <w:b/>
                <w:bCs/>
                <w:color w:val="FFFFFF" w:themeColor="background1"/>
              </w:rPr>
              <w:t>Percentage change in emission outputs between 1990 and 2020 (%)</w:t>
            </w:r>
          </w:p>
        </w:tc>
      </w:tr>
      <w:tr w:rsidR="00994F64" w:rsidRPr="00261B7A" w14:paraId="3B969273" w14:textId="77777777" w:rsidTr="00850573">
        <w:tc>
          <w:tcPr>
            <w:tcW w:w="1748" w:type="dxa"/>
            <w:vMerge w:val="restart"/>
            <w:shd w:val="clear" w:color="auto" w:fill="auto"/>
            <w:vAlign w:val="center"/>
            <w:hideMark/>
          </w:tcPr>
          <w:p w14:paraId="3E35E74E" w14:textId="77777777" w:rsidR="00994F64" w:rsidRPr="00261B7A" w:rsidRDefault="00994F64" w:rsidP="00E20D61">
            <w:pPr>
              <w:pStyle w:val="TableText"/>
              <w:keepNext/>
              <w:spacing w:before="50" w:after="50"/>
              <w:rPr>
                <w:color w:val="000000"/>
              </w:rPr>
            </w:pPr>
            <w:r w:rsidRPr="00261B7A">
              <w:rPr>
                <w:color w:val="000000"/>
              </w:rPr>
              <w:t xml:space="preserve">Total emissions from </w:t>
            </w:r>
            <w:r w:rsidRPr="00261B7A">
              <w:rPr>
                <w:i/>
                <w:iCs/>
                <w:color w:val="000000"/>
              </w:rPr>
              <w:t>Manure management</w:t>
            </w:r>
            <w:r w:rsidRPr="00261B7A">
              <w:rPr>
                <w:color w:val="000000"/>
              </w:rPr>
              <w:t xml:space="preserve"> (kt CO</w:t>
            </w:r>
            <w:r w:rsidRPr="00261B7A">
              <w:rPr>
                <w:color w:val="000000"/>
                <w:vertAlign w:val="subscript"/>
              </w:rPr>
              <w:t>2</w:t>
            </w:r>
            <w:r w:rsidRPr="00261B7A">
              <w:rPr>
                <w:color w:val="000000"/>
              </w:rPr>
              <w:t>-e)</w:t>
            </w:r>
          </w:p>
        </w:tc>
        <w:tc>
          <w:tcPr>
            <w:tcW w:w="2331" w:type="dxa"/>
            <w:shd w:val="clear" w:color="auto" w:fill="auto"/>
            <w:vAlign w:val="center"/>
            <w:hideMark/>
          </w:tcPr>
          <w:p w14:paraId="34F782F6" w14:textId="77777777" w:rsidR="00994F64" w:rsidRPr="00261B7A" w:rsidRDefault="00994F64" w:rsidP="00E20D61">
            <w:pPr>
              <w:pStyle w:val="TableText"/>
              <w:keepNext/>
              <w:spacing w:before="50" w:after="50"/>
              <w:rPr>
                <w:color w:val="000000"/>
              </w:rPr>
            </w:pPr>
            <w:r w:rsidRPr="00261B7A">
              <w:rPr>
                <w:color w:val="000000"/>
              </w:rPr>
              <w:t>2023 (1990–2021) emissions estimate using previous population model </w:t>
            </w:r>
          </w:p>
        </w:tc>
        <w:tc>
          <w:tcPr>
            <w:tcW w:w="582" w:type="dxa"/>
            <w:shd w:val="clear" w:color="auto" w:fill="auto"/>
            <w:vAlign w:val="center"/>
            <w:hideMark/>
          </w:tcPr>
          <w:p w14:paraId="1667F93A" w14:textId="77777777" w:rsidR="00994F64" w:rsidRPr="00261B7A" w:rsidRDefault="00994F64" w:rsidP="00E20D61">
            <w:pPr>
              <w:pStyle w:val="TableText"/>
              <w:keepNext/>
              <w:spacing w:before="50" w:after="50"/>
              <w:jc w:val="center"/>
              <w:rPr>
                <w:color w:val="000000"/>
                <w:highlight w:val="green"/>
              </w:rPr>
            </w:pPr>
            <w:r w:rsidRPr="00261B7A">
              <w:rPr>
                <w:color w:val="000000"/>
              </w:rPr>
              <w:t>791.0</w:t>
            </w:r>
          </w:p>
        </w:tc>
        <w:tc>
          <w:tcPr>
            <w:tcW w:w="680" w:type="dxa"/>
            <w:shd w:val="clear" w:color="auto" w:fill="auto"/>
            <w:vAlign w:val="center"/>
            <w:hideMark/>
          </w:tcPr>
          <w:p w14:paraId="2DD0E217" w14:textId="77777777" w:rsidR="00994F64" w:rsidRPr="00261B7A" w:rsidRDefault="00994F64" w:rsidP="00E20D61">
            <w:pPr>
              <w:pStyle w:val="TableText"/>
              <w:keepNext/>
              <w:spacing w:before="50" w:after="50"/>
              <w:jc w:val="center"/>
              <w:rPr>
                <w:color w:val="000000"/>
                <w:highlight w:val="green"/>
              </w:rPr>
            </w:pPr>
            <w:r w:rsidRPr="00261B7A">
              <w:rPr>
                <w:color w:val="000000"/>
              </w:rPr>
              <w:t>1,716.6</w:t>
            </w:r>
          </w:p>
        </w:tc>
        <w:tc>
          <w:tcPr>
            <w:tcW w:w="1514" w:type="dxa"/>
            <w:shd w:val="clear" w:color="auto" w:fill="auto"/>
            <w:vAlign w:val="center"/>
            <w:hideMark/>
          </w:tcPr>
          <w:p w14:paraId="417E52CA" w14:textId="77777777" w:rsidR="00994F64" w:rsidRPr="00261B7A" w:rsidRDefault="00994F64" w:rsidP="00E20D61">
            <w:pPr>
              <w:pStyle w:val="TableText"/>
              <w:keepNext/>
              <w:spacing w:before="50" w:after="50"/>
              <w:jc w:val="center"/>
              <w:rPr>
                <w:color w:val="000000"/>
                <w:highlight w:val="green"/>
              </w:rPr>
            </w:pPr>
            <w:r w:rsidRPr="00261B7A">
              <w:rPr>
                <w:color w:val="000000"/>
              </w:rPr>
              <w:t>925.6</w:t>
            </w:r>
          </w:p>
        </w:tc>
        <w:tc>
          <w:tcPr>
            <w:tcW w:w="1573" w:type="dxa"/>
            <w:shd w:val="clear" w:color="auto" w:fill="auto"/>
            <w:vAlign w:val="center"/>
            <w:hideMark/>
          </w:tcPr>
          <w:p w14:paraId="263ADF55" w14:textId="77777777" w:rsidR="00994F64" w:rsidRPr="00261B7A" w:rsidRDefault="00994F64" w:rsidP="00E20D61">
            <w:pPr>
              <w:pStyle w:val="TableText"/>
              <w:keepNext/>
              <w:spacing w:before="50" w:after="50"/>
              <w:jc w:val="center"/>
              <w:rPr>
                <w:color w:val="000000"/>
                <w:highlight w:val="green"/>
              </w:rPr>
            </w:pPr>
            <w:r w:rsidRPr="00261B7A">
              <w:rPr>
                <w:color w:val="000000"/>
              </w:rPr>
              <w:t>117</w:t>
            </w:r>
          </w:p>
        </w:tc>
      </w:tr>
      <w:tr w:rsidR="00994F64" w:rsidRPr="00261B7A" w14:paraId="19CA0BF6" w14:textId="77777777" w:rsidTr="00850573">
        <w:tc>
          <w:tcPr>
            <w:tcW w:w="1748" w:type="dxa"/>
            <w:vMerge/>
            <w:vAlign w:val="center"/>
            <w:hideMark/>
          </w:tcPr>
          <w:p w14:paraId="1A7D2610" w14:textId="77777777" w:rsidR="00994F64" w:rsidRPr="00261B7A" w:rsidRDefault="00994F64" w:rsidP="00586C84">
            <w:pPr>
              <w:pStyle w:val="TableText"/>
              <w:spacing w:before="50" w:after="50"/>
              <w:rPr>
                <w:color w:val="000000"/>
              </w:rPr>
            </w:pPr>
          </w:p>
        </w:tc>
        <w:tc>
          <w:tcPr>
            <w:tcW w:w="2331" w:type="dxa"/>
            <w:shd w:val="clear" w:color="auto" w:fill="auto"/>
            <w:vAlign w:val="center"/>
            <w:hideMark/>
          </w:tcPr>
          <w:p w14:paraId="4E29F6F3" w14:textId="2FD41DD0" w:rsidR="00994F64" w:rsidRPr="00261B7A" w:rsidRDefault="00994F64" w:rsidP="00586C84">
            <w:pPr>
              <w:pStyle w:val="TableText"/>
              <w:spacing w:before="50" w:after="50"/>
              <w:rPr>
                <w:color w:val="000000"/>
              </w:rPr>
            </w:pPr>
            <w:r w:rsidRPr="00261B7A">
              <w:rPr>
                <w:color w:val="000000"/>
              </w:rPr>
              <w:t>2023 (1990–2021) emissions estimate using new population model</w:t>
            </w:r>
          </w:p>
        </w:tc>
        <w:tc>
          <w:tcPr>
            <w:tcW w:w="582" w:type="dxa"/>
            <w:shd w:val="clear" w:color="auto" w:fill="auto"/>
            <w:vAlign w:val="center"/>
            <w:hideMark/>
          </w:tcPr>
          <w:p w14:paraId="3AF39887" w14:textId="77777777" w:rsidR="00994F64" w:rsidRPr="00261B7A" w:rsidRDefault="00994F64" w:rsidP="00586C84">
            <w:pPr>
              <w:pStyle w:val="TableText"/>
              <w:spacing w:before="50" w:after="50"/>
              <w:jc w:val="center"/>
              <w:rPr>
                <w:color w:val="000000"/>
                <w:highlight w:val="green"/>
              </w:rPr>
            </w:pPr>
            <w:r w:rsidRPr="00261B7A">
              <w:rPr>
                <w:color w:val="000000"/>
              </w:rPr>
              <w:t>771.7</w:t>
            </w:r>
          </w:p>
        </w:tc>
        <w:tc>
          <w:tcPr>
            <w:tcW w:w="680" w:type="dxa"/>
            <w:shd w:val="clear" w:color="auto" w:fill="auto"/>
            <w:vAlign w:val="center"/>
            <w:hideMark/>
          </w:tcPr>
          <w:p w14:paraId="2E2F3B20" w14:textId="77777777" w:rsidR="00994F64" w:rsidRPr="00261B7A" w:rsidRDefault="00994F64" w:rsidP="00586C84">
            <w:pPr>
              <w:pStyle w:val="TableText"/>
              <w:spacing w:before="50" w:after="50"/>
              <w:jc w:val="center"/>
              <w:rPr>
                <w:color w:val="000000"/>
                <w:highlight w:val="green"/>
              </w:rPr>
            </w:pPr>
            <w:r w:rsidRPr="00261B7A">
              <w:rPr>
                <w:color w:val="000000"/>
              </w:rPr>
              <w:t>1,686.3</w:t>
            </w:r>
          </w:p>
        </w:tc>
        <w:tc>
          <w:tcPr>
            <w:tcW w:w="1514" w:type="dxa"/>
            <w:shd w:val="clear" w:color="auto" w:fill="auto"/>
            <w:vAlign w:val="center"/>
            <w:hideMark/>
          </w:tcPr>
          <w:p w14:paraId="64FC0A6C" w14:textId="77777777" w:rsidR="00994F64" w:rsidRPr="00261B7A" w:rsidRDefault="00994F64" w:rsidP="00586C84">
            <w:pPr>
              <w:pStyle w:val="TableText"/>
              <w:spacing w:before="50" w:after="50"/>
              <w:jc w:val="center"/>
              <w:rPr>
                <w:color w:val="000000"/>
                <w:highlight w:val="green"/>
              </w:rPr>
            </w:pPr>
            <w:r w:rsidRPr="00261B7A">
              <w:rPr>
                <w:color w:val="000000"/>
              </w:rPr>
              <w:t>914.6</w:t>
            </w:r>
          </w:p>
        </w:tc>
        <w:tc>
          <w:tcPr>
            <w:tcW w:w="1573" w:type="dxa"/>
            <w:shd w:val="clear" w:color="auto" w:fill="auto"/>
            <w:vAlign w:val="center"/>
            <w:hideMark/>
          </w:tcPr>
          <w:p w14:paraId="3428BC3C" w14:textId="77777777" w:rsidR="00994F64" w:rsidRPr="00261B7A" w:rsidRDefault="00994F64" w:rsidP="00586C84">
            <w:pPr>
              <w:pStyle w:val="TableText"/>
              <w:spacing w:before="50" w:after="50"/>
              <w:jc w:val="center"/>
              <w:rPr>
                <w:color w:val="000000"/>
                <w:highlight w:val="green"/>
              </w:rPr>
            </w:pPr>
            <w:r w:rsidRPr="00261B7A">
              <w:rPr>
                <w:color w:val="000000"/>
              </w:rPr>
              <w:t>119</w:t>
            </w:r>
          </w:p>
        </w:tc>
      </w:tr>
      <w:tr w:rsidR="00994F64" w:rsidRPr="00261B7A" w14:paraId="27981AA6" w14:textId="77777777" w:rsidTr="00850573">
        <w:tc>
          <w:tcPr>
            <w:tcW w:w="1748" w:type="dxa"/>
            <w:vMerge/>
            <w:vAlign w:val="center"/>
            <w:hideMark/>
          </w:tcPr>
          <w:p w14:paraId="77399EC0" w14:textId="77777777" w:rsidR="00994F64" w:rsidRPr="00261B7A" w:rsidRDefault="00994F64" w:rsidP="00586C84">
            <w:pPr>
              <w:pStyle w:val="TableText"/>
              <w:spacing w:before="50" w:after="50"/>
              <w:rPr>
                <w:color w:val="000000"/>
              </w:rPr>
            </w:pPr>
          </w:p>
        </w:tc>
        <w:tc>
          <w:tcPr>
            <w:tcW w:w="2331" w:type="dxa"/>
            <w:shd w:val="clear" w:color="auto" w:fill="auto"/>
            <w:vAlign w:val="center"/>
            <w:hideMark/>
          </w:tcPr>
          <w:p w14:paraId="788C2967" w14:textId="77777777" w:rsidR="00994F64" w:rsidRPr="00261B7A" w:rsidRDefault="00994F64" w:rsidP="00586C84">
            <w:pPr>
              <w:pStyle w:val="TableText"/>
              <w:spacing w:before="50" w:after="50"/>
              <w:rPr>
                <w:color w:val="000000"/>
              </w:rPr>
            </w:pPr>
            <w:r w:rsidRPr="00261B7A">
              <w:rPr>
                <w:color w:val="000000"/>
              </w:rPr>
              <w:t>Difference in emissions estimates compared with current inventory </w:t>
            </w:r>
          </w:p>
        </w:tc>
        <w:tc>
          <w:tcPr>
            <w:tcW w:w="582" w:type="dxa"/>
            <w:shd w:val="clear" w:color="auto" w:fill="auto"/>
            <w:vAlign w:val="center"/>
            <w:hideMark/>
          </w:tcPr>
          <w:p w14:paraId="341D45C9" w14:textId="77777777" w:rsidR="00994F64" w:rsidRPr="00261B7A" w:rsidRDefault="00994F64" w:rsidP="00586C84">
            <w:pPr>
              <w:pStyle w:val="TableText"/>
              <w:spacing w:before="50" w:after="50"/>
              <w:jc w:val="center"/>
              <w:rPr>
                <w:color w:val="000000"/>
                <w:highlight w:val="green"/>
              </w:rPr>
            </w:pPr>
            <w:r w:rsidRPr="00261B7A">
              <w:rPr>
                <w:color w:val="000000"/>
              </w:rPr>
              <w:t>–19.3</w:t>
            </w:r>
          </w:p>
        </w:tc>
        <w:tc>
          <w:tcPr>
            <w:tcW w:w="680" w:type="dxa"/>
            <w:shd w:val="clear" w:color="auto" w:fill="auto"/>
            <w:vAlign w:val="center"/>
            <w:hideMark/>
          </w:tcPr>
          <w:p w14:paraId="620B031D" w14:textId="77777777" w:rsidR="00994F64" w:rsidRPr="00261B7A" w:rsidRDefault="00994F64" w:rsidP="00586C84">
            <w:pPr>
              <w:pStyle w:val="TableText"/>
              <w:spacing w:before="50" w:after="50"/>
              <w:jc w:val="center"/>
              <w:rPr>
                <w:color w:val="000000"/>
                <w:highlight w:val="green"/>
              </w:rPr>
            </w:pPr>
            <w:r w:rsidRPr="00261B7A">
              <w:rPr>
                <w:color w:val="000000"/>
              </w:rPr>
              <w:t>–30.3</w:t>
            </w:r>
          </w:p>
        </w:tc>
        <w:tc>
          <w:tcPr>
            <w:tcW w:w="1514" w:type="dxa"/>
            <w:shd w:val="clear" w:color="auto" w:fill="auto"/>
            <w:vAlign w:val="center"/>
            <w:hideMark/>
          </w:tcPr>
          <w:p w14:paraId="5B835A3B" w14:textId="77777777" w:rsidR="00994F64" w:rsidRPr="00261B7A" w:rsidRDefault="00994F64" w:rsidP="00586C84">
            <w:pPr>
              <w:pStyle w:val="TableText"/>
              <w:spacing w:before="50" w:after="50"/>
              <w:jc w:val="center"/>
              <w:rPr>
                <w:color w:val="000000"/>
                <w:highlight w:val="green"/>
              </w:rPr>
            </w:pPr>
            <w:r w:rsidRPr="00261B7A">
              <w:rPr>
                <w:color w:val="000000"/>
              </w:rPr>
              <w:t>–11.0</w:t>
            </w:r>
          </w:p>
        </w:tc>
        <w:tc>
          <w:tcPr>
            <w:tcW w:w="1573" w:type="dxa"/>
            <w:shd w:val="clear" w:color="auto" w:fill="auto"/>
            <w:vAlign w:val="center"/>
            <w:hideMark/>
          </w:tcPr>
          <w:p w14:paraId="59297C73" w14:textId="77777777" w:rsidR="00994F64" w:rsidRPr="00261B7A" w:rsidRDefault="00994F64" w:rsidP="00586C84">
            <w:pPr>
              <w:pStyle w:val="TableText"/>
              <w:spacing w:before="50" w:after="50"/>
              <w:jc w:val="center"/>
              <w:rPr>
                <w:color w:val="000000"/>
                <w:highlight w:val="green"/>
              </w:rPr>
            </w:pPr>
          </w:p>
        </w:tc>
      </w:tr>
      <w:tr w:rsidR="00994F64" w:rsidRPr="00261B7A" w14:paraId="6418DF84" w14:textId="77777777" w:rsidTr="00850573">
        <w:tc>
          <w:tcPr>
            <w:tcW w:w="1748" w:type="dxa"/>
            <w:vMerge/>
            <w:vAlign w:val="center"/>
            <w:hideMark/>
          </w:tcPr>
          <w:p w14:paraId="1143281A" w14:textId="77777777" w:rsidR="00994F64" w:rsidRPr="00261B7A" w:rsidRDefault="00994F64" w:rsidP="00586C84">
            <w:pPr>
              <w:pStyle w:val="TableText"/>
              <w:spacing w:before="50" w:after="50"/>
              <w:rPr>
                <w:color w:val="000000"/>
              </w:rPr>
            </w:pPr>
          </w:p>
        </w:tc>
        <w:tc>
          <w:tcPr>
            <w:tcW w:w="2331" w:type="dxa"/>
            <w:shd w:val="clear" w:color="auto" w:fill="auto"/>
            <w:vAlign w:val="center"/>
            <w:hideMark/>
          </w:tcPr>
          <w:p w14:paraId="58662018" w14:textId="77777777" w:rsidR="00994F64" w:rsidRPr="00261B7A" w:rsidRDefault="00994F64" w:rsidP="00586C84">
            <w:pPr>
              <w:pStyle w:val="TableText"/>
              <w:spacing w:before="50" w:after="50"/>
              <w:rPr>
                <w:color w:val="000000"/>
              </w:rPr>
            </w:pPr>
            <w:r w:rsidRPr="00261B7A">
              <w:rPr>
                <w:color w:val="000000"/>
              </w:rPr>
              <w:t>Percentage difference in emissions estimates (%)</w:t>
            </w:r>
          </w:p>
        </w:tc>
        <w:tc>
          <w:tcPr>
            <w:tcW w:w="582" w:type="dxa"/>
            <w:shd w:val="clear" w:color="auto" w:fill="auto"/>
            <w:vAlign w:val="center"/>
            <w:hideMark/>
          </w:tcPr>
          <w:p w14:paraId="60EA30D4" w14:textId="77777777" w:rsidR="00994F64" w:rsidRPr="00261B7A" w:rsidRDefault="00994F64" w:rsidP="00586C84">
            <w:pPr>
              <w:pStyle w:val="TableText"/>
              <w:spacing w:before="50" w:after="50"/>
              <w:jc w:val="center"/>
              <w:rPr>
                <w:color w:val="000000"/>
                <w:highlight w:val="green"/>
              </w:rPr>
            </w:pPr>
            <w:r w:rsidRPr="00261B7A">
              <w:rPr>
                <w:color w:val="000000"/>
              </w:rPr>
              <w:t>–2.4</w:t>
            </w:r>
          </w:p>
        </w:tc>
        <w:tc>
          <w:tcPr>
            <w:tcW w:w="680" w:type="dxa"/>
            <w:shd w:val="clear" w:color="auto" w:fill="auto"/>
            <w:vAlign w:val="center"/>
            <w:hideMark/>
          </w:tcPr>
          <w:p w14:paraId="13601560" w14:textId="77777777" w:rsidR="00994F64" w:rsidRPr="00261B7A" w:rsidRDefault="00994F64" w:rsidP="00586C84">
            <w:pPr>
              <w:pStyle w:val="TableText"/>
              <w:spacing w:before="50" w:after="50"/>
              <w:jc w:val="center"/>
              <w:rPr>
                <w:color w:val="000000"/>
                <w:highlight w:val="green"/>
              </w:rPr>
            </w:pPr>
            <w:r w:rsidRPr="00261B7A">
              <w:rPr>
                <w:color w:val="000000"/>
              </w:rPr>
              <w:t>–1.8</w:t>
            </w:r>
          </w:p>
        </w:tc>
        <w:tc>
          <w:tcPr>
            <w:tcW w:w="1514" w:type="dxa"/>
            <w:shd w:val="clear" w:color="auto" w:fill="auto"/>
            <w:vAlign w:val="center"/>
            <w:hideMark/>
          </w:tcPr>
          <w:p w14:paraId="6820CDFA" w14:textId="77777777" w:rsidR="00994F64" w:rsidRPr="00261B7A" w:rsidRDefault="00994F64" w:rsidP="00586C84">
            <w:pPr>
              <w:pStyle w:val="TableText"/>
              <w:spacing w:before="50" w:after="50"/>
              <w:jc w:val="center"/>
              <w:rPr>
                <w:color w:val="000000"/>
                <w:highlight w:val="green"/>
              </w:rPr>
            </w:pPr>
          </w:p>
        </w:tc>
        <w:tc>
          <w:tcPr>
            <w:tcW w:w="1573" w:type="dxa"/>
            <w:shd w:val="clear" w:color="auto" w:fill="auto"/>
            <w:vAlign w:val="center"/>
            <w:hideMark/>
          </w:tcPr>
          <w:p w14:paraId="4D8AE24F" w14:textId="77777777" w:rsidR="00994F64" w:rsidRPr="00261B7A" w:rsidRDefault="00994F64" w:rsidP="00586C84">
            <w:pPr>
              <w:pStyle w:val="TableText"/>
              <w:spacing w:before="50" w:after="50"/>
              <w:jc w:val="center"/>
              <w:rPr>
                <w:color w:val="000000"/>
                <w:highlight w:val="green"/>
              </w:rPr>
            </w:pPr>
          </w:p>
        </w:tc>
      </w:tr>
    </w:tbl>
    <w:p w14:paraId="2943BD98" w14:textId="77777777" w:rsidR="00994F64" w:rsidRPr="00261B7A" w:rsidRDefault="00994F64" w:rsidP="00994F64">
      <w:pPr>
        <w:pStyle w:val="BodyText"/>
        <w:spacing w:before="0" w:after="0"/>
      </w:pPr>
      <w:bookmarkStart w:id="937" w:name="_Toc127458266"/>
    </w:p>
    <w:p w14:paraId="26CD469D" w14:textId="77777777" w:rsidR="00994F64" w:rsidRPr="00261B7A" w:rsidRDefault="00994F64" w:rsidP="00994F64">
      <w:pPr>
        <w:pStyle w:val="Table"/>
        <w:rPr>
          <w:rFonts w:cs="Calibri"/>
        </w:rPr>
      </w:pPr>
      <w:bookmarkStart w:id="938" w:name="_Toc131591362"/>
      <w:r w:rsidRPr="00261B7A">
        <w:rPr>
          <w:rFonts w:cs="Calibri"/>
        </w:rPr>
        <w:t>Table 5.3.8</w:t>
      </w:r>
      <w:r w:rsidRPr="00261B7A">
        <w:rPr>
          <w:rFonts w:cs="Calibri"/>
        </w:rPr>
        <w:tab/>
        <w:t xml:space="preserve">Comparison of the pasture quality values and the adjusted feed quality values for emissions from </w:t>
      </w:r>
      <w:r w:rsidRPr="00261B7A">
        <w:rPr>
          <w:rFonts w:cs="Calibri"/>
          <w:i/>
          <w:iCs/>
        </w:rPr>
        <w:t>Manure management</w:t>
      </w:r>
      <w:bookmarkEnd w:id="937"/>
      <w:bookmarkEnd w:id="938"/>
      <w:r w:rsidRPr="00261B7A">
        <w:rPr>
          <w:rFonts w:cs="Calibri"/>
          <w:i/>
          <w:iCs/>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Look w:val="04A0" w:firstRow="1" w:lastRow="0" w:firstColumn="1" w:lastColumn="0" w:noHBand="0" w:noVBand="1"/>
      </w:tblPr>
      <w:tblGrid>
        <w:gridCol w:w="1701"/>
        <w:gridCol w:w="2410"/>
        <w:gridCol w:w="618"/>
        <w:gridCol w:w="706"/>
        <w:gridCol w:w="1511"/>
        <w:gridCol w:w="1559"/>
      </w:tblGrid>
      <w:tr w:rsidR="00994F64" w:rsidRPr="00261B7A" w14:paraId="5450CF2C" w14:textId="77777777" w:rsidTr="00850573">
        <w:tc>
          <w:tcPr>
            <w:tcW w:w="1701" w:type="dxa"/>
            <w:shd w:val="clear" w:color="000000" w:fill="1B556B"/>
            <w:vAlign w:val="bottom"/>
            <w:hideMark/>
          </w:tcPr>
          <w:p w14:paraId="2C1AB912" w14:textId="77777777" w:rsidR="00994F64" w:rsidRPr="00261B7A" w:rsidRDefault="00994F64" w:rsidP="00586C84">
            <w:pPr>
              <w:pStyle w:val="TableText"/>
              <w:spacing w:before="50" w:after="50"/>
              <w:rPr>
                <w:b/>
                <w:bCs/>
                <w:color w:val="FFFFFF" w:themeColor="background1"/>
              </w:rPr>
            </w:pPr>
            <w:r w:rsidRPr="00261B7A">
              <w:rPr>
                <w:b/>
                <w:bCs/>
                <w:color w:val="FFFFFF" w:themeColor="background1"/>
              </w:rPr>
              <w:t>Emissions (kt CO</w:t>
            </w:r>
            <w:r w:rsidRPr="00261B7A">
              <w:rPr>
                <w:b/>
                <w:bCs/>
                <w:color w:val="FFFFFF" w:themeColor="background1"/>
                <w:vertAlign w:val="subscript"/>
              </w:rPr>
              <w:t>2</w:t>
            </w:r>
            <w:r w:rsidRPr="00261B7A">
              <w:rPr>
                <w:b/>
                <w:bCs/>
                <w:color w:val="FFFFFF" w:themeColor="background1"/>
              </w:rPr>
              <w:t>-e)</w:t>
            </w:r>
          </w:p>
        </w:tc>
        <w:tc>
          <w:tcPr>
            <w:tcW w:w="2410" w:type="dxa"/>
            <w:shd w:val="clear" w:color="000000" w:fill="1B556B"/>
            <w:vAlign w:val="bottom"/>
            <w:hideMark/>
          </w:tcPr>
          <w:p w14:paraId="183ABEAF" w14:textId="77777777" w:rsidR="00994F64" w:rsidRPr="00261B7A" w:rsidRDefault="00994F64" w:rsidP="00586C84">
            <w:pPr>
              <w:pStyle w:val="TableText"/>
              <w:spacing w:before="50" w:after="50"/>
              <w:rPr>
                <w:b/>
                <w:bCs/>
                <w:color w:val="FFFFFF" w:themeColor="background1"/>
              </w:rPr>
            </w:pPr>
            <w:r w:rsidRPr="00261B7A">
              <w:rPr>
                <w:b/>
                <w:bCs/>
                <w:color w:val="FFFFFF" w:themeColor="background1"/>
              </w:rPr>
              <w:t> </w:t>
            </w:r>
          </w:p>
        </w:tc>
        <w:tc>
          <w:tcPr>
            <w:tcW w:w="618" w:type="dxa"/>
            <w:shd w:val="clear" w:color="000000" w:fill="1B556B"/>
            <w:vAlign w:val="bottom"/>
            <w:hideMark/>
          </w:tcPr>
          <w:p w14:paraId="20B1FC91" w14:textId="77777777" w:rsidR="00994F64" w:rsidRPr="00261B7A" w:rsidRDefault="00994F64" w:rsidP="00586C84">
            <w:pPr>
              <w:pStyle w:val="TableText"/>
              <w:spacing w:before="50" w:after="50"/>
              <w:jc w:val="center"/>
              <w:rPr>
                <w:b/>
                <w:bCs/>
                <w:color w:val="FFFFFF" w:themeColor="background1"/>
              </w:rPr>
            </w:pPr>
            <w:r w:rsidRPr="00261B7A">
              <w:rPr>
                <w:b/>
                <w:bCs/>
                <w:color w:val="FFFFFF" w:themeColor="background1"/>
              </w:rPr>
              <w:t>1990</w:t>
            </w:r>
          </w:p>
        </w:tc>
        <w:tc>
          <w:tcPr>
            <w:tcW w:w="706" w:type="dxa"/>
            <w:shd w:val="clear" w:color="000000" w:fill="1B556B"/>
            <w:vAlign w:val="bottom"/>
            <w:hideMark/>
          </w:tcPr>
          <w:p w14:paraId="67331AF8" w14:textId="77777777" w:rsidR="00994F64" w:rsidRPr="00261B7A" w:rsidRDefault="00994F64" w:rsidP="00586C84">
            <w:pPr>
              <w:pStyle w:val="TableText"/>
              <w:spacing w:before="50" w:after="50"/>
              <w:jc w:val="center"/>
              <w:rPr>
                <w:b/>
                <w:bCs/>
                <w:color w:val="FFFFFF" w:themeColor="background1"/>
              </w:rPr>
            </w:pPr>
            <w:r w:rsidRPr="00261B7A">
              <w:rPr>
                <w:b/>
                <w:bCs/>
                <w:color w:val="FFFFFF" w:themeColor="background1"/>
              </w:rPr>
              <w:t>2020</w:t>
            </w:r>
          </w:p>
        </w:tc>
        <w:tc>
          <w:tcPr>
            <w:tcW w:w="1511" w:type="dxa"/>
            <w:shd w:val="clear" w:color="000000" w:fill="1B556B"/>
            <w:vAlign w:val="bottom"/>
            <w:hideMark/>
          </w:tcPr>
          <w:p w14:paraId="2E9E8332" w14:textId="77777777" w:rsidR="00994F64" w:rsidRPr="00261B7A" w:rsidRDefault="00994F64" w:rsidP="00586C84">
            <w:pPr>
              <w:pStyle w:val="TableText"/>
              <w:spacing w:before="50" w:after="50"/>
              <w:jc w:val="center"/>
              <w:rPr>
                <w:b/>
                <w:bCs/>
                <w:color w:val="FFFFFF" w:themeColor="background1"/>
              </w:rPr>
            </w:pPr>
            <w:r w:rsidRPr="00261B7A">
              <w:rPr>
                <w:b/>
                <w:bCs/>
                <w:color w:val="FFFFFF" w:themeColor="background1"/>
              </w:rPr>
              <w:t>Change in emission outputs between 1990 and 2020 (kt CO</w:t>
            </w:r>
            <w:r w:rsidRPr="00261B7A">
              <w:rPr>
                <w:b/>
                <w:bCs/>
                <w:color w:val="FFFFFF" w:themeColor="background1"/>
                <w:vertAlign w:val="subscript"/>
              </w:rPr>
              <w:t>2</w:t>
            </w:r>
            <w:r w:rsidRPr="00261B7A">
              <w:rPr>
                <w:b/>
                <w:bCs/>
                <w:color w:val="FFFFFF" w:themeColor="background1"/>
              </w:rPr>
              <w:t>-e)</w:t>
            </w:r>
          </w:p>
        </w:tc>
        <w:tc>
          <w:tcPr>
            <w:tcW w:w="1559" w:type="dxa"/>
            <w:shd w:val="clear" w:color="000000" w:fill="1B556B"/>
            <w:vAlign w:val="bottom"/>
            <w:hideMark/>
          </w:tcPr>
          <w:p w14:paraId="121BEC9C" w14:textId="77777777" w:rsidR="00994F64" w:rsidRPr="00261B7A" w:rsidRDefault="00994F64" w:rsidP="00586C84">
            <w:pPr>
              <w:pStyle w:val="TableText"/>
              <w:spacing w:before="50" w:after="50"/>
              <w:jc w:val="center"/>
              <w:rPr>
                <w:b/>
                <w:bCs/>
                <w:color w:val="FFFFFF" w:themeColor="background1"/>
              </w:rPr>
            </w:pPr>
            <w:r w:rsidRPr="00261B7A">
              <w:rPr>
                <w:b/>
                <w:bCs/>
                <w:color w:val="FFFFFF" w:themeColor="background1"/>
              </w:rPr>
              <w:t>Percentage change in emission outputs between 1990 and 2020 (%)</w:t>
            </w:r>
          </w:p>
        </w:tc>
      </w:tr>
      <w:tr w:rsidR="00994F64" w:rsidRPr="00261B7A" w14:paraId="0E013287" w14:textId="77777777" w:rsidTr="00850573">
        <w:tc>
          <w:tcPr>
            <w:tcW w:w="1701" w:type="dxa"/>
            <w:vMerge w:val="restart"/>
            <w:shd w:val="clear" w:color="auto" w:fill="auto"/>
            <w:vAlign w:val="center"/>
            <w:hideMark/>
          </w:tcPr>
          <w:p w14:paraId="3B28B529" w14:textId="77777777" w:rsidR="00994F64" w:rsidRPr="00261B7A" w:rsidRDefault="00994F64" w:rsidP="00586C84">
            <w:pPr>
              <w:pStyle w:val="TableText"/>
              <w:spacing w:before="50" w:after="50"/>
              <w:rPr>
                <w:color w:val="000000"/>
              </w:rPr>
            </w:pPr>
            <w:r w:rsidRPr="00261B7A">
              <w:rPr>
                <w:color w:val="000000"/>
              </w:rPr>
              <w:t xml:space="preserve">Total emissions from </w:t>
            </w:r>
            <w:r w:rsidRPr="00261B7A">
              <w:rPr>
                <w:i/>
                <w:iCs/>
                <w:color w:val="000000"/>
              </w:rPr>
              <w:t>Manure management</w:t>
            </w:r>
            <w:r w:rsidRPr="00261B7A">
              <w:rPr>
                <w:color w:val="000000"/>
              </w:rPr>
              <w:t xml:space="preserve"> (kt CO</w:t>
            </w:r>
            <w:r w:rsidRPr="00261B7A">
              <w:rPr>
                <w:color w:val="000000"/>
                <w:vertAlign w:val="subscript"/>
              </w:rPr>
              <w:t>2</w:t>
            </w:r>
            <w:r w:rsidRPr="00261B7A">
              <w:rPr>
                <w:color w:val="000000"/>
              </w:rPr>
              <w:t>-e)</w:t>
            </w:r>
          </w:p>
        </w:tc>
        <w:tc>
          <w:tcPr>
            <w:tcW w:w="2410" w:type="dxa"/>
            <w:shd w:val="clear" w:color="auto" w:fill="auto"/>
            <w:vAlign w:val="center"/>
            <w:hideMark/>
          </w:tcPr>
          <w:p w14:paraId="23BAA822" w14:textId="77777777" w:rsidR="00994F64" w:rsidRPr="00261B7A" w:rsidRDefault="00994F64" w:rsidP="00586C84">
            <w:pPr>
              <w:pStyle w:val="TableText"/>
              <w:spacing w:before="50" w:after="50"/>
              <w:rPr>
                <w:color w:val="000000"/>
              </w:rPr>
            </w:pPr>
            <w:r w:rsidRPr="00261B7A">
              <w:rPr>
                <w:color w:val="000000"/>
              </w:rPr>
              <w:t>2023 (1990–2021) emissions estimate using previous pasture quality values </w:t>
            </w:r>
          </w:p>
        </w:tc>
        <w:tc>
          <w:tcPr>
            <w:tcW w:w="618" w:type="dxa"/>
            <w:shd w:val="clear" w:color="auto" w:fill="auto"/>
            <w:vAlign w:val="center"/>
            <w:hideMark/>
          </w:tcPr>
          <w:p w14:paraId="4AD0E9B5" w14:textId="77777777" w:rsidR="00994F64" w:rsidRPr="00261B7A" w:rsidRDefault="00994F64" w:rsidP="00586C84">
            <w:pPr>
              <w:pStyle w:val="TableText"/>
              <w:spacing w:before="50" w:after="50"/>
              <w:jc w:val="center"/>
              <w:rPr>
                <w:color w:val="000000"/>
              </w:rPr>
            </w:pPr>
            <w:r w:rsidRPr="00261B7A">
              <w:rPr>
                <w:color w:val="000000"/>
              </w:rPr>
              <w:t>762.4</w:t>
            </w:r>
          </w:p>
        </w:tc>
        <w:tc>
          <w:tcPr>
            <w:tcW w:w="706" w:type="dxa"/>
            <w:shd w:val="clear" w:color="auto" w:fill="auto"/>
            <w:vAlign w:val="center"/>
            <w:hideMark/>
          </w:tcPr>
          <w:p w14:paraId="4BA297ED" w14:textId="77777777" w:rsidR="00994F64" w:rsidRPr="00261B7A" w:rsidRDefault="00994F64" w:rsidP="00586C84">
            <w:pPr>
              <w:pStyle w:val="TableText"/>
              <w:spacing w:before="50" w:after="50"/>
              <w:jc w:val="center"/>
              <w:rPr>
                <w:color w:val="000000"/>
              </w:rPr>
            </w:pPr>
            <w:r w:rsidRPr="00261B7A">
              <w:rPr>
                <w:color w:val="000000"/>
              </w:rPr>
              <w:t>1,711.1</w:t>
            </w:r>
          </w:p>
        </w:tc>
        <w:tc>
          <w:tcPr>
            <w:tcW w:w="1511" w:type="dxa"/>
            <w:shd w:val="clear" w:color="auto" w:fill="auto"/>
            <w:vAlign w:val="center"/>
            <w:hideMark/>
          </w:tcPr>
          <w:p w14:paraId="37AB2A67" w14:textId="77777777" w:rsidR="00994F64" w:rsidRPr="00261B7A" w:rsidRDefault="00994F64" w:rsidP="00586C84">
            <w:pPr>
              <w:pStyle w:val="TableText"/>
              <w:spacing w:before="50" w:after="50"/>
              <w:jc w:val="center"/>
              <w:rPr>
                <w:color w:val="000000"/>
              </w:rPr>
            </w:pPr>
            <w:r w:rsidRPr="00261B7A">
              <w:rPr>
                <w:color w:val="000000"/>
              </w:rPr>
              <w:t>948.6</w:t>
            </w:r>
          </w:p>
        </w:tc>
        <w:tc>
          <w:tcPr>
            <w:tcW w:w="1559" w:type="dxa"/>
            <w:shd w:val="clear" w:color="auto" w:fill="auto"/>
            <w:vAlign w:val="center"/>
            <w:hideMark/>
          </w:tcPr>
          <w:p w14:paraId="3C8679F3" w14:textId="77777777" w:rsidR="00994F64" w:rsidRPr="00261B7A" w:rsidRDefault="00994F64" w:rsidP="00586C84">
            <w:pPr>
              <w:pStyle w:val="TableText"/>
              <w:spacing w:before="50" w:after="50"/>
              <w:jc w:val="center"/>
              <w:rPr>
                <w:color w:val="000000"/>
              </w:rPr>
            </w:pPr>
            <w:r w:rsidRPr="00261B7A">
              <w:rPr>
                <w:color w:val="000000"/>
              </w:rPr>
              <w:t>124.4</w:t>
            </w:r>
          </w:p>
        </w:tc>
      </w:tr>
      <w:tr w:rsidR="00994F64" w:rsidRPr="00261B7A" w14:paraId="7046ADA2" w14:textId="77777777" w:rsidTr="00850573">
        <w:tc>
          <w:tcPr>
            <w:tcW w:w="1701" w:type="dxa"/>
            <w:vMerge/>
            <w:vAlign w:val="center"/>
            <w:hideMark/>
          </w:tcPr>
          <w:p w14:paraId="5EFC10F3" w14:textId="77777777" w:rsidR="00994F64" w:rsidRPr="00261B7A" w:rsidRDefault="00994F64" w:rsidP="00586C84">
            <w:pPr>
              <w:pStyle w:val="TableText"/>
              <w:spacing w:before="50" w:after="50"/>
              <w:rPr>
                <w:color w:val="000000"/>
              </w:rPr>
            </w:pPr>
          </w:p>
        </w:tc>
        <w:tc>
          <w:tcPr>
            <w:tcW w:w="2410" w:type="dxa"/>
            <w:shd w:val="clear" w:color="auto" w:fill="auto"/>
            <w:vAlign w:val="center"/>
            <w:hideMark/>
          </w:tcPr>
          <w:p w14:paraId="0723250E" w14:textId="77777777" w:rsidR="00994F64" w:rsidRPr="00261B7A" w:rsidRDefault="00994F64" w:rsidP="00586C84">
            <w:pPr>
              <w:pStyle w:val="TableText"/>
              <w:spacing w:before="50" w:after="50"/>
              <w:rPr>
                <w:color w:val="000000"/>
              </w:rPr>
            </w:pPr>
            <w:r w:rsidRPr="00261B7A">
              <w:rPr>
                <w:color w:val="000000"/>
              </w:rPr>
              <w:t>2023 (1990–2021) emissions estimate using adjusted feed quality values</w:t>
            </w:r>
          </w:p>
        </w:tc>
        <w:tc>
          <w:tcPr>
            <w:tcW w:w="618" w:type="dxa"/>
            <w:shd w:val="clear" w:color="auto" w:fill="auto"/>
            <w:vAlign w:val="center"/>
            <w:hideMark/>
          </w:tcPr>
          <w:p w14:paraId="6A513757" w14:textId="77777777" w:rsidR="00994F64" w:rsidRPr="00261B7A" w:rsidRDefault="00994F64" w:rsidP="00586C84">
            <w:pPr>
              <w:pStyle w:val="TableText"/>
              <w:spacing w:before="50" w:after="50"/>
              <w:jc w:val="center"/>
              <w:rPr>
                <w:color w:val="000000"/>
              </w:rPr>
            </w:pPr>
            <w:r w:rsidRPr="00261B7A">
              <w:rPr>
                <w:color w:val="000000"/>
              </w:rPr>
              <w:t>771.7</w:t>
            </w:r>
          </w:p>
        </w:tc>
        <w:tc>
          <w:tcPr>
            <w:tcW w:w="706" w:type="dxa"/>
            <w:shd w:val="clear" w:color="auto" w:fill="auto"/>
            <w:vAlign w:val="center"/>
            <w:hideMark/>
          </w:tcPr>
          <w:p w14:paraId="48C4F9B8" w14:textId="77777777" w:rsidR="00994F64" w:rsidRPr="00261B7A" w:rsidRDefault="00994F64" w:rsidP="00586C84">
            <w:pPr>
              <w:pStyle w:val="TableText"/>
              <w:spacing w:before="50" w:after="50"/>
              <w:jc w:val="center"/>
              <w:rPr>
                <w:color w:val="000000"/>
              </w:rPr>
            </w:pPr>
            <w:r w:rsidRPr="00261B7A">
              <w:rPr>
                <w:color w:val="000000"/>
              </w:rPr>
              <w:t>1,686.3</w:t>
            </w:r>
          </w:p>
        </w:tc>
        <w:tc>
          <w:tcPr>
            <w:tcW w:w="1511" w:type="dxa"/>
            <w:shd w:val="clear" w:color="auto" w:fill="auto"/>
            <w:vAlign w:val="center"/>
            <w:hideMark/>
          </w:tcPr>
          <w:p w14:paraId="47ACDE03" w14:textId="77777777" w:rsidR="00994F64" w:rsidRPr="00261B7A" w:rsidRDefault="00994F64" w:rsidP="00586C84">
            <w:pPr>
              <w:pStyle w:val="TableText"/>
              <w:spacing w:before="50" w:after="50"/>
              <w:jc w:val="center"/>
              <w:rPr>
                <w:color w:val="000000"/>
              </w:rPr>
            </w:pPr>
            <w:r w:rsidRPr="00261B7A">
              <w:rPr>
                <w:color w:val="000000"/>
              </w:rPr>
              <w:t>914.6</w:t>
            </w:r>
          </w:p>
        </w:tc>
        <w:tc>
          <w:tcPr>
            <w:tcW w:w="1559" w:type="dxa"/>
            <w:shd w:val="clear" w:color="auto" w:fill="auto"/>
            <w:vAlign w:val="center"/>
            <w:hideMark/>
          </w:tcPr>
          <w:p w14:paraId="4DCDEE95" w14:textId="77777777" w:rsidR="00994F64" w:rsidRPr="00261B7A" w:rsidRDefault="00994F64" w:rsidP="00586C84">
            <w:pPr>
              <w:pStyle w:val="TableText"/>
              <w:spacing w:before="50" w:after="50"/>
              <w:jc w:val="center"/>
              <w:rPr>
                <w:color w:val="000000"/>
              </w:rPr>
            </w:pPr>
            <w:r w:rsidRPr="00261B7A">
              <w:rPr>
                <w:color w:val="000000"/>
              </w:rPr>
              <w:t>118.5</w:t>
            </w:r>
          </w:p>
        </w:tc>
      </w:tr>
      <w:tr w:rsidR="00994F64" w:rsidRPr="00261B7A" w14:paraId="2BA18EBD" w14:textId="77777777" w:rsidTr="00850573">
        <w:tc>
          <w:tcPr>
            <w:tcW w:w="1701" w:type="dxa"/>
            <w:vMerge/>
            <w:vAlign w:val="center"/>
            <w:hideMark/>
          </w:tcPr>
          <w:p w14:paraId="62800215" w14:textId="77777777" w:rsidR="00994F64" w:rsidRPr="00261B7A" w:rsidRDefault="00994F64" w:rsidP="00586C84">
            <w:pPr>
              <w:pStyle w:val="TableText"/>
              <w:spacing w:before="50" w:after="50"/>
              <w:rPr>
                <w:color w:val="000000"/>
              </w:rPr>
            </w:pPr>
          </w:p>
        </w:tc>
        <w:tc>
          <w:tcPr>
            <w:tcW w:w="2410" w:type="dxa"/>
            <w:shd w:val="clear" w:color="auto" w:fill="auto"/>
            <w:vAlign w:val="center"/>
            <w:hideMark/>
          </w:tcPr>
          <w:p w14:paraId="63DCBE90" w14:textId="77777777" w:rsidR="00994F64" w:rsidRPr="00261B7A" w:rsidRDefault="00994F64" w:rsidP="00586C84">
            <w:pPr>
              <w:pStyle w:val="TableText"/>
              <w:spacing w:before="50" w:after="50"/>
              <w:rPr>
                <w:color w:val="000000"/>
              </w:rPr>
            </w:pPr>
            <w:r w:rsidRPr="00261B7A">
              <w:rPr>
                <w:color w:val="000000"/>
              </w:rPr>
              <w:t>Difference in emissions estimates compared with current inventory </w:t>
            </w:r>
          </w:p>
        </w:tc>
        <w:tc>
          <w:tcPr>
            <w:tcW w:w="618" w:type="dxa"/>
            <w:shd w:val="clear" w:color="auto" w:fill="auto"/>
            <w:vAlign w:val="center"/>
            <w:hideMark/>
          </w:tcPr>
          <w:p w14:paraId="26877979" w14:textId="77777777" w:rsidR="00994F64" w:rsidRPr="00261B7A" w:rsidRDefault="00994F64" w:rsidP="00586C84">
            <w:pPr>
              <w:pStyle w:val="TableText"/>
              <w:spacing w:before="50" w:after="50"/>
              <w:jc w:val="center"/>
              <w:rPr>
                <w:color w:val="000000"/>
              </w:rPr>
            </w:pPr>
            <w:r w:rsidRPr="00261B7A">
              <w:rPr>
                <w:color w:val="000000"/>
              </w:rPr>
              <w:t>9.3</w:t>
            </w:r>
          </w:p>
        </w:tc>
        <w:tc>
          <w:tcPr>
            <w:tcW w:w="706" w:type="dxa"/>
            <w:shd w:val="clear" w:color="auto" w:fill="auto"/>
            <w:vAlign w:val="center"/>
            <w:hideMark/>
          </w:tcPr>
          <w:p w14:paraId="364BE4A9" w14:textId="77777777" w:rsidR="00994F64" w:rsidRPr="00261B7A" w:rsidRDefault="00994F64" w:rsidP="00586C84">
            <w:pPr>
              <w:pStyle w:val="TableText"/>
              <w:spacing w:before="50" w:after="50"/>
              <w:jc w:val="center"/>
              <w:rPr>
                <w:color w:val="000000"/>
              </w:rPr>
            </w:pPr>
            <w:r w:rsidRPr="00261B7A">
              <w:rPr>
                <w:color w:val="000000"/>
              </w:rPr>
              <w:t>–24.8</w:t>
            </w:r>
          </w:p>
        </w:tc>
        <w:tc>
          <w:tcPr>
            <w:tcW w:w="1511" w:type="dxa"/>
            <w:shd w:val="clear" w:color="auto" w:fill="auto"/>
            <w:vAlign w:val="center"/>
            <w:hideMark/>
          </w:tcPr>
          <w:p w14:paraId="188FE8BC" w14:textId="77777777" w:rsidR="00994F64" w:rsidRPr="00261B7A" w:rsidRDefault="00994F64" w:rsidP="00586C84">
            <w:pPr>
              <w:pStyle w:val="TableText"/>
              <w:spacing w:before="50" w:after="50"/>
              <w:jc w:val="center"/>
              <w:rPr>
                <w:color w:val="000000"/>
              </w:rPr>
            </w:pPr>
            <w:r w:rsidRPr="00261B7A">
              <w:rPr>
                <w:color w:val="000000"/>
              </w:rPr>
              <w:t>–34.1</w:t>
            </w:r>
          </w:p>
        </w:tc>
        <w:tc>
          <w:tcPr>
            <w:tcW w:w="1559" w:type="dxa"/>
            <w:shd w:val="clear" w:color="auto" w:fill="auto"/>
            <w:vAlign w:val="center"/>
            <w:hideMark/>
          </w:tcPr>
          <w:p w14:paraId="63E036C2" w14:textId="77777777" w:rsidR="00994F64" w:rsidRPr="00261B7A" w:rsidRDefault="00994F64" w:rsidP="00586C84">
            <w:pPr>
              <w:pStyle w:val="TableText"/>
              <w:spacing w:before="50" w:after="50"/>
              <w:jc w:val="center"/>
              <w:rPr>
                <w:color w:val="000000"/>
              </w:rPr>
            </w:pPr>
          </w:p>
        </w:tc>
      </w:tr>
      <w:tr w:rsidR="00994F64" w:rsidRPr="00261B7A" w14:paraId="1289334C" w14:textId="77777777" w:rsidTr="00850573">
        <w:tc>
          <w:tcPr>
            <w:tcW w:w="1701" w:type="dxa"/>
            <w:vMerge/>
            <w:vAlign w:val="center"/>
            <w:hideMark/>
          </w:tcPr>
          <w:p w14:paraId="6FEDAF77" w14:textId="77777777" w:rsidR="00994F64" w:rsidRPr="00261B7A" w:rsidRDefault="00994F64" w:rsidP="00586C84">
            <w:pPr>
              <w:pStyle w:val="TableText"/>
              <w:spacing w:before="50" w:after="50"/>
              <w:rPr>
                <w:color w:val="000000"/>
              </w:rPr>
            </w:pPr>
          </w:p>
        </w:tc>
        <w:tc>
          <w:tcPr>
            <w:tcW w:w="2410" w:type="dxa"/>
            <w:shd w:val="clear" w:color="auto" w:fill="auto"/>
            <w:vAlign w:val="center"/>
            <w:hideMark/>
          </w:tcPr>
          <w:p w14:paraId="0C715B06" w14:textId="77777777" w:rsidR="00994F64" w:rsidRPr="00261B7A" w:rsidRDefault="00994F64" w:rsidP="00586C84">
            <w:pPr>
              <w:pStyle w:val="TableText"/>
              <w:spacing w:before="50" w:after="50"/>
              <w:rPr>
                <w:color w:val="000000"/>
              </w:rPr>
            </w:pPr>
            <w:r w:rsidRPr="00261B7A">
              <w:rPr>
                <w:color w:val="000000"/>
              </w:rPr>
              <w:t xml:space="preserve">Percentage difference in emissions estimates (%) </w:t>
            </w:r>
          </w:p>
        </w:tc>
        <w:tc>
          <w:tcPr>
            <w:tcW w:w="618" w:type="dxa"/>
            <w:shd w:val="clear" w:color="auto" w:fill="auto"/>
            <w:vAlign w:val="center"/>
            <w:hideMark/>
          </w:tcPr>
          <w:p w14:paraId="73BDB324" w14:textId="77777777" w:rsidR="00994F64" w:rsidRPr="00261B7A" w:rsidRDefault="00994F64" w:rsidP="00586C84">
            <w:pPr>
              <w:pStyle w:val="TableText"/>
              <w:spacing w:before="50" w:after="50"/>
              <w:jc w:val="center"/>
              <w:rPr>
                <w:color w:val="000000"/>
              </w:rPr>
            </w:pPr>
            <w:r w:rsidRPr="00261B7A">
              <w:rPr>
                <w:color w:val="000000"/>
              </w:rPr>
              <w:t>1.2</w:t>
            </w:r>
          </w:p>
        </w:tc>
        <w:tc>
          <w:tcPr>
            <w:tcW w:w="706" w:type="dxa"/>
            <w:shd w:val="clear" w:color="auto" w:fill="auto"/>
            <w:vAlign w:val="center"/>
            <w:hideMark/>
          </w:tcPr>
          <w:p w14:paraId="4F8E7499" w14:textId="77777777" w:rsidR="00994F64" w:rsidRPr="00261B7A" w:rsidRDefault="00994F64" w:rsidP="00586C84">
            <w:pPr>
              <w:pStyle w:val="TableText"/>
              <w:spacing w:before="50" w:after="50"/>
              <w:jc w:val="center"/>
              <w:rPr>
                <w:color w:val="000000"/>
              </w:rPr>
            </w:pPr>
            <w:r w:rsidRPr="00261B7A">
              <w:rPr>
                <w:color w:val="000000"/>
              </w:rPr>
              <w:t>–1.4</w:t>
            </w:r>
          </w:p>
        </w:tc>
        <w:tc>
          <w:tcPr>
            <w:tcW w:w="1511" w:type="dxa"/>
            <w:shd w:val="clear" w:color="auto" w:fill="auto"/>
            <w:vAlign w:val="center"/>
            <w:hideMark/>
          </w:tcPr>
          <w:p w14:paraId="271BE9A0" w14:textId="77777777" w:rsidR="00994F64" w:rsidRPr="00261B7A" w:rsidRDefault="00994F64" w:rsidP="00586C84">
            <w:pPr>
              <w:pStyle w:val="TableText"/>
              <w:spacing w:before="50" w:after="50"/>
              <w:jc w:val="center"/>
              <w:rPr>
                <w:color w:val="000000"/>
              </w:rPr>
            </w:pPr>
          </w:p>
        </w:tc>
        <w:tc>
          <w:tcPr>
            <w:tcW w:w="1559" w:type="dxa"/>
            <w:shd w:val="clear" w:color="auto" w:fill="auto"/>
            <w:vAlign w:val="center"/>
            <w:hideMark/>
          </w:tcPr>
          <w:p w14:paraId="74DE6302" w14:textId="77777777" w:rsidR="00994F64" w:rsidRPr="00261B7A" w:rsidRDefault="00994F64" w:rsidP="00586C84">
            <w:pPr>
              <w:pStyle w:val="TableText"/>
              <w:spacing w:before="50" w:after="50"/>
              <w:jc w:val="center"/>
              <w:rPr>
                <w:color w:val="000000"/>
              </w:rPr>
            </w:pPr>
          </w:p>
        </w:tc>
      </w:tr>
    </w:tbl>
    <w:p w14:paraId="3481AFEB" w14:textId="77777777" w:rsidR="00994F64" w:rsidRPr="00261B7A" w:rsidRDefault="00994F64" w:rsidP="00994F64">
      <w:pPr>
        <w:pStyle w:val="Heading3"/>
        <w:spacing w:before="400"/>
      </w:pPr>
      <w:bookmarkStart w:id="939" w:name="_Toc32570663"/>
      <w:bookmarkStart w:id="940" w:name="_Toc134847206"/>
      <w:bookmarkStart w:id="941" w:name="_Toc69611741"/>
      <w:bookmarkStart w:id="942" w:name="_Toc69612697"/>
      <w:bookmarkStart w:id="943" w:name="_Toc69612896"/>
      <w:bookmarkStart w:id="944" w:name="_Toc69613156"/>
      <w:bookmarkStart w:id="945" w:name="_Toc69633320"/>
      <w:bookmarkStart w:id="946" w:name="_Toc69717485"/>
      <w:bookmarkStart w:id="947" w:name="_Toc69802967"/>
      <w:bookmarkStart w:id="948" w:name="_Toc69815104"/>
      <w:bookmarkStart w:id="949" w:name="_Toc70492397"/>
      <w:bookmarkStart w:id="950" w:name="_Toc101310604"/>
      <w:bookmarkStart w:id="951" w:name="_Toc101318464"/>
      <w:bookmarkStart w:id="952" w:name="_Toc101318569"/>
      <w:bookmarkStart w:id="953" w:name="_Toc101318753"/>
      <w:bookmarkStart w:id="954" w:name="_Toc101334029"/>
      <w:r w:rsidRPr="00261B7A">
        <w:t>5.3.6</w:t>
      </w:r>
      <w:r w:rsidRPr="00261B7A">
        <w:tab/>
        <w:t>Source-specific planned improvements</w:t>
      </w:r>
      <w:bookmarkEnd w:id="939"/>
      <w:r w:rsidRPr="00261B7A">
        <w:t xml:space="preserve"> </w:t>
      </w:r>
    </w:p>
    <w:bookmarkEnd w:id="940"/>
    <w:p w14:paraId="6E46A4E2" w14:textId="77777777" w:rsidR="00994F64" w:rsidRPr="00261B7A" w:rsidRDefault="00994F64" w:rsidP="00850573">
      <w:pPr>
        <w:pStyle w:val="BodyText"/>
      </w:pPr>
      <w:r w:rsidRPr="00261B7A">
        <w:t xml:space="preserve">The following section covers the planned improvements being undertaken for </w:t>
      </w:r>
      <w:r w:rsidRPr="00261B7A">
        <w:rPr>
          <w:i/>
          <w:iCs/>
        </w:rPr>
        <w:t>Manure management</w:t>
      </w:r>
      <w:r w:rsidRPr="00261B7A">
        <w:t xml:space="preserve">. These findings may be incorporated in future annual inventory submissions. </w:t>
      </w:r>
    </w:p>
    <w:p w14:paraId="27305C20" w14:textId="77777777" w:rsidR="00994F64" w:rsidRPr="00261B7A" w:rsidRDefault="00994F64" w:rsidP="00994F64">
      <w:pPr>
        <w:pStyle w:val="Heading5"/>
        <w:spacing w:before="160"/>
        <w:rPr>
          <w:rFonts w:cs="Calibri"/>
        </w:rPr>
      </w:pPr>
      <w:r w:rsidRPr="00261B7A">
        <w:rPr>
          <w:rFonts w:cs="Calibri"/>
        </w:rPr>
        <w:t>Review of the methane conversion factor and manure management systems activity data for dairy cattle</w:t>
      </w:r>
    </w:p>
    <w:p w14:paraId="054B125E" w14:textId="77777777" w:rsidR="00994F64" w:rsidRPr="00261B7A" w:rsidRDefault="00994F64" w:rsidP="00850573">
      <w:pPr>
        <w:pStyle w:val="BodyText"/>
      </w:pPr>
      <w:r w:rsidRPr="00261B7A">
        <w:t>This project was undertaken to review the methane conversion factor (MCF) for the calculation of CH</w:t>
      </w:r>
      <w:r w:rsidRPr="00261B7A">
        <w:rPr>
          <w:vertAlign w:val="subscript"/>
        </w:rPr>
        <w:t>4</w:t>
      </w:r>
      <w:r w:rsidRPr="00261B7A">
        <w:t xml:space="preserve"> from manure deposited in anaerobic lagoons from dairy cattle. The aim of this research was to review and, if deemed necessary, revise the MCF to a suitable New Zealand-specific value or values to improve the accuracy of dairy cattle manure CH</w:t>
      </w:r>
      <w:r w:rsidRPr="00261B7A">
        <w:rPr>
          <w:vertAlign w:val="subscript"/>
        </w:rPr>
        <w:t>4</w:t>
      </w:r>
      <w:r w:rsidRPr="00261B7A">
        <w:t xml:space="preserve"> emissions.</w:t>
      </w:r>
    </w:p>
    <w:p w14:paraId="2C0C525A" w14:textId="77777777" w:rsidR="00994F64" w:rsidRPr="00261B7A" w:rsidRDefault="00994F64" w:rsidP="00850573">
      <w:pPr>
        <w:pStyle w:val="BodyText"/>
      </w:pPr>
      <w:r w:rsidRPr="00261B7A">
        <w:t>This was completed in 2022 and will be implemented alongside the results of a project collecting data on the use of manure management systems, including effluent storage lengths and mitigation technology application.</w:t>
      </w:r>
    </w:p>
    <w:p w14:paraId="6FC014FE" w14:textId="77777777" w:rsidR="00994F64" w:rsidRPr="00261B7A" w:rsidRDefault="00994F64" w:rsidP="00994F64">
      <w:pPr>
        <w:pStyle w:val="Heading5"/>
        <w:rPr>
          <w:rFonts w:cs="Calibri"/>
        </w:rPr>
      </w:pPr>
      <w:r w:rsidRPr="00261B7A">
        <w:rPr>
          <w:rFonts w:cs="Calibri"/>
        </w:rPr>
        <w:t>Pork industry survey</w:t>
      </w:r>
    </w:p>
    <w:p w14:paraId="36F24D5C" w14:textId="77777777" w:rsidR="00994F64" w:rsidRPr="00261B7A" w:rsidRDefault="00994F64" w:rsidP="00850573">
      <w:pPr>
        <w:pStyle w:val="BodyText"/>
      </w:pPr>
      <w:r w:rsidRPr="00261B7A">
        <w:t>This project will redesign and update a survey that was previously sent out to the New Zealand pork industry, with the purpose of improving the accuracy of the data used to estimate emissions from swine. A large portion of the new survey will focus on the use of manure management systems in the pork industry and will be designed in a way that ensures the results are compatible with the 2006 IPCC Guidelines for National Greenhouse Gas Inventories as well as the 2019 Refinement (IPCC, 2006, 2019).</w:t>
      </w:r>
    </w:p>
    <w:p w14:paraId="088E8A48" w14:textId="77777777" w:rsidR="00994F64" w:rsidRPr="00261B7A" w:rsidRDefault="00994F64" w:rsidP="00994F64">
      <w:pPr>
        <w:pStyle w:val="BodyText"/>
        <w:rPr>
          <w:rFonts w:cs="Calibri"/>
        </w:rPr>
      </w:pPr>
      <w:r w:rsidRPr="00261B7A">
        <w:rPr>
          <w:rFonts w:cs="Calibri"/>
          <w:spacing w:val="-2"/>
        </w:rPr>
        <w:t>In the 10 years since the initial survey was taken, the swine industry has evolved and progressed</w:t>
      </w:r>
      <w:r w:rsidRPr="00261B7A">
        <w:rPr>
          <w:rFonts w:cs="Calibri"/>
        </w:rPr>
        <w:t xml:space="preserve"> to the point that the data currently used in the methodology no longer accurately reflect that of the industry. This survey will provide more up-to-date information, leading to a more accurate estimate of emissions. This survey has recently been completed and the final recommendations will be considered for the 2024 submission.</w:t>
      </w:r>
    </w:p>
    <w:p w14:paraId="5F5BA70C" w14:textId="77777777" w:rsidR="00994F64" w:rsidRPr="00261B7A" w:rsidRDefault="00994F64" w:rsidP="00994F64">
      <w:pPr>
        <w:pStyle w:val="Heading5"/>
        <w:rPr>
          <w:rFonts w:cs="Calibri"/>
        </w:rPr>
      </w:pPr>
      <w:r w:rsidRPr="00261B7A">
        <w:rPr>
          <w:rFonts w:cs="Calibri"/>
        </w:rPr>
        <w:t>Updating</w:t>
      </w:r>
      <w:r w:rsidRPr="00261B7A">
        <w:t xml:space="preserve"> data on the use of different manure and effluent management systems in New Zealand dairy farms</w:t>
      </w:r>
    </w:p>
    <w:p w14:paraId="5A246EB8" w14:textId="77777777" w:rsidR="00994F64" w:rsidRPr="00261B7A" w:rsidRDefault="00994F64" w:rsidP="00994F64">
      <w:pPr>
        <w:pStyle w:val="BodyText"/>
        <w:rPr>
          <w:rFonts w:cs="Calibri"/>
        </w:rPr>
      </w:pPr>
      <w:r w:rsidRPr="00261B7A">
        <w:rPr>
          <w:rFonts w:cs="Calibri"/>
        </w:rPr>
        <w:t xml:space="preserve">A nationwide farm survey of dairy manure and effluent management practices will be carried out to collect information, including effluent storage lengths, farm off-paddock structure use, effluent soils separation and frequency of emptying effluent storage ponds. Previous research to determine whether the MCF for </w:t>
      </w:r>
      <w:r w:rsidRPr="00261B7A">
        <w:rPr>
          <w:rFonts w:cs="Calibri"/>
          <w:i/>
          <w:iCs/>
        </w:rPr>
        <w:t>Dairy cattle</w:t>
      </w:r>
      <w:r w:rsidRPr="00261B7A">
        <w:rPr>
          <w:rFonts w:cs="Calibri"/>
        </w:rPr>
        <w:t xml:space="preserve"> needed to be updated highlighted the importance of effluent storage and management in resulting emissions. This new information will be vital in determining whether New Zealand can reliably update the MCF for dairy cattle.</w:t>
      </w:r>
    </w:p>
    <w:p w14:paraId="42B8703F" w14:textId="77777777" w:rsidR="00994F64" w:rsidRPr="00261B7A" w:rsidRDefault="00994F64" w:rsidP="00994F64">
      <w:pPr>
        <w:pStyle w:val="Heading2"/>
      </w:pPr>
      <w:bookmarkStart w:id="955" w:name="_Toc134847207"/>
      <w:bookmarkStart w:id="956" w:name="_Toc139253930"/>
      <w:bookmarkStart w:id="957" w:name="_Toc144710415"/>
      <w:bookmarkStart w:id="958" w:name="_Toc165890369"/>
      <w:bookmarkStart w:id="959" w:name="_Toc195322663"/>
      <w:bookmarkStart w:id="960" w:name="_Toc235955529"/>
      <w:bookmarkStart w:id="961" w:name="_Toc288316642"/>
      <w:bookmarkStart w:id="962" w:name="_Toc352504862"/>
      <w:bookmarkStart w:id="963" w:name="_Toc448321525"/>
      <w:bookmarkStart w:id="964" w:name="_Toc481751387"/>
      <w:bookmarkStart w:id="965" w:name="_Toc511116602"/>
      <w:bookmarkStart w:id="966" w:name="_Toc5269364"/>
      <w:bookmarkStart w:id="967" w:name="_Toc32570664"/>
      <w:bookmarkStart w:id="968" w:name="_Toc36224404"/>
      <w:bookmarkStart w:id="969" w:name="_Toc68786324"/>
      <w:bookmarkStart w:id="970" w:name="_Toc131591239"/>
      <w:r w:rsidRPr="00261B7A">
        <w:t>5.4</w:t>
      </w:r>
      <w:r w:rsidRPr="00261B7A">
        <w:tab/>
        <w:t>Rice cultivation (CRF 3.C)</w:t>
      </w:r>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p>
    <w:p w14:paraId="38B6EDD7" w14:textId="77777777" w:rsidR="00994F64" w:rsidRPr="00261B7A" w:rsidRDefault="00994F64" w:rsidP="00994F64">
      <w:pPr>
        <w:pStyle w:val="Heading3"/>
        <w:spacing w:before="240"/>
      </w:pPr>
      <w:bookmarkStart w:id="971" w:name="_Toc139253931"/>
      <w:bookmarkStart w:id="972" w:name="_Toc32570665"/>
      <w:r w:rsidRPr="00261B7A">
        <w:t>5.4.1</w:t>
      </w:r>
      <w:r w:rsidRPr="00261B7A">
        <w:tab/>
        <w:t>Description</w:t>
      </w:r>
      <w:bookmarkEnd w:id="971"/>
      <w:bookmarkEnd w:id="972"/>
    </w:p>
    <w:p w14:paraId="5CCF197C" w14:textId="77777777" w:rsidR="00994F64" w:rsidRPr="00261B7A" w:rsidRDefault="00994F64" w:rsidP="00994F64">
      <w:pPr>
        <w:pStyle w:val="BodyText"/>
        <w:rPr>
          <w:rFonts w:cs="Calibri"/>
        </w:rPr>
      </w:pPr>
      <w:r w:rsidRPr="00261B7A">
        <w:rPr>
          <w:rFonts w:cs="Calibri"/>
        </w:rPr>
        <w:t xml:space="preserve">At present, there is no commercial rice cultivation in New Zealand. This has been confirmed with experts from Plant and Food Research, a New Zealand Crown research institute. The ‘NO’ (not occurring) notation is reported in the CRF tables. </w:t>
      </w:r>
    </w:p>
    <w:p w14:paraId="101195B9" w14:textId="77777777" w:rsidR="00994F64" w:rsidRPr="00261B7A" w:rsidRDefault="00994F64" w:rsidP="00994F64">
      <w:pPr>
        <w:pStyle w:val="Heading2"/>
      </w:pPr>
      <w:bookmarkStart w:id="973" w:name="_Toc69611742"/>
      <w:bookmarkStart w:id="974" w:name="_Toc69612698"/>
      <w:bookmarkStart w:id="975" w:name="_Toc69612897"/>
      <w:bookmarkStart w:id="976" w:name="_Toc69613157"/>
      <w:bookmarkStart w:id="977" w:name="_Toc69633321"/>
      <w:bookmarkStart w:id="978" w:name="_Toc69717486"/>
      <w:bookmarkStart w:id="979" w:name="_Toc69802968"/>
      <w:bookmarkStart w:id="980" w:name="_Toc69815105"/>
      <w:bookmarkStart w:id="981" w:name="_Toc70492398"/>
      <w:bookmarkStart w:id="982" w:name="_Toc101310605"/>
      <w:bookmarkStart w:id="983" w:name="_Toc101318465"/>
      <w:bookmarkStart w:id="984" w:name="_Toc101318570"/>
      <w:bookmarkStart w:id="985" w:name="_Toc101318754"/>
      <w:bookmarkStart w:id="986" w:name="_Toc101334030"/>
      <w:bookmarkStart w:id="987" w:name="_Toc134847208"/>
      <w:bookmarkStart w:id="988" w:name="_Toc139253932"/>
      <w:bookmarkStart w:id="989" w:name="_Toc144710416"/>
      <w:bookmarkStart w:id="990" w:name="_Toc165890370"/>
      <w:bookmarkStart w:id="991" w:name="_Toc195322664"/>
      <w:bookmarkStart w:id="992" w:name="_Toc235955530"/>
      <w:bookmarkStart w:id="993" w:name="_Toc288316643"/>
      <w:bookmarkStart w:id="994" w:name="_Toc352504863"/>
      <w:bookmarkStart w:id="995" w:name="_Toc448321526"/>
      <w:bookmarkStart w:id="996" w:name="_Toc481751388"/>
      <w:bookmarkStart w:id="997" w:name="_Toc511116603"/>
      <w:bookmarkStart w:id="998" w:name="_Toc5269365"/>
      <w:bookmarkStart w:id="999" w:name="_Toc32570666"/>
      <w:bookmarkStart w:id="1000" w:name="_Toc36224405"/>
      <w:bookmarkStart w:id="1001" w:name="_Toc68786325"/>
      <w:bookmarkStart w:id="1002" w:name="_Toc131591240"/>
      <w:r w:rsidRPr="00261B7A">
        <w:t>5.5</w:t>
      </w:r>
      <w:r w:rsidRPr="00261B7A">
        <w:tab/>
        <w:t>Agricultural soils (CRF 3.D)</w:t>
      </w:r>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p>
    <w:p w14:paraId="0DA98E5C" w14:textId="77777777" w:rsidR="00994F64" w:rsidRPr="00261B7A" w:rsidRDefault="00994F64" w:rsidP="00994F64">
      <w:pPr>
        <w:pStyle w:val="Heading3"/>
        <w:spacing w:before="240"/>
      </w:pPr>
      <w:bookmarkStart w:id="1003" w:name="_Toc139253933"/>
      <w:bookmarkStart w:id="1004" w:name="_Toc32570667"/>
      <w:r w:rsidRPr="00261B7A">
        <w:t>5.5.1</w:t>
      </w:r>
      <w:r w:rsidRPr="00261B7A">
        <w:tab/>
        <w:t>Description</w:t>
      </w:r>
      <w:bookmarkEnd w:id="1003"/>
      <w:bookmarkEnd w:id="1004"/>
    </w:p>
    <w:p w14:paraId="3CC72315" w14:textId="77777777" w:rsidR="00994F64" w:rsidRPr="00261B7A" w:rsidRDefault="00994F64" w:rsidP="00994F64">
      <w:pPr>
        <w:pStyle w:val="BodyText"/>
        <w:keepNext/>
        <w:rPr>
          <w:rFonts w:cs="Calibri"/>
        </w:rPr>
      </w:pPr>
      <w:r w:rsidRPr="00261B7A">
        <w:rPr>
          <w:rFonts w:cs="Calibri"/>
        </w:rPr>
        <w:t>Several categories contribute to N</w:t>
      </w:r>
      <w:r w:rsidRPr="00261B7A">
        <w:rPr>
          <w:rFonts w:cs="Calibri"/>
          <w:vertAlign w:val="subscript"/>
        </w:rPr>
        <w:t>2</w:t>
      </w:r>
      <w:r w:rsidRPr="00261B7A">
        <w:rPr>
          <w:rFonts w:cs="Calibri"/>
        </w:rPr>
        <w:t xml:space="preserve">O emissions from </w:t>
      </w:r>
      <w:r w:rsidRPr="00261B7A">
        <w:rPr>
          <w:rFonts w:cs="Calibri"/>
          <w:i/>
          <w:iCs/>
        </w:rPr>
        <w:t>Agricultural soils</w:t>
      </w:r>
      <w:r w:rsidRPr="00261B7A">
        <w:rPr>
          <w:rFonts w:cs="Calibri"/>
        </w:rPr>
        <w:t xml:space="preserve"> through both direct and indirect pathways; these are summarised in figure 5.5.1. </w:t>
      </w:r>
    </w:p>
    <w:p w14:paraId="3E99B74B" w14:textId="77777777" w:rsidR="00994F64" w:rsidRPr="00261B7A" w:rsidRDefault="00994F64" w:rsidP="00994F64">
      <w:pPr>
        <w:pStyle w:val="Figure"/>
      </w:pPr>
      <w:bookmarkStart w:id="1005" w:name="_Toc481752014"/>
      <w:bookmarkStart w:id="1006" w:name="_Toc507158473"/>
      <w:bookmarkStart w:id="1007" w:name="_Toc511116964"/>
      <w:bookmarkStart w:id="1008" w:name="_Toc5269694"/>
      <w:bookmarkStart w:id="1009" w:name="_Toc32570965"/>
      <w:bookmarkStart w:id="1010" w:name="_Toc36292795"/>
      <w:bookmarkStart w:id="1011" w:name="_Toc68786660"/>
      <w:bookmarkStart w:id="1012" w:name="_Toc95574121"/>
      <w:bookmarkStart w:id="1013" w:name="_Toc127458560"/>
      <w:bookmarkStart w:id="1014" w:name="_Toc131591562"/>
      <w:r w:rsidRPr="00261B7A">
        <w:t>Figure 5.5.1</w:t>
      </w:r>
      <w:r w:rsidRPr="00261B7A">
        <w:tab/>
        <w:t xml:space="preserve">Sources of nitrous oxide emissions from </w:t>
      </w:r>
      <w:r w:rsidRPr="00261B7A">
        <w:rPr>
          <w:i/>
          <w:iCs/>
        </w:rPr>
        <w:t>Agricultural soils</w:t>
      </w:r>
      <w:r w:rsidRPr="00261B7A">
        <w:t>, showing the contribution of each source to emissions through both direct and indirect pathways</w:t>
      </w:r>
      <w:bookmarkEnd w:id="1005"/>
      <w:bookmarkEnd w:id="1006"/>
      <w:bookmarkEnd w:id="1007"/>
      <w:bookmarkEnd w:id="1008"/>
      <w:bookmarkEnd w:id="1009"/>
      <w:bookmarkEnd w:id="1010"/>
      <w:bookmarkEnd w:id="1011"/>
      <w:bookmarkEnd w:id="1012"/>
      <w:bookmarkEnd w:id="1013"/>
      <w:bookmarkEnd w:id="1014"/>
    </w:p>
    <w:p w14:paraId="2A1989D8" w14:textId="77777777" w:rsidR="00994F64" w:rsidRPr="00261B7A" w:rsidRDefault="00994F64" w:rsidP="00994F64">
      <w:pPr>
        <w:pStyle w:val="BodyText"/>
      </w:pPr>
      <w:r w:rsidRPr="00261B7A">
        <w:rPr>
          <w:noProof/>
        </w:rPr>
        <w:drawing>
          <wp:inline distT="0" distB="0" distL="0" distR="0" wp14:anchorId="7478C5DF" wp14:editId="584C0188">
            <wp:extent cx="5315732" cy="583752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27590" cy="5850551"/>
                    </a:xfrm>
                    <a:prstGeom prst="rect">
                      <a:avLst/>
                    </a:prstGeom>
                    <a:noFill/>
                    <a:ln>
                      <a:noFill/>
                    </a:ln>
                  </pic:spPr>
                </pic:pic>
              </a:graphicData>
            </a:graphic>
          </wp:inline>
        </w:drawing>
      </w:r>
    </w:p>
    <w:p w14:paraId="30C9F5E4" w14:textId="77777777" w:rsidR="00994F64" w:rsidRPr="00261B7A" w:rsidRDefault="00994F64" w:rsidP="00994F64">
      <w:pPr>
        <w:pStyle w:val="BodyText"/>
      </w:pPr>
      <w:r w:rsidRPr="00261B7A">
        <w:t>Direct N</w:t>
      </w:r>
      <w:r w:rsidRPr="00261B7A">
        <w:rPr>
          <w:vertAlign w:val="subscript"/>
        </w:rPr>
        <w:t>2</w:t>
      </w:r>
      <w:r w:rsidRPr="00261B7A">
        <w:t>O emissions come directly from the soils to which nitrogen has been applied in either organic (animal excreta and organic fertilisers) or inorganic (synthetic nitrogen fertiliser) form. Indirect emissions come from the volatilisation (evaporation or sublimation) of nitrogen from the land. A fraction of this volatilised nitrogen returns to the ground during rainfall and is then re-emitted as N</w:t>
      </w:r>
      <w:r w:rsidRPr="00261B7A">
        <w:rPr>
          <w:vertAlign w:val="subscript"/>
        </w:rPr>
        <w:t>2</w:t>
      </w:r>
      <w:r w:rsidRPr="00261B7A">
        <w:t>O. Indirect emissions also arise from leaching and runoff of nitrogen (IPCC, 2006) and from further nitrification and denitrification within waterways.</w:t>
      </w:r>
    </w:p>
    <w:p w14:paraId="4EEAFE2C" w14:textId="3A421CF3" w:rsidR="00994F64" w:rsidRPr="00261B7A" w:rsidRDefault="00994F64" w:rsidP="00994F64">
      <w:pPr>
        <w:pStyle w:val="BodyText"/>
        <w:spacing w:before="100" w:after="100"/>
        <w:rPr>
          <w:rFonts w:cs="Calibri"/>
          <w:i/>
          <w:iCs/>
        </w:rPr>
      </w:pPr>
      <w:r w:rsidRPr="00261B7A">
        <w:rPr>
          <w:rFonts w:cs="Calibri"/>
        </w:rPr>
        <w:t>Indirect emissions from livestock waste management systems are reported in section 5.3 (</w:t>
      </w:r>
      <w:r w:rsidRPr="00261B7A">
        <w:rPr>
          <w:rFonts w:cs="Calibri"/>
          <w:i/>
          <w:iCs/>
        </w:rPr>
        <w:t>Manure management</w:t>
      </w:r>
      <w:r w:rsidRPr="00261B7A">
        <w:rPr>
          <w:rFonts w:cs="Calibri"/>
        </w:rPr>
        <w:t>). Carbon dioxide emissions from lime and dolomite fertilisers are reported in section 5.8 (</w:t>
      </w:r>
      <w:r w:rsidRPr="00261B7A">
        <w:rPr>
          <w:rFonts w:cs="Calibri"/>
          <w:i/>
          <w:iCs/>
        </w:rPr>
        <w:t>Liming</w:t>
      </w:r>
      <w:r w:rsidRPr="00261B7A">
        <w:rPr>
          <w:rFonts w:cs="Calibri"/>
        </w:rPr>
        <w:t>), and CO</w:t>
      </w:r>
      <w:r w:rsidRPr="00261B7A">
        <w:rPr>
          <w:rFonts w:cs="Calibri"/>
          <w:vertAlign w:val="subscript"/>
        </w:rPr>
        <w:t>2</w:t>
      </w:r>
      <w:r w:rsidRPr="00261B7A">
        <w:rPr>
          <w:rFonts w:cs="Calibri"/>
        </w:rPr>
        <w:t xml:space="preserve"> emissions from urea fertiliser are reported in section</w:t>
      </w:r>
      <w:r w:rsidR="001730C0">
        <w:rPr>
          <w:rFonts w:cs="Calibri"/>
        </w:rPr>
        <w:t> </w:t>
      </w:r>
      <w:r w:rsidRPr="00261B7A">
        <w:rPr>
          <w:rFonts w:cs="Calibri"/>
        </w:rPr>
        <w:t>5.9 (</w:t>
      </w:r>
      <w:r w:rsidRPr="00261B7A">
        <w:rPr>
          <w:rFonts w:cs="Calibri"/>
          <w:i/>
          <w:iCs/>
        </w:rPr>
        <w:t>Urea application</w:t>
      </w:r>
      <w:r w:rsidRPr="00261B7A">
        <w:rPr>
          <w:rFonts w:cs="Calibri"/>
        </w:rPr>
        <w:t>)</w:t>
      </w:r>
      <w:r w:rsidRPr="00261B7A">
        <w:rPr>
          <w:rFonts w:cs="Calibri"/>
          <w:i/>
          <w:iCs/>
        </w:rPr>
        <w:t>.</w:t>
      </w:r>
    </w:p>
    <w:p w14:paraId="2825CFBA" w14:textId="77777777" w:rsidR="00994F64" w:rsidRPr="00261B7A" w:rsidRDefault="00994F64" w:rsidP="00994F64">
      <w:pPr>
        <w:pStyle w:val="BodyText"/>
        <w:spacing w:before="100" w:after="100"/>
        <w:rPr>
          <w:rFonts w:cs="Calibri"/>
        </w:rPr>
      </w:pPr>
      <w:r w:rsidRPr="00261B7A">
        <w:rPr>
          <w:rFonts w:cs="Calibri"/>
          <w:i/>
          <w:iCs/>
        </w:rPr>
        <w:t>Agricultural soils</w:t>
      </w:r>
      <w:r w:rsidRPr="00261B7A">
        <w:rPr>
          <w:rFonts w:cs="Calibri"/>
        </w:rPr>
        <w:t xml:space="preserve"> contributed an estimated 7,315.2 kt CO</w:t>
      </w:r>
      <w:r w:rsidRPr="00261B7A">
        <w:rPr>
          <w:rFonts w:cs="Calibri"/>
          <w:vertAlign w:val="subscript"/>
        </w:rPr>
        <w:t>2</w:t>
      </w:r>
      <w:r w:rsidRPr="00261B7A">
        <w:rPr>
          <w:rFonts w:cs="Calibri"/>
        </w:rPr>
        <w:t>-e, representing 9.5 per cent of New Zealand’s gross emissions and 19.4 per cent of Agriculture</w:t>
      </w:r>
      <w:r w:rsidRPr="00261B7A">
        <w:rPr>
          <w:rFonts w:cs="Calibri"/>
          <w:i/>
          <w:iCs/>
        </w:rPr>
        <w:t xml:space="preserve"> </w:t>
      </w:r>
      <w:r w:rsidRPr="00261B7A">
        <w:rPr>
          <w:rFonts w:cs="Calibri"/>
        </w:rPr>
        <w:t xml:space="preserve">emissions in 2021. The </w:t>
      </w:r>
      <w:r w:rsidRPr="00261B7A">
        <w:rPr>
          <w:rFonts w:cs="Calibri"/>
          <w:i/>
          <w:iCs/>
        </w:rPr>
        <w:t>Agricultural soils</w:t>
      </w:r>
      <w:r w:rsidRPr="00261B7A">
        <w:rPr>
          <w:rFonts w:cs="Calibri"/>
        </w:rPr>
        <w:t xml:space="preserve"> category was the source of 92.2 per cent of New Zealand’s total 2021 </w:t>
      </w:r>
      <w:r w:rsidRPr="00261B7A">
        <w:rPr>
          <w:rFonts w:cs="Calibri"/>
          <w:spacing w:val="-2"/>
        </w:rPr>
        <w:t>N</w:t>
      </w:r>
      <w:r w:rsidRPr="00261B7A">
        <w:rPr>
          <w:rFonts w:cs="Calibri"/>
          <w:spacing w:val="-2"/>
          <w:vertAlign w:val="subscript"/>
        </w:rPr>
        <w:t>2</w:t>
      </w:r>
      <w:r w:rsidRPr="00261B7A">
        <w:rPr>
          <w:rFonts w:cs="Calibri"/>
          <w:spacing w:val="-2"/>
        </w:rPr>
        <w:t>O</w:t>
      </w:r>
      <w:r w:rsidRPr="00261B7A">
        <w:rPr>
          <w:rFonts w:cs="Calibri"/>
        </w:rPr>
        <w:t> emissions.</w:t>
      </w:r>
    </w:p>
    <w:p w14:paraId="4D9EE212" w14:textId="77777777" w:rsidR="00994F64" w:rsidRPr="00261B7A" w:rsidRDefault="00994F64" w:rsidP="00994F64">
      <w:pPr>
        <w:pStyle w:val="BodyText"/>
        <w:spacing w:before="100" w:after="100"/>
        <w:rPr>
          <w:rFonts w:cs="Calibri"/>
        </w:rPr>
      </w:pPr>
      <w:r w:rsidRPr="00261B7A">
        <w:rPr>
          <w:rFonts w:cs="Calibri"/>
        </w:rPr>
        <w:t xml:space="preserve">The categories that contribute the most to emissions from </w:t>
      </w:r>
      <w:r w:rsidRPr="00261B7A">
        <w:rPr>
          <w:rFonts w:cs="Calibri"/>
          <w:i/>
          <w:iCs/>
        </w:rPr>
        <w:t>Agricultural soils</w:t>
      </w:r>
      <w:r w:rsidRPr="00261B7A">
        <w:rPr>
          <w:rFonts w:cs="Calibri"/>
        </w:rPr>
        <w:t xml:space="preserve"> and that are identified as key categories are outlined below in order of significance.</w:t>
      </w:r>
    </w:p>
    <w:p w14:paraId="63539BA9" w14:textId="77777777" w:rsidR="00994F64" w:rsidRPr="00261B7A" w:rsidRDefault="00994F64" w:rsidP="00294EC5">
      <w:pPr>
        <w:pStyle w:val="Bullet"/>
        <w:numPr>
          <w:ilvl w:val="0"/>
          <w:numId w:val="24"/>
        </w:numPr>
        <w:rPr>
          <w:spacing w:val="-2"/>
        </w:rPr>
      </w:pPr>
      <w:r w:rsidRPr="00261B7A">
        <w:t xml:space="preserve">Urine and dung deposited by grazing animals (pasture, range, and paddock manure) (level and trend assessment): 48.0 per cent of emissions from </w:t>
      </w:r>
      <w:r w:rsidRPr="00261B7A">
        <w:rPr>
          <w:i/>
          <w:iCs/>
        </w:rPr>
        <w:t>Agricultural soils</w:t>
      </w:r>
      <w:r w:rsidRPr="00261B7A">
        <w:t>.</w:t>
      </w:r>
    </w:p>
    <w:p w14:paraId="19879B68" w14:textId="77777777" w:rsidR="00994F64" w:rsidRPr="00261B7A" w:rsidRDefault="00994F64" w:rsidP="00294EC5">
      <w:pPr>
        <w:pStyle w:val="Bullet"/>
        <w:numPr>
          <w:ilvl w:val="0"/>
          <w:numId w:val="24"/>
        </w:numPr>
      </w:pPr>
      <w:r w:rsidRPr="00261B7A">
        <w:t xml:space="preserve">Synthetic nitrogen fertiliser (level and trend assessment): 19.1 per cent of </w:t>
      </w:r>
      <w:r w:rsidRPr="00261B7A">
        <w:rPr>
          <w:iCs/>
        </w:rPr>
        <w:t>emissions.</w:t>
      </w:r>
    </w:p>
    <w:p w14:paraId="0261A5AC" w14:textId="77777777" w:rsidR="00994F64" w:rsidRPr="00261B7A" w:rsidRDefault="00994F64" w:rsidP="00294EC5">
      <w:pPr>
        <w:pStyle w:val="Bullet"/>
        <w:numPr>
          <w:ilvl w:val="0"/>
          <w:numId w:val="24"/>
        </w:numPr>
      </w:pPr>
      <w:r w:rsidRPr="00261B7A">
        <w:t>Volatilisation (level assessment): 11.7 per cent of emissions.</w:t>
      </w:r>
    </w:p>
    <w:p w14:paraId="771D767F" w14:textId="77777777" w:rsidR="00994F64" w:rsidRPr="00261B7A" w:rsidRDefault="00994F64" w:rsidP="00294EC5">
      <w:pPr>
        <w:pStyle w:val="Bullet"/>
        <w:numPr>
          <w:ilvl w:val="0"/>
          <w:numId w:val="24"/>
        </w:numPr>
      </w:pPr>
      <w:r w:rsidRPr="00261B7A">
        <w:t>Managed organic soils (level and trend assessment): 9.1 per cent</w:t>
      </w:r>
      <w:r w:rsidRPr="00261B7A" w:rsidDel="00C07FB2">
        <w:t xml:space="preserve"> </w:t>
      </w:r>
      <w:r w:rsidRPr="00261B7A">
        <w:t>of emissions.</w:t>
      </w:r>
    </w:p>
    <w:p w14:paraId="4057DD20" w14:textId="77777777" w:rsidR="00994F64" w:rsidRPr="00261B7A" w:rsidRDefault="00994F64" w:rsidP="00294EC5">
      <w:pPr>
        <w:pStyle w:val="Bullet"/>
        <w:numPr>
          <w:ilvl w:val="0"/>
          <w:numId w:val="24"/>
        </w:numPr>
      </w:pPr>
      <w:r w:rsidRPr="00261B7A">
        <w:t>Leaching and runoff (level assessment): 7.6 per cent</w:t>
      </w:r>
      <w:r w:rsidRPr="00261B7A" w:rsidDel="00C07FB2">
        <w:t xml:space="preserve"> </w:t>
      </w:r>
      <w:r w:rsidRPr="00261B7A">
        <w:t>of emissions.</w:t>
      </w:r>
    </w:p>
    <w:p w14:paraId="05CAF044" w14:textId="77777777" w:rsidR="00994F64" w:rsidRPr="00261B7A" w:rsidRDefault="00994F64" w:rsidP="00294EC5">
      <w:pPr>
        <w:pStyle w:val="Bullet"/>
        <w:numPr>
          <w:ilvl w:val="0"/>
          <w:numId w:val="24"/>
        </w:numPr>
      </w:pPr>
      <w:r w:rsidRPr="00261B7A">
        <w:t>Crop residues (level assessment): 3.5 per cent</w:t>
      </w:r>
      <w:r w:rsidRPr="00261B7A" w:rsidDel="00C07FB2">
        <w:t xml:space="preserve"> </w:t>
      </w:r>
      <w:r w:rsidRPr="00261B7A">
        <w:t>of emissions.</w:t>
      </w:r>
    </w:p>
    <w:p w14:paraId="557019CC" w14:textId="77777777" w:rsidR="00994F64" w:rsidRPr="00261B7A" w:rsidRDefault="00994F64" w:rsidP="00994F64">
      <w:pPr>
        <w:pStyle w:val="Heading5"/>
        <w:rPr>
          <w:rFonts w:cs="Calibri"/>
        </w:rPr>
      </w:pPr>
      <w:r w:rsidRPr="00261B7A">
        <w:rPr>
          <w:rFonts w:cs="Calibri"/>
        </w:rPr>
        <w:t>Trends</w:t>
      </w:r>
    </w:p>
    <w:p w14:paraId="489A90AF" w14:textId="77777777" w:rsidR="00994F64" w:rsidRPr="00261B7A" w:rsidRDefault="00994F64" w:rsidP="00994F64">
      <w:pPr>
        <w:pStyle w:val="BodyText"/>
      </w:pPr>
      <w:r w:rsidRPr="00261B7A">
        <w:t xml:space="preserve">Emissions from </w:t>
      </w:r>
      <w:r w:rsidRPr="00261B7A">
        <w:rPr>
          <w:i/>
          <w:iCs/>
        </w:rPr>
        <w:t xml:space="preserve">Agricultural soils </w:t>
      </w:r>
      <w:r w:rsidRPr="00261B7A">
        <w:t>increased 40.2 per cent (2,098.3 kt CO</w:t>
      </w:r>
      <w:r w:rsidRPr="00261B7A">
        <w:rPr>
          <w:vertAlign w:val="subscript"/>
        </w:rPr>
        <w:t>2</w:t>
      </w:r>
      <w:r w:rsidRPr="00261B7A">
        <w:t xml:space="preserve">-e) between 1990 and 2021. Increases in the use of synthetic nitrogen fertiliser and the dairy cattle population are the predominant drivers of increasing emissions from </w:t>
      </w:r>
      <w:r w:rsidRPr="00261B7A">
        <w:rPr>
          <w:i/>
          <w:iCs/>
        </w:rPr>
        <w:t>Agricultural soils</w:t>
      </w:r>
      <w:r w:rsidRPr="00261B7A">
        <w:t xml:space="preserve">, which have been partially offset by decreases in the sheep and beef cattle populations. </w:t>
      </w:r>
    </w:p>
    <w:p w14:paraId="6CAD60CA" w14:textId="77777777" w:rsidR="00994F64" w:rsidRPr="00261B7A" w:rsidRDefault="00994F64" w:rsidP="00994F64">
      <w:pPr>
        <w:pStyle w:val="BodyText"/>
      </w:pPr>
      <w:r w:rsidRPr="00261B7A">
        <w:t xml:space="preserve">Trends from 1990 and 2021 across the key categories in </w:t>
      </w:r>
      <w:r w:rsidRPr="00261B7A">
        <w:rPr>
          <w:i/>
          <w:iCs/>
        </w:rPr>
        <w:t xml:space="preserve">Agricultural soils </w:t>
      </w:r>
      <w:r w:rsidRPr="00261B7A">
        <w:t>are detailed below.</w:t>
      </w:r>
    </w:p>
    <w:p w14:paraId="52670FB5" w14:textId="77777777" w:rsidR="00994F64" w:rsidRPr="00261B7A" w:rsidRDefault="00994F64" w:rsidP="00294EC5">
      <w:pPr>
        <w:pStyle w:val="Bullet"/>
        <w:numPr>
          <w:ilvl w:val="0"/>
          <w:numId w:val="24"/>
        </w:numPr>
        <w:rPr>
          <w:spacing w:val="-2"/>
        </w:rPr>
      </w:pPr>
      <w:r w:rsidRPr="00261B7A">
        <w:t>Urine and dung deposited by grazing animals (pasture, range and paddock manure) (level and trend assessment): 18.6 per cent (550.4 kt CO</w:t>
      </w:r>
      <w:r w:rsidRPr="00261B7A">
        <w:rPr>
          <w:vertAlign w:val="subscript"/>
        </w:rPr>
        <w:t>2</w:t>
      </w:r>
      <w:r w:rsidRPr="00261B7A">
        <w:t>-e) increase.</w:t>
      </w:r>
    </w:p>
    <w:p w14:paraId="56D26300" w14:textId="77777777" w:rsidR="00994F64" w:rsidRPr="00261B7A" w:rsidRDefault="00994F64" w:rsidP="00294EC5">
      <w:pPr>
        <w:pStyle w:val="Bullet"/>
        <w:numPr>
          <w:ilvl w:val="0"/>
          <w:numId w:val="24"/>
        </w:numPr>
        <w:rPr>
          <w:spacing w:val="-2"/>
        </w:rPr>
      </w:pPr>
      <w:r w:rsidRPr="00261B7A">
        <w:t>Synthetic nitrogen fertiliser (level and trend assessment): 507.4 per cent (1,168.6 kt CO</w:t>
      </w:r>
      <w:r w:rsidRPr="00261B7A">
        <w:rPr>
          <w:vertAlign w:val="subscript"/>
        </w:rPr>
        <w:t>2</w:t>
      </w:r>
      <w:r w:rsidRPr="00261B7A">
        <w:t>-e) increase.</w:t>
      </w:r>
    </w:p>
    <w:p w14:paraId="602CE571" w14:textId="77777777" w:rsidR="00994F64" w:rsidRPr="00261B7A" w:rsidRDefault="00994F64" w:rsidP="00294EC5">
      <w:pPr>
        <w:pStyle w:val="Bullet"/>
        <w:numPr>
          <w:ilvl w:val="0"/>
          <w:numId w:val="24"/>
        </w:numPr>
        <w:rPr>
          <w:spacing w:val="-2"/>
        </w:rPr>
      </w:pPr>
      <w:r w:rsidRPr="00261B7A">
        <w:t>Volatilisation (level assessment): 19.4 per cent (139.0 kt CO</w:t>
      </w:r>
      <w:r w:rsidRPr="00261B7A">
        <w:rPr>
          <w:vertAlign w:val="subscript"/>
        </w:rPr>
        <w:t>2</w:t>
      </w:r>
      <w:r w:rsidRPr="00261B7A">
        <w:t>-e) increase.</w:t>
      </w:r>
    </w:p>
    <w:p w14:paraId="356B1637" w14:textId="77777777" w:rsidR="00994F64" w:rsidRPr="00261B7A" w:rsidRDefault="00994F64" w:rsidP="00294EC5">
      <w:pPr>
        <w:pStyle w:val="Bullet"/>
        <w:numPr>
          <w:ilvl w:val="0"/>
          <w:numId w:val="24"/>
        </w:numPr>
        <w:rPr>
          <w:spacing w:val="-2"/>
        </w:rPr>
      </w:pPr>
      <w:r w:rsidRPr="00261B7A">
        <w:t>Management of organic soils (level and trend assessment): 1.3 per cent (8.7 kt CO</w:t>
      </w:r>
      <w:r w:rsidRPr="00261B7A">
        <w:rPr>
          <w:vertAlign w:val="subscript"/>
        </w:rPr>
        <w:t>2</w:t>
      </w:r>
      <w:r w:rsidRPr="00261B7A">
        <w:t>-e) increase.</w:t>
      </w:r>
    </w:p>
    <w:p w14:paraId="6840009D" w14:textId="77777777" w:rsidR="00994F64" w:rsidRPr="00261B7A" w:rsidRDefault="00994F64" w:rsidP="00294EC5">
      <w:pPr>
        <w:pStyle w:val="Bullet"/>
        <w:numPr>
          <w:ilvl w:val="0"/>
          <w:numId w:val="24"/>
        </w:numPr>
        <w:rPr>
          <w:spacing w:val="-2"/>
        </w:rPr>
      </w:pPr>
      <w:r w:rsidRPr="00261B7A">
        <w:t>Leaching and runoff (level assessment): 25.7 per cent (113.3 kt CO</w:t>
      </w:r>
      <w:r w:rsidRPr="00261B7A">
        <w:rPr>
          <w:vertAlign w:val="subscript"/>
        </w:rPr>
        <w:t>2</w:t>
      </w:r>
      <w:r w:rsidRPr="00261B7A">
        <w:t>-e) increase.</w:t>
      </w:r>
    </w:p>
    <w:p w14:paraId="7A646F8F" w14:textId="77777777" w:rsidR="00994F64" w:rsidRPr="00261B7A" w:rsidRDefault="00994F64" w:rsidP="00294EC5">
      <w:pPr>
        <w:pStyle w:val="Bullet"/>
        <w:numPr>
          <w:ilvl w:val="0"/>
          <w:numId w:val="24"/>
        </w:numPr>
        <w:rPr>
          <w:spacing w:val="-2"/>
        </w:rPr>
      </w:pPr>
      <w:r w:rsidRPr="00261B7A">
        <w:t>Crop residues (level assessment): 45.7 per cent (80.3 kt CO</w:t>
      </w:r>
      <w:r w:rsidRPr="00261B7A">
        <w:rPr>
          <w:vertAlign w:val="subscript"/>
        </w:rPr>
        <w:t>2</w:t>
      </w:r>
      <w:r w:rsidRPr="00261B7A">
        <w:t>-e) increase.</w:t>
      </w:r>
    </w:p>
    <w:p w14:paraId="7A18A9B2" w14:textId="77777777" w:rsidR="00994F64" w:rsidRPr="00261B7A" w:rsidRDefault="00994F64" w:rsidP="00994F64">
      <w:pPr>
        <w:pStyle w:val="BodyText"/>
      </w:pPr>
      <w:r w:rsidRPr="00261B7A">
        <w:t>Table 5.5.1 shows the trends and relative contribution of N</w:t>
      </w:r>
      <w:r w:rsidRPr="00261B7A">
        <w:rPr>
          <w:vertAlign w:val="subscript"/>
        </w:rPr>
        <w:t>2</w:t>
      </w:r>
      <w:r w:rsidRPr="00261B7A">
        <w:t>O emissions from these categories between 1990 and 2021.</w:t>
      </w:r>
    </w:p>
    <w:p w14:paraId="1F330F79" w14:textId="77777777" w:rsidR="00994F64" w:rsidRPr="00261B7A" w:rsidRDefault="00994F64" w:rsidP="00994F64">
      <w:pPr>
        <w:pStyle w:val="Table"/>
        <w:rPr>
          <w:rFonts w:cs="Calibri"/>
        </w:rPr>
      </w:pPr>
      <w:bookmarkStart w:id="1015" w:name="_Toc481751521"/>
      <w:bookmarkStart w:id="1016" w:name="_Toc507158609"/>
      <w:bookmarkStart w:id="1017" w:name="_Toc511116743"/>
      <w:bookmarkStart w:id="1018" w:name="_Toc5269485"/>
      <w:bookmarkStart w:id="1019" w:name="_Toc32570927"/>
      <w:bookmarkStart w:id="1020" w:name="_Toc36224562"/>
      <w:bookmarkStart w:id="1021" w:name="_Toc68786447"/>
      <w:bookmarkStart w:id="1022" w:name="_Toc95574080"/>
      <w:bookmarkStart w:id="1023" w:name="_Toc127458267"/>
      <w:bookmarkStart w:id="1024" w:name="_Toc131591363"/>
      <w:r w:rsidRPr="00261B7A">
        <w:rPr>
          <w:rFonts w:cs="Calibri"/>
        </w:rPr>
        <w:t>Table 5.5.1</w:t>
      </w:r>
      <w:r w:rsidRPr="00261B7A">
        <w:rPr>
          <w:rFonts w:cs="Calibri"/>
        </w:rPr>
        <w:tab/>
        <w:t xml:space="preserve">Trends and relative contribution of nitrous oxide emissions from </w:t>
      </w:r>
      <w:r w:rsidRPr="00261B7A">
        <w:rPr>
          <w:rFonts w:cs="Calibri"/>
          <w:i/>
          <w:iCs/>
        </w:rPr>
        <w:t>Agricultural soils</w:t>
      </w:r>
      <w:r w:rsidRPr="00261B7A">
        <w:rPr>
          <w:rFonts w:cs="Calibri"/>
        </w:rPr>
        <w:t xml:space="preserve"> categories between 1990 and </w:t>
      </w:r>
      <w:bookmarkEnd w:id="1015"/>
      <w:bookmarkEnd w:id="1016"/>
      <w:bookmarkEnd w:id="1017"/>
      <w:bookmarkEnd w:id="1018"/>
      <w:bookmarkEnd w:id="1019"/>
      <w:bookmarkEnd w:id="1020"/>
      <w:bookmarkEnd w:id="1021"/>
      <w:bookmarkEnd w:id="1022"/>
      <w:r w:rsidRPr="00261B7A">
        <w:rPr>
          <w:rFonts w:cs="Calibri"/>
        </w:rPr>
        <w:t>2021</w:t>
      </w:r>
      <w:bookmarkEnd w:id="1023"/>
      <w:bookmarkEnd w:id="1024"/>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6"/>
        <w:gridCol w:w="2445"/>
        <w:gridCol w:w="708"/>
        <w:gridCol w:w="722"/>
        <w:gridCol w:w="854"/>
        <w:gridCol w:w="712"/>
        <w:gridCol w:w="1095"/>
        <w:gridCol w:w="1153"/>
      </w:tblGrid>
      <w:tr w:rsidR="00994F64" w:rsidRPr="00261B7A" w14:paraId="3AC1AEA7" w14:textId="77777777" w:rsidTr="00501B0F">
        <w:trPr>
          <w:tblHeader/>
        </w:trPr>
        <w:tc>
          <w:tcPr>
            <w:tcW w:w="3261" w:type="dxa"/>
            <w:gridSpan w:val="2"/>
            <w:tcBorders>
              <w:top w:val="single" w:sz="4" w:space="0" w:color="1B556B" w:themeColor="text2"/>
              <w:left w:val="nil"/>
              <w:bottom w:val="nil"/>
              <w:right w:val="nil"/>
            </w:tcBorders>
            <w:shd w:val="clear" w:color="auto" w:fill="1B556B"/>
            <w:vAlign w:val="bottom"/>
          </w:tcPr>
          <w:p w14:paraId="04E5478A" w14:textId="77777777" w:rsidR="00994F64" w:rsidRPr="00261B7A" w:rsidRDefault="00994F64" w:rsidP="00501B0F">
            <w:pPr>
              <w:pStyle w:val="TableTextBold"/>
              <w:rPr>
                <w:noProof w:val="0"/>
                <w:color w:val="FFFFFF" w:themeColor="background1"/>
                <w:szCs w:val="16"/>
              </w:rPr>
            </w:pPr>
          </w:p>
        </w:tc>
        <w:tc>
          <w:tcPr>
            <w:tcW w:w="1430" w:type="dxa"/>
            <w:gridSpan w:val="2"/>
            <w:tcBorders>
              <w:top w:val="single" w:sz="4" w:space="0" w:color="1B556B" w:themeColor="text2"/>
              <w:left w:val="nil"/>
              <w:bottom w:val="nil"/>
              <w:right w:val="nil"/>
            </w:tcBorders>
            <w:shd w:val="clear" w:color="auto" w:fill="1B556B"/>
            <w:vAlign w:val="bottom"/>
          </w:tcPr>
          <w:p w14:paraId="6AF61D8C" w14:textId="77777777" w:rsidR="00994F64" w:rsidRPr="00261B7A" w:rsidRDefault="00994F64" w:rsidP="00501B0F">
            <w:pPr>
              <w:pStyle w:val="TableTextBold"/>
              <w:spacing w:after="0"/>
              <w:jc w:val="center"/>
              <w:rPr>
                <w:noProof w:val="0"/>
                <w:color w:val="FFFFFF" w:themeColor="background1"/>
                <w:szCs w:val="16"/>
              </w:rPr>
            </w:pPr>
            <w:r w:rsidRPr="00261B7A">
              <w:rPr>
                <w:noProof w:val="0"/>
                <w:color w:val="FFFFFF" w:themeColor="background1"/>
                <w:szCs w:val="16"/>
              </w:rPr>
              <w:t xml:space="preserve">Emissions </w:t>
            </w:r>
            <w:r w:rsidRPr="00261B7A">
              <w:rPr>
                <w:noProof w:val="0"/>
                <w:color w:val="FFFFFF" w:themeColor="background1"/>
                <w:szCs w:val="16"/>
              </w:rPr>
              <w:br/>
              <w:t>(kt CO</w:t>
            </w:r>
            <w:r w:rsidRPr="00261B7A">
              <w:rPr>
                <w:noProof w:val="0"/>
                <w:color w:val="FFFFFF" w:themeColor="background1"/>
                <w:szCs w:val="16"/>
                <w:vertAlign w:val="subscript"/>
              </w:rPr>
              <w:t>2</w:t>
            </w:r>
            <w:r w:rsidRPr="00261B7A">
              <w:rPr>
                <w:noProof w:val="0"/>
                <w:color w:val="FFFFFF" w:themeColor="background1"/>
                <w:szCs w:val="16"/>
              </w:rPr>
              <w:t>-e)</w:t>
            </w:r>
          </w:p>
        </w:tc>
        <w:tc>
          <w:tcPr>
            <w:tcW w:w="1566" w:type="dxa"/>
            <w:gridSpan w:val="2"/>
            <w:tcBorders>
              <w:top w:val="single" w:sz="4" w:space="0" w:color="1B556B" w:themeColor="text2"/>
              <w:left w:val="nil"/>
              <w:bottom w:val="nil"/>
              <w:right w:val="nil"/>
            </w:tcBorders>
            <w:shd w:val="clear" w:color="auto" w:fill="1B556B"/>
            <w:vAlign w:val="bottom"/>
          </w:tcPr>
          <w:p w14:paraId="7ED86856" w14:textId="77777777" w:rsidR="00994F64" w:rsidRPr="00261B7A" w:rsidRDefault="00994F64" w:rsidP="00501B0F">
            <w:pPr>
              <w:pStyle w:val="TableTextBold"/>
              <w:spacing w:after="0"/>
              <w:jc w:val="center"/>
              <w:rPr>
                <w:noProof w:val="0"/>
                <w:color w:val="FFFFFF" w:themeColor="background1"/>
                <w:szCs w:val="16"/>
              </w:rPr>
            </w:pPr>
            <w:r w:rsidRPr="00261B7A">
              <w:rPr>
                <w:noProof w:val="0"/>
                <w:color w:val="FFFFFF" w:themeColor="background1"/>
                <w:szCs w:val="16"/>
              </w:rPr>
              <w:t xml:space="preserve">Change from </w:t>
            </w:r>
            <w:r w:rsidRPr="00261B7A">
              <w:rPr>
                <w:noProof w:val="0"/>
                <w:color w:val="FFFFFF" w:themeColor="background1"/>
                <w:szCs w:val="16"/>
              </w:rPr>
              <w:br/>
              <w:t>1990–2021</w:t>
            </w:r>
          </w:p>
        </w:tc>
        <w:tc>
          <w:tcPr>
            <w:tcW w:w="1095" w:type="dxa"/>
            <w:tcBorders>
              <w:top w:val="single" w:sz="4" w:space="0" w:color="1B556B" w:themeColor="text2"/>
              <w:left w:val="nil"/>
              <w:bottom w:val="nil"/>
              <w:right w:val="nil"/>
            </w:tcBorders>
            <w:shd w:val="clear" w:color="auto" w:fill="1B556B"/>
            <w:vAlign w:val="bottom"/>
          </w:tcPr>
          <w:p w14:paraId="4F279B69" w14:textId="77777777" w:rsidR="00994F64" w:rsidRPr="00261B7A" w:rsidRDefault="00994F64" w:rsidP="00501B0F">
            <w:pPr>
              <w:pStyle w:val="TableTextBold"/>
              <w:spacing w:after="0"/>
              <w:jc w:val="center"/>
              <w:rPr>
                <w:noProof w:val="0"/>
                <w:color w:val="FFFFFF" w:themeColor="background1"/>
                <w:szCs w:val="16"/>
              </w:rPr>
            </w:pPr>
            <w:r w:rsidRPr="00261B7A">
              <w:rPr>
                <w:noProof w:val="0"/>
                <w:color w:val="FFFFFF" w:themeColor="background1"/>
                <w:szCs w:val="16"/>
              </w:rPr>
              <w:t xml:space="preserve">Share of </w:t>
            </w:r>
            <w:r w:rsidRPr="00261B7A">
              <w:rPr>
                <w:noProof w:val="0"/>
                <w:color w:val="FFFFFF" w:themeColor="background1"/>
                <w:szCs w:val="16"/>
              </w:rPr>
              <w:br/>
              <w:t>Agricultural soils category</w:t>
            </w:r>
          </w:p>
        </w:tc>
        <w:tc>
          <w:tcPr>
            <w:tcW w:w="1153" w:type="dxa"/>
            <w:tcBorders>
              <w:top w:val="single" w:sz="4" w:space="0" w:color="1B556B" w:themeColor="text2"/>
              <w:left w:val="nil"/>
              <w:bottom w:val="nil"/>
              <w:right w:val="nil"/>
            </w:tcBorders>
            <w:shd w:val="clear" w:color="auto" w:fill="1B556B"/>
            <w:vAlign w:val="bottom"/>
          </w:tcPr>
          <w:p w14:paraId="3D81E1D6" w14:textId="77777777" w:rsidR="00994F64" w:rsidRPr="00261B7A" w:rsidRDefault="00994F64" w:rsidP="00501B0F">
            <w:pPr>
              <w:pStyle w:val="TableTextBold"/>
              <w:spacing w:after="0"/>
              <w:jc w:val="center"/>
              <w:rPr>
                <w:noProof w:val="0"/>
                <w:color w:val="FFFFFF" w:themeColor="background1"/>
                <w:szCs w:val="16"/>
              </w:rPr>
            </w:pPr>
            <w:r w:rsidRPr="00261B7A">
              <w:rPr>
                <w:noProof w:val="0"/>
                <w:color w:val="FFFFFF" w:themeColor="background1"/>
                <w:szCs w:val="16"/>
              </w:rPr>
              <w:t xml:space="preserve">Share of total </w:t>
            </w:r>
            <w:r w:rsidRPr="00261B7A">
              <w:rPr>
                <w:noProof w:val="0"/>
                <w:color w:val="FFFFFF" w:themeColor="background1"/>
                <w:szCs w:val="16"/>
              </w:rPr>
              <w:br/>
              <w:t xml:space="preserve">Agriculture sector </w:t>
            </w:r>
          </w:p>
        </w:tc>
      </w:tr>
      <w:tr w:rsidR="00994F64" w:rsidRPr="00261B7A" w14:paraId="128BA1A6" w14:textId="77777777" w:rsidTr="00501B0F">
        <w:trPr>
          <w:tblHeader/>
        </w:trPr>
        <w:tc>
          <w:tcPr>
            <w:tcW w:w="3261" w:type="dxa"/>
            <w:gridSpan w:val="2"/>
            <w:tcBorders>
              <w:top w:val="nil"/>
              <w:left w:val="nil"/>
              <w:bottom w:val="single" w:sz="4" w:space="0" w:color="1B556B" w:themeColor="text2"/>
              <w:right w:val="nil"/>
            </w:tcBorders>
            <w:shd w:val="clear" w:color="auto" w:fill="1B556B"/>
          </w:tcPr>
          <w:p w14:paraId="33560354" w14:textId="77777777" w:rsidR="00994F64" w:rsidRPr="00261B7A" w:rsidRDefault="00994F64" w:rsidP="00501B0F">
            <w:pPr>
              <w:pStyle w:val="TableTextBold"/>
              <w:rPr>
                <w:noProof w:val="0"/>
                <w:color w:val="FFFFFF" w:themeColor="background1"/>
                <w:szCs w:val="16"/>
              </w:rPr>
            </w:pPr>
            <w:r w:rsidRPr="00261B7A">
              <w:rPr>
                <w:noProof w:val="0"/>
                <w:color w:val="FFFFFF" w:themeColor="background1"/>
                <w:szCs w:val="16"/>
              </w:rPr>
              <w:t>Agricultural soils category</w:t>
            </w:r>
          </w:p>
        </w:tc>
        <w:tc>
          <w:tcPr>
            <w:tcW w:w="708" w:type="dxa"/>
            <w:tcBorders>
              <w:top w:val="nil"/>
              <w:left w:val="nil"/>
              <w:bottom w:val="single" w:sz="4" w:space="0" w:color="1B556B" w:themeColor="text2"/>
              <w:right w:val="nil"/>
            </w:tcBorders>
            <w:shd w:val="clear" w:color="auto" w:fill="1B556B"/>
            <w:vAlign w:val="bottom"/>
          </w:tcPr>
          <w:p w14:paraId="05CA6C02" w14:textId="77777777" w:rsidR="00994F64" w:rsidRPr="00261B7A" w:rsidRDefault="00994F64" w:rsidP="00501B0F">
            <w:pPr>
              <w:pStyle w:val="TableTextBold"/>
              <w:jc w:val="center"/>
              <w:rPr>
                <w:noProof w:val="0"/>
                <w:color w:val="FFFFFF" w:themeColor="background1"/>
                <w:szCs w:val="16"/>
              </w:rPr>
            </w:pPr>
            <w:r w:rsidRPr="00261B7A">
              <w:rPr>
                <w:noProof w:val="0"/>
                <w:color w:val="FFFFFF" w:themeColor="background1"/>
                <w:szCs w:val="16"/>
              </w:rPr>
              <w:t>1990</w:t>
            </w:r>
          </w:p>
        </w:tc>
        <w:tc>
          <w:tcPr>
            <w:tcW w:w="722" w:type="dxa"/>
            <w:tcBorders>
              <w:top w:val="nil"/>
              <w:left w:val="nil"/>
              <w:bottom w:val="single" w:sz="4" w:space="0" w:color="1B556B" w:themeColor="text2"/>
              <w:right w:val="nil"/>
            </w:tcBorders>
            <w:shd w:val="clear" w:color="auto" w:fill="1B556B"/>
            <w:vAlign w:val="bottom"/>
          </w:tcPr>
          <w:p w14:paraId="419E4EEF" w14:textId="77777777" w:rsidR="00994F64" w:rsidRPr="00261B7A" w:rsidRDefault="00994F64" w:rsidP="00501B0F">
            <w:pPr>
              <w:pStyle w:val="TableTextBold"/>
              <w:jc w:val="center"/>
              <w:rPr>
                <w:noProof w:val="0"/>
                <w:color w:val="FFFFFF" w:themeColor="background1"/>
                <w:szCs w:val="16"/>
              </w:rPr>
            </w:pPr>
            <w:r w:rsidRPr="00261B7A">
              <w:rPr>
                <w:noProof w:val="0"/>
                <w:color w:val="FFFFFF" w:themeColor="background1"/>
                <w:szCs w:val="16"/>
              </w:rPr>
              <w:t>2021</w:t>
            </w:r>
          </w:p>
        </w:tc>
        <w:tc>
          <w:tcPr>
            <w:tcW w:w="854" w:type="dxa"/>
            <w:tcBorders>
              <w:top w:val="nil"/>
              <w:left w:val="nil"/>
              <w:bottom w:val="single" w:sz="4" w:space="0" w:color="1B556B" w:themeColor="text2"/>
              <w:right w:val="nil"/>
            </w:tcBorders>
            <w:shd w:val="clear" w:color="auto" w:fill="1B556B"/>
            <w:vAlign w:val="bottom"/>
          </w:tcPr>
          <w:p w14:paraId="7147083A" w14:textId="77777777" w:rsidR="00994F64" w:rsidRPr="00261B7A" w:rsidRDefault="00994F64" w:rsidP="00501B0F">
            <w:pPr>
              <w:pStyle w:val="TableTextBold"/>
              <w:jc w:val="center"/>
              <w:rPr>
                <w:noProof w:val="0"/>
                <w:color w:val="FFFFFF" w:themeColor="background1"/>
                <w:szCs w:val="16"/>
              </w:rPr>
            </w:pPr>
            <w:r w:rsidRPr="00261B7A">
              <w:rPr>
                <w:noProof w:val="0"/>
                <w:color w:val="FFFFFF" w:themeColor="background1"/>
                <w:szCs w:val="16"/>
              </w:rPr>
              <w:t>kt CO</w:t>
            </w:r>
            <w:r w:rsidRPr="00261B7A">
              <w:rPr>
                <w:noProof w:val="0"/>
                <w:color w:val="FFFFFF" w:themeColor="background1"/>
                <w:szCs w:val="16"/>
                <w:vertAlign w:val="subscript"/>
              </w:rPr>
              <w:t>2</w:t>
            </w:r>
            <w:r w:rsidRPr="00261B7A">
              <w:rPr>
                <w:noProof w:val="0"/>
                <w:color w:val="FFFFFF" w:themeColor="background1"/>
                <w:szCs w:val="16"/>
              </w:rPr>
              <w:t>-e</w:t>
            </w:r>
          </w:p>
        </w:tc>
        <w:tc>
          <w:tcPr>
            <w:tcW w:w="712" w:type="dxa"/>
            <w:tcBorders>
              <w:top w:val="nil"/>
              <w:left w:val="nil"/>
              <w:bottom w:val="single" w:sz="4" w:space="0" w:color="1B556B" w:themeColor="text2"/>
              <w:right w:val="nil"/>
            </w:tcBorders>
            <w:shd w:val="clear" w:color="auto" w:fill="1B556B"/>
            <w:vAlign w:val="bottom"/>
          </w:tcPr>
          <w:p w14:paraId="4D139E5E" w14:textId="77777777" w:rsidR="00994F64" w:rsidRPr="00261B7A" w:rsidRDefault="00994F64" w:rsidP="00501B0F">
            <w:pPr>
              <w:pStyle w:val="TableTextBold"/>
              <w:jc w:val="center"/>
              <w:rPr>
                <w:noProof w:val="0"/>
                <w:color w:val="FFFFFF" w:themeColor="background1"/>
                <w:szCs w:val="16"/>
              </w:rPr>
            </w:pPr>
            <w:r w:rsidRPr="00261B7A">
              <w:rPr>
                <w:noProof w:val="0"/>
                <w:color w:val="FFFFFF" w:themeColor="background1"/>
                <w:szCs w:val="16"/>
              </w:rPr>
              <w:t>%</w:t>
            </w:r>
          </w:p>
        </w:tc>
        <w:tc>
          <w:tcPr>
            <w:tcW w:w="1095" w:type="dxa"/>
            <w:tcBorders>
              <w:top w:val="nil"/>
              <w:left w:val="nil"/>
              <w:bottom w:val="single" w:sz="4" w:space="0" w:color="1B556B" w:themeColor="text2"/>
              <w:right w:val="nil"/>
            </w:tcBorders>
            <w:shd w:val="clear" w:color="auto" w:fill="1B556B"/>
            <w:vAlign w:val="bottom"/>
          </w:tcPr>
          <w:p w14:paraId="04AF5B63" w14:textId="77777777" w:rsidR="00994F64" w:rsidRPr="00261B7A" w:rsidRDefault="00994F64" w:rsidP="00501B0F">
            <w:pPr>
              <w:pStyle w:val="TableTextBold"/>
              <w:jc w:val="center"/>
              <w:rPr>
                <w:noProof w:val="0"/>
                <w:color w:val="FFFFFF" w:themeColor="background1"/>
                <w:szCs w:val="16"/>
              </w:rPr>
            </w:pPr>
            <w:r w:rsidRPr="00261B7A">
              <w:rPr>
                <w:noProof w:val="0"/>
                <w:color w:val="FFFFFF" w:themeColor="background1"/>
                <w:szCs w:val="16"/>
              </w:rPr>
              <w:t>2021 (%)</w:t>
            </w:r>
          </w:p>
        </w:tc>
        <w:tc>
          <w:tcPr>
            <w:tcW w:w="1153" w:type="dxa"/>
            <w:tcBorders>
              <w:top w:val="nil"/>
              <w:left w:val="nil"/>
              <w:bottom w:val="single" w:sz="4" w:space="0" w:color="1B556B" w:themeColor="text2"/>
              <w:right w:val="nil"/>
            </w:tcBorders>
            <w:shd w:val="clear" w:color="auto" w:fill="1B556B"/>
            <w:vAlign w:val="bottom"/>
          </w:tcPr>
          <w:p w14:paraId="56519345" w14:textId="77777777" w:rsidR="00994F64" w:rsidRPr="00261B7A" w:rsidRDefault="00994F64" w:rsidP="00501B0F">
            <w:pPr>
              <w:pStyle w:val="TableTextBold"/>
              <w:jc w:val="center"/>
              <w:rPr>
                <w:noProof w:val="0"/>
                <w:color w:val="FFFFFF" w:themeColor="background1"/>
                <w:szCs w:val="16"/>
              </w:rPr>
            </w:pPr>
            <w:r w:rsidRPr="00261B7A">
              <w:rPr>
                <w:noProof w:val="0"/>
                <w:color w:val="FFFFFF" w:themeColor="background1"/>
                <w:szCs w:val="16"/>
              </w:rPr>
              <w:t>2021 (%)</w:t>
            </w:r>
          </w:p>
        </w:tc>
      </w:tr>
      <w:tr w:rsidR="00994F64" w:rsidRPr="00261B7A" w14:paraId="5725FF1A" w14:textId="77777777" w:rsidTr="00501B0F">
        <w:tc>
          <w:tcPr>
            <w:tcW w:w="816" w:type="dxa"/>
            <w:vMerge w:val="restart"/>
            <w:tcBorders>
              <w:top w:val="single" w:sz="4" w:space="0" w:color="1B556B" w:themeColor="text2"/>
              <w:left w:val="nil"/>
              <w:right w:val="nil"/>
            </w:tcBorders>
            <w:shd w:val="clear" w:color="auto" w:fill="auto"/>
          </w:tcPr>
          <w:p w14:paraId="11C52025" w14:textId="77777777" w:rsidR="00994F64" w:rsidRPr="00261B7A" w:rsidRDefault="00994F64" w:rsidP="00501B0F">
            <w:pPr>
              <w:pStyle w:val="TableText"/>
              <w:spacing w:before="50" w:after="50"/>
              <w:rPr>
                <w:rFonts w:cs="Calibri"/>
                <w:szCs w:val="16"/>
              </w:rPr>
            </w:pPr>
            <w:r w:rsidRPr="00261B7A">
              <w:rPr>
                <w:rFonts w:cs="Calibri"/>
                <w:szCs w:val="16"/>
              </w:rPr>
              <w:t>Direct</w:t>
            </w:r>
          </w:p>
        </w:tc>
        <w:tc>
          <w:tcPr>
            <w:tcW w:w="2445" w:type="dxa"/>
            <w:tcBorders>
              <w:top w:val="single" w:sz="4" w:space="0" w:color="1B556B" w:themeColor="text2"/>
              <w:left w:val="nil"/>
              <w:bottom w:val="single" w:sz="4" w:space="0" w:color="1B556B"/>
              <w:right w:val="nil"/>
            </w:tcBorders>
            <w:shd w:val="clear" w:color="auto" w:fill="auto"/>
            <w:vAlign w:val="bottom"/>
          </w:tcPr>
          <w:p w14:paraId="526EDFD1" w14:textId="77777777" w:rsidR="00994F64" w:rsidRPr="00261B7A" w:rsidRDefault="00994F64" w:rsidP="00501B0F">
            <w:pPr>
              <w:pStyle w:val="TableText"/>
              <w:spacing w:before="50" w:after="50"/>
              <w:rPr>
                <w:rFonts w:cs="Calibri"/>
                <w:szCs w:val="16"/>
              </w:rPr>
            </w:pPr>
            <w:r w:rsidRPr="00261B7A">
              <w:rPr>
                <w:rFonts w:cs="Calibri"/>
                <w:szCs w:val="16"/>
              </w:rPr>
              <w:t>Synthetic nitrogen fertilisers</w:t>
            </w:r>
          </w:p>
        </w:tc>
        <w:tc>
          <w:tcPr>
            <w:tcW w:w="708" w:type="dxa"/>
            <w:tcBorders>
              <w:top w:val="single" w:sz="4" w:space="0" w:color="1B556B" w:themeColor="text2"/>
              <w:left w:val="nil"/>
              <w:bottom w:val="single" w:sz="4" w:space="0" w:color="1B556B"/>
              <w:right w:val="nil"/>
            </w:tcBorders>
            <w:shd w:val="clear" w:color="auto" w:fill="auto"/>
            <w:vAlign w:val="bottom"/>
          </w:tcPr>
          <w:p w14:paraId="028D2D7F" w14:textId="77777777" w:rsidR="00994F64" w:rsidRPr="00261B7A" w:rsidRDefault="00994F64" w:rsidP="00501B0F">
            <w:pPr>
              <w:pStyle w:val="TableText"/>
              <w:spacing w:before="50" w:after="50"/>
              <w:jc w:val="center"/>
              <w:rPr>
                <w:rFonts w:cs="Calibri"/>
                <w:szCs w:val="16"/>
              </w:rPr>
            </w:pPr>
            <w:r w:rsidRPr="00261B7A">
              <w:rPr>
                <w:rFonts w:cs="Calibri"/>
                <w:szCs w:val="16"/>
              </w:rPr>
              <w:t>230.3</w:t>
            </w:r>
          </w:p>
        </w:tc>
        <w:tc>
          <w:tcPr>
            <w:tcW w:w="722" w:type="dxa"/>
            <w:tcBorders>
              <w:top w:val="single" w:sz="4" w:space="0" w:color="1B556B" w:themeColor="text2"/>
              <w:left w:val="nil"/>
              <w:bottom w:val="single" w:sz="4" w:space="0" w:color="1B556B"/>
              <w:right w:val="nil"/>
            </w:tcBorders>
            <w:shd w:val="clear" w:color="auto" w:fill="auto"/>
            <w:vAlign w:val="bottom"/>
          </w:tcPr>
          <w:p w14:paraId="7D170912" w14:textId="77777777" w:rsidR="00994F64" w:rsidRPr="00261B7A" w:rsidRDefault="00994F64" w:rsidP="00501B0F">
            <w:pPr>
              <w:pStyle w:val="TableText"/>
              <w:spacing w:before="50" w:after="50"/>
              <w:jc w:val="center"/>
              <w:rPr>
                <w:rFonts w:cs="Calibri"/>
                <w:szCs w:val="16"/>
              </w:rPr>
            </w:pPr>
            <w:r w:rsidRPr="00261B7A">
              <w:rPr>
                <w:rFonts w:cs="Calibri"/>
                <w:szCs w:val="16"/>
              </w:rPr>
              <w:t>1,398.9</w:t>
            </w:r>
          </w:p>
        </w:tc>
        <w:tc>
          <w:tcPr>
            <w:tcW w:w="854" w:type="dxa"/>
            <w:tcBorders>
              <w:top w:val="single" w:sz="4" w:space="0" w:color="1B556B" w:themeColor="text2"/>
              <w:left w:val="nil"/>
              <w:bottom w:val="single" w:sz="4" w:space="0" w:color="1B556B"/>
              <w:right w:val="nil"/>
            </w:tcBorders>
            <w:shd w:val="clear" w:color="auto" w:fill="auto"/>
            <w:vAlign w:val="bottom"/>
          </w:tcPr>
          <w:p w14:paraId="77C3F09F" w14:textId="77777777" w:rsidR="00994F64" w:rsidRPr="00261B7A" w:rsidRDefault="00994F64" w:rsidP="00501B0F">
            <w:pPr>
              <w:pStyle w:val="TableText"/>
              <w:spacing w:before="50" w:after="50"/>
              <w:jc w:val="center"/>
              <w:rPr>
                <w:rFonts w:cs="Calibri"/>
                <w:szCs w:val="16"/>
              </w:rPr>
            </w:pPr>
            <w:r w:rsidRPr="00261B7A">
              <w:rPr>
                <w:rFonts w:cs="Calibri"/>
                <w:szCs w:val="16"/>
              </w:rPr>
              <w:t>1,168.6</w:t>
            </w:r>
          </w:p>
        </w:tc>
        <w:tc>
          <w:tcPr>
            <w:tcW w:w="712" w:type="dxa"/>
            <w:tcBorders>
              <w:top w:val="single" w:sz="4" w:space="0" w:color="1B556B" w:themeColor="text2"/>
              <w:left w:val="nil"/>
              <w:bottom w:val="single" w:sz="4" w:space="0" w:color="1B556B"/>
              <w:right w:val="nil"/>
            </w:tcBorders>
            <w:shd w:val="clear" w:color="auto" w:fill="auto"/>
            <w:vAlign w:val="bottom"/>
          </w:tcPr>
          <w:p w14:paraId="32F3090F" w14:textId="77777777" w:rsidR="00994F64" w:rsidRPr="00261B7A" w:rsidRDefault="00994F64" w:rsidP="00501B0F">
            <w:pPr>
              <w:pStyle w:val="TableText"/>
              <w:spacing w:before="50" w:after="50"/>
              <w:jc w:val="center"/>
              <w:rPr>
                <w:rFonts w:cs="Calibri"/>
                <w:szCs w:val="16"/>
              </w:rPr>
            </w:pPr>
            <w:r w:rsidRPr="00261B7A">
              <w:rPr>
                <w:rFonts w:cs="Calibri"/>
                <w:szCs w:val="16"/>
              </w:rPr>
              <w:t>507.4</w:t>
            </w:r>
          </w:p>
        </w:tc>
        <w:tc>
          <w:tcPr>
            <w:tcW w:w="1095" w:type="dxa"/>
            <w:tcBorders>
              <w:top w:val="single" w:sz="4" w:space="0" w:color="1B556B" w:themeColor="text2"/>
              <w:left w:val="nil"/>
              <w:bottom w:val="single" w:sz="4" w:space="0" w:color="1B556B"/>
              <w:right w:val="nil"/>
            </w:tcBorders>
            <w:shd w:val="clear" w:color="auto" w:fill="auto"/>
            <w:vAlign w:val="bottom"/>
          </w:tcPr>
          <w:p w14:paraId="30AF63AF" w14:textId="77777777" w:rsidR="00994F64" w:rsidRPr="00261B7A" w:rsidRDefault="00994F64" w:rsidP="00501B0F">
            <w:pPr>
              <w:pStyle w:val="TableText"/>
              <w:spacing w:before="50" w:after="50"/>
              <w:jc w:val="center"/>
              <w:rPr>
                <w:rFonts w:cs="Calibri"/>
                <w:szCs w:val="16"/>
              </w:rPr>
            </w:pPr>
            <w:r w:rsidRPr="00261B7A">
              <w:rPr>
                <w:rFonts w:cs="Calibri"/>
                <w:szCs w:val="16"/>
              </w:rPr>
              <w:t>19.1</w:t>
            </w:r>
          </w:p>
        </w:tc>
        <w:tc>
          <w:tcPr>
            <w:tcW w:w="1153" w:type="dxa"/>
            <w:tcBorders>
              <w:top w:val="single" w:sz="4" w:space="0" w:color="1B556B" w:themeColor="text2"/>
              <w:left w:val="nil"/>
              <w:bottom w:val="single" w:sz="4" w:space="0" w:color="1B556B"/>
              <w:right w:val="nil"/>
            </w:tcBorders>
            <w:shd w:val="clear" w:color="auto" w:fill="auto"/>
            <w:vAlign w:val="bottom"/>
          </w:tcPr>
          <w:p w14:paraId="5390053E" w14:textId="77777777" w:rsidR="00994F64" w:rsidRPr="00261B7A" w:rsidRDefault="00994F64" w:rsidP="00501B0F">
            <w:pPr>
              <w:pStyle w:val="TableText"/>
              <w:spacing w:before="50" w:after="50"/>
              <w:jc w:val="center"/>
              <w:rPr>
                <w:rFonts w:cs="Calibri"/>
                <w:szCs w:val="16"/>
              </w:rPr>
            </w:pPr>
            <w:r w:rsidRPr="00261B7A">
              <w:rPr>
                <w:rFonts w:cs="Calibri"/>
                <w:szCs w:val="16"/>
              </w:rPr>
              <w:t>3.7</w:t>
            </w:r>
          </w:p>
        </w:tc>
      </w:tr>
      <w:tr w:rsidR="00994F64" w:rsidRPr="00261B7A" w14:paraId="4AA05876" w14:textId="77777777" w:rsidTr="00501B0F">
        <w:tc>
          <w:tcPr>
            <w:tcW w:w="816" w:type="dxa"/>
            <w:vMerge/>
            <w:tcBorders>
              <w:left w:val="nil"/>
              <w:right w:val="nil"/>
            </w:tcBorders>
            <w:shd w:val="clear" w:color="auto" w:fill="auto"/>
          </w:tcPr>
          <w:p w14:paraId="67B871A4" w14:textId="77777777" w:rsidR="00994F64" w:rsidRPr="00261B7A" w:rsidRDefault="00994F64" w:rsidP="00501B0F">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29ECA1AE" w14:textId="77777777" w:rsidR="00994F64" w:rsidRPr="00261B7A" w:rsidRDefault="00994F64" w:rsidP="00501B0F">
            <w:pPr>
              <w:pStyle w:val="TableText"/>
              <w:spacing w:before="50" w:after="50"/>
              <w:rPr>
                <w:rFonts w:cs="Calibri"/>
                <w:szCs w:val="16"/>
              </w:rPr>
            </w:pPr>
            <w:r w:rsidRPr="00261B7A">
              <w:rPr>
                <w:rFonts w:cs="Calibri"/>
                <w:szCs w:val="16"/>
              </w:rPr>
              <w:t>Organic fertilisers (animal manure spread on pasture)</w:t>
            </w:r>
          </w:p>
        </w:tc>
        <w:tc>
          <w:tcPr>
            <w:tcW w:w="708" w:type="dxa"/>
            <w:tcBorders>
              <w:top w:val="single" w:sz="4" w:space="0" w:color="1B556B"/>
              <w:left w:val="nil"/>
              <w:bottom w:val="single" w:sz="4" w:space="0" w:color="1B556B"/>
              <w:right w:val="nil"/>
            </w:tcBorders>
            <w:shd w:val="clear" w:color="auto" w:fill="auto"/>
            <w:vAlign w:val="bottom"/>
          </w:tcPr>
          <w:p w14:paraId="760368C6" w14:textId="77777777" w:rsidR="00994F64" w:rsidRPr="00261B7A" w:rsidRDefault="00994F64" w:rsidP="00501B0F">
            <w:pPr>
              <w:pStyle w:val="TableText"/>
              <w:spacing w:before="50" w:after="50"/>
              <w:jc w:val="center"/>
              <w:rPr>
                <w:rFonts w:cs="Calibri"/>
                <w:szCs w:val="16"/>
              </w:rPr>
            </w:pPr>
            <w:r w:rsidRPr="00261B7A">
              <w:rPr>
                <w:rFonts w:cs="Calibri"/>
                <w:szCs w:val="16"/>
              </w:rPr>
              <w:t>35.8</w:t>
            </w:r>
          </w:p>
        </w:tc>
        <w:tc>
          <w:tcPr>
            <w:tcW w:w="722" w:type="dxa"/>
            <w:tcBorders>
              <w:top w:val="single" w:sz="4" w:space="0" w:color="1B556B"/>
              <w:left w:val="nil"/>
              <w:bottom w:val="single" w:sz="4" w:space="0" w:color="1B556B"/>
              <w:right w:val="nil"/>
            </w:tcBorders>
            <w:shd w:val="clear" w:color="auto" w:fill="auto"/>
            <w:vAlign w:val="bottom"/>
          </w:tcPr>
          <w:p w14:paraId="7BD76897" w14:textId="77777777" w:rsidR="00994F64" w:rsidRPr="00261B7A" w:rsidRDefault="00994F64" w:rsidP="00501B0F">
            <w:pPr>
              <w:pStyle w:val="TableText"/>
              <w:spacing w:before="50" w:after="50"/>
              <w:jc w:val="center"/>
              <w:rPr>
                <w:rFonts w:cs="Calibri"/>
                <w:szCs w:val="16"/>
              </w:rPr>
            </w:pPr>
            <w:r w:rsidRPr="00261B7A">
              <w:rPr>
                <w:rFonts w:cs="Calibri"/>
                <w:szCs w:val="16"/>
              </w:rPr>
              <w:t>73.8</w:t>
            </w:r>
          </w:p>
        </w:tc>
        <w:tc>
          <w:tcPr>
            <w:tcW w:w="854" w:type="dxa"/>
            <w:tcBorders>
              <w:top w:val="single" w:sz="4" w:space="0" w:color="1B556B"/>
              <w:left w:val="nil"/>
              <w:bottom w:val="single" w:sz="4" w:space="0" w:color="1B556B"/>
              <w:right w:val="nil"/>
            </w:tcBorders>
            <w:shd w:val="clear" w:color="auto" w:fill="auto"/>
            <w:vAlign w:val="bottom"/>
          </w:tcPr>
          <w:p w14:paraId="11D46205" w14:textId="77777777" w:rsidR="00994F64" w:rsidRPr="00261B7A" w:rsidRDefault="00994F64" w:rsidP="00501B0F">
            <w:pPr>
              <w:pStyle w:val="TableText"/>
              <w:spacing w:before="50" w:after="50"/>
              <w:jc w:val="center"/>
              <w:rPr>
                <w:rFonts w:cs="Calibri"/>
                <w:szCs w:val="16"/>
              </w:rPr>
            </w:pPr>
            <w:r w:rsidRPr="00261B7A">
              <w:rPr>
                <w:rFonts w:cs="Calibri"/>
                <w:szCs w:val="16"/>
              </w:rPr>
              <w:t>38.0</w:t>
            </w:r>
          </w:p>
        </w:tc>
        <w:tc>
          <w:tcPr>
            <w:tcW w:w="712" w:type="dxa"/>
            <w:tcBorders>
              <w:top w:val="single" w:sz="4" w:space="0" w:color="1B556B"/>
              <w:left w:val="nil"/>
              <w:bottom w:val="single" w:sz="4" w:space="0" w:color="1B556B"/>
              <w:right w:val="nil"/>
            </w:tcBorders>
            <w:shd w:val="clear" w:color="auto" w:fill="auto"/>
            <w:vAlign w:val="bottom"/>
          </w:tcPr>
          <w:p w14:paraId="1BC1025B" w14:textId="77777777" w:rsidR="00994F64" w:rsidRPr="00261B7A" w:rsidRDefault="00994F64" w:rsidP="00501B0F">
            <w:pPr>
              <w:pStyle w:val="TableText"/>
              <w:spacing w:before="50" w:after="50"/>
              <w:jc w:val="center"/>
              <w:rPr>
                <w:rFonts w:cs="Calibri"/>
                <w:szCs w:val="16"/>
              </w:rPr>
            </w:pPr>
            <w:r w:rsidRPr="00261B7A">
              <w:rPr>
                <w:rFonts w:cs="Calibri"/>
                <w:szCs w:val="16"/>
              </w:rPr>
              <w:t>106.2</w:t>
            </w:r>
          </w:p>
        </w:tc>
        <w:tc>
          <w:tcPr>
            <w:tcW w:w="1095" w:type="dxa"/>
            <w:tcBorders>
              <w:top w:val="single" w:sz="4" w:space="0" w:color="1B556B"/>
              <w:left w:val="nil"/>
              <w:bottom w:val="single" w:sz="4" w:space="0" w:color="1B556B"/>
              <w:right w:val="nil"/>
            </w:tcBorders>
            <w:shd w:val="clear" w:color="auto" w:fill="auto"/>
            <w:vAlign w:val="bottom"/>
          </w:tcPr>
          <w:p w14:paraId="56841ACC" w14:textId="77777777" w:rsidR="00994F64" w:rsidRPr="00261B7A" w:rsidRDefault="00994F64" w:rsidP="00501B0F">
            <w:pPr>
              <w:pStyle w:val="TableText"/>
              <w:spacing w:before="50" w:after="50"/>
              <w:jc w:val="center"/>
              <w:rPr>
                <w:rFonts w:cs="Calibri"/>
                <w:szCs w:val="16"/>
              </w:rPr>
            </w:pPr>
            <w:r w:rsidRPr="00261B7A">
              <w:rPr>
                <w:rFonts w:cs="Calibri"/>
                <w:szCs w:val="16"/>
              </w:rPr>
              <w:t>1.0</w:t>
            </w:r>
          </w:p>
        </w:tc>
        <w:tc>
          <w:tcPr>
            <w:tcW w:w="1153" w:type="dxa"/>
            <w:tcBorders>
              <w:top w:val="single" w:sz="4" w:space="0" w:color="1B556B"/>
              <w:left w:val="nil"/>
              <w:bottom w:val="single" w:sz="4" w:space="0" w:color="1B556B"/>
              <w:right w:val="nil"/>
            </w:tcBorders>
            <w:shd w:val="clear" w:color="auto" w:fill="auto"/>
            <w:vAlign w:val="bottom"/>
          </w:tcPr>
          <w:p w14:paraId="2504F7BA" w14:textId="77777777" w:rsidR="00994F64" w:rsidRPr="00261B7A" w:rsidRDefault="00994F64" w:rsidP="00501B0F">
            <w:pPr>
              <w:pStyle w:val="TableText"/>
              <w:spacing w:before="50" w:after="50"/>
              <w:jc w:val="center"/>
              <w:rPr>
                <w:rFonts w:cs="Calibri"/>
                <w:szCs w:val="16"/>
              </w:rPr>
            </w:pPr>
            <w:r w:rsidRPr="00261B7A">
              <w:rPr>
                <w:rFonts w:cs="Calibri"/>
                <w:szCs w:val="16"/>
              </w:rPr>
              <w:t>0.2</w:t>
            </w:r>
          </w:p>
        </w:tc>
      </w:tr>
      <w:tr w:rsidR="00994F64" w:rsidRPr="00261B7A" w14:paraId="5497969E" w14:textId="77777777" w:rsidTr="00501B0F">
        <w:tc>
          <w:tcPr>
            <w:tcW w:w="816" w:type="dxa"/>
            <w:vMerge/>
            <w:tcBorders>
              <w:left w:val="nil"/>
              <w:right w:val="nil"/>
            </w:tcBorders>
            <w:shd w:val="clear" w:color="auto" w:fill="auto"/>
          </w:tcPr>
          <w:p w14:paraId="046E820F" w14:textId="77777777" w:rsidR="00994F64" w:rsidRPr="00261B7A" w:rsidRDefault="00994F64" w:rsidP="00501B0F">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1E802F1A" w14:textId="77777777" w:rsidR="00994F64" w:rsidRPr="00261B7A" w:rsidRDefault="00994F64" w:rsidP="00501B0F">
            <w:pPr>
              <w:pStyle w:val="TableText"/>
              <w:spacing w:before="50" w:after="50"/>
              <w:rPr>
                <w:rFonts w:cs="Calibri"/>
                <w:szCs w:val="16"/>
              </w:rPr>
            </w:pPr>
            <w:r w:rsidRPr="00261B7A">
              <w:rPr>
                <w:rFonts w:cs="Calibri"/>
                <w:szCs w:val="16"/>
              </w:rPr>
              <w:t>Pasture, range and paddock manure</w:t>
            </w:r>
          </w:p>
        </w:tc>
        <w:tc>
          <w:tcPr>
            <w:tcW w:w="708" w:type="dxa"/>
            <w:tcBorders>
              <w:top w:val="single" w:sz="4" w:space="0" w:color="1B556B"/>
              <w:left w:val="nil"/>
              <w:bottom w:val="single" w:sz="4" w:space="0" w:color="1B556B"/>
              <w:right w:val="nil"/>
            </w:tcBorders>
            <w:shd w:val="clear" w:color="auto" w:fill="auto"/>
            <w:vAlign w:val="bottom"/>
          </w:tcPr>
          <w:p w14:paraId="369BAE05" w14:textId="77777777" w:rsidR="00994F64" w:rsidRPr="00261B7A" w:rsidRDefault="00994F64" w:rsidP="00501B0F">
            <w:pPr>
              <w:pStyle w:val="TableText"/>
              <w:spacing w:before="50" w:after="50"/>
              <w:jc w:val="center"/>
              <w:rPr>
                <w:rFonts w:cs="Calibri"/>
                <w:szCs w:val="16"/>
              </w:rPr>
            </w:pPr>
            <w:r w:rsidRPr="00261B7A">
              <w:rPr>
                <w:rFonts w:cs="Calibri"/>
                <w:szCs w:val="16"/>
              </w:rPr>
              <w:t>2,959.6</w:t>
            </w:r>
          </w:p>
        </w:tc>
        <w:tc>
          <w:tcPr>
            <w:tcW w:w="722" w:type="dxa"/>
            <w:tcBorders>
              <w:top w:val="single" w:sz="4" w:space="0" w:color="1B556B"/>
              <w:left w:val="nil"/>
              <w:bottom w:val="single" w:sz="4" w:space="0" w:color="1B556B"/>
              <w:right w:val="nil"/>
            </w:tcBorders>
            <w:shd w:val="clear" w:color="auto" w:fill="auto"/>
            <w:vAlign w:val="bottom"/>
          </w:tcPr>
          <w:p w14:paraId="0D6FCACA" w14:textId="77777777" w:rsidR="00994F64" w:rsidRPr="00261B7A" w:rsidRDefault="00994F64" w:rsidP="00501B0F">
            <w:pPr>
              <w:pStyle w:val="TableText"/>
              <w:spacing w:before="50" w:after="50"/>
              <w:jc w:val="center"/>
              <w:rPr>
                <w:rFonts w:cs="Calibri"/>
                <w:szCs w:val="16"/>
              </w:rPr>
            </w:pPr>
            <w:r w:rsidRPr="00261B7A">
              <w:rPr>
                <w:rFonts w:cs="Calibri"/>
                <w:szCs w:val="16"/>
              </w:rPr>
              <w:t>3,510.0</w:t>
            </w:r>
          </w:p>
        </w:tc>
        <w:tc>
          <w:tcPr>
            <w:tcW w:w="854" w:type="dxa"/>
            <w:tcBorders>
              <w:top w:val="single" w:sz="4" w:space="0" w:color="1B556B"/>
              <w:left w:val="nil"/>
              <w:bottom w:val="single" w:sz="4" w:space="0" w:color="1B556B"/>
              <w:right w:val="nil"/>
            </w:tcBorders>
            <w:shd w:val="clear" w:color="auto" w:fill="auto"/>
            <w:vAlign w:val="bottom"/>
          </w:tcPr>
          <w:p w14:paraId="14C35A1D" w14:textId="77777777" w:rsidR="00994F64" w:rsidRPr="00261B7A" w:rsidRDefault="00994F64" w:rsidP="00501B0F">
            <w:pPr>
              <w:pStyle w:val="TableText"/>
              <w:spacing w:before="50" w:after="50"/>
              <w:jc w:val="center"/>
              <w:rPr>
                <w:rFonts w:cs="Calibri"/>
                <w:szCs w:val="16"/>
              </w:rPr>
            </w:pPr>
            <w:r w:rsidRPr="00261B7A">
              <w:rPr>
                <w:rFonts w:cs="Calibri"/>
                <w:szCs w:val="16"/>
              </w:rPr>
              <w:t>550.4</w:t>
            </w:r>
          </w:p>
        </w:tc>
        <w:tc>
          <w:tcPr>
            <w:tcW w:w="712" w:type="dxa"/>
            <w:tcBorders>
              <w:top w:val="single" w:sz="4" w:space="0" w:color="1B556B"/>
              <w:left w:val="nil"/>
              <w:bottom w:val="single" w:sz="4" w:space="0" w:color="1B556B"/>
              <w:right w:val="nil"/>
            </w:tcBorders>
            <w:shd w:val="clear" w:color="auto" w:fill="auto"/>
            <w:vAlign w:val="bottom"/>
          </w:tcPr>
          <w:p w14:paraId="2564BCE4" w14:textId="77777777" w:rsidR="00994F64" w:rsidRPr="00261B7A" w:rsidRDefault="00994F64" w:rsidP="00501B0F">
            <w:pPr>
              <w:pStyle w:val="TableText"/>
              <w:spacing w:before="50" w:after="50"/>
              <w:jc w:val="center"/>
              <w:rPr>
                <w:rFonts w:cs="Calibri"/>
                <w:szCs w:val="16"/>
              </w:rPr>
            </w:pPr>
            <w:r w:rsidRPr="00261B7A">
              <w:t>18.6</w:t>
            </w:r>
          </w:p>
        </w:tc>
        <w:tc>
          <w:tcPr>
            <w:tcW w:w="1095" w:type="dxa"/>
            <w:tcBorders>
              <w:top w:val="single" w:sz="4" w:space="0" w:color="1B556B"/>
              <w:left w:val="nil"/>
              <w:bottom w:val="single" w:sz="4" w:space="0" w:color="1B556B"/>
              <w:right w:val="nil"/>
            </w:tcBorders>
            <w:shd w:val="clear" w:color="auto" w:fill="auto"/>
            <w:vAlign w:val="bottom"/>
          </w:tcPr>
          <w:p w14:paraId="24AF2CB4" w14:textId="77777777" w:rsidR="00994F64" w:rsidRPr="00261B7A" w:rsidRDefault="00994F64" w:rsidP="00501B0F">
            <w:pPr>
              <w:pStyle w:val="TableText"/>
              <w:spacing w:before="50" w:after="50"/>
              <w:jc w:val="center"/>
              <w:rPr>
                <w:rFonts w:cs="Calibri"/>
                <w:szCs w:val="16"/>
              </w:rPr>
            </w:pPr>
            <w:r w:rsidRPr="00261B7A">
              <w:rPr>
                <w:rFonts w:cs="Calibri"/>
                <w:szCs w:val="16"/>
              </w:rPr>
              <w:t>48.0</w:t>
            </w:r>
          </w:p>
        </w:tc>
        <w:tc>
          <w:tcPr>
            <w:tcW w:w="1153" w:type="dxa"/>
            <w:tcBorders>
              <w:top w:val="single" w:sz="4" w:space="0" w:color="1B556B"/>
              <w:left w:val="nil"/>
              <w:bottom w:val="single" w:sz="4" w:space="0" w:color="1B556B"/>
              <w:right w:val="nil"/>
            </w:tcBorders>
            <w:shd w:val="clear" w:color="auto" w:fill="auto"/>
            <w:vAlign w:val="bottom"/>
          </w:tcPr>
          <w:p w14:paraId="6F52BFDE" w14:textId="77777777" w:rsidR="00994F64" w:rsidRPr="00261B7A" w:rsidRDefault="00994F64" w:rsidP="00501B0F">
            <w:pPr>
              <w:pStyle w:val="TableText"/>
              <w:spacing w:before="50" w:after="50"/>
              <w:jc w:val="center"/>
              <w:rPr>
                <w:rFonts w:cs="Calibri"/>
                <w:szCs w:val="16"/>
              </w:rPr>
            </w:pPr>
            <w:r w:rsidRPr="00261B7A">
              <w:rPr>
                <w:rFonts w:cs="Calibri"/>
                <w:szCs w:val="16"/>
              </w:rPr>
              <w:t>9.3</w:t>
            </w:r>
          </w:p>
        </w:tc>
      </w:tr>
      <w:tr w:rsidR="00994F64" w:rsidRPr="00261B7A" w14:paraId="7DFB36CA" w14:textId="77777777" w:rsidTr="00501B0F">
        <w:tc>
          <w:tcPr>
            <w:tcW w:w="816" w:type="dxa"/>
            <w:vMerge/>
            <w:tcBorders>
              <w:left w:val="nil"/>
              <w:right w:val="nil"/>
            </w:tcBorders>
            <w:shd w:val="clear" w:color="auto" w:fill="auto"/>
          </w:tcPr>
          <w:p w14:paraId="567A05B0" w14:textId="77777777" w:rsidR="00994F64" w:rsidRPr="00261B7A" w:rsidRDefault="00994F64" w:rsidP="00501B0F">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2239060F" w14:textId="77777777" w:rsidR="00994F64" w:rsidRPr="00261B7A" w:rsidRDefault="00994F64" w:rsidP="00501B0F">
            <w:pPr>
              <w:pStyle w:val="TableText"/>
              <w:spacing w:before="50" w:after="50"/>
              <w:rPr>
                <w:rFonts w:cs="Calibri"/>
                <w:szCs w:val="16"/>
              </w:rPr>
            </w:pPr>
            <w:r w:rsidRPr="00261B7A">
              <w:rPr>
                <w:rFonts w:cs="Calibri"/>
                <w:szCs w:val="16"/>
              </w:rPr>
              <w:t xml:space="preserve">Crop residue </w:t>
            </w:r>
          </w:p>
        </w:tc>
        <w:tc>
          <w:tcPr>
            <w:tcW w:w="708" w:type="dxa"/>
            <w:tcBorders>
              <w:top w:val="single" w:sz="4" w:space="0" w:color="1B556B"/>
              <w:left w:val="nil"/>
              <w:bottom w:val="single" w:sz="4" w:space="0" w:color="1B556B"/>
              <w:right w:val="nil"/>
            </w:tcBorders>
            <w:shd w:val="clear" w:color="auto" w:fill="auto"/>
            <w:vAlign w:val="bottom"/>
          </w:tcPr>
          <w:p w14:paraId="00AA2E1E" w14:textId="77777777" w:rsidR="00994F64" w:rsidRPr="00261B7A" w:rsidRDefault="00994F64" w:rsidP="00501B0F">
            <w:pPr>
              <w:pStyle w:val="TableText"/>
              <w:spacing w:before="50" w:after="50"/>
              <w:jc w:val="center"/>
              <w:rPr>
                <w:rFonts w:cs="Calibri"/>
                <w:szCs w:val="16"/>
              </w:rPr>
            </w:pPr>
            <w:r w:rsidRPr="00261B7A">
              <w:rPr>
                <w:rFonts w:cs="Calibri"/>
                <w:szCs w:val="16"/>
              </w:rPr>
              <w:t>175.5</w:t>
            </w:r>
          </w:p>
        </w:tc>
        <w:tc>
          <w:tcPr>
            <w:tcW w:w="722" w:type="dxa"/>
            <w:tcBorders>
              <w:top w:val="single" w:sz="4" w:space="0" w:color="1B556B"/>
              <w:left w:val="nil"/>
              <w:bottom w:val="single" w:sz="4" w:space="0" w:color="1B556B"/>
              <w:right w:val="nil"/>
            </w:tcBorders>
            <w:shd w:val="clear" w:color="auto" w:fill="auto"/>
            <w:vAlign w:val="bottom"/>
          </w:tcPr>
          <w:p w14:paraId="1BB7DF03" w14:textId="77777777" w:rsidR="00994F64" w:rsidRPr="00261B7A" w:rsidRDefault="00994F64" w:rsidP="00501B0F">
            <w:pPr>
              <w:pStyle w:val="TableText"/>
              <w:spacing w:before="50" w:after="50"/>
              <w:jc w:val="center"/>
              <w:rPr>
                <w:rFonts w:cs="Calibri"/>
                <w:szCs w:val="16"/>
              </w:rPr>
            </w:pPr>
            <w:r w:rsidRPr="00261B7A">
              <w:rPr>
                <w:rFonts w:cs="Calibri"/>
                <w:szCs w:val="16"/>
              </w:rPr>
              <w:t>255.7</w:t>
            </w:r>
          </w:p>
        </w:tc>
        <w:tc>
          <w:tcPr>
            <w:tcW w:w="854" w:type="dxa"/>
            <w:tcBorders>
              <w:top w:val="single" w:sz="4" w:space="0" w:color="1B556B"/>
              <w:left w:val="nil"/>
              <w:bottom w:val="single" w:sz="4" w:space="0" w:color="1B556B"/>
              <w:right w:val="nil"/>
            </w:tcBorders>
            <w:shd w:val="clear" w:color="auto" w:fill="auto"/>
            <w:vAlign w:val="bottom"/>
          </w:tcPr>
          <w:p w14:paraId="77F32CB6" w14:textId="77777777" w:rsidR="00994F64" w:rsidRPr="00261B7A" w:rsidRDefault="00994F64" w:rsidP="00501B0F">
            <w:pPr>
              <w:pStyle w:val="TableText"/>
              <w:spacing w:before="50" w:after="50"/>
              <w:jc w:val="center"/>
              <w:rPr>
                <w:rFonts w:cs="Calibri"/>
                <w:szCs w:val="16"/>
              </w:rPr>
            </w:pPr>
            <w:r w:rsidRPr="00261B7A">
              <w:rPr>
                <w:rFonts w:cs="Calibri"/>
                <w:szCs w:val="16"/>
              </w:rPr>
              <w:t>80.3</w:t>
            </w:r>
          </w:p>
        </w:tc>
        <w:tc>
          <w:tcPr>
            <w:tcW w:w="712" w:type="dxa"/>
            <w:tcBorders>
              <w:top w:val="single" w:sz="4" w:space="0" w:color="1B556B"/>
              <w:left w:val="nil"/>
              <w:bottom w:val="single" w:sz="4" w:space="0" w:color="1B556B"/>
              <w:right w:val="nil"/>
            </w:tcBorders>
            <w:shd w:val="clear" w:color="auto" w:fill="auto"/>
            <w:vAlign w:val="bottom"/>
          </w:tcPr>
          <w:p w14:paraId="4707376B" w14:textId="77777777" w:rsidR="00994F64" w:rsidRPr="00261B7A" w:rsidRDefault="00994F64" w:rsidP="00501B0F">
            <w:pPr>
              <w:pStyle w:val="TableText"/>
              <w:spacing w:before="50" w:after="50"/>
              <w:jc w:val="center"/>
              <w:rPr>
                <w:rFonts w:cs="Calibri"/>
                <w:szCs w:val="16"/>
              </w:rPr>
            </w:pPr>
            <w:r w:rsidRPr="00261B7A">
              <w:rPr>
                <w:rFonts w:cs="Calibri"/>
                <w:szCs w:val="16"/>
              </w:rPr>
              <w:t>45.7</w:t>
            </w:r>
          </w:p>
        </w:tc>
        <w:tc>
          <w:tcPr>
            <w:tcW w:w="1095" w:type="dxa"/>
            <w:tcBorders>
              <w:top w:val="single" w:sz="4" w:space="0" w:color="1B556B"/>
              <w:left w:val="nil"/>
              <w:bottom w:val="single" w:sz="4" w:space="0" w:color="1B556B"/>
              <w:right w:val="nil"/>
            </w:tcBorders>
            <w:shd w:val="clear" w:color="auto" w:fill="auto"/>
            <w:vAlign w:val="bottom"/>
          </w:tcPr>
          <w:p w14:paraId="7AE5D850" w14:textId="77777777" w:rsidR="00994F64" w:rsidRPr="00261B7A" w:rsidRDefault="00994F64" w:rsidP="00501B0F">
            <w:pPr>
              <w:pStyle w:val="TableText"/>
              <w:spacing w:before="50" w:after="50"/>
              <w:jc w:val="center"/>
              <w:rPr>
                <w:rFonts w:cs="Calibri"/>
                <w:szCs w:val="16"/>
              </w:rPr>
            </w:pPr>
            <w:r w:rsidRPr="00261B7A">
              <w:rPr>
                <w:rFonts w:cs="Calibri"/>
                <w:szCs w:val="16"/>
              </w:rPr>
              <w:t>3.5</w:t>
            </w:r>
          </w:p>
        </w:tc>
        <w:tc>
          <w:tcPr>
            <w:tcW w:w="1153" w:type="dxa"/>
            <w:tcBorders>
              <w:top w:val="single" w:sz="4" w:space="0" w:color="1B556B"/>
              <w:left w:val="nil"/>
              <w:bottom w:val="single" w:sz="4" w:space="0" w:color="1B556B"/>
              <w:right w:val="nil"/>
            </w:tcBorders>
            <w:shd w:val="clear" w:color="auto" w:fill="auto"/>
            <w:vAlign w:val="bottom"/>
          </w:tcPr>
          <w:p w14:paraId="5EA86A19" w14:textId="77777777" w:rsidR="00994F64" w:rsidRPr="00261B7A" w:rsidRDefault="00994F64" w:rsidP="00501B0F">
            <w:pPr>
              <w:pStyle w:val="TableText"/>
              <w:spacing w:before="50" w:after="50"/>
              <w:jc w:val="center"/>
              <w:rPr>
                <w:rFonts w:cs="Calibri"/>
                <w:szCs w:val="16"/>
              </w:rPr>
            </w:pPr>
            <w:r w:rsidRPr="00261B7A">
              <w:rPr>
                <w:rFonts w:cs="Calibri"/>
                <w:szCs w:val="16"/>
              </w:rPr>
              <w:t>0.7</w:t>
            </w:r>
          </w:p>
        </w:tc>
      </w:tr>
      <w:tr w:rsidR="00994F64" w:rsidRPr="00261B7A" w14:paraId="6064D459" w14:textId="77777777" w:rsidTr="00501B0F">
        <w:tc>
          <w:tcPr>
            <w:tcW w:w="816" w:type="dxa"/>
            <w:vMerge/>
            <w:tcBorders>
              <w:left w:val="nil"/>
              <w:right w:val="nil"/>
            </w:tcBorders>
            <w:shd w:val="clear" w:color="auto" w:fill="auto"/>
          </w:tcPr>
          <w:p w14:paraId="2971F14C" w14:textId="77777777" w:rsidR="00994F64" w:rsidRPr="00261B7A" w:rsidRDefault="00994F64" w:rsidP="00501B0F">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1342CBA6" w14:textId="77777777" w:rsidR="00994F64" w:rsidRPr="00261B7A" w:rsidRDefault="00994F64" w:rsidP="00501B0F">
            <w:pPr>
              <w:pStyle w:val="TableText"/>
              <w:spacing w:before="50" w:after="50"/>
              <w:rPr>
                <w:rFonts w:cs="Calibri"/>
                <w:szCs w:val="16"/>
              </w:rPr>
            </w:pPr>
            <w:r w:rsidRPr="00261B7A">
              <w:rPr>
                <w:rFonts w:cs="Calibri"/>
                <w:szCs w:val="16"/>
              </w:rPr>
              <w:t>Cropland nitrogen mineralisation from soil organic matter loss</w:t>
            </w:r>
          </w:p>
        </w:tc>
        <w:tc>
          <w:tcPr>
            <w:tcW w:w="708" w:type="dxa"/>
            <w:tcBorders>
              <w:top w:val="single" w:sz="4" w:space="0" w:color="1B556B"/>
              <w:left w:val="nil"/>
              <w:bottom w:val="single" w:sz="4" w:space="0" w:color="1B556B"/>
              <w:right w:val="nil"/>
            </w:tcBorders>
            <w:shd w:val="clear" w:color="auto" w:fill="auto"/>
            <w:vAlign w:val="bottom"/>
          </w:tcPr>
          <w:p w14:paraId="048B6D62" w14:textId="77777777" w:rsidR="00994F64" w:rsidRPr="00261B7A" w:rsidRDefault="00994F64" w:rsidP="00501B0F">
            <w:pPr>
              <w:pStyle w:val="TableText"/>
              <w:spacing w:before="50" w:after="50"/>
              <w:jc w:val="center"/>
              <w:rPr>
                <w:rFonts w:cs="Calibri"/>
                <w:szCs w:val="16"/>
              </w:rPr>
            </w:pPr>
            <w:r w:rsidRPr="00261B7A">
              <w:rPr>
                <w:rFonts w:cs="Calibri"/>
                <w:szCs w:val="16"/>
              </w:rPr>
              <w:t>0.0</w:t>
            </w:r>
          </w:p>
        </w:tc>
        <w:tc>
          <w:tcPr>
            <w:tcW w:w="722" w:type="dxa"/>
            <w:tcBorders>
              <w:top w:val="single" w:sz="4" w:space="0" w:color="1B556B"/>
              <w:left w:val="nil"/>
              <w:bottom w:val="single" w:sz="4" w:space="0" w:color="1B556B"/>
              <w:right w:val="nil"/>
            </w:tcBorders>
            <w:shd w:val="clear" w:color="auto" w:fill="auto"/>
            <w:vAlign w:val="bottom"/>
          </w:tcPr>
          <w:p w14:paraId="73F0066A" w14:textId="77777777" w:rsidR="00994F64" w:rsidRPr="00261B7A" w:rsidRDefault="00994F64" w:rsidP="00501B0F">
            <w:pPr>
              <w:pStyle w:val="TableText"/>
              <w:spacing w:before="50" w:after="50"/>
              <w:jc w:val="center"/>
              <w:rPr>
                <w:rFonts w:cs="Calibri"/>
                <w:szCs w:val="16"/>
              </w:rPr>
            </w:pPr>
            <w:r w:rsidRPr="00261B7A">
              <w:rPr>
                <w:rFonts w:cs="Calibri"/>
                <w:szCs w:val="16"/>
              </w:rPr>
              <w:t>0.1</w:t>
            </w:r>
          </w:p>
        </w:tc>
        <w:tc>
          <w:tcPr>
            <w:tcW w:w="854" w:type="dxa"/>
            <w:tcBorders>
              <w:top w:val="single" w:sz="4" w:space="0" w:color="1B556B"/>
              <w:left w:val="nil"/>
              <w:bottom w:val="single" w:sz="4" w:space="0" w:color="1B556B"/>
              <w:right w:val="nil"/>
            </w:tcBorders>
            <w:shd w:val="clear" w:color="auto" w:fill="auto"/>
            <w:vAlign w:val="bottom"/>
          </w:tcPr>
          <w:p w14:paraId="5A330B17" w14:textId="77777777" w:rsidR="00994F64" w:rsidRPr="00261B7A" w:rsidRDefault="00994F64" w:rsidP="00501B0F">
            <w:pPr>
              <w:pStyle w:val="TableText"/>
              <w:spacing w:before="50" w:after="50"/>
              <w:jc w:val="center"/>
              <w:rPr>
                <w:rFonts w:cs="Calibri"/>
                <w:szCs w:val="16"/>
              </w:rPr>
            </w:pPr>
            <w:r w:rsidRPr="00261B7A">
              <w:rPr>
                <w:rFonts w:cs="Calibri"/>
                <w:szCs w:val="16"/>
              </w:rPr>
              <w:t>0.1</w:t>
            </w:r>
          </w:p>
        </w:tc>
        <w:tc>
          <w:tcPr>
            <w:tcW w:w="712" w:type="dxa"/>
            <w:tcBorders>
              <w:top w:val="single" w:sz="4" w:space="0" w:color="1B556B"/>
              <w:left w:val="nil"/>
              <w:bottom w:val="single" w:sz="4" w:space="0" w:color="1B556B"/>
              <w:right w:val="nil"/>
            </w:tcBorders>
            <w:shd w:val="clear" w:color="auto" w:fill="auto"/>
            <w:vAlign w:val="bottom"/>
          </w:tcPr>
          <w:p w14:paraId="733D517C" w14:textId="77777777" w:rsidR="00994F64" w:rsidRPr="00261B7A" w:rsidRDefault="00994F64" w:rsidP="00501B0F">
            <w:pPr>
              <w:pStyle w:val="TableText"/>
              <w:spacing w:before="50" w:after="50"/>
              <w:jc w:val="center"/>
              <w:rPr>
                <w:rFonts w:cs="Calibri"/>
                <w:szCs w:val="16"/>
              </w:rPr>
            </w:pPr>
            <w:r w:rsidRPr="00261B7A">
              <w:rPr>
                <w:rFonts w:cs="Calibri"/>
                <w:szCs w:val="16"/>
              </w:rPr>
              <w:t>287.5</w:t>
            </w:r>
          </w:p>
        </w:tc>
        <w:tc>
          <w:tcPr>
            <w:tcW w:w="1095" w:type="dxa"/>
            <w:tcBorders>
              <w:top w:val="single" w:sz="4" w:space="0" w:color="1B556B"/>
              <w:left w:val="nil"/>
              <w:bottom w:val="single" w:sz="4" w:space="0" w:color="1B556B"/>
              <w:right w:val="nil"/>
            </w:tcBorders>
            <w:shd w:val="clear" w:color="auto" w:fill="auto"/>
            <w:vAlign w:val="bottom"/>
          </w:tcPr>
          <w:p w14:paraId="126C03FA" w14:textId="77777777" w:rsidR="00994F64" w:rsidRPr="00261B7A" w:rsidRDefault="00994F64" w:rsidP="00501B0F">
            <w:pPr>
              <w:pStyle w:val="TableText"/>
              <w:spacing w:before="50" w:after="50"/>
              <w:jc w:val="center"/>
              <w:rPr>
                <w:rFonts w:cs="Calibri"/>
                <w:szCs w:val="16"/>
              </w:rPr>
            </w:pPr>
            <w:r w:rsidRPr="00261B7A">
              <w:rPr>
                <w:rFonts w:cs="Calibri"/>
                <w:szCs w:val="16"/>
              </w:rPr>
              <w:t>0.0</w:t>
            </w:r>
          </w:p>
        </w:tc>
        <w:tc>
          <w:tcPr>
            <w:tcW w:w="1153" w:type="dxa"/>
            <w:tcBorders>
              <w:top w:val="single" w:sz="4" w:space="0" w:color="1B556B"/>
              <w:left w:val="nil"/>
              <w:bottom w:val="single" w:sz="4" w:space="0" w:color="1B556B"/>
              <w:right w:val="nil"/>
            </w:tcBorders>
            <w:shd w:val="clear" w:color="auto" w:fill="auto"/>
            <w:vAlign w:val="bottom"/>
          </w:tcPr>
          <w:p w14:paraId="54E14019" w14:textId="77777777" w:rsidR="00994F64" w:rsidRPr="00261B7A" w:rsidRDefault="00994F64" w:rsidP="00501B0F">
            <w:pPr>
              <w:pStyle w:val="TableText"/>
              <w:spacing w:before="50" w:after="50"/>
              <w:jc w:val="center"/>
              <w:rPr>
                <w:rFonts w:cs="Calibri"/>
                <w:szCs w:val="16"/>
              </w:rPr>
            </w:pPr>
            <w:r w:rsidRPr="00261B7A">
              <w:rPr>
                <w:rFonts w:cs="Calibri"/>
                <w:szCs w:val="16"/>
              </w:rPr>
              <w:t>0.0</w:t>
            </w:r>
          </w:p>
        </w:tc>
      </w:tr>
      <w:tr w:rsidR="00994F64" w:rsidRPr="00261B7A" w14:paraId="23EF86C8" w14:textId="77777777" w:rsidTr="00501B0F">
        <w:tc>
          <w:tcPr>
            <w:tcW w:w="816" w:type="dxa"/>
            <w:vMerge/>
            <w:tcBorders>
              <w:left w:val="nil"/>
              <w:bottom w:val="single" w:sz="4" w:space="0" w:color="365F91"/>
              <w:right w:val="nil"/>
            </w:tcBorders>
            <w:shd w:val="clear" w:color="auto" w:fill="auto"/>
          </w:tcPr>
          <w:p w14:paraId="17334F4C" w14:textId="77777777" w:rsidR="00994F64" w:rsidRPr="00261B7A" w:rsidRDefault="00994F64" w:rsidP="00501B0F">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2675DED8" w14:textId="77777777" w:rsidR="00994F64" w:rsidRPr="00261B7A" w:rsidRDefault="00994F64" w:rsidP="00501B0F">
            <w:pPr>
              <w:pStyle w:val="TableText"/>
              <w:spacing w:before="50" w:after="50"/>
              <w:rPr>
                <w:rFonts w:cs="Calibri"/>
                <w:szCs w:val="16"/>
              </w:rPr>
            </w:pPr>
            <w:r w:rsidRPr="00261B7A">
              <w:rPr>
                <w:rFonts w:cs="Calibri"/>
                <w:szCs w:val="16"/>
              </w:rPr>
              <w:t>Management of organic soils</w:t>
            </w:r>
          </w:p>
        </w:tc>
        <w:tc>
          <w:tcPr>
            <w:tcW w:w="708" w:type="dxa"/>
            <w:tcBorders>
              <w:top w:val="single" w:sz="4" w:space="0" w:color="1B556B"/>
              <w:left w:val="nil"/>
              <w:bottom w:val="single" w:sz="4" w:space="0" w:color="1B556B"/>
              <w:right w:val="nil"/>
            </w:tcBorders>
            <w:shd w:val="clear" w:color="auto" w:fill="auto"/>
            <w:vAlign w:val="bottom"/>
          </w:tcPr>
          <w:p w14:paraId="12F2BBD8" w14:textId="77777777" w:rsidR="00994F64" w:rsidRPr="00261B7A" w:rsidRDefault="00994F64" w:rsidP="00501B0F">
            <w:pPr>
              <w:pStyle w:val="TableText"/>
              <w:spacing w:before="50" w:after="50"/>
              <w:jc w:val="center"/>
              <w:rPr>
                <w:rFonts w:cs="Calibri"/>
                <w:szCs w:val="16"/>
              </w:rPr>
            </w:pPr>
            <w:r w:rsidRPr="00261B7A">
              <w:rPr>
                <w:rFonts w:cs="Calibri"/>
                <w:szCs w:val="16"/>
              </w:rPr>
              <w:t>658.7</w:t>
            </w:r>
          </w:p>
        </w:tc>
        <w:tc>
          <w:tcPr>
            <w:tcW w:w="722" w:type="dxa"/>
            <w:tcBorders>
              <w:top w:val="single" w:sz="4" w:space="0" w:color="1B556B"/>
              <w:left w:val="nil"/>
              <w:bottom w:val="single" w:sz="4" w:space="0" w:color="1B556B"/>
              <w:right w:val="nil"/>
            </w:tcBorders>
            <w:shd w:val="clear" w:color="auto" w:fill="auto"/>
            <w:vAlign w:val="bottom"/>
          </w:tcPr>
          <w:p w14:paraId="051D09DD" w14:textId="77777777" w:rsidR="00994F64" w:rsidRPr="00261B7A" w:rsidRDefault="00994F64" w:rsidP="00501B0F">
            <w:pPr>
              <w:pStyle w:val="TableText"/>
              <w:spacing w:before="50" w:after="50"/>
              <w:jc w:val="center"/>
              <w:rPr>
                <w:rFonts w:cs="Calibri"/>
                <w:szCs w:val="16"/>
              </w:rPr>
            </w:pPr>
            <w:r w:rsidRPr="00261B7A">
              <w:rPr>
                <w:rFonts w:cs="Calibri"/>
                <w:szCs w:val="16"/>
              </w:rPr>
              <w:t>667.4</w:t>
            </w:r>
          </w:p>
        </w:tc>
        <w:tc>
          <w:tcPr>
            <w:tcW w:w="854" w:type="dxa"/>
            <w:tcBorders>
              <w:top w:val="single" w:sz="4" w:space="0" w:color="1B556B"/>
              <w:left w:val="nil"/>
              <w:bottom w:val="single" w:sz="4" w:space="0" w:color="1B556B"/>
              <w:right w:val="nil"/>
            </w:tcBorders>
            <w:shd w:val="clear" w:color="auto" w:fill="auto"/>
            <w:vAlign w:val="bottom"/>
          </w:tcPr>
          <w:p w14:paraId="46102632" w14:textId="77777777" w:rsidR="00994F64" w:rsidRPr="00261B7A" w:rsidRDefault="00994F64" w:rsidP="00501B0F">
            <w:pPr>
              <w:pStyle w:val="TableText"/>
              <w:spacing w:before="50" w:after="50"/>
              <w:jc w:val="center"/>
              <w:rPr>
                <w:rFonts w:cs="Calibri"/>
                <w:szCs w:val="16"/>
              </w:rPr>
            </w:pPr>
            <w:r w:rsidRPr="00261B7A">
              <w:rPr>
                <w:rFonts w:cs="Calibri"/>
                <w:szCs w:val="16"/>
              </w:rPr>
              <w:t>8.7</w:t>
            </w:r>
          </w:p>
        </w:tc>
        <w:tc>
          <w:tcPr>
            <w:tcW w:w="712" w:type="dxa"/>
            <w:tcBorders>
              <w:top w:val="single" w:sz="4" w:space="0" w:color="1B556B"/>
              <w:left w:val="nil"/>
              <w:bottom w:val="single" w:sz="4" w:space="0" w:color="1B556B"/>
              <w:right w:val="nil"/>
            </w:tcBorders>
            <w:shd w:val="clear" w:color="auto" w:fill="auto"/>
            <w:vAlign w:val="bottom"/>
          </w:tcPr>
          <w:p w14:paraId="74962DDE" w14:textId="77777777" w:rsidR="00994F64" w:rsidRPr="00261B7A" w:rsidRDefault="00994F64" w:rsidP="00501B0F">
            <w:pPr>
              <w:pStyle w:val="TableText"/>
              <w:spacing w:before="50" w:after="50"/>
              <w:jc w:val="center"/>
              <w:rPr>
                <w:rFonts w:cs="Calibri"/>
                <w:szCs w:val="16"/>
              </w:rPr>
            </w:pPr>
            <w:r w:rsidRPr="00261B7A">
              <w:rPr>
                <w:rFonts w:cs="Calibri"/>
                <w:szCs w:val="16"/>
              </w:rPr>
              <w:t>1.3</w:t>
            </w:r>
          </w:p>
        </w:tc>
        <w:tc>
          <w:tcPr>
            <w:tcW w:w="1095" w:type="dxa"/>
            <w:tcBorders>
              <w:top w:val="single" w:sz="4" w:space="0" w:color="1B556B"/>
              <w:left w:val="nil"/>
              <w:bottom w:val="single" w:sz="4" w:space="0" w:color="1B556B"/>
              <w:right w:val="nil"/>
            </w:tcBorders>
            <w:shd w:val="clear" w:color="auto" w:fill="auto"/>
            <w:vAlign w:val="bottom"/>
          </w:tcPr>
          <w:p w14:paraId="406A9875" w14:textId="77777777" w:rsidR="00994F64" w:rsidRPr="00261B7A" w:rsidRDefault="00994F64" w:rsidP="00501B0F">
            <w:pPr>
              <w:pStyle w:val="TableText"/>
              <w:spacing w:before="50" w:after="50"/>
              <w:jc w:val="center"/>
              <w:rPr>
                <w:rFonts w:cs="Calibri"/>
                <w:szCs w:val="16"/>
              </w:rPr>
            </w:pPr>
            <w:r w:rsidRPr="00261B7A">
              <w:rPr>
                <w:rFonts w:cs="Calibri"/>
                <w:szCs w:val="16"/>
              </w:rPr>
              <w:t>9.1</w:t>
            </w:r>
          </w:p>
        </w:tc>
        <w:tc>
          <w:tcPr>
            <w:tcW w:w="1153" w:type="dxa"/>
            <w:tcBorders>
              <w:top w:val="single" w:sz="4" w:space="0" w:color="1B556B"/>
              <w:left w:val="nil"/>
              <w:bottom w:val="single" w:sz="4" w:space="0" w:color="1B556B"/>
              <w:right w:val="nil"/>
            </w:tcBorders>
            <w:shd w:val="clear" w:color="auto" w:fill="auto"/>
            <w:vAlign w:val="bottom"/>
          </w:tcPr>
          <w:p w14:paraId="54678F41" w14:textId="77777777" w:rsidR="00994F64" w:rsidRPr="00261B7A" w:rsidRDefault="00994F64" w:rsidP="00501B0F">
            <w:pPr>
              <w:pStyle w:val="TableText"/>
              <w:spacing w:before="50" w:after="50"/>
              <w:jc w:val="center"/>
              <w:rPr>
                <w:rFonts w:cs="Calibri"/>
                <w:szCs w:val="16"/>
              </w:rPr>
            </w:pPr>
            <w:r w:rsidRPr="00261B7A">
              <w:rPr>
                <w:rFonts w:cs="Calibri"/>
                <w:szCs w:val="16"/>
              </w:rPr>
              <w:t>1.8</w:t>
            </w:r>
          </w:p>
        </w:tc>
      </w:tr>
      <w:tr w:rsidR="00994F64" w:rsidRPr="00261B7A" w14:paraId="387FFC3A" w14:textId="77777777" w:rsidTr="00501B0F">
        <w:tc>
          <w:tcPr>
            <w:tcW w:w="816" w:type="dxa"/>
            <w:vMerge w:val="restart"/>
            <w:tcBorders>
              <w:top w:val="single" w:sz="4" w:space="0" w:color="365F91"/>
              <w:left w:val="nil"/>
              <w:bottom w:val="nil"/>
              <w:right w:val="nil"/>
            </w:tcBorders>
            <w:shd w:val="clear" w:color="auto" w:fill="auto"/>
          </w:tcPr>
          <w:p w14:paraId="37127C26" w14:textId="77777777" w:rsidR="00994F64" w:rsidRPr="00261B7A" w:rsidRDefault="00994F64" w:rsidP="00501B0F">
            <w:pPr>
              <w:pStyle w:val="TableText"/>
              <w:spacing w:before="50" w:after="50"/>
              <w:rPr>
                <w:rFonts w:cs="Calibri"/>
                <w:szCs w:val="16"/>
              </w:rPr>
            </w:pPr>
            <w:r w:rsidRPr="00261B7A">
              <w:rPr>
                <w:rFonts w:cs="Calibri"/>
                <w:szCs w:val="16"/>
              </w:rPr>
              <w:t>Indirect</w:t>
            </w:r>
          </w:p>
        </w:tc>
        <w:tc>
          <w:tcPr>
            <w:tcW w:w="2445" w:type="dxa"/>
            <w:tcBorders>
              <w:top w:val="single" w:sz="4" w:space="0" w:color="1B556B"/>
              <w:left w:val="nil"/>
              <w:bottom w:val="single" w:sz="4" w:space="0" w:color="1B556B"/>
              <w:right w:val="nil"/>
            </w:tcBorders>
            <w:shd w:val="clear" w:color="auto" w:fill="auto"/>
          </w:tcPr>
          <w:p w14:paraId="5B31A14F" w14:textId="77777777" w:rsidR="00994F64" w:rsidRPr="00261B7A" w:rsidRDefault="00994F64" w:rsidP="00501B0F">
            <w:pPr>
              <w:pStyle w:val="TableText"/>
              <w:spacing w:before="50" w:after="50"/>
              <w:rPr>
                <w:rFonts w:cs="Calibri"/>
                <w:szCs w:val="16"/>
              </w:rPr>
            </w:pPr>
            <w:r w:rsidRPr="00261B7A">
              <w:rPr>
                <w:rFonts w:cs="Calibri"/>
                <w:szCs w:val="16"/>
              </w:rPr>
              <w:t>Volatilisation</w:t>
            </w:r>
          </w:p>
        </w:tc>
        <w:tc>
          <w:tcPr>
            <w:tcW w:w="708" w:type="dxa"/>
            <w:tcBorders>
              <w:top w:val="single" w:sz="4" w:space="0" w:color="1B556B"/>
              <w:left w:val="nil"/>
              <w:bottom w:val="single" w:sz="4" w:space="0" w:color="1B556B"/>
              <w:right w:val="nil"/>
            </w:tcBorders>
            <w:shd w:val="clear" w:color="auto" w:fill="auto"/>
            <w:vAlign w:val="bottom"/>
          </w:tcPr>
          <w:p w14:paraId="1A0635EF" w14:textId="77777777" w:rsidR="00994F64" w:rsidRPr="00261B7A" w:rsidRDefault="00994F64" w:rsidP="00501B0F">
            <w:pPr>
              <w:pStyle w:val="TableText"/>
              <w:spacing w:before="50" w:after="50"/>
              <w:jc w:val="center"/>
              <w:rPr>
                <w:rFonts w:cs="Calibri"/>
                <w:szCs w:val="16"/>
              </w:rPr>
            </w:pPr>
            <w:r w:rsidRPr="00261B7A">
              <w:rPr>
                <w:rFonts w:cs="Calibri"/>
                <w:szCs w:val="16"/>
              </w:rPr>
              <w:t>715.7</w:t>
            </w:r>
          </w:p>
        </w:tc>
        <w:tc>
          <w:tcPr>
            <w:tcW w:w="722" w:type="dxa"/>
            <w:tcBorders>
              <w:top w:val="single" w:sz="4" w:space="0" w:color="1B556B"/>
              <w:left w:val="nil"/>
              <w:bottom w:val="single" w:sz="4" w:space="0" w:color="1B556B"/>
              <w:right w:val="nil"/>
            </w:tcBorders>
            <w:shd w:val="clear" w:color="auto" w:fill="auto"/>
            <w:vAlign w:val="bottom"/>
          </w:tcPr>
          <w:p w14:paraId="7B4FCA51" w14:textId="77777777" w:rsidR="00994F64" w:rsidRPr="00261B7A" w:rsidRDefault="00994F64" w:rsidP="00501B0F">
            <w:pPr>
              <w:pStyle w:val="TableText"/>
              <w:spacing w:before="50" w:after="50"/>
              <w:jc w:val="center"/>
              <w:rPr>
                <w:rFonts w:cs="Calibri"/>
                <w:szCs w:val="16"/>
              </w:rPr>
            </w:pPr>
            <w:r w:rsidRPr="00261B7A">
              <w:rPr>
                <w:rFonts w:cs="Calibri"/>
                <w:szCs w:val="16"/>
              </w:rPr>
              <w:t>854.7</w:t>
            </w:r>
          </w:p>
        </w:tc>
        <w:tc>
          <w:tcPr>
            <w:tcW w:w="854" w:type="dxa"/>
            <w:tcBorders>
              <w:top w:val="single" w:sz="4" w:space="0" w:color="1B556B"/>
              <w:left w:val="nil"/>
              <w:bottom w:val="single" w:sz="4" w:space="0" w:color="1B556B"/>
              <w:right w:val="nil"/>
            </w:tcBorders>
            <w:shd w:val="clear" w:color="auto" w:fill="auto"/>
            <w:vAlign w:val="bottom"/>
          </w:tcPr>
          <w:p w14:paraId="3F1183FB" w14:textId="77777777" w:rsidR="00994F64" w:rsidRPr="00261B7A" w:rsidRDefault="00994F64" w:rsidP="00501B0F">
            <w:pPr>
              <w:pStyle w:val="TableText"/>
              <w:spacing w:before="50" w:after="50"/>
              <w:jc w:val="center"/>
              <w:rPr>
                <w:rFonts w:cs="Calibri"/>
                <w:szCs w:val="16"/>
              </w:rPr>
            </w:pPr>
            <w:r w:rsidRPr="00261B7A">
              <w:rPr>
                <w:rFonts w:cs="Calibri"/>
                <w:szCs w:val="16"/>
              </w:rPr>
              <w:t>139.0</w:t>
            </w:r>
          </w:p>
        </w:tc>
        <w:tc>
          <w:tcPr>
            <w:tcW w:w="712" w:type="dxa"/>
            <w:tcBorders>
              <w:top w:val="single" w:sz="4" w:space="0" w:color="1B556B"/>
              <w:left w:val="nil"/>
              <w:bottom w:val="single" w:sz="4" w:space="0" w:color="1B556B"/>
              <w:right w:val="nil"/>
            </w:tcBorders>
            <w:shd w:val="clear" w:color="auto" w:fill="auto"/>
            <w:vAlign w:val="bottom"/>
          </w:tcPr>
          <w:p w14:paraId="1E010615" w14:textId="77777777" w:rsidR="00994F64" w:rsidRPr="00261B7A" w:rsidRDefault="00994F64" w:rsidP="00501B0F">
            <w:pPr>
              <w:pStyle w:val="TableText"/>
              <w:spacing w:before="50" w:after="50"/>
              <w:jc w:val="center"/>
              <w:rPr>
                <w:rFonts w:cs="Calibri"/>
                <w:szCs w:val="16"/>
              </w:rPr>
            </w:pPr>
            <w:r w:rsidRPr="00261B7A">
              <w:rPr>
                <w:rFonts w:cs="Calibri"/>
                <w:szCs w:val="16"/>
              </w:rPr>
              <w:t>19.4</w:t>
            </w:r>
          </w:p>
        </w:tc>
        <w:tc>
          <w:tcPr>
            <w:tcW w:w="1095" w:type="dxa"/>
            <w:tcBorders>
              <w:top w:val="single" w:sz="4" w:space="0" w:color="1B556B"/>
              <w:left w:val="nil"/>
              <w:bottom w:val="single" w:sz="4" w:space="0" w:color="1B556B"/>
              <w:right w:val="nil"/>
            </w:tcBorders>
            <w:shd w:val="clear" w:color="auto" w:fill="auto"/>
            <w:vAlign w:val="bottom"/>
          </w:tcPr>
          <w:p w14:paraId="28531B90" w14:textId="77777777" w:rsidR="00994F64" w:rsidRPr="00261B7A" w:rsidRDefault="00994F64" w:rsidP="00501B0F">
            <w:pPr>
              <w:pStyle w:val="TableText"/>
              <w:spacing w:before="50" w:after="50"/>
              <w:jc w:val="center"/>
              <w:rPr>
                <w:rFonts w:cs="Calibri"/>
                <w:szCs w:val="16"/>
              </w:rPr>
            </w:pPr>
            <w:r w:rsidRPr="00261B7A">
              <w:rPr>
                <w:rFonts w:cs="Calibri"/>
                <w:szCs w:val="16"/>
              </w:rPr>
              <w:t>11.7</w:t>
            </w:r>
          </w:p>
        </w:tc>
        <w:tc>
          <w:tcPr>
            <w:tcW w:w="1153" w:type="dxa"/>
            <w:tcBorders>
              <w:top w:val="single" w:sz="4" w:space="0" w:color="1B556B"/>
              <w:left w:val="nil"/>
              <w:bottom w:val="single" w:sz="4" w:space="0" w:color="1B556B"/>
              <w:right w:val="nil"/>
            </w:tcBorders>
            <w:shd w:val="clear" w:color="auto" w:fill="auto"/>
            <w:vAlign w:val="bottom"/>
          </w:tcPr>
          <w:p w14:paraId="1755252D" w14:textId="77777777" w:rsidR="00994F64" w:rsidRPr="00261B7A" w:rsidRDefault="00994F64" w:rsidP="00501B0F">
            <w:pPr>
              <w:pStyle w:val="TableText"/>
              <w:spacing w:before="50" w:after="50"/>
              <w:jc w:val="center"/>
              <w:rPr>
                <w:rFonts w:cs="Calibri"/>
                <w:szCs w:val="16"/>
              </w:rPr>
            </w:pPr>
            <w:r w:rsidRPr="00261B7A">
              <w:rPr>
                <w:rFonts w:cs="Calibri"/>
                <w:szCs w:val="16"/>
              </w:rPr>
              <w:t>2.3</w:t>
            </w:r>
          </w:p>
        </w:tc>
      </w:tr>
      <w:tr w:rsidR="00994F64" w:rsidRPr="00261B7A" w14:paraId="500465C6" w14:textId="77777777" w:rsidTr="00501B0F">
        <w:tc>
          <w:tcPr>
            <w:tcW w:w="816" w:type="dxa"/>
            <w:vMerge/>
            <w:tcBorders>
              <w:top w:val="nil"/>
              <w:left w:val="nil"/>
              <w:bottom w:val="nil"/>
              <w:right w:val="nil"/>
            </w:tcBorders>
            <w:shd w:val="clear" w:color="auto" w:fill="auto"/>
          </w:tcPr>
          <w:p w14:paraId="20FBFE7C" w14:textId="77777777" w:rsidR="00994F64" w:rsidRPr="00261B7A" w:rsidRDefault="00994F64" w:rsidP="00501B0F">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tcPr>
          <w:p w14:paraId="7E5EA479" w14:textId="77777777" w:rsidR="00994F64" w:rsidRPr="00261B7A" w:rsidRDefault="00994F64" w:rsidP="00501B0F">
            <w:pPr>
              <w:pStyle w:val="TableText"/>
              <w:spacing w:before="50" w:after="50"/>
              <w:rPr>
                <w:rFonts w:cs="Calibri"/>
                <w:szCs w:val="16"/>
              </w:rPr>
            </w:pPr>
            <w:r w:rsidRPr="00261B7A">
              <w:rPr>
                <w:rFonts w:cs="Calibri"/>
                <w:szCs w:val="16"/>
              </w:rPr>
              <w:t>Leaching and runoff</w:t>
            </w:r>
          </w:p>
        </w:tc>
        <w:tc>
          <w:tcPr>
            <w:tcW w:w="708" w:type="dxa"/>
            <w:tcBorders>
              <w:top w:val="single" w:sz="4" w:space="0" w:color="1B556B"/>
              <w:left w:val="nil"/>
              <w:bottom w:val="single" w:sz="4" w:space="0" w:color="1B556B"/>
              <w:right w:val="nil"/>
            </w:tcBorders>
            <w:shd w:val="clear" w:color="auto" w:fill="auto"/>
            <w:vAlign w:val="bottom"/>
          </w:tcPr>
          <w:p w14:paraId="0FD8B676" w14:textId="77777777" w:rsidR="00994F64" w:rsidRPr="00261B7A" w:rsidRDefault="00994F64" w:rsidP="00501B0F">
            <w:pPr>
              <w:pStyle w:val="TableText"/>
              <w:spacing w:before="50" w:after="50"/>
              <w:jc w:val="center"/>
              <w:rPr>
                <w:rFonts w:cs="Calibri"/>
                <w:szCs w:val="16"/>
              </w:rPr>
            </w:pPr>
            <w:r w:rsidRPr="00261B7A">
              <w:rPr>
                <w:rFonts w:cs="Calibri"/>
                <w:szCs w:val="16"/>
              </w:rPr>
              <w:t>441.2</w:t>
            </w:r>
          </w:p>
        </w:tc>
        <w:tc>
          <w:tcPr>
            <w:tcW w:w="722" w:type="dxa"/>
            <w:tcBorders>
              <w:top w:val="single" w:sz="4" w:space="0" w:color="1B556B"/>
              <w:left w:val="nil"/>
              <w:bottom w:val="single" w:sz="4" w:space="0" w:color="1B556B"/>
              <w:right w:val="nil"/>
            </w:tcBorders>
            <w:shd w:val="clear" w:color="auto" w:fill="auto"/>
            <w:vAlign w:val="bottom"/>
          </w:tcPr>
          <w:p w14:paraId="07DC9421" w14:textId="77777777" w:rsidR="00994F64" w:rsidRPr="00261B7A" w:rsidRDefault="00994F64" w:rsidP="00501B0F">
            <w:pPr>
              <w:pStyle w:val="TableText"/>
              <w:spacing w:before="50" w:after="50"/>
              <w:jc w:val="center"/>
              <w:rPr>
                <w:rFonts w:cs="Calibri"/>
                <w:szCs w:val="16"/>
              </w:rPr>
            </w:pPr>
            <w:r w:rsidRPr="00261B7A">
              <w:rPr>
                <w:rFonts w:cs="Calibri"/>
                <w:szCs w:val="16"/>
              </w:rPr>
              <w:t>554.5</w:t>
            </w:r>
          </w:p>
        </w:tc>
        <w:tc>
          <w:tcPr>
            <w:tcW w:w="854" w:type="dxa"/>
            <w:tcBorders>
              <w:top w:val="single" w:sz="4" w:space="0" w:color="1B556B"/>
              <w:left w:val="nil"/>
              <w:bottom w:val="single" w:sz="4" w:space="0" w:color="1B556B"/>
              <w:right w:val="nil"/>
            </w:tcBorders>
            <w:shd w:val="clear" w:color="auto" w:fill="auto"/>
            <w:vAlign w:val="bottom"/>
          </w:tcPr>
          <w:p w14:paraId="342B5F80" w14:textId="77777777" w:rsidR="00994F64" w:rsidRPr="00261B7A" w:rsidRDefault="00994F64" w:rsidP="00501B0F">
            <w:pPr>
              <w:pStyle w:val="TableText"/>
              <w:tabs>
                <w:tab w:val="center" w:pos="400"/>
                <w:tab w:val="right" w:pos="801"/>
              </w:tabs>
              <w:spacing w:before="50" w:after="50"/>
              <w:jc w:val="center"/>
              <w:rPr>
                <w:rFonts w:cs="Calibri"/>
                <w:szCs w:val="16"/>
              </w:rPr>
            </w:pPr>
            <w:r w:rsidRPr="00261B7A">
              <w:rPr>
                <w:rFonts w:cs="Calibri"/>
                <w:szCs w:val="16"/>
              </w:rPr>
              <w:t>113.3</w:t>
            </w:r>
          </w:p>
        </w:tc>
        <w:tc>
          <w:tcPr>
            <w:tcW w:w="712" w:type="dxa"/>
            <w:tcBorders>
              <w:top w:val="single" w:sz="4" w:space="0" w:color="1B556B"/>
              <w:left w:val="nil"/>
              <w:bottom w:val="single" w:sz="4" w:space="0" w:color="1B556B"/>
              <w:right w:val="nil"/>
            </w:tcBorders>
            <w:shd w:val="clear" w:color="auto" w:fill="auto"/>
            <w:vAlign w:val="bottom"/>
          </w:tcPr>
          <w:p w14:paraId="7EFB7D19" w14:textId="77777777" w:rsidR="00994F64" w:rsidRPr="00261B7A" w:rsidRDefault="00994F64" w:rsidP="00501B0F">
            <w:pPr>
              <w:pStyle w:val="TableText"/>
              <w:spacing w:before="50" w:after="50"/>
              <w:jc w:val="center"/>
              <w:rPr>
                <w:rFonts w:cs="Calibri"/>
                <w:szCs w:val="16"/>
              </w:rPr>
            </w:pPr>
            <w:r w:rsidRPr="00261B7A">
              <w:rPr>
                <w:rFonts w:cs="Calibri"/>
                <w:szCs w:val="16"/>
              </w:rPr>
              <w:t>25.7</w:t>
            </w:r>
          </w:p>
        </w:tc>
        <w:tc>
          <w:tcPr>
            <w:tcW w:w="1095" w:type="dxa"/>
            <w:tcBorders>
              <w:top w:val="single" w:sz="4" w:space="0" w:color="1B556B"/>
              <w:left w:val="nil"/>
              <w:bottom w:val="single" w:sz="4" w:space="0" w:color="1B556B"/>
              <w:right w:val="nil"/>
            </w:tcBorders>
            <w:shd w:val="clear" w:color="auto" w:fill="auto"/>
            <w:vAlign w:val="bottom"/>
          </w:tcPr>
          <w:p w14:paraId="10FB32DA" w14:textId="77777777" w:rsidR="00994F64" w:rsidRPr="00261B7A" w:rsidRDefault="00994F64" w:rsidP="00501B0F">
            <w:pPr>
              <w:pStyle w:val="TableText"/>
              <w:spacing w:before="50" w:after="50"/>
              <w:jc w:val="center"/>
              <w:rPr>
                <w:rFonts w:cs="Calibri"/>
                <w:szCs w:val="16"/>
              </w:rPr>
            </w:pPr>
            <w:r w:rsidRPr="00261B7A">
              <w:rPr>
                <w:rFonts w:cs="Calibri"/>
                <w:szCs w:val="16"/>
              </w:rPr>
              <w:t>7.6</w:t>
            </w:r>
          </w:p>
        </w:tc>
        <w:tc>
          <w:tcPr>
            <w:tcW w:w="1153" w:type="dxa"/>
            <w:tcBorders>
              <w:top w:val="single" w:sz="4" w:space="0" w:color="1B556B"/>
              <w:left w:val="nil"/>
              <w:bottom w:val="single" w:sz="4" w:space="0" w:color="1B556B"/>
              <w:right w:val="nil"/>
            </w:tcBorders>
            <w:shd w:val="clear" w:color="auto" w:fill="auto"/>
            <w:vAlign w:val="bottom"/>
          </w:tcPr>
          <w:p w14:paraId="0FDA97F6" w14:textId="77777777" w:rsidR="00994F64" w:rsidRPr="00261B7A" w:rsidRDefault="00994F64" w:rsidP="00501B0F">
            <w:pPr>
              <w:pStyle w:val="TableText"/>
              <w:spacing w:before="50" w:after="50"/>
              <w:jc w:val="center"/>
              <w:rPr>
                <w:rFonts w:cs="Calibri"/>
                <w:szCs w:val="16"/>
              </w:rPr>
            </w:pPr>
            <w:r w:rsidRPr="00261B7A">
              <w:rPr>
                <w:rFonts w:cs="Calibri"/>
                <w:szCs w:val="16"/>
              </w:rPr>
              <w:t>1.5</w:t>
            </w:r>
          </w:p>
        </w:tc>
      </w:tr>
      <w:tr w:rsidR="00994F64" w:rsidRPr="00261B7A" w14:paraId="6C8421A4" w14:textId="77777777" w:rsidTr="00501B0F">
        <w:tc>
          <w:tcPr>
            <w:tcW w:w="3261" w:type="dxa"/>
            <w:gridSpan w:val="2"/>
            <w:tcBorders>
              <w:top w:val="nil"/>
              <w:left w:val="nil"/>
              <w:bottom w:val="single" w:sz="4" w:space="0" w:color="1B556B"/>
              <w:right w:val="nil"/>
            </w:tcBorders>
            <w:shd w:val="clear" w:color="auto" w:fill="auto"/>
          </w:tcPr>
          <w:p w14:paraId="53C1399D" w14:textId="77777777" w:rsidR="00994F64" w:rsidRPr="00261B7A" w:rsidRDefault="00994F64" w:rsidP="00501B0F">
            <w:pPr>
              <w:pStyle w:val="TableText"/>
              <w:spacing w:before="50" w:after="50"/>
              <w:rPr>
                <w:rFonts w:cs="Calibri"/>
                <w:b/>
                <w:bCs/>
                <w:color w:val="1B556B"/>
                <w:szCs w:val="16"/>
              </w:rPr>
            </w:pPr>
            <w:r w:rsidRPr="00261B7A">
              <w:rPr>
                <w:rFonts w:cs="Calibri"/>
                <w:b/>
                <w:bCs/>
                <w:color w:val="1B556B"/>
                <w:szCs w:val="16"/>
              </w:rPr>
              <w:t>Total Agricultural soils</w:t>
            </w:r>
          </w:p>
        </w:tc>
        <w:tc>
          <w:tcPr>
            <w:tcW w:w="708" w:type="dxa"/>
            <w:tcBorders>
              <w:top w:val="nil"/>
              <w:left w:val="nil"/>
              <w:bottom w:val="single" w:sz="4" w:space="0" w:color="1B556B"/>
              <w:right w:val="nil"/>
            </w:tcBorders>
            <w:shd w:val="clear" w:color="auto" w:fill="auto"/>
            <w:vAlign w:val="bottom"/>
          </w:tcPr>
          <w:p w14:paraId="36CC3053" w14:textId="77777777" w:rsidR="00994F64" w:rsidRPr="00261B7A" w:rsidRDefault="00994F64" w:rsidP="00501B0F">
            <w:pPr>
              <w:pStyle w:val="TableText"/>
              <w:spacing w:before="50" w:after="50"/>
              <w:jc w:val="center"/>
              <w:rPr>
                <w:rFonts w:cs="Calibri"/>
                <w:b/>
                <w:color w:val="1B556B"/>
                <w:szCs w:val="16"/>
              </w:rPr>
            </w:pPr>
            <w:r w:rsidRPr="00261B7A">
              <w:rPr>
                <w:rFonts w:cs="Calibri"/>
                <w:b/>
                <w:color w:val="1B556B"/>
                <w:szCs w:val="16"/>
              </w:rPr>
              <w:t>5,</w:t>
            </w:r>
            <w:r w:rsidRPr="00261B7A">
              <w:rPr>
                <w:rFonts w:cs="Calibri"/>
                <w:b/>
                <w:bCs/>
                <w:color w:val="1B556B"/>
                <w:szCs w:val="16"/>
              </w:rPr>
              <w:t>216.8</w:t>
            </w:r>
          </w:p>
        </w:tc>
        <w:tc>
          <w:tcPr>
            <w:tcW w:w="722" w:type="dxa"/>
            <w:tcBorders>
              <w:top w:val="nil"/>
              <w:left w:val="nil"/>
              <w:bottom w:val="single" w:sz="4" w:space="0" w:color="1B556B"/>
              <w:right w:val="nil"/>
            </w:tcBorders>
            <w:shd w:val="clear" w:color="auto" w:fill="auto"/>
            <w:vAlign w:val="bottom"/>
          </w:tcPr>
          <w:p w14:paraId="5266B665" w14:textId="77777777" w:rsidR="00994F64" w:rsidRPr="00261B7A" w:rsidRDefault="00994F64" w:rsidP="00501B0F">
            <w:pPr>
              <w:pStyle w:val="TableText"/>
              <w:spacing w:before="50" w:after="50"/>
              <w:jc w:val="center"/>
              <w:rPr>
                <w:rFonts w:cs="Calibri"/>
                <w:b/>
                <w:color w:val="1B556B"/>
                <w:szCs w:val="16"/>
              </w:rPr>
            </w:pPr>
            <w:r w:rsidRPr="00261B7A">
              <w:rPr>
                <w:rFonts w:cs="Calibri"/>
                <w:b/>
                <w:color w:val="1B556B"/>
                <w:szCs w:val="16"/>
              </w:rPr>
              <w:t>7,</w:t>
            </w:r>
            <w:r w:rsidRPr="00261B7A">
              <w:rPr>
                <w:rFonts w:cs="Calibri"/>
                <w:b/>
                <w:bCs/>
                <w:color w:val="1B556B"/>
                <w:szCs w:val="16"/>
              </w:rPr>
              <w:t>315.2</w:t>
            </w:r>
          </w:p>
        </w:tc>
        <w:tc>
          <w:tcPr>
            <w:tcW w:w="854" w:type="dxa"/>
            <w:tcBorders>
              <w:top w:val="nil"/>
              <w:left w:val="nil"/>
              <w:bottom w:val="single" w:sz="4" w:space="0" w:color="1B556B"/>
              <w:right w:val="nil"/>
            </w:tcBorders>
            <w:shd w:val="clear" w:color="auto" w:fill="auto"/>
            <w:vAlign w:val="bottom"/>
          </w:tcPr>
          <w:p w14:paraId="49701D27" w14:textId="77777777" w:rsidR="00994F64" w:rsidRPr="00261B7A" w:rsidRDefault="00994F64" w:rsidP="00501B0F">
            <w:pPr>
              <w:pStyle w:val="TableText"/>
              <w:tabs>
                <w:tab w:val="center" w:pos="400"/>
                <w:tab w:val="right" w:pos="801"/>
              </w:tabs>
              <w:spacing w:before="50" w:after="50"/>
              <w:jc w:val="center"/>
              <w:rPr>
                <w:rFonts w:cs="Calibri"/>
                <w:b/>
                <w:color w:val="1B556B"/>
                <w:szCs w:val="16"/>
              </w:rPr>
            </w:pPr>
            <w:r w:rsidRPr="00261B7A">
              <w:rPr>
                <w:rFonts w:cs="Calibri"/>
                <w:b/>
                <w:color w:val="1B556B"/>
                <w:szCs w:val="16"/>
              </w:rPr>
              <w:t>2,</w:t>
            </w:r>
            <w:r w:rsidRPr="00261B7A">
              <w:rPr>
                <w:rFonts w:cs="Calibri"/>
                <w:b/>
                <w:bCs/>
                <w:color w:val="1B556B"/>
                <w:szCs w:val="16"/>
              </w:rPr>
              <w:t>098.3</w:t>
            </w:r>
          </w:p>
        </w:tc>
        <w:tc>
          <w:tcPr>
            <w:tcW w:w="712" w:type="dxa"/>
            <w:tcBorders>
              <w:top w:val="nil"/>
              <w:left w:val="nil"/>
              <w:bottom w:val="single" w:sz="4" w:space="0" w:color="1B556B"/>
              <w:right w:val="nil"/>
            </w:tcBorders>
            <w:shd w:val="clear" w:color="auto" w:fill="auto"/>
            <w:vAlign w:val="bottom"/>
          </w:tcPr>
          <w:p w14:paraId="6D1B408D" w14:textId="77777777" w:rsidR="00994F64" w:rsidRPr="00261B7A" w:rsidRDefault="00994F64" w:rsidP="00501B0F">
            <w:pPr>
              <w:pStyle w:val="TableText"/>
              <w:spacing w:before="50" w:after="50"/>
              <w:jc w:val="center"/>
              <w:rPr>
                <w:rFonts w:cs="Calibri"/>
                <w:b/>
                <w:color w:val="1B556B"/>
                <w:szCs w:val="16"/>
              </w:rPr>
            </w:pPr>
            <w:r w:rsidRPr="00261B7A">
              <w:rPr>
                <w:b/>
                <w:color w:val="1B556B"/>
              </w:rPr>
              <w:t>40.2</w:t>
            </w:r>
          </w:p>
        </w:tc>
        <w:tc>
          <w:tcPr>
            <w:tcW w:w="1095" w:type="dxa"/>
            <w:tcBorders>
              <w:top w:val="nil"/>
              <w:left w:val="nil"/>
              <w:bottom w:val="single" w:sz="4" w:space="0" w:color="1B556B"/>
              <w:right w:val="nil"/>
            </w:tcBorders>
            <w:shd w:val="clear" w:color="auto" w:fill="auto"/>
            <w:vAlign w:val="bottom"/>
          </w:tcPr>
          <w:p w14:paraId="498843D4" w14:textId="77777777" w:rsidR="00994F64" w:rsidRPr="00261B7A" w:rsidRDefault="00994F64" w:rsidP="00501B0F">
            <w:pPr>
              <w:pStyle w:val="TableText"/>
              <w:spacing w:before="50" w:after="50"/>
              <w:jc w:val="center"/>
              <w:rPr>
                <w:rFonts w:cs="Calibri"/>
                <w:b/>
                <w:color w:val="1B556B"/>
                <w:szCs w:val="16"/>
              </w:rPr>
            </w:pPr>
            <w:r w:rsidRPr="00261B7A">
              <w:rPr>
                <w:rFonts w:cs="Calibri"/>
                <w:b/>
                <w:color w:val="1B556B"/>
                <w:szCs w:val="16"/>
              </w:rPr>
              <w:t>100.0</w:t>
            </w:r>
          </w:p>
        </w:tc>
        <w:tc>
          <w:tcPr>
            <w:tcW w:w="1153" w:type="dxa"/>
            <w:tcBorders>
              <w:top w:val="nil"/>
              <w:left w:val="nil"/>
              <w:bottom w:val="single" w:sz="4" w:space="0" w:color="1B556B"/>
              <w:right w:val="nil"/>
            </w:tcBorders>
            <w:shd w:val="clear" w:color="auto" w:fill="auto"/>
            <w:vAlign w:val="bottom"/>
          </w:tcPr>
          <w:p w14:paraId="0B9EF75B" w14:textId="77777777" w:rsidR="00994F64" w:rsidRPr="00261B7A" w:rsidRDefault="00994F64" w:rsidP="00501B0F">
            <w:pPr>
              <w:pStyle w:val="TableText"/>
              <w:spacing w:before="50" w:after="50"/>
              <w:jc w:val="center"/>
              <w:rPr>
                <w:rFonts w:cs="Calibri"/>
                <w:b/>
                <w:color w:val="1B556B"/>
                <w:szCs w:val="16"/>
              </w:rPr>
            </w:pPr>
            <w:r w:rsidRPr="00261B7A">
              <w:rPr>
                <w:rFonts w:cs="Calibri"/>
                <w:b/>
                <w:bCs/>
                <w:color w:val="1B556B"/>
                <w:szCs w:val="16"/>
              </w:rPr>
              <w:t>19.4</w:t>
            </w:r>
          </w:p>
        </w:tc>
      </w:tr>
    </w:tbl>
    <w:p w14:paraId="240B8AA3" w14:textId="77777777" w:rsidR="00994F64" w:rsidRPr="00261B7A" w:rsidRDefault="00994F64" w:rsidP="00994F64">
      <w:pPr>
        <w:pStyle w:val="Noteundertable"/>
        <w:rPr>
          <w:rFonts w:cs="Calibri"/>
        </w:rPr>
      </w:pPr>
      <w:r w:rsidRPr="00261B7A">
        <w:rPr>
          <w:rFonts w:cs="Calibri"/>
          <w:b/>
          <w:bCs/>
        </w:rPr>
        <w:t>Note:</w:t>
      </w:r>
      <w:r w:rsidRPr="00261B7A">
        <w:rPr>
          <w:rFonts w:cs="Calibri"/>
        </w:rPr>
        <w:tab/>
        <w:t>Columns may not add due to rounding. Percentages presented are calculated from unrounded values.</w:t>
      </w:r>
    </w:p>
    <w:p w14:paraId="69D26501" w14:textId="77777777" w:rsidR="00994F64" w:rsidRPr="00261B7A" w:rsidRDefault="00994F64" w:rsidP="00994F64">
      <w:pPr>
        <w:pStyle w:val="Heading3"/>
      </w:pPr>
      <w:bookmarkStart w:id="1025" w:name="_Toc139253934"/>
      <w:bookmarkStart w:id="1026" w:name="_Toc32570668"/>
      <w:r w:rsidRPr="00261B7A">
        <w:t>5.5.2</w:t>
      </w:r>
      <w:r w:rsidRPr="00261B7A">
        <w:tab/>
        <w:t>Methodological issues</w:t>
      </w:r>
      <w:bookmarkEnd w:id="1025"/>
      <w:bookmarkEnd w:id="1026"/>
      <w:r w:rsidRPr="00261B7A">
        <w:t xml:space="preserve"> </w:t>
      </w:r>
    </w:p>
    <w:p w14:paraId="4779D6BE" w14:textId="77777777" w:rsidR="00994F64" w:rsidRPr="00261B7A" w:rsidRDefault="00994F64" w:rsidP="00994F64">
      <w:pPr>
        <w:pStyle w:val="BodyText"/>
        <w:spacing w:before="100" w:after="100"/>
      </w:pPr>
      <w:r w:rsidRPr="00261B7A">
        <w:t>New Zealand uses methodologies based on the 2006 IPCC Guidelines, outputs of the Tier 2 livestock population characterisation, modelling of the livestock nutrition and energy requirements, and some country-specific equations to calculate N</w:t>
      </w:r>
      <w:r w:rsidRPr="00261B7A">
        <w:rPr>
          <w:vertAlign w:val="subscript"/>
        </w:rPr>
        <w:t>2</w:t>
      </w:r>
      <w:r w:rsidRPr="00261B7A">
        <w:t>O emissions from </w:t>
      </w:r>
      <w:r w:rsidRPr="00261B7A">
        <w:rPr>
          <w:i/>
          <w:iCs/>
        </w:rPr>
        <w:t>Agricultural soils</w:t>
      </w:r>
      <w:r w:rsidRPr="00261B7A">
        <w:t>. A combination of default and country-specific emission factors and parameters is also used to calculate emissions from this category. Details on these emission factors and parameters are listed in tables 5.5.2 and 5.5.3; annex 3, tables A3.1.5, A3.1.6 and A3.1.7; and in table 5.5.5 for mitigation technologies.</w:t>
      </w:r>
    </w:p>
    <w:p w14:paraId="283008C6" w14:textId="77777777" w:rsidR="00994F64" w:rsidRPr="00261B7A" w:rsidRDefault="00994F64" w:rsidP="00994F64">
      <w:pPr>
        <w:pStyle w:val="BodyText"/>
        <w:spacing w:before="100" w:after="100"/>
      </w:pPr>
      <w:r w:rsidRPr="00261B7A">
        <w:t xml:space="preserve">The largest inputs of nitrogen to agricultural soils are manure (urine and dung) from grazing livestock and synthetic nitrogen fertilisers, which together contribute just over two thirds of emissions from the </w:t>
      </w:r>
      <w:r w:rsidRPr="00261B7A">
        <w:rPr>
          <w:i/>
          <w:iCs/>
        </w:rPr>
        <w:t>Agricultural soils</w:t>
      </w:r>
      <w:r w:rsidRPr="00261B7A">
        <w:t xml:space="preserve"> category. The following paragraphs provide an overview of the country-specific improvements made to the </w:t>
      </w:r>
      <w:r w:rsidRPr="00261B7A">
        <w:rPr>
          <w:i/>
          <w:iCs/>
        </w:rPr>
        <w:t>Agricultural soils</w:t>
      </w:r>
      <w:r w:rsidRPr="00261B7A">
        <w:t xml:space="preserve"> category.</w:t>
      </w:r>
    </w:p>
    <w:p w14:paraId="55CD4DEC" w14:textId="77777777" w:rsidR="00994F64" w:rsidRPr="00261B7A" w:rsidRDefault="00994F64" w:rsidP="00994F64">
      <w:pPr>
        <w:pStyle w:val="Heading5"/>
      </w:pPr>
      <w:r w:rsidRPr="00261B7A">
        <w:t>Overview of research and improvements in the Agricultural soils category</w:t>
      </w:r>
    </w:p>
    <w:p w14:paraId="40334734" w14:textId="77777777" w:rsidR="00994F64" w:rsidRPr="00261B7A" w:rsidRDefault="00994F64" w:rsidP="00994F64">
      <w:pPr>
        <w:pStyle w:val="BodyText"/>
        <w:spacing w:before="100" w:after="100"/>
      </w:pPr>
      <w:r w:rsidRPr="00261B7A">
        <w:t>Considerable research effort has gone into establishing New Zealand-specific emission factors for emissions from synthetic fertiliser application (EF</w:t>
      </w:r>
      <w:r w:rsidRPr="00261B7A">
        <w:rPr>
          <w:vertAlign w:val="subscript"/>
        </w:rPr>
        <w:t>1</w:t>
      </w:r>
      <w:r w:rsidRPr="00261B7A">
        <w:t>) and emissions from manure on pasture from grazing livestock (EF</w:t>
      </w:r>
      <w:r w:rsidRPr="00261B7A">
        <w:rPr>
          <w:vertAlign w:val="subscript"/>
        </w:rPr>
        <w:t>3,PRP</w:t>
      </w:r>
      <w:r w:rsidRPr="00261B7A">
        <w:t xml:space="preserve">). In New Zealand, most livestock waste is excreted directly onto pasture during grazing (see table 5.3.2). </w:t>
      </w:r>
    </w:p>
    <w:p w14:paraId="0A3F6205" w14:textId="77777777" w:rsidR="00994F64" w:rsidRPr="00261B7A" w:rsidRDefault="00994F64" w:rsidP="00994F64">
      <w:pPr>
        <w:pStyle w:val="BodyText"/>
        <w:spacing w:before="100" w:after="100"/>
      </w:pPr>
      <w:r w:rsidRPr="00261B7A">
        <w:t>Recently, direct N</w:t>
      </w:r>
      <w:r w:rsidRPr="00261B7A">
        <w:rPr>
          <w:vertAlign w:val="subscript"/>
        </w:rPr>
        <w:t>2</w:t>
      </w:r>
      <w:r w:rsidRPr="00261B7A">
        <w:t xml:space="preserve">O emission factors for dung and urine have been separated based on livestock type (for </w:t>
      </w:r>
      <w:r w:rsidRPr="00261B7A">
        <w:rPr>
          <w:i/>
          <w:iCs/>
        </w:rPr>
        <w:t>Dairy cattle</w:t>
      </w:r>
      <w:r w:rsidRPr="00261B7A">
        <w:t xml:space="preserve">, </w:t>
      </w:r>
      <w:r w:rsidRPr="00261B7A">
        <w:rPr>
          <w:i/>
          <w:iCs/>
        </w:rPr>
        <w:t>Non-dairy</w:t>
      </w:r>
      <w:r w:rsidRPr="00261B7A">
        <w:t xml:space="preserve"> (beef) </w:t>
      </w:r>
      <w:r w:rsidRPr="00261B7A">
        <w:rPr>
          <w:i/>
          <w:iCs/>
        </w:rPr>
        <w:t>cattle</w:t>
      </w:r>
      <w:r w:rsidRPr="00261B7A">
        <w:t xml:space="preserve">, </w:t>
      </w:r>
      <w:r w:rsidRPr="00261B7A">
        <w:rPr>
          <w:i/>
          <w:iCs/>
        </w:rPr>
        <w:t>Sheep</w:t>
      </w:r>
      <w:r w:rsidRPr="00261B7A">
        <w:t xml:space="preserve"> and </w:t>
      </w:r>
      <w:r w:rsidRPr="00261B7A">
        <w:rPr>
          <w:i/>
          <w:iCs/>
        </w:rPr>
        <w:t>Deer</w:t>
      </w:r>
      <w:r w:rsidRPr="00261B7A">
        <w:t>) and hill slope category based on research by Saggar et al. (2015) and van der Weerden et al. (2019, 2020) (see table 5.5.3). A ‘nutrient transfer model’ developed by Saggar et al. (2015) is used to calculate the amount of dung and urine deposited onto different hill slope categories. Around 79 per cent of sloped land on sheep, beef and deer farms is classed as medium (12–24 degrees) or steep (greater than 24 degrees) sloped land (see annex 3, figure A3.1.3).</w:t>
      </w:r>
    </w:p>
    <w:p w14:paraId="3CA02246" w14:textId="77777777" w:rsidR="00994F64" w:rsidRPr="00261B7A" w:rsidRDefault="00994F64" w:rsidP="00994F64">
      <w:pPr>
        <w:pStyle w:val="BodyText"/>
      </w:pPr>
      <w:r w:rsidRPr="00261B7A">
        <w:t xml:space="preserve">For minor livestock categories, such as </w:t>
      </w:r>
      <w:r w:rsidRPr="00261B7A">
        <w:rPr>
          <w:i/>
          <w:iCs/>
        </w:rPr>
        <w:t>Horses</w:t>
      </w:r>
      <w:r w:rsidRPr="00261B7A">
        <w:t xml:space="preserve">, </w:t>
      </w:r>
      <w:r w:rsidRPr="00261B7A">
        <w:rPr>
          <w:i/>
          <w:iCs/>
        </w:rPr>
        <w:t>Llamas and</w:t>
      </w:r>
      <w:r w:rsidRPr="00261B7A">
        <w:t xml:space="preserve"> </w:t>
      </w:r>
      <w:r w:rsidRPr="00261B7A">
        <w:rPr>
          <w:i/>
          <w:iCs/>
        </w:rPr>
        <w:t>alpacas</w:t>
      </w:r>
      <w:r w:rsidRPr="00261B7A">
        <w:t>,</w:t>
      </w:r>
      <w:r w:rsidRPr="00261B7A">
        <w:rPr>
          <w:i/>
          <w:iCs/>
        </w:rPr>
        <w:t xml:space="preserve"> Poultry</w:t>
      </w:r>
      <w:r w:rsidRPr="00261B7A">
        <w:t>,</w:t>
      </w:r>
      <w:r w:rsidRPr="00261B7A">
        <w:rPr>
          <w:i/>
          <w:iCs/>
        </w:rPr>
        <w:t xml:space="preserve"> Swine</w:t>
      </w:r>
      <w:r w:rsidRPr="00261B7A">
        <w:t>,</w:t>
      </w:r>
      <w:r w:rsidRPr="00261B7A">
        <w:rPr>
          <w:i/>
          <w:iCs/>
        </w:rPr>
        <w:t xml:space="preserve"> Goats</w:t>
      </w:r>
      <w:r w:rsidRPr="00261B7A">
        <w:t>, and</w:t>
      </w:r>
      <w:r w:rsidRPr="00261B7A">
        <w:rPr>
          <w:i/>
          <w:iCs/>
        </w:rPr>
        <w:t xml:space="preserve"> Mules and asses</w:t>
      </w:r>
      <w:r w:rsidRPr="00261B7A">
        <w:t>, New Zealand uses IPCC default emission factors and methodology. Research conducted in New Zealand confirmed that the IPCC default emission factors and methodology for direct N</w:t>
      </w:r>
      <w:r w:rsidRPr="00261B7A">
        <w:rPr>
          <w:vertAlign w:val="subscript"/>
        </w:rPr>
        <w:t>2</w:t>
      </w:r>
      <w:r w:rsidRPr="00261B7A">
        <w:t>O emissions from manure deposited onto soil (EF</w:t>
      </w:r>
      <w:r w:rsidRPr="00261B7A">
        <w:rPr>
          <w:vertAlign w:val="subscript"/>
        </w:rPr>
        <w:t>3,PRP-MINOR</w:t>
      </w:r>
      <w:r w:rsidRPr="00261B7A">
        <w:t>) are appropriate for New Zealand conditions (Carran et al., 1995; de Klein et al., 2003; Muller et al., 1995).</w:t>
      </w:r>
    </w:p>
    <w:p w14:paraId="664FA3B4" w14:textId="77777777" w:rsidR="00994F64" w:rsidRPr="00261B7A" w:rsidRDefault="00994F64" w:rsidP="00994F64">
      <w:pPr>
        <w:pStyle w:val="BodyText"/>
      </w:pPr>
      <w:r w:rsidRPr="00261B7A">
        <w:t xml:space="preserve">New Zealand uses country-specific emission factors for urea fertiliser (0.0059) and dairy cattle effluent manure (0.0025) applied to soils (van der Weerden et al., 2016a and 2016b). The IPCC default value of 0.01 is used for other nitrogen inputs including synthetic nitrogen fertiliser (excluding urea), animal manure from minor livestock species applied to soils, and crop residues. This emission factor of 0.01 has been verified as suitable for New Zealand conditions by Kelliher and de Klein (unpublished). </w:t>
      </w:r>
    </w:p>
    <w:p w14:paraId="18482D26" w14:textId="77777777" w:rsidR="00994F64" w:rsidRPr="00261B7A" w:rsidRDefault="00994F64" w:rsidP="00994F64">
      <w:pPr>
        <w:pStyle w:val="BodyText"/>
      </w:pPr>
      <w:r w:rsidRPr="00261B7A">
        <w:t>The emission factor for indirect N</w:t>
      </w:r>
      <w:r w:rsidRPr="00261B7A">
        <w:rPr>
          <w:vertAlign w:val="subscript"/>
        </w:rPr>
        <w:t>2</w:t>
      </w:r>
      <w:r w:rsidRPr="00261B7A">
        <w:t>O emissions from leaching and runoff (EF</w:t>
      </w:r>
      <w:r w:rsidRPr="00261B7A">
        <w:rPr>
          <w:vertAlign w:val="subscript"/>
        </w:rPr>
        <w:t>5</w:t>
      </w:r>
      <w:r w:rsidRPr="00261B7A">
        <w:t xml:space="preserve">) for rivers, lakes and estuaries has also been reviewed (Clough and Kelliher, unpublished). The review concluded that further research is required to develop a country-specific value, and that the IPCC (2006) default emission factor (0.0075) is appropriate for New Zealand in the meantime. </w:t>
      </w:r>
    </w:p>
    <w:p w14:paraId="23F8CED7" w14:textId="77777777" w:rsidR="00994F64" w:rsidRPr="00261B7A" w:rsidRDefault="00994F64" w:rsidP="00994F64">
      <w:pPr>
        <w:pStyle w:val="BodyText"/>
      </w:pPr>
      <w:r w:rsidRPr="00261B7A">
        <w:t>In addition to these coun</w:t>
      </w:r>
      <w:r w:rsidRPr="00261B7A">
        <w:rPr>
          <w:spacing w:val="-2"/>
        </w:rPr>
        <w:t xml:space="preserve">try-specific emission factors, New Zealand has developed country-specific parameters for volatilisation, leaching, and nitrogen input from crop residue burning and pasture renewal (see table 5.5.4). New Zealand has also incorporated country-specific emission factors and country-specific parameters </w:t>
      </w:r>
      <w:r w:rsidRPr="00261B7A">
        <w:t xml:space="preserve">for calculating emissions from the use of the following mitigation technologies </w:t>
      </w:r>
      <w:r w:rsidRPr="00261B7A">
        <w:rPr>
          <w:spacing w:val="-2"/>
        </w:rPr>
        <w:t>(see table 5.5.5)</w:t>
      </w:r>
      <w:r w:rsidRPr="00261B7A">
        <w:t>:</w:t>
      </w:r>
    </w:p>
    <w:p w14:paraId="1B23E540" w14:textId="77777777" w:rsidR="00994F64" w:rsidRPr="00261B7A" w:rsidRDefault="00994F64" w:rsidP="00294EC5">
      <w:pPr>
        <w:pStyle w:val="Bullet"/>
        <w:numPr>
          <w:ilvl w:val="0"/>
          <w:numId w:val="24"/>
        </w:numPr>
      </w:pPr>
      <w:r w:rsidRPr="00261B7A">
        <w:t xml:space="preserve">urease inhibitors such as N-butyl thiophosphoric triamide </w:t>
      </w:r>
    </w:p>
    <w:p w14:paraId="4B1E853E" w14:textId="77777777" w:rsidR="00994F64" w:rsidRPr="00261B7A" w:rsidRDefault="00994F64" w:rsidP="00294EC5">
      <w:pPr>
        <w:pStyle w:val="Bullet"/>
        <w:numPr>
          <w:ilvl w:val="0"/>
          <w:numId w:val="24"/>
        </w:numPr>
        <w:rPr>
          <w:spacing w:val="-2"/>
        </w:rPr>
      </w:pPr>
      <w:r w:rsidRPr="00261B7A">
        <w:t xml:space="preserve">dicyandiamide (DCD), a nitrification inhibitor. </w:t>
      </w:r>
    </w:p>
    <w:p w14:paraId="6CEA6FD1" w14:textId="77777777" w:rsidR="00994F64" w:rsidRPr="00261B7A" w:rsidRDefault="00994F64" w:rsidP="00994F64">
      <w:pPr>
        <w:pStyle w:val="Table"/>
        <w:rPr>
          <w:rFonts w:cs="Calibri"/>
        </w:rPr>
      </w:pPr>
      <w:bookmarkStart w:id="1027" w:name="_Toc441830880"/>
      <w:bookmarkStart w:id="1028" w:name="_Toc451176094"/>
      <w:bookmarkStart w:id="1029" w:name="_Toc481751522"/>
      <w:bookmarkStart w:id="1030" w:name="_Toc507158610"/>
      <w:bookmarkStart w:id="1031" w:name="_Toc511116744"/>
      <w:bookmarkStart w:id="1032" w:name="_Toc5269486"/>
      <w:bookmarkStart w:id="1033" w:name="_Toc32570928"/>
      <w:bookmarkStart w:id="1034" w:name="_Toc36224563"/>
      <w:bookmarkStart w:id="1035" w:name="_Toc68786448"/>
      <w:bookmarkStart w:id="1036" w:name="_Toc95574081"/>
      <w:bookmarkStart w:id="1037" w:name="_Toc127458268"/>
      <w:bookmarkStart w:id="1038" w:name="_Toc131591364"/>
      <w:r w:rsidRPr="00261B7A">
        <w:rPr>
          <w:rFonts w:cs="Calibri"/>
        </w:rPr>
        <w:t>Table 5.5.2</w:t>
      </w:r>
      <w:r w:rsidRPr="00261B7A">
        <w:rPr>
          <w:rFonts w:cs="Calibri"/>
        </w:rPr>
        <w:tab/>
        <w:t>Nitrous oxide (N</w:t>
      </w:r>
      <w:r w:rsidRPr="00261B7A">
        <w:rPr>
          <w:rFonts w:cs="Calibri"/>
          <w:vertAlign w:val="subscript"/>
        </w:rPr>
        <w:t>2</w:t>
      </w:r>
      <w:r w:rsidRPr="00261B7A">
        <w:rPr>
          <w:rFonts w:cs="Calibri"/>
        </w:rPr>
        <w:t xml:space="preserve">O) emission factors for </w:t>
      </w:r>
      <w:r w:rsidRPr="00261B7A">
        <w:rPr>
          <w:rFonts w:cs="Calibri"/>
          <w:i/>
          <w:iCs/>
        </w:rPr>
        <w:t>Agricultural soils</w:t>
      </w:r>
      <w:r w:rsidRPr="00261B7A">
        <w:rPr>
          <w:rFonts w:cs="Calibri"/>
        </w:rPr>
        <w:t xml:space="preserve"> in New Zealand</w:t>
      </w:r>
      <w:bookmarkEnd w:id="1027"/>
      <w:bookmarkEnd w:id="1028"/>
      <w:bookmarkEnd w:id="1029"/>
      <w:bookmarkEnd w:id="1030"/>
      <w:bookmarkEnd w:id="1031"/>
      <w:bookmarkEnd w:id="1032"/>
      <w:r w:rsidRPr="00261B7A">
        <w:rPr>
          <w:rFonts w:cs="Calibri"/>
        </w:rPr>
        <w:t>,</w:t>
      </w:r>
      <w:r w:rsidRPr="00261B7A">
        <w:rPr>
          <w:rFonts w:cs="Calibri"/>
        </w:rPr>
        <w:br/>
        <w:t>excluding EF</w:t>
      </w:r>
      <w:r w:rsidRPr="00261B7A">
        <w:rPr>
          <w:rFonts w:cs="Calibri"/>
          <w:vertAlign w:val="subscript"/>
        </w:rPr>
        <w:t>3,PRP</w:t>
      </w:r>
      <w:r w:rsidRPr="00261B7A">
        <w:rPr>
          <w:rFonts w:cs="Calibri"/>
          <w:vertAlign w:val="subscript"/>
        </w:rPr>
        <w:noBreakHyphen/>
        <w:t xml:space="preserve"> URINE</w:t>
      </w:r>
      <w:r w:rsidRPr="00261B7A">
        <w:rPr>
          <w:rFonts w:cs="Calibri"/>
        </w:rPr>
        <w:t xml:space="preserve"> for cattle, sheep and deer</w:t>
      </w:r>
      <w:bookmarkEnd w:id="1033"/>
      <w:bookmarkEnd w:id="1034"/>
      <w:bookmarkEnd w:id="1035"/>
      <w:bookmarkEnd w:id="1036"/>
      <w:bookmarkEnd w:id="1037"/>
      <w:bookmarkEnd w:id="1038"/>
    </w:p>
    <w:tbl>
      <w:tblPr>
        <w:tblW w:w="8505" w:type="dxa"/>
        <w:tblBorders>
          <w:top w:val="single" w:sz="4" w:space="0" w:color="365F91"/>
          <w:bottom w:val="single" w:sz="4" w:space="0" w:color="365F91"/>
          <w:insideH w:val="single" w:sz="4" w:space="0" w:color="365F91"/>
        </w:tblBorders>
        <w:tblCellMar>
          <w:left w:w="85" w:type="dxa"/>
          <w:right w:w="85" w:type="dxa"/>
        </w:tblCellMar>
        <w:tblLook w:val="01E0" w:firstRow="1" w:lastRow="1" w:firstColumn="1" w:lastColumn="1" w:noHBand="0" w:noVBand="0"/>
      </w:tblPr>
      <w:tblGrid>
        <w:gridCol w:w="3234"/>
        <w:gridCol w:w="987"/>
        <w:gridCol w:w="708"/>
        <w:gridCol w:w="1407"/>
        <w:gridCol w:w="2169"/>
      </w:tblGrid>
      <w:tr w:rsidR="00994F64" w:rsidRPr="00261B7A" w14:paraId="089B2944" w14:textId="77777777" w:rsidTr="00501B0F">
        <w:trPr>
          <w:tblHeader/>
        </w:trPr>
        <w:tc>
          <w:tcPr>
            <w:tcW w:w="3261" w:type="dxa"/>
            <w:tcBorders>
              <w:top w:val="single" w:sz="4" w:space="0" w:color="1B556B" w:themeColor="text2"/>
              <w:bottom w:val="single" w:sz="4" w:space="0" w:color="1B556B" w:themeColor="text2"/>
            </w:tcBorders>
            <w:shd w:val="clear" w:color="auto" w:fill="1B556B"/>
            <w:vAlign w:val="bottom"/>
          </w:tcPr>
          <w:p w14:paraId="78D08C06" w14:textId="77777777" w:rsidR="00994F64" w:rsidRPr="00261B7A" w:rsidRDefault="00994F64" w:rsidP="00501B0F">
            <w:pPr>
              <w:pStyle w:val="TableTextBold"/>
              <w:keepNext/>
              <w:rPr>
                <w:noProof w:val="0"/>
                <w:color w:val="FFFFFF" w:themeColor="background1"/>
                <w:szCs w:val="16"/>
              </w:rPr>
            </w:pPr>
            <w:r w:rsidRPr="00261B7A">
              <w:rPr>
                <w:noProof w:val="0"/>
                <w:color w:val="FFFFFF" w:themeColor="background1"/>
                <w:szCs w:val="16"/>
              </w:rPr>
              <w:t>Category</w:t>
            </w:r>
          </w:p>
        </w:tc>
        <w:tc>
          <w:tcPr>
            <w:tcW w:w="3118" w:type="dxa"/>
            <w:gridSpan w:val="3"/>
            <w:tcBorders>
              <w:top w:val="single" w:sz="4" w:space="0" w:color="1B556B" w:themeColor="text2"/>
              <w:bottom w:val="single" w:sz="4" w:space="0" w:color="1B556B" w:themeColor="text2"/>
            </w:tcBorders>
            <w:shd w:val="clear" w:color="auto" w:fill="1B556B"/>
            <w:vAlign w:val="bottom"/>
          </w:tcPr>
          <w:p w14:paraId="7398BFFB" w14:textId="77777777" w:rsidR="00994F64" w:rsidRPr="00261B7A" w:rsidRDefault="00994F64" w:rsidP="00501B0F">
            <w:pPr>
              <w:pStyle w:val="TableTextBold"/>
              <w:keepNext/>
              <w:jc w:val="center"/>
              <w:rPr>
                <w:noProof w:val="0"/>
                <w:color w:val="FFFFFF" w:themeColor="background1"/>
                <w:szCs w:val="16"/>
              </w:rPr>
            </w:pPr>
            <w:r w:rsidRPr="00261B7A">
              <w:rPr>
                <w:noProof w:val="0"/>
                <w:color w:val="FFFFFF" w:themeColor="background1"/>
                <w:szCs w:val="16"/>
              </w:rPr>
              <w:t>Emission factor</w:t>
            </w:r>
          </w:p>
        </w:tc>
        <w:tc>
          <w:tcPr>
            <w:tcW w:w="2183" w:type="dxa"/>
            <w:tcBorders>
              <w:top w:val="single" w:sz="4" w:space="0" w:color="1B556B" w:themeColor="text2"/>
              <w:bottom w:val="single" w:sz="4" w:space="0" w:color="1B556B" w:themeColor="text2"/>
            </w:tcBorders>
            <w:shd w:val="clear" w:color="auto" w:fill="1B556B"/>
            <w:vAlign w:val="bottom"/>
          </w:tcPr>
          <w:p w14:paraId="4609FF7D" w14:textId="77777777" w:rsidR="00994F64" w:rsidRPr="00261B7A" w:rsidRDefault="00994F64" w:rsidP="00501B0F">
            <w:pPr>
              <w:pStyle w:val="TableTextBold"/>
              <w:keepNext/>
              <w:jc w:val="center"/>
              <w:rPr>
                <w:noProof w:val="0"/>
                <w:color w:val="FFFFFF" w:themeColor="background1"/>
                <w:szCs w:val="16"/>
              </w:rPr>
            </w:pPr>
            <w:r w:rsidRPr="00261B7A">
              <w:rPr>
                <w:noProof w:val="0"/>
                <w:color w:val="FFFFFF" w:themeColor="background1"/>
                <w:szCs w:val="16"/>
              </w:rPr>
              <w:t>Source</w:t>
            </w:r>
          </w:p>
        </w:tc>
      </w:tr>
      <w:tr w:rsidR="00994F64" w:rsidRPr="00261B7A" w14:paraId="40F83CFE" w14:textId="77777777" w:rsidTr="00501B0F">
        <w:tc>
          <w:tcPr>
            <w:tcW w:w="0" w:type="auto"/>
            <w:gridSpan w:val="5"/>
            <w:tcBorders>
              <w:top w:val="single" w:sz="4" w:space="0" w:color="1B556B" w:themeColor="text2"/>
              <w:bottom w:val="single" w:sz="4" w:space="0" w:color="1B556B" w:themeColor="text2"/>
            </w:tcBorders>
          </w:tcPr>
          <w:p w14:paraId="438ADACA" w14:textId="77777777" w:rsidR="00994F64" w:rsidRPr="00261B7A" w:rsidRDefault="00994F64" w:rsidP="00501B0F">
            <w:pPr>
              <w:pStyle w:val="TableText"/>
              <w:keepNext/>
              <w:spacing w:before="50" w:after="50"/>
              <w:rPr>
                <w:rFonts w:cs="Calibri"/>
                <w:b/>
                <w:bCs/>
                <w:szCs w:val="16"/>
              </w:rPr>
            </w:pPr>
            <w:r w:rsidRPr="00261B7A">
              <w:rPr>
                <w:rFonts w:cs="Calibri"/>
                <w:b/>
                <w:bCs/>
                <w:szCs w:val="16"/>
              </w:rPr>
              <w:t>3.D.1 Direct N</w:t>
            </w:r>
            <w:r w:rsidRPr="00261B7A">
              <w:rPr>
                <w:rFonts w:cs="Calibri"/>
                <w:b/>
                <w:bCs/>
                <w:szCs w:val="16"/>
                <w:vertAlign w:val="subscript"/>
              </w:rPr>
              <w:t>2</w:t>
            </w:r>
            <w:r w:rsidRPr="00261B7A">
              <w:rPr>
                <w:rFonts w:cs="Calibri"/>
                <w:b/>
                <w:bCs/>
                <w:szCs w:val="16"/>
              </w:rPr>
              <w:t>O emissions</w:t>
            </w:r>
          </w:p>
        </w:tc>
      </w:tr>
      <w:tr w:rsidR="00994F64" w:rsidRPr="00261B7A" w14:paraId="14CB9D1D" w14:textId="77777777" w:rsidTr="00501B0F">
        <w:tc>
          <w:tcPr>
            <w:tcW w:w="3261" w:type="dxa"/>
            <w:tcBorders>
              <w:top w:val="single" w:sz="4" w:space="0" w:color="1B556B" w:themeColor="text2"/>
              <w:bottom w:val="single" w:sz="4" w:space="0" w:color="1B556B" w:themeColor="text2"/>
            </w:tcBorders>
          </w:tcPr>
          <w:p w14:paraId="0E48AC4D" w14:textId="77777777" w:rsidR="00994F64" w:rsidRPr="00261B7A" w:rsidRDefault="00994F64" w:rsidP="00501B0F">
            <w:pPr>
              <w:pStyle w:val="TableText"/>
              <w:spacing w:before="50" w:after="50"/>
              <w:rPr>
                <w:rFonts w:cs="Calibri"/>
                <w:szCs w:val="16"/>
              </w:rPr>
            </w:pPr>
            <w:r w:rsidRPr="00261B7A">
              <w:rPr>
                <w:rFonts w:cs="Calibri"/>
                <w:szCs w:val="16"/>
              </w:rPr>
              <w:t>Synthetic nitrogen fertiliser (urea)</w:t>
            </w:r>
          </w:p>
        </w:tc>
        <w:tc>
          <w:tcPr>
            <w:tcW w:w="992" w:type="dxa"/>
            <w:tcBorders>
              <w:top w:val="single" w:sz="4" w:space="0" w:color="1B556B" w:themeColor="text2"/>
              <w:bottom w:val="single" w:sz="4" w:space="0" w:color="1B556B" w:themeColor="text2"/>
            </w:tcBorders>
          </w:tcPr>
          <w:p w14:paraId="1506B927" w14:textId="77777777" w:rsidR="00994F64" w:rsidRPr="00261B7A" w:rsidRDefault="00994F64" w:rsidP="00501B0F">
            <w:pPr>
              <w:pStyle w:val="TableText"/>
              <w:keepNext/>
              <w:spacing w:before="50" w:after="50"/>
              <w:rPr>
                <w:rFonts w:cs="Calibri"/>
                <w:szCs w:val="16"/>
              </w:rPr>
            </w:pPr>
            <w:r w:rsidRPr="00261B7A">
              <w:rPr>
                <w:rFonts w:cs="Calibri"/>
                <w:szCs w:val="16"/>
              </w:rPr>
              <w:t>EF</w:t>
            </w:r>
            <w:r w:rsidRPr="00261B7A">
              <w:rPr>
                <w:rFonts w:cs="Calibri"/>
                <w:szCs w:val="16"/>
                <w:vertAlign w:val="subscript"/>
              </w:rPr>
              <w:t>1-UREA</w:t>
            </w:r>
          </w:p>
        </w:tc>
        <w:tc>
          <w:tcPr>
            <w:tcW w:w="709" w:type="dxa"/>
            <w:tcBorders>
              <w:top w:val="single" w:sz="4" w:space="0" w:color="1B556B" w:themeColor="text2"/>
              <w:bottom w:val="single" w:sz="4" w:space="0" w:color="1B556B" w:themeColor="text2"/>
            </w:tcBorders>
          </w:tcPr>
          <w:p w14:paraId="3DF9C2F8" w14:textId="77777777" w:rsidR="00994F64" w:rsidRPr="00261B7A" w:rsidRDefault="00994F64" w:rsidP="00501B0F">
            <w:pPr>
              <w:pStyle w:val="TableText"/>
              <w:keepNext/>
              <w:spacing w:before="50" w:after="50"/>
              <w:rPr>
                <w:rFonts w:cs="Calibri"/>
                <w:szCs w:val="16"/>
              </w:rPr>
            </w:pPr>
            <w:r w:rsidRPr="00261B7A">
              <w:rPr>
                <w:rFonts w:cs="Calibri"/>
                <w:szCs w:val="16"/>
              </w:rPr>
              <w:t>0.0059</w:t>
            </w:r>
          </w:p>
        </w:tc>
        <w:tc>
          <w:tcPr>
            <w:tcW w:w="1417" w:type="dxa"/>
            <w:tcBorders>
              <w:top w:val="single" w:sz="4" w:space="0" w:color="1B556B" w:themeColor="text2"/>
              <w:bottom w:val="single" w:sz="4" w:space="0" w:color="1B556B" w:themeColor="text2"/>
            </w:tcBorders>
            <w:tcMar>
              <w:right w:w="28" w:type="dxa"/>
            </w:tcMar>
          </w:tcPr>
          <w:p w14:paraId="31B9679B" w14:textId="77777777" w:rsidR="00994F64" w:rsidRPr="00261B7A" w:rsidRDefault="00994F64" w:rsidP="00501B0F">
            <w:pPr>
              <w:pStyle w:val="TableText"/>
              <w:keepNext/>
              <w:spacing w:before="50" w:after="50"/>
              <w:rPr>
                <w:rFonts w:cs="Calibri"/>
                <w:szCs w:val="16"/>
              </w:rPr>
            </w:pPr>
            <w:r w:rsidRPr="00261B7A">
              <w:rPr>
                <w:rFonts w:cs="Calibri"/>
                <w:szCs w:val="16"/>
              </w:rPr>
              <w:t>kg N</w:t>
            </w:r>
            <w:r w:rsidRPr="00261B7A">
              <w:rPr>
                <w:rFonts w:cs="Calibri"/>
                <w:szCs w:val="16"/>
                <w:vertAlign w:val="subscript"/>
              </w:rPr>
              <w:t>2</w:t>
            </w:r>
            <w:r w:rsidRPr="00261B7A">
              <w:rPr>
                <w:rFonts w:cs="Calibri"/>
                <w:szCs w:val="16"/>
              </w:rPr>
              <w:t>O-N/kg N</w:t>
            </w:r>
          </w:p>
        </w:tc>
        <w:tc>
          <w:tcPr>
            <w:tcW w:w="2183" w:type="dxa"/>
            <w:tcBorders>
              <w:top w:val="single" w:sz="4" w:space="0" w:color="1B556B" w:themeColor="text2"/>
              <w:bottom w:val="single" w:sz="4" w:space="0" w:color="1B556B" w:themeColor="text2"/>
            </w:tcBorders>
          </w:tcPr>
          <w:p w14:paraId="30C87209" w14:textId="77777777" w:rsidR="00994F64" w:rsidRPr="00261B7A" w:rsidRDefault="00994F64" w:rsidP="00501B0F">
            <w:pPr>
              <w:pStyle w:val="TableText"/>
              <w:keepNext/>
              <w:spacing w:before="50" w:after="50"/>
              <w:rPr>
                <w:rFonts w:cs="Calibri"/>
                <w:szCs w:val="16"/>
              </w:rPr>
            </w:pPr>
            <w:r w:rsidRPr="00261B7A">
              <w:rPr>
                <w:rFonts w:cs="Calibri"/>
                <w:szCs w:val="16"/>
              </w:rPr>
              <w:t>van der Weerden et al. (2016a, 2016b)</w:t>
            </w:r>
          </w:p>
        </w:tc>
      </w:tr>
      <w:tr w:rsidR="00994F64" w:rsidRPr="00261B7A" w14:paraId="12E81FFC" w14:textId="77777777" w:rsidTr="00501B0F">
        <w:tc>
          <w:tcPr>
            <w:tcW w:w="3261" w:type="dxa"/>
            <w:tcBorders>
              <w:top w:val="single" w:sz="4" w:space="0" w:color="1B556B" w:themeColor="text2"/>
              <w:bottom w:val="single" w:sz="4" w:space="0" w:color="1B556B" w:themeColor="text2"/>
            </w:tcBorders>
          </w:tcPr>
          <w:p w14:paraId="62570CD8" w14:textId="77777777" w:rsidR="00994F64" w:rsidRPr="00261B7A" w:rsidRDefault="00994F64" w:rsidP="00501B0F">
            <w:pPr>
              <w:pStyle w:val="TableText"/>
              <w:spacing w:before="50" w:after="50"/>
              <w:rPr>
                <w:rFonts w:cs="Calibri"/>
                <w:szCs w:val="16"/>
              </w:rPr>
            </w:pPr>
            <w:r w:rsidRPr="00261B7A">
              <w:rPr>
                <w:rFonts w:cs="Calibri"/>
                <w:szCs w:val="16"/>
              </w:rPr>
              <w:t>Organic fertiliser (dairy cattle manure)</w:t>
            </w:r>
          </w:p>
        </w:tc>
        <w:tc>
          <w:tcPr>
            <w:tcW w:w="992" w:type="dxa"/>
            <w:tcBorders>
              <w:top w:val="single" w:sz="4" w:space="0" w:color="1B556B" w:themeColor="text2"/>
              <w:bottom w:val="single" w:sz="4" w:space="0" w:color="1B556B" w:themeColor="text2"/>
            </w:tcBorders>
          </w:tcPr>
          <w:p w14:paraId="409493DC" w14:textId="77777777" w:rsidR="00994F64" w:rsidRPr="00261B7A" w:rsidRDefault="00994F64" w:rsidP="00501B0F">
            <w:pPr>
              <w:pStyle w:val="TableText"/>
              <w:keepNext/>
              <w:spacing w:before="50" w:after="50"/>
              <w:rPr>
                <w:rFonts w:cs="Calibri"/>
                <w:szCs w:val="16"/>
              </w:rPr>
            </w:pPr>
            <w:r w:rsidRPr="00261B7A">
              <w:rPr>
                <w:rFonts w:cs="Calibri"/>
                <w:szCs w:val="16"/>
              </w:rPr>
              <w:t>EF</w:t>
            </w:r>
            <w:r w:rsidRPr="00261B7A">
              <w:rPr>
                <w:rFonts w:cs="Calibri"/>
                <w:szCs w:val="16"/>
                <w:vertAlign w:val="subscript"/>
              </w:rPr>
              <w:t>1-DAIRY</w:t>
            </w:r>
          </w:p>
        </w:tc>
        <w:tc>
          <w:tcPr>
            <w:tcW w:w="709" w:type="dxa"/>
            <w:tcBorders>
              <w:top w:val="single" w:sz="4" w:space="0" w:color="1B556B" w:themeColor="text2"/>
              <w:bottom w:val="single" w:sz="4" w:space="0" w:color="1B556B" w:themeColor="text2"/>
            </w:tcBorders>
          </w:tcPr>
          <w:p w14:paraId="1EF92D26" w14:textId="77777777" w:rsidR="00994F64" w:rsidRPr="00261B7A" w:rsidRDefault="00994F64" w:rsidP="00501B0F">
            <w:pPr>
              <w:pStyle w:val="TableText"/>
              <w:keepNext/>
              <w:spacing w:before="50" w:after="50"/>
              <w:rPr>
                <w:rFonts w:cs="Calibri"/>
                <w:szCs w:val="16"/>
              </w:rPr>
            </w:pPr>
            <w:r w:rsidRPr="00261B7A">
              <w:rPr>
                <w:rFonts w:cs="Calibri"/>
                <w:szCs w:val="16"/>
              </w:rPr>
              <w:t>0.0025</w:t>
            </w:r>
          </w:p>
        </w:tc>
        <w:tc>
          <w:tcPr>
            <w:tcW w:w="1417" w:type="dxa"/>
            <w:tcBorders>
              <w:top w:val="single" w:sz="4" w:space="0" w:color="1B556B" w:themeColor="text2"/>
              <w:bottom w:val="single" w:sz="4" w:space="0" w:color="1B556B" w:themeColor="text2"/>
            </w:tcBorders>
            <w:tcMar>
              <w:right w:w="28" w:type="dxa"/>
            </w:tcMar>
          </w:tcPr>
          <w:p w14:paraId="5845D68E" w14:textId="77777777" w:rsidR="00994F64" w:rsidRPr="00261B7A" w:rsidRDefault="00994F64" w:rsidP="00501B0F">
            <w:pPr>
              <w:pStyle w:val="TableText"/>
              <w:keepNext/>
              <w:spacing w:before="50" w:after="50"/>
              <w:rPr>
                <w:rFonts w:cs="Calibri"/>
                <w:szCs w:val="16"/>
              </w:rPr>
            </w:pPr>
            <w:r w:rsidRPr="00261B7A">
              <w:rPr>
                <w:rFonts w:cs="Calibri"/>
                <w:szCs w:val="16"/>
              </w:rPr>
              <w:t>kg N</w:t>
            </w:r>
            <w:r w:rsidRPr="00261B7A">
              <w:rPr>
                <w:rFonts w:cs="Calibri"/>
                <w:szCs w:val="16"/>
                <w:vertAlign w:val="subscript"/>
              </w:rPr>
              <w:t>2</w:t>
            </w:r>
            <w:r w:rsidRPr="00261B7A">
              <w:rPr>
                <w:rFonts w:cs="Calibri"/>
                <w:szCs w:val="16"/>
              </w:rPr>
              <w:t>O-N/kg N</w:t>
            </w:r>
          </w:p>
        </w:tc>
        <w:tc>
          <w:tcPr>
            <w:tcW w:w="2183" w:type="dxa"/>
            <w:tcBorders>
              <w:top w:val="single" w:sz="4" w:space="0" w:color="1B556B" w:themeColor="text2"/>
              <w:bottom w:val="single" w:sz="4" w:space="0" w:color="1B556B" w:themeColor="text2"/>
            </w:tcBorders>
          </w:tcPr>
          <w:p w14:paraId="0A44F7EE" w14:textId="77777777" w:rsidR="00994F64" w:rsidRPr="00261B7A" w:rsidRDefault="00994F64" w:rsidP="00501B0F">
            <w:pPr>
              <w:pStyle w:val="TableText"/>
              <w:keepNext/>
              <w:spacing w:before="50" w:after="50"/>
              <w:rPr>
                <w:rFonts w:cs="Calibri"/>
                <w:szCs w:val="16"/>
              </w:rPr>
            </w:pPr>
            <w:r w:rsidRPr="00261B7A">
              <w:rPr>
                <w:rFonts w:cs="Calibri"/>
                <w:szCs w:val="16"/>
              </w:rPr>
              <w:t>van der Weerden et al. (2016a, 2016b)</w:t>
            </w:r>
          </w:p>
        </w:tc>
      </w:tr>
      <w:tr w:rsidR="00994F64" w:rsidRPr="00261B7A" w14:paraId="025B567C" w14:textId="77777777" w:rsidTr="00501B0F">
        <w:tc>
          <w:tcPr>
            <w:tcW w:w="3261" w:type="dxa"/>
            <w:tcBorders>
              <w:top w:val="single" w:sz="4" w:space="0" w:color="1B556B" w:themeColor="text2"/>
              <w:bottom w:val="single" w:sz="4" w:space="0" w:color="1B556B" w:themeColor="text2"/>
            </w:tcBorders>
          </w:tcPr>
          <w:p w14:paraId="6E1FB4B3" w14:textId="77777777" w:rsidR="00994F64" w:rsidRPr="00261B7A" w:rsidRDefault="00994F64" w:rsidP="00501B0F">
            <w:pPr>
              <w:pStyle w:val="TableText"/>
              <w:spacing w:before="50" w:after="50"/>
              <w:rPr>
                <w:rFonts w:cs="Calibri"/>
                <w:szCs w:val="16"/>
              </w:rPr>
            </w:pPr>
            <w:r w:rsidRPr="00261B7A">
              <w:rPr>
                <w:rFonts w:cs="Calibri"/>
                <w:szCs w:val="16"/>
              </w:rPr>
              <w:t xml:space="preserve">Synthetic nitrogen fertiliser (other), organic fertiliser (swine and poultry manure) crop residue, nitrogen loss due to soil organic matter mineralisation, organic soil mineralisation due to cultivation </w:t>
            </w:r>
          </w:p>
        </w:tc>
        <w:tc>
          <w:tcPr>
            <w:tcW w:w="992" w:type="dxa"/>
            <w:tcBorders>
              <w:top w:val="single" w:sz="4" w:space="0" w:color="1B556B" w:themeColor="text2"/>
              <w:bottom w:val="single" w:sz="4" w:space="0" w:color="1B556B" w:themeColor="text2"/>
            </w:tcBorders>
          </w:tcPr>
          <w:p w14:paraId="51643308" w14:textId="77777777" w:rsidR="00994F64" w:rsidRPr="00261B7A" w:rsidRDefault="00994F64" w:rsidP="00501B0F">
            <w:pPr>
              <w:pStyle w:val="TableText"/>
              <w:keepNext/>
              <w:spacing w:before="50" w:after="50"/>
              <w:rPr>
                <w:rFonts w:cs="Calibri"/>
                <w:szCs w:val="16"/>
              </w:rPr>
            </w:pPr>
            <w:r w:rsidRPr="00261B7A">
              <w:rPr>
                <w:rFonts w:cs="Calibri"/>
                <w:szCs w:val="16"/>
              </w:rPr>
              <w:t>EF</w:t>
            </w:r>
            <w:r w:rsidRPr="00261B7A">
              <w:rPr>
                <w:rFonts w:cs="Calibri"/>
                <w:szCs w:val="16"/>
                <w:vertAlign w:val="subscript"/>
              </w:rPr>
              <w:t>1</w:t>
            </w:r>
          </w:p>
        </w:tc>
        <w:tc>
          <w:tcPr>
            <w:tcW w:w="709" w:type="dxa"/>
            <w:tcBorders>
              <w:top w:val="single" w:sz="4" w:space="0" w:color="1B556B" w:themeColor="text2"/>
              <w:bottom w:val="single" w:sz="4" w:space="0" w:color="1B556B" w:themeColor="text2"/>
            </w:tcBorders>
          </w:tcPr>
          <w:p w14:paraId="0C06AB6D" w14:textId="77777777" w:rsidR="00994F64" w:rsidRPr="00261B7A" w:rsidRDefault="00994F64" w:rsidP="00501B0F">
            <w:pPr>
              <w:pStyle w:val="TableText"/>
              <w:keepNext/>
              <w:spacing w:before="50" w:after="50"/>
              <w:rPr>
                <w:rFonts w:cs="Calibri"/>
                <w:szCs w:val="16"/>
              </w:rPr>
            </w:pPr>
            <w:r w:rsidRPr="00261B7A">
              <w:rPr>
                <w:rFonts w:cs="Calibri"/>
                <w:szCs w:val="16"/>
              </w:rPr>
              <w:t xml:space="preserve">0.01 </w:t>
            </w:r>
          </w:p>
        </w:tc>
        <w:tc>
          <w:tcPr>
            <w:tcW w:w="1417" w:type="dxa"/>
            <w:tcBorders>
              <w:top w:val="single" w:sz="4" w:space="0" w:color="1B556B" w:themeColor="text2"/>
              <w:bottom w:val="single" w:sz="4" w:space="0" w:color="1B556B" w:themeColor="text2"/>
            </w:tcBorders>
            <w:tcMar>
              <w:right w:w="28" w:type="dxa"/>
            </w:tcMar>
          </w:tcPr>
          <w:p w14:paraId="76EB2F30" w14:textId="77777777" w:rsidR="00994F64" w:rsidRPr="00261B7A" w:rsidRDefault="00994F64" w:rsidP="00501B0F">
            <w:pPr>
              <w:pStyle w:val="TableText"/>
              <w:keepNext/>
              <w:spacing w:before="50" w:after="50"/>
              <w:rPr>
                <w:rFonts w:cs="Calibri"/>
                <w:szCs w:val="16"/>
              </w:rPr>
            </w:pPr>
            <w:r w:rsidRPr="00261B7A">
              <w:rPr>
                <w:rFonts w:cs="Calibri"/>
                <w:szCs w:val="16"/>
              </w:rPr>
              <w:t>kg N</w:t>
            </w:r>
            <w:r w:rsidRPr="00261B7A">
              <w:rPr>
                <w:rFonts w:cs="Calibri"/>
                <w:szCs w:val="16"/>
                <w:vertAlign w:val="subscript"/>
              </w:rPr>
              <w:t>2</w:t>
            </w:r>
            <w:r w:rsidRPr="00261B7A">
              <w:rPr>
                <w:rFonts w:cs="Calibri"/>
                <w:szCs w:val="16"/>
              </w:rPr>
              <w:t>O-N/kg N</w:t>
            </w:r>
          </w:p>
        </w:tc>
        <w:tc>
          <w:tcPr>
            <w:tcW w:w="2183" w:type="dxa"/>
            <w:tcBorders>
              <w:top w:val="single" w:sz="4" w:space="0" w:color="1B556B" w:themeColor="text2"/>
              <w:bottom w:val="single" w:sz="4" w:space="0" w:color="1B556B" w:themeColor="text2"/>
            </w:tcBorders>
          </w:tcPr>
          <w:p w14:paraId="377E464A" w14:textId="77777777" w:rsidR="00994F64" w:rsidRPr="00261B7A" w:rsidRDefault="00994F64" w:rsidP="00501B0F">
            <w:pPr>
              <w:pStyle w:val="TableText"/>
              <w:keepNext/>
              <w:spacing w:before="50" w:after="50"/>
              <w:rPr>
                <w:rFonts w:cs="Calibri"/>
                <w:szCs w:val="16"/>
              </w:rPr>
            </w:pPr>
            <w:r w:rsidRPr="00261B7A">
              <w:rPr>
                <w:rFonts w:cs="Calibri"/>
                <w:szCs w:val="16"/>
              </w:rPr>
              <w:t>Kelliher and de Klein (unpublished); IPCC (2006, table 11.1)</w:t>
            </w:r>
          </w:p>
        </w:tc>
      </w:tr>
      <w:tr w:rsidR="00994F64" w:rsidRPr="00261B7A" w14:paraId="07030789" w14:textId="77777777" w:rsidTr="00501B0F">
        <w:tc>
          <w:tcPr>
            <w:tcW w:w="3261" w:type="dxa"/>
            <w:tcBorders>
              <w:top w:val="single" w:sz="4" w:space="0" w:color="1B556B" w:themeColor="text2"/>
              <w:bottom w:val="single" w:sz="4" w:space="0" w:color="1B556B" w:themeColor="text2"/>
            </w:tcBorders>
          </w:tcPr>
          <w:p w14:paraId="05117F1C" w14:textId="77777777" w:rsidR="00994F64" w:rsidRPr="00261B7A" w:rsidRDefault="00994F64" w:rsidP="00501B0F">
            <w:pPr>
              <w:pStyle w:val="TableText"/>
              <w:spacing w:before="50" w:after="50"/>
              <w:rPr>
                <w:rFonts w:cs="Calibri"/>
                <w:szCs w:val="16"/>
              </w:rPr>
            </w:pPr>
            <w:r w:rsidRPr="00261B7A">
              <w:rPr>
                <w:rFonts w:cs="Calibri"/>
                <w:szCs w:val="16"/>
              </w:rPr>
              <w:t>Cultivation of organic soils</w:t>
            </w:r>
          </w:p>
        </w:tc>
        <w:tc>
          <w:tcPr>
            <w:tcW w:w="992" w:type="dxa"/>
            <w:tcBorders>
              <w:top w:val="single" w:sz="4" w:space="0" w:color="1B556B" w:themeColor="text2"/>
              <w:bottom w:val="single" w:sz="4" w:space="0" w:color="1B556B" w:themeColor="text2"/>
            </w:tcBorders>
          </w:tcPr>
          <w:p w14:paraId="0B460129" w14:textId="77777777" w:rsidR="00994F64" w:rsidRPr="00261B7A" w:rsidRDefault="00994F64" w:rsidP="00501B0F">
            <w:pPr>
              <w:pStyle w:val="TableText"/>
              <w:spacing w:before="50" w:after="50"/>
              <w:rPr>
                <w:rFonts w:cs="Calibri"/>
                <w:szCs w:val="16"/>
              </w:rPr>
            </w:pPr>
            <w:r w:rsidRPr="00261B7A">
              <w:rPr>
                <w:rFonts w:cs="Calibri"/>
                <w:szCs w:val="16"/>
              </w:rPr>
              <w:t>EF</w:t>
            </w:r>
            <w:r w:rsidRPr="00261B7A">
              <w:rPr>
                <w:rFonts w:cs="Calibri"/>
                <w:szCs w:val="16"/>
                <w:vertAlign w:val="subscript"/>
              </w:rPr>
              <w:t>2</w:t>
            </w:r>
          </w:p>
        </w:tc>
        <w:tc>
          <w:tcPr>
            <w:tcW w:w="709" w:type="dxa"/>
            <w:tcBorders>
              <w:top w:val="single" w:sz="4" w:space="0" w:color="1B556B" w:themeColor="text2"/>
              <w:bottom w:val="single" w:sz="4" w:space="0" w:color="1B556B" w:themeColor="text2"/>
            </w:tcBorders>
          </w:tcPr>
          <w:p w14:paraId="17A73DE8" w14:textId="77777777" w:rsidR="00994F64" w:rsidRPr="00261B7A" w:rsidRDefault="00994F64" w:rsidP="00501B0F">
            <w:pPr>
              <w:pStyle w:val="TableText"/>
              <w:spacing w:before="50" w:after="50"/>
              <w:rPr>
                <w:rFonts w:cs="Calibri"/>
                <w:szCs w:val="16"/>
              </w:rPr>
            </w:pPr>
            <w:r w:rsidRPr="00261B7A">
              <w:rPr>
                <w:rFonts w:cs="Calibri"/>
                <w:szCs w:val="16"/>
              </w:rPr>
              <w:t xml:space="preserve">8.0 </w:t>
            </w:r>
          </w:p>
        </w:tc>
        <w:tc>
          <w:tcPr>
            <w:tcW w:w="1417" w:type="dxa"/>
            <w:tcBorders>
              <w:top w:val="single" w:sz="4" w:space="0" w:color="1B556B" w:themeColor="text2"/>
              <w:bottom w:val="single" w:sz="4" w:space="0" w:color="1B556B" w:themeColor="text2"/>
            </w:tcBorders>
            <w:tcMar>
              <w:right w:w="28" w:type="dxa"/>
            </w:tcMar>
          </w:tcPr>
          <w:p w14:paraId="05FEA476" w14:textId="77777777" w:rsidR="00994F64" w:rsidRPr="00261B7A" w:rsidRDefault="00994F64" w:rsidP="00501B0F">
            <w:pPr>
              <w:pStyle w:val="TableText"/>
              <w:spacing w:before="50" w:after="50"/>
              <w:rPr>
                <w:rFonts w:cs="Calibri"/>
                <w:szCs w:val="16"/>
              </w:rPr>
            </w:pPr>
            <w:r w:rsidRPr="00261B7A">
              <w:rPr>
                <w:rFonts w:cs="Calibri"/>
                <w:szCs w:val="16"/>
              </w:rPr>
              <w:t>kg N</w:t>
            </w:r>
            <w:r w:rsidRPr="00261B7A">
              <w:rPr>
                <w:rFonts w:cs="Calibri"/>
                <w:szCs w:val="16"/>
                <w:vertAlign w:val="subscript"/>
              </w:rPr>
              <w:t>2</w:t>
            </w:r>
            <w:r w:rsidRPr="00261B7A">
              <w:rPr>
                <w:rFonts w:cs="Calibri"/>
                <w:szCs w:val="16"/>
              </w:rPr>
              <w:t>O-N/ha/kg N</w:t>
            </w:r>
          </w:p>
        </w:tc>
        <w:tc>
          <w:tcPr>
            <w:tcW w:w="2183" w:type="dxa"/>
            <w:tcBorders>
              <w:top w:val="single" w:sz="4" w:space="0" w:color="1B556B" w:themeColor="text2"/>
              <w:bottom w:val="single" w:sz="4" w:space="0" w:color="1B556B" w:themeColor="text2"/>
            </w:tcBorders>
          </w:tcPr>
          <w:p w14:paraId="14F7F1C6" w14:textId="77777777" w:rsidR="00994F64" w:rsidRPr="00261B7A" w:rsidRDefault="00994F64" w:rsidP="00501B0F">
            <w:pPr>
              <w:pStyle w:val="TableText"/>
              <w:spacing w:before="50" w:after="50"/>
              <w:rPr>
                <w:rFonts w:cs="Calibri"/>
                <w:szCs w:val="16"/>
              </w:rPr>
            </w:pPr>
            <w:r w:rsidRPr="00261B7A">
              <w:rPr>
                <w:rFonts w:cs="Calibri"/>
                <w:szCs w:val="16"/>
              </w:rPr>
              <w:t>IPCC (2006, table 11.1)</w:t>
            </w:r>
          </w:p>
        </w:tc>
      </w:tr>
      <w:tr w:rsidR="00994F64" w:rsidRPr="00261B7A" w14:paraId="78905650" w14:textId="77777777" w:rsidTr="00501B0F">
        <w:trPr>
          <w:trHeight w:val="605"/>
        </w:trPr>
        <w:tc>
          <w:tcPr>
            <w:tcW w:w="3261" w:type="dxa"/>
            <w:tcBorders>
              <w:top w:val="single" w:sz="4" w:space="0" w:color="1B556B" w:themeColor="text2"/>
              <w:bottom w:val="single" w:sz="4" w:space="0" w:color="1B556B" w:themeColor="text2"/>
            </w:tcBorders>
          </w:tcPr>
          <w:p w14:paraId="1A44B4A4" w14:textId="77777777" w:rsidR="00994F64" w:rsidRPr="00261B7A" w:rsidRDefault="00994F64" w:rsidP="00501B0F">
            <w:pPr>
              <w:pStyle w:val="TableText"/>
              <w:spacing w:before="50" w:after="50"/>
              <w:rPr>
                <w:rFonts w:cs="Calibri"/>
                <w:szCs w:val="16"/>
              </w:rPr>
            </w:pPr>
            <w:r w:rsidRPr="00261B7A">
              <w:rPr>
                <w:rFonts w:cs="Calibri"/>
                <w:szCs w:val="16"/>
              </w:rPr>
              <w:t xml:space="preserve">Manure (dung and urine) from minor grazing animals (i.e., </w:t>
            </w:r>
            <w:r w:rsidRPr="00261B7A">
              <w:rPr>
                <w:rFonts w:cs="Calibri"/>
                <w:i/>
                <w:szCs w:val="16"/>
              </w:rPr>
              <w:t>excluding</w:t>
            </w:r>
            <w:r w:rsidRPr="00261B7A">
              <w:rPr>
                <w:rFonts w:cs="Calibri"/>
                <w:szCs w:val="16"/>
              </w:rPr>
              <w:t xml:space="preserve"> cattle, sheep and deer) in pasture, range and paddock systems</w:t>
            </w:r>
          </w:p>
        </w:tc>
        <w:tc>
          <w:tcPr>
            <w:tcW w:w="992" w:type="dxa"/>
            <w:tcBorders>
              <w:top w:val="single" w:sz="4" w:space="0" w:color="1B556B" w:themeColor="text2"/>
              <w:bottom w:val="single" w:sz="4" w:space="0" w:color="1B556B" w:themeColor="text2"/>
            </w:tcBorders>
          </w:tcPr>
          <w:p w14:paraId="58D2AEF3" w14:textId="77777777" w:rsidR="00994F64" w:rsidRPr="00261B7A" w:rsidRDefault="00994F64" w:rsidP="00501B0F">
            <w:pPr>
              <w:pStyle w:val="TableText"/>
              <w:spacing w:before="50" w:after="50"/>
              <w:rPr>
                <w:rFonts w:cs="Calibri"/>
                <w:szCs w:val="16"/>
              </w:rPr>
            </w:pPr>
            <w:r w:rsidRPr="00261B7A">
              <w:rPr>
                <w:rFonts w:cs="Calibri"/>
                <w:szCs w:val="16"/>
              </w:rPr>
              <w:t>EF</w:t>
            </w:r>
            <w:r w:rsidRPr="00261B7A">
              <w:rPr>
                <w:rFonts w:cs="Calibri"/>
                <w:szCs w:val="16"/>
                <w:vertAlign w:val="subscript"/>
              </w:rPr>
              <w:t>3,PRP-MINOR</w:t>
            </w:r>
          </w:p>
        </w:tc>
        <w:tc>
          <w:tcPr>
            <w:tcW w:w="709" w:type="dxa"/>
            <w:tcBorders>
              <w:top w:val="single" w:sz="4" w:space="0" w:color="1B556B" w:themeColor="text2"/>
              <w:bottom w:val="single" w:sz="4" w:space="0" w:color="1B556B" w:themeColor="text2"/>
            </w:tcBorders>
          </w:tcPr>
          <w:p w14:paraId="258E8309" w14:textId="77777777" w:rsidR="00994F64" w:rsidRPr="00261B7A" w:rsidRDefault="00994F64" w:rsidP="00501B0F">
            <w:pPr>
              <w:pStyle w:val="TableText"/>
              <w:spacing w:before="50" w:after="50"/>
              <w:rPr>
                <w:rFonts w:cs="Calibri"/>
                <w:szCs w:val="16"/>
              </w:rPr>
            </w:pPr>
            <w:r w:rsidRPr="00261B7A">
              <w:rPr>
                <w:rFonts w:cs="Calibri"/>
                <w:szCs w:val="16"/>
              </w:rPr>
              <w:t>0.01</w:t>
            </w:r>
          </w:p>
        </w:tc>
        <w:tc>
          <w:tcPr>
            <w:tcW w:w="1417" w:type="dxa"/>
            <w:tcBorders>
              <w:top w:val="single" w:sz="4" w:space="0" w:color="1B556B" w:themeColor="text2"/>
              <w:bottom w:val="single" w:sz="4" w:space="0" w:color="1B556B" w:themeColor="text2"/>
            </w:tcBorders>
            <w:tcMar>
              <w:right w:w="28" w:type="dxa"/>
            </w:tcMar>
          </w:tcPr>
          <w:p w14:paraId="6745B32E" w14:textId="77777777" w:rsidR="00994F64" w:rsidRPr="00261B7A" w:rsidRDefault="00994F64" w:rsidP="00501B0F">
            <w:pPr>
              <w:pStyle w:val="TableText"/>
              <w:spacing w:before="50" w:after="50"/>
              <w:rPr>
                <w:rFonts w:cs="Calibri"/>
                <w:szCs w:val="16"/>
              </w:rPr>
            </w:pPr>
            <w:r w:rsidRPr="00261B7A">
              <w:rPr>
                <w:rFonts w:cs="Calibri"/>
                <w:szCs w:val="16"/>
              </w:rPr>
              <w:t>kg N</w:t>
            </w:r>
            <w:r w:rsidRPr="00261B7A">
              <w:rPr>
                <w:rFonts w:cs="Calibri"/>
                <w:szCs w:val="16"/>
                <w:vertAlign w:val="subscript"/>
              </w:rPr>
              <w:t>2</w:t>
            </w:r>
            <w:r w:rsidRPr="00261B7A">
              <w:rPr>
                <w:rFonts w:cs="Calibri"/>
                <w:szCs w:val="16"/>
              </w:rPr>
              <w:t>O-N/kg N</w:t>
            </w:r>
          </w:p>
        </w:tc>
        <w:tc>
          <w:tcPr>
            <w:tcW w:w="2183" w:type="dxa"/>
            <w:tcBorders>
              <w:top w:val="single" w:sz="4" w:space="0" w:color="1B556B" w:themeColor="text2"/>
              <w:bottom w:val="single" w:sz="4" w:space="0" w:color="1B556B" w:themeColor="text2"/>
            </w:tcBorders>
          </w:tcPr>
          <w:p w14:paraId="77F7CD6A" w14:textId="77777777" w:rsidR="00994F64" w:rsidRPr="00261B7A" w:rsidRDefault="00994F64" w:rsidP="00501B0F">
            <w:pPr>
              <w:pStyle w:val="TableText"/>
              <w:spacing w:before="50" w:after="50"/>
            </w:pPr>
            <w:r w:rsidRPr="00261B7A">
              <w:t>Carran et al. (1995); Muller et al. (1995); de Klein et al. (2003)</w:t>
            </w:r>
          </w:p>
        </w:tc>
      </w:tr>
      <w:tr w:rsidR="00994F64" w:rsidRPr="00261B7A" w14:paraId="1B2EEC2D" w14:textId="77777777" w:rsidTr="00501B0F">
        <w:tc>
          <w:tcPr>
            <w:tcW w:w="3261" w:type="dxa"/>
            <w:tcBorders>
              <w:top w:val="single" w:sz="4" w:space="0" w:color="1B556B" w:themeColor="text2"/>
              <w:bottom w:val="single" w:sz="4" w:space="0" w:color="1B556B" w:themeColor="text2"/>
            </w:tcBorders>
          </w:tcPr>
          <w:p w14:paraId="544C302D" w14:textId="77777777" w:rsidR="00994F64" w:rsidRPr="00261B7A" w:rsidRDefault="00994F64" w:rsidP="00501B0F">
            <w:pPr>
              <w:pStyle w:val="TableText"/>
              <w:spacing w:before="50" w:after="50"/>
              <w:rPr>
                <w:rFonts w:cs="Calibri"/>
                <w:szCs w:val="16"/>
              </w:rPr>
            </w:pPr>
            <w:r w:rsidRPr="00261B7A">
              <w:rPr>
                <w:rFonts w:cs="Calibri"/>
                <w:szCs w:val="16"/>
              </w:rPr>
              <w:t xml:space="preserve">Dung from grazing cattle, sheep and deer in pasture, range and paddock systems </w:t>
            </w:r>
          </w:p>
        </w:tc>
        <w:tc>
          <w:tcPr>
            <w:tcW w:w="992" w:type="dxa"/>
            <w:tcBorders>
              <w:top w:val="single" w:sz="4" w:space="0" w:color="1B556B" w:themeColor="text2"/>
              <w:bottom w:val="single" w:sz="4" w:space="0" w:color="1B556B" w:themeColor="text2"/>
            </w:tcBorders>
          </w:tcPr>
          <w:p w14:paraId="09E10498" w14:textId="77777777" w:rsidR="00994F64" w:rsidRPr="00261B7A" w:rsidRDefault="00994F64" w:rsidP="00501B0F">
            <w:pPr>
              <w:pStyle w:val="TableText"/>
              <w:spacing w:before="50" w:after="50"/>
              <w:rPr>
                <w:rFonts w:cs="Calibri"/>
                <w:szCs w:val="16"/>
              </w:rPr>
            </w:pPr>
            <w:r w:rsidRPr="00261B7A">
              <w:rPr>
                <w:rFonts w:cs="Calibri"/>
                <w:szCs w:val="16"/>
              </w:rPr>
              <w:t>EF</w:t>
            </w:r>
            <w:r w:rsidRPr="00261B7A">
              <w:rPr>
                <w:rFonts w:cs="Calibri"/>
                <w:szCs w:val="16"/>
                <w:vertAlign w:val="subscript"/>
              </w:rPr>
              <w:t>3,PRP-DUNG</w:t>
            </w:r>
          </w:p>
        </w:tc>
        <w:tc>
          <w:tcPr>
            <w:tcW w:w="709" w:type="dxa"/>
            <w:tcBorders>
              <w:top w:val="single" w:sz="4" w:space="0" w:color="1B556B" w:themeColor="text2"/>
              <w:bottom w:val="single" w:sz="4" w:space="0" w:color="1B556B" w:themeColor="text2"/>
            </w:tcBorders>
          </w:tcPr>
          <w:p w14:paraId="1879F152" w14:textId="77777777" w:rsidR="00994F64" w:rsidRPr="00261B7A" w:rsidRDefault="00994F64" w:rsidP="00501B0F">
            <w:pPr>
              <w:pStyle w:val="TableText"/>
              <w:spacing w:before="50" w:after="50"/>
              <w:rPr>
                <w:rFonts w:cs="Calibri"/>
                <w:szCs w:val="16"/>
              </w:rPr>
            </w:pPr>
            <w:r w:rsidRPr="00261B7A">
              <w:rPr>
                <w:rFonts w:cs="Calibri"/>
                <w:szCs w:val="16"/>
              </w:rPr>
              <w:t>0.0012</w:t>
            </w:r>
          </w:p>
        </w:tc>
        <w:tc>
          <w:tcPr>
            <w:tcW w:w="1417" w:type="dxa"/>
            <w:tcBorders>
              <w:top w:val="single" w:sz="4" w:space="0" w:color="1B556B" w:themeColor="text2"/>
              <w:bottom w:val="single" w:sz="4" w:space="0" w:color="1B556B" w:themeColor="text2"/>
            </w:tcBorders>
            <w:tcMar>
              <w:right w:w="28" w:type="dxa"/>
            </w:tcMar>
          </w:tcPr>
          <w:p w14:paraId="192B8FD0" w14:textId="77777777" w:rsidR="00994F64" w:rsidRPr="00261B7A" w:rsidRDefault="00994F64" w:rsidP="00501B0F">
            <w:pPr>
              <w:pStyle w:val="TableText"/>
              <w:spacing w:before="50" w:after="50"/>
              <w:rPr>
                <w:rFonts w:cs="Calibri"/>
                <w:szCs w:val="16"/>
              </w:rPr>
            </w:pPr>
            <w:r w:rsidRPr="00261B7A">
              <w:rPr>
                <w:rFonts w:cs="Calibri"/>
                <w:szCs w:val="16"/>
              </w:rPr>
              <w:t>kg N</w:t>
            </w:r>
            <w:r w:rsidRPr="00261B7A">
              <w:rPr>
                <w:rFonts w:cs="Calibri"/>
                <w:szCs w:val="16"/>
                <w:vertAlign w:val="subscript"/>
              </w:rPr>
              <w:t>2</w:t>
            </w:r>
            <w:r w:rsidRPr="00261B7A">
              <w:rPr>
                <w:rFonts w:cs="Calibri"/>
                <w:szCs w:val="16"/>
              </w:rPr>
              <w:t>O-N/kg N</w:t>
            </w:r>
          </w:p>
        </w:tc>
        <w:tc>
          <w:tcPr>
            <w:tcW w:w="2183" w:type="dxa"/>
            <w:tcBorders>
              <w:top w:val="single" w:sz="4" w:space="0" w:color="1B556B" w:themeColor="text2"/>
              <w:bottom w:val="single" w:sz="4" w:space="0" w:color="1B556B" w:themeColor="text2"/>
            </w:tcBorders>
          </w:tcPr>
          <w:p w14:paraId="3738DACE" w14:textId="77777777" w:rsidR="00994F64" w:rsidRPr="00261B7A" w:rsidRDefault="00994F64" w:rsidP="00501B0F">
            <w:pPr>
              <w:pStyle w:val="TableText"/>
              <w:spacing w:before="50" w:after="50"/>
              <w:rPr>
                <w:rFonts w:cs="Calibri"/>
                <w:szCs w:val="16"/>
              </w:rPr>
            </w:pPr>
            <w:r w:rsidRPr="00261B7A">
              <w:rPr>
                <w:rFonts w:cs="Calibri"/>
                <w:szCs w:val="16"/>
              </w:rPr>
              <w:t>van der Weerden et al. (2019, 2020)</w:t>
            </w:r>
          </w:p>
        </w:tc>
      </w:tr>
      <w:tr w:rsidR="00994F64" w:rsidRPr="00261B7A" w14:paraId="667FCD84" w14:textId="77777777" w:rsidTr="00501B0F">
        <w:tc>
          <w:tcPr>
            <w:tcW w:w="0" w:type="auto"/>
            <w:gridSpan w:val="5"/>
            <w:tcBorders>
              <w:top w:val="single" w:sz="4" w:space="0" w:color="1B556B" w:themeColor="text2"/>
              <w:bottom w:val="single" w:sz="4" w:space="0" w:color="1B556B" w:themeColor="text2"/>
            </w:tcBorders>
            <w:tcMar>
              <w:right w:w="28" w:type="dxa"/>
            </w:tcMar>
          </w:tcPr>
          <w:p w14:paraId="72273DEE" w14:textId="77777777" w:rsidR="00994F64" w:rsidRPr="00261B7A" w:rsidRDefault="00994F64" w:rsidP="00501B0F">
            <w:pPr>
              <w:pStyle w:val="TableText"/>
              <w:spacing w:before="50" w:after="50"/>
              <w:rPr>
                <w:rFonts w:cs="Calibri"/>
                <w:b/>
                <w:bCs/>
                <w:szCs w:val="16"/>
              </w:rPr>
            </w:pPr>
            <w:r w:rsidRPr="00261B7A">
              <w:rPr>
                <w:rFonts w:cs="Calibri"/>
                <w:b/>
                <w:bCs/>
                <w:szCs w:val="16"/>
              </w:rPr>
              <w:t>3.D.2 Indirect N</w:t>
            </w:r>
            <w:r w:rsidRPr="00261B7A">
              <w:rPr>
                <w:rFonts w:cs="Calibri"/>
                <w:b/>
                <w:bCs/>
                <w:szCs w:val="16"/>
                <w:vertAlign w:val="subscript"/>
              </w:rPr>
              <w:t>2</w:t>
            </w:r>
            <w:r w:rsidRPr="00261B7A">
              <w:rPr>
                <w:rFonts w:cs="Calibri"/>
                <w:b/>
                <w:bCs/>
                <w:szCs w:val="16"/>
              </w:rPr>
              <w:t>O emissions</w:t>
            </w:r>
          </w:p>
        </w:tc>
      </w:tr>
      <w:tr w:rsidR="00994F64" w:rsidRPr="00261B7A" w14:paraId="555B958D" w14:textId="77777777" w:rsidTr="00501B0F">
        <w:tc>
          <w:tcPr>
            <w:tcW w:w="3261" w:type="dxa"/>
            <w:tcBorders>
              <w:top w:val="single" w:sz="4" w:space="0" w:color="1B556B" w:themeColor="text2"/>
              <w:bottom w:val="single" w:sz="4" w:space="0" w:color="1B556B" w:themeColor="text2"/>
            </w:tcBorders>
          </w:tcPr>
          <w:p w14:paraId="4FFC3D1C" w14:textId="77777777" w:rsidR="00994F64" w:rsidRPr="00261B7A" w:rsidRDefault="00994F64" w:rsidP="00501B0F">
            <w:pPr>
              <w:pStyle w:val="TableText"/>
              <w:spacing w:before="50" w:after="50"/>
              <w:rPr>
                <w:rFonts w:cs="Calibri"/>
                <w:szCs w:val="16"/>
              </w:rPr>
            </w:pPr>
            <w:r w:rsidRPr="00261B7A">
              <w:rPr>
                <w:rFonts w:cs="Calibri"/>
                <w:szCs w:val="16"/>
              </w:rPr>
              <w:t>Volatilisation</w:t>
            </w:r>
          </w:p>
        </w:tc>
        <w:tc>
          <w:tcPr>
            <w:tcW w:w="992" w:type="dxa"/>
            <w:tcBorders>
              <w:top w:val="single" w:sz="4" w:space="0" w:color="1B556B" w:themeColor="text2"/>
              <w:bottom w:val="single" w:sz="4" w:space="0" w:color="1B556B" w:themeColor="text2"/>
            </w:tcBorders>
          </w:tcPr>
          <w:p w14:paraId="1AC13430" w14:textId="77777777" w:rsidR="00994F64" w:rsidRPr="00261B7A" w:rsidRDefault="00994F64" w:rsidP="00501B0F">
            <w:pPr>
              <w:pStyle w:val="TableText"/>
              <w:spacing w:before="50" w:after="50"/>
              <w:rPr>
                <w:rFonts w:cs="Calibri"/>
                <w:szCs w:val="16"/>
              </w:rPr>
            </w:pPr>
            <w:r w:rsidRPr="00261B7A">
              <w:rPr>
                <w:rFonts w:cs="Calibri"/>
                <w:szCs w:val="16"/>
              </w:rPr>
              <w:t>EF</w:t>
            </w:r>
            <w:r w:rsidRPr="00261B7A">
              <w:rPr>
                <w:rFonts w:cs="Calibri"/>
                <w:szCs w:val="16"/>
                <w:vertAlign w:val="subscript"/>
              </w:rPr>
              <w:t>4</w:t>
            </w:r>
          </w:p>
        </w:tc>
        <w:tc>
          <w:tcPr>
            <w:tcW w:w="709" w:type="dxa"/>
            <w:tcBorders>
              <w:top w:val="single" w:sz="4" w:space="0" w:color="1B556B" w:themeColor="text2"/>
              <w:bottom w:val="single" w:sz="4" w:space="0" w:color="1B556B" w:themeColor="text2"/>
            </w:tcBorders>
          </w:tcPr>
          <w:p w14:paraId="00FBE730" w14:textId="77777777" w:rsidR="00994F64" w:rsidRPr="00261B7A" w:rsidRDefault="00994F64" w:rsidP="00501B0F">
            <w:pPr>
              <w:pStyle w:val="TableText"/>
              <w:spacing w:before="50" w:after="50"/>
              <w:rPr>
                <w:rFonts w:cs="Calibri"/>
                <w:szCs w:val="16"/>
              </w:rPr>
            </w:pPr>
            <w:r w:rsidRPr="00261B7A">
              <w:rPr>
                <w:rFonts w:cs="Calibri"/>
                <w:szCs w:val="16"/>
              </w:rPr>
              <w:t xml:space="preserve">0.010 </w:t>
            </w:r>
          </w:p>
        </w:tc>
        <w:tc>
          <w:tcPr>
            <w:tcW w:w="1417" w:type="dxa"/>
            <w:tcBorders>
              <w:top w:val="single" w:sz="4" w:space="0" w:color="1B556B" w:themeColor="text2"/>
              <w:bottom w:val="single" w:sz="4" w:space="0" w:color="1B556B" w:themeColor="text2"/>
            </w:tcBorders>
            <w:tcMar>
              <w:right w:w="28" w:type="dxa"/>
            </w:tcMar>
          </w:tcPr>
          <w:p w14:paraId="5AE0D66E" w14:textId="77777777" w:rsidR="00994F64" w:rsidRPr="00261B7A" w:rsidRDefault="00994F64" w:rsidP="00501B0F">
            <w:pPr>
              <w:pStyle w:val="TableText"/>
              <w:spacing w:before="50" w:after="50"/>
              <w:rPr>
                <w:rFonts w:cs="Calibri"/>
                <w:szCs w:val="16"/>
              </w:rPr>
            </w:pPr>
            <w:r w:rsidRPr="00261B7A">
              <w:rPr>
                <w:rFonts w:cs="Calibri"/>
                <w:szCs w:val="16"/>
              </w:rPr>
              <w:t>kg N</w:t>
            </w:r>
            <w:r w:rsidRPr="00261B7A">
              <w:rPr>
                <w:rFonts w:cs="Calibri"/>
                <w:szCs w:val="16"/>
                <w:vertAlign w:val="subscript"/>
              </w:rPr>
              <w:t>2</w:t>
            </w:r>
            <w:r w:rsidRPr="00261B7A">
              <w:rPr>
                <w:rFonts w:cs="Calibri"/>
                <w:szCs w:val="16"/>
              </w:rPr>
              <w:t>O-N/kg N</w:t>
            </w:r>
          </w:p>
        </w:tc>
        <w:tc>
          <w:tcPr>
            <w:tcW w:w="2183" w:type="dxa"/>
            <w:tcBorders>
              <w:top w:val="single" w:sz="4" w:space="0" w:color="1B556B" w:themeColor="text2"/>
              <w:bottom w:val="single" w:sz="4" w:space="0" w:color="1B556B" w:themeColor="text2"/>
            </w:tcBorders>
          </w:tcPr>
          <w:p w14:paraId="7E8F2A6D" w14:textId="77777777" w:rsidR="00994F64" w:rsidRPr="00261B7A" w:rsidRDefault="00994F64" w:rsidP="00501B0F">
            <w:pPr>
              <w:pStyle w:val="TableText"/>
              <w:spacing w:before="50" w:after="50"/>
              <w:rPr>
                <w:rFonts w:cs="Calibri"/>
                <w:szCs w:val="16"/>
              </w:rPr>
            </w:pPr>
            <w:r w:rsidRPr="00261B7A">
              <w:rPr>
                <w:rFonts w:cs="Calibri"/>
                <w:szCs w:val="16"/>
              </w:rPr>
              <w:t>IPCC (2006, table 11.3)</w:t>
            </w:r>
          </w:p>
        </w:tc>
      </w:tr>
      <w:tr w:rsidR="00994F64" w:rsidRPr="00261B7A" w14:paraId="0294299E" w14:textId="77777777" w:rsidTr="00501B0F">
        <w:tc>
          <w:tcPr>
            <w:tcW w:w="3261" w:type="dxa"/>
            <w:tcBorders>
              <w:top w:val="single" w:sz="4" w:space="0" w:color="1B556B" w:themeColor="text2"/>
              <w:bottom w:val="single" w:sz="4" w:space="0" w:color="1B556B" w:themeColor="text2"/>
            </w:tcBorders>
          </w:tcPr>
          <w:p w14:paraId="3585291A" w14:textId="77777777" w:rsidR="00994F64" w:rsidRPr="00261B7A" w:rsidRDefault="00994F64" w:rsidP="00501B0F">
            <w:pPr>
              <w:pStyle w:val="TableText"/>
              <w:spacing w:before="50" w:after="50"/>
              <w:rPr>
                <w:rFonts w:cs="Calibri"/>
                <w:szCs w:val="16"/>
              </w:rPr>
            </w:pPr>
            <w:r w:rsidRPr="00261B7A">
              <w:rPr>
                <w:rFonts w:cs="Calibri"/>
                <w:szCs w:val="16"/>
              </w:rPr>
              <w:t>Leaching and runoff</w:t>
            </w:r>
          </w:p>
        </w:tc>
        <w:tc>
          <w:tcPr>
            <w:tcW w:w="992" w:type="dxa"/>
            <w:tcBorders>
              <w:top w:val="single" w:sz="4" w:space="0" w:color="1B556B" w:themeColor="text2"/>
              <w:bottom w:val="single" w:sz="4" w:space="0" w:color="1B556B" w:themeColor="text2"/>
            </w:tcBorders>
          </w:tcPr>
          <w:p w14:paraId="50868CFB" w14:textId="77777777" w:rsidR="00994F64" w:rsidRPr="00261B7A" w:rsidRDefault="00994F64" w:rsidP="00501B0F">
            <w:pPr>
              <w:pStyle w:val="TableText"/>
              <w:spacing w:before="50" w:after="50"/>
              <w:rPr>
                <w:rFonts w:cs="Calibri"/>
                <w:szCs w:val="16"/>
              </w:rPr>
            </w:pPr>
            <w:r w:rsidRPr="00261B7A">
              <w:rPr>
                <w:rFonts w:cs="Calibri"/>
                <w:szCs w:val="16"/>
              </w:rPr>
              <w:t>EF</w:t>
            </w:r>
            <w:r w:rsidRPr="00261B7A">
              <w:rPr>
                <w:rFonts w:cs="Calibri"/>
                <w:szCs w:val="16"/>
                <w:vertAlign w:val="subscript"/>
              </w:rPr>
              <w:t>5</w:t>
            </w:r>
          </w:p>
        </w:tc>
        <w:tc>
          <w:tcPr>
            <w:tcW w:w="709" w:type="dxa"/>
            <w:tcBorders>
              <w:top w:val="single" w:sz="4" w:space="0" w:color="1B556B" w:themeColor="text2"/>
              <w:bottom w:val="single" w:sz="4" w:space="0" w:color="1B556B" w:themeColor="text2"/>
            </w:tcBorders>
          </w:tcPr>
          <w:p w14:paraId="54DB5E69" w14:textId="77777777" w:rsidR="00994F64" w:rsidRPr="00261B7A" w:rsidRDefault="00994F64" w:rsidP="00501B0F">
            <w:pPr>
              <w:pStyle w:val="TableText"/>
              <w:spacing w:before="50" w:after="50"/>
              <w:rPr>
                <w:rFonts w:cs="Calibri"/>
                <w:szCs w:val="16"/>
              </w:rPr>
            </w:pPr>
            <w:r w:rsidRPr="00261B7A">
              <w:rPr>
                <w:rFonts w:cs="Calibri"/>
                <w:szCs w:val="16"/>
              </w:rPr>
              <w:t xml:space="preserve">0.0075 </w:t>
            </w:r>
          </w:p>
        </w:tc>
        <w:tc>
          <w:tcPr>
            <w:tcW w:w="1417" w:type="dxa"/>
            <w:tcBorders>
              <w:top w:val="single" w:sz="4" w:space="0" w:color="1B556B" w:themeColor="text2"/>
              <w:bottom w:val="single" w:sz="4" w:space="0" w:color="1B556B" w:themeColor="text2"/>
            </w:tcBorders>
            <w:tcMar>
              <w:right w:w="28" w:type="dxa"/>
            </w:tcMar>
          </w:tcPr>
          <w:p w14:paraId="7EC1CB31" w14:textId="77777777" w:rsidR="00994F64" w:rsidRPr="00261B7A" w:rsidRDefault="00994F64" w:rsidP="00501B0F">
            <w:pPr>
              <w:pStyle w:val="TableText"/>
              <w:spacing w:before="50" w:after="50"/>
              <w:rPr>
                <w:rFonts w:cs="Calibri"/>
                <w:szCs w:val="16"/>
              </w:rPr>
            </w:pPr>
            <w:r w:rsidRPr="00261B7A">
              <w:rPr>
                <w:rFonts w:cs="Calibri"/>
                <w:szCs w:val="16"/>
              </w:rPr>
              <w:t>kg N</w:t>
            </w:r>
            <w:r w:rsidRPr="00261B7A">
              <w:rPr>
                <w:rFonts w:cs="Calibri"/>
                <w:szCs w:val="16"/>
                <w:vertAlign w:val="subscript"/>
              </w:rPr>
              <w:t>2</w:t>
            </w:r>
            <w:r w:rsidRPr="00261B7A">
              <w:rPr>
                <w:rFonts w:cs="Calibri"/>
                <w:szCs w:val="16"/>
              </w:rPr>
              <w:t>O-N/kg N</w:t>
            </w:r>
          </w:p>
        </w:tc>
        <w:tc>
          <w:tcPr>
            <w:tcW w:w="2183" w:type="dxa"/>
            <w:tcBorders>
              <w:top w:val="single" w:sz="4" w:space="0" w:color="1B556B" w:themeColor="text2"/>
              <w:bottom w:val="single" w:sz="4" w:space="0" w:color="1B556B" w:themeColor="text2"/>
            </w:tcBorders>
          </w:tcPr>
          <w:p w14:paraId="6B9D09F7" w14:textId="77777777" w:rsidR="00994F64" w:rsidRPr="00261B7A" w:rsidRDefault="00994F64" w:rsidP="00501B0F">
            <w:pPr>
              <w:pStyle w:val="TableText"/>
              <w:spacing w:before="50" w:after="50"/>
              <w:rPr>
                <w:rFonts w:cs="Calibri"/>
                <w:szCs w:val="16"/>
              </w:rPr>
            </w:pPr>
            <w:r w:rsidRPr="00261B7A">
              <w:rPr>
                <w:rFonts w:cs="Calibri"/>
                <w:szCs w:val="16"/>
              </w:rPr>
              <w:t>IPCC (2006, table 11.3), confirmed by Clough and Kelliher (unpublished)</w:t>
            </w:r>
          </w:p>
        </w:tc>
      </w:tr>
    </w:tbl>
    <w:p w14:paraId="090D40A2" w14:textId="77777777" w:rsidR="00994F64" w:rsidRPr="00261B7A" w:rsidRDefault="00994F64" w:rsidP="00994F64">
      <w:pPr>
        <w:pStyle w:val="Table"/>
        <w:spacing w:before="240"/>
        <w:rPr>
          <w:rFonts w:cs="Calibri"/>
        </w:rPr>
      </w:pPr>
      <w:bookmarkStart w:id="1039" w:name="_Toc32570929"/>
      <w:bookmarkStart w:id="1040" w:name="_Toc36224564"/>
      <w:bookmarkStart w:id="1041" w:name="_Toc68786449"/>
      <w:bookmarkStart w:id="1042" w:name="_Toc95574082"/>
      <w:bookmarkStart w:id="1043" w:name="_Toc127458269"/>
      <w:bookmarkStart w:id="1044" w:name="_Toc131591365"/>
      <w:bookmarkStart w:id="1045" w:name="_Toc441830881"/>
      <w:bookmarkStart w:id="1046" w:name="_Toc451176095"/>
      <w:bookmarkStart w:id="1047" w:name="_Toc481751523"/>
      <w:bookmarkStart w:id="1048" w:name="_Toc507158611"/>
      <w:bookmarkStart w:id="1049" w:name="_Toc511116745"/>
      <w:bookmarkStart w:id="1050" w:name="_Toc5269487"/>
      <w:r w:rsidRPr="00261B7A">
        <w:rPr>
          <w:rFonts w:cs="Calibri"/>
        </w:rPr>
        <w:t>Table 5.5.3</w:t>
      </w:r>
      <w:r w:rsidRPr="00261B7A">
        <w:rPr>
          <w:rFonts w:cs="Calibri"/>
        </w:rPr>
        <w:tab/>
        <w:t>Direct nitrous oxide emission factors for urine deposited by cattle, sheep and deer, by livestock type and slope, using values calculated by van der Weerden et al. (2019, 2020)</w:t>
      </w:r>
      <w:bookmarkEnd w:id="1039"/>
      <w:bookmarkEnd w:id="1040"/>
      <w:bookmarkEnd w:id="1041"/>
      <w:bookmarkEnd w:id="1042"/>
      <w:bookmarkEnd w:id="1043"/>
      <w:bookmarkEnd w:id="1044"/>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1E0" w:firstRow="1" w:lastRow="1" w:firstColumn="1" w:lastColumn="1" w:noHBand="0" w:noVBand="0"/>
      </w:tblPr>
      <w:tblGrid>
        <w:gridCol w:w="3193"/>
        <w:gridCol w:w="2581"/>
        <w:gridCol w:w="2731"/>
      </w:tblGrid>
      <w:tr w:rsidR="00994F64" w:rsidRPr="00261B7A" w14:paraId="163AC712" w14:textId="77777777" w:rsidTr="00501B0F">
        <w:trPr>
          <w:tblHeader/>
        </w:trPr>
        <w:tc>
          <w:tcPr>
            <w:tcW w:w="3153" w:type="dxa"/>
            <w:tcBorders>
              <w:bottom w:val="nil"/>
            </w:tcBorders>
            <w:shd w:val="clear" w:color="auto" w:fill="1B556B"/>
            <w:vAlign w:val="bottom"/>
          </w:tcPr>
          <w:p w14:paraId="5C753D1A" w14:textId="77777777" w:rsidR="00994F64" w:rsidRPr="00261B7A" w:rsidRDefault="00994F64" w:rsidP="00501B0F">
            <w:pPr>
              <w:pStyle w:val="TableTextBold"/>
              <w:keepNext/>
              <w:spacing w:after="0"/>
              <w:rPr>
                <w:noProof w:val="0"/>
                <w:color w:val="FFFFFF" w:themeColor="background1"/>
              </w:rPr>
            </w:pPr>
          </w:p>
        </w:tc>
        <w:tc>
          <w:tcPr>
            <w:tcW w:w="5244" w:type="dxa"/>
            <w:gridSpan w:val="2"/>
            <w:tcBorders>
              <w:bottom w:val="nil"/>
            </w:tcBorders>
            <w:shd w:val="clear" w:color="auto" w:fill="1B556B"/>
          </w:tcPr>
          <w:p w14:paraId="18B5EC66" w14:textId="77777777" w:rsidR="00994F64" w:rsidRPr="00261B7A" w:rsidRDefault="00994F64" w:rsidP="00501B0F">
            <w:pPr>
              <w:pStyle w:val="TableTextBold"/>
              <w:keepNext/>
              <w:spacing w:after="40"/>
              <w:jc w:val="center"/>
              <w:rPr>
                <w:noProof w:val="0"/>
                <w:color w:val="FFFFFF" w:themeColor="background1"/>
              </w:rPr>
            </w:pPr>
            <w:r w:rsidRPr="00261B7A">
              <w:rPr>
                <w:noProof w:val="0"/>
                <w:color w:val="FFFFFF" w:themeColor="background1"/>
              </w:rPr>
              <w:t>Emissions factor by slope</w:t>
            </w:r>
          </w:p>
        </w:tc>
      </w:tr>
      <w:tr w:rsidR="00994F64" w:rsidRPr="00261B7A" w14:paraId="11DF2B7F" w14:textId="77777777" w:rsidTr="00501B0F">
        <w:trPr>
          <w:tblHeader/>
        </w:trPr>
        <w:tc>
          <w:tcPr>
            <w:tcW w:w="3153" w:type="dxa"/>
            <w:tcBorders>
              <w:top w:val="nil"/>
            </w:tcBorders>
            <w:shd w:val="clear" w:color="auto" w:fill="1B556B"/>
            <w:vAlign w:val="bottom"/>
          </w:tcPr>
          <w:p w14:paraId="67F3B1FD" w14:textId="77777777" w:rsidR="00994F64" w:rsidRPr="00261B7A" w:rsidRDefault="00994F64" w:rsidP="00501B0F">
            <w:pPr>
              <w:pStyle w:val="TableTextBold"/>
              <w:keepNext/>
              <w:spacing w:before="40" w:after="40"/>
              <w:rPr>
                <w:noProof w:val="0"/>
                <w:color w:val="FFFFFF" w:themeColor="background1"/>
              </w:rPr>
            </w:pPr>
            <w:r w:rsidRPr="00261B7A">
              <w:rPr>
                <w:noProof w:val="0"/>
                <w:color w:val="FFFFFF" w:themeColor="background1"/>
              </w:rPr>
              <w:t>Livestock type</w:t>
            </w:r>
          </w:p>
        </w:tc>
        <w:tc>
          <w:tcPr>
            <w:tcW w:w="2548" w:type="dxa"/>
            <w:tcBorders>
              <w:top w:val="nil"/>
            </w:tcBorders>
            <w:shd w:val="clear" w:color="auto" w:fill="1B556B"/>
            <w:vAlign w:val="center"/>
          </w:tcPr>
          <w:p w14:paraId="0B001673" w14:textId="77777777" w:rsidR="00994F64" w:rsidRPr="00261B7A" w:rsidRDefault="00994F64" w:rsidP="00501B0F">
            <w:pPr>
              <w:pStyle w:val="TableTextBold"/>
              <w:keepNext/>
              <w:spacing w:before="0" w:after="0"/>
              <w:jc w:val="center"/>
              <w:rPr>
                <w:noProof w:val="0"/>
                <w:color w:val="FFFFFF" w:themeColor="background1"/>
                <w:szCs w:val="21"/>
              </w:rPr>
            </w:pPr>
            <w:r w:rsidRPr="00261B7A">
              <w:rPr>
                <w:noProof w:val="0"/>
                <w:color w:val="FFFFFF" w:themeColor="background1"/>
              </w:rPr>
              <w:t xml:space="preserve">Flat and low sloped land </w:t>
            </w:r>
            <w:r w:rsidRPr="00261B7A">
              <w:rPr>
                <w:noProof w:val="0"/>
                <w:color w:val="FFFFFF" w:themeColor="background1"/>
              </w:rPr>
              <w:br/>
              <w:t>(less than 12</w:t>
            </w:r>
            <w:r w:rsidRPr="00261B7A">
              <w:rPr>
                <w:noProof w:val="0"/>
                <w:color w:val="FFFFFF" w:themeColor="background1"/>
                <w:szCs w:val="21"/>
              </w:rPr>
              <w:t>° gradient)</w:t>
            </w:r>
          </w:p>
          <w:p w14:paraId="1D69DD98" w14:textId="77777777" w:rsidR="00994F64" w:rsidRPr="00261B7A" w:rsidRDefault="00994F64" w:rsidP="00501B0F">
            <w:pPr>
              <w:pStyle w:val="TableTextBold"/>
              <w:keepNext/>
              <w:spacing w:before="0" w:after="40"/>
              <w:jc w:val="center"/>
              <w:rPr>
                <w:noProof w:val="0"/>
                <w:color w:val="FFFFFF" w:themeColor="background1"/>
              </w:rPr>
            </w:pPr>
            <w:r w:rsidRPr="00261B7A">
              <w:rPr>
                <w:noProof w:val="0"/>
                <w:color w:val="FFFFFF" w:themeColor="background1"/>
              </w:rPr>
              <w:t>EF</w:t>
            </w:r>
            <w:r w:rsidRPr="00261B7A">
              <w:rPr>
                <w:noProof w:val="0"/>
                <w:color w:val="FFFFFF" w:themeColor="background1"/>
                <w:vertAlign w:val="subscript"/>
              </w:rPr>
              <w:t>3,PRP-FLAT</w:t>
            </w:r>
          </w:p>
        </w:tc>
        <w:tc>
          <w:tcPr>
            <w:tcW w:w="2696" w:type="dxa"/>
            <w:tcBorders>
              <w:top w:val="nil"/>
            </w:tcBorders>
            <w:shd w:val="clear" w:color="auto" w:fill="1B556B"/>
            <w:vAlign w:val="center"/>
          </w:tcPr>
          <w:p w14:paraId="0166E352" w14:textId="77777777" w:rsidR="00994F64" w:rsidRPr="00261B7A" w:rsidRDefault="00994F64" w:rsidP="00501B0F">
            <w:pPr>
              <w:pStyle w:val="TableTextBold"/>
              <w:keepNext/>
              <w:spacing w:before="0" w:after="0"/>
              <w:jc w:val="center"/>
              <w:rPr>
                <w:noProof w:val="0"/>
                <w:color w:val="FFFFFF" w:themeColor="background1"/>
                <w:szCs w:val="21"/>
              </w:rPr>
            </w:pPr>
            <w:r w:rsidRPr="00261B7A">
              <w:rPr>
                <w:noProof w:val="0"/>
                <w:color w:val="FFFFFF" w:themeColor="background1"/>
              </w:rPr>
              <w:t>Medium and steep sloped land (greater than 12</w:t>
            </w:r>
            <w:r w:rsidRPr="00261B7A">
              <w:rPr>
                <w:noProof w:val="0"/>
                <w:color w:val="FFFFFF" w:themeColor="background1"/>
                <w:szCs w:val="21"/>
              </w:rPr>
              <w:t>° gradient)</w:t>
            </w:r>
          </w:p>
          <w:p w14:paraId="632B5EC2" w14:textId="77777777" w:rsidR="00994F64" w:rsidRPr="00261B7A" w:rsidRDefault="00994F64" w:rsidP="00501B0F">
            <w:pPr>
              <w:pStyle w:val="TableTextBold"/>
              <w:keepNext/>
              <w:spacing w:before="0" w:after="40"/>
              <w:jc w:val="center"/>
              <w:rPr>
                <w:noProof w:val="0"/>
                <w:color w:val="FFFFFF" w:themeColor="background1"/>
              </w:rPr>
            </w:pPr>
            <w:r w:rsidRPr="00261B7A">
              <w:rPr>
                <w:noProof w:val="0"/>
                <w:color w:val="FFFFFF" w:themeColor="background1"/>
              </w:rPr>
              <w:t>EF</w:t>
            </w:r>
            <w:r w:rsidRPr="00261B7A">
              <w:rPr>
                <w:noProof w:val="0"/>
                <w:color w:val="FFFFFF" w:themeColor="background1"/>
                <w:vertAlign w:val="subscript"/>
              </w:rPr>
              <w:t>3,PRP-STEEP</w:t>
            </w:r>
          </w:p>
        </w:tc>
      </w:tr>
      <w:tr w:rsidR="00994F64" w:rsidRPr="00261B7A" w14:paraId="2E2774D5" w14:textId="77777777" w:rsidTr="00501B0F">
        <w:tc>
          <w:tcPr>
            <w:tcW w:w="3153" w:type="dxa"/>
          </w:tcPr>
          <w:p w14:paraId="39945F1C" w14:textId="77777777" w:rsidR="00994F64" w:rsidRPr="00261B7A" w:rsidRDefault="00994F64" w:rsidP="00501B0F">
            <w:pPr>
              <w:pStyle w:val="TableText"/>
              <w:spacing w:before="40" w:after="40"/>
              <w:rPr>
                <w:rFonts w:cs="Calibri"/>
              </w:rPr>
            </w:pPr>
            <w:r w:rsidRPr="00261B7A">
              <w:rPr>
                <w:rFonts w:cs="Calibri"/>
              </w:rPr>
              <w:t>All cattle (includes dairy and non-dairy)</w:t>
            </w:r>
          </w:p>
        </w:tc>
        <w:tc>
          <w:tcPr>
            <w:tcW w:w="2548" w:type="dxa"/>
            <w:vAlign w:val="center"/>
          </w:tcPr>
          <w:p w14:paraId="0C1182F3" w14:textId="77777777" w:rsidR="00994F64" w:rsidRPr="00261B7A" w:rsidRDefault="00994F64" w:rsidP="00501B0F">
            <w:pPr>
              <w:pStyle w:val="TableText"/>
              <w:spacing w:before="40" w:after="40"/>
              <w:jc w:val="center"/>
              <w:rPr>
                <w:rFonts w:cs="Calibri"/>
              </w:rPr>
            </w:pPr>
            <w:r w:rsidRPr="00261B7A">
              <w:rPr>
                <w:rFonts w:cs="Calibri"/>
              </w:rPr>
              <w:t>0.0098</w:t>
            </w:r>
          </w:p>
        </w:tc>
        <w:tc>
          <w:tcPr>
            <w:tcW w:w="2696" w:type="dxa"/>
            <w:vAlign w:val="center"/>
          </w:tcPr>
          <w:p w14:paraId="16D96C96" w14:textId="77777777" w:rsidR="00994F64" w:rsidRPr="00261B7A" w:rsidRDefault="00994F64" w:rsidP="00501B0F">
            <w:pPr>
              <w:pStyle w:val="TableText"/>
              <w:spacing w:before="40" w:after="40"/>
              <w:jc w:val="center"/>
              <w:rPr>
                <w:rFonts w:cs="Calibri"/>
              </w:rPr>
            </w:pPr>
            <w:r w:rsidRPr="00261B7A">
              <w:rPr>
                <w:rFonts w:cs="Calibri"/>
              </w:rPr>
              <w:t>0.0033</w:t>
            </w:r>
          </w:p>
        </w:tc>
      </w:tr>
      <w:tr w:rsidR="00994F64" w:rsidRPr="00261B7A" w14:paraId="663E96AB" w14:textId="77777777" w:rsidTr="00501B0F">
        <w:tc>
          <w:tcPr>
            <w:tcW w:w="3153" w:type="dxa"/>
          </w:tcPr>
          <w:p w14:paraId="3AB9EE04" w14:textId="77777777" w:rsidR="00994F64" w:rsidRPr="00261B7A" w:rsidRDefault="00994F64" w:rsidP="00501B0F">
            <w:pPr>
              <w:pStyle w:val="TableText"/>
              <w:spacing w:before="40" w:after="40"/>
              <w:rPr>
                <w:rFonts w:cs="Calibri"/>
              </w:rPr>
            </w:pPr>
            <w:r w:rsidRPr="00261B7A">
              <w:rPr>
                <w:rFonts w:cs="Calibri"/>
              </w:rPr>
              <w:t>Deer</w:t>
            </w:r>
          </w:p>
        </w:tc>
        <w:tc>
          <w:tcPr>
            <w:tcW w:w="2548" w:type="dxa"/>
            <w:vAlign w:val="center"/>
          </w:tcPr>
          <w:p w14:paraId="09ECD2BE" w14:textId="77777777" w:rsidR="00994F64" w:rsidRPr="00261B7A" w:rsidRDefault="00994F64" w:rsidP="00501B0F">
            <w:pPr>
              <w:pStyle w:val="TableText"/>
              <w:spacing w:before="40" w:after="40"/>
              <w:jc w:val="center"/>
              <w:rPr>
                <w:rFonts w:cs="Calibri"/>
              </w:rPr>
            </w:pPr>
            <w:r w:rsidRPr="00261B7A">
              <w:rPr>
                <w:rFonts w:cs="Calibri"/>
              </w:rPr>
              <w:t>0.0074</w:t>
            </w:r>
          </w:p>
        </w:tc>
        <w:tc>
          <w:tcPr>
            <w:tcW w:w="2696" w:type="dxa"/>
            <w:vAlign w:val="center"/>
          </w:tcPr>
          <w:p w14:paraId="5D5D7AD8" w14:textId="77777777" w:rsidR="00994F64" w:rsidRPr="00261B7A" w:rsidRDefault="00994F64" w:rsidP="00501B0F">
            <w:pPr>
              <w:pStyle w:val="TableText"/>
              <w:spacing w:before="40" w:after="40"/>
              <w:jc w:val="center"/>
              <w:rPr>
                <w:rFonts w:cs="Calibri"/>
              </w:rPr>
            </w:pPr>
            <w:r w:rsidRPr="00261B7A">
              <w:rPr>
                <w:rFonts w:cs="Calibri"/>
              </w:rPr>
              <w:t>0.0020</w:t>
            </w:r>
          </w:p>
        </w:tc>
      </w:tr>
      <w:tr w:rsidR="00994F64" w:rsidRPr="00261B7A" w14:paraId="6213D214" w14:textId="77777777" w:rsidTr="00501B0F">
        <w:tc>
          <w:tcPr>
            <w:tcW w:w="3153" w:type="dxa"/>
          </w:tcPr>
          <w:p w14:paraId="0A271509" w14:textId="77777777" w:rsidR="00994F64" w:rsidRPr="00261B7A" w:rsidRDefault="00994F64" w:rsidP="00501B0F">
            <w:pPr>
              <w:pStyle w:val="TableText"/>
              <w:spacing w:before="40" w:after="40"/>
              <w:rPr>
                <w:rFonts w:cs="Calibri"/>
              </w:rPr>
            </w:pPr>
            <w:r w:rsidRPr="00261B7A">
              <w:rPr>
                <w:rFonts w:cs="Calibri"/>
              </w:rPr>
              <w:t xml:space="preserve">Sheep </w:t>
            </w:r>
          </w:p>
        </w:tc>
        <w:tc>
          <w:tcPr>
            <w:tcW w:w="2548" w:type="dxa"/>
            <w:vAlign w:val="center"/>
          </w:tcPr>
          <w:p w14:paraId="185EB7DD" w14:textId="77777777" w:rsidR="00994F64" w:rsidRPr="00261B7A" w:rsidRDefault="00994F64" w:rsidP="00501B0F">
            <w:pPr>
              <w:pStyle w:val="TableText"/>
              <w:spacing w:before="40" w:after="40"/>
              <w:jc w:val="center"/>
              <w:rPr>
                <w:rFonts w:cs="Calibri"/>
              </w:rPr>
            </w:pPr>
            <w:r w:rsidRPr="00261B7A">
              <w:rPr>
                <w:rFonts w:cs="Calibri"/>
              </w:rPr>
              <w:t>0.0050</w:t>
            </w:r>
          </w:p>
        </w:tc>
        <w:tc>
          <w:tcPr>
            <w:tcW w:w="2696" w:type="dxa"/>
            <w:vAlign w:val="center"/>
          </w:tcPr>
          <w:p w14:paraId="04C0589A" w14:textId="77777777" w:rsidR="00994F64" w:rsidRPr="00261B7A" w:rsidRDefault="00994F64" w:rsidP="00501B0F">
            <w:pPr>
              <w:pStyle w:val="TableText"/>
              <w:spacing w:before="40" w:after="40"/>
              <w:jc w:val="center"/>
              <w:rPr>
                <w:rFonts w:cs="Calibri"/>
              </w:rPr>
            </w:pPr>
            <w:r w:rsidRPr="00261B7A">
              <w:rPr>
                <w:rFonts w:cs="Calibri"/>
              </w:rPr>
              <w:t>0.0008</w:t>
            </w:r>
          </w:p>
        </w:tc>
      </w:tr>
    </w:tbl>
    <w:p w14:paraId="2D6F23B5" w14:textId="77777777" w:rsidR="00994F64" w:rsidRPr="00261B7A" w:rsidRDefault="00994F64" w:rsidP="00994F64">
      <w:pPr>
        <w:pStyle w:val="Table"/>
        <w:spacing w:before="320"/>
        <w:rPr>
          <w:rFonts w:cs="Calibri"/>
        </w:rPr>
      </w:pPr>
      <w:bookmarkStart w:id="1051" w:name="_Toc32570930"/>
      <w:bookmarkStart w:id="1052" w:name="_Toc36224565"/>
      <w:bookmarkStart w:id="1053" w:name="_Toc68786450"/>
      <w:bookmarkStart w:id="1054" w:name="_Toc95574083"/>
      <w:bookmarkStart w:id="1055" w:name="_Toc127458270"/>
      <w:bookmarkStart w:id="1056" w:name="_Toc131591366"/>
      <w:r w:rsidRPr="00261B7A">
        <w:rPr>
          <w:rFonts w:cs="Calibri"/>
        </w:rPr>
        <w:t>Table 5.5.4</w:t>
      </w:r>
      <w:r w:rsidRPr="00261B7A">
        <w:rPr>
          <w:rFonts w:cs="Calibri"/>
        </w:rPr>
        <w:tab/>
        <w:t>Parameters for indirect nitrous oxide (N</w:t>
      </w:r>
      <w:r w:rsidRPr="00261B7A">
        <w:rPr>
          <w:rFonts w:cs="Calibri"/>
          <w:vertAlign w:val="subscript"/>
        </w:rPr>
        <w:t>2</w:t>
      </w:r>
      <w:r w:rsidRPr="00261B7A">
        <w:rPr>
          <w:rFonts w:cs="Calibri"/>
        </w:rPr>
        <w:t xml:space="preserve">O) emissions from </w:t>
      </w:r>
      <w:r w:rsidRPr="00261B7A">
        <w:rPr>
          <w:rFonts w:cs="Calibri"/>
          <w:i/>
          <w:iCs/>
        </w:rPr>
        <w:t>Agricultural soils</w:t>
      </w:r>
      <w:r w:rsidRPr="00261B7A">
        <w:rPr>
          <w:rFonts w:cs="Calibri"/>
        </w:rPr>
        <w:t xml:space="preserve"> in New Zealand</w:t>
      </w:r>
      <w:bookmarkEnd w:id="1045"/>
      <w:bookmarkEnd w:id="1046"/>
      <w:bookmarkEnd w:id="1047"/>
      <w:bookmarkEnd w:id="1048"/>
      <w:bookmarkEnd w:id="1049"/>
      <w:bookmarkEnd w:id="1050"/>
      <w:bookmarkEnd w:id="1051"/>
      <w:bookmarkEnd w:id="1052"/>
      <w:bookmarkEnd w:id="1053"/>
      <w:bookmarkEnd w:id="1054"/>
      <w:bookmarkEnd w:id="1055"/>
      <w:bookmarkEnd w:id="1056"/>
    </w:p>
    <w:tbl>
      <w:tblPr>
        <w:tblW w:w="8505" w:type="dxa"/>
        <w:tblBorders>
          <w:top w:val="single" w:sz="4" w:space="0" w:color="365F91"/>
          <w:bottom w:val="single" w:sz="4" w:space="0" w:color="365F91"/>
          <w:insideH w:val="single" w:sz="4" w:space="0" w:color="365F91"/>
        </w:tblBorders>
        <w:tblLayout w:type="fixed"/>
        <w:tblCellMar>
          <w:left w:w="85" w:type="dxa"/>
          <w:right w:w="85" w:type="dxa"/>
        </w:tblCellMar>
        <w:tblLook w:val="01E0" w:firstRow="1" w:lastRow="1" w:firstColumn="1" w:lastColumn="1" w:noHBand="0" w:noVBand="0"/>
      </w:tblPr>
      <w:tblGrid>
        <w:gridCol w:w="2127"/>
        <w:gridCol w:w="992"/>
        <w:gridCol w:w="1559"/>
        <w:gridCol w:w="1701"/>
        <w:gridCol w:w="2126"/>
      </w:tblGrid>
      <w:tr w:rsidR="00994F64" w:rsidRPr="00261B7A" w14:paraId="1D168FB2" w14:textId="77777777" w:rsidTr="00501B0F">
        <w:trPr>
          <w:tblHeader/>
        </w:trPr>
        <w:tc>
          <w:tcPr>
            <w:tcW w:w="2127" w:type="dxa"/>
            <w:tcBorders>
              <w:top w:val="single" w:sz="4" w:space="0" w:color="1B556B" w:themeColor="text2"/>
              <w:bottom w:val="single" w:sz="4" w:space="0" w:color="1B556B" w:themeColor="text2"/>
              <w:right w:val="nil"/>
            </w:tcBorders>
            <w:shd w:val="clear" w:color="auto" w:fill="1B556B"/>
            <w:vAlign w:val="bottom"/>
          </w:tcPr>
          <w:p w14:paraId="1BB99373" w14:textId="77777777" w:rsidR="00994F64" w:rsidRPr="00261B7A" w:rsidRDefault="00994F64" w:rsidP="00501B0F">
            <w:pPr>
              <w:pStyle w:val="TableTextBold"/>
              <w:keepNext/>
              <w:spacing w:before="40" w:after="40"/>
              <w:rPr>
                <w:noProof w:val="0"/>
                <w:color w:val="FFFFFF" w:themeColor="background1"/>
              </w:rPr>
            </w:pPr>
            <w:r w:rsidRPr="00261B7A">
              <w:rPr>
                <w:noProof w:val="0"/>
                <w:color w:val="FFFFFF" w:themeColor="background1"/>
              </w:rPr>
              <w:t>Category</w:t>
            </w:r>
          </w:p>
        </w:tc>
        <w:tc>
          <w:tcPr>
            <w:tcW w:w="4252" w:type="dxa"/>
            <w:gridSpan w:val="3"/>
            <w:tcBorders>
              <w:top w:val="single" w:sz="4" w:space="0" w:color="1B556B" w:themeColor="text2"/>
              <w:left w:val="nil"/>
              <w:bottom w:val="single" w:sz="4" w:space="0" w:color="1B556B" w:themeColor="text2"/>
              <w:right w:val="nil"/>
            </w:tcBorders>
            <w:shd w:val="clear" w:color="auto" w:fill="1B556B"/>
            <w:vAlign w:val="bottom"/>
          </w:tcPr>
          <w:p w14:paraId="395A5B33" w14:textId="77777777" w:rsidR="00994F64" w:rsidRPr="00261B7A" w:rsidRDefault="00994F64" w:rsidP="00501B0F">
            <w:pPr>
              <w:pStyle w:val="TableTextBold"/>
              <w:keepNext/>
              <w:spacing w:before="40" w:after="40"/>
              <w:jc w:val="center"/>
              <w:rPr>
                <w:noProof w:val="0"/>
                <w:color w:val="FFFFFF" w:themeColor="background1"/>
              </w:rPr>
            </w:pPr>
            <w:r w:rsidRPr="00261B7A">
              <w:rPr>
                <w:noProof w:val="0"/>
                <w:color w:val="FFFFFF" w:themeColor="background1"/>
              </w:rPr>
              <w:t>Parameter</w:t>
            </w:r>
          </w:p>
        </w:tc>
        <w:tc>
          <w:tcPr>
            <w:tcW w:w="2126" w:type="dxa"/>
            <w:tcBorders>
              <w:top w:val="single" w:sz="4" w:space="0" w:color="1B556B" w:themeColor="text2"/>
              <w:left w:val="nil"/>
              <w:bottom w:val="single" w:sz="4" w:space="0" w:color="1B556B" w:themeColor="text2"/>
            </w:tcBorders>
            <w:shd w:val="clear" w:color="auto" w:fill="1B556B"/>
            <w:vAlign w:val="bottom"/>
          </w:tcPr>
          <w:p w14:paraId="5A6984C0" w14:textId="77777777" w:rsidR="00994F64" w:rsidRPr="00261B7A" w:rsidRDefault="00994F64" w:rsidP="00501B0F">
            <w:pPr>
              <w:pStyle w:val="TableTextBold"/>
              <w:keepNext/>
              <w:spacing w:before="40" w:after="40"/>
              <w:jc w:val="center"/>
              <w:rPr>
                <w:noProof w:val="0"/>
                <w:color w:val="FFFFFF" w:themeColor="background1"/>
              </w:rPr>
            </w:pPr>
            <w:r w:rsidRPr="00261B7A">
              <w:rPr>
                <w:noProof w:val="0"/>
                <w:color w:val="FFFFFF" w:themeColor="background1"/>
              </w:rPr>
              <w:t>Source</w:t>
            </w:r>
          </w:p>
        </w:tc>
      </w:tr>
      <w:tr w:rsidR="00994F64" w:rsidRPr="00261B7A" w14:paraId="01E0671F" w14:textId="77777777" w:rsidTr="00501B0F">
        <w:tc>
          <w:tcPr>
            <w:tcW w:w="8505" w:type="dxa"/>
            <w:gridSpan w:val="5"/>
            <w:tcBorders>
              <w:top w:val="single" w:sz="4" w:space="0" w:color="1B556B" w:themeColor="text2"/>
            </w:tcBorders>
          </w:tcPr>
          <w:p w14:paraId="05936042" w14:textId="77777777" w:rsidR="00994F64" w:rsidRPr="00261B7A" w:rsidRDefault="00994F64" w:rsidP="00501B0F">
            <w:pPr>
              <w:pStyle w:val="TableText"/>
              <w:spacing w:before="40" w:after="40"/>
              <w:rPr>
                <w:rFonts w:cs="Calibri"/>
                <w:b/>
                <w:bCs/>
              </w:rPr>
            </w:pPr>
            <w:r w:rsidRPr="00261B7A">
              <w:rPr>
                <w:rFonts w:cs="Calibri"/>
                <w:b/>
                <w:bCs/>
              </w:rPr>
              <w:t>3.D.2 Indirect N</w:t>
            </w:r>
            <w:r w:rsidRPr="00261B7A">
              <w:rPr>
                <w:rFonts w:cs="Calibri"/>
                <w:b/>
                <w:bCs/>
                <w:vertAlign w:val="subscript"/>
              </w:rPr>
              <w:t>2</w:t>
            </w:r>
            <w:r w:rsidRPr="00261B7A">
              <w:rPr>
                <w:rFonts w:cs="Calibri"/>
                <w:b/>
                <w:bCs/>
              </w:rPr>
              <w:t>O emissions</w:t>
            </w:r>
          </w:p>
        </w:tc>
      </w:tr>
      <w:tr w:rsidR="00994F64" w:rsidRPr="00261B7A" w14:paraId="635BF772" w14:textId="77777777" w:rsidTr="00501B0F">
        <w:tc>
          <w:tcPr>
            <w:tcW w:w="2127" w:type="dxa"/>
          </w:tcPr>
          <w:p w14:paraId="18E0CB02" w14:textId="77777777" w:rsidR="00994F64" w:rsidRPr="00261B7A" w:rsidRDefault="00994F64" w:rsidP="00501B0F">
            <w:pPr>
              <w:pStyle w:val="TableText"/>
              <w:spacing w:before="40" w:after="40"/>
              <w:rPr>
                <w:rFonts w:cs="Calibri"/>
              </w:rPr>
            </w:pPr>
            <w:r w:rsidRPr="00261B7A">
              <w:rPr>
                <w:rFonts w:cs="Calibri"/>
              </w:rPr>
              <w:t>Fraction of volatilisation from synthetic fertiliser</w:t>
            </w:r>
          </w:p>
        </w:tc>
        <w:tc>
          <w:tcPr>
            <w:tcW w:w="992" w:type="dxa"/>
          </w:tcPr>
          <w:p w14:paraId="02D8CECB" w14:textId="77777777" w:rsidR="00994F64" w:rsidRPr="00261B7A" w:rsidRDefault="00994F64" w:rsidP="00501B0F">
            <w:pPr>
              <w:pStyle w:val="TableText"/>
              <w:spacing w:before="40" w:after="40"/>
              <w:rPr>
                <w:rFonts w:cs="Calibri"/>
              </w:rPr>
            </w:pPr>
            <w:r w:rsidRPr="00261B7A">
              <w:rPr>
                <w:rFonts w:cs="Calibri"/>
              </w:rPr>
              <w:t>Frac</w:t>
            </w:r>
            <w:r w:rsidRPr="00261B7A">
              <w:rPr>
                <w:rFonts w:cs="Calibri"/>
                <w:vertAlign w:val="subscript"/>
              </w:rPr>
              <w:t>GASF</w:t>
            </w:r>
          </w:p>
        </w:tc>
        <w:tc>
          <w:tcPr>
            <w:tcW w:w="1559" w:type="dxa"/>
          </w:tcPr>
          <w:p w14:paraId="5281FBAA" w14:textId="77777777" w:rsidR="00994F64" w:rsidRPr="00261B7A" w:rsidRDefault="00994F64" w:rsidP="00501B0F">
            <w:pPr>
              <w:pStyle w:val="TableText"/>
              <w:spacing w:before="40" w:after="40"/>
              <w:rPr>
                <w:rFonts w:cs="Calibri"/>
              </w:rPr>
            </w:pPr>
            <w:r w:rsidRPr="00261B7A">
              <w:rPr>
                <w:rFonts w:cs="Calibri"/>
              </w:rPr>
              <w:t xml:space="preserve">0.1 </w:t>
            </w:r>
          </w:p>
        </w:tc>
        <w:tc>
          <w:tcPr>
            <w:tcW w:w="1701" w:type="dxa"/>
          </w:tcPr>
          <w:p w14:paraId="5FA09242" w14:textId="77777777" w:rsidR="00994F64" w:rsidRPr="00261B7A" w:rsidRDefault="00994F64" w:rsidP="00501B0F">
            <w:pPr>
              <w:pStyle w:val="TableText"/>
              <w:spacing w:before="40" w:after="40"/>
              <w:rPr>
                <w:rFonts w:cs="Calibri"/>
              </w:rPr>
            </w:pPr>
            <w:r w:rsidRPr="00261B7A">
              <w:rPr>
                <w:rFonts w:cs="Calibri"/>
              </w:rPr>
              <w:t>kg NH</w:t>
            </w:r>
            <w:r w:rsidRPr="00261B7A">
              <w:rPr>
                <w:rFonts w:cs="Calibri"/>
                <w:vertAlign w:val="subscript"/>
              </w:rPr>
              <w:t>3</w:t>
            </w:r>
            <w:r w:rsidRPr="00261B7A">
              <w:rPr>
                <w:rFonts w:cs="Calibri"/>
              </w:rPr>
              <w:t>-N + NO</w:t>
            </w:r>
            <w:r w:rsidRPr="00261B7A">
              <w:rPr>
                <w:rFonts w:cs="Calibri"/>
                <w:vertAlign w:val="subscript"/>
              </w:rPr>
              <w:t>x</w:t>
            </w:r>
            <w:r w:rsidRPr="00261B7A">
              <w:rPr>
                <w:rFonts w:cs="Calibri"/>
              </w:rPr>
              <w:t>-N/kg N</w:t>
            </w:r>
          </w:p>
        </w:tc>
        <w:tc>
          <w:tcPr>
            <w:tcW w:w="2126" w:type="dxa"/>
          </w:tcPr>
          <w:p w14:paraId="2E17D53B" w14:textId="77777777" w:rsidR="00994F64" w:rsidRPr="00261B7A" w:rsidRDefault="00994F64" w:rsidP="00501B0F">
            <w:pPr>
              <w:pStyle w:val="TableText"/>
              <w:spacing w:before="40" w:after="40"/>
              <w:rPr>
                <w:rFonts w:cs="Calibri"/>
              </w:rPr>
            </w:pPr>
            <w:r w:rsidRPr="00261B7A">
              <w:rPr>
                <w:rFonts w:cs="Calibri"/>
              </w:rPr>
              <w:t>IPCC (2006), verified by Sherlock et al. (2008)</w:t>
            </w:r>
          </w:p>
        </w:tc>
      </w:tr>
      <w:tr w:rsidR="00994F64" w:rsidRPr="00261B7A" w14:paraId="5605D9A8" w14:textId="77777777" w:rsidTr="00501B0F">
        <w:tc>
          <w:tcPr>
            <w:tcW w:w="2127" w:type="dxa"/>
          </w:tcPr>
          <w:p w14:paraId="5A30C766" w14:textId="77777777" w:rsidR="00994F64" w:rsidRPr="00261B7A" w:rsidRDefault="00994F64" w:rsidP="00501B0F">
            <w:pPr>
              <w:pStyle w:val="TableText"/>
              <w:spacing w:before="40" w:after="40"/>
              <w:rPr>
                <w:rFonts w:cs="Calibri"/>
              </w:rPr>
            </w:pPr>
            <w:r w:rsidRPr="00261B7A">
              <w:rPr>
                <w:rFonts w:cs="Calibri"/>
              </w:rPr>
              <w:t xml:space="preserve">Fraction of volatilisation from organic nitrogen additions including pasture manure </w:t>
            </w:r>
          </w:p>
        </w:tc>
        <w:tc>
          <w:tcPr>
            <w:tcW w:w="992" w:type="dxa"/>
            <w:tcBorders>
              <w:bottom w:val="single" w:sz="4" w:space="0" w:color="365F91"/>
            </w:tcBorders>
          </w:tcPr>
          <w:p w14:paraId="1C5E7EFB" w14:textId="77777777" w:rsidR="00994F64" w:rsidRPr="00261B7A" w:rsidRDefault="00994F64" w:rsidP="00501B0F">
            <w:pPr>
              <w:pStyle w:val="TableText"/>
              <w:spacing w:before="40" w:after="40"/>
              <w:rPr>
                <w:rFonts w:cs="Calibri"/>
              </w:rPr>
            </w:pPr>
            <w:r w:rsidRPr="00261B7A">
              <w:rPr>
                <w:rFonts w:cs="Calibri"/>
              </w:rPr>
              <w:t>Frac</w:t>
            </w:r>
            <w:r w:rsidRPr="00261B7A">
              <w:rPr>
                <w:rFonts w:cs="Calibri"/>
                <w:vertAlign w:val="subscript"/>
              </w:rPr>
              <w:t>GASM</w:t>
            </w:r>
          </w:p>
        </w:tc>
        <w:tc>
          <w:tcPr>
            <w:tcW w:w="1559" w:type="dxa"/>
            <w:tcBorders>
              <w:bottom w:val="single" w:sz="4" w:space="0" w:color="365F91"/>
            </w:tcBorders>
          </w:tcPr>
          <w:p w14:paraId="703A1E60" w14:textId="77777777" w:rsidR="00994F64" w:rsidRPr="00261B7A" w:rsidRDefault="00994F64" w:rsidP="00501B0F">
            <w:pPr>
              <w:pStyle w:val="TableText"/>
              <w:spacing w:before="40" w:after="40"/>
              <w:rPr>
                <w:rFonts w:cs="Calibri"/>
              </w:rPr>
            </w:pPr>
            <w:r w:rsidRPr="00261B7A">
              <w:rPr>
                <w:rFonts w:cs="Calibri"/>
              </w:rPr>
              <w:t>0.1</w:t>
            </w:r>
          </w:p>
        </w:tc>
        <w:tc>
          <w:tcPr>
            <w:tcW w:w="1701" w:type="dxa"/>
            <w:tcBorders>
              <w:bottom w:val="single" w:sz="4" w:space="0" w:color="365F91"/>
            </w:tcBorders>
          </w:tcPr>
          <w:p w14:paraId="00AC35C0" w14:textId="77777777" w:rsidR="00994F64" w:rsidRPr="00261B7A" w:rsidRDefault="00994F64" w:rsidP="00501B0F">
            <w:pPr>
              <w:pStyle w:val="TableText"/>
              <w:spacing w:before="40" w:after="40"/>
              <w:rPr>
                <w:rFonts w:cs="Calibri"/>
              </w:rPr>
            </w:pPr>
            <w:r w:rsidRPr="00261B7A">
              <w:rPr>
                <w:rFonts w:cs="Calibri"/>
              </w:rPr>
              <w:t>kg NH</w:t>
            </w:r>
            <w:r w:rsidRPr="00261B7A">
              <w:rPr>
                <w:rFonts w:cs="Calibri"/>
                <w:vertAlign w:val="subscript"/>
              </w:rPr>
              <w:t>3</w:t>
            </w:r>
            <w:r w:rsidRPr="00261B7A">
              <w:rPr>
                <w:rFonts w:cs="Calibri"/>
              </w:rPr>
              <w:t>-N + NO</w:t>
            </w:r>
            <w:r w:rsidRPr="00261B7A">
              <w:rPr>
                <w:rFonts w:cs="Calibri"/>
                <w:vertAlign w:val="subscript"/>
              </w:rPr>
              <w:t>x</w:t>
            </w:r>
            <w:r w:rsidRPr="00261B7A">
              <w:rPr>
                <w:rFonts w:cs="Calibri"/>
              </w:rPr>
              <w:t>-N/kg N</w:t>
            </w:r>
          </w:p>
        </w:tc>
        <w:tc>
          <w:tcPr>
            <w:tcW w:w="2126" w:type="dxa"/>
            <w:tcBorders>
              <w:bottom w:val="single" w:sz="4" w:space="0" w:color="365F91"/>
            </w:tcBorders>
          </w:tcPr>
          <w:p w14:paraId="6996B760" w14:textId="77777777" w:rsidR="00994F64" w:rsidRPr="00261B7A" w:rsidRDefault="00994F64" w:rsidP="00501B0F">
            <w:pPr>
              <w:pStyle w:val="TableText"/>
              <w:spacing w:before="40" w:after="40"/>
              <w:rPr>
                <w:rFonts w:cs="Calibri"/>
              </w:rPr>
            </w:pPr>
            <w:r w:rsidRPr="00261B7A">
              <w:rPr>
                <w:rFonts w:cs="Calibri"/>
              </w:rPr>
              <w:t>Sherlock et al. (2008)</w:t>
            </w:r>
          </w:p>
        </w:tc>
      </w:tr>
      <w:tr w:rsidR="00994F64" w:rsidRPr="00261B7A" w14:paraId="0E8FABC6" w14:textId="77777777" w:rsidTr="00501B0F">
        <w:tc>
          <w:tcPr>
            <w:tcW w:w="2127" w:type="dxa"/>
            <w:vMerge w:val="restart"/>
          </w:tcPr>
          <w:p w14:paraId="397BEA08" w14:textId="77777777" w:rsidR="00994F64" w:rsidRPr="00261B7A" w:rsidRDefault="00994F64" w:rsidP="00501B0F">
            <w:pPr>
              <w:pStyle w:val="TableText"/>
              <w:spacing w:before="40" w:after="40"/>
              <w:rPr>
                <w:rFonts w:cs="Calibri"/>
              </w:rPr>
            </w:pPr>
            <w:r w:rsidRPr="00261B7A">
              <w:rPr>
                <w:rFonts w:cs="Calibri"/>
              </w:rPr>
              <w:t>Fraction of leaching and runoff from all nitrogen applied to soil</w:t>
            </w:r>
          </w:p>
        </w:tc>
        <w:tc>
          <w:tcPr>
            <w:tcW w:w="992" w:type="dxa"/>
            <w:tcBorders>
              <w:top w:val="single" w:sz="4" w:space="0" w:color="365F91"/>
              <w:left w:val="nil"/>
              <w:bottom w:val="single" w:sz="4" w:space="0" w:color="365F91"/>
              <w:right w:val="nil"/>
            </w:tcBorders>
            <w:shd w:val="clear" w:color="auto" w:fill="auto"/>
            <w:vAlign w:val="center"/>
          </w:tcPr>
          <w:p w14:paraId="61CE133D" w14:textId="77777777" w:rsidR="00994F64" w:rsidRPr="00261B7A" w:rsidRDefault="00994F64" w:rsidP="00501B0F">
            <w:pPr>
              <w:pStyle w:val="TableText"/>
              <w:spacing w:before="40" w:after="40"/>
              <w:rPr>
                <w:rFonts w:asciiTheme="minorHAnsi" w:hAnsiTheme="minorHAnsi" w:cstheme="minorHAnsi"/>
                <w:szCs w:val="16"/>
              </w:rPr>
            </w:pPr>
            <w:r w:rsidRPr="00261B7A">
              <w:rPr>
                <w:rFonts w:asciiTheme="minorHAnsi" w:hAnsiTheme="minorHAnsi" w:cstheme="minorHAnsi"/>
                <w:szCs w:val="16"/>
              </w:rPr>
              <w:t>Cropland Frac</w:t>
            </w:r>
            <w:r w:rsidRPr="00261B7A">
              <w:rPr>
                <w:rFonts w:asciiTheme="minorHAnsi" w:hAnsiTheme="minorHAnsi" w:cstheme="minorHAnsi"/>
                <w:szCs w:val="16"/>
                <w:vertAlign w:val="subscript"/>
              </w:rPr>
              <w:t>LEACH – (H)</w:t>
            </w:r>
          </w:p>
        </w:tc>
        <w:tc>
          <w:tcPr>
            <w:tcW w:w="1559" w:type="dxa"/>
            <w:tcBorders>
              <w:top w:val="single" w:sz="4" w:space="0" w:color="365F91"/>
              <w:left w:val="nil"/>
              <w:bottom w:val="single" w:sz="4" w:space="0" w:color="365F91"/>
              <w:right w:val="nil"/>
            </w:tcBorders>
            <w:shd w:val="clear" w:color="auto" w:fill="auto"/>
            <w:vAlign w:val="center"/>
          </w:tcPr>
          <w:p w14:paraId="39C4FF4D" w14:textId="77777777" w:rsidR="00994F64" w:rsidRPr="00261B7A" w:rsidRDefault="00994F64" w:rsidP="00501B0F">
            <w:pPr>
              <w:pStyle w:val="TableText"/>
              <w:spacing w:before="40" w:after="40"/>
              <w:rPr>
                <w:rFonts w:asciiTheme="minorHAnsi" w:hAnsiTheme="minorHAnsi" w:cstheme="minorHAnsi"/>
                <w:szCs w:val="16"/>
              </w:rPr>
            </w:pPr>
            <w:r w:rsidRPr="00261B7A">
              <w:rPr>
                <w:rFonts w:asciiTheme="minorHAnsi" w:hAnsiTheme="minorHAnsi" w:cstheme="minorHAnsi"/>
                <w:szCs w:val="16"/>
              </w:rPr>
              <w:t>0.1</w:t>
            </w:r>
          </w:p>
        </w:tc>
        <w:tc>
          <w:tcPr>
            <w:tcW w:w="1701" w:type="dxa"/>
            <w:tcBorders>
              <w:top w:val="single" w:sz="4" w:space="0" w:color="365F91"/>
              <w:left w:val="nil"/>
              <w:bottom w:val="single" w:sz="4" w:space="0" w:color="365F91"/>
              <w:right w:val="nil"/>
            </w:tcBorders>
            <w:shd w:val="clear" w:color="auto" w:fill="auto"/>
            <w:vAlign w:val="center"/>
          </w:tcPr>
          <w:p w14:paraId="5582F547" w14:textId="77777777" w:rsidR="00994F64" w:rsidRPr="00261B7A" w:rsidRDefault="00994F64" w:rsidP="00501B0F">
            <w:pPr>
              <w:pStyle w:val="TableText"/>
              <w:spacing w:before="40" w:after="40"/>
              <w:rPr>
                <w:rFonts w:asciiTheme="minorHAnsi" w:hAnsiTheme="minorHAnsi" w:cstheme="minorHAnsi"/>
                <w:szCs w:val="16"/>
              </w:rPr>
            </w:pPr>
            <w:r w:rsidRPr="00261B7A">
              <w:rPr>
                <w:rFonts w:asciiTheme="minorHAnsi" w:hAnsiTheme="minorHAnsi" w:cstheme="minorHAnsi"/>
                <w:szCs w:val="16"/>
              </w:rPr>
              <w:t>kg N/kg N</w:t>
            </w:r>
          </w:p>
        </w:tc>
        <w:tc>
          <w:tcPr>
            <w:tcW w:w="2126" w:type="dxa"/>
            <w:tcBorders>
              <w:top w:val="single" w:sz="4" w:space="0" w:color="365F91"/>
              <w:left w:val="nil"/>
              <w:bottom w:val="single" w:sz="4" w:space="0" w:color="365F91"/>
              <w:right w:val="nil"/>
            </w:tcBorders>
            <w:shd w:val="clear" w:color="auto" w:fill="auto"/>
            <w:vAlign w:val="center"/>
          </w:tcPr>
          <w:p w14:paraId="1C088980" w14:textId="77777777" w:rsidR="00994F64" w:rsidRPr="00261B7A" w:rsidRDefault="00994F64" w:rsidP="00501B0F">
            <w:pPr>
              <w:pStyle w:val="TableText"/>
              <w:spacing w:before="40" w:after="40"/>
              <w:rPr>
                <w:rFonts w:asciiTheme="minorHAnsi" w:hAnsiTheme="minorHAnsi" w:cstheme="minorHAnsi"/>
                <w:szCs w:val="16"/>
              </w:rPr>
            </w:pPr>
            <w:r w:rsidRPr="00261B7A">
              <w:rPr>
                <w:rFonts w:asciiTheme="minorHAnsi" w:hAnsiTheme="minorHAnsi" w:cstheme="minorHAnsi"/>
                <w:szCs w:val="16"/>
              </w:rPr>
              <w:t>Welten et al. (2021)</w:t>
            </w:r>
          </w:p>
        </w:tc>
      </w:tr>
      <w:tr w:rsidR="00994F64" w:rsidRPr="00261B7A" w14:paraId="0C97808C" w14:textId="77777777" w:rsidTr="00501B0F">
        <w:tc>
          <w:tcPr>
            <w:tcW w:w="2127" w:type="dxa"/>
            <w:vMerge/>
          </w:tcPr>
          <w:p w14:paraId="38BD8E37" w14:textId="77777777" w:rsidR="00994F64" w:rsidRPr="00261B7A" w:rsidRDefault="00994F64" w:rsidP="00501B0F">
            <w:pPr>
              <w:pStyle w:val="TableText"/>
              <w:spacing w:before="40" w:after="40"/>
              <w:rPr>
                <w:rFonts w:cs="Calibri"/>
              </w:rPr>
            </w:pPr>
          </w:p>
        </w:tc>
        <w:tc>
          <w:tcPr>
            <w:tcW w:w="992" w:type="dxa"/>
            <w:tcBorders>
              <w:top w:val="single" w:sz="4" w:space="0" w:color="365F91"/>
              <w:left w:val="nil"/>
              <w:bottom w:val="single" w:sz="4" w:space="0" w:color="365F91"/>
              <w:right w:val="nil"/>
            </w:tcBorders>
            <w:shd w:val="clear" w:color="auto" w:fill="auto"/>
            <w:vAlign w:val="center"/>
          </w:tcPr>
          <w:p w14:paraId="5B05B22A" w14:textId="77777777" w:rsidR="00994F64" w:rsidRPr="00261B7A" w:rsidRDefault="00994F64" w:rsidP="00501B0F">
            <w:pPr>
              <w:pStyle w:val="TableText"/>
              <w:spacing w:before="40" w:after="40"/>
              <w:rPr>
                <w:rFonts w:asciiTheme="minorHAnsi" w:hAnsiTheme="minorHAnsi" w:cstheme="minorHAnsi"/>
                <w:szCs w:val="16"/>
              </w:rPr>
            </w:pPr>
            <w:r w:rsidRPr="00261B7A">
              <w:rPr>
                <w:rFonts w:asciiTheme="minorHAnsi" w:hAnsiTheme="minorHAnsi" w:cstheme="minorHAnsi"/>
                <w:szCs w:val="16"/>
              </w:rPr>
              <w:t>Grassland Frac</w:t>
            </w:r>
            <w:r w:rsidRPr="00261B7A">
              <w:rPr>
                <w:rFonts w:asciiTheme="minorHAnsi" w:hAnsiTheme="minorHAnsi" w:cstheme="minorHAnsi"/>
                <w:szCs w:val="16"/>
                <w:vertAlign w:val="subscript"/>
              </w:rPr>
              <w:t>LEACH – (H)</w:t>
            </w:r>
          </w:p>
        </w:tc>
        <w:tc>
          <w:tcPr>
            <w:tcW w:w="1559" w:type="dxa"/>
            <w:tcBorders>
              <w:top w:val="single" w:sz="4" w:space="0" w:color="365F91"/>
              <w:left w:val="nil"/>
              <w:bottom w:val="single" w:sz="4" w:space="0" w:color="365F91"/>
              <w:right w:val="nil"/>
            </w:tcBorders>
            <w:shd w:val="clear" w:color="auto" w:fill="auto"/>
            <w:vAlign w:val="center"/>
          </w:tcPr>
          <w:p w14:paraId="0490DB77" w14:textId="77777777" w:rsidR="00994F64" w:rsidRPr="00261B7A" w:rsidRDefault="00994F64" w:rsidP="00501B0F">
            <w:pPr>
              <w:pStyle w:val="TableText"/>
              <w:spacing w:before="40" w:after="40"/>
              <w:rPr>
                <w:rFonts w:asciiTheme="minorHAnsi" w:hAnsiTheme="minorHAnsi" w:cstheme="minorHAnsi"/>
                <w:szCs w:val="16"/>
              </w:rPr>
            </w:pPr>
            <w:r w:rsidRPr="00261B7A">
              <w:rPr>
                <w:rFonts w:asciiTheme="minorHAnsi" w:hAnsiTheme="minorHAnsi" w:cstheme="minorHAnsi"/>
                <w:szCs w:val="16"/>
              </w:rPr>
              <w:t>0.08</w:t>
            </w:r>
          </w:p>
        </w:tc>
        <w:tc>
          <w:tcPr>
            <w:tcW w:w="1701" w:type="dxa"/>
            <w:tcBorders>
              <w:top w:val="single" w:sz="4" w:space="0" w:color="365F91"/>
              <w:left w:val="nil"/>
              <w:bottom w:val="single" w:sz="4" w:space="0" w:color="365F91"/>
              <w:right w:val="nil"/>
            </w:tcBorders>
            <w:shd w:val="clear" w:color="auto" w:fill="auto"/>
            <w:vAlign w:val="center"/>
          </w:tcPr>
          <w:p w14:paraId="44400E6A" w14:textId="77777777" w:rsidR="00994F64" w:rsidRPr="00261B7A" w:rsidRDefault="00994F64" w:rsidP="00501B0F">
            <w:pPr>
              <w:pStyle w:val="TableText"/>
              <w:spacing w:before="40" w:after="40"/>
              <w:rPr>
                <w:rFonts w:asciiTheme="minorHAnsi" w:hAnsiTheme="minorHAnsi" w:cstheme="minorHAnsi"/>
                <w:szCs w:val="16"/>
              </w:rPr>
            </w:pPr>
            <w:r w:rsidRPr="00261B7A">
              <w:rPr>
                <w:rFonts w:asciiTheme="minorHAnsi" w:hAnsiTheme="minorHAnsi" w:cstheme="minorHAnsi"/>
                <w:szCs w:val="16"/>
              </w:rPr>
              <w:t>kg N/kg N</w:t>
            </w:r>
          </w:p>
        </w:tc>
        <w:tc>
          <w:tcPr>
            <w:tcW w:w="2126" w:type="dxa"/>
            <w:tcBorders>
              <w:top w:val="single" w:sz="4" w:space="0" w:color="365F91"/>
              <w:left w:val="nil"/>
              <w:bottom w:val="single" w:sz="4" w:space="0" w:color="365F91"/>
              <w:right w:val="nil"/>
            </w:tcBorders>
            <w:shd w:val="clear" w:color="auto" w:fill="auto"/>
            <w:vAlign w:val="center"/>
          </w:tcPr>
          <w:p w14:paraId="6875DC76" w14:textId="77777777" w:rsidR="00994F64" w:rsidRPr="00261B7A" w:rsidRDefault="00994F64" w:rsidP="00501B0F">
            <w:pPr>
              <w:pStyle w:val="TableText"/>
              <w:spacing w:before="40" w:after="40"/>
              <w:rPr>
                <w:rFonts w:asciiTheme="minorHAnsi" w:hAnsiTheme="minorHAnsi" w:cstheme="minorHAnsi"/>
                <w:szCs w:val="16"/>
              </w:rPr>
            </w:pPr>
            <w:r w:rsidRPr="00261B7A">
              <w:rPr>
                <w:rFonts w:asciiTheme="minorHAnsi" w:hAnsiTheme="minorHAnsi" w:cstheme="minorHAnsi"/>
                <w:szCs w:val="16"/>
              </w:rPr>
              <w:t>Welten et al. (2021)</w:t>
            </w:r>
          </w:p>
        </w:tc>
      </w:tr>
      <w:tr w:rsidR="00994F64" w:rsidRPr="00261B7A" w14:paraId="4A481653" w14:textId="77777777" w:rsidTr="00501B0F">
        <w:tc>
          <w:tcPr>
            <w:tcW w:w="2127" w:type="dxa"/>
            <w:vMerge/>
          </w:tcPr>
          <w:p w14:paraId="2B2B40FE" w14:textId="77777777" w:rsidR="00994F64" w:rsidRPr="00261B7A" w:rsidRDefault="00994F64" w:rsidP="00501B0F">
            <w:pPr>
              <w:pStyle w:val="TableText"/>
              <w:spacing w:before="40" w:after="40"/>
              <w:rPr>
                <w:rFonts w:cs="Calibri"/>
              </w:rPr>
            </w:pPr>
          </w:p>
        </w:tc>
        <w:tc>
          <w:tcPr>
            <w:tcW w:w="992" w:type="dxa"/>
            <w:tcBorders>
              <w:top w:val="single" w:sz="4" w:space="0" w:color="365F91"/>
              <w:left w:val="nil"/>
              <w:bottom w:val="single" w:sz="4" w:space="0" w:color="365F91"/>
              <w:right w:val="nil"/>
            </w:tcBorders>
            <w:shd w:val="clear" w:color="auto" w:fill="auto"/>
            <w:vAlign w:val="center"/>
          </w:tcPr>
          <w:p w14:paraId="35692AB6" w14:textId="77777777" w:rsidR="00994F64" w:rsidRPr="00261B7A" w:rsidRDefault="00994F64" w:rsidP="00501B0F">
            <w:pPr>
              <w:pStyle w:val="TableText"/>
              <w:spacing w:before="40" w:after="40"/>
              <w:rPr>
                <w:rFonts w:asciiTheme="minorHAnsi" w:hAnsiTheme="minorHAnsi" w:cstheme="minorHAnsi"/>
                <w:szCs w:val="16"/>
              </w:rPr>
            </w:pPr>
            <w:r w:rsidRPr="00261B7A">
              <w:rPr>
                <w:rFonts w:asciiTheme="minorHAnsi" w:hAnsiTheme="minorHAnsi" w:cstheme="minorHAnsi"/>
                <w:szCs w:val="16"/>
              </w:rPr>
              <w:t>Synthetic N fertiliser Frac</w:t>
            </w:r>
            <w:r w:rsidRPr="00261B7A">
              <w:rPr>
                <w:rFonts w:asciiTheme="minorHAnsi" w:hAnsiTheme="minorHAnsi" w:cstheme="minorHAnsi"/>
                <w:szCs w:val="16"/>
                <w:vertAlign w:val="subscript"/>
              </w:rPr>
              <w:t>LEACH-(H)</w:t>
            </w:r>
          </w:p>
        </w:tc>
        <w:tc>
          <w:tcPr>
            <w:tcW w:w="1559" w:type="dxa"/>
            <w:tcBorders>
              <w:top w:val="single" w:sz="4" w:space="0" w:color="365F91"/>
              <w:left w:val="nil"/>
              <w:bottom w:val="single" w:sz="4" w:space="0" w:color="365F91"/>
              <w:right w:val="nil"/>
            </w:tcBorders>
            <w:shd w:val="clear" w:color="auto" w:fill="auto"/>
            <w:vAlign w:val="center"/>
          </w:tcPr>
          <w:p w14:paraId="1E986B2D" w14:textId="77777777" w:rsidR="00994F64" w:rsidRPr="00261B7A" w:rsidRDefault="00994F64" w:rsidP="00501B0F">
            <w:pPr>
              <w:pStyle w:val="TableText"/>
              <w:spacing w:before="40" w:after="40"/>
              <w:rPr>
                <w:rFonts w:asciiTheme="minorHAnsi" w:hAnsiTheme="minorHAnsi" w:cstheme="minorHAnsi"/>
                <w:szCs w:val="16"/>
              </w:rPr>
            </w:pPr>
            <w:r w:rsidRPr="00261B7A">
              <w:rPr>
                <w:rFonts w:asciiTheme="minorHAnsi" w:hAnsiTheme="minorHAnsi" w:cstheme="minorHAnsi"/>
                <w:szCs w:val="16"/>
              </w:rPr>
              <w:t>0.082</w:t>
            </w:r>
          </w:p>
        </w:tc>
        <w:tc>
          <w:tcPr>
            <w:tcW w:w="1701" w:type="dxa"/>
            <w:tcBorders>
              <w:top w:val="single" w:sz="4" w:space="0" w:color="365F91"/>
              <w:left w:val="nil"/>
              <w:bottom w:val="single" w:sz="4" w:space="0" w:color="365F91"/>
              <w:right w:val="nil"/>
            </w:tcBorders>
            <w:shd w:val="clear" w:color="auto" w:fill="auto"/>
            <w:vAlign w:val="center"/>
          </w:tcPr>
          <w:p w14:paraId="585455C4" w14:textId="77777777" w:rsidR="00994F64" w:rsidRPr="00261B7A" w:rsidRDefault="00994F64" w:rsidP="00501B0F">
            <w:pPr>
              <w:pStyle w:val="TableText"/>
              <w:spacing w:before="40" w:after="40"/>
              <w:rPr>
                <w:rFonts w:asciiTheme="minorHAnsi" w:hAnsiTheme="minorHAnsi" w:cstheme="minorHAnsi"/>
                <w:szCs w:val="16"/>
              </w:rPr>
            </w:pPr>
            <w:r w:rsidRPr="00261B7A">
              <w:rPr>
                <w:rFonts w:asciiTheme="minorHAnsi" w:hAnsiTheme="minorHAnsi" w:cstheme="minorHAnsi"/>
                <w:szCs w:val="16"/>
              </w:rPr>
              <w:t>kg N/kg N</w:t>
            </w:r>
          </w:p>
        </w:tc>
        <w:tc>
          <w:tcPr>
            <w:tcW w:w="2126" w:type="dxa"/>
            <w:tcBorders>
              <w:top w:val="single" w:sz="4" w:space="0" w:color="365F91"/>
              <w:left w:val="nil"/>
              <w:bottom w:val="single" w:sz="4" w:space="0" w:color="365F91"/>
              <w:right w:val="nil"/>
            </w:tcBorders>
            <w:shd w:val="clear" w:color="auto" w:fill="auto"/>
            <w:vAlign w:val="center"/>
          </w:tcPr>
          <w:p w14:paraId="366B37CA" w14:textId="77777777" w:rsidR="00994F64" w:rsidRPr="00261B7A" w:rsidRDefault="00994F64" w:rsidP="00501B0F">
            <w:pPr>
              <w:pStyle w:val="TableText"/>
              <w:spacing w:before="40" w:after="40"/>
              <w:rPr>
                <w:rFonts w:asciiTheme="minorHAnsi" w:hAnsiTheme="minorHAnsi" w:cstheme="minorHAnsi"/>
                <w:szCs w:val="16"/>
              </w:rPr>
            </w:pPr>
            <w:r w:rsidRPr="00261B7A">
              <w:rPr>
                <w:rFonts w:asciiTheme="minorHAnsi" w:hAnsiTheme="minorHAnsi" w:cstheme="minorHAnsi"/>
                <w:szCs w:val="16"/>
              </w:rPr>
              <w:t>Calculated based off of Welten et al. (2021)</w:t>
            </w:r>
          </w:p>
        </w:tc>
      </w:tr>
      <w:tr w:rsidR="00994F64" w:rsidRPr="00261B7A" w14:paraId="0D91DFC9" w14:textId="77777777" w:rsidTr="00501B0F">
        <w:tc>
          <w:tcPr>
            <w:tcW w:w="2127" w:type="dxa"/>
          </w:tcPr>
          <w:p w14:paraId="4A8D551A" w14:textId="77777777" w:rsidR="00994F64" w:rsidRPr="00261B7A" w:rsidRDefault="00994F64" w:rsidP="00501B0F">
            <w:pPr>
              <w:pStyle w:val="TableText"/>
              <w:spacing w:before="40" w:after="40"/>
              <w:rPr>
                <w:rFonts w:cs="Calibri"/>
              </w:rPr>
            </w:pPr>
            <w:r w:rsidRPr="00261B7A">
              <w:rPr>
                <w:rFonts w:cs="Calibri"/>
              </w:rPr>
              <w:t xml:space="preserve">Fraction of crop residue burned in the field </w:t>
            </w:r>
          </w:p>
        </w:tc>
        <w:tc>
          <w:tcPr>
            <w:tcW w:w="992" w:type="dxa"/>
            <w:tcBorders>
              <w:top w:val="single" w:sz="4" w:space="0" w:color="365F91"/>
            </w:tcBorders>
          </w:tcPr>
          <w:p w14:paraId="2B06B651" w14:textId="77777777" w:rsidR="00994F64" w:rsidRPr="00261B7A" w:rsidRDefault="00994F64" w:rsidP="00501B0F">
            <w:pPr>
              <w:pStyle w:val="TableText"/>
              <w:spacing w:before="40" w:after="40"/>
              <w:rPr>
                <w:rFonts w:cs="Calibri"/>
              </w:rPr>
            </w:pPr>
            <w:r w:rsidRPr="00261B7A">
              <w:rPr>
                <w:rFonts w:cs="Calibri"/>
              </w:rPr>
              <w:t>Frac</w:t>
            </w:r>
            <w:r w:rsidRPr="00261B7A">
              <w:rPr>
                <w:rFonts w:cs="Calibri"/>
                <w:vertAlign w:val="subscript"/>
              </w:rPr>
              <w:t>BURN</w:t>
            </w:r>
          </w:p>
        </w:tc>
        <w:tc>
          <w:tcPr>
            <w:tcW w:w="1559" w:type="dxa"/>
            <w:tcBorders>
              <w:top w:val="single" w:sz="4" w:space="0" w:color="365F91"/>
            </w:tcBorders>
          </w:tcPr>
          <w:p w14:paraId="3B8CFC2C" w14:textId="77777777" w:rsidR="00994F64" w:rsidRPr="00261B7A" w:rsidRDefault="00994F64" w:rsidP="00501B0F">
            <w:pPr>
              <w:pStyle w:val="TableText"/>
              <w:spacing w:before="40" w:after="40"/>
              <w:rPr>
                <w:rFonts w:cs="Calibri"/>
              </w:rPr>
            </w:pPr>
            <w:r w:rsidRPr="00261B7A">
              <w:rPr>
                <w:rFonts w:cs="Calibri"/>
              </w:rPr>
              <w:t>Crop-specific</w:t>
            </w:r>
          </w:p>
        </w:tc>
        <w:tc>
          <w:tcPr>
            <w:tcW w:w="1701" w:type="dxa"/>
            <w:tcBorders>
              <w:top w:val="single" w:sz="4" w:space="0" w:color="365F91"/>
            </w:tcBorders>
          </w:tcPr>
          <w:p w14:paraId="2AB2E70C" w14:textId="77777777" w:rsidR="00994F64" w:rsidRPr="00261B7A" w:rsidRDefault="00994F64" w:rsidP="00501B0F">
            <w:pPr>
              <w:pStyle w:val="TableText"/>
              <w:spacing w:before="40" w:after="40"/>
              <w:rPr>
                <w:rFonts w:cs="Calibri"/>
              </w:rPr>
            </w:pPr>
            <w:r w:rsidRPr="00261B7A">
              <w:rPr>
                <w:rFonts w:cs="Calibri"/>
              </w:rPr>
              <w:t>kg N/kg crop-N</w:t>
            </w:r>
          </w:p>
        </w:tc>
        <w:tc>
          <w:tcPr>
            <w:tcW w:w="2126" w:type="dxa"/>
            <w:tcBorders>
              <w:top w:val="single" w:sz="4" w:space="0" w:color="365F91"/>
            </w:tcBorders>
          </w:tcPr>
          <w:p w14:paraId="2C5680A4" w14:textId="77777777" w:rsidR="00994F64" w:rsidRPr="00261B7A" w:rsidRDefault="00994F64" w:rsidP="00501B0F">
            <w:pPr>
              <w:pStyle w:val="TableText"/>
              <w:spacing w:before="40" w:after="40"/>
              <w:rPr>
                <w:rFonts w:cs="Calibri"/>
              </w:rPr>
            </w:pPr>
            <w:r w:rsidRPr="00261B7A">
              <w:rPr>
                <w:rFonts w:cs="Calibri"/>
              </w:rPr>
              <w:t>Thomas et al. (2008, table 14)</w:t>
            </w:r>
          </w:p>
        </w:tc>
      </w:tr>
      <w:tr w:rsidR="00994F64" w:rsidRPr="00261B7A" w14:paraId="2BD36B75" w14:textId="77777777" w:rsidTr="00501B0F">
        <w:tc>
          <w:tcPr>
            <w:tcW w:w="2127" w:type="dxa"/>
          </w:tcPr>
          <w:p w14:paraId="3042CB15" w14:textId="77777777" w:rsidR="00994F64" w:rsidRPr="00261B7A" w:rsidRDefault="00994F64" w:rsidP="00501B0F">
            <w:pPr>
              <w:pStyle w:val="TableText"/>
              <w:keepNext/>
              <w:spacing w:before="40" w:after="40"/>
              <w:rPr>
                <w:rFonts w:cs="Calibri"/>
              </w:rPr>
            </w:pPr>
            <w:r w:rsidRPr="00261B7A">
              <w:rPr>
                <w:rFonts w:cs="Calibri"/>
              </w:rPr>
              <w:t>Fraction of legume crop residue burning in the field</w:t>
            </w:r>
          </w:p>
        </w:tc>
        <w:tc>
          <w:tcPr>
            <w:tcW w:w="992" w:type="dxa"/>
          </w:tcPr>
          <w:p w14:paraId="0D75ACCA" w14:textId="77777777" w:rsidR="00994F64" w:rsidRPr="00261B7A" w:rsidRDefault="00994F64" w:rsidP="00501B0F">
            <w:pPr>
              <w:pStyle w:val="TableText"/>
              <w:keepNext/>
              <w:spacing w:before="40" w:after="40"/>
              <w:rPr>
                <w:rFonts w:cs="Calibri"/>
              </w:rPr>
            </w:pPr>
            <w:r w:rsidRPr="00261B7A">
              <w:rPr>
                <w:rFonts w:cs="Calibri"/>
              </w:rPr>
              <w:t>Frac</w:t>
            </w:r>
            <w:r w:rsidRPr="00261B7A">
              <w:rPr>
                <w:rFonts w:cs="Calibri"/>
                <w:vertAlign w:val="subscript"/>
              </w:rPr>
              <w:t>BURNL</w:t>
            </w:r>
          </w:p>
        </w:tc>
        <w:tc>
          <w:tcPr>
            <w:tcW w:w="1559" w:type="dxa"/>
          </w:tcPr>
          <w:p w14:paraId="767271C9" w14:textId="77777777" w:rsidR="00994F64" w:rsidRPr="00261B7A" w:rsidRDefault="00994F64" w:rsidP="00501B0F">
            <w:pPr>
              <w:pStyle w:val="TableText"/>
              <w:keepNext/>
              <w:spacing w:before="40" w:after="40"/>
              <w:rPr>
                <w:rFonts w:cs="Calibri"/>
              </w:rPr>
            </w:pPr>
            <w:r w:rsidRPr="00261B7A">
              <w:rPr>
                <w:rFonts w:cs="Calibri"/>
              </w:rPr>
              <w:t>0 (not burned in NZ)</w:t>
            </w:r>
          </w:p>
        </w:tc>
        <w:tc>
          <w:tcPr>
            <w:tcW w:w="1701" w:type="dxa"/>
          </w:tcPr>
          <w:p w14:paraId="1F8412E6" w14:textId="77777777" w:rsidR="00994F64" w:rsidRPr="00261B7A" w:rsidRDefault="00994F64" w:rsidP="00501B0F">
            <w:pPr>
              <w:pStyle w:val="TableText"/>
              <w:keepNext/>
              <w:spacing w:before="40" w:after="40"/>
              <w:rPr>
                <w:rFonts w:cs="Calibri"/>
              </w:rPr>
            </w:pPr>
            <w:r w:rsidRPr="00261B7A">
              <w:rPr>
                <w:rFonts w:cs="Calibri"/>
              </w:rPr>
              <w:t>kg N/kg crop-N</w:t>
            </w:r>
          </w:p>
        </w:tc>
        <w:tc>
          <w:tcPr>
            <w:tcW w:w="2126" w:type="dxa"/>
          </w:tcPr>
          <w:p w14:paraId="28D5C42B" w14:textId="77777777" w:rsidR="00994F64" w:rsidRPr="00261B7A" w:rsidRDefault="00994F64" w:rsidP="00501B0F">
            <w:pPr>
              <w:pStyle w:val="TableText"/>
              <w:keepNext/>
              <w:spacing w:before="40" w:after="40"/>
              <w:rPr>
                <w:rFonts w:cs="Calibri"/>
              </w:rPr>
            </w:pPr>
            <w:r w:rsidRPr="00261B7A">
              <w:rPr>
                <w:rFonts w:cs="Calibri"/>
              </w:rPr>
              <w:t xml:space="preserve">Thomas et al. (2008) </w:t>
            </w:r>
          </w:p>
        </w:tc>
      </w:tr>
      <w:tr w:rsidR="00994F64" w:rsidRPr="00261B7A" w14:paraId="2CB3F188" w14:textId="77777777" w:rsidTr="00501B0F">
        <w:tc>
          <w:tcPr>
            <w:tcW w:w="2127" w:type="dxa"/>
          </w:tcPr>
          <w:p w14:paraId="68CE2611" w14:textId="77777777" w:rsidR="00994F64" w:rsidRPr="00261B7A" w:rsidRDefault="00994F64" w:rsidP="00501B0F">
            <w:pPr>
              <w:pStyle w:val="TableText"/>
              <w:spacing w:before="40" w:after="40"/>
              <w:rPr>
                <w:rFonts w:cs="Calibri"/>
              </w:rPr>
            </w:pPr>
            <w:r w:rsidRPr="00261B7A">
              <w:rPr>
                <w:rFonts w:cs="Calibri"/>
              </w:rPr>
              <w:t>Fraction of land undergoing pasture renewal</w:t>
            </w:r>
          </w:p>
        </w:tc>
        <w:tc>
          <w:tcPr>
            <w:tcW w:w="992" w:type="dxa"/>
          </w:tcPr>
          <w:p w14:paraId="47974DB7" w14:textId="77777777" w:rsidR="00994F64" w:rsidRPr="00261B7A" w:rsidRDefault="00994F64" w:rsidP="00501B0F">
            <w:pPr>
              <w:pStyle w:val="TableText"/>
              <w:spacing w:before="40" w:after="40"/>
              <w:rPr>
                <w:rFonts w:cs="Calibri"/>
              </w:rPr>
            </w:pPr>
            <w:r w:rsidRPr="00261B7A">
              <w:rPr>
                <w:rFonts w:cs="Calibri"/>
              </w:rPr>
              <w:t>Frac</w:t>
            </w:r>
            <w:r w:rsidRPr="00261B7A">
              <w:rPr>
                <w:rFonts w:cs="Calibri"/>
                <w:vertAlign w:val="subscript"/>
              </w:rPr>
              <w:t>RENEW</w:t>
            </w:r>
          </w:p>
        </w:tc>
        <w:tc>
          <w:tcPr>
            <w:tcW w:w="1559" w:type="dxa"/>
          </w:tcPr>
          <w:p w14:paraId="128D42C5" w14:textId="77777777" w:rsidR="00994F64" w:rsidRPr="00261B7A" w:rsidRDefault="00994F64" w:rsidP="00501B0F">
            <w:pPr>
              <w:pStyle w:val="TableText"/>
              <w:spacing w:before="40" w:after="40"/>
              <w:rPr>
                <w:rStyle w:val="CommentReference"/>
                <w:rFonts w:cs="Calibri"/>
              </w:rPr>
            </w:pPr>
            <w:r w:rsidRPr="00261B7A">
              <w:rPr>
                <w:rStyle w:val="CommentReference"/>
                <w:rFonts w:cs="Calibri"/>
              </w:rPr>
              <w:t>Year-specific</w:t>
            </w:r>
          </w:p>
        </w:tc>
        <w:tc>
          <w:tcPr>
            <w:tcW w:w="1701" w:type="dxa"/>
          </w:tcPr>
          <w:p w14:paraId="50473883" w14:textId="77777777" w:rsidR="00994F64" w:rsidRPr="00261B7A" w:rsidRDefault="00994F64" w:rsidP="00501B0F">
            <w:pPr>
              <w:pStyle w:val="TableText"/>
              <w:spacing w:before="40" w:after="40"/>
              <w:rPr>
                <w:rFonts w:cs="Calibri"/>
              </w:rPr>
            </w:pPr>
          </w:p>
        </w:tc>
        <w:tc>
          <w:tcPr>
            <w:tcW w:w="2126" w:type="dxa"/>
          </w:tcPr>
          <w:p w14:paraId="574FD53A" w14:textId="77777777" w:rsidR="00994F64" w:rsidRPr="00261B7A" w:rsidRDefault="00994F64" w:rsidP="00501B0F">
            <w:pPr>
              <w:pStyle w:val="TableText"/>
              <w:spacing w:before="40" w:after="40"/>
              <w:rPr>
                <w:rFonts w:cs="Calibri"/>
              </w:rPr>
            </w:pPr>
            <w:r w:rsidRPr="00261B7A">
              <w:rPr>
                <w:rFonts w:cs="Calibri"/>
              </w:rPr>
              <w:t>Beare et al. (unpublished); Thomas et al. (2014)</w:t>
            </w:r>
          </w:p>
        </w:tc>
      </w:tr>
      <w:tr w:rsidR="00994F64" w:rsidRPr="00261B7A" w14:paraId="0433AD96" w14:textId="77777777" w:rsidTr="00501B0F">
        <w:tc>
          <w:tcPr>
            <w:tcW w:w="2127" w:type="dxa"/>
          </w:tcPr>
          <w:p w14:paraId="0E45B19F" w14:textId="77777777" w:rsidR="00994F64" w:rsidRPr="00261B7A" w:rsidRDefault="00994F64" w:rsidP="00501B0F">
            <w:pPr>
              <w:pStyle w:val="TableText"/>
              <w:spacing w:before="40" w:after="40"/>
              <w:rPr>
                <w:rFonts w:cs="Calibri"/>
              </w:rPr>
            </w:pPr>
            <w:r w:rsidRPr="00261B7A">
              <w:rPr>
                <w:rFonts w:cs="Calibri"/>
              </w:rPr>
              <w:t>Fraction of nitrogen in above-ground residues removed for bedding, feed or construction</w:t>
            </w:r>
          </w:p>
        </w:tc>
        <w:tc>
          <w:tcPr>
            <w:tcW w:w="992" w:type="dxa"/>
          </w:tcPr>
          <w:p w14:paraId="22BBD19E" w14:textId="77777777" w:rsidR="00994F64" w:rsidRPr="00261B7A" w:rsidRDefault="00994F64" w:rsidP="00501B0F">
            <w:pPr>
              <w:pStyle w:val="TableText"/>
              <w:spacing w:before="40" w:after="40"/>
              <w:rPr>
                <w:rFonts w:cs="Calibri"/>
              </w:rPr>
            </w:pPr>
            <w:r w:rsidRPr="00261B7A">
              <w:rPr>
                <w:rFonts w:cs="Calibri"/>
              </w:rPr>
              <w:t>Frac</w:t>
            </w:r>
            <w:r w:rsidRPr="00261B7A">
              <w:rPr>
                <w:rFonts w:cs="Calibri"/>
                <w:vertAlign w:val="subscript"/>
              </w:rPr>
              <w:t>REMOVE</w:t>
            </w:r>
          </w:p>
        </w:tc>
        <w:tc>
          <w:tcPr>
            <w:tcW w:w="1559" w:type="dxa"/>
          </w:tcPr>
          <w:p w14:paraId="1A655E5C" w14:textId="77777777" w:rsidR="00994F64" w:rsidRPr="00261B7A" w:rsidRDefault="00994F64" w:rsidP="00501B0F">
            <w:pPr>
              <w:pStyle w:val="TableText"/>
              <w:spacing w:before="40" w:after="40"/>
              <w:rPr>
                <w:rFonts w:cs="Calibri"/>
              </w:rPr>
            </w:pPr>
            <w:r w:rsidRPr="00261B7A">
              <w:rPr>
                <w:rFonts w:cs="Calibri"/>
              </w:rPr>
              <w:t>0</w:t>
            </w:r>
          </w:p>
        </w:tc>
        <w:tc>
          <w:tcPr>
            <w:tcW w:w="1701" w:type="dxa"/>
          </w:tcPr>
          <w:p w14:paraId="3DE1BF98" w14:textId="77777777" w:rsidR="00994F64" w:rsidRPr="00261B7A" w:rsidRDefault="00994F64" w:rsidP="00501B0F">
            <w:pPr>
              <w:pStyle w:val="TableText"/>
              <w:spacing w:before="40" w:after="40"/>
              <w:rPr>
                <w:rFonts w:cs="Calibri"/>
              </w:rPr>
            </w:pPr>
            <w:r w:rsidRPr="00261B7A">
              <w:rPr>
                <w:rFonts w:cs="Calibri"/>
              </w:rPr>
              <w:t>kg N/kg crop-N</w:t>
            </w:r>
          </w:p>
        </w:tc>
        <w:tc>
          <w:tcPr>
            <w:tcW w:w="2126" w:type="dxa"/>
          </w:tcPr>
          <w:p w14:paraId="188011B3" w14:textId="77777777" w:rsidR="00994F64" w:rsidRPr="00261B7A" w:rsidRDefault="00994F64" w:rsidP="00501B0F">
            <w:pPr>
              <w:pStyle w:val="TableText"/>
              <w:spacing w:before="40" w:after="40"/>
              <w:rPr>
                <w:rFonts w:cs="Calibri"/>
              </w:rPr>
            </w:pPr>
            <w:r w:rsidRPr="00261B7A">
              <w:rPr>
                <w:rFonts w:cs="Calibri"/>
              </w:rPr>
              <w:t>Thomas et al. (2014)</w:t>
            </w:r>
          </w:p>
        </w:tc>
      </w:tr>
    </w:tbl>
    <w:p w14:paraId="4D9717C0" w14:textId="77777777" w:rsidR="00994F64" w:rsidRPr="00261B7A" w:rsidRDefault="00994F64" w:rsidP="00994F64">
      <w:pPr>
        <w:pStyle w:val="Table"/>
        <w:spacing w:before="320"/>
        <w:rPr>
          <w:rFonts w:cs="Calibri"/>
        </w:rPr>
      </w:pPr>
      <w:bookmarkStart w:id="1057" w:name="_Toc441830882"/>
      <w:bookmarkStart w:id="1058" w:name="_Toc451176096"/>
      <w:bookmarkStart w:id="1059" w:name="_Toc481751524"/>
      <w:bookmarkStart w:id="1060" w:name="_Toc507158612"/>
      <w:bookmarkStart w:id="1061" w:name="_Toc511116746"/>
      <w:bookmarkStart w:id="1062" w:name="_Toc5269488"/>
      <w:bookmarkStart w:id="1063" w:name="_Toc32570931"/>
      <w:bookmarkStart w:id="1064" w:name="_Toc36224566"/>
      <w:bookmarkStart w:id="1065" w:name="_Toc68786451"/>
      <w:bookmarkStart w:id="1066" w:name="_Toc95574084"/>
      <w:bookmarkStart w:id="1067" w:name="_Toc127458271"/>
      <w:bookmarkStart w:id="1068" w:name="_Toc131591367"/>
      <w:r w:rsidRPr="00261B7A">
        <w:rPr>
          <w:rFonts w:cs="Calibri"/>
        </w:rPr>
        <w:t>Table 5.5.5</w:t>
      </w:r>
      <w:r w:rsidRPr="00261B7A">
        <w:rPr>
          <w:rFonts w:cs="Calibri"/>
        </w:rPr>
        <w:tab/>
        <w:t>Emission factors and parameter values for use of mitigation technologies</w:t>
      </w:r>
      <w:bookmarkEnd w:id="1057"/>
      <w:bookmarkEnd w:id="1058"/>
      <w:bookmarkEnd w:id="1059"/>
      <w:bookmarkEnd w:id="1060"/>
      <w:bookmarkEnd w:id="1061"/>
      <w:bookmarkEnd w:id="1062"/>
      <w:bookmarkEnd w:id="1063"/>
      <w:bookmarkEnd w:id="1064"/>
      <w:bookmarkEnd w:id="1065"/>
      <w:bookmarkEnd w:id="1066"/>
      <w:bookmarkEnd w:id="1067"/>
      <w:bookmarkEnd w:id="1068"/>
    </w:p>
    <w:tbl>
      <w:tblPr>
        <w:tblW w:w="8505" w:type="dxa"/>
        <w:tblBorders>
          <w:top w:val="single" w:sz="4" w:space="0" w:color="365F91"/>
          <w:bottom w:val="single" w:sz="4" w:space="0" w:color="365F91"/>
          <w:insideH w:val="single" w:sz="4" w:space="0" w:color="365F91"/>
        </w:tblBorders>
        <w:tblLayout w:type="fixed"/>
        <w:tblLook w:val="01E0" w:firstRow="1" w:lastRow="1" w:firstColumn="1" w:lastColumn="1" w:noHBand="0" w:noVBand="0"/>
      </w:tblPr>
      <w:tblGrid>
        <w:gridCol w:w="4786"/>
        <w:gridCol w:w="1268"/>
        <w:gridCol w:w="845"/>
        <w:gridCol w:w="1606"/>
      </w:tblGrid>
      <w:tr w:rsidR="00994F64" w:rsidRPr="00261B7A" w14:paraId="242B39D3" w14:textId="77777777" w:rsidTr="00501B0F">
        <w:trPr>
          <w:tblHeader/>
        </w:trPr>
        <w:tc>
          <w:tcPr>
            <w:tcW w:w="4820" w:type="dxa"/>
            <w:tcBorders>
              <w:top w:val="single" w:sz="4" w:space="0" w:color="1B556B" w:themeColor="text2"/>
              <w:bottom w:val="single" w:sz="4" w:space="0" w:color="1B556B" w:themeColor="text2"/>
            </w:tcBorders>
            <w:shd w:val="clear" w:color="auto" w:fill="1B556B"/>
            <w:vAlign w:val="bottom"/>
          </w:tcPr>
          <w:p w14:paraId="38770CCC" w14:textId="77777777" w:rsidR="00994F64" w:rsidRPr="00261B7A" w:rsidRDefault="00994F64" w:rsidP="001730C0">
            <w:pPr>
              <w:pStyle w:val="TableTextBold"/>
              <w:keepNext/>
              <w:spacing w:before="40" w:after="40"/>
              <w:rPr>
                <w:noProof w:val="0"/>
                <w:color w:val="FFFFFF" w:themeColor="background1"/>
              </w:rPr>
            </w:pPr>
            <w:r w:rsidRPr="00261B7A">
              <w:rPr>
                <w:noProof w:val="0"/>
                <w:color w:val="FFFFFF" w:themeColor="background1"/>
              </w:rPr>
              <w:t>Category</w:t>
            </w:r>
          </w:p>
        </w:tc>
        <w:tc>
          <w:tcPr>
            <w:tcW w:w="2126" w:type="dxa"/>
            <w:gridSpan w:val="2"/>
            <w:tcBorders>
              <w:top w:val="single" w:sz="4" w:space="0" w:color="1B556B" w:themeColor="text2"/>
              <w:bottom w:val="single" w:sz="4" w:space="0" w:color="1B556B" w:themeColor="text2"/>
            </w:tcBorders>
            <w:shd w:val="clear" w:color="auto" w:fill="1B556B"/>
            <w:vAlign w:val="bottom"/>
          </w:tcPr>
          <w:p w14:paraId="4A32C51A" w14:textId="77777777" w:rsidR="00994F64" w:rsidRPr="00261B7A" w:rsidRDefault="00994F64" w:rsidP="001730C0">
            <w:pPr>
              <w:pStyle w:val="TableTextBold"/>
              <w:keepNext/>
              <w:spacing w:before="40" w:after="40"/>
              <w:jc w:val="center"/>
              <w:rPr>
                <w:noProof w:val="0"/>
                <w:color w:val="FFFFFF" w:themeColor="background1"/>
              </w:rPr>
            </w:pPr>
            <w:r w:rsidRPr="00261B7A">
              <w:rPr>
                <w:noProof w:val="0"/>
                <w:color w:val="FFFFFF" w:themeColor="background1"/>
              </w:rPr>
              <w:t>Parameter and value (%)</w:t>
            </w:r>
          </w:p>
        </w:tc>
        <w:tc>
          <w:tcPr>
            <w:tcW w:w="1616" w:type="dxa"/>
            <w:tcBorders>
              <w:top w:val="single" w:sz="4" w:space="0" w:color="1B556B" w:themeColor="text2"/>
              <w:bottom w:val="single" w:sz="4" w:space="0" w:color="1B556B" w:themeColor="text2"/>
            </w:tcBorders>
            <w:shd w:val="clear" w:color="auto" w:fill="1B556B"/>
            <w:vAlign w:val="bottom"/>
          </w:tcPr>
          <w:p w14:paraId="18C04BDE" w14:textId="77777777" w:rsidR="00994F64" w:rsidRPr="00261B7A" w:rsidRDefault="00994F64" w:rsidP="001730C0">
            <w:pPr>
              <w:pStyle w:val="TableTextBold"/>
              <w:keepNext/>
              <w:spacing w:before="40" w:after="40"/>
              <w:jc w:val="center"/>
              <w:rPr>
                <w:noProof w:val="0"/>
                <w:color w:val="FFFFFF" w:themeColor="background1"/>
              </w:rPr>
            </w:pPr>
            <w:r w:rsidRPr="00261B7A">
              <w:rPr>
                <w:noProof w:val="0"/>
                <w:color w:val="FFFFFF" w:themeColor="background1"/>
              </w:rPr>
              <w:t>Source</w:t>
            </w:r>
          </w:p>
        </w:tc>
      </w:tr>
      <w:tr w:rsidR="00994F64" w:rsidRPr="00261B7A" w14:paraId="5BFAE643" w14:textId="77777777" w:rsidTr="00501B0F">
        <w:tc>
          <w:tcPr>
            <w:tcW w:w="4820" w:type="dxa"/>
            <w:tcBorders>
              <w:top w:val="single" w:sz="4" w:space="0" w:color="1B556B" w:themeColor="text2"/>
            </w:tcBorders>
          </w:tcPr>
          <w:p w14:paraId="295613A5" w14:textId="77777777" w:rsidR="00994F64" w:rsidRPr="00261B7A" w:rsidRDefault="00994F64" w:rsidP="00501B0F">
            <w:pPr>
              <w:pStyle w:val="TableText"/>
              <w:spacing w:before="40" w:after="40"/>
              <w:rPr>
                <w:rFonts w:cs="Calibri"/>
              </w:rPr>
            </w:pPr>
            <w:r w:rsidRPr="00261B7A">
              <w:rPr>
                <w:rFonts w:cs="Calibri"/>
              </w:rPr>
              <w:t>Urine from grazing dairy cattle in pasture, range and paddock systems with application of dicyandiamide (DCD)</w:t>
            </w:r>
          </w:p>
        </w:tc>
        <w:tc>
          <w:tcPr>
            <w:tcW w:w="1276" w:type="dxa"/>
            <w:tcBorders>
              <w:top w:val="single" w:sz="4" w:space="0" w:color="1B556B" w:themeColor="text2"/>
            </w:tcBorders>
          </w:tcPr>
          <w:p w14:paraId="663C5910" w14:textId="77777777" w:rsidR="00994F64" w:rsidRPr="00261B7A" w:rsidRDefault="00994F64" w:rsidP="00501B0F">
            <w:pPr>
              <w:pStyle w:val="TableText"/>
              <w:spacing w:before="40" w:after="40"/>
              <w:rPr>
                <w:rFonts w:cs="Calibri"/>
              </w:rPr>
            </w:pPr>
            <w:r w:rsidRPr="00261B7A">
              <w:rPr>
                <w:rFonts w:cs="Calibri"/>
              </w:rPr>
              <w:t>EF</w:t>
            </w:r>
            <w:r w:rsidRPr="00261B7A">
              <w:rPr>
                <w:rFonts w:cs="Calibri"/>
                <w:vertAlign w:val="subscript"/>
              </w:rPr>
              <w:t>3(PRP-DCD)</w:t>
            </w:r>
          </w:p>
        </w:tc>
        <w:tc>
          <w:tcPr>
            <w:tcW w:w="850" w:type="dxa"/>
            <w:tcBorders>
              <w:top w:val="single" w:sz="4" w:space="0" w:color="1B556B" w:themeColor="text2"/>
            </w:tcBorders>
          </w:tcPr>
          <w:p w14:paraId="34319687" w14:textId="77777777" w:rsidR="00994F64" w:rsidRPr="00261B7A" w:rsidRDefault="00994F64" w:rsidP="00501B0F">
            <w:pPr>
              <w:pStyle w:val="TableText"/>
              <w:spacing w:before="40" w:after="40"/>
              <w:rPr>
                <w:rFonts w:cs="Calibri"/>
              </w:rPr>
            </w:pPr>
            <w:r w:rsidRPr="00261B7A">
              <w:rPr>
                <w:rFonts w:cs="Calibri"/>
              </w:rPr>
              <w:t>0.67</w:t>
            </w:r>
          </w:p>
        </w:tc>
        <w:tc>
          <w:tcPr>
            <w:tcW w:w="1616" w:type="dxa"/>
            <w:tcBorders>
              <w:top w:val="single" w:sz="4" w:space="0" w:color="1B556B" w:themeColor="text2"/>
            </w:tcBorders>
          </w:tcPr>
          <w:p w14:paraId="6D68791B" w14:textId="77777777" w:rsidR="00994F64" w:rsidRPr="00261B7A" w:rsidRDefault="00994F64" w:rsidP="00501B0F">
            <w:pPr>
              <w:pStyle w:val="TableText"/>
              <w:spacing w:before="40" w:after="40"/>
              <w:rPr>
                <w:rFonts w:cs="Calibri"/>
              </w:rPr>
            </w:pPr>
            <w:r w:rsidRPr="00261B7A">
              <w:rPr>
                <w:rFonts w:cs="Calibri"/>
              </w:rPr>
              <w:t>Clough et al. (2008)</w:t>
            </w:r>
          </w:p>
        </w:tc>
      </w:tr>
      <w:tr w:rsidR="00994F64" w:rsidRPr="00261B7A" w14:paraId="632A79EB" w14:textId="77777777" w:rsidTr="00501B0F">
        <w:tc>
          <w:tcPr>
            <w:tcW w:w="4820" w:type="dxa"/>
          </w:tcPr>
          <w:p w14:paraId="43607015" w14:textId="77777777" w:rsidR="00994F64" w:rsidRPr="00261B7A" w:rsidRDefault="00994F64" w:rsidP="00501B0F">
            <w:pPr>
              <w:pStyle w:val="TableText"/>
              <w:spacing w:before="40" w:after="40"/>
              <w:rPr>
                <w:rFonts w:cs="Calibri"/>
              </w:rPr>
            </w:pPr>
            <w:r w:rsidRPr="00261B7A">
              <w:rPr>
                <w:rFonts w:cs="Calibri"/>
              </w:rPr>
              <w:t>Fraction of nitrogen from leaching and runoff with application of DCD</w:t>
            </w:r>
          </w:p>
        </w:tc>
        <w:tc>
          <w:tcPr>
            <w:tcW w:w="1276" w:type="dxa"/>
          </w:tcPr>
          <w:p w14:paraId="65B8A400" w14:textId="77777777" w:rsidR="00994F64" w:rsidRPr="00261B7A" w:rsidRDefault="00994F64" w:rsidP="00501B0F">
            <w:pPr>
              <w:pStyle w:val="TableText"/>
              <w:spacing w:before="40" w:after="40"/>
              <w:rPr>
                <w:rFonts w:cs="Calibri"/>
              </w:rPr>
            </w:pPr>
            <w:r w:rsidRPr="00261B7A">
              <w:rPr>
                <w:rFonts w:cs="Calibri"/>
              </w:rPr>
              <w:t>Frac</w:t>
            </w:r>
            <w:r w:rsidRPr="00261B7A">
              <w:rPr>
                <w:rFonts w:cs="Calibri"/>
                <w:vertAlign w:val="subscript"/>
              </w:rPr>
              <w:t>LEACH – (H)-DCD</w:t>
            </w:r>
          </w:p>
        </w:tc>
        <w:tc>
          <w:tcPr>
            <w:tcW w:w="850" w:type="dxa"/>
          </w:tcPr>
          <w:p w14:paraId="7778940D" w14:textId="77777777" w:rsidR="00994F64" w:rsidRPr="00261B7A" w:rsidRDefault="00994F64" w:rsidP="00501B0F">
            <w:pPr>
              <w:pStyle w:val="TableText"/>
              <w:spacing w:before="40" w:after="40"/>
              <w:rPr>
                <w:rFonts w:cs="Calibri"/>
              </w:rPr>
            </w:pPr>
            <w:r w:rsidRPr="00261B7A">
              <w:rPr>
                <w:rFonts w:cs="Calibri"/>
              </w:rPr>
              <w:t>0.53</w:t>
            </w:r>
          </w:p>
        </w:tc>
        <w:tc>
          <w:tcPr>
            <w:tcW w:w="1616" w:type="dxa"/>
          </w:tcPr>
          <w:p w14:paraId="67D4A0D2" w14:textId="77777777" w:rsidR="00994F64" w:rsidRPr="00261B7A" w:rsidRDefault="00994F64" w:rsidP="00501B0F">
            <w:pPr>
              <w:pStyle w:val="TableText"/>
              <w:spacing w:before="40" w:after="40"/>
              <w:rPr>
                <w:rFonts w:cs="Calibri"/>
              </w:rPr>
            </w:pPr>
            <w:r w:rsidRPr="00261B7A">
              <w:rPr>
                <w:rFonts w:cs="Calibri"/>
              </w:rPr>
              <w:t>Clough et al. (2008)</w:t>
            </w:r>
          </w:p>
        </w:tc>
      </w:tr>
      <w:tr w:rsidR="00994F64" w:rsidRPr="00261B7A" w14:paraId="22B771B8" w14:textId="77777777" w:rsidTr="00501B0F">
        <w:tc>
          <w:tcPr>
            <w:tcW w:w="4820" w:type="dxa"/>
          </w:tcPr>
          <w:p w14:paraId="6F942035" w14:textId="77777777" w:rsidR="00994F64" w:rsidRPr="00261B7A" w:rsidRDefault="00994F64" w:rsidP="00501B0F">
            <w:pPr>
              <w:pStyle w:val="TableText"/>
              <w:spacing w:before="40" w:after="40"/>
              <w:rPr>
                <w:rFonts w:cs="Calibri"/>
              </w:rPr>
            </w:pPr>
            <w:r w:rsidRPr="00261B7A">
              <w:rPr>
                <w:rFonts w:cs="Calibri"/>
              </w:rPr>
              <w:t>Volatilisation from synthetic nitrogen fertiliser coated with urease inhibitor (nBTPT)</w:t>
            </w:r>
          </w:p>
        </w:tc>
        <w:tc>
          <w:tcPr>
            <w:tcW w:w="1276" w:type="dxa"/>
          </w:tcPr>
          <w:p w14:paraId="20A48A6A" w14:textId="77777777" w:rsidR="00994F64" w:rsidRPr="00261B7A" w:rsidRDefault="00994F64" w:rsidP="00501B0F">
            <w:pPr>
              <w:pStyle w:val="TableText"/>
              <w:spacing w:before="40" w:after="40"/>
              <w:rPr>
                <w:rFonts w:cs="Calibri"/>
              </w:rPr>
            </w:pPr>
            <w:r w:rsidRPr="00261B7A">
              <w:rPr>
                <w:rFonts w:cs="Calibri"/>
              </w:rPr>
              <w:t>Frac</w:t>
            </w:r>
            <w:r w:rsidRPr="00261B7A">
              <w:rPr>
                <w:rFonts w:cs="Calibri"/>
                <w:vertAlign w:val="subscript"/>
              </w:rPr>
              <w:t>GASF-UI</w:t>
            </w:r>
          </w:p>
        </w:tc>
        <w:tc>
          <w:tcPr>
            <w:tcW w:w="850" w:type="dxa"/>
          </w:tcPr>
          <w:p w14:paraId="635ED368" w14:textId="77777777" w:rsidR="00994F64" w:rsidRPr="00261B7A" w:rsidRDefault="00994F64" w:rsidP="00501B0F">
            <w:pPr>
              <w:pStyle w:val="TableText"/>
              <w:spacing w:before="40" w:after="40"/>
              <w:rPr>
                <w:rFonts w:cs="Calibri"/>
              </w:rPr>
            </w:pPr>
            <w:r w:rsidRPr="00261B7A">
              <w:rPr>
                <w:rFonts w:cs="Calibri"/>
              </w:rPr>
              <w:t>0.055</w:t>
            </w:r>
          </w:p>
        </w:tc>
        <w:tc>
          <w:tcPr>
            <w:tcW w:w="1616" w:type="dxa"/>
          </w:tcPr>
          <w:p w14:paraId="47E120E3" w14:textId="77777777" w:rsidR="00994F64" w:rsidRPr="00261B7A" w:rsidRDefault="00994F64" w:rsidP="00501B0F">
            <w:pPr>
              <w:pStyle w:val="TableText"/>
              <w:spacing w:before="40" w:after="40"/>
              <w:rPr>
                <w:rFonts w:cs="Calibri"/>
              </w:rPr>
            </w:pPr>
            <w:r w:rsidRPr="00261B7A">
              <w:rPr>
                <w:rFonts w:cs="Calibri"/>
              </w:rPr>
              <w:t>Saggar et al. (2013)</w:t>
            </w:r>
          </w:p>
        </w:tc>
      </w:tr>
    </w:tbl>
    <w:p w14:paraId="72925DBB" w14:textId="77777777" w:rsidR="00994F64" w:rsidRPr="00261B7A" w:rsidRDefault="00994F64" w:rsidP="00994F64">
      <w:pPr>
        <w:pStyle w:val="Heading4"/>
        <w:spacing w:before="360"/>
      </w:pPr>
      <w:r w:rsidRPr="00261B7A">
        <w:t>Direct nitrous oxide emissions from managed soils (CRF 3.D.1)</w:t>
      </w:r>
    </w:p>
    <w:p w14:paraId="7422D07B" w14:textId="77777777" w:rsidR="00994F64" w:rsidRPr="00261B7A" w:rsidRDefault="00994F64" w:rsidP="00994F64">
      <w:pPr>
        <w:pStyle w:val="BodyText"/>
        <w:spacing w:after="100"/>
        <w:rPr>
          <w:rFonts w:cs="Calibri"/>
        </w:rPr>
      </w:pPr>
      <w:r w:rsidRPr="00261B7A">
        <w:rPr>
          <w:rFonts w:cs="Calibri"/>
        </w:rPr>
        <w:t xml:space="preserve">Emissions from the </w:t>
      </w:r>
      <w:r w:rsidRPr="00261B7A">
        <w:rPr>
          <w:rFonts w:cs="Calibri"/>
          <w:i/>
          <w:iCs/>
        </w:rPr>
        <w:t>Direct N</w:t>
      </w:r>
      <w:r w:rsidRPr="00261B7A">
        <w:rPr>
          <w:rFonts w:cs="Calibri"/>
          <w:i/>
          <w:iCs/>
          <w:vertAlign w:val="subscript"/>
        </w:rPr>
        <w:t>2</w:t>
      </w:r>
      <w:r w:rsidRPr="00261B7A">
        <w:rPr>
          <w:rFonts w:cs="Calibri"/>
          <w:i/>
          <w:iCs/>
        </w:rPr>
        <w:t xml:space="preserve">O emissions from managed soils </w:t>
      </w:r>
      <w:r w:rsidRPr="00261B7A">
        <w:rPr>
          <w:rFonts w:cs="Calibri"/>
        </w:rPr>
        <w:t xml:space="preserve">category arise from: </w:t>
      </w:r>
    </w:p>
    <w:p w14:paraId="76A50121" w14:textId="77777777" w:rsidR="00994F64" w:rsidRPr="00261B7A" w:rsidRDefault="00994F64" w:rsidP="00294EC5">
      <w:pPr>
        <w:pStyle w:val="Bullet"/>
        <w:numPr>
          <w:ilvl w:val="0"/>
          <w:numId w:val="24"/>
        </w:numPr>
        <w:spacing w:after="100"/>
      </w:pPr>
      <w:r w:rsidRPr="00261B7A">
        <w:t>synthetic nitrogen fertiliser use (F</w:t>
      </w:r>
      <w:r w:rsidRPr="00261B7A">
        <w:rPr>
          <w:vertAlign w:val="subscript"/>
        </w:rPr>
        <w:t>SN</w:t>
      </w:r>
      <w:r w:rsidRPr="00261B7A">
        <w:t>)</w:t>
      </w:r>
    </w:p>
    <w:p w14:paraId="33295855" w14:textId="77777777" w:rsidR="00994F64" w:rsidRPr="00261B7A" w:rsidRDefault="00994F64" w:rsidP="00294EC5">
      <w:pPr>
        <w:pStyle w:val="Bullet"/>
        <w:numPr>
          <w:ilvl w:val="0"/>
          <w:numId w:val="24"/>
        </w:numPr>
        <w:spacing w:after="100"/>
      </w:pPr>
      <w:r w:rsidRPr="00261B7A">
        <w:t>organic fertilisers (which in New Zealand are solely the spreading of animal manure, F</w:t>
      </w:r>
      <w:r w:rsidRPr="00261B7A">
        <w:rPr>
          <w:vertAlign w:val="subscript"/>
        </w:rPr>
        <w:t>AM</w:t>
      </w:r>
      <w:r w:rsidRPr="00261B7A">
        <w:t>)</w:t>
      </w:r>
    </w:p>
    <w:p w14:paraId="542E8CC5" w14:textId="77777777" w:rsidR="00994F64" w:rsidRPr="00261B7A" w:rsidRDefault="00994F64" w:rsidP="00294EC5">
      <w:pPr>
        <w:pStyle w:val="Bullet"/>
        <w:numPr>
          <w:ilvl w:val="0"/>
          <w:numId w:val="24"/>
        </w:numPr>
        <w:spacing w:after="100"/>
      </w:pPr>
      <w:r w:rsidRPr="00261B7A">
        <w:t>manure deposited by grazing livestock in pasture, range and paddock (F</w:t>
      </w:r>
      <w:r w:rsidRPr="00261B7A">
        <w:rPr>
          <w:vertAlign w:val="subscript"/>
        </w:rPr>
        <w:t>PRP</w:t>
      </w:r>
      <w:r w:rsidRPr="00261B7A">
        <w:t>)</w:t>
      </w:r>
    </w:p>
    <w:p w14:paraId="18DB3DE1" w14:textId="77777777" w:rsidR="00994F64" w:rsidRPr="00261B7A" w:rsidRDefault="00994F64" w:rsidP="00294EC5">
      <w:pPr>
        <w:pStyle w:val="Bullet"/>
        <w:numPr>
          <w:ilvl w:val="0"/>
          <w:numId w:val="24"/>
        </w:numPr>
        <w:spacing w:after="100"/>
      </w:pPr>
      <w:r w:rsidRPr="00261B7A">
        <w:t>decomposition of crop residues left on fields (F</w:t>
      </w:r>
      <w:r w:rsidRPr="00261B7A">
        <w:rPr>
          <w:vertAlign w:val="subscript"/>
        </w:rPr>
        <w:t>CR</w:t>
      </w:r>
      <w:r w:rsidRPr="00261B7A">
        <w:t>)</w:t>
      </w:r>
    </w:p>
    <w:p w14:paraId="2DE1B230" w14:textId="77777777" w:rsidR="00994F64" w:rsidRPr="00261B7A" w:rsidRDefault="00994F64" w:rsidP="00294EC5">
      <w:pPr>
        <w:pStyle w:val="Bullet"/>
        <w:numPr>
          <w:ilvl w:val="0"/>
          <w:numId w:val="24"/>
        </w:numPr>
        <w:spacing w:after="100"/>
      </w:pPr>
      <w:r w:rsidRPr="00261B7A">
        <w:t>nitrogen mineralisation associated with loss of soil organic matter (F</w:t>
      </w:r>
      <w:r w:rsidRPr="00261B7A">
        <w:rPr>
          <w:vertAlign w:val="subscript"/>
        </w:rPr>
        <w:t>SOM</w:t>
      </w:r>
      <w:r w:rsidRPr="00261B7A">
        <w:t>)</w:t>
      </w:r>
    </w:p>
    <w:p w14:paraId="467D9FEC" w14:textId="77777777" w:rsidR="00994F64" w:rsidRPr="00261B7A" w:rsidRDefault="00994F64" w:rsidP="00294EC5">
      <w:pPr>
        <w:pStyle w:val="Bullet"/>
        <w:numPr>
          <w:ilvl w:val="0"/>
          <w:numId w:val="24"/>
        </w:numPr>
      </w:pPr>
      <w:r w:rsidRPr="00261B7A">
        <w:t>management of organic soils.</w:t>
      </w:r>
    </w:p>
    <w:p w14:paraId="5C6CFB52" w14:textId="77777777" w:rsidR="00994F64" w:rsidRPr="00261B7A" w:rsidRDefault="00994F64" w:rsidP="00994F64">
      <w:pPr>
        <w:pStyle w:val="BodyText"/>
        <w:spacing w:after="100"/>
      </w:pPr>
      <w:r w:rsidRPr="00261B7A">
        <w:t>Many of these sources of emissions</w:t>
      </w:r>
      <w:r w:rsidRPr="00261B7A" w:rsidDel="00A44CC2">
        <w:t xml:space="preserve"> </w:t>
      </w:r>
      <w:r w:rsidRPr="00261B7A">
        <w:t>have N</w:t>
      </w:r>
      <w:r w:rsidRPr="00261B7A">
        <w:rPr>
          <w:vertAlign w:val="subscript"/>
        </w:rPr>
        <w:t>2</w:t>
      </w:r>
      <w:r w:rsidRPr="00261B7A">
        <w:t>O emissions from indirect pathways as well, and these calculations are described in detail in the section on indirect N</w:t>
      </w:r>
      <w:r w:rsidRPr="00261B7A">
        <w:rPr>
          <w:vertAlign w:val="subscript"/>
        </w:rPr>
        <w:t>2</w:t>
      </w:r>
      <w:r w:rsidRPr="00261B7A">
        <w:t xml:space="preserve">O emissions from </w:t>
      </w:r>
      <w:r w:rsidRPr="00261B7A">
        <w:rPr>
          <w:i/>
          <w:iCs/>
        </w:rPr>
        <w:t>Agricultural soils</w:t>
      </w:r>
      <w:r w:rsidRPr="00261B7A">
        <w:t xml:space="preserve">. </w:t>
      </w:r>
    </w:p>
    <w:p w14:paraId="5BF269C8" w14:textId="77777777" w:rsidR="00994F64" w:rsidRPr="00261B7A" w:rsidRDefault="00994F64" w:rsidP="00994F64">
      <w:pPr>
        <w:pStyle w:val="BodyText"/>
        <w:spacing w:before="100" w:after="100"/>
      </w:pPr>
      <w:r w:rsidRPr="00261B7A">
        <w:t>Emissions from the non-manure components of organic fertilisers (F</w:t>
      </w:r>
      <w:r w:rsidRPr="00261B7A">
        <w:rPr>
          <w:vertAlign w:val="subscript"/>
        </w:rPr>
        <w:t>ON</w:t>
      </w:r>
      <w:r w:rsidRPr="00261B7A">
        <w:t xml:space="preserve">) are not estimated in New Zealand’s inventory because they have been found to be insignificant. New Zealand commissioned research to review sources of organic waste and found that they are not of significant volume in New Zealand (van der Weerden et al., 2014). These components include sources such as dairy processing wastewater, compost sold to the rural sector, meat processing wastewater sand sludge, grape marc from the wine industry and vegetable processing wastewater applied to land. </w:t>
      </w:r>
    </w:p>
    <w:p w14:paraId="7DD0F432" w14:textId="77777777" w:rsidR="00994F64" w:rsidRPr="00261B7A" w:rsidRDefault="00994F64" w:rsidP="00994F64">
      <w:pPr>
        <w:pStyle w:val="BodyText"/>
        <w:spacing w:before="100" w:after="100"/>
      </w:pPr>
      <w:r w:rsidRPr="00261B7A">
        <w:t>Van der Weerden et al., (2014) recommended a review of non-manure organic fertilisers within five years. A successful research proposal to undertake this review was received in 2022 and is currently under way (see section 5.5.6, for more detail).</w:t>
      </w:r>
    </w:p>
    <w:p w14:paraId="54351A7F" w14:textId="77777777" w:rsidR="00994F64" w:rsidRPr="00261B7A" w:rsidRDefault="00994F64" w:rsidP="00994F64">
      <w:pPr>
        <w:pStyle w:val="BodyText"/>
        <w:spacing w:before="100" w:after="100"/>
      </w:pPr>
      <w:r w:rsidRPr="00261B7A">
        <w:t>New Zealand’s methodology for determining the values for nitrogen inputs to soils for F</w:t>
      </w:r>
      <w:r w:rsidRPr="00261B7A">
        <w:rPr>
          <w:vertAlign w:val="subscript"/>
        </w:rPr>
        <w:t>AM</w:t>
      </w:r>
      <w:r w:rsidRPr="00261B7A">
        <w:t xml:space="preserve"> and F</w:t>
      </w:r>
      <w:r w:rsidRPr="00261B7A">
        <w:rPr>
          <w:vertAlign w:val="subscript"/>
        </w:rPr>
        <w:t>PRP</w:t>
      </w:r>
      <w:r w:rsidRPr="00261B7A">
        <w:t xml:space="preserve"> is consistent with other parts of the inventory. The underlying values for N</w:t>
      </w:r>
      <w:r w:rsidRPr="00261B7A">
        <w:rPr>
          <w:vertAlign w:val="subscript"/>
        </w:rPr>
        <w:t>ex</w:t>
      </w:r>
      <w:r w:rsidRPr="00261B7A">
        <w:t xml:space="preserve"> and for the allocation of excreta to animal waste management systems are the same as in the </w:t>
      </w:r>
      <w:r w:rsidRPr="00261B7A">
        <w:rPr>
          <w:i/>
          <w:iCs/>
        </w:rPr>
        <w:t>Manure management</w:t>
      </w:r>
      <w:r w:rsidRPr="00261B7A">
        <w:t xml:space="preserve"> category. These N</w:t>
      </w:r>
      <w:r w:rsidRPr="00261B7A">
        <w:rPr>
          <w:vertAlign w:val="subscript"/>
        </w:rPr>
        <w:t>ex</w:t>
      </w:r>
      <w:r w:rsidRPr="00261B7A">
        <w:t xml:space="preserve"> values have been calculated based on the same animal intake and animal productivity values used for calculating CH</w:t>
      </w:r>
      <w:r w:rsidRPr="00261B7A">
        <w:rPr>
          <w:vertAlign w:val="subscript"/>
        </w:rPr>
        <w:t>4</w:t>
      </w:r>
      <w:r w:rsidRPr="00261B7A">
        <w:t xml:space="preserve"> emissions for the different animal categories and species in the Tier 2 model (see section 5.1.3). This ensures the same base DMI values are used for both the CH</w:t>
      </w:r>
      <w:r w:rsidRPr="00261B7A">
        <w:rPr>
          <w:vertAlign w:val="subscript"/>
        </w:rPr>
        <w:t>4</w:t>
      </w:r>
      <w:r w:rsidRPr="00261B7A">
        <w:t xml:space="preserve"> and N</w:t>
      </w:r>
      <w:r w:rsidRPr="00261B7A">
        <w:rPr>
          <w:vertAlign w:val="subscript"/>
        </w:rPr>
        <w:t>2</w:t>
      </w:r>
      <w:r w:rsidRPr="00261B7A">
        <w:t>O emission calculations. Further details can be found in the inventory methodology document on the MPI website (</w:t>
      </w:r>
      <w:hyperlink r:id="rId136" w:history="1">
        <w:r w:rsidRPr="00261B7A">
          <w:rPr>
            <w:rStyle w:val="Hyperlink"/>
          </w:rPr>
          <w:t>www.mpi.govt.nz/dmsdocument/13906-detailed-methodologies-for-agricultural-greenhouse-gas-emission-calculation</w:t>
        </w:r>
      </w:hyperlink>
      <w:r w:rsidRPr="00261B7A">
        <w:t>).</w:t>
      </w:r>
    </w:p>
    <w:p w14:paraId="14466F8D" w14:textId="77777777" w:rsidR="00994F64" w:rsidRPr="00261B7A" w:rsidRDefault="00994F64" w:rsidP="00994F64">
      <w:pPr>
        <w:pStyle w:val="Heading5"/>
        <w:spacing w:before="160"/>
        <w:rPr>
          <w:rFonts w:cs="Calibri"/>
        </w:rPr>
      </w:pPr>
      <w:r w:rsidRPr="00261B7A">
        <w:rPr>
          <w:rFonts w:cs="Calibri"/>
        </w:rPr>
        <w:t>Synthetic nitrogen fertiliser (CRF 3.D.1.1)</w:t>
      </w:r>
    </w:p>
    <w:p w14:paraId="6D323FE6" w14:textId="77777777" w:rsidR="00994F64" w:rsidRPr="00261B7A" w:rsidRDefault="00994F64" w:rsidP="00994F64">
      <w:pPr>
        <w:pStyle w:val="BodyText"/>
        <w:spacing w:before="80" w:after="100"/>
      </w:pPr>
      <w:r w:rsidRPr="00261B7A">
        <w:t>Anthropogenic N</w:t>
      </w:r>
      <w:r w:rsidRPr="00261B7A">
        <w:rPr>
          <w:vertAlign w:val="subscript"/>
        </w:rPr>
        <w:t>2</w:t>
      </w:r>
      <w:r w:rsidRPr="00261B7A">
        <w:t>O emissions from synthetic nitrogen fertiliser are a relatively small proportion of total N</w:t>
      </w:r>
      <w:r w:rsidRPr="00261B7A">
        <w:rPr>
          <w:vertAlign w:val="subscript"/>
        </w:rPr>
        <w:t>2</w:t>
      </w:r>
      <w:r w:rsidRPr="00261B7A">
        <w:t xml:space="preserve">O emissions, but have grown significantly since 1990. Most synthetic nitrogen fertiliser used in New Zealand is urea fertiliser applied to dairy pastures to increase pasture growth during spring (September to November) and autumn (March to May). </w:t>
      </w:r>
    </w:p>
    <w:p w14:paraId="3BCA45ED" w14:textId="77777777" w:rsidR="00994F64" w:rsidRPr="00261B7A" w:rsidRDefault="00994F64" w:rsidP="00994F64">
      <w:pPr>
        <w:pStyle w:val="BodyText"/>
      </w:pPr>
      <w:r w:rsidRPr="00261B7A">
        <w:t>In accordance with IPCC Guidelines (IPCC, 2006), the following equation is used to determine direct N</w:t>
      </w:r>
      <w:r w:rsidRPr="00261B7A">
        <w:rPr>
          <w:vertAlign w:val="subscript"/>
        </w:rPr>
        <w:t>2</w:t>
      </w:r>
      <w:r w:rsidRPr="00261B7A">
        <w:t xml:space="preserve">O emissions from the application of nitrogen-based fertiliser: </w:t>
      </w:r>
    </w:p>
    <w:bookmarkStart w:id="1069" w:name="_MON_1546322146"/>
    <w:bookmarkEnd w:id="1069"/>
    <w:p w14:paraId="59E97A2D" w14:textId="77777777" w:rsidR="00994F64" w:rsidRPr="00261B7A" w:rsidRDefault="00994F64" w:rsidP="00994F64">
      <w:pPr>
        <w:pStyle w:val="BodyText"/>
        <w:spacing w:before="0" w:after="80"/>
        <w:rPr>
          <w:rFonts w:cs="Calibri"/>
        </w:rPr>
      </w:pPr>
      <w:r w:rsidRPr="00261B7A">
        <w:rPr>
          <w:rFonts w:cs="Calibri"/>
        </w:rPr>
        <w:object w:dxaOrig="7889" w:dyaOrig="450" w14:anchorId="2FBEBFE5">
          <v:shape id="_x0000_i1042" type="#_x0000_t75" style="width:390pt;height:24.5pt" o:ole="">
            <v:imagedata r:id="rId137" o:title=""/>
          </v:shape>
          <o:OLEObject Type="Embed" ProgID="Word.Document.12" ShapeID="_x0000_i1042" DrawAspect="Content" ObjectID="_1742911581" r:id="rId138">
            <o:FieldCodes>\s</o:FieldCodes>
          </o:OLEObject>
        </w:object>
      </w:r>
    </w:p>
    <w:p w14:paraId="6D00EB75" w14:textId="77777777" w:rsidR="00994F64" w:rsidRPr="00261B7A" w:rsidRDefault="00994F64" w:rsidP="00994F64">
      <w:pPr>
        <w:pStyle w:val="BodyText"/>
        <w:spacing w:after="60"/>
        <w:ind w:left="964" w:hanging="964"/>
      </w:pPr>
      <w:r w:rsidRPr="00261B7A">
        <w:t>Where:</w:t>
      </w:r>
      <w:r w:rsidRPr="00261B7A">
        <w:tab/>
        <w:t>F</w:t>
      </w:r>
      <w:r w:rsidRPr="00261B7A">
        <w:rPr>
          <w:vertAlign w:val="subscript"/>
        </w:rPr>
        <w:t>SN</w:t>
      </w:r>
      <w:r w:rsidRPr="00261B7A">
        <w:t xml:space="preserve"> is the total annual amount of synthetic nitrogen fertiliser applied to soils (urea</w:t>
      </w:r>
      <w:r w:rsidRPr="00261B7A">
        <w:noBreakHyphen/>
        <w:t>based and other fertilisers)</w:t>
      </w:r>
    </w:p>
    <w:p w14:paraId="5755E2E9" w14:textId="512BF600" w:rsidR="00994F64" w:rsidRPr="00261B7A" w:rsidRDefault="00994F64" w:rsidP="00994F64">
      <w:pPr>
        <w:pStyle w:val="BodyText"/>
        <w:spacing w:before="0" w:after="60"/>
        <w:ind w:left="964" w:hanging="964"/>
      </w:pPr>
      <w:r w:rsidRPr="00261B7A">
        <w:tab/>
        <w:t>EF</w:t>
      </w:r>
      <w:r w:rsidRPr="00261B7A">
        <w:rPr>
          <w:vertAlign w:val="subscript"/>
        </w:rPr>
        <w:t>1(UREA)</w:t>
      </w:r>
      <w:r w:rsidRPr="00261B7A">
        <w:t xml:space="preserve"> is the proportion of direct N</w:t>
      </w:r>
      <w:r w:rsidRPr="00261B7A">
        <w:rPr>
          <w:vertAlign w:val="subscript"/>
        </w:rPr>
        <w:t>2</w:t>
      </w:r>
      <w:r w:rsidRPr="00261B7A">
        <w:t>O emissions from nitrogen input to the soil for</w:t>
      </w:r>
      <w:r w:rsidR="008A2775" w:rsidRPr="00261B7A">
        <w:t> </w:t>
      </w:r>
      <w:r w:rsidRPr="00261B7A">
        <w:t>urea fertilisers (0.0059; table 5.5.2), and</w:t>
      </w:r>
    </w:p>
    <w:p w14:paraId="14EEE4C8" w14:textId="2E68523C" w:rsidR="00994F64" w:rsidRPr="00261B7A" w:rsidRDefault="00994F64" w:rsidP="00994F64">
      <w:pPr>
        <w:pStyle w:val="BodyText"/>
        <w:spacing w:before="0" w:after="80"/>
        <w:ind w:left="964" w:hanging="964"/>
      </w:pPr>
      <w:r w:rsidRPr="00261B7A">
        <w:tab/>
        <w:t>EF</w:t>
      </w:r>
      <w:r w:rsidRPr="00261B7A">
        <w:rPr>
          <w:vertAlign w:val="subscript"/>
        </w:rPr>
        <w:t>1</w:t>
      </w:r>
      <w:r w:rsidRPr="00261B7A">
        <w:t xml:space="preserve"> is the proportion of direct N</w:t>
      </w:r>
      <w:r w:rsidRPr="00261B7A">
        <w:rPr>
          <w:vertAlign w:val="subscript"/>
        </w:rPr>
        <w:t>2</w:t>
      </w:r>
      <w:r w:rsidRPr="00261B7A">
        <w:t>O emissions from nitrogen input to the soil (0.01;</w:t>
      </w:r>
      <w:r w:rsidR="008A2775" w:rsidRPr="00261B7A">
        <w:t> </w:t>
      </w:r>
      <w:r w:rsidRPr="00261B7A">
        <w:t>table 5.5.2).</w:t>
      </w:r>
    </w:p>
    <w:p w14:paraId="2BCB81DB" w14:textId="77777777" w:rsidR="00994F64" w:rsidRPr="00261B7A" w:rsidRDefault="00994F64" w:rsidP="00994F64">
      <w:pPr>
        <w:pStyle w:val="BodyText"/>
        <w:spacing w:before="80" w:after="100"/>
      </w:pPr>
      <w:r w:rsidRPr="00261B7A">
        <w:t>Data on synthetic fertiliser use are provided by the Fertiliser Association of New Zealand from sales records from the two major fertiliser companies for 1990 to 2021, with estimates from smaller companies.</w:t>
      </w:r>
    </w:p>
    <w:p w14:paraId="3941870D" w14:textId="77777777" w:rsidR="00994F64" w:rsidRPr="00261B7A" w:rsidRDefault="00994F64" w:rsidP="00994F64">
      <w:pPr>
        <w:pStyle w:val="BodyText"/>
        <w:spacing w:before="100" w:after="100"/>
      </w:pPr>
      <w:r w:rsidRPr="00261B7A">
        <w:t>The EF</w:t>
      </w:r>
      <w:r w:rsidRPr="00261B7A">
        <w:rPr>
          <w:vertAlign w:val="subscript"/>
        </w:rPr>
        <w:t>1(UREA)</w:t>
      </w:r>
      <w:r w:rsidRPr="00261B7A">
        <w:t xml:space="preserve"> value was changed to 0.0059 in 2017, following a recommendation from the Agriculture Inventory Advisory Panel in 2016. The Panel agreed that the value of 0.0059, based on the research by van der Weerden et al. (2016a), was more representative of New Zealand farming practices and conditions, where only small (30–50 kg N/ha/application) urea dressings are applied but on several occasions during a year. The lower value of EF</w:t>
      </w:r>
      <w:r w:rsidRPr="00261B7A">
        <w:rPr>
          <w:vertAlign w:val="subscript"/>
        </w:rPr>
        <w:t>1(UREA)</w:t>
      </w:r>
      <w:r w:rsidRPr="00261B7A">
        <w:t>, compared with the IPCC default of 1 per cent, is comparable with studies conducted in Australia (Chen et al., 2010; Galbally et al., 2005) and the Netherlands (Kuikman et al., 2006), which have found EF</w:t>
      </w:r>
      <w:r w:rsidRPr="00261B7A">
        <w:rPr>
          <w:vertAlign w:val="subscript"/>
        </w:rPr>
        <w:t>1</w:t>
      </w:r>
      <w:r w:rsidRPr="00261B7A">
        <w:t xml:space="preserve"> urea fertiliser values of around 0.5 per cent. </w:t>
      </w:r>
    </w:p>
    <w:p w14:paraId="21E6C50E" w14:textId="77777777" w:rsidR="00994F64" w:rsidRPr="00261B7A" w:rsidRDefault="00994F64" w:rsidP="00994F64">
      <w:pPr>
        <w:pStyle w:val="BodyText"/>
        <w:spacing w:before="100" w:after="100"/>
      </w:pPr>
      <w:r w:rsidRPr="00261B7A">
        <w:t>Since 1990, a large increase has occurred in nitrogen</w:t>
      </w:r>
      <w:r w:rsidRPr="00261B7A" w:rsidDel="00384723">
        <w:t xml:space="preserve"> </w:t>
      </w:r>
      <w:r w:rsidRPr="00261B7A">
        <w:t xml:space="preserve">applied through synthetic fertiliser, from 59,265 tonnes in 1990 to 441,000 tonnes in 2021 (see figure 5.5.2). At the same time, the proportion of urea fertiliser applied has increased from just over 41.5 per cent to 78.7 per cent of all synthetic nitrogen fertiliser (see figure 5.5.3). </w:t>
      </w:r>
    </w:p>
    <w:p w14:paraId="2D2280EE" w14:textId="77777777" w:rsidR="00994F64" w:rsidRPr="00261B7A" w:rsidRDefault="00994F64" w:rsidP="00994F64">
      <w:pPr>
        <w:pStyle w:val="Figure"/>
      </w:pPr>
      <w:bookmarkStart w:id="1070" w:name="_Toc447275696"/>
      <w:bookmarkStart w:id="1071" w:name="_Toc481752015"/>
      <w:bookmarkStart w:id="1072" w:name="_Toc507158474"/>
      <w:bookmarkStart w:id="1073" w:name="_Toc511116965"/>
      <w:bookmarkStart w:id="1074" w:name="_Toc5269695"/>
      <w:bookmarkStart w:id="1075" w:name="_Toc32570966"/>
      <w:bookmarkStart w:id="1076" w:name="_Toc36292796"/>
      <w:bookmarkStart w:id="1077" w:name="_Toc68786661"/>
      <w:bookmarkStart w:id="1078" w:name="_Toc95574122"/>
      <w:bookmarkStart w:id="1079" w:name="_Toc127458561"/>
      <w:bookmarkStart w:id="1080" w:name="_Toc131591563"/>
      <w:r w:rsidRPr="00261B7A">
        <w:t>Figure 5.5.2</w:t>
      </w:r>
      <w:r w:rsidRPr="00261B7A">
        <w:tab/>
        <w:t>Synthetic nitrogen fertiliser use in New Zealand from 1990 to </w:t>
      </w:r>
      <w:bookmarkEnd w:id="1070"/>
      <w:bookmarkEnd w:id="1071"/>
      <w:bookmarkEnd w:id="1072"/>
      <w:bookmarkEnd w:id="1073"/>
      <w:bookmarkEnd w:id="1074"/>
      <w:bookmarkEnd w:id="1075"/>
      <w:bookmarkEnd w:id="1076"/>
      <w:bookmarkEnd w:id="1077"/>
      <w:bookmarkEnd w:id="1078"/>
      <w:r w:rsidRPr="00261B7A">
        <w:rPr>
          <w:color w:val="000000"/>
        </w:rPr>
        <w:t>2021</w:t>
      </w:r>
      <w:bookmarkEnd w:id="1079"/>
      <w:bookmarkEnd w:id="1080"/>
    </w:p>
    <w:p w14:paraId="1FB8F1F2" w14:textId="77777777" w:rsidR="00994F64" w:rsidRPr="00261B7A" w:rsidRDefault="00994F64" w:rsidP="00994F64">
      <w:pPr>
        <w:pStyle w:val="BodyText"/>
        <w:spacing w:before="0" w:after="60"/>
        <w:rPr>
          <w:rFonts w:cs="Calibri"/>
        </w:rPr>
      </w:pPr>
      <w:r w:rsidRPr="00261B7A">
        <w:rPr>
          <w:noProof/>
        </w:rPr>
        <w:drawing>
          <wp:inline distT="0" distB="0" distL="0" distR="0" wp14:anchorId="76E3B29E" wp14:editId="18484D0A">
            <wp:extent cx="5400000" cy="3236400"/>
            <wp:effectExtent l="0" t="0" r="0" b="2540"/>
            <wp:docPr id="40" name="Chart 40">
              <a:extLst xmlns:a="http://schemas.openxmlformats.org/drawingml/2006/main">
                <a:ext uri="{FF2B5EF4-FFF2-40B4-BE49-F238E27FC236}">
                  <a16:creationId xmlns:a16="http://schemas.microsoft.com/office/drawing/2014/main" id="{00000000-0008-0000-19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r w:rsidRPr="00261B7A" w:rsidDel="00496D60">
        <w:rPr>
          <w:rFonts w:cs="Calibri"/>
        </w:rPr>
        <w:t xml:space="preserve"> </w:t>
      </w:r>
      <w:bookmarkStart w:id="1081" w:name="_MON_1605429256"/>
      <w:bookmarkEnd w:id="1081"/>
    </w:p>
    <w:p w14:paraId="15268F55" w14:textId="77777777" w:rsidR="00994F64" w:rsidRPr="00261B7A" w:rsidRDefault="00994F64" w:rsidP="00994F64">
      <w:pPr>
        <w:pStyle w:val="Source"/>
        <w:spacing w:after="120"/>
        <w:rPr>
          <w:rFonts w:cs="Calibri"/>
          <w:sz w:val="18"/>
          <w:szCs w:val="24"/>
        </w:rPr>
      </w:pPr>
      <w:r w:rsidRPr="00261B7A">
        <w:rPr>
          <w:rFonts w:cs="Calibri"/>
          <w:b/>
          <w:bCs/>
          <w:sz w:val="18"/>
          <w:szCs w:val="24"/>
        </w:rPr>
        <w:t>Source:</w:t>
      </w:r>
      <w:r w:rsidRPr="00261B7A">
        <w:rPr>
          <w:rFonts w:cs="Calibri"/>
          <w:b/>
          <w:bCs/>
          <w:sz w:val="18"/>
          <w:szCs w:val="24"/>
        </w:rPr>
        <w:tab/>
      </w:r>
      <w:r w:rsidRPr="00261B7A">
        <w:rPr>
          <w:rFonts w:cs="Calibri"/>
          <w:sz w:val="18"/>
          <w:szCs w:val="24"/>
        </w:rPr>
        <w:t>Fertiliser Association of New Zealand</w:t>
      </w:r>
    </w:p>
    <w:p w14:paraId="03556F1F" w14:textId="77777777" w:rsidR="00994F64" w:rsidRPr="00261B7A" w:rsidRDefault="00994F64" w:rsidP="00994F64">
      <w:pPr>
        <w:pStyle w:val="Figure"/>
      </w:pPr>
      <w:bookmarkStart w:id="1082" w:name="_Toc447275697"/>
      <w:bookmarkStart w:id="1083" w:name="_Toc481752016"/>
      <w:bookmarkStart w:id="1084" w:name="_Toc507158475"/>
      <w:bookmarkStart w:id="1085" w:name="_Toc511116966"/>
      <w:bookmarkStart w:id="1086" w:name="_Toc5269696"/>
      <w:bookmarkStart w:id="1087" w:name="_Toc32570967"/>
      <w:bookmarkStart w:id="1088" w:name="_Toc36292797"/>
      <w:bookmarkStart w:id="1089" w:name="_Toc68786662"/>
      <w:bookmarkStart w:id="1090" w:name="_Toc95574123"/>
      <w:bookmarkStart w:id="1091" w:name="_Toc127458562"/>
      <w:bookmarkStart w:id="1092" w:name="_Toc131591564"/>
      <w:r w:rsidRPr="00261B7A">
        <w:t>Figure 5.5.3</w:t>
      </w:r>
      <w:r w:rsidRPr="00261B7A">
        <w:tab/>
        <w:t>Percentage of synthetic nitrogen fertiliser derived from urea from 1990 to</w:t>
      </w:r>
      <w:bookmarkEnd w:id="1082"/>
      <w:bookmarkEnd w:id="1083"/>
      <w:r w:rsidRPr="00261B7A">
        <w:t> </w:t>
      </w:r>
      <w:bookmarkEnd w:id="1084"/>
      <w:bookmarkEnd w:id="1085"/>
      <w:bookmarkEnd w:id="1086"/>
      <w:bookmarkEnd w:id="1087"/>
      <w:bookmarkEnd w:id="1088"/>
      <w:bookmarkEnd w:id="1089"/>
      <w:bookmarkEnd w:id="1090"/>
      <w:r w:rsidRPr="00261B7A">
        <w:t>2021</w:t>
      </w:r>
      <w:bookmarkEnd w:id="1091"/>
      <w:bookmarkEnd w:id="1092"/>
    </w:p>
    <w:p w14:paraId="7F94B76C" w14:textId="77777777" w:rsidR="00994F64" w:rsidRPr="00261B7A" w:rsidRDefault="00994F64" w:rsidP="00994F64">
      <w:pPr>
        <w:pStyle w:val="BodyText"/>
        <w:spacing w:before="0" w:after="60"/>
        <w:rPr>
          <w:rFonts w:cs="Calibri"/>
        </w:rPr>
      </w:pPr>
      <w:r w:rsidRPr="00261B7A">
        <w:rPr>
          <w:noProof/>
        </w:rPr>
        <w:drawing>
          <wp:inline distT="0" distB="0" distL="0" distR="0" wp14:anchorId="28C03301" wp14:editId="707173F1">
            <wp:extent cx="5400000" cy="2923200"/>
            <wp:effectExtent l="0" t="0" r="0" b="0"/>
            <wp:docPr id="41" name="Chart 41">
              <a:extLst xmlns:a="http://schemas.openxmlformats.org/drawingml/2006/main">
                <a:ext uri="{FF2B5EF4-FFF2-40B4-BE49-F238E27FC236}">
                  <a16:creationId xmlns:a16="http://schemas.microsoft.com/office/drawing/2014/main" id="{00000000-0008-0000-1A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r w:rsidRPr="00261B7A" w:rsidDel="00496D60">
        <w:rPr>
          <w:rFonts w:cs="Calibri"/>
        </w:rPr>
        <w:t xml:space="preserve"> </w:t>
      </w:r>
    </w:p>
    <w:p w14:paraId="074DAF2A" w14:textId="77777777" w:rsidR="00994F64" w:rsidRPr="00261B7A" w:rsidRDefault="00994F64" w:rsidP="00994F64">
      <w:pPr>
        <w:pStyle w:val="Source"/>
        <w:rPr>
          <w:sz w:val="18"/>
          <w:szCs w:val="24"/>
        </w:rPr>
      </w:pPr>
      <w:r w:rsidRPr="00261B7A">
        <w:rPr>
          <w:b/>
          <w:bCs/>
          <w:sz w:val="18"/>
          <w:szCs w:val="24"/>
        </w:rPr>
        <w:t>Source:</w:t>
      </w:r>
      <w:r w:rsidRPr="00261B7A">
        <w:rPr>
          <w:sz w:val="18"/>
          <w:szCs w:val="24"/>
        </w:rPr>
        <w:tab/>
        <w:t>Fertiliser Association of New Zealand</w:t>
      </w:r>
    </w:p>
    <w:p w14:paraId="4A458B4A" w14:textId="77777777" w:rsidR="00994F64" w:rsidRPr="00261B7A" w:rsidRDefault="00994F64" w:rsidP="00994F64">
      <w:pPr>
        <w:pStyle w:val="BodyText"/>
      </w:pPr>
      <w:r w:rsidRPr="00261B7A">
        <w:t>The increase in synthetic nitrogen fertiliser use since 1990 has resulted in an increase in emissions from this category, from 275.1 kt CO</w:t>
      </w:r>
      <w:r w:rsidRPr="00261B7A">
        <w:rPr>
          <w:vertAlign w:val="subscript"/>
        </w:rPr>
        <w:t>2</w:t>
      </w:r>
      <w:r w:rsidRPr="00261B7A">
        <w:t>-e in 1990 (0.8 per cent of total Agriculture emissions) to 1,695.8 kt CO</w:t>
      </w:r>
      <w:r w:rsidRPr="00261B7A">
        <w:rPr>
          <w:vertAlign w:val="subscript"/>
        </w:rPr>
        <w:t>2</w:t>
      </w:r>
      <w:r w:rsidRPr="00261B7A">
        <w:noBreakHyphen/>
        <w:t xml:space="preserve">e in 2021 (4.5 per cent of Agriculture emissions). </w:t>
      </w:r>
    </w:p>
    <w:p w14:paraId="68FD7617" w14:textId="77777777" w:rsidR="00994F64" w:rsidRPr="00261B7A" w:rsidRDefault="00994F64" w:rsidP="00994F64">
      <w:pPr>
        <w:pStyle w:val="Heading5"/>
        <w:rPr>
          <w:rFonts w:cs="Calibri"/>
        </w:rPr>
      </w:pPr>
      <w:r w:rsidRPr="00261B7A">
        <w:rPr>
          <w:rFonts w:cs="Calibri"/>
        </w:rPr>
        <w:t>Organic nitrogen fertilisers (CRF 3.D.1.2)</w:t>
      </w:r>
    </w:p>
    <w:p w14:paraId="5EA832E2" w14:textId="77777777" w:rsidR="00994F64" w:rsidRPr="00261B7A" w:rsidRDefault="00994F64" w:rsidP="00994F64">
      <w:pPr>
        <w:pStyle w:val="BodyText"/>
        <w:spacing w:before="100"/>
      </w:pPr>
      <w:r w:rsidRPr="00261B7A">
        <w:t xml:space="preserve">In New Zealand, emissions from organic nitrogen fertilisers are solely from animal manure that is spread on pasture after collection in manure management systems. While most animal manure in New Zealand is excreted directly onto pasture, some manure from dairy farms is collected in manure management systems and applied to soils as an organic fertiliser (see table 5.3.2). A recent report by Rollo et al., (2017) found that only 8 per cent of dairy farms use land application of manure, with direct pumping from a sump. In all cases, manure that was collected was stored for least one or two days before spreading to pasture via irrigation. Therefore, it does not meet the definition of </w:t>
      </w:r>
      <w:r w:rsidRPr="00261B7A">
        <w:rPr>
          <w:i/>
          <w:iCs/>
        </w:rPr>
        <w:t>daily spread</w:t>
      </w:r>
      <w:r w:rsidRPr="00261B7A">
        <w:t xml:space="preserve"> and the notation key ‘NO’ is reported in 3.B(b) of the CRF tables. The emissions calculation in this category (organic nitrogen fertilisers) excludes manure deposited directly on pasture by grazing livestock, which is covered in the next section (</w:t>
      </w:r>
      <w:r w:rsidRPr="00261B7A">
        <w:rPr>
          <w:i/>
          <w:iCs/>
        </w:rPr>
        <w:t>Urine and dung deposited by grazing animals</w:t>
      </w:r>
      <w:r w:rsidRPr="00261B7A">
        <w:t xml:space="preserve"> (CRF 3.D.1.3)). Animal manure is not used for fuel or construction in New Zealand.</w:t>
      </w:r>
    </w:p>
    <w:p w14:paraId="75B502D5" w14:textId="77777777" w:rsidR="00994F64" w:rsidRPr="00261B7A" w:rsidRDefault="00994F64" w:rsidP="00994F64">
      <w:pPr>
        <w:pStyle w:val="BodyText"/>
      </w:pPr>
      <w:r w:rsidRPr="00261B7A">
        <w:t>New Zealand has developed a country-specific emission factor for dairy cattle manure applied to soils of 0.0025 (van der Weerden et al., 2016a, 2016b). This value was based on a meta-analysis of field trials carried out in New Zealand that measured emissions from dairy cattle manure on soil. This emission factor was changed to 0.0025 in 2017, following a recommendation from the Agriculture Inventory Advisory Panel in 2016. The Panel agreed that the new value was more representative of New Zealand farming practices and conditions. Given that dairy cattle manure is a mixture of urine and dung (combined with water), the value of 0.0025 is consistent with the EF</w:t>
      </w:r>
      <w:r w:rsidRPr="00261B7A">
        <w:rPr>
          <w:vertAlign w:val="subscript"/>
        </w:rPr>
        <w:t>3</w:t>
      </w:r>
      <w:r w:rsidRPr="00261B7A">
        <w:t xml:space="preserve"> emission factor values used in New Zealand for dairy cattle urine (0.0098 and 0.0033 for flat and medium to steep sloped land respectively) and dung (0.0012) (van der Weerden et al., 2016a). Direct N</w:t>
      </w:r>
      <w:r w:rsidRPr="00261B7A">
        <w:rPr>
          <w:vertAlign w:val="subscript"/>
        </w:rPr>
        <w:t>2</w:t>
      </w:r>
      <w:r w:rsidRPr="00261B7A">
        <w:t>O emissions from organic fertiliser (dairy cattle manure) in 2020 (using the EF of 0.0025) were 0.139 kt N</w:t>
      </w:r>
      <w:r w:rsidRPr="00261B7A">
        <w:rPr>
          <w:vertAlign w:val="subscript"/>
        </w:rPr>
        <w:t>2</w:t>
      </w:r>
      <w:r w:rsidRPr="00261B7A">
        <w:t>O.</w:t>
      </w:r>
    </w:p>
    <w:p w14:paraId="3C3A9373" w14:textId="77777777" w:rsidR="00994F64" w:rsidRPr="00261B7A" w:rsidRDefault="00994F64" w:rsidP="00994F64">
      <w:pPr>
        <w:pStyle w:val="BodyText"/>
      </w:pPr>
      <w:r w:rsidRPr="00261B7A">
        <w:t>Manure from poultry and swine spread onto soil has an emission factor of 0.01, which is consistent with the IPCC default.</w:t>
      </w:r>
    </w:p>
    <w:p w14:paraId="2E37762D" w14:textId="77777777" w:rsidR="00994F64" w:rsidRPr="00261B7A" w:rsidRDefault="00994F64" w:rsidP="00994F64">
      <w:pPr>
        <w:pStyle w:val="BodyText"/>
        <w:spacing w:before="100" w:after="60"/>
      </w:pPr>
      <w:r w:rsidRPr="00261B7A">
        <w:t>The following equation is used to determine direct N</w:t>
      </w:r>
      <w:r w:rsidRPr="00261B7A">
        <w:rPr>
          <w:vertAlign w:val="subscript"/>
        </w:rPr>
        <w:t>2</w:t>
      </w:r>
      <w:r w:rsidRPr="00261B7A">
        <w:t>O emissions from the application of animal manure to soil:</w:t>
      </w:r>
    </w:p>
    <w:bookmarkStart w:id="1093" w:name="_MON_1543746072"/>
    <w:bookmarkEnd w:id="1093"/>
    <w:p w14:paraId="20BD5632" w14:textId="77777777" w:rsidR="00994F64" w:rsidRPr="00261B7A" w:rsidRDefault="00994F64" w:rsidP="00994F64">
      <w:pPr>
        <w:pStyle w:val="BodyText"/>
        <w:spacing w:before="0" w:after="60"/>
        <w:jc w:val="center"/>
        <w:rPr>
          <w:rFonts w:cs="Calibri"/>
        </w:rPr>
      </w:pPr>
      <w:r w:rsidRPr="00261B7A">
        <w:rPr>
          <w:rFonts w:cs="Calibri"/>
        </w:rPr>
        <w:object w:dxaOrig="6524" w:dyaOrig="450" w14:anchorId="43D48484">
          <v:shape id="_x0000_i1043" type="#_x0000_t75" style="width:323.5pt;height:22pt" o:ole="">
            <v:imagedata r:id="rId141" o:title="" cropright="6115f"/>
          </v:shape>
          <o:OLEObject Type="Embed" ProgID="Word.Document.12" ShapeID="_x0000_i1043" DrawAspect="Content" ObjectID="_1742911582" r:id="rId142">
            <o:FieldCodes>\s</o:FieldCodes>
          </o:OLEObject>
        </w:object>
      </w:r>
    </w:p>
    <w:p w14:paraId="1AA07856" w14:textId="77777777" w:rsidR="00994F64" w:rsidRPr="00261B7A" w:rsidRDefault="00994F64" w:rsidP="00994F64">
      <w:pPr>
        <w:pStyle w:val="BodyText"/>
        <w:spacing w:after="40"/>
        <w:ind w:left="964" w:hanging="964"/>
      </w:pPr>
      <w:r w:rsidRPr="00261B7A">
        <w:t>Where:</w:t>
      </w:r>
      <w:r w:rsidRPr="00261B7A">
        <w:tab/>
        <w:t>F</w:t>
      </w:r>
      <w:r w:rsidRPr="00261B7A">
        <w:rPr>
          <w:vertAlign w:val="subscript"/>
        </w:rPr>
        <w:t>AM</w:t>
      </w:r>
      <w:r w:rsidRPr="00261B7A">
        <w:t xml:space="preserve"> is the total amount of animal manure nitrogen (swine and poultry) applied to soils from manure management systems (other than pasture, range and paddock), which is derived as a fraction of the nitrogen excretion rates, N</w:t>
      </w:r>
      <w:r w:rsidRPr="00261B7A">
        <w:rPr>
          <w:vertAlign w:val="subscript"/>
        </w:rPr>
        <w:t>ex</w:t>
      </w:r>
      <w:r w:rsidRPr="00261B7A">
        <w:t xml:space="preserve">, described in section 5.3.2 </w:t>
      </w:r>
    </w:p>
    <w:p w14:paraId="19352940" w14:textId="77777777" w:rsidR="00994F64" w:rsidRPr="00261B7A" w:rsidRDefault="00994F64" w:rsidP="00994F64">
      <w:pPr>
        <w:pStyle w:val="BodyText"/>
        <w:spacing w:before="60" w:after="40"/>
        <w:ind w:left="964" w:hanging="964"/>
      </w:pPr>
      <w:r w:rsidRPr="00261B7A">
        <w:tab/>
        <w:t>EF</w:t>
      </w:r>
      <w:r w:rsidRPr="00261B7A">
        <w:rPr>
          <w:vertAlign w:val="subscript"/>
        </w:rPr>
        <w:t>1</w:t>
      </w:r>
      <w:r w:rsidRPr="00261B7A">
        <w:t xml:space="preserve"> is the proportion of direct N</w:t>
      </w:r>
      <w:r w:rsidRPr="00261B7A">
        <w:rPr>
          <w:vertAlign w:val="subscript"/>
        </w:rPr>
        <w:t>2</w:t>
      </w:r>
      <w:r w:rsidRPr="00261B7A">
        <w:t>O emissions from animal manure (swine and poultry) applied to soils (0.01; table 5.5.2)</w:t>
      </w:r>
    </w:p>
    <w:p w14:paraId="277C43F5" w14:textId="77777777" w:rsidR="00994F64" w:rsidRPr="00261B7A" w:rsidRDefault="00994F64" w:rsidP="00994F64">
      <w:pPr>
        <w:pStyle w:val="BodyText"/>
        <w:spacing w:before="60" w:after="40"/>
        <w:ind w:left="964" w:hanging="964"/>
      </w:pPr>
      <w:r w:rsidRPr="00261B7A">
        <w:tab/>
        <w:t>F</w:t>
      </w:r>
      <w:r w:rsidRPr="00261B7A">
        <w:rPr>
          <w:vertAlign w:val="subscript"/>
        </w:rPr>
        <w:t>AM(DAIRY)</w:t>
      </w:r>
      <w:r w:rsidRPr="00261B7A">
        <w:t xml:space="preserve"> is the total amount of animal manure nitrogen (dairy) applied to soils from manure management systems (other than pasture, range and paddock), which is derived as a fraction of the nitrogen excretion rates, N</w:t>
      </w:r>
      <w:r w:rsidRPr="00261B7A">
        <w:rPr>
          <w:vertAlign w:val="subscript"/>
        </w:rPr>
        <w:t>ex</w:t>
      </w:r>
      <w:r w:rsidRPr="00261B7A">
        <w:t>, described in section 5.3.2, and</w:t>
      </w:r>
    </w:p>
    <w:p w14:paraId="6547E152" w14:textId="77777777" w:rsidR="00994F64" w:rsidRPr="00261B7A" w:rsidDel="00380393" w:rsidRDefault="00994F64" w:rsidP="00994F64">
      <w:pPr>
        <w:pStyle w:val="BodyText"/>
        <w:spacing w:before="40"/>
        <w:ind w:left="964" w:hanging="964"/>
      </w:pPr>
      <w:r w:rsidRPr="00261B7A">
        <w:tab/>
        <w:t>EF</w:t>
      </w:r>
      <w:r w:rsidRPr="00261B7A">
        <w:rPr>
          <w:vertAlign w:val="subscript"/>
        </w:rPr>
        <w:t>1(DAIRY)</w:t>
      </w:r>
      <w:r w:rsidRPr="00261B7A">
        <w:t xml:space="preserve"> is the proportion of direct N</w:t>
      </w:r>
      <w:r w:rsidRPr="00261B7A">
        <w:rPr>
          <w:vertAlign w:val="subscript"/>
        </w:rPr>
        <w:t>2</w:t>
      </w:r>
      <w:r w:rsidRPr="00261B7A">
        <w:t>O emissions from animal manure (dairy cattle) applied to soils (0.0025; table 5.5.2)</w:t>
      </w:r>
      <w:r w:rsidRPr="00261B7A" w:rsidDel="00380393">
        <w:t xml:space="preserve">. </w:t>
      </w:r>
    </w:p>
    <w:p w14:paraId="119C0665" w14:textId="77777777" w:rsidR="00994F64" w:rsidRPr="00261B7A" w:rsidRDefault="00994F64" w:rsidP="00994F64">
      <w:pPr>
        <w:pStyle w:val="BodyText"/>
      </w:pPr>
      <w:r w:rsidRPr="00261B7A">
        <w:t xml:space="preserve">The IPCC Guidelines (IPCC, 2006) recommend that non-manure components of organic nitrogen applied to agricultural soils, such as compost sewage sludge and rendering waste, are included under organic fertilisers. New Zealand commissioned research on sources of organic waste and found that these activities are not significant for New Zealand (van der Weerden </w:t>
      </w:r>
      <w:r w:rsidRPr="00261B7A">
        <w:rPr>
          <w:spacing w:val="-2"/>
        </w:rPr>
        <w:t>et al., 2014). They account for nearly 0.025 per cent of national gross greenhouse gas emissions</w:t>
      </w:r>
      <w:r w:rsidRPr="00261B7A">
        <w:t xml:space="preserve"> and, therefore, this category has been reported as ‘not estimated’ (NE). An updated analysis of the findings of this report is currently under way, and more information can be found in section 5.5.6.</w:t>
      </w:r>
    </w:p>
    <w:p w14:paraId="29AE10FB" w14:textId="77777777" w:rsidR="00994F64" w:rsidRPr="00261B7A" w:rsidRDefault="00994F64" w:rsidP="00994F64">
      <w:pPr>
        <w:pStyle w:val="BodyText"/>
        <w:spacing w:before="100" w:after="100"/>
      </w:pPr>
      <w:r w:rsidRPr="00261B7A">
        <w:t>The research assessed a range of potential sources, including dairy processing wastewater, compost sold to the rural sector, blood and bone fertiliser, meat processing wastewater and sludge, grape marc from the wine industry, vegetable processing wastewater and sewage sludge applied to land. No brewery waste is applied to soils in New Zealand because spent yeast is used in the food industry to manufacture a yeast spread, or fed directly to stock.</w:t>
      </w:r>
    </w:p>
    <w:p w14:paraId="15CE412E" w14:textId="77777777" w:rsidR="00994F64" w:rsidRPr="00261B7A" w:rsidDel="00A405B4" w:rsidRDefault="00994F64" w:rsidP="00994F64">
      <w:pPr>
        <w:pStyle w:val="BodyText"/>
        <w:spacing w:before="100" w:after="100"/>
      </w:pPr>
      <w:r w:rsidRPr="00261B7A">
        <w:t>Because most livestock manure in New Zealand is excreted directly onto pasture, emissions from the organic nitrogen fertilisers category are relatively small. In 2021, N</w:t>
      </w:r>
      <w:r w:rsidRPr="00261B7A">
        <w:rPr>
          <w:vertAlign w:val="subscript"/>
        </w:rPr>
        <w:t>2</w:t>
      </w:r>
      <w:r w:rsidRPr="00261B7A">
        <w:t>O emissions from this source contributed 73.8 kt CO</w:t>
      </w:r>
      <w:r w:rsidRPr="00261B7A">
        <w:rPr>
          <w:vertAlign w:val="subscript"/>
        </w:rPr>
        <w:t>2</w:t>
      </w:r>
      <w:r w:rsidRPr="00261B7A">
        <w:t xml:space="preserve">-e (1.0 per cent of emissions from </w:t>
      </w:r>
      <w:r w:rsidRPr="00261B7A">
        <w:rPr>
          <w:i/>
          <w:iCs/>
        </w:rPr>
        <w:t>Agricultural soils</w:t>
      </w:r>
      <w:r w:rsidRPr="00261B7A">
        <w:t>, and 0.2 per cent of total agricultural emissions). This is an increase of 38.0 kt CO</w:t>
      </w:r>
      <w:r w:rsidRPr="00261B7A">
        <w:rPr>
          <w:vertAlign w:val="subscript"/>
        </w:rPr>
        <w:t>2</w:t>
      </w:r>
      <w:r w:rsidRPr="00261B7A">
        <w:t>-e (106.2 per cent) from the 1990 level of 35.8 kt CO</w:t>
      </w:r>
      <w:r w:rsidRPr="00261B7A">
        <w:rPr>
          <w:vertAlign w:val="subscript"/>
        </w:rPr>
        <w:t>2</w:t>
      </w:r>
      <w:r w:rsidRPr="00261B7A">
        <w:t xml:space="preserve">-e. </w:t>
      </w:r>
    </w:p>
    <w:p w14:paraId="24A74CF1" w14:textId="77777777" w:rsidR="00994F64" w:rsidRPr="00261B7A" w:rsidRDefault="00994F64" w:rsidP="00994F64">
      <w:pPr>
        <w:pStyle w:val="Heading5"/>
        <w:rPr>
          <w:rFonts w:cs="Calibri"/>
        </w:rPr>
      </w:pPr>
      <w:r w:rsidRPr="00261B7A">
        <w:rPr>
          <w:rFonts w:cs="Calibri"/>
        </w:rPr>
        <w:t>Urine and dung deposited by grazing animals (CRF 3.D.1.3)</w:t>
      </w:r>
    </w:p>
    <w:p w14:paraId="413F7B1D" w14:textId="77777777" w:rsidR="00994F64" w:rsidRPr="00261B7A" w:rsidRDefault="00994F64" w:rsidP="00994F64">
      <w:pPr>
        <w:pStyle w:val="BodyText"/>
        <w:spacing w:before="100"/>
      </w:pPr>
      <w:r w:rsidRPr="00261B7A">
        <w:t>Most livestock in New Zealand are grazed outdoors on pasture, with around 92.7 per cent of dairy cattle excreta and 100 per cent of beef cattle, sheep, deer and other livestock excreta deposited on pasture (see table 5.3.2). In New Zealand, dairy cattle are kept close to the milking shed and dairy farming tends to be on flatland. Sheep, beef and deer farming predominantly occur on hill country and rarely on flatland.</w:t>
      </w:r>
    </w:p>
    <w:p w14:paraId="3B62DEE7" w14:textId="77777777" w:rsidR="00994F64" w:rsidRPr="00261B7A" w:rsidRDefault="00994F64" w:rsidP="00994F64">
      <w:pPr>
        <w:pStyle w:val="BodyText"/>
        <w:spacing w:before="100"/>
      </w:pPr>
      <w:r w:rsidRPr="00261B7A">
        <w:t>The following equations are used to determine direct N</w:t>
      </w:r>
      <w:r w:rsidRPr="00261B7A">
        <w:rPr>
          <w:vertAlign w:val="subscript"/>
        </w:rPr>
        <w:t>2</w:t>
      </w:r>
      <w:r w:rsidRPr="00261B7A">
        <w:t>O emissions from grazing livestock manure.</w:t>
      </w:r>
    </w:p>
    <w:p w14:paraId="5B0E15D0" w14:textId="77777777" w:rsidR="00994F64" w:rsidRPr="00261B7A" w:rsidRDefault="00994F64" w:rsidP="00994F64">
      <w:pPr>
        <w:pStyle w:val="BodyText"/>
        <w:spacing w:before="100"/>
      </w:pPr>
      <w:r w:rsidRPr="00261B7A">
        <w:t xml:space="preserve">For urine deposited on flatland and low slopes by sheep, cattle and deer only: </w:t>
      </w:r>
    </w:p>
    <w:bookmarkStart w:id="1094" w:name="_MON_1608113144"/>
    <w:bookmarkEnd w:id="1094"/>
    <w:p w14:paraId="4667BADB" w14:textId="77777777" w:rsidR="00994F64" w:rsidRPr="00261B7A" w:rsidRDefault="00994F64" w:rsidP="00994F64">
      <w:pPr>
        <w:pStyle w:val="BodyText"/>
        <w:spacing w:before="80" w:after="80"/>
      </w:pPr>
      <w:r w:rsidRPr="00261B7A">
        <w:object w:dxaOrig="7709" w:dyaOrig="1087" w14:anchorId="4AEC8B01">
          <v:shape id="_x0000_i1044" type="#_x0000_t75" style="width:390pt;height:58.5pt" o:ole="">
            <v:imagedata r:id="rId143" o:title=""/>
          </v:shape>
          <o:OLEObject Type="Embed" ProgID="Word.Document.12" ShapeID="_x0000_i1044" DrawAspect="Content" ObjectID="_1742911583" r:id="rId144">
            <o:FieldCodes>\s</o:FieldCodes>
          </o:OLEObject>
        </w:object>
      </w:r>
    </w:p>
    <w:p w14:paraId="14784BC9" w14:textId="77777777" w:rsidR="00994F64" w:rsidRPr="00261B7A" w:rsidRDefault="00994F64" w:rsidP="00994F64">
      <w:pPr>
        <w:pStyle w:val="BodyText"/>
        <w:keepNext/>
        <w:rPr>
          <w:rFonts w:cs="Calibri"/>
        </w:rPr>
      </w:pPr>
      <w:r w:rsidRPr="00261B7A">
        <w:rPr>
          <w:rFonts w:cs="Calibri"/>
        </w:rPr>
        <w:t xml:space="preserve">For urine deposited on medium and steep slopes by sheep, cattle and deer only: </w:t>
      </w:r>
    </w:p>
    <w:bookmarkStart w:id="1095" w:name="_MON_1635763769"/>
    <w:bookmarkEnd w:id="1095"/>
    <w:p w14:paraId="66002AE5" w14:textId="77777777" w:rsidR="00994F64" w:rsidRPr="00261B7A" w:rsidRDefault="00994F64" w:rsidP="00994F64">
      <w:pPr>
        <w:pStyle w:val="BodyText"/>
        <w:keepNext/>
        <w:spacing w:before="80" w:after="80"/>
        <w:rPr>
          <w:rFonts w:cs="Calibri"/>
        </w:rPr>
      </w:pPr>
      <w:r w:rsidRPr="00261B7A">
        <w:rPr>
          <w:rFonts w:cs="Calibri"/>
        </w:rPr>
        <w:object w:dxaOrig="7709" w:dyaOrig="1087" w14:anchorId="6F9D710A">
          <v:shape id="_x0000_i1045" type="#_x0000_t75" style="width:390pt;height:58.5pt" o:ole="">
            <v:imagedata r:id="rId145" o:title=""/>
          </v:shape>
          <o:OLEObject Type="Embed" ProgID="Word.Document.12" ShapeID="_x0000_i1045" DrawAspect="Content" ObjectID="_1742911584" r:id="rId146">
            <o:FieldCodes>\s</o:FieldCodes>
          </o:OLEObject>
        </w:object>
      </w:r>
    </w:p>
    <w:p w14:paraId="2F7A7AF8" w14:textId="77777777" w:rsidR="00994F64" w:rsidRPr="00261B7A" w:rsidRDefault="00994F64" w:rsidP="00994F64">
      <w:pPr>
        <w:pStyle w:val="BodyText"/>
        <w:rPr>
          <w:rFonts w:cs="Calibri"/>
        </w:rPr>
      </w:pPr>
      <w:r w:rsidRPr="00261B7A">
        <w:rPr>
          <w:rFonts w:cs="Calibri"/>
        </w:rPr>
        <w:t>For all dung from sheep, cattle and deer:</w:t>
      </w:r>
    </w:p>
    <w:bookmarkStart w:id="1096" w:name="_MON_1608112789"/>
    <w:bookmarkEnd w:id="1096"/>
    <w:p w14:paraId="08CC4587" w14:textId="77777777" w:rsidR="00994F64" w:rsidRPr="00261B7A" w:rsidRDefault="00994F64" w:rsidP="00994F64">
      <w:pPr>
        <w:pStyle w:val="BodyText"/>
        <w:spacing w:before="80" w:after="80"/>
        <w:rPr>
          <w:rFonts w:cs="Calibri"/>
        </w:rPr>
      </w:pPr>
      <w:r w:rsidRPr="00261B7A">
        <w:rPr>
          <w:rFonts w:cs="Calibri"/>
        </w:rPr>
        <w:object w:dxaOrig="7889" w:dyaOrig="637" w14:anchorId="06067802">
          <v:shape id="_x0000_i1046" type="#_x0000_t75" style="width:397pt;height:35.5pt" o:ole="">
            <v:imagedata r:id="rId147" o:title=""/>
          </v:shape>
          <o:OLEObject Type="Embed" ProgID="Word.Document.12" ShapeID="_x0000_i1046" DrawAspect="Content" ObjectID="_1742911585" r:id="rId148">
            <o:FieldCodes>\s</o:FieldCodes>
          </o:OLEObject>
        </w:object>
      </w:r>
    </w:p>
    <w:p w14:paraId="1F93FFD2" w14:textId="77777777" w:rsidR="00994F64" w:rsidRPr="00261B7A" w:rsidRDefault="00994F64" w:rsidP="00994F64">
      <w:pPr>
        <w:pStyle w:val="BodyText"/>
        <w:keepNext/>
        <w:rPr>
          <w:rFonts w:cs="Calibri"/>
        </w:rPr>
      </w:pPr>
      <w:r w:rsidRPr="00261B7A">
        <w:rPr>
          <w:rFonts w:cs="Calibri"/>
        </w:rPr>
        <w:t xml:space="preserve">For urine and dung from other livestock categories (swine, goats, horses, alpaca, mules, asses and poultry): </w:t>
      </w:r>
    </w:p>
    <w:bookmarkStart w:id="1097" w:name="_MON_1635762384"/>
    <w:bookmarkEnd w:id="1097"/>
    <w:p w14:paraId="0BC9E279" w14:textId="77777777" w:rsidR="00994F64" w:rsidRPr="00261B7A" w:rsidRDefault="00994F64" w:rsidP="00994F64">
      <w:pPr>
        <w:pStyle w:val="BodyText"/>
        <w:spacing w:before="80" w:after="80"/>
      </w:pPr>
      <w:r w:rsidRPr="00261B7A">
        <w:object w:dxaOrig="7934" w:dyaOrig="661" w14:anchorId="4136A371">
          <v:shape id="_x0000_i1047" type="#_x0000_t75" style="width:394.5pt;height:35.5pt" o:ole="">
            <v:imagedata r:id="rId149" o:title=""/>
          </v:shape>
          <o:OLEObject Type="Embed" ProgID="Word.Document.12" ShapeID="_x0000_i1047" DrawAspect="Content" ObjectID="_1742911586" r:id="rId150">
            <o:FieldCodes>\s</o:FieldCodes>
          </o:OLEObject>
        </w:object>
      </w:r>
    </w:p>
    <w:p w14:paraId="5B0204DC" w14:textId="77777777" w:rsidR="00994F64" w:rsidRPr="00261B7A" w:rsidRDefault="00994F64" w:rsidP="00994F64">
      <w:pPr>
        <w:pStyle w:val="BodyText"/>
        <w:keepNext/>
        <w:spacing w:before="60" w:after="40"/>
        <w:ind w:left="964" w:hanging="964"/>
      </w:pPr>
      <w:r w:rsidRPr="00261B7A">
        <w:t xml:space="preserve">Where: </w:t>
      </w:r>
      <w:r w:rsidRPr="00261B7A">
        <w:tab/>
        <w:t>N</w:t>
      </w:r>
      <w:r w:rsidRPr="00261B7A">
        <w:rPr>
          <w:vertAlign w:val="subscript"/>
        </w:rPr>
        <w:t xml:space="preserve">T </w:t>
      </w:r>
      <w:r w:rsidRPr="00261B7A">
        <w:t>is the population of the livestock category (sheep, cattle, deer or other)</w:t>
      </w:r>
    </w:p>
    <w:p w14:paraId="77816201" w14:textId="77777777" w:rsidR="00994F64" w:rsidRPr="00261B7A" w:rsidRDefault="00994F64" w:rsidP="00994F64">
      <w:pPr>
        <w:pStyle w:val="BodyText"/>
        <w:keepNext/>
        <w:spacing w:before="60" w:after="40"/>
        <w:ind w:left="964"/>
      </w:pPr>
      <w:r w:rsidRPr="00261B7A">
        <w:t>T is the population as calculated in section 5.1.3</w:t>
      </w:r>
    </w:p>
    <w:p w14:paraId="3999CAC2" w14:textId="77777777" w:rsidR="00994F64" w:rsidRPr="00261B7A" w:rsidRDefault="00994F64" w:rsidP="00AD4F93">
      <w:pPr>
        <w:pStyle w:val="BodyText"/>
        <w:spacing w:before="40" w:after="0"/>
        <w:ind w:left="964" w:hanging="964"/>
      </w:pPr>
      <w:r w:rsidRPr="00261B7A">
        <w:tab/>
        <w:t>Nex</w:t>
      </w:r>
      <w:r w:rsidRPr="00261B7A">
        <w:rPr>
          <w:vertAlign w:val="subscript"/>
        </w:rPr>
        <w:t>URINE,FLAT</w:t>
      </w:r>
      <w:r w:rsidRPr="00261B7A">
        <w:t xml:space="preserve"> is the annual urinary N excretion per head deposited on flatland</w:t>
      </w:r>
      <w:r w:rsidRPr="00261B7A">
        <w:rPr>
          <w:rStyle w:val="FootnoteReference"/>
          <w:rFonts w:cs="Calibri"/>
        </w:rPr>
        <w:footnoteReference w:id="57"/>
      </w:r>
      <w:r w:rsidRPr="00261B7A">
        <w:t xml:space="preserve"> (kg N/head/year) </w:t>
      </w:r>
    </w:p>
    <w:p w14:paraId="5C043AD5" w14:textId="77777777" w:rsidR="00994F64" w:rsidRPr="00261B7A" w:rsidRDefault="00994F64" w:rsidP="00AD4F93">
      <w:pPr>
        <w:pStyle w:val="BodyText"/>
        <w:spacing w:before="40" w:after="40"/>
        <w:ind w:left="964" w:hanging="964"/>
      </w:pPr>
      <w:r w:rsidRPr="00261B7A">
        <w:tab/>
        <w:t>Nex</w:t>
      </w:r>
      <w:r w:rsidRPr="00261B7A">
        <w:rPr>
          <w:vertAlign w:val="subscript"/>
        </w:rPr>
        <w:t>URINE,LOW</w:t>
      </w:r>
      <w:r w:rsidRPr="00261B7A">
        <w:t xml:space="preserve"> is the annual urinary N excretion per head deposited on low slopes</w:t>
      </w:r>
      <w:r w:rsidRPr="00261B7A">
        <w:rPr>
          <w:rStyle w:val="FootnoteReference"/>
          <w:rFonts w:cs="Calibri"/>
        </w:rPr>
        <w:footnoteReference w:id="58"/>
      </w:r>
      <w:r w:rsidRPr="00261B7A">
        <w:t xml:space="preserve"> (kg N/head/year) </w:t>
      </w:r>
    </w:p>
    <w:p w14:paraId="2951ECB9" w14:textId="77777777" w:rsidR="00994F64" w:rsidRPr="00261B7A" w:rsidRDefault="00994F64" w:rsidP="00AD4F93">
      <w:pPr>
        <w:pStyle w:val="BodyText"/>
        <w:spacing w:before="40" w:after="40"/>
        <w:ind w:left="964" w:hanging="964"/>
      </w:pPr>
      <w:r w:rsidRPr="00261B7A">
        <w:tab/>
        <w:t>Nex</w:t>
      </w:r>
      <w:r w:rsidRPr="00261B7A">
        <w:rPr>
          <w:vertAlign w:val="subscript"/>
        </w:rPr>
        <w:t>URINE,MED</w:t>
      </w:r>
      <w:r w:rsidRPr="00261B7A">
        <w:t xml:space="preserve"> is the annual urinary N excretion per head deposited on medium slopes</w:t>
      </w:r>
      <w:r w:rsidRPr="00261B7A">
        <w:rPr>
          <w:rStyle w:val="FootnoteReference"/>
          <w:rFonts w:cs="Calibri"/>
        </w:rPr>
        <w:footnoteReference w:id="59"/>
      </w:r>
      <w:r w:rsidRPr="00261B7A">
        <w:t xml:space="preserve"> (kg N/head/year) </w:t>
      </w:r>
    </w:p>
    <w:p w14:paraId="46F34BE6" w14:textId="77777777" w:rsidR="00994F64" w:rsidRPr="00261B7A" w:rsidRDefault="00994F64" w:rsidP="00AD4F93">
      <w:pPr>
        <w:pStyle w:val="BodyText"/>
        <w:spacing w:before="40" w:after="40"/>
        <w:ind w:left="964" w:hanging="964"/>
      </w:pPr>
      <w:r w:rsidRPr="00261B7A">
        <w:tab/>
        <w:t>Nex</w:t>
      </w:r>
      <w:r w:rsidRPr="00261B7A">
        <w:rPr>
          <w:vertAlign w:val="subscript"/>
        </w:rPr>
        <w:t>URINE,STEEP</w:t>
      </w:r>
      <w:r w:rsidRPr="00261B7A">
        <w:t xml:space="preserve"> is the annual urinary N excretion per head deposited on steep slopes</w:t>
      </w:r>
      <w:r w:rsidRPr="00261B7A">
        <w:rPr>
          <w:rStyle w:val="FootnoteReference"/>
          <w:rFonts w:cs="Calibri"/>
        </w:rPr>
        <w:footnoteReference w:id="60"/>
      </w:r>
      <w:r w:rsidRPr="00261B7A">
        <w:t xml:space="preserve"> (kg N/head/year) </w:t>
      </w:r>
    </w:p>
    <w:p w14:paraId="7EB39676" w14:textId="77777777" w:rsidR="00994F64" w:rsidRPr="00261B7A" w:rsidRDefault="00994F64" w:rsidP="00AD4F93">
      <w:pPr>
        <w:pStyle w:val="BodyText"/>
        <w:spacing w:before="40" w:after="40"/>
        <w:ind w:left="964" w:hanging="964"/>
      </w:pPr>
      <w:r w:rsidRPr="00261B7A">
        <w:tab/>
        <w:t>Nex</w:t>
      </w:r>
      <w:r w:rsidRPr="00261B7A">
        <w:rPr>
          <w:vertAlign w:val="subscript"/>
        </w:rPr>
        <w:t>DUNG,T</w:t>
      </w:r>
      <w:r w:rsidRPr="00261B7A">
        <w:t xml:space="preserve"> is the annual average excretion per head (kg N/head/year) </w:t>
      </w:r>
    </w:p>
    <w:p w14:paraId="4AA019E3" w14:textId="77777777" w:rsidR="00994F64" w:rsidRPr="00261B7A" w:rsidRDefault="00994F64" w:rsidP="00AD4F93">
      <w:pPr>
        <w:pStyle w:val="BodyText"/>
        <w:spacing w:before="40" w:after="40"/>
        <w:ind w:left="964" w:hanging="964"/>
      </w:pPr>
      <w:r w:rsidRPr="00261B7A">
        <w:tab/>
        <w:t>Nex</w:t>
      </w:r>
      <w:r w:rsidRPr="00261B7A">
        <w:rPr>
          <w:vertAlign w:val="subscript"/>
        </w:rPr>
        <w:t>T</w:t>
      </w:r>
      <w:r w:rsidRPr="00261B7A">
        <w:t xml:space="preserve"> is the annual average N excretion per head (kg N/head/year) (see section 5.3) </w:t>
      </w:r>
    </w:p>
    <w:p w14:paraId="7B0DFE64" w14:textId="77777777" w:rsidR="00994F64" w:rsidRPr="00261B7A" w:rsidRDefault="00994F64" w:rsidP="00AD4F93">
      <w:pPr>
        <w:pStyle w:val="BodyText"/>
        <w:spacing w:before="40" w:after="40"/>
        <w:ind w:left="964" w:hanging="964"/>
      </w:pPr>
      <w:r w:rsidRPr="00261B7A">
        <w:tab/>
        <w:t>MS</w:t>
      </w:r>
      <w:r w:rsidRPr="00261B7A">
        <w:rPr>
          <w:vertAlign w:val="subscript"/>
        </w:rPr>
        <w:t>T</w:t>
      </w:r>
      <w:r w:rsidRPr="00261B7A">
        <w:t xml:space="preserve"> is the proportion of manure excreted directly onto pasture, range and paddock (see table 5.3.2)</w:t>
      </w:r>
    </w:p>
    <w:p w14:paraId="62E535DE" w14:textId="77777777" w:rsidR="00994F64" w:rsidRPr="00261B7A" w:rsidRDefault="00994F64" w:rsidP="00AD4F93">
      <w:pPr>
        <w:pStyle w:val="BodyText"/>
        <w:spacing w:before="40" w:after="40"/>
        <w:ind w:left="964" w:hanging="964"/>
      </w:pPr>
      <w:r w:rsidRPr="00261B7A">
        <w:tab/>
        <w:t>EF</w:t>
      </w:r>
      <w:r w:rsidRPr="00261B7A">
        <w:rPr>
          <w:vertAlign w:val="subscript"/>
        </w:rPr>
        <w:t>3(PRP-FLAT)</w:t>
      </w:r>
      <w:r w:rsidRPr="00261B7A">
        <w:t xml:space="preserve"> is the emission factor for urinary N deposited on flatland and low slopes by sheep, deer and cattle (note that emission factors vary by animal category, see table 5.5.2)</w:t>
      </w:r>
    </w:p>
    <w:p w14:paraId="0E506316" w14:textId="77777777" w:rsidR="00994F64" w:rsidRPr="00261B7A" w:rsidRDefault="00994F64" w:rsidP="00AD4F93">
      <w:pPr>
        <w:pStyle w:val="BodyText"/>
        <w:spacing w:before="40" w:after="40"/>
        <w:ind w:left="964" w:hanging="964"/>
      </w:pPr>
      <w:r w:rsidRPr="00261B7A">
        <w:tab/>
        <w:t>EF</w:t>
      </w:r>
      <w:r w:rsidRPr="00261B7A">
        <w:rPr>
          <w:vertAlign w:val="subscript"/>
        </w:rPr>
        <w:t>3(PRP-STEEP)</w:t>
      </w:r>
      <w:r w:rsidRPr="00261B7A">
        <w:t xml:space="preserve"> is the emission factor for urinary N deposited on medium and steep slopes, for sheep, deer and cattle (note emission factors vary by animal category, see table 5.5.2)</w:t>
      </w:r>
    </w:p>
    <w:p w14:paraId="3CF609E0" w14:textId="77777777" w:rsidR="00994F64" w:rsidRPr="00261B7A" w:rsidRDefault="00994F64" w:rsidP="00AD4F93">
      <w:pPr>
        <w:pStyle w:val="BodyText"/>
        <w:spacing w:before="40" w:after="40"/>
        <w:ind w:left="964" w:hanging="964"/>
      </w:pPr>
      <w:r w:rsidRPr="00261B7A">
        <w:tab/>
        <w:t>EF</w:t>
      </w:r>
      <w:r w:rsidRPr="00261B7A">
        <w:rPr>
          <w:vertAlign w:val="subscript"/>
        </w:rPr>
        <w:t>3(PRP-DUNG)</w:t>
      </w:r>
      <w:r w:rsidRPr="00261B7A">
        <w:t xml:space="preserve"> is the emission factor for dung N excreta deposited by sheep, deer and cattle on pasture, range and paddock (0.0012, see table 5.5.2)</w:t>
      </w:r>
    </w:p>
    <w:p w14:paraId="45E5A9C5" w14:textId="77777777" w:rsidR="00994F64" w:rsidRPr="00261B7A" w:rsidRDefault="00994F64" w:rsidP="00AD4F93">
      <w:pPr>
        <w:pStyle w:val="BodyText"/>
        <w:spacing w:before="40"/>
        <w:ind w:left="964" w:hanging="964"/>
      </w:pPr>
      <w:r w:rsidRPr="00261B7A">
        <w:tab/>
        <w:t>EF</w:t>
      </w:r>
      <w:r w:rsidRPr="00261B7A">
        <w:rPr>
          <w:vertAlign w:val="subscript"/>
        </w:rPr>
        <w:t>3(PRP-MINOR)</w:t>
      </w:r>
      <w:r w:rsidRPr="00261B7A">
        <w:t xml:space="preserve"> is the emission factor for dung from minor animal categories deposited on pasture, range and paddock (see table 5.5.2).</w:t>
      </w:r>
    </w:p>
    <w:p w14:paraId="16AECAC7" w14:textId="77777777" w:rsidR="00994F64" w:rsidRPr="00261B7A" w:rsidRDefault="00994F64" w:rsidP="00994F64">
      <w:pPr>
        <w:pStyle w:val="BodyText"/>
      </w:pPr>
      <w:r w:rsidRPr="00261B7A">
        <w:t>For cattle, sheep and deer, the estimated N</w:t>
      </w:r>
      <w:r w:rsidRPr="00261B7A">
        <w:rPr>
          <w:vertAlign w:val="subscript"/>
        </w:rPr>
        <w:t>ex</w:t>
      </w:r>
      <w:r w:rsidRPr="00261B7A">
        <w:t xml:space="preserve"> values are separated into urine and dung components using the methodology outlined by Pacheco et al. (2018). </w:t>
      </w:r>
    </w:p>
    <w:p w14:paraId="4AA5F076" w14:textId="77777777" w:rsidR="00994F64" w:rsidRPr="00261B7A" w:rsidRDefault="00994F64" w:rsidP="00994F64">
      <w:pPr>
        <w:pStyle w:val="BodyText"/>
      </w:pPr>
      <w:r w:rsidRPr="00261B7A">
        <w:t>The inventory assumes that all dairy cattle graze on flatland, due to New Zealand farming practices, therefore,</w:t>
      </w:r>
      <w:r w:rsidRPr="00261B7A" w:rsidDel="00FF398C">
        <w:t xml:space="preserve"> </w:t>
      </w:r>
      <w:r w:rsidRPr="00261B7A">
        <w:t>all dairy urinary nitrogen is allocated to Nex</w:t>
      </w:r>
      <w:r w:rsidRPr="00261B7A">
        <w:rPr>
          <w:vertAlign w:val="subscript"/>
        </w:rPr>
        <w:t>URINE,FLAT</w:t>
      </w:r>
      <w:r w:rsidRPr="00261B7A">
        <w:t xml:space="preserve">. </w:t>
      </w:r>
    </w:p>
    <w:p w14:paraId="5B06B33C" w14:textId="77777777" w:rsidR="00994F64" w:rsidRPr="00261B7A" w:rsidRDefault="00994F64" w:rsidP="00994F64">
      <w:pPr>
        <w:pStyle w:val="BodyText"/>
      </w:pPr>
      <w:r w:rsidRPr="00261B7A">
        <w:t>Urinary nitrogen from beef cattle, sheep and deer is allocated to the different slope types; Nex</w:t>
      </w:r>
      <w:r w:rsidRPr="00261B7A">
        <w:rPr>
          <w:vertAlign w:val="subscript"/>
        </w:rPr>
        <w:t>URINE,LOW</w:t>
      </w:r>
      <w:r w:rsidRPr="00261B7A">
        <w:t>, Nex</w:t>
      </w:r>
      <w:r w:rsidRPr="00261B7A">
        <w:rPr>
          <w:vertAlign w:val="subscript"/>
        </w:rPr>
        <w:t>URINE,MED</w:t>
      </w:r>
      <w:r w:rsidRPr="00261B7A">
        <w:t xml:space="preserve"> and Nex</w:t>
      </w:r>
      <w:r w:rsidRPr="00261B7A">
        <w:rPr>
          <w:vertAlign w:val="subscript"/>
        </w:rPr>
        <w:t>URINE,STEEP</w:t>
      </w:r>
      <w:r w:rsidRPr="00261B7A">
        <w:t>. However, there is zero land allocated to flatland (Nex</w:t>
      </w:r>
      <w:r w:rsidRPr="00261B7A">
        <w:rPr>
          <w:vertAlign w:val="subscript"/>
        </w:rPr>
        <w:t>URINE,FLAT</w:t>
      </w:r>
      <w:r w:rsidRPr="00261B7A">
        <w:t>), which is generally used for grazing dairy cattle.</w:t>
      </w:r>
    </w:p>
    <w:p w14:paraId="2B16F2DE" w14:textId="77777777" w:rsidR="00994F64" w:rsidRPr="00261B7A" w:rsidRDefault="00994F64" w:rsidP="00994F64">
      <w:pPr>
        <w:pStyle w:val="Heading5"/>
        <w:rPr>
          <w:rFonts w:cs="Calibri"/>
        </w:rPr>
      </w:pPr>
      <w:r w:rsidRPr="00261B7A">
        <w:rPr>
          <w:rFonts w:cs="Calibri"/>
        </w:rPr>
        <w:t>EF</w:t>
      </w:r>
      <w:r w:rsidRPr="00261B7A">
        <w:rPr>
          <w:rFonts w:cs="Calibri"/>
          <w:vertAlign w:val="subscript"/>
        </w:rPr>
        <w:t>3</w:t>
      </w:r>
      <w:r w:rsidRPr="00261B7A">
        <w:rPr>
          <w:rFonts w:cs="Calibri"/>
        </w:rPr>
        <w:t xml:space="preserve"> emission factors for excreta deposited by cattle, sheep and deer on sloped land</w:t>
      </w:r>
    </w:p>
    <w:p w14:paraId="2A7001F8" w14:textId="77777777" w:rsidR="00994F64" w:rsidRPr="00261B7A" w:rsidRDefault="00994F64" w:rsidP="00994F64">
      <w:pPr>
        <w:pStyle w:val="BodyText"/>
      </w:pPr>
      <w:r w:rsidRPr="00261B7A">
        <w:t>New EF</w:t>
      </w:r>
      <w:r w:rsidRPr="00261B7A">
        <w:rPr>
          <w:vertAlign w:val="subscript"/>
        </w:rPr>
        <w:t xml:space="preserve">3 </w:t>
      </w:r>
      <w:r w:rsidRPr="00261B7A">
        <w:t>emission factors were incorporated in the 2020 inventory and are detailed in table 5.5.2 (EF</w:t>
      </w:r>
      <w:r w:rsidRPr="00261B7A">
        <w:rPr>
          <w:vertAlign w:val="subscript"/>
        </w:rPr>
        <w:t>3(PRP-DUNG)</w:t>
      </w:r>
      <w:r w:rsidRPr="00261B7A">
        <w:t>) and table 5.5.3. These EF</w:t>
      </w:r>
      <w:r w:rsidRPr="00261B7A">
        <w:rPr>
          <w:vertAlign w:val="subscript"/>
        </w:rPr>
        <w:t>3</w:t>
      </w:r>
      <w:r w:rsidRPr="00261B7A">
        <w:t xml:space="preserve"> emission factors used to calculate N</w:t>
      </w:r>
      <w:r w:rsidRPr="00261B7A">
        <w:rPr>
          <w:vertAlign w:val="subscript"/>
        </w:rPr>
        <w:t>2</w:t>
      </w:r>
      <w:r w:rsidRPr="00261B7A">
        <w:t>O emissions from cattle (dairy and beef), sheep and deer are based on a meta-analysis undertaken by van der Weerden et al. (2019, 2020) based on field studies undertaken in the past decade (de Klein et al., 2014; Hoogendoorn et al., 2013; Luo et al., 2013, 2016, 2019; and Saggar et al., 2015). The research collectively shows (see table 5.5.6):</w:t>
      </w:r>
    </w:p>
    <w:p w14:paraId="26086056" w14:textId="77777777" w:rsidR="00994F64" w:rsidRPr="00261B7A" w:rsidRDefault="00994F64" w:rsidP="00994F64">
      <w:pPr>
        <w:pStyle w:val="Bullet"/>
      </w:pPr>
      <w:r w:rsidRPr="00261B7A">
        <w:t>a statistically significant difference in urine emission factors between cattle and sheep</w:t>
      </w:r>
    </w:p>
    <w:p w14:paraId="2A648388" w14:textId="77777777" w:rsidR="00994F64" w:rsidRPr="00261B7A" w:rsidRDefault="00994F64" w:rsidP="00994F64">
      <w:pPr>
        <w:pStyle w:val="Bullet"/>
      </w:pPr>
      <w:r w:rsidRPr="00261B7A">
        <w:t>that emissions from sheep, non-dairy (beef) cattle and dairy cattle excreta deposited on low (between 0 degrees and 12 degrees), medium (between 12 degrees and 24 degrees) and steep (greater than 24 degrees) sloped land are significantly lower than corresponding emissions on land that is flat or of a low gradient.</w:t>
      </w:r>
    </w:p>
    <w:p w14:paraId="6D16CC66" w14:textId="77777777" w:rsidR="00994F64" w:rsidRPr="00261B7A" w:rsidRDefault="00994F64" w:rsidP="00994F64">
      <w:pPr>
        <w:pStyle w:val="Heading5"/>
        <w:rPr>
          <w:rFonts w:cs="Calibri"/>
        </w:rPr>
      </w:pPr>
      <w:r w:rsidRPr="00261B7A">
        <w:rPr>
          <w:rFonts w:cs="Calibri"/>
        </w:rPr>
        <w:t>Evidence and meta-analysis for EF</w:t>
      </w:r>
      <w:r w:rsidRPr="00261B7A">
        <w:rPr>
          <w:rFonts w:cs="Calibri"/>
          <w:vertAlign w:val="subscript"/>
        </w:rPr>
        <w:t>3</w:t>
      </w:r>
      <w:r w:rsidRPr="00261B7A">
        <w:rPr>
          <w:rFonts w:cs="Calibri"/>
        </w:rPr>
        <w:t xml:space="preserve"> emission factors for excreta deposited on sloped land</w:t>
      </w:r>
    </w:p>
    <w:p w14:paraId="1EAC56A6" w14:textId="77777777" w:rsidR="00994F64" w:rsidRPr="00261B7A" w:rsidRDefault="00994F64" w:rsidP="00994F64">
      <w:pPr>
        <w:pStyle w:val="BodyText"/>
        <w:rPr>
          <w:rFonts w:cs="Calibri"/>
        </w:rPr>
      </w:pPr>
      <w:r w:rsidRPr="00261B7A">
        <w:rPr>
          <w:rFonts w:cs="Calibri"/>
        </w:rPr>
        <w:t>The meta-analysis (van der Weerden et al., 2020), built on a previous study by Kelliher et al. (2014), calculated new emission factors based on animal type, season, and slope. This was based on an expanded data set of 1,217 replicate-level emission factors from 236 field experiments conducted over the past decade, largely measured using the same standardised experimental methods for N</w:t>
      </w:r>
      <w:r w:rsidRPr="00261B7A">
        <w:rPr>
          <w:rFonts w:cs="Calibri"/>
          <w:vertAlign w:val="subscript"/>
        </w:rPr>
        <w:t>2</w:t>
      </w:r>
      <w:r w:rsidRPr="00261B7A">
        <w:rPr>
          <w:rFonts w:cs="Calibri"/>
        </w:rPr>
        <w:t>O (see table 5.5.7).</w:t>
      </w:r>
    </w:p>
    <w:p w14:paraId="5484DFDE" w14:textId="77777777" w:rsidR="00994F64" w:rsidRPr="00261B7A" w:rsidRDefault="00994F64" w:rsidP="00994F64">
      <w:pPr>
        <w:pStyle w:val="BodyText"/>
        <w:rPr>
          <w:rFonts w:cs="Calibri"/>
        </w:rPr>
      </w:pPr>
      <w:r w:rsidRPr="00261B7A">
        <w:rPr>
          <w:rFonts w:cs="Calibri"/>
        </w:rPr>
        <w:t>The meta-analysis included results of studies from dung and urine deposited onto flatland and steep sloped land published in scientific journals (Hoogendoorn et al., 2008; Ledgard et al., 2014; Luo et al., 2013; van der Weerden et al., 2011) and reported to MPI’s inventory reporting team (Hoogendoorn et al., 2013; Luo et al., 2016, 2019). These data were compiled to contribute to existing data on emissions from dung and urine deposited on low and medium sloped land from the Kelliher et al. (2014) study.</w:t>
      </w:r>
      <w:r w:rsidRPr="00261B7A" w:rsidDel="00866057">
        <w:rPr>
          <w:rFonts w:cs="Calibri"/>
        </w:rPr>
        <w:t xml:space="preserve"> </w:t>
      </w:r>
    </w:p>
    <w:p w14:paraId="088D1F05" w14:textId="77777777" w:rsidR="00994F64" w:rsidRPr="00261B7A" w:rsidRDefault="00994F64" w:rsidP="00994F64">
      <w:pPr>
        <w:pStyle w:val="BodyText"/>
        <w:rPr>
          <w:rFonts w:cs="Calibri"/>
        </w:rPr>
      </w:pPr>
      <w:r w:rsidRPr="00261B7A">
        <w:rPr>
          <w:rFonts w:cs="Calibri"/>
        </w:rPr>
        <w:t>Additional evidence conducted overseas supporting the use of emission factors that vary by land slope has been provided in a study in the United Kingdom by Marsden et al. (2018), who found that sheep EF</w:t>
      </w:r>
      <w:r w:rsidRPr="00261B7A">
        <w:rPr>
          <w:rFonts w:cs="Calibri"/>
          <w:vertAlign w:val="subscript"/>
        </w:rPr>
        <w:t>3</w:t>
      </w:r>
      <w:r w:rsidRPr="00261B7A">
        <w:rPr>
          <w:rFonts w:cs="Calibri"/>
        </w:rPr>
        <w:t xml:space="preserve"> values are lower on upland and hill areas compared with intensively managed lowlands.</w:t>
      </w:r>
    </w:p>
    <w:p w14:paraId="28EBAE5A" w14:textId="77777777" w:rsidR="00994F64" w:rsidRPr="00261B7A" w:rsidRDefault="00994F64" w:rsidP="00994F64">
      <w:pPr>
        <w:pStyle w:val="Table"/>
        <w:rPr>
          <w:rFonts w:cs="Calibri"/>
        </w:rPr>
      </w:pPr>
      <w:bookmarkStart w:id="1098" w:name="_Toc32570932"/>
      <w:bookmarkStart w:id="1099" w:name="_Toc36224567"/>
      <w:bookmarkStart w:id="1100" w:name="_Toc68786452"/>
      <w:bookmarkStart w:id="1101" w:name="_Toc95574085"/>
      <w:bookmarkStart w:id="1102" w:name="_Toc127458272"/>
      <w:bookmarkStart w:id="1103" w:name="_Toc131591368"/>
      <w:r w:rsidRPr="00261B7A">
        <w:rPr>
          <w:rFonts w:cs="Calibri"/>
        </w:rPr>
        <w:t>Table 5.5.6</w:t>
      </w:r>
      <w:r w:rsidRPr="00261B7A">
        <w:rPr>
          <w:rFonts w:cs="Calibri"/>
        </w:rPr>
        <w:tab/>
        <w:t>Number of replicate-level EF</w:t>
      </w:r>
      <w:r w:rsidRPr="00261B7A">
        <w:rPr>
          <w:rFonts w:cs="Calibri"/>
          <w:vertAlign w:val="subscript"/>
        </w:rPr>
        <w:t>3</w:t>
      </w:r>
      <w:r w:rsidRPr="00261B7A">
        <w:rPr>
          <w:rFonts w:cs="Calibri"/>
        </w:rPr>
        <w:t xml:space="preserve"> values collated by the van der Weerden et al. (2019, 2020) analysis, for each nitrogen source and topography (number of individual trials shown in brackets)</w:t>
      </w:r>
      <w:bookmarkEnd w:id="1098"/>
      <w:bookmarkEnd w:id="1099"/>
      <w:bookmarkEnd w:id="1100"/>
      <w:bookmarkEnd w:id="1101"/>
      <w:bookmarkEnd w:id="1102"/>
      <w:bookmarkEnd w:id="1103"/>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6"/>
        <w:gridCol w:w="1249"/>
        <w:gridCol w:w="1249"/>
        <w:gridCol w:w="1303"/>
        <w:gridCol w:w="1249"/>
        <w:gridCol w:w="1249"/>
      </w:tblGrid>
      <w:tr w:rsidR="00994F64" w:rsidRPr="00261B7A" w14:paraId="0D2A8415" w14:textId="77777777" w:rsidTr="00501B0F">
        <w:trPr>
          <w:tblHeader/>
        </w:trPr>
        <w:tc>
          <w:tcPr>
            <w:tcW w:w="2206" w:type="dxa"/>
            <w:tcBorders>
              <w:top w:val="single" w:sz="4" w:space="0" w:color="1B556B" w:themeColor="text2"/>
              <w:left w:val="nil"/>
              <w:bottom w:val="single" w:sz="4" w:space="0" w:color="1B556B" w:themeColor="text2"/>
              <w:right w:val="nil"/>
            </w:tcBorders>
            <w:shd w:val="clear" w:color="auto" w:fill="1B556B"/>
            <w:vAlign w:val="bottom"/>
          </w:tcPr>
          <w:p w14:paraId="748C7AA0" w14:textId="77777777" w:rsidR="00994F64" w:rsidRPr="00261B7A" w:rsidRDefault="00994F64" w:rsidP="00501B0F">
            <w:pPr>
              <w:pStyle w:val="TableTextBold"/>
              <w:keepNext/>
              <w:spacing w:before="40" w:after="40"/>
              <w:rPr>
                <w:noProof w:val="0"/>
                <w:color w:val="FFFFFF" w:themeColor="background1"/>
              </w:rPr>
            </w:pPr>
            <w:r w:rsidRPr="00261B7A">
              <w:rPr>
                <w:noProof w:val="0"/>
                <w:color w:val="FFFFFF" w:themeColor="background1"/>
              </w:rPr>
              <w:t>Nitrogen source</w:t>
            </w:r>
          </w:p>
        </w:tc>
        <w:tc>
          <w:tcPr>
            <w:tcW w:w="1249" w:type="dxa"/>
            <w:tcBorders>
              <w:top w:val="single" w:sz="4" w:space="0" w:color="1B556B" w:themeColor="text2"/>
              <w:left w:val="nil"/>
              <w:bottom w:val="single" w:sz="4" w:space="0" w:color="1B556B" w:themeColor="text2"/>
              <w:right w:val="nil"/>
            </w:tcBorders>
            <w:shd w:val="clear" w:color="auto" w:fill="1B556B"/>
            <w:vAlign w:val="bottom"/>
          </w:tcPr>
          <w:p w14:paraId="4C49345A" w14:textId="77777777" w:rsidR="00994F64" w:rsidRPr="00261B7A" w:rsidRDefault="00994F64" w:rsidP="00501B0F">
            <w:pPr>
              <w:pStyle w:val="TableTextBold"/>
              <w:keepNext/>
              <w:spacing w:before="40" w:after="40"/>
              <w:jc w:val="right"/>
              <w:rPr>
                <w:noProof w:val="0"/>
                <w:color w:val="FFFFFF" w:themeColor="background1"/>
              </w:rPr>
            </w:pPr>
            <w:r w:rsidRPr="00261B7A">
              <w:rPr>
                <w:noProof w:val="0"/>
                <w:color w:val="FFFFFF" w:themeColor="background1"/>
              </w:rPr>
              <w:t xml:space="preserve">Flatland </w:t>
            </w:r>
            <w:r w:rsidRPr="00261B7A">
              <w:rPr>
                <w:noProof w:val="0"/>
                <w:color w:val="FFFFFF" w:themeColor="background1"/>
              </w:rPr>
              <w:br/>
              <w:t>(0–12</w:t>
            </w:r>
            <w:r w:rsidRPr="00261B7A">
              <w:rPr>
                <w:noProof w:val="0"/>
                <w:color w:val="FFFFFF" w:themeColor="background1"/>
                <w:vertAlign w:val="superscript"/>
              </w:rPr>
              <w:t>o</w:t>
            </w:r>
            <w:r w:rsidRPr="00261B7A">
              <w:rPr>
                <w:noProof w:val="0"/>
                <w:color w:val="FFFFFF" w:themeColor="background1"/>
              </w:rPr>
              <w:t>)</w:t>
            </w:r>
          </w:p>
        </w:tc>
        <w:tc>
          <w:tcPr>
            <w:tcW w:w="1249" w:type="dxa"/>
            <w:tcBorders>
              <w:top w:val="single" w:sz="4" w:space="0" w:color="1B556B" w:themeColor="text2"/>
              <w:left w:val="nil"/>
              <w:bottom w:val="single" w:sz="4" w:space="0" w:color="1B556B" w:themeColor="text2"/>
              <w:right w:val="nil"/>
            </w:tcBorders>
            <w:shd w:val="clear" w:color="auto" w:fill="1B556B"/>
            <w:vAlign w:val="bottom"/>
          </w:tcPr>
          <w:p w14:paraId="2F6A2DA6" w14:textId="77777777" w:rsidR="00994F64" w:rsidRPr="00261B7A" w:rsidRDefault="00994F64" w:rsidP="00501B0F">
            <w:pPr>
              <w:pStyle w:val="TableTextBold"/>
              <w:keepNext/>
              <w:spacing w:before="40" w:after="40"/>
              <w:jc w:val="right"/>
              <w:rPr>
                <w:noProof w:val="0"/>
                <w:color w:val="FFFFFF" w:themeColor="background1"/>
              </w:rPr>
            </w:pPr>
            <w:r w:rsidRPr="00261B7A">
              <w:rPr>
                <w:noProof w:val="0"/>
                <w:color w:val="FFFFFF" w:themeColor="background1"/>
              </w:rPr>
              <w:t>Low sloped land (0–12</w:t>
            </w:r>
            <w:r w:rsidRPr="00261B7A">
              <w:rPr>
                <w:noProof w:val="0"/>
                <w:color w:val="FFFFFF" w:themeColor="background1"/>
                <w:vertAlign w:val="superscript"/>
              </w:rPr>
              <w:t>o</w:t>
            </w:r>
            <w:r w:rsidRPr="00261B7A">
              <w:rPr>
                <w:noProof w:val="0"/>
                <w:color w:val="FFFFFF" w:themeColor="background1"/>
              </w:rPr>
              <w:t>)</w:t>
            </w:r>
          </w:p>
        </w:tc>
        <w:tc>
          <w:tcPr>
            <w:tcW w:w="1303" w:type="dxa"/>
            <w:tcBorders>
              <w:top w:val="single" w:sz="4" w:space="0" w:color="1B556B" w:themeColor="text2"/>
              <w:left w:val="nil"/>
              <w:bottom w:val="single" w:sz="4" w:space="0" w:color="1B556B" w:themeColor="text2"/>
              <w:right w:val="nil"/>
            </w:tcBorders>
            <w:shd w:val="clear" w:color="auto" w:fill="1B556B"/>
            <w:vAlign w:val="bottom"/>
          </w:tcPr>
          <w:p w14:paraId="176601B0" w14:textId="77777777" w:rsidR="00994F64" w:rsidRPr="00261B7A" w:rsidRDefault="00994F64" w:rsidP="00501B0F">
            <w:pPr>
              <w:pStyle w:val="TableTextBold"/>
              <w:keepNext/>
              <w:spacing w:before="40" w:after="40"/>
              <w:jc w:val="right"/>
              <w:rPr>
                <w:noProof w:val="0"/>
                <w:color w:val="FFFFFF" w:themeColor="background1"/>
              </w:rPr>
            </w:pPr>
            <w:r w:rsidRPr="00261B7A">
              <w:rPr>
                <w:noProof w:val="0"/>
                <w:color w:val="FFFFFF" w:themeColor="background1"/>
              </w:rPr>
              <w:t>Medium sloped land (12–24</w:t>
            </w:r>
            <w:r w:rsidRPr="00261B7A">
              <w:rPr>
                <w:noProof w:val="0"/>
                <w:color w:val="FFFFFF" w:themeColor="background1"/>
                <w:vertAlign w:val="superscript"/>
              </w:rPr>
              <w:t>o</w:t>
            </w:r>
            <w:r w:rsidRPr="00261B7A">
              <w:rPr>
                <w:noProof w:val="0"/>
                <w:color w:val="FFFFFF" w:themeColor="background1"/>
              </w:rPr>
              <w:t>)</w:t>
            </w:r>
          </w:p>
        </w:tc>
        <w:tc>
          <w:tcPr>
            <w:tcW w:w="1249" w:type="dxa"/>
            <w:tcBorders>
              <w:top w:val="single" w:sz="4" w:space="0" w:color="1B556B" w:themeColor="text2"/>
              <w:left w:val="nil"/>
              <w:bottom w:val="single" w:sz="4" w:space="0" w:color="1B556B" w:themeColor="text2"/>
              <w:right w:val="nil"/>
            </w:tcBorders>
            <w:shd w:val="clear" w:color="auto" w:fill="1B556B"/>
            <w:vAlign w:val="bottom"/>
          </w:tcPr>
          <w:p w14:paraId="3F5B823F" w14:textId="77777777" w:rsidR="00994F64" w:rsidRPr="00261B7A" w:rsidRDefault="00994F64" w:rsidP="00501B0F">
            <w:pPr>
              <w:pStyle w:val="TableTextBold"/>
              <w:keepNext/>
              <w:spacing w:before="40" w:after="40"/>
              <w:jc w:val="right"/>
              <w:rPr>
                <w:noProof w:val="0"/>
                <w:color w:val="FFFFFF" w:themeColor="background1"/>
              </w:rPr>
            </w:pPr>
            <w:r w:rsidRPr="00261B7A">
              <w:rPr>
                <w:noProof w:val="0"/>
                <w:color w:val="FFFFFF" w:themeColor="background1"/>
              </w:rPr>
              <w:t>Steep sloped land (&gt;24</w:t>
            </w:r>
            <w:r w:rsidRPr="00261B7A">
              <w:rPr>
                <w:noProof w:val="0"/>
                <w:color w:val="FFFFFF" w:themeColor="background1"/>
                <w:vertAlign w:val="superscript"/>
              </w:rPr>
              <w:t>o</w:t>
            </w:r>
            <w:r w:rsidRPr="00261B7A">
              <w:rPr>
                <w:noProof w:val="0"/>
                <w:color w:val="FFFFFF" w:themeColor="background1"/>
              </w:rPr>
              <w:t>)</w:t>
            </w:r>
          </w:p>
        </w:tc>
        <w:tc>
          <w:tcPr>
            <w:tcW w:w="1249" w:type="dxa"/>
            <w:tcBorders>
              <w:top w:val="single" w:sz="4" w:space="0" w:color="1B556B" w:themeColor="text2"/>
              <w:left w:val="nil"/>
              <w:bottom w:val="single" w:sz="4" w:space="0" w:color="1B556B" w:themeColor="text2"/>
              <w:right w:val="nil"/>
            </w:tcBorders>
            <w:shd w:val="clear" w:color="auto" w:fill="1B556B"/>
            <w:vAlign w:val="bottom"/>
          </w:tcPr>
          <w:p w14:paraId="34A08567" w14:textId="77777777" w:rsidR="00994F64" w:rsidRPr="00261B7A" w:rsidRDefault="00994F64" w:rsidP="00501B0F">
            <w:pPr>
              <w:pStyle w:val="TableTextBold"/>
              <w:keepNext/>
              <w:spacing w:before="40" w:after="40"/>
              <w:jc w:val="right"/>
              <w:rPr>
                <w:noProof w:val="0"/>
                <w:color w:val="FFFFFF" w:themeColor="background1"/>
              </w:rPr>
            </w:pPr>
            <w:r w:rsidRPr="00261B7A">
              <w:rPr>
                <w:noProof w:val="0"/>
                <w:color w:val="FFFFFF" w:themeColor="background1"/>
              </w:rPr>
              <w:t>Total</w:t>
            </w:r>
          </w:p>
        </w:tc>
      </w:tr>
      <w:tr w:rsidR="00994F64" w:rsidRPr="00261B7A" w14:paraId="7CEF0152" w14:textId="77777777" w:rsidTr="00501B0F">
        <w:tc>
          <w:tcPr>
            <w:tcW w:w="2206" w:type="dxa"/>
            <w:tcBorders>
              <w:top w:val="single" w:sz="4" w:space="0" w:color="1B556B" w:themeColor="text2"/>
              <w:left w:val="nil"/>
              <w:bottom w:val="single" w:sz="4" w:space="0" w:color="1B556B" w:themeColor="text2"/>
              <w:right w:val="nil"/>
            </w:tcBorders>
            <w:shd w:val="clear" w:color="auto" w:fill="auto"/>
          </w:tcPr>
          <w:p w14:paraId="3319CDEE" w14:textId="77777777" w:rsidR="00994F64" w:rsidRPr="00261B7A" w:rsidRDefault="00994F64" w:rsidP="00501B0F">
            <w:pPr>
              <w:pStyle w:val="TableText"/>
              <w:spacing w:before="40" w:after="40"/>
              <w:rPr>
                <w:rFonts w:cs="Calibri"/>
              </w:rPr>
            </w:pPr>
            <w:r w:rsidRPr="00261B7A">
              <w:rPr>
                <w:rFonts w:cs="Calibri"/>
              </w:rPr>
              <w:t>Dairy cattle urine</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7FFDF50E"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341 (57)</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4CAF12DF"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108 (22)</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7373C75B"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3BB3DFCD"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 xml:space="preserve"> </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7E9D8B1E"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469 (83)</w:t>
            </w:r>
          </w:p>
        </w:tc>
      </w:tr>
      <w:tr w:rsidR="00994F64" w:rsidRPr="00261B7A" w14:paraId="75140204" w14:textId="77777777" w:rsidTr="00501B0F">
        <w:tc>
          <w:tcPr>
            <w:tcW w:w="2206" w:type="dxa"/>
            <w:tcBorders>
              <w:top w:val="single" w:sz="4" w:space="0" w:color="1B556B" w:themeColor="text2"/>
              <w:left w:val="nil"/>
              <w:bottom w:val="single" w:sz="4" w:space="0" w:color="1B556B" w:themeColor="text2"/>
              <w:right w:val="nil"/>
            </w:tcBorders>
            <w:shd w:val="clear" w:color="auto" w:fill="auto"/>
          </w:tcPr>
          <w:p w14:paraId="781297B4" w14:textId="77777777" w:rsidR="00994F64" w:rsidRPr="00261B7A" w:rsidRDefault="00994F64" w:rsidP="00501B0F">
            <w:pPr>
              <w:pStyle w:val="TableText"/>
              <w:spacing w:before="40" w:after="40"/>
              <w:rPr>
                <w:rFonts w:cs="Calibri"/>
              </w:rPr>
            </w:pPr>
            <w:r w:rsidRPr="00261B7A">
              <w:rPr>
                <w:rFonts w:cs="Calibri"/>
              </w:rPr>
              <w:t>Dairy cattle dung</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7C52CA66"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84 (19)</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0F2BAE8F"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46 (9)</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19D44F09"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00E8D0C2"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 xml:space="preserve"> </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7E9D56B3"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150 (32)</w:t>
            </w:r>
          </w:p>
        </w:tc>
      </w:tr>
      <w:tr w:rsidR="00994F64" w:rsidRPr="00261B7A" w14:paraId="7220F170" w14:textId="77777777" w:rsidTr="00501B0F">
        <w:tc>
          <w:tcPr>
            <w:tcW w:w="2206" w:type="dxa"/>
            <w:tcBorders>
              <w:top w:val="single" w:sz="4" w:space="0" w:color="1B556B" w:themeColor="text2"/>
              <w:left w:val="nil"/>
              <w:bottom w:val="single" w:sz="4" w:space="0" w:color="1B556B" w:themeColor="text2"/>
              <w:right w:val="nil"/>
            </w:tcBorders>
            <w:shd w:val="clear" w:color="auto" w:fill="auto"/>
          </w:tcPr>
          <w:p w14:paraId="1B9E5BE6" w14:textId="77777777" w:rsidR="00994F64" w:rsidRPr="00261B7A" w:rsidRDefault="00994F64" w:rsidP="00501B0F">
            <w:pPr>
              <w:pStyle w:val="TableText"/>
              <w:spacing w:before="40" w:after="40"/>
              <w:rPr>
                <w:rFonts w:cs="Calibri"/>
              </w:rPr>
            </w:pPr>
            <w:r w:rsidRPr="00261B7A">
              <w:rPr>
                <w:rFonts w:cs="Calibri"/>
              </w:rPr>
              <w:t>Beef cattle urine</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2538578E"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8 (1)</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7D83A39F"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40 (8)</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3E28FE14"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60 (12)</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45A80DB9"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5B233E7C"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128 (25)</w:t>
            </w:r>
          </w:p>
        </w:tc>
      </w:tr>
      <w:tr w:rsidR="00994F64" w:rsidRPr="00261B7A" w14:paraId="388615EF" w14:textId="77777777" w:rsidTr="00501B0F">
        <w:tc>
          <w:tcPr>
            <w:tcW w:w="2206" w:type="dxa"/>
            <w:tcBorders>
              <w:top w:val="single" w:sz="4" w:space="0" w:color="1B556B" w:themeColor="text2"/>
              <w:left w:val="nil"/>
              <w:bottom w:val="single" w:sz="4" w:space="0" w:color="1B556B" w:themeColor="text2"/>
              <w:right w:val="nil"/>
            </w:tcBorders>
            <w:shd w:val="clear" w:color="auto" w:fill="auto"/>
          </w:tcPr>
          <w:p w14:paraId="74DB4015" w14:textId="77777777" w:rsidR="00994F64" w:rsidRPr="00261B7A" w:rsidRDefault="00994F64" w:rsidP="00501B0F">
            <w:pPr>
              <w:pStyle w:val="TableText"/>
              <w:spacing w:before="40" w:after="40"/>
              <w:rPr>
                <w:rFonts w:cs="Calibri"/>
              </w:rPr>
            </w:pPr>
            <w:r w:rsidRPr="00261B7A">
              <w:rPr>
                <w:rFonts w:cs="Calibri"/>
              </w:rPr>
              <w:t>Beef cattle dung</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A366323"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 xml:space="preserve"> </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3385F2C8"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76 (16)</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34BFBDEC"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60 (12)</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3AE5C35A"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B842B84"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156 (32)</w:t>
            </w:r>
          </w:p>
        </w:tc>
      </w:tr>
      <w:tr w:rsidR="00994F64" w:rsidRPr="00261B7A" w14:paraId="1C6BCE8C" w14:textId="77777777" w:rsidTr="00501B0F">
        <w:tc>
          <w:tcPr>
            <w:tcW w:w="2206" w:type="dxa"/>
            <w:tcBorders>
              <w:top w:val="single" w:sz="4" w:space="0" w:color="1B556B" w:themeColor="text2"/>
              <w:left w:val="nil"/>
              <w:bottom w:val="single" w:sz="4" w:space="0" w:color="1B556B" w:themeColor="text2"/>
              <w:right w:val="nil"/>
            </w:tcBorders>
            <w:shd w:val="clear" w:color="auto" w:fill="auto"/>
          </w:tcPr>
          <w:p w14:paraId="0B044765" w14:textId="77777777" w:rsidR="00994F64" w:rsidRPr="00261B7A" w:rsidRDefault="00994F64" w:rsidP="00501B0F">
            <w:pPr>
              <w:pStyle w:val="TableText"/>
              <w:spacing w:before="40" w:after="40"/>
              <w:rPr>
                <w:rFonts w:cs="Calibri"/>
              </w:rPr>
            </w:pPr>
            <w:r w:rsidRPr="00261B7A">
              <w:rPr>
                <w:rFonts w:cs="Calibri"/>
              </w:rPr>
              <w:t>Sheep urine</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3E33B1CD"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40 (7)</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6038E395"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64 (12)</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017FAA5E"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60 (12)</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9B78675"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30ADF3B9"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184 (35)</w:t>
            </w:r>
          </w:p>
        </w:tc>
      </w:tr>
      <w:tr w:rsidR="00994F64" w:rsidRPr="00261B7A" w14:paraId="2A7D0088" w14:textId="77777777" w:rsidTr="00501B0F">
        <w:tc>
          <w:tcPr>
            <w:tcW w:w="2206" w:type="dxa"/>
            <w:tcBorders>
              <w:top w:val="single" w:sz="4" w:space="0" w:color="1B556B" w:themeColor="text2"/>
              <w:left w:val="nil"/>
              <w:bottom w:val="single" w:sz="4" w:space="0" w:color="1B556B" w:themeColor="text2"/>
              <w:right w:val="nil"/>
            </w:tcBorders>
            <w:shd w:val="clear" w:color="auto" w:fill="auto"/>
          </w:tcPr>
          <w:p w14:paraId="6EDF93E1" w14:textId="77777777" w:rsidR="00994F64" w:rsidRPr="00261B7A" w:rsidRDefault="00994F64" w:rsidP="00501B0F">
            <w:pPr>
              <w:pStyle w:val="TableText"/>
              <w:spacing w:before="40" w:after="40"/>
              <w:rPr>
                <w:rFonts w:cs="Calibri"/>
              </w:rPr>
            </w:pPr>
            <w:r w:rsidRPr="00261B7A">
              <w:rPr>
                <w:rFonts w:cs="Calibri"/>
              </w:rPr>
              <w:t>Sheep dung</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2391E15"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54 (13)</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3443C6C0"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36 (8)</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272C734B"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6F4FB8EB"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607603CF" w14:textId="77777777" w:rsidR="00994F64" w:rsidRPr="00261B7A" w:rsidRDefault="00994F64" w:rsidP="00501B0F">
            <w:pPr>
              <w:pStyle w:val="TableText"/>
              <w:spacing w:before="40" w:after="40"/>
              <w:jc w:val="right"/>
              <w:rPr>
                <w:rFonts w:asciiTheme="minorHAnsi" w:hAnsiTheme="minorHAnsi" w:cstheme="minorHAnsi"/>
              </w:rPr>
            </w:pPr>
            <w:r w:rsidRPr="00261B7A">
              <w:rPr>
                <w:rFonts w:asciiTheme="minorHAnsi" w:hAnsiTheme="minorHAnsi" w:cstheme="minorHAnsi"/>
                <w:szCs w:val="16"/>
              </w:rPr>
              <w:t>130 (29)</w:t>
            </w:r>
          </w:p>
        </w:tc>
      </w:tr>
      <w:tr w:rsidR="00994F64" w:rsidRPr="00261B7A" w14:paraId="11B5C335" w14:textId="77777777" w:rsidTr="00501B0F">
        <w:tc>
          <w:tcPr>
            <w:tcW w:w="2206" w:type="dxa"/>
            <w:tcBorders>
              <w:top w:val="single" w:sz="4" w:space="0" w:color="1B556B" w:themeColor="text2"/>
              <w:left w:val="nil"/>
              <w:bottom w:val="single" w:sz="4" w:space="0" w:color="1B556B" w:themeColor="text2"/>
              <w:right w:val="nil"/>
            </w:tcBorders>
            <w:shd w:val="clear" w:color="auto" w:fill="auto"/>
          </w:tcPr>
          <w:p w14:paraId="188A1D34" w14:textId="77777777" w:rsidR="00994F64" w:rsidRPr="00261B7A" w:rsidRDefault="00994F64" w:rsidP="00501B0F">
            <w:pPr>
              <w:pStyle w:val="Tableboldblue"/>
              <w:spacing w:before="40" w:after="40"/>
              <w:rPr>
                <w:rFonts w:cs="Calibri"/>
                <w:color w:val="1B556B"/>
              </w:rPr>
            </w:pPr>
            <w:r w:rsidRPr="00261B7A">
              <w:rPr>
                <w:rFonts w:cs="Calibri"/>
                <w:color w:val="1B556B"/>
              </w:rPr>
              <w:t>Total urine</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058F056C" w14:textId="77777777" w:rsidR="00994F64" w:rsidRPr="00261B7A" w:rsidRDefault="00994F64" w:rsidP="00501B0F">
            <w:pPr>
              <w:pStyle w:val="Tableboldblue"/>
              <w:spacing w:before="40" w:after="40"/>
              <w:jc w:val="right"/>
              <w:rPr>
                <w:rFonts w:cs="Calibri"/>
                <w:color w:val="1B556B"/>
              </w:rPr>
            </w:pPr>
            <w:r w:rsidRPr="00261B7A">
              <w:rPr>
                <w:rFonts w:cs="Calibri"/>
                <w:color w:val="1B556B"/>
              </w:rPr>
              <w:t>389 (65)</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5ACFB62E" w14:textId="77777777" w:rsidR="00994F64" w:rsidRPr="00261B7A" w:rsidRDefault="00994F64" w:rsidP="00501B0F">
            <w:pPr>
              <w:pStyle w:val="Tableboldblue"/>
              <w:spacing w:before="40" w:after="40"/>
              <w:jc w:val="right"/>
              <w:rPr>
                <w:rFonts w:cs="Calibri"/>
                <w:color w:val="1B556B"/>
              </w:rPr>
            </w:pPr>
            <w:r w:rsidRPr="00261B7A">
              <w:rPr>
                <w:rFonts w:cs="Calibri"/>
                <w:color w:val="1B556B"/>
              </w:rPr>
              <w:t>212 (42)</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6D8CFA85" w14:textId="77777777" w:rsidR="00994F64" w:rsidRPr="00261B7A" w:rsidRDefault="00994F64" w:rsidP="00501B0F">
            <w:pPr>
              <w:pStyle w:val="Tableboldblue"/>
              <w:spacing w:before="40" w:after="40"/>
              <w:jc w:val="right"/>
              <w:rPr>
                <w:rFonts w:cs="Calibri"/>
                <w:color w:val="1B556B"/>
              </w:rPr>
            </w:pPr>
            <w:r w:rsidRPr="00261B7A">
              <w:rPr>
                <w:rFonts w:cs="Calibri"/>
                <w:color w:val="1B556B"/>
              </w:rPr>
              <w:t>140 (28)</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5473AB2A" w14:textId="77777777" w:rsidR="00994F64" w:rsidRPr="00261B7A" w:rsidRDefault="00994F64" w:rsidP="00501B0F">
            <w:pPr>
              <w:pStyle w:val="Tableboldblue"/>
              <w:spacing w:before="40" w:after="40"/>
              <w:jc w:val="right"/>
              <w:rPr>
                <w:rFonts w:cs="Calibri"/>
                <w:color w:val="1B556B"/>
              </w:rPr>
            </w:pPr>
            <w:r w:rsidRPr="00261B7A">
              <w:rPr>
                <w:rFonts w:cs="Calibri"/>
                <w:color w:val="1B556B"/>
              </w:rPr>
              <w:t>40 (8)</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747A44FE" w14:textId="77777777" w:rsidR="00994F64" w:rsidRPr="00261B7A" w:rsidRDefault="00994F64" w:rsidP="00501B0F">
            <w:pPr>
              <w:pStyle w:val="Tableboldblue"/>
              <w:spacing w:before="40" w:after="40"/>
              <w:jc w:val="right"/>
              <w:rPr>
                <w:rFonts w:cs="Calibri"/>
                <w:color w:val="1B556B"/>
              </w:rPr>
            </w:pPr>
            <w:r w:rsidRPr="00261B7A">
              <w:rPr>
                <w:rFonts w:cs="Calibri"/>
                <w:color w:val="1B556B"/>
              </w:rPr>
              <w:t>781 (143)</w:t>
            </w:r>
          </w:p>
        </w:tc>
      </w:tr>
      <w:tr w:rsidR="00994F64" w:rsidRPr="00261B7A" w14:paraId="2699F609" w14:textId="77777777" w:rsidTr="00501B0F">
        <w:tc>
          <w:tcPr>
            <w:tcW w:w="2206" w:type="dxa"/>
            <w:tcBorders>
              <w:top w:val="single" w:sz="4" w:space="0" w:color="1B556B" w:themeColor="text2"/>
              <w:left w:val="nil"/>
              <w:bottom w:val="single" w:sz="4" w:space="0" w:color="1B556B" w:themeColor="text2"/>
              <w:right w:val="nil"/>
            </w:tcBorders>
            <w:shd w:val="clear" w:color="auto" w:fill="auto"/>
          </w:tcPr>
          <w:p w14:paraId="050E7058" w14:textId="77777777" w:rsidR="00994F64" w:rsidRPr="00261B7A" w:rsidRDefault="00994F64" w:rsidP="00501B0F">
            <w:pPr>
              <w:pStyle w:val="Tableboldblue"/>
              <w:spacing w:before="40" w:after="40"/>
              <w:rPr>
                <w:rFonts w:cs="Calibri"/>
                <w:color w:val="1B556B"/>
              </w:rPr>
            </w:pPr>
            <w:r w:rsidRPr="00261B7A">
              <w:rPr>
                <w:rFonts w:cs="Calibri"/>
                <w:color w:val="1B556B"/>
              </w:rPr>
              <w:t>Total dung</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5F89A44" w14:textId="77777777" w:rsidR="00994F64" w:rsidRPr="00261B7A" w:rsidRDefault="00994F64" w:rsidP="00501B0F">
            <w:pPr>
              <w:pStyle w:val="Tableboldblue"/>
              <w:spacing w:before="40" w:after="40"/>
              <w:jc w:val="right"/>
              <w:rPr>
                <w:rFonts w:cs="Calibri"/>
                <w:color w:val="1B556B"/>
              </w:rPr>
            </w:pPr>
            <w:r w:rsidRPr="00261B7A">
              <w:rPr>
                <w:rFonts w:cs="Calibri"/>
                <w:color w:val="1B556B"/>
              </w:rPr>
              <w:t>138 (32)</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7D42E250" w14:textId="77777777" w:rsidR="00994F64" w:rsidRPr="00261B7A" w:rsidRDefault="00994F64" w:rsidP="00501B0F">
            <w:pPr>
              <w:pStyle w:val="Tableboldblue"/>
              <w:spacing w:before="40" w:after="40"/>
              <w:jc w:val="right"/>
              <w:rPr>
                <w:rFonts w:cs="Calibri"/>
                <w:color w:val="1B556B"/>
              </w:rPr>
            </w:pPr>
            <w:r w:rsidRPr="00261B7A">
              <w:rPr>
                <w:rFonts w:cs="Calibri"/>
                <w:color w:val="1B556B"/>
              </w:rPr>
              <w:t>158 (33)</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09F11F70" w14:textId="77777777" w:rsidR="00994F64" w:rsidRPr="00261B7A" w:rsidRDefault="00994F64" w:rsidP="00501B0F">
            <w:pPr>
              <w:pStyle w:val="Tableboldblue"/>
              <w:spacing w:before="40" w:after="40"/>
              <w:jc w:val="right"/>
              <w:rPr>
                <w:rFonts w:cs="Calibri"/>
                <w:color w:val="1B556B"/>
              </w:rPr>
            </w:pPr>
            <w:r w:rsidRPr="00261B7A">
              <w:rPr>
                <w:rFonts w:cs="Calibri"/>
                <w:color w:val="1B556B"/>
              </w:rPr>
              <w:t>100 (20)</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024FAF48" w14:textId="77777777" w:rsidR="00994F64" w:rsidRPr="00261B7A" w:rsidRDefault="00994F64" w:rsidP="00501B0F">
            <w:pPr>
              <w:pStyle w:val="Tableboldblue"/>
              <w:spacing w:before="40" w:after="40"/>
              <w:jc w:val="right"/>
              <w:rPr>
                <w:rFonts w:cs="Calibri"/>
                <w:color w:val="1B556B"/>
              </w:rPr>
            </w:pPr>
            <w:r w:rsidRPr="00261B7A">
              <w:rPr>
                <w:rFonts w:cs="Calibri"/>
                <w:color w:val="1B556B"/>
              </w:rPr>
              <w:t>40 (8)</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46041B59" w14:textId="77777777" w:rsidR="00994F64" w:rsidRPr="00261B7A" w:rsidRDefault="00994F64" w:rsidP="00501B0F">
            <w:pPr>
              <w:pStyle w:val="Tableboldblue"/>
              <w:spacing w:before="40" w:after="40"/>
              <w:jc w:val="right"/>
              <w:rPr>
                <w:rFonts w:cs="Calibri"/>
                <w:color w:val="1B556B"/>
              </w:rPr>
            </w:pPr>
            <w:r w:rsidRPr="00261B7A">
              <w:rPr>
                <w:rFonts w:cs="Calibri"/>
                <w:color w:val="1B556B"/>
              </w:rPr>
              <w:t>436 (93)</w:t>
            </w:r>
          </w:p>
        </w:tc>
      </w:tr>
      <w:tr w:rsidR="00994F64" w:rsidRPr="00261B7A" w14:paraId="6A8944D5" w14:textId="77777777" w:rsidTr="00501B0F">
        <w:tc>
          <w:tcPr>
            <w:tcW w:w="2206" w:type="dxa"/>
            <w:tcBorders>
              <w:top w:val="single" w:sz="4" w:space="0" w:color="1B556B" w:themeColor="text2"/>
              <w:left w:val="nil"/>
              <w:bottom w:val="single" w:sz="4" w:space="0" w:color="1B556B" w:themeColor="text2"/>
              <w:right w:val="nil"/>
            </w:tcBorders>
            <w:shd w:val="clear" w:color="auto" w:fill="auto"/>
          </w:tcPr>
          <w:p w14:paraId="7B80736F" w14:textId="77777777" w:rsidR="00994F64" w:rsidRPr="00261B7A" w:rsidRDefault="00994F64" w:rsidP="00501B0F">
            <w:pPr>
              <w:pStyle w:val="Tableboldblue"/>
              <w:spacing w:before="40" w:after="40"/>
              <w:rPr>
                <w:rFonts w:cs="Calibri"/>
                <w:color w:val="1B556B"/>
              </w:rPr>
            </w:pPr>
            <w:r w:rsidRPr="00261B7A">
              <w:rPr>
                <w:rFonts w:cs="Calibri"/>
                <w:color w:val="1B556B"/>
              </w:rPr>
              <w:t>Total excreta</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09D9640F" w14:textId="77777777" w:rsidR="00994F64" w:rsidRPr="00261B7A" w:rsidRDefault="00994F64" w:rsidP="00501B0F">
            <w:pPr>
              <w:pStyle w:val="Tableboldblue"/>
              <w:spacing w:before="40" w:after="40"/>
              <w:jc w:val="right"/>
              <w:rPr>
                <w:rFonts w:cs="Calibri"/>
                <w:color w:val="1B556B"/>
              </w:rPr>
            </w:pPr>
            <w:r w:rsidRPr="00261B7A">
              <w:rPr>
                <w:rFonts w:cs="Calibri"/>
                <w:color w:val="1B556B"/>
              </w:rPr>
              <w:t>527 (97)</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73E05B4D" w14:textId="77777777" w:rsidR="00994F64" w:rsidRPr="00261B7A" w:rsidRDefault="00994F64" w:rsidP="00501B0F">
            <w:pPr>
              <w:pStyle w:val="Tableboldblue"/>
              <w:spacing w:before="40" w:after="40"/>
              <w:jc w:val="right"/>
              <w:rPr>
                <w:rFonts w:cs="Calibri"/>
                <w:color w:val="1B556B"/>
              </w:rPr>
            </w:pPr>
            <w:r w:rsidRPr="00261B7A">
              <w:rPr>
                <w:rFonts w:cs="Calibri"/>
                <w:color w:val="1B556B"/>
              </w:rPr>
              <w:t>370 (75)</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011BA099" w14:textId="77777777" w:rsidR="00994F64" w:rsidRPr="00261B7A" w:rsidRDefault="00994F64" w:rsidP="00501B0F">
            <w:pPr>
              <w:pStyle w:val="Tableboldblue"/>
              <w:spacing w:before="40" w:after="40"/>
              <w:jc w:val="right"/>
              <w:rPr>
                <w:rFonts w:cs="Calibri"/>
                <w:color w:val="1B556B"/>
              </w:rPr>
            </w:pPr>
            <w:r w:rsidRPr="00261B7A">
              <w:rPr>
                <w:rFonts w:cs="Calibri"/>
                <w:color w:val="1B556B"/>
              </w:rPr>
              <w:t>240 (48)</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BECB85E" w14:textId="77777777" w:rsidR="00994F64" w:rsidRPr="00261B7A" w:rsidRDefault="00994F64" w:rsidP="00501B0F">
            <w:pPr>
              <w:pStyle w:val="Tableboldblue"/>
              <w:spacing w:before="40" w:after="40"/>
              <w:jc w:val="right"/>
              <w:rPr>
                <w:rFonts w:cs="Calibri"/>
                <w:color w:val="1B556B"/>
              </w:rPr>
            </w:pPr>
            <w:r w:rsidRPr="00261B7A">
              <w:rPr>
                <w:rFonts w:cs="Calibri"/>
                <w:color w:val="1B556B"/>
              </w:rPr>
              <w:t>80 (16)</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6369BD1F" w14:textId="77777777" w:rsidR="00994F64" w:rsidRPr="00261B7A" w:rsidRDefault="00994F64" w:rsidP="00501B0F">
            <w:pPr>
              <w:pStyle w:val="Tableboldblue"/>
              <w:spacing w:before="40" w:after="40"/>
              <w:jc w:val="right"/>
              <w:rPr>
                <w:rFonts w:cs="Calibri"/>
                <w:color w:val="1B556B"/>
              </w:rPr>
            </w:pPr>
            <w:r w:rsidRPr="00261B7A">
              <w:rPr>
                <w:rFonts w:cs="Calibri"/>
                <w:color w:val="1B556B"/>
              </w:rPr>
              <w:t>1,217 (236)</w:t>
            </w:r>
          </w:p>
        </w:tc>
      </w:tr>
    </w:tbl>
    <w:p w14:paraId="2F229D8F" w14:textId="77777777" w:rsidR="00994F64" w:rsidRPr="00261B7A" w:rsidRDefault="00994F64" w:rsidP="00994F64">
      <w:pPr>
        <w:pStyle w:val="Table"/>
        <w:spacing w:before="240"/>
        <w:rPr>
          <w:rFonts w:cs="Calibri"/>
        </w:rPr>
      </w:pPr>
      <w:bookmarkStart w:id="1104" w:name="_Toc32570933"/>
      <w:bookmarkStart w:id="1105" w:name="_Toc36224568"/>
      <w:bookmarkStart w:id="1106" w:name="_Toc68786453"/>
      <w:bookmarkStart w:id="1107" w:name="_Toc95574086"/>
      <w:bookmarkStart w:id="1108" w:name="_Toc127458273"/>
      <w:bookmarkStart w:id="1109" w:name="_Toc131591369"/>
      <w:r w:rsidRPr="00261B7A">
        <w:rPr>
          <w:rFonts w:cs="Calibri"/>
        </w:rPr>
        <w:t>Table 5.5.7</w:t>
      </w:r>
      <w:r w:rsidRPr="00261B7A">
        <w:rPr>
          <w:rFonts w:cs="Calibri"/>
        </w:rPr>
        <w:tab/>
        <w:t>Number of replicate-level EF</w:t>
      </w:r>
      <w:r w:rsidRPr="00261B7A">
        <w:rPr>
          <w:rFonts w:cs="Calibri"/>
          <w:vertAlign w:val="subscript"/>
        </w:rPr>
        <w:t>3</w:t>
      </w:r>
      <w:r w:rsidRPr="00261B7A">
        <w:rPr>
          <w:rFonts w:cs="Calibri"/>
        </w:rPr>
        <w:t xml:space="preserve"> values collated by the van der Weerden et al. (2019, 2020) analysis, for each nitrogen source, season that trial was undertaken and topography</w:t>
      </w:r>
      <w:bookmarkEnd w:id="1104"/>
      <w:bookmarkEnd w:id="1105"/>
      <w:bookmarkEnd w:id="1106"/>
      <w:bookmarkEnd w:id="1107"/>
      <w:bookmarkEnd w:id="1108"/>
      <w:bookmarkEnd w:id="1109"/>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6"/>
        <w:gridCol w:w="1889"/>
        <w:gridCol w:w="886"/>
        <w:gridCol w:w="886"/>
        <w:gridCol w:w="886"/>
        <w:gridCol w:w="886"/>
        <w:gridCol w:w="886"/>
      </w:tblGrid>
      <w:tr w:rsidR="00994F64" w:rsidRPr="00261B7A" w14:paraId="3D779C97" w14:textId="77777777" w:rsidTr="00501B0F">
        <w:trPr>
          <w:tblHeader/>
        </w:trPr>
        <w:tc>
          <w:tcPr>
            <w:tcW w:w="2098" w:type="dxa"/>
            <w:tcBorders>
              <w:top w:val="single" w:sz="4" w:space="0" w:color="1B556B" w:themeColor="text2"/>
              <w:left w:val="nil"/>
              <w:bottom w:val="single" w:sz="4" w:space="0" w:color="1B556B" w:themeColor="text2"/>
              <w:right w:val="nil"/>
            </w:tcBorders>
            <w:shd w:val="clear" w:color="auto" w:fill="1B556B"/>
            <w:vAlign w:val="bottom"/>
          </w:tcPr>
          <w:p w14:paraId="5E034C4B" w14:textId="77777777" w:rsidR="00994F64" w:rsidRPr="00261B7A" w:rsidRDefault="00994F64" w:rsidP="00501B0F">
            <w:pPr>
              <w:pStyle w:val="TableTextBold"/>
              <w:keepNext/>
              <w:spacing w:before="40" w:after="40"/>
              <w:rPr>
                <w:noProof w:val="0"/>
                <w:color w:val="FFFFFF" w:themeColor="background1"/>
                <w:szCs w:val="16"/>
              </w:rPr>
            </w:pPr>
            <w:r w:rsidRPr="00261B7A">
              <w:rPr>
                <w:noProof w:val="0"/>
                <w:color w:val="FFFFFF" w:themeColor="background1"/>
                <w:szCs w:val="16"/>
              </w:rPr>
              <w:t>Nitrogen source</w:t>
            </w:r>
          </w:p>
        </w:tc>
        <w:tc>
          <w:tcPr>
            <w:tcW w:w="1814" w:type="dxa"/>
            <w:tcBorders>
              <w:top w:val="single" w:sz="4" w:space="0" w:color="1B556B" w:themeColor="text2"/>
              <w:left w:val="nil"/>
              <w:bottom w:val="single" w:sz="4" w:space="0" w:color="1B556B" w:themeColor="text2"/>
              <w:right w:val="nil"/>
            </w:tcBorders>
            <w:shd w:val="clear" w:color="auto" w:fill="1B556B"/>
            <w:vAlign w:val="bottom"/>
          </w:tcPr>
          <w:p w14:paraId="3F92AED1" w14:textId="77777777" w:rsidR="00994F64" w:rsidRPr="00261B7A" w:rsidRDefault="00994F64" w:rsidP="00501B0F">
            <w:pPr>
              <w:pStyle w:val="TableTextBold"/>
              <w:keepNext/>
              <w:spacing w:before="40" w:after="40"/>
              <w:rPr>
                <w:noProof w:val="0"/>
                <w:color w:val="FFFFFF" w:themeColor="background1"/>
                <w:szCs w:val="16"/>
              </w:rPr>
            </w:pPr>
            <w:r w:rsidRPr="00261B7A">
              <w:rPr>
                <w:noProof w:val="0"/>
                <w:color w:val="FFFFFF" w:themeColor="background1"/>
                <w:szCs w:val="16"/>
              </w:rPr>
              <w:t>Topography class</w:t>
            </w:r>
          </w:p>
        </w:tc>
        <w:tc>
          <w:tcPr>
            <w:tcW w:w="851" w:type="dxa"/>
            <w:tcBorders>
              <w:top w:val="single" w:sz="4" w:space="0" w:color="1B556B" w:themeColor="text2"/>
              <w:left w:val="nil"/>
              <w:bottom w:val="single" w:sz="4" w:space="0" w:color="1B556B" w:themeColor="text2"/>
              <w:right w:val="nil"/>
            </w:tcBorders>
            <w:shd w:val="clear" w:color="auto" w:fill="1B556B"/>
          </w:tcPr>
          <w:p w14:paraId="79494C08" w14:textId="77777777" w:rsidR="00994F64" w:rsidRPr="00261B7A" w:rsidRDefault="00994F64" w:rsidP="00501B0F">
            <w:pPr>
              <w:pStyle w:val="TableTextBold"/>
              <w:keepNext/>
              <w:spacing w:before="40" w:after="40"/>
              <w:jc w:val="right"/>
              <w:rPr>
                <w:noProof w:val="0"/>
                <w:color w:val="FFFFFF" w:themeColor="background1"/>
                <w:szCs w:val="16"/>
              </w:rPr>
            </w:pPr>
            <w:r w:rsidRPr="00261B7A">
              <w:rPr>
                <w:noProof w:val="0"/>
                <w:color w:val="FFFFFF" w:themeColor="background1"/>
                <w:szCs w:val="16"/>
              </w:rPr>
              <w:t>Autumn</w:t>
            </w:r>
          </w:p>
        </w:tc>
        <w:tc>
          <w:tcPr>
            <w:tcW w:w="851" w:type="dxa"/>
            <w:tcBorders>
              <w:top w:val="single" w:sz="4" w:space="0" w:color="1B556B" w:themeColor="text2"/>
              <w:left w:val="nil"/>
              <w:bottom w:val="single" w:sz="4" w:space="0" w:color="1B556B" w:themeColor="text2"/>
              <w:right w:val="nil"/>
            </w:tcBorders>
            <w:shd w:val="clear" w:color="auto" w:fill="1B556B"/>
          </w:tcPr>
          <w:p w14:paraId="0BF6D362" w14:textId="77777777" w:rsidR="00994F64" w:rsidRPr="00261B7A" w:rsidRDefault="00994F64" w:rsidP="00501B0F">
            <w:pPr>
              <w:pStyle w:val="TableTextBold"/>
              <w:keepNext/>
              <w:spacing w:before="40" w:after="40"/>
              <w:jc w:val="right"/>
              <w:rPr>
                <w:noProof w:val="0"/>
                <w:color w:val="FFFFFF" w:themeColor="background1"/>
                <w:szCs w:val="16"/>
              </w:rPr>
            </w:pPr>
            <w:r w:rsidRPr="00261B7A">
              <w:rPr>
                <w:noProof w:val="0"/>
                <w:color w:val="FFFFFF" w:themeColor="background1"/>
                <w:szCs w:val="16"/>
              </w:rPr>
              <w:t>Winter</w:t>
            </w:r>
          </w:p>
        </w:tc>
        <w:tc>
          <w:tcPr>
            <w:tcW w:w="851" w:type="dxa"/>
            <w:tcBorders>
              <w:top w:val="single" w:sz="4" w:space="0" w:color="1B556B" w:themeColor="text2"/>
              <w:left w:val="nil"/>
              <w:bottom w:val="single" w:sz="4" w:space="0" w:color="1B556B" w:themeColor="text2"/>
              <w:right w:val="nil"/>
            </w:tcBorders>
            <w:shd w:val="clear" w:color="auto" w:fill="1B556B"/>
          </w:tcPr>
          <w:p w14:paraId="17180F7A" w14:textId="77777777" w:rsidR="00994F64" w:rsidRPr="00261B7A" w:rsidRDefault="00994F64" w:rsidP="00501B0F">
            <w:pPr>
              <w:pStyle w:val="TableTextBold"/>
              <w:keepNext/>
              <w:spacing w:before="40" w:after="40"/>
              <w:jc w:val="right"/>
              <w:rPr>
                <w:noProof w:val="0"/>
                <w:color w:val="FFFFFF" w:themeColor="background1"/>
                <w:szCs w:val="16"/>
              </w:rPr>
            </w:pPr>
            <w:r w:rsidRPr="00261B7A">
              <w:rPr>
                <w:noProof w:val="0"/>
                <w:color w:val="FFFFFF" w:themeColor="background1"/>
                <w:szCs w:val="16"/>
              </w:rPr>
              <w:t>Spring</w:t>
            </w:r>
          </w:p>
        </w:tc>
        <w:tc>
          <w:tcPr>
            <w:tcW w:w="851" w:type="dxa"/>
            <w:tcBorders>
              <w:top w:val="single" w:sz="4" w:space="0" w:color="1B556B" w:themeColor="text2"/>
              <w:left w:val="nil"/>
              <w:bottom w:val="single" w:sz="4" w:space="0" w:color="1B556B" w:themeColor="text2"/>
              <w:right w:val="nil"/>
            </w:tcBorders>
            <w:shd w:val="clear" w:color="auto" w:fill="1B556B"/>
          </w:tcPr>
          <w:p w14:paraId="111669A1" w14:textId="77777777" w:rsidR="00994F64" w:rsidRPr="00261B7A" w:rsidRDefault="00994F64" w:rsidP="00501B0F">
            <w:pPr>
              <w:pStyle w:val="TableTextBold"/>
              <w:keepNext/>
              <w:spacing w:before="40" w:after="40"/>
              <w:jc w:val="right"/>
              <w:rPr>
                <w:noProof w:val="0"/>
                <w:color w:val="FFFFFF" w:themeColor="background1"/>
                <w:szCs w:val="16"/>
              </w:rPr>
            </w:pPr>
            <w:r w:rsidRPr="00261B7A">
              <w:rPr>
                <w:noProof w:val="0"/>
                <w:color w:val="FFFFFF" w:themeColor="background1"/>
                <w:szCs w:val="16"/>
              </w:rPr>
              <w:t>Summer</w:t>
            </w:r>
          </w:p>
        </w:tc>
        <w:tc>
          <w:tcPr>
            <w:tcW w:w="851" w:type="dxa"/>
            <w:tcBorders>
              <w:top w:val="single" w:sz="4" w:space="0" w:color="1B556B" w:themeColor="text2"/>
              <w:left w:val="nil"/>
              <w:bottom w:val="single" w:sz="4" w:space="0" w:color="1B556B" w:themeColor="text2"/>
              <w:right w:val="nil"/>
            </w:tcBorders>
            <w:shd w:val="clear" w:color="auto" w:fill="1B556B"/>
          </w:tcPr>
          <w:p w14:paraId="23DF02B5" w14:textId="77777777" w:rsidR="00994F64" w:rsidRPr="00261B7A" w:rsidRDefault="00994F64" w:rsidP="00501B0F">
            <w:pPr>
              <w:pStyle w:val="TableTextBold"/>
              <w:keepNext/>
              <w:spacing w:before="40" w:after="40"/>
              <w:jc w:val="center"/>
              <w:rPr>
                <w:noProof w:val="0"/>
                <w:color w:val="FFFFFF" w:themeColor="background1"/>
                <w:szCs w:val="16"/>
              </w:rPr>
            </w:pPr>
            <w:r w:rsidRPr="00261B7A">
              <w:rPr>
                <w:noProof w:val="0"/>
                <w:color w:val="FFFFFF" w:themeColor="background1"/>
                <w:szCs w:val="16"/>
              </w:rPr>
              <w:t>Total</w:t>
            </w:r>
          </w:p>
        </w:tc>
      </w:tr>
      <w:tr w:rsidR="00994F64" w:rsidRPr="00261B7A" w14:paraId="364B6316"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30BF2798" w14:textId="77777777" w:rsidR="00994F64" w:rsidRPr="00261B7A" w:rsidRDefault="00994F64" w:rsidP="00501B0F">
            <w:pPr>
              <w:pStyle w:val="TableText"/>
              <w:keepNext/>
              <w:spacing w:before="40" w:after="40"/>
              <w:rPr>
                <w:rFonts w:cs="Calibri"/>
                <w:szCs w:val="16"/>
              </w:rPr>
            </w:pPr>
            <w:r w:rsidRPr="00261B7A">
              <w:rPr>
                <w:rFonts w:cs="Calibri"/>
                <w:szCs w:val="16"/>
              </w:rPr>
              <w:t>Dairy cattle urine</w:t>
            </w:r>
          </w:p>
        </w:tc>
        <w:tc>
          <w:tcPr>
            <w:tcW w:w="1814" w:type="dxa"/>
            <w:tcBorders>
              <w:top w:val="single" w:sz="4" w:space="0" w:color="1B556B" w:themeColor="text2"/>
              <w:left w:val="nil"/>
              <w:bottom w:val="single" w:sz="4" w:space="0" w:color="1B556B" w:themeColor="text2"/>
              <w:right w:val="nil"/>
            </w:tcBorders>
          </w:tcPr>
          <w:p w14:paraId="305ECAC9" w14:textId="77777777" w:rsidR="00994F64" w:rsidRPr="00261B7A" w:rsidRDefault="00994F64" w:rsidP="00501B0F">
            <w:pPr>
              <w:pStyle w:val="TableText"/>
              <w:keepNext/>
              <w:spacing w:before="40" w:after="40"/>
              <w:rPr>
                <w:rFonts w:cs="Calibri"/>
                <w:szCs w:val="16"/>
              </w:rPr>
            </w:pPr>
            <w:r w:rsidRPr="00261B7A">
              <w:rPr>
                <w:rFonts w:cs="Calibri"/>
                <w:szCs w:val="16"/>
              </w:rPr>
              <w:t>Flatland (0</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3F964F52" w14:textId="77777777" w:rsidR="00994F64" w:rsidRPr="00261B7A" w:rsidRDefault="00994F64" w:rsidP="00501B0F">
            <w:pPr>
              <w:pStyle w:val="TableText"/>
              <w:keepNext/>
              <w:spacing w:before="40" w:after="40"/>
              <w:jc w:val="right"/>
              <w:rPr>
                <w:rFonts w:cs="Calibri"/>
                <w:szCs w:val="16"/>
              </w:rPr>
            </w:pPr>
            <w:r w:rsidRPr="00261B7A">
              <w:rPr>
                <w:rFonts w:cs="Calibri"/>
                <w:szCs w:val="16"/>
              </w:rPr>
              <w:t>128</w:t>
            </w:r>
          </w:p>
        </w:tc>
        <w:tc>
          <w:tcPr>
            <w:tcW w:w="851" w:type="dxa"/>
            <w:tcBorders>
              <w:top w:val="single" w:sz="4" w:space="0" w:color="1B556B" w:themeColor="text2"/>
              <w:left w:val="nil"/>
              <w:bottom w:val="single" w:sz="4" w:space="0" w:color="1B556B" w:themeColor="text2"/>
              <w:right w:val="nil"/>
            </w:tcBorders>
            <w:shd w:val="clear" w:color="auto" w:fill="auto"/>
          </w:tcPr>
          <w:p w14:paraId="046DCF84" w14:textId="77777777" w:rsidR="00994F64" w:rsidRPr="00261B7A" w:rsidRDefault="00994F64" w:rsidP="00501B0F">
            <w:pPr>
              <w:pStyle w:val="TableText"/>
              <w:keepNext/>
              <w:spacing w:before="40" w:after="40"/>
              <w:jc w:val="right"/>
              <w:rPr>
                <w:rFonts w:cs="Calibri"/>
                <w:szCs w:val="16"/>
              </w:rPr>
            </w:pPr>
            <w:r w:rsidRPr="00261B7A">
              <w:rPr>
                <w:rFonts w:cs="Calibri"/>
                <w:szCs w:val="16"/>
              </w:rPr>
              <w:t>105</w:t>
            </w:r>
          </w:p>
        </w:tc>
        <w:tc>
          <w:tcPr>
            <w:tcW w:w="851" w:type="dxa"/>
            <w:tcBorders>
              <w:top w:val="single" w:sz="4" w:space="0" w:color="1B556B" w:themeColor="text2"/>
              <w:left w:val="nil"/>
              <w:bottom w:val="single" w:sz="4" w:space="0" w:color="1B556B" w:themeColor="text2"/>
              <w:right w:val="nil"/>
            </w:tcBorders>
            <w:shd w:val="clear" w:color="auto" w:fill="auto"/>
          </w:tcPr>
          <w:p w14:paraId="03BE9C73" w14:textId="77777777" w:rsidR="00994F64" w:rsidRPr="00261B7A" w:rsidRDefault="00994F64" w:rsidP="00501B0F">
            <w:pPr>
              <w:pStyle w:val="TableText"/>
              <w:keepNext/>
              <w:spacing w:before="40" w:after="40"/>
              <w:jc w:val="right"/>
              <w:rPr>
                <w:rFonts w:cs="Calibri"/>
                <w:szCs w:val="16"/>
              </w:rPr>
            </w:pPr>
            <w:r w:rsidRPr="00261B7A">
              <w:rPr>
                <w:rFonts w:cs="Calibri"/>
                <w:szCs w:val="16"/>
              </w:rPr>
              <w:t>88</w:t>
            </w:r>
          </w:p>
        </w:tc>
        <w:tc>
          <w:tcPr>
            <w:tcW w:w="851" w:type="dxa"/>
            <w:tcBorders>
              <w:top w:val="single" w:sz="4" w:space="0" w:color="1B556B" w:themeColor="text2"/>
              <w:left w:val="nil"/>
              <w:bottom w:val="single" w:sz="4" w:space="0" w:color="1B556B" w:themeColor="text2"/>
              <w:right w:val="nil"/>
            </w:tcBorders>
            <w:shd w:val="clear" w:color="auto" w:fill="auto"/>
          </w:tcPr>
          <w:p w14:paraId="4284A2AC" w14:textId="77777777" w:rsidR="00994F64" w:rsidRPr="00261B7A" w:rsidRDefault="00994F64" w:rsidP="00501B0F">
            <w:pPr>
              <w:pStyle w:val="TableText"/>
              <w:keepNext/>
              <w:spacing w:before="40" w:after="40"/>
              <w:jc w:val="right"/>
              <w:rPr>
                <w:rFonts w:cs="Calibri"/>
                <w:szCs w:val="16"/>
              </w:rPr>
            </w:pPr>
            <w:r w:rsidRPr="00261B7A">
              <w:rPr>
                <w:rFonts w:cs="Calibri"/>
                <w:szCs w:val="16"/>
              </w:rPr>
              <w:t>12</w:t>
            </w:r>
          </w:p>
        </w:tc>
        <w:tc>
          <w:tcPr>
            <w:tcW w:w="851" w:type="dxa"/>
            <w:tcBorders>
              <w:top w:val="single" w:sz="4" w:space="0" w:color="1B556B" w:themeColor="text2"/>
              <w:left w:val="nil"/>
              <w:bottom w:val="single" w:sz="4" w:space="0" w:color="1B556B" w:themeColor="text2"/>
              <w:right w:val="nil"/>
            </w:tcBorders>
            <w:shd w:val="clear" w:color="auto" w:fill="auto"/>
          </w:tcPr>
          <w:p w14:paraId="7561717B" w14:textId="77777777" w:rsidR="00994F64" w:rsidRPr="00261B7A" w:rsidRDefault="00994F64" w:rsidP="00501B0F">
            <w:pPr>
              <w:pStyle w:val="TableText"/>
              <w:keepNext/>
              <w:spacing w:before="40" w:after="40"/>
              <w:jc w:val="right"/>
              <w:rPr>
                <w:rFonts w:cs="Calibri"/>
                <w:szCs w:val="16"/>
              </w:rPr>
            </w:pPr>
            <w:r w:rsidRPr="00261B7A">
              <w:rPr>
                <w:rFonts w:cs="Calibri"/>
                <w:szCs w:val="16"/>
              </w:rPr>
              <w:t>333</w:t>
            </w:r>
          </w:p>
        </w:tc>
      </w:tr>
      <w:tr w:rsidR="00994F64" w:rsidRPr="00261B7A" w14:paraId="5979EE79"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05250FF3" w14:textId="77777777" w:rsidR="00994F64" w:rsidRPr="00261B7A" w:rsidRDefault="00994F64" w:rsidP="00501B0F">
            <w:pPr>
              <w:pStyle w:val="TableText"/>
              <w:keepN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79E17F4B" w14:textId="77777777" w:rsidR="00994F64" w:rsidRPr="00261B7A" w:rsidRDefault="00994F64" w:rsidP="00501B0F">
            <w:pPr>
              <w:pStyle w:val="TableText"/>
              <w:keepNext/>
              <w:spacing w:before="40" w:after="40"/>
              <w:rPr>
                <w:rFonts w:cs="Calibri"/>
                <w:szCs w:val="16"/>
              </w:rPr>
            </w:pPr>
            <w:r w:rsidRPr="00261B7A">
              <w:rPr>
                <w:rFonts w:cs="Calibri"/>
                <w:szCs w:val="16"/>
              </w:rPr>
              <w:t>Low slope (0–12</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5ADD4BEB" w14:textId="77777777" w:rsidR="00994F64" w:rsidRPr="00261B7A" w:rsidRDefault="00994F64" w:rsidP="00501B0F">
            <w:pPr>
              <w:pStyle w:val="TableText"/>
              <w:keepNext/>
              <w:spacing w:before="40" w:after="40"/>
              <w:jc w:val="right"/>
              <w:rPr>
                <w:rFonts w:cs="Calibri"/>
                <w:szCs w:val="16"/>
              </w:rPr>
            </w:pPr>
            <w:r w:rsidRPr="00261B7A">
              <w:rPr>
                <w:rFonts w:cs="Calibri"/>
                <w:szCs w:val="16"/>
              </w:rPr>
              <w:t>34</w:t>
            </w:r>
          </w:p>
        </w:tc>
        <w:tc>
          <w:tcPr>
            <w:tcW w:w="851" w:type="dxa"/>
            <w:tcBorders>
              <w:top w:val="single" w:sz="4" w:space="0" w:color="1B556B" w:themeColor="text2"/>
              <w:left w:val="nil"/>
              <w:bottom w:val="single" w:sz="4" w:space="0" w:color="1B556B" w:themeColor="text2"/>
              <w:right w:val="nil"/>
            </w:tcBorders>
            <w:shd w:val="clear" w:color="auto" w:fill="auto"/>
          </w:tcPr>
          <w:p w14:paraId="76B650F5" w14:textId="77777777" w:rsidR="00994F64" w:rsidRPr="00261B7A" w:rsidRDefault="00994F64" w:rsidP="00501B0F">
            <w:pPr>
              <w:pStyle w:val="TableText"/>
              <w:keepNext/>
              <w:spacing w:before="40" w:after="40"/>
              <w:jc w:val="right"/>
              <w:rPr>
                <w:rFonts w:cs="Calibri"/>
                <w:szCs w:val="16"/>
              </w:rPr>
            </w:pPr>
            <w:r w:rsidRPr="00261B7A">
              <w:rPr>
                <w:rFonts w:cs="Calibri"/>
                <w:szCs w:val="16"/>
              </w:rPr>
              <w:t>34</w:t>
            </w:r>
          </w:p>
        </w:tc>
        <w:tc>
          <w:tcPr>
            <w:tcW w:w="851" w:type="dxa"/>
            <w:tcBorders>
              <w:top w:val="single" w:sz="4" w:space="0" w:color="1B556B" w:themeColor="text2"/>
              <w:left w:val="nil"/>
              <w:bottom w:val="single" w:sz="4" w:space="0" w:color="1B556B" w:themeColor="text2"/>
              <w:right w:val="nil"/>
            </w:tcBorders>
            <w:shd w:val="clear" w:color="auto" w:fill="auto"/>
          </w:tcPr>
          <w:p w14:paraId="4B4CB7FF" w14:textId="77777777" w:rsidR="00994F64" w:rsidRPr="00261B7A" w:rsidRDefault="00994F64" w:rsidP="00501B0F">
            <w:pPr>
              <w:pStyle w:val="TableText"/>
              <w:keepNext/>
              <w:spacing w:before="40" w:after="40"/>
              <w:jc w:val="right"/>
              <w:rPr>
                <w:rFonts w:cs="Calibri"/>
                <w:szCs w:val="16"/>
              </w:rPr>
            </w:pPr>
            <w:r w:rsidRPr="00261B7A">
              <w:rPr>
                <w:rFonts w:cs="Calibri"/>
                <w:szCs w:val="16"/>
              </w:rPr>
              <w:t>28</w:t>
            </w:r>
          </w:p>
        </w:tc>
        <w:tc>
          <w:tcPr>
            <w:tcW w:w="851" w:type="dxa"/>
            <w:tcBorders>
              <w:top w:val="single" w:sz="4" w:space="0" w:color="1B556B" w:themeColor="text2"/>
              <w:left w:val="nil"/>
              <w:bottom w:val="single" w:sz="4" w:space="0" w:color="1B556B" w:themeColor="text2"/>
              <w:right w:val="nil"/>
            </w:tcBorders>
            <w:shd w:val="clear" w:color="auto" w:fill="auto"/>
          </w:tcPr>
          <w:p w14:paraId="593B882D" w14:textId="77777777" w:rsidR="00994F64" w:rsidRPr="00261B7A" w:rsidRDefault="00994F64" w:rsidP="00501B0F">
            <w:pPr>
              <w:pStyle w:val="TableText"/>
              <w:keepNext/>
              <w:spacing w:before="40" w:after="40"/>
              <w:jc w:val="right"/>
              <w:rPr>
                <w:rFonts w:cs="Calibri"/>
                <w:szCs w:val="16"/>
              </w:rPr>
            </w:pPr>
            <w:r w:rsidRPr="00261B7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5BE41EAE" w14:textId="77777777" w:rsidR="00994F64" w:rsidRPr="00261B7A" w:rsidRDefault="00994F64" w:rsidP="00501B0F">
            <w:pPr>
              <w:pStyle w:val="TableText"/>
              <w:keepNext/>
              <w:spacing w:before="40" w:after="40"/>
              <w:jc w:val="right"/>
              <w:rPr>
                <w:rFonts w:cs="Calibri"/>
                <w:szCs w:val="16"/>
              </w:rPr>
            </w:pPr>
            <w:r w:rsidRPr="00261B7A">
              <w:rPr>
                <w:rFonts w:cs="Calibri"/>
                <w:szCs w:val="16"/>
              </w:rPr>
              <w:t>116</w:t>
            </w:r>
          </w:p>
        </w:tc>
      </w:tr>
      <w:tr w:rsidR="00994F64" w:rsidRPr="00261B7A" w14:paraId="4513E17A"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35BE7C10" w14:textId="77777777" w:rsidR="00994F64" w:rsidRPr="00261B7A" w:rsidRDefault="00994F64" w:rsidP="00501B0F">
            <w:pPr>
              <w:pStyle w:val="TableText"/>
              <w:keepN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67AA3F10" w14:textId="77777777" w:rsidR="00994F64" w:rsidRPr="00261B7A" w:rsidRDefault="00994F64" w:rsidP="00501B0F">
            <w:pPr>
              <w:pStyle w:val="TableText"/>
              <w:keepNext/>
              <w:spacing w:before="40" w:after="40"/>
              <w:rPr>
                <w:rFonts w:cs="Calibri"/>
                <w:szCs w:val="16"/>
              </w:rPr>
            </w:pPr>
            <w:r w:rsidRPr="00261B7A">
              <w:rPr>
                <w:rFonts w:cs="Calibri"/>
                <w:szCs w:val="16"/>
              </w:rPr>
              <w:t>Medium slope (12–24</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09422D12" w14:textId="77777777" w:rsidR="00994F64" w:rsidRPr="00261B7A" w:rsidRDefault="00994F64" w:rsidP="00501B0F">
            <w:pPr>
              <w:pStyle w:val="TableText"/>
              <w:keepN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AC7C05D" w14:textId="77777777" w:rsidR="00994F64" w:rsidRPr="00261B7A" w:rsidRDefault="00994F64" w:rsidP="00501B0F">
            <w:pPr>
              <w:pStyle w:val="TableText"/>
              <w:keepNext/>
              <w:spacing w:before="40" w:after="40"/>
              <w:jc w:val="right"/>
              <w:rPr>
                <w:rFonts w:cs="Calibri"/>
                <w:szCs w:val="16"/>
              </w:rPr>
            </w:pPr>
            <w:r w:rsidRPr="00261B7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6C2B8BCB" w14:textId="77777777" w:rsidR="00994F64" w:rsidRPr="00261B7A" w:rsidRDefault="00994F64" w:rsidP="00501B0F">
            <w:pPr>
              <w:pStyle w:val="TableText"/>
              <w:keepN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D9EED0B" w14:textId="77777777" w:rsidR="00994F64" w:rsidRPr="00261B7A" w:rsidRDefault="00994F64" w:rsidP="00501B0F">
            <w:pPr>
              <w:pStyle w:val="TableText"/>
              <w:keepN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34F8BA67" w14:textId="77777777" w:rsidR="00994F64" w:rsidRPr="00261B7A" w:rsidRDefault="00994F64" w:rsidP="00501B0F">
            <w:pPr>
              <w:pStyle w:val="TableText"/>
              <w:keepNext/>
              <w:spacing w:before="40" w:after="40"/>
              <w:jc w:val="right"/>
              <w:rPr>
                <w:rFonts w:cs="Calibri"/>
                <w:szCs w:val="16"/>
              </w:rPr>
            </w:pPr>
            <w:r w:rsidRPr="00261B7A">
              <w:rPr>
                <w:rFonts w:cs="Calibri"/>
                <w:szCs w:val="16"/>
              </w:rPr>
              <w:t>20</w:t>
            </w:r>
          </w:p>
        </w:tc>
      </w:tr>
      <w:tr w:rsidR="00994F64" w:rsidRPr="00261B7A" w14:paraId="3E97DA3A"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26BDD9EB" w14:textId="77777777" w:rsidR="00994F64" w:rsidRPr="00261B7A" w:rsidRDefault="00994F64" w:rsidP="00501B0F">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5C5DC29E" w14:textId="77777777" w:rsidR="00994F64" w:rsidRPr="00261B7A" w:rsidRDefault="00994F64" w:rsidP="00501B0F">
            <w:pPr>
              <w:pStyle w:val="TableText"/>
              <w:spacing w:before="40" w:after="40"/>
              <w:rPr>
                <w:rFonts w:cs="Calibri"/>
                <w:szCs w:val="16"/>
              </w:rPr>
            </w:pPr>
            <w:r w:rsidRPr="00261B7A">
              <w:rPr>
                <w:rFonts w:cs="Calibri"/>
                <w:szCs w:val="16"/>
              </w:rPr>
              <w:t>Steep slope (&gt;24</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140014B9"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227B135"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27C61A58"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5ED5E82"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2E4F9870" w14:textId="77777777" w:rsidR="00994F64" w:rsidRPr="00261B7A" w:rsidRDefault="00994F64" w:rsidP="00501B0F">
            <w:pPr>
              <w:pStyle w:val="TableText"/>
              <w:spacing w:before="40" w:after="40"/>
              <w:jc w:val="right"/>
              <w:rPr>
                <w:rFonts w:cs="Calibri"/>
                <w:szCs w:val="16"/>
              </w:rPr>
            </w:pPr>
          </w:p>
        </w:tc>
      </w:tr>
      <w:tr w:rsidR="00994F64" w:rsidRPr="00261B7A" w14:paraId="38F56362"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629BBF3B" w14:textId="77777777" w:rsidR="00994F64" w:rsidRPr="00261B7A" w:rsidRDefault="00994F64" w:rsidP="00501B0F">
            <w:pPr>
              <w:pStyle w:val="TableText"/>
              <w:spacing w:before="40" w:after="40"/>
              <w:rPr>
                <w:rFonts w:cs="Calibri"/>
                <w:szCs w:val="16"/>
              </w:rPr>
            </w:pPr>
            <w:r w:rsidRPr="00261B7A">
              <w:rPr>
                <w:rFonts w:cs="Calibri"/>
                <w:szCs w:val="16"/>
              </w:rPr>
              <w:t>Dairy cattle dung</w:t>
            </w:r>
          </w:p>
        </w:tc>
        <w:tc>
          <w:tcPr>
            <w:tcW w:w="1814" w:type="dxa"/>
            <w:tcBorders>
              <w:top w:val="single" w:sz="4" w:space="0" w:color="1B556B" w:themeColor="text2"/>
              <w:left w:val="nil"/>
              <w:bottom w:val="single" w:sz="4" w:space="0" w:color="1B556B" w:themeColor="text2"/>
              <w:right w:val="nil"/>
            </w:tcBorders>
          </w:tcPr>
          <w:p w14:paraId="0C042450" w14:textId="77777777" w:rsidR="00994F64" w:rsidRPr="00261B7A" w:rsidRDefault="00994F64" w:rsidP="00501B0F">
            <w:pPr>
              <w:pStyle w:val="TableText"/>
              <w:spacing w:before="40" w:after="40"/>
              <w:rPr>
                <w:rFonts w:cs="Calibri"/>
                <w:szCs w:val="16"/>
              </w:rPr>
            </w:pPr>
            <w:r w:rsidRPr="00261B7A">
              <w:rPr>
                <w:rFonts w:cs="Calibri"/>
                <w:szCs w:val="16"/>
              </w:rPr>
              <w:t>Flatland (0</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15F1B76E" w14:textId="77777777" w:rsidR="00994F64" w:rsidRPr="00261B7A" w:rsidRDefault="00994F64" w:rsidP="00501B0F">
            <w:pPr>
              <w:pStyle w:val="TableText"/>
              <w:spacing w:before="40" w:after="40"/>
              <w:jc w:val="right"/>
              <w:rPr>
                <w:rFonts w:cs="Calibri"/>
                <w:szCs w:val="16"/>
              </w:rPr>
            </w:pPr>
            <w:r w:rsidRPr="00261B7A">
              <w:rPr>
                <w:rFonts w:cs="Calibri"/>
                <w:szCs w:val="16"/>
              </w:rPr>
              <w:t>14</w:t>
            </w:r>
          </w:p>
        </w:tc>
        <w:tc>
          <w:tcPr>
            <w:tcW w:w="851" w:type="dxa"/>
            <w:tcBorders>
              <w:top w:val="single" w:sz="4" w:space="0" w:color="1B556B" w:themeColor="text2"/>
              <w:left w:val="nil"/>
              <w:bottom w:val="single" w:sz="4" w:space="0" w:color="1B556B" w:themeColor="text2"/>
              <w:right w:val="nil"/>
            </w:tcBorders>
            <w:shd w:val="clear" w:color="auto" w:fill="auto"/>
          </w:tcPr>
          <w:p w14:paraId="7516AA6F" w14:textId="77777777" w:rsidR="00994F64" w:rsidRPr="00261B7A" w:rsidRDefault="00994F64" w:rsidP="00501B0F">
            <w:pPr>
              <w:pStyle w:val="TableText"/>
              <w:spacing w:before="40" w:after="40"/>
              <w:jc w:val="right"/>
              <w:rPr>
                <w:rFonts w:cs="Calibri"/>
                <w:szCs w:val="16"/>
              </w:rPr>
            </w:pPr>
            <w:r w:rsidRPr="00261B7A">
              <w:rPr>
                <w:rFonts w:cs="Calibri"/>
                <w:szCs w:val="16"/>
              </w:rPr>
              <w:t>34</w:t>
            </w:r>
          </w:p>
        </w:tc>
        <w:tc>
          <w:tcPr>
            <w:tcW w:w="851" w:type="dxa"/>
            <w:tcBorders>
              <w:top w:val="single" w:sz="4" w:space="0" w:color="1B556B" w:themeColor="text2"/>
              <w:left w:val="nil"/>
              <w:bottom w:val="single" w:sz="4" w:space="0" w:color="1B556B" w:themeColor="text2"/>
              <w:right w:val="nil"/>
            </w:tcBorders>
            <w:shd w:val="clear" w:color="auto" w:fill="auto"/>
          </w:tcPr>
          <w:p w14:paraId="01955C5D" w14:textId="77777777" w:rsidR="00994F64" w:rsidRPr="00261B7A" w:rsidRDefault="00994F64" w:rsidP="00501B0F">
            <w:pPr>
              <w:pStyle w:val="TableText"/>
              <w:spacing w:before="40" w:after="40"/>
              <w:jc w:val="right"/>
              <w:rPr>
                <w:rFonts w:cs="Calibri"/>
                <w:szCs w:val="16"/>
              </w:rPr>
            </w:pPr>
            <w:r w:rsidRPr="00261B7A">
              <w:rPr>
                <w:rFonts w:cs="Calibri"/>
                <w:szCs w:val="16"/>
              </w:rPr>
              <w:t>36</w:t>
            </w:r>
          </w:p>
        </w:tc>
        <w:tc>
          <w:tcPr>
            <w:tcW w:w="851" w:type="dxa"/>
            <w:tcBorders>
              <w:top w:val="single" w:sz="4" w:space="0" w:color="1B556B" w:themeColor="text2"/>
              <w:left w:val="nil"/>
              <w:bottom w:val="single" w:sz="4" w:space="0" w:color="1B556B" w:themeColor="text2"/>
              <w:right w:val="nil"/>
            </w:tcBorders>
            <w:shd w:val="clear" w:color="auto" w:fill="auto"/>
          </w:tcPr>
          <w:p w14:paraId="5A050EF6"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F1BCF89" w14:textId="77777777" w:rsidR="00994F64" w:rsidRPr="00261B7A" w:rsidRDefault="00994F64" w:rsidP="00501B0F">
            <w:pPr>
              <w:pStyle w:val="TableText"/>
              <w:spacing w:before="40" w:after="40"/>
              <w:jc w:val="right"/>
              <w:rPr>
                <w:rFonts w:cs="Calibri"/>
                <w:szCs w:val="16"/>
              </w:rPr>
            </w:pPr>
            <w:r w:rsidRPr="00261B7A">
              <w:rPr>
                <w:rFonts w:cs="Calibri"/>
                <w:szCs w:val="16"/>
              </w:rPr>
              <w:t>84</w:t>
            </w:r>
          </w:p>
        </w:tc>
      </w:tr>
      <w:tr w:rsidR="00994F64" w:rsidRPr="00261B7A" w14:paraId="6BF98340"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38F26B50" w14:textId="77777777" w:rsidR="00994F64" w:rsidRPr="00261B7A" w:rsidRDefault="00994F64" w:rsidP="00501B0F">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470BA531" w14:textId="77777777" w:rsidR="00994F64" w:rsidRPr="00261B7A" w:rsidRDefault="00994F64" w:rsidP="00501B0F">
            <w:pPr>
              <w:pStyle w:val="TableText"/>
              <w:spacing w:before="40" w:after="40"/>
              <w:rPr>
                <w:rFonts w:cs="Calibri"/>
                <w:szCs w:val="16"/>
              </w:rPr>
            </w:pPr>
            <w:r w:rsidRPr="00261B7A">
              <w:rPr>
                <w:rFonts w:cs="Calibri"/>
                <w:szCs w:val="16"/>
              </w:rPr>
              <w:t>Low slope (0–12</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24CD2D6E"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E54ACA0" w14:textId="77777777" w:rsidR="00994F64" w:rsidRPr="00261B7A" w:rsidRDefault="00994F64" w:rsidP="00501B0F">
            <w:pPr>
              <w:pStyle w:val="TableText"/>
              <w:spacing w:before="40" w:after="40"/>
              <w:jc w:val="right"/>
              <w:rPr>
                <w:rFonts w:cs="Calibri"/>
                <w:szCs w:val="16"/>
              </w:rPr>
            </w:pPr>
            <w:r w:rsidRPr="00261B7A">
              <w:rPr>
                <w:rFonts w:cs="Calibri"/>
                <w:szCs w:val="16"/>
              </w:rPr>
              <w:t>26</w:t>
            </w:r>
          </w:p>
        </w:tc>
        <w:tc>
          <w:tcPr>
            <w:tcW w:w="851" w:type="dxa"/>
            <w:tcBorders>
              <w:top w:val="single" w:sz="4" w:space="0" w:color="1B556B" w:themeColor="text2"/>
              <w:left w:val="nil"/>
              <w:bottom w:val="single" w:sz="4" w:space="0" w:color="1B556B" w:themeColor="text2"/>
              <w:right w:val="nil"/>
            </w:tcBorders>
            <w:shd w:val="clear" w:color="auto" w:fill="auto"/>
          </w:tcPr>
          <w:p w14:paraId="416F63E5"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9582613"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75B99797" w14:textId="77777777" w:rsidR="00994F64" w:rsidRPr="00261B7A" w:rsidRDefault="00994F64" w:rsidP="00501B0F">
            <w:pPr>
              <w:pStyle w:val="TableText"/>
              <w:spacing w:before="40" w:after="40"/>
              <w:jc w:val="right"/>
              <w:rPr>
                <w:rFonts w:cs="Calibri"/>
                <w:szCs w:val="16"/>
              </w:rPr>
            </w:pPr>
            <w:r w:rsidRPr="00261B7A">
              <w:rPr>
                <w:rFonts w:cs="Calibri"/>
                <w:szCs w:val="16"/>
              </w:rPr>
              <w:t>46</w:t>
            </w:r>
          </w:p>
        </w:tc>
      </w:tr>
      <w:tr w:rsidR="00994F64" w:rsidRPr="00261B7A" w14:paraId="265439C7"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5E2D10C7" w14:textId="77777777" w:rsidR="00994F64" w:rsidRPr="00261B7A" w:rsidRDefault="00994F64" w:rsidP="00501B0F">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01E99D1B" w14:textId="77777777" w:rsidR="00994F64" w:rsidRPr="00261B7A" w:rsidRDefault="00994F64" w:rsidP="00501B0F">
            <w:pPr>
              <w:pStyle w:val="TableText"/>
              <w:spacing w:before="40" w:after="40"/>
              <w:rPr>
                <w:rFonts w:cs="Calibri"/>
                <w:szCs w:val="16"/>
              </w:rPr>
            </w:pPr>
            <w:r w:rsidRPr="00261B7A">
              <w:rPr>
                <w:rFonts w:cs="Calibri"/>
                <w:szCs w:val="16"/>
              </w:rPr>
              <w:t>Medium slope (12–24</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7A3CBD1E"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7301D78"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5BE7287C"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E08F71C"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8FCD3C0"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r>
      <w:tr w:rsidR="00994F64" w:rsidRPr="00261B7A" w14:paraId="320C11F6"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083956A5" w14:textId="77777777" w:rsidR="00994F64" w:rsidRPr="00261B7A" w:rsidRDefault="00994F64" w:rsidP="00501B0F">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1ABDB922" w14:textId="77777777" w:rsidR="00994F64" w:rsidRPr="00261B7A" w:rsidRDefault="00994F64" w:rsidP="00501B0F">
            <w:pPr>
              <w:pStyle w:val="TableText"/>
              <w:spacing w:before="40" w:after="40"/>
              <w:rPr>
                <w:rFonts w:cs="Calibri"/>
                <w:szCs w:val="16"/>
              </w:rPr>
            </w:pPr>
            <w:r w:rsidRPr="00261B7A">
              <w:rPr>
                <w:rFonts w:cs="Calibri"/>
                <w:szCs w:val="16"/>
              </w:rPr>
              <w:t>Steep slope (&gt;24</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7B7401DF"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2C78D4E1"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328B81CC"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2CFF4295"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7AA0EF1" w14:textId="77777777" w:rsidR="00994F64" w:rsidRPr="00261B7A" w:rsidRDefault="00994F64" w:rsidP="00501B0F">
            <w:pPr>
              <w:pStyle w:val="TableText"/>
              <w:spacing w:before="40" w:after="40"/>
              <w:jc w:val="right"/>
              <w:rPr>
                <w:rFonts w:cs="Calibri"/>
                <w:szCs w:val="16"/>
              </w:rPr>
            </w:pPr>
          </w:p>
        </w:tc>
      </w:tr>
      <w:tr w:rsidR="00994F64" w:rsidRPr="00261B7A" w14:paraId="24D251FC"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1419DF1D" w14:textId="77777777" w:rsidR="00994F64" w:rsidRPr="00261B7A" w:rsidRDefault="00994F64" w:rsidP="00501B0F">
            <w:pPr>
              <w:pStyle w:val="TableText"/>
              <w:spacing w:before="40" w:after="40"/>
              <w:rPr>
                <w:rFonts w:cs="Calibri"/>
                <w:szCs w:val="16"/>
              </w:rPr>
            </w:pPr>
            <w:r w:rsidRPr="00261B7A">
              <w:rPr>
                <w:rFonts w:cs="Calibri"/>
                <w:szCs w:val="16"/>
              </w:rPr>
              <w:t>Beef cattle urine</w:t>
            </w:r>
          </w:p>
        </w:tc>
        <w:tc>
          <w:tcPr>
            <w:tcW w:w="1814" w:type="dxa"/>
            <w:tcBorders>
              <w:top w:val="single" w:sz="4" w:space="0" w:color="1B556B" w:themeColor="text2"/>
              <w:left w:val="nil"/>
              <w:bottom w:val="single" w:sz="4" w:space="0" w:color="1B556B" w:themeColor="text2"/>
              <w:right w:val="nil"/>
            </w:tcBorders>
          </w:tcPr>
          <w:p w14:paraId="3F911FB8" w14:textId="77777777" w:rsidR="00994F64" w:rsidRPr="00261B7A" w:rsidRDefault="00994F64" w:rsidP="00501B0F">
            <w:pPr>
              <w:pStyle w:val="TableText"/>
              <w:spacing w:before="40" w:after="40"/>
              <w:rPr>
                <w:rFonts w:cs="Calibri"/>
                <w:szCs w:val="16"/>
              </w:rPr>
            </w:pPr>
            <w:r w:rsidRPr="00261B7A">
              <w:rPr>
                <w:rFonts w:cs="Calibri"/>
                <w:szCs w:val="16"/>
              </w:rPr>
              <w:t>Flatland (0</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3D7ABAEC"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2861CAD9" w14:textId="77777777" w:rsidR="00994F64" w:rsidRPr="00261B7A" w:rsidRDefault="00994F64" w:rsidP="00501B0F">
            <w:pPr>
              <w:pStyle w:val="TableText"/>
              <w:spacing w:before="40" w:after="40"/>
              <w:jc w:val="right"/>
              <w:rPr>
                <w:rFonts w:cs="Calibri"/>
                <w:szCs w:val="16"/>
              </w:rPr>
            </w:pPr>
            <w:r w:rsidRPr="00261B7A">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4AAFBBE0"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2C7606F"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5CB56EB" w14:textId="77777777" w:rsidR="00994F64" w:rsidRPr="00261B7A" w:rsidRDefault="00994F64" w:rsidP="00501B0F">
            <w:pPr>
              <w:pStyle w:val="TableText"/>
              <w:spacing w:before="40" w:after="40"/>
              <w:jc w:val="right"/>
              <w:rPr>
                <w:rFonts w:cs="Calibri"/>
                <w:szCs w:val="16"/>
              </w:rPr>
            </w:pPr>
            <w:r w:rsidRPr="00261B7A">
              <w:rPr>
                <w:rFonts w:cs="Calibri"/>
                <w:szCs w:val="16"/>
              </w:rPr>
              <w:t>8</w:t>
            </w:r>
          </w:p>
        </w:tc>
      </w:tr>
      <w:tr w:rsidR="00994F64" w:rsidRPr="00261B7A" w14:paraId="22575BE8"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339FF781" w14:textId="77777777" w:rsidR="00994F64" w:rsidRPr="00261B7A" w:rsidRDefault="00994F64" w:rsidP="00501B0F">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1AE6EA3B" w14:textId="77777777" w:rsidR="00994F64" w:rsidRPr="00261B7A" w:rsidRDefault="00994F64" w:rsidP="00501B0F">
            <w:pPr>
              <w:pStyle w:val="TableText"/>
              <w:spacing w:before="40" w:after="40"/>
              <w:rPr>
                <w:rFonts w:cs="Calibri"/>
                <w:szCs w:val="16"/>
              </w:rPr>
            </w:pPr>
            <w:r w:rsidRPr="00261B7A">
              <w:rPr>
                <w:rFonts w:cs="Calibri"/>
                <w:szCs w:val="16"/>
              </w:rPr>
              <w:t>Low slope (0–12</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27B48F29"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4E4D470"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69B69D88"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1DC66A3C"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5FE654FD" w14:textId="77777777" w:rsidR="00994F64" w:rsidRPr="00261B7A" w:rsidRDefault="00994F64" w:rsidP="00501B0F">
            <w:pPr>
              <w:pStyle w:val="TableText"/>
              <w:spacing w:before="40" w:after="40"/>
              <w:jc w:val="right"/>
              <w:rPr>
                <w:rFonts w:cs="Calibri"/>
                <w:szCs w:val="16"/>
              </w:rPr>
            </w:pPr>
            <w:r w:rsidRPr="00261B7A">
              <w:rPr>
                <w:rFonts w:cs="Calibri"/>
                <w:szCs w:val="16"/>
              </w:rPr>
              <w:t>40</w:t>
            </w:r>
          </w:p>
        </w:tc>
      </w:tr>
      <w:tr w:rsidR="00994F64" w:rsidRPr="00261B7A" w14:paraId="76D65BCA"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0C6D9FA3" w14:textId="77777777" w:rsidR="00994F64" w:rsidRPr="00261B7A" w:rsidRDefault="00994F64" w:rsidP="00501B0F">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6491E736" w14:textId="77777777" w:rsidR="00994F64" w:rsidRPr="00261B7A" w:rsidRDefault="00994F64" w:rsidP="00501B0F">
            <w:pPr>
              <w:pStyle w:val="TableText"/>
              <w:spacing w:before="40" w:after="40"/>
              <w:rPr>
                <w:rFonts w:cs="Calibri"/>
                <w:szCs w:val="16"/>
              </w:rPr>
            </w:pPr>
            <w:r w:rsidRPr="00261B7A">
              <w:rPr>
                <w:rFonts w:cs="Calibri"/>
                <w:szCs w:val="16"/>
              </w:rPr>
              <w:t>Medium slope (12–24</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4C5FE8E5" w14:textId="77777777" w:rsidR="00994F64" w:rsidRPr="00261B7A" w:rsidRDefault="00994F64" w:rsidP="00501B0F">
            <w:pPr>
              <w:pStyle w:val="TableText"/>
              <w:spacing w:before="40" w:after="40"/>
              <w:jc w:val="right"/>
              <w:rPr>
                <w:rFonts w:cs="Calibri"/>
                <w:szCs w:val="16"/>
              </w:rPr>
            </w:pPr>
            <w:r w:rsidRPr="00261B7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167670B6" w14:textId="77777777" w:rsidR="00994F64" w:rsidRPr="00261B7A" w:rsidRDefault="00994F64" w:rsidP="00501B0F">
            <w:pPr>
              <w:pStyle w:val="TableText"/>
              <w:spacing w:before="40" w:after="40"/>
              <w:jc w:val="right"/>
              <w:rPr>
                <w:rFonts w:cs="Calibri"/>
                <w:szCs w:val="16"/>
              </w:rPr>
            </w:pPr>
            <w:r w:rsidRPr="00261B7A">
              <w:rPr>
                <w:rFonts w:cs="Calibri"/>
                <w:szCs w:val="16"/>
              </w:rPr>
              <w:t>30</w:t>
            </w:r>
          </w:p>
        </w:tc>
        <w:tc>
          <w:tcPr>
            <w:tcW w:w="851" w:type="dxa"/>
            <w:tcBorders>
              <w:top w:val="single" w:sz="4" w:space="0" w:color="1B556B" w:themeColor="text2"/>
              <w:left w:val="nil"/>
              <w:bottom w:val="single" w:sz="4" w:space="0" w:color="1B556B" w:themeColor="text2"/>
              <w:right w:val="nil"/>
            </w:tcBorders>
            <w:shd w:val="clear" w:color="auto" w:fill="auto"/>
          </w:tcPr>
          <w:p w14:paraId="58CEAF96"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C32F38C"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19B60479" w14:textId="77777777" w:rsidR="00994F64" w:rsidRPr="00261B7A" w:rsidRDefault="00994F64" w:rsidP="00501B0F">
            <w:pPr>
              <w:pStyle w:val="TableText"/>
              <w:spacing w:before="40" w:after="40"/>
              <w:jc w:val="right"/>
              <w:rPr>
                <w:rFonts w:cs="Calibri"/>
                <w:szCs w:val="16"/>
              </w:rPr>
            </w:pPr>
            <w:r w:rsidRPr="00261B7A">
              <w:rPr>
                <w:rFonts w:cs="Calibri"/>
                <w:szCs w:val="16"/>
              </w:rPr>
              <w:t>60</w:t>
            </w:r>
          </w:p>
        </w:tc>
      </w:tr>
      <w:tr w:rsidR="00994F64" w:rsidRPr="00261B7A" w14:paraId="2EEB01F3"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188C3950" w14:textId="77777777" w:rsidR="00994F64" w:rsidRPr="00261B7A" w:rsidRDefault="00994F64" w:rsidP="00501B0F">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567F7F50" w14:textId="77777777" w:rsidR="00994F64" w:rsidRPr="00261B7A" w:rsidRDefault="00994F64" w:rsidP="00501B0F">
            <w:pPr>
              <w:pStyle w:val="TableText"/>
              <w:spacing w:before="40" w:after="40"/>
              <w:rPr>
                <w:rFonts w:cs="Calibri"/>
                <w:szCs w:val="16"/>
              </w:rPr>
            </w:pPr>
            <w:r w:rsidRPr="00261B7A">
              <w:rPr>
                <w:rFonts w:cs="Calibri"/>
                <w:szCs w:val="16"/>
              </w:rPr>
              <w:t>Steep slope (&gt;24</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74440450" w14:textId="77777777" w:rsidR="00994F64" w:rsidRPr="00261B7A" w:rsidRDefault="00994F64" w:rsidP="00501B0F">
            <w:pPr>
              <w:pStyle w:val="TableText"/>
              <w:spacing w:before="40" w:after="40"/>
              <w:jc w:val="right"/>
              <w:rPr>
                <w:rFonts w:cs="Calibri"/>
                <w:szCs w:val="16"/>
              </w:rPr>
            </w:pPr>
            <w:r w:rsidRPr="00261B7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7066729C" w14:textId="77777777" w:rsidR="00994F64" w:rsidRPr="00261B7A" w:rsidRDefault="00994F64" w:rsidP="00501B0F">
            <w:pPr>
              <w:pStyle w:val="TableText"/>
              <w:spacing w:before="40" w:after="40"/>
              <w:jc w:val="right"/>
              <w:rPr>
                <w:rFonts w:cs="Calibri"/>
                <w:szCs w:val="16"/>
              </w:rPr>
            </w:pPr>
            <w:r w:rsidRPr="00261B7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2547CD20"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E95013E"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55D7F57"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r>
      <w:tr w:rsidR="00994F64" w:rsidRPr="00261B7A" w14:paraId="13262641"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08B69CD9" w14:textId="77777777" w:rsidR="00994F64" w:rsidRPr="00261B7A" w:rsidRDefault="00994F64" w:rsidP="00501B0F">
            <w:pPr>
              <w:pStyle w:val="TableText"/>
              <w:spacing w:before="40" w:after="40"/>
              <w:rPr>
                <w:rFonts w:cs="Calibri"/>
                <w:szCs w:val="16"/>
              </w:rPr>
            </w:pPr>
            <w:r w:rsidRPr="00261B7A">
              <w:rPr>
                <w:rFonts w:cs="Calibri"/>
                <w:szCs w:val="16"/>
              </w:rPr>
              <w:t>Beef cattle dung</w:t>
            </w:r>
          </w:p>
        </w:tc>
        <w:tc>
          <w:tcPr>
            <w:tcW w:w="1814" w:type="dxa"/>
            <w:tcBorders>
              <w:top w:val="single" w:sz="4" w:space="0" w:color="1B556B" w:themeColor="text2"/>
              <w:left w:val="nil"/>
              <w:bottom w:val="single" w:sz="4" w:space="0" w:color="1B556B" w:themeColor="text2"/>
              <w:right w:val="nil"/>
            </w:tcBorders>
          </w:tcPr>
          <w:p w14:paraId="60ABF4F1" w14:textId="77777777" w:rsidR="00994F64" w:rsidRPr="00261B7A" w:rsidRDefault="00994F64" w:rsidP="00501B0F">
            <w:pPr>
              <w:pStyle w:val="TableText"/>
              <w:spacing w:before="40" w:after="40"/>
              <w:rPr>
                <w:rFonts w:cs="Calibri"/>
                <w:szCs w:val="16"/>
              </w:rPr>
            </w:pPr>
            <w:r w:rsidRPr="00261B7A">
              <w:rPr>
                <w:rFonts w:cs="Calibri"/>
                <w:szCs w:val="16"/>
              </w:rPr>
              <w:t>Flatland (0</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3FE09FA9"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2759F5A1"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130F628"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E60401D"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1D885B60" w14:textId="77777777" w:rsidR="00994F64" w:rsidRPr="00261B7A" w:rsidRDefault="00994F64" w:rsidP="00501B0F">
            <w:pPr>
              <w:pStyle w:val="TableText"/>
              <w:spacing w:before="40" w:after="40"/>
              <w:jc w:val="right"/>
              <w:rPr>
                <w:rFonts w:cs="Calibri"/>
                <w:szCs w:val="16"/>
              </w:rPr>
            </w:pPr>
          </w:p>
        </w:tc>
      </w:tr>
      <w:tr w:rsidR="00994F64" w:rsidRPr="00261B7A" w14:paraId="2F30F79A"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39963DD1" w14:textId="77777777" w:rsidR="00994F64" w:rsidRPr="00261B7A" w:rsidRDefault="00994F64" w:rsidP="00501B0F">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53CE493A" w14:textId="77777777" w:rsidR="00994F64" w:rsidRPr="00261B7A" w:rsidRDefault="00994F64" w:rsidP="00501B0F">
            <w:pPr>
              <w:pStyle w:val="TableText"/>
              <w:spacing w:before="40" w:after="40"/>
              <w:rPr>
                <w:rFonts w:cs="Calibri"/>
                <w:szCs w:val="16"/>
              </w:rPr>
            </w:pPr>
            <w:r w:rsidRPr="00261B7A">
              <w:rPr>
                <w:rFonts w:cs="Calibri"/>
                <w:szCs w:val="16"/>
              </w:rPr>
              <w:t>Low slope (0–12</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2BDC08CB"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334A1B9A" w14:textId="77777777" w:rsidR="00994F64" w:rsidRPr="00261B7A" w:rsidRDefault="00994F64" w:rsidP="00501B0F">
            <w:pPr>
              <w:pStyle w:val="TableText"/>
              <w:spacing w:before="40" w:after="40"/>
              <w:jc w:val="right"/>
              <w:rPr>
                <w:rFonts w:cs="Calibri"/>
                <w:szCs w:val="16"/>
              </w:rPr>
            </w:pPr>
            <w:r w:rsidRPr="00261B7A">
              <w:rPr>
                <w:rFonts w:cs="Calibri"/>
                <w:szCs w:val="16"/>
              </w:rPr>
              <w:t>28</w:t>
            </w:r>
          </w:p>
        </w:tc>
        <w:tc>
          <w:tcPr>
            <w:tcW w:w="851" w:type="dxa"/>
            <w:tcBorders>
              <w:top w:val="single" w:sz="4" w:space="0" w:color="1B556B" w:themeColor="text2"/>
              <w:left w:val="nil"/>
              <w:bottom w:val="single" w:sz="4" w:space="0" w:color="1B556B" w:themeColor="text2"/>
              <w:right w:val="nil"/>
            </w:tcBorders>
            <w:shd w:val="clear" w:color="auto" w:fill="auto"/>
          </w:tcPr>
          <w:p w14:paraId="3D11C434" w14:textId="77777777" w:rsidR="00994F64" w:rsidRPr="00261B7A" w:rsidRDefault="00994F64" w:rsidP="00501B0F">
            <w:pPr>
              <w:pStyle w:val="TableText"/>
              <w:spacing w:before="40" w:after="40"/>
              <w:jc w:val="right"/>
              <w:rPr>
                <w:rFonts w:cs="Calibri"/>
                <w:szCs w:val="16"/>
              </w:rPr>
            </w:pPr>
            <w:r w:rsidRPr="00261B7A">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6DA0CFE3"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4D541EDE" w14:textId="77777777" w:rsidR="00994F64" w:rsidRPr="00261B7A" w:rsidRDefault="00994F64" w:rsidP="00501B0F">
            <w:pPr>
              <w:pStyle w:val="TableText"/>
              <w:spacing w:before="40" w:after="40"/>
              <w:jc w:val="right"/>
              <w:rPr>
                <w:rFonts w:cs="Calibri"/>
                <w:szCs w:val="16"/>
              </w:rPr>
            </w:pPr>
            <w:r w:rsidRPr="00261B7A">
              <w:rPr>
                <w:rFonts w:cs="Calibri"/>
                <w:szCs w:val="16"/>
              </w:rPr>
              <w:t>76</w:t>
            </w:r>
          </w:p>
        </w:tc>
      </w:tr>
      <w:tr w:rsidR="00994F64" w:rsidRPr="00261B7A" w14:paraId="283F7D98"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04979754" w14:textId="77777777" w:rsidR="00994F64" w:rsidRPr="00261B7A" w:rsidRDefault="00994F64" w:rsidP="00501B0F">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469536D3" w14:textId="77777777" w:rsidR="00994F64" w:rsidRPr="00261B7A" w:rsidRDefault="00994F64" w:rsidP="00501B0F">
            <w:pPr>
              <w:pStyle w:val="TableText"/>
              <w:spacing w:before="40" w:after="40"/>
              <w:rPr>
                <w:rFonts w:cs="Calibri"/>
                <w:szCs w:val="16"/>
              </w:rPr>
            </w:pPr>
            <w:r w:rsidRPr="00261B7A">
              <w:rPr>
                <w:rFonts w:cs="Calibri"/>
                <w:szCs w:val="16"/>
              </w:rPr>
              <w:t>Medium slope (12–24</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6565172A" w14:textId="77777777" w:rsidR="00994F64" w:rsidRPr="00261B7A" w:rsidRDefault="00994F64" w:rsidP="00501B0F">
            <w:pPr>
              <w:pStyle w:val="TableText"/>
              <w:spacing w:before="40" w:after="40"/>
              <w:jc w:val="right"/>
              <w:rPr>
                <w:rFonts w:cs="Calibri"/>
                <w:szCs w:val="16"/>
              </w:rPr>
            </w:pPr>
            <w:r w:rsidRPr="00261B7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72369047" w14:textId="77777777" w:rsidR="00994F64" w:rsidRPr="00261B7A" w:rsidRDefault="00994F64" w:rsidP="00501B0F">
            <w:pPr>
              <w:pStyle w:val="TableText"/>
              <w:spacing w:before="40" w:after="40"/>
              <w:jc w:val="right"/>
              <w:rPr>
                <w:rFonts w:cs="Calibri"/>
                <w:szCs w:val="16"/>
              </w:rPr>
            </w:pPr>
            <w:r w:rsidRPr="00261B7A">
              <w:rPr>
                <w:rFonts w:cs="Calibri"/>
                <w:szCs w:val="16"/>
              </w:rPr>
              <w:t>30</w:t>
            </w:r>
          </w:p>
        </w:tc>
        <w:tc>
          <w:tcPr>
            <w:tcW w:w="851" w:type="dxa"/>
            <w:tcBorders>
              <w:top w:val="single" w:sz="4" w:space="0" w:color="1B556B" w:themeColor="text2"/>
              <w:left w:val="nil"/>
              <w:bottom w:val="single" w:sz="4" w:space="0" w:color="1B556B" w:themeColor="text2"/>
              <w:right w:val="nil"/>
            </w:tcBorders>
            <w:shd w:val="clear" w:color="auto" w:fill="auto"/>
          </w:tcPr>
          <w:p w14:paraId="3249F4D2"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A41EE09"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2E55AFA1" w14:textId="77777777" w:rsidR="00994F64" w:rsidRPr="00261B7A" w:rsidRDefault="00994F64" w:rsidP="00501B0F">
            <w:pPr>
              <w:pStyle w:val="TableText"/>
              <w:spacing w:before="40" w:after="40"/>
              <w:jc w:val="right"/>
              <w:rPr>
                <w:rFonts w:cs="Calibri"/>
                <w:szCs w:val="16"/>
              </w:rPr>
            </w:pPr>
            <w:r w:rsidRPr="00261B7A">
              <w:rPr>
                <w:rFonts w:cs="Calibri"/>
                <w:szCs w:val="16"/>
              </w:rPr>
              <w:t>60</w:t>
            </w:r>
          </w:p>
        </w:tc>
      </w:tr>
      <w:tr w:rsidR="00994F64" w:rsidRPr="00261B7A" w14:paraId="3FCF03B9"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26C1FC59" w14:textId="77777777" w:rsidR="00994F64" w:rsidRPr="00261B7A" w:rsidRDefault="00994F64" w:rsidP="00501B0F">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7AFAAAC9" w14:textId="77777777" w:rsidR="00994F64" w:rsidRPr="00261B7A" w:rsidRDefault="00994F64" w:rsidP="00501B0F">
            <w:pPr>
              <w:pStyle w:val="TableText"/>
              <w:spacing w:before="40" w:after="40"/>
              <w:rPr>
                <w:rFonts w:cs="Calibri"/>
                <w:szCs w:val="16"/>
              </w:rPr>
            </w:pPr>
            <w:r w:rsidRPr="00261B7A">
              <w:rPr>
                <w:rFonts w:cs="Calibri"/>
                <w:szCs w:val="16"/>
              </w:rPr>
              <w:t>Steep slope (&gt;24</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7D76D3A8" w14:textId="77777777" w:rsidR="00994F64" w:rsidRPr="00261B7A" w:rsidRDefault="00994F64" w:rsidP="00501B0F">
            <w:pPr>
              <w:pStyle w:val="TableText"/>
              <w:spacing w:before="40" w:after="40"/>
              <w:jc w:val="right"/>
              <w:rPr>
                <w:rFonts w:cs="Calibri"/>
                <w:szCs w:val="16"/>
              </w:rPr>
            </w:pPr>
            <w:r w:rsidRPr="00261B7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52A2D0F0" w14:textId="77777777" w:rsidR="00994F64" w:rsidRPr="00261B7A" w:rsidRDefault="00994F64" w:rsidP="00501B0F">
            <w:pPr>
              <w:pStyle w:val="TableText"/>
              <w:spacing w:before="40" w:after="40"/>
              <w:jc w:val="right"/>
              <w:rPr>
                <w:rFonts w:cs="Calibri"/>
                <w:szCs w:val="16"/>
              </w:rPr>
            </w:pPr>
            <w:r w:rsidRPr="00261B7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4B36593C"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F0A28A9"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3C6E1BE"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r>
      <w:tr w:rsidR="00994F64" w:rsidRPr="00261B7A" w14:paraId="20B1CB2B"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03CEB7E9" w14:textId="77777777" w:rsidR="00994F64" w:rsidRPr="00261B7A" w:rsidRDefault="00994F64" w:rsidP="00501B0F">
            <w:pPr>
              <w:pStyle w:val="TableText"/>
              <w:spacing w:before="40" w:after="40"/>
              <w:rPr>
                <w:rFonts w:cs="Calibri"/>
                <w:szCs w:val="16"/>
              </w:rPr>
            </w:pPr>
            <w:r w:rsidRPr="00261B7A">
              <w:rPr>
                <w:rFonts w:cs="Calibri"/>
                <w:szCs w:val="16"/>
              </w:rPr>
              <w:t>Sheep urine</w:t>
            </w:r>
          </w:p>
        </w:tc>
        <w:tc>
          <w:tcPr>
            <w:tcW w:w="1814" w:type="dxa"/>
            <w:tcBorders>
              <w:top w:val="single" w:sz="4" w:space="0" w:color="1B556B" w:themeColor="text2"/>
              <w:left w:val="nil"/>
              <w:bottom w:val="single" w:sz="4" w:space="0" w:color="1B556B" w:themeColor="text2"/>
              <w:right w:val="nil"/>
            </w:tcBorders>
          </w:tcPr>
          <w:p w14:paraId="2C72281C" w14:textId="77777777" w:rsidR="00994F64" w:rsidRPr="00261B7A" w:rsidRDefault="00994F64" w:rsidP="00501B0F">
            <w:pPr>
              <w:pStyle w:val="TableText"/>
              <w:spacing w:before="40" w:after="40"/>
              <w:rPr>
                <w:rFonts w:cs="Calibri"/>
                <w:szCs w:val="16"/>
              </w:rPr>
            </w:pPr>
            <w:r w:rsidRPr="00261B7A">
              <w:rPr>
                <w:rFonts w:cs="Calibri"/>
                <w:szCs w:val="16"/>
              </w:rPr>
              <w:t>Flatland (0</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32797212" w14:textId="77777777" w:rsidR="00994F64" w:rsidRPr="00261B7A" w:rsidRDefault="00994F64" w:rsidP="00501B0F">
            <w:pPr>
              <w:pStyle w:val="TableText"/>
              <w:spacing w:before="40" w:after="40"/>
              <w:jc w:val="right"/>
              <w:rPr>
                <w:rFonts w:cs="Calibri"/>
                <w:szCs w:val="16"/>
              </w:rPr>
            </w:pPr>
            <w:r w:rsidRPr="00261B7A">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7819E358" w14:textId="77777777" w:rsidR="00994F64" w:rsidRPr="00261B7A" w:rsidRDefault="00994F64" w:rsidP="00501B0F">
            <w:pPr>
              <w:pStyle w:val="TableText"/>
              <w:spacing w:before="40" w:after="40"/>
              <w:jc w:val="right"/>
              <w:rPr>
                <w:rFonts w:cs="Calibri"/>
                <w:szCs w:val="16"/>
              </w:rPr>
            </w:pPr>
            <w:r w:rsidRPr="00261B7A">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143399C3"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1A9E8BCF"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F663FFE" w14:textId="77777777" w:rsidR="00994F64" w:rsidRPr="00261B7A" w:rsidRDefault="00994F64" w:rsidP="00501B0F">
            <w:pPr>
              <w:pStyle w:val="TableText"/>
              <w:spacing w:before="40" w:after="40"/>
              <w:jc w:val="right"/>
              <w:rPr>
                <w:rFonts w:cs="Calibri"/>
                <w:szCs w:val="16"/>
              </w:rPr>
            </w:pPr>
            <w:r w:rsidRPr="00261B7A">
              <w:rPr>
                <w:rFonts w:cs="Calibri"/>
                <w:szCs w:val="16"/>
              </w:rPr>
              <w:t>36</w:t>
            </w:r>
          </w:p>
        </w:tc>
      </w:tr>
      <w:tr w:rsidR="00994F64" w:rsidRPr="00261B7A" w14:paraId="5EDF3532"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5FCBE691" w14:textId="77777777" w:rsidR="00994F64" w:rsidRPr="00261B7A" w:rsidRDefault="00994F64" w:rsidP="00501B0F">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2C59407D" w14:textId="77777777" w:rsidR="00994F64" w:rsidRPr="00261B7A" w:rsidRDefault="00994F64" w:rsidP="00501B0F">
            <w:pPr>
              <w:pStyle w:val="TableText"/>
              <w:spacing w:before="40" w:after="40"/>
              <w:rPr>
                <w:rFonts w:cs="Calibri"/>
                <w:szCs w:val="16"/>
              </w:rPr>
            </w:pPr>
            <w:r w:rsidRPr="00261B7A">
              <w:rPr>
                <w:rFonts w:cs="Calibri"/>
                <w:szCs w:val="16"/>
              </w:rPr>
              <w:t>Low slope (0–12</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770BBFE4" w14:textId="77777777" w:rsidR="00994F64" w:rsidRPr="00261B7A" w:rsidRDefault="00994F64" w:rsidP="00501B0F">
            <w:pPr>
              <w:pStyle w:val="TableText"/>
              <w:spacing w:before="40" w:after="40"/>
              <w:jc w:val="right"/>
              <w:rPr>
                <w:rFonts w:cs="Calibri"/>
                <w:szCs w:val="16"/>
              </w:rPr>
            </w:pPr>
            <w:r w:rsidRPr="00261B7A">
              <w:rPr>
                <w:rFonts w:cs="Calibri"/>
                <w:szCs w:val="16"/>
              </w:rPr>
              <w:t>24</w:t>
            </w:r>
          </w:p>
        </w:tc>
        <w:tc>
          <w:tcPr>
            <w:tcW w:w="851" w:type="dxa"/>
            <w:tcBorders>
              <w:top w:val="single" w:sz="4" w:space="0" w:color="1B556B" w:themeColor="text2"/>
              <w:left w:val="nil"/>
              <w:bottom w:val="single" w:sz="4" w:space="0" w:color="1B556B" w:themeColor="text2"/>
              <w:right w:val="nil"/>
            </w:tcBorders>
            <w:shd w:val="clear" w:color="auto" w:fill="auto"/>
          </w:tcPr>
          <w:p w14:paraId="18CD8EC8"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20EB595D" w14:textId="77777777" w:rsidR="00994F64" w:rsidRPr="00261B7A" w:rsidRDefault="00994F64" w:rsidP="00501B0F">
            <w:pPr>
              <w:pStyle w:val="TableText"/>
              <w:spacing w:before="40" w:after="40"/>
              <w:jc w:val="right"/>
              <w:rPr>
                <w:rFonts w:cs="Calibri"/>
                <w:szCs w:val="16"/>
              </w:rPr>
            </w:pPr>
            <w:r w:rsidRPr="00261B7A">
              <w:rPr>
                <w:rFonts w:cs="Calibri"/>
                <w:szCs w:val="16"/>
              </w:rPr>
              <w:t>44</w:t>
            </w:r>
          </w:p>
        </w:tc>
        <w:tc>
          <w:tcPr>
            <w:tcW w:w="851" w:type="dxa"/>
            <w:tcBorders>
              <w:top w:val="single" w:sz="4" w:space="0" w:color="1B556B" w:themeColor="text2"/>
              <w:left w:val="nil"/>
              <w:bottom w:val="single" w:sz="4" w:space="0" w:color="1B556B" w:themeColor="text2"/>
              <w:right w:val="nil"/>
            </w:tcBorders>
            <w:shd w:val="clear" w:color="auto" w:fill="auto"/>
          </w:tcPr>
          <w:p w14:paraId="7FCFFBEE"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900CDAC" w14:textId="77777777" w:rsidR="00994F64" w:rsidRPr="00261B7A" w:rsidRDefault="00994F64" w:rsidP="00501B0F">
            <w:pPr>
              <w:pStyle w:val="TableText"/>
              <w:spacing w:before="40" w:after="40"/>
              <w:jc w:val="right"/>
              <w:rPr>
                <w:rFonts w:cs="Calibri"/>
                <w:szCs w:val="16"/>
              </w:rPr>
            </w:pPr>
            <w:r w:rsidRPr="00261B7A">
              <w:rPr>
                <w:rFonts w:cs="Calibri"/>
                <w:szCs w:val="16"/>
              </w:rPr>
              <w:t>68</w:t>
            </w:r>
          </w:p>
        </w:tc>
      </w:tr>
      <w:tr w:rsidR="00994F64" w:rsidRPr="00261B7A" w14:paraId="1790A66B"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3408A6B7" w14:textId="77777777" w:rsidR="00994F64" w:rsidRPr="00261B7A" w:rsidRDefault="00994F64" w:rsidP="00501B0F">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4AF0955E" w14:textId="77777777" w:rsidR="00994F64" w:rsidRPr="00261B7A" w:rsidRDefault="00994F64" w:rsidP="00501B0F">
            <w:pPr>
              <w:pStyle w:val="TableText"/>
              <w:spacing w:before="40" w:after="40"/>
              <w:rPr>
                <w:rFonts w:cs="Calibri"/>
                <w:szCs w:val="16"/>
              </w:rPr>
            </w:pPr>
            <w:r w:rsidRPr="00261B7A">
              <w:rPr>
                <w:rFonts w:cs="Calibri"/>
                <w:szCs w:val="16"/>
              </w:rPr>
              <w:t>Medium slope (12–24</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0A9F1DA7" w14:textId="77777777" w:rsidR="00994F64" w:rsidRPr="00261B7A" w:rsidRDefault="00994F64" w:rsidP="00501B0F">
            <w:pPr>
              <w:pStyle w:val="TableText"/>
              <w:spacing w:before="40" w:after="40"/>
              <w:jc w:val="right"/>
              <w:rPr>
                <w:rFonts w:cs="Calibri"/>
                <w:szCs w:val="16"/>
              </w:rPr>
            </w:pPr>
            <w:r w:rsidRPr="00261B7A">
              <w:rPr>
                <w:rFonts w:cs="Calibri"/>
                <w:szCs w:val="16"/>
              </w:rPr>
              <w:t>30</w:t>
            </w:r>
          </w:p>
        </w:tc>
        <w:tc>
          <w:tcPr>
            <w:tcW w:w="851" w:type="dxa"/>
            <w:tcBorders>
              <w:top w:val="single" w:sz="4" w:space="0" w:color="1B556B" w:themeColor="text2"/>
              <w:left w:val="nil"/>
              <w:bottom w:val="single" w:sz="4" w:space="0" w:color="1B556B" w:themeColor="text2"/>
              <w:right w:val="nil"/>
            </w:tcBorders>
            <w:shd w:val="clear" w:color="auto" w:fill="auto"/>
          </w:tcPr>
          <w:p w14:paraId="154155BB" w14:textId="77777777" w:rsidR="00994F64" w:rsidRPr="00261B7A" w:rsidRDefault="00994F64" w:rsidP="00501B0F">
            <w:pPr>
              <w:pStyle w:val="TableText"/>
              <w:spacing w:before="40" w:after="40"/>
              <w:jc w:val="right"/>
              <w:rPr>
                <w:rFonts w:cs="Calibri"/>
                <w:szCs w:val="16"/>
              </w:rPr>
            </w:pPr>
            <w:r w:rsidRPr="00261B7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0682940B"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5A762ACF"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255259D" w14:textId="77777777" w:rsidR="00994F64" w:rsidRPr="00261B7A" w:rsidRDefault="00994F64" w:rsidP="00501B0F">
            <w:pPr>
              <w:pStyle w:val="TableText"/>
              <w:spacing w:before="40" w:after="40"/>
              <w:jc w:val="right"/>
              <w:rPr>
                <w:rFonts w:cs="Calibri"/>
                <w:szCs w:val="16"/>
              </w:rPr>
            </w:pPr>
            <w:r w:rsidRPr="00261B7A">
              <w:rPr>
                <w:rFonts w:cs="Calibri"/>
                <w:szCs w:val="16"/>
              </w:rPr>
              <w:t>60</w:t>
            </w:r>
          </w:p>
        </w:tc>
      </w:tr>
      <w:tr w:rsidR="00994F64" w:rsidRPr="00261B7A" w14:paraId="761BEF1F"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234D1B0F" w14:textId="77777777" w:rsidR="00994F64" w:rsidRPr="00261B7A" w:rsidRDefault="00994F64" w:rsidP="00501B0F">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6013E42A" w14:textId="77777777" w:rsidR="00994F64" w:rsidRPr="00261B7A" w:rsidRDefault="00994F64" w:rsidP="00501B0F">
            <w:pPr>
              <w:pStyle w:val="TableText"/>
              <w:spacing w:before="40" w:after="40"/>
              <w:rPr>
                <w:rFonts w:cs="Calibri"/>
                <w:szCs w:val="16"/>
              </w:rPr>
            </w:pPr>
            <w:r w:rsidRPr="00261B7A">
              <w:rPr>
                <w:rFonts w:cs="Calibri"/>
                <w:szCs w:val="16"/>
              </w:rPr>
              <w:t>Steep slope (&gt;24</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762517AA" w14:textId="77777777" w:rsidR="00994F64" w:rsidRPr="00261B7A" w:rsidRDefault="00994F64" w:rsidP="00501B0F">
            <w:pPr>
              <w:pStyle w:val="TableText"/>
              <w:spacing w:before="40" w:after="40"/>
              <w:jc w:val="right"/>
              <w:rPr>
                <w:rFonts w:cs="Calibri"/>
                <w:szCs w:val="16"/>
              </w:rPr>
            </w:pPr>
            <w:r w:rsidRPr="00261B7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0809D0FE" w14:textId="77777777" w:rsidR="00994F64" w:rsidRPr="00261B7A" w:rsidRDefault="00994F64" w:rsidP="00501B0F">
            <w:pPr>
              <w:pStyle w:val="TableText"/>
              <w:spacing w:before="40" w:after="40"/>
              <w:jc w:val="right"/>
              <w:rPr>
                <w:rFonts w:cs="Calibri"/>
                <w:szCs w:val="16"/>
              </w:rPr>
            </w:pPr>
            <w:r w:rsidRPr="00261B7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7BA35A0A"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4C2338F"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940CD96"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r>
      <w:tr w:rsidR="00994F64" w:rsidRPr="00261B7A" w14:paraId="3F1135DB"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28B16D3A" w14:textId="77777777" w:rsidR="00994F64" w:rsidRPr="00261B7A" w:rsidRDefault="00994F64" w:rsidP="00501B0F">
            <w:pPr>
              <w:pStyle w:val="TableText"/>
              <w:spacing w:before="40" w:after="40"/>
              <w:rPr>
                <w:rFonts w:cs="Calibri"/>
                <w:szCs w:val="16"/>
              </w:rPr>
            </w:pPr>
            <w:r w:rsidRPr="00261B7A">
              <w:rPr>
                <w:rFonts w:cs="Calibri"/>
                <w:szCs w:val="16"/>
              </w:rPr>
              <w:t>Sheep dung</w:t>
            </w:r>
          </w:p>
        </w:tc>
        <w:tc>
          <w:tcPr>
            <w:tcW w:w="1814" w:type="dxa"/>
            <w:tcBorders>
              <w:top w:val="single" w:sz="4" w:space="0" w:color="1B556B" w:themeColor="text2"/>
              <w:left w:val="nil"/>
              <w:bottom w:val="single" w:sz="4" w:space="0" w:color="1B556B" w:themeColor="text2"/>
              <w:right w:val="nil"/>
            </w:tcBorders>
          </w:tcPr>
          <w:p w14:paraId="39B81260" w14:textId="77777777" w:rsidR="00994F64" w:rsidRPr="00261B7A" w:rsidRDefault="00994F64" w:rsidP="00501B0F">
            <w:pPr>
              <w:pStyle w:val="TableText"/>
              <w:spacing w:before="40" w:after="40"/>
              <w:rPr>
                <w:rFonts w:cs="Calibri"/>
                <w:szCs w:val="16"/>
              </w:rPr>
            </w:pPr>
            <w:r w:rsidRPr="00261B7A">
              <w:rPr>
                <w:rFonts w:cs="Calibri"/>
                <w:szCs w:val="16"/>
              </w:rPr>
              <w:t>Flatland (0</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65A5D194" w14:textId="77777777" w:rsidR="00994F64" w:rsidRPr="00261B7A" w:rsidRDefault="00994F64" w:rsidP="00501B0F">
            <w:pPr>
              <w:pStyle w:val="TableText"/>
              <w:spacing w:before="40" w:after="40"/>
              <w:jc w:val="right"/>
              <w:rPr>
                <w:rFonts w:cs="Calibri"/>
                <w:szCs w:val="16"/>
              </w:rPr>
            </w:pPr>
            <w:r w:rsidRPr="00261B7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2565F967" w14:textId="77777777" w:rsidR="00994F64" w:rsidRPr="00261B7A" w:rsidRDefault="00994F64" w:rsidP="00501B0F">
            <w:pPr>
              <w:pStyle w:val="TableText"/>
              <w:spacing w:before="40" w:after="40"/>
              <w:jc w:val="right"/>
              <w:rPr>
                <w:rFonts w:cs="Calibri"/>
                <w:szCs w:val="16"/>
              </w:rPr>
            </w:pPr>
            <w:r w:rsidRPr="00261B7A">
              <w:rPr>
                <w:rFonts w:cs="Calibri"/>
                <w:szCs w:val="16"/>
              </w:rPr>
              <w:t>16</w:t>
            </w:r>
          </w:p>
        </w:tc>
        <w:tc>
          <w:tcPr>
            <w:tcW w:w="851" w:type="dxa"/>
            <w:tcBorders>
              <w:top w:val="single" w:sz="4" w:space="0" w:color="1B556B" w:themeColor="text2"/>
              <w:left w:val="nil"/>
              <w:bottom w:val="single" w:sz="4" w:space="0" w:color="1B556B" w:themeColor="text2"/>
              <w:right w:val="nil"/>
            </w:tcBorders>
            <w:shd w:val="clear" w:color="auto" w:fill="auto"/>
          </w:tcPr>
          <w:p w14:paraId="541DA7B4" w14:textId="77777777" w:rsidR="00994F64" w:rsidRPr="00261B7A" w:rsidRDefault="00994F64" w:rsidP="00501B0F">
            <w:pPr>
              <w:pStyle w:val="TableText"/>
              <w:spacing w:before="40" w:after="40"/>
              <w:jc w:val="right"/>
              <w:rPr>
                <w:rFonts w:cs="Calibri"/>
                <w:szCs w:val="16"/>
              </w:rPr>
            </w:pPr>
            <w:r w:rsidRPr="00261B7A">
              <w:rPr>
                <w:rFonts w:cs="Calibri"/>
                <w:szCs w:val="16"/>
              </w:rPr>
              <w:t>28</w:t>
            </w:r>
          </w:p>
        </w:tc>
        <w:tc>
          <w:tcPr>
            <w:tcW w:w="851" w:type="dxa"/>
            <w:tcBorders>
              <w:top w:val="single" w:sz="4" w:space="0" w:color="1B556B" w:themeColor="text2"/>
              <w:left w:val="nil"/>
              <w:bottom w:val="single" w:sz="4" w:space="0" w:color="1B556B" w:themeColor="text2"/>
              <w:right w:val="nil"/>
            </w:tcBorders>
            <w:shd w:val="clear" w:color="auto" w:fill="auto"/>
          </w:tcPr>
          <w:p w14:paraId="10B78294"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B19279A" w14:textId="77777777" w:rsidR="00994F64" w:rsidRPr="00261B7A" w:rsidRDefault="00994F64" w:rsidP="00501B0F">
            <w:pPr>
              <w:pStyle w:val="TableText"/>
              <w:spacing w:before="40" w:after="40"/>
              <w:jc w:val="right"/>
              <w:rPr>
                <w:rFonts w:cs="Calibri"/>
                <w:szCs w:val="16"/>
              </w:rPr>
            </w:pPr>
            <w:r w:rsidRPr="00261B7A">
              <w:rPr>
                <w:rFonts w:cs="Calibri"/>
                <w:szCs w:val="16"/>
              </w:rPr>
              <w:t>54</w:t>
            </w:r>
          </w:p>
        </w:tc>
      </w:tr>
      <w:tr w:rsidR="00994F64" w:rsidRPr="00261B7A" w14:paraId="3177A90F"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124BF697" w14:textId="77777777" w:rsidR="00994F64" w:rsidRPr="00261B7A" w:rsidRDefault="00994F64" w:rsidP="00501B0F">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073FC524" w14:textId="77777777" w:rsidR="00994F64" w:rsidRPr="00261B7A" w:rsidRDefault="00994F64" w:rsidP="00501B0F">
            <w:pPr>
              <w:pStyle w:val="TableText"/>
              <w:spacing w:before="40" w:after="40"/>
              <w:rPr>
                <w:rFonts w:cs="Calibri"/>
                <w:szCs w:val="16"/>
              </w:rPr>
            </w:pPr>
            <w:r w:rsidRPr="00261B7A">
              <w:rPr>
                <w:rFonts w:cs="Calibri"/>
                <w:szCs w:val="16"/>
              </w:rPr>
              <w:t>Low slope (0–12</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347AB817"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62F5252B" w14:textId="77777777" w:rsidR="00994F64" w:rsidRPr="00261B7A" w:rsidRDefault="00994F64" w:rsidP="00501B0F">
            <w:pPr>
              <w:pStyle w:val="TableText"/>
              <w:spacing w:before="40" w:after="40"/>
              <w:jc w:val="right"/>
              <w:rPr>
                <w:rFonts w:cs="Calibri"/>
                <w:szCs w:val="16"/>
              </w:rPr>
            </w:pPr>
            <w:r w:rsidRPr="00261B7A">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719FC227" w14:textId="77777777" w:rsidR="00994F64" w:rsidRPr="00261B7A" w:rsidRDefault="00994F64" w:rsidP="00501B0F">
            <w:pPr>
              <w:pStyle w:val="TableText"/>
              <w:spacing w:before="40" w:after="40"/>
              <w:jc w:val="right"/>
              <w:rPr>
                <w:rFonts w:cs="Calibri"/>
                <w:szCs w:val="16"/>
              </w:rPr>
            </w:pPr>
            <w:r w:rsidRPr="00261B7A">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18E842B7"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2154135D" w14:textId="77777777" w:rsidR="00994F64" w:rsidRPr="00261B7A" w:rsidRDefault="00994F64" w:rsidP="00501B0F">
            <w:pPr>
              <w:pStyle w:val="TableText"/>
              <w:spacing w:before="40" w:after="40"/>
              <w:jc w:val="right"/>
              <w:rPr>
                <w:rFonts w:cs="Calibri"/>
                <w:szCs w:val="16"/>
              </w:rPr>
            </w:pPr>
            <w:r w:rsidRPr="00261B7A">
              <w:rPr>
                <w:rFonts w:cs="Calibri"/>
                <w:szCs w:val="16"/>
              </w:rPr>
              <w:t>36</w:t>
            </w:r>
          </w:p>
        </w:tc>
      </w:tr>
      <w:tr w:rsidR="00994F64" w:rsidRPr="00261B7A" w14:paraId="157EDA9F"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569D68DC" w14:textId="77777777" w:rsidR="00994F64" w:rsidRPr="00261B7A" w:rsidRDefault="00994F64" w:rsidP="00501B0F">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6FCC938A" w14:textId="77777777" w:rsidR="00994F64" w:rsidRPr="00261B7A" w:rsidRDefault="00994F64" w:rsidP="00501B0F">
            <w:pPr>
              <w:pStyle w:val="TableText"/>
              <w:spacing w:before="40" w:after="40"/>
              <w:rPr>
                <w:rFonts w:cs="Calibri"/>
                <w:szCs w:val="16"/>
              </w:rPr>
            </w:pPr>
            <w:r w:rsidRPr="00261B7A">
              <w:rPr>
                <w:rFonts w:cs="Calibri"/>
                <w:szCs w:val="16"/>
              </w:rPr>
              <w:t>Medium slope (12–24</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16450A40" w14:textId="77777777" w:rsidR="00994F64" w:rsidRPr="00261B7A" w:rsidRDefault="00994F64" w:rsidP="00501B0F">
            <w:pPr>
              <w:pStyle w:val="TableText"/>
              <w:spacing w:before="40" w:after="40"/>
              <w:jc w:val="right"/>
              <w:rPr>
                <w:rFonts w:cs="Calibri"/>
                <w:szCs w:val="16"/>
              </w:rPr>
            </w:pPr>
            <w:r w:rsidRPr="00261B7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71A6E920" w14:textId="77777777" w:rsidR="00994F64" w:rsidRPr="00261B7A" w:rsidRDefault="00994F64" w:rsidP="00501B0F">
            <w:pPr>
              <w:pStyle w:val="TableText"/>
              <w:spacing w:before="40" w:after="40"/>
              <w:jc w:val="right"/>
              <w:rPr>
                <w:rFonts w:cs="Calibri"/>
                <w:szCs w:val="16"/>
              </w:rPr>
            </w:pPr>
            <w:r w:rsidRPr="00261B7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2B4A7374"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23BE24F"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2E65E13E"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r>
      <w:tr w:rsidR="00994F64" w:rsidRPr="00261B7A" w14:paraId="0CA92E1D"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3E95CA19" w14:textId="77777777" w:rsidR="00994F64" w:rsidRPr="00261B7A" w:rsidRDefault="00994F64" w:rsidP="00501B0F">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1376EDBD" w14:textId="77777777" w:rsidR="00994F64" w:rsidRPr="00261B7A" w:rsidRDefault="00994F64" w:rsidP="00501B0F">
            <w:pPr>
              <w:pStyle w:val="TableText"/>
              <w:spacing w:before="40" w:after="40"/>
              <w:rPr>
                <w:rFonts w:cs="Calibri"/>
                <w:szCs w:val="16"/>
              </w:rPr>
            </w:pPr>
            <w:r w:rsidRPr="00261B7A">
              <w:rPr>
                <w:rFonts w:cs="Calibri"/>
                <w:szCs w:val="16"/>
              </w:rPr>
              <w:t>Steep slope (&gt;24</w:t>
            </w:r>
            <w:r w:rsidRPr="00261B7A">
              <w:rPr>
                <w:rFonts w:cs="Calibri"/>
                <w:szCs w:val="16"/>
                <w:vertAlign w:val="superscript"/>
              </w:rPr>
              <w:t>o</w:t>
            </w:r>
            <w:r w:rsidRPr="00261B7A">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548B182B" w14:textId="77777777" w:rsidR="00994F64" w:rsidRPr="00261B7A" w:rsidRDefault="00994F64" w:rsidP="00501B0F">
            <w:pPr>
              <w:pStyle w:val="TableText"/>
              <w:spacing w:before="40" w:after="40"/>
              <w:jc w:val="right"/>
              <w:rPr>
                <w:rFonts w:cs="Calibri"/>
                <w:szCs w:val="16"/>
              </w:rPr>
            </w:pPr>
            <w:r w:rsidRPr="00261B7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772AFF69" w14:textId="77777777" w:rsidR="00994F64" w:rsidRPr="00261B7A" w:rsidRDefault="00994F64" w:rsidP="00501B0F">
            <w:pPr>
              <w:pStyle w:val="TableText"/>
              <w:spacing w:before="40" w:after="40"/>
              <w:jc w:val="right"/>
              <w:rPr>
                <w:rFonts w:cs="Calibri"/>
                <w:szCs w:val="16"/>
              </w:rPr>
            </w:pPr>
            <w:r w:rsidRPr="00261B7A">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47955E86"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8580C6D" w14:textId="77777777" w:rsidR="00994F64" w:rsidRPr="00261B7A" w:rsidRDefault="00994F64" w:rsidP="00501B0F">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4E191F4" w14:textId="77777777" w:rsidR="00994F64" w:rsidRPr="00261B7A" w:rsidRDefault="00994F64" w:rsidP="00501B0F">
            <w:pPr>
              <w:pStyle w:val="TableText"/>
              <w:spacing w:before="40" w:after="40"/>
              <w:jc w:val="right"/>
              <w:rPr>
                <w:rFonts w:cs="Calibri"/>
                <w:szCs w:val="16"/>
              </w:rPr>
            </w:pPr>
            <w:r w:rsidRPr="00261B7A">
              <w:rPr>
                <w:rFonts w:cs="Calibri"/>
                <w:szCs w:val="16"/>
              </w:rPr>
              <w:t>20</w:t>
            </w:r>
          </w:p>
        </w:tc>
      </w:tr>
      <w:tr w:rsidR="00994F64" w:rsidRPr="00261B7A" w14:paraId="279C14B9"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515AB460" w14:textId="77777777" w:rsidR="00994F64" w:rsidRPr="00261B7A" w:rsidRDefault="00994F64" w:rsidP="00501B0F">
            <w:pPr>
              <w:pStyle w:val="Tableboldblue"/>
              <w:spacing w:before="40" w:after="40"/>
              <w:rPr>
                <w:rFonts w:cs="Calibri"/>
                <w:color w:val="1B556B"/>
                <w:szCs w:val="16"/>
              </w:rPr>
            </w:pPr>
            <w:r w:rsidRPr="00261B7A">
              <w:rPr>
                <w:rFonts w:cs="Calibri"/>
                <w:color w:val="1B556B"/>
                <w:szCs w:val="16"/>
              </w:rPr>
              <w:t>Total urine</w:t>
            </w:r>
          </w:p>
        </w:tc>
        <w:tc>
          <w:tcPr>
            <w:tcW w:w="1814" w:type="dxa"/>
            <w:tcBorders>
              <w:top w:val="single" w:sz="4" w:space="0" w:color="1B556B" w:themeColor="text2"/>
              <w:left w:val="nil"/>
              <w:bottom w:val="single" w:sz="4" w:space="0" w:color="1B556B" w:themeColor="text2"/>
              <w:right w:val="nil"/>
            </w:tcBorders>
          </w:tcPr>
          <w:p w14:paraId="1FC6964D" w14:textId="77777777" w:rsidR="00994F64" w:rsidRPr="00261B7A" w:rsidRDefault="00994F64" w:rsidP="00501B0F">
            <w:pPr>
              <w:pStyle w:val="Tableboldblue"/>
              <w:spacing w:before="40" w:after="40"/>
              <w:rPr>
                <w:rFonts w:cs="Calibri"/>
                <w:color w:val="1B556B"/>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2080D021" w14:textId="77777777" w:rsidR="00994F64" w:rsidRPr="00261B7A" w:rsidRDefault="00994F64" w:rsidP="00501B0F">
            <w:pPr>
              <w:pStyle w:val="Tableboldblue"/>
              <w:spacing w:before="40" w:after="40"/>
              <w:jc w:val="right"/>
              <w:rPr>
                <w:rFonts w:cs="Calibri"/>
                <w:color w:val="1B556B"/>
                <w:szCs w:val="16"/>
              </w:rPr>
            </w:pPr>
            <w:r w:rsidRPr="00261B7A">
              <w:rPr>
                <w:rFonts w:cs="Calibri"/>
                <w:color w:val="1B556B"/>
                <w:szCs w:val="16"/>
              </w:rPr>
              <w:t>254</w:t>
            </w:r>
          </w:p>
        </w:tc>
        <w:tc>
          <w:tcPr>
            <w:tcW w:w="851" w:type="dxa"/>
            <w:tcBorders>
              <w:top w:val="single" w:sz="4" w:space="0" w:color="1B556B" w:themeColor="text2"/>
              <w:left w:val="nil"/>
              <w:bottom w:val="single" w:sz="4" w:space="0" w:color="1B556B" w:themeColor="text2"/>
              <w:right w:val="nil"/>
            </w:tcBorders>
            <w:shd w:val="clear" w:color="auto" w:fill="auto"/>
          </w:tcPr>
          <w:p w14:paraId="08BD58C2" w14:textId="77777777" w:rsidR="00994F64" w:rsidRPr="00261B7A" w:rsidRDefault="00994F64" w:rsidP="00501B0F">
            <w:pPr>
              <w:pStyle w:val="Tableboldblue"/>
              <w:spacing w:before="40" w:after="40"/>
              <w:jc w:val="right"/>
              <w:rPr>
                <w:rFonts w:cs="Calibri"/>
                <w:color w:val="1B556B"/>
                <w:szCs w:val="16"/>
              </w:rPr>
            </w:pPr>
            <w:r w:rsidRPr="00261B7A">
              <w:rPr>
                <w:rFonts w:cs="Calibri"/>
                <w:color w:val="1B556B"/>
                <w:szCs w:val="16"/>
              </w:rPr>
              <w:t>255</w:t>
            </w:r>
          </w:p>
        </w:tc>
        <w:tc>
          <w:tcPr>
            <w:tcW w:w="851" w:type="dxa"/>
            <w:tcBorders>
              <w:top w:val="single" w:sz="4" w:space="0" w:color="1B556B" w:themeColor="text2"/>
              <w:left w:val="nil"/>
              <w:bottom w:val="single" w:sz="4" w:space="0" w:color="1B556B" w:themeColor="text2"/>
              <w:right w:val="nil"/>
            </w:tcBorders>
            <w:shd w:val="clear" w:color="auto" w:fill="auto"/>
          </w:tcPr>
          <w:p w14:paraId="6302CAFD" w14:textId="77777777" w:rsidR="00994F64" w:rsidRPr="00261B7A" w:rsidRDefault="00994F64" w:rsidP="00501B0F">
            <w:pPr>
              <w:pStyle w:val="Tableboldblue"/>
              <w:spacing w:before="40" w:after="40"/>
              <w:jc w:val="right"/>
              <w:rPr>
                <w:rFonts w:cs="Calibri"/>
                <w:color w:val="1B556B"/>
                <w:szCs w:val="16"/>
              </w:rPr>
            </w:pPr>
            <w:r w:rsidRPr="00261B7A">
              <w:rPr>
                <w:rFonts w:cs="Calibri"/>
                <w:color w:val="1B556B"/>
                <w:szCs w:val="16"/>
              </w:rPr>
              <w:t>200</w:t>
            </w:r>
          </w:p>
        </w:tc>
        <w:tc>
          <w:tcPr>
            <w:tcW w:w="851" w:type="dxa"/>
            <w:tcBorders>
              <w:top w:val="single" w:sz="4" w:space="0" w:color="1B556B" w:themeColor="text2"/>
              <w:left w:val="nil"/>
              <w:bottom w:val="single" w:sz="4" w:space="0" w:color="1B556B" w:themeColor="text2"/>
              <w:right w:val="nil"/>
            </w:tcBorders>
            <w:shd w:val="clear" w:color="auto" w:fill="auto"/>
          </w:tcPr>
          <w:p w14:paraId="7D3234CE" w14:textId="77777777" w:rsidR="00994F64" w:rsidRPr="00261B7A" w:rsidRDefault="00994F64" w:rsidP="00501B0F">
            <w:pPr>
              <w:pStyle w:val="Tableboldblue"/>
              <w:spacing w:before="40" w:after="40"/>
              <w:jc w:val="right"/>
              <w:rPr>
                <w:rFonts w:cs="Calibri"/>
                <w:color w:val="1B556B"/>
                <w:szCs w:val="16"/>
              </w:rPr>
            </w:pPr>
            <w:r w:rsidRPr="00261B7A">
              <w:rPr>
                <w:rFonts w:cs="Calibri"/>
                <w:color w:val="1B556B"/>
                <w:szCs w:val="16"/>
              </w:rPr>
              <w:t>72</w:t>
            </w:r>
          </w:p>
        </w:tc>
        <w:tc>
          <w:tcPr>
            <w:tcW w:w="851" w:type="dxa"/>
            <w:tcBorders>
              <w:top w:val="single" w:sz="4" w:space="0" w:color="1B556B" w:themeColor="text2"/>
              <w:left w:val="nil"/>
              <w:bottom w:val="single" w:sz="4" w:space="0" w:color="1B556B" w:themeColor="text2"/>
              <w:right w:val="nil"/>
            </w:tcBorders>
            <w:shd w:val="clear" w:color="auto" w:fill="auto"/>
          </w:tcPr>
          <w:p w14:paraId="0A20CE6E" w14:textId="77777777" w:rsidR="00994F64" w:rsidRPr="00261B7A" w:rsidRDefault="00994F64" w:rsidP="00501B0F">
            <w:pPr>
              <w:pStyle w:val="Tableboldblue"/>
              <w:spacing w:before="40" w:after="40"/>
              <w:jc w:val="right"/>
              <w:rPr>
                <w:rFonts w:cs="Calibri"/>
                <w:color w:val="1B556B"/>
                <w:szCs w:val="16"/>
              </w:rPr>
            </w:pPr>
            <w:r w:rsidRPr="00261B7A">
              <w:rPr>
                <w:rFonts w:cs="Calibri"/>
                <w:color w:val="1B556B"/>
                <w:szCs w:val="16"/>
              </w:rPr>
              <w:t>781</w:t>
            </w:r>
          </w:p>
        </w:tc>
      </w:tr>
      <w:tr w:rsidR="00994F64" w:rsidRPr="00261B7A" w14:paraId="36478259"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29D3D0FB" w14:textId="77777777" w:rsidR="00994F64" w:rsidRPr="00261B7A" w:rsidRDefault="00994F64" w:rsidP="00501B0F">
            <w:pPr>
              <w:pStyle w:val="Tableboldblue"/>
              <w:spacing w:before="40" w:after="40"/>
              <w:rPr>
                <w:rFonts w:cs="Calibri"/>
                <w:color w:val="1B556B"/>
                <w:szCs w:val="16"/>
              </w:rPr>
            </w:pPr>
            <w:r w:rsidRPr="00261B7A">
              <w:rPr>
                <w:rFonts w:cs="Calibri"/>
                <w:color w:val="1B556B"/>
                <w:szCs w:val="16"/>
              </w:rPr>
              <w:t>Total dung</w:t>
            </w:r>
          </w:p>
        </w:tc>
        <w:tc>
          <w:tcPr>
            <w:tcW w:w="1814" w:type="dxa"/>
            <w:tcBorders>
              <w:top w:val="single" w:sz="4" w:space="0" w:color="1B556B" w:themeColor="text2"/>
              <w:left w:val="nil"/>
              <w:bottom w:val="single" w:sz="4" w:space="0" w:color="1B556B" w:themeColor="text2"/>
              <w:right w:val="nil"/>
            </w:tcBorders>
          </w:tcPr>
          <w:p w14:paraId="3E04E382" w14:textId="77777777" w:rsidR="00994F64" w:rsidRPr="00261B7A" w:rsidRDefault="00994F64" w:rsidP="00501B0F">
            <w:pPr>
              <w:pStyle w:val="Tableboldblue"/>
              <w:spacing w:before="40" w:after="40"/>
              <w:rPr>
                <w:rFonts w:cs="Calibri"/>
                <w:color w:val="1B556B"/>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C98C027" w14:textId="77777777" w:rsidR="00994F64" w:rsidRPr="00261B7A" w:rsidRDefault="00994F64" w:rsidP="00501B0F">
            <w:pPr>
              <w:pStyle w:val="Tableboldblue"/>
              <w:spacing w:before="40" w:after="40"/>
              <w:jc w:val="right"/>
              <w:rPr>
                <w:rFonts w:cs="Calibri"/>
                <w:color w:val="1B556B"/>
                <w:szCs w:val="16"/>
              </w:rPr>
            </w:pPr>
            <w:r w:rsidRPr="00261B7A">
              <w:rPr>
                <w:rFonts w:cs="Calibri"/>
                <w:color w:val="1B556B"/>
                <w:szCs w:val="16"/>
              </w:rPr>
              <w:t>104</w:t>
            </w:r>
          </w:p>
        </w:tc>
        <w:tc>
          <w:tcPr>
            <w:tcW w:w="851" w:type="dxa"/>
            <w:tcBorders>
              <w:top w:val="single" w:sz="4" w:space="0" w:color="1B556B" w:themeColor="text2"/>
              <w:left w:val="nil"/>
              <w:bottom w:val="single" w:sz="4" w:space="0" w:color="1B556B" w:themeColor="text2"/>
              <w:right w:val="nil"/>
            </w:tcBorders>
            <w:shd w:val="clear" w:color="auto" w:fill="auto"/>
          </w:tcPr>
          <w:p w14:paraId="6B106E68" w14:textId="77777777" w:rsidR="00994F64" w:rsidRPr="00261B7A" w:rsidRDefault="00994F64" w:rsidP="00501B0F">
            <w:pPr>
              <w:pStyle w:val="Tableboldblue"/>
              <w:spacing w:before="40" w:after="40"/>
              <w:jc w:val="right"/>
              <w:rPr>
                <w:rFonts w:cs="Calibri"/>
                <w:color w:val="1B556B"/>
                <w:szCs w:val="16"/>
              </w:rPr>
            </w:pPr>
            <w:r w:rsidRPr="00261B7A">
              <w:rPr>
                <w:rFonts w:cs="Calibri"/>
                <w:color w:val="1B556B"/>
                <w:szCs w:val="16"/>
              </w:rPr>
              <w:t>192</w:t>
            </w:r>
          </w:p>
        </w:tc>
        <w:tc>
          <w:tcPr>
            <w:tcW w:w="851" w:type="dxa"/>
            <w:tcBorders>
              <w:top w:val="single" w:sz="4" w:space="0" w:color="1B556B" w:themeColor="text2"/>
              <w:left w:val="nil"/>
              <w:bottom w:val="single" w:sz="4" w:space="0" w:color="1B556B" w:themeColor="text2"/>
              <w:right w:val="nil"/>
            </w:tcBorders>
            <w:shd w:val="clear" w:color="auto" w:fill="auto"/>
          </w:tcPr>
          <w:p w14:paraId="70688E9A" w14:textId="77777777" w:rsidR="00994F64" w:rsidRPr="00261B7A" w:rsidRDefault="00994F64" w:rsidP="00501B0F">
            <w:pPr>
              <w:pStyle w:val="Tableboldblue"/>
              <w:spacing w:before="40" w:after="40"/>
              <w:jc w:val="right"/>
              <w:rPr>
                <w:rFonts w:cs="Calibri"/>
                <w:color w:val="1B556B"/>
                <w:szCs w:val="16"/>
              </w:rPr>
            </w:pPr>
            <w:r w:rsidRPr="00261B7A">
              <w:rPr>
                <w:rFonts w:cs="Calibri"/>
                <w:color w:val="1B556B"/>
                <w:szCs w:val="16"/>
              </w:rPr>
              <w:t>80</w:t>
            </w:r>
          </w:p>
        </w:tc>
        <w:tc>
          <w:tcPr>
            <w:tcW w:w="851" w:type="dxa"/>
            <w:tcBorders>
              <w:top w:val="single" w:sz="4" w:space="0" w:color="1B556B" w:themeColor="text2"/>
              <w:left w:val="nil"/>
              <w:bottom w:val="single" w:sz="4" w:space="0" w:color="1B556B" w:themeColor="text2"/>
              <w:right w:val="nil"/>
            </w:tcBorders>
            <w:shd w:val="clear" w:color="auto" w:fill="auto"/>
          </w:tcPr>
          <w:p w14:paraId="7633AFD7" w14:textId="77777777" w:rsidR="00994F64" w:rsidRPr="00261B7A" w:rsidRDefault="00994F64" w:rsidP="00501B0F">
            <w:pPr>
              <w:pStyle w:val="Tableboldblue"/>
              <w:spacing w:before="40" w:after="40"/>
              <w:jc w:val="right"/>
              <w:rPr>
                <w:rFonts w:cs="Calibri"/>
                <w:color w:val="1B556B"/>
                <w:szCs w:val="16"/>
              </w:rPr>
            </w:pPr>
            <w:r w:rsidRPr="00261B7A">
              <w:rPr>
                <w:rFonts w:cs="Calibri"/>
                <w:color w:val="1B556B"/>
                <w:szCs w:val="16"/>
              </w:rPr>
              <w:t>60</w:t>
            </w:r>
          </w:p>
        </w:tc>
        <w:tc>
          <w:tcPr>
            <w:tcW w:w="851" w:type="dxa"/>
            <w:tcBorders>
              <w:top w:val="single" w:sz="4" w:space="0" w:color="1B556B" w:themeColor="text2"/>
              <w:left w:val="nil"/>
              <w:bottom w:val="single" w:sz="4" w:space="0" w:color="1B556B" w:themeColor="text2"/>
              <w:right w:val="nil"/>
            </w:tcBorders>
            <w:shd w:val="clear" w:color="auto" w:fill="auto"/>
          </w:tcPr>
          <w:p w14:paraId="37EDBBB9" w14:textId="77777777" w:rsidR="00994F64" w:rsidRPr="00261B7A" w:rsidRDefault="00994F64" w:rsidP="00501B0F">
            <w:pPr>
              <w:pStyle w:val="Tableboldblue"/>
              <w:spacing w:before="40" w:after="40"/>
              <w:jc w:val="right"/>
              <w:rPr>
                <w:rFonts w:cs="Calibri"/>
                <w:color w:val="1B556B"/>
                <w:szCs w:val="16"/>
              </w:rPr>
            </w:pPr>
            <w:r w:rsidRPr="00261B7A">
              <w:rPr>
                <w:rFonts w:cs="Calibri"/>
                <w:color w:val="1B556B"/>
                <w:szCs w:val="16"/>
              </w:rPr>
              <w:t>436</w:t>
            </w:r>
          </w:p>
        </w:tc>
      </w:tr>
      <w:tr w:rsidR="00994F64" w:rsidRPr="00261B7A" w14:paraId="3AC38812" w14:textId="77777777" w:rsidTr="00501B0F">
        <w:tc>
          <w:tcPr>
            <w:tcW w:w="2098" w:type="dxa"/>
            <w:tcBorders>
              <w:top w:val="single" w:sz="4" w:space="0" w:color="1B556B" w:themeColor="text2"/>
              <w:left w:val="nil"/>
              <w:bottom w:val="single" w:sz="4" w:space="0" w:color="1B556B" w:themeColor="text2"/>
              <w:right w:val="nil"/>
            </w:tcBorders>
            <w:shd w:val="clear" w:color="auto" w:fill="auto"/>
          </w:tcPr>
          <w:p w14:paraId="70605783" w14:textId="77777777" w:rsidR="00994F64" w:rsidRPr="00261B7A" w:rsidRDefault="00994F64" w:rsidP="00501B0F">
            <w:pPr>
              <w:pStyle w:val="Tableboldblue"/>
              <w:spacing w:before="40" w:after="40"/>
              <w:rPr>
                <w:rFonts w:cs="Calibri"/>
                <w:color w:val="1B556B"/>
                <w:szCs w:val="16"/>
              </w:rPr>
            </w:pPr>
            <w:r w:rsidRPr="00261B7A">
              <w:rPr>
                <w:rFonts w:cs="Calibri"/>
                <w:color w:val="1B556B"/>
                <w:szCs w:val="16"/>
              </w:rPr>
              <w:t>Total excreta</w:t>
            </w:r>
          </w:p>
        </w:tc>
        <w:tc>
          <w:tcPr>
            <w:tcW w:w="1814" w:type="dxa"/>
            <w:tcBorders>
              <w:top w:val="single" w:sz="4" w:space="0" w:color="1B556B" w:themeColor="text2"/>
              <w:left w:val="nil"/>
              <w:bottom w:val="single" w:sz="4" w:space="0" w:color="1B556B" w:themeColor="text2"/>
              <w:right w:val="nil"/>
            </w:tcBorders>
          </w:tcPr>
          <w:p w14:paraId="3B0A2BDC" w14:textId="77777777" w:rsidR="00994F64" w:rsidRPr="00261B7A" w:rsidRDefault="00994F64" w:rsidP="00501B0F">
            <w:pPr>
              <w:pStyle w:val="Tableboldblue"/>
              <w:spacing w:before="40" w:after="40"/>
              <w:rPr>
                <w:rFonts w:cs="Calibri"/>
                <w:color w:val="1B556B"/>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104166B9" w14:textId="77777777" w:rsidR="00994F64" w:rsidRPr="00261B7A" w:rsidRDefault="00994F64" w:rsidP="00501B0F">
            <w:pPr>
              <w:pStyle w:val="Tableboldblue"/>
              <w:spacing w:before="40" w:after="40"/>
              <w:jc w:val="right"/>
              <w:rPr>
                <w:rFonts w:cs="Calibri"/>
                <w:color w:val="1B556B"/>
                <w:szCs w:val="16"/>
              </w:rPr>
            </w:pPr>
            <w:r w:rsidRPr="00261B7A">
              <w:rPr>
                <w:rFonts w:cs="Calibri"/>
                <w:color w:val="1B556B"/>
                <w:szCs w:val="16"/>
              </w:rPr>
              <w:t>358</w:t>
            </w:r>
          </w:p>
        </w:tc>
        <w:tc>
          <w:tcPr>
            <w:tcW w:w="851" w:type="dxa"/>
            <w:tcBorders>
              <w:top w:val="single" w:sz="4" w:space="0" w:color="1B556B" w:themeColor="text2"/>
              <w:left w:val="nil"/>
              <w:bottom w:val="single" w:sz="4" w:space="0" w:color="1B556B" w:themeColor="text2"/>
              <w:right w:val="nil"/>
            </w:tcBorders>
            <w:shd w:val="clear" w:color="auto" w:fill="auto"/>
          </w:tcPr>
          <w:p w14:paraId="380E8BD8" w14:textId="77777777" w:rsidR="00994F64" w:rsidRPr="00261B7A" w:rsidRDefault="00994F64" w:rsidP="00501B0F">
            <w:pPr>
              <w:pStyle w:val="Tableboldblue"/>
              <w:spacing w:before="40" w:after="40"/>
              <w:jc w:val="right"/>
              <w:rPr>
                <w:rFonts w:cs="Calibri"/>
                <w:color w:val="1B556B"/>
                <w:szCs w:val="16"/>
              </w:rPr>
            </w:pPr>
            <w:r w:rsidRPr="00261B7A">
              <w:rPr>
                <w:rFonts w:cs="Calibri"/>
                <w:color w:val="1B556B"/>
                <w:szCs w:val="16"/>
              </w:rPr>
              <w:t>447</w:t>
            </w:r>
          </w:p>
        </w:tc>
        <w:tc>
          <w:tcPr>
            <w:tcW w:w="851" w:type="dxa"/>
            <w:tcBorders>
              <w:top w:val="single" w:sz="4" w:space="0" w:color="1B556B" w:themeColor="text2"/>
              <w:left w:val="nil"/>
              <w:bottom w:val="single" w:sz="4" w:space="0" w:color="1B556B" w:themeColor="text2"/>
              <w:right w:val="nil"/>
            </w:tcBorders>
            <w:shd w:val="clear" w:color="auto" w:fill="auto"/>
          </w:tcPr>
          <w:p w14:paraId="21179FA2" w14:textId="77777777" w:rsidR="00994F64" w:rsidRPr="00261B7A" w:rsidRDefault="00994F64" w:rsidP="00501B0F">
            <w:pPr>
              <w:pStyle w:val="Tableboldblue"/>
              <w:spacing w:before="40" w:after="40"/>
              <w:jc w:val="right"/>
              <w:rPr>
                <w:rFonts w:cs="Calibri"/>
                <w:color w:val="1B556B"/>
                <w:szCs w:val="16"/>
              </w:rPr>
            </w:pPr>
            <w:r w:rsidRPr="00261B7A">
              <w:rPr>
                <w:rFonts w:cs="Calibri"/>
                <w:color w:val="1B556B"/>
                <w:szCs w:val="16"/>
              </w:rPr>
              <w:t>280</w:t>
            </w:r>
          </w:p>
        </w:tc>
        <w:tc>
          <w:tcPr>
            <w:tcW w:w="851" w:type="dxa"/>
            <w:tcBorders>
              <w:top w:val="single" w:sz="4" w:space="0" w:color="1B556B" w:themeColor="text2"/>
              <w:left w:val="nil"/>
              <w:bottom w:val="single" w:sz="4" w:space="0" w:color="1B556B" w:themeColor="text2"/>
              <w:right w:val="nil"/>
            </w:tcBorders>
            <w:shd w:val="clear" w:color="auto" w:fill="auto"/>
          </w:tcPr>
          <w:p w14:paraId="2253CC3D" w14:textId="77777777" w:rsidR="00994F64" w:rsidRPr="00261B7A" w:rsidRDefault="00994F64" w:rsidP="00501B0F">
            <w:pPr>
              <w:pStyle w:val="Tableboldblue"/>
              <w:spacing w:before="40" w:after="40"/>
              <w:jc w:val="right"/>
              <w:rPr>
                <w:rFonts w:cs="Calibri"/>
                <w:color w:val="1B556B"/>
                <w:szCs w:val="16"/>
              </w:rPr>
            </w:pPr>
            <w:r w:rsidRPr="00261B7A">
              <w:rPr>
                <w:rFonts w:cs="Calibri"/>
                <w:color w:val="1B556B"/>
                <w:szCs w:val="16"/>
              </w:rPr>
              <w:t>132</w:t>
            </w:r>
          </w:p>
        </w:tc>
        <w:tc>
          <w:tcPr>
            <w:tcW w:w="851" w:type="dxa"/>
            <w:tcBorders>
              <w:top w:val="single" w:sz="4" w:space="0" w:color="1B556B" w:themeColor="text2"/>
              <w:left w:val="nil"/>
              <w:bottom w:val="single" w:sz="4" w:space="0" w:color="1B556B" w:themeColor="text2"/>
              <w:right w:val="nil"/>
            </w:tcBorders>
            <w:shd w:val="clear" w:color="auto" w:fill="auto"/>
          </w:tcPr>
          <w:p w14:paraId="03CF1775" w14:textId="77777777" w:rsidR="00994F64" w:rsidRPr="00261B7A" w:rsidRDefault="00994F64" w:rsidP="00501B0F">
            <w:pPr>
              <w:pStyle w:val="Tableboldblue"/>
              <w:spacing w:before="40" w:after="40"/>
              <w:jc w:val="right"/>
              <w:rPr>
                <w:rFonts w:cs="Calibri"/>
                <w:color w:val="1B556B"/>
                <w:szCs w:val="16"/>
              </w:rPr>
            </w:pPr>
            <w:r w:rsidRPr="00261B7A">
              <w:rPr>
                <w:rFonts w:cs="Calibri"/>
                <w:color w:val="1B556B"/>
                <w:szCs w:val="16"/>
              </w:rPr>
              <w:t>1,217</w:t>
            </w:r>
          </w:p>
        </w:tc>
      </w:tr>
    </w:tbl>
    <w:p w14:paraId="7A47E697" w14:textId="77777777" w:rsidR="00994F64" w:rsidRPr="00261B7A" w:rsidRDefault="00994F64" w:rsidP="00994F64">
      <w:pPr>
        <w:pStyle w:val="BodyText"/>
        <w:spacing w:before="240" w:after="100"/>
      </w:pPr>
      <w:r w:rsidRPr="00261B7A">
        <w:t>The meta-analysis used arithmetic means to calculate new average EF</w:t>
      </w:r>
      <w:r w:rsidRPr="00261B7A">
        <w:rPr>
          <w:vertAlign w:val="subscript"/>
        </w:rPr>
        <w:t>3</w:t>
      </w:r>
      <w:r w:rsidRPr="00261B7A">
        <w:t xml:space="preserve"> values (categorised by animal, slope and excreta type). Because the differences between some of these values were not statistically significant, some of the arithmetic means were pooled. This resulted in the dung EF</w:t>
      </w:r>
      <w:r w:rsidRPr="00261B7A">
        <w:rPr>
          <w:vertAlign w:val="subscript"/>
        </w:rPr>
        <w:t>3</w:t>
      </w:r>
      <w:r w:rsidRPr="00261B7A">
        <w:t xml:space="preserve"> averages being combined into a single value (0.0012). The urine EF</w:t>
      </w:r>
      <w:r w:rsidRPr="00261B7A">
        <w:rPr>
          <w:vertAlign w:val="subscript"/>
        </w:rPr>
        <w:t>3</w:t>
      </w:r>
      <w:r w:rsidRPr="00261B7A">
        <w:t xml:space="preserve"> values were pooled into four categories:</w:t>
      </w:r>
    </w:p>
    <w:p w14:paraId="336616B5" w14:textId="77777777" w:rsidR="00994F64" w:rsidRPr="00261B7A" w:rsidRDefault="00994F64" w:rsidP="00294EC5">
      <w:pPr>
        <w:pStyle w:val="Bullet"/>
        <w:numPr>
          <w:ilvl w:val="0"/>
          <w:numId w:val="24"/>
        </w:numPr>
        <w:spacing w:after="100"/>
      </w:pPr>
      <w:r w:rsidRPr="00261B7A">
        <w:t>cattle urine on flatland/low slopes (0.0098)</w:t>
      </w:r>
    </w:p>
    <w:p w14:paraId="6E81EE4D" w14:textId="77777777" w:rsidR="00994F64" w:rsidRPr="00261B7A" w:rsidRDefault="00994F64" w:rsidP="00294EC5">
      <w:pPr>
        <w:pStyle w:val="Bullet"/>
        <w:numPr>
          <w:ilvl w:val="0"/>
          <w:numId w:val="24"/>
        </w:numPr>
        <w:spacing w:after="100"/>
      </w:pPr>
      <w:r w:rsidRPr="00261B7A">
        <w:t>cattle urine on medium/steep slopes (0.0033)</w:t>
      </w:r>
    </w:p>
    <w:p w14:paraId="099FE3EE" w14:textId="77777777" w:rsidR="00994F64" w:rsidRPr="00261B7A" w:rsidRDefault="00994F64" w:rsidP="00294EC5">
      <w:pPr>
        <w:pStyle w:val="Bullet"/>
        <w:numPr>
          <w:ilvl w:val="0"/>
          <w:numId w:val="24"/>
        </w:numPr>
        <w:spacing w:after="100"/>
      </w:pPr>
      <w:r w:rsidRPr="00261B7A">
        <w:t xml:space="preserve">sheep urine on flatland/low slopes (0.005) </w:t>
      </w:r>
    </w:p>
    <w:p w14:paraId="55F7E0ED" w14:textId="77777777" w:rsidR="00994F64" w:rsidRPr="00261B7A" w:rsidRDefault="00994F64" w:rsidP="00294EC5">
      <w:pPr>
        <w:pStyle w:val="Bullet"/>
        <w:numPr>
          <w:ilvl w:val="0"/>
          <w:numId w:val="24"/>
        </w:numPr>
      </w:pPr>
      <w:r w:rsidRPr="00261B7A">
        <w:t>sheep urine on medium/steep slopes (0.0008).</w:t>
      </w:r>
    </w:p>
    <w:p w14:paraId="217CB82B" w14:textId="77777777" w:rsidR="00994F64" w:rsidRPr="00261B7A" w:rsidRDefault="00994F64" w:rsidP="00994F64">
      <w:pPr>
        <w:pStyle w:val="BodyText"/>
      </w:pPr>
      <w:r w:rsidRPr="00261B7A">
        <w:t>The lower emission factors observed for urine on steeper slopes are thought to be due to these soils having lower soil fertility, nitrogen status and moisture content compared with less steep slopes (Luo et al., 2013).</w:t>
      </w:r>
    </w:p>
    <w:p w14:paraId="48B21BD1" w14:textId="77777777" w:rsidR="00994F64" w:rsidRPr="00261B7A" w:rsidRDefault="00994F64" w:rsidP="00994F64">
      <w:pPr>
        <w:pStyle w:val="BodyText"/>
      </w:pPr>
      <w:r w:rsidRPr="00261B7A">
        <w:t>The new urine emission factor values for each livestock type by slope are lower than the current IPCC default EF</w:t>
      </w:r>
      <w:r w:rsidRPr="00261B7A">
        <w:rPr>
          <w:vertAlign w:val="subscript"/>
        </w:rPr>
        <w:t>3</w:t>
      </w:r>
      <w:r w:rsidRPr="00261B7A">
        <w:t xml:space="preserve"> value, which is based on common international farming systems where, on average, farmed land is on less hilly terrain than common farmland in New Zealand. In addition to the large proportion of farmed hill country, New Zealand’s climate and soil characteristics contribute to differences between international default emission factors and New Zealand’s country-specific emission factors. When using these emission factors, the IEF for direct N</w:t>
      </w:r>
      <w:r w:rsidRPr="00261B7A">
        <w:rPr>
          <w:vertAlign w:val="subscript"/>
        </w:rPr>
        <w:t>2</w:t>
      </w:r>
      <w:r w:rsidRPr="00261B7A">
        <w:t>O from dung and urine was 0.0054 in 2020. This value is comparable with that calculated for the United Kingdom (0.0037) and Australia (0.0040) in their respective inventory submissions in 2021.</w:t>
      </w:r>
    </w:p>
    <w:p w14:paraId="73E204BA" w14:textId="77777777" w:rsidR="00994F64" w:rsidRPr="00261B7A" w:rsidRDefault="00994F64" w:rsidP="00994F64">
      <w:pPr>
        <w:pStyle w:val="BodyText"/>
      </w:pPr>
      <w:r w:rsidRPr="00261B7A">
        <w:t>Nitrous oxide</w:t>
      </w:r>
      <w:r w:rsidRPr="00261B7A" w:rsidDel="00271764">
        <w:t xml:space="preserve"> </w:t>
      </w:r>
      <w:r w:rsidRPr="00261B7A">
        <w:t>emissions</w:t>
      </w:r>
      <w:r w:rsidRPr="00261B7A" w:rsidDel="00271764">
        <w:t xml:space="preserve"> </w:t>
      </w:r>
      <w:r w:rsidRPr="00261B7A">
        <w:t>have not been measured for deer excreta, therefore, deer EF</w:t>
      </w:r>
      <w:r w:rsidRPr="00261B7A">
        <w:rPr>
          <w:vertAlign w:val="subscript"/>
        </w:rPr>
        <w:t>3</w:t>
      </w:r>
      <w:r w:rsidRPr="00261B7A">
        <w:t xml:space="preserve"> values were calculated using average EF</w:t>
      </w:r>
      <w:r w:rsidRPr="00261B7A">
        <w:rPr>
          <w:vertAlign w:val="subscript"/>
        </w:rPr>
        <w:t>3</w:t>
      </w:r>
      <w:r w:rsidRPr="00261B7A">
        <w:t xml:space="preserve"> values from cattle and sheep. Based on animal liveweight, deer excreta characteristics (in terms of total deposition volume and weight) are assumed to be between the excreta characteristics of cattle and sheep (van der Weerden et al., 2019, 2020). </w:t>
      </w:r>
    </w:p>
    <w:p w14:paraId="40DC51AD" w14:textId="77777777" w:rsidR="00994F64" w:rsidRPr="00261B7A" w:rsidRDefault="00994F64" w:rsidP="00994F64">
      <w:pPr>
        <w:pStyle w:val="BodyText"/>
      </w:pPr>
      <w:r w:rsidRPr="00261B7A">
        <w:t>To apply these emission factors, estimates of the amount of urine and dung deposited onto separate slopes are needed. A nutrient transfer model developed by Saggar et al. (2015) is used to allocate total excreta (N</w:t>
      </w:r>
      <w:r w:rsidRPr="00261B7A">
        <w:rPr>
          <w:vertAlign w:val="subscript"/>
        </w:rPr>
        <w:t>ex</w:t>
      </w:r>
      <w:r w:rsidRPr="00261B7A">
        <w:t>,</w:t>
      </w:r>
      <w:r w:rsidRPr="00261B7A">
        <w:rPr>
          <w:vertAlign w:val="subscript"/>
        </w:rPr>
        <w:t xml:space="preserve"> </w:t>
      </w:r>
      <w:r w:rsidRPr="00261B7A">
        <w:t>calculated using the methods described in section 5.3) by livestock type to the different slope categories. The nutrient transfer model uses data on the area of farmland for each slope type, and accounts for animal behaviour where livestock spend relatively more time on lower slopes, and so deposit more excreta on these lower slopes. For more information on this model, please refer to annex 3, section 3.1.3.</w:t>
      </w:r>
    </w:p>
    <w:p w14:paraId="5F36284C" w14:textId="77777777" w:rsidR="00994F64" w:rsidRPr="00261B7A" w:rsidRDefault="00994F64" w:rsidP="00994F64">
      <w:pPr>
        <w:pStyle w:val="BodyText"/>
      </w:pPr>
      <w:r w:rsidRPr="00261B7A">
        <w:t>The use of these revised EF</w:t>
      </w:r>
      <w:r w:rsidRPr="00261B7A">
        <w:rPr>
          <w:vertAlign w:val="subscript"/>
        </w:rPr>
        <w:t>3</w:t>
      </w:r>
      <w:r w:rsidRPr="00261B7A">
        <w:t xml:space="preserve"> emission factors and the nutrient transfer model was recommended by the Agriculture Inventory Advisory Panel in late 2019.</w:t>
      </w:r>
    </w:p>
    <w:p w14:paraId="3BB4CC44" w14:textId="77777777" w:rsidR="00994F64" w:rsidRPr="00261B7A" w:rsidRDefault="00994F64" w:rsidP="00994F64">
      <w:pPr>
        <w:pStyle w:val="Heading5"/>
        <w:rPr>
          <w:rFonts w:cs="Calibri"/>
        </w:rPr>
      </w:pPr>
      <w:r w:rsidRPr="00261B7A">
        <w:rPr>
          <w:rFonts w:cs="Calibri"/>
        </w:rPr>
        <w:t>Direct nitrous oxide emission factors for minor livestock types</w:t>
      </w:r>
    </w:p>
    <w:p w14:paraId="220D32AF" w14:textId="77777777" w:rsidR="00994F64" w:rsidRPr="00261B7A" w:rsidRDefault="00994F64" w:rsidP="00994F64">
      <w:pPr>
        <w:pStyle w:val="BodyText"/>
      </w:pPr>
      <w:r w:rsidRPr="00261B7A">
        <w:t xml:space="preserve">Minor livestock types, including </w:t>
      </w:r>
      <w:r w:rsidRPr="00261B7A">
        <w:rPr>
          <w:i/>
          <w:iCs/>
        </w:rPr>
        <w:t>Swine, Goats, Horses, Llamas</w:t>
      </w:r>
      <w:r w:rsidRPr="00261B7A">
        <w:t xml:space="preserve"> </w:t>
      </w:r>
      <w:r w:rsidRPr="00261B7A">
        <w:rPr>
          <w:i/>
          <w:iCs/>
        </w:rPr>
        <w:t>and alpacas, Mules and</w:t>
      </w:r>
      <w:r w:rsidRPr="00261B7A">
        <w:rPr>
          <w:i/>
        </w:rPr>
        <w:t xml:space="preserve"> asses,</w:t>
      </w:r>
      <w:r w:rsidRPr="00261B7A">
        <w:t xml:space="preserve"> and </w:t>
      </w:r>
      <w:r w:rsidRPr="00261B7A">
        <w:rPr>
          <w:i/>
          <w:iCs/>
        </w:rPr>
        <w:t>Poultry</w:t>
      </w:r>
      <w:r w:rsidRPr="00261B7A">
        <w:t>, make up a small proportion of total agricultural emissions. New Zealand will therefore continue to use the previous emission factor for minor livestock types (EF</w:t>
      </w:r>
      <w:r w:rsidRPr="00261B7A">
        <w:rPr>
          <w:vertAlign w:val="subscript"/>
        </w:rPr>
        <w:t>3(PRP-MINOR)</w:t>
      </w:r>
      <w:r w:rsidRPr="00261B7A">
        <w:t>) of 0.01, which is the IPCC default. Research conducted in New Zealand has confirmed this value is appropriate for New Zealand’s conditions (Carran et al., 1995; de Klein et al., 2003; Muller et al., 1995).</w:t>
      </w:r>
    </w:p>
    <w:p w14:paraId="6F5E1F37" w14:textId="77777777" w:rsidR="00994F64" w:rsidRPr="00261B7A" w:rsidRDefault="00994F64" w:rsidP="00994F64">
      <w:pPr>
        <w:pStyle w:val="BodyText"/>
        <w:rPr>
          <w:rFonts w:cs="Calibri"/>
        </w:rPr>
      </w:pPr>
      <w:r w:rsidRPr="00261B7A">
        <w:rPr>
          <w:rFonts w:cs="Calibri"/>
        </w:rPr>
        <w:t xml:space="preserve">In 2021, direct </w:t>
      </w:r>
      <w:r w:rsidRPr="00261B7A">
        <w:rPr>
          <w:rFonts w:cs="Calibri"/>
          <w:spacing w:val="-2"/>
        </w:rPr>
        <w:t>N</w:t>
      </w:r>
      <w:r w:rsidRPr="00261B7A">
        <w:rPr>
          <w:rFonts w:cs="Calibri"/>
          <w:spacing w:val="-2"/>
          <w:vertAlign w:val="subscript"/>
        </w:rPr>
        <w:t>2</w:t>
      </w:r>
      <w:r w:rsidRPr="00261B7A">
        <w:rPr>
          <w:rFonts w:cs="Calibri"/>
          <w:spacing w:val="-2"/>
        </w:rPr>
        <w:t>O</w:t>
      </w:r>
      <w:r w:rsidRPr="00261B7A">
        <w:rPr>
          <w:rFonts w:cs="Calibri"/>
        </w:rPr>
        <w:t xml:space="preserve"> emissions from </w:t>
      </w:r>
      <w:r w:rsidRPr="00261B7A">
        <w:rPr>
          <w:rFonts w:cs="Calibri"/>
          <w:i/>
          <w:iCs/>
        </w:rPr>
        <w:t>Urine and dung deposited by grazing animals</w:t>
      </w:r>
      <w:r w:rsidRPr="00261B7A">
        <w:rPr>
          <w:rFonts w:cs="Calibri"/>
        </w:rPr>
        <w:t xml:space="preserve"> (pasture, range and paddock manure from all livestock categories) contributed 48.0 per cent (3,510.0 kt CO</w:t>
      </w:r>
      <w:r w:rsidRPr="00261B7A">
        <w:rPr>
          <w:rFonts w:cs="Calibri"/>
          <w:vertAlign w:val="subscript"/>
        </w:rPr>
        <w:t>2</w:t>
      </w:r>
      <w:r w:rsidRPr="00261B7A">
        <w:rPr>
          <w:rFonts w:cs="Calibri"/>
        </w:rPr>
        <w:t>-e) of</w:t>
      </w:r>
      <w:r w:rsidRPr="00261B7A">
        <w:rPr>
          <w:rFonts w:cs="Calibri"/>
          <w:spacing w:val="-2"/>
        </w:rPr>
        <w:t xml:space="preserve"> emissions from </w:t>
      </w:r>
      <w:r w:rsidRPr="00261B7A">
        <w:rPr>
          <w:rFonts w:cs="Calibri"/>
          <w:i/>
          <w:iCs/>
          <w:spacing w:val="-2"/>
        </w:rPr>
        <w:t>Agricultural soils</w:t>
      </w:r>
      <w:r w:rsidRPr="00261B7A">
        <w:rPr>
          <w:rFonts w:cs="Calibri"/>
          <w:spacing w:val="-2"/>
        </w:rPr>
        <w:t xml:space="preserve">, or 9.3 per cent of total agricultural emissions. Emissions from this category have increased by 18.6 per cent since 1990. </w:t>
      </w:r>
      <w:r w:rsidRPr="00261B7A">
        <w:rPr>
          <w:rFonts w:cs="Calibri"/>
        </w:rPr>
        <w:t xml:space="preserve">Emissions for each livestock category are given in table 5.5.8. Emissions from </w:t>
      </w:r>
      <w:r w:rsidRPr="00261B7A">
        <w:rPr>
          <w:rFonts w:cs="Calibri"/>
          <w:i/>
          <w:iCs/>
        </w:rPr>
        <w:t>Urine and dung deposited by grazing animals</w:t>
      </w:r>
      <w:r w:rsidRPr="00261B7A">
        <w:rPr>
          <w:rFonts w:cs="Calibri"/>
        </w:rPr>
        <w:t xml:space="preserve"> were identified as a key category (level and trend assessment).</w:t>
      </w:r>
    </w:p>
    <w:p w14:paraId="08E0714D" w14:textId="77777777" w:rsidR="00994F64" w:rsidRPr="00261B7A" w:rsidRDefault="00994F64" w:rsidP="00994F64">
      <w:pPr>
        <w:pStyle w:val="Table"/>
        <w:rPr>
          <w:rFonts w:cs="Calibri"/>
        </w:rPr>
      </w:pPr>
      <w:bookmarkStart w:id="1110" w:name="_Toc441830883"/>
      <w:bookmarkStart w:id="1111" w:name="_Toc451176097"/>
      <w:bookmarkStart w:id="1112" w:name="_Toc481751525"/>
      <w:bookmarkStart w:id="1113" w:name="_Toc507158613"/>
      <w:bookmarkStart w:id="1114" w:name="_Toc511116747"/>
      <w:bookmarkStart w:id="1115" w:name="_Toc5269489"/>
      <w:bookmarkStart w:id="1116" w:name="_Toc32570934"/>
      <w:bookmarkStart w:id="1117" w:name="_Toc36224569"/>
      <w:bookmarkStart w:id="1118" w:name="_Toc68786454"/>
      <w:bookmarkStart w:id="1119" w:name="_Toc95574087"/>
      <w:bookmarkStart w:id="1120" w:name="_Toc127458274"/>
      <w:bookmarkStart w:id="1121" w:name="_Toc131591370"/>
      <w:r w:rsidRPr="00261B7A">
        <w:rPr>
          <w:rFonts w:cs="Calibri"/>
        </w:rPr>
        <w:t>Table 5.5.8</w:t>
      </w:r>
      <w:r w:rsidRPr="00261B7A">
        <w:rPr>
          <w:rFonts w:cs="Calibri"/>
        </w:rPr>
        <w:tab/>
        <w:t xml:space="preserve">Trends and relative contribution of direct nitrous oxide emissions from urine and dung deposited by grazing animals per livestock category between 1990 and </w:t>
      </w:r>
      <w:bookmarkEnd w:id="1110"/>
      <w:bookmarkEnd w:id="1111"/>
      <w:bookmarkEnd w:id="1112"/>
      <w:bookmarkEnd w:id="1113"/>
      <w:bookmarkEnd w:id="1114"/>
      <w:bookmarkEnd w:id="1115"/>
      <w:bookmarkEnd w:id="1116"/>
      <w:bookmarkEnd w:id="1117"/>
      <w:bookmarkEnd w:id="1118"/>
      <w:bookmarkEnd w:id="1119"/>
      <w:r w:rsidRPr="00261B7A">
        <w:rPr>
          <w:rFonts w:cs="Calibri"/>
        </w:rPr>
        <w:t>2021</w:t>
      </w:r>
      <w:bookmarkEnd w:id="1120"/>
      <w:bookmarkEnd w:id="1121"/>
    </w:p>
    <w:tbl>
      <w:tblPr>
        <w:tblW w:w="8505" w:type="dxa"/>
        <w:tblBorders>
          <w:top w:val="single" w:sz="4" w:space="0" w:color="365F91"/>
          <w:left w:val="single" w:sz="4" w:space="0" w:color="365F91"/>
          <w:bottom w:val="single" w:sz="4" w:space="0" w:color="365F91"/>
          <w:right w:val="single" w:sz="4" w:space="0" w:color="365F91"/>
          <w:insideH w:val="single" w:sz="4" w:space="0" w:color="365F91"/>
        </w:tblBorders>
        <w:tblLayout w:type="fixed"/>
        <w:tblLook w:val="04A0" w:firstRow="1" w:lastRow="0" w:firstColumn="1" w:lastColumn="0" w:noHBand="0" w:noVBand="1"/>
      </w:tblPr>
      <w:tblGrid>
        <w:gridCol w:w="1746"/>
        <w:gridCol w:w="856"/>
        <w:gridCol w:w="856"/>
        <w:gridCol w:w="857"/>
        <w:gridCol w:w="784"/>
        <w:gridCol w:w="852"/>
        <w:gridCol w:w="851"/>
        <w:gridCol w:w="852"/>
        <w:gridCol w:w="851"/>
      </w:tblGrid>
      <w:tr w:rsidR="00994F64" w:rsidRPr="00261B7A" w14:paraId="5F57F7FF" w14:textId="77777777" w:rsidTr="00501B0F">
        <w:trPr>
          <w:tblHeader/>
        </w:trPr>
        <w:tc>
          <w:tcPr>
            <w:tcW w:w="1746" w:type="dxa"/>
            <w:vMerge w:val="restart"/>
            <w:tcBorders>
              <w:top w:val="single" w:sz="4" w:space="0" w:color="1B556B" w:themeColor="text2"/>
              <w:left w:val="nil"/>
              <w:bottom w:val="nil"/>
            </w:tcBorders>
            <w:shd w:val="clear" w:color="auto" w:fill="1B556B"/>
            <w:vAlign w:val="bottom"/>
          </w:tcPr>
          <w:p w14:paraId="2567553D" w14:textId="77777777" w:rsidR="00994F64" w:rsidRPr="00261B7A" w:rsidRDefault="00994F64" w:rsidP="00501B0F">
            <w:pPr>
              <w:pStyle w:val="TableTextBold"/>
              <w:keepNext/>
              <w:spacing w:before="40" w:after="40"/>
              <w:rPr>
                <w:i/>
                <w:iCs/>
                <w:noProof w:val="0"/>
                <w:color w:val="FFFFFF" w:themeColor="background1"/>
                <w:szCs w:val="16"/>
              </w:rPr>
            </w:pPr>
            <w:bookmarkStart w:id="1122" w:name="OLE_LINK1"/>
            <w:r w:rsidRPr="00261B7A">
              <w:rPr>
                <w:noProof w:val="0"/>
                <w:color w:val="FFFFFF" w:themeColor="background1"/>
                <w:szCs w:val="16"/>
              </w:rPr>
              <w:t>Livestock category</w:t>
            </w:r>
          </w:p>
        </w:tc>
        <w:tc>
          <w:tcPr>
            <w:tcW w:w="1712" w:type="dxa"/>
            <w:gridSpan w:val="2"/>
            <w:tcBorders>
              <w:top w:val="single" w:sz="4" w:space="0" w:color="1B556B" w:themeColor="text2"/>
              <w:bottom w:val="nil"/>
            </w:tcBorders>
            <w:shd w:val="clear" w:color="auto" w:fill="1B556B"/>
            <w:vAlign w:val="bottom"/>
          </w:tcPr>
          <w:p w14:paraId="083DDCD4" w14:textId="77777777" w:rsidR="00994F64" w:rsidRPr="00261B7A" w:rsidRDefault="00994F64" w:rsidP="00501B0F">
            <w:pPr>
              <w:pStyle w:val="TableTextBold"/>
              <w:keepNext/>
              <w:spacing w:before="40" w:after="0"/>
              <w:jc w:val="center"/>
              <w:rPr>
                <w:i/>
                <w:iCs/>
                <w:noProof w:val="0"/>
                <w:color w:val="FFFFFF" w:themeColor="background1"/>
                <w:szCs w:val="16"/>
              </w:rPr>
            </w:pPr>
            <w:r w:rsidRPr="00261B7A">
              <w:rPr>
                <w:noProof w:val="0"/>
                <w:color w:val="FFFFFF" w:themeColor="background1"/>
                <w:szCs w:val="16"/>
              </w:rPr>
              <w:t xml:space="preserve">Emissions </w:t>
            </w:r>
            <w:r w:rsidRPr="00261B7A">
              <w:rPr>
                <w:noProof w:val="0"/>
                <w:color w:val="FFFFFF" w:themeColor="background1"/>
                <w:szCs w:val="16"/>
              </w:rPr>
              <w:br/>
              <w:t>(kt CO</w:t>
            </w:r>
            <w:r w:rsidRPr="00261B7A">
              <w:rPr>
                <w:noProof w:val="0"/>
                <w:color w:val="FFFFFF" w:themeColor="background1"/>
                <w:szCs w:val="16"/>
                <w:vertAlign w:val="subscript"/>
              </w:rPr>
              <w:t>2</w:t>
            </w:r>
            <w:r w:rsidRPr="00261B7A">
              <w:rPr>
                <w:noProof w:val="0"/>
                <w:color w:val="FFFFFF" w:themeColor="background1"/>
                <w:szCs w:val="16"/>
              </w:rPr>
              <w:t>-e)</w:t>
            </w:r>
          </w:p>
        </w:tc>
        <w:tc>
          <w:tcPr>
            <w:tcW w:w="1641" w:type="dxa"/>
            <w:gridSpan w:val="2"/>
            <w:tcBorders>
              <w:top w:val="single" w:sz="4" w:space="0" w:color="1B556B" w:themeColor="text2"/>
              <w:bottom w:val="nil"/>
            </w:tcBorders>
            <w:shd w:val="clear" w:color="auto" w:fill="1B556B"/>
            <w:vAlign w:val="bottom"/>
          </w:tcPr>
          <w:p w14:paraId="484D786C" w14:textId="77777777" w:rsidR="00994F64" w:rsidRPr="00261B7A" w:rsidRDefault="00994F64" w:rsidP="00501B0F">
            <w:pPr>
              <w:pStyle w:val="TableTextBold"/>
              <w:keepNext/>
              <w:spacing w:before="40" w:after="0"/>
              <w:jc w:val="center"/>
              <w:rPr>
                <w:i/>
                <w:iCs/>
                <w:noProof w:val="0"/>
                <w:color w:val="FFFFFF" w:themeColor="background1"/>
                <w:szCs w:val="16"/>
              </w:rPr>
            </w:pPr>
            <w:r w:rsidRPr="00261B7A">
              <w:rPr>
                <w:noProof w:val="0"/>
                <w:color w:val="FFFFFF" w:themeColor="background1"/>
                <w:szCs w:val="16"/>
              </w:rPr>
              <w:t xml:space="preserve">Change from </w:t>
            </w:r>
            <w:r w:rsidRPr="00261B7A">
              <w:rPr>
                <w:noProof w:val="0"/>
                <w:color w:val="FFFFFF" w:themeColor="background1"/>
                <w:szCs w:val="16"/>
              </w:rPr>
              <w:br/>
              <w:t>1990–2021</w:t>
            </w:r>
          </w:p>
        </w:tc>
        <w:tc>
          <w:tcPr>
            <w:tcW w:w="1703" w:type="dxa"/>
            <w:gridSpan w:val="2"/>
            <w:tcBorders>
              <w:top w:val="single" w:sz="4" w:space="0" w:color="1B556B" w:themeColor="text2"/>
              <w:bottom w:val="nil"/>
            </w:tcBorders>
            <w:shd w:val="clear" w:color="auto" w:fill="1B556B"/>
            <w:vAlign w:val="bottom"/>
          </w:tcPr>
          <w:p w14:paraId="5F11A50B" w14:textId="77777777" w:rsidR="00994F64" w:rsidRPr="00261B7A" w:rsidRDefault="00994F64" w:rsidP="00501B0F">
            <w:pPr>
              <w:pStyle w:val="TableTextBold"/>
              <w:keepNext/>
              <w:spacing w:before="40" w:after="0"/>
              <w:jc w:val="center"/>
              <w:rPr>
                <w:i/>
                <w:iCs/>
                <w:noProof w:val="0"/>
                <w:color w:val="FFFFFF" w:themeColor="background1"/>
                <w:szCs w:val="16"/>
              </w:rPr>
            </w:pPr>
            <w:r w:rsidRPr="00261B7A">
              <w:rPr>
                <w:noProof w:val="0"/>
                <w:color w:val="FFFFFF" w:themeColor="background1"/>
                <w:szCs w:val="16"/>
              </w:rPr>
              <w:t>Share of Agricultural soils category (%)</w:t>
            </w:r>
          </w:p>
        </w:tc>
        <w:tc>
          <w:tcPr>
            <w:tcW w:w="1703" w:type="dxa"/>
            <w:gridSpan w:val="2"/>
            <w:tcBorders>
              <w:top w:val="single" w:sz="4" w:space="0" w:color="1B556B" w:themeColor="text2"/>
              <w:bottom w:val="nil"/>
              <w:right w:val="nil"/>
            </w:tcBorders>
            <w:shd w:val="clear" w:color="auto" w:fill="1B556B"/>
            <w:vAlign w:val="bottom"/>
          </w:tcPr>
          <w:p w14:paraId="42F580B8" w14:textId="77777777" w:rsidR="00994F64" w:rsidRPr="00261B7A" w:rsidRDefault="00994F64" w:rsidP="00501B0F">
            <w:pPr>
              <w:pStyle w:val="TableTextBold"/>
              <w:keepNext/>
              <w:spacing w:before="40" w:after="0"/>
              <w:jc w:val="center"/>
              <w:rPr>
                <w:i/>
                <w:iCs/>
                <w:noProof w:val="0"/>
                <w:color w:val="FFFFFF" w:themeColor="background1"/>
                <w:szCs w:val="16"/>
              </w:rPr>
            </w:pPr>
            <w:r w:rsidRPr="00261B7A">
              <w:rPr>
                <w:noProof w:val="0"/>
                <w:color w:val="FFFFFF" w:themeColor="background1"/>
                <w:szCs w:val="16"/>
              </w:rPr>
              <w:t>Share of total Agriculture sector (%)</w:t>
            </w:r>
          </w:p>
        </w:tc>
      </w:tr>
      <w:tr w:rsidR="00994F64" w:rsidRPr="00261B7A" w14:paraId="1BD84561" w14:textId="77777777" w:rsidTr="00501B0F">
        <w:trPr>
          <w:tblHeader/>
        </w:trPr>
        <w:tc>
          <w:tcPr>
            <w:tcW w:w="1746" w:type="dxa"/>
            <w:vMerge/>
            <w:tcBorders>
              <w:top w:val="nil"/>
              <w:left w:val="nil"/>
              <w:bottom w:val="single" w:sz="4" w:space="0" w:color="1B556B" w:themeColor="text2"/>
            </w:tcBorders>
            <w:shd w:val="clear" w:color="auto" w:fill="1B556B"/>
            <w:vAlign w:val="bottom"/>
          </w:tcPr>
          <w:p w14:paraId="4CD1D3B8" w14:textId="77777777" w:rsidR="00994F64" w:rsidRPr="00261B7A" w:rsidRDefault="00994F64" w:rsidP="00501B0F">
            <w:pPr>
              <w:pStyle w:val="TableTextBold"/>
              <w:keepNext/>
              <w:spacing w:before="40" w:after="40"/>
              <w:rPr>
                <w:i/>
                <w:noProof w:val="0"/>
                <w:color w:val="FFFFFF" w:themeColor="background1"/>
                <w:szCs w:val="16"/>
              </w:rPr>
            </w:pPr>
          </w:p>
        </w:tc>
        <w:tc>
          <w:tcPr>
            <w:tcW w:w="856" w:type="dxa"/>
            <w:tcBorders>
              <w:top w:val="nil"/>
              <w:bottom w:val="single" w:sz="4" w:space="0" w:color="1B556B" w:themeColor="text2"/>
            </w:tcBorders>
            <w:shd w:val="clear" w:color="auto" w:fill="1B556B"/>
            <w:vAlign w:val="bottom"/>
          </w:tcPr>
          <w:p w14:paraId="28B40AC5" w14:textId="77777777" w:rsidR="00994F64" w:rsidRPr="00261B7A" w:rsidRDefault="00994F64" w:rsidP="00501B0F">
            <w:pPr>
              <w:pStyle w:val="TableTextBold"/>
              <w:keepNext/>
              <w:spacing w:before="40" w:after="40"/>
              <w:jc w:val="right"/>
              <w:rPr>
                <w:i/>
                <w:iCs/>
                <w:noProof w:val="0"/>
                <w:color w:val="FFFFFF" w:themeColor="background1"/>
                <w:szCs w:val="16"/>
              </w:rPr>
            </w:pPr>
            <w:r w:rsidRPr="00261B7A">
              <w:rPr>
                <w:noProof w:val="0"/>
                <w:color w:val="FFFFFF" w:themeColor="background1"/>
                <w:szCs w:val="16"/>
              </w:rPr>
              <w:t>1990</w:t>
            </w:r>
          </w:p>
        </w:tc>
        <w:tc>
          <w:tcPr>
            <w:tcW w:w="856" w:type="dxa"/>
            <w:tcBorders>
              <w:top w:val="nil"/>
              <w:bottom w:val="single" w:sz="4" w:space="0" w:color="1B556B" w:themeColor="text2"/>
            </w:tcBorders>
            <w:shd w:val="clear" w:color="auto" w:fill="1B556B"/>
            <w:vAlign w:val="bottom"/>
          </w:tcPr>
          <w:p w14:paraId="1E0DE1A3" w14:textId="77777777" w:rsidR="00994F64" w:rsidRPr="00261B7A" w:rsidRDefault="00994F64" w:rsidP="00501B0F">
            <w:pPr>
              <w:pStyle w:val="TableTextBold"/>
              <w:keepNext/>
              <w:spacing w:before="40" w:after="40"/>
              <w:jc w:val="right"/>
              <w:rPr>
                <w:i/>
                <w:iCs/>
                <w:noProof w:val="0"/>
                <w:color w:val="FFFFFF" w:themeColor="background1"/>
                <w:szCs w:val="16"/>
              </w:rPr>
            </w:pPr>
            <w:r w:rsidRPr="00261B7A">
              <w:rPr>
                <w:noProof w:val="0"/>
                <w:color w:val="FFFFFF" w:themeColor="background1"/>
                <w:szCs w:val="16"/>
              </w:rPr>
              <w:t>2021</w:t>
            </w:r>
          </w:p>
        </w:tc>
        <w:tc>
          <w:tcPr>
            <w:tcW w:w="857" w:type="dxa"/>
            <w:tcBorders>
              <w:top w:val="nil"/>
              <w:bottom w:val="single" w:sz="4" w:space="0" w:color="1B556B" w:themeColor="text2"/>
            </w:tcBorders>
            <w:shd w:val="clear" w:color="auto" w:fill="1B556B"/>
            <w:vAlign w:val="bottom"/>
          </w:tcPr>
          <w:p w14:paraId="1595FB4A" w14:textId="77777777" w:rsidR="00994F64" w:rsidRPr="00261B7A" w:rsidRDefault="00994F64" w:rsidP="00501B0F">
            <w:pPr>
              <w:pStyle w:val="TableTextBold"/>
              <w:keepNext/>
              <w:spacing w:before="40" w:after="40"/>
              <w:jc w:val="right"/>
              <w:rPr>
                <w:i/>
                <w:iCs/>
                <w:noProof w:val="0"/>
                <w:color w:val="FFFFFF" w:themeColor="background1"/>
                <w:szCs w:val="16"/>
              </w:rPr>
            </w:pPr>
            <w:r w:rsidRPr="00261B7A">
              <w:rPr>
                <w:noProof w:val="0"/>
                <w:color w:val="FFFFFF" w:themeColor="background1"/>
                <w:szCs w:val="16"/>
              </w:rPr>
              <w:t>kt CO</w:t>
            </w:r>
            <w:r w:rsidRPr="00261B7A">
              <w:rPr>
                <w:noProof w:val="0"/>
                <w:color w:val="FFFFFF" w:themeColor="background1"/>
                <w:szCs w:val="16"/>
                <w:vertAlign w:val="subscript"/>
              </w:rPr>
              <w:t>2</w:t>
            </w:r>
            <w:r w:rsidRPr="00261B7A">
              <w:rPr>
                <w:noProof w:val="0"/>
                <w:color w:val="FFFFFF" w:themeColor="background1"/>
                <w:szCs w:val="16"/>
              </w:rPr>
              <w:t>-e</w:t>
            </w:r>
          </w:p>
        </w:tc>
        <w:tc>
          <w:tcPr>
            <w:tcW w:w="784" w:type="dxa"/>
            <w:tcBorders>
              <w:top w:val="nil"/>
              <w:bottom w:val="single" w:sz="4" w:space="0" w:color="1B556B" w:themeColor="text2"/>
            </w:tcBorders>
            <w:shd w:val="clear" w:color="auto" w:fill="1B556B"/>
            <w:vAlign w:val="bottom"/>
          </w:tcPr>
          <w:p w14:paraId="35D60DE4" w14:textId="77777777" w:rsidR="00994F64" w:rsidRPr="00261B7A" w:rsidRDefault="00994F64" w:rsidP="00501B0F">
            <w:pPr>
              <w:pStyle w:val="TableTextBold"/>
              <w:keepNext/>
              <w:spacing w:before="40" w:after="40"/>
              <w:jc w:val="right"/>
              <w:rPr>
                <w:i/>
                <w:iCs/>
                <w:noProof w:val="0"/>
                <w:color w:val="FFFFFF" w:themeColor="background1"/>
                <w:szCs w:val="16"/>
              </w:rPr>
            </w:pPr>
            <w:r w:rsidRPr="00261B7A">
              <w:rPr>
                <w:noProof w:val="0"/>
                <w:color w:val="FFFFFF" w:themeColor="background1"/>
                <w:szCs w:val="16"/>
              </w:rPr>
              <w:t>%</w:t>
            </w:r>
          </w:p>
        </w:tc>
        <w:tc>
          <w:tcPr>
            <w:tcW w:w="852" w:type="dxa"/>
            <w:tcBorders>
              <w:top w:val="nil"/>
              <w:bottom w:val="single" w:sz="4" w:space="0" w:color="1B556B" w:themeColor="text2"/>
            </w:tcBorders>
            <w:shd w:val="clear" w:color="auto" w:fill="1B556B"/>
            <w:vAlign w:val="bottom"/>
          </w:tcPr>
          <w:p w14:paraId="6FDFACA8" w14:textId="77777777" w:rsidR="00994F64" w:rsidRPr="00261B7A" w:rsidRDefault="00994F64" w:rsidP="00501B0F">
            <w:pPr>
              <w:pStyle w:val="TableTextBold"/>
              <w:keepNext/>
              <w:spacing w:before="40" w:after="40"/>
              <w:jc w:val="right"/>
              <w:rPr>
                <w:i/>
                <w:iCs/>
                <w:noProof w:val="0"/>
                <w:color w:val="FFFFFF" w:themeColor="background1"/>
                <w:szCs w:val="16"/>
              </w:rPr>
            </w:pPr>
            <w:r w:rsidRPr="00261B7A">
              <w:rPr>
                <w:noProof w:val="0"/>
                <w:color w:val="FFFFFF" w:themeColor="background1"/>
                <w:szCs w:val="16"/>
              </w:rPr>
              <w:t xml:space="preserve">1990 </w:t>
            </w:r>
          </w:p>
        </w:tc>
        <w:tc>
          <w:tcPr>
            <w:tcW w:w="851" w:type="dxa"/>
            <w:tcBorders>
              <w:top w:val="nil"/>
              <w:bottom w:val="single" w:sz="4" w:space="0" w:color="1B556B" w:themeColor="text2"/>
            </w:tcBorders>
            <w:shd w:val="clear" w:color="auto" w:fill="1B556B"/>
            <w:vAlign w:val="bottom"/>
          </w:tcPr>
          <w:p w14:paraId="72EF9826" w14:textId="77777777" w:rsidR="00994F64" w:rsidRPr="00261B7A" w:rsidRDefault="00994F64" w:rsidP="00501B0F">
            <w:pPr>
              <w:pStyle w:val="TableTextBold"/>
              <w:keepNext/>
              <w:spacing w:before="40" w:after="40"/>
              <w:jc w:val="right"/>
              <w:rPr>
                <w:i/>
                <w:iCs/>
                <w:noProof w:val="0"/>
                <w:color w:val="FFFFFF" w:themeColor="background1"/>
                <w:szCs w:val="16"/>
              </w:rPr>
            </w:pPr>
            <w:r w:rsidRPr="00261B7A">
              <w:rPr>
                <w:noProof w:val="0"/>
                <w:color w:val="FFFFFF" w:themeColor="background1"/>
                <w:szCs w:val="16"/>
              </w:rPr>
              <w:t>2021</w:t>
            </w:r>
          </w:p>
        </w:tc>
        <w:tc>
          <w:tcPr>
            <w:tcW w:w="852" w:type="dxa"/>
            <w:tcBorders>
              <w:top w:val="nil"/>
              <w:bottom w:val="single" w:sz="4" w:space="0" w:color="1B556B" w:themeColor="text2"/>
            </w:tcBorders>
            <w:shd w:val="clear" w:color="auto" w:fill="1B556B"/>
            <w:vAlign w:val="bottom"/>
          </w:tcPr>
          <w:p w14:paraId="6CACD207" w14:textId="77777777" w:rsidR="00994F64" w:rsidRPr="00261B7A" w:rsidRDefault="00994F64" w:rsidP="00501B0F">
            <w:pPr>
              <w:pStyle w:val="TableTextBold"/>
              <w:keepNext/>
              <w:spacing w:before="40" w:after="40"/>
              <w:jc w:val="right"/>
              <w:rPr>
                <w:i/>
                <w:iCs/>
                <w:noProof w:val="0"/>
                <w:color w:val="FFFFFF" w:themeColor="background1"/>
                <w:szCs w:val="16"/>
              </w:rPr>
            </w:pPr>
            <w:r w:rsidRPr="00261B7A">
              <w:rPr>
                <w:noProof w:val="0"/>
                <w:color w:val="FFFFFF" w:themeColor="background1"/>
                <w:szCs w:val="16"/>
              </w:rPr>
              <w:t>1990</w:t>
            </w:r>
          </w:p>
        </w:tc>
        <w:tc>
          <w:tcPr>
            <w:tcW w:w="851" w:type="dxa"/>
            <w:tcBorders>
              <w:top w:val="nil"/>
              <w:bottom w:val="single" w:sz="4" w:space="0" w:color="1B556B" w:themeColor="text2"/>
              <w:right w:val="nil"/>
            </w:tcBorders>
            <w:shd w:val="clear" w:color="auto" w:fill="1B556B"/>
            <w:vAlign w:val="bottom"/>
          </w:tcPr>
          <w:p w14:paraId="3D0249DC" w14:textId="77777777" w:rsidR="00994F64" w:rsidRPr="00261B7A" w:rsidRDefault="00994F64" w:rsidP="00501B0F">
            <w:pPr>
              <w:pStyle w:val="TableTextBold"/>
              <w:keepNext/>
              <w:spacing w:before="40" w:after="40"/>
              <w:jc w:val="right"/>
              <w:rPr>
                <w:i/>
                <w:iCs/>
                <w:noProof w:val="0"/>
                <w:color w:val="FFFFFF" w:themeColor="background1"/>
                <w:szCs w:val="16"/>
              </w:rPr>
            </w:pPr>
            <w:r w:rsidRPr="00261B7A">
              <w:rPr>
                <w:noProof w:val="0"/>
                <w:color w:val="FFFFFF" w:themeColor="background1"/>
                <w:szCs w:val="16"/>
              </w:rPr>
              <w:t>2021</w:t>
            </w:r>
          </w:p>
        </w:tc>
      </w:tr>
      <w:tr w:rsidR="00994F64" w:rsidRPr="00261B7A" w14:paraId="04FC3044" w14:textId="77777777" w:rsidTr="00501B0F">
        <w:tc>
          <w:tcPr>
            <w:tcW w:w="1746" w:type="dxa"/>
            <w:tcBorders>
              <w:top w:val="single" w:sz="4" w:space="0" w:color="1B556B" w:themeColor="text2"/>
              <w:left w:val="nil"/>
              <w:bottom w:val="nil"/>
            </w:tcBorders>
            <w:shd w:val="clear" w:color="auto" w:fill="auto"/>
          </w:tcPr>
          <w:p w14:paraId="52EA6684" w14:textId="77777777" w:rsidR="00994F64" w:rsidRPr="00261B7A" w:rsidRDefault="00994F64" w:rsidP="00501B0F">
            <w:pPr>
              <w:pStyle w:val="TableText"/>
              <w:keepNext/>
              <w:spacing w:before="50" w:after="50"/>
            </w:pPr>
            <w:r w:rsidRPr="00261B7A">
              <w:t>Dairy cattle</w:t>
            </w:r>
          </w:p>
        </w:tc>
        <w:tc>
          <w:tcPr>
            <w:tcW w:w="856" w:type="dxa"/>
            <w:tcBorders>
              <w:top w:val="single" w:sz="4" w:space="0" w:color="1B556B" w:themeColor="text2"/>
              <w:left w:val="nil"/>
              <w:bottom w:val="single" w:sz="4" w:space="0" w:color="1B556B" w:themeColor="text2"/>
              <w:right w:val="nil"/>
            </w:tcBorders>
            <w:shd w:val="clear" w:color="auto" w:fill="auto"/>
            <w:vAlign w:val="center"/>
          </w:tcPr>
          <w:p w14:paraId="056BAC59"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1,123.5</w:t>
            </w:r>
          </w:p>
        </w:tc>
        <w:tc>
          <w:tcPr>
            <w:tcW w:w="856" w:type="dxa"/>
            <w:tcBorders>
              <w:top w:val="single" w:sz="4" w:space="0" w:color="1B556B" w:themeColor="text2"/>
              <w:left w:val="nil"/>
              <w:bottom w:val="single" w:sz="4" w:space="0" w:color="1B556B" w:themeColor="text2"/>
              <w:right w:val="nil"/>
            </w:tcBorders>
            <w:shd w:val="clear" w:color="auto" w:fill="auto"/>
            <w:vAlign w:val="center"/>
          </w:tcPr>
          <w:p w14:paraId="0EBF965F"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2,101.1</w:t>
            </w:r>
          </w:p>
        </w:tc>
        <w:tc>
          <w:tcPr>
            <w:tcW w:w="857" w:type="dxa"/>
            <w:tcBorders>
              <w:top w:val="single" w:sz="4" w:space="0" w:color="1B556B" w:themeColor="text2"/>
              <w:left w:val="nil"/>
              <w:bottom w:val="single" w:sz="4" w:space="0" w:color="1B556B" w:themeColor="text2"/>
              <w:right w:val="nil"/>
            </w:tcBorders>
            <w:shd w:val="clear" w:color="auto" w:fill="auto"/>
            <w:vAlign w:val="center"/>
          </w:tcPr>
          <w:p w14:paraId="66F86B4A"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977.5</w:t>
            </w:r>
          </w:p>
        </w:tc>
        <w:tc>
          <w:tcPr>
            <w:tcW w:w="784" w:type="dxa"/>
            <w:tcBorders>
              <w:top w:val="single" w:sz="4" w:space="0" w:color="1B556B" w:themeColor="text2"/>
              <w:left w:val="nil"/>
              <w:bottom w:val="single" w:sz="4" w:space="0" w:color="1B556B" w:themeColor="text2"/>
              <w:right w:val="nil"/>
            </w:tcBorders>
            <w:shd w:val="clear" w:color="auto" w:fill="auto"/>
            <w:vAlign w:val="center"/>
          </w:tcPr>
          <w:p w14:paraId="6338D93C"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87.0</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16F2CD75"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21.5</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7BC0C23D"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28.7</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2CE89BF7"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3.4</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72B42BAB"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5.6</w:t>
            </w:r>
          </w:p>
        </w:tc>
      </w:tr>
      <w:tr w:rsidR="00994F64" w:rsidRPr="00261B7A" w14:paraId="46E3C3AC" w14:textId="77777777" w:rsidTr="00501B0F">
        <w:tc>
          <w:tcPr>
            <w:tcW w:w="1746" w:type="dxa"/>
            <w:tcBorders>
              <w:top w:val="nil"/>
              <w:left w:val="nil"/>
              <w:bottom w:val="nil"/>
            </w:tcBorders>
            <w:shd w:val="clear" w:color="auto" w:fill="auto"/>
          </w:tcPr>
          <w:p w14:paraId="59D45EF8" w14:textId="77777777" w:rsidR="00994F64" w:rsidRPr="00261B7A" w:rsidRDefault="00994F64" w:rsidP="00501B0F">
            <w:pPr>
              <w:pStyle w:val="TableText"/>
              <w:keepNext/>
              <w:spacing w:before="50" w:after="50"/>
            </w:pPr>
            <w:r w:rsidRPr="00261B7A">
              <w:t xml:space="preserve">Non-dairy </w:t>
            </w:r>
            <w:r w:rsidRPr="00261B7A">
              <w:rPr>
                <w:i/>
                <w:iCs/>
              </w:rPr>
              <w:t>(beef)</w:t>
            </w:r>
            <w:r w:rsidRPr="00261B7A">
              <w:t xml:space="preserve"> cattle</w:t>
            </w:r>
          </w:p>
        </w:tc>
        <w:tc>
          <w:tcPr>
            <w:tcW w:w="856" w:type="dxa"/>
            <w:tcBorders>
              <w:top w:val="single" w:sz="4" w:space="0" w:color="1B556B" w:themeColor="text2"/>
              <w:left w:val="nil"/>
              <w:bottom w:val="single" w:sz="4" w:space="0" w:color="1B556B" w:themeColor="text2"/>
              <w:right w:val="nil"/>
            </w:tcBorders>
            <w:shd w:val="clear" w:color="auto" w:fill="auto"/>
            <w:vAlign w:val="center"/>
          </w:tcPr>
          <w:p w14:paraId="434C27C3"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745.9</w:t>
            </w:r>
          </w:p>
        </w:tc>
        <w:tc>
          <w:tcPr>
            <w:tcW w:w="856" w:type="dxa"/>
            <w:tcBorders>
              <w:top w:val="single" w:sz="4" w:space="0" w:color="1B556B" w:themeColor="text2"/>
              <w:left w:val="nil"/>
              <w:bottom w:val="single" w:sz="4" w:space="0" w:color="1B556B" w:themeColor="text2"/>
              <w:right w:val="nil"/>
            </w:tcBorders>
            <w:shd w:val="clear" w:color="auto" w:fill="auto"/>
            <w:vAlign w:val="center"/>
          </w:tcPr>
          <w:p w14:paraId="5B9E2B3F"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780.7</w:t>
            </w:r>
          </w:p>
        </w:tc>
        <w:tc>
          <w:tcPr>
            <w:tcW w:w="857" w:type="dxa"/>
            <w:tcBorders>
              <w:top w:val="single" w:sz="4" w:space="0" w:color="1B556B" w:themeColor="text2"/>
              <w:left w:val="nil"/>
              <w:bottom w:val="single" w:sz="4" w:space="0" w:color="1B556B" w:themeColor="text2"/>
              <w:right w:val="nil"/>
            </w:tcBorders>
            <w:shd w:val="clear" w:color="auto" w:fill="auto"/>
            <w:vAlign w:val="center"/>
          </w:tcPr>
          <w:p w14:paraId="5DEDEDB2"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34.9</w:t>
            </w:r>
          </w:p>
        </w:tc>
        <w:tc>
          <w:tcPr>
            <w:tcW w:w="784" w:type="dxa"/>
            <w:tcBorders>
              <w:top w:val="single" w:sz="4" w:space="0" w:color="1B556B" w:themeColor="text2"/>
              <w:left w:val="nil"/>
              <w:bottom w:val="single" w:sz="4" w:space="0" w:color="1B556B" w:themeColor="text2"/>
              <w:right w:val="nil"/>
            </w:tcBorders>
            <w:shd w:val="clear" w:color="auto" w:fill="auto"/>
            <w:vAlign w:val="center"/>
          </w:tcPr>
          <w:p w14:paraId="0BC4AF64"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4.7</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13894E1F"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14.3</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1586B6FC"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10.7</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6C268C1B"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2.2</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1DD9C83E"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2.1</w:t>
            </w:r>
          </w:p>
        </w:tc>
      </w:tr>
      <w:tr w:rsidR="00994F64" w:rsidRPr="00261B7A" w14:paraId="0906B254" w14:textId="77777777" w:rsidTr="00501B0F">
        <w:tc>
          <w:tcPr>
            <w:tcW w:w="1746" w:type="dxa"/>
            <w:tcBorders>
              <w:top w:val="nil"/>
              <w:left w:val="nil"/>
              <w:bottom w:val="nil"/>
            </w:tcBorders>
            <w:shd w:val="clear" w:color="auto" w:fill="auto"/>
          </w:tcPr>
          <w:p w14:paraId="2AD66C76" w14:textId="77777777" w:rsidR="00994F64" w:rsidRPr="00261B7A" w:rsidRDefault="00994F64" w:rsidP="00501B0F">
            <w:pPr>
              <w:pStyle w:val="TableText"/>
              <w:keepNext/>
              <w:spacing w:before="50" w:after="50"/>
            </w:pPr>
            <w:r w:rsidRPr="00261B7A">
              <w:t>Sheep</w:t>
            </w:r>
          </w:p>
        </w:tc>
        <w:tc>
          <w:tcPr>
            <w:tcW w:w="856" w:type="dxa"/>
            <w:tcBorders>
              <w:top w:val="single" w:sz="4" w:space="0" w:color="1B556B" w:themeColor="text2"/>
              <w:left w:val="nil"/>
              <w:bottom w:val="single" w:sz="4" w:space="0" w:color="1B556B" w:themeColor="text2"/>
              <w:right w:val="nil"/>
            </w:tcBorders>
            <w:shd w:val="clear" w:color="auto" w:fill="auto"/>
            <w:vAlign w:val="center"/>
          </w:tcPr>
          <w:p w14:paraId="7F0BAF93"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962.8</w:t>
            </w:r>
          </w:p>
        </w:tc>
        <w:tc>
          <w:tcPr>
            <w:tcW w:w="856" w:type="dxa"/>
            <w:tcBorders>
              <w:top w:val="single" w:sz="4" w:space="0" w:color="1B556B" w:themeColor="text2"/>
              <w:left w:val="nil"/>
              <w:bottom w:val="single" w:sz="4" w:space="0" w:color="1B556B" w:themeColor="text2"/>
              <w:right w:val="nil"/>
            </w:tcBorders>
            <w:shd w:val="clear" w:color="auto" w:fill="auto"/>
            <w:vAlign w:val="center"/>
          </w:tcPr>
          <w:p w14:paraId="7E5B89E4"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559.1</w:t>
            </w:r>
          </w:p>
        </w:tc>
        <w:tc>
          <w:tcPr>
            <w:tcW w:w="857" w:type="dxa"/>
            <w:tcBorders>
              <w:top w:val="single" w:sz="4" w:space="0" w:color="1B556B" w:themeColor="text2"/>
              <w:left w:val="nil"/>
              <w:bottom w:val="single" w:sz="4" w:space="0" w:color="1B556B" w:themeColor="text2"/>
              <w:right w:val="nil"/>
            </w:tcBorders>
            <w:shd w:val="clear" w:color="auto" w:fill="auto"/>
            <w:vAlign w:val="center"/>
          </w:tcPr>
          <w:p w14:paraId="18C5FAD3"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–403.6</w:t>
            </w:r>
          </w:p>
        </w:tc>
        <w:tc>
          <w:tcPr>
            <w:tcW w:w="784" w:type="dxa"/>
            <w:tcBorders>
              <w:top w:val="single" w:sz="4" w:space="0" w:color="1B556B" w:themeColor="text2"/>
              <w:left w:val="nil"/>
              <w:bottom w:val="single" w:sz="4" w:space="0" w:color="1B556B" w:themeColor="text2"/>
              <w:right w:val="nil"/>
            </w:tcBorders>
            <w:shd w:val="clear" w:color="auto" w:fill="auto"/>
            <w:vAlign w:val="center"/>
          </w:tcPr>
          <w:p w14:paraId="7E342207"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–41.9</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310A5B48"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18.5</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755CB2FE"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7.6</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004BB250"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2.9</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73045A3C"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1.5</w:t>
            </w:r>
          </w:p>
        </w:tc>
      </w:tr>
      <w:tr w:rsidR="00994F64" w:rsidRPr="00261B7A" w14:paraId="176FC4E1" w14:textId="77777777" w:rsidTr="00501B0F">
        <w:tc>
          <w:tcPr>
            <w:tcW w:w="1746" w:type="dxa"/>
            <w:tcBorders>
              <w:top w:val="nil"/>
              <w:left w:val="nil"/>
              <w:bottom w:val="nil"/>
            </w:tcBorders>
            <w:shd w:val="clear" w:color="auto" w:fill="auto"/>
          </w:tcPr>
          <w:p w14:paraId="60F3EC0C" w14:textId="77777777" w:rsidR="00994F64" w:rsidRPr="00261B7A" w:rsidRDefault="00994F64" w:rsidP="00501B0F">
            <w:pPr>
              <w:pStyle w:val="TableText"/>
              <w:spacing w:before="50" w:after="50"/>
            </w:pPr>
            <w:r w:rsidRPr="00261B7A">
              <w:t>Deer</w:t>
            </w:r>
          </w:p>
        </w:tc>
        <w:tc>
          <w:tcPr>
            <w:tcW w:w="856" w:type="dxa"/>
            <w:tcBorders>
              <w:top w:val="single" w:sz="4" w:space="0" w:color="1B556B" w:themeColor="text2"/>
              <w:left w:val="nil"/>
              <w:bottom w:val="single" w:sz="4" w:space="0" w:color="1B556B" w:themeColor="text2"/>
              <w:right w:val="nil"/>
            </w:tcBorders>
            <w:shd w:val="clear" w:color="auto" w:fill="auto"/>
            <w:vAlign w:val="center"/>
          </w:tcPr>
          <w:p w14:paraId="08B376A8"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46.6</w:t>
            </w:r>
          </w:p>
        </w:tc>
        <w:tc>
          <w:tcPr>
            <w:tcW w:w="856" w:type="dxa"/>
            <w:tcBorders>
              <w:top w:val="single" w:sz="4" w:space="0" w:color="1B556B" w:themeColor="text2"/>
              <w:left w:val="nil"/>
              <w:bottom w:val="single" w:sz="4" w:space="0" w:color="1B556B" w:themeColor="text2"/>
              <w:right w:val="nil"/>
            </w:tcBorders>
            <w:shd w:val="clear" w:color="auto" w:fill="auto"/>
            <w:vAlign w:val="center"/>
          </w:tcPr>
          <w:p w14:paraId="67DBCCE4"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47.3</w:t>
            </w:r>
          </w:p>
        </w:tc>
        <w:tc>
          <w:tcPr>
            <w:tcW w:w="857" w:type="dxa"/>
            <w:tcBorders>
              <w:top w:val="single" w:sz="4" w:space="0" w:color="1B556B" w:themeColor="text2"/>
              <w:left w:val="nil"/>
              <w:bottom w:val="single" w:sz="4" w:space="0" w:color="1B556B" w:themeColor="text2"/>
              <w:right w:val="nil"/>
            </w:tcBorders>
            <w:shd w:val="clear" w:color="auto" w:fill="auto"/>
            <w:vAlign w:val="center"/>
          </w:tcPr>
          <w:p w14:paraId="76503A11"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0.7</w:t>
            </w:r>
          </w:p>
        </w:tc>
        <w:tc>
          <w:tcPr>
            <w:tcW w:w="784" w:type="dxa"/>
            <w:tcBorders>
              <w:top w:val="single" w:sz="4" w:space="0" w:color="1B556B" w:themeColor="text2"/>
              <w:left w:val="nil"/>
              <w:bottom w:val="single" w:sz="4" w:space="0" w:color="1B556B" w:themeColor="text2"/>
              <w:right w:val="nil"/>
            </w:tcBorders>
            <w:shd w:val="clear" w:color="auto" w:fill="auto"/>
            <w:vAlign w:val="center"/>
          </w:tcPr>
          <w:p w14:paraId="7ED085F3"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1.5</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20AFAB26"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0.9</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0E458BA0"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0.6</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1D0A4328"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0.1</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2DBF1AB1"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0.1</w:t>
            </w:r>
          </w:p>
        </w:tc>
      </w:tr>
      <w:tr w:rsidR="00994F64" w:rsidRPr="00261B7A" w14:paraId="04D81D85" w14:textId="77777777" w:rsidTr="00501B0F">
        <w:tc>
          <w:tcPr>
            <w:tcW w:w="1746" w:type="dxa"/>
            <w:tcBorders>
              <w:top w:val="nil"/>
              <w:left w:val="nil"/>
              <w:bottom w:val="single" w:sz="4" w:space="0" w:color="1B556B" w:themeColor="text2"/>
            </w:tcBorders>
            <w:shd w:val="clear" w:color="auto" w:fill="auto"/>
          </w:tcPr>
          <w:p w14:paraId="35E0B7A4" w14:textId="77777777" w:rsidR="00994F64" w:rsidRPr="00261B7A" w:rsidRDefault="00994F64" w:rsidP="00501B0F">
            <w:pPr>
              <w:pStyle w:val="TableText"/>
              <w:spacing w:before="50" w:after="50"/>
              <w:rPr>
                <w:rFonts w:cs="Calibri"/>
                <w:i/>
                <w:iCs/>
                <w:szCs w:val="16"/>
              </w:rPr>
            </w:pPr>
            <w:r w:rsidRPr="00261B7A">
              <w:rPr>
                <w:rFonts w:cs="Calibri"/>
                <w:szCs w:val="16"/>
              </w:rPr>
              <w:t>Minor livestock</w:t>
            </w:r>
          </w:p>
        </w:tc>
        <w:tc>
          <w:tcPr>
            <w:tcW w:w="856" w:type="dxa"/>
            <w:tcBorders>
              <w:top w:val="single" w:sz="4" w:space="0" w:color="1B556B" w:themeColor="text2"/>
              <w:left w:val="nil"/>
              <w:bottom w:val="single" w:sz="4" w:space="0" w:color="1B556B" w:themeColor="text2"/>
              <w:right w:val="nil"/>
            </w:tcBorders>
            <w:shd w:val="clear" w:color="auto" w:fill="auto"/>
            <w:vAlign w:val="center"/>
          </w:tcPr>
          <w:p w14:paraId="08F1E87F"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80.8</w:t>
            </w:r>
          </w:p>
        </w:tc>
        <w:tc>
          <w:tcPr>
            <w:tcW w:w="856" w:type="dxa"/>
            <w:tcBorders>
              <w:top w:val="single" w:sz="4" w:space="0" w:color="1B556B" w:themeColor="text2"/>
              <w:left w:val="nil"/>
              <w:bottom w:val="single" w:sz="4" w:space="0" w:color="1B556B" w:themeColor="text2"/>
              <w:right w:val="nil"/>
            </w:tcBorders>
            <w:shd w:val="clear" w:color="auto" w:fill="auto"/>
            <w:vAlign w:val="center"/>
          </w:tcPr>
          <w:p w14:paraId="4371026A"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21.8</w:t>
            </w:r>
          </w:p>
        </w:tc>
        <w:tc>
          <w:tcPr>
            <w:tcW w:w="857" w:type="dxa"/>
            <w:tcBorders>
              <w:top w:val="single" w:sz="4" w:space="0" w:color="1B556B" w:themeColor="text2"/>
              <w:left w:val="nil"/>
              <w:bottom w:val="single" w:sz="4" w:space="0" w:color="1B556B" w:themeColor="text2"/>
              <w:right w:val="nil"/>
            </w:tcBorders>
            <w:shd w:val="clear" w:color="auto" w:fill="auto"/>
            <w:vAlign w:val="center"/>
          </w:tcPr>
          <w:p w14:paraId="617671C6"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–59.0</w:t>
            </w:r>
          </w:p>
        </w:tc>
        <w:tc>
          <w:tcPr>
            <w:tcW w:w="784" w:type="dxa"/>
            <w:tcBorders>
              <w:top w:val="single" w:sz="4" w:space="0" w:color="1B556B" w:themeColor="text2"/>
              <w:left w:val="nil"/>
              <w:bottom w:val="single" w:sz="4" w:space="0" w:color="1B556B" w:themeColor="text2"/>
              <w:right w:val="nil"/>
            </w:tcBorders>
            <w:shd w:val="clear" w:color="auto" w:fill="auto"/>
            <w:vAlign w:val="center"/>
          </w:tcPr>
          <w:p w14:paraId="17F7ADE5"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–73.0</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13D6F26D"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1.5</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381EF6F8"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0.3</w:t>
            </w:r>
          </w:p>
        </w:tc>
        <w:tc>
          <w:tcPr>
            <w:tcW w:w="852" w:type="dxa"/>
            <w:tcBorders>
              <w:top w:val="single" w:sz="4" w:space="0" w:color="1B556B" w:themeColor="text2"/>
              <w:left w:val="nil"/>
              <w:bottom w:val="single" w:sz="4" w:space="0" w:color="1B556B" w:themeColor="text2"/>
              <w:right w:val="nil"/>
            </w:tcBorders>
            <w:shd w:val="clear" w:color="auto" w:fill="auto"/>
            <w:vAlign w:val="center"/>
          </w:tcPr>
          <w:p w14:paraId="16F56ADA"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0.2</w:t>
            </w:r>
          </w:p>
        </w:tc>
        <w:tc>
          <w:tcPr>
            <w:tcW w:w="851" w:type="dxa"/>
            <w:tcBorders>
              <w:top w:val="single" w:sz="4" w:space="0" w:color="1B556B" w:themeColor="text2"/>
              <w:left w:val="nil"/>
              <w:bottom w:val="single" w:sz="4" w:space="0" w:color="1B556B" w:themeColor="text2"/>
              <w:right w:val="nil"/>
            </w:tcBorders>
            <w:shd w:val="clear" w:color="auto" w:fill="auto"/>
            <w:vAlign w:val="center"/>
          </w:tcPr>
          <w:p w14:paraId="6010F01B"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0.1</w:t>
            </w:r>
          </w:p>
        </w:tc>
      </w:tr>
    </w:tbl>
    <w:p w14:paraId="71F12565" w14:textId="77777777" w:rsidR="00994F64" w:rsidRPr="00261B7A" w:rsidRDefault="00994F64" w:rsidP="00994F64">
      <w:pPr>
        <w:pStyle w:val="Noteundertable"/>
        <w:spacing w:before="160"/>
        <w:rPr>
          <w:rFonts w:cs="Calibri"/>
        </w:rPr>
      </w:pPr>
      <w:bookmarkStart w:id="1123" w:name="_Toc274046122"/>
      <w:bookmarkEnd w:id="1122"/>
      <w:r w:rsidRPr="00261B7A">
        <w:rPr>
          <w:rFonts w:cs="Calibri"/>
          <w:b/>
          <w:bCs/>
        </w:rPr>
        <w:t>Note:</w:t>
      </w:r>
      <w:r w:rsidRPr="00261B7A">
        <w:rPr>
          <w:rFonts w:cs="Calibri"/>
        </w:rPr>
        <w:tab/>
        <w:t>Percentages presented are calculated from unrounded values.</w:t>
      </w:r>
    </w:p>
    <w:p w14:paraId="4B3488BB" w14:textId="77777777" w:rsidR="00994F64" w:rsidRPr="00261B7A" w:rsidRDefault="00994F64" w:rsidP="00994F64">
      <w:pPr>
        <w:pStyle w:val="Heading5"/>
        <w:rPr>
          <w:rFonts w:cs="Calibri"/>
        </w:rPr>
      </w:pPr>
      <w:r w:rsidRPr="00261B7A">
        <w:rPr>
          <w:rFonts w:cs="Calibri"/>
        </w:rPr>
        <w:t>Nitrous oxide from crop residue returned to soil</w:t>
      </w:r>
      <w:bookmarkEnd w:id="1123"/>
      <w:r w:rsidRPr="00261B7A">
        <w:rPr>
          <w:rFonts w:cs="Calibri"/>
        </w:rPr>
        <w:t xml:space="preserve"> (CRF 3.D.1.4)</w:t>
      </w:r>
    </w:p>
    <w:p w14:paraId="396E3D49" w14:textId="3FDB2D65" w:rsidR="00994F64" w:rsidRPr="00261B7A" w:rsidDel="005621A7" w:rsidRDefault="00994F64" w:rsidP="00994F64">
      <w:pPr>
        <w:pStyle w:val="BodyText"/>
        <w:rPr>
          <w:rFonts w:cs="Calibri"/>
        </w:rPr>
      </w:pPr>
      <w:r w:rsidRPr="00261B7A">
        <w:rPr>
          <w:rFonts w:cs="Calibri"/>
        </w:rPr>
        <w:t>This emissions category includes emissions from nitrogen added to soils by above-ground and below-ground crop residue (including residue left behind by crop burning), and the nitrogen added as</w:t>
      </w:r>
      <w:r w:rsidR="00AD4F93" w:rsidRPr="00261B7A">
        <w:rPr>
          <w:rFonts w:cs="Calibri"/>
        </w:rPr>
        <w:t xml:space="preserve"> </w:t>
      </w:r>
      <w:r w:rsidRPr="00261B7A">
        <w:rPr>
          <w:rFonts w:cs="Calibri"/>
        </w:rPr>
        <w:t>a result of mineralisation of forages during pasture renewal. It includes both nitrogen-fixing and non-nitrogen-fixing crop species. Crop residues are materials left in an agricultural field after the crop has been harvested. Pasture renewal is the destruction of low</w:t>
      </w:r>
      <w:r w:rsidRPr="00261B7A">
        <w:rPr>
          <w:rFonts w:cs="Calibri"/>
        </w:rPr>
        <w:noBreakHyphen/>
        <w:t xml:space="preserve">quality pasture followed by the sowing of improved pasture species and/or varieties to increase farm productivity. The direct emissions from agricultural residue burning are reported in section 5.7. </w:t>
      </w:r>
    </w:p>
    <w:p w14:paraId="5531DAB5" w14:textId="77777777" w:rsidR="00994F64" w:rsidRPr="00261B7A" w:rsidRDefault="00994F64" w:rsidP="00994F64">
      <w:pPr>
        <w:pStyle w:val="BodyText"/>
        <w:spacing w:before="100"/>
        <w:rPr>
          <w:rFonts w:cs="Calibri"/>
        </w:rPr>
      </w:pPr>
      <w:r w:rsidRPr="00261B7A">
        <w:rPr>
          <w:rFonts w:cs="Calibri"/>
        </w:rPr>
        <w:t>New Zealand does not include an adjustment for crop residue removed for feed and bedding, which is assumed to be minor by Thomas et al. (2008) until such a time that appropriate activity data become available.</w:t>
      </w:r>
    </w:p>
    <w:p w14:paraId="74A02CA4" w14:textId="77777777" w:rsidR="00994F64" w:rsidRPr="00261B7A" w:rsidRDefault="00994F64" w:rsidP="00994F64">
      <w:pPr>
        <w:pStyle w:val="BodyText"/>
        <w:spacing w:before="100"/>
        <w:rPr>
          <w:rFonts w:cs="Calibri"/>
        </w:rPr>
      </w:pPr>
      <w:r w:rsidRPr="00261B7A">
        <w:rPr>
          <w:rFonts w:cs="Calibri"/>
          <w:b/>
          <w:bCs/>
        </w:rPr>
        <w:t xml:space="preserve">Nitrogen from crop residue: </w:t>
      </w:r>
      <w:r w:rsidRPr="00261B7A">
        <w:rPr>
          <w:rFonts w:cs="Calibri"/>
        </w:rPr>
        <w:t xml:space="preserve">The non-nitrogen-fixing crops grown in New Zealand are barley, </w:t>
      </w:r>
      <w:r w:rsidRPr="00261B7A">
        <w:rPr>
          <w:rFonts w:cs="Calibri"/>
          <w:spacing w:val="-2"/>
        </w:rPr>
        <w:t>wheat, oats, potatoes, maize for seed, and other seed crops. From the 2012 submission onwards,</w:t>
      </w:r>
      <w:r w:rsidRPr="00261B7A">
        <w:rPr>
          <w:rFonts w:cs="Calibri"/>
        </w:rPr>
        <w:t xml:space="preserve"> New Zealand has reported emissions from additional cropping activity not previously estimated, such as onions, squash, and sweetcorn (Thomas et al., 2011). The nitrogen-fixing crops grown in New Zealand include peas grown for both processing and seed markets as well as lentil production, and forage legume seeds grown for pasture production.</w:t>
      </w:r>
    </w:p>
    <w:p w14:paraId="3FDD7615" w14:textId="77777777" w:rsidR="00994F64" w:rsidRPr="00261B7A" w:rsidRDefault="00994F64" w:rsidP="00994F64">
      <w:pPr>
        <w:pStyle w:val="BodyText"/>
        <w:spacing w:after="80"/>
      </w:pPr>
      <w:r w:rsidRPr="00261B7A">
        <w:t>A country-specific methodology is used to calculate emissions from crop residue (Thomas et al., 2008):</w:t>
      </w:r>
    </w:p>
    <w:bookmarkStart w:id="1124" w:name="_1640173609"/>
    <w:bookmarkEnd w:id="1124"/>
    <w:p w14:paraId="2E07C9B0" w14:textId="77777777" w:rsidR="00994F64" w:rsidRPr="00261B7A" w:rsidRDefault="00994F64" w:rsidP="00994F64">
      <w:pPr>
        <w:pStyle w:val="BodyText"/>
        <w:spacing w:before="80" w:after="60"/>
        <w:jc w:val="center"/>
        <w:rPr>
          <w:rFonts w:cs="Calibri"/>
        </w:rPr>
      </w:pPr>
      <w:r w:rsidRPr="00261B7A">
        <w:rPr>
          <w:rFonts w:cs="Calibri"/>
        </w:rPr>
        <w:object w:dxaOrig="7196" w:dyaOrig="613" w14:anchorId="68290129">
          <v:shape id="_x0000_i1048" type="#_x0000_t75" style="width:5in;height:29.5pt" o:ole="">
            <v:imagedata r:id="rId151" o:title="" cropbottom="10201f"/>
          </v:shape>
          <o:OLEObject Type="Embed" ProgID="Word.Document.12" ShapeID="_x0000_i1048" DrawAspect="Content" ObjectID="_1742911587" r:id="rId152">
            <o:FieldCodes>\s</o:FieldCodes>
          </o:OLEObject>
        </w:object>
      </w:r>
    </w:p>
    <w:p w14:paraId="7BD13867" w14:textId="77777777" w:rsidR="00994F64" w:rsidRPr="00261B7A" w:rsidRDefault="00994F64" w:rsidP="00994F64">
      <w:pPr>
        <w:pStyle w:val="BodyText"/>
        <w:spacing w:before="80" w:after="80"/>
        <w:ind w:left="964" w:hanging="964"/>
      </w:pPr>
      <w:r w:rsidRPr="00261B7A">
        <w:t>Where:</w:t>
      </w:r>
      <w:r w:rsidRPr="00261B7A">
        <w:tab/>
        <w:t>AG</w:t>
      </w:r>
      <w:r w:rsidRPr="00261B7A">
        <w:rPr>
          <w:vertAlign w:val="subscript"/>
        </w:rPr>
        <w:t>N</w:t>
      </w:r>
      <w:r w:rsidRPr="00261B7A">
        <w:t xml:space="preserve"> and BG</w:t>
      </w:r>
      <w:r w:rsidRPr="00261B7A">
        <w:rPr>
          <w:vertAlign w:val="subscript"/>
        </w:rPr>
        <w:t>N</w:t>
      </w:r>
      <w:r w:rsidRPr="00261B7A">
        <w:t xml:space="preserve"> are the annual nitrogen residue returned to soils from above- and below-ground crop residue, and crop-specific values are given in annex 3, table A3.1.8, and the country-specific value of EF</w:t>
      </w:r>
      <w:r w:rsidRPr="00261B7A">
        <w:rPr>
          <w:vertAlign w:val="subscript"/>
        </w:rPr>
        <w:t>1</w:t>
      </w:r>
      <w:r w:rsidRPr="00261B7A">
        <w:t xml:space="preserve"> of 0.01 is used (see table 5.5.2).</w:t>
      </w:r>
    </w:p>
    <w:bookmarkStart w:id="1125" w:name="_MON_1552215074"/>
    <w:bookmarkEnd w:id="1125"/>
    <w:p w14:paraId="246DD4F6" w14:textId="77777777" w:rsidR="00994F64" w:rsidRPr="00261B7A" w:rsidRDefault="00994F64" w:rsidP="00994F64">
      <w:pPr>
        <w:pStyle w:val="BodyText"/>
        <w:spacing w:before="80" w:after="0"/>
        <w:jc w:val="center"/>
        <w:rPr>
          <w:rFonts w:cs="Calibri"/>
        </w:rPr>
      </w:pPr>
      <w:r w:rsidRPr="00261B7A">
        <w:rPr>
          <w:rFonts w:cs="Calibri"/>
        </w:rPr>
        <w:object w:dxaOrig="8201" w:dyaOrig="801" w14:anchorId="081E7D4E">
          <v:shape id="_x0000_i1049" type="#_x0000_t75" style="width:404pt;height:42.5pt" o:ole="">
            <v:imagedata r:id="rId153" o:title="" cropleft="4520f" cropright="2002f"/>
          </v:shape>
          <o:OLEObject Type="Embed" ProgID="Word.Document.12" ShapeID="_x0000_i1049" DrawAspect="Content" ObjectID="_1742911588" r:id="rId154">
            <o:FieldCodes>\s</o:FieldCodes>
          </o:OLEObject>
        </w:object>
      </w:r>
    </w:p>
    <w:p w14:paraId="248F997E" w14:textId="77777777" w:rsidR="00994F64" w:rsidRPr="00261B7A" w:rsidRDefault="00994F64" w:rsidP="00994F64">
      <w:pPr>
        <w:pStyle w:val="BodyText"/>
        <w:spacing w:before="60" w:after="40"/>
        <w:ind w:left="964" w:hanging="964"/>
      </w:pPr>
      <w:r w:rsidRPr="00261B7A">
        <w:t>Where:</w:t>
      </w:r>
      <w:r w:rsidRPr="00261B7A">
        <w:tab/>
        <w:t>AG</w:t>
      </w:r>
      <w:r w:rsidRPr="00261B7A">
        <w:rPr>
          <w:vertAlign w:val="subscript"/>
        </w:rPr>
        <w:t>DM</w:t>
      </w:r>
      <w:r w:rsidRPr="00261B7A">
        <w:t xml:space="preserve"> is the mass of the above-ground residue dry matter (explained in the equation below)</w:t>
      </w:r>
    </w:p>
    <w:p w14:paraId="34002C20" w14:textId="77777777" w:rsidR="00994F64" w:rsidRPr="00261B7A" w:rsidRDefault="00994F64" w:rsidP="00994F64">
      <w:pPr>
        <w:pStyle w:val="BodyText"/>
        <w:spacing w:before="40" w:after="40"/>
        <w:ind w:left="964" w:hanging="964"/>
      </w:pPr>
      <w:r w:rsidRPr="00261B7A">
        <w:tab/>
        <w:t>Crop</w:t>
      </w:r>
      <w:r w:rsidRPr="00261B7A">
        <w:rPr>
          <w:vertAlign w:val="subscript"/>
        </w:rPr>
        <w:t>T</w:t>
      </w:r>
      <w:r w:rsidRPr="00261B7A">
        <w:t xml:space="preserve"> is the crop yield, or mass, removed during harvest</w:t>
      </w:r>
    </w:p>
    <w:p w14:paraId="05A987B1" w14:textId="77777777" w:rsidR="00994F64" w:rsidRPr="00261B7A" w:rsidRDefault="00994F64" w:rsidP="00994F64">
      <w:pPr>
        <w:pStyle w:val="BodyText"/>
        <w:spacing w:before="40" w:after="40"/>
        <w:ind w:left="964" w:hanging="964"/>
      </w:pPr>
      <w:r w:rsidRPr="00261B7A">
        <w:tab/>
        <w:t>N</w:t>
      </w:r>
      <w:r w:rsidRPr="00261B7A">
        <w:rPr>
          <w:vertAlign w:val="subscript"/>
        </w:rPr>
        <w:t>AG</w:t>
      </w:r>
      <w:r w:rsidRPr="00261B7A">
        <w:t xml:space="preserve"> and N</w:t>
      </w:r>
      <w:r w:rsidRPr="00261B7A">
        <w:rPr>
          <w:vertAlign w:val="subscript"/>
        </w:rPr>
        <w:t>BG</w:t>
      </w:r>
      <w:r w:rsidRPr="00261B7A">
        <w:t xml:space="preserve"> are the above- and below-ground crop-specific nitrogen concentration factors, and</w:t>
      </w:r>
    </w:p>
    <w:p w14:paraId="53C75064" w14:textId="77777777" w:rsidR="00994F64" w:rsidRPr="00261B7A" w:rsidRDefault="00994F64" w:rsidP="00994F64">
      <w:pPr>
        <w:pStyle w:val="BodyText"/>
        <w:spacing w:before="40"/>
        <w:ind w:left="964" w:hanging="964"/>
      </w:pPr>
      <w:r w:rsidRPr="00261B7A">
        <w:tab/>
        <w:t>R</w:t>
      </w:r>
      <w:r w:rsidRPr="00261B7A">
        <w:rPr>
          <w:vertAlign w:val="subscript"/>
        </w:rPr>
        <w:t>BG</w:t>
      </w:r>
      <w:r w:rsidRPr="00261B7A">
        <w:t xml:space="preserve"> is the crop-specific root:shoot ratio of below-ground dry matter against the total above-ground crop biomass (crop gathered, Crop</w:t>
      </w:r>
      <w:r w:rsidRPr="00261B7A">
        <w:rPr>
          <w:vertAlign w:val="subscript"/>
        </w:rPr>
        <w:t>T</w:t>
      </w:r>
      <w:r w:rsidRPr="00261B7A">
        <w:t>, plus above-ground residue dry matter, AG</w:t>
      </w:r>
      <w:r w:rsidRPr="00261B7A">
        <w:rPr>
          <w:vertAlign w:val="subscript"/>
        </w:rPr>
        <w:t>DM</w:t>
      </w:r>
      <w:r w:rsidRPr="00261B7A">
        <w:t>), 0.1 (see annex 3, table A3.1.8).</w:t>
      </w:r>
    </w:p>
    <w:bookmarkStart w:id="1126" w:name="_MON_1644047455"/>
    <w:bookmarkEnd w:id="1126"/>
    <w:p w14:paraId="2063E3EC" w14:textId="77777777" w:rsidR="00994F64" w:rsidRPr="00261B7A" w:rsidRDefault="00994F64" w:rsidP="00994F64">
      <w:pPr>
        <w:pStyle w:val="BodyText"/>
        <w:spacing w:before="60" w:after="60"/>
        <w:jc w:val="center"/>
        <w:rPr>
          <w:rFonts w:cs="Calibri"/>
        </w:rPr>
      </w:pPr>
      <w:r w:rsidRPr="00261B7A">
        <w:rPr>
          <w:rFonts w:cs="Calibri"/>
        </w:rPr>
        <w:object w:dxaOrig="6341" w:dyaOrig="502" w14:anchorId="14B9D309">
          <v:shape id="_x0000_i1050" type="#_x0000_t75" style="width:316.5pt;height:29.5pt" o:ole="">
            <v:imagedata r:id="rId155" o:title=""/>
          </v:shape>
          <o:OLEObject Type="Embed" ProgID="Word.Document.12" ShapeID="_x0000_i1050" DrawAspect="Content" ObjectID="_1742911589" r:id="rId156">
            <o:FieldCodes>\s</o:FieldCodes>
          </o:OLEObject>
        </w:object>
      </w:r>
    </w:p>
    <w:p w14:paraId="332B952C" w14:textId="77777777" w:rsidR="00994F64" w:rsidRPr="00261B7A" w:rsidRDefault="00994F64" w:rsidP="00994F64">
      <w:pPr>
        <w:pStyle w:val="BodyText"/>
        <w:spacing w:after="60"/>
        <w:ind w:left="964" w:hanging="964"/>
      </w:pPr>
      <w:r w:rsidRPr="00261B7A">
        <w:t>Where:</w:t>
      </w:r>
      <w:r w:rsidRPr="00261B7A">
        <w:tab/>
        <w:t>HI is the crop-specific harvest index or fraction of the crop that is harvested (see annex 3, table A3.1.8)</w:t>
      </w:r>
    </w:p>
    <w:p w14:paraId="2A069AEB" w14:textId="77777777" w:rsidR="00994F64" w:rsidRPr="00261B7A" w:rsidRDefault="00994F64" w:rsidP="00994F64">
      <w:pPr>
        <w:pStyle w:val="BodyText"/>
        <w:spacing w:before="40" w:after="60"/>
        <w:ind w:left="964" w:hanging="964"/>
      </w:pPr>
      <w:r w:rsidRPr="00261B7A">
        <w:tab/>
        <w:t>Frac</w:t>
      </w:r>
      <w:r w:rsidRPr="00261B7A">
        <w:rPr>
          <w:vertAlign w:val="subscript"/>
        </w:rPr>
        <w:t>BURN</w:t>
      </w:r>
      <w:r w:rsidRPr="00261B7A">
        <w:t xml:space="preserve"> is the fraction of residue burned in the field (see table 5.5.4), and</w:t>
      </w:r>
    </w:p>
    <w:p w14:paraId="5A71EC5B" w14:textId="77777777" w:rsidR="00994F64" w:rsidRPr="00261B7A" w:rsidRDefault="00994F64" w:rsidP="00994F64">
      <w:pPr>
        <w:pStyle w:val="BodyText"/>
        <w:spacing w:before="40" w:after="60"/>
        <w:ind w:left="964" w:hanging="964"/>
      </w:pPr>
      <w:r w:rsidRPr="00261B7A">
        <w:tab/>
        <w:t>C</w:t>
      </w:r>
      <w:r w:rsidRPr="00261B7A">
        <w:rPr>
          <w:vertAlign w:val="subscript"/>
        </w:rPr>
        <w:t>f</w:t>
      </w:r>
      <w:r w:rsidRPr="00261B7A">
        <w:t xml:space="preserve"> is the combustion factor; a value of 0.7 is recommended (Thomas et al., 2008).</w:t>
      </w:r>
    </w:p>
    <w:p w14:paraId="5F8547BB" w14:textId="77777777" w:rsidR="00994F64" w:rsidRPr="00261B7A" w:rsidRDefault="00994F64" w:rsidP="00994F64">
      <w:pPr>
        <w:pStyle w:val="BodyText"/>
      </w:pPr>
      <w:r w:rsidRPr="00261B7A">
        <w:t>The country-specific value for Frac</w:t>
      </w:r>
      <w:r w:rsidRPr="00261B7A">
        <w:rPr>
          <w:vertAlign w:val="subscript"/>
        </w:rPr>
        <w:t>BURN</w:t>
      </w:r>
      <w:r w:rsidRPr="00261B7A">
        <w:t>, the fraction of residue burned in the field, was derived from Stats NZ data and farmer surveys (Thomas et al., 2011). The parameters used to estimate the nitrogen added by above- and below-ground crop residues were compiled from published and unpublished reports for New Zealand-grown crops (Cichota et al., 2010) and ‘typical’ values derived for use in the OVERSEER</w:t>
      </w:r>
      <w:r w:rsidRPr="00261B7A">
        <w:rPr>
          <w:vertAlign w:val="superscript"/>
        </w:rPr>
        <w:t>®</w:t>
      </w:r>
      <w:r w:rsidRPr="00261B7A">
        <w:t xml:space="preserve"> nutrient budget model for New Zealand. The OVERSEER</w:t>
      </w:r>
      <w:r w:rsidRPr="00261B7A">
        <w:rPr>
          <w:vertAlign w:val="superscript"/>
        </w:rPr>
        <w:t>®</w:t>
      </w:r>
      <w:r w:rsidRPr="00261B7A">
        <w:t xml:space="preserve"> model provides average estimates of the fate of nitrogen for a range of pastoral, arable and horticultural systems (www.overseer.org.nz). </w:t>
      </w:r>
    </w:p>
    <w:p w14:paraId="171DC79F" w14:textId="77777777" w:rsidR="00994F64" w:rsidRPr="00261B7A" w:rsidRDefault="00994F64" w:rsidP="00994F64">
      <w:pPr>
        <w:pStyle w:val="BodyText"/>
      </w:pPr>
      <w:r w:rsidRPr="00261B7A">
        <w:t xml:space="preserve">The per-year harvested tonnage of most non-nitrogen-fixing crops in New Zealand is supplied by Stats NZ from its Agricultural Production Census and Survey. Additional information on potatoes is provided by Potatoes New Zealand, and updated information on seed crops is provided by AsureQuality, which provides verification and certification services for the seed industry (Thomas, unpublished; S Thomas, pers. comm., 2014). The tonnage of nitrogen-fixing crops is supplied by Stats NZ from its Agricultural Production Census and Survey (lentils and legumes) and Horticulture New Zealand (peas) (S Thomas, pers. comm., 2014). </w:t>
      </w:r>
    </w:p>
    <w:p w14:paraId="6C7FEDCF" w14:textId="77777777" w:rsidR="00994F64" w:rsidRPr="00261B7A" w:rsidRDefault="00994F64" w:rsidP="00994F64">
      <w:pPr>
        <w:pStyle w:val="BodyText"/>
        <w:rPr>
          <w:rFonts w:cs="Calibri"/>
          <w:spacing w:val="-2"/>
        </w:rPr>
      </w:pPr>
      <w:r w:rsidRPr="00261B7A">
        <w:rPr>
          <w:rFonts w:cs="Calibri"/>
          <w:b/>
          <w:bCs/>
          <w:spacing w:val="-2"/>
        </w:rPr>
        <w:t xml:space="preserve">Nitrogen from pasture renewal: </w:t>
      </w:r>
      <w:r w:rsidRPr="00261B7A">
        <w:rPr>
          <w:rFonts w:cs="Calibri"/>
          <w:spacing w:val="-2"/>
        </w:rPr>
        <w:t>Of the four categories of perennial forage that the IPCC (2006) lists for pasture renewal, only two categories are appropriate for New Zealand (Thomas et al., 2014): these are grass–clover pastures and lucerne, a nitrogen-fixing perennial forage. New Zealand has calculated emissions from pasture renewal per plant species type, T, separately:</w:t>
      </w:r>
    </w:p>
    <w:bookmarkStart w:id="1127" w:name="_MON_1576650483"/>
    <w:bookmarkEnd w:id="1127"/>
    <w:p w14:paraId="02D3103F" w14:textId="77777777" w:rsidR="00994F64" w:rsidRPr="00261B7A" w:rsidRDefault="00994F64" w:rsidP="00994F64">
      <w:pPr>
        <w:pStyle w:val="BodyText"/>
        <w:spacing w:before="60" w:after="0"/>
      </w:pPr>
      <w:r w:rsidRPr="00261B7A">
        <w:object w:dxaOrig="8471" w:dyaOrig="796" w14:anchorId="37E1AE80">
          <v:shape id="_x0000_i1051" type="#_x0000_t75" style="width:425pt;height:42.5pt" o:ole="">
            <v:imagedata r:id="rId157" o:title="" cropright="6217f"/>
          </v:shape>
          <o:OLEObject Type="Embed" ProgID="Word.Document.12" ShapeID="_x0000_i1051" DrawAspect="Content" ObjectID="_1742911590" r:id="rId158">
            <o:FieldCodes>\s</o:FieldCodes>
          </o:OLEObject>
        </w:object>
      </w:r>
    </w:p>
    <w:p w14:paraId="7622DFAE" w14:textId="77777777" w:rsidR="00994F64" w:rsidRPr="00261B7A" w:rsidRDefault="00994F64" w:rsidP="00994F64">
      <w:pPr>
        <w:pStyle w:val="BodyText"/>
        <w:spacing w:after="40"/>
        <w:ind w:left="964" w:hanging="964"/>
      </w:pPr>
      <w:r w:rsidRPr="00261B7A">
        <w:t>Where:</w:t>
      </w:r>
      <w:r w:rsidRPr="00261B7A">
        <w:tab/>
        <w:t>Area</w:t>
      </w:r>
      <w:r w:rsidRPr="00261B7A">
        <w:rPr>
          <w:vertAlign w:val="subscript"/>
        </w:rPr>
        <w:t>T</w:t>
      </w:r>
      <w:r w:rsidRPr="00261B7A">
        <w:t xml:space="preserve"> is the total annual area harvested (hectares per year). No burning is used for pasture renewal in New Zealand</w:t>
      </w:r>
    </w:p>
    <w:p w14:paraId="32EC0928" w14:textId="77777777" w:rsidR="00994F64" w:rsidRPr="00261B7A" w:rsidRDefault="00994F64" w:rsidP="006B0FD0">
      <w:pPr>
        <w:pStyle w:val="BodyText"/>
        <w:spacing w:before="40" w:after="40"/>
        <w:ind w:left="964" w:hanging="964"/>
      </w:pPr>
      <w:r w:rsidRPr="00261B7A">
        <w:tab/>
        <w:t>Frac</w:t>
      </w:r>
      <w:r w:rsidRPr="00261B7A">
        <w:rPr>
          <w:vertAlign w:val="subscript"/>
        </w:rPr>
        <w:t>RENEW(T)</w:t>
      </w:r>
      <w:r w:rsidRPr="00261B7A">
        <w:t xml:space="preserve"> is the fraction of the area under each crop that is renewed</w:t>
      </w:r>
    </w:p>
    <w:p w14:paraId="24280026" w14:textId="77777777" w:rsidR="00994F64" w:rsidRPr="00261B7A" w:rsidRDefault="00994F64" w:rsidP="006B0FD0">
      <w:pPr>
        <w:pStyle w:val="BodyText"/>
        <w:spacing w:before="40" w:after="40"/>
        <w:ind w:left="964" w:hanging="964"/>
      </w:pPr>
      <w:r w:rsidRPr="00261B7A">
        <w:tab/>
        <w:t>R</w:t>
      </w:r>
      <w:r w:rsidRPr="00261B7A">
        <w:rPr>
          <w:vertAlign w:val="subscript"/>
        </w:rPr>
        <w:t>AG(T)</w:t>
      </w:r>
      <w:r w:rsidRPr="00261B7A">
        <w:t xml:space="preserve"> is the ratio of above-ground residue dry matter (DM) to harvested yield (kg N/kg DM)</w:t>
      </w:r>
    </w:p>
    <w:p w14:paraId="2D9A899F" w14:textId="77777777" w:rsidR="00994F64" w:rsidRPr="00261B7A" w:rsidRDefault="00994F64" w:rsidP="006B0FD0">
      <w:pPr>
        <w:pStyle w:val="BodyText"/>
        <w:spacing w:before="40" w:after="40"/>
        <w:ind w:left="964" w:hanging="964"/>
      </w:pPr>
      <w:r w:rsidRPr="00261B7A">
        <w:tab/>
        <w:t>N</w:t>
      </w:r>
      <w:r w:rsidRPr="00261B7A">
        <w:rPr>
          <w:vertAlign w:val="subscript"/>
        </w:rPr>
        <w:t>AG(T)</w:t>
      </w:r>
      <w:r w:rsidRPr="00261B7A">
        <w:t xml:space="preserve"> is the nitrogen content of above-ground residue (kg N/kg DM)</w:t>
      </w:r>
    </w:p>
    <w:p w14:paraId="1C9E6E1C" w14:textId="77777777" w:rsidR="00994F64" w:rsidRPr="00261B7A" w:rsidRDefault="00994F64" w:rsidP="006B0FD0">
      <w:pPr>
        <w:pStyle w:val="BodyText"/>
        <w:spacing w:before="40" w:after="40"/>
        <w:ind w:left="964" w:hanging="964"/>
      </w:pPr>
      <w:r w:rsidRPr="00261B7A">
        <w:tab/>
        <w:t>Frac</w:t>
      </w:r>
      <w:r w:rsidRPr="00261B7A">
        <w:rPr>
          <w:vertAlign w:val="subscript"/>
        </w:rPr>
        <w:t>REMOVE (T)</w:t>
      </w:r>
      <w:r w:rsidRPr="00261B7A">
        <w:t xml:space="preserve"> is the fraction of above-ground residue removed annually for feed, assumed zero for New Zealand</w:t>
      </w:r>
    </w:p>
    <w:p w14:paraId="04F2D761" w14:textId="77777777" w:rsidR="00994F64" w:rsidRPr="00261B7A" w:rsidRDefault="00994F64" w:rsidP="006B0FD0">
      <w:pPr>
        <w:pStyle w:val="BodyText"/>
        <w:spacing w:before="40" w:after="40"/>
        <w:ind w:left="964" w:hanging="964"/>
      </w:pPr>
      <w:r w:rsidRPr="00261B7A">
        <w:tab/>
        <w:t>R</w:t>
      </w:r>
      <w:r w:rsidRPr="00261B7A">
        <w:rPr>
          <w:vertAlign w:val="subscript"/>
        </w:rPr>
        <w:t>BG(T)</w:t>
      </w:r>
      <w:r w:rsidRPr="00261B7A">
        <w:t xml:space="preserve"> is the ratio of below-ground residue DM to harvest yield (kg N/kg DM), and</w:t>
      </w:r>
    </w:p>
    <w:p w14:paraId="733D6858" w14:textId="77777777" w:rsidR="00994F64" w:rsidRPr="00261B7A" w:rsidRDefault="00994F64" w:rsidP="006B0FD0">
      <w:pPr>
        <w:pStyle w:val="BodyText"/>
        <w:spacing w:before="40"/>
        <w:ind w:left="964" w:hanging="964"/>
      </w:pPr>
      <w:r w:rsidRPr="00261B7A">
        <w:tab/>
        <w:t>N</w:t>
      </w:r>
      <w:r w:rsidRPr="00261B7A">
        <w:rPr>
          <w:vertAlign w:val="subscript"/>
        </w:rPr>
        <w:t>BG(T)</w:t>
      </w:r>
      <w:r w:rsidRPr="00261B7A">
        <w:t xml:space="preserve"> is the nitrogen content of below-ground residue (kg N/kg DM).</w:t>
      </w:r>
    </w:p>
    <w:p w14:paraId="15D8FC72" w14:textId="77777777" w:rsidR="00994F64" w:rsidRPr="00261B7A" w:rsidRDefault="00994F64" w:rsidP="006B0FD0">
      <w:pPr>
        <w:pStyle w:val="BodyText"/>
        <w:spacing w:before="100" w:after="100"/>
        <w:rPr>
          <w:rFonts w:cs="Calibri"/>
        </w:rPr>
      </w:pPr>
      <w:r w:rsidRPr="00261B7A">
        <w:rPr>
          <w:rFonts w:cs="Calibri"/>
        </w:rPr>
        <w:t>The areas for each perennial forage crop were obtained from the Stats NZ Agricultural Production Census a</w:t>
      </w:r>
      <w:r w:rsidRPr="00261B7A">
        <w:rPr>
          <w:rStyle w:val="BodyTextChar"/>
          <w:rFonts w:cs="Calibri"/>
        </w:rPr>
        <w:t>n</w:t>
      </w:r>
      <w:r w:rsidRPr="00261B7A">
        <w:rPr>
          <w:rFonts w:cs="Calibri"/>
        </w:rPr>
        <w:t>d Survey, which include the area of grassland and annual crops from 1990 to 2021. The disaggregation of grass–clover systems has been considered, but there is insufficient activity data for pastures of different compositions in New Zealand because the proportion of clover varies widely in high nitrogen input systems. This means that disaggregated data on the nitrogen content are not currently available.</w:t>
      </w:r>
    </w:p>
    <w:p w14:paraId="40595A49" w14:textId="77777777" w:rsidR="00994F64" w:rsidRPr="00261B7A" w:rsidRDefault="00994F64" w:rsidP="006B0FD0">
      <w:pPr>
        <w:pStyle w:val="BodyText"/>
        <w:spacing w:before="100" w:after="100"/>
        <w:rPr>
          <w:rFonts w:cs="Calibri"/>
        </w:rPr>
      </w:pPr>
      <w:r w:rsidRPr="00261B7A">
        <w:rPr>
          <w:rFonts w:cs="Calibri"/>
        </w:rPr>
        <w:t>The contribution of crop residues and pasture renewal to overall agricultural emissions is small, with 186.9 kt CO</w:t>
      </w:r>
      <w:r w:rsidRPr="00261B7A">
        <w:rPr>
          <w:rFonts w:cs="Calibri"/>
          <w:vertAlign w:val="subscript"/>
        </w:rPr>
        <w:t>2</w:t>
      </w:r>
      <w:r w:rsidRPr="00261B7A">
        <w:rPr>
          <w:rFonts w:cs="Calibri"/>
        </w:rPr>
        <w:t>-e (0.6 per cent of total agricultural emissions) in 1990 and 272.3 kt CO</w:t>
      </w:r>
      <w:r w:rsidRPr="00261B7A">
        <w:rPr>
          <w:rFonts w:cs="Calibri"/>
          <w:vertAlign w:val="subscript"/>
        </w:rPr>
        <w:t>2</w:t>
      </w:r>
      <w:r w:rsidRPr="00261B7A">
        <w:rPr>
          <w:rFonts w:cs="Calibri"/>
        </w:rPr>
        <w:noBreakHyphen/>
        <w:t>e (0.7 per cent of total agricultural emissions) in 2021.</w:t>
      </w:r>
    </w:p>
    <w:p w14:paraId="3EE97730" w14:textId="77777777" w:rsidR="00994F64" w:rsidRPr="00261B7A" w:rsidRDefault="00994F64" w:rsidP="006B0FD0">
      <w:pPr>
        <w:pStyle w:val="Heading5"/>
        <w:spacing w:before="180"/>
        <w:rPr>
          <w:rFonts w:cs="Calibri"/>
        </w:rPr>
      </w:pPr>
      <w:r w:rsidRPr="00261B7A">
        <w:rPr>
          <w:rFonts w:cs="Calibri"/>
        </w:rPr>
        <w:t>Nitrogen mineralisation from loss of soil organic matter in mineral soils (CRF 3.D.1.5)</w:t>
      </w:r>
    </w:p>
    <w:p w14:paraId="1D8E5005" w14:textId="77777777" w:rsidR="00994F64" w:rsidRPr="00261B7A" w:rsidRDefault="00994F64" w:rsidP="006B0FD0">
      <w:pPr>
        <w:pStyle w:val="BodyText"/>
        <w:spacing w:before="100" w:after="100"/>
        <w:rPr>
          <w:rFonts w:cs="Calibri"/>
        </w:rPr>
      </w:pPr>
      <w:r w:rsidRPr="00261B7A">
        <w:rPr>
          <w:rFonts w:cs="Calibri"/>
        </w:rPr>
        <w:t>Nitrogen mineralisation is the process by which organic nitrogen is converted to plant-available inorganic forms. Nitrogen mineralisation occurs when soil carbon is lost due to land</w:t>
      </w:r>
      <w:r w:rsidRPr="00261B7A">
        <w:rPr>
          <w:rFonts w:cs="Calibri"/>
        </w:rPr>
        <w:noBreakHyphen/>
        <w:t xml:space="preserve">use or management change. Most of New Zealand’s emissions from nitrogen mineralised during the loss of soil organic matter are covered under the LULUCF sector. The exception is for activities under the </w:t>
      </w:r>
      <w:r w:rsidRPr="00261B7A">
        <w:rPr>
          <w:rFonts w:cs="Calibri"/>
          <w:i/>
          <w:iCs/>
        </w:rPr>
        <w:t>Cropland remaining cropland</w:t>
      </w:r>
      <w:r w:rsidRPr="00261B7A">
        <w:rPr>
          <w:rFonts w:cs="Calibri"/>
        </w:rPr>
        <w:t xml:space="preserve"> land-use category, which are reported under the Agriculture sector (IPCC, 2006). </w:t>
      </w:r>
    </w:p>
    <w:p w14:paraId="77A092A6" w14:textId="77777777" w:rsidR="00994F64" w:rsidRPr="00261B7A" w:rsidRDefault="00994F64" w:rsidP="00933366">
      <w:pPr>
        <w:pStyle w:val="BodyText"/>
        <w:spacing w:before="100" w:after="60"/>
        <w:rPr>
          <w:rFonts w:cs="Calibri"/>
        </w:rPr>
      </w:pPr>
      <w:r w:rsidRPr="00261B7A">
        <w:rPr>
          <w:rFonts w:cs="Calibri"/>
        </w:rPr>
        <w:t>The following equations are used to determine emissions from this activity:</w:t>
      </w:r>
    </w:p>
    <w:p w14:paraId="6626EB67" w14:textId="77777777" w:rsidR="00994F64" w:rsidRPr="00261B7A" w:rsidRDefault="00994F64" w:rsidP="00994F64">
      <w:pPr>
        <w:pStyle w:val="BodyText"/>
        <w:spacing w:before="20" w:after="20"/>
        <w:jc w:val="center"/>
        <w:rPr>
          <w:rFonts w:cs="Calibri"/>
        </w:rPr>
      </w:pPr>
      <w:r w:rsidRPr="00261B7A">
        <w:rPr>
          <w:rFonts w:cs="Calibri"/>
        </w:rPr>
        <w:object w:dxaOrig="6221" w:dyaOrig="501" w14:anchorId="67F0411C">
          <v:shape id="_x0000_i1052" type="#_x0000_t75" style="width:308.5pt;height:29.5pt" o:ole="">
            <v:imagedata r:id="rId159" o:title=""/>
          </v:shape>
          <o:OLEObject Type="Embed" ProgID="Word.Document.12" ShapeID="_x0000_i1052" DrawAspect="Content" ObjectID="_1742911591" r:id="rId160">
            <o:FieldCodes>\s</o:FieldCodes>
          </o:OLEObject>
        </w:object>
      </w:r>
    </w:p>
    <w:p w14:paraId="7E21CD6B" w14:textId="77777777" w:rsidR="00994F64" w:rsidRPr="00261B7A" w:rsidRDefault="00994F64" w:rsidP="00994F64">
      <w:pPr>
        <w:pStyle w:val="BodyText"/>
        <w:spacing w:after="40"/>
        <w:ind w:left="964" w:hanging="964"/>
        <w:rPr>
          <w:rFonts w:cs="Calibri"/>
        </w:rPr>
      </w:pPr>
      <w:r w:rsidRPr="00261B7A">
        <w:rPr>
          <w:rFonts w:cs="Calibri"/>
        </w:rPr>
        <w:t>Where:</w:t>
      </w:r>
      <w:r w:rsidRPr="00261B7A">
        <w:rPr>
          <w:rFonts w:cs="Calibri"/>
        </w:rPr>
        <w:tab/>
        <w:t>N</w:t>
      </w:r>
      <w:r w:rsidRPr="00261B7A">
        <w:rPr>
          <w:rFonts w:cs="Calibri"/>
          <w:vertAlign w:val="subscript"/>
        </w:rPr>
        <w:t>2</w:t>
      </w:r>
      <w:r w:rsidRPr="00261B7A">
        <w:rPr>
          <w:rFonts w:cs="Calibri"/>
        </w:rPr>
        <w:t>O</w:t>
      </w:r>
      <w:r w:rsidRPr="00261B7A">
        <w:rPr>
          <w:rFonts w:cs="Calibri"/>
          <w:vertAlign w:val="subscript"/>
        </w:rPr>
        <w:t>FSOM</w:t>
      </w:r>
      <w:r w:rsidRPr="00261B7A">
        <w:rPr>
          <w:rFonts w:cs="Calibri"/>
        </w:rPr>
        <w:t xml:space="preserve"> is the N</w:t>
      </w:r>
      <w:r w:rsidRPr="00261B7A">
        <w:rPr>
          <w:rFonts w:cs="Calibri"/>
          <w:vertAlign w:val="subscript"/>
        </w:rPr>
        <w:t>2</w:t>
      </w:r>
      <w:r w:rsidRPr="00261B7A">
        <w:rPr>
          <w:rFonts w:cs="Calibri"/>
        </w:rPr>
        <w:t>O emitted as a result of nitrogen mineralisation from loss of soil organic matter in mineral soils (kt), and</w:t>
      </w:r>
    </w:p>
    <w:p w14:paraId="71D27D80" w14:textId="77777777" w:rsidR="00994F64" w:rsidRPr="00261B7A" w:rsidRDefault="00994F64" w:rsidP="00994F64">
      <w:pPr>
        <w:pStyle w:val="BodyText"/>
        <w:spacing w:before="60" w:after="40"/>
        <w:ind w:left="964" w:hanging="964"/>
        <w:rPr>
          <w:rFonts w:cs="Calibri"/>
        </w:rPr>
      </w:pPr>
      <w:r w:rsidRPr="00261B7A">
        <w:rPr>
          <w:rFonts w:cs="Calibri"/>
        </w:rPr>
        <w:tab/>
        <w:t>F</w:t>
      </w:r>
      <w:r w:rsidRPr="00261B7A">
        <w:rPr>
          <w:rFonts w:cs="Calibri"/>
          <w:vertAlign w:val="subscript"/>
        </w:rPr>
        <w:t>SOM</w:t>
      </w:r>
      <w:r w:rsidRPr="00261B7A">
        <w:rPr>
          <w:rFonts w:cs="Calibri"/>
        </w:rPr>
        <w:t xml:space="preserve"> is the nitrogen mineralisation from loss of soil organic matter in mineral soils through land management for </w:t>
      </w:r>
      <w:r w:rsidRPr="00261B7A">
        <w:rPr>
          <w:rFonts w:cs="Calibri"/>
          <w:i/>
          <w:iCs/>
        </w:rPr>
        <w:t>Cropland remaining cropland</w:t>
      </w:r>
      <w:r w:rsidRPr="00261B7A">
        <w:rPr>
          <w:rFonts w:cs="Calibri"/>
        </w:rPr>
        <w:t xml:space="preserve"> (kg)</w:t>
      </w:r>
    </w:p>
    <w:p w14:paraId="33258C9D" w14:textId="77777777" w:rsidR="00994F64" w:rsidRPr="00261B7A" w:rsidRDefault="00994F64" w:rsidP="00994F64">
      <w:pPr>
        <w:pStyle w:val="BodyText"/>
        <w:spacing w:before="60"/>
        <w:ind w:left="964" w:hanging="964"/>
        <w:rPr>
          <w:rFonts w:cs="Calibri"/>
        </w:rPr>
      </w:pPr>
      <w:r w:rsidRPr="00261B7A">
        <w:rPr>
          <w:rFonts w:cs="Calibri"/>
        </w:rPr>
        <w:tab/>
        <w:t>The emission factor EF</w:t>
      </w:r>
      <w:r w:rsidRPr="00261B7A">
        <w:rPr>
          <w:rFonts w:cs="Calibri"/>
          <w:vertAlign w:val="subscript"/>
        </w:rPr>
        <w:t>1</w:t>
      </w:r>
      <w:r w:rsidRPr="00261B7A">
        <w:rPr>
          <w:rFonts w:cs="Calibri"/>
        </w:rPr>
        <w:t xml:space="preserve"> is 0.01 (Kelliher and de Klein, u</w:t>
      </w:r>
      <w:r w:rsidRPr="00261B7A">
        <w:t>npublished</w:t>
      </w:r>
      <w:r w:rsidRPr="00261B7A">
        <w:rPr>
          <w:rFonts w:cs="Calibri"/>
        </w:rPr>
        <w:t>).</w:t>
      </w:r>
    </w:p>
    <w:p w14:paraId="42903947" w14:textId="77777777" w:rsidR="00994F64" w:rsidRPr="00261B7A" w:rsidRDefault="00994F64" w:rsidP="00933366">
      <w:pPr>
        <w:pStyle w:val="BodyText"/>
        <w:keepNext/>
        <w:spacing w:after="60"/>
        <w:rPr>
          <w:rFonts w:cs="Calibri"/>
        </w:rPr>
      </w:pPr>
      <w:r w:rsidRPr="00261B7A">
        <w:rPr>
          <w:rFonts w:cs="Calibri"/>
        </w:rPr>
        <w:t>And:</w:t>
      </w:r>
    </w:p>
    <w:p w14:paraId="31F23541" w14:textId="77777777" w:rsidR="00994F64" w:rsidRPr="00261B7A" w:rsidRDefault="00994F64" w:rsidP="00994F64">
      <w:pPr>
        <w:pStyle w:val="BodyText"/>
        <w:spacing w:before="0"/>
        <w:jc w:val="center"/>
        <w:rPr>
          <w:rFonts w:cs="Calibri"/>
        </w:rPr>
      </w:pPr>
      <w:r w:rsidRPr="00261B7A">
        <w:rPr>
          <w:rFonts w:cs="Calibri"/>
        </w:rPr>
        <w:object w:dxaOrig="5351" w:dyaOrig="494" w14:anchorId="06FEBC7F">
          <v:shape id="_x0000_i1053" type="#_x0000_t75" style="width:266pt;height:29.5pt" o:ole="">
            <v:imagedata r:id="rId161" o:title=""/>
          </v:shape>
          <o:OLEObject Type="Embed" ProgID="Word.Document.12" ShapeID="_x0000_i1053" DrawAspect="Content" ObjectID="_1742911592" r:id="rId162">
            <o:FieldCodes>\s</o:FieldCodes>
          </o:OLEObject>
        </w:object>
      </w:r>
    </w:p>
    <w:p w14:paraId="33F1DE00" w14:textId="77777777" w:rsidR="00994F64" w:rsidRPr="00261B7A" w:rsidRDefault="00994F64" w:rsidP="00994F64">
      <w:pPr>
        <w:pStyle w:val="BodyText"/>
        <w:spacing w:after="40"/>
        <w:ind w:left="964" w:hanging="964"/>
        <w:rPr>
          <w:rFonts w:cs="Calibri"/>
        </w:rPr>
      </w:pPr>
      <w:r w:rsidRPr="00261B7A">
        <w:rPr>
          <w:rFonts w:cs="Calibri"/>
        </w:rPr>
        <w:t>Where:</w:t>
      </w:r>
      <w:r w:rsidRPr="00261B7A">
        <w:rPr>
          <w:rFonts w:cs="Calibri"/>
        </w:rPr>
        <w:tab/>
        <w:t>∆C</w:t>
      </w:r>
      <w:r w:rsidRPr="00261B7A">
        <w:rPr>
          <w:rFonts w:cs="Calibri"/>
          <w:vertAlign w:val="subscript"/>
        </w:rPr>
        <w:t>Mineral,CrC</w:t>
      </w:r>
      <w:r w:rsidRPr="00261B7A">
        <w:rPr>
          <w:rFonts w:cs="Calibri"/>
        </w:rPr>
        <w:t xml:space="preserve"> is the loss of soil carbon (C) in mineral soil during management of cropland (kt), and</w:t>
      </w:r>
    </w:p>
    <w:p w14:paraId="60DE623E" w14:textId="77777777" w:rsidR="00994F64" w:rsidRPr="00261B7A" w:rsidRDefault="00994F64" w:rsidP="00933366">
      <w:pPr>
        <w:pStyle w:val="BodyText"/>
        <w:spacing w:before="40"/>
        <w:ind w:left="964" w:hanging="964"/>
        <w:rPr>
          <w:rFonts w:cs="Calibri"/>
        </w:rPr>
      </w:pPr>
      <w:r w:rsidRPr="00261B7A">
        <w:rPr>
          <w:rFonts w:cs="Calibri"/>
        </w:rPr>
        <w:tab/>
        <w:t>R is the C:N ratio; the IPCC (2006) default value of 10 is used.</w:t>
      </w:r>
    </w:p>
    <w:p w14:paraId="4E6BBFDC" w14:textId="77777777" w:rsidR="00994F64" w:rsidRPr="00261B7A" w:rsidRDefault="00994F64" w:rsidP="00933366">
      <w:pPr>
        <w:pStyle w:val="BodyText"/>
        <w:spacing w:before="100" w:after="100"/>
      </w:pPr>
      <w:r w:rsidRPr="00261B7A">
        <w:t>Activity data on the soil carbon loss associated with cropland since 1990 were provided by calculations under the LULUCF sector (see chapter 6, section 6.5).</w:t>
      </w:r>
    </w:p>
    <w:p w14:paraId="16AC44E0" w14:textId="77777777" w:rsidR="00994F64" w:rsidRPr="00261B7A" w:rsidRDefault="00994F64" w:rsidP="00933366">
      <w:pPr>
        <w:pStyle w:val="BodyText"/>
        <w:spacing w:before="100" w:after="100"/>
      </w:pPr>
      <w:r w:rsidRPr="00261B7A">
        <w:t>The contribution of nitrogen mineralisation from loss of soil organic matter to overall agricultural emissions is small, with 0.03 kt CO</w:t>
      </w:r>
      <w:r w:rsidRPr="00261B7A">
        <w:rPr>
          <w:vertAlign w:val="subscript"/>
        </w:rPr>
        <w:t>2</w:t>
      </w:r>
      <w:r w:rsidRPr="00261B7A">
        <w:t>-e in 1990 and 0.11 kt CO</w:t>
      </w:r>
      <w:r w:rsidRPr="00261B7A">
        <w:rPr>
          <w:vertAlign w:val="subscript"/>
        </w:rPr>
        <w:t>2</w:t>
      </w:r>
      <w:r w:rsidRPr="00261B7A">
        <w:t>-e in 2021.</w:t>
      </w:r>
    </w:p>
    <w:p w14:paraId="69DAF2B4" w14:textId="77777777" w:rsidR="00994F64" w:rsidRPr="00261B7A" w:rsidRDefault="00994F64" w:rsidP="00994F64">
      <w:pPr>
        <w:pStyle w:val="Heading5"/>
        <w:rPr>
          <w:rFonts w:cs="Calibri"/>
        </w:rPr>
      </w:pPr>
      <w:bookmarkStart w:id="1128" w:name="_Hlk58833796"/>
      <w:r w:rsidRPr="00261B7A">
        <w:rPr>
          <w:rFonts w:cs="Calibri"/>
        </w:rPr>
        <w:t xml:space="preserve">Cultivation (management) of organic soils </w:t>
      </w:r>
      <w:bookmarkEnd w:id="1128"/>
      <w:r w:rsidRPr="00261B7A">
        <w:rPr>
          <w:rFonts w:cs="Calibri"/>
        </w:rPr>
        <w:t>(CRF 3.D.1.6)</w:t>
      </w:r>
    </w:p>
    <w:p w14:paraId="0F9DDF7A" w14:textId="77777777" w:rsidR="00994F64" w:rsidRPr="00261B7A" w:rsidRDefault="00994F64" w:rsidP="00933366">
      <w:pPr>
        <w:pStyle w:val="BodyText"/>
        <w:spacing w:before="80" w:after="100"/>
      </w:pPr>
      <w:r w:rsidRPr="00261B7A">
        <w:t>The management of organic soils is a source of N</w:t>
      </w:r>
      <w:r w:rsidRPr="00261B7A">
        <w:rPr>
          <w:vertAlign w:val="subscript"/>
        </w:rPr>
        <w:t>2</w:t>
      </w:r>
      <w:r w:rsidRPr="00261B7A">
        <w:t xml:space="preserve">O emissions. The area of managed organic soils (histosols) in New Zealand includes both the area of managed organic soils (as reported under the LULUCF sector) and the area of mineral agricultural soils with a peaty layer that is cultivated (Dresser et al., 2011). Mineral soils with a peaty layer are included in the definition of organic soils because these soils have similar emissions behaviour to that of organic soils (Dresser et al., 2011). The full definition used in the Agriculture sector for organic soils (plus mineral soils with a peaty layer) is: </w:t>
      </w:r>
    </w:p>
    <w:p w14:paraId="3692F701" w14:textId="77777777" w:rsidR="00994F64" w:rsidRPr="00261B7A" w:rsidRDefault="00994F64" w:rsidP="00294EC5">
      <w:pPr>
        <w:pStyle w:val="Bullet"/>
        <w:numPr>
          <w:ilvl w:val="0"/>
          <w:numId w:val="24"/>
        </w:numPr>
        <w:spacing w:after="100"/>
      </w:pPr>
      <w:r w:rsidRPr="00261B7A">
        <w:t xml:space="preserve">17 per cent organic matter content (includes slightly peaty, peaty and peat soils of </w:t>
      </w:r>
      <w:r w:rsidRPr="00261B7A">
        <w:br/>
        <w:t>17–30 per cent, 30–50 per cent and greater than 50 per cent organic matter content)</w:t>
      </w:r>
    </w:p>
    <w:p w14:paraId="3F1AB73B" w14:textId="77777777" w:rsidR="00994F64" w:rsidRPr="00261B7A" w:rsidRDefault="00994F64" w:rsidP="00294EC5">
      <w:pPr>
        <w:pStyle w:val="Bullet"/>
        <w:numPr>
          <w:ilvl w:val="0"/>
          <w:numId w:val="24"/>
        </w:numPr>
        <w:spacing w:after="100"/>
      </w:pPr>
      <w:r w:rsidRPr="00261B7A">
        <w:t>0.1 metres of this depth occurring within 0.3 metres of the surface.</w:t>
      </w:r>
    </w:p>
    <w:p w14:paraId="7EF4326A" w14:textId="7FCD5D75" w:rsidR="00994F64" w:rsidRPr="00261B7A" w:rsidRDefault="00994F64" w:rsidP="00933366">
      <w:pPr>
        <w:pStyle w:val="BodyText"/>
        <w:spacing w:before="100" w:after="100"/>
      </w:pPr>
      <w:r w:rsidRPr="00261B7A">
        <w:t>The total area of managed and cultivated organic soils in New Zealand in 2021 was 178,159 hectares, with 94.1 per cent of this area on grassland and 5.9 per cent on cropland.</w:t>
      </w:r>
      <w:r w:rsidR="00933366" w:rsidRPr="00261B7A">
        <w:t xml:space="preserve"> </w:t>
      </w:r>
      <w:r w:rsidRPr="00261B7A">
        <w:t>It is assumed that all of this area meets the definition of ‘managed’ for the purpose of estimating emissions. The estimate of managed organic soils on cropland and grassland is consistent with data and methodology used for the LULUCF sector. The total area of managed organic soils has increased slightly by 1.3 per cent (2,330 hectares) since 1990.</w:t>
      </w:r>
    </w:p>
    <w:p w14:paraId="793F007E" w14:textId="77777777" w:rsidR="00994F64" w:rsidRPr="00261B7A" w:rsidRDefault="00994F64" w:rsidP="00933366">
      <w:pPr>
        <w:pStyle w:val="BodyText"/>
        <w:spacing w:before="100"/>
      </w:pPr>
      <w:r w:rsidRPr="00261B7A">
        <w:t>Emissions from organic soils are calculated using the Tier 1 methodology for all years of the time series by multiplying the area of managed organic soils by the default value of emission factor EF</w:t>
      </w:r>
      <w:r w:rsidRPr="00261B7A">
        <w:rPr>
          <w:vertAlign w:val="subscript"/>
        </w:rPr>
        <w:t>2</w:t>
      </w:r>
      <w:r w:rsidRPr="00261B7A">
        <w:t xml:space="preserve"> of 8 kg N</w:t>
      </w:r>
      <w:r w:rsidRPr="00261B7A">
        <w:rPr>
          <w:vertAlign w:val="subscript"/>
        </w:rPr>
        <w:t>2</w:t>
      </w:r>
      <w:r w:rsidRPr="00261B7A">
        <w:t>O</w:t>
      </w:r>
      <w:r w:rsidRPr="00261B7A">
        <w:noBreakHyphen/>
        <w:t xml:space="preserve">N/ha (IPCC, 2006). </w:t>
      </w:r>
    </w:p>
    <w:p w14:paraId="0102E8E0" w14:textId="5D716984" w:rsidR="00994F64" w:rsidRPr="00261B7A" w:rsidRDefault="00994F64" w:rsidP="00994F64">
      <w:pPr>
        <w:pStyle w:val="BodyText"/>
      </w:pPr>
      <w:r w:rsidRPr="00261B7A">
        <w:t>In 2021, direct N</w:t>
      </w:r>
      <w:r w:rsidRPr="00261B7A">
        <w:rPr>
          <w:vertAlign w:val="subscript"/>
        </w:rPr>
        <w:t>2</w:t>
      </w:r>
      <w:r w:rsidRPr="00261B7A">
        <w:t>O emissions from the management of organic soils contributed 9.1 per cent (667.6 kt CO</w:t>
      </w:r>
      <w:r w:rsidRPr="00261B7A">
        <w:rPr>
          <w:vertAlign w:val="subscript"/>
        </w:rPr>
        <w:t>2</w:t>
      </w:r>
      <w:r w:rsidRPr="00261B7A">
        <w:t xml:space="preserve">-e) of emissions from </w:t>
      </w:r>
      <w:r w:rsidRPr="00261B7A">
        <w:rPr>
          <w:i/>
          <w:iCs/>
        </w:rPr>
        <w:t>Agricultural soils</w:t>
      </w:r>
      <w:r w:rsidRPr="00261B7A">
        <w:t xml:space="preserve">, or 1.8 per cent of total agricultural emissions). This is an increase of 1.3 per cent since 1990. Emissions from </w:t>
      </w:r>
      <w:r w:rsidRPr="00261B7A">
        <w:rPr>
          <w:i/>
          <w:iCs/>
        </w:rPr>
        <w:t>Cultivation of organic</w:t>
      </w:r>
      <w:r w:rsidR="009016C7" w:rsidRPr="00261B7A">
        <w:rPr>
          <w:i/>
          <w:iCs/>
        </w:rPr>
        <w:t> </w:t>
      </w:r>
      <w:r w:rsidRPr="00261B7A">
        <w:rPr>
          <w:i/>
          <w:iCs/>
        </w:rPr>
        <w:t>soils</w:t>
      </w:r>
      <w:r w:rsidRPr="00261B7A">
        <w:t xml:space="preserve"> were identified as a key category (level and trend assessment).</w:t>
      </w:r>
    </w:p>
    <w:p w14:paraId="67AC79AB" w14:textId="77777777" w:rsidR="00994F64" w:rsidRPr="00261B7A" w:rsidRDefault="00994F64" w:rsidP="00994F64">
      <w:pPr>
        <w:pStyle w:val="Heading4"/>
      </w:pPr>
      <w:r w:rsidRPr="00261B7A">
        <w:t xml:space="preserve">Indirect </w:t>
      </w:r>
      <w:r w:rsidRPr="00261B7A">
        <w:rPr>
          <w:spacing w:val="-2"/>
        </w:rPr>
        <w:t>nitrous oxide</w:t>
      </w:r>
      <w:r w:rsidRPr="00261B7A">
        <w:t xml:space="preserve"> emissions from managed soils (CRF 3.D.2) </w:t>
      </w:r>
    </w:p>
    <w:p w14:paraId="5EC479F9" w14:textId="77777777" w:rsidR="00994F64" w:rsidRPr="00261B7A" w:rsidRDefault="00994F64" w:rsidP="00994F64">
      <w:pPr>
        <w:pStyle w:val="BodyText"/>
        <w:spacing w:before="100"/>
        <w:rPr>
          <w:rFonts w:cs="Calibri"/>
        </w:rPr>
      </w:pPr>
      <w:r w:rsidRPr="00261B7A">
        <w:rPr>
          <w:rFonts w:cs="Calibri"/>
        </w:rPr>
        <w:t>In addition to direct N</w:t>
      </w:r>
      <w:r w:rsidRPr="00261B7A">
        <w:rPr>
          <w:rFonts w:cs="Calibri"/>
          <w:vertAlign w:val="subscript"/>
        </w:rPr>
        <w:t>2</w:t>
      </w:r>
      <w:r w:rsidRPr="00261B7A">
        <w:rPr>
          <w:rFonts w:cs="Calibri"/>
        </w:rPr>
        <w:t>O emissions from managed soils, emissions of N</w:t>
      </w:r>
      <w:r w:rsidRPr="00261B7A">
        <w:rPr>
          <w:rFonts w:cs="Calibri"/>
          <w:vertAlign w:val="subscript"/>
        </w:rPr>
        <w:t>2</w:t>
      </w:r>
      <w:r w:rsidRPr="00261B7A">
        <w:rPr>
          <w:rFonts w:cs="Calibri"/>
        </w:rPr>
        <w:t>O also occur through two indirect pathways: volatilisation, and leaching and runoff.</w:t>
      </w:r>
    </w:p>
    <w:p w14:paraId="32883D7E" w14:textId="77777777" w:rsidR="00994F64" w:rsidRPr="00261B7A" w:rsidRDefault="00994F64" w:rsidP="00994F64">
      <w:pPr>
        <w:pStyle w:val="Heading5"/>
        <w:rPr>
          <w:rFonts w:cs="Calibri"/>
        </w:rPr>
      </w:pPr>
      <w:r w:rsidRPr="00261B7A">
        <w:rPr>
          <w:rFonts w:cs="Calibri"/>
        </w:rPr>
        <w:t>Volatilisation (CRF 3.D.2.1)</w:t>
      </w:r>
    </w:p>
    <w:p w14:paraId="2FABE42A" w14:textId="77777777" w:rsidR="00994F64" w:rsidRPr="00261B7A" w:rsidRDefault="00994F64" w:rsidP="00994F64">
      <w:pPr>
        <w:pStyle w:val="BodyText"/>
        <w:spacing w:before="100" w:after="100"/>
        <w:rPr>
          <w:rFonts w:cs="Calibri"/>
        </w:rPr>
      </w:pPr>
      <w:r w:rsidRPr="00261B7A">
        <w:rPr>
          <w:rFonts w:cs="Calibri"/>
        </w:rPr>
        <w:t>Some of the nitrogen deposited or spread on agricultural land is emitted into the atmosphere through volatilisation in the form of NH</w:t>
      </w:r>
      <w:r w:rsidRPr="00261B7A">
        <w:rPr>
          <w:rFonts w:cs="Calibri"/>
          <w:vertAlign w:val="subscript"/>
        </w:rPr>
        <w:t>3</w:t>
      </w:r>
      <w:r w:rsidRPr="00261B7A">
        <w:rPr>
          <w:rFonts w:cs="Calibri"/>
        </w:rPr>
        <w:t xml:space="preserve"> and NO</w:t>
      </w:r>
      <w:r w:rsidRPr="00261B7A">
        <w:rPr>
          <w:rFonts w:cs="Calibri"/>
          <w:vertAlign w:val="subscript"/>
        </w:rPr>
        <w:t>x</w:t>
      </w:r>
      <w:r w:rsidRPr="00261B7A">
        <w:rPr>
          <w:rFonts w:cs="Calibri"/>
        </w:rPr>
        <w:t xml:space="preserve">. A fraction of this volatilised nitrogen returns to the ground during rainfall and is then re-emitted as </w:t>
      </w:r>
      <w:r w:rsidRPr="00261B7A">
        <w:rPr>
          <w:rFonts w:cs="Calibri"/>
          <w:spacing w:val="-2"/>
        </w:rPr>
        <w:t>N</w:t>
      </w:r>
      <w:r w:rsidRPr="00261B7A">
        <w:rPr>
          <w:rFonts w:cs="Calibri"/>
          <w:spacing w:val="-2"/>
          <w:vertAlign w:val="subscript"/>
        </w:rPr>
        <w:t>2</w:t>
      </w:r>
      <w:r w:rsidRPr="00261B7A">
        <w:rPr>
          <w:rFonts w:cs="Calibri"/>
          <w:spacing w:val="-2"/>
        </w:rPr>
        <w:t>O</w:t>
      </w:r>
      <w:r w:rsidRPr="00261B7A">
        <w:rPr>
          <w:rFonts w:cs="Calibri"/>
        </w:rPr>
        <w:t>. The fraction of nitrogen that becomes N</w:t>
      </w:r>
      <w:r w:rsidRPr="00261B7A">
        <w:rPr>
          <w:rFonts w:cs="Calibri"/>
          <w:vertAlign w:val="subscript"/>
        </w:rPr>
        <w:t>2</w:t>
      </w:r>
      <w:r w:rsidRPr="00261B7A">
        <w:rPr>
          <w:rFonts w:cs="Calibri"/>
        </w:rPr>
        <w:t>O during this process is calculated using the parameters Frac</w:t>
      </w:r>
      <w:r w:rsidRPr="00261B7A">
        <w:rPr>
          <w:rFonts w:cs="Calibri"/>
          <w:vertAlign w:val="subscript"/>
        </w:rPr>
        <w:t>GASF</w:t>
      </w:r>
      <w:r w:rsidRPr="00261B7A">
        <w:rPr>
          <w:rFonts w:cs="Calibri"/>
        </w:rPr>
        <w:t xml:space="preserve"> for synthetic nitrogen fertiliser and Frac</w:t>
      </w:r>
      <w:r w:rsidRPr="00261B7A">
        <w:rPr>
          <w:rFonts w:cs="Calibri"/>
          <w:vertAlign w:val="subscript"/>
        </w:rPr>
        <w:t>GASM</w:t>
      </w:r>
      <w:r w:rsidRPr="00261B7A">
        <w:rPr>
          <w:rFonts w:cs="Calibri"/>
        </w:rPr>
        <w:t xml:space="preserve"> for organic inputs from animal excreta. New Zealand uses country-specific values for both of these parameters.</w:t>
      </w:r>
    </w:p>
    <w:p w14:paraId="705CED7B" w14:textId="77777777" w:rsidR="00994F64" w:rsidRPr="00261B7A" w:rsidRDefault="00994F64" w:rsidP="00994F64">
      <w:pPr>
        <w:pStyle w:val="BodyText"/>
        <w:spacing w:before="100" w:after="100"/>
        <w:rPr>
          <w:rFonts w:cs="Calibri"/>
        </w:rPr>
      </w:pPr>
      <w:r w:rsidRPr="00261B7A">
        <w:rPr>
          <w:rFonts w:cs="Calibri"/>
        </w:rPr>
        <w:t>In New Zealand, nitrogen added to agricultural soils from synthetic nitrogen fertiliser (F</w:t>
      </w:r>
      <w:r w:rsidRPr="00261B7A">
        <w:rPr>
          <w:rFonts w:cs="Calibri"/>
          <w:vertAlign w:val="subscript"/>
        </w:rPr>
        <w:t>SN</w:t>
      </w:r>
      <w:r w:rsidRPr="00261B7A">
        <w:rPr>
          <w:rFonts w:cs="Calibri"/>
        </w:rPr>
        <w:t>), organic nitrogen fertiliser from the spreading of managed manure (F</w:t>
      </w:r>
      <w:r w:rsidRPr="00261B7A">
        <w:rPr>
          <w:rFonts w:cs="Calibri"/>
          <w:vertAlign w:val="subscript"/>
        </w:rPr>
        <w:t>ON</w:t>
      </w:r>
      <w:r w:rsidRPr="00261B7A">
        <w:rPr>
          <w:rFonts w:cs="Calibri"/>
        </w:rPr>
        <w:t>), and excreta from grazing livestock on pasture (F</w:t>
      </w:r>
      <w:r w:rsidRPr="00261B7A">
        <w:rPr>
          <w:rFonts w:cs="Calibri"/>
          <w:vertAlign w:val="subscript"/>
        </w:rPr>
        <w:t>PRP</w:t>
      </w:r>
      <w:r w:rsidRPr="00261B7A">
        <w:rPr>
          <w:rFonts w:cs="Calibri"/>
        </w:rPr>
        <w:t>) all contribute to N</w:t>
      </w:r>
      <w:r w:rsidRPr="00261B7A">
        <w:rPr>
          <w:rFonts w:cs="Calibri"/>
          <w:vertAlign w:val="subscript"/>
        </w:rPr>
        <w:t>2</w:t>
      </w:r>
      <w:r w:rsidRPr="00261B7A">
        <w:rPr>
          <w:rFonts w:cs="Calibri"/>
        </w:rPr>
        <w:t>O emissions from volatilisation. The collection of activity data for F</w:t>
      </w:r>
      <w:r w:rsidRPr="00261B7A">
        <w:rPr>
          <w:rFonts w:cs="Calibri"/>
          <w:vertAlign w:val="subscript"/>
        </w:rPr>
        <w:t>SN</w:t>
      </w:r>
      <w:r w:rsidRPr="00261B7A">
        <w:rPr>
          <w:rFonts w:cs="Calibri"/>
        </w:rPr>
        <w:t>, F</w:t>
      </w:r>
      <w:r w:rsidRPr="00261B7A">
        <w:rPr>
          <w:rFonts w:cs="Calibri"/>
          <w:vertAlign w:val="subscript"/>
        </w:rPr>
        <w:t>ON</w:t>
      </w:r>
      <w:r w:rsidRPr="00261B7A">
        <w:rPr>
          <w:rFonts w:cs="Calibri"/>
        </w:rPr>
        <w:t xml:space="preserve"> and F</w:t>
      </w:r>
      <w:r w:rsidRPr="00261B7A">
        <w:rPr>
          <w:rFonts w:cs="Calibri"/>
          <w:vertAlign w:val="subscript"/>
        </w:rPr>
        <w:t xml:space="preserve">PRP </w:t>
      </w:r>
      <w:r w:rsidRPr="00261B7A">
        <w:rPr>
          <w:rFonts w:cs="Calibri"/>
        </w:rPr>
        <w:t xml:space="preserve">is described above (see </w:t>
      </w:r>
      <w:r w:rsidRPr="00261B7A">
        <w:rPr>
          <w:rFonts w:cs="Calibri"/>
          <w:i/>
          <w:iCs/>
        </w:rPr>
        <w:t>Direct N</w:t>
      </w:r>
      <w:r w:rsidRPr="00261B7A">
        <w:rPr>
          <w:rFonts w:cs="Calibri"/>
          <w:i/>
          <w:iCs/>
          <w:vertAlign w:val="subscript"/>
        </w:rPr>
        <w:t>2</w:t>
      </w:r>
      <w:r w:rsidRPr="00261B7A">
        <w:rPr>
          <w:rFonts w:cs="Calibri"/>
          <w:i/>
          <w:iCs/>
        </w:rPr>
        <w:t>O emissions from managed soils</w:t>
      </w:r>
      <w:r w:rsidRPr="00261B7A">
        <w:rPr>
          <w:rFonts w:cs="Calibri"/>
        </w:rPr>
        <w:t xml:space="preserve"> (CRF 3.D.1)). Volatilisation from manure stored in manure management systems (before application to land) is reported in the </w:t>
      </w:r>
      <w:r w:rsidRPr="00261B7A">
        <w:rPr>
          <w:rFonts w:cs="Calibri"/>
          <w:i/>
          <w:iCs/>
        </w:rPr>
        <w:t>Manure management</w:t>
      </w:r>
      <w:r w:rsidRPr="00261B7A">
        <w:rPr>
          <w:rFonts w:cs="Calibri"/>
        </w:rPr>
        <w:t xml:space="preserve"> category (see section 5.3.2).</w:t>
      </w:r>
    </w:p>
    <w:p w14:paraId="380F79CD" w14:textId="77777777" w:rsidR="00994F64" w:rsidRPr="00261B7A" w:rsidRDefault="00994F64" w:rsidP="00994F64">
      <w:pPr>
        <w:pStyle w:val="BodyText"/>
        <w:spacing w:before="100"/>
        <w:rPr>
          <w:rFonts w:cs="Calibri"/>
        </w:rPr>
      </w:pPr>
      <w:r w:rsidRPr="00261B7A">
        <w:rPr>
          <w:rFonts w:cs="Calibri"/>
        </w:rPr>
        <w:t>New Zealand uses a Tier 1 methodology with country-specific emission factors for Frac</w:t>
      </w:r>
      <w:r w:rsidRPr="00261B7A">
        <w:rPr>
          <w:rFonts w:cs="Calibri"/>
          <w:vertAlign w:val="subscript"/>
        </w:rPr>
        <w:t>GASF</w:t>
      </w:r>
      <w:r w:rsidRPr="00261B7A">
        <w:rPr>
          <w:rFonts w:cs="Calibri"/>
        </w:rPr>
        <w:t xml:space="preserve"> and Frac</w:t>
      </w:r>
      <w:r w:rsidRPr="00261B7A">
        <w:rPr>
          <w:rFonts w:cs="Calibri"/>
          <w:vertAlign w:val="subscript"/>
        </w:rPr>
        <w:t>GASM</w:t>
      </w:r>
      <w:r w:rsidRPr="00261B7A">
        <w:rPr>
          <w:rFonts w:cs="Calibri"/>
        </w:rPr>
        <w:t xml:space="preserve"> and a default value for the EF</w:t>
      </w:r>
      <w:r w:rsidRPr="00261B7A">
        <w:rPr>
          <w:rFonts w:cs="Calibri"/>
          <w:vertAlign w:val="subscript"/>
        </w:rPr>
        <w:t>4</w:t>
      </w:r>
      <w:r w:rsidRPr="00261B7A">
        <w:rPr>
          <w:rFonts w:cs="Calibri"/>
        </w:rPr>
        <w:t xml:space="preserve"> emission factor to calculate emissions from volatilisation: </w:t>
      </w:r>
    </w:p>
    <w:bookmarkStart w:id="1129" w:name="_MON_1545721563"/>
    <w:bookmarkEnd w:id="1129"/>
    <w:p w14:paraId="44C07986" w14:textId="77777777" w:rsidR="00994F64" w:rsidRPr="00261B7A" w:rsidRDefault="00994F64" w:rsidP="00994F64">
      <w:pPr>
        <w:pStyle w:val="BodyText"/>
        <w:spacing w:before="0" w:after="60"/>
        <w:rPr>
          <w:rFonts w:cs="Calibri"/>
        </w:rPr>
      </w:pPr>
      <w:r w:rsidRPr="00261B7A">
        <w:rPr>
          <w:rFonts w:cs="Calibri"/>
        </w:rPr>
        <w:object w:dxaOrig="8321" w:dyaOrig="727" w14:anchorId="75920822">
          <v:shape id="_x0000_i1054" type="#_x0000_t75" style="width:416.5pt;height:35.5pt" o:ole="">
            <v:imagedata r:id="rId163" o:title="" cropbottom="11302f"/>
          </v:shape>
          <o:OLEObject Type="Embed" ProgID="Word.Document.12" ShapeID="_x0000_i1054" DrawAspect="Content" ObjectID="_1742911593" r:id="rId164">
            <o:FieldCodes>\s</o:FieldCodes>
          </o:OLEObject>
        </w:object>
      </w:r>
    </w:p>
    <w:p w14:paraId="2702F188" w14:textId="77777777" w:rsidR="00994F64" w:rsidRPr="00261B7A" w:rsidRDefault="00994F64" w:rsidP="00994F64">
      <w:pPr>
        <w:pStyle w:val="BodyText"/>
        <w:spacing w:after="40"/>
        <w:ind w:left="964" w:hanging="964"/>
      </w:pPr>
      <w:r w:rsidRPr="00261B7A">
        <w:t>Where:</w:t>
      </w:r>
      <w:r w:rsidRPr="00261B7A">
        <w:tab/>
        <w:t>N</w:t>
      </w:r>
      <w:r w:rsidRPr="00261B7A">
        <w:rPr>
          <w:vertAlign w:val="subscript"/>
        </w:rPr>
        <w:t>2</w:t>
      </w:r>
      <w:r w:rsidRPr="00261B7A">
        <w:t>O</w:t>
      </w:r>
      <w:r w:rsidRPr="00261B7A">
        <w:rPr>
          <w:vertAlign w:val="subscript"/>
        </w:rPr>
        <w:t>ATD</w:t>
      </w:r>
      <w:r w:rsidRPr="00261B7A">
        <w:t>–N is the annual amount of N</w:t>
      </w:r>
      <w:r w:rsidRPr="00261B7A">
        <w:rPr>
          <w:vertAlign w:val="subscript"/>
        </w:rPr>
        <w:t>2</w:t>
      </w:r>
      <w:r w:rsidRPr="00261B7A">
        <w:t>O-N produced by atmospheric deposition of volatilised nitrogen from agricultural soils (kg N</w:t>
      </w:r>
      <w:r w:rsidRPr="00261B7A">
        <w:rPr>
          <w:vertAlign w:val="subscript"/>
        </w:rPr>
        <w:t>2</w:t>
      </w:r>
      <w:r w:rsidRPr="00261B7A">
        <w:t>O-N/year)</w:t>
      </w:r>
    </w:p>
    <w:p w14:paraId="36F8BECE" w14:textId="77777777" w:rsidR="00994F64" w:rsidRPr="00261B7A" w:rsidRDefault="00994F64" w:rsidP="00994F64">
      <w:pPr>
        <w:pStyle w:val="BodyText"/>
        <w:spacing w:before="40" w:after="60"/>
        <w:ind w:left="964" w:hanging="964"/>
      </w:pPr>
      <w:r w:rsidRPr="00261B7A">
        <w:tab/>
        <w:t>F</w:t>
      </w:r>
      <w:r w:rsidRPr="00261B7A">
        <w:rPr>
          <w:vertAlign w:val="subscript"/>
        </w:rPr>
        <w:t>SN</w:t>
      </w:r>
      <w:r w:rsidRPr="00261B7A">
        <w:t>, F</w:t>
      </w:r>
      <w:r w:rsidRPr="00261B7A">
        <w:rPr>
          <w:vertAlign w:val="subscript"/>
        </w:rPr>
        <w:t>ON</w:t>
      </w:r>
      <w:r w:rsidRPr="00261B7A">
        <w:t xml:space="preserve"> and F</w:t>
      </w:r>
      <w:r w:rsidRPr="00261B7A">
        <w:rPr>
          <w:vertAlign w:val="subscript"/>
        </w:rPr>
        <w:t>PRP</w:t>
      </w:r>
      <w:r w:rsidRPr="00261B7A">
        <w:t xml:space="preserve"> are defined above (kg N/year)</w:t>
      </w:r>
    </w:p>
    <w:p w14:paraId="7FBCBADA" w14:textId="77777777" w:rsidR="00994F64" w:rsidRPr="00261B7A" w:rsidRDefault="00994F64" w:rsidP="00994F64">
      <w:pPr>
        <w:pStyle w:val="BodyText"/>
        <w:spacing w:before="40" w:after="60"/>
        <w:ind w:left="964" w:hanging="964"/>
      </w:pPr>
      <w:r w:rsidRPr="00261B7A">
        <w:tab/>
        <w:t>Frac</w:t>
      </w:r>
      <w:r w:rsidRPr="00261B7A">
        <w:rPr>
          <w:vertAlign w:val="subscript"/>
        </w:rPr>
        <w:t>GASF</w:t>
      </w:r>
      <w:r w:rsidRPr="00261B7A">
        <w:t xml:space="preserve"> is the fraction of nitrogen from synthetic fertiliser that volatilises as NH</w:t>
      </w:r>
      <w:r w:rsidRPr="00261B7A">
        <w:rPr>
          <w:vertAlign w:val="subscript"/>
        </w:rPr>
        <w:t>3</w:t>
      </w:r>
      <w:r w:rsidRPr="00261B7A">
        <w:t xml:space="preserve"> and NO</w:t>
      </w:r>
      <w:r w:rsidRPr="00261B7A">
        <w:rPr>
          <w:vertAlign w:val="subscript"/>
        </w:rPr>
        <w:t>x</w:t>
      </w:r>
      <w:r w:rsidRPr="00261B7A">
        <w:t xml:space="preserve"> (see table 5.5.4)</w:t>
      </w:r>
    </w:p>
    <w:p w14:paraId="06592B1E" w14:textId="77777777" w:rsidR="00994F64" w:rsidRPr="00261B7A" w:rsidRDefault="00994F64" w:rsidP="00994F64">
      <w:pPr>
        <w:pStyle w:val="BodyText"/>
        <w:spacing w:before="40" w:after="60"/>
        <w:ind w:left="964" w:hanging="964"/>
      </w:pPr>
      <w:r w:rsidRPr="00261B7A">
        <w:tab/>
        <w:t>Frac</w:t>
      </w:r>
      <w:r w:rsidRPr="00261B7A">
        <w:rPr>
          <w:vertAlign w:val="subscript"/>
        </w:rPr>
        <w:t>GASM</w:t>
      </w:r>
      <w:r w:rsidRPr="00261B7A">
        <w:t xml:space="preserve"> is the fraction of nitrogen</w:t>
      </w:r>
      <w:r w:rsidRPr="00261B7A" w:rsidDel="009B1CDF">
        <w:t xml:space="preserve"> </w:t>
      </w:r>
      <w:r w:rsidRPr="00261B7A">
        <w:t>from manure spreading and pasture, range and paddock manure that volatilises as NH</w:t>
      </w:r>
      <w:r w:rsidRPr="00261B7A">
        <w:rPr>
          <w:vertAlign w:val="subscript"/>
        </w:rPr>
        <w:t>3</w:t>
      </w:r>
      <w:r w:rsidRPr="00261B7A">
        <w:t xml:space="preserve"> and NO</w:t>
      </w:r>
      <w:r w:rsidRPr="00261B7A">
        <w:rPr>
          <w:vertAlign w:val="subscript"/>
        </w:rPr>
        <w:t>x</w:t>
      </w:r>
      <w:r w:rsidRPr="00261B7A">
        <w:t xml:space="preserve"> (see table 5.5.4), and</w:t>
      </w:r>
    </w:p>
    <w:p w14:paraId="25D7E35C" w14:textId="77777777" w:rsidR="00994F64" w:rsidRPr="00261B7A" w:rsidRDefault="00994F64" w:rsidP="00994F64">
      <w:pPr>
        <w:pStyle w:val="BodyText"/>
        <w:spacing w:before="40"/>
        <w:ind w:left="964" w:hanging="964"/>
      </w:pPr>
      <w:r w:rsidRPr="00261B7A">
        <w:tab/>
        <w:t>EF</w:t>
      </w:r>
      <w:r w:rsidRPr="00261B7A">
        <w:rPr>
          <w:vertAlign w:val="subscript"/>
        </w:rPr>
        <w:t>4</w:t>
      </w:r>
      <w:r w:rsidRPr="00261B7A">
        <w:t xml:space="preserve"> is the emission factor for N</w:t>
      </w:r>
      <w:r w:rsidRPr="00261B7A">
        <w:rPr>
          <w:vertAlign w:val="subscript"/>
        </w:rPr>
        <w:t>2</w:t>
      </w:r>
      <w:r w:rsidRPr="00261B7A">
        <w:t>O emissions from atmospheric deposition of nitrogen on soils and water (kg N</w:t>
      </w:r>
      <w:r w:rsidRPr="00261B7A">
        <w:rPr>
          <w:vertAlign w:val="subscript"/>
        </w:rPr>
        <w:t>2</w:t>
      </w:r>
      <w:r w:rsidRPr="00261B7A">
        <w:t>O-N/kg N).</w:t>
      </w:r>
    </w:p>
    <w:p w14:paraId="663A0282" w14:textId="77777777" w:rsidR="00994F64" w:rsidRPr="00261B7A" w:rsidRDefault="00994F64" w:rsidP="00994F64">
      <w:pPr>
        <w:pStyle w:val="BodyText"/>
      </w:pPr>
      <w:r w:rsidRPr="00261B7A">
        <w:t>New Zealand has a country-specific value of 0.1 for Frac</w:t>
      </w:r>
      <w:r w:rsidRPr="00261B7A">
        <w:rPr>
          <w:vertAlign w:val="subscript"/>
        </w:rPr>
        <w:t>GASF</w:t>
      </w:r>
      <w:r w:rsidRPr="00261B7A">
        <w:t>, the fraction of volatilised nitrogen from synthetic nitrogen fertiliser. This value is based on a review by Sherlock et al. (2008) of relevant New Zealand and international research. The review determined that a value of 0.096 for Frac</w:t>
      </w:r>
      <w:r w:rsidRPr="00261B7A">
        <w:rPr>
          <w:vertAlign w:val="subscript"/>
        </w:rPr>
        <w:t>GASF</w:t>
      </w:r>
      <w:r w:rsidRPr="00261B7A">
        <w:t xml:space="preserve"> was suitable for New Zealand conditions. Because this value of 0.096 is almost identical to the IPCC default value of 0.1, the value of 0.1 was adopted by New Zealand as a country-specific value for Frac</w:t>
      </w:r>
      <w:r w:rsidRPr="00261B7A">
        <w:rPr>
          <w:vertAlign w:val="subscript"/>
        </w:rPr>
        <w:t>GASF</w:t>
      </w:r>
      <w:r w:rsidRPr="00261B7A">
        <w:t xml:space="preserve">. </w:t>
      </w:r>
    </w:p>
    <w:p w14:paraId="5A7F1702" w14:textId="77777777" w:rsidR="00994F64" w:rsidRPr="00261B7A" w:rsidRDefault="00994F64" w:rsidP="00994F64">
      <w:pPr>
        <w:pStyle w:val="BodyText"/>
      </w:pPr>
      <w:r w:rsidRPr="00261B7A">
        <w:t>The review by Sherlock et al. (2008) also recommended a country-specific value of 0.1 for Frac</w:t>
      </w:r>
      <w:r w:rsidRPr="00261B7A">
        <w:rPr>
          <w:vertAlign w:val="subscript"/>
        </w:rPr>
        <w:t>GASM</w:t>
      </w:r>
      <w:r w:rsidRPr="00261B7A">
        <w:t>, the fraction of volatilised nitrogen from manure spreading and pasture, range and paddock manure. The review showed that the default value of 0.2 for Frac</w:t>
      </w:r>
      <w:r w:rsidRPr="00261B7A">
        <w:rPr>
          <w:vertAlign w:val="subscript"/>
        </w:rPr>
        <w:t>GASM</w:t>
      </w:r>
      <w:r w:rsidRPr="00261B7A">
        <w:t xml:space="preserve"> (IPCC, 2006) was too high for New Zealand conditions and that 0.1 was more appropriate. This value was also confirmed by subsequent field experiments (Laubach et al., 2012). </w:t>
      </w:r>
    </w:p>
    <w:p w14:paraId="58A28323" w14:textId="77777777" w:rsidR="00994F64" w:rsidRPr="00261B7A" w:rsidRDefault="00994F64" w:rsidP="00994F64">
      <w:pPr>
        <w:pStyle w:val="BodyText"/>
      </w:pPr>
      <w:r w:rsidRPr="00261B7A">
        <w:t xml:space="preserve">In 2021, </w:t>
      </w:r>
      <w:r w:rsidRPr="00261B7A">
        <w:rPr>
          <w:spacing w:val="-2"/>
        </w:rPr>
        <w:t>N</w:t>
      </w:r>
      <w:r w:rsidRPr="00261B7A">
        <w:rPr>
          <w:spacing w:val="-2"/>
          <w:vertAlign w:val="subscript"/>
        </w:rPr>
        <w:t>2</w:t>
      </w:r>
      <w:r w:rsidRPr="00261B7A">
        <w:rPr>
          <w:spacing w:val="-2"/>
        </w:rPr>
        <w:t>O</w:t>
      </w:r>
      <w:r w:rsidRPr="00261B7A">
        <w:t xml:space="preserve"> emissions from volatilisation contributed 2.3 per cent (854.7 kt CO</w:t>
      </w:r>
      <w:r w:rsidRPr="00261B7A">
        <w:rPr>
          <w:vertAlign w:val="subscript"/>
        </w:rPr>
        <w:t>2</w:t>
      </w:r>
      <w:r w:rsidRPr="00261B7A">
        <w:t>-e) to total Agriculture emissions, an increase of 19.4 per cent from the 1990 value of 715.7 kt CO</w:t>
      </w:r>
      <w:r w:rsidRPr="00261B7A">
        <w:rPr>
          <w:vertAlign w:val="subscript"/>
        </w:rPr>
        <w:t>2</w:t>
      </w:r>
      <w:r w:rsidRPr="00261B7A">
        <w:t>-e.</w:t>
      </w:r>
    </w:p>
    <w:p w14:paraId="6D8DC6A1" w14:textId="77777777" w:rsidR="00994F64" w:rsidRPr="00261B7A" w:rsidRDefault="00994F64" w:rsidP="00994F64">
      <w:pPr>
        <w:pStyle w:val="Heading5"/>
      </w:pPr>
      <w:r w:rsidRPr="00261B7A">
        <w:t>Leaching and runoff (CRF 3.D.2.2)</w:t>
      </w:r>
    </w:p>
    <w:p w14:paraId="730A046C" w14:textId="77777777" w:rsidR="00994F64" w:rsidRPr="00261B7A" w:rsidRDefault="00994F64" w:rsidP="00994F64">
      <w:pPr>
        <w:pStyle w:val="BodyText"/>
      </w:pPr>
      <w:r w:rsidRPr="00261B7A">
        <w:rPr>
          <w:spacing w:val="-2"/>
        </w:rPr>
        <w:t xml:space="preserve">Nitrous oxide </w:t>
      </w:r>
      <w:r w:rsidRPr="00261B7A">
        <w:t>emissions from leaching and runoff originate from the following sources: synthetic nitrogen fertiliser (F</w:t>
      </w:r>
      <w:r w:rsidRPr="00261B7A">
        <w:rPr>
          <w:vertAlign w:val="subscript"/>
        </w:rPr>
        <w:t>SN</w:t>
      </w:r>
      <w:r w:rsidRPr="00261B7A">
        <w:t>), organic nitrogen additions from the spreading of animal manure (F</w:t>
      </w:r>
      <w:r w:rsidRPr="00261B7A">
        <w:rPr>
          <w:vertAlign w:val="subscript"/>
        </w:rPr>
        <w:t>ON</w:t>
      </w:r>
      <w:r w:rsidRPr="00261B7A">
        <w:t>), above- and below-ground crop residues (F</w:t>
      </w:r>
      <w:r w:rsidRPr="00261B7A">
        <w:rPr>
          <w:vertAlign w:val="subscript"/>
        </w:rPr>
        <w:t>CR</w:t>
      </w:r>
      <w:r w:rsidRPr="00261B7A">
        <w:t>), nitrogen mineralisation associated with loss of soil organic matter from cropland land management (F</w:t>
      </w:r>
      <w:r w:rsidRPr="00261B7A">
        <w:rPr>
          <w:vertAlign w:val="subscript"/>
        </w:rPr>
        <w:t>SOM</w:t>
      </w:r>
      <w:r w:rsidRPr="00261B7A">
        <w:t>) and excreta from grazing livestock on pasture, range and paddock (F</w:t>
      </w:r>
      <w:r w:rsidRPr="00261B7A">
        <w:rPr>
          <w:vertAlign w:val="subscript"/>
        </w:rPr>
        <w:t>PRP</w:t>
      </w:r>
      <w:r w:rsidRPr="00261B7A">
        <w:t>) (IPCC, 2006). The collection of activity data for F</w:t>
      </w:r>
      <w:r w:rsidRPr="00261B7A">
        <w:rPr>
          <w:vertAlign w:val="subscript"/>
        </w:rPr>
        <w:t>SN</w:t>
      </w:r>
      <w:r w:rsidRPr="00261B7A">
        <w:t>, F</w:t>
      </w:r>
      <w:r w:rsidRPr="00261B7A">
        <w:rPr>
          <w:vertAlign w:val="subscript"/>
        </w:rPr>
        <w:t>ON</w:t>
      </w:r>
      <w:r w:rsidRPr="00261B7A">
        <w:t>, F</w:t>
      </w:r>
      <w:r w:rsidRPr="00261B7A">
        <w:rPr>
          <w:vertAlign w:val="subscript"/>
        </w:rPr>
        <w:t>CR</w:t>
      </w:r>
      <w:r w:rsidRPr="00261B7A">
        <w:t>, F</w:t>
      </w:r>
      <w:r w:rsidRPr="00261B7A">
        <w:rPr>
          <w:vertAlign w:val="subscript"/>
        </w:rPr>
        <w:t xml:space="preserve">PRP </w:t>
      </w:r>
      <w:r w:rsidRPr="00261B7A">
        <w:t>and F</w:t>
      </w:r>
      <w:r w:rsidRPr="00261B7A">
        <w:rPr>
          <w:vertAlign w:val="subscript"/>
        </w:rPr>
        <w:t>SOM</w:t>
      </w:r>
      <w:r w:rsidRPr="00261B7A">
        <w:t xml:space="preserve"> is described above (see </w:t>
      </w:r>
      <w:r w:rsidRPr="00261B7A">
        <w:rPr>
          <w:i/>
          <w:iCs/>
        </w:rPr>
        <w:t>Direct N</w:t>
      </w:r>
      <w:r w:rsidRPr="00261B7A">
        <w:rPr>
          <w:i/>
          <w:iCs/>
          <w:vertAlign w:val="subscript"/>
        </w:rPr>
        <w:t>2</w:t>
      </w:r>
      <w:r w:rsidRPr="00261B7A">
        <w:rPr>
          <w:i/>
          <w:iCs/>
        </w:rPr>
        <w:t>O emissions from managed soils</w:t>
      </w:r>
      <w:r w:rsidRPr="00261B7A">
        <w:t xml:space="preserve"> (CRF 3.D.1)). </w:t>
      </w:r>
    </w:p>
    <w:p w14:paraId="62589FD7" w14:textId="3CC7F505" w:rsidR="00994F64" w:rsidRPr="00261B7A" w:rsidRDefault="00994F64" w:rsidP="00994F64">
      <w:pPr>
        <w:pStyle w:val="BodyText"/>
      </w:pPr>
      <w:r w:rsidRPr="00261B7A">
        <w:t xml:space="preserve">New Zealand reports all emissions from leaching under the </w:t>
      </w:r>
      <w:r w:rsidRPr="00261B7A">
        <w:rPr>
          <w:i/>
          <w:iCs/>
        </w:rPr>
        <w:t>Agricultural soils</w:t>
      </w:r>
      <w:r w:rsidRPr="00261B7A">
        <w:t xml:space="preserve"> category. As</w:t>
      </w:r>
      <w:r w:rsidR="00FB6652">
        <w:t> </w:t>
      </w:r>
      <w:r w:rsidRPr="00261B7A">
        <w:t>discussed under</w:t>
      </w:r>
      <w:r w:rsidRPr="00261B7A">
        <w:rPr>
          <w:i/>
          <w:iCs/>
        </w:rPr>
        <w:t xml:space="preserve"> Manure management </w:t>
      </w:r>
      <w:r w:rsidRPr="00261B7A">
        <w:t>(see section 5.3.2), New Zealand livestock are predominantly grazed outdoors (see table 5.3.2). New Zealand uses a Tier 1 methodology with</w:t>
      </w:r>
      <w:r w:rsidR="00FB6652">
        <w:t> </w:t>
      </w:r>
      <w:r w:rsidRPr="00261B7A">
        <w:t>country-specific default parameters to calculate indirect N</w:t>
      </w:r>
      <w:r w:rsidRPr="00261B7A">
        <w:rPr>
          <w:vertAlign w:val="subscript"/>
        </w:rPr>
        <w:t>2</w:t>
      </w:r>
      <w:r w:rsidRPr="00261B7A">
        <w:t>O emissions from nitrogen leaching. The general equation is:</w:t>
      </w:r>
    </w:p>
    <w:bookmarkStart w:id="1130" w:name="_1701239732"/>
    <w:bookmarkEnd w:id="1130"/>
    <w:p w14:paraId="7CF8D7A3" w14:textId="77777777" w:rsidR="00994F64" w:rsidRPr="00261B7A" w:rsidRDefault="00994F64" w:rsidP="00994F64">
      <w:pPr>
        <w:pStyle w:val="BodyText"/>
        <w:spacing w:before="60"/>
        <w:rPr>
          <w:rFonts w:cs="Calibri"/>
        </w:rPr>
      </w:pPr>
      <w:r w:rsidRPr="00261B7A">
        <w:rPr>
          <w:rFonts w:cs="Calibri"/>
        </w:rPr>
        <w:object w:dxaOrig="8381" w:dyaOrig="694" w14:anchorId="7E4F02CC">
          <v:shape id="_x0000_i1055" type="#_x0000_t75" style="width:418pt;height:35.5pt" o:ole="">
            <v:imagedata r:id="rId165" o:title="" cropbottom="7859f"/>
          </v:shape>
          <o:OLEObject Type="Embed" ProgID="Word.Document.12" ShapeID="_x0000_i1055" DrawAspect="Content" ObjectID="_1742911594" r:id="rId166">
            <o:FieldCodes>\s</o:FieldCodes>
          </o:OLEObject>
        </w:object>
      </w:r>
    </w:p>
    <w:p w14:paraId="717594ED" w14:textId="77777777" w:rsidR="00994F64" w:rsidRPr="00261B7A" w:rsidRDefault="00994F64" w:rsidP="00994F64">
      <w:pPr>
        <w:pStyle w:val="BodyText"/>
        <w:spacing w:before="60"/>
        <w:rPr>
          <w:rFonts w:cs="Calibri"/>
        </w:rPr>
      </w:pPr>
      <w:r w:rsidRPr="00261B7A">
        <w:rPr>
          <w:rFonts w:cs="Calibri"/>
        </w:rPr>
        <w:t xml:space="preserve">The following are specific equations used to calculate </w:t>
      </w:r>
      <w:r w:rsidRPr="00261B7A">
        <w:t>indirect N</w:t>
      </w:r>
      <w:r w:rsidRPr="00261B7A">
        <w:rPr>
          <w:vertAlign w:val="subscript"/>
        </w:rPr>
        <w:t>2</w:t>
      </w:r>
      <w:r w:rsidRPr="00261B7A">
        <w:t>O emissions from nitrogen leaching for cropping systems, grassland and synthetic nitrogen fertilisers:</w:t>
      </w:r>
    </w:p>
    <w:bookmarkStart w:id="1131" w:name="_MON_1701244952"/>
    <w:bookmarkEnd w:id="1131"/>
    <w:p w14:paraId="46DF4D18" w14:textId="77777777" w:rsidR="00994F64" w:rsidRPr="00261B7A" w:rsidRDefault="00994F64" w:rsidP="00994F64">
      <w:pPr>
        <w:pStyle w:val="BodyText"/>
        <w:spacing w:before="60"/>
        <w:rPr>
          <w:rFonts w:cs="Calibri"/>
        </w:rPr>
      </w:pPr>
      <w:r w:rsidRPr="00261B7A">
        <w:rPr>
          <w:rFonts w:cs="Calibri"/>
        </w:rPr>
        <w:object w:dxaOrig="8381" w:dyaOrig="703" w14:anchorId="382B5574">
          <v:shape id="_x0000_i1056" type="#_x0000_t75" style="width:418pt;height:35.5pt" o:ole="">
            <v:imagedata r:id="rId167" o:title="" cropbottom="7859f"/>
          </v:shape>
          <o:OLEObject Type="Embed" ProgID="Word.Document.12" ShapeID="_x0000_i1056" DrawAspect="Content" ObjectID="_1742911595" r:id="rId168">
            <o:FieldCodes>\s</o:FieldCodes>
          </o:OLEObject>
        </w:object>
      </w:r>
    </w:p>
    <w:bookmarkStart w:id="1132" w:name="_MON_1701244990"/>
    <w:bookmarkEnd w:id="1132"/>
    <w:p w14:paraId="7F9D7B70" w14:textId="77777777" w:rsidR="00994F64" w:rsidRPr="00261B7A" w:rsidRDefault="00994F64" w:rsidP="00994F64">
      <w:pPr>
        <w:pStyle w:val="BodyText"/>
        <w:spacing w:before="60"/>
        <w:rPr>
          <w:rFonts w:cs="Calibri"/>
        </w:rPr>
      </w:pPr>
      <w:r w:rsidRPr="00261B7A">
        <w:rPr>
          <w:rFonts w:cs="Calibri"/>
        </w:rPr>
        <w:object w:dxaOrig="9041" w:dyaOrig="703" w14:anchorId="717A1B07">
          <v:shape id="_x0000_i1057" type="#_x0000_t75" style="width:454pt;height:35.5pt" o:ole="">
            <v:imagedata r:id="rId169" o:title="" cropbottom="7859f"/>
          </v:shape>
          <o:OLEObject Type="Embed" ProgID="Word.Document.12" ShapeID="_x0000_i1057" DrawAspect="Content" ObjectID="_1742911596" r:id="rId170">
            <o:FieldCodes>\s</o:FieldCodes>
          </o:OLEObject>
        </w:object>
      </w:r>
    </w:p>
    <w:p w14:paraId="57958334" w14:textId="77777777" w:rsidR="00994F64" w:rsidRPr="00261B7A" w:rsidRDefault="007E17B8" w:rsidP="009016C7">
      <w:pPr>
        <w:spacing w:after="120"/>
        <w:rPr>
          <w:rFonts w:asciiTheme="minorHAnsi" w:eastAsiaTheme="minorEastAsia" w:hAnsiTheme="minorHAnsi" w:cstheme="minorHAnsi"/>
          <w:sz w:val="20"/>
        </w:rPr>
      </w:pPr>
      <m:oMathPara>
        <m:oMath>
          <m:sSub>
            <m:sSubPr>
              <m:ctrlPr>
                <w:rPr>
                  <w:rFonts w:ascii="Cambria Math" w:hAnsi="Cambria Math" w:cstheme="minorHAnsi"/>
                  <w:i/>
                  <w:sz w:val="20"/>
                </w:rPr>
              </m:ctrlPr>
            </m:sSubPr>
            <m:e>
              <m:r>
                <w:rPr>
                  <w:rFonts w:ascii="Cambria Math" w:hAnsi="Cambria Math" w:cstheme="minorHAnsi"/>
                  <w:sz w:val="20"/>
                </w:rPr>
                <m:t>N</m:t>
              </m:r>
            </m:e>
            <m:sub>
              <m:r>
                <w:rPr>
                  <w:rFonts w:ascii="Cambria Math" w:hAnsi="Cambria Math" w:cstheme="minorHAnsi"/>
                  <w:sz w:val="20"/>
                </w:rPr>
                <m:t>2</m:t>
              </m:r>
            </m:sub>
          </m:sSub>
          <m:sSub>
            <m:sSubPr>
              <m:ctrlPr>
                <w:rPr>
                  <w:rFonts w:ascii="Cambria Math" w:hAnsi="Cambria Math" w:cstheme="minorHAnsi"/>
                  <w:i/>
                  <w:sz w:val="20"/>
                </w:rPr>
              </m:ctrlPr>
            </m:sSubPr>
            <m:e>
              <m:r>
                <w:rPr>
                  <w:rFonts w:ascii="Cambria Math" w:hAnsi="Cambria Math" w:cstheme="minorHAnsi"/>
                  <w:sz w:val="20"/>
                </w:rPr>
                <m:t>O</m:t>
              </m:r>
            </m:e>
            <m:sub>
              <m:r>
                <w:rPr>
                  <w:rFonts w:ascii="Cambria Math" w:hAnsi="Cambria Math" w:cstheme="minorHAnsi"/>
                  <w:sz w:val="20"/>
                </w:rPr>
                <m:t>L</m:t>
              </m:r>
            </m:sub>
          </m:sSub>
          <m:r>
            <w:rPr>
              <w:rFonts w:ascii="Cambria Math" w:hAnsi="Cambria Math" w:cstheme="minorHAnsi"/>
              <w:sz w:val="20"/>
            </w:rPr>
            <m:t xml:space="preserve"> emissions (synthetic N fertiliser)=</m:t>
          </m:r>
          <m:f>
            <m:fPr>
              <m:ctrlPr>
                <w:rPr>
                  <w:rFonts w:ascii="Cambria Math" w:hAnsi="Cambria Math" w:cstheme="minorHAnsi"/>
                  <w:i/>
                  <w:sz w:val="20"/>
                </w:rPr>
              </m:ctrlPr>
            </m:fPr>
            <m:num>
              <m:r>
                <w:rPr>
                  <w:rFonts w:ascii="Cambria Math" w:hAnsi="Cambria Math" w:cstheme="minorHAnsi"/>
                  <w:sz w:val="20"/>
                </w:rPr>
                <m:t>44</m:t>
              </m:r>
            </m:num>
            <m:den>
              <m:r>
                <w:rPr>
                  <w:rFonts w:ascii="Cambria Math" w:hAnsi="Cambria Math" w:cstheme="minorHAnsi"/>
                  <w:sz w:val="20"/>
                </w:rPr>
                <m:t>28</m:t>
              </m:r>
            </m:den>
          </m:f>
          <m:r>
            <w:rPr>
              <w:rFonts w:ascii="Cambria Math" w:hAnsi="Cambria Math" w:cstheme="minorHAnsi"/>
              <w:sz w:val="20"/>
            </w:rPr>
            <m:t>∙</m:t>
          </m:r>
          <m:d>
            <m:dPr>
              <m:ctrlPr>
                <w:rPr>
                  <w:rFonts w:ascii="Cambria Math" w:hAnsi="Cambria Math" w:cstheme="minorHAnsi"/>
                  <w:i/>
                  <w:sz w:val="20"/>
                </w:rPr>
              </m:ctrlPr>
            </m:dPr>
            <m:e>
              <m:sSub>
                <m:sSubPr>
                  <m:ctrlPr>
                    <w:rPr>
                      <w:rFonts w:ascii="Cambria Math" w:hAnsi="Cambria Math" w:cstheme="minorHAnsi"/>
                      <w:i/>
                      <w:sz w:val="20"/>
                    </w:rPr>
                  </m:ctrlPr>
                </m:sSubPr>
                <m:e>
                  <m:r>
                    <w:rPr>
                      <w:rFonts w:ascii="Cambria Math" w:hAnsi="Cambria Math" w:cstheme="minorHAnsi"/>
                      <w:sz w:val="20"/>
                    </w:rPr>
                    <m:t>F</m:t>
                  </m:r>
                </m:e>
                <m:sub>
                  <m:r>
                    <w:rPr>
                      <w:rFonts w:ascii="Cambria Math" w:hAnsi="Cambria Math" w:cstheme="minorHAnsi"/>
                      <w:sz w:val="20"/>
                    </w:rPr>
                    <m:t>SN</m:t>
                  </m:r>
                </m:sub>
              </m:sSub>
            </m:e>
          </m:d>
          <m:r>
            <w:rPr>
              <w:rFonts w:ascii="Cambria Math" w:hAnsi="Cambria Math" w:cstheme="minorHAnsi"/>
              <w:sz w:val="20"/>
            </w:rPr>
            <m:t>∙</m:t>
          </m:r>
          <m:sSub>
            <m:sSubPr>
              <m:ctrlPr>
                <w:rPr>
                  <w:rFonts w:ascii="Cambria Math" w:hAnsi="Cambria Math" w:cstheme="minorHAnsi"/>
                  <w:i/>
                  <w:sz w:val="20"/>
                </w:rPr>
              </m:ctrlPr>
            </m:sSubPr>
            <m:e>
              <m:r>
                <w:rPr>
                  <w:rFonts w:ascii="Cambria Math" w:hAnsi="Cambria Math" w:cstheme="minorHAnsi"/>
                  <w:sz w:val="20"/>
                </w:rPr>
                <m:t>Frac</m:t>
              </m:r>
            </m:e>
            <m:sub>
              <m:r>
                <w:rPr>
                  <w:rFonts w:ascii="Cambria Math" w:hAnsi="Cambria Math" w:cstheme="minorHAnsi"/>
                  <w:sz w:val="20"/>
                </w:rPr>
                <m:t>LEACH-H(FERTILISER)</m:t>
              </m:r>
            </m:sub>
          </m:sSub>
          <m:r>
            <w:rPr>
              <w:rFonts w:ascii="Cambria Math" w:hAnsi="Cambria Math" w:cstheme="minorHAnsi"/>
              <w:sz w:val="20"/>
            </w:rPr>
            <m:t>∙</m:t>
          </m:r>
          <m:sSub>
            <m:sSubPr>
              <m:ctrlPr>
                <w:rPr>
                  <w:rFonts w:ascii="Cambria Math" w:hAnsi="Cambria Math" w:cstheme="minorHAnsi"/>
                  <w:i/>
                  <w:sz w:val="20"/>
                </w:rPr>
              </m:ctrlPr>
            </m:sSubPr>
            <m:e>
              <m:r>
                <w:rPr>
                  <w:rFonts w:ascii="Cambria Math" w:hAnsi="Cambria Math" w:cstheme="minorHAnsi"/>
                  <w:sz w:val="20"/>
                </w:rPr>
                <m:t>EF</m:t>
              </m:r>
            </m:e>
            <m:sub>
              <m:r>
                <w:rPr>
                  <w:rFonts w:ascii="Cambria Math" w:hAnsi="Cambria Math" w:cstheme="minorHAnsi"/>
                  <w:sz w:val="20"/>
                </w:rPr>
                <m:t>5</m:t>
              </m:r>
            </m:sub>
          </m:sSub>
        </m:oMath>
      </m:oMathPara>
    </w:p>
    <w:p w14:paraId="665D381E" w14:textId="77777777" w:rsidR="00994F64" w:rsidRPr="00261B7A" w:rsidRDefault="00994F64" w:rsidP="009016C7">
      <w:pPr>
        <w:pStyle w:val="BodyText"/>
        <w:spacing w:after="60"/>
        <w:ind w:left="964" w:hanging="964"/>
        <w:rPr>
          <w:rFonts w:cs="Calibri"/>
        </w:rPr>
      </w:pPr>
      <w:r w:rsidRPr="00261B7A">
        <w:rPr>
          <w:rFonts w:cs="Calibri"/>
        </w:rPr>
        <w:t>Where:</w:t>
      </w:r>
      <w:r w:rsidRPr="00261B7A">
        <w:rPr>
          <w:rFonts w:cs="Calibri"/>
        </w:rPr>
        <w:tab/>
        <w:t>N</w:t>
      </w:r>
      <w:r w:rsidRPr="00261B7A">
        <w:rPr>
          <w:rFonts w:cs="Calibri"/>
          <w:vertAlign w:val="subscript"/>
        </w:rPr>
        <w:t>2</w:t>
      </w:r>
      <w:r w:rsidRPr="00261B7A">
        <w:rPr>
          <w:rFonts w:cs="Calibri"/>
        </w:rPr>
        <w:t>O</w:t>
      </w:r>
      <w:r w:rsidRPr="00261B7A">
        <w:rPr>
          <w:rFonts w:cs="Calibri"/>
          <w:vertAlign w:val="subscript"/>
        </w:rPr>
        <w:t>L</w:t>
      </w:r>
      <w:r w:rsidRPr="00261B7A">
        <w:rPr>
          <w:rFonts w:cs="Calibri"/>
        </w:rPr>
        <w:t>–N is the annual amount of N</w:t>
      </w:r>
      <w:r w:rsidRPr="00261B7A">
        <w:rPr>
          <w:rFonts w:cs="Calibri"/>
          <w:vertAlign w:val="subscript"/>
        </w:rPr>
        <w:t>2</w:t>
      </w:r>
      <w:r w:rsidRPr="00261B7A">
        <w:rPr>
          <w:rFonts w:cs="Calibri"/>
        </w:rPr>
        <w:t>O-N from runoff and leaching from agricultural soils (kg N</w:t>
      </w:r>
      <w:r w:rsidRPr="00261B7A">
        <w:rPr>
          <w:rFonts w:cs="Calibri"/>
          <w:vertAlign w:val="subscript"/>
        </w:rPr>
        <w:t>2</w:t>
      </w:r>
      <w:r w:rsidRPr="00261B7A">
        <w:rPr>
          <w:rFonts w:cs="Calibri"/>
        </w:rPr>
        <w:t>O-N/year)</w:t>
      </w:r>
    </w:p>
    <w:p w14:paraId="213ED574" w14:textId="77777777" w:rsidR="00994F64" w:rsidRPr="00261B7A" w:rsidRDefault="00994F64" w:rsidP="00994F64">
      <w:pPr>
        <w:pStyle w:val="BodyText"/>
        <w:spacing w:before="60" w:after="60"/>
        <w:ind w:left="964"/>
      </w:pPr>
      <w:r w:rsidRPr="00261B7A">
        <w:t>F</w:t>
      </w:r>
      <w:r w:rsidRPr="00261B7A">
        <w:rPr>
          <w:vertAlign w:val="subscript"/>
        </w:rPr>
        <w:t>SN</w:t>
      </w:r>
      <w:r w:rsidRPr="00261B7A">
        <w:t>, F</w:t>
      </w:r>
      <w:r w:rsidRPr="00261B7A">
        <w:rPr>
          <w:vertAlign w:val="subscript"/>
        </w:rPr>
        <w:t>ON</w:t>
      </w:r>
      <w:r w:rsidRPr="00261B7A">
        <w:t>, F</w:t>
      </w:r>
      <w:r w:rsidRPr="00261B7A">
        <w:rPr>
          <w:vertAlign w:val="subscript"/>
        </w:rPr>
        <w:t>PRP</w:t>
      </w:r>
      <w:r w:rsidRPr="00261B7A">
        <w:t>, F</w:t>
      </w:r>
      <w:r w:rsidRPr="00261B7A">
        <w:rPr>
          <w:vertAlign w:val="subscript"/>
        </w:rPr>
        <w:t>CR</w:t>
      </w:r>
      <w:r w:rsidRPr="00261B7A">
        <w:t xml:space="preserve"> and F</w:t>
      </w:r>
      <w:r w:rsidRPr="00261B7A">
        <w:rPr>
          <w:vertAlign w:val="subscript"/>
        </w:rPr>
        <w:t>SOM</w:t>
      </w:r>
      <w:r w:rsidRPr="00261B7A">
        <w:t xml:space="preserve"> are defined above (kg N/year)</w:t>
      </w:r>
    </w:p>
    <w:p w14:paraId="028F94F7" w14:textId="77777777" w:rsidR="00994F64" w:rsidRPr="00261B7A" w:rsidRDefault="00994F64" w:rsidP="00994F64">
      <w:pPr>
        <w:pStyle w:val="BodyText"/>
        <w:spacing w:before="60" w:after="60"/>
        <w:ind w:left="964"/>
      </w:pPr>
      <w:r w:rsidRPr="00261B7A">
        <w:t>Frac</w:t>
      </w:r>
      <w:r w:rsidRPr="00261B7A">
        <w:rPr>
          <w:vertAlign w:val="subscript"/>
        </w:rPr>
        <w:t>LEACH-H(CROPPING)</w:t>
      </w:r>
      <w:r w:rsidRPr="00261B7A">
        <w:t xml:space="preserve"> is the fraction of nitrogen added to, or mineralised from, cropping systems that is lost from soil through leaching and runoff (see table 5.5.4)</w:t>
      </w:r>
    </w:p>
    <w:p w14:paraId="595288B1" w14:textId="77777777" w:rsidR="00994F64" w:rsidRPr="00261B7A" w:rsidRDefault="00994F64" w:rsidP="00994F64">
      <w:pPr>
        <w:pStyle w:val="BodyText"/>
        <w:spacing w:before="60" w:after="60"/>
        <w:ind w:left="964"/>
      </w:pPr>
      <w:r w:rsidRPr="00261B7A">
        <w:t>Frac</w:t>
      </w:r>
      <w:r w:rsidRPr="00261B7A">
        <w:rPr>
          <w:vertAlign w:val="subscript"/>
        </w:rPr>
        <w:t>LEACH-H(GRASSLAND)</w:t>
      </w:r>
      <w:r w:rsidRPr="00261B7A">
        <w:t xml:space="preserve"> is the fraction of nitrogen added to, or mineralised from, grassland that is lost from soil through leaching and runoff (see table 5.5.4)</w:t>
      </w:r>
    </w:p>
    <w:p w14:paraId="4E52DAA6" w14:textId="77777777" w:rsidR="00994F64" w:rsidRPr="00261B7A" w:rsidRDefault="00994F64" w:rsidP="00994F64">
      <w:pPr>
        <w:pStyle w:val="BodyText"/>
        <w:spacing w:before="60" w:after="60"/>
        <w:ind w:left="964"/>
      </w:pPr>
      <w:r w:rsidRPr="00261B7A">
        <w:t>Frac</w:t>
      </w:r>
      <w:r w:rsidRPr="00261B7A">
        <w:rPr>
          <w:vertAlign w:val="subscript"/>
        </w:rPr>
        <w:t>LEACH-H(FERTILISER)</w:t>
      </w:r>
      <w:r w:rsidRPr="00261B7A">
        <w:t xml:space="preserve"> is the fraction of nitrogen added to, or mineralised from, synthetic nitrogen fertiliser that is lost from soil through leaching and runoff, and</w:t>
      </w:r>
    </w:p>
    <w:p w14:paraId="5B9AF5CF" w14:textId="77777777" w:rsidR="00994F64" w:rsidRPr="00261B7A" w:rsidRDefault="00994F64" w:rsidP="00994F64">
      <w:pPr>
        <w:pStyle w:val="BodyText"/>
        <w:spacing w:before="60"/>
        <w:ind w:left="964"/>
      </w:pPr>
      <w:r w:rsidRPr="00261B7A">
        <w:t>EF</w:t>
      </w:r>
      <w:r w:rsidRPr="00261B7A">
        <w:rPr>
          <w:vertAlign w:val="subscript"/>
        </w:rPr>
        <w:t>5</w:t>
      </w:r>
      <w:r w:rsidRPr="00261B7A">
        <w:t xml:space="preserve"> is the IPCC (2006) default factor for N</w:t>
      </w:r>
      <w:r w:rsidRPr="00261B7A">
        <w:rPr>
          <w:vertAlign w:val="subscript"/>
        </w:rPr>
        <w:t>2</w:t>
      </w:r>
      <w:r w:rsidRPr="00261B7A">
        <w:t xml:space="preserve">O emissions from leaching and runoff. </w:t>
      </w:r>
    </w:p>
    <w:p w14:paraId="62D4E86E" w14:textId="34B149BB" w:rsidR="00994F64" w:rsidRPr="00261B7A" w:rsidRDefault="00994F64" w:rsidP="00994F64">
      <w:pPr>
        <w:pStyle w:val="BodyText"/>
        <w:spacing w:after="100"/>
      </w:pPr>
      <w:r w:rsidRPr="00261B7A">
        <w:rPr>
          <w:rFonts w:cs="Calibri"/>
        </w:rPr>
        <w:t>New Zealand uses differing Frac</w:t>
      </w:r>
      <w:r w:rsidRPr="00261B7A">
        <w:rPr>
          <w:rFonts w:cs="Calibri"/>
          <w:vertAlign w:val="subscript"/>
        </w:rPr>
        <w:t>LEACH</w:t>
      </w:r>
      <w:r w:rsidRPr="00261B7A">
        <w:rPr>
          <w:rFonts w:cs="Calibri"/>
        </w:rPr>
        <w:t xml:space="preserve"> parameters that are dependent on the type of agricultural system the nitrogen has been applied to. These values were derived using measured values, as well as modelled values from </w:t>
      </w:r>
      <w:r w:rsidRPr="00261B7A">
        <w:t>OVERSEER</w:t>
      </w:r>
      <w:r w:rsidRPr="00261B7A">
        <w:rPr>
          <w:vertAlign w:val="superscript"/>
        </w:rPr>
        <w:t>®</w:t>
      </w:r>
      <w:r w:rsidRPr="00261B7A">
        <w:t xml:space="preserve">, a New Zealand-specific nutrient budgeting model. </w:t>
      </w:r>
      <w:r w:rsidRPr="00261B7A">
        <w:rPr>
          <w:spacing w:val="-2"/>
        </w:rPr>
        <w:t>The Frac</w:t>
      </w:r>
      <w:r w:rsidRPr="00261B7A">
        <w:rPr>
          <w:spacing w:val="-2"/>
          <w:vertAlign w:val="subscript"/>
        </w:rPr>
        <w:t>LEACH</w:t>
      </w:r>
      <w:r w:rsidRPr="00261B7A">
        <w:rPr>
          <w:spacing w:val="-2"/>
        </w:rPr>
        <w:t xml:space="preserve"> is 0.10 for nitrogen applied to cropland and 0.08 for grassland (Welten et al., 2021</w:t>
      </w:r>
      <w:r w:rsidRPr="00261B7A">
        <w:t>). The Frac</w:t>
      </w:r>
      <w:r w:rsidRPr="00261B7A">
        <w:rPr>
          <w:vertAlign w:val="subscript"/>
        </w:rPr>
        <w:t>LEACH</w:t>
      </w:r>
      <w:r w:rsidRPr="00261B7A">
        <w:t xml:space="preserve"> for synthetic nitrogen fertiliser applied to grassland and cropland is 0.082. This is a weighted average based on recent data from Stats NZ (2022) indicating that this is applied at</w:t>
      </w:r>
      <w:r w:rsidR="00FB6652">
        <w:t> </w:t>
      </w:r>
      <w:r w:rsidRPr="00261B7A">
        <w:t>a 90:10 ratio to grassland and cropland. Data back to 1990 show minimal fluctuations in this</w:t>
      </w:r>
      <w:r w:rsidR="00FB6652">
        <w:t> </w:t>
      </w:r>
      <w:r w:rsidRPr="00261B7A">
        <w:t>ratio, however, it has been assumed that this remains static for the current inventory submission. Future inventory submissions may modify this Frac</w:t>
      </w:r>
      <w:r w:rsidRPr="00261B7A">
        <w:rPr>
          <w:vertAlign w:val="subscript"/>
        </w:rPr>
        <w:t>LEACH</w:t>
      </w:r>
      <w:r w:rsidRPr="00261B7A">
        <w:t xml:space="preserve"> value if there is evidence the 90:10 ratio has changed.</w:t>
      </w:r>
    </w:p>
    <w:p w14:paraId="1CE5A2D3" w14:textId="77777777" w:rsidR="00994F64" w:rsidRPr="00261B7A" w:rsidRDefault="00994F64" w:rsidP="00994F64">
      <w:pPr>
        <w:pStyle w:val="BodyText"/>
      </w:pPr>
      <w:r w:rsidRPr="00261B7A">
        <w:t>The OVERSEER</w:t>
      </w:r>
      <w:r w:rsidRPr="00261B7A">
        <w:rPr>
          <w:vertAlign w:val="superscript"/>
        </w:rPr>
        <w:t>®</w:t>
      </w:r>
      <w:r w:rsidRPr="00261B7A">
        <w:t xml:space="preserve"> model provides average estimates of the fate of nitrogen for a range of pastoral, arable and horticultural systems. In pastoral systems, nitrate (NO</w:t>
      </w:r>
      <w:r w:rsidRPr="00261B7A">
        <w:rPr>
          <w:vertAlign w:val="subscript"/>
        </w:rPr>
        <w:t>3</w:t>
      </w:r>
      <w:r w:rsidRPr="00261B7A">
        <w:t>–) leaching is determined by rainfall, soil type and the amount of nitrogen entering the farm system (from nitrogen-based fertilisers, dung and urine applied as farm dairy effluent or directly excreted by grazing animals). Dung and urine output from animals is calculated from the difference between nitrogen intake by grazing animals and nitrogen retained in animal products, such as milk, meat, wool and velvet. This is based on user inputs of stocking rates or production and an internal database with information on the nitrogen content of pasture and animal products, and is calibrated against empirical field measurements. In cropping systems, two years (previous and reporting) of monthly crop and management data are required for modelling NO</w:t>
      </w:r>
      <w:r w:rsidRPr="00261B7A">
        <w:rPr>
          <w:vertAlign w:val="subscript"/>
        </w:rPr>
        <w:t xml:space="preserve">3 </w:t>
      </w:r>
      <w:r w:rsidRPr="00261B7A">
        <w:t>leaching in OVERSEER</w:t>
      </w:r>
      <w:r w:rsidRPr="00261B7A">
        <w:rPr>
          <w:vertAlign w:val="superscript"/>
        </w:rPr>
        <w:t>®</w:t>
      </w:r>
      <w:r w:rsidRPr="00261B7A">
        <w:t>, including nitrogen applied as fertiliser and effluent, as well as factors influencing or indicating the water content of soil, such as temperature, irrigation, rainfall, drainage and field capacity.</w:t>
      </w:r>
    </w:p>
    <w:p w14:paraId="30A42A7B" w14:textId="77777777" w:rsidR="00994F64" w:rsidRPr="00261B7A" w:rsidRDefault="00994F64" w:rsidP="00994F64">
      <w:pPr>
        <w:pStyle w:val="BodyText"/>
      </w:pPr>
      <w:r w:rsidRPr="00261B7A">
        <w:t xml:space="preserve">In 2021, </w:t>
      </w:r>
      <w:r w:rsidRPr="00261B7A">
        <w:rPr>
          <w:spacing w:val="-2"/>
        </w:rPr>
        <w:t>N</w:t>
      </w:r>
      <w:r w:rsidRPr="00261B7A">
        <w:rPr>
          <w:spacing w:val="-2"/>
          <w:vertAlign w:val="subscript"/>
        </w:rPr>
        <w:t>2</w:t>
      </w:r>
      <w:r w:rsidRPr="00261B7A">
        <w:rPr>
          <w:spacing w:val="-2"/>
        </w:rPr>
        <w:t>O</w:t>
      </w:r>
      <w:r w:rsidRPr="00261B7A">
        <w:t xml:space="preserve"> emissions from leaching and runoff made up 1.5 per cent (554.5 kt CO</w:t>
      </w:r>
      <w:r w:rsidRPr="00261B7A">
        <w:rPr>
          <w:vertAlign w:val="subscript"/>
        </w:rPr>
        <w:t>2</w:t>
      </w:r>
      <w:r w:rsidRPr="00261B7A">
        <w:t>-e) of total agricultural emissions, an increase of 25.7 per cent from the 1990 value of 441.2 kt CO</w:t>
      </w:r>
      <w:r w:rsidRPr="00261B7A">
        <w:rPr>
          <w:vertAlign w:val="subscript"/>
        </w:rPr>
        <w:t>2</w:t>
      </w:r>
      <w:r w:rsidRPr="00261B7A">
        <w:t>-e.</w:t>
      </w:r>
    </w:p>
    <w:p w14:paraId="24FE8282" w14:textId="77777777" w:rsidR="00994F64" w:rsidRPr="00261B7A" w:rsidRDefault="00994F64" w:rsidP="00994F64">
      <w:pPr>
        <w:pStyle w:val="Heading4"/>
      </w:pPr>
      <w:r w:rsidRPr="00261B7A">
        <w:t>Incorporation of nitrous oxide mitigation technologies into the Agriculture inventory</w:t>
      </w:r>
    </w:p>
    <w:p w14:paraId="52E17630" w14:textId="77777777" w:rsidR="00994F64" w:rsidRPr="00261B7A" w:rsidRDefault="00994F64" w:rsidP="00994F64">
      <w:pPr>
        <w:pStyle w:val="Heading5"/>
        <w:spacing w:before="160"/>
        <w:rPr>
          <w:rFonts w:cs="Calibri"/>
        </w:rPr>
      </w:pPr>
      <w:r w:rsidRPr="00261B7A">
        <w:rPr>
          <w:rFonts w:cs="Calibri"/>
        </w:rPr>
        <w:t xml:space="preserve">Urease inhibitors </w:t>
      </w:r>
    </w:p>
    <w:p w14:paraId="2E7FFBC9" w14:textId="77777777" w:rsidR="00994F64" w:rsidRPr="00261B7A" w:rsidRDefault="00994F64" w:rsidP="00994F64">
      <w:pPr>
        <w:pStyle w:val="BodyText"/>
      </w:pPr>
      <w:r w:rsidRPr="00261B7A">
        <w:t xml:space="preserve">The </w:t>
      </w:r>
      <w:r w:rsidRPr="00261B7A">
        <w:rPr>
          <w:spacing w:val="-2"/>
        </w:rPr>
        <w:t>N</w:t>
      </w:r>
      <w:r w:rsidRPr="00261B7A">
        <w:rPr>
          <w:spacing w:val="-2"/>
          <w:vertAlign w:val="subscript"/>
        </w:rPr>
        <w:t>2</w:t>
      </w:r>
      <w:r w:rsidRPr="00261B7A">
        <w:rPr>
          <w:spacing w:val="-2"/>
        </w:rPr>
        <w:t>O</w:t>
      </w:r>
      <w:r w:rsidRPr="00261B7A">
        <w:t xml:space="preserve"> emissions reported in the </w:t>
      </w:r>
      <w:r w:rsidRPr="00261B7A">
        <w:rPr>
          <w:i/>
          <w:iCs/>
        </w:rPr>
        <w:t>Agricultural soils</w:t>
      </w:r>
      <w:r w:rsidRPr="00261B7A">
        <w:t xml:space="preserve"> category take into account the use of urease inhibitors, a greenhouse gas mitigation technology. Urea is the main type of synthetic nitrogen </w:t>
      </w:r>
      <w:r w:rsidRPr="00261B7A">
        <w:rPr>
          <w:spacing w:val="-2"/>
        </w:rPr>
        <w:t>fertiliser applied to pastures. Urease inhibitors restrict the action of the urease</w:t>
      </w:r>
      <w:r w:rsidRPr="00261B7A">
        <w:t xml:space="preserve"> </w:t>
      </w:r>
      <w:r w:rsidRPr="00261B7A">
        <w:rPr>
          <w:spacing w:val="-2"/>
        </w:rPr>
        <w:t>enzyme. Urease is a catalyst for the volatilisation of the nitrogen contained in urea fertiliser and urine into</w:t>
      </w:r>
      <w:r w:rsidRPr="00261B7A">
        <w:t> </w:t>
      </w:r>
      <w:r w:rsidRPr="00261B7A">
        <w:rPr>
          <w:spacing w:val="-2"/>
        </w:rPr>
        <w:t>NH</w:t>
      </w:r>
      <w:r w:rsidRPr="00261B7A">
        <w:rPr>
          <w:spacing w:val="-2"/>
          <w:vertAlign w:val="subscript"/>
        </w:rPr>
        <w:t>3</w:t>
      </w:r>
      <w:r w:rsidRPr="00261B7A">
        <w:rPr>
          <w:spacing w:val="-2"/>
        </w:rPr>
        <w:t xml:space="preserve"> gas. </w:t>
      </w:r>
    </w:p>
    <w:p w14:paraId="7EEB1A85" w14:textId="77777777" w:rsidR="00994F64" w:rsidRPr="00261B7A" w:rsidRDefault="00994F64" w:rsidP="00994F64">
      <w:pPr>
        <w:pStyle w:val="BodyText"/>
      </w:pPr>
      <w:r w:rsidRPr="00261B7A">
        <w:t>Urease inhibitor mitigation is included in New Zealand’s Agriculture inventory by adjusting the value of the existing country-specific N</w:t>
      </w:r>
      <w:r w:rsidRPr="00261B7A">
        <w:rPr>
          <w:vertAlign w:val="subscript"/>
        </w:rPr>
        <w:t>2</w:t>
      </w:r>
      <w:r w:rsidRPr="00261B7A">
        <w:t>O parameter: Frac</w:t>
      </w:r>
      <w:r w:rsidRPr="00261B7A">
        <w:rPr>
          <w:vertAlign w:val="subscript"/>
        </w:rPr>
        <w:t>GASF</w:t>
      </w:r>
      <w:r w:rsidRPr="00261B7A">
        <w:t>. Saggar et al. (2013) assessed the mitigating effect of the urease inhibitor nBTPT (sold as ‘Agrotain’), the most widely used product. Saggar et al. (2013) showed that the presently recommended country-specific value of Frac</w:t>
      </w:r>
      <w:r w:rsidRPr="00261B7A">
        <w:rPr>
          <w:vertAlign w:val="subscript"/>
        </w:rPr>
        <w:t>GASF</w:t>
      </w:r>
      <w:r w:rsidRPr="00261B7A">
        <w:t xml:space="preserve"> of 0.1 should be reduced to 0.055 for urease-treated urea fertiliser. This finding was based on field and laboratory studies conducted both in New Zealand and worldwide.</w:t>
      </w:r>
    </w:p>
    <w:p w14:paraId="1C654B9E" w14:textId="77777777" w:rsidR="00994F64" w:rsidRPr="00261B7A" w:rsidRDefault="00994F64" w:rsidP="00994F64">
      <w:pPr>
        <w:pStyle w:val="BodyText"/>
      </w:pPr>
      <w:r w:rsidRPr="00261B7A">
        <w:t>Indirect N</w:t>
      </w:r>
      <w:r w:rsidRPr="00261B7A">
        <w:rPr>
          <w:vertAlign w:val="subscript"/>
        </w:rPr>
        <w:t>2</w:t>
      </w:r>
      <w:r w:rsidRPr="00261B7A">
        <w:t>O emissions from volatilisation from all synthetic nitrogen fertilisers (including urea and other nitrogen fertilisers, with and without urease inhibitors applied to the urea component) are calculated as shown below:</w:t>
      </w:r>
    </w:p>
    <w:p w14:paraId="7512A411" w14:textId="77777777" w:rsidR="00994F64" w:rsidRPr="00261B7A" w:rsidRDefault="00994F64" w:rsidP="00994F64">
      <w:pPr>
        <w:pStyle w:val="BodyText"/>
        <w:spacing w:before="60" w:after="0"/>
      </w:pPr>
      <w:r w:rsidRPr="00261B7A">
        <w:object w:dxaOrig="8186" w:dyaOrig="719" w14:anchorId="746BDE37">
          <v:shape id="_x0000_i1058" type="#_x0000_t75" style="width:410pt;height:35.5pt" o:ole="">
            <v:imagedata r:id="rId171" o:title="" cropbottom="11442f"/>
          </v:shape>
          <o:OLEObject Type="Embed" ProgID="Word.Document.12" ShapeID="_x0000_i1058" DrawAspect="Content" ObjectID="_1742911597" r:id="rId172">
            <o:FieldCodes>\s</o:FieldCodes>
          </o:OLEObject>
        </w:object>
      </w:r>
    </w:p>
    <w:p w14:paraId="672D1ECD" w14:textId="77777777" w:rsidR="00994F64" w:rsidRPr="00261B7A" w:rsidRDefault="00994F64" w:rsidP="00994F64">
      <w:pPr>
        <w:pStyle w:val="BodyText"/>
        <w:spacing w:after="40"/>
        <w:ind w:left="964" w:hanging="964"/>
      </w:pPr>
      <w:r w:rsidRPr="00261B7A">
        <w:t>Where:</w:t>
      </w:r>
      <w:r w:rsidRPr="00261B7A">
        <w:tab/>
        <w:t>N</w:t>
      </w:r>
      <w:r w:rsidRPr="00261B7A">
        <w:rPr>
          <w:vertAlign w:val="subscript"/>
        </w:rPr>
        <w:t>2</w:t>
      </w:r>
      <w:r w:rsidRPr="00261B7A">
        <w:t>O</w:t>
      </w:r>
      <w:r w:rsidRPr="00261B7A">
        <w:rPr>
          <w:vertAlign w:val="subscript"/>
        </w:rPr>
        <w:t>ATD-FSN</w:t>
      </w:r>
      <w:r w:rsidRPr="00261B7A">
        <w:t>–N is the annual amount of N</w:t>
      </w:r>
      <w:r w:rsidRPr="00261B7A">
        <w:rPr>
          <w:vertAlign w:val="subscript"/>
        </w:rPr>
        <w:t>2</w:t>
      </w:r>
      <w:r w:rsidRPr="00261B7A">
        <w:t>O-N produced by atmospheric deposition of volatilised nitrogen from all synthetic nitrogen fertiliser applied to agricultural soils (kg N</w:t>
      </w:r>
      <w:r w:rsidRPr="00261B7A">
        <w:rPr>
          <w:vertAlign w:val="subscript"/>
        </w:rPr>
        <w:t>2</w:t>
      </w:r>
      <w:r w:rsidRPr="00261B7A">
        <w:t>O-N/year)</w:t>
      </w:r>
    </w:p>
    <w:p w14:paraId="49039DC7" w14:textId="77777777" w:rsidR="00994F64" w:rsidRPr="00261B7A" w:rsidRDefault="00994F64" w:rsidP="0088568E">
      <w:pPr>
        <w:pStyle w:val="BodyText"/>
        <w:spacing w:before="40" w:after="40"/>
        <w:ind w:left="964"/>
      </w:pPr>
      <w:r w:rsidRPr="00261B7A">
        <w:t xml:space="preserve">S is urea fertiliser (untreated), urea fertiliser (treated) or non-urea nitrogen fertiliser </w:t>
      </w:r>
    </w:p>
    <w:p w14:paraId="2AC8A613" w14:textId="77777777" w:rsidR="00994F64" w:rsidRPr="00261B7A" w:rsidRDefault="00994F64" w:rsidP="0088568E">
      <w:pPr>
        <w:pStyle w:val="BodyText"/>
        <w:spacing w:before="40" w:after="60"/>
        <w:ind w:left="964"/>
      </w:pPr>
      <w:r w:rsidRPr="00261B7A">
        <w:t>F</w:t>
      </w:r>
      <w:r w:rsidRPr="00261B7A">
        <w:rPr>
          <w:vertAlign w:val="subscript"/>
        </w:rPr>
        <w:t>SN</w:t>
      </w:r>
      <w:r w:rsidRPr="00261B7A">
        <w:t xml:space="preserve"> is the total annual amount of synthetic nitrogen fertiliser applied (kg N/year) per fertiliser type, S</w:t>
      </w:r>
    </w:p>
    <w:p w14:paraId="6E97E504" w14:textId="77777777" w:rsidR="00994F64" w:rsidRPr="00261B7A" w:rsidRDefault="00994F64" w:rsidP="0088568E">
      <w:pPr>
        <w:pStyle w:val="BodyText"/>
        <w:spacing w:before="40" w:after="60"/>
        <w:ind w:left="964"/>
      </w:pPr>
      <w:r w:rsidRPr="00261B7A">
        <w:t>Frac</w:t>
      </w:r>
      <w:r w:rsidRPr="00261B7A">
        <w:rPr>
          <w:vertAlign w:val="subscript"/>
        </w:rPr>
        <w:t>GASF</w:t>
      </w:r>
      <w:r w:rsidRPr="00261B7A">
        <w:t xml:space="preserve"> is the fraction of nitrogen from synthetic nitrogen fertiliser that volatilises as NH</w:t>
      </w:r>
      <w:r w:rsidRPr="00261B7A">
        <w:rPr>
          <w:vertAlign w:val="subscript"/>
        </w:rPr>
        <w:t>3</w:t>
      </w:r>
      <w:r w:rsidRPr="00261B7A">
        <w:t xml:space="preserve"> and NO</w:t>
      </w:r>
      <w:r w:rsidRPr="00261B7A">
        <w:rPr>
          <w:vertAlign w:val="subscript"/>
        </w:rPr>
        <w:t>x</w:t>
      </w:r>
      <w:r w:rsidRPr="00261B7A">
        <w:t>; 0.055 for treated urea fertiliser and 0.1 for untreated urea and other nitrogen fertiliser, and</w:t>
      </w:r>
    </w:p>
    <w:p w14:paraId="5439BA8C" w14:textId="77777777" w:rsidR="00994F64" w:rsidRPr="00261B7A" w:rsidRDefault="00994F64" w:rsidP="0088568E">
      <w:pPr>
        <w:pStyle w:val="BodyText"/>
        <w:spacing w:before="40"/>
        <w:ind w:left="964"/>
      </w:pPr>
      <w:r w:rsidRPr="00261B7A">
        <w:t>EF</w:t>
      </w:r>
      <w:r w:rsidRPr="00261B7A">
        <w:rPr>
          <w:vertAlign w:val="subscript"/>
        </w:rPr>
        <w:t>4</w:t>
      </w:r>
      <w:r w:rsidRPr="00261B7A">
        <w:t xml:space="preserve"> is the emission factor for N</w:t>
      </w:r>
      <w:r w:rsidRPr="00261B7A">
        <w:rPr>
          <w:vertAlign w:val="subscript"/>
        </w:rPr>
        <w:t>2</w:t>
      </w:r>
      <w:r w:rsidRPr="00261B7A">
        <w:t>O emissions from atmospheric deposition of nitrogen on soils and water; 0.01 per cent.</w:t>
      </w:r>
    </w:p>
    <w:p w14:paraId="45B65C82" w14:textId="77777777" w:rsidR="00994F64" w:rsidRPr="00261B7A" w:rsidRDefault="00994F64" w:rsidP="00994F64">
      <w:pPr>
        <w:pStyle w:val="BodyText"/>
      </w:pPr>
      <w:r w:rsidRPr="00261B7A">
        <w:t>All other emission factors and parameters relating to animal excreta and synthetic nitrogen fertiliser use (Frac</w:t>
      </w:r>
      <w:r w:rsidRPr="00261B7A">
        <w:rPr>
          <w:vertAlign w:val="subscript"/>
        </w:rPr>
        <w:t>GASM</w:t>
      </w:r>
      <w:r w:rsidRPr="00261B7A">
        <w:t>, Frac</w:t>
      </w:r>
      <w:r w:rsidRPr="00261B7A">
        <w:rPr>
          <w:vertAlign w:val="subscript"/>
        </w:rPr>
        <w:t>LEACH</w:t>
      </w:r>
      <w:r w:rsidRPr="00261B7A">
        <w:t xml:space="preserve"> and EF</w:t>
      </w:r>
      <w:r w:rsidRPr="00261B7A">
        <w:rPr>
          <w:vertAlign w:val="subscript"/>
        </w:rPr>
        <w:t>1</w:t>
      </w:r>
      <w:r w:rsidRPr="00261B7A">
        <w:t>) do not change as a result of including urease inhibitors in the calculations. An adjustment for Frac</w:t>
      </w:r>
      <w:r w:rsidRPr="00261B7A">
        <w:rPr>
          <w:vertAlign w:val="subscript"/>
        </w:rPr>
        <w:t>GASM</w:t>
      </w:r>
      <w:r w:rsidRPr="00261B7A">
        <w:t xml:space="preserve"> was not recommended because the effect of urease inhibitors on reducing NH</w:t>
      </w:r>
      <w:r w:rsidRPr="00261B7A">
        <w:rPr>
          <w:vertAlign w:val="subscript"/>
        </w:rPr>
        <w:t>3</w:t>
      </w:r>
      <w:r w:rsidRPr="00261B7A">
        <w:t xml:space="preserve"> volatilisation from animal dung and urine could not be accurately assessed (Saggar et al., 2013).</w:t>
      </w:r>
    </w:p>
    <w:p w14:paraId="0007C44B" w14:textId="77777777" w:rsidR="00994F64" w:rsidRPr="00261B7A" w:rsidRDefault="00994F64" w:rsidP="00994F64">
      <w:pPr>
        <w:pStyle w:val="BodyText"/>
      </w:pPr>
      <w:r w:rsidRPr="00261B7A">
        <w:t>Urea fertiliser coated with urease inhibitors was first used commercially in New Zealand in 2001. Activity data on urease inhibitor usage are provided by the Fertiliser Association of New Zealand from sales records.</w:t>
      </w:r>
      <w:r w:rsidRPr="00261B7A">
        <w:rPr>
          <w:rStyle w:val="FootnoteReference"/>
          <w:rFonts w:cs="Calibri"/>
        </w:rPr>
        <w:footnoteReference w:id="61"/>
      </w:r>
      <w:r w:rsidRPr="00261B7A">
        <w:t xml:space="preserve"> These activity data record the total amount of nitrogen in urea fertiliser that has been treated with a urease inhibitor. Some urea fertiliser coated with urease inhibitors is also blended into other non-nitrogen fertiliser products. </w:t>
      </w:r>
    </w:p>
    <w:p w14:paraId="45021549" w14:textId="77777777" w:rsidR="00994F64" w:rsidRPr="00261B7A" w:rsidRDefault="00994F64" w:rsidP="00994F64">
      <w:pPr>
        <w:pStyle w:val="BodyText"/>
      </w:pPr>
      <w:r w:rsidRPr="00261B7A">
        <w:t>Estimates of the mitigation impact of urease inhibitors on N</w:t>
      </w:r>
      <w:r w:rsidRPr="00261B7A">
        <w:rPr>
          <w:vertAlign w:val="subscript"/>
        </w:rPr>
        <w:t>2</w:t>
      </w:r>
      <w:r w:rsidRPr="00261B7A">
        <w:t>O emissions from volatilisation for the calendar years 2001 to 2021 are shown in table 5.5.9. In 2014, 2016 and 2019, large increases occurred in the use of urease inhibitors. The percentage of urea fertiliser applied with urease inhibitor has for the first time passed 50 per cent in 2021.</w:t>
      </w:r>
    </w:p>
    <w:p w14:paraId="7BF77985" w14:textId="77777777" w:rsidR="00994F64" w:rsidRPr="00261B7A" w:rsidRDefault="00994F64" w:rsidP="00994F64">
      <w:pPr>
        <w:pStyle w:val="Table"/>
        <w:rPr>
          <w:rFonts w:cs="Calibri"/>
        </w:rPr>
      </w:pPr>
      <w:bookmarkStart w:id="1133" w:name="_Toc441830884"/>
      <w:bookmarkStart w:id="1134" w:name="_Toc451176098"/>
      <w:bookmarkStart w:id="1135" w:name="_Toc481751526"/>
      <w:bookmarkStart w:id="1136" w:name="_Toc507158614"/>
      <w:bookmarkStart w:id="1137" w:name="_Toc511116748"/>
      <w:bookmarkStart w:id="1138" w:name="_Toc5269490"/>
      <w:bookmarkStart w:id="1139" w:name="_Toc32570935"/>
      <w:bookmarkStart w:id="1140" w:name="_Toc36224570"/>
      <w:bookmarkStart w:id="1141" w:name="_Toc68786455"/>
      <w:bookmarkStart w:id="1142" w:name="_Toc95574088"/>
      <w:bookmarkStart w:id="1143" w:name="_Toc127458275"/>
      <w:bookmarkStart w:id="1144" w:name="_Toc131591371"/>
      <w:r w:rsidRPr="00261B7A">
        <w:rPr>
          <w:rFonts w:cs="Calibri"/>
        </w:rPr>
        <w:t>Table 5.5.9</w:t>
      </w:r>
      <w:r w:rsidRPr="00261B7A">
        <w:rPr>
          <w:rFonts w:cs="Calibri"/>
        </w:rPr>
        <w:tab/>
        <w:t>Mitigation impact of urease inhibitors on nitrous oxide emissions from volatilisation,</w:t>
      </w:r>
      <w:r w:rsidRPr="00261B7A">
        <w:rPr>
          <w:rFonts w:cs="Calibri"/>
        </w:rPr>
        <w:br/>
        <w:t xml:space="preserve">from 2001 to </w:t>
      </w:r>
      <w:bookmarkEnd w:id="1133"/>
      <w:bookmarkEnd w:id="1134"/>
      <w:bookmarkEnd w:id="1135"/>
      <w:bookmarkEnd w:id="1136"/>
      <w:bookmarkEnd w:id="1137"/>
      <w:bookmarkEnd w:id="1138"/>
      <w:bookmarkEnd w:id="1139"/>
      <w:bookmarkEnd w:id="1140"/>
      <w:bookmarkEnd w:id="1141"/>
      <w:bookmarkEnd w:id="1142"/>
      <w:r w:rsidRPr="00261B7A">
        <w:rPr>
          <w:rFonts w:cs="Calibri"/>
        </w:rPr>
        <w:t>2021</w:t>
      </w:r>
      <w:bookmarkEnd w:id="1143"/>
      <w:bookmarkEnd w:id="1144"/>
      <w:r w:rsidRPr="00261B7A">
        <w:rPr>
          <w:rFonts w:cs="Calibri"/>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0A0" w:firstRow="1" w:lastRow="0" w:firstColumn="1" w:lastColumn="0" w:noHBand="0" w:noVBand="0"/>
      </w:tblPr>
      <w:tblGrid>
        <w:gridCol w:w="1113"/>
        <w:gridCol w:w="3928"/>
        <w:gridCol w:w="3464"/>
      </w:tblGrid>
      <w:tr w:rsidR="00994F64" w:rsidRPr="00261B7A" w14:paraId="464B6857" w14:textId="77777777" w:rsidTr="00501B0F">
        <w:trPr>
          <w:tblHeader/>
        </w:trPr>
        <w:tc>
          <w:tcPr>
            <w:tcW w:w="1113" w:type="dxa"/>
            <w:shd w:val="clear" w:color="auto" w:fill="1B556B"/>
            <w:vAlign w:val="bottom"/>
          </w:tcPr>
          <w:p w14:paraId="5FFDCF49" w14:textId="77777777" w:rsidR="00994F64" w:rsidRPr="00261B7A" w:rsidRDefault="00994F64" w:rsidP="00501B0F">
            <w:pPr>
              <w:pStyle w:val="TableTextBold"/>
              <w:spacing w:before="40" w:after="40"/>
              <w:rPr>
                <w:noProof w:val="0"/>
                <w:color w:val="FFFFFF" w:themeColor="background1"/>
                <w:szCs w:val="16"/>
              </w:rPr>
            </w:pPr>
            <w:r w:rsidRPr="00261B7A">
              <w:rPr>
                <w:noProof w:val="0"/>
                <w:color w:val="FFFFFF" w:themeColor="background1"/>
                <w:szCs w:val="16"/>
              </w:rPr>
              <w:t>Year</w:t>
            </w:r>
          </w:p>
        </w:tc>
        <w:tc>
          <w:tcPr>
            <w:tcW w:w="3928" w:type="dxa"/>
            <w:shd w:val="clear" w:color="auto" w:fill="1B556B"/>
          </w:tcPr>
          <w:p w14:paraId="270619FC" w14:textId="77777777" w:rsidR="00994F64" w:rsidRPr="00261B7A" w:rsidRDefault="00994F64" w:rsidP="00501B0F">
            <w:pPr>
              <w:pStyle w:val="TableTextBold"/>
              <w:spacing w:before="40" w:after="40"/>
              <w:jc w:val="center"/>
              <w:rPr>
                <w:i/>
                <w:iCs/>
                <w:noProof w:val="0"/>
                <w:color w:val="FFFFFF" w:themeColor="background1"/>
                <w:szCs w:val="16"/>
              </w:rPr>
            </w:pPr>
            <w:r w:rsidRPr="00261B7A">
              <w:rPr>
                <w:noProof w:val="0"/>
                <w:color w:val="FFFFFF" w:themeColor="background1"/>
                <w:szCs w:val="16"/>
              </w:rPr>
              <w:t>Percentage of urea fertiliser applied that included urease inhibitor (urea treated/total urea)</w:t>
            </w:r>
          </w:p>
        </w:tc>
        <w:tc>
          <w:tcPr>
            <w:tcW w:w="3464" w:type="dxa"/>
            <w:shd w:val="clear" w:color="auto" w:fill="1B556B"/>
          </w:tcPr>
          <w:p w14:paraId="301F92B1" w14:textId="77777777" w:rsidR="00994F64" w:rsidRPr="00261B7A" w:rsidRDefault="00994F64" w:rsidP="00501B0F">
            <w:pPr>
              <w:pStyle w:val="TableTextBold"/>
              <w:spacing w:before="40" w:after="40"/>
              <w:jc w:val="center"/>
              <w:rPr>
                <w:i/>
                <w:iCs/>
                <w:noProof w:val="0"/>
                <w:color w:val="FFFFFF" w:themeColor="background1"/>
                <w:szCs w:val="16"/>
              </w:rPr>
            </w:pPr>
            <w:r w:rsidRPr="00261B7A">
              <w:rPr>
                <w:noProof w:val="0"/>
                <w:color w:val="FFFFFF" w:themeColor="background1"/>
                <w:szCs w:val="16"/>
              </w:rPr>
              <w:t>Estimated greenhouse gas mitigation from using urease inhibitor (kt CO</w:t>
            </w:r>
            <w:r w:rsidRPr="00261B7A">
              <w:rPr>
                <w:noProof w:val="0"/>
                <w:color w:val="FFFFFF" w:themeColor="background1"/>
                <w:szCs w:val="16"/>
                <w:vertAlign w:val="subscript"/>
              </w:rPr>
              <w:t>2</w:t>
            </w:r>
            <w:r w:rsidRPr="00261B7A">
              <w:rPr>
                <w:noProof w:val="0"/>
                <w:color w:val="FFFFFF" w:themeColor="background1"/>
                <w:szCs w:val="16"/>
              </w:rPr>
              <w:t>-e)</w:t>
            </w:r>
          </w:p>
        </w:tc>
      </w:tr>
      <w:tr w:rsidR="00994F64" w:rsidRPr="00261B7A" w14:paraId="7306413B" w14:textId="77777777" w:rsidTr="00501B0F">
        <w:tc>
          <w:tcPr>
            <w:tcW w:w="1113" w:type="dxa"/>
            <w:shd w:val="clear" w:color="auto" w:fill="auto"/>
          </w:tcPr>
          <w:p w14:paraId="55EEBBDA" w14:textId="77777777" w:rsidR="00994F64" w:rsidRPr="00261B7A" w:rsidRDefault="00994F64" w:rsidP="00501B0F">
            <w:pPr>
              <w:pStyle w:val="TableText"/>
              <w:spacing w:before="40" w:after="40"/>
              <w:rPr>
                <w:rFonts w:cs="Calibri"/>
                <w:szCs w:val="16"/>
              </w:rPr>
            </w:pPr>
            <w:r w:rsidRPr="00261B7A">
              <w:rPr>
                <w:rFonts w:cs="Calibri"/>
                <w:szCs w:val="16"/>
              </w:rPr>
              <w:t>2001</w:t>
            </w:r>
          </w:p>
        </w:tc>
        <w:tc>
          <w:tcPr>
            <w:tcW w:w="3928" w:type="dxa"/>
            <w:shd w:val="clear" w:color="auto" w:fill="auto"/>
            <w:vAlign w:val="bottom"/>
          </w:tcPr>
          <w:p w14:paraId="42A989C4" w14:textId="77777777" w:rsidR="00994F64" w:rsidRPr="00261B7A" w:rsidRDefault="00994F64" w:rsidP="00501B0F">
            <w:pPr>
              <w:pStyle w:val="TableText"/>
              <w:spacing w:before="40" w:after="40"/>
              <w:jc w:val="center"/>
              <w:rPr>
                <w:rFonts w:cs="Calibri"/>
                <w:szCs w:val="16"/>
              </w:rPr>
            </w:pPr>
            <w:r w:rsidRPr="00261B7A">
              <w:rPr>
                <w:rFonts w:cs="Calibri"/>
                <w:szCs w:val="16"/>
              </w:rPr>
              <w:t>5.6</w:t>
            </w:r>
          </w:p>
        </w:tc>
        <w:tc>
          <w:tcPr>
            <w:tcW w:w="3464" w:type="dxa"/>
            <w:shd w:val="clear" w:color="auto" w:fill="auto"/>
            <w:vAlign w:val="bottom"/>
          </w:tcPr>
          <w:p w14:paraId="7D16E96F" w14:textId="77777777" w:rsidR="00994F64" w:rsidRPr="00261B7A" w:rsidRDefault="00994F64" w:rsidP="00501B0F">
            <w:pPr>
              <w:pStyle w:val="TableText"/>
              <w:spacing w:before="40" w:after="40"/>
              <w:jc w:val="center"/>
              <w:rPr>
                <w:rFonts w:cs="Calibri"/>
                <w:szCs w:val="16"/>
              </w:rPr>
            </w:pPr>
            <w:r w:rsidRPr="00261B7A">
              <w:rPr>
                <w:rFonts w:cs="Calibri"/>
                <w:szCs w:val="16"/>
              </w:rPr>
              <w:t>2.2</w:t>
            </w:r>
          </w:p>
        </w:tc>
      </w:tr>
      <w:tr w:rsidR="00994F64" w:rsidRPr="00261B7A" w14:paraId="30681403" w14:textId="77777777" w:rsidTr="00501B0F">
        <w:tc>
          <w:tcPr>
            <w:tcW w:w="1113" w:type="dxa"/>
            <w:shd w:val="clear" w:color="auto" w:fill="auto"/>
          </w:tcPr>
          <w:p w14:paraId="520162A7" w14:textId="77777777" w:rsidR="00994F64" w:rsidRPr="00261B7A" w:rsidRDefault="00994F64" w:rsidP="00501B0F">
            <w:pPr>
              <w:pStyle w:val="TableText"/>
              <w:spacing w:before="40" w:after="40"/>
              <w:rPr>
                <w:rFonts w:cs="Calibri"/>
                <w:szCs w:val="16"/>
              </w:rPr>
            </w:pPr>
            <w:r w:rsidRPr="00261B7A">
              <w:rPr>
                <w:rFonts w:cs="Calibri"/>
                <w:szCs w:val="16"/>
              </w:rPr>
              <w:t>2002</w:t>
            </w:r>
          </w:p>
        </w:tc>
        <w:tc>
          <w:tcPr>
            <w:tcW w:w="3928" w:type="dxa"/>
            <w:shd w:val="clear" w:color="auto" w:fill="auto"/>
            <w:vAlign w:val="bottom"/>
          </w:tcPr>
          <w:p w14:paraId="1A328201" w14:textId="77777777" w:rsidR="00994F64" w:rsidRPr="00261B7A" w:rsidRDefault="00994F64" w:rsidP="00501B0F">
            <w:pPr>
              <w:pStyle w:val="TableText"/>
              <w:spacing w:before="40" w:after="40"/>
              <w:jc w:val="center"/>
              <w:rPr>
                <w:rFonts w:cs="Calibri"/>
                <w:szCs w:val="16"/>
              </w:rPr>
            </w:pPr>
            <w:r w:rsidRPr="00261B7A">
              <w:rPr>
                <w:rFonts w:cs="Calibri"/>
                <w:szCs w:val="16"/>
              </w:rPr>
              <w:t>3.8</w:t>
            </w:r>
          </w:p>
        </w:tc>
        <w:tc>
          <w:tcPr>
            <w:tcW w:w="3464" w:type="dxa"/>
            <w:shd w:val="clear" w:color="auto" w:fill="auto"/>
            <w:vAlign w:val="bottom"/>
          </w:tcPr>
          <w:p w14:paraId="1EB211F8" w14:textId="77777777" w:rsidR="00994F64" w:rsidRPr="00261B7A" w:rsidRDefault="00994F64" w:rsidP="00501B0F">
            <w:pPr>
              <w:pStyle w:val="TableText"/>
              <w:spacing w:before="40" w:after="40"/>
              <w:jc w:val="center"/>
              <w:rPr>
                <w:rFonts w:cs="Calibri"/>
                <w:szCs w:val="16"/>
              </w:rPr>
            </w:pPr>
            <w:r w:rsidRPr="00261B7A">
              <w:rPr>
                <w:rFonts w:cs="Calibri"/>
                <w:szCs w:val="16"/>
              </w:rPr>
              <w:t>1.9</w:t>
            </w:r>
          </w:p>
        </w:tc>
      </w:tr>
      <w:tr w:rsidR="00994F64" w:rsidRPr="00261B7A" w14:paraId="0FEFAE64" w14:textId="77777777" w:rsidTr="00501B0F">
        <w:tc>
          <w:tcPr>
            <w:tcW w:w="1113" w:type="dxa"/>
            <w:shd w:val="clear" w:color="auto" w:fill="auto"/>
          </w:tcPr>
          <w:p w14:paraId="23D4846B" w14:textId="77777777" w:rsidR="00994F64" w:rsidRPr="00261B7A" w:rsidDel="00E408EA" w:rsidRDefault="00994F64" w:rsidP="00501B0F">
            <w:pPr>
              <w:pStyle w:val="TableText"/>
              <w:spacing w:before="40" w:after="40"/>
              <w:rPr>
                <w:rFonts w:cs="Calibri"/>
                <w:szCs w:val="16"/>
              </w:rPr>
            </w:pPr>
            <w:r w:rsidRPr="00261B7A">
              <w:rPr>
                <w:rFonts w:cs="Calibri"/>
                <w:szCs w:val="16"/>
              </w:rPr>
              <w:t>2003</w:t>
            </w:r>
          </w:p>
        </w:tc>
        <w:tc>
          <w:tcPr>
            <w:tcW w:w="3928" w:type="dxa"/>
            <w:shd w:val="clear" w:color="auto" w:fill="auto"/>
            <w:vAlign w:val="bottom"/>
          </w:tcPr>
          <w:p w14:paraId="2AE8C1BB"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4.6</w:t>
            </w:r>
          </w:p>
        </w:tc>
        <w:tc>
          <w:tcPr>
            <w:tcW w:w="3464" w:type="dxa"/>
            <w:shd w:val="clear" w:color="auto" w:fill="auto"/>
            <w:vAlign w:val="bottom"/>
          </w:tcPr>
          <w:p w14:paraId="3E5CFA00"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2.6</w:t>
            </w:r>
          </w:p>
        </w:tc>
      </w:tr>
      <w:tr w:rsidR="00994F64" w:rsidRPr="00261B7A" w14:paraId="00E294A5" w14:textId="77777777" w:rsidTr="00501B0F">
        <w:tc>
          <w:tcPr>
            <w:tcW w:w="1113" w:type="dxa"/>
            <w:shd w:val="clear" w:color="auto" w:fill="auto"/>
          </w:tcPr>
          <w:p w14:paraId="7901E461" w14:textId="77777777" w:rsidR="00994F64" w:rsidRPr="00261B7A" w:rsidDel="00E408EA" w:rsidRDefault="00994F64" w:rsidP="00501B0F">
            <w:pPr>
              <w:pStyle w:val="TableText"/>
              <w:spacing w:before="40" w:after="40"/>
              <w:rPr>
                <w:rFonts w:cs="Calibri"/>
                <w:szCs w:val="16"/>
              </w:rPr>
            </w:pPr>
            <w:r w:rsidRPr="00261B7A">
              <w:rPr>
                <w:rFonts w:cs="Calibri"/>
                <w:szCs w:val="16"/>
              </w:rPr>
              <w:t>2004</w:t>
            </w:r>
          </w:p>
        </w:tc>
        <w:tc>
          <w:tcPr>
            <w:tcW w:w="3928" w:type="dxa"/>
            <w:shd w:val="clear" w:color="auto" w:fill="auto"/>
            <w:vAlign w:val="bottom"/>
          </w:tcPr>
          <w:p w14:paraId="58A343F7"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8.1</w:t>
            </w:r>
          </w:p>
        </w:tc>
        <w:tc>
          <w:tcPr>
            <w:tcW w:w="3464" w:type="dxa"/>
            <w:shd w:val="clear" w:color="auto" w:fill="auto"/>
            <w:vAlign w:val="bottom"/>
          </w:tcPr>
          <w:p w14:paraId="0A7335C6"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4.8</w:t>
            </w:r>
          </w:p>
        </w:tc>
      </w:tr>
      <w:tr w:rsidR="00994F64" w:rsidRPr="00261B7A" w14:paraId="79F842EE" w14:textId="77777777" w:rsidTr="00501B0F">
        <w:tc>
          <w:tcPr>
            <w:tcW w:w="1113" w:type="dxa"/>
            <w:shd w:val="clear" w:color="auto" w:fill="auto"/>
          </w:tcPr>
          <w:p w14:paraId="0F6D3BC3" w14:textId="77777777" w:rsidR="00994F64" w:rsidRPr="00261B7A" w:rsidRDefault="00994F64" w:rsidP="00501B0F">
            <w:pPr>
              <w:pStyle w:val="TableText"/>
              <w:spacing w:before="40" w:after="40"/>
              <w:rPr>
                <w:rFonts w:cs="Calibri"/>
                <w:szCs w:val="16"/>
              </w:rPr>
            </w:pPr>
            <w:r w:rsidRPr="00261B7A">
              <w:rPr>
                <w:rFonts w:cs="Calibri"/>
                <w:szCs w:val="16"/>
              </w:rPr>
              <w:t>2005</w:t>
            </w:r>
          </w:p>
        </w:tc>
        <w:tc>
          <w:tcPr>
            <w:tcW w:w="3928" w:type="dxa"/>
            <w:shd w:val="clear" w:color="auto" w:fill="auto"/>
            <w:vAlign w:val="bottom"/>
          </w:tcPr>
          <w:p w14:paraId="6C9A55B2"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1.6</w:t>
            </w:r>
          </w:p>
        </w:tc>
        <w:tc>
          <w:tcPr>
            <w:tcW w:w="3464" w:type="dxa"/>
            <w:shd w:val="clear" w:color="auto" w:fill="auto"/>
            <w:vAlign w:val="bottom"/>
          </w:tcPr>
          <w:p w14:paraId="77D6794C"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1.0</w:t>
            </w:r>
          </w:p>
        </w:tc>
      </w:tr>
      <w:tr w:rsidR="00994F64" w:rsidRPr="00261B7A" w14:paraId="03ED9303" w14:textId="77777777" w:rsidTr="00501B0F">
        <w:tc>
          <w:tcPr>
            <w:tcW w:w="1113" w:type="dxa"/>
            <w:shd w:val="clear" w:color="auto" w:fill="auto"/>
          </w:tcPr>
          <w:p w14:paraId="442C9B13" w14:textId="77777777" w:rsidR="00994F64" w:rsidRPr="00261B7A" w:rsidRDefault="00994F64" w:rsidP="00501B0F">
            <w:pPr>
              <w:pStyle w:val="TableText"/>
              <w:spacing w:before="40" w:after="40"/>
              <w:rPr>
                <w:rFonts w:cs="Calibri"/>
                <w:szCs w:val="16"/>
              </w:rPr>
            </w:pPr>
            <w:r w:rsidRPr="00261B7A">
              <w:rPr>
                <w:rFonts w:cs="Calibri"/>
                <w:szCs w:val="16"/>
              </w:rPr>
              <w:t>2006</w:t>
            </w:r>
          </w:p>
        </w:tc>
        <w:tc>
          <w:tcPr>
            <w:tcW w:w="3928" w:type="dxa"/>
            <w:shd w:val="clear" w:color="auto" w:fill="auto"/>
            <w:vAlign w:val="bottom"/>
          </w:tcPr>
          <w:p w14:paraId="7E45F00E"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8.4</w:t>
            </w:r>
          </w:p>
        </w:tc>
        <w:tc>
          <w:tcPr>
            <w:tcW w:w="3464" w:type="dxa"/>
            <w:shd w:val="clear" w:color="auto" w:fill="auto"/>
            <w:vAlign w:val="bottom"/>
          </w:tcPr>
          <w:p w14:paraId="5C174637"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4.7</w:t>
            </w:r>
          </w:p>
        </w:tc>
      </w:tr>
      <w:tr w:rsidR="00994F64" w:rsidRPr="00261B7A" w14:paraId="47EA1E16" w14:textId="77777777" w:rsidTr="00501B0F">
        <w:tc>
          <w:tcPr>
            <w:tcW w:w="1113" w:type="dxa"/>
            <w:shd w:val="clear" w:color="auto" w:fill="auto"/>
          </w:tcPr>
          <w:p w14:paraId="4C2D8433" w14:textId="77777777" w:rsidR="00994F64" w:rsidRPr="00261B7A" w:rsidRDefault="00994F64" w:rsidP="00501B0F">
            <w:pPr>
              <w:pStyle w:val="TableText"/>
              <w:spacing w:before="40" w:after="40"/>
              <w:rPr>
                <w:rFonts w:cs="Calibri"/>
                <w:szCs w:val="16"/>
              </w:rPr>
            </w:pPr>
            <w:r w:rsidRPr="00261B7A">
              <w:rPr>
                <w:rFonts w:cs="Calibri"/>
                <w:szCs w:val="16"/>
              </w:rPr>
              <w:t>2007</w:t>
            </w:r>
          </w:p>
        </w:tc>
        <w:tc>
          <w:tcPr>
            <w:tcW w:w="3928" w:type="dxa"/>
            <w:shd w:val="clear" w:color="auto" w:fill="auto"/>
            <w:vAlign w:val="bottom"/>
          </w:tcPr>
          <w:p w14:paraId="09357584"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5.0</w:t>
            </w:r>
          </w:p>
        </w:tc>
        <w:tc>
          <w:tcPr>
            <w:tcW w:w="3464" w:type="dxa"/>
            <w:shd w:val="clear" w:color="auto" w:fill="auto"/>
            <w:vAlign w:val="bottom"/>
          </w:tcPr>
          <w:p w14:paraId="62EA0C63"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3.0</w:t>
            </w:r>
          </w:p>
        </w:tc>
      </w:tr>
      <w:tr w:rsidR="00994F64" w:rsidRPr="00261B7A" w14:paraId="0337F9CA" w14:textId="77777777" w:rsidTr="00501B0F">
        <w:tc>
          <w:tcPr>
            <w:tcW w:w="1113" w:type="dxa"/>
            <w:shd w:val="clear" w:color="auto" w:fill="auto"/>
          </w:tcPr>
          <w:p w14:paraId="7B910FF3" w14:textId="77777777" w:rsidR="00994F64" w:rsidRPr="00261B7A" w:rsidRDefault="00994F64" w:rsidP="00501B0F">
            <w:pPr>
              <w:pStyle w:val="TableText"/>
              <w:spacing w:before="40" w:after="40"/>
              <w:rPr>
                <w:rFonts w:cs="Calibri"/>
                <w:szCs w:val="16"/>
              </w:rPr>
            </w:pPr>
            <w:r w:rsidRPr="00261B7A">
              <w:rPr>
                <w:rFonts w:cs="Calibri"/>
                <w:szCs w:val="16"/>
              </w:rPr>
              <w:t>2008</w:t>
            </w:r>
          </w:p>
        </w:tc>
        <w:tc>
          <w:tcPr>
            <w:tcW w:w="3928" w:type="dxa"/>
            <w:shd w:val="clear" w:color="auto" w:fill="auto"/>
            <w:vAlign w:val="bottom"/>
          </w:tcPr>
          <w:p w14:paraId="071DD4F1"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5.2</w:t>
            </w:r>
          </w:p>
        </w:tc>
        <w:tc>
          <w:tcPr>
            <w:tcW w:w="3464" w:type="dxa"/>
            <w:shd w:val="clear" w:color="auto" w:fill="auto"/>
            <w:vAlign w:val="bottom"/>
          </w:tcPr>
          <w:p w14:paraId="1E7ED82D"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3.0</w:t>
            </w:r>
          </w:p>
        </w:tc>
      </w:tr>
      <w:tr w:rsidR="00994F64" w:rsidRPr="00261B7A" w14:paraId="3333C2DB" w14:textId="77777777" w:rsidTr="00501B0F">
        <w:tc>
          <w:tcPr>
            <w:tcW w:w="1113" w:type="dxa"/>
            <w:shd w:val="clear" w:color="auto" w:fill="auto"/>
          </w:tcPr>
          <w:p w14:paraId="157659C8" w14:textId="77777777" w:rsidR="00994F64" w:rsidRPr="00261B7A" w:rsidRDefault="00994F64" w:rsidP="00501B0F">
            <w:pPr>
              <w:pStyle w:val="TableText"/>
              <w:spacing w:before="40" w:after="40"/>
              <w:rPr>
                <w:rFonts w:cs="Calibri"/>
                <w:szCs w:val="16"/>
              </w:rPr>
            </w:pPr>
            <w:r w:rsidRPr="00261B7A">
              <w:rPr>
                <w:rFonts w:cs="Calibri"/>
                <w:szCs w:val="16"/>
              </w:rPr>
              <w:t>2009</w:t>
            </w:r>
          </w:p>
        </w:tc>
        <w:tc>
          <w:tcPr>
            <w:tcW w:w="3928" w:type="dxa"/>
            <w:shd w:val="clear" w:color="auto" w:fill="auto"/>
            <w:vAlign w:val="bottom"/>
          </w:tcPr>
          <w:p w14:paraId="785F0541"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9.4</w:t>
            </w:r>
          </w:p>
        </w:tc>
        <w:tc>
          <w:tcPr>
            <w:tcW w:w="3464" w:type="dxa"/>
            <w:shd w:val="clear" w:color="auto" w:fill="auto"/>
            <w:vAlign w:val="bottom"/>
          </w:tcPr>
          <w:p w14:paraId="705976E9"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4.7</w:t>
            </w:r>
          </w:p>
        </w:tc>
      </w:tr>
      <w:tr w:rsidR="00994F64" w:rsidRPr="00261B7A" w14:paraId="1413998B" w14:textId="77777777" w:rsidTr="00501B0F">
        <w:tc>
          <w:tcPr>
            <w:tcW w:w="1113" w:type="dxa"/>
            <w:shd w:val="clear" w:color="auto" w:fill="auto"/>
          </w:tcPr>
          <w:p w14:paraId="63C708EC" w14:textId="77777777" w:rsidR="00994F64" w:rsidRPr="00261B7A" w:rsidRDefault="00994F64" w:rsidP="00501B0F">
            <w:pPr>
              <w:pStyle w:val="TableText"/>
              <w:spacing w:before="40" w:after="40"/>
              <w:rPr>
                <w:rFonts w:cs="Calibri"/>
                <w:szCs w:val="16"/>
              </w:rPr>
            </w:pPr>
            <w:r w:rsidRPr="00261B7A">
              <w:rPr>
                <w:rFonts w:cs="Calibri"/>
                <w:szCs w:val="16"/>
              </w:rPr>
              <w:t>2010</w:t>
            </w:r>
          </w:p>
        </w:tc>
        <w:tc>
          <w:tcPr>
            <w:tcW w:w="3928" w:type="dxa"/>
            <w:shd w:val="clear" w:color="auto" w:fill="auto"/>
            <w:vAlign w:val="bottom"/>
          </w:tcPr>
          <w:p w14:paraId="65AE3CDE"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6.9</w:t>
            </w:r>
          </w:p>
        </w:tc>
        <w:tc>
          <w:tcPr>
            <w:tcW w:w="3464" w:type="dxa"/>
            <w:shd w:val="clear" w:color="auto" w:fill="auto"/>
            <w:vAlign w:val="bottom"/>
          </w:tcPr>
          <w:p w14:paraId="68620981"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4.1</w:t>
            </w:r>
          </w:p>
        </w:tc>
      </w:tr>
      <w:tr w:rsidR="00994F64" w:rsidRPr="00261B7A" w14:paraId="1B8C09FF" w14:textId="77777777" w:rsidTr="00501B0F">
        <w:tc>
          <w:tcPr>
            <w:tcW w:w="1113" w:type="dxa"/>
            <w:shd w:val="clear" w:color="auto" w:fill="auto"/>
          </w:tcPr>
          <w:p w14:paraId="4EF630C1" w14:textId="77777777" w:rsidR="00994F64" w:rsidRPr="00261B7A" w:rsidRDefault="00994F64" w:rsidP="00501B0F">
            <w:pPr>
              <w:pStyle w:val="TableText"/>
              <w:spacing w:before="40" w:after="40"/>
              <w:rPr>
                <w:rFonts w:cs="Calibri"/>
                <w:szCs w:val="16"/>
              </w:rPr>
            </w:pPr>
            <w:r w:rsidRPr="00261B7A">
              <w:rPr>
                <w:rFonts w:cs="Calibri"/>
                <w:szCs w:val="16"/>
              </w:rPr>
              <w:t>2011</w:t>
            </w:r>
          </w:p>
        </w:tc>
        <w:tc>
          <w:tcPr>
            <w:tcW w:w="3928" w:type="dxa"/>
            <w:shd w:val="clear" w:color="auto" w:fill="auto"/>
            <w:vAlign w:val="bottom"/>
          </w:tcPr>
          <w:p w14:paraId="55B92BFC"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5.3</w:t>
            </w:r>
          </w:p>
        </w:tc>
        <w:tc>
          <w:tcPr>
            <w:tcW w:w="3464" w:type="dxa"/>
            <w:shd w:val="clear" w:color="auto" w:fill="auto"/>
            <w:vAlign w:val="bottom"/>
          </w:tcPr>
          <w:p w14:paraId="3BD95483"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3.5</w:t>
            </w:r>
          </w:p>
        </w:tc>
      </w:tr>
      <w:tr w:rsidR="00994F64" w:rsidRPr="00261B7A" w14:paraId="0CBBB889" w14:textId="77777777" w:rsidTr="00501B0F">
        <w:tc>
          <w:tcPr>
            <w:tcW w:w="1113" w:type="dxa"/>
            <w:shd w:val="clear" w:color="auto" w:fill="auto"/>
          </w:tcPr>
          <w:p w14:paraId="66683E65" w14:textId="77777777" w:rsidR="00994F64" w:rsidRPr="00261B7A" w:rsidRDefault="00994F64" w:rsidP="00501B0F">
            <w:pPr>
              <w:pStyle w:val="TableText"/>
              <w:spacing w:before="40" w:after="40"/>
              <w:rPr>
                <w:rFonts w:cs="Calibri"/>
                <w:szCs w:val="16"/>
              </w:rPr>
            </w:pPr>
            <w:r w:rsidRPr="00261B7A">
              <w:rPr>
                <w:rFonts w:cs="Calibri"/>
                <w:szCs w:val="16"/>
              </w:rPr>
              <w:t>2012</w:t>
            </w:r>
          </w:p>
        </w:tc>
        <w:tc>
          <w:tcPr>
            <w:tcW w:w="3928" w:type="dxa"/>
            <w:shd w:val="clear" w:color="auto" w:fill="auto"/>
            <w:vAlign w:val="bottom"/>
          </w:tcPr>
          <w:p w14:paraId="482EA2D3"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7.0</w:t>
            </w:r>
          </w:p>
        </w:tc>
        <w:tc>
          <w:tcPr>
            <w:tcW w:w="3464" w:type="dxa"/>
            <w:shd w:val="clear" w:color="auto" w:fill="auto"/>
            <w:vAlign w:val="bottom"/>
          </w:tcPr>
          <w:p w14:paraId="40295557"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4.6</w:t>
            </w:r>
          </w:p>
        </w:tc>
      </w:tr>
      <w:tr w:rsidR="00994F64" w:rsidRPr="00261B7A" w14:paraId="6B03CA18" w14:textId="77777777" w:rsidTr="00501B0F">
        <w:tc>
          <w:tcPr>
            <w:tcW w:w="1113" w:type="dxa"/>
            <w:shd w:val="clear" w:color="auto" w:fill="auto"/>
          </w:tcPr>
          <w:p w14:paraId="18A30FA7" w14:textId="77777777" w:rsidR="00994F64" w:rsidRPr="00261B7A" w:rsidRDefault="00994F64" w:rsidP="00501B0F">
            <w:pPr>
              <w:pStyle w:val="TableText"/>
              <w:spacing w:before="40" w:after="40"/>
              <w:rPr>
                <w:rFonts w:cs="Calibri"/>
                <w:szCs w:val="16"/>
              </w:rPr>
            </w:pPr>
            <w:r w:rsidRPr="00261B7A">
              <w:rPr>
                <w:rFonts w:cs="Calibri"/>
                <w:szCs w:val="16"/>
              </w:rPr>
              <w:t>2013</w:t>
            </w:r>
          </w:p>
        </w:tc>
        <w:tc>
          <w:tcPr>
            <w:tcW w:w="3928" w:type="dxa"/>
            <w:shd w:val="clear" w:color="auto" w:fill="auto"/>
            <w:vAlign w:val="bottom"/>
          </w:tcPr>
          <w:p w14:paraId="429C2FC4"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8.6</w:t>
            </w:r>
          </w:p>
        </w:tc>
        <w:tc>
          <w:tcPr>
            <w:tcW w:w="3464" w:type="dxa"/>
            <w:shd w:val="clear" w:color="auto" w:fill="auto"/>
            <w:vAlign w:val="bottom"/>
          </w:tcPr>
          <w:p w14:paraId="7CE15195"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5.9</w:t>
            </w:r>
          </w:p>
        </w:tc>
      </w:tr>
      <w:tr w:rsidR="00994F64" w:rsidRPr="00261B7A" w14:paraId="4417304E" w14:textId="77777777" w:rsidTr="00501B0F">
        <w:tc>
          <w:tcPr>
            <w:tcW w:w="1113" w:type="dxa"/>
            <w:shd w:val="clear" w:color="auto" w:fill="auto"/>
          </w:tcPr>
          <w:p w14:paraId="0B6CFC6C" w14:textId="77777777" w:rsidR="00994F64" w:rsidRPr="00261B7A" w:rsidRDefault="00994F64" w:rsidP="00501B0F">
            <w:pPr>
              <w:pStyle w:val="TableText"/>
              <w:spacing w:before="40" w:after="40"/>
              <w:rPr>
                <w:rFonts w:cs="Calibri"/>
                <w:szCs w:val="16"/>
              </w:rPr>
            </w:pPr>
            <w:r w:rsidRPr="00261B7A">
              <w:rPr>
                <w:rFonts w:cs="Calibri"/>
                <w:szCs w:val="16"/>
              </w:rPr>
              <w:t>2014</w:t>
            </w:r>
          </w:p>
        </w:tc>
        <w:tc>
          <w:tcPr>
            <w:tcW w:w="3928" w:type="dxa"/>
            <w:shd w:val="clear" w:color="auto" w:fill="auto"/>
            <w:vAlign w:val="bottom"/>
          </w:tcPr>
          <w:p w14:paraId="6F1C7EE4"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20.2</w:t>
            </w:r>
          </w:p>
        </w:tc>
        <w:tc>
          <w:tcPr>
            <w:tcW w:w="3464" w:type="dxa"/>
            <w:shd w:val="clear" w:color="auto" w:fill="auto"/>
            <w:vAlign w:val="bottom"/>
          </w:tcPr>
          <w:p w14:paraId="333CF1DB"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13.6</w:t>
            </w:r>
          </w:p>
        </w:tc>
      </w:tr>
      <w:tr w:rsidR="00994F64" w:rsidRPr="00261B7A" w14:paraId="12DF881F" w14:textId="77777777" w:rsidTr="00501B0F">
        <w:tc>
          <w:tcPr>
            <w:tcW w:w="1113" w:type="dxa"/>
            <w:shd w:val="clear" w:color="auto" w:fill="auto"/>
          </w:tcPr>
          <w:p w14:paraId="48A500B2" w14:textId="77777777" w:rsidR="00994F64" w:rsidRPr="00261B7A" w:rsidRDefault="00994F64" w:rsidP="00501B0F">
            <w:pPr>
              <w:pStyle w:val="TableText"/>
              <w:spacing w:before="40" w:after="40"/>
              <w:rPr>
                <w:rFonts w:cs="Calibri"/>
                <w:szCs w:val="16"/>
              </w:rPr>
            </w:pPr>
            <w:r w:rsidRPr="00261B7A">
              <w:rPr>
                <w:rFonts w:cs="Calibri"/>
                <w:szCs w:val="16"/>
              </w:rPr>
              <w:t>2015</w:t>
            </w:r>
          </w:p>
        </w:tc>
        <w:tc>
          <w:tcPr>
            <w:tcW w:w="3928" w:type="dxa"/>
            <w:shd w:val="clear" w:color="auto" w:fill="auto"/>
            <w:vAlign w:val="bottom"/>
          </w:tcPr>
          <w:p w14:paraId="7D1876C4"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16.2</w:t>
            </w:r>
          </w:p>
        </w:tc>
        <w:tc>
          <w:tcPr>
            <w:tcW w:w="3464" w:type="dxa"/>
            <w:shd w:val="clear" w:color="auto" w:fill="auto"/>
            <w:vAlign w:val="bottom"/>
          </w:tcPr>
          <w:p w14:paraId="2E912FB2"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13.1</w:t>
            </w:r>
          </w:p>
        </w:tc>
      </w:tr>
      <w:tr w:rsidR="00994F64" w:rsidRPr="00261B7A" w14:paraId="06805A69" w14:textId="77777777" w:rsidTr="00501B0F">
        <w:tc>
          <w:tcPr>
            <w:tcW w:w="1113" w:type="dxa"/>
            <w:shd w:val="clear" w:color="auto" w:fill="auto"/>
          </w:tcPr>
          <w:p w14:paraId="2475D98A" w14:textId="77777777" w:rsidR="00994F64" w:rsidRPr="00261B7A" w:rsidRDefault="00994F64" w:rsidP="00501B0F">
            <w:pPr>
              <w:pStyle w:val="TableText"/>
              <w:spacing w:before="40" w:after="40"/>
              <w:rPr>
                <w:rFonts w:cs="Calibri"/>
                <w:szCs w:val="16"/>
              </w:rPr>
            </w:pPr>
            <w:r w:rsidRPr="00261B7A">
              <w:rPr>
                <w:rFonts w:cs="Calibri"/>
                <w:szCs w:val="16"/>
              </w:rPr>
              <w:t>2016</w:t>
            </w:r>
          </w:p>
        </w:tc>
        <w:tc>
          <w:tcPr>
            <w:tcW w:w="3928" w:type="dxa"/>
            <w:shd w:val="clear" w:color="auto" w:fill="auto"/>
            <w:vAlign w:val="bottom"/>
          </w:tcPr>
          <w:p w14:paraId="58275986"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26.5</w:t>
            </w:r>
          </w:p>
        </w:tc>
        <w:tc>
          <w:tcPr>
            <w:tcW w:w="3464" w:type="dxa"/>
            <w:shd w:val="clear" w:color="auto" w:fill="auto"/>
            <w:vAlign w:val="bottom"/>
          </w:tcPr>
          <w:p w14:paraId="78A25413" w14:textId="77777777" w:rsidR="00994F64" w:rsidRPr="00261B7A" w:rsidRDefault="00994F64" w:rsidP="00501B0F">
            <w:pPr>
              <w:pStyle w:val="TableText"/>
              <w:spacing w:before="40" w:after="40"/>
              <w:jc w:val="center"/>
              <w:rPr>
                <w:rFonts w:cs="Calibri"/>
                <w:color w:val="000000"/>
                <w:szCs w:val="16"/>
              </w:rPr>
            </w:pPr>
            <w:r w:rsidRPr="00261B7A">
              <w:rPr>
                <w:rFonts w:cs="Calibri"/>
                <w:szCs w:val="16"/>
              </w:rPr>
              <w:t>20.1</w:t>
            </w:r>
          </w:p>
        </w:tc>
      </w:tr>
      <w:tr w:rsidR="00994F64" w:rsidRPr="00261B7A" w14:paraId="622435A8" w14:textId="77777777" w:rsidTr="00501B0F">
        <w:tc>
          <w:tcPr>
            <w:tcW w:w="1113" w:type="dxa"/>
            <w:shd w:val="clear" w:color="auto" w:fill="auto"/>
          </w:tcPr>
          <w:p w14:paraId="05192B37" w14:textId="77777777" w:rsidR="00994F64" w:rsidRPr="00261B7A" w:rsidRDefault="00994F64" w:rsidP="00501B0F">
            <w:pPr>
              <w:pStyle w:val="TableText"/>
              <w:spacing w:before="40" w:after="40"/>
              <w:rPr>
                <w:rFonts w:cs="Calibri"/>
                <w:szCs w:val="16"/>
              </w:rPr>
            </w:pPr>
            <w:r w:rsidRPr="00261B7A">
              <w:rPr>
                <w:rFonts w:cs="Calibri"/>
                <w:szCs w:val="16"/>
              </w:rPr>
              <w:t>2017</w:t>
            </w:r>
          </w:p>
        </w:tc>
        <w:tc>
          <w:tcPr>
            <w:tcW w:w="3928" w:type="dxa"/>
            <w:shd w:val="clear" w:color="auto" w:fill="auto"/>
            <w:vAlign w:val="bottom"/>
          </w:tcPr>
          <w:p w14:paraId="319B91E2" w14:textId="77777777" w:rsidR="00994F64" w:rsidRPr="00261B7A" w:rsidRDefault="00994F64" w:rsidP="00501B0F">
            <w:pPr>
              <w:pStyle w:val="TableText"/>
              <w:spacing w:before="40" w:after="40"/>
              <w:jc w:val="center"/>
              <w:rPr>
                <w:rFonts w:cs="Calibri"/>
                <w:szCs w:val="16"/>
              </w:rPr>
            </w:pPr>
            <w:r w:rsidRPr="00261B7A">
              <w:rPr>
                <w:rFonts w:cs="Calibri"/>
                <w:szCs w:val="16"/>
              </w:rPr>
              <w:t>27.8</w:t>
            </w:r>
          </w:p>
        </w:tc>
        <w:tc>
          <w:tcPr>
            <w:tcW w:w="3464" w:type="dxa"/>
            <w:shd w:val="clear" w:color="auto" w:fill="auto"/>
            <w:vAlign w:val="bottom"/>
          </w:tcPr>
          <w:p w14:paraId="383847B8" w14:textId="77777777" w:rsidR="00994F64" w:rsidRPr="00261B7A" w:rsidRDefault="00994F64" w:rsidP="00501B0F">
            <w:pPr>
              <w:pStyle w:val="TableText"/>
              <w:spacing w:before="40" w:after="40"/>
              <w:jc w:val="center"/>
              <w:rPr>
                <w:rFonts w:cs="Calibri"/>
                <w:szCs w:val="16"/>
              </w:rPr>
            </w:pPr>
            <w:r w:rsidRPr="00261B7A">
              <w:rPr>
                <w:rFonts w:cs="Calibri"/>
                <w:szCs w:val="16"/>
              </w:rPr>
              <w:t>21.6</w:t>
            </w:r>
          </w:p>
        </w:tc>
      </w:tr>
      <w:tr w:rsidR="00994F64" w:rsidRPr="00261B7A" w14:paraId="54B676AE" w14:textId="77777777" w:rsidTr="00501B0F">
        <w:tc>
          <w:tcPr>
            <w:tcW w:w="1113" w:type="dxa"/>
            <w:shd w:val="clear" w:color="auto" w:fill="auto"/>
          </w:tcPr>
          <w:p w14:paraId="222B69BD" w14:textId="77777777" w:rsidR="00994F64" w:rsidRPr="00261B7A" w:rsidRDefault="00994F64" w:rsidP="00501B0F">
            <w:pPr>
              <w:pStyle w:val="TableText"/>
              <w:spacing w:before="40" w:after="40"/>
              <w:rPr>
                <w:rFonts w:cs="Calibri"/>
                <w:szCs w:val="16"/>
              </w:rPr>
            </w:pPr>
            <w:r w:rsidRPr="00261B7A">
              <w:rPr>
                <w:rFonts w:cs="Calibri"/>
                <w:szCs w:val="16"/>
              </w:rPr>
              <w:t>2018</w:t>
            </w:r>
          </w:p>
        </w:tc>
        <w:tc>
          <w:tcPr>
            <w:tcW w:w="3928" w:type="dxa"/>
            <w:shd w:val="clear" w:color="auto" w:fill="auto"/>
            <w:vAlign w:val="bottom"/>
          </w:tcPr>
          <w:p w14:paraId="76844D3A" w14:textId="77777777" w:rsidR="00994F64" w:rsidRPr="00261B7A" w:rsidRDefault="00994F64" w:rsidP="00501B0F">
            <w:pPr>
              <w:pStyle w:val="TableText"/>
              <w:spacing w:before="40" w:after="40"/>
              <w:jc w:val="center"/>
              <w:rPr>
                <w:rFonts w:cs="Calibri"/>
                <w:szCs w:val="16"/>
              </w:rPr>
            </w:pPr>
            <w:r w:rsidRPr="00261B7A">
              <w:rPr>
                <w:rFonts w:cs="Calibri"/>
                <w:szCs w:val="16"/>
              </w:rPr>
              <w:t>29.9</w:t>
            </w:r>
          </w:p>
        </w:tc>
        <w:tc>
          <w:tcPr>
            <w:tcW w:w="3464" w:type="dxa"/>
            <w:shd w:val="clear" w:color="auto" w:fill="auto"/>
            <w:vAlign w:val="bottom"/>
          </w:tcPr>
          <w:p w14:paraId="4C93948B" w14:textId="77777777" w:rsidR="00994F64" w:rsidRPr="00261B7A" w:rsidRDefault="00994F64" w:rsidP="00501B0F">
            <w:pPr>
              <w:pStyle w:val="TableText"/>
              <w:spacing w:before="40" w:after="40"/>
              <w:jc w:val="center"/>
              <w:rPr>
                <w:rFonts w:cs="Calibri"/>
                <w:szCs w:val="16"/>
              </w:rPr>
            </w:pPr>
            <w:r w:rsidRPr="00261B7A">
              <w:rPr>
                <w:rFonts w:cs="Calibri"/>
                <w:szCs w:val="16"/>
              </w:rPr>
              <w:t>24.0</w:t>
            </w:r>
          </w:p>
        </w:tc>
      </w:tr>
      <w:tr w:rsidR="00994F64" w:rsidRPr="00261B7A" w14:paraId="377BEC2F" w14:textId="77777777" w:rsidTr="00501B0F">
        <w:tc>
          <w:tcPr>
            <w:tcW w:w="1113" w:type="dxa"/>
            <w:shd w:val="clear" w:color="auto" w:fill="auto"/>
          </w:tcPr>
          <w:p w14:paraId="76F3D769" w14:textId="77777777" w:rsidR="00994F64" w:rsidRPr="00261B7A" w:rsidRDefault="00994F64" w:rsidP="00501B0F">
            <w:pPr>
              <w:pStyle w:val="TableText"/>
              <w:spacing w:before="40" w:after="40"/>
              <w:rPr>
                <w:rFonts w:cs="Calibri"/>
                <w:szCs w:val="16"/>
              </w:rPr>
            </w:pPr>
            <w:r w:rsidRPr="00261B7A">
              <w:rPr>
                <w:rFonts w:cs="Calibri"/>
                <w:szCs w:val="16"/>
              </w:rPr>
              <w:t>2019</w:t>
            </w:r>
          </w:p>
        </w:tc>
        <w:tc>
          <w:tcPr>
            <w:tcW w:w="3928" w:type="dxa"/>
            <w:shd w:val="clear" w:color="auto" w:fill="auto"/>
            <w:vAlign w:val="bottom"/>
          </w:tcPr>
          <w:p w14:paraId="039BCE0F" w14:textId="77777777" w:rsidR="00994F64" w:rsidRPr="00261B7A" w:rsidRDefault="00994F64" w:rsidP="00501B0F">
            <w:pPr>
              <w:pStyle w:val="TableText"/>
              <w:spacing w:before="40" w:after="40"/>
              <w:jc w:val="center"/>
              <w:rPr>
                <w:rFonts w:cs="Calibri"/>
                <w:szCs w:val="16"/>
              </w:rPr>
            </w:pPr>
            <w:r w:rsidRPr="00261B7A">
              <w:rPr>
                <w:rFonts w:cs="Calibri"/>
                <w:szCs w:val="16"/>
              </w:rPr>
              <w:t>35.5</w:t>
            </w:r>
          </w:p>
        </w:tc>
        <w:tc>
          <w:tcPr>
            <w:tcW w:w="3464" w:type="dxa"/>
            <w:shd w:val="clear" w:color="auto" w:fill="auto"/>
            <w:vAlign w:val="bottom"/>
          </w:tcPr>
          <w:p w14:paraId="0B3CD31E" w14:textId="77777777" w:rsidR="00994F64" w:rsidRPr="00261B7A" w:rsidRDefault="00994F64" w:rsidP="00501B0F">
            <w:pPr>
              <w:pStyle w:val="TableText"/>
              <w:spacing w:before="40" w:after="40"/>
              <w:jc w:val="center"/>
              <w:rPr>
                <w:rFonts w:cs="Calibri"/>
                <w:szCs w:val="16"/>
              </w:rPr>
            </w:pPr>
            <w:r w:rsidRPr="00261B7A">
              <w:rPr>
                <w:rFonts w:cs="Calibri"/>
                <w:szCs w:val="16"/>
              </w:rPr>
              <w:t>26.8</w:t>
            </w:r>
          </w:p>
        </w:tc>
      </w:tr>
      <w:tr w:rsidR="00994F64" w:rsidRPr="00261B7A" w14:paraId="1C998FB2" w14:textId="77777777" w:rsidTr="00501B0F">
        <w:tc>
          <w:tcPr>
            <w:tcW w:w="1113" w:type="dxa"/>
            <w:shd w:val="clear" w:color="auto" w:fill="auto"/>
          </w:tcPr>
          <w:p w14:paraId="28208916" w14:textId="77777777" w:rsidR="00994F64" w:rsidRPr="00261B7A" w:rsidRDefault="00994F64" w:rsidP="00501B0F">
            <w:pPr>
              <w:pStyle w:val="TableText"/>
              <w:spacing w:before="40" w:after="40"/>
              <w:rPr>
                <w:rFonts w:cs="Calibri"/>
                <w:szCs w:val="16"/>
              </w:rPr>
            </w:pPr>
            <w:r w:rsidRPr="00261B7A">
              <w:rPr>
                <w:rFonts w:cs="Calibri"/>
                <w:szCs w:val="16"/>
              </w:rPr>
              <w:t>2020</w:t>
            </w:r>
          </w:p>
        </w:tc>
        <w:tc>
          <w:tcPr>
            <w:tcW w:w="3928" w:type="dxa"/>
            <w:shd w:val="clear" w:color="auto" w:fill="auto"/>
            <w:vAlign w:val="bottom"/>
          </w:tcPr>
          <w:p w14:paraId="0337EBCF" w14:textId="77777777" w:rsidR="00994F64" w:rsidRPr="00261B7A" w:rsidRDefault="00994F64" w:rsidP="00501B0F">
            <w:pPr>
              <w:pStyle w:val="TableText"/>
              <w:spacing w:before="40" w:after="40"/>
              <w:jc w:val="center"/>
              <w:rPr>
                <w:szCs w:val="16"/>
              </w:rPr>
            </w:pPr>
            <w:r w:rsidRPr="00261B7A">
              <w:rPr>
                <w:rFonts w:cs="Calibri"/>
                <w:szCs w:val="16"/>
              </w:rPr>
              <w:t>41.8</w:t>
            </w:r>
          </w:p>
        </w:tc>
        <w:tc>
          <w:tcPr>
            <w:tcW w:w="3464" w:type="dxa"/>
            <w:shd w:val="clear" w:color="auto" w:fill="auto"/>
            <w:vAlign w:val="bottom"/>
          </w:tcPr>
          <w:p w14:paraId="135E1D5F" w14:textId="77777777" w:rsidR="00994F64" w:rsidRPr="00261B7A" w:rsidRDefault="00994F64" w:rsidP="00501B0F">
            <w:pPr>
              <w:pStyle w:val="TableText"/>
              <w:spacing w:before="40" w:after="40"/>
              <w:jc w:val="center"/>
              <w:rPr>
                <w:szCs w:val="16"/>
              </w:rPr>
            </w:pPr>
            <w:r w:rsidRPr="00261B7A">
              <w:rPr>
                <w:rFonts w:cs="Calibri"/>
                <w:szCs w:val="16"/>
              </w:rPr>
              <w:t>29.9</w:t>
            </w:r>
          </w:p>
        </w:tc>
      </w:tr>
      <w:tr w:rsidR="00994F64" w:rsidRPr="00261B7A" w14:paraId="5C50F74D" w14:textId="77777777" w:rsidTr="00501B0F">
        <w:tc>
          <w:tcPr>
            <w:tcW w:w="1113" w:type="dxa"/>
            <w:shd w:val="clear" w:color="auto" w:fill="auto"/>
          </w:tcPr>
          <w:p w14:paraId="4A2A6366" w14:textId="77777777" w:rsidR="00994F64" w:rsidRPr="00261B7A" w:rsidRDefault="00994F64" w:rsidP="00501B0F">
            <w:pPr>
              <w:pStyle w:val="TableText"/>
              <w:spacing w:before="40" w:after="40"/>
              <w:rPr>
                <w:rFonts w:cs="Calibri"/>
                <w:szCs w:val="16"/>
              </w:rPr>
            </w:pPr>
            <w:r w:rsidRPr="00261B7A">
              <w:rPr>
                <w:rFonts w:cs="Calibri"/>
                <w:szCs w:val="16"/>
              </w:rPr>
              <w:t>2021</w:t>
            </w:r>
          </w:p>
        </w:tc>
        <w:tc>
          <w:tcPr>
            <w:tcW w:w="3928" w:type="dxa"/>
            <w:shd w:val="clear" w:color="auto" w:fill="auto"/>
            <w:vAlign w:val="bottom"/>
          </w:tcPr>
          <w:p w14:paraId="573421AF" w14:textId="77777777" w:rsidR="00994F64" w:rsidRPr="00261B7A" w:rsidRDefault="00994F64" w:rsidP="00501B0F">
            <w:pPr>
              <w:pStyle w:val="TableText"/>
              <w:spacing w:before="40" w:after="40"/>
              <w:jc w:val="center"/>
              <w:rPr>
                <w:rFonts w:cs="Calibri"/>
                <w:szCs w:val="16"/>
              </w:rPr>
            </w:pPr>
            <w:r w:rsidRPr="00261B7A">
              <w:rPr>
                <w:rFonts w:cs="Calibri"/>
                <w:szCs w:val="16"/>
              </w:rPr>
              <w:t>50.1</w:t>
            </w:r>
          </w:p>
        </w:tc>
        <w:tc>
          <w:tcPr>
            <w:tcW w:w="3464" w:type="dxa"/>
            <w:shd w:val="clear" w:color="auto" w:fill="auto"/>
            <w:vAlign w:val="bottom"/>
          </w:tcPr>
          <w:p w14:paraId="05FD2A6B" w14:textId="77777777" w:rsidR="00994F64" w:rsidRPr="00261B7A" w:rsidRDefault="00994F64" w:rsidP="00501B0F">
            <w:pPr>
              <w:pStyle w:val="TableText"/>
              <w:spacing w:before="40" w:after="40"/>
              <w:jc w:val="center"/>
              <w:rPr>
                <w:rFonts w:cs="Calibri"/>
                <w:szCs w:val="16"/>
              </w:rPr>
            </w:pPr>
            <w:r w:rsidRPr="00261B7A">
              <w:rPr>
                <w:rFonts w:cs="Calibri"/>
                <w:szCs w:val="16"/>
              </w:rPr>
              <w:t>36.7</w:t>
            </w:r>
          </w:p>
        </w:tc>
      </w:tr>
    </w:tbl>
    <w:p w14:paraId="292C3A2A" w14:textId="77777777" w:rsidR="00994F64" w:rsidRPr="00261B7A" w:rsidRDefault="00994F64" w:rsidP="00994F64">
      <w:pPr>
        <w:pStyle w:val="Source"/>
        <w:rPr>
          <w:rFonts w:cs="Calibri"/>
          <w:sz w:val="18"/>
          <w:szCs w:val="24"/>
        </w:rPr>
      </w:pPr>
      <w:r w:rsidRPr="00261B7A">
        <w:rPr>
          <w:rFonts w:cs="Calibri"/>
          <w:b/>
          <w:bCs/>
          <w:sz w:val="18"/>
          <w:szCs w:val="24"/>
        </w:rPr>
        <w:t>Source:</w:t>
      </w:r>
      <w:r w:rsidRPr="00261B7A">
        <w:rPr>
          <w:rFonts w:cs="Calibri"/>
          <w:sz w:val="18"/>
          <w:szCs w:val="24"/>
        </w:rPr>
        <w:tab/>
        <w:t>Fertiliser Association of New Zealand and Ballance Agri-Nutrients Limited</w:t>
      </w:r>
    </w:p>
    <w:p w14:paraId="20C01408" w14:textId="77777777" w:rsidR="00994F64" w:rsidRPr="00261B7A" w:rsidRDefault="00994F64" w:rsidP="00994F64">
      <w:pPr>
        <w:pStyle w:val="Heading5"/>
      </w:pPr>
      <w:r w:rsidRPr="00261B7A">
        <w:t xml:space="preserve">Nitrification inhibitor dicyandiamide </w:t>
      </w:r>
    </w:p>
    <w:p w14:paraId="03CD4848" w14:textId="77777777" w:rsidR="00994F64" w:rsidRPr="00261B7A" w:rsidRDefault="00994F64" w:rsidP="00994F64">
      <w:pPr>
        <w:pStyle w:val="BodyText"/>
      </w:pPr>
      <w:r w:rsidRPr="00261B7A">
        <w:t xml:space="preserve">The </w:t>
      </w:r>
      <w:r w:rsidRPr="00261B7A">
        <w:rPr>
          <w:spacing w:val="-2"/>
        </w:rPr>
        <w:t>N</w:t>
      </w:r>
      <w:r w:rsidRPr="00261B7A">
        <w:rPr>
          <w:spacing w:val="-2"/>
          <w:vertAlign w:val="subscript"/>
        </w:rPr>
        <w:t>2</w:t>
      </w:r>
      <w:r w:rsidRPr="00261B7A">
        <w:rPr>
          <w:spacing w:val="-2"/>
        </w:rPr>
        <w:t>O</w:t>
      </w:r>
      <w:r w:rsidRPr="00261B7A">
        <w:t xml:space="preserve"> emissions reported in the </w:t>
      </w:r>
      <w:r w:rsidRPr="00261B7A">
        <w:rPr>
          <w:i/>
          <w:iCs/>
        </w:rPr>
        <w:t>Agricultural soils</w:t>
      </w:r>
      <w:r w:rsidRPr="00261B7A">
        <w:t> category take into account the use of nitrification inhibitors on dairy farms using the methodology described in Clough et al. (2008). Greenhouse gas mitigation estimates from DCD are reported in the inventory only up until 2012, because sales were suspended that year due to the detection of low levels of DCD residues in milk.</w:t>
      </w:r>
    </w:p>
    <w:p w14:paraId="755AAFAB" w14:textId="77777777" w:rsidR="00994F64" w:rsidRPr="00261B7A" w:rsidRDefault="00994F64" w:rsidP="00994F64">
      <w:pPr>
        <w:pStyle w:val="BodyText"/>
      </w:pPr>
      <w:r w:rsidRPr="00261B7A">
        <w:t xml:space="preserve">Research has shown that DCD reduces </w:t>
      </w:r>
      <w:r w:rsidRPr="00261B7A">
        <w:rPr>
          <w:spacing w:val="-2"/>
        </w:rPr>
        <w:t>N</w:t>
      </w:r>
      <w:r w:rsidRPr="00261B7A">
        <w:rPr>
          <w:spacing w:val="-2"/>
          <w:vertAlign w:val="subscript"/>
        </w:rPr>
        <w:t>2</w:t>
      </w:r>
      <w:r w:rsidRPr="00261B7A">
        <w:rPr>
          <w:spacing w:val="-2"/>
        </w:rPr>
        <w:t>O</w:t>
      </w:r>
      <w:r w:rsidRPr="00261B7A">
        <w:t xml:space="preserve"> emissions and nitrate (NO</w:t>
      </w:r>
      <w:r w:rsidRPr="00261B7A">
        <w:rPr>
          <w:vertAlign w:val="subscript"/>
        </w:rPr>
        <w:t>3</w:t>
      </w:r>
      <w:r w:rsidRPr="00261B7A">
        <w:t>–) leaching in pastoral grassland systems grazed by ruminant animals. The inventory methodology incorporates DCD use by modifying the emission factors EF</w:t>
      </w:r>
      <w:r w:rsidRPr="00261B7A">
        <w:rPr>
          <w:vertAlign w:val="subscript"/>
        </w:rPr>
        <w:t>3(PRP)</w:t>
      </w:r>
      <w:r w:rsidRPr="00261B7A">
        <w:t xml:space="preserve"> and the parameter Frac</w:t>
      </w:r>
      <w:r w:rsidRPr="00261B7A">
        <w:rPr>
          <w:vertAlign w:val="subscript"/>
        </w:rPr>
        <w:t>LEACH</w:t>
      </w:r>
      <w:r w:rsidRPr="00261B7A">
        <w:t xml:space="preserve"> (see table 5.5.5). These were modified based on comprehensive field-based research that showed significant reductions in direct and indirect </w:t>
      </w:r>
      <w:r w:rsidRPr="00261B7A">
        <w:rPr>
          <w:spacing w:val="-2"/>
        </w:rPr>
        <w:t>N</w:t>
      </w:r>
      <w:r w:rsidRPr="00261B7A">
        <w:rPr>
          <w:spacing w:val="-2"/>
          <w:vertAlign w:val="subscript"/>
        </w:rPr>
        <w:t>2</w:t>
      </w:r>
      <w:r w:rsidRPr="00261B7A">
        <w:rPr>
          <w:spacing w:val="-2"/>
        </w:rPr>
        <w:t>O</w:t>
      </w:r>
      <w:r w:rsidRPr="00261B7A">
        <w:t xml:space="preserve"> emissions and NO</w:t>
      </w:r>
      <w:r w:rsidRPr="00261B7A">
        <w:rPr>
          <w:vertAlign w:val="subscript"/>
        </w:rPr>
        <w:t>3</w:t>
      </w:r>
      <w:r w:rsidRPr="00261B7A">
        <w:t>– leaching where the DCD was applied. It was determined that, on a national basis, reductions in EF</w:t>
      </w:r>
      <w:r w:rsidRPr="00261B7A">
        <w:rPr>
          <w:vertAlign w:val="subscript"/>
        </w:rPr>
        <w:t>3(PRP)</w:t>
      </w:r>
      <w:r w:rsidRPr="00261B7A">
        <w:t xml:space="preserve"> and Frac</w:t>
      </w:r>
      <w:r w:rsidRPr="00261B7A">
        <w:rPr>
          <w:vertAlign w:val="subscript"/>
        </w:rPr>
        <w:t>LEACH</w:t>
      </w:r>
      <w:r w:rsidRPr="00261B7A">
        <w:t xml:space="preserve"> of 67 per cent and 53 per cent respectively could be made (Clough et al., 2008). </w:t>
      </w:r>
    </w:p>
    <w:p w14:paraId="33123832" w14:textId="77777777" w:rsidR="00994F64" w:rsidRPr="00261B7A" w:rsidRDefault="00994F64" w:rsidP="00994F64">
      <w:pPr>
        <w:pStyle w:val="BodyText"/>
      </w:pPr>
      <w:r w:rsidRPr="00261B7A">
        <w:t>Limited research has been done into the effect of DCD on dung (EF</w:t>
      </w:r>
      <w:r w:rsidRPr="00261B7A">
        <w:rPr>
          <w:vertAlign w:val="subscript"/>
        </w:rPr>
        <w:t>3(PRP-DUNG)</w:t>
      </w:r>
      <w:r w:rsidRPr="00261B7A">
        <w:t>); however, this research was inconclusive and further work needs to be carried out before incorporating the impact of dung emissions into the inventory. Application of this inhibitor was found to have no effect on NH</w:t>
      </w:r>
      <w:r w:rsidRPr="00261B7A">
        <w:rPr>
          <w:vertAlign w:val="subscript"/>
        </w:rPr>
        <w:t>3</w:t>
      </w:r>
      <w:r w:rsidRPr="00261B7A">
        <w:t xml:space="preserve"> volatilisation, which is supported by the results of field studies (Clough et al., 2008; Sherlock et al., 2008). Therefore, the parameter for volatilisation remains unchanged.</w:t>
      </w:r>
    </w:p>
    <w:p w14:paraId="5D02A06B" w14:textId="77777777" w:rsidR="00994F64" w:rsidRPr="00261B7A" w:rsidRDefault="00994F64" w:rsidP="00994F64">
      <w:pPr>
        <w:pStyle w:val="BodyText"/>
        <w:rPr>
          <w:rFonts w:cs="Calibri"/>
        </w:rPr>
      </w:pPr>
      <w:r w:rsidRPr="00261B7A">
        <w:rPr>
          <w:rFonts w:cs="Calibri"/>
        </w:rPr>
        <w:t>The DCD weighting factors are calculated based on reductions in emission factors and parameters, and the fraction of dairy land treated with the inhibitor, as follows:</w:t>
      </w:r>
    </w:p>
    <w:p w14:paraId="48D102EF" w14:textId="77777777" w:rsidR="00994F64" w:rsidRPr="00261B7A" w:rsidRDefault="00994F64" w:rsidP="00994F64">
      <w:pPr>
        <w:pStyle w:val="BodyText"/>
      </w:pPr>
      <w:r w:rsidRPr="00261B7A">
        <w:object w:dxaOrig="7391" w:dyaOrig="503" w14:anchorId="6938DBCA">
          <v:shape id="_x0000_i1059" type="#_x0000_t75" style="width:375.5pt;height:29.5pt" o:ole="">
            <v:imagedata r:id="rId173" o:title="" cropright="4398f"/>
          </v:shape>
          <o:OLEObject Type="Embed" ProgID="Word.Document.12" ShapeID="_x0000_i1059" DrawAspect="Content" ObjectID="_1742911598" r:id="rId174">
            <o:FieldCodes>\s</o:FieldCodes>
          </o:OLEObject>
        </w:object>
      </w:r>
    </w:p>
    <w:p w14:paraId="156A7167" w14:textId="77777777" w:rsidR="00994F64" w:rsidRPr="00261B7A" w:rsidRDefault="00994F64" w:rsidP="00994F64">
      <w:pPr>
        <w:pStyle w:val="BodyText"/>
      </w:pPr>
      <w:r w:rsidRPr="00261B7A">
        <w:rPr>
          <w:rFonts w:cs="Calibri"/>
          <w:spacing w:val="-2"/>
        </w:rPr>
        <w:t>The appropriate weighting factor is then used as an additional multiplier in the current methodology for calculating indirect and direct emissions of N</w:t>
      </w:r>
      <w:r w:rsidRPr="00261B7A">
        <w:rPr>
          <w:rFonts w:cs="Calibri"/>
          <w:spacing w:val="-2"/>
          <w:vertAlign w:val="subscript"/>
        </w:rPr>
        <w:t>2</w:t>
      </w:r>
      <w:r w:rsidRPr="00261B7A">
        <w:rPr>
          <w:rFonts w:cs="Calibri"/>
          <w:spacing w:val="-2"/>
        </w:rPr>
        <w:t>O from grazed pastures. The calculations use a modified EF</w:t>
      </w:r>
      <w:r w:rsidRPr="00261B7A">
        <w:rPr>
          <w:rFonts w:cs="Calibri"/>
          <w:spacing w:val="-2"/>
          <w:vertAlign w:val="subscript"/>
        </w:rPr>
        <w:t xml:space="preserve">3(PRP) </w:t>
      </w:r>
      <w:r w:rsidRPr="00261B7A">
        <w:rPr>
          <w:rFonts w:cs="Calibri"/>
          <w:spacing w:val="-2"/>
        </w:rPr>
        <w:t>of 0.0097 and Frac</w:t>
      </w:r>
      <w:r w:rsidRPr="00261B7A">
        <w:rPr>
          <w:rFonts w:cs="Calibri"/>
          <w:spacing w:val="-2"/>
          <w:vertAlign w:val="subscript"/>
        </w:rPr>
        <w:t xml:space="preserve">LEACH </w:t>
      </w:r>
      <w:r w:rsidRPr="00261B7A">
        <w:rPr>
          <w:rFonts w:cs="Calibri"/>
          <w:spacing w:val="-2"/>
        </w:rPr>
        <w:t>of 0.0696 for the dairy grazing area in the months that the inhibitor is applied (May to September). The modified emission factors (see table 5.5.10) are based on information from the Stats NZ Agricultural Production Survey that 2.9 per cent of the effective dairying area in New Zealand received DCD in 2012. The inhibitor is applied to pastures based on recommended ‘good management practice’ (either a slurry or DCD-coated granule) to maximise N</w:t>
      </w:r>
      <w:r w:rsidRPr="00261B7A">
        <w:rPr>
          <w:rFonts w:cs="Calibri"/>
          <w:spacing w:val="-2"/>
          <w:vertAlign w:val="subscript"/>
        </w:rPr>
        <w:t>2</w:t>
      </w:r>
      <w:r w:rsidRPr="00261B7A">
        <w:rPr>
          <w:rFonts w:cs="Calibri"/>
          <w:spacing w:val="-2"/>
        </w:rPr>
        <w:t xml:space="preserve">O emission reductions. </w:t>
      </w:r>
      <w:r w:rsidRPr="00261B7A">
        <w:rPr>
          <w:rFonts w:cs="Calibri"/>
        </w:rPr>
        <w:t xml:space="preserve">Mitigation estimates for the calendar years 2007 to 2012 are shown in table 5.5.10. </w:t>
      </w:r>
    </w:p>
    <w:p w14:paraId="2F8D4972" w14:textId="77777777" w:rsidR="00994F64" w:rsidRPr="00261B7A" w:rsidRDefault="00994F64" w:rsidP="00994F64">
      <w:pPr>
        <w:pStyle w:val="Table"/>
        <w:rPr>
          <w:rFonts w:cs="Calibri"/>
        </w:rPr>
      </w:pPr>
      <w:bookmarkStart w:id="1145" w:name="_Toc441830885"/>
      <w:bookmarkStart w:id="1146" w:name="_Toc451176099"/>
      <w:bookmarkStart w:id="1147" w:name="_Toc481751527"/>
      <w:bookmarkStart w:id="1148" w:name="_Toc507158615"/>
      <w:bookmarkStart w:id="1149" w:name="_Toc511116749"/>
      <w:bookmarkStart w:id="1150" w:name="_Toc5269491"/>
      <w:bookmarkStart w:id="1151" w:name="_Toc32570936"/>
      <w:bookmarkStart w:id="1152" w:name="_Toc36224571"/>
      <w:bookmarkStart w:id="1153" w:name="_Toc68786456"/>
      <w:bookmarkStart w:id="1154" w:name="_Toc95574089"/>
      <w:bookmarkStart w:id="1155" w:name="_Toc127458276"/>
      <w:bookmarkStart w:id="1156" w:name="_Toc131591372"/>
      <w:r w:rsidRPr="00261B7A">
        <w:rPr>
          <w:rFonts w:cs="Calibri"/>
        </w:rPr>
        <w:t>Table 5.5.10</w:t>
      </w:r>
      <w:r w:rsidRPr="00261B7A">
        <w:rPr>
          <w:rFonts w:cs="Calibri"/>
        </w:rPr>
        <w:tab/>
        <w:t>Emission factors, parameters and mitigation for New Zealand’s dicyandiamide inhibitor calculations</w:t>
      </w:r>
      <w:bookmarkEnd w:id="1145"/>
      <w:r w:rsidRPr="00261B7A">
        <w:rPr>
          <w:rFonts w:cs="Calibri"/>
        </w:rPr>
        <w:t xml:space="preserve"> from 2007 to 2012</w:t>
      </w:r>
      <w:bookmarkEnd w:id="1146"/>
      <w:bookmarkEnd w:id="1147"/>
      <w:bookmarkEnd w:id="1148"/>
      <w:bookmarkEnd w:id="1149"/>
      <w:bookmarkEnd w:id="1150"/>
      <w:bookmarkEnd w:id="1151"/>
      <w:bookmarkEnd w:id="1152"/>
      <w:bookmarkEnd w:id="1153"/>
      <w:bookmarkEnd w:id="1154"/>
      <w:bookmarkEnd w:id="1155"/>
      <w:bookmarkEnd w:id="1156"/>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0A0" w:firstRow="1" w:lastRow="0" w:firstColumn="1" w:lastColumn="0" w:noHBand="0" w:noVBand="0"/>
      </w:tblPr>
      <w:tblGrid>
        <w:gridCol w:w="3635"/>
        <w:gridCol w:w="728"/>
        <w:gridCol w:w="845"/>
        <w:gridCol w:w="846"/>
        <w:gridCol w:w="845"/>
        <w:gridCol w:w="846"/>
        <w:gridCol w:w="760"/>
      </w:tblGrid>
      <w:tr w:rsidR="00994F64" w:rsidRPr="00261B7A" w14:paraId="2B45EA77" w14:textId="77777777" w:rsidTr="00501B0F">
        <w:trPr>
          <w:tblHeader/>
        </w:trPr>
        <w:tc>
          <w:tcPr>
            <w:tcW w:w="3635" w:type="dxa"/>
            <w:shd w:val="clear" w:color="auto" w:fill="1B556B"/>
          </w:tcPr>
          <w:p w14:paraId="5A4769C3" w14:textId="77777777" w:rsidR="00994F64" w:rsidRPr="00261B7A" w:rsidRDefault="00994F64" w:rsidP="00501B0F">
            <w:pPr>
              <w:pStyle w:val="TableTextBold"/>
              <w:keepNext/>
              <w:spacing w:before="50" w:after="50"/>
              <w:jc w:val="center"/>
              <w:rPr>
                <w:noProof w:val="0"/>
                <w:color w:val="FFFFFF" w:themeColor="background1"/>
              </w:rPr>
            </w:pPr>
          </w:p>
        </w:tc>
        <w:tc>
          <w:tcPr>
            <w:tcW w:w="728" w:type="dxa"/>
            <w:shd w:val="clear" w:color="auto" w:fill="1B556B"/>
          </w:tcPr>
          <w:p w14:paraId="00B14565" w14:textId="77777777" w:rsidR="00994F64" w:rsidRPr="00261B7A" w:rsidRDefault="00994F64" w:rsidP="00501B0F">
            <w:pPr>
              <w:pStyle w:val="TableTextBold"/>
              <w:spacing w:before="50" w:after="50"/>
              <w:jc w:val="right"/>
              <w:rPr>
                <w:i/>
                <w:iCs/>
                <w:noProof w:val="0"/>
                <w:color w:val="FFFFFF" w:themeColor="background1"/>
              </w:rPr>
            </w:pPr>
            <w:r w:rsidRPr="00261B7A">
              <w:rPr>
                <w:noProof w:val="0"/>
                <w:color w:val="FFFFFF" w:themeColor="background1"/>
              </w:rPr>
              <w:t>2007</w:t>
            </w:r>
          </w:p>
        </w:tc>
        <w:tc>
          <w:tcPr>
            <w:tcW w:w="845" w:type="dxa"/>
            <w:shd w:val="clear" w:color="auto" w:fill="1B556B"/>
          </w:tcPr>
          <w:p w14:paraId="2BBFE838" w14:textId="77777777" w:rsidR="00994F64" w:rsidRPr="00261B7A" w:rsidRDefault="00994F64" w:rsidP="00501B0F">
            <w:pPr>
              <w:pStyle w:val="TableTextBold"/>
              <w:spacing w:before="50" w:after="50"/>
              <w:jc w:val="right"/>
              <w:rPr>
                <w:i/>
                <w:iCs/>
                <w:noProof w:val="0"/>
                <w:color w:val="FFFFFF" w:themeColor="background1"/>
              </w:rPr>
            </w:pPr>
            <w:r w:rsidRPr="00261B7A">
              <w:rPr>
                <w:noProof w:val="0"/>
                <w:color w:val="FFFFFF" w:themeColor="background1"/>
              </w:rPr>
              <w:t>2008</w:t>
            </w:r>
          </w:p>
        </w:tc>
        <w:tc>
          <w:tcPr>
            <w:tcW w:w="846" w:type="dxa"/>
            <w:shd w:val="clear" w:color="auto" w:fill="1B556B"/>
          </w:tcPr>
          <w:p w14:paraId="7C3C6C7B" w14:textId="77777777" w:rsidR="00994F64" w:rsidRPr="00261B7A" w:rsidRDefault="00994F64" w:rsidP="00501B0F">
            <w:pPr>
              <w:pStyle w:val="TableTextBold"/>
              <w:spacing w:before="50" w:after="50"/>
              <w:jc w:val="right"/>
              <w:rPr>
                <w:i/>
                <w:iCs/>
                <w:noProof w:val="0"/>
                <w:color w:val="FFFFFF" w:themeColor="background1"/>
              </w:rPr>
            </w:pPr>
            <w:r w:rsidRPr="00261B7A">
              <w:rPr>
                <w:noProof w:val="0"/>
                <w:color w:val="FFFFFF" w:themeColor="background1"/>
              </w:rPr>
              <w:t>2009</w:t>
            </w:r>
          </w:p>
        </w:tc>
        <w:tc>
          <w:tcPr>
            <w:tcW w:w="845" w:type="dxa"/>
            <w:shd w:val="clear" w:color="auto" w:fill="1B556B"/>
          </w:tcPr>
          <w:p w14:paraId="351AA29B" w14:textId="77777777" w:rsidR="00994F64" w:rsidRPr="00261B7A" w:rsidRDefault="00994F64" w:rsidP="00501B0F">
            <w:pPr>
              <w:pStyle w:val="TableTextBold"/>
              <w:spacing w:before="50" w:after="50"/>
              <w:jc w:val="right"/>
              <w:rPr>
                <w:i/>
                <w:iCs/>
                <w:noProof w:val="0"/>
                <w:color w:val="FFFFFF" w:themeColor="background1"/>
              </w:rPr>
            </w:pPr>
            <w:r w:rsidRPr="00261B7A">
              <w:rPr>
                <w:noProof w:val="0"/>
                <w:color w:val="FFFFFF" w:themeColor="background1"/>
              </w:rPr>
              <w:t>2010</w:t>
            </w:r>
          </w:p>
        </w:tc>
        <w:tc>
          <w:tcPr>
            <w:tcW w:w="846" w:type="dxa"/>
            <w:shd w:val="clear" w:color="auto" w:fill="1B556B"/>
          </w:tcPr>
          <w:p w14:paraId="59DCF68A" w14:textId="77777777" w:rsidR="00994F64" w:rsidRPr="00261B7A" w:rsidRDefault="00994F64" w:rsidP="00501B0F">
            <w:pPr>
              <w:pStyle w:val="TableTextBold"/>
              <w:spacing w:before="50" w:after="50"/>
              <w:jc w:val="right"/>
              <w:rPr>
                <w:i/>
                <w:iCs/>
                <w:noProof w:val="0"/>
                <w:color w:val="FFFFFF" w:themeColor="background1"/>
              </w:rPr>
            </w:pPr>
            <w:r w:rsidRPr="00261B7A">
              <w:rPr>
                <w:noProof w:val="0"/>
                <w:color w:val="FFFFFF" w:themeColor="background1"/>
              </w:rPr>
              <w:t>2011</w:t>
            </w:r>
          </w:p>
        </w:tc>
        <w:tc>
          <w:tcPr>
            <w:tcW w:w="760" w:type="dxa"/>
            <w:shd w:val="clear" w:color="auto" w:fill="1B556B"/>
          </w:tcPr>
          <w:p w14:paraId="0CEAEAFF" w14:textId="77777777" w:rsidR="00994F64" w:rsidRPr="00261B7A" w:rsidRDefault="00994F64" w:rsidP="00501B0F">
            <w:pPr>
              <w:pStyle w:val="TableTextBold"/>
              <w:spacing w:before="50" w:after="50"/>
              <w:jc w:val="right"/>
              <w:rPr>
                <w:i/>
                <w:iCs/>
                <w:noProof w:val="0"/>
                <w:color w:val="FFFFFF" w:themeColor="background1"/>
              </w:rPr>
            </w:pPr>
            <w:r w:rsidRPr="00261B7A">
              <w:rPr>
                <w:noProof w:val="0"/>
                <w:color w:val="FFFFFF" w:themeColor="background1"/>
              </w:rPr>
              <w:t>2012</w:t>
            </w:r>
          </w:p>
        </w:tc>
      </w:tr>
      <w:tr w:rsidR="00994F64" w:rsidRPr="00261B7A" w14:paraId="28A24B51" w14:textId="77777777" w:rsidTr="00501B0F">
        <w:tc>
          <w:tcPr>
            <w:tcW w:w="3635" w:type="dxa"/>
            <w:shd w:val="clear" w:color="auto" w:fill="auto"/>
          </w:tcPr>
          <w:p w14:paraId="3440A90E" w14:textId="77777777" w:rsidR="00994F64" w:rsidRPr="00261B7A" w:rsidRDefault="00994F64" w:rsidP="00501B0F">
            <w:pPr>
              <w:pStyle w:val="TableText"/>
              <w:keepNext/>
              <w:spacing w:before="50" w:after="50"/>
              <w:rPr>
                <w:rFonts w:cs="Calibri"/>
              </w:rPr>
            </w:pPr>
            <w:r w:rsidRPr="00261B7A">
              <w:rPr>
                <w:rFonts w:cs="Calibri"/>
              </w:rPr>
              <w:t>Percentage of dairy area applied with inhibitor</w:t>
            </w:r>
          </w:p>
        </w:tc>
        <w:tc>
          <w:tcPr>
            <w:tcW w:w="728" w:type="dxa"/>
          </w:tcPr>
          <w:p w14:paraId="2FA23F0D" w14:textId="77777777" w:rsidR="00994F64" w:rsidRPr="00261B7A" w:rsidRDefault="00994F64" w:rsidP="00501B0F">
            <w:pPr>
              <w:pStyle w:val="TableText"/>
              <w:spacing w:before="50" w:after="50"/>
              <w:jc w:val="right"/>
              <w:rPr>
                <w:rFonts w:cs="Calibri"/>
              </w:rPr>
            </w:pPr>
            <w:r w:rsidRPr="00261B7A">
              <w:rPr>
                <w:rFonts w:cs="Calibri"/>
              </w:rPr>
              <w:t>3.5</w:t>
            </w:r>
          </w:p>
        </w:tc>
        <w:tc>
          <w:tcPr>
            <w:tcW w:w="845" w:type="dxa"/>
          </w:tcPr>
          <w:p w14:paraId="7E599BB4" w14:textId="77777777" w:rsidR="00994F64" w:rsidRPr="00261B7A" w:rsidRDefault="00994F64" w:rsidP="00501B0F">
            <w:pPr>
              <w:pStyle w:val="TableText"/>
              <w:spacing w:before="50" w:after="50"/>
              <w:jc w:val="right"/>
              <w:rPr>
                <w:rFonts w:cs="Calibri"/>
              </w:rPr>
            </w:pPr>
            <w:r w:rsidRPr="00261B7A">
              <w:rPr>
                <w:rFonts w:cs="Calibri"/>
              </w:rPr>
              <w:t>4.5</w:t>
            </w:r>
          </w:p>
        </w:tc>
        <w:tc>
          <w:tcPr>
            <w:tcW w:w="846" w:type="dxa"/>
          </w:tcPr>
          <w:p w14:paraId="4EB73B41" w14:textId="77777777" w:rsidR="00994F64" w:rsidRPr="00261B7A" w:rsidRDefault="00994F64" w:rsidP="00501B0F">
            <w:pPr>
              <w:pStyle w:val="TableText"/>
              <w:spacing w:before="50" w:after="50"/>
              <w:jc w:val="right"/>
              <w:rPr>
                <w:rFonts w:cs="Calibri"/>
              </w:rPr>
            </w:pPr>
            <w:r w:rsidRPr="00261B7A">
              <w:rPr>
                <w:rFonts w:cs="Calibri"/>
              </w:rPr>
              <w:t>3.1</w:t>
            </w:r>
          </w:p>
        </w:tc>
        <w:tc>
          <w:tcPr>
            <w:tcW w:w="845" w:type="dxa"/>
          </w:tcPr>
          <w:p w14:paraId="666917FC" w14:textId="77777777" w:rsidR="00994F64" w:rsidRPr="00261B7A" w:rsidRDefault="00994F64" w:rsidP="00501B0F">
            <w:pPr>
              <w:pStyle w:val="TableText"/>
              <w:spacing w:before="50" w:after="50"/>
              <w:jc w:val="right"/>
              <w:rPr>
                <w:rFonts w:cs="Calibri"/>
              </w:rPr>
            </w:pPr>
            <w:r w:rsidRPr="00261B7A">
              <w:rPr>
                <w:rFonts w:cs="Calibri"/>
              </w:rPr>
              <w:t>2.2</w:t>
            </w:r>
          </w:p>
        </w:tc>
        <w:tc>
          <w:tcPr>
            <w:tcW w:w="846" w:type="dxa"/>
          </w:tcPr>
          <w:p w14:paraId="68CA038C" w14:textId="77777777" w:rsidR="00994F64" w:rsidRPr="00261B7A" w:rsidRDefault="00994F64" w:rsidP="00501B0F">
            <w:pPr>
              <w:pStyle w:val="TableText"/>
              <w:spacing w:before="50" w:after="50"/>
              <w:jc w:val="right"/>
              <w:rPr>
                <w:rFonts w:cs="Calibri"/>
              </w:rPr>
            </w:pPr>
            <w:r w:rsidRPr="00261B7A">
              <w:rPr>
                <w:rFonts w:cs="Calibri"/>
              </w:rPr>
              <w:t>3.0</w:t>
            </w:r>
          </w:p>
        </w:tc>
        <w:tc>
          <w:tcPr>
            <w:tcW w:w="760" w:type="dxa"/>
          </w:tcPr>
          <w:p w14:paraId="28F70C5E" w14:textId="77777777" w:rsidR="00994F64" w:rsidRPr="00261B7A" w:rsidRDefault="00994F64" w:rsidP="00501B0F">
            <w:pPr>
              <w:pStyle w:val="TableText"/>
              <w:spacing w:before="50" w:after="50"/>
              <w:jc w:val="right"/>
              <w:rPr>
                <w:rFonts w:cs="Calibri"/>
              </w:rPr>
            </w:pPr>
            <w:r w:rsidRPr="00261B7A">
              <w:rPr>
                <w:rFonts w:cs="Calibri"/>
              </w:rPr>
              <w:t>2.9</w:t>
            </w:r>
          </w:p>
        </w:tc>
      </w:tr>
      <w:tr w:rsidR="00994F64" w:rsidRPr="00261B7A" w14:paraId="1EEB095D" w14:textId="77777777" w:rsidTr="00501B0F">
        <w:tc>
          <w:tcPr>
            <w:tcW w:w="3635" w:type="dxa"/>
            <w:shd w:val="clear" w:color="auto" w:fill="auto"/>
          </w:tcPr>
          <w:p w14:paraId="75301BBE" w14:textId="77777777" w:rsidR="00994F64" w:rsidRPr="00261B7A" w:rsidRDefault="00994F64" w:rsidP="00501B0F">
            <w:pPr>
              <w:pStyle w:val="TableText"/>
              <w:keepNext/>
              <w:spacing w:before="50" w:after="50"/>
              <w:rPr>
                <w:rFonts w:cs="Calibri"/>
              </w:rPr>
            </w:pPr>
            <w:r w:rsidRPr="00261B7A">
              <w:rPr>
                <w:rFonts w:cs="Calibri"/>
              </w:rPr>
              <w:t>Final modified emission factor or parameter for dairy cattle, EF</w:t>
            </w:r>
            <w:r w:rsidRPr="00261B7A">
              <w:rPr>
                <w:rFonts w:cs="Calibri"/>
                <w:vertAlign w:val="subscript"/>
              </w:rPr>
              <w:t>3(PRP)</w:t>
            </w:r>
            <w:r w:rsidRPr="00261B7A">
              <w:rPr>
                <w:rFonts w:cs="Calibri"/>
              </w:rPr>
              <w:t xml:space="preserve"> (kg N</w:t>
            </w:r>
            <w:r w:rsidRPr="00261B7A">
              <w:rPr>
                <w:rFonts w:cs="Calibri"/>
                <w:vertAlign w:val="subscript"/>
              </w:rPr>
              <w:t>2</w:t>
            </w:r>
            <w:r w:rsidRPr="00261B7A">
              <w:rPr>
                <w:rFonts w:cs="Calibri"/>
              </w:rPr>
              <w:t>O-N/kg N)</w:t>
            </w:r>
          </w:p>
        </w:tc>
        <w:tc>
          <w:tcPr>
            <w:tcW w:w="728" w:type="dxa"/>
            <w:shd w:val="clear" w:color="auto" w:fill="auto"/>
          </w:tcPr>
          <w:p w14:paraId="51A54680"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0.00971</w:t>
            </w:r>
          </w:p>
        </w:tc>
        <w:tc>
          <w:tcPr>
            <w:tcW w:w="845" w:type="dxa"/>
            <w:shd w:val="clear" w:color="auto" w:fill="auto"/>
          </w:tcPr>
          <w:p w14:paraId="4C8E8DB7"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0.00968</w:t>
            </w:r>
          </w:p>
        </w:tc>
        <w:tc>
          <w:tcPr>
            <w:tcW w:w="846" w:type="dxa"/>
            <w:shd w:val="clear" w:color="auto" w:fill="auto"/>
          </w:tcPr>
          <w:p w14:paraId="13DF90EE"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0.00972</w:t>
            </w:r>
          </w:p>
        </w:tc>
        <w:tc>
          <w:tcPr>
            <w:tcW w:w="845" w:type="dxa"/>
            <w:shd w:val="clear" w:color="auto" w:fill="auto"/>
          </w:tcPr>
          <w:p w14:paraId="02C7C013"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0.00974</w:t>
            </w:r>
          </w:p>
        </w:tc>
        <w:tc>
          <w:tcPr>
            <w:tcW w:w="846" w:type="dxa"/>
            <w:shd w:val="clear" w:color="auto" w:fill="auto"/>
          </w:tcPr>
          <w:p w14:paraId="44204290"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0.00972</w:t>
            </w:r>
          </w:p>
        </w:tc>
        <w:tc>
          <w:tcPr>
            <w:tcW w:w="760" w:type="dxa"/>
            <w:shd w:val="clear" w:color="auto" w:fill="auto"/>
          </w:tcPr>
          <w:p w14:paraId="24A667DB"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0.00972</w:t>
            </w:r>
          </w:p>
        </w:tc>
      </w:tr>
      <w:tr w:rsidR="00994F64" w:rsidRPr="00261B7A" w14:paraId="5FCF84C6" w14:textId="77777777" w:rsidTr="00501B0F">
        <w:tc>
          <w:tcPr>
            <w:tcW w:w="3635" w:type="dxa"/>
            <w:shd w:val="clear" w:color="auto" w:fill="auto"/>
          </w:tcPr>
          <w:p w14:paraId="39D2EF3B" w14:textId="77777777" w:rsidR="00994F64" w:rsidRPr="00261B7A" w:rsidRDefault="00994F64" w:rsidP="00501B0F">
            <w:pPr>
              <w:pStyle w:val="TableText"/>
              <w:keepNext/>
              <w:spacing w:before="50" w:after="50"/>
              <w:rPr>
                <w:rFonts w:cs="Calibri"/>
              </w:rPr>
            </w:pPr>
            <w:r w:rsidRPr="00261B7A">
              <w:rPr>
                <w:rFonts w:cs="Calibri"/>
              </w:rPr>
              <w:t>Final modified emission factor or parameter for dairy cattle, Frac</w:t>
            </w:r>
            <w:r w:rsidRPr="00261B7A">
              <w:rPr>
                <w:rFonts w:cs="Calibri"/>
                <w:vertAlign w:val="subscript"/>
              </w:rPr>
              <w:t xml:space="preserve">LEACH </w:t>
            </w:r>
            <w:r w:rsidRPr="00261B7A">
              <w:rPr>
                <w:rFonts w:cs="Calibri"/>
              </w:rPr>
              <w:t>(kg N</w:t>
            </w:r>
            <w:r w:rsidRPr="00261B7A">
              <w:rPr>
                <w:rFonts w:cs="Calibri"/>
                <w:vertAlign w:val="subscript"/>
              </w:rPr>
              <w:t>2</w:t>
            </w:r>
            <w:r w:rsidRPr="00261B7A">
              <w:rPr>
                <w:rFonts w:cs="Calibri"/>
              </w:rPr>
              <w:t>O-N/kg N)</w:t>
            </w:r>
          </w:p>
        </w:tc>
        <w:tc>
          <w:tcPr>
            <w:tcW w:w="728" w:type="dxa"/>
            <w:shd w:val="clear" w:color="auto" w:fill="auto"/>
          </w:tcPr>
          <w:p w14:paraId="6C3077FB"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0.0695</w:t>
            </w:r>
          </w:p>
        </w:tc>
        <w:tc>
          <w:tcPr>
            <w:tcW w:w="845" w:type="dxa"/>
            <w:shd w:val="clear" w:color="auto" w:fill="auto"/>
          </w:tcPr>
          <w:p w14:paraId="1A77D850"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0.0693</w:t>
            </w:r>
          </w:p>
        </w:tc>
        <w:tc>
          <w:tcPr>
            <w:tcW w:w="846" w:type="dxa"/>
            <w:shd w:val="clear" w:color="auto" w:fill="auto"/>
          </w:tcPr>
          <w:p w14:paraId="02B23FEC"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0.0695</w:t>
            </w:r>
          </w:p>
        </w:tc>
        <w:tc>
          <w:tcPr>
            <w:tcW w:w="845" w:type="dxa"/>
            <w:shd w:val="clear" w:color="auto" w:fill="auto"/>
          </w:tcPr>
          <w:p w14:paraId="0B4ADF75"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0.0697</w:t>
            </w:r>
          </w:p>
        </w:tc>
        <w:tc>
          <w:tcPr>
            <w:tcW w:w="846" w:type="dxa"/>
            <w:shd w:val="clear" w:color="auto" w:fill="auto"/>
          </w:tcPr>
          <w:p w14:paraId="526B511D"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0.0696</w:t>
            </w:r>
          </w:p>
        </w:tc>
        <w:tc>
          <w:tcPr>
            <w:tcW w:w="760" w:type="dxa"/>
            <w:shd w:val="clear" w:color="auto" w:fill="auto"/>
          </w:tcPr>
          <w:p w14:paraId="7A13AC8D" w14:textId="77777777" w:rsidR="00994F64" w:rsidRPr="00261B7A" w:rsidRDefault="00994F64" w:rsidP="00501B0F">
            <w:pPr>
              <w:pStyle w:val="TableText"/>
              <w:keepNext/>
              <w:spacing w:before="50" w:after="50"/>
              <w:jc w:val="right"/>
              <w:rPr>
                <w:rFonts w:asciiTheme="minorHAnsi" w:hAnsiTheme="minorHAnsi" w:cstheme="minorHAnsi"/>
                <w:szCs w:val="16"/>
              </w:rPr>
            </w:pPr>
            <w:r w:rsidRPr="00261B7A">
              <w:rPr>
                <w:rFonts w:asciiTheme="minorHAnsi" w:hAnsiTheme="minorHAnsi" w:cstheme="minorHAnsi"/>
                <w:szCs w:val="16"/>
              </w:rPr>
              <w:t>0.0696</w:t>
            </w:r>
          </w:p>
        </w:tc>
      </w:tr>
      <w:tr w:rsidR="00994F64" w:rsidRPr="00261B7A" w14:paraId="7F582E39" w14:textId="77777777" w:rsidTr="00501B0F">
        <w:tc>
          <w:tcPr>
            <w:tcW w:w="3635" w:type="dxa"/>
            <w:shd w:val="clear" w:color="auto" w:fill="auto"/>
            <w:vAlign w:val="bottom"/>
          </w:tcPr>
          <w:p w14:paraId="37257AF8" w14:textId="77777777" w:rsidR="00994F64" w:rsidRPr="00261B7A" w:rsidRDefault="00994F64" w:rsidP="00501B0F">
            <w:pPr>
              <w:pStyle w:val="TableText"/>
              <w:spacing w:before="50" w:after="50"/>
              <w:rPr>
                <w:rFonts w:cs="Calibri"/>
              </w:rPr>
            </w:pPr>
            <w:r w:rsidRPr="00261B7A">
              <w:rPr>
                <w:rFonts w:cs="Calibri"/>
              </w:rPr>
              <w:t>Mitigation (kt CO</w:t>
            </w:r>
            <w:r w:rsidRPr="00261B7A">
              <w:rPr>
                <w:rFonts w:cs="Calibri"/>
                <w:vertAlign w:val="subscript"/>
              </w:rPr>
              <w:t>2</w:t>
            </w:r>
            <w:r w:rsidRPr="00261B7A">
              <w:rPr>
                <w:rFonts w:cs="Calibri"/>
              </w:rPr>
              <w:t>-e)</w:t>
            </w:r>
          </w:p>
        </w:tc>
        <w:tc>
          <w:tcPr>
            <w:tcW w:w="728" w:type="dxa"/>
            <w:shd w:val="clear" w:color="auto" w:fill="auto"/>
          </w:tcPr>
          <w:p w14:paraId="33EB4A2C"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17.4</w:t>
            </w:r>
          </w:p>
        </w:tc>
        <w:tc>
          <w:tcPr>
            <w:tcW w:w="845" w:type="dxa"/>
            <w:shd w:val="clear" w:color="auto" w:fill="auto"/>
          </w:tcPr>
          <w:p w14:paraId="648937CC"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23.1</w:t>
            </w:r>
          </w:p>
        </w:tc>
        <w:tc>
          <w:tcPr>
            <w:tcW w:w="846" w:type="dxa"/>
            <w:shd w:val="clear" w:color="auto" w:fill="auto"/>
          </w:tcPr>
          <w:p w14:paraId="7F2E87B0"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16.6</w:t>
            </w:r>
          </w:p>
        </w:tc>
        <w:tc>
          <w:tcPr>
            <w:tcW w:w="845" w:type="dxa"/>
            <w:shd w:val="clear" w:color="auto" w:fill="auto"/>
          </w:tcPr>
          <w:p w14:paraId="3718716F"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12.4</w:t>
            </w:r>
          </w:p>
        </w:tc>
        <w:tc>
          <w:tcPr>
            <w:tcW w:w="846" w:type="dxa"/>
            <w:shd w:val="clear" w:color="auto" w:fill="auto"/>
          </w:tcPr>
          <w:p w14:paraId="3FC48AF6"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17.3</w:t>
            </w:r>
          </w:p>
        </w:tc>
        <w:tc>
          <w:tcPr>
            <w:tcW w:w="760" w:type="dxa"/>
            <w:shd w:val="clear" w:color="auto" w:fill="auto"/>
          </w:tcPr>
          <w:p w14:paraId="7213DED3" w14:textId="77777777" w:rsidR="00994F64" w:rsidRPr="00261B7A" w:rsidRDefault="00994F64" w:rsidP="00501B0F">
            <w:pPr>
              <w:pStyle w:val="TableText"/>
              <w:spacing w:before="50" w:after="50"/>
              <w:jc w:val="right"/>
              <w:rPr>
                <w:rFonts w:asciiTheme="minorHAnsi" w:hAnsiTheme="minorHAnsi" w:cstheme="minorHAnsi"/>
                <w:szCs w:val="16"/>
              </w:rPr>
            </w:pPr>
            <w:r w:rsidRPr="00261B7A">
              <w:rPr>
                <w:rFonts w:asciiTheme="minorHAnsi" w:hAnsiTheme="minorHAnsi" w:cstheme="minorHAnsi"/>
                <w:szCs w:val="16"/>
              </w:rPr>
              <w:t>17.2</w:t>
            </w:r>
          </w:p>
        </w:tc>
      </w:tr>
    </w:tbl>
    <w:p w14:paraId="74F23E5C" w14:textId="77777777" w:rsidR="00994F64" w:rsidRPr="00261B7A" w:rsidRDefault="00994F64" w:rsidP="00994F64">
      <w:pPr>
        <w:pStyle w:val="Noteundertable"/>
        <w:rPr>
          <w:rFonts w:cs="Calibri"/>
        </w:rPr>
      </w:pPr>
      <w:r w:rsidRPr="00261B7A">
        <w:rPr>
          <w:rFonts w:cs="Calibri"/>
          <w:b/>
          <w:bCs/>
        </w:rPr>
        <w:t>Note:</w:t>
      </w:r>
      <w:r w:rsidRPr="00261B7A">
        <w:rPr>
          <w:rFonts w:cs="Calibri"/>
        </w:rPr>
        <w:t xml:space="preserve"> </w:t>
      </w:r>
      <w:r w:rsidRPr="00261B7A">
        <w:rPr>
          <w:rFonts w:cs="Calibri"/>
        </w:rPr>
        <w:tab/>
        <w:t>EF</w:t>
      </w:r>
      <w:r w:rsidRPr="00261B7A">
        <w:rPr>
          <w:rFonts w:cs="Calibri"/>
          <w:vertAlign w:val="subscript"/>
        </w:rPr>
        <w:t>3(PRP)</w:t>
      </w:r>
      <w:r w:rsidRPr="00261B7A">
        <w:rPr>
          <w:rFonts w:cs="Calibri"/>
        </w:rPr>
        <w:t xml:space="preserve"> = 0.0098 and FRAC</w:t>
      </w:r>
      <w:r w:rsidRPr="00261B7A">
        <w:rPr>
          <w:rFonts w:cs="Calibri"/>
          <w:vertAlign w:val="subscript"/>
        </w:rPr>
        <w:t>LEACH</w:t>
      </w:r>
      <w:r w:rsidRPr="00261B7A">
        <w:rPr>
          <w:rFonts w:cs="Calibri"/>
        </w:rPr>
        <w:t xml:space="preserve"> = 0.10 for cropland and 0.08 for grassland when inhibitor is not applied. All other emission factors and parameters relating to animal excreta and fertiliser use (Frac</w:t>
      </w:r>
      <w:r w:rsidRPr="00261B7A">
        <w:rPr>
          <w:rFonts w:cs="Calibri"/>
          <w:vertAlign w:val="subscript"/>
        </w:rPr>
        <w:t>GASM</w:t>
      </w:r>
      <w:r w:rsidRPr="00261B7A">
        <w:rPr>
          <w:rFonts w:cs="Calibri"/>
        </w:rPr>
        <w:t>, Frac</w:t>
      </w:r>
      <w:r w:rsidRPr="00261B7A">
        <w:rPr>
          <w:rFonts w:cs="Calibri"/>
          <w:vertAlign w:val="subscript"/>
        </w:rPr>
        <w:t>GASF</w:t>
      </w:r>
      <w:r w:rsidRPr="00261B7A">
        <w:rPr>
          <w:rFonts w:cs="Calibri"/>
        </w:rPr>
        <w:t>, EF</w:t>
      </w:r>
      <w:r w:rsidRPr="00261B7A">
        <w:rPr>
          <w:rFonts w:cs="Calibri"/>
          <w:vertAlign w:val="subscript"/>
        </w:rPr>
        <w:t>4</w:t>
      </w:r>
      <w:r w:rsidRPr="00261B7A">
        <w:rPr>
          <w:rFonts w:cs="Calibri"/>
        </w:rPr>
        <w:t xml:space="preserve"> and EF</w:t>
      </w:r>
      <w:r w:rsidRPr="00261B7A">
        <w:rPr>
          <w:rFonts w:cs="Calibri"/>
          <w:vertAlign w:val="subscript"/>
        </w:rPr>
        <w:t>5</w:t>
      </w:r>
      <w:r w:rsidRPr="00261B7A">
        <w:rPr>
          <w:rFonts w:cs="Calibri"/>
        </w:rPr>
        <w:t xml:space="preserve">) remain unchanged when the inhibitor is used as a </w:t>
      </w:r>
      <w:r w:rsidRPr="00261B7A">
        <w:rPr>
          <w:rFonts w:cs="Calibri"/>
          <w:spacing w:val="-2"/>
        </w:rPr>
        <w:t>nitrous oxide</w:t>
      </w:r>
      <w:r w:rsidRPr="00261B7A">
        <w:rPr>
          <w:rFonts w:cs="Calibri"/>
        </w:rPr>
        <w:t xml:space="preserve"> mitigation technology. </w:t>
      </w:r>
    </w:p>
    <w:p w14:paraId="0C4F40CB" w14:textId="77777777" w:rsidR="00994F64" w:rsidRPr="00261B7A" w:rsidRDefault="00994F64" w:rsidP="00994F64">
      <w:pPr>
        <w:pStyle w:val="Heading3"/>
      </w:pPr>
      <w:bookmarkStart w:id="1157" w:name="_Toc139253935"/>
      <w:bookmarkStart w:id="1158" w:name="_Toc32570669"/>
      <w:r w:rsidRPr="00261B7A">
        <w:t>5.5.3</w:t>
      </w:r>
      <w:r w:rsidRPr="00261B7A">
        <w:tab/>
        <w:t>Uncertainties and time-series consistency</w:t>
      </w:r>
      <w:bookmarkEnd w:id="1157"/>
      <w:bookmarkEnd w:id="1158"/>
    </w:p>
    <w:p w14:paraId="5775587A" w14:textId="77777777" w:rsidR="00994F64" w:rsidRPr="00261B7A" w:rsidRDefault="00994F64" w:rsidP="00994F64">
      <w:pPr>
        <w:pStyle w:val="BodyText"/>
        <w:rPr>
          <w:rFonts w:cs="Calibri"/>
        </w:rPr>
      </w:pPr>
      <w:r w:rsidRPr="00261B7A">
        <w:rPr>
          <w:rFonts w:cs="Calibri"/>
        </w:rPr>
        <w:t>To ensure consistency in the calculations involving animal manure, a single enhanced livestock population characterisation and feed-intake estimate is produced by the Tier 2 model for the major livestock categories. This is used in different parts of the calculations for the inventory to estimate: CH</w:t>
      </w:r>
      <w:r w:rsidRPr="00261B7A">
        <w:rPr>
          <w:rFonts w:cs="Calibri"/>
          <w:vertAlign w:val="subscript"/>
        </w:rPr>
        <w:t>4</w:t>
      </w:r>
      <w:r w:rsidRPr="00261B7A">
        <w:rPr>
          <w:rFonts w:cs="Calibri"/>
        </w:rPr>
        <w:t xml:space="preserve"> emissions for the </w:t>
      </w:r>
      <w:r w:rsidRPr="00261B7A">
        <w:rPr>
          <w:rFonts w:cs="Calibri"/>
          <w:i/>
          <w:iCs/>
        </w:rPr>
        <w:t>Enteric fermentation</w:t>
      </w:r>
      <w:r w:rsidRPr="00261B7A">
        <w:rPr>
          <w:rFonts w:cs="Calibri"/>
        </w:rPr>
        <w:t xml:space="preserve"> category, CH</w:t>
      </w:r>
      <w:r w:rsidRPr="00261B7A">
        <w:rPr>
          <w:rFonts w:cs="Calibri"/>
          <w:vertAlign w:val="subscript"/>
        </w:rPr>
        <w:t>4</w:t>
      </w:r>
      <w:r w:rsidRPr="00261B7A">
        <w:rPr>
          <w:rFonts w:cs="Calibri"/>
        </w:rPr>
        <w:t xml:space="preserve"> and N</w:t>
      </w:r>
      <w:r w:rsidRPr="00261B7A">
        <w:rPr>
          <w:rFonts w:cs="Calibri"/>
          <w:vertAlign w:val="subscript"/>
        </w:rPr>
        <w:t>2</w:t>
      </w:r>
      <w:r w:rsidRPr="00261B7A">
        <w:rPr>
          <w:rFonts w:cs="Calibri"/>
        </w:rPr>
        <w:t xml:space="preserve">O emissions for the </w:t>
      </w:r>
      <w:r w:rsidRPr="00261B7A">
        <w:rPr>
          <w:rFonts w:cs="Calibri"/>
          <w:i/>
          <w:iCs/>
        </w:rPr>
        <w:t>Manure management</w:t>
      </w:r>
      <w:r w:rsidRPr="00261B7A">
        <w:rPr>
          <w:rFonts w:cs="Calibri"/>
        </w:rPr>
        <w:t xml:space="preserve"> category and N</w:t>
      </w:r>
      <w:r w:rsidRPr="00261B7A">
        <w:rPr>
          <w:rFonts w:cs="Calibri"/>
          <w:vertAlign w:val="subscript"/>
        </w:rPr>
        <w:t>2</w:t>
      </w:r>
      <w:r w:rsidRPr="00261B7A">
        <w:rPr>
          <w:rFonts w:cs="Calibri"/>
        </w:rPr>
        <w:t xml:space="preserve">O emissions for the </w:t>
      </w:r>
      <w:r w:rsidRPr="00261B7A">
        <w:rPr>
          <w:rFonts w:cs="Calibri"/>
          <w:i/>
          <w:iCs/>
        </w:rPr>
        <w:t>Urine and dung deposited by grazing animals</w:t>
      </w:r>
      <w:r w:rsidRPr="00261B7A">
        <w:rPr>
          <w:rFonts w:cs="Calibri"/>
        </w:rPr>
        <w:t xml:space="preserve"> </w:t>
      </w:r>
      <w:r w:rsidRPr="00261B7A">
        <w:rPr>
          <w:rFonts w:cs="Calibri"/>
          <w:i/>
          <w:iCs/>
        </w:rPr>
        <w:t>(pasture, range and paddock manure)</w:t>
      </w:r>
      <w:r w:rsidRPr="00261B7A">
        <w:rPr>
          <w:rFonts w:cs="Calibri"/>
        </w:rPr>
        <w:t xml:space="preserve"> category.</w:t>
      </w:r>
    </w:p>
    <w:p w14:paraId="4BD02B05" w14:textId="77777777" w:rsidR="00994F64" w:rsidRPr="00261B7A" w:rsidRDefault="00994F64" w:rsidP="00994F64">
      <w:pPr>
        <w:pStyle w:val="BodyText"/>
        <w:rPr>
          <w:rFonts w:cs="Calibri"/>
        </w:rPr>
      </w:pPr>
      <w:r w:rsidRPr="00261B7A">
        <w:rPr>
          <w:rFonts w:cs="Calibri"/>
        </w:rPr>
        <w:t xml:space="preserve">Uncertainties in </w:t>
      </w:r>
      <w:r w:rsidRPr="00261B7A">
        <w:rPr>
          <w:rFonts w:cs="Calibri"/>
          <w:spacing w:val="-2"/>
        </w:rPr>
        <w:t>N</w:t>
      </w:r>
      <w:r w:rsidRPr="00261B7A">
        <w:rPr>
          <w:rFonts w:cs="Calibri"/>
          <w:spacing w:val="-2"/>
          <w:vertAlign w:val="subscript"/>
        </w:rPr>
        <w:t>2</w:t>
      </w:r>
      <w:r w:rsidRPr="00261B7A">
        <w:rPr>
          <w:rFonts w:cs="Calibri"/>
          <w:spacing w:val="-2"/>
        </w:rPr>
        <w:t>O</w:t>
      </w:r>
      <w:r w:rsidRPr="00261B7A">
        <w:rPr>
          <w:rFonts w:cs="Calibri"/>
        </w:rPr>
        <w:t xml:space="preserve"> emissions from </w:t>
      </w:r>
      <w:r w:rsidRPr="00261B7A">
        <w:rPr>
          <w:rFonts w:cs="Calibri"/>
          <w:i/>
          <w:iCs/>
        </w:rPr>
        <w:t>Agricultural soils</w:t>
      </w:r>
      <w:r w:rsidRPr="00261B7A">
        <w:rPr>
          <w:rFonts w:cs="Calibri"/>
        </w:rPr>
        <w:t xml:space="preserve"> are calculated using an analytical method developed by Kelliher et al. (2017). This method estimated the uncertainty of the </w:t>
      </w:r>
      <w:r w:rsidRPr="00261B7A">
        <w:rPr>
          <w:rFonts w:cs="Calibri"/>
          <w:i/>
          <w:iCs/>
        </w:rPr>
        <w:t>Agricultural soils</w:t>
      </w:r>
      <w:r w:rsidRPr="00261B7A">
        <w:rPr>
          <w:rFonts w:cs="Calibri"/>
        </w:rPr>
        <w:t xml:space="preserve"> category to be ±55.3 per cent for 2021.</w:t>
      </w:r>
    </w:p>
    <w:p w14:paraId="0C0F2B79" w14:textId="77777777" w:rsidR="00994F64" w:rsidRPr="00261B7A" w:rsidRDefault="00994F64" w:rsidP="00994F64">
      <w:pPr>
        <w:pStyle w:val="BodyText"/>
        <w:rPr>
          <w:rFonts w:cs="Calibri"/>
        </w:rPr>
      </w:pPr>
      <w:r w:rsidRPr="00261B7A">
        <w:rPr>
          <w:rFonts w:cs="Calibri"/>
        </w:rPr>
        <w:t>The benefit of using the analytical method is that it can be updated annually by the Agriculture sector inventory compilers. Kelliher et al. (2017) also compared the analytical method with the Monte Carlo method used for previous years and found that both produced similar results.</w:t>
      </w:r>
    </w:p>
    <w:p w14:paraId="3D036D77" w14:textId="77777777" w:rsidR="00994F64" w:rsidRPr="00261B7A" w:rsidRDefault="00994F64" w:rsidP="00994F64">
      <w:pPr>
        <w:pStyle w:val="BodyText"/>
        <w:rPr>
          <w:rFonts w:cs="Calibri"/>
        </w:rPr>
      </w:pPr>
      <w:r w:rsidRPr="00261B7A">
        <w:rPr>
          <w:rFonts w:cs="Calibri"/>
        </w:rPr>
        <w:t>Uncertainties were assessed for the 1990, 2002 and 2012 inventories using the Monte Carlo method. For the 1990 and 2002 inventories, the uncertainties were assessed using a Monte Carlo simulation of 5,000 scenarios with the @RISK software (Kelliher et al., u</w:t>
      </w:r>
      <w:r w:rsidRPr="00261B7A">
        <w:t>npublished</w:t>
      </w:r>
      <w:r w:rsidRPr="00261B7A">
        <w:rPr>
          <w:rFonts w:cs="Calibri"/>
        </w:rPr>
        <w:t xml:space="preserve">) (see table 5.5.11). For the 2012 inventory, the uncertainty in the annual estimate was calculated using the 95 per cent confidence interval determined from the 2002 Monte Carlo simulation as a percentage of the mean value (i.e., in 2002, the uncertainty in annual emissions was +74 per cent and –42 per cent). </w:t>
      </w:r>
    </w:p>
    <w:p w14:paraId="478B4406" w14:textId="77777777" w:rsidR="00994F64" w:rsidRPr="00261B7A" w:rsidRDefault="00994F64" w:rsidP="00994F64">
      <w:pPr>
        <w:pStyle w:val="Table"/>
        <w:rPr>
          <w:rFonts w:cs="Calibri"/>
        </w:rPr>
      </w:pPr>
      <w:bookmarkStart w:id="1159" w:name="_Toc144607408"/>
      <w:bookmarkStart w:id="1160" w:name="_Toc144607685"/>
      <w:bookmarkStart w:id="1161" w:name="_Toc235955630"/>
      <w:bookmarkStart w:id="1162" w:name="_Toc288316757"/>
      <w:bookmarkStart w:id="1163" w:name="_Toc352504975"/>
      <w:bookmarkStart w:id="1164" w:name="_Toc441830886"/>
      <w:bookmarkStart w:id="1165" w:name="_Toc451176100"/>
      <w:bookmarkStart w:id="1166" w:name="_Toc481751528"/>
      <w:bookmarkStart w:id="1167" w:name="_Toc507158616"/>
      <w:bookmarkStart w:id="1168" w:name="_Toc511116750"/>
      <w:bookmarkStart w:id="1169" w:name="_Toc5269492"/>
      <w:bookmarkStart w:id="1170" w:name="_Toc32570937"/>
      <w:bookmarkStart w:id="1171" w:name="_Toc36224572"/>
      <w:bookmarkStart w:id="1172" w:name="_Toc68786457"/>
      <w:bookmarkStart w:id="1173" w:name="_Toc95574090"/>
      <w:bookmarkStart w:id="1174" w:name="_Toc127458277"/>
      <w:bookmarkStart w:id="1175" w:name="_Toc131591373"/>
      <w:r w:rsidRPr="00261B7A">
        <w:rPr>
          <w:rFonts w:cs="Calibri"/>
        </w:rPr>
        <w:t>Table 5.5.11</w:t>
      </w:r>
      <w:r w:rsidRPr="00261B7A">
        <w:rPr>
          <w:rFonts w:cs="Calibri"/>
        </w:rPr>
        <w:tab/>
        <w:t>New Zealand’s uncertainties in nitrous oxide (N</w:t>
      </w:r>
      <w:r w:rsidRPr="00261B7A">
        <w:rPr>
          <w:rFonts w:cs="Calibri"/>
          <w:vertAlign w:val="subscript"/>
        </w:rPr>
        <w:t>2</w:t>
      </w:r>
      <w:r w:rsidRPr="00261B7A">
        <w:rPr>
          <w:rFonts w:cs="Calibri"/>
        </w:rPr>
        <w:t xml:space="preserve">O) emissions from </w:t>
      </w:r>
      <w:r w:rsidRPr="00261B7A">
        <w:rPr>
          <w:rFonts w:cs="Calibri"/>
          <w:i/>
          <w:iCs/>
        </w:rPr>
        <w:t>Agricultural soils</w:t>
      </w:r>
      <w:r w:rsidRPr="00261B7A">
        <w:rPr>
          <w:rFonts w:cs="Calibri"/>
        </w:rPr>
        <w:t xml:space="preserve"> for 1990, 2002, 2012 and 2021 estimated using Monte Carlo simulation (1990, 2002), the 95 per cent confidence interval (2012)</w:t>
      </w:r>
      <w:bookmarkEnd w:id="1159"/>
      <w:bookmarkEnd w:id="1160"/>
      <w:bookmarkEnd w:id="1161"/>
      <w:bookmarkEnd w:id="1162"/>
      <w:bookmarkEnd w:id="1163"/>
      <w:bookmarkEnd w:id="1164"/>
      <w:bookmarkEnd w:id="1165"/>
      <w:r w:rsidRPr="00261B7A">
        <w:rPr>
          <w:rFonts w:cs="Calibri"/>
        </w:rPr>
        <w:t xml:space="preserve"> and the analytical method (2021)</w:t>
      </w:r>
      <w:bookmarkEnd w:id="1166"/>
      <w:bookmarkEnd w:id="1167"/>
      <w:bookmarkEnd w:id="1168"/>
      <w:bookmarkEnd w:id="1169"/>
      <w:bookmarkEnd w:id="1170"/>
      <w:bookmarkEnd w:id="1171"/>
      <w:bookmarkEnd w:id="1172"/>
      <w:bookmarkEnd w:id="1173"/>
      <w:bookmarkEnd w:id="1174"/>
      <w:bookmarkEnd w:id="1175"/>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1E0" w:firstRow="1" w:lastRow="1" w:firstColumn="1" w:lastColumn="1" w:noHBand="0" w:noVBand="0"/>
      </w:tblPr>
      <w:tblGrid>
        <w:gridCol w:w="1150"/>
        <w:gridCol w:w="2642"/>
        <w:gridCol w:w="2414"/>
        <w:gridCol w:w="2299"/>
      </w:tblGrid>
      <w:tr w:rsidR="00994F64" w:rsidRPr="00261B7A" w14:paraId="2AE4C8B9" w14:textId="77777777" w:rsidTr="00501B0F">
        <w:trPr>
          <w:trHeight w:val="434"/>
        </w:trPr>
        <w:tc>
          <w:tcPr>
            <w:tcW w:w="1081" w:type="dxa"/>
            <w:shd w:val="clear" w:color="auto" w:fill="1B556B"/>
            <w:vAlign w:val="bottom"/>
          </w:tcPr>
          <w:p w14:paraId="44BD7332" w14:textId="77777777" w:rsidR="00994F64" w:rsidRPr="00261B7A" w:rsidRDefault="00994F64" w:rsidP="00501B0F">
            <w:pPr>
              <w:pStyle w:val="TableTextBold"/>
              <w:keepNext/>
              <w:spacing w:before="50" w:after="50"/>
              <w:rPr>
                <w:noProof w:val="0"/>
                <w:color w:val="FFFFFF" w:themeColor="background1"/>
              </w:rPr>
            </w:pPr>
            <w:r w:rsidRPr="00261B7A">
              <w:rPr>
                <w:noProof w:val="0"/>
                <w:color w:val="FFFFFF" w:themeColor="background1"/>
              </w:rPr>
              <w:t>Year</w:t>
            </w:r>
          </w:p>
        </w:tc>
        <w:tc>
          <w:tcPr>
            <w:tcW w:w="2484" w:type="dxa"/>
            <w:shd w:val="clear" w:color="auto" w:fill="1B556B"/>
            <w:vAlign w:val="bottom"/>
          </w:tcPr>
          <w:p w14:paraId="32F916E9" w14:textId="77777777" w:rsidR="00994F64" w:rsidRPr="00261B7A" w:rsidRDefault="00994F64" w:rsidP="00501B0F">
            <w:pPr>
              <w:pStyle w:val="TableTextBold"/>
              <w:keepNext/>
              <w:spacing w:before="50" w:after="50"/>
              <w:jc w:val="center"/>
              <w:rPr>
                <w:noProof w:val="0"/>
                <w:color w:val="FFFFFF" w:themeColor="background1"/>
              </w:rPr>
            </w:pPr>
            <w:r w:rsidRPr="00261B7A">
              <w:rPr>
                <w:noProof w:val="0"/>
                <w:color w:val="FFFFFF" w:themeColor="background1"/>
              </w:rPr>
              <w:t>N</w:t>
            </w:r>
            <w:r w:rsidRPr="00261B7A">
              <w:rPr>
                <w:noProof w:val="0"/>
                <w:color w:val="FFFFFF" w:themeColor="background1"/>
                <w:vertAlign w:val="subscript"/>
              </w:rPr>
              <w:t>2</w:t>
            </w:r>
            <w:r w:rsidRPr="00261B7A">
              <w:rPr>
                <w:noProof w:val="0"/>
                <w:color w:val="FFFFFF" w:themeColor="background1"/>
              </w:rPr>
              <w:t>O emissions from Agricultural soils (kt/annum)</w:t>
            </w:r>
          </w:p>
        </w:tc>
        <w:tc>
          <w:tcPr>
            <w:tcW w:w="2269" w:type="dxa"/>
            <w:shd w:val="clear" w:color="auto" w:fill="1B556B"/>
            <w:vAlign w:val="bottom"/>
          </w:tcPr>
          <w:p w14:paraId="18F0C901" w14:textId="77777777" w:rsidR="00994F64" w:rsidRPr="00261B7A" w:rsidRDefault="00994F64" w:rsidP="00501B0F">
            <w:pPr>
              <w:pStyle w:val="TableTextBold"/>
              <w:keepNext/>
              <w:spacing w:before="50" w:after="50"/>
              <w:jc w:val="center"/>
              <w:rPr>
                <w:noProof w:val="0"/>
                <w:color w:val="FFFFFF" w:themeColor="background1"/>
              </w:rPr>
            </w:pPr>
            <w:r w:rsidRPr="00261B7A">
              <w:rPr>
                <w:noProof w:val="0"/>
                <w:color w:val="FFFFFF" w:themeColor="background1"/>
              </w:rPr>
              <w:t>95% confidence interval minimum (kt/annum)</w:t>
            </w:r>
          </w:p>
        </w:tc>
        <w:tc>
          <w:tcPr>
            <w:tcW w:w="2161" w:type="dxa"/>
            <w:shd w:val="clear" w:color="auto" w:fill="1B556B"/>
            <w:vAlign w:val="bottom"/>
          </w:tcPr>
          <w:p w14:paraId="685BF577" w14:textId="77777777" w:rsidR="00994F64" w:rsidRPr="00261B7A" w:rsidRDefault="00994F64" w:rsidP="00501B0F">
            <w:pPr>
              <w:pStyle w:val="TableTextBold"/>
              <w:keepNext/>
              <w:spacing w:before="50" w:after="50"/>
              <w:jc w:val="center"/>
              <w:rPr>
                <w:noProof w:val="0"/>
                <w:color w:val="FFFFFF" w:themeColor="background1"/>
              </w:rPr>
            </w:pPr>
            <w:r w:rsidRPr="00261B7A">
              <w:rPr>
                <w:noProof w:val="0"/>
                <w:color w:val="FFFFFF" w:themeColor="background1"/>
              </w:rPr>
              <w:t>95% confidence interval maximum (kt/annum)</w:t>
            </w:r>
          </w:p>
        </w:tc>
      </w:tr>
      <w:tr w:rsidR="00994F64" w:rsidRPr="00261B7A" w14:paraId="4E0829E3" w14:textId="77777777" w:rsidTr="00501B0F">
        <w:trPr>
          <w:trHeight w:val="247"/>
        </w:trPr>
        <w:tc>
          <w:tcPr>
            <w:tcW w:w="1081" w:type="dxa"/>
          </w:tcPr>
          <w:p w14:paraId="25F529AA" w14:textId="77777777" w:rsidR="00994F64" w:rsidRPr="00261B7A" w:rsidRDefault="00994F64" w:rsidP="00501B0F">
            <w:pPr>
              <w:pStyle w:val="TableText"/>
              <w:keepNext/>
              <w:spacing w:before="50" w:after="50"/>
              <w:rPr>
                <w:rFonts w:cs="Calibri"/>
              </w:rPr>
            </w:pPr>
            <w:r w:rsidRPr="00261B7A">
              <w:rPr>
                <w:rFonts w:cs="Calibri"/>
              </w:rPr>
              <w:t>1990</w:t>
            </w:r>
          </w:p>
        </w:tc>
        <w:tc>
          <w:tcPr>
            <w:tcW w:w="2484" w:type="dxa"/>
          </w:tcPr>
          <w:p w14:paraId="494C2B09" w14:textId="77777777" w:rsidR="00994F64" w:rsidRPr="00261B7A" w:rsidRDefault="00994F64" w:rsidP="00501B0F">
            <w:pPr>
              <w:pStyle w:val="TableText"/>
              <w:spacing w:before="50" w:after="50"/>
              <w:jc w:val="center"/>
              <w:rPr>
                <w:rFonts w:cs="Calibri"/>
              </w:rPr>
            </w:pPr>
            <w:r w:rsidRPr="00261B7A">
              <w:rPr>
                <w:rFonts w:cs="Calibri"/>
              </w:rPr>
              <w:t>25.3</w:t>
            </w:r>
          </w:p>
        </w:tc>
        <w:tc>
          <w:tcPr>
            <w:tcW w:w="2269" w:type="dxa"/>
          </w:tcPr>
          <w:p w14:paraId="0A1BCEAA" w14:textId="77777777" w:rsidR="00994F64" w:rsidRPr="00261B7A" w:rsidRDefault="00994F64" w:rsidP="00501B0F">
            <w:pPr>
              <w:pStyle w:val="TableText"/>
              <w:spacing w:before="50" w:after="50"/>
              <w:jc w:val="center"/>
              <w:rPr>
                <w:rFonts w:cs="Calibri"/>
              </w:rPr>
            </w:pPr>
            <w:r w:rsidRPr="00261B7A">
              <w:rPr>
                <w:rFonts w:cs="Calibri"/>
              </w:rPr>
              <w:t>14.7</w:t>
            </w:r>
          </w:p>
        </w:tc>
        <w:tc>
          <w:tcPr>
            <w:tcW w:w="2161" w:type="dxa"/>
          </w:tcPr>
          <w:p w14:paraId="67D413CA" w14:textId="77777777" w:rsidR="00994F64" w:rsidRPr="00261B7A" w:rsidRDefault="00994F64" w:rsidP="00501B0F">
            <w:pPr>
              <w:pStyle w:val="TableText"/>
              <w:spacing w:before="50" w:after="50"/>
              <w:jc w:val="center"/>
              <w:rPr>
                <w:rFonts w:cs="Calibri"/>
              </w:rPr>
            </w:pPr>
            <w:r w:rsidRPr="00261B7A">
              <w:rPr>
                <w:rFonts w:cs="Calibri"/>
              </w:rPr>
              <w:t>44.0</w:t>
            </w:r>
          </w:p>
        </w:tc>
      </w:tr>
      <w:tr w:rsidR="00994F64" w:rsidRPr="00261B7A" w14:paraId="513DFB3D" w14:textId="77777777" w:rsidTr="00501B0F">
        <w:trPr>
          <w:trHeight w:val="247"/>
        </w:trPr>
        <w:tc>
          <w:tcPr>
            <w:tcW w:w="1081" w:type="dxa"/>
          </w:tcPr>
          <w:p w14:paraId="2A3BCCD2" w14:textId="77777777" w:rsidR="00994F64" w:rsidRPr="00261B7A" w:rsidRDefault="00994F64" w:rsidP="00501B0F">
            <w:pPr>
              <w:pStyle w:val="TableText"/>
              <w:keepNext/>
              <w:spacing w:before="50" w:after="50"/>
              <w:rPr>
                <w:rFonts w:cs="Calibri"/>
              </w:rPr>
            </w:pPr>
            <w:r w:rsidRPr="00261B7A">
              <w:rPr>
                <w:rFonts w:cs="Calibri"/>
              </w:rPr>
              <w:t>2002</w:t>
            </w:r>
          </w:p>
        </w:tc>
        <w:tc>
          <w:tcPr>
            <w:tcW w:w="2484" w:type="dxa"/>
          </w:tcPr>
          <w:p w14:paraId="532D6895" w14:textId="77777777" w:rsidR="00994F64" w:rsidRPr="00261B7A" w:rsidRDefault="00994F64" w:rsidP="00501B0F">
            <w:pPr>
              <w:pStyle w:val="TableText"/>
              <w:spacing w:before="50" w:after="50"/>
              <w:jc w:val="center"/>
              <w:rPr>
                <w:rFonts w:cs="Calibri"/>
              </w:rPr>
            </w:pPr>
            <w:r w:rsidRPr="00261B7A">
              <w:rPr>
                <w:rFonts w:cs="Calibri"/>
              </w:rPr>
              <w:t>32.2</w:t>
            </w:r>
          </w:p>
        </w:tc>
        <w:tc>
          <w:tcPr>
            <w:tcW w:w="2269" w:type="dxa"/>
          </w:tcPr>
          <w:p w14:paraId="1012033C" w14:textId="77777777" w:rsidR="00994F64" w:rsidRPr="00261B7A" w:rsidRDefault="00994F64" w:rsidP="00501B0F">
            <w:pPr>
              <w:pStyle w:val="TableText"/>
              <w:spacing w:before="50" w:after="50"/>
              <w:jc w:val="center"/>
              <w:rPr>
                <w:rFonts w:cs="Calibri"/>
              </w:rPr>
            </w:pPr>
            <w:r w:rsidRPr="00261B7A">
              <w:rPr>
                <w:rFonts w:cs="Calibri"/>
              </w:rPr>
              <w:t>18.7</w:t>
            </w:r>
          </w:p>
        </w:tc>
        <w:tc>
          <w:tcPr>
            <w:tcW w:w="2161" w:type="dxa"/>
          </w:tcPr>
          <w:p w14:paraId="1E12C5E1" w14:textId="77777777" w:rsidR="00994F64" w:rsidRPr="00261B7A" w:rsidRDefault="00994F64" w:rsidP="00501B0F">
            <w:pPr>
              <w:pStyle w:val="TableText"/>
              <w:spacing w:before="50" w:after="50"/>
              <w:jc w:val="center"/>
              <w:rPr>
                <w:rFonts w:cs="Calibri"/>
              </w:rPr>
            </w:pPr>
            <w:r w:rsidRPr="00261B7A">
              <w:rPr>
                <w:rFonts w:cs="Calibri"/>
              </w:rPr>
              <w:t>56.0</w:t>
            </w:r>
          </w:p>
        </w:tc>
      </w:tr>
      <w:tr w:rsidR="00994F64" w:rsidRPr="00261B7A" w14:paraId="50277223" w14:textId="77777777" w:rsidTr="00501B0F">
        <w:trPr>
          <w:trHeight w:val="247"/>
        </w:trPr>
        <w:tc>
          <w:tcPr>
            <w:tcW w:w="1081" w:type="dxa"/>
          </w:tcPr>
          <w:p w14:paraId="51DC3D55" w14:textId="77777777" w:rsidR="00994F64" w:rsidRPr="00261B7A" w:rsidRDefault="00994F64" w:rsidP="00501B0F">
            <w:pPr>
              <w:pStyle w:val="TableText"/>
              <w:spacing w:before="50" w:after="50"/>
              <w:rPr>
                <w:rFonts w:cs="Calibri"/>
              </w:rPr>
            </w:pPr>
            <w:r w:rsidRPr="00261B7A">
              <w:rPr>
                <w:rFonts w:cs="Calibri"/>
              </w:rPr>
              <w:t>2012</w:t>
            </w:r>
          </w:p>
        </w:tc>
        <w:tc>
          <w:tcPr>
            <w:tcW w:w="2484" w:type="dxa"/>
          </w:tcPr>
          <w:p w14:paraId="0929CE7C" w14:textId="77777777" w:rsidR="00994F64" w:rsidRPr="00261B7A" w:rsidRDefault="00994F64" w:rsidP="00501B0F">
            <w:pPr>
              <w:pStyle w:val="TableText"/>
              <w:spacing w:before="50" w:after="50"/>
              <w:jc w:val="center"/>
              <w:rPr>
                <w:rFonts w:cs="Calibri"/>
              </w:rPr>
            </w:pPr>
            <w:r w:rsidRPr="00261B7A">
              <w:rPr>
                <w:rFonts w:cs="Calibri"/>
              </w:rPr>
              <w:t>33.4</w:t>
            </w:r>
          </w:p>
        </w:tc>
        <w:tc>
          <w:tcPr>
            <w:tcW w:w="2269" w:type="dxa"/>
          </w:tcPr>
          <w:p w14:paraId="23E30E0A" w14:textId="77777777" w:rsidR="00994F64" w:rsidRPr="00261B7A" w:rsidRDefault="00994F64" w:rsidP="00501B0F">
            <w:pPr>
              <w:pStyle w:val="TableText"/>
              <w:spacing w:before="50" w:after="50"/>
              <w:jc w:val="center"/>
              <w:rPr>
                <w:rFonts w:cs="Calibri"/>
              </w:rPr>
            </w:pPr>
            <w:r w:rsidRPr="00261B7A">
              <w:rPr>
                <w:rFonts w:cs="Calibri"/>
              </w:rPr>
              <w:t>19.3</w:t>
            </w:r>
          </w:p>
        </w:tc>
        <w:tc>
          <w:tcPr>
            <w:tcW w:w="2161" w:type="dxa"/>
          </w:tcPr>
          <w:p w14:paraId="589E68CD" w14:textId="77777777" w:rsidR="00994F64" w:rsidRPr="00261B7A" w:rsidRDefault="00994F64" w:rsidP="00501B0F">
            <w:pPr>
              <w:pStyle w:val="TableText"/>
              <w:spacing w:before="50" w:after="50"/>
              <w:jc w:val="center"/>
              <w:rPr>
                <w:rFonts w:cs="Calibri"/>
              </w:rPr>
            </w:pPr>
            <w:r w:rsidRPr="00261B7A">
              <w:rPr>
                <w:rFonts w:cs="Calibri"/>
              </w:rPr>
              <w:t>58.0</w:t>
            </w:r>
          </w:p>
        </w:tc>
      </w:tr>
      <w:tr w:rsidR="00994F64" w:rsidRPr="00261B7A" w14:paraId="19846D65" w14:textId="77777777" w:rsidTr="00501B0F">
        <w:trPr>
          <w:trHeight w:val="247"/>
        </w:trPr>
        <w:tc>
          <w:tcPr>
            <w:tcW w:w="1081" w:type="dxa"/>
          </w:tcPr>
          <w:p w14:paraId="1452979D" w14:textId="77777777" w:rsidR="00994F64" w:rsidRPr="00261B7A" w:rsidRDefault="00994F64" w:rsidP="00501B0F">
            <w:pPr>
              <w:pStyle w:val="TableText"/>
              <w:spacing w:before="50" w:after="50"/>
              <w:rPr>
                <w:rFonts w:cs="Calibri"/>
              </w:rPr>
            </w:pPr>
            <w:r w:rsidRPr="00261B7A">
              <w:rPr>
                <w:rFonts w:cs="Calibri"/>
              </w:rPr>
              <w:t>2021</w:t>
            </w:r>
          </w:p>
        </w:tc>
        <w:tc>
          <w:tcPr>
            <w:tcW w:w="2484" w:type="dxa"/>
          </w:tcPr>
          <w:p w14:paraId="3F8F0EEB" w14:textId="77777777" w:rsidR="00994F64" w:rsidRPr="00261B7A" w:rsidRDefault="00994F64" w:rsidP="00501B0F">
            <w:pPr>
              <w:pStyle w:val="TableText"/>
              <w:spacing w:before="50" w:after="50"/>
              <w:jc w:val="center"/>
              <w:rPr>
                <w:rFonts w:cs="Calibri"/>
              </w:rPr>
            </w:pPr>
            <w:r w:rsidRPr="00261B7A">
              <w:rPr>
                <w:rFonts w:cs="Calibri"/>
              </w:rPr>
              <w:t>24.5</w:t>
            </w:r>
          </w:p>
        </w:tc>
        <w:tc>
          <w:tcPr>
            <w:tcW w:w="2269" w:type="dxa"/>
          </w:tcPr>
          <w:p w14:paraId="6E3C1FA4" w14:textId="77777777" w:rsidR="00994F64" w:rsidRPr="00261B7A" w:rsidRDefault="00994F64" w:rsidP="00501B0F">
            <w:pPr>
              <w:pStyle w:val="TableText"/>
              <w:spacing w:before="50" w:after="50"/>
              <w:jc w:val="center"/>
              <w:rPr>
                <w:rFonts w:cs="Calibri"/>
              </w:rPr>
            </w:pPr>
            <w:r w:rsidRPr="00261B7A">
              <w:rPr>
                <w:rFonts w:cs="Calibri"/>
              </w:rPr>
              <w:t>17.6</w:t>
            </w:r>
          </w:p>
        </w:tc>
        <w:tc>
          <w:tcPr>
            <w:tcW w:w="2161" w:type="dxa"/>
          </w:tcPr>
          <w:p w14:paraId="1396C15B" w14:textId="77777777" w:rsidR="00994F64" w:rsidRPr="00261B7A" w:rsidRDefault="00994F64" w:rsidP="00501B0F">
            <w:pPr>
              <w:pStyle w:val="TableText"/>
              <w:spacing w:before="50" w:after="50"/>
              <w:jc w:val="center"/>
              <w:rPr>
                <w:rFonts w:cs="Calibri"/>
              </w:rPr>
            </w:pPr>
            <w:r w:rsidRPr="00261B7A">
              <w:rPr>
                <w:rFonts w:cs="Calibri"/>
              </w:rPr>
              <w:t>31.5</w:t>
            </w:r>
          </w:p>
        </w:tc>
      </w:tr>
    </w:tbl>
    <w:p w14:paraId="08656B0D" w14:textId="77777777" w:rsidR="00994F64" w:rsidRPr="00261B7A" w:rsidRDefault="00994F64" w:rsidP="00994F64">
      <w:pPr>
        <w:pStyle w:val="Noteundertable"/>
        <w:rPr>
          <w:rFonts w:cs="Calibri"/>
        </w:rPr>
      </w:pPr>
      <w:r w:rsidRPr="00261B7A">
        <w:rPr>
          <w:rFonts w:cs="Calibri"/>
          <w:b/>
          <w:bCs/>
        </w:rPr>
        <w:t>Note:</w:t>
      </w:r>
      <w:r w:rsidRPr="00261B7A">
        <w:rPr>
          <w:rFonts w:cs="Calibri"/>
        </w:rPr>
        <w:t xml:space="preserve"> </w:t>
      </w:r>
      <w:r w:rsidRPr="00261B7A">
        <w:rPr>
          <w:rFonts w:cs="Calibri"/>
        </w:rPr>
        <w:tab/>
        <w:t>The N</w:t>
      </w:r>
      <w:r w:rsidRPr="00261B7A">
        <w:rPr>
          <w:rFonts w:cs="Calibri"/>
          <w:vertAlign w:val="subscript"/>
        </w:rPr>
        <w:t>2</w:t>
      </w:r>
      <w:r w:rsidRPr="00261B7A">
        <w:rPr>
          <w:rFonts w:cs="Calibri"/>
        </w:rPr>
        <w:t>O emissions listed in this table for each year were calculated based on the reporting rules and methodologies used at that time.</w:t>
      </w:r>
    </w:p>
    <w:p w14:paraId="35C87D68" w14:textId="77777777" w:rsidR="00994F64" w:rsidRPr="00261B7A" w:rsidRDefault="00994F64" w:rsidP="00994F64">
      <w:pPr>
        <w:pStyle w:val="BodyText"/>
        <w:rPr>
          <w:rFonts w:cs="Calibri"/>
        </w:rPr>
      </w:pPr>
      <w:r w:rsidRPr="00261B7A">
        <w:rPr>
          <w:rFonts w:cs="Calibri"/>
          <w:spacing w:val="-2"/>
        </w:rPr>
        <w:t>The overall inventory uncertainty analysis shown in annex 2 demonstrates that the uncertainty</w:t>
      </w:r>
      <w:r w:rsidRPr="00261B7A">
        <w:rPr>
          <w:rFonts w:cs="Calibri"/>
        </w:rPr>
        <w:t xml:space="preserve"> in annual emissions from </w:t>
      </w:r>
      <w:r w:rsidRPr="00261B7A">
        <w:rPr>
          <w:rFonts w:cs="Calibri"/>
          <w:i/>
          <w:iCs/>
        </w:rPr>
        <w:t>Agricultural soils</w:t>
      </w:r>
      <w:r w:rsidRPr="00261B7A">
        <w:rPr>
          <w:rFonts w:cs="Calibri"/>
        </w:rPr>
        <w:t xml:space="preserve"> is a major contributor to uncertainty in New Zealand’s total greenhouse gas emissions. The uncertainty between years was assumed to be correlated, and therefore the uncertainty is mostly associated with the emission factors. The uncertainty associated with the trend is much lower than the uncertainty for an annual estimate. </w:t>
      </w:r>
    </w:p>
    <w:p w14:paraId="677FD4A6" w14:textId="77777777" w:rsidR="00994F64" w:rsidRPr="00261B7A" w:rsidRDefault="00994F64" w:rsidP="00994F64">
      <w:pPr>
        <w:pStyle w:val="BodyText"/>
        <w:rPr>
          <w:rFonts w:cs="Calibri"/>
        </w:rPr>
      </w:pPr>
      <w:r w:rsidRPr="00261B7A">
        <w:rPr>
          <w:rFonts w:cs="Calibri"/>
        </w:rPr>
        <w:t xml:space="preserve">The uncertainty in emissions from </w:t>
      </w:r>
      <w:r w:rsidRPr="00261B7A">
        <w:rPr>
          <w:rFonts w:cs="Calibri"/>
          <w:i/>
          <w:iCs/>
        </w:rPr>
        <w:t>Agricultural soils</w:t>
      </w:r>
      <w:r w:rsidRPr="00261B7A">
        <w:rPr>
          <w:rFonts w:cs="Calibri"/>
        </w:rPr>
        <w:t xml:space="preserve"> is largely due to the parameter EF</w:t>
      </w:r>
      <w:r w:rsidRPr="00261B7A">
        <w:rPr>
          <w:rFonts w:cs="Calibri"/>
          <w:vertAlign w:val="subscript"/>
        </w:rPr>
        <w:t>3(PRP)</w:t>
      </w:r>
      <w:r w:rsidRPr="00261B7A">
        <w:rPr>
          <w:rFonts w:cs="Calibri"/>
        </w:rPr>
        <w:t xml:space="preserve"> and emissions from urine and dung deposited by grazing animals. This uncertainty reflects natural variance in EF</w:t>
      </w:r>
      <w:r w:rsidRPr="00261B7A">
        <w:rPr>
          <w:rFonts w:cs="Calibri"/>
          <w:vertAlign w:val="subscript"/>
        </w:rPr>
        <w:t xml:space="preserve">3 </w:t>
      </w:r>
      <w:r w:rsidRPr="00261B7A">
        <w:rPr>
          <w:rFonts w:cs="Calibri"/>
        </w:rPr>
        <w:t>due to weather, climate and soil type (Kelliher et al., u</w:t>
      </w:r>
      <w:r w:rsidRPr="00261B7A">
        <w:t>npublished</w:t>
      </w:r>
      <w:r w:rsidRPr="00261B7A">
        <w:rPr>
          <w:rFonts w:cs="Calibri"/>
        </w:rPr>
        <w:t>).</w:t>
      </w:r>
    </w:p>
    <w:p w14:paraId="2E0DC44A" w14:textId="77777777" w:rsidR="00994F64" w:rsidRPr="00261B7A" w:rsidRDefault="00994F64" w:rsidP="00994F64">
      <w:pPr>
        <w:pStyle w:val="Heading3"/>
      </w:pPr>
      <w:bookmarkStart w:id="1176" w:name="_Toc139253936"/>
      <w:bookmarkStart w:id="1177" w:name="_Toc32570670"/>
      <w:r w:rsidRPr="00261B7A">
        <w:t>5.5.4</w:t>
      </w:r>
      <w:r w:rsidRPr="00261B7A">
        <w:tab/>
        <w:t>Source-specific QA/QC and verification</w:t>
      </w:r>
      <w:bookmarkEnd w:id="1176"/>
      <w:bookmarkEnd w:id="1177"/>
    </w:p>
    <w:p w14:paraId="61301882" w14:textId="77777777" w:rsidR="00994F64" w:rsidRPr="00261B7A" w:rsidRDefault="00994F64" w:rsidP="00994F64">
      <w:pPr>
        <w:pStyle w:val="BodyText"/>
        <w:rPr>
          <w:rFonts w:cs="Calibri"/>
        </w:rPr>
      </w:pPr>
      <w:r w:rsidRPr="00261B7A">
        <w:rPr>
          <w:rFonts w:cs="Calibri"/>
        </w:rPr>
        <w:t>In preparation for this inventory submission, the data underwent Tier 1 and Tier 2 quality checks.</w:t>
      </w:r>
    </w:p>
    <w:p w14:paraId="0D2913F6" w14:textId="77777777" w:rsidR="00994F64" w:rsidRPr="00261B7A" w:rsidRDefault="00994F64" w:rsidP="00994F64">
      <w:pPr>
        <w:pStyle w:val="Heading5"/>
        <w:spacing w:before="120"/>
        <w:rPr>
          <w:rFonts w:cs="Calibri"/>
        </w:rPr>
      </w:pPr>
      <w:r w:rsidRPr="00261B7A">
        <w:rPr>
          <w:rFonts w:cs="Calibri"/>
        </w:rPr>
        <w:t>Verification of activity data</w:t>
      </w:r>
    </w:p>
    <w:p w14:paraId="7BEF8AF2" w14:textId="77777777" w:rsidR="00994F64" w:rsidRPr="00261B7A" w:rsidRDefault="00994F64" w:rsidP="00994F64">
      <w:pPr>
        <w:pStyle w:val="BodyText"/>
        <w:spacing w:before="80"/>
        <w:rPr>
          <w:rFonts w:cs="Calibri"/>
        </w:rPr>
      </w:pPr>
      <w:r w:rsidRPr="00261B7A">
        <w:rPr>
          <w:rFonts w:cs="Calibri"/>
        </w:rPr>
        <w:t xml:space="preserve">Research has been carried out to verify the activity data for crops. In 2008 and 2011, MPI commissioned reports investigating </w:t>
      </w:r>
      <w:r w:rsidRPr="00261B7A">
        <w:rPr>
          <w:rFonts w:cs="Calibri"/>
          <w:spacing w:val="-2"/>
        </w:rPr>
        <w:t>N</w:t>
      </w:r>
      <w:r w:rsidRPr="00261B7A">
        <w:rPr>
          <w:rFonts w:cs="Calibri"/>
          <w:spacing w:val="-2"/>
          <w:vertAlign w:val="subscript"/>
        </w:rPr>
        <w:t>2</w:t>
      </w:r>
      <w:r w:rsidRPr="00261B7A">
        <w:rPr>
          <w:rFonts w:cs="Calibri"/>
          <w:spacing w:val="-2"/>
        </w:rPr>
        <w:t>O</w:t>
      </w:r>
      <w:r w:rsidRPr="00261B7A">
        <w:rPr>
          <w:rFonts w:cs="Calibri"/>
        </w:rPr>
        <w:t xml:space="preserve"> emission factors and activity data for crops (Thomas et al., 2008, 2011). The reports compared activity data from the Stats NZ Agricultural Production Survey with the Foundation for Arable Research production database. Data for wheat and maize between the two data sources were very similar, although differences were evident for some of the other crops.</w:t>
      </w:r>
    </w:p>
    <w:p w14:paraId="2FB26A2A" w14:textId="77777777" w:rsidR="00994F64" w:rsidRPr="00261B7A" w:rsidRDefault="00994F64" w:rsidP="00994F64">
      <w:pPr>
        <w:pStyle w:val="BodyText"/>
        <w:rPr>
          <w:rFonts w:cs="Calibri"/>
        </w:rPr>
      </w:pPr>
      <w:r w:rsidRPr="00261B7A">
        <w:rPr>
          <w:rFonts w:cs="Calibri"/>
        </w:rPr>
        <w:t xml:space="preserve">The accuracy of synthetic nitrogen fertiliser data has also been assessed by comparing fertiliser sales data received from the Fertiliser Association of New Zealand with data collected from the Agricultural Production Survey. </w:t>
      </w:r>
    </w:p>
    <w:p w14:paraId="6A9F97A9" w14:textId="77777777" w:rsidR="00994F64" w:rsidRPr="00261B7A" w:rsidRDefault="00994F64" w:rsidP="00994F64">
      <w:pPr>
        <w:pStyle w:val="BodyText"/>
        <w:rPr>
          <w:rFonts w:cs="Calibri"/>
        </w:rPr>
      </w:pPr>
      <w:r w:rsidRPr="00261B7A">
        <w:rPr>
          <w:rFonts w:cs="Calibri"/>
        </w:rPr>
        <w:t xml:space="preserve">The Fertiliser Association sales data are used rather than the Agricultural Production Survey data because the sales data are considered to be more accurate. Nearly 98 per cent of New Zealand synthetic nitrogen fertiliser is sold by two large companies that provide sales data to the Fertiliser Association. The Fertiliser Association provides an estimate of the additional synthetic nitrogen fertiliser sold by other companies (around 2 per cent). In contrast, the Agricultural Production Survey data are collected from a sampling frame of around 49,300 individual farms. Some farmers use contract fertiliser spreading companies (including aerial spreading) and may not have an accurate estimate of the tonnes of fertiliser applied or are unsure on how to fill in the questionnaire accurately, given the amount of different fertilisers used and their varying names. The Agricultural Production Census and Survey data verified the long-term trend of the increasing use of synthetic nitrogen fertiliser. </w:t>
      </w:r>
    </w:p>
    <w:p w14:paraId="078A1666" w14:textId="77777777" w:rsidR="00994F64" w:rsidRPr="00261B7A" w:rsidRDefault="00994F64" w:rsidP="00994F64">
      <w:pPr>
        <w:pStyle w:val="Heading5"/>
        <w:rPr>
          <w:rFonts w:cs="Calibri"/>
        </w:rPr>
      </w:pPr>
      <w:r w:rsidRPr="00261B7A">
        <w:rPr>
          <w:rFonts w:cs="Calibri"/>
        </w:rPr>
        <w:t>Comparison of New Zealand emission factors and parameters with IPCC default values</w:t>
      </w:r>
    </w:p>
    <w:p w14:paraId="5789FF06" w14:textId="77777777" w:rsidR="00994F64" w:rsidRPr="00261B7A" w:rsidRDefault="00994F64" w:rsidP="00994F64">
      <w:pPr>
        <w:pStyle w:val="BodyText"/>
      </w:pPr>
      <w:r w:rsidRPr="00261B7A">
        <w:t>Table 5.5.12 compares New Zealand’s IEFs for EF</w:t>
      </w:r>
      <w:r w:rsidRPr="00261B7A">
        <w:rPr>
          <w:vertAlign w:val="subscript"/>
        </w:rPr>
        <w:t>1</w:t>
      </w:r>
      <w:r w:rsidRPr="00261B7A">
        <w:t xml:space="preserve"> (synthetic nitrogen fertiliser) and EF</w:t>
      </w:r>
      <w:r w:rsidRPr="00261B7A">
        <w:rPr>
          <w:vertAlign w:val="subscript"/>
        </w:rPr>
        <w:t>3(PRP)</w:t>
      </w:r>
      <w:r w:rsidRPr="00261B7A">
        <w:t xml:space="preserve"> (urine and dung deposited by grazing animals) with the 2006 IPCC default values and emission factors used by Australia. The New Zealand EF</w:t>
      </w:r>
      <w:r w:rsidRPr="00261B7A">
        <w:rPr>
          <w:vertAlign w:val="subscript"/>
        </w:rPr>
        <w:t>1</w:t>
      </w:r>
      <w:r w:rsidRPr="00261B7A">
        <w:t xml:space="preserve"> value is lower than the IPCC default due to the use of a country-specific emission factor for urea fertiliser and the incorporation of effect of urease inhibitors. For EF</w:t>
      </w:r>
      <w:r w:rsidRPr="00261B7A">
        <w:rPr>
          <w:vertAlign w:val="subscript"/>
        </w:rPr>
        <w:t>3</w:t>
      </w:r>
      <w:r w:rsidRPr="00261B7A">
        <w:t>,</w:t>
      </w:r>
      <w:r w:rsidRPr="00261B7A">
        <w:rPr>
          <w:vertAlign w:val="subscript"/>
        </w:rPr>
        <w:t xml:space="preserve"> </w:t>
      </w:r>
      <w:r w:rsidRPr="00261B7A">
        <w:t xml:space="preserve">the New Zealand value is also lower than the IPCC default. This reflects research that has developed country-specific emission factors for dung and urine from trials summarised by van der Weerden et al. (2019) (see section 5.5.2). </w:t>
      </w:r>
    </w:p>
    <w:p w14:paraId="64097D51" w14:textId="77777777" w:rsidR="00994F64" w:rsidRPr="00261B7A" w:rsidRDefault="00994F64" w:rsidP="00994F64">
      <w:pPr>
        <w:pStyle w:val="Table"/>
        <w:rPr>
          <w:rFonts w:cs="Calibri"/>
        </w:rPr>
      </w:pPr>
      <w:bookmarkStart w:id="1178" w:name="_Toc441830888"/>
      <w:bookmarkStart w:id="1179" w:name="_Toc451176102"/>
      <w:bookmarkStart w:id="1180" w:name="_Toc481751529"/>
      <w:bookmarkStart w:id="1181" w:name="_Toc507158617"/>
      <w:bookmarkStart w:id="1182" w:name="_Toc511116751"/>
      <w:bookmarkStart w:id="1183" w:name="_Toc5269493"/>
      <w:bookmarkStart w:id="1184" w:name="_Toc32570938"/>
      <w:bookmarkStart w:id="1185" w:name="_Toc36224573"/>
      <w:bookmarkStart w:id="1186" w:name="_Toc68786458"/>
      <w:bookmarkStart w:id="1187" w:name="_Toc95574091"/>
      <w:bookmarkStart w:id="1188" w:name="_Toc127458278"/>
      <w:bookmarkStart w:id="1189" w:name="_Toc131591374"/>
      <w:bookmarkStart w:id="1190" w:name="_Toc288316759"/>
      <w:bookmarkStart w:id="1191" w:name="_Toc352504977"/>
      <w:r w:rsidRPr="00261B7A">
        <w:rPr>
          <w:rFonts w:cs="Calibri"/>
        </w:rPr>
        <w:t>Table 5.5.12</w:t>
      </w:r>
      <w:r w:rsidRPr="00261B7A">
        <w:rPr>
          <w:rFonts w:cs="Calibri"/>
        </w:rPr>
        <w:tab/>
        <w:t>Comparison of New Zealand’s implied emission factors (IEFs) for EF</w:t>
      </w:r>
      <w:r w:rsidRPr="00261B7A">
        <w:rPr>
          <w:rFonts w:cs="Calibri"/>
          <w:vertAlign w:val="subscript"/>
        </w:rPr>
        <w:t>1</w:t>
      </w:r>
      <w:r w:rsidRPr="00261B7A">
        <w:rPr>
          <w:rFonts w:cs="Calibri"/>
        </w:rPr>
        <w:t xml:space="preserve"> (synthetic nitrogen fertiliser) and EF</w:t>
      </w:r>
      <w:r w:rsidRPr="00261B7A">
        <w:rPr>
          <w:rFonts w:cs="Calibri"/>
          <w:vertAlign w:val="subscript"/>
        </w:rPr>
        <w:t>3(PRP)</w:t>
      </w:r>
      <w:r w:rsidRPr="00261B7A">
        <w:rPr>
          <w:rFonts w:cs="Calibri"/>
        </w:rPr>
        <w:t xml:space="preserve"> (pasture, range and paddock manure) with the IPCC default and the Australia</w:t>
      </w:r>
      <w:bookmarkEnd w:id="1178"/>
      <w:r w:rsidRPr="00261B7A">
        <w:rPr>
          <w:rFonts w:cs="Calibri"/>
        </w:rPr>
        <w:t>n-specific value</w:t>
      </w:r>
      <w:bookmarkEnd w:id="1179"/>
      <w:bookmarkEnd w:id="1180"/>
      <w:bookmarkEnd w:id="1181"/>
      <w:bookmarkEnd w:id="1182"/>
      <w:bookmarkEnd w:id="1183"/>
      <w:bookmarkEnd w:id="1184"/>
      <w:bookmarkEnd w:id="1185"/>
      <w:bookmarkEnd w:id="1186"/>
      <w:bookmarkEnd w:id="1187"/>
      <w:bookmarkEnd w:id="1188"/>
      <w:bookmarkEnd w:id="1189"/>
      <w:r w:rsidRPr="00261B7A">
        <w:rPr>
          <w:rFonts w:cs="Calibri"/>
        </w:rPr>
        <w:t xml:space="preserve"> </w:t>
      </w:r>
      <w:bookmarkEnd w:id="1190"/>
      <w:bookmarkEnd w:id="1191"/>
    </w:p>
    <w:tbl>
      <w:tblPr>
        <w:tblW w:w="8505" w:type="dxa"/>
        <w:tblBorders>
          <w:top w:val="single" w:sz="4" w:space="0" w:color="365F91"/>
          <w:bottom w:val="single" w:sz="4" w:space="0" w:color="365F91"/>
          <w:insideH w:val="single" w:sz="4" w:space="0" w:color="365F91"/>
        </w:tblBorders>
        <w:tblLook w:val="01E0" w:firstRow="1" w:lastRow="1" w:firstColumn="1" w:lastColumn="1" w:noHBand="0" w:noVBand="0"/>
      </w:tblPr>
      <w:tblGrid>
        <w:gridCol w:w="3181"/>
        <w:gridCol w:w="2633"/>
        <w:gridCol w:w="2691"/>
      </w:tblGrid>
      <w:tr w:rsidR="00994F64" w:rsidRPr="00261B7A" w14:paraId="047C7360" w14:textId="77777777" w:rsidTr="00501B0F">
        <w:tc>
          <w:tcPr>
            <w:tcW w:w="1870" w:type="pct"/>
            <w:shd w:val="clear" w:color="auto" w:fill="1B556B"/>
            <w:vAlign w:val="bottom"/>
          </w:tcPr>
          <w:p w14:paraId="5B197B18" w14:textId="77777777" w:rsidR="00994F64" w:rsidRPr="00261B7A" w:rsidRDefault="00994F64" w:rsidP="00501B0F">
            <w:pPr>
              <w:pStyle w:val="TableTextBold"/>
              <w:keepNext/>
              <w:rPr>
                <w:noProof w:val="0"/>
                <w:color w:val="FFFFFF" w:themeColor="background1"/>
                <w:szCs w:val="16"/>
              </w:rPr>
            </w:pPr>
          </w:p>
        </w:tc>
        <w:tc>
          <w:tcPr>
            <w:tcW w:w="1548" w:type="pct"/>
            <w:shd w:val="clear" w:color="auto" w:fill="1B556B"/>
            <w:vAlign w:val="bottom"/>
          </w:tcPr>
          <w:p w14:paraId="7B942C6B" w14:textId="77777777" w:rsidR="00994F64" w:rsidRPr="00261B7A" w:rsidRDefault="00994F64" w:rsidP="00501B0F">
            <w:pPr>
              <w:pStyle w:val="TableTextBold"/>
              <w:keepNext/>
              <w:rPr>
                <w:noProof w:val="0"/>
                <w:color w:val="FFFFFF" w:themeColor="background1"/>
                <w:szCs w:val="16"/>
              </w:rPr>
            </w:pPr>
            <w:r w:rsidRPr="00261B7A">
              <w:rPr>
                <w:noProof w:val="0"/>
                <w:color w:val="FFFFFF" w:themeColor="background1"/>
                <w:szCs w:val="16"/>
              </w:rPr>
              <w:t>EF</w:t>
            </w:r>
            <w:r w:rsidRPr="00261B7A">
              <w:rPr>
                <w:noProof w:val="0"/>
                <w:color w:val="FFFFFF" w:themeColor="background1"/>
                <w:szCs w:val="16"/>
                <w:vertAlign w:val="subscript"/>
              </w:rPr>
              <w:t>1</w:t>
            </w:r>
            <w:r w:rsidRPr="00261B7A">
              <w:rPr>
                <w:noProof w:val="0"/>
                <w:color w:val="FFFFFF" w:themeColor="background1"/>
                <w:szCs w:val="16"/>
              </w:rPr>
              <w:t xml:space="preserve"> (kg N</w:t>
            </w:r>
            <w:r w:rsidRPr="00261B7A">
              <w:rPr>
                <w:noProof w:val="0"/>
                <w:color w:val="FFFFFF" w:themeColor="background1"/>
                <w:szCs w:val="16"/>
                <w:vertAlign w:val="subscript"/>
              </w:rPr>
              <w:t>2</w:t>
            </w:r>
            <w:r w:rsidRPr="00261B7A">
              <w:rPr>
                <w:noProof w:val="0"/>
                <w:color w:val="FFFFFF" w:themeColor="background1"/>
                <w:szCs w:val="16"/>
              </w:rPr>
              <w:t>O-N/kg N)</w:t>
            </w:r>
          </w:p>
        </w:tc>
        <w:tc>
          <w:tcPr>
            <w:tcW w:w="1582" w:type="pct"/>
            <w:shd w:val="clear" w:color="auto" w:fill="1B556B"/>
            <w:vAlign w:val="bottom"/>
          </w:tcPr>
          <w:p w14:paraId="7E7909DE" w14:textId="77777777" w:rsidR="00994F64" w:rsidRPr="00261B7A" w:rsidRDefault="00994F64" w:rsidP="00501B0F">
            <w:pPr>
              <w:pStyle w:val="TableTextBold"/>
              <w:keepNext/>
              <w:rPr>
                <w:noProof w:val="0"/>
                <w:color w:val="FFFFFF" w:themeColor="background1"/>
                <w:szCs w:val="16"/>
              </w:rPr>
            </w:pPr>
            <w:r w:rsidRPr="00261B7A">
              <w:rPr>
                <w:noProof w:val="0"/>
                <w:color w:val="FFFFFF" w:themeColor="background1"/>
                <w:szCs w:val="16"/>
              </w:rPr>
              <w:t>EF</w:t>
            </w:r>
            <w:r w:rsidRPr="00261B7A">
              <w:rPr>
                <w:noProof w:val="0"/>
                <w:color w:val="FFFFFF" w:themeColor="background1"/>
                <w:szCs w:val="16"/>
                <w:vertAlign w:val="subscript"/>
              </w:rPr>
              <w:t>3</w:t>
            </w:r>
            <w:r w:rsidRPr="00261B7A">
              <w:rPr>
                <w:noProof w:val="0"/>
                <w:color w:val="FFFFFF" w:themeColor="background1"/>
                <w:szCs w:val="16"/>
              </w:rPr>
              <w:t xml:space="preserve"> (kg N</w:t>
            </w:r>
            <w:r w:rsidRPr="00261B7A">
              <w:rPr>
                <w:noProof w:val="0"/>
                <w:color w:val="FFFFFF" w:themeColor="background1"/>
                <w:szCs w:val="16"/>
                <w:vertAlign w:val="subscript"/>
              </w:rPr>
              <w:t>2</w:t>
            </w:r>
            <w:r w:rsidRPr="00261B7A">
              <w:rPr>
                <w:noProof w:val="0"/>
                <w:color w:val="FFFFFF" w:themeColor="background1"/>
                <w:szCs w:val="16"/>
              </w:rPr>
              <w:t>O-N/kg N excreted)</w:t>
            </w:r>
          </w:p>
        </w:tc>
      </w:tr>
      <w:tr w:rsidR="00994F64" w:rsidRPr="00261B7A" w14:paraId="34DA1B43" w14:textId="77777777" w:rsidTr="00501B0F">
        <w:tc>
          <w:tcPr>
            <w:tcW w:w="1870" w:type="pct"/>
          </w:tcPr>
          <w:p w14:paraId="3562E8BE" w14:textId="77777777" w:rsidR="00994F64" w:rsidRPr="00261B7A" w:rsidRDefault="00994F64" w:rsidP="00501B0F">
            <w:pPr>
              <w:pStyle w:val="TableText"/>
              <w:keepNext/>
              <w:spacing w:before="50" w:after="50"/>
              <w:rPr>
                <w:rFonts w:cs="Calibri"/>
                <w:szCs w:val="16"/>
              </w:rPr>
            </w:pPr>
            <w:r w:rsidRPr="00261B7A">
              <w:rPr>
                <w:rFonts w:cs="Calibri"/>
                <w:szCs w:val="16"/>
              </w:rPr>
              <w:t>IPCC (2006) developed temperate climate/Oceania default value</w:t>
            </w:r>
          </w:p>
        </w:tc>
        <w:tc>
          <w:tcPr>
            <w:tcW w:w="1548" w:type="pct"/>
          </w:tcPr>
          <w:p w14:paraId="2E8783B6" w14:textId="77777777" w:rsidR="00994F64" w:rsidRPr="00261B7A" w:rsidRDefault="00994F64" w:rsidP="00501B0F">
            <w:pPr>
              <w:pStyle w:val="TableText"/>
              <w:keepNext/>
              <w:spacing w:before="50" w:after="50"/>
              <w:rPr>
                <w:rFonts w:cs="Calibri"/>
                <w:szCs w:val="16"/>
              </w:rPr>
            </w:pPr>
            <w:r w:rsidRPr="00261B7A">
              <w:rPr>
                <w:rFonts w:cs="Calibri"/>
                <w:szCs w:val="16"/>
              </w:rPr>
              <w:t>0.01</w:t>
            </w:r>
          </w:p>
        </w:tc>
        <w:tc>
          <w:tcPr>
            <w:tcW w:w="1582" w:type="pct"/>
          </w:tcPr>
          <w:p w14:paraId="1FD4A9EC" w14:textId="77777777" w:rsidR="00994F64" w:rsidRPr="00261B7A" w:rsidRDefault="00994F64" w:rsidP="00501B0F">
            <w:pPr>
              <w:pStyle w:val="TableText"/>
              <w:keepNext/>
              <w:spacing w:before="50" w:after="0"/>
              <w:rPr>
                <w:rFonts w:cs="Calibri"/>
                <w:szCs w:val="16"/>
              </w:rPr>
            </w:pPr>
            <w:r w:rsidRPr="00261B7A">
              <w:rPr>
                <w:rFonts w:cs="Calibri"/>
                <w:szCs w:val="16"/>
              </w:rPr>
              <w:t>0.02 (cattle, poultry and pigs)</w:t>
            </w:r>
          </w:p>
          <w:p w14:paraId="3C877D2E" w14:textId="77777777" w:rsidR="00994F64" w:rsidRPr="00261B7A" w:rsidRDefault="00994F64" w:rsidP="00501B0F">
            <w:pPr>
              <w:pStyle w:val="TableText"/>
              <w:keepNext/>
              <w:spacing w:before="50" w:after="50"/>
              <w:rPr>
                <w:rFonts w:cs="Calibri"/>
                <w:szCs w:val="16"/>
              </w:rPr>
            </w:pPr>
            <w:r w:rsidRPr="00261B7A">
              <w:rPr>
                <w:rFonts w:cs="Calibri"/>
                <w:szCs w:val="16"/>
              </w:rPr>
              <w:t>0.01 (sheep and other animals)</w:t>
            </w:r>
          </w:p>
        </w:tc>
      </w:tr>
      <w:tr w:rsidR="00994F64" w:rsidRPr="00261B7A" w14:paraId="3D6E5B4C" w14:textId="77777777" w:rsidTr="00501B0F">
        <w:tc>
          <w:tcPr>
            <w:tcW w:w="1870" w:type="pct"/>
          </w:tcPr>
          <w:p w14:paraId="2E54B31B" w14:textId="77777777" w:rsidR="00994F64" w:rsidRPr="00261B7A" w:rsidRDefault="00994F64" w:rsidP="00501B0F">
            <w:pPr>
              <w:pStyle w:val="TableText"/>
              <w:keepNext/>
              <w:spacing w:before="50" w:after="50"/>
              <w:rPr>
                <w:rFonts w:cs="Calibri"/>
                <w:szCs w:val="16"/>
              </w:rPr>
            </w:pPr>
            <w:r w:rsidRPr="00261B7A">
              <w:rPr>
                <w:rFonts w:cs="Calibri"/>
                <w:szCs w:val="16"/>
              </w:rPr>
              <w:t>Australian-specific IEF 2020 value</w:t>
            </w:r>
          </w:p>
        </w:tc>
        <w:tc>
          <w:tcPr>
            <w:tcW w:w="1548" w:type="pct"/>
          </w:tcPr>
          <w:p w14:paraId="0267DD84" w14:textId="77777777" w:rsidR="00994F64" w:rsidRPr="00261B7A" w:rsidRDefault="00994F64" w:rsidP="00501B0F">
            <w:pPr>
              <w:pStyle w:val="TableText"/>
              <w:keepNext/>
              <w:spacing w:before="50" w:after="50"/>
              <w:rPr>
                <w:rFonts w:cs="Calibri"/>
                <w:szCs w:val="16"/>
              </w:rPr>
            </w:pPr>
            <w:r w:rsidRPr="00261B7A">
              <w:rPr>
                <w:rFonts w:cs="Calibri"/>
                <w:szCs w:val="16"/>
              </w:rPr>
              <w:t>0.0034</w:t>
            </w:r>
          </w:p>
        </w:tc>
        <w:tc>
          <w:tcPr>
            <w:tcW w:w="1582" w:type="pct"/>
          </w:tcPr>
          <w:p w14:paraId="65A9C819" w14:textId="77777777" w:rsidR="00994F64" w:rsidRPr="00261B7A" w:rsidRDefault="00994F64" w:rsidP="00501B0F">
            <w:pPr>
              <w:pStyle w:val="TableText"/>
              <w:keepNext/>
              <w:spacing w:before="50" w:after="50"/>
              <w:rPr>
                <w:rFonts w:cs="Calibri"/>
                <w:szCs w:val="16"/>
              </w:rPr>
            </w:pPr>
            <w:r w:rsidRPr="00261B7A">
              <w:rPr>
                <w:rFonts w:cs="Calibri"/>
                <w:szCs w:val="16"/>
              </w:rPr>
              <w:t>0.0040</w:t>
            </w:r>
          </w:p>
        </w:tc>
      </w:tr>
      <w:tr w:rsidR="00994F64" w:rsidRPr="00261B7A" w14:paraId="68A29381" w14:textId="77777777" w:rsidTr="00501B0F">
        <w:tc>
          <w:tcPr>
            <w:tcW w:w="1870" w:type="pct"/>
          </w:tcPr>
          <w:p w14:paraId="4DB158E3" w14:textId="77777777" w:rsidR="00994F64" w:rsidRPr="00261B7A" w:rsidRDefault="00994F64" w:rsidP="00501B0F">
            <w:pPr>
              <w:pStyle w:val="TableText"/>
              <w:spacing w:before="50" w:after="50"/>
              <w:rPr>
                <w:rFonts w:cs="Calibri"/>
                <w:szCs w:val="16"/>
              </w:rPr>
            </w:pPr>
            <w:r w:rsidRPr="00261B7A">
              <w:rPr>
                <w:rFonts w:cs="Calibri"/>
                <w:szCs w:val="16"/>
              </w:rPr>
              <w:t>New Zealand-specific IEF 2021 value</w:t>
            </w:r>
          </w:p>
        </w:tc>
        <w:tc>
          <w:tcPr>
            <w:tcW w:w="1548" w:type="pct"/>
          </w:tcPr>
          <w:p w14:paraId="27ABD3FC" w14:textId="77777777" w:rsidR="00994F64" w:rsidRPr="00261B7A" w:rsidRDefault="00994F64" w:rsidP="00501B0F">
            <w:pPr>
              <w:pStyle w:val="TableText"/>
              <w:spacing w:before="50" w:after="50"/>
              <w:rPr>
                <w:rFonts w:cs="Calibri"/>
                <w:szCs w:val="16"/>
              </w:rPr>
            </w:pPr>
            <w:r w:rsidRPr="00261B7A">
              <w:rPr>
                <w:rFonts w:cs="Calibri"/>
                <w:szCs w:val="16"/>
              </w:rPr>
              <w:t>0.0064</w:t>
            </w:r>
          </w:p>
        </w:tc>
        <w:tc>
          <w:tcPr>
            <w:tcW w:w="1582" w:type="pct"/>
          </w:tcPr>
          <w:p w14:paraId="05F02405" w14:textId="77777777" w:rsidR="00994F64" w:rsidRPr="00261B7A" w:rsidRDefault="00994F64" w:rsidP="00501B0F">
            <w:pPr>
              <w:pStyle w:val="TableText"/>
              <w:spacing w:before="50" w:after="50"/>
              <w:rPr>
                <w:rFonts w:cs="Calibri"/>
                <w:szCs w:val="16"/>
              </w:rPr>
            </w:pPr>
            <w:r w:rsidRPr="00261B7A">
              <w:rPr>
                <w:rFonts w:cs="Calibri"/>
                <w:szCs w:val="16"/>
              </w:rPr>
              <w:t>0.0053</w:t>
            </w:r>
          </w:p>
        </w:tc>
      </w:tr>
    </w:tbl>
    <w:p w14:paraId="4001A4D7" w14:textId="77777777" w:rsidR="00994F64" w:rsidRPr="00261B7A" w:rsidRDefault="00994F64" w:rsidP="00994F64">
      <w:pPr>
        <w:pStyle w:val="Source"/>
        <w:spacing w:after="120"/>
        <w:rPr>
          <w:rFonts w:cs="Calibri"/>
          <w:sz w:val="18"/>
          <w:szCs w:val="24"/>
        </w:rPr>
      </w:pPr>
      <w:r w:rsidRPr="00261B7A">
        <w:rPr>
          <w:rFonts w:cs="Calibri"/>
          <w:b/>
          <w:bCs/>
          <w:sz w:val="18"/>
          <w:szCs w:val="24"/>
        </w:rPr>
        <w:t>Source:</w:t>
      </w:r>
      <w:r w:rsidRPr="00261B7A">
        <w:rPr>
          <w:rFonts w:cs="Calibri"/>
          <w:sz w:val="18"/>
          <w:szCs w:val="24"/>
        </w:rPr>
        <w:t xml:space="preserve"> </w:t>
      </w:r>
      <w:r w:rsidRPr="00261B7A">
        <w:rPr>
          <w:rFonts w:cs="Calibri"/>
          <w:sz w:val="18"/>
          <w:szCs w:val="24"/>
        </w:rPr>
        <w:tab/>
        <w:t>UNFCCC (https://unfccc.int/documents/65705)</w:t>
      </w:r>
      <w:r w:rsidRPr="00261B7A" w:rsidDel="00D478FB">
        <w:rPr>
          <w:rFonts w:cs="Calibri"/>
          <w:sz w:val="18"/>
          <w:szCs w:val="24"/>
        </w:rPr>
        <w:t xml:space="preserve"> </w:t>
      </w:r>
    </w:p>
    <w:p w14:paraId="1A1D91F1" w14:textId="77777777" w:rsidR="00994F64" w:rsidRPr="00261B7A" w:rsidRDefault="00994F64" w:rsidP="00994F64">
      <w:pPr>
        <w:pStyle w:val="BodyText"/>
        <w:rPr>
          <w:rFonts w:cs="Calibri"/>
        </w:rPr>
      </w:pPr>
      <w:r w:rsidRPr="00261B7A">
        <w:rPr>
          <w:rFonts w:cs="Calibri"/>
        </w:rPr>
        <w:t>Table 5.5.13 compares the New Zealand-specific values Frac</w:t>
      </w:r>
      <w:r w:rsidRPr="00261B7A">
        <w:rPr>
          <w:rFonts w:cs="Calibri"/>
          <w:vertAlign w:val="subscript"/>
        </w:rPr>
        <w:t>GASF</w:t>
      </w:r>
      <w:r w:rsidRPr="00261B7A">
        <w:rPr>
          <w:rFonts w:cs="Calibri"/>
        </w:rPr>
        <w:t>, Frac</w:t>
      </w:r>
      <w:r w:rsidRPr="00261B7A">
        <w:rPr>
          <w:rFonts w:cs="Calibri"/>
          <w:vertAlign w:val="subscript"/>
        </w:rPr>
        <w:t>GASM</w:t>
      </w:r>
      <w:r w:rsidRPr="00261B7A">
        <w:rPr>
          <w:rFonts w:cs="Calibri"/>
        </w:rPr>
        <w:t xml:space="preserve"> and Frac</w:t>
      </w:r>
      <w:r w:rsidRPr="00261B7A">
        <w:rPr>
          <w:rFonts w:cs="Calibri"/>
          <w:vertAlign w:val="subscript"/>
        </w:rPr>
        <w:t>LEACH-H</w:t>
      </w:r>
      <w:r w:rsidRPr="00261B7A">
        <w:rPr>
          <w:rFonts w:cs="Calibri"/>
        </w:rPr>
        <w:t xml:space="preserve"> with </w:t>
      </w:r>
      <w:r w:rsidRPr="00261B7A">
        <w:rPr>
          <w:rFonts w:cs="Calibri"/>
          <w:spacing w:val="-2"/>
        </w:rPr>
        <w:t>the 2006 IPCC default and fractions used by Australia. New Zealand has taken a country</w:t>
      </w:r>
      <w:r w:rsidRPr="00261B7A">
        <w:rPr>
          <w:rFonts w:cs="Calibri"/>
          <w:spacing w:val="-2"/>
        </w:rPr>
        <w:noBreakHyphen/>
        <w:t>specific</w:t>
      </w:r>
      <w:r w:rsidRPr="00261B7A">
        <w:rPr>
          <w:rFonts w:cs="Calibri"/>
        </w:rPr>
        <w:t xml:space="preserve"> value for Frac</w:t>
      </w:r>
      <w:r w:rsidRPr="00261B7A">
        <w:rPr>
          <w:rFonts w:cs="Calibri"/>
          <w:vertAlign w:val="subscript"/>
        </w:rPr>
        <w:t>GASF</w:t>
      </w:r>
      <w:r w:rsidRPr="00261B7A">
        <w:rPr>
          <w:rFonts w:cs="Calibri"/>
        </w:rPr>
        <w:t xml:space="preserve"> of 0.1, and it is the same as the 2006 IPCC default and almost identical to that of Australia (0.11). Research showed that the 0.1 value was appropriate for New Zealand conditions (Sherlock et al., 2008). </w:t>
      </w:r>
    </w:p>
    <w:p w14:paraId="7B74891D" w14:textId="77777777" w:rsidR="00994F64" w:rsidRPr="00261B7A" w:rsidRDefault="00994F64" w:rsidP="00994F64">
      <w:pPr>
        <w:pStyle w:val="BodyText"/>
        <w:rPr>
          <w:lang w:eastAsia="en-GB"/>
        </w:rPr>
      </w:pPr>
      <w:r w:rsidRPr="00261B7A">
        <w:t>This research also showed that the previously used 2006 IPCC default value of 0.2 for Frac</w:t>
      </w:r>
      <w:r w:rsidRPr="00261B7A">
        <w:rPr>
          <w:vertAlign w:val="subscript"/>
        </w:rPr>
        <w:t>GASM</w:t>
      </w:r>
      <w:r w:rsidRPr="00261B7A">
        <w:t xml:space="preserve"> was too high and a lower value of 0.1 was adopted after an extensive review of scientific literature (Sherlock et al., 2008), which was also confirmed by subsequent field experiments (Laubach et al., 2012). The reduction in Frac</w:t>
      </w:r>
      <w:r w:rsidRPr="00261B7A">
        <w:rPr>
          <w:vertAlign w:val="subscript"/>
        </w:rPr>
        <w:t>GASM</w:t>
      </w:r>
      <w:r w:rsidRPr="00261B7A">
        <w:t xml:space="preserve"> is due to the proportion of the different sources that make up this value. In New Zealand, over 95 per cent of animal excreta is deposited onto pasture and only a small proportion is managed. In contrast, the 2006 IPCC default value was calculated based on systems where a much higher percentage of manure management and storage is normal. Manure management and storage results in a much higher proportion of nitrogen being volatilised and, hence, the higher Frac</w:t>
      </w:r>
      <w:r w:rsidRPr="00261B7A">
        <w:rPr>
          <w:vertAlign w:val="subscript"/>
        </w:rPr>
        <w:t>GASM</w:t>
      </w:r>
      <w:r w:rsidRPr="00261B7A">
        <w:t xml:space="preserve"> for the default value compared with the country-specific New Zealand value. </w:t>
      </w:r>
    </w:p>
    <w:p w14:paraId="40BD1113" w14:textId="77777777" w:rsidR="00994F64" w:rsidRPr="00261B7A" w:rsidRDefault="00994F64" w:rsidP="00994F64">
      <w:pPr>
        <w:pStyle w:val="BodyText"/>
      </w:pPr>
      <w:r w:rsidRPr="00261B7A">
        <w:t>New Zealand also has much lower values of Frac</w:t>
      </w:r>
      <w:r w:rsidRPr="00261B7A">
        <w:rPr>
          <w:vertAlign w:val="subscript"/>
        </w:rPr>
        <w:t>LEACH</w:t>
      </w:r>
      <w:r w:rsidRPr="00261B7A" w:rsidDel="009C0F97">
        <w:rPr>
          <w:vertAlign w:val="subscript"/>
        </w:rPr>
        <w:t>-H</w:t>
      </w:r>
      <w:r w:rsidRPr="00261B7A" w:rsidDel="009C0F97">
        <w:t>.</w:t>
      </w:r>
      <w:r w:rsidRPr="00261B7A">
        <w:t xml:space="preserve"> Research suggests that New Zealand applies a much lower rate of nitrogen fertiliser at each application than was assumed when the IPCC default value was developed (Thomas et al., 2005). When the OVERSEER</w:t>
      </w:r>
      <w:r w:rsidRPr="00261B7A">
        <w:rPr>
          <w:vertAlign w:val="superscript"/>
        </w:rPr>
        <w:t>®</w:t>
      </w:r>
      <w:r w:rsidRPr="00261B7A">
        <w:t xml:space="preserve"> nutrient budget model (Wheeler et al., 2003) took this lower rate into account, the rate of leaching was much lower than when compared with farms with a high nitrogen fertiliser, which can be typical in other developed countries. </w:t>
      </w:r>
    </w:p>
    <w:p w14:paraId="3044E357" w14:textId="77777777" w:rsidR="00994F64" w:rsidRPr="00261B7A" w:rsidRDefault="00994F64" w:rsidP="00994F64">
      <w:pPr>
        <w:pStyle w:val="Table"/>
        <w:rPr>
          <w:rFonts w:cs="Calibri"/>
        </w:rPr>
      </w:pPr>
      <w:bookmarkStart w:id="1192" w:name="_Toc441830889"/>
      <w:bookmarkStart w:id="1193" w:name="_Toc288316760"/>
      <w:bookmarkStart w:id="1194" w:name="_Toc352504978"/>
      <w:bookmarkStart w:id="1195" w:name="_Toc451176103"/>
      <w:bookmarkStart w:id="1196" w:name="_Toc481751530"/>
      <w:bookmarkStart w:id="1197" w:name="_Toc507158618"/>
      <w:bookmarkStart w:id="1198" w:name="_Toc511116752"/>
      <w:bookmarkStart w:id="1199" w:name="_Toc5269494"/>
      <w:bookmarkStart w:id="1200" w:name="_Toc32570939"/>
      <w:bookmarkStart w:id="1201" w:name="_Toc36224574"/>
      <w:bookmarkStart w:id="1202" w:name="_Toc68786459"/>
      <w:bookmarkStart w:id="1203" w:name="_Toc95574092"/>
      <w:bookmarkStart w:id="1204" w:name="_Toc127458279"/>
      <w:bookmarkStart w:id="1205" w:name="_Toc131591375"/>
      <w:r w:rsidRPr="00261B7A">
        <w:rPr>
          <w:rFonts w:cs="Calibri"/>
        </w:rPr>
        <w:t>Table 5.5.13</w:t>
      </w:r>
      <w:r w:rsidRPr="00261B7A">
        <w:rPr>
          <w:rFonts w:cs="Calibri"/>
        </w:rPr>
        <w:tab/>
        <w:t>Comparison of New Zealand’s country-specific factors for volatilisation (Frac</w:t>
      </w:r>
      <w:r w:rsidRPr="00261B7A">
        <w:rPr>
          <w:rFonts w:cs="Calibri"/>
          <w:vertAlign w:val="subscript"/>
        </w:rPr>
        <w:t>GASF</w:t>
      </w:r>
      <w:r w:rsidRPr="00261B7A">
        <w:rPr>
          <w:rFonts w:cs="Calibri"/>
        </w:rPr>
        <w:t>, Frac</w:t>
      </w:r>
      <w:r w:rsidRPr="00261B7A">
        <w:rPr>
          <w:rFonts w:cs="Calibri"/>
          <w:vertAlign w:val="subscript"/>
        </w:rPr>
        <w:t>GASM</w:t>
      </w:r>
      <w:r w:rsidRPr="00261B7A">
        <w:rPr>
          <w:rFonts w:cs="Calibri"/>
        </w:rPr>
        <w:t>) and leaching and runoff (Frac</w:t>
      </w:r>
      <w:r w:rsidRPr="00261B7A">
        <w:rPr>
          <w:rFonts w:cs="Calibri"/>
          <w:vertAlign w:val="subscript"/>
        </w:rPr>
        <w:t>LEACH-(H)</w:t>
      </w:r>
      <w:r w:rsidRPr="00261B7A">
        <w:rPr>
          <w:rFonts w:cs="Calibri"/>
        </w:rPr>
        <w:t>) with the IPCC default value and the Australia</w:t>
      </w:r>
      <w:bookmarkEnd w:id="1192"/>
      <w:r w:rsidRPr="00261B7A">
        <w:rPr>
          <w:rFonts w:cs="Calibri"/>
        </w:rPr>
        <w:t>n implied emission factor (IEF</w:t>
      </w:r>
      <w:bookmarkEnd w:id="1193"/>
      <w:bookmarkEnd w:id="1194"/>
      <w:bookmarkEnd w:id="1195"/>
      <w:bookmarkEnd w:id="1196"/>
      <w:r w:rsidRPr="00261B7A">
        <w:rPr>
          <w:rFonts w:cs="Calibri"/>
        </w:rPr>
        <w:t>)</w:t>
      </w:r>
      <w:bookmarkEnd w:id="1197"/>
      <w:bookmarkEnd w:id="1198"/>
      <w:bookmarkEnd w:id="1199"/>
      <w:bookmarkEnd w:id="1200"/>
      <w:bookmarkEnd w:id="1201"/>
      <w:bookmarkEnd w:id="1202"/>
      <w:bookmarkEnd w:id="1203"/>
      <w:bookmarkEnd w:id="1204"/>
      <w:bookmarkEnd w:id="1205"/>
    </w:p>
    <w:tbl>
      <w:tblPr>
        <w:tblW w:w="4947" w:type="pct"/>
        <w:tblBorders>
          <w:top w:val="single" w:sz="4" w:space="0" w:color="1B556B" w:themeColor="text2"/>
          <w:bottom w:val="single" w:sz="4" w:space="0" w:color="1B556B" w:themeColor="text2"/>
          <w:insideH w:val="single" w:sz="4" w:space="0" w:color="1B556B" w:themeColor="text2"/>
        </w:tblBorders>
        <w:tblLook w:val="01E0" w:firstRow="1" w:lastRow="1" w:firstColumn="1" w:lastColumn="1" w:noHBand="0" w:noVBand="0"/>
      </w:tblPr>
      <w:tblGrid>
        <w:gridCol w:w="2977"/>
        <w:gridCol w:w="1845"/>
        <w:gridCol w:w="1846"/>
        <w:gridCol w:w="1739"/>
        <w:gridCol w:w="8"/>
      </w:tblGrid>
      <w:tr w:rsidR="00994F64" w:rsidRPr="00261B7A" w14:paraId="05BF2B6B" w14:textId="77777777" w:rsidTr="00501B0F">
        <w:trPr>
          <w:gridAfter w:val="1"/>
          <w:wAfter w:w="5" w:type="pct"/>
          <w:trHeight w:val="287"/>
        </w:trPr>
        <w:tc>
          <w:tcPr>
            <w:tcW w:w="1769" w:type="pct"/>
            <w:shd w:val="clear" w:color="auto" w:fill="1B556B"/>
            <w:vAlign w:val="bottom"/>
          </w:tcPr>
          <w:p w14:paraId="5DD2477C" w14:textId="77777777" w:rsidR="00994F64" w:rsidRPr="00261B7A" w:rsidRDefault="00994F64" w:rsidP="00501B0F">
            <w:pPr>
              <w:pStyle w:val="TableTextBold"/>
              <w:keepNext/>
              <w:spacing w:before="50" w:after="50"/>
              <w:rPr>
                <w:noProof w:val="0"/>
                <w:color w:val="FFFFFF" w:themeColor="background1"/>
              </w:rPr>
            </w:pPr>
          </w:p>
        </w:tc>
        <w:tc>
          <w:tcPr>
            <w:tcW w:w="1096" w:type="pct"/>
            <w:shd w:val="clear" w:color="auto" w:fill="1B556B"/>
            <w:vAlign w:val="bottom"/>
          </w:tcPr>
          <w:p w14:paraId="670D59CE" w14:textId="77777777" w:rsidR="00994F64" w:rsidRPr="00261B7A" w:rsidRDefault="00994F64" w:rsidP="00501B0F">
            <w:pPr>
              <w:pStyle w:val="TableTextBold"/>
              <w:keepNext/>
              <w:spacing w:before="50" w:after="50"/>
              <w:rPr>
                <w:noProof w:val="0"/>
                <w:color w:val="FFFFFF" w:themeColor="background1"/>
              </w:rPr>
            </w:pPr>
            <w:r w:rsidRPr="00261B7A">
              <w:rPr>
                <w:noProof w:val="0"/>
                <w:color w:val="FFFFFF" w:themeColor="background1"/>
              </w:rPr>
              <w:t>Frac</w:t>
            </w:r>
            <w:r w:rsidRPr="00261B7A">
              <w:rPr>
                <w:noProof w:val="0"/>
                <w:color w:val="FFFFFF" w:themeColor="background1"/>
                <w:vertAlign w:val="subscript"/>
              </w:rPr>
              <w:t xml:space="preserve">GASF </w:t>
            </w:r>
            <w:r w:rsidRPr="00261B7A">
              <w:rPr>
                <w:noProof w:val="0"/>
                <w:color w:val="FFFFFF" w:themeColor="background1"/>
                <w:vertAlign w:val="subscript"/>
              </w:rPr>
              <w:br/>
            </w:r>
            <w:r w:rsidRPr="00261B7A">
              <w:rPr>
                <w:noProof w:val="0"/>
                <w:color w:val="FFFFFF" w:themeColor="background1"/>
              </w:rPr>
              <w:t>(kg NH</w:t>
            </w:r>
            <w:r w:rsidRPr="00261B7A">
              <w:rPr>
                <w:noProof w:val="0"/>
                <w:color w:val="FFFFFF" w:themeColor="background1"/>
                <w:vertAlign w:val="subscript"/>
              </w:rPr>
              <w:t>3</w:t>
            </w:r>
            <w:r w:rsidRPr="00261B7A">
              <w:rPr>
                <w:noProof w:val="0"/>
                <w:color w:val="FFFFFF" w:themeColor="background1"/>
              </w:rPr>
              <w:t>-N and NO</w:t>
            </w:r>
            <w:r w:rsidRPr="00261B7A">
              <w:rPr>
                <w:noProof w:val="0"/>
                <w:color w:val="FFFFFF" w:themeColor="background1"/>
                <w:vertAlign w:val="subscript"/>
              </w:rPr>
              <w:t>x</w:t>
            </w:r>
            <w:r w:rsidRPr="00261B7A">
              <w:rPr>
                <w:noProof w:val="0"/>
                <w:color w:val="FFFFFF" w:themeColor="background1"/>
              </w:rPr>
              <w:t>-N/kg of N input)</w:t>
            </w:r>
          </w:p>
        </w:tc>
        <w:tc>
          <w:tcPr>
            <w:tcW w:w="1097" w:type="pct"/>
            <w:shd w:val="clear" w:color="auto" w:fill="1B556B"/>
            <w:vAlign w:val="bottom"/>
          </w:tcPr>
          <w:p w14:paraId="063B140C" w14:textId="77777777" w:rsidR="00994F64" w:rsidRPr="00261B7A" w:rsidRDefault="00994F64" w:rsidP="00501B0F">
            <w:pPr>
              <w:pStyle w:val="TableTextBold"/>
              <w:keepNext/>
              <w:spacing w:before="50" w:after="50"/>
              <w:rPr>
                <w:noProof w:val="0"/>
                <w:color w:val="FFFFFF" w:themeColor="background1"/>
              </w:rPr>
            </w:pPr>
            <w:r w:rsidRPr="00261B7A">
              <w:rPr>
                <w:noProof w:val="0"/>
                <w:color w:val="FFFFFF" w:themeColor="background1"/>
              </w:rPr>
              <w:t>Frac</w:t>
            </w:r>
            <w:r w:rsidRPr="00261B7A">
              <w:rPr>
                <w:noProof w:val="0"/>
                <w:color w:val="FFFFFF" w:themeColor="background1"/>
                <w:vertAlign w:val="subscript"/>
              </w:rPr>
              <w:t>GASM</w:t>
            </w:r>
            <w:r w:rsidRPr="00261B7A">
              <w:rPr>
                <w:noProof w:val="0"/>
                <w:color w:val="FFFFFF" w:themeColor="background1"/>
                <w:vertAlign w:val="subscript"/>
              </w:rPr>
              <w:br/>
            </w:r>
            <w:r w:rsidRPr="00261B7A">
              <w:rPr>
                <w:noProof w:val="0"/>
                <w:color w:val="FFFFFF" w:themeColor="background1"/>
              </w:rPr>
              <w:t>(kg NH</w:t>
            </w:r>
            <w:r w:rsidRPr="00261B7A">
              <w:rPr>
                <w:noProof w:val="0"/>
                <w:color w:val="FFFFFF" w:themeColor="background1"/>
                <w:vertAlign w:val="subscript"/>
              </w:rPr>
              <w:t>3</w:t>
            </w:r>
            <w:r w:rsidRPr="00261B7A">
              <w:rPr>
                <w:noProof w:val="0"/>
                <w:color w:val="FFFFFF" w:themeColor="background1"/>
              </w:rPr>
              <w:t>-N and NO</w:t>
            </w:r>
            <w:r w:rsidRPr="00261B7A">
              <w:rPr>
                <w:noProof w:val="0"/>
                <w:color w:val="FFFFFF" w:themeColor="background1"/>
                <w:vertAlign w:val="subscript"/>
              </w:rPr>
              <w:t>x</w:t>
            </w:r>
            <w:r w:rsidRPr="00261B7A">
              <w:rPr>
                <w:noProof w:val="0"/>
                <w:color w:val="FFFFFF" w:themeColor="background1"/>
              </w:rPr>
              <w:t>-N/kg of N excreted)</w:t>
            </w:r>
          </w:p>
        </w:tc>
        <w:tc>
          <w:tcPr>
            <w:tcW w:w="1033" w:type="pct"/>
            <w:shd w:val="clear" w:color="auto" w:fill="1B556B"/>
            <w:vAlign w:val="bottom"/>
          </w:tcPr>
          <w:p w14:paraId="237CCC87" w14:textId="77777777" w:rsidR="00994F64" w:rsidRPr="00261B7A" w:rsidRDefault="00994F64" w:rsidP="00501B0F">
            <w:pPr>
              <w:pStyle w:val="TableTextBold"/>
              <w:keepNext/>
              <w:spacing w:before="50" w:after="50"/>
              <w:rPr>
                <w:noProof w:val="0"/>
                <w:color w:val="FFFFFF" w:themeColor="background1"/>
              </w:rPr>
            </w:pPr>
            <w:r w:rsidRPr="00261B7A">
              <w:rPr>
                <w:noProof w:val="0"/>
                <w:color w:val="FFFFFF" w:themeColor="background1"/>
              </w:rPr>
              <w:t>Frac</w:t>
            </w:r>
            <w:r w:rsidRPr="00261B7A">
              <w:rPr>
                <w:noProof w:val="0"/>
                <w:color w:val="FFFFFF" w:themeColor="background1"/>
                <w:vertAlign w:val="subscript"/>
              </w:rPr>
              <w:t>LEACH-(H)</w:t>
            </w:r>
            <w:r w:rsidRPr="00261B7A">
              <w:rPr>
                <w:noProof w:val="0"/>
                <w:color w:val="FFFFFF" w:themeColor="background1"/>
                <w:vertAlign w:val="subscript"/>
              </w:rPr>
              <w:br/>
            </w:r>
            <w:r w:rsidRPr="00261B7A">
              <w:rPr>
                <w:noProof w:val="0"/>
                <w:color w:val="FFFFFF" w:themeColor="background1"/>
              </w:rPr>
              <w:t>(kg N/kg fertiliser or manure N)</w:t>
            </w:r>
          </w:p>
        </w:tc>
      </w:tr>
      <w:tr w:rsidR="00994F64" w:rsidRPr="00261B7A" w14:paraId="0DB7F9EF" w14:textId="77777777" w:rsidTr="00501B0F">
        <w:tc>
          <w:tcPr>
            <w:tcW w:w="1769" w:type="pct"/>
            <w:shd w:val="clear" w:color="auto" w:fill="auto"/>
          </w:tcPr>
          <w:p w14:paraId="11F14938" w14:textId="77777777" w:rsidR="00994F64" w:rsidRPr="00261B7A" w:rsidRDefault="00994F64" w:rsidP="00501B0F">
            <w:pPr>
              <w:pStyle w:val="TableText"/>
              <w:spacing w:before="50" w:after="50"/>
              <w:rPr>
                <w:rFonts w:cs="Calibri"/>
              </w:rPr>
            </w:pPr>
            <w:r w:rsidRPr="00261B7A">
              <w:rPr>
                <w:rFonts w:cs="Calibri"/>
              </w:rPr>
              <w:t>IPCC (2006) default value</w:t>
            </w:r>
          </w:p>
        </w:tc>
        <w:tc>
          <w:tcPr>
            <w:tcW w:w="1096" w:type="pct"/>
            <w:shd w:val="clear" w:color="auto" w:fill="auto"/>
          </w:tcPr>
          <w:p w14:paraId="7092964C" w14:textId="77777777" w:rsidR="00994F64" w:rsidRPr="00261B7A" w:rsidRDefault="00994F64" w:rsidP="00501B0F">
            <w:pPr>
              <w:pStyle w:val="TableText"/>
              <w:spacing w:before="50" w:after="50"/>
              <w:rPr>
                <w:rFonts w:cs="Calibri"/>
              </w:rPr>
            </w:pPr>
            <w:r w:rsidRPr="00261B7A">
              <w:rPr>
                <w:rFonts w:cs="Calibri"/>
              </w:rPr>
              <w:t>0.1</w:t>
            </w:r>
          </w:p>
        </w:tc>
        <w:tc>
          <w:tcPr>
            <w:tcW w:w="1097" w:type="pct"/>
            <w:shd w:val="clear" w:color="auto" w:fill="auto"/>
          </w:tcPr>
          <w:p w14:paraId="429CE136" w14:textId="77777777" w:rsidR="00994F64" w:rsidRPr="00261B7A" w:rsidRDefault="00994F64" w:rsidP="00501B0F">
            <w:pPr>
              <w:pStyle w:val="TableText"/>
              <w:spacing w:before="50" w:after="50"/>
              <w:rPr>
                <w:rFonts w:cs="Calibri"/>
              </w:rPr>
            </w:pPr>
            <w:r w:rsidRPr="00261B7A">
              <w:rPr>
                <w:rFonts w:cs="Calibri"/>
              </w:rPr>
              <w:t>0.2</w:t>
            </w:r>
          </w:p>
        </w:tc>
        <w:tc>
          <w:tcPr>
            <w:tcW w:w="1038" w:type="pct"/>
            <w:gridSpan w:val="2"/>
            <w:shd w:val="clear" w:color="auto" w:fill="auto"/>
          </w:tcPr>
          <w:p w14:paraId="1778BB59" w14:textId="77777777" w:rsidR="00994F64" w:rsidRPr="00261B7A" w:rsidRDefault="00994F64" w:rsidP="00501B0F">
            <w:pPr>
              <w:pStyle w:val="TableText"/>
              <w:spacing w:before="50" w:after="50"/>
              <w:rPr>
                <w:rFonts w:cs="Calibri"/>
              </w:rPr>
            </w:pPr>
            <w:r w:rsidRPr="00261B7A">
              <w:rPr>
                <w:rFonts w:cs="Calibri"/>
              </w:rPr>
              <w:t>0.3</w:t>
            </w:r>
          </w:p>
        </w:tc>
      </w:tr>
      <w:tr w:rsidR="00994F64" w:rsidRPr="00261B7A" w14:paraId="15153C3E" w14:textId="77777777" w:rsidTr="00501B0F">
        <w:tc>
          <w:tcPr>
            <w:tcW w:w="1769" w:type="pct"/>
          </w:tcPr>
          <w:p w14:paraId="65FC0CEE" w14:textId="77777777" w:rsidR="00994F64" w:rsidRPr="00261B7A" w:rsidRDefault="00994F64" w:rsidP="00501B0F">
            <w:pPr>
              <w:pStyle w:val="TableText"/>
              <w:spacing w:before="50" w:after="50"/>
              <w:rPr>
                <w:rFonts w:cs="Calibri"/>
              </w:rPr>
            </w:pPr>
            <w:r w:rsidRPr="00261B7A">
              <w:rPr>
                <w:rFonts w:cs="Calibri"/>
              </w:rPr>
              <w:t>Australian-specific 2020 value</w:t>
            </w:r>
          </w:p>
        </w:tc>
        <w:tc>
          <w:tcPr>
            <w:tcW w:w="1096" w:type="pct"/>
          </w:tcPr>
          <w:p w14:paraId="1188EEC4" w14:textId="77777777" w:rsidR="00994F64" w:rsidRPr="00261B7A" w:rsidRDefault="00994F64" w:rsidP="00501B0F">
            <w:pPr>
              <w:pStyle w:val="TableText"/>
              <w:spacing w:before="50" w:after="50"/>
              <w:rPr>
                <w:rFonts w:cs="Calibri"/>
              </w:rPr>
            </w:pPr>
            <w:r w:rsidRPr="00261B7A">
              <w:rPr>
                <w:rFonts w:cs="Calibri"/>
              </w:rPr>
              <w:t>0.11</w:t>
            </w:r>
          </w:p>
        </w:tc>
        <w:tc>
          <w:tcPr>
            <w:tcW w:w="1097" w:type="pct"/>
          </w:tcPr>
          <w:p w14:paraId="4D3C82AF" w14:textId="77777777" w:rsidR="00994F64" w:rsidRPr="00261B7A" w:rsidRDefault="00994F64" w:rsidP="00501B0F">
            <w:pPr>
              <w:pStyle w:val="TableText"/>
              <w:spacing w:before="50" w:after="50"/>
              <w:rPr>
                <w:rFonts w:cs="Calibri"/>
              </w:rPr>
            </w:pPr>
            <w:r w:rsidRPr="00261B7A">
              <w:rPr>
                <w:rFonts w:cs="Calibri"/>
              </w:rPr>
              <w:t>0.21</w:t>
            </w:r>
          </w:p>
        </w:tc>
        <w:tc>
          <w:tcPr>
            <w:tcW w:w="1038" w:type="pct"/>
            <w:gridSpan w:val="2"/>
          </w:tcPr>
          <w:p w14:paraId="256E573B" w14:textId="77777777" w:rsidR="00994F64" w:rsidRPr="00261B7A" w:rsidRDefault="00994F64" w:rsidP="00501B0F">
            <w:pPr>
              <w:pStyle w:val="TableText"/>
              <w:spacing w:before="50" w:after="50"/>
              <w:rPr>
                <w:rFonts w:cs="Calibri"/>
              </w:rPr>
            </w:pPr>
            <w:r w:rsidRPr="00261B7A">
              <w:rPr>
                <w:rFonts w:cs="Calibri"/>
              </w:rPr>
              <w:t>0.24</w:t>
            </w:r>
          </w:p>
        </w:tc>
      </w:tr>
      <w:tr w:rsidR="00994F64" w:rsidRPr="00261B7A" w14:paraId="411E7B9B" w14:textId="77777777" w:rsidTr="00501B0F">
        <w:tc>
          <w:tcPr>
            <w:tcW w:w="1769" w:type="pct"/>
          </w:tcPr>
          <w:p w14:paraId="6AB4C6C6" w14:textId="77777777" w:rsidR="00994F64" w:rsidRPr="00261B7A" w:rsidRDefault="00994F64" w:rsidP="00501B0F">
            <w:pPr>
              <w:pStyle w:val="TableText"/>
              <w:spacing w:before="50" w:after="50"/>
              <w:rPr>
                <w:rFonts w:cs="Calibri"/>
              </w:rPr>
            </w:pPr>
            <w:r w:rsidRPr="00261B7A">
              <w:rPr>
                <w:rFonts w:cs="Calibri"/>
              </w:rPr>
              <w:t>New Zealand-specific IEF 2021 value</w:t>
            </w:r>
          </w:p>
        </w:tc>
        <w:tc>
          <w:tcPr>
            <w:tcW w:w="1096" w:type="pct"/>
          </w:tcPr>
          <w:p w14:paraId="343A993C" w14:textId="77777777" w:rsidR="00994F64" w:rsidRPr="00261B7A" w:rsidRDefault="00994F64" w:rsidP="00501B0F">
            <w:pPr>
              <w:pStyle w:val="TableText"/>
              <w:spacing w:before="50" w:after="50"/>
              <w:rPr>
                <w:rFonts w:cs="Calibri"/>
              </w:rPr>
            </w:pPr>
            <w:r w:rsidRPr="00261B7A">
              <w:rPr>
                <w:rFonts w:cs="Calibri"/>
              </w:rPr>
              <w:t>0.1</w:t>
            </w:r>
          </w:p>
        </w:tc>
        <w:tc>
          <w:tcPr>
            <w:tcW w:w="1097" w:type="pct"/>
          </w:tcPr>
          <w:p w14:paraId="47155D93" w14:textId="77777777" w:rsidR="00994F64" w:rsidRPr="00261B7A" w:rsidRDefault="00994F64" w:rsidP="00501B0F">
            <w:pPr>
              <w:pStyle w:val="TableText"/>
              <w:spacing w:before="50" w:after="50"/>
              <w:rPr>
                <w:rFonts w:cs="Calibri"/>
              </w:rPr>
            </w:pPr>
            <w:r w:rsidRPr="00261B7A">
              <w:rPr>
                <w:rFonts w:cs="Calibri"/>
              </w:rPr>
              <w:t>0.1</w:t>
            </w:r>
          </w:p>
        </w:tc>
        <w:tc>
          <w:tcPr>
            <w:tcW w:w="1038" w:type="pct"/>
            <w:gridSpan w:val="2"/>
          </w:tcPr>
          <w:p w14:paraId="19B3B4E2" w14:textId="77777777" w:rsidR="00994F64" w:rsidRPr="00261B7A" w:rsidRDefault="00994F64" w:rsidP="00501B0F">
            <w:pPr>
              <w:pStyle w:val="TableText"/>
              <w:spacing w:before="50" w:after="0"/>
              <w:rPr>
                <w:rFonts w:cs="Calibri"/>
              </w:rPr>
            </w:pPr>
            <w:r w:rsidRPr="00261B7A">
              <w:rPr>
                <w:rFonts w:cs="Calibri"/>
              </w:rPr>
              <w:t>0.10 (Cropland)</w:t>
            </w:r>
          </w:p>
          <w:p w14:paraId="1E2F0BD5" w14:textId="77777777" w:rsidR="00994F64" w:rsidRPr="00261B7A" w:rsidRDefault="00994F64" w:rsidP="00501B0F">
            <w:pPr>
              <w:pStyle w:val="TableText"/>
              <w:spacing w:before="50" w:after="0"/>
              <w:rPr>
                <w:rFonts w:cs="Calibri"/>
              </w:rPr>
            </w:pPr>
            <w:r w:rsidRPr="00261B7A">
              <w:rPr>
                <w:rFonts w:cs="Calibri"/>
              </w:rPr>
              <w:t>0.08 (Grassland)</w:t>
            </w:r>
          </w:p>
          <w:p w14:paraId="0DE5BA08" w14:textId="77777777" w:rsidR="00994F64" w:rsidRPr="00261B7A" w:rsidRDefault="00994F64" w:rsidP="00501B0F">
            <w:pPr>
              <w:pStyle w:val="TableText"/>
              <w:spacing w:before="50" w:after="0"/>
              <w:rPr>
                <w:rFonts w:cs="Calibri"/>
              </w:rPr>
            </w:pPr>
            <w:r w:rsidRPr="00261B7A">
              <w:rPr>
                <w:rFonts w:cs="Calibri"/>
              </w:rPr>
              <w:t>0.082 (N Fert)</w:t>
            </w:r>
          </w:p>
        </w:tc>
      </w:tr>
    </w:tbl>
    <w:p w14:paraId="4978B3B6" w14:textId="77777777" w:rsidR="00994F64" w:rsidRPr="00261B7A" w:rsidRDefault="00994F64" w:rsidP="00994F64">
      <w:pPr>
        <w:pStyle w:val="Source"/>
      </w:pPr>
      <w:r w:rsidRPr="00261B7A">
        <w:rPr>
          <w:b/>
          <w:bCs/>
        </w:rPr>
        <w:t>Source:</w:t>
      </w:r>
      <w:r w:rsidRPr="00261B7A">
        <w:t xml:space="preserve"> </w:t>
      </w:r>
      <w:r w:rsidRPr="00261B7A">
        <w:tab/>
        <w:t>UNFCCC (https://unfccc.int/documents/195780)</w:t>
      </w:r>
    </w:p>
    <w:p w14:paraId="3693351E" w14:textId="77777777" w:rsidR="00994F64" w:rsidRPr="00261B7A" w:rsidRDefault="00994F64" w:rsidP="00994F64">
      <w:pPr>
        <w:pStyle w:val="Heading3"/>
      </w:pPr>
      <w:bookmarkStart w:id="1206" w:name="_Toc139253937"/>
      <w:bookmarkStart w:id="1207" w:name="_Toc32570671"/>
      <w:r w:rsidRPr="00261B7A">
        <w:t>5.5.5</w:t>
      </w:r>
      <w:r w:rsidRPr="00261B7A">
        <w:tab/>
        <w:t>Source-specific recalculations</w:t>
      </w:r>
      <w:bookmarkEnd w:id="1206"/>
      <w:bookmarkEnd w:id="1207"/>
    </w:p>
    <w:p w14:paraId="48699E3C" w14:textId="77777777" w:rsidR="00994F64" w:rsidRPr="00261B7A" w:rsidRDefault="00994F64" w:rsidP="00994F64">
      <w:pPr>
        <w:pStyle w:val="BodyText"/>
      </w:pPr>
      <w:bookmarkStart w:id="1208" w:name="_Toc139253938"/>
      <w:r w:rsidRPr="00261B7A">
        <w:t xml:space="preserve">Emissions estimates in the </w:t>
      </w:r>
      <w:r w:rsidRPr="00261B7A">
        <w:rPr>
          <w:i/>
          <w:iCs/>
        </w:rPr>
        <w:t>Agricultural soils</w:t>
      </w:r>
      <w:r w:rsidRPr="00261B7A">
        <w:t xml:space="preserve"> category reported in the 2023 submission have been affected by a methodological improvement to the Frac</w:t>
      </w:r>
      <w:r w:rsidRPr="00261B7A">
        <w:rPr>
          <w:vertAlign w:val="subscript"/>
        </w:rPr>
        <w:t>LEACH</w:t>
      </w:r>
      <w:r w:rsidRPr="00261B7A">
        <w:t xml:space="preserve"> parameter used to calculate indirect N</w:t>
      </w:r>
      <w:r w:rsidRPr="00261B7A">
        <w:rPr>
          <w:vertAlign w:val="subscript"/>
        </w:rPr>
        <w:t>2</w:t>
      </w:r>
      <w:r w:rsidRPr="00261B7A">
        <w:t xml:space="preserve">O emissions from nitrogen applied to agricultural soils. </w:t>
      </w:r>
    </w:p>
    <w:p w14:paraId="16E83193" w14:textId="77777777" w:rsidR="00994F64" w:rsidRPr="00261B7A" w:rsidRDefault="00994F64" w:rsidP="00994F64">
      <w:pPr>
        <w:pStyle w:val="Heading5"/>
      </w:pPr>
      <w:r w:rsidRPr="00261B7A">
        <w:t>Update to the Frac</w:t>
      </w:r>
      <w:r w:rsidRPr="00261B7A">
        <w:rPr>
          <w:vertAlign w:val="subscript"/>
        </w:rPr>
        <w:t>LEACH</w:t>
      </w:r>
      <w:r w:rsidRPr="00261B7A">
        <w:t xml:space="preserve"> parameter</w:t>
      </w:r>
    </w:p>
    <w:p w14:paraId="64C29CB5" w14:textId="1F7DE9EC" w:rsidR="00994F64" w:rsidRPr="00261B7A" w:rsidRDefault="00994F64" w:rsidP="00994F64">
      <w:pPr>
        <w:pStyle w:val="BodyText"/>
      </w:pPr>
      <w:r w:rsidRPr="00261B7A">
        <w:t>Previously, a uniform Frac</w:t>
      </w:r>
      <w:r w:rsidRPr="00261B7A">
        <w:rPr>
          <w:vertAlign w:val="subscript"/>
        </w:rPr>
        <w:t>LEACH</w:t>
      </w:r>
      <w:r w:rsidRPr="00261B7A">
        <w:t xml:space="preserve"> value of 0.07 was used for all nitrogen applied to agricultural soils throughout New Zealand. In the 2022 inventory submission, research by Welten et al. (2021) was used to successfully disaggregate </w:t>
      </w:r>
      <w:bookmarkStart w:id="1209" w:name="_Hlk91059730"/>
      <w:r w:rsidRPr="00261B7A">
        <w:t>the Frac</w:t>
      </w:r>
      <w:r w:rsidRPr="00261B7A">
        <w:rPr>
          <w:vertAlign w:val="subscript"/>
        </w:rPr>
        <w:t xml:space="preserve">LEACH </w:t>
      </w:r>
      <w:r w:rsidRPr="00261B7A">
        <w:t>values into new values for nitrogen applied to cropping and grassland systems. This led to the current Frac</w:t>
      </w:r>
      <w:r w:rsidRPr="00261B7A">
        <w:rPr>
          <w:vertAlign w:val="subscript"/>
        </w:rPr>
        <w:t>LEACH</w:t>
      </w:r>
      <w:r w:rsidRPr="00261B7A">
        <w:t xml:space="preserve"> value of 0.10 for cropping systems, while the value of 0.07 was retained for grassland systems. While an updated Frac</w:t>
      </w:r>
      <w:r w:rsidRPr="00261B7A">
        <w:rPr>
          <w:vertAlign w:val="subscript"/>
        </w:rPr>
        <w:t>LEACH</w:t>
      </w:r>
      <w:r w:rsidRPr="00261B7A">
        <w:t xml:space="preserve"> value of 0.08 was recommended in the research for grassland systems, the</w:t>
      </w:r>
      <w:r w:rsidR="00E335F6" w:rsidRPr="00261B7A">
        <w:t> </w:t>
      </w:r>
      <w:r w:rsidRPr="00261B7A">
        <w:t>Agriculture Inventory Advisory Panel, which scrutinises the suitability and robustness of inventory improvements, required further justification that the pasture quality values used in</w:t>
      </w:r>
      <w:r w:rsidR="00E335F6" w:rsidRPr="00261B7A">
        <w:t> </w:t>
      </w:r>
      <w:r w:rsidRPr="00261B7A">
        <w:t>the modelling were consistent with those used in the Agriculture inventory.</w:t>
      </w:r>
    </w:p>
    <w:p w14:paraId="1902B076" w14:textId="77777777" w:rsidR="00994F64" w:rsidRPr="00261B7A" w:rsidRDefault="00994F64" w:rsidP="00994F64">
      <w:pPr>
        <w:pStyle w:val="BodyText"/>
      </w:pPr>
      <w:r w:rsidRPr="00261B7A">
        <w:t>Since the 2022 inventory submission, it was verified by Welten et al. (2021) that, while there were minor inconsistencies in pasture quality values between those used in OVERSEER</w:t>
      </w:r>
      <w:r w:rsidRPr="00261B7A">
        <w:rPr>
          <w:vertAlign w:val="superscript"/>
        </w:rPr>
        <w:t>®</w:t>
      </w:r>
      <w:r w:rsidRPr="00261B7A">
        <w:t xml:space="preserve"> and the Agriculture inventory model, they had no impact on the research findings and the recommendation still stands. As such, the recommended Frac</w:t>
      </w:r>
      <w:r w:rsidRPr="00261B7A">
        <w:rPr>
          <w:vertAlign w:val="subscript"/>
        </w:rPr>
        <w:t>LEACH</w:t>
      </w:r>
      <w:r w:rsidRPr="00261B7A">
        <w:t xml:space="preserve"> value of 0.08 for nitrogen applied to grassland has now been implemented.</w:t>
      </w:r>
    </w:p>
    <w:p w14:paraId="17385724" w14:textId="77777777" w:rsidR="00994F64" w:rsidRPr="00261B7A" w:rsidRDefault="00994F64" w:rsidP="00994F64">
      <w:pPr>
        <w:pStyle w:val="BodyText"/>
      </w:pPr>
      <w:r w:rsidRPr="00261B7A">
        <w:t>While other sources of nitrogen could be defined as being applied exclusively to cropping or grassland systems, synthetic nitrogen fertiliser is applied to both. National data from Stats NZ (2022) indicated that around 90 per cent of all synthetic nitrogen fertiliser was applied to grassland systems, with the remaining 10 per cent applied to cropland. As the Agriculture inventory model does not currently distinguish the type of agricultural land that synthetic nitrogen fertiliser is applied to, a weighted average was used. Subsequently, based on the 90:10 split, a Frac</w:t>
      </w:r>
      <w:r w:rsidRPr="00261B7A">
        <w:rPr>
          <w:vertAlign w:val="subscript"/>
        </w:rPr>
        <w:t>LEACH</w:t>
      </w:r>
      <w:r w:rsidRPr="00261B7A">
        <w:t xml:space="preserve"> value of 0.082 has been implemented for nitrogen applied via synthetic nitrogen fertilisers.</w:t>
      </w:r>
    </w:p>
    <w:bookmarkEnd w:id="1209"/>
    <w:p w14:paraId="6773C35D" w14:textId="27983D43" w:rsidR="00994F64" w:rsidRPr="00261B7A" w:rsidRDefault="00994F64" w:rsidP="00994F64">
      <w:pPr>
        <w:pStyle w:val="BodyText"/>
        <w:spacing w:after="100"/>
      </w:pPr>
      <w:r w:rsidRPr="00261B7A">
        <w:rPr>
          <w:rFonts w:cs="Calibri"/>
        </w:rPr>
        <w:t xml:space="preserve">The implementation of this improvement caused estimated emissions from </w:t>
      </w:r>
      <w:r w:rsidRPr="00261B7A">
        <w:rPr>
          <w:rFonts w:cs="Calibri"/>
          <w:i/>
          <w:iCs/>
        </w:rPr>
        <w:t>Agricultural soils</w:t>
      </w:r>
      <w:r w:rsidRPr="00261B7A">
        <w:rPr>
          <w:rFonts w:cs="Calibri"/>
        </w:rPr>
        <w:t xml:space="preserve"> to</w:t>
      </w:r>
      <w:r w:rsidR="00E335F6" w:rsidRPr="00261B7A">
        <w:rPr>
          <w:rFonts w:cs="Calibri"/>
        </w:rPr>
        <w:t> </w:t>
      </w:r>
      <w:r w:rsidRPr="00261B7A">
        <w:rPr>
          <w:rFonts w:cs="Calibri"/>
        </w:rPr>
        <w:t>increase by 1.1 per cent (55.0 kt CO</w:t>
      </w:r>
      <w:r w:rsidRPr="00261B7A">
        <w:rPr>
          <w:rFonts w:cs="Calibri"/>
          <w:vertAlign w:val="subscript"/>
        </w:rPr>
        <w:t>2</w:t>
      </w:r>
      <w:r w:rsidRPr="00261B7A">
        <w:rPr>
          <w:rFonts w:cs="Calibri"/>
        </w:rPr>
        <w:t>-e) in 1990 and 0.98 per cent (73.1 kt CO</w:t>
      </w:r>
      <w:r w:rsidRPr="00261B7A">
        <w:rPr>
          <w:rFonts w:cs="Calibri"/>
          <w:vertAlign w:val="subscript"/>
        </w:rPr>
        <w:t>2</w:t>
      </w:r>
      <w:r w:rsidRPr="00261B7A">
        <w:rPr>
          <w:rFonts w:cs="Calibri"/>
        </w:rPr>
        <w:t xml:space="preserve">-e) in 2020 (see table 5.5.14). </w:t>
      </w:r>
    </w:p>
    <w:p w14:paraId="5F1AA4F8" w14:textId="77777777" w:rsidR="00994F64" w:rsidRPr="00261B7A" w:rsidRDefault="00994F64" w:rsidP="00994F64">
      <w:pPr>
        <w:pStyle w:val="Table"/>
        <w:rPr>
          <w:rFonts w:cs="Calibri"/>
        </w:rPr>
      </w:pPr>
      <w:bookmarkStart w:id="1210" w:name="_Toc95574093"/>
      <w:bookmarkStart w:id="1211" w:name="_Toc127458280"/>
      <w:bookmarkStart w:id="1212" w:name="_Toc131591376"/>
      <w:r w:rsidRPr="00261B7A">
        <w:rPr>
          <w:rFonts w:cs="Calibri"/>
        </w:rPr>
        <w:t>Table 5.5.14</w:t>
      </w:r>
      <w:r w:rsidRPr="00261B7A">
        <w:rPr>
          <w:rFonts w:cs="Calibri"/>
        </w:rPr>
        <w:tab/>
      </w:r>
      <w:bookmarkEnd w:id="1210"/>
      <w:r w:rsidRPr="00261B7A">
        <w:rPr>
          <w:rFonts w:cs="Calibri"/>
        </w:rPr>
        <w:t>Comparison of the previous Frac</w:t>
      </w:r>
      <w:r w:rsidRPr="00261B7A">
        <w:rPr>
          <w:rFonts w:cs="Calibri"/>
          <w:vertAlign w:val="subscript"/>
        </w:rPr>
        <w:t>LEACH</w:t>
      </w:r>
      <w:r w:rsidRPr="00261B7A">
        <w:rPr>
          <w:rFonts w:cs="Calibri"/>
        </w:rPr>
        <w:t xml:space="preserve"> values and the new Frac</w:t>
      </w:r>
      <w:r w:rsidRPr="00261B7A">
        <w:rPr>
          <w:rFonts w:cs="Calibri"/>
          <w:vertAlign w:val="subscript"/>
        </w:rPr>
        <w:t>LEACH</w:t>
      </w:r>
      <w:r w:rsidRPr="00261B7A">
        <w:rPr>
          <w:rFonts w:cs="Calibri"/>
        </w:rPr>
        <w:t xml:space="preserve"> values on emissions from </w:t>
      </w:r>
      <w:r w:rsidRPr="00261B7A">
        <w:rPr>
          <w:rFonts w:cs="Calibri"/>
          <w:i/>
          <w:iCs/>
        </w:rPr>
        <w:t>Agricultural soils</w:t>
      </w:r>
      <w:bookmarkEnd w:id="1211"/>
      <w:bookmarkEnd w:id="1212"/>
    </w:p>
    <w:tbl>
      <w:tblPr>
        <w:tblW w:w="8505"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1371"/>
        <w:gridCol w:w="2454"/>
        <w:gridCol w:w="799"/>
        <w:gridCol w:w="799"/>
        <w:gridCol w:w="1541"/>
        <w:gridCol w:w="1541"/>
      </w:tblGrid>
      <w:tr w:rsidR="00994F64" w:rsidRPr="00261B7A" w14:paraId="503DE812" w14:textId="77777777" w:rsidTr="00501B0F">
        <w:trPr>
          <w:tblHeader/>
        </w:trPr>
        <w:tc>
          <w:tcPr>
            <w:tcW w:w="1371" w:type="dxa"/>
            <w:tcBorders>
              <w:top w:val="single" w:sz="4" w:space="0" w:color="1B556B" w:themeColor="text2"/>
              <w:bottom w:val="single" w:sz="4" w:space="0" w:color="1B556B" w:themeColor="text2"/>
            </w:tcBorders>
            <w:shd w:val="clear" w:color="auto" w:fill="1B556B"/>
            <w:vAlign w:val="bottom"/>
          </w:tcPr>
          <w:p w14:paraId="1C37A44C" w14:textId="77777777" w:rsidR="00994F64" w:rsidRPr="00261B7A" w:rsidRDefault="00994F64" w:rsidP="00501B0F">
            <w:pPr>
              <w:pStyle w:val="TableTextBold"/>
              <w:spacing w:before="40" w:after="40"/>
              <w:rPr>
                <w:noProof w:val="0"/>
                <w:color w:val="FFFFFF" w:themeColor="background1"/>
                <w:szCs w:val="16"/>
              </w:rPr>
            </w:pPr>
            <w:r w:rsidRPr="00261B7A">
              <w:rPr>
                <w:noProof w:val="0"/>
                <w:color w:val="FFFFFF" w:themeColor="background1"/>
                <w:szCs w:val="16"/>
              </w:rPr>
              <w:t xml:space="preserve">Emissions </w:t>
            </w:r>
            <w:r w:rsidRPr="00261B7A">
              <w:rPr>
                <w:noProof w:val="0"/>
                <w:color w:val="FFFFFF" w:themeColor="background1"/>
                <w:szCs w:val="16"/>
              </w:rPr>
              <w:br/>
              <w:t>(kt CO</w:t>
            </w:r>
            <w:r w:rsidRPr="00261B7A">
              <w:rPr>
                <w:noProof w:val="0"/>
                <w:color w:val="FFFFFF" w:themeColor="background1"/>
                <w:szCs w:val="16"/>
                <w:vertAlign w:val="subscript"/>
              </w:rPr>
              <w:t>2</w:t>
            </w:r>
            <w:r w:rsidRPr="00261B7A">
              <w:rPr>
                <w:noProof w:val="0"/>
                <w:color w:val="FFFFFF" w:themeColor="background1"/>
                <w:szCs w:val="16"/>
              </w:rPr>
              <w:t>-e)</w:t>
            </w:r>
          </w:p>
        </w:tc>
        <w:tc>
          <w:tcPr>
            <w:tcW w:w="2454" w:type="dxa"/>
            <w:tcBorders>
              <w:top w:val="single" w:sz="4" w:space="0" w:color="1B556B" w:themeColor="text2"/>
              <w:bottom w:val="single" w:sz="4" w:space="0" w:color="1B556B" w:themeColor="text2"/>
            </w:tcBorders>
            <w:shd w:val="clear" w:color="auto" w:fill="1B556B"/>
            <w:vAlign w:val="bottom"/>
          </w:tcPr>
          <w:p w14:paraId="1DA6C829" w14:textId="77777777" w:rsidR="00994F64" w:rsidRPr="00261B7A" w:rsidRDefault="00994F64" w:rsidP="00501B0F">
            <w:pPr>
              <w:pStyle w:val="TableTextBold"/>
              <w:spacing w:before="40" w:after="40"/>
              <w:rPr>
                <w:noProof w:val="0"/>
                <w:color w:val="FFFFFF" w:themeColor="background1"/>
                <w:szCs w:val="16"/>
              </w:rPr>
            </w:pPr>
          </w:p>
        </w:tc>
        <w:tc>
          <w:tcPr>
            <w:tcW w:w="799" w:type="dxa"/>
            <w:tcBorders>
              <w:top w:val="single" w:sz="4" w:space="0" w:color="1B556B" w:themeColor="text2"/>
              <w:bottom w:val="single" w:sz="4" w:space="0" w:color="1B556B" w:themeColor="text2"/>
            </w:tcBorders>
            <w:shd w:val="clear" w:color="auto" w:fill="1B556B"/>
            <w:vAlign w:val="bottom"/>
          </w:tcPr>
          <w:p w14:paraId="22598A7D" w14:textId="77777777" w:rsidR="00994F64" w:rsidRPr="00261B7A" w:rsidRDefault="00994F64" w:rsidP="00501B0F">
            <w:pPr>
              <w:pStyle w:val="TableTextBold"/>
              <w:spacing w:before="40" w:after="40"/>
              <w:jc w:val="center"/>
              <w:rPr>
                <w:noProof w:val="0"/>
                <w:color w:val="FFFFFF" w:themeColor="background1"/>
                <w:szCs w:val="16"/>
              </w:rPr>
            </w:pPr>
            <w:r w:rsidRPr="00261B7A">
              <w:rPr>
                <w:noProof w:val="0"/>
                <w:color w:val="FFFFFF" w:themeColor="background1"/>
                <w:szCs w:val="16"/>
              </w:rPr>
              <w:t>1990</w:t>
            </w:r>
          </w:p>
        </w:tc>
        <w:tc>
          <w:tcPr>
            <w:tcW w:w="799" w:type="dxa"/>
            <w:tcBorders>
              <w:top w:val="single" w:sz="4" w:space="0" w:color="1B556B" w:themeColor="text2"/>
              <w:bottom w:val="single" w:sz="4" w:space="0" w:color="1B556B" w:themeColor="text2"/>
            </w:tcBorders>
            <w:shd w:val="clear" w:color="auto" w:fill="1B556B"/>
            <w:vAlign w:val="bottom"/>
          </w:tcPr>
          <w:p w14:paraId="60229CB9" w14:textId="77777777" w:rsidR="00994F64" w:rsidRPr="00261B7A" w:rsidRDefault="00994F64" w:rsidP="00501B0F">
            <w:pPr>
              <w:pStyle w:val="TableTextBold"/>
              <w:spacing w:before="40" w:after="40"/>
              <w:jc w:val="center"/>
              <w:rPr>
                <w:noProof w:val="0"/>
                <w:color w:val="FFFFFF" w:themeColor="background1"/>
                <w:szCs w:val="16"/>
              </w:rPr>
            </w:pPr>
            <w:r w:rsidRPr="00261B7A">
              <w:rPr>
                <w:noProof w:val="0"/>
                <w:color w:val="FFFFFF" w:themeColor="background1"/>
                <w:szCs w:val="16"/>
              </w:rPr>
              <w:t>2020</w:t>
            </w:r>
          </w:p>
        </w:tc>
        <w:tc>
          <w:tcPr>
            <w:tcW w:w="1541" w:type="dxa"/>
            <w:tcBorders>
              <w:top w:val="single" w:sz="4" w:space="0" w:color="1B556B" w:themeColor="text2"/>
              <w:bottom w:val="single" w:sz="4" w:space="0" w:color="1B556B" w:themeColor="text2"/>
            </w:tcBorders>
            <w:shd w:val="clear" w:color="auto" w:fill="1B556B"/>
            <w:vAlign w:val="bottom"/>
          </w:tcPr>
          <w:p w14:paraId="2AE351B4" w14:textId="77777777" w:rsidR="00994F64" w:rsidRPr="00261B7A" w:rsidRDefault="00994F64" w:rsidP="00501B0F">
            <w:pPr>
              <w:pStyle w:val="TableTextBold"/>
              <w:spacing w:before="40" w:after="40"/>
              <w:jc w:val="center"/>
              <w:rPr>
                <w:noProof w:val="0"/>
                <w:color w:val="FFFFFF" w:themeColor="background1"/>
                <w:szCs w:val="16"/>
              </w:rPr>
            </w:pPr>
            <w:r w:rsidRPr="00261B7A">
              <w:rPr>
                <w:noProof w:val="0"/>
                <w:color w:val="FFFFFF" w:themeColor="background1"/>
                <w:szCs w:val="16"/>
              </w:rPr>
              <w:t xml:space="preserve">Change in emission outputs between 1990 and 2020 </w:t>
            </w:r>
            <w:r w:rsidRPr="00261B7A">
              <w:rPr>
                <w:noProof w:val="0"/>
                <w:color w:val="FFFFFF" w:themeColor="background1"/>
                <w:szCs w:val="16"/>
              </w:rPr>
              <w:br/>
              <w:t>(kt CO</w:t>
            </w:r>
            <w:r w:rsidRPr="00261B7A">
              <w:rPr>
                <w:noProof w:val="0"/>
                <w:color w:val="FFFFFF" w:themeColor="background1"/>
                <w:szCs w:val="16"/>
                <w:vertAlign w:val="subscript"/>
              </w:rPr>
              <w:t>2</w:t>
            </w:r>
            <w:r w:rsidRPr="00261B7A">
              <w:rPr>
                <w:noProof w:val="0"/>
                <w:color w:val="FFFFFF" w:themeColor="background1"/>
                <w:szCs w:val="16"/>
              </w:rPr>
              <w:t xml:space="preserve">-e) </w:t>
            </w:r>
          </w:p>
        </w:tc>
        <w:tc>
          <w:tcPr>
            <w:tcW w:w="1541" w:type="dxa"/>
            <w:tcBorders>
              <w:top w:val="single" w:sz="4" w:space="0" w:color="1B556B" w:themeColor="text2"/>
              <w:bottom w:val="single" w:sz="4" w:space="0" w:color="1B556B" w:themeColor="text2"/>
            </w:tcBorders>
            <w:shd w:val="clear" w:color="auto" w:fill="1B556B"/>
            <w:vAlign w:val="bottom"/>
          </w:tcPr>
          <w:p w14:paraId="6DC240D4" w14:textId="77777777" w:rsidR="00994F64" w:rsidRPr="00261B7A" w:rsidRDefault="00994F64" w:rsidP="00501B0F">
            <w:pPr>
              <w:pStyle w:val="TableTextBold"/>
              <w:spacing w:before="40" w:after="40"/>
              <w:jc w:val="center"/>
              <w:rPr>
                <w:noProof w:val="0"/>
                <w:color w:val="FFFFFF" w:themeColor="background1"/>
                <w:szCs w:val="16"/>
              </w:rPr>
            </w:pPr>
            <w:r w:rsidRPr="00261B7A">
              <w:rPr>
                <w:noProof w:val="0"/>
                <w:color w:val="FFFFFF" w:themeColor="background1"/>
                <w:szCs w:val="16"/>
              </w:rPr>
              <w:t xml:space="preserve">Percentage change in emission outputs between </w:t>
            </w:r>
            <w:r w:rsidRPr="00261B7A">
              <w:rPr>
                <w:noProof w:val="0"/>
                <w:color w:val="FFFFFF" w:themeColor="background1"/>
                <w:szCs w:val="16"/>
              </w:rPr>
              <w:br/>
              <w:t>1990 and 2020</w:t>
            </w:r>
          </w:p>
        </w:tc>
      </w:tr>
      <w:tr w:rsidR="00994F64" w:rsidRPr="00261B7A" w14:paraId="1B3C4EF6" w14:textId="77777777" w:rsidTr="00501B0F">
        <w:tc>
          <w:tcPr>
            <w:tcW w:w="1371" w:type="dxa"/>
            <w:vMerge w:val="restart"/>
            <w:tcBorders>
              <w:top w:val="single" w:sz="4" w:space="0" w:color="1B556B" w:themeColor="text2"/>
            </w:tcBorders>
            <w:vAlign w:val="center"/>
          </w:tcPr>
          <w:p w14:paraId="71FCD978" w14:textId="77777777" w:rsidR="00994F64" w:rsidRPr="00261B7A" w:rsidRDefault="00994F64" w:rsidP="00501B0F">
            <w:pPr>
              <w:pStyle w:val="TableText"/>
              <w:spacing w:before="40" w:after="40"/>
              <w:rPr>
                <w:rFonts w:cs="Calibri"/>
                <w:szCs w:val="16"/>
              </w:rPr>
            </w:pPr>
            <w:r w:rsidRPr="00261B7A">
              <w:rPr>
                <w:rFonts w:cs="Calibri"/>
                <w:szCs w:val="16"/>
              </w:rPr>
              <w:t xml:space="preserve">Total emissions from </w:t>
            </w:r>
            <w:r w:rsidRPr="00261B7A">
              <w:rPr>
                <w:i/>
              </w:rPr>
              <w:t xml:space="preserve">Agricultural soils </w:t>
            </w:r>
            <w:r w:rsidRPr="00261B7A">
              <w:rPr>
                <w:rFonts w:cs="Calibri"/>
                <w:szCs w:val="16"/>
              </w:rPr>
              <w:t>(kt CO</w:t>
            </w:r>
            <w:r w:rsidRPr="00261B7A">
              <w:rPr>
                <w:rFonts w:cs="Calibri"/>
                <w:szCs w:val="16"/>
                <w:vertAlign w:val="subscript"/>
              </w:rPr>
              <w:t>2</w:t>
            </w:r>
            <w:r w:rsidRPr="00261B7A">
              <w:rPr>
                <w:rFonts w:cs="Calibri"/>
                <w:szCs w:val="16"/>
              </w:rPr>
              <w:t>-e)</w:t>
            </w:r>
          </w:p>
        </w:tc>
        <w:tc>
          <w:tcPr>
            <w:tcW w:w="2454" w:type="dxa"/>
            <w:tcBorders>
              <w:top w:val="single" w:sz="4" w:space="0" w:color="1B556B" w:themeColor="text2"/>
              <w:left w:val="nil"/>
              <w:bottom w:val="single" w:sz="4" w:space="0" w:color="1B556B" w:themeColor="text2"/>
              <w:right w:val="nil"/>
            </w:tcBorders>
            <w:shd w:val="clear" w:color="auto" w:fill="auto"/>
            <w:vAlign w:val="center"/>
          </w:tcPr>
          <w:p w14:paraId="0C2FD61F" w14:textId="77777777" w:rsidR="00994F64" w:rsidRPr="00261B7A" w:rsidRDefault="00994F64" w:rsidP="00501B0F">
            <w:pPr>
              <w:pStyle w:val="TableText"/>
              <w:spacing w:before="40" w:after="40"/>
              <w:rPr>
                <w:rFonts w:asciiTheme="minorHAnsi" w:hAnsiTheme="minorHAnsi" w:cstheme="minorHAnsi"/>
                <w:szCs w:val="16"/>
              </w:rPr>
            </w:pPr>
            <w:r w:rsidRPr="00261B7A">
              <w:rPr>
                <w:rFonts w:asciiTheme="minorHAnsi" w:hAnsiTheme="minorHAnsi" w:cstheme="minorHAnsi"/>
                <w:szCs w:val="16"/>
              </w:rPr>
              <w:t>2023 (1990–2021) emissions estimate using previous Frac</w:t>
            </w:r>
            <w:r w:rsidRPr="00261B7A">
              <w:rPr>
                <w:rFonts w:asciiTheme="minorHAnsi" w:hAnsiTheme="minorHAnsi" w:cstheme="minorHAnsi"/>
                <w:szCs w:val="16"/>
                <w:vertAlign w:val="subscript"/>
              </w:rPr>
              <w:t>LEACH</w:t>
            </w:r>
            <w:r w:rsidRPr="00261B7A">
              <w:rPr>
                <w:rFonts w:asciiTheme="minorHAnsi" w:hAnsiTheme="minorHAnsi" w:cstheme="minorHAnsi"/>
                <w:szCs w:val="16"/>
              </w:rPr>
              <w:t xml:space="preserve"> values</w:t>
            </w:r>
          </w:p>
        </w:tc>
        <w:tc>
          <w:tcPr>
            <w:tcW w:w="799" w:type="dxa"/>
            <w:tcBorders>
              <w:top w:val="single" w:sz="4" w:space="0" w:color="1B556B" w:themeColor="text2"/>
              <w:left w:val="nil"/>
              <w:bottom w:val="single" w:sz="4" w:space="0" w:color="1B556B" w:themeColor="text2"/>
              <w:right w:val="nil"/>
            </w:tcBorders>
            <w:shd w:val="clear" w:color="auto" w:fill="auto"/>
            <w:vAlign w:val="center"/>
          </w:tcPr>
          <w:p w14:paraId="22360AC0" w14:textId="77777777" w:rsidR="00994F64" w:rsidRPr="00261B7A" w:rsidRDefault="00994F64" w:rsidP="00501B0F">
            <w:pPr>
              <w:pStyle w:val="TableText"/>
              <w:spacing w:before="40" w:after="40"/>
              <w:jc w:val="center"/>
              <w:rPr>
                <w:rFonts w:asciiTheme="minorHAnsi" w:hAnsiTheme="minorHAnsi" w:cstheme="minorHAnsi"/>
                <w:szCs w:val="16"/>
              </w:rPr>
            </w:pPr>
            <w:r w:rsidRPr="00261B7A">
              <w:rPr>
                <w:rFonts w:asciiTheme="minorHAnsi" w:hAnsiTheme="minorHAnsi" w:cstheme="minorHAnsi"/>
                <w:szCs w:val="16"/>
              </w:rPr>
              <w:t>5,161.8</w:t>
            </w:r>
          </w:p>
        </w:tc>
        <w:tc>
          <w:tcPr>
            <w:tcW w:w="799" w:type="dxa"/>
            <w:tcBorders>
              <w:top w:val="single" w:sz="4" w:space="0" w:color="1B556B" w:themeColor="text2"/>
              <w:left w:val="nil"/>
              <w:bottom w:val="single" w:sz="4" w:space="0" w:color="1B556B" w:themeColor="text2"/>
              <w:right w:val="nil"/>
            </w:tcBorders>
            <w:shd w:val="clear" w:color="auto" w:fill="auto"/>
            <w:vAlign w:val="center"/>
          </w:tcPr>
          <w:p w14:paraId="0E473707" w14:textId="77777777" w:rsidR="00994F64" w:rsidRPr="00261B7A" w:rsidRDefault="00994F64" w:rsidP="00501B0F">
            <w:pPr>
              <w:pStyle w:val="TableText"/>
              <w:spacing w:before="40" w:after="40"/>
              <w:jc w:val="center"/>
              <w:rPr>
                <w:rFonts w:asciiTheme="minorHAnsi" w:hAnsiTheme="minorHAnsi" w:cstheme="minorHAnsi"/>
                <w:szCs w:val="16"/>
              </w:rPr>
            </w:pPr>
            <w:r w:rsidRPr="00261B7A">
              <w:rPr>
                <w:rFonts w:asciiTheme="minorHAnsi" w:hAnsiTheme="minorHAnsi" w:cstheme="minorHAnsi"/>
                <w:szCs w:val="16"/>
              </w:rPr>
              <w:t>7,469.9</w:t>
            </w:r>
          </w:p>
        </w:tc>
        <w:tc>
          <w:tcPr>
            <w:tcW w:w="1541" w:type="dxa"/>
            <w:tcBorders>
              <w:top w:val="single" w:sz="4" w:space="0" w:color="1B556B" w:themeColor="text2"/>
              <w:left w:val="nil"/>
              <w:bottom w:val="single" w:sz="4" w:space="0" w:color="1B556B" w:themeColor="text2"/>
              <w:right w:val="nil"/>
            </w:tcBorders>
            <w:shd w:val="clear" w:color="auto" w:fill="auto"/>
            <w:vAlign w:val="center"/>
          </w:tcPr>
          <w:p w14:paraId="5D16C1C3" w14:textId="77777777" w:rsidR="00994F64" w:rsidRPr="00261B7A" w:rsidRDefault="00994F64" w:rsidP="00501B0F">
            <w:pPr>
              <w:pStyle w:val="TableText"/>
              <w:spacing w:before="40" w:after="40"/>
              <w:jc w:val="center"/>
              <w:rPr>
                <w:rFonts w:asciiTheme="minorHAnsi" w:hAnsiTheme="minorHAnsi" w:cstheme="minorHAnsi"/>
                <w:szCs w:val="16"/>
              </w:rPr>
            </w:pPr>
            <w:r w:rsidRPr="00261B7A">
              <w:rPr>
                <w:rFonts w:asciiTheme="minorHAnsi" w:hAnsiTheme="minorHAnsi" w:cstheme="minorHAnsi"/>
                <w:szCs w:val="16"/>
              </w:rPr>
              <w:t>2,308.1</w:t>
            </w:r>
          </w:p>
        </w:tc>
        <w:tc>
          <w:tcPr>
            <w:tcW w:w="1541" w:type="dxa"/>
            <w:tcBorders>
              <w:top w:val="single" w:sz="4" w:space="0" w:color="1B556B" w:themeColor="text2"/>
              <w:left w:val="nil"/>
              <w:bottom w:val="single" w:sz="4" w:space="0" w:color="1B556B" w:themeColor="text2"/>
              <w:right w:val="nil"/>
            </w:tcBorders>
            <w:shd w:val="clear" w:color="auto" w:fill="auto"/>
            <w:vAlign w:val="center"/>
          </w:tcPr>
          <w:p w14:paraId="4D1434D9" w14:textId="77777777" w:rsidR="00994F64" w:rsidRPr="00261B7A" w:rsidRDefault="00994F64" w:rsidP="00501B0F">
            <w:pPr>
              <w:pStyle w:val="TableText"/>
              <w:spacing w:before="40" w:after="40"/>
              <w:jc w:val="center"/>
              <w:rPr>
                <w:rFonts w:asciiTheme="minorHAnsi" w:hAnsiTheme="minorHAnsi" w:cstheme="minorHAnsi"/>
                <w:szCs w:val="16"/>
              </w:rPr>
            </w:pPr>
            <w:r w:rsidRPr="00261B7A">
              <w:rPr>
                <w:rFonts w:asciiTheme="minorHAnsi" w:hAnsiTheme="minorHAnsi" w:cstheme="minorHAnsi"/>
                <w:szCs w:val="16"/>
              </w:rPr>
              <w:t>44.7</w:t>
            </w:r>
          </w:p>
        </w:tc>
      </w:tr>
      <w:tr w:rsidR="00994F64" w:rsidRPr="00261B7A" w14:paraId="306CA87A" w14:textId="77777777" w:rsidTr="00501B0F">
        <w:tc>
          <w:tcPr>
            <w:tcW w:w="1371" w:type="dxa"/>
            <w:vMerge/>
          </w:tcPr>
          <w:p w14:paraId="73ADFCF2" w14:textId="77777777" w:rsidR="00994F64" w:rsidRPr="00261B7A" w:rsidRDefault="00994F64" w:rsidP="00501B0F">
            <w:pPr>
              <w:pStyle w:val="TableText"/>
              <w:spacing w:before="40" w:after="40"/>
              <w:rPr>
                <w:rFonts w:cs="Calibri"/>
                <w:szCs w:val="16"/>
              </w:rPr>
            </w:pPr>
          </w:p>
        </w:tc>
        <w:tc>
          <w:tcPr>
            <w:tcW w:w="2454" w:type="dxa"/>
            <w:tcBorders>
              <w:top w:val="single" w:sz="4" w:space="0" w:color="1B556B" w:themeColor="text2"/>
              <w:left w:val="nil"/>
              <w:bottom w:val="single" w:sz="4" w:space="0" w:color="1B556B" w:themeColor="text2"/>
              <w:right w:val="nil"/>
            </w:tcBorders>
            <w:shd w:val="clear" w:color="auto" w:fill="auto"/>
            <w:vAlign w:val="center"/>
          </w:tcPr>
          <w:p w14:paraId="74CDB7FD" w14:textId="77777777" w:rsidR="00994F64" w:rsidRPr="00261B7A" w:rsidRDefault="00994F64" w:rsidP="00501B0F">
            <w:pPr>
              <w:pStyle w:val="TableText"/>
              <w:spacing w:before="40" w:after="40"/>
              <w:rPr>
                <w:rFonts w:asciiTheme="minorHAnsi" w:hAnsiTheme="minorHAnsi" w:cstheme="minorHAnsi"/>
                <w:szCs w:val="16"/>
              </w:rPr>
            </w:pPr>
            <w:r w:rsidRPr="00261B7A">
              <w:rPr>
                <w:rFonts w:asciiTheme="minorHAnsi" w:hAnsiTheme="minorHAnsi" w:cstheme="minorHAnsi"/>
                <w:szCs w:val="16"/>
              </w:rPr>
              <w:t>2023 (1990–2021) emissions estimate using new Frac</w:t>
            </w:r>
            <w:r w:rsidRPr="00261B7A">
              <w:rPr>
                <w:rFonts w:asciiTheme="minorHAnsi" w:hAnsiTheme="minorHAnsi" w:cstheme="minorHAnsi"/>
                <w:szCs w:val="16"/>
                <w:vertAlign w:val="subscript"/>
              </w:rPr>
              <w:t>LEACH</w:t>
            </w:r>
            <w:r w:rsidRPr="00261B7A">
              <w:rPr>
                <w:rFonts w:asciiTheme="minorHAnsi" w:hAnsiTheme="minorHAnsi" w:cstheme="minorHAnsi"/>
                <w:szCs w:val="16"/>
              </w:rPr>
              <w:t xml:space="preserve"> values</w:t>
            </w:r>
          </w:p>
        </w:tc>
        <w:tc>
          <w:tcPr>
            <w:tcW w:w="799" w:type="dxa"/>
            <w:tcBorders>
              <w:top w:val="single" w:sz="4" w:space="0" w:color="1B556B" w:themeColor="text2"/>
              <w:left w:val="nil"/>
              <w:bottom w:val="single" w:sz="4" w:space="0" w:color="1B556B" w:themeColor="text2"/>
              <w:right w:val="nil"/>
            </w:tcBorders>
            <w:shd w:val="clear" w:color="auto" w:fill="auto"/>
            <w:vAlign w:val="center"/>
          </w:tcPr>
          <w:p w14:paraId="13184A4B" w14:textId="77777777" w:rsidR="00994F64" w:rsidRPr="00261B7A" w:rsidRDefault="00994F64" w:rsidP="00501B0F">
            <w:pPr>
              <w:pStyle w:val="TableText"/>
              <w:spacing w:before="40" w:after="40"/>
              <w:jc w:val="center"/>
              <w:rPr>
                <w:rFonts w:asciiTheme="minorHAnsi" w:hAnsiTheme="minorHAnsi" w:cstheme="minorHAnsi"/>
                <w:szCs w:val="16"/>
              </w:rPr>
            </w:pPr>
            <w:r w:rsidRPr="00261B7A">
              <w:rPr>
                <w:rFonts w:asciiTheme="minorHAnsi" w:hAnsiTheme="minorHAnsi" w:cstheme="minorHAnsi"/>
                <w:szCs w:val="16"/>
              </w:rPr>
              <w:t>5,216.8</w:t>
            </w:r>
          </w:p>
        </w:tc>
        <w:tc>
          <w:tcPr>
            <w:tcW w:w="799" w:type="dxa"/>
            <w:tcBorders>
              <w:top w:val="single" w:sz="4" w:space="0" w:color="1B556B" w:themeColor="text2"/>
              <w:left w:val="nil"/>
              <w:bottom w:val="single" w:sz="4" w:space="0" w:color="1B556B" w:themeColor="text2"/>
              <w:right w:val="nil"/>
            </w:tcBorders>
            <w:shd w:val="clear" w:color="auto" w:fill="auto"/>
            <w:vAlign w:val="center"/>
          </w:tcPr>
          <w:p w14:paraId="25E6C995" w14:textId="77777777" w:rsidR="00994F64" w:rsidRPr="00261B7A" w:rsidRDefault="00994F64" w:rsidP="00501B0F">
            <w:pPr>
              <w:pStyle w:val="TableText"/>
              <w:spacing w:before="40" w:after="40"/>
              <w:jc w:val="center"/>
              <w:rPr>
                <w:rFonts w:asciiTheme="minorHAnsi" w:hAnsiTheme="minorHAnsi" w:cstheme="minorHAnsi"/>
                <w:szCs w:val="16"/>
              </w:rPr>
            </w:pPr>
            <w:r w:rsidRPr="00261B7A">
              <w:rPr>
                <w:rFonts w:asciiTheme="minorHAnsi" w:hAnsiTheme="minorHAnsi" w:cstheme="minorHAnsi"/>
                <w:szCs w:val="16"/>
              </w:rPr>
              <w:t>7,543.0</w:t>
            </w:r>
          </w:p>
        </w:tc>
        <w:tc>
          <w:tcPr>
            <w:tcW w:w="1541" w:type="dxa"/>
            <w:tcBorders>
              <w:top w:val="single" w:sz="4" w:space="0" w:color="1B556B" w:themeColor="text2"/>
              <w:left w:val="nil"/>
              <w:bottom w:val="single" w:sz="4" w:space="0" w:color="1B556B" w:themeColor="text2"/>
              <w:right w:val="nil"/>
            </w:tcBorders>
            <w:shd w:val="clear" w:color="auto" w:fill="auto"/>
            <w:vAlign w:val="center"/>
          </w:tcPr>
          <w:p w14:paraId="21D024A9" w14:textId="77777777" w:rsidR="00994F64" w:rsidRPr="00261B7A" w:rsidRDefault="00994F64" w:rsidP="00501B0F">
            <w:pPr>
              <w:pStyle w:val="TableText"/>
              <w:spacing w:before="40" w:after="40"/>
              <w:jc w:val="center"/>
              <w:rPr>
                <w:rFonts w:asciiTheme="minorHAnsi" w:hAnsiTheme="minorHAnsi" w:cstheme="minorHAnsi"/>
                <w:szCs w:val="16"/>
              </w:rPr>
            </w:pPr>
            <w:r w:rsidRPr="00261B7A">
              <w:rPr>
                <w:rFonts w:asciiTheme="minorHAnsi" w:hAnsiTheme="minorHAnsi" w:cstheme="minorHAnsi"/>
                <w:szCs w:val="16"/>
              </w:rPr>
              <w:t>2,326.2</w:t>
            </w:r>
          </w:p>
        </w:tc>
        <w:tc>
          <w:tcPr>
            <w:tcW w:w="1541" w:type="dxa"/>
            <w:tcBorders>
              <w:top w:val="single" w:sz="4" w:space="0" w:color="1B556B" w:themeColor="text2"/>
              <w:left w:val="nil"/>
              <w:bottom w:val="single" w:sz="4" w:space="0" w:color="1B556B" w:themeColor="text2"/>
              <w:right w:val="nil"/>
            </w:tcBorders>
            <w:shd w:val="clear" w:color="auto" w:fill="auto"/>
            <w:vAlign w:val="center"/>
          </w:tcPr>
          <w:p w14:paraId="491B1E77" w14:textId="77777777" w:rsidR="00994F64" w:rsidRPr="00261B7A" w:rsidRDefault="00994F64" w:rsidP="00501B0F">
            <w:pPr>
              <w:pStyle w:val="TableText"/>
              <w:spacing w:before="40" w:after="40"/>
              <w:jc w:val="center"/>
              <w:rPr>
                <w:rFonts w:asciiTheme="minorHAnsi" w:hAnsiTheme="minorHAnsi" w:cstheme="minorHAnsi"/>
                <w:szCs w:val="16"/>
              </w:rPr>
            </w:pPr>
            <w:r w:rsidRPr="00261B7A">
              <w:rPr>
                <w:rFonts w:asciiTheme="minorHAnsi" w:hAnsiTheme="minorHAnsi" w:cstheme="minorHAnsi"/>
                <w:szCs w:val="16"/>
              </w:rPr>
              <w:t>44.6</w:t>
            </w:r>
          </w:p>
        </w:tc>
      </w:tr>
      <w:tr w:rsidR="00994F64" w:rsidRPr="00261B7A" w14:paraId="30B4E8F8" w14:textId="77777777" w:rsidTr="00501B0F">
        <w:tc>
          <w:tcPr>
            <w:tcW w:w="1371" w:type="dxa"/>
            <w:vMerge/>
          </w:tcPr>
          <w:p w14:paraId="538823B7" w14:textId="77777777" w:rsidR="00994F64" w:rsidRPr="00261B7A" w:rsidRDefault="00994F64" w:rsidP="00501B0F">
            <w:pPr>
              <w:pStyle w:val="TableText"/>
              <w:spacing w:before="40" w:after="40"/>
              <w:rPr>
                <w:rFonts w:cs="Calibri"/>
                <w:szCs w:val="16"/>
              </w:rPr>
            </w:pPr>
          </w:p>
        </w:tc>
        <w:tc>
          <w:tcPr>
            <w:tcW w:w="2454" w:type="dxa"/>
            <w:tcBorders>
              <w:top w:val="single" w:sz="4" w:space="0" w:color="1B556B" w:themeColor="text2"/>
              <w:left w:val="nil"/>
              <w:bottom w:val="single" w:sz="4" w:space="0" w:color="1B556B" w:themeColor="text2"/>
              <w:right w:val="nil"/>
            </w:tcBorders>
            <w:shd w:val="clear" w:color="auto" w:fill="auto"/>
            <w:vAlign w:val="center"/>
          </w:tcPr>
          <w:p w14:paraId="28CF03B1" w14:textId="77777777" w:rsidR="00994F64" w:rsidRPr="00261B7A" w:rsidRDefault="00994F64" w:rsidP="00501B0F">
            <w:pPr>
              <w:pStyle w:val="TableText"/>
              <w:spacing w:before="40" w:after="40"/>
              <w:rPr>
                <w:rFonts w:asciiTheme="minorHAnsi" w:hAnsiTheme="minorHAnsi" w:cstheme="minorHAnsi"/>
                <w:szCs w:val="16"/>
              </w:rPr>
            </w:pPr>
            <w:r w:rsidRPr="00261B7A">
              <w:rPr>
                <w:rFonts w:asciiTheme="minorHAnsi" w:hAnsiTheme="minorHAnsi" w:cstheme="minorHAnsi"/>
                <w:szCs w:val="16"/>
              </w:rPr>
              <w:t>Absolute difference in emission estimates compared with current inventory</w:t>
            </w:r>
          </w:p>
        </w:tc>
        <w:tc>
          <w:tcPr>
            <w:tcW w:w="799" w:type="dxa"/>
            <w:tcBorders>
              <w:top w:val="single" w:sz="4" w:space="0" w:color="1B556B" w:themeColor="text2"/>
              <w:left w:val="nil"/>
              <w:bottom w:val="single" w:sz="4" w:space="0" w:color="1B556B" w:themeColor="text2"/>
              <w:right w:val="nil"/>
            </w:tcBorders>
            <w:shd w:val="clear" w:color="auto" w:fill="auto"/>
            <w:vAlign w:val="center"/>
          </w:tcPr>
          <w:p w14:paraId="28CD5978" w14:textId="77777777" w:rsidR="00994F64" w:rsidRPr="00261B7A" w:rsidRDefault="00994F64" w:rsidP="00501B0F">
            <w:pPr>
              <w:pStyle w:val="TableText"/>
              <w:spacing w:before="40" w:after="40"/>
              <w:jc w:val="center"/>
              <w:rPr>
                <w:rFonts w:asciiTheme="minorHAnsi" w:hAnsiTheme="minorHAnsi" w:cstheme="minorHAnsi"/>
                <w:szCs w:val="16"/>
              </w:rPr>
            </w:pPr>
            <w:r w:rsidRPr="00261B7A">
              <w:rPr>
                <w:rFonts w:asciiTheme="minorHAnsi" w:hAnsiTheme="minorHAnsi" w:cstheme="minorHAnsi"/>
                <w:szCs w:val="16"/>
              </w:rPr>
              <w:t>55.0</w:t>
            </w:r>
          </w:p>
        </w:tc>
        <w:tc>
          <w:tcPr>
            <w:tcW w:w="799" w:type="dxa"/>
            <w:tcBorders>
              <w:top w:val="single" w:sz="4" w:space="0" w:color="1B556B" w:themeColor="text2"/>
              <w:left w:val="nil"/>
              <w:bottom w:val="single" w:sz="4" w:space="0" w:color="1B556B" w:themeColor="text2"/>
              <w:right w:val="nil"/>
            </w:tcBorders>
            <w:shd w:val="clear" w:color="auto" w:fill="auto"/>
            <w:vAlign w:val="center"/>
          </w:tcPr>
          <w:p w14:paraId="68EE24F6" w14:textId="77777777" w:rsidR="00994F64" w:rsidRPr="00261B7A" w:rsidRDefault="00994F64" w:rsidP="00501B0F">
            <w:pPr>
              <w:pStyle w:val="TableText"/>
              <w:spacing w:before="40" w:after="40"/>
              <w:jc w:val="center"/>
              <w:rPr>
                <w:rFonts w:asciiTheme="minorHAnsi" w:hAnsiTheme="minorHAnsi" w:cstheme="minorHAnsi"/>
                <w:szCs w:val="16"/>
              </w:rPr>
            </w:pPr>
            <w:r w:rsidRPr="00261B7A">
              <w:rPr>
                <w:rFonts w:asciiTheme="minorHAnsi" w:hAnsiTheme="minorHAnsi" w:cstheme="minorHAnsi"/>
                <w:szCs w:val="16"/>
              </w:rPr>
              <w:t>73.1</w:t>
            </w:r>
          </w:p>
        </w:tc>
        <w:tc>
          <w:tcPr>
            <w:tcW w:w="1541" w:type="dxa"/>
            <w:tcBorders>
              <w:top w:val="single" w:sz="4" w:space="0" w:color="1B556B" w:themeColor="text2"/>
              <w:left w:val="nil"/>
              <w:bottom w:val="single" w:sz="4" w:space="0" w:color="1B556B" w:themeColor="text2"/>
              <w:right w:val="nil"/>
            </w:tcBorders>
            <w:shd w:val="clear" w:color="auto" w:fill="auto"/>
            <w:vAlign w:val="center"/>
          </w:tcPr>
          <w:p w14:paraId="130CDF71" w14:textId="77777777" w:rsidR="00994F64" w:rsidRPr="00261B7A" w:rsidRDefault="00994F64" w:rsidP="00501B0F">
            <w:pPr>
              <w:pStyle w:val="TableText"/>
              <w:spacing w:before="40" w:after="40"/>
              <w:jc w:val="center"/>
              <w:rPr>
                <w:rFonts w:asciiTheme="minorHAnsi" w:hAnsiTheme="minorHAnsi" w:cstheme="minorHAnsi"/>
                <w:szCs w:val="16"/>
              </w:rPr>
            </w:pPr>
            <w:r w:rsidRPr="00261B7A">
              <w:rPr>
                <w:rFonts w:asciiTheme="minorHAnsi" w:hAnsiTheme="minorHAnsi" w:cstheme="minorHAnsi"/>
                <w:szCs w:val="16"/>
              </w:rPr>
              <w:t>18.1</w:t>
            </w:r>
          </w:p>
        </w:tc>
        <w:tc>
          <w:tcPr>
            <w:tcW w:w="1541" w:type="dxa"/>
            <w:tcBorders>
              <w:top w:val="single" w:sz="4" w:space="0" w:color="1B556B" w:themeColor="text2"/>
              <w:left w:val="nil"/>
              <w:bottom w:val="single" w:sz="4" w:space="0" w:color="1B556B" w:themeColor="text2"/>
              <w:right w:val="nil"/>
            </w:tcBorders>
            <w:shd w:val="clear" w:color="auto" w:fill="auto"/>
            <w:vAlign w:val="center"/>
          </w:tcPr>
          <w:p w14:paraId="6FE49F01" w14:textId="77777777" w:rsidR="00994F64" w:rsidRPr="00261B7A" w:rsidRDefault="00994F64" w:rsidP="00501B0F">
            <w:pPr>
              <w:pStyle w:val="TableText"/>
              <w:spacing w:before="40" w:after="40"/>
              <w:jc w:val="center"/>
              <w:rPr>
                <w:rFonts w:asciiTheme="minorHAnsi" w:hAnsiTheme="minorHAnsi" w:cstheme="minorHAnsi"/>
                <w:szCs w:val="16"/>
              </w:rPr>
            </w:pPr>
            <w:r w:rsidRPr="00261B7A">
              <w:rPr>
                <w:rFonts w:asciiTheme="minorHAnsi" w:hAnsiTheme="minorHAnsi" w:cstheme="minorHAnsi"/>
                <w:szCs w:val="16"/>
              </w:rPr>
              <w:t> </w:t>
            </w:r>
          </w:p>
        </w:tc>
      </w:tr>
      <w:tr w:rsidR="00994F64" w:rsidRPr="00261B7A" w14:paraId="50F26E12" w14:textId="77777777" w:rsidTr="00501B0F">
        <w:tc>
          <w:tcPr>
            <w:tcW w:w="1371" w:type="dxa"/>
            <w:vMerge/>
          </w:tcPr>
          <w:p w14:paraId="275A3276" w14:textId="77777777" w:rsidR="00994F64" w:rsidRPr="00261B7A" w:rsidRDefault="00994F64" w:rsidP="00501B0F">
            <w:pPr>
              <w:pStyle w:val="TableText"/>
              <w:spacing w:before="40" w:after="40"/>
              <w:rPr>
                <w:rFonts w:cs="Calibri"/>
                <w:szCs w:val="16"/>
              </w:rPr>
            </w:pPr>
          </w:p>
        </w:tc>
        <w:tc>
          <w:tcPr>
            <w:tcW w:w="2454" w:type="dxa"/>
            <w:tcBorders>
              <w:top w:val="single" w:sz="4" w:space="0" w:color="1B556B" w:themeColor="text2"/>
              <w:left w:val="nil"/>
              <w:bottom w:val="single" w:sz="4" w:space="0" w:color="1B556B" w:themeColor="text2"/>
              <w:right w:val="nil"/>
            </w:tcBorders>
            <w:shd w:val="clear" w:color="auto" w:fill="auto"/>
            <w:vAlign w:val="center"/>
          </w:tcPr>
          <w:p w14:paraId="4A4E8D77" w14:textId="77777777" w:rsidR="00994F64" w:rsidRPr="00261B7A" w:rsidRDefault="00994F64" w:rsidP="00501B0F">
            <w:pPr>
              <w:pStyle w:val="TableText"/>
              <w:spacing w:before="40" w:after="40"/>
              <w:rPr>
                <w:rFonts w:asciiTheme="minorHAnsi" w:hAnsiTheme="minorHAnsi" w:cstheme="minorHAnsi"/>
                <w:szCs w:val="16"/>
              </w:rPr>
            </w:pPr>
            <w:r w:rsidRPr="00261B7A">
              <w:rPr>
                <w:rFonts w:asciiTheme="minorHAnsi" w:hAnsiTheme="minorHAnsi" w:cstheme="minorHAnsi"/>
                <w:szCs w:val="16"/>
              </w:rPr>
              <w:t>Percentage difference in emission estimates (%)</w:t>
            </w:r>
          </w:p>
        </w:tc>
        <w:tc>
          <w:tcPr>
            <w:tcW w:w="799" w:type="dxa"/>
            <w:tcBorders>
              <w:top w:val="single" w:sz="4" w:space="0" w:color="1B556B" w:themeColor="text2"/>
              <w:left w:val="nil"/>
              <w:bottom w:val="single" w:sz="4" w:space="0" w:color="1B556B" w:themeColor="text2"/>
              <w:right w:val="nil"/>
            </w:tcBorders>
            <w:shd w:val="clear" w:color="auto" w:fill="auto"/>
            <w:vAlign w:val="center"/>
          </w:tcPr>
          <w:p w14:paraId="4295FBB3" w14:textId="77777777" w:rsidR="00994F64" w:rsidRPr="00261B7A" w:rsidRDefault="00994F64" w:rsidP="00501B0F">
            <w:pPr>
              <w:pStyle w:val="TableText"/>
              <w:spacing w:before="40" w:after="40"/>
              <w:jc w:val="center"/>
              <w:rPr>
                <w:rFonts w:asciiTheme="minorHAnsi" w:hAnsiTheme="minorHAnsi" w:cstheme="minorHAnsi"/>
                <w:szCs w:val="16"/>
              </w:rPr>
            </w:pPr>
            <w:r w:rsidRPr="00261B7A">
              <w:rPr>
                <w:rFonts w:asciiTheme="minorHAnsi" w:hAnsiTheme="minorHAnsi" w:cstheme="minorHAnsi"/>
                <w:szCs w:val="16"/>
              </w:rPr>
              <w:t>1.1</w:t>
            </w:r>
          </w:p>
        </w:tc>
        <w:tc>
          <w:tcPr>
            <w:tcW w:w="799" w:type="dxa"/>
            <w:tcBorders>
              <w:top w:val="single" w:sz="4" w:space="0" w:color="1B556B" w:themeColor="text2"/>
              <w:left w:val="nil"/>
              <w:bottom w:val="single" w:sz="4" w:space="0" w:color="1B556B" w:themeColor="text2"/>
              <w:right w:val="nil"/>
            </w:tcBorders>
            <w:shd w:val="clear" w:color="auto" w:fill="auto"/>
            <w:vAlign w:val="center"/>
          </w:tcPr>
          <w:p w14:paraId="0EE5EA55" w14:textId="77777777" w:rsidR="00994F64" w:rsidRPr="00261B7A" w:rsidRDefault="00994F64" w:rsidP="00501B0F">
            <w:pPr>
              <w:pStyle w:val="TableText"/>
              <w:spacing w:before="40" w:after="40"/>
              <w:jc w:val="center"/>
              <w:rPr>
                <w:rFonts w:asciiTheme="minorHAnsi" w:hAnsiTheme="minorHAnsi" w:cstheme="minorHAnsi"/>
                <w:szCs w:val="16"/>
              </w:rPr>
            </w:pPr>
            <w:r w:rsidRPr="00261B7A">
              <w:rPr>
                <w:rFonts w:asciiTheme="minorHAnsi" w:hAnsiTheme="minorHAnsi" w:cstheme="minorHAnsi"/>
                <w:szCs w:val="16"/>
              </w:rPr>
              <w:t>0.98</w:t>
            </w:r>
          </w:p>
        </w:tc>
        <w:tc>
          <w:tcPr>
            <w:tcW w:w="1541" w:type="dxa"/>
            <w:tcBorders>
              <w:top w:val="single" w:sz="4" w:space="0" w:color="1B556B" w:themeColor="text2"/>
              <w:left w:val="nil"/>
              <w:bottom w:val="single" w:sz="4" w:space="0" w:color="1B556B" w:themeColor="text2"/>
              <w:right w:val="nil"/>
            </w:tcBorders>
            <w:shd w:val="clear" w:color="auto" w:fill="auto"/>
            <w:vAlign w:val="center"/>
          </w:tcPr>
          <w:p w14:paraId="255B6C5D" w14:textId="77777777" w:rsidR="00994F64" w:rsidRPr="00261B7A" w:rsidRDefault="00994F64" w:rsidP="00501B0F">
            <w:pPr>
              <w:pStyle w:val="TableText"/>
              <w:spacing w:before="40" w:after="40"/>
              <w:jc w:val="center"/>
              <w:rPr>
                <w:rFonts w:asciiTheme="minorHAnsi" w:hAnsiTheme="minorHAnsi" w:cstheme="minorHAnsi"/>
                <w:szCs w:val="16"/>
              </w:rPr>
            </w:pPr>
            <w:r w:rsidRPr="00261B7A">
              <w:rPr>
                <w:rFonts w:asciiTheme="minorHAnsi" w:hAnsiTheme="minorHAnsi" w:cstheme="minorHAnsi"/>
                <w:szCs w:val="16"/>
              </w:rPr>
              <w:t xml:space="preserve"> </w:t>
            </w:r>
          </w:p>
        </w:tc>
        <w:tc>
          <w:tcPr>
            <w:tcW w:w="1541" w:type="dxa"/>
            <w:tcBorders>
              <w:top w:val="single" w:sz="4" w:space="0" w:color="1B556B" w:themeColor="text2"/>
              <w:left w:val="nil"/>
              <w:bottom w:val="single" w:sz="4" w:space="0" w:color="1B556B" w:themeColor="text2"/>
              <w:right w:val="nil"/>
            </w:tcBorders>
            <w:shd w:val="clear" w:color="auto" w:fill="auto"/>
            <w:vAlign w:val="center"/>
          </w:tcPr>
          <w:p w14:paraId="3F58E914" w14:textId="77777777" w:rsidR="00994F64" w:rsidRPr="00261B7A" w:rsidRDefault="00994F64" w:rsidP="00501B0F">
            <w:pPr>
              <w:pStyle w:val="TableText"/>
              <w:spacing w:before="40" w:after="40"/>
              <w:jc w:val="center"/>
              <w:rPr>
                <w:rFonts w:asciiTheme="minorHAnsi" w:hAnsiTheme="minorHAnsi" w:cstheme="minorHAnsi"/>
                <w:szCs w:val="16"/>
              </w:rPr>
            </w:pPr>
            <w:r w:rsidRPr="00261B7A">
              <w:rPr>
                <w:rFonts w:asciiTheme="minorHAnsi" w:hAnsiTheme="minorHAnsi" w:cstheme="minorHAnsi"/>
                <w:szCs w:val="16"/>
              </w:rPr>
              <w:t> </w:t>
            </w:r>
          </w:p>
        </w:tc>
      </w:tr>
    </w:tbl>
    <w:p w14:paraId="7F757F27" w14:textId="77777777" w:rsidR="00994F64" w:rsidRPr="00261B7A" w:rsidRDefault="00994F64" w:rsidP="00994F64">
      <w:pPr>
        <w:pStyle w:val="Heading5"/>
        <w:spacing w:before="360"/>
      </w:pPr>
      <w:bookmarkStart w:id="1213" w:name="_Toc32570672"/>
      <w:bookmarkEnd w:id="1208"/>
      <w:r w:rsidRPr="00261B7A">
        <w:t>Improved estimates of within-year Dairy cattle population change and use of non-pasture feed</w:t>
      </w:r>
    </w:p>
    <w:p w14:paraId="599BFA78" w14:textId="77777777" w:rsidR="00994F64" w:rsidRPr="00261B7A" w:rsidRDefault="00994F64" w:rsidP="00994F64">
      <w:pPr>
        <w:pStyle w:val="BodyText"/>
      </w:pPr>
      <w:r w:rsidRPr="00261B7A">
        <w:t xml:space="preserve">Emissions estimates in the </w:t>
      </w:r>
      <w:r w:rsidRPr="00261B7A">
        <w:rPr>
          <w:i/>
          <w:iCs/>
        </w:rPr>
        <w:t>Agricultural soils</w:t>
      </w:r>
      <w:r w:rsidRPr="00261B7A">
        <w:t xml:space="preserve"> category reported in the 2023 submission have been affected by a methodological improvement to</w:t>
      </w:r>
      <w:r w:rsidRPr="00261B7A">
        <w:rPr>
          <w:rFonts w:cs="Calibri"/>
          <w:color w:val="000000"/>
          <w:shd w:val="clear" w:color="auto" w:fill="FFFFFF"/>
        </w:rPr>
        <w:t xml:space="preserve"> estimates of within-year </w:t>
      </w:r>
      <w:r w:rsidRPr="00261B7A">
        <w:rPr>
          <w:rFonts w:cs="Calibri"/>
          <w:i/>
          <w:iCs/>
          <w:color w:val="000000"/>
          <w:shd w:val="clear" w:color="auto" w:fill="FFFFFF"/>
        </w:rPr>
        <w:t>Dairy cattle</w:t>
      </w:r>
      <w:r w:rsidRPr="00261B7A">
        <w:rPr>
          <w:rFonts w:cs="Calibri"/>
          <w:color w:val="000000"/>
          <w:shd w:val="clear" w:color="auto" w:fill="FFFFFF"/>
        </w:rPr>
        <w:t xml:space="preserve"> population change and a methodological improvement to feed quality values to account for the use of non-pasture feed. For more detail on these changes, see section 5.2.5. </w:t>
      </w:r>
    </w:p>
    <w:p w14:paraId="4FE4BECF" w14:textId="6BA19BFF" w:rsidR="00994F64" w:rsidRPr="00261B7A" w:rsidRDefault="00994F64" w:rsidP="00994F64">
      <w:pPr>
        <w:pStyle w:val="BodyText"/>
      </w:pPr>
      <w:r w:rsidRPr="00261B7A">
        <w:t xml:space="preserve">The implementation of the 2023 changes to </w:t>
      </w:r>
      <w:r w:rsidRPr="00261B7A">
        <w:rPr>
          <w:rFonts w:cs="Calibri"/>
          <w:color w:val="000000"/>
          <w:shd w:val="clear" w:color="auto" w:fill="FFFFFF"/>
        </w:rPr>
        <w:t xml:space="preserve">estimates of within-year </w:t>
      </w:r>
      <w:r w:rsidRPr="00261B7A">
        <w:rPr>
          <w:rFonts w:cs="Calibri"/>
          <w:i/>
          <w:iCs/>
          <w:color w:val="000000"/>
          <w:shd w:val="clear" w:color="auto" w:fill="FFFFFF"/>
        </w:rPr>
        <w:t>Dairy cattle</w:t>
      </w:r>
      <w:r w:rsidRPr="00261B7A">
        <w:rPr>
          <w:rFonts w:cs="Calibri"/>
          <w:color w:val="000000"/>
          <w:shd w:val="clear" w:color="auto" w:fill="FFFFFF"/>
        </w:rPr>
        <w:t xml:space="preserve"> population </w:t>
      </w:r>
      <w:r w:rsidRPr="00261B7A">
        <w:t xml:space="preserve">caused estimated emissions from the </w:t>
      </w:r>
      <w:r w:rsidRPr="00261B7A">
        <w:rPr>
          <w:i/>
        </w:rPr>
        <w:t xml:space="preserve">Agricultural </w:t>
      </w:r>
      <w:r w:rsidRPr="00261B7A">
        <w:rPr>
          <w:i/>
          <w:iCs/>
        </w:rPr>
        <w:t>soils</w:t>
      </w:r>
      <w:r w:rsidRPr="00261B7A">
        <w:t xml:space="preserve"> to decrease by 0.85 per cent (44.8</w:t>
      </w:r>
      <w:r w:rsidR="00E335F6" w:rsidRPr="00261B7A">
        <w:t> </w:t>
      </w:r>
      <w:r w:rsidRPr="00261B7A">
        <w:t>kt CO</w:t>
      </w:r>
      <w:r w:rsidRPr="00261B7A">
        <w:rPr>
          <w:vertAlign w:val="subscript"/>
        </w:rPr>
        <w:t>2</w:t>
      </w:r>
      <w:r w:rsidRPr="00261B7A">
        <w:t>-e) in 1990 and 1.1 per cent (83.6 kt CO</w:t>
      </w:r>
      <w:r w:rsidRPr="00261B7A">
        <w:rPr>
          <w:vertAlign w:val="subscript"/>
        </w:rPr>
        <w:t>2</w:t>
      </w:r>
      <w:r w:rsidRPr="00261B7A">
        <w:t>-e) in 2020 (see table 5.5.15).</w:t>
      </w:r>
    </w:p>
    <w:p w14:paraId="1578F6A6" w14:textId="77777777" w:rsidR="00994F64" w:rsidRPr="00261B7A" w:rsidRDefault="00994F64" w:rsidP="00994F64">
      <w:pPr>
        <w:pStyle w:val="BodyText"/>
      </w:pPr>
      <w:r w:rsidRPr="00261B7A">
        <w:t xml:space="preserve">The inclusion of non-pasture feed in 2023 caused estimated emissions from </w:t>
      </w:r>
      <w:r w:rsidRPr="00261B7A">
        <w:rPr>
          <w:i/>
        </w:rPr>
        <w:t xml:space="preserve">Agricultural </w:t>
      </w:r>
      <w:r w:rsidRPr="00261B7A">
        <w:rPr>
          <w:i/>
          <w:iCs/>
        </w:rPr>
        <w:t>soils</w:t>
      </w:r>
      <w:r w:rsidRPr="00261B7A">
        <w:rPr>
          <w:i/>
        </w:rPr>
        <w:t xml:space="preserve"> </w:t>
      </w:r>
      <w:r w:rsidRPr="00261B7A">
        <w:t>to decrease by 2.1 per cent (111.5 kt CO</w:t>
      </w:r>
      <w:r w:rsidRPr="00261B7A">
        <w:rPr>
          <w:vertAlign w:val="subscript"/>
        </w:rPr>
        <w:t>2</w:t>
      </w:r>
      <w:r w:rsidRPr="00261B7A">
        <w:t>-e) in 1990 and 4.4 per cent (346.6 kt CO</w:t>
      </w:r>
      <w:r w:rsidRPr="00261B7A">
        <w:rPr>
          <w:vertAlign w:val="subscript"/>
        </w:rPr>
        <w:t>2</w:t>
      </w:r>
      <w:r w:rsidRPr="00261B7A">
        <w:t>-e) in 2020 (see table 5.5.16).</w:t>
      </w:r>
    </w:p>
    <w:p w14:paraId="5C9B03E9" w14:textId="77777777" w:rsidR="00994F64" w:rsidRPr="00261B7A" w:rsidRDefault="00994F64" w:rsidP="00994F64">
      <w:pPr>
        <w:pStyle w:val="Table"/>
        <w:rPr>
          <w:rFonts w:cs="Calibri"/>
        </w:rPr>
      </w:pPr>
      <w:bookmarkStart w:id="1214" w:name="_Toc127458281"/>
      <w:bookmarkStart w:id="1215" w:name="_Toc131591377"/>
      <w:r w:rsidRPr="00261B7A">
        <w:rPr>
          <w:rFonts w:cs="Calibri"/>
        </w:rPr>
        <w:t>Table 5.5.15</w:t>
      </w:r>
      <w:r w:rsidRPr="00261B7A">
        <w:rPr>
          <w:rFonts w:cs="Calibri"/>
        </w:rPr>
        <w:tab/>
        <w:t>Comparison of the previous and improved dairy population model on emissions from </w:t>
      </w:r>
      <w:r w:rsidRPr="00261B7A">
        <w:rPr>
          <w:rFonts w:cs="Calibri"/>
          <w:i/>
          <w:iCs/>
        </w:rPr>
        <w:t>Agricultural soils</w:t>
      </w:r>
      <w:bookmarkEnd w:id="1214"/>
      <w:bookmarkEnd w:id="1215"/>
      <w:r w:rsidRPr="00261B7A">
        <w:rPr>
          <w:rFonts w:cs="Calibri"/>
          <w:i/>
          <w:iCs/>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Look w:val="04A0" w:firstRow="1" w:lastRow="0" w:firstColumn="1" w:lastColumn="0" w:noHBand="0" w:noVBand="1"/>
      </w:tblPr>
      <w:tblGrid>
        <w:gridCol w:w="1562"/>
        <w:gridCol w:w="2407"/>
        <w:gridCol w:w="711"/>
        <w:gridCol w:w="709"/>
        <w:gridCol w:w="1558"/>
        <w:gridCol w:w="1558"/>
      </w:tblGrid>
      <w:tr w:rsidR="00994F64" w:rsidRPr="00261B7A" w14:paraId="18F33CA7" w14:textId="77777777" w:rsidTr="00501B0F">
        <w:tc>
          <w:tcPr>
            <w:tcW w:w="918" w:type="pct"/>
            <w:shd w:val="clear" w:color="000000" w:fill="1B556B"/>
            <w:vAlign w:val="bottom"/>
            <w:hideMark/>
          </w:tcPr>
          <w:p w14:paraId="41F1F808" w14:textId="77777777" w:rsidR="00994F64" w:rsidRPr="00261B7A" w:rsidRDefault="00994F64" w:rsidP="00501B0F">
            <w:pPr>
              <w:pStyle w:val="TableText"/>
              <w:rPr>
                <w:b/>
                <w:bCs/>
                <w:color w:val="FFFFFF" w:themeColor="background1"/>
              </w:rPr>
            </w:pPr>
            <w:r w:rsidRPr="00261B7A">
              <w:rPr>
                <w:b/>
                <w:bCs/>
                <w:color w:val="FFFFFF" w:themeColor="background1"/>
              </w:rPr>
              <w:t>Emissions (kt CO</w:t>
            </w:r>
            <w:r w:rsidRPr="00261B7A">
              <w:rPr>
                <w:b/>
                <w:bCs/>
                <w:color w:val="FFFFFF" w:themeColor="background1"/>
                <w:vertAlign w:val="subscript"/>
              </w:rPr>
              <w:t>2</w:t>
            </w:r>
            <w:r w:rsidRPr="00261B7A">
              <w:rPr>
                <w:b/>
                <w:bCs/>
                <w:color w:val="FFFFFF" w:themeColor="background1"/>
              </w:rPr>
              <w:t>-e)</w:t>
            </w:r>
          </w:p>
        </w:tc>
        <w:tc>
          <w:tcPr>
            <w:tcW w:w="1415" w:type="pct"/>
            <w:shd w:val="clear" w:color="000000" w:fill="1B556B"/>
            <w:vAlign w:val="bottom"/>
            <w:hideMark/>
          </w:tcPr>
          <w:p w14:paraId="7AC52471" w14:textId="77777777" w:rsidR="00994F64" w:rsidRPr="00261B7A" w:rsidRDefault="00994F64" w:rsidP="00501B0F">
            <w:pPr>
              <w:pStyle w:val="TableText"/>
              <w:rPr>
                <w:b/>
                <w:bCs/>
                <w:color w:val="FFFFFF" w:themeColor="background1"/>
              </w:rPr>
            </w:pPr>
          </w:p>
        </w:tc>
        <w:tc>
          <w:tcPr>
            <w:tcW w:w="418" w:type="pct"/>
            <w:shd w:val="clear" w:color="000000" w:fill="1B556B"/>
            <w:vAlign w:val="bottom"/>
            <w:hideMark/>
          </w:tcPr>
          <w:p w14:paraId="78140593" w14:textId="77777777" w:rsidR="00994F64" w:rsidRPr="00261B7A" w:rsidRDefault="00994F64" w:rsidP="00501B0F">
            <w:pPr>
              <w:pStyle w:val="TableText"/>
              <w:jc w:val="center"/>
              <w:rPr>
                <w:b/>
                <w:bCs/>
                <w:color w:val="FFFFFF" w:themeColor="background1"/>
              </w:rPr>
            </w:pPr>
            <w:r w:rsidRPr="00261B7A">
              <w:rPr>
                <w:b/>
                <w:bCs/>
                <w:color w:val="FFFFFF" w:themeColor="background1"/>
              </w:rPr>
              <w:t>1990</w:t>
            </w:r>
          </w:p>
        </w:tc>
        <w:tc>
          <w:tcPr>
            <w:tcW w:w="417" w:type="pct"/>
            <w:shd w:val="clear" w:color="000000" w:fill="1B556B"/>
            <w:vAlign w:val="bottom"/>
            <w:hideMark/>
          </w:tcPr>
          <w:p w14:paraId="3326C26D" w14:textId="77777777" w:rsidR="00994F64" w:rsidRPr="00261B7A" w:rsidRDefault="00994F64" w:rsidP="00501B0F">
            <w:pPr>
              <w:pStyle w:val="TableText"/>
              <w:jc w:val="center"/>
              <w:rPr>
                <w:b/>
                <w:bCs/>
                <w:color w:val="FFFFFF" w:themeColor="background1"/>
              </w:rPr>
            </w:pPr>
            <w:r w:rsidRPr="00261B7A">
              <w:rPr>
                <w:b/>
                <w:bCs/>
                <w:color w:val="FFFFFF" w:themeColor="background1"/>
              </w:rPr>
              <w:t>2020</w:t>
            </w:r>
          </w:p>
        </w:tc>
        <w:tc>
          <w:tcPr>
            <w:tcW w:w="916" w:type="pct"/>
            <w:shd w:val="clear" w:color="000000" w:fill="1B556B"/>
            <w:vAlign w:val="bottom"/>
            <w:hideMark/>
          </w:tcPr>
          <w:p w14:paraId="70FDAA55" w14:textId="77777777" w:rsidR="00994F64" w:rsidRPr="00261B7A" w:rsidRDefault="00994F64" w:rsidP="00501B0F">
            <w:pPr>
              <w:pStyle w:val="TableText"/>
              <w:jc w:val="center"/>
              <w:rPr>
                <w:b/>
                <w:bCs/>
                <w:color w:val="FFFFFF" w:themeColor="background1"/>
              </w:rPr>
            </w:pPr>
            <w:r w:rsidRPr="00261B7A">
              <w:rPr>
                <w:b/>
                <w:bCs/>
                <w:color w:val="FFFFFF" w:themeColor="background1"/>
              </w:rPr>
              <w:t>Change in emission outputs between 1990 and 2020 (kt CO</w:t>
            </w:r>
            <w:r w:rsidRPr="00261B7A">
              <w:rPr>
                <w:b/>
                <w:bCs/>
                <w:color w:val="FFFFFF" w:themeColor="background1"/>
                <w:vertAlign w:val="subscript"/>
              </w:rPr>
              <w:t>2</w:t>
            </w:r>
            <w:r w:rsidRPr="00261B7A">
              <w:rPr>
                <w:b/>
                <w:bCs/>
                <w:color w:val="FFFFFF" w:themeColor="background1"/>
              </w:rPr>
              <w:t>-e)</w:t>
            </w:r>
          </w:p>
        </w:tc>
        <w:tc>
          <w:tcPr>
            <w:tcW w:w="916" w:type="pct"/>
            <w:shd w:val="clear" w:color="000000" w:fill="1B556B"/>
            <w:vAlign w:val="bottom"/>
            <w:hideMark/>
          </w:tcPr>
          <w:p w14:paraId="4E7C7DCF" w14:textId="77777777" w:rsidR="00994F64" w:rsidRPr="00261B7A" w:rsidRDefault="00994F64" w:rsidP="00501B0F">
            <w:pPr>
              <w:pStyle w:val="TableText"/>
              <w:jc w:val="center"/>
              <w:rPr>
                <w:b/>
                <w:bCs/>
                <w:color w:val="FFFFFF" w:themeColor="background1"/>
              </w:rPr>
            </w:pPr>
            <w:r w:rsidRPr="00261B7A">
              <w:rPr>
                <w:b/>
                <w:bCs/>
                <w:color w:val="FFFFFF" w:themeColor="background1"/>
              </w:rPr>
              <w:t>Percentage change in emission outputs between 1990 and 2020 (%)</w:t>
            </w:r>
          </w:p>
        </w:tc>
      </w:tr>
      <w:tr w:rsidR="00994F64" w:rsidRPr="00261B7A" w14:paraId="6EE6C92F" w14:textId="77777777" w:rsidTr="00501B0F">
        <w:trPr>
          <w:trHeight w:val="20"/>
        </w:trPr>
        <w:tc>
          <w:tcPr>
            <w:tcW w:w="918" w:type="pct"/>
            <w:vMerge w:val="restart"/>
            <w:shd w:val="clear" w:color="auto" w:fill="auto"/>
            <w:vAlign w:val="center"/>
            <w:hideMark/>
          </w:tcPr>
          <w:p w14:paraId="466A8CF6" w14:textId="77777777" w:rsidR="00994F64" w:rsidRPr="00261B7A" w:rsidRDefault="00994F64" w:rsidP="00501B0F">
            <w:pPr>
              <w:pStyle w:val="TableText"/>
              <w:rPr>
                <w:color w:val="000000"/>
              </w:rPr>
            </w:pPr>
            <w:r w:rsidRPr="00261B7A">
              <w:rPr>
                <w:color w:val="000000"/>
              </w:rPr>
              <w:t xml:space="preserve">Total emissions from </w:t>
            </w:r>
            <w:r w:rsidRPr="00261B7A">
              <w:rPr>
                <w:i/>
                <w:iCs/>
                <w:color w:val="000000"/>
              </w:rPr>
              <w:t>Agricultural soils</w:t>
            </w:r>
            <w:r w:rsidRPr="00261B7A">
              <w:rPr>
                <w:color w:val="000000"/>
              </w:rPr>
              <w:t xml:space="preserve"> (kt CO</w:t>
            </w:r>
            <w:r w:rsidRPr="00261B7A">
              <w:rPr>
                <w:color w:val="000000"/>
                <w:vertAlign w:val="subscript"/>
              </w:rPr>
              <w:t>2</w:t>
            </w:r>
            <w:r w:rsidRPr="00261B7A">
              <w:rPr>
                <w:color w:val="000000"/>
              </w:rPr>
              <w:t>-e)</w:t>
            </w:r>
          </w:p>
        </w:tc>
        <w:tc>
          <w:tcPr>
            <w:tcW w:w="1415" w:type="pct"/>
            <w:shd w:val="clear" w:color="auto" w:fill="auto"/>
            <w:vAlign w:val="center"/>
            <w:hideMark/>
          </w:tcPr>
          <w:p w14:paraId="00AE9F59" w14:textId="77777777" w:rsidR="00994F64" w:rsidRPr="00261B7A" w:rsidRDefault="00994F64" w:rsidP="00501B0F">
            <w:pPr>
              <w:pStyle w:val="TableText"/>
              <w:rPr>
                <w:color w:val="000000"/>
              </w:rPr>
            </w:pPr>
            <w:r w:rsidRPr="00261B7A">
              <w:rPr>
                <w:color w:val="000000"/>
              </w:rPr>
              <w:t>2023 (1990–2021) emissions estimate using previous population model </w:t>
            </w:r>
          </w:p>
        </w:tc>
        <w:tc>
          <w:tcPr>
            <w:tcW w:w="418" w:type="pct"/>
            <w:shd w:val="clear" w:color="auto" w:fill="auto"/>
            <w:vAlign w:val="center"/>
            <w:hideMark/>
          </w:tcPr>
          <w:p w14:paraId="4623D4FA" w14:textId="77777777" w:rsidR="00994F64" w:rsidRPr="00261B7A" w:rsidRDefault="00994F64" w:rsidP="00501B0F">
            <w:pPr>
              <w:pStyle w:val="TableText"/>
              <w:jc w:val="center"/>
              <w:rPr>
                <w:color w:val="000000"/>
                <w:highlight w:val="green"/>
              </w:rPr>
            </w:pPr>
            <w:r w:rsidRPr="00261B7A">
              <w:rPr>
                <w:color w:val="000000"/>
              </w:rPr>
              <w:t>5,261.6</w:t>
            </w:r>
          </w:p>
        </w:tc>
        <w:tc>
          <w:tcPr>
            <w:tcW w:w="417" w:type="pct"/>
            <w:shd w:val="clear" w:color="auto" w:fill="auto"/>
            <w:vAlign w:val="center"/>
            <w:hideMark/>
          </w:tcPr>
          <w:p w14:paraId="67AE44C6" w14:textId="77777777" w:rsidR="00994F64" w:rsidRPr="00261B7A" w:rsidRDefault="00994F64" w:rsidP="00501B0F">
            <w:pPr>
              <w:pStyle w:val="TableText"/>
              <w:jc w:val="center"/>
              <w:rPr>
                <w:color w:val="000000"/>
                <w:highlight w:val="green"/>
              </w:rPr>
            </w:pPr>
            <w:r w:rsidRPr="00261B7A">
              <w:rPr>
                <w:color w:val="000000"/>
              </w:rPr>
              <w:t>7,626.6</w:t>
            </w:r>
          </w:p>
        </w:tc>
        <w:tc>
          <w:tcPr>
            <w:tcW w:w="916" w:type="pct"/>
            <w:shd w:val="clear" w:color="auto" w:fill="auto"/>
            <w:vAlign w:val="center"/>
            <w:hideMark/>
          </w:tcPr>
          <w:p w14:paraId="23914FF3" w14:textId="77777777" w:rsidR="00994F64" w:rsidRPr="00261B7A" w:rsidRDefault="00994F64" w:rsidP="00501B0F">
            <w:pPr>
              <w:pStyle w:val="TableText"/>
              <w:jc w:val="center"/>
              <w:rPr>
                <w:color w:val="000000"/>
                <w:highlight w:val="green"/>
              </w:rPr>
            </w:pPr>
            <w:r w:rsidRPr="00261B7A">
              <w:rPr>
                <w:color w:val="000000"/>
              </w:rPr>
              <w:t>2,365.0</w:t>
            </w:r>
          </w:p>
        </w:tc>
        <w:tc>
          <w:tcPr>
            <w:tcW w:w="916" w:type="pct"/>
            <w:shd w:val="clear" w:color="auto" w:fill="auto"/>
            <w:vAlign w:val="center"/>
            <w:hideMark/>
          </w:tcPr>
          <w:p w14:paraId="18B4E5F6" w14:textId="77777777" w:rsidR="00994F64" w:rsidRPr="00261B7A" w:rsidRDefault="00994F64" w:rsidP="00501B0F">
            <w:pPr>
              <w:pStyle w:val="TableText"/>
              <w:jc w:val="center"/>
              <w:rPr>
                <w:color w:val="000000"/>
                <w:highlight w:val="green"/>
              </w:rPr>
            </w:pPr>
            <w:r w:rsidRPr="00261B7A">
              <w:rPr>
                <w:color w:val="000000"/>
              </w:rPr>
              <w:t>44.9</w:t>
            </w:r>
          </w:p>
        </w:tc>
      </w:tr>
      <w:tr w:rsidR="00994F64" w:rsidRPr="00261B7A" w14:paraId="56F93859" w14:textId="77777777" w:rsidTr="00501B0F">
        <w:trPr>
          <w:trHeight w:val="20"/>
        </w:trPr>
        <w:tc>
          <w:tcPr>
            <w:tcW w:w="918" w:type="pct"/>
            <w:vMerge/>
            <w:vAlign w:val="center"/>
            <w:hideMark/>
          </w:tcPr>
          <w:p w14:paraId="26C10078" w14:textId="77777777" w:rsidR="00994F64" w:rsidRPr="00261B7A" w:rsidRDefault="00994F64" w:rsidP="00501B0F">
            <w:pPr>
              <w:pStyle w:val="TableText"/>
              <w:rPr>
                <w:color w:val="000000"/>
              </w:rPr>
            </w:pPr>
          </w:p>
        </w:tc>
        <w:tc>
          <w:tcPr>
            <w:tcW w:w="1415" w:type="pct"/>
            <w:shd w:val="clear" w:color="auto" w:fill="auto"/>
            <w:vAlign w:val="center"/>
            <w:hideMark/>
          </w:tcPr>
          <w:p w14:paraId="553BC0C0" w14:textId="77777777" w:rsidR="00994F64" w:rsidRPr="00261B7A" w:rsidRDefault="00994F64" w:rsidP="00501B0F">
            <w:pPr>
              <w:pStyle w:val="TableText"/>
              <w:rPr>
                <w:color w:val="000000"/>
              </w:rPr>
            </w:pPr>
            <w:r w:rsidRPr="00261B7A">
              <w:rPr>
                <w:color w:val="000000"/>
              </w:rPr>
              <w:t>2023 (1990–2021) emissions estimate using new population model </w:t>
            </w:r>
          </w:p>
        </w:tc>
        <w:tc>
          <w:tcPr>
            <w:tcW w:w="418" w:type="pct"/>
            <w:shd w:val="clear" w:color="auto" w:fill="auto"/>
            <w:vAlign w:val="center"/>
            <w:hideMark/>
          </w:tcPr>
          <w:p w14:paraId="705E78B0" w14:textId="77777777" w:rsidR="00994F64" w:rsidRPr="00261B7A" w:rsidRDefault="00994F64" w:rsidP="00501B0F">
            <w:pPr>
              <w:pStyle w:val="TableText"/>
              <w:jc w:val="center"/>
              <w:rPr>
                <w:color w:val="000000"/>
                <w:highlight w:val="green"/>
              </w:rPr>
            </w:pPr>
            <w:r w:rsidRPr="00261B7A">
              <w:rPr>
                <w:color w:val="000000"/>
              </w:rPr>
              <w:t>5,216.8</w:t>
            </w:r>
          </w:p>
        </w:tc>
        <w:tc>
          <w:tcPr>
            <w:tcW w:w="417" w:type="pct"/>
            <w:shd w:val="clear" w:color="auto" w:fill="auto"/>
            <w:vAlign w:val="center"/>
            <w:hideMark/>
          </w:tcPr>
          <w:p w14:paraId="7348EA33" w14:textId="77777777" w:rsidR="00994F64" w:rsidRPr="00261B7A" w:rsidRDefault="00994F64" w:rsidP="00501B0F">
            <w:pPr>
              <w:pStyle w:val="TableText"/>
              <w:jc w:val="center"/>
              <w:rPr>
                <w:color w:val="000000"/>
                <w:highlight w:val="green"/>
              </w:rPr>
            </w:pPr>
            <w:r w:rsidRPr="00261B7A">
              <w:rPr>
                <w:color w:val="000000"/>
              </w:rPr>
              <w:t>7,543.0</w:t>
            </w:r>
          </w:p>
        </w:tc>
        <w:tc>
          <w:tcPr>
            <w:tcW w:w="916" w:type="pct"/>
            <w:shd w:val="clear" w:color="auto" w:fill="auto"/>
            <w:vAlign w:val="center"/>
            <w:hideMark/>
          </w:tcPr>
          <w:p w14:paraId="4F4DA6E1" w14:textId="77777777" w:rsidR="00994F64" w:rsidRPr="00261B7A" w:rsidRDefault="00994F64" w:rsidP="00501B0F">
            <w:pPr>
              <w:pStyle w:val="TableText"/>
              <w:jc w:val="center"/>
              <w:rPr>
                <w:color w:val="000000"/>
                <w:highlight w:val="green"/>
              </w:rPr>
            </w:pPr>
            <w:r w:rsidRPr="00261B7A">
              <w:rPr>
                <w:color w:val="000000"/>
              </w:rPr>
              <w:t>2,326.2</w:t>
            </w:r>
          </w:p>
        </w:tc>
        <w:tc>
          <w:tcPr>
            <w:tcW w:w="916" w:type="pct"/>
            <w:shd w:val="clear" w:color="auto" w:fill="auto"/>
            <w:vAlign w:val="center"/>
            <w:hideMark/>
          </w:tcPr>
          <w:p w14:paraId="7107E56B" w14:textId="77777777" w:rsidR="00994F64" w:rsidRPr="00261B7A" w:rsidRDefault="00994F64" w:rsidP="00501B0F">
            <w:pPr>
              <w:pStyle w:val="TableText"/>
              <w:jc w:val="center"/>
              <w:rPr>
                <w:color w:val="000000"/>
                <w:highlight w:val="green"/>
              </w:rPr>
            </w:pPr>
            <w:r w:rsidRPr="00261B7A">
              <w:rPr>
                <w:color w:val="000000"/>
              </w:rPr>
              <w:t>44.6</w:t>
            </w:r>
          </w:p>
        </w:tc>
      </w:tr>
      <w:tr w:rsidR="00994F64" w:rsidRPr="00261B7A" w14:paraId="3B6544BC" w14:textId="77777777" w:rsidTr="00501B0F">
        <w:trPr>
          <w:trHeight w:val="20"/>
        </w:trPr>
        <w:tc>
          <w:tcPr>
            <w:tcW w:w="918" w:type="pct"/>
            <w:vMerge/>
            <w:vAlign w:val="center"/>
            <w:hideMark/>
          </w:tcPr>
          <w:p w14:paraId="31F39F8D" w14:textId="77777777" w:rsidR="00994F64" w:rsidRPr="00261B7A" w:rsidRDefault="00994F64" w:rsidP="00501B0F">
            <w:pPr>
              <w:pStyle w:val="TableText"/>
              <w:rPr>
                <w:color w:val="000000"/>
              </w:rPr>
            </w:pPr>
          </w:p>
        </w:tc>
        <w:tc>
          <w:tcPr>
            <w:tcW w:w="1415" w:type="pct"/>
            <w:shd w:val="clear" w:color="auto" w:fill="auto"/>
            <w:vAlign w:val="center"/>
            <w:hideMark/>
          </w:tcPr>
          <w:p w14:paraId="6A3CA94E" w14:textId="77777777" w:rsidR="00994F64" w:rsidRPr="00261B7A" w:rsidRDefault="00994F64" w:rsidP="00501B0F">
            <w:pPr>
              <w:pStyle w:val="TableText"/>
              <w:rPr>
                <w:color w:val="000000"/>
              </w:rPr>
            </w:pPr>
            <w:r w:rsidRPr="00261B7A">
              <w:rPr>
                <w:color w:val="000000"/>
              </w:rPr>
              <w:t>Difference in emissions estimates compared with current inventory </w:t>
            </w:r>
          </w:p>
        </w:tc>
        <w:tc>
          <w:tcPr>
            <w:tcW w:w="418" w:type="pct"/>
            <w:shd w:val="clear" w:color="auto" w:fill="auto"/>
            <w:vAlign w:val="center"/>
            <w:hideMark/>
          </w:tcPr>
          <w:p w14:paraId="3438014F" w14:textId="77777777" w:rsidR="00994F64" w:rsidRPr="00261B7A" w:rsidRDefault="00994F64" w:rsidP="00501B0F">
            <w:pPr>
              <w:pStyle w:val="TableText"/>
              <w:jc w:val="center"/>
              <w:rPr>
                <w:color w:val="000000"/>
                <w:highlight w:val="green"/>
              </w:rPr>
            </w:pPr>
            <w:r w:rsidRPr="00261B7A">
              <w:rPr>
                <w:color w:val="000000"/>
              </w:rPr>
              <w:t>–44.8</w:t>
            </w:r>
          </w:p>
        </w:tc>
        <w:tc>
          <w:tcPr>
            <w:tcW w:w="417" w:type="pct"/>
            <w:shd w:val="clear" w:color="auto" w:fill="auto"/>
            <w:vAlign w:val="center"/>
            <w:hideMark/>
          </w:tcPr>
          <w:p w14:paraId="639703B9" w14:textId="77777777" w:rsidR="00994F64" w:rsidRPr="00261B7A" w:rsidRDefault="00994F64" w:rsidP="00501B0F">
            <w:pPr>
              <w:pStyle w:val="TableText"/>
              <w:jc w:val="center"/>
              <w:rPr>
                <w:color w:val="000000"/>
                <w:highlight w:val="green"/>
              </w:rPr>
            </w:pPr>
            <w:r w:rsidRPr="00261B7A">
              <w:rPr>
                <w:color w:val="000000"/>
              </w:rPr>
              <w:t>–83.6</w:t>
            </w:r>
          </w:p>
        </w:tc>
        <w:tc>
          <w:tcPr>
            <w:tcW w:w="916" w:type="pct"/>
            <w:shd w:val="clear" w:color="auto" w:fill="auto"/>
            <w:vAlign w:val="center"/>
            <w:hideMark/>
          </w:tcPr>
          <w:p w14:paraId="3376A9BF" w14:textId="77777777" w:rsidR="00994F64" w:rsidRPr="00261B7A" w:rsidRDefault="00994F64" w:rsidP="00501B0F">
            <w:pPr>
              <w:pStyle w:val="TableText"/>
              <w:jc w:val="center"/>
              <w:rPr>
                <w:color w:val="000000"/>
                <w:highlight w:val="green"/>
              </w:rPr>
            </w:pPr>
            <w:r w:rsidRPr="00261B7A">
              <w:rPr>
                <w:color w:val="000000"/>
              </w:rPr>
              <w:t>–38.8</w:t>
            </w:r>
          </w:p>
        </w:tc>
        <w:tc>
          <w:tcPr>
            <w:tcW w:w="916" w:type="pct"/>
            <w:shd w:val="clear" w:color="auto" w:fill="auto"/>
            <w:vAlign w:val="center"/>
            <w:hideMark/>
          </w:tcPr>
          <w:p w14:paraId="6A5AE08C" w14:textId="77777777" w:rsidR="00994F64" w:rsidRPr="00261B7A" w:rsidRDefault="00994F64" w:rsidP="00501B0F">
            <w:pPr>
              <w:pStyle w:val="TableText"/>
              <w:jc w:val="center"/>
              <w:rPr>
                <w:color w:val="000000"/>
                <w:highlight w:val="green"/>
              </w:rPr>
            </w:pPr>
          </w:p>
        </w:tc>
      </w:tr>
      <w:tr w:rsidR="00994F64" w:rsidRPr="00261B7A" w14:paraId="381B4AB6" w14:textId="77777777" w:rsidTr="00501B0F">
        <w:trPr>
          <w:trHeight w:val="20"/>
        </w:trPr>
        <w:tc>
          <w:tcPr>
            <w:tcW w:w="918" w:type="pct"/>
            <w:vMerge/>
            <w:vAlign w:val="center"/>
            <w:hideMark/>
          </w:tcPr>
          <w:p w14:paraId="370AAD06" w14:textId="77777777" w:rsidR="00994F64" w:rsidRPr="00261B7A" w:rsidRDefault="00994F64" w:rsidP="00501B0F">
            <w:pPr>
              <w:pStyle w:val="TableText"/>
              <w:rPr>
                <w:color w:val="000000"/>
              </w:rPr>
            </w:pPr>
          </w:p>
        </w:tc>
        <w:tc>
          <w:tcPr>
            <w:tcW w:w="1415" w:type="pct"/>
            <w:shd w:val="clear" w:color="auto" w:fill="auto"/>
            <w:vAlign w:val="center"/>
            <w:hideMark/>
          </w:tcPr>
          <w:p w14:paraId="2F9C9905" w14:textId="77777777" w:rsidR="00994F64" w:rsidRPr="00261B7A" w:rsidRDefault="00994F64" w:rsidP="00501B0F">
            <w:pPr>
              <w:pStyle w:val="TableText"/>
              <w:rPr>
                <w:color w:val="000000"/>
              </w:rPr>
            </w:pPr>
            <w:r w:rsidRPr="00261B7A">
              <w:rPr>
                <w:color w:val="000000"/>
              </w:rPr>
              <w:t>Percentage difference in emissions estimates (%)</w:t>
            </w:r>
          </w:p>
        </w:tc>
        <w:tc>
          <w:tcPr>
            <w:tcW w:w="418" w:type="pct"/>
            <w:shd w:val="clear" w:color="auto" w:fill="auto"/>
            <w:vAlign w:val="center"/>
            <w:hideMark/>
          </w:tcPr>
          <w:p w14:paraId="25A7267D" w14:textId="77777777" w:rsidR="00994F64" w:rsidRPr="00261B7A" w:rsidRDefault="00994F64" w:rsidP="00501B0F">
            <w:pPr>
              <w:pStyle w:val="TableText"/>
              <w:jc w:val="center"/>
              <w:rPr>
                <w:color w:val="000000"/>
                <w:highlight w:val="green"/>
              </w:rPr>
            </w:pPr>
            <w:r w:rsidRPr="00261B7A">
              <w:rPr>
                <w:color w:val="000000"/>
              </w:rPr>
              <w:t>–0.85</w:t>
            </w:r>
          </w:p>
        </w:tc>
        <w:tc>
          <w:tcPr>
            <w:tcW w:w="417" w:type="pct"/>
            <w:shd w:val="clear" w:color="auto" w:fill="auto"/>
            <w:vAlign w:val="center"/>
            <w:hideMark/>
          </w:tcPr>
          <w:p w14:paraId="187C62CD" w14:textId="77777777" w:rsidR="00994F64" w:rsidRPr="00261B7A" w:rsidRDefault="00994F64" w:rsidP="00501B0F">
            <w:pPr>
              <w:pStyle w:val="TableText"/>
              <w:jc w:val="center"/>
              <w:rPr>
                <w:color w:val="000000"/>
                <w:highlight w:val="green"/>
              </w:rPr>
            </w:pPr>
            <w:r w:rsidRPr="00261B7A">
              <w:rPr>
                <w:color w:val="000000"/>
              </w:rPr>
              <w:t>–1.1</w:t>
            </w:r>
          </w:p>
        </w:tc>
        <w:tc>
          <w:tcPr>
            <w:tcW w:w="916" w:type="pct"/>
            <w:shd w:val="clear" w:color="auto" w:fill="auto"/>
            <w:vAlign w:val="center"/>
            <w:hideMark/>
          </w:tcPr>
          <w:p w14:paraId="76E720B2" w14:textId="77777777" w:rsidR="00994F64" w:rsidRPr="00261B7A" w:rsidRDefault="00994F64" w:rsidP="00501B0F">
            <w:pPr>
              <w:pStyle w:val="TableText"/>
              <w:jc w:val="center"/>
              <w:rPr>
                <w:color w:val="000000"/>
                <w:highlight w:val="green"/>
              </w:rPr>
            </w:pPr>
          </w:p>
        </w:tc>
        <w:tc>
          <w:tcPr>
            <w:tcW w:w="916" w:type="pct"/>
            <w:shd w:val="clear" w:color="auto" w:fill="auto"/>
            <w:vAlign w:val="center"/>
            <w:hideMark/>
          </w:tcPr>
          <w:p w14:paraId="1BDE3EC8" w14:textId="77777777" w:rsidR="00994F64" w:rsidRPr="00261B7A" w:rsidRDefault="00994F64" w:rsidP="00501B0F">
            <w:pPr>
              <w:pStyle w:val="TableText"/>
              <w:jc w:val="center"/>
              <w:rPr>
                <w:color w:val="000000"/>
                <w:highlight w:val="green"/>
              </w:rPr>
            </w:pPr>
          </w:p>
        </w:tc>
      </w:tr>
    </w:tbl>
    <w:p w14:paraId="0A0DE99C" w14:textId="77777777" w:rsidR="00994F64" w:rsidRPr="00261B7A" w:rsidRDefault="00994F64" w:rsidP="00994F64"/>
    <w:p w14:paraId="52C7AFB5" w14:textId="77777777" w:rsidR="00994F64" w:rsidRPr="00261B7A" w:rsidRDefault="00994F64" w:rsidP="00994F64">
      <w:pPr>
        <w:pStyle w:val="Table"/>
        <w:rPr>
          <w:rFonts w:cs="Calibri"/>
        </w:rPr>
      </w:pPr>
      <w:bookmarkStart w:id="1216" w:name="_Toc127458282"/>
      <w:bookmarkStart w:id="1217" w:name="_Toc131591378"/>
      <w:r w:rsidRPr="00261B7A">
        <w:rPr>
          <w:rFonts w:cs="Calibri"/>
        </w:rPr>
        <w:t>Table 5.5.16</w:t>
      </w:r>
      <w:r w:rsidRPr="00261B7A">
        <w:rPr>
          <w:rFonts w:cs="Calibri"/>
        </w:rPr>
        <w:tab/>
        <w:t>Comparison of the pasture quality values and adjusted feed quality values on emissions from </w:t>
      </w:r>
      <w:r w:rsidRPr="00261B7A">
        <w:rPr>
          <w:rFonts w:cs="Calibri"/>
          <w:i/>
          <w:iCs/>
        </w:rPr>
        <w:t>Agricultural soils</w:t>
      </w:r>
      <w:bookmarkEnd w:id="1216"/>
      <w:bookmarkEnd w:id="1217"/>
      <w:r w:rsidRPr="00261B7A">
        <w:rPr>
          <w:rFonts w:cs="Calibri"/>
          <w:i/>
          <w:iCs/>
        </w:rPr>
        <w:t xml:space="preserve"> </w:t>
      </w:r>
    </w:p>
    <w:tbl>
      <w:tblPr>
        <w:tblW w:w="8505" w:type="dxa"/>
        <w:tblBorders>
          <w:top w:val="single" w:sz="8" w:space="0" w:color="1B556B" w:themeColor="text2"/>
          <w:bottom w:val="single" w:sz="8" w:space="0" w:color="1B556B" w:themeColor="text2"/>
          <w:insideH w:val="single" w:sz="8" w:space="0" w:color="1B556B" w:themeColor="text2"/>
        </w:tblBorders>
        <w:tblLook w:val="04A0" w:firstRow="1" w:lastRow="0" w:firstColumn="1" w:lastColumn="0" w:noHBand="0" w:noVBand="1"/>
      </w:tblPr>
      <w:tblGrid>
        <w:gridCol w:w="1577"/>
        <w:gridCol w:w="2393"/>
        <w:gridCol w:w="709"/>
        <w:gridCol w:w="708"/>
        <w:gridCol w:w="1560"/>
        <w:gridCol w:w="1558"/>
      </w:tblGrid>
      <w:tr w:rsidR="00994F64" w:rsidRPr="00261B7A" w14:paraId="7DBDFB35" w14:textId="77777777" w:rsidTr="00501B0F">
        <w:tc>
          <w:tcPr>
            <w:tcW w:w="927" w:type="pct"/>
            <w:shd w:val="clear" w:color="000000" w:fill="1B556B"/>
            <w:vAlign w:val="bottom"/>
            <w:hideMark/>
          </w:tcPr>
          <w:p w14:paraId="51AC88C5" w14:textId="77777777" w:rsidR="00994F64" w:rsidRPr="00261B7A" w:rsidRDefault="00994F64" w:rsidP="00501B0F">
            <w:pPr>
              <w:pStyle w:val="TableText"/>
              <w:rPr>
                <w:b/>
                <w:bCs/>
                <w:color w:val="FFFFFF" w:themeColor="background1"/>
              </w:rPr>
            </w:pPr>
            <w:r w:rsidRPr="00261B7A">
              <w:rPr>
                <w:b/>
                <w:bCs/>
                <w:color w:val="FFFFFF" w:themeColor="background1"/>
              </w:rPr>
              <w:t>Emissions (kt CO</w:t>
            </w:r>
            <w:r w:rsidRPr="00261B7A">
              <w:rPr>
                <w:b/>
                <w:bCs/>
                <w:color w:val="FFFFFF" w:themeColor="background1"/>
                <w:vertAlign w:val="subscript"/>
              </w:rPr>
              <w:t>2</w:t>
            </w:r>
            <w:r w:rsidRPr="00261B7A">
              <w:rPr>
                <w:b/>
                <w:bCs/>
                <w:color w:val="FFFFFF" w:themeColor="background1"/>
              </w:rPr>
              <w:t>-e)</w:t>
            </w:r>
          </w:p>
        </w:tc>
        <w:tc>
          <w:tcPr>
            <w:tcW w:w="1407" w:type="pct"/>
            <w:shd w:val="clear" w:color="000000" w:fill="1B556B"/>
            <w:vAlign w:val="bottom"/>
            <w:hideMark/>
          </w:tcPr>
          <w:p w14:paraId="6307DB7C" w14:textId="77777777" w:rsidR="00994F64" w:rsidRPr="00261B7A" w:rsidRDefault="00994F64" w:rsidP="00501B0F">
            <w:pPr>
              <w:pStyle w:val="TableText"/>
              <w:rPr>
                <w:b/>
                <w:bCs/>
                <w:color w:val="FFFFFF" w:themeColor="background1"/>
              </w:rPr>
            </w:pPr>
          </w:p>
        </w:tc>
        <w:tc>
          <w:tcPr>
            <w:tcW w:w="417" w:type="pct"/>
            <w:shd w:val="clear" w:color="000000" w:fill="1B556B"/>
            <w:vAlign w:val="bottom"/>
            <w:hideMark/>
          </w:tcPr>
          <w:p w14:paraId="3F7C0FCB" w14:textId="77777777" w:rsidR="00994F64" w:rsidRPr="00261B7A" w:rsidRDefault="00994F64" w:rsidP="00501B0F">
            <w:pPr>
              <w:pStyle w:val="TableText"/>
              <w:jc w:val="center"/>
              <w:rPr>
                <w:b/>
                <w:bCs/>
                <w:color w:val="FFFFFF" w:themeColor="background1"/>
              </w:rPr>
            </w:pPr>
            <w:r w:rsidRPr="00261B7A">
              <w:rPr>
                <w:b/>
                <w:bCs/>
                <w:color w:val="FFFFFF" w:themeColor="background1"/>
              </w:rPr>
              <w:t>1990</w:t>
            </w:r>
          </w:p>
        </w:tc>
        <w:tc>
          <w:tcPr>
            <w:tcW w:w="416" w:type="pct"/>
            <w:shd w:val="clear" w:color="000000" w:fill="1B556B"/>
            <w:vAlign w:val="bottom"/>
            <w:hideMark/>
          </w:tcPr>
          <w:p w14:paraId="1576C03B" w14:textId="77777777" w:rsidR="00994F64" w:rsidRPr="00261B7A" w:rsidRDefault="00994F64" w:rsidP="00501B0F">
            <w:pPr>
              <w:pStyle w:val="TableText"/>
              <w:jc w:val="center"/>
              <w:rPr>
                <w:b/>
                <w:bCs/>
                <w:color w:val="FFFFFF" w:themeColor="background1"/>
              </w:rPr>
            </w:pPr>
            <w:r w:rsidRPr="00261B7A">
              <w:rPr>
                <w:b/>
                <w:bCs/>
                <w:color w:val="FFFFFF" w:themeColor="background1"/>
              </w:rPr>
              <w:t>2020</w:t>
            </w:r>
          </w:p>
        </w:tc>
        <w:tc>
          <w:tcPr>
            <w:tcW w:w="917" w:type="pct"/>
            <w:shd w:val="clear" w:color="000000" w:fill="1B556B"/>
            <w:vAlign w:val="bottom"/>
            <w:hideMark/>
          </w:tcPr>
          <w:p w14:paraId="07B956FA" w14:textId="77777777" w:rsidR="00994F64" w:rsidRPr="00261B7A" w:rsidRDefault="00994F64" w:rsidP="00501B0F">
            <w:pPr>
              <w:pStyle w:val="TableText"/>
              <w:jc w:val="center"/>
              <w:rPr>
                <w:b/>
                <w:bCs/>
                <w:color w:val="FFFFFF" w:themeColor="background1"/>
              </w:rPr>
            </w:pPr>
            <w:r w:rsidRPr="00261B7A">
              <w:rPr>
                <w:b/>
                <w:bCs/>
                <w:color w:val="FFFFFF" w:themeColor="background1"/>
              </w:rPr>
              <w:t>Change in emission outputs between 1990 and 2020 (kt CO</w:t>
            </w:r>
            <w:r w:rsidRPr="00261B7A">
              <w:rPr>
                <w:b/>
                <w:bCs/>
                <w:color w:val="FFFFFF" w:themeColor="background1"/>
                <w:vertAlign w:val="subscript"/>
              </w:rPr>
              <w:t>2</w:t>
            </w:r>
            <w:r w:rsidRPr="00261B7A">
              <w:rPr>
                <w:b/>
                <w:bCs/>
                <w:color w:val="FFFFFF" w:themeColor="background1"/>
              </w:rPr>
              <w:t>-e)</w:t>
            </w:r>
          </w:p>
        </w:tc>
        <w:tc>
          <w:tcPr>
            <w:tcW w:w="917" w:type="pct"/>
            <w:shd w:val="clear" w:color="000000" w:fill="1B556B"/>
            <w:vAlign w:val="bottom"/>
            <w:hideMark/>
          </w:tcPr>
          <w:p w14:paraId="6C4A697E" w14:textId="77777777" w:rsidR="00994F64" w:rsidRPr="00261B7A" w:rsidRDefault="00994F64" w:rsidP="00501B0F">
            <w:pPr>
              <w:pStyle w:val="TableText"/>
              <w:jc w:val="center"/>
              <w:rPr>
                <w:b/>
                <w:bCs/>
                <w:color w:val="FFFFFF" w:themeColor="background1"/>
              </w:rPr>
            </w:pPr>
            <w:r w:rsidRPr="00261B7A">
              <w:rPr>
                <w:b/>
                <w:bCs/>
                <w:color w:val="FFFFFF" w:themeColor="background1"/>
              </w:rPr>
              <w:t>Percentage change in emission outputs between 1990 and 2020 (%)</w:t>
            </w:r>
          </w:p>
        </w:tc>
      </w:tr>
      <w:tr w:rsidR="00994F64" w:rsidRPr="00261B7A" w14:paraId="12445372" w14:textId="77777777" w:rsidTr="00501B0F">
        <w:tc>
          <w:tcPr>
            <w:tcW w:w="927" w:type="pct"/>
            <w:vMerge w:val="restart"/>
            <w:shd w:val="clear" w:color="auto" w:fill="auto"/>
            <w:vAlign w:val="center"/>
            <w:hideMark/>
          </w:tcPr>
          <w:p w14:paraId="7C5B2AF1" w14:textId="77777777" w:rsidR="00994F64" w:rsidRPr="00261B7A" w:rsidRDefault="00994F64" w:rsidP="00501B0F">
            <w:pPr>
              <w:pStyle w:val="TableText"/>
              <w:rPr>
                <w:color w:val="000000"/>
              </w:rPr>
            </w:pPr>
            <w:r w:rsidRPr="00261B7A">
              <w:rPr>
                <w:color w:val="000000"/>
              </w:rPr>
              <w:t xml:space="preserve">Total emissions from </w:t>
            </w:r>
            <w:r w:rsidRPr="00261B7A">
              <w:rPr>
                <w:i/>
                <w:iCs/>
                <w:color w:val="000000"/>
              </w:rPr>
              <w:t>Agricultural soils</w:t>
            </w:r>
            <w:r w:rsidRPr="00261B7A">
              <w:rPr>
                <w:color w:val="000000"/>
              </w:rPr>
              <w:t xml:space="preserve"> (kt CO</w:t>
            </w:r>
            <w:r w:rsidRPr="00261B7A">
              <w:rPr>
                <w:color w:val="000000"/>
                <w:vertAlign w:val="subscript"/>
              </w:rPr>
              <w:t>2</w:t>
            </w:r>
            <w:r w:rsidRPr="00261B7A">
              <w:rPr>
                <w:color w:val="000000"/>
              </w:rPr>
              <w:t>-e)</w:t>
            </w:r>
          </w:p>
        </w:tc>
        <w:tc>
          <w:tcPr>
            <w:tcW w:w="1407" w:type="pct"/>
            <w:shd w:val="clear" w:color="auto" w:fill="auto"/>
            <w:vAlign w:val="center"/>
            <w:hideMark/>
          </w:tcPr>
          <w:p w14:paraId="508B6825" w14:textId="77777777" w:rsidR="00994F64" w:rsidRPr="00261B7A" w:rsidRDefault="00994F64" w:rsidP="00501B0F">
            <w:pPr>
              <w:pStyle w:val="TableText"/>
              <w:rPr>
                <w:color w:val="000000"/>
              </w:rPr>
            </w:pPr>
            <w:r w:rsidRPr="00261B7A">
              <w:rPr>
                <w:color w:val="000000"/>
              </w:rPr>
              <w:t>2023 (1990–2021) emissions estimate using previous pasture quality values </w:t>
            </w:r>
          </w:p>
        </w:tc>
        <w:tc>
          <w:tcPr>
            <w:tcW w:w="417" w:type="pct"/>
            <w:shd w:val="clear" w:color="auto" w:fill="auto"/>
            <w:vAlign w:val="center"/>
            <w:hideMark/>
          </w:tcPr>
          <w:p w14:paraId="0F273261" w14:textId="77777777" w:rsidR="00994F64" w:rsidRPr="00261B7A" w:rsidRDefault="00994F64" w:rsidP="00501B0F">
            <w:pPr>
              <w:pStyle w:val="TableText"/>
              <w:jc w:val="center"/>
              <w:rPr>
                <w:color w:val="000000"/>
              </w:rPr>
            </w:pPr>
            <w:r w:rsidRPr="00261B7A">
              <w:rPr>
                <w:color w:val="000000"/>
              </w:rPr>
              <w:t>5,328.3</w:t>
            </w:r>
          </w:p>
        </w:tc>
        <w:tc>
          <w:tcPr>
            <w:tcW w:w="416" w:type="pct"/>
            <w:shd w:val="clear" w:color="auto" w:fill="auto"/>
            <w:vAlign w:val="center"/>
            <w:hideMark/>
          </w:tcPr>
          <w:p w14:paraId="6DC46C08" w14:textId="77777777" w:rsidR="00994F64" w:rsidRPr="00261B7A" w:rsidRDefault="00994F64" w:rsidP="00501B0F">
            <w:pPr>
              <w:pStyle w:val="TableText"/>
              <w:jc w:val="center"/>
              <w:rPr>
                <w:color w:val="000000"/>
              </w:rPr>
            </w:pPr>
            <w:r w:rsidRPr="00261B7A">
              <w:rPr>
                <w:color w:val="000000"/>
              </w:rPr>
              <w:t>7,889.6</w:t>
            </w:r>
          </w:p>
        </w:tc>
        <w:tc>
          <w:tcPr>
            <w:tcW w:w="917" w:type="pct"/>
            <w:shd w:val="clear" w:color="auto" w:fill="auto"/>
            <w:vAlign w:val="center"/>
            <w:hideMark/>
          </w:tcPr>
          <w:p w14:paraId="237162F9" w14:textId="77777777" w:rsidR="00994F64" w:rsidRPr="00261B7A" w:rsidRDefault="00994F64" w:rsidP="00501B0F">
            <w:pPr>
              <w:pStyle w:val="TableText"/>
              <w:jc w:val="center"/>
              <w:rPr>
                <w:color w:val="000000"/>
              </w:rPr>
            </w:pPr>
            <w:r w:rsidRPr="00261B7A">
              <w:rPr>
                <w:color w:val="000000"/>
              </w:rPr>
              <w:t>2,561.3</w:t>
            </w:r>
          </w:p>
        </w:tc>
        <w:tc>
          <w:tcPr>
            <w:tcW w:w="917" w:type="pct"/>
            <w:shd w:val="clear" w:color="auto" w:fill="auto"/>
            <w:vAlign w:val="center"/>
            <w:hideMark/>
          </w:tcPr>
          <w:p w14:paraId="4FEEABDE" w14:textId="77777777" w:rsidR="00994F64" w:rsidRPr="00261B7A" w:rsidRDefault="00994F64" w:rsidP="00501B0F">
            <w:pPr>
              <w:pStyle w:val="TableText"/>
              <w:jc w:val="center"/>
              <w:rPr>
                <w:color w:val="000000"/>
              </w:rPr>
            </w:pPr>
            <w:r w:rsidRPr="00261B7A">
              <w:rPr>
                <w:color w:val="000000"/>
              </w:rPr>
              <w:t>48.1</w:t>
            </w:r>
          </w:p>
        </w:tc>
      </w:tr>
      <w:tr w:rsidR="00994F64" w:rsidRPr="00261B7A" w14:paraId="14F3B622" w14:textId="77777777" w:rsidTr="00501B0F">
        <w:tc>
          <w:tcPr>
            <w:tcW w:w="927" w:type="pct"/>
            <w:vMerge/>
            <w:vAlign w:val="center"/>
            <w:hideMark/>
          </w:tcPr>
          <w:p w14:paraId="6241F030" w14:textId="77777777" w:rsidR="00994F64" w:rsidRPr="00261B7A" w:rsidRDefault="00994F64" w:rsidP="00501B0F">
            <w:pPr>
              <w:pStyle w:val="TableText"/>
              <w:rPr>
                <w:color w:val="000000"/>
              </w:rPr>
            </w:pPr>
          </w:p>
        </w:tc>
        <w:tc>
          <w:tcPr>
            <w:tcW w:w="1407" w:type="pct"/>
            <w:shd w:val="clear" w:color="auto" w:fill="auto"/>
            <w:vAlign w:val="center"/>
            <w:hideMark/>
          </w:tcPr>
          <w:p w14:paraId="16A84EFC" w14:textId="77777777" w:rsidR="00994F64" w:rsidRPr="00261B7A" w:rsidRDefault="00994F64" w:rsidP="00501B0F">
            <w:pPr>
              <w:pStyle w:val="TableText"/>
              <w:rPr>
                <w:color w:val="000000"/>
              </w:rPr>
            </w:pPr>
            <w:r w:rsidRPr="00261B7A">
              <w:rPr>
                <w:color w:val="000000"/>
              </w:rPr>
              <w:t>2023 (1990–2021) emissions estimate using adjusted feed quality values</w:t>
            </w:r>
          </w:p>
        </w:tc>
        <w:tc>
          <w:tcPr>
            <w:tcW w:w="417" w:type="pct"/>
            <w:shd w:val="clear" w:color="auto" w:fill="auto"/>
            <w:vAlign w:val="center"/>
            <w:hideMark/>
          </w:tcPr>
          <w:p w14:paraId="51EAE274" w14:textId="77777777" w:rsidR="00994F64" w:rsidRPr="00261B7A" w:rsidRDefault="00994F64" w:rsidP="00501B0F">
            <w:pPr>
              <w:pStyle w:val="TableText"/>
              <w:jc w:val="center"/>
              <w:rPr>
                <w:color w:val="000000"/>
              </w:rPr>
            </w:pPr>
            <w:r w:rsidRPr="00261B7A">
              <w:rPr>
                <w:color w:val="000000"/>
              </w:rPr>
              <w:t>5,216.8</w:t>
            </w:r>
          </w:p>
        </w:tc>
        <w:tc>
          <w:tcPr>
            <w:tcW w:w="416" w:type="pct"/>
            <w:shd w:val="clear" w:color="auto" w:fill="auto"/>
            <w:vAlign w:val="center"/>
            <w:hideMark/>
          </w:tcPr>
          <w:p w14:paraId="3AFE4BDD" w14:textId="77777777" w:rsidR="00994F64" w:rsidRPr="00261B7A" w:rsidRDefault="00994F64" w:rsidP="00501B0F">
            <w:pPr>
              <w:pStyle w:val="TableText"/>
              <w:jc w:val="center"/>
              <w:rPr>
                <w:color w:val="000000"/>
              </w:rPr>
            </w:pPr>
            <w:r w:rsidRPr="00261B7A">
              <w:rPr>
                <w:color w:val="000000"/>
              </w:rPr>
              <w:t>7,543.0</w:t>
            </w:r>
          </w:p>
        </w:tc>
        <w:tc>
          <w:tcPr>
            <w:tcW w:w="917" w:type="pct"/>
            <w:shd w:val="clear" w:color="auto" w:fill="auto"/>
            <w:vAlign w:val="center"/>
            <w:hideMark/>
          </w:tcPr>
          <w:p w14:paraId="48B14150" w14:textId="77777777" w:rsidR="00994F64" w:rsidRPr="00261B7A" w:rsidRDefault="00994F64" w:rsidP="00501B0F">
            <w:pPr>
              <w:pStyle w:val="TableText"/>
              <w:jc w:val="center"/>
              <w:rPr>
                <w:color w:val="000000"/>
              </w:rPr>
            </w:pPr>
            <w:r w:rsidRPr="00261B7A">
              <w:rPr>
                <w:color w:val="000000"/>
              </w:rPr>
              <w:t>2,326.2</w:t>
            </w:r>
          </w:p>
        </w:tc>
        <w:tc>
          <w:tcPr>
            <w:tcW w:w="917" w:type="pct"/>
            <w:shd w:val="clear" w:color="auto" w:fill="auto"/>
            <w:vAlign w:val="center"/>
            <w:hideMark/>
          </w:tcPr>
          <w:p w14:paraId="532386B5" w14:textId="77777777" w:rsidR="00994F64" w:rsidRPr="00261B7A" w:rsidRDefault="00994F64" w:rsidP="00501B0F">
            <w:pPr>
              <w:pStyle w:val="TableText"/>
              <w:jc w:val="center"/>
              <w:rPr>
                <w:color w:val="000000"/>
              </w:rPr>
            </w:pPr>
            <w:r w:rsidRPr="00261B7A">
              <w:rPr>
                <w:color w:val="000000"/>
              </w:rPr>
              <w:t>44.6</w:t>
            </w:r>
          </w:p>
        </w:tc>
      </w:tr>
      <w:tr w:rsidR="00994F64" w:rsidRPr="00261B7A" w14:paraId="4885DFF5" w14:textId="77777777" w:rsidTr="00501B0F">
        <w:tc>
          <w:tcPr>
            <w:tcW w:w="927" w:type="pct"/>
            <w:vMerge/>
            <w:vAlign w:val="center"/>
            <w:hideMark/>
          </w:tcPr>
          <w:p w14:paraId="649EEACD" w14:textId="77777777" w:rsidR="00994F64" w:rsidRPr="00261B7A" w:rsidRDefault="00994F64" w:rsidP="00501B0F">
            <w:pPr>
              <w:pStyle w:val="TableText"/>
              <w:rPr>
                <w:color w:val="000000"/>
              </w:rPr>
            </w:pPr>
          </w:p>
        </w:tc>
        <w:tc>
          <w:tcPr>
            <w:tcW w:w="1407" w:type="pct"/>
            <w:shd w:val="clear" w:color="auto" w:fill="auto"/>
            <w:vAlign w:val="center"/>
            <w:hideMark/>
          </w:tcPr>
          <w:p w14:paraId="3FA29A02" w14:textId="77777777" w:rsidR="00994F64" w:rsidRPr="00261B7A" w:rsidRDefault="00994F64" w:rsidP="00501B0F">
            <w:pPr>
              <w:pStyle w:val="TableText"/>
              <w:rPr>
                <w:color w:val="000000"/>
              </w:rPr>
            </w:pPr>
            <w:r w:rsidRPr="00261B7A">
              <w:rPr>
                <w:color w:val="000000"/>
              </w:rPr>
              <w:t>Difference in emissions estimates compared with current inventory </w:t>
            </w:r>
          </w:p>
        </w:tc>
        <w:tc>
          <w:tcPr>
            <w:tcW w:w="417" w:type="pct"/>
            <w:shd w:val="clear" w:color="auto" w:fill="auto"/>
            <w:vAlign w:val="center"/>
            <w:hideMark/>
          </w:tcPr>
          <w:p w14:paraId="5BFB08E7" w14:textId="77777777" w:rsidR="00994F64" w:rsidRPr="00261B7A" w:rsidRDefault="00994F64" w:rsidP="00501B0F">
            <w:pPr>
              <w:pStyle w:val="TableText"/>
              <w:jc w:val="center"/>
              <w:rPr>
                <w:color w:val="000000"/>
              </w:rPr>
            </w:pPr>
            <w:r w:rsidRPr="00261B7A">
              <w:rPr>
                <w:color w:val="000000"/>
              </w:rPr>
              <w:t>–111.5</w:t>
            </w:r>
          </w:p>
        </w:tc>
        <w:tc>
          <w:tcPr>
            <w:tcW w:w="416" w:type="pct"/>
            <w:shd w:val="clear" w:color="auto" w:fill="auto"/>
            <w:vAlign w:val="center"/>
            <w:hideMark/>
          </w:tcPr>
          <w:p w14:paraId="48917F60" w14:textId="77777777" w:rsidR="00994F64" w:rsidRPr="00261B7A" w:rsidRDefault="00994F64" w:rsidP="00501B0F">
            <w:pPr>
              <w:pStyle w:val="TableText"/>
              <w:jc w:val="center"/>
              <w:rPr>
                <w:color w:val="000000"/>
              </w:rPr>
            </w:pPr>
            <w:r w:rsidRPr="00261B7A">
              <w:rPr>
                <w:color w:val="000000"/>
              </w:rPr>
              <w:t>–346.6</w:t>
            </w:r>
          </w:p>
        </w:tc>
        <w:tc>
          <w:tcPr>
            <w:tcW w:w="917" w:type="pct"/>
            <w:shd w:val="clear" w:color="auto" w:fill="auto"/>
            <w:vAlign w:val="center"/>
            <w:hideMark/>
          </w:tcPr>
          <w:p w14:paraId="10D07093" w14:textId="77777777" w:rsidR="00994F64" w:rsidRPr="00261B7A" w:rsidRDefault="00994F64" w:rsidP="00501B0F">
            <w:pPr>
              <w:pStyle w:val="TableText"/>
              <w:jc w:val="center"/>
              <w:rPr>
                <w:color w:val="000000"/>
              </w:rPr>
            </w:pPr>
            <w:r w:rsidRPr="00261B7A">
              <w:rPr>
                <w:color w:val="000000"/>
              </w:rPr>
              <w:t>–235.1</w:t>
            </w:r>
          </w:p>
        </w:tc>
        <w:tc>
          <w:tcPr>
            <w:tcW w:w="917" w:type="pct"/>
            <w:shd w:val="clear" w:color="auto" w:fill="auto"/>
            <w:vAlign w:val="center"/>
            <w:hideMark/>
          </w:tcPr>
          <w:p w14:paraId="277B840E" w14:textId="77777777" w:rsidR="00994F64" w:rsidRPr="00261B7A" w:rsidRDefault="00994F64" w:rsidP="00501B0F">
            <w:pPr>
              <w:pStyle w:val="TableText"/>
              <w:jc w:val="center"/>
              <w:rPr>
                <w:color w:val="000000"/>
              </w:rPr>
            </w:pPr>
          </w:p>
        </w:tc>
      </w:tr>
      <w:tr w:rsidR="00994F64" w:rsidRPr="00261B7A" w14:paraId="4949C033" w14:textId="77777777" w:rsidTr="00501B0F">
        <w:tc>
          <w:tcPr>
            <w:tcW w:w="927" w:type="pct"/>
            <w:vMerge/>
            <w:vAlign w:val="center"/>
            <w:hideMark/>
          </w:tcPr>
          <w:p w14:paraId="52ED8FCC" w14:textId="77777777" w:rsidR="00994F64" w:rsidRPr="00261B7A" w:rsidRDefault="00994F64" w:rsidP="00501B0F">
            <w:pPr>
              <w:pStyle w:val="TableText"/>
              <w:rPr>
                <w:color w:val="000000"/>
              </w:rPr>
            </w:pPr>
          </w:p>
        </w:tc>
        <w:tc>
          <w:tcPr>
            <w:tcW w:w="1407" w:type="pct"/>
            <w:shd w:val="clear" w:color="auto" w:fill="auto"/>
            <w:vAlign w:val="center"/>
            <w:hideMark/>
          </w:tcPr>
          <w:p w14:paraId="7EB25E1F" w14:textId="77777777" w:rsidR="00994F64" w:rsidRPr="00261B7A" w:rsidRDefault="00994F64" w:rsidP="00501B0F">
            <w:pPr>
              <w:pStyle w:val="TableText"/>
              <w:rPr>
                <w:color w:val="000000"/>
              </w:rPr>
            </w:pPr>
            <w:r w:rsidRPr="00261B7A">
              <w:rPr>
                <w:color w:val="000000"/>
              </w:rPr>
              <w:t>Percentage difference in emissions estimates (%)</w:t>
            </w:r>
          </w:p>
        </w:tc>
        <w:tc>
          <w:tcPr>
            <w:tcW w:w="417" w:type="pct"/>
            <w:shd w:val="clear" w:color="auto" w:fill="auto"/>
            <w:vAlign w:val="center"/>
            <w:hideMark/>
          </w:tcPr>
          <w:p w14:paraId="1BD1C360" w14:textId="77777777" w:rsidR="00994F64" w:rsidRPr="00261B7A" w:rsidRDefault="00994F64" w:rsidP="00501B0F">
            <w:pPr>
              <w:pStyle w:val="TableText"/>
              <w:jc w:val="center"/>
              <w:rPr>
                <w:color w:val="000000"/>
              </w:rPr>
            </w:pPr>
            <w:r w:rsidRPr="00261B7A">
              <w:rPr>
                <w:color w:val="000000"/>
              </w:rPr>
              <w:t>–2.1</w:t>
            </w:r>
          </w:p>
        </w:tc>
        <w:tc>
          <w:tcPr>
            <w:tcW w:w="416" w:type="pct"/>
            <w:shd w:val="clear" w:color="auto" w:fill="auto"/>
            <w:vAlign w:val="center"/>
            <w:hideMark/>
          </w:tcPr>
          <w:p w14:paraId="5940F3F1" w14:textId="77777777" w:rsidR="00994F64" w:rsidRPr="00261B7A" w:rsidRDefault="00994F64" w:rsidP="00501B0F">
            <w:pPr>
              <w:pStyle w:val="TableText"/>
              <w:jc w:val="center"/>
              <w:rPr>
                <w:color w:val="000000"/>
              </w:rPr>
            </w:pPr>
            <w:r w:rsidRPr="00261B7A">
              <w:rPr>
                <w:color w:val="000000"/>
              </w:rPr>
              <w:t>–4.4</w:t>
            </w:r>
          </w:p>
        </w:tc>
        <w:tc>
          <w:tcPr>
            <w:tcW w:w="917" w:type="pct"/>
            <w:shd w:val="clear" w:color="auto" w:fill="auto"/>
            <w:vAlign w:val="center"/>
            <w:hideMark/>
          </w:tcPr>
          <w:p w14:paraId="2BDB5BFD" w14:textId="77777777" w:rsidR="00994F64" w:rsidRPr="00261B7A" w:rsidRDefault="00994F64" w:rsidP="00501B0F">
            <w:pPr>
              <w:pStyle w:val="TableText"/>
              <w:jc w:val="center"/>
              <w:rPr>
                <w:color w:val="000000"/>
              </w:rPr>
            </w:pPr>
          </w:p>
        </w:tc>
        <w:tc>
          <w:tcPr>
            <w:tcW w:w="917" w:type="pct"/>
            <w:shd w:val="clear" w:color="auto" w:fill="auto"/>
            <w:vAlign w:val="center"/>
            <w:hideMark/>
          </w:tcPr>
          <w:p w14:paraId="1964C0EB" w14:textId="77777777" w:rsidR="00994F64" w:rsidRPr="00261B7A" w:rsidRDefault="00994F64" w:rsidP="00501B0F">
            <w:pPr>
              <w:pStyle w:val="TableText"/>
              <w:jc w:val="center"/>
              <w:rPr>
                <w:color w:val="000000"/>
              </w:rPr>
            </w:pPr>
          </w:p>
        </w:tc>
      </w:tr>
    </w:tbl>
    <w:p w14:paraId="2D5F53A6" w14:textId="77777777" w:rsidR="00994F64" w:rsidRPr="00261B7A" w:rsidRDefault="00994F64" w:rsidP="00994F64">
      <w:pPr>
        <w:pStyle w:val="Heading3"/>
        <w:spacing w:before="440"/>
      </w:pPr>
      <w:r w:rsidRPr="00261B7A">
        <w:t>5.5.6</w:t>
      </w:r>
      <w:r w:rsidRPr="00261B7A">
        <w:tab/>
        <w:t>Source-specific planned improvements</w:t>
      </w:r>
      <w:bookmarkEnd w:id="1213"/>
      <w:r w:rsidRPr="00261B7A">
        <w:t xml:space="preserve"> </w:t>
      </w:r>
    </w:p>
    <w:p w14:paraId="3D18C918" w14:textId="77777777" w:rsidR="00994F64" w:rsidRPr="00261B7A" w:rsidRDefault="00994F64" w:rsidP="00994F64">
      <w:pPr>
        <w:pStyle w:val="BodyText"/>
        <w:rPr>
          <w:rFonts w:cs="Calibri"/>
        </w:rPr>
      </w:pPr>
      <w:r w:rsidRPr="00261B7A">
        <w:rPr>
          <w:rFonts w:cs="Calibri"/>
        </w:rPr>
        <w:t>New Zealand is carrying out ongoing research to improve estimates of N</w:t>
      </w:r>
      <w:r w:rsidRPr="00261B7A">
        <w:rPr>
          <w:rFonts w:cs="Calibri"/>
          <w:vertAlign w:val="subscript"/>
        </w:rPr>
        <w:t>2</w:t>
      </w:r>
      <w:r w:rsidRPr="00261B7A">
        <w:rPr>
          <w:rFonts w:cs="Calibri"/>
        </w:rPr>
        <w:t>O emissions from the </w:t>
      </w:r>
      <w:r w:rsidRPr="00261B7A">
        <w:rPr>
          <w:rFonts w:cs="Calibri"/>
          <w:i/>
          <w:iCs/>
        </w:rPr>
        <w:t>Agricultural soils</w:t>
      </w:r>
      <w:r w:rsidRPr="00261B7A">
        <w:rPr>
          <w:rFonts w:cs="Calibri"/>
        </w:rPr>
        <w:t xml:space="preserve"> category. </w:t>
      </w:r>
      <w:bookmarkStart w:id="1218" w:name="_Hlk61527169"/>
      <w:r w:rsidRPr="00261B7A">
        <w:rPr>
          <w:rFonts w:cs="Calibri"/>
        </w:rPr>
        <w:t xml:space="preserve">The projects described below outline research focused specifically on the </w:t>
      </w:r>
      <w:r w:rsidRPr="00261B7A">
        <w:rPr>
          <w:rFonts w:cs="Calibri"/>
          <w:i/>
          <w:iCs/>
        </w:rPr>
        <w:t>Agricultural soils</w:t>
      </w:r>
      <w:r w:rsidRPr="00261B7A">
        <w:rPr>
          <w:rFonts w:cs="Calibri"/>
        </w:rPr>
        <w:t xml:space="preserve"> component of the Agriculture inventory, although several cross-cutting, broader projects will improve the accuracy of emissions in multiple categories (including </w:t>
      </w:r>
      <w:r w:rsidRPr="00261B7A">
        <w:rPr>
          <w:rFonts w:cs="Calibri"/>
          <w:i/>
        </w:rPr>
        <w:t>Enteric fermentation</w:t>
      </w:r>
      <w:r w:rsidRPr="00261B7A">
        <w:rPr>
          <w:rFonts w:cs="Calibri"/>
        </w:rPr>
        <w:t xml:space="preserve">, </w:t>
      </w:r>
      <w:r w:rsidRPr="00261B7A">
        <w:rPr>
          <w:rFonts w:cs="Calibri"/>
          <w:i/>
        </w:rPr>
        <w:t>Manure management</w:t>
      </w:r>
      <w:r w:rsidRPr="00261B7A">
        <w:rPr>
          <w:rFonts w:cs="Calibri"/>
        </w:rPr>
        <w:t xml:space="preserve"> and </w:t>
      </w:r>
      <w:r w:rsidRPr="00261B7A">
        <w:rPr>
          <w:rFonts w:cs="Calibri"/>
          <w:i/>
          <w:iCs/>
        </w:rPr>
        <w:t>Agricultural soils</w:t>
      </w:r>
      <w:r w:rsidRPr="00261B7A">
        <w:rPr>
          <w:rFonts w:cs="Calibri"/>
        </w:rPr>
        <w:t>) that are described in section 5.1.7.</w:t>
      </w:r>
      <w:bookmarkEnd w:id="1218"/>
    </w:p>
    <w:p w14:paraId="7AE763A0" w14:textId="77777777" w:rsidR="00994F64" w:rsidRPr="00261B7A" w:rsidRDefault="00994F64" w:rsidP="00994F64">
      <w:pPr>
        <w:pStyle w:val="Heading5"/>
      </w:pPr>
      <w:r w:rsidRPr="00261B7A">
        <w:t>Nitrous oxide</w:t>
      </w:r>
      <w:r w:rsidRPr="00261B7A" w:rsidDel="00637A3F">
        <w:t xml:space="preserve"> </w:t>
      </w:r>
      <w:r w:rsidRPr="00261B7A">
        <w:t>emissions from nitrogen fertilisers</w:t>
      </w:r>
    </w:p>
    <w:p w14:paraId="19E5DD06" w14:textId="77777777" w:rsidR="00994F64" w:rsidRPr="00261B7A" w:rsidRDefault="00994F64" w:rsidP="00994F64">
      <w:pPr>
        <w:pStyle w:val="BodyText"/>
      </w:pPr>
      <w:r w:rsidRPr="00261B7A">
        <w:t>This project will investigate whether more disaggregated emission factors for different types of nitrogen fertilisers are needed. The Agriculture inventory estimates direct N</w:t>
      </w:r>
      <w:r w:rsidRPr="00261B7A">
        <w:rPr>
          <w:vertAlign w:val="subscript"/>
        </w:rPr>
        <w:t>2</w:t>
      </w:r>
      <w:r w:rsidRPr="00261B7A">
        <w:t>O emissions from the application of synthetic nitrogen fertiliser, and currently has separate emission factor (EF</w:t>
      </w:r>
      <w:r w:rsidRPr="00261B7A">
        <w:rPr>
          <w:vertAlign w:val="subscript"/>
        </w:rPr>
        <w:t>1</w:t>
      </w:r>
      <w:r w:rsidRPr="00261B7A">
        <w:t>) values for urea and non-urea fertiliser. Field trials are under way to determine the difference in EF</w:t>
      </w:r>
      <w:r w:rsidRPr="00261B7A">
        <w:rPr>
          <w:vertAlign w:val="subscript"/>
        </w:rPr>
        <w:t>1</w:t>
      </w:r>
      <w:r w:rsidRPr="00261B7A">
        <w:t xml:space="preserve"> values for different types of non-urea nitrogen fertilisers.</w:t>
      </w:r>
    </w:p>
    <w:p w14:paraId="225CF83D" w14:textId="77777777" w:rsidR="00994F64" w:rsidRPr="00261B7A" w:rsidRDefault="00994F64" w:rsidP="00994F64">
      <w:pPr>
        <w:pStyle w:val="Heading5"/>
      </w:pPr>
      <w:r w:rsidRPr="00261B7A">
        <w:t>Measurements of nitrous oxide in spring and summer to develop EF</w:t>
      </w:r>
      <w:r w:rsidRPr="00261B7A">
        <w:rPr>
          <w:vertAlign w:val="subscript"/>
        </w:rPr>
        <w:t>3</w:t>
      </w:r>
      <w:r w:rsidRPr="00261B7A">
        <w:t xml:space="preserve"> values that vary by season</w:t>
      </w:r>
    </w:p>
    <w:p w14:paraId="63ABF375" w14:textId="77777777" w:rsidR="00994F64" w:rsidRPr="00261B7A" w:rsidRDefault="00994F64" w:rsidP="00994F64">
      <w:pPr>
        <w:pStyle w:val="BodyText"/>
      </w:pPr>
      <w:r w:rsidRPr="00261B7A">
        <w:t>The database used to produce country-specific N</w:t>
      </w:r>
      <w:r w:rsidRPr="00261B7A">
        <w:rPr>
          <w:vertAlign w:val="subscript"/>
        </w:rPr>
        <w:t>2</w:t>
      </w:r>
      <w:r w:rsidRPr="00261B7A">
        <w:t>O EF</w:t>
      </w:r>
      <w:r w:rsidRPr="00261B7A">
        <w:rPr>
          <w:vertAlign w:val="subscript"/>
        </w:rPr>
        <w:t>3</w:t>
      </w:r>
      <w:r w:rsidRPr="00261B7A">
        <w:t xml:space="preserve"> values is currently unbalanced, with ‘summer’ data representing only 11 per cent of the dataset and ‘spring’ data also being under-represented albeit to a lesser extent. A series of summer and spring-based N</w:t>
      </w:r>
      <w:r w:rsidRPr="00261B7A">
        <w:rPr>
          <w:vertAlign w:val="subscript"/>
        </w:rPr>
        <w:t>2</w:t>
      </w:r>
      <w:r w:rsidRPr="00261B7A">
        <w:t>O EF</w:t>
      </w:r>
      <w:r w:rsidRPr="00261B7A">
        <w:rPr>
          <w:vertAlign w:val="subscript"/>
        </w:rPr>
        <w:t>3</w:t>
      </w:r>
      <w:r w:rsidRPr="00261B7A">
        <w:t xml:space="preserve"> field studies across New Zealand will be conducted, with key soil and climate data also being reported on. This research will expand on the collection of the traditional set of soil and climate data to provide for future development of Tier 3 emission factors via process-based modelling of the dataset.</w:t>
      </w:r>
    </w:p>
    <w:p w14:paraId="56A7AB4A" w14:textId="77777777" w:rsidR="00994F64" w:rsidRPr="00261B7A" w:rsidRDefault="00994F64" w:rsidP="00994F64">
      <w:pPr>
        <w:pStyle w:val="Heading5"/>
      </w:pPr>
      <w:r w:rsidRPr="00261B7A">
        <w:t>Improving organic soil activity data</w:t>
      </w:r>
    </w:p>
    <w:p w14:paraId="79632346" w14:textId="77777777" w:rsidR="00994F64" w:rsidRPr="00261B7A" w:rsidRDefault="00994F64" w:rsidP="00994F64">
      <w:pPr>
        <w:pStyle w:val="BodyText"/>
      </w:pPr>
      <w:r w:rsidRPr="00261B7A">
        <w:t>This project will build on recently completed work assessing what is required so that New Zealand can implement the 2013 IPCC Wetland Supplement into the inventory (IPCC, 2014). The 2006 IPCC Guidelines (IPCC, 2006) are still used to estimate greenhouse gas emissions from managed organic soils, however, improved activity data and national emission factors are required to improve the accuracy of emissions accounting and reduce associated uncertainties.</w:t>
      </w:r>
    </w:p>
    <w:p w14:paraId="6B4D3C1F" w14:textId="77777777" w:rsidR="00994F64" w:rsidRPr="00261B7A" w:rsidRDefault="00994F64" w:rsidP="00994F64">
      <w:pPr>
        <w:pStyle w:val="Heading5"/>
      </w:pPr>
      <w:r w:rsidRPr="00261B7A">
        <w:t>Quantifying nitrous oxide emissions from eutrophic lakes</w:t>
      </w:r>
    </w:p>
    <w:p w14:paraId="0D086FAB" w14:textId="77777777" w:rsidR="00994F64" w:rsidRPr="00261B7A" w:rsidRDefault="00994F64" w:rsidP="00994F64">
      <w:pPr>
        <w:pStyle w:val="BodyText"/>
      </w:pPr>
      <w:r w:rsidRPr="00261B7A">
        <w:t>Eutrophic lakes are linked to nitrogen and/or phosphorous pollution from agriculture runoffs and wastewater discharge, with recent research showing much higher N</w:t>
      </w:r>
      <w:r w:rsidRPr="00261B7A">
        <w:rPr>
          <w:vertAlign w:val="subscript"/>
        </w:rPr>
        <w:t>2</w:t>
      </w:r>
      <w:r w:rsidRPr="00261B7A">
        <w:t>O emissions from eutrophic lakes than was previously calculated based on N</w:t>
      </w:r>
      <w:r w:rsidRPr="00261B7A">
        <w:rPr>
          <w:vertAlign w:val="subscript"/>
        </w:rPr>
        <w:t>2</w:t>
      </w:r>
      <w:r w:rsidRPr="00261B7A">
        <w:t>O production by bacteria. It is predicted that microalgae are responsible for this unexpected result. This project will aim to quantify N</w:t>
      </w:r>
      <w:r w:rsidRPr="00261B7A">
        <w:rPr>
          <w:vertAlign w:val="subscript"/>
        </w:rPr>
        <w:t>2</w:t>
      </w:r>
      <w:r w:rsidRPr="00261B7A">
        <w:t>O emissions from a eutrophic lake due to microalgal activity to determine whether this is a significant source of emissions on a national scale. If this research demonstrates that there are significant N</w:t>
      </w:r>
      <w:r w:rsidRPr="00261B7A">
        <w:rPr>
          <w:vertAlign w:val="subscript"/>
        </w:rPr>
        <w:t>2</w:t>
      </w:r>
      <w:r w:rsidRPr="00261B7A">
        <w:t>O emissions from eutrophic lakes, further research will be explored.</w:t>
      </w:r>
    </w:p>
    <w:p w14:paraId="17B0B715" w14:textId="77777777" w:rsidR="00994F64" w:rsidRPr="00261B7A" w:rsidRDefault="00994F64" w:rsidP="00994F64">
      <w:pPr>
        <w:pStyle w:val="Heading5"/>
      </w:pPr>
      <w:r w:rsidRPr="00261B7A">
        <w:t>Inventory methodology for enhanced rock weathering</w:t>
      </w:r>
    </w:p>
    <w:p w14:paraId="716C70CD" w14:textId="5B37AAAA" w:rsidR="00994F64" w:rsidRPr="00261B7A" w:rsidRDefault="00994F64" w:rsidP="00994F64">
      <w:pPr>
        <w:pStyle w:val="BodyText"/>
      </w:pPr>
      <w:r w:rsidRPr="00261B7A">
        <w:t>Enhanced rock weathering in an emerging negative emission technology and greenhouse gas mitigation tool. This has a large scope of application in New Zealand, considering the large deposits of silicate rock nationally and suitable agricultural land. This work aims to conduct an</w:t>
      </w:r>
      <w:r w:rsidR="00A703BA">
        <w:t> </w:t>
      </w:r>
      <w:r w:rsidRPr="00261B7A">
        <w:t>assessment of the availability and suitability of silicate rock deposits in New Zealand, while also complementing this with a gap analysis of other factors that require addressing before wider scale rollout as an effective greenhouse gas mitigation tool. It will also include a first draft of a New Zealand specific inventory methodology so that it could be recognised in future inventory submissions.</w:t>
      </w:r>
    </w:p>
    <w:p w14:paraId="68304FF2" w14:textId="77777777" w:rsidR="00994F64" w:rsidRPr="00261B7A" w:rsidRDefault="00994F64" w:rsidP="00994F64">
      <w:pPr>
        <w:pStyle w:val="Heading5"/>
      </w:pPr>
      <w:r w:rsidRPr="00261B7A">
        <w:t>Review of nitrous oxide emissions from non-manure components of organic fertilisers</w:t>
      </w:r>
    </w:p>
    <w:p w14:paraId="2077F146" w14:textId="77777777" w:rsidR="00994F64" w:rsidRPr="00261B7A" w:rsidRDefault="00994F64" w:rsidP="00994F64">
      <w:pPr>
        <w:pStyle w:val="BodyText"/>
      </w:pPr>
      <w:r w:rsidRPr="00261B7A">
        <w:t>This research will provide a review and update of recommendations for N</w:t>
      </w:r>
      <w:r w:rsidRPr="00261B7A">
        <w:rPr>
          <w:vertAlign w:val="subscript"/>
        </w:rPr>
        <w:t>2</w:t>
      </w:r>
      <w:r w:rsidRPr="00261B7A">
        <w:t>O emissions from non-manure components of organic fertilisers (van der Weerden et al., 2014). This includes identifying non-manure components of organic fertilisers applied to soil, estimating annual amounts of these components across the time series, and determining the suitability of the IPCC default emission factor (EF</w:t>
      </w:r>
      <w:r w:rsidRPr="00261B7A">
        <w:rPr>
          <w:vertAlign w:val="subscript"/>
        </w:rPr>
        <w:t>1</w:t>
      </w:r>
      <w:r w:rsidRPr="00261B7A">
        <w:t>) for estimating emissions from this source. It will also include a recommendation on whether non-manure organic fertiliser should be included in the national inventory or if continued use of ‘NE’ is justified.</w:t>
      </w:r>
    </w:p>
    <w:p w14:paraId="346FD5A9" w14:textId="77777777" w:rsidR="00994F64" w:rsidRPr="00261B7A" w:rsidRDefault="00994F64" w:rsidP="00994F64">
      <w:pPr>
        <w:pStyle w:val="Heading2"/>
        <w:spacing w:before="320"/>
      </w:pPr>
      <w:bookmarkStart w:id="1219" w:name="_Toc69611743"/>
      <w:bookmarkStart w:id="1220" w:name="_Toc69612699"/>
      <w:bookmarkStart w:id="1221" w:name="_Toc69612898"/>
      <w:bookmarkStart w:id="1222" w:name="_Toc69613158"/>
      <w:bookmarkStart w:id="1223" w:name="_Toc69633322"/>
      <w:bookmarkStart w:id="1224" w:name="_Toc69717487"/>
      <w:bookmarkStart w:id="1225" w:name="_Toc69802969"/>
      <w:bookmarkStart w:id="1226" w:name="_Toc69815106"/>
      <w:bookmarkStart w:id="1227" w:name="_Toc70492399"/>
      <w:bookmarkStart w:id="1228" w:name="_Toc101310606"/>
      <w:bookmarkStart w:id="1229" w:name="_Toc101318466"/>
      <w:bookmarkStart w:id="1230" w:name="_Toc101318571"/>
      <w:bookmarkStart w:id="1231" w:name="_Toc101318755"/>
      <w:bookmarkStart w:id="1232" w:name="_Toc101334031"/>
      <w:bookmarkStart w:id="1233" w:name="_Toc134847209"/>
      <w:bookmarkStart w:id="1234" w:name="_Toc139253939"/>
      <w:bookmarkStart w:id="1235" w:name="_Toc144710417"/>
      <w:bookmarkStart w:id="1236" w:name="_Toc165890371"/>
      <w:bookmarkStart w:id="1237" w:name="_Toc195322665"/>
      <w:bookmarkStart w:id="1238" w:name="_Toc235955531"/>
      <w:bookmarkStart w:id="1239" w:name="_Toc288316644"/>
      <w:bookmarkStart w:id="1240" w:name="_Toc352504864"/>
      <w:bookmarkStart w:id="1241" w:name="_Toc448321527"/>
      <w:bookmarkStart w:id="1242" w:name="_Toc481751389"/>
      <w:bookmarkStart w:id="1243" w:name="_Toc511116604"/>
      <w:bookmarkStart w:id="1244" w:name="_Toc5269366"/>
      <w:bookmarkStart w:id="1245" w:name="_Toc32570673"/>
      <w:bookmarkStart w:id="1246" w:name="_Toc36224406"/>
      <w:bookmarkStart w:id="1247" w:name="_Toc68786326"/>
      <w:bookmarkStart w:id="1248" w:name="_Toc131591241"/>
      <w:r w:rsidRPr="00261B7A">
        <w:t>5.6</w:t>
      </w:r>
      <w:r w:rsidRPr="00261B7A">
        <w:tab/>
        <w:t>Prescribed burning of savanna (CRF 3.E)</w:t>
      </w:r>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p>
    <w:p w14:paraId="416475F5" w14:textId="77777777" w:rsidR="00994F64" w:rsidRPr="00261B7A" w:rsidRDefault="00994F64" w:rsidP="00994F64">
      <w:pPr>
        <w:pStyle w:val="Heading3"/>
        <w:spacing w:before="240"/>
      </w:pPr>
      <w:bookmarkStart w:id="1249" w:name="_Toc32570674"/>
      <w:bookmarkStart w:id="1250" w:name="_Toc139253940"/>
      <w:r w:rsidRPr="00261B7A">
        <w:t>5.6.1</w:t>
      </w:r>
      <w:r w:rsidRPr="00261B7A">
        <w:tab/>
        <w:t>Description</w:t>
      </w:r>
      <w:bookmarkEnd w:id="1249"/>
    </w:p>
    <w:p w14:paraId="460E0F5F" w14:textId="77777777" w:rsidR="00994F64" w:rsidRPr="00261B7A" w:rsidRDefault="00994F64" w:rsidP="00994F64">
      <w:pPr>
        <w:pStyle w:val="BodyText"/>
        <w:rPr>
          <w:rFonts w:cs="Calibri"/>
        </w:rPr>
      </w:pPr>
      <w:r w:rsidRPr="00261B7A">
        <w:rPr>
          <w:rFonts w:cs="Calibri"/>
        </w:rPr>
        <w:t>Prescribed burning of savanna is reported under the LULUCF sector from the 2016 submission onwards.</w:t>
      </w:r>
    </w:p>
    <w:p w14:paraId="24708169" w14:textId="77777777" w:rsidR="00994F64" w:rsidRPr="00261B7A" w:rsidRDefault="00994F64" w:rsidP="00994F64">
      <w:pPr>
        <w:pStyle w:val="Heading2"/>
        <w:spacing w:before="320"/>
      </w:pPr>
      <w:bookmarkStart w:id="1251" w:name="_Toc69611744"/>
      <w:bookmarkStart w:id="1252" w:name="_Toc69612700"/>
      <w:bookmarkStart w:id="1253" w:name="_Toc69612899"/>
      <w:bookmarkStart w:id="1254" w:name="_Toc69613159"/>
      <w:bookmarkStart w:id="1255" w:name="_Toc69633323"/>
      <w:bookmarkStart w:id="1256" w:name="_Toc69717488"/>
      <w:bookmarkStart w:id="1257" w:name="_Toc69802970"/>
      <w:bookmarkStart w:id="1258" w:name="_Toc69815107"/>
      <w:bookmarkStart w:id="1259" w:name="_Toc70492400"/>
      <w:bookmarkStart w:id="1260" w:name="_Toc101310607"/>
      <w:bookmarkStart w:id="1261" w:name="_Toc101318467"/>
      <w:bookmarkStart w:id="1262" w:name="_Toc101318572"/>
      <w:bookmarkStart w:id="1263" w:name="_Toc101318756"/>
      <w:bookmarkStart w:id="1264" w:name="_Toc101334032"/>
      <w:bookmarkStart w:id="1265" w:name="_Toc134847210"/>
      <w:bookmarkStart w:id="1266" w:name="_Toc139253945"/>
      <w:bookmarkStart w:id="1267" w:name="_Toc144710418"/>
      <w:bookmarkStart w:id="1268" w:name="_Toc165890372"/>
      <w:bookmarkStart w:id="1269" w:name="_Toc195322666"/>
      <w:bookmarkStart w:id="1270" w:name="_Toc235955532"/>
      <w:bookmarkStart w:id="1271" w:name="_Toc288316645"/>
      <w:bookmarkStart w:id="1272" w:name="_Toc352504865"/>
      <w:bookmarkStart w:id="1273" w:name="_Toc448321528"/>
      <w:bookmarkStart w:id="1274" w:name="_Toc481751390"/>
      <w:bookmarkStart w:id="1275" w:name="_Toc511116605"/>
      <w:bookmarkStart w:id="1276" w:name="_Toc5269367"/>
      <w:bookmarkStart w:id="1277" w:name="_Toc32570675"/>
      <w:bookmarkStart w:id="1278" w:name="_Toc36224407"/>
      <w:bookmarkStart w:id="1279" w:name="_Toc68786327"/>
      <w:bookmarkStart w:id="1280" w:name="_Toc131591242"/>
      <w:bookmarkEnd w:id="1250"/>
      <w:r w:rsidRPr="00261B7A">
        <w:t>5.7</w:t>
      </w:r>
      <w:r w:rsidRPr="00261B7A">
        <w:tab/>
        <w:t>Field burning of agricultural residues (CRF 3.F)</w:t>
      </w:r>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p>
    <w:p w14:paraId="0B216114" w14:textId="77777777" w:rsidR="00994F64" w:rsidRPr="00261B7A" w:rsidRDefault="00994F64" w:rsidP="00994F64">
      <w:pPr>
        <w:pStyle w:val="Heading3"/>
        <w:spacing w:before="240"/>
      </w:pPr>
      <w:bookmarkStart w:id="1281" w:name="_Toc139253946"/>
      <w:bookmarkStart w:id="1282" w:name="_Toc32570676"/>
      <w:r w:rsidRPr="00261B7A">
        <w:t>5.7.1</w:t>
      </w:r>
      <w:r w:rsidRPr="00261B7A">
        <w:tab/>
        <w:t>Description</w:t>
      </w:r>
      <w:bookmarkEnd w:id="1281"/>
      <w:bookmarkEnd w:id="1282"/>
    </w:p>
    <w:p w14:paraId="1A95FE21" w14:textId="77777777" w:rsidR="00994F64" w:rsidRPr="00261B7A" w:rsidRDefault="00994F64" w:rsidP="00994F64">
      <w:pPr>
        <w:pStyle w:val="BodyText"/>
        <w:spacing w:after="100"/>
        <w:rPr>
          <w:rFonts w:cs="Calibri"/>
        </w:rPr>
      </w:pPr>
      <w:r w:rsidRPr="00261B7A">
        <w:rPr>
          <w:rFonts w:cs="Calibri"/>
          <w:i/>
          <w:iCs/>
        </w:rPr>
        <w:t>Field burning of agricultural residues</w:t>
      </w:r>
      <w:r w:rsidRPr="00261B7A">
        <w:rPr>
          <w:rFonts w:cs="Calibri"/>
        </w:rPr>
        <w:t xml:space="preserve"> contributed an estimated 22.6 kt CO</w:t>
      </w:r>
      <w:r w:rsidRPr="00261B7A">
        <w:rPr>
          <w:rFonts w:cs="Calibri"/>
          <w:vertAlign w:val="subscript"/>
        </w:rPr>
        <w:t>2</w:t>
      </w:r>
      <w:r w:rsidRPr="00261B7A">
        <w:rPr>
          <w:rFonts w:cs="Calibri"/>
        </w:rPr>
        <w:t>-e in 2021, which accounted for 0.06 per cent of Agriculture sector</w:t>
      </w:r>
      <w:r w:rsidRPr="00261B7A">
        <w:rPr>
          <w:rFonts w:cs="Calibri"/>
          <w:i/>
          <w:iCs/>
        </w:rPr>
        <w:t xml:space="preserve"> </w:t>
      </w:r>
      <w:r w:rsidRPr="00261B7A">
        <w:rPr>
          <w:rFonts w:cs="Calibri"/>
        </w:rPr>
        <w:t xml:space="preserve">emissions. Emissions from </w:t>
      </w:r>
      <w:r w:rsidRPr="00261B7A">
        <w:rPr>
          <w:rFonts w:cs="Calibri"/>
          <w:i/>
          <w:iCs/>
        </w:rPr>
        <w:t>Field burning of agricultural residues</w:t>
      </w:r>
      <w:r w:rsidRPr="00261B7A">
        <w:rPr>
          <w:rFonts w:cs="Calibri"/>
        </w:rPr>
        <w:t xml:space="preserve"> decreased 17.5 per cent (4.8 kt CO</w:t>
      </w:r>
      <w:r w:rsidRPr="00261B7A">
        <w:rPr>
          <w:rFonts w:cs="Calibri"/>
          <w:vertAlign w:val="subscript"/>
        </w:rPr>
        <w:t>2</w:t>
      </w:r>
      <w:r w:rsidRPr="00261B7A">
        <w:rPr>
          <w:rFonts w:cs="Calibri"/>
        </w:rPr>
        <w:t xml:space="preserve">-e) between 1990 and 2021. </w:t>
      </w:r>
    </w:p>
    <w:p w14:paraId="074304DE" w14:textId="77777777" w:rsidR="00994F64" w:rsidRPr="00261B7A" w:rsidRDefault="00994F64" w:rsidP="00994F64">
      <w:pPr>
        <w:pStyle w:val="BodyText"/>
        <w:spacing w:after="100"/>
        <w:rPr>
          <w:rFonts w:cs="Calibri"/>
        </w:rPr>
      </w:pPr>
      <w:r w:rsidRPr="00261B7A">
        <w:rPr>
          <w:rFonts w:cs="Calibri"/>
        </w:rPr>
        <w:t xml:space="preserve">New Zealand reports emissions from burning barley, wheat and oats residue in this category. Maize, legume and other crop residues are not usually burned in New Zealand. </w:t>
      </w:r>
    </w:p>
    <w:p w14:paraId="311E7A10" w14:textId="77777777" w:rsidR="00994F64" w:rsidRPr="00261B7A" w:rsidRDefault="00994F64" w:rsidP="00994F64">
      <w:pPr>
        <w:pStyle w:val="BodyText"/>
        <w:spacing w:after="100"/>
        <w:rPr>
          <w:rFonts w:cs="Calibri"/>
        </w:rPr>
      </w:pPr>
      <w:r w:rsidRPr="00261B7A">
        <w:rPr>
          <w:rFonts w:cs="Calibri"/>
        </w:rPr>
        <w:t>The area of burning of residues varies between years due to climatic conditions, fire risk restrictions and the amount of residue removed before burning straw (Thomas et al., 2011). Burning of crop residues is not considered to be a net source of CO</w:t>
      </w:r>
      <w:r w:rsidRPr="00261B7A">
        <w:rPr>
          <w:rFonts w:cs="Calibri"/>
          <w:vertAlign w:val="subscript"/>
        </w:rPr>
        <w:t>2</w:t>
      </w:r>
      <w:r w:rsidRPr="00261B7A">
        <w:rPr>
          <w:rFonts w:cs="Calibri"/>
        </w:rPr>
        <w:t>, because the CO</w:t>
      </w:r>
      <w:r w:rsidRPr="00261B7A">
        <w:rPr>
          <w:rFonts w:cs="Calibri"/>
          <w:vertAlign w:val="subscript"/>
        </w:rPr>
        <w:t>2</w:t>
      </w:r>
      <w:r w:rsidRPr="00261B7A">
        <w:rPr>
          <w:rFonts w:cs="Calibri"/>
        </w:rPr>
        <w:t xml:space="preserve"> released into the atmosphere was absorbed by those crops earlier in the year. However, burning is a source of emissions of CH</w:t>
      </w:r>
      <w:r w:rsidRPr="00261B7A">
        <w:rPr>
          <w:rFonts w:cs="Calibri"/>
          <w:vertAlign w:val="subscript"/>
        </w:rPr>
        <w:t>4</w:t>
      </w:r>
      <w:r w:rsidRPr="00261B7A">
        <w:rPr>
          <w:rFonts w:cs="Calibri"/>
        </w:rPr>
        <w:t>, carbon monoxide (CO), N</w:t>
      </w:r>
      <w:r w:rsidRPr="00261B7A">
        <w:rPr>
          <w:rFonts w:cs="Calibri"/>
          <w:vertAlign w:val="subscript"/>
        </w:rPr>
        <w:t>2</w:t>
      </w:r>
      <w:r w:rsidRPr="00261B7A">
        <w:rPr>
          <w:rFonts w:cs="Calibri"/>
        </w:rPr>
        <w:t>O and NO</w:t>
      </w:r>
      <w:r w:rsidRPr="00261B7A">
        <w:rPr>
          <w:rFonts w:cs="Calibri"/>
          <w:vertAlign w:val="subscript"/>
        </w:rPr>
        <w:t>x</w:t>
      </w:r>
      <w:r w:rsidRPr="00261B7A">
        <w:rPr>
          <w:rFonts w:cs="Calibri"/>
        </w:rPr>
        <w:t xml:space="preserve"> (IPCC, 2006).</w:t>
      </w:r>
    </w:p>
    <w:p w14:paraId="793D813D" w14:textId="77777777" w:rsidR="00994F64" w:rsidRPr="00261B7A" w:rsidRDefault="00994F64" w:rsidP="00994F64">
      <w:pPr>
        <w:pStyle w:val="BodyText"/>
        <w:spacing w:after="100"/>
        <w:rPr>
          <w:rFonts w:cs="Calibri"/>
        </w:rPr>
      </w:pPr>
      <w:r w:rsidRPr="00261B7A">
        <w:rPr>
          <w:rFonts w:cs="Calibri"/>
        </w:rPr>
        <w:t xml:space="preserve">Burning of agricultural residues was not identified as a key category in 2021. </w:t>
      </w:r>
    </w:p>
    <w:p w14:paraId="479401A9" w14:textId="77777777" w:rsidR="00994F64" w:rsidRPr="00261B7A" w:rsidRDefault="00994F64" w:rsidP="00994F64">
      <w:pPr>
        <w:pStyle w:val="Heading3"/>
        <w:spacing w:before="320"/>
      </w:pPr>
      <w:bookmarkStart w:id="1283" w:name="_Toc32570677"/>
      <w:r w:rsidRPr="00261B7A">
        <w:t>5.7.2</w:t>
      </w:r>
      <w:r w:rsidRPr="00261B7A">
        <w:tab/>
        <w:t>Methodological issues</w:t>
      </w:r>
      <w:bookmarkEnd w:id="1283"/>
      <w:r w:rsidRPr="00261B7A">
        <w:t xml:space="preserve"> </w:t>
      </w:r>
    </w:p>
    <w:p w14:paraId="14109E05" w14:textId="77777777" w:rsidR="00994F64" w:rsidRPr="00261B7A" w:rsidRDefault="00994F64" w:rsidP="00994F64">
      <w:pPr>
        <w:pStyle w:val="BodyText"/>
        <w:rPr>
          <w:rFonts w:cs="Calibri"/>
        </w:rPr>
      </w:pPr>
      <w:r w:rsidRPr="00261B7A">
        <w:rPr>
          <w:rFonts w:cs="Calibri"/>
        </w:rPr>
        <w:t xml:space="preserve">The emissions from burning agricultural residues are estimated using country-specific methodology and parameters (Thomas et al., 2008, 2011). A modification of the IPCC (1996) methodology considers differences in the available crop activity data between 1990 and 2004 and 2005 and 2016. </w:t>
      </w:r>
    </w:p>
    <w:p w14:paraId="5C8ACF53" w14:textId="77777777" w:rsidR="00994F64" w:rsidRPr="00261B7A" w:rsidRDefault="00994F64" w:rsidP="00994F64">
      <w:pPr>
        <w:pStyle w:val="BodyText"/>
      </w:pPr>
      <w:r w:rsidRPr="00261B7A">
        <w:t>Following the IPCC (1996) methodology, CH</w:t>
      </w:r>
      <w:r w:rsidRPr="00261B7A">
        <w:rPr>
          <w:vertAlign w:val="subscript"/>
        </w:rPr>
        <w:t>4</w:t>
      </w:r>
      <w:r w:rsidRPr="00261B7A">
        <w:t>, CO, N</w:t>
      </w:r>
      <w:r w:rsidRPr="00261B7A">
        <w:rPr>
          <w:vertAlign w:val="subscript"/>
        </w:rPr>
        <w:t>2</w:t>
      </w:r>
      <w:r w:rsidRPr="00261B7A">
        <w:t>O and NO</w:t>
      </w:r>
      <w:r w:rsidRPr="00261B7A">
        <w:rPr>
          <w:vertAlign w:val="subscript"/>
        </w:rPr>
        <w:t xml:space="preserve">x </w:t>
      </w:r>
      <w:r w:rsidRPr="00261B7A">
        <w:t>emissions are calculated from the carbon and nitrogen released from the burned live and dead biomass residue using the ratios in table 5.7.1; the nitrogen released is derived from the carbon released using a carbon</w:t>
      </w:r>
      <w:r w:rsidRPr="00261B7A">
        <w:noBreakHyphen/>
        <w:t>to-nitrogen ratio.</w:t>
      </w:r>
    </w:p>
    <w:p w14:paraId="5440951E" w14:textId="77777777" w:rsidR="00994F64" w:rsidRPr="00261B7A" w:rsidRDefault="00994F64" w:rsidP="00994F64">
      <w:pPr>
        <w:pStyle w:val="Table"/>
        <w:rPr>
          <w:rFonts w:cs="Calibri"/>
        </w:rPr>
      </w:pPr>
      <w:bookmarkStart w:id="1284" w:name="_Toc352504981"/>
      <w:bookmarkStart w:id="1285" w:name="_Toc441830890"/>
      <w:bookmarkStart w:id="1286" w:name="_Toc451176104"/>
      <w:bookmarkStart w:id="1287" w:name="_Toc481751534"/>
      <w:bookmarkStart w:id="1288" w:name="_Toc507158620"/>
      <w:bookmarkStart w:id="1289" w:name="_Toc511116754"/>
      <w:bookmarkStart w:id="1290" w:name="_Toc5269496"/>
      <w:bookmarkStart w:id="1291" w:name="_Toc32570943"/>
      <w:bookmarkStart w:id="1292" w:name="_Toc36224578"/>
      <w:bookmarkStart w:id="1293" w:name="_Toc68786463"/>
      <w:bookmarkStart w:id="1294" w:name="_Toc95574094"/>
      <w:bookmarkStart w:id="1295" w:name="_Toc127458283"/>
      <w:bookmarkStart w:id="1296" w:name="_Toc131591379"/>
      <w:r w:rsidRPr="00261B7A">
        <w:rPr>
          <w:rFonts w:cs="Calibri"/>
        </w:rPr>
        <w:t>Table 5.7.1</w:t>
      </w:r>
      <w:r w:rsidRPr="00261B7A">
        <w:rPr>
          <w:rFonts w:cs="Calibri"/>
        </w:rPr>
        <w:tab/>
        <w:t>Emission ratios for agricultural residue burning</w:t>
      </w:r>
      <w:bookmarkEnd w:id="1284"/>
      <w:bookmarkEnd w:id="1285"/>
      <w:bookmarkEnd w:id="1286"/>
      <w:bookmarkEnd w:id="1287"/>
      <w:bookmarkEnd w:id="1288"/>
      <w:bookmarkEnd w:id="1289"/>
      <w:bookmarkEnd w:id="1290"/>
      <w:bookmarkEnd w:id="1291"/>
      <w:bookmarkEnd w:id="1292"/>
      <w:bookmarkEnd w:id="1293"/>
      <w:bookmarkEnd w:id="1294"/>
      <w:bookmarkEnd w:id="1295"/>
      <w:bookmarkEnd w:id="1296"/>
    </w:p>
    <w:tbl>
      <w:tblPr>
        <w:tblW w:w="8505" w:type="dxa"/>
        <w:tblBorders>
          <w:top w:val="single" w:sz="4" w:space="0" w:color="1B556B" w:themeColor="text2"/>
          <w:bottom w:val="single" w:sz="4" w:space="0" w:color="1B556B" w:themeColor="text2"/>
          <w:insideH w:val="single" w:sz="4" w:space="0" w:color="1B556B" w:themeColor="text2"/>
        </w:tblBorders>
        <w:tblLook w:val="01E0" w:firstRow="1" w:lastRow="1" w:firstColumn="1" w:lastColumn="1" w:noHBand="0" w:noVBand="0"/>
      </w:tblPr>
      <w:tblGrid>
        <w:gridCol w:w="1726"/>
        <w:gridCol w:w="3204"/>
        <w:gridCol w:w="3575"/>
      </w:tblGrid>
      <w:tr w:rsidR="00994F64" w:rsidRPr="00261B7A" w14:paraId="205370E2" w14:textId="77777777" w:rsidTr="00501B0F">
        <w:tc>
          <w:tcPr>
            <w:tcW w:w="1611" w:type="dxa"/>
            <w:shd w:val="clear" w:color="auto" w:fill="1B556B"/>
            <w:vAlign w:val="bottom"/>
          </w:tcPr>
          <w:p w14:paraId="4CA5844D" w14:textId="77777777" w:rsidR="00994F64" w:rsidRPr="00261B7A" w:rsidRDefault="00994F64" w:rsidP="00501B0F">
            <w:pPr>
              <w:pStyle w:val="TableTextBold"/>
              <w:keepNext/>
              <w:spacing w:before="50" w:after="50"/>
              <w:rPr>
                <w:noProof w:val="0"/>
                <w:color w:val="FFFFFF" w:themeColor="background1"/>
              </w:rPr>
            </w:pPr>
            <w:r w:rsidRPr="00261B7A">
              <w:rPr>
                <w:noProof w:val="0"/>
                <w:color w:val="FFFFFF" w:themeColor="background1"/>
              </w:rPr>
              <w:t>Gas</w:t>
            </w:r>
          </w:p>
        </w:tc>
        <w:tc>
          <w:tcPr>
            <w:tcW w:w="2990" w:type="dxa"/>
            <w:shd w:val="clear" w:color="auto" w:fill="1B556B"/>
            <w:vAlign w:val="bottom"/>
          </w:tcPr>
          <w:p w14:paraId="04D1671A" w14:textId="77777777" w:rsidR="00994F64" w:rsidRPr="00261B7A" w:rsidRDefault="00994F64" w:rsidP="00501B0F">
            <w:pPr>
              <w:pStyle w:val="TableTextBold"/>
              <w:keepNext/>
              <w:spacing w:before="50" w:after="50"/>
              <w:rPr>
                <w:noProof w:val="0"/>
                <w:color w:val="FFFFFF" w:themeColor="background1"/>
              </w:rPr>
            </w:pPr>
            <w:r w:rsidRPr="00261B7A">
              <w:rPr>
                <w:noProof w:val="0"/>
                <w:color w:val="FFFFFF" w:themeColor="background1"/>
              </w:rPr>
              <w:t xml:space="preserve">Emission ratio </w:t>
            </w:r>
            <w:r w:rsidRPr="00261B7A">
              <w:rPr>
                <w:b w:val="0"/>
                <w:noProof w:val="0"/>
                <w:color w:val="FFFFFF" w:themeColor="background1"/>
              </w:rPr>
              <w:br/>
            </w:r>
            <w:r w:rsidRPr="00261B7A">
              <w:rPr>
                <w:bCs/>
                <w:noProof w:val="0"/>
                <w:color w:val="FFFFFF" w:themeColor="background1"/>
              </w:rPr>
              <w:t>(Revised</w:t>
            </w:r>
            <w:r w:rsidRPr="00261B7A">
              <w:rPr>
                <w:b w:val="0"/>
                <w:noProof w:val="0"/>
                <w:color w:val="FFFFFF" w:themeColor="background1"/>
              </w:rPr>
              <w:t xml:space="preserve"> </w:t>
            </w:r>
            <w:r w:rsidRPr="00261B7A">
              <w:rPr>
                <w:noProof w:val="0"/>
                <w:color w:val="FFFFFF" w:themeColor="background1"/>
              </w:rPr>
              <w:t>IPCC 1996 Guidelines)</w:t>
            </w:r>
          </w:p>
        </w:tc>
        <w:tc>
          <w:tcPr>
            <w:tcW w:w="3337" w:type="dxa"/>
            <w:shd w:val="clear" w:color="auto" w:fill="1B556B"/>
          </w:tcPr>
          <w:p w14:paraId="706CFDD9" w14:textId="77777777" w:rsidR="00994F64" w:rsidRPr="00261B7A" w:rsidRDefault="00994F64" w:rsidP="00501B0F">
            <w:pPr>
              <w:pStyle w:val="TableTextBold"/>
              <w:keepNext/>
              <w:spacing w:before="50" w:after="50"/>
              <w:rPr>
                <w:noProof w:val="0"/>
                <w:color w:val="FFFFFF" w:themeColor="background1"/>
              </w:rPr>
            </w:pPr>
            <w:r w:rsidRPr="00261B7A">
              <w:rPr>
                <w:noProof w:val="0"/>
                <w:color w:val="FFFFFF" w:themeColor="background1"/>
              </w:rPr>
              <w:t>Conversion ratio from carbon or nitrogen to specified greenhouse gas</w:t>
            </w:r>
            <w:r w:rsidRPr="00261B7A">
              <w:rPr>
                <w:noProof w:val="0"/>
                <w:color w:val="FFFFFF" w:themeColor="background1"/>
              </w:rPr>
              <w:br/>
              <w:t>(Revised IPCC 1996 Guidelines)</w:t>
            </w:r>
          </w:p>
        </w:tc>
      </w:tr>
      <w:tr w:rsidR="00994F64" w:rsidRPr="00261B7A" w14:paraId="32830B59" w14:textId="77777777" w:rsidTr="00501B0F">
        <w:tc>
          <w:tcPr>
            <w:tcW w:w="1611" w:type="dxa"/>
          </w:tcPr>
          <w:p w14:paraId="3C1E5C1A" w14:textId="77777777" w:rsidR="00994F64" w:rsidRPr="00261B7A" w:rsidRDefault="00994F64" w:rsidP="00501B0F">
            <w:pPr>
              <w:pStyle w:val="TableText"/>
              <w:spacing w:before="40" w:after="40"/>
              <w:rPr>
                <w:rFonts w:cs="Calibri"/>
              </w:rPr>
            </w:pPr>
            <w:r w:rsidRPr="00261B7A">
              <w:rPr>
                <w:rFonts w:cs="Calibri"/>
              </w:rPr>
              <w:t>CH</w:t>
            </w:r>
            <w:r w:rsidRPr="00261B7A">
              <w:rPr>
                <w:rFonts w:cs="Calibri"/>
                <w:vertAlign w:val="subscript"/>
              </w:rPr>
              <w:t>4</w:t>
            </w:r>
          </w:p>
        </w:tc>
        <w:tc>
          <w:tcPr>
            <w:tcW w:w="2990" w:type="dxa"/>
          </w:tcPr>
          <w:p w14:paraId="73C02EA7" w14:textId="77777777" w:rsidR="00994F64" w:rsidRPr="00261B7A" w:rsidRDefault="00994F64" w:rsidP="00501B0F">
            <w:pPr>
              <w:pStyle w:val="TableText"/>
              <w:spacing w:before="40" w:after="40"/>
              <w:rPr>
                <w:rFonts w:cs="Calibri"/>
              </w:rPr>
            </w:pPr>
            <w:r w:rsidRPr="00261B7A">
              <w:rPr>
                <w:rFonts w:cs="Calibri"/>
              </w:rPr>
              <w:t>0.005</w:t>
            </w:r>
          </w:p>
        </w:tc>
        <w:tc>
          <w:tcPr>
            <w:tcW w:w="3337" w:type="dxa"/>
          </w:tcPr>
          <w:p w14:paraId="2ECABB60" w14:textId="77777777" w:rsidR="00994F64" w:rsidRPr="00261B7A" w:rsidRDefault="00994F64" w:rsidP="00501B0F">
            <w:pPr>
              <w:pStyle w:val="TableText"/>
              <w:spacing w:before="40" w:after="40"/>
              <w:rPr>
                <w:rFonts w:cs="Calibri"/>
              </w:rPr>
            </w:pPr>
            <w:r w:rsidRPr="00261B7A">
              <w:rPr>
                <w:rFonts w:cs="Calibri"/>
              </w:rPr>
              <w:t>16/12</w:t>
            </w:r>
          </w:p>
        </w:tc>
      </w:tr>
      <w:tr w:rsidR="00994F64" w:rsidRPr="00261B7A" w14:paraId="6EF630B1" w14:textId="77777777" w:rsidTr="00501B0F">
        <w:tc>
          <w:tcPr>
            <w:tcW w:w="1611" w:type="dxa"/>
          </w:tcPr>
          <w:p w14:paraId="68571505" w14:textId="77777777" w:rsidR="00994F64" w:rsidRPr="00261B7A" w:rsidRDefault="00994F64" w:rsidP="00501B0F">
            <w:pPr>
              <w:pStyle w:val="TableText"/>
              <w:spacing w:before="40" w:after="40"/>
              <w:rPr>
                <w:rFonts w:cs="Calibri"/>
              </w:rPr>
            </w:pPr>
            <w:r w:rsidRPr="00261B7A">
              <w:rPr>
                <w:rFonts w:cs="Calibri"/>
              </w:rPr>
              <w:t>CO</w:t>
            </w:r>
          </w:p>
        </w:tc>
        <w:tc>
          <w:tcPr>
            <w:tcW w:w="2990" w:type="dxa"/>
          </w:tcPr>
          <w:p w14:paraId="6FCE49CA" w14:textId="77777777" w:rsidR="00994F64" w:rsidRPr="00261B7A" w:rsidRDefault="00994F64" w:rsidP="00501B0F">
            <w:pPr>
              <w:pStyle w:val="TableText"/>
              <w:spacing w:before="40" w:after="40"/>
              <w:rPr>
                <w:rFonts w:cs="Calibri"/>
              </w:rPr>
            </w:pPr>
            <w:r w:rsidRPr="00261B7A">
              <w:rPr>
                <w:rFonts w:cs="Calibri"/>
              </w:rPr>
              <w:t>0.06</w:t>
            </w:r>
          </w:p>
        </w:tc>
        <w:tc>
          <w:tcPr>
            <w:tcW w:w="3337" w:type="dxa"/>
          </w:tcPr>
          <w:p w14:paraId="57F1B694" w14:textId="77777777" w:rsidR="00994F64" w:rsidRPr="00261B7A" w:rsidRDefault="00994F64" w:rsidP="00501B0F">
            <w:pPr>
              <w:pStyle w:val="TableText"/>
              <w:spacing w:before="40" w:after="40"/>
              <w:rPr>
                <w:rFonts w:cs="Calibri"/>
              </w:rPr>
            </w:pPr>
            <w:r w:rsidRPr="00261B7A">
              <w:rPr>
                <w:rFonts w:cs="Calibri"/>
              </w:rPr>
              <w:t>28/12</w:t>
            </w:r>
          </w:p>
        </w:tc>
      </w:tr>
      <w:tr w:rsidR="00994F64" w:rsidRPr="00261B7A" w14:paraId="7AD69580" w14:textId="77777777" w:rsidTr="00501B0F">
        <w:tc>
          <w:tcPr>
            <w:tcW w:w="1611" w:type="dxa"/>
          </w:tcPr>
          <w:p w14:paraId="75B6E9D6" w14:textId="77777777" w:rsidR="00994F64" w:rsidRPr="00261B7A" w:rsidRDefault="00994F64" w:rsidP="00501B0F">
            <w:pPr>
              <w:pStyle w:val="TableText"/>
              <w:spacing w:before="40" w:after="40"/>
              <w:rPr>
                <w:rFonts w:cs="Calibri"/>
              </w:rPr>
            </w:pPr>
            <w:r w:rsidRPr="00261B7A">
              <w:rPr>
                <w:rFonts w:cs="Calibri"/>
              </w:rPr>
              <w:t>N</w:t>
            </w:r>
            <w:r w:rsidRPr="00261B7A">
              <w:rPr>
                <w:rFonts w:cs="Calibri"/>
                <w:vertAlign w:val="subscript"/>
              </w:rPr>
              <w:t>2</w:t>
            </w:r>
            <w:r w:rsidRPr="00261B7A">
              <w:rPr>
                <w:rFonts w:cs="Calibri"/>
              </w:rPr>
              <w:t>O</w:t>
            </w:r>
          </w:p>
        </w:tc>
        <w:tc>
          <w:tcPr>
            <w:tcW w:w="2990" w:type="dxa"/>
          </w:tcPr>
          <w:p w14:paraId="0535BA8C" w14:textId="77777777" w:rsidR="00994F64" w:rsidRPr="00261B7A" w:rsidRDefault="00994F64" w:rsidP="00501B0F">
            <w:pPr>
              <w:pStyle w:val="TableText"/>
              <w:spacing w:before="40" w:after="40"/>
              <w:rPr>
                <w:rFonts w:cs="Calibri"/>
              </w:rPr>
            </w:pPr>
            <w:r w:rsidRPr="00261B7A">
              <w:rPr>
                <w:rFonts w:cs="Calibri"/>
              </w:rPr>
              <w:t>0.007</w:t>
            </w:r>
          </w:p>
        </w:tc>
        <w:tc>
          <w:tcPr>
            <w:tcW w:w="3337" w:type="dxa"/>
          </w:tcPr>
          <w:p w14:paraId="79422D73" w14:textId="77777777" w:rsidR="00994F64" w:rsidRPr="00261B7A" w:rsidRDefault="00994F64" w:rsidP="00501B0F">
            <w:pPr>
              <w:pStyle w:val="TableText"/>
              <w:spacing w:before="40" w:after="40"/>
              <w:rPr>
                <w:rFonts w:cs="Calibri"/>
              </w:rPr>
            </w:pPr>
            <w:r w:rsidRPr="00261B7A">
              <w:rPr>
                <w:rFonts w:cs="Calibri"/>
              </w:rPr>
              <w:t>44/28</w:t>
            </w:r>
          </w:p>
        </w:tc>
      </w:tr>
      <w:tr w:rsidR="00994F64" w:rsidRPr="00261B7A" w14:paraId="0799DA80" w14:textId="77777777" w:rsidTr="00501B0F">
        <w:tc>
          <w:tcPr>
            <w:tcW w:w="1611" w:type="dxa"/>
          </w:tcPr>
          <w:p w14:paraId="1532521A" w14:textId="77777777" w:rsidR="00994F64" w:rsidRPr="00261B7A" w:rsidRDefault="00994F64" w:rsidP="00501B0F">
            <w:pPr>
              <w:pStyle w:val="TableText"/>
              <w:spacing w:before="40" w:after="40"/>
              <w:rPr>
                <w:rFonts w:cs="Calibri"/>
              </w:rPr>
            </w:pPr>
            <w:r w:rsidRPr="00261B7A">
              <w:rPr>
                <w:rFonts w:cs="Calibri"/>
              </w:rPr>
              <w:t>NO</w:t>
            </w:r>
            <w:r w:rsidRPr="00261B7A">
              <w:rPr>
                <w:rFonts w:cs="Calibri"/>
                <w:vertAlign w:val="subscript"/>
              </w:rPr>
              <w:t>x</w:t>
            </w:r>
          </w:p>
        </w:tc>
        <w:tc>
          <w:tcPr>
            <w:tcW w:w="2990" w:type="dxa"/>
          </w:tcPr>
          <w:p w14:paraId="46847A00" w14:textId="77777777" w:rsidR="00994F64" w:rsidRPr="00261B7A" w:rsidRDefault="00994F64" w:rsidP="00501B0F">
            <w:pPr>
              <w:pStyle w:val="TableText"/>
              <w:spacing w:before="40" w:after="40"/>
              <w:rPr>
                <w:rFonts w:cs="Calibri"/>
              </w:rPr>
            </w:pPr>
            <w:r w:rsidRPr="00261B7A">
              <w:rPr>
                <w:rFonts w:cs="Calibri"/>
              </w:rPr>
              <w:t>0.121</w:t>
            </w:r>
          </w:p>
        </w:tc>
        <w:tc>
          <w:tcPr>
            <w:tcW w:w="3337" w:type="dxa"/>
          </w:tcPr>
          <w:p w14:paraId="63492192" w14:textId="77777777" w:rsidR="00994F64" w:rsidRPr="00261B7A" w:rsidRDefault="00994F64" w:rsidP="00501B0F">
            <w:pPr>
              <w:pStyle w:val="TableText"/>
              <w:spacing w:before="40" w:after="40"/>
              <w:rPr>
                <w:rFonts w:cs="Calibri"/>
              </w:rPr>
            </w:pPr>
            <w:r w:rsidRPr="00261B7A">
              <w:rPr>
                <w:rFonts w:cs="Calibri"/>
              </w:rPr>
              <w:t>46/14</w:t>
            </w:r>
          </w:p>
        </w:tc>
      </w:tr>
    </w:tbl>
    <w:p w14:paraId="346008AA" w14:textId="77777777" w:rsidR="00994F64" w:rsidRPr="00261B7A" w:rsidRDefault="00994F64" w:rsidP="00994F64">
      <w:pPr>
        <w:pStyle w:val="BodyText"/>
        <w:keepNext/>
        <w:spacing w:before="360"/>
        <w:rPr>
          <w:rFonts w:cs="Calibri"/>
        </w:rPr>
      </w:pPr>
      <w:r w:rsidRPr="00261B7A">
        <w:rPr>
          <w:rFonts w:cs="Calibri"/>
        </w:rPr>
        <w:t>The total emissions (CH</w:t>
      </w:r>
      <w:r w:rsidRPr="00261B7A">
        <w:rPr>
          <w:rFonts w:cs="Calibri"/>
          <w:vertAlign w:val="subscript"/>
        </w:rPr>
        <w:t>4</w:t>
      </w:r>
      <w:r w:rsidRPr="00261B7A">
        <w:rPr>
          <w:rFonts w:cs="Calibri"/>
        </w:rPr>
        <w:t>, CO, N</w:t>
      </w:r>
      <w:r w:rsidRPr="00261B7A">
        <w:rPr>
          <w:rFonts w:cs="Calibri"/>
          <w:vertAlign w:val="subscript"/>
        </w:rPr>
        <w:t>2</w:t>
      </w:r>
      <w:r w:rsidRPr="00261B7A">
        <w:rPr>
          <w:rFonts w:cs="Calibri"/>
        </w:rPr>
        <w:t>O and NO</w:t>
      </w:r>
      <w:r w:rsidRPr="00261B7A">
        <w:rPr>
          <w:rFonts w:cs="Calibri"/>
          <w:vertAlign w:val="subscript"/>
        </w:rPr>
        <w:t>x</w:t>
      </w:r>
      <w:r w:rsidRPr="00261B7A">
        <w:rPr>
          <w:rFonts w:cs="Calibri"/>
        </w:rPr>
        <w:t>) are calculated:</w:t>
      </w:r>
    </w:p>
    <w:bookmarkStart w:id="1297" w:name="_MON_1552216075"/>
    <w:bookmarkEnd w:id="1297"/>
    <w:p w14:paraId="63392305" w14:textId="77777777" w:rsidR="00994F64" w:rsidRPr="00261B7A" w:rsidRDefault="00994F64" w:rsidP="00994F64">
      <w:pPr>
        <w:pStyle w:val="BodyText"/>
        <w:keepNext/>
        <w:spacing w:before="60" w:after="0"/>
      </w:pPr>
      <w:r w:rsidRPr="00261B7A">
        <w:object w:dxaOrig="6491" w:dyaOrig="397" w14:anchorId="4554BF4E">
          <v:shape id="_x0000_i1060" type="#_x0000_t75" style="width:323.5pt;height:22pt" o:ole="">
            <v:imagedata r:id="rId175" o:title=""/>
            <o:lock v:ext="edit" aspectratio="f"/>
          </v:shape>
          <o:OLEObject Type="Embed" ProgID="Word.Document.12" ShapeID="_x0000_i1060" DrawAspect="Content" ObjectID="_1742911599" r:id="rId176">
            <o:FieldCodes>\s</o:FieldCodes>
          </o:OLEObject>
        </w:object>
      </w:r>
    </w:p>
    <w:p w14:paraId="220158AD" w14:textId="77777777" w:rsidR="00994F64" w:rsidRPr="00261B7A" w:rsidRDefault="00994F64" w:rsidP="00994F64">
      <w:pPr>
        <w:pStyle w:val="BodyText"/>
        <w:spacing w:after="20"/>
        <w:ind w:left="964" w:hanging="964"/>
      </w:pPr>
      <w:r w:rsidRPr="00261B7A">
        <w:t>Where:</w:t>
      </w:r>
      <w:r w:rsidRPr="00261B7A">
        <w:tab/>
        <w:t>AG</w:t>
      </w:r>
      <w:r w:rsidRPr="00261B7A">
        <w:rPr>
          <w:vertAlign w:val="subscript"/>
        </w:rPr>
        <w:t>BURN</w:t>
      </w:r>
      <w:r w:rsidRPr="00261B7A">
        <w:t xml:space="preserve"> is the above-ground biomass burned (kt)</w:t>
      </w:r>
    </w:p>
    <w:p w14:paraId="28B3A0DE" w14:textId="77777777" w:rsidR="00994F64" w:rsidRPr="00261B7A" w:rsidRDefault="00994F64" w:rsidP="00994F64">
      <w:pPr>
        <w:pStyle w:val="BodyText"/>
        <w:spacing w:before="60" w:after="20"/>
        <w:ind w:left="964"/>
      </w:pPr>
      <w:r w:rsidRPr="00261B7A">
        <w:t>Frac</w:t>
      </w:r>
      <w:r w:rsidRPr="00261B7A">
        <w:rPr>
          <w:vertAlign w:val="subscript"/>
        </w:rPr>
        <w:t>OX</w:t>
      </w:r>
      <w:r w:rsidRPr="00261B7A">
        <w:t xml:space="preserve"> is the fraction oxidised (see table 5.7.2) </w:t>
      </w:r>
    </w:p>
    <w:p w14:paraId="0E2F2B16" w14:textId="77777777" w:rsidR="00994F64" w:rsidRPr="00261B7A" w:rsidRDefault="00994F64" w:rsidP="00994F64">
      <w:pPr>
        <w:pStyle w:val="BodyText"/>
        <w:spacing w:before="60" w:after="20"/>
        <w:ind w:left="964"/>
      </w:pPr>
      <w:r w:rsidRPr="00261B7A">
        <w:t xml:space="preserve">ER is the gas-specific emission ratio, and </w:t>
      </w:r>
    </w:p>
    <w:p w14:paraId="42949494" w14:textId="77777777" w:rsidR="00994F64" w:rsidRPr="00261B7A" w:rsidRDefault="00994F64" w:rsidP="00994F64">
      <w:pPr>
        <w:pStyle w:val="BodyText"/>
        <w:spacing w:before="60"/>
        <w:ind w:left="964"/>
      </w:pPr>
      <w:r w:rsidRPr="00261B7A">
        <w:t xml:space="preserve">GCR is the gas-conversion ratio (see table 5.7.1). </w:t>
      </w:r>
    </w:p>
    <w:p w14:paraId="5914C456" w14:textId="77777777" w:rsidR="00994F64" w:rsidRPr="00261B7A" w:rsidRDefault="00994F64" w:rsidP="00994F64">
      <w:pPr>
        <w:pStyle w:val="BodyText"/>
        <w:spacing w:after="60"/>
        <w:rPr>
          <w:rFonts w:cs="Calibri"/>
        </w:rPr>
      </w:pPr>
      <w:r w:rsidRPr="00261B7A">
        <w:rPr>
          <w:rFonts w:cs="Calibri"/>
        </w:rPr>
        <w:t>The calculation for AG</w:t>
      </w:r>
      <w:r w:rsidRPr="00261B7A">
        <w:rPr>
          <w:rFonts w:cs="Calibri"/>
          <w:vertAlign w:val="subscript"/>
        </w:rPr>
        <w:t xml:space="preserve">BURN </w:t>
      </w:r>
      <w:r w:rsidRPr="00261B7A">
        <w:rPr>
          <w:rFonts w:cs="Calibri"/>
        </w:rPr>
        <w:t>is different for 1990 to 2004 and 2005 to 2019, to account for changes in the availability of activity data over these periods. Stats NZ did not collect data on crop residue burning before 2005. Therefore, from 1990 to 2004, calculation of the amount of biomass residue burned (AG</w:t>
      </w:r>
      <w:r w:rsidRPr="00261B7A">
        <w:rPr>
          <w:rFonts w:cs="Calibri"/>
          <w:vertAlign w:val="subscript"/>
        </w:rPr>
        <w:t>BURN</w:t>
      </w:r>
      <w:r w:rsidRPr="00261B7A">
        <w:rPr>
          <w:rFonts w:cs="Calibri"/>
        </w:rPr>
        <w:t>) was based on the total mass of crop production (from the Stats NZ Agricultural Production Census and Survey) and assumed fractions burned for each crop, where:</w:t>
      </w:r>
    </w:p>
    <w:p w14:paraId="0CBCF787" w14:textId="77777777" w:rsidR="00994F64" w:rsidRPr="00261B7A" w:rsidRDefault="00994F64" w:rsidP="00994F64">
      <w:pPr>
        <w:pStyle w:val="BodyText"/>
        <w:spacing w:before="60" w:after="60"/>
        <w:jc w:val="center"/>
        <w:rPr>
          <w:rFonts w:cs="Calibri"/>
        </w:rPr>
      </w:pPr>
      <w:r w:rsidRPr="00261B7A">
        <w:rPr>
          <w:rFonts w:cs="Calibri"/>
        </w:rPr>
        <w:object w:dxaOrig="6971" w:dyaOrig="441" w14:anchorId="5F3BF4E4">
          <v:shape id="_x0000_i1061" type="#_x0000_t75" style="width:347pt;height:22pt" o:ole="">
            <v:imagedata r:id="rId177" o:title="" cropleft="3144f" cropright="5109f"/>
          </v:shape>
          <o:OLEObject Type="Embed" ProgID="Word.Document.12" ShapeID="_x0000_i1061" DrawAspect="Content" ObjectID="_1742911600" r:id="rId178">
            <o:FieldCodes>\s</o:FieldCodes>
          </o:OLEObject>
        </w:object>
      </w:r>
    </w:p>
    <w:p w14:paraId="4870B92E" w14:textId="77777777" w:rsidR="00994F64" w:rsidRPr="00261B7A" w:rsidRDefault="00994F64" w:rsidP="00994F64">
      <w:pPr>
        <w:pStyle w:val="BodyText"/>
        <w:spacing w:after="0"/>
        <w:ind w:left="964" w:hanging="964"/>
        <w:rPr>
          <w:rFonts w:cs="Calibri"/>
        </w:rPr>
      </w:pPr>
      <w:r w:rsidRPr="00261B7A">
        <w:rPr>
          <w:rFonts w:cs="Calibri"/>
        </w:rPr>
        <w:t>Where:</w:t>
      </w:r>
      <w:r w:rsidRPr="00261B7A">
        <w:rPr>
          <w:rFonts w:cs="Calibri"/>
        </w:rPr>
        <w:tab/>
        <w:t>AG</w:t>
      </w:r>
      <w:r w:rsidRPr="00261B7A">
        <w:rPr>
          <w:rFonts w:cs="Calibri"/>
          <w:vertAlign w:val="subscript"/>
        </w:rPr>
        <w:t>DM</w:t>
      </w:r>
      <w:r w:rsidRPr="00261B7A">
        <w:rPr>
          <w:rFonts w:cs="Calibri"/>
        </w:rPr>
        <w:t xml:space="preserve"> is the above-ground residue (defined below)</w:t>
      </w:r>
    </w:p>
    <w:p w14:paraId="277CE9F6" w14:textId="77777777" w:rsidR="00994F64" w:rsidRPr="00261B7A" w:rsidRDefault="00994F64" w:rsidP="00994F64">
      <w:pPr>
        <w:pStyle w:val="BodyText"/>
        <w:spacing w:before="60" w:after="0"/>
        <w:ind w:left="964"/>
      </w:pPr>
      <w:r w:rsidRPr="00261B7A">
        <w:rPr>
          <w:rFonts w:cs="Calibri"/>
        </w:rPr>
        <w:t>Frac</w:t>
      </w:r>
      <w:r w:rsidRPr="00261B7A">
        <w:rPr>
          <w:rFonts w:cs="Calibri"/>
          <w:vertAlign w:val="subscript"/>
        </w:rPr>
        <w:t xml:space="preserve">AREA–BURN </w:t>
      </w:r>
      <w:r w:rsidRPr="00261B7A">
        <w:rPr>
          <w:rFonts w:cs="Calibri"/>
        </w:rPr>
        <w:t>is the proportion of crop area burned of the total production area (discussed further below)</w:t>
      </w:r>
    </w:p>
    <w:p w14:paraId="7E284A72" w14:textId="77777777" w:rsidR="00994F64" w:rsidRPr="00261B7A" w:rsidRDefault="00994F64" w:rsidP="00994F64">
      <w:pPr>
        <w:pStyle w:val="BodyText"/>
        <w:spacing w:before="60" w:after="0"/>
        <w:ind w:left="964"/>
        <w:rPr>
          <w:rFonts w:cs="Calibri"/>
        </w:rPr>
      </w:pPr>
      <w:r w:rsidRPr="00261B7A">
        <w:rPr>
          <w:rFonts w:cs="Calibri"/>
        </w:rPr>
        <w:t>Frac</w:t>
      </w:r>
      <w:r w:rsidRPr="00261B7A">
        <w:rPr>
          <w:rFonts w:cs="Calibri"/>
          <w:vertAlign w:val="subscript"/>
        </w:rPr>
        <w:t>RESIDUE</w:t>
      </w:r>
      <w:r w:rsidRPr="00261B7A">
        <w:rPr>
          <w:rFonts w:cs="Calibri"/>
        </w:rPr>
        <w:t xml:space="preserve"> is the proportion of residue remaining after harvest (see table 5.7.2), and</w:t>
      </w:r>
    </w:p>
    <w:p w14:paraId="6ABCED93" w14:textId="77777777" w:rsidR="00994F64" w:rsidRPr="00261B7A" w:rsidRDefault="00994F64" w:rsidP="00994F64">
      <w:pPr>
        <w:pStyle w:val="BodyText"/>
        <w:spacing w:before="60"/>
        <w:ind w:left="964"/>
        <w:rPr>
          <w:rFonts w:cs="Calibri"/>
        </w:rPr>
      </w:pPr>
      <w:r w:rsidRPr="00261B7A">
        <w:rPr>
          <w:rFonts w:cs="Calibri"/>
        </w:rPr>
        <w:t>Frac</w:t>
      </w:r>
      <w:r w:rsidRPr="00261B7A">
        <w:rPr>
          <w:rFonts w:cs="Calibri"/>
          <w:vertAlign w:val="subscript"/>
        </w:rPr>
        <w:t>BURN</w:t>
      </w:r>
      <w:r w:rsidRPr="00261B7A">
        <w:rPr>
          <w:rFonts w:cs="Calibri"/>
        </w:rPr>
        <w:t xml:space="preserve"> is the proportion of remaining residue burned (see table 5.7.2).</w:t>
      </w:r>
    </w:p>
    <w:p w14:paraId="6CF30B79" w14:textId="77777777" w:rsidR="00994F64" w:rsidRPr="00261B7A" w:rsidRDefault="00994F64" w:rsidP="00994F64">
      <w:pPr>
        <w:pStyle w:val="BodyText"/>
        <w:spacing w:after="60"/>
      </w:pPr>
      <w:r w:rsidRPr="00261B7A">
        <w:t>The above-ground residue, AG</w:t>
      </w:r>
      <w:r w:rsidRPr="00261B7A">
        <w:rPr>
          <w:vertAlign w:val="subscript"/>
        </w:rPr>
        <w:t>DM</w:t>
      </w:r>
      <w:r w:rsidRPr="00261B7A">
        <w:t xml:space="preserve"> (tonnes), is:</w:t>
      </w:r>
    </w:p>
    <w:p w14:paraId="430C1073" w14:textId="77777777" w:rsidR="00994F64" w:rsidRPr="00261B7A" w:rsidRDefault="00994F64" w:rsidP="00994F64">
      <w:pPr>
        <w:pStyle w:val="BodyText"/>
        <w:spacing w:before="80" w:after="60"/>
        <w:rPr>
          <w:rFonts w:cs="Calibri"/>
        </w:rPr>
      </w:pPr>
      <w:r w:rsidRPr="00261B7A">
        <w:rPr>
          <w:rFonts w:cs="Calibri"/>
        </w:rPr>
        <w:object w:dxaOrig="7916" w:dyaOrig="499" w14:anchorId="1A2EBBB4">
          <v:shape id="_x0000_i1062" type="#_x0000_t75" style="width:396.5pt;height:22pt" o:ole="">
            <v:imagedata r:id="rId179" o:title=""/>
          </v:shape>
          <o:OLEObject Type="Embed" ProgID="Word.Document.12" ShapeID="_x0000_i1062" DrawAspect="Content" ObjectID="_1742911601" r:id="rId180">
            <o:FieldCodes>\s</o:FieldCodes>
          </o:OLEObject>
        </w:object>
      </w:r>
    </w:p>
    <w:p w14:paraId="40DFF068" w14:textId="77777777" w:rsidR="00994F64" w:rsidRPr="00261B7A" w:rsidRDefault="00994F64" w:rsidP="00994F64">
      <w:pPr>
        <w:pStyle w:val="BodyText"/>
        <w:spacing w:after="60"/>
        <w:ind w:left="964" w:hanging="964"/>
        <w:rPr>
          <w:rFonts w:cs="Calibri"/>
        </w:rPr>
      </w:pPr>
      <w:r w:rsidRPr="00261B7A">
        <w:rPr>
          <w:rFonts w:cs="Calibri"/>
        </w:rPr>
        <w:t>Where:</w:t>
      </w:r>
      <w:r w:rsidRPr="00261B7A">
        <w:rPr>
          <w:rFonts w:cs="Calibri"/>
        </w:rPr>
        <w:tab/>
        <w:t>HI is the harvest index (crop-specific, table 5.7.2), that is, the mass harvested over the total mass of above-ground biomass.</w:t>
      </w:r>
    </w:p>
    <w:p w14:paraId="6A169D72" w14:textId="77777777" w:rsidR="00994F64" w:rsidRPr="00261B7A" w:rsidRDefault="00994F64" w:rsidP="00994F64">
      <w:pPr>
        <w:pStyle w:val="BodyText"/>
        <w:keepNext/>
        <w:rPr>
          <w:rFonts w:cs="Calibri"/>
        </w:rPr>
      </w:pPr>
      <w:r w:rsidRPr="00261B7A">
        <w:rPr>
          <w:rFonts w:cs="Calibri"/>
        </w:rPr>
        <w:t>The dry matter, Prod</w:t>
      </w:r>
      <w:r w:rsidRPr="00261B7A">
        <w:rPr>
          <w:rFonts w:cs="Calibri"/>
          <w:vertAlign w:val="subscript"/>
        </w:rPr>
        <w:t>DM</w:t>
      </w:r>
      <w:r w:rsidRPr="00261B7A">
        <w:rPr>
          <w:rFonts w:cs="Calibri"/>
        </w:rPr>
        <w:t xml:space="preserve"> (tonnes), available to be burned is:</w:t>
      </w:r>
    </w:p>
    <w:p w14:paraId="00A30C30" w14:textId="77777777" w:rsidR="00994F64" w:rsidRPr="00261B7A" w:rsidRDefault="00994F64" w:rsidP="00994F64">
      <w:pPr>
        <w:pStyle w:val="BodyText"/>
        <w:spacing w:before="80" w:after="60"/>
        <w:rPr>
          <w:rFonts w:cs="Calibri"/>
        </w:rPr>
      </w:pPr>
      <w:r w:rsidRPr="00261B7A">
        <w:rPr>
          <w:rFonts w:cs="Calibri"/>
        </w:rPr>
        <w:object w:dxaOrig="7181" w:dyaOrig="354" w14:anchorId="0DE398F3">
          <v:shape id="_x0000_i1063" type="#_x0000_t75" style="width:5in;height:13.5pt" o:ole="">
            <v:imagedata r:id="rId181" o:title=""/>
          </v:shape>
          <o:OLEObject Type="Embed" ProgID="Word.Document.12" ShapeID="_x0000_i1063" DrawAspect="Content" ObjectID="_1742911602" r:id="rId182">
            <o:FieldCodes>\s</o:FieldCodes>
          </o:OLEObject>
        </w:object>
      </w:r>
    </w:p>
    <w:p w14:paraId="0A1744E3" w14:textId="77777777" w:rsidR="00994F64" w:rsidRPr="00261B7A" w:rsidRDefault="00994F64" w:rsidP="00994F64">
      <w:pPr>
        <w:pStyle w:val="BodyText"/>
        <w:spacing w:before="60" w:after="40"/>
        <w:ind w:left="964" w:hanging="964"/>
        <w:rPr>
          <w:rFonts w:cs="Calibri"/>
        </w:rPr>
      </w:pPr>
      <w:r w:rsidRPr="00261B7A">
        <w:rPr>
          <w:rFonts w:cs="Calibri"/>
        </w:rPr>
        <w:t>Where:</w:t>
      </w:r>
      <w:r w:rsidRPr="00261B7A">
        <w:rPr>
          <w:rFonts w:cs="Calibri"/>
        </w:rPr>
        <w:tab/>
        <w:t>Crop</w:t>
      </w:r>
      <w:r w:rsidRPr="00261B7A">
        <w:rPr>
          <w:rFonts w:cs="Calibri"/>
          <w:vertAlign w:val="subscript"/>
        </w:rPr>
        <w:t>PROD</w:t>
      </w:r>
      <w:r w:rsidRPr="00261B7A">
        <w:rPr>
          <w:rFonts w:cs="Calibri"/>
        </w:rPr>
        <w:t xml:space="preserve"> is the annual crop production (tonnes) (Stats NZ Agricultural Production Census and Survey), and</w:t>
      </w:r>
    </w:p>
    <w:p w14:paraId="39BA7BD4" w14:textId="77777777" w:rsidR="00994F64" w:rsidRPr="00261B7A" w:rsidRDefault="00994F64" w:rsidP="00994F64">
      <w:pPr>
        <w:pStyle w:val="BodyText"/>
        <w:spacing w:before="60"/>
        <w:ind w:left="964"/>
        <w:rPr>
          <w:rFonts w:cs="Calibri"/>
        </w:rPr>
      </w:pPr>
      <w:r w:rsidRPr="00261B7A">
        <w:rPr>
          <w:rFonts w:cs="Calibri"/>
        </w:rPr>
        <w:t>Frac</w:t>
      </w:r>
      <w:r w:rsidRPr="00261B7A">
        <w:rPr>
          <w:rFonts w:cs="Calibri"/>
          <w:vertAlign w:val="subscript"/>
        </w:rPr>
        <w:t>DM</w:t>
      </w:r>
      <w:r w:rsidRPr="00261B7A">
        <w:rPr>
          <w:rFonts w:cs="Calibri"/>
        </w:rPr>
        <w:t xml:space="preserve"> is the fraction of crop that is dry matter (crop specific, table 5.7.2).</w:t>
      </w:r>
    </w:p>
    <w:p w14:paraId="422D3E4F" w14:textId="77777777" w:rsidR="00994F64" w:rsidRPr="00261B7A" w:rsidRDefault="00994F64" w:rsidP="00994F64">
      <w:pPr>
        <w:pStyle w:val="Table"/>
        <w:rPr>
          <w:rFonts w:cs="Calibri"/>
        </w:rPr>
      </w:pPr>
      <w:bookmarkStart w:id="1298" w:name="_Toc352504980"/>
      <w:bookmarkStart w:id="1299" w:name="_Toc441830891"/>
      <w:bookmarkStart w:id="1300" w:name="_Toc451176105"/>
      <w:bookmarkStart w:id="1301" w:name="_Toc481751535"/>
      <w:bookmarkStart w:id="1302" w:name="_Toc507158621"/>
      <w:bookmarkStart w:id="1303" w:name="_Toc511116755"/>
      <w:bookmarkStart w:id="1304" w:name="_Toc5269497"/>
      <w:bookmarkStart w:id="1305" w:name="_Toc32570944"/>
      <w:bookmarkStart w:id="1306" w:name="_Toc36224579"/>
      <w:bookmarkStart w:id="1307" w:name="_Toc68786464"/>
      <w:bookmarkStart w:id="1308" w:name="_Toc95574095"/>
      <w:bookmarkStart w:id="1309" w:name="_Toc127458284"/>
      <w:bookmarkStart w:id="1310" w:name="_Toc131591380"/>
      <w:r w:rsidRPr="00261B7A">
        <w:rPr>
          <w:rFonts w:cs="Calibri"/>
        </w:rPr>
        <w:t xml:space="preserve">Table 5.7.2 </w:t>
      </w:r>
      <w:r w:rsidRPr="00261B7A">
        <w:rPr>
          <w:rFonts w:cs="Calibri"/>
        </w:rPr>
        <w:tab/>
        <w:t>Values used to calculate New Zealand emissions from burning of agricultural residues</w:t>
      </w:r>
      <w:bookmarkEnd w:id="1298"/>
      <w:bookmarkEnd w:id="1299"/>
      <w:bookmarkEnd w:id="1300"/>
      <w:bookmarkEnd w:id="1301"/>
      <w:bookmarkEnd w:id="1302"/>
      <w:bookmarkEnd w:id="1303"/>
      <w:bookmarkEnd w:id="1304"/>
      <w:bookmarkEnd w:id="1305"/>
      <w:bookmarkEnd w:id="1306"/>
      <w:bookmarkEnd w:id="1307"/>
      <w:bookmarkEnd w:id="1308"/>
      <w:bookmarkEnd w:id="1309"/>
      <w:bookmarkEnd w:id="1310"/>
    </w:p>
    <w:tbl>
      <w:tblPr>
        <w:tblW w:w="8505" w:type="dxa"/>
        <w:tblBorders>
          <w:top w:val="single" w:sz="4" w:space="0" w:color="1B556B" w:themeColor="text2"/>
          <w:bottom w:val="single" w:sz="4" w:space="0" w:color="1B556B" w:themeColor="text2"/>
          <w:insideH w:val="single" w:sz="4" w:space="0" w:color="1B556B" w:themeColor="text2"/>
        </w:tblBorders>
        <w:tblLook w:val="0000" w:firstRow="0" w:lastRow="0" w:firstColumn="0" w:lastColumn="0" w:noHBand="0" w:noVBand="0"/>
      </w:tblPr>
      <w:tblGrid>
        <w:gridCol w:w="4695"/>
        <w:gridCol w:w="1270"/>
        <w:gridCol w:w="1270"/>
        <w:gridCol w:w="1270"/>
      </w:tblGrid>
      <w:tr w:rsidR="00994F64" w:rsidRPr="00261B7A" w14:paraId="3A2035FB" w14:textId="77777777" w:rsidTr="00501B0F">
        <w:trPr>
          <w:tblHeader/>
        </w:trPr>
        <w:tc>
          <w:tcPr>
            <w:tcW w:w="4480" w:type="dxa"/>
            <w:shd w:val="clear" w:color="auto" w:fill="1B556B"/>
            <w:noWrap/>
            <w:vAlign w:val="bottom"/>
          </w:tcPr>
          <w:p w14:paraId="5CBC2707" w14:textId="77777777" w:rsidR="00994F64" w:rsidRPr="00261B7A" w:rsidRDefault="00994F64" w:rsidP="00501B0F">
            <w:pPr>
              <w:pStyle w:val="TableTextBold"/>
              <w:keepNext/>
              <w:spacing w:before="50" w:after="50"/>
              <w:rPr>
                <w:noProof w:val="0"/>
                <w:color w:val="FFFFFF" w:themeColor="background1"/>
                <w:szCs w:val="16"/>
              </w:rPr>
            </w:pPr>
          </w:p>
        </w:tc>
        <w:tc>
          <w:tcPr>
            <w:tcW w:w="1211" w:type="dxa"/>
            <w:shd w:val="clear" w:color="auto" w:fill="1B556B"/>
            <w:noWrap/>
            <w:vAlign w:val="bottom"/>
          </w:tcPr>
          <w:p w14:paraId="39321893" w14:textId="77777777" w:rsidR="00994F64" w:rsidRPr="00261B7A" w:rsidRDefault="00994F64" w:rsidP="00501B0F">
            <w:pPr>
              <w:pStyle w:val="TableTextBold"/>
              <w:keepNext/>
              <w:spacing w:before="50" w:after="50"/>
              <w:rPr>
                <w:noProof w:val="0"/>
                <w:color w:val="FFFFFF" w:themeColor="background1"/>
                <w:szCs w:val="16"/>
              </w:rPr>
            </w:pPr>
            <w:r w:rsidRPr="00261B7A">
              <w:rPr>
                <w:noProof w:val="0"/>
                <w:color w:val="FFFFFF" w:themeColor="background1"/>
                <w:szCs w:val="16"/>
              </w:rPr>
              <w:t>Barley</w:t>
            </w:r>
          </w:p>
        </w:tc>
        <w:tc>
          <w:tcPr>
            <w:tcW w:w="1211" w:type="dxa"/>
            <w:shd w:val="clear" w:color="auto" w:fill="1B556B"/>
            <w:noWrap/>
            <w:vAlign w:val="bottom"/>
          </w:tcPr>
          <w:p w14:paraId="51E5A1DB" w14:textId="77777777" w:rsidR="00994F64" w:rsidRPr="00261B7A" w:rsidRDefault="00994F64" w:rsidP="00501B0F">
            <w:pPr>
              <w:pStyle w:val="TableTextBold"/>
              <w:keepNext/>
              <w:spacing w:before="50" w:after="50"/>
              <w:rPr>
                <w:noProof w:val="0"/>
                <w:color w:val="FFFFFF" w:themeColor="background1"/>
                <w:szCs w:val="16"/>
              </w:rPr>
            </w:pPr>
            <w:r w:rsidRPr="00261B7A">
              <w:rPr>
                <w:noProof w:val="0"/>
                <w:color w:val="FFFFFF" w:themeColor="background1"/>
                <w:szCs w:val="16"/>
              </w:rPr>
              <w:t>Wheat</w:t>
            </w:r>
          </w:p>
        </w:tc>
        <w:tc>
          <w:tcPr>
            <w:tcW w:w="1211" w:type="dxa"/>
            <w:shd w:val="clear" w:color="auto" w:fill="1B556B"/>
            <w:noWrap/>
            <w:vAlign w:val="bottom"/>
          </w:tcPr>
          <w:p w14:paraId="717F4252" w14:textId="77777777" w:rsidR="00994F64" w:rsidRPr="00261B7A" w:rsidRDefault="00994F64" w:rsidP="00501B0F">
            <w:pPr>
              <w:pStyle w:val="TableTextBold"/>
              <w:keepNext/>
              <w:spacing w:before="50" w:after="50"/>
              <w:rPr>
                <w:noProof w:val="0"/>
                <w:color w:val="FFFFFF" w:themeColor="background1"/>
                <w:szCs w:val="16"/>
              </w:rPr>
            </w:pPr>
            <w:r w:rsidRPr="00261B7A">
              <w:rPr>
                <w:noProof w:val="0"/>
                <w:color w:val="FFFFFF" w:themeColor="background1"/>
                <w:szCs w:val="16"/>
              </w:rPr>
              <w:t>Oats</w:t>
            </w:r>
          </w:p>
        </w:tc>
      </w:tr>
      <w:tr w:rsidR="00994F64" w:rsidRPr="00261B7A" w14:paraId="32D81B9B" w14:textId="77777777" w:rsidTr="00501B0F">
        <w:tc>
          <w:tcPr>
            <w:tcW w:w="4480" w:type="dxa"/>
            <w:noWrap/>
            <w:vAlign w:val="bottom"/>
          </w:tcPr>
          <w:p w14:paraId="00C3B122" w14:textId="77777777" w:rsidR="00994F64" w:rsidRPr="00261B7A" w:rsidRDefault="00994F64" w:rsidP="00501B0F">
            <w:pPr>
              <w:pStyle w:val="TableText"/>
              <w:spacing w:before="50" w:after="50"/>
              <w:rPr>
                <w:rFonts w:cs="Calibri"/>
                <w:szCs w:val="16"/>
              </w:rPr>
            </w:pPr>
            <w:r w:rsidRPr="00261B7A">
              <w:rPr>
                <w:rFonts w:cs="Calibri"/>
                <w:szCs w:val="16"/>
              </w:rPr>
              <w:t>Fraction oxidised</w:t>
            </w:r>
          </w:p>
        </w:tc>
        <w:tc>
          <w:tcPr>
            <w:tcW w:w="1211" w:type="dxa"/>
            <w:noWrap/>
            <w:vAlign w:val="bottom"/>
          </w:tcPr>
          <w:p w14:paraId="6E6F1BBF" w14:textId="77777777" w:rsidR="00994F64" w:rsidRPr="00261B7A" w:rsidRDefault="00994F64" w:rsidP="00501B0F">
            <w:pPr>
              <w:pStyle w:val="TableText"/>
              <w:spacing w:before="50" w:after="50"/>
              <w:rPr>
                <w:rFonts w:cs="Calibri"/>
                <w:szCs w:val="16"/>
              </w:rPr>
            </w:pPr>
            <w:r w:rsidRPr="00261B7A">
              <w:rPr>
                <w:rFonts w:cs="Calibri"/>
                <w:szCs w:val="16"/>
              </w:rPr>
              <w:t>0.9</w:t>
            </w:r>
          </w:p>
        </w:tc>
        <w:tc>
          <w:tcPr>
            <w:tcW w:w="1211" w:type="dxa"/>
            <w:noWrap/>
            <w:vAlign w:val="bottom"/>
          </w:tcPr>
          <w:p w14:paraId="378869A5" w14:textId="77777777" w:rsidR="00994F64" w:rsidRPr="00261B7A" w:rsidRDefault="00994F64" w:rsidP="00501B0F">
            <w:pPr>
              <w:pStyle w:val="TableText"/>
              <w:spacing w:before="50" w:after="50"/>
              <w:rPr>
                <w:rFonts w:cs="Calibri"/>
                <w:szCs w:val="16"/>
              </w:rPr>
            </w:pPr>
            <w:r w:rsidRPr="00261B7A">
              <w:rPr>
                <w:rFonts w:cs="Calibri"/>
                <w:szCs w:val="16"/>
              </w:rPr>
              <w:t>0.9</w:t>
            </w:r>
          </w:p>
        </w:tc>
        <w:tc>
          <w:tcPr>
            <w:tcW w:w="1211" w:type="dxa"/>
            <w:noWrap/>
            <w:vAlign w:val="bottom"/>
          </w:tcPr>
          <w:p w14:paraId="0749BCAE" w14:textId="77777777" w:rsidR="00994F64" w:rsidRPr="00261B7A" w:rsidRDefault="00994F64" w:rsidP="00501B0F">
            <w:pPr>
              <w:pStyle w:val="TableText"/>
              <w:spacing w:before="50" w:after="50"/>
              <w:rPr>
                <w:rFonts w:cs="Calibri"/>
                <w:szCs w:val="16"/>
              </w:rPr>
            </w:pPr>
            <w:r w:rsidRPr="00261B7A">
              <w:rPr>
                <w:rFonts w:cs="Calibri"/>
                <w:szCs w:val="16"/>
              </w:rPr>
              <w:t>0.9</w:t>
            </w:r>
          </w:p>
        </w:tc>
      </w:tr>
      <w:tr w:rsidR="00994F64" w:rsidRPr="00261B7A" w14:paraId="284A7BAE" w14:textId="77777777" w:rsidTr="00501B0F">
        <w:tc>
          <w:tcPr>
            <w:tcW w:w="4480" w:type="dxa"/>
            <w:noWrap/>
            <w:vAlign w:val="bottom"/>
          </w:tcPr>
          <w:p w14:paraId="27A7CC39" w14:textId="77777777" w:rsidR="00994F64" w:rsidRPr="00261B7A" w:rsidRDefault="00994F64" w:rsidP="00501B0F">
            <w:pPr>
              <w:pStyle w:val="TableText"/>
              <w:spacing w:before="50" w:after="50"/>
              <w:rPr>
                <w:rFonts w:cs="Calibri"/>
                <w:szCs w:val="16"/>
              </w:rPr>
            </w:pPr>
            <w:r w:rsidRPr="00261B7A">
              <w:rPr>
                <w:rFonts w:cs="Calibri"/>
                <w:szCs w:val="16"/>
              </w:rPr>
              <w:t>Residue remaining in field</w:t>
            </w:r>
          </w:p>
        </w:tc>
        <w:tc>
          <w:tcPr>
            <w:tcW w:w="1211" w:type="dxa"/>
            <w:noWrap/>
            <w:vAlign w:val="bottom"/>
          </w:tcPr>
          <w:p w14:paraId="6B52620C" w14:textId="77777777" w:rsidR="00994F64" w:rsidRPr="00261B7A" w:rsidRDefault="00994F64" w:rsidP="00501B0F">
            <w:pPr>
              <w:pStyle w:val="TableText"/>
              <w:spacing w:before="50" w:after="50"/>
              <w:rPr>
                <w:rFonts w:cs="Calibri"/>
                <w:szCs w:val="16"/>
              </w:rPr>
            </w:pPr>
            <w:r w:rsidRPr="00261B7A">
              <w:rPr>
                <w:rFonts w:cs="Calibri"/>
                <w:szCs w:val="16"/>
              </w:rPr>
              <w:t>1</w:t>
            </w:r>
          </w:p>
        </w:tc>
        <w:tc>
          <w:tcPr>
            <w:tcW w:w="1211" w:type="dxa"/>
            <w:noWrap/>
            <w:vAlign w:val="bottom"/>
          </w:tcPr>
          <w:p w14:paraId="5288612B" w14:textId="77777777" w:rsidR="00994F64" w:rsidRPr="00261B7A" w:rsidRDefault="00994F64" w:rsidP="00501B0F">
            <w:pPr>
              <w:pStyle w:val="TableText"/>
              <w:spacing w:before="50" w:after="50"/>
              <w:rPr>
                <w:rFonts w:cs="Calibri"/>
                <w:szCs w:val="16"/>
              </w:rPr>
            </w:pPr>
            <w:r w:rsidRPr="00261B7A">
              <w:rPr>
                <w:rFonts w:cs="Calibri"/>
                <w:szCs w:val="16"/>
              </w:rPr>
              <w:t>1</w:t>
            </w:r>
          </w:p>
        </w:tc>
        <w:tc>
          <w:tcPr>
            <w:tcW w:w="1211" w:type="dxa"/>
            <w:noWrap/>
            <w:vAlign w:val="bottom"/>
          </w:tcPr>
          <w:p w14:paraId="55047D5F" w14:textId="77777777" w:rsidR="00994F64" w:rsidRPr="00261B7A" w:rsidRDefault="00994F64" w:rsidP="00501B0F">
            <w:pPr>
              <w:pStyle w:val="TableText"/>
              <w:spacing w:before="50" w:after="50"/>
              <w:rPr>
                <w:rFonts w:cs="Calibri"/>
                <w:szCs w:val="16"/>
              </w:rPr>
            </w:pPr>
            <w:r w:rsidRPr="00261B7A">
              <w:rPr>
                <w:rFonts w:cs="Calibri"/>
                <w:szCs w:val="16"/>
              </w:rPr>
              <w:t>1</w:t>
            </w:r>
          </w:p>
        </w:tc>
      </w:tr>
      <w:tr w:rsidR="00994F64" w:rsidRPr="00261B7A" w14:paraId="6D7324E8" w14:textId="77777777" w:rsidTr="00501B0F">
        <w:tc>
          <w:tcPr>
            <w:tcW w:w="4480" w:type="dxa"/>
            <w:noWrap/>
            <w:vAlign w:val="bottom"/>
          </w:tcPr>
          <w:p w14:paraId="4C7797B4" w14:textId="77777777" w:rsidR="00994F64" w:rsidRPr="00261B7A" w:rsidRDefault="00994F64" w:rsidP="00501B0F">
            <w:pPr>
              <w:pStyle w:val="TableText"/>
              <w:spacing w:before="50" w:after="50"/>
              <w:rPr>
                <w:rFonts w:cs="Calibri"/>
                <w:szCs w:val="16"/>
              </w:rPr>
            </w:pPr>
            <w:r w:rsidRPr="00261B7A">
              <w:rPr>
                <w:rFonts w:cs="Calibri"/>
                <w:szCs w:val="16"/>
              </w:rPr>
              <w:t>Fraction of residue actually burned</w:t>
            </w:r>
          </w:p>
        </w:tc>
        <w:tc>
          <w:tcPr>
            <w:tcW w:w="1211" w:type="dxa"/>
            <w:noWrap/>
            <w:vAlign w:val="bottom"/>
          </w:tcPr>
          <w:p w14:paraId="2303B7E6" w14:textId="77777777" w:rsidR="00994F64" w:rsidRPr="00261B7A" w:rsidRDefault="00994F64" w:rsidP="00501B0F">
            <w:pPr>
              <w:pStyle w:val="TableText"/>
              <w:spacing w:before="50" w:after="50"/>
              <w:rPr>
                <w:rFonts w:cs="Calibri"/>
                <w:szCs w:val="16"/>
              </w:rPr>
            </w:pPr>
            <w:r w:rsidRPr="00261B7A">
              <w:rPr>
                <w:rFonts w:cs="Calibri"/>
                <w:szCs w:val="16"/>
              </w:rPr>
              <w:t>0.7</w:t>
            </w:r>
          </w:p>
        </w:tc>
        <w:tc>
          <w:tcPr>
            <w:tcW w:w="1211" w:type="dxa"/>
            <w:noWrap/>
            <w:vAlign w:val="bottom"/>
          </w:tcPr>
          <w:p w14:paraId="60B2AE6C" w14:textId="77777777" w:rsidR="00994F64" w:rsidRPr="00261B7A" w:rsidRDefault="00994F64" w:rsidP="00501B0F">
            <w:pPr>
              <w:pStyle w:val="TableText"/>
              <w:spacing w:before="50" w:after="50"/>
              <w:rPr>
                <w:rFonts w:cs="Calibri"/>
                <w:szCs w:val="16"/>
              </w:rPr>
            </w:pPr>
            <w:r w:rsidRPr="00261B7A">
              <w:rPr>
                <w:rFonts w:cs="Calibri"/>
                <w:szCs w:val="16"/>
              </w:rPr>
              <w:t>0.7</w:t>
            </w:r>
          </w:p>
        </w:tc>
        <w:tc>
          <w:tcPr>
            <w:tcW w:w="1211" w:type="dxa"/>
            <w:noWrap/>
            <w:vAlign w:val="bottom"/>
          </w:tcPr>
          <w:p w14:paraId="41DA4418" w14:textId="77777777" w:rsidR="00994F64" w:rsidRPr="00261B7A" w:rsidRDefault="00994F64" w:rsidP="00501B0F">
            <w:pPr>
              <w:pStyle w:val="TableText"/>
              <w:spacing w:before="50" w:after="50"/>
              <w:rPr>
                <w:rFonts w:cs="Calibri"/>
                <w:szCs w:val="16"/>
              </w:rPr>
            </w:pPr>
            <w:r w:rsidRPr="00261B7A">
              <w:rPr>
                <w:rFonts w:cs="Calibri"/>
                <w:szCs w:val="16"/>
              </w:rPr>
              <w:t>0.7</w:t>
            </w:r>
          </w:p>
        </w:tc>
      </w:tr>
      <w:tr w:rsidR="00994F64" w:rsidRPr="00261B7A" w14:paraId="7AF65556" w14:textId="77777777" w:rsidTr="00501B0F">
        <w:tc>
          <w:tcPr>
            <w:tcW w:w="4480" w:type="dxa"/>
            <w:noWrap/>
            <w:vAlign w:val="bottom"/>
          </w:tcPr>
          <w:p w14:paraId="755BD077" w14:textId="77777777" w:rsidR="00994F64" w:rsidRPr="00261B7A" w:rsidRDefault="00994F64" w:rsidP="00501B0F">
            <w:pPr>
              <w:pStyle w:val="TableText"/>
              <w:spacing w:before="50" w:after="50"/>
              <w:rPr>
                <w:rFonts w:cs="Calibri"/>
                <w:szCs w:val="16"/>
              </w:rPr>
            </w:pPr>
            <w:r w:rsidRPr="00261B7A">
              <w:rPr>
                <w:rFonts w:cs="Calibri"/>
                <w:szCs w:val="16"/>
              </w:rPr>
              <w:t>Harvest index</w:t>
            </w:r>
          </w:p>
        </w:tc>
        <w:tc>
          <w:tcPr>
            <w:tcW w:w="1211" w:type="dxa"/>
            <w:noWrap/>
            <w:vAlign w:val="bottom"/>
          </w:tcPr>
          <w:p w14:paraId="5E594C8E" w14:textId="77777777" w:rsidR="00994F64" w:rsidRPr="00261B7A" w:rsidRDefault="00994F64" w:rsidP="00501B0F">
            <w:pPr>
              <w:pStyle w:val="TableText"/>
              <w:spacing w:before="50" w:after="50"/>
              <w:rPr>
                <w:rFonts w:cs="Calibri"/>
                <w:szCs w:val="16"/>
              </w:rPr>
            </w:pPr>
            <w:r w:rsidRPr="00261B7A">
              <w:rPr>
                <w:rFonts w:cs="Calibri"/>
                <w:szCs w:val="16"/>
              </w:rPr>
              <w:t>0.46</w:t>
            </w:r>
          </w:p>
        </w:tc>
        <w:tc>
          <w:tcPr>
            <w:tcW w:w="1211" w:type="dxa"/>
            <w:noWrap/>
            <w:vAlign w:val="bottom"/>
          </w:tcPr>
          <w:p w14:paraId="22DAD002" w14:textId="77777777" w:rsidR="00994F64" w:rsidRPr="00261B7A" w:rsidRDefault="00994F64" w:rsidP="00501B0F">
            <w:pPr>
              <w:pStyle w:val="TableText"/>
              <w:spacing w:before="50" w:after="50"/>
              <w:rPr>
                <w:rFonts w:cs="Calibri"/>
                <w:szCs w:val="16"/>
              </w:rPr>
            </w:pPr>
            <w:r w:rsidRPr="00261B7A">
              <w:rPr>
                <w:rFonts w:cs="Calibri"/>
                <w:szCs w:val="16"/>
              </w:rPr>
              <w:t>0.41</w:t>
            </w:r>
          </w:p>
        </w:tc>
        <w:tc>
          <w:tcPr>
            <w:tcW w:w="1211" w:type="dxa"/>
            <w:noWrap/>
            <w:vAlign w:val="bottom"/>
          </w:tcPr>
          <w:p w14:paraId="3F6AB032" w14:textId="77777777" w:rsidR="00994F64" w:rsidRPr="00261B7A" w:rsidRDefault="00994F64" w:rsidP="00501B0F">
            <w:pPr>
              <w:pStyle w:val="TableText"/>
              <w:spacing w:before="50" w:after="50"/>
              <w:rPr>
                <w:rFonts w:cs="Calibri"/>
                <w:szCs w:val="16"/>
              </w:rPr>
            </w:pPr>
            <w:r w:rsidRPr="00261B7A">
              <w:rPr>
                <w:rFonts w:cs="Calibri"/>
                <w:szCs w:val="16"/>
              </w:rPr>
              <w:t>0.30</w:t>
            </w:r>
          </w:p>
        </w:tc>
      </w:tr>
      <w:tr w:rsidR="00994F64" w:rsidRPr="00261B7A" w14:paraId="1905DF48" w14:textId="77777777" w:rsidTr="00501B0F">
        <w:trPr>
          <w:trHeight w:val="165"/>
        </w:trPr>
        <w:tc>
          <w:tcPr>
            <w:tcW w:w="4480" w:type="dxa"/>
            <w:noWrap/>
            <w:vAlign w:val="bottom"/>
          </w:tcPr>
          <w:p w14:paraId="5734C904" w14:textId="77777777" w:rsidR="00994F64" w:rsidRPr="00261B7A" w:rsidRDefault="00994F64" w:rsidP="00501B0F">
            <w:pPr>
              <w:pStyle w:val="TableText"/>
              <w:spacing w:before="50" w:after="50"/>
              <w:rPr>
                <w:rFonts w:cs="Calibri"/>
                <w:szCs w:val="16"/>
              </w:rPr>
            </w:pPr>
            <w:r w:rsidRPr="00261B7A">
              <w:rPr>
                <w:rFonts w:cs="Calibri"/>
                <w:szCs w:val="16"/>
              </w:rPr>
              <w:t>Dry-matter fraction</w:t>
            </w:r>
          </w:p>
        </w:tc>
        <w:tc>
          <w:tcPr>
            <w:tcW w:w="1211" w:type="dxa"/>
            <w:noWrap/>
            <w:vAlign w:val="bottom"/>
          </w:tcPr>
          <w:p w14:paraId="1F107333" w14:textId="77777777" w:rsidR="00994F64" w:rsidRPr="00261B7A" w:rsidRDefault="00994F64" w:rsidP="00501B0F">
            <w:pPr>
              <w:pStyle w:val="TableText"/>
              <w:spacing w:before="50" w:after="50"/>
              <w:rPr>
                <w:rFonts w:cs="Calibri"/>
                <w:szCs w:val="16"/>
              </w:rPr>
            </w:pPr>
            <w:r w:rsidRPr="00261B7A">
              <w:rPr>
                <w:rFonts w:cs="Calibri"/>
                <w:szCs w:val="16"/>
              </w:rPr>
              <w:t>0.86</w:t>
            </w:r>
          </w:p>
        </w:tc>
        <w:tc>
          <w:tcPr>
            <w:tcW w:w="1211" w:type="dxa"/>
            <w:noWrap/>
            <w:vAlign w:val="bottom"/>
          </w:tcPr>
          <w:p w14:paraId="55202FB6" w14:textId="77777777" w:rsidR="00994F64" w:rsidRPr="00261B7A" w:rsidRDefault="00994F64" w:rsidP="00501B0F">
            <w:pPr>
              <w:pStyle w:val="TableText"/>
              <w:spacing w:before="50" w:after="50"/>
              <w:rPr>
                <w:rFonts w:cs="Calibri"/>
                <w:szCs w:val="16"/>
              </w:rPr>
            </w:pPr>
            <w:r w:rsidRPr="00261B7A">
              <w:rPr>
                <w:rFonts w:cs="Calibri"/>
                <w:szCs w:val="16"/>
              </w:rPr>
              <w:t>0.86</w:t>
            </w:r>
          </w:p>
        </w:tc>
        <w:tc>
          <w:tcPr>
            <w:tcW w:w="1211" w:type="dxa"/>
            <w:noWrap/>
            <w:vAlign w:val="bottom"/>
          </w:tcPr>
          <w:p w14:paraId="4ED33E32" w14:textId="77777777" w:rsidR="00994F64" w:rsidRPr="00261B7A" w:rsidRDefault="00994F64" w:rsidP="00501B0F">
            <w:pPr>
              <w:pStyle w:val="TableText"/>
              <w:spacing w:before="50" w:after="50"/>
              <w:rPr>
                <w:rFonts w:cs="Calibri"/>
                <w:szCs w:val="16"/>
              </w:rPr>
            </w:pPr>
            <w:r w:rsidRPr="00261B7A">
              <w:rPr>
                <w:rFonts w:cs="Calibri"/>
                <w:szCs w:val="16"/>
              </w:rPr>
              <w:t>0.86</w:t>
            </w:r>
          </w:p>
        </w:tc>
      </w:tr>
      <w:tr w:rsidR="00994F64" w:rsidRPr="00261B7A" w14:paraId="4B4BA957" w14:textId="77777777" w:rsidTr="00501B0F">
        <w:tc>
          <w:tcPr>
            <w:tcW w:w="4480" w:type="dxa"/>
            <w:noWrap/>
            <w:vAlign w:val="bottom"/>
          </w:tcPr>
          <w:p w14:paraId="11537BD7" w14:textId="77777777" w:rsidR="00994F64" w:rsidRPr="00261B7A" w:rsidRDefault="00994F64" w:rsidP="00501B0F">
            <w:pPr>
              <w:pStyle w:val="TableText"/>
              <w:spacing w:before="50" w:after="50"/>
              <w:rPr>
                <w:rFonts w:cs="Calibri"/>
                <w:szCs w:val="16"/>
              </w:rPr>
            </w:pPr>
            <w:r w:rsidRPr="00261B7A">
              <w:rPr>
                <w:rFonts w:cs="Calibri"/>
                <w:szCs w:val="16"/>
              </w:rPr>
              <w:t>Fraction of nitrogen in biomass</w:t>
            </w:r>
          </w:p>
        </w:tc>
        <w:tc>
          <w:tcPr>
            <w:tcW w:w="1211" w:type="dxa"/>
            <w:noWrap/>
            <w:vAlign w:val="bottom"/>
          </w:tcPr>
          <w:p w14:paraId="4AC2A0CD" w14:textId="77777777" w:rsidR="00994F64" w:rsidRPr="00261B7A" w:rsidRDefault="00994F64" w:rsidP="00501B0F">
            <w:pPr>
              <w:pStyle w:val="TableText"/>
              <w:spacing w:before="50" w:after="50"/>
              <w:rPr>
                <w:rFonts w:cs="Calibri"/>
                <w:szCs w:val="16"/>
              </w:rPr>
            </w:pPr>
            <w:r w:rsidRPr="00261B7A">
              <w:rPr>
                <w:rFonts w:cs="Calibri"/>
                <w:szCs w:val="16"/>
              </w:rPr>
              <w:t>0.005</w:t>
            </w:r>
          </w:p>
        </w:tc>
        <w:tc>
          <w:tcPr>
            <w:tcW w:w="1211" w:type="dxa"/>
            <w:noWrap/>
            <w:vAlign w:val="bottom"/>
          </w:tcPr>
          <w:p w14:paraId="279FAD12" w14:textId="77777777" w:rsidR="00994F64" w:rsidRPr="00261B7A" w:rsidRDefault="00994F64" w:rsidP="00501B0F">
            <w:pPr>
              <w:pStyle w:val="TableText"/>
              <w:spacing w:before="50" w:after="50"/>
              <w:rPr>
                <w:rFonts w:cs="Calibri"/>
                <w:szCs w:val="16"/>
              </w:rPr>
            </w:pPr>
            <w:r w:rsidRPr="00261B7A">
              <w:rPr>
                <w:rFonts w:cs="Calibri"/>
                <w:szCs w:val="16"/>
              </w:rPr>
              <w:t>0.005</w:t>
            </w:r>
          </w:p>
        </w:tc>
        <w:tc>
          <w:tcPr>
            <w:tcW w:w="1211" w:type="dxa"/>
            <w:noWrap/>
            <w:vAlign w:val="bottom"/>
          </w:tcPr>
          <w:p w14:paraId="33BF41CA" w14:textId="77777777" w:rsidR="00994F64" w:rsidRPr="00261B7A" w:rsidRDefault="00994F64" w:rsidP="00501B0F">
            <w:pPr>
              <w:pStyle w:val="TableText"/>
              <w:spacing w:before="50" w:after="50"/>
              <w:rPr>
                <w:rFonts w:cs="Calibri"/>
                <w:szCs w:val="16"/>
              </w:rPr>
            </w:pPr>
            <w:r w:rsidRPr="00261B7A">
              <w:rPr>
                <w:rFonts w:cs="Calibri"/>
                <w:szCs w:val="16"/>
              </w:rPr>
              <w:t>0.005</w:t>
            </w:r>
          </w:p>
        </w:tc>
      </w:tr>
      <w:tr w:rsidR="00994F64" w:rsidRPr="00261B7A" w14:paraId="53C7355A" w14:textId="77777777" w:rsidTr="00501B0F">
        <w:tc>
          <w:tcPr>
            <w:tcW w:w="4480" w:type="dxa"/>
            <w:noWrap/>
            <w:vAlign w:val="bottom"/>
          </w:tcPr>
          <w:p w14:paraId="30AC48F8" w14:textId="77777777" w:rsidR="00994F64" w:rsidRPr="00261B7A" w:rsidRDefault="00994F64" w:rsidP="00501B0F">
            <w:pPr>
              <w:pStyle w:val="TableText"/>
              <w:spacing w:before="50" w:after="50"/>
              <w:rPr>
                <w:rFonts w:cs="Calibri"/>
                <w:szCs w:val="16"/>
              </w:rPr>
            </w:pPr>
            <w:r w:rsidRPr="00261B7A">
              <w:rPr>
                <w:rFonts w:cs="Calibri"/>
                <w:szCs w:val="16"/>
              </w:rPr>
              <w:t>Fraction of carbon in biomass</w:t>
            </w:r>
          </w:p>
        </w:tc>
        <w:tc>
          <w:tcPr>
            <w:tcW w:w="1211" w:type="dxa"/>
            <w:noWrap/>
            <w:vAlign w:val="bottom"/>
          </w:tcPr>
          <w:p w14:paraId="5C782E2E" w14:textId="77777777" w:rsidR="00994F64" w:rsidRPr="00261B7A" w:rsidRDefault="00994F64" w:rsidP="00501B0F">
            <w:pPr>
              <w:pStyle w:val="TableText"/>
              <w:spacing w:before="50" w:after="50"/>
              <w:rPr>
                <w:rFonts w:cs="Calibri"/>
                <w:szCs w:val="16"/>
              </w:rPr>
            </w:pPr>
            <w:r w:rsidRPr="00261B7A">
              <w:rPr>
                <w:rFonts w:cs="Calibri"/>
                <w:szCs w:val="16"/>
              </w:rPr>
              <w:t>0.4567</w:t>
            </w:r>
          </w:p>
        </w:tc>
        <w:tc>
          <w:tcPr>
            <w:tcW w:w="1211" w:type="dxa"/>
            <w:noWrap/>
            <w:vAlign w:val="bottom"/>
          </w:tcPr>
          <w:p w14:paraId="09907D9F" w14:textId="77777777" w:rsidR="00994F64" w:rsidRPr="00261B7A" w:rsidRDefault="00994F64" w:rsidP="00501B0F">
            <w:pPr>
              <w:pStyle w:val="TableText"/>
              <w:spacing w:before="50" w:after="50"/>
              <w:rPr>
                <w:rFonts w:cs="Calibri"/>
                <w:szCs w:val="16"/>
              </w:rPr>
            </w:pPr>
            <w:r w:rsidRPr="00261B7A">
              <w:rPr>
                <w:rFonts w:cs="Calibri"/>
                <w:szCs w:val="16"/>
              </w:rPr>
              <w:t>0.4853</w:t>
            </w:r>
          </w:p>
        </w:tc>
        <w:tc>
          <w:tcPr>
            <w:tcW w:w="1211" w:type="dxa"/>
            <w:noWrap/>
            <w:vAlign w:val="bottom"/>
          </w:tcPr>
          <w:p w14:paraId="072FE740" w14:textId="77777777" w:rsidR="00994F64" w:rsidRPr="00261B7A" w:rsidRDefault="00994F64" w:rsidP="00501B0F">
            <w:pPr>
              <w:pStyle w:val="TableText"/>
              <w:spacing w:before="50" w:after="50"/>
              <w:rPr>
                <w:rFonts w:cs="Calibri"/>
                <w:szCs w:val="16"/>
              </w:rPr>
            </w:pPr>
            <w:r w:rsidRPr="00261B7A">
              <w:rPr>
                <w:rFonts w:cs="Calibri"/>
                <w:szCs w:val="16"/>
              </w:rPr>
              <w:t>0.4567</w:t>
            </w:r>
          </w:p>
        </w:tc>
      </w:tr>
    </w:tbl>
    <w:p w14:paraId="1C5692E4" w14:textId="77777777" w:rsidR="00994F64" w:rsidRPr="00261B7A" w:rsidRDefault="00994F64" w:rsidP="00994F64">
      <w:pPr>
        <w:pStyle w:val="Source"/>
        <w:spacing w:after="60"/>
        <w:rPr>
          <w:rFonts w:cs="Calibri"/>
          <w:sz w:val="18"/>
          <w:szCs w:val="24"/>
        </w:rPr>
      </w:pPr>
      <w:r w:rsidRPr="00261B7A">
        <w:rPr>
          <w:rFonts w:cs="Calibri"/>
          <w:b/>
          <w:sz w:val="18"/>
          <w:szCs w:val="24"/>
        </w:rPr>
        <w:t>Source:</w:t>
      </w:r>
      <w:r w:rsidRPr="00261B7A">
        <w:rPr>
          <w:rFonts w:cs="Calibri"/>
          <w:b/>
          <w:sz w:val="18"/>
          <w:szCs w:val="24"/>
        </w:rPr>
        <w:tab/>
      </w:r>
      <w:r w:rsidRPr="00261B7A">
        <w:rPr>
          <w:rFonts w:cs="Calibri"/>
          <w:sz w:val="18"/>
          <w:szCs w:val="24"/>
        </w:rPr>
        <w:t xml:space="preserve"> Thomas et al. (2011)</w:t>
      </w:r>
    </w:p>
    <w:p w14:paraId="404DFC76" w14:textId="77777777" w:rsidR="00994F64" w:rsidRPr="00261B7A" w:rsidRDefault="00994F64" w:rsidP="00994F64">
      <w:pPr>
        <w:pStyle w:val="BodyText"/>
      </w:pPr>
      <w:r w:rsidRPr="00261B7A">
        <w:t xml:space="preserve">From 2005 to 2021, calculation of the amount of biomass residue burned was based on information about the area of crop residue burning from the Stats NZ Agricultural Production Census and Surveys. </w:t>
      </w:r>
    </w:p>
    <w:p w14:paraId="0ADB0739" w14:textId="77777777" w:rsidR="00994F64" w:rsidRPr="00261B7A" w:rsidRDefault="00994F64" w:rsidP="00994F64">
      <w:pPr>
        <w:pStyle w:val="BodyText"/>
      </w:pPr>
      <w:r w:rsidRPr="00261B7A">
        <w:t>Biomass burned from 2005, AG</w:t>
      </w:r>
      <w:r w:rsidRPr="00261B7A">
        <w:rPr>
          <w:vertAlign w:val="subscript"/>
        </w:rPr>
        <w:t xml:space="preserve">BURN </w:t>
      </w:r>
      <w:r w:rsidRPr="00261B7A">
        <w:t>(as previously defined), is:</w:t>
      </w:r>
    </w:p>
    <w:p w14:paraId="0FB0CCB5" w14:textId="77777777" w:rsidR="00994F64" w:rsidRPr="00261B7A" w:rsidRDefault="00994F64" w:rsidP="00994F64">
      <w:pPr>
        <w:pStyle w:val="BodyText"/>
        <w:spacing w:before="80" w:after="80"/>
        <w:jc w:val="center"/>
        <w:rPr>
          <w:rFonts w:cs="Calibri"/>
        </w:rPr>
      </w:pPr>
      <w:r w:rsidRPr="00261B7A">
        <w:rPr>
          <w:rFonts w:cs="Calibri"/>
        </w:rPr>
        <w:object w:dxaOrig="5651" w:dyaOrig="302" w14:anchorId="6F6F4A5D">
          <v:shape id="_x0000_i1064" type="#_x0000_t75" style="width:281.5pt;height:13.5pt" o:ole="">
            <v:imagedata r:id="rId183" o:title=""/>
          </v:shape>
          <o:OLEObject Type="Embed" ProgID="Word.Document.12" ShapeID="_x0000_i1064" DrawAspect="Content" ObjectID="_1742911603" r:id="rId184">
            <o:FieldCodes>\s</o:FieldCodes>
          </o:OLEObject>
        </w:object>
      </w:r>
    </w:p>
    <w:p w14:paraId="0CA9FBAC" w14:textId="77777777" w:rsidR="00994F64" w:rsidRPr="00261B7A" w:rsidRDefault="00994F64" w:rsidP="00994F64">
      <w:pPr>
        <w:pStyle w:val="BodyText"/>
        <w:keepNext/>
        <w:spacing w:after="40"/>
        <w:ind w:left="964" w:hanging="964"/>
        <w:rPr>
          <w:rFonts w:cs="Calibri"/>
        </w:rPr>
      </w:pPr>
      <w:r w:rsidRPr="00261B7A">
        <w:rPr>
          <w:rFonts w:cs="Calibri"/>
        </w:rPr>
        <w:t>Where:</w:t>
      </w:r>
      <w:r w:rsidRPr="00261B7A">
        <w:rPr>
          <w:rFonts w:cs="Calibri"/>
        </w:rPr>
        <w:tab/>
        <w:t>AG</w:t>
      </w:r>
      <w:r w:rsidRPr="00261B7A">
        <w:rPr>
          <w:rFonts w:cs="Calibri"/>
          <w:vertAlign w:val="subscript"/>
        </w:rPr>
        <w:t>DM</w:t>
      </w:r>
      <w:r w:rsidRPr="00261B7A">
        <w:rPr>
          <w:rFonts w:cs="Calibri"/>
        </w:rPr>
        <w:t xml:space="preserve"> is the amount of above-ground residue (tonnes)</w:t>
      </w:r>
    </w:p>
    <w:p w14:paraId="7028A6A2" w14:textId="77777777" w:rsidR="00994F64" w:rsidRPr="00261B7A" w:rsidRDefault="00994F64" w:rsidP="00994F64">
      <w:pPr>
        <w:pStyle w:val="BodyText"/>
        <w:spacing w:before="40" w:after="40"/>
        <w:ind w:left="964"/>
        <w:rPr>
          <w:rFonts w:cs="Calibri"/>
        </w:rPr>
      </w:pPr>
      <w:r w:rsidRPr="00261B7A">
        <w:rPr>
          <w:rFonts w:cs="Calibri"/>
        </w:rPr>
        <w:t>Frac</w:t>
      </w:r>
      <w:r w:rsidRPr="00261B7A">
        <w:rPr>
          <w:rFonts w:cs="Calibri"/>
          <w:vertAlign w:val="subscript"/>
        </w:rPr>
        <w:t>RESIDUE</w:t>
      </w:r>
      <w:r w:rsidRPr="00261B7A">
        <w:rPr>
          <w:rFonts w:cs="Calibri"/>
        </w:rPr>
        <w:t xml:space="preserve"> is the proportion of residue remaining after harvest (see table 5.7.2), and</w:t>
      </w:r>
    </w:p>
    <w:p w14:paraId="628D9B0C" w14:textId="77777777" w:rsidR="00994F64" w:rsidRPr="00261B7A" w:rsidRDefault="00994F64" w:rsidP="00994F64">
      <w:pPr>
        <w:pStyle w:val="BodyText"/>
        <w:spacing w:before="40"/>
        <w:ind w:left="964"/>
        <w:rPr>
          <w:rFonts w:cs="Calibri"/>
        </w:rPr>
      </w:pPr>
      <w:r w:rsidRPr="00261B7A">
        <w:rPr>
          <w:rFonts w:cs="Calibri"/>
        </w:rPr>
        <w:t>Frac</w:t>
      </w:r>
      <w:r w:rsidRPr="00261B7A">
        <w:rPr>
          <w:rFonts w:cs="Calibri"/>
          <w:vertAlign w:val="subscript"/>
        </w:rPr>
        <w:t>BURN</w:t>
      </w:r>
      <w:r w:rsidRPr="00261B7A">
        <w:rPr>
          <w:rFonts w:cs="Calibri"/>
        </w:rPr>
        <w:t xml:space="preserve"> is the proportion of remaining residue burned.</w:t>
      </w:r>
    </w:p>
    <w:p w14:paraId="6D82017C" w14:textId="77777777" w:rsidR="00994F64" w:rsidRPr="00261B7A" w:rsidRDefault="00994F64" w:rsidP="00994F64">
      <w:pPr>
        <w:pStyle w:val="BodyText"/>
      </w:pPr>
      <w:r w:rsidRPr="00261B7A">
        <w:t>The above-ground residue, AG</w:t>
      </w:r>
      <w:r w:rsidRPr="00261B7A">
        <w:rPr>
          <w:vertAlign w:val="subscript"/>
        </w:rPr>
        <w:t xml:space="preserve">DM </w:t>
      </w:r>
      <w:r w:rsidRPr="00261B7A">
        <w:t>(tonnes), is:</w:t>
      </w:r>
    </w:p>
    <w:p w14:paraId="2F7FE1FE" w14:textId="77777777" w:rsidR="00994F64" w:rsidRPr="00261B7A" w:rsidRDefault="00994F64" w:rsidP="00994F64">
      <w:pPr>
        <w:pStyle w:val="BodyText"/>
        <w:spacing w:before="80" w:after="80"/>
      </w:pPr>
      <w:r w:rsidRPr="00261B7A">
        <w:object w:dxaOrig="7916" w:dyaOrig="499" w14:anchorId="1B84B272">
          <v:shape id="_x0000_i1065" type="#_x0000_t75" style="width:396.5pt;height:22pt" o:ole="">
            <v:imagedata r:id="rId179" o:title=""/>
          </v:shape>
          <o:OLEObject Type="Embed" ProgID="Word.Document.12" ShapeID="_x0000_i1065" DrawAspect="Content" ObjectID="_1742911604" r:id="rId185">
            <o:FieldCodes>\s</o:FieldCodes>
          </o:OLEObject>
        </w:object>
      </w:r>
    </w:p>
    <w:p w14:paraId="580D8F22" w14:textId="77777777" w:rsidR="00994F64" w:rsidRPr="00261B7A" w:rsidRDefault="00994F64" w:rsidP="00994F64">
      <w:pPr>
        <w:pStyle w:val="BodyText"/>
        <w:spacing w:after="0"/>
        <w:ind w:left="964" w:hanging="964"/>
        <w:rPr>
          <w:rFonts w:cs="Calibri"/>
        </w:rPr>
      </w:pPr>
      <w:r w:rsidRPr="00261B7A">
        <w:rPr>
          <w:rFonts w:cs="Calibri"/>
        </w:rPr>
        <w:t>Where:</w:t>
      </w:r>
      <w:r w:rsidRPr="00261B7A">
        <w:rPr>
          <w:rFonts w:cs="Calibri"/>
        </w:rPr>
        <w:tab/>
        <w:t>HI is the harvest index (crop specific, table 5.7.2); that is, the mass harvested over the total mass of above-ground biomass, and</w:t>
      </w:r>
    </w:p>
    <w:p w14:paraId="1B38FE98" w14:textId="77777777" w:rsidR="00994F64" w:rsidRPr="00261B7A" w:rsidRDefault="00994F64" w:rsidP="00994F64">
      <w:pPr>
        <w:pStyle w:val="BodyText"/>
        <w:spacing w:before="60"/>
        <w:ind w:left="964"/>
        <w:rPr>
          <w:rFonts w:cs="Calibri"/>
        </w:rPr>
      </w:pPr>
      <w:r w:rsidRPr="00261B7A">
        <w:rPr>
          <w:rFonts w:cs="Calibri"/>
        </w:rPr>
        <w:t>Prod</w:t>
      </w:r>
      <w:r w:rsidRPr="00261B7A">
        <w:rPr>
          <w:rFonts w:cs="Calibri"/>
          <w:vertAlign w:val="subscript"/>
        </w:rPr>
        <w:t>DM</w:t>
      </w:r>
      <w:r w:rsidRPr="00261B7A">
        <w:rPr>
          <w:rFonts w:cs="Calibri"/>
        </w:rPr>
        <w:t xml:space="preserve"> (measured in tonnes) is the dry matter production of the area burned and is determined as follows:</w:t>
      </w:r>
    </w:p>
    <w:p w14:paraId="748BCEA1" w14:textId="77777777" w:rsidR="00994F64" w:rsidRPr="00261B7A" w:rsidRDefault="00994F64" w:rsidP="00994F64">
      <w:pPr>
        <w:pStyle w:val="BodyText"/>
        <w:spacing w:before="80" w:after="80"/>
        <w:rPr>
          <w:rFonts w:cs="Calibri"/>
        </w:rPr>
      </w:pPr>
      <w:bookmarkStart w:id="1311" w:name="_MON_1548661704"/>
      <w:bookmarkEnd w:id="1311"/>
      <w:r w:rsidRPr="00261B7A">
        <w:rPr>
          <w:rFonts w:cs="Calibri"/>
          <w:noProof/>
        </w:rPr>
        <w:drawing>
          <wp:inline distT="0" distB="0" distL="0" distR="0" wp14:anchorId="4B79E8CD" wp14:editId="1EE4CAE1">
            <wp:extent cx="4975120" cy="20471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002055" cy="205825"/>
                    </a:xfrm>
                    <a:prstGeom prst="rect">
                      <a:avLst/>
                    </a:prstGeom>
                    <a:noFill/>
                    <a:ln>
                      <a:noFill/>
                    </a:ln>
                  </pic:spPr>
                </pic:pic>
              </a:graphicData>
            </a:graphic>
          </wp:inline>
        </w:drawing>
      </w:r>
    </w:p>
    <w:p w14:paraId="3282E648" w14:textId="77777777" w:rsidR="00994F64" w:rsidRPr="00261B7A" w:rsidRDefault="00994F64" w:rsidP="00994F64">
      <w:pPr>
        <w:pStyle w:val="BodyText"/>
        <w:spacing w:after="40"/>
        <w:ind w:left="964" w:hanging="964"/>
        <w:rPr>
          <w:rFonts w:cs="Calibri"/>
        </w:rPr>
      </w:pPr>
      <w:r w:rsidRPr="00261B7A">
        <w:rPr>
          <w:rFonts w:cs="Calibri"/>
        </w:rPr>
        <w:t>Where:</w:t>
      </w:r>
      <w:r w:rsidRPr="00261B7A">
        <w:rPr>
          <w:rFonts w:cs="Calibri"/>
        </w:rPr>
        <w:tab/>
        <w:t>Area</w:t>
      </w:r>
      <w:r w:rsidRPr="00261B7A">
        <w:rPr>
          <w:rFonts w:cs="Calibri"/>
          <w:vertAlign w:val="subscript"/>
        </w:rPr>
        <w:t>BURN</w:t>
      </w:r>
      <w:r w:rsidRPr="00261B7A">
        <w:rPr>
          <w:rFonts w:cs="Calibri"/>
        </w:rPr>
        <w:t xml:space="preserve"> is the annual area burned (hectare)</w:t>
      </w:r>
    </w:p>
    <w:p w14:paraId="62C9324B" w14:textId="77777777" w:rsidR="00994F64" w:rsidRPr="00261B7A" w:rsidRDefault="00994F64" w:rsidP="00994F64">
      <w:pPr>
        <w:pStyle w:val="BodyText"/>
        <w:spacing w:before="40" w:after="40"/>
        <w:ind w:left="964"/>
        <w:rPr>
          <w:rFonts w:cs="Calibri"/>
        </w:rPr>
      </w:pPr>
      <w:r w:rsidRPr="00261B7A">
        <w:rPr>
          <w:rFonts w:cs="Calibri"/>
        </w:rPr>
        <w:t xml:space="preserve">Y is the average crop yield (tonnes per hectare), and </w:t>
      </w:r>
    </w:p>
    <w:p w14:paraId="5B9B54CA" w14:textId="77777777" w:rsidR="00994F64" w:rsidRPr="00261B7A" w:rsidRDefault="00994F64" w:rsidP="00994F64">
      <w:pPr>
        <w:pStyle w:val="BodyText"/>
        <w:spacing w:before="40"/>
        <w:ind w:left="964"/>
        <w:rPr>
          <w:rFonts w:cs="Calibri"/>
        </w:rPr>
      </w:pPr>
      <w:r w:rsidRPr="00261B7A">
        <w:rPr>
          <w:rFonts w:cs="Calibri"/>
        </w:rPr>
        <w:t>Frac</w:t>
      </w:r>
      <w:r w:rsidRPr="00261B7A">
        <w:rPr>
          <w:rFonts w:cs="Calibri"/>
          <w:vertAlign w:val="subscript"/>
        </w:rPr>
        <w:t>DM</w:t>
      </w:r>
      <w:r w:rsidRPr="00261B7A">
        <w:rPr>
          <w:rFonts w:cs="Calibri"/>
        </w:rPr>
        <w:t xml:space="preserve"> is the fraction of crop that is dry matter (crop specific, table 5.7.2).</w:t>
      </w:r>
    </w:p>
    <w:p w14:paraId="7110B8A6" w14:textId="77777777" w:rsidR="00994F64" w:rsidRPr="00261B7A" w:rsidRDefault="00994F64" w:rsidP="00994F64">
      <w:pPr>
        <w:pStyle w:val="BodyText"/>
      </w:pPr>
      <w:r w:rsidRPr="00261B7A">
        <w:t>The country-specific parameters for the proportion of residue burned, harvest indices, dry-matter fractions, the fraction oxidised and the carbon and nitrogen fractions of the residue (see table 5.7.2) are derived from the OVERSEER</w:t>
      </w:r>
      <w:r w:rsidRPr="00261B7A">
        <w:rPr>
          <w:vertAlign w:val="superscript"/>
        </w:rPr>
        <w:t>®</w:t>
      </w:r>
      <w:r w:rsidRPr="00261B7A">
        <w:t xml:space="preserve"> nutrient budget model for New Zealand (Wheeler et al., 2003) and are the same as those used for estimates of emissions from crop residues (see section 5.5.2). Further detail is provided in Thomas et al. (2011).</w:t>
      </w:r>
    </w:p>
    <w:p w14:paraId="2988AE65" w14:textId="77777777" w:rsidR="00994F64" w:rsidRPr="00261B7A" w:rsidRDefault="00994F64" w:rsidP="00994F64">
      <w:pPr>
        <w:pStyle w:val="BodyText"/>
      </w:pPr>
      <w:r w:rsidRPr="00261B7A">
        <w:t xml:space="preserve">The recommended proportion of crop area burned for 1990 to 2004 was determined by a farmer survey and assumed to be 70 per cent of wheat, 50 per cent of barley and 50 per cent of oat crops (Thomas et al., 2011). These values are in alignment with Stats NZ data for 2005 to 2007 (2005 being the first year Stats NZ gathered these data) and are, therefore, applied to the years 1990 to 2004. From 2005, data on the total area of crop residues burned in New Zealand were collected but, while the data show total residue burned at a regional and national level, they do not differentiate between cereal crop types. </w:t>
      </w:r>
    </w:p>
    <w:p w14:paraId="7B97165B" w14:textId="77777777" w:rsidR="00994F64" w:rsidRPr="00261B7A" w:rsidRDefault="00994F64" w:rsidP="00994F64">
      <w:pPr>
        <w:pStyle w:val="BodyText"/>
      </w:pPr>
      <w:r w:rsidRPr="00261B7A">
        <w:t xml:space="preserve">For 2005 onwards, the same proportions of crop area burned for wheat (70 per cent), barley (50 per cent) and oats (50 per cent) were used. However, these areas were then multiplied by a constant factor </w:t>
      </w:r>
      <w:r w:rsidRPr="00261B7A">
        <w:rPr>
          <w:i/>
        </w:rPr>
        <w:t>K</w:t>
      </w:r>
      <w:r w:rsidRPr="00261B7A">
        <w:t xml:space="preserve"> such that the total area burned is consistent with the Agricultural Production Survey. This captures year-to-year variability, such as reduced burning during very dry and very wet years.</w:t>
      </w:r>
    </w:p>
    <w:p w14:paraId="6E418DB4" w14:textId="77777777" w:rsidR="00994F64" w:rsidRPr="00261B7A" w:rsidRDefault="00994F64" w:rsidP="00994F64">
      <w:pPr>
        <w:pStyle w:val="BodyText"/>
        <w:spacing w:before="80"/>
      </w:pPr>
      <m:oMathPara>
        <m:oMath>
          <m:r>
            <w:rPr>
              <w:rFonts w:ascii="Cambria Math" w:hAnsi="Cambria Math"/>
            </w:rPr>
            <m:t>K</m:t>
          </m:r>
          <m:r>
            <m:rPr>
              <m:sty m:val="p"/>
            </m:rPr>
            <w:rPr>
              <w:rFonts w:ascii="Cambria Math" w:hAnsi="Cambria Math"/>
            </w:rPr>
            <m:t xml:space="preserve">= </m:t>
          </m:r>
          <m:f>
            <m:fPr>
              <m:ctrlPr>
                <w:rPr>
                  <w:rFonts w:ascii="Cambria Math" w:hAnsi="Cambria Math"/>
                </w:rPr>
              </m:ctrlPr>
            </m:fPr>
            <m:num>
              <m:r>
                <w:rPr>
                  <w:rFonts w:ascii="Cambria Math" w:hAnsi="Cambria Math"/>
                </w:rPr>
                <m:t>Total</m:t>
              </m:r>
              <m:r>
                <m:rPr>
                  <m:sty m:val="p"/>
                </m:rPr>
                <w:rPr>
                  <w:rFonts w:ascii="Cambria Math" w:hAnsi="Cambria Math"/>
                </w:rPr>
                <m:t xml:space="preserve"> </m:t>
              </m:r>
              <m:r>
                <w:rPr>
                  <w:rFonts w:ascii="Cambria Math" w:hAnsi="Cambria Math"/>
                </w:rPr>
                <m:t>Area</m:t>
              </m:r>
              <m:r>
                <m:rPr>
                  <m:sty m:val="p"/>
                </m:rPr>
                <w:rPr>
                  <w:rFonts w:ascii="Cambria Math" w:hAnsi="Cambria Math"/>
                </w:rPr>
                <m:t xml:space="preserve"> </m:t>
              </m:r>
              <m:r>
                <w:rPr>
                  <w:rFonts w:ascii="Cambria Math" w:hAnsi="Cambria Math"/>
                </w:rPr>
                <m:t>Burnt</m:t>
              </m:r>
            </m:num>
            <m:den>
              <m:sSub>
                <m:sSubPr>
                  <m:ctrlPr>
                    <w:rPr>
                      <w:rFonts w:ascii="Cambria Math" w:hAnsi="Cambria Math"/>
                    </w:rPr>
                  </m:ctrlPr>
                </m:sSubPr>
                <m:e>
                  <m:r>
                    <m:rPr>
                      <m:sty m:val="p"/>
                    </m:rPr>
                    <w:rPr>
                      <w:rFonts w:ascii="Cambria Math" w:hAnsi="Cambria Math"/>
                    </w:rPr>
                    <m:t>0.7×</m:t>
                  </m:r>
                  <m:r>
                    <w:rPr>
                      <w:rFonts w:ascii="Cambria Math" w:hAnsi="Cambria Math"/>
                    </w:rPr>
                    <m:t>Area</m:t>
                  </m:r>
                  <m:r>
                    <m:rPr>
                      <m:sty m:val="p"/>
                    </m:rPr>
                    <w:rPr>
                      <w:rFonts w:ascii="Cambria Math" w:hAnsi="Cambria Math"/>
                    </w:rPr>
                    <m:t xml:space="preserve"> </m:t>
                  </m:r>
                  <m:r>
                    <w:rPr>
                      <w:rFonts w:ascii="Cambria Math" w:hAnsi="Cambria Math"/>
                    </w:rPr>
                    <m:t>Burnt</m:t>
                  </m:r>
                </m:e>
                <m:sub>
                  <m:r>
                    <w:rPr>
                      <w:rFonts w:ascii="Cambria Math" w:hAnsi="Cambria Math"/>
                    </w:rPr>
                    <m:t>Wheat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0.5×</m:t>
                  </m:r>
                  <m:r>
                    <w:rPr>
                      <w:rFonts w:ascii="Cambria Math" w:hAnsi="Cambria Math"/>
                    </w:rPr>
                    <m:t>Area</m:t>
                  </m:r>
                  <m:r>
                    <m:rPr>
                      <m:sty m:val="p"/>
                    </m:rPr>
                    <w:rPr>
                      <w:rFonts w:ascii="Cambria Math" w:hAnsi="Cambria Math"/>
                    </w:rPr>
                    <m:t xml:space="preserve"> </m:t>
                  </m:r>
                  <m:r>
                    <w:rPr>
                      <w:rFonts w:ascii="Cambria Math" w:hAnsi="Cambria Math"/>
                    </w:rPr>
                    <m:t>Burnt</m:t>
                  </m:r>
                </m:e>
                <m:sub>
                  <m:r>
                    <w:rPr>
                      <w:rFonts w:ascii="Cambria Math" w:hAnsi="Cambria Math"/>
                    </w:rPr>
                    <m:t>Barley</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0.5×</m:t>
                  </m:r>
                  <m:r>
                    <w:rPr>
                      <w:rFonts w:ascii="Cambria Math" w:hAnsi="Cambria Math"/>
                    </w:rPr>
                    <m:t>Area</m:t>
                  </m:r>
                  <m:r>
                    <m:rPr>
                      <m:sty m:val="p"/>
                    </m:rPr>
                    <w:rPr>
                      <w:rFonts w:ascii="Cambria Math" w:hAnsi="Cambria Math"/>
                    </w:rPr>
                    <m:t xml:space="preserve"> </m:t>
                  </m:r>
                  <m:r>
                    <w:rPr>
                      <w:rFonts w:ascii="Cambria Math" w:hAnsi="Cambria Math"/>
                    </w:rPr>
                    <m:t>Burnt</m:t>
                  </m:r>
                </m:e>
                <m:sub>
                  <m:r>
                    <w:rPr>
                      <w:rFonts w:ascii="Cambria Math" w:hAnsi="Cambria Math"/>
                    </w:rPr>
                    <m:t>Oats</m:t>
                  </m:r>
                </m:sub>
              </m:sSub>
            </m:den>
          </m:f>
        </m:oMath>
      </m:oMathPara>
    </w:p>
    <w:p w14:paraId="63E61AEA" w14:textId="77777777" w:rsidR="00994F64" w:rsidRPr="00261B7A" w:rsidRDefault="00994F64" w:rsidP="00994F64">
      <w:pPr>
        <w:pStyle w:val="BodyText"/>
        <w:keepLines/>
        <w:rPr>
          <w:rFonts w:cs="Calibri"/>
        </w:rPr>
      </w:pPr>
      <w:r w:rsidRPr="00261B7A">
        <w:rPr>
          <w:rFonts w:cs="Calibri"/>
        </w:rPr>
        <w:t>Expert opinion suggests that, if crop residue is to be burned, there is generally no prior removal for feed and bedding. Therefore, 100 per cent of residue is left for burning after the harvested proportion has been removed (i.e., Frac</w:t>
      </w:r>
      <w:r w:rsidRPr="00261B7A">
        <w:rPr>
          <w:rFonts w:cs="Calibri"/>
          <w:vertAlign w:val="subscript"/>
        </w:rPr>
        <w:t>REMOVE</w:t>
      </w:r>
      <w:r w:rsidRPr="00261B7A">
        <w:rPr>
          <w:rFonts w:cs="Calibri"/>
        </w:rPr>
        <w:t xml:space="preserve"> is assumed to be zero; Thomas et al., 2011). This is consistent with section 5.5.2. </w:t>
      </w:r>
    </w:p>
    <w:p w14:paraId="0DA36BD6" w14:textId="77777777" w:rsidR="00994F64" w:rsidRPr="00261B7A" w:rsidRDefault="00994F64" w:rsidP="00994F64">
      <w:pPr>
        <w:pStyle w:val="Heading3"/>
        <w:spacing w:before="280"/>
      </w:pPr>
      <w:bookmarkStart w:id="1312" w:name="_Toc32570678"/>
      <w:r w:rsidRPr="00261B7A">
        <w:t>5.7.3</w:t>
      </w:r>
      <w:r w:rsidRPr="00261B7A">
        <w:tab/>
        <w:t>Uncertainties and time-series consistency</w:t>
      </w:r>
      <w:bookmarkEnd w:id="1312"/>
    </w:p>
    <w:p w14:paraId="516CA8A3" w14:textId="77777777" w:rsidR="00994F64" w:rsidRPr="00261B7A" w:rsidRDefault="00994F64" w:rsidP="00994F64">
      <w:pPr>
        <w:pStyle w:val="BodyText"/>
      </w:pPr>
      <w:r w:rsidRPr="00261B7A">
        <w:t xml:space="preserve">The largest contributor to uncertainty in the estimated emissions is the fraction of agricultural residue burned in the field. Expert opinion for the fraction of crops burned in fields between 1990 and 2004 was taken from farmer surveys in the Canterbury area, where 80 per cent of cereal production occurs. Between 2005 and 2009, an average of 86 per cent of total residue burning occurred in Canterbury. Estimates of crop burning for 2020 were 40.6 per cent (calculated as a percentage of total crop area) and have ranged from a high in 2006 of 61.5 per cent to a low in 2015 of 29.3 per cent, reflecting variations in annual weather patterns. </w:t>
      </w:r>
    </w:p>
    <w:p w14:paraId="508E6262" w14:textId="77777777" w:rsidR="00994F64" w:rsidRPr="00261B7A" w:rsidRDefault="00994F64" w:rsidP="00994F64">
      <w:pPr>
        <w:pStyle w:val="BodyText"/>
      </w:pPr>
      <w:r w:rsidRPr="00261B7A">
        <w:t>The country-specific values for these parameters are those from the OVERSEER® nutrient budget model for New Zealand (Wheeler et al., 2003) and are the same as those used for estimates of emissions from crop residues. This provides consistency between the two emissions estimates for crop residue and crop burning.</w:t>
      </w:r>
    </w:p>
    <w:p w14:paraId="01613C65" w14:textId="77777777" w:rsidR="00994F64" w:rsidRPr="00261B7A" w:rsidRDefault="00994F64" w:rsidP="00994F64">
      <w:pPr>
        <w:pStyle w:val="BodyText"/>
      </w:pPr>
      <w:r w:rsidRPr="00261B7A">
        <w:t>The proportion of residue burned has been estimated as 70 per cent for the years 1990 to 2004 because this takes into account required fire break areas and differences in the methods used. The Agriculture inventory also assumes that farmers will generally be aiming to have as close to complete combustion as possible.</w:t>
      </w:r>
    </w:p>
    <w:p w14:paraId="0A56ACA9" w14:textId="77777777" w:rsidR="00994F64" w:rsidRPr="00261B7A" w:rsidRDefault="00994F64" w:rsidP="00994F64">
      <w:pPr>
        <w:pStyle w:val="BodyText"/>
      </w:pPr>
      <w:r w:rsidRPr="00261B7A">
        <w:t>Although country-specific parameters have been developed, a conservative approach to uncertainty is taken, using the IPCC (2000) value of ±20 per cent. Given that emissions from field burning are low, compared with emissions from the rest of Agriculture inventory, the uncertainties from field burning have little impact on total emission uncertainties.</w:t>
      </w:r>
    </w:p>
    <w:p w14:paraId="3A2A8B30" w14:textId="77777777" w:rsidR="00994F64" w:rsidRPr="00261B7A" w:rsidRDefault="00994F64" w:rsidP="00994F64">
      <w:pPr>
        <w:pStyle w:val="Heading3"/>
        <w:spacing w:before="280"/>
      </w:pPr>
      <w:bookmarkStart w:id="1313" w:name="_Toc32570679"/>
      <w:r w:rsidRPr="00261B7A">
        <w:t>5.7.4</w:t>
      </w:r>
      <w:r w:rsidRPr="00261B7A">
        <w:tab/>
        <w:t>Source-specific QA/QC and verification</w:t>
      </w:r>
      <w:bookmarkEnd w:id="1313"/>
    </w:p>
    <w:p w14:paraId="0D2A93D5" w14:textId="77777777" w:rsidR="00994F64" w:rsidRPr="00261B7A" w:rsidRDefault="00994F64" w:rsidP="00994F64">
      <w:pPr>
        <w:pStyle w:val="BodyText"/>
        <w:rPr>
          <w:rFonts w:cs="Calibri"/>
        </w:rPr>
      </w:pPr>
      <w:r w:rsidRPr="00261B7A">
        <w:rPr>
          <w:rFonts w:cs="Calibri"/>
        </w:rPr>
        <w:t xml:space="preserve">Plant and Food Research reviewed the implementation of the methodology to estimate emissions of </w:t>
      </w:r>
      <w:r w:rsidRPr="00261B7A">
        <w:rPr>
          <w:rFonts w:cs="Calibri"/>
          <w:spacing w:val="-2"/>
        </w:rPr>
        <w:t>N</w:t>
      </w:r>
      <w:r w:rsidRPr="00261B7A">
        <w:rPr>
          <w:rFonts w:cs="Calibri"/>
          <w:spacing w:val="-2"/>
          <w:vertAlign w:val="subscript"/>
        </w:rPr>
        <w:t>2</w:t>
      </w:r>
      <w:r w:rsidRPr="00261B7A">
        <w:rPr>
          <w:rFonts w:cs="Calibri"/>
          <w:spacing w:val="-2"/>
        </w:rPr>
        <w:t>O</w:t>
      </w:r>
      <w:r w:rsidRPr="00261B7A">
        <w:rPr>
          <w:rFonts w:cs="Calibri"/>
        </w:rPr>
        <w:t xml:space="preserve"> from crop residues, nitrogen-fixing crops and field burning of agricultural residues (Thomas et al., 2008, 2011).</w:t>
      </w:r>
    </w:p>
    <w:p w14:paraId="35761704" w14:textId="77777777" w:rsidR="00994F64" w:rsidRPr="00261B7A" w:rsidRDefault="00994F64" w:rsidP="00994F64">
      <w:pPr>
        <w:pStyle w:val="Heading3"/>
        <w:spacing w:before="280"/>
      </w:pPr>
      <w:bookmarkStart w:id="1314" w:name="_Toc32570680"/>
      <w:r w:rsidRPr="00261B7A">
        <w:t>5.7.5</w:t>
      </w:r>
      <w:r w:rsidRPr="00261B7A">
        <w:tab/>
        <w:t>Source-specific recalculations</w:t>
      </w:r>
      <w:bookmarkEnd w:id="1314"/>
    </w:p>
    <w:p w14:paraId="0E5DB69E" w14:textId="77777777" w:rsidR="00994F64" w:rsidRPr="00261B7A" w:rsidRDefault="00994F64" w:rsidP="00994F64">
      <w:pPr>
        <w:pStyle w:val="BodyText"/>
        <w:rPr>
          <w:rFonts w:cs="Calibri"/>
        </w:rPr>
      </w:pPr>
      <w:r w:rsidRPr="00261B7A">
        <w:rPr>
          <w:rFonts w:cs="Calibri"/>
        </w:rPr>
        <w:t>All activity data were updated with the latest available Stats NZ data.</w:t>
      </w:r>
    </w:p>
    <w:p w14:paraId="3C338DC9" w14:textId="77777777" w:rsidR="00994F64" w:rsidRPr="00261B7A" w:rsidRDefault="00994F64" w:rsidP="00994F64">
      <w:pPr>
        <w:pStyle w:val="Heading3"/>
        <w:spacing w:before="280"/>
      </w:pPr>
      <w:bookmarkStart w:id="1315" w:name="_Toc32570681"/>
      <w:r w:rsidRPr="00261B7A">
        <w:t>5.7.6</w:t>
      </w:r>
      <w:r w:rsidRPr="00261B7A">
        <w:tab/>
        <w:t>Source-specific planned improvements</w:t>
      </w:r>
      <w:bookmarkEnd w:id="1315"/>
      <w:r w:rsidRPr="00261B7A">
        <w:t xml:space="preserve"> </w:t>
      </w:r>
    </w:p>
    <w:p w14:paraId="20D32F50" w14:textId="77777777" w:rsidR="00994F64" w:rsidRPr="00261B7A" w:rsidRDefault="00994F64" w:rsidP="00994F64">
      <w:pPr>
        <w:pStyle w:val="BodyText"/>
        <w:rPr>
          <w:rFonts w:cs="Calibri"/>
        </w:rPr>
      </w:pPr>
      <w:r w:rsidRPr="00261B7A">
        <w:rPr>
          <w:rFonts w:cs="Calibri"/>
        </w:rPr>
        <w:t xml:space="preserve">No improvements are currently planned. </w:t>
      </w:r>
    </w:p>
    <w:p w14:paraId="60CADAFD" w14:textId="77777777" w:rsidR="00994F64" w:rsidRPr="00261B7A" w:rsidRDefault="00994F64" w:rsidP="00994F64">
      <w:pPr>
        <w:pStyle w:val="Heading2"/>
      </w:pPr>
      <w:bookmarkStart w:id="1316" w:name="_Toc448321529"/>
      <w:bookmarkStart w:id="1317" w:name="_Toc481751391"/>
      <w:bookmarkStart w:id="1318" w:name="_Toc511116606"/>
      <w:bookmarkStart w:id="1319" w:name="_Toc5269368"/>
      <w:bookmarkStart w:id="1320" w:name="_Toc32570682"/>
      <w:bookmarkStart w:id="1321" w:name="_Toc36224408"/>
      <w:bookmarkStart w:id="1322" w:name="_Toc68786328"/>
      <w:bookmarkStart w:id="1323" w:name="_Toc131591243"/>
      <w:r w:rsidRPr="00261B7A">
        <w:t>5.8</w:t>
      </w:r>
      <w:r w:rsidRPr="00261B7A">
        <w:tab/>
        <w:t>Liming (CRF 3.G)</w:t>
      </w:r>
      <w:bookmarkEnd w:id="1316"/>
      <w:bookmarkEnd w:id="1317"/>
      <w:bookmarkEnd w:id="1318"/>
      <w:bookmarkEnd w:id="1319"/>
      <w:bookmarkEnd w:id="1320"/>
      <w:bookmarkEnd w:id="1321"/>
      <w:bookmarkEnd w:id="1322"/>
      <w:bookmarkEnd w:id="1323"/>
      <w:r w:rsidRPr="00261B7A">
        <w:t xml:space="preserve"> </w:t>
      </w:r>
    </w:p>
    <w:p w14:paraId="61400E53" w14:textId="77777777" w:rsidR="00994F64" w:rsidRPr="00261B7A" w:rsidRDefault="00994F64" w:rsidP="00994F64">
      <w:pPr>
        <w:pStyle w:val="Heading3"/>
        <w:spacing w:before="240"/>
      </w:pPr>
      <w:bookmarkStart w:id="1324" w:name="_Toc32570683"/>
      <w:r w:rsidRPr="00261B7A">
        <w:t>5.8.1</w:t>
      </w:r>
      <w:r w:rsidRPr="00261B7A">
        <w:tab/>
        <w:t>Description</w:t>
      </w:r>
      <w:bookmarkEnd w:id="1324"/>
    </w:p>
    <w:p w14:paraId="71726E00" w14:textId="77777777" w:rsidR="00994F64" w:rsidRPr="00261B7A" w:rsidRDefault="00994F64" w:rsidP="00994F64">
      <w:pPr>
        <w:pStyle w:val="BodyText"/>
        <w:rPr>
          <w:rFonts w:cs="Calibri"/>
        </w:rPr>
      </w:pPr>
      <w:r w:rsidRPr="00261B7A">
        <w:rPr>
          <w:rFonts w:cs="Calibri"/>
        </w:rPr>
        <w:t xml:space="preserve">Emissions from </w:t>
      </w:r>
      <w:r w:rsidRPr="00261B7A">
        <w:rPr>
          <w:rFonts w:cs="Calibri"/>
          <w:i/>
          <w:iCs/>
        </w:rPr>
        <w:t xml:space="preserve">Liming </w:t>
      </w:r>
      <w:r w:rsidRPr="00261B7A">
        <w:rPr>
          <w:rFonts w:cs="Calibri"/>
        </w:rPr>
        <w:t>(the application of limestone and dolomite) contributed an estimated 355.6 kt CO</w:t>
      </w:r>
      <w:r w:rsidRPr="00261B7A">
        <w:rPr>
          <w:rFonts w:cs="Calibri"/>
          <w:vertAlign w:val="subscript"/>
        </w:rPr>
        <w:t>2</w:t>
      </w:r>
      <w:r w:rsidRPr="00261B7A">
        <w:rPr>
          <w:rFonts w:cs="Calibri"/>
        </w:rPr>
        <w:t xml:space="preserve">, representing 0.5 per cent of New Zealand’s gross emissions and 0.9 per cent of </w:t>
      </w:r>
      <w:r w:rsidRPr="00261B7A">
        <w:rPr>
          <w:rFonts w:cs="Calibri"/>
          <w:iCs/>
        </w:rPr>
        <w:t>Agriculture</w:t>
      </w:r>
      <w:r w:rsidRPr="00261B7A">
        <w:rPr>
          <w:rFonts w:cs="Calibri"/>
          <w:i/>
        </w:rPr>
        <w:t xml:space="preserve"> </w:t>
      </w:r>
      <w:r w:rsidRPr="00261B7A">
        <w:rPr>
          <w:rFonts w:cs="Calibri"/>
        </w:rPr>
        <w:t xml:space="preserve">emissions in 2021. </w:t>
      </w:r>
    </w:p>
    <w:p w14:paraId="4DF2ECC3" w14:textId="77777777" w:rsidR="00994F64" w:rsidRPr="00261B7A" w:rsidRDefault="00994F64" w:rsidP="00994F64">
      <w:pPr>
        <w:pStyle w:val="BodyText"/>
        <w:spacing w:before="100" w:after="100"/>
        <w:rPr>
          <w:rFonts w:cs="Calibri"/>
        </w:rPr>
      </w:pPr>
      <w:r w:rsidRPr="00261B7A">
        <w:rPr>
          <w:rFonts w:cs="Calibri"/>
        </w:rPr>
        <w:t>In New Zealand, lime and dolomite fertilisers are mainly applied to acidic grassland and cropland soils to reduce soil acidity and maintain or increase production of pasture and crops. Before the 2015 submission, emissions from lime and dolomite fertilisers were reported under chapter 6, LULUCF.</w:t>
      </w:r>
    </w:p>
    <w:p w14:paraId="7B71CAEE" w14:textId="77777777" w:rsidR="00994F64" w:rsidRPr="00261B7A" w:rsidRDefault="00994F64" w:rsidP="00994F64">
      <w:pPr>
        <w:pStyle w:val="BodyText"/>
        <w:spacing w:before="100" w:after="100"/>
        <w:rPr>
          <w:rFonts w:cs="Calibri"/>
        </w:rPr>
      </w:pPr>
      <w:r w:rsidRPr="00261B7A">
        <w:rPr>
          <w:rFonts w:cs="Calibri"/>
          <w:i/>
        </w:rPr>
        <w:t>Liming</w:t>
      </w:r>
      <w:r w:rsidRPr="00261B7A">
        <w:rPr>
          <w:rFonts w:cs="Calibri"/>
        </w:rPr>
        <w:t xml:space="preserve"> was identified as a key category for the Agriculture sector in 2021 (level assessment).</w:t>
      </w:r>
    </w:p>
    <w:p w14:paraId="57830159" w14:textId="77777777" w:rsidR="00994F64" w:rsidRPr="00261B7A" w:rsidRDefault="00994F64" w:rsidP="00994F64">
      <w:pPr>
        <w:pStyle w:val="BodyText"/>
        <w:spacing w:before="100" w:after="100"/>
        <w:rPr>
          <w:rFonts w:cs="Calibri"/>
        </w:rPr>
      </w:pPr>
      <w:r w:rsidRPr="00261B7A">
        <w:rPr>
          <w:rFonts w:cs="Calibri"/>
        </w:rPr>
        <w:t xml:space="preserve">Emissions from </w:t>
      </w:r>
      <w:r w:rsidRPr="00261B7A">
        <w:rPr>
          <w:rFonts w:cs="Calibri"/>
          <w:i/>
        </w:rPr>
        <w:t xml:space="preserve">Liming </w:t>
      </w:r>
      <w:r w:rsidRPr="00261B7A">
        <w:rPr>
          <w:rFonts w:cs="Calibri"/>
        </w:rPr>
        <w:t>increased 20.0 per cent (59.2 kt CO</w:t>
      </w:r>
      <w:r w:rsidRPr="00261B7A">
        <w:rPr>
          <w:rFonts w:cs="Calibri"/>
          <w:vertAlign w:val="subscript"/>
        </w:rPr>
        <w:t>2</w:t>
      </w:r>
      <w:r w:rsidRPr="00261B7A">
        <w:rPr>
          <w:rFonts w:cs="Calibri"/>
        </w:rPr>
        <w:t>) between 1990 and 2021.</w:t>
      </w:r>
    </w:p>
    <w:p w14:paraId="57D79AF5" w14:textId="77777777" w:rsidR="00994F64" w:rsidRPr="00261B7A" w:rsidRDefault="00994F64" w:rsidP="00994F64">
      <w:pPr>
        <w:pStyle w:val="Heading3"/>
        <w:spacing w:before="280"/>
      </w:pPr>
      <w:bookmarkStart w:id="1325" w:name="_Toc32570684"/>
      <w:r w:rsidRPr="00261B7A">
        <w:t>5.8.2</w:t>
      </w:r>
      <w:r w:rsidRPr="00261B7A">
        <w:tab/>
        <w:t>Methodological issues</w:t>
      </w:r>
      <w:bookmarkEnd w:id="1325"/>
    </w:p>
    <w:p w14:paraId="05608ADD" w14:textId="77777777" w:rsidR="00994F64" w:rsidRPr="00261B7A" w:rsidRDefault="00994F64" w:rsidP="00994F64">
      <w:pPr>
        <w:pStyle w:val="BodyText"/>
        <w:spacing w:before="100" w:after="100"/>
        <w:rPr>
          <w:rFonts w:cs="Calibri"/>
        </w:rPr>
      </w:pPr>
      <w:r w:rsidRPr="00261B7A">
        <w:rPr>
          <w:rFonts w:cs="Calibri"/>
        </w:rPr>
        <w:t>Data on agricultural lime (limestone and dolomite) application are collected by Stats NZ, as a part of its five-yearly Agricultural Production Census and annual Survey in the intervening years. Analysis of the data indicates that, each year, around 90 per cent of agricultural lime used in New Zealand is applied to grassland, with the remaining 10 per cent applied to cropland.</w:t>
      </w:r>
    </w:p>
    <w:p w14:paraId="63BBFC4D" w14:textId="77777777" w:rsidR="00994F64" w:rsidRPr="00261B7A" w:rsidRDefault="00994F64" w:rsidP="00994F64">
      <w:pPr>
        <w:pStyle w:val="BodyText"/>
        <w:spacing w:before="100" w:after="100"/>
      </w:pPr>
      <w:r w:rsidRPr="00261B7A">
        <w:t>New Zealand has not yet developed a country-specific methodology for calculating CO</w:t>
      </w:r>
      <w:r w:rsidRPr="00261B7A">
        <w:rPr>
          <w:vertAlign w:val="subscript"/>
        </w:rPr>
        <w:t>2</w:t>
      </w:r>
      <w:r w:rsidRPr="00261B7A">
        <w:t xml:space="preserve"> emissions from the application of limestone and dolomite. Emissions from </w:t>
      </w:r>
      <w:r w:rsidRPr="00261B7A">
        <w:rPr>
          <w:i/>
          <w:iCs/>
        </w:rPr>
        <w:t>Liming</w:t>
      </w:r>
      <w:r w:rsidRPr="00261B7A">
        <w:t xml:space="preserve"> are currently estimated by following the Tier 1 methodology (equation 11.12; IPCC, 2006), using default </w:t>
      </w:r>
      <w:r w:rsidRPr="00261B7A">
        <w:rPr>
          <w:spacing w:val="-2"/>
        </w:rPr>
        <w:t>emission factors for carbon conversion of 0.12 and 0.13 for limestone and dolomite respectively.</w:t>
      </w:r>
      <w:r w:rsidRPr="00261B7A">
        <w:t xml:space="preserve"> </w:t>
      </w:r>
    </w:p>
    <w:p w14:paraId="3DCB02C5" w14:textId="77777777" w:rsidR="00994F64" w:rsidRPr="00261B7A" w:rsidRDefault="00994F64" w:rsidP="00994F64">
      <w:pPr>
        <w:pStyle w:val="Heading3"/>
      </w:pPr>
      <w:bookmarkStart w:id="1326" w:name="_Toc32570685"/>
      <w:r w:rsidRPr="00261B7A">
        <w:t>5.8.3</w:t>
      </w:r>
      <w:r w:rsidRPr="00261B7A">
        <w:tab/>
        <w:t>Activity data</w:t>
      </w:r>
      <w:bookmarkEnd w:id="1326"/>
    </w:p>
    <w:p w14:paraId="30360F84" w14:textId="77777777" w:rsidR="00994F64" w:rsidRPr="00261B7A" w:rsidRDefault="00994F64" w:rsidP="00994F64">
      <w:pPr>
        <w:pStyle w:val="BodyText"/>
        <w:spacing w:before="100" w:after="100"/>
      </w:pPr>
      <w:r w:rsidRPr="00261B7A">
        <w:t>Limestone is more commonly applied than dolomite in New Zealand. Limestone occurs and is extracted widely in New Zealand whereas dolomite is only available from a smaller, localised source. Activity data sourced from the Stats NZ Agricultural Production Census show that limestone application has declined since 2002, while dolomite use peaked in 2010 and has fallen since then. The quantity of lime applied as limestone and dolomite varies each year and is influenced by a number of factors, including farm profitability (see figures 5.8.1 and 5.8.2). A correction factor of 0.82 is applied to the gross weight (tonnes) of lime use reported by Stats NZ. This correction factor is specified using research from Thomson et al. (2021) and accounts for impurities in the agricultural lime applied, as well the moisture content, so that emissions are based on the dry weight of calcium carbonate actually applied (see section 5.8.6).</w:t>
      </w:r>
    </w:p>
    <w:p w14:paraId="24FE0D87" w14:textId="77777777" w:rsidR="00994F64" w:rsidRPr="00261B7A" w:rsidRDefault="00994F64" w:rsidP="00994F64">
      <w:pPr>
        <w:pStyle w:val="Figure"/>
        <w:spacing w:after="80"/>
      </w:pPr>
      <w:bookmarkStart w:id="1327" w:name="_Toc447275698"/>
      <w:bookmarkStart w:id="1328" w:name="_Toc481752017"/>
      <w:bookmarkStart w:id="1329" w:name="_Toc507158476"/>
      <w:bookmarkStart w:id="1330" w:name="_Toc511116967"/>
      <w:bookmarkStart w:id="1331" w:name="_Toc5269697"/>
      <w:bookmarkStart w:id="1332" w:name="_Toc32570968"/>
      <w:bookmarkStart w:id="1333" w:name="_Toc36292798"/>
      <w:bookmarkStart w:id="1334" w:name="_Toc68786663"/>
      <w:bookmarkStart w:id="1335" w:name="_Toc95574124"/>
      <w:bookmarkStart w:id="1336" w:name="_Toc127458563"/>
      <w:bookmarkStart w:id="1337" w:name="_Toc131591565"/>
      <w:r w:rsidRPr="00261B7A">
        <w:t>Figure 5.8.1</w:t>
      </w:r>
      <w:r w:rsidRPr="00261B7A">
        <w:tab/>
        <w:t>Limestone usage on agricultural land in New Zealand from 1990 to </w:t>
      </w:r>
      <w:bookmarkEnd w:id="1327"/>
      <w:bookmarkEnd w:id="1328"/>
      <w:bookmarkEnd w:id="1329"/>
      <w:bookmarkEnd w:id="1330"/>
      <w:bookmarkEnd w:id="1331"/>
      <w:bookmarkEnd w:id="1332"/>
      <w:bookmarkEnd w:id="1333"/>
      <w:bookmarkEnd w:id="1334"/>
      <w:r w:rsidRPr="00261B7A">
        <w:t>202</w:t>
      </w:r>
      <w:bookmarkEnd w:id="1335"/>
      <w:r w:rsidRPr="00261B7A">
        <w:t>1</w:t>
      </w:r>
      <w:bookmarkEnd w:id="1336"/>
      <w:bookmarkEnd w:id="1337"/>
    </w:p>
    <w:p w14:paraId="4159ADF6" w14:textId="77777777" w:rsidR="00994F64" w:rsidRPr="00261B7A" w:rsidRDefault="00994F64" w:rsidP="00994F64">
      <w:pPr>
        <w:pStyle w:val="BodyText"/>
        <w:spacing w:before="0" w:after="0"/>
        <w:rPr>
          <w:rFonts w:cs="Calibri"/>
        </w:rPr>
      </w:pPr>
      <w:r w:rsidRPr="00261B7A">
        <w:rPr>
          <w:noProof/>
        </w:rPr>
        <w:drawing>
          <wp:inline distT="0" distB="0" distL="0" distR="0" wp14:anchorId="4A47DB60" wp14:editId="41B7D036">
            <wp:extent cx="5281200" cy="2754000"/>
            <wp:effectExtent l="0" t="0" r="0" b="8255"/>
            <wp:docPr id="44" name="Chart 44">
              <a:extLst xmlns:a="http://schemas.openxmlformats.org/drawingml/2006/main">
                <a:ext uri="{FF2B5EF4-FFF2-40B4-BE49-F238E27FC236}">
                  <a16:creationId xmlns:a16="http://schemas.microsoft.com/office/drawing/2014/main" id="{41B57CEB-E367-4D37-8731-1C82061B0683}"/>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28739FDE" w14:textId="77777777" w:rsidR="00994F64" w:rsidRPr="00261B7A" w:rsidRDefault="00994F64" w:rsidP="00994F64">
      <w:pPr>
        <w:pStyle w:val="Figure"/>
        <w:spacing w:after="0"/>
        <w:rPr>
          <w:szCs w:val="18"/>
        </w:rPr>
      </w:pPr>
      <w:bookmarkStart w:id="1338" w:name="_Toc131591566"/>
      <w:r w:rsidRPr="00261B7A">
        <w:t>Figure 5.8.2</w:t>
      </w:r>
      <w:r w:rsidRPr="00261B7A">
        <w:tab/>
        <w:t>Dolomite usage on agricultural land in New Zealand from 1990 to </w:t>
      </w:r>
      <w:r w:rsidRPr="00261B7A">
        <w:rPr>
          <w:szCs w:val="18"/>
        </w:rPr>
        <w:t>2021</w:t>
      </w:r>
      <w:bookmarkEnd w:id="1338"/>
    </w:p>
    <w:p w14:paraId="76C8D7E5" w14:textId="77777777" w:rsidR="00994F64" w:rsidRPr="00261B7A" w:rsidRDefault="00994F64" w:rsidP="00994F64">
      <w:pPr>
        <w:pStyle w:val="BodyText"/>
        <w:spacing w:before="0" w:after="0"/>
      </w:pPr>
      <w:bookmarkStart w:id="1339" w:name="_Toc507158477"/>
      <w:bookmarkStart w:id="1340" w:name="_Toc511116968"/>
      <w:bookmarkStart w:id="1341" w:name="_Toc5269698"/>
      <w:bookmarkStart w:id="1342" w:name="_Toc32570969"/>
      <w:bookmarkStart w:id="1343" w:name="_Toc36292799"/>
      <w:bookmarkStart w:id="1344" w:name="_Toc68786664"/>
      <w:bookmarkStart w:id="1345" w:name="_Toc95574125"/>
      <w:r w:rsidRPr="00261B7A">
        <w:rPr>
          <w:noProof/>
          <w:szCs w:val="18"/>
        </w:rPr>
        <w:drawing>
          <wp:inline distT="0" distB="0" distL="0" distR="0" wp14:anchorId="43BB7565" wp14:editId="09936C00">
            <wp:extent cx="5184475" cy="2804052"/>
            <wp:effectExtent l="0" t="0" r="0" b="0"/>
            <wp:docPr id="45" name="Chart 45">
              <a:extLst xmlns:a="http://schemas.openxmlformats.org/drawingml/2006/main">
                <a:ext uri="{FF2B5EF4-FFF2-40B4-BE49-F238E27FC236}">
                  <a16:creationId xmlns:a16="http://schemas.microsoft.com/office/drawing/2014/main" id="{A9AF921C-CE5A-466A-8C0C-CCCFDAA8E05B}"/>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bookmarkEnd w:id="1339"/>
      <w:bookmarkEnd w:id="1340"/>
      <w:bookmarkEnd w:id="1341"/>
      <w:bookmarkEnd w:id="1342"/>
      <w:bookmarkEnd w:id="1343"/>
      <w:bookmarkEnd w:id="1344"/>
      <w:bookmarkEnd w:id="1345"/>
    </w:p>
    <w:p w14:paraId="120F5AA4" w14:textId="77777777" w:rsidR="00994F64" w:rsidRPr="00261B7A" w:rsidRDefault="00994F64" w:rsidP="00994F64">
      <w:pPr>
        <w:pStyle w:val="Heading3"/>
        <w:spacing w:before="240"/>
      </w:pPr>
      <w:bookmarkStart w:id="1346" w:name="_Toc32570686"/>
      <w:r w:rsidRPr="00261B7A">
        <w:t>5.8.4</w:t>
      </w:r>
      <w:r w:rsidRPr="00261B7A">
        <w:tab/>
        <w:t>Uncertainties and time-series consistency</w:t>
      </w:r>
      <w:bookmarkEnd w:id="1346"/>
    </w:p>
    <w:p w14:paraId="7214EF29" w14:textId="77777777" w:rsidR="00994F64" w:rsidRPr="00261B7A" w:rsidRDefault="00994F64" w:rsidP="00994F64">
      <w:pPr>
        <w:pStyle w:val="BodyText"/>
        <w:spacing w:before="100" w:after="100"/>
        <w:rPr>
          <w:rFonts w:cs="Calibri"/>
        </w:rPr>
      </w:pPr>
      <w:r w:rsidRPr="00261B7A">
        <w:rPr>
          <w:rFonts w:cs="Calibri"/>
        </w:rPr>
        <w:t>Using the IPCC (2006) Tier 1 methodology, default emission factors are used, which are based on the chemical formulae of lime and assume all carbon in lime is emitted as CO</w:t>
      </w:r>
      <w:r w:rsidRPr="00261B7A">
        <w:rPr>
          <w:rFonts w:cs="Calibri"/>
          <w:vertAlign w:val="subscript"/>
        </w:rPr>
        <w:t>2</w:t>
      </w:r>
      <w:r w:rsidRPr="00261B7A">
        <w:rPr>
          <w:rFonts w:cs="Calibri"/>
        </w:rPr>
        <w:t xml:space="preserve"> into the atmosphere. However, the 2006 IPCC Guidelines state that the maximum available carbon is not necessarily lost and that the emissions could be up to 50 per cent lower than estimated (IPCC, 2006).</w:t>
      </w:r>
    </w:p>
    <w:p w14:paraId="2827F0D5" w14:textId="77777777" w:rsidR="00994F64" w:rsidRPr="00261B7A" w:rsidRDefault="00994F64" w:rsidP="00994F64">
      <w:pPr>
        <w:pStyle w:val="BodyText"/>
        <w:spacing w:before="100" w:after="100"/>
        <w:rPr>
          <w:rFonts w:cs="Calibri"/>
        </w:rPr>
      </w:pPr>
      <w:r w:rsidRPr="00261B7A">
        <w:rPr>
          <w:rFonts w:cs="Calibri"/>
        </w:rPr>
        <w:t>The Agricultural Production Census and Survey data used in the inventory have gaps in the time series: no data are available for 1991 or between 1997 and 2001. In the absence of other supporting data, linear interpolation has been used to estimate the data for these years.</w:t>
      </w:r>
    </w:p>
    <w:p w14:paraId="1F4ED573" w14:textId="77777777" w:rsidR="00994F64" w:rsidRPr="00261B7A" w:rsidRDefault="00994F64" w:rsidP="00994F64">
      <w:pPr>
        <w:pStyle w:val="Heading3"/>
        <w:spacing w:before="280"/>
      </w:pPr>
      <w:bookmarkStart w:id="1347" w:name="_Toc32570687"/>
      <w:r w:rsidRPr="00261B7A">
        <w:t>5.8.5</w:t>
      </w:r>
      <w:r w:rsidRPr="00261B7A">
        <w:tab/>
        <w:t>Source-specific QA/QC and verification</w:t>
      </w:r>
      <w:bookmarkEnd w:id="1347"/>
    </w:p>
    <w:p w14:paraId="2E5F6DDA" w14:textId="77777777" w:rsidR="00994F64" w:rsidRPr="00261B7A" w:rsidRDefault="00994F64" w:rsidP="00994F64">
      <w:pPr>
        <w:pStyle w:val="BodyText"/>
        <w:spacing w:before="100" w:after="100"/>
        <w:rPr>
          <w:rFonts w:cs="Calibri"/>
        </w:rPr>
      </w:pPr>
      <w:r w:rsidRPr="00261B7A">
        <w:rPr>
          <w:rFonts w:cs="Calibri"/>
        </w:rPr>
        <w:t xml:space="preserve">In the preparation of this inventory, the data for </w:t>
      </w:r>
      <w:r w:rsidRPr="00261B7A">
        <w:rPr>
          <w:rFonts w:cs="Calibri"/>
          <w:i/>
        </w:rPr>
        <w:t>Liming</w:t>
      </w:r>
      <w:r w:rsidRPr="00261B7A">
        <w:rPr>
          <w:rFonts w:cs="Calibri"/>
        </w:rPr>
        <w:t xml:space="preserve"> underwent Tier 1 quality checks. Stats NZ, the agency that collects the activity data for </w:t>
      </w:r>
      <w:r w:rsidRPr="00261B7A">
        <w:rPr>
          <w:rFonts w:cs="Calibri"/>
          <w:i/>
        </w:rPr>
        <w:t>Liming</w:t>
      </w:r>
      <w:r w:rsidRPr="00261B7A">
        <w:rPr>
          <w:rFonts w:cs="Calibri"/>
        </w:rPr>
        <w:t>, also carries out a series of quality-assurance and quality-control procedures as part of the data collection carried out each year.</w:t>
      </w:r>
    </w:p>
    <w:p w14:paraId="1E060C34" w14:textId="77777777" w:rsidR="00994F64" w:rsidRPr="00261B7A" w:rsidRDefault="00994F64" w:rsidP="00994F64">
      <w:pPr>
        <w:pStyle w:val="Heading3"/>
        <w:spacing w:before="280"/>
      </w:pPr>
      <w:bookmarkStart w:id="1348" w:name="_Toc32570688"/>
      <w:r w:rsidRPr="00261B7A">
        <w:t>5.8.6</w:t>
      </w:r>
      <w:r w:rsidRPr="00261B7A">
        <w:tab/>
        <w:t>Source-specific recalculations</w:t>
      </w:r>
      <w:bookmarkEnd w:id="1348"/>
    </w:p>
    <w:p w14:paraId="690EEFB8" w14:textId="77777777" w:rsidR="00994F64" w:rsidRPr="00261B7A" w:rsidRDefault="00994F64" w:rsidP="00994F64">
      <w:pPr>
        <w:pStyle w:val="BodyText"/>
        <w:spacing w:before="100" w:after="100"/>
        <w:rPr>
          <w:rFonts w:cs="Calibri"/>
        </w:rPr>
      </w:pPr>
      <w:bookmarkStart w:id="1349" w:name="_Hlk91060203"/>
      <w:bookmarkStart w:id="1350" w:name="_Toc32570689"/>
      <w:r w:rsidRPr="00261B7A">
        <w:rPr>
          <w:rFonts w:cs="Calibri"/>
        </w:rPr>
        <w:t>No recalculations have been performed for CO</w:t>
      </w:r>
      <w:r w:rsidRPr="00261B7A">
        <w:rPr>
          <w:rFonts w:cs="Calibri"/>
          <w:vertAlign w:val="subscript"/>
        </w:rPr>
        <w:t>2</w:t>
      </w:r>
      <w:r w:rsidRPr="00261B7A">
        <w:rPr>
          <w:rFonts w:cs="Calibri"/>
        </w:rPr>
        <w:t xml:space="preserve"> emissions from </w:t>
      </w:r>
      <w:r w:rsidRPr="00261B7A">
        <w:rPr>
          <w:rFonts w:cs="Calibri"/>
          <w:i/>
          <w:iCs/>
        </w:rPr>
        <w:t>Liming</w:t>
      </w:r>
      <w:bookmarkEnd w:id="1349"/>
      <w:r w:rsidRPr="00261B7A">
        <w:rPr>
          <w:rFonts w:cs="Calibri"/>
        </w:rPr>
        <w:t xml:space="preserve"> in the 2023 (1990 to 2021) submission.</w:t>
      </w:r>
    </w:p>
    <w:p w14:paraId="7D0F54F6" w14:textId="77777777" w:rsidR="00994F64" w:rsidRPr="00261B7A" w:rsidRDefault="00994F64" w:rsidP="00994F64">
      <w:pPr>
        <w:pStyle w:val="Heading3"/>
        <w:spacing w:before="280"/>
      </w:pPr>
      <w:r w:rsidRPr="00261B7A">
        <w:t>5.8.7</w:t>
      </w:r>
      <w:r w:rsidRPr="00261B7A">
        <w:tab/>
        <w:t>Source-specific planned improvements</w:t>
      </w:r>
      <w:bookmarkEnd w:id="1350"/>
    </w:p>
    <w:p w14:paraId="503B4984" w14:textId="77777777" w:rsidR="00994F64" w:rsidRPr="00261B7A" w:rsidRDefault="00994F64" w:rsidP="00994F64">
      <w:pPr>
        <w:pStyle w:val="BodyText"/>
        <w:spacing w:before="100" w:after="100"/>
        <w:rPr>
          <w:rFonts w:cs="Calibri"/>
        </w:rPr>
      </w:pPr>
      <w:r w:rsidRPr="00261B7A">
        <w:rPr>
          <w:rFonts w:cs="Calibri"/>
        </w:rPr>
        <w:t xml:space="preserve">No improvements are currently planned. </w:t>
      </w:r>
    </w:p>
    <w:p w14:paraId="0D803961" w14:textId="77777777" w:rsidR="00994F64" w:rsidRPr="00261B7A" w:rsidRDefault="00994F64" w:rsidP="00994F64">
      <w:pPr>
        <w:pStyle w:val="Heading2"/>
        <w:spacing w:before="280"/>
      </w:pPr>
      <w:bookmarkStart w:id="1351" w:name="_Toc448321530"/>
      <w:bookmarkStart w:id="1352" w:name="_Toc481751392"/>
      <w:bookmarkStart w:id="1353" w:name="_Toc511116607"/>
      <w:bookmarkStart w:id="1354" w:name="_Toc5269369"/>
      <w:bookmarkStart w:id="1355" w:name="_Toc32570690"/>
      <w:bookmarkStart w:id="1356" w:name="_Toc36224409"/>
      <w:bookmarkStart w:id="1357" w:name="_Toc68786329"/>
      <w:bookmarkStart w:id="1358" w:name="_Toc131591244"/>
      <w:r w:rsidRPr="00261B7A">
        <w:t>5.9</w:t>
      </w:r>
      <w:r w:rsidRPr="00261B7A">
        <w:tab/>
        <w:t>Urea application (CRF 3.H)</w:t>
      </w:r>
      <w:bookmarkEnd w:id="1351"/>
      <w:bookmarkEnd w:id="1352"/>
      <w:bookmarkEnd w:id="1353"/>
      <w:bookmarkEnd w:id="1354"/>
      <w:bookmarkEnd w:id="1355"/>
      <w:bookmarkEnd w:id="1356"/>
      <w:bookmarkEnd w:id="1357"/>
      <w:bookmarkEnd w:id="1358"/>
    </w:p>
    <w:p w14:paraId="0B25EB59" w14:textId="77777777" w:rsidR="00994F64" w:rsidRPr="00261B7A" w:rsidRDefault="00994F64" w:rsidP="00994F64">
      <w:pPr>
        <w:pStyle w:val="Heading3"/>
        <w:spacing w:before="180"/>
      </w:pPr>
      <w:bookmarkStart w:id="1359" w:name="_Toc32570691"/>
      <w:r w:rsidRPr="00261B7A">
        <w:t>5.9.1</w:t>
      </w:r>
      <w:r w:rsidRPr="00261B7A">
        <w:tab/>
        <w:t>Description</w:t>
      </w:r>
      <w:bookmarkEnd w:id="1359"/>
    </w:p>
    <w:p w14:paraId="48C27625" w14:textId="77777777" w:rsidR="00994F64" w:rsidRPr="00261B7A" w:rsidRDefault="00994F64" w:rsidP="00994F64">
      <w:pPr>
        <w:pStyle w:val="BodyText"/>
      </w:pPr>
      <w:r w:rsidRPr="00261B7A">
        <w:t xml:space="preserve">Urea fertiliser accounts for the majority of synthetic nitrogen fertiliser used in New Zealand. It is mainly applied to dairy pastureland to boost pasture growth during the autumn and spring months. </w:t>
      </w:r>
    </w:p>
    <w:p w14:paraId="673B47D9" w14:textId="77777777" w:rsidR="00994F64" w:rsidRPr="00261B7A" w:rsidRDefault="00994F64" w:rsidP="00994F64">
      <w:pPr>
        <w:pStyle w:val="BodyText"/>
      </w:pPr>
      <w:r w:rsidRPr="00261B7A">
        <w:rPr>
          <w:i/>
        </w:rPr>
        <w:t>Urea application</w:t>
      </w:r>
      <w:r w:rsidRPr="00261B7A">
        <w:t xml:space="preserve"> was identified as a key category for the Agriculture sector in 2021 (level and trend assessment).</w:t>
      </w:r>
    </w:p>
    <w:p w14:paraId="68404AF0" w14:textId="77777777" w:rsidR="00994F64" w:rsidRPr="00261B7A" w:rsidRDefault="00994F64" w:rsidP="00994F64">
      <w:pPr>
        <w:pStyle w:val="BodyText"/>
      </w:pPr>
      <w:r w:rsidRPr="00261B7A">
        <w:rPr>
          <w:i/>
        </w:rPr>
        <w:t>Urea application</w:t>
      </w:r>
      <w:r w:rsidRPr="00261B7A">
        <w:t xml:space="preserve"> contributed an estimated 553.2 kt CO</w:t>
      </w:r>
      <w:r w:rsidRPr="00261B7A">
        <w:rPr>
          <w:vertAlign w:val="subscript"/>
        </w:rPr>
        <w:t>2</w:t>
      </w:r>
      <w:r w:rsidRPr="00261B7A">
        <w:t>,</w:t>
      </w:r>
      <w:r w:rsidRPr="00261B7A">
        <w:rPr>
          <w:vertAlign w:val="subscript"/>
        </w:rPr>
        <w:t xml:space="preserve"> </w:t>
      </w:r>
      <w:r w:rsidRPr="00261B7A">
        <w:t xml:space="preserve">representing 0.7 per cent of New Zealand’s gross emissions and 1.5 per cent of </w:t>
      </w:r>
      <w:r w:rsidRPr="00261B7A">
        <w:rPr>
          <w:iCs/>
        </w:rPr>
        <w:t xml:space="preserve">Agriculture </w:t>
      </w:r>
      <w:r w:rsidRPr="00261B7A">
        <w:t>emissions in 2021.</w:t>
      </w:r>
    </w:p>
    <w:p w14:paraId="0587C3BD" w14:textId="77777777" w:rsidR="00994F64" w:rsidRPr="00261B7A" w:rsidRDefault="00994F64" w:rsidP="00994F64">
      <w:pPr>
        <w:pStyle w:val="BodyText"/>
      </w:pPr>
      <w:r w:rsidRPr="00261B7A">
        <w:t xml:space="preserve">Emissions from </w:t>
      </w:r>
      <w:r w:rsidRPr="00261B7A">
        <w:rPr>
          <w:i/>
        </w:rPr>
        <w:t>Urea application</w:t>
      </w:r>
      <w:r w:rsidRPr="00261B7A">
        <w:t xml:space="preserve"> increased 1,311.4 per cent between 1990 and 2021. Since 1990, the proportion of urea fertiliser applied (relative to total synthetic nitrogen fertiliser use) increased from 41.5 per cent to 78.7 per cent.</w:t>
      </w:r>
    </w:p>
    <w:p w14:paraId="446CE860" w14:textId="77777777" w:rsidR="00994F64" w:rsidRPr="00261B7A" w:rsidRDefault="00994F64" w:rsidP="00994F64">
      <w:pPr>
        <w:pStyle w:val="Heading3"/>
      </w:pPr>
      <w:bookmarkStart w:id="1360" w:name="_Toc32570692"/>
      <w:r w:rsidRPr="00261B7A">
        <w:t>5.9.2</w:t>
      </w:r>
      <w:r w:rsidRPr="00261B7A">
        <w:tab/>
        <w:t>Methodological issues</w:t>
      </w:r>
      <w:bookmarkEnd w:id="1360"/>
    </w:p>
    <w:p w14:paraId="211B85FD" w14:textId="77777777" w:rsidR="00994F64" w:rsidRPr="00261B7A" w:rsidRDefault="00994F64" w:rsidP="00994F64">
      <w:pPr>
        <w:pStyle w:val="BodyText"/>
      </w:pPr>
      <w:r w:rsidRPr="00261B7A">
        <w:t>There is no country-specific methodology on CO</w:t>
      </w:r>
      <w:r w:rsidRPr="00261B7A">
        <w:rPr>
          <w:vertAlign w:val="subscript"/>
        </w:rPr>
        <w:t>2</w:t>
      </w:r>
      <w:r w:rsidRPr="00261B7A">
        <w:t xml:space="preserve"> emissions from </w:t>
      </w:r>
      <w:r w:rsidRPr="00261B7A">
        <w:rPr>
          <w:i/>
        </w:rPr>
        <w:t>Urea application</w:t>
      </w:r>
      <w:r w:rsidRPr="00261B7A">
        <w:t xml:space="preserve"> for New Zealand. Emissions associated with the application of urea are estimated using a Tier 1 methodology (equation 11.13; IPCC, 2006), using the default emission factor for carbon conversion of 0.20. </w:t>
      </w:r>
    </w:p>
    <w:p w14:paraId="37F00FF4" w14:textId="77777777" w:rsidR="00994F64" w:rsidRPr="00261B7A" w:rsidRDefault="00994F64" w:rsidP="00994F64">
      <w:pPr>
        <w:pStyle w:val="BodyText"/>
      </w:pPr>
      <w:r w:rsidRPr="00261B7A">
        <w:t>Research into urease inhibitors (see section 5.5.2) has demonstrated they are effective in slowing down the activity of the urease enzyme that hydrolyses urea to ammonium (as reported in section 5.5.2), but urease inhibitors do not reduce the release of CO</w:t>
      </w:r>
      <w:r w:rsidRPr="00261B7A">
        <w:rPr>
          <w:vertAlign w:val="subscript"/>
        </w:rPr>
        <w:t>2</w:t>
      </w:r>
      <w:r w:rsidRPr="00261B7A">
        <w:t xml:space="preserve"> (S Saggar, pers. comm., 2014).</w:t>
      </w:r>
    </w:p>
    <w:p w14:paraId="0FA0E3B4" w14:textId="77777777" w:rsidR="00994F64" w:rsidRPr="00261B7A" w:rsidRDefault="00994F64" w:rsidP="00994F64">
      <w:pPr>
        <w:pStyle w:val="Heading3"/>
      </w:pPr>
      <w:bookmarkStart w:id="1361" w:name="_Toc32570693"/>
      <w:r w:rsidRPr="00261B7A">
        <w:t>5.9.3</w:t>
      </w:r>
      <w:r w:rsidRPr="00261B7A">
        <w:tab/>
        <w:t>Activity data</w:t>
      </w:r>
      <w:bookmarkEnd w:id="1361"/>
    </w:p>
    <w:p w14:paraId="2A4C1E9F" w14:textId="77777777" w:rsidR="00994F64" w:rsidRPr="00261B7A" w:rsidRDefault="00994F64" w:rsidP="00994F64">
      <w:pPr>
        <w:pStyle w:val="BodyText"/>
        <w:rPr>
          <w:rFonts w:cs="Calibri"/>
        </w:rPr>
      </w:pPr>
      <w:r w:rsidRPr="00261B7A">
        <w:rPr>
          <w:rFonts w:cs="Calibri"/>
        </w:rPr>
        <w:t xml:space="preserve">Data on the volume of synthetic nitrogen fertiliser used are provided by the Fertiliser Association of New Zealand from fertiliser company sales records from 1990 to 2021. From 1990 to 2013, data on the percentage of synthetic nitrogen fertiliser derived from urea were sourced from the International Fertilizer Industry Association online database and were used to calculate the amount of applied urea fertiliser. Since 2014, data for total nitrogen from synthetic nitrogen fertiliser derived from urea have been provided by the Fertiliser Association of New Zealand. </w:t>
      </w:r>
    </w:p>
    <w:p w14:paraId="453F9660" w14:textId="77777777" w:rsidR="00994F64" w:rsidRPr="00261B7A" w:rsidRDefault="00994F64" w:rsidP="00994F64">
      <w:pPr>
        <w:pStyle w:val="BodyText"/>
        <w:rPr>
          <w:rFonts w:cs="Calibri"/>
        </w:rPr>
      </w:pPr>
      <w:r w:rsidRPr="00261B7A">
        <w:rPr>
          <w:rFonts w:cs="Calibri"/>
        </w:rPr>
        <w:t xml:space="preserve">A large increase has occurred in nitrogen applied to agricultural land as urea fertiliser, from 24,586 tonnes in 1990 to 347,000 tonnes in 2021. This is consistent with the increase in the total amount of synthetic nitrogen fertiliser applied, which is 644.1 per cent greater than that used in 1990 (see reporting on the </w:t>
      </w:r>
      <w:r w:rsidRPr="00261B7A">
        <w:rPr>
          <w:rFonts w:cs="Calibri"/>
          <w:i/>
          <w:iCs/>
        </w:rPr>
        <w:t>Agricultural soils</w:t>
      </w:r>
      <w:r w:rsidRPr="00261B7A">
        <w:rPr>
          <w:rFonts w:cs="Calibri"/>
        </w:rPr>
        <w:t xml:space="preserve"> category and figure 5.5.2). </w:t>
      </w:r>
    </w:p>
    <w:p w14:paraId="3378A7D5" w14:textId="77777777" w:rsidR="00994F64" w:rsidRPr="00261B7A" w:rsidRDefault="00994F64" w:rsidP="00994F64">
      <w:pPr>
        <w:pStyle w:val="Heading3"/>
      </w:pPr>
      <w:bookmarkStart w:id="1362" w:name="_Toc32570694"/>
      <w:r w:rsidRPr="00261B7A">
        <w:t>5.9.4</w:t>
      </w:r>
      <w:r w:rsidRPr="00261B7A">
        <w:tab/>
        <w:t>Uncertainties and time-series consistency</w:t>
      </w:r>
      <w:bookmarkEnd w:id="1362"/>
    </w:p>
    <w:p w14:paraId="36CB70BE" w14:textId="77777777" w:rsidR="00994F64" w:rsidRPr="00261B7A" w:rsidRDefault="00994F64" w:rsidP="00994F64">
      <w:pPr>
        <w:pStyle w:val="BodyText"/>
        <w:rPr>
          <w:rFonts w:cs="Calibri"/>
        </w:rPr>
      </w:pPr>
      <w:r w:rsidRPr="00261B7A">
        <w:rPr>
          <w:rFonts w:cs="Calibri"/>
        </w:rPr>
        <w:t>Under the IPCC (2006) Tier 1 methodology, default emission factors are used, which are based on the chemical formulae of urea and assume all carbon in urea is emitted as CO</w:t>
      </w:r>
      <w:r w:rsidRPr="00261B7A">
        <w:rPr>
          <w:rFonts w:cs="Calibri"/>
          <w:vertAlign w:val="subscript"/>
        </w:rPr>
        <w:t>2</w:t>
      </w:r>
      <w:r w:rsidRPr="00261B7A">
        <w:rPr>
          <w:rFonts w:cs="Calibri"/>
        </w:rPr>
        <w:t xml:space="preserve"> into the atmosphere. However, the 2006 IPCC Guidelines state that the maximum available carbon is not necessarily lost and that the emissions could be up to 50 per cent lower. This gives a lower uncertainty estimate of –50 per cent and an upper uncertainty estimate of 0 per cent.</w:t>
      </w:r>
      <w:r w:rsidRPr="00261B7A" w:rsidDel="00D42FD1">
        <w:rPr>
          <w:rFonts w:cs="Calibri"/>
        </w:rPr>
        <w:t xml:space="preserve"> </w:t>
      </w:r>
    </w:p>
    <w:p w14:paraId="35B1051C" w14:textId="77777777" w:rsidR="00994F64" w:rsidRPr="00261B7A" w:rsidRDefault="00994F64" w:rsidP="00994F64">
      <w:pPr>
        <w:pStyle w:val="BodyText"/>
        <w:rPr>
          <w:rFonts w:cs="Calibri"/>
        </w:rPr>
      </w:pPr>
      <w:r w:rsidRPr="00261B7A">
        <w:rPr>
          <w:rFonts w:cs="Calibri"/>
        </w:rPr>
        <w:t xml:space="preserve">Sales data for synthetic nitrogen fertiliser have been supplied for all years by the Fertiliser Association of New Zealand, but the uncertainties in this data are not known. </w:t>
      </w:r>
    </w:p>
    <w:p w14:paraId="631DE613" w14:textId="77777777" w:rsidR="00994F64" w:rsidRPr="00261B7A" w:rsidRDefault="00994F64" w:rsidP="00994F64">
      <w:pPr>
        <w:pStyle w:val="Heading3"/>
      </w:pPr>
      <w:bookmarkStart w:id="1363" w:name="_Toc32570695"/>
      <w:r w:rsidRPr="00261B7A">
        <w:t>5.9.5</w:t>
      </w:r>
      <w:r w:rsidRPr="00261B7A">
        <w:tab/>
        <w:t>Source-specific QA/QC and verification</w:t>
      </w:r>
      <w:bookmarkEnd w:id="1363"/>
    </w:p>
    <w:p w14:paraId="0D105E1E" w14:textId="77777777" w:rsidR="00994F64" w:rsidRPr="00261B7A" w:rsidRDefault="00994F64" w:rsidP="00994F64">
      <w:pPr>
        <w:pStyle w:val="BodyText"/>
        <w:rPr>
          <w:rFonts w:cs="Calibri"/>
        </w:rPr>
      </w:pPr>
      <w:r w:rsidRPr="00261B7A">
        <w:rPr>
          <w:rFonts w:cs="Calibri"/>
        </w:rPr>
        <w:t>In the preparation of this inventory, the data for urea fertiliser underwent Tier 1 quality checks. The Fertiliser Association of New Zealand, the organisation that collects the sales activity information for synthetic nitrogen fertiliser, also carries out a series of quality</w:t>
      </w:r>
      <w:r w:rsidRPr="00261B7A">
        <w:rPr>
          <w:rFonts w:cs="Calibri"/>
        </w:rPr>
        <w:noBreakHyphen/>
        <w:t>assurance and quality-control procedures as a part of the data collection carried out each year and provides this data to the International Fertilizer Industry Association.</w:t>
      </w:r>
    </w:p>
    <w:p w14:paraId="47F75800" w14:textId="77777777" w:rsidR="00994F64" w:rsidRPr="00261B7A" w:rsidRDefault="00994F64" w:rsidP="00994F64">
      <w:pPr>
        <w:pStyle w:val="Heading3"/>
      </w:pPr>
      <w:bookmarkStart w:id="1364" w:name="_Toc32570696"/>
      <w:r w:rsidRPr="00261B7A">
        <w:t>5.9.6</w:t>
      </w:r>
      <w:r w:rsidRPr="00261B7A">
        <w:tab/>
        <w:t>Source-specific recalculations</w:t>
      </w:r>
      <w:bookmarkEnd w:id="1364"/>
    </w:p>
    <w:p w14:paraId="76F7CD31" w14:textId="77777777" w:rsidR="00994F64" w:rsidRPr="00261B7A" w:rsidRDefault="00994F64" w:rsidP="00994F64">
      <w:pPr>
        <w:pStyle w:val="BodyText"/>
        <w:rPr>
          <w:rFonts w:cs="Calibri"/>
        </w:rPr>
      </w:pPr>
      <w:r w:rsidRPr="00261B7A">
        <w:rPr>
          <w:rFonts w:cs="Calibri"/>
        </w:rPr>
        <w:t>No recalculations have been performed for CO</w:t>
      </w:r>
      <w:r w:rsidRPr="00261B7A">
        <w:rPr>
          <w:rFonts w:cs="Calibri"/>
          <w:vertAlign w:val="subscript"/>
        </w:rPr>
        <w:t>2</w:t>
      </w:r>
      <w:r w:rsidRPr="00261B7A">
        <w:rPr>
          <w:rFonts w:cs="Calibri"/>
        </w:rPr>
        <w:t xml:space="preserve"> emissions from urea in the 2023 (1990 to 2021) submission.</w:t>
      </w:r>
    </w:p>
    <w:p w14:paraId="1B87BECC" w14:textId="77777777" w:rsidR="00994F64" w:rsidRPr="00261B7A" w:rsidRDefault="00994F64" w:rsidP="00994F64">
      <w:pPr>
        <w:pStyle w:val="Heading3"/>
      </w:pPr>
      <w:bookmarkStart w:id="1365" w:name="_Toc32570697"/>
      <w:r w:rsidRPr="00261B7A">
        <w:t>5.9.7</w:t>
      </w:r>
      <w:r w:rsidRPr="00261B7A">
        <w:tab/>
        <w:t>Source-specific planned improvements</w:t>
      </w:r>
      <w:bookmarkEnd w:id="1365"/>
    </w:p>
    <w:p w14:paraId="41AF6476" w14:textId="77777777" w:rsidR="00994F64" w:rsidRPr="00261B7A" w:rsidRDefault="00994F64" w:rsidP="00994F64">
      <w:pPr>
        <w:pStyle w:val="BodyText"/>
        <w:rPr>
          <w:rFonts w:cs="Calibri"/>
        </w:rPr>
      </w:pPr>
      <w:r w:rsidRPr="00261B7A">
        <w:rPr>
          <w:rFonts w:cs="Calibri"/>
        </w:rPr>
        <w:t>New Zealand will continue to update activity data on urea as the data become available from the Fertiliser Association of New Zealand.</w:t>
      </w:r>
    </w:p>
    <w:p w14:paraId="00ADE03B" w14:textId="77777777" w:rsidR="00994F64" w:rsidRPr="00261B7A" w:rsidRDefault="00994F64" w:rsidP="00994F64">
      <w:pPr>
        <w:pStyle w:val="Heading2"/>
      </w:pPr>
      <w:bookmarkStart w:id="1366" w:name="_Toc448321531"/>
      <w:bookmarkStart w:id="1367" w:name="_Toc481751393"/>
      <w:bookmarkStart w:id="1368" w:name="_Toc511116608"/>
      <w:bookmarkStart w:id="1369" w:name="_Toc5269370"/>
      <w:bookmarkStart w:id="1370" w:name="_Toc32570698"/>
      <w:bookmarkStart w:id="1371" w:name="_Toc36224410"/>
      <w:bookmarkStart w:id="1372" w:name="_Toc68786330"/>
      <w:bookmarkStart w:id="1373" w:name="_Toc131591245"/>
      <w:r w:rsidRPr="00261B7A">
        <w:t xml:space="preserve">5.10 </w:t>
      </w:r>
      <w:r w:rsidRPr="00261B7A">
        <w:tab/>
        <w:t>Other carbon-containing fertilisers (CRF 3.I)</w:t>
      </w:r>
      <w:bookmarkEnd w:id="1366"/>
      <w:bookmarkEnd w:id="1367"/>
      <w:bookmarkEnd w:id="1368"/>
      <w:bookmarkEnd w:id="1369"/>
      <w:bookmarkEnd w:id="1370"/>
      <w:bookmarkEnd w:id="1371"/>
      <w:bookmarkEnd w:id="1372"/>
      <w:bookmarkEnd w:id="1373"/>
    </w:p>
    <w:p w14:paraId="297FF759" w14:textId="77777777" w:rsidR="00994F64" w:rsidRPr="00261B7A" w:rsidRDefault="00994F64" w:rsidP="00994F64">
      <w:pPr>
        <w:pStyle w:val="Heading3"/>
        <w:spacing w:before="240"/>
      </w:pPr>
      <w:bookmarkStart w:id="1374" w:name="_Toc32570699"/>
      <w:r w:rsidRPr="00261B7A">
        <w:t>5.10.1</w:t>
      </w:r>
      <w:r w:rsidRPr="00261B7A">
        <w:tab/>
        <w:t>Description</w:t>
      </w:r>
      <w:bookmarkEnd w:id="1374"/>
    </w:p>
    <w:p w14:paraId="2D40E8DA" w14:textId="77777777" w:rsidR="00994F64" w:rsidRPr="00261B7A" w:rsidRDefault="00994F64" w:rsidP="00994F64">
      <w:pPr>
        <w:pStyle w:val="BodyText"/>
      </w:pPr>
      <w:r w:rsidRPr="00261B7A">
        <w:t xml:space="preserve">Other carbon-containing synthetic fertilisers besides limestone, dolomite and urea (see sections 5.8 and 5.9) are not applied to agricultural land in New Zealand (T van der Weerden and C de Klein, pers. comm., 2015). </w:t>
      </w:r>
    </w:p>
    <w:p w14:paraId="2E31B82B" w14:textId="77777777" w:rsidR="00994F64" w:rsidRPr="00261B7A" w:rsidRDefault="00994F64" w:rsidP="006B0FD0">
      <w:pPr>
        <w:pStyle w:val="Heading2"/>
        <w:spacing w:before="0" w:after="480"/>
      </w:pPr>
      <w:bookmarkStart w:id="1375" w:name="_Toc352504866"/>
      <w:bookmarkStart w:id="1376" w:name="_Toc448321532"/>
      <w:bookmarkStart w:id="1377" w:name="_Toc481751394"/>
      <w:bookmarkStart w:id="1378" w:name="_Toc511116609"/>
      <w:bookmarkStart w:id="1379" w:name="_Toc5269371"/>
      <w:bookmarkStart w:id="1380" w:name="_Toc32570700"/>
      <w:r w:rsidRPr="00261B7A">
        <w:rPr>
          <w:rStyle w:val="BodyTextChar"/>
        </w:rPr>
        <w:br w:type="page"/>
      </w:r>
      <w:bookmarkStart w:id="1381" w:name="_Toc36224411"/>
      <w:bookmarkStart w:id="1382" w:name="_Toc68786331"/>
      <w:bookmarkStart w:id="1383" w:name="_Toc131591246"/>
      <w:r w:rsidRPr="00261B7A">
        <w:t>Chapter 5: References</w:t>
      </w:r>
      <w:bookmarkEnd w:id="1375"/>
      <w:bookmarkEnd w:id="1376"/>
      <w:bookmarkEnd w:id="1377"/>
      <w:bookmarkEnd w:id="1378"/>
      <w:bookmarkEnd w:id="1379"/>
      <w:bookmarkEnd w:id="1380"/>
      <w:bookmarkEnd w:id="1381"/>
      <w:bookmarkEnd w:id="1382"/>
      <w:bookmarkEnd w:id="1383"/>
    </w:p>
    <w:p w14:paraId="447317F5" w14:textId="77777777" w:rsidR="00994F64" w:rsidRPr="00261B7A" w:rsidRDefault="00994F64" w:rsidP="00994F64">
      <w:pPr>
        <w:pStyle w:val="BodyText"/>
        <w:rPr>
          <w:rFonts w:cs="Calibri"/>
        </w:rPr>
      </w:pPr>
      <w:r w:rsidRPr="00261B7A">
        <w:rPr>
          <w:rFonts w:cs="Calibri"/>
        </w:rPr>
        <w:t xml:space="preserve">Some references may be downloaded </w:t>
      </w:r>
      <w:r w:rsidRPr="00261B7A">
        <w:t xml:space="preserve">directly from: </w:t>
      </w:r>
      <w:hyperlink r:id="rId189" w:history="1">
        <w:r w:rsidRPr="00261B7A">
          <w:rPr>
            <w:rStyle w:val="Hyperlink"/>
          </w:rPr>
          <w:t>mpi.govt.nz/news-and-resources/statistics-and-forecasting/greenhouse-gas-reporting/agriculture-greenhouse-gas-inventory-reports</w:t>
        </w:r>
      </w:hyperlink>
      <w:r w:rsidRPr="00261B7A">
        <w:rPr>
          <w:rFonts w:cs="Calibri"/>
        </w:rPr>
        <w:t>.</w:t>
      </w:r>
    </w:p>
    <w:p w14:paraId="0E6AFB65" w14:textId="77777777" w:rsidR="00994F64" w:rsidRPr="00261B7A" w:rsidRDefault="00994F64" w:rsidP="00994F64">
      <w:pPr>
        <w:pStyle w:val="BodyText"/>
        <w:spacing w:after="240"/>
        <w:rPr>
          <w:rFonts w:cs="Calibri"/>
        </w:rPr>
      </w:pPr>
      <w:r w:rsidRPr="00261B7A">
        <w:rPr>
          <w:rFonts w:cs="Calibri"/>
        </w:rPr>
        <w:t xml:space="preserve">MPI is progressively making reports used for the inventory available on this page, where copyright permits. </w:t>
      </w:r>
    </w:p>
    <w:p w14:paraId="393B0458" w14:textId="77777777" w:rsidR="00994F64" w:rsidRPr="00261B7A" w:rsidRDefault="00994F64" w:rsidP="00994F64">
      <w:pPr>
        <w:pStyle w:val="References"/>
      </w:pPr>
      <w:bookmarkStart w:id="1384" w:name="statsNZref"/>
      <w:bookmarkEnd w:id="1384"/>
      <w:r w:rsidRPr="00261B7A">
        <w:t>Australian Government. Unpublished</w:t>
      </w:r>
      <w:r w:rsidRPr="00261B7A">
        <w:rPr>
          <w:i/>
        </w:rPr>
        <w:t xml:space="preserve">. </w:t>
      </w:r>
      <w:r w:rsidRPr="00261B7A">
        <w:rPr>
          <w:iCs/>
        </w:rPr>
        <w:t>Mutual Review of Components of National Inventory Systems: A Review between Australia and New Zealand</w:t>
      </w:r>
      <w:r w:rsidRPr="00261B7A">
        <w:t xml:space="preserve">. Provided by the Australian Government in 2014. </w:t>
      </w:r>
    </w:p>
    <w:p w14:paraId="282275B8" w14:textId="77777777" w:rsidR="00994F64" w:rsidRPr="00261B7A" w:rsidRDefault="00994F64" w:rsidP="00994F64">
      <w:pPr>
        <w:pStyle w:val="References"/>
      </w:pPr>
      <w:r w:rsidRPr="00261B7A">
        <w:t xml:space="preserve">DataGene Limited. 2018. </w:t>
      </w:r>
      <w:r w:rsidRPr="00261B7A">
        <w:rPr>
          <w:i/>
          <w:iCs/>
        </w:rPr>
        <w:t>Australian Dairy Herd Improvement Report</w:t>
      </w:r>
      <w:r w:rsidRPr="00261B7A">
        <w:t>. Melbourne: DataGene Limited.</w:t>
      </w:r>
    </w:p>
    <w:p w14:paraId="4D0ACDD6" w14:textId="77777777" w:rsidR="00994F64" w:rsidRPr="00261B7A" w:rsidRDefault="00994F64" w:rsidP="00994F64">
      <w:pPr>
        <w:pStyle w:val="References"/>
      </w:pPr>
      <w:r w:rsidRPr="00261B7A">
        <w:t xml:space="preserve">Beare M, Thomas S, Clemens G, Hernandez-Ramirez G. Unpublished. </w:t>
      </w:r>
      <w:r w:rsidRPr="00261B7A">
        <w:rPr>
          <w:iCs/>
        </w:rPr>
        <w:t>Contributions of Pasture Renewal and N Mineralisation to N</w:t>
      </w:r>
      <w:r w:rsidRPr="00261B7A">
        <w:rPr>
          <w:iCs/>
          <w:vertAlign w:val="subscript"/>
        </w:rPr>
        <w:t>2</w:t>
      </w:r>
      <w:r w:rsidRPr="00261B7A">
        <w:rPr>
          <w:iCs/>
        </w:rPr>
        <w:t>O Emissions from Pastoral Farming Systems</w:t>
      </w:r>
      <w:r w:rsidRPr="00261B7A">
        <w:rPr>
          <w:i/>
        </w:rPr>
        <w:t>.</w:t>
      </w:r>
      <w:r w:rsidRPr="00261B7A">
        <w:t xml:space="preserve"> Report prepared for the Ministry for Primary Industries by Plant and Food Research in 2012.</w:t>
      </w:r>
    </w:p>
    <w:p w14:paraId="32877B36" w14:textId="77777777" w:rsidR="00994F64" w:rsidRPr="00261B7A" w:rsidRDefault="00994F64" w:rsidP="00994F64">
      <w:pPr>
        <w:pStyle w:val="References"/>
      </w:pPr>
      <w:r w:rsidRPr="00261B7A">
        <w:t xml:space="preserve">Beef + Lamb New Zealand Ltd. 2022. </w:t>
      </w:r>
      <w:r w:rsidRPr="00261B7A">
        <w:rPr>
          <w:i/>
          <w:iCs/>
        </w:rPr>
        <w:t>Mid-Season Update 2021–22</w:t>
      </w:r>
      <w:r w:rsidRPr="00261B7A">
        <w:t>. Wellington: Beef + Lamb New Zealand Ltd.</w:t>
      </w:r>
    </w:p>
    <w:p w14:paraId="128E92BF" w14:textId="77777777" w:rsidR="00994F64" w:rsidRPr="00261B7A" w:rsidRDefault="00994F64" w:rsidP="00994F64">
      <w:pPr>
        <w:pStyle w:val="References"/>
      </w:pPr>
      <w:r w:rsidRPr="00261B7A">
        <w:t xml:space="preserve">Bown MD, Thomson BC, Muir PD. 2013. </w:t>
      </w:r>
      <w:r w:rsidRPr="00261B7A">
        <w:rPr>
          <w:i/>
          <w:iCs/>
        </w:rPr>
        <w:t>Evaluation of the Values for Pasture ME and N Content used in the National Greenhouse Gas Inventory</w:t>
      </w:r>
      <w:r w:rsidRPr="00261B7A">
        <w:t>. Report prepared for the Ministry for Primary Industries by On-Farm Research. Wellington: Ministry for Primary Industries.</w:t>
      </w:r>
    </w:p>
    <w:p w14:paraId="02A071D9" w14:textId="77777777" w:rsidR="00994F64" w:rsidRPr="00261B7A" w:rsidRDefault="00994F64" w:rsidP="00994F64">
      <w:pPr>
        <w:pStyle w:val="References"/>
      </w:pPr>
      <w:r w:rsidRPr="00261B7A">
        <w:t xml:space="preserve">Burggraaf V, Benson C, Rollo M. 2022. </w:t>
      </w:r>
      <w:r w:rsidRPr="00261B7A">
        <w:rPr>
          <w:i/>
          <w:iCs/>
        </w:rPr>
        <w:t>Dairy cattle population model: Improving estimates of within-year population changes used in the inventory.</w:t>
      </w:r>
      <w:r w:rsidRPr="00261B7A">
        <w:t xml:space="preserve"> Report prepared for the Ministry for Primary Industries. Wellington: Ministry for Primary Industries.</w:t>
      </w:r>
    </w:p>
    <w:p w14:paraId="603C37BE" w14:textId="77777777" w:rsidR="00994F64" w:rsidRPr="00261B7A" w:rsidRDefault="00994F64" w:rsidP="00994F64">
      <w:pPr>
        <w:pStyle w:val="References"/>
      </w:pPr>
      <w:r w:rsidRPr="00261B7A">
        <w:t xml:space="preserve">Burggraaf V, Rollo M, de Klein CAM, Lio, J. Unpublished. </w:t>
      </w:r>
      <w:r w:rsidRPr="00261B7A">
        <w:rPr>
          <w:iCs/>
        </w:rPr>
        <w:t>A review of greenhouse gas emissions inventory methodology for farmed goats in New Zealand</w:t>
      </w:r>
      <w:r w:rsidRPr="00261B7A">
        <w:t>. Report prepared for the Ministry for Primary Industries by AgResearch in 2019.</w:t>
      </w:r>
    </w:p>
    <w:p w14:paraId="013370C9" w14:textId="77777777" w:rsidR="00994F64" w:rsidRPr="00261B7A" w:rsidRDefault="00994F64" w:rsidP="00994F64">
      <w:pPr>
        <w:pStyle w:val="References"/>
      </w:pPr>
      <w:r w:rsidRPr="00261B7A">
        <w:t xml:space="preserve">Calvert F. Unpublished. </w:t>
      </w:r>
      <w:r w:rsidRPr="00261B7A">
        <w:rPr>
          <w:i/>
          <w:iCs/>
        </w:rPr>
        <w:t>Provision of Laboratory Data on Feed Quality</w:t>
      </w:r>
      <w:r w:rsidRPr="00261B7A">
        <w:t>. Hamilton: Hill Laboratories.</w:t>
      </w:r>
    </w:p>
    <w:p w14:paraId="2D7A83B2" w14:textId="77777777" w:rsidR="00994F64" w:rsidRPr="00261B7A" w:rsidRDefault="00994F64" w:rsidP="00994F64">
      <w:pPr>
        <w:pStyle w:val="References"/>
      </w:pPr>
      <w:r w:rsidRPr="00261B7A">
        <w:t xml:space="preserve">Carran RA, Dewar D, Theobald PW. Unpublished. </w:t>
      </w:r>
      <w:r w:rsidRPr="00261B7A">
        <w:rPr>
          <w:iCs/>
        </w:rPr>
        <w:t>Methane and Nitrous Oxide Emissions from Sheep Dung</w:t>
      </w:r>
      <w:r w:rsidRPr="00261B7A">
        <w:rPr>
          <w:i/>
        </w:rPr>
        <w:t>.</w:t>
      </w:r>
      <w:r w:rsidRPr="00261B7A">
        <w:t xml:space="preserve"> Report prepared for the Ministry of Agriculture and Forestry by the New Zealand Pastoral Agricultural Research Institute in 2003.</w:t>
      </w:r>
    </w:p>
    <w:p w14:paraId="501B11BD" w14:textId="77777777" w:rsidR="00994F64" w:rsidRPr="00261B7A" w:rsidRDefault="00994F64" w:rsidP="00994F64">
      <w:pPr>
        <w:pStyle w:val="References"/>
      </w:pPr>
      <w:r w:rsidRPr="00261B7A">
        <w:t>Carran RA, Theobold PW, Evans JP. 1995</w:t>
      </w:r>
      <w:r w:rsidRPr="00261B7A">
        <w:rPr>
          <w:i/>
        </w:rPr>
        <w:t xml:space="preserve">. </w:t>
      </w:r>
      <w:r w:rsidRPr="00261B7A">
        <w:rPr>
          <w:iCs/>
        </w:rPr>
        <w:t>Emissions of nitrous oxide from some grazed pasture soils in New Zealand</w:t>
      </w:r>
      <w:r w:rsidRPr="00261B7A">
        <w:rPr>
          <w:i/>
        </w:rPr>
        <w:t>.</w:t>
      </w:r>
      <w:r w:rsidRPr="00261B7A">
        <w:t xml:space="preserve"> </w:t>
      </w:r>
      <w:r w:rsidRPr="00261B7A">
        <w:rPr>
          <w:i/>
          <w:iCs/>
        </w:rPr>
        <w:t>Australian Journal of Soil Research</w:t>
      </w:r>
      <w:r w:rsidRPr="00261B7A">
        <w:t xml:space="preserve"> 33: 341–352.</w:t>
      </w:r>
    </w:p>
    <w:p w14:paraId="39846F57" w14:textId="77777777" w:rsidR="00994F64" w:rsidRPr="00261B7A" w:rsidRDefault="00994F64" w:rsidP="00994F64">
      <w:pPr>
        <w:pStyle w:val="References"/>
      </w:pPr>
      <w:r w:rsidRPr="00261B7A">
        <w:t xml:space="preserve">Chen D, Li Y, Kelly K, Eckard R. 2010. </w:t>
      </w:r>
      <w:r w:rsidRPr="00261B7A">
        <w:rPr>
          <w:i/>
        </w:rPr>
        <w:t>Simulation of N</w:t>
      </w:r>
      <w:r w:rsidRPr="00261B7A">
        <w:rPr>
          <w:i/>
          <w:vertAlign w:val="subscript"/>
        </w:rPr>
        <w:t>2</w:t>
      </w:r>
      <w:r w:rsidRPr="00261B7A">
        <w:rPr>
          <w:i/>
        </w:rPr>
        <w:t>O emissions from an irrigated dairy pasture treated with urea and urine in Southeastern Australia</w:t>
      </w:r>
      <w:r w:rsidRPr="00261B7A">
        <w:t xml:space="preserve">. Agriculture, Ecosystems &amp; Environment </w:t>
      </w:r>
      <w:r w:rsidRPr="00261B7A">
        <w:br/>
        <w:t>136(3–4): 333–342.</w:t>
      </w:r>
    </w:p>
    <w:p w14:paraId="28B03F83" w14:textId="77777777" w:rsidR="00994F64" w:rsidRPr="00261B7A" w:rsidRDefault="00994F64" w:rsidP="00994F64">
      <w:pPr>
        <w:pStyle w:val="References"/>
      </w:pPr>
      <w:r w:rsidRPr="00261B7A">
        <w:t xml:space="preserve">Cichota R, Brown H, Snow VO, Wheeler DM, Hedderley D, Zyskowski R, Thomas S. 2010. </w:t>
      </w:r>
      <w:r w:rsidRPr="00261B7A">
        <w:rPr>
          <w:iCs/>
        </w:rPr>
        <w:t>A nitrogen balance model for environmental accountability in cropping systems</w:t>
      </w:r>
      <w:r w:rsidRPr="00261B7A">
        <w:rPr>
          <w:i/>
        </w:rPr>
        <w:t>.</w:t>
      </w:r>
      <w:r w:rsidRPr="00261B7A">
        <w:t xml:space="preserve"> </w:t>
      </w:r>
      <w:r w:rsidRPr="00261B7A">
        <w:rPr>
          <w:i/>
          <w:iCs/>
        </w:rPr>
        <w:t>New Zealand Journal of Crop and Horticultural Science</w:t>
      </w:r>
      <w:r w:rsidRPr="00261B7A">
        <w:t xml:space="preserve"> 38: 189–207. </w:t>
      </w:r>
    </w:p>
    <w:p w14:paraId="0C815571" w14:textId="77777777" w:rsidR="00994F64" w:rsidRPr="00261B7A" w:rsidRDefault="00994F64" w:rsidP="00994F64">
      <w:pPr>
        <w:pStyle w:val="References"/>
      </w:pPr>
      <w:r w:rsidRPr="00261B7A">
        <w:t xml:space="preserve">Clark H, Brookes I, Walcroft A. 2003. </w:t>
      </w:r>
      <w:r w:rsidRPr="00261B7A">
        <w:rPr>
          <w:i/>
          <w:iCs/>
        </w:rPr>
        <w:t xml:space="preserve">Enteric Methane Emissions from New Zealand Ruminants </w:t>
      </w:r>
      <w:r w:rsidRPr="00261B7A">
        <w:rPr>
          <w:i/>
          <w:iCs/>
        </w:rPr>
        <w:br/>
        <w:t>1990–2001 Calculated Using an IPCC Tier 2 Approach</w:t>
      </w:r>
      <w:r w:rsidRPr="00261B7A">
        <w:t>. Report prepared for the Ministry of Agriculture and Forestry by AgResearch and Massey University. Wellington: Ministry of Agriculture and Forestry.</w:t>
      </w:r>
    </w:p>
    <w:p w14:paraId="58B78327" w14:textId="77777777" w:rsidR="00994F64" w:rsidRPr="00261B7A" w:rsidRDefault="00994F64" w:rsidP="00994F64">
      <w:pPr>
        <w:pStyle w:val="References"/>
      </w:pPr>
      <w:r w:rsidRPr="00261B7A">
        <w:t xml:space="preserve">Clark H. 2008a. </w:t>
      </w:r>
      <w:r w:rsidRPr="00261B7A">
        <w:rPr>
          <w:i/>
          <w:iCs/>
        </w:rPr>
        <w:t>A Comparison of Greenhouse Gas Emissions from the New Zealand Dairy Sector Calculated Using either a National or a Regional Approach</w:t>
      </w:r>
      <w:r w:rsidRPr="00261B7A">
        <w:t>. Report prepared for the Ministry of Agriculture and Forestry by AgResearch. Wellington: Ministry of Agriculture and Forestry.</w:t>
      </w:r>
    </w:p>
    <w:p w14:paraId="132F445D" w14:textId="77777777" w:rsidR="00994F64" w:rsidRPr="00261B7A" w:rsidRDefault="00994F64" w:rsidP="00994F64">
      <w:pPr>
        <w:pStyle w:val="References"/>
      </w:pPr>
      <w:r w:rsidRPr="00261B7A">
        <w:t xml:space="preserve">Clark H. 2008b. </w:t>
      </w:r>
      <w:r w:rsidRPr="00261B7A">
        <w:rPr>
          <w:i/>
          <w:iCs/>
        </w:rPr>
        <w:t>Guidelines to Accompany Computerised Inventory</w:t>
      </w:r>
      <w:r w:rsidRPr="00261B7A">
        <w:t>. Report prepared for the Ministry of Agriculture and Forestry by AgResearch. Wellington: Ministry of Agriculture and Forestry.</w:t>
      </w:r>
    </w:p>
    <w:p w14:paraId="175E6B6B" w14:textId="77777777" w:rsidR="00994F64" w:rsidRPr="00261B7A" w:rsidRDefault="00994F64" w:rsidP="00994F64">
      <w:pPr>
        <w:pStyle w:val="References"/>
      </w:pPr>
      <w:r w:rsidRPr="00261B7A">
        <w:t xml:space="preserve">Clough TJ, Kelliher FM, Clark H, van der Weerden TJ. 2008. </w:t>
      </w:r>
      <w:r w:rsidRPr="00261B7A">
        <w:rPr>
          <w:i/>
          <w:iCs/>
        </w:rPr>
        <w:t>Incorporation of the Nitrification Inhibitor DCD into New Zealand’s 2009 National Inventory</w:t>
      </w:r>
      <w:r w:rsidRPr="00261B7A">
        <w:t>. Report prepared for the Ministry of Agriculture and Forestry by Lincoln University and AgResearch. Wellington: Ministry of Agriculture and Forestry.</w:t>
      </w:r>
    </w:p>
    <w:p w14:paraId="1C4BB43A" w14:textId="77777777" w:rsidR="00994F64" w:rsidRPr="00261B7A" w:rsidRDefault="00994F64" w:rsidP="00994F64">
      <w:pPr>
        <w:pStyle w:val="References"/>
      </w:pPr>
      <w:r w:rsidRPr="00261B7A">
        <w:t xml:space="preserve">Clough TJ, Kelliher FM. Unpublished. </w:t>
      </w:r>
      <w:r w:rsidRPr="00261B7A">
        <w:rPr>
          <w:iCs/>
        </w:rPr>
        <w:t>Indirect Nitrous Oxide Emissions EF5</w:t>
      </w:r>
      <w:r w:rsidRPr="00261B7A">
        <w:rPr>
          <w:i/>
        </w:rPr>
        <w:t>.</w:t>
      </w:r>
      <w:r w:rsidRPr="00261B7A">
        <w:t xml:space="preserve"> Report prepared for the Ministry for Primary Industries by Lincoln University in 2014.</w:t>
      </w:r>
    </w:p>
    <w:p w14:paraId="1F4DCC12" w14:textId="0089CDF5" w:rsidR="00994F64" w:rsidRPr="00261B7A" w:rsidRDefault="00994F64" w:rsidP="00515181">
      <w:pPr>
        <w:pStyle w:val="References"/>
      </w:pPr>
      <w:r w:rsidRPr="00261B7A">
        <w:t xml:space="preserve">Commonwealth of Australia. 2022. </w:t>
      </w:r>
      <w:r w:rsidRPr="00261B7A">
        <w:rPr>
          <w:i/>
          <w:iCs/>
        </w:rPr>
        <w:t>National Inventory Report 2020 Australian Government Submission to the United Nations Framework Convention on Climate Change: Volume 1</w:t>
      </w:r>
      <w:r w:rsidRPr="00261B7A">
        <w:t xml:space="preserve">. Canberra: Department of Industry, Science, Energy and Resources. Retrieved from </w:t>
      </w:r>
      <w:hyperlink r:id="rId190" w:history="1">
        <w:r w:rsidRPr="00261B7A">
          <w:rPr>
            <w:rStyle w:val="Hyperlink"/>
          </w:rPr>
          <w:t>www.dcceew.gov.au/sites/default/files/ documents/national-inventory-report-2020-volume-1.pdf</w:t>
        </w:r>
      </w:hyperlink>
      <w:r w:rsidRPr="00261B7A">
        <w:t xml:space="preserve"> (14 February 2023). </w:t>
      </w:r>
    </w:p>
    <w:p w14:paraId="069A8E75" w14:textId="77777777" w:rsidR="00994F64" w:rsidRPr="00261B7A" w:rsidRDefault="00994F64" w:rsidP="00994F64">
      <w:pPr>
        <w:pStyle w:val="References"/>
      </w:pPr>
      <w:r w:rsidRPr="00261B7A">
        <w:t xml:space="preserve">CSIRO. 1990. </w:t>
      </w:r>
      <w:r w:rsidRPr="00261B7A">
        <w:rPr>
          <w:i/>
          <w:iCs/>
        </w:rPr>
        <w:t>Ruminants: Feeding Standards for Australian Livestock</w:t>
      </w:r>
      <w:r w:rsidRPr="00261B7A">
        <w:t>. Victoria, Australia: Commonwealth Scientific and Industrial Research Organisation.</w:t>
      </w:r>
    </w:p>
    <w:p w14:paraId="7257CFA7" w14:textId="77777777" w:rsidR="00994F64" w:rsidRPr="00261B7A" w:rsidRDefault="00994F64" w:rsidP="00994F64">
      <w:pPr>
        <w:pStyle w:val="References"/>
      </w:pPr>
      <w:r w:rsidRPr="00261B7A">
        <w:t xml:space="preserve">CSIRO. 2007. </w:t>
      </w:r>
      <w:r w:rsidRPr="00261B7A">
        <w:rPr>
          <w:i/>
          <w:iCs/>
        </w:rPr>
        <w:t>Nutrient Requirements of Domesticated Ruminants</w:t>
      </w:r>
      <w:r w:rsidRPr="00261B7A">
        <w:t>. Victoria, Australia: Australian Agricultural Council, Ruminants Sub Committee</w:t>
      </w:r>
    </w:p>
    <w:p w14:paraId="2DC63FDE" w14:textId="77777777" w:rsidR="00994F64" w:rsidRPr="00261B7A" w:rsidRDefault="00994F64" w:rsidP="00994F64">
      <w:pPr>
        <w:pStyle w:val="References"/>
      </w:pPr>
      <w:r w:rsidRPr="00261B7A">
        <w:t xml:space="preserve">Dairy Companies Association of New Zealand. 2022. </w:t>
      </w:r>
      <w:r w:rsidRPr="00261B7A">
        <w:rPr>
          <w:i/>
          <w:iCs/>
        </w:rPr>
        <w:t>Latest New Zealand Milk Production Data Report</w:t>
      </w:r>
      <w:r w:rsidRPr="00261B7A">
        <w:t>. Retrieved from www.dcanz.com (13 February 2023).</w:t>
      </w:r>
    </w:p>
    <w:p w14:paraId="298CE76A" w14:textId="77777777" w:rsidR="00994F64" w:rsidRPr="00261B7A" w:rsidRDefault="00994F64" w:rsidP="00994F64">
      <w:pPr>
        <w:pStyle w:val="References"/>
      </w:pPr>
      <w:r w:rsidRPr="00261B7A">
        <w:t xml:space="preserve">de Klein CAM, Barton L, Sherlock RR, Li Z, Littlejohn RP. 2003. </w:t>
      </w:r>
      <w:r w:rsidRPr="00261B7A">
        <w:rPr>
          <w:iCs/>
        </w:rPr>
        <w:t>Estimating a nitrous oxide emission factor for animal urine from some New Zealand pastoral soils</w:t>
      </w:r>
      <w:r w:rsidRPr="00261B7A">
        <w:t xml:space="preserve">. </w:t>
      </w:r>
      <w:r w:rsidRPr="00261B7A">
        <w:rPr>
          <w:i/>
          <w:iCs/>
        </w:rPr>
        <w:t>Australian Journal of Soil Research</w:t>
      </w:r>
      <w:r w:rsidRPr="00261B7A">
        <w:t xml:space="preserve"> 41: 381–399.</w:t>
      </w:r>
    </w:p>
    <w:p w14:paraId="1D969717" w14:textId="77777777" w:rsidR="00994F64" w:rsidRPr="00261B7A" w:rsidRDefault="00994F64" w:rsidP="00994F64">
      <w:pPr>
        <w:pStyle w:val="References"/>
      </w:pPr>
      <w:r w:rsidRPr="00261B7A">
        <w:t xml:space="preserve">de Klein CAM, Luo J, Woodward KB, Styles T, Wise B, Lindsey S, Cox N. 2014. </w:t>
      </w:r>
      <w:r w:rsidRPr="00261B7A">
        <w:rPr>
          <w:iCs/>
        </w:rPr>
        <w:t>The effect of nitrogen concentration in synthetic cattle urine on nitrous oxide emissions</w:t>
      </w:r>
      <w:r w:rsidRPr="00261B7A">
        <w:rPr>
          <w:i/>
        </w:rPr>
        <w:t>.</w:t>
      </w:r>
      <w:r w:rsidRPr="00261B7A">
        <w:t xml:space="preserve"> </w:t>
      </w:r>
      <w:r w:rsidRPr="00261B7A">
        <w:rPr>
          <w:i/>
          <w:iCs/>
        </w:rPr>
        <w:t>Agriculture Ecosystems &amp; Environment</w:t>
      </w:r>
      <w:r w:rsidRPr="00261B7A">
        <w:t xml:space="preserve"> 188: 8–92.</w:t>
      </w:r>
    </w:p>
    <w:p w14:paraId="352F0F12" w14:textId="77777777" w:rsidR="00994F64" w:rsidRPr="00261B7A" w:rsidRDefault="00994F64" w:rsidP="00994F64">
      <w:pPr>
        <w:pStyle w:val="References"/>
      </w:pPr>
      <w:r w:rsidRPr="00261B7A">
        <w:t xml:space="preserve">Dresser M, Hewitt A, Willoughby J, Bellis S. 2011. </w:t>
      </w:r>
      <w:r w:rsidRPr="00261B7A">
        <w:rPr>
          <w:i/>
          <w:iCs/>
        </w:rPr>
        <w:t>Area of Organic Soils</w:t>
      </w:r>
      <w:r w:rsidRPr="00261B7A">
        <w:t>. Report prepared for the Ministry of Agriculture and Forestry by Landcare Research. Wellington: Ministry of Agriculture and Forestry.</w:t>
      </w:r>
    </w:p>
    <w:p w14:paraId="6961E47A" w14:textId="77777777" w:rsidR="00994F64" w:rsidRPr="00261B7A" w:rsidRDefault="00994F64" w:rsidP="00994F64">
      <w:pPr>
        <w:pStyle w:val="References"/>
      </w:pPr>
      <w:r w:rsidRPr="00261B7A">
        <w:t xml:space="preserve">Fick J. 2010. </w:t>
      </w:r>
      <w:r w:rsidRPr="00261B7A">
        <w:rPr>
          <w:i/>
          <w:iCs/>
        </w:rPr>
        <w:t>Emission Estimations for the Commercial Chicken, Non-chicken and Layer Industries within New Zealand</w:t>
      </w:r>
      <w:r w:rsidRPr="00261B7A">
        <w:t>. Report prepared for the Ministry of Agriculture and Forestry by the Poultry Industry Association and Egg Producers Federation of New Zealand. Wellington: Ministry of Agriculture and Forestry.</w:t>
      </w:r>
    </w:p>
    <w:p w14:paraId="6B870C56" w14:textId="77777777" w:rsidR="00994F64" w:rsidRPr="00261B7A" w:rsidRDefault="00994F64" w:rsidP="00994F64">
      <w:pPr>
        <w:pStyle w:val="References"/>
      </w:pPr>
      <w:r w:rsidRPr="00261B7A">
        <w:t xml:space="preserve">Fick J, Saggar S, Hill J, Giltrap D. 2011. </w:t>
      </w:r>
      <w:r w:rsidRPr="00261B7A">
        <w:rPr>
          <w:i/>
          <w:iCs/>
        </w:rPr>
        <w:t>Poultry Management in New Zealand: Production, Manure Management and Emissions Estimations for the Commercial Chicken, Turkey, Duck and Layer Industries within New Zealand</w:t>
      </w:r>
      <w:r w:rsidRPr="00261B7A">
        <w:t xml:space="preserve">. Report prepared for the Ministry of Agriculture and Forestry by Poultry Industry Association, Egg Producers Association, Landcare Research and Massey University. Wellington: Ministry of Agriculture and Forestry. </w:t>
      </w:r>
    </w:p>
    <w:p w14:paraId="36F12E49" w14:textId="77777777" w:rsidR="00994F64" w:rsidRPr="00261B7A" w:rsidRDefault="00994F64" w:rsidP="00994F64">
      <w:pPr>
        <w:pStyle w:val="References"/>
      </w:pPr>
      <w:r w:rsidRPr="00261B7A">
        <w:t xml:space="preserve">Galbally I, Meyer C, Bentley S, Weeks I, Leuning R, Kelly K, Phillips F, Barker-Reid F, Gates W, Baigent R, Eckard R, Grace P. 2005. </w:t>
      </w:r>
      <w:r w:rsidRPr="00261B7A">
        <w:rPr>
          <w:iCs/>
        </w:rPr>
        <w:t>A study of environmental and management drivers of non-CO</w:t>
      </w:r>
      <w:r w:rsidRPr="00261B7A">
        <w:rPr>
          <w:iCs/>
          <w:vertAlign w:val="subscript"/>
        </w:rPr>
        <w:t>2</w:t>
      </w:r>
      <w:r w:rsidRPr="00261B7A">
        <w:rPr>
          <w:iCs/>
        </w:rPr>
        <w:t xml:space="preserve"> greenhouse gas emissions in Australian agroecosystems</w:t>
      </w:r>
      <w:r w:rsidRPr="00261B7A">
        <w:t xml:space="preserve">. </w:t>
      </w:r>
      <w:r w:rsidRPr="00261B7A">
        <w:rPr>
          <w:i/>
          <w:iCs/>
        </w:rPr>
        <w:t>Environmental Sciences</w:t>
      </w:r>
      <w:r w:rsidRPr="00261B7A">
        <w:t xml:space="preserve"> 2(2­3): 133–142.</w:t>
      </w:r>
    </w:p>
    <w:p w14:paraId="5D8987DA" w14:textId="77777777" w:rsidR="00994F64" w:rsidRPr="00261B7A" w:rsidRDefault="00994F64" w:rsidP="00994F64">
      <w:pPr>
        <w:pStyle w:val="References"/>
      </w:pPr>
      <w:r w:rsidRPr="00261B7A">
        <w:t xml:space="preserve">Geddes A, Mikaloff-Fletcher S, Schaefer H, Smale D, Brailsford G, Law R, Ausseil A. 2021. </w:t>
      </w:r>
      <w:r w:rsidRPr="00261B7A">
        <w:rPr>
          <w:i/>
          <w:iCs/>
        </w:rPr>
        <w:t>Atmospheric methane modelling: Evaluating Regional Methane Emission Using Inverse Modelling</w:t>
      </w:r>
      <w:r w:rsidRPr="00261B7A">
        <w:t>. MPI Technical Paper No: 2021/02. Report prepared for the Ministry for Primary Industries by NIWA and Landcare Research in 2020.</w:t>
      </w:r>
    </w:p>
    <w:p w14:paraId="002D8E2A" w14:textId="77777777" w:rsidR="00994F64" w:rsidRPr="00261B7A" w:rsidRDefault="00994F64" w:rsidP="00994F64">
      <w:pPr>
        <w:pStyle w:val="References"/>
      </w:pPr>
      <w:r w:rsidRPr="00261B7A">
        <w:t xml:space="preserve">Giltrap D, McNeill S, Vickers S. Unpublished. </w:t>
      </w:r>
      <w:r w:rsidRPr="00261B7A">
        <w:rPr>
          <w:iCs/>
        </w:rPr>
        <w:t>Development of infrastructure to calculate agricultural greenhouse gas inventory emissions uncertainty in-house</w:t>
      </w:r>
      <w:r w:rsidRPr="00261B7A">
        <w:t>. Report prepared for the Ministry for Primary Industries by Landcare Research and RSV Consulting Ltd in 2016.</w:t>
      </w:r>
    </w:p>
    <w:p w14:paraId="6EB39E2C" w14:textId="77777777" w:rsidR="00994F64" w:rsidRPr="00261B7A" w:rsidRDefault="00994F64" w:rsidP="00994F64">
      <w:pPr>
        <w:pStyle w:val="References"/>
      </w:pPr>
      <w:r w:rsidRPr="00261B7A">
        <w:t xml:space="preserve">Giltrap D, McNeill S. 2020. </w:t>
      </w:r>
      <w:r w:rsidRPr="00261B7A">
        <w:rPr>
          <w:i/>
          <w:iCs/>
        </w:rPr>
        <w:t>Revised pasture quality analysis in the agricultural greenhouse gas inventory</w:t>
      </w:r>
      <w:r w:rsidRPr="00261B7A">
        <w:t xml:space="preserve">. MPI Technical Paper No: 2021/01. Report prepared for the Ministry for Primary Industries by Manaaki Whenua – Landcare Research. Wellington: Ministry for Primary Industries. </w:t>
      </w:r>
    </w:p>
    <w:p w14:paraId="7BC7F1AC" w14:textId="77777777" w:rsidR="00994F64" w:rsidRPr="00261B7A" w:rsidRDefault="00994F64" w:rsidP="00994F64">
      <w:pPr>
        <w:pStyle w:val="References"/>
      </w:pPr>
      <w:r w:rsidRPr="00261B7A">
        <w:t xml:space="preserve">Grainger C, Clarke T, McGinn SM, Auldist MJ, Beauchemin KA, Hannah MC, Waghorn GC, Clark H, Eckard RJ. 2007. </w:t>
      </w:r>
      <w:r w:rsidRPr="00261B7A">
        <w:rPr>
          <w:iCs/>
        </w:rPr>
        <w:t>Methane emissions from dairy cows measured with sulphur hexafluoride (SF6) tracer and chamber techniques</w:t>
      </w:r>
      <w:r w:rsidRPr="00261B7A">
        <w:rPr>
          <w:i/>
        </w:rPr>
        <w:t xml:space="preserve">. </w:t>
      </w:r>
      <w:r w:rsidRPr="00261B7A">
        <w:rPr>
          <w:i/>
          <w:iCs/>
        </w:rPr>
        <w:t>Journal of Dairy Science</w:t>
      </w:r>
      <w:r w:rsidRPr="00261B7A">
        <w:t xml:space="preserve"> 90(6): 2755–2766.</w:t>
      </w:r>
    </w:p>
    <w:p w14:paraId="408F4D18" w14:textId="77777777" w:rsidR="00994F64" w:rsidRPr="00261B7A" w:rsidRDefault="00994F64" w:rsidP="00994F64">
      <w:pPr>
        <w:pStyle w:val="References"/>
      </w:pPr>
      <w:r w:rsidRPr="00261B7A">
        <w:t xml:space="preserve">Henderson H, Cameron C. Unpublished. </w:t>
      </w:r>
      <w:r w:rsidRPr="00261B7A">
        <w:rPr>
          <w:iCs/>
        </w:rPr>
        <w:t>Review of the Methodology for Alpaca Population Estimations Used in the National Greenhouse Gas Inventory</w:t>
      </w:r>
      <w:r w:rsidRPr="00261B7A">
        <w:t>. Report prepared for the Ministry of Agriculture and Forestry in 2010.</w:t>
      </w:r>
    </w:p>
    <w:p w14:paraId="548D6410" w14:textId="77777777" w:rsidR="00994F64" w:rsidRPr="00261B7A" w:rsidRDefault="00994F64" w:rsidP="00994F64">
      <w:pPr>
        <w:pStyle w:val="References"/>
      </w:pPr>
      <w:r w:rsidRPr="00261B7A">
        <w:t xml:space="preserve">Hill, J. 2012. </w:t>
      </w:r>
      <w:r w:rsidRPr="00261B7A">
        <w:rPr>
          <w:i/>
          <w:iCs/>
        </w:rPr>
        <w:t>Recalculate Pork Industry Emissions Inventory</w:t>
      </w:r>
      <w:r w:rsidRPr="00261B7A">
        <w:t>. Report prepared for the Ministry of Agriculture and Forestry by Massey University and the New Zealand Pork Industry Board. Wellington: Ministry of Agriculture and Forestry.</w:t>
      </w:r>
    </w:p>
    <w:p w14:paraId="4F44AB8E" w14:textId="77777777" w:rsidR="00994F64" w:rsidRPr="00261B7A" w:rsidRDefault="00994F64" w:rsidP="00994F64">
      <w:pPr>
        <w:pStyle w:val="References"/>
      </w:pPr>
      <w:r w:rsidRPr="00261B7A">
        <w:t xml:space="preserve">Hoogendoorn CJ, de Klein CAM, Rutherford AJ, Letica S, Devantier BP. 2008. </w:t>
      </w:r>
      <w:r w:rsidRPr="00261B7A">
        <w:rPr>
          <w:iCs/>
        </w:rPr>
        <w:t>The effect of increasing rates of nitrogen fertiliser and a nitrification inhibitor on the nitrous oxide emissions from urine patches on sheep grazed hill country pasture</w:t>
      </w:r>
      <w:r w:rsidRPr="00261B7A">
        <w:t xml:space="preserve">. </w:t>
      </w:r>
      <w:r w:rsidRPr="00261B7A">
        <w:rPr>
          <w:i/>
          <w:iCs/>
        </w:rPr>
        <w:t>Australian Journal of Experimental Agriculture</w:t>
      </w:r>
      <w:r w:rsidRPr="00261B7A">
        <w:t xml:space="preserve"> 48(2): 147–151.</w:t>
      </w:r>
    </w:p>
    <w:p w14:paraId="18763616" w14:textId="77777777" w:rsidR="00994F64" w:rsidRPr="00261B7A" w:rsidRDefault="00994F64" w:rsidP="00994F64">
      <w:pPr>
        <w:pStyle w:val="References"/>
      </w:pPr>
      <w:r w:rsidRPr="00261B7A">
        <w:t xml:space="preserve">Hoogendoorn CJ, Luo J, van der Weerden T, Saggar S, Wise B, Lloyd-West C, Judge A. 2013. </w:t>
      </w:r>
      <w:r w:rsidRPr="00261B7A">
        <w:rPr>
          <w:i/>
          <w:iCs/>
        </w:rPr>
        <w:t>Evaluation of beef cattle excreta nitrous oxide emission factors</w:t>
      </w:r>
      <w:r w:rsidRPr="00261B7A">
        <w:t>. Report prepared for the Ministry for Primary Industries by AgResearch in 2013. Wellington: Ministry for Primary Industries.</w:t>
      </w:r>
    </w:p>
    <w:p w14:paraId="0A05B91F" w14:textId="77777777" w:rsidR="00994F64" w:rsidRPr="00261B7A" w:rsidRDefault="00994F64" w:rsidP="00994F64">
      <w:pPr>
        <w:pStyle w:val="References"/>
      </w:pPr>
      <w:r w:rsidRPr="00261B7A">
        <w:t xml:space="preserve">IPCC. 1996. Houghton JT, Meira Filho LG, Lim B, Treanton K, Mamaty I, Bonduki Y, Griggs DJ, Callender BA (eds). </w:t>
      </w:r>
      <w:r w:rsidRPr="00261B7A">
        <w:rPr>
          <w:i/>
          <w:iCs/>
        </w:rPr>
        <w:t>IPCC/OECD/IEA. Revised 1996 IPCC Guidelines for National Greenhouse Gas Inventories</w:t>
      </w:r>
      <w:r w:rsidRPr="00261B7A">
        <w:t>. Bracknell: United Kingdom Meteorological Office.</w:t>
      </w:r>
    </w:p>
    <w:p w14:paraId="189B868C" w14:textId="77777777" w:rsidR="00994F64" w:rsidRPr="00261B7A" w:rsidRDefault="00994F64" w:rsidP="00994F64">
      <w:pPr>
        <w:pStyle w:val="References"/>
      </w:pPr>
      <w:r w:rsidRPr="00261B7A">
        <w:t xml:space="preserve">IPCC. 2000. Penman J, Kruger D, Galbally I, Hiraishi T, Nyenzi B, Emmanuel S, Buendia L, Hoppaus R, Martinsen T, Meijer J, Miwa K, Tanabe K (eds). </w:t>
      </w:r>
      <w:r w:rsidRPr="00261B7A">
        <w:rPr>
          <w:i/>
          <w:iCs/>
        </w:rPr>
        <w:t>Good Practice Guidance and Uncertainty Management in National Greenhouse Gas Inventories</w:t>
      </w:r>
      <w:r w:rsidRPr="00261B7A">
        <w:t>. IPCC National Greenhouse Gas Inventories Programme. Published for the IPCC by the Institute for Global Environmental Strategies: Japan.</w:t>
      </w:r>
    </w:p>
    <w:p w14:paraId="218569C0" w14:textId="77777777" w:rsidR="00994F64" w:rsidRPr="00261B7A" w:rsidRDefault="00994F64" w:rsidP="00994F64">
      <w:pPr>
        <w:pStyle w:val="References"/>
      </w:pPr>
      <w:r w:rsidRPr="00261B7A">
        <w:t xml:space="preserve">IPCC. 2006. Eggleston HS, Buendia L, Miwa K, Ngara T, Tanabe K (eds). </w:t>
      </w:r>
      <w:r w:rsidRPr="00261B7A">
        <w:rPr>
          <w:i/>
          <w:iCs/>
        </w:rPr>
        <w:t>2006 IPCC Guidelines for National Greenhouse Gas Inventories. Volume 4. Agriculture, Forestry and Other Land Use</w:t>
      </w:r>
      <w:r w:rsidRPr="00261B7A">
        <w:t>. IPCC National Greenhouse Gas Inventories Programme. Published for the IPCC by the Institute for Global Environmental Strategies: Japan.</w:t>
      </w:r>
    </w:p>
    <w:p w14:paraId="1636A9C4" w14:textId="77777777" w:rsidR="00994F64" w:rsidRPr="00261B7A" w:rsidRDefault="00994F64" w:rsidP="00994F64">
      <w:pPr>
        <w:pStyle w:val="References"/>
        <w:rPr>
          <w:rFonts w:cs="Calibri"/>
          <w:szCs w:val="20"/>
        </w:rPr>
      </w:pPr>
      <w:r w:rsidRPr="00261B7A">
        <w:rPr>
          <w:rFonts w:cs="Calibri"/>
          <w:szCs w:val="20"/>
        </w:rPr>
        <w:t xml:space="preserve">IPCC. 2014. Hiraishi T, Krug T, Tanabe K, Srivastava N, Baasansuren J, Fukuda M, Troxler TG (eds). </w:t>
      </w:r>
      <w:r w:rsidRPr="00261B7A">
        <w:rPr>
          <w:rFonts w:cs="Calibri"/>
          <w:i/>
          <w:iCs/>
          <w:szCs w:val="20"/>
        </w:rPr>
        <w:t>2013 Supplement to the 2006 IPCC Guidelines for National Greenhouse Gas Inventories: Wetlands</w:t>
      </w:r>
      <w:r w:rsidRPr="00261B7A">
        <w:rPr>
          <w:rFonts w:cs="Calibri"/>
          <w:szCs w:val="20"/>
        </w:rPr>
        <w:t>. Switzerland: IPCC.</w:t>
      </w:r>
    </w:p>
    <w:p w14:paraId="4A1B94D3" w14:textId="77777777" w:rsidR="00994F64" w:rsidRPr="00261B7A" w:rsidRDefault="00994F64" w:rsidP="00994F64">
      <w:pPr>
        <w:pStyle w:val="References"/>
      </w:pPr>
      <w:r w:rsidRPr="00261B7A">
        <w:t xml:space="preserve">IPCC. 2019. Calvo Buendia E, Tanabe K, Kranjc A, Baasansuren J, Fukuda M, Ngarize S, Osako A, Pyrozhenko Y, Shermanau P, Federici S (eds). </w:t>
      </w:r>
      <w:r w:rsidRPr="00261B7A">
        <w:rPr>
          <w:i/>
          <w:iCs/>
        </w:rPr>
        <w:t>2019 Refinement to the 2006 IPCC Guidelines for National Greenhouse Gas Inventories</w:t>
      </w:r>
      <w:r w:rsidRPr="00261B7A">
        <w:t>. Switzerland: IPCC.</w:t>
      </w:r>
    </w:p>
    <w:p w14:paraId="1F294D94" w14:textId="77777777" w:rsidR="00994F64" w:rsidRPr="00261B7A" w:rsidRDefault="00994F64" w:rsidP="00994F64">
      <w:pPr>
        <w:pStyle w:val="References"/>
      </w:pPr>
      <w:r w:rsidRPr="00261B7A">
        <w:t xml:space="preserve">Kelliher FM, Clark H, Smith MH, Lassey KR, Sedcole R. 2009. </w:t>
      </w:r>
      <w:r w:rsidRPr="00261B7A">
        <w:rPr>
          <w:i/>
          <w:iCs/>
        </w:rPr>
        <w:t>Reducing Uncertainty of the Enteric Methane Emissions Inventory</w:t>
      </w:r>
      <w:r w:rsidRPr="00261B7A">
        <w:t>. Report prepared for the Ministry of Agriculture and Forestry by Lincoln University, National Institute of Water and Atmospheric Research and AgResearch. Wellington: Ministry of Agriculture and Forestry.</w:t>
      </w:r>
    </w:p>
    <w:p w14:paraId="0E91E1F6" w14:textId="77777777" w:rsidR="00994F64" w:rsidRPr="00261B7A" w:rsidRDefault="00994F64" w:rsidP="00994F64">
      <w:pPr>
        <w:pStyle w:val="References"/>
      </w:pPr>
      <w:r w:rsidRPr="00261B7A">
        <w:t xml:space="preserve">Kelliher FM, Cox N, van der Weerden TJ, de Klein CAM, Luo J, Cameron KC, Di HJ, Giltrap D, Rys G. 2014. </w:t>
      </w:r>
      <w:r w:rsidRPr="00261B7A">
        <w:rPr>
          <w:iCs/>
        </w:rPr>
        <w:t>Statistical analysis of nitrous oxide emission factors from pastoral agriculture field trials conducted in New Zealand</w:t>
      </w:r>
      <w:r w:rsidRPr="00261B7A">
        <w:t xml:space="preserve">. </w:t>
      </w:r>
      <w:r w:rsidRPr="00261B7A">
        <w:rPr>
          <w:i/>
          <w:iCs/>
        </w:rPr>
        <w:t>Environmental Pollution</w:t>
      </w:r>
      <w:r w:rsidRPr="00261B7A">
        <w:t xml:space="preserve"> 186: 63–66.</w:t>
      </w:r>
    </w:p>
    <w:p w14:paraId="0D9660E1" w14:textId="77777777" w:rsidR="00994F64" w:rsidRPr="00261B7A" w:rsidRDefault="00994F64" w:rsidP="00994F64">
      <w:pPr>
        <w:pStyle w:val="References"/>
      </w:pPr>
      <w:r w:rsidRPr="00261B7A">
        <w:t xml:space="preserve">Kelliher FM, de Klein CAM. Unpublished. </w:t>
      </w:r>
      <w:r w:rsidRPr="00261B7A">
        <w:rPr>
          <w:iCs/>
        </w:rPr>
        <w:t>Review of New Zealand’s Fertiliser Nitrous Oxide Emission Factor (EF</w:t>
      </w:r>
      <w:r w:rsidRPr="00261B7A">
        <w:rPr>
          <w:iCs/>
          <w:vertAlign w:val="subscript"/>
        </w:rPr>
        <w:t>1</w:t>
      </w:r>
      <w:r w:rsidRPr="00261B7A">
        <w:rPr>
          <w:iCs/>
        </w:rPr>
        <w:t>) Data</w:t>
      </w:r>
      <w:r w:rsidRPr="00261B7A">
        <w:t>. Report prepared for the Ministry for the Environment by Landcare Research and AgResearch in 2006.</w:t>
      </w:r>
    </w:p>
    <w:p w14:paraId="5D0F484A" w14:textId="77777777" w:rsidR="00994F64" w:rsidRPr="00261B7A" w:rsidRDefault="00994F64" w:rsidP="00994F64">
      <w:pPr>
        <w:pStyle w:val="References"/>
      </w:pPr>
      <w:r w:rsidRPr="00261B7A">
        <w:t xml:space="preserve">Kelliher FM, Henderson H and Cox N. 2017. </w:t>
      </w:r>
      <w:r w:rsidRPr="00261B7A">
        <w:rPr>
          <w:iCs/>
        </w:rPr>
        <w:t>The uncertainty of nitrous oxide emissions from grazed grasslands: A New Zealand case study</w:t>
      </w:r>
      <w:r w:rsidRPr="00261B7A">
        <w:t xml:space="preserve">. </w:t>
      </w:r>
      <w:r w:rsidRPr="00261B7A">
        <w:rPr>
          <w:i/>
          <w:iCs/>
        </w:rPr>
        <w:t>Atmospheric Environment</w:t>
      </w:r>
      <w:r w:rsidRPr="00261B7A">
        <w:t xml:space="preserve"> 148: 329–336.</w:t>
      </w:r>
    </w:p>
    <w:p w14:paraId="2E5533B3" w14:textId="77777777" w:rsidR="00994F64" w:rsidRPr="00261B7A" w:rsidRDefault="00994F64" w:rsidP="00994F64">
      <w:pPr>
        <w:pStyle w:val="References"/>
      </w:pPr>
      <w:r w:rsidRPr="00261B7A">
        <w:t xml:space="preserve">Kelliher FM, Ledgard SF, Clark H, Walcroft AS, Buchan M, Sherlock RR. Unpublished. </w:t>
      </w:r>
      <w:r w:rsidRPr="00261B7A">
        <w:rPr>
          <w:iCs/>
        </w:rPr>
        <w:t>A Revised Nitrous Oxide Emissions Inventory for New Zealand 1990–2001</w:t>
      </w:r>
      <w:r w:rsidRPr="00261B7A">
        <w:t>. Report prepared for the Ministry of Agriculture and Forestry by Lincoln University, Landcare Research and AgResearch in 2003.</w:t>
      </w:r>
    </w:p>
    <w:p w14:paraId="15AD1453" w14:textId="77777777" w:rsidR="00994F64" w:rsidRPr="00261B7A" w:rsidRDefault="00994F64" w:rsidP="00994F64">
      <w:pPr>
        <w:pStyle w:val="References"/>
      </w:pPr>
      <w:r w:rsidRPr="00261B7A">
        <w:t xml:space="preserve">Kuikman PJ, van der Hoek KW, Smit A, Zwart K. 2006. </w:t>
      </w:r>
      <w:r w:rsidRPr="00261B7A">
        <w:rPr>
          <w:iCs/>
        </w:rPr>
        <w:t>Update of emission factors for nitrous oxide from agricultural soils on the basis of measurements in the Netherlands</w:t>
      </w:r>
      <w:r w:rsidRPr="00261B7A">
        <w:t xml:space="preserve">. </w:t>
      </w:r>
      <w:r w:rsidRPr="00261B7A">
        <w:rPr>
          <w:i/>
          <w:iCs/>
        </w:rPr>
        <w:t>Alterra Report 1217</w:t>
      </w:r>
      <w:r w:rsidRPr="00261B7A">
        <w:t>. Wageningen, The Netherlands: Alterra.</w:t>
      </w:r>
    </w:p>
    <w:p w14:paraId="2BF173C5" w14:textId="77777777" w:rsidR="00994F64" w:rsidRPr="00261B7A" w:rsidRDefault="00994F64" w:rsidP="00994F64">
      <w:pPr>
        <w:pStyle w:val="References"/>
      </w:pPr>
      <w:r w:rsidRPr="00261B7A">
        <w:t xml:space="preserve">Lassey K. 2011. </w:t>
      </w:r>
      <w:r w:rsidRPr="00261B7A">
        <w:rPr>
          <w:i/>
          <w:iCs/>
        </w:rPr>
        <w:t>Methane Emissions and Nitrogen Excretion Rates for New Zealand Goats</w:t>
      </w:r>
      <w:r w:rsidRPr="00261B7A">
        <w:t xml:space="preserve">. Report for the Ministry of Agriculture and Forestry, National Institute of Water and Atmospheric Research. Wellington: National Institute of Water and Atmospheric Research. </w:t>
      </w:r>
    </w:p>
    <w:p w14:paraId="68F30835" w14:textId="77777777" w:rsidR="00994F64" w:rsidRPr="00261B7A" w:rsidRDefault="00994F64" w:rsidP="00994F64">
      <w:pPr>
        <w:pStyle w:val="References"/>
      </w:pPr>
      <w:r w:rsidRPr="00261B7A">
        <w:t xml:space="preserve">Lassey KR, Ulyatt MJ, Martin RJ, Walker CF, Shelton ID. 1997. Methane emissions measured directly from grazing livestock in New Zealand. </w:t>
      </w:r>
      <w:r w:rsidRPr="00261B7A">
        <w:rPr>
          <w:i/>
          <w:iCs/>
        </w:rPr>
        <w:t>Atmospheric Environment</w:t>
      </w:r>
      <w:r w:rsidRPr="00261B7A">
        <w:t xml:space="preserve"> 31: 2905–2914.</w:t>
      </w:r>
    </w:p>
    <w:p w14:paraId="4E8EC992" w14:textId="77777777" w:rsidR="00994F64" w:rsidRPr="00261B7A" w:rsidRDefault="00994F64" w:rsidP="00994F64">
      <w:pPr>
        <w:pStyle w:val="References"/>
      </w:pPr>
      <w:r w:rsidRPr="00261B7A">
        <w:t xml:space="preserve">Laubach J, Grover SPP, Taghizadeh-Toosi A, Sherlock RR, Gibbs J, Kelliher FM. 2012. </w:t>
      </w:r>
      <w:r w:rsidRPr="00261B7A">
        <w:rPr>
          <w:i/>
          <w:iCs/>
        </w:rPr>
        <w:t>Ammonium from Animal Excreta</w:t>
      </w:r>
      <w:r w:rsidRPr="00261B7A">
        <w:t xml:space="preserve">. MPI Technical Paper No: 2012/41. Wellington: Ministry for Primary Industries. </w:t>
      </w:r>
    </w:p>
    <w:p w14:paraId="56D7CA97" w14:textId="77777777" w:rsidR="00994F64" w:rsidRPr="00261B7A" w:rsidRDefault="00994F64" w:rsidP="00994F64">
      <w:pPr>
        <w:pStyle w:val="References"/>
      </w:pPr>
      <w:r w:rsidRPr="00261B7A">
        <w:t xml:space="preserve">Laubach J, Kelliher FM. 2004. </w:t>
      </w:r>
      <w:r w:rsidRPr="00261B7A">
        <w:rPr>
          <w:iCs/>
        </w:rPr>
        <w:t>Measuring methane emission rates of a dairy cow herd by two micrometeorological techniques</w:t>
      </w:r>
      <w:r w:rsidRPr="00261B7A">
        <w:t xml:space="preserve">. </w:t>
      </w:r>
      <w:r w:rsidRPr="00261B7A">
        <w:rPr>
          <w:i/>
          <w:iCs/>
        </w:rPr>
        <w:t>Agricultural and Forest Meteorology</w:t>
      </w:r>
      <w:r w:rsidRPr="00261B7A">
        <w:t xml:space="preserve"> 125: 279–303.</w:t>
      </w:r>
    </w:p>
    <w:p w14:paraId="2F83F9EB" w14:textId="77777777" w:rsidR="00994F64" w:rsidRPr="00261B7A" w:rsidRDefault="00994F64" w:rsidP="00994F64">
      <w:pPr>
        <w:pStyle w:val="References"/>
      </w:pPr>
      <w:r w:rsidRPr="00261B7A">
        <w:t xml:space="preserve">Ledgard SF, Luo J, Sprosen MS, Wyatt J, Balvert S, Lindsey S. 2014. Effects of the nitrification inhibitor dicyandiamide (DCD) on pasture production, nitrous oxide emissions and nitrate leaching in Waikato, New Zealand. </w:t>
      </w:r>
      <w:r w:rsidRPr="00261B7A">
        <w:rPr>
          <w:i/>
          <w:iCs/>
        </w:rPr>
        <w:t>New Zealand Journal of Agricultural Research</w:t>
      </w:r>
      <w:r w:rsidRPr="00261B7A">
        <w:t xml:space="preserve"> 57(4): 294–315.</w:t>
      </w:r>
    </w:p>
    <w:p w14:paraId="751777E5" w14:textId="77777777" w:rsidR="00994F64" w:rsidRPr="00261B7A" w:rsidRDefault="00994F64" w:rsidP="00994F64">
      <w:pPr>
        <w:pStyle w:val="References"/>
      </w:pPr>
      <w:r w:rsidRPr="00261B7A">
        <w:t xml:space="preserve">LIC (Livestock Improvement Corporation Limited) and DairyNZ. 2021. </w:t>
      </w:r>
      <w:r w:rsidRPr="00261B7A">
        <w:rPr>
          <w:i/>
        </w:rPr>
        <w:t xml:space="preserve">New Zealand Dairy Statistics </w:t>
      </w:r>
      <w:r w:rsidRPr="00261B7A">
        <w:rPr>
          <w:i/>
        </w:rPr>
        <w:br/>
        <w:t>2020–2021</w:t>
      </w:r>
      <w:r w:rsidRPr="00261B7A">
        <w:t xml:space="preserve">. Hamilton: DairyNZ. Retrieved from </w:t>
      </w:r>
      <w:hyperlink r:id="rId191" w:history="1">
        <w:r w:rsidRPr="00261B7A">
          <w:rPr>
            <w:rStyle w:val="Hyperlink"/>
          </w:rPr>
          <w:t>www.dairynz.co.nz/publications/dairy-industry/new-zealand-dairy-statistics-2020-21/</w:t>
        </w:r>
      </w:hyperlink>
      <w:r w:rsidRPr="00261B7A">
        <w:t xml:space="preserve"> (9 December 2021).</w:t>
      </w:r>
    </w:p>
    <w:p w14:paraId="205F8FFE" w14:textId="77777777" w:rsidR="00994F64" w:rsidRPr="00261B7A" w:rsidRDefault="00994F64" w:rsidP="00994F64">
      <w:pPr>
        <w:pStyle w:val="References"/>
      </w:pPr>
      <w:r w:rsidRPr="00261B7A">
        <w:t xml:space="preserve">LIC. 2009. </w:t>
      </w:r>
      <w:r w:rsidRPr="00261B7A">
        <w:rPr>
          <w:i/>
          <w:iCs/>
        </w:rPr>
        <w:t>100 Years of Herd Testing</w:t>
      </w:r>
      <w:r w:rsidRPr="00261B7A">
        <w:t>. Hamilton: Livestock Improvement Corporation Limited. Retrieved from www.lic.co.nz/documents/275/100_years_of_Herd_Testing.pdf (5 January 2022).</w:t>
      </w:r>
    </w:p>
    <w:p w14:paraId="0D23CA3C" w14:textId="77777777" w:rsidR="00994F64" w:rsidRPr="00261B7A" w:rsidRDefault="00994F64" w:rsidP="00994F64">
      <w:pPr>
        <w:pStyle w:val="References"/>
      </w:pPr>
      <w:r w:rsidRPr="00261B7A">
        <w:t xml:space="preserve">Litherland AJ, Woodward SJR, Stevens DR, McDougal DB, Boom CJ, Knight TL, Lambert MG. 2002. Seasonal variations in pasture quality on New Zealand sheep and beef farms. </w:t>
      </w:r>
      <w:r w:rsidRPr="00261B7A">
        <w:rPr>
          <w:i/>
          <w:iCs/>
        </w:rPr>
        <w:t>Proceedings of the New Zealand Society of Animal Production</w:t>
      </w:r>
      <w:r w:rsidRPr="00261B7A">
        <w:t xml:space="preserve"> 62: 138–142.</w:t>
      </w:r>
    </w:p>
    <w:p w14:paraId="311213CC" w14:textId="77777777" w:rsidR="00994F64" w:rsidRPr="00261B7A" w:rsidRDefault="00994F64" w:rsidP="00994F64">
      <w:pPr>
        <w:pStyle w:val="References"/>
      </w:pPr>
      <w:r w:rsidRPr="00261B7A">
        <w:t xml:space="preserve">Luo J, Hoogendoorn C, van der Weerden T, Saggar S, de Klein C, Giltrap D. 2016. </w:t>
      </w:r>
      <w:r w:rsidRPr="00261B7A">
        <w:rPr>
          <w:i/>
          <w:iCs/>
        </w:rPr>
        <w:t>Nitrous oxide emission factors for animal excreta deposited on hill country steep slopes</w:t>
      </w:r>
      <w:r w:rsidRPr="00261B7A">
        <w:t>. Report prepared for the Ministry for Primary Industries by AgResearch in 2016. Wellington: Ministry for Primary Industries.</w:t>
      </w:r>
    </w:p>
    <w:p w14:paraId="1D8E5533" w14:textId="77777777" w:rsidR="00994F64" w:rsidRPr="00261B7A" w:rsidRDefault="00994F64" w:rsidP="00994F64">
      <w:pPr>
        <w:pStyle w:val="References"/>
        <w:rPr>
          <w:iCs/>
        </w:rPr>
      </w:pPr>
      <w:r w:rsidRPr="00261B7A">
        <w:t xml:space="preserve">Luo J, Hoogendoorn C, van der Weerden TJ, Saggar S, de Klein CAM, Giltrap D, Rollo M, Rys G. 2013. </w:t>
      </w:r>
      <w:r w:rsidRPr="00261B7A">
        <w:rPr>
          <w:iCs/>
        </w:rPr>
        <w:t>Nitrous oxide emissions from grazed hill land in New Zealand.</w:t>
      </w:r>
      <w:r w:rsidRPr="00261B7A">
        <w:t xml:space="preserve"> </w:t>
      </w:r>
      <w:r w:rsidRPr="00261B7A">
        <w:rPr>
          <w:i/>
          <w:iCs/>
        </w:rPr>
        <w:t>Agriculture Ecosystems &amp; Environment</w:t>
      </w:r>
      <w:r w:rsidRPr="00261B7A">
        <w:t xml:space="preserve"> 181: 58–68.</w:t>
      </w:r>
    </w:p>
    <w:p w14:paraId="78674211" w14:textId="77777777" w:rsidR="00994F64" w:rsidRPr="00261B7A" w:rsidRDefault="00994F64" w:rsidP="00994F64">
      <w:pPr>
        <w:pStyle w:val="References"/>
      </w:pPr>
      <w:r w:rsidRPr="00261B7A">
        <w:rPr>
          <w:iCs/>
        </w:rPr>
        <w:t>Luo J, Saggar S, van der Weerden T, de Klein C. 2019. Quantification of nitrous oxide emissions and emission factors from beef and dairy cattle excreta deposited on grazed pastoral hill lands</w:t>
      </w:r>
      <w:r w:rsidRPr="00261B7A">
        <w:t xml:space="preserve">. </w:t>
      </w:r>
      <w:r w:rsidRPr="00261B7A">
        <w:rPr>
          <w:i/>
          <w:iCs/>
        </w:rPr>
        <w:t>Agriculture, Ecosystems &amp; Environment</w:t>
      </w:r>
      <w:r w:rsidRPr="00261B7A">
        <w:t xml:space="preserve"> 270–271: 103–113.</w:t>
      </w:r>
    </w:p>
    <w:p w14:paraId="2C5E7D63" w14:textId="77777777" w:rsidR="00994F64" w:rsidRPr="00261B7A" w:rsidRDefault="00994F64" w:rsidP="00994F64">
      <w:pPr>
        <w:pStyle w:val="References"/>
      </w:pPr>
      <w:r w:rsidRPr="00261B7A">
        <w:t xml:space="preserve">Marsden KA, Holmberg JA, Jones DL, Chadwick DR. 2018. </w:t>
      </w:r>
      <w:r w:rsidRPr="00261B7A">
        <w:rPr>
          <w:iCs/>
        </w:rPr>
        <w:t>Sheep urine patch N</w:t>
      </w:r>
      <w:r w:rsidRPr="00261B7A">
        <w:rPr>
          <w:iCs/>
          <w:vertAlign w:val="subscript"/>
        </w:rPr>
        <w:t>2</w:t>
      </w:r>
      <w:r w:rsidRPr="00261B7A">
        <w:rPr>
          <w:iCs/>
        </w:rPr>
        <w:t>O emissions are lower from extensively-managed than intensively-managed grasslands</w:t>
      </w:r>
      <w:r w:rsidRPr="00261B7A">
        <w:t xml:space="preserve">. </w:t>
      </w:r>
      <w:r w:rsidRPr="00261B7A">
        <w:rPr>
          <w:i/>
          <w:iCs/>
        </w:rPr>
        <w:t>Agriculture Ecosystems &amp; Environment</w:t>
      </w:r>
      <w:r w:rsidRPr="00261B7A">
        <w:t xml:space="preserve"> 265: 264–274.</w:t>
      </w:r>
    </w:p>
    <w:p w14:paraId="3FFD1881" w14:textId="77777777" w:rsidR="00994F64" w:rsidRPr="00261B7A" w:rsidRDefault="00994F64" w:rsidP="00994F64">
      <w:pPr>
        <w:pStyle w:val="References"/>
      </w:pPr>
      <w:r w:rsidRPr="00261B7A">
        <w:t xml:space="preserve">Ministry for the Environment. 2022. </w:t>
      </w:r>
      <w:r w:rsidRPr="00261B7A">
        <w:rPr>
          <w:i/>
        </w:rPr>
        <w:t xml:space="preserve">New Zealand’s </w:t>
      </w:r>
      <w:r w:rsidRPr="00261B7A">
        <w:rPr>
          <w:i/>
          <w:iCs/>
        </w:rPr>
        <w:t>Eighth</w:t>
      </w:r>
      <w:r w:rsidRPr="00261B7A">
        <w:rPr>
          <w:i/>
        </w:rPr>
        <w:t xml:space="preserve"> National Communication – Fulfilling reporting requirements under the United Nations Framework Convention on Climate Change and the Kyoto Protocol</w:t>
      </w:r>
      <w:r w:rsidRPr="00261B7A">
        <w:t xml:space="preserve">. Wellington: Ministry for the Environment. Retrieved from </w:t>
      </w:r>
      <w:hyperlink r:id="rId192" w:history="1">
        <w:r w:rsidRPr="00261B7A">
          <w:rPr>
            <w:rStyle w:val="Hyperlink"/>
          </w:rPr>
          <w:t>environment.govt.nz/assets/ publications/New-Zealands-Eighth-National-Communication.pdf</w:t>
        </w:r>
      </w:hyperlink>
      <w:r w:rsidRPr="00261B7A">
        <w:t xml:space="preserve"> (5 January 2022).</w:t>
      </w:r>
    </w:p>
    <w:p w14:paraId="6BA1E906" w14:textId="432EA711" w:rsidR="00994F64" w:rsidRPr="00261B7A" w:rsidRDefault="00994F64" w:rsidP="00994F64">
      <w:pPr>
        <w:pStyle w:val="References"/>
      </w:pPr>
      <w:r w:rsidRPr="00261B7A">
        <w:t xml:space="preserve">MPI (Ministry for Primary Industries). 2017. </w:t>
      </w:r>
      <w:r w:rsidRPr="00261B7A">
        <w:rPr>
          <w:i/>
          <w:iCs/>
        </w:rPr>
        <w:t>Analysis of supplemental feed use in the New Zealand sheep industry</w:t>
      </w:r>
      <w:r w:rsidRPr="00261B7A">
        <w:t xml:space="preserve">. MPI Technical Paper 2017/57. Prepared for the Ministry for Primary Industries by AbacusBio Limited. Wellington: Ministry for Primary Industries. Retrieved from </w:t>
      </w:r>
      <w:hyperlink r:id="rId193" w:history="1">
        <w:r w:rsidR="00372022" w:rsidRPr="00372022">
          <w:rPr>
            <w:rStyle w:val="Hyperlink"/>
          </w:rPr>
          <w:t>mpi.govt.nz/dmsdocument/20909-analysis-of-supplemental-feed-use-in-the-new-zealand-sheep-industry</w:t>
        </w:r>
      </w:hyperlink>
      <w:r w:rsidR="00372022">
        <w:t xml:space="preserve"> </w:t>
      </w:r>
      <w:r w:rsidRPr="00261B7A">
        <w:t>(17 February 2023).</w:t>
      </w:r>
    </w:p>
    <w:p w14:paraId="3D75750E" w14:textId="56841489" w:rsidR="00994F64" w:rsidRPr="00261B7A" w:rsidRDefault="00994F64" w:rsidP="00994F64">
      <w:pPr>
        <w:pStyle w:val="References"/>
      </w:pPr>
      <w:r w:rsidRPr="00261B7A">
        <w:t xml:space="preserve">MPI. 2018. </w:t>
      </w:r>
      <w:r w:rsidRPr="00261B7A">
        <w:rPr>
          <w:i/>
          <w:iCs/>
        </w:rPr>
        <w:t>Supplementary feed use in the beef industry</w:t>
      </w:r>
      <w:r w:rsidRPr="00261B7A">
        <w:t xml:space="preserve">. MPI Technical Paper No: 2018/71. Prepared for the Ministry for Primary Industries by AbacusBio Limited. Wellington: Ministry for Primary Industries. Retrieved from </w:t>
      </w:r>
      <w:hyperlink r:id="rId194" w:history="1">
        <w:r w:rsidR="00AD0900">
          <w:rPr>
            <w:rStyle w:val="Hyperlink"/>
          </w:rPr>
          <w:t>mpi.govt.nz/dmsdocument/32857-Supplementary-Feed-use-in-the-Beef-Industry</w:t>
        </w:r>
      </w:hyperlink>
      <w:r w:rsidRPr="00261B7A">
        <w:t xml:space="preserve"> (17</w:t>
      </w:r>
      <w:r w:rsidR="00AD0900">
        <w:t> </w:t>
      </w:r>
      <w:r w:rsidRPr="00261B7A">
        <w:t>February 2023).</w:t>
      </w:r>
      <w:r w:rsidR="00CA3048">
        <w:t xml:space="preserve"> </w:t>
      </w:r>
    </w:p>
    <w:p w14:paraId="5E1866E3" w14:textId="5A848170" w:rsidR="00994F64" w:rsidRPr="00261B7A" w:rsidRDefault="00994F64" w:rsidP="00994F64">
      <w:pPr>
        <w:pStyle w:val="References"/>
      </w:pPr>
      <w:r w:rsidRPr="00261B7A">
        <w:t xml:space="preserve">MPI. 2019. </w:t>
      </w:r>
      <w:r w:rsidRPr="00261B7A">
        <w:rPr>
          <w:i/>
          <w:iCs/>
        </w:rPr>
        <w:t>Feed Consumed by NZ Dairy Cows: An update of feed volumes consumed by New Zealand dairy cows nationally and regionally since 1990-91</w:t>
      </w:r>
      <w:r w:rsidRPr="00261B7A">
        <w:t xml:space="preserve">. Report prepared for the Ministry for Primary Industries by DairyNZ Economics Group. Wellington: Ministry for Primary Industries. Retrieved from </w:t>
      </w:r>
      <w:hyperlink r:id="rId195" w:history="1">
        <w:r w:rsidR="00AD0900">
          <w:rPr>
            <w:rStyle w:val="Hyperlink"/>
          </w:rPr>
          <w:t>mpi.govt.nz/dmsdocument/46231-Feed-Consumed-by-NZ-Dairy-Cows</w:t>
        </w:r>
      </w:hyperlink>
      <w:r w:rsidRPr="00261B7A">
        <w:t xml:space="preserve"> (14 February 2023).</w:t>
      </w:r>
    </w:p>
    <w:p w14:paraId="692FF345" w14:textId="019FAFCD" w:rsidR="00994F64" w:rsidRPr="00261B7A" w:rsidRDefault="00994F64" w:rsidP="00994F64">
      <w:pPr>
        <w:pStyle w:val="References"/>
      </w:pPr>
      <w:r w:rsidRPr="00261B7A">
        <w:t xml:space="preserve">MPI. 2022. </w:t>
      </w:r>
      <w:r w:rsidRPr="00261B7A">
        <w:rPr>
          <w:i/>
        </w:rPr>
        <w:t>Livestock slaughter statistics for sheep, cattle, goats, horses and pigs</w:t>
      </w:r>
      <w:r w:rsidRPr="00261B7A">
        <w:t xml:space="preserve">. Retrieved from </w:t>
      </w:r>
      <w:hyperlink r:id="rId196" w:history="1">
        <w:r w:rsidR="006A7CCB">
          <w:rPr>
            <w:rStyle w:val="Hyperlink"/>
            <w:szCs w:val="20"/>
          </w:rPr>
          <w:t>mpi.govt.nz/resources-and-forms/economic-intelligence/data</w:t>
        </w:r>
      </w:hyperlink>
      <w:r w:rsidRPr="00261B7A">
        <w:t xml:space="preserve"> (9 December 2022).</w:t>
      </w:r>
    </w:p>
    <w:p w14:paraId="6F9491FA" w14:textId="77777777" w:rsidR="00994F64" w:rsidRPr="00261B7A" w:rsidRDefault="00994F64" w:rsidP="00994F64">
      <w:pPr>
        <w:pStyle w:val="References"/>
      </w:pPr>
      <w:r w:rsidRPr="00261B7A">
        <w:t xml:space="preserve">Muir PD, Thomson BC, Askin DC. 2008. </w:t>
      </w:r>
      <w:r w:rsidRPr="00261B7A">
        <w:rPr>
          <w:i/>
          <w:iCs/>
        </w:rPr>
        <w:t>A Review of Dressing Out Percentage in New Zealand Livestock</w:t>
      </w:r>
      <w:r w:rsidRPr="00261B7A">
        <w:t>. Report prepared for the Ministry of Agriculture and Forestry by On-Farm Research and Kilu Consulting. Wellington: Ministry of Agriculture and Forestry.</w:t>
      </w:r>
    </w:p>
    <w:p w14:paraId="31B123F3" w14:textId="77777777" w:rsidR="00994F64" w:rsidRPr="00261B7A" w:rsidRDefault="00994F64" w:rsidP="00994F64">
      <w:pPr>
        <w:pStyle w:val="References"/>
      </w:pPr>
      <w:r w:rsidRPr="00261B7A">
        <w:t xml:space="preserve">Muir PD, Thomson BC. 2010. </w:t>
      </w:r>
      <w:r w:rsidRPr="00261B7A">
        <w:rPr>
          <w:i/>
          <w:iCs/>
        </w:rPr>
        <w:t>Better Estimation of National Ewe and Beef Cow Liveweights</w:t>
      </w:r>
      <w:r w:rsidRPr="00261B7A">
        <w:t>. Report prepared for the Ministry of Agriculture and Forestry by On-Farm Research. Wellington: Ministry of Agriculture and Forestry.</w:t>
      </w:r>
    </w:p>
    <w:p w14:paraId="73BCEC21" w14:textId="77777777" w:rsidR="00994F64" w:rsidRPr="00261B7A" w:rsidRDefault="00994F64" w:rsidP="00994F64">
      <w:pPr>
        <w:pStyle w:val="References"/>
      </w:pPr>
      <w:r w:rsidRPr="00261B7A">
        <w:t xml:space="preserve">Muller C, Sherlock RR, Williams PH. 1995. </w:t>
      </w:r>
      <w:r w:rsidRPr="00261B7A">
        <w:rPr>
          <w:iCs/>
        </w:rPr>
        <w:t>Direct field measurements of nitrous oxide emissions from urine-affected and urine-unaffected pasture in Canterbury</w:t>
      </w:r>
      <w:r w:rsidRPr="00261B7A">
        <w:t xml:space="preserve">. In: </w:t>
      </w:r>
      <w:r w:rsidRPr="00261B7A">
        <w:rPr>
          <w:i/>
          <w:iCs/>
        </w:rPr>
        <w:t>Proceedings of the Workshop on Fertilizer Requirements of Grazed Pasture and Field Crops: Macro and Micronutrients</w:t>
      </w:r>
      <w:r w:rsidRPr="00261B7A">
        <w:t>. Currie LD, Loganathan P (eds). Occasional Report No. 8. Palmerston North: Massey University. pp 243–34.</w:t>
      </w:r>
    </w:p>
    <w:p w14:paraId="31BB9970" w14:textId="77777777" w:rsidR="00994F64" w:rsidRPr="00261B7A" w:rsidRDefault="00994F64" w:rsidP="00994F64">
      <w:pPr>
        <w:pStyle w:val="References"/>
      </w:pPr>
      <w:r w:rsidRPr="00261B7A">
        <w:t xml:space="preserve">Pacheco D, Waghorn G, Rollo M. 2018. </w:t>
      </w:r>
      <w:r w:rsidRPr="00261B7A">
        <w:rPr>
          <w:i/>
          <w:iCs/>
        </w:rPr>
        <w:t>Methodology for Splitting Nitrogen between Livestock Dung and Urine</w:t>
      </w:r>
      <w:r w:rsidRPr="00261B7A">
        <w:t>. Report prepared for the Ministry for Primary Industries by AgResearch. Wellington: Ministry for Primary Industries.</w:t>
      </w:r>
    </w:p>
    <w:p w14:paraId="04FA2373" w14:textId="3D752F57" w:rsidR="00994F64" w:rsidRPr="00261B7A" w:rsidRDefault="00994F64" w:rsidP="00994F64">
      <w:pPr>
        <w:pStyle w:val="References"/>
      </w:pPr>
      <w:r w:rsidRPr="00261B7A">
        <w:t xml:space="preserve">Pickering A, Gibbs J, Wear S, Fick J, Tomlin H. 2022. </w:t>
      </w:r>
      <w:r w:rsidRPr="00261B7A">
        <w:rPr>
          <w:i/>
          <w:iCs/>
        </w:rPr>
        <w:t>Methodology for Calculation of New Zealand’s Agricultural Greenhouse Gas Emissions</w:t>
      </w:r>
      <w:r w:rsidRPr="00261B7A">
        <w:t xml:space="preserve">. Version 8. Wellington: Ministry for Primary Industries. Retrieved from </w:t>
      </w:r>
      <w:hyperlink r:id="rId197" w:history="1">
        <w:r w:rsidR="00E0223C">
          <w:rPr>
            <w:rStyle w:val="Hyperlink"/>
          </w:rPr>
          <w:t>mpi.govt.nz/dmsdocument/13906-Detailed-methodologies-for-agricultural-greenhouse-gas-emission-calculation</w:t>
        </w:r>
      </w:hyperlink>
      <w:r w:rsidRPr="00261B7A">
        <w:t xml:space="preserve"> (13 February 2023).</w:t>
      </w:r>
    </w:p>
    <w:p w14:paraId="0B2EAA61" w14:textId="77777777" w:rsidR="00994F64" w:rsidRPr="00261B7A" w:rsidRDefault="00994F64" w:rsidP="00994F64">
      <w:pPr>
        <w:pStyle w:val="References"/>
      </w:pPr>
      <w:r w:rsidRPr="00261B7A">
        <w:t xml:space="preserve">Pinares-Patino CS, Ulyatt MJ, Waghorn GC, Lassey KR, Barry TN, Holmes CW, Johnson DE. 2003. </w:t>
      </w:r>
      <w:r w:rsidRPr="00261B7A">
        <w:rPr>
          <w:iCs/>
        </w:rPr>
        <w:t>Methane emission by alpaca and sheep fed on lucerne hay or grazed on pastures of perennial ryegrass/white clover or birdsfoot trefoil</w:t>
      </w:r>
      <w:r w:rsidRPr="00261B7A">
        <w:t xml:space="preserve">. </w:t>
      </w:r>
      <w:r w:rsidRPr="00261B7A">
        <w:rPr>
          <w:i/>
          <w:iCs/>
        </w:rPr>
        <w:t>Journal of Agricultural Science</w:t>
      </w:r>
      <w:r w:rsidRPr="00261B7A">
        <w:t xml:space="preserve"> 140: 215–226.</w:t>
      </w:r>
    </w:p>
    <w:p w14:paraId="184AF62D" w14:textId="77777777" w:rsidR="00994F64" w:rsidRPr="00261B7A" w:rsidRDefault="00994F64" w:rsidP="00994F64">
      <w:pPr>
        <w:pStyle w:val="References"/>
      </w:pPr>
      <w:r w:rsidRPr="00261B7A">
        <w:t xml:space="preserve">Pratt C, Walcroft A, Shilton A, Guieysse B, Chung M, Craggs R, Heubeck S. 2012. </w:t>
      </w:r>
      <w:r w:rsidRPr="00261B7A">
        <w:rPr>
          <w:i/>
          <w:iCs/>
        </w:rPr>
        <w:t>Revised Methane Emission Factors and Parameters for Dairy Effluent Ponds</w:t>
      </w:r>
      <w:r w:rsidRPr="00261B7A">
        <w:t>. Report prepared for the Ministry for Primary Industries by Landcare Research, Massey University and the National Institute of Water and Atmospheric Research. Wellington: Ministry for Primary Industries.</w:t>
      </w:r>
    </w:p>
    <w:p w14:paraId="0ED2D2E6" w14:textId="77777777" w:rsidR="00994F64" w:rsidRPr="00261B7A" w:rsidRDefault="00994F64" w:rsidP="00994F64">
      <w:pPr>
        <w:pStyle w:val="References"/>
      </w:pPr>
      <w:r w:rsidRPr="00261B7A">
        <w:t xml:space="preserve">Rollo M, Ledgard S, Longhurst B. 2017. </w:t>
      </w:r>
      <w:r w:rsidRPr="00261B7A">
        <w:rPr>
          <w:i/>
          <w:iCs/>
        </w:rPr>
        <w:t>Final Report: Trends in Dairy Effluent Management</w:t>
      </w:r>
      <w:r w:rsidRPr="00261B7A">
        <w:t>. Report prepared for the Ministry for Primary Industries by AgResearch. Wellington: Ministry for Primary Industries.</w:t>
      </w:r>
    </w:p>
    <w:p w14:paraId="48F17E06" w14:textId="77777777" w:rsidR="00994F64" w:rsidRPr="00261B7A" w:rsidRDefault="00994F64" w:rsidP="00994F64">
      <w:pPr>
        <w:pStyle w:val="References"/>
      </w:pPr>
      <w:r w:rsidRPr="00261B7A">
        <w:t xml:space="preserve">Saggar S, Clark H, Hedley C, Tate K, Carran A, Cosgrove G. Unpublished. </w:t>
      </w:r>
      <w:r w:rsidRPr="00261B7A">
        <w:rPr>
          <w:iCs/>
        </w:rPr>
        <w:t>Methane Emissions from Animal Dung and Waste Management Systems, and its Contribution to National Methane Budget.</w:t>
      </w:r>
      <w:r w:rsidRPr="00261B7A">
        <w:t xml:space="preserve"> Landcare Research Contract Report: LC0301/02. Prepared for the Ministry of Agriculture and Forestry by Landcare Research in 2003.</w:t>
      </w:r>
    </w:p>
    <w:p w14:paraId="737C760E" w14:textId="77777777" w:rsidR="00994F64" w:rsidRPr="00261B7A" w:rsidRDefault="00994F64" w:rsidP="00994F64">
      <w:pPr>
        <w:spacing w:after="120"/>
        <w:rPr>
          <w:sz w:val="20"/>
          <w:szCs w:val="20"/>
        </w:rPr>
      </w:pPr>
      <w:r w:rsidRPr="00261B7A">
        <w:rPr>
          <w:sz w:val="20"/>
          <w:szCs w:val="20"/>
        </w:rPr>
        <w:t xml:space="preserve">Saggar S, Giltrap DL, Davison R, Gibson R, de Klein C, Rollo M, Ettema P, Rys G. 2015. </w:t>
      </w:r>
      <w:r w:rsidRPr="00261B7A">
        <w:rPr>
          <w:iCs/>
          <w:sz w:val="20"/>
        </w:rPr>
        <w:t>Estimating direct N</w:t>
      </w:r>
      <w:r w:rsidRPr="00261B7A">
        <w:rPr>
          <w:iCs/>
          <w:sz w:val="20"/>
          <w:vertAlign w:val="subscript"/>
        </w:rPr>
        <w:t>2</w:t>
      </w:r>
      <w:r w:rsidRPr="00261B7A">
        <w:rPr>
          <w:iCs/>
          <w:sz w:val="20"/>
        </w:rPr>
        <w:t>O emissions from sheep, beef, and deer grazed pastures in New Zealand hill country: Accounting for the effect of land slope on the N</w:t>
      </w:r>
      <w:r w:rsidRPr="00261B7A">
        <w:rPr>
          <w:iCs/>
          <w:sz w:val="20"/>
          <w:vertAlign w:val="subscript"/>
        </w:rPr>
        <w:t>2</w:t>
      </w:r>
      <w:r w:rsidRPr="00261B7A">
        <w:rPr>
          <w:iCs/>
          <w:sz w:val="20"/>
        </w:rPr>
        <w:t>O emission factors from urine and dung</w:t>
      </w:r>
      <w:r w:rsidRPr="00261B7A">
        <w:rPr>
          <w:sz w:val="20"/>
          <w:szCs w:val="20"/>
        </w:rPr>
        <w:t xml:space="preserve">. </w:t>
      </w:r>
      <w:r w:rsidRPr="00261B7A">
        <w:rPr>
          <w:i/>
          <w:iCs/>
          <w:sz w:val="20"/>
        </w:rPr>
        <w:t>Agriculture Ecosystems &amp; Environment</w:t>
      </w:r>
      <w:r w:rsidRPr="00261B7A">
        <w:rPr>
          <w:sz w:val="20"/>
          <w:szCs w:val="20"/>
        </w:rPr>
        <w:t xml:space="preserve"> 205: 70–78.</w:t>
      </w:r>
    </w:p>
    <w:p w14:paraId="08C9FB0A" w14:textId="77777777" w:rsidR="00994F64" w:rsidRPr="00261B7A" w:rsidRDefault="00994F64" w:rsidP="00994F64">
      <w:pPr>
        <w:pStyle w:val="References"/>
      </w:pPr>
      <w:r w:rsidRPr="00261B7A">
        <w:t xml:space="preserve">Saggar S, Singh J, Giltrap DL, Zaman M, Luo J, Rollo M, Kim D-G, Rys G, van der Weerden TJ. 2013. </w:t>
      </w:r>
      <w:r w:rsidRPr="00261B7A">
        <w:rPr>
          <w:iCs/>
        </w:rPr>
        <w:t>Quantification of reductions in ammonia emissions from fertiliser urea and animal urine in grazed pastures with urease inhibitors for Agriculture inventory: New Zealand as a case study</w:t>
      </w:r>
      <w:r w:rsidRPr="00261B7A">
        <w:t xml:space="preserve">. </w:t>
      </w:r>
      <w:r w:rsidRPr="00261B7A">
        <w:rPr>
          <w:i/>
          <w:iCs/>
        </w:rPr>
        <w:t>Science of the Total Environment</w:t>
      </w:r>
      <w:r w:rsidRPr="00261B7A">
        <w:t xml:space="preserve"> 465: 136–146.</w:t>
      </w:r>
    </w:p>
    <w:p w14:paraId="47B05D2A" w14:textId="77777777" w:rsidR="00994F64" w:rsidRPr="00261B7A" w:rsidRDefault="00994F64" w:rsidP="00994F64">
      <w:pPr>
        <w:pStyle w:val="References"/>
      </w:pPr>
      <w:r w:rsidRPr="00261B7A">
        <w:t>Sangster C. 2022.</w:t>
      </w:r>
      <w:r w:rsidRPr="00261B7A">
        <w:rPr>
          <w:i/>
          <w:iCs/>
        </w:rPr>
        <w:t xml:space="preserve"> Inclusion of supplementary feed in the Agricultural Inventory Model, for dairy, sheep, and beef.</w:t>
      </w:r>
      <w:r w:rsidRPr="00261B7A">
        <w:t xml:space="preserve"> Final report prepared for the Ministry for Primary Industries. Wellington: Ministry for Primary Industries. </w:t>
      </w:r>
    </w:p>
    <w:p w14:paraId="53F2E661" w14:textId="77777777" w:rsidR="00994F64" w:rsidRPr="00261B7A" w:rsidRDefault="00994F64" w:rsidP="00994F64">
      <w:pPr>
        <w:pStyle w:val="References"/>
      </w:pPr>
      <w:r w:rsidRPr="00261B7A">
        <w:t>Sherlock RR, de Klein C, Li Z. Unpublished</w:t>
      </w:r>
      <w:r w:rsidRPr="00261B7A">
        <w:rPr>
          <w:iCs/>
        </w:rPr>
        <w:t>. Determination of N</w:t>
      </w:r>
      <w:r w:rsidRPr="00261B7A">
        <w:rPr>
          <w:iCs/>
          <w:vertAlign w:val="subscript"/>
        </w:rPr>
        <w:t>2</w:t>
      </w:r>
      <w:r w:rsidRPr="00261B7A">
        <w:rPr>
          <w:iCs/>
        </w:rPr>
        <w:t>O and CH</w:t>
      </w:r>
      <w:r w:rsidRPr="00261B7A">
        <w:rPr>
          <w:iCs/>
          <w:vertAlign w:val="subscript"/>
        </w:rPr>
        <w:t>4</w:t>
      </w:r>
      <w:r w:rsidRPr="00261B7A">
        <w:rPr>
          <w:iCs/>
        </w:rPr>
        <w:t xml:space="preserve"> Emission Factors from Animal Excreta, following a Summer Application in Three Regions of New Zealand.</w:t>
      </w:r>
      <w:r w:rsidRPr="00261B7A">
        <w:t xml:space="preserve"> A final report of an NzOnet study prepared for the Ministry of Agriculture and Forestry by Landcare Research, AgResearch and Lincoln University in 2003.</w:t>
      </w:r>
    </w:p>
    <w:p w14:paraId="287CF414" w14:textId="77777777" w:rsidR="00994F64" w:rsidRPr="00261B7A" w:rsidRDefault="00994F64" w:rsidP="00994F64">
      <w:pPr>
        <w:pStyle w:val="References"/>
      </w:pPr>
      <w:r w:rsidRPr="00261B7A">
        <w:rPr>
          <w:spacing w:val="-2"/>
        </w:rPr>
        <w:t xml:space="preserve">Sherlock RR, Jewell P, Clough T. 2008. </w:t>
      </w:r>
      <w:r w:rsidRPr="00261B7A">
        <w:rPr>
          <w:i/>
          <w:iCs/>
          <w:spacing w:val="-2"/>
        </w:rPr>
        <w:t>Review of New Zealand Specific Frac</w:t>
      </w:r>
      <w:r w:rsidRPr="00261B7A">
        <w:rPr>
          <w:i/>
          <w:spacing w:val="-2"/>
          <w:vertAlign w:val="subscript"/>
        </w:rPr>
        <w:t>GASM</w:t>
      </w:r>
      <w:r w:rsidRPr="00261B7A">
        <w:rPr>
          <w:i/>
          <w:iCs/>
          <w:spacing w:val="-2"/>
        </w:rPr>
        <w:t xml:space="preserve"> and Frac</w:t>
      </w:r>
      <w:r w:rsidRPr="00261B7A">
        <w:rPr>
          <w:i/>
          <w:spacing w:val="-2"/>
          <w:vertAlign w:val="subscript"/>
        </w:rPr>
        <w:t>GASF</w:t>
      </w:r>
      <w:r w:rsidRPr="00261B7A">
        <w:rPr>
          <w:i/>
          <w:iCs/>
          <w:spacing w:val="-2"/>
        </w:rPr>
        <w:t xml:space="preserve"> Emissions</w:t>
      </w:r>
      <w:r w:rsidRPr="00261B7A">
        <w:rPr>
          <w:i/>
          <w:iCs/>
        </w:rPr>
        <w:t xml:space="preserve"> Factors</w:t>
      </w:r>
      <w:r w:rsidRPr="00261B7A">
        <w:t>. Report prepared for the Ministry of Agriculture and Forestry by Landcare Research and AgResearch. Wellington: Ministry of Agriculture and Forestry.</w:t>
      </w:r>
    </w:p>
    <w:p w14:paraId="5CAC58C3" w14:textId="77777777" w:rsidR="00994F64" w:rsidRPr="00261B7A" w:rsidRDefault="00994F64" w:rsidP="00994F64">
      <w:pPr>
        <w:pStyle w:val="References"/>
      </w:pPr>
      <w:r w:rsidRPr="00261B7A">
        <w:t xml:space="preserve">Statistics New Zealand (Stats NZ). 2017. </w:t>
      </w:r>
      <w:r w:rsidRPr="00261B7A">
        <w:rPr>
          <w:i/>
          <w:iCs/>
        </w:rPr>
        <w:t>Agricultural Production Census: June 2017 (Final)</w:t>
      </w:r>
      <w:r w:rsidRPr="00261B7A">
        <w:t xml:space="preserve">. Retrieved from </w:t>
      </w:r>
      <w:hyperlink r:id="rId198" w:history="1">
        <w:r w:rsidRPr="00261B7A">
          <w:rPr>
            <w:rStyle w:val="Hyperlink"/>
          </w:rPr>
          <w:t>www.stats.govt.nz/information-releases/agricultural-production-statistics-june-2017-final</w:t>
        </w:r>
      </w:hyperlink>
      <w:r w:rsidRPr="00261B7A">
        <w:t xml:space="preserve"> (5 January 2022).</w:t>
      </w:r>
    </w:p>
    <w:p w14:paraId="5AD62534" w14:textId="77777777" w:rsidR="00994F64" w:rsidRPr="00261B7A" w:rsidRDefault="00994F64" w:rsidP="00994F64">
      <w:pPr>
        <w:pStyle w:val="References"/>
      </w:pPr>
      <w:r w:rsidRPr="00261B7A">
        <w:t xml:space="preserve">Stats NZ. 2022. </w:t>
      </w:r>
      <w:r w:rsidRPr="00261B7A">
        <w:rPr>
          <w:i/>
          <w:iCs/>
        </w:rPr>
        <w:t>Infoshare database</w:t>
      </w:r>
      <w:r w:rsidRPr="00261B7A">
        <w:t xml:space="preserve">. Retrieved from </w:t>
      </w:r>
      <w:hyperlink r:id="rId199" w:history="1">
        <w:r w:rsidRPr="00261B7A">
          <w:rPr>
            <w:rStyle w:val="Hyperlink"/>
          </w:rPr>
          <w:t>www.stats.govt.nz/infoshare</w:t>
        </w:r>
      </w:hyperlink>
      <w:r w:rsidRPr="00261B7A">
        <w:t xml:space="preserve"> (5 January 2022).</w:t>
      </w:r>
    </w:p>
    <w:p w14:paraId="645E1919" w14:textId="77777777" w:rsidR="00994F64" w:rsidRPr="00261B7A" w:rsidRDefault="00994F64" w:rsidP="00994F64">
      <w:pPr>
        <w:pStyle w:val="References"/>
      </w:pPr>
      <w:r w:rsidRPr="00261B7A">
        <w:t xml:space="preserve">Suttie J. 2012. </w:t>
      </w:r>
      <w:r w:rsidRPr="00261B7A">
        <w:rPr>
          <w:i/>
          <w:iCs/>
        </w:rPr>
        <w:t>Report to the Deer Industry New Zealand: Estimation of Deer Population and Productivity Data 1990 to 2012</w:t>
      </w:r>
      <w:r w:rsidRPr="00261B7A">
        <w:t xml:space="preserve">. Dunedin: Suttie Consulting Limited. </w:t>
      </w:r>
    </w:p>
    <w:p w14:paraId="08F5D2CA" w14:textId="77777777" w:rsidR="00994F64" w:rsidRPr="00261B7A" w:rsidRDefault="00994F64" w:rsidP="00994F64">
      <w:pPr>
        <w:pStyle w:val="References"/>
      </w:pPr>
      <w:r w:rsidRPr="00261B7A">
        <w:t xml:space="preserve">Swainson, N, Muetzel, S, Clark, H. 2016. </w:t>
      </w:r>
      <w:r w:rsidRPr="00261B7A">
        <w:rPr>
          <w:iCs/>
        </w:rPr>
        <w:t>Updated predictions of enteric methane emissions from sheep suitable for use in the New Zealand national greenhouse gas inventory</w:t>
      </w:r>
      <w:r w:rsidRPr="00261B7A">
        <w:t xml:space="preserve">. </w:t>
      </w:r>
      <w:r w:rsidRPr="00261B7A">
        <w:rPr>
          <w:i/>
          <w:iCs/>
        </w:rPr>
        <w:t>Animal Production Science</w:t>
      </w:r>
      <w:r w:rsidRPr="00261B7A">
        <w:t xml:space="preserve"> 58: 973–979. Retrieved from </w:t>
      </w:r>
      <w:hyperlink r:id="rId200" w:history="1">
        <w:r w:rsidRPr="00261B7A">
          <w:rPr>
            <w:rStyle w:val="Hyperlink"/>
          </w:rPr>
          <w:t>www.publish.csiro.au/AN/AN15766</w:t>
        </w:r>
      </w:hyperlink>
      <w:r w:rsidRPr="00261B7A">
        <w:t xml:space="preserve"> (5 January 2022).</w:t>
      </w:r>
    </w:p>
    <w:p w14:paraId="59A448C7" w14:textId="77777777" w:rsidR="00994F64" w:rsidRPr="00261B7A" w:rsidRDefault="00994F64" w:rsidP="00994F64">
      <w:pPr>
        <w:pStyle w:val="References"/>
      </w:pPr>
      <w:r w:rsidRPr="00261B7A">
        <w:t xml:space="preserve">Thomas S, Hume E, Fraser T Curtin D. 2011. </w:t>
      </w:r>
      <w:r w:rsidRPr="00261B7A">
        <w:rPr>
          <w:i/>
          <w:iCs/>
        </w:rPr>
        <w:t>Factors and Activity Data to Estimate Nitrous Oxide Emissions from Cropping Systems, and Stubble and Tussock Burning</w:t>
      </w:r>
      <w:r w:rsidRPr="00261B7A">
        <w:t xml:space="preserve">. Technical paper no. 2012/16. Report prepared for the Ministry of Agriculture and Forestry by Plant and Food Research (formerly Crop and Food Research). Wellington: Ministry of Agriculture and Forestry. </w:t>
      </w:r>
    </w:p>
    <w:p w14:paraId="0E88D961" w14:textId="77777777" w:rsidR="00994F64" w:rsidRPr="00261B7A" w:rsidRDefault="00994F64" w:rsidP="00994F64">
      <w:pPr>
        <w:pStyle w:val="References"/>
      </w:pPr>
      <w:r w:rsidRPr="00261B7A">
        <w:t xml:space="preserve">Thomas S, Wallace D, Beare M. 2014. </w:t>
      </w:r>
      <w:r w:rsidRPr="00261B7A">
        <w:rPr>
          <w:i/>
          <w:iCs/>
        </w:rPr>
        <w:t>Pasture Renewal Activity Data and Factors for New Zealand</w:t>
      </w:r>
      <w:r w:rsidRPr="00261B7A">
        <w:t>. Report prepared for the Ministry for Primary Industries by Plant and Food Research. Wellington: Ministry for Primary Industries.</w:t>
      </w:r>
    </w:p>
    <w:p w14:paraId="330824F9" w14:textId="77777777" w:rsidR="00994F64" w:rsidRPr="00261B7A" w:rsidRDefault="00994F64" w:rsidP="00994F64">
      <w:pPr>
        <w:pStyle w:val="References"/>
      </w:pPr>
      <w:r w:rsidRPr="00261B7A">
        <w:t xml:space="preserve">Thomas SM, Fraser T, Curtin D, Brown H, Lawrence E. 2008. </w:t>
      </w:r>
      <w:r w:rsidRPr="00261B7A">
        <w:rPr>
          <w:i/>
          <w:iCs/>
        </w:rPr>
        <w:t>Review of Nitrous Oxide Emission Factors and Activity Data for Crops</w:t>
      </w:r>
      <w:r w:rsidRPr="00261B7A">
        <w:t>. Report prepared for the Ministry of Agriculture and Forestry by Plant and Food Research. Wellington: Ministry of Agriculture and Forestry.</w:t>
      </w:r>
    </w:p>
    <w:p w14:paraId="5A7F29EA" w14:textId="77777777" w:rsidR="00994F64" w:rsidRPr="00261B7A" w:rsidRDefault="00994F64" w:rsidP="00994F64">
      <w:pPr>
        <w:pStyle w:val="References"/>
      </w:pPr>
      <w:r w:rsidRPr="00261B7A">
        <w:t xml:space="preserve">Thomas SM, Ledgard SF, Francis GS. 2005. </w:t>
      </w:r>
      <w:r w:rsidRPr="00261B7A">
        <w:rPr>
          <w:iCs/>
        </w:rPr>
        <w:t>Improving estimates of nitrate leaching for quantifying New Zealand’s indirect nitrous oxide emissions</w:t>
      </w:r>
      <w:r w:rsidRPr="00261B7A">
        <w:t xml:space="preserve">. </w:t>
      </w:r>
      <w:r w:rsidRPr="00261B7A">
        <w:rPr>
          <w:i/>
          <w:iCs/>
        </w:rPr>
        <w:t>Nutrient Cycling in Agroecosystems</w:t>
      </w:r>
      <w:r w:rsidRPr="00261B7A">
        <w:t xml:space="preserve"> 73: 213–226.</w:t>
      </w:r>
    </w:p>
    <w:p w14:paraId="5B77DE75" w14:textId="77777777" w:rsidR="00994F64" w:rsidRPr="00261B7A" w:rsidRDefault="00994F64" w:rsidP="00994F64">
      <w:pPr>
        <w:pStyle w:val="References"/>
      </w:pPr>
      <w:r w:rsidRPr="00261B7A">
        <w:t>Thomas T. Unpublished</w:t>
      </w:r>
      <w:r w:rsidRPr="00261B7A">
        <w:rPr>
          <w:iCs/>
        </w:rPr>
        <w:t>. Assessment of the Methodology of Potato Area and Yield Activity Estimations used in the NZ National GHG Inventory</w:t>
      </w:r>
      <w:r w:rsidRPr="00261B7A">
        <w:t>. Report prepared for the Ministry of Agriculture and Forestry by Plant and Food Research in 2010.</w:t>
      </w:r>
    </w:p>
    <w:p w14:paraId="209E104A" w14:textId="77777777" w:rsidR="00994F64" w:rsidRPr="00261B7A" w:rsidRDefault="00994F64" w:rsidP="00994F64">
      <w:pPr>
        <w:pStyle w:val="References"/>
      </w:pPr>
      <w:r w:rsidRPr="00261B7A">
        <w:t xml:space="preserve">Thomson BC, Muir PD, Davison R, Clark H. 2010. </w:t>
      </w:r>
      <w:r w:rsidRPr="00261B7A">
        <w:rPr>
          <w:i/>
          <w:iCs/>
        </w:rPr>
        <w:t>Review of Population Models within the National Methane Inventory (2010)</w:t>
      </w:r>
      <w:r w:rsidRPr="00261B7A">
        <w:t>. Technical paper prepared for the Ministry of Agriculture and Forestry by On</w:t>
      </w:r>
      <w:r w:rsidRPr="00261B7A">
        <w:rPr>
          <w:rFonts w:ascii="Cambria Math" w:hAnsi="Cambria Math" w:cs="Cambria Math"/>
        </w:rPr>
        <w:t>‑</w:t>
      </w:r>
      <w:r w:rsidRPr="00261B7A">
        <w:t>Farm Research (with cooperation by Meat and Wool New Zealand and AgResearch Ltd). Wellington: Ministry of Agriculture and Forestry.</w:t>
      </w:r>
    </w:p>
    <w:p w14:paraId="6AE39BEE" w14:textId="77777777" w:rsidR="00994F64" w:rsidRPr="00261B7A" w:rsidRDefault="00994F64" w:rsidP="00994F64">
      <w:pPr>
        <w:pStyle w:val="References"/>
      </w:pPr>
      <w:r w:rsidRPr="00261B7A">
        <w:t xml:space="preserve">Thomson BC, Ward KR, Muir PD. 2021. </w:t>
      </w:r>
      <w:r w:rsidRPr="00261B7A">
        <w:rPr>
          <w:i/>
          <w:iCs/>
        </w:rPr>
        <w:t>Purity of agricultural lime and dolomite used in New Zealand</w:t>
      </w:r>
      <w:r w:rsidRPr="00261B7A">
        <w:t>. Final report prepared for the Ministry for Primary Industries.</w:t>
      </w:r>
    </w:p>
    <w:p w14:paraId="38E1EA61" w14:textId="77777777" w:rsidR="00994F64" w:rsidRPr="00261B7A" w:rsidRDefault="00994F64" w:rsidP="00994F64">
      <w:pPr>
        <w:pStyle w:val="References"/>
      </w:pPr>
      <w:r w:rsidRPr="00261B7A">
        <w:t xml:space="preserve">Ulyatt MJ, Baker SK, McCrabb GJ, Lassey KR. 1999. </w:t>
      </w:r>
      <w:r w:rsidRPr="00261B7A">
        <w:rPr>
          <w:iCs/>
        </w:rPr>
        <w:t>Accuracy of the SF</w:t>
      </w:r>
      <w:r w:rsidRPr="00261B7A">
        <w:rPr>
          <w:iCs/>
          <w:vertAlign w:val="subscript"/>
        </w:rPr>
        <w:t>6</w:t>
      </w:r>
      <w:r w:rsidRPr="00261B7A">
        <w:rPr>
          <w:iCs/>
        </w:rPr>
        <w:t xml:space="preserve"> tracer technology and alternatives for field measurements</w:t>
      </w:r>
      <w:r w:rsidRPr="00261B7A">
        <w:t xml:space="preserve">. </w:t>
      </w:r>
      <w:r w:rsidRPr="00261B7A">
        <w:rPr>
          <w:i/>
          <w:iCs/>
        </w:rPr>
        <w:t>Australian Journal of Agricultural Research</w:t>
      </w:r>
      <w:r w:rsidRPr="00261B7A">
        <w:t xml:space="preserve"> 50: 1329–1334.</w:t>
      </w:r>
    </w:p>
    <w:p w14:paraId="4DE95AE3" w14:textId="77777777" w:rsidR="00994F64" w:rsidRPr="00261B7A" w:rsidRDefault="00994F64" w:rsidP="00994F64">
      <w:pPr>
        <w:pStyle w:val="References"/>
      </w:pPr>
      <w:r w:rsidRPr="00261B7A">
        <w:t xml:space="preserve">van der Weerden A, de Klein C, Kelliher F, Rollo M. 2014. </w:t>
      </w:r>
      <w:r w:rsidRPr="00261B7A">
        <w:rPr>
          <w:i/>
          <w:iCs/>
        </w:rPr>
        <w:t>Reporting to 2006 IPCC Guidelines for N</w:t>
      </w:r>
      <w:r w:rsidRPr="00261B7A">
        <w:rPr>
          <w:i/>
          <w:iCs/>
          <w:vertAlign w:val="subscript"/>
        </w:rPr>
        <w:t>2</w:t>
      </w:r>
      <w:r w:rsidRPr="00261B7A">
        <w:rPr>
          <w:i/>
          <w:iCs/>
        </w:rPr>
        <w:t>O Emissions from Additional Sources of Organic N: Final Report</w:t>
      </w:r>
      <w:r w:rsidRPr="00261B7A">
        <w:t>. MPI Technical Report. Wellington: Ministry for Primary Industries.</w:t>
      </w:r>
    </w:p>
    <w:p w14:paraId="0C509387" w14:textId="77777777" w:rsidR="00994F64" w:rsidRPr="00261B7A" w:rsidRDefault="00994F64" w:rsidP="00994F64">
      <w:pPr>
        <w:pStyle w:val="References"/>
      </w:pPr>
      <w:r w:rsidRPr="00261B7A">
        <w:t xml:space="preserve">van der Weerden T, Cox N, Luo J, Di HJ, Podolyan A, Phillips RL, Saggar S, de Klein CAM, Ettema P, Rys G. 2016a. </w:t>
      </w:r>
      <w:r w:rsidRPr="00261B7A">
        <w:rPr>
          <w:iCs/>
        </w:rPr>
        <w:t>Refining the New Zealand nitrous oxide emission factor for urea fertiliser and farm dairy effluent</w:t>
      </w:r>
      <w:r w:rsidRPr="00261B7A">
        <w:t xml:space="preserve">. </w:t>
      </w:r>
      <w:r w:rsidRPr="00261B7A">
        <w:rPr>
          <w:i/>
          <w:iCs/>
        </w:rPr>
        <w:t>Agriculture Ecosystems &amp; Environment</w:t>
      </w:r>
      <w:r w:rsidRPr="00261B7A">
        <w:t xml:space="preserve"> 222: 133–137.</w:t>
      </w:r>
    </w:p>
    <w:p w14:paraId="0A386C73" w14:textId="77777777" w:rsidR="00994F64" w:rsidRPr="00261B7A" w:rsidRDefault="00994F64" w:rsidP="00994F64">
      <w:pPr>
        <w:pStyle w:val="References"/>
      </w:pPr>
      <w:r w:rsidRPr="00261B7A">
        <w:t xml:space="preserve">van der Weerden T, Luo J, Cox N, Di HJ, Podolyan A, Phillips RL, Saggar S, de Klein CA, Ettema P, Rys G. 2016b. </w:t>
      </w:r>
      <w:r w:rsidRPr="00261B7A">
        <w:rPr>
          <w:iCs/>
        </w:rPr>
        <w:t>Nitrous oxide emissions from urea fertiliser and effluent with and without inhibitors applied to pasture</w:t>
      </w:r>
      <w:r w:rsidRPr="00261B7A">
        <w:t xml:space="preserve">. </w:t>
      </w:r>
      <w:r w:rsidRPr="00261B7A">
        <w:rPr>
          <w:i/>
          <w:iCs/>
        </w:rPr>
        <w:t>Agriculture Ecosystems &amp; Environment</w:t>
      </w:r>
      <w:r w:rsidRPr="00261B7A">
        <w:t xml:space="preserve"> 219: 58–70.</w:t>
      </w:r>
    </w:p>
    <w:p w14:paraId="31A5396A" w14:textId="77777777" w:rsidR="00994F64" w:rsidRPr="00261B7A" w:rsidRDefault="00994F64" w:rsidP="00994F64">
      <w:pPr>
        <w:pStyle w:val="References"/>
      </w:pPr>
      <w:r w:rsidRPr="00261B7A">
        <w:t xml:space="preserve">van der Weerden T, Noble A, Giltrap D, Luo S, Saggar S. 2019. </w:t>
      </w:r>
      <w:r w:rsidRPr="00261B7A">
        <w:rPr>
          <w:i/>
          <w:iCs/>
        </w:rPr>
        <w:t>Meta-analysis of nitrous oxide emission factors for excreta deposited onto pasture: Final report</w:t>
      </w:r>
      <w:r w:rsidRPr="00261B7A">
        <w:t>. MPI Technical Paper No: 2021/05. Report prepared for the Ministry for Primary Industries by AgResearch in 2019. Wellington: Ministry for Primary Industries.</w:t>
      </w:r>
    </w:p>
    <w:p w14:paraId="2A9875D8" w14:textId="77777777" w:rsidR="00994F64" w:rsidRPr="00261B7A" w:rsidRDefault="00994F64" w:rsidP="00994F64">
      <w:pPr>
        <w:pStyle w:val="References"/>
      </w:pPr>
      <w:r w:rsidRPr="00261B7A">
        <w:t>van der Weerden TJ, Luo J, de Klein CA, Hoogendoorn CJ, Littlejohn RP, Rys GJ. 2011</w:t>
      </w:r>
      <w:r w:rsidRPr="00261B7A">
        <w:rPr>
          <w:iCs/>
        </w:rPr>
        <w:t>. Disaggregating nitrous oxide emission factors for ruminant urine and dung deposited onto pastoral soils</w:t>
      </w:r>
      <w:r w:rsidRPr="00261B7A">
        <w:t xml:space="preserve">. </w:t>
      </w:r>
      <w:r w:rsidRPr="00261B7A">
        <w:rPr>
          <w:i/>
          <w:iCs/>
        </w:rPr>
        <w:t>Agriculture Ecosystems &amp; Environment</w:t>
      </w:r>
      <w:r w:rsidRPr="00261B7A">
        <w:t xml:space="preserve"> 141(3–4): 426–436.</w:t>
      </w:r>
    </w:p>
    <w:p w14:paraId="35EDAD3F" w14:textId="77777777" w:rsidR="00994F64" w:rsidRPr="00261B7A" w:rsidRDefault="00994F64" w:rsidP="00994F64">
      <w:pPr>
        <w:pStyle w:val="References"/>
      </w:pPr>
      <w:r w:rsidRPr="00261B7A">
        <w:t xml:space="preserve">van der Weerden TJ, Noble AN, Luo J, de Klein CAM, Saggar S, Giltrap D, Gibbs J, Rys G. 2020. </w:t>
      </w:r>
      <w:r w:rsidRPr="00261B7A">
        <w:rPr>
          <w:iCs/>
        </w:rPr>
        <w:t>Meta-analysis of New Zealand’s nitrous oxide emission factors for ruminant excreta supports disaggregation based on excreta form, livestock type and slope class.</w:t>
      </w:r>
      <w:r w:rsidRPr="00261B7A">
        <w:t xml:space="preserve"> </w:t>
      </w:r>
      <w:r w:rsidRPr="00261B7A">
        <w:rPr>
          <w:i/>
          <w:iCs/>
        </w:rPr>
        <w:t>Science of The Total Environment</w:t>
      </w:r>
      <w:r w:rsidRPr="00261B7A">
        <w:t xml:space="preserve"> 732. </w:t>
      </w:r>
    </w:p>
    <w:p w14:paraId="7A1C1230" w14:textId="77777777" w:rsidR="00994F64" w:rsidRPr="00261B7A" w:rsidRDefault="00994F64" w:rsidP="00994F64">
      <w:pPr>
        <w:pStyle w:val="References"/>
      </w:pPr>
      <w:r w:rsidRPr="00261B7A">
        <w:t xml:space="preserve">Waghorn G, Molano G, Cavanagh A. Unpublished(a). </w:t>
      </w:r>
      <w:r w:rsidRPr="00261B7A">
        <w:rPr>
          <w:iCs/>
        </w:rPr>
        <w:t>An Estimate of Whole Herd Methane Production from Cows at the Lincoln University Dairy Farm in October 2003</w:t>
      </w:r>
      <w:r w:rsidRPr="00261B7A">
        <w:t>. Final report prepared for Landcare Research NZ Ltd in 2003.</w:t>
      </w:r>
    </w:p>
    <w:p w14:paraId="21F2C682" w14:textId="77777777" w:rsidR="00994F64" w:rsidRPr="00261B7A" w:rsidRDefault="00994F64" w:rsidP="00994F64">
      <w:pPr>
        <w:pStyle w:val="References"/>
      </w:pPr>
      <w:r w:rsidRPr="00261B7A">
        <w:t xml:space="preserve">Waghorn G, Molano G, Lassey K. Unpublished(b). </w:t>
      </w:r>
      <w:r w:rsidRPr="00261B7A">
        <w:rPr>
          <w:iCs/>
        </w:rPr>
        <w:t>Estimates of Whole Herd Methane Production from Cows at the Lincoln University Dairy Farm in January and March 2002</w:t>
      </w:r>
      <w:r w:rsidRPr="00261B7A">
        <w:t>. A preliminary report prepared for Landcare Research NZ Ltd in 2002.</w:t>
      </w:r>
    </w:p>
    <w:p w14:paraId="79B6217F" w14:textId="77777777" w:rsidR="00994F64" w:rsidRPr="00261B7A" w:rsidRDefault="00994F64" w:rsidP="00994F64">
      <w:pPr>
        <w:pStyle w:val="References"/>
      </w:pPr>
      <w:r w:rsidRPr="00261B7A">
        <w:t xml:space="preserve">Welten B, Mercer G, Smith C, Sprosen M, Ledgard S. 2021. </w:t>
      </w:r>
      <w:r w:rsidRPr="00261B7A">
        <w:rPr>
          <w:i/>
          <w:iCs/>
        </w:rPr>
        <w:t>Refining estimates of nitrogen leaching for the New Zealand agricultural greenhouse gas inventory</w:t>
      </w:r>
      <w:r w:rsidRPr="00261B7A">
        <w:t xml:space="preserve">. Report prepared for the Ministry for Primary Industries. </w:t>
      </w:r>
    </w:p>
    <w:p w14:paraId="5B2FEEC9" w14:textId="77777777" w:rsidR="00994F64" w:rsidRPr="00261B7A" w:rsidRDefault="00994F64" w:rsidP="00994F64">
      <w:pPr>
        <w:pStyle w:val="References"/>
      </w:pPr>
      <w:r w:rsidRPr="00261B7A">
        <w:t xml:space="preserve">Wheeler DM, Ledgard SF, de Klein CAM, Monaghan PL, Carey PL, McDowell RW, Johns KL. 2003. </w:t>
      </w:r>
      <w:r w:rsidRPr="00261B7A">
        <w:rPr>
          <w:iCs/>
        </w:rPr>
        <w:t xml:space="preserve">OVERSEER® Nutrient budgets – moving towards on-farm resource accounting. In: </w:t>
      </w:r>
      <w:r w:rsidRPr="00261B7A">
        <w:rPr>
          <w:i/>
          <w:iCs/>
        </w:rPr>
        <w:t>Proceedings of the New Zealand Grassland Association 2003</w:t>
      </w:r>
      <w:r w:rsidRPr="00261B7A">
        <w:t>. Palmerston North: New Zealand Grassland Association Inc.</w:t>
      </w:r>
    </w:p>
    <w:p w14:paraId="33C578D9" w14:textId="77777777" w:rsidR="00032A4F" w:rsidRPr="00261B7A" w:rsidRDefault="00032A4F" w:rsidP="009F5DA6"/>
    <w:p w14:paraId="2B7B95B7" w14:textId="77777777" w:rsidR="00032A4F" w:rsidRPr="00261B7A" w:rsidRDefault="00032A4F" w:rsidP="009F5DA6"/>
    <w:p w14:paraId="11BB9469" w14:textId="77777777" w:rsidR="00032A4F" w:rsidRPr="00261B7A" w:rsidRDefault="00032A4F" w:rsidP="009F5DA6">
      <w:pPr>
        <w:sectPr w:rsidR="00032A4F" w:rsidRPr="00261B7A" w:rsidSect="0034058F">
          <w:footerReference w:type="even" r:id="rId201"/>
          <w:pgSz w:w="11907" w:h="16840" w:code="9"/>
          <w:pgMar w:top="1418" w:right="1701" w:bottom="1418" w:left="1701" w:header="567" w:footer="567" w:gutter="0"/>
          <w:cols w:space="720"/>
        </w:sectPr>
      </w:pPr>
    </w:p>
    <w:p w14:paraId="3687C3E8" w14:textId="77777777" w:rsidR="0010265C" w:rsidRPr="00261B7A" w:rsidRDefault="0010265C" w:rsidP="0010265C">
      <w:pPr>
        <w:pStyle w:val="Heading1"/>
      </w:pPr>
      <w:bookmarkStart w:id="1385" w:name="_Toc391024696"/>
      <w:bookmarkStart w:id="1386" w:name="_Toc414531313"/>
      <w:bookmarkStart w:id="1387" w:name="_Toc474335455"/>
      <w:bookmarkStart w:id="1388" w:name="_Toc481751395"/>
      <w:bookmarkStart w:id="1389" w:name="_Toc522013947"/>
      <w:bookmarkStart w:id="1390" w:name="_Toc5269372"/>
      <w:bookmarkStart w:id="1391" w:name="_Toc36224412"/>
      <w:bookmarkStart w:id="1392" w:name="_Toc131591247"/>
      <w:r w:rsidRPr="00261B7A">
        <w:t>Chapter 6: Land Use, Land-Use Change and Forestry (LULUCF)</w:t>
      </w:r>
      <w:bookmarkEnd w:id="1385"/>
      <w:bookmarkEnd w:id="1386"/>
      <w:bookmarkEnd w:id="1387"/>
      <w:bookmarkEnd w:id="1388"/>
      <w:bookmarkEnd w:id="1389"/>
      <w:bookmarkEnd w:id="1390"/>
      <w:bookmarkEnd w:id="1391"/>
      <w:bookmarkEnd w:id="1392"/>
    </w:p>
    <w:p w14:paraId="117360E5" w14:textId="77777777" w:rsidR="0010265C" w:rsidRPr="00261B7A" w:rsidRDefault="0010265C" w:rsidP="00E24718">
      <w:pPr>
        <w:pStyle w:val="Heading2"/>
        <w:spacing w:before="120"/>
      </w:pPr>
      <w:bookmarkStart w:id="1393" w:name="_Toc391024697"/>
      <w:bookmarkStart w:id="1394" w:name="_Toc414531314"/>
      <w:bookmarkStart w:id="1395" w:name="_Toc474335456"/>
      <w:bookmarkStart w:id="1396" w:name="_Toc481751396"/>
      <w:bookmarkStart w:id="1397" w:name="_Toc522013948"/>
      <w:bookmarkStart w:id="1398" w:name="_Toc5269373"/>
      <w:bookmarkStart w:id="1399" w:name="_Toc36224413"/>
      <w:bookmarkStart w:id="1400" w:name="_Toc131591248"/>
      <w:r w:rsidRPr="00261B7A">
        <w:t>6.1</w:t>
      </w:r>
      <w:r w:rsidRPr="00261B7A">
        <w:tab/>
        <w:t>Sector overview</w:t>
      </w:r>
      <w:bookmarkEnd w:id="1393"/>
      <w:bookmarkEnd w:id="1394"/>
      <w:bookmarkEnd w:id="1395"/>
      <w:bookmarkEnd w:id="1396"/>
      <w:bookmarkEnd w:id="1397"/>
      <w:bookmarkEnd w:id="1398"/>
      <w:bookmarkEnd w:id="1399"/>
      <w:bookmarkEnd w:id="1400"/>
    </w:p>
    <w:p w14:paraId="1258DADB" w14:textId="77777777" w:rsidR="0010265C" w:rsidRPr="00261B7A" w:rsidRDefault="0010265C" w:rsidP="0010265C">
      <w:pPr>
        <w:pStyle w:val="Heading4"/>
      </w:pPr>
      <w:r w:rsidRPr="00261B7A">
        <w:t>Net emissions summary</w:t>
      </w:r>
    </w:p>
    <w:p w14:paraId="75D0B6BB" w14:textId="77777777" w:rsidR="0010265C" w:rsidRPr="00261B7A" w:rsidRDefault="0010265C" w:rsidP="0010265C">
      <w:pPr>
        <w:pStyle w:val="Heading5"/>
        <w:spacing w:before="160"/>
      </w:pPr>
      <w:r w:rsidRPr="00261B7A">
        <w:t>2021</w:t>
      </w:r>
    </w:p>
    <w:p w14:paraId="62FF2675" w14:textId="77777777" w:rsidR="0010265C" w:rsidRPr="00261B7A" w:rsidRDefault="0010265C" w:rsidP="0010265C">
      <w:pPr>
        <w:pStyle w:val="BodyText"/>
      </w:pPr>
      <w:r w:rsidRPr="00261B7A">
        <w:t>In 2021, net emissions from the Land Use, Land-Use Change and Forestry (LULUCF) sector were –21,078.2 kilotonnes carbon dioxide equivalent (kt CO</w:t>
      </w:r>
      <w:r w:rsidRPr="00261B7A">
        <w:rPr>
          <w:vertAlign w:val="subscript"/>
        </w:rPr>
        <w:t>2</w:t>
      </w:r>
      <w:r w:rsidRPr="00261B7A">
        <w:t>-e) or –27.4 per cent of New Zealand’s gross greenhouse gas emissions. This comprises net removals of –21,358.2 kt CO</w:t>
      </w:r>
      <w:r w:rsidRPr="00261B7A">
        <w:rPr>
          <w:vertAlign w:val="subscript"/>
        </w:rPr>
        <w:t>2</w:t>
      </w:r>
      <w:r w:rsidRPr="00261B7A">
        <w:t>, emissions of 32.6 kt CO</w:t>
      </w:r>
      <w:r w:rsidRPr="00261B7A">
        <w:rPr>
          <w:vertAlign w:val="subscript"/>
        </w:rPr>
        <w:t>2</w:t>
      </w:r>
      <w:r w:rsidRPr="00261B7A">
        <w:t>-e of methane (CH</w:t>
      </w:r>
      <w:r w:rsidRPr="00261B7A">
        <w:rPr>
          <w:vertAlign w:val="subscript"/>
        </w:rPr>
        <w:t>4</w:t>
      </w:r>
      <w:r w:rsidRPr="00261B7A">
        <w:t>) and 247.4 kt CO</w:t>
      </w:r>
      <w:r w:rsidRPr="00261B7A">
        <w:rPr>
          <w:vertAlign w:val="subscript"/>
        </w:rPr>
        <w:t>2</w:t>
      </w:r>
      <w:r w:rsidRPr="00261B7A">
        <w:t>-e of nitrous oxide (N</w:t>
      </w:r>
      <w:r w:rsidRPr="00261B7A">
        <w:rPr>
          <w:vertAlign w:val="subscript"/>
        </w:rPr>
        <w:t>2</w:t>
      </w:r>
      <w:r w:rsidRPr="00261B7A">
        <w:t xml:space="preserve">O). The category contributing the most to both removals and emissions is </w:t>
      </w:r>
      <w:r w:rsidRPr="00261B7A">
        <w:rPr>
          <w:i/>
        </w:rPr>
        <w:t>Forest land remaining forest land</w:t>
      </w:r>
      <w:r w:rsidRPr="00261B7A">
        <w:t xml:space="preserve">. This is because large removals result from the growth of all forests on this land and there are also large emissions from the sustainable harvest of New Zealand’s plantation forests. </w:t>
      </w:r>
    </w:p>
    <w:p w14:paraId="71734086" w14:textId="77777777" w:rsidR="0010265C" w:rsidRPr="00261B7A" w:rsidRDefault="0010265C" w:rsidP="0010265C">
      <w:pPr>
        <w:pStyle w:val="Heading5"/>
      </w:pPr>
      <w:r w:rsidRPr="00261B7A">
        <w:t>1990–2021</w:t>
      </w:r>
    </w:p>
    <w:p w14:paraId="6D7F55B4" w14:textId="77777777" w:rsidR="0010265C" w:rsidRPr="00261B7A" w:rsidRDefault="0010265C" w:rsidP="0010265C">
      <w:pPr>
        <w:pStyle w:val="BodyText"/>
      </w:pPr>
      <w:r w:rsidRPr="00261B7A">
        <w:rPr>
          <w:spacing w:val="-2"/>
        </w:rPr>
        <w:t>Net emissions in 2021 have decreased by 906.9 kt CO</w:t>
      </w:r>
      <w:r w:rsidRPr="00261B7A">
        <w:rPr>
          <w:spacing w:val="-2"/>
          <w:vertAlign w:val="subscript"/>
        </w:rPr>
        <w:t>2</w:t>
      </w:r>
      <w:r w:rsidRPr="00261B7A">
        <w:rPr>
          <w:spacing w:val="-2"/>
        </w:rPr>
        <w:t>-e (</w:t>
      </w:r>
      <w:r w:rsidRPr="00261B7A">
        <w:rPr>
          <w:rFonts w:cs="Arial Bold"/>
          <w:color w:val="000000"/>
          <w:spacing w:val="-2"/>
        </w:rPr>
        <w:t xml:space="preserve">4.5 </w:t>
      </w:r>
      <w:r w:rsidRPr="00261B7A">
        <w:rPr>
          <w:spacing w:val="-2"/>
        </w:rPr>
        <w:t xml:space="preserve">per cent) from the 1990 level </w:t>
      </w:r>
      <w:r w:rsidRPr="00261B7A">
        <w:rPr>
          <w:spacing w:val="-2"/>
        </w:rPr>
        <w:br/>
        <w:t>of –20,171.2 kt CO</w:t>
      </w:r>
      <w:r w:rsidRPr="00261B7A">
        <w:rPr>
          <w:spacing w:val="-2"/>
          <w:vertAlign w:val="subscript"/>
        </w:rPr>
        <w:t>2</w:t>
      </w:r>
      <w:r w:rsidRPr="00261B7A">
        <w:rPr>
          <w:spacing w:val="-2"/>
        </w:rPr>
        <w:t xml:space="preserve">-e (see table 6.1.1 and figure 6.1.1). This is largely due to removals from forest growth and an increase in the production of harvested wood products, which have compensated for some of the emissions from the increase in forest harvesting. </w:t>
      </w:r>
    </w:p>
    <w:p w14:paraId="4907D280" w14:textId="77777777" w:rsidR="0010265C" w:rsidRPr="00261B7A" w:rsidRDefault="0010265C" w:rsidP="002C09C8">
      <w:pPr>
        <w:pStyle w:val="Table"/>
      </w:pPr>
      <w:bookmarkStart w:id="1401" w:name="_Toc481751536"/>
      <w:bookmarkStart w:id="1402" w:name="_Toc522010593"/>
      <w:bookmarkStart w:id="1403" w:name="_Toc5269498"/>
      <w:bookmarkStart w:id="1404" w:name="_Toc33529374"/>
      <w:bookmarkStart w:id="1405" w:name="_Toc36224580"/>
      <w:bookmarkStart w:id="1406" w:name="_Toc65243575"/>
      <w:bookmarkStart w:id="1407" w:name="_Toc131591381"/>
      <w:r w:rsidRPr="00261B7A">
        <w:t xml:space="preserve">Table 6.1.1 </w:t>
      </w:r>
      <w:r w:rsidRPr="00261B7A">
        <w:tab/>
        <w:t>New Zealand’s greenhouse gas net emissions for the LULUCF sector by land use category</w:t>
      </w:r>
      <w:r w:rsidRPr="00261B7A">
        <w:br/>
        <w:t xml:space="preserve">in 1990 and </w:t>
      </w:r>
      <w:bookmarkEnd w:id="1401"/>
      <w:bookmarkEnd w:id="1402"/>
      <w:bookmarkEnd w:id="1403"/>
      <w:bookmarkEnd w:id="1404"/>
      <w:bookmarkEnd w:id="1405"/>
      <w:bookmarkEnd w:id="1406"/>
      <w:r w:rsidRPr="00261B7A">
        <w:t>2021</w:t>
      </w:r>
      <w:bookmarkEnd w:id="1407"/>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ook w:val="04A0" w:firstRow="1" w:lastRow="0" w:firstColumn="1" w:lastColumn="0" w:noHBand="0" w:noVBand="1"/>
      </w:tblPr>
      <w:tblGrid>
        <w:gridCol w:w="2410"/>
        <w:gridCol w:w="1559"/>
        <w:gridCol w:w="1418"/>
        <w:gridCol w:w="1698"/>
        <w:gridCol w:w="1420"/>
      </w:tblGrid>
      <w:tr w:rsidR="0010265C" w:rsidRPr="00261B7A" w14:paraId="64F5A833" w14:textId="77777777" w:rsidTr="00E24718">
        <w:tc>
          <w:tcPr>
            <w:tcW w:w="2410" w:type="dxa"/>
            <w:shd w:val="clear" w:color="auto" w:fill="1B556B" w:themeFill="text2"/>
            <w:vAlign w:val="bottom"/>
            <w:hideMark/>
          </w:tcPr>
          <w:p w14:paraId="4C2358EF" w14:textId="77777777" w:rsidR="0010265C" w:rsidRPr="00261B7A" w:rsidRDefault="0010265C" w:rsidP="00E24718">
            <w:pPr>
              <w:pStyle w:val="TableTextBold"/>
              <w:spacing w:before="40" w:after="40"/>
              <w:rPr>
                <w:noProof w:val="0"/>
                <w:color w:val="FFFFFF" w:themeColor="background1"/>
              </w:rPr>
            </w:pPr>
            <w:r w:rsidRPr="00261B7A">
              <w:rPr>
                <w:noProof w:val="0"/>
                <w:color w:val="FFFFFF" w:themeColor="background1"/>
              </w:rPr>
              <w:t> </w:t>
            </w:r>
          </w:p>
        </w:tc>
        <w:tc>
          <w:tcPr>
            <w:tcW w:w="2977" w:type="dxa"/>
            <w:gridSpan w:val="2"/>
            <w:shd w:val="clear" w:color="auto" w:fill="1B556B" w:themeFill="text2"/>
            <w:vAlign w:val="bottom"/>
            <w:hideMark/>
          </w:tcPr>
          <w:p w14:paraId="031799E7" w14:textId="77777777" w:rsidR="0010265C" w:rsidRPr="00261B7A" w:rsidRDefault="0010265C" w:rsidP="00E24718">
            <w:pPr>
              <w:pStyle w:val="TableTextBold"/>
              <w:spacing w:before="40" w:after="40"/>
              <w:jc w:val="center"/>
              <w:rPr>
                <w:noProof w:val="0"/>
                <w:color w:val="FFFFFF" w:themeColor="background1"/>
              </w:rPr>
            </w:pPr>
            <w:r w:rsidRPr="00261B7A">
              <w:rPr>
                <w:noProof w:val="0"/>
                <w:color w:val="FFFFFF" w:themeColor="background1"/>
              </w:rPr>
              <w:t>Net emissions (kt CO</w:t>
            </w:r>
            <w:r w:rsidRPr="00261B7A">
              <w:rPr>
                <w:noProof w:val="0"/>
                <w:color w:val="FFFFFF" w:themeColor="background1"/>
                <w:vertAlign w:val="subscript"/>
              </w:rPr>
              <w:t>2</w:t>
            </w:r>
            <w:r w:rsidRPr="00261B7A">
              <w:rPr>
                <w:noProof w:val="0"/>
                <w:color w:val="FFFFFF" w:themeColor="background1"/>
              </w:rPr>
              <w:t>-e)</w:t>
            </w:r>
          </w:p>
        </w:tc>
        <w:tc>
          <w:tcPr>
            <w:tcW w:w="1698" w:type="dxa"/>
            <w:shd w:val="clear" w:color="auto" w:fill="1B556B" w:themeFill="text2"/>
            <w:vAlign w:val="bottom"/>
            <w:hideMark/>
          </w:tcPr>
          <w:p w14:paraId="3B77D490" w14:textId="5C54EEDC" w:rsidR="0010265C" w:rsidRPr="00261B7A" w:rsidRDefault="0010265C" w:rsidP="00E24718">
            <w:pPr>
              <w:pStyle w:val="TableTextBold"/>
              <w:spacing w:before="40" w:after="40"/>
              <w:jc w:val="right"/>
              <w:rPr>
                <w:noProof w:val="0"/>
                <w:color w:val="FFFFFF" w:themeColor="background1"/>
              </w:rPr>
            </w:pPr>
            <w:r w:rsidRPr="00261B7A">
              <w:rPr>
                <w:noProof w:val="0"/>
                <w:color w:val="FFFFFF" w:themeColor="background1"/>
              </w:rPr>
              <w:t>Difference (kt CO</w:t>
            </w:r>
            <w:r w:rsidRPr="00261B7A">
              <w:rPr>
                <w:noProof w:val="0"/>
                <w:color w:val="FFFFFF" w:themeColor="background1"/>
                <w:vertAlign w:val="subscript"/>
              </w:rPr>
              <w:t>2</w:t>
            </w:r>
            <w:r w:rsidRPr="00261B7A">
              <w:rPr>
                <w:noProof w:val="0"/>
                <w:color w:val="FFFFFF" w:themeColor="background1"/>
              </w:rPr>
              <w:t>-e)</w:t>
            </w:r>
          </w:p>
        </w:tc>
        <w:tc>
          <w:tcPr>
            <w:tcW w:w="1420" w:type="dxa"/>
            <w:shd w:val="clear" w:color="auto" w:fill="1B556B" w:themeFill="text2"/>
            <w:vAlign w:val="bottom"/>
            <w:hideMark/>
          </w:tcPr>
          <w:p w14:paraId="7F226124" w14:textId="77777777" w:rsidR="0010265C" w:rsidRPr="00261B7A" w:rsidRDefault="0010265C" w:rsidP="00E24718">
            <w:pPr>
              <w:pStyle w:val="TableTextBold"/>
              <w:spacing w:before="40" w:after="40"/>
              <w:jc w:val="right"/>
              <w:rPr>
                <w:noProof w:val="0"/>
                <w:color w:val="FFFFFF" w:themeColor="background1"/>
              </w:rPr>
            </w:pPr>
            <w:r w:rsidRPr="00261B7A">
              <w:rPr>
                <w:noProof w:val="0"/>
                <w:color w:val="FFFFFF" w:themeColor="background1"/>
              </w:rPr>
              <w:t>% change</w:t>
            </w:r>
          </w:p>
        </w:tc>
      </w:tr>
      <w:tr w:rsidR="0010265C" w:rsidRPr="00261B7A" w14:paraId="458C9D2F" w14:textId="77777777" w:rsidTr="00E24718">
        <w:tc>
          <w:tcPr>
            <w:tcW w:w="2410" w:type="dxa"/>
            <w:shd w:val="clear" w:color="auto" w:fill="auto"/>
            <w:vAlign w:val="center"/>
            <w:hideMark/>
          </w:tcPr>
          <w:p w14:paraId="3F428BC3" w14:textId="77777777" w:rsidR="0010265C" w:rsidRPr="00261B7A" w:rsidRDefault="0010265C" w:rsidP="00E24718">
            <w:pPr>
              <w:pStyle w:val="TableTextBold"/>
              <w:spacing w:before="40" w:after="40"/>
              <w:rPr>
                <w:noProof w:val="0"/>
              </w:rPr>
            </w:pPr>
            <w:r w:rsidRPr="00261B7A">
              <w:rPr>
                <w:noProof w:val="0"/>
              </w:rPr>
              <w:t>Land use category</w:t>
            </w:r>
          </w:p>
        </w:tc>
        <w:tc>
          <w:tcPr>
            <w:tcW w:w="1559" w:type="dxa"/>
            <w:shd w:val="clear" w:color="auto" w:fill="auto"/>
            <w:vAlign w:val="center"/>
            <w:hideMark/>
          </w:tcPr>
          <w:p w14:paraId="76F88C81" w14:textId="77777777" w:rsidR="0010265C" w:rsidRPr="00261B7A" w:rsidRDefault="0010265C" w:rsidP="00E24718">
            <w:pPr>
              <w:pStyle w:val="TableTextBold"/>
              <w:spacing w:before="40" w:after="40"/>
              <w:jc w:val="right"/>
              <w:rPr>
                <w:noProof w:val="0"/>
              </w:rPr>
            </w:pPr>
            <w:r w:rsidRPr="00261B7A">
              <w:rPr>
                <w:noProof w:val="0"/>
              </w:rPr>
              <w:t>1990</w:t>
            </w:r>
          </w:p>
        </w:tc>
        <w:tc>
          <w:tcPr>
            <w:tcW w:w="1418" w:type="dxa"/>
            <w:shd w:val="clear" w:color="auto" w:fill="auto"/>
            <w:vAlign w:val="center"/>
            <w:hideMark/>
          </w:tcPr>
          <w:p w14:paraId="38333ACF" w14:textId="77777777" w:rsidR="0010265C" w:rsidRPr="00261B7A" w:rsidRDefault="0010265C" w:rsidP="00E24718">
            <w:pPr>
              <w:pStyle w:val="TableTextBold"/>
              <w:spacing w:before="40" w:after="40"/>
              <w:jc w:val="right"/>
              <w:rPr>
                <w:noProof w:val="0"/>
              </w:rPr>
            </w:pPr>
            <w:r w:rsidRPr="00261B7A">
              <w:rPr>
                <w:noProof w:val="0"/>
              </w:rPr>
              <w:t>2021</w:t>
            </w:r>
          </w:p>
        </w:tc>
        <w:tc>
          <w:tcPr>
            <w:tcW w:w="1698" w:type="dxa"/>
            <w:shd w:val="clear" w:color="auto" w:fill="auto"/>
            <w:vAlign w:val="center"/>
            <w:hideMark/>
          </w:tcPr>
          <w:p w14:paraId="2063DA1D" w14:textId="77777777" w:rsidR="0010265C" w:rsidRPr="00261B7A" w:rsidRDefault="0010265C" w:rsidP="00E24718">
            <w:pPr>
              <w:pStyle w:val="TableTextBold"/>
              <w:spacing w:before="40" w:after="40"/>
              <w:jc w:val="right"/>
              <w:rPr>
                <w:noProof w:val="0"/>
              </w:rPr>
            </w:pPr>
            <w:r w:rsidRPr="00261B7A">
              <w:rPr>
                <w:noProof w:val="0"/>
              </w:rPr>
              <w:t>1990–2021</w:t>
            </w:r>
          </w:p>
        </w:tc>
        <w:tc>
          <w:tcPr>
            <w:tcW w:w="1420" w:type="dxa"/>
            <w:shd w:val="clear" w:color="auto" w:fill="auto"/>
            <w:vAlign w:val="center"/>
            <w:hideMark/>
          </w:tcPr>
          <w:p w14:paraId="31B345E1" w14:textId="77777777" w:rsidR="0010265C" w:rsidRPr="00261B7A" w:rsidRDefault="0010265C" w:rsidP="00E24718">
            <w:pPr>
              <w:pStyle w:val="TableTextBold"/>
              <w:spacing w:before="40" w:after="40"/>
              <w:jc w:val="right"/>
              <w:rPr>
                <w:noProof w:val="0"/>
              </w:rPr>
            </w:pPr>
            <w:r w:rsidRPr="00261B7A">
              <w:rPr>
                <w:noProof w:val="0"/>
              </w:rPr>
              <w:t>1990–2021</w:t>
            </w:r>
          </w:p>
        </w:tc>
      </w:tr>
      <w:tr w:rsidR="0010265C" w:rsidRPr="00261B7A" w14:paraId="03B51D95" w14:textId="77777777" w:rsidTr="00E24718">
        <w:tc>
          <w:tcPr>
            <w:tcW w:w="2410" w:type="dxa"/>
            <w:shd w:val="clear" w:color="auto" w:fill="auto"/>
            <w:vAlign w:val="center"/>
            <w:hideMark/>
          </w:tcPr>
          <w:p w14:paraId="3E76E2C0" w14:textId="77777777" w:rsidR="0010265C" w:rsidRPr="00261B7A" w:rsidRDefault="0010265C" w:rsidP="00E24718">
            <w:pPr>
              <w:pStyle w:val="TableText"/>
              <w:spacing w:before="40" w:after="40"/>
            </w:pPr>
            <w:r w:rsidRPr="00261B7A">
              <w:t>Forest land</w:t>
            </w:r>
          </w:p>
        </w:tc>
        <w:tc>
          <w:tcPr>
            <w:tcW w:w="1559" w:type="dxa"/>
            <w:shd w:val="clear" w:color="auto" w:fill="auto"/>
            <w:vAlign w:val="center"/>
            <w:hideMark/>
          </w:tcPr>
          <w:p w14:paraId="71E5AEF2" w14:textId="77777777" w:rsidR="0010265C" w:rsidRPr="00261B7A" w:rsidRDefault="0010265C" w:rsidP="00E24718">
            <w:pPr>
              <w:pStyle w:val="TableText"/>
              <w:spacing w:before="40" w:after="40"/>
              <w:jc w:val="right"/>
            </w:pPr>
            <w:r w:rsidRPr="00261B7A">
              <w:t>–19,045.2</w:t>
            </w:r>
          </w:p>
        </w:tc>
        <w:tc>
          <w:tcPr>
            <w:tcW w:w="1418" w:type="dxa"/>
            <w:shd w:val="clear" w:color="auto" w:fill="auto"/>
            <w:vAlign w:val="center"/>
            <w:hideMark/>
          </w:tcPr>
          <w:p w14:paraId="137579E5" w14:textId="77777777" w:rsidR="0010265C" w:rsidRPr="00261B7A" w:rsidRDefault="0010265C" w:rsidP="00E24718">
            <w:pPr>
              <w:pStyle w:val="TableText"/>
              <w:spacing w:before="40" w:after="40"/>
              <w:jc w:val="right"/>
            </w:pPr>
            <w:r w:rsidRPr="00261B7A">
              <w:t>–15,779.7</w:t>
            </w:r>
          </w:p>
        </w:tc>
        <w:tc>
          <w:tcPr>
            <w:tcW w:w="1698" w:type="dxa"/>
            <w:shd w:val="clear" w:color="auto" w:fill="auto"/>
            <w:vAlign w:val="center"/>
            <w:hideMark/>
          </w:tcPr>
          <w:p w14:paraId="1CD202F6" w14:textId="77777777" w:rsidR="0010265C" w:rsidRPr="00261B7A" w:rsidRDefault="0010265C" w:rsidP="00E24718">
            <w:pPr>
              <w:pStyle w:val="TableText"/>
              <w:spacing w:before="40" w:after="40"/>
              <w:jc w:val="right"/>
            </w:pPr>
            <w:r w:rsidRPr="00261B7A">
              <w:t>3,265.5</w:t>
            </w:r>
          </w:p>
        </w:tc>
        <w:tc>
          <w:tcPr>
            <w:tcW w:w="1420" w:type="dxa"/>
            <w:shd w:val="clear" w:color="auto" w:fill="auto"/>
            <w:vAlign w:val="center"/>
            <w:hideMark/>
          </w:tcPr>
          <w:p w14:paraId="3FC856C2" w14:textId="77777777" w:rsidR="0010265C" w:rsidRPr="00261B7A" w:rsidRDefault="0010265C" w:rsidP="00E24718">
            <w:pPr>
              <w:pStyle w:val="TableText"/>
              <w:spacing w:before="40" w:after="40"/>
              <w:jc w:val="right"/>
            </w:pPr>
            <w:r w:rsidRPr="00261B7A">
              <w:t xml:space="preserve">17.1 </w:t>
            </w:r>
          </w:p>
        </w:tc>
      </w:tr>
      <w:tr w:rsidR="0010265C" w:rsidRPr="00261B7A" w14:paraId="63C3138C" w14:textId="77777777" w:rsidTr="00E24718">
        <w:tc>
          <w:tcPr>
            <w:tcW w:w="2410" w:type="dxa"/>
            <w:shd w:val="clear" w:color="auto" w:fill="auto"/>
            <w:vAlign w:val="center"/>
            <w:hideMark/>
          </w:tcPr>
          <w:p w14:paraId="563C8D15" w14:textId="77777777" w:rsidR="0010265C" w:rsidRPr="00261B7A" w:rsidRDefault="0010265C" w:rsidP="00E24718">
            <w:pPr>
              <w:pStyle w:val="TableText"/>
              <w:spacing w:before="40" w:after="40"/>
            </w:pPr>
            <w:r w:rsidRPr="00261B7A">
              <w:t>Cropland</w:t>
            </w:r>
          </w:p>
        </w:tc>
        <w:tc>
          <w:tcPr>
            <w:tcW w:w="1559" w:type="dxa"/>
            <w:shd w:val="clear" w:color="auto" w:fill="auto"/>
            <w:vAlign w:val="center"/>
            <w:hideMark/>
          </w:tcPr>
          <w:p w14:paraId="6BFD420E" w14:textId="77777777" w:rsidR="0010265C" w:rsidRPr="00261B7A" w:rsidRDefault="0010265C" w:rsidP="00E24718">
            <w:pPr>
              <w:pStyle w:val="TableText"/>
              <w:spacing w:before="40" w:after="40"/>
              <w:jc w:val="right"/>
            </w:pPr>
            <w:r w:rsidRPr="00261B7A">
              <w:t>476.5</w:t>
            </w:r>
          </w:p>
        </w:tc>
        <w:tc>
          <w:tcPr>
            <w:tcW w:w="1418" w:type="dxa"/>
            <w:shd w:val="clear" w:color="auto" w:fill="auto"/>
            <w:vAlign w:val="center"/>
            <w:hideMark/>
          </w:tcPr>
          <w:p w14:paraId="6DDC14B6" w14:textId="77777777" w:rsidR="0010265C" w:rsidRPr="00261B7A" w:rsidRDefault="0010265C" w:rsidP="00E24718">
            <w:pPr>
              <w:pStyle w:val="TableText"/>
              <w:spacing w:before="40" w:after="40"/>
              <w:jc w:val="right"/>
            </w:pPr>
            <w:r w:rsidRPr="00261B7A">
              <w:t>378.3</w:t>
            </w:r>
          </w:p>
        </w:tc>
        <w:tc>
          <w:tcPr>
            <w:tcW w:w="1698" w:type="dxa"/>
            <w:shd w:val="clear" w:color="auto" w:fill="auto"/>
            <w:vAlign w:val="center"/>
            <w:hideMark/>
          </w:tcPr>
          <w:p w14:paraId="2F136D40" w14:textId="77777777" w:rsidR="0010265C" w:rsidRPr="00261B7A" w:rsidRDefault="0010265C" w:rsidP="00E24718">
            <w:pPr>
              <w:pStyle w:val="TableText"/>
              <w:spacing w:before="40" w:after="40"/>
              <w:jc w:val="right"/>
            </w:pPr>
            <w:r w:rsidRPr="00261B7A">
              <w:t>–98.2</w:t>
            </w:r>
          </w:p>
        </w:tc>
        <w:tc>
          <w:tcPr>
            <w:tcW w:w="1420" w:type="dxa"/>
            <w:shd w:val="clear" w:color="auto" w:fill="auto"/>
            <w:vAlign w:val="center"/>
            <w:hideMark/>
          </w:tcPr>
          <w:p w14:paraId="1752EFB8" w14:textId="77777777" w:rsidR="0010265C" w:rsidRPr="00261B7A" w:rsidRDefault="0010265C" w:rsidP="00E24718">
            <w:pPr>
              <w:pStyle w:val="TableText"/>
              <w:spacing w:before="40" w:after="40"/>
              <w:jc w:val="right"/>
            </w:pPr>
            <w:r w:rsidRPr="00261B7A">
              <w:t xml:space="preserve">–20.6 </w:t>
            </w:r>
          </w:p>
        </w:tc>
      </w:tr>
      <w:tr w:rsidR="0010265C" w:rsidRPr="00261B7A" w14:paraId="68D51519" w14:textId="77777777" w:rsidTr="00E24718">
        <w:tc>
          <w:tcPr>
            <w:tcW w:w="2410" w:type="dxa"/>
            <w:shd w:val="clear" w:color="auto" w:fill="auto"/>
            <w:vAlign w:val="center"/>
            <w:hideMark/>
          </w:tcPr>
          <w:p w14:paraId="4DD1DA6B" w14:textId="77777777" w:rsidR="0010265C" w:rsidRPr="00261B7A" w:rsidRDefault="0010265C" w:rsidP="00E24718">
            <w:pPr>
              <w:pStyle w:val="TableText"/>
              <w:spacing w:before="40" w:after="40"/>
            </w:pPr>
            <w:r w:rsidRPr="00261B7A">
              <w:t>Grassland</w:t>
            </w:r>
          </w:p>
        </w:tc>
        <w:tc>
          <w:tcPr>
            <w:tcW w:w="1559" w:type="dxa"/>
            <w:shd w:val="clear" w:color="auto" w:fill="auto"/>
            <w:vAlign w:val="center"/>
            <w:hideMark/>
          </w:tcPr>
          <w:p w14:paraId="06B51EAE" w14:textId="77777777" w:rsidR="0010265C" w:rsidRPr="00261B7A" w:rsidRDefault="0010265C" w:rsidP="00E24718">
            <w:pPr>
              <w:pStyle w:val="TableText"/>
              <w:spacing w:before="40" w:after="40"/>
              <w:jc w:val="right"/>
            </w:pPr>
            <w:r w:rsidRPr="00261B7A">
              <w:t>756.8</w:t>
            </w:r>
          </w:p>
        </w:tc>
        <w:tc>
          <w:tcPr>
            <w:tcW w:w="1418" w:type="dxa"/>
            <w:shd w:val="clear" w:color="auto" w:fill="auto"/>
            <w:vAlign w:val="center"/>
            <w:hideMark/>
          </w:tcPr>
          <w:p w14:paraId="6D66AA96" w14:textId="77777777" w:rsidR="0010265C" w:rsidRPr="00261B7A" w:rsidRDefault="0010265C" w:rsidP="00E24718">
            <w:pPr>
              <w:pStyle w:val="TableText"/>
              <w:spacing w:before="40" w:after="40"/>
              <w:jc w:val="right"/>
            </w:pPr>
            <w:r w:rsidRPr="00261B7A">
              <w:t>2,744.3</w:t>
            </w:r>
          </w:p>
        </w:tc>
        <w:tc>
          <w:tcPr>
            <w:tcW w:w="1698" w:type="dxa"/>
            <w:shd w:val="clear" w:color="auto" w:fill="auto"/>
            <w:vAlign w:val="center"/>
            <w:hideMark/>
          </w:tcPr>
          <w:p w14:paraId="16AB313C" w14:textId="77777777" w:rsidR="0010265C" w:rsidRPr="00261B7A" w:rsidRDefault="0010265C" w:rsidP="00E24718">
            <w:pPr>
              <w:pStyle w:val="TableText"/>
              <w:spacing w:before="40" w:after="40"/>
              <w:jc w:val="right"/>
            </w:pPr>
            <w:r w:rsidRPr="00261B7A">
              <w:t>1,987.5</w:t>
            </w:r>
          </w:p>
        </w:tc>
        <w:tc>
          <w:tcPr>
            <w:tcW w:w="1420" w:type="dxa"/>
            <w:shd w:val="clear" w:color="auto" w:fill="auto"/>
            <w:vAlign w:val="center"/>
            <w:hideMark/>
          </w:tcPr>
          <w:p w14:paraId="408C7E46" w14:textId="77777777" w:rsidR="0010265C" w:rsidRPr="00261B7A" w:rsidRDefault="0010265C" w:rsidP="00E24718">
            <w:pPr>
              <w:pStyle w:val="TableText"/>
              <w:spacing w:before="40" w:after="40"/>
              <w:jc w:val="right"/>
            </w:pPr>
            <w:r w:rsidRPr="00261B7A">
              <w:t xml:space="preserve">262.6 </w:t>
            </w:r>
          </w:p>
        </w:tc>
      </w:tr>
      <w:tr w:rsidR="0010265C" w:rsidRPr="00261B7A" w14:paraId="596E2326" w14:textId="77777777" w:rsidTr="00E24718">
        <w:tc>
          <w:tcPr>
            <w:tcW w:w="2410" w:type="dxa"/>
            <w:shd w:val="clear" w:color="auto" w:fill="auto"/>
            <w:vAlign w:val="center"/>
            <w:hideMark/>
          </w:tcPr>
          <w:p w14:paraId="51975FD6" w14:textId="77777777" w:rsidR="0010265C" w:rsidRPr="00261B7A" w:rsidRDefault="0010265C" w:rsidP="00E24718">
            <w:pPr>
              <w:pStyle w:val="TableText"/>
              <w:spacing w:before="40" w:after="40"/>
            </w:pPr>
            <w:r w:rsidRPr="00261B7A">
              <w:t>Wetlands</w:t>
            </w:r>
          </w:p>
        </w:tc>
        <w:tc>
          <w:tcPr>
            <w:tcW w:w="1559" w:type="dxa"/>
            <w:shd w:val="clear" w:color="auto" w:fill="auto"/>
            <w:vAlign w:val="center"/>
            <w:hideMark/>
          </w:tcPr>
          <w:p w14:paraId="374462F8" w14:textId="77777777" w:rsidR="0010265C" w:rsidRPr="00261B7A" w:rsidRDefault="0010265C" w:rsidP="00E24718">
            <w:pPr>
              <w:pStyle w:val="TableText"/>
              <w:spacing w:before="40" w:after="40"/>
              <w:jc w:val="right"/>
            </w:pPr>
            <w:r w:rsidRPr="00261B7A">
              <w:t>–8.4</w:t>
            </w:r>
          </w:p>
        </w:tc>
        <w:tc>
          <w:tcPr>
            <w:tcW w:w="1418" w:type="dxa"/>
            <w:shd w:val="clear" w:color="auto" w:fill="auto"/>
            <w:vAlign w:val="center"/>
            <w:hideMark/>
          </w:tcPr>
          <w:p w14:paraId="55958FD8" w14:textId="77777777" w:rsidR="0010265C" w:rsidRPr="00261B7A" w:rsidRDefault="0010265C" w:rsidP="00E24718">
            <w:pPr>
              <w:pStyle w:val="TableText"/>
              <w:spacing w:before="40" w:after="40"/>
              <w:jc w:val="right"/>
            </w:pPr>
            <w:r w:rsidRPr="00261B7A">
              <w:t>11.4</w:t>
            </w:r>
          </w:p>
        </w:tc>
        <w:tc>
          <w:tcPr>
            <w:tcW w:w="1698" w:type="dxa"/>
            <w:shd w:val="clear" w:color="auto" w:fill="auto"/>
            <w:vAlign w:val="center"/>
            <w:hideMark/>
          </w:tcPr>
          <w:p w14:paraId="65BC43CF" w14:textId="77777777" w:rsidR="0010265C" w:rsidRPr="00261B7A" w:rsidRDefault="0010265C" w:rsidP="00E24718">
            <w:pPr>
              <w:pStyle w:val="TableText"/>
              <w:spacing w:before="40" w:after="40"/>
              <w:jc w:val="right"/>
            </w:pPr>
            <w:r w:rsidRPr="00261B7A">
              <w:t>19.9</w:t>
            </w:r>
          </w:p>
        </w:tc>
        <w:tc>
          <w:tcPr>
            <w:tcW w:w="1420" w:type="dxa"/>
            <w:shd w:val="clear" w:color="auto" w:fill="auto"/>
            <w:vAlign w:val="center"/>
            <w:hideMark/>
          </w:tcPr>
          <w:p w14:paraId="02823D16" w14:textId="77777777" w:rsidR="0010265C" w:rsidRPr="00261B7A" w:rsidRDefault="0010265C" w:rsidP="00E24718">
            <w:pPr>
              <w:pStyle w:val="TableText"/>
              <w:spacing w:before="40" w:after="40"/>
              <w:jc w:val="right"/>
            </w:pPr>
            <w:r w:rsidRPr="00261B7A">
              <w:t xml:space="preserve">235.7 </w:t>
            </w:r>
          </w:p>
        </w:tc>
      </w:tr>
      <w:tr w:rsidR="0010265C" w:rsidRPr="00261B7A" w14:paraId="623BC77B" w14:textId="77777777" w:rsidTr="00E24718">
        <w:tc>
          <w:tcPr>
            <w:tcW w:w="2410" w:type="dxa"/>
            <w:shd w:val="clear" w:color="auto" w:fill="auto"/>
            <w:vAlign w:val="center"/>
            <w:hideMark/>
          </w:tcPr>
          <w:p w14:paraId="71473E73" w14:textId="77777777" w:rsidR="0010265C" w:rsidRPr="00261B7A" w:rsidRDefault="0010265C" w:rsidP="00E24718">
            <w:pPr>
              <w:pStyle w:val="TableText"/>
              <w:spacing w:before="40" w:after="40"/>
            </w:pPr>
            <w:r w:rsidRPr="00261B7A">
              <w:t>Settlements</w:t>
            </w:r>
          </w:p>
        </w:tc>
        <w:tc>
          <w:tcPr>
            <w:tcW w:w="1559" w:type="dxa"/>
            <w:shd w:val="clear" w:color="auto" w:fill="auto"/>
            <w:vAlign w:val="center"/>
            <w:hideMark/>
          </w:tcPr>
          <w:p w14:paraId="5533A3DC" w14:textId="77777777" w:rsidR="0010265C" w:rsidRPr="00261B7A" w:rsidRDefault="0010265C" w:rsidP="00E24718">
            <w:pPr>
              <w:pStyle w:val="TableText"/>
              <w:spacing w:before="40" w:after="40"/>
              <w:jc w:val="right"/>
            </w:pPr>
            <w:r w:rsidRPr="00261B7A">
              <w:t>75.7</w:t>
            </w:r>
          </w:p>
        </w:tc>
        <w:tc>
          <w:tcPr>
            <w:tcW w:w="1418" w:type="dxa"/>
            <w:shd w:val="clear" w:color="auto" w:fill="auto"/>
            <w:vAlign w:val="center"/>
            <w:hideMark/>
          </w:tcPr>
          <w:p w14:paraId="3921FFEC" w14:textId="77777777" w:rsidR="0010265C" w:rsidRPr="00261B7A" w:rsidRDefault="0010265C" w:rsidP="00E24718">
            <w:pPr>
              <w:pStyle w:val="TableText"/>
              <w:spacing w:before="40" w:after="40"/>
              <w:jc w:val="right"/>
            </w:pPr>
            <w:r w:rsidRPr="00261B7A">
              <w:t>122.2</w:t>
            </w:r>
          </w:p>
        </w:tc>
        <w:tc>
          <w:tcPr>
            <w:tcW w:w="1698" w:type="dxa"/>
            <w:shd w:val="clear" w:color="auto" w:fill="auto"/>
            <w:vAlign w:val="center"/>
            <w:hideMark/>
          </w:tcPr>
          <w:p w14:paraId="6863C1C5" w14:textId="77777777" w:rsidR="0010265C" w:rsidRPr="00261B7A" w:rsidRDefault="0010265C" w:rsidP="00E24718">
            <w:pPr>
              <w:pStyle w:val="TableText"/>
              <w:spacing w:before="40" w:after="40"/>
              <w:jc w:val="right"/>
            </w:pPr>
            <w:r w:rsidRPr="00261B7A">
              <w:t>46.5</w:t>
            </w:r>
          </w:p>
        </w:tc>
        <w:tc>
          <w:tcPr>
            <w:tcW w:w="1420" w:type="dxa"/>
            <w:shd w:val="clear" w:color="auto" w:fill="auto"/>
            <w:vAlign w:val="center"/>
            <w:hideMark/>
          </w:tcPr>
          <w:p w14:paraId="560D95E1" w14:textId="77777777" w:rsidR="0010265C" w:rsidRPr="00261B7A" w:rsidRDefault="0010265C" w:rsidP="00E24718">
            <w:pPr>
              <w:pStyle w:val="TableText"/>
              <w:spacing w:before="40" w:after="40"/>
              <w:jc w:val="right"/>
            </w:pPr>
            <w:r w:rsidRPr="00261B7A">
              <w:t xml:space="preserve">61.4 </w:t>
            </w:r>
          </w:p>
        </w:tc>
      </w:tr>
      <w:tr w:rsidR="0010265C" w:rsidRPr="00261B7A" w14:paraId="1F4123CB" w14:textId="77777777" w:rsidTr="00E24718">
        <w:tc>
          <w:tcPr>
            <w:tcW w:w="2410" w:type="dxa"/>
            <w:shd w:val="clear" w:color="auto" w:fill="auto"/>
            <w:vAlign w:val="center"/>
            <w:hideMark/>
          </w:tcPr>
          <w:p w14:paraId="2A60A55B" w14:textId="77777777" w:rsidR="0010265C" w:rsidRPr="00261B7A" w:rsidRDefault="0010265C" w:rsidP="00E24718">
            <w:pPr>
              <w:pStyle w:val="TableText"/>
              <w:spacing w:before="40" w:after="40"/>
            </w:pPr>
            <w:r w:rsidRPr="00261B7A">
              <w:t>Other land</w:t>
            </w:r>
          </w:p>
        </w:tc>
        <w:tc>
          <w:tcPr>
            <w:tcW w:w="1559" w:type="dxa"/>
            <w:shd w:val="clear" w:color="auto" w:fill="auto"/>
            <w:vAlign w:val="center"/>
            <w:hideMark/>
          </w:tcPr>
          <w:p w14:paraId="58B46E92" w14:textId="77777777" w:rsidR="0010265C" w:rsidRPr="00261B7A" w:rsidRDefault="0010265C" w:rsidP="00E24718">
            <w:pPr>
              <w:pStyle w:val="TableText"/>
              <w:spacing w:before="40" w:after="40"/>
              <w:jc w:val="right"/>
            </w:pPr>
            <w:r w:rsidRPr="00261B7A">
              <w:t>13.8</w:t>
            </w:r>
          </w:p>
        </w:tc>
        <w:tc>
          <w:tcPr>
            <w:tcW w:w="1418" w:type="dxa"/>
            <w:shd w:val="clear" w:color="auto" w:fill="auto"/>
            <w:vAlign w:val="center"/>
            <w:hideMark/>
          </w:tcPr>
          <w:p w14:paraId="1D02C111" w14:textId="77777777" w:rsidR="0010265C" w:rsidRPr="00261B7A" w:rsidRDefault="0010265C" w:rsidP="00E24718">
            <w:pPr>
              <w:pStyle w:val="TableText"/>
              <w:spacing w:before="40" w:after="40"/>
              <w:jc w:val="right"/>
            </w:pPr>
            <w:r w:rsidRPr="00261B7A">
              <w:t>85.7</w:t>
            </w:r>
          </w:p>
        </w:tc>
        <w:tc>
          <w:tcPr>
            <w:tcW w:w="1698" w:type="dxa"/>
            <w:shd w:val="clear" w:color="auto" w:fill="auto"/>
            <w:vAlign w:val="center"/>
            <w:hideMark/>
          </w:tcPr>
          <w:p w14:paraId="0DB55D7B" w14:textId="77777777" w:rsidR="0010265C" w:rsidRPr="00261B7A" w:rsidRDefault="0010265C" w:rsidP="00E24718">
            <w:pPr>
              <w:pStyle w:val="TableText"/>
              <w:spacing w:before="40" w:after="40"/>
              <w:jc w:val="right"/>
            </w:pPr>
            <w:r w:rsidRPr="00261B7A">
              <w:t>71.9</w:t>
            </w:r>
          </w:p>
        </w:tc>
        <w:tc>
          <w:tcPr>
            <w:tcW w:w="1420" w:type="dxa"/>
            <w:shd w:val="clear" w:color="auto" w:fill="auto"/>
            <w:vAlign w:val="center"/>
            <w:hideMark/>
          </w:tcPr>
          <w:p w14:paraId="01CFE2EC" w14:textId="77777777" w:rsidR="0010265C" w:rsidRPr="00261B7A" w:rsidRDefault="0010265C" w:rsidP="00E24718">
            <w:pPr>
              <w:pStyle w:val="TableText"/>
              <w:spacing w:before="40" w:after="40"/>
              <w:jc w:val="right"/>
            </w:pPr>
            <w:r w:rsidRPr="00261B7A">
              <w:t xml:space="preserve">522.5 </w:t>
            </w:r>
          </w:p>
        </w:tc>
      </w:tr>
      <w:tr w:rsidR="0010265C" w:rsidRPr="00261B7A" w14:paraId="01361783" w14:textId="77777777" w:rsidTr="00E24718">
        <w:tc>
          <w:tcPr>
            <w:tcW w:w="2410" w:type="dxa"/>
            <w:shd w:val="clear" w:color="auto" w:fill="auto"/>
            <w:vAlign w:val="center"/>
            <w:hideMark/>
          </w:tcPr>
          <w:p w14:paraId="2106F519" w14:textId="0666BB62" w:rsidR="0010265C" w:rsidRPr="00261B7A" w:rsidRDefault="0010265C" w:rsidP="00E24718">
            <w:pPr>
              <w:pStyle w:val="TableText"/>
              <w:spacing w:before="40" w:after="40"/>
            </w:pPr>
            <w:r w:rsidRPr="00261B7A">
              <w:t>Indirect emissions</w:t>
            </w:r>
            <w:r w:rsidR="0033490F" w:rsidRPr="00261B7A">
              <w:t>*</w:t>
            </w:r>
          </w:p>
        </w:tc>
        <w:tc>
          <w:tcPr>
            <w:tcW w:w="1559" w:type="dxa"/>
            <w:shd w:val="clear" w:color="auto" w:fill="auto"/>
            <w:vAlign w:val="center"/>
            <w:hideMark/>
          </w:tcPr>
          <w:p w14:paraId="22F57C1A" w14:textId="77777777" w:rsidR="0010265C" w:rsidRPr="00261B7A" w:rsidRDefault="0010265C" w:rsidP="00E24718">
            <w:pPr>
              <w:pStyle w:val="TableText"/>
              <w:spacing w:before="40" w:after="40"/>
              <w:jc w:val="right"/>
            </w:pPr>
            <w:r w:rsidRPr="00261B7A">
              <w:t>40.8</w:t>
            </w:r>
          </w:p>
        </w:tc>
        <w:tc>
          <w:tcPr>
            <w:tcW w:w="1418" w:type="dxa"/>
            <w:shd w:val="clear" w:color="auto" w:fill="auto"/>
            <w:vAlign w:val="center"/>
            <w:hideMark/>
          </w:tcPr>
          <w:p w14:paraId="3EA6B7E1" w14:textId="77777777" w:rsidR="0010265C" w:rsidRPr="00261B7A" w:rsidRDefault="0010265C" w:rsidP="00E24718">
            <w:pPr>
              <w:pStyle w:val="TableText"/>
              <w:spacing w:before="40" w:after="40"/>
              <w:jc w:val="right"/>
            </w:pPr>
            <w:r w:rsidRPr="00261B7A">
              <w:t>18.5</w:t>
            </w:r>
          </w:p>
        </w:tc>
        <w:tc>
          <w:tcPr>
            <w:tcW w:w="1698" w:type="dxa"/>
            <w:shd w:val="clear" w:color="auto" w:fill="auto"/>
            <w:vAlign w:val="center"/>
            <w:hideMark/>
          </w:tcPr>
          <w:p w14:paraId="1CE902B0" w14:textId="77777777" w:rsidR="0010265C" w:rsidRPr="00261B7A" w:rsidRDefault="0010265C" w:rsidP="00E24718">
            <w:pPr>
              <w:pStyle w:val="TableText"/>
              <w:spacing w:before="40" w:after="40"/>
              <w:jc w:val="right"/>
            </w:pPr>
            <w:r w:rsidRPr="00261B7A">
              <w:t>–22.3</w:t>
            </w:r>
          </w:p>
        </w:tc>
        <w:tc>
          <w:tcPr>
            <w:tcW w:w="1420" w:type="dxa"/>
            <w:shd w:val="clear" w:color="auto" w:fill="auto"/>
            <w:vAlign w:val="center"/>
            <w:hideMark/>
          </w:tcPr>
          <w:p w14:paraId="3218EC82" w14:textId="77777777" w:rsidR="0010265C" w:rsidRPr="00261B7A" w:rsidRDefault="0010265C" w:rsidP="00E24718">
            <w:pPr>
              <w:pStyle w:val="TableText"/>
              <w:spacing w:before="40" w:after="40"/>
              <w:jc w:val="right"/>
            </w:pPr>
            <w:r w:rsidRPr="00261B7A">
              <w:t xml:space="preserve">–54.7 </w:t>
            </w:r>
          </w:p>
        </w:tc>
      </w:tr>
      <w:tr w:rsidR="0010265C" w:rsidRPr="00261B7A" w14:paraId="7DE4F25D" w14:textId="77777777" w:rsidTr="00E24718">
        <w:tc>
          <w:tcPr>
            <w:tcW w:w="2410" w:type="dxa"/>
            <w:shd w:val="clear" w:color="auto" w:fill="auto"/>
            <w:noWrap/>
            <w:vAlign w:val="center"/>
            <w:hideMark/>
          </w:tcPr>
          <w:p w14:paraId="1330BFBB" w14:textId="77777777" w:rsidR="0010265C" w:rsidRPr="00261B7A" w:rsidRDefault="0010265C" w:rsidP="00E24718">
            <w:pPr>
              <w:pStyle w:val="TableText"/>
              <w:spacing w:before="40" w:after="40"/>
            </w:pPr>
            <w:r w:rsidRPr="00261B7A">
              <w:t>Harvested wood products</w:t>
            </w:r>
          </w:p>
        </w:tc>
        <w:tc>
          <w:tcPr>
            <w:tcW w:w="1559" w:type="dxa"/>
            <w:shd w:val="clear" w:color="auto" w:fill="auto"/>
            <w:vAlign w:val="center"/>
            <w:hideMark/>
          </w:tcPr>
          <w:p w14:paraId="503812D2" w14:textId="77777777" w:rsidR="0010265C" w:rsidRPr="00261B7A" w:rsidRDefault="0010265C" w:rsidP="00E24718">
            <w:pPr>
              <w:pStyle w:val="TableText"/>
              <w:spacing w:before="40" w:after="40"/>
              <w:jc w:val="right"/>
            </w:pPr>
            <w:r w:rsidRPr="00261B7A">
              <w:t>–2,481.2</w:t>
            </w:r>
          </w:p>
        </w:tc>
        <w:tc>
          <w:tcPr>
            <w:tcW w:w="1418" w:type="dxa"/>
            <w:shd w:val="clear" w:color="auto" w:fill="auto"/>
            <w:vAlign w:val="center"/>
            <w:hideMark/>
          </w:tcPr>
          <w:p w14:paraId="1236D5E0" w14:textId="77777777" w:rsidR="0010265C" w:rsidRPr="00261B7A" w:rsidRDefault="0010265C" w:rsidP="00E24718">
            <w:pPr>
              <w:pStyle w:val="TableText"/>
              <w:spacing w:before="40" w:after="40"/>
              <w:jc w:val="right"/>
            </w:pPr>
            <w:r w:rsidRPr="00261B7A">
              <w:t>–8,658.8</w:t>
            </w:r>
          </w:p>
        </w:tc>
        <w:tc>
          <w:tcPr>
            <w:tcW w:w="1698" w:type="dxa"/>
            <w:shd w:val="clear" w:color="auto" w:fill="auto"/>
            <w:vAlign w:val="center"/>
            <w:hideMark/>
          </w:tcPr>
          <w:p w14:paraId="5CB7AA6C" w14:textId="77777777" w:rsidR="0010265C" w:rsidRPr="00261B7A" w:rsidRDefault="0010265C" w:rsidP="00E24718">
            <w:pPr>
              <w:pStyle w:val="TableText"/>
              <w:spacing w:before="40" w:after="40"/>
              <w:jc w:val="right"/>
            </w:pPr>
            <w:r w:rsidRPr="00261B7A">
              <w:t>–6,177.6</w:t>
            </w:r>
          </w:p>
        </w:tc>
        <w:tc>
          <w:tcPr>
            <w:tcW w:w="1420" w:type="dxa"/>
            <w:shd w:val="clear" w:color="auto" w:fill="auto"/>
            <w:vAlign w:val="center"/>
            <w:hideMark/>
          </w:tcPr>
          <w:p w14:paraId="0D11C5FB" w14:textId="77777777" w:rsidR="0010265C" w:rsidRPr="00261B7A" w:rsidRDefault="0010265C" w:rsidP="00E24718">
            <w:pPr>
              <w:pStyle w:val="TableText"/>
              <w:spacing w:before="40" w:after="40"/>
              <w:jc w:val="right"/>
            </w:pPr>
            <w:r w:rsidRPr="00261B7A">
              <w:t xml:space="preserve">–249.0 </w:t>
            </w:r>
          </w:p>
        </w:tc>
      </w:tr>
      <w:tr w:rsidR="0010265C" w:rsidRPr="00261B7A" w14:paraId="15079B91" w14:textId="77777777" w:rsidTr="00E24718">
        <w:tc>
          <w:tcPr>
            <w:tcW w:w="2410" w:type="dxa"/>
            <w:shd w:val="clear" w:color="auto" w:fill="auto"/>
            <w:vAlign w:val="center"/>
            <w:hideMark/>
          </w:tcPr>
          <w:p w14:paraId="5332E53A" w14:textId="77777777" w:rsidR="0010265C" w:rsidRPr="00261B7A" w:rsidRDefault="0010265C" w:rsidP="00E24718">
            <w:pPr>
              <w:pStyle w:val="TableTextBold"/>
              <w:spacing w:before="40" w:after="40"/>
              <w:rPr>
                <w:noProof w:val="0"/>
              </w:rPr>
            </w:pPr>
            <w:r w:rsidRPr="00261B7A">
              <w:rPr>
                <w:noProof w:val="0"/>
              </w:rPr>
              <w:t>Total LULUCF</w:t>
            </w:r>
          </w:p>
        </w:tc>
        <w:tc>
          <w:tcPr>
            <w:tcW w:w="1559" w:type="dxa"/>
            <w:shd w:val="clear" w:color="auto" w:fill="auto"/>
            <w:vAlign w:val="center"/>
            <w:hideMark/>
          </w:tcPr>
          <w:p w14:paraId="6290BD42" w14:textId="77777777" w:rsidR="0010265C" w:rsidRPr="00261B7A" w:rsidRDefault="0010265C" w:rsidP="00E24718">
            <w:pPr>
              <w:pStyle w:val="TableTextBold"/>
              <w:spacing w:before="40" w:after="40"/>
              <w:jc w:val="right"/>
              <w:rPr>
                <w:noProof w:val="0"/>
              </w:rPr>
            </w:pPr>
            <w:r w:rsidRPr="00261B7A">
              <w:rPr>
                <w:noProof w:val="0"/>
              </w:rPr>
              <w:t>–20,171.2</w:t>
            </w:r>
          </w:p>
        </w:tc>
        <w:tc>
          <w:tcPr>
            <w:tcW w:w="1418" w:type="dxa"/>
            <w:shd w:val="clear" w:color="auto" w:fill="auto"/>
            <w:vAlign w:val="center"/>
            <w:hideMark/>
          </w:tcPr>
          <w:p w14:paraId="65B968FD" w14:textId="77777777" w:rsidR="0010265C" w:rsidRPr="00261B7A" w:rsidRDefault="0010265C" w:rsidP="00E24718">
            <w:pPr>
              <w:pStyle w:val="TableTextBold"/>
              <w:spacing w:before="40" w:after="40"/>
              <w:jc w:val="right"/>
              <w:rPr>
                <w:noProof w:val="0"/>
              </w:rPr>
            </w:pPr>
            <w:r w:rsidRPr="00261B7A">
              <w:rPr>
                <w:noProof w:val="0"/>
              </w:rPr>
              <w:t>–21,078.2</w:t>
            </w:r>
          </w:p>
        </w:tc>
        <w:tc>
          <w:tcPr>
            <w:tcW w:w="1698" w:type="dxa"/>
            <w:shd w:val="clear" w:color="auto" w:fill="auto"/>
            <w:vAlign w:val="center"/>
            <w:hideMark/>
          </w:tcPr>
          <w:p w14:paraId="14FD8DDA" w14:textId="77777777" w:rsidR="0010265C" w:rsidRPr="00261B7A" w:rsidRDefault="0010265C" w:rsidP="00E24718">
            <w:pPr>
              <w:pStyle w:val="TableTextBold"/>
              <w:spacing w:before="40" w:after="40"/>
              <w:jc w:val="right"/>
              <w:rPr>
                <w:noProof w:val="0"/>
              </w:rPr>
            </w:pPr>
            <w:r w:rsidRPr="00261B7A">
              <w:rPr>
                <w:noProof w:val="0"/>
              </w:rPr>
              <w:t>–906.9</w:t>
            </w:r>
          </w:p>
        </w:tc>
        <w:tc>
          <w:tcPr>
            <w:tcW w:w="1420" w:type="dxa"/>
            <w:shd w:val="clear" w:color="auto" w:fill="auto"/>
            <w:vAlign w:val="center"/>
            <w:hideMark/>
          </w:tcPr>
          <w:p w14:paraId="5E3792CD" w14:textId="77777777" w:rsidR="0010265C" w:rsidRPr="00261B7A" w:rsidRDefault="0010265C" w:rsidP="00E24718">
            <w:pPr>
              <w:pStyle w:val="TableTextBold"/>
              <w:spacing w:before="40" w:after="40"/>
              <w:jc w:val="right"/>
              <w:rPr>
                <w:noProof w:val="0"/>
              </w:rPr>
            </w:pPr>
            <w:r w:rsidRPr="00261B7A">
              <w:rPr>
                <w:noProof w:val="0"/>
              </w:rPr>
              <w:t xml:space="preserve">–4.5 </w:t>
            </w:r>
          </w:p>
        </w:tc>
      </w:tr>
    </w:tbl>
    <w:p w14:paraId="5FE7BC07" w14:textId="77777777" w:rsidR="0010265C" w:rsidRPr="00261B7A" w:rsidRDefault="0010265C" w:rsidP="0010265C">
      <w:pPr>
        <w:pStyle w:val="Noteundertable"/>
        <w:spacing w:after="0"/>
      </w:pPr>
      <w:r w:rsidRPr="00261B7A">
        <w:rPr>
          <w:b/>
          <w:bCs/>
        </w:rPr>
        <w:t>Note:</w:t>
      </w:r>
      <w:r w:rsidRPr="00261B7A">
        <w:tab/>
        <w:t>Net removals are expressed as a negative value in the table to help the reader in clarifying that the value is a removal (of CO</w:t>
      </w:r>
      <w:r w:rsidRPr="00261B7A">
        <w:rPr>
          <w:vertAlign w:val="subscript"/>
        </w:rPr>
        <w:t>2</w:t>
      </w:r>
      <w:r w:rsidRPr="00261B7A">
        <w:t xml:space="preserve">-e from the atmosphere) and not an emission. Columns may not total due to rounding. Percentages presented are calculated from unrounded values. </w:t>
      </w:r>
    </w:p>
    <w:p w14:paraId="582534C7" w14:textId="77777777" w:rsidR="0010265C" w:rsidRPr="00261B7A" w:rsidRDefault="0010265C" w:rsidP="0010265C">
      <w:pPr>
        <w:pStyle w:val="Noteundertable"/>
        <w:ind w:firstLine="0"/>
      </w:pPr>
      <w:r w:rsidRPr="00261B7A">
        <w:t>* Indirect emissions as a result of N</w:t>
      </w:r>
      <w:r w:rsidRPr="00261B7A">
        <w:rPr>
          <w:vertAlign w:val="subscript"/>
        </w:rPr>
        <w:t>2</w:t>
      </w:r>
      <w:r w:rsidRPr="00261B7A">
        <w:t>O emissions from leaching and runoff are not disaggregated by land use category in the common reporting format (CRF) tables and are reported separately under non-CO</w:t>
      </w:r>
      <w:r w:rsidRPr="00261B7A">
        <w:rPr>
          <w:vertAlign w:val="subscript"/>
        </w:rPr>
        <w:t>2</w:t>
      </w:r>
      <w:r w:rsidRPr="00261B7A">
        <w:t xml:space="preserve"> emissions in section 6.10.4.</w:t>
      </w:r>
    </w:p>
    <w:p w14:paraId="2666A723" w14:textId="77777777" w:rsidR="0010265C" w:rsidRPr="00261B7A" w:rsidRDefault="0010265C" w:rsidP="00F46CC9">
      <w:pPr>
        <w:pStyle w:val="Figure"/>
      </w:pPr>
      <w:bookmarkStart w:id="1408" w:name="_Toc405448081"/>
      <w:bookmarkStart w:id="1409" w:name="_Toc414531613"/>
      <w:bookmarkStart w:id="1410" w:name="_Toc474914636"/>
      <w:bookmarkStart w:id="1411" w:name="_Toc481752018"/>
      <w:bookmarkStart w:id="1412" w:name="_Toc522010696"/>
      <w:bookmarkStart w:id="1413" w:name="_Toc5269699"/>
      <w:bookmarkStart w:id="1414" w:name="_Toc33529470"/>
      <w:bookmarkStart w:id="1415" w:name="_Toc36292800"/>
      <w:bookmarkStart w:id="1416" w:name="_Toc65244092"/>
      <w:bookmarkStart w:id="1417" w:name="_Toc131591567"/>
      <w:r w:rsidRPr="00261B7A">
        <w:t>Figure 6.1.1</w:t>
      </w:r>
      <w:r w:rsidRPr="00261B7A">
        <w:tab/>
        <w:t>New Zealand’s annual emissions from the LULUCF sector from 1990 to </w:t>
      </w:r>
      <w:bookmarkEnd w:id="1408"/>
      <w:bookmarkEnd w:id="1409"/>
      <w:bookmarkEnd w:id="1410"/>
      <w:bookmarkEnd w:id="1411"/>
      <w:bookmarkEnd w:id="1412"/>
      <w:bookmarkEnd w:id="1413"/>
      <w:bookmarkEnd w:id="1414"/>
      <w:bookmarkEnd w:id="1415"/>
      <w:bookmarkEnd w:id="1416"/>
      <w:r w:rsidRPr="00261B7A">
        <w:t>2021</w:t>
      </w:r>
      <w:bookmarkEnd w:id="1417"/>
    </w:p>
    <w:p w14:paraId="4B26B252" w14:textId="77777777" w:rsidR="0010265C" w:rsidRPr="00261B7A" w:rsidRDefault="0010265C" w:rsidP="00816F21">
      <w:pPr>
        <w:pStyle w:val="BodyText"/>
        <w:spacing w:before="0"/>
      </w:pPr>
      <w:r w:rsidRPr="00261B7A">
        <w:rPr>
          <w:noProof/>
        </w:rPr>
        <w:drawing>
          <wp:inline distT="0" distB="0" distL="0" distR="0" wp14:anchorId="731EC709" wp14:editId="1D691AB4">
            <wp:extent cx="5025390" cy="3188473"/>
            <wp:effectExtent l="0" t="0" r="3810" b="0"/>
            <wp:docPr id="16" name="Chart 16">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2693CE01" w14:textId="77777777" w:rsidR="0010265C" w:rsidRPr="00261B7A" w:rsidRDefault="0010265C" w:rsidP="0010265C">
      <w:pPr>
        <w:pStyle w:val="BodyText"/>
        <w:spacing w:after="100"/>
      </w:pPr>
      <w:r w:rsidRPr="00261B7A">
        <w:t>Emissions in the LULUCF sector are primarily driven by the harvest of production forests, deforestation and the decomposition of organic material following these activities. Removals are primarily from the sequestration of carbon that occurs due to plant growth and increase in the size of the harvested wood products pool. Nitrous oxide can be emitted from the ecosystem as a by-product of nitrification and de</w:t>
      </w:r>
      <w:r w:rsidRPr="00261B7A">
        <w:noBreakHyphen/>
        <w:t>nitrification, and the burning of organic matter. Other gases released during biomass burning include CH</w:t>
      </w:r>
      <w:r w:rsidRPr="00261B7A">
        <w:rPr>
          <w:vertAlign w:val="subscript"/>
        </w:rPr>
        <w:t>4</w:t>
      </w:r>
      <w:r w:rsidRPr="00261B7A">
        <w:t>, carbon monoxide (CO), other oxides of nitrogen (NO</w:t>
      </w:r>
      <w:r w:rsidRPr="00261B7A">
        <w:rPr>
          <w:vertAlign w:val="subscript"/>
        </w:rPr>
        <w:t>x</w:t>
      </w:r>
      <w:r w:rsidRPr="00261B7A">
        <w:t xml:space="preserve">) and non-methane volatile organic compounds (NMVOCs). </w:t>
      </w:r>
    </w:p>
    <w:p w14:paraId="0F52CA84" w14:textId="77777777" w:rsidR="0010265C" w:rsidRPr="00261B7A" w:rsidRDefault="0010265C" w:rsidP="00107DBD">
      <w:pPr>
        <w:pStyle w:val="Heading5"/>
        <w:spacing w:before="180"/>
      </w:pPr>
      <w:r w:rsidRPr="00261B7A">
        <w:t>2020–2021</w:t>
      </w:r>
    </w:p>
    <w:p w14:paraId="762FEEBC" w14:textId="77777777" w:rsidR="0010265C" w:rsidRPr="00261B7A" w:rsidRDefault="0010265C" w:rsidP="0010265C">
      <w:pPr>
        <w:pStyle w:val="BodyText"/>
        <w:spacing w:before="100" w:after="100"/>
      </w:pPr>
      <w:r w:rsidRPr="00261B7A">
        <w:rPr>
          <w:spacing w:val="-2"/>
        </w:rPr>
        <w:t>Net emissions from the LULUCF sector increased between 2020 and 2021 by 2,163.9 kt CO</w:t>
      </w:r>
      <w:r w:rsidRPr="00261B7A">
        <w:rPr>
          <w:spacing w:val="-2"/>
          <w:vertAlign w:val="subscript"/>
        </w:rPr>
        <w:t>2</w:t>
      </w:r>
      <w:r w:rsidRPr="00261B7A">
        <w:rPr>
          <w:spacing w:val="-2"/>
        </w:rPr>
        <w:t>-e (</w:t>
      </w:r>
      <w:r w:rsidRPr="00261B7A">
        <w:t xml:space="preserve">9.3 per cent) (see table 6.1.2). </w:t>
      </w:r>
    </w:p>
    <w:p w14:paraId="27E698C3" w14:textId="77777777" w:rsidR="0010265C" w:rsidRPr="00261B7A" w:rsidRDefault="0010265C" w:rsidP="0010265C">
      <w:pPr>
        <w:pStyle w:val="BodyText"/>
        <w:spacing w:before="100" w:after="100"/>
      </w:pPr>
      <w:r w:rsidRPr="00261B7A">
        <w:t xml:space="preserve">The largest change occurred in the </w:t>
      </w:r>
      <w:r w:rsidRPr="00261B7A">
        <w:rPr>
          <w:i/>
          <w:iCs/>
        </w:rPr>
        <w:t>Forest land </w:t>
      </w:r>
      <w:r w:rsidRPr="00261B7A">
        <w:t>category, with an increase in emissions of 4,882.0 kt CO</w:t>
      </w:r>
      <w:r w:rsidRPr="00261B7A">
        <w:rPr>
          <w:vertAlign w:val="subscript"/>
        </w:rPr>
        <w:t>2</w:t>
      </w:r>
      <w:r w:rsidRPr="00261B7A">
        <w:t>-e. The reason for this change was an increase in harvesting of planted forests. The</w:t>
      </w:r>
      <w:r w:rsidRPr="00261B7A" w:rsidDel="00DE1520">
        <w:t xml:space="preserve"> </w:t>
      </w:r>
      <w:r w:rsidRPr="00261B7A">
        <w:rPr>
          <w:i/>
          <w:iCs/>
        </w:rPr>
        <w:t>Harvested wood products</w:t>
      </w:r>
      <w:r w:rsidRPr="00261B7A">
        <w:t xml:space="preserve"> category had the second-largest change, with a decrease in emissions of 1,824.3 kt CO</w:t>
      </w:r>
      <w:r w:rsidRPr="00261B7A">
        <w:rPr>
          <w:vertAlign w:val="subscript"/>
        </w:rPr>
        <w:t>2</w:t>
      </w:r>
      <w:r w:rsidRPr="00261B7A">
        <w:t xml:space="preserve">-e, which was also driven by higher rates of harvesting. </w:t>
      </w:r>
    </w:p>
    <w:p w14:paraId="547F2B0F" w14:textId="77777777" w:rsidR="0010265C" w:rsidRPr="00261B7A" w:rsidRDefault="0010265C" w:rsidP="002C09C8">
      <w:pPr>
        <w:pStyle w:val="Table"/>
        <w:spacing w:before="100"/>
      </w:pPr>
      <w:bookmarkStart w:id="1418" w:name="_Toc131591382"/>
      <w:r w:rsidRPr="00261B7A">
        <w:t xml:space="preserve">Table 6.1.2 </w:t>
      </w:r>
      <w:r w:rsidRPr="00261B7A">
        <w:tab/>
        <w:t>New Zealand’s greenhouse gas net emissions for the LULUCF sector by land use category</w:t>
      </w:r>
      <w:r w:rsidRPr="00261B7A">
        <w:br/>
        <w:t>in 2020 and 2021</w:t>
      </w:r>
      <w:bookmarkEnd w:id="1418"/>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A0" w:firstRow="1" w:lastRow="0" w:firstColumn="1" w:lastColumn="0" w:noHBand="0" w:noVBand="1"/>
      </w:tblPr>
      <w:tblGrid>
        <w:gridCol w:w="2554"/>
        <w:gridCol w:w="1506"/>
        <w:gridCol w:w="1043"/>
        <w:gridCol w:w="1737"/>
        <w:gridCol w:w="1665"/>
      </w:tblGrid>
      <w:tr w:rsidR="0010265C" w:rsidRPr="00261B7A" w14:paraId="29C35551" w14:textId="77777777" w:rsidTr="00F46CC9">
        <w:trPr>
          <w:tblHeader/>
        </w:trPr>
        <w:tc>
          <w:tcPr>
            <w:tcW w:w="2554" w:type="dxa"/>
            <w:shd w:val="clear" w:color="auto" w:fill="1B556B" w:themeFill="text2"/>
            <w:vAlign w:val="center"/>
            <w:hideMark/>
          </w:tcPr>
          <w:p w14:paraId="2DA3BD76" w14:textId="77777777" w:rsidR="0010265C" w:rsidRPr="00261B7A" w:rsidRDefault="0010265C" w:rsidP="00D41492">
            <w:pPr>
              <w:pStyle w:val="TableTextBold"/>
              <w:spacing w:before="20" w:after="20"/>
              <w:rPr>
                <w:noProof w:val="0"/>
                <w:color w:val="FFFFFF" w:themeColor="background1"/>
              </w:rPr>
            </w:pPr>
          </w:p>
        </w:tc>
        <w:tc>
          <w:tcPr>
            <w:tcW w:w="2549" w:type="dxa"/>
            <w:gridSpan w:val="2"/>
            <w:shd w:val="clear" w:color="auto" w:fill="1B556B" w:themeFill="text2"/>
            <w:vAlign w:val="center"/>
            <w:hideMark/>
          </w:tcPr>
          <w:p w14:paraId="7DA817A1" w14:textId="77777777" w:rsidR="0010265C" w:rsidRPr="00261B7A" w:rsidRDefault="0010265C" w:rsidP="00816F21">
            <w:pPr>
              <w:pStyle w:val="TableTextBold"/>
              <w:spacing w:before="20" w:after="20"/>
              <w:jc w:val="right"/>
              <w:rPr>
                <w:noProof w:val="0"/>
                <w:color w:val="FFFFFF" w:themeColor="background1"/>
              </w:rPr>
            </w:pPr>
            <w:r w:rsidRPr="00261B7A">
              <w:rPr>
                <w:noProof w:val="0"/>
                <w:color w:val="FFFFFF" w:themeColor="background1"/>
              </w:rPr>
              <w:t>Emissions (kt CO</w:t>
            </w:r>
            <w:r w:rsidRPr="00261B7A">
              <w:rPr>
                <w:noProof w:val="0"/>
                <w:color w:val="FFFFFF" w:themeColor="background1"/>
                <w:vertAlign w:val="subscript"/>
              </w:rPr>
              <w:t>2</w:t>
            </w:r>
            <w:r w:rsidRPr="00261B7A">
              <w:rPr>
                <w:noProof w:val="0"/>
                <w:color w:val="FFFFFF" w:themeColor="background1"/>
              </w:rPr>
              <w:t>-e)</w:t>
            </w:r>
          </w:p>
        </w:tc>
        <w:tc>
          <w:tcPr>
            <w:tcW w:w="1737" w:type="dxa"/>
            <w:shd w:val="clear" w:color="000000" w:fill="1B556B" w:themeFill="text2"/>
            <w:vAlign w:val="bottom"/>
            <w:hideMark/>
          </w:tcPr>
          <w:p w14:paraId="349F6B6F" w14:textId="77777777" w:rsidR="0010265C" w:rsidRPr="00261B7A" w:rsidRDefault="0010265C" w:rsidP="00816F21">
            <w:pPr>
              <w:pStyle w:val="TableTextBold"/>
              <w:spacing w:before="20" w:after="20"/>
              <w:jc w:val="right"/>
              <w:rPr>
                <w:noProof w:val="0"/>
                <w:color w:val="FFFFFF" w:themeColor="background1"/>
              </w:rPr>
            </w:pPr>
            <w:r w:rsidRPr="00261B7A">
              <w:rPr>
                <w:noProof w:val="0"/>
                <w:color w:val="FFFFFF" w:themeColor="background1"/>
              </w:rPr>
              <w:t>Difference (kt CO</w:t>
            </w:r>
            <w:r w:rsidRPr="00261B7A">
              <w:rPr>
                <w:noProof w:val="0"/>
                <w:color w:val="FFFFFF" w:themeColor="background1"/>
                <w:vertAlign w:val="subscript"/>
              </w:rPr>
              <w:t>2</w:t>
            </w:r>
            <w:r w:rsidRPr="00261B7A">
              <w:rPr>
                <w:noProof w:val="0"/>
                <w:color w:val="FFFFFF" w:themeColor="background1"/>
              </w:rPr>
              <w:t>-e)</w:t>
            </w:r>
          </w:p>
        </w:tc>
        <w:tc>
          <w:tcPr>
            <w:tcW w:w="1665" w:type="dxa"/>
            <w:shd w:val="clear" w:color="000000" w:fill="1B556B" w:themeFill="text2"/>
            <w:vAlign w:val="bottom"/>
            <w:hideMark/>
          </w:tcPr>
          <w:p w14:paraId="62E9432F" w14:textId="77777777" w:rsidR="0010265C" w:rsidRPr="00261B7A" w:rsidRDefault="0010265C" w:rsidP="00816F21">
            <w:pPr>
              <w:pStyle w:val="TableTextBold"/>
              <w:spacing w:before="20" w:after="20"/>
              <w:jc w:val="right"/>
              <w:rPr>
                <w:noProof w:val="0"/>
                <w:color w:val="FFFFFF" w:themeColor="background1"/>
              </w:rPr>
            </w:pPr>
            <w:r w:rsidRPr="00261B7A">
              <w:rPr>
                <w:noProof w:val="0"/>
                <w:color w:val="FFFFFF" w:themeColor="background1"/>
              </w:rPr>
              <w:t>% change</w:t>
            </w:r>
          </w:p>
        </w:tc>
      </w:tr>
      <w:tr w:rsidR="0010265C" w:rsidRPr="00261B7A" w14:paraId="759E7688" w14:textId="77777777" w:rsidTr="00F46CC9">
        <w:tc>
          <w:tcPr>
            <w:tcW w:w="2554" w:type="dxa"/>
            <w:shd w:val="clear" w:color="auto" w:fill="auto"/>
            <w:vAlign w:val="center"/>
            <w:hideMark/>
          </w:tcPr>
          <w:p w14:paraId="45ACC5D7" w14:textId="77777777" w:rsidR="0010265C" w:rsidRPr="00261B7A" w:rsidRDefault="0010265C" w:rsidP="00D41492">
            <w:pPr>
              <w:pStyle w:val="TableTextBold"/>
              <w:spacing w:before="20" w:after="20"/>
              <w:rPr>
                <w:rFonts w:cs="Calibri"/>
                <w:noProof w:val="0"/>
                <w:szCs w:val="16"/>
              </w:rPr>
            </w:pPr>
            <w:r w:rsidRPr="00261B7A">
              <w:rPr>
                <w:rFonts w:cs="Calibri"/>
                <w:noProof w:val="0"/>
                <w:szCs w:val="16"/>
              </w:rPr>
              <w:t>Land use category</w:t>
            </w:r>
          </w:p>
        </w:tc>
        <w:tc>
          <w:tcPr>
            <w:tcW w:w="1506" w:type="dxa"/>
            <w:shd w:val="clear" w:color="auto" w:fill="auto"/>
            <w:vAlign w:val="center"/>
            <w:hideMark/>
          </w:tcPr>
          <w:p w14:paraId="102E928A" w14:textId="77777777" w:rsidR="0010265C" w:rsidRPr="00261B7A" w:rsidRDefault="0010265C" w:rsidP="00D41492">
            <w:pPr>
              <w:pStyle w:val="TableTextBold"/>
              <w:spacing w:before="20" w:after="20"/>
              <w:jc w:val="right"/>
              <w:rPr>
                <w:rFonts w:cs="Calibri"/>
                <w:noProof w:val="0"/>
                <w:szCs w:val="16"/>
              </w:rPr>
            </w:pPr>
            <w:r w:rsidRPr="00261B7A">
              <w:rPr>
                <w:rFonts w:cs="Calibri"/>
                <w:noProof w:val="0"/>
                <w:szCs w:val="16"/>
              </w:rPr>
              <w:t>2020</w:t>
            </w:r>
          </w:p>
        </w:tc>
        <w:tc>
          <w:tcPr>
            <w:tcW w:w="1043" w:type="dxa"/>
            <w:shd w:val="clear" w:color="auto" w:fill="auto"/>
            <w:vAlign w:val="center"/>
            <w:hideMark/>
          </w:tcPr>
          <w:p w14:paraId="65B86BE8" w14:textId="77777777" w:rsidR="0010265C" w:rsidRPr="00261B7A" w:rsidRDefault="0010265C" w:rsidP="00D41492">
            <w:pPr>
              <w:pStyle w:val="TableTextBold"/>
              <w:spacing w:before="20" w:after="20"/>
              <w:jc w:val="right"/>
              <w:rPr>
                <w:rFonts w:cs="Calibri"/>
                <w:noProof w:val="0"/>
                <w:szCs w:val="16"/>
              </w:rPr>
            </w:pPr>
            <w:r w:rsidRPr="00261B7A">
              <w:rPr>
                <w:rFonts w:cs="Calibri"/>
                <w:noProof w:val="0"/>
                <w:szCs w:val="16"/>
              </w:rPr>
              <w:t>2021</w:t>
            </w:r>
          </w:p>
        </w:tc>
        <w:tc>
          <w:tcPr>
            <w:tcW w:w="1737" w:type="dxa"/>
            <w:shd w:val="clear" w:color="auto" w:fill="auto"/>
            <w:vAlign w:val="center"/>
            <w:hideMark/>
          </w:tcPr>
          <w:p w14:paraId="6F1090D3" w14:textId="77777777" w:rsidR="0010265C" w:rsidRPr="00261B7A" w:rsidRDefault="0010265C" w:rsidP="00D41492">
            <w:pPr>
              <w:pStyle w:val="TableTextBold"/>
              <w:spacing w:before="20" w:after="20"/>
              <w:jc w:val="right"/>
              <w:rPr>
                <w:rFonts w:cs="Calibri"/>
                <w:noProof w:val="0"/>
                <w:szCs w:val="16"/>
              </w:rPr>
            </w:pPr>
            <w:r w:rsidRPr="00261B7A">
              <w:rPr>
                <w:rFonts w:cs="Calibri"/>
                <w:noProof w:val="0"/>
                <w:szCs w:val="16"/>
              </w:rPr>
              <w:t>2020–21</w:t>
            </w:r>
          </w:p>
        </w:tc>
        <w:tc>
          <w:tcPr>
            <w:tcW w:w="1665" w:type="dxa"/>
            <w:shd w:val="clear" w:color="auto" w:fill="auto"/>
            <w:vAlign w:val="center"/>
            <w:hideMark/>
          </w:tcPr>
          <w:p w14:paraId="6990DDEB" w14:textId="77777777" w:rsidR="0010265C" w:rsidRPr="00261B7A" w:rsidRDefault="0010265C" w:rsidP="00D41492">
            <w:pPr>
              <w:pStyle w:val="TableTextBold"/>
              <w:spacing w:before="20" w:after="20"/>
              <w:jc w:val="right"/>
              <w:rPr>
                <w:rFonts w:cs="Calibri"/>
                <w:noProof w:val="0"/>
                <w:szCs w:val="16"/>
              </w:rPr>
            </w:pPr>
            <w:r w:rsidRPr="00261B7A">
              <w:rPr>
                <w:rFonts w:cs="Calibri"/>
                <w:noProof w:val="0"/>
                <w:szCs w:val="16"/>
              </w:rPr>
              <w:t>2020–21</w:t>
            </w:r>
          </w:p>
        </w:tc>
      </w:tr>
      <w:tr w:rsidR="0010265C" w:rsidRPr="00261B7A" w14:paraId="744771E7" w14:textId="77777777" w:rsidTr="00F46CC9">
        <w:tc>
          <w:tcPr>
            <w:tcW w:w="2554" w:type="dxa"/>
            <w:shd w:val="clear" w:color="auto" w:fill="auto"/>
            <w:vAlign w:val="center"/>
            <w:hideMark/>
          </w:tcPr>
          <w:p w14:paraId="5B362A67" w14:textId="77777777" w:rsidR="0010265C" w:rsidRPr="00261B7A" w:rsidRDefault="0010265C" w:rsidP="00D41492">
            <w:pPr>
              <w:pStyle w:val="TableText"/>
              <w:spacing w:before="20" w:after="20"/>
              <w:rPr>
                <w:rFonts w:cs="Calibri"/>
                <w:szCs w:val="16"/>
              </w:rPr>
            </w:pPr>
            <w:r w:rsidRPr="00261B7A">
              <w:rPr>
                <w:rFonts w:cs="Calibri"/>
                <w:szCs w:val="16"/>
              </w:rPr>
              <w:t>Forest land</w:t>
            </w:r>
          </w:p>
        </w:tc>
        <w:tc>
          <w:tcPr>
            <w:tcW w:w="1506" w:type="dxa"/>
            <w:shd w:val="clear" w:color="auto" w:fill="auto"/>
            <w:vAlign w:val="bottom"/>
            <w:hideMark/>
          </w:tcPr>
          <w:p w14:paraId="480599F1" w14:textId="77777777" w:rsidR="0010265C" w:rsidRPr="00261B7A" w:rsidRDefault="0010265C" w:rsidP="00D41492">
            <w:pPr>
              <w:pStyle w:val="TableText"/>
              <w:spacing w:before="20" w:after="20"/>
              <w:jc w:val="right"/>
              <w:rPr>
                <w:rFonts w:cs="Calibri"/>
                <w:szCs w:val="16"/>
              </w:rPr>
            </w:pPr>
            <w:r w:rsidRPr="00261B7A">
              <w:t>–</w:t>
            </w:r>
            <w:r w:rsidRPr="00261B7A">
              <w:rPr>
                <w:rFonts w:cs="Calibri"/>
                <w:color w:val="000000"/>
                <w:szCs w:val="16"/>
              </w:rPr>
              <w:t>20,661.7</w:t>
            </w:r>
          </w:p>
        </w:tc>
        <w:tc>
          <w:tcPr>
            <w:tcW w:w="1043" w:type="dxa"/>
            <w:shd w:val="clear" w:color="auto" w:fill="auto"/>
            <w:vAlign w:val="bottom"/>
            <w:hideMark/>
          </w:tcPr>
          <w:p w14:paraId="19EF9B4E" w14:textId="77777777" w:rsidR="0010265C" w:rsidRPr="00261B7A" w:rsidRDefault="0010265C" w:rsidP="00D41492">
            <w:pPr>
              <w:pStyle w:val="TableText"/>
              <w:spacing w:before="20" w:after="20"/>
              <w:jc w:val="right"/>
              <w:rPr>
                <w:rFonts w:cs="Calibri"/>
                <w:szCs w:val="16"/>
              </w:rPr>
            </w:pPr>
            <w:r w:rsidRPr="00261B7A">
              <w:t>–</w:t>
            </w:r>
            <w:r w:rsidRPr="00261B7A">
              <w:rPr>
                <w:rFonts w:cs="Calibri"/>
                <w:color w:val="000000"/>
                <w:szCs w:val="16"/>
              </w:rPr>
              <w:t>15,779.7</w:t>
            </w:r>
          </w:p>
        </w:tc>
        <w:tc>
          <w:tcPr>
            <w:tcW w:w="1737" w:type="dxa"/>
            <w:shd w:val="clear" w:color="auto" w:fill="auto"/>
            <w:vAlign w:val="bottom"/>
            <w:hideMark/>
          </w:tcPr>
          <w:p w14:paraId="1825B044"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4,882.0</w:t>
            </w:r>
          </w:p>
        </w:tc>
        <w:tc>
          <w:tcPr>
            <w:tcW w:w="1665" w:type="dxa"/>
            <w:shd w:val="clear" w:color="auto" w:fill="auto"/>
            <w:vAlign w:val="bottom"/>
            <w:hideMark/>
          </w:tcPr>
          <w:p w14:paraId="78E7EBA1"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23.6</w:t>
            </w:r>
          </w:p>
        </w:tc>
      </w:tr>
      <w:tr w:rsidR="0010265C" w:rsidRPr="00261B7A" w14:paraId="5CEC9E96" w14:textId="77777777" w:rsidTr="00F46CC9">
        <w:tc>
          <w:tcPr>
            <w:tcW w:w="2554" w:type="dxa"/>
            <w:shd w:val="clear" w:color="auto" w:fill="auto"/>
            <w:vAlign w:val="center"/>
            <w:hideMark/>
          </w:tcPr>
          <w:p w14:paraId="73E992D7" w14:textId="77777777" w:rsidR="0010265C" w:rsidRPr="00261B7A" w:rsidRDefault="0010265C" w:rsidP="00D41492">
            <w:pPr>
              <w:pStyle w:val="TableText"/>
              <w:spacing w:before="20" w:after="20"/>
              <w:rPr>
                <w:rFonts w:cs="Calibri"/>
                <w:szCs w:val="16"/>
              </w:rPr>
            </w:pPr>
            <w:r w:rsidRPr="00261B7A">
              <w:rPr>
                <w:rFonts w:cs="Calibri"/>
                <w:szCs w:val="16"/>
              </w:rPr>
              <w:t>Cropland</w:t>
            </w:r>
          </w:p>
        </w:tc>
        <w:tc>
          <w:tcPr>
            <w:tcW w:w="1506" w:type="dxa"/>
            <w:shd w:val="clear" w:color="auto" w:fill="auto"/>
            <w:vAlign w:val="bottom"/>
            <w:hideMark/>
          </w:tcPr>
          <w:p w14:paraId="62B33FE9"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382.8</w:t>
            </w:r>
          </w:p>
        </w:tc>
        <w:tc>
          <w:tcPr>
            <w:tcW w:w="1043" w:type="dxa"/>
            <w:shd w:val="clear" w:color="auto" w:fill="auto"/>
            <w:vAlign w:val="bottom"/>
            <w:hideMark/>
          </w:tcPr>
          <w:p w14:paraId="11A7A696"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378.3</w:t>
            </w:r>
          </w:p>
        </w:tc>
        <w:tc>
          <w:tcPr>
            <w:tcW w:w="1737" w:type="dxa"/>
            <w:shd w:val="clear" w:color="auto" w:fill="auto"/>
            <w:vAlign w:val="bottom"/>
            <w:hideMark/>
          </w:tcPr>
          <w:p w14:paraId="67AE9345"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–4.5</w:t>
            </w:r>
          </w:p>
        </w:tc>
        <w:tc>
          <w:tcPr>
            <w:tcW w:w="1665" w:type="dxa"/>
            <w:shd w:val="clear" w:color="auto" w:fill="auto"/>
            <w:vAlign w:val="bottom"/>
            <w:hideMark/>
          </w:tcPr>
          <w:p w14:paraId="2F54A28C" w14:textId="77777777" w:rsidR="0010265C" w:rsidRPr="00261B7A" w:rsidRDefault="0010265C" w:rsidP="00D41492">
            <w:pPr>
              <w:pStyle w:val="TableText"/>
              <w:spacing w:before="20" w:after="20"/>
              <w:jc w:val="right"/>
              <w:rPr>
                <w:rFonts w:cs="Calibri"/>
                <w:szCs w:val="16"/>
              </w:rPr>
            </w:pPr>
            <w:r w:rsidRPr="00261B7A">
              <w:t>–</w:t>
            </w:r>
            <w:r w:rsidRPr="00261B7A">
              <w:rPr>
                <w:rFonts w:cs="Calibri"/>
                <w:color w:val="000000"/>
                <w:szCs w:val="16"/>
              </w:rPr>
              <w:t>1.2</w:t>
            </w:r>
          </w:p>
        </w:tc>
      </w:tr>
      <w:tr w:rsidR="0010265C" w:rsidRPr="00261B7A" w14:paraId="1C0BC6ED" w14:textId="77777777" w:rsidTr="00F46CC9">
        <w:tc>
          <w:tcPr>
            <w:tcW w:w="2554" w:type="dxa"/>
            <w:shd w:val="clear" w:color="auto" w:fill="auto"/>
            <w:vAlign w:val="center"/>
            <w:hideMark/>
          </w:tcPr>
          <w:p w14:paraId="7C8CD680" w14:textId="77777777" w:rsidR="0010265C" w:rsidRPr="00261B7A" w:rsidRDefault="0010265C" w:rsidP="00D41492">
            <w:pPr>
              <w:pStyle w:val="TableText"/>
              <w:spacing w:before="20" w:after="20"/>
              <w:rPr>
                <w:rFonts w:cs="Calibri"/>
                <w:szCs w:val="16"/>
              </w:rPr>
            </w:pPr>
            <w:r w:rsidRPr="00261B7A">
              <w:rPr>
                <w:rFonts w:cs="Calibri"/>
                <w:szCs w:val="16"/>
              </w:rPr>
              <w:t>Grassland</w:t>
            </w:r>
          </w:p>
        </w:tc>
        <w:tc>
          <w:tcPr>
            <w:tcW w:w="1506" w:type="dxa"/>
            <w:shd w:val="clear" w:color="auto" w:fill="auto"/>
            <w:vAlign w:val="bottom"/>
            <w:hideMark/>
          </w:tcPr>
          <w:p w14:paraId="420DEFED"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3,628.1</w:t>
            </w:r>
          </w:p>
        </w:tc>
        <w:tc>
          <w:tcPr>
            <w:tcW w:w="1043" w:type="dxa"/>
            <w:shd w:val="clear" w:color="auto" w:fill="auto"/>
            <w:vAlign w:val="bottom"/>
            <w:hideMark/>
          </w:tcPr>
          <w:p w14:paraId="2BBA21A7"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2,744.3</w:t>
            </w:r>
          </w:p>
        </w:tc>
        <w:tc>
          <w:tcPr>
            <w:tcW w:w="1737" w:type="dxa"/>
            <w:shd w:val="clear" w:color="auto" w:fill="auto"/>
            <w:vAlign w:val="bottom"/>
            <w:hideMark/>
          </w:tcPr>
          <w:p w14:paraId="1EA9D33F"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–883.8</w:t>
            </w:r>
          </w:p>
        </w:tc>
        <w:tc>
          <w:tcPr>
            <w:tcW w:w="1665" w:type="dxa"/>
            <w:shd w:val="clear" w:color="auto" w:fill="auto"/>
            <w:vAlign w:val="bottom"/>
            <w:hideMark/>
          </w:tcPr>
          <w:p w14:paraId="7419C79D" w14:textId="77777777" w:rsidR="0010265C" w:rsidRPr="00261B7A" w:rsidRDefault="0010265C" w:rsidP="00D41492">
            <w:pPr>
              <w:pStyle w:val="TableText"/>
              <w:spacing w:before="20" w:after="20"/>
              <w:jc w:val="right"/>
              <w:rPr>
                <w:rFonts w:cs="Calibri"/>
                <w:szCs w:val="16"/>
              </w:rPr>
            </w:pPr>
            <w:r w:rsidRPr="00261B7A">
              <w:t>–</w:t>
            </w:r>
            <w:r w:rsidRPr="00261B7A">
              <w:rPr>
                <w:rFonts w:cs="Calibri"/>
                <w:color w:val="000000"/>
                <w:szCs w:val="16"/>
              </w:rPr>
              <w:t>24.4</w:t>
            </w:r>
          </w:p>
        </w:tc>
      </w:tr>
      <w:tr w:rsidR="0010265C" w:rsidRPr="00261B7A" w14:paraId="403FC8F4" w14:textId="77777777" w:rsidTr="00F46CC9">
        <w:tc>
          <w:tcPr>
            <w:tcW w:w="2554" w:type="dxa"/>
            <w:shd w:val="clear" w:color="auto" w:fill="auto"/>
            <w:vAlign w:val="center"/>
            <w:hideMark/>
          </w:tcPr>
          <w:p w14:paraId="0ADB335D" w14:textId="77777777" w:rsidR="0010265C" w:rsidRPr="00261B7A" w:rsidRDefault="0010265C" w:rsidP="00D41492">
            <w:pPr>
              <w:pStyle w:val="TableText"/>
              <w:spacing w:before="20" w:after="20"/>
              <w:rPr>
                <w:rFonts w:cs="Calibri"/>
                <w:szCs w:val="16"/>
              </w:rPr>
            </w:pPr>
            <w:r w:rsidRPr="00261B7A">
              <w:rPr>
                <w:rFonts w:cs="Calibri"/>
                <w:szCs w:val="16"/>
              </w:rPr>
              <w:t>Wetlands</w:t>
            </w:r>
          </w:p>
        </w:tc>
        <w:tc>
          <w:tcPr>
            <w:tcW w:w="1506" w:type="dxa"/>
            <w:shd w:val="clear" w:color="auto" w:fill="auto"/>
            <w:vAlign w:val="bottom"/>
            <w:hideMark/>
          </w:tcPr>
          <w:p w14:paraId="164E3248"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11.2</w:t>
            </w:r>
          </w:p>
        </w:tc>
        <w:tc>
          <w:tcPr>
            <w:tcW w:w="1043" w:type="dxa"/>
            <w:shd w:val="clear" w:color="auto" w:fill="auto"/>
            <w:vAlign w:val="bottom"/>
            <w:hideMark/>
          </w:tcPr>
          <w:p w14:paraId="50EBB02C"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11.4</w:t>
            </w:r>
          </w:p>
        </w:tc>
        <w:tc>
          <w:tcPr>
            <w:tcW w:w="1737" w:type="dxa"/>
            <w:shd w:val="clear" w:color="auto" w:fill="auto"/>
            <w:vAlign w:val="bottom"/>
            <w:hideMark/>
          </w:tcPr>
          <w:p w14:paraId="7CD274C7"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0.2</w:t>
            </w:r>
          </w:p>
        </w:tc>
        <w:tc>
          <w:tcPr>
            <w:tcW w:w="1665" w:type="dxa"/>
            <w:shd w:val="clear" w:color="auto" w:fill="auto"/>
            <w:vAlign w:val="bottom"/>
            <w:hideMark/>
          </w:tcPr>
          <w:p w14:paraId="30D6EC9B"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1.8</w:t>
            </w:r>
          </w:p>
        </w:tc>
      </w:tr>
      <w:tr w:rsidR="0010265C" w:rsidRPr="00261B7A" w14:paraId="0F232D48" w14:textId="77777777" w:rsidTr="00F46CC9">
        <w:tc>
          <w:tcPr>
            <w:tcW w:w="2554" w:type="dxa"/>
            <w:shd w:val="clear" w:color="auto" w:fill="auto"/>
            <w:vAlign w:val="center"/>
            <w:hideMark/>
          </w:tcPr>
          <w:p w14:paraId="6A0D1FE4" w14:textId="77777777" w:rsidR="0010265C" w:rsidRPr="00261B7A" w:rsidRDefault="0010265C" w:rsidP="00D41492">
            <w:pPr>
              <w:pStyle w:val="TableText"/>
              <w:spacing w:before="20" w:after="20"/>
              <w:rPr>
                <w:rFonts w:cs="Calibri"/>
                <w:szCs w:val="16"/>
              </w:rPr>
            </w:pPr>
            <w:r w:rsidRPr="00261B7A">
              <w:rPr>
                <w:rFonts w:cs="Calibri"/>
                <w:szCs w:val="16"/>
              </w:rPr>
              <w:t>Settlements</w:t>
            </w:r>
          </w:p>
        </w:tc>
        <w:tc>
          <w:tcPr>
            <w:tcW w:w="1506" w:type="dxa"/>
            <w:shd w:val="clear" w:color="auto" w:fill="auto"/>
            <w:vAlign w:val="bottom"/>
            <w:hideMark/>
          </w:tcPr>
          <w:p w14:paraId="148D5336"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121.7</w:t>
            </w:r>
          </w:p>
        </w:tc>
        <w:tc>
          <w:tcPr>
            <w:tcW w:w="1043" w:type="dxa"/>
            <w:shd w:val="clear" w:color="auto" w:fill="auto"/>
            <w:vAlign w:val="bottom"/>
            <w:hideMark/>
          </w:tcPr>
          <w:p w14:paraId="0CBDE8E1"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122.2</w:t>
            </w:r>
          </w:p>
        </w:tc>
        <w:tc>
          <w:tcPr>
            <w:tcW w:w="1737" w:type="dxa"/>
            <w:shd w:val="clear" w:color="auto" w:fill="auto"/>
            <w:vAlign w:val="bottom"/>
            <w:hideMark/>
          </w:tcPr>
          <w:p w14:paraId="6C9BC44C"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0.4</w:t>
            </w:r>
          </w:p>
        </w:tc>
        <w:tc>
          <w:tcPr>
            <w:tcW w:w="1665" w:type="dxa"/>
            <w:shd w:val="clear" w:color="auto" w:fill="auto"/>
            <w:vAlign w:val="bottom"/>
            <w:hideMark/>
          </w:tcPr>
          <w:p w14:paraId="2EC6792B"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0.3</w:t>
            </w:r>
          </w:p>
        </w:tc>
      </w:tr>
      <w:tr w:rsidR="0010265C" w:rsidRPr="00261B7A" w14:paraId="3B320C3B" w14:textId="77777777" w:rsidTr="00F46CC9">
        <w:tc>
          <w:tcPr>
            <w:tcW w:w="2554" w:type="dxa"/>
            <w:shd w:val="clear" w:color="auto" w:fill="auto"/>
            <w:vAlign w:val="center"/>
            <w:hideMark/>
          </w:tcPr>
          <w:p w14:paraId="538CE1A5" w14:textId="77777777" w:rsidR="0010265C" w:rsidRPr="00261B7A" w:rsidRDefault="0010265C" w:rsidP="00D41492">
            <w:pPr>
              <w:pStyle w:val="TableText"/>
              <w:spacing w:before="20" w:after="20"/>
              <w:rPr>
                <w:rFonts w:cs="Calibri"/>
                <w:szCs w:val="16"/>
              </w:rPr>
            </w:pPr>
            <w:r w:rsidRPr="00261B7A">
              <w:rPr>
                <w:rFonts w:cs="Calibri"/>
                <w:szCs w:val="16"/>
              </w:rPr>
              <w:t>Other land</w:t>
            </w:r>
          </w:p>
        </w:tc>
        <w:tc>
          <w:tcPr>
            <w:tcW w:w="1506" w:type="dxa"/>
            <w:shd w:val="clear" w:color="auto" w:fill="auto"/>
            <w:vAlign w:val="bottom"/>
            <w:hideMark/>
          </w:tcPr>
          <w:p w14:paraId="5EB96383"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92.7</w:t>
            </w:r>
          </w:p>
        </w:tc>
        <w:tc>
          <w:tcPr>
            <w:tcW w:w="1043" w:type="dxa"/>
            <w:shd w:val="clear" w:color="auto" w:fill="auto"/>
            <w:vAlign w:val="bottom"/>
            <w:hideMark/>
          </w:tcPr>
          <w:p w14:paraId="092B7A00"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85.7</w:t>
            </w:r>
          </w:p>
        </w:tc>
        <w:tc>
          <w:tcPr>
            <w:tcW w:w="1737" w:type="dxa"/>
            <w:shd w:val="clear" w:color="auto" w:fill="auto"/>
            <w:vAlign w:val="bottom"/>
            <w:hideMark/>
          </w:tcPr>
          <w:p w14:paraId="63F40A92" w14:textId="77777777" w:rsidR="0010265C" w:rsidRPr="00261B7A" w:rsidRDefault="0010265C" w:rsidP="00D41492">
            <w:pPr>
              <w:pStyle w:val="TableText"/>
              <w:spacing w:before="20" w:after="20"/>
              <w:jc w:val="right"/>
              <w:rPr>
                <w:rFonts w:cs="Calibri"/>
                <w:szCs w:val="16"/>
              </w:rPr>
            </w:pPr>
            <w:r w:rsidRPr="00261B7A">
              <w:t>–</w:t>
            </w:r>
            <w:r w:rsidRPr="00261B7A">
              <w:rPr>
                <w:rFonts w:cs="Calibri"/>
                <w:color w:val="000000"/>
                <w:szCs w:val="16"/>
              </w:rPr>
              <w:t>7.0</w:t>
            </w:r>
          </w:p>
        </w:tc>
        <w:tc>
          <w:tcPr>
            <w:tcW w:w="1665" w:type="dxa"/>
            <w:shd w:val="clear" w:color="auto" w:fill="auto"/>
            <w:vAlign w:val="bottom"/>
            <w:hideMark/>
          </w:tcPr>
          <w:p w14:paraId="24466233" w14:textId="77777777" w:rsidR="0010265C" w:rsidRPr="00261B7A" w:rsidRDefault="0010265C" w:rsidP="00D41492">
            <w:pPr>
              <w:pStyle w:val="TableText"/>
              <w:spacing w:before="20" w:after="20"/>
              <w:jc w:val="right"/>
              <w:rPr>
                <w:rFonts w:cs="Calibri"/>
                <w:szCs w:val="16"/>
              </w:rPr>
            </w:pPr>
            <w:r w:rsidRPr="00261B7A">
              <w:t>–</w:t>
            </w:r>
            <w:r w:rsidRPr="00261B7A">
              <w:rPr>
                <w:rFonts w:cs="Calibri"/>
                <w:color w:val="000000"/>
                <w:szCs w:val="16"/>
              </w:rPr>
              <w:t>7.6</w:t>
            </w:r>
          </w:p>
        </w:tc>
      </w:tr>
      <w:tr w:rsidR="0010265C" w:rsidRPr="00261B7A" w14:paraId="55383067" w14:textId="77777777" w:rsidTr="00F46CC9">
        <w:tc>
          <w:tcPr>
            <w:tcW w:w="2554" w:type="dxa"/>
            <w:shd w:val="clear" w:color="auto" w:fill="auto"/>
            <w:noWrap/>
            <w:vAlign w:val="center"/>
          </w:tcPr>
          <w:p w14:paraId="0A0BF4C6" w14:textId="77777777" w:rsidR="0010265C" w:rsidRPr="00261B7A" w:rsidRDefault="0010265C" w:rsidP="00D41492">
            <w:pPr>
              <w:pStyle w:val="TableText"/>
              <w:spacing w:before="20" w:after="20"/>
              <w:rPr>
                <w:rFonts w:cs="Calibri"/>
                <w:szCs w:val="16"/>
              </w:rPr>
            </w:pPr>
            <w:r w:rsidRPr="00261B7A">
              <w:rPr>
                <w:rFonts w:cs="Calibri"/>
                <w:szCs w:val="16"/>
              </w:rPr>
              <w:t>Indirect emissions*</w:t>
            </w:r>
          </w:p>
        </w:tc>
        <w:tc>
          <w:tcPr>
            <w:tcW w:w="1506" w:type="dxa"/>
            <w:shd w:val="clear" w:color="auto" w:fill="auto"/>
            <w:vAlign w:val="bottom"/>
          </w:tcPr>
          <w:p w14:paraId="07BA1265"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17.7</w:t>
            </w:r>
          </w:p>
        </w:tc>
        <w:tc>
          <w:tcPr>
            <w:tcW w:w="1043" w:type="dxa"/>
            <w:shd w:val="clear" w:color="auto" w:fill="auto"/>
            <w:vAlign w:val="bottom"/>
          </w:tcPr>
          <w:p w14:paraId="08606497"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18.5</w:t>
            </w:r>
          </w:p>
        </w:tc>
        <w:tc>
          <w:tcPr>
            <w:tcW w:w="1737" w:type="dxa"/>
            <w:shd w:val="clear" w:color="auto" w:fill="auto"/>
            <w:vAlign w:val="bottom"/>
          </w:tcPr>
          <w:p w14:paraId="74FFBBA9"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0.8</w:t>
            </w:r>
          </w:p>
        </w:tc>
        <w:tc>
          <w:tcPr>
            <w:tcW w:w="1665" w:type="dxa"/>
            <w:shd w:val="clear" w:color="auto" w:fill="auto"/>
            <w:vAlign w:val="bottom"/>
          </w:tcPr>
          <w:p w14:paraId="11CF3530" w14:textId="77777777" w:rsidR="0010265C" w:rsidRPr="00261B7A" w:rsidRDefault="0010265C" w:rsidP="00D41492">
            <w:pPr>
              <w:pStyle w:val="TableText"/>
              <w:spacing w:before="20" w:after="20"/>
              <w:jc w:val="right"/>
              <w:rPr>
                <w:rFonts w:cs="Calibri"/>
                <w:szCs w:val="16"/>
              </w:rPr>
            </w:pPr>
            <w:r w:rsidRPr="00261B7A">
              <w:rPr>
                <w:rFonts w:cs="Calibri"/>
                <w:color w:val="000000"/>
                <w:szCs w:val="16"/>
              </w:rPr>
              <w:t>4.6</w:t>
            </w:r>
          </w:p>
        </w:tc>
      </w:tr>
      <w:tr w:rsidR="0010265C" w:rsidRPr="00261B7A" w14:paraId="1707F1B9" w14:textId="77777777" w:rsidTr="00F46CC9">
        <w:tc>
          <w:tcPr>
            <w:tcW w:w="2554" w:type="dxa"/>
            <w:shd w:val="clear" w:color="auto" w:fill="auto"/>
            <w:noWrap/>
            <w:vAlign w:val="center"/>
            <w:hideMark/>
          </w:tcPr>
          <w:p w14:paraId="67A5C192" w14:textId="77777777" w:rsidR="0010265C" w:rsidRPr="00261B7A" w:rsidRDefault="0010265C" w:rsidP="00D41492">
            <w:pPr>
              <w:pStyle w:val="TableText"/>
              <w:spacing w:before="20" w:after="20"/>
              <w:rPr>
                <w:rFonts w:cs="Calibri"/>
                <w:szCs w:val="16"/>
              </w:rPr>
            </w:pPr>
            <w:r w:rsidRPr="00261B7A">
              <w:rPr>
                <w:rFonts w:cs="Calibri"/>
                <w:szCs w:val="16"/>
              </w:rPr>
              <w:t>Harvested wood products</w:t>
            </w:r>
          </w:p>
        </w:tc>
        <w:tc>
          <w:tcPr>
            <w:tcW w:w="1506" w:type="dxa"/>
            <w:shd w:val="clear" w:color="auto" w:fill="auto"/>
            <w:vAlign w:val="bottom"/>
            <w:hideMark/>
          </w:tcPr>
          <w:p w14:paraId="5CFFFC4B" w14:textId="77777777" w:rsidR="0010265C" w:rsidRPr="00261B7A" w:rsidRDefault="0010265C" w:rsidP="00D41492">
            <w:pPr>
              <w:pStyle w:val="TableText"/>
              <w:spacing w:before="20" w:after="20"/>
              <w:jc w:val="right"/>
              <w:rPr>
                <w:rFonts w:cs="Calibri"/>
                <w:szCs w:val="16"/>
              </w:rPr>
            </w:pPr>
            <w:r w:rsidRPr="00261B7A">
              <w:t>–</w:t>
            </w:r>
            <w:r w:rsidRPr="00261B7A">
              <w:rPr>
                <w:rFonts w:cs="Calibri"/>
                <w:color w:val="000000"/>
                <w:szCs w:val="16"/>
              </w:rPr>
              <w:t>6,834.6</w:t>
            </w:r>
          </w:p>
        </w:tc>
        <w:tc>
          <w:tcPr>
            <w:tcW w:w="1043" w:type="dxa"/>
            <w:shd w:val="clear" w:color="auto" w:fill="auto"/>
            <w:vAlign w:val="bottom"/>
            <w:hideMark/>
          </w:tcPr>
          <w:p w14:paraId="637EA58E" w14:textId="77777777" w:rsidR="0010265C" w:rsidRPr="00261B7A" w:rsidRDefault="0010265C" w:rsidP="00D41492">
            <w:pPr>
              <w:pStyle w:val="TableText"/>
              <w:spacing w:before="20" w:after="20"/>
              <w:jc w:val="right"/>
              <w:rPr>
                <w:rFonts w:cs="Calibri"/>
                <w:szCs w:val="16"/>
              </w:rPr>
            </w:pPr>
            <w:r w:rsidRPr="00261B7A">
              <w:t>–</w:t>
            </w:r>
            <w:r w:rsidRPr="00261B7A">
              <w:rPr>
                <w:rFonts w:cs="Calibri"/>
                <w:color w:val="000000"/>
                <w:szCs w:val="16"/>
              </w:rPr>
              <w:t>8,658.8</w:t>
            </w:r>
          </w:p>
        </w:tc>
        <w:tc>
          <w:tcPr>
            <w:tcW w:w="1737" w:type="dxa"/>
            <w:shd w:val="clear" w:color="auto" w:fill="auto"/>
            <w:vAlign w:val="bottom"/>
            <w:hideMark/>
          </w:tcPr>
          <w:p w14:paraId="0CA23066" w14:textId="77777777" w:rsidR="0010265C" w:rsidRPr="00261B7A" w:rsidRDefault="0010265C" w:rsidP="00D41492">
            <w:pPr>
              <w:pStyle w:val="TableText"/>
              <w:spacing w:before="20" w:after="20"/>
              <w:jc w:val="right"/>
              <w:rPr>
                <w:rFonts w:cs="Calibri"/>
                <w:szCs w:val="16"/>
              </w:rPr>
            </w:pPr>
            <w:r w:rsidRPr="00261B7A">
              <w:t>–</w:t>
            </w:r>
            <w:r w:rsidRPr="00261B7A">
              <w:rPr>
                <w:rFonts w:cs="Calibri"/>
                <w:color w:val="000000"/>
                <w:szCs w:val="16"/>
              </w:rPr>
              <w:t>1,824.3</w:t>
            </w:r>
          </w:p>
        </w:tc>
        <w:tc>
          <w:tcPr>
            <w:tcW w:w="1665" w:type="dxa"/>
            <w:shd w:val="clear" w:color="auto" w:fill="auto"/>
            <w:vAlign w:val="bottom"/>
            <w:hideMark/>
          </w:tcPr>
          <w:p w14:paraId="45277D8A" w14:textId="77777777" w:rsidR="0010265C" w:rsidRPr="00261B7A" w:rsidRDefault="0010265C" w:rsidP="00D41492">
            <w:pPr>
              <w:pStyle w:val="TableText"/>
              <w:spacing w:before="20" w:after="20"/>
              <w:jc w:val="right"/>
              <w:rPr>
                <w:rFonts w:cs="Calibri"/>
                <w:szCs w:val="16"/>
              </w:rPr>
            </w:pPr>
            <w:r w:rsidRPr="00261B7A">
              <w:t>–</w:t>
            </w:r>
            <w:r w:rsidRPr="00261B7A">
              <w:rPr>
                <w:rFonts w:cs="Calibri"/>
                <w:color w:val="000000"/>
                <w:szCs w:val="16"/>
              </w:rPr>
              <w:t>26.7</w:t>
            </w:r>
          </w:p>
        </w:tc>
      </w:tr>
      <w:tr w:rsidR="0010265C" w:rsidRPr="00261B7A" w14:paraId="4B90621B" w14:textId="77777777" w:rsidTr="00F46CC9">
        <w:tc>
          <w:tcPr>
            <w:tcW w:w="2554" w:type="dxa"/>
            <w:shd w:val="clear" w:color="auto" w:fill="auto"/>
            <w:vAlign w:val="center"/>
            <w:hideMark/>
          </w:tcPr>
          <w:p w14:paraId="26D110D6" w14:textId="77777777" w:rsidR="0010265C" w:rsidRPr="00261B7A" w:rsidRDefault="0010265C" w:rsidP="00F46CC9">
            <w:pPr>
              <w:pStyle w:val="Tableboldblue"/>
              <w:spacing w:before="20" w:after="20"/>
              <w:jc w:val="right"/>
            </w:pPr>
            <w:r w:rsidRPr="00261B7A">
              <w:t>Total LULUCF</w:t>
            </w:r>
          </w:p>
        </w:tc>
        <w:tc>
          <w:tcPr>
            <w:tcW w:w="1506" w:type="dxa"/>
            <w:shd w:val="clear" w:color="auto" w:fill="auto"/>
            <w:hideMark/>
          </w:tcPr>
          <w:p w14:paraId="3D7FB849" w14:textId="77777777" w:rsidR="0010265C" w:rsidRPr="00261B7A" w:rsidRDefault="0010265C" w:rsidP="00F46CC9">
            <w:pPr>
              <w:pStyle w:val="Tableboldblue"/>
              <w:spacing w:before="20" w:after="20"/>
              <w:jc w:val="right"/>
            </w:pPr>
            <w:r w:rsidRPr="00261B7A">
              <w:t>–23,242.0</w:t>
            </w:r>
          </w:p>
        </w:tc>
        <w:tc>
          <w:tcPr>
            <w:tcW w:w="1043" w:type="dxa"/>
            <w:shd w:val="clear" w:color="auto" w:fill="auto"/>
            <w:hideMark/>
          </w:tcPr>
          <w:p w14:paraId="67CD9A7D" w14:textId="77777777" w:rsidR="0010265C" w:rsidRPr="00261B7A" w:rsidRDefault="0010265C" w:rsidP="00F46CC9">
            <w:pPr>
              <w:pStyle w:val="Tableboldblue"/>
              <w:spacing w:before="20" w:after="20"/>
              <w:jc w:val="right"/>
            </w:pPr>
            <w:r w:rsidRPr="00261B7A">
              <w:t>–21,078.2</w:t>
            </w:r>
          </w:p>
        </w:tc>
        <w:tc>
          <w:tcPr>
            <w:tcW w:w="1737" w:type="dxa"/>
            <w:shd w:val="clear" w:color="auto" w:fill="auto"/>
            <w:vAlign w:val="center"/>
            <w:hideMark/>
          </w:tcPr>
          <w:p w14:paraId="55ACA2AC" w14:textId="77777777" w:rsidR="0010265C" w:rsidRPr="00261B7A" w:rsidRDefault="0010265C" w:rsidP="00F46CC9">
            <w:pPr>
              <w:pStyle w:val="Tableboldblue"/>
              <w:spacing w:before="20" w:after="20"/>
              <w:jc w:val="right"/>
              <w:rPr>
                <w:rFonts w:cs="Calibri"/>
                <w:szCs w:val="16"/>
              </w:rPr>
            </w:pPr>
            <w:r w:rsidRPr="00261B7A">
              <w:rPr>
                <w:rFonts w:cs="Calibri"/>
                <w:color w:val="000000"/>
                <w:szCs w:val="16"/>
              </w:rPr>
              <w:t>2,163.9</w:t>
            </w:r>
          </w:p>
        </w:tc>
        <w:tc>
          <w:tcPr>
            <w:tcW w:w="1665" w:type="dxa"/>
            <w:shd w:val="clear" w:color="auto" w:fill="auto"/>
            <w:vAlign w:val="center"/>
            <w:hideMark/>
          </w:tcPr>
          <w:p w14:paraId="5AE98496" w14:textId="77777777" w:rsidR="0010265C" w:rsidRPr="00261B7A" w:rsidRDefault="0010265C" w:rsidP="00F46CC9">
            <w:pPr>
              <w:pStyle w:val="Tableboldblue"/>
              <w:spacing w:before="20" w:after="20"/>
              <w:jc w:val="right"/>
              <w:rPr>
                <w:rFonts w:cs="Calibri"/>
                <w:szCs w:val="16"/>
              </w:rPr>
            </w:pPr>
            <w:r w:rsidRPr="00261B7A">
              <w:rPr>
                <w:rFonts w:cs="Calibri"/>
                <w:szCs w:val="16"/>
              </w:rPr>
              <w:t>9.3</w:t>
            </w:r>
          </w:p>
        </w:tc>
      </w:tr>
    </w:tbl>
    <w:p w14:paraId="7D108A0F" w14:textId="77777777" w:rsidR="0010265C" w:rsidRPr="00261B7A" w:rsidRDefault="0010265C" w:rsidP="00107DBD">
      <w:pPr>
        <w:pStyle w:val="Noteundertable"/>
        <w:spacing w:after="0"/>
      </w:pPr>
      <w:r w:rsidRPr="00261B7A">
        <w:rPr>
          <w:b/>
        </w:rPr>
        <w:t>Note:</w:t>
      </w:r>
      <w:r w:rsidRPr="00261B7A">
        <w:tab/>
        <w:t>* Indirect emissions as a result of N</w:t>
      </w:r>
      <w:r w:rsidRPr="00261B7A">
        <w:rPr>
          <w:vertAlign w:val="subscript"/>
        </w:rPr>
        <w:t>2</w:t>
      </w:r>
      <w:r w:rsidRPr="00261B7A">
        <w:t>O emissions from leaching and runoff are not disaggregated by land use category in the CRF and are reported separately under non-CO</w:t>
      </w:r>
      <w:r w:rsidRPr="00261B7A">
        <w:rPr>
          <w:vertAlign w:val="subscript"/>
        </w:rPr>
        <w:t>2</w:t>
      </w:r>
      <w:r w:rsidRPr="00261B7A">
        <w:t xml:space="preserve"> emissions in section 6.10.4.</w:t>
      </w:r>
    </w:p>
    <w:p w14:paraId="7E8D62FF" w14:textId="77777777" w:rsidR="0010265C" w:rsidRPr="00261B7A" w:rsidRDefault="0010265C" w:rsidP="0010265C">
      <w:pPr>
        <w:pStyle w:val="Heading3"/>
      </w:pPr>
      <w:r w:rsidRPr="00261B7A">
        <w:t>6.1.1</w:t>
      </w:r>
      <w:r w:rsidRPr="00261B7A">
        <w:tab/>
        <w:t>National circumstance</w:t>
      </w:r>
    </w:p>
    <w:p w14:paraId="111BD317" w14:textId="77777777" w:rsidR="0010265C" w:rsidRPr="00261B7A" w:rsidRDefault="0010265C" w:rsidP="0010265C">
      <w:pPr>
        <w:pStyle w:val="BodyText"/>
      </w:pPr>
      <w:r w:rsidRPr="00261B7A">
        <w:t>New Zealand has a land area of nearly 270,000 square kilometres with extensive coastlines (approximately 19,800 kilometres). This land mass is made up of two main islands, the North Island and South Island, as well as smaller outlying islands. New Zealand has a temperate climate, highly influenced by the surrounding ocean. Around 60 per cent of the land is hilly or mountainous, with around 425,000 kilometres of rivers and streams, and almost 4,000 lakes that are larger than a hectare (Ministry for the Environment and Stats NZ, 2017).</w:t>
      </w:r>
    </w:p>
    <w:p w14:paraId="737DD5F8" w14:textId="77777777" w:rsidR="0010265C" w:rsidRPr="00261B7A" w:rsidRDefault="0010265C" w:rsidP="0010265C">
      <w:pPr>
        <w:pStyle w:val="BodyText"/>
        <w:spacing w:before="100" w:after="100"/>
      </w:pPr>
      <w:r w:rsidRPr="00261B7A">
        <w:t>Since 1990, approximately 9.6 per cent of New Zealand’s total land area has undergone land</w:t>
      </w:r>
      <w:r w:rsidRPr="00261B7A">
        <w:noBreakHyphen/>
        <w:t xml:space="preserve">use change. </w:t>
      </w:r>
      <w:r w:rsidRPr="00261B7A">
        <w:rPr>
          <w:spacing w:val="-2"/>
        </w:rPr>
        <w:t xml:space="preserve">Before human settlement, natural forests were New Zealand’s predominant land cover, estimated at 85 per cent to 90 per cent of total land area (McGlone, 2009). </w:t>
      </w:r>
      <w:r w:rsidRPr="00261B7A">
        <w:t>Demand for accessible land has also led to the modification of a large proportion of New Zealand’s vegetated wetland areas to provide pastoral land cover. Just over 10 per cent of wetlands present before European settlement remain across New Zealand (McGlone, 2009). For a summary of land use area in 2021 in New Zealand, see table 6.1.3.</w:t>
      </w:r>
    </w:p>
    <w:p w14:paraId="3D868946" w14:textId="77777777" w:rsidR="0010265C" w:rsidRPr="00261B7A" w:rsidRDefault="0010265C" w:rsidP="0010265C">
      <w:pPr>
        <w:pStyle w:val="BodyText"/>
      </w:pPr>
      <w:r w:rsidRPr="00261B7A">
        <w:t xml:space="preserve">New Zealand forests are either held on privately owned land or held in the publicly owned </w:t>
      </w:r>
      <w:r w:rsidRPr="00261B7A">
        <w:rPr>
          <w:spacing w:val="-2"/>
        </w:rPr>
        <w:t>conservation estate (an area of approximately 8.5 million hectares; Ministry for the Environmen</w:t>
      </w:r>
      <w:r w:rsidRPr="00261B7A">
        <w:t xml:space="preserve">t </w:t>
      </w:r>
      <w:r w:rsidRPr="00261B7A">
        <w:rPr>
          <w:spacing w:val="-2"/>
        </w:rPr>
        <w:t>and Stats NZ, 2018). Consequently, all forests in New Zealand meet the 2006 Intergovernmenta</w:t>
      </w:r>
      <w:r w:rsidRPr="00261B7A">
        <w:t>l Panel on Climate Change (IPCC) Guidelines definition of managed land, which is “</w:t>
      </w:r>
      <w:r w:rsidRPr="00261B7A">
        <w:rPr>
          <w:iCs/>
        </w:rPr>
        <w:t>land where human interventions and practices have been applied to perform production, ecological or social functions</w:t>
      </w:r>
      <w:r w:rsidRPr="00261B7A">
        <w:t>” (IPCC, 2006a). Therefore, both forests planted for timber production and natural forests managed for conservation purposes are considered managed forests.</w:t>
      </w:r>
    </w:p>
    <w:p w14:paraId="6D4D17C5" w14:textId="77777777" w:rsidR="0010265C" w:rsidRPr="00261B7A" w:rsidRDefault="0010265C" w:rsidP="0010265C">
      <w:pPr>
        <w:pStyle w:val="BodyText"/>
      </w:pPr>
      <w:r w:rsidRPr="00261B7A">
        <w:t>No timber is legally harvested from natural forests in the publicly owned conservation estate other than in exceptional circumstances where legislation allows. Most other harvesting of natural forests is required by law to be undertaken on a sustainable basis (Forests Act 1949).</w:t>
      </w:r>
    </w:p>
    <w:p w14:paraId="4195DC7F" w14:textId="77777777" w:rsidR="0010265C" w:rsidRPr="00261B7A" w:rsidRDefault="0010265C" w:rsidP="0010265C">
      <w:pPr>
        <w:pStyle w:val="BodyText"/>
      </w:pPr>
      <w:r w:rsidRPr="00261B7A">
        <w:t>Plantation forestry and agricultural industries form the core of New Zealand’s economy, and are the main determinants of New Zealand’s LULUCF emissions profile. Intensive forest management, combined with a temperate climate, fertile soils and high rainfall, means New Zealand has one of the highest rates of exotic forest growth among Annex I countries.</w:t>
      </w:r>
    </w:p>
    <w:p w14:paraId="2D38DEC3" w14:textId="77777777" w:rsidR="0010265C" w:rsidRPr="00261B7A" w:rsidRDefault="0010265C" w:rsidP="0010265C">
      <w:pPr>
        <w:pStyle w:val="BodyText"/>
      </w:pPr>
      <w:r w:rsidRPr="00261B7A">
        <w:t xml:space="preserve">New Zealand’s exotic forest plantation estate is intensively managed for production forestry, with rapid-growing genotypes selected and enhanced for optimum growth. Rates of afforestation, reforestation, harvesting and deforestation are strongly influenced by market conditions for harvested timber, competition for land use and introduced government policies. One such policy has been the introduction of the New Zealand Emissions Trading Scheme (NZ ETS) in 2008 and the inclusion of forestry within the scheme (Ministry for Primary Industries, 2015). The forestry component of the NZ ETS was included to encourage new forest planting and disincentivise deforestation. An unintended consequence of this policy was that large-scale deforestation occurred in 2007 (27,364 hectares) before the policy’s introduction as land owners deforested to avoid potential future liabilities (see figures 6.1.1 and 6.1.2). Changes in afforestation and deforestation rates show they correlate strongly with fluctuations in the NZ ETS carbon price (figure 6.1.2). However, afforestation and deforestation rates are also impacted by other market conditions and other government initiatives, which are summarised in chapter 11, section 11.3.2. </w:t>
      </w:r>
    </w:p>
    <w:p w14:paraId="79C6A485" w14:textId="77777777" w:rsidR="0010265C" w:rsidRPr="00261B7A" w:rsidRDefault="0010265C" w:rsidP="002C09C8">
      <w:pPr>
        <w:pStyle w:val="Table"/>
      </w:pPr>
      <w:bookmarkStart w:id="1419" w:name="_Toc443645354"/>
      <w:bookmarkStart w:id="1420" w:name="_Toc474914573"/>
      <w:bookmarkStart w:id="1421" w:name="_Toc481751537"/>
      <w:bookmarkStart w:id="1422" w:name="_Toc522010594"/>
      <w:bookmarkStart w:id="1423" w:name="_Toc5269499"/>
      <w:bookmarkStart w:id="1424" w:name="_Toc33529375"/>
      <w:bookmarkStart w:id="1425" w:name="_Toc36224581"/>
      <w:bookmarkStart w:id="1426" w:name="_Toc65243576"/>
      <w:bookmarkStart w:id="1427" w:name="_Toc131591383"/>
      <w:r w:rsidRPr="00261B7A">
        <w:t xml:space="preserve">Table 6.1.3 </w:t>
      </w:r>
      <w:r w:rsidRPr="00261B7A">
        <w:tab/>
        <w:t xml:space="preserve">Land use in New Zealand in </w:t>
      </w:r>
      <w:bookmarkEnd w:id="1419"/>
      <w:bookmarkEnd w:id="1420"/>
      <w:bookmarkEnd w:id="1421"/>
      <w:bookmarkEnd w:id="1422"/>
      <w:bookmarkEnd w:id="1423"/>
      <w:bookmarkEnd w:id="1424"/>
      <w:bookmarkEnd w:id="1425"/>
      <w:bookmarkEnd w:id="1426"/>
      <w:r w:rsidRPr="00261B7A">
        <w:t>2021</w:t>
      </w:r>
      <w:bookmarkEnd w:id="1427"/>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ook w:val="04A0" w:firstRow="1" w:lastRow="0" w:firstColumn="1" w:lastColumn="0" w:noHBand="0" w:noVBand="1"/>
      </w:tblPr>
      <w:tblGrid>
        <w:gridCol w:w="1847"/>
        <w:gridCol w:w="2243"/>
        <w:gridCol w:w="1978"/>
        <w:gridCol w:w="2437"/>
      </w:tblGrid>
      <w:tr w:rsidR="0010265C" w:rsidRPr="00261B7A" w14:paraId="2E10B876" w14:textId="77777777" w:rsidTr="00E24718">
        <w:trPr>
          <w:tblHeader/>
        </w:trPr>
        <w:tc>
          <w:tcPr>
            <w:tcW w:w="1847" w:type="dxa"/>
            <w:shd w:val="clear" w:color="auto" w:fill="1B556B" w:themeFill="text2"/>
            <w:hideMark/>
          </w:tcPr>
          <w:p w14:paraId="54A27FAC" w14:textId="77777777" w:rsidR="0010265C" w:rsidRPr="00261B7A" w:rsidRDefault="0010265C" w:rsidP="00E24718">
            <w:pPr>
              <w:pStyle w:val="TableTextBold"/>
              <w:keepNext/>
              <w:spacing w:before="30" w:after="30" w:line="257" w:lineRule="auto"/>
              <w:rPr>
                <w:noProof w:val="0"/>
                <w:color w:val="FFFFFF"/>
              </w:rPr>
            </w:pPr>
            <w:r w:rsidRPr="00261B7A">
              <w:rPr>
                <w:noProof w:val="0"/>
                <w:color w:val="FFFFFF"/>
              </w:rPr>
              <w:t xml:space="preserve">Category </w:t>
            </w:r>
          </w:p>
        </w:tc>
        <w:tc>
          <w:tcPr>
            <w:tcW w:w="2243" w:type="dxa"/>
            <w:shd w:val="clear" w:color="auto" w:fill="1B556B" w:themeFill="text2"/>
            <w:hideMark/>
          </w:tcPr>
          <w:p w14:paraId="7908BEF9" w14:textId="77777777" w:rsidR="0010265C" w:rsidRPr="00261B7A" w:rsidRDefault="0010265C" w:rsidP="00E24718">
            <w:pPr>
              <w:pStyle w:val="TableTextBold"/>
              <w:keepNext/>
              <w:spacing w:before="30" w:after="30" w:line="257" w:lineRule="auto"/>
              <w:rPr>
                <w:noProof w:val="0"/>
                <w:color w:val="FFFFFF"/>
              </w:rPr>
            </w:pPr>
            <w:r w:rsidRPr="00261B7A">
              <w:rPr>
                <w:noProof w:val="0"/>
                <w:color w:val="FFFFFF"/>
              </w:rPr>
              <w:t>Land use</w:t>
            </w:r>
          </w:p>
        </w:tc>
        <w:tc>
          <w:tcPr>
            <w:tcW w:w="1978" w:type="dxa"/>
            <w:shd w:val="clear" w:color="auto" w:fill="1B556B" w:themeFill="text2"/>
            <w:hideMark/>
          </w:tcPr>
          <w:p w14:paraId="5F936053" w14:textId="77777777" w:rsidR="0010265C" w:rsidRPr="00261B7A" w:rsidRDefault="0010265C" w:rsidP="00E24718">
            <w:pPr>
              <w:pStyle w:val="TableTextBold"/>
              <w:keepNext/>
              <w:spacing w:before="30" w:after="30" w:line="257" w:lineRule="auto"/>
              <w:jc w:val="right"/>
              <w:rPr>
                <w:noProof w:val="0"/>
                <w:color w:val="FFFFFF"/>
              </w:rPr>
            </w:pPr>
            <w:r w:rsidRPr="00261B7A">
              <w:rPr>
                <w:noProof w:val="0"/>
                <w:color w:val="FFFFFF"/>
              </w:rPr>
              <w:t>Area (kha)</w:t>
            </w:r>
          </w:p>
        </w:tc>
        <w:tc>
          <w:tcPr>
            <w:tcW w:w="2437" w:type="dxa"/>
            <w:shd w:val="clear" w:color="auto" w:fill="1B556B" w:themeFill="text2"/>
            <w:hideMark/>
          </w:tcPr>
          <w:p w14:paraId="33E33262" w14:textId="77777777" w:rsidR="0010265C" w:rsidRPr="00261B7A" w:rsidRDefault="0010265C" w:rsidP="00E24718">
            <w:pPr>
              <w:pStyle w:val="TableTextBold"/>
              <w:keepNext/>
              <w:spacing w:before="30" w:after="30" w:line="257" w:lineRule="auto"/>
              <w:jc w:val="right"/>
              <w:rPr>
                <w:noProof w:val="0"/>
                <w:color w:val="FFFFFF"/>
              </w:rPr>
            </w:pPr>
            <w:r w:rsidRPr="00261B7A">
              <w:rPr>
                <w:noProof w:val="0"/>
                <w:color w:val="FFFFFF"/>
              </w:rPr>
              <w:t>Proportion of total area (%)</w:t>
            </w:r>
          </w:p>
        </w:tc>
      </w:tr>
      <w:tr w:rsidR="0010265C" w:rsidRPr="00261B7A" w14:paraId="612A9359" w14:textId="77777777" w:rsidTr="00E24718">
        <w:tc>
          <w:tcPr>
            <w:tcW w:w="1847" w:type="dxa"/>
            <w:hideMark/>
          </w:tcPr>
          <w:p w14:paraId="52815F0F" w14:textId="77777777" w:rsidR="0010265C" w:rsidRPr="00261B7A" w:rsidRDefault="0010265C" w:rsidP="00E24718">
            <w:pPr>
              <w:pStyle w:val="TableText"/>
              <w:keepNext/>
              <w:spacing w:before="30" w:after="30" w:line="257" w:lineRule="auto"/>
              <w:rPr>
                <w:rFonts w:cs="Arial Bold"/>
                <w:szCs w:val="16"/>
              </w:rPr>
            </w:pPr>
            <w:r w:rsidRPr="00261B7A">
              <w:rPr>
                <w:rFonts w:cs="Arial Bold"/>
                <w:szCs w:val="16"/>
              </w:rPr>
              <w:t>Forest land</w:t>
            </w:r>
          </w:p>
        </w:tc>
        <w:tc>
          <w:tcPr>
            <w:tcW w:w="2243" w:type="dxa"/>
            <w:hideMark/>
          </w:tcPr>
          <w:p w14:paraId="48289445" w14:textId="77777777" w:rsidR="0010265C" w:rsidRPr="00261B7A" w:rsidRDefault="0010265C" w:rsidP="00E24718">
            <w:pPr>
              <w:pStyle w:val="TableText"/>
              <w:spacing w:before="30" w:after="30" w:line="256" w:lineRule="auto"/>
              <w:rPr>
                <w:rFonts w:cs="Arial Bold"/>
                <w:szCs w:val="16"/>
              </w:rPr>
            </w:pPr>
            <w:r w:rsidRPr="00261B7A">
              <w:rPr>
                <w:rFonts w:cs="Arial Bold"/>
                <w:szCs w:val="16"/>
              </w:rPr>
              <w:t>Pre-1990 natural forest</w:t>
            </w:r>
          </w:p>
        </w:tc>
        <w:tc>
          <w:tcPr>
            <w:tcW w:w="1978" w:type="dxa"/>
            <w:vAlign w:val="bottom"/>
            <w:hideMark/>
          </w:tcPr>
          <w:p w14:paraId="57CD0264"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7,750.513</w:t>
            </w:r>
          </w:p>
        </w:tc>
        <w:tc>
          <w:tcPr>
            <w:tcW w:w="2437" w:type="dxa"/>
            <w:vAlign w:val="bottom"/>
            <w:hideMark/>
          </w:tcPr>
          <w:p w14:paraId="6EE1A2AC"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28.8</w:t>
            </w:r>
          </w:p>
        </w:tc>
      </w:tr>
      <w:tr w:rsidR="0010265C" w:rsidRPr="00261B7A" w14:paraId="36FA49F7" w14:textId="77777777" w:rsidTr="00E24718">
        <w:tc>
          <w:tcPr>
            <w:tcW w:w="1847" w:type="dxa"/>
          </w:tcPr>
          <w:p w14:paraId="3963A8B4" w14:textId="77777777" w:rsidR="0010265C" w:rsidRPr="00261B7A" w:rsidRDefault="0010265C" w:rsidP="00E24718">
            <w:pPr>
              <w:pStyle w:val="TableText"/>
              <w:spacing w:before="30" w:after="30" w:line="256" w:lineRule="auto"/>
              <w:rPr>
                <w:rFonts w:cs="Arial Bold"/>
                <w:szCs w:val="16"/>
              </w:rPr>
            </w:pPr>
          </w:p>
        </w:tc>
        <w:tc>
          <w:tcPr>
            <w:tcW w:w="2243" w:type="dxa"/>
            <w:hideMark/>
          </w:tcPr>
          <w:p w14:paraId="3F4BE665" w14:textId="77777777" w:rsidR="0010265C" w:rsidRPr="00261B7A" w:rsidRDefault="0010265C" w:rsidP="00E24718">
            <w:pPr>
              <w:pStyle w:val="TableText"/>
              <w:spacing w:before="30" w:after="30" w:line="256" w:lineRule="auto"/>
              <w:rPr>
                <w:rFonts w:cs="Arial Bold"/>
                <w:szCs w:val="16"/>
              </w:rPr>
            </w:pPr>
            <w:r w:rsidRPr="00261B7A">
              <w:rPr>
                <w:rFonts w:cs="Arial Bold"/>
                <w:szCs w:val="16"/>
              </w:rPr>
              <w:t>Pre-1990 planted forest</w:t>
            </w:r>
          </w:p>
        </w:tc>
        <w:tc>
          <w:tcPr>
            <w:tcW w:w="1978" w:type="dxa"/>
            <w:vAlign w:val="bottom"/>
            <w:hideMark/>
          </w:tcPr>
          <w:p w14:paraId="5DD284D6"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1,437.783</w:t>
            </w:r>
          </w:p>
        </w:tc>
        <w:tc>
          <w:tcPr>
            <w:tcW w:w="2437" w:type="dxa"/>
            <w:vAlign w:val="bottom"/>
            <w:hideMark/>
          </w:tcPr>
          <w:p w14:paraId="703EDEE7"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5.3</w:t>
            </w:r>
          </w:p>
        </w:tc>
      </w:tr>
      <w:tr w:rsidR="0010265C" w:rsidRPr="00261B7A" w14:paraId="4EEF03ED" w14:textId="77777777" w:rsidTr="00E24718">
        <w:tc>
          <w:tcPr>
            <w:tcW w:w="1847" w:type="dxa"/>
          </w:tcPr>
          <w:p w14:paraId="3AF460EC" w14:textId="77777777" w:rsidR="0010265C" w:rsidRPr="00261B7A" w:rsidRDefault="0010265C" w:rsidP="00E24718">
            <w:pPr>
              <w:pStyle w:val="TableText"/>
              <w:spacing w:before="30" w:after="30" w:line="256" w:lineRule="auto"/>
              <w:rPr>
                <w:rFonts w:cs="Arial Bold"/>
                <w:szCs w:val="16"/>
              </w:rPr>
            </w:pPr>
          </w:p>
        </w:tc>
        <w:tc>
          <w:tcPr>
            <w:tcW w:w="2243" w:type="dxa"/>
            <w:hideMark/>
          </w:tcPr>
          <w:p w14:paraId="4C370F8E" w14:textId="77777777" w:rsidR="0010265C" w:rsidRPr="00261B7A" w:rsidRDefault="0010265C" w:rsidP="00E24718">
            <w:pPr>
              <w:pStyle w:val="TableText"/>
              <w:spacing w:before="30" w:after="30" w:line="256" w:lineRule="auto"/>
              <w:rPr>
                <w:rFonts w:cs="Arial Bold"/>
                <w:szCs w:val="16"/>
              </w:rPr>
            </w:pPr>
            <w:r w:rsidRPr="00261B7A">
              <w:rPr>
                <w:rFonts w:cs="Arial Bold"/>
                <w:szCs w:val="16"/>
              </w:rPr>
              <w:t>Post-1989 planted forest</w:t>
            </w:r>
          </w:p>
        </w:tc>
        <w:tc>
          <w:tcPr>
            <w:tcW w:w="1978" w:type="dxa"/>
            <w:vAlign w:val="bottom"/>
            <w:hideMark/>
          </w:tcPr>
          <w:p w14:paraId="775CA1E9" w14:textId="77777777" w:rsidR="0010265C" w:rsidRPr="00261B7A" w:rsidRDefault="0010265C" w:rsidP="00E24718">
            <w:pPr>
              <w:pStyle w:val="TableText"/>
              <w:spacing w:before="30" w:after="30" w:line="256" w:lineRule="auto"/>
              <w:jc w:val="right"/>
            </w:pPr>
            <w:r w:rsidRPr="00261B7A">
              <w:rPr>
                <w:rFonts w:cs="Calibri"/>
                <w:color w:val="000000"/>
                <w:szCs w:val="16"/>
              </w:rPr>
              <w:t>733.805</w:t>
            </w:r>
          </w:p>
        </w:tc>
        <w:tc>
          <w:tcPr>
            <w:tcW w:w="2437" w:type="dxa"/>
            <w:vAlign w:val="bottom"/>
            <w:hideMark/>
          </w:tcPr>
          <w:p w14:paraId="37BC53FE" w14:textId="77777777" w:rsidR="0010265C" w:rsidRPr="00261B7A" w:rsidRDefault="0010265C" w:rsidP="00E24718">
            <w:pPr>
              <w:pStyle w:val="TableText"/>
              <w:spacing w:before="30" w:after="30" w:line="256" w:lineRule="auto"/>
              <w:jc w:val="right"/>
            </w:pPr>
            <w:r w:rsidRPr="00261B7A">
              <w:rPr>
                <w:rFonts w:cs="Calibri"/>
                <w:color w:val="000000"/>
                <w:szCs w:val="16"/>
              </w:rPr>
              <w:t>2.7</w:t>
            </w:r>
          </w:p>
        </w:tc>
      </w:tr>
      <w:tr w:rsidR="0010265C" w:rsidRPr="00261B7A" w14:paraId="39A81952" w14:textId="77777777" w:rsidTr="00E24718">
        <w:tc>
          <w:tcPr>
            <w:tcW w:w="1847" w:type="dxa"/>
          </w:tcPr>
          <w:p w14:paraId="42766DF8" w14:textId="77777777" w:rsidR="0010265C" w:rsidRPr="00261B7A" w:rsidRDefault="0010265C" w:rsidP="00E24718">
            <w:pPr>
              <w:pStyle w:val="TableText"/>
              <w:spacing w:before="30" w:after="30" w:line="256" w:lineRule="auto"/>
              <w:rPr>
                <w:rFonts w:cs="Arial Bold"/>
                <w:szCs w:val="16"/>
              </w:rPr>
            </w:pPr>
          </w:p>
        </w:tc>
        <w:tc>
          <w:tcPr>
            <w:tcW w:w="2243" w:type="dxa"/>
            <w:hideMark/>
          </w:tcPr>
          <w:p w14:paraId="546598E3" w14:textId="77777777" w:rsidR="0010265C" w:rsidRPr="00261B7A" w:rsidRDefault="0010265C" w:rsidP="00E24718">
            <w:pPr>
              <w:pStyle w:val="TableText"/>
              <w:spacing w:before="30" w:after="30" w:line="256" w:lineRule="auto"/>
              <w:rPr>
                <w:rFonts w:cs="Arial Bold"/>
                <w:szCs w:val="16"/>
              </w:rPr>
            </w:pPr>
            <w:r w:rsidRPr="00261B7A">
              <w:rPr>
                <w:rFonts w:cs="Arial Bold"/>
                <w:szCs w:val="16"/>
              </w:rPr>
              <w:t>Post-1989 natural forest</w:t>
            </w:r>
          </w:p>
        </w:tc>
        <w:tc>
          <w:tcPr>
            <w:tcW w:w="1978" w:type="dxa"/>
            <w:vAlign w:val="bottom"/>
            <w:hideMark/>
          </w:tcPr>
          <w:p w14:paraId="58A7157A" w14:textId="77777777" w:rsidR="0010265C" w:rsidRPr="00261B7A" w:rsidRDefault="0010265C" w:rsidP="00E24718">
            <w:pPr>
              <w:pStyle w:val="TableText"/>
              <w:spacing w:before="30" w:after="30" w:line="256" w:lineRule="auto"/>
              <w:jc w:val="right"/>
            </w:pPr>
            <w:r w:rsidRPr="00261B7A">
              <w:rPr>
                <w:rFonts w:cs="Calibri"/>
                <w:color w:val="000000"/>
                <w:szCs w:val="16"/>
              </w:rPr>
              <w:t>95.163</w:t>
            </w:r>
          </w:p>
        </w:tc>
        <w:tc>
          <w:tcPr>
            <w:tcW w:w="2437" w:type="dxa"/>
            <w:vAlign w:val="bottom"/>
            <w:hideMark/>
          </w:tcPr>
          <w:p w14:paraId="1CEFE16F" w14:textId="77777777" w:rsidR="0010265C" w:rsidRPr="00261B7A" w:rsidRDefault="0010265C" w:rsidP="00E24718">
            <w:pPr>
              <w:pStyle w:val="TableText"/>
              <w:spacing w:before="30" w:after="30" w:line="256" w:lineRule="auto"/>
              <w:jc w:val="right"/>
            </w:pPr>
            <w:r w:rsidRPr="00261B7A">
              <w:rPr>
                <w:rFonts w:cs="Calibri"/>
                <w:color w:val="000000"/>
                <w:szCs w:val="16"/>
              </w:rPr>
              <w:t>0.4</w:t>
            </w:r>
          </w:p>
        </w:tc>
      </w:tr>
      <w:tr w:rsidR="0010265C" w:rsidRPr="00261B7A" w14:paraId="1C93E1D7" w14:textId="77777777" w:rsidTr="00E24718">
        <w:tc>
          <w:tcPr>
            <w:tcW w:w="1847" w:type="dxa"/>
          </w:tcPr>
          <w:p w14:paraId="00E028E6" w14:textId="77777777" w:rsidR="0010265C" w:rsidRPr="00261B7A" w:rsidRDefault="0010265C" w:rsidP="00E24718">
            <w:pPr>
              <w:pStyle w:val="TableText"/>
              <w:spacing w:before="30" w:after="30" w:line="256" w:lineRule="auto"/>
              <w:rPr>
                <w:rFonts w:cs="Arial Bold"/>
                <w:szCs w:val="16"/>
              </w:rPr>
            </w:pPr>
          </w:p>
        </w:tc>
        <w:tc>
          <w:tcPr>
            <w:tcW w:w="2243" w:type="dxa"/>
            <w:hideMark/>
          </w:tcPr>
          <w:p w14:paraId="328DA552" w14:textId="77777777" w:rsidR="0010265C" w:rsidRPr="00261B7A" w:rsidRDefault="0010265C" w:rsidP="00E24718">
            <w:pPr>
              <w:pStyle w:val="TableText"/>
              <w:spacing w:before="30" w:after="30" w:line="256" w:lineRule="auto"/>
              <w:rPr>
                <w:rFonts w:cs="Arial Bold"/>
                <w:i/>
                <w:szCs w:val="16"/>
              </w:rPr>
            </w:pPr>
            <w:r w:rsidRPr="00261B7A">
              <w:rPr>
                <w:rFonts w:cs="Arial Bold"/>
                <w:i/>
                <w:szCs w:val="16"/>
              </w:rPr>
              <w:t>Subtotal</w:t>
            </w:r>
          </w:p>
        </w:tc>
        <w:tc>
          <w:tcPr>
            <w:tcW w:w="1978" w:type="dxa"/>
            <w:vAlign w:val="bottom"/>
            <w:hideMark/>
          </w:tcPr>
          <w:p w14:paraId="7F0C033E" w14:textId="77777777" w:rsidR="0010265C" w:rsidRPr="00261B7A" w:rsidRDefault="0010265C" w:rsidP="00E24718">
            <w:pPr>
              <w:pStyle w:val="TableText"/>
              <w:spacing w:before="30" w:after="30" w:line="256" w:lineRule="auto"/>
              <w:jc w:val="right"/>
              <w:rPr>
                <w:rFonts w:cs="Arial Bold"/>
                <w:i/>
                <w:szCs w:val="16"/>
              </w:rPr>
            </w:pPr>
            <w:r w:rsidRPr="00261B7A">
              <w:rPr>
                <w:rFonts w:cs="Calibri"/>
                <w:i/>
                <w:iCs/>
                <w:color w:val="000000"/>
                <w:szCs w:val="16"/>
              </w:rPr>
              <w:t>10,017.264</w:t>
            </w:r>
          </w:p>
        </w:tc>
        <w:tc>
          <w:tcPr>
            <w:tcW w:w="2437" w:type="dxa"/>
            <w:vAlign w:val="bottom"/>
            <w:hideMark/>
          </w:tcPr>
          <w:p w14:paraId="0AE55FAB" w14:textId="77777777" w:rsidR="0010265C" w:rsidRPr="00261B7A" w:rsidRDefault="0010265C" w:rsidP="00E24718">
            <w:pPr>
              <w:pStyle w:val="TableText"/>
              <w:spacing w:before="30" w:after="30" w:line="256" w:lineRule="auto"/>
              <w:jc w:val="right"/>
              <w:rPr>
                <w:rFonts w:cs="Arial Bold"/>
                <w:i/>
                <w:szCs w:val="16"/>
              </w:rPr>
            </w:pPr>
            <w:r w:rsidRPr="00261B7A">
              <w:rPr>
                <w:rFonts w:cs="Calibri"/>
                <w:i/>
                <w:iCs/>
                <w:color w:val="000000"/>
                <w:szCs w:val="16"/>
              </w:rPr>
              <w:t>37.2</w:t>
            </w:r>
          </w:p>
        </w:tc>
      </w:tr>
      <w:tr w:rsidR="0010265C" w:rsidRPr="00261B7A" w14:paraId="73019A81" w14:textId="77777777" w:rsidTr="00E24718">
        <w:tc>
          <w:tcPr>
            <w:tcW w:w="1847" w:type="dxa"/>
            <w:hideMark/>
          </w:tcPr>
          <w:p w14:paraId="704BA9DA" w14:textId="77777777" w:rsidR="0010265C" w:rsidRPr="00261B7A" w:rsidRDefault="0010265C" w:rsidP="00E24718">
            <w:pPr>
              <w:pStyle w:val="TableText"/>
              <w:keepNext/>
              <w:spacing w:before="30" w:after="30" w:line="256" w:lineRule="auto"/>
              <w:rPr>
                <w:rFonts w:cs="Arial Bold"/>
                <w:szCs w:val="16"/>
              </w:rPr>
            </w:pPr>
            <w:r w:rsidRPr="00261B7A">
              <w:rPr>
                <w:rFonts w:cs="Arial Bold"/>
                <w:szCs w:val="16"/>
              </w:rPr>
              <w:t>Cropland</w:t>
            </w:r>
          </w:p>
        </w:tc>
        <w:tc>
          <w:tcPr>
            <w:tcW w:w="2243" w:type="dxa"/>
            <w:hideMark/>
          </w:tcPr>
          <w:p w14:paraId="21C00B9B" w14:textId="77777777" w:rsidR="0010265C" w:rsidRPr="00261B7A" w:rsidRDefault="0010265C" w:rsidP="00E24718">
            <w:pPr>
              <w:pStyle w:val="TableText"/>
              <w:keepNext/>
              <w:spacing w:before="30" w:after="30" w:line="256" w:lineRule="auto"/>
              <w:rPr>
                <w:rFonts w:cs="Arial Bold"/>
                <w:szCs w:val="16"/>
              </w:rPr>
            </w:pPr>
            <w:r w:rsidRPr="00261B7A">
              <w:rPr>
                <w:rFonts w:cs="Arial Bold"/>
                <w:szCs w:val="16"/>
              </w:rPr>
              <w:t>Annual</w:t>
            </w:r>
          </w:p>
        </w:tc>
        <w:tc>
          <w:tcPr>
            <w:tcW w:w="1978" w:type="dxa"/>
            <w:vAlign w:val="bottom"/>
            <w:hideMark/>
          </w:tcPr>
          <w:p w14:paraId="5F89F314" w14:textId="77777777" w:rsidR="0010265C" w:rsidRPr="00261B7A" w:rsidRDefault="0010265C" w:rsidP="00E24718">
            <w:pPr>
              <w:pStyle w:val="TableText"/>
              <w:keepNext/>
              <w:spacing w:before="30" w:after="30" w:line="256" w:lineRule="auto"/>
              <w:jc w:val="right"/>
              <w:rPr>
                <w:rFonts w:cs="Arial Bold"/>
                <w:szCs w:val="16"/>
              </w:rPr>
            </w:pPr>
            <w:r w:rsidRPr="00261B7A">
              <w:rPr>
                <w:rFonts w:cs="Calibri"/>
                <w:color w:val="000000"/>
                <w:szCs w:val="16"/>
              </w:rPr>
              <w:t>371.235</w:t>
            </w:r>
          </w:p>
        </w:tc>
        <w:tc>
          <w:tcPr>
            <w:tcW w:w="2437" w:type="dxa"/>
            <w:vAlign w:val="bottom"/>
            <w:hideMark/>
          </w:tcPr>
          <w:p w14:paraId="4A3F21D4" w14:textId="77777777" w:rsidR="0010265C" w:rsidRPr="00261B7A" w:rsidRDefault="0010265C" w:rsidP="00E24718">
            <w:pPr>
              <w:pStyle w:val="TableText"/>
              <w:keepNext/>
              <w:spacing w:before="30" w:after="30" w:line="256" w:lineRule="auto"/>
              <w:jc w:val="right"/>
              <w:rPr>
                <w:rFonts w:cs="Arial Bold"/>
                <w:szCs w:val="16"/>
              </w:rPr>
            </w:pPr>
            <w:r w:rsidRPr="00261B7A">
              <w:rPr>
                <w:rFonts w:cs="Calibri"/>
                <w:color w:val="000000"/>
                <w:szCs w:val="16"/>
              </w:rPr>
              <w:t>1.4</w:t>
            </w:r>
          </w:p>
        </w:tc>
      </w:tr>
      <w:tr w:rsidR="0010265C" w:rsidRPr="00261B7A" w14:paraId="76F75E6F" w14:textId="77777777" w:rsidTr="00E24718">
        <w:tc>
          <w:tcPr>
            <w:tcW w:w="1847" w:type="dxa"/>
          </w:tcPr>
          <w:p w14:paraId="1F913490" w14:textId="77777777" w:rsidR="0010265C" w:rsidRPr="00261B7A" w:rsidRDefault="0010265C" w:rsidP="00E24718">
            <w:pPr>
              <w:pStyle w:val="TableText"/>
              <w:keepNext/>
              <w:spacing w:before="30" w:after="30" w:line="256" w:lineRule="auto"/>
              <w:rPr>
                <w:rFonts w:cs="Arial Bold"/>
                <w:szCs w:val="16"/>
              </w:rPr>
            </w:pPr>
          </w:p>
        </w:tc>
        <w:tc>
          <w:tcPr>
            <w:tcW w:w="2243" w:type="dxa"/>
            <w:hideMark/>
          </w:tcPr>
          <w:p w14:paraId="209A28CB" w14:textId="77777777" w:rsidR="0010265C" w:rsidRPr="00261B7A" w:rsidRDefault="0010265C" w:rsidP="00E24718">
            <w:pPr>
              <w:pStyle w:val="TableText"/>
              <w:keepNext/>
              <w:spacing w:before="30" w:after="30" w:line="256" w:lineRule="auto"/>
              <w:rPr>
                <w:rFonts w:cs="Arial Bold"/>
                <w:szCs w:val="16"/>
              </w:rPr>
            </w:pPr>
            <w:r w:rsidRPr="00261B7A">
              <w:rPr>
                <w:rFonts w:cs="Arial Bold"/>
                <w:szCs w:val="16"/>
              </w:rPr>
              <w:t>Perennial</w:t>
            </w:r>
          </w:p>
        </w:tc>
        <w:tc>
          <w:tcPr>
            <w:tcW w:w="1978" w:type="dxa"/>
            <w:vAlign w:val="bottom"/>
            <w:hideMark/>
          </w:tcPr>
          <w:p w14:paraId="551BBB3A" w14:textId="77777777" w:rsidR="0010265C" w:rsidRPr="00261B7A" w:rsidRDefault="0010265C" w:rsidP="00E24718">
            <w:pPr>
              <w:pStyle w:val="TableText"/>
              <w:keepNext/>
              <w:spacing w:before="30" w:after="30" w:line="256" w:lineRule="auto"/>
              <w:jc w:val="right"/>
              <w:rPr>
                <w:rFonts w:cs="Arial Bold"/>
                <w:szCs w:val="16"/>
              </w:rPr>
            </w:pPr>
            <w:r w:rsidRPr="00261B7A">
              <w:rPr>
                <w:rFonts w:cs="Calibri"/>
                <w:color w:val="000000"/>
                <w:szCs w:val="16"/>
              </w:rPr>
              <w:t>105.493</w:t>
            </w:r>
          </w:p>
        </w:tc>
        <w:tc>
          <w:tcPr>
            <w:tcW w:w="2437" w:type="dxa"/>
            <w:vAlign w:val="bottom"/>
            <w:hideMark/>
          </w:tcPr>
          <w:p w14:paraId="23EA84DA" w14:textId="77777777" w:rsidR="0010265C" w:rsidRPr="00261B7A" w:rsidRDefault="0010265C" w:rsidP="00E24718">
            <w:pPr>
              <w:pStyle w:val="TableText"/>
              <w:keepNext/>
              <w:spacing w:before="30" w:after="30" w:line="256" w:lineRule="auto"/>
              <w:jc w:val="right"/>
              <w:rPr>
                <w:rFonts w:cs="Arial Bold"/>
                <w:szCs w:val="16"/>
              </w:rPr>
            </w:pPr>
            <w:r w:rsidRPr="00261B7A">
              <w:rPr>
                <w:rFonts w:cs="Calibri"/>
                <w:color w:val="000000"/>
                <w:szCs w:val="16"/>
              </w:rPr>
              <w:t>0.4</w:t>
            </w:r>
          </w:p>
        </w:tc>
      </w:tr>
      <w:tr w:rsidR="0010265C" w:rsidRPr="00261B7A" w14:paraId="67F53241" w14:textId="77777777" w:rsidTr="00E24718">
        <w:tc>
          <w:tcPr>
            <w:tcW w:w="1847" w:type="dxa"/>
          </w:tcPr>
          <w:p w14:paraId="0AEEADDB" w14:textId="77777777" w:rsidR="0010265C" w:rsidRPr="00261B7A" w:rsidRDefault="0010265C" w:rsidP="00E24718">
            <w:pPr>
              <w:pStyle w:val="TableText"/>
              <w:spacing w:before="30" w:after="30" w:line="256" w:lineRule="auto"/>
              <w:rPr>
                <w:rFonts w:cs="Arial Bold"/>
                <w:szCs w:val="16"/>
              </w:rPr>
            </w:pPr>
          </w:p>
        </w:tc>
        <w:tc>
          <w:tcPr>
            <w:tcW w:w="2243" w:type="dxa"/>
            <w:hideMark/>
          </w:tcPr>
          <w:p w14:paraId="019062D5" w14:textId="77777777" w:rsidR="0010265C" w:rsidRPr="00261B7A" w:rsidRDefault="0010265C" w:rsidP="00E24718">
            <w:pPr>
              <w:pStyle w:val="TableText"/>
              <w:spacing w:before="30" w:after="30" w:line="256" w:lineRule="auto"/>
              <w:rPr>
                <w:rFonts w:cs="Arial Bold"/>
                <w:i/>
                <w:szCs w:val="16"/>
              </w:rPr>
            </w:pPr>
            <w:r w:rsidRPr="00261B7A">
              <w:rPr>
                <w:rFonts w:cs="Arial Bold"/>
                <w:i/>
                <w:szCs w:val="16"/>
              </w:rPr>
              <w:t>Subtotal</w:t>
            </w:r>
          </w:p>
        </w:tc>
        <w:tc>
          <w:tcPr>
            <w:tcW w:w="1978" w:type="dxa"/>
            <w:vAlign w:val="bottom"/>
            <w:hideMark/>
          </w:tcPr>
          <w:p w14:paraId="1B2C48AB" w14:textId="77777777" w:rsidR="0010265C" w:rsidRPr="00261B7A" w:rsidRDefault="0010265C" w:rsidP="00E24718">
            <w:pPr>
              <w:pStyle w:val="TableText"/>
              <w:spacing w:before="30" w:after="30" w:line="256" w:lineRule="auto"/>
              <w:jc w:val="right"/>
              <w:rPr>
                <w:rFonts w:cs="Arial Bold"/>
                <w:i/>
                <w:szCs w:val="16"/>
              </w:rPr>
            </w:pPr>
            <w:r w:rsidRPr="00261B7A">
              <w:rPr>
                <w:rFonts w:cs="Calibri"/>
                <w:i/>
                <w:iCs/>
                <w:color w:val="000000"/>
                <w:szCs w:val="16"/>
              </w:rPr>
              <w:t>476.728</w:t>
            </w:r>
          </w:p>
        </w:tc>
        <w:tc>
          <w:tcPr>
            <w:tcW w:w="2437" w:type="dxa"/>
            <w:vAlign w:val="bottom"/>
            <w:hideMark/>
          </w:tcPr>
          <w:p w14:paraId="0CEC7FF3" w14:textId="77777777" w:rsidR="0010265C" w:rsidRPr="00261B7A" w:rsidRDefault="0010265C" w:rsidP="00E24718">
            <w:pPr>
              <w:pStyle w:val="TableText"/>
              <w:spacing w:before="30" w:after="30" w:line="256" w:lineRule="auto"/>
              <w:jc w:val="right"/>
              <w:rPr>
                <w:rFonts w:cs="Arial Bold"/>
                <w:i/>
                <w:szCs w:val="16"/>
              </w:rPr>
            </w:pPr>
            <w:r w:rsidRPr="00261B7A">
              <w:rPr>
                <w:rFonts w:cs="Calibri"/>
                <w:i/>
                <w:color w:val="000000"/>
                <w:szCs w:val="16"/>
              </w:rPr>
              <w:t>1.8</w:t>
            </w:r>
          </w:p>
        </w:tc>
      </w:tr>
      <w:tr w:rsidR="0010265C" w:rsidRPr="00261B7A" w14:paraId="437F3963" w14:textId="77777777" w:rsidTr="00E24718">
        <w:tc>
          <w:tcPr>
            <w:tcW w:w="1847" w:type="dxa"/>
            <w:hideMark/>
          </w:tcPr>
          <w:p w14:paraId="4495C6CF" w14:textId="77777777" w:rsidR="0010265C" w:rsidRPr="00261B7A" w:rsidRDefault="0010265C" w:rsidP="00E24718">
            <w:pPr>
              <w:pStyle w:val="TableText"/>
              <w:spacing w:before="30" w:after="30" w:line="256" w:lineRule="auto"/>
              <w:rPr>
                <w:rFonts w:cs="Arial Bold"/>
                <w:szCs w:val="16"/>
              </w:rPr>
            </w:pPr>
            <w:r w:rsidRPr="00261B7A">
              <w:rPr>
                <w:rFonts w:cs="Arial Bold"/>
                <w:szCs w:val="16"/>
              </w:rPr>
              <w:t>Grassland</w:t>
            </w:r>
          </w:p>
        </w:tc>
        <w:tc>
          <w:tcPr>
            <w:tcW w:w="2243" w:type="dxa"/>
            <w:hideMark/>
          </w:tcPr>
          <w:p w14:paraId="40F8D79A" w14:textId="77777777" w:rsidR="0010265C" w:rsidRPr="00261B7A" w:rsidRDefault="0010265C" w:rsidP="00E24718">
            <w:pPr>
              <w:pStyle w:val="TableText"/>
              <w:spacing w:before="30" w:after="30" w:line="256" w:lineRule="auto"/>
              <w:rPr>
                <w:rFonts w:cs="Arial Bold"/>
                <w:szCs w:val="16"/>
              </w:rPr>
            </w:pPr>
            <w:r w:rsidRPr="00261B7A">
              <w:rPr>
                <w:rFonts w:cs="Arial Bold"/>
                <w:szCs w:val="16"/>
              </w:rPr>
              <w:t>High producing</w:t>
            </w:r>
          </w:p>
        </w:tc>
        <w:tc>
          <w:tcPr>
            <w:tcW w:w="1978" w:type="dxa"/>
            <w:vAlign w:val="bottom"/>
            <w:hideMark/>
          </w:tcPr>
          <w:p w14:paraId="25741812"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6,903.017</w:t>
            </w:r>
          </w:p>
        </w:tc>
        <w:tc>
          <w:tcPr>
            <w:tcW w:w="2437" w:type="dxa"/>
            <w:vAlign w:val="bottom"/>
            <w:hideMark/>
          </w:tcPr>
          <w:p w14:paraId="71CC3E4E"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25.6</w:t>
            </w:r>
          </w:p>
        </w:tc>
      </w:tr>
      <w:tr w:rsidR="0010265C" w:rsidRPr="00261B7A" w14:paraId="2B3BCF68" w14:textId="77777777" w:rsidTr="00E24718">
        <w:tc>
          <w:tcPr>
            <w:tcW w:w="1847" w:type="dxa"/>
          </w:tcPr>
          <w:p w14:paraId="02C958F8" w14:textId="77777777" w:rsidR="0010265C" w:rsidRPr="00261B7A" w:rsidRDefault="0010265C" w:rsidP="00E24718">
            <w:pPr>
              <w:pStyle w:val="TableText"/>
              <w:spacing w:before="30" w:after="30" w:line="256" w:lineRule="auto"/>
              <w:rPr>
                <w:rFonts w:cs="Arial Bold"/>
                <w:szCs w:val="16"/>
              </w:rPr>
            </w:pPr>
          </w:p>
        </w:tc>
        <w:tc>
          <w:tcPr>
            <w:tcW w:w="2243" w:type="dxa"/>
            <w:hideMark/>
          </w:tcPr>
          <w:p w14:paraId="0166D8F2" w14:textId="77777777" w:rsidR="0010265C" w:rsidRPr="00261B7A" w:rsidRDefault="0010265C" w:rsidP="00E24718">
            <w:pPr>
              <w:pStyle w:val="TableText"/>
              <w:spacing w:before="30" w:after="30" w:line="256" w:lineRule="auto"/>
              <w:rPr>
                <w:rFonts w:cs="Arial Bold"/>
                <w:szCs w:val="16"/>
              </w:rPr>
            </w:pPr>
            <w:r w:rsidRPr="00261B7A">
              <w:rPr>
                <w:rFonts w:cs="Arial Bold"/>
                <w:szCs w:val="16"/>
              </w:rPr>
              <w:t>Low producing</w:t>
            </w:r>
          </w:p>
        </w:tc>
        <w:tc>
          <w:tcPr>
            <w:tcW w:w="1978" w:type="dxa"/>
            <w:vAlign w:val="bottom"/>
            <w:hideMark/>
          </w:tcPr>
          <w:p w14:paraId="619D6DE4"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6,273.573</w:t>
            </w:r>
          </w:p>
        </w:tc>
        <w:tc>
          <w:tcPr>
            <w:tcW w:w="2437" w:type="dxa"/>
            <w:vAlign w:val="bottom"/>
            <w:hideMark/>
          </w:tcPr>
          <w:p w14:paraId="6F8DBA95"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23.3</w:t>
            </w:r>
          </w:p>
        </w:tc>
      </w:tr>
      <w:tr w:rsidR="0010265C" w:rsidRPr="00261B7A" w14:paraId="00217BB3" w14:textId="77777777" w:rsidTr="00E24718">
        <w:tc>
          <w:tcPr>
            <w:tcW w:w="1847" w:type="dxa"/>
          </w:tcPr>
          <w:p w14:paraId="30908433" w14:textId="77777777" w:rsidR="0010265C" w:rsidRPr="00261B7A" w:rsidRDefault="0010265C" w:rsidP="00E24718">
            <w:pPr>
              <w:pStyle w:val="TableText"/>
              <w:spacing w:before="30" w:after="30" w:line="256" w:lineRule="auto"/>
              <w:rPr>
                <w:rFonts w:cs="Arial Bold"/>
                <w:szCs w:val="16"/>
              </w:rPr>
            </w:pPr>
          </w:p>
        </w:tc>
        <w:tc>
          <w:tcPr>
            <w:tcW w:w="2243" w:type="dxa"/>
            <w:hideMark/>
          </w:tcPr>
          <w:p w14:paraId="332C73F1" w14:textId="77777777" w:rsidR="0010265C" w:rsidRPr="00261B7A" w:rsidRDefault="0010265C" w:rsidP="00E24718">
            <w:pPr>
              <w:pStyle w:val="TableText"/>
              <w:spacing w:before="30" w:after="30" w:line="256" w:lineRule="auto"/>
              <w:rPr>
                <w:rFonts w:cs="Arial Bold"/>
                <w:szCs w:val="16"/>
              </w:rPr>
            </w:pPr>
            <w:r w:rsidRPr="00261B7A">
              <w:rPr>
                <w:rFonts w:cs="Arial Bold"/>
                <w:szCs w:val="16"/>
              </w:rPr>
              <w:t>With woody biomass</w:t>
            </w:r>
          </w:p>
        </w:tc>
        <w:tc>
          <w:tcPr>
            <w:tcW w:w="1978" w:type="dxa"/>
            <w:vAlign w:val="bottom"/>
            <w:hideMark/>
          </w:tcPr>
          <w:p w14:paraId="4B68AF1B"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1,361.332</w:t>
            </w:r>
          </w:p>
        </w:tc>
        <w:tc>
          <w:tcPr>
            <w:tcW w:w="2437" w:type="dxa"/>
            <w:vAlign w:val="bottom"/>
            <w:hideMark/>
          </w:tcPr>
          <w:p w14:paraId="0A126E63"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5.1</w:t>
            </w:r>
          </w:p>
        </w:tc>
      </w:tr>
      <w:tr w:rsidR="0010265C" w:rsidRPr="00261B7A" w14:paraId="76A0060B" w14:textId="77777777" w:rsidTr="00E24718">
        <w:tc>
          <w:tcPr>
            <w:tcW w:w="1847" w:type="dxa"/>
          </w:tcPr>
          <w:p w14:paraId="1F932A31" w14:textId="77777777" w:rsidR="0010265C" w:rsidRPr="00261B7A" w:rsidRDefault="0010265C" w:rsidP="00E24718">
            <w:pPr>
              <w:pStyle w:val="TableText"/>
              <w:spacing w:before="30" w:after="30" w:line="256" w:lineRule="auto"/>
              <w:rPr>
                <w:rFonts w:cs="Arial Bold"/>
                <w:szCs w:val="16"/>
              </w:rPr>
            </w:pPr>
          </w:p>
        </w:tc>
        <w:tc>
          <w:tcPr>
            <w:tcW w:w="2243" w:type="dxa"/>
            <w:hideMark/>
          </w:tcPr>
          <w:p w14:paraId="6BC65B10" w14:textId="77777777" w:rsidR="0010265C" w:rsidRPr="00261B7A" w:rsidRDefault="0010265C" w:rsidP="00E24718">
            <w:pPr>
              <w:pStyle w:val="TableText"/>
              <w:spacing w:before="30" w:after="30" w:line="256" w:lineRule="auto"/>
              <w:rPr>
                <w:rFonts w:cs="Arial Bold"/>
                <w:i/>
                <w:szCs w:val="16"/>
              </w:rPr>
            </w:pPr>
            <w:r w:rsidRPr="00261B7A">
              <w:rPr>
                <w:rFonts w:cs="Arial Bold"/>
                <w:i/>
                <w:szCs w:val="16"/>
              </w:rPr>
              <w:t>Subtotal</w:t>
            </w:r>
          </w:p>
        </w:tc>
        <w:tc>
          <w:tcPr>
            <w:tcW w:w="1978" w:type="dxa"/>
            <w:vAlign w:val="bottom"/>
            <w:hideMark/>
          </w:tcPr>
          <w:p w14:paraId="33A0650E" w14:textId="77777777" w:rsidR="0010265C" w:rsidRPr="00261B7A" w:rsidRDefault="0010265C" w:rsidP="00E24718">
            <w:pPr>
              <w:pStyle w:val="TableText"/>
              <w:spacing w:before="30" w:after="30" w:line="256" w:lineRule="auto"/>
              <w:jc w:val="right"/>
              <w:rPr>
                <w:rFonts w:cs="Arial Bold"/>
                <w:i/>
                <w:szCs w:val="16"/>
              </w:rPr>
            </w:pPr>
            <w:r w:rsidRPr="00261B7A">
              <w:rPr>
                <w:rFonts w:cs="Calibri"/>
                <w:i/>
                <w:iCs/>
                <w:color w:val="000000"/>
                <w:szCs w:val="16"/>
              </w:rPr>
              <w:t>14,537.922</w:t>
            </w:r>
          </w:p>
        </w:tc>
        <w:tc>
          <w:tcPr>
            <w:tcW w:w="2437" w:type="dxa"/>
            <w:vAlign w:val="bottom"/>
            <w:hideMark/>
          </w:tcPr>
          <w:p w14:paraId="2B51A7D3" w14:textId="77777777" w:rsidR="0010265C" w:rsidRPr="00261B7A" w:rsidRDefault="0010265C" w:rsidP="00E24718">
            <w:pPr>
              <w:pStyle w:val="TableText"/>
              <w:spacing w:before="30" w:after="30" w:line="256" w:lineRule="auto"/>
              <w:jc w:val="right"/>
              <w:rPr>
                <w:rFonts w:cs="Arial Bold"/>
                <w:i/>
                <w:szCs w:val="16"/>
              </w:rPr>
            </w:pPr>
            <w:r w:rsidRPr="00261B7A">
              <w:rPr>
                <w:rFonts w:cs="Calibri"/>
                <w:i/>
                <w:iCs/>
                <w:color w:val="000000"/>
                <w:szCs w:val="16"/>
              </w:rPr>
              <w:t>54.0</w:t>
            </w:r>
          </w:p>
        </w:tc>
      </w:tr>
      <w:tr w:rsidR="0010265C" w:rsidRPr="00261B7A" w14:paraId="33E75C84" w14:textId="77777777" w:rsidTr="00E24718">
        <w:tc>
          <w:tcPr>
            <w:tcW w:w="1847" w:type="dxa"/>
            <w:hideMark/>
          </w:tcPr>
          <w:p w14:paraId="7414BD44" w14:textId="77777777" w:rsidR="0010265C" w:rsidRPr="00261B7A" w:rsidRDefault="0010265C" w:rsidP="00E24718">
            <w:pPr>
              <w:pStyle w:val="TableText"/>
              <w:spacing w:before="30" w:after="30" w:line="256" w:lineRule="auto"/>
              <w:rPr>
                <w:rFonts w:cs="Arial Bold"/>
                <w:szCs w:val="16"/>
              </w:rPr>
            </w:pPr>
            <w:r w:rsidRPr="00261B7A">
              <w:rPr>
                <w:rFonts w:cs="Arial Bold"/>
                <w:szCs w:val="16"/>
              </w:rPr>
              <w:t>Wetlands</w:t>
            </w:r>
          </w:p>
        </w:tc>
        <w:tc>
          <w:tcPr>
            <w:tcW w:w="2243" w:type="dxa"/>
            <w:hideMark/>
          </w:tcPr>
          <w:p w14:paraId="5AADE1D9" w14:textId="77777777" w:rsidR="0010265C" w:rsidRPr="00261B7A" w:rsidRDefault="0010265C" w:rsidP="00E24718">
            <w:pPr>
              <w:pStyle w:val="TableText"/>
              <w:spacing w:before="30" w:after="30" w:line="256" w:lineRule="auto"/>
              <w:rPr>
                <w:rFonts w:cs="Arial Bold"/>
                <w:szCs w:val="16"/>
              </w:rPr>
            </w:pPr>
            <w:r w:rsidRPr="00261B7A">
              <w:rPr>
                <w:rFonts w:cs="Arial Bold"/>
                <w:szCs w:val="16"/>
              </w:rPr>
              <w:t>Open water</w:t>
            </w:r>
          </w:p>
        </w:tc>
        <w:tc>
          <w:tcPr>
            <w:tcW w:w="1978" w:type="dxa"/>
            <w:vAlign w:val="bottom"/>
            <w:hideMark/>
          </w:tcPr>
          <w:p w14:paraId="5BBE1D51"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534.734</w:t>
            </w:r>
          </w:p>
        </w:tc>
        <w:tc>
          <w:tcPr>
            <w:tcW w:w="2437" w:type="dxa"/>
            <w:vAlign w:val="bottom"/>
            <w:hideMark/>
          </w:tcPr>
          <w:p w14:paraId="2777A450"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2.0</w:t>
            </w:r>
          </w:p>
        </w:tc>
      </w:tr>
      <w:tr w:rsidR="0010265C" w:rsidRPr="00261B7A" w14:paraId="606B6E53" w14:textId="77777777" w:rsidTr="00E24718">
        <w:tc>
          <w:tcPr>
            <w:tcW w:w="1847" w:type="dxa"/>
          </w:tcPr>
          <w:p w14:paraId="4DD50A6B" w14:textId="77777777" w:rsidR="0010265C" w:rsidRPr="00261B7A" w:rsidRDefault="0010265C" w:rsidP="00E24718">
            <w:pPr>
              <w:pStyle w:val="TableText"/>
              <w:spacing w:before="30" w:after="30" w:line="256" w:lineRule="auto"/>
              <w:rPr>
                <w:rFonts w:cs="Arial Bold"/>
                <w:szCs w:val="16"/>
              </w:rPr>
            </w:pPr>
          </w:p>
        </w:tc>
        <w:tc>
          <w:tcPr>
            <w:tcW w:w="2243" w:type="dxa"/>
            <w:hideMark/>
          </w:tcPr>
          <w:p w14:paraId="00FD9C3E" w14:textId="77777777" w:rsidR="0010265C" w:rsidRPr="00261B7A" w:rsidRDefault="0010265C" w:rsidP="00E24718">
            <w:pPr>
              <w:pStyle w:val="TableText"/>
              <w:spacing w:before="30" w:after="30" w:line="256" w:lineRule="auto"/>
              <w:rPr>
                <w:rFonts w:cs="Arial Bold"/>
                <w:szCs w:val="16"/>
              </w:rPr>
            </w:pPr>
            <w:r w:rsidRPr="00261B7A">
              <w:rPr>
                <w:rFonts w:cs="Arial Bold"/>
                <w:szCs w:val="16"/>
              </w:rPr>
              <w:t>Vegetated</w:t>
            </w:r>
          </w:p>
        </w:tc>
        <w:tc>
          <w:tcPr>
            <w:tcW w:w="1978" w:type="dxa"/>
            <w:vAlign w:val="bottom"/>
            <w:hideMark/>
          </w:tcPr>
          <w:p w14:paraId="1C5FA32F" w14:textId="77777777" w:rsidR="0010265C" w:rsidRPr="00261B7A" w:rsidRDefault="0010265C" w:rsidP="00E24718">
            <w:pPr>
              <w:pStyle w:val="TableText"/>
              <w:spacing w:before="30" w:after="30" w:line="256" w:lineRule="auto"/>
              <w:jc w:val="right"/>
              <w:rPr>
                <w:rFonts w:cs="Arial Bold"/>
                <w:color w:val="000000"/>
                <w:szCs w:val="16"/>
              </w:rPr>
            </w:pPr>
            <w:r w:rsidRPr="00261B7A">
              <w:rPr>
                <w:rFonts w:cs="Calibri"/>
                <w:color w:val="000000"/>
                <w:szCs w:val="16"/>
              </w:rPr>
              <w:t>223.511</w:t>
            </w:r>
          </w:p>
        </w:tc>
        <w:tc>
          <w:tcPr>
            <w:tcW w:w="2437" w:type="dxa"/>
            <w:vAlign w:val="bottom"/>
            <w:hideMark/>
          </w:tcPr>
          <w:p w14:paraId="1C03FF72"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0.8</w:t>
            </w:r>
          </w:p>
        </w:tc>
      </w:tr>
      <w:tr w:rsidR="0010265C" w:rsidRPr="00261B7A" w14:paraId="2FA3EDA5" w14:textId="77777777" w:rsidTr="00E24718">
        <w:tc>
          <w:tcPr>
            <w:tcW w:w="1847" w:type="dxa"/>
          </w:tcPr>
          <w:p w14:paraId="1474474D" w14:textId="77777777" w:rsidR="0010265C" w:rsidRPr="00261B7A" w:rsidRDefault="0010265C" w:rsidP="00E24718">
            <w:pPr>
              <w:pStyle w:val="TableText"/>
              <w:spacing w:before="30" w:after="30" w:line="256" w:lineRule="auto"/>
              <w:rPr>
                <w:rFonts w:cs="Arial Bold"/>
                <w:szCs w:val="16"/>
              </w:rPr>
            </w:pPr>
          </w:p>
        </w:tc>
        <w:tc>
          <w:tcPr>
            <w:tcW w:w="2243" w:type="dxa"/>
            <w:hideMark/>
          </w:tcPr>
          <w:p w14:paraId="4BE00860" w14:textId="77777777" w:rsidR="0010265C" w:rsidRPr="00261B7A" w:rsidRDefault="0010265C" w:rsidP="00E24718">
            <w:pPr>
              <w:pStyle w:val="TableText"/>
              <w:spacing w:before="30" w:after="30" w:line="256" w:lineRule="auto"/>
              <w:rPr>
                <w:rFonts w:cs="Arial Bold"/>
                <w:i/>
                <w:szCs w:val="16"/>
              </w:rPr>
            </w:pPr>
            <w:r w:rsidRPr="00261B7A">
              <w:rPr>
                <w:rFonts w:cs="Arial Bold"/>
                <w:i/>
                <w:szCs w:val="16"/>
              </w:rPr>
              <w:t>Subtotal</w:t>
            </w:r>
          </w:p>
        </w:tc>
        <w:tc>
          <w:tcPr>
            <w:tcW w:w="1978" w:type="dxa"/>
            <w:vAlign w:val="bottom"/>
            <w:hideMark/>
          </w:tcPr>
          <w:p w14:paraId="6CAE1593" w14:textId="77777777" w:rsidR="0010265C" w:rsidRPr="00261B7A" w:rsidRDefault="0010265C" w:rsidP="00E24718">
            <w:pPr>
              <w:pStyle w:val="TableText"/>
              <w:spacing w:before="30" w:after="30" w:line="256" w:lineRule="auto"/>
              <w:jc w:val="right"/>
              <w:rPr>
                <w:rFonts w:cs="Arial Bold"/>
                <w:i/>
                <w:color w:val="000000"/>
                <w:szCs w:val="16"/>
              </w:rPr>
            </w:pPr>
            <w:r w:rsidRPr="00261B7A">
              <w:rPr>
                <w:rFonts w:cs="Calibri"/>
                <w:i/>
                <w:iCs/>
                <w:color w:val="000000"/>
                <w:szCs w:val="16"/>
              </w:rPr>
              <w:t>758.245</w:t>
            </w:r>
          </w:p>
        </w:tc>
        <w:tc>
          <w:tcPr>
            <w:tcW w:w="2437" w:type="dxa"/>
            <w:vAlign w:val="bottom"/>
            <w:hideMark/>
          </w:tcPr>
          <w:p w14:paraId="6D7EAC46" w14:textId="77777777" w:rsidR="0010265C" w:rsidRPr="00261B7A" w:rsidRDefault="0010265C" w:rsidP="00E24718">
            <w:pPr>
              <w:pStyle w:val="TableText"/>
              <w:spacing w:before="30" w:after="30" w:line="256" w:lineRule="auto"/>
              <w:jc w:val="right"/>
              <w:rPr>
                <w:rFonts w:cs="Arial Bold"/>
                <w:i/>
                <w:szCs w:val="16"/>
              </w:rPr>
            </w:pPr>
            <w:r w:rsidRPr="00261B7A">
              <w:rPr>
                <w:rFonts w:cs="Calibri"/>
                <w:i/>
                <w:color w:val="000000"/>
                <w:szCs w:val="16"/>
              </w:rPr>
              <w:t>2.8</w:t>
            </w:r>
          </w:p>
        </w:tc>
      </w:tr>
      <w:tr w:rsidR="0010265C" w:rsidRPr="00261B7A" w14:paraId="78500E51" w14:textId="77777777" w:rsidTr="00E24718">
        <w:tc>
          <w:tcPr>
            <w:tcW w:w="1847" w:type="dxa"/>
            <w:hideMark/>
          </w:tcPr>
          <w:p w14:paraId="3EE0A24A" w14:textId="77777777" w:rsidR="0010265C" w:rsidRPr="00261B7A" w:rsidRDefault="0010265C" w:rsidP="00E24718">
            <w:pPr>
              <w:pStyle w:val="TableText"/>
              <w:spacing w:before="30" w:after="30" w:line="256" w:lineRule="auto"/>
              <w:rPr>
                <w:rFonts w:cs="Arial Bold"/>
                <w:szCs w:val="16"/>
              </w:rPr>
            </w:pPr>
            <w:r w:rsidRPr="00261B7A">
              <w:rPr>
                <w:rFonts w:cs="Arial Bold"/>
                <w:szCs w:val="16"/>
              </w:rPr>
              <w:t>Settlements</w:t>
            </w:r>
          </w:p>
        </w:tc>
        <w:tc>
          <w:tcPr>
            <w:tcW w:w="2243" w:type="dxa"/>
          </w:tcPr>
          <w:p w14:paraId="4ABED86F" w14:textId="77777777" w:rsidR="0010265C" w:rsidRPr="00261B7A" w:rsidRDefault="0010265C" w:rsidP="00E24718">
            <w:pPr>
              <w:pStyle w:val="TableText"/>
              <w:spacing w:before="30" w:after="30" w:line="256" w:lineRule="auto"/>
              <w:rPr>
                <w:rFonts w:cs="Arial Bold"/>
                <w:szCs w:val="16"/>
              </w:rPr>
            </w:pPr>
          </w:p>
        </w:tc>
        <w:tc>
          <w:tcPr>
            <w:tcW w:w="1978" w:type="dxa"/>
            <w:vAlign w:val="bottom"/>
            <w:hideMark/>
          </w:tcPr>
          <w:p w14:paraId="1681F537"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238.242</w:t>
            </w:r>
          </w:p>
        </w:tc>
        <w:tc>
          <w:tcPr>
            <w:tcW w:w="2437" w:type="dxa"/>
            <w:vAlign w:val="bottom"/>
            <w:hideMark/>
          </w:tcPr>
          <w:p w14:paraId="12A8FF1F"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0.9</w:t>
            </w:r>
          </w:p>
        </w:tc>
      </w:tr>
      <w:tr w:rsidR="0010265C" w:rsidRPr="00261B7A" w14:paraId="3D66402E" w14:textId="77777777" w:rsidTr="00E24718">
        <w:tc>
          <w:tcPr>
            <w:tcW w:w="1847" w:type="dxa"/>
            <w:hideMark/>
          </w:tcPr>
          <w:p w14:paraId="32423343" w14:textId="77777777" w:rsidR="0010265C" w:rsidRPr="00261B7A" w:rsidRDefault="0010265C" w:rsidP="00E24718">
            <w:pPr>
              <w:pStyle w:val="TableText"/>
              <w:spacing w:before="30" w:after="30" w:line="256" w:lineRule="auto"/>
              <w:rPr>
                <w:rFonts w:cs="Arial Bold"/>
                <w:szCs w:val="16"/>
              </w:rPr>
            </w:pPr>
            <w:r w:rsidRPr="00261B7A">
              <w:rPr>
                <w:rFonts w:cs="Arial Bold"/>
                <w:szCs w:val="16"/>
              </w:rPr>
              <w:t>Other land</w:t>
            </w:r>
          </w:p>
        </w:tc>
        <w:tc>
          <w:tcPr>
            <w:tcW w:w="2243" w:type="dxa"/>
          </w:tcPr>
          <w:p w14:paraId="30B5524E" w14:textId="77777777" w:rsidR="0010265C" w:rsidRPr="00261B7A" w:rsidRDefault="0010265C" w:rsidP="00E24718">
            <w:pPr>
              <w:pStyle w:val="TableText"/>
              <w:spacing w:before="30" w:after="30" w:line="256" w:lineRule="auto"/>
              <w:rPr>
                <w:rFonts w:cs="Arial Bold"/>
                <w:szCs w:val="16"/>
              </w:rPr>
            </w:pPr>
          </w:p>
        </w:tc>
        <w:tc>
          <w:tcPr>
            <w:tcW w:w="1978" w:type="dxa"/>
            <w:vAlign w:val="bottom"/>
            <w:hideMark/>
          </w:tcPr>
          <w:p w14:paraId="37234052"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896.683</w:t>
            </w:r>
          </w:p>
        </w:tc>
        <w:tc>
          <w:tcPr>
            <w:tcW w:w="2437" w:type="dxa"/>
            <w:vAlign w:val="bottom"/>
            <w:hideMark/>
          </w:tcPr>
          <w:p w14:paraId="5E67564A" w14:textId="77777777" w:rsidR="0010265C" w:rsidRPr="00261B7A" w:rsidRDefault="0010265C" w:rsidP="00E24718">
            <w:pPr>
              <w:pStyle w:val="TableText"/>
              <w:spacing w:before="30" w:after="30" w:line="256" w:lineRule="auto"/>
              <w:jc w:val="right"/>
              <w:rPr>
                <w:rFonts w:cs="Arial Bold"/>
                <w:szCs w:val="16"/>
              </w:rPr>
            </w:pPr>
            <w:r w:rsidRPr="00261B7A">
              <w:rPr>
                <w:rFonts w:cs="Calibri"/>
                <w:color w:val="000000"/>
                <w:szCs w:val="16"/>
              </w:rPr>
              <w:t>3.3</w:t>
            </w:r>
          </w:p>
        </w:tc>
      </w:tr>
      <w:tr w:rsidR="0010265C" w:rsidRPr="00261B7A" w14:paraId="5F15F779" w14:textId="77777777" w:rsidTr="00E24718">
        <w:tc>
          <w:tcPr>
            <w:tcW w:w="1847" w:type="dxa"/>
            <w:hideMark/>
          </w:tcPr>
          <w:p w14:paraId="16B902C0" w14:textId="77777777" w:rsidR="0010265C" w:rsidRPr="00261B7A" w:rsidRDefault="0010265C" w:rsidP="00E24718">
            <w:pPr>
              <w:pStyle w:val="Tableboldblue"/>
              <w:spacing w:before="30" w:after="30" w:line="256" w:lineRule="auto"/>
              <w:jc w:val="right"/>
            </w:pPr>
            <w:r w:rsidRPr="00261B7A">
              <w:t>Total</w:t>
            </w:r>
          </w:p>
        </w:tc>
        <w:tc>
          <w:tcPr>
            <w:tcW w:w="2243" w:type="dxa"/>
          </w:tcPr>
          <w:p w14:paraId="52AB31A7" w14:textId="77777777" w:rsidR="0010265C" w:rsidRPr="00261B7A" w:rsidRDefault="0010265C" w:rsidP="00E24718">
            <w:pPr>
              <w:pStyle w:val="Tableboldblue"/>
              <w:spacing w:before="30" w:after="30"/>
              <w:jc w:val="right"/>
            </w:pPr>
          </w:p>
        </w:tc>
        <w:tc>
          <w:tcPr>
            <w:tcW w:w="1978" w:type="dxa"/>
            <w:vAlign w:val="bottom"/>
            <w:hideMark/>
          </w:tcPr>
          <w:p w14:paraId="0C9CAC76" w14:textId="77777777" w:rsidR="0010265C" w:rsidRPr="00261B7A" w:rsidRDefault="0010265C" w:rsidP="00E24718">
            <w:pPr>
              <w:pStyle w:val="Tableboldblue"/>
              <w:spacing w:before="30" w:after="30"/>
              <w:jc w:val="right"/>
            </w:pPr>
            <w:r w:rsidRPr="00261B7A">
              <w:t>26,925.085</w:t>
            </w:r>
          </w:p>
        </w:tc>
        <w:tc>
          <w:tcPr>
            <w:tcW w:w="2437" w:type="dxa"/>
            <w:vAlign w:val="bottom"/>
            <w:hideMark/>
          </w:tcPr>
          <w:p w14:paraId="7190E7B5" w14:textId="77777777" w:rsidR="0010265C" w:rsidRPr="00261B7A" w:rsidRDefault="0010265C" w:rsidP="00E24718">
            <w:pPr>
              <w:pStyle w:val="Tableboldblue"/>
              <w:spacing w:before="30" w:after="30"/>
              <w:jc w:val="right"/>
            </w:pPr>
            <w:r w:rsidRPr="00261B7A">
              <w:t>100.0</w:t>
            </w:r>
          </w:p>
        </w:tc>
      </w:tr>
    </w:tbl>
    <w:p w14:paraId="68C3CC60" w14:textId="77777777" w:rsidR="0010265C" w:rsidRPr="00261B7A" w:rsidRDefault="0010265C" w:rsidP="0010265C">
      <w:pPr>
        <w:pStyle w:val="Noteundertable"/>
        <w:spacing w:after="80"/>
      </w:pPr>
      <w:r w:rsidRPr="00261B7A">
        <w:rPr>
          <w:b/>
        </w:rPr>
        <w:t>Note:</w:t>
      </w:r>
      <w:r w:rsidRPr="00261B7A">
        <w:tab/>
        <w:t>Areas as at 31 December 2021. Columns may not total due to rounding. Percentages presented are calculated from unrounded values.</w:t>
      </w:r>
    </w:p>
    <w:p w14:paraId="3A845C89" w14:textId="5CCBAE6F" w:rsidR="0010265C" w:rsidRPr="00261B7A" w:rsidRDefault="0010265C" w:rsidP="0010265C">
      <w:pPr>
        <w:pStyle w:val="Figure"/>
        <w:spacing w:before="240"/>
      </w:pPr>
      <w:bookmarkStart w:id="1428" w:name="_Toc131591568"/>
      <w:r w:rsidRPr="00261B7A">
        <w:t>Figure 6.1.2</w:t>
      </w:r>
      <w:r w:rsidRPr="00261B7A">
        <w:tab/>
        <w:t>Comparison of afforestation and deforestation rates with the changing NZ ETS unit</w:t>
      </w:r>
      <w:r w:rsidR="00CD561B" w:rsidRPr="00261B7A">
        <w:t> </w:t>
      </w:r>
      <w:r w:rsidRPr="00261B7A">
        <w:t>price from 2004 to 2020</w:t>
      </w:r>
      <w:bookmarkEnd w:id="1428"/>
    </w:p>
    <w:p w14:paraId="02DECF90" w14:textId="77777777" w:rsidR="0010265C" w:rsidRPr="00261B7A" w:rsidRDefault="0010265C" w:rsidP="0010265C">
      <w:pPr>
        <w:jc w:val="center"/>
      </w:pPr>
      <w:r w:rsidRPr="00261B7A">
        <w:rPr>
          <w:noProof/>
        </w:rPr>
        <w:drawing>
          <wp:inline distT="0" distB="0" distL="0" distR="0" wp14:anchorId="22CF0817" wp14:editId="138628FA">
            <wp:extent cx="5179161" cy="2764867"/>
            <wp:effectExtent l="0" t="0" r="2540" b="0"/>
            <wp:docPr id="8" name="Chart 8">
              <a:extLst xmlns:a="http://schemas.openxmlformats.org/drawingml/2006/main">
                <a:ext uri="{FF2B5EF4-FFF2-40B4-BE49-F238E27FC236}">
                  <a16:creationId xmlns:a16="http://schemas.microsoft.com/office/drawing/2014/main" id="{D8F7F90B-A4B8-4770-AE96-455186B1930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38CD67FB" w14:textId="77777777" w:rsidR="0010265C" w:rsidRPr="00261B7A" w:rsidRDefault="0010265C" w:rsidP="00E24718">
      <w:pPr>
        <w:pStyle w:val="Heading3"/>
        <w:spacing w:before="240"/>
      </w:pPr>
      <w:r w:rsidRPr="00261B7A">
        <w:t>6.1.2</w:t>
      </w:r>
      <w:r w:rsidRPr="00261B7A">
        <w:tab/>
        <w:t>Methodological tiers and coverage of pools applied in the LULUCF sector</w:t>
      </w:r>
    </w:p>
    <w:p w14:paraId="3B1AE985" w14:textId="77777777" w:rsidR="0010265C" w:rsidRPr="00261B7A" w:rsidRDefault="0010265C" w:rsidP="0010265C">
      <w:pPr>
        <w:pStyle w:val="BodyText"/>
        <w:spacing w:before="100" w:after="100"/>
      </w:pPr>
      <w:r w:rsidRPr="00261B7A">
        <w:t xml:space="preserve">New Zealand uses a combination of Tier 1, Tier 2 and Tier 3 methods, as described in the 2006 IPCC General Guidance and Reporting (IPCC, 2006b), for estimating net emissions for the LULUCF sector. A Tier 1 approach has been used to estimate carbon stock change in the four biomass pools (above-ground and below-ground biomass, dead wood and litter) for all land uses except </w:t>
      </w:r>
      <w:r w:rsidRPr="00261B7A">
        <w:rPr>
          <w:i/>
        </w:rPr>
        <w:t>Forest land</w:t>
      </w:r>
      <w:r w:rsidRPr="00261B7A">
        <w:t xml:space="preserve">, </w:t>
      </w:r>
      <w:r w:rsidRPr="00261B7A">
        <w:rPr>
          <w:i/>
          <w:iCs/>
        </w:rPr>
        <w:t>Perennial cropland</w:t>
      </w:r>
      <w:r w:rsidRPr="00261B7A">
        <w:t xml:space="preserve"> and </w:t>
      </w:r>
      <w:r w:rsidRPr="00261B7A">
        <w:rPr>
          <w:i/>
          <w:iCs/>
        </w:rPr>
        <w:t>Grassland with woody biomass</w:t>
      </w:r>
      <w:r w:rsidRPr="00261B7A">
        <w:t>, which use Tier 2 or Tier 3 approaches.</w:t>
      </w:r>
    </w:p>
    <w:p w14:paraId="127D5BED" w14:textId="77777777" w:rsidR="0010265C" w:rsidRPr="00261B7A" w:rsidRDefault="0010265C" w:rsidP="0010265C">
      <w:pPr>
        <w:pStyle w:val="BodyText"/>
        <w:spacing w:before="100" w:after="100"/>
      </w:pPr>
      <w:r w:rsidRPr="00261B7A">
        <w:t>For all land uses, Tier 1 approaches are used to estimate carbon stock changes in organic soils, and a Tier 2 modelling approach is applied to estimate soil organic carbon (SOC) changes from mineral soils. This model is described in more detail in annex A3.2.4 ‘Mineral soils’.</w:t>
      </w:r>
    </w:p>
    <w:p w14:paraId="6E3C46F2" w14:textId="77777777" w:rsidR="0010265C" w:rsidRPr="00261B7A" w:rsidRDefault="0010265C" w:rsidP="0010265C">
      <w:pPr>
        <w:pStyle w:val="BodyText"/>
        <w:spacing w:before="100" w:after="100"/>
      </w:pPr>
      <w:r w:rsidRPr="00261B7A">
        <w:t>New Zealand’s forests are disaggregated into four reporting categories to represent the different growth characteristics of the forest types more accurately: pre-1990 planted forest, pre-1990 natural forest, post-1989 planted forest and post-1989 natural forest. The terms ‘post-1989’ and ‘pre-1990’ distinguish between forests growing on land that was forested</w:t>
      </w:r>
      <w:r w:rsidRPr="00261B7A" w:rsidDel="00DC120C">
        <w:t xml:space="preserve"> </w:t>
      </w:r>
      <w:r w:rsidRPr="00261B7A">
        <w:t>at 31 December 1989 and those growing on land that was not forested at that date. The terms ‘natural’ and ‘planted’ forest are used to identify whether the trees were established from natural regeneration or from managed planting. The term ‘harvesting’ refers to temporary forest loss as part of ongoing forestry land use, whereas ‘deforestation’ refers to permanent destocking of forest as a result of land-use change.</w:t>
      </w:r>
    </w:p>
    <w:p w14:paraId="197AA66E" w14:textId="77777777" w:rsidR="0010265C" w:rsidRPr="00261B7A" w:rsidRDefault="0010265C" w:rsidP="0010265C">
      <w:pPr>
        <w:spacing w:before="100" w:after="100"/>
      </w:pPr>
      <w:r w:rsidRPr="00261B7A">
        <w:t xml:space="preserve">Similarly, the species compositions reported in the </w:t>
      </w:r>
      <w:r w:rsidRPr="00261B7A">
        <w:rPr>
          <w:i/>
          <w:iCs/>
        </w:rPr>
        <w:t>Grassland</w:t>
      </w:r>
      <w:r w:rsidRPr="00261B7A">
        <w:t xml:space="preserve"> category are diverse, ranging from different grass types to woody trees that do not meet New Zealand’s forest definition. To allow for this, the </w:t>
      </w:r>
      <w:r w:rsidRPr="00261B7A">
        <w:rPr>
          <w:i/>
          <w:iCs/>
        </w:rPr>
        <w:t>Grassland</w:t>
      </w:r>
      <w:r w:rsidRPr="00261B7A">
        <w:t xml:space="preserve"> category is divided into four types for modelling the net emissions from land-use change.</w:t>
      </w:r>
    </w:p>
    <w:p w14:paraId="114F8ED3" w14:textId="77777777" w:rsidR="0010265C" w:rsidRPr="00261B7A" w:rsidRDefault="0010265C" w:rsidP="0010265C">
      <w:pPr>
        <w:pStyle w:val="Heading4"/>
      </w:pPr>
      <w:r w:rsidRPr="00261B7A">
        <w:t>Calculation of national emission estimates</w:t>
      </w:r>
    </w:p>
    <w:p w14:paraId="3426E55B" w14:textId="465788EB" w:rsidR="0010265C" w:rsidRPr="00261B7A" w:rsidRDefault="0010265C" w:rsidP="0010265C">
      <w:pPr>
        <w:pStyle w:val="BodyText"/>
        <w:spacing w:before="100" w:after="100"/>
      </w:pPr>
      <w:r w:rsidRPr="00261B7A">
        <w:t>The methods used to estimate carbon (C) by pool for each land use are summarised in table 6.1.4. Biomass carbon stocks in each land use before conversion, emission factors to estimate carbon stock changes and annual growth in biomass carbon stocks after land use conversion are summarised in the relevant category sections in this chapter. Activity data are estimated using wall-to-wall mapping from satellite imagery and other ancillary data sets and are described in more detail in section 6.2 and annex A3.2.1.</w:t>
      </w:r>
      <w:r w:rsidR="00446E7F" w:rsidRPr="00261B7A">
        <w:t xml:space="preserve"> </w:t>
      </w:r>
    </w:p>
    <w:p w14:paraId="5339B072" w14:textId="77777777" w:rsidR="0010265C" w:rsidRPr="00261B7A" w:rsidRDefault="0010265C" w:rsidP="00E24718">
      <w:pPr>
        <w:pStyle w:val="Table"/>
      </w:pPr>
      <w:bookmarkStart w:id="1429" w:name="_Toc280630449"/>
      <w:bookmarkStart w:id="1430" w:name="_Toc310423392"/>
      <w:bookmarkStart w:id="1431" w:name="_Toc318362685"/>
      <w:bookmarkStart w:id="1432" w:name="_Toc342470747"/>
      <w:bookmarkStart w:id="1433" w:name="_Toc352504987"/>
      <w:bookmarkStart w:id="1434" w:name="_Toc378853276"/>
      <w:bookmarkStart w:id="1435" w:name="_Toc391024074"/>
      <w:bookmarkStart w:id="1436" w:name="_Toc410028817"/>
      <w:bookmarkStart w:id="1437" w:name="_Toc414531445"/>
      <w:bookmarkStart w:id="1438" w:name="_Toc443645357"/>
      <w:bookmarkStart w:id="1439" w:name="_Toc474914576"/>
      <w:bookmarkStart w:id="1440" w:name="_Toc481751540"/>
      <w:bookmarkStart w:id="1441" w:name="_Toc522010597"/>
      <w:bookmarkStart w:id="1442" w:name="_Toc5269502"/>
      <w:bookmarkStart w:id="1443" w:name="_Toc33529378"/>
      <w:bookmarkStart w:id="1444" w:name="_Toc36224584"/>
      <w:bookmarkStart w:id="1445" w:name="_Toc65243579"/>
      <w:bookmarkStart w:id="1446" w:name="_Toc131591384"/>
      <w:r w:rsidRPr="00261B7A">
        <w:t>Table 6.1.4</w:t>
      </w:r>
      <w:r w:rsidRPr="00261B7A">
        <w:tab/>
        <w:t>Relationships between land use, carbon pool and method of calculation used by New Zealand</w:t>
      </w:r>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p>
    <w:tbl>
      <w:tblPr>
        <w:tblW w:w="8562"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57" w:type="dxa"/>
          <w:right w:w="57" w:type="dxa"/>
        </w:tblCellMar>
        <w:tblLook w:val="04A0" w:firstRow="1" w:lastRow="0" w:firstColumn="1" w:lastColumn="0" w:noHBand="0" w:noVBand="1"/>
      </w:tblPr>
      <w:tblGrid>
        <w:gridCol w:w="1109"/>
        <w:gridCol w:w="1276"/>
        <w:gridCol w:w="1276"/>
        <w:gridCol w:w="1301"/>
        <w:gridCol w:w="1251"/>
        <w:gridCol w:w="1134"/>
        <w:gridCol w:w="1158"/>
        <w:gridCol w:w="57"/>
      </w:tblGrid>
      <w:tr w:rsidR="0010265C" w:rsidRPr="00261B7A" w14:paraId="7B5FBDC0" w14:textId="77777777" w:rsidTr="00E24718">
        <w:trPr>
          <w:gridAfter w:val="1"/>
          <w:wAfter w:w="57" w:type="dxa"/>
          <w:tblHeader/>
        </w:trPr>
        <w:tc>
          <w:tcPr>
            <w:tcW w:w="1109" w:type="dxa"/>
            <w:shd w:val="clear" w:color="auto" w:fill="1B556B" w:themeFill="text2"/>
            <w:vAlign w:val="bottom"/>
            <w:hideMark/>
          </w:tcPr>
          <w:p w14:paraId="6732DDD4" w14:textId="77777777" w:rsidR="0010265C" w:rsidRPr="00261B7A" w:rsidRDefault="0010265C" w:rsidP="00D41492">
            <w:pPr>
              <w:pStyle w:val="TableTextBold"/>
              <w:keepNext/>
              <w:spacing w:before="40" w:after="40"/>
              <w:rPr>
                <w:rFonts w:cs="Segoe UI"/>
                <w:noProof w:val="0"/>
                <w:color w:val="FFFFFF"/>
                <w:szCs w:val="16"/>
              </w:rPr>
            </w:pPr>
            <w:r w:rsidRPr="00261B7A">
              <w:rPr>
                <w:rFonts w:cs="Segoe UI"/>
                <w:noProof w:val="0"/>
                <w:color w:val="FFFFFF"/>
                <w:szCs w:val="16"/>
              </w:rPr>
              <w:t>Reporting category</w:t>
            </w:r>
          </w:p>
        </w:tc>
        <w:tc>
          <w:tcPr>
            <w:tcW w:w="2552" w:type="dxa"/>
            <w:gridSpan w:val="2"/>
            <w:tcBorders>
              <w:bottom w:val="single" w:sz="4" w:space="0" w:color="1B556B" w:themeColor="text2"/>
            </w:tcBorders>
            <w:shd w:val="clear" w:color="auto" w:fill="1B556B" w:themeFill="text2"/>
            <w:vAlign w:val="bottom"/>
            <w:hideMark/>
          </w:tcPr>
          <w:p w14:paraId="2574F4BF" w14:textId="77777777" w:rsidR="0010265C" w:rsidRPr="00261B7A" w:rsidRDefault="0010265C" w:rsidP="00D41492">
            <w:pPr>
              <w:pStyle w:val="TableTextBold"/>
              <w:keepNext/>
              <w:spacing w:before="40" w:after="40"/>
              <w:jc w:val="center"/>
              <w:rPr>
                <w:rFonts w:cs="Segoe UI"/>
                <w:noProof w:val="0"/>
                <w:color w:val="FFFFFF"/>
                <w:szCs w:val="16"/>
              </w:rPr>
            </w:pPr>
            <w:r w:rsidRPr="00261B7A">
              <w:rPr>
                <w:rFonts w:cs="Segoe UI"/>
                <w:noProof w:val="0"/>
                <w:color w:val="FFFFFF"/>
                <w:szCs w:val="16"/>
              </w:rPr>
              <w:t>Living biomass</w:t>
            </w:r>
          </w:p>
        </w:tc>
        <w:tc>
          <w:tcPr>
            <w:tcW w:w="2552" w:type="dxa"/>
            <w:gridSpan w:val="2"/>
            <w:tcBorders>
              <w:bottom w:val="single" w:sz="4" w:space="0" w:color="1B556B" w:themeColor="text2"/>
            </w:tcBorders>
            <w:shd w:val="clear" w:color="auto" w:fill="1B556B" w:themeFill="text2"/>
            <w:vAlign w:val="bottom"/>
            <w:hideMark/>
          </w:tcPr>
          <w:p w14:paraId="12DDF7FD" w14:textId="77777777" w:rsidR="0010265C" w:rsidRPr="00261B7A" w:rsidRDefault="0010265C" w:rsidP="00D41492">
            <w:pPr>
              <w:pStyle w:val="TableTextBold"/>
              <w:keepNext/>
              <w:spacing w:before="40" w:after="40"/>
              <w:jc w:val="center"/>
              <w:rPr>
                <w:rFonts w:cs="Segoe UI"/>
                <w:noProof w:val="0"/>
                <w:color w:val="FFFFFF"/>
                <w:szCs w:val="16"/>
              </w:rPr>
            </w:pPr>
            <w:r w:rsidRPr="00261B7A">
              <w:rPr>
                <w:rFonts w:cs="Segoe UI"/>
                <w:noProof w:val="0"/>
                <w:color w:val="FFFFFF"/>
                <w:szCs w:val="16"/>
              </w:rPr>
              <w:t>Dead organic matter</w:t>
            </w:r>
          </w:p>
        </w:tc>
        <w:tc>
          <w:tcPr>
            <w:tcW w:w="2292" w:type="dxa"/>
            <w:gridSpan w:val="2"/>
            <w:tcBorders>
              <w:bottom w:val="single" w:sz="4" w:space="0" w:color="1B556B" w:themeColor="text2"/>
            </w:tcBorders>
            <w:shd w:val="clear" w:color="auto" w:fill="1B556B" w:themeFill="text2"/>
            <w:vAlign w:val="bottom"/>
            <w:hideMark/>
          </w:tcPr>
          <w:p w14:paraId="687F6C04" w14:textId="77777777" w:rsidR="0010265C" w:rsidRPr="00261B7A" w:rsidRDefault="0010265C" w:rsidP="00D41492">
            <w:pPr>
              <w:pStyle w:val="TableTextBold"/>
              <w:keepNext/>
              <w:spacing w:before="40" w:after="40"/>
              <w:jc w:val="center"/>
              <w:rPr>
                <w:rFonts w:cs="Segoe UI"/>
                <w:noProof w:val="0"/>
                <w:color w:val="FFFFFF"/>
                <w:szCs w:val="16"/>
              </w:rPr>
            </w:pPr>
            <w:r w:rsidRPr="00261B7A">
              <w:rPr>
                <w:rFonts w:cs="Segoe UI"/>
                <w:noProof w:val="0"/>
                <w:color w:val="FFFFFF"/>
                <w:szCs w:val="16"/>
              </w:rPr>
              <w:t>Soils</w:t>
            </w:r>
          </w:p>
        </w:tc>
      </w:tr>
      <w:tr w:rsidR="0010265C" w:rsidRPr="00261B7A" w14:paraId="75DFBE83" w14:textId="77777777" w:rsidTr="00E24718">
        <w:trPr>
          <w:gridAfter w:val="1"/>
          <w:wAfter w:w="57" w:type="dxa"/>
          <w:tblHeader/>
        </w:trPr>
        <w:tc>
          <w:tcPr>
            <w:tcW w:w="1109" w:type="dxa"/>
            <w:vMerge w:val="restart"/>
            <w:vAlign w:val="bottom"/>
            <w:hideMark/>
          </w:tcPr>
          <w:p w14:paraId="22FF68F6" w14:textId="77777777" w:rsidR="0010265C" w:rsidRPr="00261B7A" w:rsidRDefault="0010265C" w:rsidP="00D41492">
            <w:pPr>
              <w:pStyle w:val="TableTextBold"/>
              <w:spacing w:after="40"/>
              <w:rPr>
                <w:noProof w:val="0"/>
                <w:szCs w:val="16"/>
              </w:rPr>
            </w:pPr>
            <w:r w:rsidRPr="00261B7A">
              <w:rPr>
                <w:noProof w:val="0"/>
                <w:szCs w:val="16"/>
              </w:rPr>
              <w:t>Land use</w:t>
            </w:r>
          </w:p>
        </w:tc>
        <w:tc>
          <w:tcPr>
            <w:tcW w:w="1276" w:type="dxa"/>
            <w:vMerge w:val="restart"/>
            <w:tcBorders>
              <w:right w:val="nil"/>
            </w:tcBorders>
            <w:vAlign w:val="bottom"/>
            <w:hideMark/>
          </w:tcPr>
          <w:p w14:paraId="3B6A62BC" w14:textId="77777777" w:rsidR="0010265C" w:rsidRPr="00261B7A" w:rsidRDefault="0010265C" w:rsidP="00D41492">
            <w:pPr>
              <w:pStyle w:val="TableTextBold"/>
              <w:keepNext/>
              <w:spacing w:before="40" w:after="40"/>
              <w:jc w:val="center"/>
              <w:rPr>
                <w:rFonts w:cs="Segoe UI"/>
                <w:noProof w:val="0"/>
                <w:szCs w:val="16"/>
              </w:rPr>
            </w:pPr>
            <w:r w:rsidRPr="00261B7A">
              <w:rPr>
                <w:rFonts w:cs="Segoe UI"/>
                <w:noProof w:val="0"/>
                <w:szCs w:val="16"/>
              </w:rPr>
              <w:t>Above-ground biomass</w:t>
            </w:r>
          </w:p>
        </w:tc>
        <w:tc>
          <w:tcPr>
            <w:tcW w:w="1276" w:type="dxa"/>
            <w:vMerge w:val="restart"/>
            <w:tcBorders>
              <w:left w:val="nil"/>
              <w:right w:val="nil"/>
            </w:tcBorders>
            <w:vAlign w:val="bottom"/>
            <w:hideMark/>
          </w:tcPr>
          <w:p w14:paraId="7B5A9711" w14:textId="77777777" w:rsidR="0010265C" w:rsidRPr="00261B7A" w:rsidRDefault="0010265C" w:rsidP="00D41492">
            <w:pPr>
              <w:pStyle w:val="TableTextBold"/>
              <w:keepNext/>
              <w:spacing w:before="40" w:after="40"/>
              <w:jc w:val="center"/>
              <w:rPr>
                <w:rFonts w:cs="Segoe UI"/>
                <w:noProof w:val="0"/>
                <w:szCs w:val="16"/>
              </w:rPr>
            </w:pPr>
            <w:r w:rsidRPr="00261B7A">
              <w:rPr>
                <w:rFonts w:cs="Segoe UI"/>
                <w:noProof w:val="0"/>
                <w:szCs w:val="16"/>
              </w:rPr>
              <w:t>Below-ground biomass</w:t>
            </w:r>
          </w:p>
        </w:tc>
        <w:tc>
          <w:tcPr>
            <w:tcW w:w="1301" w:type="dxa"/>
            <w:vMerge w:val="restart"/>
            <w:tcBorders>
              <w:left w:val="nil"/>
              <w:right w:val="nil"/>
            </w:tcBorders>
            <w:vAlign w:val="bottom"/>
            <w:hideMark/>
          </w:tcPr>
          <w:p w14:paraId="5D626009" w14:textId="77777777" w:rsidR="0010265C" w:rsidRPr="00261B7A" w:rsidRDefault="0010265C" w:rsidP="00D41492">
            <w:pPr>
              <w:pStyle w:val="TableTextBold"/>
              <w:keepNext/>
              <w:spacing w:before="40" w:after="40"/>
              <w:jc w:val="center"/>
              <w:rPr>
                <w:rFonts w:cs="Segoe UI"/>
                <w:noProof w:val="0"/>
                <w:szCs w:val="16"/>
              </w:rPr>
            </w:pPr>
            <w:r w:rsidRPr="00261B7A">
              <w:rPr>
                <w:rFonts w:cs="Segoe UI"/>
                <w:noProof w:val="0"/>
                <w:szCs w:val="16"/>
              </w:rPr>
              <w:t>Dead wood</w:t>
            </w:r>
          </w:p>
        </w:tc>
        <w:tc>
          <w:tcPr>
            <w:tcW w:w="1251" w:type="dxa"/>
            <w:vMerge w:val="restart"/>
            <w:tcBorders>
              <w:left w:val="nil"/>
            </w:tcBorders>
            <w:vAlign w:val="bottom"/>
            <w:hideMark/>
          </w:tcPr>
          <w:p w14:paraId="220B12A9" w14:textId="77777777" w:rsidR="0010265C" w:rsidRPr="00261B7A" w:rsidRDefault="0010265C" w:rsidP="00D41492">
            <w:pPr>
              <w:pStyle w:val="TableTextBold"/>
              <w:keepNext/>
              <w:spacing w:before="40" w:after="40"/>
              <w:jc w:val="center"/>
              <w:rPr>
                <w:rFonts w:cs="Segoe UI"/>
                <w:noProof w:val="0"/>
                <w:szCs w:val="16"/>
              </w:rPr>
            </w:pPr>
            <w:r w:rsidRPr="00261B7A">
              <w:rPr>
                <w:rFonts w:cs="Segoe UI"/>
                <w:noProof w:val="0"/>
                <w:szCs w:val="16"/>
              </w:rPr>
              <w:t>Litter</w:t>
            </w:r>
          </w:p>
        </w:tc>
        <w:tc>
          <w:tcPr>
            <w:tcW w:w="2292" w:type="dxa"/>
            <w:gridSpan w:val="2"/>
            <w:tcBorders>
              <w:bottom w:val="nil"/>
            </w:tcBorders>
            <w:vAlign w:val="bottom"/>
            <w:hideMark/>
          </w:tcPr>
          <w:p w14:paraId="1DD7AB9F" w14:textId="77777777" w:rsidR="0010265C" w:rsidRPr="00261B7A" w:rsidRDefault="0010265C" w:rsidP="00D41492">
            <w:pPr>
              <w:pStyle w:val="TableTextBold"/>
              <w:keepNext/>
              <w:spacing w:before="40" w:after="40"/>
              <w:jc w:val="center"/>
              <w:rPr>
                <w:rFonts w:cs="Segoe UI"/>
                <w:noProof w:val="0"/>
                <w:szCs w:val="16"/>
              </w:rPr>
            </w:pPr>
            <w:r w:rsidRPr="00261B7A">
              <w:rPr>
                <w:rFonts w:cs="Segoe UI"/>
                <w:noProof w:val="0"/>
                <w:szCs w:val="16"/>
              </w:rPr>
              <w:t>Soil organic matter</w:t>
            </w:r>
          </w:p>
        </w:tc>
      </w:tr>
      <w:tr w:rsidR="0010265C" w:rsidRPr="00261B7A" w14:paraId="3DE71F98" w14:textId="77777777" w:rsidTr="00E24718">
        <w:trPr>
          <w:gridAfter w:val="1"/>
          <w:wAfter w:w="57" w:type="dxa"/>
          <w:tblHeader/>
        </w:trPr>
        <w:tc>
          <w:tcPr>
            <w:tcW w:w="1109" w:type="dxa"/>
            <w:vMerge/>
            <w:vAlign w:val="center"/>
            <w:hideMark/>
          </w:tcPr>
          <w:p w14:paraId="239C99EF" w14:textId="77777777" w:rsidR="0010265C" w:rsidRPr="00261B7A" w:rsidRDefault="0010265C" w:rsidP="00D41492">
            <w:pPr>
              <w:spacing w:before="40" w:after="40"/>
              <w:rPr>
                <w:rFonts w:ascii="Segoe UI" w:hAnsi="Segoe UI" w:cs="Segoe UI"/>
                <w:b/>
                <w:sz w:val="16"/>
                <w:szCs w:val="16"/>
              </w:rPr>
            </w:pPr>
          </w:p>
        </w:tc>
        <w:tc>
          <w:tcPr>
            <w:tcW w:w="1276" w:type="dxa"/>
            <w:vMerge/>
            <w:tcBorders>
              <w:bottom w:val="single" w:sz="4" w:space="0" w:color="1B556B" w:themeColor="text2"/>
              <w:right w:val="nil"/>
            </w:tcBorders>
            <w:vAlign w:val="center"/>
            <w:hideMark/>
          </w:tcPr>
          <w:p w14:paraId="49CA207E" w14:textId="77777777" w:rsidR="0010265C" w:rsidRPr="00261B7A" w:rsidRDefault="0010265C" w:rsidP="00D41492">
            <w:pPr>
              <w:spacing w:before="40" w:after="40"/>
              <w:rPr>
                <w:rFonts w:ascii="Segoe UI" w:hAnsi="Segoe UI" w:cs="Segoe UI"/>
                <w:b/>
                <w:sz w:val="16"/>
                <w:szCs w:val="16"/>
              </w:rPr>
            </w:pPr>
          </w:p>
        </w:tc>
        <w:tc>
          <w:tcPr>
            <w:tcW w:w="1276" w:type="dxa"/>
            <w:vMerge/>
            <w:tcBorders>
              <w:left w:val="nil"/>
              <w:bottom w:val="single" w:sz="4" w:space="0" w:color="1B556B" w:themeColor="text2"/>
              <w:right w:val="nil"/>
            </w:tcBorders>
            <w:vAlign w:val="center"/>
            <w:hideMark/>
          </w:tcPr>
          <w:p w14:paraId="6A4D643A" w14:textId="77777777" w:rsidR="0010265C" w:rsidRPr="00261B7A" w:rsidRDefault="0010265C" w:rsidP="00D41492">
            <w:pPr>
              <w:spacing w:before="40" w:after="40"/>
              <w:rPr>
                <w:rFonts w:ascii="Segoe UI" w:hAnsi="Segoe UI" w:cs="Segoe UI"/>
                <w:b/>
                <w:sz w:val="16"/>
                <w:szCs w:val="16"/>
              </w:rPr>
            </w:pPr>
          </w:p>
        </w:tc>
        <w:tc>
          <w:tcPr>
            <w:tcW w:w="1301" w:type="dxa"/>
            <w:vMerge/>
            <w:tcBorders>
              <w:left w:val="nil"/>
              <w:bottom w:val="single" w:sz="4" w:space="0" w:color="1B556B" w:themeColor="text2"/>
              <w:right w:val="nil"/>
            </w:tcBorders>
            <w:vAlign w:val="center"/>
            <w:hideMark/>
          </w:tcPr>
          <w:p w14:paraId="360AF8D6" w14:textId="77777777" w:rsidR="0010265C" w:rsidRPr="00261B7A" w:rsidRDefault="0010265C" w:rsidP="00D41492">
            <w:pPr>
              <w:spacing w:before="40" w:after="40"/>
              <w:rPr>
                <w:rFonts w:ascii="Segoe UI" w:hAnsi="Segoe UI" w:cs="Segoe UI"/>
                <w:b/>
                <w:sz w:val="16"/>
                <w:szCs w:val="16"/>
              </w:rPr>
            </w:pPr>
          </w:p>
        </w:tc>
        <w:tc>
          <w:tcPr>
            <w:tcW w:w="1251" w:type="dxa"/>
            <w:vMerge/>
            <w:tcBorders>
              <w:left w:val="nil"/>
              <w:bottom w:val="single" w:sz="4" w:space="0" w:color="1B556B" w:themeColor="text2"/>
            </w:tcBorders>
            <w:vAlign w:val="center"/>
            <w:hideMark/>
          </w:tcPr>
          <w:p w14:paraId="5DF8F591" w14:textId="77777777" w:rsidR="0010265C" w:rsidRPr="00261B7A" w:rsidRDefault="0010265C" w:rsidP="00D41492">
            <w:pPr>
              <w:spacing w:before="40" w:after="40"/>
              <w:rPr>
                <w:rFonts w:ascii="Segoe UI" w:hAnsi="Segoe UI" w:cs="Segoe UI"/>
                <w:b/>
                <w:sz w:val="16"/>
                <w:szCs w:val="16"/>
              </w:rPr>
            </w:pPr>
          </w:p>
        </w:tc>
        <w:tc>
          <w:tcPr>
            <w:tcW w:w="1134" w:type="dxa"/>
            <w:tcBorders>
              <w:top w:val="nil"/>
              <w:right w:val="nil"/>
            </w:tcBorders>
            <w:vAlign w:val="bottom"/>
            <w:hideMark/>
          </w:tcPr>
          <w:p w14:paraId="32F1B4FC" w14:textId="77777777" w:rsidR="0010265C" w:rsidRPr="00261B7A" w:rsidRDefault="0010265C" w:rsidP="00D41492">
            <w:pPr>
              <w:pStyle w:val="TableTextBold"/>
              <w:keepNext/>
              <w:spacing w:before="40" w:after="40" w:line="256" w:lineRule="auto"/>
              <w:jc w:val="center"/>
              <w:rPr>
                <w:rFonts w:cs="Segoe UI"/>
                <w:noProof w:val="0"/>
                <w:szCs w:val="16"/>
              </w:rPr>
            </w:pPr>
            <w:r w:rsidRPr="00261B7A">
              <w:rPr>
                <w:rFonts w:cs="Segoe UI"/>
                <w:noProof w:val="0"/>
                <w:szCs w:val="16"/>
              </w:rPr>
              <w:t>Mineral soils</w:t>
            </w:r>
          </w:p>
        </w:tc>
        <w:tc>
          <w:tcPr>
            <w:tcW w:w="1158" w:type="dxa"/>
            <w:tcBorders>
              <w:top w:val="nil"/>
              <w:left w:val="nil"/>
            </w:tcBorders>
            <w:tcMar>
              <w:top w:w="0" w:type="dxa"/>
              <w:left w:w="108" w:type="dxa"/>
              <w:bottom w:w="0" w:type="dxa"/>
              <w:right w:w="57" w:type="dxa"/>
            </w:tcMar>
            <w:vAlign w:val="bottom"/>
            <w:hideMark/>
          </w:tcPr>
          <w:p w14:paraId="7DB9044E" w14:textId="77777777" w:rsidR="0010265C" w:rsidRPr="00261B7A" w:rsidRDefault="0010265C" w:rsidP="00D41492">
            <w:pPr>
              <w:pStyle w:val="TableTextBold"/>
              <w:keepNext/>
              <w:spacing w:before="40" w:after="40" w:line="256" w:lineRule="auto"/>
              <w:jc w:val="center"/>
              <w:rPr>
                <w:rFonts w:cs="Segoe UI"/>
                <w:noProof w:val="0"/>
                <w:szCs w:val="16"/>
              </w:rPr>
            </w:pPr>
            <w:r w:rsidRPr="00261B7A">
              <w:rPr>
                <w:rFonts w:cs="Segoe UI"/>
                <w:noProof w:val="0"/>
                <w:szCs w:val="16"/>
              </w:rPr>
              <w:t>Organic soils</w:t>
            </w:r>
          </w:p>
        </w:tc>
      </w:tr>
      <w:tr w:rsidR="0010265C" w:rsidRPr="00261B7A" w14:paraId="50539D7B" w14:textId="77777777" w:rsidTr="00E24718">
        <w:trPr>
          <w:gridAfter w:val="1"/>
          <w:wAfter w:w="57" w:type="dxa"/>
        </w:trPr>
        <w:tc>
          <w:tcPr>
            <w:tcW w:w="1109" w:type="dxa"/>
            <w:hideMark/>
          </w:tcPr>
          <w:p w14:paraId="66B3DC6A" w14:textId="77777777" w:rsidR="0010265C" w:rsidRPr="00261B7A" w:rsidRDefault="0010265C" w:rsidP="00D41492">
            <w:pPr>
              <w:pStyle w:val="TableText"/>
              <w:spacing w:before="40" w:after="40"/>
              <w:rPr>
                <w:rFonts w:cs="Segoe UI"/>
                <w:szCs w:val="16"/>
              </w:rPr>
            </w:pPr>
            <w:r w:rsidRPr="00261B7A">
              <w:rPr>
                <w:rFonts w:cs="Segoe UI"/>
                <w:szCs w:val="16"/>
              </w:rPr>
              <w:t xml:space="preserve">Pre-1990 natural forest </w:t>
            </w:r>
          </w:p>
        </w:tc>
        <w:tc>
          <w:tcPr>
            <w:tcW w:w="1276" w:type="dxa"/>
            <w:tcBorders>
              <w:right w:val="nil"/>
            </w:tcBorders>
            <w:tcMar>
              <w:top w:w="0" w:type="dxa"/>
              <w:left w:w="108" w:type="dxa"/>
              <w:bottom w:w="0" w:type="dxa"/>
              <w:right w:w="28" w:type="dxa"/>
            </w:tcMar>
            <w:hideMark/>
          </w:tcPr>
          <w:p w14:paraId="1D1BB251" w14:textId="77777777" w:rsidR="0010265C" w:rsidRPr="00261B7A" w:rsidRDefault="0010265C" w:rsidP="00D41492">
            <w:pPr>
              <w:pStyle w:val="TableText"/>
              <w:keepNext/>
              <w:spacing w:before="40" w:after="40"/>
              <w:rPr>
                <w:rFonts w:cs="Segoe UI"/>
                <w:szCs w:val="16"/>
              </w:rPr>
            </w:pPr>
            <w:r w:rsidRPr="00261B7A">
              <w:rPr>
                <w:rFonts w:cs="Segoe UI"/>
                <w:szCs w:val="16"/>
              </w:rPr>
              <w:t>Plot measurements; allometric equations</w:t>
            </w:r>
          </w:p>
        </w:tc>
        <w:tc>
          <w:tcPr>
            <w:tcW w:w="1276" w:type="dxa"/>
            <w:tcBorders>
              <w:left w:val="nil"/>
              <w:right w:val="nil"/>
            </w:tcBorders>
            <w:tcMar>
              <w:top w:w="0" w:type="dxa"/>
              <w:left w:w="108" w:type="dxa"/>
              <w:bottom w:w="0" w:type="dxa"/>
              <w:right w:w="28" w:type="dxa"/>
            </w:tcMar>
            <w:hideMark/>
          </w:tcPr>
          <w:p w14:paraId="4A947ECE" w14:textId="77777777" w:rsidR="0010265C" w:rsidRPr="00261B7A" w:rsidRDefault="0010265C" w:rsidP="00D41492">
            <w:pPr>
              <w:pStyle w:val="TableText"/>
              <w:keepNext/>
              <w:spacing w:before="40" w:after="40"/>
              <w:rPr>
                <w:rFonts w:cs="Segoe UI"/>
                <w:szCs w:val="16"/>
              </w:rPr>
            </w:pPr>
            <w:r w:rsidRPr="00261B7A">
              <w:rPr>
                <w:szCs w:val="16"/>
              </w:rPr>
              <w:t xml:space="preserve">Estimated as the ratio of below-ground biomass to above-ground </w:t>
            </w:r>
            <w:r w:rsidRPr="00261B7A" w:rsidDel="00F72565">
              <w:rPr>
                <w:szCs w:val="16"/>
              </w:rPr>
              <w:t>biomass</w:t>
            </w:r>
          </w:p>
        </w:tc>
        <w:tc>
          <w:tcPr>
            <w:tcW w:w="1301" w:type="dxa"/>
            <w:tcBorders>
              <w:left w:val="nil"/>
              <w:right w:val="nil"/>
            </w:tcBorders>
            <w:tcMar>
              <w:top w:w="0" w:type="dxa"/>
              <w:left w:w="108" w:type="dxa"/>
              <w:bottom w:w="0" w:type="dxa"/>
              <w:right w:w="28" w:type="dxa"/>
            </w:tcMar>
            <w:hideMark/>
          </w:tcPr>
          <w:p w14:paraId="3DD17336" w14:textId="77777777" w:rsidR="0010265C" w:rsidRPr="00261B7A" w:rsidRDefault="0010265C" w:rsidP="00D41492">
            <w:pPr>
              <w:pStyle w:val="TableText"/>
              <w:keepNext/>
              <w:spacing w:before="40" w:after="40"/>
              <w:rPr>
                <w:rFonts w:cs="Segoe UI"/>
                <w:szCs w:val="16"/>
              </w:rPr>
            </w:pPr>
            <w:r w:rsidRPr="00261B7A">
              <w:rPr>
                <w:szCs w:val="16"/>
              </w:rPr>
              <w:t>Modelled from plot measurements; allometric equations</w:t>
            </w:r>
          </w:p>
        </w:tc>
        <w:tc>
          <w:tcPr>
            <w:tcW w:w="1251" w:type="dxa"/>
            <w:tcBorders>
              <w:left w:val="nil"/>
            </w:tcBorders>
            <w:tcMar>
              <w:top w:w="0" w:type="dxa"/>
              <w:left w:w="108" w:type="dxa"/>
              <w:bottom w:w="0" w:type="dxa"/>
              <w:right w:w="28" w:type="dxa"/>
            </w:tcMar>
            <w:hideMark/>
          </w:tcPr>
          <w:p w14:paraId="273DB84F" w14:textId="77777777" w:rsidR="0010265C" w:rsidRPr="00261B7A" w:rsidRDefault="0010265C" w:rsidP="00D41492">
            <w:pPr>
              <w:pStyle w:val="TableText"/>
              <w:keepNext/>
              <w:spacing w:before="40" w:after="40"/>
              <w:rPr>
                <w:rFonts w:cs="Segoe UI"/>
                <w:szCs w:val="16"/>
              </w:rPr>
            </w:pPr>
            <w:r w:rsidRPr="00261B7A">
              <w:rPr>
                <w:szCs w:val="16"/>
              </w:rPr>
              <w:t>Plot samples; laboratory analysis of samples collected at plots</w:t>
            </w:r>
          </w:p>
        </w:tc>
        <w:tc>
          <w:tcPr>
            <w:tcW w:w="1134" w:type="dxa"/>
            <w:hideMark/>
          </w:tcPr>
          <w:p w14:paraId="05D47270" w14:textId="77777777" w:rsidR="0010265C" w:rsidRPr="00261B7A" w:rsidRDefault="0010265C" w:rsidP="00D41492">
            <w:pPr>
              <w:pStyle w:val="TableText"/>
              <w:keepNext/>
              <w:spacing w:before="40" w:after="40"/>
              <w:rPr>
                <w:rFonts w:cs="Segoe UI"/>
                <w:szCs w:val="16"/>
              </w:rPr>
            </w:pPr>
            <w:r w:rsidRPr="00261B7A">
              <w:rPr>
                <w:rFonts w:cs="Segoe UI"/>
                <w:szCs w:val="16"/>
              </w:rPr>
              <w:t>Tier 2, country-specific data and model</w:t>
            </w:r>
          </w:p>
        </w:tc>
        <w:tc>
          <w:tcPr>
            <w:tcW w:w="1158" w:type="dxa"/>
            <w:hideMark/>
          </w:tcPr>
          <w:p w14:paraId="4236EDF5" w14:textId="77777777" w:rsidR="0010265C" w:rsidRPr="00261B7A" w:rsidRDefault="0010265C" w:rsidP="00D41492">
            <w:pPr>
              <w:pStyle w:val="TableText"/>
              <w:keepNext/>
              <w:spacing w:before="40" w:after="40"/>
              <w:ind w:right="-107"/>
              <w:rPr>
                <w:rFonts w:cs="Segoe UI"/>
                <w:szCs w:val="16"/>
              </w:rPr>
            </w:pPr>
            <w:r w:rsidRPr="00261B7A">
              <w:rPr>
                <w:rFonts w:cs="Segoe UI"/>
                <w:szCs w:val="16"/>
              </w:rPr>
              <w:t>Not applicable</w:t>
            </w:r>
          </w:p>
        </w:tc>
      </w:tr>
      <w:tr w:rsidR="0010265C" w:rsidRPr="00261B7A" w14:paraId="78752284" w14:textId="77777777" w:rsidTr="00E24718">
        <w:trPr>
          <w:gridAfter w:val="1"/>
          <w:wAfter w:w="57" w:type="dxa"/>
        </w:trPr>
        <w:tc>
          <w:tcPr>
            <w:tcW w:w="1109" w:type="dxa"/>
          </w:tcPr>
          <w:p w14:paraId="32CD4A7B" w14:textId="77777777" w:rsidR="0010265C" w:rsidRPr="00261B7A" w:rsidRDefault="0010265C" w:rsidP="00D41492">
            <w:pPr>
              <w:pStyle w:val="TableText"/>
              <w:spacing w:before="40" w:after="40"/>
              <w:rPr>
                <w:rFonts w:cs="Segoe UI"/>
                <w:szCs w:val="16"/>
              </w:rPr>
            </w:pPr>
            <w:r w:rsidRPr="00261B7A">
              <w:rPr>
                <w:rFonts w:cs="Segoe UI"/>
                <w:szCs w:val="16"/>
              </w:rPr>
              <w:t>Pre-1990 planted forest</w:t>
            </w:r>
          </w:p>
        </w:tc>
        <w:tc>
          <w:tcPr>
            <w:tcW w:w="1276" w:type="dxa"/>
            <w:tcBorders>
              <w:right w:val="nil"/>
            </w:tcBorders>
            <w:tcMar>
              <w:top w:w="0" w:type="dxa"/>
              <w:left w:w="108" w:type="dxa"/>
              <w:bottom w:w="0" w:type="dxa"/>
              <w:right w:w="28" w:type="dxa"/>
            </w:tcMar>
          </w:tcPr>
          <w:p w14:paraId="08AF1F83" w14:textId="77777777" w:rsidR="0010265C" w:rsidRPr="00261B7A" w:rsidRDefault="0010265C" w:rsidP="00D41492">
            <w:pPr>
              <w:pStyle w:val="TableText"/>
              <w:keepNext/>
              <w:spacing w:before="40" w:after="40"/>
              <w:rPr>
                <w:rFonts w:cs="Segoe UI"/>
                <w:szCs w:val="16"/>
              </w:rPr>
            </w:pPr>
            <w:r w:rsidRPr="00261B7A">
              <w:rPr>
                <w:rFonts w:eastAsia="Segoe UI" w:cs="Segoe UI"/>
                <w:szCs w:val="16"/>
              </w:rPr>
              <w:t>Modelled through allometric equations, then included in national yield tables</w:t>
            </w:r>
          </w:p>
        </w:tc>
        <w:tc>
          <w:tcPr>
            <w:tcW w:w="1276" w:type="dxa"/>
            <w:tcBorders>
              <w:left w:val="nil"/>
              <w:right w:val="nil"/>
            </w:tcBorders>
            <w:tcMar>
              <w:top w:w="0" w:type="dxa"/>
              <w:left w:w="108" w:type="dxa"/>
              <w:bottom w:w="0" w:type="dxa"/>
              <w:right w:w="28" w:type="dxa"/>
            </w:tcMar>
          </w:tcPr>
          <w:p w14:paraId="41589B5D" w14:textId="77777777" w:rsidR="0010265C" w:rsidRPr="00261B7A" w:rsidRDefault="0010265C" w:rsidP="00D41492">
            <w:pPr>
              <w:pStyle w:val="TableText"/>
              <w:keepNext/>
              <w:spacing w:before="40" w:after="40"/>
              <w:rPr>
                <w:szCs w:val="16"/>
              </w:rPr>
            </w:pPr>
            <w:r w:rsidRPr="00261B7A">
              <w:rPr>
                <w:szCs w:val="16"/>
              </w:rPr>
              <w:t>Estimated as the ratio of below-ground biomass to above-ground biomass </w:t>
            </w:r>
          </w:p>
        </w:tc>
        <w:tc>
          <w:tcPr>
            <w:tcW w:w="1301" w:type="dxa"/>
            <w:tcBorders>
              <w:left w:val="nil"/>
              <w:right w:val="nil"/>
            </w:tcBorders>
            <w:tcMar>
              <w:top w:w="0" w:type="dxa"/>
              <w:left w:w="108" w:type="dxa"/>
              <w:bottom w:w="0" w:type="dxa"/>
              <w:right w:w="28" w:type="dxa"/>
            </w:tcMar>
          </w:tcPr>
          <w:p w14:paraId="7F4D1027" w14:textId="77777777" w:rsidR="0010265C" w:rsidRPr="00261B7A" w:rsidRDefault="0010265C" w:rsidP="00D41492">
            <w:pPr>
              <w:pStyle w:val="TableText"/>
              <w:keepNext/>
              <w:spacing w:before="40" w:after="40"/>
              <w:rPr>
                <w:szCs w:val="16"/>
              </w:rPr>
            </w:pPr>
            <w:r w:rsidRPr="00261B7A">
              <w:rPr>
                <w:szCs w:val="16"/>
              </w:rPr>
              <w:t>Allometric model using plot measurements, included in national yield tables. Harvest residues added to dead wood pool through CRA </w:t>
            </w:r>
          </w:p>
        </w:tc>
        <w:tc>
          <w:tcPr>
            <w:tcW w:w="1251" w:type="dxa"/>
            <w:tcBorders>
              <w:left w:val="nil"/>
            </w:tcBorders>
            <w:tcMar>
              <w:top w:w="0" w:type="dxa"/>
              <w:left w:w="108" w:type="dxa"/>
              <w:bottom w:w="0" w:type="dxa"/>
              <w:right w:w="28" w:type="dxa"/>
            </w:tcMar>
          </w:tcPr>
          <w:p w14:paraId="4A71B269" w14:textId="77777777" w:rsidR="0010265C" w:rsidRPr="00261B7A" w:rsidRDefault="0010265C" w:rsidP="00D41492">
            <w:pPr>
              <w:pStyle w:val="TableText"/>
              <w:keepNext/>
              <w:spacing w:before="40" w:after="40"/>
              <w:rPr>
                <w:szCs w:val="16"/>
              </w:rPr>
            </w:pPr>
            <w:r w:rsidRPr="00261B7A">
              <w:rPr>
                <w:szCs w:val="16"/>
              </w:rPr>
              <w:t>Allometric model and percentage of above-ground biomass </w:t>
            </w:r>
          </w:p>
        </w:tc>
        <w:tc>
          <w:tcPr>
            <w:tcW w:w="1134" w:type="dxa"/>
          </w:tcPr>
          <w:p w14:paraId="06D644EF" w14:textId="77777777" w:rsidR="0010265C" w:rsidRPr="00261B7A" w:rsidRDefault="0010265C" w:rsidP="00D41492">
            <w:pPr>
              <w:pStyle w:val="TableText"/>
              <w:keepNext/>
              <w:spacing w:before="40" w:after="40"/>
              <w:rPr>
                <w:rFonts w:cs="Segoe UI"/>
                <w:szCs w:val="16"/>
              </w:rPr>
            </w:pPr>
            <w:r w:rsidRPr="00261B7A">
              <w:rPr>
                <w:rFonts w:cs="Segoe UI"/>
                <w:szCs w:val="16"/>
              </w:rPr>
              <w:t>Tier 2, country-specific data and model</w:t>
            </w:r>
          </w:p>
        </w:tc>
        <w:tc>
          <w:tcPr>
            <w:tcW w:w="1158" w:type="dxa"/>
          </w:tcPr>
          <w:p w14:paraId="651F2FAE" w14:textId="77777777" w:rsidR="0010265C" w:rsidRPr="00261B7A" w:rsidRDefault="0010265C" w:rsidP="00D41492">
            <w:pPr>
              <w:pStyle w:val="TableText"/>
              <w:keepNext/>
              <w:spacing w:before="40" w:after="40"/>
              <w:rPr>
                <w:rFonts w:cs="Segoe UI"/>
                <w:szCs w:val="16"/>
              </w:rPr>
            </w:pPr>
            <w:r w:rsidRPr="00261B7A">
              <w:rPr>
                <w:rFonts w:cs="Segoe UI"/>
                <w:szCs w:val="16"/>
              </w:rPr>
              <w:t>IPCC Tier 1 default parameters</w:t>
            </w:r>
          </w:p>
        </w:tc>
      </w:tr>
      <w:tr w:rsidR="0010265C" w:rsidRPr="00261B7A" w14:paraId="3C462FE9" w14:textId="77777777" w:rsidTr="00E24718">
        <w:trPr>
          <w:gridAfter w:val="1"/>
          <w:wAfter w:w="57" w:type="dxa"/>
        </w:trPr>
        <w:tc>
          <w:tcPr>
            <w:tcW w:w="1109" w:type="dxa"/>
          </w:tcPr>
          <w:p w14:paraId="40BA08E8" w14:textId="77777777" w:rsidR="0010265C" w:rsidRPr="00261B7A" w:rsidRDefault="0010265C" w:rsidP="00D41492">
            <w:pPr>
              <w:pStyle w:val="TableText"/>
              <w:spacing w:before="40" w:after="40"/>
              <w:rPr>
                <w:szCs w:val="16"/>
              </w:rPr>
            </w:pPr>
            <w:r w:rsidRPr="00261B7A">
              <w:rPr>
                <w:szCs w:val="16"/>
              </w:rPr>
              <w:t xml:space="preserve">Post-1989 natural forest </w:t>
            </w:r>
          </w:p>
        </w:tc>
        <w:tc>
          <w:tcPr>
            <w:tcW w:w="1276" w:type="dxa"/>
            <w:tcBorders>
              <w:bottom w:val="single" w:sz="4" w:space="0" w:color="1B556B" w:themeColor="text2"/>
              <w:right w:val="nil"/>
            </w:tcBorders>
            <w:tcMar>
              <w:top w:w="0" w:type="dxa"/>
              <w:left w:w="108" w:type="dxa"/>
              <w:bottom w:w="0" w:type="dxa"/>
              <w:right w:w="28" w:type="dxa"/>
            </w:tcMar>
          </w:tcPr>
          <w:p w14:paraId="3BF475F0" w14:textId="77777777" w:rsidR="0010265C" w:rsidRPr="00261B7A" w:rsidRDefault="0010265C" w:rsidP="00D41492">
            <w:pPr>
              <w:pStyle w:val="TableText"/>
              <w:keepNext/>
              <w:spacing w:before="40" w:after="40"/>
              <w:rPr>
                <w:rFonts w:eastAsia="Segoe UI" w:cs="Segoe UI"/>
                <w:szCs w:val="16"/>
              </w:rPr>
            </w:pPr>
            <w:r w:rsidRPr="00261B7A">
              <w:rPr>
                <w:rFonts w:cs="Segoe UI"/>
                <w:szCs w:val="16"/>
              </w:rPr>
              <w:t>Allometric model</w:t>
            </w:r>
          </w:p>
        </w:tc>
        <w:tc>
          <w:tcPr>
            <w:tcW w:w="1276" w:type="dxa"/>
            <w:tcBorders>
              <w:left w:val="nil"/>
              <w:bottom w:val="single" w:sz="4" w:space="0" w:color="1B556B" w:themeColor="text2"/>
              <w:right w:val="nil"/>
            </w:tcBorders>
            <w:tcMar>
              <w:top w:w="0" w:type="dxa"/>
              <w:left w:w="108" w:type="dxa"/>
              <w:bottom w:w="0" w:type="dxa"/>
              <w:right w:w="28" w:type="dxa"/>
            </w:tcMar>
          </w:tcPr>
          <w:p w14:paraId="2C5D40DF" w14:textId="77777777" w:rsidR="0010265C" w:rsidRPr="00261B7A" w:rsidRDefault="0010265C" w:rsidP="00D41492">
            <w:pPr>
              <w:pStyle w:val="TableText"/>
              <w:keepNext/>
              <w:spacing w:before="40" w:after="40"/>
              <w:rPr>
                <w:szCs w:val="16"/>
              </w:rPr>
            </w:pPr>
            <w:r w:rsidRPr="00261B7A">
              <w:rPr>
                <w:szCs w:val="16"/>
              </w:rPr>
              <w:t xml:space="preserve">Estimated as the ratio of below-ground biomass to above-ground </w:t>
            </w:r>
            <w:r w:rsidRPr="00261B7A" w:rsidDel="004734F1">
              <w:rPr>
                <w:szCs w:val="16"/>
              </w:rPr>
              <w:t>biomass</w:t>
            </w:r>
          </w:p>
        </w:tc>
        <w:tc>
          <w:tcPr>
            <w:tcW w:w="1301" w:type="dxa"/>
            <w:tcBorders>
              <w:left w:val="nil"/>
              <w:bottom w:val="single" w:sz="4" w:space="0" w:color="1B556B" w:themeColor="text2"/>
              <w:right w:val="nil"/>
            </w:tcBorders>
            <w:tcMar>
              <w:top w:w="0" w:type="dxa"/>
              <w:left w:w="108" w:type="dxa"/>
              <w:bottom w:w="0" w:type="dxa"/>
              <w:right w:w="28" w:type="dxa"/>
            </w:tcMar>
          </w:tcPr>
          <w:p w14:paraId="108E65D5" w14:textId="77777777" w:rsidR="0010265C" w:rsidRPr="00261B7A" w:rsidRDefault="0010265C" w:rsidP="00D41492">
            <w:pPr>
              <w:pStyle w:val="TableText"/>
              <w:keepNext/>
              <w:spacing w:before="40" w:after="40"/>
              <w:rPr>
                <w:szCs w:val="16"/>
              </w:rPr>
            </w:pPr>
            <w:r w:rsidRPr="00261B7A">
              <w:rPr>
                <w:rFonts w:cs="Segoe UI"/>
                <w:szCs w:val="16"/>
              </w:rPr>
              <w:t>Modelled from plot measurements; allometric model</w:t>
            </w:r>
          </w:p>
        </w:tc>
        <w:tc>
          <w:tcPr>
            <w:tcW w:w="1251" w:type="dxa"/>
            <w:tcBorders>
              <w:left w:val="nil"/>
              <w:bottom w:val="single" w:sz="4" w:space="0" w:color="1B556B" w:themeColor="text2"/>
            </w:tcBorders>
            <w:tcMar>
              <w:top w:w="0" w:type="dxa"/>
              <w:left w:w="108" w:type="dxa"/>
              <w:bottom w:w="0" w:type="dxa"/>
              <w:right w:w="28" w:type="dxa"/>
            </w:tcMar>
          </w:tcPr>
          <w:p w14:paraId="41E56669" w14:textId="77777777" w:rsidR="0010265C" w:rsidRPr="00261B7A" w:rsidRDefault="0010265C" w:rsidP="00D41492">
            <w:pPr>
              <w:pStyle w:val="TableText"/>
              <w:keepNext/>
              <w:spacing w:before="40" w:after="40"/>
              <w:rPr>
                <w:szCs w:val="16"/>
              </w:rPr>
            </w:pPr>
            <w:r w:rsidRPr="00261B7A">
              <w:rPr>
                <w:rFonts w:cs="Segoe UI"/>
                <w:szCs w:val="16"/>
              </w:rPr>
              <w:t>Allometric model and percentage of above-ground biomass</w:t>
            </w:r>
          </w:p>
        </w:tc>
        <w:tc>
          <w:tcPr>
            <w:tcW w:w="1134" w:type="dxa"/>
          </w:tcPr>
          <w:p w14:paraId="18968F4E" w14:textId="77777777" w:rsidR="0010265C" w:rsidRPr="00261B7A" w:rsidRDefault="0010265C" w:rsidP="00D41492">
            <w:pPr>
              <w:pStyle w:val="TableText"/>
              <w:keepNext/>
              <w:spacing w:before="40" w:after="40"/>
              <w:rPr>
                <w:rFonts w:cs="Segoe UI"/>
                <w:szCs w:val="16"/>
              </w:rPr>
            </w:pPr>
            <w:r w:rsidRPr="00261B7A">
              <w:rPr>
                <w:rFonts w:cs="Segoe UI"/>
                <w:szCs w:val="16"/>
              </w:rPr>
              <w:t>Tier 2, country-specific data and model</w:t>
            </w:r>
          </w:p>
        </w:tc>
        <w:tc>
          <w:tcPr>
            <w:tcW w:w="1158" w:type="dxa"/>
          </w:tcPr>
          <w:p w14:paraId="63046FE9" w14:textId="77777777" w:rsidR="0010265C" w:rsidRPr="00261B7A" w:rsidRDefault="0010265C" w:rsidP="00D41492">
            <w:pPr>
              <w:pStyle w:val="TableText"/>
              <w:keepNext/>
              <w:spacing w:before="40" w:after="40"/>
              <w:rPr>
                <w:rFonts w:cs="Segoe UI"/>
                <w:szCs w:val="16"/>
              </w:rPr>
            </w:pPr>
            <w:r w:rsidRPr="00261B7A">
              <w:rPr>
                <w:rFonts w:cs="Segoe UI"/>
                <w:szCs w:val="16"/>
              </w:rPr>
              <w:t>IPCC Tier 1 default parameters</w:t>
            </w:r>
          </w:p>
        </w:tc>
      </w:tr>
      <w:tr w:rsidR="0010265C" w:rsidRPr="00261B7A" w14:paraId="76BF0E67" w14:textId="77777777" w:rsidTr="00E24718">
        <w:trPr>
          <w:gridAfter w:val="1"/>
          <w:wAfter w:w="57" w:type="dxa"/>
        </w:trPr>
        <w:tc>
          <w:tcPr>
            <w:tcW w:w="1109" w:type="dxa"/>
          </w:tcPr>
          <w:p w14:paraId="6BA8D78E" w14:textId="77777777" w:rsidR="0010265C" w:rsidRPr="00261B7A" w:rsidRDefault="0010265C" w:rsidP="00D41492">
            <w:pPr>
              <w:pStyle w:val="TableText"/>
              <w:spacing w:before="40" w:after="40"/>
              <w:rPr>
                <w:szCs w:val="16"/>
              </w:rPr>
            </w:pPr>
            <w:r w:rsidRPr="00261B7A">
              <w:rPr>
                <w:szCs w:val="16"/>
              </w:rPr>
              <w:t>Post-1989 planted forest</w:t>
            </w:r>
          </w:p>
        </w:tc>
        <w:tc>
          <w:tcPr>
            <w:tcW w:w="1276" w:type="dxa"/>
            <w:tcBorders>
              <w:right w:val="nil"/>
            </w:tcBorders>
            <w:tcMar>
              <w:top w:w="0" w:type="dxa"/>
              <w:left w:w="108" w:type="dxa"/>
              <w:bottom w:w="0" w:type="dxa"/>
              <w:right w:w="28" w:type="dxa"/>
            </w:tcMar>
          </w:tcPr>
          <w:p w14:paraId="47626197" w14:textId="77777777" w:rsidR="0010265C" w:rsidRPr="00261B7A" w:rsidRDefault="0010265C" w:rsidP="00D41492">
            <w:pPr>
              <w:pStyle w:val="TableText"/>
              <w:keepNext/>
              <w:spacing w:before="40" w:after="40"/>
              <w:rPr>
                <w:rFonts w:cs="Segoe UI"/>
                <w:szCs w:val="16"/>
              </w:rPr>
            </w:pPr>
            <w:r w:rsidRPr="00261B7A">
              <w:rPr>
                <w:szCs w:val="16"/>
              </w:rPr>
              <w:t>Modelled through allometric equations, then included in national yield tables </w:t>
            </w:r>
          </w:p>
        </w:tc>
        <w:tc>
          <w:tcPr>
            <w:tcW w:w="1276" w:type="dxa"/>
            <w:tcBorders>
              <w:left w:val="nil"/>
              <w:right w:val="nil"/>
            </w:tcBorders>
            <w:tcMar>
              <w:top w:w="0" w:type="dxa"/>
              <w:left w:w="108" w:type="dxa"/>
              <w:bottom w:w="0" w:type="dxa"/>
              <w:right w:w="28" w:type="dxa"/>
            </w:tcMar>
          </w:tcPr>
          <w:p w14:paraId="2446B333" w14:textId="77777777" w:rsidR="0010265C" w:rsidRPr="00261B7A" w:rsidRDefault="0010265C" w:rsidP="00D41492">
            <w:pPr>
              <w:pStyle w:val="TableText"/>
              <w:keepNext/>
              <w:spacing w:before="40" w:after="40"/>
              <w:rPr>
                <w:szCs w:val="16"/>
              </w:rPr>
            </w:pPr>
            <w:r w:rsidRPr="00261B7A">
              <w:rPr>
                <w:szCs w:val="16"/>
              </w:rPr>
              <w:t>Estimated as the ratio of below-ground biomass to above-ground biomass </w:t>
            </w:r>
          </w:p>
        </w:tc>
        <w:tc>
          <w:tcPr>
            <w:tcW w:w="1301" w:type="dxa"/>
            <w:tcBorders>
              <w:left w:val="nil"/>
              <w:right w:val="nil"/>
            </w:tcBorders>
            <w:tcMar>
              <w:top w:w="0" w:type="dxa"/>
              <w:left w:w="108" w:type="dxa"/>
              <w:bottom w:w="0" w:type="dxa"/>
              <w:right w:w="28" w:type="dxa"/>
            </w:tcMar>
          </w:tcPr>
          <w:p w14:paraId="47558118" w14:textId="77777777" w:rsidR="0010265C" w:rsidRPr="00261B7A" w:rsidRDefault="0010265C" w:rsidP="00D41492">
            <w:pPr>
              <w:pStyle w:val="TableText"/>
              <w:keepNext/>
              <w:spacing w:before="40" w:after="40"/>
              <w:rPr>
                <w:rFonts w:cs="Segoe UI"/>
                <w:szCs w:val="16"/>
              </w:rPr>
            </w:pPr>
            <w:r w:rsidRPr="00261B7A">
              <w:rPr>
                <w:szCs w:val="16"/>
              </w:rPr>
              <w:t>Allometric model using plot measurements, included in national yield tables. Harvest residues added to dead wood pool through CRA</w:t>
            </w:r>
          </w:p>
        </w:tc>
        <w:tc>
          <w:tcPr>
            <w:tcW w:w="1251" w:type="dxa"/>
            <w:tcBorders>
              <w:left w:val="nil"/>
            </w:tcBorders>
            <w:tcMar>
              <w:top w:w="0" w:type="dxa"/>
              <w:left w:w="108" w:type="dxa"/>
              <w:bottom w:w="0" w:type="dxa"/>
              <w:right w:w="28" w:type="dxa"/>
            </w:tcMar>
          </w:tcPr>
          <w:p w14:paraId="36466031" w14:textId="77777777" w:rsidR="0010265C" w:rsidRPr="00261B7A" w:rsidRDefault="0010265C" w:rsidP="00D41492">
            <w:pPr>
              <w:pStyle w:val="TableText"/>
              <w:keepNext/>
              <w:spacing w:before="40" w:after="40"/>
              <w:rPr>
                <w:rFonts w:cs="Segoe UI"/>
                <w:szCs w:val="16"/>
              </w:rPr>
            </w:pPr>
            <w:r w:rsidRPr="00261B7A">
              <w:rPr>
                <w:szCs w:val="16"/>
              </w:rPr>
              <w:t>Allometric model and percentage of above-ground biomass </w:t>
            </w:r>
          </w:p>
        </w:tc>
        <w:tc>
          <w:tcPr>
            <w:tcW w:w="1134" w:type="dxa"/>
          </w:tcPr>
          <w:p w14:paraId="44E515E9" w14:textId="77777777" w:rsidR="0010265C" w:rsidRPr="00261B7A" w:rsidRDefault="0010265C" w:rsidP="00D41492">
            <w:pPr>
              <w:pStyle w:val="TableText"/>
              <w:keepNext/>
              <w:spacing w:before="40" w:after="40"/>
              <w:rPr>
                <w:rFonts w:cs="Segoe UI"/>
                <w:szCs w:val="16"/>
              </w:rPr>
            </w:pPr>
            <w:r w:rsidRPr="00261B7A">
              <w:rPr>
                <w:rFonts w:cs="Segoe UI"/>
                <w:szCs w:val="16"/>
              </w:rPr>
              <w:t>Tier 2, country-specific data and model</w:t>
            </w:r>
          </w:p>
        </w:tc>
        <w:tc>
          <w:tcPr>
            <w:tcW w:w="1158" w:type="dxa"/>
          </w:tcPr>
          <w:p w14:paraId="23866AE1" w14:textId="77777777" w:rsidR="0010265C" w:rsidRPr="00261B7A" w:rsidRDefault="0010265C" w:rsidP="00D41492">
            <w:pPr>
              <w:pStyle w:val="TableText"/>
              <w:keepNext/>
              <w:spacing w:before="40" w:after="40"/>
              <w:rPr>
                <w:rFonts w:cs="Segoe UI"/>
                <w:szCs w:val="16"/>
              </w:rPr>
            </w:pPr>
            <w:r w:rsidRPr="00261B7A">
              <w:rPr>
                <w:rFonts w:cs="Segoe UI"/>
                <w:szCs w:val="16"/>
              </w:rPr>
              <w:t>IPCC Tier 1 default parameters</w:t>
            </w:r>
          </w:p>
        </w:tc>
      </w:tr>
      <w:tr w:rsidR="0010265C" w:rsidRPr="00261B7A" w14:paraId="7939D024" w14:textId="77777777" w:rsidTr="00E24718">
        <w:trPr>
          <w:gridAfter w:val="1"/>
          <w:wAfter w:w="57" w:type="dxa"/>
        </w:trPr>
        <w:tc>
          <w:tcPr>
            <w:tcW w:w="1109" w:type="dxa"/>
          </w:tcPr>
          <w:p w14:paraId="1A988F5D" w14:textId="77777777" w:rsidR="0010265C" w:rsidRPr="00261B7A" w:rsidRDefault="0010265C" w:rsidP="00D41492">
            <w:pPr>
              <w:pStyle w:val="TableText"/>
              <w:spacing w:before="40" w:after="40"/>
              <w:rPr>
                <w:szCs w:val="16"/>
              </w:rPr>
            </w:pPr>
            <w:r w:rsidRPr="00261B7A">
              <w:rPr>
                <w:szCs w:val="16"/>
              </w:rPr>
              <w:t>Cropland –annual</w:t>
            </w:r>
          </w:p>
        </w:tc>
        <w:tc>
          <w:tcPr>
            <w:tcW w:w="1276" w:type="dxa"/>
            <w:tcBorders>
              <w:bottom w:val="single" w:sz="4" w:space="0" w:color="1B556B" w:themeColor="text2"/>
              <w:right w:val="nil"/>
            </w:tcBorders>
            <w:tcMar>
              <w:top w:w="0" w:type="dxa"/>
              <w:left w:w="108" w:type="dxa"/>
              <w:bottom w:w="0" w:type="dxa"/>
              <w:right w:w="28" w:type="dxa"/>
            </w:tcMar>
          </w:tcPr>
          <w:p w14:paraId="69C0A5B2" w14:textId="77777777" w:rsidR="0010265C" w:rsidRPr="00261B7A" w:rsidRDefault="0010265C" w:rsidP="00D41492">
            <w:pPr>
              <w:pStyle w:val="TableText"/>
              <w:spacing w:before="40" w:after="40"/>
              <w:rPr>
                <w:szCs w:val="16"/>
              </w:rPr>
            </w:pPr>
            <w:r w:rsidRPr="00261B7A">
              <w:rPr>
                <w:szCs w:val="16"/>
              </w:rPr>
              <w:t>IPCC Tier 1 default parameters</w:t>
            </w:r>
          </w:p>
        </w:tc>
        <w:tc>
          <w:tcPr>
            <w:tcW w:w="1276" w:type="dxa"/>
            <w:tcBorders>
              <w:left w:val="nil"/>
              <w:bottom w:val="single" w:sz="4" w:space="0" w:color="1B556B" w:themeColor="text2"/>
              <w:right w:val="nil"/>
            </w:tcBorders>
            <w:tcMar>
              <w:top w:w="0" w:type="dxa"/>
              <w:left w:w="108" w:type="dxa"/>
              <w:bottom w:w="0" w:type="dxa"/>
              <w:right w:w="28" w:type="dxa"/>
            </w:tcMar>
          </w:tcPr>
          <w:p w14:paraId="1EA17F5F" w14:textId="77777777" w:rsidR="0010265C" w:rsidRPr="00261B7A" w:rsidRDefault="0010265C" w:rsidP="00D41492">
            <w:pPr>
              <w:pStyle w:val="TableText"/>
              <w:spacing w:before="40" w:after="40"/>
              <w:rPr>
                <w:szCs w:val="16"/>
              </w:rPr>
            </w:pPr>
            <w:r w:rsidRPr="00261B7A">
              <w:rPr>
                <w:szCs w:val="16"/>
              </w:rPr>
              <w:t>IPCC Tier 1 default parameters (NE)</w:t>
            </w:r>
          </w:p>
        </w:tc>
        <w:tc>
          <w:tcPr>
            <w:tcW w:w="1301" w:type="dxa"/>
            <w:tcBorders>
              <w:left w:val="nil"/>
              <w:bottom w:val="single" w:sz="4" w:space="0" w:color="1B556B" w:themeColor="text2"/>
              <w:right w:val="nil"/>
            </w:tcBorders>
            <w:tcMar>
              <w:top w:w="0" w:type="dxa"/>
              <w:left w:w="108" w:type="dxa"/>
              <w:bottom w:w="0" w:type="dxa"/>
              <w:right w:w="28" w:type="dxa"/>
            </w:tcMar>
          </w:tcPr>
          <w:p w14:paraId="34A033F5" w14:textId="77777777" w:rsidR="0010265C" w:rsidRPr="00261B7A" w:rsidRDefault="0010265C" w:rsidP="00D41492">
            <w:pPr>
              <w:pStyle w:val="TableText"/>
              <w:spacing w:before="40" w:after="40"/>
              <w:rPr>
                <w:szCs w:val="16"/>
              </w:rPr>
            </w:pPr>
            <w:r w:rsidRPr="00261B7A">
              <w:rPr>
                <w:szCs w:val="16"/>
              </w:rPr>
              <w:t>Tier 2, country-specific data and model</w:t>
            </w:r>
          </w:p>
        </w:tc>
        <w:tc>
          <w:tcPr>
            <w:tcW w:w="1251" w:type="dxa"/>
            <w:tcBorders>
              <w:left w:val="nil"/>
              <w:bottom w:val="single" w:sz="4" w:space="0" w:color="1B556B" w:themeColor="text2"/>
            </w:tcBorders>
            <w:tcMar>
              <w:top w:w="0" w:type="dxa"/>
              <w:left w:w="108" w:type="dxa"/>
              <w:bottom w:w="0" w:type="dxa"/>
              <w:right w:w="28" w:type="dxa"/>
            </w:tcMar>
          </w:tcPr>
          <w:p w14:paraId="00F60CAF" w14:textId="77777777" w:rsidR="0010265C" w:rsidRPr="00261B7A" w:rsidRDefault="0010265C" w:rsidP="00D41492">
            <w:pPr>
              <w:pStyle w:val="TableText"/>
              <w:spacing w:before="40" w:after="40"/>
              <w:rPr>
                <w:szCs w:val="16"/>
              </w:rPr>
            </w:pPr>
            <w:r w:rsidRPr="00261B7A">
              <w:rPr>
                <w:szCs w:val="16"/>
              </w:rPr>
              <w:t>IPCC Tier 1 default parameters</w:t>
            </w:r>
          </w:p>
        </w:tc>
        <w:tc>
          <w:tcPr>
            <w:tcW w:w="1134" w:type="dxa"/>
          </w:tcPr>
          <w:p w14:paraId="7A513E68" w14:textId="77777777" w:rsidR="0010265C" w:rsidRPr="00261B7A" w:rsidRDefault="0010265C" w:rsidP="00D41492">
            <w:pPr>
              <w:pStyle w:val="TableText"/>
              <w:spacing w:before="40" w:after="40"/>
              <w:rPr>
                <w:szCs w:val="16"/>
              </w:rPr>
            </w:pPr>
          </w:p>
        </w:tc>
        <w:tc>
          <w:tcPr>
            <w:tcW w:w="1158" w:type="dxa"/>
          </w:tcPr>
          <w:p w14:paraId="19D41BC3" w14:textId="77777777" w:rsidR="0010265C" w:rsidRPr="00261B7A" w:rsidRDefault="0010265C" w:rsidP="00D41492">
            <w:pPr>
              <w:pStyle w:val="TableText"/>
              <w:spacing w:before="40" w:after="40"/>
              <w:rPr>
                <w:szCs w:val="16"/>
              </w:rPr>
            </w:pPr>
          </w:p>
        </w:tc>
      </w:tr>
      <w:tr w:rsidR="0010265C" w:rsidRPr="00261B7A" w14:paraId="7045CE18" w14:textId="77777777" w:rsidTr="00E24718">
        <w:trPr>
          <w:gridAfter w:val="1"/>
          <w:wAfter w:w="57" w:type="dxa"/>
        </w:trPr>
        <w:tc>
          <w:tcPr>
            <w:tcW w:w="1109" w:type="dxa"/>
            <w:hideMark/>
          </w:tcPr>
          <w:p w14:paraId="39F30025" w14:textId="77777777" w:rsidR="0010265C" w:rsidRPr="00261B7A" w:rsidRDefault="0010265C" w:rsidP="00D41492">
            <w:pPr>
              <w:pStyle w:val="TableText"/>
              <w:spacing w:before="40" w:after="40"/>
              <w:rPr>
                <w:rFonts w:cs="Segoe UI"/>
                <w:szCs w:val="16"/>
              </w:rPr>
            </w:pPr>
            <w:r w:rsidRPr="00261B7A">
              <w:rPr>
                <w:rFonts w:cs="Segoe UI"/>
                <w:szCs w:val="16"/>
              </w:rPr>
              <w:t>Cropland – perennial</w:t>
            </w:r>
          </w:p>
        </w:tc>
        <w:tc>
          <w:tcPr>
            <w:tcW w:w="2552" w:type="dxa"/>
            <w:gridSpan w:val="2"/>
            <w:tcBorders>
              <w:right w:val="nil"/>
            </w:tcBorders>
            <w:hideMark/>
          </w:tcPr>
          <w:p w14:paraId="3A596A14" w14:textId="77777777" w:rsidR="0010265C" w:rsidRPr="00261B7A" w:rsidRDefault="0010265C" w:rsidP="00D41492">
            <w:pPr>
              <w:pStyle w:val="TableText"/>
              <w:spacing w:before="40" w:after="40"/>
              <w:rPr>
                <w:rFonts w:cs="Segoe UI"/>
                <w:szCs w:val="16"/>
              </w:rPr>
            </w:pPr>
            <w:r w:rsidRPr="00261B7A">
              <w:rPr>
                <w:rFonts w:cs="Segoe UI"/>
                <w:szCs w:val="16"/>
              </w:rPr>
              <w:t>Country-specific emission factor</w:t>
            </w:r>
          </w:p>
        </w:tc>
        <w:tc>
          <w:tcPr>
            <w:tcW w:w="2552" w:type="dxa"/>
            <w:gridSpan w:val="2"/>
            <w:tcBorders>
              <w:left w:val="nil"/>
            </w:tcBorders>
            <w:hideMark/>
          </w:tcPr>
          <w:p w14:paraId="1347448E" w14:textId="77777777" w:rsidR="0010265C" w:rsidRPr="00261B7A" w:rsidRDefault="0010265C" w:rsidP="00D41492">
            <w:pPr>
              <w:pStyle w:val="TableText"/>
              <w:spacing w:before="40" w:after="40"/>
              <w:rPr>
                <w:rFonts w:cs="Segoe UI"/>
                <w:szCs w:val="16"/>
              </w:rPr>
            </w:pPr>
            <w:r w:rsidRPr="00261B7A">
              <w:rPr>
                <w:rFonts w:cs="Segoe UI"/>
                <w:szCs w:val="16"/>
              </w:rPr>
              <w:t>IPCC Tier 1 default parameters (NE)</w:t>
            </w:r>
          </w:p>
        </w:tc>
        <w:tc>
          <w:tcPr>
            <w:tcW w:w="1134" w:type="dxa"/>
            <w:hideMark/>
          </w:tcPr>
          <w:p w14:paraId="301DB369" w14:textId="77777777" w:rsidR="0010265C" w:rsidRPr="00261B7A" w:rsidRDefault="0010265C" w:rsidP="00D41492">
            <w:pPr>
              <w:pStyle w:val="TableText"/>
              <w:spacing w:before="40" w:after="40"/>
              <w:rPr>
                <w:rFonts w:cs="Segoe UI"/>
                <w:szCs w:val="16"/>
              </w:rPr>
            </w:pPr>
            <w:r w:rsidRPr="00261B7A">
              <w:rPr>
                <w:rFonts w:cs="Segoe UI"/>
                <w:szCs w:val="16"/>
              </w:rPr>
              <w:t>Tier 2, country-specific data and model</w:t>
            </w:r>
          </w:p>
        </w:tc>
        <w:tc>
          <w:tcPr>
            <w:tcW w:w="1158" w:type="dxa"/>
            <w:hideMark/>
          </w:tcPr>
          <w:p w14:paraId="7E7882FB" w14:textId="77777777" w:rsidR="0010265C" w:rsidRPr="00261B7A" w:rsidRDefault="0010265C" w:rsidP="00D41492">
            <w:pPr>
              <w:pStyle w:val="TableText"/>
              <w:spacing w:before="40" w:after="40"/>
              <w:rPr>
                <w:rFonts w:cs="Segoe UI"/>
                <w:szCs w:val="16"/>
              </w:rPr>
            </w:pPr>
            <w:r w:rsidRPr="00261B7A">
              <w:rPr>
                <w:rFonts w:cs="Segoe UI"/>
                <w:szCs w:val="16"/>
              </w:rPr>
              <w:t>IPCC Tier 1 default parameters</w:t>
            </w:r>
          </w:p>
        </w:tc>
      </w:tr>
      <w:tr w:rsidR="0010265C" w:rsidRPr="00261B7A" w14:paraId="5D0E8809" w14:textId="77777777" w:rsidTr="00E24718">
        <w:trPr>
          <w:gridAfter w:val="1"/>
          <w:wAfter w:w="57" w:type="dxa"/>
        </w:trPr>
        <w:tc>
          <w:tcPr>
            <w:tcW w:w="1109" w:type="dxa"/>
            <w:hideMark/>
          </w:tcPr>
          <w:p w14:paraId="410052C0" w14:textId="77777777" w:rsidR="0010265C" w:rsidRPr="00261B7A" w:rsidRDefault="0010265C" w:rsidP="00D41492">
            <w:pPr>
              <w:pStyle w:val="TableText"/>
              <w:spacing w:before="40" w:after="40"/>
              <w:rPr>
                <w:rFonts w:cs="Segoe UI"/>
                <w:szCs w:val="16"/>
              </w:rPr>
            </w:pPr>
            <w:r w:rsidRPr="00261B7A">
              <w:rPr>
                <w:rFonts w:cs="Segoe UI"/>
                <w:szCs w:val="16"/>
              </w:rPr>
              <w:t>Grassland (high and low producing)</w:t>
            </w:r>
          </w:p>
        </w:tc>
        <w:tc>
          <w:tcPr>
            <w:tcW w:w="2552" w:type="dxa"/>
            <w:gridSpan w:val="2"/>
            <w:tcBorders>
              <w:right w:val="nil"/>
            </w:tcBorders>
            <w:hideMark/>
          </w:tcPr>
          <w:p w14:paraId="4473561C" w14:textId="77777777" w:rsidR="0010265C" w:rsidRPr="00261B7A" w:rsidRDefault="0010265C" w:rsidP="00D41492">
            <w:pPr>
              <w:pStyle w:val="TableText"/>
              <w:spacing w:before="40" w:after="40"/>
              <w:rPr>
                <w:rFonts w:cs="Segoe UI"/>
                <w:szCs w:val="16"/>
              </w:rPr>
            </w:pPr>
            <w:r w:rsidRPr="00261B7A">
              <w:rPr>
                <w:rFonts w:cs="Segoe UI"/>
                <w:szCs w:val="16"/>
              </w:rPr>
              <w:t>IPCC Tier 1 default parameters</w:t>
            </w:r>
          </w:p>
        </w:tc>
        <w:tc>
          <w:tcPr>
            <w:tcW w:w="2552" w:type="dxa"/>
            <w:gridSpan w:val="2"/>
            <w:tcBorders>
              <w:left w:val="nil"/>
            </w:tcBorders>
            <w:hideMark/>
          </w:tcPr>
          <w:p w14:paraId="17BB3928" w14:textId="77777777" w:rsidR="0010265C" w:rsidRPr="00261B7A" w:rsidRDefault="0010265C" w:rsidP="00D41492">
            <w:pPr>
              <w:pStyle w:val="TableText"/>
              <w:spacing w:before="40" w:after="40"/>
              <w:rPr>
                <w:rFonts w:cs="Segoe UI"/>
                <w:szCs w:val="16"/>
              </w:rPr>
            </w:pPr>
            <w:r w:rsidRPr="00261B7A">
              <w:rPr>
                <w:rFonts w:cs="Segoe UI"/>
                <w:szCs w:val="16"/>
              </w:rPr>
              <w:t>IPCC Tier 1 default parameters (NE)</w:t>
            </w:r>
          </w:p>
        </w:tc>
        <w:tc>
          <w:tcPr>
            <w:tcW w:w="1134" w:type="dxa"/>
            <w:hideMark/>
          </w:tcPr>
          <w:p w14:paraId="048C63DD" w14:textId="77777777" w:rsidR="0010265C" w:rsidRPr="00261B7A" w:rsidRDefault="0010265C" w:rsidP="00D41492">
            <w:pPr>
              <w:pStyle w:val="TableText"/>
              <w:spacing w:before="40" w:after="40"/>
              <w:rPr>
                <w:rFonts w:cs="Segoe UI"/>
                <w:szCs w:val="16"/>
              </w:rPr>
            </w:pPr>
            <w:r w:rsidRPr="00261B7A">
              <w:rPr>
                <w:rFonts w:cs="Segoe UI"/>
                <w:szCs w:val="16"/>
              </w:rPr>
              <w:t>Tier 2, country-specific data and model</w:t>
            </w:r>
          </w:p>
        </w:tc>
        <w:tc>
          <w:tcPr>
            <w:tcW w:w="1158" w:type="dxa"/>
            <w:hideMark/>
          </w:tcPr>
          <w:p w14:paraId="18DFCED5" w14:textId="77777777" w:rsidR="0010265C" w:rsidRPr="00261B7A" w:rsidRDefault="0010265C" w:rsidP="00D41492">
            <w:pPr>
              <w:pStyle w:val="TableText"/>
              <w:spacing w:before="40" w:after="40"/>
              <w:rPr>
                <w:rFonts w:cs="Segoe UI"/>
                <w:szCs w:val="16"/>
              </w:rPr>
            </w:pPr>
            <w:r w:rsidRPr="00261B7A">
              <w:rPr>
                <w:rFonts w:cs="Segoe UI"/>
                <w:szCs w:val="16"/>
              </w:rPr>
              <w:t>IPCC Tier 1 default parameters</w:t>
            </w:r>
          </w:p>
        </w:tc>
      </w:tr>
      <w:tr w:rsidR="0010265C" w:rsidRPr="00261B7A" w14:paraId="0FABDFCE" w14:textId="77777777" w:rsidTr="00E24718">
        <w:trPr>
          <w:gridAfter w:val="1"/>
          <w:wAfter w:w="57" w:type="dxa"/>
        </w:trPr>
        <w:tc>
          <w:tcPr>
            <w:tcW w:w="1109" w:type="dxa"/>
            <w:hideMark/>
          </w:tcPr>
          <w:p w14:paraId="1185A620" w14:textId="77777777" w:rsidR="0010265C" w:rsidRPr="00261B7A" w:rsidRDefault="0010265C" w:rsidP="00D41492">
            <w:pPr>
              <w:pStyle w:val="TableText"/>
              <w:spacing w:before="40" w:after="40"/>
              <w:rPr>
                <w:rFonts w:cs="Segoe UI"/>
                <w:szCs w:val="16"/>
              </w:rPr>
            </w:pPr>
            <w:r w:rsidRPr="00261B7A">
              <w:rPr>
                <w:rFonts w:cs="Segoe UI"/>
                <w:szCs w:val="16"/>
              </w:rPr>
              <w:t xml:space="preserve">Grassland with woody biomass – transitional </w:t>
            </w:r>
          </w:p>
        </w:tc>
        <w:tc>
          <w:tcPr>
            <w:tcW w:w="5104" w:type="dxa"/>
            <w:gridSpan w:val="4"/>
            <w:hideMark/>
          </w:tcPr>
          <w:p w14:paraId="4F42DFD5" w14:textId="77777777" w:rsidR="0010265C" w:rsidRPr="00261B7A" w:rsidRDefault="0010265C" w:rsidP="00D41492">
            <w:pPr>
              <w:pStyle w:val="TableText"/>
              <w:spacing w:before="40" w:after="40"/>
              <w:rPr>
                <w:rFonts w:cs="Segoe UI"/>
                <w:szCs w:val="16"/>
              </w:rPr>
            </w:pPr>
            <w:r w:rsidRPr="00261B7A">
              <w:rPr>
                <w:rFonts w:cs="Segoe UI"/>
                <w:szCs w:val="16"/>
              </w:rPr>
              <w:t>Country-specific emission factor</w:t>
            </w:r>
          </w:p>
        </w:tc>
        <w:tc>
          <w:tcPr>
            <w:tcW w:w="1134" w:type="dxa"/>
            <w:hideMark/>
          </w:tcPr>
          <w:p w14:paraId="5391CFC9" w14:textId="77777777" w:rsidR="0010265C" w:rsidRPr="00261B7A" w:rsidRDefault="0010265C" w:rsidP="00D41492">
            <w:pPr>
              <w:pStyle w:val="TableText"/>
              <w:spacing w:before="40" w:after="40"/>
              <w:rPr>
                <w:rFonts w:cs="Segoe UI"/>
                <w:szCs w:val="16"/>
              </w:rPr>
            </w:pPr>
            <w:r w:rsidRPr="00261B7A">
              <w:rPr>
                <w:rFonts w:cs="Segoe UI"/>
                <w:szCs w:val="16"/>
              </w:rPr>
              <w:t>Tier 2, country-specific data and model</w:t>
            </w:r>
          </w:p>
        </w:tc>
        <w:tc>
          <w:tcPr>
            <w:tcW w:w="1158" w:type="dxa"/>
            <w:hideMark/>
          </w:tcPr>
          <w:p w14:paraId="1BDD30F5" w14:textId="77777777" w:rsidR="0010265C" w:rsidRPr="00261B7A" w:rsidRDefault="0010265C" w:rsidP="00D41492">
            <w:pPr>
              <w:pStyle w:val="TableText"/>
              <w:spacing w:before="40" w:after="40"/>
              <w:rPr>
                <w:rFonts w:cs="Segoe UI"/>
                <w:szCs w:val="16"/>
              </w:rPr>
            </w:pPr>
            <w:r w:rsidRPr="00261B7A">
              <w:rPr>
                <w:rFonts w:cs="Segoe UI"/>
                <w:szCs w:val="16"/>
              </w:rPr>
              <w:t>IPCC Tier 1 default parameters</w:t>
            </w:r>
          </w:p>
        </w:tc>
      </w:tr>
      <w:tr w:rsidR="0010265C" w:rsidRPr="00261B7A" w14:paraId="62DE323C" w14:textId="77777777" w:rsidTr="00E24718">
        <w:trPr>
          <w:gridAfter w:val="1"/>
          <w:wAfter w:w="57" w:type="dxa"/>
        </w:trPr>
        <w:tc>
          <w:tcPr>
            <w:tcW w:w="1109" w:type="dxa"/>
          </w:tcPr>
          <w:p w14:paraId="4FB5892C" w14:textId="77777777" w:rsidR="0010265C" w:rsidRPr="00261B7A" w:rsidRDefault="0010265C" w:rsidP="00D41492">
            <w:pPr>
              <w:pStyle w:val="TableText"/>
              <w:spacing w:before="40" w:after="40"/>
              <w:rPr>
                <w:rFonts w:cs="Segoe UI"/>
                <w:szCs w:val="16"/>
              </w:rPr>
            </w:pPr>
            <w:r w:rsidRPr="00261B7A">
              <w:rPr>
                <w:rFonts w:cs="Segoe UI"/>
                <w:szCs w:val="16"/>
              </w:rPr>
              <w:t>Grassland with woody biomass –permanent</w:t>
            </w:r>
          </w:p>
        </w:tc>
        <w:tc>
          <w:tcPr>
            <w:tcW w:w="5104" w:type="dxa"/>
            <w:gridSpan w:val="4"/>
          </w:tcPr>
          <w:p w14:paraId="025C44B0" w14:textId="77777777" w:rsidR="0010265C" w:rsidRPr="00261B7A" w:rsidRDefault="0010265C" w:rsidP="00D41492">
            <w:pPr>
              <w:pStyle w:val="TableText"/>
              <w:spacing w:before="40" w:after="40"/>
              <w:rPr>
                <w:rFonts w:cs="Segoe UI"/>
                <w:szCs w:val="16"/>
              </w:rPr>
            </w:pPr>
            <w:r w:rsidRPr="00261B7A">
              <w:rPr>
                <w:rFonts w:cs="Segoe UI"/>
                <w:szCs w:val="16"/>
              </w:rPr>
              <w:t>Country-specific emission factor</w:t>
            </w:r>
          </w:p>
        </w:tc>
        <w:tc>
          <w:tcPr>
            <w:tcW w:w="1134" w:type="dxa"/>
          </w:tcPr>
          <w:p w14:paraId="28C3D667" w14:textId="77777777" w:rsidR="0010265C" w:rsidRPr="00261B7A" w:rsidRDefault="0010265C" w:rsidP="00D41492">
            <w:pPr>
              <w:pStyle w:val="TableText"/>
              <w:spacing w:before="40" w:after="40"/>
              <w:rPr>
                <w:rFonts w:cs="Segoe UI"/>
                <w:szCs w:val="16"/>
              </w:rPr>
            </w:pPr>
            <w:r w:rsidRPr="00261B7A">
              <w:rPr>
                <w:rFonts w:cs="Segoe UI"/>
                <w:szCs w:val="16"/>
              </w:rPr>
              <w:t>Tier 2, country-specific data and model</w:t>
            </w:r>
          </w:p>
        </w:tc>
        <w:tc>
          <w:tcPr>
            <w:tcW w:w="1158" w:type="dxa"/>
          </w:tcPr>
          <w:p w14:paraId="7C04E550" w14:textId="77777777" w:rsidR="0010265C" w:rsidRPr="00261B7A" w:rsidRDefault="0010265C" w:rsidP="00D41492">
            <w:pPr>
              <w:pStyle w:val="TableText"/>
              <w:spacing w:before="40" w:after="40"/>
              <w:rPr>
                <w:rFonts w:cs="Segoe UI"/>
                <w:szCs w:val="16"/>
              </w:rPr>
            </w:pPr>
            <w:r w:rsidRPr="00261B7A">
              <w:rPr>
                <w:rFonts w:cs="Segoe UI"/>
                <w:szCs w:val="16"/>
              </w:rPr>
              <w:t>IPCC Tier 1 default parameters</w:t>
            </w:r>
          </w:p>
        </w:tc>
      </w:tr>
      <w:tr w:rsidR="0010265C" w:rsidRPr="00261B7A" w14:paraId="4423D01C" w14:textId="77777777" w:rsidTr="00E24718">
        <w:trPr>
          <w:gridAfter w:val="1"/>
          <w:wAfter w:w="57" w:type="dxa"/>
        </w:trPr>
        <w:tc>
          <w:tcPr>
            <w:tcW w:w="1109" w:type="dxa"/>
            <w:hideMark/>
          </w:tcPr>
          <w:p w14:paraId="013A1186" w14:textId="77777777" w:rsidR="0010265C" w:rsidRPr="00261B7A" w:rsidRDefault="0010265C" w:rsidP="00D41492">
            <w:pPr>
              <w:pStyle w:val="TableText"/>
              <w:spacing w:before="40" w:after="40"/>
              <w:rPr>
                <w:rFonts w:cs="Segoe UI"/>
                <w:szCs w:val="16"/>
              </w:rPr>
            </w:pPr>
            <w:r w:rsidRPr="00261B7A">
              <w:rPr>
                <w:rFonts w:cs="Segoe UI"/>
                <w:szCs w:val="16"/>
              </w:rPr>
              <w:t>Wetlands – open water</w:t>
            </w:r>
          </w:p>
        </w:tc>
        <w:tc>
          <w:tcPr>
            <w:tcW w:w="5104" w:type="dxa"/>
            <w:gridSpan w:val="4"/>
            <w:tcBorders>
              <w:bottom w:val="single" w:sz="4" w:space="0" w:color="1B556B" w:themeColor="text2"/>
            </w:tcBorders>
            <w:hideMark/>
          </w:tcPr>
          <w:p w14:paraId="2BBF0079" w14:textId="77777777" w:rsidR="0010265C" w:rsidRPr="00261B7A" w:rsidRDefault="0010265C" w:rsidP="00D41492">
            <w:pPr>
              <w:pStyle w:val="TableText"/>
              <w:spacing w:before="40" w:after="40"/>
              <w:rPr>
                <w:rFonts w:cs="Segoe UI"/>
                <w:szCs w:val="16"/>
              </w:rPr>
            </w:pPr>
            <w:r w:rsidRPr="00261B7A">
              <w:rPr>
                <w:rFonts w:cs="Segoe UI"/>
                <w:szCs w:val="16"/>
              </w:rPr>
              <w:t>IPCC Tier 1 default parameters (NE)</w:t>
            </w:r>
          </w:p>
        </w:tc>
        <w:tc>
          <w:tcPr>
            <w:tcW w:w="1134" w:type="dxa"/>
            <w:hideMark/>
          </w:tcPr>
          <w:p w14:paraId="5981DDAD" w14:textId="77777777" w:rsidR="0010265C" w:rsidRPr="00261B7A" w:rsidRDefault="0010265C" w:rsidP="00D41492">
            <w:pPr>
              <w:pStyle w:val="TableText"/>
              <w:spacing w:before="40" w:after="40"/>
              <w:rPr>
                <w:rFonts w:cs="Segoe UI"/>
                <w:szCs w:val="16"/>
              </w:rPr>
            </w:pPr>
            <w:r w:rsidRPr="00261B7A">
              <w:rPr>
                <w:rFonts w:cs="Segoe UI"/>
                <w:szCs w:val="16"/>
              </w:rPr>
              <w:t>Tier 2, country-specific data and model</w:t>
            </w:r>
          </w:p>
        </w:tc>
        <w:tc>
          <w:tcPr>
            <w:tcW w:w="1158" w:type="dxa"/>
            <w:hideMark/>
          </w:tcPr>
          <w:p w14:paraId="66221245" w14:textId="77777777" w:rsidR="0010265C" w:rsidRPr="00261B7A" w:rsidRDefault="0010265C" w:rsidP="00D41492">
            <w:pPr>
              <w:pStyle w:val="TableText"/>
              <w:spacing w:before="40" w:after="40"/>
              <w:rPr>
                <w:rFonts w:cs="Segoe UI"/>
                <w:szCs w:val="16"/>
              </w:rPr>
            </w:pPr>
            <w:r w:rsidRPr="00261B7A">
              <w:rPr>
                <w:rFonts w:cs="Segoe UI"/>
                <w:szCs w:val="16"/>
              </w:rPr>
              <w:t xml:space="preserve">IPCC Tier 1 default parameters </w:t>
            </w:r>
          </w:p>
        </w:tc>
      </w:tr>
      <w:tr w:rsidR="0010265C" w:rsidRPr="00261B7A" w14:paraId="65A5349C" w14:textId="77777777" w:rsidTr="00E24718">
        <w:tc>
          <w:tcPr>
            <w:tcW w:w="1109" w:type="dxa"/>
          </w:tcPr>
          <w:p w14:paraId="2CF3A35B" w14:textId="77777777" w:rsidR="0010265C" w:rsidRPr="00261B7A" w:rsidRDefault="0010265C" w:rsidP="00D41492">
            <w:pPr>
              <w:pStyle w:val="TableText"/>
              <w:spacing w:before="40" w:after="40"/>
              <w:rPr>
                <w:rFonts w:cs="Segoe UI"/>
                <w:szCs w:val="16"/>
              </w:rPr>
            </w:pPr>
            <w:r w:rsidRPr="00261B7A">
              <w:rPr>
                <w:rFonts w:cs="Segoe UI"/>
                <w:szCs w:val="16"/>
              </w:rPr>
              <w:t xml:space="preserve">Wetlands – vegetated </w:t>
            </w:r>
          </w:p>
        </w:tc>
        <w:tc>
          <w:tcPr>
            <w:tcW w:w="2552" w:type="dxa"/>
            <w:gridSpan w:val="2"/>
            <w:tcBorders>
              <w:right w:val="nil"/>
            </w:tcBorders>
          </w:tcPr>
          <w:p w14:paraId="19CEA417" w14:textId="77777777" w:rsidR="0010265C" w:rsidRPr="00261B7A" w:rsidRDefault="0010265C" w:rsidP="00D41492">
            <w:pPr>
              <w:pStyle w:val="TableText"/>
              <w:spacing w:before="40" w:after="40"/>
              <w:rPr>
                <w:rFonts w:cs="Segoe UI"/>
                <w:szCs w:val="16"/>
              </w:rPr>
            </w:pPr>
            <w:r w:rsidRPr="00261B7A">
              <w:rPr>
                <w:rFonts w:cs="Segoe UI"/>
                <w:szCs w:val="16"/>
              </w:rPr>
              <w:t>Country-specific emission factor</w:t>
            </w:r>
            <w:r w:rsidRPr="00261B7A" w:rsidDel="00DB0C80">
              <w:rPr>
                <w:rFonts w:cs="Segoe UI"/>
                <w:szCs w:val="16"/>
              </w:rPr>
              <w:t xml:space="preserve"> </w:t>
            </w:r>
          </w:p>
        </w:tc>
        <w:tc>
          <w:tcPr>
            <w:tcW w:w="2552" w:type="dxa"/>
            <w:gridSpan w:val="2"/>
            <w:tcBorders>
              <w:left w:val="nil"/>
            </w:tcBorders>
          </w:tcPr>
          <w:p w14:paraId="2779CB84" w14:textId="77777777" w:rsidR="0010265C" w:rsidRPr="00261B7A" w:rsidRDefault="0010265C" w:rsidP="00D41492">
            <w:pPr>
              <w:pStyle w:val="TableText"/>
              <w:spacing w:before="40" w:after="40"/>
              <w:rPr>
                <w:rFonts w:cs="Segoe UI"/>
                <w:szCs w:val="16"/>
              </w:rPr>
            </w:pPr>
            <w:r w:rsidRPr="00261B7A">
              <w:rPr>
                <w:rFonts w:cs="Segoe UI"/>
                <w:szCs w:val="16"/>
              </w:rPr>
              <w:t>IPCC Tier 1 default parameters (NE)</w:t>
            </w:r>
          </w:p>
        </w:tc>
        <w:tc>
          <w:tcPr>
            <w:tcW w:w="1134" w:type="dxa"/>
          </w:tcPr>
          <w:p w14:paraId="06815389" w14:textId="77777777" w:rsidR="0010265C" w:rsidRPr="00261B7A" w:rsidRDefault="0010265C" w:rsidP="00D41492">
            <w:pPr>
              <w:pStyle w:val="TableText"/>
              <w:spacing w:before="40" w:after="40"/>
              <w:rPr>
                <w:rFonts w:cs="Segoe UI"/>
                <w:szCs w:val="16"/>
              </w:rPr>
            </w:pPr>
            <w:r w:rsidRPr="00261B7A">
              <w:rPr>
                <w:rFonts w:cs="Segoe UI"/>
                <w:szCs w:val="16"/>
              </w:rPr>
              <w:t>Tier 2, country-specific data and model</w:t>
            </w:r>
          </w:p>
        </w:tc>
        <w:tc>
          <w:tcPr>
            <w:tcW w:w="1215" w:type="dxa"/>
            <w:gridSpan w:val="2"/>
          </w:tcPr>
          <w:p w14:paraId="2A6E544F" w14:textId="77777777" w:rsidR="0010265C" w:rsidRPr="00261B7A" w:rsidRDefault="0010265C" w:rsidP="00D41492">
            <w:pPr>
              <w:pStyle w:val="TableText"/>
              <w:spacing w:before="40" w:after="40"/>
              <w:rPr>
                <w:rFonts w:cs="Segoe UI"/>
                <w:szCs w:val="16"/>
              </w:rPr>
            </w:pPr>
            <w:r w:rsidRPr="00261B7A">
              <w:rPr>
                <w:rFonts w:cs="Segoe UI"/>
                <w:szCs w:val="16"/>
              </w:rPr>
              <w:t xml:space="preserve">IPCC Tier 1 default parameters </w:t>
            </w:r>
          </w:p>
        </w:tc>
      </w:tr>
      <w:tr w:rsidR="0010265C" w:rsidRPr="00261B7A" w14:paraId="5218138A" w14:textId="77777777" w:rsidTr="00E24718">
        <w:trPr>
          <w:gridAfter w:val="1"/>
          <w:wAfter w:w="57" w:type="dxa"/>
        </w:trPr>
        <w:tc>
          <w:tcPr>
            <w:tcW w:w="1109" w:type="dxa"/>
            <w:hideMark/>
          </w:tcPr>
          <w:p w14:paraId="0DE043AE" w14:textId="77777777" w:rsidR="0010265C" w:rsidRPr="00261B7A" w:rsidRDefault="0010265C" w:rsidP="00D41492">
            <w:pPr>
              <w:pStyle w:val="TableText"/>
              <w:spacing w:before="40" w:after="40"/>
              <w:rPr>
                <w:rFonts w:cs="Segoe UI"/>
                <w:szCs w:val="16"/>
              </w:rPr>
            </w:pPr>
            <w:r w:rsidRPr="00261B7A">
              <w:rPr>
                <w:rFonts w:cs="Segoe UI"/>
                <w:szCs w:val="16"/>
              </w:rPr>
              <w:t>Settlements</w:t>
            </w:r>
          </w:p>
        </w:tc>
        <w:tc>
          <w:tcPr>
            <w:tcW w:w="5104" w:type="dxa"/>
            <w:gridSpan w:val="4"/>
            <w:hideMark/>
          </w:tcPr>
          <w:p w14:paraId="6F91191D" w14:textId="77777777" w:rsidR="0010265C" w:rsidRPr="00261B7A" w:rsidRDefault="0010265C" w:rsidP="00D41492">
            <w:pPr>
              <w:pStyle w:val="TableText"/>
              <w:spacing w:before="40" w:after="40"/>
              <w:rPr>
                <w:rFonts w:cs="Segoe UI"/>
                <w:szCs w:val="16"/>
              </w:rPr>
            </w:pPr>
            <w:r w:rsidRPr="00261B7A">
              <w:rPr>
                <w:rFonts w:cs="Segoe UI"/>
                <w:szCs w:val="16"/>
              </w:rPr>
              <w:t>IPCC Tier 1 default parameter (NE)</w:t>
            </w:r>
          </w:p>
        </w:tc>
        <w:tc>
          <w:tcPr>
            <w:tcW w:w="1134" w:type="dxa"/>
            <w:hideMark/>
          </w:tcPr>
          <w:p w14:paraId="2C7D6280" w14:textId="77777777" w:rsidR="0010265C" w:rsidRPr="00261B7A" w:rsidRDefault="0010265C" w:rsidP="00D41492">
            <w:pPr>
              <w:pStyle w:val="TableText"/>
              <w:spacing w:before="40" w:after="40"/>
              <w:rPr>
                <w:rFonts w:cs="Segoe UI"/>
                <w:szCs w:val="16"/>
              </w:rPr>
            </w:pPr>
            <w:r w:rsidRPr="00261B7A">
              <w:rPr>
                <w:rFonts w:cs="Segoe UI"/>
                <w:szCs w:val="16"/>
              </w:rPr>
              <w:t>Tier 2, country-specific data and model</w:t>
            </w:r>
          </w:p>
        </w:tc>
        <w:tc>
          <w:tcPr>
            <w:tcW w:w="1158" w:type="dxa"/>
            <w:hideMark/>
          </w:tcPr>
          <w:p w14:paraId="613890CE" w14:textId="77777777" w:rsidR="0010265C" w:rsidRPr="00261B7A" w:rsidRDefault="0010265C" w:rsidP="00D41492">
            <w:pPr>
              <w:pStyle w:val="TableText"/>
              <w:spacing w:before="40" w:after="40"/>
              <w:rPr>
                <w:rFonts w:cs="Segoe UI"/>
                <w:szCs w:val="16"/>
              </w:rPr>
            </w:pPr>
            <w:r w:rsidRPr="00261B7A">
              <w:rPr>
                <w:rFonts w:cs="Segoe UI"/>
                <w:szCs w:val="16"/>
              </w:rPr>
              <w:t>NE</w:t>
            </w:r>
          </w:p>
        </w:tc>
      </w:tr>
      <w:tr w:rsidR="0010265C" w:rsidRPr="00261B7A" w14:paraId="5A34BAD0" w14:textId="77777777" w:rsidTr="00E24718">
        <w:trPr>
          <w:gridAfter w:val="1"/>
          <w:wAfter w:w="57" w:type="dxa"/>
        </w:trPr>
        <w:tc>
          <w:tcPr>
            <w:tcW w:w="1109" w:type="dxa"/>
            <w:hideMark/>
          </w:tcPr>
          <w:p w14:paraId="00B273C5" w14:textId="77777777" w:rsidR="0010265C" w:rsidRPr="00261B7A" w:rsidRDefault="0010265C" w:rsidP="00D41492">
            <w:pPr>
              <w:pStyle w:val="TableText"/>
              <w:spacing w:before="40" w:after="40"/>
              <w:rPr>
                <w:rFonts w:cs="Segoe UI"/>
                <w:szCs w:val="16"/>
              </w:rPr>
            </w:pPr>
            <w:r w:rsidRPr="00261B7A">
              <w:rPr>
                <w:rFonts w:cs="Segoe UI"/>
                <w:szCs w:val="16"/>
              </w:rPr>
              <w:t>Other land</w:t>
            </w:r>
          </w:p>
        </w:tc>
        <w:tc>
          <w:tcPr>
            <w:tcW w:w="5104" w:type="dxa"/>
            <w:gridSpan w:val="4"/>
            <w:hideMark/>
          </w:tcPr>
          <w:p w14:paraId="59100FDA" w14:textId="77777777" w:rsidR="0010265C" w:rsidRPr="00261B7A" w:rsidRDefault="0010265C" w:rsidP="00D41492">
            <w:pPr>
              <w:pStyle w:val="TableText"/>
              <w:spacing w:before="40" w:after="40"/>
              <w:rPr>
                <w:rFonts w:cs="Segoe UI"/>
                <w:szCs w:val="16"/>
              </w:rPr>
            </w:pPr>
            <w:r w:rsidRPr="00261B7A">
              <w:rPr>
                <w:rFonts w:cs="Segoe UI"/>
                <w:szCs w:val="16"/>
              </w:rPr>
              <w:t>IPCC Tier 1 default parameter (NE)</w:t>
            </w:r>
          </w:p>
        </w:tc>
        <w:tc>
          <w:tcPr>
            <w:tcW w:w="1134" w:type="dxa"/>
            <w:hideMark/>
          </w:tcPr>
          <w:p w14:paraId="583CFC61" w14:textId="77777777" w:rsidR="0010265C" w:rsidRPr="00261B7A" w:rsidRDefault="0010265C" w:rsidP="00D41492">
            <w:pPr>
              <w:pStyle w:val="TableText"/>
              <w:spacing w:before="40" w:after="40"/>
              <w:rPr>
                <w:rFonts w:cs="Segoe UI"/>
                <w:szCs w:val="16"/>
              </w:rPr>
            </w:pPr>
            <w:r w:rsidRPr="00261B7A">
              <w:rPr>
                <w:rFonts w:cs="Segoe UI"/>
                <w:szCs w:val="16"/>
              </w:rPr>
              <w:t>Tier 2, country-specific data and model</w:t>
            </w:r>
          </w:p>
        </w:tc>
        <w:tc>
          <w:tcPr>
            <w:tcW w:w="1158" w:type="dxa"/>
            <w:hideMark/>
          </w:tcPr>
          <w:p w14:paraId="36AB06E8" w14:textId="77777777" w:rsidR="0010265C" w:rsidRPr="00261B7A" w:rsidRDefault="0010265C" w:rsidP="00D41492">
            <w:pPr>
              <w:pStyle w:val="TableText"/>
              <w:spacing w:before="40" w:after="40"/>
              <w:rPr>
                <w:rFonts w:cs="Segoe UI"/>
                <w:szCs w:val="16"/>
              </w:rPr>
            </w:pPr>
            <w:r w:rsidRPr="00261B7A">
              <w:rPr>
                <w:rFonts w:cs="Segoe UI"/>
                <w:szCs w:val="16"/>
              </w:rPr>
              <w:t>NE</w:t>
            </w:r>
          </w:p>
        </w:tc>
      </w:tr>
    </w:tbl>
    <w:p w14:paraId="33EF90CF" w14:textId="77777777" w:rsidR="0010265C" w:rsidRPr="00261B7A" w:rsidRDefault="0010265C" w:rsidP="0010265C">
      <w:pPr>
        <w:pStyle w:val="Noteundertable"/>
      </w:pPr>
      <w:r w:rsidRPr="00261B7A">
        <w:rPr>
          <w:b/>
        </w:rPr>
        <w:t>Note:</w:t>
      </w:r>
      <w:r w:rsidRPr="00261B7A">
        <w:tab/>
        <w:t>CRA = Calculation and Reporting Application; NE = not estimated</w:t>
      </w:r>
      <w:r w:rsidRPr="00261B7A" w:rsidDel="00AB2497">
        <w:t>.</w:t>
      </w:r>
      <w:r w:rsidRPr="00261B7A">
        <w:t xml:space="preserve"> See the methodology sections for an explanation of soil carbon calculations (annex A3.2.4) and forest models, C_Change and Forest Carbon Predictor (annex A3.2.5). </w:t>
      </w:r>
    </w:p>
    <w:p w14:paraId="08932779" w14:textId="77777777" w:rsidR="0010265C" w:rsidRPr="00261B7A" w:rsidRDefault="0010265C" w:rsidP="0010265C">
      <w:pPr>
        <w:pStyle w:val="BodyText"/>
        <w:spacing w:before="80" w:after="100"/>
      </w:pPr>
      <w:r w:rsidRPr="00261B7A">
        <w:t xml:space="preserve">To calculate emissions for the New Zealand LULUCF sector, the following data are used: </w:t>
      </w:r>
    </w:p>
    <w:p w14:paraId="105E115F" w14:textId="77777777" w:rsidR="0010265C" w:rsidRPr="00261B7A" w:rsidRDefault="0010265C" w:rsidP="008A5779">
      <w:pPr>
        <w:pStyle w:val="Bullet"/>
      </w:pPr>
      <w:r w:rsidRPr="00261B7A">
        <w:t>land use and land-use change area data from 1962 to 1989, which provide land in a transition state as at 1990 for each land use (see annex A3.2.1)</w:t>
      </w:r>
    </w:p>
    <w:p w14:paraId="03CD16C6" w14:textId="77777777" w:rsidR="0010265C" w:rsidRPr="00261B7A" w:rsidRDefault="0010265C" w:rsidP="00294EC5">
      <w:pPr>
        <w:pStyle w:val="Bullet"/>
        <w:numPr>
          <w:ilvl w:val="0"/>
          <w:numId w:val="25"/>
        </w:numPr>
        <w:spacing w:after="100"/>
        <w:ind w:left="397" w:hanging="397"/>
      </w:pPr>
      <w:r w:rsidRPr="00261B7A">
        <w:t>annual land use and land-use change area data from 1990 to 2021 (see section 6.2 and annex A3.2.2)</w:t>
      </w:r>
    </w:p>
    <w:p w14:paraId="6DEF5250" w14:textId="77777777" w:rsidR="0010265C" w:rsidRPr="00261B7A" w:rsidRDefault="0010265C" w:rsidP="00294EC5">
      <w:pPr>
        <w:pStyle w:val="Bullet"/>
        <w:numPr>
          <w:ilvl w:val="0"/>
          <w:numId w:val="25"/>
        </w:numPr>
        <w:spacing w:after="100"/>
        <w:ind w:left="397" w:hanging="397"/>
      </w:pPr>
      <w:r w:rsidRPr="00261B7A">
        <w:t>biomass carbon stocks per hectare before land use conversion, and annual growth in biomass carbon stocks per hectare following conversion (described in more detail under each land use category)</w:t>
      </w:r>
    </w:p>
    <w:p w14:paraId="1135C399" w14:textId="77777777" w:rsidR="0010265C" w:rsidRPr="00261B7A" w:rsidRDefault="0010265C" w:rsidP="00294EC5">
      <w:pPr>
        <w:pStyle w:val="Bullet"/>
        <w:numPr>
          <w:ilvl w:val="0"/>
          <w:numId w:val="25"/>
        </w:numPr>
        <w:spacing w:after="100"/>
        <w:ind w:left="397" w:hanging="397"/>
      </w:pPr>
      <w:r w:rsidRPr="00261B7A">
        <w:t xml:space="preserve">estimates of planted forest harvest area and harvest age class distribution (see section 6.3 and annex A3.2.5) </w:t>
      </w:r>
    </w:p>
    <w:p w14:paraId="569D73DC" w14:textId="77777777" w:rsidR="0010265C" w:rsidRPr="00261B7A" w:rsidRDefault="0010265C" w:rsidP="00294EC5">
      <w:pPr>
        <w:pStyle w:val="Bullet"/>
        <w:numPr>
          <w:ilvl w:val="0"/>
          <w:numId w:val="25"/>
        </w:numPr>
        <w:spacing w:after="100"/>
        <w:ind w:left="397" w:hanging="397"/>
      </w:pPr>
      <w:r w:rsidRPr="00261B7A">
        <w:t>a forest age profile for pre-1990 planted forests and post-1989 planted forests</w:t>
      </w:r>
    </w:p>
    <w:p w14:paraId="7172B05C" w14:textId="77777777" w:rsidR="0010265C" w:rsidRPr="00261B7A" w:rsidRDefault="0010265C" w:rsidP="00294EC5">
      <w:pPr>
        <w:pStyle w:val="Bullet"/>
        <w:numPr>
          <w:ilvl w:val="0"/>
          <w:numId w:val="25"/>
        </w:numPr>
        <w:spacing w:after="100"/>
        <w:ind w:left="397" w:hanging="397"/>
      </w:pPr>
      <w:r w:rsidRPr="00261B7A">
        <w:t>age-based biomass carbon yield tables for pre-1990 planted forests and post-1989 planted and natural forests (see section 6.3.2)</w:t>
      </w:r>
    </w:p>
    <w:p w14:paraId="57E4B9C6" w14:textId="77777777" w:rsidR="0010265C" w:rsidRPr="00261B7A" w:rsidRDefault="0010265C" w:rsidP="00294EC5">
      <w:pPr>
        <w:pStyle w:val="Bullet"/>
        <w:numPr>
          <w:ilvl w:val="0"/>
          <w:numId w:val="25"/>
        </w:numPr>
        <w:spacing w:after="100"/>
        <w:ind w:left="397" w:hanging="397"/>
      </w:pPr>
      <w:r w:rsidRPr="00261B7A">
        <w:t>growth increment for pre-1990 natural forest (see section 6.3.2)</w:t>
      </w:r>
    </w:p>
    <w:p w14:paraId="7CB7C09C" w14:textId="77777777" w:rsidR="0010265C" w:rsidRPr="00261B7A" w:rsidRDefault="0010265C" w:rsidP="00294EC5">
      <w:pPr>
        <w:pStyle w:val="Bullet"/>
        <w:numPr>
          <w:ilvl w:val="0"/>
          <w:numId w:val="25"/>
        </w:numPr>
        <w:spacing w:after="100"/>
        <w:ind w:left="397" w:hanging="397"/>
      </w:pPr>
      <w:r w:rsidRPr="00261B7A">
        <w:t>emission factors and country-level activity data on biomass burning (see section 6.10.8)</w:t>
      </w:r>
    </w:p>
    <w:p w14:paraId="30651F27" w14:textId="77777777" w:rsidR="0010265C" w:rsidRPr="00261B7A" w:rsidRDefault="0010265C" w:rsidP="00294EC5">
      <w:pPr>
        <w:pStyle w:val="Bullet"/>
        <w:numPr>
          <w:ilvl w:val="0"/>
          <w:numId w:val="25"/>
        </w:numPr>
        <w:ind w:left="397" w:hanging="397"/>
      </w:pPr>
      <w:r w:rsidRPr="00261B7A">
        <w:t>IPCC default conversion factors for converting C to CO</w:t>
      </w:r>
      <w:r w:rsidRPr="00261B7A">
        <w:rPr>
          <w:vertAlign w:val="subscript"/>
        </w:rPr>
        <w:t>2</w:t>
      </w:r>
      <w:r w:rsidRPr="00261B7A">
        <w:t xml:space="preserve">. </w:t>
      </w:r>
    </w:p>
    <w:p w14:paraId="3268E606" w14:textId="77777777" w:rsidR="0010265C" w:rsidRPr="00261B7A" w:rsidRDefault="0010265C" w:rsidP="0010265C">
      <w:pPr>
        <w:pStyle w:val="BodyText"/>
        <w:spacing w:after="0"/>
      </w:pPr>
      <w:r w:rsidRPr="00261B7A">
        <w:t>The formula used to calculate emissions from biomass changes on land use conversion is:</w:t>
      </w:r>
    </w:p>
    <w:tbl>
      <w:tblPr>
        <w:tblW w:w="7700" w:type="dxa"/>
        <w:jc w:val="center"/>
        <w:tblLayout w:type="fixed"/>
        <w:tblCellMar>
          <w:left w:w="28" w:type="dxa"/>
          <w:right w:w="28" w:type="dxa"/>
        </w:tblCellMar>
        <w:tblLook w:val="04A0" w:firstRow="1" w:lastRow="0" w:firstColumn="1" w:lastColumn="0" w:noHBand="0" w:noVBand="1"/>
      </w:tblPr>
      <w:tblGrid>
        <w:gridCol w:w="310"/>
        <w:gridCol w:w="1420"/>
        <w:gridCol w:w="283"/>
        <w:gridCol w:w="1134"/>
        <w:gridCol w:w="284"/>
        <w:gridCol w:w="290"/>
        <w:gridCol w:w="284"/>
        <w:gridCol w:w="1694"/>
        <w:gridCol w:w="290"/>
        <w:gridCol w:w="992"/>
        <w:gridCol w:w="284"/>
        <w:gridCol w:w="435"/>
      </w:tblGrid>
      <w:tr w:rsidR="0010265C" w:rsidRPr="00261B7A" w14:paraId="24BF89C3" w14:textId="77777777" w:rsidTr="00D41492">
        <w:trPr>
          <w:trHeight w:val="1130"/>
          <w:jc w:val="center"/>
        </w:trPr>
        <w:tc>
          <w:tcPr>
            <w:tcW w:w="310" w:type="dxa"/>
            <w:vAlign w:val="center"/>
          </w:tcPr>
          <w:p w14:paraId="7D4D3943" w14:textId="77777777" w:rsidR="0010265C" w:rsidRPr="00261B7A" w:rsidRDefault="0010265C" w:rsidP="00D41492">
            <w:pPr>
              <w:rPr>
                <w:rFonts w:cs="Segoe UI"/>
                <w:sz w:val="144"/>
                <w:szCs w:val="144"/>
              </w:rPr>
            </w:pPr>
            <w:r w:rsidRPr="00261B7A">
              <w:rPr>
                <w:rFonts w:cs="Segoe UI"/>
                <w:sz w:val="56"/>
                <w:szCs w:val="144"/>
              </w:rPr>
              <w:t>(</w:t>
            </w:r>
          </w:p>
        </w:tc>
        <w:tc>
          <w:tcPr>
            <w:tcW w:w="1420" w:type="dxa"/>
            <w:vAlign w:val="center"/>
          </w:tcPr>
          <w:p w14:paraId="169AAB50" w14:textId="77777777" w:rsidR="0010265C" w:rsidRPr="00261B7A" w:rsidRDefault="0010265C" w:rsidP="00D41492">
            <w:pPr>
              <w:jc w:val="center"/>
              <w:rPr>
                <w:rFonts w:cs="Segoe UI"/>
                <w:i/>
                <w:sz w:val="18"/>
              </w:rPr>
            </w:pPr>
            <w:r w:rsidRPr="00261B7A">
              <w:rPr>
                <w:rFonts w:cs="Segoe UI"/>
                <w:i/>
                <w:sz w:val="18"/>
              </w:rPr>
              <w:t>Loss of biomass present in previous crop</w:t>
            </w:r>
          </w:p>
        </w:tc>
        <w:tc>
          <w:tcPr>
            <w:tcW w:w="283" w:type="dxa"/>
            <w:vAlign w:val="center"/>
          </w:tcPr>
          <w:p w14:paraId="46AAEC29" w14:textId="77777777" w:rsidR="0010265C" w:rsidRPr="00261B7A" w:rsidRDefault="0010265C" w:rsidP="00D41492">
            <w:pPr>
              <w:rPr>
                <w:rFonts w:cs="Segoe UI"/>
                <w:i/>
                <w:sz w:val="18"/>
              </w:rPr>
            </w:pPr>
            <w:r w:rsidRPr="00261B7A">
              <w:rPr>
                <w:rFonts w:cs="Segoe UI"/>
                <w:i/>
                <w:sz w:val="18"/>
              </w:rPr>
              <w:t xml:space="preserve"> ×</w:t>
            </w:r>
          </w:p>
        </w:tc>
        <w:tc>
          <w:tcPr>
            <w:tcW w:w="1134" w:type="dxa"/>
            <w:vAlign w:val="center"/>
          </w:tcPr>
          <w:p w14:paraId="2632C167" w14:textId="77777777" w:rsidR="0010265C" w:rsidRPr="00261B7A" w:rsidRDefault="0010265C" w:rsidP="00D41492">
            <w:pPr>
              <w:jc w:val="center"/>
              <w:rPr>
                <w:rFonts w:cs="Segoe UI"/>
                <w:i/>
                <w:sz w:val="18"/>
              </w:rPr>
            </w:pPr>
            <w:r w:rsidRPr="00261B7A">
              <w:rPr>
                <w:rFonts w:cs="Segoe UI"/>
                <w:i/>
                <w:sz w:val="18"/>
              </w:rPr>
              <w:t>Activity data (Area)</w:t>
            </w:r>
          </w:p>
        </w:tc>
        <w:tc>
          <w:tcPr>
            <w:tcW w:w="284" w:type="dxa"/>
            <w:vAlign w:val="center"/>
          </w:tcPr>
          <w:p w14:paraId="04326476" w14:textId="77777777" w:rsidR="0010265C" w:rsidRPr="00261B7A" w:rsidRDefault="0010265C" w:rsidP="00D41492">
            <w:pPr>
              <w:rPr>
                <w:rFonts w:cs="Segoe UI"/>
                <w:i/>
              </w:rPr>
            </w:pPr>
            <w:r w:rsidRPr="00261B7A">
              <w:rPr>
                <w:rFonts w:cs="Segoe UI"/>
                <w:sz w:val="56"/>
                <w:szCs w:val="144"/>
              </w:rPr>
              <w:t>)</w:t>
            </w:r>
          </w:p>
        </w:tc>
        <w:tc>
          <w:tcPr>
            <w:tcW w:w="290" w:type="dxa"/>
            <w:vAlign w:val="center"/>
          </w:tcPr>
          <w:p w14:paraId="1C44C6C1" w14:textId="77777777" w:rsidR="0010265C" w:rsidRPr="00261B7A" w:rsidRDefault="0010265C" w:rsidP="00D41492">
            <w:pPr>
              <w:rPr>
                <w:rFonts w:cs="Segoe UI"/>
                <w:i/>
              </w:rPr>
            </w:pPr>
            <w:r w:rsidRPr="00261B7A">
              <w:rPr>
                <w:rFonts w:cs="Segoe UI"/>
                <w:i/>
              </w:rPr>
              <w:t>+</w:t>
            </w:r>
          </w:p>
        </w:tc>
        <w:tc>
          <w:tcPr>
            <w:tcW w:w="284" w:type="dxa"/>
            <w:vAlign w:val="center"/>
          </w:tcPr>
          <w:p w14:paraId="1589A352" w14:textId="77777777" w:rsidR="0010265C" w:rsidRPr="00261B7A" w:rsidRDefault="0010265C" w:rsidP="00D41492">
            <w:pPr>
              <w:rPr>
                <w:rFonts w:cs="Segoe UI"/>
                <w:i/>
              </w:rPr>
            </w:pPr>
            <w:r w:rsidRPr="00261B7A">
              <w:rPr>
                <w:rFonts w:cs="Segoe UI"/>
                <w:sz w:val="56"/>
                <w:szCs w:val="144"/>
              </w:rPr>
              <w:t>(</w:t>
            </w:r>
          </w:p>
        </w:tc>
        <w:tc>
          <w:tcPr>
            <w:tcW w:w="1694" w:type="dxa"/>
            <w:vAlign w:val="center"/>
          </w:tcPr>
          <w:p w14:paraId="5C4B4605" w14:textId="77777777" w:rsidR="0010265C" w:rsidRPr="00261B7A" w:rsidRDefault="0010265C" w:rsidP="00D41492">
            <w:pPr>
              <w:jc w:val="center"/>
              <w:rPr>
                <w:rFonts w:cs="Segoe UI"/>
                <w:i/>
                <w:sz w:val="18"/>
              </w:rPr>
            </w:pPr>
            <w:r w:rsidRPr="00261B7A">
              <w:rPr>
                <w:rFonts w:cs="Segoe UI"/>
                <w:i/>
                <w:sz w:val="18"/>
              </w:rPr>
              <w:t>Annual growth in biomass carbon stocks in new land use</w:t>
            </w:r>
          </w:p>
        </w:tc>
        <w:tc>
          <w:tcPr>
            <w:tcW w:w="290" w:type="dxa"/>
            <w:vAlign w:val="center"/>
          </w:tcPr>
          <w:p w14:paraId="4ECA27B9" w14:textId="77777777" w:rsidR="0010265C" w:rsidRPr="00261B7A" w:rsidRDefault="0010265C" w:rsidP="00D41492">
            <w:pPr>
              <w:jc w:val="center"/>
              <w:rPr>
                <w:rFonts w:cs="Segoe UI"/>
                <w:i/>
                <w:sz w:val="18"/>
              </w:rPr>
            </w:pPr>
            <w:r w:rsidRPr="00261B7A">
              <w:rPr>
                <w:rFonts w:cs="Segoe UI"/>
                <w:i/>
                <w:sz w:val="18"/>
              </w:rPr>
              <w:t>×</w:t>
            </w:r>
          </w:p>
        </w:tc>
        <w:tc>
          <w:tcPr>
            <w:tcW w:w="992" w:type="dxa"/>
            <w:vAlign w:val="center"/>
          </w:tcPr>
          <w:p w14:paraId="3C62D25A" w14:textId="77777777" w:rsidR="0010265C" w:rsidRPr="00261B7A" w:rsidRDefault="0010265C" w:rsidP="00D41492">
            <w:pPr>
              <w:spacing w:before="120"/>
              <w:jc w:val="center"/>
              <w:rPr>
                <w:rFonts w:cs="Segoe UI"/>
                <w:i/>
                <w:sz w:val="18"/>
              </w:rPr>
            </w:pPr>
            <w:r w:rsidRPr="00261B7A">
              <w:rPr>
                <w:rFonts w:cs="Segoe UI"/>
                <w:i/>
                <w:sz w:val="18"/>
              </w:rPr>
              <w:t>Activity data (Area)</w:t>
            </w:r>
          </w:p>
        </w:tc>
        <w:tc>
          <w:tcPr>
            <w:tcW w:w="284" w:type="dxa"/>
            <w:vAlign w:val="center"/>
          </w:tcPr>
          <w:p w14:paraId="362CA0FC" w14:textId="77777777" w:rsidR="0010265C" w:rsidRPr="00261B7A" w:rsidRDefault="0010265C" w:rsidP="00D41492">
            <w:pPr>
              <w:jc w:val="center"/>
              <w:rPr>
                <w:rFonts w:cs="Segoe UI"/>
                <w:i/>
              </w:rPr>
            </w:pPr>
            <w:r w:rsidRPr="00261B7A">
              <w:rPr>
                <w:rFonts w:cs="Segoe UI"/>
                <w:sz w:val="56"/>
                <w:szCs w:val="144"/>
              </w:rPr>
              <w:t>)</w:t>
            </w:r>
          </w:p>
        </w:tc>
        <w:tc>
          <w:tcPr>
            <w:tcW w:w="435" w:type="dxa"/>
          </w:tcPr>
          <w:p w14:paraId="6928B8AA" w14:textId="77777777" w:rsidR="0010265C" w:rsidRPr="00261B7A" w:rsidRDefault="0010265C" w:rsidP="00D41492">
            <w:pPr>
              <w:rPr>
                <w:rFonts w:cs="Segoe UI"/>
                <w:i/>
              </w:rPr>
            </w:pPr>
          </w:p>
          <w:p w14:paraId="5A4138C8" w14:textId="77777777" w:rsidR="0010265C" w:rsidRPr="00261B7A" w:rsidRDefault="0010265C" w:rsidP="00D41492">
            <w:pPr>
              <w:rPr>
                <w:rFonts w:cs="Segoe UI"/>
                <w:i/>
              </w:rPr>
            </w:pPr>
          </w:p>
          <w:p w14:paraId="132C477F" w14:textId="77777777" w:rsidR="0010265C" w:rsidRPr="00261B7A" w:rsidRDefault="0010265C" w:rsidP="00D41492">
            <w:pPr>
              <w:rPr>
                <w:rFonts w:cs="Segoe UI"/>
                <w:sz w:val="56"/>
                <w:szCs w:val="144"/>
              </w:rPr>
            </w:pPr>
            <w:r w:rsidRPr="00261B7A">
              <w:rPr>
                <w:rFonts w:cs="Segoe UI"/>
                <w:i/>
              </w:rPr>
              <w:t>(1)</w:t>
            </w:r>
          </w:p>
        </w:tc>
      </w:tr>
    </w:tbl>
    <w:p w14:paraId="6314C146" w14:textId="77777777" w:rsidR="0010265C" w:rsidRPr="00261B7A" w:rsidRDefault="0010265C" w:rsidP="0010265C">
      <w:pPr>
        <w:pStyle w:val="BodyText"/>
        <w:spacing w:after="240"/>
      </w:pPr>
      <w:r w:rsidRPr="00261B7A">
        <w:t xml:space="preserve">The formula used to calculate emissions from mineral soil changes on land use conversion is: </w:t>
      </w:r>
    </w:p>
    <w:tbl>
      <w:tblPr>
        <w:tblW w:w="7479" w:type="dxa"/>
        <w:jc w:val="center"/>
        <w:tblLayout w:type="fixed"/>
        <w:tblLook w:val="04A0" w:firstRow="1" w:lastRow="0" w:firstColumn="1" w:lastColumn="0" w:noHBand="0" w:noVBand="1"/>
      </w:tblPr>
      <w:tblGrid>
        <w:gridCol w:w="2093"/>
        <w:gridCol w:w="425"/>
        <w:gridCol w:w="2268"/>
        <w:gridCol w:w="284"/>
        <w:gridCol w:w="425"/>
        <w:gridCol w:w="850"/>
        <w:gridCol w:w="426"/>
        <w:gridCol w:w="708"/>
      </w:tblGrid>
      <w:tr w:rsidR="0010265C" w:rsidRPr="00261B7A" w14:paraId="529D227D" w14:textId="77777777" w:rsidTr="00D41492">
        <w:trPr>
          <w:jc w:val="center"/>
        </w:trPr>
        <w:tc>
          <w:tcPr>
            <w:tcW w:w="2093" w:type="dxa"/>
          </w:tcPr>
          <w:p w14:paraId="2E47868D" w14:textId="77777777" w:rsidR="0010265C" w:rsidRPr="00261B7A" w:rsidRDefault="0010265C" w:rsidP="00D41492">
            <w:pPr>
              <w:jc w:val="center"/>
              <w:rPr>
                <w:rFonts w:cs="Segoe UI"/>
                <w:i/>
                <w:sz w:val="18"/>
              </w:rPr>
            </w:pPr>
            <w:r w:rsidRPr="00261B7A">
              <w:rPr>
                <w:rFonts w:cs="Segoe UI"/>
                <w:i/>
                <w:sz w:val="18"/>
              </w:rPr>
              <w:t>Mineral soil carbon at steady state in the new land use</w:t>
            </w:r>
          </w:p>
        </w:tc>
        <w:tc>
          <w:tcPr>
            <w:tcW w:w="425" w:type="dxa"/>
            <w:vAlign w:val="center"/>
          </w:tcPr>
          <w:p w14:paraId="0901AD30" w14:textId="77777777" w:rsidR="0010265C" w:rsidRPr="00261B7A" w:rsidRDefault="0010265C" w:rsidP="00D41492">
            <w:pPr>
              <w:jc w:val="center"/>
              <w:rPr>
                <w:rFonts w:cs="Segoe UI"/>
                <w:i/>
                <w:sz w:val="18"/>
              </w:rPr>
            </w:pPr>
            <w:r w:rsidRPr="00261B7A">
              <w:rPr>
                <w:rFonts w:cs="Segoe UI"/>
                <w:i/>
                <w:sz w:val="18"/>
              </w:rPr>
              <w:t>—</w:t>
            </w:r>
          </w:p>
        </w:tc>
        <w:tc>
          <w:tcPr>
            <w:tcW w:w="2268" w:type="dxa"/>
          </w:tcPr>
          <w:p w14:paraId="205DB560" w14:textId="77777777" w:rsidR="0010265C" w:rsidRPr="00261B7A" w:rsidRDefault="0010265C" w:rsidP="00D41492">
            <w:pPr>
              <w:jc w:val="center"/>
              <w:rPr>
                <w:rFonts w:cs="Segoe UI"/>
                <w:i/>
                <w:sz w:val="18"/>
              </w:rPr>
            </w:pPr>
            <w:r w:rsidRPr="00261B7A">
              <w:rPr>
                <w:rFonts w:cs="Segoe UI"/>
                <w:i/>
                <w:sz w:val="18"/>
              </w:rPr>
              <w:t>Mineral soil carbon at steady state in the previous land use</w:t>
            </w:r>
          </w:p>
        </w:tc>
        <w:tc>
          <w:tcPr>
            <w:tcW w:w="284" w:type="dxa"/>
            <w:vMerge w:val="restart"/>
            <w:vAlign w:val="center"/>
          </w:tcPr>
          <w:p w14:paraId="4603DA6C" w14:textId="77777777" w:rsidR="0010265C" w:rsidRPr="00261B7A" w:rsidRDefault="0010265C" w:rsidP="00D41492">
            <w:pPr>
              <w:jc w:val="center"/>
              <w:rPr>
                <w:rFonts w:cs="Segoe UI"/>
                <w:i/>
                <w:sz w:val="18"/>
              </w:rPr>
            </w:pPr>
            <w:r w:rsidRPr="00261B7A">
              <w:rPr>
                <w:rFonts w:cs="Segoe UI"/>
                <w:i/>
                <w:sz w:val="18"/>
              </w:rPr>
              <w:t>×</w:t>
            </w:r>
          </w:p>
        </w:tc>
        <w:tc>
          <w:tcPr>
            <w:tcW w:w="425" w:type="dxa"/>
            <w:vMerge w:val="restart"/>
            <w:vAlign w:val="center"/>
          </w:tcPr>
          <w:p w14:paraId="1CDF4411" w14:textId="77777777" w:rsidR="0010265C" w:rsidRPr="00261B7A" w:rsidRDefault="0010265C" w:rsidP="00D41492">
            <w:pPr>
              <w:jc w:val="center"/>
              <w:rPr>
                <w:rFonts w:cs="Segoe UI"/>
                <w:i/>
                <w:sz w:val="18"/>
              </w:rPr>
            </w:pPr>
            <w:r w:rsidRPr="00261B7A">
              <w:rPr>
                <w:rFonts w:cs="Segoe UI"/>
                <w:sz w:val="56"/>
                <w:szCs w:val="144"/>
              </w:rPr>
              <w:t>(</w:t>
            </w:r>
          </w:p>
        </w:tc>
        <w:tc>
          <w:tcPr>
            <w:tcW w:w="850" w:type="dxa"/>
            <w:vMerge w:val="restart"/>
            <w:vAlign w:val="center"/>
          </w:tcPr>
          <w:p w14:paraId="3C430A0E" w14:textId="77777777" w:rsidR="0010265C" w:rsidRPr="00261B7A" w:rsidRDefault="0010265C" w:rsidP="00D41492">
            <w:pPr>
              <w:jc w:val="center"/>
              <w:rPr>
                <w:rFonts w:cs="Segoe UI"/>
                <w:i/>
                <w:sz w:val="18"/>
              </w:rPr>
            </w:pPr>
            <w:r w:rsidRPr="00261B7A">
              <w:rPr>
                <w:rFonts w:cs="Segoe UI"/>
                <w:i/>
                <w:sz w:val="18"/>
              </w:rPr>
              <w:t>Activity data (Area)</w:t>
            </w:r>
          </w:p>
        </w:tc>
        <w:tc>
          <w:tcPr>
            <w:tcW w:w="426" w:type="dxa"/>
            <w:vMerge w:val="restart"/>
            <w:vAlign w:val="center"/>
          </w:tcPr>
          <w:p w14:paraId="72E598AB" w14:textId="77777777" w:rsidR="0010265C" w:rsidRPr="00261B7A" w:rsidRDefault="0010265C" w:rsidP="00D41492">
            <w:pPr>
              <w:jc w:val="center"/>
              <w:rPr>
                <w:rFonts w:cs="Segoe UI"/>
                <w:i/>
                <w:sz w:val="18"/>
              </w:rPr>
            </w:pPr>
            <w:r w:rsidRPr="00261B7A">
              <w:rPr>
                <w:rFonts w:cs="Segoe UI"/>
                <w:sz w:val="56"/>
                <w:szCs w:val="144"/>
              </w:rPr>
              <w:t>)</w:t>
            </w:r>
          </w:p>
        </w:tc>
        <w:tc>
          <w:tcPr>
            <w:tcW w:w="708" w:type="dxa"/>
            <w:vMerge w:val="restart"/>
            <w:vAlign w:val="center"/>
          </w:tcPr>
          <w:p w14:paraId="6D1ED34D" w14:textId="77777777" w:rsidR="0010265C" w:rsidRPr="00261B7A" w:rsidRDefault="0010265C" w:rsidP="00D41492">
            <w:pPr>
              <w:jc w:val="right"/>
              <w:rPr>
                <w:rFonts w:cs="Segoe UI"/>
                <w:sz w:val="56"/>
                <w:szCs w:val="144"/>
              </w:rPr>
            </w:pPr>
            <w:r w:rsidRPr="00261B7A">
              <w:rPr>
                <w:rFonts w:cs="Segoe UI"/>
                <w:i/>
              </w:rPr>
              <w:t>(2)</w:t>
            </w:r>
          </w:p>
        </w:tc>
      </w:tr>
      <w:tr w:rsidR="0010265C" w:rsidRPr="00261B7A" w14:paraId="7ED8230F" w14:textId="77777777" w:rsidTr="00D41492">
        <w:trPr>
          <w:trHeight w:val="99"/>
          <w:jc w:val="center"/>
        </w:trPr>
        <w:tc>
          <w:tcPr>
            <w:tcW w:w="4786" w:type="dxa"/>
            <w:gridSpan w:val="3"/>
          </w:tcPr>
          <w:p w14:paraId="7140F671" w14:textId="77777777" w:rsidR="0010265C" w:rsidRPr="00261B7A" w:rsidRDefault="0010265C" w:rsidP="00D41492">
            <w:pPr>
              <w:jc w:val="center"/>
              <w:rPr>
                <w:rFonts w:cs="Segoe UI"/>
                <w:i/>
                <w:sz w:val="18"/>
                <w:szCs w:val="16"/>
              </w:rPr>
            </w:pPr>
            <w:r w:rsidRPr="00261B7A">
              <w:rPr>
                <w:rFonts w:cs="Segoe UI"/>
                <w:i/>
                <w:sz w:val="18"/>
                <w:szCs w:val="16"/>
              </w:rPr>
              <w:t>________________________________________________</w:t>
            </w:r>
          </w:p>
        </w:tc>
        <w:tc>
          <w:tcPr>
            <w:tcW w:w="284" w:type="dxa"/>
            <w:vMerge/>
          </w:tcPr>
          <w:p w14:paraId="643B2F81" w14:textId="77777777" w:rsidR="0010265C" w:rsidRPr="00261B7A" w:rsidRDefault="0010265C" w:rsidP="00D41492">
            <w:pPr>
              <w:jc w:val="center"/>
              <w:rPr>
                <w:rFonts w:cs="Segoe UI"/>
                <w:i/>
                <w:sz w:val="18"/>
              </w:rPr>
            </w:pPr>
          </w:p>
        </w:tc>
        <w:tc>
          <w:tcPr>
            <w:tcW w:w="425" w:type="dxa"/>
            <w:vMerge/>
          </w:tcPr>
          <w:p w14:paraId="4D9A5BC7" w14:textId="77777777" w:rsidR="0010265C" w:rsidRPr="00261B7A" w:rsidRDefault="0010265C" w:rsidP="00D41492">
            <w:pPr>
              <w:jc w:val="center"/>
              <w:rPr>
                <w:rFonts w:cs="Segoe UI"/>
                <w:i/>
                <w:sz w:val="18"/>
              </w:rPr>
            </w:pPr>
          </w:p>
        </w:tc>
        <w:tc>
          <w:tcPr>
            <w:tcW w:w="850" w:type="dxa"/>
            <w:vMerge/>
          </w:tcPr>
          <w:p w14:paraId="35BFBB0F" w14:textId="77777777" w:rsidR="0010265C" w:rsidRPr="00261B7A" w:rsidRDefault="0010265C" w:rsidP="00D41492">
            <w:pPr>
              <w:jc w:val="center"/>
              <w:rPr>
                <w:rFonts w:cs="Segoe UI"/>
                <w:i/>
                <w:sz w:val="18"/>
              </w:rPr>
            </w:pPr>
          </w:p>
        </w:tc>
        <w:tc>
          <w:tcPr>
            <w:tcW w:w="426" w:type="dxa"/>
            <w:vMerge/>
          </w:tcPr>
          <w:p w14:paraId="1777F928" w14:textId="77777777" w:rsidR="0010265C" w:rsidRPr="00261B7A" w:rsidRDefault="0010265C" w:rsidP="00D41492">
            <w:pPr>
              <w:jc w:val="center"/>
              <w:rPr>
                <w:rFonts w:cs="Segoe UI"/>
                <w:i/>
                <w:sz w:val="18"/>
              </w:rPr>
            </w:pPr>
          </w:p>
        </w:tc>
        <w:tc>
          <w:tcPr>
            <w:tcW w:w="708" w:type="dxa"/>
            <w:vMerge/>
          </w:tcPr>
          <w:p w14:paraId="709E2AAD" w14:textId="77777777" w:rsidR="0010265C" w:rsidRPr="00261B7A" w:rsidRDefault="0010265C" w:rsidP="00D41492">
            <w:pPr>
              <w:jc w:val="center"/>
              <w:rPr>
                <w:rFonts w:cs="Segoe UI"/>
                <w:i/>
                <w:sz w:val="18"/>
              </w:rPr>
            </w:pPr>
          </w:p>
        </w:tc>
      </w:tr>
      <w:tr w:rsidR="0010265C" w:rsidRPr="00261B7A" w14:paraId="623F0622" w14:textId="77777777" w:rsidTr="00D41492">
        <w:trPr>
          <w:jc w:val="center"/>
        </w:trPr>
        <w:tc>
          <w:tcPr>
            <w:tcW w:w="4786" w:type="dxa"/>
            <w:gridSpan w:val="3"/>
            <w:vAlign w:val="bottom"/>
          </w:tcPr>
          <w:p w14:paraId="44C5EC29" w14:textId="77777777" w:rsidR="0010265C" w:rsidRPr="00261B7A" w:rsidRDefault="0010265C" w:rsidP="00D41492">
            <w:pPr>
              <w:spacing w:before="120"/>
              <w:jc w:val="center"/>
              <w:rPr>
                <w:rFonts w:cs="Segoe UI"/>
                <w:i/>
                <w:sz w:val="18"/>
              </w:rPr>
            </w:pPr>
            <w:r w:rsidRPr="00261B7A">
              <w:rPr>
                <w:rFonts w:cs="Segoe UI"/>
                <w:i/>
                <w:sz w:val="18"/>
              </w:rPr>
              <w:t>20 years (transition period)</w:t>
            </w:r>
          </w:p>
        </w:tc>
        <w:tc>
          <w:tcPr>
            <w:tcW w:w="284" w:type="dxa"/>
            <w:vMerge/>
          </w:tcPr>
          <w:p w14:paraId="7801C884" w14:textId="77777777" w:rsidR="0010265C" w:rsidRPr="00261B7A" w:rsidRDefault="0010265C" w:rsidP="00D41492">
            <w:pPr>
              <w:jc w:val="center"/>
              <w:rPr>
                <w:rFonts w:cs="Segoe UI"/>
                <w:i/>
                <w:sz w:val="18"/>
              </w:rPr>
            </w:pPr>
          </w:p>
        </w:tc>
        <w:tc>
          <w:tcPr>
            <w:tcW w:w="425" w:type="dxa"/>
            <w:vMerge/>
          </w:tcPr>
          <w:p w14:paraId="7776782B" w14:textId="77777777" w:rsidR="0010265C" w:rsidRPr="00261B7A" w:rsidRDefault="0010265C" w:rsidP="00D41492">
            <w:pPr>
              <w:jc w:val="center"/>
              <w:rPr>
                <w:rFonts w:cs="Segoe UI"/>
                <w:i/>
                <w:sz w:val="18"/>
              </w:rPr>
            </w:pPr>
          </w:p>
        </w:tc>
        <w:tc>
          <w:tcPr>
            <w:tcW w:w="850" w:type="dxa"/>
            <w:vMerge/>
          </w:tcPr>
          <w:p w14:paraId="16ED1285" w14:textId="77777777" w:rsidR="0010265C" w:rsidRPr="00261B7A" w:rsidRDefault="0010265C" w:rsidP="00D41492">
            <w:pPr>
              <w:jc w:val="center"/>
              <w:rPr>
                <w:rFonts w:cs="Segoe UI"/>
                <w:i/>
                <w:sz w:val="18"/>
              </w:rPr>
            </w:pPr>
          </w:p>
        </w:tc>
        <w:tc>
          <w:tcPr>
            <w:tcW w:w="426" w:type="dxa"/>
            <w:vMerge/>
          </w:tcPr>
          <w:p w14:paraId="1FEC2666" w14:textId="77777777" w:rsidR="0010265C" w:rsidRPr="00261B7A" w:rsidRDefault="0010265C" w:rsidP="00D41492">
            <w:pPr>
              <w:jc w:val="center"/>
              <w:rPr>
                <w:rFonts w:cs="Segoe UI"/>
                <w:i/>
                <w:sz w:val="18"/>
              </w:rPr>
            </w:pPr>
          </w:p>
        </w:tc>
        <w:tc>
          <w:tcPr>
            <w:tcW w:w="708" w:type="dxa"/>
            <w:vMerge/>
          </w:tcPr>
          <w:p w14:paraId="4189E5BB" w14:textId="77777777" w:rsidR="0010265C" w:rsidRPr="00261B7A" w:rsidRDefault="0010265C" w:rsidP="00D41492">
            <w:pPr>
              <w:jc w:val="center"/>
              <w:rPr>
                <w:rFonts w:cs="Segoe UI"/>
                <w:i/>
                <w:sz w:val="18"/>
              </w:rPr>
            </w:pPr>
          </w:p>
        </w:tc>
      </w:tr>
    </w:tbl>
    <w:p w14:paraId="26DB1FF8" w14:textId="77777777" w:rsidR="0010265C" w:rsidRPr="00261B7A" w:rsidRDefault="0010265C" w:rsidP="0010265C">
      <w:pPr>
        <w:pStyle w:val="BodyText"/>
        <w:spacing w:before="180"/>
      </w:pPr>
      <w:r w:rsidRPr="00261B7A">
        <w:t>For example, the annual change in carbon stock in the first year of conversion of 100 hectares of low</w:t>
      </w:r>
      <w:r w:rsidRPr="00261B7A">
        <w:rPr>
          <w:i/>
        </w:rPr>
        <w:t xml:space="preserve"> </w:t>
      </w:r>
      <w:r w:rsidRPr="00261B7A">
        <w:t>producing grassland to perennial cropland would be calculated as follows:</w:t>
      </w:r>
    </w:p>
    <w:p w14:paraId="3F6629DC" w14:textId="77777777" w:rsidR="0010265C" w:rsidRPr="00261B7A" w:rsidRDefault="0010265C" w:rsidP="0010265C">
      <w:pPr>
        <w:pStyle w:val="BodyText"/>
        <w:tabs>
          <w:tab w:val="right" w:pos="7938"/>
        </w:tabs>
        <w:spacing w:before="60" w:after="0"/>
        <w:ind w:left="851"/>
      </w:pPr>
      <w:r w:rsidRPr="00261B7A">
        <w:t xml:space="preserve">Biomass change = (–2.867 </w:t>
      </w:r>
      <w:r w:rsidRPr="00261B7A">
        <w:rPr>
          <w:sz w:val="18"/>
        </w:rPr>
        <w:t>×</w:t>
      </w:r>
      <w:r w:rsidRPr="00261B7A">
        <w:t xml:space="preserve"> 100) + (0.67 </w:t>
      </w:r>
      <w:r w:rsidRPr="00261B7A">
        <w:rPr>
          <w:sz w:val="18"/>
        </w:rPr>
        <w:t>×</w:t>
      </w:r>
      <w:r w:rsidRPr="00261B7A">
        <w:t xml:space="preserve"> 100) = –219.7 tonnes C</w:t>
      </w:r>
      <w:r w:rsidRPr="00261B7A">
        <w:tab/>
      </w:r>
      <w:r w:rsidRPr="00261B7A">
        <w:rPr>
          <w:i/>
        </w:rPr>
        <w:t>(1)</w:t>
      </w:r>
    </w:p>
    <w:p w14:paraId="4D60C2AD" w14:textId="77777777" w:rsidR="0010265C" w:rsidRPr="00261B7A" w:rsidRDefault="0010265C" w:rsidP="0010265C">
      <w:pPr>
        <w:pStyle w:val="BodyText"/>
        <w:tabs>
          <w:tab w:val="right" w:pos="7938"/>
        </w:tabs>
        <w:spacing w:before="80" w:after="0"/>
        <w:ind w:left="851"/>
      </w:pPr>
      <w:r w:rsidRPr="00261B7A">
        <w:t xml:space="preserve">Mineral soil change = ((88.44 – 105.98) / 20) </w:t>
      </w:r>
      <w:r w:rsidRPr="00261B7A">
        <w:rPr>
          <w:sz w:val="18"/>
        </w:rPr>
        <w:t>×</w:t>
      </w:r>
      <w:r w:rsidRPr="00261B7A">
        <w:t xml:space="preserve"> 100 = –87.7 tonnes C </w:t>
      </w:r>
      <w:r w:rsidRPr="00261B7A">
        <w:tab/>
      </w:r>
      <w:r w:rsidRPr="00261B7A">
        <w:rPr>
          <w:i/>
        </w:rPr>
        <w:t>(2)</w:t>
      </w:r>
    </w:p>
    <w:p w14:paraId="141933F4" w14:textId="77777777" w:rsidR="0010265C" w:rsidRPr="00261B7A" w:rsidRDefault="0010265C" w:rsidP="0010265C">
      <w:pPr>
        <w:pStyle w:val="BodyText"/>
        <w:tabs>
          <w:tab w:val="right" w:pos="7938"/>
        </w:tabs>
        <w:spacing w:before="80" w:after="0"/>
        <w:ind w:left="851"/>
      </w:pPr>
      <w:r w:rsidRPr="00261B7A">
        <w:t>Total carbon stock change = –307.4 tonnes C</w:t>
      </w:r>
    </w:p>
    <w:p w14:paraId="25EAC799" w14:textId="77777777" w:rsidR="0010265C" w:rsidRPr="00261B7A" w:rsidRDefault="0010265C" w:rsidP="0010265C">
      <w:pPr>
        <w:pStyle w:val="BodyText"/>
        <w:tabs>
          <w:tab w:val="right" w:pos="7938"/>
        </w:tabs>
        <w:spacing w:before="80" w:after="0"/>
        <w:ind w:left="851"/>
      </w:pPr>
      <w:r w:rsidRPr="00261B7A">
        <w:t xml:space="preserve">Total emissions = (carbon stock change / 1,000 </w:t>
      </w:r>
      <w:r w:rsidRPr="00261B7A">
        <w:rPr>
          <w:sz w:val="18"/>
        </w:rPr>
        <w:t>×</w:t>
      </w:r>
      <w:r w:rsidRPr="00261B7A">
        <w:t xml:space="preserve"> –1) </w:t>
      </w:r>
      <w:r w:rsidRPr="00261B7A">
        <w:rPr>
          <w:sz w:val="18"/>
        </w:rPr>
        <w:t>×</w:t>
      </w:r>
      <w:r w:rsidRPr="00261B7A">
        <w:t xml:space="preserve"> (44/12)</w:t>
      </w:r>
    </w:p>
    <w:p w14:paraId="3AF7F5A6" w14:textId="77777777" w:rsidR="0010265C" w:rsidRPr="00261B7A" w:rsidRDefault="0010265C" w:rsidP="0010265C">
      <w:pPr>
        <w:pStyle w:val="BodyText"/>
        <w:tabs>
          <w:tab w:val="right" w:pos="7938"/>
        </w:tabs>
        <w:spacing w:before="80"/>
        <w:ind w:left="851"/>
      </w:pPr>
      <w:r w:rsidRPr="00261B7A">
        <w:t>Total emissions = 1.127 kt CO</w:t>
      </w:r>
      <w:r w:rsidRPr="00261B7A">
        <w:rPr>
          <w:vertAlign w:val="subscript"/>
        </w:rPr>
        <w:t>2</w:t>
      </w:r>
    </w:p>
    <w:p w14:paraId="5597BC91" w14:textId="77777777" w:rsidR="0010265C" w:rsidRPr="00261B7A" w:rsidRDefault="0010265C" w:rsidP="0010265C">
      <w:pPr>
        <w:pStyle w:val="BodyText"/>
        <w:spacing w:before="100" w:after="100"/>
      </w:pPr>
      <w:r w:rsidRPr="00261B7A">
        <w:t xml:space="preserve">These calculations have been performed to produce estimates of annual carbon stock and carbon stock changes since 1990. </w:t>
      </w:r>
    </w:p>
    <w:p w14:paraId="3929E9A8" w14:textId="77777777" w:rsidR="0010265C" w:rsidRPr="00261B7A" w:rsidRDefault="0010265C" w:rsidP="0010265C">
      <w:pPr>
        <w:pStyle w:val="BodyText"/>
        <w:spacing w:before="100" w:after="100"/>
      </w:pPr>
      <w:r w:rsidRPr="00261B7A">
        <w:t>Note: New Zealand applies the 2006 IPCC Guidelines (IPCC, 2006a) default transition period of 20 years. The area of all land use categories is reported in the conversion status for 20 years, after which it is reported in the land remaining land categories.</w:t>
      </w:r>
    </w:p>
    <w:p w14:paraId="17F5A9DA" w14:textId="77777777" w:rsidR="0010265C" w:rsidRPr="00261B7A" w:rsidRDefault="0010265C" w:rsidP="0010265C">
      <w:pPr>
        <w:pStyle w:val="Heading4"/>
      </w:pPr>
      <w:bookmarkStart w:id="1447" w:name="_Toc280630208"/>
      <w:bookmarkStart w:id="1448" w:name="_Toc255466297"/>
      <w:bookmarkStart w:id="1449" w:name="_Toc261513104"/>
      <w:bookmarkStart w:id="1450" w:name="_Toc261513717"/>
      <w:r w:rsidRPr="00261B7A">
        <w:t>New Zealand Land Use and Carbon Analysis System</w:t>
      </w:r>
      <w:bookmarkEnd w:id="1447"/>
    </w:p>
    <w:p w14:paraId="4681BF2D" w14:textId="77777777" w:rsidR="0010265C" w:rsidRPr="00261B7A" w:rsidRDefault="0010265C" w:rsidP="0010265C">
      <w:pPr>
        <w:pStyle w:val="BodyText"/>
        <w:spacing w:before="100" w:after="100"/>
      </w:pPr>
      <w:r w:rsidRPr="00261B7A">
        <w:t>New Zealand’s LULUCF estimates are calculated using a program of data collection and modelling called the Land Use and Carbon Analysis System (LUCAS)</w:t>
      </w:r>
      <w:r w:rsidRPr="00261B7A">
        <w:rPr>
          <w:color w:val="000000" w:themeColor="text1"/>
        </w:rPr>
        <w:t>.</w:t>
      </w:r>
      <w:r w:rsidRPr="00261B7A">
        <w:t xml:space="preserve"> This data management system stores, manages and retrieves data for international greenhouse gas reporting for the LULUCF sector. Further details on LUCAS, as well as the databases and applications it draws on, are provided in annex 3.2.9. </w:t>
      </w:r>
      <w:bookmarkEnd w:id="1448"/>
      <w:bookmarkEnd w:id="1449"/>
      <w:bookmarkEnd w:id="1450"/>
    </w:p>
    <w:p w14:paraId="7A8FF6EA" w14:textId="77777777" w:rsidR="0010265C" w:rsidRPr="00261B7A" w:rsidRDefault="0010265C" w:rsidP="0010265C">
      <w:pPr>
        <w:pStyle w:val="Heading3"/>
      </w:pPr>
      <w:bookmarkStart w:id="1451" w:name="_Toc280630220"/>
      <w:r w:rsidRPr="00261B7A">
        <w:t>6.1.3</w:t>
      </w:r>
      <w:r w:rsidRPr="00261B7A">
        <w:tab/>
        <w:t>Uncertainties in LULUCF</w:t>
      </w:r>
      <w:bookmarkEnd w:id="1451"/>
    </w:p>
    <w:p w14:paraId="0000597C" w14:textId="77777777" w:rsidR="0010265C" w:rsidRPr="00261B7A" w:rsidRDefault="0010265C" w:rsidP="0010265C">
      <w:pPr>
        <w:pStyle w:val="BodyText"/>
        <w:spacing w:before="100" w:after="100"/>
      </w:pPr>
      <w:r w:rsidRPr="00261B7A">
        <w:t xml:space="preserve">Uncertainty for the LULUCF sector has been calculated as 67.6 per cent using the Approach 1 </w:t>
      </w:r>
      <w:r w:rsidRPr="00261B7A">
        <w:br/>
        <w:t>– propagation of error method as specified in volume 1, chapter 3 of the 2006 IPCC General Guidance and Reporting (IPCC, 2006b). Given this uncertainty, net emissions from the LULUCF sector could range from –6,832.8 kt CO</w:t>
      </w:r>
      <w:r w:rsidRPr="00261B7A">
        <w:rPr>
          <w:vertAlign w:val="subscript"/>
        </w:rPr>
        <w:t>2</w:t>
      </w:r>
      <w:r w:rsidRPr="00261B7A">
        <w:t>-e to –35,359.6 kt CO</w:t>
      </w:r>
      <w:r w:rsidRPr="00261B7A">
        <w:rPr>
          <w:vertAlign w:val="subscript"/>
        </w:rPr>
        <w:t>2</w:t>
      </w:r>
      <w:r w:rsidRPr="00261B7A">
        <w:t xml:space="preserve">-e. Table 6.1.5 shows the three land use categories within the LULUCF sector that make the greatest contribution to uncertainty in the net carbon emissions for the sector. These are given in descending order. </w:t>
      </w:r>
    </w:p>
    <w:p w14:paraId="2875A1DF" w14:textId="77777777" w:rsidR="0010265C" w:rsidRPr="00261B7A" w:rsidRDefault="0010265C" w:rsidP="00E24718">
      <w:pPr>
        <w:pStyle w:val="Table"/>
      </w:pPr>
      <w:bookmarkStart w:id="1452" w:name="_Toc310423396"/>
      <w:bookmarkStart w:id="1453" w:name="_Toc318362689"/>
      <w:bookmarkStart w:id="1454" w:name="_Toc342470751"/>
      <w:bookmarkStart w:id="1455" w:name="_Toc352504991"/>
      <w:bookmarkStart w:id="1456" w:name="_Toc378853277"/>
      <w:bookmarkStart w:id="1457" w:name="_Toc391024075"/>
      <w:bookmarkStart w:id="1458" w:name="_Toc410028818"/>
      <w:bookmarkStart w:id="1459" w:name="_Toc414531446"/>
      <w:bookmarkStart w:id="1460" w:name="_Toc443645359"/>
      <w:bookmarkStart w:id="1461" w:name="_Toc474914578"/>
      <w:bookmarkStart w:id="1462" w:name="_Toc481751542"/>
      <w:bookmarkStart w:id="1463" w:name="_Toc522010599"/>
      <w:bookmarkStart w:id="1464" w:name="_Toc5269504"/>
      <w:bookmarkStart w:id="1465" w:name="_Toc33529380"/>
      <w:bookmarkStart w:id="1466" w:name="_Toc36224586"/>
      <w:bookmarkStart w:id="1467" w:name="_Toc65243581"/>
      <w:bookmarkStart w:id="1468" w:name="_Toc131591385"/>
      <w:r w:rsidRPr="00261B7A">
        <w:t>Table 6.1.5</w:t>
      </w:r>
      <w:r w:rsidRPr="00261B7A">
        <w:tab/>
        <w:t>Land use categories making the greatest contribution to uncertainty in the LULUCF sector</w:t>
      </w:r>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p>
    <w:tbl>
      <w:tblPr>
        <w:tblW w:w="8505" w:type="dxa"/>
        <w:tblBorders>
          <w:top w:val="single" w:sz="4" w:space="0" w:color="1B556B" w:themeColor="text2"/>
          <w:bottom w:val="single" w:sz="4" w:space="0" w:color="1B556B" w:themeColor="text2"/>
          <w:insideH w:val="single" w:sz="4" w:space="0" w:color="1B556B" w:themeColor="text2"/>
        </w:tblBorders>
        <w:tblLook w:val="04A0" w:firstRow="1" w:lastRow="0" w:firstColumn="1" w:lastColumn="0" w:noHBand="0" w:noVBand="1"/>
      </w:tblPr>
      <w:tblGrid>
        <w:gridCol w:w="4678"/>
        <w:gridCol w:w="3827"/>
      </w:tblGrid>
      <w:tr w:rsidR="0010265C" w:rsidRPr="00261B7A" w14:paraId="6257132E" w14:textId="77777777" w:rsidTr="00653987">
        <w:tc>
          <w:tcPr>
            <w:tcW w:w="4678" w:type="dxa"/>
            <w:shd w:val="clear" w:color="auto" w:fill="1B556B" w:themeFill="text2"/>
            <w:noWrap/>
            <w:vAlign w:val="bottom"/>
            <w:hideMark/>
          </w:tcPr>
          <w:p w14:paraId="43CFA7DA" w14:textId="77777777" w:rsidR="0010265C" w:rsidRPr="00261B7A" w:rsidRDefault="0010265C" w:rsidP="00D41492">
            <w:pPr>
              <w:pStyle w:val="TableTextBold"/>
              <w:keepNext/>
              <w:spacing w:before="50" w:after="50"/>
              <w:rPr>
                <w:rFonts w:eastAsia="Arial Bold"/>
                <w:noProof w:val="0"/>
                <w:color w:val="FFFFFF"/>
              </w:rPr>
            </w:pPr>
            <w:r w:rsidRPr="00261B7A">
              <w:rPr>
                <w:rFonts w:eastAsia="Arial Bold"/>
                <w:noProof w:val="0"/>
                <w:color w:val="FFFFFF"/>
              </w:rPr>
              <w:t>Land use category</w:t>
            </w:r>
          </w:p>
        </w:tc>
        <w:tc>
          <w:tcPr>
            <w:tcW w:w="3827" w:type="dxa"/>
            <w:shd w:val="clear" w:color="auto" w:fill="1B556B" w:themeFill="text2"/>
            <w:noWrap/>
            <w:vAlign w:val="bottom"/>
            <w:hideMark/>
          </w:tcPr>
          <w:p w14:paraId="10673489" w14:textId="77777777" w:rsidR="0010265C" w:rsidRPr="00261B7A" w:rsidRDefault="0010265C" w:rsidP="00D41492">
            <w:pPr>
              <w:pStyle w:val="TableTextBold"/>
              <w:keepNext/>
              <w:spacing w:before="50" w:after="50"/>
              <w:jc w:val="center"/>
              <w:rPr>
                <w:rFonts w:eastAsia="Arial Bold"/>
                <w:noProof w:val="0"/>
                <w:color w:val="FFFFFF"/>
              </w:rPr>
            </w:pPr>
            <w:r w:rsidRPr="00261B7A">
              <w:rPr>
                <w:rFonts w:eastAsia="Arial Bold"/>
                <w:noProof w:val="0"/>
                <w:color w:val="FFFFFF"/>
              </w:rPr>
              <w:t>Uncertainty introduced into emissions for LULUCF (%)</w:t>
            </w:r>
          </w:p>
        </w:tc>
      </w:tr>
      <w:tr w:rsidR="0010265C" w:rsidRPr="00261B7A" w14:paraId="74389F2F" w14:textId="77777777" w:rsidTr="00653987">
        <w:tc>
          <w:tcPr>
            <w:tcW w:w="4678" w:type="dxa"/>
            <w:shd w:val="clear" w:color="auto" w:fill="auto"/>
            <w:noWrap/>
            <w:hideMark/>
          </w:tcPr>
          <w:p w14:paraId="4187BA61" w14:textId="77777777" w:rsidR="0010265C" w:rsidRPr="00261B7A" w:rsidRDefault="0010265C" w:rsidP="00D41492">
            <w:pPr>
              <w:pStyle w:val="TableText"/>
              <w:keepNext/>
              <w:spacing w:before="50" w:after="50"/>
              <w:rPr>
                <w:rFonts w:eastAsia="Arial Bold"/>
              </w:rPr>
            </w:pPr>
            <w:r w:rsidRPr="00261B7A">
              <w:rPr>
                <w:rFonts w:eastAsia="Arial Bold"/>
              </w:rPr>
              <w:t>Pre-1990 planted forest</w:t>
            </w:r>
          </w:p>
        </w:tc>
        <w:tc>
          <w:tcPr>
            <w:tcW w:w="3827" w:type="dxa"/>
            <w:shd w:val="clear" w:color="auto" w:fill="auto"/>
            <w:noWrap/>
            <w:hideMark/>
          </w:tcPr>
          <w:p w14:paraId="0F05FFF2" w14:textId="77777777" w:rsidR="0010265C" w:rsidRPr="00261B7A" w:rsidRDefault="0010265C" w:rsidP="00653987">
            <w:pPr>
              <w:pStyle w:val="TableText"/>
              <w:spacing w:before="50" w:after="50"/>
              <w:rPr>
                <w:rFonts w:eastAsia="Arial Bold"/>
              </w:rPr>
            </w:pPr>
            <w:r w:rsidRPr="00261B7A">
              <w:t>± 55.5</w:t>
            </w:r>
          </w:p>
        </w:tc>
      </w:tr>
      <w:tr w:rsidR="0010265C" w:rsidRPr="00261B7A" w14:paraId="176C2C46" w14:textId="77777777" w:rsidTr="00653987">
        <w:tc>
          <w:tcPr>
            <w:tcW w:w="4678" w:type="dxa"/>
            <w:shd w:val="clear" w:color="auto" w:fill="auto"/>
            <w:noWrap/>
            <w:hideMark/>
          </w:tcPr>
          <w:p w14:paraId="3B3FB7B9" w14:textId="77777777" w:rsidR="0010265C" w:rsidRPr="00261B7A" w:rsidRDefault="0010265C" w:rsidP="00D41492">
            <w:pPr>
              <w:pStyle w:val="TableText"/>
              <w:keepNext/>
              <w:spacing w:before="50" w:after="50"/>
              <w:rPr>
                <w:rFonts w:eastAsia="Arial Bold"/>
              </w:rPr>
            </w:pPr>
            <w:r w:rsidRPr="00261B7A">
              <w:rPr>
                <w:rFonts w:eastAsia="Arial Bold"/>
              </w:rPr>
              <w:t>Harvested wood products</w:t>
            </w:r>
          </w:p>
        </w:tc>
        <w:tc>
          <w:tcPr>
            <w:tcW w:w="3827" w:type="dxa"/>
            <w:shd w:val="clear" w:color="auto" w:fill="auto"/>
            <w:noWrap/>
            <w:hideMark/>
          </w:tcPr>
          <w:p w14:paraId="1678128B" w14:textId="77777777" w:rsidR="0010265C" w:rsidRPr="00261B7A" w:rsidRDefault="0010265C" w:rsidP="00653987">
            <w:pPr>
              <w:pStyle w:val="TableText"/>
              <w:spacing w:before="50" w:after="50"/>
              <w:rPr>
                <w:rFonts w:eastAsia="Arial Bold"/>
              </w:rPr>
            </w:pPr>
            <w:r w:rsidRPr="00261B7A">
              <w:t>± 28.0</w:t>
            </w:r>
          </w:p>
        </w:tc>
      </w:tr>
      <w:tr w:rsidR="0010265C" w:rsidRPr="00261B7A" w14:paraId="3B3114A3" w14:textId="77777777" w:rsidTr="00653987">
        <w:tc>
          <w:tcPr>
            <w:tcW w:w="4678" w:type="dxa"/>
            <w:shd w:val="clear" w:color="auto" w:fill="auto"/>
            <w:noWrap/>
            <w:hideMark/>
          </w:tcPr>
          <w:p w14:paraId="2BEB41BD" w14:textId="77777777" w:rsidR="0010265C" w:rsidRPr="00261B7A" w:rsidRDefault="0010265C" w:rsidP="00D41492">
            <w:pPr>
              <w:pStyle w:val="TableText"/>
              <w:spacing w:before="50" w:after="50"/>
              <w:rPr>
                <w:rFonts w:eastAsia="Arial Bold"/>
              </w:rPr>
            </w:pPr>
            <w:r w:rsidRPr="00261B7A">
              <w:rPr>
                <w:rFonts w:eastAsia="Arial Bold"/>
              </w:rPr>
              <w:t>Post-1989 planted forest</w:t>
            </w:r>
          </w:p>
        </w:tc>
        <w:tc>
          <w:tcPr>
            <w:tcW w:w="3827" w:type="dxa"/>
            <w:shd w:val="clear" w:color="auto" w:fill="auto"/>
            <w:noWrap/>
            <w:hideMark/>
          </w:tcPr>
          <w:p w14:paraId="7B45ADFF" w14:textId="77777777" w:rsidR="0010265C" w:rsidRPr="00261B7A" w:rsidRDefault="0010265C" w:rsidP="00653987">
            <w:pPr>
              <w:pStyle w:val="TableText"/>
              <w:spacing w:before="50" w:after="50"/>
              <w:rPr>
                <w:rFonts w:eastAsia="Arial Bold"/>
              </w:rPr>
            </w:pPr>
            <w:r w:rsidRPr="00261B7A">
              <w:t>± 19.5</w:t>
            </w:r>
          </w:p>
        </w:tc>
      </w:tr>
    </w:tbl>
    <w:p w14:paraId="64F17493" w14:textId="77777777" w:rsidR="0010265C" w:rsidRPr="00261B7A" w:rsidRDefault="0010265C" w:rsidP="0010265C">
      <w:pPr>
        <w:pStyle w:val="BodyText"/>
        <w:spacing w:before="240"/>
      </w:pPr>
      <w:r w:rsidRPr="00261B7A">
        <w:t>The greatest contribution of uncertainty to the LULUCF sector arises from pre-1990 planted forest in the</w:t>
      </w:r>
      <w:r w:rsidRPr="00261B7A">
        <w:rPr>
          <w:i/>
        </w:rPr>
        <w:t xml:space="preserve"> Forest land </w:t>
      </w:r>
      <w:r w:rsidRPr="00261B7A">
        <w:t>category</w:t>
      </w:r>
      <w:r w:rsidRPr="00261B7A">
        <w:rPr>
          <w:i/>
        </w:rPr>
        <w:t>.</w:t>
      </w:r>
      <w:r w:rsidRPr="00261B7A">
        <w:t xml:space="preserve"> The age structure of the pre-1990 planted forest estate results in large removals from growth and large emissions from harvesting. The uncertainty is calculated by combining the uncertainty of both the emissions from harvest and those from forest growth. This results in a high uncertainty relative to the net emissions estimate from both the carbon gains and losses. </w:t>
      </w:r>
    </w:p>
    <w:p w14:paraId="1E12108F" w14:textId="77777777" w:rsidR="0010265C" w:rsidRPr="00261B7A" w:rsidRDefault="0010265C" w:rsidP="0010265C">
      <w:pPr>
        <w:pStyle w:val="BodyText"/>
      </w:pPr>
      <w:r w:rsidRPr="00261B7A">
        <w:rPr>
          <w:i/>
        </w:rPr>
        <w:t>Harvested wood products</w:t>
      </w:r>
      <w:r w:rsidRPr="00261B7A">
        <w:t xml:space="preserve"> provide the second-greatest contribution to uncertainty in the LULUCF sector. This is driven by large removals in the category and relatively high uncertainty associated with the end-use and discard rates of New Zealand wood (±68.2 per cent).</w:t>
      </w:r>
    </w:p>
    <w:p w14:paraId="3611F9AB" w14:textId="77777777" w:rsidR="0010265C" w:rsidRPr="00261B7A" w:rsidRDefault="0010265C" w:rsidP="0010265C">
      <w:pPr>
        <w:pStyle w:val="BodyText"/>
      </w:pPr>
      <w:r w:rsidRPr="00261B7A">
        <w:t>The third-greatest contribution of uncertainty to the LULUCF sector comes from the post-1989 planted forest in the</w:t>
      </w:r>
      <w:r w:rsidRPr="00261B7A">
        <w:rPr>
          <w:i/>
        </w:rPr>
        <w:t xml:space="preserve"> Forest land </w:t>
      </w:r>
      <w:r w:rsidRPr="00261B7A">
        <w:t xml:space="preserve">category. The age structure of the post-1989 planted forest estate also results in large removals from growth and large emissions from harvesting. Because </w:t>
      </w:r>
      <w:r w:rsidRPr="00261B7A">
        <w:rPr>
          <w:spacing w:val="-2"/>
        </w:rPr>
        <w:t>of the</w:t>
      </w:r>
      <w:r w:rsidRPr="00261B7A" w:rsidDel="00F81B1B">
        <w:rPr>
          <w:spacing w:val="-2"/>
        </w:rPr>
        <w:t xml:space="preserve"> </w:t>
      </w:r>
      <w:r w:rsidRPr="00261B7A">
        <w:rPr>
          <w:spacing w:val="-2"/>
        </w:rPr>
        <w:t>uncertainty in these two factors combined with the large scale of emissions and removals i</w:t>
      </w:r>
      <w:r w:rsidRPr="00261B7A">
        <w:t>n this category,</w:t>
      </w:r>
      <w:r w:rsidRPr="00261B7A" w:rsidDel="00F81B1B">
        <w:t xml:space="preserve"> </w:t>
      </w:r>
      <w:r w:rsidRPr="00261B7A">
        <w:t xml:space="preserve">post-1989 planted forest makes a high contribution of uncertainty to the LULUCF sector. </w:t>
      </w:r>
    </w:p>
    <w:p w14:paraId="6AA3E60B" w14:textId="77777777" w:rsidR="0010265C" w:rsidRPr="00261B7A" w:rsidRDefault="0010265C" w:rsidP="0010265C">
      <w:pPr>
        <w:pStyle w:val="BodyText"/>
      </w:pPr>
      <w:r w:rsidRPr="00261B7A">
        <w:t>Further information on uncertainties and the reasons for their relative contributions to the LULUCF sector, as well as details on emission factor and activity data uncertainties for specific land uses and non-CO</w:t>
      </w:r>
      <w:r w:rsidRPr="00261B7A">
        <w:rPr>
          <w:vertAlign w:val="subscript"/>
        </w:rPr>
        <w:t>2</w:t>
      </w:r>
      <w:r w:rsidRPr="00261B7A">
        <w:t xml:space="preserve"> emissions are given within the relevant category sections of this chapter. </w:t>
      </w:r>
    </w:p>
    <w:p w14:paraId="2CBD146E" w14:textId="77777777" w:rsidR="0010265C" w:rsidRPr="00261B7A" w:rsidRDefault="0010265C" w:rsidP="0010265C">
      <w:pPr>
        <w:pStyle w:val="Heading3"/>
      </w:pPr>
      <w:bookmarkStart w:id="1469" w:name="_Toc280630221"/>
      <w:r w:rsidRPr="00261B7A">
        <w:t>6.1.4</w:t>
      </w:r>
      <w:r w:rsidRPr="00261B7A">
        <w:tab/>
        <w:t>Recalculations in LULUCF</w:t>
      </w:r>
      <w:bookmarkEnd w:id="1469"/>
    </w:p>
    <w:p w14:paraId="6CC59108" w14:textId="77777777" w:rsidR="0010265C" w:rsidRPr="00261B7A" w:rsidRDefault="0010265C" w:rsidP="0010265C">
      <w:pPr>
        <w:pStyle w:val="BodyText"/>
      </w:pPr>
      <w:r w:rsidRPr="00261B7A">
        <w:t xml:space="preserve">For the 2023 submission, New Zealand has recalculated its emissions estimates for the LULUCF sector from 1990 to 2020. The recalculations incorporate new activity data from deforestation mapping and updated emission factors. These recalculations have improved the accuracy, consistency and completeness of the LULUCF estimates. </w:t>
      </w:r>
    </w:p>
    <w:p w14:paraId="7259CE46" w14:textId="77777777" w:rsidR="0010265C" w:rsidRPr="00261B7A" w:rsidRDefault="0010265C" w:rsidP="0010265C">
      <w:pPr>
        <w:pStyle w:val="BodyText"/>
      </w:pPr>
      <w:r w:rsidRPr="00261B7A">
        <w:t>As a result of the recalculations, estimates of net emissions in 1990 have increased by 5.0</w:t>
      </w:r>
      <w:r w:rsidRPr="00261B7A" w:rsidDel="00277D68">
        <w:t xml:space="preserve"> </w:t>
      </w:r>
      <w:r w:rsidRPr="00261B7A">
        <w:t xml:space="preserve">per </w:t>
      </w:r>
      <w:r w:rsidRPr="00261B7A">
        <w:rPr>
          <w:spacing w:val="-2"/>
        </w:rPr>
        <w:t>cent, and net emissions in 2020 have increased by 0.3 per cent (see table 6.1.6). The impact of these recalculations on net CO</w:t>
      </w:r>
      <w:r w:rsidRPr="00261B7A">
        <w:rPr>
          <w:spacing w:val="-2"/>
          <w:vertAlign w:val="subscript"/>
        </w:rPr>
        <w:t>2</w:t>
      </w:r>
      <w:r w:rsidRPr="00261B7A">
        <w:rPr>
          <w:spacing w:val="-2"/>
        </w:rPr>
        <w:t>-e emissions in each land use category is provided in table 6.1.7</w:t>
      </w:r>
      <w:r w:rsidRPr="00261B7A">
        <w:t xml:space="preserve">. </w:t>
      </w:r>
    </w:p>
    <w:p w14:paraId="7A4B42B2" w14:textId="77777777" w:rsidR="0010265C" w:rsidRPr="00261B7A" w:rsidRDefault="0010265C" w:rsidP="00E24718">
      <w:pPr>
        <w:pStyle w:val="Table"/>
      </w:pPr>
      <w:bookmarkStart w:id="1470" w:name="_Toc310423397"/>
      <w:bookmarkStart w:id="1471" w:name="_Toc318362690"/>
      <w:bookmarkStart w:id="1472" w:name="_Toc342470752"/>
      <w:bookmarkStart w:id="1473" w:name="_Toc352504992"/>
      <w:bookmarkStart w:id="1474" w:name="_Toc378853278"/>
      <w:bookmarkStart w:id="1475" w:name="_Toc391024076"/>
      <w:bookmarkStart w:id="1476" w:name="_Toc410028819"/>
      <w:bookmarkStart w:id="1477" w:name="_Toc414531447"/>
      <w:bookmarkStart w:id="1478" w:name="_Toc443645360"/>
      <w:bookmarkStart w:id="1479" w:name="_Toc474914579"/>
      <w:bookmarkStart w:id="1480" w:name="_Toc481751543"/>
      <w:bookmarkStart w:id="1481" w:name="_Toc522010600"/>
      <w:bookmarkStart w:id="1482" w:name="_Toc5269505"/>
      <w:bookmarkStart w:id="1483" w:name="_Toc33529381"/>
      <w:bookmarkStart w:id="1484" w:name="_Toc36224587"/>
      <w:bookmarkStart w:id="1485" w:name="_Toc65243582"/>
      <w:bookmarkStart w:id="1486" w:name="_Toc131591386"/>
      <w:r w:rsidRPr="00261B7A">
        <w:t>Table 6.1.6</w:t>
      </w:r>
      <w:r w:rsidRPr="00261B7A">
        <w:tab/>
        <w:t>Recalculations to New Zealand’s total net LULUCF emissions</w:t>
      </w:r>
      <w:bookmarkEnd w:id="1470"/>
      <w:bookmarkEnd w:id="1471"/>
      <w:bookmarkEnd w:id="1472"/>
      <w:bookmarkEnd w:id="1473"/>
      <w:bookmarkEnd w:id="1474"/>
      <w:r w:rsidRPr="00261B7A">
        <w:t xml:space="preserve"> for 1990 and</w:t>
      </w:r>
      <w:bookmarkEnd w:id="1475"/>
      <w:r w:rsidRPr="00261B7A">
        <w:t> </w:t>
      </w:r>
      <w:bookmarkEnd w:id="1476"/>
      <w:bookmarkEnd w:id="1477"/>
      <w:bookmarkEnd w:id="1478"/>
      <w:bookmarkEnd w:id="1479"/>
      <w:bookmarkEnd w:id="1480"/>
      <w:bookmarkEnd w:id="1481"/>
      <w:bookmarkEnd w:id="1482"/>
      <w:bookmarkEnd w:id="1483"/>
      <w:bookmarkEnd w:id="1484"/>
      <w:bookmarkEnd w:id="1485"/>
      <w:r w:rsidRPr="00261B7A">
        <w:t>2020</w:t>
      </w:r>
      <w:bookmarkEnd w:id="1486"/>
    </w:p>
    <w:tbl>
      <w:tblPr>
        <w:tblW w:w="8505" w:type="dxa"/>
        <w:tblBorders>
          <w:top w:val="single" w:sz="4" w:space="0" w:color="1B556B" w:themeColor="text2"/>
          <w:bottom w:val="single" w:sz="4" w:space="0" w:color="1B556B" w:themeColor="text2"/>
          <w:insideH w:val="single" w:sz="4" w:space="0" w:color="1B556B" w:themeColor="text2"/>
        </w:tblBorders>
        <w:tblLook w:val="04A0" w:firstRow="1" w:lastRow="0" w:firstColumn="1" w:lastColumn="0" w:noHBand="0" w:noVBand="1"/>
      </w:tblPr>
      <w:tblGrid>
        <w:gridCol w:w="851"/>
        <w:gridCol w:w="2410"/>
        <w:gridCol w:w="2188"/>
        <w:gridCol w:w="1533"/>
        <w:gridCol w:w="1523"/>
      </w:tblGrid>
      <w:tr w:rsidR="0010265C" w:rsidRPr="00261B7A" w14:paraId="534E5CA8" w14:textId="77777777" w:rsidTr="00653987">
        <w:tc>
          <w:tcPr>
            <w:tcW w:w="851" w:type="dxa"/>
            <w:shd w:val="clear" w:color="auto" w:fill="1B556B" w:themeFill="text2"/>
          </w:tcPr>
          <w:p w14:paraId="344A9CD4" w14:textId="77777777" w:rsidR="0010265C" w:rsidRPr="00261B7A" w:rsidRDefault="0010265C" w:rsidP="00D41492">
            <w:pPr>
              <w:pStyle w:val="TableTextBold"/>
              <w:spacing w:after="0"/>
              <w:rPr>
                <w:noProof w:val="0"/>
                <w:color w:val="FFFFFF"/>
              </w:rPr>
            </w:pPr>
          </w:p>
        </w:tc>
        <w:tc>
          <w:tcPr>
            <w:tcW w:w="4598" w:type="dxa"/>
            <w:gridSpan w:val="2"/>
            <w:shd w:val="clear" w:color="auto" w:fill="1B556B" w:themeFill="text2"/>
          </w:tcPr>
          <w:p w14:paraId="2D6F35BA" w14:textId="77777777" w:rsidR="0010265C" w:rsidRPr="00261B7A" w:rsidRDefault="0010265C" w:rsidP="00D41492">
            <w:pPr>
              <w:pStyle w:val="TableTextBold"/>
              <w:spacing w:after="40"/>
              <w:jc w:val="center"/>
              <w:rPr>
                <w:noProof w:val="0"/>
                <w:color w:val="FFFFFF"/>
              </w:rPr>
            </w:pPr>
            <w:r w:rsidRPr="00261B7A">
              <w:rPr>
                <w:noProof w:val="0"/>
                <w:color w:val="FFFFFF"/>
              </w:rPr>
              <w:t>Reported net emissions</w:t>
            </w:r>
          </w:p>
        </w:tc>
        <w:tc>
          <w:tcPr>
            <w:tcW w:w="3056" w:type="dxa"/>
            <w:gridSpan w:val="2"/>
            <w:shd w:val="clear" w:color="auto" w:fill="1B556B" w:themeFill="text2"/>
          </w:tcPr>
          <w:p w14:paraId="1E6CE9B4" w14:textId="77777777" w:rsidR="0010265C" w:rsidRPr="00261B7A" w:rsidRDefault="0010265C" w:rsidP="00D41492">
            <w:pPr>
              <w:pStyle w:val="TableTextBold"/>
              <w:spacing w:after="0"/>
              <w:jc w:val="center"/>
              <w:rPr>
                <w:noProof w:val="0"/>
                <w:color w:val="FFFFFF"/>
              </w:rPr>
            </w:pPr>
            <w:r w:rsidRPr="00261B7A">
              <w:rPr>
                <w:noProof w:val="0"/>
                <w:color w:val="FFFFFF"/>
              </w:rPr>
              <w:t>Change in estimate</w:t>
            </w:r>
          </w:p>
        </w:tc>
      </w:tr>
      <w:tr w:rsidR="0010265C" w:rsidRPr="00261B7A" w14:paraId="40928EB1" w14:textId="77777777" w:rsidTr="00653987">
        <w:tc>
          <w:tcPr>
            <w:tcW w:w="851" w:type="dxa"/>
            <w:shd w:val="clear" w:color="auto" w:fill="1B556B" w:themeFill="text2"/>
            <w:vAlign w:val="bottom"/>
          </w:tcPr>
          <w:p w14:paraId="004570B4" w14:textId="77777777" w:rsidR="0010265C" w:rsidRPr="00261B7A" w:rsidRDefault="0010265C" w:rsidP="00D41492">
            <w:pPr>
              <w:pStyle w:val="TableTextBold"/>
              <w:spacing w:before="40" w:after="40"/>
              <w:rPr>
                <w:noProof w:val="0"/>
                <w:color w:val="FFFFFF"/>
              </w:rPr>
            </w:pPr>
            <w:r w:rsidRPr="00261B7A">
              <w:rPr>
                <w:noProof w:val="0"/>
                <w:color w:val="FFFFFF"/>
              </w:rPr>
              <w:t>Year</w:t>
            </w:r>
          </w:p>
        </w:tc>
        <w:tc>
          <w:tcPr>
            <w:tcW w:w="2410" w:type="dxa"/>
            <w:shd w:val="clear" w:color="auto" w:fill="1B556B" w:themeFill="text2"/>
            <w:vAlign w:val="bottom"/>
          </w:tcPr>
          <w:p w14:paraId="03014A70" w14:textId="77777777" w:rsidR="0010265C" w:rsidRPr="00261B7A" w:rsidRDefault="0010265C" w:rsidP="00D41492">
            <w:pPr>
              <w:pStyle w:val="TableTextBold"/>
              <w:spacing w:before="40" w:after="40"/>
              <w:jc w:val="center"/>
              <w:rPr>
                <w:noProof w:val="0"/>
                <w:color w:val="FFFFFF"/>
              </w:rPr>
            </w:pPr>
            <w:r w:rsidRPr="00261B7A">
              <w:rPr>
                <w:noProof w:val="0"/>
                <w:color w:val="FFFFFF"/>
              </w:rPr>
              <w:t>2022 submission (kt CO</w:t>
            </w:r>
            <w:r w:rsidRPr="00261B7A">
              <w:rPr>
                <w:noProof w:val="0"/>
                <w:color w:val="FFFFFF"/>
                <w:vertAlign w:val="subscript"/>
              </w:rPr>
              <w:t>2</w:t>
            </w:r>
            <w:r w:rsidRPr="00261B7A">
              <w:rPr>
                <w:noProof w:val="0"/>
                <w:color w:val="FFFFFF"/>
              </w:rPr>
              <w:t>-e)</w:t>
            </w:r>
          </w:p>
        </w:tc>
        <w:tc>
          <w:tcPr>
            <w:tcW w:w="2188" w:type="dxa"/>
            <w:shd w:val="clear" w:color="auto" w:fill="1B556B" w:themeFill="text2"/>
            <w:vAlign w:val="bottom"/>
          </w:tcPr>
          <w:p w14:paraId="63916222" w14:textId="77777777" w:rsidR="0010265C" w:rsidRPr="00261B7A" w:rsidRDefault="0010265C" w:rsidP="00D41492">
            <w:pPr>
              <w:pStyle w:val="TableTextBold"/>
              <w:spacing w:before="40" w:after="40"/>
              <w:jc w:val="center"/>
              <w:rPr>
                <w:noProof w:val="0"/>
                <w:color w:val="FFFFFF"/>
              </w:rPr>
            </w:pPr>
            <w:r w:rsidRPr="00261B7A">
              <w:rPr>
                <w:noProof w:val="0"/>
                <w:color w:val="FFFFFF"/>
              </w:rPr>
              <w:t>2023 submission (kt CO</w:t>
            </w:r>
            <w:r w:rsidRPr="00261B7A">
              <w:rPr>
                <w:noProof w:val="0"/>
                <w:color w:val="FFFFFF"/>
                <w:vertAlign w:val="subscript"/>
              </w:rPr>
              <w:t>2</w:t>
            </w:r>
            <w:r w:rsidRPr="00261B7A">
              <w:rPr>
                <w:noProof w:val="0"/>
                <w:color w:val="FFFFFF"/>
              </w:rPr>
              <w:t>-e)</w:t>
            </w:r>
          </w:p>
        </w:tc>
        <w:tc>
          <w:tcPr>
            <w:tcW w:w="1533" w:type="dxa"/>
            <w:shd w:val="clear" w:color="auto" w:fill="1B556B" w:themeFill="text2"/>
            <w:vAlign w:val="bottom"/>
          </w:tcPr>
          <w:p w14:paraId="5B6EAA73" w14:textId="77777777" w:rsidR="0010265C" w:rsidRPr="00261B7A" w:rsidRDefault="0010265C" w:rsidP="00D41492">
            <w:pPr>
              <w:pStyle w:val="TableTextBold"/>
              <w:spacing w:before="40" w:after="40"/>
              <w:jc w:val="center"/>
              <w:rPr>
                <w:noProof w:val="0"/>
                <w:color w:val="FFFFFF"/>
              </w:rPr>
            </w:pPr>
            <w:r w:rsidRPr="00261B7A">
              <w:rPr>
                <w:noProof w:val="0"/>
                <w:color w:val="FFFFFF"/>
              </w:rPr>
              <w:t>(kt CO</w:t>
            </w:r>
            <w:r w:rsidRPr="00261B7A">
              <w:rPr>
                <w:noProof w:val="0"/>
                <w:color w:val="FFFFFF"/>
                <w:vertAlign w:val="subscript"/>
              </w:rPr>
              <w:t>2</w:t>
            </w:r>
            <w:r w:rsidRPr="00261B7A">
              <w:rPr>
                <w:noProof w:val="0"/>
                <w:color w:val="FFFFFF"/>
              </w:rPr>
              <w:t>-e)</w:t>
            </w:r>
          </w:p>
        </w:tc>
        <w:tc>
          <w:tcPr>
            <w:tcW w:w="1523" w:type="dxa"/>
            <w:shd w:val="clear" w:color="auto" w:fill="1B556B" w:themeFill="text2"/>
            <w:vAlign w:val="bottom"/>
          </w:tcPr>
          <w:p w14:paraId="3F8DDE36" w14:textId="77777777" w:rsidR="0010265C" w:rsidRPr="00261B7A" w:rsidRDefault="0010265C" w:rsidP="00D41492">
            <w:pPr>
              <w:pStyle w:val="TableTextBold"/>
              <w:spacing w:before="40" w:after="40"/>
              <w:jc w:val="center"/>
              <w:rPr>
                <w:noProof w:val="0"/>
                <w:color w:val="FFFFFF"/>
              </w:rPr>
            </w:pPr>
            <w:r w:rsidRPr="00261B7A">
              <w:rPr>
                <w:noProof w:val="0"/>
                <w:color w:val="FFFFFF"/>
              </w:rPr>
              <w:t>(%)</w:t>
            </w:r>
          </w:p>
        </w:tc>
      </w:tr>
      <w:tr w:rsidR="0010265C" w:rsidRPr="00261B7A" w14:paraId="4085D06B" w14:textId="77777777" w:rsidTr="00653987">
        <w:tc>
          <w:tcPr>
            <w:tcW w:w="851" w:type="dxa"/>
          </w:tcPr>
          <w:p w14:paraId="5178E44E" w14:textId="77777777" w:rsidR="0010265C" w:rsidRPr="00261B7A" w:rsidRDefault="0010265C" w:rsidP="00D41492">
            <w:pPr>
              <w:pStyle w:val="TableText"/>
            </w:pPr>
            <w:r w:rsidRPr="00261B7A">
              <w:t>1990</w:t>
            </w:r>
          </w:p>
        </w:tc>
        <w:tc>
          <w:tcPr>
            <w:tcW w:w="2410" w:type="dxa"/>
          </w:tcPr>
          <w:p w14:paraId="25DB7388" w14:textId="77777777" w:rsidR="0010265C" w:rsidRPr="00261B7A" w:rsidRDefault="0010265C" w:rsidP="00D41492">
            <w:pPr>
              <w:pStyle w:val="TableText"/>
              <w:jc w:val="center"/>
            </w:pPr>
            <w:r w:rsidRPr="00261B7A">
              <w:rPr>
                <w:rFonts w:cs="Calibri"/>
                <w:color w:val="000000"/>
                <w:szCs w:val="16"/>
              </w:rPr>
              <w:t>–21,229.2</w:t>
            </w:r>
          </w:p>
        </w:tc>
        <w:tc>
          <w:tcPr>
            <w:tcW w:w="2188" w:type="dxa"/>
          </w:tcPr>
          <w:p w14:paraId="6EEBF129" w14:textId="77777777" w:rsidR="0010265C" w:rsidRPr="00261B7A" w:rsidRDefault="0010265C" w:rsidP="00D41492">
            <w:pPr>
              <w:pStyle w:val="TableText"/>
              <w:jc w:val="center"/>
            </w:pPr>
            <w:r w:rsidRPr="00261B7A">
              <w:rPr>
                <w:rFonts w:cs="Calibri"/>
                <w:color w:val="000000"/>
                <w:szCs w:val="16"/>
              </w:rPr>
              <w:t>–20,171.2</w:t>
            </w:r>
          </w:p>
        </w:tc>
        <w:tc>
          <w:tcPr>
            <w:tcW w:w="1533" w:type="dxa"/>
          </w:tcPr>
          <w:p w14:paraId="6C8F9A0B" w14:textId="77777777" w:rsidR="0010265C" w:rsidRPr="00261B7A" w:rsidRDefault="0010265C" w:rsidP="00D41492">
            <w:pPr>
              <w:pStyle w:val="TableText"/>
              <w:jc w:val="center"/>
            </w:pPr>
            <w:r w:rsidRPr="00261B7A">
              <w:rPr>
                <w:rFonts w:cs="Calibri"/>
                <w:color w:val="000000"/>
                <w:szCs w:val="16"/>
              </w:rPr>
              <w:t>1,058.0</w:t>
            </w:r>
          </w:p>
        </w:tc>
        <w:tc>
          <w:tcPr>
            <w:tcW w:w="1523" w:type="dxa"/>
          </w:tcPr>
          <w:p w14:paraId="5C15846A" w14:textId="77777777" w:rsidR="0010265C" w:rsidRPr="00261B7A" w:rsidRDefault="0010265C" w:rsidP="00D41492">
            <w:pPr>
              <w:pStyle w:val="TableText"/>
              <w:jc w:val="center"/>
            </w:pPr>
            <w:r w:rsidRPr="00261B7A">
              <w:t>5.0</w:t>
            </w:r>
          </w:p>
        </w:tc>
      </w:tr>
      <w:tr w:rsidR="0010265C" w:rsidRPr="00261B7A" w14:paraId="6917D30B" w14:textId="77777777" w:rsidTr="00653987">
        <w:tc>
          <w:tcPr>
            <w:tcW w:w="851" w:type="dxa"/>
          </w:tcPr>
          <w:p w14:paraId="689960A6" w14:textId="77777777" w:rsidR="0010265C" w:rsidRPr="00261B7A" w:rsidRDefault="0010265C" w:rsidP="00D41492">
            <w:pPr>
              <w:pStyle w:val="TableText"/>
            </w:pPr>
            <w:r w:rsidRPr="00261B7A">
              <w:t>2020</w:t>
            </w:r>
          </w:p>
        </w:tc>
        <w:tc>
          <w:tcPr>
            <w:tcW w:w="2410" w:type="dxa"/>
          </w:tcPr>
          <w:p w14:paraId="5F1DC0F4" w14:textId="77777777" w:rsidR="0010265C" w:rsidRPr="00261B7A" w:rsidRDefault="0010265C" w:rsidP="00D41492">
            <w:pPr>
              <w:pStyle w:val="TableText"/>
              <w:jc w:val="center"/>
            </w:pPr>
            <w:r w:rsidRPr="00261B7A">
              <w:rPr>
                <w:rFonts w:cs="Calibri"/>
                <w:color w:val="000000"/>
                <w:szCs w:val="16"/>
              </w:rPr>
              <w:t>–23,313.3</w:t>
            </w:r>
          </w:p>
        </w:tc>
        <w:tc>
          <w:tcPr>
            <w:tcW w:w="2188" w:type="dxa"/>
          </w:tcPr>
          <w:p w14:paraId="13804C20" w14:textId="77777777" w:rsidR="0010265C" w:rsidRPr="00261B7A" w:rsidRDefault="0010265C" w:rsidP="00D41492">
            <w:pPr>
              <w:pStyle w:val="TableText"/>
              <w:jc w:val="center"/>
            </w:pPr>
            <w:r w:rsidRPr="00261B7A">
              <w:rPr>
                <w:rFonts w:cs="Calibri"/>
                <w:color w:val="000000"/>
                <w:szCs w:val="16"/>
              </w:rPr>
              <w:t>–23,242.0</w:t>
            </w:r>
          </w:p>
        </w:tc>
        <w:tc>
          <w:tcPr>
            <w:tcW w:w="1533" w:type="dxa"/>
          </w:tcPr>
          <w:p w14:paraId="3BF5284A" w14:textId="77777777" w:rsidR="0010265C" w:rsidRPr="00261B7A" w:rsidRDefault="0010265C" w:rsidP="00D41492">
            <w:pPr>
              <w:pStyle w:val="TableText"/>
              <w:jc w:val="center"/>
            </w:pPr>
            <w:r w:rsidRPr="00261B7A">
              <w:rPr>
                <w:rFonts w:cs="Calibri"/>
                <w:color w:val="000000"/>
                <w:szCs w:val="16"/>
              </w:rPr>
              <w:t>71.2</w:t>
            </w:r>
          </w:p>
        </w:tc>
        <w:tc>
          <w:tcPr>
            <w:tcW w:w="1523" w:type="dxa"/>
          </w:tcPr>
          <w:p w14:paraId="47176F5B" w14:textId="77777777" w:rsidR="0010265C" w:rsidRPr="00261B7A" w:rsidRDefault="0010265C" w:rsidP="00D41492">
            <w:pPr>
              <w:pStyle w:val="TableText"/>
              <w:jc w:val="center"/>
            </w:pPr>
            <w:r w:rsidRPr="00261B7A">
              <w:t>0.3</w:t>
            </w:r>
          </w:p>
        </w:tc>
      </w:tr>
    </w:tbl>
    <w:p w14:paraId="520836CB" w14:textId="77777777" w:rsidR="0010265C" w:rsidRPr="00261B7A" w:rsidRDefault="0010265C" w:rsidP="00E24718">
      <w:pPr>
        <w:pStyle w:val="Table"/>
      </w:pPr>
      <w:bookmarkStart w:id="1487" w:name="_Toc310423398"/>
      <w:bookmarkStart w:id="1488" w:name="_Toc318362691"/>
      <w:bookmarkStart w:id="1489" w:name="_Toc342470753"/>
      <w:bookmarkStart w:id="1490" w:name="_Toc352504993"/>
      <w:bookmarkStart w:id="1491" w:name="_Toc378853279"/>
      <w:bookmarkStart w:id="1492" w:name="_Toc391024077"/>
      <w:bookmarkStart w:id="1493" w:name="_Toc410028820"/>
      <w:bookmarkStart w:id="1494" w:name="_Toc414531448"/>
      <w:bookmarkStart w:id="1495" w:name="_Toc443645361"/>
      <w:bookmarkStart w:id="1496" w:name="_Toc474914580"/>
      <w:bookmarkStart w:id="1497" w:name="_Toc481751544"/>
      <w:bookmarkStart w:id="1498" w:name="_Toc522010601"/>
      <w:bookmarkStart w:id="1499" w:name="_Toc5269506"/>
      <w:bookmarkStart w:id="1500" w:name="_Toc33529382"/>
      <w:bookmarkStart w:id="1501" w:name="_Toc36224588"/>
      <w:bookmarkStart w:id="1502" w:name="_Toc65243583"/>
      <w:bookmarkStart w:id="1503" w:name="_Toc131591387"/>
      <w:r w:rsidRPr="00261B7A">
        <w:t>Table 6.1.7</w:t>
      </w:r>
      <w:r w:rsidRPr="00261B7A">
        <w:tab/>
        <w:t>Recalculations to New Zealand’s net LULUCF emissions for 1990 and</w:t>
      </w:r>
      <w:bookmarkEnd w:id="1487"/>
      <w:bookmarkEnd w:id="1488"/>
      <w:bookmarkEnd w:id="1489"/>
      <w:bookmarkEnd w:id="1490"/>
      <w:r w:rsidRPr="00261B7A">
        <w:t> </w:t>
      </w:r>
      <w:bookmarkEnd w:id="1491"/>
      <w:bookmarkEnd w:id="1492"/>
      <w:bookmarkEnd w:id="1493"/>
      <w:bookmarkEnd w:id="1494"/>
      <w:r w:rsidRPr="00261B7A">
        <w:t xml:space="preserve">2020 by </w:t>
      </w:r>
      <w:bookmarkEnd w:id="1495"/>
      <w:r w:rsidRPr="00261B7A">
        <w:t>category</w:t>
      </w:r>
      <w:bookmarkEnd w:id="1496"/>
      <w:bookmarkEnd w:id="1497"/>
      <w:bookmarkEnd w:id="1498"/>
      <w:bookmarkEnd w:id="1499"/>
      <w:bookmarkEnd w:id="1500"/>
      <w:bookmarkEnd w:id="1501"/>
      <w:bookmarkEnd w:id="1502"/>
      <w:bookmarkEnd w:id="1503"/>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4A0" w:firstRow="1" w:lastRow="0" w:firstColumn="1" w:lastColumn="0" w:noHBand="0" w:noVBand="1"/>
      </w:tblPr>
      <w:tblGrid>
        <w:gridCol w:w="1873"/>
        <w:gridCol w:w="1136"/>
        <w:gridCol w:w="1137"/>
        <w:gridCol w:w="1149"/>
        <w:gridCol w:w="1130"/>
        <w:gridCol w:w="1026"/>
        <w:gridCol w:w="1054"/>
      </w:tblGrid>
      <w:tr w:rsidR="0010265C" w:rsidRPr="00261B7A" w14:paraId="43F6BC32" w14:textId="77777777" w:rsidTr="00653987">
        <w:trPr>
          <w:trHeight w:val="208"/>
        </w:trPr>
        <w:tc>
          <w:tcPr>
            <w:tcW w:w="1873" w:type="dxa"/>
            <w:vMerge w:val="restart"/>
            <w:tcBorders>
              <w:bottom w:val="nil"/>
            </w:tcBorders>
            <w:shd w:val="clear" w:color="auto" w:fill="1B556B" w:themeFill="text2"/>
            <w:vAlign w:val="bottom"/>
          </w:tcPr>
          <w:p w14:paraId="202AF5DF" w14:textId="77777777" w:rsidR="0010265C" w:rsidRPr="00261B7A" w:rsidRDefault="0010265C" w:rsidP="00D41492">
            <w:pPr>
              <w:pStyle w:val="TableTextBold"/>
              <w:keepNext/>
              <w:spacing w:before="50" w:after="40"/>
              <w:rPr>
                <w:rFonts w:cs="Segoe UI"/>
                <w:noProof w:val="0"/>
                <w:color w:val="FFFFFF"/>
                <w:szCs w:val="16"/>
              </w:rPr>
            </w:pPr>
            <w:r w:rsidRPr="00261B7A">
              <w:rPr>
                <w:rFonts w:cs="Segoe UI"/>
                <w:noProof w:val="0"/>
                <w:color w:val="FFFFFF"/>
                <w:szCs w:val="16"/>
              </w:rPr>
              <w:t>Land use category</w:t>
            </w:r>
          </w:p>
        </w:tc>
        <w:tc>
          <w:tcPr>
            <w:tcW w:w="4552" w:type="dxa"/>
            <w:gridSpan w:val="4"/>
            <w:tcBorders>
              <w:bottom w:val="nil"/>
            </w:tcBorders>
            <w:shd w:val="clear" w:color="auto" w:fill="1B556B" w:themeFill="text2"/>
            <w:noWrap/>
            <w:vAlign w:val="bottom"/>
          </w:tcPr>
          <w:p w14:paraId="2B27239C" w14:textId="77777777" w:rsidR="0010265C" w:rsidRPr="00261B7A" w:rsidRDefault="0010265C" w:rsidP="00D41492">
            <w:pPr>
              <w:pStyle w:val="TableTextBold"/>
              <w:keepNext/>
              <w:spacing w:before="50" w:after="0"/>
              <w:jc w:val="center"/>
              <w:rPr>
                <w:rFonts w:cs="Segoe UI"/>
                <w:noProof w:val="0"/>
                <w:color w:val="FFFFFF"/>
                <w:szCs w:val="16"/>
              </w:rPr>
            </w:pPr>
            <w:r w:rsidRPr="00261B7A">
              <w:rPr>
                <w:rFonts w:cs="Segoe UI"/>
                <w:noProof w:val="0"/>
                <w:color w:val="FFFFFF"/>
                <w:szCs w:val="16"/>
              </w:rPr>
              <w:t>Net emissions (kt CO</w:t>
            </w:r>
            <w:r w:rsidRPr="00261B7A">
              <w:rPr>
                <w:rFonts w:cs="Segoe UI"/>
                <w:noProof w:val="0"/>
                <w:color w:val="FFFFFF"/>
                <w:szCs w:val="16"/>
                <w:vertAlign w:val="subscript"/>
              </w:rPr>
              <w:t>2</w:t>
            </w:r>
            <w:r w:rsidRPr="00261B7A">
              <w:rPr>
                <w:rFonts w:cs="Segoe UI"/>
                <w:noProof w:val="0"/>
                <w:color w:val="FFFFFF"/>
                <w:szCs w:val="16"/>
              </w:rPr>
              <w:t>-e)</w:t>
            </w:r>
          </w:p>
        </w:tc>
        <w:tc>
          <w:tcPr>
            <w:tcW w:w="1026" w:type="dxa"/>
            <w:vMerge w:val="restart"/>
            <w:tcBorders>
              <w:bottom w:val="nil"/>
            </w:tcBorders>
            <w:shd w:val="clear" w:color="auto" w:fill="1B556B" w:themeFill="text2"/>
            <w:vAlign w:val="bottom"/>
          </w:tcPr>
          <w:p w14:paraId="178DE8F9" w14:textId="77777777" w:rsidR="0010265C" w:rsidRPr="00261B7A" w:rsidRDefault="0010265C" w:rsidP="00D41492">
            <w:pPr>
              <w:pStyle w:val="TableTextBold"/>
              <w:keepNext/>
              <w:spacing w:before="50" w:after="40"/>
              <w:jc w:val="right"/>
              <w:rPr>
                <w:rFonts w:cs="Segoe UI"/>
                <w:noProof w:val="0"/>
                <w:color w:val="FFFFFF"/>
                <w:szCs w:val="16"/>
              </w:rPr>
            </w:pPr>
            <w:r w:rsidRPr="00261B7A">
              <w:rPr>
                <w:rFonts w:cs="Segoe UI"/>
                <w:noProof w:val="0"/>
                <w:color w:val="FFFFFF"/>
                <w:szCs w:val="16"/>
              </w:rPr>
              <w:t xml:space="preserve">Change in 1990 </w:t>
            </w:r>
            <w:r w:rsidRPr="00261B7A">
              <w:rPr>
                <w:rFonts w:cs="Segoe UI"/>
                <w:noProof w:val="0"/>
                <w:color w:val="FFFFFF"/>
                <w:szCs w:val="16"/>
              </w:rPr>
              <w:br/>
              <w:t>estimate (%)</w:t>
            </w:r>
          </w:p>
        </w:tc>
        <w:tc>
          <w:tcPr>
            <w:tcW w:w="1054" w:type="dxa"/>
            <w:vMerge w:val="restart"/>
            <w:tcBorders>
              <w:bottom w:val="nil"/>
            </w:tcBorders>
            <w:shd w:val="clear" w:color="auto" w:fill="1B556B" w:themeFill="text2"/>
            <w:vAlign w:val="bottom"/>
          </w:tcPr>
          <w:p w14:paraId="3A2F4F01" w14:textId="77777777" w:rsidR="0010265C" w:rsidRPr="00261B7A" w:rsidRDefault="0010265C" w:rsidP="00D41492">
            <w:pPr>
              <w:pStyle w:val="TableTextBold"/>
              <w:keepNext/>
              <w:spacing w:before="50" w:after="40"/>
              <w:jc w:val="right"/>
              <w:rPr>
                <w:rFonts w:cs="Segoe UI"/>
                <w:noProof w:val="0"/>
                <w:color w:val="FFFFFF"/>
                <w:szCs w:val="16"/>
              </w:rPr>
            </w:pPr>
            <w:r w:rsidRPr="00261B7A">
              <w:rPr>
                <w:rFonts w:cs="Segoe UI"/>
                <w:noProof w:val="0"/>
                <w:color w:val="FFFFFF"/>
                <w:szCs w:val="16"/>
              </w:rPr>
              <w:t>Change in 2020 estimate (%)</w:t>
            </w:r>
          </w:p>
        </w:tc>
      </w:tr>
      <w:tr w:rsidR="0010265C" w:rsidRPr="00261B7A" w14:paraId="206B52DA" w14:textId="77777777" w:rsidTr="00653987">
        <w:trPr>
          <w:trHeight w:val="556"/>
        </w:trPr>
        <w:tc>
          <w:tcPr>
            <w:tcW w:w="1873" w:type="dxa"/>
            <w:vMerge/>
            <w:noWrap/>
            <w:vAlign w:val="bottom"/>
          </w:tcPr>
          <w:p w14:paraId="6B9E940B" w14:textId="77777777" w:rsidR="0010265C" w:rsidRPr="00261B7A" w:rsidRDefault="0010265C" w:rsidP="00D41492">
            <w:pPr>
              <w:pStyle w:val="TableTextBold"/>
              <w:keepNext/>
              <w:spacing w:before="50" w:after="40"/>
              <w:rPr>
                <w:rFonts w:eastAsia="Arial Bold" w:cs="Segoe UI"/>
                <w:noProof w:val="0"/>
                <w:color w:val="FFFFFF"/>
                <w:szCs w:val="16"/>
              </w:rPr>
            </w:pPr>
          </w:p>
        </w:tc>
        <w:tc>
          <w:tcPr>
            <w:tcW w:w="1136" w:type="dxa"/>
            <w:tcBorders>
              <w:top w:val="nil"/>
              <w:bottom w:val="single" w:sz="4" w:space="0" w:color="1B556B" w:themeColor="text2"/>
            </w:tcBorders>
            <w:shd w:val="clear" w:color="auto" w:fill="1B556B" w:themeFill="text2"/>
            <w:vAlign w:val="bottom"/>
          </w:tcPr>
          <w:p w14:paraId="3DA24795" w14:textId="77777777" w:rsidR="0010265C" w:rsidRPr="00261B7A" w:rsidRDefault="0010265C" w:rsidP="00D41492">
            <w:pPr>
              <w:pStyle w:val="TableTextBold"/>
              <w:keepNext/>
              <w:spacing w:before="50" w:after="40"/>
              <w:jc w:val="right"/>
              <w:rPr>
                <w:rFonts w:cs="Segoe UI"/>
                <w:noProof w:val="0"/>
                <w:color w:val="FFFFFF"/>
                <w:szCs w:val="16"/>
              </w:rPr>
            </w:pPr>
            <w:r w:rsidRPr="00261B7A">
              <w:rPr>
                <w:rFonts w:cs="Segoe UI"/>
                <w:noProof w:val="0"/>
                <w:color w:val="FFFFFF"/>
                <w:szCs w:val="16"/>
              </w:rPr>
              <w:t>2022 submission:</w:t>
            </w:r>
            <w:r w:rsidRPr="00261B7A">
              <w:rPr>
                <w:rFonts w:cs="Segoe UI"/>
                <w:noProof w:val="0"/>
                <w:color w:val="FFFFFF"/>
                <w:szCs w:val="16"/>
              </w:rPr>
              <w:br/>
              <w:t>1990 estimate</w:t>
            </w:r>
          </w:p>
        </w:tc>
        <w:tc>
          <w:tcPr>
            <w:tcW w:w="1137" w:type="dxa"/>
            <w:tcBorders>
              <w:top w:val="nil"/>
              <w:bottom w:val="single" w:sz="4" w:space="0" w:color="1B556B" w:themeColor="text2"/>
            </w:tcBorders>
            <w:shd w:val="clear" w:color="auto" w:fill="1B556B" w:themeFill="text2"/>
            <w:vAlign w:val="bottom"/>
          </w:tcPr>
          <w:p w14:paraId="15A0F407" w14:textId="77777777" w:rsidR="0010265C" w:rsidRPr="00261B7A" w:rsidRDefault="0010265C" w:rsidP="00D41492">
            <w:pPr>
              <w:pStyle w:val="TableTextBold"/>
              <w:keepNext/>
              <w:spacing w:before="50" w:after="40"/>
              <w:jc w:val="right"/>
              <w:rPr>
                <w:rFonts w:cs="Segoe UI"/>
                <w:noProof w:val="0"/>
                <w:color w:val="FFFFFF"/>
                <w:szCs w:val="16"/>
              </w:rPr>
            </w:pPr>
            <w:r w:rsidRPr="00261B7A">
              <w:rPr>
                <w:rFonts w:cs="Segoe UI"/>
                <w:noProof w:val="0"/>
                <w:color w:val="FFFFFF"/>
                <w:szCs w:val="16"/>
              </w:rPr>
              <w:t xml:space="preserve">2023 submission: </w:t>
            </w:r>
            <w:r w:rsidRPr="00261B7A">
              <w:rPr>
                <w:rFonts w:cs="Segoe UI"/>
                <w:noProof w:val="0"/>
                <w:color w:val="FFFFFF"/>
                <w:szCs w:val="16"/>
              </w:rPr>
              <w:br/>
              <w:t>1990 estimate</w:t>
            </w:r>
          </w:p>
        </w:tc>
        <w:tc>
          <w:tcPr>
            <w:tcW w:w="1149" w:type="dxa"/>
            <w:tcBorders>
              <w:top w:val="nil"/>
              <w:bottom w:val="single" w:sz="4" w:space="0" w:color="1B556B" w:themeColor="text2"/>
            </w:tcBorders>
            <w:shd w:val="clear" w:color="auto" w:fill="1B556B" w:themeFill="text2"/>
            <w:vAlign w:val="bottom"/>
          </w:tcPr>
          <w:p w14:paraId="5ABE5C4D" w14:textId="77777777" w:rsidR="0010265C" w:rsidRPr="00261B7A" w:rsidRDefault="0010265C" w:rsidP="00D41492">
            <w:pPr>
              <w:pStyle w:val="TableTextBold"/>
              <w:keepNext/>
              <w:spacing w:before="50" w:after="40"/>
              <w:jc w:val="right"/>
              <w:rPr>
                <w:rFonts w:cs="Segoe UI"/>
                <w:noProof w:val="0"/>
                <w:color w:val="FFFFFF"/>
                <w:szCs w:val="16"/>
              </w:rPr>
            </w:pPr>
            <w:r w:rsidRPr="00261B7A">
              <w:rPr>
                <w:rFonts w:cs="Segoe UI"/>
                <w:noProof w:val="0"/>
                <w:color w:val="FFFFFF"/>
                <w:szCs w:val="16"/>
              </w:rPr>
              <w:t>2022 submission:</w:t>
            </w:r>
            <w:r w:rsidRPr="00261B7A">
              <w:rPr>
                <w:rFonts w:cs="Segoe UI"/>
                <w:noProof w:val="0"/>
                <w:color w:val="FFFFFF"/>
                <w:szCs w:val="16"/>
              </w:rPr>
              <w:br/>
              <w:t>2020 estimate</w:t>
            </w:r>
          </w:p>
        </w:tc>
        <w:tc>
          <w:tcPr>
            <w:tcW w:w="1130" w:type="dxa"/>
            <w:tcBorders>
              <w:top w:val="nil"/>
              <w:bottom w:val="single" w:sz="4" w:space="0" w:color="1B556B" w:themeColor="text2"/>
            </w:tcBorders>
            <w:shd w:val="clear" w:color="auto" w:fill="1B556B" w:themeFill="text2"/>
            <w:vAlign w:val="bottom"/>
          </w:tcPr>
          <w:p w14:paraId="53E7D2CF" w14:textId="77777777" w:rsidR="0010265C" w:rsidRPr="00261B7A" w:rsidRDefault="0010265C" w:rsidP="00D41492">
            <w:pPr>
              <w:pStyle w:val="TableTextBold"/>
              <w:keepNext/>
              <w:spacing w:before="50" w:after="40"/>
              <w:jc w:val="right"/>
              <w:rPr>
                <w:rFonts w:cs="Segoe UI"/>
                <w:noProof w:val="0"/>
                <w:color w:val="FFFFFF"/>
                <w:szCs w:val="16"/>
              </w:rPr>
            </w:pPr>
            <w:r w:rsidRPr="00261B7A">
              <w:rPr>
                <w:rFonts w:cs="Segoe UI"/>
                <w:noProof w:val="0"/>
                <w:color w:val="FFFFFF"/>
                <w:szCs w:val="16"/>
              </w:rPr>
              <w:t xml:space="preserve">2023 submission: </w:t>
            </w:r>
            <w:r w:rsidRPr="00261B7A">
              <w:rPr>
                <w:rFonts w:cs="Segoe UI"/>
                <w:noProof w:val="0"/>
                <w:color w:val="FFFFFF"/>
                <w:szCs w:val="16"/>
              </w:rPr>
              <w:br/>
              <w:t>2020 estimate</w:t>
            </w:r>
          </w:p>
        </w:tc>
        <w:tc>
          <w:tcPr>
            <w:tcW w:w="1026" w:type="dxa"/>
            <w:vMerge/>
            <w:noWrap/>
            <w:vAlign w:val="bottom"/>
          </w:tcPr>
          <w:p w14:paraId="7F8F2B0F" w14:textId="77777777" w:rsidR="0010265C" w:rsidRPr="00261B7A" w:rsidRDefault="0010265C" w:rsidP="00D41492">
            <w:pPr>
              <w:pStyle w:val="TableTextBold"/>
              <w:keepNext/>
              <w:spacing w:before="50" w:after="40"/>
              <w:jc w:val="right"/>
              <w:rPr>
                <w:rFonts w:eastAsia="Arial Bold" w:cs="Segoe UI"/>
                <w:noProof w:val="0"/>
                <w:color w:val="FFFFFF"/>
                <w:szCs w:val="16"/>
              </w:rPr>
            </w:pPr>
          </w:p>
        </w:tc>
        <w:tc>
          <w:tcPr>
            <w:tcW w:w="1054" w:type="dxa"/>
            <w:vMerge/>
            <w:noWrap/>
            <w:vAlign w:val="bottom"/>
          </w:tcPr>
          <w:p w14:paraId="3273D2D0" w14:textId="77777777" w:rsidR="0010265C" w:rsidRPr="00261B7A" w:rsidRDefault="0010265C" w:rsidP="00D41492">
            <w:pPr>
              <w:pStyle w:val="TableTextBold"/>
              <w:keepNext/>
              <w:spacing w:before="50" w:after="40"/>
              <w:jc w:val="right"/>
              <w:rPr>
                <w:rFonts w:eastAsia="Arial Bold" w:cs="Segoe UI"/>
                <w:noProof w:val="0"/>
                <w:color w:val="FFFFFF"/>
                <w:szCs w:val="16"/>
              </w:rPr>
            </w:pPr>
          </w:p>
        </w:tc>
      </w:tr>
      <w:tr w:rsidR="0010265C" w:rsidRPr="00261B7A" w14:paraId="5106E70D" w14:textId="77777777" w:rsidTr="00653987">
        <w:trPr>
          <w:trHeight w:val="252"/>
        </w:trPr>
        <w:tc>
          <w:tcPr>
            <w:tcW w:w="1873" w:type="dxa"/>
            <w:tcBorders>
              <w:top w:val="single" w:sz="4" w:space="0" w:color="1B556B" w:themeColor="text2"/>
            </w:tcBorders>
            <w:shd w:val="clear" w:color="auto" w:fill="auto"/>
          </w:tcPr>
          <w:p w14:paraId="50562E24" w14:textId="77777777" w:rsidR="0010265C" w:rsidRPr="00261B7A" w:rsidRDefault="0010265C" w:rsidP="00D41492">
            <w:pPr>
              <w:pStyle w:val="TableText"/>
              <w:keepNext/>
              <w:spacing w:before="40" w:after="40"/>
              <w:rPr>
                <w:rFonts w:eastAsia="Arial Bold" w:cs="Segoe UI"/>
                <w:szCs w:val="16"/>
              </w:rPr>
            </w:pPr>
            <w:r w:rsidRPr="00261B7A">
              <w:rPr>
                <w:rFonts w:eastAsia="Arial Bold" w:cs="Segoe UI"/>
                <w:szCs w:val="16"/>
              </w:rPr>
              <w:t>Forest land</w:t>
            </w:r>
          </w:p>
        </w:tc>
        <w:tc>
          <w:tcPr>
            <w:tcW w:w="1136" w:type="dxa"/>
            <w:tcBorders>
              <w:top w:val="single" w:sz="4" w:space="0" w:color="1B556B" w:themeColor="text2"/>
            </w:tcBorders>
            <w:shd w:val="clear" w:color="auto" w:fill="auto"/>
            <w:vAlign w:val="bottom"/>
          </w:tcPr>
          <w:p w14:paraId="1534F6B8"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–20,068.3 </w:t>
            </w:r>
          </w:p>
        </w:tc>
        <w:tc>
          <w:tcPr>
            <w:tcW w:w="1137" w:type="dxa"/>
            <w:tcBorders>
              <w:top w:val="single" w:sz="4" w:space="0" w:color="1B556B" w:themeColor="text2"/>
            </w:tcBorders>
            <w:shd w:val="clear" w:color="auto" w:fill="auto"/>
            <w:vAlign w:val="bottom"/>
          </w:tcPr>
          <w:p w14:paraId="2BE9A9F1"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–19,045.2 </w:t>
            </w:r>
          </w:p>
        </w:tc>
        <w:tc>
          <w:tcPr>
            <w:tcW w:w="1149" w:type="dxa"/>
            <w:tcBorders>
              <w:top w:val="single" w:sz="4" w:space="0" w:color="1B556B" w:themeColor="text2"/>
            </w:tcBorders>
            <w:shd w:val="clear" w:color="auto" w:fill="auto"/>
            <w:vAlign w:val="bottom"/>
          </w:tcPr>
          <w:p w14:paraId="3E2945C3"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–19,704.7 </w:t>
            </w:r>
          </w:p>
        </w:tc>
        <w:tc>
          <w:tcPr>
            <w:tcW w:w="1130" w:type="dxa"/>
            <w:tcBorders>
              <w:top w:val="single" w:sz="4" w:space="0" w:color="1B556B" w:themeColor="text2"/>
            </w:tcBorders>
            <w:shd w:val="clear" w:color="auto" w:fill="auto"/>
            <w:vAlign w:val="bottom"/>
          </w:tcPr>
          <w:p w14:paraId="5066210E"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–20,661.7 </w:t>
            </w:r>
          </w:p>
        </w:tc>
        <w:tc>
          <w:tcPr>
            <w:tcW w:w="1026" w:type="dxa"/>
            <w:tcBorders>
              <w:top w:val="single" w:sz="4" w:space="0" w:color="1B556B" w:themeColor="text2"/>
            </w:tcBorders>
            <w:shd w:val="clear" w:color="auto" w:fill="auto"/>
          </w:tcPr>
          <w:p w14:paraId="790F0068"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5.1</w:t>
            </w:r>
          </w:p>
        </w:tc>
        <w:tc>
          <w:tcPr>
            <w:tcW w:w="1054" w:type="dxa"/>
            <w:tcBorders>
              <w:top w:val="single" w:sz="4" w:space="0" w:color="1B556B" w:themeColor="text2"/>
            </w:tcBorders>
            <w:shd w:val="clear" w:color="auto" w:fill="auto"/>
          </w:tcPr>
          <w:p w14:paraId="4F8F8C51"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–4.9</w:t>
            </w:r>
          </w:p>
        </w:tc>
      </w:tr>
      <w:tr w:rsidR="0010265C" w:rsidRPr="00261B7A" w14:paraId="4EA0C6C5" w14:textId="77777777" w:rsidTr="00653987">
        <w:trPr>
          <w:trHeight w:val="240"/>
        </w:trPr>
        <w:tc>
          <w:tcPr>
            <w:tcW w:w="1873" w:type="dxa"/>
            <w:shd w:val="clear" w:color="auto" w:fill="auto"/>
          </w:tcPr>
          <w:p w14:paraId="10DABF95" w14:textId="77777777" w:rsidR="0010265C" w:rsidRPr="00261B7A" w:rsidRDefault="0010265C" w:rsidP="00D41492">
            <w:pPr>
              <w:pStyle w:val="TableText"/>
              <w:keepNext/>
              <w:spacing w:before="40" w:after="40"/>
              <w:rPr>
                <w:rFonts w:eastAsia="Arial Bold" w:cs="Segoe UI"/>
                <w:szCs w:val="16"/>
              </w:rPr>
            </w:pPr>
            <w:r w:rsidRPr="00261B7A">
              <w:rPr>
                <w:rFonts w:eastAsia="Arial Bold" w:cs="Segoe UI"/>
                <w:szCs w:val="16"/>
              </w:rPr>
              <w:t>Cropland</w:t>
            </w:r>
          </w:p>
        </w:tc>
        <w:tc>
          <w:tcPr>
            <w:tcW w:w="1136" w:type="dxa"/>
            <w:shd w:val="clear" w:color="auto" w:fill="auto"/>
            <w:vAlign w:val="bottom"/>
          </w:tcPr>
          <w:p w14:paraId="32F47326"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476.2 </w:t>
            </w:r>
          </w:p>
        </w:tc>
        <w:tc>
          <w:tcPr>
            <w:tcW w:w="1137" w:type="dxa"/>
            <w:shd w:val="clear" w:color="auto" w:fill="auto"/>
            <w:vAlign w:val="bottom"/>
          </w:tcPr>
          <w:p w14:paraId="66F23F3C"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476.5 </w:t>
            </w:r>
          </w:p>
        </w:tc>
        <w:tc>
          <w:tcPr>
            <w:tcW w:w="1149" w:type="dxa"/>
            <w:shd w:val="clear" w:color="auto" w:fill="auto"/>
            <w:vAlign w:val="bottom"/>
          </w:tcPr>
          <w:p w14:paraId="7670D71B"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382.3 </w:t>
            </w:r>
          </w:p>
        </w:tc>
        <w:tc>
          <w:tcPr>
            <w:tcW w:w="1130" w:type="dxa"/>
            <w:shd w:val="clear" w:color="auto" w:fill="auto"/>
            <w:vAlign w:val="bottom"/>
          </w:tcPr>
          <w:p w14:paraId="61F91FBE"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382.8 </w:t>
            </w:r>
          </w:p>
        </w:tc>
        <w:tc>
          <w:tcPr>
            <w:tcW w:w="1026" w:type="dxa"/>
            <w:shd w:val="clear" w:color="auto" w:fill="auto"/>
          </w:tcPr>
          <w:p w14:paraId="2D439C75"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0.1</w:t>
            </w:r>
          </w:p>
        </w:tc>
        <w:tc>
          <w:tcPr>
            <w:tcW w:w="1054" w:type="dxa"/>
            <w:shd w:val="clear" w:color="auto" w:fill="auto"/>
          </w:tcPr>
          <w:p w14:paraId="15D60594"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0.1</w:t>
            </w:r>
          </w:p>
        </w:tc>
      </w:tr>
      <w:tr w:rsidR="0010265C" w:rsidRPr="00261B7A" w14:paraId="11BCD0C3" w14:textId="77777777" w:rsidTr="00653987">
        <w:trPr>
          <w:trHeight w:val="240"/>
        </w:trPr>
        <w:tc>
          <w:tcPr>
            <w:tcW w:w="1873" w:type="dxa"/>
            <w:shd w:val="clear" w:color="auto" w:fill="auto"/>
          </w:tcPr>
          <w:p w14:paraId="08F662C4" w14:textId="77777777" w:rsidR="0010265C" w:rsidRPr="00261B7A" w:rsidRDefault="0010265C" w:rsidP="00D41492">
            <w:pPr>
              <w:pStyle w:val="TableText"/>
              <w:spacing w:before="40" w:after="40"/>
              <w:rPr>
                <w:rFonts w:eastAsia="Arial Bold" w:cs="Segoe UI"/>
                <w:szCs w:val="16"/>
              </w:rPr>
            </w:pPr>
            <w:r w:rsidRPr="00261B7A">
              <w:rPr>
                <w:rFonts w:eastAsia="Arial Bold" w:cs="Segoe UI"/>
                <w:szCs w:val="16"/>
              </w:rPr>
              <w:t>Grassland</w:t>
            </w:r>
          </w:p>
        </w:tc>
        <w:tc>
          <w:tcPr>
            <w:tcW w:w="1136" w:type="dxa"/>
            <w:shd w:val="clear" w:color="auto" w:fill="auto"/>
            <w:vAlign w:val="bottom"/>
          </w:tcPr>
          <w:p w14:paraId="6F379B98"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724.7 </w:t>
            </w:r>
          </w:p>
        </w:tc>
        <w:tc>
          <w:tcPr>
            <w:tcW w:w="1137" w:type="dxa"/>
            <w:shd w:val="clear" w:color="auto" w:fill="auto"/>
            <w:vAlign w:val="bottom"/>
          </w:tcPr>
          <w:p w14:paraId="4358FE5F"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756.8 </w:t>
            </w:r>
          </w:p>
        </w:tc>
        <w:tc>
          <w:tcPr>
            <w:tcW w:w="1149" w:type="dxa"/>
            <w:shd w:val="clear" w:color="auto" w:fill="auto"/>
            <w:vAlign w:val="bottom"/>
          </w:tcPr>
          <w:p w14:paraId="48234892"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2,570.2 </w:t>
            </w:r>
          </w:p>
        </w:tc>
        <w:tc>
          <w:tcPr>
            <w:tcW w:w="1130" w:type="dxa"/>
            <w:shd w:val="clear" w:color="auto" w:fill="auto"/>
            <w:vAlign w:val="bottom"/>
          </w:tcPr>
          <w:p w14:paraId="0CA3DC83"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3,628.1 </w:t>
            </w:r>
          </w:p>
        </w:tc>
        <w:tc>
          <w:tcPr>
            <w:tcW w:w="1026" w:type="dxa"/>
            <w:shd w:val="clear" w:color="auto" w:fill="auto"/>
          </w:tcPr>
          <w:p w14:paraId="054F4E68"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4.4</w:t>
            </w:r>
          </w:p>
        </w:tc>
        <w:tc>
          <w:tcPr>
            <w:tcW w:w="1054" w:type="dxa"/>
            <w:shd w:val="clear" w:color="auto" w:fill="auto"/>
          </w:tcPr>
          <w:p w14:paraId="4E7FA3D4"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41.2</w:t>
            </w:r>
          </w:p>
        </w:tc>
      </w:tr>
      <w:tr w:rsidR="0010265C" w:rsidRPr="00261B7A" w14:paraId="4FB400E7" w14:textId="77777777" w:rsidTr="00653987">
        <w:trPr>
          <w:trHeight w:val="252"/>
        </w:trPr>
        <w:tc>
          <w:tcPr>
            <w:tcW w:w="1873" w:type="dxa"/>
            <w:shd w:val="clear" w:color="auto" w:fill="auto"/>
          </w:tcPr>
          <w:p w14:paraId="13A18D07" w14:textId="77777777" w:rsidR="0010265C" w:rsidRPr="00261B7A" w:rsidRDefault="0010265C" w:rsidP="00D41492">
            <w:pPr>
              <w:pStyle w:val="TableText"/>
              <w:spacing w:before="40" w:after="40"/>
              <w:rPr>
                <w:rFonts w:eastAsia="Arial Bold" w:cs="Segoe UI"/>
                <w:szCs w:val="16"/>
              </w:rPr>
            </w:pPr>
            <w:r w:rsidRPr="00261B7A">
              <w:rPr>
                <w:rFonts w:eastAsia="Arial Bold" w:cs="Segoe UI"/>
                <w:szCs w:val="16"/>
              </w:rPr>
              <w:t>Wetlands</w:t>
            </w:r>
          </w:p>
        </w:tc>
        <w:tc>
          <w:tcPr>
            <w:tcW w:w="1136" w:type="dxa"/>
            <w:shd w:val="clear" w:color="auto" w:fill="auto"/>
            <w:vAlign w:val="bottom"/>
          </w:tcPr>
          <w:p w14:paraId="37AC0442"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–10.5 </w:t>
            </w:r>
          </w:p>
        </w:tc>
        <w:tc>
          <w:tcPr>
            <w:tcW w:w="1137" w:type="dxa"/>
            <w:shd w:val="clear" w:color="auto" w:fill="auto"/>
            <w:noWrap/>
            <w:vAlign w:val="bottom"/>
          </w:tcPr>
          <w:p w14:paraId="5D2C3317"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–8.4 </w:t>
            </w:r>
          </w:p>
        </w:tc>
        <w:tc>
          <w:tcPr>
            <w:tcW w:w="1149" w:type="dxa"/>
            <w:shd w:val="clear" w:color="auto" w:fill="auto"/>
            <w:noWrap/>
            <w:vAlign w:val="bottom"/>
          </w:tcPr>
          <w:p w14:paraId="03B0CE67"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13.4 </w:t>
            </w:r>
          </w:p>
        </w:tc>
        <w:tc>
          <w:tcPr>
            <w:tcW w:w="1130" w:type="dxa"/>
            <w:shd w:val="clear" w:color="auto" w:fill="auto"/>
            <w:vAlign w:val="bottom"/>
          </w:tcPr>
          <w:p w14:paraId="30EAFF1D"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11.2 </w:t>
            </w:r>
          </w:p>
        </w:tc>
        <w:tc>
          <w:tcPr>
            <w:tcW w:w="1026" w:type="dxa"/>
            <w:shd w:val="clear" w:color="auto" w:fill="auto"/>
          </w:tcPr>
          <w:p w14:paraId="4249D021"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19.4</w:t>
            </w:r>
          </w:p>
        </w:tc>
        <w:tc>
          <w:tcPr>
            <w:tcW w:w="1054" w:type="dxa"/>
            <w:shd w:val="clear" w:color="auto" w:fill="auto"/>
          </w:tcPr>
          <w:p w14:paraId="24C25E9A"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–15.9</w:t>
            </w:r>
          </w:p>
        </w:tc>
      </w:tr>
      <w:tr w:rsidR="0010265C" w:rsidRPr="00261B7A" w14:paraId="3B6B98C8" w14:textId="77777777" w:rsidTr="00653987">
        <w:trPr>
          <w:trHeight w:val="240"/>
        </w:trPr>
        <w:tc>
          <w:tcPr>
            <w:tcW w:w="1873" w:type="dxa"/>
            <w:shd w:val="clear" w:color="auto" w:fill="auto"/>
          </w:tcPr>
          <w:p w14:paraId="47937848" w14:textId="77777777" w:rsidR="0010265C" w:rsidRPr="00261B7A" w:rsidRDefault="0010265C" w:rsidP="00D41492">
            <w:pPr>
              <w:pStyle w:val="TableText"/>
              <w:spacing w:before="40" w:after="40"/>
              <w:rPr>
                <w:rFonts w:eastAsia="Arial Bold" w:cs="Segoe UI"/>
                <w:szCs w:val="16"/>
              </w:rPr>
            </w:pPr>
            <w:r w:rsidRPr="00261B7A">
              <w:rPr>
                <w:rFonts w:eastAsia="Arial Bold" w:cs="Segoe UI"/>
                <w:szCs w:val="16"/>
              </w:rPr>
              <w:t>Settlements</w:t>
            </w:r>
          </w:p>
        </w:tc>
        <w:tc>
          <w:tcPr>
            <w:tcW w:w="1136" w:type="dxa"/>
            <w:shd w:val="clear" w:color="auto" w:fill="auto"/>
            <w:vAlign w:val="bottom"/>
          </w:tcPr>
          <w:p w14:paraId="7F7A3E3D"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75.4 </w:t>
            </w:r>
          </w:p>
        </w:tc>
        <w:tc>
          <w:tcPr>
            <w:tcW w:w="1137" w:type="dxa"/>
            <w:shd w:val="clear" w:color="auto" w:fill="auto"/>
            <w:vAlign w:val="bottom"/>
          </w:tcPr>
          <w:p w14:paraId="0FB2B36F"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75.7 </w:t>
            </w:r>
          </w:p>
        </w:tc>
        <w:tc>
          <w:tcPr>
            <w:tcW w:w="1149" w:type="dxa"/>
            <w:shd w:val="clear" w:color="auto" w:fill="auto"/>
            <w:vAlign w:val="bottom"/>
          </w:tcPr>
          <w:p w14:paraId="559A53CF"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124.1 </w:t>
            </w:r>
          </w:p>
        </w:tc>
        <w:tc>
          <w:tcPr>
            <w:tcW w:w="1130" w:type="dxa"/>
            <w:shd w:val="clear" w:color="auto" w:fill="auto"/>
            <w:vAlign w:val="bottom"/>
          </w:tcPr>
          <w:p w14:paraId="1C8E05AB"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121.7 </w:t>
            </w:r>
          </w:p>
        </w:tc>
        <w:tc>
          <w:tcPr>
            <w:tcW w:w="1026" w:type="dxa"/>
            <w:shd w:val="clear" w:color="auto" w:fill="auto"/>
          </w:tcPr>
          <w:p w14:paraId="0F7C1FF4"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0.3</w:t>
            </w:r>
          </w:p>
        </w:tc>
        <w:tc>
          <w:tcPr>
            <w:tcW w:w="1054" w:type="dxa"/>
            <w:shd w:val="clear" w:color="auto" w:fill="auto"/>
          </w:tcPr>
          <w:p w14:paraId="27E29B46"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–1.9</w:t>
            </w:r>
          </w:p>
        </w:tc>
      </w:tr>
      <w:tr w:rsidR="0010265C" w:rsidRPr="00261B7A" w14:paraId="28B3FA36" w14:textId="77777777" w:rsidTr="00653987">
        <w:trPr>
          <w:trHeight w:val="240"/>
        </w:trPr>
        <w:tc>
          <w:tcPr>
            <w:tcW w:w="1873" w:type="dxa"/>
            <w:shd w:val="clear" w:color="auto" w:fill="auto"/>
          </w:tcPr>
          <w:p w14:paraId="29D10E05" w14:textId="77777777" w:rsidR="0010265C" w:rsidRPr="00261B7A" w:rsidRDefault="0010265C" w:rsidP="00D41492">
            <w:pPr>
              <w:pStyle w:val="TableText"/>
              <w:spacing w:before="40" w:after="40"/>
              <w:rPr>
                <w:rFonts w:eastAsia="Arial Bold" w:cs="Segoe UI"/>
                <w:szCs w:val="16"/>
              </w:rPr>
            </w:pPr>
            <w:r w:rsidRPr="00261B7A">
              <w:rPr>
                <w:rFonts w:eastAsia="Arial Bold" w:cs="Segoe UI"/>
                <w:szCs w:val="16"/>
              </w:rPr>
              <w:t>Other land</w:t>
            </w:r>
          </w:p>
        </w:tc>
        <w:tc>
          <w:tcPr>
            <w:tcW w:w="1136" w:type="dxa"/>
            <w:shd w:val="clear" w:color="auto" w:fill="auto"/>
            <w:noWrap/>
            <w:vAlign w:val="bottom"/>
          </w:tcPr>
          <w:p w14:paraId="541395BB"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13.6 </w:t>
            </w:r>
          </w:p>
        </w:tc>
        <w:tc>
          <w:tcPr>
            <w:tcW w:w="1137" w:type="dxa"/>
            <w:shd w:val="clear" w:color="auto" w:fill="auto"/>
            <w:vAlign w:val="bottom"/>
          </w:tcPr>
          <w:p w14:paraId="0E63FE74"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13.8 </w:t>
            </w:r>
          </w:p>
        </w:tc>
        <w:tc>
          <w:tcPr>
            <w:tcW w:w="1149" w:type="dxa"/>
            <w:shd w:val="clear" w:color="auto" w:fill="auto"/>
            <w:vAlign w:val="bottom"/>
          </w:tcPr>
          <w:p w14:paraId="2D25619D"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118.4 </w:t>
            </w:r>
          </w:p>
        </w:tc>
        <w:tc>
          <w:tcPr>
            <w:tcW w:w="1130" w:type="dxa"/>
            <w:shd w:val="clear" w:color="auto" w:fill="auto"/>
            <w:vAlign w:val="bottom"/>
          </w:tcPr>
          <w:p w14:paraId="0E1E83BA"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92.7 </w:t>
            </w:r>
          </w:p>
        </w:tc>
        <w:tc>
          <w:tcPr>
            <w:tcW w:w="1026" w:type="dxa"/>
            <w:shd w:val="clear" w:color="auto" w:fill="auto"/>
          </w:tcPr>
          <w:p w14:paraId="43B0392F"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1.2</w:t>
            </w:r>
          </w:p>
        </w:tc>
        <w:tc>
          <w:tcPr>
            <w:tcW w:w="1054" w:type="dxa"/>
            <w:shd w:val="clear" w:color="auto" w:fill="auto"/>
          </w:tcPr>
          <w:p w14:paraId="5A8E85E8"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–21.7</w:t>
            </w:r>
          </w:p>
        </w:tc>
      </w:tr>
      <w:tr w:rsidR="0010265C" w:rsidRPr="00261B7A" w14:paraId="2E01DCBA" w14:textId="77777777" w:rsidTr="00653987">
        <w:trPr>
          <w:trHeight w:val="252"/>
        </w:trPr>
        <w:tc>
          <w:tcPr>
            <w:tcW w:w="1873" w:type="dxa"/>
            <w:shd w:val="clear" w:color="auto" w:fill="auto"/>
          </w:tcPr>
          <w:p w14:paraId="1B92B6CC" w14:textId="77777777" w:rsidR="0010265C" w:rsidRPr="00261B7A" w:rsidRDefault="0010265C" w:rsidP="00D41492">
            <w:pPr>
              <w:pStyle w:val="TableText"/>
              <w:spacing w:before="40" w:after="40"/>
              <w:rPr>
                <w:rFonts w:eastAsia="Arial Bold" w:cs="Segoe UI"/>
              </w:rPr>
            </w:pPr>
            <w:r w:rsidRPr="00261B7A">
              <w:rPr>
                <w:rFonts w:eastAsia="Arial Bold" w:cs="Segoe UI"/>
              </w:rPr>
              <w:t>Indirect emissions</w:t>
            </w:r>
          </w:p>
        </w:tc>
        <w:tc>
          <w:tcPr>
            <w:tcW w:w="1136" w:type="dxa"/>
            <w:shd w:val="clear" w:color="auto" w:fill="auto"/>
            <w:noWrap/>
            <w:vAlign w:val="bottom"/>
          </w:tcPr>
          <w:p w14:paraId="667B6708" w14:textId="77777777" w:rsidR="0010265C" w:rsidRPr="00261B7A" w:rsidRDefault="0010265C" w:rsidP="00D41492">
            <w:pPr>
              <w:pStyle w:val="TableText"/>
              <w:spacing w:before="40" w:after="40"/>
              <w:jc w:val="right"/>
            </w:pPr>
            <w:r w:rsidRPr="00261B7A">
              <w:rPr>
                <w:rFonts w:cs="Calibri"/>
                <w:color w:val="000000"/>
                <w:szCs w:val="16"/>
              </w:rPr>
              <w:t xml:space="preserve">40.8 </w:t>
            </w:r>
          </w:p>
        </w:tc>
        <w:tc>
          <w:tcPr>
            <w:tcW w:w="1137" w:type="dxa"/>
            <w:shd w:val="clear" w:color="auto" w:fill="auto"/>
            <w:vAlign w:val="bottom"/>
          </w:tcPr>
          <w:p w14:paraId="272C7D38" w14:textId="77777777" w:rsidR="0010265C" w:rsidRPr="00261B7A" w:rsidRDefault="0010265C" w:rsidP="00D41492">
            <w:pPr>
              <w:pStyle w:val="TableText"/>
              <w:spacing w:before="40" w:after="40"/>
              <w:jc w:val="right"/>
            </w:pPr>
            <w:r w:rsidRPr="00261B7A">
              <w:rPr>
                <w:rFonts w:cs="Calibri"/>
                <w:color w:val="000000"/>
                <w:szCs w:val="16"/>
              </w:rPr>
              <w:t xml:space="preserve">40.8 </w:t>
            </w:r>
          </w:p>
        </w:tc>
        <w:tc>
          <w:tcPr>
            <w:tcW w:w="1149" w:type="dxa"/>
            <w:shd w:val="clear" w:color="auto" w:fill="auto"/>
            <w:vAlign w:val="bottom"/>
          </w:tcPr>
          <w:p w14:paraId="70CC829D" w14:textId="77777777" w:rsidR="0010265C" w:rsidRPr="00261B7A" w:rsidRDefault="0010265C" w:rsidP="00D41492">
            <w:pPr>
              <w:pStyle w:val="TableText"/>
              <w:spacing w:before="40" w:after="40"/>
              <w:jc w:val="right"/>
            </w:pPr>
            <w:r w:rsidRPr="00261B7A">
              <w:rPr>
                <w:rFonts w:cs="Calibri"/>
                <w:color w:val="000000"/>
                <w:szCs w:val="16"/>
              </w:rPr>
              <w:t xml:space="preserve">17.7 </w:t>
            </w:r>
          </w:p>
        </w:tc>
        <w:tc>
          <w:tcPr>
            <w:tcW w:w="1130" w:type="dxa"/>
            <w:shd w:val="clear" w:color="auto" w:fill="auto"/>
            <w:vAlign w:val="bottom"/>
          </w:tcPr>
          <w:p w14:paraId="70BBC6DB" w14:textId="77777777" w:rsidR="0010265C" w:rsidRPr="00261B7A" w:rsidRDefault="0010265C" w:rsidP="00D41492">
            <w:pPr>
              <w:pStyle w:val="TableText"/>
              <w:spacing w:before="40" w:after="40"/>
              <w:jc w:val="right"/>
            </w:pPr>
            <w:r w:rsidRPr="00261B7A">
              <w:rPr>
                <w:rFonts w:cs="Calibri"/>
                <w:color w:val="000000"/>
                <w:szCs w:val="16"/>
              </w:rPr>
              <w:t xml:space="preserve">17.7 </w:t>
            </w:r>
          </w:p>
        </w:tc>
        <w:tc>
          <w:tcPr>
            <w:tcW w:w="1026" w:type="dxa"/>
            <w:shd w:val="clear" w:color="auto" w:fill="auto"/>
          </w:tcPr>
          <w:p w14:paraId="6EC8A948" w14:textId="77777777" w:rsidR="0010265C" w:rsidRPr="00261B7A" w:rsidRDefault="0010265C" w:rsidP="00D41492">
            <w:pPr>
              <w:pStyle w:val="TableText"/>
              <w:spacing w:before="40" w:after="40"/>
              <w:jc w:val="right"/>
            </w:pPr>
            <w:r w:rsidRPr="00261B7A">
              <w:rPr>
                <w:rFonts w:cs="Calibri"/>
                <w:color w:val="000000"/>
                <w:szCs w:val="16"/>
              </w:rPr>
              <w:t>0.0</w:t>
            </w:r>
          </w:p>
        </w:tc>
        <w:tc>
          <w:tcPr>
            <w:tcW w:w="1054" w:type="dxa"/>
            <w:shd w:val="clear" w:color="auto" w:fill="auto"/>
          </w:tcPr>
          <w:p w14:paraId="23131463" w14:textId="77777777" w:rsidR="0010265C" w:rsidRPr="00261B7A" w:rsidRDefault="0010265C" w:rsidP="00D41492">
            <w:pPr>
              <w:pStyle w:val="TableText"/>
              <w:spacing w:before="40" w:after="40"/>
              <w:jc w:val="right"/>
            </w:pPr>
            <w:r w:rsidRPr="00261B7A">
              <w:rPr>
                <w:rFonts w:cs="Calibri"/>
                <w:color w:val="000000"/>
                <w:szCs w:val="16"/>
              </w:rPr>
              <w:t>–0.4</w:t>
            </w:r>
          </w:p>
        </w:tc>
      </w:tr>
      <w:tr w:rsidR="0010265C" w:rsidRPr="00261B7A" w14:paraId="67D46F3F" w14:textId="77777777" w:rsidTr="00653987">
        <w:trPr>
          <w:trHeight w:val="240"/>
        </w:trPr>
        <w:tc>
          <w:tcPr>
            <w:tcW w:w="1873" w:type="dxa"/>
            <w:shd w:val="clear" w:color="auto" w:fill="auto"/>
          </w:tcPr>
          <w:p w14:paraId="187D9F58" w14:textId="77777777" w:rsidR="0010265C" w:rsidRPr="00261B7A" w:rsidRDefault="0010265C" w:rsidP="00D41492">
            <w:pPr>
              <w:pStyle w:val="TableText"/>
              <w:spacing w:before="40" w:after="40"/>
              <w:rPr>
                <w:rFonts w:eastAsia="Arial Bold" w:cs="Segoe UI"/>
                <w:szCs w:val="16"/>
              </w:rPr>
            </w:pPr>
            <w:r w:rsidRPr="00261B7A">
              <w:rPr>
                <w:rFonts w:eastAsia="Arial Bold" w:cs="Segoe UI"/>
                <w:szCs w:val="16"/>
              </w:rPr>
              <w:t>Harvested wood products</w:t>
            </w:r>
          </w:p>
        </w:tc>
        <w:tc>
          <w:tcPr>
            <w:tcW w:w="1136" w:type="dxa"/>
            <w:shd w:val="clear" w:color="auto" w:fill="auto"/>
            <w:noWrap/>
            <w:vAlign w:val="bottom"/>
          </w:tcPr>
          <w:p w14:paraId="2656A94B"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–2,481.2 </w:t>
            </w:r>
          </w:p>
        </w:tc>
        <w:tc>
          <w:tcPr>
            <w:tcW w:w="1137" w:type="dxa"/>
            <w:shd w:val="clear" w:color="auto" w:fill="auto"/>
            <w:noWrap/>
            <w:vAlign w:val="bottom"/>
          </w:tcPr>
          <w:p w14:paraId="65A9702B"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–2,481.2 </w:t>
            </w:r>
          </w:p>
        </w:tc>
        <w:tc>
          <w:tcPr>
            <w:tcW w:w="1149" w:type="dxa"/>
            <w:shd w:val="clear" w:color="auto" w:fill="auto"/>
            <w:noWrap/>
            <w:vAlign w:val="bottom"/>
          </w:tcPr>
          <w:p w14:paraId="30411E3A"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–6,834.6 </w:t>
            </w:r>
          </w:p>
        </w:tc>
        <w:tc>
          <w:tcPr>
            <w:tcW w:w="1130" w:type="dxa"/>
            <w:shd w:val="clear" w:color="auto" w:fill="auto"/>
            <w:noWrap/>
            <w:vAlign w:val="bottom"/>
          </w:tcPr>
          <w:p w14:paraId="4D317388"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xml:space="preserve">–6,834.6 </w:t>
            </w:r>
          </w:p>
        </w:tc>
        <w:tc>
          <w:tcPr>
            <w:tcW w:w="1026" w:type="dxa"/>
            <w:shd w:val="clear" w:color="auto" w:fill="auto"/>
          </w:tcPr>
          <w:p w14:paraId="7D2A07C9"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0.0</w:t>
            </w:r>
          </w:p>
        </w:tc>
        <w:tc>
          <w:tcPr>
            <w:tcW w:w="1054" w:type="dxa"/>
            <w:shd w:val="clear" w:color="auto" w:fill="auto"/>
          </w:tcPr>
          <w:p w14:paraId="5079B2FD"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0.0</w:t>
            </w:r>
          </w:p>
        </w:tc>
      </w:tr>
      <w:tr w:rsidR="0010265C" w:rsidRPr="00261B7A" w14:paraId="22CF71C9" w14:textId="77777777" w:rsidTr="00653987">
        <w:trPr>
          <w:trHeight w:val="262"/>
        </w:trPr>
        <w:tc>
          <w:tcPr>
            <w:tcW w:w="1873" w:type="dxa"/>
            <w:shd w:val="clear" w:color="auto" w:fill="auto"/>
          </w:tcPr>
          <w:p w14:paraId="5BBCADD5" w14:textId="77777777" w:rsidR="0010265C" w:rsidRPr="00261B7A" w:rsidRDefault="0010265C" w:rsidP="00D41492">
            <w:pPr>
              <w:pStyle w:val="Tableboldblue"/>
              <w:spacing w:before="40" w:after="40"/>
              <w:jc w:val="right"/>
              <w:rPr>
                <w:rFonts w:eastAsia="Arial Bold" w:cs="Segoe UI"/>
                <w:color w:val="1B556B"/>
                <w:szCs w:val="16"/>
              </w:rPr>
            </w:pPr>
            <w:r w:rsidRPr="00261B7A">
              <w:rPr>
                <w:rFonts w:eastAsia="Arial Bold" w:cs="Segoe UI"/>
                <w:color w:val="1B556B"/>
                <w:szCs w:val="16"/>
              </w:rPr>
              <w:t>Total</w:t>
            </w:r>
          </w:p>
        </w:tc>
        <w:tc>
          <w:tcPr>
            <w:tcW w:w="1136" w:type="dxa"/>
            <w:shd w:val="clear" w:color="auto" w:fill="auto"/>
            <w:noWrap/>
            <w:vAlign w:val="bottom"/>
          </w:tcPr>
          <w:p w14:paraId="7065BE6F" w14:textId="77777777" w:rsidR="0010265C" w:rsidRPr="00261B7A" w:rsidRDefault="0010265C" w:rsidP="00D41492">
            <w:pPr>
              <w:pStyle w:val="Tableboldblue"/>
              <w:spacing w:before="40" w:after="40"/>
              <w:jc w:val="right"/>
              <w:rPr>
                <w:rFonts w:eastAsia="Arial Bold" w:cs="Segoe UI"/>
                <w:color w:val="1B556B"/>
                <w:szCs w:val="16"/>
              </w:rPr>
            </w:pPr>
            <w:r w:rsidRPr="00261B7A">
              <w:rPr>
                <w:rFonts w:cs="Calibri"/>
                <w:color w:val="1B556B"/>
                <w:szCs w:val="16"/>
              </w:rPr>
              <w:t xml:space="preserve">–21,229.2 </w:t>
            </w:r>
          </w:p>
        </w:tc>
        <w:tc>
          <w:tcPr>
            <w:tcW w:w="1137" w:type="dxa"/>
            <w:shd w:val="clear" w:color="auto" w:fill="auto"/>
            <w:noWrap/>
            <w:vAlign w:val="bottom"/>
          </w:tcPr>
          <w:p w14:paraId="0A47A469" w14:textId="77777777" w:rsidR="0010265C" w:rsidRPr="00261B7A" w:rsidRDefault="0010265C" w:rsidP="00D41492">
            <w:pPr>
              <w:pStyle w:val="Tableboldblue"/>
              <w:spacing w:before="40" w:after="40"/>
              <w:jc w:val="right"/>
              <w:rPr>
                <w:rFonts w:eastAsia="Arial Bold" w:cs="Segoe UI"/>
                <w:color w:val="1B556B"/>
                <w:szCs w:val="16"/>
              </w:rPr>
            </w:pPr>
            <w:r w:rsidRPr="00261B7A">
              <w:rPr>
                <w:rFonts w:cs="Calibri"/>
                <w:color w:val="1B556B"/>
                <w:szCs w:val="16"/>
              </w:rPr>
              <w:t xml:space="preserve">–20,171.2 </w:t>
            </w:r>
          </w:p>
        </w:tc>
        <w:tc>
          <w:tcPr>
            <w:tcW w:w="1149" w:type="dxa"/>
            <w:shd w:val="clear" w:color="auto" w:fill="auto"/>
            <w:noWrap/>
            <w:vAlign w:val="bottom"/>
          </w:tcPr>
          <w:p w14:paraId="797AFBD3" w14:textId="77777777" w:rsidR="0010265C" w:rsidRPr="00261B7A" w:rsidRDefault="0010265C" w:rsidP="00D41492">
            <w:pPr>
              <w:pStyle w:val="Tableboldblue"/>
              <w:spacing w:before="40" w:after="40"/>
              <w:jc w:val="right"/>
              <w:rPr>
                <w:rFonts w:eastAsia="Arial Bold" w:cs="Segoe UI"/>
                <w:color w:val="1B556B"/>
                <w:szCs w:val="16"/>
              </w:rPr>
            </w:pPr>
            <w:r w:rsidRPr="00261B7A">
              <w:rPr>
                <w:rFonts w:cs="Calibri"/>
                <w:color w:val="1B556B"/>
                <w:szCs w:val="16"/>
              </w:rPr>
              <w:t xml:space="preserve">–23,313.3 </w:t>
            </w:r>
          </w:p>
        </w:tc>
        <w:tc>
          <w:tcPr>
            <w:tcW w:w="1130" w:type="dxa"/>
            <w:shd w:val="clear" w:color="auto" w:fill="auto"/>
            <w:noWrap/>
            <w:vAlign w:val="bottom"/>
          </w:tcPr>
          <w:p w14:paraId="7E1BC9E1" w14:textId="77777777" w:rsidR="0010265C" w:rsidRPr="00261B7A" w:rsidRDefault="0010265C" w:rsidP="00D41492">
            <w:pPr>
              <w:pStyle w:val="Tableboldblue"/>
              <w:spacing w:before="40" w:after="40"/>
              <w:jc w:val="right"/>
              <w:rPr>
                <w:rFonts w:eastAsia="Arial Bold" w:cs="Segoe UI"/>
                <w:color w:val="1B556B"/>
                <w:szCs w:val="16"/>
              </w:rPr>
            </w:pPr>
            <w:r w:rsidRPr="00261B7A">
              <w:rPr>
                <w:rFonts w:cs="Calibri"/>
                <w:color w:val="1B556B"/>
                <w:szCs w:val="16"/>
              </w:rPr>
              <w:t xml:space="preserve">–23,242.0 </w:t>
            </w:r>
          </w:p>
        </w:tc>
        <w:tc>
          <w:tcPr>
            <w:tcW w:w="1026" w:type="dxa"/>
            <w:shd w:val="clear" w:color="auto" w:fill="auto"/>
            <w:vAlign w:val="bottom"/>
          </w:tcPr>
          <w:p w14:paraId="0B1CC33D" w14:textId="77777777" w:rsidR="0010265C" w:rsidRPr="00261B7A" w:rsidRDefault="0010265C" w:rsidP="00D41492">
            <w:pPr>
              <w:pStyle w:val="Tableboldblue"/>
              <w:spacing w:before="40" w:after="40"/>
              <w:jc w:val="right"/>
              <w:rPr>
                <w:rFonts w:eastAsia="Arial Bold" w:cs="Segoe UI"/>
                <w:color w:val="1B556B"/>
                <w:szCs w:val="16"/>
              </w:rPr>
            </w:pPr>
            <w:r w:rsidRPr="00261B7A">
              <w:rPr>
                <w:rFonts w:cs="Calibri"/>
                <w:color w:val="1B556B"/>
                <w:szCs w:val="16"/>
              </w:rPr>
              <w:t>5.0</w:t>
            </w:r>
          </w:p>
        </w:tc>
        <w:tc>
          <w:tcPr>
            <w:tcW w:w="1054" w:type="dxa"/>
            <w:shd w:val="clear" w:color="auto" w:fill="auto"/>
            <w:vAlign w:val="center"/>
          </w:tcPr>
          <w:p w14:paraId="697AB06F" w14:textId="77777777" w:rsidR="0010265C" w:rsidRPr="00261B7A" w:rsidRDefault="0010265C" w:rsidP="00D41492">
            <w:pPr>
              <w:pStyle w:val="Tableboldblue"/>
              <w:spacing w:before="40" w:after="40"/>
              <w:jc w:val="right"/>
              <w:rPr>
                <w:rFonts w:eastAsia="Arial Bold" w:cs="Segoe UI"/>
                <w:color w:val="1B556B"/>
                <w:szCs w:val="16"/>
              </w:rPr>
            </w:pPr>
            <w:r w:rsidRPr="00261B7A">
              <w:rPr>
                <w:rFonts w:cs="Calibri"/>
                <w:color w:val="1B556B"/>
                <w:szCs w:val="16"/>
              </w:rPr>
              <w:t>0.3</w:t>
            </w:r>
          </w:p>
        </w:tc>
      </w:tr>
    </w:tbl>
    <w:p w14:paraId="0B4CEF3C" w14:textId="45D9995A" w:rsidR="0010265C" w:rsidRPr="00261B7A" w:rsidRDefault="0010265C" w:rsidP="0010265C">
      <w:pPr>
        <w:pStyle w:val="Noteundertable"/>
        <w:rPr>
          <w:spacing w:val="-2"/>
        </w:rPr>
      </w:pPr>
      <w:r w:rsidRPr="00261B7A">
        <w:rPr>
          <w:b/>
        </w:rPr>
        <w:t>Note:</w:t>
      </w:r>
      <w:r w:rsidRPr="00261B7A">
        <w:tab/>
      </w:r>
      <w:r w:rsidRPr="00261B7A">
        <w:rPr>
          <w:spacing w:val="-2"/>
        </w:rPr>
        <w:t>Net removals are expressed as a negative value in the table to help clarify that the value is a removal (of</w:t>
      </w:r>
      <w:r w:rsidRPr="00261B7A">
        <w:t> CO</w:t>
      </w:r>
      <w:r w:rsidRPr="00261B7A">
        <w:rPr>
          <w:vertAlign w:val="subscript"/>
        </w:rPr>
        <w:t>2</w:t>
      </w:r>
      <w:r w:rsidRPr="00261B7A">
        <w:t>-e from the atmosphere) and not an emission. Columns may not total due to rounding. Indirect emissions as a result of N</w:t>
      </w:r>
      <w:r w:rsidRPr="00261B7A">
        <w:rPr>
          <w:vertAlign w:val="subscript"/>
        </w:rPr>
        <w:t>2</w:t>
      </w:r>
      <w:r w:rsidRPr="00261B7A">
        <w:t xml:space="preserve">O emissions from leaching and runoff are not disaggregated by land use category </w:t>
      </w:r>
      <w:r w:rsidRPr="00261B7A">
        <w:rPr>
          <w:spacing w:val="-2"/>
        </w:rPr>
        <w:t>in the common reporting format (CRF) and are reported separately under non-CO</w:t>
      </w:r>
      <w:r w:rsidRPr="00261B7A">
        <w:rPr>
          <w:spacing w:val="-2"/>
          <w:vertAlign w:val="subscript"/>
        </w:rPr>
        <w:t>2</w:t>
      </w:r>
      <w:r w:rsidRPr="00261B7A">
        <w:rPr>
          <w:spacing w:val="-2"/>
        </w:rPr>
        <w:t xml:space="preserve"> emissions in section 6.10.4.</w:t>
      </w:r>
    </w:p>
    <w:p w14:paraId="218281A7" w14:textId="77777777" w:rsidR="0010265C" w:rsidRPr="00261B7A" w:rsidRDefault="0010265C" w:rsidP="0010265C">
      <w:pPr>
        <w:pStyle w:val="BodyText"/>
      </w:pPr>
      <w:r w:rsidRPr="00261B7A">
        <w:t>The main differences between this submission and previous estimates of New Zealand’s LULUCF emissions reported in the 2022 submission are the result of the changes made to the </w:t>
      </w:r>
      <w:r w:rsidRPr="00261B7A">
        <w:rPr>
          <w:i/>
        </w:rPr>
        <w:t>Forest land</w:t>
      </w:r>
      <w:r w:rsidRPr="00261B7A">
        <w:t xml:space="preserve"> category. Note that </w:t>
      </w:r>
      <w:r w:rsidRPr="00261B7A">
        <w:rPr>
          <w:i/>
        </w:rPr>
        <w:t>Forest land</w:t>
      </w:r>
      <w:r w:rsidRPr="00261B7A">
        <w:t xml:space="preserve"> contributes the greatest net emissions to the LULUCF sector and contributes the greatest uncertainty; therefore, inventory improvements to </w:t>
      </w:r>
      <w:r w:rsidRPr="00261B7A">
        <w:rPr>
          <w:i/>
          <w:iCs/>
        </w:rPr>
        <w:t>Forest land</w:t>
      </w:r>
      <w:r w:rsidRPr="00261B7A">
        <w:t xml:space="preserve"> are generally prioritised.</w:t>
      </w:r>
    </w:p>
    <w:p w14:paraId="26B4A7A1" w14:textId="77777777" w:rsidR="0010265C" w:rsidRPr="00261B7A" w:rsidRDefault="0010265C" w:rsidP="0010265C">
      <w:pPr>
        <w:pStyle w:val="BodyText"/>
      </w:pPr>
      <w:r w:rsidRPr="00261B7A">
        <w:t>The following three improvements are the main differences between this submission and the 2022 submission.</w:t>
      </w:r>
    </w:p>
    <w:p w14:paraId="7B8F9BA9" w14:textId="77777777" w:rsidR="0010265C" w:rsidRPr="00261B7A" w:rsidRDefault="0010265C" w:rsidP="00A03F17">
      <w:pPr>
        <w:pStyle w:val="Numberedparagraph"/>
        <w:numPr>
          <w:ilvl w:val="0"/>
          <w:numId w:val="36"/>
        </w:numPr>
      </w:pPr>
      <w:r w:rsidRPr="00261B7A">
        <w:t>Improvements to the method used to estimate deforestation for unmapped years have led to an increase in the estimated deforestation area for 2020.</w:t>
      </w:r>
      <w:r w:rsidRPr="00261B7A" w:rsidDel="00A333FE">
        <w:t xml:space="preserve"> </w:t>
      </w:r>
      <w:r w:rsidRPr="00261B7A">
        <w:t>The overall net impact of this change to the LULUCF sector is an increase of 209 kt CO</w:t>
      </w:r>
      <w:r w:rsidRPr="00A03F17">
        <w:rPr>
          <w:vertAlign w:val="subscript"/>
        </w:rPr>
        <w:t>2</w:t>
      </w:r>
      <w:r w:rsidRPr="00261B7A">
        <w:t xml:space="preserve">-e in 2020. This improvement is also largely responsible for the 41.2 per cent increase in emissions reported in the </w:t>
      </w:r>
      <w:r w:rsidRPr="00A03F17">
        <w:rPr>
          <w:i/>
        </w:rPr>
        <w:t>Grassland</w:t>
      </w:r>
      <w:r w:rsidRPr="00261B7A">
        <w:t xml:space="preserve"> category for 2020 (given most deforested land is converted to grassland) (for further detail, see section</w:t>
      </w:r>
      <w:r w:rsidRPr="00261B7A" w:rsidDel="00A333FE">
        <w:t xml:space="preserve"> </w:t>
      </w:r>
      <w:r w:rsidRPr="00261B7A">
        <w:t>6.3.5).</w:t>
      </w:r>
    </w:p>
    <w:p w14:paraId="4F5389DF" w14:textId="77777777" w:rsidR="0010265C" w:rsidRPr="00261B7A" w:rsidRDefault="0010265C" w:rsidP="00B85E7F">
      <w:pPr>
        <w:pStyle w:val="Numberedparagraph"/>
      </w:pPr>
      <w:r w:rsidRPr="00261B7A">
        <w:t>A range of modelling procedures has been improved to ensure consistency of treatment of harvesting and deforestation activities between pre-1990 and post-1989 planted forests. The overall net impact of this change to the LULUCF sector is a decrease of 106 kt CO</w:t>
      </w:r>
      <w:r w:rsidRPr="00261B7A">
        <w:rPr>
          <w:vertAlign w:val="subscript"/>
        </w:rPr>
        <w:t>2</w:t>
      </w:r>
      <w:r w:rsidRPr="00261B7A">
        <w:t>-e in 2020 emissions and a decrease of 987 kt CO</w:t>
      </w:r>
      <w:r w:rsidRPr="00261B7A">
        <w:rPr>
          <w:vertAlign w:val="subscript"/>
        </w:rPr>
        <w:t>2</w:t>
      </w:r>
      <w:r w:rsidRPr="00261B7A">
        <w:t>-e in 1990 emissions (for further detail, see section 6.3.6).</w:t>
      </w:r>
    </w:p>
    <w:p w14:paraId="52DD0401" w14:textId="77777777" w:rsidR="0010265C" w:rsidRPr="00261B7A" w:rsidRDefault="0010265C" w:rsidP="00B85E7F">
      <w:pPr>
        <w:pStyle w:val="Numberedparagraph"/>
      </w:pPr>
      <w:r w:rsidRPr="00261B7A">
        <w:t>This submission uses country-specific above- and below-ground biomass carbon stocks for vegetated wetlands (Easdale et al., unpublished). Above-ground biomass carbon stocks were estimated as 20.22 tonnes of carbon per hectare (C ha</w:t>
      </w:r>
      <w:r w:rsidRPr="00261B7A">
        <w:rPr>
          <w:vertAlign w:val="superscript"/>
        </w:rPr>
        <w:t>-1</w:t>
      </w:r>
      <w:r w:rsidRPr="00261B7A">
        <w:t>) (11.07–29.38, 95% confidence interval) and below-ground as 7.40 tonnes C ha</w:t>
      </w:r>
      <w:r w:rsidRPr="00261B7A">
        <w:rPr>
          <w:vertAlign w:val="superscript"/>
        </w:rPr>
        <w:t>-1</w:t>
      </w:r>
      <w:r w:rsidRPr="00261B7A">
        <w:t xml:space="preserve"> (1.85–12.9, nominal error range). Previous submissions used a value of 0 for the carbon stock and carbon stock change of vegetated wetlands, which meant any emissions and removals for land transitioning in to and out of this class were not estimated (for further detail, see section</w:t>
      </w:r>
      <w:r w:rsidRPr="00261B7A" w:rsidDel="001B7C04">
        <w:t xml:space="preserve"> </w:t>
      </w:r>
      <w:r w:rsidRPr="00261B7A">
        <w:t>6.6.5). The overall net impact of this change to the LULUCF sector is a decrease of 16 kt CO</w:t>
      </w:r>
      <w:r w:rsidRPr="00261B7A">
        <w:rPr>
          <w:vertAlign w:val="subscript"/>
        </w:rPr>
        <w:t>2</w:t>
      </w:r>
      <w:r w:rsidRPr="00261B7A">
        <w:t>-e in 2020 and a decrease of 39 kt CO</w:t>
      </w:r>
      <w:r w:rsidRPr="00261B7A">
        <w:rPr>
          <w:vertAlign w:val="subscript"/>
        </w:rPr>
        <w:t>2</w:t>
      </w:r>
      <w:r w:rsidRPr="00261B7A">
        <w:t>-e in 1990.</w:t>
      </w:r>
    </w:p>
    <w:p w14:paraId="03EF8BF5" w14:textId="77777777" w:rsidR="0010265C" w:rsidRPr="00261B7A" w:rsidRDefault="0010265C" w:rsidP="0010265C">
      <w:pPr>
        <w:pStyle w:val="BodyText"/>
      </w:pPr>
      <w:r w:rsidRPr="00261B7A">
        <w:t>Detailed information on the recalculations is provided in the relevant source-specific recalculations sections below and in chapter 10.</w:t>
      </w:r>
    </w:p>
    <w:p w14:paraId="17D8F792" w14:textId="77777777" w:rsidR="0010265C" w:rsidRPr="00261B7A" w:rsidRDefault="0010265C" w:rsidP="0010265C">
      <w:pPr>
        <w:pStyle w:val="Heading3"/>
      </w:pPr>
      <w:bookmarkStart w:id="1504" w:name="_Toc280630222"/>
      <w:r w:rsidRPr="00261B7A">
        <w:t>6.1.5</w:t>
      </w:r>
      <w:r w:rsidRPr="00261B7A">
        <w:tab/>
        <w:t>LULUCF planned improvements</w:t>
      </w:r>
      <w:bookmarkEnd w:id="1504"/>
    </w:p>
    <w:p w14:paraId="799E4D0A" w14:textId="77777777" w:rsidR="0010265C" w:rsidRPr="00261B7A" w:rsidRDefault="0010265C" w:rsidP="0010265C">
      <w:pPr>
        <w:pStyle w:val="BodyText"/>
      </w:pPr>
      <w:r w:rsidRPr="00261B7A">
        <w:t>The LULUCF</w:t>
      </w:r>
      <w:r w:rsidRPr="00261B7A" w:rsidDel="009430C8">
        <w:t xml:space="preserve"> sector has </w:t>
      </w:r>
      <w:r w:rsidRPr="00261B7A">
        <w:t>a plan of continuous improvement and has introduced several improvements in this submission. Once a year, potential category-specific improvements are ranked in order of priority according to expert review team (ERT) recommendations, key category analysis and contribution to uncertainty in the sector. The improvement priority list is then compared with available resources and capability before a final improvements plan, for the current National Inventory Report and – in the case of the long-term improvements – for future national inventory reports, is agreed on.</w:t>
      </w:r>
    </w:p>
    <w:p w14:paraId="48FE70E4" w14:textId="77777777" w:rsidR="0010265C" w:rsidRPr="00261B7A" w:rsidRDefault="0010265C" w:rsidP="0010265C">
      <w:pPr>
        <w:pStyle w:val="BodyText"/>
      </w:pPr>
      <w:r w:rsidRPr="00261B7A">
        <w:t>Category-specific planned improvements for the 2024 and future submissions are reported separately under each of the relevant category sections of this chapter. The major themes are to:</w:t>
      </w:r>
    </w:p>
    <w:p w14:paraId="643DC932" w14:textId="77777777" w:rsidR="0010265C" w:rsidRPr="00261B7A" w:rsidRDefault="0010265C" w:rsidP="00294EC5">
      <w:pPr>
        <w:pStyle w:val="Bullet"/>
        <w:numPr>
          <w:ilvl w:val="0"/>
          <w:numId w:val="25"/>
        </w:numPr>
        <w:spacing w:after="100"/>
        <w:ind w:left="397" w:hanging="397"/>
      </w:pPr>
      <w:r w:rsidRPr="00261B7A">
        <w:t xml:space="preserve">continue with method development to implement the 2006 IPCC Guidelines (IPCC, 2006a) </w:t>
      </w:r>
    </w:p>
    <w:p w14:paraId="315C725C" w14:textId="77777777" w:rsidR="0010265C" w:rsidRPr="00261B7A" w:rsidRDefault="0010265C" w:rsidP="00294EC5">
      <w:pPr>
        <w:pStyle w:val="Bullet"/>
        <w:numPr>
          <w:ilvl w:val="0"/>
          <w:numId w:val="25"/>
        </w:numPr>
        <w:spacing w:after="100"/>
        <w:ind w:left="397" w:hanging="397"/>
      </w:pPr>
      <w:r w:rsidRPr="00261B7A">
        <w:t>continue to re-measure the pre-1990 natural forest ground plot inventory on a continuous basis (on a 10-year cycle). The data collected to date from the third measurement cycle will be analysed and integrated into the 2024 submission</w:t>
      </w:r>
    </w:p>
    <w:p w14:paraId="429BFC2D" w14:textId="77777777" w:rsidR="0010265C" w:rsidRPr="00261B7A" w:rsidRDefault="0010265C" w:rsidP="00294EC5">
      <w:pPr>
        <w:pStyle w:val="Bullet"/>
        <w:numPr>
          <w:ilvl w:val="0"/>
          <w:numId w:val="25"/>
        </w:numPr>
        <w:spacing w:after="100"/>
        <w:ind w:left="397" w:hanging="397"/>
      </w:pPr>
      <w:r w:rsidRPr="00261B7A">
        <w:t>continue to re-measure the complete planted forest plot network (pre-1990 and post</w:t>
      </w:r>
      <w:r w:rsidRPr="00261B7A">
        <w:noBreakHyphen/>
        <w:t xml:space="preserve">1989) on a continuous basis (on a five-year cycle). The data will be incorporated into the National Inventory Report as they become available </w:t>
      </w:r>
    </w:p>
    <w:p w14:paraId="7526327F" w14:textId="77777777" w:rsidR="0010265C" w:rsidRPr="00261B7A" w:rsidRDefault="0010265C" w:rsidP="00294EC5">
      <w:pPr>
        <w:pStyle w:val="Bullet"/>
        <w:numPr>
          <w:ilvl w:val="0"/>
          <w:numId w:val="25"/>
        </w:numPr>
        <w:spacing w:after="100"/>
        <w:ind w:left="397" w:hanging="397"/>
      </w:pPr>
      <w:r w:rsidRPr="00261B7A">
        <w:t>produce a 2020 Land Use Map (due for completion by June 2023), which will be based on Sentintel-2 imagery acquired over the summer of 2020–21</w:t>
      </w:r>
    </w:p>
    <w:p w14:paraId="556C1E68" w14:textId="77777777" w:rsidR="0010265C" w:rsidRPr="00261B7A" w:rsidRDefault="0010265C" w:rsidP="00294EC5">
      <w:pPr>
        <w:pStyle w:val="Bullet"/>
        <w:numPr>
          <w:ilvl w:val="0"/>
          <w:numId w:val="25"/>
        </w:numPr>
        <w:spacing w:after="100"/>
        <w:ind w:left="397" w:hanging="397"/>
      </w:pPr>
      <w:r w:rsidRPr="00261B7A">
        <w:t xml:space="preserve">continue to improve land use mapping by using information collected through the NZ ETS. The NZ ETS provides an ongoing source of mapping information on forest extent and age, along with information on deforestation activity and carbon equivalent forest activities. This will be used as part of a continuous improvement programme to update the 1990, 2008, 2012 and 2016 land use maps </w:t>
      </w:r>
    </w:p>
    <w:p w14:paraId="2FD767C1" w14:textId="77777777" w:rsidR="0010265C" w:rsidRPr="00261B7A" w:rsidRDefault="0010265C" w:rsidP="00294EC5">
      <w:pPr>
        <w:pStyle w:val="Bullet"/>
        <w:numPr>
          <w:ilvl w:val="0"/>
          <w:numId w:val="25"/>
        </w:numPr>
        <w:spacing w:after="100"/>
        <w:ind w:left="397" w:hanging="397"/>
      </w:pPr>
      <w:r w:rsidRPr="00261B7A">
        <w:t>incorporate research that refines the extent and identifies nutrient status and drainage depth</w:t>
      </w:r>
      <w:r w:rsidRPr="00261B7A" w:rsidDel="00C672A8">
        <w:t xml:space="preserve"> </w:t>
      </w:r>
      <w:r w:rsidRPr="00261B7A">
        <w:t xml:space="preserve">of drained organic soils, as well as develops suitable emission factors for them, to enable the application of the 2013 </w:t>
      </w:r>
      <w:r w:rsidRPr="00261B7A">
        <w:rPr>
          <w:i/>
        </w:rPr>
        <w:t>Wetlands</w:t>
      </w:r>
      <w:r w:rsidRPr="00261B7A">
        <w:t xml:space="preserve"> supplement</w:t>
      </w:r>
    </w:p>
    <w:p w14:paraId="75B42722" w14:textId="77777777" w:rsidR="0010265C" w:rsidRPr="00261B7A" w:rsidRDefault="0010265C" w:rsidP="00294EC5">
      <w:pPr>
        <w:pStyle w:val="Bullet"/>
        <w:numPr>
          <w:ilvl w:val="0"/>
          <w:numId w:val="25"/>
        </w:numPr>
        <w:spacing w:after="100"/>
        <w:ind w:left="397" w:hanging="397"/>
      </w:pPr>
      <w:r w:rsidRPr="00261B7A">
        <w:t xml:space="preserve">improve the soil organic carbon (SOC) reference stock values for </w:t>
      </w:r>
      <w:r w:rsidRPr="00261B7A">
        <w:rPr>
          <w:i/>
          <w:iCs/>
        </w:rPr>
        <w:t>Cropland</w:t>
      </w:r>
      <w:r w:rsidRPr="00261B7A">
        <w:t xml:space="preserve"> and </w:t>
      </w:r>
      <w:r w:rsidRPr="00261B7A">
        <w:rPr>
          <w:i/>
          <w:iCs/>
        </w:rPr>
        <w:t>Grassland</w:t>
      </w:r>
      <w:r w:rsidRPr="00261B7A">
        <w:t xml:space="preserve"> through data being collected as part of a 12-year longitudinal study to measure the impact of management practices on agricultural soils</w:t>
      </w:r>
    </w:p>
    <w:p w14:paraId="1B4E4342" w14:textId="77777777" w:rsidR="0010265C" w:rsidRPr="00261B7A" w:rsidRDefault="0010265C" w:rsidP="00294EC5">
      <w:pPr>
        <w:pStyle w:val="Bullet"/>
        <w:numPr>
          <w:ilvl w:val="0"/>
          <w:numId w:val="25"/>
        </w:numPr>
        <w:ind w:left="397" w:hanging="397"/>
      </w:pPr>
      <w:r w:rsidRPr="00261B7A">
        <w:t xml:space="preserve">use recently published New Zealand-specific half-lives and their associated uncertainty values for exported harvested wood products and those used domestically. </w:t>
      </w:r>
    </w:p>
    <w:p w14:paraId="2476F0DA" w14:textId="77777777" w:rsidR="0010265C" w:rsidRPr="00261B7A" w:rsidRDefault="0010265C" w:rsidP="00A638DC">
      <w:pPr>
        <w:pStyle w:val="Heading2"/>
      </w:pPr>
      <w:bookmarkStart w:id="1505" w:name="_Toc361645361"/>
      <w:bookmarkStart w:id="1506" w:name="_Toc391024698"/>
      <w:bookmarkStart w:id="1507" w:name="_Toc414531315"/>
      <w:bookmarkStart w:id="1508" w:name="_Toc474335457"/>
      <w:bookmarkStart w:id="1509" w:name="_Toc481751397"/>
      <w:bookmarkStart w:id="1510" w:name="_Toc522013949"/>
      <w:bookmarkStart w:id="1511" w:name="_Toc5269374"/>
      <w:bookmarkStart w:id="1512" w:name="_Toc36224414"/>
      <w:bookmarkStart w:id="1513" w:name="_Toc131591249"/>
      <w:r w:rsidRPr="00261B7A">
        <w:t>6.2</w:t>
      </w:r>
      <w:r w:rsidRPr="00261B7A">
        <w:tab/>
        <w:t>Representation of land areas</w:t>
      </w:r>
      <w:bookmarkEnd w:id="1505"/>
      <w:bookmarkEnd w:id="1506"/>
      <w:bookmarkEnd w:id="1507"/>
      <w:bookmarkEnd w:id="1508"/>
      <w:bookmarkEnd w:id="1509"/>
      <w:bookmarkEnd w:id="1510"/>
      <w:bookmarkEnd w:id="1511"/>
      <w:bookmarkEnd w:id="1512"/>
      <w:bookmarkEnd w:id="1513"/>
    </w:p>
    <w:p w14:paraId="0202A5AE" w14:textId="77777777" w:rsidR="0010265C" w:rsidRPr="00261B7A" w:rsidRDefault="0010265C" w:rsidP="0010265C">
      <w:pPr>
        <w:pStyle w:val="Heading3"/>
        <w:spacing w:before="240"/>
      </w:pPr>
      <w:r w:rsidRPr="00261B7A">
        <w:t>6.2.1</w:t>
      </w:r>
      <w:r w:rsidRPr="00261B7A">
        <w:tab/>
        <w:t>Description</w:t>
      </w:r>
    </w:p>
    <w:p w14:paraId="3A9AA674" w14:textId="77777777" w:rsidR="0010265C" w:rsidRPr="00261B7A" w:rsidRDefault="0010265C" w:rsidP="0010265C">
      <w:pPr>
        <w:pStyle w:val="BodyText"/>
      </w:pPr>
      <w:r w:rsidRPr="00261B7A">
        <w:t xml:space="preserve">New Zealand uses reporting Methods 1 and 2 and Approaches 2 and 3 to determine land-use changes occurring between 1 January 1990 and 31 December 2021 (section 2.2.4, IPCC, 2014). Areas of land use and land-use change between 1990 and 2016 are based on four wall-to-wall land use maps derived from satellite imagery at nominal mapping dates of 31 December 1989, 31 December 2007, 31 December 2012 and 31 December 2016 (see figure 6.2.1). Area information from these maps is interpolated and extrapolated to obtain a complete time series of land-use change occurring between 1990 and 2021 (see annex A3.2.2). Ancillary data – including aerial photography, additional satellite imagery, data from the NZ ETS and other national survey data – are used to support data interpolation and map production. Further information on the mapping methodology and imagery used, as well as the interpolation and extrapolation process to obtain a complete time series of land-use change occurring between 1990 and 2021 can be found in annex A3.2.2. Gross land use transitions before 1990 are estimated using a variety of different sources and following the methodology described in Watts (unpublished) and reviewed in Hunter and McNeill (unpublished), which is further described in annex A3.2.2. Applying this methodology allows for the land use transition matrix for the period 1962 to 1989 to be obtained (see table 6.2.1). </w:t>
      </w:r>
    </w:p>
    <w:p w14:paraId="59F08A5B" w14:textId="77777777" w:rsidR="0010265C" w:rsidRPr="00261B7A" w:rsidRDefault="0010265C" w:rsidP="0010265C">
      <w:pPr>
        <w:pStyle w:val="Figure"/>
      </w:pPr>
      <w:bookmarkStart w:id="1514" w:name="_Toc378853338"/>
      <w:bookmarkStart w:id="1515" w:name="_Toc405448088"/>
      <w:bookmarkStart w:id="1516" w:name="_Toc414531620"/>
      <w:bookmarkStart w:id="1517" w:name="_Toc474914643"/>
      <w:bookmarkStart w:id="1518" w:name="_Toc481752025"/>
      <w:bookmarkStart w:id="1519" w:name="_Toc522010703"/>
      <w:bookmarkStart w:id="1520" w:name="_Toc5269706"/>
      <w:bookmarkStart w:id="1521" w:name="_Toc33529478"/>
      <w:bookmarkStart w:id="1522" w:name="_Toc36292808"/>
      <w:bookmarkStart w:id="1523" w:name="_Toc131591569"/>
      <w:r w:rsidRPr="00261B7A">
        <w:t>Figure 6.2.1</w:t>
      </w:r>
      <w:r w:rsidRPr="00261B7A">
        <w:tab/>
        <w:t>Land use map of New Zealand as at 31 December 2016</w:t>
      </w:r>
      <w:bookmarkEnd w:id="1514"/>
      <w:bookmarkEnd w:id="1515"/>
      <w:bookmarkEnd w:id="1516"/>
      <w:bookmarkEnd w:id="1517"/>
      <w:bookmarkEnd w:id="1518"/>
      <w:bookmarkEnd w:id="1519"/>
      <w:bookmarkEnd w:id="1520"/>
      <w:bookmarkEnd w:id="1521"/>
      <w:bookmarkEnd w:id="1522"/>
      <w:bookmarkEnd w:id="1523"/>
    </w:p>
    <w:p w14:paraId="7BF8AA35" w14:textId="77777777" w:rsidR="0010265C" w:rsidRPr="00261B7A" w:rsidRDefault="0010265C" w:rsidP="0010265C">
      <w:pPr>
        <w:spacing w:after="120"/>
      </w:pPr>
      <w:r w:rsidRPr="00261B7A">
        <w:rPr>
          <w:noProof/>
        </w:rPr>
        <w:drawing>
          <wp:inline distT="0" distB="0" distL="0" distR="0" wp14:anchorId="007836F2" wp14:editId="1EE084E8">
            <wp:extent cx="5164531" cy="6862657"/>
            <wp:effectExtent l="0" t="0" r="0" b="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t="5377" b="5493"/>
                    <a:stretch/>
                  </pic:blipFill>
                  <pic:spPr bwMode="auto">
                    <a:xfrm>
                      <a:off x="0" y="0"/>
                      <a:ext cx="5169325" cy="6869027"/>
                    </a:xfrm>
                    <a:prstGeom prst="rect">
                      <a:avLst/>
                    </a:prstGeom>
                    <a:noFill/>
                    <a:ln>
                      <a:noFill/>
                    </a:ln>
                    <a:extLst>
                      <a:ext uri="{53640926-AAD7-44D8-BBD7-CCE9431645EC}">
                        <a14:shadowObscured xmlns:a14="http://schemas.microsoft.com/office/drawing/2010/main"/>
                      </a:ext>
                    </a:extLst>
                  </pic:spPr>
                </pic:pic>
              </a:graphicData>
            </a:graphic>
          </wp:inline>
        </w:drawing>
      </w:r>
    </w:p>
    <w:p w14:paraId="0DA6BBB4" w14:textId="77777777" w:rsidR="0010265C" w:rsidRPr="00261B7A" w:rsidRDefault="0010265C" w:rsidP="0010265C">
      <w:pPr>
        <w:pStyle w:val="Noteundertable"/>
        <w:spacing w:after="0"/>
      </w:pPr>
      <w:r w:rsidRPr="00261B7A">
        <w:rPr>
          <w:b/>
        </w:rPr>
        <w:t>Note:</w:t>
      </w:r>
      <w:r w:rsidRPr="00261B7A">
        <w:tab/>
        <w:t xml:space="preserve">The inset map is of the Chatham Islands, which lie approximately 660 kilometres south-east of the south-eastern corner of the North Island. </w:t>
      </w:r>
    </w:p>
    <w:p w14:paraId="507B9306" w14:textId="77777777" w:rsidR="0010265C" w:rsidRPr="00261B7A" w:rsidRDefault="0010265C" w:rsidP="0010265C">
      <w:pPr>
        <w:pStyle w:val="BodyText"/>
        <w:sectPr w:rsidR="0010265C" w:rsidRPr="00261B7A" w:rsidSect="000038CF">
          <w:footerReference w:type="even" r:id="rId205"/>
          <w:footerReference w:type="default" r:id="rId206"/>
          <w:pgSz w:w="11906" w:h="16838" w:code="9"/>
          <w:pgMar w:top="1418" w:right="1701" w:bottom="1418" w:left="1701" w:header="567" w:footer="567" w:gutter="0"/>
          <w:cols w:space="708"/>
          <w:docGrid w:linePitch="360"/>
        </w:sectPr>
      </w:pPr>
    </w:p>
    <w:p w14:paraId="2FC43495" w14:textId="77777777" w:rsidR="0010265C" w:rsidRPr="00261B7A" w:rsidRDefault="0010265C" w:rsidP="008E52F6">
      <w:pPr>
        <w:pStyle w:val="Table"/>
        <w:spacing w:before="0"/>
      </w:pPr>
      <w:bookmarkStart w:id="1524" w:name="_Toc131591388"/>
      <w:r w:rsidRPr="00261B7A">
        <w:t>Table 6.2.1</w:t>
      </w:r>
      <w:r w:rsidRPr="00261B7A">
        <w:tab/>
        <w:t>New Zealand’s land-use change matrix from 1962 to 1989</w:t>
      </w:r>
      <w:bookmarkEnd w:id="1524"/>
    </w:p>
    <w:tbl>
      <w:tblPr>
        <w:tblStyle w:val="TableGrid"/>
        <w:tblW w:w="13948" w:type="dxa"/>
        <w:tblLayout w:type="fixed"/>
        <w:tblCellMar>
          <w:left w:w="68" w:type="dxa"/>
          <w:right w:w="68" w:type="dxa"/>
        </w:tblCellMar>
        <w:tblLook w:val="04A0" w:firstRow="1" w:lastRow="0" w:firstColumn="1" w:lastColumn="0" w:noHBand="0" w:noVBand="1"/>
      </w:tblPr>
      <w:tblGrid>
        <w:gridCol w:w="979"/>
        <w:gridCol w:w="1151"/>
        <w:gridCol w:w="806"/>
        <w:gridCol w:w="806"/>
        <w:gridCol w:w="805"/>
        <w:gridCol w:w="805"/>
        <w:gridCol w:w="748"/>
        <w:gridCol w:w="748"/>
        <w:gridCol w:w="920"/>
        <w:gridCol w:w="920"/>
        <w:gridCol w:w="920"/>
        <w:gridCol w:w="805"/>
        <w:gridCol w:w="805"/>
        <w:gridCol w:w="920"/>
        <w:gridCol w:w="868"/>
        <w:gridCol w:w="942"/>
      </w:tblGrid>
      <w:tr w:rsidR="0010265C" w:rsidRPr="00261B7A" w14:paraId="08AD62E5" w14:textId="77777777" w:rsidTr="008E52F6">
        <w:tc>
          <w:tcPr>
            <w:tcW w:w="979" w:type="dxa"/>
            <w:vMerge w:val="restart"/>
            <w:tcBorders>
              <w:top w:val="single" w:sz="4" w:space="0" w:color="1B556B" w:themeColor="text2"/>
              <w:left w:val="nil"/>
              <w:bottom w:val="nil"/>
              <w:right w:val="nil"/>
            </w:tcBorders>
            <w:shd w:val="clear" w:color="auto" w:fill="1B556B" w:themeFill="text2"/>
            <w:vAlign w:val="bottom"/>
          </w:tcPr>
          <w:p w14:paraId="15220515" w14:textId="77777777" w:rsidR="0010265C" w:rsidRPr="00261B7A" w:rsidRDefault="0010265C" w:rsidP="002C09A6">
            <w:pPr>
              <w:pStyle w:val="TableTextBold"/>
              <w:rPr>
                <w:rFonts w:cs="Calibri"/>
                <w:noProof w:val="0"/>
                <w:sz w:val="15"/>
                <w:szCs w:val="15"/>
              </w:rPr>
            </w:pPr>
            <w:r w:rsidRPr="00261B7A">
              <w:rPr>
                <w:rFonts w:cs="Calibri"/>
                <w:noProof w:val="0"/>
                <w:color w:val="FFFFFF" w:themeColor="background1"/>
                <w:sz w:val="15"/>
                <w:szCs w:val="15"/>
              </w:rPr>
              <w:t>1989</w:t>
            </w:r>
          </w:p>
        </w:tc>
        <w:tc>
          <w:tcPr>
            <w:tcW w:w="1151" w:type="dxa"/>
            <w:vMerge w:val="restart"/>
            <w:tcBorders>
              <w:top w:val="single" w:sz="4" w:space="0" w:color="1B556B" w:themeColor="text2"/>
              <w:left w:val="nil"/>
              <w:bottom w:val="nil"/>
              <w:right w:val="nil"/>
            </w:tcBorders>
            <w:shd w:val="clear" w:color="auto" w:fill="1B556B" w:themeFill="text2"/>
            <w:vAlign w:val="bottom"/>
          </w:tcPr>
          <w:p w14:paraId="5529BF02" w14:textId="77777777" w:rsidR="0010265C" w:rsidRPr="00261B7A" w:rsidRDefault="0010265C" w:rsidP="002C09A6">
            <w:pPr>
              <w:pStyle w:val="TableTextBold"/>
              <w:rPr>
                <w:rFonts w:cs="Calibri"/>
                <w:noProof w:val="0"/>
                <w:sz w:val="15"/>
                <w:szCs w:val="15"/>
              </w:rPr>
            </w:pPr>
            <w:r w:rsidRPr="00261B7A">
              <w:rPr>
                <w:rFonts w:cs="Calibri"/>
                <w:noProof w:val="0"/>
                <w:color w:val="FFFFFF" w:themeColor="background1"/>
                <w:sz w:val="15"/>
                <w:szCs w:val="15"/>
              </w:rPr>
              <w:t>1962</w:t>
            </w:r>
          </w:p>
        </w:tc>
        <w:tc>
          <w:tcPr>
            <w:tcW w:w="3222" w:type="dxa"/>
            <w:gridSpan w:val="4"/>
            <w:tcBorders>
              <w:top w:val="single" w:sz="4" w:space="0" w:color="1B556B" w:themeColor="text2"/>
              <w:left w:val="nil"/>
              <w:bottom w:val="nil"/>
              <w:right w:val="nil"/>
            </w:tcBorders>
            <w:shd w:val="clear" w:color="auto" w:fill="1B556B" w:themeFill="text2"/>
            <w:vAlign w:val="bottom"/>
          </w:tcPr>
          <w:p w14:paraId="3D919B66" w14:textId="77777777" w:rsidR="0010265C" w:rsidRPr="00261B7A" w:rsidRDefault="0010265C" w:rsidP="00D41492">
            <w:pPr>
              <w:pStyle w:val="TableTextBold"/>
              <w:spacing w:after="20"/>
              <w:jc w:val="center"/>
              <w:rPr>
                <w:rFonts w:cs="Calibri"/>
                <w:noProof w:val="0"/>
                <w:color w:val="FFFFFF" w:themeColor="background1"/>
                <w:sz w:val="15"/>
                <w:szCs w:val="15"/>
              </w:rPr>
            </w:pPr>
            <w:r w:rsidRPr="00261B7A">
              <w:rPr>
                <w:rFonts w:cs="Calibri"/>
                <w:noProof w:val="0"/>
                <w:color w:val="FFFFFF" w:themeColor="background1"/>
                <w:sz w:val="15"/>
                <w:szCs w:val="15"/>
              </w:rPr>
              <w:t>Forest land</w:t>
            </w:r>
          </w:p>
        </w:tc>
        <w:tc>
          <w:tcPr>
            <w:tcW w:w="1496" w:type="dxa"/>
            <w:gridSpan w:val="2"/>
            <w:tcBorders>
              <w:top w:val="single" w:sz="4" w:space="0" w:color="1B556B" w:themeColor="text2"/>
              <w:left w:val="nil"/>
              <w:bottom w:val="nil"/>
              <w:right w:val="nil"/>
            </w:tcBorders>
            <w:shd w:val="clear" w:color="auto" w:fill="1B556B" w:themeFill="text2"/>
            <w:vAlign w:val="bottom"/>
          </w:tcPr>
          <w:p w14:paraId="16037292" w14:textId="77777777" w:rsidR="0010265C" w:rsidRPr="00261B7A" w:rsidRDefault="0010265C" w:rsidP="00D41492">
            <w:pPr>
              <w:pStyle w:val="TableTextBold"/>
              <w:spacing w:after="20"/>
              <w:jc w:val="center"/>
              <w:rPr>
                <w:rFonts w:cs="Calibri"/>
                <w:noProof w:val="0"/>
                <w:color w:val="FFFFFF" w:themeColor="background1"/>
                <w:sz w:val="15"/>
                <w:szCs w:val="15"/>
              </w:rPr>
            </w:pPr>
            <w:r w:rsidRPr="00261B7A">
              <w:rPr>
                <w:rFonts w:cs="Calibri"/>
                <w:noProof w:val="0"/>
                <w:color w:val="FFFFFF" w:themeColor="background1"/>
                <w:sz w:val="15"/>
                <w:szCs w:val="15"/>
              </w:rPr>
              <w:t>Cropland</w:t>
            </w:r>
          </w:p>
        </w:tc>
        <w:tc>
          <w:tcPr>
            <w:tcW w:w="2760" w:type="dxa"/>
            <w:gridSpan w:val="3"/>
            <w:tcBorders>
              <w:top w:val="single" w:sz="4" w:space="0" w:color="1B556B" w:themeColor="text2"/>
              <w:left w:val="nil"/>
              <w:bottom w:val="nil"/>
              <w:right w:val="nil"/>
            </w:tcBorders>
            <w:shd w:val="clear" w:color="auto" w:fill="1B556B" w:themeFill="text2"/>
            <w:vAlign w:val="bottom"/>
          </w:tcPr>
          <w:p w14:paraId="1D4F0EB4" w14:textId="77777777" w:rsidR="0010265C" w:rsidRPr="00261B7A" w:rsidRDefault="0010265C" w:rsidP="00D41492">
            <w:pPr>
              <w:pStyle w:val="TableTextBold"/>
              <w:spacing w:after="20"/>
              <w:jc w:val="center"/>
              <w:rPr>
                <w:rFonts w:cs="Calibri"/>
                <w:noProof w:val="0"/>
                <w:color w:val="FFFFFF" w:themeColor="background1"/>
                <w:sz w:val="15"/>
                <w:szCs w:val="15"/>
              </w:rPr>
            </w:pPr>
            <w:r w:rsidRPr="00261B7A">
              <w:rPr>
                <w:rFonts w:cs="Calibri"/>
                <w:noProof w:val="0"/>
                <w:color w:val="FFFFFF" w:themeColor="background1"/>
                <w:sz w:val="15"/>
                <w:szCs w:val="15"/>
              </w:rPr>
              <w:t>Grassland</w:t>
            </w:r>
          </w:p>
        </w:tc>
        <w:tc>
          <w:tcPr>
            <w:tcW w:w="1610" w:type="dxa"/>
            <w:gridSpan w:val="2"/>
            <w:tcBorders>
              <w:top w:val="single" w:sz="4" w:space="0" w:color="1B556B" w:themeColor="text2"/>
              <w:left w:val="nil"/>
              <w:bottom w:val="nil"/>
              <w:right w:val="nil"/>
            </w:tcBorders>
            <w:shd w:val="clear" w:color="auto" w:fill="1B556B" w:themeFill="text2"/>
            <w:vAlign w:val="bottom"/>
          </w:tcPr>
          <w:p w14:paraId="7CF3C3B0" w14:textId="77777777" w:rsidR="0010265C" w:rsidRPr="00261B7A" w:rsidRDefault="0010265C" w:rsidP="00D41492">
            <w:pPr>
              <w:pStyle w:val="TableTextBold"/>
              <w:spacing w:after="20"/>
              <w:jc w:val="center"/>
              <w:rPr>
                <w:rFonts w:cs="Calibri"/>
                <w:noProof w:val="0"/>
                <w:color w:val="FFFFFF" w:themeColor="background1"/>
                <w:sz w:val="15"/>
                <w:szCs w:val="15"/>
              </w:rPr>
            </w:pPr>
            <w:r w:rsidRPr="00261B7A">
              <w:rPr>
                <w:rFonts w:cs="Calibri"/>
                <w:noProof w:val="0"/>
                <w:color w:val="FFFFFF" w:themeColor="background1"/>
                <w:sz w:val="15"/>
                <w:szCs w:val="15"/>
              </w:rPr>
              <w:t>Wetland</w:t>
            </w:r>
          </w:p>
        </w:tc>
        <w:tc>
          <w:tcPr>
            <w:tcW w:w="920" w:type="dxa"/>
            <w:tcBorders>
              <w:top w:val="single" w:sz="4" w:space="0" w:color="1B556B" w:themeColor="text2"/>
              <w:left w:val="nil"/>
              <w:bottom w:val="nil"/>
              <w:right w:val="nil"/>
            </w:tcBorders>
            <w:shd w:val="clear" w:color="auto" w:fill="1B556B" w:themeFill="text2"/>
            <w:vAlign w:val="bottom"/>
          </w:tcPr>
          <w:p w14:paraId="2EA72EE6" w14:textId="77777777" w:rsidR="0010265C" w:rsidRPr="00261B7A" w:rsidRDefault="0010265C" w:rsidP="00D41492">
            <w:pPr>
              <w:pStyle w:val="TableTextBold"/>
              <w:spacing w:after="20"/>
              <w:jc w:val="center"/>
              <w:rPr>
                <w:rFonts w:cs="Calibri"/>
                <w:noProof w:val="0"/>
                <w:color w:val="FFFFFF" w:themeColor="background1"/>
                <w:sz w:val="15"/>
                <w:szCs w:val="15"/>
              </w:rPr>
            </w:pPr>
            <w:r w:rsidRPr="00261B7A">
              <w:rPr>
                <w:rFonts w:cs="Calibri"/>
                <w:noProof w:val="0"/>
                <w:color w:val="FFFFFF" w:themeColor="background1"/>
                <w:sz w:val="15"/>
                <w:szCs w:val="15"/>
              </w:rPr>
              <w:t>Settlements</w:t>
            </w:r>
          </w:p>
        </w:tc>
        <w:tc>
          <w:tcPr>
            <w:tcW w:w="868" w:type="dxa"/>
            <w:tcBorders>
              <w:top w:val="single" w:sz="4" w:space="0" w:color="1B556B" w:themeColor="text2"/>
              <w:left w:val="nil"/>
              <w:bottom w:val="nil"/>
              <w:right w:val="nil"/>
            </w:tcBorders>
            <w:shd w:val="clear" w:color="auto" w:fill="1B556B" w:themeFill="text2"/>
            <w:vAlign w:val="bottom"/>
          </w:tcPr>
          <w:p w14:paraId="5EBF000D" w14:textId="77777777" w:rsidR="0010265C" w:rsidRPr="00261B7A" w:rsidRDefault="0010265C" w:rsidP="00D41492">
            <w:pPr>
              <w:pStyle w:val="TableTextBold"/>
              <w:spacing w:after="20"/>
              <w:jc w:val="center"/>
              <w:rPr>
                <w:rFonts w:cs="Calibri"/>
                <w:noProof w:val="0"/>
                <w:color w:val="FFFFFF" w:themeColor="background1"/>
                <w:sz w:val="15"/>
                <w:szCs w:val="15"/>
              </w:rPr>
            </w:pPr>
            <w:r w:rsidRPr="00261B7A">
              <w:rPr>
                <w:rFonts w:cs="Calibri"/>
                <w:noProof w:val="0"/>
                <w:color w:val="FFFFFF" w:themeColor="background1"/>
                <w:sz w:val="15"/>
                <w:szCs w:val="15"/>
              </w:rPr>
              <w:t>Other land</w:t>
            </w:r>
          </w:p>
        </w:tc>
        <w:tc>
          <w:tcPr>
            <w:tcW w:w="942" w:type="dxa"/>
            <w:vMerge w:val="restart"/>
            <w:tcBorders>
              <w:top w:val="single" w:sz="4" w:space="0" w:color="1B556B" w:themeColor="text2"/>
              <w:left w:val="nil"/>
              <w:bottom w:val="nil"/>
              <w:right w:val="nil"/>
            </w:tcBorders>
            <w:shd w:val="clear" w:color="auto" w:fill="1B556B" w:themeFill="text2"/>
            <w:vAlign w:val="bottom"/>
          </w:tcPr>
          <w:p w14:paraId="6071CC09" w14:textId="77777777" w:rsidR="0010265C" w:rsidRPr="00261B7A" w:rsidRDefault="0010265C" w:rsidP="00D41492">
            <w:pPr>
              <w:pStyle w:val="TableTextBold"/>
              <w:spacing w:before="0"/>
              <w:jc w:val="center"/>
              <w:rPr>
                <w:rFonts w:cs="Calibri"/>
                <w:noProof w:val="0"/>
                <w:color w:val="FFFFFF" w:themeColor="background1"/>
                <w:sz w:val="15"/>
                <w:szCs w:val="15"/>
              </w:rPr>
            </w:pPr>
            <w:r w:rsidRPr="00261B7A">
              <w:rPr>
                <w:rFonts w:cs="Calibri"/>
                <w:noProof w:val="0"/>
                <w:color w:val="FFFFFF" w:themeColor="background1"/>
                <w:sz w:val="15"/>
                <w:szCs w:val="15"/>
              </w:rPr>
              <w:t>Net area 31 Dec 1989 (kha)</w:t>
            </w:r>
          </w:p>
        </w:tc>
      </w:tr>
      <w:tr w:rsidR="0010265C" w:rsidRPr="00261B7A" w14:paraId="4BFE212E" w14:textId="77777777" w:rsidTr="008E52F6">
        <w:tc>
          <w:tcPr>
            <w:tcW w:w="979" w:type="dxa"/>
            <w:vMerge/>
            <w:tcBorders>
              <w:top w:val="nil"/>
              <w:left w:val="nil"/>
              <w:bottom w:val="single" w:sz="4" w:space="0" w:color="1B556B" w:themeColor="text2"/>
              <w:right w:val="nil"/>
            </w:tcBorders>
            <w:shd w:val="clear" w:color="auto" w:fill="1B556B" w:themeFill="text2"/>
          </w:tcPr>
          <w:p w14:paraId="7EB794B3" w14:textId="77777777" w:rsidR="0010265C" w:rsidRPr="00261B7A" w:rsidRDefault="0010265C" w:rsidP="002C09A6">
            <w:pPr>
              <w:pStyle w:val="TableText"/>
              <w:rPr>
                <w:rFonts w:cs="Calibri"/>
                <w:sz w:val="15"/>
                <w:szCs w:val="15"/>
              </w:rPr>
            </w:pPr>
          </w:p>
        </w:tc>
        <w:tc>
          <w:tcPr>
            <w:tcW w:w="1151" w:type="dxa"/>
            <w:vMerge/>
            <w:tcBorders>
              <w:top w:val="nil"/>
              <w:left w:val="nil"/>
              <w:bottom w:val="single" w:sz="4" w:space="0" w:color="1B556B" w:themeColor="text2"/>
              <w:right w:val="nil"/>
            </w:tcBorders>
            <w:shd w:val="clear" w:color="auto" w:fill="1B556B" w:themeFill="text2"/>
          </w:tcPr>
          <w:p w14:paraId="63D088FE" w14:textId="77777777" w:rsidR="0010265C" w:rsidRPr="00261B7A" w:rsidRDefault="0010265C" w:rsidP="002C09A6">
            <w:pPr>
              <w:pStyle w:val="TableText"/>
              <w:rPr>
                <w:rFonts w:cs="Calibri"/>
                <w:sz w:val="15"/>
                <w:szCs w:val="15"/>
              </w:rPr>
            </w:pPr>
          </w:p>
        </w:tc>
        <w:tc>
          <w:tcPr>
            <w:tcW w:w="806" w:type="dxa"/>
            <w:tcBorders>
              <w:top w:val="nil"/>
              <w:left w:val="nil"/>
              <w:bottom w:val="single" w:sz="4" w:space="0" w:color="1B556B" w:themeColor="text2"/>
              <w:right w:val="nil"/>
            </w:tcBorders>
            <w:shd w:val="clear" w:color="auto" w:fill="1B556B" w:themeFill="text2"/>
            <w:vAlign w:val="bottom"/>
          </w:tcPr>
          <w:p w14:paraId="52245CC0" w14:textId="77777777" w:rsidR="0010265C" w:rsidRPr="00261B7A" w:rsidRDefault="0010265C" w:rsidP="00D41492">
            <w:pPr>
              <w:pStyle w:val="TableText"/>
              <w:spacing w:before="0"/>
              <w:jc w:val="center"/>
              <w:rPr>
                <w:rFonts w:cs="Calibri"/>
                <w:b/>
                <w:color w:val="FFFFFF" w:themeColor="background1"/>
                <w:sz w:val="15"/>
                <w:szCs w:val="15"/>
              </w:rPr>
            </w:pPr>
            <w:r w:rsidRPr="00261B7A">
              <w:rPr>
                <w:rFonts w:cs="Calibri"/>
                <w:b/>
                <w:color w:val="FFFFFF" w:themeColor="background1"/>
                <w:sz w:val="15"/>
                <w:szCs w:val="15"/>
              </w:rPr>
              <w:t>Pre-1990 natural</w:t>
            </w:r>
          </w:p>
        </w:tc>
        <w:tc>
          <w:tcPr>
            <w:tcW w:w="806" w:type="dxa"/>
            <w:tcBorders>
              <w:top w:val="nil"/>
              <w:left w:val="nil"/>
              <w:bottom w:val="single" w:sz="4" w:space="0" w:color="1B556B" w:themeColor="text2"/>
              <w:right w:val="nil"/>
            </w:tcBorders>
            <w:shd w:val="clear" w:color="auto" w:fill="1B556B" w:themeFill="text2"/>
            <w:vAlign w:val="bottom"/>
          </w:tcPr>
          <w:p w14:paraId="580721D7" w14:textId="77777777" w:rsidR="0010265C" w:rsidRPr="00261B7A" w:rsidRDefault="0010265C" w:rsidP="00D41492">
            <w:pPr>
              <w:pStyle w:val="TableText"/>
              <w:spacing w:before="0"/>
              <w:jc w:val="center"/>
              <w:rPr>
                <w:rFonts w:cs="Calibri"/>
                <w:b/>
                <w:color w:val="FFFFFF" w:themeColor="background1"/>
                <w:sz w:val="15"/>
                <w:szCs w:val="15"/>
              </w:rPr>
            </w:pPr>
            <w:r w:rsidRPr="00261B7A">
              <w:rPr>
                <w:rFonts w:cs="Calibri"/>
                <w:b/>
                <w:color w:val="FFFFFF" w:themeColor="background1"/>
                <w:sz w:val="15"/>
                <w:szCs w:val="15"/>
              </w:rPr>
              <w:t>Pre-1990 planted</w:t>
            </w:r>
          </w:p>
        </w:tc>
        <w:tc>
          <w:tcPr>
            <w:tcW w:w="805" w:type="dxa"/>
            <w:tcBorders>
              <w:top w:val="nil"/>
              <w:left w:val="nil"/>
              <w:bottom w:val="single" w:sz="4" w:space="0" w:color="1B556B" w:themeColor="text2"/>
              <w:right w:val="nil"/>
            </w:tcBorders>
            <w:shd w:val="clear" w:color="auto" w:fill="1B556B" w:themeFill="text2"/>
            <w:vAlign w:val="bottom"/>
          </w:tcPr>
          <w:p w14:paraId="24AA2B1F" w14:textId="77777777" w:rsidR="0010265C" w:rsidRPr="00261B7A" w:rsidRDefault="0010265C" w:rsidP="00D41492">
            <w:pPr>
              <w:pStyle w:val="TableText"/>
              <w:spacing w:before="0"/>
              <w:jc w:val="center"/>
              <w:rPr>
                <w:rFonts w:cs="Calibri"/>
                <w:b/>
                <w:color w:val="FFFFFF" w:themeColor="background1"/>
                <w:sz w:val="15"/>
                <w:szCs w:val="15"/>
              </w:rPr>
            </w:pPr>
            <w:r w:rsidRPr="00261B7A">
              <w:rPr>
                <w:rFonts w:cs="Calibri"/>
                <w:b/>
                <w:color w:val="FFFFFF" w:themeColor="background1"/>
                <w:sz w:val="15"/>
                <w:szCs w:val="15"/>
              </w:rPr>
              <w:t>Post-1989 planted</w:t>
            </w:r>
          </w:p>
        </w:tc>
        <w:tc>
          <w:tcPr>
            <w:tcW w:w="805" w:type="dxa"/>
            <w:tcBorders>
              <w:top w:val="nil"/>
              <w:left w:val="nil"/>
              <w:bottom w:val="single" w:sz="4" w:space="0" w:color="1B556B" w:themeColor="text2"/>
              <w:right w:val="nil"/>
            </w:tcBorders>
            <w:shd w:val="clear" w:color="auto" w:fill="1B556B" w:themeFill="text2"/>
            <w:vAlign w:val="bottom"/>
          </w:tcPr>
          <w:p w14:paraId="2F44FAF6" w14:textId="77777777" w:rsidR="0010265C" w:rsidRPr="00261B7A" w:rsidRDefault="0010265C" w:rsidP="00D41492">
            <w:pPr>
              <w:pStyle w:val="TableText"/>
              <w:spacing w:before="0"/>
              <w:jc w:val="center"/>
              <w:rPr>
                <w:rFonts w:cs="Calibri"/>
                <w:b/>
                <w:color w:val="FFFFFF" w:themeColor="background1"/>
                <w:sz w:val="15"/>
                <w:szCs w:val="15"/>
              </w:rPr>
            </w:pPr>
            <w:r w:rsidRPr="00261B7A">
              <w:rPr>
                <w:rFonts w:cs="Calibri"/>
                <w:b/>
                <w:color w:val="FFFFFF" w:themeColor="background1"/>
                <w:sz w:val="15"/>
                <w:szCs w:val="15"/>
              </w:rPr>
              <w:t>Post-1989 natural</w:t>
            </w:r>
          </w:p>
        </w:tc>
        <w:tc>
          <w:tcPr>
            <w:tcW w:w="748" w:type="dxa"/>
            <w:tcBorders>
              <w:top w:val="nil"/>
              <w:left w:val="nil"/>
              <w:bottom w:val="single" w:sz="4" w:space="0" w:color="1B556B" w:themeColor="text2"/>
              <w:right w:val="nil"/>
            </w:tcBorders>
            <w:shd w:val="clear" w:color="auto" w:fill="1B556B" w:themeFill="text2"/>
            <w:vAlign w:val="bottom"/>
          </w:tcPr>
          <w:p w14:paraId="045C79C6" w14:textId="77777777" w:rsidR="0010265C" w:rsidRPr="00261B7A" w:rsidRDefault="0010265C" w:rsidP="00D41492">
            <w:pPr>
              <w:pStyle w:val="TableText"/>
              <w:spacing w:before="0"/>
              <w:jc w:val="center"/>
              <w:rPr>
                <w:rFonts w:cs="Calibri"/>
                <w:b/>
                <w:color w:val="FFFFFF" w:themeColor="background1"/>
                <w:sz w:val="15"/>
                <w:szCs w:val="15"/>
              </w:rPr>
            </w:pPr>
            <w:r w:rsidRPr="00261B7A">
              <w:rPr>
                <w:rFonts w:cs="Calibri"/>
                <w:b/>
                <w:color w:val="FFFFFF" w:themeColor="background1"/>
                <w:sz w:val="15"/>
                <w:szCs w:val="15"/>
              </w:rPr>
              <w:t>Annual</w:t>
            </w:r>
          </w:p>
        </w:tc>
        <w:tc>
          <w:tcPr>
            <w:tcW w:w="748" w:type="dxa"/>
            <w:tcBorders>
              <w:top w:val="nil"/>
              <w:left w:val="nil"/>
              <w:bottom w:val="single" w:sz="4" w:space="0" w:color="1B556B" w:themeColor="text2"/>
              <w:right w:val="nil"/>
            </w:tcBorders>
            <w:shd w:val="clear" w:color="auto" w:fill="1B556B" w:themeFill="text2"/>
            <w:vAlign w:val="bottom"/>
          </w:tcPr>
          <w:p w14:paraId="6AB86291" w14:textId="77777777" w:rsidR="0010265C" w:rsidRPr="00261B7A" w:rsidRDefault="0010265C" w:rsidP="00D41492">
            <w:pPr>
              <w:pStyle w:val="TableText"/>
              <w:spacing w:before="0"/>
              <w:rPr>
                <w:rFonts w:cs="Calibri"/>
                <w:b/>
                <w:color w:val="FFFFFF" w:themeColor="background1"/>
                <w:sz w:val="15"/>
                <w:szCs w:val="15"/>
              </w:rPr>
            </w:pPr>
            <w:r w:rsidRPr="00261B7A">
              <w:rPr>
                <w:rFonts w:cs="Calibri"/>
                <w:b/>
                <w:color w:val="FFFFFF" w:themeColor="background1"/>
                <w:sz w:val="15"/>
                <w:szCs w:val="15"/>
              </w:rPr>
              <w:t>Perennial</w:t>
            </w:r>
          </w:p>
        </w:tc>
        <w:tc>
          <w:tcPr>
            <w:tcW w:w="920" w:type="dxa"/>
            <w:tcBorders>
              <w:top w:val="nil"/>
              <w:left w:val="nil"/>
              <w:bottom w:val="single" w:sz="4" w:space="0" w:color="1B556B" w:themeColor="text2"/>
              <w:right w:val="nil"/>
            </w:tcBorders>
            <w:shd w:val="clear" w:color="auto" w:fill="1B556B" w:themeFill="text2"/>
            <w:vAlign w:val="bottom"/>
          </w:tcPr>
          <w:p w14:paraId="3EAA3303" w14:textId="77777777" w:rsidR="0010265C" w:rsidRPr="00261B7A" w:rsidRDefault="0010265C" w:rsidP="00D41492">
            <w:pPr>
              <w:pStyle w:val="TableText"/>
              <w:spacing w:before="0"/>
              <w:jc w:val="center"/>
              <w:rPr>
                <w:rFonts w:cs="Calibri"/>
                <w:b/>
                <w:color w:val="FFFFFF" w:themeColor="background1"/>
                <w:sz w:val="15"/>
                <w:szCs w:val="15"/>
              </w:rPr>
            </w:pPr>
            <w:r w:rsidRPr="00261B7A">
              <w:rPr>
                <w:rFonts w:cs="Calibri"/>
                <w:b/>
                <w:color w:val="FFFFFF" w:themeColor="background1"/>
                <w:sz w:val="15"/>
                <w:szCs w:val="15"/>
              </w:rPr>
              <w:t>High producing</w:t>
            </w:r>
          </w:p>
        </w:tc>
        <w:tc>
          <w:tcPr>
            <w:tcW w:w="920" w:type="dxa"/>
            <w:tcBorders>
              <w:top w:val="nil"/>
              <w:left w:val="nil"/>
              <w:bottom w:val="single" w:sz="4" w:space="0" w:color="1B556B" w:themeColor="text2"/>
              <w:right w:val="nil"/>
            </w:tcBorders>
            <w:shd w:val="clear" w:color="auto" w:fill="1B556B" w:themeFill="text2"/>
            <w:vAlign w:val="bottom"/>
          </w:tcPr>
          <w:p w14:paraId="2273C7DE" w14:textId="77777777" w:rsidR="0010265C" w:rsidRPr="00261B7A" w:rsidRDefault="0010265C" w:rsidP="00D41492">
            <w:pPr>
              <w:pStyle w:val="TableText"/>
              <w:spacing w:before="0"/>
              <w:jc w:val="center"/>
              <w:rPr>
                <w:rFonts w:cs="Calibri"/>
                <w:b/>
                <w:color w:val="FFFFFF" w:themeColor="background1"/>
                <w:sz w:val="15"/>
                <w:szCs w:val="15"/>
              </w:rPr>
            </w:pPr>
            <w:r w:rsidRPr="00261B7A">
              <w:rPr>
                <w:rFonts w:cs="Calibri"/>
                <w:b/>
                <w:color w:val="FFFFFF" w:themeColor="background1"/>
                <w:sz w:val="15"/>
                <w:szCs w:val="15"/>
              </w:rPr>
              <w:t>Low producing</w:t>
            </w:r>
          </w:p>
        </w:tc>
        <w:tc>
          <w:tcPr>
            <w:tcW w:w="920" w:type="dxa"/>
            <w:tcBorders>
              <w:top w:val="nil"/>
              <w:left w:val="nil"/>
              <w:bottom w:val="single" w:sz="4" w:space="0" w:color="1B556B" w:themeColor="text2"/>
              <w:right w:val="nil"/>
            </w:tcBorders>
            <w:shd w:val="clear" w:color="auto" w:fill="1B556B" w:themeFill="text2"/>
            <w:vAlign w:val="bottom"/>
          </w:tcPr>
          <w:p w14:paraId="4EC757F4" w14:textId="77777777" w:rsidR="0010265C" w:rsidRPr="00261B7A" w:rsidRDefault="0010265C" w:rsidP="00D41492">
            <w:pPr>
              <w:pStyle w:val="TableText"/>
              <w:spacing w:before="0"/>
              <w:jc w:val="center"/>
              <w:rPr>
                <w:rFonts w:cs="Calibri"/>
                <w:b/>
                <w:color w:val="FFFFFF" w:themeColor="background1"/>
                <w:sz w:val="15"/>
                <w:szCs w:val="15"/>
              </w:rPr>
            </w:pPr>
            <w:r w:rsidRPr="00261B7A">
              <w:rPr>
                <w:rFonts w:cs="Calibri"/>
                <w:b/>
                <w:color w:val="FFFFFF" w:themeColor="background1"/>
                <w:sz w:val="15"/>
                <w:szCs w:val="15"/>
              </w:rPr>
              <w:t>With woody biomass</w:t>
            </w:r>
          </w:p>
        </w:tc>
        <w:tc>
          <w:tcPr>
            <w:tcW w:w="805" w:type="dxa"/>
            <w:tcBorders>
              <w:top w:val="nil"/>
              <w:left w:val="nil"/>
              <w:bottom w:val="single" w:sz="4" w:space="0" w:color="1B556B" w:themeColor="text2"/>
              <w:right w:val="nil"/>
            </w:tcBorders>
            <w:shd w:val="clear" w:color="auto" w:fill="1B556B" w:themeFill="text2"/>
            <w:vAlign w:val="bottom"/>
          </w:tcPr>
          <w:p w14:paraId="50861058" w14:textId="77777777" w:rsidR="0010265C" w:rsidRPr="00261B7A" w:rsidRDefault="0010265C" w:rsidP="00D41492">
            <w:pPr>
              <w:pStyle w:val="TableText"/>
              <w:spacing w:before="0"/>
              <w:jc w:val="center"/>
              <w:rPr>
                <w:rFonts w:cs="Calibri"/>
                <w:b/>
                <w:color w:val="FFFFFF" w:themeColor="background1"/>
                <w:sz w:val="15"/>
                <w:szCs w:val="15"/>
              </w:rPr>
            </w:pPr>
            <w:r w:rsidRPr="00261B7A">
              <w:rPr>
                <w:rFonts w:cs="Calibri"/>
                <w:b/>
                <w:color w:val="FFFFFF" w:themeColor="background1"/>
                <w:sz w:val="15"/>
                <w:szCs w:val="15"/>
              </w:rPr>
              <w:t>Open water</w:t>
            </w:r>
          </w:p>
        </w:tc>
        <w:tc>
          <w:tcPr>
            <w:tcW w:w="805" w:type="dxa"/>
            <w:tcBorders>
              <w:top w:val="nil"/>
              <w:left w:val="nil"/>
              <w:bottom w:val="single" w:sz="4" w:space="0" w:color="1B556B" w:themeColor="text2"/>
              <w:right w:val="nil"/>
            </w:tcBorders>
            <w:shd w:val="clear" w:color="auto" w:fill="1B556B" w:themeFill="text2"/>
            <w:vAlign w:val="bottom"/>
          </w:tcPr>
          <w:p w14:paraId="422DDE9A" w14:textId="77777777" w:rsidR="0010265C" w:rsidRPr="00261B7A" w:rsidRDefault="0010265C" w:rsidP="00D41492">
            <w:pPr>
              <w:pStyle w:val="TableText"/>
              <w:spacing w:before="0"/>
              <w:jc w:val="center"/>
              <w:rPr>
                <w:rFonts w:cs="Calibri"/>
                <w:b/>
                <w:color w:val="FFFFFF" w:themeColor="background1"/>
                <w:sz w:val="15"/>
                <w:szCs w:val="15"/>
              </w:rPr>
            </w:pPr>
            <w:r w:rsidRPr="00261B7A">
              <w:rPr>
                <w:rFonts w:cs="Calibri"/>
                <w:b/>
                <w:color w:val="FFFFFF" w:themeColor="background1"/>
                <w:sz w:val="15"/>
                <w:szCs w:val="15"/>
              </w:rPr>
              <w:t>Vegetated</w:t>
            </w:r>
          </w:p>
        </w:tc>
        <w:tc>
          <w:tcPr>
            <w:tcW w:w="920" w:type="dxa"/>
            <w:tcBorders>
              <w:top w:val="nil"/>
              <w:left w:val="nil"/>
              <w:bottom w:val="single" w:sz="4" w:space="0" w:color="1B556B" w:themeColor="text2"/>
              <w:right w:val="nil"/>
            </w:tcBorders>
            <w:shd w:val="clear" w:color="auto" w:fill="1B556B" w:themeFill="text2"/>
            <w:vAlign w:val="bottom"/>
          </w:tcPr>
          <w:p w14:paraId="74C1A397" w14:textId="77777777" w:rsidR="0010265C" w:rsidRPr="00261B7A" w:rsidRDefault="0010265C" w:rsidP="00D41492">
            <w:pPr>
              <w:pStyle w:val="TableText"/>
              <w:spacing w:before="0"/>
              <w:jc w:val="center"/>
              <w:rPr>
                <w:rFonts w:cs="Calibri"/>
                <w:b/>
                <w:color w:val="FFFFFF" w:themeColor="background1"/>
                <w:sz w:val="15"/>
                <w:szCs w:val="15"/>
              </w:rPr>
            </w:pPr>
            <w:r w:rsidRPr="00261B7A">
              <w:rPr>
                <w:rFonts w:cs="Calibri"/>
                <w:b/>
                <w:color w:val="FFFFFF" w:themeColor="background1"/>
                <w:sz w:val="15"/>
                <w:szCs w:val="15"/>
              </w:rPr>
              <w:t>Settlements</w:t>
            </w:r>
          </w:p>
        </w:tc>
        <w:tc>
          <w:tcPr>
            <w:tcW w:w="868" w:type="dxa"/>
            <w:tcBorders>
              <w:top w:val="nil"/>
              <w:left w:val="nil"/>
              <w:bottom w:val="single" w:sz="4" w:space="0" w:color="1B556B" w:themeColor="text2"/>
              <w:right w:val="nil"/>
            </w:tcBorders>
            <w:shd w:val="clear" w:color="auto" w:fill="1B556B" w:themeFill="text2"/>
            <w:vAlign w:val="bottom"/>
          </w:tcPr>
          <w:p w14:paraId="43ADDC67" w14:textId="77777777" w:rsidR="0010265C" w:rsidRPr="00261B7A" w:rsidRDefault="0010265C" w:rsidP="00D41492">
            <w:pPr>
              <w:pStyle w:val="TableText"/>
              <w:spacing w:before="0"/>
              <w:jc w:val="center"/>
              <w:rPr>
                <w:rFonts w:cs="Calibri"/>
                <w:b/>
                <w:color w:val="FFFFFF" w:themeColor="background1"/>
                <w:sz w:val="15"/>
                <w:szCs w:val="15"/>
              </w:rPr>
            </w:pPr>
            <w:r w:rsidRPr="00261B7A">
              <w:rPr>
                <w:rFonts w:cs="Calibri"/>
                <w:b/>
                <w:color w:val="FFFFFF" w:themeColor="background1"/>
                <w:sz w:val="15"/>
                <w:szCs w:val="15"/>
              </w:rPr>
              <w:t>Other land</w:t>
            </w:r>
          </w:p>
        </w:tc>
        <w:tc>
          <w:tcPr>
            <w:tcW w:w="942" w:type="dxa"/>
            <w:vMerge/>
            <w:tcBorders>
              <w:top w:val="nil"/>
              <w:left w:val="nil"/>
              <w:bottom w:val="single" w:sz="4" w:space="0" w:color="1B556B" w:themeColor="text2"/>
              <w:right w:val="nil"/>
            </w:tcBorders>
            <w:shd w:val="clear" w:color="auto" w:fill="1B556B" w:themeFill="text2"/>
          </w:tcPr>
          <w:p w14:paraId="7FED41B1" w14:textId="77777777" w:rsidR="0010265C" w:rsidRPr="00261B7A" w:rsidRDefault="0010265C" w:rsidP="00D41492">
            <w:pPr>
              <w:pStyle w:val="TableTextBold"/>
              <w:jc w:val="center"/>
              <w:rPr>
                <w:rFonts w:cs="Calibri"/>
                <w:noProof w:val="0"/>
                <w:color w:val="FFFFFF" w:themeColor="background1"/>
                <w:sz w:val="15"/>
                <w:szCs w:val="15"/>
              </w:rPr>
            </w:pPr>
          </w:p>
        </w:tc>
      </w:tr>
      <w:tr w:rsidR="0010265C" w:rsidRPr="00261B7A" w14:paraId="6128EE47" w14:textId="77777777" w:rsidTr="008E52F6">
        <w:tc>
          <w:tcPr>
            <w:tcW w:w="979" w:type="dxa"/>
            <w:vMerge w:val="restart"/>
            <w:tcBorders>
              <w:top w:val="single" w:sz="4" w:space="0" w:color="1B556B" w:themeColor="text2"/>
              <w:left w:val="nil"/>
              <w:bottom w:val="single" w:sz="4" w:space="0" w:color="1B556B"/>
              <w:right w:val="nil"/>
            </w:tcBorders>
          </w:tcPr>
          <w:p w14:paraId="6F4BC18B" w14:textId="77777777" w:rsidR="0010265C" w:rsidRPr="00261B7A" w:rsidRDefault="0010265C" w:rsidP="002C09A6">
            <w:pPr>
              <w:pStyle w:val="TableTextBold"/>
              <w:spacing w:before="40" w:after="40"/>
              <w:rPr>
                <w:rFonts w:cs="Calibri"/>
                <w:noProof w:val="0"/>
                <w:szCs w:val="16"/>
              </w:rPr>
            </w:pPr>
            <w:r w:rsidRPr="00261B7A">
              <w:rPr>
                <w:rFonts w:cs="Calibri"/>
                <w:noProof w:val="0"/>
                <w:szCs w:val="16"/>
              </w:rPr>
              <w:t>Forest land</w:t>
            </w:r>
          </w:p>
        </w:tc>
        <w:tc>
          <w:tcPr>
            <w:tcW w:w="1151" w:type="dxa"/>
            <w:tcBorders>
              <w:top w:val="single" w:sz="4" w:space="0" w:color="1B556B" w:themeColor="text2"/>
              <w:left w:val="nil"/>
              <w:bottom w:val="nil"/>
              <w:right w:val="single" w:sz="4" w:space="0" w:color="1B556B"/>
            </w:tcBorders>
            <w:vAlign w:val="center"/>
          </w:tcPr>
          <w:p w14:paraId="484CD78C" w14:textId="77777777" w:rsidR="0010265C" w:rsidRPr="00261B7A" w:rsidRDefault="0010265C" w:rsidP="002C09A6">
            <w:pPr>
              <w:pStyle w:val="TableText"/>
              <w:spacing w:before="40" w:after="40"/>
              <w:rPr>
                <w:rFonts w:cs="Calibri"/>
                <w:szCs w:val="16"/>
              </w:rPr>
            </w:pPr>
            <w:r w:rsidRPr="00261B7A">
              <w:rPr>
                <w:rFonts w:cs="Calibri"/>
                <w:szCs w:val="16"/>
              </w:rPr>
              <w:t xml:space="preserve">Pre-1990 natural </w:t>
            </w:r>
          </w:p>
        </w:tc>
        <w:tc>
          <w:tcPr>
            <w:tcW w:w="806" w:type="dxa"/>
            <w:tcBorders>
              <w:top w:val="single" w:sz="4" w:space="0" w:color="1B556B" w:themeColor="text2"/>
              <w:left w:val="single" w:sz="4" w:space="0" w:color="1B556B"/>
              <w:bottom w:val="nil"/>
              <w:right w:val="nil"/>
            </w:tcBorders>
            <w:shd w:val="clear" w:color="auto" w:fill="D2DDE1" w:themeFill="background2"/>
            <w:vAlign w:val="center"/>
          </w:tcPr>
          <w:p w14:paraId="46F5FEFC"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7,777.1</w:t>
            </w:r>
          </w:p>
        </w:tc>
        <w:tc>
          <w:tcPr>
            <w:tcW w:w="806" w:type="dxa"/>
            <w:tcBorders>
              <w:top w:val="single" w:sz="4" w:space="0" w:color="1B556B" w:themeColor="text2"/>
              <w:left w:val="nil"/>
              <w:bottom w:val="nil"/>
              <w:right w:val="nil"/>
            </w:tcBorders>
            <w:vAlign w:val="center"/>
          </w:tcPr>
          <w:p w14:paraId="6643DD51" w14:textId="77777777" w:rsidR="0010265C" w:rsidRPr="00261B7A" w:rsidRDefault="0010265C" w:rsidP="002C09A6">
            <w:pPr>
              <w:pStyle w:val="TableText"/>
              <w:spacing w:before="40" w:after="40"/>
              <w:jc w:val="right"/>
              <w:rPr>
                <w:rFonts w:cs="Calibri"/>
                <w:szCs w:val="16"/>
              </w:rPr>
            </w:pPr>
          </w:p>
        </w:tc>
        <w:tc>
          <w:tcPr>
            <w:tcW w:w="805" w:type="dxa"/>
            <w:tcBorders>
              <w:top w:val="single" w:sz="4" w:space="0" w:color="1B556B" w:themeColor="text2"/>
              <w:left w:val="nil"/>
              <w:bottom w:val="nil"/>
              <w:right w:val="nil"/>
            </w:tcBorders>
            <w:vAlign w:val="center"/>
          </w:tcPr>
          <w:p w14:paraId="548E491C" w14:textId="77777777" w:rsidR="0010265C" w:rsidRPr="00261B7A" w:rsidRDefault="0010265C" w:rsidP="002C09A6">
            <w:pPr>
              <w:pStyle w:val="TableText"/>
              <w:spacing w:before="40" w:after="40"/>
              <w:jc w:val="right"/>
              <w:rPr>
                <w:rFonts w:cs="Calibri"/>
                <w:szCs w:val="16"/>
              </w:rPr>
            </w:pPr>
          </w:p>
        </w:tc>
        <w:tc>
          <w:tcPr>
            <w:tcW w:w="805" w:type="dxa"/>
            <w:tcBorders>
              <w:top w:val="single" w:sz="4" w:space="0" w:color="1B556B" w:themeColor="text2"/>
              <w:left w:val="nil"/>
              <w:bottom w:val="nil"/>
              <w:right w:val="single" w:sz="4" w:space="0" w:color="1B556B"/>
            </w:tcBorders>
            <w:vAlign w:val="center"/>
          </w:tcPr>
          <w:p w14:paraId="7197AB75"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single" w:sz="4" w:space="0" w:color="1B556B" w:themeColor="text2"/>
              <w:left w:val="single" w:sz="4" w:space="0" w:color="1B556B"/>
              <w:bottom w:val="nil"/>
              <w:right w:val="nil"/>
            </w:tcBorders>
            <w:vAlign w:val="center"/>
          </w:tcPr>
          <w:p w14:paraId="6299A41C" w14:textId="77777777" w:rsidR="0010265C" w:rsidRPr="00261B7A" w:rsidRDefault="0010265C" w:rsidP="002C09A6">
            <w:pPr>
              <w:pStyle w:val="TableText"/>
              <w:spacing w:before="40" w:after="40"/>
              <w:jc w:val="right"/>
              <w:rPr>
                <w:rFonts w:cs="Calibri"/>
                <w:szCs w:val="16"/>
              </w:rPr>
            </w:pPr>
          </w:p>
        </w:tc>
        <w:tc>
          <w:tcPr>
            <w:tcW w:w="748" w:type="dxa"/>
            <w:tcBorders>
              <w:top w:val="single" w:sz="4" w:space="0" w:color="1B556B" w:themeColor="text2"/>
              <w:left w:val="nil"/>
              <w:bottom w:val="nil"/>
              <w:right w:val="single" w:sz="4" w:space="0" w:color="1B556B"/>
            </w:tcBorders>
            <w:vAlign w:val="center"/>
          </w:tcPr>
          <w:p w14:paraId="3B39A2B5"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single" w:sz="4" w:space="0" w:color="1B556B" w:themeColor="text2"/>
              <w:left w:val="single" w:sz="4" w:space="0" w:color="1B556B"/>
              <w:bottom w:val="nil"/>
              <w:right w:val="nil"/>
            </w:tcBorders>
            <w:vAlign w:val="center"/>
          </w:tcPr>
          <w:p w14:paraId="2D23E01C" w14:textId="77777777" w:rsidR="0010265C" w:rsidRPr="00261B7A" w:rsidRDefault="0010265C" w:rsidP="002C09A6">
            <w:pPr>
              <w:pStyle w:val="TableText"/>
              <w:spacing w:before="40" w:after="40"/>
              <w:jc w:val="right"/>
              <w:rPr>
                <w:rFonts w:cs="Calibri"/>
                <w:szCs w:val="16"/>
              </w:rPr>
            </w:pPr>
          </w:p>
        </w:tc>
        <w:tc>
          <w:tcPr>
            <w:tcW w:w="920" w:type="dxa"/>
            <w:tcBorders>
              <w:top w:val="single" w:sz="4" w:space="0" w:color="1B556B" w:themeColor="text2"/>
              <w:left w:val="nil"/>
              <w:bottom w:val="nil"/>
              <w:right w:val="nil"/>
            </w:tcBorders>
            <w:vAlign w:val="center"/>
          </w:tcPr>
          <w:p w14:paraId="54594A4B" w14:textId="77777777" w:rsidR="0010265C" w:rsidRPr="00261B7A" w:rsidRDefault="0010265C" w:rsidP="002C09A6">
            <w:pPr>
              <w:pStyle w:val="TableText"/>
              <w:spacing w:before="40" w:after="40"/>
              <w:jc w:val="right"/>
              <w:rPr>
                <w:rFonts w:cs="Calibri"/>
                <w:szCs w:val="16"/>
              </w:rPr>
            </w:pPr>
          </w:p>
        </w:tc>
        <w:tc>
          <w:tcPr>
            <w:tcW w:w="920" w:type="dxa"/>
            <w:tcBorders>
              <w:top w:val="single" w:sz="4" w:space="0" w:color="1B556B" w:themeColor="text2"/>
              <w:left w:val="nil"/>
              <w:bottom w:val="nil"/>
              <w:right w:val="single" w:sz="4" w:space="0" w:color="1B556B"/>
            </w:tcBorders>
            <w:vAlign w:val="center"/>
          </w:tcPr>
          <w:p w14:paraId="0083FAF6"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42.6</w:t>
            </w:r>
          </w:p>
        </w:tc>
        <w:tc>
          <w:tcPr>
            <w:tcW w:w="805" w:type="dxa"/>
            <w:tcBorders>
              <w:top w:val="single" w:sz="4" w:space="0" w:color="1B556B" w:themeColor="text2"/>
              <w:left w:val="single" w:sz="4" w:space="0" w:color="1B556B"/>
              <w:bottom w:val="nil"/>
              <w:right w:val="nil"/>
            </w:tcBorders>
            <w:vAlign w:val="center"/>
          </w:tcPr>
          <w:p w14:paraId="623F6F6E" w14:textId="77777777" w:rsidR="0010265C" w:rsidRPr="00261B7A" w:rsidRDefault="0010265C" w:rsidP="002C09A6">
            <w:pPr>
              <w:pStyle w:val="TableText"/>
              <w:spacing w:before="40" w:after="40"/>
              <w:jc w:val="right"/>
              <w:rPr>
                <w:rFonts w:cs="Calibri"/>
                <w:szCs w:val="16"/>
              </w:rPr>
            </w:pPr>
          </w:p>
        </w:tc>
        <w:tc>
          <w:tcPr>
            <w:tcW w:w="805" w:type="dxa"/>
            <w:tcBorders>
              <w:top w:val="single" w:sz="4" w:space="0" w:color="1B556B" w:themeColor="text2"/>
              <w:left w:val="nil"/>
              <w:bottom w:val="nil"/>
              <w:right w:val="single" w:sz="4" w:space="0" w:color="1B556B"/>
            </w:tcBorders>
            <w:vAlign w:val="center"/>
          </w:tcPr>
          <w:p w14:paraId="36A2B46A"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single" w:sz="4" w:space="0" w:color="1B556B" w:themeColor="text2"/>
              <w:left w:val="single" w:sz="4" w:space="0" w:color="1B556B"/>
              <w:bottom w:val="nil"/>
              <w:right w:val="single" w:sz="4" w:space="0" w:color="1B556B"/>
            </w:tcBorders>
            <w:vAlign w:val="center"/>
          </w:tcPr>
          <w:p w14:paraId="1AF02991"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68" w:type="dxa"/>
            <w:tcBorders>
              <w:top w:val="single" w:sz="4" w:space="0" w:color="1B556B" w:themeColor="text2"/>
              <w:left w:val="single" w:sz="4" w:space="0" w:color="1B556B"/>
              <w:bottom w:val="nil"/>
              <w:right w:val="single" w:sz="4" w:space="0" w:color="1B556B"/>
            </w:tcBorders>
            <w:vAlign w:val="center"/>
          </w:tcPr>
          <w:p w14:paraId="0A77581A"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42" w:type="dxa"/>
            <w:tcBorders>
              <w:top w:val="single" w:sz="4" w:space="0" w:color="1B556B" w:themeColor="text2"/>
              <w:left w:val="single" w:sz="4" w:space="0" w:color="1B556B"/>
              <w:bottom w:val="nil"/>
              <w:right w:val="nil"/>
            </w:tcBorders>
            <w:vAlign w:val="center"/>
          </w:tcPr>
          <w:p w14:paraId="1F7B884E" w14:textId="77777777" w:rsidR="0010265C" w:rsidRPr="00261B7A" w:rsidRDefault="0010265C" w:rsidP="002C09A6">
            <w:pPr>
              <w:pStyle w:val="TableTextBold"/>
              <w:spacing w:before="40" w:after="40"/>
              <w:jc w:val="right"/>
              <w:rPr>
                <w:rFonts w:cs="Calibri"/>
                <w:noProof w:val="0"/>
                <w:szCs w:val="16"/>
              </w:rPr>
            </w:pPr>
            <w:r w:rsidRPr="00261B7A">
              <w:rPr>
                <w:rFonts w:cs="Calibri"/>
                <w:noProof w:val="0"/>
                <w:color w:val="000000"/>
                <w:szCs w:val="16"/>
              </w:rPr>
              <w:t>7,819.7</w:t>
            </w:r>
          </w:p>
        </w:tc>
      </w:tr>
      <w:tr w:rsidR="0010265C" w:rsidRPr="00261B7A" w14:paraId="5231F9F1" w14:textId="77777777" w:rsidTr="008E52F6">
        <w:tc>
          <w:tcPr>
            <w:tcW w:w="979" w:type="dxa"/>
            <w:vMerge/>
            <w:tcBorders>
              <w:top w:val="single" w:sz="4" w:space="0" w:color="1B556B"/>
              <w:left w:val="nil"/>
              <w:bottom w:val="single" w:sz="4" w:space="0" w:color="1B556B"/>
              <w:right w:val="nil"/>
            </w:tcBorders>
          </w:tcPr>
          <w:p w14:paraId="7A4A00BE" w14:textId="77777777" w:rsidR="0010265C" w:rsidRPr="00261B7A" w:rsidRDefault="0010265C" w:rsidP="002C09A6">
            <w:pPr>
              <w:pStyle w:val="TableText"/>
              <w:spacing w:before="40" w:after="40"/>
              <w:rPr>
                <w:rFonts w:cs="Calibri"/>
                <w:szCs w:val="16"/>
              </w:rPr>
            </w:pPr>
          </w:p>
        </w:tc>
        <w:tc>
          <w:tcPr>
            <w:tcW w:w="1151" w:type="dxa"/>
            <w:tcBorders>
              <w:top w:val="nil"/>
              <w:left w:val="nil"/>
              <w:bottom w:val="nil"/>
              <w:right w:val="single" w:sz="4" w:space="0" w:color="1B556B"/>
            </w:tcBorders>
            <w:vAlign w:val="center"/>
          </w:tcPr>
          <w:p w14:paraId="040B68E5" w14:textId="77777777" w:rsidR="0010265C" w:rsidRPr="00261B7A" w:rsidRDefault="0010265C" w:rsidP="002C09A6">
            <w:pPr>
              <w:pStyle w:val="TableText"/>
              <w:spacing w:before="40" w:after="40"/>
              <w:rPr>
                <w:rFonts w:cs="Calibri"/>
                <w:szCs w:val="16"/>
              </w:rPr>
            </w:pPr>
            <w:r w:rsidRPr="00261B7A">
              <w:rPr>
                <w:rFonts w:cs="Calibri"/>
                <w:szCs w:val="16"/>
              </w:rPr>
              <w:t>Pre-1990 planted</w:t>
            </w:r>
          </w:p>
        </w:tc>
        <w:tc>
          <w:tcPr>
            <w:tcW w:w="806" w:type="dxa"/>
            <w:tcBorders>
              <w:top w:val="nil"/>
              <w:left w:val="single" w:sz="4" w:space="0" w:color="1B556B"/>
              <w:bottom w:val="nil"/>
              <w:right w:val="nil"/>
            </w:tcBorders>
            <w:vAlign w:val="center"/>
          </w:tcPr>
          <w:p w14:paraId="44C3D403"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298.7</w:t>
            </w:r>
          </w:p>
        </w:tc>
        <w:tc>
          <w:tcPr>
            <w:tcW w:w="806" w:type="dxa"/>
            <w:tcBorders>
              <w:top w:val="nil"/>
              <w:left w:val="nil"/>
              <w:bottom w:val="nil"/>
              <w:right w:val="nil"/>
            </w:tcBorders>
            <w:shd w:val="clear" w:color="auto" w:fill="D2DDE1" w:themeFill="background2"/>
            <w:vAlign w:val="center"/>
          </w:tcPr>
          <w:p w14:paraId="27A9411F"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456.7</w:t>
            </w:r>
          </w:p>
        </w:tc>
        <w:tc>
          <w:tcPr>
            <w:tcW w:w="805" w:type="dxa"/>
            <w:tcBorders>
              <w:top w:val="nil"/>
              <w:left w:val="nil"/>
              <w:bottom w:val="nil"/>
              <w:right w:val="nil"/>
            </w:tcBorders>
            <w:vAlign w:val="center"/>
          </w:tcPr>
          <w:p w14:paraId="2334076C" w14:textId="77777777" w:rsidR="0010265C" w:rsidRPr="00261B7A" w:rsidRDefault="0010265C" w:rsidP="002C09A6">
            <w:pPr>
              <w:pStyle w:val="TableText"/>
              <w:spacing w:before="40" w:after="40"/>
              <w:jc w:val="right"/>
              <w:rPr>
                <w:rFonts w:cs="Calibri"/>
                <w:szCs w:val="16"/>
              </w:rPr>
            </w:pPr>
          </w:p>
        </w:tc>
        <w:tc>
          <w:tcPr>
            <w:tcW w:w="805" w:type="dxa"/>
            <w:tcBorders>
              <w:top w:val="nil"/>
              <w:left w:val="nil"/>
              <w:bottom w:val="nil"/>
              <w:right w:val="single" w:sz="4" w:space="0" w:color="1B556B"/>
            </w:tcBorders>
            <w:vAlign w:val="center"/>
          </w:tcPr>
          <w:p w14:paraId="1E0D86D0"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nil"/>
              <w:left w:val="single" w:sz="4" w:space="0" w:color="1B556B"/>
              <w:bottom w:val="nil"/>
              <w:right w:val="nil"/>
            </w:tcBorders>
            <w:vAlign w:val="center"/>
          </w:tcPr>
          <w:p w14:paraId="07F9A578" w14:textId="77777777" w:rsidR="0010265C" w:rsidRPr="00261B7A" w:rsidRDefault="0010265C" w:rsidP="002C09A6">
            <w:pPr>
              <w:pStyle w:val="TableText"/>
              <w:spacing w:before="40" w:after="40"/>
              <w:jc w:val="right"/>
              <w:rPr>
                <w:rFonts w:cs="Calibri"/>
                <w:szCs w:val="16"/>
              </w:rPr>
            </w:pPr>
          </w:p>
        </w:tc>
        <w:tc>
          <w:tcPr>
            <w:tcW w:w="748" w:type="dxa"/>
            <w:tcBorders>
              <w:top w:val="nil"/>
              <w:left w:val="nil"/>
              <w:bottom w:val="nil"/>
              <w:right w:val="single" w:sz="4" w:space="0" w:color="1B556B"/>
            </w:tcBorders>
            <w:vAlign w:val="center"/>
          </w:tcPr>
          <w:p w14:paraId="0F4DA026"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single" w:sz="4" w:space="0" w:color="1B556B"/>
              <w:bottom w:val="nil"/>
              <w:right w:val="nil"/>
            </w:tcBorders>
            <w:vAlign w:val="center"/>
          </w:tcPr>
          <w:p w14:paraId="30058415" w14:textId="77777777" w:rsidR="0010265C" w:rsidRPr="00261B7A" w:rsidRDefault="0010265C" w:rsidP="002C09A6">
            <w:pPr>
              <w:pStyle w:val="TableText"/>
              <w:spacing w:before="40" w:after="40"/>
              <w:jc w:val="right"/>
              <w:rPr>
                <w:rFonts w:cs="Calibri"/>
                <w:szCs w:val="16"/>
              </w:rPr>
            </w:pPr>
          </w:p>
        </w:tc>
        <w:tc>
          <w:tcPr>
            <w:tcW w:w="920" w:type="dxa"/>
            <w:tcBorders>
              <w:top w:val="nil"/>
              <w:left w:val="nil"/>
              <w:bottom w:val="nil"/>
              <w:right w:val="nil"/>
            </w:tcBorders>
            <w:vAlign w:val="center"/>
          </w:tcPr>
          <w:p w14:paraId="5EA8EEE5"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389.4</w:t>
            </w:r>
          </w:p>
        </w:tc>
        <w:tc>
          <w:tcPr>
            <w:tcW w:w="920" w:type="dxa"/>
            <w:tcBorders>
              <w:top w:val="nil"/>
              <w:left w:val="nil"/>
              <w:bottom w:val="nil"/>
              <w:right w:val="single" w:sz="4" w:space="0" w:color="1B556B"/>
            </w:tcBorders>
            <w:vAlign w:val="center"/>
          </w:tcPr>
          <w:p w14:paraId="11E1BC28"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402.4</w:t>
            </w:r>
          </w:p>
        </w:tc>
        <w:tc>
          <w:tcPr>
            <w:tcW w:w="805" w:type="dxa"/>
            <w:tcBorders>
              <w:top w:val="nil"/>
              <w:left w:val="single" w:sz="4" w:space="0" w:color="1B556B"/>
              <w:bottom w:val="nil"/>
              <w:right w:val="nil"/>
            </w:tcBorders>
            <w:vAlign w:val="center"/>
          </w:tcPr>
          <w:p w14:paraId="1BFC12C4" w14:textId="77777777" w:rsidR="0010265C" w:rsidRPr="00261B7A" w:rsidRDefault="0010265C" w:rsidP="002C09A6">
            <w:pPr>
              <w:pStyle w:val="TableText"/>
              <w:spacing w:before="40" w:after="40"/>
              <w:jc w:val="right"/>
              <w:rPr>
                <w:rFonts w:cs="Calibri"/>
                <w:szCs w:val="16"/>
              </w:rPr>
            </w:pPr>
          </w:p>
        </w:tc>
        <w:tc>
          <w:tcPr>
            <w:tcW w:w="805" w:type="dxa"/>
            <w:tcBorders>
              <w:top w:val="nil"/>
              <w:left w:val="nil"/>
              <w:bottom w:val="nil"/>
              <w:right w:val="single" w:sz="4" w:space="0" w:color="1B556B"/>
            </w:tcBorders>
            <w:vAlign w:val="center"/>
          </w:tcPr>
          <w:p w14:paraId="3068A094"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single" w:sz="4" w:space="0" w:color="1B556B"/>
              <w:bottom w:val="nil"/>
              <w:right w:val="single" w:sz="4" w:space="0" w:color="1B556B"/>
            </w:tcBorders>
            <w:vAlign w:val="center"/>
          </w:tcPr>
          <w:p w14:paraId="38E50A29"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68" w:type="dxa"/>
            <w:tcBorders>
              <w:top w:val="nil"/>
              <w:left w:val="single" w:sz="4" w:space="0" w:color="1B556B"/>
              <w:bottom w:val="nil"/>
              <w:right w:val="single" w:sz="4" w:space="0" w:color="1B556B"/>
            </w:tcBorders>
            <w:vAlign w:val="center"/>
          </w:tcPr>
          <w:p w14:paraId="45C389CE"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42" w:type="dxa"/>
            <w:tcBorders>
              <w:top w:val="nil"/>
              <w:left w:val="single" w:sz="4" w:space="0" w:color="1B556B"/>
              <w:bottom w:val="nil"/>
              <w:right w:val="nil"/>
            </w:tcBorders>
            <w:vAlign w:val="center"/>
          </w:tcPr>
          <w:p w14:paraId="798A858A" w14:textId="77777777" w:rsidR="0010265C" w:rsidRPr="00261B7A" w:rsidRDefault="0010265C" w:rsidP="002C09A6">
            <w:pPr>
              <w:pStyle w:val="TableTextBold"/>
              <w:spacing w:before="40" w:after="40"/>
              <w:jc w:val="right"/>
              <w:rPr>
                <w:rFonts w:cs="Calibri"/>
                <w:noProof w:val="0"/>
                <w:szCs w:val="16"/>
              </w:rPr>
            </w:pPr>
            <w:r w:rsidRPr="00261B7A">
              <w:rPr>
                <w:rFonts w:cs="Calibri"/>
                <w:noProof w:val="0"/>
                <w:color w:val="000000"/>
                <w:szCs w:val="16"/>
              </w:rPr>
              <w:t>1,547.2</w:t>
            </w:r>
          </w:p>
        </w:tc>
      </w:tr>
      <w:tr w:rsidR="0010265C" w:rsidRPr="00261B7A" w14:paraId="355B9763" w14:textId="77777777" w:rsidTr="008E52F6">
        <w:tc>
          <w:tcPr>
            <w:tcW w:w="979" w:type="dxa"/>
            <w:vMerge/>
            <w:tcBorders>
              <w:top w:val="single" w:sz="4" w:space="0" w:color="1B556B"/>
              <w:left w:val="nil"/>
              <w:bottom w:val="single" w:sz="4" w:space="0" w:color="1B556B"/>
              <w:right w:val="nil"/>
            </w:tcBorders>
          </w:tcPr>
          <w:p w14:paraId="624E614C" w14:textId="77777777" w:rsidR="0010265C" w:rsidRPr="00261B7A" w:rsidRDefault="0010265C" w:rsidP="002C09A6">
            <w:pPr>
              <w:pStyle w:val="TableText"/>
              <w:spacing w:before="40" w:after="40"/>
              <w:rPr>
                <w:rFonts w:cs="Calibri"/>
                <w:szCs w:val="16"/>
              </w:rPr>
            </w:pPr>
          </w:p>
        </w:tc>
        <w:tc>
          <w:tcPr>
            <w:tcW w:w="1151" w:type="dxa"/>
            <w:tcBorders>
              <w:top w:val="nil"/>
              <w:left w:val="nil"/>
              <w:bottom w:val="nil"/>
              <w:right w:val="single" w:sz="4" w:space="0" w:color="1B556B"/>
            </w:tcBorders>
            <w:vAlign w:val="center"/>
          </w:tcPr>
          <w:p w14:paraId="73F79D23" w14:textId="77777777" w:rsidR="0010265C" w:rsidRPr="00261B7A" w:rsidRDefault="0010265C" w:rsidP="002C09A6">
            <w:pPr>
              <w:pStyle w:val="TableText"/>
              <w:spacing w:before="40" w:after="40"/>
              <w:rPr>
                <w:rFonts w:cs="Calibri"/>
                <w:szCs w:val="16"/>
              </w:rPr>
            </w:pPr>
            <w:r w:rsidRPr="00261B7A">
              <w:rPr>
                <w:rFonts w:cs="Calibri"/>
                <w:szCs w:val="16"/>
              </w:rPr>
              <w:t>Post-1989 planted</w:t>
            </w:r>
          </w:p>
        </w:tc>
        <w:tc>
          <w:tcPr>
            <w:tcW w:w="806" w:type="dxa"/>
            <w:tcBorders>
              <w:top w:val="nil"/>
              <w:left w:val="single" w:sz="4" w:space="0" w:color="1B556B"/>
              <w:bottom w:val="nil"/>
              <w:right w:val="nil"/>
            </w:tcBorders>
            <w:vAlign w:val="center"/>
          </w:tcPr>
          <w:p w14:paraId="7D544391" w14:textId="77777777" w:rsidR="0010265C" w:rsidRPr="00261B7A" w:rsidRDefault="0010265C" w:rsidP="002C09A6">
            <w:pPr>
              <w:pStyle w:val="TableText"/>
              <w:spacing w:before="40" w:after="40"/>
              <w:jc w:val="right"/>
              <w:rPr>
                <w:rFonts w:cs="Calibri"/>
                <w:szCs w:val="16"/>
              </w:rPr>
            </w:pPr>
          </w:p>
        </w:tc>
        <w:tc>
          <w:tcPr>
            <w:tcW w:w="806" w:type="dxa"/>
            <w:tcBorders>
              <w:top w:val="nil"/>
              <w:left w:val="nil"/>
              <w:bottom w:val="nil"/>
              <w:right w:val="nil"/>
            </w:tcBorders>
            <w:vAlign w:val="center"/>
          </w:tcPr>
          <w:p w14:paraId="24B11B9F" w14:textId="77777777" w:rsidR="0010265C" w:rsidRPr="00261B7A" w:rsidRDefault="0010265C" w:rsidP="002C09A6">
            <w:pPr>
              <w:pStyle w:val="TableText"/>
              <w:spacing w:before="40" w:after="40"/>
              <w:jc w:val="right"/>
              <w:rPr>
                <w:rFonts w:cs="Calibri"/>
                <w:szCs w:val="16"/>
              </w:rPr>
            </w:pPr>
          </w:p>
        </w:tc>
        <w:tc>
          <w:tcPr>
            <w:tcW w:w="805" w:type="dxa"/>
            <w:tcBorders>
              <w:top w:val="nil"/>
              <w:left w:val="nil"/>
              <w:bottom w:val="nil"/>
              <w:right w:val="nil"/>
            </w:tcBorders>
            <w:shd w:val="clear" w:color="auto" w:fill="D2DDE1"/>
            <w:vAlign w:val="center"/>
          </w:tcPr>
          <w:p w14:paraId="397D65AC"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nil"/>
              <w:bottom w:val="nil"/>
              <w:right w:val="single" w:sz="4" w:space="0" w:color="1B556B"/>
            </w:tcBorders>
            <w:vAlign w:val="center"/>
          </w:tcPr>
          <w:p w14:paraId="1AB25932"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nil"/>
              <w:left w:val="single" w:sz="4" w:space="0" w:color="1B556B"/>
              <w:bottom w:val="nil"/>
              <w:right w:val="nil"/>
            </w:tcBorders>
            <w:vAlign w:val="center"/>
          </w:tcPr>
          <w:p w14:paraId="4714813F" w14:textId="77777777" w:rsidR="0010265C" w:rsidRPr="00261B7A" w:rsidRDefault="0010265C" w:rsidP="002C09A6">
            <w:pPr>
              <w:pStyle w:val="TableText"/>
              <w:spacing w:before="40" w:after="40"/>
              <w:jc w:val="right"/>
              <w:rPr>
                <w:rFonts w:cs="Calibri"/>
                <w:szCs w:val="16"/>
              </w:rPr>
            </w:pPr>
          </w:p>
        </w:tc>
        <w:tc>
          <w:tcPr>
            <w:tcW w:w="748" w:type="dxa"/>
            <w:tcBorders>
              <w:top w:val="nil"/>
              <w:left w:val="nil"/>
              <w:bottom w:val="nil"/>
              <w:right w:val="single" w:sz="4" w:space="0" w:color="1B556B"/>
            </w:tcBorders>
            <w:vAlign w:val="center"/>
          </w:tcPr>
          <w:p w14:paraId="78AF1C8F"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single" w:sz="4" w:space="0" w:color="1B556B"/>
              <w:bottom w:val="nil"/>
              <w:right w:val="nil"/>
            </w:tcBorders>
            <w:vAlign w:val="center"/>
          </w:tcPr>
          <w:p w14:paraId="70E78F82" w14:textId="77777777" w:rsidR="0010265C" w:rsidRPr="00261B7A" w:rsidRDefault="0010265C" w:rsidP="002C09A6">
            <w:pPr>
              <w:pStyle w:val="TableText"/>
              <w:spacing w:before="40" w:after="40"/>
              <w:jc w:val="right"/>
              <w:rPr>
                <w:rFonts w:cs="Calibri"/>
                <w:szCs w:val="16"/>
              </w:rPr>
            </w:pPr>
          </w:p>
        </w:tc>
        <w:tc>
          <w:tcPr>
            <w:tcW w:w="920" w:type="dxa"/>
            <w:tcBorders>
              <w:top w:val="nil"/>
              <w:left w:val="nil"/>
              <w:bottom w:val="nil"/>
              <w:right w:val="nil"/>
            </w:tcBorders>
            <w:vAlign w:val="center"/>
          </w:tcPr>
          <w:p w14:paraId="7E796E47" w14:textId="77777777" w:rsidR="0010265C" w:rsidRPr="00261B7A" w:rsidRDefault="0010265C" w:rsidP="002C09A6">
            <w:pPr>
              <w:pStyle w:val="TableText"/>
              <w:spacing w:before="40" w:after="40"/>
              <w:jc w:val="right"/>
              <w:rPr>
                <w:rFonts w:cs="Calibri"/>
                <w:szCs w:val="16"/>
              </w:rPr>
            </w:pPr>
          </w:p>
        </w:tc>
        <w:tc>
          <w:tcPr>
            <w:tcW w:w="920" w:type="dxa"/>
            <w:tcBorders>
              <w:top w:val="nil"/>
              <w:left w:val="nil"/>
              <w:bottom w:val="nil"/>
              <w:right w:val="single" w:sz="4" w:space="0" w:color="1B556B"/>
            </w:tcBorders>
            <w:vAlign w:val="center"/>
          </w:tcPr>
          <w:p w14:paraId="138883F8"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single" w:sz="4" w:space="0" w:color="1B556B"/>
              <w:bottom w:val="nil"/>
              <w:right w:val="nil"/>
            </w:tcBorders>
            <w:vAlign w:val="center"/>
          </w:tcPr>
          <w:p w14:paraId="773B8367" w14:textId="77777777" w:rsidR="0010265C" w:rsidRPr="00261B7A" w:rsidRDefault="0010265C" w:rsidP="002C09A6">
            <w:pPr>
              <w:pStyle w:val="TableText"/>
              <w:spacing w:before="40" w:after="40"/>
              <w:jc w:val="right"/>
              <w:rPr>
                <w:rFonts w:cs="Calibri"/>
                <w:szCs w:val="16"/>
              </w:rPr>
            </w:pPr>
          </w:p>
        </w:tc>
        <w:tc>
          <w:tcPr>
            <w:tcW w:w="805" w:type="dxa"/>
            <w:tcBorders>
              <w:top w:val="nil"/>
              <w:left w:val="nil"/>
              <w:bottom w:val="nil"/>
              <w:right w:val="single" w:sz="4" w:space="0" w:color="1B556B"/>
            </w:tcBorders>
            <w:vAlign w:val="center"/>
          </w:tcPr>
          <w:p w14:paraId="412CFD1B"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single" w:sz="4" w:space="0" w:color="1B556B"/>
              <w:bottom w:val="nil"/>
              <w:right w:val="single" w:sz="4" w:space="0" w:color="1B556B"/>
            </w:tcBorders>
            <w:vAlign w:val="center"/>
          </w:tcPr>
          <w:p w14:paraId="75F6C3DB"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68" w:type="dxa"/>
            <w:tcBorders>
              <w:top w:val="nil"/>
              <w:left w:val="single" w:sz="4" w:space="0" w:color="1B556B"/>
              <w:bottom w:val="nil"/>
              <w:right w:val="single" w:sz="4" w:space="0" w:color="1B556B"/>
            </w:tcBorders>
            <w:vAlign w:val="center"/>
          </w:tcPr>
          <w:p w14:paraId="16C49A9A"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42" w:type="dxa"/>
            <w:tcBorders>
              <w:top w:val="nil"/>
              <w:left w:val="single" w:sz="4" w:space="0" w:color="1B556B"/>
              <w:bottom w:val="nil"/>
              <w:right w:val="nil"/>
            </w:tcBorders>
            <w:vAlign w:val="center"/>
          </w:tcPr>
          <w:p w14:paraId="0F6BCB1B" w14:textId="77777777" w:rsidR="0010265C" w:rsidRPr="00261B7A" w:rsidRDefault="0010265C" w:rsidP="002C09A6">
            <w:pPr>
              <w:pStyle w:val="TableTextBold"/>
              <w:spacing w:before="40" w:after="40"/>
              <w:jc w:val="right"/>
              <w:rPr>
                <w:rFonts w:cs="Calibri"/>
                <w:noProof w:val="0"/>
                <w:szCs w:val="16"/>
              </w:rPr>
            </w:pPr>
            <w:r w:rsidRPr="00261B7A">
              <w:rPr>
                <w:rFonts w:cs="Calibri"/>
                <w:noProof w:val="0"/>
                <w:color w:val="000000"/>
                <w:szCs w:val="16"/>
              </w:rPr>
              <w:t>0.0</w:t>
            </w:r>
          </w:p>
        </w:tc>
      </w:tr>
      <w:tr w:rsidR="0010265C" w:rsidRPr="00261B7A" w14:paraId="188F2D25" w14:textId="77777777" w:rsidTr="008E52F6">
        <w:tc>
          <w:tcPr>
            <w:tcW w:w="979" w:type="dxa"/>
            <w:vMerge/>
            <w:tcBorders>
              <w:top w:val="single" w:sz="4" w:space="0" w:color="1B556B"/>
              <w:left w:val="nil"/>
              <w:bottom w:val="single" w:sz="4" w:space="0" w:color="1B556B"/>
              <w:right w:val="nil"/>
            </w:tcBorders>
          </w:tcPr>
          <w:p w14:paraId="15CB7CDF" w14:textId="77777777" w:rsidR="0010265C" w:rsidRPr="00261B7A" w:rsidRDefault="0010265C" w:rsidP="002C09A6">
            <w:pPr>
              <w:pStyle w:val="TableText"/>
              <w:spacing w:before="40" w:after="40"/>
              <w:rPr>
                <w:rFonts w:cs="Calibri"/>
                <w:szCs w:val="16"/>
              </w:rPr>
            </w:pPr>
          </w:p>
        </w:tc>
        <w:tc>
          <w:tcPr>
            <w:tcW w:w="1151" w:type="dxa"/>
            <w:tcBorders>
              <w:top w:val="nil"/>
              <w:left w:val="nil"/>
              <w:bottom w:val="single" w:sz="4" w:space="0" w:color="1B556B"/>
              <w:right w:val="single" w:sz="4" w:space="0" w:color="1B556B"/>
            </w:tcBorders>
            <w:vAlign w:val="center"/>
          </w:tcPr>
          <w:p w14:paraId="3A822A90" w14:textId="77777777" w:rsidR="0010265C" w:rsidRPr="00261B7A" w:rsidRDefault="0010265C" w:rsidP="002C09A6">
            <w:pPr>
              <w:pStyle w:val="TableText"/>
              <w:spacing w:before="40" w:after="40"/>
              <w:rPr>
                <w:rFonts w:cs="Calibri"/>
                <w:szCs w:val="16"/>
              </w:rPr>
            </w:pPr>
            <w:r w:rsidRPr="00261B7A">
              <w:rPr>
                <w:rFonts w:cs="Calibri"/>
                <w:szCs w:val="16"/>
              </w:rPr>
              <w:t>Post-1989 natural</w:t>
            </w:r>
          </w:p>
        </w:tc>
        <w:tc>
          <w:tcPr>
            <w:tcW w:w="806" w:type="dxa"/>
            <w:tcBorders>
              <w:top w:val="nil"/>
              <w:left w:val="single" w:sz="4" w:space="0" w:color="1B556B"/>
              <w:bottom w:val="single" w:sz="4" w:space="0" w:color="1B556B"/>
              <w:right w:val="nil"/>
            </w:tcBorders>
            <w:vAlign w:val="center"/>
          </w:tcPr>
          <w:p w14:paraId="2EA7AEF4"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6" w:type="dxa"/>
            <w:tcBorders>
              <w:top w:val="nil"/>
              <w:left w:val="nil"/>
              <w:bottom w:val="single" w:sz="4" w:space="0" w:color="1B556B"/>
              <w:right w:val="nil"/>
            </w:tcBorders>
            <w:vAlign w:val="center"/>
          </w:tcPr>
          <w:p w14:paraId="71EF9BE8"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nil"/>
              <w:bottom w:val="single" w:sz="4" w:space="0" w:color="1B556B"/>
              <w:right w:val="nil"/>
            </w:tcBorders>
            <w:vAlign w:val="center"/>
          </w:tcPr>
          <w:p w14:paraId="103D083F"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nil"/>
              <w:bottom w:val="single" w:sz="4" w:space="0" w:color="1B556B"/>
              <w:right w:val="single" w:sz="4" w:space="0" w:color="1B556B"/>
            </w:tcBorders>
            <w:shd w:val="clear" w:color="auto" w:fill="D2DDE1"/>
            <w:vAlign w:val="center"/>
          </w:tcPr>
          <w:p w14:paraId="10722132"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nil"/>
              <w:left w:val="single" w:sz="4" w:space="0" w:color="1B556B"/>
              <w:bottom w:val="single" w:sz="4" w:space="0" w:color="1B556B"/>
              <w:right w:val="nil"/>
            </w:tcBorders>
            <w:vAlign w:val="center"/>
          </w:tcPr>
          <w:p w14:paraId="05703982"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nil"/>
              <w:left w:val="nil"/>
              <w:bottom w:val="single" w:sz="4" w:space="0" w:color="1B556B"/>
              <w:right w:val="single" w:sz="4" w:space="0" w:color="1B556B"/>
            </w:tcBorders>
            <w:vAlign w:val="center"/>
          </w:tcPr>
          <w:p w14:paraId="3D5AE880"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single" w:sz="4" w:space="0" w:color="1B556B"/>
              <w:bottom w:val="single" w:sz="4" w:space="0" w:color="1B556B"/>
              <w:right w:val="nil"/>
            </w:tcBorders>
            <w:vAlign w:val="center"/>
          </w:tcPr>
          <w:p w14:paraId="639639C9"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nil"/>
              <w:bottom w:val="single" w:sz="4" w:space="0" w:color="1B556B"/>
              <w:right w:val="nil"/>
            </w:tcBorders>
            <w:vAlign w:val="center"/>
          </w:tcPr>
          <w:p w14:paraId="1533B235"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nil"/>
              <w:bottom w:val="single" w:sz="4" w:space="0" w:color="1B556B"/>
              <w:right w:val="single" w:sz="4" w:space="0" w:color="1B556B"/>
            </w:tcBorders>
            <w:vAlign w:val="center"/>
          </w:tcPr>
          <w:p w14:paraId="7B485B17"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single" w:sz="4" w:space="0" w:color="1B556B"/>
              <w:bottom w:val="single" w:sz="4" w:space="0" w:color="1B556B"/>
              <w:right w:val="nil"/>
            </w:tcBorders>
            <w:vAlign w:val="center"/>
          </w:tcPr>
          <w:p w14:paraId="21DB7845"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nil"/>
              <w:bottom w:val="single" w:sz="4" w:space="0" w:color="1B556B"/>
              <w:right w:val="single" w:sz="4" w:space="0" w:color="1B556B"/>
            </w:tcBorders>
            <w:vAlign w:val="center"/>
          </w:tcPr>
          <w:p w14:paraId="7BA1ACBB"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single" w:sz="4" w:space="0" w:color="1B556B"/>
              <w:bottom w:val="single" w:sz="4" w:space="0" w:color="1B556B"/>
              <w:right w:val="single" w:sz="4" w:space="0" w:color="1B556B"/>
            </w:tcBorders>
            <w:vAlign w:val="center"/>
          </w:tcPr>
          <w:p w14:paraId="046C6E95"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68" w:type="dxa"/>
            <w:tcBorders>
              <w:top w:val="nil"/>
              <w:left w:val="single" w:sz="4" w:space="0" w:color="1B556B"/>
              <w:bottom w:val="single" w:sz="4" w:space="0" w:color="1B556B"/>
              <w:right w:val="single" w:sz="4" w:space="0" w:color="1B556B"/>
            </w:tcBorders>
            <w:vAlign w:val="center"/>
          </w:tcPr>
          <w:p w14:paraId="4EDB0C4A"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42" w:type="dxa"/>
            <w:tcBorders>
              <w:top w:val="nil"/>
              <w:left w:val="single" w:sz="4" w:space="0" w:color="1B556B"/>
              <w:bottom w:val="single" w:sz="4" w:space="0" w:color="1B556B"/>
              <w:right w:val="nil"/>
            </w:tcBorders>
            <w:vAlign w:val="center"/>
          </w:tcPr>
          <w:p w14:paraId="44735BA2" w14:textId="77777777" w:rsidR="0010265C" w:rsidRPr="00261B7A" w:rsidRDefault="0010265C" w:rsidP="002C09A6">
            <w:pPr>
              <w:pStyle w:val="TableTextBold"/>
              <w:spacing w:before="40" w:after="40"/>
              <w:jc w:val="right"/>
              <w:rPr>
                <w:rFonts w:cs="Calibri"/>
                <w:noProof w:val="0"/>
                <w:szCs w:val="16"/>
              </w:rPr>
            </w:pPr>
            <w:r w:rsidRPr="00261B7A">
              <w:rPr>
                <w:rFonts w:cs="Calibri"/>
                <w:noProof w:val="0"/>
                <w:color w:val="000000"/>
                <w:szCs w:val="16"/>
              </w:rPr>
              <w:t>0.0</w:t>
            </w:r>
          </w:p>
        </w:tc>
      </w:tr>
      <w:tr w:rsidR="0010265C" w:rsidRPr="00261B7A" w14:paraId="20B062BD" w14:textId="77777777" w:rsidTr="008E52F6">
        <w:tc>
          <w:tcPr>
            <w:tcW w:w="979" w:type="dxa"/>
            <w:vMerge w:val="restart"/>
            <w:tcBorders>
              <w:top w:val="single" w:sz="4" w:space="0" w:color="1B556B"/>
              <w:left w:val="nil"/>
              <w:bottom w:val="single" w:sz="4" w:space="0" w:color="1B556B"/>
              <w:right w:val="nil"/>
            </w:tcBorders>
          </w:tcPr>
          <w:p w14:paraId="47C3AF5F" w14:textId="77777777" w:rsidR="0010265C" w:rsidRPr="00261B7A" w:rsidRDefault="0010265C" w:rsidP="002C09A6">
            <w:pPr>
              <w:pStyle w:val="TableTextBold"/>
              <w:spacing w:before="40" w:after="40"/>
              <w:rPr>
                <w:rFonts w:cs="Calibri"/>
                <w:noProof w:val="0"/>
                <w:szCs w:val="16"/>
              </w:rPr>
            </w:pPr>
            <w:r w:rsidRPr="00261B7A">
              <w:rPr>
                <w:rFonts w:cs="Calibri"/>
                <w:noProof w:val="0"/>
                <w:szCs w:val="16"/>
              </w:rPr>
              <w:t>Cropland</w:t>
            </w:r>
          </w:p>
        </w:tc>
        <w:tc>
          <w:tcPr>
            <w:tcW w:w="1151" w:type="dxa"/>
            <w:tcBorders>
              <w:top w:val="single" w:sz="4" w:space="0" w:color="1B556B"/>
              <w:left w:val="nil"/>
              <w:bottom w:val="nil"/>
              <w:right w:val="single" w:sz="4" w:space="0" w:color="1B556B"/>
            </w:tcBorders>
            <w:vAlign w:val="center"/>
          </w:tcPr>
          <w:p w14:paraId="392B9B91" w14:textId="77777777" w:rsidR="0010265C" w:rsidRPr="00261B7A" w:rsidRDefault="0010265C" w:rsidP="002C09A6">
            <w:pPr>
              <w:pStyle w:val="TableText"/>
              <w:spacing w:before="40" w:after="40"/>
              <w:rPr>
                <w:rFonts w:cs="Calibri"/>
                <w:szCs w:val="16"/>
              </w:rPr>
            </w:pPr>
            <w:r w:rsidRPr="00261B7A">
              <w:rPr>
                <w:rFonts w:cs="Calibri"/>
                <w:szCs w:val="16"/>
              </w:rPr>
              <w:t>Annual</w:t>
            </w:r>
          </w:p>
        </w:tc>
        <w:tc>
          <w:tcPr>
            <w:tcW w:w="806" w:type="dxa"/>
            <w:tcBorders>
              <w:top w:val="single" w:sz="4" w:space="0" w:color="1B556B"/>
              <w:left w:val="single" w:sz="4" w:space="0" w:color="1B556B"/>
              <w:bottom w:val="nil"/>
              <w:right w:val="nil"/>
            </w:tcBorders>
            <w:vAlign w:val="center"/>
          </w:tcPr>
          <w:p w14:paraId="58FBCB29" w14:textId="77777777" w:rsidR="0010265C" w:rsidRPr="00261B7A" w:rsidRDefault="0010265C" w:rsidP="002C09A6">
            <w:pPr>
              <w:pStyle w:val="TableText"/>
              <w:spacing w:before="40" w:after="40"/>
              <w:jc w:val="right"/>
              <w:rPr>
                <w:rFonts w:cs="Calibri"/>
                <w:szCs w:val="16"/>
              </w:rPr>
            </w:pPr>
          </w:p>
        </w:tc>
        <w:tc>
          <w:tcPr>
            <w:tcW w:w="806" w:type="dxa"/>
            <w:tcBorders>
              <w:top w:val="single" w:sz="4" w:space="0" w:color="1B556B"/>
              <w:left w:val="nil"/>
              <w:bottom w:val="nil"/>
              <w:right w:val="nil"/>
            </w:tcBorders>
            <w:vAlign w:val="center"/>
          </w:tcPr>
          <w:p w14:paraId="4EADDAA8" w14:textId="77777777" w:rsidR="0010265C" w:rsidRPr="00261B7A" w:rsidRDefault="0010265C" w:rsidP="002C09A6">
            <w:pPr>
              <w:pStyle w:val="TableText"/>
              <w:spacing w:before="40" w:after="40"/>
              <w:jc w:val="right"/>
              <w:rPr>
                <w:rFonts w:cs="Calibri"/>
                <w:szCs w:val="16"/>
              </w:rPr>
            </w:pPr>
          </w:p>
        </w:tc>
        <w:tc>
          <w:tcPr>
            <w:tcW w:w="805" w:type="dxa"/>
            <w:tcBorders>
              <w:top w:val="single" w:sz="4" w:space="0" w:color="1B556B"/>
              <w:left w:val="nil"/>
              <w:bottom w:val="nil"/>
              <w:right w:val="nil"/>
            </w:tcBorders>
            <w:vAlign w:val="center"/>
          </w:tcPr>
          <w:p w14:paraId="7EAA350C" w14:textId="77777777" w:rsidR="0010265C" w:rsidRPr="00261B7A" w:rsidRDefault="0010265C" w:rsidP="002C09A6">
            <w:pPr>
              <w:pStyle w:val="TableText"/>
              <w:spacing w:before="40" w:after="40"/>
              <w:jc w:val="right"/>
              <w:rPr>
                <w:rFonts w:cs="Calibri"/>
                <w:szCs w:val="16"/>
              </w:rPr>
            </w:pPr>
          </w:p>
        </w:tc>
        <w:tc>
          <w:tcPr>
            <w:tcW w:w="805" w:type="dxa"/>
            <w:tcBorders>
              <w:top w:val="single" w:sz="4" w:space="0" w:color="1B556B"/>
              <w:left w:val="nil"/>
              <w:bottom w:val="nil"/>
              <w:right w:val="single" w:sz="4" w:space="0" w:color="1B556B"/>
            </w:tcBorders>
            <w:vAlign w:val="center"/>
          </w:tcPr>
          <w:p w14:paraId="62C1FB47"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single" w:sz="4" w:space="0" w:color="1B556B"/>
              <w:left w:val="single" w:sz="4" w:space="0" w:color="1B556B"/>
              <w:bottom w:val="nil"/>
              <w:right w:val="nil"/>
            </w:tcBorders>
            <w:shd w:val="clear" w:color="auto" w:fill="D2DDE1"/>
            <w:vAlign w:val="center"/>
          </w:tcPr>
          <w:p w14:paraId="46D1BE9D"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325.0</w:t>
            </w:r>
          </w:p>
        </w:tc>
        <w:tc>
          <w:tcPr>
            <w:tcW w:w="748" w:type="dxa"/>
            <w:tcBorders>
              <w:top w:val="single" w:sz="4" w:space="0" w:color="1B556B"/>
              <w:left w:val="nil"/>
              <w:bottom w:val="nil"/>
              <w:right w:val="single" w:sz="4" w:space="0" w:color="1B556B"/>
            </w:tcBorders>
            <w:vAlign w:val="center"/>
          </w:tcPr>
          <w:p w14:paraId="778A757B"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single" w:sz="4" w:space="0" w:color="1B556B"/>
              <w:left w:val="single" w:sz="4" w:space="0" w:color="1B556B"/>
              <w:bottom w:val="nil"/>
              <w:right w:val="nil"/>
            </w:tcBorders>
            <w:vAlign w:val="center"/>
          </w:tcPr>
          <w:p w14:paraId="15C9F7D5"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21.0</w:t>
            </w:r>
          </w:p>
        </w:tc>
        <w:tc>
          <w:tcPr>
            <w:tcW w:w="920" w:type="dxa"/>
            <w:tcBorders>
              <w:top w:val="single" w:sz="4" w:space="0" w:color="1B556B"/>
              <w:left w:val="nil"/>
              <w:bottom w:val="nil"/>
              <w:right w:val="nil"/>
            </w:tcBorders>
            <w:vAlign w:val="center"/>
          </w:tcPr>
          <w:p w14:paraId="00355B82"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8.9</w:t>
            </w:r>
          </w:p>
        </w:tc>
        <w:tc>
          <w:tcPr>
            <w:tcW w:w="920" w:type="dxa"/>
            <w:tcBorders>
              <w:top w:val="single" w:sz="4" w:space="0" w:color="1B556B"/>
              <w:left w:val="nil"/>
              <w:bottom w:val="nil"/>
              <w:right w:val="single" w:sz="4" w:space="0" w:color="1B556B"/>
            </w:tcBorders>
            <w:vAlign w:val="center"/>
          </w:tcPr>
          <w:p w14:paraId="1A043563"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single" w:sz="4" w:space="0" w:color="1B556B"/>
              <w:left w:val="single" w:sz="4" w:space="0" w:color="1B556B"/>
              <w:bottom w:val="nil"/>
              <w:right w:val="nil"/>
            </w:tcBorders>
            <w:vAlign w:val="center"/>
          </w:tcPr>
          <w:p w14:paraId="2E80E26C" w14:textId="77777777" w:rsidR="0010265C" w:rsidRPr="00261B7A" w:rsidRDefault="0010265C" w:rsidP="002C09A6">
            <w:pPr>
              <w:pStyle w:val="TableText"/>
              <w:spacing w:before="40" w:after="40"/>
              <w:jc w:val="right"/>
              <w:rPr>
                <w:rFonts w:cs="Calibri"/>
                <w:szCs w:val="16"/>
              </w:rPr>
            </w:pPr>
          </w:p>
        </w:tc>
        <w:tc>
          <w:tcPr>
            <w:tcW w:w="805" w:type="dxa"/>
            <w:tcBorders>
              <w:top w:val="single" w:sz="4" w:space="0" w:color="1B556B"/>
              <w:left w:val="nil"/>
              <w:bottom w:val="nil"/>
              <w:right w:val="single" w:sz="4" w:space="0" w:color="1B556B"/>
            </w:tcBorders>
            <w:vAlign w:val="center"/>
          </w:tcPr>
          <w:p w14:paraId="217B07B5"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single" w:sz="4" w:space="0" w:color="1B556B"/>
              <w:left w:val="single" w:sz="4" w:space="0" w:color="1B556B"/>
              <w:bottom w:val="nil"/>
              <w:right w:val="single" w:sz="4" w:space="0" w:color="1B556B"/>
            </w:tcBorders>
            <w:vAlign w:val="center"/>
          </w:tcPr>
          <w:p w14:paraId="07E378D5"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68" w:type="dxa"/>
            <w:tcBorders>
              <w:top w:val="single" w:sz="4" w:space="0" w:color="1B556B"/>
              <w:left w:val="single" w:sz="4" w:space="0" w:color="1B556B"/>
              <w:bottom w:val="nil"/>
              <w:right w:val="single" w:sz="4" w:space="0" w:color="1B556B"/>
            </w:tcBorders>
            <w:vAlign w:val="center"/>
          </w:tcPr>
          <w:p w14:paraId="3C9F4132"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42" w:type="dxa"/>
            <w:tcBorders>
              <w:top w:val="single" w:sz="4" w:space="0" w:color="1B556B"/>
              <w:left w:val="single" w:sz="4" w:space="0" w:color="1B556B"/>
              <w:bottom w:val="nil"/>
              <w:right w:val="nil"/>
            </w:tcBorders>
            <w:vAlign w:val="center"/>
          </w:tcPr>
          <w:p w14:paraId="4494EF62" w14:textId="77777777" w:rsidR="0010265C" w:rsidRPr="00261B7A" w:rsidRDefault="0010265C" w:rsidP="002C09A6">
            <w:pPr>
              <w:pStyle w:val="TableTextBold"/>
              <w:spacing w:before="40" w:after="40"/>
              <w:jc w:val="right"/>
              <w:rPr>
                <w:rFonts w:cs="Calibri"/>
                <w:noProof w:val="0"/>
                <w:szCs w:val="16"/>
              </w:rPr>
            </w:pPr>
            <w:r w:rsidRPr="00261B7A">
              <w:rPr>
                <w:rFonts w:cs="Calibri"/>
                <w:noProof w:val="0"/>
                <w:color w:val="000000"/>
                <w:szCs w:val="16"/>
              </w:rPr>
              <w:t>354.9</w:t>
            </w:r>
          </w:p>
        </w:tc>
      </w:tr>
      <w:tr w:rsidR="0010265C" w:rsidRPr="00261B7A" w14:paraId="5ADB7054" w14:textId="77777777" w:rsidTr="008E52F6">
        <w:tc>
          <w:tcPr>
            <w:tcW w:w="979" w:type="dxa"/>
            <w:vMerge/>
            <w:tcBorders>
              <w:top w:val="single" w:sz="4" w:space="0" w:color="1B556B"/>
              <w:left w:val="nil"/>
              <w:bottom w:val="single" w:sz="4" w:space="0" w:color="1B556B"/>
              <w:right w:val="nil"/>
            </w:tcBorders>
          </w:tcPr>
          <w:p w14:paraId="29C8A1DC" w14:textId="77777777" w:rsidR="0010265C" w:rsidRPr="00261B7A" w:rsidRDefault="0010265C" w:rsidP="002C09A6">
            <w:pPr>
              <w:pStyle w:val="TableText"/>
              <w:spacing w:before="40" w:after="40"/>
              <w:rPr>
                <w:rFonts w:cs="Calibri"/>
                <w:szCs w:val="16"/>
              </w:rPr>
            </w:pPr>
          </w:p>
        </w:tc>
        <w:tc>
          <w:tcPr>
            <w:tcW w:w="1151" w:type="dxa"/>
            <w:tcBorders>
              <w:top w:val="nil"/>
              <w:left w:val="nil"/>
              <w:bottom w:val="single" w:sz="4" w:space="0" w:color="1B556B"/>
              <w:right w:val="single" w:sz="4" w:space="0" w:color="1B556B"/>
            </w:tcBorders>
            <w:vAlign w:val="center"/>
          </w:tcPr>
          <w:p w14:paraId="10F64D6A" w14:textId="77777777" w:rsidR="0010265C" w:rsidRPr="00261B7A" w:rsidRDefault="0010265C" w:rsidP="002C09A6">
            <w:pPr>
              <w:pStyle w:val="TableText"/>
              <w:spacing w:before="40" w:after="40"/>
              <w:rPr>
                <w:rFonts w:cs="Calibri"/>
                <w:szCs w:val="16"/>
              </w:rPr>
            </w:pPr>
            <w:r w:rsidRPr="00261B7A">
              <w:rPr>
                <w:rFonts w:cs="Calibri"/>
                <w:szCs w:val="16"/>
              </w:rPr>
              <w:t>Perennial</w:t>
            </w:r>
          </w:p>
        </w:tc>
        <w:tc>
          <w:tcPr>
            <w:tcW w:w="806" w:type="dxa"/>
            <w:tcBorders>
              <w:top w:val="nil"/>
              <w:left w:val="single" w:sz="4" w:space="0" w:color="1B556B"/>
              <w:bottom w:val="single" w:sz="4" w:space="0" w:color="1B556B"/>
              <w:right w:val="nil"/>
            </w:tcBorders>
            <w:vAlign w:val="center"/>
          </w:tcPr>
          <w:p w14:paraId="5404A2D7"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6" w:type="dxa"/>
            <w:tcBorders>
              <w:top w:val="nil"/>
              <w:left w:val="nil"/>
              <w:bottom w:val="single" w:sz="4" w:space="0" w:color="1B556B"/>
              <w:right w:val="nil"/>
            </w:tcBorders>
            <w:vAlign w:val="center"/>
          </w:tcPr>
          <w:p w14:paraId="50E7E8F2"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nil"/>
              <w:bottom w:val="single" w:sz="4" w:space="0" w:color="1B556B"/>
              <w:right w:val="nil"/>
            </w:tcBorders>
            <w:vAlign w:val="center"/>
          </w:tcPr>
          <w:p w14:paraId="6BE079C2"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nil"/>
              <w:bottom w:val="single" w:sz="4" w:space="0" w:color="1B556B"/>
              <w:right w:val="single" w:sz="4" w:space="0" w:color="1B556B"/>
            </w:tcBorders>
            <w:vAlign w:val="center"/>
          </w:tcPr>
          <w:p w14:paraId="1DABEC42"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nil"/>
              <w:left w:val="single" w:sz="4" w:space="0" w:color="1B556B"/>
              <w:bottom w:val="single" w:sz="4" w:space="0" w:color="1B556B"/>
              <w:right w:val="nil"/>
            </w:tcBorders>
            <w:vAlign w:val="center"/>
          </w:tcPr>
          <w:p w14:paraId="67935F4A"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0.9</w:t>
            </w:r>
          </w:p>
        </w:tc>
        <w:tc>
          <w:tcPr>
            <w:tcW w:w="748" w:type="dxa"/>
            <w:tcBorders>
              <w:top w:val="nil"/>
              <w:left w:val="nil"/>
              <w:bottom w:val="single" w:sz="4" w:space="0" w:color="1B556B"/>
              <w:right w:val="single" w:sz="4" w:space="0" w:color="1B556B"/>
            </w:tcBorders>
            <w:shd w:val="clear" w:color="auto" w:fill="D2DDE1" w:themeFill="background2"/>
            <w:vAlign w:val="center"/>
          </w:tcPr>
          <w:p w14:paraId="1BBB8662"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58.7</w:t>
            </w:r>
          </w:p>
        </w:tc>
        <w:tc>
          <w:tcPr>
            <w:tcW w:w="920" w:type="dxa"/>
            <w:tcBorders>
              <w:top w:val="nil"/>
              <w:left w:val="single" w:sz="4" w:space="0" w:color="1B556B"/>
              <w:bottom w:val="single" w:sz="4" w:space="0" w:color="1B556B"/>
              <w:right w:val="nil"/>
            </w:tcBorders>
            <w:vAlign w:val="center"/>
          </w:tcPr>
          <w:p w14:paraId="041F11AE"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5.0</w:t>
            </w:r>
          </w:p>
        </w:tc>
        <w:tc>
          <w:tcPr>
            <w:tcW w:w="920" w:type="dxa"/>
            <w:tcBorders>
              <w:top w:val="nil"/>
              <w:left w:val="nil"/>
              <w:bottom w:val="single" w:sz="4" w:space="0" w:color="1B556B"/>
              <w:right w:val="nil"/>
            </w:tcBorders>
            <w:vAlign w:val="center"/>
          </w:tcPr>
          <w:p w14:paraId="36F5FCE7"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4.5</w:t>
            </w:r>
          </w:p>
        </w:tc>
        <w:tc>
          <w:tcPr>
            <w:tcW w:w="920" w:type="dxa"/>
            <w:tcBorders>
              <w:top w:val="nil"/>
              <w:left w:val="nil"/>
              <w:bottom w:val="single" w:sz="4" w:space="0" w:color="1B556B"/>
              <w:right w:val="single" w:sz="4" w:space="0" w:color="1B556B"/>
            </w:tcBorders>
            <w:vAlign w:val="center"/>
          </w:tcPr>
          <w:p w14:paraId="15F408B5"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single" w:sz="4" w:space="0" w:color="1B556B"/>
              <w:bottom w:val="single" w:sz="4" w:space="0" w:color="1B556B"/>
              <w:right w:val="nil"/>
            </w:tcBorders>
            <w:vAlign w:val="center"/>
          </w:tcPr>
          <w:p w14:paraId="4DFEB29D"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nil"/>
              <w:bottom w:val="single" w:sz="4" w:space="0" w:color="1B556B"/>
              <w:right w:val="single" w:sz="4" w:space="0" w:color="1B556B"/>
            </w:tcBorders>
            <w:vAlign w:val="center"/>
          </w:tcPr>
          <w:p w14:paraId="3F1706FA"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single" w:sz="4" w:space="0" w:color="1B556B"/>
              <w:bottom w:val="single" w:sz="4" w:space="0" w:color="1B556B"/>
              <w:right w:val="single" w:sz="4" w:space="0" w:color="1B556B"/>
            </w:tcBorders>
            <w:vAlign w:val="center"/>
          </w:tcPr>
          <w:p w14:paraId="71738BC5"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68" w:type="dxa"/>
            <w:tcBorders>
              <w:top w:val="nil"/>
              <w:left w:val="single" w:sz="4" w:space="0" w:color="1B556B"/>
              <w:bottom w:val="single" w:sz="4" w:space="0" w:color="1B556B"/>
              <w:right w:val="single" w:sz="4" w:space="0" w:color="1B556B"/>
            </w:tcBorders>
            <w:vAlign w:val="center"/>
          </w:tcPr>
          <w:p w14:paraId="78C5F46E"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42" w:type="dxa"/>
            <w:tcBorders>
              <w:top w:val="nil"/>
              <w:left w:val="single" w:sz="4" w:space="0" w:color="1B556B"/>
              <w:bottom w:val="single" w:sz="4" w:space="0" w:color="1B556B"/>
              <w:right w:val="nil"/>
            </w:tcBorders>
            <w:vAlign w:val="center"/>
          </w:tcPr>
          <w:p w14:paraId="5D3F2781" w14:textId="77777777" w:rsidR="0010265C" w:rsidRPr="00261B7A" w:rsidRDefault="0010265C" w:rsidP="002C09A6">
            <w:pPr>
              <w:pStyle w:val="TableTextBold"/>
              <w:spacing w:before="40" w:after="40"/>
              <w:jc w:val="right"/>
              <w:rPr>
                <w:rFonts w:cs="Calibri"/>
                <w:noProof w:val="0"/>
                <w:szCs w:val="16"/>
              </w:rPr>
            </w:pPr>
            <w:r w:rsidRPr="00261B7A">
              <w:rPr>
                <w:rFonts w:cs="Calibri"/>
                <w:noProof w:val="0"/>
                <w:color w:val="000000"/>
                <w:szCs w:val="16"/>
              </w:rPr>
              <w:t>69.0</w:t>
            </w:r>
          </w:p>
        </w:tc>
      </w:tr>
      <w:tr w:rsidR="0010265C" w:rsidRPr="00261B7A" w14:paraId="00886E37" w14:textId="77777777" w:rsidTr="008E52F6">
        <w:tc>
          <w:tcPr>
            <w:tcW w:w="979" w:type="dxa"/>
            <w:vMerge w:val="restart"/>
            <w:tcBorders>
              <w:top w:val="single" w:sz="4" w:space="0" w:color="1B556B"/>
              <w:left w:val="nil"/>
              <w:bottom w:val="single" w:sz="4" w:space="0" w:color="1B556B"/>
              <w:right w:val="nil"/>
            </w:tcBorders>
          </w:tcPr>
          <w:p w14:paraId="2F713902" w14:textId="77777777" w:rsidR="0010265C" w:rsidRPr="00261B7A" w:rsidRDefault="0010265C" w:rsidP="002C09A6">
            <w:pPr>
              <w:pStyle w:val="TableTextBold"/>
              <w:spacing w:before="40" w:after="40"/>
              <w:rPr>
                <w:rFonts w:cs="Calibri"/>
                <w:noProof w:val="0"/>
                <w:szCs w:val="16"/>
              </w:rPr>
            </w:pPr>
            <w:r w:rsidRPr="00261B7A">
              <w:rPr>
                <w:rFonts w:cs="Calibri"/>
                <w:noProof w:val="0"/>
                <w:szCs w:val="16"/>
              </w:rPr>
              <w:t>Grassland</w:t>
            </w:r>
          </w:p>
        </w:tc>
        <w:tc>
          <w:tcPr>
            <w:tcW w:w="1151" w:type="dxa"/>
            <w:tcBorders>
              <w:top w:val="single" w:sz="4" w:space="0" w:color="1B556B"/>
              <w:left w:val="nil"/>
              <w:bottom w:val="nil"/>
              <w:right w:val="single" w:sz="4" w:space="0" w:color="1B556B"/>
            </w:tcBorders>
            <w:vAlign w:val="center"/>
          </w:tcPr>
          <w:p w14:paraId="25A4CA2F" w14:textId="77777777" w:rsidR="0010265C" w:rsidRPr="00261B7A" w:rsidRDefault="0010265C" w:rsidP="002C09A6">
            <w:pPr>
              <w:pStyle w:val="TableText"/>
              <w:spacing w:before="40" w:after="40"/>
              <w:rPr>
                <w:rFonts w:cs="Calibri"/>
                <w:szCs w:val="16"/>
              </w:rPr>
            </w:pPr>
            <w:r w:rsidRPr="00261B7A">
              <w:rPr>
                <w:rFonts w:cs="Calibri"/>
                <w:szCs w:val="16"/>
              </w:rPr>
              <w:t>High producing</w:t>
            </w:r>
          </w:p>
        </w:tc>
        <w:tc>
          <w:tcPr>
            <w:tcW w:w="806" w:type="dxa"/>
            <w:tcBorders>
              <w:top w:val="single" w:sz="4" w:space="0" w:color="1B556B"/>
              <w:left w:val="single" w:sz="4" w:space="0" w:color="1B556B"/>
              <w:bottom w:val="nil"/>
              <w:right w:val="nil"/>
            </w:tcBorders>
            <w:vAlign w:val="center"/>
          </w:tcPr>
          <w:p w14:paraId="3DED395A"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82.9</w:t>
            </w:r>
          </w:p>
        </w:tc>
        <w:tc>
          <w:tcPr>
            <w:tcW w:w="806" w:type="dxa"/>
            <w:tcBorders>
              <w:top w:val="single" w:sz="4" w:space="0" w:color="1B556B"/>
              <w:left w:val="nil"/>
              <w:bottom w:val="nil"/>
              <w:right w:val="nil"/>
            </w:tcBorders>
            <w:vAlign w:val="center"/>
          </w:tcPr>
          <w:p w14:paraId="50BE0816" w14:textId="77777777" w:rsidR="0010265C" w:rsidRPr="00261B7A" w:rsidRDefault="0010265C" w:rsidP="002C09A6">
            <w:pPr>
              <w:pStyle w:val="TableText"/>
              <w:spacing w:before="40" w:after="40"/>
              <w:jc w:val="right"/>
              <w:rPr>
                <w:rFonts w:cs="Calibri"/>
                <w:szCs w:val="16"/>
              </w:rPr>
            </w:pPr>
          </w:p>
        </w:tc>
        <w:tc>
          <w:tcPr>
            <w:tcW w:w="805" w:type="dxa"/>
            <w:tcBorders>
              <w:top w:val="single" w:sz="4" w:space="0" w:color="1B556B"/>
              <w:left w:val="nil"/>
              <w:bottom w:val="nil"/>
              <w:right w:val="nil"/>
            </w:tcBorders>
            <w:vAlign w:val="center"/>
          </w:tcPr>
          <w:p w14:paraId="25491E64" w14:textId="77777777" w:rsidR="0010265C" w:rsidRPr="00261B7A" w:rsidRDefault="0010265C" w:rsidP="002C09A6">
            <w:pPr>
              <w:pStyle w:val="TableText"/>
              <w:spacing w:before="40" w:after="40"/>
              <w:jc w:val="right"/>
              <w:rPr>
                <w:rFonts w:cs="Calibri"/>
                <w:szCs w:val="16"/>
              </w:rPr>
            </w:pPr>
          </w:p>
        </w:tc>
        <w:tc>
          <w:tcPr>
            <w:tcW w:w="805" w:type="dxa"/>
            <w:tcBorders>
              <w:top w:val="single" w:sz="4" w:space="0" w:color="1B556B"/>
              <w:left w:val="nil"/>
              <w:bottom w:val="nil"/>
              <w:right w:val="single" w:sz="4" w:space="0" w:color="1B556B"/>
            </w:tcBorders>
            <w:vAlign w:val="center"/>
          </w:tcPr>
          <w:p w14:paraId="011FB979"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single" w:sz="4" w:space="0" w:color="1B556B"/>
              <w:left w:val="single" w:sz="4" w:space="0" w:color="1B556B"/>
              <w:bottom w:val="nil"/>
              <w:right w:val="nil"/>
            </w:tcBorders>
            <w:vAlign w:val="center"/>
          </w:tcPr>
          <w:p w14:paraId="391B13F3"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22.0</w:t>
            </w:r>
          </w:p>
        </w:tc>
        <w:tc>
          <w:tcPr>
            <w:tcW w:w="748" w:type="dxa"/>
            <w:tcBorders>
              <w:top w:val="single" w:sz="4" w:space="0" w:color="1B556B"/>
              <w:left w:val="nil"/>
              <w:bottom w:val="nil"/>
              <w:right w:val="single" w:sz="4" w:space="0" w:color="1B556B"/>
            </w:tcBorders>
            <w:vAlign w:val="center"/>
          </w:tcPr>
          <w:p w14:paraId="5ED92592"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19.5</w:t>
            </w:r>
          </w:p>
        </w:tc>
        <w:tc>
          <w:tcPr>
            <w:tcW w:w="920" w:type="dxa"/>
            <w:tcBorders>
              <w:top w:val="single" w:sz="4" w:space="0" w:color="1B556B"/>
              <w:left w:val="single" w:sz="4" w:space="0" w:color="1B556B"/>
              <w:bottom w:val="nil"/>
              <w:right w:val="nil"/>
            </w:tcBorders>
            <w:shd w:val="clear" w:color="auto" w:fill="D2DDE1" w:themeFill="background2"/>
            <w:vAlign w:val="center"/>
          </w:tcPr>
          <w:p w14:paraId="4B83449B"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4,809.1</w:t>
            </w:r>
          </w:p>
        </w:tc>
        <w:tc>
          <w:tcPr>
            <w:tcW w:w="920" w:type="dxa"/>
            <w:tcBorders>
              <w:top w:val="single" w:sz="4" w:space="0" w:color="1B556B"/>
              <w:left w:val="nil"/>
              <w:bottom w:val="nil"/>
              <w:right w:val="nil"/>
            </w:tcBorders>
            <w:vAlign w:val="center"/>
          </w:tcPr>
          <w:p w14:paraId="05EBBDBD"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469.5</w:t>
            </w:r>
          </w:p>
        </w:tc>
        <w:tc>
          <w:tcPr>
            <w:tcW w:w="920" w:type="dxa"/>
            <w:tcBorders>
              <w:top w:val="single" w:sz="4" w:space="0" w:color="1B556B"/>
              <w:left w:val="nil"/>
              <w:bottom w:val="nil"/>
              <w:right w:val="single" w:sz="4" w:space="0" w:color="1B556B"/>
            </w:tcBorders>
            <w:vAlign w:val="center"/>
          </w:tcPr>
          <w:p w14:paraId="3FDA9D74"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349.2</w:t>
            </w:r>
          </w:p>
        </w:tc>
        <w:tc>
          <w:tcPr>
            <w:tcW w:w="805" w:type="dxa"/>
            <w:tcBorders>
              <w:top w:val="single" w:sz="4" w:space="0" w:color="1B556B"/>
              <w:left w:val="single" w:sz="4" w:space="0" w:color="1B556B"/>
              <w:bottom w:val="nil"/>
              <w:right w:val="nil"/>
            </w:tcBorders>
            <w:vAlign w:val="center"/>
          </w:tcPr>
          <w:p w14:paraId="40D741E8" w14:textId="77777777" w:rsidR="0010265C" w:rsidRPr="00261B7A" w:rsidRDefault="0010265C" w:rsidP="002C09A6">
            <w:pPr>
              <w:pStyle w:val="TableText"/>
              <w:spacing w:before="40" w:after="40"/>
              <w:jc w:val="right"/>
              <w:rPr>
                <w:rFonts w:cs="Calibri"/>
                <w:szCs w:val="16"/>
              </w:rPr>
            </w:pPr>
          </w:p>
        </w:tc>
        <w:tc>
          <w:tcPr>
            <w:tcW w:w="805" w:type="dxa"/>
            <w:tcBorders>
              <w:top w:val="single" w:sz="4" w:space="0" w:color="1B556B"/>
              <w:left w:val="nil"/>
              <w:bottom w:val="nil"/>
              <w:right w:val="single" w:sz="4" w:space="0" w:color="1B556B"/>
            </w:tcBorders>
            <w:vAlign w:val="center"/>
          </w:tcPr>
          <w:p w14:paraId="1D084829"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88.8</w:t>
            </w:r>
          </w:p>
        </w:tc>
        <w:tc>
          <w:tcPr>
            <w:tcW w:w="920" w:type="dxa"/>
            <w:tcBorders>
              <w:top w:val="single" w:sz="4" w:space="0" w:color="1B556B"/>
              <w:left w:val="single" w:sz="4" w:space="0" w:color="1B556B"/>
              <w:bottom w:val="nil"/>
              <w:right w:val="single" w:sz="4" w:space="0" w:color="1B556B"/>
            </w:tcBorders>
            <w:vAlign w:val="center"/>
          </w:tcPr>
          <w:p w14:paraId="61C50F6E"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68" w:type="dxa"/>
            <w:tcBorders>
              <w:top w:val="single" w:sz="4" w:space="0" w:color="1B556B"/>
              <w:left w:val="single" w:sz="4" w:space="0" w:color="1B556B"/>
              <w:bottom w:val="nil"/>
              <w:right w:val="single" w:sz="4" w:space="0" w:color="1B556B"/>
            </w:tcBorders>
            <w:vAlign w:val="center"/>
          </w:tcPr>
          <w:p w14:paraId="5FEDD430"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42" w:type="dxa"/>
            <w:tcBorders>
              <w:top w:val="single" w:sz="4" w:space="0" w:color="1B556B"/>
              <w:left w:val="single" w:sz="4" w:space="0" w:color="1B556B"/>
              <w:bottom w:val="nil"/>
              <w:right w:val="nil"/>
            </w:tcBorders>
            <w:vAlign w:val="center"/>
          </w:tcPr>
          <w:p w14:paraId="41F21E7D" w14:textId="77777777" w:rsidR="0010265C" w:rsidRPr="00261B7A" w:rsidRDefault="0010265C" w:rsidP="002C09A6">
            <w:pPr>
              <w:pStyle w:val="TableTextBold"/>
              <w:spacing w:before="40" w:after="40"/>
              <w:jc w:val="right"/>
              <w:rPr>
                <w:rFonts w:cs="Calibri"/>
                <w:noProof w:val="0"/>
                <w:szCs w:val="16"/>
              </w:rPr>
            </w:pPr>
            <w:r w:rsidRPr="00261B7A">
              <w:rPr>
                <w:rFonts w:cs="Calibri"/>
                <w:noProof w:val="0"/>
                <w:color w:val="000000"/>
                <w:szCs w:val="16"/>
              </w:rPr>
              <w:t>5,840.8</w:t>
            </w:r>
          </w:p>
        </w:tc>
      </w:tr>
      <w:tr w:rsidR="0010265C" w:rsidRPr="00261B7A" w14:paraId="2B197A41" w14:textId="77777777" w:rsidTr="008E52F6">
        <w:tc>
          <w:tcPr>
            <w:tcW w:w="979" w:type="dxa"/>
            <w:vMerge/>
            <w:tcBorders>
              <w:top w:val="single" w:sz="4" w:space="0" w:color="1B556B"/>
              <w:left w:val="nil"/>
              <w:bottom w:val="single" w:sz="4" w:space="0" w:color="1B556B"/>
              <w:right w:val="nil"/>
            </w:tcBorders>
          </w:tcPr>
          <w:p w14:paraId="0CF8EE6E" w14:textId="77777777" w:rsidR="0010265C" w:rsidRPr="00261B7A" w:rsidRDefault="0010265C" w:rsidP="002C09A6">
            <w:pPr>
              <w:pStyle w:val="TableText"/>
              <w:spacing w:before="40" w:after="40"/>
              <w:rPr>
                <w:rFonts w:cs="Calibri"/>
                <w:szCs w:val="16"/>
              </w:rPr>
            </w:pPr>
          </w:p>
        </w:tc>
        <w:tc>
          <w:tcPr>
            <w:tcW w:w="1151" w:type="dxa"/>
            <w:tcBorders>
              <w:top w:val="nil"/>
              <w:left w:val="nil"/>
              <w:bottom w:val="nil"/>
              <w:right w:val="single" w:sz="4" w:space="0" w:color="1B556B"/>
            </w:tcBorders>
            <w:vAlign w:val="center"/>
          </w:tcPr>
          <w:p w14:paraId="44DF9926" w14:textId="77777777" w:rsidR="0010265C" w:rsidRPr="00261B7A" w:rsidRDefault="0010265C" w:rsidP="002C09A6">
            <w:pPr>
              <w:pStyle w:val="TableText"/>
              <w:spacing w:before="40" w:after="40"/>
              <w:rPr>
                <w:rFonts w:cs="Calibri"/>
                <w:szCs w:val="16"/>
              </w:rPr>
            </w:pPr>
            <w:r w:rsidRPr="00261B7A">
              <w:rPr>
                <w:rFonts w:cs="Calibri"/>
                <w:szCs w:val="16"/>
              </w:rPr>
              <w:t>Low producing</w:t>
            </w:r>
          </w:p>
        </w:tc>
        <w:tc>
          <w:tcPr>
            <w:tcW w:w="806" w:type="dxa"/>
            <w:tcBorders>
              <w:top w:val="nil"/>
              <w:left w:val="single" w:sz="4" w:space="0" w:color="1B556B"/>
              <w:bottom w:val="nil"/>
              <w:right w:val="nil"/>
            </w:tcBorders>
            <w:vAlign w:val="center"/>
          </w:tcPr>
          <w:p w14:paraId="51032C12"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430.0</w:t>
            </w:r>
          </w:p>
        </w:tc>
        <w:tc>
          <w:tcPr>
            <w:tcW w:w="806" w:type="dxa"/>
            <w:tcBorders>
              <w:top w:val="nil"/>
              <w:left w:val="nil"/>
              <w:bottom w:val="nil"/>
              <w:right w:val="nil"/>
            </w:tcBorders>
            <w:vAlign w:val="center"/>
          </w:tcPr>
          <w:p w14:paraId="01BE87DC" w14:textId="77777777" w:rsidR="0010265C" w:rsidRPr="00261B7A" w:rsidRDefault="0010265C" w:rsidP="002C09A6">
            <w:pPr>
              <w:pStyle w:val="TableText"/>
              <w:spacing w:before="40" w:after="40"/>
              <w:jc w:val="right"/>
              <w:rPr>
                <w:rFonts w:cs="Calibri"/>
                <w:szCs w:val="16"/>
              </w:rPr>
            </w:pPr>
          </w:p>
        </w:tc>
        <w:tc>
          <w:tcPr>
            <w:tcW w:w="805" w:type="dxa"/>
            <w:tcBorders>
              <w:top w:val="nil"/>
              <w:left w:val="nil"/>
              <w:bottom w:val="nil"/>
              <w:right w:val="nil"/>
            </w:tcBorders>
            <w:vAlign w:val="center"/>
          </w:tcPr>
          <w:p w14:paraId="056EA3D2" w14:textId="77777777" w:rsidR="0010265C" w:rsidRPr="00261B7A" w:rsidRDefault="0010265C" w:rsidP="002C09A6">
            <w:pPr>
              <w:pStyle w:val="TableText"/>
              <w:spacing w:before="40" w:after="40"/>
              <w:jc w:val="right"/>
              <w:rPr>
                <w:rFonts w:cs="Calibri"/>
                <w:szCs w:val="16"/>
              </w:rPr>
            </w:pPr>
          </w:p>
        </w:tc>
        <w:tc>
          <w:tcPr>
            <w:tcW w:w="805" w:type="dxa"/>
            <w:tcBorders>
              <w:top w:val="nil"/>
              <w:left w:val="nil"/>
              <w:bottom w:val="nil"/>
              <w:right w:val="single" w:sz="4" w:space="0" w:color="1B556B"/>
            </w:tcBorders>
            <w:vAlign w:val="center"/>
          </w:tcPr>
          <w:p w14:paraId="008F58CE"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nil"/>
              <w:left w:val="single" w:sz="4" w:space="0" w:color="1B556B"/>
              <w:bottom w:val="nil"/>
              <w:right w:val="nil"/>
            </w:tcBorders>
            <w:vAlign w:val="center"/>
          </w:tcPr>
          <w:p w14:paraId="164E9312" w14:textId="77777777" w:rsidR="0010265C" w:rsidRPr="00261B7A" w:rsidRDefault="0010265C" w:rsidP="002C09A6">
            <w:pPr>
              <w:pStyle w:val="TableText"/>
              <w:spacing w:before="40" w:after="40"/>
              <w:jc w:val="right"/>
              <w:rPr>
                <w:rFonts w:cs="Calibri"/>
                <w:szCs w:val="16"/>
              </w:rPr>
            </w:pPr>
          </w:p>
        </w:tc>
        <w:tc>
          <w:tcPr>
            <w:tcW w:w="748" w:type="dxa"/>
            <w:tcBorders>
              <w:top w:val="nil"/>
              <w:left w:val="nil"/>
              <w:bottom w:val="nil"/>
              <w:right w:val="single" w:sz="4" w:space="0" w:color="1B556B"/>
            </w:tcBorders>
            <w:vAlign w:val="center"/>
          </w:tcPr>
          <w:p w14:paraId="5F6CE59E"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single" w:sz="4" w:space="0" w:color="1B556B"/>
              <w:bottom w:val="nil"/>
              <w:right w:val="nil"/>
            </w:tcBorders>
            <w:vAlign w:val="center"/>
          </w:tcPr>
          <w:p w14:paraId="6FB1D926" w14:textId="77777777" w:rsidR="0010265C" w:rsidRPr="00261B7A" w:rsidRDefault="0010265C" w:rsidP="002C09A6">
            <w:pPr>
              <w:pStyle w:val="TableText"/>
              <w:spacing w:before="40" w:after="40"/>
              <w:jc w:val="right"/>
              <w:rPr>
                <w:rFonts w:cs="Calibri"/>
                <w:szCs w:val="16"/>
              </w:rPr>
            </w:pPr>
          </w:p>
        </w:tc>
        <w:tc>
          <w:tcPr>
            <w:tcW w:w="920" w:type="dxa"/>
            <w:tcBorders>
              <w:top w:val="nil"/>
              <w:left w:val="nil"/>
              <w:bottom w:val="nil"/>
              <w:right w:val="nil"/>
            </w:tcBorders>
            <w:shd w:val="clear" w:color="auto" w:fill="D2DDE1" w:themeFill="background2"/>
            <w:vAlign w:val="center"/>
          </w:tcPr>
          <w:p w14:paraId="14E46D03"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7,447.5</w:t>
            </w:r>
          </w:p>
        </w:tc>
        <w:tc>
          <w:tcPr>
            <w:tcW w:w="920" w:type="dxa"/>
            <w:tcBorders>
              <w:top w:val="nil"/>
              <w:left w:val="nil"/>
              <w:bottom w:val="nil"/>
              <w:right w:val="single" w:sz="4" w:space="0" w:color="1B556B"/>
            </w:tcBorders>
            <w:vAlign w:val="center"/>
          </w:tcPr>
          <w:p w14:paraId="1A36B647"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35.9</w:t>
            </w:r>
          </w:p>
        </w:tc>
        <w:tc>
          <w:tcPr>
            <w:tcW w:w="805" w:type="dxa"/>
            <w:tcBorders>
              <w:top w:val="nil"/>
              <w:left w:val="single" w:sz="4" w:space="0" w:color="1B556B"/>
              <w:bottom w:val="nil"/>
              <w:right w:val="nil"/>
            </w:tcBorders>
            <w:vAlign w:val="center"/>
          </w:tcPr>
          <w:p w14:paraId="3FFB7F62" w14:textId="77777777" w:rsidR="0010265C" w:rsidRPr="00261B7A" w:rsidRDefault="0010265C" w:rsidP="002C09A6">
            <w:pPr>
              <w:pStyle w:val="TableText"/>
              <w:spacing w:before="40" w:after="40"/>
              <w:jc w:val="right"/>
              <w:rPr>
                <w:rFonts w:cs="Calibri"/>
                <w:szCs w:val="16"/>
              </w:rPr>
            </w:pPr>
          </w:p>
        </w:tc>
        <w:tc>
          <w:tcPr>
            <w:tcW w:w="805" w:type="dxa"/>
            <w:tcBorders>
              <w:top w:val="nil"/>
              <w:left w:val="nil"/>
              <w:bottom w:val="nil"/>
              <w:right w:val="single" w:sz="4" w:space="0" w:color="1B556B"/>
            </w:tcBorders>
            <w:vAlign w:val="center"/>
          </w:tcPr>
          <w:p w14:paraId="2E52B848"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single" w:sz="4" w:space="0" w:color="1B556B"/>
              <w:bottom w:val="nil"/>
              <w:right w:val="single" w:sz="4" w:space="0" w:color="1B556B"/>
            </w:tcBorders>
            <w:vAlign w:val="center"/>
          </w:tcPr>
          <w:p w14:paraId="3674684A"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68" w:type="dxa"/>
            <w:tcBorders>
              <w:top w:val="nil"/>
              <w:left w:val="single" w:sz="4" w:space="0" w:color="1B556B"/>
              <w:bottom w:val="nil"/>
              <w:right w:val="single" w:sz="4" w:space="0" w:color="1B556B"/>
            </w:tcBorders>
            <w:vAlign w:val="center"/>
          </w:tcPr>
          <w:p w14:paraId="2AD1B953"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42" w:type="dxa"/>
            <w:tcBorders>
              <w:top w:val="nil"/>
              <w:left w:val="single" w:sz="4" w:space="0" w:color="1B556B"/>
              <w:bottom w:val="nil"/>
              <w:right w:val="nil"/>
            </w:tcBorders>
            <w:vAlign w:val="center"/>
          </w:tcPr>
          <w:p w14:paraId="4ABF61D8" w14:textId="77777777" w:rsidR="0010265C" w:rsidRPr="00261B7A" w:rsidRDefault="0010265C" w:rsidP="002C09A6">
            <w:pPr>
              <w:pStyle w:val="TableTextBold"/>
              <w:spacing w:before="40" w:after="40"/>
              <w:jc w:val="right"/>
              <w:rPr>
                <w:rFonts w:cs="Calibri"/>
                <w:noProof w:val="0"/>
                <w:szCs w:val="16"/>
              </w:rPr>
            </w:pPr>
            <w:r w:rsidRPr="00261B7A">
              <w:rPr>
                <w:rFonts w:cs="Calibri"/>
                <w:noProof w:val="0"/>
                <w:color w:val="000000"/>
                <w:szCs w:val="16"/>
              </w:rPr>
              <w:t>7,913.4</w:t>
            </w:r>
          </w:p>
        </w:tc>
      </w:tr>
      <w:tr w:rsidR="0010265C" w:rsidRPr="00261B7A" w14:paraId="440B4B8E" w14:textId="77777777" w:rsidTr="008E52F6">
        <w:tc>
          <w:tcPr>
            <w:tcW w:w="979" w:type="dxa"/>
            <w:vMerge/>
            <w:tcBorders>
              <w:top w:val="single" w:sz="4" w:space="0" w:color="1B556B"/>
              <w:left w:val="nil"/>
              <w:bottom w:val="single" w:sz="4" w:space="0" w:color="1B556B"/>
              <w:right w:val="nil"/>
            </w:tcBorders>
          </w:tcPr>
          <w:p w14:paraId="0B73E0D7" w14:textId="77777777" w:rsidR="0010265C" w:rsidRPr="00261B7A" w:rsidRDefault="0010265C" w:rsidP="002C09A6">
            <w:pPr>
              <w:pStyle w:val="TableText"/>
              <w:spacing w:before="40" w:after="40"/>
              <w:rPr>
                <w:rFonts w:cs="Calibri"/>
                <w:szCs w:val="16"/>
              </w:rPr>
            </w:pPr>
          </w:p>
        </w:tc>
        <w:tc>
          <w:tcPr>
            <w:tcW w:w="1151" w:type="dxa"/>
            <w:tcBorders>
              <w:top w:val="nil"/>
              <w:left w:val="nil"/>
              <w:bottom w:val="single" w:sz="4" w:space="0" w:color="1B556B"/>
              <w:right w:val="single" w:sz="4" w:space="0" w:color="1B556B"/>
            </w:tcBorders>
            <w:vAlign w:val="center"/>
          </w:tcPr>
          <w:p w14:paraId="778547AF" w14:textId="77777777" w:rsidR="0010265C" w:rsidRPr="00261B7A" w:rsidRDefault="0010265C" w:rsidP="002C09A6">
            <w:pPr>
              <w:pStyle w:val="TableText"/>
              <w:spacing w:before="40" w:after="40"/>
              <w:rPr>
                <w:rFonts w:cs="Calibri"/>
                <w:szCs w:val="16"/>
              </w:rPr>
            </w:pPr>
            <w:r w:rsidRPr="00261B7A">
              <w:rPr>
                <w:rFonts w:cs="Calibri"/>
                <w:szCs w:val="16"/>
              </w:rPr>
              <w:t>With woody biomass</w:t>
            </w:r>
          </w:p>
        </w:tc>
        <w:tc>
          <w:tcPr>
            <w:tcW w:w="806" w:type="dxa"/>
            <w:tcBorders>
              <w:top w:val="nil"/>
              <w:left w:val="single" w:sz="4" w:space="0" w:color="1B556B"/>
              <w:bottom w:val="single" w:sz="4" w:space="0" w:color="1B556B"/>
              <w:right w:val="nil"/>
            </w:tcBorders>
            <w:vAlign w:val="center"/>
          </w:tcPr>
          <w:p w14:paraId="4F1BEB86"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74.0</w:t>
            </w:r>
          </w:p>
        </w:tc>
        <w:tc>
          <w:tcPr>
            <w:tcW w:w="806" w:type="dxa"/>
            <w:tcBorders>
              <w:top w:val="nil"/>
              <w:left w:val="nil"/>
              <w:bottom w:val="single" w:sz="4" w:space="0" w:color="1B556B"/>
              <w:right w:val="nil"/>
            </w:tcBorders>
            <w:vAlign w:val="center"/>
          </w:tcPr>
          <w:p w14:paraId="7D2763B2"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nil"/>
              <w:bottom w:val="single" w:sz="4" w:space="0" w:color="1B556B"/>
              <w:right w:val="nil"/>
            </w:tcBorders>
            <w:vAlign w:val="center"/>
          </w:tcPr>
          <w:p w14:paraId="6B2892B5"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nil"/>
              <w:bottom w:val="single" w:sz="4" w:space="0" w:color="1B556B"/>
              <w:right w:val="single" w:sz="4" w:space="0" w:color="1B556B"/>
            </w:tcBorders>
            <w:vAlign w:val="center"/>
          </w:tcPr>
          <w:p w14:paraId="0E910B17"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nil"/>
              <w:left w:val="single" w:sz="4" w:space="0" w:color="1B556B"/>
              <w:bottom w:val="single" w:sz="4" w:space="0" w:color="1B556B"/>
              <w:right w:val="nil"/>
            </w:tcBorders>
            <w:vAlign w:val="center"/>
          </w:tcPr>
          <w:p w14:paraId="6D632308"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nil"/>
              <w:left w:val="nil"/>
              <w:bottom w:val="single" w:sz="4" w:space="0" w:color="1B556B"/>
              <w:right w:val="single" w:sz="4" w:space="0" w:color="1B556B"/>
            </w:tcBorders>
            <w:vAlign w:val="center"/>
          </w:tcPr>
          <w:p w14:paraId="0F43D428"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single" w:sz="4" w:space="0" w:color="1B556B"/>
              <w:bottom w:val="single" w:sz="4" w:space="0" w:color="1B556B"/>
              <w:right w:val="nil"/>
            </w:tcBorders>
            <w:vAlign w:val="center"/>
          </w:tcPr>
          <w:p w14:paraId="382ECBE3"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nil"/>
              <w:bottom w:val="single" w:sz="4" w:space="0" w:color="1B556B"/>
              <w:right w:val="nil"/>
            </w:tcBorders>
            <w:vAlign w:val="center"/>
          </w:tcPr>
          <w:p w14:paraId="765096A2"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482.6</w:t>
            </w:r>
          </w:p>
        </w:tc>
        <w:tc>
          <w:tcPr>
            <w:tcW w:w="920" w:type="dxa"/>
            <w:tcBorders>
              <w:top w:val="nil"/>
              <w:left w:val="nil"/>
              <w:bottom w:val="single" w:sz="4" w:space="0" w:color="1B556B"/>
              <w:right w:val="single" w:sz="4" w:space="0" w:color="1B556B"/>
            </w:tcBorders>
            <w:shd w:val="clear" w:color="auto" w:fill="D2DDE1" w:themeFill="background2"/>
            <w:vAlign w:val="center"/>
          </w:tcPr>
          <w:p w14:paraId="0CAFB685"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958.6</w:t>
            </w:r>
          </w:p>
        </w:tc>
        <w:tc>
          <w:tcPr>
            <w:tcW w:w="805" w:type="dxa"/>
            <w:tcBorders>
              <w:top w:val="nil"/>
              <w:left w:val="single" w:sz="4" w:space="0" w:color="1B556B"/>
              <w:bottom w:val="single" w:sz="4" w:space="0" w:color="1B556B"/>
              <w:right w:val="nil"/>
            </w:tcBorders>
            <w:vAlign w:val="center"/>
          </w:tcPr>
          <w:p w14:paraId="4BF9D4EC"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nil"/>
              <w:bottom w:val="single" w:sz="4" w:space="0" w:color="1B556B"/>
              <w:right w:val="single" w:sz="4" w:space="0" w:color="1B556B"/>
            </w:tcBorders>
            <w:vAlign w:val="center"/>
          </w:tcPr>
          <w:p w14:paraId="4A6A3BF3"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single" w:sz="4" w:space="0" w:color="1B556B"/>
              <w:bottom w:val="single" w:sz="4" w:space="0" w:color="1B556B"/>
              <w:right w:val="single" w:sz="4" w:space="0" w:color="1B556B"/>
            </w:tcBorders>
            <w:vAlign w:val="center"/>
          </w:tcPr>
          <w:p w14:paraId="688AA76D"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68" w:type="dxa"/>
            <w:tcBorders>
              <w:top w:val="nil"/>
              <w:left w:val="single" w:sz="4" w:space="0" w:color="1B556B"/>
              <w:bottom w:val="single" w:sz="4" w:space="0" w:color="1B556B"/>
              <w:right w:val="single" w:sz="4" w:space="0" w:color="1B556B"/>
            </w:tcBorders>
            <w:vAlign w:val="center"/>
          </w:tcPr>
          <w:p w14:paraId="2A45EBBF"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42" w:type="dxa"/>
            <w:tcBorders>
              <w:top w:val="nil"/>
              <w:left w:val="single" w:sz="4" w:space="0" w:color="1B556B"/>
              <w:bottom w:val="single" w:sz="4" w:space="0" w:color="1B556B"/>
              <w:right w:val="nil"/>
            </w:tcBorders>
            <w:vAlign w:val="center"/>
          </w:tcPr>
          <w:p w14:paraId="5771CE7C" w14:textId="77777777" w:rsidR="0010265C" w:rsidRPr="00261B7A" w:rsidRDefault="0010265C" w:rsidP="002C09A6">
            <w:pPr>
              <w:pStyle w:val="TableTextBold"/>
              <w:spacing w:before="40" w:after="40"/>
              <w:jc w:val="right"/>
              <w:rPr>
                <w:rFonts w:cs="Calibri"/>
                <w:noProof w:val="0"/>
                <w:szCs w:val="16"/>
              </w:rPr>
            </w:pPr>
            <w:r w:rsidRPr="00261B7A">
              <w:rPr>
                <w:rFonts w:cs="Calibri"/>
                <w:noProof w:val="0"/>
                <w:color w:val="000000"/>
                <w:szCs w:val="16"/>
              </w:rPr>
              <w:t>1,515.2</w:t>
            </w:r>
          </w:p>
        </w:tc>
      </w:tr>
      <w:tr w:rsidR="0010265C" w:rsidRPr="00261B7A" w14:paraId="7C716CBF" w14:textId="77777777" w:rsidTr="008E52F6">
        <w:trPr>
          <w:trHeight w:val="343"/>
        </w:trPr>
        <w:tc>
          <w:tcPr>
            <w:tcW w:w="979" w:type="dxa"/>
            <w:vMerge w:val="restart"/>
            <w:tcBorders>
              <w:top w:val="single" w:sz="4" w:space="0" w:color="1B556B"/>
              <w:left w:val="nil"/>
              <w:bottom w:val="single" w:sz="4" w:space="0" w:color="1B556B"/>
              <w:right w:val="nil"/>
            </w:tcBorders>
          </w:tcPr>
          <w:p w14:paraId="005E5EA2" w14:textId="77777777" w:rsidR="0010265C" w:rsidRPr="00261B7A" w:rsidRDefault="0010265C" w:rsidP="002C09A6">
            <w:pPr>
              <w:pStyle w:val="TableTextBold"/>
              <w:spacing w:before="40" w:after="40"/>
              <w:rPr>
                <w:rFonts w:cs="Calibri"/>
                <w:noProof w:val="0"/>
                <w:szCs w:val="16"/>
              </w:rPr>
            </w:pPr>
            <w:r w:rsidRPr="00261B7A">
              <w:rPr>
                <w:rFonts w:cs="Calibri"/>
                <w:noProof w:val="0"/>
                <w:szCs w:val="16"/>
              </w:rPr>
              <w:t>Wetland</w:t>
            </w:r>
          </w:p>
        </w:tc>
        <w:tc>
          <w:tcPr>
            <w:tcW w:w="1151" w:type="dxa"/>
            <w:tcBorders>
              <w:top w:val="single" w:sz="4" w:space="0" w:color="1B556B"/>
              <w:left w:val="nil"/>
              <w:bottom w:val="nil"/>
              <w:right w:val="single" w:sz="4" w:space="0" w:color="1B556B"/>
            </w:tcBorders>
            <w:vAlign w:val="center"/>
          </w:tcPr>
          <w:p w14:paraId="3F610A60" w14:textId="77777777" w:rsidR="0010265C" w:rsidRPr="00261B7A" w:rsidRDefault="0010265C" w:rsidP="002C09A6">
            <w:pPr>
              <w:pStyle w:val="TableText"/>
              <w:spacing w:before="40" w:after="40"/>
              <w:rPr>
                <w:rFonts w:cs="Calibri"/>
                <w:szCs w:val="16"/>
              </w:rPr>
            </w:pPr>
            <w:r w:rsidRPr="00261B7A">
              <w:rPr>
                <w:rFonts w:cs="Calibri"/>
                <w:szCs w:val="16"/>
              </w:rPr>
              <w:t>Open water</w:t>
            </w:r>
          </w:p>
        </w:tc>
        <w:tc>
          <w:tcPr>
            <w:tcW w:w="806" w:type="dxa"/>
            <w:tcBorders>
              <w:top w:val="single" w:sz="4" w:space="0" w:color="1B556B"/>
              <w:left w:val="single" w:sz="4" w:space="0" w:color="1B556B"/>
              <w:bottom w:val="nil"/>
              <w:right w:val="nil"/>
            </w:tcBorders>
            <w:vAlign w:val="center"/>
          </w:tcPr>
          <w:p w14:paraId="08D7CE16"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14.4</w:t>
            </w:r>
          </w:p>
        </w:tc>
        <w:tc>
          <w:tcPr>
            <w:tcW w:w="806" w:type="dxa"/>
            <w:tcBorders>
              <w:top w:val="single" w:sz="4" w:space="0" w:color="1B556B"/>
              <w:left w:val="nil"/>
              <w:bottom w:val="nil"/>
              <w:right w:val="nil"/>
            </w:tcBorders>
            <w:vAlign w:val="center"/>
          </w:tcPr>
          <w:p w14:paraId="5A09CF3F" w14:textId="77777777" w:rsidR="0010265C" w:rsidRPr="00261B7A" w:rsidRDefault="0010265C" w:rsidP="002C09A6">
            <w:pPr>
              <w:pStyle w:val="TableText"/>
              <w:spacing w:before="40" w:after="40"/>
              <w:jc w:val="right"/>
              <w:rPr>
                <w:rFonts w:cs="Calibri"/>
                <w:szCs w:val="16"/>
              </w:rPr>
            </w:pPr>
          </w:p>
        </w:tc>
        <w:tc>
          <w:tcPr>
            <w:tcW w:w="805" w:type="dxa"/>
            <w:tcBorders>
              <w:top w:val="single" w:sz="4" w:space="0" w:color="1B556B"/>
              <w:left w:val="nil"/>
              <w:bottom w:val="nil"/>
              <w:right w:val="nil"/>
            </w:tcBorders>
            <w:vAlign w:val="center"/>
          </w:tcPr>
          <w:p w14:paraId="45609900" w14:textId="77777777" w:rsidR="0010265C" w:rsidRPr="00261B7A" w:rsidRDefault="0010265C" w:rsidP="002C09A6">
            <w:pPr>
              <w:pStyle w:val="TableText"/>
              <w:spacing w:before="40" w:after="40"/>
              <w:jc w:val="right"/>
              <w:rPr>
                <w:rFonts w:cs="Calibri"/>
                <w:szCs w:val="16"/>
              </w:rPr>
            </w:pPr>
          </w:p>
        </w:tc>
        <w:tc>
          <w:tcPr>
            <w:tcW w:w="805" w:type="dxa"/>
            <w:tcBorders>
              <w:top w:val="single" w:sz="4" w:space="0" w:color="1B556B"/>
              <w:left w:val="nil"/>
              <w:bottom w:val="nil"/>
              <w:right w:val="single" w:sz="4" w:space="0" w:color="1B556B"/>
            </w:tcBorders>
            <w:vAlign w:val="center"/>
          </w:tcPr>
          <w:p w14:paraId="25DA6B2B"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single" w:sz="4" w:space="0" w:color="1B556B"/>
              <w:left w:val="single" w:sz="4" w:space="0" w:color="1B556B"/>
              <w:bottom w:val="nil"/>
              <w:right w:val="nil"/>
            </w:tcBorders>
            <w:vAlign w:val="center"/>
          </w:tcPr>
          <w:p w14:paraId="474E261D" w14:textId="77777777" w:rsidR="0010265C" w:rsidRPr="00261B7A" w:rsidRDefault="0010265C" w:rsidP="002C09A6">
            <w:pPr>
              <w:pStyle w:val="TableText"/>
              <w:spacing w:before="40" w:after="40"/>
              <w:jc w:val="right"/>
              <w:rPr>
                <w:rFonts w:cs="Calibri"/>
                <w:szCs w:val="16"/>
              </w:rPr>
            </w:pPr>
          </w:p>
        </w:tc>
        <w:tc>
          <w:tcPr>
            <w:tcW w:w="748" w:type="dxa"/>
            <w:tcBorders>
              <w:top w:val="single" w:sz="4" w:space="0" w:color="1B556B"/>
              <w:left w:val="nil"/>
              <w:bottom w:val="nil"/>
              <w:right w:val="single" w:sz="4" w:space="0" w:color="1B556B"/>
            </w:tcBorders>
            <w:vAlign w:val="center"/>
          </w:tcPr>
          <w:p w14:paraId="1C190A0B"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single" w:sz="4" w:space="0" w:color="1B556B"/>
              <w:left w:val="single" w:sz="4" w:space="0" w:color="1B556B"/>
              <w:bottom w:val="nil"/>
              <w:right w:val="nil"/>
            </w:tcBorders>
            <w:vAlign w:val="center"/>
          </w:tcPr>
          <w:p w14:paraId="07A303DE" w14:textId="77777777" w:rsidR="0010265C" w:rsidRPr="00261B7A" w:rsidRDefault="0010265C" w:rsidP="002C09A6">
            <w:pPr>
              <w:pStyle w:val="TableText"/>
              <w:spacing w:before="40" w:after="40"/>
              <w:jc w:val="right"/>
              <w:rPr>
                <w:rFonts w:cs="Calibri"/>
                <w:szCs w:val="16"/>
              </w:rPr>
            </w:pPr>
          </w:p>
        </w:tc>
        <w:tc>
          <w:tcPr>
            <w:tcW w:w="920" w:type="dxa"/>
            <w:tcBorders>
              <w:top w:val="single" w:sz="4" w:space="0" w:color="1B556B"/>
              <w:left w:val="nil"/>
              <w:bottom w:val="nil"/>
              <w:right w:val="nil"/>
            </w:tcBorders>
            <w:vAlign w:val="center"/>
          </w:tcPr>
          <w:p w14:paraId="13D81426" w14:textId="77777777" w:rsidR="0010265C" w:rsidRPr="00261B7A" w:rsidRDefault="0010265C" w:rsidP="002C09A6">
            <w:pPr>
              <w:pStyle w:val="TableText"/>
              <w:spacing w:before="40" w:after="40"/>
              <w:jc w:val="right"/>
              <w:rPr>
                <w:rFonts w:cs="Calibri"/>
                <w:szCs w:val="16"/>
              </w:rPr>
            </w:pPr>
          </w:p>
        </w:tc>
        <w:tc>
          <w:tcPr>
            <w:tcW w:w="920" w:type="dxa"/>
            <w:tcBorders>
              <w:top w:val="single" w:sz="4" w:space="0" w:color="1B556B"/>
              <w:left w:val="nil"/>
              <w:bottom w:val="nil"/>
              <w:right w:val="single" w:sz="4" w:space="0" w:color="1B556B"/>
            </w:tcBorders>
            <w:vAlign w:val="center"/>
          </w:tcPr>
          <w:p w14:paraId="6389A7A1"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single" w:sz="4" w:space="0" w:color="1B556B"/>
              <w:left w:val="single" w:sz="4" w:space="0" w:color="1B556B"/>
              <w:bottom w:val="nil"/>
              <w:right w:val="nil"/>
            </w:tcBorders>
            <w:shd w:val="clear" w:color="auto" w:fill="D2DDE1" w:themeFill="background2"/>
            <w:vAlign w:val="center"/>
          </w:tcPr>
          <w:p w14:paraId="32F0C3AD"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512.7</w:t>
            </w:r>
          </w:p>
        </w:tc>
        <w:tc>
          <w:tcPr>
            <w:tcW w:w="805" w:type="dxa"/>
            <w:tcBorders>
              <w:top w:val="single" w:sz="4" w:space="0" w:color="1B556B"/>
              <w:left w:val="nil"/>
              <w:bottom w:val="nil"/>
              <w:right w:val="single" w:sz="4" w:space="0" w:color="1B556B"/>
            </w:tcBorders>
            <w:vAlign w:val="center"/>
          </w:tcPr>
          <w:p w14:paraId="598F84CF"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single" w:sz="4" w:space="0" w:color="1B556B"/>
              <w:left w:val="single" w:sz="4" w:space="0" w:color="1B556B"/>
              <w:bottom w:val="nil"/>
              <w:right w:val="single" w:sz="4" w:space="0" w:color="1B556B"/>
            </w:tcBorders>
            <w:vAlign w:val="center"/>
          </w:tcPr>
          <w:p w14:paraId="71E6E58B"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68" w:type="dxa"/>
            <w:tcBorders>
              <w:top w:val="single" w:sz="4" w:space="0" w:color="1B556B"/>
              <w:left w:val="single" w:sz="4" w:space="0" w:color="1B556B"/>
              <w:bottom w:val="nil"/>
              <w:right w:val="single" w:sz="4" w:space="0" w:color="1B556B"/>
            </w:tcBorders>
            <w:vAlign w:val="center"/>
          </w:tcPr>
          <w:p w14:paraId="4200F85D"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42" w:type="dxa"/>
            <w:tcBorders>
              <w:top w:val="single" w:sz="4" w:space="0" w:color="1B556B"/>
              <w:left w:val="single" w:sz="4" w:space="0" w:color="1B556B"/>
              <w:bottom w:val="nil"/>
              <w:right w:val="nil"/>
            </w:tcBorders>
            <w:vAlign w:val="center"/>
          </w:tcPr>
          <w:p w14:paraId="3A44CCCB" w14:textId="77777777" w:rsidR="0010265C" w:rsidRPr="00261B7A" w:rsidRDefault="0010265C" w:rsidP="002C09A6">
            <w:pPr>
              <w:pStyle w:val="TableTextBold"/>
              <w:spacing w:before="40" w:after="40"/>
              <w:jc w:val="right"/>
              <w:rPr>
                <w:rFonts w:cs="Calibri"/>
                <w:noProof w:val="0"/>
                <w:szCs w:val="16"/>
              </w:rPr>
            </w:pPr>
            <w:r w:rsidRPr="00261B7A">
              <w:rPr>
                <w:rFonts w:cs="Calibri"/>
                <w:noProof w:val="0"/>
                <w:color w:val="000000"/>
                <w:szCs w:val="16"/>
              </w:rPr>
              <w:t>527.0</w:t>
            </w:r>
          </w:p>
        </w:tc>
      </w:tr>
      <w:tr w:rsidR="0010265C" w:rsidRPr="00261B7A" w14:paraId="7CD07513" w14:textId="77777777" w:rsidTr="008E52F6">
        <w:tc>
          <w:tcPr>
            <w:tcW w:w="979" w:type="dxa"/>
            <w:vMerge/>
            <w:tcBorders>
              <w:top w:val="single" w:sz="4" w:space="0" w:color="1B556B"/>
              <w:left w:val="nil"/>
              <w:bottom w:val="single" w:sz="4" w:space="0" w:color="1B556B"/>
              <w:right w:val="nil"/>
            </w:tcBorders>
          </w:tcPr>
          <w:p w14:paraId="2665D5E5" w14:textId="77777777" w:rsidR="0010265C" w:rsidRPr="00261B7A" w:rsidRDefault="0010265C" w:rsidP="002C09A6">
            <w:pPr>
              <w:pStyle w:val="TableText"/>
              <w:spacing w:before="40" w:after="40"/>
              <w:rPr>
                <w:rFonts w:cs="Calibri"/>
                <w:szCs w:val="16"/>
              </w:rPr>
            </w:pPr>
          </w:p>
        </w:tc>
        <w:tc>
          <w:tcPr>
            <w:tcW w:w="1151" w:type="dxa"/>
            <w:tcBorders>
              <w:top w:val="nil"/>
              <w:left w:val="nil"/>
              <w:bottom w:val="single" w:sz="4" w:space="0" w:color="1B556B"/>
              <w:right w:val="single" w:sz="4" w:space="0" w:color="1B556B"/>
            </w:tcBorders>
            <w:vAlign w:val="center"/>
          </w:tcPr>
          <w:p w14:paraId="2BCB8B6F" w14:textId="77777777" w:rsidR="0010265C" w:rsidRPr="00261B7A" w:rsidRDefault="0010265C" w:rsidP="002C09A6">
            <w:pPr>
              <w:pStyle w:val="TableText"/>
              <w:spacing w:before="40" w:after="40"/>
              <w:rPr>
                <w:rFonts w:cs="Calibri"/>
                <w:szCs w:val="16"/>
              </w:rPr>
            </w:pPr>
            <w:r w:rsidRPr="00261B7A">
              <w:rPr>
                <w:rFonts w:cs="Calibri"/>
                <w:szCs w:val="16"/>
              </w:rPr>
              <w:t>Vegetated</w:t>
            </w:r>
          </w:p>
        </w:tc>
        <w:tc>
          <w:tcPr>
            <w:tcW w:w="806" w:type="dxa"/>
            <w:tcBorders>
              <w:top w:val="nil"/>
              <w:left w:val="single" w:sz="4" w:space="0" w:color="1B556B"/>
              <w:bottom w:val="single" w:sz="4" w:space="0" w:color="1B556B"/>
              <w:right w:val="nil"/>
            </w:tcBorders>
            <w:vAlign w:val="center"/>
          </w:tcPr>
          <w:p w14:paraId="3AB0E19D"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6" w:type="dxa"/>
            <w:tcBorders>
              <w:top w:val="nil"/>
              <w:left w:val="nil"/>
              <w:bottom w:val="single" w:sz="4" w:space="0" w:color="1B556B"/>
              <w:right w:val="nil"/>
            </w:tcBorders>
            <w:vAlign w:val="center"/>
          </w:tcPr>
          <w:p w14:paraId="2ECC1808"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nil"/>
              <w:bottom w:val="single" w:sz="4" w:space="0" w:color="1B556B"/>
              <w:right w:val="nil"/>
            </w:tcBorders>
            <w:vAlign w:val="center"/>
          </w:tcPr>
          <w:p w14:paraId="66C2B622"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nil"/>
              <w:bottom w:val="single" w:sz="4" w:space="0" w:color="1B556B"/>
              <w:right w:val="single" w:sz="4" w:space="0" w:color="1B556B"/>
            </w:tcBorders>
            <w:vAlign w:val="center"/>
          </w:tcPr>
          <w:p w14:paraId="56D21E47"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nil"/>
              <w:left w:val="single" w:sz="4" w:space="0" w:color="1B556B"/>
              <w:bottom w:val="single" w:sz="4" w:space="0" w:color="1B556B"/>
              <w:right w:val="nil"/>
            </w:tcBorders>
            <w:vAlign w:val="center"/>
          </w:tcPr>
          <w:p w14:paraId="55E06129"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nil"/>
              <w:left w:val="nil"/>
              <w:bottom w:val="single" w:sz="4" w:space="0" w:color="1B556B"/>
              <w:right w:val="single" w:sz="4" w:space="0" w:color="1B556B"/>
            </w:tcBorders>
            <w:vAlign w:val="center"/>
          </w:tcPr>
          <w:p w14:paraId="1BFC33CB"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single" w:sz="4" w:space="0" w:color="1B556B"/>
              <w:bottom w:val="single" w:sz="4" w:space="0" w:color="1B556B"/>
              <w:right w:val="nil"/>
            </w:tcBorders>
            <w:vAlign w:val="center"/>
          </w:tcPr>
          <w:p w14:paraId="355BBAAE"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nil"/>
              <w:bottom w:val="single" w:sz="4" w:space="0" w:color="1B556B"/>
              <w:right w:val="nil"/>
            </w:tcBorders>
            <w:vAlign w:val="center"/>
          </w:tcPr>
          <w:p w14:paraId="1B156713"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nil"/>
              <w:left w:val="nil"/>
              <w:bottom w:val="single" w:sz="4" w:space="0" w:color="1B556B"/>
              <w:right w:val="single" w:sz="4" w:space="0" w:color="1B556B"/>
            </w:tcBorders>
            <w:vAlign w:val="center"/>
          </w:tcPr>
          <w:p w14:paraId="1F2010C8"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single" w:sz="4" w:space="0" w:color="1B556B"/>
              <w:bottom w:val="single" w:sz="4" w:space="0" w:color="1B556B"/>
              <w:right w:val="nil"/>
            </w:tcBorders>
            <w:vAlign w:val="center"/>
          </w:tcPr>
          <w:p w14:paraId="2C308A12"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nil"/>
              <w:left w:val="nil"/>
              <w:bottom w:val="single" w:sz="4" w:space="0" w:color="1B556B"/>
              <w:right w:val="single" w:sz="4" w:space="0" w:color="1B556B"/>
            </w:tcBorders>
            <w:shd w:val="clear" w:color="auto" w:fill="D2DDE1" w:themeFill="background2"/>
            <w:vAlign w:val="center"/>
          </w:tcPr>
          <w:p w14:paraId="5D2D9DF8"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234.6</w:t>
            </w:r>
          </w:p>
        </w:tc>
        <w:tc>
          <w:tcPr>
            <w:tcW w:w="920" w:type="dxa"/>
            <w:tcBorders>
              <w:top w:val="nil"/>
              <w:left w:val="single" w:sz="4" w:space="0" w:color="1B556B"/>
              <w:bottom w:val="single" w:sz="4" w:space="0" w:color="1B556B"/>
              <w:right w:val="single" w:sz="4" w:space="0" w:color="1B556B"/>
            </w:tcBorders>
            <w:vAlign w:val="center"/>
          </w:tcPr>
          <w:p w14:paraId="3A120D3C"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68" w:type="dxa"/>
            <w:tcBorders>
              <w:top w:val="nil"/>
              <w:left w:val="single" w:sz="4" w:space="0" w:color="1B556B"/>
              <w:bottom w:val="single" w:sz="4" w:space="0" w:color="1B556B"/>
              <w:right w:val="single" w:sz="4" w:space="0" w:color="1B556B"/>
            </w:tcBorders>
            <w:vAlign w:val="center"/>
          </w:tcPr>
          <w:p w14:paraId="61927DFA"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42" w:type="dxa"/>
            <w:tcBorders>
              <w:top w:val="nil"/>
              <w:left w:val="single" w:sz="4" w:space="0" w:color="1B556B"/>
              <w:bottom w:val="single" w:sz="4" w:space="0" w:color="1B556B"/>
              <w:right w:val="nil"/>
            </w:tcBorders>
            <w:vAlign w:val="center"/>
          </w:tcPr>
          <w:p w14:paraId="4BF7CF17" w14:textId="77777777" w:rsidR="0010265C" w:rsidRPr="00261B7A" w:rsidRDefault="0010265C" w:rsidP="002C09A6">
            <w:pPr>
              <w:pStyle w:val="TableTextBold"/>
              <w:spacing w:before="40" w:after="40"/>
              <w:jc w:val="right"/>
              <w:rPr>
                <w:rFonts w:cs="Calibri"/>
                <w:noProof w:val="0"/>
                <w:szCs w:val="16"/>
              </w:rPr>
            </w:pPr>
            <w:r w:rsidRPr="00261B7A">
              <w:rPr>
                <w:rFonts w:cs="Calibri"/>
                <w:noProof w:val="0"/>
                <w:color w:val="000000"/>
                <w:szCs w:val="16"/>
              </w:rPr>
              <w:t>234.6</w:t>
            </w:r>
          </w:p>
        </w:tc>
      </w:tr>
      <w:tr w:rsidR="0010265C" w:rsidRPr="00261B7A" w14:paraId="3A467DE5" w14:textId="77777777" w:rsidTr="008E52F6">
        <w:tc>
          <w:tcPr>
            <w:tcW w:w="979" w:type="dxa"/>
            <w:tcBorders>
              <w:top w:val="single" w:sz="4" w:space="0" w:color="1B556B"/>
              <w:left w:val="nil"/>
              <w:bottom w:val="single" w:sz="4" w:space="0" w:color="1B556B"/>
              <w:right w:val="nil"/>
            </w:tcBorders>
            <w:vAlign w:val="center"/>
          </w:tcPr>
          <w:p w14:paraId="6428644B" w14:textId="77777777" w:rsidR="0010265C" w:rsidRPr="00261B7A" w:rsidRDefault="0010265C" w:rsidP="002C09A6">
            <w:pPr>
              <w:pStyle w:val="TableTextBold"/>
              <w:spacing w:before="40" w:after="40"/>
              <w:rPr>
                <w:rFonts w:cs="Calibri"/>
                <w:noProof w:val="0"/>
                <w:szCs w:val="16"/>
              </w:rPr>
            </w:pPr>
            <w:r w:rsidRPr="00261B7A">
              <w:rPr>
                <w:rFonts w:cs="Calibri"/>
                <w:noProof w:val="0"/>
                <w:szCs w:val="16"/>
              </w:rPr>
              <w:t>Settlements</w:t>
            </w:r>
          </w:p>
        </w:tc>
        <w:tc>
          <w:tcPr>
            <w:tcW w:w="1151" w:type="dxa"/>
            <w:tcBorders>
              <w:top w:val="single" w:sz="4" w:space="0" w:color="1B556B"/>
              <w:left w:val="nil"/>
              <w:bottom w:val="single" w:sz="4" w:space="0" w:color="1B556B"/>
              <w:right w:val="single" w:sz="4" w:space="0" w:color="1B556B"/>
            </w:tcBorders>
            <w:vAlign w:val="center"/>
          </w:tcPr>
          <w:p w14:paraId="7C9C7DF7" w14:textId="77777777" w:rsidR="0010265C" w:rsidRPr="00261B7A" w:rsidRDefault="0010265C" w:rsidP="002C09A6">
            <w:pPr>
              <w:pStyle w:val="TableText"/>
              <w:spacing w:before="40" w:after="40"/>
              <w:rPr>
                <w:rFonts w:cs="Calibri"/>
                <w:szCs w:val="16"/>
              </w:rPr>
            </w:pPr>
            <w:r w:rsidRPr="00261B7A">
              <w:rPr>
                <w:rFonts w:cs="Calibri"/>
                <w:szCs w:val="16"/>
              </w:rPr>
              <w:t>Settlements</w:t>
            </w:r>
          </w:p>
        </w:tc>
        <w:tc>
          <w:tcPr>
            <w:tcW w:w="806" w:type="dxa"/>
            <w:tcBorders>
              <w:top w:val="single" w:sz="4" w:space="0" w:color="1B556B"/>
              <w:left w:val="single" w:sz="4" w:space="0" w:color="1B556B"/>
              <w:bottom w:val="single" w:sz="4" w:space="0" w:color="1B556B"/>
              <w:right w:val="nil"/>
            </w:tcBorders>
            <w:vAlign w:val="center"/>
          </w:tcPr>
          <w:p w14:paraId="1A995C14"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5.3</w:t>
            </w:r>
          </w:p>
        </w:tc>
        <w:tc>
          <w:tcPr>
            <w:tcW w:w="806" w:type="dxa"/>
            <w:tcBorders>
              <w:top w:val="single" w:sz="4" w:space="0" w:color="1B556B"/>
              <w:left w:val="nil"/>
              <w:bottom w:val="single" w:sz="4" w:space="0" w:color="1B556B"/>
              <w:right w:val="nil"/>
            </w:tcBorders>
            <w:vAlign w:val="center"/>
          </w:tcPr>
          <w:p w14:paraId="086E1BBF"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single" w:sz="4" w:space="0" w:color="1B556B"/>
              <w:left w:val="nil"/>
              <w:bottom w:val="single" w:sz="4" w:space="0" w:color="1B556B"/>
              <w:right w:val="nil"/>
            </w:tcBorders>
            <w:vAlign w:val="center"/>
          </w:tcPr>
          <w:p w14:paraId="032B35DF"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single" w:sz="4" w:space="0" w:color="1B556B"/>
              <w:left w:val="nil"/>
              <w:bottom w:val="single" w:sz="4" w:space="0" w:color="1B556B"/>
              <w:right w:val="single" w:sz="4" w:space="0" w:color="1B556B"/>
            </w:tcBorders>
            <w:vAlign w:val="center"/>
          </w:tcPr>
          <w:p w14:paraId="2BBE6A6E"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single" w:sz="4" w:space="0" w:color="1B556B"/>
              <w:left w:val="single" w:sz="4" w:space="0" w:color="1B556B"/>
              <w:bottom w:val="single" w:sz="4" w:space="0" w:color="1B556B"/>
              <w:right w:val="nil"/>
            </w:tcBorders>
            <w:vAlign w:val="center"/>
          </w:tcPr>
          <w:p w14:paraId="4305BD34"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7.1</w:t>
            </w:r>
          </w:p>
        </w:tc>
        <w:tc>
          <w:tcPr>
            <w:tcW w:w="748" w:type="dxa"/>
            <w:tcBorders>
              <w:top w:val="single" w:sz="4" w:space="0" w:color="1B556B"/>
              <w:left w:val="nil"/>
              <w:bottom w:val="single" w:sz="4" w:space="0" w:color="1B556B"/>
              <w:right w:val="single" w:sz="4" w:space="0" w:color="1B556B"/>
            </w:tcBorders>
            <w:vAlign w:val="center"/>
          </w:tcPr>
          <w:p w14:paraId="4E384A0F"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0.1</w:t>
            </w:r>
          </w:p>
        </w:tc>
        <w:tc>
          <w:tcPr>
            <w:tcW w:w="920" w:type="dxa"/>
            <w:tcBorders>
              <w:top w:val="single" w:sz="4" w:space="0" w:color="1B556B"/>
              <w:left w:val="single" w:sz="4" w:space="0" w:color="1B556B"/>
              <w:bottom w:val="single" w:sz="4" w:space="0" w:color="1B556B"/>
              <w:right w:val="nil"/>
            </w:tcBorders>
            <w:vAlign w:val="center"/>
          </w:tcPr>
          <w:p w14:paraId="607DF6F1"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6.6</w:t>
            </w:r>
          </w:p>
        </w:tc>
        <w:tc>
          <w:tcPr>
            <w:tcW w:w="920" w:type="dxa"/>
            <w:tcBorders>
              <w:top w:val="single" w:sz="4" w:space="0" w:color="1B556B"/>
              <w:left w:val="nil"/>
              <w:bottom w:val="single" w:sz="4" w:space="0" w:color="1B556B"/>
              <w:right w:val="nil"/>
            </w:tcBorders>
            <w:vAlign w:val="center"/>
          </w:tcPr>
          <w:p w14:paraId="5B775F0E"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3.9</w:t>
            </w:r>
          </w:p>
        </w:tc>
        <w:tc>
          <w:tcPr>
            <w:tcW w:w="920" w:type="dxa"/>
            <w:tcBorders>
              <w:top w:val="single" w:sz="4" w:space="0" w:color="1B556B"/>
              <w:left w:val="nil"/>
              <w:bottom w:val="single" w:sz="4" w:space="0" w:color="1B556B"/>
              <w:right w:val="single" w:sz="4" w:space="0" w:color="1B556B"/>
            </w:tcBorders>
            <w:vAlign w:val="center"/>
          </w:tcPr>
          <w:p w14:paraId="0D867E52"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0.3</w:t>
            </w:r>
          </w:p>
        </w:tc>
        <w:tc>
          <w:tcPr>
            <w:tcW w:w="805" w:type="dxa"/>
            <w:tcBorders>
              <w:top w:val="single" w:sz="4" w:space="0" w:color="1B556B"/>
              <w:left w:val="single" w:sz="4" w:space="0" w:color="1B556B"/>
              <w:bottom w:val="single" w:sz="4" w:space="0" w:color="1B556B"/>
              <w:right w:val="nil"/>
            </w:tcBorders>
            <w:vAlign w:val="center"/>
          </w:tcPr>
          <w:p w14:paraId="7BA8C848"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single" w:sz="4" w:space="0" w:color="1B556B"/>
              <w:left w:val="nil"/>
              <w:bottom w:val="single" w:sz="4" w:space="0" w:color="1B556B"/>
              <w:right w:val="single" w:sz="4" w:space="0" w:color="1B556B"/>
            </w:tcBorders>
            <w:vAlign w:val="center"/>
          </w:tcPr>
          <w:p w14:paraId="151870B7"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single" w:sz="4" w:space="0" w:color="1B556B"/>
              <w:left w:val="single" w:sz="4" w:space="0" w:color="1B556B"/>
              <w:bottom w:val="single" w:sz="4" w:space="0" w:color="1B556B"/>
              <w:right w:val="single" w:sz="4" w:space="0" w:color="1B556B"/>
            </w:tcBorders>
            <w:shd w:val="clear" w:color="auto" w:fill="D2DDE1" w:themeFill="background2"/>
            <w:vAlign w:val="center"/>
          </w:tcPr>
          <w:p w14:paraId="65A8C803"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184.6</w:t>
            </w:r>
          </w:p>
        </w:tc>
        <w:tc>
          <w:tcPr>
            <w:tcW w:w="868" w:type="dxa"/>
            <w:tcBorders>
              <w:top w:val="single" w:sz="4" w:space="0" w:color="1B556B"/>
              <w:left w:val="single" w:sz="4" w:space="0" w:color="1B556B"/>
              <w:bottom w:val="single" w:sz="4" w:space="0" w:color="1B556B"/>
              <w:right w:val="single" w:sz="4" w:space="0" w:color="1B556B"/>
            </w:tcBorders>
            <w:vAlign w:val="center"/>
          </w:tcPr>
          <w:p w14:paraId="170E0963"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42" w:type="dxa"/>
            <w:tcBorders>
              <w:top w:val="single" w:sz="4" w:space="0" w:color="1B556B"/>
              <w:left w:val="single" w:sz="4" w:space="0" w:color="1B556B"/>
              <w:bottom w:val="single" w:sz="4" w:space="0" w:color="1B556B"/>
              <w:right w:val="nil"/>
            </w:tcBorders>
            <w:vAlign w:val="center"/>
          </w:tcPr>
          <w:p w14:paraId="108ADCD4" w14:textId="77777777" w:rsidR="0010265C" w:rsidRPr="00261B7A" w:rsidRDefault="0010265C" w:rsidP="002C09A6">
            <w:pPr>
              <w:pStyle w:val="TableTextBold"/>
              <w:spacing w:before="40" w:after="40"/>
              <w:jc w:val="right"/>
              <w:rPr>
                <w:rFonts w:cs="Calibri"/>
                <w:noProof w:val="0"/>
                <w:szCs w:val="16"/>
              </w:rPr>
            </w:pPr>
            <w:r w:rsidRPr="00261B7A">
              <w:rPr>
                <w:rFonts w:cs="Calibri"/>
                <w:noProof w:val="0"/>
                <w:color w:val="000000"/>
                <w:szCs w:val="16"/>
              </w:rPr>
              <w:t>207.9</w:t>
            </w:r>
          </w:p>
        </w:tc>
      </w:tr>
      <w:tr w:rsidR="0010265C" w:rsidRPr="00261B7A" w14:paraId="202B4BDA" w14:textId="77777777" w:rsidTr="008E52F6">
        <w:tc>
          <w:tcPr>
            <w:tcW w:w="979" w:type="dxa"/>
            <w:tcBorders>
              <w:top w:val="single" w:sz="4" w:space="0" w:color="1B556B"/>
              <w:left w:val="nil"/>
              <w:bottom w:val="double" w:sz="4" w:space="0" w:color="1B556B"/>
              <w:right w:val="nil"/>
            </w:tcBorders>
            <w:vAlign w:val="center"/>
          </w:tcPr>
          <w:p w14:paraId="3D587B9B" w14:textId="77777777" w:rsidR="0010265C" w:rsidRPr="00261B7A" w:rsidRDefault="0010265C" w:rsidP="002C09A6">
            <w:pPr>
              <w:pStyle w:val="TableTextBold"/>
              <w:spacing w:before="40" w:after="40"/>
              <w:rPr>
                <w:rFonts w:cs="Calibri"/>
                <w:noProof w:val="0"/>
                <w:szCs w:val="16"/>
              </w:rPr>
            </w:pPr>
            <w:r w:rsidRPr="00261B7A">
              <w:rPr>
                <w:rFonts w:cs="Calibri"/>
                <w:noProof w:val="0"/>
                <w:szCs w:val="16"/>
              </w:rPr>
              <w:t>Other land</w:t>
            </w:r>
          </w:p>
        </w:tc>
        <w:tc>
          <w:tcPr>
            <w:tcW w:w="1151" w:type="dxa"/>
            <w:tcBorders>
              <w:top w:val="single" w:sz="4" w:space="0" w:color="1B556B"/>
              <w:left w:val="nil"/>
              <w:bottom w:val="double" w:sz="4" w:space="0" w:color="1B556B"/>
              <w:right w:val="single" w:sz="4" w:space="0" w:color="1B556B"/>
            </w:tcBorders>
            <w:vAlign w:val="center"/>
          </w:tcPr>
          <w:p w14:paraId="068AB2BE" w14:textId="77777777" w:rsidR="0010265C" w:rsidRPr="00261B7A" w:rsidRDefault="0010265C" w:rsidP="002C09A6">
            <w:pPr>
              <w:pStyle w:val="TableText"/>
              <w:spacing w:before="40" w:after="40"/>
              <w:rPr>
                <w:rFonts w:cs="Calibri"/>
                <w:szCs w:val="16"/>
              </w:rPr>
            </w:pPr>
            <w:r w:rsidRPr="00261B7A">
              <w:rPr>
                <w:rFonts w:cs="Calibri"/>
                <w:szCs w:val="16"/>
              </w:rPr>
              <w:t>Other land</w:t>
            </w:r>
          </w:p>
        </w:tc>
        <w:tc>
          <w:tcPr>
            <w:tcW w:w="806" w:type="dxa"/>
            <w:tcBorders>
              <w:top w:val="single" w:sz="4" w:space="0" w:color="1B556B"/>
              <w:left w:val="single" w:sz="4" w:space="0" w:color="1B556B"/>
              <w:bottom w:val="double" w:sz="4" w:space="0" w:color="1B556B"/>
              <w:right w:val="nil"/>
            </w:tcBorders>
            <w:vAlign w:val="center"/>
          </w:tcPr>
          <w:p w14:paraId="11F7D6CD"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6" w:type="dxa"/>
            <w:tcBorders>
              <w:top w:val="single" w:sz="4" w:space="0" w:color="1B556B"/>
              <w:left w:val="nil"/>
              <w:bottom w:val="double" w:sz="4" w:space="0" w:color="1B556B"/>
              <w:right w:val="nil"/>
            </w:tcBorders>
            <w:vAlign w:val="center"/>
          </w:tcPr>
          <w:p w14:paraId="6BF83DA7"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single" w:sz="4" w:space="0" w:color="1B556B"/>
              <w:left w:val="nil"/>
              <w:bottom w:val="double" w:sz="4" w:space="0" w:color="1B556B"/>
              <w:right w:val="nil"/>
            </w:tcBorders>
            <w:vAlign w:val="center"/>
          </w:tcPr>
          <w:p w14:paraId="2D621EF0"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single" w:sz="4" w:space="0" w:color="1B556B"/>
              <w:left w:val="nil"/>
              <w:bottom w:val="double" w:sz="4" w:space="0" w:color="1B556B"/>
              <w:right w:val="single" w:sz="4" w:space="0" w:color="1B556B"/>
            </w:tcBorders>
            <w:vAlign w:val="center"/>
          </w:tcPr>
          <w:p w14:paraId="2849ACFD"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single" w:sz="4" w:space="0" w:color="1B556B"/>
              <w:left w:val="single" w:sz="4" w:space="0" w:color="1B556B"/>
              <w:bottom w:val="double" w:sz="4" w:space="0" w:color="1B556B"/>
              <w:right w:val="nil"/>
            </w:tcBorders>
            <w:vAlign w:val="center"/>
          </w:tcPr>
          <w:p w14:paraId="2D7E2A8C"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748" w:type="dxa"/>
            <w:tcBorders>
              <w:top w:val="single" w:sz="4" w:space="0" w:color="1B556B"/>
              <w:left w:val="nil"/>
              <w:bottom w:val="double" w:sz="4" w:space="0" w:color="1B556B"/>
              <w:right w:val="single" w:sz="4" w:space="0" w:color="1B556B"/>
            </w:tcBorders>
            <w:vAlign w:val="center"/>
          </w:tcPr>
          <w:p w14:paraId="5C32FF05"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single" w:sz="4" w:space="0" w:color="1B556B"/>
              <w:left w:val="single" w:sz="4" w:space="0" w:color="1B556B"/>
              <w:bottom w:val="double" w:sz="4" w:space="0" w:color="1B556B"/>
              <w:right w:val="nil"/>
            </w:tcBorders>
            <w:vAlign w:val="center"/>
          </w:tcPr>
          <w:p w14:paraId="2B6E4B91"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single" w:sz="4" w:space="0" w:color="1B556B"/>
              <w:left w:val="nil"/>
              <w:bottom w:val="double" w:sz="4" w:space="0" w:color="1B556B"/>
              <w:right w:val="nil"/>
            </w:tcBorders>
            <w:vAlign w:val="center"/>
          </w:tcPr>
          <w:p w14:paraId="4155D0F8"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single" w:sz="4" w:space="0" w:color="1B556B"/>
              <w:left w:val="nil"/>
              <w:bottom w:val="double" w:sz="4" w:space="0" w:color="1B556B"/>
              <w:right w:val="single" w:sz="4" w:space="0" w:color="1B556B"/>
            </w:tcBorders>
            <w:vAlign w:val="center"/>
          </w:tcPr>
          <w:p w14:paraId="143E8506"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single" w:sz="4" w:space="0" w:color="1B556B"/>
              <w:left w:val="single" w:sz="4" w:space="0" w:color="1B556B"/>
              <w:bottom w:val="double" w:sz="4" w:space="0" w:color="1B556B"/>
              <w:right w:val="nil"/>
            </w:tcBorders>
            <w:vAlign w:val="center"/>
          </w:tcPr>
          <w:p w14:paraId="3D82033B"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05" w:type="dxa"/>
            <w:tcBorders>
              <w:top w:val="single" w:sz="4" w:space="0" w:color="1B556B"/>
              <w:left w:val="nil"/>
              <w:bottom w:val="double" w:sz="4" w:space="0" w:color="1B556B"/>
              <w:right w:val="single" w:sz="4" w:space="0" w:color="1B556B"/>
            </w:tcBorders>
            <w:vAlign w:val="center"/>
          </w:tcPr>
          <w:p w14:paraId="3FC2D649"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920" w:type="dxa"/>
            <w:tcBorders>
              <w:top w:val="single" w:sz="4" w:space="0" w:color="1B556B"/>
              <w:left w:val="single" w:sz="4" w:space="0" w:color="1B556B"/>
              <w:bottom w:val="double" w:sz="4" w:space="0" w:color="1B556B"/>
              <w:right w:val="single" w:sz="4" w:space="0" w:color="1B556B"/>
            </w:tcBorders>
            <w:vAlign w:val="center"/>
          </w:tcPr>
          <w:p w14:paraId="30A37EEB"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 </w:t>
            </w:r>
          </w:p>
        </w:tc>
        <w:tc>
          <w:tcPr>
            <w:tcW w:w="868" w:type="dxa"/>
            <w:tcBorders>
              <w:top w:val="single" w:sz="4" w:space="0" w:color="1B556B"/>
              <w:left w:val="single" w:sz="4" w:space="0" w:color="1B556B"/>
              <w:bottom w:val="double" w:sz="4" w:space="0" w:color="1B556B"/>
              <w:right w:val="single" w:sz="4" w:space="0" w:color="1B556B"/>
            </w:tcBorders>
            <w:shd w:val="clear" w:color="auto" w:fill="D2DDE1" w:themeFill="background2"/>
            <w:vAlign w:val="center"/>
          </w:tcPr>
          <w:p w14:paraId="0B48D364" w14:textId="77777777" w:rsidR="0010265C" w:rsidRPr="00261B7A" w:rsidRDefault="0010265C" w:rsidP="002C09A6">
            <w:pPr>
              <w:pStyle w:val="TableText"/>
              <w:spacing w:before="40" w:after="40"/>
              <w:jc w:val="right"/>
              <w:rPr>
                <w:rFonts w:cs="Calibri"/>
                <w:szCs w:val="16"/>
              </w:rPr>
            </w:pPr>
            <w:r w:rsidRPr="00261B7A">
              <w:rPr>
                <w:rFonts w:cs="Calibri"/>
                <w:color w:val="000000"/>
                <w:szCs w:val="16"/>
              </w:rPr>
              <w:t>895.3</w:t>
            </w:r>
          </w:p>
        </w:tc>
        <w:tc>
          <w:tcPr>
            <w:tcW w:w="942" w:type="dxa"/>
            <w:tcBorders>
              <w:top w:val="single" w:sz="4" w:space="0" w:color="1B556B"/>
              <w:left w:val="single" w:sz="4" w:space="0" w:color="1B556B"/>
              <w:bottom w:val="double" w:sz="4" w:space="0" w:color="1B556B"/>
              <w:right w:val="nil"/>
            </w:tcBorders>
            <w:vAlign w:val="center"/>
          </w:tcPr>
          <w:p w14:paraId="03E26AE3" w14:textId="77777777" w:rsidR="0010265C" w:rsidRPr="00261B7A" w:rsidRDefault="0010265C" w:rsidP="002C09A6">
            <w:pPr>
              <w:pStyle w:val="TableTextBold"/>
              <w:spacing w:before="40" w:after="40"/>
              <w:jc w:val="right"/>
              <w:rPr>
                <w:rFonts w:cs="Calibri"/>
                <w:noProof w:val="0"/>
                <w:szCs w:val="16"/>
              </w:rPr>
            </w:pPr>
            <w:r w:rsidRPr="00261B7A">
              <w:rPr>
                <w:rFonts w:cs="Calibri"/>
                <w:noProof w:val="0"/>
                <w:color w:val="000000"/>
                <w:szCs w:val="16"/>
              </w:rPr>
              <w:t>895.3</w:t>
            </w:r>
          </w:p>
        </w:tc>
      </w:tr>
      <w:tr w:rsidR="0010265C" w:rsidRPr="00261B7A" w14:paraId="3A463152" w14:textId="77777777" w:rsidTr="008E52F6">
        <w:tc>
          <w:tcPr>
            <w:tcW w:w="2130" w:type="dxa"/>
            <w:gridSpan w:val="2"/>
            <w:tcBorders>
              <w:top w:val="double" w:sz="4" w:space="0" w:color="1B556B"/>
              <w:left w:val="nil"/>
              <w:bottom w:val="nil"/>
              <w:right w:val="single" w:sz="4" w:space="0" w:color="1B556B"/>
            </w:tcBorders>
          </w:tcPr>
          <w:p w14:paraId="3809A551" w14:textId="77777777" w:rsidR="0010265C" w:rsidRPr="00261B7A" w:rsidRDefault="0010265C" w:rsidP="002C09A6">
            <w:pPr>
              <w:pStyle w:val="Tableboldblue"/>
              <w:spacing w:before="40" w:after="40"/>
              <w:rPr>
                <w:rFonts w:cs="Calibri"/>
                <w:szCs w:val="16"/>
              </w:rPr>
            </w:pPr>
            <w:r w:rsidRPr="00261B7A">
              <w:rPr>
                <w:rFonts w:cs="Calibri"/>
                <w:szCs w:val="16"/>
              </w:rPr>
              <w:t>Area as at 1 Jan 1962 (kha)</w:t>
            </w:r>
          </w:p>
        </w:tc>
        <w:tc>
          <w:tcPr>
            <w:tcW w:w="806" w:type="dxa"/>
            <w:tcBorders>
              <w:top w:val="double" w:sz="4" w:space="0" w:color="1B556B"/>
              <w:left w:val="single" w:sz="4" w:space="0" w:color="1B556B"/>
              <w:bottom w:val="nil"/>
              <w:right w:val="nil"/>
            </w:tcBorders>
            <w:vAlign w:val="center"/>
          </w:tcPr>
          <w:p w14:paraId="6517D3F7" w14:textId="77777777" w:rsidR="0010265C" w:rsidRPr="00261B7A" w:rsidRDefault="0010265C" w:rsidP="002C09A6">
            <w:pPr>
              <w:pStyle w:val="Tableboldblue"/>
              <w:spacing w:before="40" w:after="40"/>
              <w:jc w:val="right"/>
              <w:rPr>
                <w:rFonts w:cs="Calibri"/>
                <w:szCs w:val="16"/>
              </w:rPr>
            </w:pPr>
            <w:r w:rsidRPr="00261B7A">
              <w:rPr>
                <w:rFonts w:cs="Calibri"/>
                <w:szCs w:val="16"/>
              </w:rPr>
              <w:t>8,682.5</w:t>
            </w:r>
          </w:p>
        </w:tc>
        <w:tc>
          <w:tcPr>
            <w:tcW w:w="806" w:type="dxa"/>
            <w:tcBorders>
              <w:top w:val="double" w:sz="4" w:space="0" w:color="1B556B"/>
              <w:left w:val="nil"/>
              <w:bottom w:val="nil"/>
              <w:right w:val="nil"/>
            </w:tcBorders>
            <w:vAlign w:val="center"/>
          </w:tcPr>
          <w:p w14:paraId="5E2B85C4" w14:textId="77777777" w:rsidR="0010265C" w:rsidRPr="00261B7A" w:rsidRDefault="0010265C" w:rsidP="002C09A6">
            <w:pPr>
              <w:pStyle w:val="Tableboldblue"/>
              <w:spacing w:before="40" w:after="40"/>
              <w:jc w:val="right"/>
              <w:rPr>
                <w:rFonts w:cs="Calibri"/>
                <w:szCs w:val="16"/>
              </w:rPr>
            </w:pPr>
            <w:r w:rsidRPr="00261B7A">
              <w:rPr>
                <w:rFonts w:cs="Calibri"/>
                <w:szCs w:val="16"/>
              </w:rPr>
              <w:t>8,682.4</w:t>
            </w:r>
          </w:p>
        </w:tc>
        <w:tc>
          <w:tcPr>
            <w:tcW w:w="805" w:type="dxa"/>
            <w:tcBorders>
              <w:top w:val="double" w:sz="4" w:space="0" w:color="1B556B"/>
              <w:left w:val="nil"/>
              <w:bottom w:val="nil"/>
              <w:right w:val="nil"/>
            </w:tcBorders>
            <w:vAlign w:val="center"/>
          </w:tcPr>
          <w:p w14:paraId="46B7A4A4" w14:textId="77777777" w:rsidR="0010265C" w:rsidRPr="00261B7A" w:rsidRDefault="0010265C" w:rsidP="002C09A6">
            <w:pPr>
              <w:pStyle w:val="Tableboldblue"/>
              <w:spacing w:before="40" w:after="40"/>
              <w:jc w:val="right"/>
              <w:rPr>
                <w:rFonts w:cs="Calibri"/>
                <w:szCs w:val="16"/>
              </w:rPr>
            </w:pPr>
            <w:r w:rsidRPr="00261B7A">
              <w:rPr>
                <w:rFonts w:cs="Calibri"/>
                <w:szCs w:val="16"/>
              </w:rPr>
              <w:t>456.7</w:t>
            </w:r>
          </w:p>
        </w:tc>
        <w:tc>
          <w:tcPr>
            <w:tcW w:w="805" w:type="dxa"/>
            <w:tcBorders>
              <w:top w:val="double" w:sz="4" w:space="0" w:color="1B556B"/>
              <w:left w:val="nil"/>
              <w:bottom w:val="nil"/>
              <w:right w:val="single" w:sz="4" w:space="0" w:color="1B556B"/>
            </w:tcBorders>
            <w:vAlign w:val="center"/>
          </w:tcPr>
          <w:p w14:paraId="0E340BC3" w14:textId="77777777" w:rsidR="0010265C" w:rsidRPr="00261B7A" w:rsidRDefault="0010265C" w:rsidP="002C09A6">
            <w:pPr>
              <w:pStyle w:val="Tableboldblue"/>
              <w:spacing w:before="40" w:after="40"/>
              <w:jc w:val="right"/>
              <w:rPr>
                <w:rFonts w:cs="Calibri"/>
                <w:szCs w:val="16"/>
              </w:rPr>
            </w:pPr>
            <w:r w:rsidRPr="00261B7A">
              <w:rPr>
                <w:rFonts w:cs="Calibri"/>
                <w:szCs w:val="16"/>
              </w:rPr>
              <w:t>0.0</w:t>
            </w:r>
          </w:p>
        </w:tc>
        <w:tc>
          <w:tcPr>
            <w:tcW w:w="748" w:type="dxa"/>
            <w:tcBorders>
              <w:top w:val="double" w:sz="4" w:space="0" w:color="1B556B"/>
              <w:left w:val="single" w:sz="4" w:space="0" w:color="1B556B"/>
              <w:bottom w:val="nil"/>
              <w:right w:val="nil"/>
            </w:tcBorders>
            <w:vAlign w:val="center"/>
          </w:tcPr>
          <w:p w14:paraId="7DB3E5B1" w14:textId="77777777" w:rsidR="0010265C" w:rsidRPr="00261B7A" w:rsidRDefault="0010265C" w:rsidP="002C09A6">
            <w:pPr>
              <w:pStyle w:val="Tableboldblue"/>
              <w:spacing w:before="40" w:after="40"/>
              <w:jc w:val="right"/>
              <w:rPr>
                <w:rFonts w:cs="Calibri"/>
                <w:szCs w:val="16"/>
              </w:rPr>
            </w:pPr>
            <w:r w:rsidRPr="00261B7A">
              <w:rPr>
                <w:rFonts w:cs="Calibri"/>
                <w:szCs w:val="16"/>
              </w:rPr>
              <w:t>0.0</w:t>
            </w:r>
          </w:p>
        </w:tc>
        <w:tc>
          <w:tcPr>
            <w:tcW w:w="748" w:type="dxa"/>
            <w:tcBorders>
              <w:top w:val="double" w:sz="4" w:space="0" w:color="1B556B"/>
              <w:left w:val="nil"/>
              <w:bottom w:val="nil"/>
              <w:right w:val="single" w:sz="4" w:space="0" w:color="1B556B"/>
            </w:tcBorders>
            <w:vAlign w:val="center"/>
          </w:tcPr>
          <w:p w14:paraId="797FBDCB" w14:textId="77777777" w:rsidR="0010265C" w:rsidRPr="00261B7A" w:rsidRDefault="0010265C" w:rsidP="002C09A6">
            <w:pPr>
              <w:pStyle w:val="Tableboldblue"/>
              <w:spacing w:before="40" w:after="40"/>
              <w:jc w:val="right"/>
              <w:rPr>
                <w:rFonts w:cs="Calibri"/>
                <w:szCs w:val="16"/>
              </w:rPr>
            </w:pPr>
            <w:r w:rsidRPr="00261B7A">
              <w:rPr>
                <w:rFonts w:cs="Calibri"/>
                <w:szCs w:val="16"/>
              </w:rPr>
              <w:t>354.9</w:t>
            </w:r>
          </w:p>
        </w:tc>
        <w:tc>
          <w:tcPr>
            <w:tcW w:w="920" w:type="dxa"/>
            <w:tcBorders>
              <w:top w:val="double" w:sz="4" w:space="0" w:color="1B556B"/>
              <w:left w:val="single" w:sz="4" w:space="0" w:color="1B556B"/>
              <w:bottom w:val="nil"/>
              <w:right w:val="nil"/>
            </w:tcBorders>
            <w:vAlign w:val="center"/>
          </w:tcPr>
          <w:p w14:paraId="34A116BF" w14:textId="77777777" w:rsidR="0010265C" w:rsidRPr="00261B7A" w:rsidRDefault="0010265C" w:rsidP="002C09A6">
            <w:pPr>
              <w:pStyle w:val="Tableboldblue"/>
              <w:spacing w:before="40" w:after="40"/>
              <w:jc w:val="right"/>
              <w:rPr>
                <w:rFonts w:cs="Calibri"/>
                <w:szCs w:val="16"/>
              </w:rPr>
            </w:pPr>
            <w:r w:rsidRPr="00261B7A">
              <w:rPr>
                <w:rFonts w:cs="Calibri"/>
                <w:szCs w:val="16"/>
              </w:rPr>
              <w:t>78.2</w:t>
            </w:r>
          </w:p>
        </w:tc>
        <w:tc>
          <w:tcPr>
            <w:tcW w:w="920" w:type="dxa"/>
            <w:tcBorders>
              <w:top w:val="double" w:sz="4" w:space="0" w:color="1B556B"/>
              <w:left w:val="nil"/>
              <w:bottom w:val="nil"/>
              <w:right w:val="nil"/>
            </w:tcBorders>
            <w:vAlign w:val="center"/>
          </w:tcPr>
          <w:p w14:paraId="22F27CEC" w14:textId="77777777" w:rsidR="0010265C" w:rsidRPr="00261B7A" w:rsidRDefault="0010265C" w:rsidP="002C09A6">
            <w:pPr>
              <w:pStyle w:val="Tableboldblue"/>
              <w:spacing w:before="40" w:after="40"/>
              <w:jc w:val="right"/>
              <w:rPr>
                <w:rFonts w:cs="Calibri"/>
                <w:szCs w:val="16"/>
              </w:rPr>
            </w:pPr>
            <w:r w:rsidRPr="00261B7A">
              <w:rPr>
                <w:rFonts w:cs="Calibri"/>
                <w:szCs w:val="16"/>
              </w:rPr>
              <w:t>4,841.7</w:t>
            </w:r>
          </w:p>
        </w:tc>
        <w:tc>
          <w:tcPr>
            <w:tcW w:w="920" w:type="dxa"/>
            <w:tcBorders>
              <w:top w:val="double" w:sz="4" w:space="0" w:color="1B556B"/>
              <w:left w:val="nil"/>
              <w:bottom w:val="nil"/>
              <w:right w:val="single" w:sz="4" w:space="0" w:color="1B556B"/>
            </w:tcBorders>
            <w:vAlign w:val="center"/>
          </w:tcPr>
          <w:p w14:paraId="4BAF33EA" w14:textId="77777777" w:rsidR="0010265C" w:rsidRPr="00261B7A" w:rsidRDefault="0010265C" w:rsidP="002C09A6">
            <w:pPr>
              <w:pStyle w:val="Tableboldblue"/>
              <w:spacing w:before="40" w:after="40"/>
              <w:jc w:val="right"/>
              <w:rPr>
                <w:rFonts w:cs="Calibri"/>
                <w:szCs w:val="16"/>
              </w:rPr>
            </w:pPr>
            <w:r w:rsidRPr="00261B7A">
              <w:rPr>
                <w:rFonts w:cs="Calibri"/>
                <w:szCs w:val="16"/>
              </w:rPr>
              <w:t>8,806.2</w:t>
            </w:r>
          </w:p>
        </w:tc>
        <w:tc>
          <w:tcPr>
            <w:tcW w:w="805" w:type="dxa"/>
            <w:tcBorders>
              <w:top w:val="double" w:sz="4" w:space="0" w:color="1B556B"/>
              <w:left w:val="single" w:sz="4" w:space="0" w:color="1B556B"/>
              <w:bottom w:val="nil"/>
              <w:right w:val="nil"/>
            </w:tcBorders>
            <w:vAlign w:val="center"/>
          </w:tcPr>
          <w:p w14:paraId="1B676B1B" w14:textId="77777777" w:rsidR="0010265C" w:rsidRPr="00261B7A" w:rsidRDefault="0010265C" w:rsidP="002C09A6">
            <w:pPr>
              <w:pStyle w:val="Tableboldblue"/>
              <w:spacing w:before="40" w:after="40"/>
              <w:jc w:val="right"/>
              <w:rPr>
                <w:rFonts w:cs="Calibri"/>
                <w:szCs w:val="16"/>
              </w:rPr>
            </w:pPr>
            <w:r w:rsidRPr="00261B7A">
              <w:rPr>
                <w:rFonts w:cs="Calibri"/>
                <w:szCs w:val="16"/>
              </w:rPr>
              <w:t>1,789.0</w:t>
            </w:r>
          </w:p>
        </w:tc>
        <w:tc>
          <w:tcPr>
            <w:tcW w:w="805" w:type="dxa"/>
            <w:tcBorders>
              <w:top w:val="double" w:sz="4" w:space="0" w:color="1B556B"/>
              <w:left w:val="nil"/>
              <w:bottom w:val="nil"/>
              <w:right w:val="single" w:sz="4" w:space="0" w:color="1B556B"/>
            </w:tcBorders>
            <w:vAlign w:val="center"/>
          </w:tcPr>
          <w:p w14:paraId="6984AF24" w14:textId="77777777" w:rsidR="0010265C" w:rsidRPr="00261B7A" w:rsidRDefault="0010265C" w:rsidP="002C09A6">
            <w:pPr>
              <w:pStyle w:val="Tableboldblue"/>
              <w:spacing w:before="40" w:after="40"/>
              <w:jc w:val="right"/>
              <w:rPr>
                <w:rFonts w:cs="Calibri"/>
                <w:szCs w:val="16"/>
              </w:rPr>
            </w:pPr>
            <w:r w:rsidRPr="00261B7A">
              <w:rPr>
                <w:rFonts w:cs="Calibri"/>
                <w:szCs w:val="16"/>
              </w:rPr>
              <w:t>512.7</w:t>
            </w:r>
          </w:p>
        </w:tc>
        <w:tc>
          <w:tcPr>
            <w:tcW w:w="920" w:type="dxa"/>
            <w:tcBorders>
              <w:top w:val="double" w:sz="4" w:space="0" w:color="1B556B"/>
              <w:left w:val="single" w:sz="4" w:space="0" w:color="1B556B"/>
              <w:bottom w:val="nil"/>
              <w:right w:val="single" w:sz="4" w:space="0" w:color="1B556B"/>
            </w:tcBorders>
            <w:vAlign w:val="center"/>
          </w:tcPr>
          <w:p w14:paraId="223FEB18" w14:textId="77777777" w:rsidR="0010265C" w:rsidRPr="00261B7A" w:rsidRDefault="0010265C" w:rsidP="002C09A6">
            <w:pPr>
              <w:pStyle w:val="Tableboldblue"/>
              <w:spacing w:before="40" w:after="40"/>
              <w:jc w:val="right"/>
              <w:rPr>
                <w:rFonts w:cs="Calibri"/>
                <w:szCs w:val="16"/>
              </w:rPr>
            </w:pPr>
            <w:r w:rsidRPr="00261B7A">
              <w:rPr>
                <w:rFonts w:cs="Calibri"/>
                <w:szCs w:val="16"/>
              </w:rPr>
              <w:t>323.4</w:t>
            </w:r>
          </w:p>
        </w:tc>
        <w:tc>
          <w:tcPr>
            <w:tcW w:w="868" w:type="dxa"/>
            <w:tcBorders>
              <w:top w:val="double" w:sz="4" w:space="0" w:color="1B556B"/>
              <w:left w:val="single" w:sz="4" w:space="0" w:color="1B556B"/>
              <w:bottom w:val="nil"/>
              <w:right w:val="single" w:sz="4" w:space="0" w:color="1B556B"/>
            </w:tcBorders>
            <w:vAlign w:val="center"/>
          </w:tcPr>
          <w:p w14:paraId="092ACA98" w14:textId="77777777" w:rsidR="0010265C" w:rsidRPr="00261B7A" w:rsidRDefault="0010265C" w:rsidP="002C09A6">
            <w:pPr>
              <w:pStyle w:val="Tableboldblue"/>
              <w:spacing w:before="40" w:after="40"/>
              <w:jc w:val="right"/>
              <w:rPr>
                <w:rFonts w:cs="Calibri"/>
                <w:szCs w:val="16"/>
              </w:rPr>
            </w:pPr>
            <w:r w:rsidRPr="00261B7A">
              <w:rPr>
                <w:rFonts w:cs="Calibri"/>
                <w:szCs w:val="16"/>
              </w:rPr>
              <w:t>184.6</w:t>
            </w:r>
          </w:p>
        </w:tc>
        <w:tc>
          <w:tcPr>
            <w:tcW w:w="942" w:type="dxa"/>
            <w:tcBorders>
              <w:top w:val="double" w:sz="4" w:space="0" w:color="1B556B"/>
              <w:left w:val="single" w:sz="4" w:space="0" w:color="1B556B"/>
              <w:bottom w:val="nil"/>
              <w:right w:val="nil"/>
            </w:tcBorders>
            <w:shd w:val="clear" w:color="auto" w:fill="D2DDE1" w:themeFill="background2"/>
            <w:vAlign w:val="center"/>
          </w:tcPr>
          <w:p w14:paraId="49AAD8A6" w14:textId="77777777" w:rsidR="0010265C" w:rsidRPr="00261B7A" w:rsidRDefault="0010265C" w:rsidP="002C09A6">
            <w:pPr>
              <w:pStyle w:val="Tableboldblue"/>
              <w:spacing w:before="40" w:after="40"/>
              <w:jc w:val="right"/>
              <w:rPr>
                <w:rFonts w:cs="Calibri"/>
                <w:szCs w:val="16"/>
              </w:rPr>
            </w:pPr>
            <w:r w:rsidRPr="00261B7A">
              <w:rPr>
                <w:rFonts w:cs="Calibri"/>
                <w:szCs w:val="16"/>
              </w:rPr>
              <w:t>895.3</w:t>
            </w:r>
          </w:p>
        </w:tc>
      </w:tr>
      <w:tr w:rsidR="0010265C" w:rsidRPr="00261B7A" w14:paraId="712FBC58" w14:textId="77777777" w:rsidTr="008E52F6">
        <w:tc>
          <w:tcPr>
            <w:tcW w:w="2130" w:type="dxa"/>
            <w:gridSpan w:val="2"/>
            <w:tcBorders>
              <w:top w:val="nil"/>
              <w:left w:val="nil"/>
              <w:bottom w:val="nil"/>
              <w:right w:val="single" w:sz="4" w:space="0" w:color="1B556B"/>
            </w:tcBorders>
          </w:tcPr>
          <w:p w14:paraId="31DEE889" w14:textId="77777777" w:rsidR="0010265C" w:rsidRPr="00261B7A" w:rsidRDefault="0010265C" w:rsidP="002C09A6">
            <w:pPr>
              <w:pStyle w:val="Tableboldblue"/>
              <w:spacing w:before="40" w:after="40"/>
              <w:rPr>
                <w:rFonts w:cs="Calibri"/>
                <w:szCs w:val="16"/>
              </w:rPr>
            </w:pPr>
            <w:r w:rsidRPr="00261B7A">
              <w:rPr>
                <w:rFonts w:cs="Calibri"/>
                <w:szCs w:val="16"/>
              </w:rPr>
              <w:t xml:space="preserve">Net change </w:t>
            </w:r>
            <w:r w:rsidRPr="00261B7A">
              <w:rPr>
                <w:rFonts w:cs="Calibri"/>
                <w:szCs w:val="16"/>
              </w:rPr>
              <w:br/>
              <w:t>1 Jan 1962–31 Dec 1989</w:t>
            </w:r>
          </w:p>
        </w:tc>
        <w:tc>
          <w:tcPr>
            <w:tcW w:w="806" w:type="dxa"/>
            <w:tcBorders>
              <w:top w:val="nil"/>
              <w:left w:val="single" w:sz="4" w:space="0" w:color="1B556B"/>
              <w:bottom w:val="nil"/>
              <w:right w:val="nil"/>
            </w:tcBorders>
            <w:vAlign w:val="center"/>
          </w:tcPr>
          <w:p w14:paraId="4F8BB020" w14:textId="77777777" w:rsidR="0010265C" w:rsidRPr="00261B7A" w:rsidRDefault="0010265C" w:rsidP="002C09A6">
            <w:pPr>
              <w:pStyle w:val="Tableboldblue"/>
              <w:spacing w:before="40" w:after="40"/>
              <w:jc w:val="right"/>
              <w:rPr>
                <w:rFonts w:cs="Calibri"/>
                <w:szCs w:val="16"/>
              </w:rPr>
            </w:pPr>
            <w:r w:rsidRPr="00261B7A">
              <w:rPr>
                <w:rFonts w:cs="Calibri"/>
                <w:szCs w:val="16"/>
              </w:rPr>
              <w:t>–859.7</w:t>
            </w:r>
          </w:p>
        </w:tc>
        <w:tc>
          <w:tcPr>
            <w:tcW w:w="806" w:type="dxa"/>
            <w:tcBorders>
              <w:top w:val="nil"/>
              <w:left w:val="nil"/>
              <w:bottom w:val="nil"/>
              <w:right w:val="nil"/>
            </w:tcBorders>
            <w:vAlign w:val="center"/>
          </w:tcPr>
          <w:p w14:paraId="3CF0AC18" w14:textId="77777777" w:rsidR="0010265C" w:rsidRPr="00261B7A" w:rsidRDefault="0010265C" w:rsidP="002C09A6">
            <w:pPr>
              <w:pStyle w:val="Tableboldblue"/>
              <w:spacing w:before="40" w:after="40"/>
              <w:jc w:val="right"/>
              <w:rPr>
                <w:rFonts w:cs="Calibri"/>
                <w:szCs w:val="16"/>
              </w:rPr>
            </w:pPr>
            <w:r w:rsidRPr="00261B7A">
              <w:rPr>
                <w:rFonts w:cs="Calibri"/>
                <w:szCs w:val="16"/>
              </w:rPr>
              <w:t>–862.7</w:t>
            </w:r>
          </w:p>
        </w:tc>
        <w:tc>
          <w:tcPr>
            <w:tcW w:w="805" w:type="dxa"/>
            <w:tcBorders>
              <w:top w:val="nil"/>
              <w:left w:val="nil"/>
              <w:bottom w:val="nil"/>
              <w:right w:val="nil"/>
            </w:tcBorders>
            <w:vAlign w:val="center"/>
          </w:tcPr>
          <w:p w14:paraId="7806E0D8" w14:textId="77777777" w:rsidR="0010265C" w:rsidRPr="00261B7A" w:rsidRDefault="0010265C" w:rsidP="002C09A6">
            <w:pPr>
              <w:pStyle w:val="Tableboldblue"/>
              <w:spacing w:before="40" w:after="40"/>
              <w:jc w:val="right"/>
              <w:rPr>
                <w:rFonts w:cs="Calibri"/>
                <w:szCs w:val="16"/>
              </w:rPr>
            </w:pPr>
            <w:r w:rsidRPr="00261B7A">
              <w:rPr>
                <w:rFonts w:cs="Calibri"/>
                <w:szCs w:val="16"/>
              </w:rPr>
              <w:t>1,090.5</w:t>
            </w:r>
          </w:p>
        </w:tc>
        <w:tc>
          <w:tcPr>
            <w:tcW w:w="805" w:type="dxa"/>
            <w:tcBorders>
              <w:top w:val="nil"/>
              <w:left w:val="nil"/>
              <w:bottom w:val="nil"/>
              <w:right w:val="single" w:sz="4" w:space="0" w:color="1B556B"/>
            </w:tcBorders>
            <w:vAlign w:val="center"/>
          </w:tcPr>
          <w:p w14:paraId="3AECAD4A" w14:textId="77777777" w:rsidR="0010265C" w:rsidRPr="00261B7A" w:rsidRDefault="0010265C" w:rsidP="002C09A6">
            <w:pPr>
              <w:pStyle w:val="Tableboldblue"/>
              <w:spacing w:before="40" w:after="40"/>
              <w:jc w:val="right"/>
              <w:rPr>
                <w:rFonts w:cs="Calibri"/>
                <w:szCs w:val="16"/>
              </w:rPr>
            </w:pPr>
            <w:r w:rsidRPr="00261B7A">
              <w:rPr>
                <w:rFonts w:cs="Calibri"/>
                <w:szCs w:val="16"/>
              </w:rPr>
              <w:t>0.0</w:t>
            </w:r>
          </w:p>
        </w:tc>
        <w:tc>
          <w:tcPr>
            <w:tcW w:w="748" w:type="dxa"/>
            <w:tcBorders>
              <w:top w:val="nil"/>
              <w:left w:val="single" w:sz="4" w:space="0" w:color="1B556B"/>
              <w:bottom w:val="nil"/>
              <w:right w:val="nil"/>
            </w:tcBorders>
            <w:vAlign w:val="center"/>
          </w:tcPr>
          <w:p w14:paraId="24C0BC3D" w14:textId="77777777" w:rsidR="0010265C" w:rsidRPr="00261B7A" w:rsidRDefault="0010265C" w:rsidP="002C09A6">
            <w:pPr>
              <w:pStyle w:val="Tableboldblue"/>
              <w:spacing w:before="40" w:after="40"/>
              <w:jc w:val="right"/>
              <w:rPr>
                <w:rFonts w:cs="Calibri"/>
                <w:szCs w:val="16"/>
              </w:rPr>
            </w:pPr>
            <w:r w:rsidRPr="00261B7A">
              <w:rPr>
                <w:rFonts w:cs="Calibri"/>
                <w:szCs w:val="16"/>
              </w:rPr>
              <w:t>0.0</w:t>
            </w:r>
          </w:p>
        </w:tc>
        <w:tc>
          <w:tcPr>
            <w:tcW w:w="748" w:type="dxa"/>
            <w:tcBorders>
              <w:top w:val="nil"/>
              <w:left w:val="nil"/>
              <w:bottom w:val="nil"/>
              <w:right w:val="single" w:sz="4" w:space="0" w:color="1B556B"/>
            </w:tcBorders>
            <w:vAlign w:val="center"/>
          </w:tcPr>
          <w:p w14:paraId="11022729" w14:textId="77777777" w:rsidR="0010265C" w:rsidRPr="00261B7A" w:rsidRDefault="0010265C" w:rsidP="002C09A6">
            <w:pPr>
              <w:pStyle w:val="Tableboldblue"/>
              <w:spacing w:before="40" w:after="40"/>
              <w:jc w:val="right"/>
              <w:rPr>
                <w:rFonts w:cs="Calibri"/>
                <w:szCs w:val="16"/>
              </w:rPr>
            </w:pPr>
            <w:r w:rsidRPr="00261B7A">
              <w:rPr>
                <w:rFonts w:cs="Calibri"/>
                <w:szCs w:val="16"/>
              </w:rPr>
              <w:t>0.0</w:t>
            </w:r>
          </w:p>
        </w:tc>
        <w:tc>
          <w:tcPr>
            <w:tcW w:w="920" w:type="dxa"/>
            <w:tcBorders>
              <w:top w:val="nil"/>
              <w:left w:val="single" w:sz="4" w:space="0" w:color="1B556B"/>
              <w:bottom w:val="nil"/>
              <w:right w:val="nil"/>
            </w:tcBorders>
            <w:vAlign w:val="center"/>
          </w:tcPr>
          <w:p w14:paraId="1AA50FD0" w14:textId="77777777" w:rsidR="0010265C" w:rsidRPr="00261B7A" w:rsidRDefault="0010265C" w:rsidP="002C09A6">
            <w:pPr>
              <w:pStyle w:val="Tableboldblue"/>
              <w:spacing w:before="40" w:after="40"/>
              <w:jc w:val="right"/>
              <w:rPr>
                <w:rFonts w:cs="Calibri"/>
                <w:szCs w:val="16"/>
              </w:rPr>
            </w:pPr>
            <w:r w:rsidRPr="00261B7A">
              <w:rPr>
                <w:rFonts w:cs="Calibri"/>
                <w:szCs w:val="16"/>
              </w:rPr>
              <w:t>–9.2</w:t>
            </w:r>
          </w:p>
        </w:tc>
        <w:tc>
          <w:tcPr>
            <w:tcW w:w="920" w:type="dxa"/>
            <w:tcBorders>
              <w:top w:val="nil"/>
              <w:left w:val="nil"/>
              <w:bottom w:val="nil"/>
              <w:right w:val="nil"/>
            </w:tcBorders>
            <w:vAlign w:val="center"/>
          </w:tcPr>
          <w:p w14:paraId="495C4FB7" w14:textId="77777777" w:rsidR="0010265C" w:rsidRPr="00261B7A" w:rsidRDefault="0010265C" w:rsidP="002C09A6">
            <w:pPr>
              <w:pStyle w:val="Tableboldblue"/>
              <w:spacing w:before="40" w:after="40"/>
              <w:jc w:val="right"/>
              <w:rPr>
                <w:rFonts w:cs="Calibri"/>
                <w:szCs w:val="16"/>
              </w:rPr>
            </w:pPr>
            <w:r w:rsidRPr="00261B7A">
              <w:rPr>
                <w:rFonts w:cs="Calibri"/>
                <w:szCs w:val="16"/>
              </w:rPr>
              <w:t>999.1</w:t>
            </w:r>
          </w:p>
        </w:tc>
        <w:tc>
          <w:tcPr>
            <w:tcW w:w="920" w:type="dxa"/>
            <w:tcBorders>
              <w:top w:val="nil"/>
              <w:left w:val="nil"/>
              <w:bottom w:val="nil"/>
              <w:right w:val="single" w:sz="4" w:space="0" w:color="1B556B"/>
            </w:tcBorders>
            <w:vAlign w:val="center"/>
          </w:tcPr>
          <w:p w14:paraId="756AFF50" w14:textId="77777777" w:rsidR="0010265C" w:rsidRPr="00261B7A" w:rsidRDefault="0010265C" w:rsidP="002C09A6">
            <w:pPr>
              <w:pStyle w:val="Tableboldblue"/>
              <w:spacing w:before="40" w:after="40"/>
              <w:jc w:val="right"/>
              <w:rPr>
                <w:rFonts w:cs="Calibri"/>
                <w:szCs w:val="16"/>
              </w:rPr>
            </w:pPr>
            <w:r w:rsidRPr="00261B7A">
              <w:rPr>
                <w:rFonts w:cs="Calibri"/>
                <w:szCs w:val="16"/>
              </w:rPr>
              <w:t>–892.8</w:t>
            </w:r>
          </w:p>
        </w:tc>
        <w:tc>
          <w:tcPr>
            <w:tcW w:w="805" w:type="dxa"/>
            <w:tcBorders>
              <w:top w:val="nil"/>
              <w:left w:val="single" w:sz="4" w:space="0" w:color="1B556B"/>
              <w:bottom w:val="nil"/>
              <w:right w:val="nil"/>
            </w:tcBorders>
            <w:vAlign w:val="center"/>
          </w:tcPr>
          <w:p w14:paraId="24D1861E" w14:textId="77777777" w:rsidR="0010265C" w:rsidRPr="00261B7A" w:rsidRDefault="0010265C" w:rsidP="002C09A6">
            <w:pPr>
              <w:pStyle w:val="Tableboldblue"/>
              <w:spacing w:before="40" w:after="40"/>
              <w:jc w:val="right"/>
              <w:rPr>
                <w:rFonts w:cs="Calibri"/>
                <w:szCs w:val="16"/>
              </w:rPr>
            </w:pPr>
            <w:r w:rsidRPr="00261B7A">
              <w:rPr>
                <w:rFonts w:cs="Calibri"/>
                <w:szCs w:val="16"/>
              </w:rPr>
              <w:t>–273.8</w:t>
            </w:r>
          </w:p>
        </w:tc>
        <w:tc>
          <w:tcPr>
            <w:tcW w:w="805" w:type="dxa"/>
            <w:tcBorders>
              <w:top w:val="nil"/>
              <w:left w:val="nil"/>
              <w:bottom w:val="nil"/>
              <w:right w:val="single" w:sz="4" w:space="0" w:color="1B556B"/>
            </w:tcBorders>
            <w:vAlign w:val="center"/>
          </w:tcPr>
          <w:p w14:paraId="1512EFAA" w14:textId="77777777" w:rsidR="0010265C" w:rsidRPr="00261B7A" w:rsidRDefault="0010265C" w:rsidP="002C09A6">
            <w:pPr>
              <w:pStyle w:val="Tableboldblue"/>
              <w:spacing w:before="40" w:after="40"/>
              <w:jc w:val="right"/>
              <w:rPr>
                <w:rFonts w:cs="Calibri"/>
                <w:szCs w:val="16"/>
              </w:rPr>
            </w:pPr>
            <w:r w:rsidRPr="00261B7A">
              <w:rPr>
                <w:rFonts w:cs="Calibri"/>
                <w:szCs w:val="16"/>
              </w:rPr>
              <w:t>14.4</w:t>
            </w:r>
          </w:p>
        </w:tc>
        <w:tc>
          <w:tcPr>
            <w:tcW w:w="920" w:type="dxa"/>
            <w:tcBorders>
              <w:top w:val="nil"/>
              <w:left w:val="single" w:sz="4" w:space="0" w:color="1B556B"/>
              <w:bottom w:val="nil"/>
              <w:right w:val="single" w:sz="4" w:space="0" w:color="1B556B"/>
            </w:tcBorders>
            <w:vAlign w:val="center"/>
          </w:tcPr>
          <w:p w14:paraId="1280FA2B" w14:textId="77777777" w:rsidR="0010265C" w:rsidRPr="00261B7A" w:rsidRDefault="0010265C" w:rsidP="002C09A6">
            <w:pPr>
              <w:pStyle w:val="Tableboldblue"/>
              <w:spacing w:before="40" w:after="40"/>
              <w:jc w:val="right"/>
              <w:rPr>
                <w:rFonts w:cs="Calibri"/>
                <w:szCs w:val="16"/>
              </w:rPr>
            </w:pPr>
            <w:r w:rsidRPr="00261B7A">
              <w:rPr>
                <w:rFonts w:cs="Calibri"/>
                <w:szCs w:val="16"/>
              </w:rPr>
              <w:t>–88.8</w:t>
            </w:r>
          </w:p>
        </w:tc>
        <w:tc>
          <w:tcPr>
            <w:tcW w:w="868" w:type="dxa"/>
            <w:tcBorders>
              <w:top w:val="nil"/>
              <w:left w:val="single" w:sz="4" w:space="0" w:color="1B556B"/>
              <w:bottom w:val="nil"/>
              <w:right w:val="single" w:sz="4" w:space="0" w:color="1B556B"/>
            </w:tcBorders>
            <w:vAlign w:val="center"/>
          </w:tcPr>
          <w:p w14:paraId="7909F9F1" w14:textId="77777777" w:rsidR="0010265C" w:rsidRPr="00261B7A" w:rsidRDefault="0010265C" w:rsidP="002C09A6">
            <w:pPr>
              <w:pStyle w:val="Tableboldblue"/>
              <w:spacing w:before="40" w:after="40"/>
              <w:jc w:val="right"/>
              <w:rPr>
                <w:rFonts w:cs="Calibri"/>
                <w:szCs w:val="16"/>
              </w:rPr>
            </w:pPr>
            <w:r w:rsidRPr="00261B7A">
              <w:rPr>
                <w:rFonts w:cs="Calibri"/>
                <w:szCs w:val="16"/>
              </w:rPr>
              <w:t>23.3</w:t>
            </w:r>
          </w:p>
        </w:tc>
        <w:tc>
          <w:tcPr>
            <w:tcW w:w="942" w:type="dxa"/>
            <w:tcBorders>
              <w:top w:val="nil"/>
              <w:left w:val="single" w:sz="4" w:space="0" w:color="1B556B"/>
              <w:bottom w:val="nil"/>
              <w:right w:val="nil"/>
            </w:tcBorders>
            <w:vAlign w:val="center"/>
          </w:tcPr>
          <w:p w14:paraId="0EC686D8" w14:textId="77777777" w:rsidR="0010265C" w:rsidRPr="00261B7A" w:rsidRDefault="0010265C" w:rsidP="002C09A6">
            <w:pPr>
              <w:pStyle w:val="Tableboldblue"/>
              <w:spacing w:before="40" w:after="40"/>
              <w:jc w:val="right"/>
              <w:rPr>
                <w:rFonts w:cs="Calibri"/>
                <w:szCs w:val="16"/>
              </w:rPr>
            </w:pPr>
            <w:r w:rsidRPr="00261B7A">
              <w:rPr>
                <w:rFonts w:cs="Calibri"/>
                <w:szCs w:val="16"/>
              </w:rPr>
              <w:t>0.0</w:t>
            </w:r>
          </w:p>
        </w:tc>
      </w:tr>
      <w:tr w:rsidR="0010265C" w:rsidRPr="00261B7A" w14:paraId="2CF241C6" w14:textId="77777777" w:rsidTr="008E52F6">
        <w:tc>
          <w:tcPr>
            <w:tcW w:w="2130" w:type="dxa"/>
            <w:gridSpan w:val="2"/>
            <w:tcBorders>
              <w:top w:val="nil"/>
              <w:left w:val="nil"/>
              <w:bottom w:val="single" w:sz="4" w:space="0" w:color="1B556B"/>
              <w:right w:val="single" w:sz="4" w:space="0" w:color="1B556B"/>
            </w:tcBorders>
          </w:tcPr>
          <w:p w14:paraId="4F597ECB" w14:textId="77777777" w:rsidR="0010265C" w:rsidRPr="00261B7A" w:rsidRDefault="0010265C" w:rsidP="002C09A6">
            <w:pPr>
              <w:pStyle w:val="Tableboldblue"/>
              <w:spacing w:before="40" w:after="40"/>
              <w:rPr>
                <w:rFonts w:cs="Calibri"/>
                <w:szCs w:val="16"/>
              </w:rPr>
            </w:pPr>
            <w:r w:rsidRPr="00261B7A">
              <w:rPr>
                <w:rFonts w:cs="Calibri"/>
                <w:szCs w:val="16"/>
              </w:rPr>
              <w:t>Net change 1962–1989 (%)</w:t>
            </w:r>
          </w:p>
        </w:tc>
        <w:tc>
          <w:tcPr>
            <w:tcW w:w="806" w:type="dxa"/>
            <w:tcBorders>
              <w:top w:val="nil"/>
              <w:left w:val="single" w:sz="4" w:space="0" w:color="1B556B"/>
              <w:bottom w:val="single" w:sz="4" w:space="0" w:color="1B556B"/>
              <w:right w:val="nil"/>
            </w:tcBorders>
            <w:vAlign w:val="center"/>
          </w:tcPr>
          <w:p w14:paraId="37621148" w14:textId="77777777" w:rsidR="0010265C" w:rsidRPr="00261B7A" w:rsidRDefault="0010265C" w:rsidP="002C09A6">
            <w:pPr>
              <w:pStyle w:val="Tableboldblue"/>
              <w:spacing w:before="40" w:after="40"/>
              <w:jc w:val="right"/>
              <w:rPr>
                <w:rFonts w:cs="Calibri"/>
                <w:szCs w:val="16"/>
              </w:rPr>
            </w:pPr>
            <w:r w:rsidRPr="00261B7A">
              <w:rPr>
                <w:rFonts w:cs="Calibri"/>
                <w:szCs w:val="16"/>
              </w:rPr>
              <w:t>–9.9</w:t>
            </w:r>
          </w:p>
        </w:tc>
        <w:tc>
          <w:tcPr>
            <w:tcW w:w="806" w:type="dxa"/>
            <w:tcBorders>
              <w:top w:val="nil"/>
              <w:left w:val="nil"/>
              <w:bottom w:val="single" w:sz="4" w:space="0" w:color="1B556B"/>
              <w:right w:val="nil"/>
            </w:tcBorders>
            <w:vAlign w:val="center"/>
          </w:tcPr>
          <w:p w14:paraId="483DC156" w14:textId="77777777" w:rsidR="0010265C" w:rsidRPr="00261B7A" w:rsidRDefault="0010265C" w:rsidP="002C09A6">
            <w:pPr>
              <w:pStyle w:val="Tableboldblue"/>
              <w:spacing w:before="40" w:after="40"/>
              <w:jc w:val="right"/>
              <w:rPr>
                <w:rFonts w:cs="Calibri"/>
                <w:szCs w:val="16"/>
              </w:rPr>
            </w:pPr>
            <w:r w:rsidRPr="00261B7A">
              <w:rPr>
                <w:rFonts w:cs="Calibri"/>
                <w:szCs w:val="16"/>
              </w:rPr>
              <w:t>–9.9</w:t>
            </w:r>
          </w:p>
        </w:tc>
        <w:tc>
          <w:tcPr>
            <w:tcW w:w="805" w:type="dxa"/>
            <w:tcBorders>
              <w:top w:val="nil"/>
              <w:left w:val="nil"/>
              <w:bottom w:val="single" w:sz="4" w:space="0" w:color="1B556B"/>
              <w:right w:val="nil"/>
            </w:tcBorders>
            <w:vAlign w:val="center"/>
          </w:tcPr>
          <w:p w14:paraId="042ED357" w14:textId="77777777" w:rsidR="0010265C" w:rsidRPr="00261B7A" w:rsidRDefault="0010265C" w:rsidP="002C09A6">
            <w:pPr>
              <w:pStyle w:val="Tableboldblue"/>
              <w:spacing w:before="40" w:after="40"/>
              <w:jc w:val="right"/>
              <w:rPr>
                <w:rFonts w:cs="Calibri"/>
                <w:szCs w:val="16"/>
              </w:rPr>
            </w:pPr>
            <w:r w:rsidRPr="00261B7A">
              <w:rPr>
                <w:rFonts w:cs="Calibri"/>
                <w:szCs w:val="16"/>
              </w:rPr>
              <w:t>238.8</w:t>
            </w:r>
          </w:p>
        </w:tc>
        <w:tc>
          <w:tcPr>
            <w:tcW w:w="805" w:type="dxa"/>
            <w:tcBorders>
              <w:top w:val="nil"/>
              <w:left w:val="nil"/>
              <w:bottom w:val="single" w:sz="4" w:space="0" w:color="1B556B"/>
              <w:right w:val="single" w:sz="4" w:space="0" w:color="1B556B"/>
            </w:tcBorders>
            <w:vAlign w:val="center"/>
          </w:tcPr>
          <w:p w14:paraId="136E74F1" w14:textId="77777777" w:rsidR="0010265C" w:rsidRPr="00261B7A" w:rsidRDefault="0010265C" w:rsidP="002C09A6">
            <w:pPr>
              <w:pStyle w:val="Tableboldblue"/>
              <w:spacing w:before="40" w:after="40"/>
              <w:jc w:val="right"/>
              <w:rPr>
                <w:rFonts w:cs="Calibri"/>
                <w:szCs w:val="16"/>
              </w:rPr>
            </w:pPr>
            <w:r w:rsidRPr="00261B7A">
              <w:rPr>
                <w:rFonts w:cs="Calibri"/>
                <w:szCs w:val="16"/>
              </w:rPr>
              <w:t>NA</w:t>
            </w:r>
          </w:p>
        </w:tc>
        <w:tc>
          <w:tcPr>
            <w:tcW w:w="748" w:type="dxa"/>
            <w:tcBorders>
              <w:top w:val="nil"/>
              <w:left w:val="single" w:sz="4" w:space="0" w:color="1B556B"/>
              <w:bottom w:val="single" w:sz="4" w:space="0" w:color="1B556B"/>
              <w:right w:val="nil"/>
            </w:tcBorders>
            <w:vAlign w:val="center"/>
          </w:tcPr>
          <w:p w14:paraId="0F890E35" w14:textId="77777777" w:rsidR="0010265C" w:rsidRPr="00261B7A" w:rsidRDefault="0010265C" w:rsidP="002C09A6">
            <w:pPr>
              <w:pStyle w:val="Tableboldblue"/>
              <w:spacing w:before="40" w:after="40"/>
              <w:jc w:val="right"/>
              <w:rPr>
                <w:rFonts w:cs="Calibri"/>
                <w:szCs w:val="16"/>
              </w:rPr>
            </w:pPr>
            <w:r w:rsidRPr="00261B7A">
              <w:rPr>
                <w:rFonts w:cs="Calibri"/>
                <w:szCs w:val="16"/>
              </w:rPr>
              <w:t>NA</w:t>
            </w:r>
          </w:p>
        </w:tc>
        <w:tc>
          <w:tcPr>
            <w:tcW w:w="748" w:type="dxa"/>
            <w:tcBorders>
              <w:top w:val="nil"/>
              <w:left w:val="nil"/>
              <w:bottom w:val="single" w:sz="4" w:space="0" w:color="1B556B"/>
              <w:right w:val="single" w:sz="4" w:space="0" w:color="1B556B"/>
            </w:tcBorders>
            <w:vAlign w:val="center"/>
          </w:tcPr>
          <w:p w14:paraId="17F2B3C4" w14:textId="77777777" w:rsidR="0010265C" w:rsidRPr="00261B7A" w:rsidRDefault="0010265C" w:rsidP="002C09A6">
            <w:pPr>
              <w:pStyle w:val="Tableboldblue"/>
              <w:spacing w:before="40" w:after="40"/>
              <w:jc w:val="right"/>
              <w:rPr>
                <w:rFonts w:cs="Calibri"/>
                <w:szCs w:val="16"/>
              </w:rPr>
            </w:pPr>
            <w:r w:rsidRPr="00261B7A">
              <w:rPr>
                <w:rFonts w:cs="Calibri"/>
                <w:szCs w:val="16"/>
              </w:rPr>
              <w:t>0.0</w:t>
            </w:r>
          </w:p>
        </w:tc>
        <w:tc>
          <w:tcPr>
            <w:tcW w:w="920" w:type="dxa"/>
            <w:tcBorders>
              <w:top w:val="nil"/>
              <w:left w:val="single" w:sz="4" w:space="0" w:color="1B556B"/>
              <w:bottom w:val="single" w:sz="4" w:space="0" w:color="1B556B"/>
              <w:right w:val="nil"/>
            </w:tcBorders>
            <w:vAlign w:val="center"/>
          </w:tcPr>
          <w:p w14:paraId="54E715A2" w14:textId="77777777" w:rsidR="0010265C" w:rsidRPr="00261B7A" w:rsidRDefault="0010265C" w:rsidP="002C09A6">
            <w:pPr>
              <w:pStyle w:val="Tableboldblue"/>
              <w:spacing w:before="40" w:after="40"/>
              <w:jc w:val="right"/>
              <w:rPr>
                <w:rFonts w:cs="Calibri"/>
                <w:szCs w:val="16"/>
              </w:rPr>
            </w:pPr>
            <w:r w:rsidRPr="00261B7A">
              <w:rPr>
                <w:rFonts w:cs="Calibri"/>
                <w:szCs w:val="16"/>
              </w:rPr>
              <w:t>–11.7</w:t>
            </w:r>
          </w:p>
        </w:tc>
        <w:tc>
          <w:tcPr>
            <w:tcW w:w="920" w:type="dxa"/>
            <w:tcBorders>
              <w:top w:val="nil"/>
              <w:left w:val="nil"/>
              <w:bottom w:val="single" w:sz="4" w:space="0" w:color="1B556B"/>
              <w:right w:val="nil"/>
            </w:tcBorders>
            <w:vAlign w:val="center"/>
          </w:tcPr>
          <w:p w14:paraId="4035C0DE" w14:textId="77777777" w:rsidR="0010265C" w:rsidRPr="00261B7A" w:rsidRDefault="0010265C" w:rsidP="002C09A6">
            <w:pPr>
              <w:pStyle w:val="Tableboldblue"/>
              <w:spacing w:before="40" w:after="40"/>
              <w:jc w:val="right"/>
              <w:rPr>
                <w:rFonts w:cs="Calibri"/>
                <w:szCs w:val="16"/>
              </w:rPr>
            </w:pPr>
            <w:r w:rsidRPr="00261B7A">
              <w:rPr>
                <w:rFonts w:cs="Calibri"/>
                <w:szCs w:val="16"/>
              </w:rPr>
              <w:t>20.6</w:t>
            </w:r>
          </w:p>
        </w:tc>
        <w:tc>
          <w:tcPr>
            <w:tcW w:w="920" w:type="dxa"/>
            <w:tcBorders>
              <w:top w:val="nil"/>
              <w:left w:val="nil"/>
              <w:bottom w:val="single" w:sz="4" w:space="0" w:color="1B556B"/>
              <w:right w:val="single" w:sz="4" w:space="0" w:color="1B556B"/>
            </w:tcBorders>
            <w:vAlign w:val="center"/>
          </w:tcPr>
          <w:p w14:paraId="6934D665" w14:textId="77777777" w:rsidR="0010265C" w:rsidRPr="00261B7A" w:rsidRDefault="0010265C" w:rsidP="002C09A6">
            <w:pPr>
              <w:pStyle w:val="Tableboldblue"/>
              <w:spacing w:before="40" w:after="40"/>
              <w:jc w:val="right"/>
              <w:rPr>
                <w:rFonts w:cs="Calibri"/>
                <w:szCs w:val="16"/>
              </w:rPr>
            </w:pPr>
            <w:r w:rsidRPr="00261B7A">
              <w:rPr>
                <w:rFonts w:cs="Calibri"/>
                <w:szCs w:val="16"/>
              </w:rPr>
              <w:t>–10.1</w:t>
            </w:r>
          </w:p>
        </w:tc>
        <w:tc>
          <w:tcPr>
            <w:tcW w:w="805" w:type="dxa"/>
            <w:tcBorders>
              <w:top w:val="nil"/>
              <w:left w:val="single" w:sz="4" w:space="0" w:color="1B556B"/>
              <w:bottom w:val="single" w:sz="4" w:space="0" w:color="1B556B"/>
              <w:right w:val="nil"/>
            </w:tcBorders>
            <w:vAlign w:val="center"/>
          </w:tcPr>
          <w:p w14:paraId="2B11C10D" w14:textId="77777777" w:rsidR="0010265C" w:rsidRPr="00261B7A" w:rsidRDefault="0010265C" w:rsidP="002C09A6">
            <w:pPr>
              <w:pStyle w:val="Tableboldblue"/>
              <w:spacing w:before="40" w:after="40"/>
              <w:jc w:val="right"/>
              <w:rPr>
                <w:rFonts w:cs="Calibri"/>
                <w:szCs w:val="16"/>
              </w:rPr>
            </w:pPr>
            <w:r w:rsidRPr="00261B7A">
              <w:rPr>
                <w:rFonts w:cs="Calibri"/>
                <w:szCs w:val="16"/>
              </w:rPr>
              <w:t>–15.3</w:t>
            </w:r>
          </w:p>
        </w:tc>
        <w:tc>
          <w:tcPr>
            <w:tcW w:w="805" w:type="dxa"/>
            <w:tcBorders>
              <w:top w:val="nil"/>
              <w:left w:val="nil"/>
              <w:bottom w:val="single" w:sz="4" w:space="0" w:color="1B556B"/>
              <w:right w:val="single" w:sz="4" w:space="0" w:color="1B556B"/>
            </w:tcBorders>
            <w:vAlign w:val="center"/>
          </w:tcPr>
          <w:p w14:paraId="6327D9D3" w14:textId="77777777" w:rsidR="0010265C" w:rsidRPr="00261B7A" w:rsidRDefault="0010265C" w:rsidP="002C09A6">
            <w:pPr>
              <w:pStyle w:val="Tableboldblue"/>
              <w:spacing w:before="40" w:after="40"/>
              <w:jc w:val="right"/>
              <w:rPr>
                <w:rFonts w:cs="Calibri"/>
                <w:szCs w:val="16"/>
              </w:rPr>
            </w:pPr>
            <w:r w:rsidRPr="00261B7A">
              <w:rPr>
                <w:rFonts w:cs="Calibri"/>
                <w:szCs w:val="16"/>
              </w:rPr>
              <w:t>2.8</w:t>
            </w:r>
          </w:p>
        </w:tc>
        <w:tc>
          <w:tcPr>
            <w:tcW w:w="920" w:type="dxa"/>
            <w:tcBorders>
              <w:top w:val="nil"/>
              <w:left w:val="single" w:sz="4" w:space="0" w:color="1B556B"/>
              <w:bottom w:val="single" w:sz="4" w:space="0" w:color="1B556B"/>
              <w:right w:val="single" w:sz="4" w:space="0" w:color="1B556B"/>
            </w:tcBorders>
            <w:vAlign w:val="center"/>
          </w:tcPr>
          <w:p w14:paraId="0ADC6625" w14:textId="77777777" w:rsidR="0010265C" w:rsidRPr="00261B7A" w:rsidRDefault="0010265C" w:rsidP="002C09A6">
            <w:pPr>
              <w:pStyle w:val="Tableboldblue"/>
              <w:spacing w:before="40" w:after="40"/>
              <w:jc w:val="right"/>
              <w:rPr>
                <w:rFonts w:cs="Calibri"/>
                <w:szCs w:val="16"/>
              </w:rPr>
            </w:pPr>
            <w:r w:rsidRPr="00261B7A">
              <w:rPr>
                <w:rFonts w:cs="Calibri"/>
                <w:szCs w:val="16"/>
              </w:rPr>
              <w:t>–27.4</w:t>
            </w:r>
          </w:p>
        </w:tc>
        <w:tc>
          <w:tcPr>
            <w:tcW w:w="868" w:type="dxa"/>
            <w:tcBorders>
              <w:top w:val="nil"/>
              <w:left w:val="single" w:sz="4" w:space="0" w:color="1B556B"/>
              <w:bottom w:val="single" w:sz="4" w:space="0" w:color="1B556B"/>
              <w:right w:val="single" w:sz="4" w:space="0" w:color="1B556B"/>
            </w:tcBorders>
            <w:vAlign w:val="center"/>
          </w:tcPr>
          <w:p w14:paraId="444761E6" w14:textId="77777777" w:rsidR="0010265C" w:rsidRPr="00261B7A" w:rsidRDefault="0010265C" w:rsidP="002C09A6">
            <w:pPr>
              <w:pStyle w:val="Tableboldblue"/>
              <w:spacing w:before="40" w:after="40"/>
              <w:jc w:val="right"/>
              <w:rPr>
                <w:rFonts w:cs="Calibri"/>
                <w:szCs w:val="16"/>
              </w:rPr>
            </w:pPr>
            <w:r w:rsidRPr="00261B7A">
              <w:rPr>
                <w:rFonts w:cs="Calibri"/>
                <w:szCs w:val="16"/>
              </w:rPr>
              <w:t>12.6</w:t>
            </w:r>
          </w:p>
        </w:tc>
        <w:tc>
          <w:tcPr>
            <w:tcW w:w="942" w:type="dxa"/>
            <w:tcBorders>
              <w:top w:val="nil"/>
              <w:left w:val="single" w:sz="4" w:space="0" w:color="1B556B"/>
              <w:bottom w:val="single" w:sz="4" w:space="0" w:color="1B556B"/>
              <w:right w:val="nil"/>
            </w:tcBorders>
            <w:vAlign w:val="center"/>
          </w:tcPr>
          <w:p w14:paraId="018380D6" w14:textId="77777777" w:rsidR="0010265C" w:rsidRPr="00261B7A" w:rsidRDefault="0010265C" w:rsidP="002C09A6">
            <w:pPr>
              <w:pStyle w:val="Tableboldblue"/>
              <w:spacing w:before="40" w:after="40"/>
              <w:jc w:val="right"/>
              <w:rPr>
                <w:rFonts w:cs="Calibri"/>
                <w:szCs w:val="16"/>
              </w:rPr>
            </w:pPr>
            <w:r w:rsidRPr="00261B7A">
              <w:rPr>
                <w:rFonts w:cs="Calibri"/>
                <w:szCs w:val="16"/>
              </w:rPr>
              <w:t>0.0</w:t>
            </w:r>
          </w:p>
        </w:tc>
      </w:tr>
    </w:tbl>
    <w:p w14:paraId="64D20CF7" w14:textId="77777777" w:rsidR="0010265C" w:rsidRPr="00261B7A" w:rsidRDefault="0010265C" w:rsidP="0010265C">
      <w:pPr>
        <w:pStyle w:val="BodyText"/>
      </w:pPr>
    </w:p>
    <w:p w14:paraId="6948425F" w14:textId="77777777" w:rsidR="0010265C" w:rsidRPr="00261B7A" w:rsidRDefault="0010265C" w:rsidP="0010265C">
      <w:pPr>
        <w:sectPr w:rsidR="0010265C" w:rsidRPr="00261B7A" w:rsidSect="009719AE">
          <w:footerReference w:type="default" r:id="rId207"/>
          <w:pgSz w:w="16838" w:h="11906" w:orient="landscape"/>
          <w:pgMar w:top="1701" w:right="1418" w:bottom="1701" w:left="1418" w:header="709" w:footer="709" w:gutter="0"/>
          <w:cols w:space="708"/>
          <w:docGrid w:linePitch="360"/>
        </w:sectPr>
      </w:pPr>
      <w:bookmarkStart w:id="1525" w:name="_Toc280630224"/>
      <w:bookmarkStart w:id="1526" w:name="_Toc361645362"/>
    </w:p>
    <w:p w14:paraId="1427288E" w14:textId="77777777" w:rsidR="0010265C" w:rsidRPr="00261B7A" w:rsidRDefault="0010265C" w:rsidP="0010265C">
      <w:pPr>
        <w:pStyle w:val="Heading3"/>
        <w:spacing w:before="0"/>
      </w:pPr>
      <w:r w:rsidRPr="00261B7A">
        <w:t>6.2.2</w:t>
      </w:r>
      <w:r w:rsidRPr="00261B7A">
        <w:tab/>
        <w:t>Land use category definitions</w:t>
      </w:r>
      <w:bookmarkEnd w:id="1525"/>
      <w:bookmarkEnd w:id="1526"/>
    </w:p>
    <w:p w14:paraId="3D4B9498" w14:textId="77777777" w:rsidR="0010265C" w:rsidRPr="00261B7A" w:rsidRDefault="0010265C" w:rsidP="0010265C">
      <w:pPr>
        <w:pStyle w:val="BodyText"/>
      </w:pPr>
      <w:r w:rsidRPr="00261B7A">
        <w:t>The land use categories and matching land uses New Zealand reports for are shown in table 6.2.2.</w:t>
      </w:r>
    </w:p>
    <w:p w14:paraId="1790703A" w14:textId="77777777" w:rsidR="0010265C" w:rsidRPr="00261B7A" w:rsidRDefault="0010265C" w:rsidP="0012053C">
      <w:pPr>
        <w:pStyle w:val="Table"/>
      </w:pPr>
      <w:bookmarkStart w:id="1527" w:name="_Toc310423399"/>
      <w:bookmarkStart w:id="1528" w:name="_Toc318362692"/>
      <w:bookmarkStart w:id="1529" w:name="_Toc342470754"/>
      <w:bookmarkStart w:id="1530" w:name="_Toc352504994"/>
      <w:bookmarkStart w:id="1531" w:name="_Toc361645342"/>
      <w:bookmarkStart w:id="1532" w:name="_Toc378853280"/>
      <w:bookmarkStart w:id="1533" w:name="_Toc391024078"/>
      <w:bookmarkStart w:id="1534" w:name="_Toc410028821"/>
      <w:bookmarkStart w:id="1535" w:name="_Toc414531449"/>
      <w:bookmarkStart w:id="1536" w:name="_Toc443645362"/>
      <w:bookmarkStart w:id="1537" w:name="_Toc474914581"/>
      <w:bookmarkStart w:id="1538" w:name="_Toc481751545"/>
      <w:bookmarkStart w:id="1539" w:name="_Toc522010602"/>
      <w:bookmarkStart w:id="1540" w:name="_Toc5269507"/>
      <w:bookmarkStart w:id="1541" w:name="_Toc33529383"/>
      <w:bookmarkStart w:id="1542" w:name="_Toc36224589"/>
      <w:bookmarkStart w:id="1543" w:name="_Toc65243584"/>
      <w:bookmarkStart w:id="1544" w:name="_Toc131591389"/>
      <w:r w:rsidRPr="00261B7A">
        <w:t>Table 6.2.2</w:t>
      </w:r>
      <w:r w:rsidRPr="00261B7A">
        <w:tab/>
        <w:t xml:space="preserve">New Zealand’s land use categories and </w:t>
      </w:r>
      <w:bookmarkEnd w:id="1527"/>
      <w:bookmarkEnd w:id="1528"/>
      <w:bookmarkEnd w:id="1529"/>
      <w:bookmarkEnd w:id="1530"/>
      <w:bookmarkEnd w:id="1531"/>
      <w:bookmarkEnd w:id="1532"/>
      <w:bookmarkEnd w:id="1533"/>
      <w:bookmarkEnd w:id="1534"/>
      <w:bookmarkEnd w:id="1535"/>
      <w:bookmarkEnd w:id="1536"/>
      <w:r w:rsidRPr="00261B7A">
        <w:t>land uses</w:t>
      </w:r>
      <w:bookmarkEnd w:id="1537"/>
      <w:bookmarkEnd w:id="1538"/>
      <w:bookmarkEnd w:id="1539"/>
      <w:bookmarkEnd w:id="1540"/>
      <w:bookmarkEnd w:id="1541"/>
      <w:bookmarkEnd w:id="1542"/>
      <w:bookmarkEnd w:id="1543"/>
      <w:bookmarkEnd w:id="1544"/>
    </w:p>
    <w:tbl>
      <w:tblPr>
        <w:tblW w:w="8505" w:type="dxa"/>
        <w:tblBorders>
          <w:bottom w:val="single" w:sz="8" w:space="0" w:color="365F91"/>
        </w:tblBorders>
        <w:tblLook w:val="04A0" w:firstRow="1" w:lastRow="0" w:firstColumn="1" w:lastColumn="0" w:noHBand="0" w:noVBand="1"/>
      </w:tblPr>
      <w:tblGrid>
        <w:gridCol w:w="3114"/>
        <w:gridCol w:w="5391"/>
      </w:tblGrid>
      <w:tr w:rsidR="0010265C" w:rsidRPr="00261B7A" w14:paraId="05BA9B1C" w14:textId="77777777" w:rsidTr="008B0EFE">
        <w:trPr>
          <w:tblHeader/>
        </w:trPr>
        <w:tc>
          <w:tcPr>
            <w:tcW w:w="2427" w:type="dxa"/>
            <w:tcBorders>
              <w:top w:val="single" w:sz="4" w:space="0" w:color="1B556B" w:themeColor="text2"/>
              <w:bottom w:val="single" w:sz="4" w:space="0" w:color="1B556B" w:themeColor="text2"/>
              <w:right w:val="nil"/>
            </w:tcBorders>
            <w:shd w:val="clear" w:color="auto" w:fill="1B556B" w:themeFill="text2"/>
          </w:tcPr>
          <w:p w14:paraId="1B2E0EDB" w14:textId="77777777" w:rsidR="0010265C" w:rsidRPr="00261B7A" w:rsidRDefault="0010265C" w:rsidP="00D41492">
            <w:pPr>
              <w:pStyle w:val="TableTextBold"/>
              <w:keepNext/>
              <w:spacing w:before="50" w:after="40"/>
              <w:rPr>
                <w:rFonts w:eastAsia="Arial Bold"/>
                <w:noProof w:val="0"/>
                <w:color w:val="FFFFFF"/>
              </w:rPr>
            </w:pPr>
            <w:r w:rsidRPr="00261B7A">
              <w:rPr>
                <w:rFonts w:eastAsia="Arial Bold"/>
                <w:noProof w:val="0"/>
                <w:color w:val="FFFFFF"/>
              </w:rPr>
              <w:t xml:space="preserve">IPCC category </w:t>
            </w:r>
          </w:p>
        </w:tc>
        <w:tc>
          <w:tcPr>
            <w:tcW w:w="4202" w:type="dxa"/>
            <w:tcBorders>
              <w:top w:val="single" w:sz="4" w:space="0" w:color="1B556B" w:themeColor="text2"/>
              <w:bottom w:val="single" w:sz="4" w:space="0" w:color="1B556B" w:themeColor="text2"/>
            </w:tcBorders>
            <w:shd w:val="clear" w:color="auto" w:fill="1B556B" w:themeFill="text2"/>
          </w:tcPr>
          <w:p w14:paraId="50FC9A5C" w14:textId="77777777" w:rsidR="0010265C" w:rsidRPr="00261B7A" w:rsidRDefault="0010265C" w:rsidP="00D41492">
            <w:pPr>
              <w:pStyle w:val="TableTextBold"/>
              <w:spacing w:before="50" w:after="40"/>
              <w:rPr>
                <w:rFonts w:eastAsia="Arial Bold"/>
                <w:noProof w:val="0"/>
                <w:color w:val="FFFFFF"/>
              </w:rPr>
            </w:pPr>
            <w:r w:rsidRPr="00261B7A">
              <w:rPr>
                <w:rFonts w:eastAsia="Arial Bold"/>
                <w:noProof w:val="0"/>
                <w:color w:val="FFFFFF"/>
              </w:rPr>
              <w:t xml:space="preserve">New Zealand land use </w:t>
            </w:r>
          </w:p>
        </w:tc>
      </w:tr>
      <w:tr w:rsidR="0010265C" w:rsidRPr="00261B7A" w14:paraId="62E7EDB9" w14:textId="77777777" w:rsidTr="008B0EFE">
        <w:tc>
          <w:tcPr>
            <w:tcW w:w="2427" w:type="dxa"/>
            <w:tcBorders>
              <w:top w:val="single" w:sz="4" w:space="0" w:color="1B556B" w:themeColor="text2"/>
              <w:bottom w:val="nil"/>
              <w:right w:val="nil"/>
            </w:tcBorders>
            <w:shd w:val="clear" w:color="auto" w:fill="auto"/>
          </w:tcPr>
          <w:p w14:paraId="62DD32EC" w14:textId="77777777" w:rsidR="0010265C" w:rsidRPr="00261B7A" w:rsidRDefault="0010265C" w:rsidP="00D41492">
            <w:pPr>
              <w:pStyle w:val="TableText"/>
              <w:spacing w:before="40" w:after="40"/>
              <w:rPr>
                <w:rFonts w:eastAsia="Arial Bold"/>
              </w:rPr>
            </w:pPr>
            <w:r w:rsidRPr="00261B7A">
              <w:rPr>
                <w:rFonts w:eastAsia="Arial Bold"/>
              </w:rPr>
              <w:t xml:space="preserve">Forest land </w:t>
            </w:r>
          </w:p>
        </w:tc>
        <w:tc>
          <w:tcPr>
            <w:tcW w:w="4202" w:type="dxa"/>
            <w:tcBorders>
              <w:top w:val="single" w:sz="4" w:space="0" w:color="1B556B" w:themeColor="text2"/>
              <w:bottom w:val="single" w:sz="4" w:space="0" w:color="1B556B" w:themeColor="text2"/>
            </w:tcBorders>
            <w:shd w:val="clear" w:color="auto" w:fill="auto"/>
          </w:tcPr>
          <w:p w14:paraId="5AF778F3" w14:textId="77777777" w:rsidR="0010265C" w:rsidRPr="00261B7A" w:rsidRDefault="0010265C" w:rsidP="00D41492">
            <w:pPr>
              <w:pStyle w:val="TableText"/>
              <w:spacing w:before="40" w:after="40"/>
              <w:rPr>
                <w:rFonts w:eastAsia="Arial Bold"/>
              </w:rPr>
            </w:pPr>
            <w:r w:rsidRPr="00261B7A">
              <w:rPr>
                <w:rFonts w:eastAsia="Arial Bold"/>
              </w:rPr>
              <w:t xml:space="preserve">Pre-1990 natural forest </w:t>
            </w:r>
          </w:p>
        </w:tc>
      </w:tr>
      <w:tr w:rsidR="0010265C" w:rsidRPr="00261B7A" w14:paraId="447397D6" w14:textId="77777777" w:rsidTr="008B0EFE">
        <w:tc>
          <w:tcPr>
            <w:tcW w:w="2427" w:type="dxa"/>
            <w:tcBorders>
              <w:top w:val="nil"/>
              <w:bottom w:val="nil"/>
              <w:right w:val="nil"/>
            </w:tcBorders>
            <w:shd w:val="clear" w:color="auto" w:fill="auto"/>
          </w:tcPr>
          <w:p w14:paraId="7697BE2D" w14:textId="77777777" w:rsidR="0010265C" w:rsidRPr="00261B7A" w:rsidRDefault="0010265C" w:rsidP="00D41492">
            <w:pPr>
              <w:pStyle w:val="TableText"/>
              <w:spacing w:before="40" w:after="40"/>
              <w:rPr>
                <w:rFonts w:eastAsia="Arial Bold"/>
              </w:rPr>
            </w:pPr>
          </w:p>
        </w:tc>
        <w:tc>
          <w:tcPr>
            <w:tcW w:w="4202" w:type="dxa"/>
            <w:tcBorders>
              <w:top w:val="single" w:sz="4" w:space="0" w:color="1B556B" w:themeColor="text2"/>
              <w:bottom w:val="single" w:sz="4" w:space="0" w:color="1B556B" w:themeColor="text2"/>
            </w:tcBorders>
            <w:shd w:val="clear" w:color="auto" w:fill="auto"/>
          </w:tcPr>
          <w:p w14:paraId="3667BABC" w14:textId="77777777" w:rsidR="0010265C" w:rsidRPr="00261B7A" w:rsidRDefault="0010265C" w:rsidP="00D41492">
            <w:pPr>
              <w:pStyle w:val="TableText"/>
              <w:spacing w:before="40" w:after="40"/>
              <w:rPr>
                <w:rFonts w:eastAsia="Arial Bold"/>
              </w:rPr>
            </w:pPr>
            <w:r w:rsidRPr="00261B7A">
              <w:rPr>
                <w:rFonts w:eastAsia="Arial Bold"/>
              </w:rPr>
              <w:t>Pre-1990 planted forest</w:t>
            </w:r>
          </w:p>
        </w:tc>
      </w:tr>
      <w:tr w:rsidR="0010265C" w:rsidRPr="00261B7A" w14:paraId="76F24B78" w14:textId="77777777" w:rsidTr="008B0EFE">
        <w:tc>
          <w:tcPr>
            <w:tcW w:w="2427" w:type="dxa"/>
            <w:tcBorders>
              <w:bottom w:val="nil"/>
              <w:right w:val="nil"/>
            </w:tcBorders>
            <w:shd w:val="clear" w:color="auto" w:fill="auto"/>
          </w:tcPr>
          <w:p w14:paraId="2194C8E8" w14:textId="77777777" w:rsidR="0010265C" w:rsidRPr="00261B7A" w:rsidRDefault="0010265C" w:rsidP="00D41492">
            <w:pPr>
              <w:pStyle w:val="TableText"/>
              <w:spacing w:before="40" w:after="40"/>
              <w:rPr>
                <w:rFonts w:eastAsia="Arial Bold"/>
              </w:rPr>
            </w:pPr>
          </w:p>
        </w:tc>
        <w:tc>
          <w:tcPr>
            <w:tcW w:w="4202" w:type="dxa"/>
            <w:tcBorders>
              <w:top w:val="single" w:sz="4" w:space="0" w:color="1B556B" w:themeColor="text2"/>
              <w:bottom w:val="single" w:sz="4" w:space="0" w:color="1B556B" w:themeColor="text2"/>
            </w:tcBorders>
            <w:shd w:val="clear" w:color="auto" w:fill="auto"/>
          </w:tcPr>
          <w:p w14:paraId="63EC2FCA" w14:textId="77777777" w:rsidR="0010265C" w:rsidRPr="00261B7A" w:rsidRDefault="0010265C" w:rsidP="00D41492">
            <w:pPr>
              <w:pStyle w:val="TableText"/>
              <w:spacing w:before="40" w:after="40"/>
              <w:rPr>
                <w:rFonts w:eastAsia="Arial Bold"/>
              </w:rPr>
            </w:pPr>
            <w:r w:rsidRPr="00261B7A">
              <w:rPr>
                <w:rFonts w:eastAsia="Arial Bold"/>
              </w:rPr>
              <w:t>Post-1989 natural forest</w:t>
            </w:r>
            <w:r w:rsidRPr="00261B7A">
              <w:rPr>
                <w:rFonts w:eastAsia="Arial Bold"/>
                <w:vertAlign w:val="superscript"/>
              </w:rPr>
              <w:t>(1)</w:t>
            </w:r>
          </w:p>
        </w:tc>
      </w:tr>
      <w:tr w:rsidR="0010265C" w:rsidRPr="00261B7A" w14:paraId="489832EB" w14:textId="77777777" w:rsidTr="008B0EFE">
        <w:tc>
          <w:tcPr>
            <w:tcW w:w="2427" w:type="dxa"/>
            <w:tcBorders>
              <w:bottom w:val="single" w:sz="4" w:space="0" w:color="1B556B" w:themeColor="text2"/>
              <w:right w:val="nil"/>
            </w:tcBorders>
            <w:shd w:val="clear" w:color="auto" w:fill="auto"/>
          </w:tcPr>
          <w:p w14:paraId="48463ACC" w14:textId="77777777" w:rsidR="0010265C" w:rsidRPr="00261B7A" w:rsidRDefault="0010265C" w:rsidP="00D41492">
            <w:pPr>
              <w:pStyle w:val="TableText"/>
              <w:spacing w:before="40" w:after="40"/>
              <w:rPr>
                <w:rFonts w:eastAsia="Arial Bold"/>
              </w:rPr>
            </w:pPr>
          </w:p>
        </w:tc>
        <w:tc>
          <w:tcPr>
            <w:tcW w:w="4202" w:type="dxa"/>
            <w:tcBorders>
              <w:top w:val="single" w:sz="4" w:space="0" w:color="1B556B" w:themeColor="text2"/>
              <w:bottom w:val="single" w:sz="2" w:space="0" w:color="365F91"/>
            </w:tcBorders>
            <w:shd w:val="clear" w:color="auto" w:fill="auto"/>
          </w:tcPr>
          <w:p w14:paraId="494A75DB" w14:textId="77777777" w:rsidR="0010265C" w:rsidRPr="00261B7A" w:rsidRDefault="0010265C" w:rsidP="00D41492">
            <w:pPr>
              <w:pStyle w:val="TableText"/>
              <w:spacing w:before="40" w:after="40"/>
              <w:rPr>
                <w:rFonts w:eastAsia="Arial Bold"/>
              </w:rPr>
            </w:pPr>
            <w:r w:rsidRPr="00261B7A">
              <w:rPr>
                <w:rFonts w:eastAsia="Arial Bold"/>
              </w:rPr>
              <w:t>Post-1989 planted forest</w:t>
            </w:r>
            <w:r w:rsidRPr="00261B7A">
              <w:rPr>
                <w:rFonts w:eastAsia="Arial Bold"/>
                <w:vertAlign w:val="superscript"/>
              </w:rPr>
              <w:t>(1)</w:t>
            </w:r>
          </w:p>
        </w:tc>
      </w:tr>
      <w:tr w:rsidR="0010265C" w:rsidRPr="00261B7A" w14:paraId="22D70B3C" w14:textId="77777777" w:rsidTr="008B0EFE">
        <w:tc>
          <w:tcPr>
            <w:tcW w:w="2427" w:type="dxa"/>
            <w:tcBorders>
              <w:top w:val="single" w:sz="4" w:space="0" w:color="1B556B" w:themeColor="text2"/>
              <w:bottom w:val="nil"/>
              <w:right w:val="nil"/>
            </w:tcBorders>
            <w:shd w:val="clear" w:color="auto" w:fill="auto"/>
          </w:tcPr>
          <w:p w14:paraId="11E62B7A" w14:textId="77777777" w:rsidR="0010265C" w:rsidRPr="00261B7A" w:rsidRDefault="0010265C" w:rsidP="00D41492">
            <w:pPr>
              <w:pStyle w:val="TableText"/>
              <w:spacing w:before="40" w:after="40"/>
              <w:rPr>
                <w:rFonts w:eastAsia="Arial Bold"/>
              </w:rPr>
            </w:pPr>
            <w:r w:rsidRPr="00261B7A">
              <w:rPr>
                <w:rFonts w:eastAsia="Arial Bold"/>
              </w:rPr>
              <w:t xml:space="preserve">Cropland </w:t>
            </w:r>
          </w:p>
        </w:tc>
        <w:tc>
          <w:tcPr>
            <w:tcW w:w="4202" w:type="dxa"/>
            <w:tcBorders>
              <w:top w:val="single" w:sz="2" w:space="0" w:color="365F91"/>
              <w:bottom w:val="single" w:sz="4" w:space="0" w:color="1B556B" w:themeColor="text2"/>
            </w:tcBorders>
            <w:shd w:val="clear" w:color="auto" w:fill="auto"/>
          </w:tcPr>
          <w:p w14:paraId="461EB373" w14:textId="77777777" w:rsidR="0010265C" w:rsidRPr="00261B7A" w:rsidRDefault="0010265C" w:rsidP="00D41492">
            <w:pPr>
              <w:pStyle w:val="TableText"/>
              <w:spacing w:before="40" w:after="40"/>
              <w:rPr>
                <w:rFonts w:eastAsia="Arial Bold"/>
              </w:rPr>
            </w:pPr>
            <w:r w:rsidRPr="00261B7A">
              <w:rPr>
                <w:rFonts w:eastAsia="Arial Bold"/>
              </w:rPr>
              <w:t>Annual cropland</w:t>
            </w:r>
          </w:p>
        </w:tc>
      </w:tr>
      <w:tr w:rsidR="0010265C" w:rsidRPr="00261B7A" w14:paraId="13CD8BA6" w14:textId="77777777" w:rsidTr="008B0EFE">
        <w:tc>
          <w:tcPr>
            <w:tcW w:w="2427" w:type="dxa"/>
            <w:tcBorders>
              <w:bottom w:val="single" w:sz="4" w:space="0" w:color="1B556B" w:themeColor="text2"/>
              <w:right w:val="nil"/>
            </w:tcBorders>
            <w:shd w:val="clear" w:color="auto" w:fill="auto"/>
          </w:tcPr>
          <w:p w14:paraId="2ED6C913" w14:textId="77777777" w:rsidR="0010265C" w:rsidRPr="00261B7A" w:rsidRDefault="0010265C" w:rsidP="00D41492">
            <w:pPr>
              <w:pStyle w:val="TableText"/>
              <w:spacing w:before="40" w:after="40"/>
              <w:rPr>
                <w:rFonts w:eastAsia="Arial Bold"/>
              </w:rPr>
            </w:pPr>
          </w:p>
        </w:tc>
        <w:tc>
          <w:tcPr>
            <w:tcW w:w="4202" w:type="dxa"/>
            <w:tcBorders>
              <w:top w:val="single" w:sz="4" w:space="0" w:color="1B556B" w:themeColor="text2"/>
              <w:bottom w:val="single" w:sz="4" w:space="0" w:color="1B556B" w:themeColor="text2"/>
            </w:tcBorders>
            <w:shd w:val="clear" w:color="auto" w:fill="auto"/>
          </w:tcPr>
          <w:p w14:paraId="00ECB44D" w14:textId="77777777" w:rsidR="0010265C" w:rsidRPr="00261B7A" w:rsidRDefault="0010265C" w:rsidP="00D41492">
            <w:pPr>
              <w:pStyle w:val="TableText"/>
              <w:spacing w:before="40" w:after="40"/>
              <w:rPr>
                <w:rFonts w:eastAsia="Arial Bold"/>
              </w:rPr>
            </w:pPr>
            <w:r w:rsidRPr="00261B7A">
              <w:rPr>
                <w:rFonts w:eastAsia="Arial Bold"/>
              </w:rPr>
              <w:t xml:space="preserve">Perennial cropland </w:t>
            </w:r>
          </w:p>
        </w:tc>
      </w:tr>
      <w:tr w:rsidR="0010265C" w:rsidRPr="00261B7A" w14:paraId="17164BF4" w14:textId="77777777" w:rsidTr="008B0EFE">
        <w:tc>
          <w:tcPr>
            <w:tcW w:w="2427" w:type="dxa"/>
            <w:tcBorders>
              <w:top w:val="single" w:sz="4" w:space="0" w:color="1B556B" w:themeColor="text2"/>
              <w:bottom w:val="nil"/>
              <w:right w:val="nil"/>
            </w:tcBorders>
            <w:shd w:val="clear" w:color="auto" w:fill="auto"/>
          </w:tcPr>
          <w:p w14:paraId="4F731015" w14:textId="77777777" w:rsidR="0010265C" w:rsidRPr="00261B7A" w:rsidRDefault="0010265C" w:rsidP="00D41492">
            <w:pPr>
              <w:pStyle w:val="TableText"/>
              <w:spacing w:before="40" w:after="40"/>
              <w:rPr>
                <w:rFonts w:eastAsia="Arial Bold"/>
              </w:rPr>
            </w:pPr>
            <w:r w:rsidRPr="00261B7A">
              <w:rPr>
                <w:rFonts w:eastAsia="Arial Bold"/>
              </w:rPr>
              <w:t xml:space="preserve">Grassland </w:t>
            </w:r>
          </w:p>
        </w:tc>
        <w:tc>
          <w:tcPr>
            <w:tcW w:w="4202" w:type="dxa"/>
            <w:tcBorders>
              <w:top w:val="single" w:sz="4" w:space="0" w:color="1B556B" w:themeColor="text2"/>
              <w:bottom w:val="single" w:sz="4" w:space="0" w:color="1B556B" w:themeColor="text2"/>
            </w:tcBorders>
            <w:shd w:val="clear" w:color="auto" w:fill="auto"/>
          </w:tcPr>
          <w:p w14:paraId="0C3CE47D" w14:textId="77777777" w:rsidR="0010265C" w:rsidRPr="00261B7A" w:rsidRDefault="0010265C" w:rsidP="00D41492">
            <w:pPr>
              <w:pStyle w:val="TableText"/>
              <w:spacing w:before="40" w:after="40"/>
              <w:rPr>
                <w:rFonts w:eastAsia="Arial Bold"/>
              </w:rPr>
            </w:pPr>
            <w:r w:rsidRPr="00261B7A">
              <w:rPr>
                <w:rFonts w:eastAsia="Arial Bold"/>
              </w:rPr>
              <w:t>High producing grassland</w:t>
            </w:r>
          </w:p>
        </w:tc>
      </w:tr>
      <w:tr w:rsidR="0010265C" w:rsidRPr="00261B7A" w14:paraId="0208CA93" w14:textId="77777777" w:rsidTr="008B0EFE">
        <w:tc>
          <w:tcPr>
            <w:tcW w:w="2427" w:type="dxa"/>
            <w:tcBorders>
              <w:bottom w:val="nil"/>
              <w:right w:val="nil"/>
            </w:tcBorders>
            <w:shd w:val="clear" w:color="auto" w:fill="auto"/>
          </w:tcPr>
          <w:p w14:paraId="4D6CA07D" w14:textId="77777777" w:rsidR="0010265C" w:rsidRPr="00261B7A" w:rsidRDefault="0010265C" w:rsidP="00D41492">
            <w:pPr>
              <w:pStyle w:val="TableText"/>
              <w:spacing w:before="40" w:after="40"/>
              <w:rPr>
                <w:rFonts w:eastAsia="Arial Bold"/>
              </w:rPr>
            </w:pPr>
          </w:p>
        </w:tc>
        <w:tc>
          <w:tcPr>
            <w:tcW w:w="4202" w:type="dxa"/>
            <w:tcBorders>
              <w:top w:val="single" w:sz="4" w:space="0" w:color="1B556B" w:themeColor="text2"/>
              <w:bottom w:val="single" w:sz="4" w:space="0" w:color="1B556B" w:themeColor="text2"/>
            </w:tcBorders>
            <w:shd w:val="clear" w:color="auto" w:fill="auto"/>
          </w:tcPr>
          <w:p w14:paraId="5B55B4E0" w14:textId="77777777" w:rsidR="0010265C" w:rsidRPr="00261B7A" w:rsidRDefault="0010265C" w:rsidP="00D41492">
            <w:pPr>
              <w:pStyle w:val="TableText"/>
              <w:spacing w:before="40" w:after="40"/>
              <w:rPr>
                <w:rFonts w:eastAsia="Arial Bold"/>
              </w:rPr>
            </w:pPr>
            <w:r w:rsidRPr="00261B7A">
              <w:rPr>
                <w:rFonts w:eastAsia="Arial Bold"/>
              </w:rPr>
              <w:t>Low producing grassland</w:t>
            </w:r>
          </w:p>
        </w:tc>
      </w:tr>
      <w:tr w:rsidR="0010265C" w:rsidRPr="00261B7A" w14:paraId="5415EA1B" w14:textId="77777777" w:rsidTr="008B0EFE">
        <w:tc>
          <w:tcPr>
            <w:tcW w:w="2427" w:type="dxa"/>
            <w:tcBorders>
              <w:top w:val="nil"/>
              <w:bottom w:val="single" w:sz="4" w:space="0" w:color="1B556B" w:themeColor="text2"/>
              <w:right w:val="nil"/>
            </w:tcBorders>
            <w:shd w:val="clear" w:color="auto" w:fill="auto"/>
          </w:tcPr>
          <w:p w14:paraId="26500AAC" w14:textId="77777777" w:rsidR="0010265C" w:rsidRPr="00261B7A" w:rsidRDefault="0010265C" w:rsidP="00D41492">
            <w:pPr>
              <w:pStyle w:val="TableText"/>
              <w:spacing w:before="40" w:after="40"/>
              <w:rPr>
                <w:rFonts w:eastAsia="Arial Bold"/>
              </w:rPr>
            </w:pPr>
          </w:p>
        </w:tc>
        <w:tc>
          <w:tcPr>
            <w:tcW w:w="4202" w:type="dxa"/>
            <w:tcBorders>
              <w:top w:val="single" w:sz="4" w:space="0" w:color="1B556B" w:themeColor="text2"/>
              <w:bottom w:val="single" w:sz="4" w:space="0" w:color="1B556B" w:themeColor="text2"/>
            </w:tcBorders>
            <w:shd w:val="clear" w:color="auto" w:fill="auto"/>
          </w:tcPr>
          <w:p w14:paraId="67B634D6" w14:textId="77777777" w:rsidR="0010265C" w:rsidRPr="00261B7A" w:rsidRDefault="0010265C" w:rsidP="00D41492">
            <w:pPr>
              <w:pStyle w:val="TableText"/>
              <w:spacing w:before="40" w:after="40"/>
              <w:rPr>
                <w:rFonts w:eastAsia="Arial Bold"/>
              </w:rPr>
            </w:pPr>
            <w:r w:rsidRPr="00261B7A">
              <w:rPr>
                <w:rFonts w:eastAsia="Arial Bold"/>
              </w:rPr>
              <w:t>Grassland with woody biomass</w:t>
            </w:r>
          </w:p>
        </w:tc>
      </w:tr>
      <w:tr w:rsidR="0010265C" w:rsidRPr="00261B7A" w14:paraId="281C994B" w14:textId="77777777" w:rsidTr="008B0EFE">
        <w:tc>
          <w:tcPr>
            <w:tcW w:w="2427" w:type="dxa"/>
            <w:tcBorders>
              <w:top w:val="single" w:sz="4" w:space="0" w:color="1B556B" w:themeColor="text2"/>
              <w:bottom w:val="nil"/>
              <w:right w:val="nil"/>
            </w:tcBorders>
            <w:shd w:val="clear" w:color="auto" w:fill="auto"/>
          </w:tcPr>
          <w:p w14:paraId="67C2EB04" w14:textId="77777777" w:rsidR="0010265C" w:rsidRPr="00261B7A" w:rsidRDefault="0010265C" w:rsidP="00D41492">
            <w:pPr>
              <w:pStyle w:val="TableText"/>
              <w:spacing w:before="40" w:after="40"/>
            </w:pPr>
            <w:r w:rsidRPr="00261B7A">
              <w:t>Wetlands</w:t>
            </w:r>
          </w:p>
        </w:tc>
        <w:tc>
          <w:tcPr>
            <w:tcW w:w="4202" w:type="dxa"/>
            <w:tcBorders>
              <w:top w:val="single" w:sz="4" w:space="0" w:color="1B556B" w:themeColor="text2"/>
              <w:bottom w:val="single" w:sz="4" w:space="0" w:color="1B556B" w:themeColor="text2"/>
            </w:tcBorders>
            <w:shd w:val="clear" w:color="auto" w:fill="auto"/>
          </w:tcPr>
          <w:p w14:paraId="3BBEF728" w14:textId="77777777" w:rsidR="0010265C" w:rsidRPr="00261B7A" w:rsidRDefault="0010265C" w:rsidP="00D41492">
            <w:pPr>
              <w:pStyle w:val="TableText"/>
              <w:keepNext/>
              <w:spacing w:before="40" w:after="40"/>
              <w:rPr>
                <w:rFonts w:eastAsia="Arial Bold"/>
              </w:rPr>
            </w:pPr>
            <w:r w:rsidRPr="00261B7A">
              <w:rPr>
                <w:rFonts w:eastAsia="Arial Bold"/>
              </w:rPr>
              <w:t xml:space="preserve">Open water </w:t>
            </w:r>
          </w:p>
        </w:tc>
      </w:tr>
      <w:tr w:rsidR="0010265C" w:rsidRPr="00261B7A" w14:paraId="61B81479" w14:textId="77777777" w:rsidTr="008B0EFE">
        <w:tc>
          <w:tcPr>
            <w:tcW w:w="2427" w:type="dxa"/>
            <w:tcBorders>
              <w:top w:val="nil"/>
              <w:bottom w:val="single" w:sz="4" w:space="0" w:color="1B556B" w:themeColor="text2"/>
              <w:right w:val="nil"/>
            </w:tcBorders>
            <w:shd w:val="clear" w:color="auto" w:fill="auto"/>
          </w:tcPr>
          <w:p w14:paraId="6C318AF7" w14:textId="77777777" w:rsidR="0010265C" w:rsidRPr="00261B7A" w:rsidRDefault="0010265C" w:rsidP="00D41492">
            <w:pPr>
              <w:pStyle w:val="TableText"/>
              <w:spacing w:before="40" w:after="40"/>
            </w:pPr>
          </w:p>
        </w:tc>
        <w:tc>
          <w:tcPr>
            <w:tcW w:w="4202" w:type="dxa"/>
            <w:tcBorders>
              <w:top w:val="single" w:sz="4" w:space="0" w:color="1B556B" w:themeColor="text2"/>
              <w:bottom w:val="single" w:sz="4" w:space="0" w:color="1B556B" w:themeColor="text2"/>
            </w:tcBorders>
            <w:shd w:val="clear" w:color="auto" w:fill="auto"/>
          </w:tcPr>
          <w:p w14:paraId="43AD12D3" w14:textId="77777777" w:rsidR="0010265C" w:rsidRPr="00261B7A" w:rsidRDefault="0010265C" w:rsidP="00D41492">
            <w:pPr>
              <w:pStyle w:val="TableText"/>
              <w:keepNext/>
              <w:spacing w:before="40" w:after="40"/>
              <w:rPr>
                <w:rFonts w:eastAsia="Arial Bold"/>
              </w:rPr>
            </w:pPr>
            <w:r w:rsidRPr="00261B7A">
              <w:rPr>
                <w:rFonts w:eastAsia="Arial Bold"/>
              </w:rPr>
              <w:t>Vegetated wetland</w:t>
            </w:r>
          </w:p>
        </w:tc>
      </w:tr>
      <w:tr w:rsidR="0010265C" w:rsidRPr="00261B7A" w14:paraId="0E1CE8CE" w14:textId="77777777" w:rsidTr="008B0EFE">
        <w:tc>
          <w:tcPr>
            <w:tcW w:w="2427" w:type="dxa"/>
            <w:tcBorders>
              <w:top w:val="single" w:sz="4" w:space="0" w:color="1B556B" w:themeColor="text2"/>
              <w:bottom w:val="single" w:sz="4" w:space="0" w:color="1B556B" w:themeColor="text2"/>
              <w:right w:val="nil"/>
            </w:tcBorders>
            <w:shd w:val="clear" w:color="auto" w:fill="auto"/>
          </w:tcPr>
          <w:p w14:paraId="6DF64E68" w14:textId="77777777" w:rsidR="0010265C" w:rsidRPr="00261B7A" w:rsidRDefault="0010265C" w:rsidP="00D41492">
            <w:pPr>
              <w:pStyle w:val="TableText"/>
              <w:spacing w:before="40" w:after="40"/>
              <w:rPr>
                <w:rFonts w:eastAsia="Arial Bold"/>
              </w:rPr>
            </w:pPr>
            <w:r w:rsidRPr="00261B7A">
              <w:rPr>
                <w:rFonts w:eastAsia="Arial Bold"/>
              </w:rPr>
              <w:t>Settlements</w:t>
            </w:r>
          </w:p>
        </w:tc>
        <w:tc>
          <w:tcPr>
            <w:tcW w:w="4202" w:type="dxa"/>
            <w:tcBorders>
              <w:top w:val="single" w:sz="4" w:space="0" w:color="1B556B" w:themeColor="text2"/>
              <w:bottom w:val="single" w:sz="4" w:space="0" w:color="1B556B" w:themeColor="text2"/>
            </w:tcBorders>
            <w:shd w:val="clear" w:color="auto" w:fill="auto"/>
          </w:tcPr>
          <w:p w14:paraId="1D2ACD91" w14:textId="77777777" w:rsidR="0010265C" w:rsidRPr="00261B7A" w:rsidRDefault="0010265C" w:rsidP="00D41492">
            <w:pPr>
              <w:pStyle w:val="TableText"/>
              <w:spacing w:before="40" w:after="40"/>
              <w:rPr>
                <w:rFonts w:eastAsia="Arial Bold"/>
              </w:rPr>
            </w:pPr>
            <w:r w:rsidRPr="00261B7A">
              <w:rPr>
                <w:rFonts w:eastAsia="Arial Bold"/>
              </w:rPr>
              <w:t>Settlements</w:t>
            </w:r>
          </w:p>
        </w:tc>
      </w:tr>
      <w:tr w:rsidR="0010265C" w:rsidRPr="00261B7A" w14:paraId="53081BD2" w14:textId="77777777" w:rsidTr="008B0EFE">
        <w:tc>
          <w:tcPr>
            <w:tcW w:w="2427" w:type="dxa"/>
            <w:tcBorders>
              <w:top w:val="single" w:sz="4" w:space="0" w:color="1B556B" w:themeColor="text2"/>
              <w:bottom w:val="single" w:sz="4" w:space="0" w:color="1B556B" w:themeColor="text2"/>
              <w:right w:val="nil"/>
            </w:tcBorders>
            <w:shd w:val="clear" w:color="auto" w:fill="auto"/>
          </w:tcPr>
          <w:p w14:paraId="061BD200" w14:textId="77777777" w:rsidR="0010265C" w:rsidRPr="00261B7A" w:rsidRDefault="0010265C" w:rsidP="00D41492">
            <w:pPr>
              <w:pStyle w:val="TableText"/>
              <w:spacing w:before="40" w:after="40"/>
              <w:rPr>
                <w:rFonts w:eastAsia="Arial Bold"/>
              </w:rPr>
            </w:pPr>
            <w:r w:rsidRPr="00261B7A">
              <w:rPr>
                <w:rFonts w:eastAsia="Arial Bold"/>
              </w:rPr>
              <w:t>Other land</w:t>
            </w:r>
          </w:p>
        </w:tc>
        <w:tc>
          <w:tcPr>
            <w:tcW w:w="4202" w:type="dxa"/>
            <w:tcBorders>
              <w:top w:val="single" w:sz="4" w:space="0" w:color="1B556B" w:themeColor="text2"/>
              <w:bottom w:val="single" w:sz="4" w:space="0" w:color="1B556B" w:themeColor="text2"/>
            </w:tcBorders>
            <w:shd w:val="clear" w:color="auto" w:fill="auto"/>
          </w:tcPr>
          <w:p w14:paraId="7453EF16" w14:textId="77777777" w:rsidR="0010265C" w:rsidRPr="00261B7A" w:rsidRDefault="0010265C" w:rsidP="00D41492">
            <w:pPr>
              <w:pStyle w:val="TableText"/>
              <w:spacing w:before="40" w:after="40"/>
              <w:rPr>
                <w:rFonts w:eastAsia="Arial Bold"/>
              </w:rPr>
            </w:pPr>
            <w:r w:rsidRPr="00261B7A">
              <w:rPr>
                <w:rFonts w:eastAsia="Arial Bold"/>
              </w:rPr>
              <w:t>Other land</w:t>
            </w:r>
          </w:p>
        </w:tc>
      </w:tr>
    </w:tbl>
    <w:p w14:paraId="792038CD" w14:textId="77777777" w:rsidR="0010265C" w:rsidRPr="00261B7A" w:rsidRDefault="0010265C" w:rsidP="0010265C">
      <w:pPr>
        <w:pStyle w:val="Noteundertable"/>
        <w:spacing w:after="0"/>
      </w:pPr>
      <w:r w:rsidRPr="00261B7A">
        <w:rPr>
          <w:b/>
        </w:rPr>
        <w:t>Note:</w:t>
      </w:r>
      <w:r w:rsidRPr="00261B7A">
        <w:tab/>
        <w:t>(1) Mapped as a single land use but stratified into ‘post-1989 natural forest’ and ‘post-1989 planted forest’ for calculating carbon stock and stock change using data from the plot network.</w:t>
      </w:r>
    </w:p>
    <w:p w14:paraId="643017CB" w14:textId="77777777" w:rsidR="0010265C" w:rsidRPr="00261B7A" w:rsidRDefault="0010265C" w:rsidP="0010265C">
      <w:pPr>
        <w:pStyle w:val="BodyText"/>
        <w:spacing w:after="100"/>
      </w:pPr>
      <w:r w:rsidRPr="00261B7A">
        <w:t>The land uses were chosen for their conformance with the dominant types in New Zealand, while still enabling reporting under the land use categories specified in the 2006 IPCC Guidelines</w:t>
      </w:r>
      <w:r w:rsidRPr="00261B7A" w:rsidDel="00663F9D">
        <w:t xml:space="preserve"> </w:t>
      </w:r>
      <w:r w:rsidRPr="00261B7A">
        <w:t xml:space="preserve">(IPCC, 2006a). </w:t>
      </w:r>
    </w:p>
    <w:p w14:paraId="240DA263" w14:textId="77777777" w:rsidR="0010265C" w:rsidRPr="00261B7A" w:rsidRDefault="0010265C" w:rsidP="0010265C">
      <w:pPr>
        <w:pStyle w:val="BodyText"/>
        <w:spacing w:before="100" w:after="100"/>
      </w:pPr>
      <w:r w:rsidRPr="00261B7A">
        <w:t xml:space="preserve">The national thresholds used by New Zealand to define </w:t>
      </w:r>
      <w:r w:rsidRPr="00261B7A">
        <w:rPr>
          <w:i/>
        </w:rPr>
        <w:t>Forest land</w:t>
      </w:r>
      <w:r w:rsidRPr="00261B7A">
        <w:t xml:space="preserve"> are: </w:t>
      </w:r>
    </w:p>
    <w:p w14:paraId="3A1B6910" w14:textId="77777777" w:rsidR="0010265C" w:rsidRPr="00261B7A" w:rsidRDefault="0010265C" w:rsidP="00294EC5">
      <w:pPr>
        <w:pStyle w:val="Bullet"/>
        <w:numPr>
          <w:ilvl w:val="0"/>
          <w:numId w:val="25"/>
        </w:numPr>
        <w:spacing w:after="100"/>
        <w:ind w:left="397" w:hanging="397"/>
      </w:pPr>
      <w:r w:rsidRPr="00261B7A">
        <w:t>a minimum area of 1 hectare</w:t>
      </w:r>
    </w:p>
    <w:p w14:paraId="489A4E06" w14:textId="77777777" w:rsidR="0010265C" w:rsidRPr="00261B7A" w:rsidRDefault="0010265C" w:rsidP="00294EC5">
      <w:pPr>
        <w:pStyle w:val="Bullet"/>
        <w:numPr>
          <w:ilvl w:val="0"/>
          <w:numId w:val="25"/>
        </w:numPr>
        <w:spacing w:after="100"/>
        <w:ind w:left="397" w:hanging="397"/>
      </w:pPr>
      <w:r w:rsidRPr="00261B7A">
        <w:t>a crown cover of at least 30 per cent</w:t>
      </w:r>
    </w:p>
    <w:p w14:paraId="62B01365" w14:textId="77777777" w:rsidR="0010265C" w:rsidRPr="00261B7A" w:rsidRDefault="0010265C" w:rsidP="00294EC5">
      <w:pPr>
        <w:pStyle w:val="Bullet"/>
        <w:numPr>
          <w:ilvl w:val="0"/>
          <w:numId w:val="25"/>
        </w:numPr>
        <w:spacing w:after="100"/>
        <w:ind w:left="397" w:hanging="397"/>
      </w:pPr>
      <w:r w:rsidRPr="00261B7A">
        <w:t xml:space="preserve">a minimum height of 5 metres at maturity </w:t>
      </w:r>
      <w:r w:rsidRPr="00261B7A">
        <w:rPr>
          <w:i/>
          <w:iCs/>
        </w:rPr>
        <w:t>in situ</w:t>
      </w:r>
      <w:r w:rsidRPr="00261B7A">
        <w:t xml:space="preserve"> (Ministry for the Environment, 2006)</w:t>
      </w:r>
    </w:p>
    <w:p w14:paraId="17E4F404" w14:textId="77777777" w:rsidR="0010265C" w:rsidRPr="00261B7A" w:rsidRDefault="0010265C" w:rsidP="00294EC5">
      <w:pPr>
        <w:pStyle w:val="Bullet"/>
        <w:numPr>
          <w:ilvl w:val="0"/>
          <w:numId w:val="25"/>
        </w:numPr>
        <w:ind w:left="397" w:hanging="397"/>
      </w:pPr>
      <w:r w:rsidRPr="00261B7A">
        <w:t xml:space="preserve">a minimum forest width of 30 metres from canopy edge to canopy edge. </w:t>
      </w:r>
    </w:p>
    <w:p w14:paraId="45720DA0" w14:textId="77777777" w:rsidR="0010265C" w:rsidRPr="00261B7A" w:rsidRDefault="0010265C" w:rsidP="0010265C">
      <w:pPr>
        <w:pStyle w:val="BodyText"/>
        <w:spacing w:before="100" w:after="100"/>
      </w:pPr>
      <w:r w:rsidRPr="00261B7A">
        <w:t xml:space="preserve">The definitions of New Zealand’s land uses, as they have been mapped, are provided in table 6.2.3. Further details are included in </w:t>
      </w:r>
      <w:r w:rsidRPr="00261B7A">
        <w:rPr>
          <w:i/>
        </w:rPr>
        <w:t>Land Use and Carbon Analysis System:</w:t>
      </w:r>
      <w:r w:rsidRPr="00261B7A">
        <w:t xml:space="preserve"> </w:t>
      </w:r>
      <w:r w:rsidRPr="00261B7A">
        <w:rPr>
          <w:i/>
        </w:rPr>
        <w:t xml:space="preserve">Satellite imagery interpretation guide for land use classes </w:t>
      </w:r>
      <w:r w:rsidRPr="00261B7A">
        <w:t>(2nd edition) (Ministry for the Environment, 2012).</w:t>
      </w:r>
    </w:p>
    <w:p w14:paraId="43819A9A" w14:textId="77777777" w:rsidR="0010265C" w:rsidRPr="00261B7A" w:rsidRDefault="0010265C" w:rsidP="0012053C">
      <w:pPr>
        <w:pStyle w:val="Table"/>
      </w:pPr>
      <w:bookmarkStart w:id="1545" w:name="_Toc280630452"/>
      <w:bookmarkStart w:id="1546" w:name="_Toc310423400"/>
      <w:bookmarkStart w:id="1547" w:name="_Toc318362693"/>
      <w:bookmarkStart w:id="1548" w:name="_Toc342470755"/>
      <w:bookmarkStart w:id="1549" w:name="_Toc352504995"/>
      <w:bookmarkStart w:id="1550" w:name="_Toc361645343"/>
      <w:bookmarkStart w:id="1551" w:name="_Toc378853281"/>
      <w:bookmarkStart w:id="1552" w:name="_Toc391024079"/>
      <w:bookmarkStart w:id="1553" w:name="_Toc410028822"/>
      <w:bookmarkStart w:id="1554" w:name="_Toc414531450"/>
      <w:bookmarkStart w:id="1555" w:name="_Toc443645363"/>
      <w:bookmarkStart w:id="1556" w:name="_Toc474914582"/>
      <w:bookmarkStart w:id="1557" w:name="_Toc481751546"/>
      <w:bookmarkStart w:id="1558" w:name="_Toc522010603"/>
      <w:bookmarkStart w:id="1559" w:name="_Toc5269508"/>
      <w:bookmarkStart w:id="1560" w:name="_Toc33529384"/>
      <w:bookmarkStart w:id="1561" w:name="_Toc36224590"/>
      <w:bookmarkStart w:id="1562" w:name="_Toc65243585"/>
      <w:bookmarkStart w:id="1563" w:name="_Toc131591390"/>
      <w:r w:rsidRPr="00261B7A">
        <w:t>Table 6.2.3</w:t>
      </w:r>
      <w:r w:rsidRPr="00261B7A">
        <w:tab/>
        <w:t>New Zealand’s mapping definitions for each land use</w:t>
      </w:r>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p>
    <w:tbl>
      <w:tblPr>
        <w:tblW w:w="8505" w:type="dxa"/>
        <w:tblLook w:val="01E0" w:firstRow="1" w:lastRow="1" w:firstColumn="1" w:lastColumn="1" w:noHBand="0" w:noVBand="0"/>
      </w:tblPr>
      <w:tblGrid>
        <w:gridCol w:w="1276"/>
        <w:gridCol w:w="7229"/>
      </w:tblGrid>
      <w:tr w:rsidR="0010265C" w:rsidRPr="00261B7A" w14:paraId="79ABF953" w14:textId="77777777" w:rsidTr="008B0EFE">
        <w:trPr>
          <w:tblHeader/>
        </w:trPr>
        <w:tc>
          <w:tcPr>
            <w:tcW w:w="1276" w:type="dxa"/>
            <w:tcBorders>
              <w:top w:val="single" w:sz="4" w:space="0" w:color="1B556B" w:themeColor="text2"/>
              <w:bottom w:val="single" w:sz="4" w:space="0" w:color="1B556B" w:themeColor="text2"/>
            </w:tcBorders>
            <w:shd w:val="clear" w:color="auto" w:fill="1B556B" w:themeFill="text2"/>
          </w:tcPr>
          <w:p w14:paraId="5E14D9DD" w14:textId="77777777" w:rsidR="0010265C" w:rsidRPr="00261B7A" w:rsidRDefault="0010265C" w:rsidP="00D41492">
            <w:pPr>
              <w:pStyle w:val="TableTextBold"/>
              <w:rPr>
                <w:noProof w:val="0"/>
                <w:color w:val="FFFFFF"/>
              </w:rPr>
            </w:pPr>
            <w:r w:rsidRPr="00261B7A">
              <w:rPr>
                <w:noProof w:val="0"/>
                <w:color w:val="FFFFFF"/>
              </w:rPr>
              <w:t>Land use</w:t>
            </w:r>
          </w:p>
        </w:tc>
        <w:tc>
          <w:tcPr>
            <w:tcW w:w="7229" w:type="dxa"/>
            <w:tcBorders>
              <w:top w:val="single" w:sz="4" w:space="0" w:color="1B556B" w:themeColor="text2"/>
              <w:bottom w:val="single" w:sz="4" w:space="0" w:color="1B556B" w:themeColor="text2"/>
            </w:tcBorders>
            <w:shd w:val="clear" w:color="auto" w:fill="1B556B" w:themeFill="text2"/>
            <w:vAlign w:val="bottom"/>
          </w:tcPr>
          <w:p w14:paraId="60F6DDE8" w14:textId="77777777" w:rsidR="0010265C" w:rsidRPr="00261B7A" w:rsidRDefault="0010265C" w:rsidP="00D41492">
            <w:pPr>
              <w:pStyle w:val="TableTextBold"/>
              <w:rPr>
                <w:noProof w:val="0"/>
                <w:color w:val="FFFFFF"/>
              </w:rPr>
            </w:pPr>
            <w:r w:rsidRPr="00261B7A">
              <w:rPr>
                <w:noProof w:val="0"/>
                <w:color w:val="FFFFFF"/>
              </w:rPr>
              <w:t>Definition</w:t>
            </w:r>
          </w:p>
        </w:tc>
      </w:tr>
      <w:tr w:rsidR="0010265C" w:rsidRPr="00261B7A" w14:paraId="17D6C527" w14:textId="77777777" w:rsidTr="008B0EFE">
        <w:tc>
          <w:tcPr>
            <w:tcW w:w="1276" w:type="dxa"/>
            <w:tcBorders>
              <w:top w:val="single" w:sz="4" w:space="0" w:color="1B556B" w:themeColor="text2"/>
              <w:bottom w:val="single" w:sz="4" w:space="0" w:color="1B556B" w:themeColor="text2"/>
            </w:tcBorders>
          </w:tcPr>
          <w:p w14:paraId="5588E282" w14:textId="77777777" w:rsidR="0010265C" w:rsidRPr="00261B7A" w:rsidRDefault="0010265C" w:rsidP="00D41492">
            <w:pPr>
              <w:pStyle w:val="TableText"/>
              <w:rPr>
                <w:b/>
              </w:rPr>
            </w:pPr>
            <w:r w:rsidRPr="00261B7A">
              <w:rPr>
                <w:b/>
              </w:rPr>
              <w:t xml:space="preserve">Pre-1990 natural forest </w:t>
            </w:r>
          </w:p>
        </w:tc>
        <w:tc>
          <w:tcPr>
            <w:tcW w:w="7229" w:type="dxa"/>
            <w:tcBorders>
              <w:top w:val="single" w:sz="4" w:space="0" w:color="1B556B" w:themeColor="text2"/>
              <w:bottom w:val="single" w:sz="4" w:space="0" w:color="1B556B" w:themeColor="text2"/>
            </w:tcBorders>
          </w:tcPr>
          <w:p w14:paraId="7F666AB7" w14:textId="77777777" w:rsidR="0010265C" w:rsidRPr="00261B7A" w:rsidRDefault="0010265C" w:rsidP="00D41492">
            <w:pPr>
              <w:pStyle w:val="TableText"/>
              <w:spacing w:after="40"/>
            </w:pPr>
            <w:r w:rsidRPr="00261B7A">
              <w:t>Areas that, on 1 January 1990, were and presently include:</w:t>
            </w:r>
          </w:p>
          <w:p w14:paraId="1718F85A" w14:textId="77777777" w:rsidR="0010265C" w:rsidRPr="00261B7A" w:rsidRDefault="0010265C" w:rsidP="0010265C">
            <w:pPr>
              <w:pStyle w:val="TableBullet"/>
              <w:spacing w:before="0" w:after="40"/>
            </w:pPr>
            <w:r w:rsidRPr="00261B7A">
              <w:t xml:space="preserve">tall indigenous forest </w:t>
            </w:r>
          </w:p>
          <w:p w14:paraId="33FC5090" w14:textId="77777777" w:rsidR="0010265C" w:rsidRPr="00261B7A" w:rsidRDefault="0010265C" w:rsidP="0010265C">
            <w:pPr>
              <w:pStyle w:val="TableBullet"/>
              <w:spacing w:before="0" w:after="40"/>
            </w:pPr>
            <w:r w:rsidRPr="00261B7A">
              <w:t>self-sown exotic trees, such as wilding pines and grey willows (where managed as forest)</w:t>
            </w:r>
          </w:p>
          <w:p w14:paraId="71AB832B" w14:textId="77777777" w:rsidR="0010265C" w:rsidRPr="00261B7A" w:rsidRDefault="0010265C" w:rsidP="0010265C">
            <w:pPr>
              <w:pStyle w:val="TableBullet"/>
              <w:spacing w:before="0" w:after="40"/>
            </w:pPr>
            <w:r w:rsidRPr="00261B7A">
              <w:t>broadleaved hardwood shrubland, kānuka–mānuka (</w:t>
            </w:r>
            <w:r w:rsidRPr="00261B7A">
              <w:rPr>
                <w:i/>
              </w:rPr>
              <w:t>Leptospermum</w:t>
            </w:r>
            <w:r w:rsidRPr="00261B7A">
              <w:t xml:space="preserve"> </w:t>
            </w:r>
            <w:r w:rsidRPr="00261B7A">
              <w:rPr>
                <w:i/>
              </w:rPr>
              <w:t>scoparium</w:t>
            </w:r>
            <w:r w:rsidRPr="00261B7A">
              <w:t>–</w:t>
            </w:r>
            <w:r w:rsidRPr="00261B7A">
              <w:rPr>
                <w:i/>
              </w:rPr>
              <w:t>Kunzea</w:t>
            </w:r>
            <w:r w:rsidRPr="00261B7A">
              <w:t xml:space="preserve"> spp.) shrubland and other woody shrubland (≥30 per cent cover, with potential to reach ≥5 metres at maturity </w:t>
            </w:r>
            <w:r w:rsidRPr="00261B7A">
              <w:rPr>
                <w:i/>
              </w:rPr>
              <w:t>in situ</w:t>
            </w:r>
            <w:r w:rsidRPr="00261B7A">
              <w:t xml:space="preserve"> under current land management within 30–40 years)</w:t>
            </w:r>
          </w:p>
          <w:p w14:paraId="5BD4072C" w14:textId="77777777" w:rsidR="0010265C" w:rsidRPr="00261B7A" w:rsidRDefault="0010265C" w:rsidP="0010265C">
            <w:pPr>
              <w:pStyle w:val="TableBullet"/>
              <w:spacing w:before="0" w:after="40"/>
            </w:pPr>
            <w:r w:rsidRPr="00261B7A">
              <w:t xml:space="preserve">areas of bare ground of any size that were previously forested but, due to natural disturbances (e.g., erosion, storms, fire), have temporarily lost vegetation cover </w:t>
            </w:r>
          </w:p>
          <w:p w14:paraId="70241B3E" w14:textId="77777777" w:rsidR="0010265C" w:rsidRPr="00261B7A" w:rsidRDefault="0010265C" w:rsidP="0010265C">
            <w:pPr>
              <w:pStyle w:val="TableBullet"/>
              <w:spacing w:before="0" w:after="40"/>
            </w:pPr>
            <w:r w:rsidRPr="00261B7A">
              <w:t xml:space="preserve">areas that were planted forest at 1990 but are subsequently managed to regenerate with natural species that will meet the forest definition </w:t>
            </w:r>
          </w:p>
          <w:p w14:paraId="343607D2" w14:textId="77777777" w:rsidR="0010265C" w:rsidRPr="00261B7A" w:rsidRDefault="0010265C" w:rsidP="0010265C">
            <w:pPr>
              <w:pStyle w:val="TableBullet"/>
              <w:spacing w:before="0"/>
            </w:pPr>
            <w:r w:rsidRPr="00261B7A">
              <w:t>roads and tracks less than 30 metres in width and other temporarily unstocked areas associated with a forest land use.</w:t>
            </w:r>
          </w:p>
        </w:tc>
      </w:tr>
      <w:tr w:rsidR="0010265C" w:rsidRPr="00261B7A" w14:paraId="44BF4DA8" w14:textId="77777777" w:rsidTr="008B0EFE">
        <w:tc>
          <w:tcPr>
            <w:tcW w:w="1276" w:type="dxa"/>
            <w:tcBorders>
              <w:top w:val="single" w:sz="4" w:space="0" w:color="1B556B" w:themeColor="text2"/>
              <w:bottom w:val="single" w:sz="4" w:space="0" w:color="365F91"/>
            </w:tcBorders>
          </w:tcPr>
          <w:p w14:paraId="2556360C" w14:textId="77777777" w:rsidR="0010265C" w:rsidRPr="00261B7A" w:rsidRDefault="0010265C" w:rsidP="002D1B99">
            <w:pPr>
              <w:pStyle w:val="TableText"/>
              <w:spacing w:before="40"/>
              <w:rPr>
                <w:b/>
              </w:rPr>
            </w:pPr>
            <w:r w:rsidRPr="00261B7A">
              <w:rPr>
                <w:b/>
              </w:rPr>
              <w:t>Pre-1990 planted forest</w:t>
            </w:r>
          </w:p>
        </w:tc>
        <w:tc>
          <w:tcPr>
            <w:tcW w:w="7229" w:type="dxa"/>
            <w:tcBorders>
              <w:top w:val="single" w:sz="4" w:space="0" w:color="1B556B" w:themeColor="text2"/>
              <w:bottom w:val="single" w:sz="4" w:space="0" w:color="365F91"/>
            </w:tcBorders>
          </w:tcPr>
          <w:p w14:paraId="77642BC5" w14:textId="77777777" w:rsidR="0010265C" w:rsidRPr="00261B7A" w:rsidRDefault="0010265C" w:rsidP="002D1B99">
            <w:pPr>
              <w:pStyle w:val="TableText"/>
              <w:spacing w:before="40" w:after="40"/>
            </w:pPr>
            <w:r w:rsidRPr="00261B7A">
              <w:t>Areas that, on 1 January 1990, were and presently include:</w:t>
            </w:r>
          </w:p>
          <w:p w14:paraId="58F0145C" w14:textId="77777777" w:rsidR="0010265C" w:rsidRPr="00261B7A" w:rsidRDefault="0010265C" w:rsidP="0010265C">
            <w:pPr>
              <w:pStyle w:val="TableBullet"/>
              <w:spacing w:before="0" w:after="40"/>
            </w:pPr>
            <w:r w:rsidRPr="00261B7A">
              <w:t>radiata pine (</w:t>
            </w:r>
            <w:r w:rsidRPr="00261B7A">
              <w:rPr>
                <w:i/>
              </w:rPr>
              <w:t>Pinus radiata</w:t>
            </w:r>
            <w:r w:rsidRPr="00261B7A">
              <w:t>), Douglas fir (</w:t>
            </w:r>
            <w:r w:rsidRPr="00261B7A">
              <w:rPr>
                <w:i/>
              </w:rPr>
              <w:t>Pseudotsuga menziesii</w:t>
            </w:r>
            <w:r w:rsidRPr="00261B7A">
              <w:t>), eucalypts (</w:t>
            </w:r>
            <w:r w:rsidRPr="00261B7A">
              <w:rPr>
                <w:i/>
              </w:rPr>
              <w:t xml:space="preserve">Eucalyptus </w:t>
            </w:r>
            <w:r w:rsidRPr="00261B7A">
              <w:t xml:space="preserve">spp.) or other planted species (with potential to reach ≥5 metre height at maturity </w:t>
            </w:r>
            <w:r w:rsidRPr="00261B7A">
              <w:rPr>
                <w:i/>
              </w:rPr>
              <w:t>in situ</w:t>
            </w:r>
            <w:r w:rsidRPr="00261B7A">
              <w:t>) established before 1 January 1990 or replanted on land that was forest land as at 31 December 1989</w:t>
            </w:r>
          </w:p>
          <w:p w14:paraId="0D49E790" w14:textId="77777777" w:rsidR="0010265C" w:rsidRPr="00261B7A" w:rsidRDefault="0010265C" w:rsidP="0010265C">
            <w:pPr>
              <w:pStyle w:val="TableBullet"/>
              <w:spacing w:before="0" w:after="40"/>
            </w:pPr>
            <w:r w:rsidRPr="00261B7A">
              <w:t>exotic forest species that were planted after 31 December 1989 on land that was natural forest</w:t>
            </w:r>
          </w:p>
          <w:p w14:paraId="6745467E" w14:textId="77777777" w:rsidR="0010265C" w:rsidRPr="00261B7A" w:rsidRDefault="0010265C" w:rsidP="0010265C">
            <w:pPr>
              <w:pStyle w:val="TableBullet"/>
              <w:spacing w:before="0" w:after="40"/>
            </w:pPr>
            <w:r w:rsidRPr="00261B7A">
              <w:t>riparian or erosion control plantings that meet the forest definition and that were planted before 1 January 1990</w:t>
            </w:r>
          </w:p>
          <w:p w14:paraId="67AE3F0A" w14:textId="77777777" w:rsidR="0010265C" w:rsidRPr="00261B7A" w:rsidRDefault="0010265C" w:rsidP="0010265C">
            <w:pPr>
              <w:pStyle w:val="TableBullet"/>
              <w:spacing w:before="0" w:after="40"/>
            </w:pPr>
            <w:r w:rsidRPr="00261B7A">
              <w:t>harvested areas within pre-1990 planted forest (assuming these will be replanted, unless deforestation is later detected)</w:t>
            </w:r>
          </w:p>
          <w:p w14:paraId="22B558B9" w14:textId="77777777" w:rsidR="0010265C" w:rsidRPr="00261B7A" w:rsidRDefault="0010265C" w:rsidP="0010265C">
            <w:pPr>
              <w:pStyle w:val="TableBullet"/>
              <w:spacing w:before="0" w:after="40"/>
            </w:pPr>
            <w:r w:rsidRPr="00261B7A">
              <w:t xml:space="preserve">roads, tracks, skid sites and other temporarily unstocked areas less than 30 metres in width associated with a forest land use </w:t>
            </w:r>
          </w:p>
          <w:p w14:paraId="22196EE0" w14:textId="77777777" w:rsidR="0010265C" w:rsidRPr="00261B7A" w:rsidRDefault="0010265C" w:rsidP="006527D0">
            <w:pPr>
              <w:pStyle w:val="TableBullet"/>
              <w:spacing w:before="0" w:after="40"/>
            </w:pPr>
            <w:r w:rsidRPr="00261B7A">
              <w:t>areas of bare ground of any size that were previously forested at 31 December 1989 but, due to natural disturbances (e.g., erosion, storms, fire), have lost vegetation cover.</w:t>
            </w:r>
          </w:p>
        </w:tc>
      </w:tr>
      <w:tr w:rsidR="0010265C" w:rsidRPr="00261B7A" w14:paraId="06C82B8A" w14:textId="77777777" w:rsidTr="008B0EFE">
        <w:tc>
          <w:tcPr>
            <w:tcW w:w="1276" w:type="dxa"/>
            <w:tcBorders>
              <w:top w:val="single" w:sz="4" w:space="0" w:color="365F91"/>
              <w:bottom w:val="single" w:sz="4" w:space="0" w:color="365F91"/>
            </w:tcBorders>
          </w:tcPr>
          <w:p w14:paraId="7A130E67" w14:textId="77777777" w:rsidR="0010265C" w:rsidRPr="00261B7A" w:rsidRDefault="0010265C" w:rsidP="002D1B99">
            <w:pPr>
              <w:pStyle w:val="TableText"/>
              <w:spacing w:before="40"/>
              <w:rPr>
                <w:b/>
              </w:rPr>
            </w:pPr>
            <w:r w:rsidRPr="00261B7A">
              <w:rPr>
                <w:b/>
              </w:rPr>
              <w:t xml:space="preserve">Post-1989 forest </w:t>
            </w:r>
          </w:p>
        </w:tc>
        <w:tc>
          <w:tcPr>
            <w:tcW w:w="7229" w:type="dxa"/>
            <w:tcBorders>
              <w:top w:val="single" w:sz="4" w:space="0" w:color="365F91"/>
              <w:bottom w:val="single" w:sz="4" w:space="0" w:color="365F91"/>
            </w:tcBorders>
          </w:tcPr>
          <w:p w14:paraId="481C8698" w14:textId="77777777" w:rsidR="0010265C" w:rsidRPr="00261B7A" w:rsidRDefault="0010265C" w:rsidP="002D1B99">
            <w:pPr>
              <w:pStyle w:val="TableText"/>
              <w:spacing w:before="40" w:after="40"/>
            </w:pPr>
            <w:r w:rsidRPr="00261B7A">
              <w:t>Includes post-1989 planted forest, which consists of:</w:t>
            </w:r>
          </w:p>
          <w:p w14:paraId="096454C2" w14:textId="77777777" w:rsidR="0010265C" w:rsidRPr="00261B7A" w:rsidRDefault="0010265C" w:rsidP="002D1B99">
            <w:pPr>
              <w:pStyle w:val="TableBullet"/>
              <w:spacing w:before="0" w:after="20"/>
            </w:pPr>
            <w:r w:rsidRPr="00261B7A">
              <w:t>exotic forest (with the potential to reach ≥5 metre height at maturity</w:t>
            </w:r>
            <w:r w:rsidRPr="00261B7A">
              <w:rPr>
                <w:i/>
              </w:rPr>
              <w:t xml:space="preserve"> in situ</w:t>
            </w:r>
            <w:r w:rsidRPr="00261B7A">
              <w:t>) planted or established on land that was non-forest land as at 31 December 1989 (e.g., radiata pine, Douglas fir, eucalypts or other planted species)</w:t>
            </w:r>
          </w:p>
          <w:p w14:paraId="69143A4A" w14:textId="77777777" w:rsidR="0010265C" w:rsidRPr="00261B7A" w:rsidRDefault="0010265C" w:rsidP="002D1B99">
            <w:pPr>
              <w:pStyle w:val="TableBullet"/>
              <w:spacing w:before="0" w:after="20"/>
            </w:pPr>
            <w:r w:rsidRPr="00261B7A">
              <w:t>riparian or erosion control plantings that meet the forest definition and that were planted after 31 December 1989</w:t>
            </w:r>
          </w:p>
          <w:p w14:paraId="480D2257" w14:textId="77777777" w:rsidR="0010265C" w:rsidRPr="00261B7A" w:rsidRDefault="0010265C" w:rsidP="0010265C">
            <w:pPr>
              <w:pStyle w:val="TableBullet"/>
              <w:spacing w:before="0" w:after="0"/>
            </w:pPr>
            <w:r w:rsidRPr="00261B7A">
              <w:t>harvested areas within post-1989 forest land (assuming these will be replanted, unless deforestation is later detected).</w:t>
            </w:r>
          </w:p>
          <w:p w14:paraId="3AEB4E4E" w14:textId="77777777" w:rsidR="0010265C" w:rsidRPr="00261B7A" w:rsidRDefault="0010265C" w:rsidP="00D41492">
            <w:pPr>
              <w:pStyle w:val="TableText"/>
              <w:spacing w:after="40"/>
            </w:pPr>
            <w:r w:rsidRPr="00261B7A">
              <w:t>Includes post-1989 natural forest, which consists of:</w:t>
            </w:r>
          </w:p>
          <w:p w14:paraId="7027D2FC" w14:textId="77777777" w:rsidR="0010265C" w:rsidRPr="00261B7A" w:rsidRDefault="0010265C" w:rsidP="002D1B99">
            <w:pPr>
              <w:pStyle w:val="TableBullet"/>
              <w:spacing w:before="0" w:after="20"/>
            </w:pPr>
            <w:r w:rsidRPr="00261B7A">
              <w:t>forests arising from natural regeneration of indigenous tree species as a result of management change after 31 December 1989</w:t>
            </w:r>
          </w:p>
          <w:p w14:paraId="42D606C8" w14:textId="77777777" w:rsidR="0010265C" w:rsidRPr="00261B7A" w:rsidRDefault="0010265C" w:rsidP="002D1B99">
            <w:pPr>
              <w:pStyle w:val="TableBullet"/>
              <w:spacing w:before="0" w:after="20"/>
            </w:pPr>
            <w:r w:rsidRPr="00261B7A">
              <w:t>self-sown exotic trees, such as wilding conifers or grey willows, established after 31 December 1989 (where managed as forest).</w:t>
            </w:r>
          </w:p>
          <w:p w14:paraId="27CEFC9A" w14:textId="77777777" w:rsidR="0010265C" w:rsidRPr="00261B7A" w:rsidRDefault="0010265C" w:rsidP="002D1B99">
            <w:pPr>
              <w:pStyle w:val="TableText"/>
              <w:spacing w:before="40" w:after="40"/>
            </w:pPr>
            <w:r w:rsidRPr="00261B7A">
              <w:t>Includes areas within post-1989 natural forest or post-1989 planted forest that are:</w:t>
            </w:r>
          </w:p>
          <w:p w14:paraId="4ABD6088" w14:textId="77777777" w:rsidR="0010265C" w:rsidRPr="00261B7A" w:rsidRDefault="0010265C" w:rsidP="0010265C">
            <w:pPr>
              <w:pStyle w:val="TableBullet"/>
              <w:spacing w:before="0" w:after="40"/>
            </w:pPr>
            <w:r w:rsidRPr="00261B7A">
              <w:t>roads, tracks, skid sites and other temporarily unstocked areas associated with a forest land use</w:t>
            </w:r>
          </w:p>
          <w:p w14:paraId="5E2D3146" w14:textId="77777777" w:rsidR="0010265C" w:rsidRPr="00261B7A" w:rsidRDefault="0010265C" w:rsidP="002D1B99">
            <w:pPr>
              <w:pStyle w:val="TableBullet"/>
              <w:spacing w:before="0" w:after="40"/>
            </w:pPr>
            <w:r w:rsidRPr="00261B7A">
              <w:t>areas of bare ground of any size that were previously forested (established after 31 December 1989) but, due to natural disturbances (e.g., erosion, storms, fire), have lost vegetation cover.</w:t>
            </w:r>
          </w:p>
        </w:tc>
      </w:tr>
      <w:tr w:rsidR="0010265C" w:rsidRPr="00261B7A" w14:paraId="698C71F7" w14:textId="77777777" w:rsidTr="008B0EFE">
        <w:tc>
          <w:tcPr>
            <w:tcW w:w="1276" w:type="dxa"/>
            <w:tcBorders>
              <w:top w:val="single" w:sz="4" w:space="0" w:color="365F91"/>
              <w:bottom w:val="single" w:sz="4" w:space="0" w:color="365F91"/>
            </w:tcBorders>
          </w:tcPr>
          <w:p w14:paraId="483B1032" w14:textId="77777777" w:rsidR="0010265C" w:rsidRPr="00261B7A" w:rsidRDefault="0010265C" w:rsidP="002D1B99">
            <w:pPr>
              <w:pStyle w:val="TableText"/>
              <w:spacing w:before="40"/>
              <w:rPr>
                <w:b/>
              </w:rPr>
            </w:pPr>
            <w:r w:rsidRPr="00261B7A">
              <w:rPr>
                <w:b/>
              </w:rPr>
              <w:t>Annual cropland</w:t>
            </w:r>
          </w:p>
        </w:tc>
        <w:tc>
          <w:tcPr>
            <w:tcW w:w="7229" w:type="dxa"/>
            <w:tcBorders>
              <w:top w:val="single" w:sz="4" w:space="0" w:color="365F91"/>
              <w:bottom w:val="single" w:sz="4" w:space="0" w:color="365F91"/>
            </w:tcBorders>
          </w:tcPr>
          <w:p w14:paraId="1CE91772" w14:textId="77777777" w:rsidR="0010265C" w:rsidRPr="00261B7A" w:rsidRDefault="0010265C" w:rsidP="002D1B99">
            <w:pPr>
              <w:pStyle w:val="TableText"/>
              <w:spacing w:before="40" w:after="20"/>
            </w:pPr>
            <w:r w:rsidRPr="00261B7A">
              <w:t>Includes:</w:t>
            </w:r>
          </w:p>
          <w:p w14:paraId="35353C9E" w14:textId="77777777" w:rsidR="0010265C" w:rsidRPr="00261B7A" w:rsidRDefault="0010265C" w:rsidP="002D1B99">
            <w:pPr>
              <w:pStyle w:val="TableBullet"/>
              <w:spacing w:before="0" w:after="20"/>
            </w:pPr>
            <w:r w:rsidRPr="00261B7A">
              <w:t>all annual crops</w:t>
            </w:r>
          </w:p>
          <w:p w14:paraId="566348D2" w14:textId="77777777" w:rsidR="0010265C" w:rsidRPr="00261B7A" w:rsidRDefault="0010265C" w:rsidP="002D1B99">
            <w:pPr>
              <w:pStyle w:val="TableBullet"/>
              <w:spacing w:before="0" w:after="20"/>
            </w:pPr>
            <w:r w:rsidRPr="00261B7A">
              <w:t>all cultivated bare ground</w:t>
            </w:r>
          </w:p>
          <w:p w14:paraId="39ED8ECF" w14:textId="77777777" w:rsidR="0010265C" w:rsidRPr="00261B7A" w:rsidRDefault="0010265C" w:rsidP="0010265C">
            <w:pPr>
              <w:pStyle w:val="TableBullet"/>
              <w:spacing w:before="0"/>
            </w:pPr>
            <w:r w:rsidRPr="00261B7A">
              <w:t>linear shelterbelts associated with annual cropland.</w:t>
            </w:r>
          </w:p>
        </w:tc>
      </w:tr>
      <w:tr w:rsidR="0010265C" w:rsidRPr="00261B7A" w14:paraId="38C2F019" w14:textId="77777777" w:rsidTr="008B0EFE">
        <w:tc>
          <w:tcPr>
            <w:tcW w:w="1276" w:type="dxa"/>
            <w:tcBorders>
              <w:top w:val="single" w:sz="4" w:space="0" w:color="365F91"/>
              <w:bottom w:val="single" w:sz="4" w:space="0" w:color="365F91"/>
            </w:tcBorders>
          </w:tcPr>
          <w:p w14:paraId="4BFCF79B" w14:textId="77777777" w:rsidR="0010265C" w:rsidRPr="00261B7A" w:rsidRDefault="0010265C" w:rsidP="002D1B99">
            <w:pPr>
              <w:pStyle w:val="TableText"/>
              <w:spacing w:before="40"/>
              <w:rPr>
                <w:b/>
              </w:rPr>
            </w:pPr>
            <w:r w:rsidRPr="00261B7A">
              <w:rPr>
                <w:b/>
              </w:rPr>
              <w:t>Perennial cropland</w:t>
            </w:r>
          </w:p>
        </w:tc>
        <w:tc>
          <w:tcPr>
            <w:tcW w:w="7229" w:type="dxa"/>
            <w:tcBorders>
              <w:top w:val="single" w:sz="4" w:space="0" w:color="365F91"/>
              <w:bottom w:val="single" w:sz="4" w:space="0" w:color="365F91"/>
            </w:tcBorders>
          </w:tcPr>
          <w:p w14:paraId="42B3DE35" w14:textId="77777777" w:rsidR="0010265C" w:rsidRPr="00261B7A" w:rsidRDefault="0010265C" w:rsidP="002D1B99">
            <w:pPr>
              <w:pStyle w:val="TableText"/>
              <w:spacing w:before="40" w:after="20"/>
            </w:pPr>
            <w:r w:rsidRPr="00261B7A">
              <w:t>Includes:</w:t>
            </w:r>
          </w:p>
          <w:p w14:paraId="09607C7C" w14:textId="77777777" w:rsidR="0010265C" w:rsidRPr="00261B7A" w:rsidRDefault="0010265C" w:rsidP="002D1B99">
            <w:pPr>
              <w:pStyle w:val="TableBullet"/>
              <w:spacing w:before="0" w:after="20"/>
            </w:pPr>
            <w:r w:rsidRPr="00261B7A">
              <w:t>all orchards and vineyards</w:t>
            </w:r>
          </w:p>
          <w:p w14:paraId="559463BB" w14:textId="77777777" w:rsidR="0010265C" w:rsidRPr="00261B7A" w:rsidRDefault="0010265C" w:rsidP="002D1B99">
            <w:pPr>
              <w:pStyle w:val="TableBullet"/>
              <w:spacing w:before="0" w:after="40"/>
            </w:pPr>
            <w:r w:rsidRPr="00261B7A">
              <w:t>linear shelterbelts associated with perennial cropland.</w:t>
            </w:r>
          </w:p>
        </w:tc>
      </w:tr>
      <w:tr w:rsidR="0010265C" w:rsidRPr="00261B7A" w14:paraId="402B6992" w14:textId="77777777" w:rsidTr="008B0EFE">
        <w:tc>
          <w:tcPr>
            <w:tcW w:w="1276" w:type="dxa"/>
            <w:tcBorders>
              <w:top w:val="single" w:sz="4" w:space="0" w:color="365F91"/>
              <w:bottom w:val="single" w:sz="4" w:space="0" w:color="365F91"/>
            </w:tcBorders>
          </w:tcPr>
          <w:p w14:paraId="2981CFE4" w14:textId="77777777" w:rsidR="0010265C" w:rsidRPr="00261B7A" w:rsidRDefault="0010265C" w:rsidP="00D41492">
            <w:pPr>
              <w:pStyle w:val="TableText"/>
              <w:rPr>
                <w:b/>
              </w:rPr>
            </w:pPr>
            <w:r w:rsidRPr="00261B7A">
              <w:rPr>
                <w:b/>
              </w:rPr>
              <w:t>High producing grassland</w:t>
            </w:r>
          </w:p>
        </w:tc>
        <w:tc>
          <w:tcPr>
            <w:tcW w:w="7229" w:type="dxa"/>
            <w:tcBorders>
              <w:top w:val="single" w:sz="4" w:space="0" w:color="365F91"/>
              <w:bottom w:val="single" w:sz="4" w:space="0" w:color="365F91"/>
            </w:tcBorders>
          </w:tcPr>
          <w:p w14:paraId="74112B60" w14:textId="77777777" w:rsidR="0010265C" w:rsidRPr="00261B7A" w:rsidRDefault="0010265C" w:rsidP="00BC0C35">
            <w:pPr>
              <w:pStyle w:val="TableText"/>
              <w:spacing w:after="20"/>
            </w:pPr>
            <w:r w:rsidRPr="00261B7A">
              <w:t>Includes:</w:t>
            </w:r>
          </w:p>
          <w:p w14:paraId="51BA0200" w14:textId="77777777" w:rsidR="0010265C" w:rsidRPr="00261B7A" w:rsidRDefault="0010265C" w:rsidP="00BC0C35">
            <w:pPr>
              <w:pStyle w:val="TableBullet"/>
              <w:spacing w:before="0" w:after="20"/>
            </w:pPr>
            <w:r w:rsidRPr="00261B7A">
              <w:t>grassland with high-quality pasture species</w:t>
            </w:r>
          </w:p>
          <w:p w14:paraId="67EBAB37" w14:textId="77777777" w:rsidR="0010265C" w:rsidRPr="00261B7A" w:rsidRDefault="0010265C" w:rsidP="00BC0C35">
            <w:pPr>
              <w:pStyle w:val="TableBullet"/>
              <w:spacing w:before="0" w:after="20"/>
            </w:pPr>
            <w:r w:rsidRPr="00261B7A">
              <w:t>linear shelterbelts that are &lt;1 hectare in area or &lt;30 metres in mean width (larger shelterbelts are mapped separately as grassland with woody biomass)</w:t>
            </w:r>
          </w:p>
          <w:p w14:paraId="5714486D" w14:textId="77777777" w:rsidR="0010265C" w:rsidRPr="00261B7A" w:rsidRDefault="0010265C" w:rsidP="0010265C">
            <w:pPr>
              <w:pStyle w:val="TableBullet"/>
              <w:spacing w:before="0"/>
            </w:pPr>
            <w:r w:rsidRPr="00261B7A">
              <w:t>areas of bare ground of any size that were previously grassland but, due to natural disturbances (e.g., erosion), have lost vegetation cover.</w:t>
            </w:r>
          </w:p>
        </w:tc>
      </w:tr>
      <w:tr w:rsidR="0010265C" w:rsidRPr="00261B7A" w14:paraId="58D47CEF" w14:textId="77777777" w:rsidTr="008B0EFE">
        <w:tc>
          <w:tcPr>
            <w:tcW w:w="1276" w:type="dxa"/>
            <w:tcBorders>
              <w:top w:val="single" w:sz="4" w:space="0" w:color="365F91"/>
              <w:bottom w:val="single" w:sz="4" w:space="0" w:color="365F91"/>
            </w:tcBorders>
          </w:tcPr>
          <w:p w14:paraId="5C7DD610" w14:textId="77777777" w:rsidR="0010265C" w:rsidRPr="00261B7A" w:rsidRDefault="0010265C" w:rsidP="00D41492">
            <w:pPr>
              <w:pStyle w:val="TableText"/>
              <w:rPr>
                <w:b/>
              </w:rPr>
            </w:pPr>
            <w:r w:rsidRPr="00261B7A">
              <w:rPr>
                <w:b/>
              </w:rPr>
              <w:t>Low producing grassland</w:t>
            </w:r>
          </w:p>
        </w:tc>
        <w:tc>
          <w:tcPr>
            <w:tcW w:w="7229" w:type="dxa"/>
            <w:tcBorders>
              <w:top w:val="single" w:sz="4" w:space="0" w:color="365F91"/>
              <w:bottom w:val="single" w:sz="4" w:space="0" w:color="365F91"/>
            </w:tcBorders>
          </w:tcPr>
          <w:p w14:paraId="6289FD5A" w14:textId="77777777" w:rsidR="0010265C" w:rsidRPr="00261B7A" w:rsidRDefault="0010265C" w:rsidP="00BC0C35">
            <w:pPr>
              <w:pStyle w:val="TableText"/>
              <w:spacing w:after="20"/>
            </w:pPr>
            <w:r w:rsidRPr="00261B7A">
              <w:t>Includes:</w:t>
            </w:r>
          </w:p>
          <w:p w14:paraId="62C941DB" w14:textId="77777777" w:rsidR="0010265C" w:rsidRPr="00261B7A" w:rsidRDefault="0010265C" w:rsidP="00BC0C35">
            <w:pPr>
              <w:pStyle w:val="TableBullet"/>
              <w:spacing w:before="0" w:after="20"/>
            </w:pPr>
            <w:r w:rsidRPr="00261B7A">
              <w:t xml:space="preserve">low-fertility grassland and tussock grasslands (e.g., </w:t>
            </w:r>
            <w:r w:rsidRPr="00261B7A">
              <w:rPr>
                <w:i/>
              </w:rPr>
              <w:t>Chionochloa</w:t>
            </w:r>
            <w:r w:rsidRPr="00261B7A">
              <w:t xml:space="preserve"> and </w:t>
            </w:r>
            <w:r w:rsidRPr="00261B7A">
              <w:rPr>
                <w:i/>
              </w:rPr>
              <w:t xml:space="preserve">Festuca </w:t>
            </w:r>
            <w:r w:rsidRPr="00261B7A">
              <w:t>spp.)</w:t>
            </w:r>
          </w:p>
          <w:p w14:paraId="5DF0586E" w14:textId="77777777" w:rsidR="0010265C" w:rsidRPr="00261B7A" w:rsidRDefault="0010265C" w:rsidP="00BC0C35">
            <w:pPr>
              <w:pStyle w:val="TableBullet"/>
              <w:spacing w:before="0" w:after="20"/>
            </w:pPr>
            <w:r w:rsidRPr="00261B7A">
              <w:t>mostly hill country</w:t>
            </w:r>
          </w:p>
          <w:p w14:paraId="687D670C" w14:textId="77777777" w:rsidR="0010265C" w:rsidRPr="00261B7A" w:rsidRDefault="0010265C" w:rsidP="00BC0C35">
            <w:pPr>
              <w:pStyle w:val="TableBullet"/>
              <w:spacing w:before="0" w:after="20"/>
            </w:pPr>
            <w:r w:rsidRPr="00261B7A">
              <w:t>montane herbfields either at an altitude higher than above-timberline vegetation or where the herbfields are not mixed up with woody vegetation</w:t>
            </w:r>
          </w:p>
          <w:p w14:paraId="2DE73790" w14:textId="77777777" w:rsidR="0010265C" w:rsidRPr="00261B7A" w:rsidRDefault="0010265C" w:rsidP="00BC0C35">
            <w:pPr>
              <w:pStyle w:val="TableBullet"/>
              <w:spacing w:before="0" w:after="20"/>
            </w:pPr>
            <w:r w:rsidRPr="00261B7A">
              <w:t>linear shelterbelts that are &lt;1 hectare in area or &lt;30 metres in mean width (larger shelterbelts are mapped separately as grassland with woody biomass)</w:t>
            </w:r>
          </w:p>
          <w:p w14:paraId="1A4B60FD" w14:textId="77777777" w:rsidR="0010265C" w:rsidRPr="00261B7A" w:rsidRDefault="0010265C" w:rsidP="0010265C">
            <w:pPr>
              <w:pStyle w:val="TableBullet"/>
              <w:spacing w:before="0"/>
            </w:pPr>
            <w:r w:rsidRPr="00261B7A">
              <w:t>other areas of limited vegetation cover and significant bare soil, including erosion and coastal herbaceous sand-dune vegetation.</w:t>
            </w:r>
          </w:p>
        </w:tc>
      </w:tr>
      <w:tr w:rsidR="0010265C" w:rsidRPr="00261B7A" w14:paraId="6202FA0E" w14:textId="77777777" w:rsidTr="008B0EFE">
        <w:tc>
          <w:tcPr>
            <w:tcW w:w="1276" w:type="dxa"/>
            <w:tcBorders>
              <w:top w:val="single" w:sz="4" w:space="0" w:color="365F91"/>
              <w:bottom w:val="single" w:sz="4" w:space="0" w:color="365F91"/>
            </w:tcBorders>
          </w:tcPr>
          <w:p w14:paraId="6AC9D169" w14:textId="77777777" w:rsidR="0010265C" w:rsidRPr="00261B7A" w:rsidRDefault="0010265C" w:rsidP="00D41492">
            <w:pPr>
              <w:pStyle w:val="TableText"/>
              <w:rPr>
                <w:b/>
              </w:rPr>
            </w:pPr>
            <w:r w:rsidRPr="00261B7A">
              <w:rPr>
                <w:b/>
              </w:rPr>
              <w:t>Grassland with woody biomass</w:t>
            </w:r>
          </w:p>
        </w:tc>
        <w:tc>
          <w:tcPr>
            <w:tcW w:w="7229" w:type="dxa"/>
            <w:tcBorders>
              <w:top w:val="single" w:sz="4" w:space="0" w:color="365F91"/>
              <w:bottom w:val="single" w:sz="4" w:space="0" w:color="365F91"/>
            </w:tcBorders>
          </w:tcPr>
          <w:p w14:paraId="5B739B42" w14:textId="77777777" w:rsidR="0010265C" w:rsidRPr="00261B7A" w:rsidRDefault="0010265C" w:rsidP="00D41492">
            <w:pPr>
              <w:pStyle w:val="TableText"/>
              <w:spacing w:after="40"/>
            </w:pPr>
            <w:r w:rsidRPr="00261B7A">
              <w:t>Includes:</w:t>
            </w:r>
          </w:p>
          <w:p w14:paraId="7D182563" w14:textId="77777777" w:rsidR="0010265C" w:rsidRPr="00261B7A" w:rsidRDefault="0010265C" w:rsidP="0010265C">
            <w:pPr>
              <w:pStyle w:val="TableBullet"/>
              <w:spacing w:before="0" w:after="40"/>
            </w:pPr>
            <w:r w:rsidRPr="00261B7A">
              <w:t>grassland with matagouri (</w:t>
            </w:r>
            <w:r w:rsidRPr="00261B7A">
              <w:rPr>
                <w:i/>
              </w:rPr>
              <w:t>Discaria toumatou</w:t>
            </w:r>
            <w:r w:rsidRPr="00261B7A">
              <w:t>) and sweet briar (</w:t>
            </w:r>
            <w:r w:rsidRPr="00261B7A">
              <w:rPr>
                <w:i/>
              </w:rPr>
              <w:t>Rosa rubiginosa</w:t>
            </w:r>
            <w:r w:rsidRPr="00261B7A">
              <w:t xml:space="preserve">), broadleaved hardwood shrubland (e.g., māhoe – </w:t>
            </w:r>
            <w:r w:rsidRPr="00261B7A">
              <w:rPr>
                <w:i/>
              </w:rPr>
              <w:t>Melicytus ramiflorus</w:t>
            </w:r>
            <w:r w:rsidRPr="00261B7A">
              <w:t>), wineberry (</w:t>
            </w:r>
            <w:r w:rsidRPr="00261B7A">
              <w:rPr>
                <w:i/>
              </w:rPr>
              <w:t>Aristotelia serrata</w:t>
            </w:r>
            <w:r w:rsidRPr="00261B7A">
              <w:t xml:space="preserve">), </w:t>
            </w:r>
            <w:r w:rsidRPr="00261B7A">
              <w:rPr>
                <w:i/>
              </w:rPr>
              <w:t>Pseudopanax</w:t>
            </w:r>
            <w:r w:rsidRPr="00261B7A">
              <w:t xml:space="preserve"> spp., </w:t>
            </w:r>
            <w:r w:rsidRPr="00261B7A">
              <w:rPr>
                <w:i/>
              </w:rPr>
              <w:t>Pittosporum</w:t>
            </w:r>
            <w:r w:rsidRPr="00261B7A">
              <w:t xml:space="preserve"> spp.), kānuka–mānuka (</w:t>
            </w:r>
            <w:r w:rsidRPr="00261B7A">
              <w:rPr>
                <w:i/>
              </w:rPr>
              <w:t>Leptospermum</w:t>
            </w:r>
            <w:r w:rsidRPr="00261B7A">
              <w:t xml:space="preserve"> </w:t>
            </w:r>
            <w:r w:rsidRPr="00261B7A">
              <w:rPr>
                <w:i/>
              </w:rPr>
              <w:t>scoparium</w:t>
            </w:r>
            <w:r w:rsidRPr="00261B7A">
              <w:t>–</w:t>
            </w:r>
            <w:r w:rsidRPr="00261B7A">
              <w:rPr>
                <w:i/>
              </w:rPr>
              <w:t>Kunzea</w:t>
            </w:r>
            <w:r w:rsidRPr="00261B7A">
              <w:t xml:space="preserve"> spp.) shrubland, coastal and other woody shrubland (&lt;5 metres tall and any percentage of cover) where, under current management or environmental conditions (climate and/or soil), it is expected that the forest criteria will not be met over a 30- to 40-year period</w:t>
            </w:r>
          </w:p>
          <w:p w14:paraId="225F552E" w14:textId="77777777" w:rsidR="0010265C" w:rsidRPr="00261B7A" w:rsidRDefault="0010265C" w:rsidP="00D013BA">
            <w:pPr>
              <w:pStyle w:val="TableBullet"/>
              <w:spacing w:before="0" w:after="20"/>
            </w:pPr>
            <w:r w:rsidRPr="00261B7A">
              <w:t>above-timberline shrubland vegetation intermixed with montane herbfields (does not have the potential to reach &gt;5 metres in height</w:t>
            </w:r>
            <w:r w:rsidRPr="00261B7A">
              <w:rPr>
                <w:i/>
              </w:rPr>
              <w:t xml:space="preserve"> in situ</w:t>
            </w:r>
            <w:r w:rsidRPr="00261B7A">
              <w:t>)</w:t>
            </w:r>
          </w:p>
          <w:p w14:paraId="3E539642" w14:textId="77777777" w:rsidR="0010265C" w:rsidRPr="00261B7A" w:rsidRDefault="0010265C" w:rsidP="00D013BA">
            <w:pPr>
              <w:pStyle w:val="TableBullet"/>
              <w:spacing w:before="0" w:after="20"/>
            </w:pPr>
            <w:r w:rsidRPr="00261B7A">
              <w:t>grassland with tall tree species (&lt;30 per cent cover), such as golf courses in rural areas (except where the Land Cover Database has classified these as settlements)</w:t>
            </w:r>
          </w:p>
          <w:p w14:paraId="27B845EF" w14:textId="77777777" w:rsidR="0010265C" w:rsidRPr="00261B7A" w:rsidRDefault="0010265C" w:rsidP="00D013BA">
            <w:pPr>
              <w:pStyle w:val="TableBullet"/>
              <w:spacing w:before="0" w:after="20"/>
            </w:pPr>
            <w:r w:rsidRPr="00261B7A">
              <w:t>grassland with riparian or erosion control plantings (&lt;30 per cent cover)</w:t>
            </w:r>
          </w:p>
          <w:p w14:paraId="635FA123" w14:textId="77777777" w:rsidR="0010265C" w:rsidRPr="00261B7A" w:rsidRDefault="0010265C" w:rsidP="00D013BA">
            <w:pPr>
              <w:pStyle w:val="TableBullet"/>
              <w:spacing w:before="0" w:after="20"/>
            </w:pPr>
            <w:r w:rsidRPr="00261B7A">
              <w:t>linear shelterbelts that are &gt;1 hectare in area and &lt;30 metres in mean width</w:t>
            </w:r>
          </w:p>
          <w:p w14:paraId="66B5A835" w14:textId="77777777" w:rsidR="0010265C" w:rsidRPr="00261B7A" w:rsidRDefault="0010265C" w:rsidP="0010265C">
            <w:pPr>
              <w:pStyle w:val="TableBullet"/>
              <w:spacing w:before="0"/>
            </w:pPr>
            <w:r w:rsidRPr="00261B7A">
              <w:t>areas of bare ground of any size that previously contained grassland with woody biomass but, due to natural disturbances (e.g., erosion, fire), have lost vegetation cover.</w:t>
            </w:r>
          </w:p>
        </w:tc>
      </w:tr>
      <w:tr w:rsidR="0010265C" w:rsidRPr="00261B7A" w14:paraId="4F06E992" w14:textId="77777777" w:rsidTr="008B0EFE">
        <w:tc>
          <w:tcPr>
            <w:tcW w:w="1276" w:type="dxa"/>
            <w:tcBorders>
              <w:top w:val="single" w:sz="4" w:space="0" w:color="365F91"/>
              <w:bottom w:val="single" w:sz="4" w:space="0" w:color="365F91"/>
            </w:tcBorders>
          </w:tcPr>
          <w:p w14:paraId="273FCE25" w14:textId="77777777" w:rsidR="0010265C" w:rsidRPr="00261B7A" w:rsidRDefault="0010265C" w:rsidP="00D41492">
            <w:pPr>
              <w:pStyle w:val="TableText"/>
              <w:rPr>
                <w:b/>
              </w:rPr>
            </w:pPr>
            <w:r w:rsidRPr="00261B7A">
              <w:rPr>
                <w:b/>
              </w:rPr>
              <w:t>Open water</w:t>
            </w:r>
          </w:p>
        </w:tc>
        <w:tc>
          <w:tcPr>
            <w:tcW w:w="7229" w:type="dxa"/>
            <w:tcBorders>
              <w:top w:val="single" w:sz="4" w:space="0" w:color="365F91"/>
              <w:bottom w:val="single" w:sz="4" w:space="0" w:color="365F91"/>
            </w:tcBorders>
          </w:tcPr>
          <w:p w14:paraId="55D419DD" w14:textId="77777777" w:rsidR="0010265C" w:rsidRPr="00261B7A" w:rsidRDefault="0010265C" w:rsidP="00D013BA">
            <w:pPr>
              <w:pStyle w:val="TableText"/>
              <w:spacing w:after="20"/>
            </w:pPr>
            <w:r w:rsidRPr="00261B7A">
              <w:t>Includes:</w:t>
            </w:r>
          </w:p>
          <w:p w14:paraId="44F10482" w14:textId="77777777" w:rsidR="0010265C" w:rsidRPr="00261B7A" w:rsidRDefault="0010265C" w:rsidP="00D013BA">
            <w:pPr>
              <w:pStyle w:val="TableBullet"/>
              <w:spacing w:before="0" w:after="20"/>
            </w:pPr>
            <w:r w:rsidRPr="00261B7A">
              <w:t xml:space="preserve">lakes, rivers, dams and reservoirs </w:t>
            </w:r>
          </w:p>
          <w:p w14:paraId="6D46C52B" w14:textId="77777777" w:rsidR="0010265C" w:rsidRPr="00261B7A" w:rsidRDefault="0010265C" w:rsidP="0010265C">
            <w:pPr>
              <w:pStyle w:val="TableBullet"/>
              <w:spacing w:before="0"/>
            </w:pPr>
            <w:r w:rsidRPr="00261B7A">
              <w:t>estuarine–tidal areas including mangroves.</w:t>
            </w:r>
          </w:p>
        </w:tc>
      </w:tr>
      <w:tr w:rsidR="0010265C" w:rsidRPr="00261B7A" w14:paraId="3BE8509D" w14:textId="77777777" w:rsidTr="008B0EFE">
        <w:tc>
          <w:tcPr>
            <w:tcW w:w="1276" w:type="dxa"/>
            <w:tcBorders>
              <w:top w:val="single" w:sz="4" w:space="0" w:color="365F91"/>
              <w:bottom w:val="single" w:sz="4" w:space="0" w:color="365F91"/>
            </w:tcBorders>
          </w:tcPr>
          <w:p w14:paraId="573B760E" w14:textId="77777777" w:rsidR="0010265C" w:rsidRPr="00261B7A" w:rsidRDefault="0010265C" w:rsidP="00D41492">
            <w:pPr>
              <w:pStyle w:val="TableText"/>
              <w:rPr>
                <w:b/>
              </w:rPr>
            </w:pPr>
            <w:r w:rsidRPr="00261B7A">
              <w:rPr>
                <w:b/>
              </w:rPr>
              <w:t>Vegetated wetland</w:t>
            </w:r>
          </w:p>
        </w:tc>
        <w:tc>
          <w:tcPr>
            <w:tcW w:w="7229" w:type="dxa"/>
            <w:tcBorders>
              <w:top w:val="single" w:sz="4" w:space="0" w:color="365F91"/>
              <w:bottom w:val="single" w:sz="4" w:space="0" w:color="365F91"/>
            </w:tcBorders>
          </w:tcPr>
          <w:p w14:paraId="1F2CE622" w14:textId="77777777" w:rsidR="0010265C" w:rsidRPr="00261B7A" w:rsidRDefault="0010265C" w:rsidP="00D013BA">
            <w:pPr>
              <w:pStyle w:val="TableText"/>
              <w:spacing w:after="20"/>
            </w:pPr>
            <w:r w:rsidRPr="00261B7A">
              <w:t>Includes:</w:t>
            </w:r>
          </w:p>
          <w:p w14:paraId="1885612C" w14:textId="77777777" w:rsidR="0010265C" w:rsidRPr="00261B7A" w:rsidRDefault="0010265C" w:rsidP="00D013BA">
            <w:pPr>
              <w:pStyle w:val="TableBullet"/>
              <w:spacing w:before="0" w:after="20"/>
            </w:pPr>
            <w:r w:rsidRPr="00261B7A">
              <w:t xml:space="preserve">herbaceous and/or non-forest woody vegetation, including trees of any stature, in a wetland context (periodically or permanently flooded) </w:t>
            </w:r>
          </w:p>
          <w:p w14:paraId="4FED9F03" w14:textId="77777777" w:rsidR="0010265C" w:rsidRPr="00261B7A" w:rsidRDefault="0010265C" w:rsidP="00D013BA">
            <w:pPr>
              <w:pStyle w:val="TableBullet"/>
              <w:spacing w:before="0" w:after="20"/>
            </w:pPr>
            <w:r w:rsidRPr="00261B7A">
              <w:t>areas under peat extraction</w:t>
            </w:r>
          </w:p>
          <w:p w14:paraId="69FA219C" w14:textId="77777777" w:rsidR="0010265C" w:rsidRPr="00261B7A" w:rsidRDefault="0010265C" w:rsidP="0010265C">
            <w:pPr>
              <w:pStyle w:val="TableBullet"/>
              <w:spacing w:before="0"/>
            </w:pPr>
            <w:r w:rsidRPr="00261B7A">
              <w:t>estuarine–tidal areas including mangroves.</w:t>
            </w:r>
          </w:p>
        </w:tc>
      </w:tr>
      <w:tr w:rsidR="0010265C" w:rsidRPr="00261B7A" w14:paraId="6BFBAAC5" w14:textId="77777777" w:rsidTr="008B0EFE">
        <w:tc>
          <w:tcPr>
            <w:tcW w:w="1276" w:type="dxa"/>
            <w:tcBorders>
              <w:top w:val="single" w:sz="4" w:space="0" w:color="365F91"/>
              <w:bottom w:val="single" w:sz="4" w:space="0" w:color="365F91"/>
            </w:tcBorders>
          </w:tcPr>
          <w:p w14:paraId="5A6962F0" w14:textId="77777777" w:rsidR="0010265C" w:rsidRPr="00261B7A" w:rsidRDefault="0010265C" w:rsidP="00D41492">
            <w:pPr>
              <w:pStyle w:val="TableTextBold"/>
              <w:rPr>
                <w:noProof w:val="0"/>
              </w:rPr>
            </w:pPr>
            <w:r w:rsidRPr="00261B7A">
              <w:rPr>
                <w:noProof w:val="0"/>
              </w:rPr>
              <w:t>Settlements</w:t>
            </w:r>
          </w:p>
        </w:tc>
        <w:tc>
          <w:tcPr>
            <w:tcW w:w="7229" w:type="dxa"/>
            <w:tcBorders>
              <w:top w:val="single" w:sz="4" w:space="0" w:color="365F91"/>
              <w:bottom w:val="single" w:sz="4" w:space="0" w:color="365F91"/>
            </w:tcBorders>
          </w:tcPr>
          <w:p w14:paraId="18056B1B" w14:textId="77777777" w:rsidR="0010265C" w:rsidRPr="00261B7A" w:rsidRDefault="0010265C" w:rsidP="00D013BA">
            <w:pPr>
              <w:pStyle w:val="TableText"/>
              <w:spacing w:after="20"/>
            </w:pPr>
            <w:r w:rsidRPr="00261B7A">
              <w:t>Includes:</w:t>
            </w:r>
          </w:p>
          <w:p w14:paraId="22EA9D16" w14:textId="77777777" w:rsidR="0010265C" w:rsidRPr="00261B7A" w:rsidRDefault="0010265C" w:rsidP="00D013BA">
            <w:pPr>
              <w:pStyle w:val="TableBullet"/>
              <w:spacing w:before="0" w:after="20"/>
            </w:pPr>
            <w:r w:rsidRPr="00261B7A">
              <w:t>built-up areas and impervious surfaces</w:t>
            </w:r>
          </w:p>
          <w:p w14:paraId="1D992A43" w14:textId="77777777" w:rsidR="0010265C" w:rsidRPr="00261B7A" w:rsidRDefault="0010265C" w:rsidP="00D013BA">
            <w:pPr>
              <w:pStyle w:val="TableBullet"/>
              <w:spacing w:before="0" w:after="20"/>
            </w:pPr>
            <w:r w:rsidRPr="00261B7A">
              <w:t>grassland within ‘settlements’ including recreational areas, urban parklands and open spaces that do not meet the forest definition</w:t>
            </w:r>
          </w:p>
          <w:p w14:paraId="17F71AF1" w14:textId="77777777" w:rsidR="0010265C" w:rsidRPr="00261B7A" w:rsidRDefault="0010265C" w:rsidP="00D013BA">
            <w:pPr>
              <w:pStyle w:val="TableBullet"/>
              <w:spacing w:before="0" w:after="20"/>
            </w:pPr>
            <w:r w:rsidRPr="00261B7A">
              <w:t>major roading infrastructure</w:t>
            </w:r>
          </w:p>
          <w:p w14:paraId="7DD157C7" w14:textId="77777777" w:rsidR="0010265C" w:rsidRPr="00261B7A" w:rsidRDefault="0010265C" w:rsidP="00D013BA">
            <w:pPr>
              <w:pStyle w:val="TableBullet"/>
              <w:spacing w:before="0" w:after="20"/>
            </w:pPr>
            <w:r w:rsidRPr="00261B7A">
              <w:t>airports and runways</w:t>
            </w:r>
          </w:p>
          <w:p w14:paraId="63217164" w14:textId="77777777" w:rsidR="0010265C" w:rsidRPr="00261B7A" w:rsidRDefault="0010265C" w:rsidP="00D013BA">
            <w:pPr>
              <w:pStyle w:val="TableBullet"/>
              <w:spacing w:before="0" w:after="20"/>
            </w:pPr>
            <w:r w:rsidRPr="00261B7A">
              <w:t xml:space="preserve">dam infrastructure </w:t>
            </w:r>
          </w:p>
          <w:p w14:paraId="1507EC29" w14:textId="77777777" w:rsidR="0010265C" w:rsidRPr="00261B7A" w:rsidRDefault="0010265C" w:rsidP="0010265C">
            <w:pPr>
              <w:pStyle w:val="TableBullet"/>
              <w:spacing w:before="0"/>
            </w:pPr>
            <w:r w:rsidRPr="00261B7A">
              <w:t>urban subdivisions under construction.</w:t>
            </w:r>
          </w:p>
        </w:tc>
      </w:tr>
      <w:tr w:rsidR="0010265C" w:rsidRPr="00261B7A" w14:paraId="3291E51D" w14:textId="77777777" w:rsidTr="008B0EFE">
        <w:tc>
          <w:tcPr>
            <w:tcW w:w="1276" w:type="dxa"/>
            <w:tcBorders>
              <w:top w:val="single" w:sz="4" w:space="0" w:color="365F91"/>
              <w:bottom w:val="single" w:sz="4" w:space="0" w:color="365F91"/>
            </w:tcBorders>
          </w:tcPr>
          <w:p w14:paraId="30D34B84" w14:textId="77777777" w:rsidR="0010265C" w:rsidRPr="00261B7A" w:rsidRDefault="0010265C" w:rsidP="00D41492">
            <w:pPr>
              <w:pStyle w:val="TableText"/>
              <w:rPr>
                <w:b/>
              </w:rPr>
            </w:pPr>
            <w:r w:rsidRPr="00261B7A">
              <w:rPr>
                <w:b/>
              </w:rPr>
              <w:t>Other land</w:t>
            </w:r>
          </w:p>
        </w:tc>
        <w:tc>
          <w:tcPr>
            <w:tcW w:w="7229" w:type="dxa"/>
            <w:tcBorders>
              <w:top w:val="single" w:sz="4" w:space="0" w:color="365F91"/>
              <w:bottom w:val="single" w:sz="4" w:space="0" w:color="365F91"/>
            </w:tcBorders>
          </w:tcPr>
          <w:p w14:paraId="3504DBD9" w14:textId="77777777" w:rsidR="0010265C" w:rsidRPr="00261B7A" w:rsidRDefault="0010265C" w:rsidP="00D013BA">
            <w:pPr>
              <w:pStyle w:val="TableText"/>
              <w:spacing w:after="20"/>
            </w:pPr>
            <w:r w:rsidRPr="00261B7A">
              <w:t>Includes:</w:t>
            </w:r>
          </w:p>
          <w:p w14:paraId="1672E5F5" w14:textId="77777777" w:rsidR="0010265C" w:rsidRPr="00261B7A" w:rsidRDefault="0010265C" w:rsidP="00D013BA">
            <w:pPr>
              <w:pStyle w:val="TableBullet"/>
              <w:spacing w:before="0" w:after="20"/>
            </w:pPr>
            <w:r w:rsidRPr="00261B7A">
              <w:t>montane rock and/or scree</w:t>
            </w:r>
          </w:p>
          <w:p w14:paraId="50EC9E7A" w14:textId="77777777" w:rsidR="0010265C" w:rsidRPr="00261B7A" w:rsidRDefault="0010265C" w:rsidP="00D013BA">
            <w:pPr>
              <w:pStyle w:val="TableBullet"/>
              <w:spacing w:before="0" w:after="20"/>
            </w:pPr>
            <w:r w:rsidRPr="00261B7A">
              <w:t>river gravels, rocky outcrops, sand dunes and beaches, coastal cliffs, mines (including spoil), quarries</w:t>
            </w:r>
          </w:p>
          <w:p w14:paraId="20888A2F" w14:textId="77777777" w:rsidR="0010265C" w:rsidRPr="00261B7A" w:rsidRDefault="0010265C" w:rsidP="00D013BA">
            <w:pPr>
              <w:pStyle w:val="TableBullet"/>
              <w:spacing w:before="0" w:after="20"/>
            </w:pPr>
            <w:r w:rsidRPr="00261B7A">
              <w:t>permanent ice and/or snow and glaciers</w:t>
            </w:r>
          </w:p>
          <w:p w14:paraId="3129FB13" w14:textId="77777777" w:rsidR="0010265C" w:rsidRPr="00261B7A" w:rsidRDefault="0010265C" w:rsidP="0010265C">
            <w:pPr>
              <w:pStyle w:val="TableBullet"/>
              <w:spacing w:before="0"/>
            </w:pPr>
            <w:r w:rsidRPr="00261B7A">
              <w:t>any other remaining land that does not fall into any of the other land use categories as described in volume 4, section 3.2 of the 2006 IPCC Guidelines (IPCC, 2006a).</w:t>
            </w:r>
          </w:p>
        </w:tc>
      </w:tr>
    </w:tbl>
    <w:p w14:paraId="220F61E1" w14:textId="77777777" w:rsidR="0010265C" w:rsidRPr="00261B7A" w:rsidRDefault="0010265C" w:rsidP="00D013BA">
      <w:pPr>
        <w:pStyle w:val="Heading3"/>
        <w:spacing w:before="400"/>
      </w:pPr>
      <w:bookmarkStart w:id="1564" w:name="_Toc361645365"/>
      <w:r w:rsidRPr="00261B7A">
        <w:t>6.2.3</w:t>
      </w:r>
      <w:r w:rsidRPr="00261B7A">
        <w:tab/>
        <w:t>Methodological change</w:t>
      </w:r>
      <w:bookmarkEnd w:id="1564"/>
    </w:p>
    <w:p w14:paraId="432AAE22" w14:textId="77777777" w:rsidR="0010265C" w:rsidRPr="00261B7A" w:rsidRDefault="0010265C" w:rsidP="0010265C">
      <w:pPr>
        <w:pStyle w:val="BodyText"/>
        <w:spacing w:after="100"/>
      </w:pPr>
      <w:r w:rsidRPr="00261B7A">
        <w:t>For this submission, improvements have been made to the 1990, 2008, 2012 and 2016 land use maps. This year, improvements have focused on:</w:t>
      </w:r>
    </w:p>
    <w:p w14:paraId="57672D6F" w14:textId="77777777" w:rsidR="0010265C" w:rsidRPr="00261B7A" w:rsidRDefault="0010265C" w:rsidP="00294EC5">
      <w:pPr>
        <w:pStyle w:val="Bullet"/>
        <w:numPr>
          <w:ilvl w:val="0"/>
          <w:numId w:val="25"/>
        </w:numPr>
        <w:spacing w:after="100"/>
        <w:ind w:left="397" w:hanging="397"/>
      </w:pPr>
      <w:r w:rsidRPr="00261B7A">
        <w:t>updates to the extent of forest areas based on information from the NZ ETS and other forestry schemes, remapping of forest extent using deep learning techniques, and deforestation mapping</w:t>
      </w:r>
    </w:p>
    <w:p w14:paraId="2C46E86C" w14:textId="77777777" w:rsidR="0010265C" w:rsidRPr="00261B7A" w:rsidRDefault="0010265C" w:rsidP="00294EC5">
      <w:pPr>
        <w:pStyle w:val="Bullet"/>
        <w:numPr>
          <w:ilvl w:val="0"/>
          <w:numId w:val="25"/>
        </w:numPr>
        <w:spacing w:after="100"/>
        <w:ind w:left="397" w:hanging="397"/>
      </w:pPr>
      <w:r w:rsidRPr="00261B7A">
        <w:t xml:space="preserve">review and correction of the mapping of </w:t>
      </w:r>
      <w:r w:rsidRPr="00261B7A">
        <w:rPr>
          <w:i/>
        </w:rPr>
        <w:t>Other land</w:t>
      </w:r>
      <w:r w:rsidRPr="00261B7A">
        <w:t xml:space="preserve"> – in particular, implausible land-use changes involving </w:t>
      </w:r>
      <w:r w:rsidRPr="00261B7A">
        <w:rPr>
          <w:i/>
        </w:rPr>
        <w:t>Other land</w:t>
      </w:r>
      <w:r w:rsidRPr="00261B7A">
        <w:t xml:space="preserve">, such as </w:t>
      </w:r>
      <w:r w:rsidRPr="00261B7A">
        <w:rPr>
          <w:i/>
        </w:rPr>
        <w:t>Other land</w:t>
      </w:r>
      <w:r w:rsidRPr="00261B7A">
        <w:t xml:space="preserve"> changing to </w:t>
      </w:r>
      <w:r w:rsidRPr="00261B7A">
        <w:rPr>
          <w:i/>
        </w:rPr>
        <w:t>Perennial cropland</w:t>
      </w:r>
    </w:p>
    <w:p w14:paraId="374F3CB2" w14:textId="77777777" w:rsidR="0010265C" w:rsidRPr="00261B7A" w:rsidRDefault="0010265C" w:rsidP="00294EC5">
      <w:pPr>
        <w:pStyle w:val="Bullet"/>
        <w:numPr>
          <w:ilvl w:val="0"/>
          <w:numId w:val="25"/>
        </w:numPr>
        <w:spacing w:after="100"/>
        <w:ind w:left="397" w:hanging="397"/>
      </w:pPr>
      <w:r w:rsidRPr="00261B7A">
        <w:t>a small reduction in the total area of New Zealand (83 hectares) through the removal of some very small offshore islands that are well below the minimum mapping unit of 1 hectare.</w:t>
      </w:r>
    </w:p>
    <w:p w14:paraId="75D83ABF" w14:textId="77777777" w:rsidR="0010265C" w:rsidRPr="00261B7A" w:rsidRDefault="0010265C" w:rsidP="0010265C">
      <w:pPr>
        <w:pStyle w:val="Heading3"/>
        <w:spacing w:before="240"/>
      </w:pPr>
      <w:bookmarkStart w:id="1565" w:name="_Toc255466308"/>
      <w:bookmarkStart w:id="1566" w:name="_Toc261513115"/>
      <w:bookmarkStart w:id="1567" w:name="_Toc261513728"/>
      <w:bookmarkStart w:id="1568" w:name="_Toc280630238"/>
      <w:bookmarkStart w:id="1569" w:name="_Toc361645367"/>
      <w:r w:rsidRPr="00261B7A">
        <w:t>6.2.4</w:t>
      </w:r>
      <w:r w:rsidRPr="00261B7A">
        <w:tab/>
        <w:t>Quality assurance/quality control (QA/QC) and verification</w:t>
      </w:r>
      <w:bookmarkEnd w:id="1565"/>
      <w:bookmarkEnd w:id="1566"/>
      <w:bookmarkEnd w:id="1567"/>
      <w:bookmarkEnd w:id="1568"/>
      <w:bookmarkEnd w:id="1569"/>
    </w:p>
    <w:p w14:paraId="0352B989" w14:textId="77777777" w:rsidR="0010265C" w:rsidRPr="00261B7A" w:rsidRDefault="0010265C" w:rsidP="0010265C">
      <w:pPr>
        <w:pStyle w:val="BodyText"/>
        <w:spacing w:before="100" w:after="100"/>
      </w:pPr>
      <w:r w:rsidRPr="00261B7A">
        <w:t>Quality-control and quality-assurance procedures have been adopted for all data collection and data analyses, consistent with the 2006 IPCC Guidelines</w:t>
      </w:r>
      <w:r w:rsidRPr="00261B7A" w:rsidDel="00663F9D">
        <w:t xml:space="preserve"> </w:t>
      </w:r>
      <w:r w:rsidRPr="00261B7A">
        <w:t xml:space="preserve">(IPCC, 2006a) and New Zealand’s inventory quality-control and quality-assurance plan. Data quality and data assurance plans are established for each type of data used to determine carbon stock and stock changes, as well as for the mapping of the areal extent and spatial location of land-use changes. Further information on QA/QC procedures specific to mapping can be found in annex A3.2.1. </w:t>
      </w:r>
    </w:p>
    <w:p w14:paraId="17A471E5" w14:textId="77777777" w:rsidR="0010265C" w:rsidRPr="00261B7A" w:rsidRDefault="0010265C" w:rsidP="0010265C">
      <w:pPr>
        <w:pStyle w:val="Heading3"/>
      </w:pPr>
      <w:bookmarkStart w:id="1570" w:name="_Toc255466309"/>
      <w:bookmarkStart w:id="1571" w:name="_Toc261513116"/>
      <w:bookmarkStart w:id="1572" w:name="_Toc261513729"/>
      <w:bookmarkStart w:id="1573" w:name="_Toc280630239"/>
      <w:bookmarkStart w:id="1574" w:name="_Toc361645368"/>
      <w:r w:rsidRPr="00261B7A">
        <w:t>6.2.5</w:t>
      </w:r>
      <w:r w:rsidRPr="00261B7A">
        <w:tab/>
        <w:t>Planned improvements</w:t>
      </w:r>
      <w:bookmarkEnd w:id="1570"/>
      <w:bookmarkEnd w:id="1571"/>
      <w:bookmarkEnd w:id="1572"/>
      <w:bookmarkEnd w:id="1573"/>
      <w:bookmarkEnd w:id="1574"/>
    </w:p>
    <w:p w14:paraId="1AB22FB8" w14:textId="77777777" w:rsidR="0010265C" w:rsidRPr="00261B7A" w:rsidRDefault="0010265C" w:rsidP="00E24718">
      <w:pPr>
        <w:pStyle w:val="BodyText"/>
      </w:pPr>
      <w:r w:rsidRPr="00261B7A">
        <w:t>The 2020 land use map is due to be completed by June 2023. This map will be based on Sentinel-2 imagery acquired over the summer of 2020–21. It will provide another mapped data point in the time series and will include:</w:t>
      </w:r>
    </w:p>
    <w:p w14:paraId="40DD61F0" w14:textId="77777777" w:rsidR="0010265C" w:rsidRPr="00261B7A" w:rsidRDefault="0010265C" w:rsidP="00294EC5">
      <w:pPr>
        <w:pStyle w:val="Bullet"/>
        <w:numPr>
          <w:ilvl w:val="0"/>
          <w:numId w:val="25"/>
        </w:numPr>
        <w:ind w:left="397" w:hanging="397"/>
      </w:pPr>
      <w:r w:rsidRPr="00261B7A">
        <w:t>annual mapped deforestation up to and including 2020</w:t>
      </w:r>
    </w:p>
    <w:p w14:paraId="08030198" w14:textId="77777777" w:rsidR="0010265C" w:rsidRPr="00261B7A" w:rsidRDefault="0010265C" w:rsidP="00294EC5">
      <w:pPr>
        <w:pStyle w:val="Bullet"/>
        <w:numPr>
          <w:ilvl w:val="0"/>
          <w:numId w:val="25"/>
        </w:numPr>
        <w:ind w:left="397" w:hanging="397"/>
      </w:pPr>
      <w:r w:rsidRPr="00261B7A">
        <w:t>sub-classification of pre-1990 natural forest into tall forest and regenerating shrubland areas</w:t>
      </w:r>
    </w:p>
    <w:p w14:paraId="7660C9AE" w14:textId="77777777" w:rsidR="0010265C" w:rsidRPr="00261B7A" w:rsidRDefault="0010265C" w:rsidP="00294EC5">
      <w:pPr>
        <w:pStyle w:val="Bullet"/>
        <w:numPr>
          <w:ilvl w:val="0"/>
          <w:numId w:val="25"/>
        </w:numPr>
        <w:ind w:left="397" w:hanging="397"/>
      </w:pPr>
      <w:r w:rsidRPr="00261B7A">
        <w:t xml:space="preserve">all new land-use change occurring between 2016 and 2020 and identified in satellite imagery using change detection and deep learning methods </w:t>
      </w:r>
    </w:p>
    <w:p w14:paraId="7A261184" w14:textId="77777777" w:rsidR="0010265C" w:rsidRPr="00261B7A" w:rsidRDefault="0010265C" w:rsidP="00294EC5">
      <w:pPr>
        <w:pStyle w:val="Bullet"/>
        <w:numPr>
          <w:ilvl w:val="0"/>
          <w:numId w:val="25"/>
        </w:numPr>
        <w:ind w:left="397" w:hanging="397"/>
      </w:pPr>
      <w:r w:rsidRPr="00261B7A">
        <w:t xml:space="preserve">improved mapping of wetland extent based on regional wetland mapping. </w:t>
      </w:r>
    </w:p>
    <w:p w14:paraId="217AF828" w14:textId="77777777" w:rsidR="0010265C" w:rsidRPr="00261B7A" w:rsidRDefault="0010265C" w:rsidP="0010265C">
      <w:pPr>
        <w:pStyle w:val="Bullet"/>
        <w:numPr>
          <w:ilvl w:val="0"/>
          <w:numId w:val="0"/>
        </w:numPr>
        <w:spacing w:after="100"/>
      </w:pPr>
      <w:r w:rsidRPr="00261B7A">
        <w:t>Following the production of this map, the plan is to complete an accuracy assessment of the map series with a focus on the accuracy of land-use change mapping.</w:t>
      </w:r>
    </w:p>
    <w:p w14:paraId="058ECC1C" w14:textId="77777777" w:rsidR="0010265C" w:rsidRPr="00261B7A" w:rsidRDefault="0010265C" w:rsidP="00A638DC">
      <w:pPr>
        <w:pStyle w:val="Heading2"/>
      </w:pPr>
      <w:bookmarkStart w:id="1575" w:name="_Toc373395710"/>
      <w:bookmarkStart w:id="1576" w:name="_Toc391024700"/>
      <w:bookmarkStart w:id="1577" w:name="_Toc414531317"/>
      <w:bookmarkStart w:id="1578" w:name="_Toc474335459"/>
      <w:bookmarkStart w:id="1579" w:name="_Toc481751399"/>
      <w:bookmarkStart w:id="1580" w:name="_Toc522013951"/>
      <w:bookmarkStart w:id="1581" w:name="_Toc5269376"/>
      <w:bookmarkStart w:id="1582" w:name="_Toc36224416"/>
      <w:bookmarkStart w:id="1583" w:name="_Toc131591250"/>
      <w:r w:rsidRPr="00261B7A">
        <w:t>6.3</w:t>
      </w:r>
      <w:r w:rsidRPr="00261B7A">
        <w:tab/>
        <w:t>Forest land (CRF 4A)</w:t>
      </w:r>
      <w:bookmarkEnd w:id="1575"/>
      <w:bookmarkEnd w:id="1576"/>
      <w:bookmarkEnd w:id="1577"/>
      <w:bookmarkEnd w:id="1578"/>
      <w:bookmarkEnd w:id="1579"/>
      <w:bookmarkEnd w:id="1580"/>
      <w:bookmarkEnd w:id="1581"/>
      <w:bookmarkEnd w:id="1582"/>
      <w:bookmarkEnd w:id="1583"/>
    </w:p>
    <w:p w14:paraId="5238FCC7" w14:textId="77777777" w:rsidR="0010265C" w:rsidRPr="00261B7A" w:rsidRDefault="0010265C" w:rsidP="0010265C">
      <w:pPr>
        <w:pStyle w:val="Heading3"/>
        <w:spacing w:before="240"/>
      </w:pPr>
      <w:bookmarkStart w:id="1584" w:name="_Toc255466325"/>
      <w:bookmarkStart w:id="1585" w:name="_Toc261513132"/>
      <w:bookmarkStart w:id="1586" w:name="_Toc261513745"/>
      <w:bookmarkStart w:id="1587" w:name="_Toc280630241"/>
      <w:bookmarkStart w:id="1588" w:name="_Toc373395711"/>
      <w:r w:rsidRPr="00261B7A">
        <w:t>6.3.1</w:t>
      </w:r>
      <w:r w:rsidRPr="00261B7A">
        <w:tab/>
        <w:t>Description</w:t>
      </w:r>
      <w:bookmarkEnd w:id="1584"/>
      <w:bookmarkEnd w:id="1585"/>
      <w:bookmarkEnd w:id="1586"/>
      <w:bookmarkEnd w:id="1587"/>
      <w:bookmarkEnd w:id="1588"/>
    </w:p>
    <w:p w14:paraId="6F463761" w14:textId="77777777" w:rsidR="0010265C" w:rsidRPr="00261B7A" w:rsidRDefault="0010265C" w:rsidP="0010265C">
      <w:pPr>
        <w:pStyle w:val="BodyText"/>
        <w:spacing w:before="100" w:after="100"/>
      </w:pPr>
      <w:r w:rsidRPr="00261B7A">
        <w:t xml:space="preserve">In 2021, </w:t>
      </w:r>
      <w:r w:rsidRPr="00261B7A">
        <w:rPr>
          <w:i/>
        </w:rPr>
        <w:t>Forest land</w:t>
      </w:r>
      <w:r w:rsidRPr="00261B7A">
        <w:t xml:space="preserve"> contributed –15,779.7 kt CO</w:t>
      </w:r>
      <w:r w:rsidRPr="00261B7A">
        <w:rPr>
          <w:vertAlign w:val="subscript"/>
        </w:rPr>
        <w:t>2</w:t>
      </w:r>
      <w:r w:rsidRPr="00261B7A">
        <w:t>-e of net emissions. Net emissions from </w:t>
      </w:r>
      <w:r w:rsidRPr="00261B7A">
        <w:rPr>
          <w:i/>
        </w:rPr>
        <w:t>Forest land</w:t>
      </w:r>
      <w:r w:rsidRPr="00261B7A">
        <w:t xml:space="preserve"> have increased by 3,265.5 kt CO</w:t>
      </w:r>
      <w:r w:rsidRPr="00261B7A">
        <w:rPr>
          <w:vertAlign w:val="subscript"/>
        </w:rPr>
        <w:t>2</w:t>
      </w:r>
      <w:r w:rsidRPr="00261B7A">
        <w:t xml:space="preserve">-e (17.1 per cent) from the 1990 level of </w:t>
      </w:r>
      <w:r w:rsidRPr="00261B7A">
        <w:br/>
        <w:t>–19,045.2 kt CO</w:t>
      </w:r>
      <w:r w:rsidRPr="00261B7A">
        <w:rPr>
          <w:vertAlign w:val="subscript"/>
        </w:rPr>
        <w:t>2</w:t>
      </w:r>
      <w:r w:rsidRPr="00261B7A">
        <w:t>-e (see table 6.3.1). Between 1990 and 2021,</w:t>
      </w:r>
      <w:r w:rsidRPr="00261B7A">
        <w:rPr>
          <w:i/>
        </w:rPr>
        <w:t xml:space="preserve"> Forest land</w:t>
      </w:r>
      <w:r w:rsidRPr="00261B7A">
        <w:t xml:space="preserve"> is the most significant contributor to carbon stock changes in the LULUCF sector. In 2021, forests covered 37.2 per cent (10.0 million hectares) of New Zealand’s total land area. Note that emissions for the </w:t>
      </w:r>
      <w:r w:rsidRPr="00261B7A">
        <w:rPr>
          <w:i/>
        </w:rPr>
        <w:t>Harvested wood products</w:t>
      </w:r>
      <w:r w:rsidRPr="00261B7A">
        <w:t xml:space="preserve"> category are reported separately within the CRF Reporter and are described further in section 6.9. </w:t>
      </w:r>
    </w:p>
    <w:p w14:paraId="73C78350" w14:textId="77777777" w:rsidR="0010265C" w:rsidRPr="00261B7A" w:rsidRDefault="0010265C" w:rsidP="0010265C">
      <w:pPr>
        <w:pStyle w:val="BodyText"/>
      </w:pPr>
      <w:r w:rsidRPr="00261B7A">
        <w:t xml:space="preserve">In 2021, </w:t>
      </w:r>
      <w:r w:rsidRPr="00261B7A">
        <w:rPr>
          <w:i/>
        </w:rPr>
        <w:t>Forest land remaining forest land</w:t>
      </w:r>
      <w:r w:rsidRPr="00261B7A">
        <w:t xml:space="preserve"> and </w:t>
      </w:r>
      <w:r w:rsidRPr="00261B7A">
        <w:rPr>
          <w:i/>
        </w:rPr>
        <w:t>Land converted to forest land</w:t>
      </w:r>
      <w:r w:rsidRPr="00261B7A">
        <w:t xml:space="preserve"> were key categories (based on a trend and level assessment). </w:t>
      </w:r>
    </w:p>
    <w:p w14:paraId="480596AA" w14:textId="77777777" w:rsidR="0010265C" w:rsidRPr="00261B7A" w:rsidRDefault="0010265C" w:rsidP="0012053C">
      <w:pPr>
        <w:pStyle w:val="Table"/>
      </w:pPr>
      <w:bookmarkStart w:id="1589" w:name="_Toc280630453"/>
      <w:bookmarkStart w:id="1590" w:name="_Toc310423404"/>
      <w:bookmarkStart w:id="1591" w:name="_Toc318362697"/>
      <w:bookmarkStart w:id="1592" w:name="_Toc342470759"/>
      <w:bookmarkStart w:id="1593" w:name="_Toc352504999"/>
      <w:bookmarkStart w:id="1594" w:name="_Toc373395724"/>
      <w:bookmarkStart w:id="1595" w:name="_Toc378853290"/>
      <w:bookmarkStart w:id="1596" w:name="_Toc391024088"/>
      <w:bookmarkStart w:id="1597" w:name="_Toc410028831"/>
      <w:bookmarkStart w:id="1598" w:name="_Toc414531459"/>
      <w:bookmarkStart w:id="1599" w:name="_Toc443645372"/>
      <w:bookmarkStart w:id="1600" w:name="_Toc474914591"/>
      <w:bookmarkStart w:id="1601" w:name="_Toc481751555"/>
      <w:bookmarkStart w:id="1602" w:name="_Toc522010612"/>
      <w:bookmarkStart w:id="1603" w:name="_Toc5269517"/>
      <w:bookmarkStart w:id="1604" w:name="_Toc33529391"/>
      <w:bookmarkStart w:id="1605" w:name="_Toc36224597"/>
      <w:bookmarkStart w:id="1606" w:name="_Toc131591391"/>
      <w:r w:rsidRPr="00261B7A">
        <w:t>Table 6.3.1</w:t>
      </w:r>
      <w:r w:rsidRPr="00261B7A">
        <w:tab/>
        <w:t xml:space="preserve">New Zealand’s land-use change for the </w:t>
      </w:r>
      <w:r w:rsidRPr="00261B7A">
        <w:rPr>
          <w:i/>
        </w:rPr>
        <w:t>Forest land</w:t>
      </w:r>
      <w:r w:rsidRPr="00261B7A">
        <w:t xml:space="preserve"> category, and associated</w:t>
      </w:r>
      <w:r w:rsidRPr="00261B7A">
        <w:br/>
        <w:t>CO</w:t>
      </w:r>
      <w:r w:rsidRPr="00261B7A">
        <w:rPr>
          <w:vertAlign w:val="subscript"/>
        </w:rPr>
        <w:t>2</w:t>
      </w:r>
      <w:r w:rsidRPr="00261B7A">
        <w:t>-e emissions</w:t>
      </w:r>
      <w:bookmarkEnd w:id="1589"/>
      <w:bookmarkEnd w:id="1590"/>
      <w:bookmarkEnd w:id="1591"/>
      <w:bookmarkEnd w:id="1592"/>
      <w:bookmarkEnd w:id="1593"/>
      <w:bookmarkEnd w:id="1594"/>
      <w:bookmarkEnd w:id="1595"/>
      <w:r w:rsidRPr="00261B7A">
        <w:t xml:space="preserve">, in 1990 and </w:t>
      </w:r>
      <w:bookmarkEnd w:id="1596"/>
      <w:bookmarkEnd w:id="1597"/>
      <w:bookmarkEnd w:id="1598"/>
      <w:bookmarkEnd w:id="1599"/>
      <w:bookmarkEnd w:id="1600"/>
      <w:bookmarkEnd w:id="1601"/>
      <w:bookmarkEnd w:id="1602"/>
      <w:bookmarkEnd w:id="1603"/>
      <w:bookmarkEnd w:id="1604"/>
      <w:bookmarkEnd w:id="1605"/>
      <w:r w:rsidRPr="00261B7A">
        <w:t>2021</w:t>
      </w:r>
      <w:bookmarkEnd w:id="1606"/>
    </w:p>
    <w:tbl>
      <w:tblPr>
        <w:tblW w:w="8505" w:type="dxa"/>
        <w:tblBorders>
          <w:bottom w:val="single" w:sz="4" w:space="0" w:color="1B556B" w:themeColor="text2"/>
          <w:insideH w:val="single" w:sz="4" w:space="0" w:color="1B556B" w:themeColor="text2"/>
        </w:tblBorders>
        <w:tblLayout w:type="fixed"/>
        <w:tblLook w:val="04A0" w:firstRow="1" w:lastRow="0" w:firstColumn="1" w:lastColumn="0" w:noHBand="0" w:noVBand="1"/>
      </w:tblPr>
      <w:tblGrid>
        <w:gridCol w:w="2694"/>
        <w:gridCol w:w="1275"/>
        <w:gridCol w:w="1276"/>
        <w:gridCol w:w="992"/>
        <w:gridCol w:w="993"/>
        <w:gridCol w:w="1275"/>
      </w:tblGrid>
      <w:tr w:rsidR="0010265C" w:rsidRPr="00261B7A" w14:paraId="1F280ABD" w14:textId="77777777" w:rsidTr="00D013BA">
        <w:tc>
          <w:tcPr>
            <w:tcW w:w="2694" w:type="dxa"/>
            <w:vMerge w:val="restart"/>
            <w:tcBorders>
              <w:top w:val="nil"/>
            </w:tcBorders>
            <w:shd w:val="clear" w:color="auto" w:fill="1B556B"/>
            <w:noWrap/>
            <w:vAlign w:val="bottom"/>
          </w:tcPr>
          <w:p w14:paraId="1971C250" w14:textId="77777777" w:rsidR="0010265C" w:rsidRPr="00261B7A" w:rsidRDefault="0010265C" w:rsidP="00D41492">
            <w:pPr>
              <w:pStyle w:val="TableTextBold"/>
              <w:keepNext/>
              <w:keepLines/>
              <w:spacing w:before="40" w:after="40"/>
              <w:rPr>
                <w:rFonts w:eastAsia="Arial Bold"/>
                <w:noProof w:val="0"/>
                <w:color w:val="FFFFFF"/>
              </w:rPr>
            </w:pPr>
            <w:r w:rsidRPr="00261B7A">
              <w:rPr>
                <w:rFonts w:eastAsia="Arial Bold"/>
                <w:noProof w:val="0"/>
                <w:color w:val="FFFFFF"/>
              </w:rPr>
              <w:t>Land use category</w:t>
            </w:r>
          </w:p>
        </w:tc>
        <w:tc>
          <w:tcPr>
            <w:tcW w:w="1275" w:type="dxa"/>
            <w:vMerge w:val="restart"/>
            <w:tcBorders>
              <w:top w:val="nil"/>
            </w:tcBorders>
            <w:shd w:val="clear" w:color="auto" w:fill="1B556B"/>
            <w:noWrap/>
            <w:vAlign w:val="bottom"/>
          </w:tcPr>
          <w:p w14:paraId="3C3846A3" w14:textId="77777777" w:rsidR="0010265C" w:rsidRPr="00261B7A" w:rsidRDefault="0010265C" w:rsidP="00D41492">
            <w:pPr>
              <w:pStyle w:val="TableTextBold"/>
              <w:keepNext/>
              <w:keepLines/>
              <w:spacing w:before="40" w:after="40"/>
              <w:jc w:val="right"/>
              <w:rPr>
                <w:rFonts w:eastAsia="Arial Bold"/>
                <w:noProof w:val="0"/>
                <w:color w:val="FFFFFF"/>
              </w:rPr>
            </w:pPr>
            <w:r w:rsidRPr="00261B7A">
              <w:rPr>
                <w:rFonts w:eastAsia="Arial Bold"/>
                <w:noProof w:val="0"/>
                <w:color w:val="FFFFFF"/>
              </w:rPr>
              <w:t>Net area as at 1990 (ha)</w:t>
            </w:r>
          </w:p>
        </w:tc>
        <w:tc>
          <w:tcPr>
            <w:tcW w:w="1276" w:type="dxa"/>
            <w:vMerge w:val="restart"/>
            <w:tcBorders>
              <w:top w:val="nil"/>
            </w:tcBorders>
            <w:shd w:val="clear" w:color="auto" w:fill="1B556B"/>
            <w:noWrap/>
            <w:vAlign w:val="bottom"/>
          </w:tcPr>
          <w:p w14:paraId="55FAB14E" w14:textId="77777777" w:rsidR="0010265C" w:rsidRPr="00261B7A" w:rsidRDefault="0010265C" w:rsidP="00D41492">
            <w:pPr>
              <w:pStyle w:val="TableTextBold"/>
              <w:keepNext/>
              <w:keepLines/>
              <w:spacing w:before="40" w:after="40"/>
              <w:jc w:val="right"/>
              <w:rPr>
                <w:rFonts w:eastAsia="Arial Bold"/>
                <w:noProof w:val="0"/>
                <w:color w:val="FFFFFF"/>
              </w:rPr>
            </w:pPr>
            <w:r w:rsidRPr="00261B7A">
              <w:rPr>
                <w:rFonts w:eastAsia="Arial Bold"/>
                <w:noProof w:val="0"/>
                <w:color w:val="FFFFFF"/>
              </w:rPr>
              <w:t>Net area as at 2021 (ha)</w:t>
            </w:r>
          </w:p>
        </w:tc>
        <w:tc>
          <w:tcPr>
            <w:tcW w:w="1985" w:type="dxa"/>
            <w:gridSpan w:val="2"/>
            <w:tcBorders>
              <w:top w:val="nil"/>
            </w:tcBorders>
            <w:shd w:val="clear" w:color="auto" w:fill="1B556B"/>
            <w:noWrap/>
            <w:vAlign w:val="bottom"/>
          </w:tcPr>
          <w:p w14:paraId="0D70F23A" w14:textId="77777777" w:rsidR="0010265C" w:rsidRPr="00261B7A" w:rsidRDefault="0010265C" w:rsidP="00D41492">
            <w:pPr>
              <w:pStyle w:val="TableTextBold"/>
              <w:keepNext/>
              <w:keepLines/>
              <w:spacing w:before="40" w:after="40"/>
              <w:jc w:val="center"/>
              <w:rPr>
                <w:rFonts w:eastAsia="Arial Bold"/>
                <w:noProof w:val="0"/>
                <w:color w:val="FFFFFF"/>
              </w:rPr>
            </w:pPr>
            <w:r w:rsidRPr="00261B7A">
              <w:rPr>
                <w:rFonts w:eastAsia="Arial Bold"/>
                <w:noProof w:val="0"/>
                <w:color w:val="FFFFFF"/>
              </w:rPr>
              <w:t xml:space="preserve">Net emissions </w:t>
            </w:r>
            <w:r w:rsidRPr="00261B7A">
              <w:rPr>
                <w:rFonts w:eastAsia="Arial Bold"/>
                <w:noProof w:val="0"/>
                <w:color w:val="FFFFFF"/>
              </w:rPr>
              <w:br/>
              <w:t>(kt CO</w:t>
            </w:r>
            <w:r w:rsidRPr="00261B7A">
              <w:rPr>
                <w:rFonts w:eastAsia="Arial Bold"/>
                <w:noProof w:val="0"/>
                <w:color w:val="FFFFFF"/>
                <w:vertAlign w:val="subscript"/>
              </w:rPr>
              <w:t>2</w:t>
            </w:r>
            <w:r w:rsidRPr="00261B7A">
              <w:rPr>
                <w:rFonts w:eastAsia="Arial Bold"/>
                <w:noProof w:val="0"/>
                <w:color w:val="FFFFFF"/>
              </w:rPr>
              <w:t>-e)</w:t>
            </w:r>
          </w:p>
        </w:tc>
        <w:tc>
          <w:tcPr>
            <w:tcW w:w="1275" w:type="dxa"/>
            <w:vMerge w:val="restart"/>
            <w:tcBorders>
              <w:top w:val="nil"/>
            </w:tcBorders>
            <w:shd w:val="clear" w:color="auto" w:fill="1B556B"/>
            <w:noWrap/>
            <w:vAlign w:val="bottom"/>
          </w:tcPr>
          <w:p w14:paraId="41095C55" w14:textId="77777777" w:rsidR="0010265C" w:rsidRPr="00261B7A" w:rsidRDefault="0010265C" w:rsidP="00D41492">
            <w:pPr>
              <w:pStyle w:val="TableTextBold"/>
              <w:keepNext/>
              <w:keepLines/>
              <w:spacing w:before="40" w:after="40"/>
              <w:jc w:val="right"/>
              <w:rPr>
                <w:rFonts w:eastAsia="Arial Bold"/>
                <w:noProof w:val="0"/>
                <w:color w:val="FFFFFF"/>
              </w:rPr>
            </w:pPr>
            <w:r w:rsidRPr="00261B7A">
              <w:rPr>
                <w:rFonts w:eastAsia="Arial Bold"/>
                <w:noProof w:val="0"/>
                <w:color w:val="FFFFFF"/>
              </w:rPr>
              <w:t>Change from 1990 (%)</w:t>
            </w:r>
          </w:p>
        </w:tc>
      </w:tr>
      <w:tr w:rsidR="0010265C" w:rsidRPr="00261B7A" w14:paraId="51294934" w14:textId="77777777" w:rsidTr="00D013BA">
        <w:tc>
          <w:tcPr>
            <w:tcW w:w="2694" w:type="dxa"/>
            <w:vMerge/>
            <w:tcBorders>
              <w:top w:val="single" w:sz="4" w:space="0" w:color="1B556B" w:themeColor="text2"/>
            </w:tcBorders>
            <w:shd w:val="clear" w:color="auto" w:fill="1B556B" w:themeFill="text2"/>
            <w:noWrap/>
            <w:vAlign w:val="bottom"/>
          </w:tcPr>
          <w:p w14:paraId="5E30B0AD" w14:textId="77777777" w:rsidR="0010265C" w:rsidRPr="00261B7A" w:rsidRDefault="0010265C" w:rsidP="00D41492">
            <w:pPr>
              <w:pStyle w:val="TableTextBold"/>
              <w:keepNext/>
              <w:spacing w:before="40" w:after="40"/>
              <w:jc w:val="center"/>
              <w:rPr>
                <w:rFonts w:eastAsia="Arial Bold"/>
                <w:noProof w:val="0"/>
                <w:color w:val="FFFFFF"/>
              </w:rPr>
            </w:pPr>
          </w:p>
        </w:tc>
        <w:tc>
          <w:tcPr>
            <w:tcW w:w="1275" w:type="dxa"/>
            <w:vMerge/>
            <w:tcBorders>
              <w:top w:val="single" w:sz="4" w:space="0" w:color="1B556B" w:themeColor="text2"/>
            </w:tcBorders>
            <w:shd w:val="clear" w:color="auto" w:fill="1B556B" w:themeFill="text2"/>
            <w:noWrap/>
            <w:vAlign w:val="bottom"/>
          </w:tcPr>
          <w:p w14:paraId="0CF6C9A6" w14:textId="77777777" w:rsidR="0010265C" w:rsidRPr="00261B7A" w:rsidRDefault="0010265C" w:rsidP="00D41492">
            <w:pPr>
              <w:pStyle w:val="TableTextBold"/>
              <w:spacing w:before="40" w:after="40"/>
              <w:jc w:val="right"/>
              <w:rPr>
                <w:rFonts w:eastAsia="Arial Bold"/>
                <w:noProof w:val="0"/>
                <w:color w:val="FFFFFF"/>
              </w:rPr>
            </w:pPr>
          </w:p>
        </w:tc>
        <w:tc>
          <w:tcPr>
            <w:tcW w:w="1276" w:type="dxa"/>
            <w:vMerge/>
            <w:tcBorders>
              <w:top w:val="single" w:sz="4" w:space="0" w:color="1B556B" w:themeColor="text2"/>
            </w:tcBorders>
            <w:shd w:val="clear" w:color="auto" w:fill="1B556B" w:themeFill="text2"/>
            <w:noWrap/>
            <w:vAlign w:val="bottom"/>
          </w:tcPr>
          <w:p w14:paraId="72A28EE3" w14:textId="77777777" w:rsidR="0010265C" w:rsidRPr="00261B7A" w:rsidRDefault="0010265C" w:rsidP="00D41492">
            <w:pPr>
              <w:pStyle w:val="TableTextBold"/>
              <w:spacing w:before="40" w:after="40"/>
              <w:jc w:val="right"/>
              <w:rPr>
                <w:rFonts w:eastAsia="Arial Bold"/>
                <w:noProof w:val="0"/>
                <w:color w:val="FFFFFF"/>
              </w:rPr>
            </w:pPr>
          </w:p>
        </w:tc>
        <w:tc>
          <w:tcPr>
            <w:tcW w:w="992" w:type="dxa"/>
            <w:tcBorders>
              <w:top w:val="single" w:sz="4" w:space="0" w:color="1B556B" w:themeColor="text2"/>
            </w:tcBorders>
            <w:shd w:val="clear" w:color="auto" w:fill="1B556B" w:themeFill="text2"/>
            <w:noWrap/>
            <w:vAlign w:val="bottom"/>
          </w:tcPr>
          <w:p w14:paraId="61509366" w14:textId="77777777" w:rsidR="0010265C" w:rsidRPr="00261B7A" w:rsidRDefault="0010265C" w:rsidP="00D41492">
            <w:pPr>
              <w:pStyle w:val="TableTextBold"/>
              <w:spacing w:before="40" w:after="40"/>
              <w:jc w:val="right"/>
              <w:rPr>
                <w:rFonts w:eastAsia="Arial Bold"/>
                <w:noProof w:val="0"/>
                <w:color w:val="FFFFFF"/>
              </w:rPr>
            </w:pPr>
            <w:r w:rsidRPr="00261B7A">
              <w:rPr>
                <w:rFonts w:eastAsia="Arial Bold"/>
                <w:noProof w:val="0"/>
                <w:color w:val="FFFFFF"/>
              </w:rPr>
              <w:t>1990</w:t>
            </w:r>
          </w:p>
        </w:tc>
        <w:tc>
          <w:tcPr>
            <w:tcW w:w="993" w:type="dxa"/>
            <w:tcBorders>
              <w:top w:val="single" w:sz="4" w:space="0" w:color="1B556B" w:themeColor="text2"/>
            </w:tcBorders>
            <w:shd w:val="clear" w:color="auto" w:fill="1B556B" w:themeFill="text2"/>
            <w:noWrap/>
            <w:vAlign w:val="bottom"/>
          </w:tcPr>
          <w:p w14:paraId="6B33907C" w14:textId="77777777" w:rsidR="0010265C" w:rsidRPr="00261B7A" w:rsidRDefault="0010265C" w:rsidP="00D41492">
            <w:pPr>
              <w:pStyle w:val="TableTextBold"/>
              <w:spacing w:before="40" w:after="40"/>
              <w:jc w:val="right"/>
              <w:rPr>
                <w:rFonts w:eastAsia="Arial Bold"/>
                <w:noProof w:val="0"/>
                <w:color w:val="FFFFFF"/>
              </w:rPr>
            </w:pPr>
            <w:r w:rsidRPr="00261B7A">
              <w:rPr>
                <w:rFonts w:eastAsia="Arial Bold"/>
                <w:noProof w:val="0"/>
                <w:color w:val="FFFFFF"/>
              </w:rPr>
              <w:t>2021</w:t>
            </w:r>
          </w:p>
        </w:tc>
        <w:tc>
          <w:tcPr>
            <w:tcW w:w="1275" w:type="dxa"/>
            <w:vMerge/>
            <w:tcBorders>
              <w:top w:val="single" w:sz="4" w:space="0" w:color="1B556B" w:themeColor="text2"/>
            </w:tcBorders>
            <w:shd w:val="clear" w:color="auto" w:fill="1B556B" w:themeFill="text2"/>
            <w:noWrap/>
            <w:vAlign w:val="bottom"/>
          </w:tcPr>
          <w:p w14:paraId="343ADC7C" w14:textId="77777777" w:rsidR="0010265C" w:rsidRPr="00261B7A" w:rsidRDefault="0010265C" w:rsidP="00D41492">
            <w:pPr>
              <w:pStyle w:val="TableTextBold"/>
              <w:spacing w:before="40" w:after="40"/>
              <w:jc w:val="right"/>
              <w:rPr>
                <w:rFonts w:eastAsia="Arial Bold"/>
                <w:noProof w:val="0"/>
                <w:color w:val="FFFFFF"/>
              </w:rPr>
            </w:pPr>
          </w:p>
        </w:tc>
      </w:tr>
      <w:tr w:rsidR="0010265C" w:rsidRPr="00261B7A" w14:paraId="5F6D538D" w14:textId="77777777" w:rsidTr="00D013BA">
        <w:tc>
          <w:tcPr>
            <w:tcW w:w="2694" w:type="dxa"/>
            <w:shd w:val="clear" w:color="auto" w:fill="auto"/>
            <w:noWrap/>
          </w:tcPr>
          <w:p w14:paraId="37EA26A9" w14:textId="77777777" w:rsidR="0010265C" w:rsidRPr="00261B7A" w:rsidRDefault="0010265C" w:rsidP="00D41492">
            <w:pPr>
              <w:pStyle w:val="TableText"/>
              <w:keepNext/>
              <w:spacing w:before="40" w:after="40"/>
              <w:rPr>
                <w:rFonts w:eastAsia="Arial Bold"/>
              </w:rPr>
            </w:pPr>
            <w:bookmarkStart w:id="1607" w:name="_Hlk311101605"/>
            <w:r w:rsidRPr="00261B7A">
              <w:rPr>
                <w:rFonts w:eastAsia="Arial Bold"/>
              </w:rPr>
              <w:t>Forest land remaining forest land</w:t>
            </w:r>
          </w:p>
        </w:tc>
        <w:tc>
          <w:tcPr>
            <w:tcW w:w="1275" w:type="dxa"/>
            <w:shd w:val="clear" w:color="auto" w:fill="auto"/>
            <w:noWrap/>
            <w:vAlign w:val="center"/>
          </w:tcPr>
          <w:p w14:paraId="2CD9E1E9" w14:textId="77777777" w:rsidR="0010265C" w:rsidRPr="00261B7A" w:rsidRDefault="0010265C" w:rsidP="00D41492">
            <w:pPr>
              <w:pStyle w:val="TableText"/>
              <w:keepNext/>
              <w:spacing w:before="40" w:after="40"/>
              <w:jc w:val="right"/>
              <w:rPr>
                <w:rFonts w:eastAsia="Arial Bold"/>
              </w:rPr>
            </w:pPr>
            <w:r w:rsidRPr="00261B7A">
              <w:rPr>
                <w:rFonts w:cs="Calibri"/>
                <w:szCs w:val="16"/>
              </w:rPr>
              <w:t>8,545,974</w:t>
            </w:r>
          </w:p>
        </w:tc>
        <w:tc>
          <w:tcPr>
            <w:tcW w:w="1276" w:type="dxa"/>
            <w:shd w:val="clear" w:color="auto" w:fill="auto"/>
            <w:noWrap/>
            <w:vAlign w:val="center"/>
          </w:tcPr>
          <w:p w14:paraId="3DBC6A2E" w14:textId="77777777" w:rsidR="0010265C" w:rsidRPr="00261B7A" w:rsidRDefault="0010265C" w:rsidP="00D41492">
            <w:pPr>
              <w:pStyle w:val="TableText"/>
              <w:keepNext/>
              <w:spacing w:before="40" w:after="40"/>
              <w:jc w:val="right"/>
              <w:rPr>
                <w:rFonts w:eastAsia="Arial Bold"/>
              </w:rPr>
            </w:pPr>
            <w:r w:rsidRPr="00261B7A">
              <w:rPr>
                <w:rFonts w:cs="Calibri"/>
                <w:szCs w:val="16"/>
              </w:rPr>
              <w:t>9,696,609</w:t>
            </w:r>
          </w:p>
        </w:tc>
        <w:tc>
          <w:tcPr>
            <w:tcW w:w="992" w:type="dxa"/>
            <w:shd w:val="clear" w:color="auto" w:fill="auto"/>
            <w:noWrap/>
            <w:vAlign w:val="center"/>
          </w:tcPr>
          <w:p w14:paraId="00424BF1" w14:textId="77777777" w:rsidR="0010265C" w:rsidRPr="00261B7A" w:rsidRDefault="0010265C" w:rsidP="00D41492">
            <w:pPr>
              <w:pStyle w:val="TableText"/>
              <w:keepNext/>
              <w:spacing w:before="40" w:after="40"/>
              <w:jc w:val="right"/>
              <w:rPr>
                <w:rFonts w:eastAsia="Arial Bold"/>
              </w:rPr>
            </w:pPr>
            <w:r w:rsidRPr="00261B7A">
              <w:rPr>
                <w:rFonts w:cs="Calibri"/>
                <w:szCs w:val="16"/>
              </w:rPr>
              <w:t xml:space="preserve">–677.9 </w:t>
            </w:r>
          </w:p>
        </w:tc>
        <w:tc>
          <w:tcPr>
            <w:tcW w:w="993" w:type="dxa"/>
            <w:shd w:val="clear" w:color="auto" w:fill="auto"/>
            <w:noWrap/>
            <w:vAlign w:val="center"/>
          </w:tcPr>
          <w:p w14:paraId="0A681F3E" w14:textId="77777777" w:rsidR="0010265C" w:rsidRPr="00261B7A" w:rsidRDefault="0010265C" w:rsidP="00D41492">
            <w:pPr>
              <w:pStyle w:val="TableText"/>
              <w:keepNext/>
              <w:spacing w:before="40" w:after="40"/>
              <w:jc w:val="right"/>
              <w:rPr>
                <w:rFonts w:eastAsia="Arial Bold"/>
              </w:rPr>
            </w:pPr>
            <w:r w:rsidRPr="00261B7A">
              <w:rPr>
                <w:rFonts w:cs="Calibri"/>
                <w:szCs w:val="16"/>
              </w:rPr>
              <w:t xml:space="preserve">–12,017.7 </w:t>
            </w:r>
          </w:p>
        </w:tc>
        <w:tc>
          <w:tcPr>
            <w:tcW w:w="1275" w:type="dxa"/>
            <w:shd w:val="clear" w:color="auto" w:fill="auto"/>
            <w:noWrap/>
          </w:tcPr>
          <w:p w14:paraId="578333F6" w14:textId="77777777" w:rsidR="0010265C" w:rsidRPr="00261B7A" w:rsidRDefault="0010265C" w:rsidP="00D41492">
            <w:pPr>
              <w:pStyle w:val="TableText"/>
              <w:keepNext/>
              <w:spacing w:before="40" w:after="40"/>
              <w:jc w:val="right"/>
              <w:rPr>
                <w:rFonts w:eastAsia="Arial Bold"/>
              </w:rPr>
            </w:pPr>
            <w:r w:rsidRPr="00261B7A">
              <w:t>–1,672.7</w:t>
            </w:r>
          </w:p>
        </w:tc>
      </w:tr>
      <w:bookmarkEnd w:id="1607"/>
      <w:tr w:rsidR="0010265C" w:rsidRPr="00261B7A" w14:paraId="06C37F6A" w14:textId="77777777" w:rsidTr="00D013BA">
        <w:tc>
          <w:tcPr>
            <w:tcW w:w="2694" w:type="dxa"/>
            <w:shd w:val="clear" w:color="auto" w:fill="auto"/>
            <w:noWrap/>
          </w:tcPr>
          <w:p w14:paraId="002B280F" w14:textId="77777777" w:rsidR="0010265C" w:rsidRPr="00261B7A" w:rsidRDefault="0010265C" w:rsidP="00D41492">
            <w:pPr>
              <w:pStyle w:val="TableText"/>
              <w:keepNext/>
              <w:spacing w:before="40" w:after="40"/>
              <w:rPr>
                <w:rFonts w:eastAsia="Arial Bold"/>
              </w:rPr>
            </w:pPr>
            <w:r w:rsidRPr="00261B7A">
              <w:rPr>
                <w:rFonts w:eastAsia="Arial Bold"/>
              </w:rPr>
              <w:t>Land converted to forest land</w:t>
            </w:r>
          </w:p>
        </w:tc>
        <w:tc>
          <w:tcPr>
            <w:tcW w:w="1275" w:type="dxa"/>
            <w:shd w:val="clear" w:color="auto" w:fill="auto"/>
            <w:noWrap/>
            <w:vAlign w:val="center"/>
          </w:tcPr>
          <w:p w14:paraId="12AC8724" w14:textId="77777777" w:rsidR="0010265C" w:rsidRPr="00261B7A" w:rsidRDefault="0010265C" w:rsidP="00D41492">
            <w:pPr>
              <w:pStyle w:val="TableText"/>
              <w:keepNext/>
              <w:spacing w:before="40" w:after="40"/>
              <w:jc w:val="right"/>
              <w:rPr>
                <w:rFonts w:eastAsia="Arial Bold"/>
              </w:rPr>
            </w:pPr>
            <w:r w:rsidRPr="00261B7A">
              <w:rPr>
                <w:rFonts w:cs="Calibri"/>
                <w:szCs w:val="16"/>
              </w:rPr>
              <w:t>820,970</w:t>
            </w:r>
          </w:p>
        </w:tc>
        <w:tc>
          <w:tcPr>
            <w:tcW w:w="1276" w:type="dxa"/>
            <w:shd w:val="clear" w:color="auto" w:fill="auto"/>
            <w:noWrap/>
            <w:vAlign w:val="center"/>
          </w:tcPr>
          <w:p w14:paraId="7FC932B0" w14:textId="77777777" w:rsidR="0010265C" w:rsidRPr="00261B7A" w:rsidRDefault="0010265C" w:rsidP="00D41492">
            <w:pPr>
              <w:pStyle w:val="TableText"/>
              <w:keepNext/>
              <w:spacing w:before="40" w:after="40"/>
              <w:jc w:val="right"/>
              <w:rPr>
                <w:rFonts w:eastAsia="Arial Bold"/>
              </w:rPr>
            </w:pPr>
            <w:r w:rsidRPr="00261B7A">
              <w:rPr>
                <w:rFonts w:cs="Calibri"/>
                <w:szCs w:val="16"/>
              </w:rPr>
              <w:t>320,655</w:t>
            </w:r>
          </w:p>
        </w:tc>
        <w:tc>
          <w:tcPr>
            <w:tcW w:w="992" w:type="dxa"/>
            <w:shd w:val="clear" w:color="auto" w:fill="auto"/>
            <w:noWrap/>
            <w:vAlign w:val="center"/>
          </w:tcPr>
          <w:p w14:paraId="64AA8480" w14:textId="77777777" w:rsidR="0010265C" w:rsidRPr="00261B7A" w:rsidRDefault="0010265C" w:rsidP="00D41492">
            <w:pPr>
              <w:pStyle w:val="TableText"/>
              <w:keepNext/>
              <w:spacing w:before="40" w:after="40"/>
              <w:jc w:val="right"/>
              <w:rPr>
                <w:rFonts w:eastAsia="Arial Bold"/>
              </w:rPr>
            </w:pPr>
            <w:r w:rsidRPr="00261B7A">
              <w:rPr>
                <w:rFonts w:cs="Calibri"/>
                <w:szCs w:val="16"/>
              </w:rPr>
              <w:t xml:space="preserve">–18,367.2 </w:t>
            </w:r>
          </w:p>
        </w:tc>
        <w:tc>
          <w:tcPr>
            <w:tcW w:w="993" w:type="dxa"/>
            <w:shd w:val="clear" w:color="auto" w:fill="auto"/>
            <w:noWrap/>
            <w:vAlign w:val="center"/>
          </w:tcPr>
          <w:p w14:paraId="7CAA0A92" w14:textId="77777777" w:rsidR="0010265C" w:rsidRPr="00261B7A" w:rsidRDefault="0010265C" w:rsidP="00D41492">
            <w:pPr>
              <w:pStyle w:val="TableText"/>
              <w:keepNext/>
              <w:spacing w:before="40" w:after="40"/>
              <w:jc w:val="right"/>
              <w:rPr>
                <w:rFonts w:eastAsia="Arial Bold"/>
              </w:rPr>
            </w:pPr>
            <w:r w:rsidRPr="00261B7A">
              <w:rPr>
                <w:rFonts w:cs="Calibri"/>
                <w:szCs w:val="16"/>
              </w:rPr>
              <w:t xml:space="preserve">–3,762.0 </w:t>
            </w:r>
          </w:p>
        </w:tc>
        <w:tc>
          <w:tcPr>
            <w:tcW w:w="1275" w:type="dxa"/>
            <w:shd w:val="clear" w:color="auto" w:fill="auto"/>
            <w:noWrap/>
          </w:tcPr>
          <w:p w14:paraId="22648EB5" w14:textId="77777777" w:rsidR="0010265C" w:rsidRPr="00261B7A" w:rsidRDefault="0010265C" w:rsidP="00D41492">
            <w:pPr>
              <w:pStyle w:val="TableText"/>
              <w:keepNext/>
              <w:spacing w:before="40" w:after="40"/>
              <w:jc w:val="right"/>
              <w:rPr>
                <w:rFonts w:eastAsia="Arial Bold"/>
              </w:rPr>
            </w:pPr>
            <w:r w:rsidRPr="00261B7A">
              <w:t>+79.5</w:t>
            </w:r>
          </w:p>
        </w:tc>
      </w:tr>
      <w:tr w:rsidR="0010265C" w:rsidRPr="00261B7A" w14:paraId="7E575F5F" w14:textId="77777777" w:rsidTr="00D013BA">
        <w:tc>
          <w:tcPr>
            <w:tcW w:w="2694" w:type="dxa"/>
            <w:shd w:val="clear" w:color="auto" w:fill="auto"/>
            <w:noWrap/>
          </w:tcPr>
          <w:p w14:paraId="14FBA7D4" w14:textId="77777777" w:rsidR="0010265C" w:rsidRPr="00261B7A" w:rsidRDefault="0010265C" w:rsidP="00D41492">
            <w:pPr>
              <w:pStyle w:val="Tableboldblue"/>
              <w:spacing w:before="40" w:after="40"/>
              <w:jc w:val="right"/>
              <w:rPr>
                <w:rFonts w:eastAsia="Arial Bold"/>
              </w:rPr>
            </w:pPr>
            <w:r w:rsidRPr="00261B7A">
              <w:rPr>
                <w:rFonts w:eastAsia="Arial Bold"/>
              </w:rPr>
              <w:t>Total</w:t>
            </w:r>
          </w:p>
        </w:tc>
        <w:tc>
          <w:tcPr>
            <w:tcW w:w="1275" w:type="dxa"/>
            <w:shd w:val="clear" w:color="auto" w:fill="auto"/>
            <w:noWrap/>
          </w:tcPr>
          <w:p w14:paraId="15622AD6" w14:textId="77777777" w:rsidR="0010265C" w:rsidRPr="00261B7A" w:rsidRDefault="0010265C" w:rsidP="00D41492">
            <w:pPr>
              <w:pStyle w:val="Tableboldblue"/>
              <w:spacing w:before="40" w:after="40"/>
              <w:jc w:val="right"/>
              <w:rPr>
                <w:rFonts w:eastAsia="Arial Bold"/>
              </w:rPr>
            </w:pPr>
            <w:r w:rsidRPr="00261B7A">
              <w:rPr>
                <w:rFonts w:cs="Calibri"/>
                <w:szCs w:val="16"/>
              </w:rPr>
              <w:t>9,366,944</w:t>
            </w:r>
          </w:p>
        </w:tc>
        <w:tc>
          <w:tcPr>
            <w:tcW w:w="1276" w:type="dxa"/>
            <w:shd w:val="clear" w:color="auto" w:fill="auto"/>
            <w:noWrap/>
          </w:tcPr>
          <w:p w14:paraId="72121DC5" w14:textId="77777777" w:rsidR="0010265C" w:rsidRPr="00261B7A" w:rsidRDefault="0010265C" w:rsidP="00D41492">
            <w:pPr>
              <w:pStyle w:val="Tableboldblue"/>
              <w:spacing w:before="40" w:after="40"/>
              <w:jc w:val="right"/>
              <w:rPr>
                <w:rFonts w:eastAsia="Arial Bold"/>
              </w:rPr>
            </w:pPr>
            <w:r w:rsidRPr="00261B7A">
              <w:rPr>
                <w:rFonts w:cs="Calibri"/>
                <w:szCs w:val="16"/>
              </w:rPr>
              <w:t>10,017,264</w:t>
            </w:r>
          </w:p>
        </w:tc>
        <w:tc>
          <w:tcPr>
            <w:tcW w:w="992" w:type="dxa"/>
            <w:shd w:val="clear" w:color="auto" w:fill="auto"/>
            <w:noWrap/>
            <w:vAlign w:val="center"/>
          </w:tcPr>
          <w:p w14:paraId="3C0CFA17" w14:textId="77777777" w:rsidR="0010265C" w:rsidRPr="00261B7A" w:rsidRDefault="0010265C" w:rsidP="00D41492">
            <w:pPr>
              <w:pStyle w:val="Tableboldblue"/>
              <w:spacing w:before="40" w:after="40"/>
              <w:jc w:val="right"/>
              <w:rPr>
                <w:rFonts w:eastAsia="Arial Bold"/>
              </w:rPr>
            </w:pPr>
            <w:r w:rsidRPr="00261B7A">
              <w:rPr>
                <w:rFonts w:cs="Calibri"/>
                <w:szCs w:val="16"/>
              </w:rPr>
              <w:t xml:space="preserve">–19,045.2 </w:t>
            </w:r>
          </w:p>
        </w:tc>
        <w:tc>
          <w:tcPr>
            <w:tcW w:w="993" w:type="dxa"/>
            <w:shd w:val="clear" w:color="auto" w:fill="auto"/>
            <w:noWrap/>
            <w:vAlign w:val="center"/>
          </w:tcPr>
          <w:p w14:paraId="58E31102" w14:textId="77777777" w:rsidR="0010265C" w:rsidRPr="00261B7A" w:rsidRDefault="0010265C" w:rsidP="00D41492">
            <w:pPr>
              <w:pStyle w:val="Tableboldblue"/>
              <w:spacing w:before="40" w:after="40"/>
              <w:jc w:val="right"/>
              <w:rPr>
                <w:rFonts w:eastAsia="Arial Bold"/>
              </w:rPr>
            </w:pPr>
            <w:r w:rsidRPr="00261B7A">
              <w:rPr>
                <w:rFonts w:cs="Calibri"/>
                <w:szCs w:val="16"/>
              </w:rPr>
              <w:t xml:space="preserve">–15,779.7 </w:t>
            </w:r>
          </w:p>
        </w:tc>
        <w:tc>
          <w:tcPr>
            <w:tcW w:w="1275" w:type="dxa"/>
            <w:shd w:val="clear" w:color="auto" w:fill="auto"/>
            <w:noWrap/>
          </w:tcPr>
          <w:p w14:paraId="1A104C9A" w14:textId="77777777" w:rsidR="0010265C" w:rsidRPr="00261B7A" w:rsidRDefault="0010265C" w:rsidP="00D41492">
            <w:pPr>
              <w:pStyle w:val="Tableboldblue"/>
              <w:spacing w:before="40" w:after="40"/>
              <w:jc w:val="right"/>
              <w:rPr>
                <w:rFonts w:eastAsia="Arial Bold"/>
              </w:rPr>
            </w:pPr>
            <w:r w:rsidRPr="00261B7A">
              <w:t>+17.1</w:t>
            </w:r>
          </w:p>
        </w:tc>
      </w:tr>
    </w:tbl>
    <w:p w14:paraId="78F2BEE3" w14:textId="6FC2B4F4" w:rsidR="0010265C" w:rsidRPr="00261B7A" w:rsidRDefault="0010265C" w:rsidP="0010265C">
      <w:pPr>
        <w:pStyle w:val="Noteundertable"/>
        <w:spacing w:after="80"/>
      </w:pPr>
      <w:r w:rsidRPr="00261B7A">
        <w:rPr>
          <w:b/>
        </w:rPr>
        <w:t>Note:</w:t>
      </w:r>
      <w:r w:rsidRPr="00261B7A">
        <w:tab/>
        <w:t xml:space="preserve">Net area in 1990 is as at 1 January 1990; net area in 2021 is as at 31 December. The area of </w:t>
      </w:r>
      <w:r w:rsidRPr="00261B7A">
        <w:rPr>
          <w:i/>
        </w:rPr>
        <w:t>Land converted to forest land</w:t>
      </w:r>
      <w:r w:rsidRPr="00261B7A">
        <w:t xml:space="preserve"> includes land converted up to 20 years earlier, and net area values include land in a state of conversion (due to land-use change before 1990) and afforestation since 1990. Net emission estimates are for the whole year indicated. Columns may not total due to rounding, and percentages presented are calculated from unrounded values.</w:t>
      </w:r>
      <w:r w:rsidR="00D013BA" w:rsidRPr="00261B7A">
        <w:t xml:space="preserve"> </w:t>
      </w:r>
    </w:p>
    <w:p w14:paraId="13920294" w14:textId="77777777" w:rsidR="0010265C" w:rsidRPr="00261B7A" w:rsidRDefault="0010265C" w:rsidP="0010265C">
      <w:pPr>
        <w:pStyle w:val="BodyText"/>
        <w:keepNext/>
        <w:spacing w:before="100" w:after="100"/>
      </w:pPr>
      <w:r w:rsidRPr="00261B7A">
        <w:t xml:space="preserve">New Zealand has applied the following parameters for land to be classified as </w:t>
      </w:r>
      <w:r w:rsidRPr="00261B7A">
        <w:rPr>
          <w:i/>
          <w:iCs/>
        </w:rPr>
        <w:t>Forest land</w:t>
      </w:r>
      <w:r w:rsidRPr="00261B7A">
        <w:t xml:space="preserve">: </w:t>
      </w:r>
    </w:p>
    <w:p w14:paraId="6379A1D5" w14:textId="77777777" w:rsidR="0010265C" w:rsidRPr="00261B7A" w:rsidRDefault="0010265C" w:rsidP="00294EC5">
      <w:pPr>
        <w:pStyle w:val="Bullet"/>
        <w:numPr>
          <w:ilvl w:val="0"/>
          <w:numId w:val="25"/>
        </w:numPr>
        <w:spacing w:after="100"/>
        <w:ind w:left="397" w:hanging="397"/>
      </w:pPr>
      <w:r w:rsidRPr="00261B7A">
        <w:t>minimum area of 1 hectare</w:t>
      </w:r>
    </w:p>
    <w:p w14:paraId="4C425FD0" w14:textId="77777777" w:rsidR="0010265C" w:rsidRPr="00261B7A" w:rsidRDefault="0010265C" w:rsidP="00294EC5">
      <w:pPr>
        <w:pStyle w:val="Bullet"/>
        <w:numPr>
          <w:ilvl w:val="0"/>
          <w:numId w:val="25"/>
        </w:numPr>
        <w:spacing w:after="100"/>
        <w:ind w:left="397" w:hanging="397"/>
      </w:pPr>
      <w:r w:rsidRPr="00261B7A">
        <w:t xml:space="preserve">potential to reach a minimum height of 5 metres </w:t>
      </w:r>
    </w:p>
    <w:p w14:paraId="29629CEF" w14:textId="77777777" w:rsidR="0010265C" w:rsidRPr="00261B7A" w:rsidRDefault="0010265C" w:rsidP="00294EC5">
      <w:pPr>
        <w:pStyle w:val="Bullet"/>
        <w:numPr>
          <w:ilvl w:val="0"/>
          <w:numId w:val="25"/>
        </w:numPr>
        <w:spacing w:after="100"/>
        <w:ind w:left="397" w:hanging="397"/>
      </w:pPr>
      <w:r w:rsidRPr="00261B7A">
        <w:t>potential to reach a minimum crown cover of 30 per cent</w:t>
      </w:r>
    </w:p>
    <w:p w14:paraId="472B45A8" w14:textId="77777777" w:rsidR="0010265C" w:rsidRPr="00261B7A" w:rsidRDefault="0010265C" w:rsidP="00294EC5">
      <w:pPr>
        <w:pStyle w:val="Bullet"/>
        <w:numPr>
          <w:ilvl w:val="0"/>
          <w:numId w:val="25"/>
        </w:numPr>
        <w:ind w:left="397" w:hanging="397"/>
      </w:pPr>
      <w:r w:rsidRPr="00261B7A">
        <w:t xml:space="preserve">a minimum forest width of 30 metres from canopy edge to canopy edge. </w:t>
      </w:r>
    </w:p>
    <w:p w14:paraId="621C06C9" w14:textId="77777777" w:rsidR="0010265C" w:rsidRPr="00261B7A" w:rsidRDefault="0010265C" w:rsidP="0010265C">
      <w:pPr>
        <w:pStyle w:val="BodyText"/>
        <w:spacing w:after="100"/>
      </w:pPr>
      <w:r w:rsidRPr="00261B7A">
        <w:t xml:space="preserve">Where the height and canopy cover parameters are not met at the time of mapping, the land has been classified as </w:t>
      </w:r>
      <w:r w:rsidRPr="00261B7A">
        <w:rPr>
          <w:i/>
        </w:rPr>
        <w:t>Forest land</w:t>
      </w:r>
      <w:r w:rsidRPr="00261B7A">
        <w:t xml:space="preserve"> if the land-management practice(s) and local site conditions (including climate) are such that the forest parameters will be met over a 30- to 40-year timeframe. Note that New Zealand does not report linear shelterbelts under the </w:t>
      </w:r>
      <w:r w:rsidRPr="00261B7A">
        <w:rPr>
          <w:i/>
        </w:rPr>
        <w:t>Forest land</w:t>
      </w:r>
      <w:r w:rsidRPr="00261B7A">
        <w:t xml:space="preserve"> category because they are not on land managed as forest. They form part of non-forest land uses, namely </w:t>
      </w:r>
      <w:r w:rsidRPr="00261B7A">
        <w:rPr>
          <w:i/>
        </w:rPr>
        <w:t>Cropland</w:t>
      </w:r>
      <w:r w:rsidRPr="00261B7A">
        <w:t xml:space="preserve"> and </w:t>
      </w:r>
      <w:r w:rsidRPr="00261B7A">
        <w:rPr>
          <w:i/>
        </w:rPr>
        <w:t>Grassland</w:t>
      </w:r>
      <w:r w:rsidRPr="00261B7A">
        <w:t xml:space="preserve"> (as shelter to crops and/or animals). </w:t>
      </w:r>
    </w:p>
    <w:p w14:paraId="683D352B" w14:textId="77777777" w:rsidR="0010265C" w:rsidRPr="00261B7A" w:rsidRDefault="0010265C" w:rsidP="0010265C">
      <w:pPr>
        <w:pStyle w:val="BodyText"/>
        <w:spacing w:after="100"/>
      </w:pPr>
      <w:r w:rsidRPr="00261B7A">
        <w:t xml:space="preserve">New Zealand uses four </w:t>
      </w:r>
      <w:r w:rsidRPr="00261B7A">
        <w:rPr>
          <w:i/>
        </w:rPr>
        <w:t>Forest land</w:t>
      </w:r>
      <w:r w:rsidRPr="00261B7A">
        <w:t xml:space="preserve"> types: pre-1990 natural forest (predominantly native forest), pre-1990 planted forest (predominantly </w:t>
      </w:r>
      <w:r w:rsidRPr="00261B7A">
        <w:rPr>
          <w:i/>
        </w:rPr>
        <w:t>Pinus radiata</w:t>
      </w:r>
      <w:r w:rsidRPr="00261B7A">
        <w:t>), post-1989 planted forest and post-1989 natural forest (where post-1989 forests are those established after 31 December 1989). The definitions used for mapping these land uses are given in table 6.2.3.</w:t>
      </w:r>
    </w:p>
    <w:p w14:paraId="0F2D9EE5" w14:textId="77777777" w:rsidR="0010265C" w:rsidRPr="00261B7A" w:rsidRDefault="0010265C" w:rsidP="0010265C">
      <w:pPr>
        <w:pStyle w:val="BodyText"/>
        <w:spacing w:after="100"/>
      </w:pPr>
      <w:r w:rsidRPr="00261B7A">
        <w:t>Table 6.3.2 shows land-use change by forest land type since 1990 and the associated CO</w:t>
      </w:r>
      <w:r w:rsidRPr="00261B7A">
        <w:rPr>
          <w:vertAlign w:val="subscript"/>
        </w:rPr>
        <w:t>2</w:t>
      </w:r>
      <w:r w:rsidRPr="00261B7A">
        <w:t xml:space="preserve"> emissions from carbon stock change (note: non-CO</w:t>
      </w:r>
      <w:r w:rsidRPr="00261B7A">
        <w:rPr>
          <w:vertAlign w:val="subscript"/>
        </w:rPr>
        <w:t>2</w:t>
      </w:r>
      <w:r w:rsidRPr="00261B7A">
        <w:t xml:space="preserve"> emissions are reported elsewhere). </w:t>
      </w:r>
    </w:p>
    <w:p w14:paraId="64357CB9" w14:textId="77777777" w:rsidR="0010265C" w:rsidRPr="00261B7A" w:rsidRDefault="0010265C" w:rsidP="0012053C">
      <w:pPr>
        <w:pStyle w:val="Table"/>
      </w:pPr>
      <w:bookmarkStart w:id="1608" w:name="_Toc310423405"/>
      <w:bookmarkStart w:id="1609" w:name="_Toc318362698"/>
      <w:bookmarkStart w:id="1610" w:name="_Toc342470760"/>
      <w:bookmarkStart w:id="1611" w:name="_Toc352505000"/>
      <w:bookmarkStart w:id="1612" w:name="_Toc373395725"/>
      <w:bookmarkStart w:id="1613" w:name="_Toc378853291"/>
      <w:bookmarkStart w:id="1614" w:name="_Toc474914592"/>
      <w:bookmarkStart w:id="1615" w:name="_Toc481751556"/>
      <w:bookmarkStart w:id="1616" w:name="_Toc522010613"/>
      <w:bookmarkStart w:id="1617" w:name="_Toc5269518"/>
      <w:bookmarkStart w:id="1618" w:name="_Toc33529392"/>
      <w:bookmarkStart w:id="1619" w:name="_Toc36224598"/>
      <w:bookmarkStart w:id="1620" w:name="_Toc131591392"/>
      <w:bookmarkStart w:id="1621" w:name="_Toc391024089"/>
      <w:bookmarkStart w:id="1622" w:name="_Toc410028832"/>
      <w:bookmarkStart w:id="1623" w:name="_Toc414531460"/>
      <w:bookmarkStart w:id="1624" w:name="_Toc443645373"/>
      <w:r w:rsidRPr="00261B7A">
        <w:t>Table 6.3.2</w:t>
      </w:r>
      <w:r w:rsidRPr="00261B7A">
        <w:tab/>
        <w:t>Change in land area and associated CO</w:t>
      </w:r>
      <w:r w:rsidRPr="00261B7A">
        <w:rPr>
          <w:vertAlign w:val="subscript"/>
        </w:rPr>
        <w:t>2</w:t>
      </w:r>
      <w:r w:rsidRPr="00261B7A">
        <w:t xml:space="preserve"> emissions from carbon stock change</w:t>
      </w:r>
      <w:bookmarkEnd w:id="1608"/>
      <w:bookmarkEnd w:id="1609"/>
      <w:bookmarkEnd w:id="1610"/>
      <w:bookmarkEnd w:id="1611"/>
      <w:bookmarkEnd w:id="1612"/>
      <w:bookmarkEnd w:id="1613"/>
      <w:r w:rsidRPr="00261B7A">
        <w:br/>
        <w:t>between 1990 and 2021 for New Zealand’s</w:t>
      </w:r>
      <w:r w:rsidRPr="00261B7A">
        <w:rPr>
          <w:i/>
        </w:rPr>
        <w:t xml:space="preserve"> Forest land</w:t>
      </w:r>
      <w:bookmarkEnd w:id="1614"/>
      <w:bookmarkEnd w:id="1615"/>
      <w:bookmarkEnd w:id="1616"/>
      <w:bookmarkEnd w:id="1617"/>
      <w:bookmarkEnd w:id="1618"/>
      <w:bookmarkEnd w:id="1619"/>
      <w:bookmarkEnd w:id="1620"/>
      <w:r w:rsidRPr="00261B7A">
        <w:t xml:space="preserve"> </w:t>
      </w:r>
      <w:bookmarkEnd w:id="1621"/>
      <w:bookmarkEnd w:id="1622"/>
      <w:bookmarkEnd w:id="1623"/>
      <w:bookmarkEnd w:id="1624"/>
    </w:p>
    <w:tbl>
      <w:tblPr>
        <w:tblW w:w="8505" w:type="dxa"/>
        <w:tblLayout w:type="fixed"/>
        <w:tblLook w:val="04A0" w:firstRow="1" w:lastRow="0" w:firstColumn="1" w:lastColumn="0" w:noHBand="0" w:noVBand="1"/>
      </w:tblPr>
      <w:tblGrid>
        <w:gridCol w:w="1985"/>
        <w:gridCol w:w="1276"/>
        <w:gridCol w:w="1275"/>
        <w:gridCol w:w="993"/>
        <w:gridCol w:w="992"/>
        <w:gridCol w:w="992"/>
        <w:gridCol w:w="992"/>
      </w:tblGrid>
      <w:tr w:rsidR="0010265C" w:rsidRPr="00261B7A" w14:paraId="7DC02BA3" w14:textId="77777777" w:rsidTr="00D013BA">
        <w:trPr>
          <w:tblHeader/>
        </w:trPr>
        <w:tc>
          <w:tcPr>
            <w:tcW w:w="1985" w:type="dxa"/>
            <w:vMerge w:val="restart"/>
            <w:tcBorders>
              <w:top w:val="single" w:sz="4" w:space="0" w:color="1B556B" w:themeColor="text2"/>
            </w:tcBorders>
            <w:shd w:val="clear" w:color="auto" w:fill="1B556B" w:themeFill="text2"/>
            <w:vAlign w:val="bottom"/>
          </w:tcPr>
          <w:p w14:paraId="72FEB49F" w14:textId="77777777" w:rsidR="0010265C" w:rsidRPr="00261B7A" w:rsidRDefault="0010265C" w:rsidP="00D41492">
            <w:pPr>
              <w:pStyle w:val="TableTextBold"/>
              <w:spacing w:before="40" w:after="40"/>
              <w:rPr>
                <w:rFonts w:eastAsia="Arial Bold"/>
                <w:noProof w:val="0"/>
                <w:color w:val="FFFFFF"/>
              </w:rPr>
            </w:pPr>
            <w:r w:rsidRPr="00261B7A">
              <w:rPr>
                <w:rFonts w:eastAsia="Arial Bold"/>
                <w:noProof w:val="0"/>
                <w:color w:val="FFFFFF"/>
              </w:rPr>
              <w:t xml:space="preserve">Land use </w:t>
            </w:r>
          </w:p>
        </w:tc>
        <w:tc>
          <w:tcPr>
            <w:tcW w:w="1276" w:type="dxa"/>
            <w:tcBorders>
              <w:top w:val="single" w:sz="4" w:space="0" w:color="1B556B" w:themeColor="text2"/>
            </w:tcBorders>
            <w:shd w:val="clear" w:color="auto" w:fill="1B556B" w:themeFill="text2"/>
            <w:vAlign w:val="bottom"/>
          </w:tcPr>
          <w:p w14:paraId="30643BC9" w14:textId="77777777" w:rsidR="0010265C" w:rsidRPr="00261B7A" w:rsidRDefault="0010265C" w:rsidP="00D41492">
            <w:pPr>
              <w:pStyle w:val="TableTextBold"/>
              <w:spacing w:before="40" w:after="40"/>
              <w:jc w:val="center"/>
              <w:rPr>
                <w:rFonts w:eastAsia="Arial Bold"/>
                <w:noProof w:val="0"/>
                <w:color w:val="FFFFFF"/>
              </w:rPr>
            </w:pPr>
            <w:r w:rsidRPr="00261B7A">
              <w:rPr>
                <w:rFonts w:eastAsia="Arial Bold"/>
                <w:noProof w:val="0"/>
                <w:color w:val="FFFFFF"/>
              </w:rPr>
              <w:t>Net area (ha)</w:t>
            </w:r>
          </w:p>
        </w:tc>
        <w:tc>
          <w:tcPr>
            <w:tcW w:w="1275" w:type="dxa"/>
            <w:tcBorders>
              <w:top w:val="single" w:sz="4" w:space="0" w:color="1B556B" w:themeColor="text2"/>
            </w:tcBorders>
            <w:shd w:val="clear" w:color="auto" w:fill="1B556B" w:themeFill="text2"/>
            <w:vAlign w:val="bottom"/>
          </w:tcPr>
          <w:p w14:paraId="105669F6" w14:textId="77777777" w:rsidR="0010265C" w:rsidRPr="00261B7A" w:rsidRDefault="0010265C" w:rsidP="00D41492">
            <w:pPr>
              <w:pStyle w:val="TableTextBold"/>
              <w:spacing w:before="40" w:after="40"/>
              <w:jc w:val="center"/>
              <w:rPr>
                <w:rFonts w:eastAsia="Arial Bold"/>
                <w:noProof w:val="0"/>
                <w:color w:val="FFFFFF"/>
              </w:rPr>
            </w:pPr>
            <w:r w:rsidRPr="00261B7A">
              <w:rPr>
                <w:rFonts w:eastAsia="Arial Bold"/>
                <w:noProof w:val="0"/>
                <w:color w:val="FFFFFF"/>
              </w:rPr>
              <w:t>Net area (ha)</w:t>
            </w:r>
          </w:p>
        </w:tc>
        <w:tc>
          <w:tcPr>
            <w:tcW w:w="993" w:type="dxa"/>
            <w:vMerge w:val="restart"/>
            <w:tcBorders>
              <w:top w:val="single" w:sz="4" w:space="0" w:color="1B556B" w:themeColor="text2"/>
            </w:tcBorders>
            <w:shd w:val="clear" w:color="auto" w:fill="1B556B" w:themeFill="text2"/>
            <w:vAlign w:val="bottom"/>
          </w:tcPr>
          <w:p w14:paraId="5E2BB0F9" w14:textId="77777777" w:rsidR="0010265C" w:rsidRPr="00261B7A" w:rsidRDefault="0010265C" w:rsidP="00D41492">
            <w:pPr>
              <w:pStyle w:val="TableTextBold"/>
              <w:spacing w:before="40" w:after="40"/>
              <w:jc w:val="right"/>
              <w:rPr>
                <w:rFonts w:eastAsia="Arial Bold"/>
                <w:noProof w:val="0"/>
                <w:color w:val="FFFFFF"/>
              </w:rPr>
            </w:pPr>
            <w:r w:rsidRPr="00261B7A">
              <w:rPr>
                <w:rFonts w:eastAsia="Arial Bold"/>
                <w:noProof w:val="0"/>
                <w:color w:val="FFFFFF"/>
              </w:rPr>
              <w:t>Change from 1990 (%)</w:t>
            </w:r>
          </w:p>
        </w:tc>
        <w:tc>
          <w:tcPr>
            <w:tcW w:w="1984" w:type="dxa"/>
            <w:gridSpan w:val="2"/>
            <w:tcBorders>
              <w:top w:val="single" w:sz="4" w:space="0" w:color="1B556B" w:themeColor="text2"/>
            </w:tcBorders>
            <w:shd w:val="clear" w:color="auto" w:fill="1B556B" w:themeFill="text2"/>
            <w:vAlign w:val="bottom"/>
          </w:tcPr>
          <w:p w14:paraId="4D31198C" w14:textId="77777777" w:rsidR="0010265C" w:rsidRPr="00261B7A" w:rsidRDefault="0010265C" w:rsidP="00D41492">
            <w:pPr>
              <w:pStyle w:val="TableTextBold"/>
              <w:spacing w:before="40" w:after="40"/>
              <w:jc w:val="center"/>
              <w:rPr>
                <w:rFonts w:eastAsia="Arial Bold"/>
                <w:noProof w:val="0"/>
                <w:color w:val="FFFFFF"/>
              </w:rPr>
            </w:pPr>
            <w:r w:rsidRPr="00261B7A">
              <w:rPr>
                <w:rFonts w:eastAsia="Arial Bold"/>
                <w:noProof w:val="0"/>
                <w:color w:val="FFFFFF"/>
              </w:rPr>
              <w:t xml:space="preserve">Net emissions </w:t>
            </w:r>
            <w:r w:rsidRPr="00261B7A">
              <w:rPr>
                <w:rFonts w:eastAsia="Arial Bold"/>
                <w:noProof w:val="0"/>
                <w:color w:val="FFFFFF"/>
              </w:rPr>
              <w:br/>
              <w:t>(kt CO</w:t>
            </w:r>
            <w:r w:rsidRPr="00261B7A">
              <w:rPr>
                <w:rFonts w:eastAsia="Arial Bold"/>
                <w:noProof w:val="0"/>
                <w:color w:val="FFFFFF"/>
                <w:vertAlign w:val="subscript"/>
              </w:rPr>
              <w:t xml:space="preserve">2 </w:t>
            </w:r>
            <w:r w:rsidRPr="00261B7A">
              <w:rPr>
                <w:rFonts w:eastAsia="Arial Bold"/>
                <w:noProof w:val="0"/>
                <w:color w:val="FFFFFF"/>
              </w:rPr>
              <w:t>only)</w:t>
            </w:r>
          </w:p>
        </w:tc>
        <w:tc>
          <w:tcPr>
            <w:tcW w:w="992" w:type="dxa"/>
            <w:vMerge w:val="restart"/>
            <w:tcBorders>
              <w:top w:val="single" w:sz="4" w:space="0" w:color="1B556B" w:themeColor="text2"/>
            </w:tcBorders>
            <w:shd w:val="clear" w:color="auto" w:fill="1B556B" w:themeFill="text2"/>
            <w:vAlign w:val="bottom"/>
          </w:tcPr>
          <w:p w14:paraId="6FADE892" w14:textId="77777777" w:rsidR="0010265C" w:rsidRPr="00261B7A" w:rsidRDefault="0010265C" w:rsidP="00D41492">
            <w:pPr>
              <w:pStyle w:val="TableTextBold"/>
              <w:spacing w:before="40" w:after="40"/>
              <w:jc w:val="right"/>
              <w:rPr>
                <w:rFonts w:eastAsia="Arial Bold"/>
                <w:noProof w:val="0"/>
                <w:color w:val="FFFFFF"/>
              </w:rPr>
            </w:pPr>
            <w:r w:rsidRPr="00261B7A">
              <w:rPr>
                <w:rFonts w:eastAsia="Arial Bold"/>
                <w:noProof w:val="0"/>
                <w:color w:val="FFFFFF"/>
              </w:rPr>
              <w:t>Change from 1990 (%)</w:t>
            </w:r>
          </w:p>
        </w:tc>
      </w:tr>
      <w:tr w:rsidR="0010265C" w:rsidRPr="00261B7A" w14:paraId="51002B06" w14:textId="77777777" w:rsidTr="00D013BA">
        <w:tc>
          <w:tcPr>
            <w:tcW w:w="1985" w:type="dxa"/>
            <w:vMerge/>
            <w:tcBorders>
              <w:bottom w:val="single" w:sz="4" w:space="0" w:color="1B556B" w:themeColor="text2"/>
            </w:tcBorders>
            <w:shd w:val="clear" w:color="auto" w:fill="1B556B" w:themeFill="text2"/>
          </w:tcPr>
          <w:p w14:paraId="5056FD22" w14:textId="77777777" w:rsidR="0010265C" w:rsidRPr="00261B7A" w:rsidRDefault="0010265C" w:rsidP="00D41492">
            <w:pPr>
              <w:pStyle w:val="TableTextBold"/>
              <w:spacing w:before="40" w:after="40"/>
              <w:jc w:val="center"/>
              <w:rPr>
                <w:rFonts w:eastAsia="Arial Bold"/>
                <w:noProof w:val="0"/>
                <w:color w:val="FFFFFF"/>
              </w:rPr>
            </w:pPr>
          </w:p>
        </w:tc>
        <w:tc>
          <w:tcPr>
            <w:tcW w:w="1276" w:type="dxa"/>
            <w:tcBorders>
              <w:bottom w:val="single" w:sz="4" w:space="0" w:color="1B556B" w:themeColor="text2"/>
            </w:tcBorders>
            <w:shd w:val="clear" w:color="auto" w:fill="1B556B" w:themeFill="text2"/>
          </w:tcPr>
          <w:p w14:paraId="3439D100" w14:textId="77777777" w:rsidR="0010265C" w:rsidRPr="00261B7A" w:rsidRDefault="0010265C" w:rsidP="00D41492">
            <w:pPr>
              <w:pStyle w:val="TableTextBold"/>
              <w:spacing w:before="40" w:after="40"/>
              <w:jc w:val="right"/>
              <w:rPr>
                <w:rFonts w:eastAsia="Arial Bold"/>
                <w:noProof w:val="0"/>
                <w:color w:val="FFFFFF"/>
              </w:rPr>
            </w:pPr>
            <w:r w:rsidRPr="00261B7A">
              <w:rPr>
                <w:rFonts w:eastAsia="Arial Bold"/>
                <w:noProof w:val="0"/>
                <w:color w:val="FFFFFF"/>
              </w:rPr>
              <w:t>1990</w:t>
            </w:r>
          </w:p>
        </w:tc>
        <w:tc>
          <w:tcPr>
            <w:tcW w:w="1275" w:type="dxa"/>
            <w:tcBorders>
              <w:bottom w:val="single" w:sz="4" w:space="0" w:color="1B556B" w:themeColor="text2"/>
            </w:tcBorders>
            <w:shd w:val="clear" w:color="auto" w:fill="1B556B" w:themeFill="text2"/>
          </w:tcPr>
          <w:p w14:paraId="2913CA10" w14:textId="77777777" w:rsidR="0010265C" w:rsidRPr="00261B7A" w:rsidRDefault="0010265C" w:rsidP="00D41492">
            <w:pPr>
              <w:pStyle w:val="TableTextBold"/>
              <w:spacing w:before="40" w:after="40"/>
              <w:jc w:val="right"/>
              <w:rPr>
                <w:rFonts w:eastAsia="Arial Bold"/>
                <w:noProof w:val="0"/>
                <w:color w:val="FFFFFF"/>
              </w:rPr>
            </w:pPr>
            <w:r w:rsidRPr="00261B7A">
              <w:rPr>
                <w:rFonts w:eastAsia="Arial Bold"/>
                <w:noProof w:val="0"/>
                <w:color w:val="FFFFFF"/>
              </w:rPr>
              <w:t>2021</w:t>
            </w:r>
          </w:p>
        </w:tc>
        <w:tc>
          <w:tcPr>
            <w:tcW w:w="993" w:type="dxa"/>
            <w:vMerge/>
            <w:tcBorders>
              <w:bottom w:val="single" w:sz="4" w:space="0" w:color="1B556B" w:themeColor="text2"/>
            </w:tcBorders>
            <w:shd w:val="clear" w:color="auto" w:fill="1B556B" w:themeFill="text2"/>
          </w:tcPr>
          <w:p w14:paraId="773B9237" w14:textId="77777777" w:rsidR="0010265C" w:rsidRPr="00261B7A" w:rsidRDefault="0010265C" w:rsidP="00D41492">
            <w:pPr>
              <w:pStyle w:val="TableTextBold"/>
              <w:spacing w:before="40" w:after="40"/>
              <w:jc w:val="center"/>
              <w:rPr>
                <w:rFonts w:eastAsia="Arial Bold"/>
                <w:noProof w:val="0"/>
                <w:color w:val="FFFFFF"/>
              </w:rPr>
            </w:pPr>
          </w:p>
        </w:tc>
        <w:tc>
          <w:tcPr>
            <w:tcW w:w="992" w:type="dxa"/>
            <w:tcBorders>
              <w:bottom w:val="single" w:sz="4" w:space="0" w:color="1B556B" w:themeColor="text2"/>
            </w:tcBorders>
            <w:shd w:val="clear" w:color="auto" w:fill="1B556B" w:themeFill="text2"/>
          </w:tcPr>
          <w:p w14:paraId="43652FFB" w14:textId="77777777" w:rsidR="0010265C" w:rsidRPr="00261B7A" w:rsidRDefault="0010265C" w:rsidP="00D41492">
            <w:pPr>
              <w:pStyle w:val="TableTextBold"/>
              <w:spacing w:before="40" w:after="40"/>
              <w:jc w:val="right"/>
              <w:rPr>
                <w:rFonts w:eastAsia="Arial Bold"/>
                <w:noProof w:val="0"/>
                <w:color w:val="FFFFFF"/>
              </w:rPr>
            </w:pPr>
            <w:r w:rsidRPr="00261B7A">
              <w:rPr>
                <w:rFonts w:eastAsia="Arial Bold"/>
                <w:noProof w:val="0"/>
                <w:color w:val="FFFFFF"/>
              </w:rPr>
              <w:t>1990</w:t>
            </w:r>
          </w:p>
        </w:tc>
        <w:tc>
          <w:tcPr>
            <w:tcW w:w="992" w:type="dxa"/>
            <w:tcBorders>
              <w:bottom w:val="single" w:sz="4" w:space="0" w:color="1B556B" w:themeColor="text2"/>
            </w:tcBorders>
            <w:shd w:val="clear" w:color="auto" w:fill="1B556B" w:themeFill="text2"/>
          </w:tcPr>
          <w:p w14:paraId="1BEE8E85" w14:textId="77777777" w:rsidR="0010265C" w:rsidRPr="00261B7A" w:rsidRDefault="0010265C" w:rsidP="00D41492">
            <w:pPr>
              <w:pStyle w:val="TableTextBold"/>
              <w:spacing w:before="40" w:after="40"/>
              <w:jc w:val="right"/>
              <w:rPr>
                <w:rFonts w:eastAsia="Arial Bold"/>
                <w:noProof w:val="0"/>
                <w:color w:val="FFFFFF"/>
              </w:rPr>
            </w:pPr>
            <w:r w:rsidRPr="00261B7A">
              <w:rPr>
                <w:rFonts w:eastAsia="Arial Bold"/>
                <w:noProof w:val="0"/>
                <w:color w:val="FFFFFF"/>
              </w:rPr>
              <w:t>2021</w:t>
            </w:r>
          </w:p>
        </w:tc>
        <w:tc>
          <w:tcPr>
            <w:tcW w:w="992" w:type="dxa"/>
            <w:vMerge/>
            <w:tcBorders>
              <w:bottom w:val="single" w:sz="4" w:space="0" w:color="1B556B" w:themeColor="text2"/>
            </w:tcBorders>
            <w:shd w:val="clear" w:color="auto" w:fill="1B556B" w:themeFill="text2"/>
          </w:tcPr>
          <w:p w14:paraId="29DE5218" w14:textId="77777777" w:rsidR="0010265C" w:rsidRPr="00261B7A" w:rsidRDefault="0010265C" w:rsidP="00D41492">
            <w:pPr>
              <w:pStyle w:val="TableTextBold"/>
              <w:spacing w:before="40" w:after="40"/>
              <w:jc w:val="center"/>
              <w:rPr>
                <w:rFonts w:eastAsia="Arial Bold"/>
                <w:noProof w:val="0"/>
                <w:color w:val="FFFFFF"/>
              </w:rPr>
            </w:pPr>
          </w:p>
        </w:tc>
      </w:tr>
      <w:tr w:rsidR="0010265C" w:rsidRPr="00261B7A" w14:paraId="2C1675AB" w14:textId="77777777" w:rsidTr="00D013BA">
        <w:tc>
          <w:tcPr>
            <w:tcW w:w="1985" w:type="dxa"/>
            <w:tcBorders>
              <w:top w:val="single" w:sz="4" w:space="0" w:color="1B556B" w:themeColor="text2"/>
              <w:bottom w:val="single" w:sz="4" w:space="0" w:color="1B556B" w:themeColor="text2"/>
            </w:tcBorders>
            <w:shd w:val="clear" w:color="auto" w:fill="auto"/>
          </w:tcPr>
          <w:p w14:paraId="0E7F69E3" w14:textId="77777777" w:rsidR="0010265C" w:rsidRPr="00261B7A" w:rsidRDefault="0010265C" w:rsidP="00D41492">
            <w:pPr>
              <w:pStyle w:val="TableText"/>
              <w:spacing w:before="50" w:after="50"/>
              <w:rPr>
                <w:rFonts w:eastAsia="Arial Bold"/>
              </w:rPr>
            </w:pPr>
            <w:r w:rsidRPr="00261B7A">
              <w:rPr>
                <w:rFonts w:eastAsia="Arial Bold"/>
              </w:rPr>
              <w:t>Pre-1990 natural forest</w:t>
            </w:r>
          </w:p>
        </w:tc>
        <w:tc>
          <w:tcPr>
            <w:tcW w:w="1276" w:type="dxa"/>
            <w:tcBorders>
              <w:top w:val="single" w:sz="4" w:space="0" w:color="1B556B" w:themeColor="text2"/>
              <w:bottom w:val="single" w:sz="4" w:space="0" w:color="1B556B" w:themeColor="text2"/>
            </w:tcBorders>
            <w:shd w:val="clear" w:color="auto" w:fill="auto"/>
            <w:vAlign w:val="center"/>
          </w:tcPr>
          <w:p w14:paraId="490DE1BC" w14:textId="77777777" w:rsidR="0010265C" w:rsidRPr="00261B7A" w:rsidRDefault="0010265C" w:rsidP="00D41492">
            <w:pPr>
              <w:pStyle w:val="TableText"/>
              <w:spacing w:before="50" w:after="50"/>
              <w:jc w:val="right"/>
              <w:rPr>
                <w:rFonts w:eastAsia="Arial Bold"/>
              </w:rPr>
            </w:pPr>
            <w:r w:rsidRPr="00261B7A">
              <w:rPr>
                <w:rFonts w:cs="Calibri"/>
                <w:color w:val="000000"/>
                <w:szCs w:val="16"/>
              </w:rPr>
              <w:t>7,819,749</w:t>
            </w:r>
          </w:p>
        </w:tc>
        <w:tc>
          <w:tcPr>
            <w:tcW w:w="1275" w:type="dxa"/>
            <w:tcBorders>
              <w:top w:val="single" w:sz="4" w:space="0" w:color="1B556B" w:themeColor="text2"/>
              <w:bottom w:val="single" w:sz="4" w:space="0" w:color="1B556B" w:themeColor="text2"/>
            </w:tcBorders>
            <w:shd w:val="clear" w:color="auto" w:fill="auto"/>
            <w:vAlign w:val="center"/>
          </w:tcPr>
          <w:p w14:paraId="3499D2F2" w14:textId="77777777" w:rsidR="0010265C" w:rsidRPr="00261B7A" w:rsidRDefault="0010265C" w:rsidP="00D41492">
            <w:pPr>
              <w:pStyle w:val="TableText"/>
              <w:spacing w:before="50" w:after="50"/>
              <w:jc w:val="right"/>
              <w:rPr>
                <w:rFonts w:eastAsia="Arial Bold"/>
              </w:rPr>
            </w:pPr>
            <w:r w:rsidRPr="00261B7A">
              <w:rPr>
                <w:rFonts w:cs="Calibri"/>
                <w:color w:val="000000"/>
                <w:szCs w:val="16"/>
              </w:rPr>
              <w:t>7,750,513</w:t>
            </w:r>
          </w:p>
        </w:tc>
        <w:tc>
          <w:tcPr>
            <w:tcW w:w="993" w:type="dxa"/>
            <w:tcBorders>
              <w:top w:val="single" w:sz="4" w:space="0" w:color="1B556B" w:themeColor="text2"/>
              <w:bottom w:val="single" w:sz="4" w:space="0" w:color="1B556B" w:themeColor="text2"/>
            </w:tcBorders>
            <w:shd w:val="clear" w:color="auto" w:fill="auto"/>
            <w:vAlign w:val="center"/>
          </w:tcPr>
          <w:p w14:paraId="0C3E6C1A" w14:textId="77777777" w:rsidR="0010265C" w:rsidRPr="00261B7A" w:rsidRDefault="0010265C" w:rsidP="00D41492">
            <w:pPr>
              <w:pStyle w:val="TableText"/>
              <w:spacing w:before="50" w:after="50"/>
              <w:jc w:val="right"/>
              <w:rPr>
                <w:rFonts w:eastAsia="Arial Bold"/>
              </w:rPr>
            </w:pPr>
            <w:r w:rsidRPr="00261B7A">
              <w:rPr>
                <w:rFonts w:cs="Calibri"/>
                <w:color w:val="000000"/>
                <w:szCs w:val="16"/>
              </w:rPr>
              <w:t>–0.9</w:t>
            </w:r>
          </w:p>
        </w:tc>
        <w:tc>
          <w:tcPr>
            <w:tcW w:w="992" w:type="dxa"/>
            <w:tcBorders>
              <w:top w:val="single" w:sz="4" w:space="0" w:color="1B556B" w:themeColor="text2"/>
              <w:bottom w:val="single" w:sz="4" w:space="0" w:color="1B556B" w:themeColor="text2"/>
            </w:tcBorders>
            <w:shd w:val="clear" w:color="auto" w:fill="auto"/>
            <w:vAlign w:val="center"/>
          </w:tcPr>
          <w:p w14:paraId="51C5E149" w14:textId="77777777" w:rsidR="0010265C" w:rsidRPr="00261B7A" w:rsidRDefault="0010265C" w:rsidP="00D41492">
            <w:pPr>
              <w:pStyle w:val="TableText"/>
              <w:spacing w:before="50" w:after="50"/>
              <w:jc w:val="right"/>
              <w:rPr>
                <w:rFonts w:eastAsia="Arial Bold"/>
              </w:rPr>
            </w:pPr>
            <w:r w:rsidRPr="00261B7A">
              <w:rPr>
                <w:rFonts w:cs="Calibri"/>
                <w:szCs w:val="16"/>
              </w:rPr>
              <w:t xml:space="preserve">–1,373.5 </w:t>
            </w:r>
          </w:p>
        </w:tc>
        <w:tc>
          <w:tcPr>
            <w:tcW w:w="992" w:type="dxa"/>
            <w:tcBorders>
              <w:top w:val="single" w:sz="4" w:space="0" w:color="1B556B" w:themeColor="text2"/>
              <w:bottom w:val="single" w:sz="4" w:space="0" w:color="1B556B" w:themeColor="text2"/>
            </w:tcBorders>
            <w:shd w:val="clear" w:color="auto" w:fill="auto"/>
            <w:vAlign w:val="center"/>
          </w:tcPr>
          <w:p w14:paraId="2F607E12" w14:textId="77777777" w:rsidR="0010265C" w:rsidRPr="00261B7A" w:rsidRDefault="0010265C" w:rsidP="00D41492">
            <w:pPr>
              <w:pStyle w:val="TableText"/>
              <w:spacing w:before="50" w:after="50"/>
              <w:jc w:val="right"/>
              <w:rPr>
                <w:rFonts w:eastAsia="Arial Bold"/>
              </w:rPr>
            </w:pPr>
            <w:r w:rsidRPr="00261B7A">
              <w:rPr>
                <w:rFonts w:cs="Calibri"/>
                <w:szCs w:val="16"/>
              </w:rPr>
              <w:t>–</w:t>
            </w:r>
            <w:r w:rsidRPr="00261B7A">
              <w:rPr>
                <w:rFonts w:cs="Calibri"/>
                <w:color w:val="000000"/>
                <w:szCs w:val="16"/>
              </w:rPr>
              <w:t>1,369.9</w:t>
            </w:r>
          </w:p>
        </w:tc>
        <w:tc>
          <w:tcPr>
            <w:tcW w:w="992" w:type="dxa"/>
            <w:tcBorders>
              <w:top w:val="single" w:sz="4" w:space="0" w:color="1B556B" w:themeColor="text2"/>
              <w:bottom w:val="single" w:sz="4" w:space="0" w:color="1B556B" w:themeColor="text2"/>
            </w:tcBorders>
            <w:shd w:val="clear" w:color="auto" w:fill="auto"/>
            <w:vAlign w:val="center"/>
          </w:tcPr>
          <w:p w14:paraId="23D13622" w14:textId="77777777" w:rsidR="0010265C" w:rsidRPr="00261B7A" w:rsidRDefault="0010265C" w:rsidP="00D41492">
            <w:pPr>
              <w:pStyle w:val="TableText"/>
              <w:spacing w:before="50" w:after="50"/>
              <w:jc w:val="right"/>
              <w:rPr>
                <w:rFonts w:eastAsia="Arial Bold"/>
              </w:rPr>
            </w:pPr>
            <w:r w:rsidRPr="00261B7A">
              <w:rPr>
                <w:rFonts w:cs="Calibri"/>
                <w:szCs w:val="16"/>
              </w:rPr>
              <w:t>+0.3</w:t>
            </w:r>
          </w:p>
        </w:tc>
      </w:tr>
      <w:tr w:rsidR="0010265C" w:rsidRPr="00261B7A" w14:paraId="59DE60B8" w14:textId="77777777" w:rsidTr="00D013BA">
        <w:tc>
          <w:tcPr>
            <w:tcW w:w="1985" w:type="dxa"/>
            <w:tcBorders>
              <w:top w:val="single" w:sz="4" w:space="0" w:color="1B556B" w:themeColor="text2"/>
              <w:bottom w:val="single" w:sz="4" w:space="0" w:color="1B556B" w:themeColor="text2"/>
            </w:tcBorders>
            <w:shd w:val="clear" w:color="auto" w:fill="auto"/>
          </w:tcPr>
          <w:p w14:paraId="74ACE740" w14:textId="77777777" w:rsidR="0010265C" w:rsidRPr="00261B7A" w:rsidRDefault="0010265C" w:rsidP="00D41492">
            <w:pPr>
              <w:pStyle w:val="TableText"/>
              <w:spacing w:before="50" w:after="50"/>
              <w:rPr>
                <w:rFonts w:eastAsia="Arial Bold"/>
              </w:rPr>
            </w:pPr>
            <w:r w:rsidRPr="00261B7A">
              <w:rPr>
                <w:rFonts w:eastAsia="Arial Bold"/>
              </w:rPr>
              <w:t>Pre-1990 planted forest</w:t>
            </w:r>
          </w:p>
        </w:tc>
        <w:tc>
          <w:tcPr>
            <w:tcW w:w="1276" w:type="dxa"/>
            <w:tcBorders>
              <w:top w:val="single" w:sz="4" w:space="0" w:color="1B556B" w:themeColor="text2"/>
              <w:bottom w:val="single" w:sz="4" w:space="0" w:color="1B556B" w:themeColor="text2"/>
            </w:tcBorders>
            <w:shd w:val="clear" w:color="auto" w:fill="auto"/>
            <w:vAlign w:val="center"/>
          </w:tcPr>
          <w:p w14:paraId="2830830E" w14:textId="77777777" w:rsidR="0010265C" w:rsidRPr="00261B7A" w:rsidRDefault="0010265C" w:rsidP="00D41492">
            <w:pPr>
              <w:pStyle w:val="TableText"/>
              <w:spacing w:before="50" w:after="50"/>
              <w:jc w:val="right"/>
            </w:pPr>
            <w:r w:rsidRPr="00261B7A">
              <w:rPr>
                <w:rFonts w:cs="Calibri"/>
                <w:color w:val="000000"/>
                <w:szCs w:val="16"/>
              </w:rPr>
              <w:t>1,547,195</w:t>
            </w:r>
          </w:p>
        </w:tc>
        <w:tc>
          <w:tcPr>
            <w:tcW w:w="1275" w:type="dxa"/>
            <w:tcBorders>
              <w:top w:val="single" w:sz="4" w:space="0" w:color="1B556B" w:themeColor="text2"/>
              <w:bottom w:val="single" w:sz="4" w:space="0" w:color="1B556B" w:themeColor="text2"/>
            </w:tcBorders>
            <w:shd w:val="clear" w:color="auto" w:fill="auto"/>
            <w:vAlign w:val="center"/>
          </w:tcPr>
          <w:p w14:paraId="68206CDA" w14:textId="77777777" w:rsidR="0010265C" w:rsidRPr="00261B7A" w:rsidRDefault="0010265C" w:rsidP="00D41492">
            <w:pPr>
              <w:pStyle w:val="TableText"/>
              <w:spacing w:before="50" w:after="50"/>
              <w:jc w:val="right"/>
            </w:pPr>
            <w:r w:rsidRPr="00261B7A">
              <w:rPr>
                <w:rFonts w:cs="Calibri"/>
                <w:color w:val="000000"/>
                <w:szCs w:val="16"/>
              </w:rPr>
              <w:t>1,437,783</w:t>
            </w:r>
          </w:p>
        </w:tc>
        <w:tc>
          <w:tcPr>
            <w:tcW w:w="993" w:type="dxa"/>
            <w:tcBorders>
              <w:top w:val="single" w:sz="4" w:space="0" w:color="1B556B" w:themeColor="text2"/>
              <w:bottom w:val="single" w:sz="4" w:space="0" w:color="1B556B" w:themeColor="text2"/>
            </w:tcBorders>
            <w:shd w:val="clear" w:color="auto" w:fill="auto"/>
            <w:vAlign w:val="center"/>
          </w:tcPr>
          <w:p w14:paraId="3EFCCCF3" w14:textId="77777777" w:rsidR="0010265C" w:rsidRPr="00261B7A" w:rsidRDefault="0010265C" w:rsidP="00D41492">
            <w:pPr>
              <w:pStyle w:val="TableText"/>
              <w:spacing w:before="50" w:after="50"/>
              <w:jc w:val="right"/>
            </w:pPr>
            <w:r w:rsidRPr="00261B7A">
              <w:rPr>
                <w:rFonts w:cs="Calibri"/>
                <w:szCs w:val="16"/>
              </w:rPr>
              <w:t>–</w:t>
            </w:r>
            <w:r w:rsidRPr="00261B7A">
              <w:rPr>
                <w:rFonts w:cs="Calibri"/>
                <w:color w:val="000000"/>
                <w:szCs w:val="16"/>
              </w:rPr>
              <w:t>7.1</w:t>
            </w:r>
          </w:p>
        </w:tc>
        <w:tc>
          <w:tcPr>
            <w:tcW w:w="992" w:type="dxa"/>
            <w:tcBorders>
              <w:top w:val="single" w:sz="4" w:space="0" w:color="1B556B" w:themeColor="text2"/>
              <w:bottom w:val="single" w:sz="4" w:space="0" w:color="1B556B" w:themeColor="text2"/>
            </w:tcBorders>
            <w:shd w:val="clear" w:color="auto" w:fill="auto"/>
            <w:vAlign w:val="center"/>
          </w:tcPr>
          <w:p w14:paraId="034F5362" w14:textId="77777777" w:rsidR="0010265C" w:rsidRPr="00261B7A" w:rsidRDefault="0010265C" w:rsidP="00D41492">
            <w:pPr>
              <w:pStyle w:val="TableText"/>
              <w:spacing w:before="50" w:after="50"/>
              <w:jc w:val="right"/>
            </w:pPr>
            <w:r w:rsidRPr="00261B7A">
              <w:rPr>
                <w:rFonts w:cs="Calibri"/>
                <w:szCs w:val="16"/>
              </w:rPr>
              <w:t>–</w:t>
            </w:r>
            <w:r w:rsidRPr="00261B7A">
              <w:rPr>
                <w:rFonts w:cs="Calibri"/>
                <w:color w:val="000000"/>
                <w:szCs w:val="16"/>
              </w:rPr>
              <w:t>18,059.9</w:t>
            </w:r>
          </w:p>
        </w:tc>
        <w:tc>
          <w:tcPr>
            <w:tcW w:w="992" w:type="dxa"/>
            <w:tcBorders>
              <w:top w:val="single" w:sz="4" w:space="0" w:color="1B556B" w:themeColor="text2"/>
              <w:bottom w:val="single" w:sz="4" w:space="0" w:color="1B556B" w:themeColor="text2"/>
            </w:tcBorders>
            <w:shd w:val="clear" w:color="auto" w:fill="auto"/>
            <w:vAlign w:val="center"/>
          </w:tcPr>
          <w:p w14:paraId="153E868F" w14:textId="77777777" w:rsidR="0010265C" w:rsidRPr="00261B7A" w:rsidRDefault="0010265C" w:rsidP="00D41492">
            <w:pPr>
              <w:pStyle w:val="TableText"/>
              <w:spacing w:before="50" w:after="50"/>
              <w:jc w:val="right"/>
            </w:pPr>
            <w:r w:rsidRPr="00261B7A">
              <w:rPr>
                <w:rFonts w:cs="Calibri"/>
                <w:szCs w:val="16"/>
              </w:rPr>
              <w:t>–</w:t>
            </w:r>
            <w:r w:rsidRPr="00261B7A">
              <w:rPr>
                <w:rFonts w:cs="Calibri"/>
                <w:color w:val="000000"/>
                <w:szCs w:val="16"/>
              </w:rPr>
              <w:t>7,822.5</w:t>
            </w:r>
          </w:p>
        </w:tc>
        <w:tc>
          <w:tcPr>
            <w:tcW w:w="992" w:type="dxa"/>
            <w:tcBorders>
              <w:top w:val="single" w:sz="4" w:space="0" w:color="1B556B" w:themeColor="text2"/>
              <w:bottom w:val="single" w:sz="4" w:space="0" w:color="1B556B" w:themeColor="text2"/>
            </w:tcBorders>
            <w:shd w:val="clear" w:color="auto" w:fill="auto"/>
            <w:vAlign w:val="center"/>
          </w:tcPr>
          <w:p w14:paraId="1ABCD905" w14:textId="77777777" w:rsidR="0010265C" w:rsidRPr="00261B7A" w:rsidRDefault="0010265C" w:rsidP="00D41492">
            <w:pPr>
              <w:pStyle w:val="TableText"/>
              <w:spacing w:before="50" w:after="50"/>
              <w:jc w:val="right"/>
            </w:pPr>
            <w:r w:rsidRPr="00261B7A">
              <w:rPr>
                <w:rFonts w:cs="Calibri"/>
                <w:szCs w:val="16"/>
              </w:rPr>
              <w:t>+56.7</w:t>
            </w:r>
          </w:p>
        </w:tc>
      </w:tr>
      <w:tr w:rsidR="0010265C" w:rsidRPr="00261B7A" w14:paraId="3D3525AF" w14:textId="77777777" w:rsidTr="00D013BA">
        <w:tc>
          <w:tcPr>
            <w:tcW w:w="1985" w:type="dxa"/>
            <w:tcBorders>
              <w:top w:val="single" w:sz="4" w:space="0" w:color="1B556B" w:themeColor="text2"/>
              <w:bottom w:val="single" w:sz="4" w:space="0" w:color="1B556B" w:themeColor="text2"/>
            </w:tcBorders>
            <w:shd w:val="clear" w:color="auto" w:fill="auto"/>
          </w:tcPr>
          <w:p w14:paraId="43314CC2" w14:textId="77777777" w:rsidR="0010265C" w:rsidRPr="00261B7A" w:rsidRDefault="0010265C" w:rsidP="00D41492">
            <w:pPr>
              <w:pStyle w:val="TableText"/>
              <w:spacing w:before="50" w:after="50"/>
              <w:rPr>
                <w:rFonts w:eastAsia="Arial Bold"/>
              </w:rPr>
            </w:pPr>
            <w:r w:rsidRPr="00261B7A">
              <w:rPr>
                <w:rFonts w:eastAsia="Arial Bold"/>
              </w:rPr>
              <w:t>Post-1989 planted forest</w:t>
            </w:r>
          </w:p>
        </w:tc>
        <w:tc>
          <w:tcPr>
            <w:tcW w:w="1276" w:type="dxa"/>
            <w:tcBorders>
              <w:top w:val="single" w:sz="4" w:space="0" w:color="1B556B" w:themeColor="text2"/>
              <w:bottom w:val="single" w:sz="4" w:space="0" w:color="1B556B" w:themeColor="text2"/>
            </w:tcBorders>
            <w:shd w:val="clear" w:color="auto" w:fill="auto"/>
            <w:vAlign w:val="center"/>
          </w:tcPr>
          <w:p w14:paraId="555A871E" w14:textId="77777777" w:rsidR="0010265C" w:rsidRPr="00261B7A" w:rsidRDefault="0010265C" w:rsidP="00D41492">
            <w:pPr>
              <w:pStyle w:val="TableText"/>
              <w:spacing w:before="50" w:after="50"/>
              <w:jc w:val="right"/>
              <w:rPr>
                <w:rFonts w:eastAsia="Arial Bold"/>
              </w:rPr>
            </w:pPr>
            <w:r w:rsidRPr="00261B7A">
              <w:rPr>
                <w:rFonts w:cs="Calibri"/>
                <w:color w:val="000000"/>
                <w:szCs w:val="16"/>
              </w:rPr>
              <w:t>0</w:t>
            </w:r>
          </w:p>
        </w:tc>
        <w:tc>
          <w:tcPr>
            <w:tcW w:w="1275" w:type="dxa"/>
            <w:tcBorders>
              <w:top w:val="single" w:sz="4" w:space="0" w:color="1B556B" w:themeColor="text2"/>
              <w:bottom w:val="single" w:sz="4" w:space="0" w:color="1B556B" w:themeColor="text2"/>
            </w:tcBorders>
            <w:shd w:val="clear" w:color="auto" w:fill="auto"/>
            <w:vAlign w:val="center"/>
          </w:tcPr>
          <w:p w14:paraId="0CFE5F2C" w14:textId="77777777" w:rsidR="0010265C" w:rsidRPr="00261B7A" w:rsidRDefault="0010265C" w:rsidP="00D41492">
            <w:pPr>
              <w:pStyle w:val="TableText"/>
              <w:spacing w:before="50" w:after="50"/>
              <w:jc w:val="right"/>
              <w:rPr>
                <w:rFonts w:eastAsia="Arial Bold"/>
              </w:rPr>
            </w:pPr>
            <w:r w:rsidRPr="00261B7A">
              <w:rPr>
                <w:rFonts w:cs="Calibri"/>
                <w:color w:val="000000"/>
                <w:szCs w:val="16"/>
              </w:rPr>
              <w:t>733,805</w:t>
            </w:r>
          </w:p>
        </w:tc>
        <w:tc>
          <w:tcPr>
            <w:tcW w:w="993" w:type="dxa"/>
            <w:tcBorders>
              <w:top w:val="single" w:sz="4" w:space="0" w:color="1B556B" w:themeColor="text2"/>
              <w:bottom w:val="single" w:sz="4" w:space="0" w:color="1B556B" w:themeColor="text2"/>
            </w:tcBorders>
            <w:shd w:val="clear" w:color="auto" w:fill="auto"/>
            <w:vAlign w:val="center"/>
          </w:tcPr>
          <w:p w14:paraId="1595C339" w14:textId="77777777" w:rsidR="0010265C" w:rsidRPr="00261B7A" w:rsidRDefault="0010265C" w:rsidP="00D41492">
            <w:pPr>
              <w:pStyle w:val="TableText"/>
              <w:spacing w:before="50" w:after="50"/>
              <w:jc w:val="right"/>
              <w:rPr>
                <w:rFonts w:eastAsia="Arial Bold"/>
              </w:rPr>
            </w:pPr>
            <w:r w:rsidRPr="00261B7A">
              <w:rPr>
                <w:rFonts w:cs="Calibri"/>
                <w:color w:val="000000"/>
                <w:szCs w:val="16"/>
              </w:rPr>
              <w:t> </w:t>
            </w:r>
          </w:p>
        </w:tc>
        <w:tc>
          <w:tcPr>
            <w:tcW w:w="992" w:type="dxa"/>
            <w:tcBorders>
              <w:top w:val="single" w:sz="4" w:space="0" w:color="1B556B" w:themeColor="text2"/>
              <w:bottom w:val="single" w:sz="4" w:space="0" w:color="1B556B" w:themeColor="text2"/>
            </w:tcBorders>
            <w:shd w:val="clear" w:color="auto" w:fill="auto"/>
            <w:vAlign w:val="center"/>
          </w:tcPr>
          <w:p w14:paraId="2D6F29F0" w14:textId="77777777" w:rsidR="0010265C" w:rsidRPr="00261B7A" w:rsidRDefault="0010265C" w:rsidP="00D41492">
            <w:pPr>
              <w:pStyle w:val="TableText"/>
              <w:spacing w:before="50" w:after="50"/>
              <w:jc w:val="right"/>
              <w:rPr>
                <w:rFonts w:eastAsia="Arial Bold"/>
              </w:rPr>
            </w:pPr>
            <w:r w:rsidRPr="00261B7A">
              <w:rPr>
                <w:rFonts w:cs="Calibri"/>
                <w:szCs w:val="16"/>
              </w:rPr>
              <w:t xml:space="preserve">153.8 </w:t>
            </w:r>
          </w:p>
        </w:tc>
        <w:tc>
          <w:tcPr>
            <w:tcW w:w="992" w:type="dxa"/>
            <w:tcBorders>
              <w:top w:val="single" w:sz="4" w:space="0" w:color="1B556B" w:themeColor="text2"/>
              <w:bottom w:val="single" w:sz="4" w:space="0" w:color="1B556B" w:themeColor="text2"/>
            </w:tcBorders>
            <w:shd w:val="clear" w:color="auto" w:fill="auto"/>
            <w:vAlign w:val="center"/>
          </w:tcPr>
          <w:p w14:paraId="1CA8B9ED" w14:textId="77777777" w:rsidR="0010265C" w:rsidRPr="00261B7A" w:rsidRDefault="0010265C" w:rsidP="00D41492">
            <w:pPr>
              <w:pStyle w:val="TableText"/>
              <w:spacing w:before="50" w:after="50"/>
              <w:jc w:val="right"/>
              <w:rPr>
                <w:rFonts w:eastAsia="Arial Bold"/>
              </w:rPr>
            </w:pPr>
            <w:r w:rsidRPr="00261B7A">
              <w:rPr>
                <w:rFonts w:cs="Calibri"/>
                <w:szCs w:val="16"/>
              </w:rPr>
              <w:t xml:space="preserve">–6,083.9 </w:t>
            </w:r>
          </w:p>
        </w:tc>
        <w:tc>
          <w:tcPr>
            <w:tcW w:w="992" w:type="dxa"/>
            <w:tcBorders>
              <w:top w:val="single" w:sz="4" w:space="0" w:color="1B556B" w:themeColor="text2"/>
              <w:bottom w:val="single" w:sz="4" w:space="0" w:color="1B556B" w:themeColor="text2"/>
            </w:tcBorders>
            <w:shd w:val="clear" w:color="auto" w:fill="auto"/>
            <w:vAlign w:val="center"/>
          </w:tcPr>
          <w:p w14:paraId="0FF1757E" w14:textId="77777777" w:rsidR="0010265C" w:rsidRPr="00261B7A" w:rsidRDefault="0010265C" w:rsidP="00D41492">
            <w:pPr>
              <w:pStyle w:val="TableText"/>
              <w:spacing w:before="50" w:after="50"/>
              <w:jc w:val="right"/>
              <w:rPr>
                <w:rFonts w:eastAsia="Arial Bold"/>
              </w:rPr>
            </w:pPr>
            <w:r w:rsidRPr="00261B7A">
              <w:rPr>
                <w:rFonts w:cs="Calibri"/>
                <w:szCs w:val="16"/>
              </w:rPr>
              <w:t>–4,056.9</w:t>
            </w:r>
          </w:p>
        </w:tc>
      </w:tr>
      <w:tr w:rsidR="0010265C" w:rsidRPr="00261B7A" w14:paraId="5180FD3B" w14:textId="77777777" w:rsidTr="00D013BA">
        <w:tc>
          <w:tcPr>
            <w:tcW w:w="1985" w:type="dxa"/>
            <w:tcBorders>
              <w:top w:val="single" w:sz="4" w:space="0" w:color="1B556B" w:themeColor="text2"/>
              <w:bottom w:val="single" w:sz="4" w:space="0" w:color="1B556B" w:themeColor="text2"/>
            </w:tcBorders>
            <w:shd w:val="clear" w:color="auto" w:fill="auto"/>
          </w:tcPr>
          <w:p w14:paraId="3AF38C48" w14:textId="77777777" w:rsidR="0010265C" w:rsidRPr="00261B7A" w:rsidRDefault="0010265C" w:rsidP="00D41492">
            <w:pPr>
              <w:pStyle w:val="TableText"/>
              <w:spacing w:before="50" w:after="50"/>
              <w:rPr>
                <w:rFonts w:eastAsia="Arial Bold"/>
              </w:rPr>
            </w:pPr>
            <w:r w:rsidRPr="00261B7A">
              <w:rPr>
                <w:rFonts w:eastAsia="Arial Bold"/>
              </w:rPr>
              <w:t>Post-1989 natural forest</w:t>
            </w:r>
          </w:p>
        </w:tc>
        <w:tc>
          <w:tcPr>
            <w:tcW w:w="1276" w:type="dxa"/>
            <w:tcBorders>
              <w:top w:val="single" w:sz="4" w:space="0" w:color="1B556B" w:themeColor="text2"/>
              <w:bottom w:val="single" w:sz="4" w:space="0" w:color="1B556B" w:themeColor="text2"/>
            </w:tcBorders>
            <w:shd w:val="clear" w:color="auto" w:fill="auto"/>
            <w:vAlign w:val="center"/>
          </w:tcPr>
          <w:p w14:paraId="2C597A9A" w14:textId="77777777" w:rsidR="0010265C" w:rsidRPr="00261B7A" w:rsidRDefault="0010265C" w:rsidP="00D41492">
            <w:pPr>
              <w:pStyle w:val="TableText"/>
              <w:spacing w:before="50" w:after="50"/>
              <w:jc w:val="right"/>
            </w:pPr>
            <w:r w:rsidRPr="00261B7A">
              <w:rPr>
                <w:rFonts w:cs="Calibri"/>
                <w:color w:val="000000"/>
                <w:szCs w:val="16"/>
              </w:rPr>
              <w:t>0</w:t>
            </w:r>
          </w:p>
        </w:tc>
        <w:tc>
          <w:tcPr>
            <w:tcW w:w="1275" w:type="dxa"/>
            <w:tcBorders>
              <w:top w:val="single" w:sz="4" w:space="0" w:color="1B556B" w:themeColor="text2"/>
              <w:bottom w:val="single" w:sz="4" w:space="0" w:color="1B556B" w:themeColor="text2"/>
            </w:tcBorders>
            <w:shd w:val="clear" w:color="auto" w:fill="auto"/>
            <w:vAlign w:val="center"/>
          </w:tcPr>
          <w:p w14:paraId="7FC1349E" w14:textId="77777777" w:rsidR="0010265C" w:rsidRPr="00261B7A" w:rsidRDefault="0010265C" w:rsidP="00D41492">
            <w:pPr>
              <w:pStyle w:val="TableText"/>
              <w:spacing w:before="50" w:after="50"/>
              <w:jc w:val="right"/>
            </w:pPr>
            <w:r w:rsidRPr="00261B7A">
              <w:rPr>
                <w:rFonts w:cs="Calibri"/>
                <w:color w:val="000000"/>
                <w:szCs w:val="16"/>
              </w:rPr>
              <w:t>95,163</w:t>
            </w:r>
          </w:p>
        </w:tc>
        <w:tc>
          <w:tcPr>
            <w:tcW w:w="993" w:type="dxa"/>
            <w:tcBorders>
              <w:top w:val="single" w:sz="4" w:space="0" w:color="1B556B" w:themeColor="text2"/>
              <w:bottom w:val="single" w:sz="4" w:space="0" w:color="1B556B" w:themeColor="text2"/>
            </w:tcBorders>
            <w:shd w:val="clear" w:color="auto" w:fill="auto"/>
            <w:vAlign w:val="center"/>
          </w:tcPr>
          <w:p w14:paraId="320C86F6" w14:textId="77777777" w:rsidR="0010265C" w:rsidRPr="00261B7A" w:rsidRDefault="0010265C" w:rsidP="00D41492">
            <w:pPr>
              <w:pStyle w:val="TableText"/>
              <w:spacing w:before="50" w:after="50"/>
              <w:jc w:val="right"/>
            </w:pPr>
            <w:r w:rsidRPr="00261B7A">
              <w:rPr>
                <w:rFonts w:cs="Calibri"/>
                <w:color w:val="000000"/>
                <w:szCs w:val="16"/>
              </w:rPr>
              <w:t> </w:t>
            </w:r>
          </w:p>
        </w:tc>
        <w:tc>
          <w:tcPr>
            <w:tcW w:w="992" w:type="dxa"/>
            <w:tcBorders>
              <w:top w:val="single" w:sz="4" w:space="0" w:color="1B556B" w:themeColor="text2"/>
              <w:bottom w:val="single" w:sz="4" w:space="0" w:color="1B556B" w:themeColor="text2"/>
            </w:tcBorders>
            <w:shd w:val="clear" w:color="auto" w:fill="auto"/>
            <w:vAlign w:val="center"/>
          </w:tcPr>
          <w:p w14:paraId="25A2650F" w14:textId="77777777" w:rsidR="0010265C" w:rsidRPr="00261B7A" w:rsidRDefault="0010265C" w:rsidP="00D41492">
            <w:pPr>
              <w:pStyle w:val="TableText"/>
              <w:spacing w:before="50" w:after="50"/>
              <w:jc w:val="right"/>
            </w:pPr>
            <w:r w:rsidRPr="00261B7A">
              <w:t xml:space="preserve">3.8 </w:t>
            </w:r>
          </w:p>
        </w:tc>
        <w:tc>
          <w:tcPr>
            <w:tcW w:w="992" w:type="dxa"/>
            <w:tcBorders>
              <w:top w:val="single" w:sz="4" w:space="0" w:color="1B556B" w:themeColor="text2"/>
              <w:bottom w:val="single" w:sz="4" w:space="0" w:color="1B556B" w:themeColor="text2"/>
            </w:tcBorders>
            <w:shd w:val="clear" w:color="auto" w:fill="auto"/>
            <w:vAlign w:val="center"/>
          </w:tcPr>
          <w:p w14:paraId="620BB42F" w14:textId="77777777" w:rsidR="0010265C" w:rsidRPr="00261B7A" w:rsidRDefault="0010265C" w:rsidP="00D41492">
            <w:pPr>
              <w:pStyle w:val="TableText"/>
              <w:spacing w:before="50" w:after="50"/>
              <w:jc w:val="right"/>
            </w:pPr>
            <w:r w:rsidRPr="00261B7A">
              <w:rPr>
                <w:rFonts w:cs="Calibri"/>
                <w:szCs w:val="16"/>
              </w:rPr>
              <w:t>–</w:t>
            </w:r>
            <w:r w:rsidRPr="00261B7A">
              <w:rPr>
                <w:rFonts w:cs="Calibri"/>
                <w:color w:val="000000"/>
                <w:szCs w:val="16"/>
              </w:rPr>
              <w:t>718.5</w:t>
            </w:r>
          </w:p>
        </w:tc>
        <w:tc>
          <w:tcPr>
            <w:tcW w:w="992" w:type="dxa"/>
            <w:tcBorders>
              <w:top w:val="single" w:sz="4" w:space="0" w:color="1B556B" w:themeColor="text2"/>
              <w:bottom w:val="single" w:sz="4" w:space="0" w:color="1B556B" w:themeColor="text2"/>
            </w:tcBorders>
            <w:shd w:val="clear" w:color="auto" w:fill="auto"/>
            <w:vAlign w:val="center"/>
          </w:tcPr>
          <w:p w14:paraId="760C50B4" w14:textId="77777777" w:rsidR="0010265C" w:rsidRPr="00261B7A" w:rsidRDefault="0010265C" w:rsidP="00D41492">
            <w:pPr>
              <w:pStyle w:val="TableText"/>
              <w:spacing w:before="50" w:after="50"/>
              <w:jc w:val="right"/>
            </w:pPr>
            <w:r w:rsidRPr="00261B7A">
              <w:rPr>
                <w:rFonts w:cs="Calibri"/>
                <w:szCs w:val="16"/>
              </w:rPr>
              <w:t>–19,200.1</w:t>
            </w:r>
          </w:p>
        </w:tc>
      </w:tr>
      <w:tr w:rsidR="0010265C" w:rsidRPr="00261B7A" w14:paraId="6ED246A7" w14:textId="77777777" w:rsidTr="00D013BA">
        <w:tc>
          <w:tcPr>
            <w:tcW w:w="1985" w:type="dxa"/>
            <w:tcBorders>
              <w:top w:val="single" w:sz="4" w:space="0" w:color="1B556B" w:themeColor="text2"/>
              <w:bottom w:val="single" w:sz="4" w:space="0" w:color="1B556B" w:themeColor="text2"/>
            </w:tcBorders>
            <w:shd w:val="clear" w:color="auto" w:fill="auto"/>
          </w:tcPr>
          <w:p w14:paraId="5C7F9361" w14:textId="77777777" w:rsidR="0010265C" w:rsidRPr="00261B7A" w:rsidRDefault="0010265C" w:rsidP="00D41492">
            <w:pPr>
              <w:pStyle w:val="Tableboldblue"/>
              <w:spacing w:before="50" w:after="50"/>
              <w:jc w:val="right"/>
              <w:rPr>
                <w:rFonts w:eastAsia="Arial Bold"/>
              </w:rPr>
            </w:pPr>
            <w:r w:rsidRPr="00261B7A">
              <w:rPr>
                <w:rFonts w:eastAsia="Arial Bold"/>
              </w:rPr>
              <w:t>Total</w:t>
            </w:r>
          </w:p>
        </w:tc>
        <w:tc>
          <w:tcPr>
            <w:tcW w:w="1276" w:type="dxa"/>
            <w:tcBorders>
              <w:top w:val="single" w:sz="4" w:space="0" w:color="1B556B" w:themeColor="text2"/>
              <w:bottom w:val="single" w:sz="4" w:space="0" w:color="1B556B" w:themeColor="text2"/>
            </w:tcBorders>
            <w:shd w:val="clear" w:color="auto" w:fill="auto"/>
            <w:vAlign w:val="center"/>
          </w:tcPr>
          <w:p w14:paraId="2545CD00" w14:textId="77777777" w:rsidR="0010265C" w:rsidRPr="00261B7A" w:rsidRDefault="0010265C" w:rsidP="00D41492">
            <w:pPr>
              <w:pStyle w:val="Tableboldblue"/>
              <w:spacing w:before="50" w:after="50"/>
              <w:jc w:val="right"/>
              <w:rPr>
                <w:color w:val="1B556B"/>
              </w:rPr>
            </w:pPr>
            <w:r w:rsidRPr="00261B7A">
              <w:rPr>
                <w:rFonts w:cs="Calibri"/>
                <w:color w:val="1B556B"/>
                <w:szCs w:val="16"/>
              </w:rPr>
              <w:t>9,366,944</w:t>
            </w:r>
          </w:p>
        </w:tc>
        <w:tc>
          <w:tcPr>
            <w:tcW w:w="1275" w:type="dxa"/>
            <w:tcBorders>
              <w:top w:val="single" w:sz="4" w:space="0" w:color="1B556B" w:themeColor="text2"/>
              <w:bottom w:val="single" w:sz="4" w:space="0" w:color="1B556B" w:themeColor="text2"/>
            </w:tcBorders>
            <w:shd w:val="clear" w:color="auto" w:fill="auto"/>
            <w:vAlign w:val="center"/>
          </w:tcPr>
          <w:p w14:paraId="01D64DE6" w14:textId="77777777" w:rsidR="0010265C" w:rsidRPr="00261B7A" w:rsidRDefault="0010265C" w:rsidP="00D41492">
            <w:pPr>
              <w:pStyle w:val="Tableboldblue"/>
              <w:spacing w:before="50" w:after="50"/>
              <w:jc w:val="right"/>
              <w:rPr>
                <w:color w:val="1B556B"/>
              </w:rPr>
            </w:pPr>
            <w:r w:rsidRPr="00261B7A">
              <w:rPr>
                <w:rFonts w:cs="Calibri"/>
                <w:color w:val="1B556B"/>
                <w:szCs w:val="16"/>
              </w:rPr>
              <w:t>10,017,264</w:t>
            </w:r>
          </w:p>
        </w:tc>
        <w:tc>
          <w:tcPr>
            <w:tcW w:w="993" w:type="dxa"/>
            <w:tcBorders>
              <w:top w:val="single" w:sz="4" w:space="0" w:color="1B556B" w:themeColor="text2"/>
              <w:bottom w:val="single" w:sz="4" w:space="0" w:color="1B556B" w:themeColor="text2"/>
            </w:tcBorders>
            <w:shd w:val="clear" w:color="auto" w:fill="auto"/>
            <w:vAlign w:val="center"/>
          </w:tcPr>
          <w:p w14:paraId="15771C51" w14:textId="77777777" w:rsidR="0010265C" w:rsidRPr="00261B7A" w:rsidRDefault="0010265C" w:rsidP="00D41492">
            <w:pPr>
              <w:pStyle w:val="Tableboldblue"/>
              <w:spacing w:before="50" w:after="50"/>
              <w:jc w:val="right"/>
              <w:rPr>
                <w:color w:val="1B556B"/>
              </w:rPr>
            </w:pPr>
            <w:r w:rsidRPr="00261B7A">
              <w:rPr>
                <w:rFonts w:cs="Calibri"/>
                <w:color w:val="1B556B"/>
                <w:szCs w:val="16"/>
              </w:rPr>
              <w:t>+6.9</w:t>
            </w:r>
          </w:p>
        </w:tc>
        <w:tc>
          <w:tcPr>
            <w:tcW w:w="992" w:type="dxa"/>
            <w:tcBorders>
              <w:top w:val="single" w:sz="4" w:space="0" w:color="1B556B" w:themeColor="text2"/>
              <w:bottom w:val="single" w:sz="4" w:space="0" w:color="1B556B" w:themeColor="text2"/>
            </w:tcBorders>
            <w:shd w:val="clear" w:color="auto" w:fill="auto"/>
            <w:vAlign w:val="center"/>
          </w:tcPr>
          <w:p w14:paraId="158605E7" w14:textId="77777777" w:rsidR="0010265C" w:rsidRPr="00261B7A" w:rsidRDefault="0010265C" w:rsidP="00D41492">
            <w:pPr>
              <w:pStyle w:val="Tableboldblue"/>
              <w:spacing w:before="50" w:after="50"/>
              <w:jc w:val="right"/>
              <w:rPr>
                <w:rFonts w:eastAsia="Arial Bold"/>
                <w:color w:val="1B556B"/>
              </w:rPr>
            </w:pPr>
            <w:r w:rsidRPr="00261B7A">
              <w:rPr>
                <w:rFonts w:cs="Calibri"/>
                <w:color w:val="1B556B"/>
                <w:szCs w:val="16"/>
              </w:rPr>
              <w:t xml:space="preserve">–19,275.9 </w:t>
            </w:r>
          </w:p>
        </w:tc>
        <w:tc>
          <w:tcPr>
            <w:tcW w:w="992" w:type="dxa"/>
            <w:tcBorders>
              <w:top w:val="single" w:sz="4" w:space="0" w:color="1B556B" w:themeColor="text2"/>
              <w:bottom w:val="single" w:sz="4" w:space="0" w:color="1B556B" w:themeColor="text2"/>
            </w:tcBorders>
            <w:shd w:val="clear" w:color="auto" w:fill="auto"/>
            <w:vAlign w:val="center"/>
          </w:tcPr>
          <w:p w14:paraId="519D3B6B" w14:textId="77777777" w:rsidR="0010265C" w:rsidRPr="00261B7A" w:rsidRDefault="0010265C" w:rsidP="00D41492">
            <w:pPr>
              <w:pStyle w:val="Tableboldblue"/>
              <w:spacing w:before="50" w:after="50"/>
              <w:jc w:val="right"/>
              <w:rPr>
                <w:rFonts w:eastAsia="Arial Bold"/>
                <w:color w:val="1B556B"/>
              </w:rPr>
            </w:pPr>
            <w:r w:rsidRPr="00261B7A">
              <w:rPr>
                <w:rFonts w:cs="Calibri"/>
                <w:color w:val="1B556B"/>
                <w:szCs w:val="16"/>
              </w:rPr>
              <w:t xml:space="preserve">–15,994.8 </w:t>
            </w:r>
          </w:p>
        </w:tc>
        <w:tc>
          <w:tcPr>
            <w:tcW w:w="992" w:type="dxa"/>
            <w:tcBorders>
              <w:top w:val="single" w:sz="4" w:space="0" w:color="1B556B" w:themeColor="text2"/>
              <w:bottom w:val="single" w:sz="4" w:space="0" w:color="1B556B" w:themeColor="text2"/>
            </w:tcBorders>
            <w:shd w:val="clear" w:color="auto" w:fill="auto"/>
            <w:vAlign w:val="center"/>
          </w:tcPr>
          <w:p w14:paraId="17FD632C" w14:textId="77777777" w:rsidR="0010265C" w:rsidRPr="00261B7A" w:rsidRDefault="0010265C" w:rsidP="00D41492">
            <w:pPr>
              <w:pStyle w:val="Tableboldblue"/>
              <w:spacing w:before="50" w:after="50"/>
              <w:jc w:val="right"/>
              <w:rPr>
                <w:rFonts w:eastAsia="Arial Bold"/>
                <w:color w:val="1B556B"/>
              </w:rPr>
            </w:pPr>
            <w:r w:rsidRPr="00261B7A">
              <w:rPr>
                <w:rFonts w:cs="Calibri"/>
                <w:color w:val="1B556B"/>
                <w:szCs w:val="16"/>
              </w:rPr>
              <w:t>+17.0</w:t>
            </w:r>
          </w:p>
        </w:tc>
      </w:tr>
    </w:tbl>
    <w:p w14:paraId="13ED734D" w14:textId="1BA4E410" w:rsidR="0010265C" w:rsidRPr="00261B7A" w:rsidRDefault="0010265C" w:rsidP="0010265C">
      <w:pPr>
        <w:pStyle w:val="Noteundertable"/>
      </w:pPr>
      <w:r w:rsidRPr="00261B7A">
        <w:rPr>
          <w:b/>
        </w:rPr>
        <w:t>Note:</w:t>
      </w:r>
      <w:r w:rsidRPr="00261B7A">
        <w:tab/>
        <w:t>NA = not applicable. Net area in 1990 is as at 1 January 1990; net area in 2021 is as at 31 December. Net area values include land in a state of conversion to forest (due to land-use change before 1990) and afforestation since 1990. Net emissions estimates are for the whole year indicated. Columns may not total due to rounding. Emissions associated with the conversion of forest to other land uses are reported in the land use category the land is converted to.</w:t>
      </w:r>
      <w:r w:rsidR="00D013BA" w:rsidRPr="00261B7A">
        <w:t xml:space="preserve"> </w:t>
      </w:r>
    </w:p>
    <w:p w14:paraId="176D038D" w14:textId="1FCDF130" w:rsidR="0010265C" w:rsidRPr="00261B7A" w:rsidRDefault="0010265C" w:rsidP="0010265C">
      <w:pPr>
        <w:pStyle w:val="BodyText"/>
      </w:pPr>
      <w:r w:rsidRPr="00261B7A">
        <w:t>Table 6.3.3 shows New Zealand’s carbon stock change by carbon pool within the</w:t>
      </w:r>
      <w:r w:rsidRPr="00261B7A">
        <w:rPr>
          <w:rFonts w:cs="Arial Bold"/>
        </w:rPr>
        <w:t xml:space="preserve"> </w:t>
      </w:r>
      <w:r w:rsidRPr="00261B7A">
        <w:rPr>
          <w:rFonts w:cs="Arial Bold"/>
          <w:i/>
        </w:rPr>
        <w:t>Forest</w:t>
      </w:r>
      <w:r w:rsidRPr="00261B7A">
        <w:rPr>
          <w:i/>
        </w:rPr>
        <w:t xml:space="preserve"> land</w:t>
      </w:r>
      <w:r w:rsidRPr="00261B7A">
        <w:t xml:space="preserve"> category from 1990 to 2021. Over this period, the total carbon stock stored in </w:t>
      </w:r>
      <w:r w:rsidRPr="00261B7A">
        <w:rPr>
          <w:i/>
        </w:rPr>
        <w:t>Forest land</w:t>
      </w:r>
      <w:r w:rsidRPr="00261B7A">
        <w:t xml:space="preserve"> has increased by 214,548.4 kt C, equivalent to emissions of –786,677.5 tonnes CO</w:t>
      </w:r>
      <w:r w:rsidRPr="00261B7A">
        <w:rPr>
          <w:vertAlign w:val="subscript"/>
        </w:rPr>
        <w:t>2</w:t>
      </w:r>
      <w:r w:rsidRPr="00261B7A">
        <w:t xml:space="preserve"> since 1990.</w:t>
      </w:r>
      <w:r w:rsidR="00D013BA" w:rsidRPr="00261B7A">
        <w:t xml:space="preserve"> </w:t>
      </w:r>
    </w:p>
    <w:p w14:paraId="4C2E0300" w14:textId="77777777" w:rsidR="0010265C" w:rsidRPr="00261B7A" w:rsidRDefault="0010265C" w:rsidP="0012053C">
      <w:pPr>
        <w:pStyle w:val="Table"/>
      </w:pPr>
      <w:bookmarkStart w:id="1625" w:name="_Toc280630454"/>
      <w:bookmarkStart w:id="1626" w:name="_Toc310423406"/>
      <w:bookmarkStart w:id="1627" w:name="_Toc318362699"/>
      <w:bookmarkStart w:id="1628" w:name="_Toc342470761"/>
      <w:bookmarkStart w:id="1629" w:name="_Toc352505001"/>
      <w:bookmarkStart w:id="1630" w:name="_Toc373395726"/>
      <w:bookmarkStart w:id="1631" w:name="_Toc378853292"/>
      <w:bookmarkStart w:id="1632" w:name="_Toc391024090"/>
      <w:bookmarkStart w:id="1633" w:name="_Toc410028833"/>
      <w:bookmarkStart w:id="1634" w:name="_Toc414531461"/>
      <w:bookmarkStart w:id="1635" w:name="_Toc443645374"/>
      <w:bookmarkStart w:id="1636" w:name="_Toc474914593"/>
      <w:bookmarkStart w:id="1637" w:name="_Toc481751557"/>
      <w:bookmarkStart w:id="1638" w:name="_Toc522010614"/>
      <w:bookmarkStart w:id="1639" w:name="_Toc5269519"/>
      <w:bookmarkStart w:id="1640" w:name="_Toc33529393"/>
      <w:bookmarkStart w:id="1641" w:name="_Toc36224599"/>
      <w:bookmarkStart w:id="1642" w:name="_Toc131591393"/>
      <w:r w:rsidRPr="00261B7A">
        <w:t>Table 6.3.3</w:t>
      </w:r>
      <w:r w:rsidRPr="00261B7A">
        <w:tab/>
        <w:t>New Zealand’s net carbon stock change by carbon pool for the</w:t>
      </w:r>
      <w:r w:rsidRPr="00261B7A">
        <w:rPr>
          <w:rFonts w:cs="Arial Bold"/>
        </w:rPr>
        <w:t xml:space="preserve"> </w:t>
      </w:r>
      <w:r w:rsidRPr="00261B7A">
        <w:rPr>
          <w:rFonts w:cs="Arial Bold"/>
          <w:i/>
        </w:rPr>
        <w:t>Forest</w:t>
      </w:r>
      <w:r w:rsidRPr="00261B7A">
        <w:rPr>
          <w:i/>
        </w:rPr>
        <w:t xml:space="preserve"> land </w:t>
      </w:r>
      <w:r w:rsidRPr="00261B7A">
        <w:t>category</w:t>
      </w:r>
      <w:r w:rsidRPr="00261B7A">
        <w:br/>
        <w:t>from 1990 to</w:t>
      </w:r>
      <w:bookmarkEnd w:id="1625"/>
      <w:bookmarkEnd w:id="1626"/>
      <w:bookmarkEnd w:id="1627"/>
      <w:bookmarkEnd w:id="1628"/>
      <w:bookmarkEnd w:id="1629"/>
      <w:bookmarkEnd w:id="1630"/>
      <w:bookmarkEnd w:id="1631"/>
      <w:bookmarkEnd w:id="1632"/>
      <w:r w:rsidRPr="00261B7A">
        <w:t> </w:t>
      </w:r>
      <w:bookmarkEnd w:id="1633"/>
      <w:bookmarkEnd w:id="1634"/>
      <w:bookmarkEnd w:id="1635"/>
      <w:bookmarkEnd w:id="1636"/>
      <w:bookmarkEnd w:id="1637"/>
      <w:bookmarkEnd w:id="1638"/>
      <w:bookmarkEnd w:id="1639"/>
      <w:bookmarkEnd w:id="1640"/>
      <w:bookmarkEnd w:id="1641"/>
      <w:r w:rsidRPr="00261B7A">
        <w:t>2021</w:t>
      </w:r>
      <w:bookmarkEnd w:id="1642"/>
    </w:p>
    <w:tbl>
      <w:tblPr>
        <w:tblW w:w="8505" w:type="dxa"/>
        <w:tblBorders>
          <w:bottom w:val="single" w:sz="8" w:space="0" w:color="365F91"/>
        </w:tblBorders>
        <w:tblLayout w:type="fixed"/>
        <w:tblLook w:val="04A0" w:firstRow="1" w:lastRow="0" w:firstColumn="1" w:lastColumn="0" w:noHBand="0" w:noVBand="1"/>
      </w:tblPr>
      <w:tblGrid>
        <w:gridCol w:w="2049"/>
        <w:gridCol w:w="1251"/>
        <w:gridCol w:w="1662"/>
        <w:gridCol w:w="1134"/>
        <w:gridCol w:w="1134"/>
        <w:gridCol w:w="1275"/>
      </w:tblGrid>
      <w:tr w:rsidR="0010265C" w:rsidRPr="00261B7A" w14:paraId="70EC6497" w14:textId="77777777" w:rsidTr="00D013BA">
        <w:tc>
          <w:tcPr>
            <w:tcW w:w="2049" w:type="dxa"/>
            <w:vMerge w:val="restart"/>
            <w:tcBorders>
              <w:top w:val="single" w:sz="4" w:space="0" w:color="1B556B" w:themeColor="text2"/>
              <w:bottom w:val="single" w:sz="4" w:space="0" w:color="1B556B" w:themeColor="text2"/>
              <w:right w:val="nil"/>
            </w:tcBorders>
            <w:shd w:val="clear" w:color="auto" w:fill="1B556B" w:themeFill="text2"/>
            <w:vAlign w:val="bottom"/>
          </w:tcPr>
          <w:p w14:paraId="1C35FB7B" w14:textId="77777777" w:rsidR="0010265C" w:rsidRPr="00261B7A" w:rsidRDefault="0010265C" w:rsidP="00D41492">
            <w:pPr>
              <w:pStyle w:val="TableTextBold"/>
              <w:keepNext/>
              <w:spacing w:before="40" w:after="40"/>
              <w:rPr>
                <w:rFonts w:eastAsia="Arial Bold"/>
                <w:noProof w:val="0"/>
                <w:color w:val="FFFFFF"/>
              </w:rPr>
            </w:pPr>
            <w:r w:rsidRPr="00261B7A">
              <w:rPr>
                <w:rFonts w:eastAsia="Arial Bold"/>
                <w:noProof w:val="0"/>
                <w:color w:val="FFFFFF"/>
              </w:rPr>
              <w:t>Land use</w:t>
            </w:r>
          </w:p>
        </w:tc>
        <w:tc>
          <w:tcPr>
            <w:tcW w:w="5181" w:type="dxa"/>
            <w:gridSpan w:val="4"/>
            <w:tcBorders>
              <w:top w:val="single" w:sz="4" w:space="0" w:color="1B556B" w:themeColor="text2"/>
              <w:bottom w:val="single" w:sz="4" w:space="0" w:color="1B556B" w:themeColor="text2"/>
            </w:tcBorders>
            <w:shd w:val="clear" w:color="auto" w:fill="1B556B" w:themeFill="text2"/>
            <w:vAlign w:val="bottom"/>
          </w:tcPr>
          <w:p w14:paraId="5DFD6769" w14:textId="77777777" w:rsidR="0010265C" w:rsidRPr="00261B7A" w:rsidRDefault="0010265C" w:rsidP="00D41492">
            <w:pPr>
              <w:pStyle w:val="TableTextBold"/>
              <w:spacing w:before="40" w:after="40"/>
              <w:jc w:val="center"/>
              <w:rPr>
                <w:rFonts w:eastAsia="Arial Bold"/>
                <w:noProof w:val="0"/>
                <w:color w:val="FFFFFF"/>
              </w:rPr>
            </w:pPr>
            <w:r w:rsidRPr="00261B7A">
              <w:rPr>
                <w:rFonts w:eastAsia="Arial Bold"/>
                <w:noProof w:val="0"/>
                <w:color w:val="FFFFFF"/>
              </w:rPr>
              <w:t>Net carbon stock change 1990–2021 (kt C)</w:t>
            </w:r>
          </w:p>
        </w:tc>
        <w:tc>
          <w:tcPr>
            <w:tcW w:w="1275" w:type="dxa"/>
            <w:vMerge w:val="restart"/>
            <w:tcBorders>
              <w:top w:val="single" w:sz="4" w:space="0" w:color="1B556B" w:themeColor="text2"/>
              <w:bottom w:val="single" w:sz="4" w:space="0" w:color="1B556B" w:themeColor="text2"/>
            </w:tcBorders>
            <w:shd w:val="clear" w:color="auto" w:fill="1B556B" w:themeFill="text2"/>
            <w:vAlign w:val="bottom"/>
          </w:tcPr>
          <w:p w14:paraId="5D751D28" w14:textId="77777777" w:rsidR="0010265C" w:rsidRPr="00261B7A" w:rsidRDefault="0010265C" w:rsidP="00D41492">
            <w:pPr>
              <w:pStyle w:val="TableTextBold"/>
              <w:spacing w:before="40" w:after="40"/>
              <w:jc w:val="right"/>
              <w:rPr>
                <w:rFonts w:eastAsia="Arial Bold"/>
                <w:noProof w:val="0"/>
                <w:color w:val="FFFFFF"/>
              </w:rPr>
            </w:pPr>
            <w:r w:rsidRPr="00261B7A">
              <w:rPr>
                <w:rFonts w:eastAsia="Arial Bold"/>
                <w:noProof w:val="0"/>
                <w:color w:val="FFFFFF"/>
              </w:rPr>
              <w:t>Emissions 1990–2021</w:t>
            </w:r>
            <w:r w:rsidRPr="00261B7A">
              <w:rPr>
                <w:rFonts w:eastAsia="Arial Bold"/>
                <w:noProof w:val="0"/>
                <w:color w:val="FFFFFF"/>
              </w:rPr>
              <w:br/>
              <w:t>(kt CO</w:t>
            </w:r>
            <w:r w:rsidRPr="00261B7A">
              <w:rPr>
                <w:rFonts w:eastAsia="Arial Bold"/>
                <w:noProof w:val="0"/>
                <w:color w:val="FFFFFF"/>
                <w:vertAlign w:val="subscript"/>
              </w:rPr>
              <w:t>2</w:t>
            </w:r>
            <w:r w:rsidRPr="00261B7A">
              <w:rPr>
                <w:rFonts w:eastAsia="Arial Bold"/>
                <w:noProof w:val="0"/>
                <w:color w:val="FFFFFF"/>
              </w:rPr>
              <w:t>)</w:t>
            </w:r>
          </w:p>
        </w:tc>
      </w:tr>
      <w:tr w:rsidR="0010265C" w:rsidRPr="00261B7A" w14:paraId="482F33D7" w14:textId="77777777" w:rsidTr="00D013BA">
        <w:tc>
          <w:tcPr>
            <w:tcW w:w="2049" w:type="dxa"/>
            <w:vMerge/>
            <w:tcBorders>
              <w:top w:val="single" w:sz="4" w:space="0" w:color="1B556B" w:themeColor="text2"/>
              <w:bottom w:val="single" w:sz="4" w:space="0" w:color="1B556B" w:themeColor="text2"/>
              <w:right w:val="nil"/>
            </w:tcBorders>
            <w:shd w:val="clear" w:color="auto" w:fill="1B556B" w:themeFill="text2"/>
            <w:vAlign w:val="bottom"/>
          </w:tcPr>
          <w:p w14:paraId="37DBE5A0" w14:textId="77777777" w:rsidR="0010265C" w:rsidRPr="00261B7A" w:rsidRDefault="0010265C" w:rsidP="00D41492">
            <w:pPr>
              <w:pStyle w:val="TableTextBold"/>
              <w:keepNext/>
              <w:spacing w:before="40" w:after="40"/>
              <w:jc w:val="center"/>
              <w:rPr>
                <w:rFonts w:eastAsia="Arial Bold"/>
                <w:noProof w:val="0"/>
                <w:color w:val="FFFFFF"/>
              </w:rPr>
            </w:pPr>
          </w:p>
        </w:tc>
        <w:tc>
          <w:tcPr>
            <w:tcW w:w="1251" w:type="dxa"/>
            <w:tcBorders>
              <w:top w:val="single" w:sz="4" w:space="0" w:color="1B556B" w:themeColor="text2"/>
              <w:bottom w:val="single" w:sz="4" w:space="0" w:color="1B556B" w:themeColor="text2"/>
            </w:tcBorders>
            <w:shd w:val="clear" w:color="auto" w:fill="1B556B" w:themeFill="text2"/>
            <w:vAlign w:val="bottom"/>
          </w:tcPr>
          <w:p w14:paraId="0A04ECD7" w14:textId="77777777" w:rsidR="0010265C" w:rsidRPr="00261B7A" w:rsidRDefault="0010265C" w:rsidP="00D41492">
            <w:pPr>
              <w:pStyle w:val="TableTextBold"/>
              <w:spacing w:before="40" w:after="40"/>
              <w:jc w:val="center"/>
              <w:rPr>
                <w:rFonts w:eastAsia="Arial Bold"/>
                <w:noProof w:val="0"/>
                <w:color w:val="FFFFFF"/>
              </w:rPr>
            </w:pPr>
            <w:r w:rsidRPr="00261B7A">
              <w:rPr>
                <w:rFonts w:eastAsia="Arial Bold"/>
                <w:noProof w:val="0"/>
                <w:color w:val="FFFFFF"/>
              </w:rPr>
              <w:t>Living biomass</w:t>
            </w:r>
          </w:p>
        </w:tc>
        <w:tc>
          <w:tcPr>
            <w:tcW w:w="1662" w:type="dxa"/>
            <w:tcBorders>
              <w:top w:val="single" w:sz="4" w:space="0" w:color="1B556B" w:themeColor="text2"/>
              <w:bottom w:val="single" w:sz="4" w:space="0" w:color="1B556B" w:themeColor="text2"/>
            </w:tcBorders>
            <w:shd w:val="clear" w:color="auto" w:fill="1B556B" w:themeFill="text2"/>
            <w:vAlign w:val="bottom"/>
          </w:tcPr>
          <w:p w14:paraId="79FEB30B" w14:textId="77777777" w:rsidR="0010265C" w:rsidRPr="00261B7A" w:rsidRDefault="0010265C" w:rsidP="00D41492">
            <w:pPr>
              <w:pStyle w:val="TableTextBold"/>
              <w:spacing w:before="40" w:after="40"/>
              <w:jc w:val="right"/>
              <w:rPr>
                <w:rFonts w:eastAsia="Arial Bold"/>
                <w:noProof w:val="0"/>
                <w:color w:val="FFFFFF"/>
              </w:rPr>
            </w:pPr>
            <w:r w:rsidRPr="00261B7A">
              <w:rPr>
                <w:rFonts w:eastAsia="Arial Bold"/>
                <w:noProof w:val="0"/>
                <w:color w:val="FFFFFF"/>
              </w:rPr>
              <w:t>Dead organic matter</w:t>
            </w:r>
          </w:p>
        </w:tc>
        <w:tc>
          <w:tcPr>
            <w:tcW w:w="1134" w:type="dxa"/>
            <w:tcBorders>
              <w:top w:val="single" w:sz="4" w:space="0" w:color="1B556B" w:themeColor="text2"/>
              <w:bottom w:val="single" w:sz="4" w:space="0" w:color="1B556B" w:themeColor="text2"/>
            </w:tcBorders>
            <w:shd w:val="clear" w:color="auto" w:fill="1B556B" w:themeFill="text2"/>
            <w:vAlign w:val="bottom"/>
          </w:tcPr>
          <w:p w14:paraId="3B279D04" w14:textId="77777777" w:rsidR="0010265C" w:rsidRPr="00261B7A" w:rsidRDefault="0010265C" w:rsidP="00D41492">
            <w:pPr>
              <w:pStyle w:val="TableTextBold"/>
              <w:spacing w:before="40" w:after="40"/>
              <w:jc w:val="right"/>
              <w:rPr>
                <w:rFonts w:eastAsia="Arial Bold"/>
                <w:noProof w:val="0"/>
                <w:color w:val="FFFFFF"/>
              </w:rPr>
            </w:pPr>
            <w:r w:rsidRPr="00261B7A">
              <w:rPr>
                <w:rFonts w:eastAsia="Arial Bold"/>
                <w:noProof w:val="0"/>
                <w:color w:val="FFFFFF"/>
              </w:rPr>
              <w:t>Soils</w:t>
            </w:r>
          </w:p>
        </w:tc>
        <w:tc>
          <w:tcPr>
            <w:tcW w:w="1134" w:type="dxa"/>
            <w:tcBorders>
              <w:top w:val="single" w:sz="4" w:space="0" w:color="1B556B" w:themeColor="text2"/>
              <w:bottom w:val="single" w:sz="4" w:space="0" w:color="1B556B" w:themeColor="text2"/>
            </w:tcBorders>
            <w:shd w:val="clear" w:color="auto" w:fill="1B556B" w:themeFill="text2"/>
            <w:vAlign w:val="bottom"/>
          </w:tcPr>
          <w:p w14:paraId="79BF6B35" w14:textId="77777777" w:rsidR="0010265C" w:rsidRPr="00261B7A" w:rsidRDefault="0010265C" w:rsidP="00D41492">
            <w:pPr>
              <w:pStyle w:val="TableTextBold"/>
              <w:spacing w:before="40" w:after="40"/>
              <w:jc w:val="right"/>
              <w:rPr>
                <w:rFonts w:eastAsia="Arial Bold"/>
                <w:noProof w:val="0"/>
                <w:color w:val="FFFFFF"/>
              </w:rPr>
            </w:pPr>
            <w:r w:rsidRPr="00261B7A">
              <w:rPr>
                <w:rFonts w:eastAsia="Arial Bold"/>
                <w:noProof w:val="0"/>
                <w:color w:val="FFFFFF"/>
              </w:rPr>
              <w:t>Total</w:t>
            </w:r>
          </w:p>
        </w:tc>
        <w:tc>
          <w:tcPr>
            <w:tcW w:w="1275" w:type="dxa"/>
            <w:vMerge/>
            <w:tcBorders>
              <w:top w:val="single" w:sz="4" w:space="0" w:color="1B556B" w:themeColor="text2"/>
              <w:bottom w:val="single" w:sz="4" w:space="0" w:color="1B556B" w:themeColor="text2"/>
            </w:tcBorders>
            <w:shd w:val="clear" w:color="auto" w:fill="1B556B" w:themeFill="text2"/>
            <w:vAlign w:val="bottom"/>
          </w:tcPr>
          <w:p w14:paraId="3F80B868" w14:textId="77777777" w:rsidR="0010265C" w:rsidRPr="00261B7A" w:rsidRDefault="0010265C" w:rsidP="00D41492">
            <w:pPr>
              <w:pStyle w:val="TableTextBold"/>
              <w:spacing w:before="40" w:after="40"/>
              <w:jc w:val="center"/>
              <w:rPr>
                <w:rFonts w:eastAsia="Arial Bold"/>
                <w:noProof w:val="0"/>
                <w:color w:val="FFFFFF"/>
              </w:rPr>
            </w:pPr>
          </w:p>
        </w:tc>
      </w:tr>
      <w:tr w:rsidR="0010265C" w:rsidRPr="00261B7A" w14:paraId="3B40CAC0" w14:textId="77777777" w:rsidTr="00D013BA">
        <w:tc>
          <w:tcPr>
            <w:tcW w:w="2049" w:type="dxa"/>
            <w:tcBorders>
              <w:top w:val="single" w:sz="4" w:space="0" w:color="1B556B" w:themeColor="text2"/>
              <w:bottom w:val="single" w:sz="4" w:space="0" w:color="365F91"/>
              <w:right w:val="nil"/>
            </w:tcBorders>
            <w:shd w:val="clear" w:color="auto" w:fill="auto"/>
          </w:tcPr>
          <w:p w14:paraId="55E49293" w14:textId="77777777" w:rsidR="0010265C" w:rsidRPr="00261B7A" w:rsidRDefault="0010265C" w:rsidP="00D41492">
            <w:pPr>
              <w:pStyle w:val="TableText"/>
              <w:spacing w:before="50" w:after="50"/>
              <w:rPr>
                <w:rFonts w:eastAsia="Arial Bold"/>
              </w:rPr>
            </w:pPr>
            <w:r w:rsidRPr="00261B7A">
              <w:rPr>
                <w:rFonts w:eastAsia="Arial Bold"/>
              </w:rPr>
              <w:t>Pre-1990 natural forest</w:t>
            </w:r>
          </w:p>
        </w:tc>
        <w:tc>
          <w:tcPr>
            <w:tcW w:w="1251" w:type="dxa"/>
            <w:tcBorders>
              <w:top w:val="single" w:sz="4" w:space="0" w:color="1B556B" w:themeColor="text2"/>
              <w:bottom w:val="single" w:sz="4" w:space="0" w:color="365F91"/>
            </w:tcBorders>
            <w:shd w:val="clear" w:color="auto" w:fill="auto"/>
            <w:vAlign w:val="center"/>
          </w:tcPr>
          <w:p w14:paraId="3CD7F894" w14:textId="77777777" w:rsidR="0010265C" w:rsidRPr="00261B7A" w:rsidRDefault="0010265C" w:rsidP="00D41492">
            <w:pPr>
              <w:pStyle w:val="TableText"/>
              <w:spacing w:before="50" w:after="50"/>
              <w:jc w:val="right"/>
              <w:rPr>
                <w:rFonts w:eastAsia="Arial Bold"/>
              </w:rPr>
            </w:pPr>
            <w:r w:rsidRPr="00261B7A">
              <w:rPr>
                <w:rFonts w:cs="Calibri"/>
                <w:color w:val="000000"/>
                <w:szCs w:val="16"/>
              </w:rPr>
              <w:t>10,687.9</w:t>
            </w:r>
          </w:p>
        </w:tc>
        <w:tc>
          <w:tcPr>
            <w:tcW w:w="1662" w:type="dxa"/>
            <w:tcBorders>
              <w:top w:val="single" w:sz="4" w:space="0" w:color="1B556B" w:themeColor="text2"/>
              <w:bottom w:val="single" w:sz="4" w:space="0" w:color="365F91"/>
            </w:tcBorders>
            <w:shd w:val="clear" w:color="auto" w:fill="auto"/>
            <w:vAlign w:val="center"/>
          </w:tcPr>
          <w:p w14:paraId="4468242D" w14:textId="77777777" w:rsidR="0010265C" w:rsidRPr="00261B7A" w:rsidRDefault="0010265C" w:rsidP="00D41492">
            <w:pPr>
              <w:pStyle w:val="TableText"/>
              <w:spacing w:before="50" w:after="50"/>
              <w:jc w:val="right"/>
              <w:rPr>
                <w:rFonts w:eastAsia="Arial Bold"/>
              </w:rPr>
            </w:pPr>
            <w:r w:rsidRPr="00261B7A">
              <w:rPr>
                <w:rFonts w:cs="Calibri"/>
                <w:color w:val="000000"/>
                <w:szCs w:val="16"/>
              </w:rPr>
              <w:t>1,047.8</w:t>
            </w:r>
          </w:p>
        </w:tc>
        <w:tc>
          <w:tcPr>
            <w:tcW w:w="1134" w:type="dxa"/>
            <w:tcBorders>
              <w:top w:val="single" w:sz="4" w:space="0" w:color="1B556B" w:themeColor="text2"/>
              <w:bottom w:val="single" w:sz="4" w:space="0" w:color="365F91"/>
            </w:tcBorders>
            <w:shd w:val="clear" w:color="auto" w:fill="auto"/>
            <w:vAlign w:val="center"/>
          </w:tcPr>
          <w:p w14:paraId="6A40A717" w14:textId="77777777" w:rsidR="0010265C" w:rsidRPr="00261B7A" w:rsidRDefault="0010265C" w:rsidP="00D41492">
            <w:pPr>
              <w:pStyle w:val="TableText"/>
              <w:spacing w:before="50" w:after="50"/>
              <w:jc w:val="right"/>
              <w:rPr>
                <w:rFonts w:eastAsia="Arial Bold"/>
              </w:rPr>
            </w:pPr>
            <w:r w:rsidRPr="00261B7A">
              <w:rPr>
                <w:rFonts w:cs="Calibri"/>
                <w:szCs w:val="16"/>
              </w:rPr>
              <w:t>–</w:t>
            </w:r>
            <w:r w:rsidRPr="00261B7A">
              <w:rPr>
                <w:rFonts w:cs="Calibri"/>
                <w:color w:val="000000"/>
                <w:szCs w:val="16"/>
              </w:rPr>
              <w:t>135.3</w:t>
            </w:r>
          </w:p>
        </w:tc>
        <w:tc>
          <w:tcPr>
            <w:tcW w:w="1134" w:type="dxa"/>
            <w:tcBorders>
              <w:top w:val="single" w:sz="4" w:space="0" w:color="1B556B" w:themeColor="text2"/>
              <w:bottom w:val="single" w:sz="4" w:space="0" w:color="365F91"/>
            </w:tcBorders>
            <w:shd w:val="clear" w:color="auto" w:fill="auto"/>
            <w:vAlign w:val="bottom"/>
          </w:tcPr>
          <w:p w14:paraId="4D5707E7" w14:textId="77777777" w:rsidR="0010265C" w:rsidRPr="00261B7A" w:rsidRDefault="0010265C" w:rsidP="00D41492">
            <w:pPr>
              <w:pStyle w:val="TableText"/>
              <w:spacing w:before="50" w:after="50"/>
              <w:jc w:val="right"/>
              <w:rPr>
                <w:rFonts w:eastAsia="Arial Bold"/>
              </w:rPr>
            </w:pPr>
            <w:r w:rsidRPr="00261B7A">
              <w:rPr>
                <w:rFonts w:cs="Calibri"/>
                <w:color w:val="000000"/>
                <w:szCs w:val="16"/>
              </w:rPr>
              <w:t>11,600.3</w:t>
            </w:r>
          </w:p>
        </w:tc>
        <w:tc>
          <w:tcPr>
            <w:tcW w:w="1275" w:type="dxa"/>
            <w:tcBorders>
              <w:top w:val="single" w:sz="4" w:space="0" w:color="1B556B" w:themeColor="text2"/>
              <w:bottom w:val="single" w:sz="4" w:space="0" w:color="365F91"/>
            </w:tcBorders>
            <w:shd w:val="clear" w:color="auto" w:fill="auto"/>
            <w:vAlign w:val="bottom"/>
          </w:tcPr>
          <w:p w14:paraId="1ED70E00" w14:textId="77777777" w:rsidR="0010265C" w:rsidRPr="00261B7A" w:rsidRDefault="0010265C" w:rsidP="00D41492">
            <w:pPr>
              <w:pStyle w:val="TableText"/>
              <w:spacing w:before="50" w:after="50"/>
              <w:jc w:val="right"/>
              <w:rPr>
                <w:rFonts w:eastAsia="Arial Bold"/>
              </w:rPr>
            </w:pPr>
            <w:r w:rsidRPr="00261B7A">
              <w:rPr>
                <w:rFonts w:cs="Calibri"/>
                <w:szCs w:val="16"/>
              </w:rPr>
              <w:t>–</w:t>
            </w:r>
            <w:r w:rsidRPr="00261B7A">
              <w:rPr>
                <w:rFonts w:cs="Calibri"/>
                <w:color w:val="000000"/>
                <w:szCs w:val="16"/>
              </w:rPr>
              <w:t>42,534.4</w:t>
            </w:r>
          </w:p>
        </w:tc>
      </w:tr>
      <w:tr w:rsidR="0010265C" w:rsidRPr="00261B7A" w14:paraId="7777D61A" w14:textId="77777777" w:rsidTr="00D013BA">
        <w:tc>
          <w:tcPr>
            <w:tcW w:w="2049" w:type="dxa"/>
            <w:tcBorders>
              <w:top w:val="single" w:sz="4" w:space="0" w:color="365F91"/>
              <w:bottom w:val="single" w:sz="4" w:space="0" w:color="365F91"/>
              <w:right w:val="nil"/>
            </w:tcBorders>
            <w:shd w:val="clear" w:color="auto" w:fill="auto"/>
          </w:tcPr>
          <w:p w14:paraId="3FAEFCCB" w14:textId="77777777" w:rsidR="0010265C" w:rsidRPr="00261B7A" w:rsidRDefault="0010265C" w:rsidP="00D41492">
            <w:pPr>
              <w:pStyle w:val="TableText"/>
              <w:spacing w:before="50" w:after="50"/>
              <w:rPr>
                <w:rFonts w:eastAsia="Arial Bold"/>
              </w:rPr>
            </w:pPr>
            <w:r w:rsidRPr="00261B7A">
              <w:rPr>
                <w:rFonts w:eastAsia="Arial Bold"/>
              </w:rPr>
              <w:t>Pre-1990 planted forest</w:t>
            </w:r>
          </w:p>
        </w:tc>
        <w:tc>
          <w:tcPr>
            <w:tcW w:w="1251" w:type="dxa"/>
            <w:tcBorders>
              <w:top w:val="single" w:sz="4" w:space="0" w:color="365F91"/>
              <w:bottom w:val="single" w:sz="4" w:space="0" w:color="365F91"/>
            </w:tcBorders>
            <w:shd w:val="clear" w:color="auto" w:fill="auto"/>
            <w:vAlign w:val="center"/>
          </w:tcPr>
          <w:p w14:paraId="3724D7CE" w14:textId="77777777" w:rsidR="0010265C" w:rsidRPr="00261B7A" w:rsidRDefault="0010265C" w:rsidP="00D41492">
            <w:pPr>
              <w:pStyle w:val="TableText"/>
              <w:spacing w:before="50" w:after="50"/>
              <w:jc w:val="right"/>
              <w:rPr>
                <w:rFonts w:eastAsia="Arial Bold"/>
              </w:rPr>
            </w:pPr>
            <w:r w:rsidRPr="00261B7A">
              <w:rPr>
                <w:rFonts w:cs="Calibri"/>
                <w:color w:val="000000"/>
                <w:szCs w:val="16"/>
              </w:rPr>
              <w:t>105,716.8</w:t>
            </w:r>
          </w:p>
        </w:tc>
        <w:tc>
          <w:tcPr>
            <w:tcW w:w="1662" w:type="dxa"/>
            <w:tcBorders>
              <w:top w:val="single" w:sz="4" w:space="0" w:color="365F91"/>
              <w:bottom w:val="single" w:sz="4" w:space="0" w:color="365F91"/>
            </w:tcBorders>
            <w:shd w:val="clear" w:color="auto" w:fill="auto"/>
            <w:vAlign w:val="center"/>
          </w:tcPr>
          <w:p w14:paraId="1B77CE6F" w14:textId="77777777" w:rsidR="0010265C" w:rsidRPr="00261B7A" w:rsidRDefault="0010265C" w:rsidP="00D41492">
            <w:pPr>
              <w:pStyle w:val="TableText"/>
              <w:spacing w:before="50" w:after="50"/>
              <w:jc w:val="right"/>
              <w:rPr>
                <w:rFonts w:eastAsia="Arial Bold"/>
              </w:rPr>
            </w:pPr>
            <w:r w:rsidRPr="00261B7A">
              <w:rPr>
                <w:rFonts w:cs="Calibri"/>
                <w:color w:val="000000"/>
                <w:szCs w:val="16"/>
              </w:rPr>
              <w:t>13,927.8</w:t>
            </w:r>
          </w:p>
        </w:tc>
        <w:tc>
          <w:tcPr>
            <w:tcW w:w="1134" w:type="dxa"/>
            <w:tcBorders>
              <w:top w:val="single" w:sz="4" w:space="0" w:color="365F91"/>
              <w:bottom w:val="single" w:sz="4" w:space="0" w:color="365F91"/>
            </w:tcBorders>
            <w:shd w:val="clear" w:color="auto" w:fill="auto"/>
            <w:vAlign w:val="center"/>
          </w:tcPr>
          <w:p w14:paraId="5E372E92" w14:textId="77777777" w:rsidR="0010265C" w:rsidRPr="00261B7A" w:rsidRDefault="0010265C" w:rsidP="00D41492">
            <w:pPr>
              <w:pStyle w:val="TableText"/>
              <w:spacing w:before="50" w:after="50"/>
              <w:jc w:val="right"/>
              <w:rPr>
                <w:rFonts w:eastAsia="Arial Bold"/>
              </w:rPr>
            </w:pPr>
            <w:r w:rsidRPr="00261B7A">
              <w:rPr>
                <w:rFonts w:cs="Calibri"/>
                <w:szCs w:val="16"/>
              </w:rPr>
              <w:t>–</w:t>
            </w:r>
            <w:r w:rsidRPr="00261B7A">
              <w:rPr>
                <w:rFonts w:cs="Calibri"/>
                <w:color w:val="000000"/>
                <w:szCs w:val="16"/>
              </w:rPr>
              <w:t>4,239.4</w:t>
            </w:r>
          </w:p>
        </w:tc>
        <w:tc>
          <w:tcPr>
            <w:tcW w:w="1134" w:type="dxa"/>
            <w:tcBorders>
              <w:top w:val="single" w:sz="4" w:space="0" w:color="365F91"/>
              <w:bottom w:val="single" w:sz="4" w:space="0" w:color="365F91"/>
            </w:tcBorders>
            <w:shd w:val="clear" w:color="auto" w:fill="auto"/>
            <w:vAlign w:val="bottom"/>
          </w:tcPr>
          <w:p w14:paraId="0602845D" w14:textId="77777777" w:rsidR="0010265C" w:rsidRPr="00261B7A" w:rsidRDefault="0010265C" w:rsidP="00D41492">
            <w:pPr>
              <w:pStyle w:val="TableText"/>
              <w:spacing w:before="50" w:after="50"/>
              <w:jc w:val="right"/>
              <w:rPr>
                <w:rFonts w:eastAsia="Arial Bold"/>
              </w:rPr>
            </w:pPr>
            <w:r w:rsidRPr="00261B7A">
              <w:rPr>
                <w:rFonts w:cs="Calibri"/>
                <w:color w:val="000000"/>
                <w:szCs w:val="16"/>
              </w:rPr>
              <w:t>115,405.2</w:t>
            </w:r>
          </w:p>
        </w:tc>
        <w:tc>
          <w:tcPr>
            <w:tcW w:w="1275" w:type="dxa"/>
            <w:tcBorders>
              <w:top w:val="single" w:sz="4" w:space="0" w:color="365F91"/>
              <w:bottom w:val="single" w:sz="4" w:space="0" w:color="365F91"/>
            </w:tcBorders>
            <w:shd w:val="clear" w:color="auto" w:fill="auto"/>
            <w:vAlign w:val="bottom"/>
          </w:tcPr>
          <w:p w14:paraId="299C97C9" w14:textId="77777777" w:rsidR="0010265C" w:rsidRPr="00261B7A" w:rsidRDefault="0010265C" w:rsidP="00D41492">
            <w:pPr>
              <w:pStyle w:val="TableText"/>
              <w:spacing w:before="50" w:after="50"/>
              <w:jc w:val="right"/>
              <w:rPr>
                <w:rFonts w:eastAsia="Arial Bold"/>
              </w:rPr>
            </w:pPr>
            <w:r w:rsidRPr="00261B7A">
              <w:rPr>
                <w:rFonts w:cs="Calibri"/>
                <w:szCs w:val="16"/>
              </w:rPr>
              <w:t>–</w:t>
            </w:r>
            <w:r w:rsidRPr="00261B7A">
              <w:rPr>
                <w:rFonts w:cs="Calibri"/>
                <w:color w:val="000000"/>
                <w:szCs w:val="16"/>
              </w:rPr>
              <w:t>423,152.4</w:t>
            </w:r>
          </w:p>
        </w:tc>
      </w:tr>
      <w:tr w:rsidR="0010265C" w:rsidRPr="00261B7A" w14:paraId="16FBB626" w14:textId="77777777" w:rsidTr="00D013BA">
        <w:tc>
          <w:tcPr>
            <w:tcW w:w="2049" w:type="dxa"/>
            <w:tcBorders>
              <w:top w:val="single" w:sz="4" w:space="0" w:color="365F91"/>
              <w:bottom w:val="single" w:sz="4" w:space="0" w:color="365F91"/>
              <w:right w:val="nil"/>
            </w:tcBorders>
            <w:shd w:val="clear" w:color="auto" w:fill="auto"/>
          </w:tcPr>
          <w:p w14:paraId="4B5DACB7" w14:textId="77777777" w:rsidR="0010265C" w:rsidRPr="00261B7A" w:rsidRDefault="0010265C" w:rsidP="00D41492">
            <w:pPr>
              <w:pStyle w:val="TableText"/>
              <w:spacing w:before="50" w:after="50"/>
              <w:rPr>
                <w:rFonts w:eastAsia="Arial Bold"/>
              </w:rPr>
            </w:pPr>
            <w:r w:rsidRPr="00261B7A">
              <w:rPr>
                <w:rFonts w:eastAsia="Arial Bold"/>
              </w:rPr>
              <w:t xml:space="preserve">Post-1989 planted forest </w:t>
            </w:r>
          </w:p>
        </w:tc>
        <w:tc>
          <w:tcPr>
            <w:tcW w:w="1251" w:type="dxa"/>
            <w:tcBorders>
              <w:top w:val="single" w:sz="4" w:space="0" w:color="365F91"/>
              <w:bottom w:val="single" w:sz="4" w:space="0" w:color="365F91"/>
            </w:tcBorders>
            <w:shd w:val="clear" w:color="auto" w:fill="auto"/>
            <w:vAlign w:val="center"/>
          </w:tcPr>
          <w:p w14:paraId="63B7B954" w14:textId="77777777" w:rsidR="0010265C" w:rsidRPr="00261B7A" w:rsidRDefault="0010265C" w:rsidP="00D41492">
            <w:pPr>
              <w:pStyle w:val="TableText"/>
              <w:spacing w:before="50" w:after="50"/>
              <w:jc w:val="right"/>
              <w:rPr>
                <w:rFonts w:eastAsia="Arial Bold"/>
              </w:rPr>
            </w:pPr>
            <w:r w:rsidRPr="00261B7A">
              <w:rPr>
                <w:rFonts w:cs="Calibri"/>
                <w:color w:val="000000"/>
                <w:szCs w:val="16"/>
              </w:rPr>
              <w:t>83,462.3</w:t>
            </w:r>
          </w:p>
        </w:tc>
        <w:tc>
          <w:tcPr>
            <w:tcW w:w="1662" w:type="dxa"/>
            <w:tcBorders>
              <w:top w:val="single" w:sz="4" w:space="0" w:color="365F91"/>
              <w:bottom w:val="single" w:sz="4" w:space="0" w:color="365F91"/>
            </w:tcBorders>
            <w:shd w:val="clear" w:color="auto" w:fill="auto"/>
            <w:vAlign w:val="center"/>
          </w:tcPr>
          <w:p w14:paraId="1A4DA4FC" w14:textId="77777777" w:rsidR="0010265C" w:rsidRPr="00261B7A" w:rsidRDefault="0010265C" w:rsidP="00D41492">
            <w:pPr>
              <w:pStyle w:val="TableText"/>
              <w:spacing w:before="50" w:after="50"/>
              <w:jc w:val="right"/>
              <w:rPr>
                <w:rFonts w:eastAsia="Arial Bold"/>
              </w:rPr>
            </w:pPr>
            <w:r w:rsidRPr="00261B7A">
              <w:rPr>
                <w:rFonts w:cs="Calibri"/>
                <w:color w:val="000000"/>
                <w:szCs w:val="16"/>
              </w:rPr>
              <w:t>13,523.1</w:t>
            </w:r>
          </w:p>
        </w:tc>
        <w:tc>
          <w:tcPr>
            <w:tcW w:w="1134" w:type="dxa"/>
            <w:tcBorders>
              <w:top w:val="single" w:sz="4" w:space="0" w:color="365F91"/>
              <w:bottom w:val="single" w:sz="4" w:space="0" w:color="365F91"/>
            </w:tcBorders>
            <w:shd w:val="clear" w:color="auto" w:fill="auto"/>
            <w:vAlign w:val="center"/>
          </w:tcPr>
          <w:p w14:paraId="2FBF0661" w14:textId="77777777" w:rsidR="0010265C" w:rsidRPr="00261B7A" w:rsidRDefault="0010265C" w:rsidP="00D41492">
            <w:pPr>
              <w:pStyle w:val="TableText"/>
              <w:spacing w:before="50" w:after="50"/>
              <w:jc w:val="right"/>
              <w:rPr>
                <w:rFonts w:eastAsia="Arial Bold"/>
              </w:rPr>
            </w:pPr>
            <w:r w:rsidRPr="00261B7A">
              <w:rPr>
                <w:rFonts w:cs="Calibri"/>
                <w:szCs w:val="16"/>
              </w:rPr>
              <w:t>–</w:t>
            </w:r>
            <w:r w:rsidRPr="00261B7A">
              <w:rPr>
                <w:rFonts w:cs="Calibri"/>
                <w:color w:val="000000"/>
                <w:szCs w:val="16"/>
              </w:rPr>
              <w:t>7,637.9</w:t>
            </w:r>
          </w:p>
        </w:tc>
        <w:tc>
          <w:tcPr>
            <w:tcW w:w="1134" w:type="dxa"/>
            <w:tcBorders>
              <w:top w:val="single" w:sz="4" w:space="0" w:color="365F91"/>
              <w:bottom w:val="single" w:sz="4" w:space="0" w:color="365F91"/>
            </w:tcBorders>
            <w:shd w:val="clear" w:color="auto" w:fill="auto"/>
            <w:vAlign w:val="bottom"/>
          </w:tcPr>
          <w:p w14:paraId="4E647EDF" w14:textId="77777777" w:rsidR="0010265C" w:rsidRPr="00261B7A" w:rsidRDefault="0010265C" w:rsidP="00D41492">
            <w:pPr>
              <w:pStyle w:val="TableText"/>
              <w:spacing w:before="50" w:after="50"/>
              <w:jc w:val="right"/>
              <w:rPr>
                <w:rFonts w:eastAsia="Arial Bold"/>
              </w:rPr>
            </w:pPr>
            <w:r w:rsidRPr="00261B7A">
              <w:rPr>
                <w:rFonts w:cs="Calibri"/>
                <w:color w:val="000000"/>
                <w:szCs w:val="16"/>
              </w:rPr>
              <w:t>89,347.5</w:t>
            </w:r>
          </w:p>
        </w:tc>
        <w:tc>
          <w:tcPr>
            <w:tcW w:w="1275" w:type="dxa"/>
            <w:tcBorders>
              <w:top w:val="single" w:sz="4" w:space="0" w:color="365F91"/>
              <w:bottom w:val="single" w:sz="4" w:space="0" w:color="365F91"/>
            </w:tcBorders>
            <w:shd w:val="clear" w:color="auto" w:fill="auto"/>
            <w:vAlign w:val="bottom"/>
          </w:tcPr>
          <w:p w14:paraId="0063FD5E" w14:textId="77777777" w:rsidR="0010265C" w:rsidRPr="00261B7A" w:rsidRDefault="0010265C" w:rsidP="00D41492">
            <w:pPr>
              <w:pStyle w:val="TableText"/>
              <w:spacing w:before="50" w:after="50"/>
              <w:jc w:val="right"/>
              <w:rPr>
                <w:rFonts w:eastAsia="Arial Bold"/>
              </w:rPr>
            </w:pPr>
            <w:r w:rsidRPr="00261B7A">
              <w:rPr>
                <w:rFonts w:cs="Calibri"/>
                <w:szCs w:val="16"/>
              </w:rPr>
              <w:t>–</w:t>
            </w:r>
            <w:r w:rsidRPr="00261B7A">
              <w:rPr>
                <w:rFonts w:cs="Calibri"/>
                <w:color w:val="000000"/>
                <w:szCs w:val="16"/>
              </w:rPr>
              <w:t>327,607.5</w:t>
            </w:r>
          </w:p>
        </w:tc>
      </w:tr>
      <w:tr w:rsidR="0010265C" w:rsidRPr="00261B7A" w14:paraId="5CD6C711" w14:textId="77777777" w:rsidTr="00D013BA">
        <w:tc>
          <w:tcPr>
            <w:tcW w:w="2049" w:type="dxa"/>
            <w:tcBorders>
              <w:top w:val="single" w:sz="4" w:space="0" w:color="365F91"/>
              <w:bottom w:val="single" w:sz="4" w:space="0" w:color="365F91"/>
              <w:right w:val="nil"/>
            </w:tcBorders>
            <w:shd w:val="clear" w:color="auto" w:fill="auto"/>
          </w:tcPr>
          <w:p w14:paraId="51878FB8" w14:textId="77777777" w:rsidR="0010265C" w:rsidRPr="00261B7A" w:rsidRDefault="0010265C" w:rsidP="00D41492">
            <w:pPr>
              <w:pStyle w:val="TableText"/>
              <w:spacing w:before="50" w:after="50"/>
              <w:rPr>
                <w:rFonts w:eastAsia="Arial Bold"/>
              </w:rPr>
            </w:pPr>
            <w:r w:rsidRPr="00261B7A">
              <w:rPr>
                <w:rFonts w:eastAsia="Arial Bold"/>
              </w:rPr>
              <w:t>Post-1989 natural forest</w:t>
            </w:r>
          </w:p>
        </w:tc>
        <w:tc>
          <w:tcPr>
            <w:tcW w:w="1251" w:type="dxa"/>
            <w:tcBorders>
              <w:top w:val="single" w:sz="4" w:space="0" w:color="365F91"/>
              <w:bottom w:val="single" w:sz="4" w:space="0" w:color="365F91"/>
            </w:tcBorders>
            <w:shd w:val="clear" w:color="auto" w:fill="auto"/>
            <w:vAlign w:val="center"/>
          </w:tcPr>
          <w:p w14:paraId="58A16BBA" w14:textId="77777777" w:rsidR="0010265C" w:rsidRPr="00261B7A" w:rsidRDefault="0010265C" w:rsidP="00D41492">
            <w:pPr>
              <w:pStyle w:val="TableText"/>
              <w:spacing w:before="50" w:after="50"/>
              <w:jc w:val="right"/>
            </w:pPr>
            <w:r w:rsidRPr="00261B7A">
              <w:rPr>
                <w:rFonts w:cs="Calibri"/>
                <w:color w:val="000000"/>
                <w:szCs w:val="16"/>
              </w:rPr>
              <w:t>3,152.7</w:t>
            </w:r>
          </w:p>
        </w:tc>
        <w:tc>
          <w:tcPr>
            <w:tcW w:w="1662" w:type="dxa"/>
            <w:tcBorders>
              <w:top w:val="single" w:sz="4" w:space="0" w:color="365F91"/>
              <w:bottom w:val="single" w:sz="4" w:space="0" w:color="365F91"/>
            </w:tcBorders>
            <w:shd w:val="clear" w:color="auto" w:fill="auto"/>
            <w:vAlign w:val="center"/>
          </w:tcPr>
          <w:p w14:paraId="43AEA17A" w14:textId="77777777" w:rsidR="0010265C" w:rsidRPr="00261B7A" w:rsidRDefault="0010265C" w:rsidP="00D41492">
            <w:pPr>
              <w:pStyle w:val="TableText"/>
              <w:spacing w:before="50" w:after="50"/>
              <w:jc w:val="right"/>
            </w:pPr>
            <w:r w:rsidRPr="00261B7A">
              <w:rPr>
                <w:rFonts w:cs="Calibri"/>
                <w:color w:val="000000"/>
                <w:szCs w:val="16"/>
              </w:rPr>
              <w:t>34.8</w:t>
            </w:r>
          </w:p>
        </w:tc>
        <w:tc>
          <w:tcPr>
            <w:tcW w:w="1134" w:type="dxa"/>
            <w:tcBorders>
              <w:top w:val="single" w:sz="4" w:space="0" w:color="365F91"/>
              <w:bottom w:val="single" w:sz="4" w:space="0" w:color="365F91"/>
            </w:tcBorders>
            <w:shd w:val="clear" w:color="auto" w:fill="auto"/>
            <w:vAlign w:val="center"/>
          </w:tcPr>
          <w:p w14:paraId="1D75962C" w14:textId="77777777" w:rsidR="0010265C" w:rsidRPr="00261B7A" w:rsidRDefault="0010265C" w:rsidP="00D41492">
            <w:pPr>
              <w:pStyle w:val="TableText"/>
              <w:spacing w:before="50" w:after="50"/>
              <w:jc w:val="right"/>
            </w:pPr>
            <w:r w:rsidRPr="00261B7A">
              <w:rPr>
                <w:rFonts w:cs="Calibri"/>
                <w:szCs w:val="16"/>
              </w:rPr>
              <w:t>–</w:t>
            </w:r>
            <w:r w:rsidRPr="00261B7A">
              <w:rPr>
                <w:rFonts w:cs="Calibri"/>
                <w:color w:val="000000"/>
                <w:szCs w:val="16"/>
              </w:rPr>
              <w:t>666.8</w:t>
            </w:r>
          </w:p>
        </w:tc>
        <w:tc>
          <w:tcPr>
            <w:tcW w:w="1134" w:type="dxa"/>
            <w:tcBorders>
              <w:top w:val="single" w:sz="4" w:space="0" w:color="365F91"/>
              <w:bottom w:val="single" w:sz="4" w:space="0" w:color="365F91"/>
            </w:tcBorders>
            <w:shd w:val="clear" w:color="auto" w:fill="auto"/>
            <w:vAlign w:val="bottom"/>
          </w:tcPr>
          <w:p w14:paraId="430EC916" w14:textId="77777777" w:rsidR="0010265C" w:rsidRPr="00261B7A" w:rsidRDefault="0010265C" w:rsidP="00D41492">
            <w:pPr>
              <w:pStyle w:val="TableText"/>
              <w:spacing w:before="50" w:after="50"/>
              <w:jc w:val="right"/>
            </w:pPr>
            <w:r w:rsidRPr="00261B7A">
              <w:rPr>
                <w:rFonts w:cs="Calibri"/>
                <w:color w:val="000000"/>
                <w:szCs w:val="16"/>
              </w:rPr>
              <w:t>2,520.7</w:t>
            </w:r>
          </w:p>
        </w:tc>
        <w:tc>
          <w:tcPr>
            <w:tcW w:w="1275" w:type="dxa"/>
            <w:tcBorders>
              <w:top w:val="single" w:sz="4" w:space="0" w:color="365F91"/>
              <w:bottom w:val="single" w:sz="4" w:space="0" w:color="365F91"/>
            </w:tcBorders>
            <w:shd w:val="clear" w:color="auto" w:fill="auto"/>
            <w:vAlign w:val="bottom"/>
          </w:tcPr>
          <w:p w14:paraId="29452630" w14:textId="77777777" w:rsidR="0010265C" w:rsidRPr="00261B7A" w:rsidRDefault="0010265C" w:rsidP="00D41492">
            <w:pPr>
              <w:pStyle w:val="TableText"/>
              <w:spacing w:before="50" w:after="50"/>
              <w:jc w:val="right"/>
            </w:pPr>
            <w:r w:rsidRPr="00261B7A">
              <w:rPr>
                <w:rFonts w:cs="Calibri"/>
                <w:szCs w:val="16"/>
              </w:rPr>
              <w:t>–</w:t>
            </w:r>
            <w:r w:rsidRPr="00261B7A">
              <w:rPr>
                <w:rFonts w:cs="Calibri"/>
                <w:color w:val="000000"/>
                <w:szCs w:val="16"/>
              </w:rPr>
              <w:t>9,242.4</w:t>
            </w:r>
          </w:p>
        </w:tc>
      </w:tr>
      <w:tr w:rsidR="0010265C" w:rsidRPr="00261B7A" w14:paraId="073BC4EB" w14:textId="77777777" w:rsidTr="00D013BA">
        <w:tc>
          <w:tcPr>
            <w:tcW w:w="2049" w:type="dxa"/>
            <w:tcBorders>
              <w:top w:val="single" w:sz="4" w:space="0" w:color="365F91"/>
              <w:bottom w:val="single" w:sz="4" w:space="0" w:color="365F91"/>
              <w:right w:val="nil"/>
            </w:tcBorders>
            <w:shd w:val="clear" w:color="auto" w:fill="auto"/>
          </w:tcPr>
          <w:p w14:paraId="369FC9E4" w14:textId="77777777" w:rsidR="0010265C" w:rsidRPr="00261B7A" w:rsidRDefault="0010265C" w:rsidP="00D41492">
            <w:pPr>
              <w:pStyle w:val="Tableboldblue"/>
              <w:spacing w:before="50" w:after="50"/>
              <w:jc w:val="right"/>
              <w:rPr>
                <w:rFonts w:eastAsia="Arial Bold"/>
              </w:rPr>
            </w:pPr>
            <w:r w:rsidRPr="00261B7A">
              <w:rPr>
                <w:rFonts w:eastAsia="Arial Bold"/>
              </w:rPr>
              <w:t>Total</w:t>
            </w:r>
          </w:p>
        </w:tc>
        <w:tc>
          <w:tcPr>
            <w:tcW w:w="1251" w:type="dxa"/>
            <w:tcBorders>
              <w:top w:val="single" w:sz="4" w:space="0" w:color="365F91"/>
              <w:bottom w:val="single" w:sz="4" w:space="0" w:color="365F91"/>
            </w:tcBorders>
            <w:shd w:val="clear" w:color="auto" w:fill="auto"/>
          </w:tcPr>
          <w:p w14:paraId="2B110D31" w14:textId="77777777" w:rsidR="0010265C" w:rsidRPr="00261B7A" w:rsidRDefault="0010265C" w:rsidP="00D41492">
            <w:pPr>
              <w:pStyle w:val="Tableboldblue"/>
              <w:spacing w:before="50" w:after="50"/>
              <w:jc w:val="right"/>
              <w:rPr>
                <w:rFonts w:eastAsia="Arial Bold"/>
              </w:rPr>
            </w:pPr>
            <w:r w:rsidRPr="00261B7A">
              <w:t>203,019.7</w:t>
            </w:r>
          </w:p>
        </w:tc>
        <w:tc>
          <w:tcPr>
            <w:tcW w:w="1662" w:type="dxa"/>
            <w:tcBorders>
              <w:top w:val="single" w:sz="4" w:space="0" w:color="365F91"/>
              <w:bottom w:val="single" w:sz="4" w:space="0" w:color="365F91"/>
            </w:tcBorders>
            <w:shd w:val="clear" w:color="auto" w:fill="auto"/>
          </w:tcPr>
          <w:p w14:paraId="4833D0B7" w14:textId="77777777" w:rsidR="0010265C" w:rsidRPr="00261B7A" w:rsidRDefault="0010265C" w:rsidP="00D41492">
            <w:pPr>
              <w:pStyle w:val="Tableboldblue"/>
              <w:spacing w:before="50" w:after="50"/>
              <w:jc w:val="right"/>
              <w:rPr>
                <w:rFonts w:eastAsia="Arial Bold"/>
              </w:rPr>
            </w:pPr>
            <w:r w:rsidRPr="00261B7A">
              <w:t>28,533.4</w:t>
            </w:r>
          </w:p>
        </w:tc>
        <w:tc>
          <w:tcPr>
            <w:tcW w:w="1134" w:type="dxa"/>
            <w:tcBorders>
              <w:top w:val="single" w:sz="4" w:space="0" w:color="365F91"/>
              <w:bottom w:val="single" w:sz="4" w:space="0" w:color="365F91"/>
            </w:tcBorders>
            <w:shd w:val="clear" w:color="auto" w:fill="auto"/>
          </w:tcPr>
          <w:p w14:paraId="06DAD400" w14:textId="77777777" w:rsidR="0010265C" w:rsidRPr="00261B7A" w:rsidRDefault="0010265C" w:rsidP="00D41492">
            <w:pPr>
              <w:pStyle w:val="Tableboldblue"/>
              <w:spacing w:before="50" w:after="50"/>
              <w:jc w:val="right"/>
              <w:rPr>
                <w:rFonts w:eastAsia="Arial Bold"/>
              </w:rPr>
            </w:pPr>
            <w:r w:rsidRPr="00261B7A">
              <w:t>–12,679.5</w:t>
            </w:r>
          </w:p>
        </w:tc>
        <w:tc>
          <w:tcPr>
            <w:tcW w:w="1134" w:type="dxa"/>
            <w:tcBorders>
              <w:top w:val="single" w:sz="4" w:space="0" w:color="365F91"/>
              <w:bottom w:val="single" w:sz="4" w:space="0" w:color="365F91"/>
            </w:tcBorders>
            <w:shd w:val="clear" w:color="auto" w:fill="auto"/>
          </w:tcPr>
          <w:p w14:paraId="1403BD79" w14:textId="77777777" w:rsidR="0010265C" w:rsidRPr="00261B7A" w:rsidRDefault="0010265C" w:rsidP="00D41492">
            <w:pPr>
              <w:pStyle w:val="Tableboldblue"/>
              <w:spacing w:before="50" w:after="50"/>
              <w:jc w:val="right"/>
              <w:rPr>
                <w:rFonts w:eastAsia="Arial Bold"/>
              </w:rPr>
            </w:pPr>
            <w:r w:rsidRPr="00261B7A">
              <w:t>218,873.6</w:t>
            </w:r>
          </w:p>
        </w:tc>
        <w:tc>
          <w:tcPr>
            <w:tcW w:w="1275" w:type="dxa"/>
            <w:tcBorders>
              <w:top w:val="single" w:sz="4" w:space="0" w:color="365F91"/>
              <w:bottom w:val="single" w:sz="4" w:space="0" w:color="365F91"/>
            </w:tcBorders>
            <w:shd w:val="clear" w:color="auto" w:fill="auto"/>
          </w:tcPr>
          <w:p w14:paraId="6E888AA5" w14:textId="77777777" w:rsidR="0010265C" w:rsidRPr="00261B7A" w:rsidRDefault="0010265C" w:rsidP="00D41492">
            <w:pPr>
              <w:pStyle w:val="Tableboldblue"/>
              <w:spacing w:before="50" w:after="50"/>
              <w:jc w:val="right"/>
              <w:rPr>
                <w:rFonts w:eastAsia="Arial Bold"/>
              </w:rPr>
            </w:pPr>
            <w:r w:rsidRPr="00261B7A">
              <w:t>–802,536.7</w:t>
            </w:r>
          </w:p>
        </w:tc>
      </w:tr>
    </w:tbl>
    <w:p w14:paraId="1AFE3148" w14:textId="77777777" w:rsidR="0010265C" w:rsidRPr="00261B7A" w:rsidRDefault="0010265C" w:rsidP="0010265C">
      <w:pPr>
        <w:pStyle w:val="Noteundertable"/>
      </w:pPr>
      <w:r w:rsidRPr="00261B7A">
        <w:rPr>
          <w:b/>
        </w:rPr>
        <w:t>Note:</w:t>
      </w:r>
      <w:r w:rsidRPr="00261B7A">
        <w:tab/>
        <w:t>Emissions associated with the conversion of forest are reported in the land use category the land is converted to. Columns may not total due to rounding.</w:t>
      </w:r>
    </w:p>
    <w:p w14:paraId="24B55CB1" w14:textId="77777777" w:rsidR="0010265C" w:rsidRPr="00261B7A" w:rsidRDefault="0010265C" w:rsidP="0010265C">
      <w:pPr>
        <w:pStyle w:val="BodyText"/>
        <w:spacing w:before="100" w:after="100"/>
      </w:pPr>
      <w:r w:rsidRPr="00261B7A">
        <w:t>New Zealand’s emissions profile in the LULUCF sector is predominantly influenced by plantation forestry. The rapid growth rates of plantation forest relative to natural forest, and the timing of afforestation and harvesting cycles drive the emissions profile and will continue to do so in the future.</w:t>
      </w:r>
    </w:p>
    <w:p w14:paraId="5CB1BB5B" w14:textId="77777777" w:rsidR="0010265C" w:rsidRPr="00261B7A" w:rsidRDefault="0010265C" w:rsidP="0010265C">
      <w:pPr>
        <w:pStyle w:val="Heading3"/>
      </w:pPr>
      <w:bookmarkStart w:id="1643" w:name="_Toc255466330"/>
      <w:bookmarkStart w:id="1644" w:name="_Toc261513137"/>
      <w:bookmarkStart w:id="1645" w:name="_Toc261513750"/>
      <w:bookmarkStart w:id="1646" w:name="_Toc280630246"/>
      <w:bookmarkStart w:id="1647" w:name="_Toc373395712"/>
      <w:r w:rsidRPr="00261B7A">
        <w:t>6.3.2</w:t>
      </w:r>
      <w:r w:rsidRPr="00261B7A">
        <w:tab/>
        <w:t>Methodological issues</w:t>
      </w:r>
      <w:bookmarkEnd w:id="1643"/>
      <w:bookmarkEnd w:id="1644"/>
      <w:bookmarkEnd w:id="1645"/>
      <w:bookmarkEnd w:id="1646"/>
      <w:bookmarkEnd w:id="1647"/>
    </w:p>
    <w:p w14:paraId="296D6FB8" w14:textId="77777777" w:rsidR="0010265C" w:rsidRPr="00261B7A" w:rsidRDefault="0010265C" w:rsidP="0010265C">
      <w:pPr>
        <w:pStyle w:val="Heading5"/>
      </w:pPr>
      <w:bookmarkStart w:id="1648" w:name="_Hlk73696479"/>
      <w:r w:rsidRPr="00261B7A">
        <w:t>Afforestation/reforestation</w:t>
      </w:r>
    </w:p>
    <w:bookmarkEnd w:id="1648"/>
    <w:p w14:paraId="6663C1A1" w14:textId="77777777" w:rsidR="0010265C" w:rsidRPr="00261B7A" w:rsidRDefault="0010265C" w:rsidP="0010265C">
      <w:pPr>
        <w:pStyle w:val="BodyText"/>
      </w:pPr>
      <w:r w:rsidRPr="00261B7A">
        <w:t>Afforestation and reforestation areas of planted and natural forests are derived from a combination of land use mapping, national statistics and forestry scheme data. Annual rates of afforestation/reforestation are shown in figure 6.3.1 and are influenced greatly by market and policy conditions at the time, as described in section 6.1.1 and chapter 11, section 11.3.2. Further details on how the area of afforestation is calculated are provided in annex A3.2.2.</w:t>
      </w:r>
    </w:p>
    <w:p w14:paraId="1C082AE3" w14:textId="77777777" w:rsidR="0010265C" w:rsidRPr="00261B7A" w:rsidRDefault="0010265C" w:rsidP="0010265C">
      <w:pPr>
        <w:pStyle w:val="Figure"/>
        <w:spacing w:after="0"/>
      </w:pPr>
      <w:bookmarkStart w:id="1649" w:name="_Toc474914646"/>
      <w:bookmarkStart w:id="1650" w:name="_Toc481752028"/>
      <w:bookmarkStart w:id="1651" w:name="_Toc522010706"/>
      <w:bookmarkStart w:id="1652" w:name="_Toc5269709"/>
      <w:bookmarkStart w:id="1653" w:name="_Toc33529481"/>
      <w:bookmarkStart w:id="1654" w:name="_Toc36292811"/>
      <w:bookmarkStart w:id="1655" w:name="_Toc131591570"/>
      <w:r w:rsidRPr="00261B7A">
        <w:t>Figure 6.3.1</w:t>
      </w:r>
      <w:r w:rsidRPr="00261B7A">
        <w:tab/>
        <w:t>Annual areas of afforestation/reforestation in New Zealand from 1990 to </w:t>
      </w:r>
      <w:bookmarkEnd w:id="1649"/>
      <w:bookmarkEnd w:id="1650"/>
      <w:bookmarkEnd w:id="1651"/>
      <w:bookmarkEnd w:id="1652"/>
      <w:bookmarkEnd w:id="1653"/>
      <w:bookmarkEnd w:id="1654"/>
      <w:r w:rsidRPr="00261B7A">
        <w:t>2021</w:t>
      </w:r>
      <w:bookmarkEnd w:id="1655"/>
    </w:p>
    <w:p w14:paraId="00620170" w14:textId="77777777" w:rsidR="0010265C" w:rsidRPr="00261B7A" w:rsidRDefault="0010265C" w:rsidP="0010265C">
      <w:pPr>
        <w:pStyle w:val="BodyText"/>
      </w:pPr>
      <w:r w:rsidRPr="00261B7A">
        <w:rPr>
          <w:noProof/>
        </w:rPr>
        <w:drawing>
          <wp:anchor distT="0" distB="0" distL="114300" distR="114300" simplePos="0" relativeHeight="251659264" behindDoc="0" locked="0" layoutInCell="1" allowOverlap="1" wp14:anchorId="26578B74" wp14:editId="078DB7F3">
            <wp:simplePos x="0" y="0"/>
            <wp:positionH relativeFrom="column">
              <wp:posOffset>1967865</wp:posOffset>
            </wp:positionH>
            <wp:positionV relativeFrom="paragraph">
              <wp:posOffset>3575685</wp:posOffset>
            </wp:positionV>
            <wp:extent cx="1457325" cy="188448"/>
            <wp:effectExtent l="0" t="0" r="0" b="254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extLst>
                        <a:ext uri="{28A0092B-C50C-407E-A947-70E740481C1C}">
                          <a14:useLocalDpi xmlns:a14="http://schemas.microsoft.com/office/drawing/2010/main" val="0"/>
                        </a:ext>
                      </a:extLst>
                    </a:blip>
                    <a:stretch>
                      <a:fillRect/>
                    </a:stretch>
                  </pic:blipFill>
                  <pic:spPr>
                    <a:xfrm>
                      <a:off x="0" y="0"/>
                      <a:ext cx="1457325" cy="188448"/>
                    </a:xfrm>
                    <a:prstGeom prst="rect">
                      <a:avLst/>
                    </a:prstGeom>
                  </pic:spPr>
                </pic:pic>
              </a:graphicData>
            </a:graphic>
            <wp14:sizeRelH relativeFrom="page">
              <wp14:pctWidth>0</wp14:pctWidth>
            </wp14:sizeRelH>
            <wp14:sizeRelV relativeFrom="page">
              <wp14:pctHeight>0</wp14:pctHeight>
            </wp14:sizeRelV>
          </wp:anchor>
        </w:drawing>
      </w:r>
      <w:r w:rsidRPr="00261B7A">
        <w:rPr>
          <w:noProof/>
        </w:rPr>
        <w:drawing>
          <wp:inline distT="0" distB="0" distL="0" distR="0" wp14:anchorId="62D69617" wp14:editId="5D48EA60">
            <wp:extent cx="5400040" cy="3657600"/>
            <wp:effectExtent l="0" t="0" r="0" b="0"/>
            <wp:docPr id="17" name="Chart 17">
              <a:extLst xmlns:a="http://schemas.openxmlformats.org/drawingml/2006/main">
                <a:ext uri="{FF2B5EF4-FFF2-40B4-BE49-F238E27FC236}">
                  <a16:creationId xmlns:a16="http://schemas.microsoft.com/office/drawing/2014/main" id="{00000000-0008-0000-07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4ADDD74A" w14:textId="77777777" w:rsidR="0010265C" w:rsidRPr="00261B7A" w:rsidRDefault="0010265C" w:rsidP="0010265C">
      <w:pPr>
        <w:pStyle w:val="Noteundertable"/>
        <w:spacing w:before="0"/>
      </w:pPr>
      <w:r w:rsidRPr="00261B7A">
        <w:rPr>
          <w:b/>
        </w:rPr>
        <w:t>Note:</w:t>
      </w:r>
      <w:r w:rsidRPr="00261B7A">
        <w:tab/>
        <w:t>Details on how afforestation area is calculated are provided in A3.2.2.</w:t>
      </w:r>
    </w:p>
    <w:p w14:paraId="3B99152A" w14:textId="77777777" w:rsidR="0010265C" w:rsidRPr="00261B7A" w:rsidRDefault="0010265C" w:rsidP="0010265C">
      <w:pPr>
        <w:pStyle w:val="BodyText"/>
      </w:pPr>
      <w:r w:rsidRPr="00261B7A">
        <w:t>Post-1989 planted forests did not become a net sink until 1996 (see figure 6.3.2), when net removals from forest growth surpassed net emissions. These emissions were due to the loss of biomass in carbon stocks associated with the previous land use before conversion, in addition to the loss of soil carbon associated with a land-use change to forestry.</w:t>
      </w:r>
    </w:p>
    <w:p w14:paraId="7ACDC7F7" w14:textId="77777777" w:rsidR="0010265C" w:rsidRPr="00261B7A" w:rsidRDefault="0010265C" w:rsidP="0010265C">
      <w:pPr>
        <w:pStyle w:val="Figure"/>
        <w:spacing w:after="0"/>
      </w:pPr>
      <w:bookmarkStart w:id="1656" w:name="_Toc280630493"/>
      <w:bookmarkStart w:id="1657" w:name="_Toc318362751"/>
      <w:bookmarkStart w:id="1658" w:name="_Toc342470831"/>
      <w:bookmarkStart w:id="1659" w:name="_Toc352505159"/>
      <w:bookmarkStart w:id="1660" w:name="_Toc373395719"/>
      <w:bookmarkStart w:id="1661" w:name="_Toc378853342"/>
      <w:bookmarkStart w:id="1662" w:name="_Toc405448092"/>
      <w:bookmarkStart w:id="1663" w:name="_Toc414531624"/>
      <w:bookmarkStart w:id="1664" w:name="_Toc474914647"/>
      <w:bookmarkStart w:id="1665" w:name="_Toc481752029"/>
      <w:bookmarkStart w:id="1666" w:name="_Toc522010707"/>
      <w:bookmarkStart w:id="1667" w:name="_Toc5269710"/>
      <w:bookmarkStart w:id="1668" w:name="_Toc33529482"/>
      <w:bookmarkStart w:id="1669" w:name="_Toc36292812"/>
      <w:bookmarkStart w:id="1670" w:name="_Toc131591571"/>
      <w:r w:rsidRPr="00261B7A">
        <w:t>Figure 6.3.2</w:t>
      </w:r>
      <w:r w:rsidRPr="00261B7A">
        <w:tab/>
        <w:t>New Zealand’s net carbon dioxide removals by post-1989 planted forests from 1990 to </w:t>
      </w:r>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r w:rsidRPr="00261B7A">
        <w:t>2021</w:t>
      </w:r>
      <w:bookmarkEnd w:id="1670"/>
    </w:p>
    <w:p w14:paraId="437D5B85" w14:textId="77777777" w:rsidR="0010265C" w:rsidRPr="00261B7A" w:rsidRDefault="0010265C" w:rsidP="0010265C">
      <w:pPr>
        <w:pStyle w:val="BodyText"/>
        <w:spacing w:before="0"/>
      </w:pPr>
      <w:r w:rsidRPr="00261B7A">
        <w:rPr>
          <w:noProof/>
        </w:rPr>
        <w:drawing>
          <wp:inline distT="0" distB="0" distL="0" distR="0" wp14:anchorId="51544A54" wp14:editId="29B4501C">
            <wp:extent cx="5400040" cy="3653790"/>
            <wp:effectExtent l="0" t="0" r="0" b="3810"/>
            <wp:docPr id="18" name="Chart 18">
              <a:extLst xmlns:a="http://schemas.openxmlformats.org/drawingml/2006/main">
                <a:ext uri="{FF2B5EF4-FFF2-40B4-BE49-F238E27FC236}">
                  <a16:creationId xmlns:a16="http://schemas.microsoft.com/office/drawing/2014/main" id="{00000000-0008-0000-07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bookmarkStart w:id="1671" w:name="_Hlk73696492"/>
    </w:p>
    <w:p w14:paraId="3B2CE2D8" w14:textId="77777777" w:rsidR="0010265C" w:rsidRPr="00261B7A" w:rsidRDefault="0010265C" w:rsidP="0010265C">
      <w:pPr>
        <w:pStyle w:val="Heading5"/>
        <w:spacing w:before="120"/>
      </w:pPr>
      <w:r w:rsidRPr="00261B7A">
        <w:t>Harvesting</w:t>
      </w:r>
      <w:bookmarkEnd w:id="1671"/>
    </w:p>
    <w:p w14:paraId="44075707" w14:textId="77777777" w:rsidR="0010265C" w:rsidRPr="00261B7A" w:rsidRDefault="0010265C" w:rsidP="0010265C">
      <w:pPr>
        <w:pStyle w:val="BodyText"/>
        <w:spacing w:before="100" w:after="100"/>
      </w:pPr>
      <w:r w:rsidRPr="00261B7A">
        <w:t xml:space="preserve">The annual planted forest harvest area (both pre-1990 and post-1989 planted forest combined) from 1990 to 2021 is shown in figure 6.3.3. The method used to calculate the harvest area is outlined in annex A3.2.5 ‘Calculation of harvest area’. Emissions from harvesting are dependent on the age of the forest being harvested. To accurately reflect the actual harvest ages that occur, and therefore the associated emissions, a harvest age profile is applied to the harvest area to determine the harvest area by age. Detailed methodology on how the harvest age profile is calculated for post-1989 planted forest and pre-1990 planted forest can be found in annex A3.2.5 ‘Calculation of harvest area by age and forest age profile’, and addresses ERT recommendation L.17/FCCC/ARR/2019/NZL. </w:t>
      </w:r>
    </w:p>
    <w:p w14:paraId="68A28A39" w14:textId="77777777" w:rsidR="0010265C" w:rsidRPr="00261B7A" w:rsidRDefault="0010265C" w:rsidP="0010265C">
      <w:pPr>
        <w:pStyle w:val="BodyText"/>
        <w:spacing w:before="100" w:after="100"/>
      </w:pPr>
      <w:r w:rsidRPr="00261B7A">
        <w:t xml:space="preserve">Only a minimal proportion of timber harvested is from the natural forest estate. In 2021, an estimated 0.03 per cent of New Zealand’s total forest timber production was from the harvesting of natural forests (calculated from Ministry for Primary Industries, 2022a). </w:t>
      </w:r>
    </w:p>
    <w:p w14:paraId="3E9D8F03" w14:textId="77777777" w:rsidR="0010265C" w:rsidRPr="00261B7A" w:rsidRDefault="0010265C" w:rsidP="0010265C">
      <w:pPr>
        <w:pStyle w:val="Figure"/>
        <w:spacing w:after="0"/>
      </w:pPr>
      <w:bookmarkStart w:id="1672" w:name="_Toc474914649"/>
      <w:bookmarkStart w:id="1673" w:name="_Toc481752031"/>
      <w:bookmarkStart w:id="1674" w:name="_Toc522010709"/>
      <w:bookmarkStart w:id="1675" w:name="_Toc5269711"/>
      <w:bookmarkStart w:id="1676" w:name="_Toc33529484"/>
      <w:bookmarkStart w:id="1677" w:name="_Toc36292814"/>
      <w:bookmarkStart w:id="1678" w:name="_Toc131591572"/>
      <w:r w:rsidRPr="00261B7A">
        <w:t>Figure 6.3.3</w:t>
      </w:r>
      <w:r w:rsidRPr="00261B7A">
        <w:tab/>
        <w:t>New Zealand’s area of planted forest harvest (inclusive of deforestation) from 1990</w:t>
      </w:r>
      <w:bookmarkEnd w:id="1672"/>
      <w:bookmarkEnd w:id="1673"/>
      <w:r w:rsidRPr="00261B7A">
        <w:t> to </w:t>
      </w:r>
      <w:bookmarkEnd w:id="1674"/>
      <w:bookmarkEnd w:id="1675"/>
      <w:bookmarkEnd w:id="1676"/>
      <w:bookmarkEnd w:id="1677"/>
      <w:r w:rsidRPr="00261B7A">
        <w:t>2021</w:t>
      </w:r>
      <w:bookmarkEnd w:id="1678"/>
    </w:p>
    <w:p w14:paraId="3D844BEB" w14:textId="77777777" w:rsidR="0010265C" w:rsidRPr="00261B7A" w:rsidRDefault="0010265C" w:rsidP="0010265C">
      <w:pPr>
        <w:pStyle w:val="BodyText"/>
        <w:spacing w:before="0" w:after="0"/>
        <w:jc w:val="center"/>
      </w:pPr>
      <w:r w:rsidRPr="00261B7A">
        <w:rPr>
          <w:noProof/>
        </w:rPr>
        <w:drawing>
          <wp:inline distT="0" distB="0" distL="0" distR="0" wp14:anchorId="0572029D" wp14:editId="01DAFC9B">
            <wp:extent cx="5400040" cy="3458817"/>
            <wp:effectExtent l="0" t="0" r="0" b="889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96DAC541-7B7A-43D3-8B79-37D633B846F1}">
                          <asvg:svgBlip xmlns:asvg="http://schemas.microsoft.com/office/drawing/2016/SVG/main" r:embed="rId212"/>
                        </a:ext>
                      </a:extLst>
                    </a:blip>
                    <a:stretch>
                      <a:fillRect/>
                    </a:stretch>
                  </pic:blipFill>
                  <pic:spPr>
                    <a:xfrm>
                      <a:off x="0" y="0"/>
                      <a:ext cx="5402545" cy="3460421"/>
                    </a:xfrm>
                    <a:prstGeom prst="rect">
                      <a:avLst/>
                    </a:prstGeom>
                  </pic:spPr>
                </pic:pic>
              </a:graphicData>
            </a:graphic>
          </wp:inline>
        </w:drawing>
      </w:r>
    </w:p>
    <w:p w14:paraId="17614A72" w14:textId="77777777" w:rsidR="0010265C" w:rsidRPr="00261B7A" w:rsidRDefault="0010265C" w:rsidP="0010265C">
      <w:pPr>
        <w:pStyle w:val="Heading5"/>
        <w:spacing w:before="0"/>
      </w:pPr>
      <w:bookmarkStart w:id="1679" w:name="_Hlk73696500"/>
      <w:r w:rsidRPr="00261B7A">
        <w:t>Deforestation</w:t>
      </w:r>
    </w:p>
    <w:bookmarkEnd w:id="1679"/>
    <w:p w14:paraId="0A71A340" w14:textId="3937004A" w:rsidR="0010265C" w:rsidRPr="00261B7A" w:rsidRDefault="0010265C" w:rsidP="0010265C">
      <w:pPr>
        <w:pStyle w:val="BodyText"/>
      </w:pPr>
      <w:r w:rsidRPr="00261B7A">
        <w:t xml:space="preserve">In 2021, an estimated 2,610 hectares of </w:t>
      </w:r>
      <w:r w:rsidRPr="00261B7A">
        <w:rPr>
          <w:i/>
        </w:rPr>
        <w:t>Forest land</w:t>
      </w:r>
      <w:r w:rsidRPr="00261B7A">
        <w:t xml:space="preserve"> were converted to other land uses, primarily </w:t>
      </w:r>
      <w:r w:rsidRPr="00261B7A">
        <w:rPr>
          <w:i/>
        </w:rPr>
        <w:t>Grassland</w:t>
      </w:r>
      <w:r w:rsidRPr="00261B7A">
        <w:t xml:space="preserve">. Table 6.3.4 and figure 6.3.4 show the areas of </w:t>
      </w:r>
      <w:r w:rsidRPr="00261B7A">
        <w:rPr>
          <w:i/>
        </w:rPr>
        <w:t>Forest land</w:t>
      </w:r>
      <w:r w:rsidRPr="00261B7A">
        <w:t xml:space="preserve"> subject to deforestation since 1990 and in 2021. Figure 6.3.4 also illustrates how planted forest deforestation increased leading up to 2008, and then decreased after the introduction of the</w:t>
      </w:r>
      <w:r w:rsidR="00D013BA" w:rsidRPr="00261B7A">
        <w:t> </w:t>
      </w:r>
      <w:r w:rsidRPr="00261B7A">
        <w:t>NZ ETS in 2008.</w:t>
      </w:r>
    </w:p>
    <w:p w14:paraId="44908BB1" w14:textId="77777777" w:rsidR="0010265C" w:rsidRPr="00261B7A" w:rsidRDefault="0010265C" w:rsidP="00E24718">
      <w:pPr>
        <w:pStyle w:val="Table"/>
      </w:pPr>
      <w:bookmarkStart w:id="1680" w:name="_Toc280630455"/>
      <w:bookmarkStart w:id="1681" w:name="_Toc310423407"/>
      <w:bookmarkStart w:id="1682" w:name="_Toc318362700"/>
      <w:bookmarkStart w:id="1683" w:name="_Toc342470762"/>
      <w:bookmarkStart w:id="1684" w:name="_Toc352505002"/>
      <w:bookmarkStart w:id="1685" w:name="_Toc373395727"/>
      <w:bookmarkStart w:id="1686" w:name="_Toc378853293"/>
      <w:bookmarkStart w:id="1687" w:name="_Toc391024091"/>
      <w:bookmarkStart w:id="1688" w:name="_Toc410028834"/>
      <w:bookmarkStart w:id="1689" w:name="_Toc414531462"/>
      <w:bookmarkStart w:id="1690" w:name="_Toc443645375"/>
      <w:bookmarkStart w:id="1691" w:name="_Toc474914594"/>
      <w:bookmarkStart w:id="1692" w:name="_Toc481751558"/>
      <w:bookmarkStart w:id="1693" w:name="_Toc522010615"/>
      <w:bookmarkStart w:id="1694" w:name="_Toc5269520"/>
      <w:bookmarkStart w:id="1695" w:name="_Toc33529394"/>
      <w:bookmarkStart w:id="1696" w:name="_Toc36224600"/>
      <w:bookmarkStart w:id="1697" w:name="_Toc131591394"/>
      <w:r w:rsidRPr="00261B7A">
        <w:t>Table 6.3.4</w:t>
      </w:r>
      <w:r w:rsidRPr="00261B7A">
        <w:tab/>
        <w:t xml:space="preserve">New Zealand’s </w:t>
      </w:r>
      <w:r w:rsidRPr="00261B7A">
        <w:rPr>
          <w:i/>
        </w:rPr>
        <w:t xml:space="preserve">Forest land </w:t>
      </w:r>
      <w:r w:rsidRPr="00261B7A">
        <w:t>subject to deforestation</w:t>
      </w:r>
      <w:bookmarkEnd w:id="1680"/>
      <w:bookmarkEnd w:id="1681"/>
      <w:bookmarkEnd w:id="1682"/>
      <w:bookmarkEnd w:id="1683"/>
      <w:bookmarkEnd w:id="1684"/>
      <w:bookmarkEnd w:id="1685"/>
      <w:bookmarkEnd w:id="1686"/>
      <w:bookmarkEnd w:id="1687"/>
      <w:bookmarkEnd w:id="1688"/>
      <w:r w:rsidRPr="00261B7A">
        <w:t xml:space="preserve">, 1990 and </w:t>
      </w:r>
      <w:bookmarkEnd w:id="1689"/>
      <w:bookmarkEnd w:id="1690"/>
      <w:bookmarkEnd w:id="1691"/>
      <w:bookmarkEnd w:id="1692"/>
      <w:bookmarkEnd w:id="1693"/>
      <w:bookmarkEnd w:id="1694"/>
      <w:bookmarkEnd w:id="1695"/>
      <w:bookmarkEnd w:id="1696"/>
      <w:r w:rsidRPr="00261B7A">
        <w:t>2021</w:t>
      </w:r>
      <w:bookmarkEnd w:id="1697"/>
    </w:p>
    <w:tbl>
      <w:tblPr>
        <w:tblW w:w="8505" w:type="dxa"/>
        <w:tblLook w:val="04A0" w:firstRow="1" w:lastRow="0" w:firstColumn="1" w:lastColumn="0" w:noHBand="0" w:noVBand="1"/>
      </w:tblPr>
      <w:tblGrid>
        <w:gridCol w:w="1764"/>
        <w:gridCol w:w="1511"/>
        <w:gridCol w:w="1269"/>
        <w:gridCol w:w="1456"/>
        <w:gridCol w:w="989"/>
        <w:gridCol w:w="1516"/>
      </w:tblGrid>
      <w:tr w:rsidR="0010265C" w:rsidRPr="00261B7A" w14:paraId="56823CB0" w14:textId="77777777" w:rsidTr="00D013BA">
        <w:tc>
          <w:tcPr>
            <w:tcW w:w="1764" w:type="dxa"/>
            <w:vMerge w:val="restart"/>
            <w:tcBorders>
              <w:top w:val="single" w:sz="4" w:space="0" w:color="1B556B"/>
            </w:tcBorders>
            <w:shd w:val="clear" w:color="auto" w:fill="1B556B"/>
            <w:vAlign w:val="bottom"/>
          </w:tcPr>
          <w:p w14:paraId="784BDD0A" w14:textId="77777777" w:rsidR="0010265C" w:rsidRPr="00261B7A" w:rsidRDefault="0010265C" w:rsidP="00D41492">
            <w:pPr>
              <w:pStyle w:val="TableTextBold"/>
              <w:keepNext/>
              <w:spacing w:before="40" w:after="40"/>
              <w:rPr>
                <w:noProof w:val="0"/>
                <w:color w:val="FFFFFF"/>
              </w:rPr>
            </w:pPr>
            <w:r w:rsidRPr="00261B7A">
              <w:rPr>
                <w:noProof w:val="0"/>
                <w:color w:val="FFFFFF"/>
              </w:rPr>
              <w:t>Land use</w:t>
            </w:r>
          </w:p>
        </w:tc>
        <w:tc>
          <w:tcPr>
            <w:tcW w:w="1511" w:type="dxa"/>
            <w:vMerge w:val="restart"/>
            <w:tcBorders>
              <w:top w:val="single" w:sz="4" w:space="0" w:color="1B556B"/>
            </w:tcBorders>
            <w:shd w:val="clear" w:color="auto" w:fill="1B556B"/>
            <w:vAlign w:val="bottom"/>
          </w:tcPr>
          <w:p w14:paraId="116BBD60" w14:textId="77777777" w:rsidR="0010265C" w:rsidRPr="00261B7A" w:rsidRDefault="0010265C" w:rsidP="00D41492">
            <w:pPr>
              <w:pStyle w:val="TableTextBold"/>
              <w:keepNext/>
              <w:spacing w:before="40" w:after="40"/>
              <w:jc w:val="right"/>
              <w:rPr>
                <w:noProof w:val="0"/>
                <w:color w:val="FFFFFF"/>
              </w:rPr>
            </w:pPr>
            <w:r w:rsidRPr="00261B7A">
              <w:rPr>
                <w:noProof w:val="0"/>
                <w:color w:val="FFFFFF"/>
              </w:rPr>
              <w:t>Area of forest in 1990 (ha)</w:t>
            </w:r>
          </w:p>
        </w:tc>
        <w:tc>
          <w:tcPr>
            <w:tcW w:w="2725" w:type="dxa"/>
            <w:gridSpan w:val="2"/>
            <w:tcBorders>
              <w:top w:val="single" w:sz="4" w:space="0" w:color="1B556B"/>
            </w:tcBorders>
            <w:shd w:val="clear" w:color="auto" w:fill="1B556B"/>
            <w:vAlign w:val="bottom"/>
          </w:tcPr>
          <w:p w14:paraId="6D4CBF59" w14:textId="77777777" w:rsidR="0010265C" w:rsidRPr="00261B7A" w:rsidRDefault="0010265C" w:rsidP="00D41492">
            <w:pPr>
              <w:pStyle w:val="TableTextBold"/>
              <w:keepNext/>
              <w:spacing w:before="40" w:after="40"/>
              <w:jc w:val="center"/>
              <w:rPr>
                <w:noProof w:val="0"/>
                <w:color w:val="FFFFFF"/>
              </w:rPr>
            </w:pPr>
            <w:r w:rsidRPr="00261B7A">
              <w:rPr>
                <w:noProof w:val="0"/>
                <w:color w:val="FFFFFF"/>
              </w:rPr>
              <w:t>Deforestation since 1990</w:t>
            </w:r>
          </w:p>
        </w:tc>
        <w:tc>
          <w:tcPr>
            <w:tcW w:w="2505" w:type="dxa"/>
            <w:gridSpan w:val="2"/>
            <w:tcBorders>
              <w:top w:val="single" w:sz="4" w:space="0" w:color="1B556B"/>
            </w:tcBorders>
            <w:shd w:val="clear" w:color="auto" w:fill="1B556B"/>
            <w:vAlign w:val="bottom"/>
          </w:tcPr>
          <w:p w14:paraId="3455B15E" w14:textId="77777777" w:rsidR="0010265C" w:rsidRPr="00261B7A" w:rsidRDefault="0010265C" w:rsidP="00D41492">
            <w:pPr>
              <w:pStyle w:val="TableTextBold"/>
              <w:keepNext/>
              <w:spacing w:before="40" w:after="40"/>
              <w:jc w:val="center"/>
              <w:rPr>
                <w:noProof w:val="0"/>
                <w:color w:val="FFFFFF"/>
              </w:rPr>
            </w:pPr>
            <w:r w:rsidRPr="00261B7A">
              <w:rPr>
                <w:noProof w:val="0"/>
                <w:color w:val="FFFFFF"/>
              </w:rPr>
              <w:t>Deforestation in 2021</w:t>
            </w:r>
          </w:p>
        </w:tc>
      </w:tr>
      <w:tr w:rsidR="0010265C" w:rsidRPr="00261B7A" w14:paraId="7AB28D77" w14:textId="77777777" w:rsidTr="00D013BA">
        <w:tc>
          <w:tcPr>
            <w:tcW w:w="1764" w:type="dxa"/>
            <w:vMerge/>
            <w:tcBorders>
              <w:bottom w:val="single" w:sz="4" w:space="0" w:color="1B556B"/>
            </w:tcBorders>
            <w:shd w:val="clear" w:color="auto" w:fill="1B556B"/>
            <w:vAlign w:val="bottom"/>
          </w:tcPr>
          <w:p w14:paraId="5D5F0819" w14:textId="77777777" w:rsidR="0010265C" w:rsidRPr="00261B7A" w:rsidRDefault="0010265C" w:rsidP="00D41492">
            <w:pPr>
              <w:pStyle w:val="TableTextBold"/>
              <w:keepNext/>
              <w:spacing w:before="40" w:after="40"/>
              <w:jc w:val="center"/>
              <w:rPr>
                <w:noProof w:val="0"/>
                <w:color w:val="FFFFFF"/>
              </w:rPr>
            </w:pPr>
          </w:p>
        </w:tc>
        <w:tc>
          <w:tcPr>
            <w:tcW w:w="1511" w:type="dxa"/>
            <w:vMerge/>
            <w:tcBorders>
              <w:bottom w:val="single" w:sz="4" w:space="0" w:color="1B556B"/>
            </w:tcBorders>
            <w:shd w:val="clear" w:color="auto" w:fill="1B556B"/>
            <w:vAlign w:val="bottom"/>
          </w:tcPr>
          <w:p w14:paraId="21C690F5" w14:textId="77777777" w:rsidR="0010265C" w:rsidRPr="00261B7A" w:rsidRDefault="0010265C" w:rsidP="00D41492">
            <w:pPr>
              <w:pStyle w:val="TableTextBold"/>
              <w:keepNext/>
              <w:spacing w:before="40" w:after="40"/>
              <w:jc w:val="right"/>
              <w:rPr>
                <w:noProof w:val="0"/>
                <w:color w:val="FFFFFF"/>
              </w:rPr>
            </w:pPr>
          </w:p>
        </w:tc>
        <w:tc>
          <w:tcPr>
            <w:tcW w:w="1269" w:type="dxa"/>
            <w:tcBorders>
              <w:bottom w:val="single" w:sz="4" w:space="0" w:color="1B556B"/>
            </w:tcBorders>
            <w:shd w:val="clear" w:color="auto" w:fill="1B556B"/>
            <w:vAlign w:val="bottom"/>
          </w:tcPr>
          <w:p w14:paraId="59B3D3BB" w14:textId="77777777" w:rsidR="0010265C" w:rsidRPr="00261B7A" w:rsidRDefault="0010265C" w:rsidP="00D41492">
            <w:pPr>
              <w:pStyle w:val="TableTextBold"/>
              <w:keepNext/>
              <w:spacing w:before="40" w:after="40"/>
              <w:jc w:val="right"/>
              <w:rPr>
                <w:noProof w:val="0"/>
                <w:color w:val="FFFFFF"/>
              </w:rPr>
            </w:pPr>
            <w:r w:rsidRPr="00261B7A">
              <w:rPr>
                <w:noProof w:val="0"/>
                <w:color w:val="FFFFFF"/>
              </w:rPr>
              <w:t xml:space="preserve">Deforestation since 1990 </w:t>
            </w:r>
            <w:r w:rsidRPr="00261B7A">
              <w:rPr>
                <w:noProof w:val="0"/>
                <w:color w:val="FFFFFF"/>
              </w:rPr>
              <w:br/>
              <w:t>Area (ha)</w:t>
            </w:r>
          </w:p>
        </w:tc>
        <w:tc>
          <w:tcPr>
            <w:tcW w:w="1456" w:type="dxa"/>
            <w:tcBorders>
              <w:bottom w:val="single" w:sz="4" w:space="0" w:color="1B556B"/>
            </w:tcBorders>
            <w:shd w:val="clear" w:color="auto" w:fill="1B556B"/>
            <w:vAlign w:val="bottom"/>
          </w:tcPr>
          <w:p w14:paraId="62CE86C5" w14:textId="77777777" w:rsidR="0010265C" w:rsidRPr="00261B7A" w:rsidRDefault="0010265C" w:rsidP="00D41492">
            <w:pPr>
              <w:pStyle w:val="TableTextBold"/>
              <w:keepNext/>
              <w:spacing w:before="40" w:after="40"/>
              <w:jc w:val="right"/>
              <w:rPr>
                <w:noProof w:val="0"/>
                <w:color w:val="FFFFFF"/>
              </w:rPr>
            </w:pPr>
            <w:r w:rsidRPr="00261B7A">
              <w:rPr>
                <w:noProof w:val="0"/>
                <w:color w:val="FFFFFF"/>
              </w:rPr>
              <w:t>Proportion of 1990 area (%)</w:t>
            </w:r>
          </w:p>
        </w:tc>
        <w:tc>
          <w:tcPr>
            <w:tcW w:w="989" w:type="dxa"/>
            <w:tcBorders>
              <w:bottom w:val="single" w:sz="4" w:space="0" w:color="1B556B"/>
            </w:tcBorders>
            <w:shd w:val="clear" w:color="auto" w:fill="1B556B"/>
            <w:vAlign w:val="bottom"/>
          </w:tcPr>
          <w:p w14:paraId="28152B9A" w14:textId="77777777" w:rsidR="0010265C" w:rsidRPr="00261B7A" w:rsidRDefault="0010265C" w:rsidP="00D41492">
            <w:pPr>
              <w:pStyle w:val="TableTextBold"/>
              <w:keepNext/>
              <w:spacing w:before="40" w:after="40"/>
              <w:jc w:val="right"/>
              <w:rPr>
                <w:noProof w:val="0"/>
                <w:color w:val="FFFFFF"/>
              </w:rPr>
            </w:pPr>
            <w:r w:rsidRPr="00261B7A">
              <w:rPr>
                <w:noProof w:val="0"/>
                <w:color w:val="FFFFFF"/>
              </w:rPr>
              <w:t>Area (ha)</w:t>
            </w:r>
          </w:p>
        </w:tc>
        <w:tc>
          <w:tcPr>
            <w:tcW w:w="1516" w:type="dxa"/>
            <w:tcBorders>
              <w:bottom w:val="single" w:sz="4" w:space="0" w:color="1B556B"/>
            </w:tcBorders>
            <w:shd w:val="clear" w:color="auto" w:fill="1B556B"/>
            <w:vAlign w:val="bottom"/>
          </w:tcPr>
          <w:p w14:paraId="4F368C56" w14:textId="77777777" w:rsidR="0010265C" w:rsidRPr="00261B7A" w:rsidRDefault="0010265C" w:rsidP="00D41492">
            <w:pPr>
              <w:pStyle w:val="TableTextBold"/>
              <w:keepNext/>
              <w:spacing w:before="40" w:after="40"/>
              <w:jc w:val="right"/>
              <w:rPr>
                <w:noProof w:val="0"/>
                <w:color w:val="FFFFFF"/>
              </w:rPr>
            </w:pPr>
            <w:r w:rsidRPr="00261B7A">
              <w:rPr>
                <w:noProof w:val="0"/>
                <w:color w:val="FFFFFF"/>
              </w:rPr>
              <w:t>Proportion of 1990 area (%)</w:t>
            </w:r>
          </w:p>
        </w:tc>
      </w:tr>
      <w:tr w:rsidR="0010265C" w:rsidRPr="00261B7A" w14:paraId="338330D8" w14:textId="77777777" w:rsidTr="00D013BA">
        <w:tc>
          <w:tcPr>
            <w:tcW w:w="1764" w:type="dxa"/>
            <w:tcBorders>
              <w:top w:val="single" w:sz="4" w:space="0" w:color="1B556B"/>
              <w:bottom w:val="single" w:sz="4" w:space="0" w:color="1B556B"/>
            </w:tcBorders>
          </w:tcPr>
          <w:p w14:paraId="2EEA0059" w14:textId="77777777" w:rsidR="0010265C" w:rsidRPr="00261B7A" w:rsidRDefault="0010265C" w:rsidP="00D41492">
            <w:pPr>
              <w:pStyle w:val="TableText"/>
              <w:spacing w:before="40" w:after="40"/>
            </w:pPr>
            <w:r w:rsidRPr="00261B7A">
              <w:t>Pre-1990 natural forest</w:t>
            </w:r>
          </w:p>
        </w:tc>
        <w:tc>
          <w:tcPr>
            <w:tcW w:w="1511" w:type="dxa"/>
            <w:tcBorders>
              <w:top w:val="single" w:sz="4" w:space="0" w:color="1B556B"/>
              <w:bottom w:val="single" w:sz="4" w:space="0" w:color="1B556B"/>
            </w:tcBorders>
            <w:vAlign w:val="center"/>
          </w:tcPr>
          <w:p w14:paraId="621C2262" w14:textId="77777777" w:rsidR="0010265C" w:rsidRPr="00261B7A" w:rsidRDefault="0010265C" w:rsidP="00D41492">
            <w:pPr>
              <w:pStyle w:val="TableText"/>
              <w:spacing w:before="40" w:after="40"/>
              <w:jc w:val="right"/>
            </w:pPr>
            <w:r w:rsidRPr="00261B7A">
              <w:rPr>
                <w:rFonts w:cs="Calibri"/>
                <w:color w:val="000000"/>
                <w:szCs w:val="16"/>
              </w:rPr>
              <w:t>7,819,749</w:t>
            </w:r>
          </w:p>
        </w:tc>
        <w:tc>
          <w:tcPr>
            <w:tcW w:w="1269" w:type="dxa"/>
            <w:tcBorders>
              <w:top w:val="single" w:sz="4" w:space="0" w:color="1B556B"/>
              <w:bottom w:val="single" w:sz="4" w:space="0" w:color="1B556B"/>
            </w:tcBorders>
            <w:vAlign w:val="center"/>
          </w:tcPr>
          <w:p w14:paraId="6C5FF173" w14:textId="77777777" w:rsidR="0010265C" w:rsidRPr="00261B7A" w:rsidRDefault="0010265C" w:rsidP="00D41492">
            <w:pPr>
              <w:pStyle w:val="TableText"/>
              <w:spacing w:before="40" w:after="40"/>
              <w:jc w:val="right"/>
            </w:pPr>
            <w:r w:rsidRPr="00261B7A">
              <w:rPr>
                <w:rFonts w:cs="Calibri"/>
                <w:color w:val="000000"/>
                <w:szCs w:val="16"/>
              </w:rPr>
              <w:t>47,761</w:t>
            </w:r>
          </w:p>
        </w:tc>
        <w:tc>
          <w:tcPr>
            <w:tcW w:w="1456" w:type="dxa"/>
            <w:tcBorders>
              <w:top w:val="single" w:sz="4" w:space="0" w:color="1B556B"/>
              <w:bottom w:val="single" w:sz="4" w:space="0" w:color="1B556B"/>
            </w:tcBorders>
            <w:vAlign w:val="center"/>
          </w:tcPr>
          <w:p w14:paraId="37BEBF8A" w14:textId="77777777" w:rsidR="0010265C" w:rsidRPr="00261B7A" w:rsidRDefault="0010265C" w:rsidP="00D41492">
            <w:pPr>
              <w:pStyle w:val="TableText"/>
              <w:spacing w:before="40" w:after="40"/>
              <w:jc w:val="right"/>
            </w:pPr>
            <w:r w:rsidRPr="00261B7A">
              <w:rPr>
                <w:rFonts w:cs="Calibri"/>
                <w:color w:val="000000"/>
                <w:szCs w:val="16"/>
              </w:rPr>
              <w:t>0.61</w:t>
            </w:r>
          </w:p>
        </w:tc>
        <w:tc>
          <w:tcPr>
            <w:tcW w:w="989" w:type="dxa"/>
            <w:tcBorders>
              <w:top w:val="single" w:sz="4" w:space="0" w:color="1B556B"/>
              <w:bottom w:val="single" w:sz="4" w:space="0" w:color="1B556B"/>
            </w:tcBorders>
            <w:vAlign w:val="center"/>
          </w:tcPr>
          <w:p w14:paraId="2BC6E73A" w14:textId="77777777" w:rsidR="0010265C" w:rsidRPr="00261B7A" w:rsidRDefault="0010265C" w:rsidP="00D41492">
            <w:pPr>
              <w:pStyle w:val="TableText"/>
              <w:spacing w:before="40" w:after="40"/>
              <w:jc w:val="right"/>
            </w:pPr>
            <w:r w:rsidRPr="00261B7A">
              <w:rPr>
                <w:rFonts w:cs="Calibri"/>
                <w:color w:val="000000"/>
                <w:szCs w:val="16"/>
              </w:rPr>
              <w:t>596</w:t>
            </w:r>
          </w:p>
        </w:tc>
        <w:tc>
          <w:tcPr>
            <w:tcW w:w="1516" w:type="dxa"/>
            <w:tcBorders>
              <w:top w:val="single" w:sz="4" w:space="0" w:color="1B556B"/>
              <w:bottom w:val="single" w:sz="4" w:space="0" w:color="1B556B"/>
            </w:tcBorders>
            <w:vAlign w:val="center"/>
          </w:tcPr>
          <w:p w14:paraId="08A16A99" w14:textId="77777777" w:rsidR="0010265C" w:rsidRPr="00261B7A" w:rsidRDefault="0010265C" w:rsidP="00D41492">
            <w:pPr>
              <w:pStyle w:val="TableText"/>
              <w:spacing w:before="40" w:after="40"/>
              <w:jc w:val="right"/>
            </w:pPr>
            <w:r w:rsidRPr="00261B7A">
              <w:rPr>
                <w:rFonts w:cs="Calibri"/>
                <w:color w:val="000000"/>
                <w:szCs w:val="16"/>
              </w:rPr>
              <w:t>0.01</w:t>
            </w:r>
          </w:p>
        </w:tc>
      </w:tr>
      <w:tr w:rsidR="0010265C" w:rsidRPr="00261B7A" w14:paraId="6D47F87C" w14:textId="77777777" w:rsidTr="00D013BA">
        <w:tc>
          <w:tcPr>
            <w:tcW w:w="1764" w:type="dxa"/>
            <w:tcBorders>
              <w:top w:val="single" w:sz="4" w:space="0" w:color="1B556B"/>
              <w:bottom w:val="single" w:sz="4" w:space="0" w:color="1B556B"/>
            </w:tcBorders>
          </w:tcPr>
          <w:p w14:paraId="4AF5B053" w14:textId="77777777" w:rsidR="0010265C" w:rsidRPr="00261B7A" w:rsidRDefault="0010265C" w:rsidP="00D41492">
            <w:pPr>
              <w:pStyle w:val="TableText"/>
              <w:spacing w:before="40" w:after="40"/>
            </w:pPr>
            <w:r w:rsidRPr="00261B7A">
              <w:t>Pre-1990 planted forest</w:t>
            </w:r>
          </w:p>
        </w:tc>
        <w:tc>
          <w:tcPr>
            <w:tcW w:w="1511" w:type="dxa"/>
            <w:tcBorders>
              <w:top w:val="single" w:sz="4" w:space="0" w:color="1B556B"/>
              <w:bottom w:val="single" w:sz="4" w:space="0" w:color="1B556B"/>
            </w:tcBorders>
            <w:vAlign w:val="center"/>
          </w:tcPr>
          <w:p w14:paraId="4E7A4288" w14:textId="77777777" w:rsidR="0010265C" w:rsidRPr="00261B7A" w:rsidRDefault="0010265C" w:rsidP="00D41492">
            <w:pPr>
              <w:pStyle w:val="TableText"/>
              <w:spacing w:before="40" w:after="40"/>
              <w:jc w:val="right"/>
              <w:rPr>
                <w:i/>
                <w:iCs/>
                <w:szCs w:val="24"/>
              </w:rPr>
            </w:pPr>
            <w:r w:rsidRPr="00261B7A">
              <w:rPr>
                <w:rFonts w:cs="Calibri"/>
                <w:color w:val="000000"/>
                <w:szCs w:val="16"/>
              </w:rPr>
              <w:t>1,547,195</w:t>
            </w:r>
          </w:p>
        </w:tc>
        <w:tc>
          <w:tcPr>
            <w:tcW w:w="1269" w:type="dxa"/>
            <w:tcBorders>
              <w:top w:val="single" w:sz="4" w:space="0" w:color="1B556B"/>
              <w:bottom w:val="single" w:sz="4" w:space="0" w:color="1B556B"/>
            </w:tcBorders>
            <w:vAlign w:val="center"/>
          </w:tcPr>
          <w:p w14:paraId="43574834" w14:textId="77777777" w:rsidR="0010265C" w:rsidRPr="00261B7A" w:rsidRDefault="0010265C" w:rsidP="00D41492">
            <w:pPr>
              <w:pStyle w:val="TableText"/>
              <w:spacing w:before="40" w:after="40"/>
              <w:jc w:val="right"/>
              <w:rPr>
                <w:bCs/>
                <w:i/>
                <w:iCs/>
                <w:szCs w:val="24"/>
              </w:rPr>
            </w:pPr>
            <w:r w:rsidRPr="00261B7A">
              <w:rPr>
                <w:rFonts w:cs="Calibri"/>
                <w:color w:val="000000"/>
                <w:szCs w:val="16"/>
              </w:rPr>
              <w:t>132,352</w:t>
            </w:r>
          </w:p>
        </w:tc>
        <w:tc>
          <w:tcPr>
            <w:tcW w:w="1456" w:type="dxa"/>
            <w:tcBorders>
              <w:top w:val="single" w:sz="4" w:space="0" w:color="1B556B"/>
              <w:bottom w:val="single" w:sz="4" w:space="0" w:color="1B556B"/>
            </w:tcBorders>
            <w:vAlign w:val="center"/>
          </w:tcPr>
          <w:p w14:paraId="0679C2D8" w14:textId="77777777" w:rsidR="0010265C" w:rsidRPr="00261B7A" w:rsidRDefault="0010265C" w:rsidP="00D41492">
            <w:pPr>
              <w:pStyle w:val="TableText"/>
              <w:spacing w:before="40" w:after="40"/>
              <w:jc w:val="right"/>
              <w:rPr>
                <w:bCs/>
                <w:i/>
                <w:iCs/>
                <w:szCs w:val="24"/>
              </w:rPr>
            </w:pPr>
            <w:r w:rsidRPr="00261B7A">
              <w:rPr>
                <w:rFonts w:cs="Calibri"/>
                <w:color w:val="000000"/>
                <w:szCs w:val="16"/>
              </w:rPr>
              <w:t>8.55</w:t>
            </w:r>
          </w:p>
        </w:tc>
        <w:tc>
          <w:tcPr>
            <w:tcW w:w="989" w:type="dxa"/>
            <w:tcBorders>
              <w:top w:val="single" w:sz="4" w:space="0" w:color="1B556B"/>
              <w:bottom w:val="single" w:sz="4" w:space="0" w:color="1B556B"/>
            </w:tcBorders>
            <w:vAlign w:val="center"/>
          </w:tcPr>
          <w:p w14:paraId="083484AE" w14:textId="77777777" w:rsidR="0010265C" w:rsidRPr="00261B7A" w:rsidRDefault="0010265C" w:rsidP="00D41492">
            <w:pPr>
              <w:pStyle w:val="TableText"/>
              <w:spacing w:before="40" w:after="40"/>
              <w:jc w:val="right"/>
              <w:rPr>
                <w:bCs/>
                <w:i/>
                <w:iCs/>
                <w:szCs w:val="24"/>
              </w:rPr>
            </w:pPr>
            <w:r w:rsidRPr="00261B7A">
              <w:rPr>
                <w:rFonts w:cs="Calibri"/>
                <w:color w:val="000000"/>
                <w:szCs w:val="16"/>
              </w:rPr>
              <w:t>502</w:t>
            </w:r>
          </w:p>
        </w:tc>
        <w:tc>
          <w:tcPr>
            <w:tcW w:w="1516" w:type="dxa"/>
            <w:tcBorders>
              <w:top w:val="single" w:sz="4" w:space="0" w:color="1B556B"/>
              <w:bottom w:val="single" w:sz="4" w:space="0" w:color="1B556B"/>
            </w:tcBorders>
            <w:vAlign w:val="center"/>
          </w:tcPr>
          <w:p w14:paraId="61D2C121" w14:textId="77777777" w:rsidR="0010265C" w:rsidRPr="00261B7A" w:rsidRDefault="0010265C" w:rsidP="00D41492">
            <w:pPr>
              <w:pStyle w:val="TableText"/>
              <w:spacing w:before="40" w:after="40"/>
              <w:jc w:val="right"/>
              <w:rPr>
                <w:bCs/>
                <w:i/>
                <w:iCs/>
                <w:szCs w:val="24"/>
              </w:rPr>
            </w:pPr>
            <w:r w:rsidRPr="00261B7A">
              <w:rPr>
                <w:rFonts w:cs="Calibri"/>
                <w:color w:val="000000"/>
                <w:szCs w:val="16"/>
              </w:rPr>
              <w:t>0.03</w:t>
            </w:r>
          </w:p>
        </w:tc>
      </w:tr>
      <w:tr w:rsidR="0010265C" w:rsidRPr="00261B7A" w14:paraId="76831113" w14:textId="77777777" w:rsidTr="00D013BA">
        <w:tc>
          <w:tcPr>
            <w:tcW w:w="1764" w:type="dxa"/>
            <w:tcBorders>
              <w:top w:val="single" w:sz="4" w:space="0" w:color="1B556B"/>
              <w:bottom w:val="single" w:sz="4" w:space="0" w:color="1B556B"/>
            </w:tcBorders>
          </w:tcPr>
          <w:p w14:paraId="7D14A3A8" w14:textId="77777777" w:rsidR="0010265C" w:rsidRPr="00261B7A" w:rsidRDefault="0010265C" w:rsidP="00D41492">
            <w:pPr>
              <w:pStyle w:val="TableText"/>
              <w:spacing w:before="40" w:after="40"/>
            </w:pPr>
            <w:r w:rsidRPr="00261B7A">
              <w:t>Post-1989 planted forest</w:t>
            </w:r>
          </w:p>
        </w:tc>
        <w:tc>
          <w:tcPr>
            <w:tcW w:w="1511" w:type="dxa"/>
            <w:tcBorders>
              <w:top w:val="single" w:sz="4" w:space="0" w:color="1B556B"/>
              <w:bottom w:val="single" w:sz="4" w:space="0" w:color="1B556B"/>
            </w:tcBorders>
            <w:vAlign w:val="center"/>
          </w:tcPr>
          <w:p w14:paraId="1BD7528E" w14:textId="77777777" w:rsidR="0010265C" w:rsidRPr="00261B7A" w:rsidRDefault="0010265C" w:rsidP="00D41492">
            <w:pPr>
              <w:pStyle w:val="TableText"/>
              <w:spacing w:before="40" w:after="40"/>
              <w:jc w:val="right"/>
              <w:rPr>
                <w:szCs w:val="24"/>
              </w:rPr>
            </w:pPr>
            <w:r w:rsidRPr="00261B7A">
              <w:rPr>
                <w:rFonts w:cs="Calibri"/>
                <w:color w:val="000000"/>
                <w:szCs w:val="16"/>
              </w:rPr>
              <w:t>0</w:t>
            </w:r>
          </w:p>
        </w:tc>
        <w:tc>
          <w:tcPr>
            <w:tcW w:w="1269" w:type="dxa"/>
            <w:tcBorders>
              <w:top w:val="single" w:sz="4" w:space="0" w:color="1B556B"/>
              <w:bottom w:val="single" w:sz="4" w:space="0" w:color="1B556B"/>
            </w:tcBorders>
            <w:vAlign w:val="center"/>
          </w:tcPr>
          <w:p w14:paraId="2E86C211" w14:textId="77777777" w:rsidR="0010265C" w:rsidRPr="00261B7A" w:rsidRDefault="0010265C" w:rsidP="00D41492">
            <w:pPr>
              <w:pStyle w:val="TableText"/>
              <w:spacing w:before="40" w:after="40"/>
              <w:jc w:val="right"/>
              <w:rPr>
                <w:i/>
                <w:iCs/>
                <w:szCs w:val="24"/>
              </w:rPr>
            </w:pPr>
            <w:r w:rsidRPr="00261B7A">
              <w:rPr>
                <w:rFonts w:cs="Calibri"/>
                <w:color w:val="000000"/>
                <w:szCs w:val="16"/>
              </w:rPr>
              <w:t>47,347</w:t>
            </w:r>
          </w:p>
        </w:tc>
        <w:tc>
          <w:tcPr>
            <w:tcW w:w="1456" w:type="dxa"/>
            <w:tcBorders>
              <w:top w:val="single" w:sz="4" w:space="0" w:color="1B556B"/>
              <w:bottom w:val="single" w:sz="4" w:space="0" w:color="1B556B"/>
            </w:tcBorders>
            <w:vAlign w:val="center"/>
          </w:tcPr>
          <w:p w14:paraId="02CFCDA9" w14:textId="77777777" w:rsidR="0010265C" w:rsidRPr="00261B7A" w:rsidRDefault="0010265C" w:rsidP="00D41492">
            <w:pPr>
              <w:pStyle w:val="TableText"/>
              <w:spacing w:before="40" w:after="40"/>
              <w:jc w:val="right"/>
              <w:rPr>
                <w:i/>
              </w:rPr>
            </w:pPr>
            <w:r w:rsidRPr="00261B7A">
              <w:rPr>
                <w:rFonts w:cs="Calibri"/>
                <w:color w:val="000000"/>
                <w:szCs w:val="16"/>
              </w:rPr>
              <w:t>NA</w:t>
            </w:r>
          </w:p>
        </w:tc>
        <w:tc>
          <w:tcPr>
            <w:tcW w:w="989" w:type="dxa"/>
            <w:tcBorders>
              <w:top w:val="single" w:sz="4" w:space="0" w:color="1B556B"/>
              <w:bottom w:val="single" w:sz="4" w:space="0" w:color="1B556B"/>
            </w:tcBorders>
            <w:vAlign w:val="center"/>
          </w:tcPr>
          <w:p w14:paraId="79118ACF" w14:textId="77777777" w:rsidR="0010265C" w:rsidRPr="00261B7A" w:rsidRDefault="0010265C" w:rsidP="00D41492">
            <w:pPr>
              <w:pStyle w:val="TableText"/>
              <w:spacing w:before="40" w:after="40"/>
              <w:jc w:val="right"/>
              <w:rPr>
                <w:i/>
                <w:iCs/>
                <w:szCs w:val="24"/>
              </w:rPr>
            </w:pPr>
            <w:r w:rsidRPr="00261B7A">
              <w:rPr>
                <w:rFonts w:cs="Calibri"/>
                <w:color w:val="000000"/>
                <w:szCs w:val="16"/>
              </w:rPr>
              <w:t>1,447</w:t>
            </w:r>
          </w:p>
        </w:tc>
        <w:tc>
          <w:tcPr>
            <w:tcW w:w="1516" w:type="dxa"/>
            <w:tcBorders>
              <w:top w:val="single" w:sz="4" w:space="0" w:color="1B556B"/>
              <w:bottom w:val="single" w:sz="4" w:space="0" w:color="1B556B"/>
            </w:tcBorders>
            <w:vAlign w:val="center"/>
          </w:tcPr>
          <w:p w14:paraId="31070CCE" w14:textId="77777777" w:rsidR="0010265C" w:rsidRPr="00261B7A" w:rsidRDefault="0010265C" w:rsidP="00D41492">
            <w:pPr>
              <w:pStyle w:val="TableText"/>
              <w:spacing w:before="40" w:after="40"/>
              <w:jc w:val="right"/>
              <w:rPr>
                <w:i/>
              </w:rPr>
            </w:pPr>
            <w:r w:rsidRPr="00261B7A">
              <w:rPr>
                <w:rFonts w:cs="Calibri"/>
                <w:color w:val="000000"/>
                <w:szCs w:val="16"/>
              </w:rPr>
              <w:t>NA</w:t>
            </w:r>
          </w:p>
        </w:tc>
      </w:tr>
      <w:tr w:rsidR="0010265C" w:rsidRPr="00261B7A" w14:paraId="0F6E5C1B" w14:textId="77777777" w:rsidTr="00D013BA">
        <w:tc>
          <w:tcPr>
            <w:tcW w:w="1764" w:type="dxa"/>
            <w:tcBorders>
              <w:top w:val="single" w:sz="4" w:space="0" w:color="1B556B"/>
              <w:bottom w:val="single" w:sz="4" w:space="0" w:color="1B556B"/>
            </w:tcBorders>
          </w:tcPr>
          <w:p w14:paraId="1D3308BB" w14:textId="77777777" w:rsidR="0010265C" w:rsidRPr="00261B7A" w:rsidRDefault="0010265C" w:rsidP="00D41492">
            <w:pPr>
              <w:pStyle w:val="TableText"/>
              <w:spacing w:before="40" w:after="40"/>
            </w:pPr>
            <w:r w:rsidRPr="00261B7A">
              <w:t>Post-1989 natural forest</w:t>
            </w:r>
          </w:p>
        </w:tc>
        <w:tc>
          <w:tcPr>
            <w:tcW w:w="1511" w:type="dxa"/>
            <w:tcBorders>
              <w:top w:val="single" w:sz="4" w:space="0" w:color="1B556B"/>
              <w:bottom w:val="single" w:sz="4" w:space="0" w:color="1B556B"/>
            </w:tcBorders>
            <w:vAlign w:val="center"/>
          </w:tcPr>
          <w:p w14:paraId="49E2A71B" w14:textId="77777777" w:rsidR="0010265C" w:rsidRPr="00261B7A" w:rsidRDefault="0010265C" w:rsidP="00D41492">
            <w:pPr>
              <w:pStyle w:val="TableText"/>
              <w:spacing w:before="40" w:after="40"/>
              <w:jc w:val="right"/>
            </w:pPr>
            <w:r w:rsidRPr="00261B7A">
              <w:rPr>
                <w:rFonts w:cs="Calibri"/>
                <w:color w:val="000000"/>
                <w:szCs w:val="16"/>
              </w:rPr>
              <w:t>0</w:t>
            </w:r>
          </w:p>
        </w:tc>
        <w:tc>
          <w:tcPr>
            <w:tcW w:w="1269" w:type="dxa"/>
            <w:tcBorders>
              <w:top w:val="single" w:sz="4" w:space="0" w:color="1B556B"/>
              <w:bottom w:val="single" w:sz="4" w:space="0" w:color="1B556B"/>
            </w:tcBorders>
            <w:vAlign w:val="center"/>
          </w:tcPr>
          <w:p w14:paraId="173180FE" w14:textId="77777777" w:rsidR="0010265C" w:rsidRPr="00261B7A" w:rsidRDefault="0010265C" w:rsidP="00D41492">
            <w:pPr>
              <w:pStyle w:val="TableText"/>
              <w:spacing w:before="40" w:after="40"/>
              <w:jc w:val="right"/>
            </w:pPr>
            <w:r w:rsidRPr="00261B7A">
              <w:rPr>
                <w:rFonts w:cs="Calibri"/>
                <w:color w:val="000000"/>
                <w:szCs w:val="16"/>
              </w:rPr>
              <w:t>1,127</w:t>
            </w:r>
          </w:p>
        </w:tc>
        <w:tc>
          <w:tcPr>
            <w:tcW w:w="1456" w:type="dxa"/>
            <w:tcBorders>
              <w:top w:val="single" w:sz="4" w:space="0" w:color="1B556B"/>
              <w:bottom w:val="single" w:sz="4" w:space="0" w:color="1B556B"/>
            </w:tcBorders>
            <w:vAlign w:val="center"/>
          </w:tcPr>
          <w:p w14:paraId="612E3D01" w14:textId="77777777" w:rsidR="0010265C" w:rsidRPr="00261B7A" w:rsidRDefault="0010265C" w:rsidP="00D41492">
            <w:pPr>
              <w:pStyle w:val="TableText"/>
              <w:spacing w:before="40" w:after="40"/>
              <w:jc w:val="right"/>
            </w:pPr>
            <w:r w:rsidRPr="00261B7A">
              <w:rPr>
                <w:rFonts w:cs="Calibri"/>
                <w:color w:val="000000"/>
                <w:szCs w:val="16"/>
              </w:rPr>
              <w:t>NA</w:t>
            </w:r>
          </w:p>
        </w:tc>
        <w:tc>
          <w:tcPr>
            <w:tcW w:w="989" w:type="dxa"/>
            <w:tcBorders>
              <w:top w:val="single" w:sz="4" w:space="0" w:color="1B556B"/>
              <w:bottom w:val="single" w:sz="4" w:space="0" w:color="1B556B"/>
            </w:tcBorders>
            <w:vAlign w:val="center"/>
          </w:tcPr>
          <w:p w14:paraId="45E73A10" w14:textId="77777777" w:rsidR="0010265C" w:rsidRPr="00261B7A" w:rsidRDefault="0010265C" w:rsidP="00D41492">
            <w:pPr>
              <w:pStyle w:val="TableText"/>
              <w:spacing w:before="40" w:after="40"/>
              <w:jc w:val="right"/>
            </w:pPr>
            <w:r w:rsidRPr="00261B7A">
              <w:rPr>
                <w:rFonts w:cs="Calibri"/>
                <w:color w:val="000000"/>
                <w:szCs w:val="16"/>
              </w:rPr>
              <w:t>65</w:t>
            </w:r>
          </w:p>
        </w:tc>
        <w:tc>
          <w:tcPr>
            <w:tcW w:w="1516" w:type="dxa"/>
            <w:tcBorders>
              <w:top w:val="single" w:sz="4" w:space="0" w:color="1B556B"/>
              <w:bottom w:val="single" w:sz="4" w:space="0" w:color="1B556B"/>
            </w:tcBorders>
            <w:vAlign w:val="center"/>
          </w:tcPr>
          <w:p w14:paraId="52AB4477" w14:textId="77777777" w:rsidR="0010265C" w:rsidRPr="00261B7A" w:rsidRDefault="0010265C" w:rsidP="00D41492">
            <w:pPr>
              <w:pStyle w:val="TableText"/>
              <w:spacing w:before="40" w:after="40"/>
              <w:jc w:val="right"/>
            </w:pPr>
            <w:r w:rsidRPr="00261B7A">
              <w:rPr>
                <w:rFonts w:cs="Calibri"/>
                <w:color w:val="000000"/>
                <w:szCs w:val="16"/>
              </w:rPr>
              <w:t>NA</w:t>
            </w:r>
          </w:p>
        </w:tc>
      </w:tr>
      <w:tr w:rsidR="0010265C" w:rsidRPr="00261B7A" w14:paraId="54DF0A08" w14:textId="77777777" w:rsidTr="00D013BA">
        <w:tc>
          <w:tcPr>
            <w:tcW w:w="1764" w:type="dxa"/>
            <w:tcBorders>
              <w:top w:val="single" w:sz="4" w:space="0" w:color="1B556B"/>
              <w:bottom w:val="single" w:sz="4" w:space="0" w:color="1B556B"/>
            </w:tcBorders>
          </w:tcPr>
          <w:p w14:paraId="17D0273E" w14:textId="77777777" w:rsidR="0010265C" w:rsidRPr="00261B7A" w:rsidRDefault="0010265C" w:rsidP="00D41492">
            <w:pPr>
              <w:pStyle w:val="Tableboldblue"/>
              <w:spacing w:before="40" w:after="40"/>
              <w:jc w:val="right"/>
            </w:pPr>
            <w:r w:rsidRPr="00261B7A">
              <w:t>Total</w:t>
            </w:r>
          </w:p>
        </w:tc>
        <w:tc>
          <w:tcPr>
            <w:tcW w:w="1511" w:type="dxa"/>
            <w:tcBorders>
              <w:top w:val="single" w:sz="4" w:space="0" w:color="1B556B"/>
              <w:bottom w:val="single" w:sz="4" w:space="0" w:color="1B556B"/>
            </w:tcBorders>
            <w:vAlign w:val="center"/>
          </w:tcPr>
          <w:p w14:paraId="277E282D" w14:textId="77777777" w:rsidR="0010265C" w:rsidRPr="00261B7A" w:rsidRDefault="0010265C" w:rsidP="00D41492">
            <w:pPr>
              <w:pStyle w:val="Tableboldblue"/>
              <w:spacing w:before="40" w:after="40"/>
              <w:jc w:val="right"/>
              <w:rPr>
                <w:color w:val="1B556B"/>
              </w:rPr>
            </w:pPr>
            <w:r w:rsidRPr="00261B7A">
              <w:rPr>
                <w:rFonts w:cs="Calibri"/>
                <w:color w:val="1B556B"/>
                <w:szCs w:val="16"/>
              </w:rPr>
              <w:t>9,366,944</w:t>
            </w:r>
          </w:p>
        </w:tc>
        <w:tc>
          <w:tcPr>
            <w:tcW w:w="1269" w:type="dxa"/>
            <w:tcBorders>
              <w:top w:val="single" w:sz="4" w:space="0" w:color="1B556B"/>
              <w:bottom w:val="single" w:sz="4" w:space="0" w:color="1B556B"/>
            </w:tcBorders>
            <w:vAlign w:val="center"/>
          </w:tcPr>
          <w:p w14:paraId="2DD81819" w14:textId="77777777" w:rsidR="0010265C" w:rsidRPr="00261B7A" w:rsidRDefault="0010265C" w:rsidP="00D41492">
            <w:pPr>
              <w:pStyle w:val="Tableboldblue"/>
              <w:spacing w:before="40" w:after="40"/>
              <w:jc w:val="right"/>
              <w:rPr>
                <w:color w:val="1B556B"/>
              </w:rPr>
            </w:pPr>
            <w:r w:rsidRPr="00261B7A">
              <w:rPr>
                <w:rFonts w:cs="Calibri"/>
                <w:color w:val="1B556B"/>
                <w:szCs w:val="16"/>
              </w:rPr>
              <w:t>228,586</w:t>
            </w:r>
          </w:p>
        </w:tc>
        <w:tc>
          <w:tcPr>
            <w:tcW w:w="1456" w:type="dxa"/>
            <w:tcBorders>
              <w:top w:val="single" w:sz="4" w:space="0" w:color="1B556B"/>
              <w:bottom w:val="single" w:sz="4" w:space="0" w:color="1B556B"/>
            </w:tcBorders>
            <w:vAlign w:val="center"/>
          </w:tcPr>
          <w:p w14:paraId="56213113" w14:textId="77777777" w:rsidR="0010265C" w:rsidRPr="00261B7A" w:rsidRDefault="0010265C" w:rsidP="00D41492">
            <w:pPr>
              <w:pStyle w:val="Tableboldblue"/>
              <w:spacing w:before="40" w:after="40"/>
              <w:jc w:val="right"/>
              <w:rPr>
                <w:color w:val="1B556B"/>
              </w:rPr>
            </w:pPr>
            <w:r w:rsidRPr="00261B7A">
              <w:rPr>
                <w:rFonts w:cs="Calibri"/>
                <w:color w:val="1B556B"/>
                <w:szCs w:val="16"/>
              </w:rPr>
              <w:t>2.44</w:t>
            </w:r>
          </w:p>
        </w:tc>
        <w:tc>
          <w:tcPr>
            <w:tcW w:w="989" w:type="dxa"/>
            <w:tcBorders>
              <w:top w:val="single" w:sz="4" w:space="0" w:color="1B556B"/>
              <w:bottom w:val="single" w:sz="4" w:space="0" w:color="1B556B"/>
            </w:tcBorders>
            <w:vAlign w:val="center"/>
          </w:tcPr>
          <w:p w14:paraId="5264965E" w14:textId="77777777" w:rsidR="0010265C" w:rsidRPr="00261B7A" w:rsidRDefault="0010265C" w:rsidP="00D41492">
            <w:pPr>
              <w:pStyle w:val="Tableboldblue"/>
              <w:spacing w:before="40" w:after="40"/>
              <w:jc w:val="right"/>
              <w:rPr>
                <w:color w:val="1B556B"/>
              </w:rPr>
            </w:pPr>
            <w:bookmarkStart w:id="1698" w:name="_Hlk57205596"/>
            <w:r w:rsidRPr="00261B7A">
              <w:rPr>
                <w:rFonts w:cs="Calibri"/>
                <w:color w:val="1B556B"/>
                <w:szCs w:val="16"/>
              </w:rPr>
              <w:t>2,610</w:t>
            </w:r>
            <w:bookmarkEnd w:id="1698"/>
          </w:p>
        </w:tc>
        <w:tc>
          <w:tcPr>
            <w:tcW w:w="1516" w:type="dxa"/>
            <w:tcBorders>
              <w:top w:val="single" w:sz="4" w:space="0" w:color="1B556B"/>
              <w:bottom w:val="single" w:sz="4" w:space="0" w:color="1B556B"/>
            </w:tcBorders>
            <w:vAlign w:val="center"/>
          </w:tcPr>
          <w:p w14:paraId="77E986A3" w14:textId="77777777" w:rsidR="0010265C" w:rsidRPr="00261B7A" w:rsidRDefault="0010265C" w:rsidP="00D41492">
            <w:pPr>
              <w:pStyle w:val="Tableboldblue"/>
              <w:spacing w:before="40" w:after="40"/>
              <w:jc w:val="right"/>
              <w:rPr>
                <w:color w:val="1B556B"/>
              </w:rPr>
            </w:pPr>
            <w:r w:rsidRPr="00261B7A">
              <w:rPr>
                <w:rFonts w:cs="Calibri"/>
                <w:color w:val="1B556B"/>
                <w:szCs w:val="16"/>
              </w:rPr>
              <w:t>0.03</w:t>
            </w:r>
          </w:p>
        </w:tc>
      </w:tr>
    </w:tbl>
    <w:p w14:paraId="0B90C7A0" w14:textId="77777777" w:rsidR="0010265C" w:rsidRPr="00261B7A" w:rsidRDefault="0010265C" w:rsidP="0010265C">
      <w:pPr>
        <w:pStyle w:val="Noteundertable"/>
      </w:pPr>
      <w:r w:rsidRPr="00261B7A">
        <w:rPr>
          <w:b/>
        </w:rPr>
        <w:t>Note:</w:t>
      </w:r>
      <w:r w:rsidRPr="00261B7A">
        <w:tab/>
        <w:t>NA = not applicable. The 2021 areas are as at 31 December 2021; 1990 areas are as at 1 January 1990 and, therefore, differ from 1990 area values in the common reporting format (CRF) tables, which are as at 31 December 1990. Columns may not total due to rounding.</w:t>
      </w:r>
    </w:p>
    <w:p w14:paraId="4C46FC1F" w14:textId="77777777" w:rsidR="0010265C" w:rsidRPr="00261B7A" w:rsidRDefault="0010265C" w:rsidP="0010265C">
      <w:pPr>
        <w:pStyle w:val="Figure"/>
        <w:spacing w:after="0"/>
      </w:pPr>
      <w:bookmarkStart w:id="1699" w:name="_Toc33529483"/>
      <w:bookmarkStart w:id="1700" w:name="_Toc36292813"/>
      <w:bookmarkStart w:id="1701" w:name="_Toc131591573"/>
      <w:r w:rsidRPr="00261B7A">
        <w:t>Figure 6.3.4</w:t>
      </w:r>
      <w:r w:rsidRPr="00261B7A">
        <w:tab/>
        <w:t xml:space="preserve">New Zealand’s area of deforestation since 1990, by </w:t>
      </w:r>
      <w:r w:rsidRPr="00261B7A">
        <w:rPr>
          <w:i/>
        </w:rPr>
        <w:t>Forest land</w:t>
      </w:r>
      <w:r w:rsidRPr="00261B7A">
        <w:t xml:space="preserve"> category</w:t>
      </w:r>
      <w:bookmarkEnd w:id="1699"/>
      <w:bookmarkEnd w:id="1700"/>
      <w:bookmarkEnd w:id="1701"/>
    </w:p>
    <w:p w14:paraId="5A43178A" w14:textId="77777777" w:rsidR="0010265C" w:rsidRPr="00261B7A" w:rsidRDefault="0010265C" w:rsidP="0010265C">
      <w:pPr>
        <w:pStyle w:val="BodyText"/>
        <w:spacing w:before="0" w:after="100"/>
      </w:pPr>
      <w:r w:rsidRPr="00261B7A">
        <w:rPr>
          <w:noProof/>
          <w:color w:val="1B556B"/>
        </w:rPr>
        <w:drawing>
          <wp:inline distT="0" distB="0" distL="0" distR="0" wp14:anchorId="4919894B" wp14:editId="73B4EAEC">
            <wp:extent cx="5400040" cy="3331210"/>
            <wp:effectExtent l="0" t="0" r="0" b="2540"/>
            <wp:docPr id="15" name="Chart 15">
              <a:extLst xmlns:a="http://schemas.openxmlformats.org/drawingml/2006/main">
                <a:ext uri="{FF2B5EF4-FFF2-40B4-BE49-F238E27FC236}">
                  <a16:creationId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5AEAE0A6" w14:textId="77777777" w:rsidR="0010265C" w:rsidRPr="00261B7A" w:rsidRDefault="0010265C" w:rsidP="0010265C">
      <w:pPr>
        <w:pStyle w:val="BodyText"/>
      </w:pPr>
      <w:r w:rsidRPr="00261B7A">
        <w:t>New Zealand assumes instant emissions of all biomass carbon at the time of deforestation, based on the following.</w:t>
      </w:r>
    </w:p>
    <w:p w14:paraId="7FB92022" w14:textId="77777777" w:rsidR="0010265C" w:rsidRPr="00261B7A" w:rsidRDefault="0010265C" w:rsidP="00294EC5">
      <w:pPr>
        <w:pStyle w:val="Bullet"/>
        <w:numPr>
          <w:ilvl w:val="0"/>
          <w:numId w:val="25"/>
        </w:numPr>
        <w:ind w:left="397" w:hanging="397"/>
      </w:pPr>
      <w:r w:rsidRPr="00261B7A">
        <w:t xml:space="preserve">The majority of deforestation since 2000 has resulted from land conversion to </w:t>
      </w:r>
      <w:r w:rsidRPr="00261B7A">
        <w:rPr>
          <w:i/>
        </w:rPr>
        <w:t>Grassland</w:t>
      </w:r>
      <w:r w:rsidRPr="00261B7A">
        <w:t>, leading to the rapid removal of all biomass as the land is prepared for farming.</w:t>
      </w:r>
    </w:p>
    <w:p w14:paraId="7C12C4C4" w14:textId="77777777" w:rsidR="0010265C" w:rsidRPr="00261B7A" w:rsidRDefault="0010265C" w:rsidP="00294EC5">
      <w:pPr>
        <w:pStyle w:val="Bullet"/>
        <w:numPr>
          <w:ilvl w:val="0"/>
          <w:numId w:val="25"/>
        </w:numPr>
        <w:ind w:left="397" w:hanging="397"/>
      </w:pPr>
      <w:r w:rsidRPr="00261B7A">
        <w:t>It is not practical to estimate emissions from residues following deforestation activity given the rapid conversion from one land use to another and the multiple methods of removing residues. Furthermore, estimating biomass residue and decay rates for multiple disposal methods is difficult and costly.</w:t>
      </w:r>
    </w:p>
    <w:p w14:paraId="77137C53" w14:textId="77777777" w:rsidR="0010265C" w:rsidRPr="00261B7A" w:rsidRDefault="0010265C" w:rsidP="0010265C">
      <w:pPr>
        <w:pStyle w:val="BodyText"/>
      </w:pPr>
      <w:r w:rsidRPr="00261B7A">
        <w:t>Estimates of deforestation emissions for pre-1990 natural forest are based on the type of vegetation deforested (tall forest or regenerating). The area of pre-1990 natural forest deforestation is sub-classified as tall forest or regenerating using spatial data on land cover, sourced from LCDBv5 using the 2008 map year, and these subcategories are defined in table 6.3.5. Tall forest deforestation emissions are determined from the average carbon stock per hectare in biomass for tall forests. Regenerating forest deforestation emissions are determined from the average carbon stock per hectare in biomass for regenerating forests. All carbon in biomass, for both tall and regenerating forest, is assumed in the calculations to be an instantaneous emission at the time of deforestation, as no information on the time lag of emissions from dead organic matter or below-ground biomass is currently available. Table 6.3.6 shows the</w:t>
      </w:r>
      <w:r w:rsidRPr="00261B7A" w:rsidDel="00E24861">
        <w:t xml:space="preserve"> </w:t>
      </w:r>
      <w:r w:rsidRPr="00261B7A">
        <w:t>areas of these two forest sub-classifications and table 6.3.7 shows the areas of pre-1990 natural forest deforestation split by these two forest types.</w:t>
      </w:r>
    </w:p>
    <w:p w14:paraId="4195765C" w14:textId="77777777" w:rsidR="0010265C" w:rsidRPr="00261B7A" w:rsidRDefault="0010265C" w:rsidP="00E24718">
      <w:pPr>
        <w:pStyle w:val="Table"/>
      </w:pPr>
      <w:bookmarkStart w:id="1702" w:name="_Toc131591395"/>
      <w:r w:rsidRPr="00261B7A">
        <w:t>Table 6.3.5</w:t>
      </w:r>
      <w:r w:rsidRPr="00261B7A">
        <w:tab/>
        <w:t>Pre-1990 natural forest subcategories and description</w:t>
      </w:r>
      <w:bookmarkEnd w:id="1702"/>
    </w:p>
    <w:tbl>
      <w:tblPr>
        <w:tblW w:w="8505"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2410"/>
        <w:gridCol w:w="6095"/>
      </w:tblGrid>
      <w:tr w:rsidR="0010265C" w:rsidRPr="00261B7A" w14:paraId="10AE1B0D" w14:textId="77777777" w:rsidTr="00D013BA">
        <w:trPr>
          <w:tblHeader/>
        </w:trPr>
        <w:tc>
          <w:tcPr>
            <w:tcW w:w="2410" w:type="dxa"/>
            <w:tcBorders>
              <w:top w:val="single" w:sz="4" w:space="0" w:color="1B556B"/>
              <w:left w:val="nil"/>
              <w:bottom w:val="single" w:sz="4" w:space="0" w:color="1B556B"/>
              <w:right w:val="single" w:sz="4" w:space="0" w:color="365F91"/>
            </w:tcBorders>
            <w:shd w:val="clear" w:color="auto" w:fill="1B556B"/>
            <w:hideMark/>
          </w:tcPr>
          <w:p w14:paraId="1DEA8B27" w14:textId="77777777" w:rsidR="0010265C" w:rsidRPr="00261B7A" w:rsidRDefault="0010265C" w:rsidP="00D41492">
            <w:pPr>
              <w:pStyle w:val="TableTextBold"/>
              <w:spacing w:before="50" w:after="50" w:line="256" w:lineRule="auto"/>
              <w:rPr>
                <w:noProof w:val="0"/>
                <w:color w:val="FFFFFF"/>
              </w:rPr>
            </w:pPr>
            <w:r w:rsidRPr="00261B7A">
              <w:rPr>
                <w:noProof w:val="0"/>
                <w:color w:val="FFFFFF"/>
              </w:rPr>
              <w:t>Pre-1990 forest subcategories</w:t>
            </w:r>
          </w:p>
        </w:tc>
        <w:tc>
          <w:tcPr>
            <w:tcW w:w="6095" w:type="dxa"/>
            <w:tcBorders>
              <w:top w:val="single" w:sz="4" w:space="0" w:color="1B556B"/>
              <w:left w:val="single" w:sz="4" w:space="0" w:color="365F91"/>
              <w:bottom w:val="single" w:sz="4" w:space="0" w:color="1B556B"/>
              <w:right w:val="single" w:sz="4" w:space="0" w:color="365F91"/>
            </w:tcBorders>
            <w:shd w:val="clear" w:color="auto" w:fill="1B556B"/>
            <w:hideMark/>
          </w:tcPr>
          <w:p w14:paraId="49E927F1" w14:textId="77777777" w:rsidR="0010265C" w:rsidRPr="00261B7A" w:rsidRDefault="0010265C" w:rsidP="00D41492">
            <w:pPr>
              <w:pStyle w:val="TableTextBold"/>
              <w:spacing w:before="50" w:after="50" w:line="256" w:lineRule="auto"/>
              <w:rPr>
                <w:noProof w:val="0"/>
                <w:color w:val="FFFFFF"/>
              </w:rPr>
            </w:pPr>
            <w:r w:rsidRPr="00261B7A">
              <w:rPr>
                <w:noProof w:val="0"/>
                <w:color w:val="FFFFFF"/>
              </w:rPr>
              <w:t>Description</w:t>
            </w:r>
          </w:p>
        </w:tc>
      </w:tr>
      <w:tr w:rsidR="0010265C" w:rsidRPr="00261B7A" w14:paraId="79A753AE" w14:textId="77777777" w:rsidTr="00D013BA">
        <w:tc>
          <w:tcPr>
            <w:tcW w:w="2410" w:type="dxa"/>
            <w:tcBorders>
              <w:top w:val="single" w:sz="4" w:space="0" w:color="1B556B"/>
              <w:left w:val="nil"/>
              <w:bottom w:val="single" w:sz="4" w:space="0" w:color="1B556B"/>
              <w:right w:val="nil"/>
            </w:tcBorders>
            <w:hideMark/>
          </w:tcPr>
          <w:p w14:paraId="025074AE" w14:textId="77777777" w:rsidR="0010265C" w:rsidRPr="00261B7A" w:rsidRDefault="0010265C" w:rsidP="00D41492">
            <w:pPr>
              <w:pStyle w:val="TableText"/>
              <w:spacing w:before="50" w:after="50" w:line="256" w:lineRule="auto"/>
              <w:rPr>
                <w:rFonts w:cs="Arial Bold"/>
                <w:szCs w:val="16"/>
              </w:rPr>
            </w:pPr>
            <w:r w:rsidRPr="00261B7A">
              <w:rPr>
                <w:rFonts w:cs="Arial Bold"/>
                <w:szCs w:val="16"/>
              </w:rPr>
              <w:t>Tall</w:t>
            </w:r>
          </w:p>
        </w:tc>
        <w:tc>
          <w:tcPr>
            <w:tcW w:w="6095" w:type="dxa"/>
            <w:tcBorders>
              <w:top w:val="single" w:sz="4" w:space="0" w:color="1B556B"/>
              <w:left w:val="nil"/>
              <w:bottom w:val="single" w:sz="4" w:space="0" w:color="1B556B"/>
              <w:right w:val="nil"/>
            </w:tcBorders>
          </w:tcPr>
          <w:p w14:paraId="6398D81A" w14:textId="77777777" w:rsidR="0010265C" w:rsidRPr="00261B7A" w:rsidRDefault="0010265C" w:rsidP="00D41492">
            <w:pPr>
              <w:pStyle w:val="TableText"/>
              <w:spacing w:before="50" w:after="50" w:line="256" w:lineRule="auto"/>
              <w:rPr>
                <w:rFonts w:cs="Arial Bold"/>
                <w:szCs w:val="16"/>
              </w:rPr>
            </w:pPr>
            <w:r w:rsidRPr="00261B7A">
              <w:rPr>
                <w:rFonts w:cs="Arial Bold"/>
                <w:szCs w:val="16"/>
              </w:rPr>
              <w:t>Made up of two LCDB classes: 1. Indigenous forest; tall forest dominated by indigenous conifer, broadleaved or beech species. 2. Broadleaved indigenous hardwoods; lowland scrub communities dominated by indigenous mixed broadleaved shrubs.</w:t>
            </w:r>
          </w:p>
        </w:tc>
      </w:tr>
      <w:tr w:rsidR="0010265C" w:rsidRPr="00261B7A" w14:paraId="7739114E" w14:textId="77777777" w:rsidTr="00D013BA">
        <w:tc>
          <w:tcPr>
            <w:tcW w:w="2410" w:type="dxa"/>
            <w:tcBorders>
              <w:top w:val="single" w:sz="4" w:space="0" w:color="1B556B"/>
              <w:left w:val="nil"/>
              <w:bottom w:val="single" w:sz="4" w:space="0" w:color="1B556B"/>
              <w:right w:val="nil"/>
            </w:tcBorders>
          </w:tcPr>
          <w:p w14:paraId="2342432F" w14:textId="77777777" w:rsidR="0010265C" w:rsidRPr="00261B7A" w:rsidRDefault="0010265C" w:rsidP="00D41492">
            <w:pPr>
              <w:pStyle w:val="TableText"/>
              <w:spacing w:before="50" w:after="50" w:line="256" w:lineRule="auto"/>
              <w:rPr>
                <w:rFonts w:cs="Arial Bold"/>
                <w:szCs w:val="16"/>
              </w:rPr>
            </w:pPr>
            <w:r w:rsidRPr="00261B7A">
              <w:rPr>
                <w:rFonts w:cs="Arial Bold"/>
                <w:szCs w:val="16"/>
              </w:rPr>
              <w:t>Regenerating</w:t>
            </w:r>
          </w:p>
        </w:tc>
        <w:tc>
          <w:tcPr>
            <w:tcW w:w="6095" w:type="dxa"/>
            <w:tcBorders>
              <w:top w:val="single" w:sz="4" w:space="0" w:color="1B556B"/>
              <w:left w:val="nil"/>
              <w:bottom w:val="single" w:sz="4" w:space="0" w:color="1B556B"/>
              <w:right w:val="nil"/>
            </w:tcBorders>
          </w:tcPr>
          <w:p w14:paraId="4018170D" w14:textId="77777777" w:rsidR="0010265C" w:rsidRPr="00261B7A" w:rsidRDefault="0010265C" w:rsidP="00D41492">
            <w:pPr>
              <w:pStyle w:val="TableText"/>
              <w:spacing w:before="50" w:after="50" w:line="256" w:lineRule="auto"/>
              <w:rPr>
                <w:rFonts w:cs="Arial Bold"/>
                <w:szCs w:val="16"/>
              </w:rPr>
            </w:pPr>
            <w:r w:rsidRPr="00261B7A">
              <w:rPr>
                <w:rFonts w:cs="Arial Bold"/>
                <w:szCs w:val="16"/>
              </w:rPr>
              <w:t>All other areas mapped as pre-1990 natural forest that fall outside the two LCDB classes above. Represents areas recovering from previous disturbances.</w:t>
            </w:r>
          </w:p>
        </w:tc>
      </w:tr>
    </w:tbl>
    <w:p w14:paraId="6359D764" w14:textId="77777777" w:rsidR="0010265C" w:rsidRPr="00261B7A" w:rsidRDefault="0010265C" w:rsidP="0010265C">
      <w:pPr>
        <w:pStyle w:val="BodyText"/>
        <w:spacing w:before="0" w:after="0"/>
      </w:pPr>
    </w:p>
    <w:p w14:paraId="08A9137D" w14:textId="77777777" w:rsidR="0010265C" w:rsidRPr="00261B7A" w:rsidRDefault="0010265C" w:rsidP="00E24718">
      <w:pPr>
        <w:pStyle w:val="Table"/>
      </w:pPr>
      <w:bookmarkStart w:id="1703" w:name="_Toc131591396"/>
      <w:r w:rsidRPr="00261B7A">
        <w:t>Table 6.3.6</w:t>
      </w:r>
      <w:r w:rsidRPr="00261B7A">
        <w:tab/>
        <w:t>Areas of tall and regenerating pre-1990 natural forest in 1990 and 2021</w:t>
      </w:r>
      <w:bookmarkEnd w:id="1703"/>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3040"/>
        <w:gridCol w:w="2644"/>
        <w:gridCol w:w="2821"/>
      </w:tblGrid>
      <w:tr w:rsidR="0010265C" w:rsidRPr="00261B7A" w14:paraId="49EACEF4" w14:textId="77777777" w:rsidTr="00D013BA">
        <w:tc>
          <w:tcPr>
            <w:tcW w:w="3040" w:type="dxa"/>
            <w:shd w:val="clear" w:color="auto" w:fill="1B556B"/>
            <w:vAlign w:val="bottom"/>
          </w:tcPr>
          <w:p w14:paraId="595D550F" w14:textId="77777777" w:rsidR="0010265C" w:rsidRPr="00261B7A" w:rsidRDefault="0010265C" w:rsidP="00D41492">
            <w:pPr>
              <w:pStyle w:val="TableTextBold"/>
              <w:keepNext/>
              <w:rPr>
                <w:noProof w:val="0"/>
                <w:color w:val="FFFFFF"/>
              </w:rPr>
            </w:pPr>
            <w:r w:rsidRPr="00261B7A">
              <w:rPr>
                <w:noProof w:val="0"/>
                <w:color w:val="FFFFFF"/>
              </w:rPr>
              <w:t>Pre-1990 forest sub-classification</w:t>
            </w:r>
          </w:p>
        </w:tc>
        <w:tc>
          <w:tcPr>
            <w:tcW w:w="2644" w:type="dxa"/>
            <w:shd w:val="clear" w:color="auto" w:fill="1B556B"/>
            <w:vAlign w:val="bottom"/>
          </w:tcPr>
          <w:p w14:paraId="6C95188F" w14:textId="77777777" w:rsidR="0010265C" w:rsidRPr="00261B7A" w:rsidRDefault="0010265C" w:rsidP="00D41492">
            <w:pPr>
              <w:pStyle w:val="TableTextBold"/>
              <w:keepNext/>
              <w:jc w:val="right"/>
              <w:rPr>
                <w:noProof w:val="0"/>
                <w:color w:val="FFFFFF"/>
              </w:rPr>
            </w:pPr>
            <w:r w:rsidRPr="00261B7A">
              <w:rPr>
                <w:noProof w:val="0"/>
                <w:color w:val="FFFFFF"/>
              </w:rPr>
              <w:t>Area of forest in 1990 (ha)</w:t>
            </w:r>
          </w:p>
        </w:tc>
        <w:tc>
          <w:tcPr>
            <w:tcW w:w="2821" w:type="dxa"/>
            <w:shd w:val="clear" w:color="auto" w:fill="1B556B"/>
            <w:vAlign w:val="bottom"/>
          </w:tcPr>
          <w:p w14:paraId="2EDC064F" w14:textId="77777777" w:rsidR="0010265C" w:rsidRPr="00261B7A" w:rsidRDefault="0010265C" w:rsidP="00D41492">
            <w:pPr>
              <w:pStyle w:val="TableTextBold"/>
              <w:keepNext/>
              <w:jc w:val="right"/>
              <w:rPr>
                <w:noProof w:val="0"/>
                <w:color w:val="FFFFFF"/>
              </w:rPr>
            </w:pPr>
            <w:r w:rsidRPr="00261B7A">
              <w:rPr>
                <w:noProof w:val="0"/>
                <w:color w:val="FFFFFF"/>
              </w:rPr>
              <w:t>Area of forest in 2021 (ha)</w:t>
            </w:r>
          </w:p>
        </w:tc>
      </w:tr>
      <w:tr w:rsidR="0010265C" w:rsidRPr="00261B7A" w14:paraId="1C2E869D" w14:textId="77777777" w:rsidTr="00D013BA">
        <w:tc>
          <w:tcPr>
            <w:tcW w:w="3040" w:type="dxa"/>
          </w:tcPr>
          <w:p w14:paraId="501240B4" w14:textId="77777777" w:rsidR="0010265C" w:rsidRPr="00261B7A" w:rsidRDefault="0010265C" w:rsidP="00D41492">
            <w:pPr>
              <w:pStyle w:val="TableText"/>
              <w:spacing w:before="50" w:after="50"/>
            </w:pPr>
            <w:r w:rsidRPr="00261B7A">
              <w:t>Tall forest</w:t>
            </w:r>
          </w:p>
        </w:tc>
        <w:tc>
          <w:tcPr>
            <w:tcW w:w="2644" w:type="dxa"/>
            <w:vAlign w:val="center"/>
          </w:tcPr>
          <w:p w14:paraId="67491FF7" w14:textId="77777777" w:rsidR="0010265C" w:rsidRPr="00261B7A" w:rsidRDefault="0010265C" w:rsidP="00D41492">
            <w:pPr>
              <w:pStyle w:val="TableText"/>
              <w:spacing w:before="50" w:after="50"/>
              <w:jc w:val="right"/>
            </w:pPr>
            <w:r w:rsidRPr="00261B7A">
              <w:rPr>
                <w:rFonts w:cs="Calibri"/>
                <w:color w:val="000000"/>
                <w:szCs w:val="16"/>
              </w:rPr>
              <w:t xml:space="preserve">6,688,054.7 </w:t>
            </w:r>
          </w:p>
        </w:tc>
        <w:tc>
          <w:tcPr>
            <w:tcW w:w="2821" w:type="dxa"/>
            <w:vAlign w:val="center"/>
          </w:tcPr>
          <w:p w14:paraId="7B5C3A1E" w14:textId="77777777" w:rsidR="0010265C" w:rsidRPr="00261B7A" w:rsidRDefault="0010265C" w:rsidP="00D41492">
            <w:pPr>
              <w:pStyle w:val="TableText"/>
              <w:spacing w:before="50" w:after="50"/>
              <w:jc w:val="right"/>
            </w:pPr>
            <w:r w:rsidRPr="00261B7A">
              <w:rPr>
                <w:rFonts w:cs="Calibri"/>
                <w:color w:val="000000"/>
                <w:szCs w:val="16"/>
              </w:rPr>
              <w:t xml:space="preserve">6,666,490.4 </w:t>
            </w:r>
          </w:p>
        </w:tc>
      </w:tr>
      <w:tr w:rsidR="0010265C" w:rsidRPr="00261B7A" w14:paraId="6250C377" w14:textId="77777777" w:rsidTr="00D013BA">
        <w:tc>
          <w:tcPr>
            <w:tcW w:w="3040" w:type="dxa"/>
          </w:tcPr>
          <w:p w14:paraId="3FEEF64C" w14:textId="77777777" w:rsidR="0010265C" w:rsidRPr="00261B7A" w:rsidRDefault="0010265C" w:rsidP="00D41492">
            <w:pPr>
              <w:pStyle w:val="TableText"/>
              <w:spacing w:before="50" w:after="50"/>
            </w:pPr>
            <w:r w:rsidRPr="00261B7A">
              <w:t>Regenerating forest</w:t>
            </w:r>
          </w:p>
        </w:tc>
        <w:tc>
          <w:tcPr>
            <w:tcW w:w="2644" w:type="dxa"/>
            <w:vAlign w:val="center"/>
          </w:tcPr>
          <w:p w14:paraId="4D6BA377" w14:textId="77777777" w:rsidR="0010265C" w:rsidRPr="00261B7A" w:rsidRDefault="0010265C" w:rsidP="00D41492">
            <w:pPr>
              <w:pStyle w:val="TableText"/>
              <w:spacing w:before="50" w:after="50"/>
              <w:jc w:val="right"/>
              <w:rPr>
                <w:i/>
                <w:iCs/>
                <w:szCs w:val="24"/>
              </w:rPr>
            </w:pPr>
            <w:r w:rsidRPr="00261B7A">
              <w:rPr>
                <w:rFonts w:cs="Calibri"/>
                <w:color w:val="000000"/>
                <w:szCs w:val="16"/>
              </w:rPr>
              <w:t xml:space="preserve">1,131,694.0 </w:t>
            </w:r>
          </w:p>
        </w:tc>
        <w:tc>
          <w:tcPr>
            <w:tcW w:w="2821" w:type="dxa"/>
            <w:vAlign w:val="center"/>
          </w:tcPr>
          <w:p w14:paraId="356AEE9D" w14:textId="77777777" w:rsidR="0010265C" w:rsidRPr="00261B7A" w:rsidRDefault="0010265C" w:rsidP="00D41492">
            <w:pPr>
              <w:pStyle w:val="TableText"/>
              <w:spacing w:before="50" w:after="50"/>
              <w:jc w:val="right"/>
              <w:rPr>
                <w:bCs/>
                <w:i/>
                <w:iCs/>
                <w:szCs w:val="24"/>
              </w:rPr>
            </w:pPr>
            <w:r w:rsidRPr="00261B7A">
              <w:rPr>
                <w:rFonts w:cs="Calibri"/>
                <w:color w:val="000000"/>
                <w:szCs w:val="16"/>
              </w:rPr>
              <w:t xml:space="preserve">1,084,022.2 </w:t>
            </w:r>
          </w:p>
        </w:tc>
      </w:tr>
      <w:tr w:rsidR="0010265C" w:rsidRPr="00261B7A" w14:paraId="020DF702" w14:textId="77777777" w:rsidTr="00D013BA">
        <w:tc>
          <w:tcPr>
            <w:tcW w:w="3040" w:type="dxa"/>
          </w:tcPr>
          <w:p w14:paraId="4F67A28B" w14:textId="77777777" w:rsidR="0010265C" w:rsidRPr="00261B7A" w:rsidRDefault="0010265C" w:rsidP="00D41492">
            <w:pPr>
              <w:pStyle w:val="Tableboldblue"/>
              <w:jc w:val="right"/>
              <w:rPr>
                <w:bCs/>
              </w:rPr>
            </w:pPr>
            <w:r w:rsidRPr="00261B7A">
              <w:t>Total</w:t>
            </w:r>
          </w:p>
        </w:tc>
        <w:tc>
          <w:tcPr>
            <w:tcW w:w="2644" w:type="dxa"/>
            <w:vAlign w:val="center"/>
          </w:tcPr>
          <w:p w14:paraId="55D38111" w14:textId="77777777" w:rsidR="0010265C" w:rsidRPr="00261B7A" w:rsidRDefault="0010265C" w:rsidP="00D41492">
            <w:pPr>
              <w:pStyle w:val="Tableboldblue"/>
              <w:jc w:val="right"/>
              <w:rPr>
                <w:color w:val="1B556B"/>
              </w:rPr>
            </w:pPr>
            <w:r w:rsidRPr="00261B7A">
              <w:rPr>
                <w:rFonts w:cs="Calibri"/>
                <w:color w:val="1B556B"/>
                <w:szCs w:val="16"/>
              </w:rPr>
              <w:t xml:space="preserve">7,819,748.6 </w:t>
            </w:r>
          </w:p>
        </w:tc>
        <w:tc>
          <w:tcPr>
            <w:tcW w:w="2821" w:type="dxa"/>
            <w:vAlign w:val="center"/>
          </w:tcPr>
          <w:p w14:paraId="2E0B4976" w14:textId="77777777" w:rsidR="0010265C" w:rsidRPr="00261B7A" w:rsidRDefault="0010265C" w:rsidP="00D41492">
            <w:pPr>
              <w:pStyle w:val="Tableboldblue"/>
              <w:jc w:val="right"/>
              <w:rPr>
                <w:color w:val="1B556B"/>
              </w:rPr>
            </w:pPr>
            <w:r w:rsidRPr="00261B7A">
              <w:rPr>
                <w:rFonts w:cs="Calibri"/>
                <w:color w:val="1B556B"/>
                <w:szCs w:val="16"/>
              </w:rPr>
              <w:t xml:space="preserve">7,750,512.6 </w:t>
            </w:r>
          </w:p>
        </w:tc>
      </w:tr>
    </w:tbl>
    <w:p w14:paraId="6CC9B19C" w14:textId="77777777" w:rsidR="0010265C" w:rsidRPr="00261B7A" w:rsidRDefault="0010265C" w:rsidP="0010265C">
      <w:pPr>
        <w:pStyle w:val="BodyText"/>
        <w:spacing w:before="0" w:after="0"/>
      </w:pPr>
    </w:p>
    <w:p w14:paraId="10AF9C1F" w14:textId="77777777" w:rsidR="0010265C" w:rsidRPr="00261B7A" w:rsidRDefault="0010265C" w:rsidP="00E24718">
      <w:pPr>
        <w:pStyle w:val="Table"/>
      </w:pPr>
      <w:bookmarkStart w:id="1704" w:name="_Toc131591397"/>
      <w:r w:rsidRPr="00261B7A">
        <w:t>Table 6.3.7</w:t>
      </w:r>
      <w:r w:rsidRPr="00261B7A">
        <w:tab/>
        <w:t>New Zealand’s areas of pre-1990 natural forest deforestation estimated by type from 1990</w:t>
      </w:r>
      <w:r w:rsidRPr="00261B7A">
        <w:rPr>
          <w:rFonts w:ascii="Arial" w:hAnsi="Arial" w:cs="Arial"/>
        </w:rPr>
        <w:t> </w:t>
      </w:r>
      <w:r w:rsidRPr="00261B7A">
        <w:t>to</w:t>
      </w:r>
      <w:r w:rsidRPr="00261B7A">
        <w:rPr>
          <w:rFonts w:ascii="Arial" w:hAnsi="Arial" w:cs="Arial"/>
        </w:rPr>
        <w:t> </w:t>
      </w:r>
      <w:r w:rsidRPr="00261B7A">
        <w:t>2021</w:t>
      </w:r>
      <w:bookmarkEnd w:id="1704"/>
      <w:r w:rsidRPr="00261B7A">
        <w:t> </w:t>
      </w:r>
    </w:p>
    <w:tbl>
      <w:tblPr>
        <w:tblW w:w="8505" w:type="dxa"/>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1369"/>
        <w:gridCol w:w="958"/>
        <w:gridCol w:w="881"/>
        <w:gridCol w:w="657"/>
        <w:gridCol w:w="657"/>
        <w:gridCol w:w="657"/>
        <w:gridCol w:w="657"/>
        <w:gridCol w:w="657"/>
        <w:gridCol w:w="698"/>
        <w:gridCol w:w="657"/>
        <w:gridCol w:w="657"/>
      </w:tblGrid>
      <w:tr w:rsidR="0010265C" w:rsidRPr="00261B7A" w14:paraId="6F9F7E92" w14:textId="77777777" w:rsidTr="00D013BA">
        <w:tc>
          <w:tcPr>
            <w:tcW w:w="1506" w:type="dxa"/>
            <w:vMerge w:val="restart"/>
            <w:tcBorders>
              <w:top w:val="single" w:sz="6" w:space="0" w:color="1B556B"/>
              <w:left w:val="nil"/>
              <w:bottom w:val="nil"/>
              <w:right w:val="nil"/>
            </w:tcBorders>
            <w:shd w:val="clear" w:color="auto" w:fill="1B556B"/>
            <w:vAlign w:val="bottom"/>
            <w:hideMark/>
          </w:tcPr>
          <w:p w14:paraId="3C0511C7" w14:textId="77777777" w:rsidR="0010265C" w:rsidRPr="00261B7A" w:rsidRDefault="0010265C" w:rsidP="00D013BA">
            <w:pPr>
              <w:pStyle w:val="TableTextBold"/>
              <w:spacing w:before="40"/>
              <w:rPr>
                <w:noProof w:val="0"/>
                <w:color w:val="FFFFFF" w:themeColor="background1"/>
              </w:rPr>
            </w:pPr>
            <w:r w:rsidRPr="00261B7A">
              <w:rPr>
                <w:noProof w:val="0"/>
                <w:color w:val="FFFFFF" w:themeColor="background1"/>
              </w:rPr>
              <w:t>Natural forest type</w:t>
            </w:r>
          </w:p>
        </w:tc>
        <w:tc>
          <w:tcPr>
            <w:tcW w:w="6999" w:type="dxa"/>
            <w:gridSpan w:val="9"/>
            <w:tcBorders>
              <w:top w:val="single" w:sz="6" w:space="0" w:color="1B556B"/>
              <w:left w:val="nil"/>
              <w:bottom w:val="nil"/>
              <w:right w:val="nil"/>
            </w:tcBorders>
            <w:shd w:val="clear" w:color="auto" w:fill="1B556B"/>
            <w:vAlign w:val="bottom"/>
            <w:hideMark/>
          </w:tcPr>
          <w:p w14:paraId="2987C1D5" w14:textId="77777777" w:rsidR="0010265C" w:rsidRPr="00261B7A" w:rsidRDefault="0010265C" w:rsidP="00D013BA">
            <w:pPr>
              <w:pStyle w:val="TableTextBold"/>
              <w:spacing w:after="0"/>
              <w:jc w:val="center"/>
              <w:rPr>
                <w:noProof w:val="0"/>
                <w:color w:val="FFFFFF" w:themeColor="background1"/>
              </w:rPr>
            </w:pPr>
            <w:r w:rsidRPr="00261B7A">
              <w:rPr>
                <w:noProof w:val="0"/>
                <w:color w:val="FFFFFF" w:themeColor="background1"/>
              </w:rPr>
              <w:t>Area of natural forest deforestation (ha)</w:t>
            </w:r>
          </w:p>
        </w:tc>
        <w:tc>
          <w:tcPr>
            <w:tcW w:w="707" w:type="dxa"/>
            <w:tcBorders>
              <w:top w:val="single" w:sz="6" w:space="0" w:color="1B556B"/>
              <w:left w:val="nil"/>
              <w:bottom w:val="nil"/>
              <w:right w:val="nil"/>
            </w:tcBorders>
            <w:shd w:val="clear" w:color="auto" w:fill="1B556B"/>
          </w:tcPr>
          <w:p w14:paraId="5823C73E" w14:textId="77777777" w:rsidR="0010265C" w:rsidRPr="00261B7A" w:rsidRDefault="0010265C" w:rsidP="00D013BA">
            <w:pPr>
              <w:pStyle w:val="TableTextBold"/>
              <w:spacing w:before="40" w:after="0"/>
              <w:jc w:val="center"/>
              <w:rPr>
                <w:noProof w:val="0"/>
                <w:color w:val="FFFFFF" w:themeColor="background1"/>
              </w:rPr>
            </w:pPr>
          </w:p>
        </w:tc>
      </w:tr>
      <w:tr w:rsidR="0010265C" w:rsidRPr="00261B7A" w14:paraId="798F20E4" w14:textId="77777777" w:rsidTr="00D013BA">
        <w:tc>
          <w:tcPr>
            <w:tcW w:w="1506" w:type="dxa"/>
            <w:vMerge/>
            <w:tcBorders>
              <w:top w:val="nil"/>
              <w:left w:val="nil"/>
              <w:bottom w:val="single" w:sz="6" w:space="0" w:color="1B556B"/>
              <w:right w:val="nil"/>
            </w:tcBorders>
            <w:shd w:val="clear" w:color="auto" w:fill="1B556B"/>
            <w:vAlign w:val="bottom"/>
            <w:hideMark/>
          </w:tcPr>
          <w:p w14:paraId="54C79A34" w14:textId="77777777" w:rsidR="0010265C" w:rsidRPr="00261B7A" w:rsidRDefault="0010265C" w:rsidP="00D41492">
            <w:pPr>
              <w:pStyle w:val="TableTextBold"/>
              <w:rPr>
                <w:noProof w:val="0"/>
                <w:color w:val="FFFFFF" w:themeColor="background1"/>
              </w:rPr>
            </w:pPr>
          </w:p>
        </w:tc>
        <w:tc>
          <w:tcPr>
            <w:tcW w:w="1046" w:type="dxa"/>
            <w:tcBorders>
              <w:top w:val="nil"/>
              <w:left w:val="nil"/>
              <w:bottom w:val="single" w:sz="6" w:space="0" w:color="1B556B"/>
              <w:right w:val="nil"/>
            </w:tcBorders>
            <w:shd w:val="clear" w:color="auto" w:fill="1B556B"/>
            <w:vAlign w:val="bottom"/>
            <w:hideMark/>
          </w:tcPr>
          <w:p w14:paraId="08739DC7" w14:textId="77777777" w:rsidR="0010265C" w:rsidRPr="00261B7A" w:rsidRDefault="0010265C" w:rsidP="00D41492">
            <w:pPr>
              <w:pStyle w:val="TableTextBold"/>
              <w:jc w:val="right"/>
              <w:rPr>
                <w:noProof w:val="0"/>
                <w:color w:val="FFFFFF" w:themeColor="background1"/>
              </w:rPr>
            </w:pPr>
            <w:r w:rsidRPr="00261B7A">
              <w:rPr>
                <w:noProof w:val="0"/>
                <w:color w:val="FFFFFF" w:themeColor="background1"/>
              </w:rPr>
              <w:t>1990–2007</w:t>
            </w:r>
          </w:p>
        </w:tc>
        <w:tc>
          <w:tcPr>
            <w:tcW w:w="958" w:type="dxa"/>
            <w:tcBorders>
              <w:top w:val="nil"/>
              <w:left w:val="nil"/>
              <w:bottom w:val="single" w:sz="6" w:space="0" w:color="1B556B"/>
              <w:right w:val="nil"/>
            </w:tcBorders>
            <w:shd w:val="clear" w:color="auto" w:fill="1B556B"/>
            <w:vAlign w:val="bottom"/>
            <w:hideMark/>
          </w:tcPr>
          <w:p w14:paraId="56788973" w14:textId="77777777" w:rsidR="0010265C" w:rsidRPr="00261B7A" w:rsidRDefault="0010265C" w:rsidP="00D41492">
            <w:pPr>
              <w:pStyle w:val="TableTextBold"/>
              <w:jc w:val="right"/>
              <w:rPr>
                <w:noProof w:val="0"/>
                <w:color w:val="FFFFFF" w:themeColor="background1"/>
              </w:rPr>
            </w:pPr>
            <w:r w:rsidRPr="00261B7A">
              <w:rPr>
                <w:noProof w:val="0"/>
                <w:color w:val="FFFFFF" w:themeColor="background1"/>
              </w:rPr>
              <w:t>2008–13</w:t>
            </w:r>
          </w:p>
        </w:tc>
        <w:tc>
          <w:tcPr>
            <w:tcW w:w="707" w:type="dxa"/>
            <w:tcBorders>
              <w:top w:val="nil"/>
              <w:left w:val="nil"/>
              <w:bottom w:val="single" w:sz="6" w:space="0" w:color="1B556B"/>
              <w:right w:val="nil"/>
            </w:tcBorders>
            <w:shd w:val="clear" w:color="auto" w:fill="1B556B"/>
            <w:vAlign w:val="bottom"/>
            <w:hideMark/>
          </w:tcPr>
          <w:p w14:paraId="693DD66B" w14:textId="77777777" w:rsidR="0010265C" w:rsidRPr="00261B7A" w:rsidRDefault="0010265C" w:rsidP="00D41492">
            <w:pPr>
              <w:pStyle w:val="TableTextBold"/>
              <w:jc w:val="right"/>
              <w:rPr>
                <w:noProof w:val="0"/>
                <w:color w:val="FFFFFF" w:themeColor="background1"/>
              </w:rPr>
            </w:pPr>
            <w:r w:rsidRPr="00261B7A">
              <w:rPr>
                <w:noProof w:val="0"/>
                <w:color w:val="FFFFFF" w:themeColor="background1"/>
              </w:rPr>
              <w:t>2014</w:t>
            </w:r>
          </w:p>
        </w:tc>
        <w:tc>
          <w:tcPr>
            <w:tcW w:w="707" w:type="dxa"/>
            <w:tcBorders>
              <w:top w:val="nil"/>
              <w:left w:val="nil"/>
              <w:bottom w:val="single" w:sz="6" w:space="0" w:color="1B556B"/>
              <w:right w:val="nil"/>
            </w:tcBorders>
            <w:shd w:val="clear" w:color="auto" w:fill="1B556B"/>
            <w:vAlign w:val="bottom"/>
            <w:hideMark/>
          </w:tcPr>
          <w:p w14:paraId="0457B851" w14:textId="77777777" w:rsidR="0010265C" w:rsidRPr="00261B7A" w:rsidRDefault="0010265C" w:rsidP="00D41492">
            <w:pPr>
              <w:pStyle w:val="TableTextBold"/>
              <w:jc w:val="right"/>
              <w:rPr>
                <w:noProof w:val="0"/>
                <w:color w:val="FFFFFF" w:themeColor="background1"/>
              </w:rPr>
            </w:pPr>
            <w:r w:rsidRPr="00261B7A">
              <w:rPr>
                <w:noProof w:val="0"/>
                <w:color w:val="FFFFFF" w:themeColor="background1"/>
              </w:rPr>
              <w:t>2015</w:t>
            </w:r>
          </w:p>
        </w:tc>
        <w:tc>
          <w:tcPr>
            <w:tcW w:w="707" w:type="dxa"/>
            <w:tcBorders>
              <w:top w:val="nil"/>
              <w:left w:val="nil"/>
              <w:bottom w:val="single" w:sz="6" w:space="0" w:color="1B556B"/>
              <w:right w:val="nil"/>
            </w:tcBorders>
            <w:shd w:val="clear" w:color="auto" w:fill="1B556B"/>
            <w:vAlign w:val="bottom"/>
            <w:hideMark/>
          </w:tcPr>
          <w:p w14:paraId="3446AF0D" w14:textId="77777777" w:rsidR="0010265C" w:rsidRPr="00261B7A" w:rsidRDefault="0010265C" w:rsidP="00D41492">
            <w:pPr>
              <w:pStyle w:val="TableTextBold"/>
              <w:jc w:val="right"/>
              <w:rPr>
                <w:noProof w:val="0"/>
                <w:color w:val="FFFFFF" w:themeColor="background1"/>
              </w:rPr>
            </w:pPr>
            <w:r w:rsidRPr="00261B7A">
              <w:rPr>
                <w:noProof w:val="0"/>
                <w:color w:val="FFFFFF" w:themeColor="background1"/>
              </w:rPr>
              <w:t>2016</w:t>
            </w:r>
          </w:p>
        </w:tc>
        <w:tc>
          <w:tcPr>
            <w:tcW w:w="707" w:type="dxa"/>
            <w:tcBorders>
              <w:top w:val="nil"/>
              <w:left w:val="nil"/>
              <w:bottom w:val="single" w:sz="6" w:space="0" w:color="1B556B"/>
              <w:right w:val="nil"/>
            </w:tcBorders>
            <w:shd w:val="clear" w:color="auto" w:fill="1B556B"/>
            <w:vAlign w:val="bottom"/>
            <w:hideMark/>
          </w:tcPr>
          <w:p w14:paraId="16B66556" w14:textId="77777777" w:rsidR="0010265C" w:rsidRPr="00261B7A" w:rsidRDefault="0010265C" w:rsidP="00D41492">
            <w:pPr>
              <w:pStyle w:val="TableTextBold"/>
              <w:jc w:val="right"/>
              <w:rPr>
                <w:noProof w:val="0"/>
                <w:color w:val="FFFFFF" w:themeColor="background1"/>
              </w:rPr>
            </w:pPr>
            <w:r w:rsidRPr="00261B7A">
              <w:rPr>
                <w:noProof w:val="0"/>
                <w:color w:val="FFFFFF" w:themeColor="background1"/>
              </w:rPr>
              <w:t>2017</w:t>
            </w:r>
          </w:p>
        </w:tc>
        <w:tc>
          <w:tcPr>
            <w:tcW w:w="707" w:type="dxa"/>
            <w:tcBorders>
              <w:top w:val="nil"/>
              <w:left w:val="nil"/>
              <w:bottom w:val="single" w:sz="6" w:space="0" w:color="1B556B"/>
              <w:right w:val="nil"/>
            </w:tcBorders>
            <w:shd w:val="clear" w:color="auto" w:fill="1B556B"/>
            <w:vAlign w:val="bottom"/>
            <w:hideMark/>
          </w:tcPr>
          <w:p w14:paraId="6E5A3F06" w14:textId="77777777" w:rsidR="0010265C" w:rsidRPr="00261B7A" w:rsidRDefault="0010265C" w:rsidP="00D41492">
            <w:pPr>
              <w:pStyle w:val="TableTextBold"/>
              <w:jc w:val="right"/>
              <w:rPr>
                <w:noProof w:val="0"/>
                <w:color w:val="FFFFFF" w:themeColor="background1"/>
              </w:rPr>
            </w:pPr>
            <w:r w:rsidRPr="00261B7A">
              <w:rPr>
                <w:noProof w:val="0"/>
                <w:color w:val="FFFFFF" w:themeColor="background1"/>
              </w:rPr>
              <w:t>2018</w:t>
            </w:r>
          </w:p>
        </w:tc>
        <w:tc>
          <w:tcPr>
            <w:tcW w:w="753" w:type="dxa"/>
            <w:tcBorders>
              <w:top w:val="nil"/>
              <w:left w:val="nil"/>
              <w:bottom w:val="single" w:sz="6" w:space="0" w:color="1B556B"/>
              <w:right w:val="nil"/>
            </w:tcBorders>
            <w:shd w:val="clear" w:color="auto" w:fill="1B556B"/>
            <w:vAlign w:val="bottom"/>
            <w:hideMark/>
          </w:tcPr>
          <w:p w14:paraId="1730BE85" w14:textId="77777777" w:rsidR="0010265C" w:rsidRPr="00261B7A" w:rsidRDefault="0010265C" w:rsidP="00D41492">
            <w:pPr>
              <w:pStyle w:val="TableTextBold"/>
              <w:jc w:val="right"/>
              <w:rPr>
                <w:noProof w:val="0"/>
                <w:color w:val="FFFFFF" w:themeColor="background1"/>
              </w:rPr>
            </w:pPr>
            <w:r w:rsidRPr="00261B7A">
              <w:rPr>
                <w:noProof w:val="0"/>
                <w:color w:val="FFFFFF" w:themeColor="background1"/>
              </w:rPr>
              <w:t>2019</w:t>
            </w:r>
          </w:p>
        </w:tc>
        <w:tc>
          <w:tcPr>
            <w:tcW w:w="707" w:type="dxa"/>
            <w:tcBorders>
              <w:top w:val="nil"/>
              <w:left w:val="nil"/>
              <w:bottom w:val="single" w:sz="6" w:space="0" w:color="1B556B"/>
              <w:right w:val="nil"/>
            </w:tcBorders>
            <w:shd w:val="clear" w:color="auto" w:fill="1B556B"/>
            <w:vAlign w:val="bottom"/>
            <w:hideMark/>
          </w:tcPr>
          <w:p w14:paraId="4409B92D" w14:textId="77777777" w:rsidR="0010265C" w:rsidRPr="00261B7A" w:rsidRDefault="0010265C" w:rsidP="00D41492">
            <w:pPr>
              <w:pStyle w:val="TableTextBold"/>
              <w:jc w:val="right"/>
              <w:rPr>
                <w:noProof w:val="0"/>
                <w:color w:val="FFFFFF" w:themeColor="background1"/>
              </w:rPr>
            </w:pPr>
            <w:r w:rsidRPr="00261B7A">
              <w:rPr>
                <w:noProof w:val="0"/>
                <w:color w:val="FFFFFF" w:themeColor="background1"/>
              </w:rPr>
              <w:t>2020</w:t>
            </w:r>
            <w:r w:rsidRPr="00261B7A">
              <w:rPr>
                <w:noProof w:val="0"/>
                <w:color w:val="FFFFFF" w:themeColor="background1"/>
                <w:vertAlign w:val="superscript"/>
              </w:rPr>
              <w:t>P</w:t>
            </w:r>
          </w:p>
        </w:tc>
        <w:tc>
          <w:tcPr>
            <w:tcW w:w="707" w:type="dxa"/>
            <w:tcBorders>
              <w:top w:val="nil"/>
              <w:left w:val="nil"/>
              <w:bottom w:val="single" w:sz="6" w:space="0" w:color="1B556B"/>
              <w:right w:val="nil"/>
            </w:tcBorders>
            <w:shd w:val="clear" w:color="auto" w:fill="1B556B"/>
          </w:tcPr>
          <w:p w14:paraId="4411CA6A" w14:textId="77777777" w:rsidR="0010265C" w:rsidRPr="00261B7A" w:rsidRDefault="0010265C" w:rsidP="00D41492">
            <w:pPr>
              <w:pStyle w:val="TableTextBold"/>
              <w:jc w:val="right"/>
              <w:rPr>
                <w:noProof w:val="0"/>
                <w:color w:val="FFFFFF" w:themeColor="background1"/>
              </w:rPr>
            </w:pPr>
            <w:r w:rsidRPr="00261B7A">
              <w:rPr>
                <w:noProof w:val="0"/>
                <w:color w:val="FFFFFF" w:themeColor="background1"/>
              </w:rPr>
              <w:t>2021</w:t>
            </w:r>
            <w:r w:rsidRPr="00261B7A">
              <w:rPr>
                <w:noProof w:val="0"/>
                <w:color w:val="FFFFFF" w:themeColor="background1"/>
                <w:vertAlign w:val="superscript"/>
              </w:rPr>
              <w:t xml:space="preserve"> P</w:t>
            </w:r>
          </w:p>
        </w:tc>
      </w:tr>
      <w:tr w:rsidR="0010265C" w:rsidRPr="00261B7A" w14:paraId="7C1CF45B" w14:textId="77777777" w:rsidTr="00D013BA">
        <w:tc>
          <w:tcPr>
            <w:tcW w:w="1506" w:type="dxa"/>
            <w:tcBorders>
              <w:top w:val="single" w:sz="6" w:space="0" w:color="1B556B"/>
              <w:left w:val="nil"/>
              <w:bottom w:val="single" w:sz="6" w:space="0" w:color="1B556B"/>
              <w:right w:val="nil"/>
            </w:tcBorders>
            <w:shd w:val="clear" w:color="auto" w:fill="auto"/>
            <w:hideMark/>
          </w:tcPr>
          <w:p w14:paraId="02EDC99C" w14:textId="77777777" w:rsidR="0010265C" w:rsidRPr="00261B7A" w:rsidRDefault="0010265C" w:rsidP="00D41492">
            <w:pPr>
              <w:pStyle w:val="TableText"/>
              <w:rPr>
                <w:rFonts w:ascii="Times New Roman" w:hAnsi="Times New Roman"/>
                <w:szCs w:val="16"/>
              </w:rPr>
            </w:pPr>
            <w:r w:rsidRPr="00261B7A">
              <w:rPr>
                <w:szCs w:val="16"/>
              </w:rPr>
              <w:t xml:space="preserve">Tall forest </w:t>
            </w:r>
          </w:p>
        </w:tc>
        <w:tc>
          <w:tcPr>
            <w:tcW w:w="1046" w:type="dxa"/>
            <w:tcBorders>
              <w:top w:val="single" w:sz="6" w:space="0" w:color="1B556B"/>
              <w:left w:val="nil"/>
              <w:bottom w:val="single" w:sz="6" w:space="0" w:color="1B556B"/>
              <w:right w:val="nil"/>
            </w:tcBorders>
            <w:shd w:val="clear" w:color="auto" w:fill="auto"/>
            <w:vAlign w:val="center"/>
            <w:hideMark/>
          </w:tcPr>
          <w:p w14:paraId="775C2608" w14:textId="77777777" w:rsidR="0010265C" w:rsidRPr="00261B7A" w:rsidRDefault="0010265C" w:rsidP="00D41492">
            <w:pPr>
              <w:pStyle w:val="TableText"/>
              <w:jc w:val="right"/>
              <w:rPr>
                <w:szCs w:val="16"/>
              </w:rPr>
            </w:pPr>
            <w:r w:rsidRPr="00261B7A">
              <w:rPr>
                <w:rFonts w:cs="Calibri"/>
                <w:color w:val="000000"/>
                <w:szCs w:val="16"/>
              </w:rPr>
              <w:t>8,674</w:t>
            </w:r>
          </w:p>
        </w:tc>
        <w:tc>
          <w:tcPr>
            <w:tcW w:w="958" w:type="dxa"/>
            <w:tcBorders>
              <w:top w:val="single" w:sz="6" w:space="0" w:color="1B556B"/>
              <w:left w:val="nil"/>
              <w:bottom w:val="single" w:sz="6" w:space="0" w:color="1B556B"/>
              <w:right w:val="nil"/>
            </w:tcBorders>
            <w:shd w:val="clear" w:color="auto" w:fill="auto"/>
            <w:vAlign w:val="center"/>
            <w:hideMark/>
          </w:tcPr>
          <w:p w14:paraId="252C023D" w14:textId="77777777" w:rsidR="0010265C" w:rsidRPr="00261B7A" w:rsidRDefault="0010265C" w:rsidP="00D41492">
            <w:pPr>
              <w:pStyle w:val="TableText"/>
              <w:jc w:val="right"/>
              <w:rPr>
                <w:szCs w:val="16"/>
              </w:rPr>
            </w:pPr>
            <w:r w:rsidRPr="00261B7A">
              <w:rPr>
                <w:rFonts w:cs="Calibri"/>
                <w:color w:val="000000"/>
                <w:szCs w:val="16"/>
              </w:rPr>
              <w:t>3619</w:t>
            </w:r>
          </w:p>
        </w:tc>
        <w:tc>
          <w:tcPr>
            <w:tcW w:w="707" w:type="dxa"/>
            <w:tcBorders>
              <w:top w:val="single" w:sz="6" w:space="0" w:color="1B556B"/>
              <w:left w:val="nil"/>
              <w:bottom w:val="single" w:sz="6" w:space="0" w:color="1B556B"/>
              <w:right w:val="nil"/>
            </w:tcBorders>
            <w:shd w:val="clear" w:color="auto" w:fill="auto"/>
            <w:vAlign w:val="center"/>
            <w:hideMark/>
          </w:tcPr>
          <w:p w14:paraId="245E95FC" w14:textId="77777777" w:rsidR="0010265C" w:rsidRPr="00261B7A" w:rsidRDefault="0010265C" w:rsidP="00D41492">
            <w:pPr>
              <w:pStyle w:val="TableText"/>
              <w:jc w:val="right"/>
              <w:rPr>
                <w:szCs w:val="16"/>
              </w:rPr>
            </w:pPr>
            <w:r w:rsidRPr="00261B7A">
              <w:rPr>
                <w:rFonts w:cs="Calibri"/>
                <w:color w:val="000000"/>
                <w:szCs w:val="16"/>
              </w:rPr>
              <w:t>451</w:t>
            </w:r>
          </w:p>
        </w:tc>
        <w:tc>
          <w:tcPr>
            <w:tcW w:w="707" w:type="dxa"/>
            <w:tcBorders>
              <w:top w:val="single" w:sz="6" w:space="0" w:color="1B556B"/>
              <w:left w:val="nil"/>
              <w:bottom w:val="single" w:sz="6" w:space="0" w:color="1B556B"/>
              <w:right w:val="nil"/>
            </w:tcBorders>
            <w:shd w:val="clear" w:color="auto" w:fill="auto"/>
            <w:vAlign w:val="center"/>
            <w:hideMark/>
          </w:tcPr>
          <w:p w14:paraId="5BACA462" w14:textId="77777777" w:rsidR="0010265C" w:rsidRPr="00261B7A" w:rsidRDefault="0010265C" w:rsidP="00D41492">
            <w:pPr>
              <w:pStyle w:val="TableText"/>
              <w:jc w:val="right"/>
              <w:rPr>
                <w:szCs w:val="16"/>
              </w:rPr>
            </w:pPr>
            <w:r w:rsidRPr="00261B7A">
              <w:rPr>
                <w:rFonts w:cs="Calibri"/>
                <w:color w:val="000000"/>
                <w:szCs w:val="16"/>
              </w:rPr>
              <w:t>721</w:t>
            </w:r>
          </w:p>
        </w:tc>
        <w:tc>
          <w:tcPr>
            <w:tcW w:w="707" w:type="dxa"/>
            <w:tcBorders>
              <w:top w:val="single" w:sz="6" w:space="0" w:color="1B556B"/>
              <w:left w:val="nil"/>
              <w:bottom w:val="single" w:sz="6" w:space="0" w:color="1B556B"/>
              <w:right w:val="nil"/>
            </w:tcBorders>
            <w:shd w:val="clear" w:color="auto" w:fill="auto"/>
            <w:vAlign w:val="center"/>
            <w:hideMark/>
          </w:tcPr>
          <w:p w14:paraId="092B3A84" w14:textId="77777777" w:rsidR="0010265C" w:rsidRPr="00261B7A" w:rsidRDefault="0010265C" w:rsidP="00D41492">
            <w:pPr>
              <w:pStyle w:val="TableText"/>
              <w:jc w:val="right"/>
              <w:rPr>
                <w:szCs w:val="16"/>
              </w:rPr>
            </w:pPr>
            <w:r w:rsidRPr="00261B7A">
              <w:rPr>
                <w:rFonts w:cs="Calibri"/>
                <w:color w:val="000000"/>
                <w:szCs w:val="16"/>
              </w:rPr>
              <w:t>532</w:t>
            </w:r>
          </w:p>
        </w:tc>
        <w:tc>
          <w:tcPr>
            <w:tcW w:w="707" w:type="dxa"/>
            <w:tcBorders>
              <w:top w:val="single" w:sz="6" w:space="0" w:color="1B556B"/>
              <w:left w:val="nil"/>
              <w:bottom w:val="single" w:sz="6" w:space="0" w:color="1B556B"/>
              <w:right w:val="nil"/>
            </w:tcBorders>
            <w:shd w:val="clear" w:color="auto" w:fill="auto"/>
            <w:vAlign w:val="center"/>
            <w:hideMark/>
          </w:tcPr>
          <w:p w14:paraId="5A70978B" w14:textId="77777777" w:rsidR="0010265C" w:rsidRPr="00261B7A" w:rsidRDefault="0010265C" w:rsidP="00D41492">
            <w:pPr>
              <w:pStyle w:val="TableText"/>
              <w:jc w:val="right"/>
              <w:rPr>
                <w:szCs w:val="16"/>
              </w:rPr>
            </w:pPr>
            <w:r w:rsidRPr="00261B7A">
              <w:rPr>
                <w:rFonts w:cs="Calibri"/>
                <w:color w:val="000000"/>
                <w:szCs w:val="16"/>
              </w:rPr>
              <w:t>443</w:t>
            </w:r>
          </w:p>
        </w:tc>
        <w:tc>
          <w:tcPr>
            <w:tcW w:w="707" w:type="dxa"/>
            <w:tcBorders>
              <w:top w:val="single" w:sz="6" w:space="0" w:color="1B556B"/>
              <w:left w:val="nil"/>
              <w:bottom w:val="single" w:sz="6" w:space="0" w:color="1B556B"/>
              <w:right w:val="nil"/>
            </w:tcBorders>
            <w:shd w:val="clear" w:color="auto" w:fill="auto"/>
            <w:vAlign w:val="center"/>
            <w:hideMark/>
          </w:tcPr>
          <w:p w14:paraId="2C72952D" w14:textId="77777777" w:rsidR="0010265C" w:rsidRPr="00261B7A" w:rsidRDefault="0010265C" w:rsidP="00D41492">
            <w:pPr>
              <w:pStyle w:val="TableText"/>
              <w:jc w:val="right"/>
              <w:rPr>
                <w:szCs w:val="16"/>
              </w:rPr>
            </w:pPr>
            <w:r w:rsidRPr="00261B7A">
              <w:rPr>
                <w:rFonts w:cs="Calibri"/>
                <w:color w:val="000000"/>
                <w:szCs w:val="16"/>
              </w:rPr>
              <w:t>396</w:t>
            </w:r>
          </w:p>
        </w:tc>
        <w:tc>
          <w:tcPr>
            <w:tcW w:w="753" w:type="dxa"/>
            <w:tcBorders>
              <w:top w:val="single" w:sz="6" w:space="0" w:color="1B556B"/>
              <w:left w:val="nil"/>
              <w:bottom w:val="single" w:sz="6" w:space="0" w:color="1B556B"/>
              <w:right w:val="nil"/>
            </w:tcBorders>
            <w:shd w:val="clear" w:color="auto" w:fill="auto"/>
            <w:vAlign w:val="center"/>
            <w:hideMark/>
          </w:tcPr>
          <w:p w14:paraId="42D1A57B" w14:textId="77777777" w:rsidR="0010265C" w:rsidRPr="00261B7A" w:rsidRDefault="0010265C" w:rsidP="00D41492">
            <w:pPr>
              <w:pStyle w:val="TableText"/>
              <w:jc w:val="right"/>
              <w:rPr>
                <w:szCs w:val="16"/>
              </w:rPr>
            </w:pPr>
            <w:r w:rsidRPr="00261B7A">
              <w:rPr>
                <w:rFonts w:cs="Calibri"/>
                <w:color w:val="000000"/>
                <w:szCs w:val="16"/>
              </w:rPr>
              <w:t>370</w:t>
            </w:r>
          </w:p>
        </w:tc>
        <w:tc>
          <w:tcPr>
            <w:tcW w:w="707" w:type="dxa"/>
            <w:tcBorders>
              <w:top w:val="single" w:sz="6" w:space="0" w:color="1B556B"/>
              <w:left w:val="nil"/>
              <w:bottom w:val="single" w:sz="6" w:space="0" w:color="1B556B"/>
              <w:right w:val="nil"/>
            </w:tcBorders>
            <w:shd w:val="clear" w:color="auto" w:fill="auto"/>
            <w:vAlign w:val="center"/>
            <w:hideMark/>
          </w:tcPr>
          <w:p w14:paraId="7FC63A1E" w14:textId="77777777" w:rsidR="0010265C" w:rsidRPr="00261B7A" w:rsidRDefault="0010265C" w:rsidP="00D41492">
            <w:pPr>
              <w:pStyle w:val="TableText"/>
              <w:jc w:val="right"/>
              <w:rPr>
                <w:szCs w:val="16"/>
              </w:rPr>
            </w:pPr>
            <w:r w:rsidRPr="00261B7A">
              <w:rPr>
                <w:rFonts w:cs="Calibri"/>
                <w:color w:val="000000"/>
                <w:szCs w:val="16"/>
              </w:rPr>
              <w:t>376</w:t>
            </w:r>
          </w:p>
        </w:tc>
        <w:tc>
          <w:tcPr>
            <w:tcW w:w="707" w:type="dxa"/>
            <w:tcBorders>
              <w:top w:val="single" w:sz="6" w:space="0" w:color="1B556B"/>
              <w:left w:val="nil"/>
              <w:bottom w:val="single" w:sz="6" w:space="0" w:color="1B556B"/>
              <w:right w:val="nil"/>
            </w:tcBorders>
            <w:vAlign w:val="center"/>
          </w:tcPr>
          <w:p w14:paraId="72B09A50" w14:textId="77777777" w:rsidR="0010265C" w:rsidRPr="00261B7A" w:rsidRDefault="0010265C" w:rsidP="00D41492">
            <w:pPr>
              <w:pStyle w:val="TableText"/>
              <w:jc w:val="right"/>
              <w:rPr>
                <w:szCs w:val="16"/>
              </w:rPr>
            </w:pPr>
            <w:r w:rsidRPr="00261B7A">
              <w:rPr>
                <w:rFonts w:cs="Calibri"/>
                <w:color w:val="000000"/>
                <w:szCs w:val="16"/>
              </w:rPr>
              <w:t>376</w:t>
            </w:r>
          </w:p>
        </w:tc>
      </w:tr>
      <w:tr w:rsidR="0010265C" w:rsidRPr="00261B7A" w14:paraId="5D63ED5C" w14:textId="77777777" w:rsidTr="00D013BA">
        <w:tc>
          <w:tcPr>
            <w:tcW w:w="1506" w:type="dxa"/>
            <w:tcBorders>
              <w:top w:val="single" w:sz="6" w:space="0" w:color="1B556B"/>
              <w:left w:val="nil"/>
              <w:bottom w:val="single" w:sz="6" w:space="0" w:color="1B556B"/>
              <w:right w:val="nil"/>
            </w:tcBorders>
            <w:shd w:val="clear" w:color="auto" w:fill="auto"/>
            <w:hideMark/>
          </w:tcPr>
          <w:p w14:paraId="7DD74CA7" w14:textId="77777777" w:rsidR="0010265C" w:rsidRPr="00261B7A" w:rsidRDefault="0010265C" w:rsidP="00D41492">
            <w:pPr>
              <w:pStyle w:val="TableText"/>
              <w:rPr>
                <w:rFonts w:ascii="Times New Roman" w:hAnsi="Times New Roman"/>
                <w:szCs w:val="16"/>
              </w:rPr>
            </w:pPr>
            <w:r w:rsidRPr="00261B7A">
              <w:rPr>
                <w:szCs w:val="16"/>
              </w:rPr>
              <w:t>Regenerating </w:t>
            </w:r>
          </w:p>
        </w:tc>
        <w:tc>
          <w:tcPr>
            <w:tcW w:w="1046" w:type="dxa"/>
            <w:tcBorders>
              <w:top w:val="single" w:sz="6" w:space="0" w:color="1B556B"/>
              <w:left w:val="nil"/>
              <w:bottom w:val="single" w:sz="6" w:space="0" w:color="1B556B"/>
              <w:right w:val="nil"/>
            </w:tcBorders>
            <w:shd w:val="clear" w:color="auto" w:fill="auto"/>
            <w:vAlign w:val="center"/>
            <w:hideMark/>
          </w:tcPr>
          <w:p w14:paraId="47A49DC6" w14:textId="77777777" w:rsidR="0010265C" w:rsidRPr="00261B7A" w:rsidRDefault="0010265C" w:rsidP="00D41492">
            <w:pPr>
              <w:pStyle w:val="TableText"/>
              <w:jc w:val="right"/>
              <w:rPr>
                <w:szCs w:val="16"/>
              </w:rPr>
            </w:pPr>
            <w:r w:rsidRPr="00261B7A">
              <w:rPr>
                <w:rFonts w:cs="Calibri"/>
                <w:color w:val="000000"/>
                <w:szCs w:val="16"/>
              </w:rPr>
              <w:t>24,489</w:t>
            </w:r>
          </w:p>
        </w:tc>
        <w:tc>
          <w:tcPr>
            <w:tcW w:w="958" w:type="dxa"/>
            <w:tcBorders>
              <w:top w:val="single" w:sz="6" w:space="0" w:color="1B556B"/>
              <w:left w:val="nil"/>
              <w:bottom w:val="single" w:sz="6" w:space="0" w:color="1B556B"/>
              <w:right w:val="nil"/>
            </w:tcBorders>
            <w:shd w:val="clear" w:color="auto" w:fill="auto"/>
            <w:vAlign w:val="center"/>
            <w:hideMark/>
          </w:tcPr>
          <w:p w14:paraId="11459F8E" w14:textId="77777777" w:rsidR="0010265C" w:rsidRPr="00261B7A" w:rsidRDefault="0010265C" w:rsidP="00D41492">
            <w:pPr>
              <w:pStyle w:val="TableText"/>
              <w:jc w:val="right"/>
              <w:rPr>
                <w:szCs w:val="16"/>
              </w:rPr>
            </w:pPr>
            <w:r w:rsidRPr="00261B7A">
              <w:rPr>
                <w:rFonts w:cs="Calibri"/>
                <w:color w:val="000000"/>
                <w:szCs w:val="16"/>
              </w:rPr>
              <w:t>5390</w:t>
            </w:r>
          </w:p>
        </w:tc>
        <w:tc>
          <w:tcPr>
            <w:tcW w:w="707" w:type="dxa"/>
            <w:tcBorders>
              <w:top w:val="single" w:sz="6" w:space="0" w:color="1B556B"/>
              <w:left w:val="nil"/>
              <w:bottom w:val="single" w:sz="6" w:space="0" w:color="1B556B"/>
              <w:right w:val="nil"/>
            </w:tcBorders>
            <w:shd w:val="clear" w:color="auto" w:fill="auto"/>
            <w:vAlign w:val="center"/>
            <w:hideMark/>
          </w:tcPr>
          <w:p w14:paraId="3706D045" w14:textId="77777777" w:rsidR="0010265C" w:rsidRPr="00261B7A" w:rsidRDefault="0010265C" w:rsidP="00D41492">
            <w:pPr>
              <w:pStyle w:val="TableText"/>
              <w:jc w:val="right"/>
              <w:rPr>
                <w:szCs w:val="16"/>
              </w:rPr>
            </w:pPr>
            <w:r w:rsidRPr="00261B7A">
              <w:rPr>
                <w:rFonts w:cs="Calibri"/>
                <w:color w:val="000000"/>
                <w:szCs w:val="16"/>
              </w:rPr>
              <w:t>249</w:t>
            </w:r>
          </w:p>
        </w:tc>
        <w:tc>
          <w:tcPr>
            <w:tcW w:w="707" w:type="dxa"/>
            <w:tcBorders>
              <w:top w:val="single" w:sz="6" w:space="0" w:color="1B556B"/>
              <w:left w:val="nil"/>
              <w:bottom w:val="single" w:sz="6" w:space="0" w:color="1B556B"/>
              <w:right w:val="nil"/>
            </w:tcBorders>
            <w:shd w:val="clear" w:color="auto" w:fill="auto"/>
            <w:vAlign w:val="center"/>
            <w:hideMark/>
          </w:tcPr>
          <w:p w14:paraId="1B70BE10" w14:textId="77777777" w:rsidR="0010265C" w:rsidRPr="00261B7A" w:rsidRDefault="0010265C" w:rsidP="00D41492">
            <w:pPr>
              <w:pStyle w:val="TableText"/>
              <w:jc w:val="right"/>
              <w:rPr>
                <w:szCs w:val="16"/>
              </w:rPr>
            </w:pPr>
            <w:r w:rsidRPr="00261B7A">
              <w:rPr>
                <w:rFonts w:cs="Calibri"/>
                <w:color w:val="000000"/>
                <w:szCs w:val="16"/>
              </w:rPr>
              <w:t>339</w:t>
            </w:r>
          </w:p>
        </w:tc>
        <w:tc>
          <w:tcPr>
            <w:tcW w:w="707" w:type="dxa"/>
            <w:tcBorders>
              <w:top w:val="single" w:sz="6" w:space="0" w:color="1B556B"/>
              <w:left w:val="nil"/>
              <w:bottom w:val="single" w:sz="6" w:space="0" w:color="1B556B"/>
              <w:right w:val="nil"/>
            </w:tcBorders>
            <w:shd w:val="clear" w:color="auto" w:fill="auto"/>
            <w:vAlign w:val="center"/>
            <w:hideMark/>
          </w:tcPr>
          <w:p w14:paraId="4F381ADE" w14:textId="77777777" w:rsidR="0010265C" w:rsidRPr="00261B7A" w:rsidRDefault="0010265C" w:rsidP="00D41492">
            <w:pPr>
              <w:pStyle w:val="TableText"/>
              <w:jc w:val="right"/>
              <w:rPr>
                <w:szCs w:val="16"/>
              </w:rPr>
            </w:pPr>
            <w:r w:rsidRPr="00261B7A">
              <w:rPr>
                <w:rFonts w:cs="Calibri"/>
                <w:color w:val="000000"/>
                <w:szCs w:val="16"/>
              </w:rPr>
              <w:t>318</w:t>
            </w:r>
          </w:p>
        </w:tc>
        <w:tc>
          <w:tcPr>
            <w:tcW w:w="707" w:type="dxa"/>
            <w:tcBorders>
              <w:top w:val="single" w:sz="6" w:space="0" w:color="1B556B"/>
              <w:left w:val="nil"/>
              <w:bottom w:val="single" w:sz="6" w:space="0" w:color="1B556B"/>
              <w:right w:val="nil"/>
            </w:tcBorders>
            <w:shd w:val="clear" w:color="auto" w:fill="auto"/>
            <w:vAlign w:val="center"/>
            <w:hideMark/>
          </w:tcPr>
          <w:p w14:paraId="366B9330" w14:textId="77777777" w:rsidR="0010265C" w:rsidRPr="00261B7A" w:rsidRDefault="0010265C" w:rsidP="00D41492">
            <w:pPr>
              <w:pStyle w:val="TableText"/>
              <w:jc w:val="right"/>
              <w:rPr>
                <w:szCs w:val="16"/>
              </w:rPr>
            </w:pPr>
            <w:r w:rsidRPr="00261B7A">
              <w:rPr>
                <w:rFonts w:cs="Calibri"/>
                <w:color w:val="000000"/>
                <w:szCs w:val="16"/>
              </w:rPr>
              <w:t>148</w:t>
            </w:r>
          </w:p>
        </w:tc>
        <w:tc>
          <w:tcPr>
            <w:tcW w:w="707" w:type="dxa"/>
            <w:tcBorders>
              <w:top w:val="single" w:sz="6" w:space="0" w:color="1B556B"/>
              <w:left w:val="nil"/>
              <w:bottom w:val="single" w:sz="6" w:space="0" w:color="1B556B"/>
              <w:right w:val="nil"/>
            </w:tcBorders>
            <w:shd w:val="clear" w:color="auto" w:fill="auto"/>
            <w:vAlign w:val="center"/>
            <w:hideMark/>
          </w:tcPr>
          <w:p w14:paraId="57FA586D" w14:textId="77777777" w:rsidR="0010265C" w:rsidRPr="00261B7A" w:rsidRDefault="0010265C" w:rsidP="00D41492">
            <w:pPr>
              <w:pStyle w:val="TableText"/>
              <w:jc w:val="right"/>
              <w:rPr>
                <w:szCs w:val="16"/>
              </w:rPr>
            </w:pPr>
            <w:r w:rsidRPr="00261B7A">
              <w:rPr>
                <w:rFonts w:cs="Calibri"/>
                <w:color w:val="000000"/>
                <w:szCs w:val="16"/>
              </w:rPr>
              <w:t>162</w:t>
            </w:r>
          </w:p>
        </w:tc>
        <w:tc>
          <w:tcPr>
            <w:tcW w:w="753" w:type="dxa"/>
            <w:tcBorders>
              <w:top w:val="single" w:sz="6" w:space="0" w:color="1B556B"/>
              <w:left w:val="nil"/>
              <w:bottom w:val="single" w:sz="6" w:space="0" w:color="1B556B"/>
              <w:right w:val="nil"/>
            </w:tcBorders>
            <w:shd w:val="clear" w:color="auto" w:fill="auto"/>
            <w:vAlign w:val="center"/>
            <w:hideMark/>
          </w:tcPr>
          <w:p w14:paraId="3A1F2C15" w14:textId="77777777" w:rsidR="0010265C" w:rsidRPr="00261B7A" w:rsidRDefault="0010265C" w:rsidP="00D41492">
            <w:pPr>
              <w:pStyle w:val="TableText"/>
              <w:jc w:val="right"/>
              <w:rPr>
                <w:szCs w:val="16"/>
              </w:rPr>
            </w:pPr>
            <w:r w:rsidRPr="00261B7A">
              <w:rPr>
                <w:rFonts w:cs="Calibri"/>
                <w:color w:val="000000"/>
                <w:szCs w:val="16"/>
              </w:rPr>
              <w:t>269</w:t>
            </w:r>
          </w:p>
        </w:tc>
        <w:tc>
          <w:tcPr>
            <w:tcW w:w="707" w:type="dxa"/>
            <w:tcBorders>
              <w:top w:val="single" w:sz="6" w:space="0" w:color="1B556B"/>
              <w:left w:val="nil"/>
              <w:bottom w:val="single" w:sz="6" w:space="0" w:color="1B556B"/>
              <w:right w:val="nil"/>
            </w:tcBorders>
            <w:shd w:val="clear" w:color="auto" w:fill="auto"/>
            <w:vAlign w:val="center"/>
            <w:hideMark/>
          </w:tcPr>
          <w:p w14:paraId="58EAFD57" w14:textId="77777777" w:rsidR="0010265C" w:rsidRPr="00261B7A" w:rsidRDefault="0010265C" w:rsidP="00D41492">
            <w:pPr>
              <w:pStyle w:val="TableText"/>
              <w:jc w:val="right"/>
              <w:rPr>
                <w:szCs w:val="16"/>
              </w:rPr>
            </w:pPr>
            <w:r w:rsidRPr="00261B7A">
              <w:rPr>
                <w:rFonts w:cs="Calibri"/>
                <w:color w:val="000000"/>
                <w:szCs w:val="16"/>
              </w:rPr>
              <w:t>220</w:t>
            </w:r>
          </w:p>
        </w:tc>
        <w:tc>
          <w:tcPr>
            <w:tcW w:w="707" w:type="dxa"/>
            <w:tcBorders>
              <w:top w:val="single" w:sz="6" w:space="0" w:color="1B556B"/>
              <w:left w:val="nil"/>
              <w:bottom w:val="single" w:sz="6" w:space="0" w:color="1B556B"/>
              <w:right w:val="nil"/>
            </w:tcBorders>
            <w:vAlign w:val="center"/>
          </w:tcPr>
          <w:p w14:paraId="4A05D908" w14:textId="77777777" w:rsidR="0010265C" w:rsidRPr="00261B7A" w:rsidRDefault="0010265C" w:rsidP="00D41492">
            <w:pPr>
              <w:pStyle w:val="TableText"/>
              <w:jc w:val="right"/>
              <w:rPr>
                <w:szCs w:val="16"/>
              </w:rPr>
            </w:pPr>
            <w:r w:rsidRPr="00261B7A">
              <w:rPr>
                <w:rFonts w:cs="Calibri"/>
                <w:color w:val="000000"/>
                <w:szCs w:val="16"/>
              </w:rPr>
              <w:t>220</w:t>
            </w:r>
          </w:p>
        </w:tc>
      </w:tr>
      <w:tr w:rsidR="0010265C" w:rsidRPr="00261B7A" w14:paraId="0493A1E4" w14:textId="77777777" w:rsidTr="00D013BA">
        <w:tc>
          <w:tcPr>
            <w:tcW w:w="1506" w:type="dxa"/>
            <w:tcBorders>
              <w:top w:val="single" w:sz="6" w:space="0" w:color="1B556B"/>
              <w:left w:val="nil"/>
              <w:bottom w:val="single" w:sz="6" w:space="0" w:color="1B556B"/>
              <w:right w:val="nil"/>
            </w:tcBorders>
            <w:shd w:val="clear" w:color="auto" w:fill="FFFFFF"/>
            <w:hideMark/>
          </w:tcPr>
          <w:p w14:paraId="5D95BA03" w14:textId="77777777" w:rsidR="0010265C" w:rsidRPr="00261B7A" w:rsidRDefault="0010265C" w:rsidP="00D41492">
            <w:pPr>
              <w:pStyle w:val="Tableboldblue"/>
              <w:jc w:val="right"/>
              <w:rPr>
                <w:rFonts w:ascii="Times New Roman" w:hAnsi="Times New Roman"/>
                <w:bCs/>
                <w:szCs w:val="16"/>
              </w:rPr>
            </w:pPr>
            <w:r w:rsidRPr="00261B7A">
              <w:rPr>
                <w:szCs w:val="16"/>
              </w:rPr>
              <w:t>Total </w:t>
            </w:r>
          </w:p>
        </w:tc>
        <w:tc>
          <w:tcPr>
            <w:tcW w:w="1046" w:type="dxa"/>
            <w:tcBorders>
              <w:top w:val="single" w:sz="6" w:space="0" w:color="1B556B"/>
              <w:left w:val="nil"/>
              <w:bottom w:val="single" w:sz="6" w:space="0" w:color="1B556B"/>
              <w:right w:val="nil"/>
            </w:tcBorders>
            <w:shd w:val="clear" w:color="auto" w:fill="auto"/>
            <w:vAlign w:val="center"/>
            <w:hideMark/>
          </w:tcPr>
          <w:p w14:paraId="540DEBE4" w14:textId="77777777" w:rsidR="0010265C" w:rsidRPr="00261B7A" w:rsidRDefault="0010265C" w:rsidP="00D41492">
            <w:pPr>
              <w:pStyle w:val="Tableboldblue"/>
              <w:jc w:val="right"/>
              <w:rPr>
                <w:szCs w:val="16"/>
              </w:rPr>
            </w:pPr>
            <w:r w:rsidRPr="00261B7A">
              <w:rPr>
                <w:rFonts w:cs="Calibri"/>
                <w:szCs w:val="16"/>
              </w:rPr>
              <w:t>33,163</w:t>
            </w:r>
          </w:p>
        </w:tc>
        <w:tc>
          <w:tcPr>
            <w:tcW w:w="958" w:type="dxa"/>
            <w:tcBorders>
              <w:top w:val="single" w:sz="6" w:space="0" w:color="1B556B"/>
              <w:left w:val="nil"/>
              <w:bottom w:val="single" w:sz="6" w:space="0" w:color="1B556B"/>
              <w:right w:val="nil"/>
            </w:tcBorders>
            <w:shd w:val="clear" w:color="auto" w:fill="auto"/>
            <w:vAlign w:val="center"/>
            <w:hideMark/>
          </w:tcPr>
          <w:p w14:paraId="351F6BC3" w14:textId="77777777" w:rsidR="0010265C" w:rsidRPr="00261B7A" w:rsidRDefault="0010265C" w:rsidP="00D41492">
            <w:pPr>
              <w:pStyle w:val="Tableboldblue"/>
              <w:jc w:val="right"/>
              <w:rPr>
                <w:szCs w:val="16"/>
              </w:rPr>
            </w:pPr>
            <w:r w:rsidRPr="00261B7A">
              <w:rPr>
                <w:rFonts w:cs="Calibri"/>
                <w:szCs w:val="16"/>
              </w:rPr>
              <w:t>9,009</w:t>
            </w:r>
          </w:p>
        </w:tc>
        <w:tc>
          <w:tcPr>
            <w:tcW w:w="707" w:type="dxa"/>
            <w:tcBorders>
              <w:top w:val="single" w:sz="6" w:space="0" w:color="1B556B"/>
              <w:left w:val="nil"/>
              <w:bottom w:val="single" w:sz="6" w:space="0" w:color="1B556B"/>
              <w:right w:val="nil"/>
            </w:tcBorders>
            <w:shd w:val="clear" w:color="auto" w:fill="auto"/>
            <w:vAlign w:val="center"/>
            <w:hideMark/>
          </w:tcPr>
          <w:p w14:paraId="1175DAD4" w14:textId="77777777" w:rsidR="0010265C" w:rsidRPr="00261B7A" w:rsidRDefault="0010265C" w:rsidP="00D41492">
            <w:pPr>
              <w:pStyle w:val="Tableboldblue"/>
              <w:jc w:val="right"/>
              <w:rPr>
                <w:szCs w:val="16"/>
              </w:rPr>
            </w:pPr>
            <w:r w:rsidRPr="00261B7A">
              <w:rPr>
                <w:rFonts w:cs="Calibri"/>
                <w:szCs w:val="16"/>
              </w:rPr>
              <w:t>700</w:t>
            </w:r>
          </w:p>
        </w:tc>
        <w:tc>
          <w:tcPr>
            <w:tcW w:w="707" w:type="dxa"/>
            <w:tcBorders>
              <w:top w:val="single" w:sz="6" w:space="0" w:color="1B556B"/>
              <w:left w:val="nil"/>
              <w:bottom w:val="single" w:sz="6" w:space="0" w:color="1B556B"/>
              <w:right w:val="nil"/>
            </w:tcBorders>
            <w:shd w:val="clear" w:color="auto" w:fill="auto"/>
            <w:vAlign w:val="center"/>
            <w:hideMark/>
          </w:tcPr>
          <w:p w14:paraId="7158B953" w14:textId="77777777" w:rsidR="0010265C" w:rsidRPr="00261B7A" w:rsidRDefault="0010265C" w:rsidP="00D41492">
            <w:pPr>
              <w:pStyle w:val="Tableboldblue"/>
              <w:jc w:val="right"/>
              <w:rPr>
                <w:szCs w:val="16"/>
              </w:rPr>
            </w:pPr>
            <w:r w:rsidRPr="00261B7A">
              <w:rPr>
                <w:rFonts w:cs="Calibri"/>
                <w:szCs w:val="16"/>
              </w:rPr>
              <w:t>1,060</w:t>
            </w:r>
          </w:p>
        </w:tc>
        <w:tc>
          <w:tcPr>
            <w:tcW w:w="707" w:type="dxa"/>
            <w:tcBorders>
              <w:top w:val="single" w:sz="6" w:space="0" w:color="1B556B"/>
              <w:left w:val="nil"/>
              <w:bottom w:val="single" w:sz="6" w:space="0" w:color="1B556B"/>
              <w:right w:val="nil"/>
            </w:tcBorders>
            <w:shd w:val="clear" w:color="auto" w:fill="auto"/>
            <w:vAlign w:val="center"/>
            <w:hideMark/>
          </w:tcPr>
          <w:p w14:paraId="73CA9BD6" w14:textId="77777777" w:rsidR="0010265C" w:rsidRPr="00261B7A" w:rsidRDefault="0010265C" w:rsidP="00D41492">
            <w:pPr>
              <w:pStyle w:val="Tableboldblue"/>
              <w:jc w:val="right"/>
              <w:rPr>
                <w:szCs w:val="16"/>
              </w:rPr>
            </w:pPr>
            <w:r w:rsidRPr="00261B7A">
              <w:rPr>
                <w:rFonts w:cs="Calibri"/>
                <w:szCs w:val="16"/>
              </w:rPr>
              <w:t>850</w:t>
            </w:r>
          </w:p>
        </w:tc>
        <w:tc>
          <w:tcPr>
            <w:tcW w:w="707" w:type="dxa"/>
            <w:tcBorders>
              <w:top w:val="single" w:sz="6" w:space="0" w:color="1B556B"/>
              <w:left w:val="nil"/>
              <w:bottom w:val="single" w:sz="6" w:space="0" w:color="1B556B"/>
              <w:right w:val="nil"/>
            </w:tcBorders>
            <w:shd w:val="clear" w:color="auto" w:fill="auto"/>
            <w:vAlign w:val="center"/>
            <w:hideMark/>
          </w:tcPr>
          <w:p w14:paraId="3EC95628" w14:textId="77777777" w:rsidR="0010265C" w:rsidRPr="00261B7A" w:rsidRDefault="0010265C" w:rsidP="00D41492">
            <w:pPr>
              <w:pStyle w:val="Tableboldblue"/>
              <w:jc w:val="right"/>
              <w:rPr>
                <w:szCs w:val="16"/>
              </w:rPr>
            </w:pPr>
            <w:r w:rsidRPr="00261B7A">
              <w:rPr>
                <w:rFonts w:cs="Calibri"/>
                <w:szCs w:val="16"/>
              </w:rPr>
              <w:t>591</w:t>
            </w:r>
          </w:p>
        </w:tc>
        <w:tc>
          <w:tcPr>
            <w:tcW w:w="707" w:type="dxa"/>
            <w:tcBorders>
              <w:top w:val="single" w:sz="6" w:space="0" w:color="1B556B"/>
              <w:left w:val="nil"/>
              <w:bottom w:val="single" w:sz="6" w:space="0" w:color="1B556B"/>
              <w:right w:val="nil"/>
            </w:tcBorders>
            <w:shd w:val="clear" w:color="auto" w:fill="auto"/>
            <w:vAlign w:val="center"/>
            <w:hideMark/>
          </w:tcPr>
          <w:p w14:paraId="4CFB0849" w14:textId="77777777" w:rsidR="0010265C" w:rsidRPr="00261B7A" w:rsidRDefault="0010265C" w:rsidP="00D41492">
            <w:pPr>
              <w:pStyle w:val="Tableboldblue"/>
              <w:jc w:val="right"/>
              <w:rPr>
                <w:szCs w:val="16"/>
              </w:rPr>
            </w:pPr>
            <w:r w:rsidRPr="00261B7A">
              <w:rPr>
                <w:rFonts w:cs="Calibri"/>
                <w:szCs w:val="16"/>
              </w:rPr>
              <w:t>557</w:t>
            </w:r>
          </w:p>
        </w:tc>
        <w:tc>
          <w:tcPr>
            <w:tcW w:w="753" w:type="dxa"/>
            <w:tcBorders>
              <w:top w:val="single" w:sz="6" w:space="0" w:color="1B556B"/>
              <w:left w:val="nil"/>
              <w:bottom w:val="single" w:sz="6" w:space="0" w:color="1B556B"/>
              <w:right w:val="nil"/>
            </w:tcBorders>
            <w:shd w:val="clear" w:color="auto" w:fill="auto"/>
            <w:vAlign w:val="center"/>
            <w:hideMark/>
          </w:tcPr>
          <w:p w14:paraId="5579A47F" w14:textId="77777777" w:rsidR="0010265C" w:rsidRPr="00261B7A" w:rsidRDefault="0010265C" w:rsidP="00D41492">
            <w:pPr>
              <w:pStyle w:val="Tableboldblue"/>
              <w:jc w:val="right"/>
              <w:rPr>
                <w:szCs w:val="16"/>
              </w:rPr>
            </w:pPr>
            <w:r w:rsidRPr="00261B7A">
              <w:rPr>
                <w:rFonts w:cs="Calibri"/>
                <w:szCs w:val="16"/>
              </w:rPr>
              <w:t>639</w:t>
            </w:r>
          </w:p>
        </w:tc>
        <w:tc>
          <w:tcPr>
            <w:tcW w:w="707" w:type="dxa"/>
            <w:tcBorders>
              <w:top w:val="single" w:sz="6" w:space="0" w:color="1B556B"/>
              <w:left w:val="nil"/>
              <w:bottom w:val="single" w:sz="6" w:space="0" w:color="1B556B"/>
              <w:right w:val="nil"/>
            </w:tcBorders>
            <w:shd w:val="clear" w:color="auto" w:fill="auto"/>
            <w:vAlign w:val="center"/>
            <w:hideMark/>
          </w:tcPr>
          <w:p w14:paraId="36A87D05" w14:textId="77777777" w:rsidR="0010265C" w:rsidRPr="00261B7A" w:rsidRDefault="0010265C" w:rsidP="00D41492">
            <w:pPr>
              <w:pStyle w:val="Tableboldblue"/>
              <w:jc w:val="right"/>
              <w:rPr>
                <w:szCs w:val="16"/>
              </w:rPr>
            </w:pPr>
            <w:r w:rsidRPr="00261B7A">
              <w:rPr>
                <w:rFonts w:cs="Calibri"/>
                <w:szCs w:val="16"/>
              </w:rPr>
              <w:t>596</w:t>
            </w:r>
          </w:p>
        </w:tc>
        <w:tc>
          <w:tcPr>
            <w:tcW w:w="707" w:type="dxa"/>
            <w:tcBorders>
              <w:top w:val="single" w:sz="6" w:space="0" w:color="1B556B"/>
              <w:left w:val="nil"/>
              <w:bottom w:val="single" w:sz="6" w:space="0" w:color="1B556B"/>
              <w:right w:val="nil"/>
            </w:tcBorders>
            <w:vAlign w:val="center"/>
          </w:tcPr>
          <w:p w14:paraId="78D0FD55" w14:textId="77777777" w:rsidR="0010265C" w:rsidRPr="00261B7A" w:rsidRDefault="0010265C" w:rsidP="00D41492">
            <w:pPr>
              <w:pStyle w:val="Tableboldblue"/>
              <w:jc w:val="right"/>
              <w:rPr>
                <w:szCs w:val="16"/>
              </w:rPr>
            </w:pPr>
            <w:r w:rsidRPr="00261B7A">
              <w:rPr>
                <w:rFonts w:cs="Calibri"/>
                <w:szCs w:val="16"/>
              </w:rPr>
              <w:t>596</w:t>
            </w:r>
          </w:p>
        </w:tc>
      </w:tr>
    </w:tbl>
    <w:p w14:paraId="2EB64C9F" w14:textId="77777777" w:rsidR="0010265C" w:rsidRPr="00261B7A" w:rsidRDefault="0010265C" w:rsidP="0010265C">
      <w:pPr>
        <w:pStyle w:val="Noteundertable"/>
        <w:rPr>
          <w:rFonts w:ascii="Yu Gothic Light" w:hAnsi="Yu Gothic Light" w:cs="Yu Gothic Light"/>
        </w:rPr>
      </w:pPr>
      <w:r w:rsidRPr="00261B7A">
        <w:rPr>
          <w:b/>
        </w:rPr>
        <w:t>Note</w:t>
      </w:r>
      <w:r w:rsidRPr="00261B7A">
        <w:t>:</w:t>
      </w:r>
      <w:r w:rsidRPr="00261B7A">
        <w:tab/>
        <w:t>P = provisional figure (figures for 2020–21 are provisional). Columns may not total due to rounding. </w:t>
      </w:r>
    </w:p>
    <w:p w14:paraId="22A62A5C" w14:textId="57A1F93A" w:rsidR="0010265C" w:rsidRPr="00261B7A" w:rsidRDefault="0010265C" w:rsidP="0010265C">
      <w:pPr>
        <w:pStyle w:val="BodyText"/>
      </w:pPr>
      <w:r w:rsidRPr="00261B7A">
        <w:t>Estimates of biomass burning emissions associated with deforestation are provided in section</w:t>
      </w:r>
      <w:r w:rsidR="00123857" w:rsidRPr="00261B7A">
        <w:t> </w:t>
      </w:r>
      <w:r w:rsidRPr="00261B7A">
        <w:t>6.10.8.</w:t>
      </w:r>
    </w:p>
    <w:p w14:paraId="5BB3C08B" w14:textId="77777777" w:rsidR="0010265C" w:rsidRPr="00261B7A" w:rsidRDefault="0010265C" w:rsidP="0010265C">
      <w:pPr>
        <w:pStyle w:val="BodyText"/>
      </w:pPr>
      <w:r w:rsidRPr="00261B7A">
        <w:t xml:space="preserve">Deforestation emissions are reported in the relevant </w:t>
      </w:r>
      <w:r w:rsidRPr="00261B7A">
        <w:rPr>
          <w:i/>
        </w:rPr>
        <w:t>Land converted to</w:t>
      </w:r>
      <w:r w:rsidRPr="00261B7A">
        <w:t xml:space="preserve"> category, as are all emissions from land-use change. </w:t>
      </w:r>
    </w:p>
    <w:p w14:paraId="19EE8C62" w14:textId="77777777" w:rsidR="0010265C" w:rsidRPr="00261B7A" w:rsidRDefault="0010265C" w:rsidP="0010265C">
      <w:pPr>
        <w:pStyle w:val="Heading5"/>
      </w:pPr>
      <w:bookmarkStart w:id="1705" w:name="_Hlk73698248"/>
      <w:r w:rsidRPr="00261B7A">
        <w:t>National Forest Inventory</w:t>
      </w:r>
    </w:p>
    <w:bookmarkEnd w:id="1705"/>
    <w:p w14:paraId="6F8C570D" w14:textId="25B97A67" w:rsidR="0010265C" w:rsidRPr="00261B7A" w:rsidRDefault="0010265C" w:rsidP="0010265C">
      <w:pPr>
        <w:pStyle w:val="BodyText"/>
      </w:pPr>
      <w:r w:rsidRPr="00261B7A">
        <w:t>New Zealand has established a sampling framework for forest inventory purposes based on an</w:t>
      </w:r>
      <w:r w:rsidR="007E37E3" w:rsidRPr="00261B7A">
        <w:t> </w:t>
      </w:r>
      <w:r w:rsidRPr="00261B7A">
        <w:t xml:space="preserve">8-kilometre national grid system (8 kilometres north–south by 8 kilometres east–west). The grid has a randomly selected origin and provides an unbiased framework for establishing plots for field and/or Light Detection and Ranging (LiDAR) measurements. The network is subdivided into a 4-kilometre grid for measurement of post-1989 forest. Forest monitoring plots are established and measured where a grid point falls in the land use to be sampled. Figures 6.3.5 and 6.3.6 show the distribution of the pre-1990 natural and planted forest, post-1989 natural and planted forest, and the carbon monitoring plots throughout New Zealand. A further description of the plot network can be found in annex A3.2.5 ‘National forest inventory’. </w:t>
      </w:r>
    </w:p>
    <w:p w14:paraId="75F48A8D" w14:textId="77777777" w:rsidR="0010265C" w:rsidRPr="00261B7A" w:rsidRDefault="0010265C" w:rsidP="0010265C">
      <w:pPr>
        <w:pStyle w:val="Figure"/>
      </w:pPr>
      <w:bookmarkStart w:id="1706" w:name="_Toc280630494"/>
      <w:bookmarkStart w:id="1707" w:name="_Toc318362753"/>
      <w:bookmarkStart w:id="1708" w:name="_Toc342470833"/>
      <w:bookmarkStart w:id="1709" w:name="_Toc352505161"/>
      <w:bookmarkStart w:id="1710" w:name="_Toc373395721"/>
      <w:bookmarkStart w:id="1711" w:name="_Toc378853344"/>
      <w:bookmarkStart w:id="1712" w:name="_Toc405448094"/>
      <w:bookmarkStart w:id="1713" w:name="_Toc414531626"/>
      <w:bookmarkStart w:id="1714" w:name="_Toc474914650"/>
      <w:bookmarkStart w:id="1715" w:name="_Toc481752032"/>
      <w:bookmarkStart w:id="1716" w:name="_Toc522010710"/>
      <w:bookmarkStart w:id="1717" w:name="_Toc5269712"/>
      <w:bookmarkStart w:id="1718" w:name="_Toc33529485"/>
      <w:bookmarkStart w:id="1719" w:name="_Toc36292815"/>
      <w:bookmarkStart w:id="1720" w:name="_Toc131591574"/>
      <w:r w:rsidRPr="00261B7A">
        <w:t>Figure 6.3.5</w:t>
      </w:r>
      <w:r w:rsidRPr="00261B7A">
        <w:tab/>
        <w:t>Location of New Zealand’s pre-1990 forest carbon monitoring plots</w:t>
      </w:r>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p>
    <w:p w14:paraId="417434BD" w14:textId="77777777" w:rsidR="0010265C" w:rsidRPr="00261B7A" w:rsidRDefault="0010265C" w:rsidP="0010265C">
      <w:pPr>
        <w:pStyle w:val="BodyText"/>
      </w:pPr>
      <w:r w:rsidRPr="00261B7A">
        <w:rPr>
          <w:noProof/>
        </w:rPr>
        <w:drawing>
          <wp:inline distT="0" distB="0" distL="0" distR="0" wp14:anchorId="7EA5470F" wp14:editId="25A3F6DF">
            <wp:extent cx="5105400" cy="6638925"/>
            <wp:effectExtent l="0" t="0" r="0" b="0"/>
            <wp:docPr id="120" name="Picture 1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ap&#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105400" cy="6638925"/>
                    </a:xfrm>
                    <a:prstGeom prst="rect">
                      <a:avLst/>
                    </a:prstGeom>
                    <a:noFill/>
                    <a:ln>
                      <a:noFill/>
                    </a:ln>
                  </pic:spPr>
                </pic:pic>
              </a:graphicData>
            </a:graphic>
          </wp:inline>
        </w:drawing>
      </w:r>
    </w:p>
    <w:p w14:paraId="221817B2" w14:textId="77777777" w:rsidR="0010265C" w:rsidRPr="00261B7A" w:rsidRDefault="0010265C" w:rsidP="0010265C">
      <w:pPr>
        <w:pStyle w:val="Figure"/>
        <w:spacing w:after="0"/>
      </w:pPr>
      <w:bookmarkStart w:id="1721" w:name="_Toc33529486"/>
      <w:bookmarkStart w:id="1722" w:name="_Toc36292816"/>
      <w:bookmarkStart w:id="1723" w:name="_Toc131591575"/>
      <w:bookmarkStart w:id="1724" w:name="_Toc255466332"/>
      <w:bookmarkStart w:id="1725" w:name="_Toc261513139"/>
      <w:bookmarkStart w:id="1726" w:name="_Toc261513752"/>
      <w:bookmarkStart w:id="1727" w:name="_Toc280630248"/>
      <w:r w:rsidRPr="00261B7A">
        <w:t>Figure 6.3.6</w:t>
      </w:r>
      <w:r w:rsidRPr="00261B7A">
        <w:tab/>
        <w:t>Location of New Zealand’s post-1989 forest plots</w:t>
      </w:r>
      <w:bookmarkEnd w:id="1721"/>
      <w:bookmarkEnd w:id="1722"/>
      <w:bookmarkEnd w:id="1723"/>
    </w:p>
    <w:p w14:paraId="1151C3C2" w14:textId="77777777" w:rsidR="0010265C" w:rsidRPr="00261B7A" w:rsidRDefault="0010265C" w:rsidP="0010265C">
      <w:pPr>
        <w:pStyle w:val="BodyText"/>
      </w:pPr>
      <w:r w:rsidRPr="00261B7A">
        <w:rPr>
          <w:noProof/>
        </w:rPr>
        <w:drawing>
          <wp:inline distT="0" distB="0" distL="0" distR="0" wp14:anchorId="1E429C8F" wp14:editId="7C7CE1BA">
            <wp:extent cx="5038725" cy="6486525"/>
            <wp:effectExtent l="0" t="0" r="0" b="0"/>
            <wp:docPr id="121" name="Picture 1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Map&#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038725" cy="6486525"/>
                    </a:xfrm>
                    <a:prstGeom prst="rect">
                      <a:avLst/>
                    </a:prstGeom>
                    <a:noFill/>
                    <a:ln>
                      <a:noFill/>
                    </a:ln>
                  </pic:spPr>
                </pic:pic>
              </a:graphicData>
            </a:graphic>
          </wp:inline>
        </w:drawing>
      </w:r>
    </w:p>
    <w:p w14:paraId="08CFB6E2" w14:textId="77777777" w:rsidR="0010265C" w:rsidRPr="00261B7A" w:rsidRDefault="0010265C" w:rsidP="0010265C">
      <w:pPr>
        <w:pStyle w:val="Heading4"/>
      </w:pPr>
      <w:bookmarkStart w:id="1728" w:name="_Toc255466331"/>
      <w:bookmarkStart w:id="1729" w:name="_Toc261513138"/>
      <w:bookmarkStart w:id="1730" w:name="_Toc261513751"/>
      <w:bookmarkStart w:id="1731" w:name="_Toc280630247"/>
      <w:bookmarkEnd w:id="1724"/>
      <w:bookmarkEnd w:id="1725"/>
      <w:bookmarkEnd w:id="1726"/>
      <w:bookmarkEnd w:id="1727"/>
      <w:r w:rsidRPr="00261B7A">
        <w:t>Forest land remaining forest land</w:t>
      </w:r>
      <w:bookmarkEnd w:id="1728"/>
      <w:bookmarkEnd w:id="1729"/>
      <w:bookmarkEnd w:id="1730"/>
      <w:bookmarkEnd w:id="1731"/>
      <w:r w:rsidRPr="00261B7A">
        <w:t xml:space="preserve"> (CRF 4.A.1)</w:t>
      </w:r>
    </w:p>
    <w:p w14:paraId="23A7A191" w14:textId="77777777" w:rsidR="0010265C" w:rsidRPr="00261B7A" w:rsidRDefault="0010265C" w:rsidP="0010265C">
      <w:pPr>
        <w:pStyle w:val="Heading5"/>
        <w:spacing w:before="120"/>
      </w:pPr>
      <w:r w:rsidRPr="00261B7A">
        <w:t>Living biomass and dead organic matter</w:t>
      </w:r>
    </w:p>
    <w:p w14:paraId="70EE0A9E" w14:textId="77777777" w:rsidR="0010265C" w:rsidRPr="00261B7A" w:rsidRDefault="0010265C" w:rsidP="0010265C">
      <w:pPr>
        <w:pStyle w:val="BodyText"/>
      </w:pPr>
      <w:r w:rsidRPr="00261B7A">
        <w:t>Emissions and removals for the living biomass and dead organic matter pools have been calculated using Tier 2 and 3 methods. At each forest plot, data are collected to calculate the volumes of trees, shrubs and dead organic matter present. These measurements are then used to estimate the carbon stocks for the biomass pools of:</w:t>
      </w:r>
    </w:p>
    <w:p w14:paraId="771A5285" w14:textId="77777777" w:rsidR="0010265C" w:rsidRPr="00261B7A" w:rsidRDefault="0010265C" w:rsidP="00294EC5">
      <w:pPr>
        <w:pStyle w:val="Bullet"/>
        <w:numPr>
          <w:ilvl w:val="0"/>
          <w:numId w:val="25"/>
        </w:numPr>
        <w:ind w:left="397" w:hanging="397"/>
      </w:pPr>
      <w:r w:rsidRPr="00261B7A">
        <w:t>living biomass (comprising above-ground biomass and below-ground biomass)</w:t>
      </w:r>
    </w:p>
    <w:p w14:paraId="47DCB3B9" w14:textId="77777777" w:rsidR="0010265C" w:rsidRPr="00261B7A" w:rsidRDefault="0010265C" w:rsidP="00294EC5">
      <w:pPr>
        <w:pStyle w:val="Bullet"/>
        <w:numPr>
          <w:ilvl w:val="0"/>
          <w:numId w:val="25"/>
        </w:numPr>
        <w:ind w:left="397" w:hanging="397"/>
      </w:pPr>
      <w:r w:rsidRPr="00261B7A">
        <w:t>dead organic matter (comprising dead wood and litter).</w:t>
      </w:r>
    </w:p>
    <w:p w14:paraId="78E7A056" w14:textId="77777777" w:rsidR="0010265C" w:rsidRPr="00261B7A" w:rsidRDefault="0010265C" w:rsidP="0010265C">
      <w:pPr>
        <w:pStyle w:val="BodyText"/>
      </w:pPr>
      <w:r w:rsidRPr="00261B7A">
        <w:t xml:space="preserve">The method used to calculate the carbon stock in each biomass pool from the information collected at each plot, for each forest classification, is summarised in table 6.3.8. </w:t>
      </w:r>
    </w:p>
    <w:p w14:paraId="68FF052A" w14:textId="77777777" w:rsidR="0010265C" w:rsidRPr="00261B7A" w:rsidRDefault="0010265C" w:rsidP="0010265C">
      <w:pPr>
        <w:pStyle w:val="BodyText"/>
      </w:pPr>
      <w:r w:rsidRPr="00261B7A">
        <w:t>Carbon stocks in natural forest are estimated directly from the inventory plots. Further detail on methods can be found in annex A3.2.5 ‘National forest inventory’.</w:t>
      </w:r>
    </w:p>
    <w:p w14:paraId="1A761B44" w14:textId="77777777" w:rsidR="0010265C" w:rsidRPr="00261B7A" w:rsidRDefault="0010265C" w:rsidP="0010265C">
      <w:pPr>
        <w:pStyle w:val="BodyText"/>
        <w:rPr>
          <w:rFonts w:eastAsia="Segoe UI" w:hAnsi="Segoe UI" w:cs="Segoe UI"/>
        </w:rPr>
      </w:pPr>
      <w:r w:rsidRPr="00261B7A">
        <w:t xml:space="preserve">The carbon stocks for pre-1990 and post-1989 planted forest are calculated from yield tables </w:t>
      </w:r>
      <w:r w:rsidRPr="00261B7A">
        <w:rPr>
          <w:spacing w:val="-2"/>
        </w:rPr>
        <w:t xml:space="preserve">derived from the inventory plots, </w:t>
      </w:r>
      <w:r w:rsidRPr="00261B7A">
        <w:rPr>
          <w:rFonts w:eastAsia="Segoe UI" w:cs="Segoe UI"/>
          <w:spacing w:val="-2"/>
        </w:rPr>
        <w:t>which are then applied to an estimated age class distribution</w:t>
      </w:r>
      <w:r w:rsidRPr="00261B7A">
        <w:rPr>
          <w:rFonts w:eastAsia="Segoe UI" w:hAnsi="Segoe UI" w:cs="Segoe UI"/>
        </w:rPr>
        <w:t>.</w:t>
      </w:r>
      <w:r w:rsidRPr="00261B7A">
        <w:t xml:space="preserve"> </w:t>
      </w:r>
      <w:r w:rsidRPr="00261B7A">
        <w:rPr>
          <w:rFonts w:eastAsia="Segoe UI" w:hAnsi="Segoe UI" w:cs="Segoe UI"/>
        </w:rPr>
        <w:t xml:space="preserve">The yield tables are based on plots measured in 2020 combined with all other plots measured since 2007 which are created using interpolation for multiple measurements. </w:t>
      </w:r>
    </w:p>
    <w:p w14:paraId="4000AE9C" w14:textId="77777777" w:rsidR="0010265C" w:rsidRPr="00261B7A" w:rsidRDefault="0010265C" w:rsidP="0010265C">
      <w:pPr>
        <w:pStyle w:val="BodyText"/>
        <w:rPr>
          <w:rFonts w:eastAsia="Segoe UI" w:hAnsi="Segoe UI" w:cs="Segoe UI"/>
        </w:rPr>
      </w:pPr>
      <w:r w:rsidRPr="00261B7A">
        <w:rPr>
          <w:rFonts w:eastAsia="Segoe UI" w:hAnsi="Segoe UI" w:cs="Segoe UI"/>
        </w:rPr>
        <w:t xml:space="preserve">A single yield table is applied to the post-1989 forest estate and two period-specific yield tables are applied to the pre-1990 forest estate based on plant date: pre-1990 forest planted before 1990 and pre-1990 forest planted from 1990 onwards. </w:t>
      </w:r>
    </w:p>
    <w:p w14:paraId="75376545" w14:textId="77777777" w:rsidR="0010265C" w:rsidRPr="00261B7A" w:rsidRDefault="0010265C" w:rsidP="0010265C">
      <w:pPr>
        <w:pStyle w:val="BodyText"/>
        <w:spacing w:before="100" w:after="100"/>
      </w:pPr>
      <w:r w:rsidRPr="00261B7A">
        <w:t xml:space="preserve">The use of period-specific yield tables allows for a more accurate estimate of carbon stock gains and losses from planted forests through time. As increased yields are detected in more recently established plots due to improved management or genetic improvements, these will be reflected in the more recent yield table. In contrast, when using a single-period yield table for all years, the 1990 base year estimate can keep shifting due to the influence of more recently established plots. </w:t>
      </w:r>
    </w:p>
    <w:p w14:paraId="6934F6A9" w14:textId="77777777" w:rsidR="0010265C" w:rsidRPr="00261B7A" w:rsidRDefault="0010265C" w:rsidP="0010265C">
      <w:pPr>
        <w:pStyle w:val="BodyText"/>
      </w:pPr>
      <w:r w:rsidRPr="00261B7A">
        <w:t xml:space="preserve">Where there has been a land-use change between natural forest and planted forest, the associated carbon changes are reported under </w:t>
      </w:r>
      <w:r w:rsidRPr="00261B7A">
        <w:rPr>
          <w:i/>
        </w:rPr>
        <w:t>Forest land remaining forest land</w:t>
      </w:r>
      <w:r w:rsidRPr="00261B7A">
        <w:rPr>
          <w:iCs/>
        </w:rPr>
        <w:t>,</w:t>
      </w:r>
      <w:r w:rsidRPr="00261B7A">
        <w:rPr>
          <w:i/>
        </w:rPr>
        <w:t xml:space="preserve"> </w:t>
      </w:r>
      <w:r w:rsidRPr="00261B7A">
        <w:t xml:space="preserve">provided the forest has already been established for 20 years. </w:t>
      </w:r>
    </w:p>
    <w:p w14:paraId="2FE78F22" w14:textId="77777777" w:rsidR="0010265C" w:rsidRPr="00261B7A" w:rsidRDefault="0010265C" w:rsidP="0010265C">
      <w:pPr>
        <w:pStyle w:val="BodyText"/>
      </w:pPr>
      <w:r w:rsidRPr="00261B7A">
        <w:t xml:space="preserve">Where pre-1990 forest has undergone a deforestation event, changed to a different land use, such as </w:t>
      </w:r>
      <w:r w:rsidRPr="00261B7A">
        <w:rPr>
          <w:i/>
          <w:iCs/>
        </w:rPr>
        <w:t>Grasslands</w:t>
      </w:r>
      <w:r w:rsidRPr="00261B7A">
        <w:t xml:space="preserve">, and then subsequently undergone another land-use change back to </w:t>
      </w:r>
      <w:r w:rsidRPr="00261B7A">
        <w:rPr>
          <w:i/>
          <w:iCs/>
        </w:rPr>
        <w:t>Forest land</w:t>
      </w:r>
      <w:r w:rsidRPr="00261B7A">
        <w:t xml:space="preserve">, the land use will be classified as pre-1990 forest. This is in line with the category definitions outlined in table 6.2.3. </w:t>
      </w:r>
    </w:p>
    <w:p w14:paraId="616AC7BE" w14:textId="77777777" w:rsidR="0010265C" w:rsidRPr="00261B7A" w:rsidRDefault="0010265C" w:rsidP="0010265C">
      <w:pPr>
        <w:pStyle w:val="BodyText"/>
      </w:pPr>
      <w:r w:rsidRPr="00261B7A">
        <w:t xml:space="preserve">Detailed methodology on the plot network, sampling methods and yield table derivation, as well as validation of the yield tables with the measured plot data, can be found in annexes A3.2.5 ‘National forest inventory’ and A3.2.5 ‘Forest land model validations’. </w:t>
      </w:r>
    </w:p>
    <w:p w14:paraId="587DAD4C" w14:textId="77777777" w:rsidR="0010265C" w:rsidRPr="00261B7A" w:rsidRDefault="0010265C" w:rsidP="00E24718">
      <w:pPr>
        <w:pStyle w:val="Table"/>
      </w:pPr>
      <w:bookmarkStart w:id="1732" w:name="_Toc280630456"/>
      <w:bookmarkStart w:id="1733" w:name="_Toc310423408"/>
      <w:bookmarkStart w:id="1734" w:name="_Toc318362701"/>
      <w:bookmarkStart w:id="1735" w:name="_Toc342470763"/>
      <w:bookmarkStart w:id="1736" w:name="_Toc352505003"/>
      <w:bookmarkStart w:id="1737" w:name="_Toc373395728"/>
      <w:bookmarkStart w:id="1738" w:name="_Toc378853294"/>
      <w:bookmarkStart w:id="1739" w:name="_Toc391024092"/>
      <w:bookmarkStart w:id="1740" w:name="_Toc410028835"/>
      <w:bookmarkStart w:id="1741" w:name="_Toc414531463"/>
      <w:bookmarkStart w:id="1742" w:name="_Toc443645376"/>
      <w:bookmarkStart w:id="1743" w:name="_Toc474914595"/>
      <w:bookmarkStart w:id="1744" w:name="_Toc481751559"/>
      <w:bookmarkStart w:id="1745" w:name="_Toc522010616"/>
      <w:bookmarkStart w:id="1746" w:name="_Toc5269521"/>
      <w:bookmarkStart w:id="1747" w:name="_Toc131591398"/>
      <w:r w:rsidRPr="00261B7A">
        <w:t>Table 6.3.8</w:t>
      </w:r>
      <w:r w:rsidRPr="00261B7A">
        <w:tab/>
        <w:t>Summary of methods used to calculate New Zealand’s forest biomass</w:t>
      </w:r>
      <w:r w:rsidRPr="00261B7A">
        <w:br/>
        <w:t>carbon stock from plot data</w:t>
      </w:r>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p>
    <w:tbl>
      <w:tblPr>
        <w:tblW w:w="8505" w:type="dxa"/>
        <w:tblBorders>
          <w:top w:val="single" w:sz="4" w:space="0" w:color="1B556B"/>
          <w:bottom w:val="single" w:sz="4" w:space="0" w:color="1B556B"/>
          <w:right w:val="single" w:sz="4" w:space="0" w:color="1B556B"/>
          <w:insideH w:val="single" w:sz="4" w:space="0" w:color="1B556B"/>
          <w:insideV w:val="single" w:sz="4" w:space="0" w:color="1B556B"/>
        </w:tblBorders>
        <w:tblLayout w:type="fixed"/>
        <w:tblCellMar>
          <w:left w:w="85" w:type="dxa"/>
          <w:right w:w="85" w:type="dxa"/>
        </w:tblCellMar>
        <w:tblLook w:val="04A0" w:firstRow="1" w:lastRow="0" w:firstColumn="1" w:lastColumn="0" w:noHBand="0" w:noVBand="1"/>
      </w:tblPr>
      <w:tblGrid>
        <w:gridCol w:w="1419"/>
        <w:gridCol w:w="1276"/>
        <w:gridCol w:w="1716"/>
        <w:gridCol w:w="2369"/>
        <w:gridCol w:w="1725"/>
      </w:tblGrid>
      <w:tr w:rsidR="0010265C" w:rsidRPr="00261B7A" w14:paraId="35153D54" w14:textId="77777777" w:rsidTr="00D013BA">
        <w:trPr>
          <w:tblHeader/>
        </w:trPr>
        <w:tc>
          <w:tcPr>
            <w:tcW w:w="834" w:type="pct"/>
            <w:tcBorders>
              <w:right w:val="nil"/>
            </w:tcBorders>
            <w:shd w:val="clear" w:color="auto" w:fill="1B556B"/>
          </w:tcPr>
          <w:p w14:paraId="686E1E50" w14:textId="77777777" w:rsidR="0010265C" w:rsidRPr="00261B7A" w:rsidRDefault="0010265C" w:rsidP="00D41492">
            <w:pPr>
              <w:pStyle w:val="TableTextBold"/>
              <w:rPr>
                <w:noProof w:val="0"/>
                <w:color w:val="FFFFFF"/>
              </w:rPr>
            </w:pPr>
          </w:p>
        </w:tc>
        <w:tc>
          <w:tcPr>
            <w:tcW w:w="1759" w:type="pct"/>
            <w:gridSpan w:val="2"/>
            <w:tcBorders>
              <w:left w:val="nil"/>
              <w:bottom w:val="single" w:sz="4" w:space="0" w:color="1B556B"/>
              <w:right w:val="nil"/>
            </w:tcBorders>
            <w:shd w:val="clear" w:color="auto" w:fill="1B556B"/>
          </w:tcPr>
          <w:p w14:paraId="638DDDDE" w14:textId="77777777" w:rsidR="0010265C" w:rsidRPr="00261B7A" w:rsidRDefault="0010265C" w:rsidP="00D41492">
            <w:pPr>
              <w:pStyle w:val="TableTextBold"/>
              <w:rPr>
                <w:noProof w:val="0"/>
                <w:color w:val="FFFFFF"/>
              </w:rPr>
            </w:pPr>
            <w:r w:rsidRPr="00261B7A">
              <w:rPr>
                <w:noProof w:val="0"/>
                <w:color w:val="FFFFFF"/>
              </w:rPr>
              <w:t>Pool</w:t>
            </w:r>
          </w:p>
        </w:tc>
        <w:tc>
          <w:tcPr>
            <w:tcW w:w="1393" w:type="pct"/>
            <w:tcBorders>
              <w:left w:val="nil"/>
              <w:bottom w:val="single" w:sz="4" w:space="0" w:color="1B556B"/>
              <w:right w:val="nil"/>
            </w:tcBorders>
            <w:shd w:val="clear" w:color="auto" w:fill="1B556B"/>
          </w:tcPr>
          <w:p w14:paraId="548582AF" w14:textId="77777777" w:rsidR="0010265C" w:rsidRPr="00261B7A" w:rsidRDefault="0010265C" w:rsidP="00D41492">
            <w:pPr>
              <w:pStyle w:val="TableTextBold"/>
              <w:rPr>
                <w:noProof w:val="0"/>
                <w:color w:val="FFFFFF"/>
              </w:rPr>
            </w:pPr>
            <w:r w:rsidRPr="00261B7A">
              <w:rPr>
                <w:noProof w:val="0"/>
                <w:color w:val="FFFFFF"/>
              </w:rPr>
              <w:t>Method</w:t>
            </w:r>
          </w:p>
        </w:tc>
        <w:tc>
          <w:tcPr>
            <w:tcW w:w="1014" w:type="pct"/>
            <w:tcBorders>
              <w:left w:val="nil"/>
              <w:bottom w:val="single" w:sz="4" w:space="0" w:color="1B556B"/>
              <w:right w:val="nil"/>
            </w:tcBorders>
            <w:shd w:val="clear" w:color="auto" w:fill="1B556B"/>
          </w:tcPr>
          <w:p w14:paraId="20F36924" w14:textId="77777777" w:rsidR="0010265C" w:rsidRPr="00261B7A" w:rsidRDefault="0010265C" w:rsidP="00D41492">
            <w:pPr>
              <w:pStyle w:val="TableTextBold"/>
              <w:rPr>
                <w:noProof w:val="0"/>
                <w:color w:val="FFFFFF"/>
              </w:rPr>
            </w:pPr>
            <w:r w:rsidRPr="00261B7A">
              <w:rPr>
                <w:noProof w:val="0"/>
                <w:color w:val="FFFFFF"/>
              </w:rPr>
              <w:t>Source</w:t>
            </w:r>
          </w:p>
        </w:tc>
      </w:tr>
      <w:tr w:rsidR="0010265C" w:rsidRPr="00261B7A" w14:paraId="4E712AA6" w14:textId="77777777" w:rsidTr="00D013BA">
        <w:tc>
          <w:tcPr>
            <w:tcW w:w="834" w:type="pct"/>
            <w:vMerge w:val="restart"/>
            <w:tcBorders>
              <w:right w:val="nil"/>
            </w:tcBorders>
          </w:tcPr>
          <w:p w14:paraId="0ADEA2A6" w14:textId="77777777" w:rsidR="0010265C" w:rsidRPr="00261B7A" w:rsidRDefault="0010265C" w:rsidP="00D41492">
            <w:pPr>
              <w:pStyle w:val="TableText"/>
              <w:rPr>
                <w:b/>
              </w:rPr>
            </w:pPr>
            <w:r w:rsidRPr="00261B7A">
              <w:rPr>
                <w:b/>
              </w:rPr>
              <w:t>Pre-1990 natural forest</w:t>
            </w:r>
          </w:p>
        </w:tc>
        <w:tc>
          <w:tcPr>
            <w:tcW w:w="750" w:type="pct"/>
            <w:vMerge w:val="restart"/>
            <w:tcBorders>
              <w:left w:val="nil"/>
              <w:right w:val="nil"/>
            </w:tcBorders>
          </w:tcPr>
          <w:p w14:paraId="1A1279B2" w14:textId="77777777" w:rsidR="0010265C" w:rsidRPr="00261B7A" w:rsidRDefault="0010265C" w:rsidP="00D41492">
            <w:pPr>
              <w:pStyle w:val="TableText"/>
              <w:rPr>
                <w:b/>
              </w:rPr>
            </w:pPr>
            <w:r w:rsidRPr="00261B7A">
              <w:rPr>
                <w:b/>
              </w:rPr>
              <w:t>Living biomass</w:t>
            </w:r>
          </w:p>
        </w:tc>
        <w:tc>
          <w:tcPr>
            <w:tcW w:w="1009" w:type="pct"/>
            <w:tcBorders>
              <w:left w:val="nil"/>
              <w:bottom w:val="nil"/>
              <w:right w:val="nil"/>
            </w:tcBorders>
          </w:tcPr>
          <w:p w14:paraId="51D36EC4" w14:textId="77777777" w:rsidR="0010265C" w:rsidRPr="00261B7A" w:rsidRDefault="0010265C" w:rsidP="00D41492">
            <w:pPr>
              <w:pStyle w:val="TableText"/>
            </w:pPr>
            <w:r w:rsidRPr="00261B7A">
              <w:t>Above-ground biomass</w:t>
            </w:r>
          </w:p>
        </w:tc>
        <w:tc>
          <w:tcPr>
            <w:tcW w:w="1393" w:type="pct"/>
            <w:tcBorders>
              <w:left w:val="nil"/>
              <w:bottom w:val="nil"/>
              <w:right w:val="nil"/>
            </w:tcBorders>
          </w:tcPr>
          <w:p w14:paraId="374D2B85" w14:textId="77777777" w:rsidR="0010265C" w:rsidRPr="00261B7A" w:rsidRDefault="0010265C" w:rsidP="00D41492">
            <w:pPr>
              <w:pStyle w:val="TableText"/>
            </w:pPr>
            <w:r w:rsidRPr="00261B7A">
              <w:t>Plot measurements; allometric equations</w:t>
            </w:r>
          </w:p>
        </w:tc>
        <w:tc>
          <w:tcPr>
            <w:tcW w:w="1014" w:type="pct"/>
            <w:tcBorders>
              <w:left w:val="nil"/>
              <w:bottom w:val="nil"/>
              <w:right w:val="nil"/>
            </w:tcBorders>
          </w:tcPr>
          <w:p w14:paraId="268B70C0" w14:textId="77777777" w:rsidR="0010265C" w:rsidRPr="00261B7A" w:rsidRDefault="0010265C" w:rsidP="00D41492">
            <w:pPr>
              <w:pStyle w:val="TableText"/>
            </w:pPr>
            <w:r w:rsidRPr="00261B7A">
              <w:t>Paul et al. (2021)</w:t>
            </w:r>
          </w:p>
        </w:tc>
      </w:tr>
      <w:tr w:rsidR="0010265C" w:rsidRPr="00261B7A" w14:paraId="0C0B71D9" w14:textId="77777777" w:rsidTr="00D013BA">
        <w:tc>
          <w:tcPr>
            <w:tcW w:w="834" w:type="pct"/>
            <w:vMerge/>
            <w:tcBorders>
              <w:right w:val="nil"/>
            </w:tcBorders>
          </w:tcPr>
          <w:p w14:paraId="667E0548" w14:textId="77777777" w:rsidR="0010265C" w:rsidRPr="00261B7A" w:rsidRDefault="0010265C" w:rsidP="00D41492">
            <w:pPr>
              <w:pStyle w:val="TableText"/>
              <w:rPr>
                <w:b/>
              </w:rPr>
            </w:pPr>
          </w:p>
        </w:tc>
        <w:tc>
          <w:tcPr>
            <w:tcW w:w="750" w:type="pct"/>
            <w:vMerge/>
            <w:tcBorders>
              <w:left w:val="nil"/>
              <w:right w:val="nil"/>
            </w:tcBorders>
          </w:tcPr>
          <w:p w14:paraId="0B9D9957" w14:textId="77777777" w:rsidR="0010265C" w:rsidRPr="00261B7A" w:rsidRDefault="0010265C" w:rsidP="00D41492">
            <w:pPr>
              <w:pStyle w:val="TableText"/>
              <w:rPr>
                <w:b/>
              </w:rPr>
            </w:pPr>
          </w:p>
        </w:tc>
        <w:tc>
          <w:tcPr>
            <w:tcW w:w="1009" w:type="pct"/>
            <w:tcBorders>
              <w:top w:val="nil"/>
              <w:left w:val="nil"/>
              <w:right w:val="nil"/>
            </w:tcBorders>
          </w:tcPr>
          <w:p w14:paraId="38104D96" w14:textId="77777777" w:rsidR="0010265C" w:rsidRPr="00261B7A" w:rsidRDefault="0010265C" w:rsidP="00D013BA">
            <w:pPr>
              <w:pStyle w:val="TableText"/>
              <w:spacing w:before="20"/>
            </w:pPr>
            <w:r w:rsidRPr="00261B7A">
              <w:t>Below-ground biomass</w:t>
            </w:r>
          </w:p>
        </w:tc>
        <w:tc>
          <w:tcPr>
            <w:tcW w:w="1393" w:type="pct"/>
            <w:tcBorders>
              <w:top w:val="nil"/>
              <w:left w:val="nil"/>
              <w:right w:val="nil"/>
            </w:tcBorders>
          </w:tcPr>
          <w:p w14:paraId="647D490F" w14:textId="77777777" w:rsidR="0010265C" w:rsidRPr="00261B7A" w:rsidRDefault="0010265C" w:rsidP="00D013BA">
            <w:pPr>
              <w:pStyle w:val="TableText"/>
              <w:spacing w:before="20"/>
            </w:pPr>
            <w:r w:rsidRPr="00261B7A">
              <w:t xml:space="preserve">Estimated as the ratio of below-ground biomass to above-ground biomass </w:t>
            </w:r>
          </w:p>
        </w:tc>
        <w:tc>
          <w:tcPr>
            <w:tcW w:w="1014" w:type="pct"/>
            <w:tcBorders>
              <w:top w:val="nil"/>
              <w:left w:val="nil"/>
              <w:right w:val="nil"/>
            </w:tcBorders>
          </w:tcPr>
          <w:p w14:paraId="3568AEEC" w14:textId="77777777" w:rsidR="0010265C" w:rsidRPr="00261B7A" w:rsidRDefault="0010265C" w:rsidP="00D013BA">
            <w:pPr>
              <w:pStyle w:val="TableText"/>
              <w:spacing w:before="20"/>
            </w:pPr>
            <w:r w:rsidRPr="00261B7A">
              <w:t>Paul et al. (2021); Easdale et al. (2019)</w:t>
            </w:r>
          </w:p>
        </w:tc>
      </w:tr>
      <w:tr w:rsidR="0010265C" w:rsidRPr="00261B7A" w14:paraId="1AF5F468" w14:textId="77777777" w:rsidTr="00D013BA">
        <w:tc>
          <w:tcPr>
            <w:tcW w:w="834" w:type="pct"/>
            <w:vMerge/>
            <w:tcBorders>
              <w:right w:val="nil"/>
            </w:tcBorders>
          </w:tcPr>
          <w:p w14:paraId="2E1B4AB4" w14:textId="77777777" w:rsidR="0010265C" w:rsidRPr="00261B7A" w:rsidRDefault="0010265C" w:rsidP="00D41492">
            <w:pPr>
              <w:pStyle w:val="TableText"/>
              <w:rPr>
                <w:b/>
              </w:rPr>
            </w:pPr>
          </w:p>
        </w:tc>
        <w:tc>
          <w:tcPr>
            <w:tcW w:w="750" w:type="pct"/>
            <w:vMerge w:val="restart"/>
            <w:tcBorders>
              <w:left w:val="nil"/>
              <w:right w:val="nil"/>
            </w:tcBorders>
          </w:tcPr>
          <w:p w14:paraId="680DB00F" w14:textId="77777777" w:rsidR="0010265C" w:rsidRPr="00261B7A" w:rsidRDefault="0010265C" w:rsidP="00D41492">
            <w:pPr>
              <w:pStyle w:val="TableText"/>
              <w:rPr>
                <w:b/>
              </w:rPr>
            </w:pPr>
            <w:r w:rsidRPr="00261B7A">
              <w:rPr>
                <w:b/>
              </w:rPr>
              <w:t>Dead organic matter</w:t>
            </w:r>
          </w:p>
        </w:tc>
        <w:tc>
          <w:tcPr>
            <w:tcW w:w="1009" w:type="pct"/>
            <w:tcBorders>
              <w:top w:val="nil"/>
              <w:left w:val="nil"/>
              <w:bottom w:val="nil"/>
              <w:right w:val="nil"/>
            </w:tcBorders>
          </w:tcPr>
          <w:p w14:paraId="70281307" w14:textId="77777777" w:rsidR="0010265C" w:rsidRPr="00261B7A" w:rsidRDefault="0010265C" w:rsidP="00D41492">
            <w:pPr>
              <w:pStyle w:val="TableText"/>
            </w:pPr>
            <w:r w:rsidRPr="00261B7A">
              <w:t>Dead wood</w:t>
            </w:r>
          </w:p>
        </w:tc>
        <w:tc>
          <w:tcPr>
            <w:tcW w:w="1393" w:type="pct"/>
            <w:tcBorders>
              <w:top w:val="nil"/>
              <w:left w:val="nil"/>
              <w:bottom w:val="nil"/>
              <w:right w:val="nil"/>
            </w:tcBorders>
          </w:tcPr>
          <w:p w14:paraId="4C6EDCBE" w14:textId="77777777" w:rsidR="0010265C" w:rsidRPr="00261B7A" w:rsidRDefault="0010265C" w:rsidP="00D41492">
            <w:pPr>
              <w:pStyle w:val="TableText"/>
            </w:pPr>
            <w:r w:rsidRPr="00261B7A">
              <w:t xml:space="preserve">Modelled from plot measurements; allometric equations </w:t>
            </w:r>
          </w:p>
        </w:tc>
        <w:tc>
          <w:tcPr>
            <w:tcW w:w="1014" w:type="pct"/>
            <w:tcBorders>
              <w:top w:val="nil"/>
              <w:left w:val="nil"/>
              <w:bottom w:val="nil"/>
              <w:right w:val="nil"/>
            </w:tcBorders>
          </w:tcPr>
          <w:p w14:paraId="54173FC3" w14:textId="77777777" w:rsidR="0010265C" w:rsidRPr="00261B7A" w:rsidRDefault="0010265C" w:rsidP="00D41492">
            <w:pPr>
              <w:pStyle w:val="TableText"/>
            </w:pPr>
            <w:r w:rsidRPr="00261B7A">
              <w:t xml:space="preserve">Garrett et al. (2019); Paul et al. (2021); Kimberley et al. (2019) </w:t>
            </w:r>
          </w:p>
        </w:tc>
      </w:tr>
      <w:tr w:rsidR="0010265C" w:rsidRPr="00261B7A" w14:paraId="32C3ED60" w14:textId="77777777" w:rsidTr="00D013BA">
        <w:tc>
          <w:tcPr>
            <w:tcW w:w="834" w:type="pct"/>
            <w:vMerge/>
            <w:tcBorders>
              <w:right w:val="nil"/>
            </w:tcBorders>
          </w:tcPr>
          <w:p w14:paraId="68AE0814" w14:textId="77777777" w:rsidR="0010265C" w:rsidRPr="00261B7A" w:rsidRDefault="0010265C" w:rsidP="00D41492">
            <w:pPr>
              <w:pStyle w:val="TableText"/>
              <w:rPr>
                <w:b/>
              </w:rPr>
            </w:pPr>
          </w:p>
        </w:tc>
        <w:tc>
          <w:tcPr>
            <w:tcW w:w="750" w:type="pct"/>
            <w:vMerge/>
            <w:tcBorders>
              <w:left w:val="nil"/>
              <w:right w:val="nil"/>
            </w:tcBorders>
          </w:tcPr>
          <w:p w14:paraId="7778E059" w14:textId="77777777" w:rsidR="0010265C" w:rsidRPr="00261B7A" w:rsidRDefault="0010265C" w:rsidP="00D41492">
            <w:pPr>
              <w:pStyle w:val="TableText"/>
              <w:rPr>
                <w:b/>
              </w:rPr>
            </w:pPr>
          </w:p>
        </w:tc>
        <w:tc>
          <w:tcPr>
            <w:tcW w:w="1009" w:type="pct"/>
            <w:tcBorders>
              <w:top w:val="nil"/>
              <w:left w:val="nil"/>
              <w:right w:val="nil"/>
            </w:tcBorders>
          </w:tcPr>
          <w:p w14:paraId="7343A48C" w14:textId="77777777" w:rsidR="0010265C" w:rsidRPr="00261B7A" w:rsidRDefault="0010265C" w:rsidP="00D013BA">
            <w:pPr>
              <w:pStyle w:val="TableText"/>
              <w:spacing w:before="20"/>
            </w:pPr>
            <w:r w:rsidRPr="00261B7A">
              <w:t>Litter</w:t>
            </w:r>
          </w:p>
        </w:tc>
        <w:tc>
          <w:tcPr>
            <w:tcW w:w="1393" w:type="pct"/>
            <w:tcBorders>
              <w:top w:val="nil"/>
              <w:left w:val="nil"/>
              <w:right w:val="nil"/>
            </w:tcBorders>
          </w:tcPr>
          <w:p w14:paraId="050C968F" w14:textId="77777777" w:rsidR="0010265C" w:rsidRPr="00261B7A" w:rsidRDefault="0010265C" w:rsidP="00D013BA">
            <w:pPr>
              <w:pStyle w:val="TableText"/>
              <w:spacing w:before="20"/>
            </w:pPr>
            <w:r w:rsidRPr="00261B7A">
              <w:t xml:space="preserve">Plot samples; laboratory analysis of samples collected at plots </w:t>
            </w:r>
          </w:p>
        </w:tc>
        <w:tc>
          <w:tcPr>
            <w:tcW w:w="1014" w:type="pct"/>
            <w:tcBorders>
              <w:top w:val="nil"/>
              <w:left w:val="nil"/>
              <w:right w:val="nil"/>
            </w:tcBorders>
          </w:tcPr>
          <w:p w14:paraId="4EF89DA0" w14:textId="77777777" w:rsidR="0010265C" w:rsidRPr="00261B7A" w:rsidRDefault="0010265C" w:rsidP="00D013BA">
            <w:pPr>
              <w:pStyle w:val="TableText"/>
              <w:spacing w:before="20"/>
            </w:pPr>
            <w:r w:rsidRPr="00261B7A">
              <w:t>Paul et al. (2021); Garrett (unpublished)</w:t>
            </w:r>
          </w:p>
        </w:tc>
      </w:tr>
      <w:tr w:rsidR="0010265C" w:rsidRPr="00261B7A" w14:paraId="2F8FAE32" w14:textId="77777777" w:rsidTr="00D013BA">
        <w:tc>
          <w:tcPr>
            <w:tcW w:w="834" w:type="pct"/>
            <w:tcBorders>
              <w:bottom w:val="nil"/>
              <w:right w:val="nil"/>
            </w:tcBorders>
          </w:tcPr>
          <w:p w14:paraId="21764515" w14:textId="77777777" w:rsidR="0010265C" w:rsidRPr="00261B7A" w:rsidRDefault="0010265C" w:rsidP="00D41492">
            <w:pPr>
              <w:pStyle w:val="TableText"/>
              <w:rPr>
                <w:b/>
              </w:rPr>
            </w:pPr>
            <w:r w:rsidRPr="00261B7A">
              <w:rPr>
                <w:b/>
              </w:rPr>
              <w:t>Post-1989 natural forest</w:t>
            </w:r>
          </w:p>
        </w:tc>
        <w:tc>
          <w:tcPr>
            <w:tcW w:w="750" w:type="pct"/>
            <w:tcBorders>
              <w:left w:val="nil"/>
              <w:bottom w:val="nil"/>
              <w:right w:val="nil"/>
            </w:tcBorders>
          </w:tcPr>
          <w:p w14:paraId="5144FBDD" w14:textId="77777777" w:rsidR="0010265C" w:rsidRPr="00261B7A" w:rsidRDefault="0010265C" w:rsidP="00D41492">
            <w:pPr>
              <w:pStyle w:val="TableText"/>
            </w:pPr>
            <w:r w:rsidRPr="00261B7A">
              <w:rPr>
                <w:b/>
              </w:rPr>
              <w:t>Living biomass</w:t>
            </w:r>
          </w:p>
        </w:tc>
        <w:tc>
          <w:tcPr>
            <w:tcW w:w="1009" w:type="pct"/>
            <w:tcBorders>
              <w:left w:val="nil"/>
              <w:bottom w:val="nil"/>
              <w:right w:val="nil"/>
            </w:tcBorders>
          </w:tcPr>
          <w:p w14:paraId="5E7F20D4" w14:textId="77777777" w:rsidR="0010265C" w:rsidRPr="00261B7A" w:rsidRDefault="0010265C" w:rsidP="00D41492">
            <w:pPr>
              <w:pStyle w:val="TableText"/>
            </w:pPr>
            <w:r w:rsidRPr="00261B7A">
              <w:t>Above-ground biomass</w:t>
            </w:r>
          </w:p>
        </w:tc>
        <w:tc>
          <w:tcPr>
            <w:tcW w:w="1393" w:type="pct"/>
            <w:tcBorders>
              <w:left w:val="nil"/>
              <w:bottom w:val="nil"/>
              <w:right w:val="nil"/>
            </w:tcBorders>
          </w:tcPr>
          <w:p w14:paraId="4E1B5329" w14:textId="77777777" w:rsidR="0010265C" w:rsidRPr="00261B7A" w:rsidRDefault="0010265C" w:rsidP="00D41492">
            <w:pPr>
              <w:pStyle w:val="TableText"/>
            </w:pPr>
            <w:r w:rsidRPr="00261B7A">
              <w:t>Plot measurements; allometric equations</w:t>
            </w:r>
          </w:p>
        </w:tc>
        <w:tc>
          <w:tcPr>
            <w:tcW w:w="1014" w:type="pct"/>
            <w:tcBorders>
              <w:left w:val="nil"/>
              <w:bottom w:val="nil"/>
              <w:right w:val="nil"/>
            </w:tcBorders>
          </w:tcPr>
          <w:p w14:paraId="09522630" w14:textId="77777777" w:rsidR="0010265C" w:rsidRPr="00261B7A" w:rsidRDefault="0010265C" w:rsidP="00D41492">
            <w:pPr>
              <w:pStyle w:val="TableText"/>
            </w:pPr>
            <w:r w:rsidRPr="00261B7A">
              <w:t>Paul et al. (2021)</w:t>
            </w:r>
          </w:p>
        </w:tc>
      </w:tr>
      <w:tr w:rsidR="0010265C" w:rsidRPr="00261B7A" w14:paraId="33B0575E" w14:textId="77777777" w:rsidTr="00D013BA">
        <w:tc>
          <w:tcPr>
            <w:tcW w:w="834" w:type="pct"/>
            <w:tcBorders>
              <w:top w:val="nil"/>
              <w:bottom w:val="nil"/>
              <w:right w:val="nil"/>
            </w:tcBorders>
          </w:tcPr>
          <w:p w14:paraId="361A74D4" w14:textId="77777777" w:rsidR="0010265C" w:rsidRPr="00261B7A" w:rsidRDefault="0010265C" w:rsidP="00D013BA">
            <w:pPr>
              <w:pStyle w:val="TableText"/>
              <w:spacing w:before="20"/>
              <w:rPr>
                <w:b/>
              </w:rPr>
            </w:pPr>
          </w:p>
        </w:tc>
        <w:tc>
          <w:tcPr>
            <w:tcW w:w="750" w:type="pct"/>
            <w:tcBorders>
              <w:top w:val="nil"/>
              <w:left w:val="nil"/>
              <w:right w:val="nil"/>
            </w:tcBorders>
          </w:tcPr>
          <w:p w14:paraId="3000B97D" w14:textId="77777777" w:rsidR="0010265C" w:rsidRPr="00261B7A" w:rsidRDefault="0010265C" w:rsidP="00D013BA">
            <w:pPr>
              <w:pStyle w:val="TableText"/>
              <w:spacing w:before="20"/>
            </w:pPr>
          </w:p>
        </w:tc>
        <w:tc>
          <w:tcPr>
            <w:tcW w:w="1009" w:type="pct"/>
            <w:tcBorders>
              <w:top w:val="nil"/>
              <w:left w:val="nil"/>
              <w:right w:val="nil"/>
            </w:tcBorders>
          </w:tcPr>
          <w:p w14:paraId="26D8CD66" w14:textId="77777777" w:rsidR="0010265C" w:rsidRPr="00261B7A" w:rsidRDefault="0010265C" w:rsidP="00D013BA">
            <w:pPr>
              <w:pStyle w:val="TableText"/>
              <w:spacing w:before="20"/>
            </w:pPr>
            <w:r w:rsidRPr="00261B7A">
              <w:t>Below-ground biomass</w:t>
            </w:r>
          </w:p>
        </w:tc>
        <w:tc>
          <w:tcPr>
            <w:tcW w:w="1393" w:type="pct"/>
            <w:tcBorders>
              <w:top w:val="nil"/>
              <w:left w:val="nil"/>
              <w:right w:val="nil"/>
            </w:tcBorders>
          </w:tcPr>
          <w:p w14:paraId="664C857D" w14:textId="77777777" w:rsidR="0010265C" w:rsidRPr="00261B7A" w:rsidRDefault="0010265C" w:rsidP="00D013BA">
            <w:pPr>
              <w:pStyle w:val="TableText"/>
              <w:spacing w:before="20"/>
            </w:pPr>
            <w:r w:rsidRPr="00261B7A">
              <w:t>Estimated as the ratio of below-ground biomass to above-ground biomass</w:t>
            </w:r>
          </w:p>
        </w:tc>
        <w:tc>
          <w:tcPr>
            <w:tcW w:w="1014" w:type="pct"/>
            <w:tcBorders>
              <w:top w:val="nil"/>
              <w:left w:val="nil"/>
              <w:right w:val="nil"/>
            </w:tcBorders>
          </w:tcPr>
          <w:p w14:paraId="20A9F889" w14:textId="77777777" w:rsidR="0010265C" w:rsidRPr="00261B7A" w:rsidRDefault="0010265C" w:rsidP="00D013BA">
            <w:pPr>
              <w:pStyle w:val="TableText"/>
              <w:spacing w:before="20"/>
            </w:pPr>
            <w:r w:rsidRPr="00261B7A">
              <w:t>Paul et al. (unpublished(a)); Easdale et al. (2019)</w:t>
            </w:r>
          </w:p>
        </w:tc>
      </w:tr>
      <w:tr w:rsidR="0010265C" w:rsidRPr="00261B7A" w14:paraId="60DEA1E4" w14:textId="77777777" w:rsidTr="00D013BA">
        <w:tc>
          <w:tcPr>
            <w:tcW w:w="834" w:type="pct"/>
            <w:tcBorders>
              <w:top w:val="nil"/>
              <w:bottom w:val="nil"/>
              <w:right w:val="nil"/>
            </w:tcBorders>
          </w:tcPr>
          <w:p w14:paraId="0F148273" w14:textId="77777777" w:rsidR="0010265C" w:rsidRPr="00261B7A" w:rsidRDefault="0010265C" w:rsidP="00D41492">
            <w:pPr>
              <w:pStyle w:val="TableText"/>
            </w:pPr>
          </w:p>
        </w:tc>
        <w:tc>
          <w:tcPr>
            <w:tcW w:w="750" w:type="pct"/>
            <w:tcBorders>
              <w:left w:val="nil"/>
              <w:bottom w:val="nil"/>
              <w:right w:val="nil"/>
            </w:tcBorders>
          </w:tcPr>
          <w:p w14:paraId="20DD2C54" w14:textId="77777777" w:rsidR="0010265C" w:rsidRPr="00261B7A" w:rsidRDefault="0010265C" w:rsidP="00D41492">
            <w:pPr>
              <w:pStyle w:val="TableTextBold"/>
              <w:rPr>
                <w:noProof w:val="0"/>
              </w:rPr>
            </w:pPr>
            <w:r w:rsidRPr="00261B7A">
              <w:rPr>
                <w:noProof w:val="0"/>
              </w:rPr>
              <w:t>Dead organic matter</w:t>
            </w:r>
          </w:p>
        </w:tc>
        <w:tc>
          <w:tcPr>
            <w:tcW w:w="1009" w:type="pct"/>
            <w:tcBorders>
              <w:left w:val="nil"/>
              <w:bottom w:val="nil"/>
              <w:right w:val="nil"/>
            </w:tcBorders>
          </w:tcPr>
          <w:p w14:paraId="5FFA4EFB" w14:textId="77777777" w:rsidR="0010265C" w:rsidRPr="00261B7A" w:rsidRDefault="0010265C" w:rsidP="00D41492">
            <w:pPr>
              <w:pStyle w:val="TableText"/>
            </w:pPr>
            <w:r w:rsidRPr="00261B7A">
              <w:t>Dead wood</w:t>
            </w:r>
          </w:p>
        </w:tc>
        <w:tc>
          <w:tcPr>
            <w:tcW w:w="1393" w:type="pct"/>
            <w:tcBorders>
              <w:left w:val="nil"/>
              <w:bottom w:val="nil"/>
              <w:right w:val="nil"/>
            </w:tcBorders>
          </w:tcPr>
          <w:p w14:paraId="20B4E36E" w14:textId="77777777" w:rsidR="0010265C" w:rsidRPr="00261B7A" w:rsidRDefault="0010265C" w:rsidP="00D41492">
            <w:pPr>
              <w:pStyle w:val="TableText"/>
              <w:rPr>
                <w:rFonts w:cs="Segoe UI"/>
                <w:szCs w:val="16"/>
              </w:rPr>
            </w:pPr>
            <w:r w:rsidRPr="00261B7A">
              <w:rPr>
                <w:rFonts w:cs="Segoe UI"/>
                <w:szCs w:val="16"/>
              </w:rPr>
              <w:t>Modelled from plot measurements; allometric model</w:t>
            </w:r>
          </w:p>
        </w:tc>
        <w:tc>
          <w:tcPr>
            <w:tcW w:w="1014" w:type="pct"/>
            <w:tcBorders>
              <w:left w:val="nil"/>
              <w:bottom w:val="nil"/>
              <w:right w:val="nil"/>
            </w:tcBorders>
          </w:tcPr>
          <w:p w14:paraId="5685AA2F" w14:textId="77777777" w:rsidR="0010265C" w:rsidRPr="00261B7A" w:rsidRDefault="0010265C" w:rsidP="00D41492">
            <w:pPr>
              <w:pStyle w:val="TableText"/>
            </w:pPr>
            <w:r w:rsidRPr="00261B7A">
              <w:t>Garrett et al. (2019); Paul et al. (unpublished(a)); Kimberley et al. (2019)</w:t>
            </w:r>
          </w:p>
        </w:tc>
      </w:tr>
      <w:tr w:rsidR="0010265C" w:rsidRPr="00261B7A" w14:paraId="02532AC1" w14:textId="77777777" w:rsidTr="00D013BA">
        <w:tc>
          <w:tcPr>
            <w:tcW w:w="834" w:type="pct"/>
            <w:tcBorders>
              <w:top w:val="nil"/>
              <w:right w:val="nil"/>
            </w:tcBorders>
          </w:tcPr>
          <w:p w14:paraId="57F59958" w14:textId="77777777" w:rsidR="0010265C" w:rsidRPr="00261B7A" w:rsidRDefault="0010265C" w:rsidP="00D013BA">
            <w:pPr>
              <w:pStyle w:val="TableText"/>
              <w:spacing w:before="20"/>
            </w:pPr>
          </w:p>
        </w:tc>
        <w:tc>
          <w:tcPr>
            <w:tcW w:w="750" w:type="pct"/>
            <w:tcBorders>
              <w:top w:val="nil"/>
              <w:left w:val="nil"/>
              <w:right w:val="nil"/>
            </w:tcBorders>
          </w:tcPr>
          <w:p w14:paraId="0408A5EE" w14:textId="77777777" w:rsidR="0010265C" w:rsidRPr="00261B7A" w:rsidRDefault="0010265C" w:rsidP="00D013BA">
            <w:pPr>
              <w:pStyle w:val="TableTextBold"/>
              <w:spacing w:before="20"/>
              <w:rPr>
                <w:noProof w:val="0"/>
              </w:rPr>
            </w:pPr>
          </w:p>
        </w:tc>
        <w:tc>
          <w:tcPr>
            <w:tcW w:w="1009" w:type="pct"/>
            <w:tcBorders>
              <w:top w:val="nil"/>
              <w:left w:val="nil"/>
              <w:right w:val="nil"/>
            </w:tcBorders>
          </w:tcPr>
          <w:p w14:paraId="5AD25095" w14:textId="77777777" w:rsidR="0010265C" w:rsidRPr="00261B7A" w:rsidRDefault="0010265C" w:rsidP="00D013BA">
            <w:pPr>
              <w:pStyle w:val="TableText"/>
              <w:spacing w:before="20"/>
            </w:pPr>
            <w:r w:rsidRPr="00261B7A">
              <w:t>Litter</w:t>
            </w:r>
          </w:p>
        </w:tc>
        <w:tc>
          <w:tcPr>
            <w:tcW w:w="1393" w:type="pct"/>
            <w:tcBorders>
              <w:top w:val="nil"/>
              <w:left w:val="nil"/>
              <w:right w:val="nil"/>
            </w:tcBorders>
          </w:tcPr>
          <w:p w14:paraId="516A5C03" w14:textId="77777777" w:rsidR="0010265C" w:rsidRPr="00261B7A" w:rsidRDefault="0010265C" w:rsidP="00D013BA">
            <w:pPr>
              <w:pStyle w:val="TableText"/>
              <w:spacing w:before="20"/>
              <w:rPr>
                <w:rFonts w:cs="Segoe UI"/>
                <w:szCs w:val="16"/>
              </w:rPr>
            </w:pPr>
            <w:r w:rsidRPr="00261B7A">
              <w:rPr>
                <w:rFonts w:cs="Segoe UI"/>
                <w:szCs w:val="16"/>
              </w:rPr>
              <w:t>Allometric model and percentage of above-ground biomass</w:t>
            </w:r>
          </w:p>
        </w:tc>
        <w:tc>
          <w:tcPr>
            <w:tcW w:w="1014" w:type="pct"/>
            <w:tcBorders>
              <w:top w:val="nil"/>
              <w:left w:val="nil"/>
              <w:right w:val="nil"/>
            </w:tcBorders>
          </w:tcPr>
          <w:p w14:paraId="7858D0E7" w14:textId="77777777" w:rsidR="0010265C" w:rsidRPr="00261B7A" w:rsidRDefault="0010265C" w:rsidP="00D013BA">
            <w:pPr>
              <w:pStyle w:val="TableText"/>
              <w:spacing w:before="20"/>
            </w:pPr>
            <w:r w:rsidRPr="00261B7A">
              <w:t>Paul et al. (unpublished(a)); Garrett (unpublished)</w:t>
            </w:r>
          </w:p>
        </w:tc>
      </w:tr>
      <w:tr w:rsidR="0010265C" w:rsidRPr="00261B7A" w14:paraId="0831A663" w14:textId="77777777" w:rsidTr="00D013BA">
        <w:tc>
          <w:tcPr>
            <w:tcW w:w="834" w:type="pct"/>
            <w:tcBorders>
              <w:bottom w:val="nil"/>
              <w:right w:val="nil"/>
            </w:tcBorders>
          </w:tcPr>
          <w:p w14:paraId="4B9BD2E7" w14:textId="77777777" w:rsidR="0010265C" w:rsidRPr="00261B7A" w:rsidRDefault="0010265C" w:rsidP="00D41492">
            <w:pPr>
              <w:pStyle w:val="TableText"/>
            </w:pPr>
            <w:r w:rsidRPr="00261B7A">
              <w:rPr>
                <w:b/>
              </w:rPr>
              <w:t>Pre-1990 planted forest</w:t>
            </w:r>
          </w:p>
        </w:tc>
        <w:tc>
          <w:tcPr>
            <w:tcW w:w="750" w:type="pct"/>
            <w:tcBorders>
              <w:left w:val="nil"/>
              <w:bottom w:val="nil"/>
              <w:right w:val="nil"/>
            </w:tcBorders>
          </w:tcPr>
          <w:p w14:paraId="33F6C8E1" w14:textId="77777777" w:rsidR="0010265C" w:rsidRPr="00261B7A" w:rsidRDefault="0010265C" w:rsidP="00D41492">
            <w:pPr>
              <w:pStyle w:val="TableText"/>
            </w:pPr>
            <w:r w:rsidRPr="00261B7A">
              <w:rPr>
                <w:b/>
              </w:rPr>
              <w:t>Living biomass</w:t>
            </w:r>
          </w:p>
        </w:tc>
        <w:tc>
          <w:tcPr>
            <w:tcW w:w="1009" w:type="pct"/>
            <w:tcBorders>
              <w:left w:val="nil"/>
              <w:bottom w:val="nil"/>
              <w:right w:val="nil"/>
            </w:tcBorders>
          </w:tcPr>
          <w:p w14:paraId="1D852BDE" w14:textId="77777777" w:rsidR="0010265C" w:rsidRPr="00261B7A" w:rsidRDefault="0010265C" w:rsidP="00D41492">
            <w:pPr>
              <w:pStyle w:val="TableText"/>
            </w:pPr>
            <w:r w:rsidRPr="00261B7A">
              <w:t>Above-ground biomass</w:t>
            </w:r>
          </w:p>
        </w:tc>
        <w:tc>
          <w:tcPr>
            <w:tcW w:w="1393" w:type="pct"/>
            <w:tcBorders>
              <w:left w:val="nil"/>
              <w:bottom w:val="nil"/>
              <w:right w:val="nil"/>
            </w:tcBorders>
          </w:tcPr>
          <w:p w14:paraId="18F0AC1B" w14:textId="77777777" w:rsidR="0010265C" w:rsidRPr="00261B7A" w:rsidRDefault="0010265C" w:rsidP="00D41492">
            <w:pPr>
              <w:pStyle w:val="TableText"/>
            </w:pPr>
            <w:r w:rsidRPr="00261B7A">
              <w:t>Modelled through allometric equations, then included in national yield tables</w:t>
            </w:r>
          </w:p>
        </w:tc>
        <w:tc>
          <w:tcPr>
            <w:tcW w:w="1014" w:type="pct"/>
            <w:tcBorders>
              <w:left w:val="nil"/>
              <w:bottom w:val="nil"/>
              <w:right w:val="nil"/>
            </w:tcBorders>
          </w:tcPr>
          <w:p w14:paraId="64075415" w14:textId="77777777" w:rsidR="0010265C" w:rsidRPr="00261B7A" w:rsidRDefault="0010265C" w:rsidP="00D41492">
            <w:pPr>
              <w:pStyle w:val="TableText"/>
            </w:pPr>
            <w:r w:rsidRPr="00261B7A">
              <w:t>Paul et al. (unpublished(b))</w:t>
            </w:r>
          </w:p>
        </w:tc>
      </w:tr>
      <w:tr w:rsidR="0010265C" w:rsidRPr="00261B7A" w14:paraId="1E2AE10A" w14:textId="77777777" w:rsidTr="00D013BA">
        <w:tc>
          <w:tcPr>
            <w:tcW w:w="834" w:type="pct"/>
            <w:tcBorders>
              <w:top w:val="nil"/>
              <w:bottom w:val="nil"/>
              <w:right w:val="nil"/>
            </w:tcBorders>
          </w:tcPr>
          <w:p w14:paraId="73C8E7FF" w14:textId="77777777" w:rsidR="0010265C" w:rsidRPr="00261B7A" w:rsidRDefault="0010265C" w:rsidP="00D41492">
            <w:pPr>
              <w:pStyle w:val="TableText"/>
            </w:pPr>
          </w:p>
        </w:tc>
        <w:tc>
          <w:tcPr>
            <w:tcW w:w="750" w:type="pct"/>
            <w:tcBorders>
              <w:top w:val="nil"/>
              <w:left w:val="nil"/>
              <w:right w:val="nil"/>
            </w:tcBorders>
          </w:tcPr>
          <w:p w14:paraId="7D791F23" w14:textId="77777777" w:rsidR="0010265C" w:rsidRPr="00261B7A" w:rsidRDefault="0010265C" w:rsidP="00D013BA">
            <w:pPr>
              <w:pStyle w:val="TableText"/>
              <w:spacing w:before="20"/>
            </w:pPr>
          </w:p>
        </w:tc>
        <w:tc>
          <w:tcPr>
            <w:tcW w:w="1009" w:type="pct"/>
            <w:tcBorders>
              <w:top w:val="nil"/>
              <w:left w:val="nil"/>
              <w:right w:val="nil"/>
            </w:tcBorders>
          </w:tcPr>
          <w:p w14:paraId="2AAC8B82" w14:textId="77777777" w:rsidR="0010265C" w:rsidRPr="00261B7A" w:rsidRDefault="0010265C" w:rsidP="00D013BA">
            <w:pPr>
              <w:pStyle w:val="TableText"/>
              <w:spacing w:before="20"/>
            </w:pPr>
            <w:r w:rsidRPr="00261B7A">
              <w:t>Below-ground biomass</w:t>
            </w:r>
          </w:p>
        </w:tc>
        <w:tc>
          <w:tcPr>
            <w:tcW w:w="1393" w:type="pct"/>
            <w:tcBorders>
              <w:top w:val="nil"/>
              <w:left w:val="nil"/>
              <w:right w:val="nil"/>
            </w:tcBorders>
          </w:tcPr>
          <w:p w14:paraId="3870D591" w14:textId="77777777" w:rsidR="0010265C" w:rsidRPr="00261B7A" w:rsidRDefault="0010265C" w:rsidP="00D013BA">
            <w:pPr>
              <w:pStyle w:val="TableText"/>
              <w:spacing w:before="20"/>
            </w:pPr>
            <w:r w:rsidRPr="00261B7A">
              <w:t>Estimated as the ratio of below-ground biomass to above-ground biomass</w:t>
            </w:r>
          </w:p>
        </w:tc>
        <w:tc>
          <w:tcPr>
            <w:tcW w:w="1014" w:type="pct"/>
            <w:tcBorders>
              <w:top w:val="nil"/>
              <w:left w:val="nil"/>
              <w:right w:val="nil"/>
            </w:tcBorders>
          </w:tcPr>
          <w:p w14:paraId="5BBDDF42" w14:textId="77777777" w:rsidR="0010265C" w:rsidRPr="00261B7A" w:rsidRDefault="0010265C" w:rsidP="00D013BA">
            <w:pPr>
              <w:pStyle w:val="TableText"/>
              <w:spacing w:before="20"/>
            </w:pPr>
            <w:r w:rsidRPr="00261B7A">
              <w:t>Paul et al. (unpublished(b))</w:t>
            </w:r>
          </w:p>
        </w:tc>
      </w:tr>
      <w:tr w:rsidR="0010265C" w:rsidRPr="00261B7A" w14:paraId="5365BF46" w14:textId="77777777" w:rsidTr="00D013BA">
        <w:tc>
          <w:tcPr>
            <w:tcW w:w="834" w:type="pct"/>
            <w:tcBorders>
              <w:top w:val="nil"/>
              <w:bottom w:val="nil"/>
              <w:right w:val="nil"/>
            </w:tcBorders>
          </w:tcPr>
          <w:p w14:paraId="6E07EBFC" w14:textId="77777777" w:rsidR="0010265C" w:rsidRPr="00261B7A" w:rsidRDefault="0010265C" w:rsidP="00D41492">
            <w:pPr>
              <w:pStyle w:val="TableText"/>
            </w:pPr>
          </w:p>
        </w:tc>
        <w:tc>
          <w:tcPr>
            <w:tcW w:w="750" w:type="pct"/>
            <w:tcBorders>
              <w:left w:val="nil"/>
              <w:bottom w:val="nil"/>
              <w:right w:val="nil"/>
            </w:tcBorders>
          </w:tcPr>
          <w:p w14:paraId="40F51AF5" w14:textId="77777777" w:rsidR="0010265C" w:rsidRPr="00261B7A" w:rsidRDefault="0010265C" w:rsidP="00D41492">
            <w:pPr>
              <w:pStyle w:val="TableText"/>
            </w:pPr>
            <w:r w:rsidRPr="00261B7A">
              <w:rPr>
                <w:b/>
              </w:rPr>
              <w:t>Dead organic matter</w:t>
            </w:r>
          </w:p>
        </w:tc>
        <w:tc>
          <w:tcPr>
            <w:tcW w:w="1009" w:type="pct"/>
            <w:tcBorders>
              <w:left w:val="nil"/>
              <w:bottom w:val="nil"/>
              <w:right w:val="nil"/>
            </w:tcBorders>
          </w:tcPr>
          <w:p w14:paraId="1617FEF3" w14:textId="77777777" w:rsidR="0010265C" w:rsidRPr="00261B7A" w:rsidRDefault="0010265C" w:rsidP="00D41492">
            <w:pPr>
              <w:pStyle w:val="TableText"/>
            </w:pPr>
            <w:r w:rsidRPr="00261B7A">
              <w:t>Dead wood</w:t>
            </w:r>
          </w:p>
        </w:tc>
        <w:tc>
          <w:tcPr>
            <w:tcW w:w="1393" w:type="pct"/>
            <w:tcBorders>
              <w:left w:val="nil"/>
              <w:bottom w:val="nil"/>
              <w:right w:val="nil"/>
            </w:tcBorders>
          </w:tcPr>
          <w:p w14:paraId="319C70DE" w14:textId="77777777" w:rsidR="0010265C" w:rsidRPr="00261B7A" w:rsidRDefault="0010265C" w:rsidP="00D41492">
            <w:pPr>
              <w:pStyle w:val="TableText"/>
            </w:pPr>
            <w:r w:rsidRPr="00261B7A">
              <w:t>Allometric model using plot measurements, included in national yield tables. Harvest residues added to dead wood pool through CRA</w:t>
            </w:r>
          </w:p>
        </w:tc>
        <w:tc>
          <w:tcPr>
            <w:tcW w:w="1014" w:type="pct"/>
            <w:tcBorders>
              <w:left w:val="nil"/>
              <w:bottom w:val="nil"/>
              <w:right w:val="nil"/>
            </w:tcBorders>
          </w:tcPr>
          <w:p w14:paraId="59A2BE27" w14:textId="77777777" w:rsidR="0010265C" w:rsidRPr="00261B7A" w:rsidRDefault="0010265C" w:rsidP="00D41492">
            <w:pPr>
              <w:pStyle w:val="TableText"/>
            </w:pPr>
            <w:r w:rsidRPr="00261B7A">
              <w:t>Paul et al. (unpublished(b))</w:t>
            </w:r>
          </w:p>
        </w:tc>
      </w:tr>
      <w:tr w:rsidR="0010265C" w:rsidRPr="00261B7A" w14:paraId="627F6CFB" w14:textId="77777777" w:rsidTr="00D013BA">
        <w:tc>
          <w:tcPr>
            <w:tcW w:w="834" w:type="pct"/>
            <w:tcBorders>
              <w:top w:val="nil"/>
              <w:right w:val="nil"/>
            </w:tcBorders>
          </w:tcPr>
          <w:p w14:paraId="0167C9DC" w14:textId="77777777" w:rsidR="0010265C" w:rsidRPr="00261B7A" w:rsidRDefault="0010265C" w:rsidP="00D41492">
            <w:pPr>
              <w:pStyle w:val="TableText"/>
            </w:pPr>
          </w:p>
        </w:tc>
        <w:tc>
          <w:tcPr>
            <w:tcW w:w="750" w:type="pct"/>
            <w:tcBorders>
              <w:top w:val="nil"/>
              <w:left w:val="nil"/>
              <w:right w:val="nil"/>
            </w:tcBorders>
          </w:tcPr>
          <w:p w14:paraId="05B79FD8" w14:textId="77777777" w:rsidR="0010265C" w:rsidRPr="00261B7A" w:rsidRDefault="0010265C" w:rsidP="00D013BA">
            <w:pPr>
              <w:pStyle w:val="TableText"/>
              <w:spacing w:before="20"/>
            </w:pPr>
          </w:p>
        </w:tc>
        <w:tc>
          <w:tcPr>
            <w:tcW w:w="1009" w:type="pct"/>
            <w:tcBorders>
              <w:top w:val="nil"/>
              <w:left w:val="nil"/>
              <w:right w:val="nil"/>
            </w:tcBorders>
          </w:tcPr>
          <w:p w14:paraId="707BC74E" w14:textId="77777777" w:rsidR="0010265C" w:rsidRPr="00261B7A" w:rsidRDefault="0010265C" w:rsidP="00D013BA">
            <w:pPr>
              <w:pStyle w:val="TableText"/>
              <w:spacing w:before="20"/>
            </w:pPr>
            <w:r w:rsidRPr="00261B7A">
              <w:t>Litter</w:t>
            </w:r>
          </w:p>
        </w:tc>
        <w:tc>
          <w:tcPr>
            <w:tcW w:w="1393" w:type="pct"/>
            <w:tcBorders>
              <w:top w:val="nil"/>
              <w:left w:val="nil"/>
              <w:right w:val="nil"/>
            </w:tcBorders>
          </w:tcPr>
          <w:p w14:paraId="5799FC9E" w14:textId="77777777" w:rsidR="0010265C" w:rsidRPr="00261B7A" w:rsidRDefault="0010265C" w:rsidP="00D013BA">
            <w:pPr>
              <w:pStyle w:val="TableText"/>
              <w:spacing w:before="20"/>
            </w:pPr>
            <w:r w:rsidRPr="00261B7A">
              <w:rPr>
                <w:rFonts w:cs="Segoe UI"/>
                <w:szCs w:val="16"/>
              </w:rPr>
              <w:t>Allometric model and percentage of above-ground biomass</w:t>
            </w:r>
          </w:p>
        </w:tc>
        <w:tc>
          <w:tcPr>
            <w:tcW w:w="1014" w:type="pct"/>
            <w:tcBorders>
              <w:top w:val="nil"/>
              <w:left w:val="nil"/>
              <w:right w:val="nil"/>
            </w:tcBorders>
          </w:tcPr>
          <w:p w14:paraId="497D2EF6" w14:textId="77777777" w:rsidR="0010265C" w:rsidRPr="00261B7A" w:rsidRDefault="0010265C" w:rsidP="00D013BA">
            <w:pPr>
              <w:pStyle w:val="TableText"/>
              <w:spacing w:before="20"/>
            </w:pPr>
            <w:r w:rsidRPr="00261B7A">
              <w:t>Paul et al. (unpublished(b))</w:t>
            </w:r>
          </w:p>
        </w:tc>
      </w:tr>
      <w:tr w:rsidR="0010265C" w:rsidRPr="00261B7A" w14:paraId="4890EBD9" w14:textId="77777777" w:rsidTr="00D013BA">
        <w:tc>
          <w:tcPr>
            <w:tcW w:w="834" w:type="pct"/>
            <w:tcBorders>
              <w:bottom w:val="nil"/>
              <w:right w:val="nil"/>
            </w:tcBorders>
          </w:tcPr>
          <w:p w14:paraId="4D84BC50" w14:textId="77777777" w:rsidR="0010265C" w:rsidRPr="00261B7A" w:rsidRDefault="0010265C" w:rsidP="00D41492">
            <w:pPr>
              <w:pStyle w:val="TableText"/>
              <w:rPr>
                <w:b/>
              </w:rPr>
            </w:pPr>
            <w:r w:rsidRPr="00261B7A">
              <w:rPr>
                <w:b/>
              </w:rPr>
              <w:t>Post-1989 planted forest</w:t>
            </w:r>
          </w:p>
        </w:tc>
        <w:tc>
          <w:tcPr>
            <w:tcW w:w="750" w:type="pct"/>
            <w:tcBorders>
              <w:left w:val="nil"/>
              <w:bottom w:val="nil"/>
              <w:right w:val="nil"/>
            </w:tcBorders>
          </w:tcPr>
          <w:p w14:paraId="78392ED0" w14:textId="77777777" w:rsidR="0010265C" w:rsidRPr="00261B7A" w:rsidRDefault="0010265C" w:rsidP="00D41492">
            <w:pPr>
              <w:pStyle w:val="TableText"/>
            </w:pPr>
            <w:r w:rsidRPr="00261B7A">
              <w:rPr>
                <w:b/>
              </w:rPr>
              <w:t>Living biomass</w:t>
            </w:r>
          </w:p>
        </w:tc>
        <w:tc>
          <w:tcPr>
            <w:tcW w:w="1009" w:type="pct"/>
            <w:tcBorders>
              <w:left w:val="nil"/>
              <w:bottom w:val="nil"/>
              <w:right w:val="nil"/>
            </w:tcBorders>
          </w:tcPr>
          <w:p w14:paraId="44C5D507" w14:textId="77777777" w:rsidR="0010265C" w:rsidRPr="00261B7A" w:rsidRDefault="0010265C" w:rsidP="00D41492">
            <w:pPr>
              <w:pStyle w:val="TableText"/>
            </w:pPr>
            <w:r w:rsidRPr="00261B7A">
              <w:t>Above-ground biomass</w:t>
            </w:r>
          </w:p>
        </w:tc>
        <w:tc>
          <w:tcPr>
            <w:tcW w:w="1393" w:type="pct"/>
            <w:tcBorders>
              <w:left w:val="nil"/>
              <w:bottom w:val="nil"/>
              <w:right w:val="nil"/>
            </w:tcBorders>
          </w:tcPr>
          <w:p w14:paraId="748A43EF" w14:textId="77777777" w:rsidR="0010265C" w:rsidRPr="00261B7A" w:rsidRDefault="0010265C" w:rsidP="00D41492">
            <w:pPr>
              <w:pStyle w:val="TableText"/>
            </w:pPr>
            <w:r w:rsidRPr="00261B7A">
              <w:t>Modelled through allometric equations, then included in national yield tables</w:t>
            </w:r>
          </w:p>
        </w:tc>
        <w:tc>
          <w:tcPr>
            <w:tcW w:w="1014" w:type="pct"/>
            <w:tcBorders>
              <w:left w:val="nil"/>
              <w:bottom w:val="nil"/>
              <w:right w:val="nil"/>
            </w:tcBorders>
          </w:tcPr>
          <w:p w14:paraId="775D1238" w14:textId="77777777" w:rsidR="0010265C" w:rsidRPr="00261B7A" w:rsidRDefault="0010265C" w:rsidP="00D41492">
            <w:pPr>
              <w:pStyle w:val="TableText"/>
            </w:pPr>
            <w:r w:rsidRPr="00261B7A">
              <w:t>Paul et al. (unpublished(b))</w:t>
            </w:r>
          </w:p>
        </w:tc>
      </w:tr>
      <w:tr w:rsidR="0010265C" w:rsidRPr="00261B7A" w14:paraId="029BF1BF" w14:textId="77777777" w:rsidTr="00D013BA">
        <w:tc>
          <w:tcPr>
            <w:tcW w:w="834" w:type="pct"/>
            <w:tcBorders>
              <w:top w:val="nil"/>
              <w:bottom w:val="nil"/>
              <w:right w:val="nil"/>
            </w:tcBorders>
          </w:tcPr>
          <w:p w14:paraId="7AB4C742" w14:textId="77777777" w:rsidR="0010265C" w:rsidRPr="00261B7A" w:rsidRDefault="0010265C" w:rsidP="00D013BA">
            <w:pPr>
              <w:pStyle w:val="TableText"/>
              <w:spacing w:before="20"/>
            </w:pPr>
          </w:p>
        </w:tc>
        <w:tc>
          <w:tcPr>
            <w:tcW w:w="750" w:type="pct"/>
            <w:tcBorders>
              <w:top w:val="nil"/>
              <w:left w:val="nil"/>
              <w:right w:val="nil"/>
            </w:tcBorders>
          </w:tcPr>
          <w:p w14:paraId="044D309B" w14:textId="77777777" w:rsidR="0010265C" w:rsidRPr="00261B7A" w:rsidRDefault="0010265C" w:rsidP="00D013BA">
            <w:pPr>
              <w:pStyle w:val="TableText"/>
              <w:spacing w:before="20"/>
            </w:pPr>
          </w:p>
        </w:tc>
        <w:tc>
          <w:tcPr>
            <w:tcW w:w="1009" w:type="pct"/>
            <w:tcBorders>
              <w:top w:val="nil"/>
              <w:left w:val="nil"/>
              <w:right w:val="nil"/>
            </w:tcBorders>
          </w:tcPr>
          <w:p w14:paraId="204E6714" w14:textId="77777777" w:rsidR="0010265C" w:rsidRPr="00261B7A" w:rsidRDefault="0010265C" w:rsidP="00D013BA">
            <w:pPr>
              <w:pStyle w:val="TableText"/>
              <w:spacing w:before="20"/>
            </w:pPr>
            <w:r w:rsidRPr="00261B7A">
              <w:t>Below-ground biomass</w:t>
            </w:r>
          </w:p>
        </w:tc>
        <w:tc>
          <w:tcPr>
            <w:tcW w:w="1393" w:type="pct"/>
            <w:tcBorders>
              <w:top w:val="nil"/>
              <w:left w:val="nil"/>
              <w:right w:val="nil"/>
            </w:tcBorders>
          </w:tcPr>
          <w:p w14:paraId="7AD529A7" w14:textId="77777777" w:rsidR="0010265C" w:rsidRPr="00261B7A" w:rsidRDefault="0010265C" w:rsidP="00D013BA">
            <w:pPr>
              <w:pStyle w:val="TableText"/>
              <w:spacing w:before="20"/>
            </w:pPr>
            <w:r w:rsidRPr="00261B7A">
              <w:t>Estimated as the ratio of below-ground biomass to above-ground biomass</w:t>
            </w:r>
          </w:p>
        </w:tc>
        <w:tc>
          <w:tcPr>
            <w:tcW w:w="1014" w:type="pct"/>
            <w:tcBorders>
              <w:top w:val="nil"/>
              <w:left w:val="nil"/>
              <w:right w:val="nil"/>
            </w:tcBorders>
          </w:tcPr>
          <w:p w14:paraId="5EABDF22" w14:textId="77777777" w:rsidR="0010265C" w:rsidRPr="00261B7A" w:rsidRDefault="0010265C" w:rsidP="00D013BA">
            <w:pPr>
              <w:pStyle w:val="TableText"/>
              <w:spacing w:before="20"/>
            </w:pPr>
            <w:r w:rsidRPr="00261B7A">
              <w:t>Paul et al. (unpublished(b))</w:t>
            </w:r>
          </w:p>
        </w:tc>
      </w:tr>
      <w:tr w:rsidR="0010265C" w:rsidRPr="00261B7A" w14:paraId="6984712C" w14:textId="77777777" w:rsidTr="00D013BA">
        <w:tc>
          <w:tcPr>
            <w:tcW w:w="834" w:type="pct"/>
            <w:tcBorders>
              <w:top w:val="nil"/>
              <w:bottom w:val="nil"/>
              <w:right w:val="nil"/>
            </w:tcBorders>
          </w:tcPr>
          <w:p w14:paraId="3395F06C" w14:textId="77777777" w:rsidR="0010265C" w:rsidRPr="00261B7A" w:rsidRDefault="0010265C" w:rsidP="00D41492">
            <w:pPr>
              <w:pStyle w:val="TableText"/>
            </w:pPr>
          </w:p>
        </w:tc>
        <w:tc>
          <w:tcPr>
            <w:tcW w:w="750" w:type="pct"/>
            <w:tcBorders>
              <w:left w:val="nil"/>
              <w:bottom w:val="nil"/>
              <w:right w:val="nil"/>
            </w:tcBorders>
          </w:tcPr>
          <w:p w14:paraId="1A353662" w14:textId="77777777" w:rsidR="0010265C" w:rsidRPr="00261B7A" w:rsidRDefault="0010265C" w:rsidP="00D41492">
            <w:pPr>
              <w:pStyle w:val="TableText"/>
            </w:pPr>
            <w:r w:rsidRPr="00261B7A">
              <w:rPr>
                <w:b/>
              </w:rPr>
              <w:t>Dead organic matter</w:t>
            </w:r>
          </w:p>
        </w:tc>
        <w:tc>
          <w:tcPr>
            <w:tcW w:w="1009" w:type="pct"/>
            <w:tcBorders>
              <w:left w:val="nil"/>
              <w:bottom w:val="nil"/>
              <w:right w:val="nil"/>
            </w:tcBorders>
          </w:tcPr>
          <w:p w14:paraId="0673FB3D" w14:textId="77777777" w:rsidR="0010265C" w:rsidRPr="00261B7A" w:rsidRDefault="0010265C" w:rsidP="00D41492">
            <w:pPr>
              <w:pStyle w:val="TableText"/>
            </w:pPr>
            <w:r w:rsidRPr="00261B7A">
              <w:t>Dead wood</w:t>
            </w:r>
          </w:p>
        </w:tc>
        <w:tc>
          <w:tcPr>
            <w:tcW w:w="1393" w:type="pct"/>
            <w:tcBorders>
              <w:left w:val="nil"/>
              <w:bottom w:val="nil"/>
              <w:right w:val="nil"/>
            </w:tcBorders>
          </w:tcPr>
          <w:p w14:paraId="2A79F807" w14:textId="77777777" w:rsidR="0010265C" w:rsidRPr="00261B7A" w:rsidRDefault="0010265C" w:rsidP="00D41492">
            <w:pPr>
              <w:pStyle w:val="TableText"/>
            </w:pPr>
            <w:r w:rsidRPr="00261B7A">
              <w:t>Allometric model using plot measurements, included in national yield tables. Harvest residues added to dead wood pool through CRA</w:t>
            </w:r>
          </w:p>
        </w:tc>
        <w:tc>
          <w:tcPr>
            <w:tcW w:w="1014" w:type="pct"/>
            <w:tcBorders>
              <w:left w:val="nil"/>
              <w:bottom w:val="nil"/>
              <w:right w:val="nil"/>
            </w:tcBorders>
          </w:tcPr>
          <w:p w14:paraId="242CE61B" w14:textId="77777777" w:rsidR="0010265C" w:rsidRPr="00261B7A" w:rsidRDefault="0010265C" w:rsidP="00D41492">
            <w:pPr>
              <w:pStyle w:val="TableText"/>
            </w:pPr>
            <w:r w:rsidRPr="00261B7A">
              <w:t>Paul et al. (unpublished(b))</w:t>
            </w:r>
          </w:p>
        </w:tc>
      </w:tr>
      <w:tr w:rsidR="0010265C" w:rsidRPr="00261B7A" w14:paraId="174A6E5D" w14:textId="77777777" w:rsidTr="00D013BA">
        <w:tc>
          <w:tcPr>
            <w:tcW w:w="834" w:type="pct"/>
            <w:tcBorders>
              <w:top w:val="nil"/>
              <w:right w:val="nil"/>
            </w:tcBorders>
          </w:tcPr>
          <w:p w14:paraId="18F69D3F" w14:textId="77777777" w:rsidR="0010265C" w:rsidRPr="00261B7A" w:rsidRDefault="0010265C" w:rsidP="00D013BA">
            <w:pPr>
              <w:pStyle w:val="TableText"/>
              <w:spacing w:before="20"/>
            </w:pPr>
          </w:p>
        </w:tc>
        <w:tc>
          <w:tcPr>
            <w:tcW w:w="750" w:type="pct"/>
            <w:tcBorders>
              <w:top w:val="nil"/>
              <w:left w:val="nil"/>
              <w:right w:val="nil"/>
            </w:tcBorders>
          </w:tcPr>
          <w:p w14:paraId="47FB41D1" w14:textId="77777777" w:rsidR="0010265C" w:rsidRPr="00261B7A" w:rsidRDefault="0010265C" w:rsidP="00D013BA">
            <w:pPr>
              <w:pStyle w:val="TableText"/>
              <w:spacing w:before="20"/>
            </w:pPr>
          </w:p>
        </w:tc>
        <w:tc>
          <w:tcPr>
            <w:tcW w:w="1009" w:type="pct"/>
            <w:tcBorders>
              <w:top w:val="nil"/>
              <w:left w:val="nil"/>
              <w:right w:val="nil"/>
            </w:tcBorders>
          </w:tcPr>
          <w:p w14:paraId="0D18D728" w14:textId="77777777" w:rsidR="0010265C" w:rsidRPr="00261B7A" w:rsidRDefault="0010265C" w:rsidP="00D013BA">
            <w:pPr>
              <w:pStyle w:val="TableText"/>
              <w:spacing w:before="20"/>
            </w:pPr>
            <w:r w:rsidRPr="00261B7A">
              <w:t>Litter</w:t>
            </w:r>
          </w:p>
        </w:tc>
        <w:tc>
          <w:tcPr>
            <w:tcW w:w="1393" w:type="pct"/>
            <w:tcBorders>
              <w:top w:val="nil"/>
              <w:left w:val="nil"/>
              <w:right w:val="nil"/>
            </w:tcBorders>
          </w:tcPr>
          <w:p w14:paraId="0D02C00C" w14:textId="77777777" w:rsidR="0010265C" w:rsidRPr="00261B7A" w:rsidRDefault="0010265C" w:rsidP="00D013BA">
            <w:pPr>
              <w:pStyle w:val="TableText"/>
              <w:spacing w:before="20"/>
            </w:pPr>
            <w:r w:rsidRPr="00261B7A">
              <w:rPr>
                <w:rFonts w:cs="Segoe UI"/>
                <w:szCs w:val="16"/>
              </w:rPr>
              <w:t>Allometric model and percentage of above-ground biomass</w:t>
            </w:r>
          </w:p>
        </w:tc>
        <w:tc>
          <w:tcPr>
            <w:tcW w:w="1014" w:type="pct"/>
            <w:tcBorders>
              <w:top w:val="nil"/>
              <w:left w:val="nil"/>
              <w:right w:val="nil"/>
            </w:tcBorders>
          </w:tcPr>
          <w:p w14:paraId="3D8E4DC6" w14:textId="77777777" w:rsidR="0010265C" w:rsidRPr="00261B7A" w:rsidRDefault="0010265C" w:rsidP="00D013BA">
            <w:pPr>
              <w:pStyle w:val="TableText"/>
              <w:spacing w:before="20"/>
            </w:pPr>
            <w:r w:rsidRPr="00261B7A">
              <w:t>Paul et al. (unpublished(b))</w:t>
            </w:r>
          </w:p>
        </w:tc>
      </w:tr>
    </w:tbl>
    <w:p w14:paraId="1D789990" w14:textId="77777777" w:rsidR="0010265C" w:rsidRPr="00261B7A" w:rsidRDefault="0010265C" w:rsidP="0010265C">
      <w:pPr>
        <w:pStyle w:val="Heading5"/>
        <w:spacing w:before="360"/>
      </w:pPr>
      <w:bookmarkStart w:id="1748" w:name="_Toc255466335"/>
      <w:bookmarkStart w:id="1749" w:name="_Toc261513142"/>
      <w:bookmarkStart w:id="1750" w:name="_Toc261513755"/>
      <w:r w:rsidRPr="00261B7A">
        <w:t>Soil organic carbon</w:t>
      </w:r>
      <w:bookmarkEnd w:id="1748"/>
      <w:bookmarkEnd w:id="1749"/>
      <w:bookmarkEnd w:id="1750"/>
    </w:p>
    <w:p w14:paraId="36A7F07F" w14:textId="77777777" w:rsidR="0010265C" w:rsidRPr="00261B7A" w:rsidRDefault="0010265C" w:rsidP="0010265C">
      <w:pPr>
        <w:pStyle w:val="BodyText"/>
      </w:pPr>
      <w:r w:rsidRPr="00261B7A">
        <w:t xml:space="preserve">Soil organic carbon stocks in </w:t>
      </w:r>
      <w:r w:rsidRPr="00261B7A">
        <w:rPr>
          <w:i/>
        </w:rPr>
        <w:t>Forest land</w:t>
      </w:r>
      <w:r w:rsidRPr="00261B7A">
        <w:t xml:space="preserve"> </w:t>
      </w:r>
      <w:r w:rsidRPr="00261B7A">
        <w:rPr>
          <w:i/>
        </w:rPr>
        <w:t>remaining forest land</w:t>
      </w:r>
      <w:r w:rsidRPr="00261B7A">
        <w:t xml:space="preserve"> are estimated using a Tier 2 method for mineral soils, as described in annex A3.2.4 ‘Mineral soils’</w:t>
      </w:r>
      <w:r w:rsidRPr="00261B7A" w:rsidDel="00EC515B">
        <w:t>.</w:t>
      </w:r>
      <w:r w:rsidRPr="00261B7A">
        <w:t xml:space="preserve"> </w:t>
      </w:r>
    </w:p>
    <w:p w14:paraId="63C2010A" w14:textId="77777777" w:rsidR="0010265C" w:rsidRPr="00261B7A" w:rsidRDefault="0010265C" w:rsidP="0010265C">
      <w:pPr>
        <w:pStyle w:val="BodyText"/>
      </w:pPr>
      <w:r w:rsidRPr="00261B7A">
        <w:t>For organic soils, IPCC good practice guidance is limited to the estimation of carbon emissions associated with the drainage of organic soils in managed forests (IPCC, 2006a, section 4.2.3.1). In New Zealand, natural forests are not drained and, therefore, oxidation processes associated with drainage are not occurring. It is therefore assumed that there are no carbon emissions from organic soils in pre-1990 natural forest land remaining pre</w:t>
      </w:r>
      <w:r w:rsidRPr="00261B7A">
        <w:noBreakHyphen/>
        <w:t xml:space="preserve">1990 natural forest land. A Tier 1 approach for pre-1990 planted, post-1989 planted and post-1989 natural </w:t>
      </w:r>
      <w:r w:rsidRPr="00261B7A">
        <w:rPr>
          <w:i/>
          <w:iCs/>
        </w:rPr>
        <w:t>Forest land remaining forest land</w:t>
      </w:r>
      <w:r w:rsidRPr="00261B7A">
        <w:t xml:space="preserve"> is applied and is described further in annex A3.2.4 ‘Organic soils’. </w:t>
      </w:r>
    </w:p>
    <w:p w14:paraId="24AED2B9" w14:textId="77777777" w:rsidR="0010265C" w:rsidRPr="00261B7A" w:rsidRDefault="0010265C" w:rsidP="0010265C">
      <w:pPr>
        <w:pStyle w:val="Heading5"/>
      </w:pPr>
      <w:r w:rsidRPr="00261B7A">
        <w:t>Non-CO</w:t>
      </w:r>
      <w:r w:rsidRPr="00261B7A">
        <w:rPr>
          <w:vertAlign w:val="subscript"/>
        </w:rPr>
        <w:t>2</w:t>
      </w:r>
      <w:r w:rsidRPr="00261B7A">
        <w:t xml:space="preserve"> emissions for forest land </w:t>
      </w:r>
    </w:p>
    <w:p w14:paraId="61D6C0DF" w14:textId="77777777" w:rsidR="0010265C" w:rsidRPr="00261B7A" w:rsidRDefault="0010265C" w:rsidP="0010265C">
      <w:pPr>
        <w:pStyle w:val="BodyText"/>
      </w:pPr>
      <w:r w:rsidRPr="00261B7A">
        <w:t>Direct and indirect nitrous oxide emissions from fertilisation of forest land and disturbance associated with land use management conversion are described in section 6.10. Note that the calculations of indirect N</w:t>
      </w:r>
      <w:r w:rsidRPr="00261B7A">
        <w:rPr>
          <w:vertAlign w:val="subscript"/>
        </w:rPr>
        <w:t>2</w:t>
      </w:r>
      <w:r w:rsidRPr="00261B7A">
        <w:t xml:space="preserve">O are not disaggregated by subcategory and are therefore not included in the emissions subtotals for </w:t>
      </w:r>
      <w:r w:rsidRPr="00261B7A">
        <w:rPr>
          <w:i/>
        </w:rPr>
        <w:t>Forest land</w:t>
      </w:r>
      <w:r w:rsidRPr="00261B7A">
        <w:t>.</w:t>
      </w:r>
    </w:p>
    <w:p w14:paraId="06B217A9" w14:textId="77777777" w:rsidR="0010265C" w:rsidRPr="00261B7A" w:rsidRDefault="0010265C" w:rsidP="0010265C">
      <w:pPr>
        <w:pStyle w:val="Heading4"/>
      </w:pPr>
      <w:bookmarkStart w:id="1751" w:name="_Toc255466343"/>
      <w:bookmarkStart w:id="1752" w:name="_Toc261513150"/>
      <w:bookmarkStart w:id="1753" w:name="_Toc261513763"/>
      <w:bookmarkStart w:id="1754" w:name="_Toc280630251"/>
      <w:r w:rsidRPr="00261B7A">
        <w:t>Land converted to forest land</w:t>
      </w:r>
      <w:bookmarkEnd w:id="1751"/>
      <w:bookmarkEnd w:id="1752"/>
      <w:bookmarkEnd w:id="1753"/>
      <w:bookmarkEnd w:id="1754"/>
      <w:r w:rsidRPr="00261B7A">
        <w:t xml:space="preserve"> (CRF 4.A.2)</w:t>
      </w:r>
    </w:p>
    <w:p w14:paraId="79427067" w14:textId="77777777" w:rsidR="0010265C" w:rsidRPr="00261B7A" w:rsidRDefault="0010265C" w:rsidP="0010265C">
      <w:pPr>
        <w:pStyle w:val="BodyText"/>
        <w:spacing w:before="100" w:after="100"/>
      </w:pPr>
      <w:r w:rsidRPr="00261B7A">
        <w:t xml:space="preserve">All </w:t>
      </w:r>
      <w:r w:rsidRPr="00261B7A">
        <w:rPr>
          <w:i/>
        </w:rPr>
        <w:t>Land converted to forest land</w:t>
      </w:r>
      <w:r w:rsidRPr="00261B7A">
        <w:t xml:space="preserve"> since 1 January 1990, either by planting or as a result of human-induced changes in land-management practice (e.g., removing grazing stock and actively facilitating the regeneration of tree species), is included as post-1989 forest. Post</w:t>
      </w:r>
      <w:r w:rsidRPr="00261B7A">
        <w:noBreakHyphen/>
        <w:t>1989 forest is split into two divisions for calculating emissions and removals: post</w:t>
      </w:r>
      <w:r w:rsidRPr="00261B7A">
        <w:noBreakHyphen/>
        <w:t xml:space="preserve">1989 natural forest and post-1989 planted forest. </w:t>
      </w:r>
    </w:p>
    <w:p w14:paraId="04DF2099" w14:textId="77777777" w:rsidR="0010265C" w:rsidRPr="00261B7A" w:rsidRDefault="0010265C" w:rsidP="0010265C">
      <w:pPr>
        <w:pStyle w:val="BodyText"/>
        <w:spacing w:before="100" w:after="100"/>
        <w:rPr>
          <w:spacing w:val="-2"/>
        </w:rPr>
      </w:pPr>
      <w:r w:rsidRPr="00261B7A">
        <w:t>The area of land converted to natural and planted forests is derived from a combination of land use mapping, national statistics and forestry scheme data. Further details on how the area of new forest establishment is calculated are provided in annex A3.2.2.</w:t>
      </w:r>
    </w:p>
    <w:p w14:paraId="7EF246C0" w14:textId="77777777" w:rsidR="0010265C" w:rsidRPr="00261B7A" w:rsidRDefault="0010265C" w:rsidP="0010265C">
      <w:pPr>
        <w:pStyle w:val="BodyText"/>
        <w:spacing w:before="100" w:after="100"/>
        <w:rPr>
          <w:spacing w:val="-2"/>
        </w:rPr>
      </w:pPr>
      <w:r w:rsidRPr="00261B7A">
        <w:rPr>
          <w:spacing w:val="-2"/>
        </w:rPr>
        <w:t xml:space="preserve">When non-forest land is converted to forest land, all carbon in living biomass that was present at the time of forest establishment is assumed to be instantly emitted as a result of forest establishment preparation, with the exception of </w:t>
      </w:r>
      <w:r w:rsidRPr="00261B7A">
        <w:rPr>
          <w:i/>
          <w:iCs/>
          <w:spacing w:val="-2"/>
        </w:rPr>
        <w:t>Grassland with woody biomass</w:t>
      </w:r>
      <w:r w:rsidRPr="00261B7A">
        <w:rPr>
          <w:spacing w:val="-2"/>
        </w:rPr>
        <w:t xml:space="preserve">. Conversions from </w:t>
      </w:r>
      <w:r w:rsidRPr="00261B7A">
        <w:rPr>
          <w:i/>
          <w:iCs/>
          <w:spacing w:val="-2"/>
        </w:rPr>
        <w:t>Grassland with woody biomass</w:t>
      </w:r>
      <w:r w:rsidRPr="00261B7A">
        <w:rPr>
          <w:spacing w:val="-2"/>
        </w:rPr>
        <w:t xml:space="preserve"> to post-1989 natural forest represent ecological succession and do not involve the clearance of vegetation. A special case yield table (see </w:t>
      </w:r>
      <w:r w:rsidRPr="00261B7A">
        <w:rPr>
          <w:rFonts w:asciiTheme="minorHAnsi" w:hAnsiTheme="minorHAnsi" w:cstheme="minorHAnsi"/>
        </w:rPr>
        <w:t>annex 3.2.</w:t>
      </w:r>
      <w:r w:rsidRPr="00261B7A" w:rsidDel="002D24D7">
        <w:rPr>
          <w:rFonts w:asciiTheme="minorHAnsi" w:hAnsiTheme="minorHAnsi" w:cstheme="minorHAnsi"/>
        </w:rPr>
        <w:t>5</w:t>
      </w:r>
      <w:r w:rsidRPr="00261B7A">
        <w:rPr>
          <w:rFonts w:asciiTheme="minorHAnsi" w:hAnsiTheme="minorHAnsi" w:cstheme="minorHAnsi"/>
        </w:rPr>
        <w:t xml:space="preserve">, </w:t>
      </w:r>
      <w:r w:rsidRPr="00261B7A">
        <w:rPr>
          <w:spacing w:val="-2"/>
        </w:rPr>
        <w:t xml:space="preserve">table A3.2.16) is used in these instances. This yield table has the same starting carbon stock as </w:t>
      </w:r>
      <w:r w:rsidRPr="00261B7A">
        <w:rPr>
          <w:i/>
          <w:iCs/>
          <w:spacing w:val="-2"/>
        </w:rPr>
        <w:t>Grassland with woody biomass</w:t>
      </w:r>
      <w:r w:rsidRPr="00261B7A">
        <w:rPr>
          <w:spacing w:val="-2"/>
        </w:rPr>
        <w:t xml:space="preserve">, therefore resulting in no net emissions occurring from biomass in the first year after conversion. This does not impact net carbon dioxide removals by the time the forest reaches the age of 30 years, but impacts the year in which reported emissions and removals occur. </w:t>
      </w:r>
    </w:p>
    <w:p w14:paraId="2F91244B" w14:textId="77777777" w:rsidR="0010265C" w:rsidRPr="00261B7A" w:rsidRDefault="0010265C" w:rsidP="0010265C">
      <w:pPr>
        <w:pStyle w:val="BodyText"/>
        <w:spacing w:before="100" w:after="100"/>
      </w:pPr>
      <w:r w:rsidRPr="00261B7A">
        <w:rPr>
          <w:spacing w:val="-2"/>
        </w:rPr>
        <w:t xml:space="preserve">Between 1990 and 2021, of the non-forest land converted to post-1989 forest, approximately 61 per cent has been converted from low producing grassland, 22 per cent from </w:t>
      </w:r>
      <w:r w:rsidRPr="00261B7A">
        <w:rPr>
          <w:i/>
          <w:iCs/>
          <w:spacing w:val="-2"/>
        </w:rPr>
        <w:t>Grassland with woody biomass</w:t>
      </w:r>
      <w:r w:rsidRPr="00261B7A">
        <w:rPr>
          <w:spacing w:val="-2"/>
        </w:rPr>
        <w:t xml:space="preserve"> and a further 16 per cent from high producing grassland. Note that the grassland type allocated to afforestation in non-mapped years is proportionally based on previously mapped years. </w:t>
      </w:r>
      <w:r w:rsidRPr="00261B7A">
        <w:rPr>
          <w:i/>
          <w:iCs/>
          <w:spacing w:val="-2"/>
        </w:rPr>
        <w:t>Grassland with woody biomass</w:t>
      </w:r>
      <w:r w:rsidRPr="00261B7A">
        <w:rPr>
          <w:spacing w:val="-2"/>
        </w:rPr>
        <w:t xml:space="preserve"> provides the largest source of emissions associated with land-use change to planted forest due to the amount of biomass present before land use conversion. </w:t>
      </w:r>
    </w:p>
    <w:p w14:paraId="6E2A247D" w14:textId="77777777" w:rsidR="0010265C" w:rsidRPr="00261B7A" w:rsidRDefault="0010265C" w:rsidP="0010265C">
      <w:pPr>
        <w:pStyle w:val="BodyText"/>
        <w:spacing w:before="100" w:after="100"/>
      </w:pPr>
      <w:r w:rsidRPr="00261B7A">
        <w:t>Details on the methods, plot network, sampling framework and biomass pools for both post</w:t>
      </w:r>
      <w:r w:rsidRPr="00261B7A">
        <w:noBreakHyphen/>
        <w:t xml:space="preserve">1989 planted and post-1989 natural forest are provided in annex A3.2.5 ‘National forest inventory’. </w:t>
      </w:r>
    </w:p>
    <w:p w14:paraId="61C6C80B" w14:textId="77777777" w:rsidR="0010265C" w:rsidRPr="00261B7A" w:rsidRDefault="0010265C" w:rsidP="0010265C">
      <w:pPr>
        <w:pStyle w:val="Heading3"/>
      </w:pPr>
      <w:bookmarkStart w:id="1755" w:name="_Toc255466354"/>
      <w:bookmarkStart w:id="1756" w:name="_Toc261513161"/>
      <w:bookmarkStart w:id="1757" w:name="_Toc261513774"/>
      <w:bookmarkStart w:id="1758" w:name="_Toc280630254"/>
      <w:bookmarkStart w:id="1759" w:name="_Toc373395713"/>
      <w:r w:rsidRPr="00261B7A">
        <w:t>6</w:t>
      </w:r>
      <w:bookmarkStart w:id="1760" w:name="_Hlk73363629"/>
      <w:r w:rsidRPr="00261B7A">
        <w:t>.3.3</w:t>
      </w:r>
      <w:r w:rsidRPr="00261B7A">
        <w:tab/>
        <w:t>Uncertainties and time-series consistency</w:t>
      </w:r>
      <w:bookmarkEnd w:id="1755"/>
      <w:bookmarkEnd w:id="1756"/>
      <w:bookmarkEnd w:id="1757"/>
      <w:bookmarkEnd w:id="1758"/>
      <w:bookmarkEnd w:id="1759"/>
    </w:p>
    <w:p w14:paraId="21F538EC" w14:textId="5A384DC2" w:rsidR="0010265C" w:rsidRPr="00261B7A" w:rsidRDefault="0010265C" w:rsidP="0010265C">
      <w:pPr>
        <w:pStyle w:val="BodyText"/>
      </w:pPr>
      <w:r w:rsidRPr="00261B7A">
        <w:t xml:space="preserve">The uncertainty in net carbon emissions from </w:t>
      </w:r>
      <w:r w:rsidRPr="00261B7A">
        <w:rPr>
          <w:i/>
          <w:iCs/>
        </w:rPr>
        <w:t>Forest land</w:t>
      </w:r>
      <w:r w:rsidRPr="00261B7A">
        <w:t xml:space="preserve"> was 80.8 per cent in 2021. The uncertainty in net carbon emissions from </w:t>
      </w:r>
      <w:r w:rsidRPr="00261B7A">
        <w:rPr>
          <w:i/>
        </w:rPr>
        <w:t>Forest land</w:t>
      </w:r>
      <w:r w:rsidRPr="00261B7A">
        <w:t xml:space="preserve"> accounted for 61.3 per cent of the total uncertainty in emissions from the LULUCF sector. The uncertainty associated with the emissions from each forest class is shown in table 6.3.9. The methods used to calculate the uncertainty are further described in annex A3.2.8.</w:t>
      </w:r>
      <w:r w:rsidR="00F76BE8" w:rsidRPr="00261B7A">
        <w:t xml:space="preserve"> </w:t>
      </w:r>
    </w:p>
    <w:p w14:paraId="579570ED" w14:textId="77777777" w:rsidR="0010265C" w:rsidRPr="00261B7A" w:rsidRDefault="0010265C" w:rsidP="0010265C">
      <w:pPr>
        <w:pStyle w:val="BodyText"/>
      </w:pPr>
      <w:r w:rsidRPr="00261B7A">
        <w:t xml:space="preserve">Time-series consistency is ensured by applying consistent methods and full recalculations in the event of any refinement or improvement to methodology. </w:t>
      </w:r>
    </w:p>
    <w:p w14:paraId="1B1A20F9" w14:textId="77777777" w:rsidR="0010265C" w:rsidRPr="00261B7A" w:rsidRDefault="0010265C" w:rsidP="00E24718">
      <w:pPr>
        <w:pStyle w:val="Table"/>
      </w:pPr>
      <w:bookmarkStart w:id="1761" w:name="_Toc131591399"/>
      <w:r w:rsidRPr="00261B7A">
        <w:t>Table 6.3.9</w:t>
      </w:r>
      <w:r w:rsidRPr="00261B7A">
        <w:tab/>
        <w:t xml:space="preserve">Uncertainty in carbon stock change emissions in 2021 from </w:t>
      </w:r>
      <w:r w:rsidRPr="00261B7A">
        <w:rPr>
          <w:i/>
        </w:rPr>
        <w:t>Forest land</w:t>
      </w:r>
      <w:bookmarkEnd w:id="1761"/>
    </w:p>
    <w:tbl>
      <w:tblPr>
        <w:tblW w:w="8505" w:type="dxa"/>
        <w:tblLayout w:type="fixed"/>
        <w:tblLook w:val="04A0" w:firstRow="1" w:lastRow="0" w:firstColumn="1" w:lastColumn="0" w:noHBand="0" w:noVBand="1"/>
      </w:tblPr>
      <w:tblGrid>
        <w:gridCol w:w="1985"/>
        <w:gridCol w:w="1559"/>
        <w:gridCol w:w="2126"/>
        <w:gridCol w:w="2835"/>
      </w:tblGrid>
      <w:tr w:rsidR="0010265C" w:rsidRPr="00261B7A" w14:paraId="554D7E6D" w14:textId="77777777" w:rsidTr="00B276FF">
        <w:tc>
          <w:tcPr>
            <w:tcW w:w="1985" w:type="dxa"/>
            <w:tcBorders>
              <w:top w:val="single" w:sz="4" w:space="0" w:color="1B556B"/>
            </w:tcBorders>
            <w:shd w:val="clear" w:color="auto" w:fill="1B556B"/>
            <w:vAlign w:val="bottom"/>
          </w:tcPr>
          <w:p w14:paraId="546FA102" w14:textId="77777777" w:rsidR="0010265C" w:rsidRPr="00261B7A" w:rsidRDefault="0010265C" w:rsidP="00D41492">
            <w:pPr>
              <w:pStyle w:val="TableTextBold"/>
              <w:spacing w:before="40" w:after="40"/>
              <w:rPr>
                <w:noProof w:val="0"/>
                <w:color w:val="FFFFFF"/>
                <w:szCs w:val="16"/>
              </w:rPr>
            </w:pPr>
          </w:p>
        </w:tc>
        <w:tc>
          <w:tcPr>
            <w:tcW w:w="1559" w:type="dxa"/>
            <w:tcBorders>
              <w:top w:val="single" w:sz="4" w:space="0" w:color="1B556B"/>
            </w:tcBorders>
            <w:shd w:val="clear" w:color="auto" w:fill="1B556B"/>
            <w:vAlign w:val="bottom"/>
          </w:tcPr>
          <w:p w14:paraId="5980BE8A" w14:textId="77777777" w:rsidR="0010265C" w:rsidRPr="00261B7A" w:rsidRDefault="0010265C" w:rsidP="00D41492">
            <w:pPr>
              <w:pStyle w:val="TableTextBold"/>
              <w:spacing w:before="40" w:after="40"/>
              <w:jc w:val="right"/>
              <w:rPr>
                <w:noProof w:val="0"/>
                <w:color w:val="FFFFFF"/>
                <w:szCs w:val="16"/>
              </w:rPr>
            </w:pPr>
            <w:r w:rsidRPr="00261B7A">
              <w:rPr>
                <w:noProof w:val="0"/>
                <w:color w:val="FFFFFF"/>
                <w:szCs w:val="16"/>
              </w:rPr>
              <w:t>Emissions (kt CO</w:t>
            </w:r>
            <w:r w:rsidRPr="00261B7A">
              <w:rPr>
                <w:noProof w:val="0"/>
                <w:color w:val="FFFFFF"/>
                <w:szCs w:val="16"/>
                <w:vertAlign w:val="subscript"/>
              </w:rPr>
              <w:t>2</w:t>
            </w:r>
            <w:r w:rsidRPr="00261B7A">
              <w:rPr>
                <w:noProof w:val="0"/>
                <w:color w:val="FFFFFF"/>
                <w:szCs w:val="16"/>
              </w:rPr>
              <w:t>-e)</w:t>
            </w:r>
          </w:p>
        </w:tc>
        <w:tc>
          <w:tcPr>
            <w:tcW w:w="2126" w:type="dxa"/>
            <w:tcBorders>
              <w:top w:val="single" w:sz="4" w:space="0" w:color="1B556B"/>
            </w:tcBorders>
            <w:shd w:val="clear" w:color="auto" w:fill="1B556B"/>
            <w:vAlign w:val="bottom"/>
          </w:tcPr>
          <w:p w14:paraId="3B1A94CA" w14:textId="77777777" w:rsidR="0010265C" w:rsidRPr="00261B7A" w:rsidRDefault="0010265C" w:rsidP="00D41492">
            <w:pPr>
              <w:pStyle w:val="TableTextBold"/>
              <w:spacing w:before="40" w:after="40"/>
              <w:jc w:val="right"/>
              <w:rPr>
                <w:noProof w:val="0"/>
                <w:color w:val="FFFFFF"/>
                <w:szCs w:val="16"/>
              </w:rPr>
            </w:pPr>
            <w:r w:rsidRPr="00261B7A">
              <w:rPr>
                <w:noProof w:val="0"/>
                <w:color w:val="FFFFFF"/>
                <w:szCs w:val="16"/>
              </w:rPr>
              <w:t>Uncertainty in emissions (%)</w:t>
            </w:r>
          </w:p>
        </w:tc>
        <w:tc>
          <w:tcPr>
            <w:tcW w:w="2835" w:type="dxa"/>
            <w:tcBorders>
              <w:top w:val="single" w:sz="4" w:space="0" w:color="1B556B"/>
            </w:tcBorders>
            <w:shd w:val="clear" w:color="auto" w:fill="1B556B"/>
            <w:vAlign w:val="bottom"/>
          </w:tcPr>
          <w:p w14:paraId="05CAEF5D" w14:textId="77777777" w:rsidR="0010265C" w:rsidRPr="00261B7A" w:rsidRDefault="0010265C" w:rsidP="00D41492">
            <w:pPr>
              <w:pStyle w:val="TableTextBold"/>
              <w:spacing w:before="40" w:after="40"/>
              <w:jc w:val="right"/>
              <w:rPr>
                <w:noProof w:val="0"/>
                <w:color w:val="FFFFFF"/>
                <w:szCs w:val="16"/>
              </w:rPr>
            </w:pPr>
            <w:r w:rsidRPr="00261B7A">
              <w:rPr>
                <w:noProof w:val="0"/>
                <w:color w:val="FFFFFF"/>
                <w:szCs w:val="16"/>
              </w:rPr>
              <w:t>Contribution to LULUCF uncertainty (%)</w:t>
            </w:r>
          </w:p>
        </w:tc>
      </w:tr>
      <w:tr w:rsidR="0010265C" w:rsidRPr="00261B7A" w14:paraId="710301B4" w14:textId="77777777" w:rsidTr="00B276FF">
        <w:tc>
          <w:tcPr>
            <w:tcW w:w="1985" w:type="dxa"/>
            <w:tcBorders>
              <w:top w:val="single" w:sz="4" w:space="0" w:color="1B556B"/>
              <w:bottom w:val="single" w:sz="4" w:space="0" w:color="365F91"/>
            </w:tcBorders>
          </w:tcPr>
          <w:p w14:paraId="18F80BEB" w14:textId="77777777" w:rsidR="0010265C" w:rsidRPr="00261B7A" w:rsidRDefault="0010265C" w:rsidP="00D41492">
            <w:pPr>
              <w:pStyle w:val="TableText"/>
              <w:spacing w:before="40" w:after="40"/>
              <w:rPr>
                <w:szCs w:val="16"/>
              </w:rPr>
            </w:pPr>
            <w:r w:rsidRPr="00261B7A">
              <w:rPr>
                <w:szCs w:val="16"/>
              </w:rPr>
              <w:t>Pre-1990 planted forest</w:t>
            </w:r>
          </w:p>
        </w:tc>
        <w:tc>
          <w:tcPr>
            <w:tcW w:w="1559" w:type="dxa"/>
            <w:tcBorders>
              <w:top w:val="single" w:sz="4" w:space="0" w:color="1B556B"/>
              <w:bottom w:val="single" w:sz="4" w:space="0" w:color="365F91"/>
            </w:tcBorders>
            <w:vAlign w:val="bottom"/>
          </w:tcPr>
          <w:p w14:paraId="7EEDF48F" w14:textId="77777777" w:rsidR="0010265C" w:rsidRPr="00261B7A" w:rsidRDefault="0010265C" w:rsidP="00D41492">
            <w:pPr>
              <w:pStyle w:val="TableText"/>
              <w:spacing w:before="40" w:after="40"/>
              <w:jc w:val="right"/>
              <w:rPr>
                <w:szCs w:val="16"/>
              </w:rPr>
            </w:pPr>
            <w:r w:rsidRPr="00261B7A">
              <w:rPr>
                <w:rFonts w:cs="Calibri"/>
                <w:szCs w:val="16"/>
              </w:rPr>
              <w:t>–</w:t>
            </w:r>
            <w:r w:rsidRPr="00261B7A">
              <w:rPr>
                <w:rFonts w:cs="Calibri"/>
                <w:color w:val="000000"/>
                <w:szCs w:val="16"/>
              </w:rPr>
              <w:t>7,822,521</w:t>
            </w:r>
          </w:p>
        </w:tc>
        <w:tc>
          <w:tcPr>
            <w:tcW w:w="2126" w:type="dxa"/>
            <w:tcBorders>
              <w:top w:val="single" w:sz="4" w:space="0" w:color="1B556B"/>
              <w:bottom w:val="single" w:sz="4" w:space="0" w:color="365F91"/>
            </w:tcBorders>
            <w:vAlign w:val="bottom"/>
          </w:tcPr>
          <w:p w14:paraId="09CC0904"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149.6</w:t>
            </w:r>
          </w:p>
        </w:tc>
        <w:tc>
          <w:tcPr>
            <w:tcW w:w="2835" w:type="dxa"/>
            <w:tcBorders>
              <w:top w:val="single" w:sz="4" w:space="0" w:color="1B556B"/>
              <w:bottom w:val="single" w:sz="4" w:space="0" w:color="365F91"/>
            </w:tcBorders>
            <w:vAlign w:val="bottom"/>
          </w:tcPr>
          <w:p w14:paraId="738283B1"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55.5</w:t>
            </w:r>
          </w:p>
        </w:tc>
      </w:tr>
      <w:tr w:rsidR="0010265C" w:rsidRPr="00261B7A" w14:paraId="2CB05B58" w14:textId="77777777" w:rsidTr="00B276FF">
        <w:tc>
          <w:tcPr>
            <w:tcW w:w="1985" w:type="dxa"/>
            <w:tcBorders>
              <w:top w:val="single" w:sz="4" w:space="0" w:color="365F91"/>
              <w:bottom w:val="single" w:sz="4" w:space="0" w:color="365F91"/>
            </w:tcBorders>
          </w:tcPr>
          <w:p w14:paraId="1B653F85" w14:textId="77777777" w:rsidR="0010265C" w:rsidRPr="00261B7A" w:rsidRDefault="0010265C" w:rsidP="00D41492">
            <w:pPr>
              <w:pStyle w:val="TableText"/>
              <w:spacing w:before="40" w:after="40"/>
              <w:rPr>
                <w:szCs w:val="16"/>
              </w:rPr>
            </w:pPr>
            <w:r w:rsidRPr="00261B7A">
              <w:rPr>
                <w:szCs w:val="16"/>
              </w:rPr>
              <w:t>Post-1989 planted forest</w:t>
            </w:r>
          </w:p>
        </w:tc>
        <w:tc>
          <w:tcPr>
            <w:tcW w:w="1559" w:type="dxa"/>
            <w:tcBorders>
              <w:top w:val="single" w:sz="4" w:space="0" w:color="365F91"/>
              <w:bottom w:val="single" w:sz="4" w:space="0" w:color="365F91"/>
            </w:tcBorders>
            <w:vAlign w:val="bottom"/>
          </w:tcPr>
          <w:p w14:paraId="16427ECD" w14:textId="77777777" w:rsidR="0010265C" w:rsidRPr="00261B7A" w:rsidRDefault="0010265C" w:rsidP="00D41492">
            <w:pPr>
              <w:pStyle w:val="TableText"/>
              <w:spacing w:before="40" w:after="40"/>
              <w:jc w:val="right"/>
              <w:rPr>
                <w:szCs w:val="16"/>
              </w:rPr>
            </w:pPr>
            <w:r w:rsidRPr="00261B7A">
              <w:rPr>
                <w:rFonts w:cs="Calibri"/>
                <w:szCs w:val="16"/>
              </w:rPr>
              <w:t>–</w:t>
            </w:r>
            <w:r w:rsidRPr="00261B7A">
              <w:rPr>
                <w:rFonts w:cs="Calibri"/>
                <w:color w:val="000000"/>
                <w:szCs w:val="16"/>
              </w:rPr>
              <w:t>6,083,896</w:t>
            </w:r>
          </w:p>
        </w:tc>
        <w:tc>
          <w:tcPr>
            <w:tcW w:w="2126" w:type="dxa"/>
            <w:tcBorders>
              <w:top w:val="single" w:sz="4" w:space="0" w:color="365F91"/>
              <w:bottom w:val="single" w:sz="4" w:space="0" w:color="365F91"/>
            </w:tcBorders>
            <w:vAlign w:val="bottom"/>
          </w:tcPr>
          <w:p w14:paraId="10073BC4"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67.7</w:t>
            </w:r>
          </w:p>
        </w:tc>
        <w:tc>
          <w:tcPr>
            <w:tcW w:w="2835" w:type="dxa"/>
            <w:tcBorders>
              <w:top w:val="single" w:sz="4" w:space="0" w:color="365F91"/>
              <w:bottom w:val="single" w:sz="4" w:space="0" w:color="365F91"/>
            </w:tcBorders>
            <w:vAlign w:val="bottom"/>
          </w:tcPr>
          <w:p w14:paraId="008C9803"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19.5</w:t>
            </w:r>
          </w:p>
        </w:tc>
      </w:tr>
      <w:tr w:rsidR="0010265C" w:rsidRPr="00261B7A" w14:paraId="6ABD2732" w14:textId="77777777" w:rsidTr="00B276FF">
        <w:tc>
          <w:tcPr>
            <w:tcW w:w="1985" w:type="dxa"/>
            <w:tcBorders>
              <w:top w:val="single" w:sz="4" w:space="0" w:color="365F91"/>
              <w:bottom w:val="single" w:sz="4" w:space="0" w:color="365F91"/>
            </w:tcBorders>
          </w:tcPr>
          <w:p w14:paraId="04AD17EA" w14:textId="77777777" w:rsidR="0010265C" w:rsidRPr="00261B7A" w:rsidRDefault="0010265C" w:rsidP="00D41492">
            <w:pPr>
              <w:pStyle w:val="TableText"/>
              <w:spacing w:before="40" w:after="40"/>
              <w:rPr>
                <w:szCs w:val="16"/>
              </w:rPr>
            </w:pPr>
            <w:r w:rsidRPr="00261B7A">
              <w:rPr>
                <w:szCs w:val="16"/>
              </w:rPr>
              <w:t>Pre-1990 natural forest</w:t>
            </w:r>
          </w:p>
        </w:tc>
        <w:tc>
          <w:tcPr>
            <w:tcW w:w="1559" w:type="dxa"/>
            <w:tcBorders>
              <w:top w:val="single" w:sz="4" w:space="0" w:color="365F91"/>
              <w:bottom w:val="single" w:sz="4" w:space="0" w:color="365F91"/>
            </w:tcBorders>
            <w:vAlign w:val="bottom"/>
          </w:tcPr>
          <w:p w14:paraId="7F7B1BEC" w14:textId="77777777" w:rsidR="0010265C" w:rsidRPr="00261B7A" w:rsidRDefault="0010265C" w:rsidP="00D41492">
            <w:pPr>
              <w:pStyle w:val="TableText"/>
              <w:spacing w:before="40" w:after="40"/>
              <w:jc w:val="right"/>
              <w:rPr>
                <w:szCs w:val="16"/>
              </w:rPr>
            </w:pPr>
            <w:r w:rsidRPr="00261B7A">
              <w:rPr>
                <w:rFonts w:cs="Calibri"/>
                <w:szCs w:val="16"/>
              </w:rPr>
              <w:t>–</w:t>
            </w:r>
            <w:r w:rsidRPr="00261B7A">
              <w:rPr>
                <w:rFonts w:cs="Calibri"/>
                <w:color w:val="000000"/>
                <w:szCs w:val="16"/>
              </w:rPr>
              <w:t>1,369,874</w:t>
            </w:r>
          </w:p>
        </w:tc>
        <w:tc>
          <w:tcPr>
            <w:tcW w:w="2126" w:type="dxa"/>
            <w:tcBorders>
              <w:top w:val="single" w:sz="4" w:space="0" w:color="365F91"/>
              <w:bottom w:val="single" w:sz="4" w:space="0" w:color="365F91"/>
            </w:tcBorders>
            <w:vAlign w:val="bottom"/>
          </w:tcPr>
          <w:p w14:paraId="30EB1FDD"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263.4</w:t>
            </w:r>
          </w:p>
        </w:tc>
        <w:tc>
          <w:tcPr>
            <w:tcW w:w="2835" w:type="dxa"/>
            <w:tcBorders>
              <w:top w:val="single" w:sz="4" w:space="0" w:color="365F91"/>
              <w:bottom w:val="single" w:sz="4" w:space="0" w:color="365F91"/>
            </w:tcBorders>
            <w:vAlign w:val="bottom"/>
          </w:tcPr>
          <w:p w14:paraId="47322B8A"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17.1</w:t>
            </w:r>
          </w:p>
        </w:tc>
      </w:tr>
      <w:tr w:rsidR="0010265C" w:rsidRPr="00261B7A" w14:paraId="2688AE3F" w14:textId="77777777" w:rsidTr="00B276FF">
        <w:tc>
          <w:tcPr>
            <w:tcW w:w="1985" w:type="dxa"/>
            <w:tcBorders>
              <w:top w:val="single" w:sz="4" w:space="0" w:color="365F91"/>
              <w:bottom w:val="single" w:sz="4" w:space="0" w:color="365F91"/>
            </w:tcBorders>
          </w:tcPr>
          <w:p w14:paraId="75958FBD" w14:textId="77777777" w:rsidR="0010265C" w:rsidRPr="00261B7A" w:rsidRDefault="0010265C" w:rsidP="00D41492">
            <w:pPr>
              <w:pStyle w:val="TableText"/>
              <w:spacing w:before="40" w:after="40"/>
              <w:rPr>
                <w:szCs w:val="16"/>
              </w:rPr>
            </w:pPr>
            <w:r w:rsidRPr="00261B7A">
              <w:rPr>
                <w:szCs w:val="16"/>
              </w:rPr>
              <w:t>Post-1989 natural forest</w:t>
            </w:r>
          </w:p>
        </w:tc>
        <w:tc>
          <w:tcPr>
            <w:tcW w:w="1559" w:type="dxa"/>
            <w:tcBorders>
              <w:top w:val="single" w:sz="4" w:space="0" w:color="365F91"/>
              <w:bottom w:val="single" w:sz="4" w:space="0" w:color="365F91"/>
            </w:tcBorders>
            <w:vAlign w:val="bottom"/>
          </w:tcPr>
          <w:p w14:paraId="05B8390E" w14:textId="77777777" w:rsidR="0010265C" w:rsidRPr="00261B7A" w:rsidRDefault="0010265C" w:rsidP="00D41492">
            <w:pPr>
              <w:pStyle w:val="TableText"/>
              <w:spacing w:before="40" w:after="40"/>
              <w:jc w:val="right"/>
              <w:rPr>
                <w:szCs w:val="16"/>
              </w:rPr>
            </w:pPr>
            <w:r w:rsidRPr="00261B7A">
              <w:rPr>
                <w:rFonts w:cs="Calibri"/>
                <w:szCs w:val="16"/>
              </w:rPr>
              <w:t>–</w:t>
            </w:r>
            <w:r w:rsidRPr="00261B7A">
              <w:rPr>
                <w:rFonts w:cs="Calibri"/>
                <w:color w:val="000000"/>
                <w:szCs w:val="16"/>
              </w:rPr>
              <w:t>718,511</w:t>
            </w:r>
          </w:p>
        </w:tc>
        <w:tc>
          <w:tcPr>
            <w:tcW w:w="2126" w:type="dxa"/>
            <w:tcBorders>
              <w:top w:val="single" w:sz="4" w:space="0" w:color="365F91"/>
              <w:bottom w:val="single" w:sz="4" w:space="0" w:color="365F91"/>
            </w:tcBorders>
            <w:vAlign w:val="bottom"/>
          </w:tcPr>
          <w:p w14:paraId="07717713"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35.4</w:t>
            </w:r>
          </w:p>
        </w:tc>
        <w:tc>
          <w:tcPr>
            <w:tcW w:w="2835" w:type="dxa"/>
            <w:tcBorders>
              <w:top w:val="single" w:sz="4" w:space="0" w:color="365F91"/>
              <w:bottom w:val="single" w:sz="4" w:space="0" w:color="365F91"/>
            </w:tcBorders>
            <w:vAlign w:val="bottom"/>
          </w:tcPr>
          <w:p w14:paraId="26F1D518"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1.2</w:t>
            </w:r>
          </w:p>
        </w:tc>
      </w:tr>
      <w:tr w:rsidR="0010265C" w:rsidRPr="00261B7A" w14:paraId="48A8ACFC" w14:textId="77777777" w:rsidTr="00B276FF">
        <w:tc>
          <w:tcPr>
            <w:tcW w:w="1985" w:type="dxa"/>
            <w:tcBorders>
              <w:top w:val="single" w:sz="4" w:space="0" w:color="365F91"/>
              <w:bottom w:val="single" w:sz="4" w:space="0" w:color="365F91"/>
            </w:tcBorders>
          </w:tcPr>
          <w:p w14:paraId="64916706" w14:textId="77777777" w:rsidR="0010265C" w:rsidRPr="00261B7A" w:rsidRDefault="0010265C" w:rsidP="00D41492">
            <w:pPr>
              <w:pStyle w:val="Tableboldblue"/>
              <w:spacing w:before="40" w:after="40"/>
              <w:jc w:val="right"/>
              <w:rPr>
                <w:rFonts w:ascii="Arial Bold" w:hAnsi="Arial Bold" w:cs="Arial Bold"/>
                <w:color w:val="000000"/>
                <w:szCs w:val="16"/>
              </w:rPr>
            </w:pPr>
            <w:r w:rsidRPr="00261B7A">
              <w:rPr>
                <w:szCs w:val="16"/>
              </w:rPr>
              <w:t>Total</w:t>
            </w:r>
            <w:r w:rsidRPr="00261B7A">
              <w:rPr>
                <w:rFonts w:ascii="Arial Bold" w:hAnsi="Arial Bold" w:cs="Arial Bold"/>
                <w:color w:val="000000"/>
                <w:szCs w:val="16"/>
              </w:rPr>
              <w:t xml:space="preserve"> </w:t>
            </w:r>
          </w:p>
        </w:tc>
        <w:tc>
          <w:tcPr>
            <w:tcW w:w="1559" w:type="dxa"/>
            <w:tcBorders>
              <w:top w:val="single" w:sz="4" w:space="0" w:color="365F91"/>
              <w:bottom w:val="single" w:sz="4" w:space="0" w:color="365F91"/>
            </w:tcBorders>
            <w:vAlign w:val="bottom"/>
          </w:tcPr>
          <w:p w14:paraId="392A3D9A" w14:textId="77777777" w:rsidR="0010265C" w:rsidRPr="00261B7A" w:rsidRDefault="0010265C" w:rsidP="00D41492">
            <w:pPr>
              <w:pStyle w:val="Tableboldblue"/>
              <w:spacing w:before="40" w:after="40"/>
              <w:jc w:val="right"/>
              <w:rPr>
                <w:color w:val="1B556B"/>
                <w:szCs w:val="16"/>
              </w:rPr>
            </w:pPr>
            <w:r w:rsidRPr="00261B7A">
              <w:rPr>
                <w:rFonts w:cs="Calibri"/>
                <w:color w:val="1B556B"/>
                <w:szCs w:val="16"/>
              </w:rPr>
              <w:t>–15,994,803</w:t>
            </w:r>
          </w:p>
        </w:tc>
        <w:tc>
          <w:tcPr>
            <w:tcW w:w="2126" w:type="dxa"/>
            <w:tcBorders>
              <w:top w:val="single" w:sz="4" w:space="0" w:color="365F91"/>
              <w:bottom w:val="single" w:sz="4" w:space="0" w:color="365F91"/>
            </w:tcBorders>
            <w:vAlign w:val="bottom"/>
          </w:tcPr>
          <w:p w14:paraId="248A106B" w14:textId="77777777" w:rsidR="0010265C" w:rsidRPr="00261B7A" w:rsidRDefault="0010265C" w:rsidP="00D41492">
            <w:pPr>
              <w:pStyle w:val="Tableboldblue"/>
              <w:spacing w:before="40" w:after="40"/>
              <w:jc w:val="right"/>
              <w:rPr>
                <w:color w:val="1B556B"/>
                <w:szCs w:val="16"/>
              </w:rPr>
            </w:pPr>
            <w:r w:rsidRPr="00261B7A">
              <w:rPr>
                <w:rFonts w:cs="Calibri"/>
                <w:color w:val="1B556B"/>
                <w:szCs w:val="16"/>
              </w:rPr>
              <w:t>80.8</w:t>
            </w:r>
          </w:p>
        </w:tc>
        <w:tc>
          <w:tcPr>
            <w:tcW w:w="2835" w:type="dxa"/>
            <w:tcBorders>
              <w:top w:val="single" w:sz="4" w:space="0" w:color="365F91"/>
              <w:bottom w:val="single" w:sz="4" w:space="0" w:color="365F91"/>
            </w:tcBorders>
            <w:vAlign w:val="bottom"/>
          </w:tcPr>
          <w:p w14:paraId="5FA499AF" w14:textId="77777777" w:rsidR="0010265C" w:rsidRPr="00261B7A" w:rsidRDefault="0010265C" w:rsidP="00D41492">
            <w:pPr>
              <w:pStyle w:val="Tableboldblue"/>
              <w:spacing w:before="40" w:after="40"/>
              <w:jc w:val="right"/>
              <w:rPr>
                <w:color w:val="1B556B"/>
                <w:szCs w:val="16"/>
              </w:rPr>
            </w:pPr>
            <w:r w:rsidRPr="00261B7A">
              <w:rPr>
                <w:rFonts w:cs="Calibri"/>
                <w:color w:val="1B556B"/>
                <w:szCs w:val="16"/>
              </w:rPr>
              <w:t>61.3</w:t>
            </w:r>
          </w:p>
        </w:tc>
      </w:tr>
    </w:tbl>
    <w:p w14:paraId="0A01144B" w14:textId="77777777" w:rsidR="0010265C" w:rsidRPr="00261B7A" w:rsidRDefault="0010265C" w:rsidP="0010265C">
      <w:pPr>
        <w:pStyle w:val="Heading3"/>
      </w:pPr>
      <w:bookmarkStart w:id="1762" w:name="_Toc255466360"/>
      <w:bookmarkStart w:id="1763" w:name="_Toc261513167"/>
      <w:bookmarkStart w:id="1764" w:name="_Toc261513780"/>
      <w:bookmarkStart w:id="1765" w:name="_Toc280630258"/>
      <w:bookmarkStart w:id="1766" w:name="_Toc373395714"/>
      <w:bookmarkEnd w:id="1760"/>
      <w:r w:rsidRPr="00261B7A">
        <w:t>6.3.4</w:t>
      </w:r>
      <w:r w:rsidRPr="00261B7A">
        <w:tab/>
        <w:t>Category-specific QA/QC and verification</w:t>
      </w:r>
      <w:bookmarkEnd w:id="1762"/>
      <w:bookmarkEnd w:id="1763"/>
      <w:bookmarkEnd w:id="1764"/>
      <w:bookmarkEnd w:id="1765"/>
      <w:bookmarkEnd w:id="1766"/>
    </w:p>
    <w:p w14:paraId="6674456E" w14:textId="77777777" w:rsidR="0010265C" w:rsidRPr="00261B7A" w:rsidRDefault="0010265C" w:rsidP="0010265C">
      <w:pPr>
        <w:pStyle w:val="BodyText"/>
      </w:pPr>
      <w:r w:rsidRPr="00261B7A">
        <w:t xml:space="preserve">Carbon dioxide emissions from both </w:t>
      </w:r>
      <w:r w:rsidRPr="00261B7A">
        <w:rPr>
          <w:i/>
        </w:rPr>
        <w:t>Forest land remaining forest land</w:t>
      </w:r>
      <w:r w:rsidRPr="00261B7A">
        <w:t xml:space="preserve"> and </w:t>
      </w:r>
      <w:r w:rsidRPr="00261B7A">
        <w:rPr>
          <w:i/>
        </w:rPr>
        <w:t xml:space="preserve">Land converted to forest land </w:t>
      </w:r>
      <w:r w:rsidRPr="00261B7A">
        <w:t>are key categories for both level and trend assessments. In the preparation of this inventory, the data for these emissions underwent Tier 1 QA and QC checks as well as Tier 2, category-specific QA and QC checks. Details of these checks are provided in annex A3.2.5 ‘National forest inventory’.</w:t>
      </w:r>
    </w:p>
    <w:p w14:paraId="1598720B" w14:textId="77777777" w:rsidR="0010265C" w:rsidRPr="00261B7A" w:rsidRDefault="0010265C" w:rsidP="0010265C">
      <w:pPr>
        <w:pStyle w:val="Heading3"/>
        <w:spacing w:before="280"/>
      </w:pPr>
      <w:r w:rsidRPr="00261B7A">
        <w:t>6.3.5</w:t>
      </w:r>
      <w:r w:rsidRPr="00261B7A">
        <w:tab/>
        <w:t>Category-specific recalculations</w:t>
      </w:r>
    </w:p>
    <w:p w14:paraId="145BC4C0" w14:textId="77777777" w:rsidR="0010265C" w:rsidRPr="00261B7A" w:rsidRDefault="0010265C" w:rsidP="00B276FF">
      <w:pPr>
        <w:pStyle w:val="BodyText"/>
        <w:spacing w:before="80" w:after="100"/>
      </w:pPr>
      <w:r w:rsidRPr="00261B7A">
        <w:t xml:space="preserve">In this submission, New Zealand has recalculated its emission estimates for the whole LULUCF sector from 1990, including the </w:t>
      </w:r>
      <w:r w:rsidRPr="00261B7A">
        <w:rPr>
          <w:i/>
        </w:rPr>
        <w:t>Forest land</w:t>
      </w:r>
      <w:r w:rsidRPr="00261B7A">
        <w:t xml:space="preserve"> category. These recalculations used improved activity data. The impact of the recalculations on net CO</w:t>
      </w:r>
      <w:r w:rsidRPr="00261B7A">
        <w:rPr>
          <w:vertAlign w:val="subscript"/>
        </w:rPr>
        <w:t>2</w:t>
      </w:r>
      <w:r w:rsidRPr="00261B7A">
        <w:t xml:space="preserve">-e emission estimates for the </w:t>
      </w:r>
      <w:r w:rsidRPr="00261B7A">
        <w:rPr>
          <w:i/>
        </w:rPr>
        <w:t>Forest land</w:t>
      </w:r>
      <w:r w:rsidRPr="00261B7A">
        <w:t xml:space="preserve"> category is provided in table 6.3.10. The differences shown are a result of recalculations for all carbon pools used in reporting under the United Nations Framework Convention on Climate Change (UNFCCC) for the whole time series for the LULUCF sector. </w:t>
      </w:r>
    </w:p>
    <w:p w14:paraId="1F97A86F" w14:textId="0BBC200B" w:rsidR="0010265C" w:rsidRPr="00261B7A" w:rsidRDefault="0010265C" w:rsidP="00E24718">
      <w:pPr>
        <w:pStyle w:val="Table"/>
      </w:pPr>
      <w:bookmarkStart w:id="1767" w:name="_Toc280630460"/>
      <w:bookmarkStart w:id="1768" w:name="_Toc310423413"/>
      <w:bookmarkStart w:id="1769" w:name="_Toc318362706"/>
      <w:bookmarkStart w:id="1770" w:name="_Toc342470768"/>
      <w:bookmarkStart w:id="1771" w:name="_Toc352505008"/>
      <w:bookmarkStart w:id="1772" w:name="_Toc373395733"/>
      <w:bookmarkStart w:id="1773" w:name="_Toc378853299"/>
      <w:bookmarkStart w:id="1774" w:name="_Toc391024097"/>
      <w:bookmarkStart w:id="1775" w:name="_Toc410028840"/>
      <w:bookmarkStart w:id="1776" w:name="_Toc414531468"/>
      <w:bookmarkStart w:id="1777" w:name="_Toc443645381"/>
      <w:bookmarkStart w:id="1778" w:name="_Toc474914600"/>
      <w:bookmarkStart w:id="1779" w:name="_Toc481751564"/>
      <w:bookmarkStart w:id="1780" w:name="_Toc522010621"/>
      <w:bookmarkStart w:id="1781" w:name="_Toc5269526"/>
      <w:bookmarkStart w:id="1782" w:name="_Toc33529400"/>
      <w:bookmarkStart w:id="1783" w:name="_Toc36224606"/>
      <w:bookmarkStart w:id="1784" w:name="_Toc131591400"/>
      <w:r w:rsidRPr="00261B7A">
        <w:t xml:space="preserve">Table 6.3.10 </w:t>
      </w:r>
      <w:r w:rsidRPr="00261B7A">
        <w:tab/>
        <w:t xml:space="preserve">Recalculations of New Zealand’s estimates for the </w:t>
      </w:r>
      <w:r w:rsidRPr="00261B7A">
        <w:rPr>
          <w:i/>
        </w:rPr>
        <w:t>Forest land</w:t>
      </w:r>
      <w:r w:rsidRPr="00261B7A">
        <w:t xml:space="preserve"> category in 1990 and</w:t>
      </w:r>
      <w:bookmarkEnd w:id="1767"/>
      <w:bookmarkEnd w:id="1768"/>
      <w:bookmarkEnd w:id="1769"/>
      <w:bookmarkEnd w:id="1770"/>
      <w:bookmarkEnd w:id="1771"/>
      <w:bookmarkEnd w:id="1772"/>
      <w:bookmarkEnd w:id="1773"/>
      <w:bookmarkEnd w:id="1774"/>
      <w:r w:rsidRPr="00261B7A">
        <w:t> </w:t>
      </w:r>
      <w:bookmarkEnd w:id="1775"/>
      <w:bookmarkEnd w:id="1776"/>
      <w:bookmarkEnd w:id="1777"/>
      <w:bookmarkEnd w:id="1778"/>
      <w:bookmarkEnd w:id="1779"/>
      <w:bookmarkEnd w:id="1780"/>
      <w:bookmarkEnd w:id="1781"/>
      <w:bookmarkEnd w:id="1782"/>
      <w:bookmarkEnd w:id="1783"/>
      <w:r w:rsidRPr="00261B7A">
        <w:t>2021</w:t>
      </w:r>
      <w:bookmarkEnd w:id="1784"/>
      <w:r w:rsidR="00B276FF" w:rsidRPr="00261B7A">
        <w:t xml:space="preserve"> </w:t>
      </w:r>
    </w:p>
    <w:tbl>
      <w:tblPr>
        <w:tblW w:w="8505" w:type="dxa"/>
        <w:tblLayout w:type="fixed"/>
        <w:tblLook w:val="04A0" w:firstRow="1" w:lastRow="0" w:firstColumn="1" w:lastColumn="0" w:noHBand="0" w:noVBand="1"/>
      </w:tblPr>
      <w:tblGrid>
        <w:gridCol w:w="1502"/>
        <w:gridCol w:w="1637"/>
        <w:gridCol w:w="1638"/>
        <w:gridCol w:w="2594"/>
        <w:gridCol w:w="1134"/>
      </w:tblGrid>
      <w:tr w:rsidR="0010265C" w:rsidRPr="00261B7A" w14:paraId="7054092C" w14:textId="77777777" w:rsidTr="00B276FF">
        <w:trPr>
          <w:tblHeader/>
        </w:trPr>
        <w:tc>
          <w:tcPr>
            <w:tcW w:w="1502" w:type="dxa"/>
            <w:tcBorders>
              <w:top w:val="single" w:sz="4" w:space="0" w:color="1B556B"/>
              <w:bottom w:val="single" w:sz="4" w:space="0" w:color="1B556B"/>
            </w:tcBorders>
            <w:shd w:val="clear" w:color="auto" w:fill="1B556B"/>
            <w:vAlign w:val="bottom"/>
          </w:tcPr>
          <w:p w14:paraId="18256406" w14:textId="77777777" w:rsidR="0010265C" w:rsidRPr="00261B7A" w:rsidRDefault="0010265C" w:rsidP="00D41492">
            <w:pPr>
              <w:pStyle w:val="TableTextBold"/>
              <w:keepNext/>
              <w:spacing w:before="50" w:after="50"/>
              <w:rPr>
                <w:rFonts w:cs="Segoe UI"/>
                <w:noProof w:val="0"/>
                <w:color w:val="FFFFFF" w:themeColor="background1"/>
                <w:szCs w:val="16"/>
              </w:rPr>
            </w:pPr>
          </w:p>
        </w:tc>
        <w:tc>
          <w:tcPr>
            <w:tcW w:w="1637" w:type="dxa"/>
            <w:tcBorders>
              <w:top w:val="single" w:sz="4" w:space="0" w:color="1B556B"/>
              <w:bottom w:val="single" w:sz="4" w:space="0" w:color="1B556B"/>
              <w:right w:val="single" w:sz="4" w:space="0" w:color="1B556B"/>
            </w:tcBorders>
            <w:shd w:val="clear" w:color="auto" w:fill="1B556B"/>
            <w:vAlign w:val="bottom"/>
          </w:tcPr>
          <w:p w14:paraId="6D7AE868" w14:textId="77777777" w:rsidR="0010265C" w:rsidRPr="00261B7A" w:rsidRDefault="0010265C" w:rsidP="00D41492">
            <w:pPr>
              <w:pStyle w:val="TableTextBold"/>
              <w:keepNext/>
              <w:spacing w:before="50" w:after="50"/>
              <w:jc w:val="right"/>
              <w:rPr>
                <w:rFonts w:cs="Segoe UI"/>
                <w:noProof w:val="0"/>
                <w:color w:val="FFFFFF" w:themeColor="background1"/>
                <w:szCs w:val="16"/>
              </w:rPr>
            </w:pPr>
            <w:r w:rsidRPr="00261B7A">
              <w:rPr>
                <w:rFonts w:cs="Segoe UI"/>
                <w:noProof w:val="0"/>
                <w:color w:val="FFFFFF"/>
                <w:szCs w:val="16"/>
              </w:rPr>
              <w:t>2022 submission</w:t>
            </w:r>
          </w:p>
        </w:tc>
        <w:tc>
          <w:tcPr>
            <w:tcW w:w="1638" w:type="dxa"/>
            <w:tcBorders>
              <w:top w:val="single" w:sz="4" w:space="0" w:color="1B556B"/>
              <w:left w:val="single" w:sz="4" w:space="0" w:color="1B556B"/>
              <w:bottom w:val="single" w:sz="4" w:space="0" w:color="1B556B"/>
            </w:tcBorders>
            <w:shd w:val="clear" w:color="auto" w:fill="1B556B"/>
            <w:vAlign w:val="bottom"/>
          </w:tcPr>
          <w:p w14:paraId="1F32E0C2" w14:textId="77777777" w:rsidR="0010265C" w:rsidRPr="00261B7A" w:rsidRDefault="0010265C" w:rsidP="00D41492">
            <w:pPr>
              <w:pStyle w:val="TableTextBold"/>
              <w:keepNext/>
              <w:spacing w:before="50" w:after="50"/>
              <w:jc w:val="right"/>
              <w:rPr>
                <w:rFonts w:cs="Segoe UI"/>
                <w:noProof w:val="0"/>
                <w:color w:val="FFFFFF" w:themeColor="background1"/>
                <w:szCs w:val="16"/>
              </w:rPr>
            </w:pPr>
            <w:r w:rsidRPr="00261B7A">
              <w:rPr>
                <w:rFonts w:cs="Segoe UI"/>
                <w:noProof w:val="0"/>
                <w:color w:val="FFFFFF"/>
                <w:szCs w:val="16"/>
              </w:rPr>
              <w:t>2023 submission</w:t>
            </w:r>
          </w:p>
        </w:tc>
        <w:tc>
          <w:tcPr>
            <w:tcW w:w="2594" w:type="dxa"/>
            <w:tcBorders>
              <w:top w:val="single" w:sz="4" w:space="0" w:color="1B556B"/>
              <w:bottom w:val="single" w:sz="4" w:space="0" w:color="1B556B"/>
            </w:tcBorders>
            <w:shd w:val="clear" w:color="auto" w:fill="1B556B"/>
            <w:vAlign w:val="bottom"/>
          </w:tcPr>
          <w:p w14:paraId="7DE5396E" w14:textId="77777777" w:rsidR="0010265C" w:rsidRPr="00261B7A" w:rsidRDefault="0010265C" w:rsidP="00D41492">
            <w:pPr>
              <w:pStyle w:val="TableTextBold"/>
              <w:keepNext/>
              <w:spacing w:before="50" w:after="50"/>
              <w:jc w:val="right"/>
              <w:rPr>
                <w:rFonts w:cs="Segoe UI"/>
                <w:noProof w:val="0"/>
                <w:color w:val="FFFFFF" w:themeColor="background1"/>
                <w:szCs w:val="16"/>
              </w:rPr>
            </w:pPr>
            <w:r w:rsidRPr="00261B7A">
              <w:rPr>
                <w:rFonts w:cs="Segoe UI"/>
                <w:noProof w:val="0"/>
                <w:color w:val="FFFFFF" w:themeColor="background1"/>
                <w:szCs w:val="16"/>
              </w:rPr>
              <w:t xml:space="preserve">Change from the 2022 submission </w:t>
            </w:r>
          </w:p>
        </w:tc>
        <w:tc>
          <w:tcPr>
            <w:tcW w:w="1134" w:type="dxa"/>
            <w:tcBorders>
              <w:top w:val="single" w:sz="4" w:space="0" w:color="1B556B"/>
              <w:bottom w:val="single" w:sz="4" w:space="0" w:color="1B556B"/>
            </w:tcBorders>
            <w:shd w:val="clear" w:color="auto" w:fill="1B556B"/>
            <w:vAlign w:val="bottom"/>
          </w:tcPr>
          <w:p w14:paraId="5DD931B0" w14:textId="77777777" w:rsidR="0010265C" w:rsidRPr="00261B7A" w:rsidRDefault="0010265C" w:rsidP="00D41492">
            <w:pPr>
              <w:pStyle w:val="TableTextBold"/>
              <w:keepNext/>
              <w:spacing w:before="50" w:after="50"/>
              <w:jc w:val="right"/>
              <w:rPr>
                <w:rFonts w:cs="Segoe UI"/>
                <w:noProof w:val="0"/>
                <w:color w:val="FFFFFF" w:themeColor="background1"/>
                <w:szCs w:val="16"/>
              </w:rPr>
            </w:pPr>
            <w:r w:rsidRPr="00261B7A">
              <w:rPr>
                <w:rFonts w:cs="Segoe UI"/>
                <w:noProof w:val="0"/>
                <w:color w:val="FFFFFF" w:themeColor="background1"/>
                <w:szCs w:val="16"/>
              </w:rPr>
              <w:t>% change</w:t>
            </w:r>
          </w:p>
        </w:tc>
      </w:tr>
      <w:tr w:rsidR="0010265C" w:rsidRPr="00261B7A" w14:paraId="45C35CA6" w14:textId="77777777" w:rsidTr="00B276FF">
        <w:tc>
          <w:tcPr>
            <w:tcW w:w="3139" w:type="dxa"/>
            <w:gridSpan w:val="2"/>
            <w:tcBorders>
              <w:top w:val="single" w:sz="4" w:space="0" w:color="1B556B"/>
              <w:bottom w:val="single" w:sz="4" w:space="0" w:color="1B556B"/>
            </w:tcBorders>
          </w:tcPr>
          <w:p w14:paraId="62F0CDD3" w14:textId="77777777" w:rsidR="0010265C" w:rsidRPr="00261B7A" w:rsidRDefault="0010265C" w:rsidP="00D41492">
            <w:pPr>
              <w:pStyle w:val="Tableboldblue"/>
              <w:spacing w:before="40" w:after="40"/>
              <w:rPr>
                <w:szCs w:val="16"/>
              </w:rPr>
            </w:pPr>
            <w:r w:rsidRPr="00261B7A">
              <w:rPr>
                <w:rFonts w:cs="Segoe UI"/>
                <w:szCs w:val="16"/>
              </w:rPr>
              <w:t>Net emissions (kt CO</w:t>
            </w:r>
            <w:r w:rsidRPr="00261B7A">
              <w:rPr>
                <w:rFonts w:cs="Segoe UI"/>
                <w:szCs w:val="16"/>
                <w:vertAlign w:val="subscript"/>
              </w:rPr>
              <w:t>2</w:t>
            </w:r>
            <w:r w:rsidRPr="00261B7A">
              <w:rPr>
                <w:rFonts w:cs="Segoe UI"/>
                <w:szCs w:val="16"/>
              </w:rPr>
              <w:t>-e)</w:t>
            </w:r>
          </w:p>
        </w:tc>
        <w:tc>
          <w:tcPr>
            <w:tcW w:w="1638" w:type="dxa"/>
            <w:tcBorders>
              <w:top w:val="single" w:sz="4" w:space="0" w:color="1B556B"/>
              <w:bottom w:val="single" w:sz="4" w:space="0" w:color="1B556B"/>
            </w:tcBorders>
          </w:tcPr>
          <w:p w14:paraId="4B1506C5" w14:textId="77777777" w:rsidR="0010265C" w:rsidRPr="00261B7A" w:rsidRDefault="0010265C" w:rsidP="00D41492">
            <w:pPr>
              <w:pStyle w:val="TableText"/>
              <w:keepNext/>
              <w:spacing w:before="40" w:after="40"/>
              <w:jc w:val="right"/>
              <w:rPr>
                <w:szCs w:val="16"/>
              </w:rPr>
            </w:pPr>
          </w:p>
        </w:tc>
        <w:tc>
          <w:tcPr>
            <w:tcW w:w="2594" w:type="dxa"/>
            <w:tcBorders>
              <w:top w:val="single" w:sz="4" w:space="0" w:color="1B556B"/>
              <w:bottom w:val="single" w:sz="4" w:space="0" w:color="1B556B"/>
            </w:tcBorders>
          </w:tcPr>
          <w:p w14:paraId="00B19BB9" w14:textId="77777777" w:rsidR="0010265C" w:rsidRPr="00261B7A" w:rsidRDefault="0010265C" w:rsidP="00D41492">
            <w:pPr>
              <w:pStyle w:val="TableText"/>
              <w:keepNext/>
              <w:tabs>
                <w:tab w:val="decimal" w:pos="556"/>
              </w:tabs>
              <w:spacing w:before="40" w:after="40"/>
              <w:jc w:val="right"/>
              <w:rPr>
                <w:szCs w:val="16"/>
              </w:rPr>
            </w:pPr>
          </w:p>
        </w:tc>
        <w:tc>
          <w:tcPr>
            <w:tcW w:w="1134" w:type="dxa"/>
            <w:tcBorders>
              <w:top w:val="single" w:sz="4" w:space="0" w:color="1B556B"/>
              <w:bottom w:val="single" w:sz="4" w:space="0" w:color="1B556B"/>
            </w:tcBorders>
          </w:tcPr>
          <w:p w14:paraId="38AFA7C1" w14:textId="77777777" w:rsidR="0010265C" w:rsidRPr="00261B7A" w:rsidRDefault="0010265C" w:rsidP="00D41492">
            <w:pPr>
              <w:pStyle w:val="TableText"/>
              <w:keepNext/>
              <w:tabs>
                <w:tab w:val="decimal" w:pos="556"/>
              </w:tabs>
              <w:spacing w:before="40" w:after="40"/>
              <w:jc w:val="right"/>
              <w:rPr>
                <w:szCs w:val="16"/>
              </w:rPr>
            </w:pPr>
          </w:p>
        </w:tc>
      </w:tr>
      <w:tr w:rsidR="0010265C" w:rsidRPr="00261B7A" w14:paraId="63E6331A" w14:textId="77777777" w:rsidTr="00B276FF">
        <w:tc>
          <w:tcPr>
            <w:tcW w:w="1502" w:type="dxa"/>
            <w:tcBorders>
              <w:top w:val="single" w:sz="4" w:space="0" w:color="1B556B"/>
              <w:bottom w:val="single" w:sz="4" w:space="0" w:color="1B556B"/>
            </w:tcBorders>
          </w:tcPr>
          <w:p w14:paraId="72C620D2" w14:textId="77777777" w:rsidR="0010265C" w:rsidRPr="00261B7A" w:rsidRDefault="0010265C" w:rsidP="00D41492">
            <w:pPr>
              <w:pStyle w:val="TableText"/>
              <w:spacing w:before="40" w:after="40"/>
              <w:rPr>
                <w:szCs w:val="16"/>
              </w:rPr>
            </w:pPr>
            <w:r w:rsidRPr="00261B7A">
              <w:rPr>
                <w:szCs w:val="16"/>
              </w:rPr>
              <w:t xml:space="preserve">1990 </w:t>
            </w:r>
          </w:p>
        </w:tc>
        <w:tc>
          <w:tcPr>
            <w:tcW w:w="1637" w:type="dxa"/>
            <w:tcBorders>
              <w:top w:val="single" w:sz="4" w:space="0" w:color="1B556B"/>
              <w:bottom w:val="single" w:sz="4" w:space="0" w:color="1B556B"/>
            </w:tcBorders>
            <w:vAlign w:val="bottom"/>
          </w:tcPr>
          <w:p w14:paraId="35E6144C" w14:textId="77777777" w:rsidR="0010265C" w:rsidRPr="00261B7A" w:rsidRDefault="0010265C" w:rsidP="00D41492">
            <w:pPr>
              <w:pStyle w:val="TableText"/>
              <w:keepNext/>
              <w:spacing w:before="40" w:after="40"/>
              <w:jc w:val="right"/>
              <w:rPr>
                <w:rFonts w:cs="Segoe UI"/>
                <w:szCs w:val="16"/>
              </w:rPr>
            </w:pPr>
            <w:r w:rsidRPr="00261B7A">
              <w:rPr>
                <w:rFonts w:cs="Calibri"/>
                <w:color w:val="000000"/>
                <w:szCs w:val="16"/>
              </w:rPr>
              <w:t xml:space="preserve">–20,068.3 </w:t>
            </w:r>
          </w:p>
        </w:tc>
        <w:tc>
          <w:tcPr>
            <w:tcW w:w="1638" w:type="dxa"/>
            <w:tcBorders>
              <w:top w:val="single" w:sz="4" w:space="0" w:color="1B556B"/>
              <w:bottom w:val="single" w:sz="4" w:space="0" w:color="1B556B"/>
            </w:tcBorders>
            <w:vAlign w:val="bottom"/>
          </w:tcPr>
          <w:p w14:paraId="56A572C3" w14:textId="77777777" w:rsidR="0010265C" w:rsidRPr="00261B7A" w:rsidRDefault="0010265C" w:rsidP="00D41492">
            <w:pPr>
              <w:pStyle w:val="TableText"/>
              <w:keepNext/>
              <w:spacing w:before="40" w:after="40"/>
              <w:jc w:val="right"/>
              <w:rPr>
                <w:rFonts w:cs="Segoe UI"/>
                <w:szCs w:val="16"/>
              </w:rPr>
            </w:pPr>
            <w:r w:rsidRPr="00261B7A">
              <w:rPr>
                <w:rFonts w:cs="Calibri"/>
                <w:szCs w:val="16"/>
              </w:rPr>
              <w:t>–</w:t>
            </w:r>
            <w:r w:rsidRPr="00261B7A">
              <w:rPr>
                <w:rFonts w:cs="Calibri"/>
                <w:color w:val="000000"/>
                <w:szCs w:val="16"/>
              </w:rPr>
              <w:t>19,045.2</w:t>
            </w:r>
          </w:p>
        </w:tc>
        <w:tc>
          <w:tcPr>
            <w:tcW w:w="2594" w:type="dxa"/>
            <w:tcBorders>
              <w:top w:val="single" w:sz="4" w:space="0" w:color="1B556B"/>
              <w:bottom w:val="single" w:sz="4" w:space="0" w:color="1B556B"/>
            </w:tcBorders>
            <w:vAlign w:val="bottom"/>
          </w:tcPr>
          <w:p w14:paraId="243083CD" w14:textId="77777777" w:rsidR="0010265C" w:rsidRPr="00261B7A" w:rsidRDefault="0010265C" w:rsidP="00D41492">
            <w:pPr>
              <w:pStyle w:val="TableText"/>
              <w:keepNext/>
              <w:tabs>
                <w:tab w:val="decimal" w:pos="556"/>
              </w:tabs>
              <w:spacing w:before="40" w:after="40"/>
              <w:jc w:val="right"/>
              <w:rPr>
                <w:rFonts w:cs="Segoe UI"/>
                <w:szCs w:val="16"/>
              </w:rPr>
            </w:pPr>
            <w:r w:rsidRPr="00261B7A">
              <w:rPr>
                <w:rFonts w:cs="Calibri"/>
                <w:color w:val="000000"/>
                <w:szCs w:val="16"/>
              </w:rPr>
              <w:t>1,023.2</w:t>
            </w:r>
          </w:p>
        </w:tc>
        <w:tc>
          <w:tcPr>
            <w:tcW w:w="1134" w:type="dxa"/>
            <w:tcBorders>
              <w:top w:val="single" w:sz="4" w:space="0" w:color="1B556B"/>
              <w:bottom w:val="single" w:sz="4" w:space="0" w:color="1B556B"/>
            </w:tcBorders>
            <w:vAlign w:val="center"/>
          </w:tcPr>
          <w:p w14:paraId="743D0498" w14:textId="77777777" w:rsidR="0010265C" w:rsidRPr="00261B7A" w:rsidRDefault="0010265C" w:rsidP="00D41492">
            <w:pPr>
              <w:pStyle w:val="TableText"/>
              <w:keepNext/>
              <w:tabs>
                <w:tab w:val="decimal" w:pos="556"/>
              </w:tabs>
              <w:spacing w:before="40" w:after="40"/>
              <w:jc w:val="right"/>
              <w:rPr>
                <w:rFonts w:cs="Segoe UI"/>
                <w:szCs w:val="16"/>
              </w:rPr>
            </w:pPr>
            <w:r w:rsidRPr="00261B7A">
              <w:rPr>
                <w:rFonts w:cs="Calibri"/>
                <w:color w:val="000000"/>
                <w:szCs w:val="16"/>
              </w:rPr>
              <w:t>+5.1</w:t>
            </w:r>
          </w:p>
        </w:tc>
      </w:tr>
      <w:tr w:rsidR="0010265C" w:rsidRPr="00261B7A" w14:paraId="0EB344A7" w14:textId="77777777" w:rsidTr="00B276FF">
        <w:tc>
          <w:tcPr>
            <w:tcW w:w="1502" w:type="dxa"/>
            <w:tcBorders>
              <w:top w:val="single" w:sz="4" w:space="0" w:color="1B556B"/>
              <w:bottom w:val="single" w:sz="4" w:space="0" w:color="1B556B"/>
            </w:tcBorders>
          </w:tcPr>
          <w:p w14:paraId="11435E44" w14:textId="77777777" w:rsidR="0010265C" w:rsidRPr="00261B7A" w:rsidRDefault="0010265C" w:rsidP="00D41492">
            <w:pPr>
              <w:pStyle w:val="TableText"/>
              <w:spacing w:before="40" w:after="40"/>
              <w:rPr>
                <w:szCs w:val="16"/>
              </w:rPr>
            </w:pPr>
            <w:r w:rsidRPr="00261B7A">
              <w:rPr>
                <w:szCs w:val="16"/>
              </w:rPr>
              <w:t>202</w:t>
            </w:r>
            <w:r w:rsidRPr="00261B7A" w:rsidDel="001E05D7">
              <w:rPr>
                <w:szCs w:val="16"/>
              </w:rPr>
              <w:t>0</w:t>
            </w:r>
          </w:p>
        </w:tc>
        <w:tc>
          <w:tcPr>
            <w:tcW w:w="1637" w:type="dxa"/>
            <w:tcBorders>
              <w:top w:val="single" w:sz="4" w:space="0" w:color="1B556B"/>
              <w:bottom w:val="single" w:sz="4" w:space="0" w:color="1B556B"/>
            </w:tcBorders>
            <w:vAlign w:val="bottom"/>
          </w:tcPr>
          <w:p w14:paraId="608406CE" w14:textId="77777777" w:rsidR="0010265C" w:rsidRPr="00261B7A" w:rsidRDefault="0010265C" w:rsidP="00D41492">
            <w:pPr>
              <w:pStyle w:val="TableText"/>
              <w:keepNext/>
              <w:spacing w:before="40" w:after="40"/>
              <w:jc w:val="right"/>
              <w:rPr>
                <w:rFonts w:cs="Segoe UI"/>
                <w:szCs w:val="16"/>
              </w:rPr>
            </w:pPr>
            <w:r w:rsidRPr="00261B7A">
              <w:rPr>
                <w:rFonts w:cs="Calibri"/>
                <w:color w:val="000000"/>
                <w:szCs w:val="16"/>
              </w:rPr>
              <w:t xml:space="preserve">–19,704.7 </w:t>
            </w:r>
          </w:p>
        </w:tc>
        <w:tc>
          <w:tcPr>
            <w:tcW w:w="1638" w:type="dxa"/>
            <w:tcBorders>
              <w:top w:val="single" w:sz="4" w:space="0" w:color="1B556B"/>
              <w:bottom w:val="single" w:sz="4" w:space="0" w:color="1B556B"/>
            </w:tcBorders>
            <w:vAlign w:val="bottom"/>
          </w:tcPr>
          <w:p w14:paraId="4405FE34" w14:textId="77777777" w:rsidR="0010265C" w:rsidRPr="00261B7A" w:rsidRDefault="0010265C" w:rsidP="00D41492">
            <w:pPr>
              <w:pStyle w:val="TableText"/>
              <w:keepNext/>
              <w:spacing w:before="40" w:after="40"/>
              <w:jc w:val="right"/>
              <w:rPr>
                <w:rFonts w:cs="Segoe UI"/>
                <w:szCs w:val="16"/>
              </w:rPr>
            </w:pPr>
            <w:r w:rsidRPr="00261B7A">
              <w:rPr>
                <w:rFonts w:cs="Calibri"/>
                <w:szCs w:val="16"/>
              </w:rPr>
              <w:t>–</w:t>
            </w:r>
            <w:r w:rsidRPr="00261B7A">
              <w:rPr>
                <w:rFonts w:cs="Calibri"/>
                <w:color w:val="000000"/>
                <w:szCs w:val="16"/>
              </w:rPr>
              <w:t>20,661.7</w:t>
            </w:r>
          </w:p>
        </w:tc>
        <w:tc>
          <w:tcPr>
            <w:tcW w:w="2594" w:type="dxa"/>
            <w:tcBorders>
              <w:top w:val="single" w:sz="4" w:space="0" w:color="1B556B"/>
              <w:bottom w:val="single" w:sz="4" w:space="0" w:color="1B556B"/>
            </w:tcBorders>
            <w:vAlign w:val="bottom"/>
          </w:tcPr>
          <w:p w14:paraId="34F5E3EA" w14:textId="77777777" w:rsidR="0010265C" w:rsidRPr="00261B7A" w:rsidRDefault="0010265C" w:rsidP="00D41492">
            <w:pPr>
              <w:pStyle w:val="TableText"/>
              <w:keepNext/>
              <w:tabs>
                <w:tab w:val="decimal" w:pos="556"/>
              </w:tabs>
              <w:spacing w:before="40" w:after="40"/>
              <w:jc w:val="right"/>
              <w:rPr>
                <w:rFonts w:cs="Segoe UI"/>
                <w:szCs w:val="16"/>
              </w:rPr>
            </w:pPr>
            <w:r w:rsidRPr="00261B7A">
              <w:rPr>
                <w:rFonts w:cs="Calibri"/>
                <w:szCs w:val="16"/>
              </w:rPr>
              <w:t>–</w:t>
            </w:r>
            <w:r w:rsidRPr="00261B7A">
              <w:rPr>
                <w:rFonts w:cs="Calibri"/>
                <w:color w:val="000000"/>
                <w:szCs w:val="16"/>
              </w:rPr>
              <w:t>956.9</w:t>
            </w:r>
          </w:p>
        </w:tc>
        <w:tc>
          <w:tcPr>
            <w:tcW w:w="1134" w:type="dxa"/>
            <w:tcBorders>
              <w:top w:val="single" w:sz="4" w:space="0" w:color="1B556B"/>
              <w:bottom w:val="single" w:sz="4" w:space="0" w:color="1B556B"/>
            </w:tcBorders>
            <w:vAlign w:val="center"/>
          </w:tcPr>
          <w:p w14:paraId="5835455F" w14:textId="77777777" w:rsidR="0010265C" w:rsidRPr="00261B7A" w:rsidRDefault="0010265C" w:rsidP="00D41492">
            <w:pPr>
              <w:pStyle w:val="TableText"/>
              <w:keepNext/>
              <w:tabs>
                <w:tab w:val="decimal" w:pos="556"/>
              </w:tabs>
              <w:spacing w:before="40" w:after="40"/>
              <w:jc w:val="right"/>
              <w:rPr>
                <w:rFonts w:cs="Segoe UI"/>
                <w:szCs w:val="16"/>
              </w:rPr>
            </w:pPr>
            <w:r w:rsidRPr="00261B7A">
              <w:rPr>
                <w:rFonts w:cs="Calibri"/>
                <w:szCs w:val="16"/>
              </w:rPr>
              <w:t>–</w:t>
            </w:r>
            <w:r w:rsidRPr="00261B7A">
              <w:rPr>
                <w:rFonts w:cs="Calibri"/>
                <w:color w:val="000000"/>
                <w:szCs w:val="16"/>
              </w:rPr>
              <w:t>4.9</w:t>
            </w:r>
          </w:p>
        </w:tc>
      </w:tr>
      <w:tr w:rsidR="0010265C" w:rsidRPr="00261B7A" w14:paraId="3779ABBE" w14:textId="77777777" w:rsidTr="00B276FF">
        <w:tc>
          <w:tcPr>
            <w:tcW w:w="1502" w:type="dxa"/>
            <w:tcBorders>
              <w:top w:val="single" w:sz="4" w:space="0" w:color="1B556B"/>
              <w:bottom w:val="single" w:sz="4" w:space="0" w:color="1B556B"/>
            </w:tcBorders>
            <w:shd w:val="clear" w:color="auto" w:fill="FFFFFF"/>
            <w:vAlign w:val="bottom"/>
          </w:tcPr>
          <w:p w14:paraId="0E5D66CE" w14:textId="77777777" w:rsidR="0010265C" w:rsidRPr="00261B7A" w:rsidRDefault="0010265C" w:rsidP="00D41492">
            <w:pPr>
              <w:pStyle w:val="Tableboldblue"/>
              <w:spacing w:before="40" w:after="40"/>
              <w:rPr>
                <w:rFonts w:cs="Segoe UI"/>
                <w:szCs w:val="16"/>
              </w:rPr>
            </w:pPr>
            <w:r w:rsidRPr="00261B7A">
              <w:rPr>
                <w:rFonts w:cs="Segoe UI"/>
                <w:szCs w:val="16"/>
              </w:rPr>
              <w:t>Area (hectares)</w:t>
            </w:r>
          </w:p>
        </w:tc>
        <w:tc>
          <w:tcPr>
            <w:tcW w:w="3275" w:type="dxa"/>
            <w:gridSpan w:val="2"/>
            <w:tcBorders>
              <w:top w:val="single" w:sz="4" w:space="0" w:color="1B556B"/>
              <w:bottom w:val="single" w:sz="4" w:space="0" w:color="1B556B"/>
            </w:tcBorders>
            <w:shd w:val="clear" w:color="auto" w:fill="auto"/>
            <w:vAlign w:val="bottom"/>
          </w:tcPr>
          <w:p w14:paraId="303D9FCA" w14:textId="77777777" w:rsidR="0010265C" w:rsidRPr="00261B7A" w:rsidRDefault="0010265C" w:rsidP="00D41492">
            <w:pPr>
              <w:pStyle w:val="TableText"/>
              <w:keepNext/>
              <w:spacing w:before="40" w:after="40"/>
              <w:jc w:val="right"/>
              <w:rPr>
                <w:rFonts w:cs="Segoe UI"/>
                <w:b/>
                <w:szCs w:val="16"/>
              </w:rPr>
            </w:pPr>
          </w:p>
        </w:tc>
        <w:tc>
          <w:tcPr>
            <w:tcW w:w="2594" w:type="dxa"/>
            <w:tcBorders>
              <w:top w:val="single" w:sz="4" w:space="0" w:color="1B556B"/>
              <w:bottom w:val="single" w:sz="4" w:space="0" w:color="1B556B"/>
            </w:tcBorders>
            <w:shd w:val="clear" w:color="auto" w:fill="auto"/>
            <w:vAlign w:val="bottom"/>
          </w:tcPr>
          <w:p w14:paraId="4727CFA4" w14:textId="77777777" w:rsidR="0010265C" w:rsidRPr="00261B7A" w:rsidRDefault="0010265C" w:rsidP="00D41492">
            <w:pPr>
              <w:pStyle w:val="TableText"/>
              <w:keepNext/>
              <w:tabs>
                <w:tab w:val="decimal" w:pos="556"/>
              </w:tabs>
              <w:spacing w:before="40" w:after="40"/>
              <w:jc w:val="right"/>
              <w:rPr>
                <w:rFonts w:cs="Segoe UI"/>
                <w:szCs w:val="16"/>
              </w:rPr>
            </w:pPr>
          </w:p>
        </w:tc>
        <w:tc>
          <w:tcPr>
            <w:tcW w:w="1134" w:type="dxa"/>
            <w:tcBorders>
              <w:top w:val="single" w:sz="4" w:space="0" w:color="1B556B"/>
              <w:bottom w:val="single" w:sz="4" w:space="0" w:color="1B556B"/>
            </w:tcBorders>
            <w:shd w:val="clear" w:color="auto" w:fill="auto"/>
            <w:vAlign w:val="bottom"/>
          </w:tcPr>
          <w:p w14:paraId="5D559673" w14:textId="77777777" w:rsidR="0010265C" w:rsidRPr="00261B7A" w:rsidRDefault="0010265C" w:rsidP="00D41492">
            <w:pPr>
              <w:pStyle w:val="TableText"/>
              <w:keepNext/>
              <w:tabs>
                <w:tab w:val="decimal" w:pos="556"/>
              </w:tabs>
              <w:spacing w:before="40" w:after="40"/>
              <w:jc w:val="right"/>
              <w:rPr>
                <w:rFonts w:cs="Segoe UI"/>
                <w:szCs w:val="16"/>
              </w:rPr>
            </w:pPr>
          </w:p>
        </w:tc>
      </w:tr>
      <w:tr w:rsidR="0010265C" w:rsidRPr="00261B7A" w14:paraId="47D28469" w14:textId="77777777" w:rsidTr="00B276FF">
        <w:tc>
          <w:tcPr>
            <w:tcW w:w="1502" w:type="dxa"/>
            <w:tcBorders>
              <w:top w:val="single" w:sz="4" w:space="0" w:color="1B556B"/>
              <w:bottom w:val="single" w:sz="4" w:space="0" w:color="1B556B"/>
            </w:tcBorders>
          </w:tcPr>
          <w:p w14:paraId="51BE7C6D" w14:textId="77777777" w:rsidR="0010265C" w:rsidRPr="00261B7A" w:rsidRDefault="0010265C" w:rsidP="00D41492">
            <w:pPr>
              <w:pStyle w:val="TableText"/>
              <w:spacing w:before="40" w:after="40"/>
              <w:rPr>
                <w:szCs w:val="16"/>
              </w:rPr>
            </w:pPr>
            <w:r w:rsidRPr="00261B7A">
              <w:rPr>
                <w:szCs w:val="16"/>
              </w:rPr>
              <w:t xml:space="preserve">1990 </w:t>
            </w:r>
          </w:p>
        </w:tc>
        <w:tc>
          <w:tcPr>
            <w:tcW w:w="1637" w:type="dxa"/>
            <w:tcBorders>
              <w:top w:val="single" w:sz="4" w:space="0" w:color="1B556B"/>
              <w:bottom w:val="single" w:sz="4" w:space="0" w:color="1B556B"/>
            </w:tcBorders>
            <w:vAlign w:val="bottom"/>
          </w:tcPr>
          <w:p w14:paraId="13B84ABA" w14:textId="77777777" w:rsidR="0010265C" w:rsidRPr="00261B7A" w:rsidRDefault="0010265C" w:rsidP="00D41492">
            <w:pPr>
              <w:pStyle w:val="TableText"/>
              <w:keepNext/>
              <w:spacing w:before="40" w:after="40"/>
              <w:jc w:val="right"/>
              <w:rPr>
                <w:rFonts w:cs="Segoe UI"/>
                <w:szCs w:val="16"/>
              </w:rPr>
            </w:pPr>
            <w:r w:rsidRPr="00261B7A">
              <w:rPr>
                <w:rFonts w:cs="Calibri"/>
                <w:color w:val="000000"/>
                <w:szCs w:val="16"/>
              </w:rPr>
              <w:t xml:space="preserve">9,381,843 </w:t>
            </w:r>
          </w:p>
        </w:tc>
        <w:tc>
          <w:tcPr>
            <w:tcW w:w="1638" w:type="dxa"/>
            <w:tcBorders>
              <w:top w:val="single" w:sz="4" w:space="0" w:color="1B556B"/>
              <w:bottom w:val="single" w:sz="4" w:space="0" w:color="1B556B"/>
            </w:tcBorders>
            <w:vAlign w:val="bottom"/>
          </w:tcPr>
          <w:p w14:paraId="20176EFB" w14:textId="77777777" w:rsidR="0010265C" w:rsidRPr="00261B7A" w:rsidRDefault="0010265C" w:rsidP="00D41492">
            <w:pPr>
              <w:pStyle w:val="TableText"/>
              <w:keepNext/>
              <w:spacing w:before="40" w:after="40"/>
              <w:jc w:val="right"/>
              <w:rPr>
                <w:rFonts w:cs="Segoe UI"/>
                <w:szCs w:val="16"/>
              </w:rPr>
            </w:pPr>
            <w:r w:rsidRPr="00261B7A">
              <w:rPr>
                <w:rFonts w:cs="Calibri"/>
                <w:color w:val="000000"/>
                <w:szCs w:val="16"/>
              </w:rPr>
              <w:t>9,379,712</w:t>
            </w:r>
          </w:p>
        </w:tc>
        <w:tc>
          <w:tcPr>
            <w:tcW w:w="2594" w:type="dxa"/>
            <w:tcBorders>
              <w:top w:val="single" w:sz="4" w:space="0" w:color="1B556B"/>
              <w:bottom w:val="single" w:sz="4" w:space="0" w:color="1B556B"/>
            </w:tcBorders>
            <w:vAlign w:val="bottom"/>
          </w:tcPr>
          <w:p w14:paraId="3E094982" w14:textId="77777777" w:rsidR="0010265C" w:rsidRPr="00261B7A" w:rsidRDefault="0010265C" w:rsidP="00D41492">
            <w:pPr>
              <w:pStyle w:val="TableText"/>
              <w:keepNext/>
              <w:tabs>
                <w:tab w:val="decimal" w:pos="556"/>
              </w:tabs>
              <w:spacing w:before="40" w:after="40"/>
              <w:jc w:val="right"/>
              <w:rPr>
                <w:rFonts w:cs="Segoe UI"/>
                <w:szCs w:val="16"/>
              </w:rPr>
            </w:pPr>
            <w:r w:rsidRPr="00261B7A">
              <w:rPr>
                <w:rFonts w:cs="Calibri"/>
                <w:szCs w:val="16"/>
              </w:rPr>
              <w:t>–</w:t>
            </w:r>
            <w:r w:rsidRPr="00261B7A">
              <w:rPr>
                <w:rFonts w:cs="Calibri"/>
                <w:color w:val="000000"/>
                <w:szCs w:val="16"/>
              </w:rPr>
              <w:t>2,131</w:t>
            </w:r>
          </w:p>
        </w:tc>
        <w:tc>
          <w:tcPr>
            <w:tcW w:w="1134" w:type="dxa"/>
            <w:tcBorders>
              <w:top w:val="single" w:sz="4" w:space="0" w:color="1B556B"/>
              <w:bottom w:val="single" w:sz="4" w:space="0" w:color="1B556B"/>
            </w:tcBorders>
            <w:vAlign w:val="center"/>
          </w:tcPr>
          <w:p w14:paraId="0555CE28" w14:textId="77777777" w:rsidR="0010265C" w:rsidRPr="00261B7A" w:rsidRDefault="0010265C" w:rsidP="00D41492">
            <w:pPr>
              <w:pStyle w:val="TableText"/>
              <w:keepNext/>
              <w:tabs>
                <w:tab w:val="decimal" w:pos="556"/>
              </w:tabs>
              <w:spacing w:before="40" w:after="40"/>
              <w:jc w:val="right"/>
              <w:rPr>
                <w:rFonts w:cs="Segoe UI"/>
                <w:szCs w:val="16"/>
              </w:rPr>
            </w:pPr>
            <w:r w:rsidRPr="00261B7A">
              <w:rPr>
                <w:rFonts w:cs="Calibri"/>
                <w:szCs w:val="16"/>
              </w:rPr>
              <w:t>–</w:t>
            </w:r>
            <w:r w:rsidRPr="00261B7A">
              <w:rPr>
                <w:rFonts w:cs="Calibri"/>
                <w:color w:val="000000"/>
                <w:szCs w:val="16"/>
              </w:rPr>
              <w:t>0.0</w:t>
            </w:r>
          </w:p>
        </w:tc>
      </w:tr>
      <w:tr w:rsidR="0010265C" w:rsidRPr="00261B7A" w14:paraId="5C9CA31E" w14:textId="77777777" w:rsidTr="00B276FF">
        <w:tc>
          <w:tcPr>
            <w:tcW w:w="1502" w:type="dxa"/>
            <w:tcBorders>
              <w:top w:val="single" w:sz="4" w:space="0" w:color="1B556B"/>
              <w:bottom w:val="single" w:sz="4" w:space="0" w:color="1B556B"/>
            </w:tcBorders>
          </w:tcPr>
          <w:p w14:paraId="722E8C9A" w14:textId="77777777" w:rsidR="0010265C" w:rsidRPr="00261B7A" w:rsidRDefault="0010265C" w:rsidP="00D41492">
            <w:pPr>
              <w:pStyle w:val="TableText"/>
              <w:spacing w:before="40" w:after="40"/>
              <w:rPr>
                <w:szCs w:val="16"/>
              </w:rPr>
            </w:pPr>
            <w:r w:rsidRPr="00261B7A">
              <w:rPr>
                <w:szCs w:val="16"/>
              </w:rPr>
              <w:t>20</w:t>
            </w:r>
            <w:r w:rsidRPr="00261B7A" w:rsidDel="001E05D7">
              <w:rPr>
                <w:szCs w:val="16"/>
              </w:rPr>
              <w:t>20</w:t>
            </w:r>
          </w:p>
        </w:tc>
        <w:tc>
          <w:tcPr>
            <w:tcW w:w="1637" w:type="dxa"/>
            <w:tcBorders>
              <w:top w:val="single" w:sz="4" w:space="0" w:color="1B556B"/>
              <w:bottom w:val="single" w:sz="4" w:space="0" w:color="1B556B"/>
            </w:tcBorders>
            <w:vAlign w:val="bottom"/>
          </w:tcPr>
          <w:p w14:paraId="7ED4F5B0" w14:textId="77777777" w:rsidR="0010265C" w:rsidRPr="00261B7A" w:rsidRDefault="0010265C" w:rsidP="00D41492">
            <w:pPr>
              <w:pStyle w:val="TableText"/>
              <w:keepNext/>
              <w:spacing w:before="40" w:after="40"/>
              <w:jc w:val="right"/>
              <w:rPr>
                <w:rFonts w:cs="Segoe UI"/>
                <w:szCs w:val="16"/>
              </w:rPr>
            </w:pPr>
            <w:r w:rsidRPr="00261B7A">
              <w:rPr>
                <w:rFonts w:cs="Calibri"/>
                <w:color w:val="000000"/>
                <w:szCs w:val="16"/>
              </w:rPr>
              <w:t xml:space="preserve">9,971,670 </w:t>
            </w:r>
          </w:p>
        </w:tc>
        <w:tc>
          <w:tcPr>
            <w:tcW w:w="1638" w:type="dxa"/>
            <w:tcBorders>
              <w:top w:val="single" w:sz="4" w:space="0" w:color="1B556B"/>
              <w:bottom w:val="single" w:sz="4" w:space="0" w:color="1B556B"/>
            </w:tcBorders>
            <w:vAlign w:val="bottom"/>
          </w:tcPr>
          <w:p w14:paraId="4AE269FB" w14:textId="77777777" w:rsidR="0010265C" w:rsidRPr="00261B7A" w:rsidRDefault="0010265C" w:rsidP="00D41492">
            <w:pPr>
              <w:pStyle w:val="TableText"/>
              <w:keepNext/>
              <w:spacing w:before="40" w:after="40"/>
              <w:jc w:val="right"/>
              <w:rPr>
                <w:rFonts w:cs="Segoe UI"/>
                <w:szCs w:val="16"/>
              </w:rPr>
            </w:pPr>
            <w:r w:rsidRPr="00261B7A">
              <w:rPr>
                <w:rFonts w:cs="Calibri"/>
                <w:color w:val="000000"/>
                <w:szCs w:val="16"/>
              </w:rPr>
              <w:t>9,965,606</w:t>
            </w:r>
          </w:p>
        </w:tc>
        <w:tc>
          <w:tcPr>
            <w:tcW w:w="2594" w:type="dxa"/>
            <w:tcBorders>
              <w:top w:val="single" w:sz="4" w:space="0" w:color="1B556B"/>
              <w:bottom w:val="single" w:sz="4" w:space="0" w:color="1B556B"/>
            </w:tcBorders>
            <w:vAlign w:val="bottom"/>
          </w:tcPr>
          <w:p w14:paraId="6B08A490" w14:textId="77777777" w:rsidR="0010265C" w:rsidRPr="00261B7A" w:rsidRDefault="0010265C" w:rsidP="00D41492">
            <w:pPr>
              <w:pStyle w:val="TableText"/>
              <w:keepNext/>
              <w:tabs>
                <w:tab w:val="decimal" w:pos="556"/>
              </w:tabs>
              <w:spacing w:before="40" w:after="40"/>
              <w:jc w:val="right"/>
              <w:rPr>
                <w:rFonts w:cs="Segoe UI"/>
                <w:szCs w:val="16"/>
              </w:rPr>
            </w:pPr>
            <w:r w:rsidRPr="00261B7A">
              <w:rPr>
                <w:rFonts w:cs="Calibri"/>
                <w:color w:val="000000"/>
                <w:szCs w:val="16"/>
              </w:rPr>
              <w:t>–6,064</w:t>
            </w:r>
          </w:p>
        </w:tc>
        <w:tc>
          <w:tcPr>
            <w:tcW w:w="1134" w:type="dxa"/>
            <w:tcBorders>
              <w:top w:val="single" w:sz="4" w:space="0" w:color="1B556B"/>
              <w:bottom w:val="single" w:sz="4" w:space="0" w:color="1B556B"/>
            </w:tcBorders>
            <w:vAlign w:val="center"/>
          </w:tcPr>
          <w:p w14:paraId="459E151C" w14:textId="77777777" w:rsidR="0010265C" w:rsidRPr="00261B7A" w:rsidRDefault="0010265C" w:rsidP="00D41492">
            <w:pPr>
              <w:pStyle w:val="TableText"/>
              <w:keepNext/>
              <w:tabs>
                <w:tab w:val="decimal" w:pos="556"/>
              </w:tabs>
              <w:spacing w:before="40" w:after="40"/>
              <w:jc w:val="right"/>
              <w:rPr>
                <w:rFonts w:cs="Segoe UI"/>
                <w:szCs w:val="16"/>
              </w:rPr>
            </w:pPr>
            <w:r w:rsidRPr="00261B7A">
              <w:rPr>
                <w:rFonts w:cs="Calibri"/>
                <w:color w:val="000000"/>
                <w:szCs w:val="16"/>
              </w:rPr>
              <w:t>–0.1</w:t>
            </w:r>
          </w:p>
        </w:tc>
      </w:tr>
    </w:tbl>
    <w:p w14:paraId="002AAED6" w14:textId="77777777" w:rsidR="0010265C" w:rsidRPr="00261B7A" w:rsidRDefault="0010265C" w:rsidP="0010265C">
      <w:pPr>
        <w:pStyle w:val="Noteundertable"/>
      </w:pPr>
      <w:r w:rsidRPr="00261B7A">
        <w:rPr>
          <w:b/>
        </w:rPr>
        <w:t>Note:</w:t>
      </w:r>
      <w:r w:rsidRPr="00261B7A">
        <w:tab/>
        <w:t xml:space="preserve">Areas are as at the end of the year indicated. </w:t>
      </w:r>
    </w:p>
    <w:p w14:paraId="008201AA" w14:textId="77777777" w:rsidR="0010265C" w:rsidRPr="00261B7A" w:rsidRDefault="0010265C" w:rsidP="00B276FF">
      <w:pPr>
        <w:pStyle w:val="BodyText"/>
        <w:spacing w:before="100" w:after="100"/>
      </w:pPr>
      <w:r w:rsidRPr="00261B7A">
        <w:t xml:space="preserve">For </w:t>
      </w:r>
      <w:r w:rsidRPr="00261B7A">
        <w:rPr>
          <w:i/>
        </w:rPr>
        <w:t>Forest land</w:t>
      </w:r>
      <w:r w:rsidRPr="00261B7A">
        <w:t>, a number of improvements made to both the planted and natural forest activity data led to a recalculation across the time series. These are described in more detail below.</w:t>
      </w:r>
      <w:bookmarkStart w:id="1785" w:name="_Toc255466362"/>
      <w:bookmarkStart w:id="1786" w:name="_Toc261513169"/>
      <w:bookmarkStart w:id="1787" w:name="_Toc261513782"/>
      <w:bookmarkStart w:id="1788" w:name="_Toc280630260"/>
      <w:r w:rsidRPr="00261B7A">
        <w:t xml:space="preserve"> The change in the 1990 emissions estimate is caused by a change in the estimated harvest area in 1988 to 1989, driving an increase in dead wood decay in 1990. For more information, refer to the description of planned improvements in section 6.3.6. </w:t>
      </w:r>
    </w:p>
    <w:p w14:paraId="168699E6" w14:textId="77777777" w:rsidR="0010265C" w:rsidRPr="00261B7A" w:rsidRDefault="0010265C" w:rsidP="0010265C">
      <w:pPr>
        <w:pStyle w:val="Heading5"/>
        <w:spacing w:before="160"/>
      </w:pPr>
      <w:r w:rsidRPr="00261B7A">
        <w:t>Activity data</w:t>
      </w:r>
      <w:bookmarkEnd w:id="1785"/>
      <w:bookmarkEnd w:id="1786"/>
      <w:bookmarkEnd w:id="1787"/>
      <w:bookmarkEnd w:id="1788"/>
    </w:p>
    <w:p w14:paraId="44CAC4D0" w14:textId="77777777" w:rsidR="0010265C" w:rsidRPr="00261B7A" w:rsidRDefault="0010265C" w:rsidP="00B276FF">
      <w:pPr>
        <w:pStyle w:val="BodyText"/>
        <w:spacing w:before="80" w:after="100"/>
      </w:pPr>
      <w:bookmarkStart w:id="1789" w:name="_Toc255466366"/>
      <w:bookmarkStart w:id="1790" w:name="_Toc261513173"/>
      <w:bookmarkStart w:id="1791" w:name="_Toc261513786"/>
      <w:r w:rsidRPr="00261B7A">
        <w:t xml:space="preserve">The area estimates of afforestation and deforestation have been updated from the previous submission due to updates in forestry scheme data and new deforestation mapping . </w:t>
      </w:r>
    </w:p>
    <w:p w14:paraId="31ED3DD3" w14:textId="77777777" w:rsidR="0010265C" w:rsidRPr="00261B7A" w:rsidRDefault="0010265C" w:rsidP="00B276FF">
      <w:pPr>
        <w:pStyle w:val="BodyText"/>
        <w:spacing w:before="100" w:after="100"/>
      </w:pPr>
      <w:r w:rsidRPr="00261B7A">
        <w:t xml:space="preserve">The area of deforestation occurring in 2017, 2018 and 2019 is now based on mapping. </w:t>
      </w:r>
    </w:p>
    <w:p w14:paraId="75698E75" w14:textId="77777777" w:rsidR="0010265C" w:rsidRPr="00261B7A" w:rsidRDefault="0010265C" w:rsidP="00B276FF">
      <w:pPr>
        <w:pStyle w:val="BodyText"/>
        <w:spacing w:before="100" w:after="100"/>
        <w:rPr>
          <w:rFonts w:cs="Arial"/>
        </w:rPr>
      </w:pPr>
      <w:r w:rsidRPr="00261B7A">
        <w:t>The area of planted forest deforestation for 2020 and 2021 has been estimated by extrapolating the trend in mapped data as described in annex 3.2.2. The direct impact of these changes to deforestation emissions is a reduction of 378 kt CO</w:t>
      </w:r>
      <w:r w:rsidRPr="00261B7A">
        <w:rPr>
          <w:vertAlign w:val="subscript"/>
        </w:rPr>
        <w:t>2</w:t>
      </w:r>
      <w:r w:rsidRPr="00261B7A">
        <w:t xml:space="preserve"> in 2019 and an increase of 1,015 kt CO</w:t>
      </w:r>
      <w:r w:rsidRPr="00261B7A">
        <w:rPr>
          <w:vertAlign w:val="subscript"/>
        </w:rPr>
        <w:t>2</w:t>
      </w:r>
      <w:r w:rsidRPr="00261B7A">
        <w:t xml:space="preserve"> in 2020. However, these changes are balanced by changes to the emissions of harvesting reported in these years.</w:t>
      </w:r>
      <w:r w:rsidRPr="00261B7A">
        <w:rPr>
          <w:rFonts w:cs="Arial"/>
        </w:rPr>
        <w:t xml:space="preserve"> </w:t>
      </w:r>
      <w:r w:rsidRPr="00261B7A">
        <w:t>This is because there has been no change to the total estimated area of destocking (harvesting + deforestation).</w:t>
      </w:r>
      <w:r w:rsidRPr="00261B7A">
        <w:rPr>
          <w:rStyle w:val="FootnoteReference"/>
        </w:rPr>
        <w:footnoteReference w:id="62"/>
      </w:r>
      <w:r w:rsidRPr="00261B7A">
        <w:t xml:space="preserve"> Deforestation area is deducted from this total and the remainder is assumed to be harvested.</w:t>
      </w:r>
      <w:r w:rsidRPr="00261B7A">
        <w:rPr>
          <w:rFonts w:cs="Arial"/>
        </w:rPr>
        <w:t xml:space="preserve"> </w:t>
      </w:r>
      <w:r w:rsidRPr="00261B7A">
        <w:t>Therefore, increases in emissions associated with deforestation are nearly balanced by decreases in emissions from harvesting. For 2020, this means that the overall net impact on LULUCF emissions is an increase of 209 kt CO</w:t>
      </w:r>
      <w:r w:rsidRPr="00261B7A">
        <w:rPr>
          <w:vertAlign w:val="subscript"/>
        </w:rPr>
        <w:t>2.</w:t>
      </w:r>
      <w:r w:rsidRPr="00261B7A">
        <w:rPr>
          <w:i/>
          <w:iCs/>
        </w:rPr>
        <w:t xml:space="preserve"> </w:t>
      </w:r>
      <w:r w:rsidRPr="00261B7A">
        <w:t>This difference comes from the fact that deforestation results in higher emissions than harvesting (all biomass carbon is assumed to be an instantaneous emission at the time of deforestation, whereas emissions from harvesting are offset by removals in the harvested wood products pool).</w:t>
      </w:r>
    </w:p>
    <w:p w14:paraId="6D8B114B" w14:textId="77777777" w:rsidR="0010265C" w:rsidRPr="00261B7A" w:rsidRDefault="0010265C" w:rsidP="0010265C">
      <w:pPr>
        <w:pStyle w:val="BodyText"/>
      </w:pPr>
      <w:r w:rsidRPr="00261B7A">
        <w:t xml:space="preserve">This improvement is also largely responsible for the 41.2 per cent increase in emissions reported in the </w:t>
      </w:r>
      <w:r w:rsidRPr="00261B7A">
        <w:rPr>
          <w:i/>
          <w:iCs/>
        </w:rPr>
        <w:t>Grassland</w:t>
      </w:r>
      <w:r w:rsidRPr="00261B7A">
        <w:t xml:space="preserve"> category for 2020 (given most deforested land is converted to grassland).</w:t>
      </w:r>
    </w:p>
    <w:p w14:paraId="0B234E94" w14:textId="77777777" w:rsidR="0010265C" w:rsidRPr="00261B7A" w:rsidRDefault="0010265C" w:rsidP="0010265C">
      <w:pPr>
        <w:pStyle w:val="BodyText"/>
      </w:pPr>
      <w:r w:rsidRPr="00261B7A">
        <w:t xml:space="preserve">The area of deforestation of pre-1990 (tall), pre-1990 (regenerating) and post-1989 natural forest for 2020 and 2021 has been estimated as occurring at the same annual rate as the annual average of the most recently mapped three-year period (2017 to 2019). </w:t>
      </w:r>
    </w:p>
    <w:p w14:paraId="648A3FA2" w14:textId="77777777" w:rsidR="0010265C" w:rsidRPr="00261B7A" w:rsidRDefault="0010265C" w:rsidP="0010265C">
      <w:pPr>
        <w:pStyle w:val="Heading5"/>
      </w:pPr>
      <w:r w:rsidRPr="00261B7A">
        <w:t>Planted forest – yield tables, forest age, harvest age profile modelling and harvest area calculations</w:t>
      </w:r>
    </w:p>
    <w:p w14:paraId="26B808B6" w14:textId="77777777" w:rsidR="0010265C" w:rsidRPr="00261B7A" w:rsidRDefault="0010265C" w:rsidP="00B276FF">
      <w:pPr>
        <w:pStyle w:val="BodyText"/>
        <w:spacing w:after="100"/>
      </w:pPr>
      <w:r w:rsidRPr="00261B7A">
        <w:t>In this submission, there are no recalculations associated with updated yield tables. Yield tables for the pre-1990 planted forest and post-1989 planted forest were last updated for the 2022 submission to include data from plots measured in the 2020 forest inventory (see annex 3.2.5, ‘Planted forest yield tables’).</w:t>
      </w:r>
    </w:p>
    <w:p w14:paraId="7D33064E" w14:textId="77777777" w:rsidR="0010265C" w:rsidRPr="00261B7A" w:rsidRDefault="0010265C" w:rsidP="00B276FF">
      <w:pPr>
        <w:pStyle w:val="BodyText"/>
        <w:spacing w:after="100"/>
      </w:pPr>
      <w:r w:rsidRPr="00261B7A">
        <w:t xml:space="preserve">A range of modelling procedures has been improved to ensure consistency of treatment of harvesting and deforestation activities between pre-1990 and post-1989 planted forests. These include: </w:t>
      </w:r>
    </w:p>
    <w:p w14:paraId="2985D686" w14:textId="77777777" w:rsidR="0010265C" w:rsidRPr="00261B7A" w:rsidRDefault="0010265C" w:rsidP="00294EC5">
      <w:pPr>
        <w:pStyle w:val="Bullet"/>
        <w:numPr>
          <w:ilvl w:val="0"/>
          <w:numId w:val="25"/>
        </w:numPr>
        <w:spacing w:after="100"/>
        <w:ind w:left="397" w:hanging="397"/>
      </w:pPr>
      <w:r w:rsidRPr="00261B7A">
        <w:t xml:space="preserve">accounting for the change in the average harvest age through time (using a moving average from successive </w:t>
      </w:r>
      <w:r w:rsidRPr="00261B7A">
        <w:rPr>
          <w:rFonts w:eastAsia="Calibri"/>
        </w:rPr>
        <w:t>National Exotic Forest Description</w:t>
      </w:r>
      <w:r w:rsidRPr="00261B7A" w:rsidDel="00161978">
        <w:t xml:space="preserve"> </w:t>
      </w:r>
      <w:r w:rsidRPr="00261B7A">
        <w:t>releases from 1995 to 2020) </w:t>
      </w:r>
    </w:p>
    <w:p w14:paraId="0E8393A5" w14:textId="77777777" w:rsidR="0010265C" w:rsidRPr="00261B7A" w:rsidRDefault="0010265C" w:rsidP="00294EC5">
      <w:pPr>
        <w:pStyle w:val="Bullet"/>
        <w:numPr>
          <w:ilvl w:val="0"/>
          <w:numId w:val="25"/>
        </w:numPr>
        <w:spacing w:after="100"/>
        <w:ind w:left="397" w:hanging="397"/>
      </w:pPr>
      <w:r w:rsidRPr="00261B7A">
        <w:t>basing the harvest area split for pre-1990 and post-1989 planted forests</w:t>
      </w:r>
      <w:r w:rsidRPr="00261B7A" w:rsidDel="00161978">
        <w:t xml:space="preserve"> </w:t>
      </w:r>
      <w:r w:rsidRPr="00261B7A">
        <w:t>on mapped area proportions for 2017 and 2018</w:t>
      </w:r>
    </w:p>
    <w:p w14:paraId="68C3E6EC" w14:textId="77777777" w:rsidR="0010265C" w:rsidRPr="00261B7A" w:rsidRDefault="0010265C" w:rsidP="00294EC5">
      <w:pPr>
        <w:pStyle w:val="Bullet"/>
        <w:numPr>
          <w:ilvl w:val="0"/>
          <w:numId w:val="25"/>
        </w:numPr>
        <w:spacing w:after="100"/>
        <w:ind w:left="397" w:hanging="397"/>
      </w:pPr>
      <w:r w:rsidRPr="00261B7A">
        <w:t>improving the process for creating harvesting events for pre-1990 planted forest</w:t>
      </w:r>
      <w:r w:rsidRPr="00261B7A" w:rsidDel="00161978">
        <w:t xml:space="preserve"> </w:t>
      </w:r>
      <w:r w:rsidRPr="00261B7A">
        <w:t>to address a minor discrepancy in age profile that has historically existed in the models</w:t>
      </w:r>
    </w:p>
    <w:p w14:paraId="3E7EDE9A" w14:textId="77777777" w:rsidR="0010265C" w:rsidRPr="00261B7A" w:rsidRDefault="0010265C" w:rsidP="00294EC5">
      <w:pPr>
        <w:pStyle w:val="Bullet"/>
        <w:numPr>
          <w:ilvl w:val="0"/>
          <w:numId w:val="25"/>
        </w:numPr>
        <w:spacing w:after="100"/>
        <w:ind w:left="397" w:hanging="397"/>
      </w:pPr>
      <w:r w:rsidRPr="00261B7A">
        <w:t>improving the process for deriving pre-1990 planted forest harvesting on organic soils to ensure model reliability in the future</w:t>
      </w:r>
    </w:p>
    <w:p w14:paraId="242E7EE2" w14:textId="77777777" w:rsidR="0010265C" w:rsidRPr="00261B7A" w:rsidRDefault="0010265C" w:rsidP="00294EC5">
      <w:pPr>
        <w:pStyle w:val="Bullet"/>
        <w:numPr>
          <w:ilvl w:val="0"/>
          <w:numId w:val="25"/>
        </w:numPr>
        <w:spacing w:after="100"/>
        <w:ind w:left="397" w:hanging="397"/>
      </w:pPr>
      <w:r w:rsidRPr="00261B7A">
        <w:t>improving the harvest area by age calculation for post-1989 planted forests</w:t>
      </w:r>
      <w:r w:rsidRPr="00261B7A" w:rsidDel="00161978">
        <w:t xml:space="preserve"> </w:t>
      </w:r>
      <w:r w:rsidRPr="00261B7A">
        <w:t>to ensure that enough is area available to harvest each year and to better incorporate mapped harvest data</w:t>
      </w:r>
    </w:p>
    <w:p w14:paraId="26C65BC6" w14:textId="77777777" w:rsidR="0010265C" w:rsidRPr="00261B7A" w:rsidRDefault="0010265C" w:rsidP="00294EC5">
      <w:pPr>
        <w:pStyle w:val="Bullet"/>
        <w:numPr>
          <w:ilvl w:val="0"/>
          <w:numId w:val="25"/>
        </w:numPr>
        <w:ind w:left="397" w:hanging="397"/>
      </w:pPr>
      <w:r w:rsidRPr="00261B7A">
        <w:t xml:space="preserve">changing the estimated pre-1990 planted forest harvest area in 1988 to 1989. This has driven an increase in estimated dead wood decay in 1990, which increases the 1990 emissions estimate for the </w:t>
      </w:r>
      <w:r w:rsidRPr="00261B7A">
        <w:rPr>
          <w:i/>
          <w:iCs/>
        </w:rPr>
        <w:t xml:space="preserve">Forest land </w:t>
      </w:r>
      <w:r w:rsidRPr="00261B7A">
        <w:t xml:space="preserve">category. </w:t>
      </w:r>
    </w:p>
    <w:p w14:paraId="22BB9333" w14:textId="77777777" w:rsidR="0010265C" w:rsidRPr="00261B7A" w:rsidRDefault="0010265C" w:rsidP="00B276FF">
      <w:pPr>
        <w:pStyle w:val="BodyText"/>
        <w:spacing w:after="100"/>
      </w:pPr>
      <w:r w:rsidRPr="00261B7A">
        <w:t>Details on method updates applied in the 2022 submission are included in annex 3.2.</w:t>
      </w:r>
    </w:p>
    <w:p w14:paraId="110ABDF5" w14:textId="77777777" w:rsidR="0010265C" w:rsidRPr="00261B7A" w:rsidRDefault="0010265C" w:rsidP="00B276FF">
      <w:pPr>
        <w:pStyle w:val="BodyText"/>
        <w:spacing w:after="100"/>
      </w:pPr>
      <w:r w:rsidRPr="00261B7A">
        <w:t>In this submission, improvements to deforestation activity data (described above) subsequently affect the calculation of post-1989 and pre-1990 harvest area, which is determined as the difference between destocking and deforestation (refer to annex 3.2.5 for detailed methods).</w:t>
      </w:r>
    </w:p>
    <w:p w14:paraId="64261CD8" w14:textId="77777777" w:rsidR="0010265C" w:rsidRPr="00261B7A" w:rsidRDefault="0010265C" w:rsidP="0010265C">
      <w:pPr>
        <w:pStyle w:val="Heading5"/>
      </w:pPr>
      <w:r w:rsidRPr="00261B7A">
        <w:t xml:space="preserve">Natural forest – </w:t>
      </w:r>
      <w:r w:rsidRPr="00261B7A" w:rsidDel="009D4E4E">
        <w:t xml:space="preserve">updates to </w:t>
      </w:r>
      <w:r w:rsidRPr="00261B7A">
        <w:t>yield tables and emissions calculations</w:t>
      </w:r>
    </w:p>
    <w:p w14:paraId="252D7731" w14:textId="77777777" w:rsidR="0010265C" w:rsidRPr="00261B7A" w:rsidRDefault="0010265C" w:rsidP="0010265C">
      <w:pPr>
        <w:pStyle w:val="BodyText"/>
      </w:pPr>
      <w:r w:rsidRPr="00261B7A">
        <w:t>In this submission, there are no recalculations associated with natural forest yield tables.</w:t>
      </w:r>
      <w:r w:rsidRPr="00261B7A" w:rsidDel="005B6A7A">
        <w:t xml:space="preserve"> </w:t>
      </w:r>
      <w:r w:rsidRPr="00261B7A">
        <w:t>Yield tables for both pre-1990 natural forest and post-1989 natural forest were last updated for the</w:t>
      </w:r>
      <w:r w:rsidRPr="00261B7A" w:rsidDel="005B17E0">
        <w:t xml:space="preserve"> </w:t>
      </w:r>
      <w:r w:rsidRPr="00261B7A">
        <w:t>2022 submission</w:t>
      </w:r>
      <w:r w:rsidRPr="00261B7A" w:rsidDel="00761B2B">
        <w:t xml:space="preserve"> </w:t>
      </w:r>
      <w:r w:rsidRPr="00261B7A">
        <w:t>(see annex 3.2.5, ‘Natural forest carbon stock change estimates and yield tables’).</w:t>
      </w:r>
    </w:p>
    <w:p w14:paraId="5C425BC8" w14:textId="77777777" w:rsidR="0010265C" w:rsidRPr="00261B7A" w:rsidRDefault="0010265C" w:rsidP="0010265C">
      <w:pPr>
        <w:pStyle w:val="Heading3"/>
      </w:pPr>
      <w:bookmarkStart w:id="1792" w:name="_Toc255466368"/>
      <w:bookmarkStart w:id="1793" w:name="_Toc261513175"/>
      <w:bookmarkStart w:id="1794" w:name="_Toc261513788"/>
      <w:bookmarkStart w:id="1795" w:name="_Toc280630262"/>
      <w:bookmarkStart w:id="1796" w:name="_Toc373395716"/>
      <w:bookmarkStart w:id="1797" w:name="_Toc139253961"/>
      <w:bookmarkEnd w:id="1789"/>
      <w:bookmarkEnd w:id="1790"/>
      <w:bookmarkEnd w:id="1791"/>
      <w:r w:rsidRPr="00261B7A">
        <w:t>6.3.6</w:t>
      </w:r>
      <w:r w:rsidRPr="00261B7A">
        <w:tab/>
        <w:t>Category-specific planned improvements</w:t>
      </w:r>
      <w:bookmarkEnd w:id="1792"/>
      <w:bookmarkEnd w:id="1793"/>
      <w:bookmarkEnd w:id="1794"/>
      <w:bookmarkEnd w:id="1795"/>
      <w:bookmarkEnd w:id="1796"/>
      <w:bookmarkEnd w:id="1797"/>
    </w:p>
    <w:p w14:paraId="78C7DE58" w14:textId="77777777" w:rsidR="0010265C" w:rsidRPr="00261B7A" w:rsidRDefault="0010265C" w:rsidP="0010265C">
      <w:pPr>
        <w:pStyle w:val="Heading5"/>
      </w:pPr>
      <w:r w:rsidRPr="00261B7A">
        <w:t>Plot networks and yield tables</w:t>
      </w:r>
    </w:p>
    <w:p w14:paraId="26A9DC3E" w14:textId="366592D0" w:rsidR="0010265C" w:rsidRPr="00261B7A" w:rsidRDefault="0010265C" w:rsidP="00711C23">
      <w:pPr>
        <w:pStyle w:val="BodyText"/>
        <w:spacing w:before="100" w:after="100"/>
      </w:pPr>
      <w:r w:rsidRPr="00261B7A">
        <w:t>New Zealand will continue to measure the pre-1990 natural forest plot network on a 10-year cycle and analyse the data collected as they become available. An updated analysis is anticipated to be ready for the 2024 submission. The post-1989 natural forest plot network will be re-measured in 2023/24. The complete planted forest plot network (pre-1990 and post</w:t>
      </w:r>
      <w:r w:rsidR="003070B6">
        <w:noBreakHyphen/>
      </w:r>
      <w:r w:rsidRPr="00261B7A">
        <w:t>1989) is being remeasured on a continuous basis (at five-year intervals). These data will be incorporated into the National Inventory Report as they become available. New Zealand will</w:t>
      </w:r>
      <w:r w:rsidR="003070B6">
        <w:t> </w:t>
      </w:r>
      <w:r w:rsidRPr="00261B7A">
        <w:t>update the pre-1990 and post-1989 planted forest yield tables in the 2024 submission.</w:t>
      </w:r>
    </w:p>
    <w:p w14:paraId="5D72FD2E" w14:textId="774C74BB" w:rsidR="0010265C" w:rsidRPr="00261B7A" w:rsidRDefault="0010265C" w:rsidP="00711C23">
      <w:pPr>
        <w:pStyle w:val="BodyText"/>
        <w:spacing w:before="100" w:after="100"/>
      </w:pPr>
      <w:r w:rsidRPr="00261B7A">
        <w:t xml:space="preserve">An additional yield table is planned for post-1989 natural forest, to be produced by disaggregating data from plots dominated by exotic vegetation (typically </w:t>
      </w:r>
      <w:r w:rsidRPr="00261B7A">
        <w:rPr>
          <w:i/>
          <w:iCs/>
        </w:rPr>
        <w:t>Pinus spp.</w:t>
      </w:r>
      <w:r w:rsidRPr="00261B7A">
        <w:t>, or ‘wilding pines’) from those dominated by native vegetation communities. The current method of including both vegetation types in the one yield table limits its applicability in reporting carbon stock change and other areas of conservation and environmental management. At present these results should always be used and reported as the combination of both native and exotic</w:t>
      </w:r>
      <w:r w:rsidR="00CB3498" w:rsidRPr="00261B7A">
        <w:t> </w:t>
      </w:r>
      <w:r w:rsidRPr="00261B7A">
        <w:t>communities. Analyses up until now have aggregated these data due to a low sample size (a total of 25 plots). It is planned, however, to increase the number of post-1989 plots surveyed in future to provide an</w:t>
      </w:r>
      <w:r w:rsidRPr="00261B7A" w:rsidDel="00190075">
        <w:t xml:space="preserve"> </w:t>
      </w:r>
      <w:r w:rsidRPr="00261B7A">
        <w:t xml:space="preserve">overall sample that is large enough to separate into native and exotic communities and two respective yield tables. </w:t>
      </w:r>
    </w:p>
    <w:p w14:paraId="1F67B291" w14:textId="77777777" w:rsidR="0010265C" w:rsidRPr="00261B7A" w:rsidRDefault="0010265C" w:rsidP="0010265C">
      <w:pPr>
        <w:pStyle w:val="Heading5"/>
      </w:pPr>
      <w:r w:rsidRPr="00261B7A">
        <w:t>Mapping and activity data</w:t>
      </w:r>
    </w:p>
    <w:p w14:paraId="683A2AE2" w14:textId="77777777" w:rsidR="0010265C" w:rsidRPr="00261B7A" w:rsidRDefault="0010265C" w:rsidP="00711C23">
      <w:pPr>
        <w:pStyle w:val="BodyText"/>
        <w:spacing w:after="100"/>
      </w:pPr>
      <w:r w:rsidRPr="00261B7A">
        <w:t>Mapping of forest areas will be improved through changes to the 2016 land use map and the addition of a 2020 land use map. Planned forest-specific mapping improvements include:</w:t>
      </w:r>
    </w:p>
    <w:p w14:paraId="1A8C0183" w14:textId="77777777" w:rsidR="0010265C" w:rsidRPr="00261B7A" w:rsidRDefault="0010265C" w:rsidP="00294EC5">
      <w:pPr>
        <w:pStyle w:val="Bullet"/>
        <w:numPr>
          <w:ilvl w:val="0"/>
          <w:numId w:val="25"/>
        </w:numPr>
        <w:spacing w:after="100"/>
        <w:ind w:left="397" w:hanging="397"/>
        <w:rPr>
          <w:rFonts w:eastAsiaTheme="minorEastAsia"/>
        </w:rPr>
      </w:pPr>
      <w:r w:rsidRPr="00261B7A">
        <w:rPr>
          <w:rFonts w:eastAsiaTheme="minorEastAsia"/>
        </w:rPr>
        <w:t>mapping of newly planted forests through data supplied from Government-funded forestry scheme mapping, including the NZ ETS, and identified in Sentinel-2 satellite imagery</w:t>
      </w:r>
    </w:p>
    <w:p w14:paraId="0822B72A" w14:textId="77777777" w:rsidR="0010265C" w:rsidRPr="00261B7A" w:rsidRDefault="0010265C" w:rsidP="00294EC5">
      <w:pPr>
        <w:pStyle w:val="Bullet"/>
        <w:numPr>
          <w:ilvl w:val="0"/>
          <w:numId w:val="25"/>
        </w:numPr>
        <w:spacing w:after="100"/>
        <w:ind w:left="397" w:hanging="397"/>
        <w:rPr>
          <w:rFonts w:eastAsiaTheme="minorHAnsi"/>
        </w:rPr>
      </w:pPr>
      <w:r w:rsidRPr="00261B7A">
        <w:rPr>
          <w:rFonts w:eastAsiaTheme="minorEastAsia"/>
        </w:rPr>
        <w:t xml:space="preserve">review of the consistency of image classification and mapping of all </w:t>
      </w:r>
      <w:r w:rsidRPr="00261B7A">
        <w:rPr>
          <w:rFonts w:eastAsiaTheme="minorEastAsia"/>
          <w:i/>
        </w:rPr>
        <w:t>Forest land remaining forest land</w:t>
      </w:r>
      <w:r w:rsidRPr="00261B7A">
        <w:rPr>
          <w:rFonts w:eastAsiaTheme="minorEastAsia"/>
        </w:rPr>
        <w:t xml:space="preserve"> that has not been subject to earlier land-use change, using deep learning techniques to identify mapping errors and areas of uncertainty </w:t>
      </w:r>
    </w:p>
    <w:p w14:paraId="36D97F0E" w14:textId="77777777" w:rsidR="0010265C" w:rsidRPr="00261B7A" w:rsidRDefault="0010265C" w:rsidP="00294EC5">
      <w:pPr>
        <w:pStyle w:val="Bullet"/>
        <w:numPr>
          <w:ilvl w:val="0"/>
          <w:numId w:val="25"/>
        </w:numPr>
        <w:ind w:left="397" w:hanging="397"/>
        <w:rPr>
          <w:rFonts w:eastAsiaTheme="minorHAnsi"/>
        </w:rPr>
      </w:pPr>
      <w:r w:rsidRPr="00261B7A">
        <w:rPr>
          <w:rFonts w:eastAsiaTheme="minorEastAsia"/>
        </w:rPr>
        <w:t xml:space="preserve">mapped sub-classification of pre-1990 natural forest into tall and regenerating forest. </w:t>
      </w:r>
    </w:p>
    <w:p w14:paraId="50EC09C9" w14:textId="77777777" w:rsidR="0010265C" w:rsidRPr="00261B7A" w:rsidRDefault="0010265C" w:rsidP="0010265C">
      <w:pPr>
        <w:pStyle w:val="Heading5"/>
      </w:pPr>
      <w:r w:rsidRPr="00261B7A">
        <w:t>Planted forest model</w:t>
      </w:r>
    </w:p>
    <w:p w14:paraId="0A404BB9" w14:textId="77777777" w:rsidR="0010265C" w:rsidRPr="00261B7A" w:rsidRDefault="0010265C" w:rsidP="00711C23">
      <w:pPr>
        <w:pStyle w:val="BodyText"/>
        <w:spacing w:after="100"/>
      </w:pPr>
      <w:r w:rsidRPr="00261B7A">
        <w:t xml:space="preserve">A number of improvements will be made to the planted forest model including: </w:t>
      </w:r>
    </w:p>
    <w:p w14:paraId="5FA5BAAB" w14:textId="77777777" w:rsidR="0010265C" w:rsidRPr="00261B7A" w:rsidRDefault="0010265C" w:rsidP="00294EC5">
      <w:pPr>
        <w:pStyle w:val="Bullet"/>
        <w:numPr>
          <w:ilvl w:val="0"/>
          <w:numId w:val="25"/>
        </w:numPr>
        <w:spacing w:after="100"/>
        <w:ind w:left="397" w:hanging="397"/>
      </w:pPr>
      <w:r w:rsidRPr="00261B7A">
        <w:t>refining harvest and deforestation age profile calculations</w:t>
      </w:r>
    </w:p>
    <w:p w14:paraId="73F71061" w14:textId="77777777" w:rsidR="0010265C" w:rsidRPr="00261B7A" w:rsidRDefault="0010265C" w:rsidP="00294EC5">
      <w:pPr>
        <w:pStyle w:val="Bullet"/>
        <w:numPr>
          <w:ilvl w:val="0"/>
          <w:numId w:val="25"/>
        </w:numPr>
        <w:spacing w:after="100"/>
        <w:ind w:left="397" w:hanging="397"/>
      </w:pPr>
      <w:r w:rsidRPr="00261B7A">
        <w:t>reviewing organic soil harvesting assumptions with the aim of ensuring model reliability</w:t>
      </w:r>
    </w:p>
    <w:p w14:paraId="683C4668" w14:textId="77777777" w:rsidR="0010265C" w:rsidRPr="00261B7A" w:rsidRDefault="0010265C" w:rsidP="00294EC5">
      <w:pPr>
        <w:pStyle w:val="Bullet"/>
        <w:numPr>
          <w:ilvl w:val="0"/>
          <w:numId w:val="25"/>
        </w:numPr>
        <w:spacing w:after="100"/>
        <w:ind w:left="397" w:hanging="397"/>
      </w:pPr>
      <w:r w:rsidRPr="00261B7A">
        <w:t xml:space="preserve">reviewing harvesting model methodology for forests existing </w:t>
      </w:r>
      <w:r w:rsidRPr="00261B7A" w:rsidDel="00190075">
        <w:t>prior to</w:t>
      </w:r>
      <w:r w:rsidRPr="00261B7A">
        <w:t xml:space="preserve"> 1990.</w:t>
      </w:r>
    </w:p>
    <w:p w14:paraId="6B65F6A5" w14:textId="77777777" w:rsidR="0010265C" w:rsidRPr="00261B7A" w:rsidRDefault="0010265C" w:rsidP="00711C23">
      <w:pPr>
        <w:pStyle w:val="BodyText"/>
        <w:spacing w:after="100"/>
      </w:pPr>
      <w:r w:rsidRPr="00261B7A">
        <w:t>QA/QC processes for checking and improving consistency between different data sets are planned for a future submission. Currently a number of inconsistencies require further investigation and remediation. These inconsistencies include:</w:t>
      </w:r>
    </w:p>
    <w:p w14:paraId="41B4033D" w14:textId="77777777" w:rsidR="0010265C" w:rsidRPr="00261B7A" w:rsidRDefault="0010265C" w:rsidP="00294EC5">
      <w:pPr>
        <w:pStyle w:val="Bullet"/>
        <w:numPr>
          <w:ilvl w:val="0"/>
          <w:numId w:val="25"/>
        </w:numPr>
        <w:ind w:left="397" w:hanging="397"/>
      </w:pPr>
      <w:r w:rsidRPr="00261B7A">
        <w:t>the estimated annual volume removed from planted forests, based on the CRA model, is not entirely consistent with estimated annual roundwood volume statistics produced by the Ministry for Primary Industries (MPI) (Ministry for Primary Industries, 2022a) for part of the time series (1990 to 2012). Note that a comparison between the two data sources across the time series was carried out and is further described in annex A3.2.5 ‘Forest land model validations’</w:t>
      </w:r>
    </w:p>
    <w:p w14:paraId="31ED1932" w14:textId="77777777" w:rsidR="0010265C" w:rsidRPr="00261B7A" w:rsidRDefault="0010265C" w:rsidP="00294EC5">
      <w:pPr>
        <w:pStyle w:val="Bullet"/>
        <w:numPr>
          <w:ilvl w:val="0"/>
          <w:numId w:val="25"/>
        </w:numPr>
        <w:spacing w:after="100"/>
        <w:ind w:left="397" w:hanging="397"/>
      </w:pPr>
      <w:r w:rsidRPr="00261B7A">
        <w:t>the pre-1990 average carbon stock per hectare estimated from the CRA model is greater than the average carbon stock per hectare estimated from plots in the forest inventory (further described in annex A3.2.5 ‘Forest land model validations’)</w:t>
      </w:r>
    </w:p>
    <w:p w14:paraId="6FEC6B6D" w14:textId="77777777" w:rsidR="0010265C" w:rsidRPr="00261B7A" w:rsidRDefault="0010265C" w:rsidP="00294EC5">
      <w:pPr>
        <w:pStyle w:val="Bullet"/>
        <w:numPr>
          <w:ilvl w:val="0"/>
          <w:numId w:val="25"/>
        </w:numPr>
        <w:ind w:left="397" w:hanging="397"/>
      </w:pPr>
      <w:r w:rsidRPr="00261B7A">
        <w:t>the pre-1990 planted forest yield tables have</w:t>
      </w:r>
      <w:r w:rsidRPr="00261B7A" w:rsidDel="00D403F0">
        <w:t xml:space="preserve"> </w:t>
      </w:r>
      <w:r w:rsidRPr="00261B7A">
        <w:t>higher carbon stock</w:t>
      </w:r>
      <w:r w:rsidRPr="00261B7A" w:rsidDel="002D37D1">
        <w:t xml:space="preserve"> </w:t>
      </w:r>
      <w:r w:rsidRPr="00261B7A">
        <w:t xml:space="preserve">per hectare estimates on average than plots </w:t>
      </w:r>
      <w:r w:rsidRPr="00261B7A" w:rsidDel="00643C0B">
        <w:t xml:space="preserve">measured </w:t>
      </w:r>
      <w:r w:rsidRPr="00261B7A">
        <w:t>in the planted forest inventory (further described in annex A3.2.5 ‘Forest land model validations’).</w:t>
      </w:r>
    </w:p>
    <w:p w14:paraId="5BE233C0" w14:textId="77777777" w:rsidR="0010265C" w:rsidRPr="00261B7A" w:rsidRDefault="0010265C" w:rsidP="00E24718">
      <w:pPr>
        <w:pStyle w:val="Heading2"/>
        <w:spacing w:before="280"/>
      </w:pPr>
      <w:bookmarkStart w:id="1798" w:name="_Toc255466369"/>
      <w:bookmarkStart w:id="1799" w:name="_Toc261513176"/>
      <w:bookmarkStart w:id="1800" w:name="_Toc261513789"/>
      <w:bookmarkStart w:id="1801" w:name="_Toc280630263"/>
      <w:bookmarkStart w:id="1802" w:name="_Toc310423453"/>
      <w:bookmarkStart w:id="1803" w:name="_Toc342470719"/>
      <w:bookmarkStart w:id="1804" w:name="_Toc352504871"/>
      <w:bookmarkStart w:id="1805" w:name="_Toc391024701"/>
      <w:bookmarkStart w:id="1806" w:name="_Toc414531318"/>
      <w:bookmarkStart w:id="1807" w:name="_Toc474335460"/>
      <w:bookmarkStart w:id="1808" w:name="_Toc481751400"/>
      <w:bookmarkStart w:id="1809" w:name="_Toc522013952"/>
      <w:bookmarkStart w:id="1810" w:name="_Toc5269377"/>
      <w:bookmarkStart w:id="1811" w:name="_Toc36224417"/>
      <w:bookmarkStart w:id="1812" w:name="_Toc131591251"/>
      <w:r w:rsidRPr="00261B7A">
        <w:t>6.4</w:t>
      </w:r>
      <w:r w:rsidRPr="00261B7A">
        <w:tab/>
        <w:t>Cropland (CRF 4B)</w:t>
      </w:r>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p>
    <w:p w14:paraId="0FE83009" w14:textId="77777777" w:rsidR="0010265C" w:rsidRPr="00261B7A" w:rsidRDefault="0010265C" w:rsidP="00EA1837">
      <w:pPr>
        <w:pStyle w:val="Heading3"/>
        <w:spacing w:before="180"/>
      </w:pPr>
      <w:bookmarkStart w:id="1813" w:name="_Toc139253963"/>
      <w:bookmarkStart w:id="1814" w:name="_Toc255466370"/>
      <w:bookmarkStart w:id="1815" w:name="_Toc261513177"/>
      <w:bookmarkStart w:id="1816" w:name="_Toc261513790"/>
      <w:bookmarkStart w:id="1817" w:name="_Toc280630264"/>
      <w:r w:rsidRPr="00261B7A">
        <w:t>6.4.1</w:t>
      </w:r>
      <w:r w:rsidRPr="00261B7A">
        <w:tab/>
        <w:t>Description</w:t>
      </w:r>
      <w:bookmarkEnd w:id="1813"/>
      <w:bookmarkEnd w:id="1814"/>
      <w:bookmarkEnd w:id="1815"/>
      <w:bookmarkEnd w:id="1816"/>
      <w:bookmarkEnd w:id="1817"/>
    </w:p>
    <w:p w14:paraId="5987703B" w14:textId="77777777" w:rsidR="0010265C" w:rsidRPr="00261B7A" w:rsidRDefault="0010265C" w:rsidP="00EA1837">
      <w:pPr>
        <w:pStyle w:val="BodyText"/>
        <w:spacing w:before="100" w:after="100"/>
      </w:pPr>
      <w:r w:rsidRPr="00261B7A">
        <w:rPr>
          <w:spacing w:val="-2"/>
        </w:rPr>
        <w:t xml:space="preserve">In 2021, the net emissions from </w:t>
      </w:r>
      <w:r w:rsidRPr="00261B7A">
        <w:rPr>
          <w:i/>
          <w:spacing w:val="-2"/>
        </w:rPr>
        <w:t>Cropland</w:t>
      </w:r>
      <w:r w:rsidRPr="00261B7A">
        <w:rPr>
          <w:spacing w:val="-2"/>
        </w:rPr>
        <w:t xml:space="preserve"> were </w:t>
      </w:r>
      <w:r w:rsidRPr="00261B7A">
        <w:rPr>
          <w:bCs/>
          <w:spacing w:val="-2"/>
        </w:rPr>
        <w:t xml:space="preserve">378.3 </w:t>
      </w:r>
      <w:r w:rsidRPr="00261B7A">
        <w:rPr>
          <w:spacing w:val="-2"/>
        </w:rPr>
        <w:t>kt CO</w:t>
      </w:r>
      <w:r w:rsidRPr="00261B7A">
        <w:rPr>
          <w:spacing w:val="-2"/>
          <w:vertAlign w:val="subscript"/>
        </w:rPr>
        <w:t>2</w:t>
      </w:r>
      <w:r w:rsidRPr="00261B7A">
        <w:rPr>
          <w:spacing w:val="-2"/>
        </w:rPr>
        <w:t>-e, comprising 372.2 kt </w:t>
      </w:r>
      <w:r w:rsidRPr="00261B7A">
        <w:t>CO</w:t>
      </w:r>
      <w:r w:rsidRPr="00261B7A">
        <w:rPr>
          <w:spacing w:val="-2"/>
          <w:vertAlign w:val="subscript"/>
        </w:rPr>
        <w:t>2</w:t>
      </w:r>
      <w:r w:rsidRPr="00261B7A">
        <w:t xml:space="preserve"> from carbon stock change and 0.02 kt N</w:t>
      </w:r>
      <w:r w:rsidRPr="00261B7A">
        <w:rPr>
          <w:vertAlign w:val="subscript"/>
        </w:rPr>
        <w:t>2</w:t>
      </w:r>
      <w:r w:rsidRPr="00261B7A">
        <w:t>O (6.1 kt CO</w:t>
      </w:r>
      <w:r w:rsidRPr="00261B7A">
        <w:rPr>
          <w:vertAlign w:val="subscript"/>
        </w:rPr>
        <w:t>2</w:t>
      </w:r>
      <w:r w:rsidRPr="00261B7A">
        <w:t xml:space="preserve">-e) from the nitrogen mineralisation on </w:t>
      </w:r>
      <w:r w:rsidRPr="00261B7A">
        <w:rPr>
          <w:i/>
        </w:rPr>
        <w:t>Land converted to cropland</w:t>
      </w:r>
      <w:r w:rsidRPr="00261B7A">
        <w:t xml:space="preserve">. Net emissions from </w:t>
      </w:r>
      <w:r w:rsidRPr="00261B7A">
        <w:rPr>
          <w:i/>
        </w:rPr>
        <w:t>Cropland</w:t>
      </w:r>
      <w:r w:rsidRPr="00261B7A">
        <w:t xml:space="preserve"> have decreased by 98.2 kt CO</w:t>
      </w:r>
      <w:r w:rsidRPr="00261B7A">
        <w:rPr>
          <w:vertAlign w:val="subscript"/>
        </w:rPr>
        <w:t>2</w:t>
      </w:r>
      <w:r w:rsidRPr="00261B7A">
        <w:t xml:space="preserve">-e (20.6 per cent) from the 1990 level when net emissions were </w:t>
      </w:r>
      <w:r w:rsidRPr="00261B7A">
        <w:rPr>
          <w:bCs/>
        </w:rPr>
        <w:t xml:space="preserve">476.5 </w:t>
      </w:r>
      <w:r w:rsidRPr="00261B7A">
        <w:t>kt CO</w:t>
      </w:r>
      <w:r w:rsidRPr="00261B7A">
        <w:rPr>
          <w:vertAlign w:val="subscript"/>
        </w:rPr>
        <w:t>2</w:t>
      </w:r>
      <w:r w:rsidRPr="00261B7A">
        <w:t xml:space="preserve">-e (see table 6.4.1). </w:t>
      </w:r>
    </w:p>
    <w:p w14:paraId="3BE972A8" w14:textId="77777777" w:rsidR="0010265C" w:rsidRPr="00261B7A" w:rsidRDefault="0010265C" w:rsidP="0010265C">
      <w:pPr>
        <w:pStyle w:val="Table"/>
      </w:pPr>
      <w:bookmarkStart w:id="1818" w:name="_Toc280630461"/>
      <w:bookmarkStart w:id="1819" w:name="_Toc310423414"/>
      <w:bookmarkStart w:id="1820" w:name="_Toc318362707"/>
      <w:bookmarkStart w:id="1821" w:name="_Toc342470769"/>
      <w:bookmarkStart w:id="1822" w:name="_Toc352505009"/>
      <w:bookmarkStart w:id="1823" w:name="_Toc378853300"/>
      <w:bookmarkStart w:id="1824" w:name="_Toc391024098"/>
      <w:bookmarkStart w:id="1825" w:name="_Toc410028841"/>
      <w:bookmarkStart w:id="1826" w:name="_Toc414531469"/>
      <w:bookmarkStart w:id="1827" w:name="_Toc443645382"/>
      <w:bookmarkStart w:id="1828" w:name="_Toc474914601"/>
      <w:bookmarkStart w:id="1829" w:name="_Toc481751565"/>
      <w:bookmarkStart w:id="1830" w:name="_Toc522010622"/>
      <w:bookmarkStart w:id="1831" w:name="_Toc5269527"/>
      <w:bookmarkStart w:id="1832" w:name="_Toc33529401"/>
      <w:bookmarkStart w:id="1833" w:name="_Toc36224607"/>
      <w:bookmarkStart w:id="1834" w:name="_Toc65243604"/>
      <w:bookmarkStart w:id="1835" w:name="_Toc131591401"/>
      <w:r w:rsidRPr="00261B7A">
        <w:t>Table 6.4.1</w:t>
      </w:r>
      <w:r w:rsidRPr="00261B7A">
        <w:tab/>
        <w:t xml:space="preserve">New Zealand’s land-use change by </w:t>
      </w:r>
      <w:r w:rsidRPr="00261B7A">
        <w:rPr>
          <w:i/>
        </w:rPr>
        <w:t>Cropland</w:t>
      </w:r>
      <w:r w:rsidRPr="00261B7A">
        <w:t xml:space="preserve"> category, and associated </w:t>
      </w:r>
      <w:r w:rsidRPr="00261B7A">
        <w:br/>
        <w:t>CO</w:t>
      </w:r>
      <w:r w:rsidRPr="00261B7A">
        <w:rPr>
          <w:vertAlign w:val="subscript"/>
        </w:rPr>
        <w:t>2</w:t>
      </w:r>
      <w:r w:rsidRPr="00261B7A">
        <w:t>-e emissions</w:t>
      </w:r>
      <w:bookmarkEnd w:id="1818"/>
      <w:bookmarkEnd w:id="1819"/>
      <w:bookmarkEnd w:id="1820"/>
      <w:bookmarkEnd w:id="1821"/>
      <w:bookmarkEnd w:id="1822"/>
      <w:bookmarkEnd w:id="1823"/>
      <w:r w:rsidRPr="00261B7A">
        <w:t xml:space="preserve">, 1990 </w:t>
      </w:r>
      <w:bookmarkEnd w:id="1824"/>
      <w:r w:rsidRPr="00261B7A">
        <w:t xml:space="preserve">and </w:t>
      </w:r>
      <w:bookmarkEnd w:id="1825"/>
      <w:bookmarkEnd w:id="1826"/>
      <w:bookmarkEnd w:id="1827"/>
      <w:bookmarkEnd w:id="1828"/>
      <w:bookmarkEnd w:id="1829"/>
      <w:bookmarkEnd w:id="1830"/>
      <w:bookmarkEnd w:id="1831"/>
      <w:bookmarkEnd w:id="1832"/>
      <w:bookmarkEnd w:id="1833"/>
      <w:bookmarkEnd w:id="1834"/>
      <w:r w:rsidRPr="00261B7A">
        <w:t>2021</w:t>
      </w:r>
      <w:bookmarkEnd w:id="1835"/>
    </w:p>
    <w:tbl>
      <w:tblPr>
        <w:tblW w:w="8505" w:type="dxa"/>
        <w:tblLayout w:type="fixed"/>
        <w:tblLook w:val="04A0" w:firstRow="1" w:lastRow="0" w:firstColumn="1" w:lastColumn="0" w:noHBand="0" w:noVBand="1"/>
      </w:tblPr>
      <w:tblGrid>
        <w:gridCol w:w="2797"/>
        <w:gridCol w:w="1359"/>
        <w:gridCol w:w="1207"/>
        <w:gridCol w:w="905"/>
        <w:gridCol w:w="904"/>
        <w:gridCol w:w="1333"/>
      </w:tblGrid>
      <w:tr w:rsidR="0010265C" w:rsidRPr="00261B7A" w14:paraId="00D28BEB" w14:textId="77777777" w:rsidTr="00711C23">
        <w:tc>
          <w:tcPr>
            <w:tcW w:w="2797" w:type="dxa"/>
            <w:vMerge w:val="restart"/>
            <w:tcBorders>
              <w:top w:val="single" w:sz="4" w:space="0" w:color="1B556B"/>
            </w:tcBorders>
            <w:shd w:val="clear" w:color="auto" w:fill="1B556B"/>
            <w:vAlign w:val="bottom"/>
          </w:tcPr>
          <w:p w14:paraId="05E06E1A" w14:textId="77777777" w:rsidR="0010265C" w:rsidRPr="00261B7A" w:rsidRDefault="0010265C" w:rsidP="00CB3498">
            <w:pPr>
              <w:pStyle w:val="TableTextBold"/>
              <w:keepNext/>
              <w:spacing w:before="30" w:after="30"/>
              <w:rPr>
                <w:noProof w:val="0"/>
                <w:color w:val="FFFFFF"/>
                <w:szCs w:val="16"/>
              </w:rPr>
            </w:pPr>
            <w:r w:rsidRPr="00261B7A">
              <w:rPr>
                <w:noProof w:val="0"/>
                <w:color w:val="FFFFFF"/>
                <w:szCs w:val="16"/>
              </w:rPr>
              <w:t>Cropland land use category</w:t>
            </w:r>
          </w:p>
        </w:tc>
        <w:tc>
          <w:tcPr>
            <w:tcW w:w="1359" w:type="dxa"/>
            <w:vMerge w:val="restart"/>
            <w:tcBorders>
              <w:top w:val="single" w:sz="4" w:space="0" w:color="1B556B"/>
            </w:tcBorders>
            <w:shd w:val="clear" w:color="auto" w:fill="1B556B"/>
            <w:vAlign w:val="bottom"/>
          </w:tcPr>
          <w:p w14:paraId="0DEC9179" w14:textId="77777777" w:rsidR="0010265C" w:rsidRPr="00261B7A" w:rsidRDefault="0010265C" w:rsidP="00CB3498">
            <w:pPr>
              <w:pStyle w:val="TableTextBold"/>
              <w:spacing w:before="30" w:after="30"/>
              <w:jc w:val="center"/>
              <w:rPr>
                <w:noProof w:val="0"/>
                <w:color w:val="FFFFFF"/>
                <w:szCs w:val="16"/>
              </w:rPr>
            </w:pPr>
            <w:r w:rsidRPr="00261B7A">
              <w:rPr>
                <w:noProof w:val="0"/>
                <w:color w:val="FFFFFF"/>
                <w:szCs w:val="16"/>
              </w:rPr>
              <w:t>Net area as at 1990 (ha)</w:t>
            </w:r>
          </w:p>
        </w:tc>
        <w:tc>
          <w:tcPr>
            <w:tcW w:w="1207" w:type="dxa"/>
            <w:vMerge w:val="restart"/>
            <w:tcBorders>
              <w:top w:val="single" w:sz="4" w:space="0" w:color="1B556B"/>
            </w:tcBorders>
            <w:shd w:val="clear" w:color="auto" w:fill="1B556B"/>
            <w:vAlign w:val="bottom"/>
          </w:tcPr>
          <w:p w14:paraId="47958102" w14:textId="77777777" w:rsidR="0010265C" w:rsidRPr="00261B7A" w:rsidRDefault="0010265C" w:rsidP="00CB3498">
            <w:pPr>
              <w:pStyle w:val="TableTextBold"/>
              <w:spacing w:before="30" w:after="30"/>
              <w:jc w:val="center"/>
              <w:rPr>
                <w:noProof w:val="0"/>
                <w:color w:val="FFFFFF"/>
                <w:szCs w:val="16"/>
              </w:rPr>
            </w:pPr>
            <w:r w:rsidRPr="00261B7A">
              <w:rPr>
                <w:noProof w:val="0"/>
                <w:color w:val="FFFFFF"/>
                <w:szCs w:val="16"/>
              </w:rPr>
              <w:t>Net area as at 2021 (ha)</w:t>
            </w:r>
          </w:p>
        </w:tc>
        <w:tc>
          <w:tcPr>
            <w:tcW w:w="1809" w:type="dxa"/>
            <w:gridSpan w:val="2"/>
            <w:tcBorders>
              <w:top w:val="single" w:sz="4" w:space="0" w:color="1B556B"/>
            </w:tcBorders>
            <w:shd w:val="clear" w:color="auto" w:fill="1B556B"/>
            <w:vAlign w:val="bottom"/>
          </w:tcPr>
          <w:p w14:paraId="4D831074" w14:textId="77777777" w:rsidR="0010265C" w:rsidRPr="00261B7A" w:rsidRDefault="0010265C" w:rsidP="00CB3498">
            <w:pPr>
              <w:pStyle w:val="TableTextBold"/>
              <w:spacing w:before="30" w:after="30"/>
              <w:jc w:val="center"/>
              <w:rPr>
                <w:noProof w:val="0"/>
                <w:color w:val="FFFFFF"/>
                <w:szCs w:val="16"/>
              </w:rPr>
            </w:pPr>
            <w:r w:rsidRPr="00261B7A">
              <w:rPr>
                <w:noProof w:val="0"/>
                <w:color w:val="FFFFFF"/>
                <w:szCs w:val="16"/>
              </w:rPr>
              <w:t xml:space="preserve">Net emissions </w:t>
            </w:r>
            <w:r w:rsidRPr="00261B7A">
              <w:rPr>
                <w:noProof w:val="0"/>
                <w:color w:val="FFFFFF"/>
                <w:szCs w:val="16"/>
              </w:rPr>
              <w:br/>
              <w:t>(kt CO</w:t>
            </w:r>
            <w:r w:rsidRPr="00261B7A">
              <w:rPr>
                <w:noProof w:val="0"/>
                <w:color w:val="FFFFFF"/>
                <w:szCs w:val="16"/>
                <w:vertAlign w:val="subscript"/>
              </w:rPr>
              <w:t>2</w:t>
            </w:r>
            <w:r w:rsidRPr="00261B7A">
              <w:rPr>
                <w:noProof w:val="0"/>
                <w:color w:val="FFFFFF"/>
                <w:szCs w:val="16"/>
              </w:rPr>
              <w:t>-e)</w:t>
            </w:r>
          </w:p>
        </w:tc>
        <w:tc>
          <w:tcPr>
            <w:tcW w:w="1333" w:type="dxa"/>
            <w:vMerge w:val="restart"/>
            <w:tcBorders>
              <w:top w:val="single" w:sz="4" w:space="0" w:color="1B556B"/>
            </w:tcBorders>
            <w:shd w:val="clear" w:color="auto" w:fill="1B556B"/>
            <w:vAlign w:val="bottom"/>
          </w:tcPr>
          <w:p w14:paraId="381B0D1B" w14:textId="77777777" w:rsidR="0010265C" w:rsidRPr="00261B7A" w:rsidRDefault="0010265C" w:rsidP="00CB3498">
            <w:pPr>
              <w:pStyle w:val="TableTextBold"/>
              <w:spacing w:before="30" w:after="30"/>
              <w:jc w:val="center"/>
              <w:rPr>
                <w:noProof w:val="0"/>
                <w:color w:val="FFFFFF"/>
                <w:szCs w:val="16"/>
              </w:rPr>
            </w:pPr>
            <w:r w:rsidRPr="00261B7A">
              <w:rPr>
                <w:noProof w:val="0"/>
                <w:color w:val="FFFFFF"/>
                <w:szCs w:val="16"/>
              </w:rPr>
              <w:t>Change from 1990 (%)</w:t>
            </w:r>
          </w:p>
        </w:tc>
      </w:tr>
      <w:tr w:rsidR="0010265C" w:rsidRPr="00261B7A" w14:paraId="3DA88749" w14:textId="77777777" w:rsidTr="00711C23">
        <w:tc>
          <w:tcPr>
            <w:tcW w:w="2797" w:type="dxa"/>
            <w:vMerge/>
            <w:tcBorders>
              <w:bottom w:val="single" w:sz="4" w:space="0" w:color="1B556B"/>
            </w:tcBorders>
            <w:shd w:val="clear" w:color="auto" w:fill="1B556B"/>
          </w:tcPr>
          <w:p w14:paraId="284E784F" w14:textId="77777777" w:rsidR="0010265C" w:rsidRPr="00261B7A" w:rsidRDefault="0010265C" w:rsidP="00CB3498">
            <w:pPr>
              <w:pStyle w:val="TableTextBold"/>
              <w:keepNext/>
              <w:spacing w:before="30" w:after="30"/>
              <w:rPr>
                <w:noProof w:val="0"/>
                <w:color w:val="FFFFFF"/>
                <w:szCs w:val="16"/>
              </w:rPr>
            </w:pPr>
          </w:p>
        </w:tc>
        <w:tc>
          <w:tcPr>
            <w:tcW w:w="1359" w:type="dxa"/>
            <w:vMerge/>
            <w:tcBorders>
              <w:bottom w:val="single" w:sz="4" w:space="0" w:color="1B556B"/>
            </w:tcBorders>
            <w:shd w:val="clear" w:color="auto" w:fill="1B556B"/>
          </w:tcPr>
          <w:p w14:paraId="656A428B" w14:textId="77777777" w:rsidR="0010265C" w:rsidRPr="00261B7A" w:rsidRDefault="0010265C" w:rsidP="00CB3498">
            <w:pPr>
              <w:pStyle w:val="TableTextBold"/>
              <w:spacing w:before="30" w:after="30"/>
              <w:rPr>
                <w:noProof w:val="0"/>
                <w:color w:val="FFFFFF"/>
                <w:szCs w:val="16"/>
              </w:rPr>
            </w:pPr>
          </w:p>
        </w:tc>
        <w:tc>
          <w:tcPr>
            <w:tcW w:w="1207" w:type="dxa"/>
            <w:vMerge/>
            <w:tcBorders>
              <w:bottom w:val="single" w:sz="4" w:space="0" w:color="1B556B"/>
            </w:tcBorders>
            <w:shd w:val="clear" w:color="auto" w:fill="1B556B"/>
          </w:tcPr>
          <w:p w14:paraId="3887BDA7" w14:textId="77777777" w:rsidR="0010265C" w:rsidRPr="00261B7A" w:rsidRDefault="0010265C" w:rsidP="00CB3498">
            <w:pPr>
              <w:pStyle w:val="TableTextBold"/>
              <w:spacing w:before="30" w:after="30"/>
              <w:rPr>
                <w:noProof w:val="0"/>
                <w:color w:val="FFFFFF"/>
                <w:szCs w:val="16"/>
              </w:rPr>
            </w:pPr>
          </w:p>
        </w:tc>
        <w:tc>
          <w:tcPr>
            <w:tcW w:w="905" w:type="dxa"/>
            <w:tcBorders>
              <w:bottom w:val="single" w:sz="4" w:space="0" w:color="1B556B"/>
            </w:tcBorders>
            <w:shd w:val="clear" w:color="auto" w:fill="1B556B"/>
          </w:tcPr>
          <w:p w14:paraId="4A838815" w14:textId="77777777" w:rsidR="0010265C" w:rsidRPr="00261B7A" w:rsidRDefault="0010265C" w:rsidP="00CB3498">
            <w:pPr>
              <w:pStyle w:val="TableTextBold"/>
              <w:spacing w:before="30" w:after="30"/>
              <w:jc w:val="center"/>
              <w:rPr>
                <w:noProof w:val="0"/>
                <w:color w:val="FFFFFF"/>
                <w:szCs w:val="16"/>
              </w:rPr>
            </w:pPr>
            <w:r w:rsidRPr="00261B7A">
              <w:rPr>
                <w:noProof w:val="0"/>
                <w:color w:val="FFFFFF"/>
                <w:szCs w:val="16"/>
              </w:rPr>
              <w:t>1990</w:t>
            </w:r>
          </w:p>
        </w:tc>
        <w:tc>
          <w:tcPr>
            <w:tcW w:w="904" w:type="dxa"/>
            <w:tcBorders>
              <w:bottom w:val="single" w:sz="4" w:space="0" w:color="1B556B"/>
            </w:tcBorders>
            <w:shd w:val="clear" w:color="auto" w:fill="1B556B"/>
          </w:tcPr>
          <w:p w14:paraId="3308745B" w14:textId="77777777" w:rsidR="0010265C" w:rsidRPr="00261B7A" w:rsidRDefault="0010265C" w:rsidP="00CB3498">
            <w:pPr>
              <w:pStyle w:val="TableTextBold"/>
              <w:spacing w:before="30" w:after="30"/>
              <w:jc w:val="center"/>
              <w:rPr>
                <w:noProof w:val="0"/>
                <w:color w:val="FFFFFF"/>
                <w:szCs w:val="16"/>
              </w:rPr>
            </w:pPr>
            <w:r w:rsidRPr="00261B7A">
              <w:rPr>
                <w:noProof w:val="0"/>
                <w:color w:val="FFFFFF"/>
                <w:szCs w:val="16"/>
              </w:rPr>
              <w:t>2021</w:t>
            </w:r>
          </w:p>
        </w:tc>
        <w:tc>
          <w:tcPr>
            <w:tcW w:w="1333" w:type="dxa"/>
            <w:vMerge/>
            <w:tcBorders>
              <w:bottom w:val="single" w:sz="4" w:space="0" w:color="1B556B"/>
            </w:tcBorders>
            <w:shd w:val="clear" w:color="auto" w:fill="1B556B"/>
          </w:tcPr>
          <w:p w14:paraId="6664A205" w14:textId="77777777" w:rsidR="0010265C" w:rsidRPr="00261B7A" w:rsidRDefault="0010265C" w:rsidP="00CB3498">
            <w:pPr>
              <w:pStyle w:val="TableTextBold"/>
              <w:spacing w:before="30" w:after="30"/>
              <w:rPr>
                <w:noProof w:val="0"/>
                <w:color w:val="FFFFFF"/>
                <w:szCs w:val="16"/>
              </w:rPr>
            </w:pPr>
          </w:p>
        </w:tc>
      </w:tr>
      <w:tr w:rsidR="0010265C" w:rsidRPr="00261B7A" w14:paraId="727D7C0A" w14:textId="77777777" w:rsidTr="00711C23">
        <w:tc>
          <w:tcPr>
            <w:tcW w:w="2797" w:type="dxa"/>
            <w:tcBorders>
              <w:top w:val="single" w:sz="4" w:space="0" w:color="1B556B"/>
              <w:bottom w:val="single" w:sz="4" w:space="0" w:color="1B556B"/>
            </w:tcBorders>
          </w:tcPr>
          <w:p w14:paraId="055AE3D3" w14:textId="77777777" w:rsidR="0010265C" w:rsidRPr="00261B7A" w:rsidRDefault="0010265C" w:rsidP="00CB3498">
            <w:pPr>
              <w:pStyle w:val="TableText"/>
              <w:keepNext/>
              <w:spacing w:before="30" w:after="30"/>
              <w:rPr>
                <w:szCs w:val="16"/>
              </w:rPr>
            </w:pPr>
            <w:r w:rsidRPr="00261B7A">
              <w:rPr>
                <w:szCs w:val="16"/>
              </w:rPr>
              <w:t>Cropland remaining cropland</w:t>
            </w:r>
          </w:p>
        </w:tc>
        <w:tc>
          <w:tcPr>
            <w:tcW w:w="1359" w:type="dxa"/>
            <w:tcBorders>
              <w:top w:val="single" w:sz="4" w:space="0" w:color="1B556B"/>
              <w:bottom w:val="single" w:sz="4" w:space="0" w:color="1B556B"/>
            </w:tcBorders>
            <w:vAlign w:val="center"/>
          </w:tcPr>
          <w:p w14:paraId="0AE2C323" w14:textId="77777777" w:rsidR="0010265C" w:rsidRPr="00261B7A" w:rsidRDefault="0010265C" w:rsidP="00CB3498">
            <w:pPr>
              <w:pStyle w:val="TableText"/>
              <w:spacing w:before="30" w:after="30"/>
              <w:jc w:val="center"/>
              <w:rPr>
                <w:szCs w:val="16"/>
              </w:rPr>
            </w:pPr>
            <w:r w:rsidRPr="00261B7A">
              <w:rPr>
                <w:rFonts w:cs="Calibri"/>
                <w:szCs w:val="16"/>
              </w:rPr>
              <w:t>395,792</w:t>
            </w:r>
          </w:p>
        </w:tc>
        <w:tc>
          <w:tcPr>
            <w:tcW w:w="1207" w:type="dxa"/>
            <w:tcBorders>
              <w:top w:val="single" w:sz="4" w:space="0" w:color="1B556B"/>
              <w:bottom w:val="single" w:sz="4" w:space="0" w:color="1B556B"/>
            </w:tcBorders>
            <w:vAlign w:val="center"/>
          </w:tcPr>
          <w:p w14:paraId="3864D302" w14:textId="77777777" w:rsidR="0010265C" w:rsidRPr="00261B7A" w:rsidRDefault="0010265C" w:rsidP="00CB3498">
            <w:pPr>
              <w:pStyle w:val="TableText"/>
              <w:spacing w:before="30" w:after="30"/>
              <w:jc w:val="center"/>
              <w:rPr>
                <w:szCs w:val="16"/>
              </w:rPr>
            </w:pPr>
            <w:r w:rsidRPr="00261B7A">
              <w:rPr>
                <w:rFonts w:cs="Calibri"/>
                <w:szCs w:val="16"/>
              </w:rPr>
              <w:t>451,633</w:t>
            </w:r>
          </w:p>
        </w:tc>
        <w:tc>
          <w:tcPr>
            <w:tcW w:w="905" w:type="dxa"/>
            <w:tcBorders>
              <w:top w:val="single" w:sz="4" w:space="0" w:color="1B556B"/>
              <w:bottom w:val="single" w:sz="4" w:space="0" w:color="1B556B"/>
            </w:tcBorders>
            <w:vAlign w:val="center"/>
          </w:tcPr>
          <w:p w14:paraId="0EFFBD89" w14:textId="77777777" w:rsidR="0010265C" w:rsidRPr="00261B7A" w:rsidRDefault="0010265C" w:rsidP="00CB3498">
            <w:pPr>
              <w:pStyle w:val="TableText"/>
              <w:spacing w:before="30" w:after="30"/>
              <w:jc w:val="center"/>
              <w:rPr>
                <w:szCs w:val="16"/>
              </w:rPr>
            </w:pPr>
            <w:r w:rsidRPr="00261B7A">
              <w:rPr>
                <w:rFonts w:cs="Calibri"/>
                <w:szCs w:val="16"/>
              </w:rPr>
              <w:t xml:space="preserve">351.2 </w:t>
            </w:r>
          </w:p>
        </w:tc>
        <w:tc>
          <w:tcPr>
            <w:tcW w:w="904" w:type="dxa"/>
            <w:tcBorders>
              <w:top w:val="single" w:sz="4" w:space="0" w:color="1B556B"/>
              <w:bottom w:val="single" w:sz="4" w:space="0" w:color="1B556B"/>
            </w:tcBorders>
            <w:vAlign w:val="center"/>
          </w:tcPr>
          <w:p w14:paraId="0416E107" w14:textId="77777777" w:rsidR="0010265C" w:rsidRPr="00261B7A" w:rsidRDefault="0010265C" w:rsidP="00CB3498">
            <w:pPr>
              <w:pStyle w:val="TableText"/>
              <w:spacing w:before="30" w:after="30"/>
              <w:jc w:val="center"/>
              <w:rPr>
                <w:szCs w:val="16"/>
              </w:rPr>
            </w:pPr>
            <w:r w:rsidRPr="00261B7A">
              <w:rPr>
                <w:rFonts w:cs="Calibri"/>
                <w:szCs w:val="16"/>
              </w:rPr>
              <w:t xml:space="preserve">320.7 </w:t>
            </w:r>
          </w:p>
        </w:tc>
        <w:tc>
          <w:tcPr>
            <w:tcW w:w="1333" w:type="dxa"/>
            <w:tcBorders>
              <w:top w:val="single" w:sz="4" w:space="0" w:color="1B556B"/>
              <w:bottom w:val="single" w:sz="4" w:space="0" w:color="1B556B"/>
            </w:tcBorders>
            <w:vAlign w:val="center"/>
          </w:tcPr>
          <w:p w14:paraId="7CC37C1E" w14:textId="77777777" w:rsidR="0010265C" w:rsidRPr="00261B7A" w:rsidRDefault="0010265C" w:rsidP="00CB3498">
            <w:pPr>
              <w:pStyle w:val="TableText"/>
              <w:spacing w:before="30" w:after="30"/>
              <w:jc w:val="center"/>
              <w:rPr>
                <w:szCs w:val="16"/>
              </w:rPr>
            </w:pPr>
            <w:r w:rsidRPr="00261B7A">
              <w:rPr>
                <w:rFonts w:cs="Calibri"/>
                <w:szCs w:val="16"/>
              </w:rPr>
              <w:t>–8.7</w:t>
            </w:r>
          </w:p>
        </w:tc>
      </w:tr>
      <w:tr w:rsidR="0010265C" w:rsidRPr="00261B7A" w14:paraId="026A9A4A" w14:textId="77777777" w:rsidTr="00711C23">
        <w:tc>
          <w:tcPr>
            <w:tcW w:w="2797" w:type="dxa"/>
            <w:tcBorders>
              <w:top w:val="single" w:sz="4" w:space="0" w:color="1B556B"/>
              <w:bottom w:val="single" w:sz="4" w:space="0" w:color="1B556B"/>
            </w:tcBorders>
          </w:tcPr>
          <w:p w14:paraId="530C7043" w14:textId="77777777" w:rsidR="0010265C" w:rsidRPr="00261B7A" w:rsidRDefault="0010265C" w:rsidP="00CB3498">
            <w:pPr>
              <w:pStyle w:val="TableText"/>
              <w:keepNext/>
              <w:spacing w:before="30" w:after="30"/>
              <w:rPr>
                <w:szCs w:val="16"/>
              </w:rPr>
            </w:pPr>
            <w:r w:rsidRPr="00261B7A">
              <w:rPr>
                <w:szCs w:val="16"/>
              </w:rPr>
              <w:t>Land converted to cropland</w:t>
            </w:r>
          </w:p>
        </w:tc>
        <w:tc>
          <w:tcPr>
            <w:tcW w:w="1359" w:type="dxa"/>
            <w:tcBorders>
              <w:top w:val="single" w:sz="4" w:space="0" w:color="1B556B"/>
              <w:bottom w:val="single" w:sz="4" w:space="0" w:color="1B556B"/>
            </w:tcBorders>
            <w:vAlign w:val="center"/>
          </w:tcPr>
          <w:p w14:paraId="1F3B9215" w14:textId="77777777" w:rsidR="0010265C" w:rsidRPr="00261B7A" w:rsidRDefault="0010265C" w:rsidP="00CB3498">
            <w:pPr>
              <w:pStyle w:val="TableText"/>
              <w:spacing w:before="30" w:after="30"/>
              <w:jc w:val="center"/>
              <w:rPr>
                <w:szCs w:val="16"/>
              </w:rPr>
            </w:pPr>
            <w:r w:rsidRPr="00261B7A">
              <w:rPr>
                <w:rFonts w:cs="Calibri"/>
                <w:szCs w:val="16"/>
              </w:rPr>
              <w:t>28,121</w:t>
            </w:r>
          </w:p>
        </w:tc>
        <w:tc>
          <w:tcPr>
            <w:tcW w:w="1207" w:type="dxa"/>
            <w:tcBorders>
              <w:top w:val="single" w:sz="4" w:space="0" w:color="1B556B"/>
              <w:bottom w:val="single" w:sz="4" w:space="0" w:color="1B556B"/>
            </w:tcBorders>
            <w:vAlign w:val="center"/>
          </w:tcPr>
          <w:p w14:paraId="4B5FFE01" w14:textId="77777777" w:rsidR="0010265C" w:rsidRPr="00261B7A" w:rsidRDefault="0010265C" w:rsidP="00CB3498">
            <w:pPr>
              <w:pStyle w:val="TableText"/>
              <w:spacing w:before="30" w:after="30"/>
              <w:jc w:val="center"/>
              <w:rPr>
                <w:szCs w:val="16"/>
              </w:rPr>
            </w:pPr>
            <w:r w:rsidRPr="00261B7A">
              <w:rPr>
                <w:rFonts w:cs="Calibri"/>
                <w:szCs w:val="16"/>
              </w:rPr>
              <w:t>25,096</w:t>
            </w:r>
          </w:p>
        </w:tc>
        <w:tc>
          <w:tcPr>
            <w:tcW w:w="905" w:type="dxa"/>
            <w:tcBorders>
              <w:top w:val="single" w:sz="4" w:space="0" w:color="1B556B"/>
              <w:bottom w:val="single" w:sz="4" w:space="0" w:color="1B556B"/>
            </w:tcBorders>
            <w:vAlign w:val="center"/>
          </w:tcPr>
          <w:p w14:paraId="3CA0460E" w14:textId="77777777" w:rsidR="0010265C" w:rsidRPr="00261B7A" w:rsidRDefault="0010265C" w:rsidP="00CB3498">
            <w:pPr>
              <w:pStyle w:val="TableText"/>
              <w:spacing w:before="30" w:after="30"/>
              <w:jc w:val="center"/>
              <w:rPr>
                <w:szCs w:val="16"/>
              </w:rPr>
            </w:pPr>
            <w:r w:rsidRPr="00261B7A">
              <w:rPr>
                <w:rFonts w:cs="Calibri"/>
                <w:szCs w:val="16"/>
              </w:rPr>
              <w:t xml:space="preserve">125.4 </w:t>
            </w:r>
          </w:p>
        </w:tc>
        <w:tc>
          <w:tcPr>
            <w:tcW w:w="904" w:type="dxa"/>
            <w:tcBorders>
              <w:top w:val="single" w:sz="4" w:space="0" w:color="1B556B"/>
              <w:bottom w:val="single" w:sz="4" w:space="0" w:color="1B556B"/>
            </w:tcBorders>
            <w:vAlign w:val="center"/>
          </w:tcPr>
          <w:p w14:paraId="6BAC4AD2" w14:textId="77777777" w:rsidR="0010265C" w:rsidRPr="00261B7A" w:rsidRDefault="0010265C" w:rsidP="00CB3498">
            <w:pPr>
              <w:pStyle w:val="TableText"/>
              <w:spacing w:before="30" w:after="30"/>
              <w:jc w:val="center"/>
              <w:rPr>
                <w:szCs w:val="16"/>
              </w:rPr>
            </w:pPr>
            <w:r w:rsidRPr="00261B7A">
              <w:rPr>
                <w:rFonts w:cs="Calibri"/>
                <w:szCs w:val="16"/>
              </w:rPr>
              <w:t xml:space="preserve">57.5 </w:t>
            </w:r>
          </w:p>
        </w:tc>
        <w:tc>
          <w:tcPr>
            <w:tcW w:w="1333" w:type="dxa"/>
            <w:tcBorders>
              <w:top w:val="single" w:sz="4" w:space="0" w:color="1B556B"/>
              <w:bottom w:val="single" w:sz="4" w:space="0" w:color="1B556B"/>
            </w:tcBorders>
            <w:vAlign w:val="center"/>
          </w:tcPr>
          <w:p w14:paraId="4BBF3BEC" w14:textId="77777777" w:rsidR="0010265C" w:rsidRPr="00261B7A" w:rsidRDefault="0010265C" w:rsidP="00CB3498">
            <w:pPr>
              <w:pStyle w:val="TableText"/>
              <w:spacing w:before="30" w:after="30"/>
              <w:jc w:val="center"/>
              <w:rPr>
                <w:szCs w:val="16"/>
              </w:rPr>
            </w:pPr>
            <w:r w:rsidRPr="00261B7A">
              <w:rPr>
                <w:rFonts w:cs="Calibri"/>
                <w:szCs w:val="16"/>
              </w:rPr>
              <w:t>–54.1</w:t>
            </w:r>
          </w:p>
        </w:tc>
      </w:tr>
      <w:tr w:rsidR="0010265C" w:rsidRPr="00261B7A" w14:paraId="2ABB0390" w14:textId="77777777" w:rsidTr="00711C23">
        <w:tc>
          <w:tcPr>
            <w:tcW w:w="2797" w:type="dxa"/>
            <w:tcBorders>
              <w:top w:val="single" w:sz="4" w:space="0" w:color="1B556B"/>
              <w:bottom w:val="single" w:sz="4" w:space="0" w:color="1B556B"/>
            </w:tcBorders>
          </w:tcPr>
          <w:p w14:paraId="4EADBC48" w14:textId="77777777" w:rsidR="0010265C" w:rsidRPr="00261B7A" w:rsidRDefault="0010265C" w:rsidP="00CB3498">
            <w:pPr>
              <w:pStyle w:val="Tableboldblue"/>
              <w:spacing w:before="30" w:after="30"/>
              <w:jc w:val="right"/>
            </w:pPr>
            <w:r w:rsidRPr="00261B7A">
              <w:t>Total</w:t>
            </w:r>
          </w:p>
        </w:tc>
        <w:tc>
          <w:tcPr>
            <w:tcW w:w="1359" w:type="dxa"/>
            <w:tcBorders>
              <w:top w:val="single" w:sz="4" w:space="0" w:color="1B556B"/>
              <w:bottom w:val="single" w:sz="4" w:space="0" w:color="1B556B"/>
            </w:tcBorders>
          </w:tcPr>
          <w:p w14:paraId="7A1D0739" w14:textId="77777777" w:rsidR="0010265C" w:rsidRPr="00261B7A" w:rsidRDefault="0010265C" w:rsidP="00CB3498">
            <w:pPr>
              <w:pStyle w:val="Tableboldblue"/>
              <w:spacing w:before="30" w:after="30"/>
              <w:jc w:val="center"/>
            </w:pPr>
            <w:r w:rsidRPr="00261B7A">
              <w:rPr>
                <w:rFonts w:cs="Calibri"/>
                <w:szCs w:val="16"/>
              </w:rPr>
              <w:t>423,912</w:t>
            </w:r>
          </w:p>
        </w:tc>
        <w:tc>
          <w:tcPr>
            <w:tcW w:w="1207" w:type="dxa"/>
            <w:tcBorders>
              <w:top w:val="single" w:sz="4" w:space="0" w:color="1B556B"/>
              <w:bottom w:val="single" w:sz="4" w:space="0" w:color="1B556B"/>
            </w:tcBorders>
          </w:tcPr>
          <w:p w14:paraId="46AB0A38" w14:textId="77777777" w:rsidR="0010265C" w:rsidRPr="00261B7A" w:rsidRDefault="0010265C" w:rsidP="00CB3498">
            <w:pPr>
              <w:pStyle w:val="Tableboldblue"/>
              <w:spacing w:before="30" w:after="30"/>
              <w:jc w:val="center"/>
            </w:pPr>
            <w:r w:rsidRPr="00261B7A">
              <w:rPr>
                <w:rFonts w:cs="Calibri"/>
                <w:szCs w:val="16"/>
              </w:rPr>
              <w:t>476,728</w:t>
            </w:r>
          </w:p>
        </w:tc>
        <w:tc>
          <w:tcPr>
            <w:tcW w:w="905" w:type="dxa"/>
            <w:tcBorders>
              <w:top w:val="single" w:sz="4" w:space="0" w:color="1B556B"/>
              <w:bottom w:val="single" w:sz="4" w:space="0" w:color="1B556B"/>
            </w:tcBorders>
            <w:vAlign w:val="center"/>
          </w:tcPr>
          <w:p w14:paraId="2AB3F191" w14:textId="77777777" w:rsidR="0010265C" w:rsidRPr="00261B7A" w:rsidRDefault="0010265C" w:rsidP="00CB3498">
            <w:pPr>
              <w:pStyle w:val="Tableboldblue"/>
              <w:spacing w:before="30" w:after="30"/>
              <w:jc w:val="center"/>
            </w:pPr>
            <w:r w:rsidRPr="00261B7A">
              <w:rPr>
                <w:rFonts w:cs="Calibri"/>
                <w:szCs w:val="16"/>
              </w:rPr>
              <w:t xml:space="preserve">476.5 </w:t>
            </w:r>
          </w:p>
        </w:tc>
        <w:tc>
          <w:tcPr>
            <w:tcW w:w="904" w:type="dxa"/>
            <w:tcBorders>
              <w:top w:val="single" w:sz="4" w:space="0" w:color="1B556B"/>
              <w:bottom w:val="single" w:sz="4" w:space="0" w:color="1B556B"/>
            </w:tcBorders>
            <w:vAlign w:val="center"/>
          </w:tcPr>
          <w:p w14:paraId="54471EBE" w14:textId="77777777" w:rsidR="0010265C" w:rsidRPr="00261B7A" w:rsidRDefault="0010265C" w:rsidP="00CB3498">
            <w:pPr>
              <w:pStyle w:val="Tableboldblue"/>
              <w:spacing w:before="30" w:after="30"/>
              <w:jc w:val="center"/>
            </w:pPr>
            <w:r w:rsidRPr="00261B7A">
              <w:rPr>
                <w:rFonts w:cs="Calibri"/>
                <w:szCs w:val="16"/>
              </w:rPr>
              <w:t xml:space="preserve">378.3 </w:t>
            </w:r>
          </w:p>
        </w:tc>
        <w:tc>
          <w:tcPr>
            <w:tcW w:w="1333" w:type="dxa"/>
            <w:tcBorders>
              <w:top w:val="single" w:sz="4" w:space="0" w:color="1B556B"/>
              <w:bottom w:val="single" w:sz="4" w:space="0" w:color="1B556B"/>
            </w:tcBorders>
            <w:vAlign w:val="center"/>
          </w:tcPr>
          <w:p w14:paraId="47733B69" w14:textId="77777777" w:rsidR="0010265C" w:rsidRPr="00261B7A" w:rsidRDefault="0010265C" w:rsidP="00CB3498">
            <w:pPr>
              <w:pStyle w:val="Tableboldblue"/>
              <w:spacing w:before="30" w:after="30"/>
              <w:jc w:val="center"/>
            </w:pPr>
            <w:r w:rsidRPr="00261B7A">
              <w:rPr>
                <w:rFonts w:cs="Calibri"/>
                <w:szCs w:val="16"/>
              </w:rPr>
              <w:t>–20.6</w:t>
            </w:r>
          </w:p>
        </w:tc>
      </w:tr>
    </w:tbl>
    <w:p w14:paraId="63846BAD" w14:textId="2FE75B79" w:rsidR="0010265C" w:rsidRPr="00261B7A" w:rsidRDefault="0010265C" w:rsidP="0010265C">
      <w:pPr>
        <w:pStyle w:val="Noteundertable"/>
      </w:pPr>
      <w:r w:rsidRPr="00261B7A">
        <w:rPr>
          <w:b/>
        </w:rPr>
        <w:t>Note:</w:t>
      </w:r>
      <w:r w:rsidRPr="00261B7A">
        <w:tab/>
        <w:t xml:space="preserve">Net area in 1990 is as at 1 January 1990; net area in 2021 is as at 31 December. </w:t>
      </w:r>
      <w:r w:rsidRPr="00261B7A">
        <w:rPr>
          <w:i/>
        </w:rPr>
        <w:t>Land converted to cropland</w:t>
      </w:r>
      <w:r w:rsidRPr="00261B7A">
        <w:t xml:space="preserve"> includes land converted up to 20 years earlier. Net emission values are for the whole year indicated. Values include CO</w:t>
      </w:r>
      <w:r w:rsidRPr="00261B7A">
        <w:rPr>
          <w:vertAlign w:val="subscript"/>
        </w:rPr>
        <w:t>2</w:t>
      </w:r>
      <w:r w:rsidRPr="00261B7A">
        <w:t>-e emissions from N</w:t>
      </w:r>
      <w:r w:rsidRPr="00261B7A">
        <w:rPr>
          <w:vertAlign w:val="subscript"/>
        </w:rPr>
        <w:t>2</w:t>
      </w:r>
      <w:r w:rsidRPr="00261B7A">
        <w:t>O from cultivation of land.</w:t>
      </w:r>
      <w:r w:rsidR="00711C23" w:rsidRPr="00261B7A">
        <w:t xml:space="preserve"> </w:t>
      </w:r>
    </w:p>
    <w:p w14:paraId="6A23A6CF" w14:textId="77777777" w:rsidR="0010265C" w:rsidRPr="00261B7A" w:rsidRDefault="0010265C" w:rsidP="00EA1837">
      <w:pPr>
        <w:pStyle w:val="BodyText"/>
        <w:spacing w:before="100" w:after="100"/>
      </w:pPr>
      <w:r w:rsidRPr="00261B7A">
        <w:t xml:space="preserve">The </w:t>
      </w:r>
      <w:r w:rsidRPr="00261B7A">
        <w:rPr>
          <w:i/>
        </w:rPr>
        <w:t>Cropland remaining cropland</w:t>
      </w:r>
      <w:r w:rsidRPr="00261B7A">
        <w:t xml:space="preserve"> category is responsible for the majority of </w:t>
      </w:r>
      <w:r w:rsidRPr="00261B7A">
        <w:rPr>
          <w:i/>
        </w:rPr>
        <w:t>Cropland</w:t>
      </w:r>
      <w:r w:rsidRPr="00261B7A">
        <w:t xml:space="preserve"> emissions. This category comprised 94.7 per cent of all </w:t>
      </w:r>
      <w:r w:rsidRPr="00261B7A">
        <w:rPr>
          <w:i/>
        </w:rPr>
        <w:t>Cropland</w:t>
      </w:r>
      <w:r w:rsidRPr="00261B7A">
        <w:t xml:space="preserve"> area in 2021. </w:t>
      </w:r>
    </w:p>
    <w:p w14:paraId="74C340AB" w14:textId="77777777" w:rsidR="0010265C" w:rsidRPr="00261B7A" w:rsidRDefault="0010265C" w:rsidP="00EA1837">
      <w:pPr>
        <w:pStyle w:val="BodyText"/>
        <w:spacing w:before="100" w:after="100"/>
      </w:pPr>
      <w:r w:rsidRPr="00261B7A">
        <w:t xml:space="preserve">Most emissions due to carbon stock change that have occurred in the </w:t>
      </w:r>
      <w:r w:rsidRPr="00261B7A">
        <w:rPr>
          <w:i/>
        </w:rPr>
        <w:t>Cropland</w:t>
      </w:r>
      <w:r w:rsidRPr="00261B7A">
        <w:t xml:space="preserve"> category since 1990 are in the SOC pool (</w:t>
      </w:r>
      <w:r w:rsidRPr="00261B7A">
        <w:rPr>
          <w:bCs/>
        </w:rPr>
        <w:t>4,</w:t>
      </w:r>
      <w:r w:rsidRPr="00261B7A">
        <w:t>381.4</w:t>
      </w:r>
      <w:r w:rsidRPr="00261B7A">
        <w:rPr>
          <w:b/>
          <w:bCs/>
        </w:rPr>
        <w:t xml:space="preserve"> </w:t>
      </w:r>
      <w:r w:rsidRPr="00261B7A">
        <w:t xml:space="preserve">kt C) (see table 6.4.2). Within the SOC pool, the majority of changes in carbon stocks result from drained organic soils (3,255.1 kt C). This is because organic soils continue to lose carbon even after the 20-year transition period (IPCC, 2006a). </w:t>
      </w:r>
    </w:p>
    <w:p w14:paraId="0194C86D" w14:textId="77777777" w:rsidR="0010265C" w:rsidRPr="00261B7A" w:rsidRDefault="0010265C" w:rsidP="0010265C">
      <w:pPr>
        <w:pStyle w:val="Table"/>
      </w:pPr>
      <w:bookmarkStart w:id="1836" w:name="_Toc378853301"/>
      <w:bookmarkStart w:id="1837" w:name="_Toc391024099"/>
      <w:bookmarkStart w:id="1838" w:name="_Toc410028842"/>
      <w:bookmarkStart w:id="1839" w:name="_Toc414531470"/>
      <w:bookmarkStart w:id="1840" w:name="_Toc443645383"/>
      <w:bookmarkStart w:id="1841" w:name="_Toc474914602"/>
      <w:bookmarkStart w:id="1842" w:name="_Toc481751566"/>
      <w:bookmarkStart w:id="1843" w:name="_Toc522010623"/>
      <w:bookmarkStart w:id="1844" w:name="_Toc5269528"/>
      <w:bookmarkStart w:id="1845" w:name="_Toc33529402"/>
      <w:bookmarkStart w:id="1846" w:name="_Toc36224608"/>
      <w:bookmarkStart w:id="1847" w:name="_Toc65243605"/>
      <w:bookmarkStart w:id="1848" w:name="_Toc131591402"/>
      <w:r w:rsidRPr="00261B7A">
        <w:t>Table 6.4.2</w:t>
      </w:r>
      <w:r w:rsidRPr="00261B7A">
        <w:tab/>
        <w:t>New Zealand’s carbon stock change by carbon pool for the</w:t>
      </w:r>
      <w:r w:rsidRPr="00261B7A">
        <w:rPr>
          <w:rFonts w:cs="Arial Bold"/>
        </w:rPr>
        <w:t xml:space="preserve"> </w:t>
      </w:r>
      <w:r w:rsidRPr="00261B7A">
        <w:rPr>
          <w:rFonts w:cs="Arial Bold"/>
          <w:i/>
        </w:rPr>
        <w:t>Crop</w:t>
      </w:r>
      <w:r w:rsidRPr="00261B7A">
        <w:rPr>
          <w:i/>
        </w:rPr>
        <w:t>land</w:t>
      </w:r>
      <w:r w:rsidRPr="00261B7A">
        <w:t xml:space="preserve"> category</w:t>
      </w:r>
      <w:r w:rsidRPr="00261B7A">
        <w:br/>
        <w:t>from 1990 to</w:t>
      </w:r>
      <w:bookmarkEnd w:id="1836"/>
      <w:bookmarkEnd w:id="1837"/>
      <w:r w:rsidRPr="00261B7A">
        <w:t> </w:t>
      </w:r>
      <w:bookmarkEnd w:id="1838"/>
      <w:bookmarkEnd w:id="1839"/>
      <w:bookmarkEnd w:id="1840"/>
      <w:bookmarkEnd w:id="1841"/>
      <w:bookmarkEnd w:id="1842"/>
      <w:bookmarkEnd w:id="1843"/>
      <w:bookmarkEnd w:id="1844"/>
      <w:bookmarkEnd w:id="1845"/>
      <w:bookmarkEnd w:id="1846"/>
      <w:bookmarkEnd w:id="1847"/>
      <w:r w:rsidRPr="00261B7A">
        <w:t>2021</w:t>
      </w:r>
      <w:bookmarkEnd w:id="1848"/>
    </w:p>
    <w:tbl>
      <w:tblPr>
        <w:tblW w:w="8505" w:type="dxa"/>
        <w:tblLook w:val="04A0" w:firstRow="1" w:lastRow="0" w:firstColumn="1" w:lastColumn="0" w:noHBand="0" w:noVBand="1"/>
      </w:tblPr>
      <w:tblGrid>
        <w:gridCol w:w="1700"/>
        <w:gridCol w:w="1350"/>
        <w:gridCol w:w="1628"/>
        <w:gridCol w:w="1134"/>
        <w:gridCol w:w="1231"/>
        <w:gridCol w:w="1462"/>
      </w:tblGrid>
      <w:tr w:rsidR="0010265C" w:rsidRPr="00261B7A" w14:paraId="0C4C44F7" w14:textId="77777777" w:rsidTr="00711C23">
        <w:tc>
          <w:tcPr>
            <w:tcW w:w="1700" w:type="dxa"/>
            <w:vMerge w:val="restart"/>
            <w:tcBorders>
              <w:top w:val="single" w:sz="4" w:space="0" w:color="1B556B"/>
              <w:bottom w:val="single" w:sz="4" w:space="0" w:color="1B556B"/>
            </w:tcBorders>
            <w:shd w:val="clear" w:color="auto" w:fill="1B556B"/>
            <w:vAlign w:val="bottom"/>
          </w:tcPr>
          <w:p w14:paraId="43D9AB14" w14:textId="77777777" w:rsidR="0010265C" w:rsidRPr="00261B7A" w:rsidRDefault="0010265C" w:rsidP="00CB3498">
            <w:pPr>
              <w:pStyle w:val="TableTextBold"/>
              <w:keepNext/>
              <w:spacing w:before="30" w:after="30"/>
              <w:rPr>
                <w:noProof w:val="0"/>
                <w:color w:val="FFFFFF"/>
                <w:szCs w:val="16"/>
              </w:rPr>
            </w:pPr>
            <w:r w:rsidRPr="00261B7A">
              <w:rPr>
                <w:noProof w:val="0"/>
                <w:color w:val="FFFFFF"/>
                <w:szCs w:val="16"/>
              </w:rPr>
              <w:t>Land use</w:t>
            </w:r>
          </w:p>
        </w:tc>
        <w:tc>
          <w:tcPr>
            <w:tcW w:w="5343" w:type="dxa"/>
            <w:gridSpan w:val="4"/>
            <w:tcBorders>
              <w:top w:val="single" w:sz="4" w:space="0" w:color="1B556B"/>
              <w:bottom w:val="single" w:sz="4" w:space="0" w:color="1B556B"/>
            </w:tcBorders>
            <w:shd w:val="clear" w:color="auto" w:fill="1B556B"/>
            <w:vAlign w:val="bottom"/>
          </w:tcPr>
          <w:p w14:paraId="108501ED" w14:textId="77777777" w:rsidR="0010265C" w:rsidRPr="00261B7A" w:rsidRDefault="0010265C" w:rsidP="00CB3498">
            <w:pPr>
              <w:pStyle w:val="TableTextBold"/>
              <w:keepNext/>
              <w:spacing w:before="30" w:after="30"/>
              <w:jc w:val="center"/>
              <w:rPr>
                <w:noProof w:val="0"/>
                <w:color w:val="FFFFFF"/>
                <w:szCs w:val="16"/>
              </w:rPr>
            </w:pPr>
            <w:r w:rsidRPr="00261B7A">
              <w:rPr>
                <w:noProof w:val="0"/>
                <w:color w:val="FFFFFF"/>
                <w:szCs w:val="16"/>
              </w:rPr>
              <w:t>Net carbon stock change 1990–2021 (kt C)</w:t>
            </w:r>
          </w:p>
        </w:tc>
        <w:tc>
          <w:tcPr>
            <w:tcW w:w="1462" w:type="dxa"/>
            <w:vMerge w:val="restart"/>
            <w:tcBorders>
              <w:top w:val="single" w:sz="4" w:space="0" w:color="1B556B"/>
              <w:bottom w:val="single" w:sz="4" w:space="0" w:color="1B556B"/>
            </w:tcBorders>
            <w:shd w:val="clear" w:color="auto" w:fill="1B556B"/>
            <w:vAlign w:val="bottom"/>
          </w:tcPr>
          <w:p w14:paraId="59A79000" w14:textId="77777777" w:rsidR="0010265C" w:rsidRPr="00261B7A" w:rsidRDefault="0010265C" w:rsidP="00CB3498">
            <w:pPr>
              <w:pStyle w:val="TableTextBold"/>
              <w:keepNext/>
              <w:spacing w:before="30" w:after="30"/>
              <w:jc w:val="right"/>
              <w:rPr>
                <w:noProof w:val="0"/>
                <w:color w:val="FFFFFF"/>
                <w:szCs w:val="16"/>
              </w:rPr>
            </w:pPr>
            <w:r w:rsidRPr="00261B7A">
              <w:rPr>
                <w:noProof w:val="0"/>
                <w:color w:val="FFFFFF"/>
                <w:szCs w:val="16"/>
              </w:rPr>
              <w:t xml:space="preserve">Emissions </w:t>
            </w:r>
            <w:r w:rsidRPr="00261B7A">
              <w:rPr>
                <w:noProof w:val="0"/>
                <w:color w:val="FFFFFF"/>
                <w:szCs w:val="16"/>
              </w:rPr>
              <w:br/>
              <w:t>1990–2020</w:t>
            </w:r>
            <w:r w:rsidRPr="00261B7A">
              <w:rPr>
                <w:noProof w:val="0"/>
                <w:color w:val="FFFFFF"/>
                <w:szCs w:val="16"/>
              </w:rPr>
              <w:br/>
              <w:t>(kt CO</w:t>
            </w:r>
            <w:r w:rsidRPr="00261B7A">
              <w:rPr>
                <w:noProof w:val="0"/>
                <w:color w:val="FFFFFF"/>
                <w:szCs w:val="16"/>
                <w:vertAlign w:val="subscript"/>
              </w:rPr>
              <w:t>2</w:t>
            </w:r>
            <w:r w:rsidRPr="00261B7A">
              <w:rPr>
                <w:noProof w:val="0"/>
                <w:color w:val="FFFFFF"/>
                <w:szCs w:val="16"/>
              </w:rPr>
              <w:t>)</w:t>
            </w:r>
          </w:p>
        </w:tc>
      </w:tr>
      <w:tr w:rsidR="0010265C" w:rsidRPr="00261B7A" w14:paraId="5BC37B34" w14:textId="77777777" w:rsidTr="00711C23">
        <w:tc>
          <w:tcPr>
            <w:tcW w:w="1700" w:type="dxa"/>
            <w:vMerge/>
            <w:tcBorders>
              <w:top w:val="single" w:sz="4" w:space="0" w:color="1B556B"/>
              <w:bottom w:val="single" w:sz="4" w:space="0" w:color="1B556B"/>
            </w:tcBorders>
            <w:shd w:val="clear" w:color="auto" w:fill="1B556B"/>
            <w:vAlign w:val="bottom"/>
          </w:tcPr>
          <w:p w14:paraId="64FE7FF6" w14:textId="77777777" w:rsidR="0010265C" w:rsidRPr="00261B7A" w:rsidRDefault="0010265C" w:rsidP="00CB3498">
            <w:pPr>
              <w:pStyle w:val="TableText"/>
              <w:keepNext/>
              <w:spacing w:before="30" w:after="30"/>
              <w:rPr>
                <w:color w:val="FFFFFF"/>
                <w:szCs w:val="16"/>
              </w:rPr>
            </w:pPr>
          </w:p>
        </w:tc>
        <w:tc>
          <w:tcPr>
            <w:tcW w:w="1350" w:type="dxa"/>
            <w:tcBorders>
              <w:top w:val="single" w:sz="4" w:space="0" w:color="1B556B"/>
              <w:bottom w:val="single" w:sz="4" w:space="0" w:color="1B556B"/>
            </w:tcBorders>
            <w:shd w:val="clear" w:color="auto" w:fill="1B556B"/>
            <w:vAlign w:val="bottom"/>
          </w:tcPr>
          <w:p w14:paraId="127FDE1B" w14:textId="77777777" w:rsidR="0010265C" w:rsidRPr="00261B7A" w:rsidRDefault="0010265C" w:rsidP="00CB3498">
            <w:pPr>
              <w:pStyle w:val="TableTextBold"/>
              <w:keepNext/>
              <w:spacing w:before="30" w:after="30"/>
              <w:jc w:val="right"/>
              <w:rPr>
                <w:noProof w:val="0"/>
                <w:color w:val="FFFFFF"/>
                <w:szCs w:val="16"/>
              </w:rPr>
            </w:pPr>
            <w:r w:rsidRPr="00261B7A">
              <w:rPr>
                <w:noProof w:val="0"/>
                <w:color w:val="FFFFFF"/>
                <w:szCs w:val="16"/>
              </w:rPr>
              <w:t>Living biomass</w:t>
            </w:r>
          </w:p>
        </w:tc>
        <w:tc>
          <w:tcPr>
            <w:tcW w:w="1628" w:type="dxa"/>
            <w:tcBorders>
              <w:top w:val="single" w:sz="4" w:space="0" w:color="1B556B"/>
              <w:bottom w:val="single" w:sz="4" w:space="0" w:color="1B556B"/>
            </w:tcBorders>
            <w:shd w:val="clear" w:color="auto" w:fill="1B556B"/>
            <w:vAlign w:val="bottom"/>
          </w:tcPr>
          <w:p w14:paraId="4E786E33" w14:textId="77777777" w:rsidR="0010265C" w:rsidRPr="00261B7A" w:rsidRDefault="0010265C" w:rsidP="00CB3498">
            <w:pPr>
              <w:pStyle w:val="TableTextBold"/>
              <w:keepNext/>
              <w:spacing w:before="30" w:after="30"/>
              <w:jc w:val="right"/>
              <w:rPr>
                <w:noProof w:val="0"/>
                <w:color w:val="FFFFFF"/>
                <w:szCs w:val="16"/>
              </w:rPr>
            </w:pPr>
            <w:r w:rsidRPr="00261B7A">
              <w:rPr>
                <w:noProof w:val="0"/>
                <w:color w:val="FFFFFF"/>
                <w:szCs w:val="16"/>
              </w:rPr>
              <w:t>Dead organic matter</w:t>
            </w:r>
          </w:p>
        </w:tc>
        <w:tc>
          <w:tcPr>
            <w:tcW w:w="1134" w:type="dxa"/>
            <w:tcBorders>
              <w:top w:val="single" w:sz="4" w:space="0" w:color="1B556B"/>
              <w:bottom w:val="single" w:sz="4" w:space="0" w:color="1B556B"/>
            </w:tcBorders>
            <w:shd w:val="clear" w:color="auto" w:fill="1B556B"/>
            <w:vAlign w:val="bottom"/>
          </w:tcPr>
          <w:p w14:paraId="7D2883CC" w14:textId="77777777" w:rsidR="0010265C" w:rsidRPr="00261B7A" w:rsidRDefault="0010265C" w:rsidP="00CB3498">
            <w:pPr>
              <w:pStyle w:val="TableTextBold"/>
              <w:keepNext/>
              <w:spacing w:before="30" w:after="30"/>
              <w:jc w:val="right"/>
              <w:rPr>
                <w:noProof w:val="0"/>
                <w:color w:val="FFFFFF"/>
                <w:szCs w:val="16"/>
              </w:rPr>
            </w:pPr>
            <w:r w:rsidRPr="00261B7A">
              <w:rPr>
                <w:noProof w:val="0"/>
                <w:color w:val="FFFFFF"/>
                <w:szCs w:val="16"/>
              </w:rPr>
              <w:t>Soils</w:t>
            </w:r>
          </w:p>
        </w:tc>
        <w:tc>
          <w:tcPr>
            <w:tcW w:w="1231" w:type="dxa"/>
            <w:tcBorders>
              <w:top w:val="single" w:sz="4" w:space="0" w:color="1B556B"/>
              <w:bottom w:val="single" w:sz="4" w:space="0" w:color="1B556B"/>
            </w:tcBorders>
            <w:shd w:val="clear" w:color="auto" w:fill="1B556B"/>
            <w:vAlign w:val="bottom"/>
          </w:tcPr>
          <w:p w14:paraId="1655312F" w14:textId="77777777" w:rsidR="0010265C" w:rsidRPr="00261B7A" w:rsidRDefault="0010265C" w:rsidP="00CB3498">
            <w:pPr>
              <w:pStyle w:val="TableTextBold"/>
              <w:keepNext/>
              <w:spacing w:before="30" w:after="30"/>
              <w:jc w:val="right"/>
              <w:rPr>
                <w:noProof w:val="0"/>
                <w:color w:val="FFFFFF"/>
                <w:szCs w:val="16"/>
              </w:rPr>
            </w:pPr>
            <w:r w:rsidRPr="00261B7A">
              <w:rPr>
                <w:noProof w:val="0"/>
                <w:color w:val="FFFFFF"/>
                <w:szCs w:val="16"/>
              </w:rPr>
              <w:t>Total</w:t>
            </w:r>
          </w:p>
        </w:tc>
        <w:tc>
          <w:tcPr>
            <w:tcW w:w="1462" w:type="dxa"/>
            <w:vMerge/>
            <w:tcBorders>
              <w:top w:val="single" w:sz="4" w:space="0" w:color="1B556B"/>
              <w:bottom w:val="single" w:sz="4" w:space="0" w:color="1B556B"/>
            </w:tcBorders>
            <w:shd w:val="clear" w:color="auto" w:fill="1B556B"/>
            <w:vAlign w:val="bottom"/>
          </w:tcPr>
          <w:p w14:paraId="5D4C8627" w14:textId="77777777" w:rsidR="0010265C" w:rsidRPr="00261B7A" w:rsidRDefault="0010265C" w:rsidP="00CB3498">
            <w:pPr>
              <w:pStyle w:val="TableText"/>
              <w:keepNext/>
              <w:spacing w:before="30" w:after="30"/>
              <w:jc w:val="right"/>
              <w:rPr>
                <w:szCs w:val="16"/>
              </w:rPr>
            </w:pPr>
          </w:p>
        </w:tc>
      </w:tr>
      <w:tr w:rsidR="0010265C" w:rsidRPr="00261B7A" w14:paraId="6DD1DEA7" w14:textId="77777777" w:rsidTr="00711C23">
        <w:tc>
          <w:tcPr>
            <w:tcW w:w="1700" w:type="dxa"/>
            <w:tcBorders>
              <w:top w:val="single" w:sz="4" w:space="0" w:color="1B556B"/>
              <w:bottom w:val="single" w:sz="4" w:space="0" w:color="1B556B"/>
            </w:tcBorders>
          </w:tcPr>
          <w:p w14:paraId="755A6F73" w14:textId="77777777" w:rsidR="0010265C" w:rsidRPr="00261B7A" w:rsidRDefault="0010265C" w:rsidP="00CB3498">
            <w:pPr>
              <w:pStyle w:val="TableText"/>
              <w:keepNext/>
              <w:spacing w:before="30" w:after="30"/>
              <w:rPr>
                <w:szCs w:val="16"/>
              </w:rPr>
            </w:pPr>
            <w:r w:rsidRPr="00261B7A">
              <w:rPr>
                <w:szCs w:val="16"/>
              </w:rPr>
              <w:t>Annual cropland</w:t>
            </w:r>
          </w:p>
        </w:tc>
        <w:tc>
          <w:tcPr>
            <w:tcW w:w="1350" w:type="dxa"/>
            <w:tcBorders>
              <w:top w:val="single" w:sz="4" w:space="0" w:color="1B556B"/>
              <w:bottom w:val="single" w:sz="4" w:space="0" w:color="1B556B"/>
            </w:tcBorders>
            <w:vAlign w:val="center"/>
          </w:tcPr>
          <w:p w14:paraId="29728EC2" w14:textId="77777777" w:rsidR="0010265C" w:rsidRPr="00261B7A" w:rsidRDefault="0010265C" w:rsidP="00CB3498">
            <w:pPr>
              <w:pStyle w:val="TableText"/>
              <w:keepNext/>
              <w:spacing w:before="30" w:after="30"/>
              <w:jc w:val="right"/>
              <w:rPr>
                <w:szCs w:val="16"/>
              </w:rPr>
            </w:pPr>
            <w:r w:rsidRPr="00261B7A">
              <w:rPr>
                <w:rFonts w:cs="Calibri"/>
                <w:color w:val="000000"/>
                <w:szCs w:val="16"/>
              </w:rPr>
              <w:t>–189.2</w:t>
            </w:r>
          </w:p>
        </w:tc>
        <w:tc>
          <w:tcPr>
            <w:tcW w:w="1628" w:type="dxa"/>
            <w:tcBorders>
              <w:top w:val="single" w:sz="4" w:space="0" w:color="1B556B"/>
              <w:bottom w:val="single" w:sz="4" w:space="0" w:color="1B556B"/>
            </w:tcBorders>
            <w:vAlign w:val="center"/>
          </w:tcPr>
          <w:p w14:paraId="2ADB653F" w14:textId="77777777" w:rsidR="0010265C" w:rsidRPr="00261B7A" w:rsidRDefault="0010265C" w:rsidP="00CB3498">
            <w:pPr>
              <w:pStyle w:val="TableText"/>
              <w:keepNext/>
              <w:spacing w:before="30" w:after="30"/>
              <w:jc w:val="right"/>
              <w:rPr>
                <w:szCs w:val="16"/>
              </w:rPr>
            </w:pPr>
            <w:r w:rsidRPr="00261B7A">
              <w:rPr>
                <w:rFonts w:cs="Calibri"/>
                <w:color w:val="000000"/>
                <w:szCs w:val="16"/>
              </w:rPr>
              <w:t>–12.3</w:t>
            </w:r>
          </w:p>
        </w:tc>
        <w:tc>
          <w:tcPr>
            <w:tcW w:w="1134" w:type="dxa"/>
            <w:tcBorders>
              <w:top w:val="single" w:sz="4" w:space="0" w:color="1B556B"/>
              <w:bottom w:val="single" w:sz="4" w:space="0" w:color="1B556B"/>
            </w:tcBorders>
            <w:vAlign w:val="center"/>
          </w:tcPr>
          <w:p w14:paraId="3DC7E147" w14:textId="77777777" w:rsidR="0010265C" w:rsidRPr="00261B7A" w:rsidRDefault="0010265C" w:rsidP="00CB3498">
            <w:pPr>
              <w:pStyle w:val="TableText"/>
              <w:keepNext/>
              <w:spacing w:before="30" w:after="30"/>
              <w:jc w:val="right"/>
              <w:rPr>
                <w:szCs w:val="16"/>
              </w:rPr>
            </w:pPr>
            <w:r w:rsidRPr="00261B7A">
              <w:rPr>
                <w:rFonts w:cs="Calibri"/>
                <w:color w:val="000000"/>
                <w:szCs w:val="16"/>
              </w:rPr>
              <w:t>–2,945.8</w:t>
            </w:r>
          </w:p>
        </w:tc>
        <w:tc>
          <w:tcPr>
            <w:tcW w:w="1231" w:type="dxa"/>
            <w:tcBorders>
              <w:top w:val="single" w:sz="4" w:space="0" w:color="1B556B"/>
              <w:bottom w:val="single" w:sz="4" w:space="0" w:color="1B556B"/>
            </w:tcBorders>
            <w:vAlign w:val="bottom"/>
          </w:tcPr>
          <w:p w14:paraId="381A2DE5" w14:textId="77777777" w:rsidR="0010265C" w:rsidRPr="00261B7A" w:rsidRDefault="0010265C" w:rsidP="00CB3498">
            <w:pPr>
              <w:pStyle w:val="TableText"/>
              <w:keepNext/>
              <w:spacing w:before="30" w:after="30"/>
              <w:jc w:val="right"/>
              <w:rPr>
                <w:szCs w:val="16"/>
              </w:rPr>
            </w:pPr>
            <w:r w:rsidRPr="00261B7A">
              <w:rPr>
                <w:rFonts w:cs="Calibri"/>
                <w:color w:val="000000"/>
                <w:szCs w:val="16"/>
              </w:rPr>
              <w:t>–3,147.3</w:t>
            </w:r>
          </w:p>
        </w:tc>
        <w:tc>
          <w:tcPr>
            <w:tcW w:w="1462" w:type="dxa"/>
            <w:tcBorders>
              <w:top w:val="single" w:sz="4" w:space="0" w:color="1B556B"/>
              <w:bottom w:val="single" w:sz="4" w:space="0" w:color="1B556B"/>
            </w:tcBorders>
            <w:vAlign w:val="bottom"/>
          </w:tcPr>
          <w:p w14:paraId="5F5F8082" w14:textId="77777777" w:rsidR="0010265C" w:rsidRPr="00261B7A" w:rsidRDefault="0010265C" w:rsidP="00CB3498">
            <w:pPr>
              <w:pStyle w:val="TableText"/>
              <w:keepNext/>
              <w:spacing w:before="30" w:after="30"/>
              <w:jc w:val="right"/>
              <w:rPr>
                <w:szCs w:val="16"/>
              </w:rPr>
            </w:pPr>
            <w:r w:rsidRPr="00261B7A">
              <w:rPr>
                <w:rFonts w:cs="Calibri"/>
                <w:color w:val="000000"/>
                <w:szCs w:val="16"/>
              </w:rPr>
              <w:t>11,540.1</w:t>
            </w:r>
          </w:p>
        </w:tc>
      </w:tr>
      <w:tr w:rsidR="0010265C" w:rsidRPr="00261B7A" w14:paraId="65504CA9" w14:textId="77777777" w:rsidTr="00711C23">
        <w:tc>
          <w:tcPr>
            <w:tcW w:w="1700" w:type="dxa"/>
            <w:tcBorders>
              <w:top w:val="single" w:sz="4" w:space="0" w:color="1B556B"/>
              <w:bottom w:val="single" w:sz="4" w:space="0" w:color="1B556B"/>
            </w:tcBorders>
          </w:tcPr>
          <w:p w14:paraId="2757AE4C" w14:textId="77777777" w:rsidR="0010265C" w:rsidRPr="00261B7A" w:rsidRDefault="0010265C" w:rsidP="00CB3498">
            <w:pPr>
              <w:pStyle w:val="TableText"/>
              <w:spacing w:before="30" w:after="30"/>
              <w:rPr>
                <w:szCs w:val="16"/>
              </w:rPr>
            </w:pPr>
            <w:r w:rsidRPr="00261B7A">
              <w:rPr>
                <w:szCs w:val="16"/>
              </w:rPr>
              <w:t xml:space="preserve">Perennial cropland </w:t>
            </w:r>
          </w:p>
        </w:tc>
        <w:tc>
          <w:tcPr>
            <w:tcW w:w="1350" w:type="dxa"/>
            <w:tcBorders>
              <w:top w:val="single" w:sz="4" w:space="0" w:color="1B556B"/>
              <w:bottom w:val="single" w:sz="4" w:space="0" w:color="1B556B"/>
            </w:tcBorders>
            <w:vAlign w:val="center"/>
          </w:tcPr>
          <w:p w14:paraId="69C65660" w14:textId="77777777" w:rsidR="0010265C" w:rsidRPr="00261B7A" w:rsidRDefault="0010265C" w:rsidP="00CB3498">
            <w:pPr>
              <w:pStyle w:val="TableText"/>
              <w:keepNext/>
              <w:spacing w:before="30" w:after="30"/>
              <w:jc w:val="right"/>
              <w:rPr>
                <w:szCs w:val="16"/>
              </w:rPr>
            </w:pPr>
            <w:r w:rsidRPr="00261B7A">
              <w:rPr>
                <w:rFonts w:cs="Calibri"/>
                <w:color w:val="000000"/>
                <w:szCs w:val="16"/>
              </w:rPr>
              <w:t>376.6</w:t>
            </w:r>
          </w:p>
        </w:tc>
        <w:tc>
          <w:tcPr>
            <w:tcW w:w="1628" w:type="dxa"/>
            <w:tcBorders>
              <w:top w:val="single" w:sz="4" w:space="0" w:color="1B556B"/>
              <w:bottom w:val="single" w:sz="4" w:space="0" w:color="1B556B"/>
            </w:tcBorders>
            <w:vAlign w:val="center"/>
          </w:tcPr>
          <w:p w14:paraId="78EC86A0" w14:textId="77777777" w:rsidR="0010265C" w:rsidRPr="00261B7A" w:rsidRDefault="0010265C" w:rsidP="00CB3498">
            <w:pPr>
              <w:pStyle w:val="TableText"/>
              <w:keepNext/>
              <w:spacing w:before="30" w:after="30"/>
              <w:jc w:val="right"/>
              <w:rPr>
                <w:szCs w:val="16"/>
              </w:rPr>
            </w:pPr>
            <w:r w:rsidRPr="00261B7A">
              <w:rPr>
                <w:rFonts w:cs="Calibri"/>
                <w:color w:val="000000"/>
                <w:szCs w:val="16"/>
              </w:rPr>
              <w:t>–8.6</w:t>
            </w:r>
          </w:p>
        </w:tc>
        <w:tc>
          <w:tcPr>
            <w:tcW w:w="1134" w:type="dxa"/>
            <w:tcBorders>
              <w:top w:val="single" w:sz="4" w:space="0" w:color="1B556B"/>
              <w:bottom w:val="single" w:sz="4" w:space="0" w:color="1B556B"/>
            </w:tcBorders>
            <w:vAlign w:val="center"/>
          </w:tcPr>
          <w:p w14:paraId="24F59B97" w14:textId="77777777" w:rsidR="0010265C" w:rsidRPr="00261B7A" w:rsidRDefault="0010265C" w:rsidP="00CB3498">
            <w:pPr>
              <w:pStyle w:val="TableText"/>
              <w:keepNext/>
              <w:spacing w:before="30" w:after="30"/>
              <w:jc w:val="right"/>
              <w:rPr>
                <w:szCs w:val="16"/>
              </w:rPr>
            </w:pPr>
            <w:r w:rsidRPr="00261B7A">
              <w:rPr>
                <w:rFonts w:cs="Calibri"/>
                <w:color w:val="000000"/>
                <w:szCs w:val="16"/>
              </w:rPr>
              <w:t>–1,435.6</w:t>
            </w:r>
          </w:p>
        </w:tc>
        <w:tc>
          <w:tcPr>
            <w:tcW w:w="1231" w:type="dxa"/>
            <w:tcBorders>
              <w:top w:val="single" w:sz="4" w:space="0" w:color="1B556B"/>
              <w:bottom w:val="single" w:sz="4" w:space="0" w:color="1B556B"/>
            </w:tcBorders>
            <w:vAlign w:val="bottom"/>
          </w:tcPr>
          <w:p w14:paraId="7D5EC63F" w14:textId="77777777" w:rsidR="0010265C" w:rsidRPr="00261B7A" w:rsidRDefault="0010265C" w:rsidP="00CB3498">
            <w:pPr>
              <w:pStyle w:val="TableText"/>
              <w:keepNext/>
              <w:spacing w:before="30" w:after="30"/>
              <w:jc w:val="right"/>
              <w:rPr>
                <w:szCs w:val="16"/>
              </w:rPr>
            </w:pPr>
            <w:r w:rsidRPr="00261B7A">
              <w:rPr>
                <w:rFonts w:cs="Calibri"/>
                <w:color w:val="000000"/>
                <w:szCs w:val="16"/>
              </w:rPr>
              <w:t>–1,067.6</w:t>
            </w:r>
          </w:p>
        </w:tc>
        <w:tc>
          <w:tcPr>
            <w:tcW w:w="1462" w:type="dxa"/>
            <w:tcBorders>
              <w:top w:val="single" w:sz="4" w:space="0" w:color="1B556B"/>
              <w:bottom w:val="single" w:sz="4" w:space="0" w:color="1B556B"/>
            </w:tcBorders>
            <w:vAlign w:val="bottom"/>
          </w:tcPr>
          <w:p w14:paraId="37E84949" w14:textId="77777777" w:rsidR="0010265C" w:rsidRPr="00261B7A" w:rsidRDefault="0010265C" w:rsidP="00CB3498">
            <w:pPr>
              <w:pStyle w:val="TableText"/>
              <w:keepNext/>
              <w:spacing w:before="30" w:after="30"/>
              <w:jc w:val="right"/>
              <w:rPr>
                <w:szCs w:val="16"/>
              </w:rPr>
            </w:pPr>
            <w:r w:rsidRPr="00261B7A">
              <w:rPr>
                <w:rFonts w:cs="Calibri"/>
                <w:color w:val="000000"/>
                <w:szCs w:val="16"/>
              </w:rPr>
              <w:t>3,914.5</w:t>
            </w:r>
          </w:p>
        </w:tc>
      </w:tr>
      <w:tr w:rsidR="0010265C" w:rsidRPr="00261B7A" w14:paraId="4DD58276" w14:textId="77777777" w:rsidTr="00711C23">
        <w:tc>
          <w:tcPr>
            <w:tcW w:w="1700" w:type="dxa"/>
            <w:tcBorders>
              <w:top w:val="single" w:sz="4" w:space="0" w:color="1B556B"/>
              <w:bottom w:val="single" w:sz="4" w:space="0" w:color="1B556B"/>
            </w:tcBorders>
          </w:tcPr>
          <w:p w14:paraId="5499D2C0" w14:textId="77777777" w:rsidR="0010265C" w:rsidRPr="00261B7A" w:rsidRDefault="0010265C" w:rsidP="00CB3498">
            <w:pPr>
              <w:pStyle w:val="Tableboldblue"/>
              <w:spacing w:before="30" w:after="30"/>
              <w:jc w:val="right"/>
              <w:rPr>
                <w:szCs w:val="16"/>
              </w:rPr>
            </w:pPr>
            <w:r w:rsidRPr="00261B7A">
              <w:rPr>
                <w:szCs w:val="16"/>
              </w:rPr>
              <w:t>Total</w:t>
            </w:r>
          </w:p>
        </w:tc>
        <w:tc>
          <w:tcPr>
            <w:tcW w:w="1350" w:type="dxa"/>
            <w:tcBorders>
              <w:top w:val="single" w:sz="4" w:space="0" w:color="1B556B"/>
              <w:bottom w:val="single" w:sz="4" w:space="0" w:color="1B556B"/>
            </w:tcBorders>
            <w:vAlign w:val="center"/>
          </w:tcPr>
          <w:p w14:paraId="2C36E40C" w14:textId="77777777" w:rsidR="0010265C" w:rsidRPr="00261B7A" w:rsidRDefault="0010265C" w:rsidP="00CB3498">
            <w:pPr>
              <w:pStyle w:val="Tableboldblue"/>
              <w:spacing w:before="30" w:after="30"/>
              <w:jc w:val="right"/>
              <w:rPr>
                <w:color w:val="1B556B"/>
                <w:szCs w:val="16"/>
              </w:rPr>
            </w:pPr>
            <w:r w:rsidRPr="00261B7A">
              <w:rPr>
                <w:rFonts w:cs="Calibri"/>
                <w:color w:val="1B556B"/>
                <w:szCs w:val="16"/>
              </w:rPr>
              <w:t>187.4</w:t>
            </w:r>
          </w:p>
        </w:tc>
        <w:tc>
          <w:tcPr>
            <w:tcW w:w="1628" w:type="dxa"/>
            <w:tcBorders>
              <w:top w:val="single" w:sz="4" w:space="0" w:color="1B556B"/>
              <w:bottom w:val="single" w:sz="4" w:space="0" w:color="1B556B"/>
            </w:tcBorders>
            <w:vAlign w:val="center"/>
          </w:tcPr>
          <w:p w14:paraId="50D76119" w14:textId="77777777" w:rsidR="0010265C" w:rsidRPr="00261B7A" w:rsidRDefault="0010265C" w:rsidP="00CB3498">
            <w:pPr>
              <w:pStyle w:val="Tableboldblue"/>
              <w:spacing w:before="30" w:after="30"/>
              <w:jc w:val="right"/>
              <w:rPr>
                <w:color w:val="1B556B"/>
                <w:szCs w:val="16"/>
              </w:rPr>
            </w:pPr>
            <w:r w:rsidRPr="00261B7A">
              <w:rPr>
                <w:rFonts w:cs="Calibri"/>
                <w:color w:val="1B556B"/>
                <w:szCs w:val="16"/>
              </w:rPr>
              <w:t>–20.9</w:t>
            </w:r>
          </w:p>
        </w:tc>
        <w:tc>
          <w:tcPr>
            <w:tcW w:w="1134" w:type="dxa"/>
            <w:tcBorders>
              <w:top w:val="single" w:sz="4" w:space="0" w:color="1B556B"/>
              <w:bottom w:val="single" w:sz="4" w:space="0" w:color="1B556B"/>
            </w:tcBorders>
            <w:vAlign w:val="center"/>
          </w:tcPr>
          <w:p w14:paraId="71B4D385" w14:textId="77777777" w:rsidR="0010265C" w:rsidRPr="00261B7A" w:rsidRDefault="0010265C" w:rsidP="00CB3498">
            <w:pPr>
              <w:pStyle w:val="Tableboldblue"/>
              <w:spacing w:before="30" w:after="30"/>
              <w:jc w:val="right"/>
              <w:rPr>
                <w:color w:val="1B556B"/>
                <w:szCs w:val="16"/>
              </w:rPr>
            </w:pPr>
            <w:r w:rsidRPr="00261B7A">
              <w:rPr>
                <w:rFonts w:cs="Calibri"/>
                <w:color w:val="1B556B"/>
                <w:szCs w:val="16"/>
              </w:rPr>
              <w:t>–4,381.4</w:t>
            </w:r>
          </w:p>
        </w:tc>
        <w:tc>
          <w:tcPr>
            <w:tcW w:w="1231" w:type="dxa"/>
            <w:tcBorders>
              <w:top w:val="single" w:sz="4" w:space="0" w:color="1B556B"/>
              <w:bottom w:val="single" w:sz="4" w:space="0" w:color="1B556B"/>
            </w:tcBorders>
            <w:vAlign w:val="bottom"/>
          </w:tcPr>
          <w:p w14:paraId="4123948B" w14:textId="77777777" w:rsidR="0010265C" w:rsidRPr="00261B7A" w:rsidRDefault="0010265C" w:rsidP="00CB3498">
            <w:pPr>
              <w:pStyle w:val="Tableboldblue"/>
              <w:spacing w:before="30" w:after="30"/>
              <w:jc w:val="right"/>
              <w:rPr>
                <w:color w:val="1B556B"/>
                <w:szCs w:val="16"/>
              </w:rPr>
            </w:pPr>
            <w:r w:rsidRPr="00261B7A">
              <w:rPr>
                <w:rFonts w:cs="Calibri"/>
                <w:color w:val="1B556B"/>
                <w:szCs w:val="16"/>
              </w:rPr>
              <w:t>–4,214.9</w:t>
            </w:r>
          </w:p>
        </w:tc>
        <w:tc>
          <w:tcPr>
            <w:tcW w:w="1462" w:type="dxa"/>
            <w:tcBorders>
              <w:top w:val="single" w:sz="4" w:space="0" w:color="1B556B"/>
              <w:bottom w:val="single" w:sz="4" w:space="0" w:color="1B556B"/>
            </w:tcBorders>
            <w:vAlign w:val="bottom"/>
          </w:tcPr>
          <w:p w14:paraId="0D0682D3" w14:textId="77777777" w:rsidR="0010265C" w:rsidRPr="00261B7A" w:rsidRDefault="0010265C" w:rsidP="00CB3498">
            <w:pPr>
              <w:pStyle w:val="Tableboldblue"/>
              <w:spacing w:before="30" w:after="30"/>
              <w:jc w:val="right"/>
              <w:rPr>
                <w:color w:val="1B556B"/>
                <w:szCs w:val="16"/>
              </w:rPr>
            </w:pPr>
            <w:r w:rsidRPr="00261B7A">
              <w:rPr>
                <w:rFonts w:cs="Calibri"/>
                <w:color w:val="1B556B"/>
                <w:szCs w:val="16"/>
              </w:rPr>
              <w:t>15,454.6</w:t>
            </w:r>
          </w:p>
        </w:tc>
      </w:tr>
    </w:tbl>
    <w:p w14:paraId="12FAD059" w14:textId="77777777" w:rsidR="0010265C" w:rsidRPr="00261B7A" w:rsidRDefault="0010265C" w:rsidP="0010265C">
      <w:pPr>
        <w:pStyle w:val="Noteundertable"/>
      </w:pPr>
      <w:r w:rsidRPr="00261B7A">
        <w:rPr>
          <w:b/>
        </w:rPr>
        <w:t>Note:</w:t>
      </w:r>
      <w:r w:rsidRPr="00261B7A">
        <w:tab/>
        <w:t>This table includes CO</w:t>
      </w:r>
      <w:r w:rsidRPr="00261B7A">
        <w:rPr>
          <w:vertAlign w:val="subscript"/>
        </w:rPr>
        <w:t>2</w:t>
      </w:r>
      <w:r w:rsidRPr="00261B7A">
        <w:t xml:space="preserve"> emissions from carbon stock change only (so it does not include emissions from N</w:t>
      </w:r>
      <w:r w:rsidRPr="00261B7A">
        <w:rPr>
          <w:vertAlign w:val="subscript"/>
        </w:rPr>
        <w:t>2</w:t>
      </w:r>
      <w:r w:rsidRPr="00261B7A">
        <w:t xml:space="preserve">O disturbance). The reported dead organic matter losses result from the loss of dead organic matter of woody land use categories on conversion to cropland. Columns may not total due to rounding. </w:t>
      </w:r>
    </w:p>
    <w:p w14:paraId="3B1793E4" w14:textId="77777777" w:rsidR="0010265C" w:rsidRPr="00261B7A" w:rsidRDefault="0010265C" w:rsidP="00EA1837">
      <w:pPr>
        <w:pStyle w:val="BodyText"/>
        <w:spacing w:before="100" w:after="100"/>
      </w:pPr>
      <w:r w:rsidRPr="00261B7A">
        <w:t xml:space="preserve">Table 6.4.3 shows land-use change by </w:t>
      </w:r>
      <w:r w:rsidRPr="00261B7A">
        <w:rPr>
          <w:i/>
        </w:rPr>
        <w:t>Cropland</w:t>
      </w:r>
      <w:r w:rsidRPr="00261B7A">
        <w:t xml:space="preserve"> land use since 1990, and the associated CO</w:t>
      </w:r>
      <w:r w:rsidRPr="00261B7A">
        <w:rPr>
          <w:vertAlign w:val="subscript"/>
        </w:rPr>
        <w:t>2</w:t>
      </w:r>
      <w:r w:rsidRPr="00261B7A">
        <w:t xml:space="preserve"> emissions from carbon stock change. The </w:t>
      </w:r>
      <w:r w:rsidRPr="00261B7A">
        <w:rPr>
          <w:i/>
        </w:rPr>
        <w:t>Cropland</w:t>
      </w:r>
      <w:r w:rsidRPr="00261B7A">
        <w:t xml:space="preserve"> category in New Zealand is separated into two land use types: annual and perennial. In 2021, annual cropland accounted for 1.4 per cent of total land area, and perennial cropland accounted for 0.4 per cent of total land area in New Zealand. </w:t>
      </w:r>
    </w:p>
    <w:p w14:paraId="12915617" w14:textId="77777777" w:rsidR="0010265C" w:rsidRPr="00261B7A" w:rsidRDefault="0010265C" w:rsidP="0010265C">
      <w:pPr>
        <w:pStyle w:val="BodyText"/>
      </w:pPr>
      <w:r w:rsidRPr="00261B7A">
        <w:t xml:space="preserve">Annual crops include cereals, grains, oil seeds, vegetables, root crops and forages. Perennial crops include orchards, vineyards and their associated shelterbelts except where these shelterbelts meet the criteria for the </w:t>
      </w:r>
      <w:r w:rsidRPr="00261B7A">
        <w:rPr>
          <w:i/>
        </w:rPr>
        <w:t>Forest land</w:t>
      </w:r>
      <w:r w:rsidRPr="00261B7A">
        <w:t xml:space="preserve"> category. </w:t>
      </w:r>
    </w:p>
    <w:p w14:paraId="6CA07609" w14:textId="77777777" w:rsidR="0010265C" w:rsidRPr="00261B7A" w:rsidRDefault="0010265C" w:rsidP="0010265C">
      <w:pPr>
        <w:pStyle w:val="BodyText"/>
      </w:pPr>
      <w:r w:rsidRPr="00261B7A">
        <w:t xml:space="preserve">The amount of carbon stored in, emitted by or removed from </w:t>
      </w:r>
      <w:r w:rsidRPr="00261B7A">
        <w:rPr>
          <w:i/>
        </w:rPr>
        <w:t>Cropland</w:t>
      </w:r>
      <w:r w:rsidRPr="00261B7A">
        <w:t xml:space="preserve"> depends on crop type, management practices, soil properties and climate variables. Annual crops are harvested each year, with little long-term storage of carbon in biomass. Woody vegetation in orchards stores more carbon in biomass, with the amount largely determined by the crop species and presence of shelterbelts. </w:t>
      </w:r>
    </w:p>
    <w:p w14:paraId="62DD349F" w14:textId="77777777" w:rsidR="0010265C" w:rsidRPr="00261B7A" w:rsidRDefault="0010265C" w:rsidP="0010265C">
      <w:pPr>
        <w:pStyle w:val="Table"/>
      </w:pPr>
      <w:bookmarkStart w:id="1849" w:name="_Toc310423415"/>
      <w:bookmarkStart w:id="1850" w:name="_Toc318362708"/>
      <w:bookmarkStart w:id="1851" w:name="_Toc342470770"/>
      <w:bookmarkStart w:id="1852" w:name="_Toc352505010"/>
      <w:bookmarkStart w:id="1853" w:name="_Toc378853302"/>
      <w:bookmarkStart w:id="1854" w:name="_Toc391024100"/>
      <w:bookmarkStart w:id="1855" w:name="_Toc410028843"/>
      <w:bookmarkStart w:id="1856" w:name="_Toc414531471"/>
      <w:bookmarkStart w:id="1857" w:name="_Toc443645384"/>
      <w:bookmarkStart w:id="1858" w:name="_Toc474914603"/>
      <w:bookmarkStart w:id="1859" w:name="_Toc481751567"/>
      <w:bookmarkStart w:id="1860" w:name="_Toc522010624"/>
      <w:bookmarkStart w:id="1861" w:name="_Toc5269529"/>
      <w:bookmarkStart w:id="1862" w:name="_Toc33529403"/>
      <w:bookmarkStart w:id="1863" w:name="_Toc36224609"/>
      <w:bookmarkStart w:id="1864" w:name="_Toc65243606"/>
      <w:bookmarkStart w:id="1865" w:name="_Toc131591403"/>
      <w:r w:rsidRPr="00261B7A">
        <w:t>Table 6.4.3</w:t>
      </w:r>
      <w:r w:rsidRPr="00261B7A">
        <w:tab/>
        <w:t xml:space="preserve">New Zealand’s land-use change by </w:t>
      </w:r>
      <w:r w:rsidRPr="00261B7A">
        <w:rPr>
          <w:i/>
        </w:rPr>
        <w:t>Cropland</w:t>
      </w:r>
      <w:r w:rsidRPr="00261B7A">
        <w:t xml:space="preserve"> land use, and associated CO</w:t>
      </w:r>
      <w:r w:rsidRPr="00261B7A">
        <w:rPr>
          <w:vertAlign w:val="subscript"/>
        </w:rPr>
        <w:t>2</w:t>
      </w:r>
      <w:r w:rsidRPr="00261B7A">
        <w:t xml:space="preserve"> emissions from</w:t>
      </w:r>
      <w:r w:rsidRPr="00261B7A">
        <w:br/>
        <w:t>carbon stock change</w:t>
      </w:r>
      <w:bookmarkEnd w:id="1849"/>
      <w:bookmarkEnd w:id="1850"/>
      <w:bookmarkEnd w:id="1851"/>
      <w:bookmarkEnd w:id="1852"/>
      <w:bookmarkEnd w:id="1853"/>
      <w:r w:rsidRPr="00261B7A">
        <w:t>, from 1990 to</w:t>
      </w:r>
      <w:bookmarkEnd w:id="1854"/>
      <w:r w:rsidRPr="00261B7A">
        <w:t> </w:t>
      </w:r>
      <w:bookmarkEnd w:id="1855"/>
      <w:bookmarkEnd w:id="1856"/>
      <w:bookmarkEnd w:id="1857"/>
      <w:bookmarkEnd w:id="1858"/>
      <w:bookmarkEnd w:id="1859"/>
      <w:bookmarkEnd w:id="1860"/>
      <w:bookmarkEnd w:id="1861"/>
      <w:bookmarkEnd w:id="1862"/>
      <w:bookmarkEnd w:id="1863"/>
      <w:bookmarkEnd w:id="1864"/>
      <w:r w:rsidRPr="00261B7A">
        <w:t>2021</w:t>
      </w:r>
      <w:bookmarkEnd w:id="1865"/>
    </w:p>
    <w:tbl>
      <w:tblPr>
        <w:tblW w:w="8505" w:type="dxa"/>
        <w:tblLook w:val="04A0" w:firstRow="1" w:lastRow="0" w:firstColumn="1" w:lastColumn="0" w:noHBand="0" w:noVBand="1"/>
      </w:tblPr>
      <w:tblGrid>
        <w:gridCol w:w="1560"/>
        <w:gridCol w:w="1275"/>
        <w:gridCol w:w="1294"/>
        <w:gridCol w:w="1172"/>
        <w:gridCol w:w="1091"/>
        <w:gridCol w:w="1082"/>
        <w:gridCol w:w="1031"/>
      </w:tblGrid>
      <w:tr w:rsidR="0010265C" w:rsidRPr="00261B7A" w14:paraId="0B01FA31" w14:textId="77777777" w:rsidTr="00B10054">
        <w:tc>
          <w:tcPr>
            <w:tcW w:w="1560" w:type="dxa"/>
            <w:vMerge w:val="restart"/>
            <w:tcBorders>
              <w:top w:val="single" w:sz="4" w:space="0" w:color="1B556B"/>
              <w:bottom w:val="single" w:sz="4" w:space="0" w:color="1B556B"/>
            </w:tcBorders>
            <w:shd w:val="clear" w:color="auto" w:fill="1B556B"/>
            <w:vAlign w:val="bottom"/>
          </w:tcPr>
          <w:p w14:paraId="5B38B39E" w14:textId="77777777" w:rsidR="0010265C" w:rsidRPr="00261B7A" w:rsidRDefault="0010265C" w:rsidP="00D41492">
            <w:pPr>
              <w:pStyle w:val="TableTextBold"/>
              <w:keepNext/>
              <w:spacing w:before="40" w:after="40"/>
              <w:rPr>
                <w:rFonts w:cs="Segoe UI"/>
                <w:noProof w:val="0"/>
                <w:color w:val="FFFFFF"/>
                <w:szCs w:val="16"/>
              </w:rPr>
            </w:pPr>
            <w:r w:rsidRPr="00261B7A">
              <w:rPr>
                <w:rFonts w:cs="Segoe UI"/>
                <w:noProof w:val="0"/>
                <w:color w:val="FFFFFF"/>
                <w:szCs w:val="16"/>
              </w:rPr>
              <w:t>Land use</w:t>
            </w:r>
          </w:p>
        </w:tc>
        <w:tc>
          <w:tcPr>
            <w:tcW w:w="1275" w:type="dxa"/>
            <w:vMerge w:val="restart"/>
            <w:tcBorders>
              <w:top w:val="single" w:sz="4" w:space="0" w:color="1B556B"/>
              <w:bottom w:val="single" w:sz="4" w:space="0" w:color="1B556B"/>
            </w:tcBorders>
            <w:shd w:val="clear" w:color="auto" w:fill="1B556B"/>
            <w:vAlign w:val="bottom"/>
          </w:tcPr>
          <w:p w14:paraId="294F97E8" w14:textId="77777777" w:rsidR="0010265C" w:rsidRPr="00261B7A" w:rsidRDefault="0010265C" w:rsidP="00D41492">
            <w:pPr>
              <w:pStyle w:val="TableTextBold"/>
              <w:keepNext/>
              <w:spacing w:before="40" w:after="40"/>
              <w:jc w:val="right"/>
              <w:rPr>
                <w:rFonts w:cs="Segoe UI"/>
                <w:noProof w:val="0"/>
                <w:color w:val="FFFFFF"/>
                <w:szCs w:val="16"/>
              </w:rPr>
            </w:pPr>
            <w:r w:rsidRPr="00261B7A">
              <w:rPr>
                <w:rFonts w:cs="Segoe UI"/>
                <w:noProof w:val="0"/>
                <w:color w:val="FFFFFF"/>
                <w:szCs w:val="16"/>
              </w:rPr>
              <w:t>Net area in 1990 (ha)</w:t>
            </w:r>
          </w:p>
        </w:tc>
        <w:tc>
          <w:tcPr>
            <w:tcW w:w="1294" w:type="dxa"/>
            <w:vMerge w:val="restart"/>
            <w:tcBorders>
              <w:top w:val="single" w:sz="4" w:space="0" w:color="1B556B"/>
              <w:bottom w:val="single" w:sz="4" w:space="0" w:color="1B556B"/>
            </w:tcBorders>
            <w:shd w:val="clear" w:color="auto" w:fill="1B556B"/>
            <w:vAlign w:val="bottom"/>
          </w:tcPr>
          <w:p w14:paraId="6D835B26" w14:textId="77777777" w:rsidR="0010265C" w:rsidRPr="00261B7A" w:rsidRDefault="0010265C" w:rsidP="00D41492">
            <w:pPr>
              <w:pStyle w:val="TableTextBold"/>
              <w:keepNext/>
              <w:spacing w:before="40" w:after="40"/>
              <w:jc w:val="right"/>
              <w:rPr>
                <w:rFonts w:cs="Segoe UI"/>
                <w:noProof w:val="0"/>
                <w:color w:val="FFFFFF"/>
                <w:szCs w:val="16"/>
              </w:rPr>
            </w:pPr>
            <w:r w:rsidRPr="00261B7A">
              <w:rPr>
                <w:rFonts w:cs="Segoe UI"/>
                <w:noProof w:val="0"/>
                <w:color w:val="FFFFFF"/>
                <w:szCs w:val="16"/>
              </w:rPr>
              <w:t>Net area in 2021 (ha)</w:t>
            </w:r>
          </w:p>
        </w:tc>
        <w:tc>
          <w:tcPr>
            <w:tcW w:w="1172" w:type="dxa"/>
            <w:vMerge w:val="restart"/>
            <w:tcBorders>
              <w:top w:val="single" w:sz="4" w:space="0" w:color="1B556B"/>
              <w:bottom w:val="single" w:sz="4" w:space="0" w:color="1B556B"/>
            </w:tcBorders>
            <w:shd w:val="clear" w:color="auto" w:fill="1B556B"/>
            <w:vAlign w:val="bottom"/>
          </w:tcPr>
          <w:p w14:paraId="634C9FA9" w14:textId="77777777" w:rsidR="0010265C" w:rsidRPr="00261B7A" w:rsidRDefault="0010265C" w:rsidP="00D41492">
            <w:pPr>
              <w:pStyle w:val="TableTextBold"/>
              <w:keepNext/>
              <w:spacing w:before="40" w:after="40"/>
              <w:jc w:val="right"/>
              <w:rPr>
                <w:rFonts w:cs="Segoe UI"/>
                <w:noProof w:val="0"/>
                <w:color w:val="FFFFFF"/>
                <w:szCs w:val="16"/>
              </w:rPr>
            </w:pPr>
            <w:r w:rsidRPr="00261B7A">
              <w:rPr>
                <w:rFonts w:cs="Segoe UI"/>
                <w:noProof w:val="0"/>
                <w:color w:val="FFFFFF"/>
                <w:szCs w:val="16"/>
              </w:rPr>
              <w:t>Change from 1990 (%)</w:t>
            </w:r>
          </w:p>
        </w:tc>
        <w:tc>
          <w:tcPr>
            <w:tcW w:w="2173" w:type="dxa"/>
            <w:gridSpan w:val="2"/>
            <w:tcBorders>
              <w:top w:val="single" w:sz="4" w:space="0" w:color="1B556B"/>
              <w:bottom w:val="single" w:sz="4" w:space="0" w:color="1B556B"/>
            </w:tcBorders>
            <w:shd w:val="clear" w:color="auto" w:fill="1B556B"/>
            <w:vAlign w:val="bottom"/>
          </w:tcPr>
          <w:p w14:paraId="0D96151A" w14:textId="77777777" w:rsidR="0010265C" w:rsidRPr="00261B7A" w:rsidRDefault="0010265C" w:rsidP="00D41492">
            <w:pPr>
              <w:pStyle w:val="TableTextBold"/>
              <w:keepNext/>
              <w:spacing w:before="40" w:after="40"/>
              <w:jc w:val="center"/>
              <w:rPr>
                <w:rFonts w:cs="Segoe UI"/>
                <w:noProof w:val="0"/>
                <w:color w:val="FFFFFF"/>
                <w:szCs w:val="16"/>
              </w:rPr>
            </w:pPr>
            <w:r w:rsidRPr="00261B7A">
              <w:rPr>
                <w:rFonts w:cs="Segoe UI"/>
                <w:noProof w:val="0"/>
                <w:color w:val="FFFFFF"/>
                <w:szCs w:val="16"/>
              </w:rPr>
              <w:t xml:space="preserve">Net emissions </w:t>
            </w:r>
            <w:r w:rsidRPr="00261B7A">
              <w:rPr>
                <w:rFonts w:cs="Segoe UI"/>
                <w:noProof w:val="0"/>
                <w:color w:val="FFFFFF"/>
                <w:szCs w:val="16"/>
              </w:rPr>
              <w:br/>
              <w:t>(kt CO</w:t>
            </w:r>
            <w:r w:rsidRPr="00261B7A">
              <w:rPr>
                <w:rFonts w:cs="Segoe UI"/>
                <w:noProof w:val="0"/>
                <w:color w:val="FFFFFF"/>
                <w:szCs w:val="16"/>
                <w:vertAlign w:val="subscript"/>
              </w:rPr>
              <w:t>2</w:t>
            </w:r>
            <w:r w:rsidRPr="00261B7A">
              <w:rPr>
                <w:rFonts w:cs="Segoe UI"/>
                <w:noProof w:val="0"/>
                <w:color w:val="FFFFFF"/>
                <w:szCs w:val="16"/>
              </w:rPr>
              <w:t xml:space="preserve"> only)</w:t>
            </w:r>
          </w:p>
        </w:tc>
        <w:tc>
          <w:tcPr>
            <w:tcW w:w="1031" w:type="dxa"/>
            <w:vMerge w:val="restart"/>
            <w:tcBorders>
              <w:top w:val="single" w:sz="4" w:space="0" w:color="1B556B"/>
              <w:bottom w:val="single" w:sz="4" w:space="0" w:color="1B556B"/>
            </w:tcBorders>
            <w:shd w:val="clear" w:color="auto" w:fill="1B556B"/>
            <w:vAlign w:val="bottom"/>
          </w:tcPr>
          <w:p w14:paraId="51B43FD7" w14:textId="77777777" w:rsidR="0010265C" w:rsidRPr="00261B7A" w:rsidRDefault="0010265C" w:rsidP="00D41492">
            <w:pPr>
              <w:pStyle w:val="TableTextBold"/>
              <w:keepNext/>
              <w:spacing w:before="40" w:after="40"/>
              <w:jc w:val="right"/>
              <w:rPr>
                <w:rFonts w:cs="Segoe UI"/>
                <w:noProof w:val="0"/>
                <w:color w:val="FFFFFF"/>
                <w:szCs w:val="16"/>
              </w:rPr>
            </w:pPr>
            <w:r w:rsidRPr="00261B7A">
              <w:rPr>
                <w:rFonts w:cs="Segoe UI"/>
                <w:noProof w:val="0"/>
                <w:color w:val="FFFFFF"/>
                <w:szCs w:val="16"/>
              </w:rPr>
              <w:t>Change from 1990 (%)</w:t>
            </w:r>
          </w:p>
        </w:tc>
      </w:tr>
      <w:tr w:rsidR="0010265C" w:rsidRPr="00261B7A" w14:paraId="207AD678" w14:textId="77777777" w:rsidTr="00B10054">
        <w:tc>
          <w:tcPr>
            <w:tcW w:w="1560" w:type="dxa"/>
            <w:vMerge/>
            <w:tcBorders>
              <w:top w:val="single" w:sz="4" w:space="0" w:color="1B556B"/>
              <w:bottom w:val="single" w:sz="4" w:space="0" w:color="1B556B"/>
            </w:tcBorders>
            <w:shd w:val="clear" w:color="auto" w:fill="1B556B"/>
          </w:tcPr>
          <w:p w14:paraId="65E7F088" w14:textId="77777777" w:rsidR="0010265C" w:rsidRPr="00261B7A" w:rsidRDefault="0010265C" w:rsidP="00D41492">
            <w:pPr>
              <w:pStyle w:val="TableText"/>
              <w:keepNext/>
              <w:spacing w:before="40" w:after="40"/>
              <w:rPr>
                <w:rFonts w:cs="Segoe UI"/>
                <w:szCs w:val="16"/>
              </w:rPr>
            </w:pPr>
          </w:p>
        </w:tc>
        <w:tc>
          <w:tcPr>
            <w:tcW w:w="1275" w:type="dxa"/>
            <w:vMerge/>
            <w:tcBorders>
              <w:top w:val="single" w:sz="4" w:space="0" w:color="1B556B"/>
              <w:bottom w:val="single" w:sz="4" w:space="0" w:color="1B556B"/>
            </w:tcBorders>
            <w:shd w:val="clear" w:color="auto" w:fill="1B556B"/>
          </w:tcPr>
          <w:p w14:paraId="0E037D3B" w14:textId="77777777" w:rsidR="0010265C" w:rsidRPr="00261B7A" w:rsidRDefault="0010265C" w:rsidP="00D41492">
            <w:pPr>
              <w:pStyle w:val="TableText"/>
              <w:keepNext/>
              <w:spacing w:before="40" w:after="40"/>
              <w:jc w:val="right"/>
              <w:rPr>
                <w:rFonts w:cs="Segoe UI"/>
                <w:szCs w:val="16"/>
              </w:rPr>
            </w:pPr>
          </w:p>
        </w:tc>
        <w:tc>
          <w:tcPr>
            <w:tcW w:w="1294" w:type="dxa"/>
            <w:vMerge/>
            <w:tcBorders>
              <w:top w:val="single" w:sz="4" w:space="0" w:color="1B556B"/>
              <w:bottom w:val="single" w:sz="4" w:space="0" w:color="1B556B"/>
            </w:tcBorders>
            <w:shd w:val="clear" w:color="auto" w:fill="1B556B"/>
          </w:tcPr>
          <w:p w14:paraId="36E80285" w14:textId="77777777" w:rsidR="0010265C" w:rsidRPr="00261B7A" w:rsidRDefault="0010265C" w:rsidP="00D41492">
            <w:pPr>
              <w:pStyle w:val="TableText"/>
              <w:keepNext/>
              <w:spacing w:before="40" w:after="40"/>
              <w:jc w:val="right"/>
              <w:rPr>
                <w:rFonts w:cs="Segoe UI"/>
                <w:szCs w:val="16"/>
              </w:rPr>
            </w:pPr>
          </w:p>
        </w:tc>
        <w:tc>
          <w:tcPr>
            <w:tcW w:w="1172" w:type="dxa"/>
            <w:vMerge/>
            <w:tcBorders>
              <w:top w:val="single" w:sz="4" w:space="0" w:color="1B556B"/>
              <w:bottom w:val="single" w:sz="4" w:space="0" w:color="1B556B"/>
            </w:tcBorders>
            <w:shd w:val="clear" w:color="auto" w:fill="1B556B"/>
          </w:tcPr>
          <w:p w14:paraId="7DB58A18" w14:textId="77777777" w:rsidR="0010265C" w:rsidRPr="00261B7A" w:rsidRDefault="0010265C" w:rsidP="00D41492">
            <w:pPr>
              <w:pStyle w:val="TableTextBold"/>
              <w:keepNext/>
              <w:spacing w:before="40" w:after="40"/>
              <w:jc w:val="right"/>
              <w:rPr>
                <w:rFonts w:cs="Segoe UI"/>
                <w:b w:val="0"/>
                <w:noProof w:val="0"/>
                <w:color w:val="FFFFFF"/>
                <w:szCs w:val="16"/>
              </w:rPr>
            </w:pPr>
          </w:p>
        </w:tc>
        <w:tc>
          <w:tcPr>
            <w:tcW w:w="1091" w:type="dxa"/>
            <w:tcBorders>
              <w:top w:val="single" w:sz="4" w:space="0" w:color="1B556B"/>
              <w:bottom w:val="single" w:sz="4" w:space="0" w:color="1B556B"/>
            </w:tcBorders>
            <w:shd w:val="clear" w:color="auto" w:fill="1B556B"/>
          </w:tcPr>
          <w:p w14:paraId="387FBC7F" w14:textId="77777777" w:rsidR="0010265C" w:rsidRPr="00261B7A" w:rsidRDefault="0010265C" w:rsidP="00D41492">
            <w:pPr>
              <w:pStyle w:val="TableText"/>
              <w:keepNext/>
              <w:spacing w:before="40" w:after="40"/>
              <w:jc w:val="right"/>
              <w:rPr>
                <w:rFonts w:cs="Segoe UI"/>
                <w:b/>
                <w:color w:val="FFFFFF"/>
                <w:szCs w:val="16"/>
              </w:rPr>
            </w:pPr>
            <w:r w:rsidRPr="00261B7A">
              <w:rPr>
                <w:rFonts w:cs="Segoe UI"/>
                <w:b/>
                <w:color w:val="FFFFFF"/>
                <w:szCs w:val="16"/>
              </w:rPr>
              <w:t>1990</w:t>
            </w:r>
          </w:p>
        </w:tc>
        <w:tc>
          <w:tcPr>
            <w:tcW w:w="1082" w:type="dxa"/>
            <w:tcBorders>
              <w:top w:val="single" w:sz="4" w:space="0" w:color="1B556B"/>
              <w:bottom w:val="single" w:sz="4" w:space="0" w:color="1B556B"/>
            </w:tcBorders>
            <w:shd w:val="clear" w:color="auto" w:fill="1B556B"/>
          </w:tcPr>
          <w:p w14:paraId="176F1EB1" w14:textId="77777777" w:rsidR="0010265C" w:rsidRPr="00261B7A" w:rsidRDefault="0010265C" w:rsidP="00D41492">
            <w:pPr>
              <w:pStyle w:val="TableText"/>
              <w:keepNext/>
              <w:spacing w:before="40" w:after="40"/>
              <w:jc w:val="right"/>
              <w:rPr>
                <w:rFonts w:cs="Segoe UI"/>
                <w:b/>
                <w:color w:val="FFFFFF"/>
                <w:szCs w:val="16"/>
              </w:rPr>
            </w:pPr>
            <w:r w:rsidRPr="00261B7A">
              <w:rPr>
                <w:rFonts w:cs="Segoe UI"/>
                <w:b/>
                <w:color w:val="FFFFFF"/>
                <w:szCs w:val="16"/>
              </w:rPr>
              <w:t>2021</w:t>
            </w:r>
          </w:p>
        </w:tc>
        <w:tc>
          <w:tcPr>
            <w:tcW w:w="1031" w:type="dxa"/>
            <w:vMerge/>
            <w:tcBorders>
              <w:top w:val="single" w:sz="4" w:space="0" w:color="1B556B"/>
              <w:bottom w:val="single" w:sz="4" w:space="0" w:color="1B556B"/>
            </w:tcBorders>
            <w:shd w:val="clear" w:color="auto" w:fill="1B556B"/>
          </w:tcPr>
          <w:p w14:paraId="1CF93BE1" w14:textId="77777777" w:rsidR="0010265C" w:rsidRPr="00261B7A" w:rsidRDefault="0010265C" w:rsidP="00D41492">
            <w:pPr>
              <w:pStyle w:val="TableText"/>
              <w:keepNext/>
              <w:spacing w:before="40" w:after="40"/>
              <w:jc w:val="right"/>
              <w:rPr>
                <w:rFonts w:cs="Segoe UI"/>
                <w:szCs w:val="16"/>
              </w:rPr>
            </w:pPr>
          </w:p>
        </w:tc>
      </w:tr>
      <w:tr w:rsidR="0010265C" w:rsidRPr="00261B7A" w14:paraId="4766871F" w14:textId="77777777" w:rsidTr="00B10054">
        <w:tc>
          <w:tcPr>
            <w:tcW w:w="1560" w:type="dxa"/>
            <w:tcBorders>
              <w:top w:val="single" w:sz="4" w:space="0" w:color="1B556B"/>
              <w:bottom w:val="single" w:sz="4" w:space="0" w:color="1B556B"/>
            </w:tcBorders>
          </w:tcPr>
          <w:p w14:paraId="2382881F" w14:textId="77777777" w:rsidR="0010265C" w:rsidRPr="00261B7A" w:rsidRDefault="0010265C" w:rsidP="00B10054">
            <w:pPr>
              <w:pStyle w:val="TableText"/>
              <w:spacing w:before="40" w:after="40"/>
              <w:rPr>
                <w:rFonts w:cs="Segoe UI"/>
                <w:szCs w:val="16"/>
              </w:rPr>
            </w:pPr>
            <w:r w:rsidRPr="00261B7A">
              <w:rPr>
                <w:rFonts w:cs="Segoe UI"/>
                <w:szCs w:val="16"/>
              </w:rPr>
              <w:t>Annual cropland</w:t>
            </w:r>
          </w:p>
        </w:tc>
        <w:tc>
          <w:tcPr>
            <w:tcW w:w="1275" w:type="dxa"/>
            <w:tcBorders>
              <w:top w:val="single" w:sz="4" w:space="0" w:color="1B556B"/>
              <w:bottom w:val="single" w:sz="4" w:space="0" w:color="1B556B"/>
            </w:tcBorders>
            <w:vAlign w:val="center"/>
          </w:tcPr>
          <w:p w14:paraId="61ACCE86" w14:textId="77777777" w:rsidR="0010265C" w:rsidRPr="00261B7A" w:rsidRDefault="0010265C" w:rsidP="00B10054">
            <w:pPr>
              <w:pStyle w:val="TableText"/>
              <w:keepNext/>
              <w:spacing w:before="40" w:after="40"/>
              <w:jc w:val="right"/>
              <w:rPr>
                <w:rFonts w:cs="Segoe UI"/>
                <w:szCs w:val="16"/>
              </w:rPr>
            </w:pPr>
            <w:r w:rsidRPr="00261B7A">
              <w:rPr>
                <w:rFonts w:cs="Calibri"/>
                <w:color w:val="000000"/>
                <w:szCs w:val="16"/>
              </w:rPr>
              <w:t>354,898</w:t>
            </w:r>
          </w:p>
        </w:tc>
        <w:tc>
          <w:tcPr>
            <w:tcW w:w="1294" w:type="dxa"/>
            <w:tcBorders>
              <w:top w:val="single" w:sz="4" w:space="0" w:color="1B556B"/>
              <w:bottom w:val="single" w:sz="4" w:space="0" w:color="1B556B"/>
            </w:tcBorders>
            <w:vAlign w:val="center"/>
          </w:tcPr>
          <w:p w14:paraId="3D7BCC89" w14:textId="77777777" w:rsidR="0010265C" w:rsidRPr="00261B7A" w:rsidRDefault="0010265C" w:rsidP="00B10054">
            <w:pPr>
              <w:pStyle w:val="TableText"/>
              <w:keepNext/>
              <w:spacing w:before="40" w:after="40"/>
              <w:jc w:val="right"/>
              <w:rPr>
                <w:rFonts w:cs="Segoe UI"/>
                <w:szCs w:val="16"/>
              </w:rPr>
            </w:pPr>
            <w:r w:rsidRPr="00261B7A">
              <w:rPr>
                <w:rFonts w:cs="Calibri"/>
                <w:color w:val="000000"/>
                <w:szCs w:val="16"/>
              </w:rPr>
              <w:t>371,235</w:t>
            </w:r>
          </w:p>
        </w:tc>
        <w:tc>
          <w:tcPr>
            <w:tcW w:w="1172" w:type="dxa"/>
            <w:tcBorders>
              <w:top w:val="single" w:sz="4" w:space="0" w:color="1B556B"/>
              <w:bottom w:val="single" w:sz="4" w:space="0" w:color="1B556B"/>
            </w:tcBorders>
            <w:vAlign w:val="center"/>
          </w:tcPr>
          <w:p w14:paraId="51628626" w14:textId="77777777" w:rsidR="0010265C" w:rsidRPr="00261B7A" w:rsidRDefault="0010265C" w:rsidP="00B10054">
            <w:pPr>
              <w:pStyle w:val="TableText"/>
              <w:keepNext/>
              <w:spacing w:before="40" w:after="40"/>
              <w:jc w:val="right"/>
              <w:rPr>
                <w:rFonts w:cs="Segoe UI"/>
                <w:szCs w:val="16"/>
              </w:rPr>
            </w:pPr>
            <w:r w:rsidRPr="00261B7A">
              <w:rPr>
                <w:rFonts w:cs="Calibri"/>
                <w:color w:val="000000"/>
                <w:szCs w:val="16"/>
              </w:rPr>
              <w:t>+4.6</w:t>
            </w:r>
          </w:p>
        </w:tc>
        <w:tc>
          <w:tcPr>
            <w:tcW w:w="1091" w:type="dxa"/>
            <w:tcBorders>
              <w:top w:val="single" w:sz="4" w:space="0" w:color="1B556B"/>
              <w:bottom w:val="single" w:sz="4" w:space="0" w:color="1B556B"/>
            </w:tcBorders>
            <w:vAlign w:val="center"/>
          </w:tcPr>
          <w:p w14:paraId="4BC14C9A" w14:textId="77777777" w:rsidR="0010265C" w:rsidRPr="00261B7A" w:rsidRDefault="0010265C" w:rsidP="00B10054">
            <w:pPr>
              <w:pStyle w:val="TableText"/>
              <w:keepNext/>
              <w:spacing w:before="40" w:after="40"/>
              <w:jc w:val="right"/>
              <w:rPr>
                <w:rFonts w:cs="Segoe UI"/>
                <w:szCs w:val="16"/>
              </w:rPr>
            </w:pPr>
            <w:r w:rsidRPr="00261B7A">
              <w:rPr>
                <w:rFonts w:cs="Calibri"/>
                <w:szCs w:val="16"/>
              </w:rPr>
              <w:t>342.9</w:t>
            </w:r>
          </w:p>
        </w:tc>
        <w:tc>
          <w:tcPr>
            <w:tcW w:w="1082" w:type="dxa"/>
            <w:tcBorders>
              <w:top w:val="single" w:sz="4" w:space="0" w:color="1B556B"/>
              <w:bottom w:val="single" w:sz="4" w:space="0" w:color="1B556B"/>
            </w:tcBorders>
            <w:vAlign w:val="center"/>
          </w:tcPr>
          <w:p w14:paraId="51A47FE5" w14:textId="77777777" w:rsidR="0010265C" w:rsidRPr="00261B7A" w:rsidRDefault="0010265C" w:rsidP="00B10054">
            <w:pPr>
              <w:pStyle w:val="TableText"/>
              <w:keepNext/>
              <w:spacing w:before="40" w:after="40"/>
              <w:jc w:val="right"/>
              <w:rPr>
                <w:rFonts w:cs="Segoe UI"/>
                <w:szCs w:val="16"/>
              </w:rPr>
            </w:pPr>
            <w:r w:rsidRPr="00261B7A">
              <w:rPr>
                <w:rFonts w:cs="Calibri"/>
                <w:szCs w:val="16"/>
              </w:rPr>
              <w:t>306.8</w:t>
            </w:r>
          </w:p>
        </w:tc>
        <w:tc>
          <w:tcPr>
            <w:tcW w:w="1031" w:type="dxa"/>
            <w:tcBorders>
              <w:top w:val="single" w:sz="4" w:space="0" w:color="1B556B"/>
              <w:bottom w:val="single" w:sz="4" w:space="0" w:color="1B556B"/>
            </w:tcBorders>
            <w:vAlign w:val="center"/>
          </w:tcPr>
          <w:p w14:paraId="2ECB46C4" w14:textId="77777777" w:rsidR="0010265C" w:rsidRPr="00261B7A" w:rsidRDefault="0010265C" w:rsidP="00B10054">
            <w:pPr>
              <w:pStyle w:val="TableText"/>
              <w:keepNext/>
              <w:spacing w:before="40" w:after="40"/>
              <w:jc w:val="right"/>
              <w:rPr>
                <w:rFonts w:cs="Segoe UI"/>
                <w:szCs w:val="16"/>
              </w:rPr>
            </w:pPr>
            <w:r w:rsidRPr="00261B7A">
              <w:rPr>
                <w:rFonts w:cs="Calibri"/>
                <w:szCs w:val="16"/>
              </w:rPr>
              <w:t>–10.6</w:t>
            </w:r>
          </w:p>
        </w:tc>
      </w:tr>
      <w:tr w:rsidR="0010265C" w:rsidRPr="00261B7A" w14:paraId="4FC7B477" w14:textId="77777777" w:rsidTr="00B10054">
        <w:tc>
          <w:tcPr>
            <w:tcW w:w="1560" w:type="dxa"/>
            <w:tcBorders>
              <w:top w:val="single" w:sz="4" w:space="0" w:color="1B556B"/>
              <w:bottom w:val="single" w:sz="4" w:space="0" w:color="1B556B"/>
            </w:tcBorders>
          </w:tcPr>
          <w:p w14:paraId="435A99C3" w14:textId="77777777" w:rsidR="0010265C" w:rsidRPr="00261B7A" w:rsidRDefault="0010265C" w:rsidP="00B10054">
            <w:pPr>
              <w:pStyle w:val="TableText"/>
              <w:spacing w:before="40" w:after="40"/>
              <w:rPr>
                <w:rFonts w:cs="Segoe UI"/>
                <w:szCs w:val="16"/>
              </w:rPr>
            </w:pPr>
            <w:r w:rsidRPr="00261B7A">
              <w:rPr>
                <w:rFonts w:cs="Segoe UI"/>
                <w:szCs w:val="16"/>
              </w:rPr>
              <w:t>Perennial cropland</w:t>
            </w:r>
          </w:p>
        </w:tc>
        <w:tc>
          <w:tcPr>
            <w:tcW w:w="1275" w:type="dxa"/>
            <w:tcBorders>
              <w:top w:val="single" w:sz="4" w:space="0" w:color="1B556B"/>
              <w:bottom w:val="single" w:sz="4" w:space="0" w:color="1B556B"/>
            </w:tcBorders>
            <w:vAlign w:val="center"/>
          </w:tcPr>
          <w:p w14:paraId="05C99E18" w14:textId="77777777" w:rsidR="0010265C" w:rsidRPr="00261B7A" w:rsidRDefault="0010265C" w:rsidP="00B10054">
            <w:pPr>
              <w:pStyle w:val="TableText"/>
              <w:keepNext/>
              <w:spacing w:before="40" w:after="40"/>
              <w:jc w:val="right"/>
              <w:rPr>
                <w:rFonts w:cs="Segoe UI"/>
                <w:szCs w:val="16"/>
              </w:rPr>
            </w:pPr>
            <w:r w:rsidRPr="00261B7A">
              <w:rPr>
                <w:rFonts w:cs="Calibri"/>
                <w:color w:val="000000"/>
                <w:szCs w:val="16"/>
              </w:rPr>
              <w:t>69,014</w:t>
            </w:r>
          </w:p>
        </w:tc>
        <w:tc>
          <w:tcPr>
            <w:tcW w:w="1294" w:type="dxa"/>
            <w:tcBorders>
              <w:top w:val="single" w:sz="4" w:space="0" w:color="1B556B"/>
              <w:bottom w:val="single" w:sz="4" w:space="0" w:color="1B556B"/>
            </w:tcBorders>
            <w:vAlign w:val="center"/>
          </w:tcPr>
          <w:p w14:paraId="22C2A070" w14:textId="77777777" w:rsidR="0010265C" w:rsidRPr="00261B7A" w:rsidRDefault="0010265C" w:rsidP="00B10054">
            <w:pPr>
              <w:pStyle w:val="TableText"/>
              <w:keepNext/>
              <w:spacing w:before="40" w:after="40"/>
              <w:jc w:val="right"/>
              <w:rPr>
                <w:rFonts w:cs="Segoe UI"/>
                <w:szCs w:val="16"/>
              </w:rPr>
            </w:pPr>
            <w:r w:rsidRPr="00261B7A">
              <w:rPr>
                <w:rFonts w:cs="Calibri"/>
                <w:color w:val="000000"/>
                <w:szCs w:val="16"/>
              </w:rPr>
              <w:t>105,493</w:t>
            </w:r>
          </w:p>
        </w:tc>
        <w:tc>
          <w:tcPr>
            <w:tcW w:w="1172" w:type="dxa"/>
            <w:tcBorders>
              <w:top w:val="single" w:sz="4" w:space="0" w:color="1B556B"/>
              <w:bottom w:val="single" w:sz="4" w:space="0" w:color="1B556B"/>
            </w:tcBorders>
            <w:vAlign w:val="center"/>
          </w:tcPr>
          <w:p w14:paraId="1F91B87D" w14:textId="77777777" w:rsidR="0010265C" w:rsidRPr="00261B7A" w:rsidRDefault="0010265C" w:rsidP="00B10054">
            <w:pPr>
              <w:pStyle w:val="TableText"/>
              <w:keepNext/>
              <w:spacing w:before="40" w:after="40"/>
              <w:jc w:val="right"/>
              <w:rPr>
                <w:rFonts w:cs="Segoe UI"/>
                <w:szCs w:val="16"/>
              </w:rPr>
            </w:pPr>
            <w:r w:rsidRPr="00261B7A">
              <w:rPr>
                <w:rFonts w:cs="Calibri"/>
                <w:color w:val="000000"/>
                <w:szCs w:val="16"/>
              </w:rPr>
              <w:t>+52.9</w:t>
            </w:r>
          </w:p>
        </w:tc>
        <w:tc>
          <w:tcPr>
            <w:tcW w:w="1091" w:type="dxa"/>
            <w:tcBorders>
              <w:top w:val="single" w:sz="4" w:space="0" w:color="1B556B"/>
              <w:bottom w:val="single" w:sz="4" w:space="0" w:color="1B556B"/>
            </w:tcBorders>
            <w:vAlign w:val="center"/>
          </w:tcPr>
          <w:p w14:paraId="345F580C" w14:textId="77777777" w:rsidR="0010265C" w:rsidRPr="00261B7A" w:rsidRDefault="0010265C" w:rsidP="00B10054">
            <w:pPr>
              <w:pStyle w:val="TableText"/>
              <w:keepNext/>
              <w:spacing w:before="40" w:after="40"/>
              <w:jc w:val="right"/>
              <w:rPr>
                <w:rFonts w:cs="Segoe UI"/>
                <w:szCs w:val="16"/>
              </w:rPr>
            </w:pPr>
            <w:r w:rsidRPr="00261B7A">
              <w:rPr>
                <w:rFonts w:cs="Calibri"/>
                <w:color w:val="000000"/>
                <w:szCs w:val="16"/>
              </w:rPr>
              <w:t>126.1</w:t>
            </w:r>
          </w:p>
        </w:tc>
        <w:tc>
          <w:tcPr>
            <w:tcW w:w="1082" w:type="dxa"/>
            <w:tcBorders>
              <w:top w:val="single" w:sz="4" w:space="0" w:color="1B556B"/>
              <w:bottom w:val="single" w:sz="4" w:space="0" w:color="1B556B"/>
            </w:tcBorders>
            <w:vAlign w:val="center"/>
          </w:tcPr>
          <w:p w14:paraId="48C18685" w14:textId="77777777" w:rsidR="0010265C" w:rsidRPr="00261B7A" w:rsidRDefault="0010265C" w:rsidP="00B10054">
            <w:pPr>
              <w:pStyle w:val="TableText"/>
              <w:keepNext/>
              <w:spacing w:before="40" w:after="40"/>
              <w:jc w:val="right"/>
              <w:rPr>
                <w:rFonts w:cs="Segoe UI"/>
                <w:szCs w:val="16"/>
              </w:rPr>
            </w:pPr>
            <w:r w:rsidRPr="00261B7A">
              <w:rPr>
                <w:rFonts w:cs="Calibri"/>
                <w:color w:val="000000"/>
                <w:szCs w:val="16"/>
              </w:rPr>
              <w:t>65.4</w:t>
            </w:r>
          </w:p>
        </w:tc>
        <w:tc>
          <w:tcPr>
            <w:tcW w:w="1031" w:type="dxa"/>
            <w:tcBorders>
              <w:top w:val="single" w:sz="4" w:space="0" w:color="1B556B"/>
              <w:bottom w:val="single" w:sz="4" w:space="0" w:color="1B556B"/>
            </w:tcBorders>
            <w:vAlign w:val="center"/>
          </w:tcPr>
          <w:p w14:paraId="43528511" w14:textId="77777777" w:rsidR="0010265C" w:rsidRPr="00261B7A" w:rsidRDefault="0010265C" w:rsidP="00B10054">
            <w:pPr>
              <w:pStyle w:val="TableText"/>
              <w:keepNext/>
              <w:spacing w:before="40" w:after="40"/>
              <w:jc w:val="right"/>
              <w:rPr>
                <w:rFonts w:cs="Segoe UI"/>
                <w:szCs w:val="16"/>
              </w:rPr>
            </w:pPr>
            <w:r w:rsidRPr="00261B7A">
              <w:rPr>
                <w:rFonts w:cs="Calibri"/>
                <w:szCs w:val="16"/>
              </w:rPr>
              <w:t>–48.1</w:t>
            </w:r>
          </w:p>
        </w:tc>
      </w:tr>
      <w:tr w:rsidR="0010265C" w:rsidRPr="00261B7A" w14:paraId="7D1DB8CF" w14:textId="77777777" w:rsidTr="00B10054">
        <w:tc>
          <w:tcPr>
            <w:tcW w:w="1560" w:type="dxa"/>
            <w:tcBorders>
              <w:top w:val="single" w:sz="4" w:space="0" w:color="1B556B"/>
              <w:bottom w:val="single" w:sz="4" w:space="0" w:color="1B556B"/>
            </w:tcBorders>
          </w:tcPr>
          <w:p w14:paraId="3B632A86" w14:textId="77777777" w:rsidR="0010265C" w:rsidRPr="00261B7A" w:rsidRDefault="0010265C" w:rsidP="00B10054">
            <w:pPr>
              <w:pStyle w:val="Tableboldblue"/>
              <w:spacing w:before="40" w:after="40"/>
              <w:jc w:val="right"/>
              <w:rPr>
                <w:rFonts w:cs="Segoe UI"/>
              </w:rPr>
            </w:pPr>
            <w:r w:rsidRPr="00261B7A">
              <w:rPr>
                <w:rFonts w:cs="Segoe UI"/>
              </w:rPr>
              <w:t>Total</w:t>
            </w:r>
          </w:p>
        </w:tc>
        <w:tc>
          <w:tcPr>
            <w:tcW w:w="1275" w:type="dxa"/>
            <w:tcBorders>
              <w:top w:val="single" w:sz="4" w:space="0" w:color="1B556B"/>
              <w:bottom w:val="single" w:sz="4" w:space="0" w:color="1B556B"/>
            </w:tcBorders>
            <w:vAlign w:val="center"/>
          </w:tcPr>
          <w:p w14:paraId="666322BB" w14:textId="77777777" w:rsidR="0010265C" w:rsidRPr="00261B7A" w:rsidRDefault="0010265C" w:rsidP="00B10054">
            <w:pPr>
              <w:pStyle w:val="Tableboldblue"/>
              <w:spacing w:before="40" w:after="40"/>
              <w:jc w:val="right"/>
              <w:rPr>
                <w:rFonts w:cs="Segoe UI"/>
                <w:color w:val="1B556B"/>
              </w:rPr>
            </w:pPr>
            <w:r w:rsidRPr="00261B7A">
              <w:rPr>
                <w:rFonts w:cs="Calibri"/>
                <w:color w:val="1B556B"/>
                <w:szCs w:val="16"/>
              </w:rPr>
              <w:t>423,912</w:t>
            </w:r>
          </w:p>
        </w:tc>
        <w:tc>
          <w:tcPr>
            <w:tcW w:w="1294" w:type="dxa"/>
            <w:tcBorders>
              <w:top w:val="single" w:sz="4" w:space="0" w:color="1B556B"/>
              <w:bottom w:val="single" w:sz="4" w:space="0" w:color="1B556B"/>
            </w:tcBorders>
            <w:vAlign w:val="center"/>
          </w:tcPr>
          <w:p w14:paraId="043847CA" w14:textId="77777777" w:rsidR="0010265C" w:rsidRPr="00261B7A" w:rsidRDefault="0010265C" w:rsidP="00B10054">
            <w:pPr>
              <w:pStyle w:val="Tableboldblue"/>
              <w:spacing w:before="40" w:after="40"/>
              <w:jc w:val="right"/>
              <w:rPr>
                <w:rFonts w:cs="Segoe UI"/>
                <w:color w:val="1B556B"/>
              </w:rPr>
            </w:pPr>
            <w:r w:rsidRPr="00261B7A">
              <w:rPr>
                <w:rFonts w:cs="Calibri"/>
                <w:color w:val="1B556B"/>
                <w:szCs w:val="16"/>
              </w:rPr>
              <w:t>476,728</w:t>
            </w:r>
          </w:p>
        </w:tc>
        <w:tc>
          <w:tcPr>
            <w:tcW w:w="1172" w:type="dxa"/>
            <w:tcBorders>
              <w:top w:val="single" w:sz="4" w:space="0" w:color="1B556B"/>
              <w:bottom w:val="single" w:sz="4" w:space="0" w:color="1B556B"/>
            </w:tcBorders>
            <w:vAlign w:val="center"/>
          </w:tcPr>
          <w:p w14:paraId="7E26BA6A" w14:textId="77777777" w:rsidR="0010265C" w:rsidRPr="00261B7A" w:rsidRDefault="0010265C" w:rsidP="00B10054">
            <w:pPr>
              <w:pStyle w:val="Tableboldblue"/>
              <w:spacing w:before="40" w:after="40"/>
              <w:jc w:val="right"/>
              <w:rPr>
                <w:rFonts w:cs="Segoe UI"/>
                <w:color w:val="1B556B"/>
              </w:rPr>
            </w:pPr>
            <w:r w:rsidRPr="00261B7A">
              <w:rPr>
                <w:rFonts w:cs="Calibri"/>
                <w:color w:val="1B556B"/>
                <w:szCs w:val="16"/>
              </w:rPr>
              <w:t>+12.5</w:t>
            </w:r>
          </w:p>
        </w:tc>
        <w:tc>
          <w:tcPr>
            <w:tcW w:w="1091" w:type="dxa"/>
            <w:tcBorders>
              <w:top w:val="single" w:sz="4" w:space="0" w:color="1B556B"/>
              <w:bottom w:val="single" w:sz="4" w:space="0" w:color="1B556B"/>
            </w:tcBorders>
            <w:vAlign w:val="center"/>
          </w:tcPr>
          <w:p w14:paraId="2ECA70E4" w14:textId="77777777" w:rsidR="0010265C" w:rsidRPr="00261B7A" w:rsidRDefault="0010265C" w:rsidP="00B10054">
            <w:pPr>
              <w:pStyle w:val="Tableboldblue"/>
              <w:spacing w:before="40" w:after="40"/>
              <w:jc w:val="right"/>
              <w:rPr>
                <w:rFonts w:cs="Segoe UI"/>
                <w:color w:val="1B556B"/>
              </w:rPr>
            </w:pPr>
            <w:r w:rsidRPr="00261B7A">
              <w:rPr>
                <w:rFonts w:cs="Calibri"/>
                <w:color w:val="1B556B"/>
                <w:szCs w:val="16"/>
              </w:rPr>
              <w:t>469.0</w:t>
            </w:r>
          </w:p>
        </w:tc>
        <w:tc>
          <w:tcPr>
            <w:tcW w:w="1082" w:type="dxa"/>
            <w:tcBorders>
              <w:top w:val="single" w:sz="4" w:space="0" w:color="1B556B"/>
              <w:bottom w:val="single" w:sz="4" w:space="0" w:color="1B556B"/>
            </w:tcBorders>
            <w:vAlign w:val="center"/>
          </w:tcPr>
          <w:p w14:paraId="2759A263" w14:textId="77777777" w:rsidR="0010265C" w:rsidRPr="00261B7A" w:rsidRDefault="0010265C" w:rsidP="00B10054">
            <w:pPr>
              <w:pStyle w:val="Tableboldblue"/>
              <w:spacing w:before="40" w:after="40"/>
              <w:jc w:val="right"/>
              <w:rPr>
                <w:rFonts w:cs="Segoe UI"/>
                <w:color w:val="1B556B"/>
              </w:rPr>
            </w:pPr>
            <w:r w:rsidRPr="00261B7A">
              <w:rPr>
                <w:rFonts w:cs="Calibri"/>
                <w:color w:val="1B556B"/>
                <w:szCs w:val="16"/>
              </w:rPr>
              <w:t>372.2</w:t>
            </w:r>
          </w:p>
        </w:tc>
        <w:tc>
          <w:tcPr>
            <w:tcW w:w="1031" w:type="dxa"/>
            <w:tcBorders>
              <w:top w:val="single" w:sz="4" w:space="0" w:color="1B556B"/>
              <w:bottom w:val="single" w:sz="4" w:space="0" w:color="1B556B"/>
            </w:tcBorders>
            <w:vAlign w:val="center"/>
          </w:tcPr>
          <w:p w14:paraId="34B77559" w14:textId="77777777" w:rsidR="0010265C" w:rsidRPr="00261B7A" w:rsidRDefault="0010265C" w:rsidP="00B10054">
            <w:pPr>
              <w:pStyle w:val="Tableboldblue"/>
              <w:spacing w:before="40" w:after="40"/>
              <w:jc w:val="right"/>
              <w:rPr>
                <w:rFonts w:cs="Segoe UI"/>
                <w:color w:val="1B556B"/>
              </w:rPr>
            </w:pPr>
            <w:r w:rsidRPr="00261B7A">
              <w:rPr>
                <w:rFonts w:cs="Calibri"/>
                <w:color w:val="1B556B"/>
                <w:szCs w:val="16"/>
              </w:rPr>
              <w:t>–20.6</w:t>
            </w:r>
          </w:p>
        </w:tc>
      </w:tr>
    </w:tbl>
    <w:p w14:paraId="7847E976" w14:textId="77777777" w:rsidR="0010265C" w:rsidRPr="00261B7A" w:rsidRDefault="0010265C" w:rsidP="0010265C">
      <w:pPr>
        <w:pStyle w:val="Noteundertable"/>
      </w:pPr>
      <w:r w:rsidRPr="00261B7A">
        <w:rPr>
          <w:b/>
        </w:rPr>
        <w:t>Note:</w:t>
      </w:r>
      <w:r w:rsidRPr="00261B7A">
        <w:rPr>
          <w:b/>
        </w:rPr>
        <w:tab/>
      </w:r>
      <w:r w:rsidRPr="00261B7A">
        <w:t>Net area in 1990 is as at 1 January 1990; net area in 2021 is as at 31 December. This table includes CO</w:t>
      </w:r>
      <w:r w:rsidRPr="00261B7A">
        <w:rPr>
          <w:vertAlign w:val="subscript"/>
        </w:rPr>
        <w:t>2</w:t>
      </w:r>
      <w:r w:rsidRPr="00261B7A">
        <w:t xml:space="preserve"> emissions from carbon stock change only. Columns may not total due to rounding.</w:t>
      </w:r>
    </w:p>
    <w:p w14:paraId="79D45544" w14:textId="77777777" w:rsidR="0010265C" w:rsidRPr="00261B7A" w:rsidRDefault="0010265C" w:rsidP="0010265C">
      <w:pPr>
        <w:pStyle w:val="BodyText"/>
      </w:pPr>
      <w:r w:rsidRPr="00261B7A">
        <w:t xml:space="preserve">A summary of land-use change within the </w:t>
      </w:r>
      <w:r w:rsidRPr="00261B7A">
        <w:rPr>
          <w:i/>
        </w:rPr>
        <w:t>Cropland</w:t>
      </w:r>
      <w:r w:rsidRPr="00261B7A">
        <w:t xml:space="preserve"> category, by land use type and land conversion status, is provided in table 6.4.4. This shows that land-use change within the </w:t>
      </w:r>
      <w:r w:rsidRPr="00261B7A">
        <w:rPr>
          <w:i/>
        </w:rPr>
        <w:t>Cropland</w:t>
      </w:r>
      <w:r w:rsidRPr="00261B7A">
        <w:t xml:space="preserve"> category has been dominated by conversions to perennial cropland, both from within the </w:t>
      </w:r>
      <w:r w:rsidRPr="00261B7A">
        <w:rPr>
          <w:i/>
        </w:rPr>
        <w:t>Cropland</w:t>
      </w:r>
      <w:r w:rsidRPr="00261B7A">
        <w:t xml:space="preserve"> category and from other land use categories. This conversion has predominantly been for the establishment of vineyards (Davis and Wakelin, unpublished).</w:t>
      </w:r>
    </w:p>
    <w:p w14:paraId="61D80637" w14:textId="77777777" w:rsidR="0010265C" w:rsidRPr="00261B7A" w:rsidRDefault="0010265C" w:rsidP="00E24718">
      <w:pPr>
        <w:pStyle w:val="Table"/>
      </w:pPr>
      <w:bookmarkStart w:id="1866" w:name="_Toc310423416"/>
      <w:bookmarkStart w:id="1867" w:name="_Toc318362709"/>
      <w:bookmarkStart w:id="1868" w:name="_Toc342470771"/>
      <w:bookmarkStart w:id="1869" w:name="_Toc352505011"/>
      <w:bookmarkStart w:id="1870" w:name="_Toc378853303"/>
      <w:bookmarkStart w:id="1871" w:name="_Toc391024101"/>
      <w:bookmarkStart w:id="1872" w:name="_Toc410028844"/>
      <w:bookmarkStart w:id="1873" w:name="_Toc414531472"/>
      <w:bookmarkStart w:id="1874" w:name="_Toc443645385"/>
      <w:bookmarkStart w:id="1875" w:name="_Toc474914604"/>
      <w:bookmarkStart w:id="1876" w:name="_Toc481751568"/>
      <w:bookmarkStart w:id="1877" w:name="_Toc522010625"/>
      <w:bookmarkStart w:id="1878" w:name="_Toc5269530"/>
      <w:bookmarkStart w:id="1879" w:name="_Toc33529404"/>
      <w:bookmarkStart w:id="1880" w:name="_Toc36224610"/>
      <w:bookmarkStart w:id="1881" w:name="_Toc65243607"/>
      <w:bookmarkStart w:id="1882" w:name="_Toc131591404"/>
      <w:r w:rsidRPr="00261B7A">
        <w:t>Table 6.4.4</w:t>
      </w:r>
      <w:r w:rsidRPr="00261B7A">
        <w:tab/>
        <w:t xml:space="preserve">New Zealand’s land-use change for the </w:t>
      </w:r>
      <w:r w:rsidRPr="00261B7A">
        <w:rPr>
          <w:i/>
        </w:rPr>
        <w:t>Cropland</w:t>
      </w:r>
      <w:r w:rsidRPr="00261B7A">
        <w:t xml:space="preserve"> category from 1990 to</w:t>
      </w:r>
      <w:bookmarkEnd w:id="1866"/>
      <w:bookmarkEnd w:id="1867"/>
      <w:bookmarkEnd w:id="1868"/>
      <w:bookmarkEnd w:id="1869"/>
      <w:bookmarkEnd w:id="1870"/>
      <w:bookmarkEnd w:id="1871"/>
      <w:r w:rsidRPr="00261B7A">
        <w:t> </w:t>
      </w:r>
      <w:bookmarkEnd w:id="1872"/>
      <w:bookmarkEnd w:id="1873"/>
      <w:bookmarkEnd w:id="1874"/>
      <w:bookmarkEnd w:id="1875"/>
      <w:bookmarkEnd w:id="1876"/>
      <w:bookmarkEnd w:id="1877"/>
      <w:bookmarkEnd w:id="1878"/>
      <w:bookmarkEnd w:id="1879"/>
      <w:bookmarkEnd w:id="1880"/>
      <w:bookmarkEnd w:id="1881"/>
      <w:r w:rsidRPr="00261B7A">
        <w:t>2021</w:t>
      </w:r>
      <w:bookmarkEnd w:id="1882"/>
    </w:p>
    <w:tbl>
      <w:tblPr>
        <w:tblW w:w="8505" w:type="dxa"/>
        <w:tblLook w:val="04A0" w:firstRow="1" w:lastRow="0" w:firstColumn="1" w:lastColumn="0" w:noHBand="0" w:noVBand="1"/>
      </w:tblPr>
      <w:tblGrid>
        <w:gridCol w:w="1726"/>
        <w:gridCol w:w="2487"/>
        <w:gridCol w:w="1461"/>
        <w:gridCol w:w="1508"/>
        <w:gridCol w:w="1323"/>
      </w:tblGrid>
      <w:tr w:rsidR="0010265C" w:rsidRPr="00261B7A" w14:paraId="3DC272B7" w14:textId="77777777" w:rsidTr="00B10054">
        <w:trPr>
          <w:tblHeader/>
        </w:trPr>
        <w:tc>
          <w:tcPr>
            <w:tcW w:w="1726" w:type="dxa"/>
            <w:tcBorders>
              <w:top w:val="single" w:sz="4" w:space="0" w:color="1B556B"/>
              <w:bottom w:val="single" w:sz="4" w:space="0" w:color="1B556B"/>
            </w:tcBorders>
            <w:shd w:val="clear" w:color="auto" w:fill="1B556B"/>
            <w:vAlign w:val="bottom"/>
          </w:tcPr>
          <w:p w14:paraId="37735734" w14:textId="77777777" w:rsidR="0010265C" w:rsidRPr="00261B7A" w:rsidRDefault="0010265C" w:rsidP="00D41492">
            <w:pPr>
              <w:pStyle w:val="TableTextBold"/>
              <w:keepNext/>
              <w:spacing w:before="40" w:after="40"/>
              <w:rPr>
                <w:rFonts w:cs="Segoe UI"/>
                <w:noProof w:val="0"/>
                <w:color w:val="FFFFFF"/>
                <w:szCs w:val="16"/>
              </w:rPr>
            </w:pPr>
            <w:r w:rsidRPr="00261B7A">
              <w:rPr>
                <w:rFonts w:cs="Segoe UI"/>
                <w:noProof w:val="0"/>
                <w:color w:val="FFFFFF"/>
                <w:szCs w:val="16"/>
              </w:rPr>
              <w:t>Cropland category</w:t>
            </w:r>
          </w:p>
        </w:tc>
        <w:tc>
          <w:tcPr>
            <w:tcW w:w="2487" w:type="dxa"/>
            <w:tcBorders>
              <w:top w:val="single" w:sz="4" w:space="0" w:color="1B556B"/>
              <w:bottom w:val="single" w:sz="4" w:space="0" w:color="1B556B"/>
            </w:tcBorders>
            <w:shd w:val="clear" w:color="auto" w:fill="1B556B"/>
            <w:vAlign w:val="bottom"/>
          </w:tcPr>
          <w:p w14:paraId="5EE53CF5" w14:textId="77777777" w:rsidR="0010265C" w:rsidRPr="00261B7A" w:rsidRDefault="0010265C" w:rsidP="00D41492">
            <w:pPr>
              <w:pStyle w:val="TableTextBold"/>
              <w:keepNext/>
              <w:spacing w:before="40" w:after="40"/>
              <w:rPr>
                <w:rFonts w:cs="Segoe UI"/>
                <w:noProof w:val="0"/>
                <w:color w:val="FFFFFF"/>
                <w:szCs w:val="16"/>
              </w:rPr>
            </w:pPr>
          </w:p>
        </w:tc>
        <w:tc>
          <w:tcPr>
            <w:tcW w:w="1461" w:type="dxa"/>
            <w:tcBorders>
              <w:top w:val="single" w:sz="4" w:space="0" w:color="1B556B"/>
              <w:bottom w:val="single" w:sz="4" w:space="0" w:color="1B556B"/>
            </w:tcBorders>
            <w:shd w:val="clear" w:color="auto" w:fill="1B556B"/>
            <w:vAlign w:val="bottom"/>
          </w:tcPr>
          <w:p w14:paraId="1B605F65" w14:textId="77777777" w:rsidR="0010265C" w:rsidRPr="00261B7A" w:rsidRDefault="0010265C" w:rsidP="00D41492">
            <w:pPr>
              <w:pStyle w:val="TableTextBold"/>
              <w:keepNext/>
              <w:spacing w:before="40" w:after="40"/>
              <w:jc w:val="right"/>
              <w:rPr>
                <w:rFonts w:cs="Segoe UI"/>
                <w:noProof w:val="0"/>
                <w:color w:val="FFFFFF"/>
                <w:szCs w:val="16"/>
              </w:rPr>
            </w:pPr>
            <w:r w:rsidRPr="00261B7A">
              <w:rPr>
                <w:rFonts w:cs="Segoe UI"/>
                <w:noProof w:val="0"/>
                <w:color w:val="FFFFFF"/>
                <w:szCs w:val="16"/>
              </w:rPr>
              <w:t>Net area in 1990 (ha)</w:t>
            </w:r>
          </w:p>
        </w:tc>
        <w:tc>
          <w:tcPr>
            <w:tcW w:w="1508" w:type="dxa"/>
            <w:tcBorders>
              <w:top w:val="single" w:sz="4" w:space="0" w:color="1B556B"/>
              <w:bottom w:val="single" w:sz="4" w:space="0" w:color="1B556B"/>
            </w:tcBorders>
            <w:shd w:val="clear" w:color="auto" w:fill="1B556B"/>
            <w:vAlign w:val="bottom"/>
          </w:tcPr>
          <w:p w14:paraId="5B3857BE" w14:textId="77777777" w:rsidR="0010265C" w:rsidRPr="00261B7A" w:rsidRDefault="0010265C" w:rsidP="00D41492">
            <w:pPr>
              <w:pStyle w:val="TableTextBold"/>
              <w:keepNext/>
              <w:spacing w:before="40" w:after="40"/>
              <w:jc w:val="right"/>
              <w:rPr>
                <w:rFonts w:cs="Segoe UI"/>
                <w:noProof w:val="0"/>
                <w:color w:val="FFFFFF"/>
                <w:szCs w:val="16"/>
              </w:rPr>
            </w:pPr>
            <w:r w:rsidRPr="00261B7A">
              <w:rPr>
                <w:rFonts w:cs="Segoe UI"/>
                <w:noProof w:val="0"/>
                <w:color w:val="FFFFFF"/>
                <w:szCs w:val="16"/>
              </w:rPr>
              <w:t>Net area in 2021 (ha)</w:t>
            </w:r>
          </w:p>
        </w:tc>
        <w:tc>
          <w:tcPr>
            <w:tcW w:w="1323" w:type="dxa"/>
            <w:tcBorders>
              <w:top w:val="single" w:sz="4" w:space="0" w:color="1B556B"/>
              <w:bottom w:val="single" w:sz="4" w:space="0" w:color="1B556B"/>
            </w:tcBorders>
            <w:shd w:val="clear" w:color="auto" w:fill="1B556B"/>
            <w:vAlign w:val="bottom"/>
          </w:tcPr>
          <w:p w14:paraId="1B8AFAC1" w14:textId="77777777" w:rsidR="0010265C" w:rsidRPr="00261B7A" w:rsidRDefault="0010265C" w:rsidP="00D41492">
            <w:pPr>
              <w:pStyle w:val="TableTextBold"/>
              <w:keepNext/>
              <w:spacing w:before="40" w:after="40"/>
              <w:jc w:val="right"/>
              <w:rPr>
                <w:rFonts w:cs="Segoe UI"/>
                <w:noProof w:val="0"/>
                <w:color w:val="FFFFFF"/>
                <w:szCs w:val="16"/>
              </w:rPr>
            </w:pPr>
            <w:r w:rsidRPr="00261B7A">
              <w:rPr>
                <w:rFonts w:cs="Segoe UI"/>
                <w:noProof w:val="0"/>
                <w:color w:val="FFFFFF"/>
                <w:szCs w:val="16"/>
              </w:rPr>
              <w:t>Change from 1990 (%)</w:t>
            </w:r>
          </w:p>
        </w:tc>
      </w:tr>
      <w:tr w:rsidR="0010265C" w:rsidRPr="00261B7A" w14:paraId="3DC5124F" w14:textId="77777777" w:rsidTr="00B10054">
        <w:tc>
          <w:tcPr>
            <w:tcW w:w="1726" w:type="dxa"/>
            <w:vMerge w:val="restart"/>
            <w:tcBorders>
              <w:top w:val="single" w:sz="4" w:space="0" w:color="1B556B"/>
              <w:bottom w:val="single" w:sz="4" w:space="0" w:color="365F91"/>
            </w:tcBorders>
          </w:tcPr>
          <w:p w14:paraId="67B79D96" w14:textId="77777777" w:rsidR="0010265C" w:rsidRPr="00261B7A" w:rsidRDefault="0010265C" w:rsidP="00D41492">
            <w:pPr>
              <w:pStyle w:val="TableText"/>
              <w:keepNext/>
              <w:spacing w:before="40" w:after="40"/>
              <w:rPr>
                <w:rFonts w:cs="Segoe UI"/>
                <w:szCs w:val="16"/>
              </w:rPr>
            </w:pPr>
            <w:r w:rsidRPr="00261B7A">
              <w:rPr>
                <w:rFonts w:cs="Segoe UI"/>
                <w:szCs w:val="16"/>
              </w:rPr>
              <w:t>Cropland remaining cropland</w:t>
            </w:r>
          </w:p>
        </w:tc>
        <w:tc>
          <w:tcPr>
            <w:tcW w:w="2487" w:type="dxa"/>
            <w:tcBorders>
              <w:top w:val="single" w:sz="4" w:space="0" w:color="1B556B"/>
              <w:bottom w:val="single" w:sz="4" w:space="0" w:color="1B556B"/>
            </w:tcBorders>
          </w:tcPr>
          <w:p w14:paraId="0A256BCC" w14:textId="77777777" w:rsidR="0010265C" w:rsidRPr="00261B7A" w:rsidRDefault="0010265C" w:rsidP="00D41492">
            <w:pPr>
              <w:pStyle w:val="TableText"/>
              <w:keepNext/>
              <w:spacing w:before="40" w:after="40"/>
              <w:rPr>
                <w:rFonts w:cs="Segoe UI"/>
                <w:szCs w:val="16"/>
              </w:rPr>
            </w:pPr>
            <w:r w:rsidRPr="00261B7A">
              <w:rPr>
                <w:rFonts w:cs="Segoe UI"/>
                <w:szCs w:val="16"/>
              </w:rPr>
              <w:t>Annual remaining annual</w:t>
            </w:r>
          </w:p>
        </w:tc>
        <w:tc>
          <w:tcPr>
            <w:tcW w:w="1461" w:type="dxa"/>
            <w:tcBorders>
              <w:top w:val="single" w:sz="4" w:space="0" w:color="1B556B"/>
              <w:bottom w:val="single" w:sz="4" w:space="0" w:color="1B556B"/>
            </w:tcBorders>
            <w:vAlign w:val="center"/>
          </w:tcPr>
          <w:p w14:paraId="58A51E97" w14:textId="77777777" w:rsidR="0010265C" w:rsidRPr="00261B7A" w:rsidRDefault="0010265C" w:rsidP="00D41492">
            <w:pPr>
              <w:pStyle w:val="TableText"/>
              <w:keepNext/>
              <w:spacing w:before="40" w:after="40"/>
              <w:jc w:val="right"/>
              <w:rPr>
                <w:rFonts w:cs="Segoe UI"/>
                <w:szCs w:val="16"/>
              </w:rPr>
            </w:pPr>
            <w:r w:rsidRPr="00261B7A">
              <w:rPr>
                <w:rFonts w:cs="Calibri"/>
                <w:color w:val="000000"/>
                <w:szCs w:val="16"/>
              </w:rPr>
              <w:t>333,534</w:t>
            </w:r>
          </w:p>
        </w:tc>
        <w:tc>
          <w:tcPr>
            <w:tcW w:w="1508" w:type="dxa"/>
            <w:tcBorders>
              <w:top w:val="single" w:sz="4" w:space="0" w:color="1B556B"/>
              <w:bottom w:val="single" w:sz="4" w:space="0" w:color="1B556B"/>
            </w:tcBorders>
            <w:vAlign w:val="center"/>
          </w:tcPr>
          <w:p w14:paraId="51936A82" w14:textId="77777777" w:rsidR="0010265C" w:rsidRPr="00261B7A" w:rsidRDefault="0010265C" w:rsidP="00D41492">
            <w:pPr>
              <w:pStyle w:val="TableText"/>
              <w:keepNext/>
              <w:spacing w:before="40" w:after="40"/>
              <w:jc w:val="right"/>
              <w:rPr>
                <w:rFonts w:cs="Segoe UI"/>
                <w:szCs w:val="16"/>
              </w:rPr>
            </w:pPr>
            <w:r w:rsidRPr="00261B7A">
              <w:rPr>
                <w:rFonts w:cs="Calibri"/>
                <w:color w:val="000000"/>
                <w:szCs w:val="16"/>
              </w:rPr>
              <w:t>361,006</w:t>
            </w:r>
          </w:p>
        </w:tc>
        <w:tc>
          <w:tcPr>
            <w:tcW w:w="1323" w:type="dxa"/>
            <w:tcBorders>
              <w:top w:val="single" w:sz="4" w:space="0" w:color="1B556B"/>
              <w:bottom w:val="single" w:sz="4" w:space="0" w:color="1B556B"/>
            </w:tcBorders>
            <w:vAlign w:val="center"/>
          </w:tcPr>
          <w:p w14:paraId="1F69ED66" w14:textId="77777777" w:rsidR="0010265C" w:rsidRPr="00261B7A" w:rsidRDefault="0010265C" w:rsidP="00D41492">
            <w:pPr>
              <w:pStyle w:val="TableText"/>
              <w:keepNext/>
              <w:spacing w:before="40" w:after="40"/>
              <w:jc w:val="right"/>
              <w:rPr>
                <w:rFonts w:cs="Segoe UI"/>
                <w:szCs w:val="16"/>
              </w:rPr>
            </w:pPr>
            <w:r w:rsidRPr="00261B7A">
              <w:rPr>
                <w:rFonts w:cs="Calibri"/>
                <w:color w:val="000000"/>
                <w:szCs w:val="16"/>
              </w:rPr>
              <w:t>8.2</w:t>
            </w:r>
          </w:p>
        </w:tc>
      </w:tr>
      <w:tr w:rsidR="0010265C" w:rsidRPr="00261B7A" w14:paraId="38BC5BF6" w14:textId="77777777" w:rsidTr="00B10054">
        <w:tc>
          <w:tcPr>
            <w:tcW w:w="1726" w:type="dxa"/>
            <w:vMerge/>
            <w:tcBorders>
              <w:top w:val="single" w:sz="4" w:space="0" w:color="365F91"/>
            </w:tcBorders>
          </w:tcPr>
          <w:p w14:paraId="4C5C39A4" w14:textId="77777777" w:rsidR="0010265C" w:rsidRPr="00261B7A" w:rsidRDefault="0010265C" w:rsidP="00D41492">
            <w:pPr>
              <w:pStyle w:val="TableText"/>
              <w:keepNext/>
              <w:spacing w:before="40" w:after="40"/>
              <w:rPr>
                <w:rFonts w:cs="Segoe UI"/>
                <w:szCs w:val="16"/>
              </w:rPr>
            </w:pPr>
          </w:p>
        </w:tc>
        <w:tc>
          <w:tcPr>
            <w:tcW w:w="2487" w:type="dxa"/>
            <w:tcBorders>
              <w:top w:val="single" w:sz="4" w:space="0" w:color="1B556B"/>
              <w:bottom w:val="single" w:sz="4" w:space="0" w:color="1B556B"/>
            </w:tcBorders>
          </w:tcPr>
          <w:p w14:paraId="091C135C" w14:textId="77777777" w:rsidR="0010265C" w:rsidRPr="00261B7A" w:rsidRDefault="0010265C" w:rsidP="00D41492">
            <w:pPr>
              <w:pStyle w:val="TableText"/>
              <w:keepNext/>
              <w:spacing w:before="40" w:after="40"/>
              <w:rPr>
                <w:rFonts w:cs="Segoe UI"/>
                <w:szCs w:val="16"/>
              </w:rPr>
            </w:pPr>
            <w:r w:rsidRPr="00261B7A">
              <w:rPr>
                <w:rFonts w:cs="Segoe UI"/>
                <w:szCs w:val="16"/>
              </w:rPr>
              <w:t>Perennial remaining perennial</w:t>
            </w:r>
          </w:p>
        </w:tc>
        <w:tc>
          <w:tcPr>
            <w:tcW w:w="1461" w:type="dxa"/>
            <w:tcBorders>
              <w:top w:val="single" w:sz="4" w:space="0" w:color="1B556B"/>
              <w:bottom w:val="single" w:sz="4" w:space="0" w:color="1B556B"/>
            </w:tcBorders>
            <w:vAlign w:val="center"/>
          </w:tcPr>
          <w:p w14:paraId="151F6E8A" w14:textId="77777777" w:rsidR="0010265C" w:rsidRPr="00261B7A" w:rsidRDefault="0010265C" w:rsidP="00D41492">
            <w:pPr>
              <w:pStyle w:val="TableText"/>
              <w:keepNext/>
              <w:spacing w:before="40" w:after="40"/>
              <w:jc w:val="right"/>
              <w:rPr>
                <w:rFonts w:cs="Segoe UI"/>
                <w:szCs w:val="16"/>
              </w:rPr>
            </w:pPr>
            <w:r w:rsidRPr="00261B7A">
              <w:rPr>
                <w:rFonts w:cs="Calibri"/>
                <w:color w:val="000000"/>
                <w:szCs w:val="16"/>
              </w:rPr>
              <w:t>61,614</w:t>
            </w:r>
          </w:p>
        </w:tc>
        <w:tc>
          <w:tcPr>
            <w:tcW w:w="1508" w:type="dxa"/>
            <w:tcBorders>
              <w:top w:val="single" w:sz="4" w:space="0" w:color="1B556B"/>
              <w:bottom w:val="single" w:sz="4" w:space="0" w:color="1B556B"/>
            </w:tcBorders>
            <w:vAlign w:val="center"/>
          </w:tcPr>
          <w:p w14:paraId="71E06DDC" w14:textId="77777777" w:rsidR="0010265C" w:rsidRPr="00261B7A" w:rsidRDefault="0010265C" w:rsidP="00D41492">
            <w:pPr>
              <w:pStyle w:val="TableText"/>
              <w:keepNext/>
              <w:spacing w:before="40" w:after="40"/>
              <w:jc w:val="right"/>
              <w:rPr>
                <w:rFonts w:cs="Segoe UI"/>
                <w:szCs w:val="16"/>
              </w:rPr>
            </w:pPr>
            <w:r w:rsidRPr="00261B7A">
              <w:rPr>
                <w:rFonts w:cs="Calibri"/>
                <w:color w:val="000000"/>
                <w:szCs w:val="16"/>
              </w:rPr>
              <w:t>86,658</w:t>
            </w:r>
          </w:p>
        </w:tc>
        <w:tc>
          <w:tcPr>
            <w:tcW w:w="1323" w:type="dxa"/>
            <w:tcBorders>
              <w:top w:val="single" w:sz="4" w:space="0" w:color="1B556B"/>
              <w:bottom w:val="single" w:sz="4" w:space="0" w:color="1B556B"/>
            </w:tcBorders>
            <w:vAlign w:val="center"/>
          </w:tcPr>
          <w:p w14:paraId="49E386EF" w14:textId="77777777" w:rsidR="0010265C" w:rsidRPr="00261B7A" w:rsidRDefault="0010265C" w:rsidP="00D41492">
            <w:pPr>
              <w:pStyle w:val="TableText"/>
              <w:keepNext/>
              <w:spacing w:before="40" w:after="40"/>
              <w:jc w:val="right"/>
              <w:rPr>
                <w:rFonts w:cs="Segoe UI"/>
                <w:szCs w:val="16"/>
              </w:rPr>
            </w:pPr>
            <w:r w:rsidRPr="00261B7A">
              <w:rPr>
                <w:rFonts w:cs="Calibri"/>
                <w:color w:val="000000"/>
                <w:szCs w:val="16"/>
              </w:rPr>
              <w:t>40.6</w:t>
            </w:r>
          </w:p>
        </w:tc>
      </w:tr>
      <w:tr w:rsidR="0010265C" w:rsidRPr="00261B7A" w14:paraId="6E24D7A4" w14:textId="77777777" w:rsidTr="00B10054">
        <w:tc>
          <w:tcPr>
            <w:tcW w:w="1726" w:type="dxa"/>
            <w:vMerge/>
          </w:tcPr>
          <w:p w14:paraId="2D20BDBE" w14:textId="77777777" w:rsidR="0010265C" w:rsidRPr="00261B7A" w:rsidRDefault="0010265C" w:rsidP="00D41492">
            <w:pPr>
              <w:pStyle w:val="TableText"/>
              <w:keepNext/>
              <w:spacing w:before="40" w:after="40"/>
              <w:rPr>
                <w:rFonts w:cs="Segoe UI"/>
                <w:szCs w:val="16"/>
              </w:rPr>
            </w:pPr>
          </w:p>
        </w:tc>
        <w:tc>
          <w:tcPr>
            <w:tcW w:w="2487" w:type="dxa"/>
            <w:tcBorders>
              <w:top w:val="single" w:sz="4" w:space="0" w:color="1B556B"/>
              <w:bottom w:val="single" w:sz="4" w:space="0" w:color="1B556B"/>
            </w:tcBorders>
          </w:tcPr>
          <w:p w14:paraId="5C1BDF8A" w14:textId="77777777" w:rsidR="0010265C" w:rsidRPr="00261B7A" w:rsidRDefault="0010265C" w:rsidP="00D41492">
            <w:pPr>
              <w:pStyle w:val="TableText"/>
              <w:keepNext/>
              <w:spacing w:before="40" w:after="40"/>
              <w:rPr>
                <w:rFonts w:cs="Segoe UI"/>
                <w:szCs w:val="16"/>
              </w:rPr>
            </w:pPr>
            <w:r w:rsidRPr="00261B7A">
              <w:rPr>
                <w:rFonts w:cs="Segoe UI"/>
                <w:szCs w:val="16"/>
              </w:rPr>
              <w:t>Annual to perennial</w:t>
            </w:r>
          </w:p>
        </w:tc>
        <w:tc>
          <w:tcPr>
            <w:tcW w:w="1461" w:type="dxa"/>
            <w:tcBorders>
              <w:top w:val="single" w:sz="4" w:space="0" w:color="1B556B"/>
              <w:bottom w:val="single" w:sz="4" w:space="0" w:color="1B556B"/>
            </w:tcBorders>
            <w:vAlign w:val="center"/>
          </w:tcPr>
          <w:p w14:paraId="345B8FD8" w14:textId="77777777" w:rsidR="0010265C" w:rsidRPr="00261B7A" w:rsidRDefault="0010265C" w:rsidP="00D41492">
            <w:pPr>
              <w:pStyle w:val="TableText"/>
              <w:keepNext/>
              <w:spacing w:before="40" w:after="40"/>
              <w:jc w:val="right"/>
              <w:rPr>
                <w:rFonts w:cs="Segoe UI"/>
                <w:szCs w:val="16"/>
              </w:rPr>
            </w:pPr>
            <w:r w:rsidRPr="00261B7A">
              <w:rPr>
                <w:rFonts w:cs="Calibri"/>
                <w:color w:val="000000"/>
                <w:szCs w:val="16"/>
              </w:rPr>
              <w:t>643</w:t>
            </w:r>
          </w:p>
        </w:tc>
        <w:tc>
          <w:tcPr>
            <w:tcW w:w="1508" w:type="dxa"/>
            <w:tcBorders>
              <w:top w:val="single" w:sz="4" w:space="0" w:color="1B556B"/>
              <w:bottom w:val="single" w:sz="4" w:space="0" w:color="1B556B"/>
            </w:tcBorders>
            <w:vAlign w:val="center"/>
          </w:tcPr>
          <w:p w14:paraId="37AA1BB9" w14:textId="77777777" w:rsidR="0010265C" w:rsidRPr="00261B7A" w:rsidRDefault="0010265C" w:rsidP="00D41492">
            <w:pPr>
              <w:pStyle w:val="TableText"/>
              <w:keepNext/>
              <w:spacing w:before="40" w:after="40"/>
              <w:jc w:val="right"/>
              <w:rPr>
                <w:rFonts w:cs="Segoe UI"/>
                <w:szCs w:val="16"/>
              </w:rPr>
            </w:pPr>
            <w:r w:rsidRPr="00261B7A">
              <w:rPr>
                <w:rFonts w:cs="Calibri"/>
                <w:color w:val="000000"/>
                <w:szCs w:val="16"/>
              </w:rPr>
              <w:t>2,579</w:t>
            </w:r>
          </w:p>
        </w:tc>
        <w:tc>
          <w:tcPr>
            <w:tcW w:w="1323" w:type="dxa"/>
            <w:tcBorders>
              <w:top w:val="single" w:sz="4" w:space="0" w:color="1B556B"/>
              <w:bottom w:val="single" w:sz="4" w:space="0" w:color="1B556B"/>
            </w:tcBorders>
            <w:vAlign w:val="center"/>
          </w:tcPr>
          <w:p w14:paraId="13F66246" w14:textId="77777777" w:rsidR="0010265C" w:rsidRPr="00261B7A" w:rsidRDefault="0010265C" w:rsidP="00D41492">
            <w:pPr>
              <w:pStyle w:val="TableText"/>
              <w:keepNext/>
              <w:spacing w:before="40" w:after="40"/>
              <w:jc w:val="right"/>
              <w:rPr>
                <w:rFonts w:cs="Segoe UI"/>
                <w:szCs w:val="16"/>
              </w:rPr>
            </w:pPr>
            <w:r w:rsidRPr="00261B7A">
              <w:rPr>
                <w:rFonts w:cs="Calibri"/>
                <w:color w:val="000000"/>
                <w:szCs w:val="16"/>
              </w:rPr>
              <w:t>301.0</w:t>
            </w:r>
          </w:p>
        </w:tc>
      </w:tr>
      <w:tr w:rsidR="0010265C" w:rsidRPr="00261B7A" w14:paraId="5896F329" w14:textId="77777777" w:rsidTr="00B10054">
        <w:tc>
          <w:tcPr>
            <w:tcW w:w="1726" w:type="dxa"/>
            <w:vMerge/>
            <w:tcBorders>
              <w:bottom w:val="nil"/>
            </w:tcBorders>
          </w:tcPr>
          <w:p w14:paraId="1671A1F8" w14:textId="77777777" w:rsidR="0010265C" w:rsidRPr="00261B7A" w:rsidRDefault="0010265C" w:rsidP="00D41492">
            <w:pPr>
              <w:pStyle w:val="TableText"/>
              <w:spacing w:before="40" w:after="40"/>
              <w:rPr>
                <w:rFonts w:cs="Segoe UI"/>
                <w:szCs w:val="16"/>
              </w:rPr>
            </w:pPr>
          </w:p>
        </w:tc>
        <w:tc>
          <w:tcPr>
            <w:tcW w:w="2487" w:type="dxa"/>
            <w:tcBorders>
              <w:top w:val="single" w:sz="4" w:space="0" w:color="1B556B"/>
              <w:bottom w:val="single" w:sz="4" w:space="0" w:color="1B556B"/>
            </w:tcBorders>
          </w:tcPr>
          <w:p w14:paraId="205F7672" w14:textId="77777777" w:rsidR="0010265C" w:rsidRPr="00261B7A" w:rsidRDefault="0010265C" w:rsidP="00D41492">
            <w:pPr>
              <w:pStyle w:val="TableText"/>
              <w:spacing w:before="40" w:after="40"/>
              <w:rPr>
                <w:rFonts w:cs="Segoe UI"/>
                <w:szCs w:val="16"/>
              </w:rPr>
            </w:pPr>
            <w:r w:rsidRPr="00261B7A">
              <w:rPr>
                <w:rFonts w:cs="Segoe UI"/>
                <w:szCs w:val="16"/>
              </w:rPr>
              <w:t>Perennial to annual</w:t>
            </w:r>
          </w:p>
        </w:tc>
        <w:tc>
          <w:tcPr>
            <w:tcW w:w="1461" w:type="dxa"/>
            <w:tcBorders>
              <w:top w:val="single" w:sz="4" w:space="0" w:color="1B556B"/>
              <w:bottom w:val="single" w:sz="4" w:space="0" w:color="1B556B"/>
            </w:tcBorders>
            <w:vAlign w:val="center"/>
          </w:tcPr>
          <w:p w14:paraId="094FB49B"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0</w:t>
            </w:r>
          </w:p>
        </w:tc>
        <w:tc>
          <w:tcPr>
            <w:tcW w:w="1508" w:type="dxa"/>
            <w:tcBorders>
              <w:top w:val="single" w:sz="4" w:space="0" w:color="1B556B"/>
              <w:bottom w:val="single" w:sz="4" w:space="0" w:color="1B556B"/>
            </w:tcBorders>
            <w:vAlign w:val="center"/>
          </w:tcPr>
          <w:p w14:paraId="51D052D5"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1,389</w:t>
            </w:r>
          </w:p>
        </w:tc>
        <w:tc>
          <w:tcPr>
            <w:tcW w:w="1323" w:type="dxa"/>
            <w:tcBorders>
              <w:top w:val="single" w:sz="4" w:space="0" w:color="1B556B"/>
              <w:bottom w:val="single" w:sz="4" w:space="0" w:color="1B556B"/>
            </w:tcBorders>
            <w:vAlign w:val="center"/>
          </w:tcPr>
          <w:p w14:paraId="40069BE2"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 NA</w:t>
            </w:r>
          </w:p>
        </w:tc>
      </w:tr>
      <w:tr w:rsidR="0010265C" w:rsidRPr="00261B7A" w14:paraId="42055D01" w14:textId="77777777" w:rsidTr="00B10054">
        <w:tc>
          <w:tcPr>
            <w:tcW w:w="1726" w:type="dxa"/>
            <w:tcBorders>
              <w:top w:val="nil"/>
              <w:bottom w:val="single" w:sz="4" w:space="0" w:color="365F91"/>
            </w:tcBorders>
          </w:tcPr>
          <w:p w14:paraId="31FB3F5E" w14:textId="77777777" w:rsidR="0010265C" w:rsidRPr="00261B7A" w:rsidRDefault="0010265C" w:rsidP="00D41492">
            <w:pPr>
              <w:pStyle w:val="TableText"/>
              <w:spacing w:before="40" w:after="40"/>
              <w:rPr>
                <w:rFonts w:cs="Segoe UI"/>
                <w:szCs w:val="16"/>
              </w:rPr>
            </w:pPr>
          </w:p>
        </w:tc>
        <w:tc>
          <w:tcPr>
            <w:tcW w:w="2487" w:type="dxa"/>
            <w:tcBorders>
              <w:top w:val="single" w:sz="4" w:space="0" w:color="1B556B"/>
              <w:bottom w:val="single" w:sz="4" w:space="0" w:color="365F91"/>
            </w:tcBorders>
          </w:tcPr>
          <w:p w14:paraId="0EBAB9F7" w14:textId="77777777" w:rsidR="0010265C" w:rsidRPr="00261B7A" w:rsidRDefault="0010265C" w:rsidP="00D41492">
            <w:pPr>
              <w:pStyle w:val="TableText"/>
              <w:spacing w:before="40" w:after="40"/>
              <w:rPr>
                <w:rFonts w:cs="Segoe UI"/>
                <w:i/>
                <w:szCs w:val="16"/>
              </w:rPr>
            </w:pPr>
            <w:r w:rsidRPr="00261B7A">
              <w:rPr>
                <w:rFonts w:cs="Segoe UI"/>
                <w:i/>
                <w:szCs w:val="16"/>
              </w:rPr>
              <w:t>Subtotal</w:t>
            </w:r>
          </w:p>
        </w:tc>
        <w:tc>
          <w:tcPr>
            <w:tcW w:w="1461" w:type="dxa"/>
            <w:tcBorders>
              <w:top w:val="single" w:sz="4" w:space="0" w:color="1B556B"/>
              <w:bottom w:val="single" w:sz="4" w:space="0" w:color="365F91"/>
            </w:tcBorders>
            <w:vAlign w:val="center"/>
          </w:tcPr>
          <w:p w14:paraId="2C7CF0C7" w14:textId="77777777" w:rsidR="0010265C" w:rsidRPr="00261B7A" w:rsidRDefault="0010265C" w:rsidP="00D41492">
            <w:pPr>
              <w:pStyle w:val="TableText"/>
              <w:spacing w:before="40" w:after="40"/>
              <w:jc w:val="right"/>
              <w:rPr>
                <w:rFonts w:cs="Segoe UI"/>
                <w:i/>
                <w:szCs w:val="16"/>
              </w:rPr>
            </w:pPr>
            <w:r w:rsidRPr="00261B7A">
              <w:rPr>
                <w:rFonts w:cs="Calibri"/>
                <w:i/>
                <w:iCs/>
                <w:color w:val="000000"/>
                <w:szCs w:val="16"/>
              </w:rPr>
              <w:t>395,792</w:t>
            </w:r>
          </w:p>
        </w:tc>
        <w:tc>
          <w:tcPr>
            <w:tcW w:w="1508" w:type="dxa"/>
            <w:tcBorders>
              <w:top w:val="single" w:sz="4" w:space="0" w:color="1B556B"/>
              <w:bottom w:val="single" w:sz="4" w:space="0" w:color="365F91"/>
            </w:tcBorders>
            <w:vAlign w:val="center"/>
          </w:tcPr>
          <w:p w14:paraId="502DD709" w14:textId="77777777" w:rsidR="0010265C" w:rsidRPr="00261B7A" w:rsidRDefault="0010265C" w:rsidP="00D41492">
            <w:pPr>
              <w:pStyle w:val="TableText"/>
              <w:spacing w:before="40" w:after="40"/>
              <w:jc w:val="right"/>
              <w:rPr>
                <w:rFonts w:cs="Segoe UI"/>
                <w:i/>
                <w:szCs w:val="16"/>
              </w:rPr>
            </w:pPr>
            <w:r w:rsidRPr="00261B7A">
              <w:rPr>
                <w:rFonts w:cs="Calibri"/>
                <w:i/>
                <w:iCs/>
                <w:color w:val="000000"/>
                <w:szCs w:val="16"/>
              </w:rPr>
              <w:t>451,633</w:t>
            </w:r>
          </w:p>
        </w:tc>
        <w:tc>
          <w:tcPr>
            <w:tcW w:w="1323" w:type="dxa"/>
            <w:tcBorders>
              <w:top w:val="single" w:sz="4" w:space="0" w:color="1B556B"/>
              <w:bottom w:val="single" w:sz="4" w:space="0" w:color="365F91"/>
            </w:tcBorders>
            <w:vAlign w:val="center"/>
          </w:tcPr>
          <w:p w14:paraId="099F5ED2" w14:textId="77777777" w:rsidR="0010265C" w:rsidRPr="00261B7A" w:rsidRDefault="0010265C" w:rsidP="00D41492">
            <w:pPr>
              <w:pStyle w:val="TableText"/>
              <w:spacing w:before="40" w:after="40"/>
              <w:jc w:val="right"/>
              <w:rPr>
                <w:rFonts w:cs="Segoe UI"/>
                <w:i/>
                <w:szCs w:val="16"/>
              </w:rPr>
            </w:pPr>
            <w:r w:rsidRPr="00261B7A">
              <w:rPr>
                <w:rFonts w:cs="Calibri"/>
                <w:color w:val="000000"/>
                <w:szCs w:val="16"/>
              </w:rPr>
              <w:t>14.1</w:t>
            </w:r>
          </w:p>
        </w:tc>
      </w:tr>
      <w:tr w:rsidR="0010265C" w:rsidRPr="00261B7A" w14:paraId="39C3DB8E" w14:textId="77777777" w:rsidTr="00B10054">
        <w:tc>
          <w:tcPr>
            <w:tcW w:w="1726" w:type="dxa"/>
            <w:vMerge w:val="restart"/>
            <w:tcBorders>
              <w:top w:val="single" w:sz="4" w:space="0" w:color="365F91"/>
            </w:tcBorders>
          </w:tcPr>
          <w:p w14:paraId="62CDCA79" w14:textId="77777777" w:rsidR="0010265C" w:rsidRPr="00261B7A" w:rsidRDefault="0010265C" w:rsidP="00D41492">
            <w:pPr>
              <w:pStyle w:val="TableText"/>
              <w:spacing w:before="40" w:after="40"/>
              <w:rPr>
                <w:rFonts w:cs="Segoe UI"/>
                <w:szCs w:val="16"/>
              </w:rPr>
            </w:pPr>
            <w:r w:rsidRPr="00261B7A">
              <w:rPr>
                <w:rFonts w:cs="Segoe UI"/>
                <w:szCs w:val="16"/>
              </w:rPr>
              <w:t>Land converted to cropland</w:t>
            </w:r>
          </w:p>
        </w:tc>
        <w:tc>
          <w:tcPr>
            <w:tcW w:w="2487" w:type="dxa"/>
            <w:tcBorders>
              <w:top w:val="single" w:sz="4" w:space="0" w:color="365F91"/>
              <w:bottom w:val="single" w:sz="4" w:space="0" w:color="365F91"/>
            </w:tcBorders>
          </w:tcPr>
          <w:p w14:paraId="0BDD7F5E" w14:textId="77777777" w:rsidR="0010265C" w:rsidRPr="00261B7A" w:rsidRDefault="0010265C" w:rsidP="00D41492">
            <w:pPr>
              <w:pStyle w:val="TableText"/>
              <w:spacing w:before="40" w:after="40"/>
              <w:rPr>
                <w:rFonts w:cs="Segoe UI"/>
                <w:szCs w:val="16"/>
              </w:rPr>
            </w:pPr>
            <w:r w:rsidRPr="00261B7A">
              <w:rPr>
                <w:rFonts w:cs="Segoe UI"/>
                <w:szCs w:val="16"/>
              </w:rPr>
              <w:t>Annual cropland</w:t>
            </w:r>
          </w:p>
        </w:tc>
        <w:tc>
          <w:tcPr>
            <w:tcW w:w="1461" w:type="dxa"/>
            <w:tcBorders>
              <w:top w:val="single" w:sz="4" w:space="0" w:color="365F91"/>
              <w:bottom w:val="single" w:sz="4" w:space="0" w:color="365F91"/>
            </w:tcBorders>
            <w:vAlign w:val="center"/>
          </w:tcPr>
          <w:p w14:paraId="4B6BF2D8"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21,364</w:t>
            </w:r>
          </w:p>
        </w:tc>
        <w:tc>
          <w:tcPr>
            <w:tcW w:w="1508" w:type="dxa"/>
            <w:tcBorders>
              <w:top w:val="single" w:sz="4" w:space="0" w:color="365F91"/>
              <w:bottom w:val="single" w:sz="4" w:space="0" w:color="365F91"/>
            </w:tcBorders>
            <w:vAlign w:val="center"/>
          </w:tcPr>
          <w:p w14:paraId="07501D11"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8839.0</w:t>
            </w:r>
          </w:p>
        </w:tc>
        <w:tc>
          <w:tcPr>
            <w:tcW w:w="1323" w:type="dxa"/>
            <w:tcBorders>
              <w:top w:val="single" w:sz="4" w:space="0" w:color="365F91"/>
              <w:bottom w:val="single" w:sz="4" w:space="0" w:color="365F91"/>
            </w:tcBorders>
            <w:vAlign w:val="center"/>
          </w:tcPr>
          <w:p w14:paraId="2777CB6D"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–58.6</w:t>
            </w:r>
          </w:p>
        </w:tc>
      </w:tr>
      <w:tr w:rsidR="0010265C" w:rsidRPr="00261B7A" w14:paraId="79732A42" w14:textId="77777777" w:rsidTr="00B10054">
        <w:tc>
          <w:tcPr>
            <w:tcW w:w="1726" w:type="dxa"/>
            <w:vMerge/>
            <w:tcBorders>
              <w:bottom w:val="nil"/>
            </w:tcBorders>
          </w:tcPr>
          <w:p w14:paraId="29CAB0F3" w14:textId="77777777" w:rsidR="0010265C" w:rsidRPr="00261B7A" w:rsidRDefault="0010265C" w:rsidP="00D41492">
            <w:pPr>
              <w:pStyle w:val="TableText"/>
              <w:spacing w:before="40" w:after="40"/>
              <w:rPr>
                <w:rFonts w:cs="Segoe UI"/>
                <w:szCs w:val="16"/>
              </w:rPr>
            </w:pPr>
          </w:p>
        </w:tc>
        <w:tc>
          <w:tcPr>
            <w:tcW w:w="2487" w:type="dxa"/>
            <w:tcBorders>
              <w:top w:val="single" w:sz="4" w:space="0" w:color="365F91"/>
              <w:bottom w:val="single" w:sz="4" w:space="0" w:color="365F91"/>
            </w:tcBorders>
          </w:tcPr>
          <w:p w14:paraId="5FF3365D" w14:textId="77777777" w:rsidR="0010265C" w:rsidRPr="00261B7A" w:rsidRDefault="0010265C" w:rsidP="00D41492">
            <w:pPr>
              <w:pStyle w:val="TableText"/>
              <w:spacing w:before="40" w:after="40"/>
              <w:rPr>
                <w:rFonts w:cs="Segoe UI"/>
                <w:szCs w:val="16"/>
              </w:rPr>
            </w:pPr>
            <w:r w:rsidRPr="00261B7A">
              <w:rPr>
                <w:rFonts w:cs="Segoe UI"/>
                <w:szCs w:val="16"/>
              </w:rPr>
              <w:t>Perennial cropland</w:t>
            </w:r>
          </w:p>
        </w:tc>
        <w:tc>
          <w:tcPr>
            <w:tcW w:w="1461" w:type="dxa"/>
            <w:tcBorders>
              <w:top w:val="single" w:sz="4" w:space="0" w:color="365F91"/>
              <w:bottom w:val="single" w:sz="4" w:space="0" w:color="365F91"/>
            </w:tcBorders>
            <w:vAlign w:val="center"/>
          </w:tcPr>
          <w:p w14:paraId="107970B2"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6,757</w:t>
            </w:r>
          </w:p>
        </w:tc>
        <w:tc>
          <w:tcPr>
            <w:tcW w:w="1508" w:type="dxa"/>
            <w:tcBorders>
              <w:top w:val="single" w:sz="4" w:space="0" w:color="365F91"/>
              <w:bottom w:val="single" w:sz="4" w:space="0" w:color="365F91"/>
            </w:tcBorders>
            <w:vAlign w:val="center"/>
          </w:tcPr>
          <w:p w14:paraId="1DE50727"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16,257</w:t>
            </w:r>
          </w:p>
        </w:tc>
        <w:tc>
          <w:tcPr>
            <w:tcW w:w="1323" w:type="dxa"/>
            <w:tcBorders>
              <w:top w:val="single" w:sz="4" w:space="0" w:color="365F91"/>
              <w:bottom w:val="single" w:sz="4" w:space="0" w:color="365F91"/>
            </w:tcBorders>
            <w:vAlign w:val="center"/>
          </w:tcPr>
          <w:p w14:paraId="76501644" w14:textId="77777777" w:rsidR="0010265C" w:rsidRPr="00261B7A" w:rsidRDefault="0010265C" w:rsidP="00D41492">
            <w:pPr>
              <w:pStyle w:val="TableText"/>
              <w:spacing w:before="40" w:after="40"/>
              <w:jc w:val="right"/>
              <w:rPr>
                <w:rFonts w:cs="Segoe UI"/>
                <w:szCs w:val="16"/>
              </w:rPr>
            </w:pPr>
            <w:r w:rsidRPr="00261B7A">
              <w:rPr>
                <w:rFonts w:cs="Calibri"/>
                <w:color w:val="000000"/>
                <w:szCs w:val="16"/>
              </w:rPr>
              <w:t>140.6</w:t>
            </w:r>
          </w:p>
        </w:tc>
      </w:tr>
      <w:tr w:rsidR="0010265C" w:rsidRPr="00261B7A" w14:paraId="5CB7AD99" w14:textId="77777777" w:rsidTr="00B10054">
        <w:tc>
          <w:tcPr>
            <w:tcW w:w="1726" w:type="dxa"/>
            <w:tcBorders>
              <w:top w:val="nil"/>
              <w:bottom w:val="single" w:sz="4" w:space="0" w:color="365F91"/>
            </w:tcBorders>
          </w:tcPr>
          <w:p w14:paraId="5229140C" w14:textId="77777777" w:rsidR="0010265C" w:rsidRPr="00261B7A" w:rsidRDefault="0010265C" w:rsidP="00D41492">
            <w:pPr>
              <w:pStyle w:val="TableTextBold"/>
              <w:spacing w:before="40" w:after="40"/>
              <w:rPr>
                <w:rFonts w:cs="Segoe UI"/>
                <w:noProof w:val="0"/>
                <w:szCs w:val="16"/>
              </w:rPr>
            </w:pPr>
          </w:p>
        </w:tc>
        <w:tc>
          <w:tcPr>
            <w:tcW w:w="2487" w:type="dxa"/>
            <w:tcBorders>
              <w:top w:val="single" w:sz="4" w:space="0" w:color="365F91"/>
              <w:bottom w:val="single" w:sz="4" w:space="0" w:color="365F91"/>
            </w:tcBorders>
          </w:tcPr>
          <w:p w14:paraId="0CF2E3C2" w14:textId="77777777" w:rsidR="0010265C" w:rsidRPr="00261B7A" w:rsidRDefault="0010265C" w:rsidP="00D41492">
            <w:pPr>
              <w:pStyle w:val="TableText"/>
              <w:spacing w:before="40" w:after="40"/>
              <w:rPr>
                <w:rFonts w:cs="Segoe UI"/>
                <w:i/>
                <w:szCs w:val="16"/>
              </w:rPr>
            </w:pPr>
            <w:r w:rsidRPr="00261B7A">
              <w:rPr>
                <w:rFonts w:cs="Segoe UI"/>
                <w:i/>
                <w:szCs w:val="16"/>
              </w:rPr>
              <w:t>Subtotal</w:t>
            </w:r>
          </w:p>
        </w:tc>
        <w:tc>
          <w:tcPr>
            <w:tcW w:w="1461" w:type="dxa"/>
            <w:tcBorders>
              <w:top w:val="single" w:sz="4" w:space="0" w:color="365F91"/>
              <w:bottom w:val="single" w:sz="4" w:space="0" w:color="365F91"/>
            </w:tcBorders>
            <w:vAlign w:val="center"/>
          </w:tcPr>
          <w:p w14:paraId="5D184352" w14:textId="77777777" w:rsidR="0010265C" w:rsidRPr="00261B7A" w:rsidRDefault="0010265C" w:rsidP="00D41492">
            <w:pPr>
              <w:pStyle w:val="TableText"/>
              <w:spacing w:before="40" w:after="40"/>
              <w:jc w:val="right"/>
              <w:rPr>
                <w:rFonts w:cs="Segoe UI"/>
                <w:i/>
                <w:szCs w:val="16"/>
              </w:rPr>
            </w:pPr>
            <w:r w:rsidRPr="00261B7A">
              <w:rPr>
                <w:rFonts w:cs="Calibri"/>
                <w:color w:val="000000"/>
                <w:szCs w:val="16"/>
              </w:rPr>
              <w:t>28,121</w:t>
            </w:r>
          </w:p>
        </w:tc>
        <w:tc>
          <w:tcPr>
            <w:tcW w:w="1508" w:type="dxa"/>
            <w:tcBorders>
              <w:top w:val="single" w:sz="4" w:space="0" w:color="365F91"/>
              <w:bottom w:val="single" w:sz="4" w:space="0" w:color="365F91"/>
            </w:tcBorders>
            <w:vAlign w:val="center"/>
          </w:tcPr>
          <w:p w14:paraId="06DB8353" w14:textId="77777777" w:rsidR="0010265C" w:rsidRPr="00261B7A" w:rsidRDefault="0010265C" w:rsidP="00D41492">
            <w:pPr>
              <w:pStyle w:val="TableText"/>
              <w:spacing w:before="40" w:after="40"/>
              <w:jc w:val="right"/>
              <w:rPr>
                <w:rFonts w:cs="Segoe UI"/>
                <w:i/>
                <w:szCs w:val="16"/>
              </w:rPr>
            </w:pPr>
            <w:r w:rsidRPr="00261B7A">
              <w:rPr>
                <w:rFonts w:cs="Calibri"/>
                <w:color w:val="000000"/>
                <w:szCs w:val="16"/>
              </w:rPr>
              <w:t>25,096</w:t>
            </w:r>
          </w:p>
        </w:tc>
        <w:tc>
          <w:tcPr>
            <w:tcW w:w="1323" w:type="dxa"/>
            <w:tcBorders>
              <w:top w:val="single" w:sz="4" w:space="0" w:color="365F91"/>
              <w:bottom w:val="single" w:sz="4" w:space="0" w:color="365F91"/>
            </w:tcBorders>
            <w:vAlign w:val="center"/>
          </w:tcPr>
          <w:p w14:paraId="2E49B529" w14:textId="77777777" w:rsidR="0010265C" w:rsidRPr="00261B7A" w:rsidRDefault="0010265C" w:rsidP="00D41492">
            <w:pPr>
              <w:pStyle w:val="TableText"/>
              <w:spacing w:before="40" w:after="40"/>
              <w:jc w:val="right"/>
              <w:rPr>
                <w:rFonts w:cs="Segoe UI"/>
                <w:i/>
                <w:szCs w:val="16"/>
              </w:rPr>
            </w:pPr>
            <w:r w:rsidRPr="00261B7A">
              <w:rPr>
                <w:rFonts w:cs="Calibri"/>
                <w:color w:val="000000"/>
                <w:szCs w:val="16"/>
              </w:rPr>
              <w:t>–10.8</w:t>
            </w:r>
          </w:p>
        </w:tc>
      </w:tr>
      <w:tr w:rsidR="0010265C" w:rsidRPr="00261B7A" w14:paraId="189EBC2D" w14:textId="77777777" w:rsidTr="00B10054">
        <w:tc>
          <w:tcPr>
            <w:tcW w:w="1726" w:type="dxa"/>
            <w:tcBorders>
              <w:top w:val="single" w:sz="4" w:space="0" w:color="365F91"/>
              <w:bottom w:val="single" w:sz="4" w:space="0" w:color="365F91"/>
            </w:tcBorders>
          </w:tcPr>
          <w:p w14:paraId="0D8BC045" w14:textId="77777777" w:rsidR="0010265C" w:rsidRPr="00261B7A" w:rsidRDefault="0010265C" w:rsidP="009710B6">
            <w:pPr>
              <w:pStyle w:val="Tableboldblue"/>
              <w:spacing w:before="40" w:after="40"/>
              <w:jc w:val="right"/>
            </w:pPr>
            <w:r w:rsidRPr="00261B7A">
              <w:t>Total</w:t>
            </w:r>
          </w:p>
        </w:tc>
        <w:tc>
          <w:tcPr>
            <w:tcW w:w="2487" w:type="dxa"/>
            <w:tcBorders>
              <w:top w:val="single" w:sz="4" w:space="0" w:color="365F91"/>
              <w:bottom w:val="single" w:sz="4" w:space="0" w:color="365F91"/>
            </w:tcBorders>
          </w:tcPr>
          <w:p w14:paraId="455BC9F1" w14:textId="77777777" w:rsidR="0010265C" w:rsidRPr="00261B7A" w:rsidRDefault="0010265C" w:rsidP="009710B6">
            <w:pPr>
              <w:pStyle w:val="Tableboldblue"/>
              <w:spacing w:before="40" w:after="40"/>
              <w:jc w:val="right"/>
            </w:pPr>
          </w:p>
        </w:tc>
        <w:tc>
          <w:tcPr>
            <w:tcW w:w="1461" w:type="dxa"/>
            <w:tcBorders>
              <w:top w:val="single" w:sz="4" w:space="0" w:color="365F91"/>
              <w:bottom w:val="single" w:sz="4" w:space="0" w:color="365F91"/>
            </w:tcBorders>
            <w:vAlign w:val="center"/>
          </w:tcPr>
          <w:p w14:paraId="6D5F0933" w14:textId="77777777" w:rsidR="0010265C" w:rsidRPr="00261B7A" w:rsidRDefault="0010265C" w:rsidP="009710B6">
            <w:pPr>
              <w:pStyle w:val="Tableboldblue"/>
              <w:spacing w:before="40" w:after="40"/>
              <w:jc w:val="right"/>
            </w:pPr>
            <w:r w:rsidRPr="00261B7A">
              <w:t>423,912</w:t>
            </w:r>
          </w:p>
        </w:tc>
        <w:tc>
          <w:tcPr>
            <w:tcW w:w="1508" w:type="dxa"/>
            <w:tcBorders>
              <w:top w:val="single" w:sz="4" w:space="0" w:color="365F91"/>
              <w:bottom w:val="single" w:sz="4" w:space="0" w:color="365F91"/>
            </w:tcBorders>
            <w:vAlign w:val="center"/>
          </w:tcPr>
          <w:p w14:paraId="71F0E3E2" w14:textId="77777777" w:rsidR="0010265C" w:rsidRPr="00261B7A" w:rsidRDefault="0010265C" w:rsidP="009710B6">
            <w:pPr>
              <w:pStyle w:val="Tableboldblue"/>
              <w:spacing w:before="40" w:after="40"/>
              <w:jc w:val="right"/>
            </w:pPr>
            <w:r w:rsidRPr="00261B7A">
              <w:t>476,728</w:t>
            </w:r>
          </w:p>
        </w:tc>
        <w:tc>
          <w:tcPr>
            <w:tcW w:w="1323" w:type="dxa"/>
            <w:tcBorders>
              <w:top w:val="single" w:sz="4" w:space="0" w:color="365F91"/>
              <w:bottom w:val="single" w:sz="4" w:space="0" w:color="365F91"/>
            </w:tcBorders>
            <w:vAlign w:val="center"/>
          </w:tcPr>
          <w:p w14:paraId="416346C5" w14:textId="77777777" w:rsidR="0010265C" w:rsidRPr="00261B7A" w:rsidRDefault="0010265C" w:rsidP="009710B6">
            <w:pPr>
              <w:pStyle w:val="Tableboldblue"/>
              <w:spacing w:before="40" w:after="40"/>
              <w:jc w:val="right"/>
            </w:pPr>
            <w:r w:rsidRPr="00261B7A">
              <w:t>+12.5</w:t>
            </w:r>
          </w:p>
        </w:tc>
      </w:tr>
    </w:tbl>
    <w:p w14:paraId="1CA5BE33" w14:textId="77777777" w:rsidR="0010265C" w:rsidRPr="00261B7A" w:rsidRDefault="0010265C" w:rsidP="0010265C">
      <w:pPr>
        <w:pStyle w:val="Noteundertable"/>
      </w:pPr>
      <w:r w:rsidRPr="00261B7A">
        <w:rPr>
          <w:b/>
        </w:rPr>
        <w:t>Note:</w:t>
      </w:r>
      <w:r w:rsidRPr="00261B7A">
        <w:tab/>
        <w:t>NA = not applicable. This table shows the change between 1 January 1990 and 31 December 2021. Columns may not total due to rounding.</w:t>
      </w:r>
    </w:p>
    <w:p w14:paraId="1D7E78AE" w14:textId="77777777" w:rsidR="0010265C" w:rsidRPr="00261B7A" w:rsidRDefault="0010265C" w:rsidP="0010265C">
      <w:pPr>
        <w:pStyle w:val="BodyText"/>
        <w:spacing w:before="100" w:after="100"/>
      </w:pPr>
      <w:r w:rsidRPr="00261B7A">
        <w:t xml:space="preserve">In 2021, </w:t>
      </w:r>
      <w:r w:rsidRPr="00261B7A">
        <w:rPr>
          <w:i/>
        </w:rPr>
        <w:t>Cropland remaining cropland</w:t>
      </w:r>
      <w:r w:rsidRPr="00261B7A">
        <w:t xml:space="preserve"> (level and trend assessment) was a key category. </w:t>
      </w:r>
    </w:p>
    <w:p w14:paraId="17E86FFF" w14:textId="77777777" w:rsidR="0010265C" w:rsidRPr="00261B7A" w:rsidRDefault="0010265C" w:rsidP="0010265C">
      <w:pPr>
        <w:pStyle w:val="Heading3"/>
        <w:spacing w:before="280"/>
      </w:pPr>
      <w:bookmarkStart w:id="1883" w:name="_Toc139253964"/>
      <w:bookmarkStart w:id="1884" w:name="_Toc255466373"/>
      <w:bookmarkStart w:id="1885" w:name="_Toc261513180"/>
      <w:bookmarkStart w:id="1886" w:name="_Toc261513793"/>
      <w:bookmarkStart w:id="1887" w:name="_Toc280630265"/>
      <w:r w:rsidRPr="00261B7A">
        <w:t>6.4.2</w:t>
      </w:r>
      <w:r w:rsidRPr="00261B7A">
        <w:tab/>
        <w:t>Methodological issues</w:t>
      </w:r>
      <w:bookmarkEnd w:id="1883"/>
      <w:bookmarkEnd w:id="1884"/>
      <w:bookmarkEnd w:id="1885"/>
      <w:bookmarkEnd w:id="1886"/>
      <w:bookmarkEnd w:id="1887"/>
      <w:r w:rsidRPr="00261B7A">
        <w:t xml:space="preserve"> </w:t>
      </w:r>
    </w:p>
    <w:p w14:paraId="4B1D59BC" w14:textId="77777777" w:rsidR="0010265C" w:rsidRPr="00261B7A" w:rsidRDefault="0010265C" w:rsidP="0010265C">
      <w:pPr>
        <w:pStyle w:val="BodyText"/>
        <w:spacing w:before="100" w:after="100"/>
      </w:pPr>
      <w:r w:rsidRPr="00261B7A">
        <w:t xml:space="preserve">Emissions and removals for the living biomass and dead organic matter pools have been calculated using IPCC Tier 1 emission factors for annual cropland, Tier 2 emission factors for perennial cropland (Davis and Wakelin, unpublished) and activity data as described in section 6.2. Emissions and removals by the SOC pool are estimated using a Tier 2 method for mineral soils and IPCC Tier 1 defaults for organic soils as described in annex A3.2.4. </w:t>
      </w:r>
    </w:p>
    <w:p w14:paraId="400861CE" w14:textId="77777777" w:rsidR="0010265C" w:rsidRPr="00261B7A" w:rsidRDefault="0010265C" w:rsidP="0010265C">
      <w:pPr>
        <w:pStyle w:val="BodyText"/>
        <w:spacing w:before="100" w:after="100"/>
      </w:pPr>
      <w:r w:rsidRPr="00261B7A">
        <w:t xml:space="preserve">A summary of the New Zealand emission factors and other parameters used to estimate greenhouse gas emissions for the </w:t>
      </w:r>
      <w:r w:rsidRPr="00261B7A">
        <w:rPr>
          <w:i/>
        </w:rPr>
        <w:t>Cropland</w:t>
      </w:r>
      <w:r w:rsidRPr="00261B7A">
        <w:t xml:space="preserve"> category is provided in table 6.4.5. </w:t>
      </w:r>
      <w:bookmarkStart w:id="1888" w:name="_Toc310423418"/>
      <w:bookmarkStart w:id="1889" w:name="_Toc318362711"/>
      <w:bookmarkStart w:id="1890" w:name="_Toc342470773"/>
      <w:bookmarkStart w:id="1891" w:name="_Toc352505013"/>
      <w:bookmarkStart w:id="1892" w:name="_Toc378853304"/>
    </w:p>
    <w:p w14:paraId="1C9CF3E1" w14:textId="44ABA5AB" w:rsidR="0010265C" w:rsidRPr="00261B7A" w:rsidRDefault="0010265C" w:rsidP="00E24718">
      <w:pPr>
        <w:pStyle w:val="Table"/>
      </w:pPr>
      <w:bookmarkStart w:id="1893" w:name="_Toc391024102"/>
      <w:bookmarkStart w:id="1894" w:name="_Toc410028845"/>
      <w:bookmarkStart w:id="1895" w:name="_Toc414531473"/>
      <w:bookmarkStart w:id="1896" w:name="_Toc443645386"/>
      <w:bookmarkStart w:id="1897" w:name="_Toc474914605"/>
      <w:bookmarkStart w:id="1898" w:name="_Toc481751569"/>
      <w:bookmarkStart w:id="1899" w:name="_Toc522010626"/>
      <w:bookmarkStart w:id="1900" w:name="_Toc5269531"/>
      <w:bookmarkStart w:id="1901" w:name="_Toc33529405"/>
      <w:bookmarkStart w:id="1902" w:name="_Toc36224611"/>
      <w:bookmarkStart w:id="1903" w:name="_Toc65243608"/>
      <w:bookmarkStart w:id="1904" w:name="_Toc131591405"/>
      <w:r w:rsidRPr="00261B7A">
        <w:t>Table 6.4.5</w:t>
      </w:r>
      <w:r w:rsidRPr="00261B7A">
        <w:tab/>
        <w:t>Summary of New Zealand’s carbon stock change emission factors for the </w:t>
      </w:r>
      <w:r w:rsidRPr="00261B7A">
        <w:rPr>
          <w:i/>
        </w:rPr>
        <w:t>Cropland</w:t>
      </w:r>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r w:rsidRPr="00261B7A">
        <w:t xml:space="preserve"> category</w:t>
      </w:r>
      <w:bookmarkEnd w:id="1904"/>
      <w:r w:rsidR="00B10054" w:rsidRPr="00261B7A">
        <w:t xml:space="preserve"> </w:t>
      </w:r>
    </w:p>
    <w:tbl>
      <w:tblPr>
        <w:tblW w:w="8505" w:type="dxa"/>
        <w:tblLayout w:type="fixed"/>
        <w:tblCellMar>
          <w:left w:w="85" w:type="dxa"/>
          <w:right w:w="57" w:type="dxa"/>
        </w:tblCellMar>
        <w:tblLook w:val="04A0" w:firstRow="1" w:lastRow="0" w:firstColumn="1" w:lastColumn="0" w:noHBand="0" w:noVBand="1"/>
      </w:tblPr>
      <w:tblGrid>
        <w:gridCol w:w="886"/>
        <w:gridCol w:w="1535"/>
        <w:gridCol w:w="1122"/>
        <w:gridCol w:w="1241"/>
        <w:gridCol w:w="1028"/>
        <w:gridCol w:w="2693"/>
      </w:tblGrid>
      <w:tr w:rsidR="0010265C" w:rsidRPr="00261B7A" w14:paraId="24A88172" w14:textId="77777777" w:rsidTr="00E24718">
        <w:trPr>
          <w:tblHeader/>
        </w:trPr>
        <w:tc>
          <w:tcPr>
            <w:tcW w:w="886" w:type="dxa"/>
            <w:tcBorders>
              <w:top w:val="single" w:sz="4" w:space="0" w:color="1B556B"/>
              <w:bottom w:val="single" w:sz="4" w:space="0" w:color="1B556B"/>
            </w:tcBorders>
            <w:shd w:val="clear" w:color="auto" w:fill="1B556B"/>
            <w:vAlign w:val="bottom"/>
          </w:tcPr>
          <w:p w14:paraId="4C44C29F" w14:textId="77777777" w:rsidR="0010265C" w:rsidRPr="00261B7A" w:rsidRDefault="0010265C" w:rsidP="00D41492">
            <w:pPr>
              <w:pStyle w:val="TableTextBold"/>
              <w:keepNext/>
              <w:spacing w:before="40" w:after="40"/>
              <w:rPr>
                <w:rFonts w:cs="Segoe UI"/>
                <w:noProof w:val="0"/>
                <w:color w:val="FFFFFF"/>
                <w:szCs w:val="16"/>
              </w:rPr>
            </w:pPr>
            <w:r w:rsidRPr="00261B7A">
              <w:rPr>
                <w:rFonts w:cs="Segoe UI"/>
                <w:noProof w:val="0"/>
                <w:color w:val="FFFFFF"/>
                <w:szCs w:val="16"/>
              </w:rPr>
              <w:t>Land use</w:t>
            </w:r>
          </w:p>
        </w:tc>
        <w:tc>
          <w:tcPr>
            <w:tcW w:w="1535" w:type="dxa"/>
            <w:tcBorders>
              <w:top w:val="single" w:sz="4" w:space="0" w:color="1B556B"/>
              <w:bottom w:val="single" w:sz="4" w:space="0" w:color="1B556B"/>
            </w:tcBorders>
            <w:shd w:val="clear" w:color="auto" w:fill="1B556B"/>
            <w:vAlign w:val="bottom"/>
          </w:tcPr>
          <w:p w14:paraId="04EB3D55" w14:textId="77777777" w:rsidR="0010265C" w:rsidRPr="00261B7A" w:rsidRDefault="0010265C" w:rsidP="00D41492">
            <w:pPr>
              <w:pStyle w:val="TableTextBold"/>
              <w:keepNext/>
              <w:spacing w:before="40" w:after="40"/>
              <w:rPr>
                <w:rFonts w:cs="Segoe UI"/>
                <w:noProof w:val="0"/>
                <w:color w:val="FFFFFF"/>
                <w:szCs w:val="16"/>
              </w:rPr>
            </w:pPr>
            <w:r w:rsidRPr="00261B7A">
              <w:rPr>
                <w:rFonts w:cs="Segoe UI"/>
                <w:noProof w:val="0"/>
                <w:color w:val="FFFFFF"/>
                <w:szCs w:val="16"/>
              </w:rPr>
              <w:t>Carbon pool</w:t>
            </w:r>
          </w:p>
        </w:tc>
        <w:tc>
          <w:tcPr>
            <w:tcW w:w="1122" w:type="dxa"/>
            <w:tcBorders>
              <w:top w:val="single" w:sz="4" w:space="0" w:color="1B556B"/>
              <w:bottom w:val="single" w:sz="4" w:space="0" w:color="1B556B"/>
            </w:tcBorders>
            <w:shd w:val="clear" w:color="auto" w:fill="1B556B"/>
            <w:vAlign w:val="bottom"/>
          </w:tcPr>
          <w:p w14:paraId="4F9CAB1D" w14:textId="77777777" w:rsidR="0010265C" w:rsidRPr="00261B7A" w:rsidRDefault="0010265C" w:rsidP="00D41492">
            <w:pPr>
              <w:pStyle w:val="TableTextBold"/>
              <w:keepNext/>
              <w:spacing w:before="40" w:after="40"/>
              <w:rPr>
                <w:rFonts w:cs="Segoe UI"/>
                <w:noProof w:val="0"/>
                <w:color w:val="FFFFFF"/>
                <w:szCs w:val="16"/>
              </w:rPr>
            </w:pPr>
            <w:r w:rsidRPr="00261B7A">
              <w:rPr>
                <w:rFonts w:cs="Segoe UI"/>
                <w:noProof w:val="0"/>
                <w:color w:val="FFFFFF"/>
                <w:szCs w:val="16"/>
              </w:rPr>
              <w:t xml:space="preserve">Steady state carbon stock </w:t>
            </w:r>
            <w:r w:rsidRPr="00261B7A">
              <w:rPr>
                <w:rFonts w:cs="Segoe UI"/>
                <w:noProof w:val="0"/>
                <w:color w:val="FFFFFF"/>
                <w:szCs w:val="16"/>
              </w:rPr>
              <w:br/>
              <w:t>(t C ha</w:t>
            </w:r>
            <w:r w:rsidRPr="00261B7A">
              <w:rPr>
                <w:rFonts w:cs="Segoe UI"/>
                <w:noProof w:val="0"/>
                <w:color w:val="FFFFFF"/>
                <w:szCs w:val="16"/>
                <w:vertAlign w:val="superscript"/>
              </w:rPr>
              <w:t>–1</w:t>
            </w:r>
            <w:r w:rsidRPr="00261B7A">
              <w:rPr>
                <w:rFonts w:cs="Segoe UI"/>
                <w:noProof w:val="0"/>
                <w:color w:val="FFFFFF"/>
                <w:szCs w:val="16"/>
              </w:rPr>
              <w:t>)</w:t>
            </w:r>
          </w:p>
        </w:tc>
        <w:tc>
          <w:tcPr>
            <w:tcW w:w="1241" w:type="dxa"/>
            <w:tcBorders>
              <w:top w:val="single" w:sz="4" w:space="0" w:color="1B556B"/>
              <w:bottom w:val="single" w:sz="4" w:space="0" w:color="1B556B"/>
            </w:tcBorders>
            <w:shd w:val="clear" w:color="auto" w:fill="1B556B"/>
            <w:vAlign w:val="bottom"/>
          </w:tcPr>
          <w:p w14:paraId="485D4B14" w14:textId="77777777" w:rsidR="0010265C" w:rsidRPr="00261B7A" w:rsidRDefault="0010265C" w:rsidP="00D41492">
            <w:pPr>
              <w:pStyle w:val="TableTextBold"/>
              <w:keepNext/>
              <w:spacing w:before="40" w:after="40"/>
              <w:rPr>
                <w:rFonts w:cs="Segoe UI"/>
                <w:noProof w:val="0"/>
                <w:color w:val="FFFFFF"/>
                <w:szCs w:val="16"/>
              </w:rPr>
            </w:pPr>
            <w:r w:rsidRPr="00261B7A">
              <w:rPr>
                <w:rFonts w:cs="Segoe UI"/>
                <w:noProof w:val="0"/>
                <w:color w:val="FFFFFF"/>
                <w:szCs w:val="16"/>
              </w:rPr>
              <w:t xml:space="preserve">Annual carbon stock change </w:t>
            </w:r>
            <w:r w:rsidRPr="00261B7A">
              <w:rPr>
                <w:rFonts w:cs="Segoe UI"/>
                <w:noProof w:val="0"/>
                <w:color w:val="FFFFFF"/>
                <w:szCs w:val="16"/>
              </w:rPr>
              <w:br/>
              <w:t>(t C ha</w:t>
            </w:r>
            <w:r w:rsidRPr="00261B7A">
              <w:rPr>
                <w:rFonts w:cs="Segoe UI"/>
                <w:noProof w:val="0"/>
                <w:color w:val="FFFFFF"/>
                <w:szCs w:val="16"/>
                <w:vertAlign w:val="superscript"/>
              </w:rPr>
              <w:t>–1</w:t>
            </w:r>
            <w:r w:rsidRPr="00261B7A">
              <w:rPr>
                <w:rFonts w:cs="Segoe UI"/>
                <w:noProof w:val="0"/>
                <w:color w:val="FFFFFF"/>
                <w:szCs w:val="16"/>
              </w:rPr>
              <w:t>)</w:t>
            </w:r>
          </w:p>
        </w:tc>
        <w:tc>
          <w:tcPr>
            <w:tcW w:w="1028" w:type="dxa"/>
            <w:tcBorders>
              <w:top w:val="single" w:sz="4" w:space="0" w:color="1B556B"/>
              <w:bottom w:val="single" w:sz="4" w:space="0" w:color="1B556B"/>
            </w:tcBorders>
            <w:shd w:val="clear" w:color="auto" w:fill="1B556B"/>
            <w:vAlign w:val="bottom"/>
          </w:tcPr>
          <w:p w14:paraId="3E162C69" w14:textId="77777777" w:rsidR="0010265C" w:rsidRPr="00261B7A" w:rsidRDefault="0010265C" w:rsidP="00D41492">
            <w:pPr>
              <w:pStyle w:val="TableTextBold"/>
              <w:keepNext/>
              <w:spacing w:before="40" w:after="40"/>
              <w:rPr>
                <w:rFonts w:cs="Segoe UI"/>
                <w:noProof w:val="0"/>
                <w:color w:val="FFFFFF"/>
                <w:szCs w:val="16"/>
              </w:rPr>
            </w:pPr>
            <w:r w:rsidRPr="00261B7A">
              <w:rPr>
                <w:rFonts w:cs="Segoe UI"/>
                <w:noProof w:val="0"/>
                <w:color w:val="FFFFFF"/>
                <w:szCs w:val="16"/>
              </w:rPr>
              <w:t>Years to reach steady state</w:t>
            </w:r>
          </w:p>
        </w:tc>
        <w:tc>
          <w:tcPr>
            <w:tcW w:w="2693" w:type="dxa"/>
            <w:tcBorders>
              <w:top w:val="single" w:sz="4" w:space="0" w:color="1B556B"/>
              <w:bottom w:val="single" w:sz="4" w:space="0" w:color="1B556B"/>
            </w:tcBorders>
            <w:shd w:val="clear" w:color="auto" w:fill="1B556B"/>
            <w:vAlign w:val="bottom"/>
          </w:tcPr>
          <w:p w14:paraId="73B2926E" w14:textId="77777777" w:rsidR="0010265C" w:rsidRPr="00261B7A" w:rsidRDefault="0010265C" w:rsidP="00D41492">
            <w:pPr>
              <w:pStyle w:val="TableTextBold"/>
              <w:keepNext/>
              <w:spacing w:before="40" w:after="40"/>
              <w:rPr>
                <w:rFonts w:cs="Segoe UI"/>
                <w:noProof w:val="0"/>
                <w:color w:val="FFFFFF"/>
                <w:szCs w:val="16"/>
              </w:rPr>
            </w:pPr>
            <w:r w:rsidRPr="00261B7A">
              <w:rPr>
                <w:rFonts w:cs="Segoe UI"/>
                <w:noProof w:val="0"/>
                <w:color w:val="FFFFFF"/>
                <w:szCs w:val="16"/>
              </w:rPr>
              <w:t>Source</w:t>
            </w:r>
          </w:p>
        </w:tc>
      </w:tr>
      <w:tr w:rsidR="0010265C" w:rsidRPr="00261B7A" w14:paraId="1D1D195E" w14:textId="77777777" w:rsidTr="00E24718">
        <w:tc>
          <w:tcPr>
            <w:tcW w:w="886" w:type="dxa"/>
            <w:tcBorders>
              <w:top w:val="single" w:sz="4" w:space="0" w:color="1B556B"/>
            </w:tcBorders>
          </w:tcPr>
          <w:p w14:paraId="6F7AB313" w14:textId="77777777" w:rsidR="0010265C" w:rsidRPr="00261B7A" w:rsidRDefault="0010265C" w:rsidP="00D41492">
            <w:pPr>
              <w:pStyle w:val="TableTextBold"/>
              <w:keepNext/>
              <w:spacing w:before="40" w:after="40"/>
              <w:rPr>
                <w:rFonts w:cs="Segoe UI"/>
                <w:noProof w:val="0"/>
                <w:szCs w:val="16"/>
              </w:rPr>
            </w:pPr>
            <w:r w:rsidRPr="00261B7A">
              <w:rPr>
                <w:rFonts w:cs="Segoe UI"/>
                <w:noProof w:val="0"/>
                <w:szCs w:val="16"/>
              </w:rPr>
              <w:t>Annual</w:t>
            </w:r>
          </w:p>
        </w:tc>
        <w:tc>
          <w:tcPr>
            <w:tcW w:w="1535" w:type="dxa"/>
            <w:tcBorders>
              <w:top w:val="single" w:sz="4" w:space="0" w:color="1B556B"/>
              <w:bottom w:val="single" w:sz="4" w:space="0" w:color="1B556B"/>
            </w:tcBorders>
          </w:tcPr>
          <w:p w14:paraId="5134D6BD" w14:textId="77777777" w:rsidR="0010265C" w:rsidRPr="00261B7A" w:rsidRDefault="0010265C" w:rsidP="00D41492">
            <w:pPr>
              <w:pStyle w:val="TableText"/>
              <w:keepNext/>
              <w:spacing w:before="40" w:after="40"/>
              <w:rPr>
                <w:rFonts w:cs="Segoe UI"/>
                <w:szCs w:val="16"/>
              </w:rPr>
            </w:pPr>
            <w:r w:rsidRPr="00261B7A">
              <w:rPr>
                <w:rFonts w:cs="Segoe UI"/>
                <w:szCs w:val="16"/>
              </w:rPr>
              <w:t>Biomass</w:t>
            </w:r>
          </w:p>
        </w:tc>
        <w:tc>
          <w:tcPr>
            <w:tcW w:w="1122" w:type="dxa"/>
            <w:tcBorders>
              <w:top w:val="single" w:sz="4" w:space="0" w:color="1B556B"/>
              <w:bottom w:val="single" w:sz="4" w:space="0" w:color="1B556B"/>
            </w:tcBorders>
          </w:tcPr>
          <w:p w14:paraId="731EEDCB" w14:textId="77777777" w:rsidR="0010265C" w:rsidRPr="00261B7A" w:rsidRDefault="0010265C" w:rsidP="00D41492">
            <w:pPr>
              <w:pStyle w:val="TableText"/>
              <w:keepNext/>
              <w:spacing w:before="40" w:after="40"/>
              <w:rPr>
                <w:rFonts w:cs="Segoe UI"/>
                <w:szCs w:val="16"/>
              </w:rPr>
            </w:pPr>
          </w:p>
        </w:tc>
        <w:tc>
          <w:tcPr>
            <w:tcW w:w="1241" w:type="dxa"/>
            <w:tcBorders>
              <w:top w:val="single" w:sz="4" w:space="0" w:color="1B556B"/>
              <w:bottom w:val="single" w:sz="4" w:space="0" w:color="1B556B"/>
            </w:tcBorders>
          </w:tcPr>
          <w:p w14:paraId="04957C7C" w14:textId="77777777" w:rsidR="0010265C" w:rsidRPr="00261B7A" w:rsidRDefault="0010265C" w:rsidP="00D41492">
            <w:pPr>
              <w:pStyle w:val="TableText"/>
              <w:keepNext/>
              <w:spacing w:before="40" w:after="40"/>
              <w:rPr>
                <w:rFonts w:cs="Segoe UI"/>
                <w:szCs w:val="16"/>
              </w:rPr>
            </w:pPr>
          </w:p>
        </w:tc>
        <w:tc>
          <w:tcPr>
            <w:tcW w:w="1028" w:type="dxa"/>
            <w:tcBorders>
              <w:top w:val="single" w:sz="4" w:space="0" w:color="1B556B"/>
              <w:bottom w:val="single" w:sz="4" w:space="0" w:color="1B556B"/>
            </w:tcBorders>
          </w:tcPr>
          <w:p w14:paraId="75D55EB6" w14:textId="77777777" w:rsidR="0010265C" w:rsidRPr="00261B7A" w:rsidRDefault="0010265C" w:rsidP="00D41492">
            <w:pPr>
              <w:pStyle w:val="TableText"/>
              <w:keepNext/>
              <w:spacing w:before="40" w:after="40"/>
              <w:rPr>
                <w:rFonts w:cs="Segoe UI"/>
                <w:szCs w:val="16"/>
              </w:rPr>
            </w:pPr>
          </w:p>
        </w:tc>
        <w:tc>
          <w:tcPr>
            <w:tcW w:w="2693" w:type="dxa"/>
            <w:tcBorders>
              <w:top w:val="single" w:sz="4" w:space="0" w:color="1B556B"/>
              <w:bottom w:val="single" w:sz="4" w:space="0" w:color="1B556B"/>
            </w:tcBorders>
          </w:tcPr>
          <w:p w14:paraId="159F58C4" w14:textId="77777777" w:rsidR="0010265C" w:rsidRPr="00261B7A" w:rsidRDefault="0010265C" w:rsidP="00D41492">
            <w:pPr>
              <w:pStyle w:val="TableText"/>
              <w:keepNext/>
              <w:spacing w:before="40" w:after="40"/>
              <w:rPr>
                <w:rFonts w:cs="Segoe UI"/>
                <w:szCs w:val="16"/>
              </w:rPr>
            </w:pPr>
          </w:p>
        </w:tc>
      </w:tr>
      <w:tr w:rsidR="0010265C" w:rsidRPr="00261B7A" w14:paraId="59DA4B8A" w14:textId="77777777" w:rsidTr="00E24718">
        <w:tc>
          <w:tcPr>
            <w:tcW w:w="886" w:type="dxa"/>
          </w:tcPr>
          <w:p w14:paraId="0062ED8A" w14:textId="77777777" w:rsidR="0010265C" w:rsidRPr="00261B7A" w:rsidRDefault="0010265C" w:rsidP="00D41492">
            <w:pPr>
              <w:pStyle w:val="TableText"/>
              <w:spacing w:before="40" w:after="40"/>
              <w:rPr>
                <w:rFonts w:cs="Segoe UI"/>
                <w:szCs w:val="16"/>
              </w:rPr>
            </w:pPr>
            <w:r w:rsidRPr="00261B7A">
              <w:rPr>
                <w:rFonts w:cs="Segoe UI"/>
                <w:szCs w:val="16"/>
              </w:rPr>
              <w:t> </w:t>
            </w:r>
          </w:p>
        </w:tc>
        <w:tc>
          <w:tcPr>
            <w:tcW w:w="1535" w:type="dxa"/>
            <w:tcBorders>
              <w:top w:val="single" w:sz="4" w:space="0" w:color="1B556B"/>
              <w:bottom w:val="single" w:sz="4" w:space="0" w:color="1B556B"/>
            </w:tcBorders>
          </w:tcPr>
          <w:p w14:paraId="6E3F780F" w14:textId="77777777" w:rsidR="0010265C" w:rsidRPr="00261B7A" w:rsidRDefault="0010265C" w:rsidP="00D41492">
            <w:pPr>
              <w:pStyle w:val="TableText"/>
              <w:keepNext/>
              <w:spacing w:before="40" w:after="40"/>
              <w:rPr>
                <w:rFonts w:cs="Segoe UI"/>
                <w:szCs w:val="16"/>
              </w:rPr>
            </w:pPr>
            <w:r w:rsidRPr="00261B7A">
              <w:rPr>
                <w:rFonts w:cs="Segoe UI"/>
                <w:szCs w:val="16"/>
              </w:rPr>
              <w:t>Living biomass</w:t>
            </w:r>
          </w:p>
        </w:tc>
        <w:tc>
          <w:tcPr>
            <w:tcW w:w="1122" w:type="dxa"/>
            <w:tcBorders>
              <w:top w:val="single" w:sz="4" w:space="0" w:color="1B556B"/>
              <w:bottom w:val="single" w:sz="4" w:space="0" w:color="1B556B"/>
            </w:tcBorders>
          </w:tcPr>
          <w:p w14:paraId="13EDC8BF" w14:textId="77777777" w:rsidR="0010265C" w:rsidRPr="00261B7A" w:rsidRDefault="0010265C" w:rsidP="00D41492">
            <w:pPr>
              <w:pStyle w:val="TableText"/>
              <w:keepNext/>
              <w:spacing w:before="40" w:after="40"/>
              <w:rPr>
                <w:rFonts w:cs="Segoe UI"/>
                <w:szCs w:val="16"/>
              </w:rPr>
            </w:pPr>
            <w:r w:rsidRPr="00261B7A">
              <w:rPr>
                <w:rFonts w:cs="Segoe UI"/>
                <w:szCs w:val="16"/>
              </w:rPr>
              <w:t>5.0</w:t>
            </w:r>
          </w:p>
        </w:tc>
        <w:tc>
          <w:tcPr>
            <w:tcW w:w="1241" w:type="dxa"/>
            <w:tcBorders>
              <w:top w:val="single" w:sz="4" w:space="0" w:color="1B556B"/>
              <w:bottom w:val="single" w:sz="4" w:space="0" w:color="1B556B"/>
            </w:tcBorders>
          </w:tcPr>
          <w:p w14:paraId="243AFB77" w14:textId="77777777" w:rsidR="0010265C" w:rsidRPr="00261B7A" w:rsidRDefault="0010265C" w:rsidP="00D41492">
            <w:pPr>
              <w:pStyle w:val="TableText"/>
              <w:keepNext/>
              <w:spacing w:before="40" w:after="40"/>
              <w:rPr>
                <w:rFonts w:cs="Segoe UI"/>
                <w:szCs w:val="16"/>
              </w:rPr>
            </w:pPr>
            <w:r w:rsidRPr="00261B7A">
              <w:rPr>
                <w:rFonts w:cs="Segoe UI"/>
                <w:szCs w:val="16"/>
              </w:rPr>
              <w:t>NA</w:t>
            </w:r>
          </w:p>
        </w:tc>
        <w:tc>
          <w:tcPr>
            <w:tcW w:w="1028" w:type="dxa"/>
            <w:tcBorders>
              <w:top w:val="single" w:sz="4" w:space="0" w:color="1B556B"/>
              <w:bottom w:val="single" w:sz="4" w:space="0" w:color="1B556B"/>
            </w:tcBorders>
          </w:tcPr>
          <w:p w14:paraId="05CDC0ED" w14:textId="77777777" w:rsidR="0010265C" w:rsidRPr="00261B7A" w:rsidRDefault="0010265C" w:rsidP="00D41492">
            <w:pPr>
              <w:pStyle w:val="TableText"/>
              <w:keepNext/>
              <w:spacing w:before="40" w:after="40"/>
              <w:rPr>
                <w:rFonts w:cs="Segoe UI"/>
                <w:szCs w:val="16"/>
              </w:rPr>
            </w:pPr>
            <w:r w:rsidRPr="00261B7A">
              <w:rPr>
                <w:rFonts w:cs="Segoe UI"/>
                <w:szCs w:val="16"/>
              </w:rPr>
              <w:t>1</w:t>
            </w:r>
          </w:p>
        </w:tc>
        <w:tc>
          <w:tcPr>
            <w:tcW w:w="2693" w:type="dxa"/>
            <w:tcBorders>
              <w:top w:val="single" w:sz="4" w:space="0" w:color="1B556B"/>
              <w:bottom w:val="single" w:sz="4" w:space="0" w:color="1B556B"/>
            </w:tcBorders>
          </w:tcPr>
          <w:p w14:paraId="416EFC85" w14:textId="77777777" w:rsidR="0010265C" w:rsidRPr="00261B7A" w:rsidRDefault="0010265C" w:rsidP="00D41492">
            <w:pPr>
              <w:pStyle w:val="TableText"/>
              <w:keepNext/>
              <w:spacing w:before="40" w:after="40"/>
              <w:rPr>
                <w:rFonts w:cs="Segoe UI"/>
                <w:szCs w:val="16"/>
              </w:rPr>
            </w:pPr>
            <w:r w:rsidRPr="00261B7A">
              <w:rPr>
                <w:rFonts w:cs="Segoe UI"/>
                <w:szCs w:val="16"/>
              </w:rPr>
              <w:t>IPCC default (table 5.9, IPCC, 2006a)</w:t>
            </w:r>
          </w:p>
        </w:tc>
      </w:tr>
      <w:tr w:rsidR="0010265C" w:rsidRPr="00261B7A" w14:paraId="5CC6BE87" w14:textId="77777777" w:rsidTr="00E24718">
        <w:tc>
          <w:tcPr>
            <w:tcW w:w="886" w:type="dxa"/>
          </w:tcPr>
          <w:p w14:paraId="2690C314" w14:textId="77777777" w:rsidR="0010265C" w:rsidRPr="00261B7A" w:rsidRDefault="0010265C" w:rsidP="00D41492">
            <w:pPr>
              <w:pStyle w:val="TableText"/>
              <w:spacing w:before="40" w:after="40"/>
              <w:rPr>
                <w:rFonts w:cs="Segoe UI"/>
                <w:szCs w:val="16"/>
              </w:rPr>
            </w:pPr>
            <w:r w:rsidRPr="00261B7A">
              <w:rPr>
                <w:rFonts w:cs="Segoe UI"/>
                <w:szCs w:val="16"/>
              </w:rPr>
              <w:t> </w:t>
            </w:r>
          </w:p>
        </w:tc>
        <w:tc>
          <w:tcPr>
            <w:tcW w:w="1535" w:type="dxa"/>
            <w:tcBorders>
              <w:top w:val="single" w:sz="4" w:space="0" w:color="1B556B"/>
              <w:bottom w:val="single" w:sz="4" w:space="0" w:color="1B556B"/>
            </w:tcBorders>
          </w:tcPr>
          <w:p w14:paraId="1A9896DB" w14:textId="77777777" w:rsidR="0010265C" w:rsidRPr="00261B7A" w:rsidRDefault="0010265C" w:rsidP="00D41492">
            <w:pPr>
              <w:pStyle w:val="TableText"/>
              <w:spacing w:before="40" w:after="40"/>
              <w:rPr>
                <w:rFonts w:cs="Segoe UI"/>
                <w:szCs w:val="16"/>
              </w:rPr>
            </w:pPr>
            <w:r w:rsidRPr="00261B7A">
              <w:rPr>
                <w:rFonts w:cs="Segoe UI"/>
                <w:szCs w:val="16"/>
              </w:rPr>
              <w:t>Dead organic matter</w:t>
            </w:r>
          </w:p>
        </w:tc>
        <w:tc>
          <w:tcPr>
            <w:tcW w:w="1122" w:type="dxa"/>
            <w:tcBorders>
              <w:top w:val="single" w:sz="4" w:space="0" w:color="1B556B"/>
              <w:bottom w:val="single" w:sz="4" w:space="0" w:color="1B556B"/>
            </w:tcBorders>
          </w:tcPr>
          <w:p w14:paraId="6AE01910" w14:textId="77777777" w:rsidR="0010265C" w:rsidRPr="00261B7A" w:rsidRDefault="0010265C" w:rsidP="00D41492">
            <w:pPr>
              <w:pStyle w:val="TableText"/>
              <w:spacing w:before="40" w:after="40"/>
              <w:rPr>
                <w:rFonts w:cs="Segoe UI"/>
                <w:szCs w:val="16"/>
              </w:rPr>
            </w:pPr>
            <w:r w:rsidRPr="00261B7A">
              <w:rPr>
                <w:rFonts w:cs="Segoe UI"/>
                <w:szCs w:val="16"/>
              </w:rPr>
              <w:t>NE</w:t>
            </w:r>
          </w:p>
        </w:tc>
        <w:tc>
          <w:tcPr>
            <w:tcW w:w="1241" w:type="dxa"/>
            <w:tcBorders>
              <w:top w:val="single" w:sz="4" w:space="0" w:color="1B556B"/>
              <w:bottom w:val="single" w:sz="4" w:space="0" w:color="1B556B"/>
            </w:tcBorders>
          </w:tcPr>
          <w:p w14:paraId="322E5BEC" w14:textId="77777777" w:rsidR="0010265C" w:rsidRPr="00261B7A" w:rsidRDefault="0010265C" w:rsidP="00D41492">
            <w:pPr>
              <w:pStyle w:val="TableText"/>
              <w:spacing w:before="40" w:after="40"/>
              <w:rPr>
                <w:rFonts w:cs="Segoe UI"/>
                <w:szCs w:val="16"/>
              </w:rPr>
            </w:pPr>
            <w:r w:rsidRPr="00261B7A">
              <w:rPr>
                <w:rFonts w:cs="Segoe UI"/>
                <w:szCs w:val="16"/>
              </w:rPr>
              <w:t>NE</w:t>
            </w:r>
          </w:p>
        </w:tc>
        <w:tc>
          <w:tcPr>
            <w:tcW w:w="1028" w:type="dxa"/>
            <w:tcBorders>
              <w:top w:val="single" w:sz="4" w:space="0" w:color="1B556B"/>
              <w:bottom w:val="single" w:sz="4" w:space="0" w:color="1B556B"/>
            </w:tcBorders>
          </w:tcPr>
          <w:p w14:paraId="37892FCC" w14:textId="77777777" w:rsidR="0010265C" w:rsidRPr="00261B7A" w:rsidRDefault="0010265C" w:rsidP="00D41492">
            <w:pPr>
              <w:pStyle w:val="TableText"/>
              <w:spacing w:before="40" w:after="40"/>
              <w:rPr>
                <w:rFonts w:cs="Segoe UI"/>
                <w:szCs w:val="16"/>
              </w:rPr>
            </w:pPr>
            <w:r w:rsidRPr="00261B7A">
              <w:rPr>
                <w:rFonts w:cs="Segoe UI"/>
                <w:szCs w:val="16"/>
              </w:rPr>
              <w:t>NA</w:t>
            </w:r>
          </w:p>
        </w:tc>
        <w:tc>
          <w:tcPr>
            <w:tcW w:w="2693" w:type="dxa"/>
            <w:tcBorders>
              <w:top w:val="single" w:sz="4" w:space="0" w:color="1B556B"/>
              <w:bottom w:val="single" w:sz="4" w:space="0" w:color="1B556B"/>
            </w:tcBorders>
          </w:tcPr>
          <w:p w14:paraId="24FB6E64" w14:textId="77777777" w:rsidR="0010265C" w:rsidRPr="00261B7A" w:rsidRDefault="0010265C" w:rsidP="00D41492">
            <w:pPr>
              <w:pStyle w:val="TableText"/>
              <w:spacing w:before="40" w:after="40"/>
              <w:rPr>
                <w:rFonts w:cs="Segoe UI"/>
                <w:szCs w:val="16"/>
              </w:rPr>
            </w:pPr>
            <w:r w:rsidRPr="00261B7A">
              <w:rPr>
                <w:rFonts w:cs="Segoe UI"/>
                <w:szCs w:val="16"/>
              </w:rPr>
              <w:t>No IPCC guidelines</w:t>
            </w:r>
          </w:p>
        </w:tc>
      </w:tr>
      <w:tr w:rsidR="0010265C" w:rsidRPr="00261B7A" w14:paraId="6A9B4200" w14:textId="77777777" w:rsidTr="00E24718">
        <w:tc>
          <w:tcPr>
            <w:tcW w:w="886" w:type="dxa"/>
          </w:tcPr>
          <w:p w14:paraId="4F8836D4" w14:textId="77777777" w:rsidR="0010265C" w:rsidRPr="00261B7A" w:rsidRDefault="0010265C" w:rsidP="00D41492">
            <w:pPr>
              <w:pStyle w:val="TableText"/>
              <w:spacing w:before="40" w:after="40"/>
              <w:rPr>
                <w:rFonts w:cs="Segoe UI"/>
                <w:szCs w:val="16"/>
              </w:rPr>
            </w:pPr>
            <w:r w:rsidRPr="00261B7A">
              <w:rPr>
                <w:rFonts w:cs="Segoe UI"/>
                <w:szCs w:val="16"/>
              </w:rPr>
              <w:t> </w:t>
            </w:r>
          </w:p>
        </w:tc>
        <w:tc>
          <w:tcPr>
            <w:tcW w:w="1535" w:type="dxa"/>
            <w:tcBorders>
              <w:top w:val="single" w:sz="4" w:space="0" w:color="1B556B"/>
              <w:bottom w:val="single" w:sz="4" w:space="0" w:color="1B556B"/>
            </w:tcBorders>
          </w:tcPr>
          <w:p w14:paraId="37AC5189" w14:textId="77777777" w:rsidR="0010265C" w:rsidRPr="00261B7A" w:rsidRDefault="0010265C" w:rsidP="00D41492">
            <w:pPr>
              <w:pStyle w:val="TableText"/>
              <w:spacing w:before="40" w:after="40"/>
              <w:rPr>
                <w:rFonts w:cs="Segoe UI"/>
                <w:szCs w:val="16"/>
              </w:rPr>
            </w:pPr>
            <w:r w:rsidRPr="00261B7A">
              <w:rPr>
                <w:rFonts w:cs="Segoe UI"/>
                <w:szCs w:val="16"/>
              </w:rPr>
              <w:t>Soils</w:t>
            </w:r>
          </w:p>
        </w:tc>
        <w:tc>
          <w:tcPr>
            <w:tcW w:w="1122" w:type="dxa"/>
            <w:tcBorders>
              <w:top w:val="single" w:sz="4" w:space="0" w:color="1B556B"/>
              <w:bottom w:val="single" w:sz="4" w:space="0" w:color="1B556B"/>
            </w:tcBorders>
          </w:tcPr>
          <w:p w14:paraId="68C0CB89" w14:textId="77777777" w:rsidR="0010265C" w:rsidRPr="00261B7A" w:rsidRDefault="0010265C" w:rsidP="00D41492">
            <w:pPr>
              <w:pStyle w:val="TableText"/>
              <w:spacing w:before="40" w:after="40"/>
              <w:rPr>
                <w:rFonts w:cs="Segoe UI"/>
                <w:szCs w:val="16"/>
              </w:rPr>
            </w:pPr>
          </w:p>
        </w:tc>
        <w:tc>
          <w:tcPr>
            <w:tcW w:w="1241" w:type="dxa"/>
            <w:tcBorders>
              <w:top w:val="single" w:sz="4" w:space="0" w:color="1B556B"/>
              <w:bottom w:val="single" w:sz="4" w:space="0" w:color="1B556B"/>
            </w:tcBorders>
          </w:tcPr>
          <w:p w14:paraId="474D2DA5" w14:textId="77777777" w:rsidR="0010265C" w:rsidRPr="00261B7A" w:rsidRDefault="0010265C" w:rsidP="00D41492">
            <w:pPr>
              <w:pStyle w:val="TableText"/>
              <w:spacing w:before="40" w:after="40"/>
              <w:rPr>
                <w:rFonts w:cs="Segoe UI"/>
                <w:szCs w:val="16"/>
              </w:rPr>
            </w:pPr>
          </w:p>
        </w:tc>
        <w:tc>
          <w:tcPr>
            <w:tcW w:w="1028" w:type="dxa"/>
            <w:tcBorders>
              <w:top w:val="single" w:sz="4" w:space="0" w:color="1B556B"/>
              <w:bottom w:val="single" w:sz="4" w:space="0" w:color="1B556B"/>
            </w:tcBorders>
          </w:tcPr>
          <w:p w14:paraId="76DCFBD7" w14:textId="77777777" w:rsidR="0010265C" w:rsidRPr="00261B7A" w:rsidRDefault="0010265C" w:rsidP="00D41492">
            <w:pPr>
              <w:pStyle w:val="TableText"/>
              <w:spacing w:before="40" w:after="40"/>
              <w:rPr>
                <w:rFonts w:cs="Segoe UI"/>
                <w:szCs w:val="16"/>
              </w:rPr>
            </w:pPr>
          </w:p>
        </w:tc>
        <w:tc>
          <w:tcPr>
            <w:tcW w:w="2693" w:type="dxa"/>
            <w:tcBorders>
              <w:top w:val="single" w:sz="4" w:space="0" w:color="1B556B"/>
              <w:bottom w:val="single" w:sz="4" w:space="0" w:color="1B556B"/>
            </w:tcBorders>
          </w:tcPr>
          <w:p w14:paraId="16B64C56" w14:textId="77777777" w:rsidR="0010265C" w:rsidRPr="00261B7A" w:rsidRDefault="0010265C" w:rsidP="00D41492">
            <w:pPr>
              <w:pStyle w:val="TableText"/>
              <w:spacing w:before="40" w:after="40"/>
              <w:rPr>
                <w:rFonts w:cs="Segoe UI"/>
                <w:szCs w:val="16"/>
              </w:rPr>
            </w:pPr>
          </w:p>
        </w:tc>
      </w:tr>
      <w:tr w:rsidR="0010265C" w:rsidRPr="00261B7A" w14:paraId="21CFEAE4" w14:textId="77777777" w:rsidTr="00E24718">
        <w:tc>
          <w:tcPr>
            <w:tcW w:w="886" w:type="dxa"/>
          </w:tcPr>
          <w:p w14:paraId="613FF422" w14:textId="77777777" w:rsidR="0010265C" w:rsidRPr="00261B7A" w:rsidRDefault="0010265C" w:rsidP="00D41492">
            <w:pPr>
              <w:pStyle w:val="TableText"/>
              <w:spacing w:before="40" w:after="40"/>
              <w:rPr>
                <w:rFonts w:cs="Segoe UI"/>
                <w:szCs w:val="16"/>
              </w:rPr>
            </w:pPr>
          </w:p>
        </w:tc>
        <w:tc>
          <w:tcPr>
            <w:tcW w:w="1535" w:type="dxa"/>
            <w:tcBorders>
              <w:top w:val="single" w:sz="4" w:space="0" w:color="1B556B"/>
              <w:bottom w:val="single" w:sz="4" w:space="0" w:color="1B556B"/>
            </w:tcBorders>
          </w:tcPr>
          <w:p w14:paraId="6D859909" w14:textId="77777777" w:rsidR="0010265C" w:rsidRPr="00261B7A" w:rsidRDefault="0010265C" w:rsidP="00D41492">
            <w:pPr>
              <w:pStyle w:val="TableText"/>
              <w:spacing w:before="40" w:after="40"/>
              <w:rPr>
                <w:rFonts w:cs="Segoe UI"/>
                <w:szCs w:val="16"/>
              </w:rPr>
            </w:pPr>
            <w:r w:rsidRPr="00261B7A">
              <w:rPr>
                <w:rFonts w:cs="Segoe UI"/>
                <w:szCs w:val="16"/>
              </w:rPr>
              <w:t xml:space="preserve">Mineral </w:t>
            </w:r>
          </w:p>
        </w:tc>
        <w:tc>
          <w:tcPr>
            <w:tcW w:w="1122" w:type="dxa"/>
            <w:tcBorders>
              <w:top w:val="single" w:sz="4" w:space="0" w:color="1B556B"/>
              <w:bottom w:val="single" w:sz="4" w:space="0" w:color="1B556B"/>
            </w:tcBorders>
          </w:tcPr>
          <w:p w14:paraId="394CE28F" w14:textId="77777777" w:rsidR="0010265C" w:rsidRPr="00261B7A" w:rsidRDefault="0010265C" w:rsidP="00D41492">
            <w:pPr>
              <w:pStyle w:val="TableText"/>
              <w:spacing w:before="40" w:after="40"/>
              <w:rPr>
                <w:rFonts w:cs="Segoe UI"/>
                <w:szCs w:val="16"/>
              </w:rPr>
            </w:pPr>
            <w:r w:rsidRPr="00261B7A">
              <w:rPr>
                <w:rFonts w:cs="Segoe UI"/>
                <w:szCs w:val="16"/>
              </w:rPr>
              <w:t>89.77</w:t>
            </w:r>
          </w:p>
        </w:tc>
        <w:tc>
          <w:tcPr>
            <w:tcW w:w="1241" w:type="dxa"/>
            <w:tcBorders>
              <w:top w:val="single" w:sz="4" w:space="0" w:color="1B556B"/>
              <w:bottom w:val="single" w:sz="4" w:space="0" w:color="1B556B"/>
            </w:tcBorders>
          </w:tcPr>
          <w:p w14:paraId="559C5E31" w14:textId="77777777" w:rsidR="0010265C" w:rsidRPr="00261B7A" w:rsidRDefault="0010265C" w:rsidP="00D41492">
            <w:pPr>
              <w:pStyle w:val="TableText"/>
              <w:spacing w:before="40" w:after="40"/>
              <w:rPr>
                <w:rFonts w:cs="Segoe UI"/>
                <w:szCs w:val="16"/>
              </w:rPr>
            </w:pPr>
            <w:r w:rsidRPr="00261B7A">
              <w:rPr>
                <w:rFonts w:cs="Segoe UI"/>
                <w:szCs w:val="16"/>
              </w:rPr>
              <w:t>*</w:t>
            </w:r>
          </w:p>
        </w:tc>
        <w:tc>
          <w:tcPr>
            <w:tcW w:w="1028" w:type="dxa"/>
            <w:tcBorders>
              <w:top w:val="single" w:sz="4" w:space="0" w:color="1B556B"/>
              <w:bottom w:val="single" w:sz="4" w:space="0" w:color="1B556B"/>
            </w:tcBorders>
          </w:tcPr>
          <w:p w14:paraId="6AD65A43" w14:textId="77777777" w:rsidR="0010265C" w:rsidRPr="00261B7A" w:rsidRDefault="0010265C" w:rsidP="00D41492">
            <w:pPr>
              <w:pStyle w:val="TableText"/>
              <w:spacing w:before="40" w:after="40"/>
              <w:rPr>
                <w:rFonts w:cs="Segoe UI"/>
                <w:szCs w:val="16"/>
              </w:rPr>
            </w:pPr>
            <w:r w:rsidRPr="00261B7A">
              <w:rPr>
                <w:rFonts w:cs="Segoe UI"/>
                <w:szCs w:val="16"/>
              </w:rPr>
              <w:t>20</w:t>
            </w:r>
          </w:p>
        </w:tc>
        <w:tc>
          <w:tcPr>
            <w:tcW w:w="2693" w:type="dxa"/>
            <w:tcBorders>
              <w:top w:val="single" w:sz="4" w:space="0" w:color="1B556B"/>
              <w:bottom w:val="single" w:sz="4" w:space="0" w:color="1B556B"/>
            </w:tcBorders>
          </w:tcPr>
          <w:p w14:paraId="3C519BB9" w14:textId="77777777" w:rsidR="0010265C" w:rsidRPr="00261B7A" w:rsidRDefault="0010265C" w:rsidP="00D41492">
            <w:pPr>
              <w:pStyle w:val="TableText"/>
              <w:spacing w:before="40" w:after="40"/>
              <w:rPr>
                <w:rFonts w:cs="Segoe UI"/>
                <w:szCs w:val="16"/>
              </w:rPr>
            </w:pPr>
            <w:r w:rsidRPr="00261B7A">
              <w:rPr>
                <w:rFonts w:cs="Segoe UI"/>
                <w:szCs w:val="16"/>
              </w:rPr>
              <w:t>NZ-specific EF (McNeill and Barringer, unpublished)</w:t>
            </w:r>
          </w:p>
        </w:tc>
      </w:tr>
      <w:tr w:rsidR="0010265C" w:rsidRPr="00261B7A" w14:paraId="51F92151" w14:textId="77777777" w:rsidTr="00E24718">
        <w:tc>
          <w:tcPr>
            <w:tcW w:w="886" w:type="dxa"/>
            <w:tcBorders>
              <w:bottom w:val="single" w:sz="4" w:space="0" w:color="1B556B"/>
            </w:tcBorders>
          </w:tcPr>
          <w:p w14:paraId="4072E8C5" w14:textId="77777777" w:rsidR="0010265C" w:rsidRPr="00261B7A" w:rsidRDefault="0010265C" w:rsidP="00D41492">
            <w:pPr>
              <w:pStyle w:val="TableText"/>
              <w:spacing w:before="40" w:after="40"/>
              <w:rPr>
                <w:rFonts w:cs="Segoe UI"/>
                <w:szCs w:val="16"/>
              </w:rPr>
            </w:pPr>
          </w:p>
        </w:tc>
        <w:tc>
          <w:tcPr>
            <w:tcW w:w="1535" w:type="dxa"/>
            <w:tcBorders>
              <w:top w:val="single" w:sz="4" w:space="0" w:color="1B556B"/>
              <w:bottom w:val="single" w:sz="4" w:space="0" w:color="1B556B"/>
            </w:tcBorders>
          </w:tcPr>
          <w:p w14:paraId="1358B366" w14:textId="77777777" w:rsidR="0010265C" w:rsidRPr="00261B7A" w:rsidRDefault="0010265C" w:rsidP="00D41492">
            <w:pPr>
              <w:pStyle w:val="TableText"/>
              <w:spacing w:before="40" w:after="40"/>
              <w:rPr>
                <w:rFonts w:cs="Segoe UI"/>
                <w:szCs w:val="16"/>
              </w:rPr>
            </w:pPr>
            <w:r w:rsidRPr="00261B7A">
              <w:rPr>
                <w:rFonts w:cs="Segoe UI"/>
                <w:szCs w:val="16"/>
              </w:rPr>
              <w:t xml:space="preserve">Organic </w:t>
            </w:r>
          </w:p>
        </w:tc>
        <w:tc>
          <w:tcPr>
            <w:tcW w:w="1122" w:type="dxa"/>
            <w:tcBorders>
              <w:top w:val="single" w:sz="4" w:space="0" w:color="1B556B"/>
              <w:bottom w:val="single" w:sz="4" w:space="0" w:color="1B556B"/>
            </w:tcBorders>
          </w:tcPr>
          <w:p w14:paraId="4CE6FDC3" w14:textId="77777777" w:rsidR="0010265C" w:rsidRPr="00261B7A" w:rsidRDefault="0010265C" w:rsidP="00D41492">
            <w:pPr>
              <w:pStyle w:val="TableText"/>
              <w:spacing w:before="40" w:after="40"/>
              <w:rPr>
                <w:rFonts w:cs="Segoe UI"/>
                <w:szCs w:val="16"/>
              </w:rPr>
            </w:pPr>
            <w:r w:rsidRPr="00261B7A">
              <w:rPr>
                <w:rFonts w:cs="Segoe UI"/>
                <w:szCs w:val="16"/>
              </w:rPr>
              <w:t>NE</w:t>
            </w:r>
          </w:p>
        </w:tc>
        <w:tc>
          <w:tcPr>
            <w:tcW w:w="1241" w:type="dxa"/>
            <w:tcBorders>
              <w:top w:val="single" w:sz="4" w:space="0" w:color="1B556B"/>
              <w:bottom w:val="single" w:sz="4" w:space="0" w:color="1B556B"/>
            </w:tcBorders>
          </w:tcPr>
          <w:p w14:paraId="54A1F409" w14:textId="77777777" w:rsidR="0010265C" w:rsidRPr="00261B7A" w:rsidRDefault="0010265C" w:rsidP="00D41492">
            <w:pPr>
              <w:pStyle w:val="TableText"/>
              <w:spacing w:before="40" w:after="40"/>
              <w:rPr>
                <w:rFonts w:cs="Segoe UI"/>
                <w:szCs w:val="16"/>
              </w:rPr>
            </w:pPr>
            <w:r w:rsidRPr="00261B7A">
              <w:rPr>
                <w:rFonts w:cs="Segoe UI"/>
                <w:szCs w:val="16"/>
              </w:rPr>
              <w:t>–5.0 or –10.0**</w:t>
            </w:r>
          </w:p>
        </w:tc>
        <w:tc>
          <w:tcPr>
            <w:tcW w:w="1028" w:type="dxa"/>
            <w:tcBorders>
              <w:top w:val="single" w:sz="4" w:space="0" w:color="1B556B"/>
              <w:bottom w:val="single" w:sz="4" w:space="0" w:color="1B556B"/>
            </w:tcBorders>
          </w:tcPr>
          <w:p w14:paraId="641BE112" w14:textId="77777777" w:rsidR="0010265C" w:rsidRPr="00261B7A" w:rsidRDefault="0010265C" w:rsidP="00D41492">
            <w:pPr>
              <w:pStyle w:val="TableText"/>
              <w:spacing w:before="40" w:after="40"/>
              <w:rPr>
                <w:rFonts w:cs="Segoe UI"/>
                <w:szCs w:val="16"/>
              </w:rPr>
            </w:pPr>
          </w:p>
        </w:tc>
        <w:tc>
          <w:tcPr>
            <w:tcW w:w="2693" w:type="dxa"/>
            <w:tcBorders>
              <w:top w:val="single" w:sz="4" w:space="0" w:color="1B556B"/>
              <w:bottom w:val="single" w:sz="4" w:space="0" w:color="1B556B"/>
            </w:tcBorders>
          </w:tcPr>
          <w:p w14:paraId="1C966DA5" w14:textId="77777777" w:rsidR="0010265C" w:rsidRPr="00261B7A" w:rsidRDefault="0010265C" w:rsidP="00D41492">
            <w:pPr>
              <w:pStyle w:val="TableText"/>
              <w:spacing w:before="40" w:after="40"/>
              <w:rPr>
                <w:rFonts w:cs="Segoe UI"/>
                <w:szCs w:val="16"/>
              </w:rPr>
            </w:pPr>
            <w:r w:rsidRPr="00261B7A">
              <w:rPr>
                <w:rFonts w:cs="Segoe UI"/>
                <w:szCs w:val="16"/>
              </w:rPr>
              <w:t>IPCC Tier 1 default, (table 5.6, IPCC, 2006a)</w:t>
            </w:r>
          </w:p>
        </w:tc>
      </w:tr>
      <w:tr w:rsidR="0010265C" w:rsidRPr="00261B7A" w14:paraId="64610C5B" w14:textId="77777777" w:rsidTr="00E24718">
        <w:tc>
          <w:tcPr>
            <w:tcW w:w="886" w:type="dxa"/>
            <w:tcBorders>
              <w:top w:val="single" w:sz="4" w:space="0" w:color="1B556B"/>
            </w:tcBorders>
          </w:tcPr>
          <w:p w14:paraId="5D7FFA1D" w14:textId="77777777" w:rsidR="0010265C" w:rsidRPr="00261B7A" w:rsidRDefault="0010265C" w:rsidP="00D41492">
            <w:pPr>
              <w:pStyle w:val="TableTextBold"/>
              <w:spacing w:before="40" w:after="40"/>
              <w:rPr>
                <w:noProof w:val="0"/>
              </w:rPr>
            </w:pPr>
            <w:r w:rsidRPr="00261B7A">
              <w:rPr>
                <w:noProof w:val="0"/>
              </w:rPr>
              <w:t>Perennial</w:t>
            </w:r>
          </w:p>
        </w:tc>
        <w:tc>
          <w:tcPr>
            <w:tcW w:w="1535" w:type="dxa"/>
            <w:tcBorders>
              <w:top w:val="single" w:sz="4" w:space="0" w:color="1B556B"/>
              <w:bottom w:val="single" w:sz="4" w:space="0" w:color="1B556B"/>
            </w:tcBorders>
          </w:tcPr>
          <w:p w14:paraId="11AB14A3" w14:textId="77777777" w:rsidR="0010265C" w:rsidRPr="00261B7A" w:rsidRDefault="0010265C" w:rsidP="00D41492">
            <w:pPr>
              <w:pStyle w:val="TableText"/>
              <w:keepNext/>
              <w:spacing w:before="40" w:after="40"/>
              <w:rPr>
                <w:rFonts w:cs="Segoe UI"/>
                <w:szCs w:val="16"/>
              </w:rPr>
            </w:pPr>
            <w:r w:rsidRPr="00261B7A">
              <w:rPr>
                <w:rFonts w:cs="Segoe UI"/>
                <w:szCs w:val="16"/>
              </w:rPr>
              <w:t>Biomass</w:t>
            </w:r>
          </w:p>
        </w:tc>
        <w:tc>
          <w:tcPr>
            <w:tcW w:w="1122" w:type="dxa"/>
            <w:tcBorders>
              <w:top w:val="single" w:sz="4" w:space="0" w:color="1B556B"/>
              <w:bottom w:val="single" w:sz="4" w:space="0" w:color="1B556B"/>
            </w:tcBorders>
          </w:tcPr>
          <w:p w14:paraId="6B436C7B" w14:textId="77777777" w:rsidR="0010265C" w:rsidRPr="00261B7A" w:rsidRDefault="0010265C" w:rsidP="00D41492">
            <w:pPr>
              <w:pStyle w:val="TableText"/>
              <w:keepNext/>
              <w:spacing w:before="40" w:after="40"/>
              <w:rPr>
                <w:rFonts w:cs="Segoe UI"/>
                <w:szCs w:val="16"/>
              </w:rPr>
            </w:pPr>
          </w:p>
        </w:tc>
        <w:tc>
          <w:tcPr>
            <w:tcW w:w="1241" w:type="dxa"/>
            <w:tcBorders>
              <w:top w:val="single" w:sz="4" w:space="0" w:color="1B556B"/>
              <w:bottom w:val="single" w:sz="4" w:space="0" w:color="1B556B"/>
            </w:tcBorders>
          </w:tcPr>
          <w:p w14:paraId="14A59E87" w14:textId="77777777" w:rsidR="0010265C" w:rsidRPr="00261B7A" w:rsidRDefault="0010265C" w:rsidP="00D41492">
            <w:pPr>
              <w:pStyle w:val="TableText"/>
              <w:keepNext/>
              <w:spacing w:before="40" w:after="40"/>
              <w:rPr>
                <w:rFonts w:cs="Segoe UI"/>
                <w:szCs w:val="16"/>
              </w:rPr>
            </w:pPr>
          </w:p>
        </w:tc>
        <w:tc>
          <w:tcPr>
            <w:tcW w:w="1028" w:type="dxa"/>
            <w:tcBorders>
              <w:top w:val="single" w:sz="4" w:space="0" w:color="1B556B"/>
              <w:bottom w:val="single" w:sz="4" w:space="0" w:color="1B556B"/>
            </w:tcBorders>
          </w:tcPr>
          <w:p w14:paraId="30BF4DA0" w14:textId="77777777" w:rsidR="0010265C" w:rsidRPr="00261B7A" w:rsidRDefault="0010265C" w:rsidP="00D41492">
            <w:pPr>
              <w:pStyle w:val="TableText"/>
              <w:keepNext/>
              <w:spacing w:before="40" w:after="40"/>
              <w:rPr>
                <w:rFonts w:cs="Segoe UI"/>
                <w:szCs w:val="16"/>
              </w:rPr>
            </w:pPr>
          </w:p>
        </w:tc>
        <w:tc>
          <w:tcPr>
            <w:tcW w:w="2693" w:type="dxa"/>
            <w:tcBorders>
              <w:top w:val="single" w:sz="4" w:space="0" w:color="1B556B"/>
              <w:bottom w:val="single" w:sz="4" w:space="0" w:color="1B556B"/>
            </w:tcBorders>
          </w:tcPr>
          <w:p w14:paraId="3611CFE3" w14:textId="77777777" w:rsidR="0010265C" w:rsidRPr="00261B7A" w:rsidRDefault="0010265C" w:rsidP="00D41492">
            <w:pPr>
              <w:pStyle w:val="TableText"/>
              <w:keepNext/>
              <w:spacing w:before="40" w:after="40"/>
              <w:rPr>
                <w:rFonts w:cs="Segoe UI"/>
                <w:szCs w:val="16"/>
              </w:rPr>
            </w:pPr>
          </w:p>
        </w:tc>
      </w:tr>
      <w:tr w:rsidR="0010265C" w:rsidRPr="00261B7A" w14:paraId="5BD3ED3F" w14:textId="77777777" w:rsidTr="00E24718">
        <w:tc>
          <w:tcPr>
            <w:tcW w:w="886" w:type="dxa"/>
          </w:tcPr>
          <w:p w14:paraId="7A23F78A" w14:textId="77777777" w:rsidR="0010265C" w:rsidRPr="00261B7A" w:rsidRDefault="0010265C" w:rsidP="00D41492">
            <w:pPr>
              <w:pStyle w:val="TableText"/>
              <w:spacing w:before="40" w:after="40"/>
            </w:pPr>
            <w:r w:rsidRPr="00261B7A">
              <w:t> </w:t>
            </w:r>
          </w:p>
        </w:tc>
        <w:tc>
          <w:tcPr>
            <w:tcW w:w="1535" w:type="dxa"/>
            <w:tcBorders>
              <w:top w:val="single" w:sz="4" w:space="0" w:color="1B556B"/>
              <w:bottom w:val="single" w:sz="4" w:space="0" w:color="1B556B"/>
            </w:tcBorders>
          </w:tcPr>
          <w:p w14:paraId="50DC6C55" w14:textId="77777777" w:rsidR="0010265C" w:rsidRPr="00261B7A" w:rsidRDefault="0010265C" w:rsidP="00D41492">
            <w:pPr>
              <w:pStyle w:val="TableText"/>
              <w:keepNext/>
              <w:spacing w:before="40" w:after="40"/>
              <w:rPr>
                <w:rFonts w:cs="Segoe UI"/>
                <w:szCs w:val="16"/>
              </w:rPr>
            </w:pPr>
            <w:r w:rsidRPr="00261B7A">
              <w:rPr>
                <w:rFonts w:cs="Segoe UI"/>
                <w:szCs w:val="16"/>
              </w:rPr>
              <w:t>Living biomass</w:t>
            </w:r>
          </w:p>
        </w:tc>
        <w:tc>
          <w:tcPr>
            <w:tcW w:w="1122" w:type="dxa"/>
            <w:tcBorders>
              <w:top w:val="single" w:sz="4" w:space="0" w:color="1B556B"/>
              <w:bottom w:val="single" w:sz="4" w:space="0" w:color="1B556B"/>
            </w:tcBorders>
          </w:tcPr>
          <w:p w14:paraId="3334D4D1" w14:textId="77777777" w:rsidR="0010265C" w:rsidRPr="00261B7A" w:rsidRDefault="0010265C" w:rsidP="00D41492">
            <w:pPr>
              <w:pStyle w:val="TableText"/>
              <w:keepNext/>
              <w:spacing w:before="40" w:after="40"/>
              <w:rPr>
                <w:rFonts w:cs="Segoe UI"/>
                <w:szCs w:val="16"/>
              </w:rPr>
            </w:pPr>
            <w:r w:rsidRPr="00261B7A">
              <w:rPr>
                <w:rFonts w:cs="Segoe UI"/>
                <w:szCs w:val="16"/>
              </w:rPr>
              <w:t>18.76</w:t>
            </w:r>
          </w:p>
        </w:tc>
        <w:tc>
          <w:tcPr>
            <w:tcW w:w="1241" w:type="dxa"/>
            <w:tcBorders>
              <w:top w:val="single" w:sz="4" w:space="0" w:color="1B556B"/>
              <w:bottom w:val="single" w:sz="4" w:space="0" w:color="1B556B"/>
            </w:tcBorders>
          </w:tcPr>
          <w:p w14:paraId="0CD52AE6" w14:textId="77777777" w:rsidR="0010265C" w:rsidRPr="00261B7A" w:rsidRDefault="0010265C" w:rsidP="00D41492">
            <w:pPr>
              <w:pStyle w:val="TableText"/>
              <w:keepNext/>
              <w:spacing w:before="40" w:after="40"/>
              <w:rPr>
                <w:rFonts w:cs="Segoe UI"/>
                <w:szCs w:val="16"/>
              </w:rPr>
            </w:pPr>
            <w:r w:rsidRPr="00261B7A">
              <w:rPr>
                <w:rFonts w:cs="Segoe UI"/>
                <w:szCs w:val="16"/>
              </w:rPr>
              <w:t>0.67</w:t>
            </w:r>
          </w:p>
        </w:tc>
        <w:tc>
          <w:tcPr>
            <w:tcW w:w="1028" w:type="dxa"/>
            <w:tcBorders>
              <w:top w:val="single" w:sz="4" w:space="0" w:color="1B556B"/>
              <w:bottom w:val="single" w:sz="4" w:space="0" w:color="1B556B"/>
            </w:tcBorders>
          </w:tcPr>
          <w:p w14:paraId="68DB6C47" w14:textId="77777777" w:rsidR="0010265C" w:rsidRPr="00261B7A" w:rsidRDefault="0010265C" w:rsidP="00D41492">
            <w:pPr>
              <w:pStyle w:val="TableText"/>
              <w:keepNext/>
              <w:spacing w:before="40" w:after="40"/>
              <w:rPr>
                <w:rFonts w:cs="Segoe UI"/>
                <w:szCs w:val="16"/>
              </w:rPr>
            </w:pPr>
            <w:r w:rsidRPr="00261B7A">
              <w:rPr>
                <w:rFonts w:cs="Segoe UI"/>
                <w:szCs w:val="16"/>
              </w:rPr>
              <w:t>28</w:t>
            </w:r>
          </w:p>
        </w:tc>
        <w:tc>
          <w:tcPr>
            <w:tcW w:w="2693" w:type="dxa"/>
            <w:tcBorders>
              <w:top w:val="single" w:sz="4" w:space="0" w:color="1B556B"/>
              <w:bottom w:val="single" w:sz="4" w:space="0" w:color="1B556B"/>
            </w:tcBorders>
          </w:tcPr>
          <w:p w14:paraId="44D5DEDF" w14:textId="77777777" w:rsidR="0010265C" w:rsidRPr="00261B7A" w:rsidRDefault="0010265C" w:rsidP="00D41492">
            <w:pPr>
              <w:pStyle w:val="TableText"/>
              <w:keepNext/>
              <w:spacing w:before="40" w:after="40"/>
              <w:rPr>
                <w:rFonts w:cs="Segoe UI"/>
                <w:szCs w:val="16"/>
              </w:rPr>
            </w:pPr>
            <w:r w:rsidRPr="00261B7A">
              <w:rPr>
                <w:rFonts w:cs="Segoe UI"/>
                <w:szCs w:val="16"/>
              </w:rPr>
              <w:t>NZ-specific EF (Davis and Wakelin, unpublished)</w:t>
            </w:r>
          </w:p>
        </w:tc>
      </w:tr>
      <w:tr w:rsidR="0010265C" w:rsidRPr="00261B7A" w14:paraId="07622C5A" w14:textId="77777777" w:rsidTr="00E24718">
        <w:tc>
          <w:tcPr>
            <w:tcW w:w="886" w:type="dxa"/>
          </w:tcPr>
          <w:p w14:paraId="6C417ABA" w14:textId="77777777" w:rsidR="0010265C" w:rsidRPr="00261B7A" w:rsidRDefault="0010265C" w:rsidP="00D41492">
            <w:pPr>
              <w:pStyle w:val="TableText"/>
              <w:spacing w:before="40" w:after="40"/>
              <w:rPr>
                <w:rFonts w:cs="Segoe UI"/>
                <w:szCs w:val="16"/>
              </w:rPr>
            </w:pPr>
            <w:r w:rsidRPr="00261B7A">
              <w:rPr>
                <w:rFonts w:cs="Segoe UI"/>
                <w:szCs w:val="16"/>
              </w:rPr>
              <w:t> </w:t>
            </w:r>
          </w:p>
        </w:tc>
        <w:tc>
          <w:tcPr>
            <w:tcW w:w="1535" w:type="dxa"/>
            <w:tcBorders>
              <w:top w:val="single" w:sz="4" w:space="0" w:color="1B556B"/>
              <w:bottom w:val="single" w:sz="4" w:space="0" w:color="1B556B"/>
            </w:tcBorders>
          </w:tcPr>
          <w:p w14:paraId="270E208A" w14:textId="77777777" w:rsidR="0010265C" w:rsidRPr="00261B7A" w:rsidRDefault="0010265C" w:rsidP="00D41492">
            <w:pPr>
              <w:pStyle w:val="TableText"/>
              <w:spacing w:before="40" w:after="40"/>
              <w:rPr>
                <w:rFonts w:cs="Segoe UI"/>
                <w:szCs w:val="16"/>
              </w:rPr>
            </w:pPr>
            <w:r w:rsidRPr="00261B7A">
              <w:rPr>
                <w:rFonts w:cs="Segoe UI"/>
                <w:szCs w:val="16"/>
              </w:rPr>
              <w:t>Dead organic matter</w:t>
            </w:r>
          </w:p>
        </w:tc>
        <w:tc>
          <w:tcPr>
            <w:tcW w:w="1122" w:type="dxa"/>
            <w:tcBorders>
              <w:top w:val="single" w:sz="4" w:space="0" w:color="1B556B"/>
              <w:bottom w:val="single" w:sz="4" w:space="0" w:color="1B556B"/>
            </w:tcBorders>
          </w:tcPr>
          <w:p w14:paraId="6403286B" w14:textId="77777777" w:rsidR="0010265C" w:rsidRPr="00261B7A" w:rsidRDefault="0010265C" w:rsidP="00D41492">
            <w:pPr>
              <w:pStyle w:val="TableText"/>
              <w:spacing w:before="40" w:after="40"/>
              <w:rPr>
                <w:rFonts w:cs="Segoe UI"/>
                <w:szCs w:val="16"/>
              </w:rPr>
            </w:pPr>
            <w:r w:rsidRPr="00261B7A">
              <w:rPr>
                <w:rFonts w:cs="Segoe UI"/>
                <w:szCs w:val="16"/>
              </w:rPr>
              <w:t>NE</w:t>
            </w:r>
          </w:p>
        </w:tc>
        <w:tc>
          <w:tcPr>
            <w:tcW w:w="1241" w:type="dxa"/>
            <w:tcBorders>
              <w:top w:val="single" w:sz="4" w:space="0" w:color="1B556B"/>
              <w:bottom w:val="single" w:sz="4" w:space="0" w:color="1B556B"/>
            </w:tcBorders>
          </w:tcPr>
          <w:p w14:paraId="68328C5A" w14:textId="77777777" w:rsidR="0010265C" w:rsidRPr="00261B7A" w:rsidRDefault="0010265C" w:rsidP="00D41492">
            <w:pPr>
              <w:pStyle w:val="TableText"/>
              <w:spacing w:before="40" w:after="40"/>
              <w:rPr>
                <w:rFonts w:cs="Segoe UI"/>
                <w:szCs w:val="16"/>
              </w:rPr>
            </w:pPr>
            <w:r w:rsidRPr="00261B7A">
              <w:rPr>
                <w:rFonts w:cs="Segoe UI"/>
                <w:szCs w:val="16"/>
              </w:rPr>
              <w:t>NE</w:t>
            </w:r>
          </w:p>
        </w:tc>
        <w:tc>
          <w:tcPr>
            <w:tcW w:w="1028" w:type="dxa"/>
            <w:tcBorders>
              <w:top w:val="single" w:sz="4" w:space="0" w:color="1B556B"/>
              <w:bottom w:val="single" w:sz="4" w:space="0" w:color="1B556B"/>
            </w:tcBorders>
          </w:tcPr>
          <w:p w14:paraId="763F3FB8" w14:textId="77777777" w:rsidR="0010265C" w:rsidRPr="00261B7A" w:rsidRDefault="0010265C" w:rsidP="00D41492">
            <w:pPr>
              <w:pStyle w:val="TableText"/>
              <w:spacing w:before="40" w:after="40"/>
              <w:rPr>
                <w:rFonts w:cs="Segoe UI"/>
                <w:szCs w:val="16"/>
              </w:rPr>
            </w:pPr>
            <w:r w:rsidRPr="00261B7A">
              <w:rPr>
                <w:rFonts w:cs="Segoe UI"/>
                <w:szCs w:val="16"/>
              </w:rPr>
              <w:t>NA</w:t>
            </w:r>
          </w:p>
        </w:tc>
        <w:tc>
          <w:tcPr>
            <w:tcW w:w="2693" w:type="dxa"/>
            <w:tcBorders>
              <w:top w:val="single" w:sz="4" w:space="0" w:color="1B556B"/>
              <w:bottom w:val="single" w:sz="4" w:space="0" w:color="1B556B"/>
            </w:tcBorders>
          </w:tcPr>
          <w:p w14:paraId="737C6CAD" w14:textId="77777777" w:rsidR="0010265C" w:rsidRPr="00261B7A" w:rsidRDefault="0010265C" w:rsidP="00D41492">
            <w:pPr>
              <w:pStyle w:val="TableText"/>
              <w:spacing w:before="40" w:after="40"/>
              <w:rPr>
                <w:rFonts w:cs="Segoe UI"/>
                <w:szCs w:val="16"/>
              </w:rPr>
            </w:pPr>
            <w:r w:rsidRPr="00261B7A">
              <w:rPr>
                <w:rFonts w:cs="Segoe UI"/>
                <w:szCs w:val="16"/>
              </w:rPr>
              <w:t>No IPCC guidelines</w:t>
            </w:r>
          </w:p>
        </w:tc>
      </w:tr>
      <w:tr w:rsidR="0010265C" w:rsidRPr="00261B7A" w14:paraId="403B5785" w14:textId="77777777" w:rsidTr="00E24718">
        <w:tc>
          <w:tcPr>
            <w:tcW w:w="886" w:type="dxa"/>
          </w:tcPr>
          <w:p w14:paraId="5C4C23C7" w14:textId="77777777" w:rsidR="0010265C" w:rsidRPr="00261B7A" w:rsidRDefault="0010265C" w:rsidP="00D41492">
            <w:pPr>
              <w:pStyle w:val="TableText"/>
              <w:spacing w:before="40" w:after="40"/>
              <w:rPr>
                <w:rFonts w:cs="Segoe UI"/>
                <w:szCs w:val="16"/>
              </w:rPr>
            </w:pPr>
            <w:r w:rsidRPr="00261B7A">
              <w:rPr>
                <w:rFonts w:cs="Segoe UI"/>
                <w:szCs w:val="16"/>
              </w:rPr>
              <w:t> </w:t>
            </w:r>
          </w:p>
        </w:tc>
        <w:tc>
          <w:tcPr>
            <w:tcW w:w="1535" w:type="dxa"/>
            <w:tcBorders>
              <w:top w:val="single" w:sz="4" w:space="0" w:color="1B556B"/>
              <w:bottom w:val="single" w:sz="4" w:space="0" w:color="1B556B"/>
            </w:tcBorders>
          </w:tcPr>
          <w:p w14:paraId="70057423" w14:textId="77777777" w:rsidR="0010265C" w:rsidRPr="00261B7A" w:rsidRDefault="0010265C" w:rsidP="00D41492">
            <w:pPr>
              <w:pStyle w:val="TableText"/>
              <w:keepNext/>
              <w:spacing w:before="40" w:after="40"/>
              <w:rPr>
                <w:rFonts w:cs="Segoe UI"/>
                <w:szCs w:val="16"/>
              </w:rPr>
            </w:pPr>
            <w:r w:rsidRPr="00261B7A">
              <w:rPr>
                <w:rFonts w:cs="Segoe UI"/>
                <w:szCs w:val="16"/>
              </w:rPr>
              <w:t>Soils</w:t>
            </w:r>
          </w:p>
        </w:tc>
        <w:tc>
          <w:tcPr>
            <w:tcW w:w="1122" w:type="dxa"/>
            <w:tcBorders>
              <w:top w:val="single" w:sz="4" w:space="0" w:color="1B556B"/>
              <w:bottom w:val="single" w:sz="4" w:space="0" w:color="1B556B"/>
            </w:tcBorders>
          </w:tcPr>
          <w:p w14:paraId="1C4563AB" w14:textId="77777777" w:rsidR="0010265C" w:rsidRPr="00261B7A" w:rsidRDefault="0010265C" w:rsidP="00D41492">
            <w:pPr>
              <w:pStyle w:val="TableText"/>
              <w:keepNext/>
              <w:spacing w:before="40" w:after="40"/>
              <w:rPr>
                <w:rFonts w:cs="Segoe UI"/>
                <w:szCs w:val="16"/>
              </w:rPr>
            </w:pPr>
          </w:p>
        </w:tc>
        <w:tc>
          <w:tcPr>
            <w:tcW w:w="1241" w:type="dxa"/>
            <w:tcBorders>
              <w:top w:val="single" w:sz="4" w:space="0" w:color="1B556B"/>
              <w:bottom w:val="single" w:sz="4" w:space="0" w:color="1B556B"/>
            </w:tcBorders>
          </w:tcPr>
          <w:p w14:paraId="2D0D61D3" w14:textId="77777777" w:rsidR="0010265C" w:rsidRPr="00261B7A" w:rsidRDefault="0010265C" w:rsidP="00D41492">
            <w:pPr>
              <w:pStyle w:val="TableText"/>
              <w:keepNext/>
              <w:spacing w:before="40" w:after="40"/>
              <w:rPr>
                <w:rFonts w:cs="Segoe UI"/>
                <w:szCs w:val="16"/>
              </w:rPr>
            </w:pPr>
          </w:p>
        </w:tc>
        <w:tc>
          <w:tcPr>
            <w:tcW w:w="1028" w:type="dxa"/>
            <w:tcBorders>
              <w:top w:val="single" w:sz="4" w:space="0" w:color="1B556B"/>
              <w:bottom w:val="single" w:sz="4" w:space="0" w:color="1B556B"/>
            </w:tcBorders>
          </w:tcPr>
          <w:p w14:paraId="756EB929" w14:textId="77777777" w:rsidR="0010265C" w:rsidRPr="00261B7A" w:rsidRDefault="0010265C" w:rsidP="00D41492">
            <w:pPr>
              <w:pStyle w:val="TableText"/>
              <w:keepNext/>
              <w:spacing w:before="40" w:after="40"/>
              <w:rPr>
                <w:rFonts w:cs="Segoe UI"/>
                <w:szCs w:val="16"/>
              </w:rPr>
            </w:pPr>
          </w:p>
        </w:tc>
        <w:tc>
          <w:tcPr>
            <w:tcW w:w="2693" w:type="dxa"/>
            <w:tcBorders>
              <w:top w:val="single" w:sz="4" w:space="0" w:color="1B556B"/>
              <w:bottom w:val="single" w:sz="4" w:space="0" w:color="1B556B"/>
            </w:tcBorders>
          </w:tcPr>
          <w:p w14:paraId="33C24E1C" w14:textId="77777777" w:rsidR="0010265C" w:rsidRPr="00261B7A" w:rsidRDefault="0010265C" w:rsidP="00D41492">
            <w:pPr>
              <w:pStyle w:val="TableText"/>
              <w:keepNext/>
              <w:spacing w:before="40" w:after="40"/>
              <w:rPr>
                <w:rFonts w:cs="Segoe UI"/>
                <w:szCs w:val="16"/>
              </w:rPr>
            </w:pPr>
          </w:p>
        </w:tc>
      </w:tr>
      <w:tr w:rsidR="0010265C" w:rsidRPr="00261B7A" w14:paraId="61FB936A" w14:textId="77777777" w:rsidTr="00E24718">
        <w:tc>
          <w:tcPr>
            <w:tcW w:w="886" w:type="dxa"/>
          </w:tcPr>
          <w:p w14:paraId="3F9970DE" w14:textId="77777777" w:rsidR="0010265C" w:rsidRPr="00261B7A" w:rsidRDefault="0010265C" w:rsidP="00D41492">
            <w:pPr>
              <w:pStyle w:val="TableText"/>
              <w:spacing w:before="40" w:after="40"/>
            </w:pPr>
          </w:p>
        </w:tc>
        <w:tc>
          <w:tcPr>
            <w:tcW w:w="1535" w:type="dxa"/>
            <w:tcBorders>
              <w:top w:val="single" w:sz="4" w:space="0" w:color="1B556B"/>
              <w:bottom w:val="single" w:sz="4" w:space="0" w:color="1B556B"/>
            </w:tcBorders>
          </w:tcPr>
          <w:p w14:paraId="7C8BCF88" w14:textId="77777777" w:rsidR="0010265C" w:rsidRPr="00261B7A" w:rsidRDefault="0010265C" w:rsidP="00D41492">
            <w:pPr>
              <w:pStyle w:val="TableText"/>
              <w:keepNext/>
              <w:spacing w:before="40" w:after="40"/>
              <w:rPr>
                <w:rFonts w:cs="Segoe UI"/>
                <w:szCs w:val="16"/>
              </w:rPr>
            </w:pPr>
            <w:r w:rsidRPr="00261B7A">
              <w:rPr>
                <w:rFonts w:cs="Segoe UI"/>
                <w:szCs w:val="16"/>
              </w:rPr>
              <w:t xml:space="preserve">Mineral </w:t>
            </w:r>
          </w:p>
        </w:tc>
        <w:tc>
          <w:tcPr>
            <w:tcW w:w="1122" w:type="dxa"/>
            <w:tcBorders>
              <w:top w:val="single" w:sz="4" w:space="0" w:color="1B556B"/>
              <w:bottom w:val="single" w:sz="4" w:space="0" w:color="1B556B"/>
            </w:tcBorders>
          </w:tcPr>
          <w:p w14:paraId="1AA5A146" w14:textId="77777777" w:rsidR="0010265C" w:rsidRPr="00261B7A" w:rsidRDefault="0010265C" w:rsidP="00D41492">
            <w:pPr>
              <w:pStyle w:val="TableText"/>
              <w:keepNext/>
              <w:spacing w:before="40" w:after="40"/>
              <w:rPr>
                <w:rFonts w:cs="Segoe UI"/>
                <w:szCs w:val="16"/>
              </w:rPr>
            </w:pPr>
            <w:r w:rsidRPr="00261B7A">
              <w:rPr>
                <w:rFonts w:cs="Segoe UI"/>
                <w:szCs w:val="16"/>
              </w:rPr>
              <w:t>88.44</w:t>
            </w:r>
          </w:p>
        </w:tc>
        <w:tc>
          <w:tcPr>
            <w:tcW w:w="1241" w:type="dxa"/>
            <w:tcBorders>
              <w:top w:val="single" w:sz="4" w:space="0" w:color="1B556B"/>
              <w:bottom w:val="single" w:sz="4" w:space="0" w:color="1B556B"/>
            </w:tcBorders>
          </w:tcPr>
          <w:p w14:paraId="5F28C07C" w14:textId="77777777" w:rsidR="0010265C" w:rsidRPr="00261B7A" w:rsidRDefault="0010265C" w:rsidP="00D41492">
            <w:pPr>
              <w:pStyle w:val="TableText"/>
              <w:keepNext/>
              <w:spacing w:before="40" w:after="40"/>
              <w:rPr>
                <w:rFonts w:cs="Segoe UI"/>
                <w:szCs w:val="16"/>
              </w:rPr>
            </w:pPr>
            <w:r w:rsidRPr="00261B7A">
              <w:rPr>
                <w:rFonts w:cs="Segoe UI"/>
                <w:szCs w:val="16"/>
              </w:rPr>
              <w:t>*</w:t>
            </w:r>
          </w:p>
        </w:tc>
        <w:tc>
          <w:tcPr>
            <w:tcW w:w="1028" w:type="dxa"/>
            <w:tcBorders>
              <w:top w:val="single" w:sz="4" w:space="0" w:color="1B556B"/>
              <w:bottom w:val="single" w:sz="4" w:space="0" w:color="1B556B"/>
            </w:tcBorders>
          </w:tcPr>
          <w:p w14:paraId="396D4EE2" w14:textId="77777777" w:rsidR="0010265C" w:rsidRPr="00261B7A" w:rsidRDefault="0010265C" w:rsidP="00D41492">
            <w:pPr>
              <w:pStyle w:val="TableText"/>
              <w:keepNext/>
              <w:spacing w:before="40" w:after="40"/>
              <w:rPr>
                <w:rFonts w:cs="Segoe UI"/>
                <w:szCs w:val="16"/>
              </w:rPr>
            </w:pPr>
            <w:r w:rsidRPr="00261B7A">
              <w:rPr>
                <w:rFonts w:cs="Segoe UI"/>
                <w:szCs w:val="16"/>
              </w:rPr>
              <w:t>20</w:t>
            </w:r>
          </w:p>
        </w:tc>
        <w:tc>
          <w:tcPr>
            <w:tcW w:w="2693" w:type="dxa"/>
            <w:tcBorders>
              <w:top w:val="single" w:sz="4" w:space="0" w:color="1B556B"/>
              <w:bottom w:val="single" w:sz="4" w:space="0" w:color="1B556B"/>
            </w:tcBorders>
          </w:tcPr>
          <w:p w14:paraId="3177F4EA" w14:textId="77777777" w:rsidR="0010265C" w:rsidRPr="00261B7A" w:rsidRDefault="0010265C" w:rsidP="00D41492">
            <w:pPr>
              <w:pStyle w:val="TableText"/>
              <w:keepNext/>
              <w:spacing w:before="40" w:after="40"/>
              <w:rPr>
                <w:rFonts w:cs="Segoe UI"/>
                <w:szCs w:val="16"/>
              </w:rPr>
            </w:pPr>
            <w:r w:rsidRPr="00261B7A">
              <w:rPr>
                <w:rFonts w:cs="Segoe UI"/>
                <w:szCs w:val="16"/>
              </w:rPr>
              <w:t>NZ-specific EF (McNeill and Barringer, unpublished)</w:t>
            </w:r>
          </w:p>
        </w:tc>
      </w:tr>
      <w:tr w:rsidR="0010265C" w:rsidRPr="00261B7A" w14:paraId="14E41085" w14:textId="77777777" w:rsidTr="00E24718">
        <w:tc>
          <w:tcPr>
            <w:tcW w:w="886" w:type="dxa"/>
            <w:tcBorders>
              <w:bottom w:val="single" w:sz="4" w:space="0" w:color="1B556B"/>
            </w:tcBorders>
          </w:tcPr>
          <w:p w14:paraId="0B53449E" w14:textId="77777777" w:rsidR="0010265C" w:rsidRPr="00261B7A" w:rsidRDefault="0010265C" w:rsidP="00D41492">
            <w:pPr>
              <w:pStyle w:val="TableText"/>
              <w:spacing w:before="40" w:after="40"/>
              <w:rPr>
                <w:rFonts w:cs="Segoe UI"/>
                <w:szCs w:val="16"/>
              </w:rPr>
            </w:pPr>
          </w:p>
        </w:tc>
        <w:tc>
          <w:tcPr>
            <w:tcW w:w="1535" w:type="dxa"/>
            <w:tcBorders>
              <w:top w:val="single" w:sz="4" w:space="0" w:color="1B556B"/>
              <w:bottom w:val="single" w:sz="4" w:space="0" w:color="1B556B"/>
            </w:tcBorders>
          </w:tcPr>
          <w:p w14:paraId="147C2596" w14:textId="77777777" w:rsidR="0010265C" w:rsidRPr="00261B7A" w:rsidRDefault="0010265C" w:rsidP="00D41492">
            <w:pPr>
              <w:pStyle w:val="TableText"/>
              <w:spacing w:before="40" w:after="40"/>
              <w:rPr>
                <w:rFonts w:cs="Segoe UI"/>
                <w:szCs w:val="16"/>
              </w:rPr>
            </w:pPr>
            <w:r w:rsidRPr="00261B7A">
              <w:rPr>
                <w:rFonts w:cs="Segoe UI"/>
                <w:szCs w:val="16"/>
              </w:rPr>
              <w:t>Organic</w:t>
            </w:r>
          </w:p>
        </w:tc>
        <w:tc>
          <w:tcPr>
            <w:tcW w:w="1122" w:type="dxa"/>
            <w:tcBorders>
              <w:top w:val="single" w:sz="4" w:space="0" w:color="1B556B"/>
              <w:bottom w:val="single" w:sz="4" w:space="0" w:color="1B556B"/>
            </w:tcBorders>
          </w:tcPr>
          <w:p w14:paraId="79BAAA34" w14:textId="77777777" w:rsidR="0010265C" w:rsidRPr="00261B7A" w:rsidRDefault="0010265C" w:rsidP="00D41492">
            <w:pPr>
              <w:pStyle w:val="TableText"/>
              <w:spacing w:before="40" w:after="40"/>
              <w:rPr>
                <w:rFonts w:cs="Segoe UI"/>
                <w:szCs w:val="16"/>
              </w:rPr>
            </w:pPr>
            <w:r w:rsidRPr="00261B7A">
              <w:rPr>
                <w:rFonts w:cs="Segoe UI"/>
                <w:szCs w:val="16"/>
              </w:rPr>
              <w:t>NE</w:t>
            </w:r>
          </w:p>
        </w:tc>
        <w:tc>
          <w:tcPr>
            <w:tcW w:w="1241" w:type="dxa"/>
            <w:tcBorders>
              <w:top w:val="single" w:sz="4" w:space="0" w:color="1B556B"/>
              <w:bottom w:val="single" w:sz="4" w:space="0" w:color="1B556B"/>
            </w:tcBorders>
          </w:tcPr>
          <w:p w14:paraId="09208E5F" w14:textId="77777777" w:rsidR="0010265C" w:rsidRPr="00261B7A" w:rsidRDefault="0010265C" w:rsidP="00D41492">
            <w:pPr>
              <w:pStyle w:val="TableText"/>
              <w:spacing w:before="40" w:after="40"/>
              <w:rPr>
                <w:rFonts w:cs="Segoe UI"/>
                <w:szCs w:val="16"/>
              </w:rPr>
            </w:pPr>
            <w:r w:rsidRPr="00261B7A">
              <w:rPr>
                <w:rFonts w:cs="Segoe UI"/>
                <w:szCs w:val="16"/>
              </w:rPr>
              <w:t>–5.0 or –10.0**</w:t>
            </w:r>
          </w:p>
        </w:tc>
        <w:tc>
          <w:tcPr>
            <w:tcW w:w="1028" w:type="dxa"/>
            <w:tcBorders>
              <w:top w:val="single" w:sz="4" w:space="0" w:color="1B556B"/>
              <w:bottom w:val="single" w:sz="4" w:space="0" w:color="1B556B"/>
            </w:tcBorders>
          </w:tcPr>
          <w:p w14:paraId="41028131" w14:textId="77777777" w:rsidR="0010265C" w:rsidRPr="00261B7A" w:rsidRDefault="0010265C" w:rsidP="00D41492">
            <w:pPr>
              <w:pStyle w:val="TableText"/>
              <w:spacing w:before="40" w:after="40"/>
              <w:rPr>
                <w:rFonts w:cs="Segoe UI"/>
                <w:szCs w:val="16"/>
              </w:rPr>
            </w:pPr>
          </w:p>
        </w:tc>
        <w:tc>
          <w:tcPr>
            <w:tcW w:w="2693" w:type="dxa"/>
            <w:tcBorders>
              <w:top w:val="single" w:sz="4" w:space="0" w:color="1B556B"/>
              <w:bottom w:val="single" w:sz="4" w:space="0" w:color="1B556B"/>
            </w:tcBorders>
          </w:tcPr>
          <w:p w14:paraId="182314DD" w14:textId="77777777" w:rsidR="0010265C" w:rsidRPr="00261B7A" w:rsidRDefault="0010265C" w:rsidP="00D41492">
            <w:pPr>
              <w:pStyle w:val="TableText"/>
              <w:spacing w:before="40" w:after="40"/>
              <w:rPr>
                <w:rFonts w:cs="Segoe UI"/>
                <w:szCs w:val="16"/>
              </w:rPr>
            </w:pPr>
            <w:r w:rsidRPr="00261B7A">
              <w:rPr>
                <w:rFonts w:cs="Segoe UI"/>
                <w:szCs w:val="16"/>
              </w:rPr>
              <w:t>IPCC Tier 1 default (table 5.6, IPCC, 2006a)</w:t>
            </w:r>
          </w:p>
        </w:tc>
      </w:tr>
    </w:tbl>
    <w:p w14:paraId="0C5A7491" w14:textId="77777777" w:rsidR="0010265C" w:rsidRPr="00261B7A" w:rsidRDefault="0010265C" w:rsidP="0010265C">
      <w:pPr>
        <w:pStyle w:val="Noteundertable"/>
        <w:spacing w:after="0"/>
      </w:pPr>
      <w:r w:rsidRPr="00261B7A">
        <w:rPr>
          <w:b/>
        </w:rPr>
        <w:t>Note:</w:t>
      </w:r>
      <w:r w:rsidRPr="00261B7A">
        <w:tab/>
        <w:t>EF = emission factor; NA = not applicable; NE = not estimated. * Annual carbon stock change in mineral soils on land undergoing land-use change will depend on the land use category the land has been converted to or from; see annex A3.2.4 ‘Mineral soils’.</w:t>
      </w:r>
      <w:r w:rsidRPr="00261B7A">
        <w:rPr>
          <w:szCs w:val="18"/>
        </w:rPr>
        <w:t xml:space="preserve"> ** The emission factor for organic soils is –5.0 t C ha</w:t>
      </w:r>
      <w:r w:rsidRPr="00261B7A">
        <w:rPr>
          <w:szCs w:val="18"/>
          <w:vertAlign w:val="superscript"/>
        </w:rPr>
        <w:t xml:space="preserve">–1 </w:t>
      </w:r>
      <w:r w:rsidRPr="00261B7A">
        <w:rPr>
          <w:szCs w:val="18"/>
        </w:rPr>
        <w:t>yr</w:t>
      </w:r>
      <w:r w:rsidRPr="00261B7A">
        <w:rPr>
          <w:szCs w:val="18"/>
          <w:vertAlign w:val="superscript"/>
        </w:rPr>
        <w:t>–1</w:t>
      </w:r>
      <w:r w:rsidRPr="00261B7A">
        <w:rPr>
          <w:szCs w:val="18"/>
        </w:rPr>
        <w:t xml:space="preserve"> for cold temperate regions and –10.0 t C ha</w:t>
      </w:r>
      <w:r w:rsidRPr="00261B7A">
        <w:rPr>
          <w:szCs w:val="18"/>
          <w:vertAlign w:val="superscript"/>
        </w:rPr>
        <w:t xml:space="preserve">–1 </w:t>
      </w:r>
      <w:r w:rsidRPr="00261B7A">
        <w:rPr>
          <w:szCs w:val="18"/>
        </w:rPr>
        <w:t>yr</w:t>
      </w:r>
      <w:r w:rsidRPr="00261B7A">
        <w:rPr>
          <w:szCs w:val="18"/>
          <w:vertAlign w:val="superscript"/>
        </w:rPr>
        <w:t>–1</w:t>
      </w:r>
      <w:r w:rsidRPr="00261B7A">
        <w:rPr>
          <w:szCs w:val="18"/>
        </w:rPr>
        <w:t xml:space="preserve"> for warm temperate regions.</w:t>
      </w:r>
    </w:p>
    <w:p w14:paraId="0536A5A3" w14:textId="77777777" w:rsidR="0010265C" w:rsidRPr="00261B7A" w:rsidRDefault="0010265C" w:rsidP="0010265C">
      <w:pPr>
        <w:pStyle w:val="Heading4"/>
      </w:pPr>
      <w:bookmarkStart w:id="1905" w:name="_Toc280630266"/>
      <w:r w:rsidRPr="00261B7A">
        <w:t>Cropland remaining cropland</w:t>
      </w:r>
      <w:bookmarkEnd w:id="1905"/>
      <w:r w:rsidRPr="00261B7A">
        <w:t xml:space="preserve"> (CRF 4.B.1)</w:t>
      </w:r>
    </w:p>
    <w:p w14:paraId="1C7D1238" w14:textId="77777777" w:rsidR="0010265C" w:rsidRPr="00261B7A" w:rsidRDefault="0010265C" w:rsidP="0010265C">
      <w:pPr>
        <w:pStyle w:val="BodyText"/>
      </w:pPr>
      <w:r w:rsidRPr="00261B7A">
        <w:t xml:space="preserve">For </w:t>
      </w:r>
      <w:r w:rsidRPr="00261B7A">
        <w:rPr>
          <w:i/>
        </w:rPr>
        <w:t>Cropland remaining cropland</w:t>
      </w:r>
      <w:r w:rsidRPr="00261B7A">
        <w:t xml:space="preserve">, the Tier 1 assumption is that for annual cropland there is no change in biomass carbon stocks after the first year (section 5.2.1, IPCC, 2006a). The rationale is that the increase in biomass stocks in a single year is equal to the biomass losses from harvest and mortality in that same year. For perennial cropland, there is a change in carbon stocks associated with a land-use change. Where land-use change has occurred between the </w:t>
      </w:r>
      <w:r w:rsidRPr="00261B7A">
        <w:rPr>
          <w:i/>
        </w:rPr>
        <w:t>Cropland</w:t>
      </w:r>
      <w:r w:rsidRPr="00261B7A">
        <w:t xml:space="preserve"> land use categories, carbon stock changes are reported in </w:t>
      </w:r>
      <w:r w:rsidRPr="00261B7A">
        <w:rPr>
          <w:i/>
        </w:rPr>
        <w:t>Cropland remaining cropland</w:t>
      </w:r>
      <w:r w:rsidRPr="00261B7A">
        <w:t xml:space="preserve">. </w:t>
      </w:r>
    </w:p>
    <w:p w14:paraId="0530A412" w14:textId="77777777" w:rsidR="0010265C" w:rsidRPr="00261B7A" w:rsidRDefault="0010265C" w:rsidP="0010265C">
      <w:pPr>
        <w:pStyle w:val="Heading5"/>
      </w:pPr>
      <w:bookmarkStart w:id="1906" w:name="_Toc255466375"/>
      <w:bookmarkStart w:id="1907" w:name="_Toc261513182"/>
      <w:bookmarkStart w:id="1908" w:name="_Toc261513795"/>
      <w:bookmarkStart w:id="1909" w:name="_Toc280630267"/>
      <w:r w:rsidRPr="00261B7A">
        <w:t>Living biomass</w:t>
      </w:r>
      <w:bookmarkEnd w:id="1906"/>
      <w:bookmarkEnd w:id="1907"/>
      <w:bookmarkEnd w:id="1908"/>
      <w:bookmarkEnd w:id="1909"/>
    </w:p>
    <w:p w14:paraId="36130315" w14:textId="77777777" w:rsidR="0010265C" w:rsidRPr="00261B7A" w:rsidRDefault="0010265C" w:rsidP="0010265C">
      <w:pPr>
        <w:pStyle w:val="BodyText"/>
      </w:pPr>
      <w:r w:rsidRPr="00261B7A">
        <w:t>To estimate carbon stock change in living biomass for annual cropland converted to perennial cropland, New Zealand is using Tier 1 defaults for biomass carbon stocks at harvest (table 5.9, IPCC, 2006a). The Tier 1 method for estimating carbon change assumes carbon stocks in biomass immediately after conversion are zero; that is, the land is cleared of all vegetation before planting crops (5.0 tonnes C ha</w:t>
      </w:r>
      <w:r w:rsidRPr="00261B7A">
        <w:rPr>
          <w:vertAlign w:val="superscript"/>
        </w:rPr>
        <w:t>–1</w:t>
      </w:r>
      <w:r w:rsidRPr="00261B7A">
        <w:t xml:space="preserve"> is instantly oxidised in the year of conversion). </w:t>
      </w:r>
    </w:p>
    <w:p w14:paraId="126A0D7B" w14:textId="77777777" w:rsidR="0010265C" w:rsidRPr="00261B7A" w:rsidRDefault="0010265C" w:rsidP="0010265C">
      <w:pPr>
        <w:pStyle w:val="BodyText"/>
      </w:pPr>
      <w:r w:rsidRPr="00261B7A">
        <w:t>To estimate growth after conversion of annual cropland to perennial cropland, New Zealand uses the biomass accumulation rate of 0.67 tonnes C ha</w:t>
      </w:r>
      <w:r w:rsidRPr="00261B7A">
        <w:rPr>
          <w:vertAlign w:val="superscript"/>
        </w:rPr>
        <w:t xml:space="preserve">–1 </w:t>
      </w:r>
      <w:r w:rsidRPr="00261B7A">
        <w:t>yr</w:t>
      </w:r>
      <w:r w:rsidRPr="00261B7A">
        <w:rPr>
          <w:vertAlign w:val="superscript"/>
        </w:rPr>
        <w:t>–1</w:t>
      </w:r>
      <w:r w:rsidRPr="00261B7A">
        <w:t>. This value is based on the New Zealand-specific value of 18.76 tonnes C ha</w:t>
      </w:r>
      <w:r w:rsidRPr="00261B7A">
        <w:rPr>
          <w:spacing w:val="-2"/>
          <w:vertAlign w:val="superscript"/>
        </w:rPr>
        <w:t>–1</w:t>
      </w:r>
      <w:r w:rsidRPr="00261B7A">
        <w:t xml:space="preserve"> (</w:t>
      </w:r>
      <w:r w:rsidRPr="00261B7A">
        <w:rPr>
          <w:spacing w:val="-2"/>
        </w:rPr>
        <w:t xml:space="preserve">Davis and Wakelin, </w:t>
      </w:r>
      <w:r w:rsidRPr="00261B7A">
        <w:t>unpublished), sequestered over 28 years. It is assumed any biomass gains after this 28-year period are compensated for by biomass loss from pruning and other management practices, resulting in a net zero change in biomass stock of perennial cropland remaining perennial cropland.</w:t>
      </w:r>
    </w:p>
    <w:p w14:paraId="0993DACA" w14:textId="77777777" w:rsidR="0010265C" w:rsidRPr="00261B7A" w:rsidRDefault="0010265C" w:rsidP="0010265C">
      <w:pPr>
        <w:pStyle w:val="BodyText"/>
        <w:spacing w:after="100"/>
      </w:pPr>
      <w:r w:rsidRPr="00261B7A">
        <w:t xml:space="preserve">The assumption of net zero change in biomass stock after 28 years may be overly simplistic, as outlined by the ERT recommendation L.21, 2019 (FCCC/ARR/2019/NZL, UNFCCC, 2020). However, activity data for biomass stock change beyond 28 years, or temporary destocking, are not available annually. Collection of these data is unlikely in the short to medium term because the funding required for research and method development is being prioritised for the </w:t>
      </w:r>
      <w:r w:rsidRPr="00261B7A">
        <w:rPr>
          <w:i/>
          <w:iCs/>
        </w:rPr>
        <w:t>Forest land</w:t>
      </w:r>
      <w:r w:rsidRPr="00261B7A">
        <w:t xml:space="preserve"> category. </w:t>
      </w:r>
    </w:p>
    <w:p w14:paraId="083D2637" w14:textId="77777777" w:rsidR="0010265C" w:rsidRPr="00261B7A" w:rsidRDefault="0010265C" w:rsidP="00AC75E3">
      <w:pPr>
        <w:pStyle w:val="BodyText"/>
      </w:pPr>
      <w:r w:rsidRPr="00261B7A">
        <w:t xml:space="preserve">The available activity data do not provide information on areas of perennial cropland temporarily destocked; therefore, no losses in carbon stock due to temporary destocking are reported. Consequently, no gains in these areas are reported either when they are restocked. </w:t>
      </w:r>
    </w:p>
    <w:p w14:paraId="2CEFD39D" w14:textId="77777777" w:rsidR="0010265C" w:rsidRPr="00261B7A" w:rsidRDefault="0010265C" w:rsidP="0010265C">
      <w:pPr>
        <w:pStyle w:val="Heading5"/>
        <w:spacing w:before="200"/>
      </w:pPr>
      <w:bookmarkStart w:id="1910" w:name="_Toc255466376"/>
      <w:bookmarkStart w:id="1911" w:name="_Toc261513183"/>
      <w:bookmarkStart w:id="1912" w:name="_Toc261513796"/>
      <w:bookmarkStart w:id="1913" w:name="_Toc280630268"/>
      <w:r w:rsidRPr="00261B7A">
        <w:t>Dead organic matter</w:t>
      </w:r>
      <w:bookmarkEnd w:id="1910"/>
      <w:bookmarkEnd w:id="1911"/>
      <w:bookmarkEnd w:id="1912"/>
      <w:bookmarkEnd w:id="1913"/>
    </w:p>
    <w:p w14:paraId="0795FA64" w14:textId="77777777" w:rsidR="0010265C" w:rsidRPr="00261B7A" w:rsidRDefault="0010265C" w:rsidP="00AC75E3">
      <w:pPr>
        <w:pStyle w:val="BodyText"/>
      </w:pPr>
      <w:r w:rsidRPr="00261B7A">
        <w:t xml:space="preserve">New Zealand does not report estimates of dead organic matter in this category. The notation key NE (not estimated) is used in the common reporting format (CRF) tables in accordance with paragraph 37(b) of </w:t>
      </w:r>
      <w:r w:rsidRPr="00261B7A">
        <w:rPr>
          <w:spacing w:val="-2"/>
        </w:rPr>
        <w:t>Decision 24/CP.19 (UNFCCC, 2014). There is insufficient information to provide a basic approach with default parameters to estimate carbon stock change in dead organic matter pools</w:t>
      </w:r>
      <w:r w:rsidRPr="00261B7A">
        <w:t xml:space="preserve"> in </w:t>
      </w:r>
      <w:r w:rsidRPr="00261B7A">
        <w:rPr>
          <w:i/>
        </w:rPr>
        <w:t>Cropland</w:t>
      </w:r>
      <w:r w:rsidRPr="00261B7A">
        <w:t xml:space="preserve"> </w:t>
      </w:r>
      <w:r w:rsidRPr="00261B7A">
        <w:rPr>
          <w:i/>
        </w:rPr>
        <w:t>remaining cropland</w:t>
      </w:r>
      <w:r w:rsidRPr="00261B7A">
        <w:t xml:space="preserve"> and, consequently, no Tier 1 method is provided (IPCC, 2006a).</w:t>
      </w:r>
    </w:p>
    <w:p w14:paraId="1FB38554" w14:textId="77777777" w:rsidR="0010265C" w:rsidRPr="00261B7A" w:rsidRDefault="0010265C" w:rsidP="0010265C">
      <w:pPr>
        <w:pStyle w:val="Heading5"/>
        <w:spacing w:before="200"/>
      </w:pPr>
      <w:bookmarkStart w:id="1914" w:name="_Toc255466377"/>
      <w:bookmarkStart w:id="1915" w:name="_Toc261513184"/>
      <w:bookmarkStart w:id="1916" w:name="_Toc261513797"/>
      <w:bookmarkStart w:id="1917" w:name="_Toc280630269"/>
      <w:r w:rsidRPr="00261B7A">
        <w:t>Soil organic carbon</w:t>
      </w:r>
      <w:bookmarkEnd w:id="1914"/>
      <w:bookmarkEnd w:id="1915"/>
      <w:bookmarkEnd w:id="1916"/>
      <w:bookmarkEnd w:id="1917"/>
    </w:p>
    <w:p w14:paraId="450EA76E" w14:textId="77777777" w:rsidR="0010265C" w:rsidRPr="00261B7A" w:rsidRDefault="0010265C" w:rsidP="00AC75E3">
      <w:pPr>
        <w:pStyle w:val="BodyText"/>
      </w:pPr>
      <w:bookmarkStart w:id="1918" w:name="_Toc255466381"/>
      <w:bookmarkStart w:id="1919" w:name="_Toc261513188"/>
      <w:bookmarkStart w:id="1920" w:name="_Toc261513801"/>
      <w:bookmarkStart w:id="1921" w:name="_Toc280630272"/>
      <w:r w:rsidRPr="00261B7A">
        <w:t xml:space="preserve">Soil organic carbon stocks in mineral soil for </w:t>
      </w:r>
      <w:r w:rsidRPr="00261B7A">
        <w:rPr>
          <w:i/>
        </w:rPr>
        <w:t>Cropland remaining cropland</w:t>
      </w:r>
      <w:r w:rsidRPr="00261B7A">
        <w:t xml:space="preserve"> are estimated using a Tier 2 method (see annex A3.2.4 ‘Mineral soils’). For organic soils, loss of soil carbon is estimated using the Tier 1 method as described in annex A3.2.4 ‘Organic soils’. </w:t>
      </w:r>
    </w:p>
    <w:p w14:paraId="5E39FE7A" w14:textId="77777777" w:rsidR="0010265C" w:rsidRPr="00261B7A" w:rsidRDefault="0010265C" w:rsidP="00AC75E3">
      <w:pPr>
        <w:pStyle w:val="BodyText"/>
      </w:pPr>
      <w:r w:rsidRPr="00261B7A">
        <w:t xml:space="preserve">Mineral soil carbon change for annual cropland converted to perennial cropland and vice versa is estimated using the IPCC default method of applying a linear rate of change over 20 years (equation 2.25, IPCC, 2006a). </w:t>
      </w:r>
    </w:p>
    <w:p w14:paraId="71E46E27" w14:textId="77777777" w:rsidR="0010265C" w:rsidRPr="00261B7A" w:rsidRDefault="0010265C" w:rsidP="0010265C">
      <w:pPr>
        <w:pStyle w:val="Heading5"/>
        <w:spacing w:before="200"/>
      </w:pPr>
      <w:r w:rsidRPr="00261B7A">
        <w:t>Non-CO</w:t>
      </w:r>
      <w:r w:rsidRPr="00261B7A">
        <w:rPr>
          <w:vertAlign w:val="subscript"/>
        </w:rPr>
        <w:t>2</w:t>
      </w:r>
      <w:r w:rsidRPr="00261B7A">
        <w:t xml:space="preserve"> emissions</w:t>
      </w:r>
    </w:p>
    <w:p w14:paraId="6362B438" w14:textId="77777777" w:rsidR="0010265C" w:rsidRPr="00261B7A" w:rsidRDefault="0010265C" w:rsidP="00AC75E3">
      <w:pPr>
        <w:pStyle w:val="BodyText"/>
      </w:pPr>
      <w:r w:rsidRPr="00261B7A">
        <w:t>All direct and indirect N</w:t>
      </w:r>
      <w:r w:rsidRPr="00261B7A">
        <w:rPr>
          <w:vertAlign w:val="subscript"/>
        </w:rPr>
        <w:t>2</w:t>
      </w:r>
      <w:r w:rsidRPr="00261B7A">
        <w:t xml:space="preserve">O emissions occurring from management activities in </w:t>
      </w:r>
      <w:r w:rsidRPr="00261B7A">
        <w:rPr>
          <w:i/>
        </w:rPr>
        <w:t>Cropland remaining cropland</w:t>
      </w:r>
      <w:r w:rsidRPr="00261B7A">
        <w:t xml:space="preserve"> are reported under the Agriculture sector. </w:t>
      </w:r>
    </w:p>
    <w:p w14:paraId="5CA8B177" w14:textId="77777777" w:rsidR="0010265C" w:rsidRPr="00261B7A" w:rsidRDefault="0010265C" w:rsidP="0010265C">
      <w:pPr>
        <w:pStyle w:val="Heading4"/>
      </w:pPr>
      <w:r w:rsidRPr="00261B7A">
        <w:t>Land converted to cropland</w:t>
      </w:r>
      <w:bookmarkEnd w:id="1918"/>
      <w:bookmarkEnd w:id="1919"/>
      <w:bookmarkEnd w:id="1920"/>
      <w:bookmarkEnd w:id="1921"/>
      <w:r w:rsidRPr="00261B7A">
        <w:t xml:space="preserve"> (CRF 4.B.2)</w:t>
      </w:r>
    </w:p>
    <w:p w14:paraId="4EAD1C5D" w14:textId="77777777" w:rsidR="0010265C" w:rsidRPr="00261B7A" w:rsidRDefault="0010265C" w:rsidP="0010265C">
      <w:pPr>
        <w:pStyle w:val="Heading5"/>
        <w:spacing w:before="120"/>
      </w:pPr>
      <w:bookmarkStart w:id="1922" w:name="_Toc255466382"/>
      <w:bookmarkStart w:id="1923" w:name="_Toc261513189"/>
      <w:bookmarkStart w:id="1924" w:name="_Toc261513802"/>
      <w:bookmarkStart w:id="1925" w:name="_Toc280630273"/>
      <w:r w:rsidRPr="00261B7A">
        <w:t>Living biomass</w:t>
      </w:r>
      <w:bookmarkEnd w:id="1922"/>
      <w:bookmarkEnd w:id="1923"/>
      <w:bookmarkEnd w:id="1924"/>
      <w:bookmarkEnd w:id="1925"/>
    </w:p>
    <w:p w14:paraId="6225F878" w14:textId="77777777" w:rsidR="0010265C" w:rsidRPr="00261B7A" w:rsidRDefault="0010265C" w:rsidP="00AC75E3">
      <w:pPr>
        <w:pStyle w:val="BodyText"/>
      </w:pPr>
      <w:r w:rsidRPr="00261B7A">
        <w:t xml:space="preserve">New Zealand uses a Tier 1 method, and a combination of IPCC default and New Zealand-specific emission factors, to calculate emissions for </w:t>
      </w:r>
      <w:r w:rsidRPr="00261B7A">
        <w:rPr>
          <w:i/>
        </w:rPr>
        <w:t>Land converted to cropland</w:t>
      </w:r>
      <w:r w:rsidRPr="00261B7A">
        <w:t xml:space="preserve">. The Tier 1 method multiplies the area of </w:t>
      </w:r>
      <w:r w:rsidRPr="00261B7A">
        <w:rPr>
          <w:i/>
        </w:rPr>
        <w:t>Land converted to cropland</w:t>
      </w:r>
      <w:r w:rsidRPr="00261B7A">
        <w:t xml:space="preserve"> annually by the carbon stock change per area for that type of conversion. </w:t>
      </w:r>
    </w:p>
    <w:p w14:paraId="65BA07E1" w14:textId="77777777" w:rsidR="0010265C" w:rsidRPr="00261B7A" w:rsidRDefault="0010265C" w:rsidP="00AC75E3">
      <w:pPr>
        <w:pStyle w:val="BodyText"/>
      </w:pPr>
      <w:r w:rsidRPr="00261B7A">
        <w:t>The Tier 1 method assumes carbon in living biomass and dead organic matter immediately after conversion is zero; that is, the land is cleared of all vegetation before planting crops. The amount of biomass cleared when land at steady state is converted is dependent on the land use category undergoing the conversion and is described further under each category-specific section in this chapter.</w:t>
      </w:r>
    </w:p>
    <w:p w14:paraId="2CCD3F58" w14:textId="77777777" w:rsidR="0010265C" w:rsidRPr="00261B7A" w:rsidRDefault="0010265C" w:rsidP="00AC75E3">
      <w:pPr>
        <w:pStyle w:val="BodyText"/>
      </w:pPr>
      <w:r w:rsidRPr="00261B7A">
        <w:t>The Tier 1 method also includes changes in carbon stocks from one year of growth in the year conversion takes place, as outlined in equation 2.5 of the 2006 IPCC Guidelines (IPCC, 2006a).</w:t>
      </w:r>
    </w:p>
    <w:p w14:paraId="5903EF6E" w14:textId="77777777" w:rsidR="0010265C" w:rsidRPr="00261B7A" w:rsidRDefault="0010265C" w:rsidP="0010265C">
      <w:pPr>
        <w:pStyle w:val="BodyText"/>
        <w:spacing w:before="100" w:after="100"/>
      </w:pPr>
      <w:r w:rsidRPr="00261B7A">
        <w:t>To estimate growth after conversion to annual cropland, New Zealand uses the IPCC default biomass accumulation rate of 5.0 tonnes C ha</w:t>
      </w:r>
      <w:r w:rsidRPr="00261B7A">
        <w:rPr>
          <w:vertAlign w:val="superscript"/>
        </w:rPr>
        <w:t>–1</w:t>
      </w:r>
      <w:r w:rsidRPr="00261B7A">
        <w:t xml:space="preserve"> for the first year following conversion (table 5.9, IPCC, 2006a). After the first year, any increase in biomass stocks in annual cropland </w:t>
      </w:r>
      <w:r w:rsidRPr="00261B7A">
        <w:rPr>
          <w:spacing w:val="-2"/>
        </w:rPr>
        <w:t>is assumed equal to biomass losses from harvest and mortality in that same year and, therefore</w:t>
      </w:r>
      <w:r w:rsidRPr="00261B7A">
        <w:t xml:space="preserve">, after the first year there is no net accumulation of biomass carbon stocks in </w:t>
      </w:r>
      <w:r w:rsidRPr="00261B7A">
        <w:rPr>
          <w:iCs/>
        </w:rPr>
        <w:t>annual</w:t>
      </w:r>
      <w:r w:rsidRPr="00261B7A">
        <w:rPr>
          <w:i/>
        </w:rPr>
        <w:t xml:space="preserve"> </w:t>
      </w:r>
      <w:r w:rsidRPr="00261B7A">
        <w:rPr>
          <w:iCs/>
        </w:rPr>
        <w:t>cropland remaining annual cropland</w:t>
      </w:r>
      <w:r w:rsidRPr="00261B7A">
        <w:t xml:space="preserve"> (IPCC, 2006a, section 5.2.1).</w:t>
      </w:r>
    </w:p>
    <w:p w14:paraId="07052E59" w14:textId="77777777" w:rsidR="0010265C" w:rsidRPr="00261B7A" w:rsidRDefault="0010265C" w:rsidP="0010265C">
      <w:pPr>
        <w:pStyle w:val="BodyText"/>
      </w:pPr>
      <w:r w:rsidRPr="00261B7A">
        <w:t>To estimate growth after conversion to perennial cropland, New Zealand uses the biomass accumulation rate of 0.67 tonnes C ha</w:t>
      </w:r>
      <w:r w:rsidRPr="00261B7A">
        <w:rPr>
          <w:vertAlign w:val="superscript"/>
        </w:rPr>
        <w:t xml:space="preserve">–1 </w:t>
      </w:r>
      <w:r w:rsidRPr="00261B7A">
        <w:t>yr</w:t>
      </w:r>
      <w:r w:rsidRPr="00261B7A">
        <w:rPr>
          <w:vertAlign w:val="superscript"/>
        </w:rPr>
        <w:t>–1</w:t>
      </w:r>
      <w:r w:rsidRPr="00261B7A">
        <w:t xml:space="preserve"> until 18.76 tonnes C ha</w:t>
      </w:r>
      <w:r w:rsidRPr="00261B7A">
        <w:rPr>
          <w:spacing w:val="-2"/>
          <w:vertAlign w:val="superscript"/>
        </w:rPr>
        <w:t>–1</w:t>
      </w:r>
      <w:r w:rsidRPr="00261B7A">
        <w:t xml:space="preserve"> is reached, as described in the </w:t>
      </w:r>
      <w:r w:rsidRPr="00261B7A">
        <w:rPr>
          <w:i/>
          <w:iCs/>
        </w:rPr>
        <w:t>Cropland remaining cropland</w:t>
      </w:r>
      <w:r w:rsidRPr="00261B7A">
        <w:t xml:space="preserve"> section above. The final eight years of biomass gain are reported in </w:t>
      </w:r>
      <w:r w:rsidRPr="00261B7A">
        <w:rPr>
          <w:i/>
          <w:iCs/>
        </w:rPr>
        <w:t>Cropland remaining cropland</w:t>
      </w:r>
      <w:r w:rsidRPr="00261B7A">
        <w:t xml:space="preserve"> because the 2006 IPCC Guidelines (IPCC, 2006a) default transition period of 20 years has been applied across the entire LULUCF sector. </w:t>
      </w:r>
    </w:p>
    <w:p w14:paraId="6CCFC892" w14:textId="77777777" w:rsidR="0010265C" w:rsidRPr="00261B7A" w:rsidRDefault="0010265C" w:rsidP="0010265C">
      <w:pPr>
        <w:pStyle w:val="Heading5"/>
      </w:pPr>
      <w:bookmarkStart w:id="1926" w:name="_Toc255466383"/>
      <w:bookmarkStart w:id="1927" w:name="_Toc261513190"/>
      <w:bookmarkStart w:id="1928" w:name="_Toc261513803"/>
      <w:bookmarkStart w:id="1929" w:name="_Toc280630274"/>
      <w:r w:rsidRPr="00261B7A">
        <w:t>Dead organic matter</w:t>
      </w:r>
      <w:bookmarkEnd w:id="1926"/>
      <w:bookmarkEnd w:id="1927"/>
      <w:bookmarkEnd w:id="1928"/>
      <w:bookmarkEnd w:id="1929"/>
    </w:p>
    <w:p w14:paraId="7A4E8ABD" w14:textId="77777777" w:rsidR="0010265C" w:rsidRPr="00261B7A" w:rsidRDefault="0010265C" w:rsidP="0010265C">
      <w:pPr>
        <w:pStyle w:val="BodyText"/>
      </w:pPr>
      <w:r w:rsidRPr="00261B7A">
        <w:t xml:space="preserve">New Zealand reports only losses in dead organic matter associated with the previous land use for this category. The losses are calculated based on the carbon in dead organic matter at the site before conversion to </w:t>
      </w:r>
      <w:r w:rsidRPr="00261B7A">
        <w:rPr>
          <w:i/>
        </w:rPr>
        <w:t>Cropland</w:t>
      </w:r>
      <w:r w:rsidRPr="00261B7A">
        <w:t xml:space="preserve">. It is assumed that, immediately after conversion, dead organic matter is zero (all carbon in dead organic matter before conversion is instantly oxidised in the year of conversion). There is insufficient information to estimate gain in carbon stock in dead organic matter pools after land is converted to </w:t>
      </w:r>
      <w:r w:rsidRPr="00261B7A">
        <w:rPr>
          <w:i/>
        </w:rPr>
        <w:t>Cropland</w:t>
      </w:r>
      <w:r w:rsidRPr="00261B7A">
        <w:t xml:space="preserve"> (IPCC, 2006a). Consequently, where there are no dead organic matter losses associated with the previous land use, the notation key NA (not applicable) is used in the CRF tables in accordance with Decision 24/CP.19 (UNFCCC, 2014) as a given source/sink category does not result in emissions or removals of a specific gas.</w:t>
      </w:r>
    </w:p>
    <w:p w14:paraId="322D5EAF" w14:textId="77777777" w:rsidR="0010265C" w:rsidRPr="00261B7A" w:rsidRDefault="0010265C" w:rsidP="0010265C">
      <w:pPr>
        <w:pStyle w:val="Heading5"/>
      </w:pPr>
      <w:bookmarkStart w:id="1930" w:name="_Toc255466384"/>
      <w:bookmarkStart w:id="1931" w:name="_Toc261513191"/>
      <w:bookmarkStart w:id="1932" w:name="_Toc261513804"/>
      <w:bookmarkStart w:id="1933" w:name="_Toc280630275"/>
      <w:r w:rsidRPr="00261B7A">
        <w:t>Soil organic carbon</w:t>
      </w:r>
      <w:bookmarkEnd w:id="1930"/>
      <w:bookmarkEnd w:id="1931"/>
      <w:bookmarkEnd w:id="1932"/>
      <w:bookmarkEnd w:id="1933"/>
    </w:p>
    <w:p w14:paraId="11963A51" w14:textId="77777777" w:rsidR="0010265C" w:rsidRPr="00261B7A" w:rsidRDefault="0010265C" w:rsidP="0010265C">
      <w:pPr>
        <w:pStyle w:val="BodyText"/>
        <w:spacing w:before="80" w:after="100"/>
      </w:pPr>
      <w:bookmarkStart w:id="1934" w:name="_Toc255466385"/>
      <w:bookmarkStart w:id="1935" w:name="_Toc261513192"/>
      <w:bookmarkStart w:id="1936" w:name="_Toc261513805"/>
      <w:bookmarkStart w:id="1937" w:name="_Toc280630276"/>
      <w:r w:rsidRPr="00261B7A">
        <w:rPr>
          <w:spacing w:val="-2"/>
        </w:rPr>
        <w:t xml:space="preserve">Soil organic carbon stocks in </w:t>
      </w:r>
      <w:r w:rsidRPr="00261B7A">
        <w:rPr>
          <w:i/>
          <w:spacing w:val="-2"/>
        </w:rPr>
        <w:t>Land converted to cropland</w:t>
      </w:r>
      <w:r w:rsidRPr="00261B7A">
        <w:rPr>
          <w:spacing w:val="-2"/>
        </w:rPr>
        <w:t xml:space="preserve"> are estimated using a Tier 2 method for mineral soils and a Tier 1 method for organic soils (see annex A3.2.4 for further information)</w:t>
      </w:r>
      <w:r w:rsidRPr="00261B7A">
        <w:t xml:space="preserve">. </w:t>
      </w:r>
    </w:p>
    <w:p w14:paraId="4B47E7A1" w14:textId="77777777" w:rsidR="0010265C" w:rsidRPr="00261B7A" w:rsidRDefault="0010265C" w:rsidP="0010265C">
      <w:pPr>
        <w:pStyle w:val="Heading5"/>
        <w:spacing w:before="160"/>
      </w:pPr>
      <w:r w:rsidRPr="00261B7A">
        <w:t>Non-CO</w:t>
      </w:r>
      <w:r w:rsidRPr="00261B7A">
        <w:rPr>
          <w:vertAlign w:val="subscript"/>
        </w:rPr>
        <w:t>2</w:t>
      </w:r>
      <w:r w:rsidRPr="00261B7A">
        <w:t xml:space="preserve"> emissions</w:t>
      </w:r>
      <w:bookmarkEnd w:id="1934"/>
      <w:bookmarkEnd w:id="1935"/>
      <w:bookmarkEnd w:id="1936"/>
      <w:bookmarkEnd w:id="1937"/>
    </w:p>
    <w:p w14:paraId="208DD9CA" w14:textId="77777777" w:rsidR="0010265C" w:rsidRPr="00261B7A" w:rsidRDefault="0010265C" w:rsidP="0010265C">
      <w:pPr>
        <w:pStyle w:val="BodyText"/>
      </w:pPr>
      <w:r w:rsidRPr="00261B7A">
        <w:t xml:space="preserve">Nitrous oxide emissions from disturbance associated with land use conversion to </w:t>
      </w:r>
      <w:r w:rsidRPr="00261B7A">
        <w:rPr>
          <w:i/>
        </w:rPr>
        <w:t>Cropland</w:t>
      </w:r>
      <w:r w:rsidRPr="00261B7A">
        <w:t xml:space="preserve"> and land-use management are described in section 6.10. </w:t>
      </w:r>
    </w:p>
    <w:p w14:paraId="7CE8ED1A" w14:textId="77777777" w:rsidR="0010265C" w:rsidRPr="00261B7A" w:rsidRDefault="0010265C" w:rsidP="0010265C">
      <w:pPr>
        <w:pStyle w:val="Heading3"/>
      </w:pPr>
      <w:bookmarkStart w:id="1938" w:name="_Toc139253965"/>
      <w:bookmarkStart w:id="1939" w:name="_Toc255466388"/>
      <w:bookmarkStart w:id="1940" w:name="_Toc261513195"/>
      <w:bookmarkStart w:id="1941" w:name="_Toc261513808"/>
      <w:bookmarkStart w:id="1942" w:name="_Toc280630277"/>
      <w:r w:rsidRPr="00261B7A">
        <w:t>6.4.3</w:t>
      </w:r>
      <w:r w:rsidRPr="00261B7A">
        <w:tab/>
        <w:t>Uncertainties and time-series consistency</w:t>
      </w:r>
      <w:bookmarkEnd w:id="1938"/>
      <w:bookmarkEnd w:id="1939"/>
      <w:bookmarkEnd w:id="1940"/>
      <w:bookmarkEnd w:id="1941"/>
      <w:bookmarkEnd w:id="1942"/>
    </w:p>
    <w:p w14:paraId="0EDCECAB" w14:textId="77777777" w:rsidR="0010265C" w:rsidRPr="00261B7A" w:rsidRDefault="0010265C" w:rsidP="0010265C">
      <w:pPr>
        <w:pStyle w:val="BodyText"/>
      </w:pPr>
      <w:r w:rsidRPr="00261B7A">
        <w:t xml:space="preserve">The uncertainty in net carbon emissions from </w:t>
      </w:r>
      <w:r w:rsidRPr="00261B7A">
        <w:rPr>
          <w:i/>
          <w:iCs/>
        </w:rPr>
        <w:t>Cropland</w:t>
      </w:r>
      <w:r w:rsidRPr="00261B7A">
        <w:t xml:space="preserve"> was 71.3 per cent in 2021. The uncertainty in net carbon emissions from </w:t>
      </w:r>
      <w:r w:rsidRPr="00261B7A">
        <w:rPr>
          <w:i/>
        </w:rPr>
        <w:t>Cropland</w:t>
      </w:r>
      <w:r w:rsidRPr="00261B7A">
        <w:t xml:space="preserve"> accounted for 1.3 per cent of the total uncertainty in emissions from the LULUCF sector. The uncertainty associated with the emissions from each </w:t>
      </w:r>
      <w:r w:rsidRPr="00261B7A">
        <w:rPr>
          <w:i/>
          <w:iCs/>
        </w:rPr>
        <w:t>Cropland</w:t>
      </w:r>
      <w:r w:rsidRPr="00261B7A">
        <w:t xml:space="preserve"> class is shown in table 6.4.6. The methods used to calculate the uncertainty are further described in annex A3.2.8. </w:t>
      </w:r>
    </w:p>
    <w:p w14:paraId="4C701717" w14:textId="77777777" w:rsidR="0010265C" w:rsidRPr="00261B7A" w:rsidRDefault="0010265C" w:rsidP="0010265C">
      <w:pPr>
        <w:pStyle w:val="BodyText"/>
      </w:pPr>
      <w:r w:rsidRPr="00261B7A">
        <w:t xml:space="preserve">Time-series consistency is ensured by applying consistent methods and full recalculations in the event of any refinement or improvement to methodology. </w:t>
      </w:r>
    </w:p>
    <w:p w14:paraId="0332A553" w14:textId="0C553E97" w:rsidR="0010265C" w:rsidRPr="00261B7A" w:rsidRDefault="0010265C" w:rsidP="0010265C">
      <w:pPr>
        <w:pStyle w:val="Table"/>
      </w:pPr>
      <w:bookmarkStart w:id="1943" w:name="_Toc131591406"/>
      <w:bookmarkStart w:id="1944" w:name="_Toc280630463"/>
      <w:bookmarkStart w:id="1945" w:name="_Toc310423419"/>
      <w:bookmarkStart w:id="1946" w:name="_Toc318362712"/>
      <w:bookmarkStart w:id="1947" w:name="_Toc342470774"/>
      <w:bookmarkStart w:id="1948" w:name="_Toc352505014"/>
      <w:bookmarkStart w:id="1949" w:name="_Toc378853305"/>
      <w:bookmarkStart w:id="1950" w:name="_Toc391024103"/>
      <w:bookmarkStart w:id="1951" w:name="_Toc410028846"/>
      <w:bookmarkStart w:id="1952" w:name="_Toc414531474"/>
      <w:bookmarkStart w:id="1953" w:name="_Toc443645387"/>
      <w:bookmarkStart w:id="1954" w:name="_Toc474914606"/>
      <w:bookmarkStart w:id="1955" w:name="_Toc481751570"/>
      <w:bookmarkStart w:id="1956" w:name="_Toc522010627"/>
      <w:bookmarkStart w:id="1957" w:name="_Toc5269532"/>
      <w:bookmarkStart w:id="1958" w:name="_Toc33529406"/>
      <w:bookmarkStart w:id="1959" w:name="_Toc36224612"/>
      <w:bookmarkStart w:id="1960" w:name="_Toc65243609"/>
      <w:r w:rsidRPr="00261B7A">
        <w:t>Table 6.4.6</w:t>
      </w:r>
      <w:r w:rsidRPr="00261B7A">
        <w:tab/>
        <w:t xml:space="preserve">Uncertainty in net carbon stock change emissions in 2021 for </w:t>
      </w:r>
      <w:r w:rsidRPr="00261B7A">
        <w:rPr>
          <w:bCs/>
        </w:rPr>
        <w:t xml:space="preserve">the </w:t>
      </w:r>
      <w:r w:rsidRPr="00261B7A">
        <w:rPr>
          <w:i/>
        </w:rPr>
        <w:t>Cropland</w:t>
      </w:r>
      <w:r w:rsidRPr="00261B7A">
        <w:t xml:space="preserve"> </w:t>
      </w:r>
      <w:r w:rsidRPr="00261B7A">
        <w:rPr>
          <w:bCs/>
          <w:iCs/>
        </w:rPr>
        <w:t>category</w:t>
      </w:r>
      <w:bookmarkEnd w:id="1943"/>
    </w:p>
    <w:tbl>
      <w:tblPr>
        <w:tblW w:w="8505" w:type="dxa"/>
        <w:tblLayout w:type="fixed"/>
        <w:tblLook w:val="04A0" w:firstRow="1" w:lastRow="0" w:firstColumn="1" w:lastColumn="0" w:noHBand="0" w:noVBand="1"/>
      </w:tblPr>
      <w:tblGrid>
        <w:gridCol w:w="1554"/>
        <w:gridCol w:w="1835"/>
        <w:gridCol w:w="2259"/>
        <w:gridCol w:w="2857"/>
      </w:tblGrid>
      <w:tr w:rsidR="0010265C" w:rsidRPr="00261B7A" w14:paraId="0879EA12" w14:textId="77777777" w:rsidTr="00AC75E3">
        <w:tc>
          <w:tcPr>
            <w:tcW w:w="1560" w:type="dxa"/>
            <w:tcBorders>
              <w:top w:val="single" w:sz="4" w:space="0" w:color="1B556B"/>
            </w:tcBorders>
            <w:shd w:val="clear" w:color="auto" w:fill="1B556B"/>
            <w:vAlign w:val="bottom"/>
          </w:tcPr>
          <w:p w14:paraId="48FD1E12" w14:textId="77777777" w:rsidR="0010265C" w:rsidRPr="00261B7A" w:rsidRDefault="0010265C" w:rsidP="00D41492">
            <w:pPr>
              <w:pStyle w:val="TableTextBold"/>
              <w:keepNext/>
              <w:spacing w:before="40" w:after="40"/>
              <w:rPr>
                <w:noProof w:val="0"/>
                <w:color w:val="FFFFFF"/>
                <w:szCs w:val="16"/>
              </w:rPr>
            </w:pPr>
            <w:r w:rsidRPr="00261B7A">
              <w:rPr>
                <w:noProof w:val="0"/>
                <w:color w:val="FFFFFF" w:themeColor="background1"/>
                <w:szCs w:val="16"/>
              </w:rPr>
              <w:t>Land use</w:t>
            </w:r>
          </w:p>
        </w:tc>
        <w:tc>
          <w:tcPr>
            <w:tcW w:w="1842" w:type="dxa"/>
            <w:tcBorders>
              <w:top w:val="single" w:sz="4" w:space="0" w:color="1B556B"/>
            </w:tcBorders>
            <w:shd w:val="clear" w:color="auto" w:fill="1B556B"/>
            <w:vAlign w:val="bottom"/>
          </w:tcPr>
          <w:p w14:paraId="317765DE" w14:textId="77777777" w:rsidR="0010265C" w:rsidRPr="00261B7A" w:rsidRDefault="0010265C" w:rsidP="00D41492">
            <w:pPr>
              <w:pStyle w:val="TableTextBold"/>
              <w:spacing w:before="40" w:after="40"/>
              <w:jc w:val="center"/>
              <w:rPr>
                <w:noProof w:val="0"/>
                <w:color w:val="FFFFFF"/>
                <w:szCs w:val="16"/>
              </w:rPr>
            </w:pPr>
            <w:r w:rsidRPr="00261B7A">
              <w:rPr>
                <w:noProof w:val="0"/>
                <w:color w:val="FFFFFF"/>
                <w:szCs w:val="16"/>
              </w:rPr>
              <w:t>Emissions (kt CO</w:t>
            </w:r>
            <w:r w:rsidRPr="00261B7A">
              <w:rPr>
                <w:noProof w:val="0"/>
                <w:color w:val="FFFFFF"/>
                <w:szCs w:val="16"/>
                <w:vertAlign w:val="subscript"/>
              </w:rPr>
              <w:t>2</w:t>
            </w:r>
            <w:r w:rsidRPr="00261B7A">
              <w:rPr>
                <w:noProof w:val="0"/>
                <w:color w:val="FFFFFF"/>
                <w:szCs w:val="16"/>
              </w:rPr>
              <w:t>-e)</w:t>
            </w:r>
          </w:p>
        </w:tc>
        <w:tc>
          <w:tcPr>
            <w:tcW w:w="2268" w:type="dxa"/>
            <w:tcBorders>
              <w:top w:val="single" w:sz="4" w:space="0" w:color="1B556B"/>
            </w:tcBorders>
            <w:shd w:val="clear" w:color="auto" w:fill="1B556B"/>
            <w:vAlign w:val="bottom"/>
          </w:tcPr>
          <w:p w14:paraId="4C8BD183" w14:textId="77777777" w:rsidR="0010265C" w:rsidRPr="00261B7A" w:rsidRDefault="0010265C" w:rsidP="00D41492">
            <w:pPr>
              <w:pStyle w:val="TableTextBold"/>
              <w:spacing w:before="40" w:after="40"/>
              <w:rPr>
                <w:noProof w:val="0"/>
                <w:color w:val="FFFFFF"/>
                <w:szCs w:val="16"/>
              </w:rPr>
            </w:pPr>
            <w:r w:rsidRPr="00261B7A">
              <w:rPr>
                <w:noProof w:val="0"/>
                <w:color w:val="FFFFFF"/>
                <w:szCs w:val="16"/>
              </w:rPr>
              <w:t>Uncertainty in emissions (%)</w:t>
            </w:r>
          </w:p>
        </w:tc>
        <w:tc>
          <w:tcPr>
            <w:tcW w:w="2869" w:type="dxa"/>
            <w:tcBorders>
              <w:top w:val="single" w:sz="4" w:space="0" w:color="1B556B"/>
            </w:tcBorders>
            <w:shd w:val="clear" w:color="auto" w:fill="1B556B"/>
            <w:vAlign w:val="bottom"/>
          </w:tcPr>
          <w:p w14:paraId="2AF15C98" w14:textId="77777777" w:rsidR="0010265C" w:rsidRPr="00261B7A" w:rsidRDefault="0010265C" w:rsidP="00D41492">
            <w:pPr>
              <w:pStyle w:val="TableTextBold"/>
              <w:spacing w:before="40" w:after="40"/>
              <w:rPr>
                <w:noProof w:val="0"/>
                <w:color w:val="FFFFFF"/>
                <w:szCs w:val="16"/>
              </w:rPr>
            </w:pPr>
            <w:r w:rsidRPr="00261B7A">
              <w:rPr>
                <w:noProof w:val="0"/>
                <w:color w:val="FFFFFF"/>
                <w:szCs w:val="16"/>
              </w:rPr>
              <w:t>Contribution to LULUCF uncertainty (%)</w:t>
            </w:r>
          </w:p>
        </w:tc>
      </w:tr>
      <w:tr w:rsidR="0010265C" w:rsidRPr="00261B7A" w14:paraId="7499E274" w14:textId="77777777" w:rsidTr="00AC75E3">
        <w:tc>
          <w:tcPr>
            <w:tcW w:w="1560" w:type="dxa"/>
            <w:tcBorders>
              <w:top w:val="single" w:sz="4" w:space="0" w:color="1B556B"/>
              <w:bottom w:val="single" w:sz="4" w:space="0" w:color="365F91"/>
            </w:tcBorders>
          </w:tcPr>
          <w:p w14:paraId="48156684" w14:textId="77777777" w:rsidR="0010265C" w:rsidRPr="00261B7A" w:rsidRDefault="0010265C" w:rsidP="00D41492">
            <w:pPr>
              <w:pStyle w:val="TableText"/>
              <w:spacing w:before="40" w:after="40"/>
            </w:pPr>
            <w:r w:rsidRPr="00261B7A">
              <w:t>Annual cropland</w:t>
            </w:r>
          </w:p>
        </w:tc>
        <w:tc>
          <w:tcPr>
            <w:tcW w:w="1842" w:type="dxa"/>
            <w:tcBorders>
              <w:top w:val="single" w:sz="4" w:space="0" w:color="1B556B"/>
              <w:bottom w:val="single" w:sz="4" w:space="0" w:color="365F91"/>
            </w:tcBorders>
          </w:tcPr>
          <w:p w14:paraId="780AB5B5" w14:textId="77777777" w:rsidR="0010265C" w:rsidRPr="00261B7A" w:rsidRDefault="0010265C" w:rsidP="00D41492">
            <w:pPr>
              <w:pStyle w:val="TableText"/>
              <w:spacing w:before="40" w:after="40"/>
              <w:jc w:val="center"/>
            </w:pPr>
            <w:r w:rsidRPr="00261B7A">
              <w:t>306.7</w:t>
            </w:r>
          </w:p>
        </w:tc>
        <w:tc>
          <w:tcPr>
            <w:tcW w:w="2268" w:type="dxa"/>
            <w:tcBorders>
              <w:top w:val="single" w:sz="4" w:space="0" w:color="1B556B"/>
              <w:bottom w:val="single" w:sz="4" w:space="0" w:color="365F91"/>
            </w:tcBorders>
            <w:vAlign w:val="bottom"/>
          </w:tcPr>
          <w:p w14:paraId="4DE9E633" w14:textId="77777777" w:rsidR="0010265C" w:rsidRPr="00261B7A" w:rsidRDefault="0010265C" w:rsidP="00D41492">
            <w:pPr>
              <w:pStyle w:val="TableText"/>
              <w:spacing w:before="40" w:after="40"/>
              <w:jc w:val="center"/>
              <w:rPr>
                <w:szCs w:val="16"/>
              </w:rPr>
            </w:pPr>
            <w:r w:rsidRPr="00261B7A">
              <w:rPr>
                <w:rFonts w:cs="Calibri"/>
                <w:color w:val="000000"/>
                <w:szCs w:val="16"/>
              </w:rPr>
              <w:t>81.0</w:t>
            </w:r>
          </w:p>
        </w:tc>
        <w:tc>
          <w:tcPr>
            <w:tcW w:w="2869" w:type="dxa"/>
            <w:tcBorders>
              <w:top w:val="single" w:sz="4" w:space="0" w:color="1B556B"/>
              <w:bottom w:val="single" w:sz="4" w:space="0" w:color="365F91"/>
            </w:tcBorders>
            <w:vAlign w:val="bottom"/>
          </w:tcPr>
          <w:p w14:paraId="21311FB3" w14:textId="77777777" w:rsidR="0010265C" w:rsidRPr="00261B7A" w:rsidRDefault="0010265C" w:rsidP="00D41492">
            <w:pPr>
              <w:pStyle w:val="TableText"/>
              <w:spacing w:before="40" w:after="40"/>
              <w:jc w:val="center"/>
              <w:rPr>
                <w:szCs w:val="16"/>
              </w:rPr>
            </w:pPr>
            <w:r w:rsidRPr="00261B7A">
              <w:rPr>
                <w:rFonts w:cs="Calibri"/>
                <w:color w:val="000000"/>
                <w:szCs w:val="16"/>
              </w:rPr>
              <w:t>1.2</w:t>
            </w:r>
          </w:p>
        </w:tc>
      </w:tr>
      <w:tr w:rsidR="0010265C" w:rsidRPr="00261B7A" w14:paraId="26B5957B" w14:textId="77777777" w:rsidTr="00AC75E3">
        <w:tc>
          <w:tcPr>
            <w:tcW w:w="1560" w:type="dxa"/>
            <w:tcBorders>
              <w:top w:val="single" w:sz="4" w:space="0" w:color="365F91"/>
              <w:bottom w:val="single" w:sz="4" w:space="0" w:color="365F91"/>
            </w:tcBorders>
          </w:tcPr>
          <w:p w14:paraId="4E916078" w14:textId="77777777" w:rsidR="0010265C" w:rsidRPr="00261B7A" w:rsidRDefault="0010265C" w:rsidP="00D41492">
            <w:pPr>
              <w:pStyle w:val="TableText"/>
              <w:spacing w:before="40" w:after="40"/>
            </w:pPr>
            <w:r w:rsidRPr="00261B7A">
              <w:t>Perennial cropland</w:t>
            </w:r>
          </w:p>
        </w:tc>
        <w:tc>
          <w:tcPr>
            <w:tcW w:w="1842" w:type="dxa"/>
            <w:tcBorders>
              <w:top w:val="single" w:sz="4" w:space="0" w:color="365F91"/>
              <w:bottom w:val="single" w:sz="4" w:space="0" w:color="365F91"/>
            </w:tcBorders>
          </w:tcPr>
          <w:p w14:paraId="3A2EBDD3" w14:textId="77777777" w:rsidR="0010265C" w:rsidRPr="00261B7A" w:rsidRDefault="0010265C" w:rsidP="00D41492">
            <w:pPr>
              <w:pStyle w:val="TableText"/>
              <w:spacing w:before="40" w:after="40"/>
              <w:jc w:val="center"/>
            </w:pPr>
            <w:r w:rsidRPr="00261B7A">
              <w:t>65.4</w:t>
            </w:r>
          </w:p>
        </w:tc>
        <w:tc>
          <w:tcPr>
            <w:tcW w:w="2268" w:type="dxa"/>
            <w:tcBorders>
              <w:top w:val="single" w:sz="4" w:space="0" w:color="365F91"/>
              <w:bottom w:val="single" w:sz="4" w:space="0" w:color="365F91"/>
            </w:tcBorders>
            <w:vAlign w:val="bottom"/>
          </w:tcPr>
          <w:p w14:paraId="2E352683" w14:textId="77777777" w:rsidR="0010265C" w:rsidRPr="00261B7A" w:rsidRDefault="0010265C" w:rsidP="00D41492">
            <w:pPr>
              <w:pStyle w:val="TableText"/>
              <w:spacing w:before="40" w:after="40"/>
              <w:jc w:val="center"/>
              <w:rPr>
                <w:szCs w:val="16"/>
              </w:rPr>
            </w:pPr>
            <w:r w:rsidRPr="00261B7A">
              <w:rPr>
                <w:rFonts w:cs="Calibri"/>
                <w:color w:val="000000"/>
                <w:szCs w:val="16"/>
              </w:rPr>
              <w:t>141.9</w:t>
            </w:r>
          </w:p>
        </w:tc>
        <w:tc>
          <w:tcPr>
            <w:tcW w:w="2869" w:type="dxa"/>
            <w:tcBorders>
              <w:top w:val="single" w:sz="4" w:space="0" w:color="365F91"/>
              <w:bottom w:val="single" w:sz="4" w:space="0" w:color="365F91"/>
            </w:tcBorders>
            <w:vAlign w:val="bottom"/>
          </w:tcPr>
          <w:p w14:paraId="481347C8" w14:textId="77777777" w:rsidR="0010265C" w:rsidRPr="00261B7A" w:rsidRDefault="0010265C" w:rsidP="00D41492">
            <w:pPr>
              <w:pStyle w:val="TableText"/>
              <w:spacing w:before="40" w:after="40"/>
              <w:jc w:val="center"/>
              <w:rPr>
                <w:szCs w:val="16"/>
              </w:rPr>
            </w:pPr>
            <w:r w:rsidRPr="00261B7A">
              <w:rPr>
                <w:rFonts w:cs="Calibri"/>
                <w:color w:val="000000"/>
                <w:szCs w:val="16"/>
              </w:rPr>
              <w:t>0.4</w:t>
            </w:r>
          </w:p>
        </w:tc>
      </w:tr>
      <w:tr w:rsidR="0010265C" w:rsidRPr="00261B7A" w14:paraId="1BBC1098" w14:textId="77777777" w:rsidTr="00AC75E3">
        <w:tc>
          <w:tcPr>
            <w:tcW w:w="1560" w:type="dxa"/>
            <w:tcBorders>
              <w:top w:val="single" w:sz="4" w:space="0" w:color="365F91"/>
              <w:bottom w:val="single" w:sz="4" w:space="0" w:color="365F91"/>
            </w:tcBorders>
          </w:tcPr>
          <w:p w14:paraId="1F3450A6" w14:textId="77777777" w:rsidR="0010265C" w:rsidRPr="00261B7A" w:rsidRDefault="0010265C" w:rsidP="00D41492">
            <w:pPr>
              <w:pStyle w:val="TableTextBold"/>
              <w:spacing w:before="40" w:after="40"/>
              <w:rPr>
                <w:noProof w:val="0"/>
                <w:color w:val="1B556B"/>
              </w:rPr>
            </w:pPr>
            <w:r w:rsidRPr="00261B7A">
              <w:rPr>
                <w:noProof w:val="0"/>
                <w:color w:val="1B556B"/>
              </w:rPr>
              <w:t xml:space="preserve">Total </w:t>
            </w:r>
          </w:p>
        </w:tc>
        <w:tc>
          <w:tcPr>
            <w:tcW w:w="1842" w:type="dxa"/>
            <w:tcBorders>
              <w:top w:val="single" w:sz="4" w:space="0" w:color="365F91"/>
              <w:bottom w:val="single" w:sz="4" w:space="0" w:color="365F91"/>
            </w:tcBorders>
          </w:tcPr>
          <w:p w14:paraId="3506B64A" w14:textId="77777777" w:rsidR="0010265C" w:rsidRPr="00261B7A" w:rsidRDefault="0010265C" w:rsidP="00D41492">
            <w:pPr>
              <w:pStyle w:val="TableTextBold"/>
              <w:spacing w:before="40" w:after="40"/>
              <w:jc w:val="center"/>
              <w:rPr>
                <w:noProof w:val="0"/>
                <w:color w:val="1B556B"/>
              </w:rPr>
            </w:pPr>
            <w:r w:rsidRPr="00261B7A">
              <w:rPr>
                <w:noProof w:val="0"/>
                <w:color w:val="1B556B"/>
              </w:rPr>
              <w:t>372.2</w:t>
            </w:r>
          </w:p>
        </w:tc>
        <w:tc>
          <w:tcPr>
            <w:tcW w:w="2268" w:type="dxa"/>
            <w:tcBorders>
              <w:top w:val="single" w:sz="4" w:space="0" w:color="365F91"/>
              <w:bottom w:val="single" w:sz="4" w:space="0" w:color="365F91"/>
            </w:tcBorders>
            <w:vAlign w:val="bottom"/>
          </w:tcPr>
          <w:p w14:paraId="5D8C0162" w14:textId="77777777" w:rsidR="0010265C" w:rsidRPr="00261B7A" w:rsidRDefault="0010265C" w:rsidP="00D41492">
            <w:pPr>
              <w:pStyle w:val="TableTextBold"/>
              <w:spacing w:before="40" w:after="40"/>
              <w:jc w:val="center"/>
              <w:rPr>
                <w:noProof w:val="0"/>
                <w:color w:val="1B556B"/>
                <w:szCs w:val="16"/>
              </w:rPr>
            </w:pPr>
            <w:r w:rsidRPr="00261B7A">
              <w:rPr>
                <w:rFonts w:cs="Calibri"/>
                <w:noProof w:val="0"/>
                <w:color w:val="1B556B"/>
                <w:szCs w:val="16"/>
              </w:rPr>
              <w:t>71.3</w:t>
            </w:r>
          </w:p>
        </w:tc>
        <w:tc>
          <w:tcPr>
            <w:tcW w:w="2869" w:type="dxa"/>
            <w:tcBorders>
              <w:top w:val="single" w:sz="4" w:space="0" w:color="365F91"/>
              <w:bottom w:val="single" w:sz="4" w:space="0" w:color="365F91"/>
            </w:tcBorders>
            <w:vAlign w:val="bottom"/>
          </w:tcPr>
          <w:p w14:paraId="5F1DF7E6" w14:textId="77777777" w:rsidR="0010265C" w:rsidRPr="00261B7A" w:rsidRDefault="0010265C" w:rsidP="00D41492">
            <w:pPr>
              <w:pStyle w:val="TableTextBold"/>
              <w:spacing w:before="40" w:after="40"/>
              <w:jc w:val="center"/>
              <w:rPr>
                <w:noProof w:val="0"/>
                <w:color w:val="1B556B"/>
                <w:szCs w:val="16"/>
              </w:rPr>
            </w:pPr>
            <w:r w:rsidRPr="00261B7A">
              <w:rPr>
                <w:rFonts w:cs="Calibri"/>
                <w:noProof w:val="0"/>
                <w:color w:val="1B556B"/>
                <w:szCs w:val="16"/>
              </w:rPr>
              <w:t>1.3</w:t>
            </w:r>
          </w:p>
        </w:tc>
      </w:tr>
    </w:tbl>
    <w:p w14:paraId="18D54920" w14:textId="77777777" w:rsidR="0010265C" w:rsidRPr="00261B7A" w:rsidRDefault="0010265C" w:rsidP="0010265C">
      <w:pPr>
        <w:pStyle w:val="Heading3"/>
      </w:pPr>
      <w:bookmarkStart w:id="1961" w:name="_Toc139253966"/>
      <w:bookmarkStart w:id="1962" w:name="_Toc255466389"/>
      <w:bookmarkStart w:id="1963" w:name="_Toc261513196"/>
      <w:bookmarkStart w:id="1964" w:name="_Toc261513809"/>
      <w:bookmarkStart w:id="1965" w:name="_Toc280630278"/>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r w:rsidRPr="00261B7A">
        <w:t>6.4.4</w:t>
      </w:r>
      <w:r w:rsidRPr="00261B7A">
        <w:tab/>
        <w:t>Category-specific QA/QC and verification</w:t>
      </w:r>
      <w:bookmarkEnd w:id="1961"/>
      <w:bookmarkEnd w:id="1962"/>
      <w:bookmarkEnd w:id="1963"/>
      <w:bookmarkEnd w:id="1964"/>
      <w:bookmarkEnd w:id="1965"/>
    </w:p>
    <w:p w14:paraId="4963030D" w14:textId="77777777" w:rsidR="0010265C" w:rsidRPr="00261B7A" w:rsidRDefault="0010265C" w:rsidP="00866D3D">
      <w:pPr>
        <w:pStyle w:val="BodyText"/>
      </w:pPr>
      <w:r w:rsidRPr="00261B7A">
        <w:t>In the preparation of this inventory, the data for CO</w:t>
      </w:r>
      <w:r w:rsidRPr="00261B7A">
        <w:rPr>
          <w:vertAlign w:val="subscript"/>
        </w:rPr>
        <w:t>2</w:t>
      </w:r>
      <w:r w:rsidRPr="00261B7A">
        <w:t xml:space="preserve"> emissions from the </w:t>
      </w:r>
      <w:r w:rsidRPr="00261B7A">
        <w:rPr>
          <w:i/>
        </w:rPr>
        <w:t>Land converted to cropland</w:t>
      </w:r>
      <w:r w:rsidRPr="00261B7A">
        <w:t xml:space="preserve"> category underwent Tier 1 quality checks. </w:t>
      </w:r>
      <w:r w:rsidRPr="00261B7A">
        <w:rPr>
          <w:i/>
        </w:rPr>
        <w:t>Cropland remaining cropland</w:t>
      </w:r>
      <w:r w:rsidRPr="00261B7A">
        <w:t xml:space="preserve"> (level and trend assessment) was a key category in 2021.</w:t>
      </w:r>
    </w:p>
    <w:p w14:paraId="7678ECED" w14:textId="77777777" w:rsidR="0010265C" w:rsidRPr="00261B7A" w:rsidRDefault="0010265C" w:rsidP="00866D3D">
      <w:pPr>
        <w:pStyle w:val="BodyText"/>
      </w:pPr>
      <w:r w:rsidRPr="00261B7A">
        <w:t>As part of verification of the New Zealand-specific above-ground biomass emission factor for perennial cropland, this factor has been compared with the IPCC default for temperate perennial cropland (table 5.1, IPCC, 2006a). The New Zealand value for above-ground biomass of 18.76 tonnes C ha</w:t>
      </w:r>
      <w:r w:rsidRPr="00261B7A">
        <w:rPr>
          <w:vertAlign w:val="superscript"/>
        </w:rPr>
        <w:t xml:space="preserve">–1 </w:t>
      </w:r>
      <w:r w:rsidRPr="00261B7A">
        <w:t>is much lower than the default value of 63 tonnes C ha</w:t>
      </w:r>
      <w:r w:rsidRPr="00261B7A">
        <w:rPr>
          <w:vertAlign w:val="superscript"/>
        </w:rPr>
        <w:t>–1</w:t>
      </w:r>
      <w:r w:rsidRPr="00261B7A">
        <w:t xml:space="preserve"> provided in the 2006 IPCC Guidelines (IPCC, 2006a). Further research into the differences between the values has shown the IPCC default value is based on just four studies of agroforestry systems where crops are grown in rotation with trees and none of these studies is New Zealand specific. The country-specific emission factor used is based on a New Zealand study, taking into account that New Zealand’s main perennial crops are not grown in rotation with trees (i.e., are not part of an agroforestry system) and that a significant proportion of New Zealand’s main perennial crops are vine fruit, such as</w:t>
      </w:r>
      <w:r w:rsidRPr="00261B7A" w:rsidDel="00563489">
        <w:t xml:space="preserve"> </w:t>
      </w:r>
      <w:r w:rsidRPr="00261B7A">
        <w:t>kiwifruit and grapes (Davis and Wakelin, unpublished). This means</w:t>
      </w:r>
      <w:r w:rsidRPr="00261B7A" w:rsidDel="00563489">
        <w:t xml:space="preserve"> </w:t>
      </w:r>
      <w:r w:rsidRPr="00261B7A">
        <w:t xml:space="preserve">the country-specific value has lower carbon stocks per hectare in living biomass at maturity than the </w:t>
      </w:r>
      <w:r w:rsidRPr="00261B7A">
        <w:rPr>
          <w:i/>
        </w:rPr>
        <w:t>Cropland</w:t>
      </w:r>
      <w:r w:rsidRPr="00261B7A">
        <w:t xml:space="preserve"> types included in the study on which the IPCC default value is based. </w:t>
      </w:r>
    </w:p>
    <w:p w14:paraId="18262CD2" w14:textId="77777777" w:rsidR="0010265C" w:rsidRPr="00261B7A" w:rsidRDefault="0010265C" w:rsidP="0010265C">
      <w:pPr>
        <w:pStyle w:val="Heading3"/>
      </w:pPr>
      <w:bookmarkStart w:id="1966" w:name="_Toc139253967"/>
      <w:bookmarkStart w:id="1967" w:name="_Toc255466390"/>
      <w:bookmarkStart w:id="1968" w:name="_Toc261513197"/>
      <w:bookmarkStart w:id="1969" w:name="_Toc261513810"/>
      <w:bookmarkStart w:id="1970" w:name="_Toc280630279"/>
      <w:r w:rsidRPr="00261B7A">
        <w:t>6.4.5</w:t>
      </w:r>
      <w:r w:rsidRPr="00261B7A">
        <w:tab/>
        <w:t>Category-specific recalculations</w:t>
      </w:r>
      <w:bookmarkEnd w:id="1966"/>
      <w:bookmarkEnd w:id="1967"/>
      <w:bookmarkEnd w:id="1968"/>
      <w:bookmarkEnd w:id="1969"/>
      <w:bookmarkEnd w:id="1970"/>
    </w:p>
    <w:p w14:paraId="0B923D59" w14:textId="77777777" w:rsidR="0010265C" w:rsidRPr="00261B7A" w:rsidRDefault="0010265C" w:rsidP="00866D3D">
      <w:pPr>
        <w:pStyle w:val="BodyText"/>
      </w:pPr>
      <w:r w:rsidRPr="00261B7A">
        <w:t xml:space="preserve">Recalculations of the entire time series were carried out for this category as a result of updated activity data. Updates to activity data included improvements made to </w:t>
      </w:r>
      <w:r w:rsidRPr="00261B7A">
        <w:rPr>
          <w:i/>
        </w:rPr>
        <w:t>Forest land</w:t>
      </w:r>
      <w:r w:rsidRPr="00261B7A">
        <w:t xml:space="preserve"> to </w:t>
      </w:r>
      <w:r w:rsidRPr="00261B7A">
        <w:rPr>
          <w:i/>
        </w:rPr>
        <w:t>Cropland</w:t>
      </w:r>
      <w:r w:rsidRPr="00261B7A">
        <w:t xml:space="preserve"> area estimates, for each forest type. Updates to emission factors applied on conversion from</w:t>
      </w:r>
      <w:r w:rsidRPr="00261B7A" w:rsidDel="00164B96">
        <w:t xml:space="preserve"> </w:t>
      </w:r>
      <w:r w:rsidRPr="00261B7A">
        <w:rPr>
          <w:i/>
        </w:rPr>
        <w:t>Forest land</w:t>
      </w:r>
      <w:r w:rsidRPr="00261B7A">
        <w:t xml:space="preserve"> to </w:t>
      </w:r>
      <w:r w:rsidRPr="00261B7A">
        <w:rPr>
          <w:i/>
        </w:rPr>
        <w:t>Cropland</w:t>
      </w:r>
      <w:r w:rsidRPr="00261B7A">
        <w:t xml:space="preserve"> also occur due to changes to the planted forest yield tables and average deforestation age, and changes to the pre-1990 natural forest carbon stock estimates. The impact of recalculations on net CO</w:t>
      </w:r>
      <w:r w:rsidRPr="00261B7A">
        <w:rPr>
          <w:vertAlign w:val="subscript"/>
        </w:rPr>
        <w:t>2</w:t>
      </w:r>
      <w:r w:rsidRPr="00261B7A">
        <w:t xml:space="preserve">-e emission estimates for the </w:t>
      </w:r>
      <w:r w:rsidRPr="00261B7A">
        <w:rPr>
          <w:i/>
        </w:rPr>
        <w:t>Cropland</w:t>
      </w:r>
      <w:r w:rsidRPr="00261B7A">
        <w:t xml:space="preserve"> category is shown in table 6.4.7.</w:t>
      </w:r>
    </w:p>
    <w:p w14:paraId="044836A2" w14:textId="3D4EDC6E" w:rsidR="0010265C" w:rsidRPr="00261B7A" w:rsidRDefault="0010265C" w:rsidP="0010265C">
      <w:pPr>
        <w:pStyle w:val="Table"/>
      </w:pPr>
      <w:bookmarkStart w:id="1971" w:name="_Toc280630464"/>
      <w:bookmarkStart w:id="1972" w:name="_Toc310423420"/>
      <w:bookmarkStart w:id="1973" w:name="_Toc318362713"/>
      <w:bookmarkStart w:id="1974" w:name="_Toc342470775"/>
      <w:bookmarkStart w:id="1975" w:name="_Toc352505015"/>
      <w:bookmarkStart w:id="1976" w:name="_Toc378853306"/>
      <w:bookmarkStart w:id="1977" w:name="_Toc391024104"/>
      <w:bookmarkStart w:id="1978" w:name="_Toc410028847"/>
      <w:bookmarkStart w:id="1979" w:name="_Toc414531475"/>
      <w:bookmarkStart w:id="1980" w:name="_Toc443645388"/>
      <w:bookmarkStart w:id="1981" w:name="_Toc474914607"/>
      <w:bookmarkStart w:id="1982" w:name="_Toc481751571"/>
      <w:bookmarkStart w:id="1983" w:name="_Toc522010628"/>
      <w:bookmarkStart w:id="1984" w:name="_Toc5269533"/>
      <w:bookmarkStart w:id="1985" w:name="_Toc33529407"/>
      <w:bookmarkStart w:id="1986" w:name="_Toc36224613"/>
      <w:bookmarkStart w:id="1987" w:name="_Toc65243610"/>
      <w:bookmarkStart w:id="1988" w:name="_Toc131591407"/>
      <w:r w:rsidRPr="00261B7A">
        <w:t>Table 6.4.7</w:t>
      </w:r>
      <w:r w:rsidRPr="00261B7A">
        <w:tab/>
        <w:t xml:space="preserve">Recalculations of New Zealand’s net emissions from the </w:t>
      </w:r>
      <w:r w:rsidRPr="00261B7A">
        <w:rPr>
          <w:i/>
        </w:rPr>
        <w:t>Cropland</w:t>
      </w:r>
      <w:r w:rsidRPr="00261B7A">
        <w:t xml:space="preserve"> category in 1990 and</w:t>
      </w:r>
      <w:bookmarkEnd w:id="1971"/>
      <w:bookmarkEnd w:id="1972"/>
      <w:bookmarkEnd w:id="1973"/>
      <w:bookmarkEnd w:id="1974"/>
      <w:bookmarkEnd w:id="1975"/>
      <w:bookmarkEnd w:id="1976"/>
      <w:bookmarkEnd w:id="1977"/>
      <w:r w:rsidRPr="00261B7A">
        <w:t> </w:t>
      </w:r>
      <w:bookmarkEnd w:id="1978"/>
      <w:bookmarkEnd w:id="1979"/>
      <w:bookmarkEnd w:id="1980"/>
      <w:bookmarkEnd w:id="1981"/>
      <w:bookmarkEnd w:id="1982"/>
      <w:bookmarkEnd w:id="1983"/>
      <w:bookmarkEnd w:id="1984"/>
      <w:bookmarkEnd w:id="1985"/>
      <w:bookmarkEnd w:id="1986"/>
      <w:bookmarkEnd w:id="1987"/>
      <w:r w:rsidRPr="00261B7A">
        <w:t>2020</w:t>
      </w:r>
      <w:bookmarkEnd w:id="1988"/>
      <w:r w:rsidR="00866D3D" w:rsidRPr="00261B7A">
        <w:t xml:space="preserve"> </w:t>
      </w:r>
    </w:p>
    <w:tbl>
      <w:tblPr>
        <w:tblW w:w="8505" w:type="dxa"/>
        <w:tblLayout w:type="fixed"/>
        <w:tblLook w:val="04A0" w:firstRow="1" w:lastRow="0" w:firstColumn="1" w:lastColumn="0" w:noHBand="0" w:noVBand="1"/>
      </w:tblPr>
      <w:tblGrid>
        <w:gridCol w:w="1109"/>
        <w:gridCol w:w="1849"/>
        <w:gridCol w:w="1849"/>
        <w:gridCol w:w="1849"/>
        <w:gridCol w:w="1849"/>
      </w:tblGrid>
      <w:tr w:rsidR="0010265C" w:rsidRPr="00261B7A" w14:paraId="2721FA97" w14:textId="77777777" w:rsidTr="00866D3D">
        <w:tc>
          <w:tcPr>
            <w:tcW w:w="1109" w:type="dxa"/>
            <w:vMerge w:val="restart"/>
            <w:tcBorders>
              <w:top w:val="single" w:sz="4" w:space="0" w:color="1B556B"/>
            </w:tcBorders>
            <w:shd w:val="clear" w:color="auto" w:fill="1B556B"/>
            <w:vAlign w:val="bottom"/>
          </w:tcPr>
          <w:p w14:paraId="61649A46" w14:textId="77777777" w:rsidR="0010265C" w:rsidRPr="00261B7A" w:rsidRDefault="0010265C" w:rsidP="00D41492">
            <w:pPr>
              <w:pStyle w:val="TableTextBold"/>
              <w:spacing w:before="40" w:after="40"/>
              <w:rPr>
                <w:noProof w:val="0"/>
                <w:color w:val="FFFFFF"/>
              </w:rPr>
            </w:pPr>
            <w:r w:rsidRPr="00261B7A">
              <w:rPr>
                <w:noProof w:val="0"/>
                <w:color w:val="FFFFFF"/>
              </w:rPr>
              <w:t>Year</w:t>
            </w:r>
          </w:p>
        </w:tc>
        <w:tc>
          <w:tcPr>
            <w:tcW w:w="3698" w:type="dxa"/>
            <w:gridSpan w:val="2"/>
            <w:tcBorders>
              <w:top w:val="single" w:sz="4" w:space="0" w:color="1B556B"/>
            </w:tcBorders>
            <w:shd w:val="clear" w:color="auto" w:fill="1B556B"/>
            <w:noWrap/>
            <w:vAlign w:val="bottom"/>
          </w:tcPr>
          <w:p w14:paraId="6B7F5CD3" w14:textId="77777777" w:rsidR="0010265C" w:rsidRPr="00261B7A" w:rsidRDefault="0010265C" w:rsidP="00D41492">
            <w:pPr>
              <w:pStyle w:val="TableTextBold"/>
              <w:spacing w:before="40" w:after="40"/>
              <w:jc w:val="center"/>
              <w:rPr>
                <w:noProof w:val="0"/>
                <w:color w:val="FFFFFF"/>
              </w:rPr>
            </w:pPr>
            <w:r w:rsidRPr="00261B7A">
              <w:rPr>
                <w:noProof w:val="0"/>
                <w:color w:val="FFFFFF"/>
              </w:rPr>
              <w:t>Net emissions (kt CO</w:t>
            </w:r>
            <w:r w:rsidRPr="00261B7A">
              <w:rPr>
                <w:noProof w:val="0"/>
                <w:color w:val="FFFFFF"/>
                <w:vertAlign w:val="subscript"/>
              </w:rPr>
              <w:t>2</w:t>
            </w:r>
            <w:r w:rsidRPr="00261B7A">
              <w:rPr>
                <w:noProof w:val="0"/>
                <w:color w:val="FFFFFF"/>
              </w:rPr>
              <w:t>-e)</w:t>
            </w:r>
          </w:p>
        </w:tc>
        <w:tc>
          <w:tcPr>
            <w:tcW w:w="3698" w:type="dxa"/>
            <w:gridSpan w:val="2"/>
            <w:tcBorders>
              <w:top w:val="single" w:sz="4" w:space="0" w:color="1B556B"/>
            </w:tcBorders>
            <w:shd w:val="clear" w:color="auto" w:fill="1B556B"/>
            <w:vAlign w:val="bottom"/>
          </w:tcPr>
          <w:p w14:paraId="1018EBFD" w14:textId="77777777" w:rsidR="0010265C" w:rsidRPr="00261B7A" w:rsidRDefault="0010265C" w:rsidP="00D41492">
            <w:pPr>
              <w:pStyle w:val="TableTextBold"/>
              <w:spacing w:before="40" w:after="40"/>
              <w:jc w:val="center"/>
              <w:rPr>
                <w:noProof w:val="0"/>
                <w:color w:val="FFFFFF"/>
              </w:rPr>
            </w:pPr>
            <w:r w:rsidRPr="00261B7A">
              <w:rPr>
                <w:noProof w:val="0"/>
                <w:color w:val="FFFFFF"/>
              </w:rPr>
              <w:t>Change from the 2022 submission</w:t>
            </w:r>
          </w:p>
        </w:tc>
      </w:tr>
      <w:tr w:rsidR="0010265C" w:rsidRPr="00261B7A" w14:paraId="14B225B6" w14:textId="77777777" w:rsidTr="00866D3D">
        <w:tc>
          <w:tcPr>
            <w:tcW w:w="1109" w:type="dxa"/>
            <w:vMerge/>
            <w:tcBorders>
              <w:bottom w:val="single" w:sz="4" w:space="0" w:color="1B556B"/>
            </w:tcBorders>
            <w:shd w:val="clear" w:color="auto" w:fill="1B556B"/>
          </w:tcPr>
          <w:p w14:paraId="5D9736BD" w14:textId="77777777" w:rsidR="0010265C" w:rsidRPr="00261B7A" w:rsidRDefault="0010265C" w:rsidP="00D41492">
            <w:pPr>
              <w:pStyle w:val="TableText"/>
              <w:spacing w:before="40" w:after="40"/>
              <w:rPr>
                <w:color w:val="FFFFFF"/>
              </w:rPr>
            </w:pPr>
          </w:p>
        </w:tc>
        <w:tc>
          <w:tcPr>
            <w:tcW w:w="1849" w:type="dxa"/>
            <w:tcBorders>
              <w:bottom w:val="single" w:sz="4" w:space="0" w:color="1B556B"/>
            </w:tcBorders>
            <w:shd w:val="clear" w:color="auto" w:fill="1B556B"/>
          </w:tcPr>
          <w:p w14:paraId="0D1BE03B" w14:textId="77777777" w:rsidR="0010265C" w:rsidRPr="00261B7A" w:rsidRDefault="0010265C" w:rsidP="00D41492">
            <w:pPr>
              <w:pStyle w:val="TableText"/>
              <w:spacing w:before="40" w:after="40"/>
              <w:jc w:val="center"/>
              <w:rPr>
                <w:b/>
                <w:color w:val="FFFFFF"/>
              </w:rPr>
            </w:pPr>
            <w:r w:rsidRPr="00261B7A">
              <w:rPr>
                <w:b/>
                <w:color w:val="FFFFFF"/>
              </w:rPr>
              <w:t>2022 submission</w:t>
            </w:r>
          </w:p>
        </w:tc>
        <w:tc>
          <w:tcPr>
            <w:tcW w:w="1849" w:type="dxa"/>
            <w:tcBorders>
              <w:bottom w:val="single" w:sz="4" w:space="0" w:color="1B556B"/>
            </w:tcBorders>
            <w:shd w:val="clear" w:color="auto" w:fill="1B556B"/>
          </w:tcPr>
          <w:p w14:paraId="0175FCAC" w14:textId="77777777" w:rsidR="0010265C" w:rsidRPr="00261B7A" w:rsidRDefault="0010265C" w:rsidP="00D41492">
            <w:pPr>
              <w:pStyle w:val="TableText"/>
              <w:spacing w:before="40" w:after="40"/>
              <w:jc w:val="center"/>
              <w:rPr>
                <w:b/>
                <w:color w:val="FFFFFF"/>
              </w:rPr>
            </w:pPr>
            <w:r w:rsidRPr="00261B7A">
              <w:rPr>
                <w:b/>
                <w:color w:val="FFFFFF"/>
              </w:rPr>
              <w:t>2023 submission</w:t>
            </w:r>
          </w:p>
        </w:tc>
        <w:tc>
          <w:tcPr>
            <w:tcW w:w="1849" w:type="dxa"/>
            <w:tcBorders>
              <w:bottom w:val="single" w:sz="4" w:space="0" w:color="1B556B"/>
            </w:tcBorders>
            <w:shd w:val="clear" w:color="auto" w:fill="1B556B"/>
          </w:tcPr>
          <w:p w14:paraId="266AFFAB" w14:textId="77777777" w:rsidR="0010265C" w:rsidRPr="00261B7A" w:rsidRDefault="0010265C" w:rsidP="00D41492">
            <w:pPr>
              <w:pStyle w:val="TableText"/>
              <w:spacing w:before="40" w:after="40"/>
              <w:jc w:val="center"/>
              <w:rPr>
                <w:b/>
                <w:color w:val="FFFFFF"/>
              </w:rPr>
            </w:pPr>
            <w:r w:rsidRPr="00261B7A">
              <w:rPr>
                <w:b/>
                <w:color w:val="FFFFFF"/>
              </w:rPr>
              <w:t>(kt CO</w:t>
            </w:r>
            <w:r w:rsidRPr="00261B7A">
              <w:rPr>
                <w:b/>
                <w:color w:val="FFFFFF"/>
                <w:vertAlign w:val="subscript"/>
              </w:rPr>
              <w:t>2</w:t>
            </w:r>
            <w:r w:rsidRPr="00261B7A">
              <w:rPr>
                <w:b/>
                <w:color w:val="FFFFFF"/>
              </w:rPr>
              <w:t>-e)</w:t>
            </w:r>
          </w:p>
        </w:tc>
        <w:tc>
          <w:tcPr>
            <w:tcW w:w="1849" w:type="dxa"/>
            <w:tcBorders>
              <w:bottom w:val="single" w:sz="4" w:space="0" w:color="1B556B"/>
            </w:tcBorders>
            <w:shd w:val="clear" w:color="auto" w:fill="1B556B"/>
          </w:tcPr>
          <w:p w14:paraId="71DF0AE7" w14:textId="77777777" w:rsidR="0010265C" w:rsidRPr="00261B7A" w:rsidRDefault="0010265C" w:rsidP="00D41492">
            <w:pPr>
              <w:pStyle w:val="TableText"/>
              <w:spacing w:before="40" w:after="40"/>
              <w:jc w:val="center"/>
              <w:rPr>
                <w:b/>
                <w:color w:val="FFFFFF"/>
              </w:rPr>
            </w:pPr>
            <w:r w:rsidRPr="00261B7A">
              <w:rPr>
                <w:b/>
                <w:color w:val="FFFFFF"/>
              </w:rPr>
              <w:t>(%)</w:t>
            </w:r>
          </w:p>
        </w:tc>
      </w:tr>
      <w:tr w:rsidR="0010265C" w:rsidRPr="00261B7A" w14:paraId="7BF6492F" w14:textId="77777777" w:rsidTr="00866D3D">
        <w:tc>
          <w:tcPr>
            <w:tcW w:w="1109" w:type="dxa"/>
            <w:tcBorders>
              <w:top w:val="single" w:sz="4" w:space="0" w:color="1B556B"/>
              <w:bottom w:val="single" w:sz="4" w:space="0" w:color="1B556B"/>
            </w:tcBorders>
          </w:tcPr>
          <w:p w14:paraId="115D74A3" w14:textId="77777777" w:rsidR="0010265C" w:rsidRPr="00261B7A" w:rsidRDefault="0010265C" w:rsidP="00D41492">
            <w:pPr>
              <w:pStyle w:val="TableText"/>
              <w:spacing w:before="40" w:after="40"/>
            </w:pPr>
            <w:r w:rsidRPr="00261B7A">
              <w:t xml:space="preserve">1990 </w:t>
            </w:r>
          </w:p>
        </w:tc>
        <w:tc>
          <w:tcPr>
            <w:tcW w:w="1849" w:type="dxa"/>
            <w:tcBorders>
              <w:top w:val="single" w:sz="4" w:space="0" w:color="1B556B"/>
              <w:bottom w:val="single" w:sz="4" w:space="0" w:color="1B556B"/>
            </w:tcBorders>
            <w:vAlign w:val="center"/>
          </w:tcPr>
          <w:p w14:paraId="49504990" w14:textId="77777777" w:rsidR="0010265C" w:rsidRPr="00261B7A" w:rsidRDefault="0010265C" w:rsidP="00D41492">
            <w:pPr>
              <w:pStyle w:val="TableText"/>
              <w:spacing w:before="40" w:after="40"/>
              <w:jc w:val="center"/>
              <w:rPr>
                <w:rFonts w:asciiTheme="minorHAnsi" w:hAnsiTheme="minorHAnsi" w:cstheme="minorHAnsi"/>
              </w:rPr>
            </w:pPr>
            <w:r w:rsidRPr="00261B7A">
              <w:rPr>
                <w:rFonts w:asciiTheme="minorHAnsi" w:hAnsiTheme="minorHAnsi" w:cstheme="minorHAnsi"/>
                <w:color w:val="000000"/>
                <w:szCs w:val="16"/>
              </w:rPr>
              <w:t xml:space="preserve">476.2 </w:t>
            </w:r>
          </w:p>
        </w:tc>
        <w:tc>
          <w:tcPr>
            <w:tcW w:w="1849" w:type="dxa"/>
            <w:tcBorders>
              <w:top w:val="single" w:sz="4" w:space="0" w:color="1B556B"/>
              <w:bottom w:val="single" w:sz="4" w:space="0" w:color="1B556B"/>
            </w:tcBorders>
            <w:vAlign w:val="center"/>
          </w:tcPr>
          <w:p w14:paraId="2822E391" w14:textId="77777777" w:rsidR="0010265C" w:rsidRPr="00261B7A" w:rsidRDefault="0010265C" w:rsidP="00D41492">
            <w:pPr>
              <w:pStyle w:val="TableText"/>
              <w:spacing w:before="40" w:after="40"/>
              <w:jc w:val="center"/>
              <w:rPr>
                <w:rFonts w:asciiTheme="minorHAnsi" w:hAnsiTheme="minorHAnsi" w:cstheme="minorHAnsi"/>
              </w:rPr>
            </w:pPr>
            <w:r w:rsidRPr="00261B7A">
              <w:rPr>
                <w:rFonts w:asciiTheme="minorHAnsi" w:hAnsiTheme="minorHAnsi" w:cstheme="minorHAnsi"/>
                <w:color w:val="000000"/>
                <w:szCs w:val="16"/>
              </w:rPr>
              <w:t xml:space="preserve">476.5 </w:t>
            </w:r>
          </w:p>
        </w:tc>
        <w:tc>
          <w:tcPr>
            <w:tcW w:w="1849" w:type="dxa"/>
            <w:tcBorders>
              <w:top w:val="single" w:sz="4" w:space="0" w:color="1B556B"/>
              <w:bottom w:val="single" w:sz="4" w:space="0" w:color="1B556B"/>
            </w:tcBorders>
            <w:vAlign w:val="center"/>
          </w:tcPr>
          <w:p w14:paraId="5D810BBD" w14:textId="77777777" w:rsidR="0010265C" w:rsidRPr="00261B7A" w:rsidRDefault="0010265C" w:rsidP="00D41492">
            <w:pPr>
              <w:pStyle w:val="TableText"/>
              <w:spacing w:before="40" w:after="40"/>
              <w:jc w:val="center"/>
              <w:rPr>
                <w:rFonts w:asciiTheme="minorHAnsi" w:hAnsiTheme="minorHAnsi" w:cstheme="minorHAnsi"/>
              </w:rPr>
            </w:pPr>
            <w:r w:rsidRPr="00261B7A">
              <w:rPr>
                <w:rFonts w:asciiTheme="minorHAnsi" w:hAnsiTheme="minorHAnsi" w:cstheme="minorHAnsi"/>
                <w:color w:val="000000"/>
                <w:szCs w:val="16"/>
              </w:rPr>
              <w:t xml:space="preserve">0.3 </w:t>
            </w:r>
          </w:p>
        </w:tc>
        <w:tc>
          <w:tcPr>
            <w:tcW w:w="1849" w:type="dxa"/>
            <w:tcBorders>
              <w:top w:val="single" w:sz="4" w:space="0" w:color="1B556B"/>
              <w:bottom w:val="single" w:sz="4" w:space="0" w:color="1B556B"/>
            </w:tcBorders>
            <w:vAlign w:val="center"/>
          </w:tcPr>
          <w:p w14:paraId="3AAC383D" w14:textId="77777777" w:rsidR="0010265C" w:rsidRPr="00261B7A" w:rsidRDefault="0010265C" w:rsidP="00D41492">
            <w:pPr>
              <w:pStyle w:val="TableText"/>
              <w:spacing w:before="40" w:after="40"/>
              <w:jc w:val="center"/>
              <w:rPr>
                <w:rFonts w:asciiTheme="minorHAnsi" w:hAnsiTheme="minorHAnsi" w:cstheme="minorHAnsi"/>
              </w:rPr>
            </w:pPr>
            <w:r w:rsidRPr="00261B7A">
              <w:rPr>
                <w:rFonts w:asciiTheme="minorHAnsi" w:hAnsiTheme="minorHAnsi" w:cstheme="minorHAnsi"/>
                <w:color w:val="000000"/>
                <w:szCs w:val="16"/>
              </w:rPr>
              <w:t>0.1</w:t>
            </w:r>
          </w:p>
        </w:tc>
      </w:tr>
      <w:tr w:rsidR="0010265C" w:rsidRPr="00261B7A" w14:paraId="6A85EB33" w14:textId="77777777" w:rsidTr="00866D3D">
        <w:tc>
          <w:tcPr>
            <w:tcW w:w="1109" w:type="dxa"/>
            <w:tcBorders>
              <w:top w:val="single" w:sz="4" w:space="0" w:color="1B556B"/>
              <w:bottom w:val="single" w:sz="4" w:space="0" w:color="1B556B"/>
            </w:tcBorders>
          </w:tcPr>
          <w:p w14:paraId="326285CA" w14:textId="77777777" w:rsidR="0010265C" w:rsidRPr="00261B7A" w:rsidRDefault="0010265C" w:rsidP="00D41492">
            <w:pPr>
              <w:pStyle w:val="TableText"/>
              <w:spacing w:before="40" w:after="40"/>
            </w:pPr>
            <w:r w:rsidRPr="00261B7A">
              <w:t>2020</w:t>
            </w:r>
          </w:p>
        </w:tc>
        <w:tc>
          <w:tcPr>
            <w:tcW w:w="1849" w:type="dxa"/>
            <w:tcBorders>
              <w:top w:val="single" w:sz="4" w:space="0" w:color="1B556B"/>
              <w:bottom w:val="single" w:sz="4" w:space="0" w:color="1B556B"/>
            </w:tcBorders>
            <w:vAlign w:val="center"/>
          </w:tcPr>
          <w:p w14:paraId="08B357A6" w14:textId="77777777" w:rsidR="0010265C" w:rsidRPr="00261B7A" w:rsidRDefault="0010265C" w:rsidP="00D41492">
            <w:pPr>
              <w:pStyle w:val="TableText"/>
              <w:spacing w:before="40" w:after="40"/>
              <w:jc w:val="center"/>
              <w:rPr>
                <w:rFonts w:asciiTheme="minorHAnsi" w:hAnsiTheme="minorHAnsi" w:cstheme="minorHAnsi"/>
              </w:rPr>
            </w:pPr>
            <w:r w:rsidRPr="00261B7A">
              <w:rPr>
                <w:rFonts w:asciiTheme="minorHAnsi" w:hAnsiTheme="minorHAnsi" w:cstheme="minorHAnsi"/>
                <w:color w:val="000000"/>
                <w:szCs w:val="16"/>
              </w:rPr>
              <w:t xml:space="preserve">382.3 </w:t>
            </w:r>
          </w:p>
        </w:tc>
        <w:tc>
          <w:tcPr>
            <w:tcW w:w="1849" w:type="dxa"/>
            <w:tcBorders>
              <w:top w:val="single" w:sz="4" w:space="0" w:color="1B556B"/>
              <w:bottom w:val="single" w:sz="4" w:space="0" w:color="1B556B"/>
            </w:tcBorders>
            <w:vAlign w:val="center"/>
          </w:tcPr>
          <w:p w14:paraId="633636CC" w14:textId="77777777" w:rsidR="0010265C" w:rsidRPr="00261B7A" w:rsidRDefault="0010265C" w:rsidP="00D41492">
            <w:pPr>
              <w:pStyle w:val="TableText"/>
              <w:spacing w:before="40" w:after="40"/>
              <w:jc w:val="center"/>
              <w:rPr>
                <w:rFonts w:asciiTheme="minorHAnsi" w:hAnsiTheme="minorHAnsi" w:cstheme="minorHAnsi"/>
              </w:rPr>
            </w:pPr>
            <w:r w:rsidRPr="00261B7A">
              <w:rPr>
                <w:rFonts w:asciiTheme="minorHAnsi" w:hAnsiTheme="minorHAnsi" w:cstheme="minorHAnsi"/>
                <w:color w:val="000000"/>
                <w:szCs w:val="16"/>
              </w:rPr>
              <w:t xml:space="preserve">382.8 </w:t>
            </w:r>
          </w:p>
        </w:tc>
        <w:tc>
          <w:tcPr>
            <w:tcW w:w="1849" w:type="dxa"/>
            <w:tcBorders>
              <w:top w:val="single" w:sz="4" w:space="0" w:color="1B556B"/>
              <w:bottom w:val="single" w:sz="4" w:space="0" w:color="1B556B"/>
            </w:tcBorders>
            <w:vAlign w:val="center"/>
          </w:tcPr>
          <w:p w14:paraId="31E1127E" w14:textId="77777777" w:rsidR="0010265C" w:rsidRPr="00261B7A" w:rsidRDefault="0010265C" w:rsidP="00D41492">
            <w:pPr>
              <w:pStyle w:val="TableText"/>
              <w:spacing w:before="40" w:after="40"/>
              <w:jc w:val="center"/>
              <w:rPr>
                <w:rFonts w:asciiTheme="minorHAnsi" w:hAnsiTheme="minorHAnsi" w:cstheme="minorHAnsi"/>
              </w:rPr>
            </w:pPr>
            <w:r w:rsidRPr="00261B7A">
              <w:rPr>
                <w:rFonts w:asciiTheme="minorHAnsi" w:hAnsiTheme="minorHAnsi" w:cstheme="minorHAnsi"/>
                <w:color w:val="000000"/>
                <w:szCs w:val="16"/>
              </w:rPr>
              <w:t xml:space="preserve">0.4 </w:t>
            </w:r>
          </w:p>
        </w:tc>
        <w:tc>
          <w:tcPr>
            <w:tcW w:w="1849" w:type="dxa"/>
            <w:tcBorders>
              <w:top w:val="single" w:sz="4" w:space="0" w:color="1B556B"/>
              <w:bottom w:val="single" w:sz="4" w:space="0" w:color="1B556B"/>
            </w:tcBorders>
            <w:vAlign w:val="center"/>
          </w:tcPr>
          <w:p w14:paraId="228F3235" w14:textId="77777777" w:rsidR="0010265C" w:rsidRPr="00261B7A" w:rsidRDefault="0010265C" w:rsidP="00D41492">
            <w:pPr>
              <w:pStyle w:val="TableText"/>
              <w:spacing w:before="40" w:after="40"/>
              <w:jc w:val="center"/>
              <w:rPr>
                <w:rFonts w:asciiTheme="minorHAnsi" w:hAnsiTheme="minorHAnsi" w:cstheme="minorHAnsi"/>
              </w:rPr>
            </w:pPr>
            <w:r w:rsidRPr="00261B7A">
              <w:rPr>
                <w:rFonts w:asciiTheme="minorHAnsi" w:hAnsiTheme="minorHAnsi" w:cstheme="minorHAnsi"/>
                <w:color w:val="000000"/>
                <w:szCs w:val="16"/>
              </w:rPr>
              <w:t>0.1</w:t>
            </w:r>
          </w:p>
        </w:tc>
      </w:tr>
    </w:tbl>
    <w:p w14:paraId="2E9CFC77" w14:textId="77777777" w:rsidR="0010265C" w:rsidRPr="00261B7A" w:rsidRDefault="0010265C" w:rsidP="0010265C">
      <w:pPr>
        <w:pStyle w:val="Noteundertable"/>
        <w:spacing w:after="80"/>
      </w:pPr>
      <w:bookmarkStart w:id="1989" w:name="_Toc139253968"/>
      <w:bookmarkStart w:id="1990" w:name="_Toc255466391"/>
      <w:bookmarkStart w:id="1991" w:name="_Toc261513198"/>
      <w:bookmarkStart w:id="1992" w:name="_Toc261513811"/>
      <w:bookmarkStart w:id="1993" w:name="_Toc280630283"/>
      <w:r w:rsidRPr="00261B7A">
        <w:rPr>
          <w:b/>
        </w:rPr>
        <w:t>Note:</w:t>
      </w:r>
      <w:r w:rsidRPr="00261B7A">
        <w:tab/>
        <w:t>Columns may not total due to rounding.</w:t>
      </w:r>
    </w:p>
    <w:p w14:paraId="578E1B26" w14:textId="77777777" w:rsidR="0010265C" w:rsidRPr="00261B7A" w:rsidRDefault="0010265C" w:rsidP="00356180">
      <w:pPr>
        <w:pStyle w:val="Heading3"/>
      </w:pPr>
      <w:r w:rsidRPr="00261B7A">
        <w:t>6.4.6</w:t>
      </w:r>
      <w:r w:rsidRPr="00261B7A">
        <w:tab/>
        <w:t>Category-specific planned improvements</w:t>
      </w:r>
      <w:bookmarkEnd w:id="1989"/>
      <w:bookmarkEnd w:id="1990"/>
      <w:bookmarkEnd w:id="1991"/>
      <w:bookmarkEnd w:id="1992"/>
      <w:bookmarkEnd w:id="1993"/>
    </w:p>
    <w:p w14:paraId="01B46A4F" w14:textId="77777777" w:rsidR="0010265C" w:rsidRPr="00261B7A" w:rsidRDefault="0010265C" w:rsidP="00866D3D">
      <w:pPr>
        <w:pStyle w:val="BodyText"/>
      </w:pPr>
      <w:r w:rsidRPr="00261B7A">
        <w:t xml:space="preserve">A longitudinal study on the impact of management practices on </w:t>
      </w:r>
      <w:r w:rsidRPr="00261B7A">
        <w:rPr>
          <w:i/>
          <w:iCs/>
        </w:rPr>
        <w:t>Grasslands</w:t>
      </w:r>
      <w:r w:rsidRPr="00261B7A">
        <w:t xml:space="preserve"> and </w:t>
      </w:r>
      <w:r w:rsidRPr="00261B7A">
        <w:rPr>
          <w:i/>
          <w:iCs/>
        </w:rPr>
        <w:t>Croplands</w:t>
      </w:r>
      <w:r w:rsidRPr="00261B7A">
        <w:t xml:space="preserve"> soils is under way (Manaaki Whenua Landcare Research, 2020). This study will collect time-series data on a network of 500 soil sample plots over 12 years. This is likely to improve the SOC reference values for </w:t>
      </w:r>
      <w:r w:rsidRPr="00261B7A">
        <w:rPr>
          <w:i/>
          <w:iCs/>
        </w:rPr>
        <w:t>Cropland</w:t>
      </w:r>
      <w:r w:rsidRPr="00261B7A">
        <w:t xml:space="preserve">. These data are not expected to be available for several years. </w:t>
      </w:r>
    </w:p>
    <w:p w14:paraId="015F0297" w14:textId="77777777" w:rsidR="0010265C" w:rsidRPr="00261B7A" w:rsidRDefault="0010265C" w:rsidP="00866D3D">
      <w:pPr>
        <w:pStyle w:val="BodyText"/>
      </w:pPr>
      <w:r w:rsidRPr="00261B7A">
        <w:t>While the above-mentioned study may help improve SOC reference values, it will not address review recommendation L.18, 2020 raised in the ERT review report of the 2020 submission (FCCC/ARR/2019/NZL, UNFCCC, 2020). The report</w:t>
      </w:r>
      <w:r w:rsidRPr="00261B7A" w:rsidDel="0002696E">
        <w:t xml:space="preserve"> </w:t>
      </w:r>
      <w:r w:rsidRPr="00261B7A">
        <w:t xml:space="preserve">questioned whether the estimated SOC reference values were systematically overestimated or underestimated given that land-use change is most likely to occur on a subset of each land use category. The current soils model also assumes land use management practices are static and cannot be updated to include activity data on improvements in soil management practices. To create and validate a new model requires significant resourcing. Funding to investigate updating the soils model is currently being sought. However, even if this funding is received, updating or replacing the Soil Carbon Monitoring System (Soil CMS) model itself is likely to take a number of years. </w:t>
      </w:r>
    </w:p>
    <w:p w14:paraId="34F2FC94" w14:textId="77777777" w:rsidR="0010265C" w:rsidRPr="00261B7A" w:rsidRDefault="0010265C" w:rsidP="00A638DC">
      <w:pPr>
        <w:pStyle w:val="Heading2"/>
      </w:pPr>
      <w:bookmarkStart w:id="1994" w:name="_Toc69611750"/>
      <w:bookmarkStart w:id="1995" w:name="_Toc69612706"/>
      <w:bookmarkStart w:id="1996" w:name="_Toc69612905"/>
      <w:bookmarkStart w:id="1997" w:name="_Toc69613165"/>
      <w:bookmarkStart w:id="1998" w:name="_Toc69633329"/>
      <w:bookmarkStart w:id="1999" w:name="_Toc69717494"/>
      <w:bookmarkStart w:id="2000" w:name="_Toc69802976"/>
      <w:bookmarkStart w:id="2001" w:name="_Toc69815113"/>
      <w:bookmarkStart w:id="2002" w:name="_Toc70492406"/>
      <w:bookmarkStart w:id="2003" w:name="_Toc101310612"/>
      <w:bookmarkStart w:id="2004" w:name="_Toc101318472"/>
      <w:bookmarkStart w:id="2005" w:name="_Toc101318577"/>
      <w:bookmarkStart w:id="2006" w:name="_Toc101318761"/>
      <w:bookmarkStart w:id="2007" w:name="_Toc101334037"/>
      <w:bookmarkStart w:id="2008" w:name="_Toc134847215"/>
      <w:bookmarkStart w:id="2009" w:name="_Toc139253969"/>
      <w:bookmarkStart w:id="2010" w:name="_Toc144710423"/>
      <w:bookmarkStart w:id="2011" w:name="_Toc165890377"/>
      <w:bookmarkStart w:id="2012" w:name="_Toc195322671"/>
      <w:bookmarkStart w:id="2013" w:name="_Toc255466392"/>
      <w:bookmarkStart w:id="2014" w:name="_Toc261513199"/>
      <w:bookmarkStart w:id="2015" w:name="_Toc261513812"/>
      <w:bookmarkStart w:id="2016" w:name="_Toc280630284"/>
      <w:bookmarkStart w:id="2017" w:name="_Toc310423454"/>
      <w:bookmarkStart w:id="2018" w:name="_Toc342470720"/>
      <w:bookmarkStart w:id="2019" w:name="_Toc352504872"/>
      <w:bookmarkStart w:id="2020" w:name="_Toc391024702"/>
      <w:bookmarkStart w:id="2021" w:name="_Toc414531319"/>
      <w:bookmarkStart w:id="2022" w:name="_Toc474335461"/>
      <w:bookmarkStart w:id="2023" w:name="_Toc481751401"/>
      <w:bookmarkStart w:id="2024" w:name="_Toc522013953"/>
      <w:bookmarkStart w:id="2025" w:name="_Toc5269378"/>
      <w:bookmarkStart w:id="2026" w:name="_Toc36224418"/>
      <w:bookmarkStart w:id="2027" w:name="_Toc131591252"/>
      <w:r w:rsidRPr="00261B7A">
        <w:t>6.5</w:t>
      </w:r>
      <w:r w:rsidRPr="00261B7A">
        <w:tab/>
        <w:t>Grassland (CRF 4C)</w:t>
      </w:r>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p>
    <w:p w14:paraId="68D07A32" w14:textId="77777777" w:rsidR="0010265C" w:rsidRPr="00261B7A" w:rsidRDefault="0010265C" w:rsidP="0010265C">
      <w:pPr>
        <w:pStyle w:val="Heading3"/>
        <w:spacing w:before="120"/>
      </w:pPr>
      <w:bookmarkStart w:id="2028" w:name="_Toc139253970"/>
      <w:bookmarkStart w:id="2029" w:name="_Toc255466393"/>
      <w:bookmarkStart w:id="2030" w:name="_Toc261513200"/>
      <w:bookmarkStart w:id="2031" w:name="_Toc261513813"/>
      <w:bookmarkStart w:id="2032" w:name="_Toc280630285"/>
      <w:r w:rsidRPr="00261B7A">
        <w:t>6.5.1</w:t>
      </w:r>
      <w:r w:rsidRPr="00261B7A">
        <w:tab/>
        <w:t>Description</w:t>
      </w:r>
      <w:bookmarkEnd w:id="2028"/>
      <w:bookmarkEnd w:id="2029"/>
      <w:bookmarkEnd w:id="2030"/>
      <w:bookmarkEnd w:id="2031"/>
      <w:bookmarkEnd w:id="2032"/>
    </w:p>
    <w:p w14:paraId="20ECC551" w14:textId="77777777" w:rsidR="0010265C" w:rsidRPr="00261B7A" w:rsidRDefault="0010265C" w:rsidP="0010265C">
      <w:pPr>
        <w:pStyle w:val="BodyText"/>
        <w:spacing w:before="100" w:after="100"/>
      </w:pPr>
      <w:r w:rsidRPr="00261B7A">
        <w:t xml:space="preserve">In 2021, the net emissions from </w:t>
      </w:r>
      <w:r w:rsidRPr="00261B7A">
        <w:rPr>
          <w:i/>
        </w:rPr>
        <w:t>Grassland</w:t>
      </w:r>
      <w:r w:rsidRPr="00261B7A">
        <w:t xml:space="preserve"> were 2,744.3 kt CO</w:t>
      </w:r>
      <w:r w:rsidRPr="00261B7A">
        <w:rPr>
          <w:vertAlign w:val="subscript"/>
        </w:rPr>
        <w:t>2</w:t>
      </w:r>
      <w:r w:rsidRPr="00261B7A">
        <w:t>-e (see table 6.5.1). These emissions comprise 2,708.1 kt CO</w:t>
      </w:r>
      <w:r w:rsidRPr="00261B7A">
        <w:rPr>
          <w:vertAlign w:val="subscript"/>
        </w:rPr>
        <w:t>2</w:t>
      </w:r>
      <w:r w:rsidRPr="00261B7A">
        <w:t xml:space="preserve"> emissions from carbon stock change, 0.07 kt N</w:t>
      </w:r>
      <w:r w:rsidRPr="00261B7A">
        <w:rPr>
          <w:vertAlign w:val="subscript"/>
        </w:rPr>
        <w:t>2</w:t>
      </w:r>
      <w:r w:rsidRPr="00261B7A">
        <w:t>O (20.6 kt CO</w:t>
      </w:r>
      <w:r w:rsidRPr="00261B7A">
        <w:rPr>
          <w:vertAlign w:val="subscript"/>
        </w:rPr>
        <w:t>2</w:t>
      </w:r>
      <w:r w:rsidRPr="00261B7A">
        <w:noBreakHyphen/>
        <w:t>e) and 0.6 kt CH</w:t>
      </w:r>
      <w:r w:rsidRPr="00261B7A">
        <w:rPr>
          <w:vertAlign w:val="subscript"/>
        </w:rPr>
        <w:t>4</w:t>
      </w:r>
      <w:r w:rsidRPr="00261B7A">
        <w:t xml:space="preserve"> (15.6 kt CO</w:t>
      </w:r>
      <w:r w:rsidRPr="00261B7A">
        <w:rPr>
          <w:vertAlign w:val="subscript"/>
        </w:rPr>
        <w:t>2</w:t>
      </w:r>
      <w:r w:rsidRPr="00261B7A">
        <w:t xml:space="preserve">-e) emissions from </w:t>
      </w:r>
      <w:r w:rsidRPr="00261B7A">
        <w:rPr>
          <w:i/>
        </w:rPr>
        <w:t>Biomass burning</w:t>
      </w:r>
      <w:r w:rsidRPr="00261B7A">
        <w:t xml:space="preserve"> and nitrogen mineralisation on </w:t>
      </w:r>
      <w:r w:rsidRPr="00261B7A">
        <w:rPr>
          <w:i/>
        </w:rPr>
        <w:t>Land converted to grassland</w:t>
      </w:r>
      <w:r w:rsidRPr="00261B7A">
        <w:t>.</w:t>
      </w:r>
    </w:p>
    <w:p w14:paraId="365A7ADC" w14:textId="77777777" w:rsidR="0010265C" w:rsidRPr="00261B7A" w:rsidRDefault="0010265C" w:rsidP="0010265C">
      <w:pPr>
        <w:pStyle w:val="BodyText"/>
        <w:spacing w:before="100" w:after="100"/>
      </w:pPr>
      <w:r w:rsidRPr="00261B7A">
        <w:t xml:space="preserve">Net emissions from </w:t>
      </w:r>
      <w:r w:rsidRPr="00261B7A">
        <w:rPr>
          <w:i/>
        </w:rPr>
        <w:t xml:space="preserve">Grassland </w:t>
      </w:r>
      <w:r w:rsidRPr="00261B7A">
        <w:t>have increased by 1,987.5 kt CO</w:t>
      </w:r>
      <w:r w:rsidRPr="00261B7A">
        <w:rPr>
          <w:vertAlign w:val="subscript"/>
        </w:rPr>
        <w:t>2</w:t>
      </w:r>
      <w:r w:rsidRPr="00261B7A">
        <w:t xml:space="preserve">-e (262.6 per cent) from the 1990 level of </w:t>
      </w:r>
      <w:r w:rsidRPr="00261B7A">
        <w:rPr>
          <w:bCs/>
        </w:rPr>
        <w:t xml:space="preserve">756.8 </w:t>
      </w:r>
      <w:r w:rsidRPr="00261B7A">
        <w:t>kt CO</w:t>
      </w:r>
      <w:r w:rsidRPr="00261B7A">
        <w:rPr>
          <w:vertAlign w:val="subscript"/>
        </w:rPr>
        <w:t>2</w:t>
      </w:r>
      <w:r w:rsidRPr="00261B7A">
        <w:t>-e (see table 6.5.1). The majority of this change occurred in pre-1990 planted forest converted to high producing grassland and is the effect of deforestation that involves large losses in the living biomass pool.</w:t>
      </w:r>
    </w:p>
    <w:p w14:paraId="482819DF" w14:textId="77777777" w:rsidR="0010265C" w:rsidRPr="00261B7A" w:rsidRDefault="0010265C" w:rsidP="0010265C">
      <w:pPr>
        <w:pStyle w:val="BodyText"/>
        <w:spacing w:before="100" w:after="100"/>
      </w:pPr>
      <w:r w:rsidRPr="00261B7A">
        <w:t xml:space="preserve">The </w:t>
      </w:r>
      <w:r w:rsidRPr="00261B7A">
        <w:rPr>
          <w:i/>
        </w:rPr>
        <w:t>Grassland remaining grassland</w:t>
      </w:r>
      <w:r w:rsidRPr="00261B7A">
        <w:t xml:space="preserve"> and </w:t>
      </w:r>
      <w:r w:rsidRPr="00261B7A">
        <w:rPr>
          <w:i/>
        </w:rPr>
        <w:t>Land converted to grassland</w:t>
      </w:r>
      <w:r w:rsidRPr="00261B7A">
        <w:t xml:space="preserve"> categories were identified as key categories for the level and trend assessment in 2021.</w:t>
      </w:r>
    </w:p>
    <w:p w14:paraId="45755295" w14:textId="77777777" w:rsidR="0010265C" w:rsidRPr="00261B7A" w:rsidRDefault="0010265C" w:rsidP="0012053C">
      <w:pPr>
        <w:pStyle w:val="Table"/>
      </w:pPr>
      <w:bookmarkStart w:id="2033" w:name="_Toc280630465"/>
      <w:bookmarkStart w:id="2034" w:name="_Toc310423421"/>
      <w:bookmarkStart w:id="2035" w:name="_Toc318362714"/>
      <w:bookmarkStart w:id="2036" w:name="_Toc342470776"/>
      <w:bookmarkStart w:id="2037" w:name="_Toc352505016"/>
      <w:bookmarkStart w:id="2038" w:name="_Toc378853307"/>
      <w:bookmarkStart w:id="2039" w:name="_Toc391024105"/>
      <w:bookmarkStart w:id="2040" w:name="_Toc410028848"/>
      <w:bookmarkStart w:id="2041" w:name="_Toc414531476"/>
      <w:bookmarkStart w:id="2042" w:name="_Toc443645389"/>
      <w:bookmarkStart w:id="2043" w:name="_Toc474914608"/>
      <w:bookmarkStart w:id="2044" w:name="_Toc481751572"/>
      <w:bookmarkStart w:id="2045" w:name="_Toc522010629"/>
      <w:bookmarkStart w:id="2046" w:name="_Toc5269534"/>
      <w:bookmarkStart w:id="2047" w:name="_Toc33529408"/>
      <w:bookmarkStart w:id="2048" w:name="_Toc36224614"/>
      <w:bookmarkStart w:id="2049" w:name="_Toc131591408"/>
      <w:r w:rsidRPr="00261B7A">
        <w:t>Table 6.5.1</w:t>
      </w:r>
      <w:r w:rsidRPr="00261B7A">
        <w:tab/>
        <w:t xml:space="preserve">New Zealand’s land-use change for the </w:t>
      </w:r>
      <w:r w:rsidRPr="00261B7A">
        <w:rPr>
          <w:i/>
        </w:rPr>
        <w:t>Grassland</w:t>
      </w:r>
      <w:r w:rsidRPr="00261B7A">
        <w:t xml:space="preserve"> category, and associated</w:t>
      </w:r>
      <w:r w:rsidRPr="00261B7A">
        <w:br/>
        <w:t>CO</w:t>
      </w:r>
      <w:r w:rsidRPr="00261B7A">
        <w:rPr>
          <w:vertAlign w:val="subscript"/>
        </w:rPr>
        <w:t>2</w:t>
      </w:r>
      <w:r w:rsidRPr="00261B7A">
        <w:noBreakHyphen/>
        <w:t>e emissions, from 1990 to</w:t>
      </w:r>
      <w:bookmarkEnd w:id="2033"/>
      <w:bookmarkEnd w:id="2034"/>
      <w:bookmarkEnd w:id="2035"/>
      <w:bookmarkEnd w:id="2036"/>
      <w:bookmarkEnd w:id="2037"/>
      <w:r w:rsidRPr="00261B7A">
        <w:t> </w:t>
      </w:r>
      <w:bookmarkEnd w:id="2038"/>
      <w:bookmarkEnd w:id="2039"/>
      <w:bookmarkEnd w:id="2040"/>
      <w:bookmarkEnd w:id="2041"/>
      <w:bookmarkEnd w:id="2042"/>
      <w:bookmarkEnd w:id="2043"/>
      <w:bookmarkEnd w:id="2044"/>
      <w:bookmarkEnd w:id="2045"/>
      <w:bookmarkEnd w:id="2046"/>
      <w:bookmarkEnd w:id="2047"/>
      <w:bookmarkEnd w:id="2048"/>
      <w:r w:rsidRPr="00261B7A">
        <w:t>2021</w:t>
      </w:r>
      <w:bookmarkEnd w:id="2049"/>
    </w:p>
    <w:tbl>
      <w:tblPr>
        <w:tblW w:w="8505" w:type="dxa"/>
        <w:tblLayout w:type="fixed"/>
        <w:tblLook w:val="04A0" w:firstRow="1" w:lastRow="0" w:firstColumn="1" w:lastColumn="0" w:noHBand="0" w:noVBand="1"/>
      </w:tblPr>
      <w:tblGrid>
        <w:gridCol w:w="2619"/>
        <w:gridCol w:w="1357"/>
        <w:gridCol w:w="1357"/>
        <w:gridCol w:w="904"/>
        <w:gridCol w:w="1055"/>
        <w:gridCol w:w="1213"/>
      </w:tblGrid>
      <w:tr w:rsidR="0010265C" w:rsidRPr="00261B7A" w14:paraId="10AF1F8E" w14:textId="77777777" w:rsidTr="00356180">
        <w:tc>
          <w:tcPr>
            <w:tcW w:w="2619" w:type="dxa"/>
            <w:vMerge w:val="restart"/>
            <w:tcBorders>
              <w:top w:val="single" w:sz="4" w:space="0" w:color="1B556B"/>
            </w:tcBorders>
            <w:shd w:val="clear" w:color="auto" w:fill="1B556B" w:themeFill="text2"/>
            <w:vAlign w:val="bottom"/>
          </w:tcPr>
          <w:p w14:paraId="40EDFE69" w14:textId="77777777" w:rsidR="0010265C" w:rsidRPr="00261B7A" w:rsidRDefault="0010265C" w:rsidP="00D41492">
            <w:pPr>
              <w:pStyle w:val="TableText"/>
              <w:keepNext/>
              <w:spacing w:before="40" w:after="40"/>
              <w:rPr>
                <w:b/>
                <w:color w:val="FFFFFF"/>
              </w:rPr>
            </w:pPr>
            <w:r w:rsidRPr="00261B7A">
              <w:rPr>
                <w:b/>
                <w:color w:val="FFFFFF"/>
              </w:rPr>
              <w:t>Grassland land use category</w:t>
            </w:r>
          </w:p>
        </w:tc>
        <w:tc>
          <w:tcPr>
            <w:tcW w:w="1357" w:type="dxa"/>
            <w:vMerge w:val="restart"/>
            <w:tcBorders>
              <w:top w:val="single" w:sz="4" w:space="0" w:color="1B556B"/>
            </w:tcBorders>
            <w:shd w:val="clear" w:color="auto" w:fill="1B556B" w:themeFill="text2"/>
            <w:vAlign w:val="bottom"/>
          </w:tcPr>
          <w:p w14:paraId="0545EBA6" w14:textId="77777777" w:rsidR="0010265C" w:rsidRPr="00261B7A" w:rsidRDefault="0010265C" w:rsidP="00D41492">
            <w:pPr>
              <w:pStyle w:val="TableText"/>
              <w:keepNext/>
              <w:spacing w:before="40" w:after="40"/>
              <w:jc w:val="right"/>
              <w:rPr>
                <w:b/>
                <w:color w:val="FFFFFF"/>
              </w:rPr>
            </w:pPr>
            <w:r w:rsidRPr="00261B7A">
              <w:rPr>
                <w:b/>
                <w:color w:val="FFFFFF"/>
              </w:rPr>
              <w:t>Area as at 1990 (ha)</w:t>
            </w:r>
          </w:p>
        </w:tc>
        <w:tc>
          <w:tcPr>
            <w:tcW w:w="1357" w:type="dxa"/>
            <w:vMerge w:val="restart"/>
            <w:tcBorders>
              <w:top w:val="single" w:sz="4" w:space="0" w:color="1B556B"/>
            </w:tcBorders>
            <w:shd w:val="clear" w:color="auto" w:fill="1B556B" w:themeFill="text2"/>
            <w:vAlign w:val="bottom"/>
          </w:tcPr>
          <w:p w14:paraId="666DE930" w14:textId="77777777" w:rsidR="0010265C" w:rsidRPr="00261B7A" w:rsidRDefault="0010265C" w:rsidP="00D41492">
            <w:pPr>
              <w:pStyle w:val="TableText"/>
              <w:keepNext/>
              <w:spacing w:before="40" w:after="40"/>
              <w:jc w:val="right"/>
              <w:rPr>
                <w:b/>
                <w:color w:val="FFFFFF"/>
              </w:rPr>
            </w:pPr>
            <w:r w:rsidRPr="00261B7A">
              <w:rPr>
                <w:b/>
                <w:color w:val="FFFFFF"/>
              </w:rPr>
              <w:t>Area as at 2021 (ha)</w:t>
            </w:r>
          </w:p>
        </w:tc>
        <w:tc>
          <w:tcPr>
            <w:tcW w:w="1959" w:type="dxa"/>
            <w:gridSpan w:val="2"/>
            <w:tcBorders>
              <w:top w:val="single" w:sz="4" w:space="0" w:color="1B556B"/>
            </w:tcBorders>
            <w:shd w:val="clear" w:color="auto" w:fill="1B556B" w:themeFill="text2"/>
            <w:vAlign w:val="bottom"/>
          </w:tcPr>
          <w:p w14:paraId="2197C4E2" w14:textId="77777777" w:rsidR="0010265C" w:rsidRPr="00261B7A" w:rsidRDefault="0010265C" w:rsidP="00D41492">
            <w:pPr>
              <w:pStyle w:val="TableText"/>
              <w:keepNext/>
              <w:spacing w:before="40" w:after="40"/>
              <w:jc w:val="center"/>
              <w:rPr>
                <w:b/>
                <w:color w:val="FFFFFF"/>
              </w:rPr>
            </w:pPr>
            <w:r w:rsidRPr="00261B7A">
              <w:rPr>
                <w:b/>
                <w:color w:val="FFFFFF"/>
              </w:rPr>
              <w:t xml:space="preserve">Net emissions </w:t>
            </w:r>
            <w:r w:rsidRPr="00261B7A">
              <w:rPr>
                <w:b/>
                <w:color w:val="FFFFFF"/>
              </w:rPr>
              <w:br/>
              <w:t>(kt CO</w:t>
            </w:r>
            <w:r w:rsidRPr="00261B7A">
              <w:rPr>
                <w:b/>
                <w:color w:val="FFFFFF"/>
                <w:vertAlign w:val="subscript"/>
              </w:rPr>
              <w:t>2</w:t>
            </w:r>
            <w:r w:rsidRPr="00261B7A">
              <w:rPr>
                <w:b/>
                <w:color w:val="FFFFFF"/>
              </w:rPr>
              <w:t>-e)</w:t>
            </w:r>
          </w:p>
        </w:tc>
        <w:tc>
          <w:tcPr>
            <w:tcW w:w="1213" w:type="dxa"/>
            <w:vMerge w:val="restart"/>
            <w:tcBorders>
              <w:top w:val="single" w:sz="4" w:space="0" w:color="1B556B"/>
            </w:tcBorders>
            <w:shd w:val="clear" w:color="auto" w:fill="1B556B" w:themeFill="text2"/>
            <w:vAlign w:val="bottom"/>
          </w:tcPr>
          <w:p w14:paraId="5668E1E6" w14:textId="77777777" w:rsidR="0010265C" w:rsidRPr="00261B7A" w:rsidRDefault="0010265C" w:rsidP="00D41492">
            <w:pPr>
              <w:pStyle w:val="TableText"/>
              <w:keepNext/>
              <w:spacing w:before="40" w:after="40"/>
              <w:jc w:val="right"/>
              <w:rPr>
                <w:b/>
                <w:color w:val="FFFFFF"/>
              </w:rPr>
            </w:pPr>
            <w:r w:rsidRPr="00261B7A">
              <w:rPr>
                <w:b/>
                <w:color w:val="FFFFFF"/>
              </w:rPr>
              <w:t>Change from 1990 (%)</w:t>
            </w:r>
          </w:p>
        </w:tc>
      </w:tr>
      <w:tr w:rsidR="0010265C" w:rsidRPr="00261B7A" w14:paraId="42433615" w14:textId="77777777" w:rsidTr="00356180">
        <w:trPr>
          <w:trHeight w:val="300"/>
        </w:trPr>
        <w:tc>
          <w:tcPr>
            <w:tcW w:w="2619" w:type="dxa"/>
            <w:vMerge/>
            <w:tcBorders>
              <w:bottom w:val="single" w:sz="4" w:space="0" w:color="1B556B"/>
            </w:tcBorders>
            <w:shd w:val="clear" w:color="auto" w:fill="1B556B" w:themeFill="text2"/>
          </w:tcPr>
          <w:p w14:paraId="295A4CC0" w14:textId="77777777" w:rsidR="0010265C" w:rsidRPr="00261B7A" w:rsidRDefault="0010265C" w:rsidP="00D41492">
            <w:pPr>
              <w:pStyle w:val="TableText"/>
              <w:keepNext/>
              <w:spacing w:before="40" w:after="40"/>
              <w:rPr>
                <w:rFonts w:eastAsia="Segoe UI"/>
              </w:rPr>
            </w:pPr>
          </w:p>
        </w:tc>
        <w:tc>
          <w:tcPr>
            <w:tcW w:w="1357" w:type="dxa"/>
            <w:vMerge/>
            <w:tcBorders>
              <w:bottom w:val="single" w:sz="4" w:space="0" w:color="1B556B"/>
            </w:tcBorders>
            <w:shd w:val="clear" w:color="auto" w:fill="1B556B" w:themeFill="text2"/>
          </w:tcPr>
          <w:p w14:paraId="083F2424" w14:textId="77777777" w:rsidR="0010265C" w:rsidRPr="00261B7A" w:rsidRDefault="0010265C" w:rsidP="00D41492">
            <w:pPr>
              <w:pStyle w:val="TableText"/>
              <w:keepNext/>
              <w:spacing w:before="40" w:after="40"/>
              <w:jc w:val="center"/>
              <w:rPr>
                <w:rFonts w:eastAsia="Segoe UI"/>
              </w:rPr>
            </w:pPr>
          </w:p>
        </w:tc>
        <w:tc>
          <w:tcPr>
            <w:tcW w:w="1357" w:type="dxa"/>
            <w:vMerge/>
            <w:tcBorders>
              <w:bottom w:val="single" w:sz="4" w:space="0" w:color="1B556B"/>
            </w:tcBorders>
            <w:shd w:val="clear" w:color="auto" w:fill="1B556B" w:themeFill="text2"/>
          </w:tcPr>
          <w:p w14:paraId="795A2A01" w14:textId="77777777" w:rsidR="0010265C" w:rsidRPr="00261B7A" w:rsidRDefault="0010265C" w:rsidP="00D41492">
            <w:pPr>
              <w:pStyle w:val="TableText"/>
              <w:keepNext/>
              <w:spacing w:before="40" w:after="40"/>
              <w:jc w:val="center"/>
              <w:rPr>
                <w:rFonts w:eastAsia="Segoe UI"/>
              </w:rPr>
            </w:pPr>
          </w:p>
        </w:tc>
        <w:tc>
          <w:tcPr>
            <w:tcW w:w="904" w:type="dxa"/>
            <w:tcBorders>
              <w:bottom w:val="single" w:sz="4" w:space="0" w:color="1B556B"/>
            </w:tcBorders>
            <w:shd w:val="clear" w:color="auto" w:fill="1B556B" w:themeFill="text2"/>
          </w:tcPr>
          <w:p w14:paraId="130A59A8" w14:textId="77777777" w:rsidR="0010265C" w:rsidRPr="00261B7A" w:rsidRDefault="0010265C" w:rsidP="00D41492">
            <w:pPr>
              <w:pStyle w:val="TableText"/>
              <w:keepNext/>
              <w:spacing w:before="40" w:after="40"/>
              <w:jc w:val="right"/>
              <w:rPr>
                <w:b/>
                <w:color w:val="FFFFFF"/>
              </w:rPr>
            </w:pPr>
            <w:r w:rsidRPr="00261B7A">
              <w:rPr>
                <w:b/>
                <w:color w:val="FFFFFF"/>
              </w:rPr>
              <w:t>1990</w:t>
            </w:r>
          </w:p>
        </w:tc>
        <w:tc>
          <w:tcPr>
            <w:tcW w:w="1055" w:type="dxa"/>
            <w:tcBorders>
              <w:bottom w:val="single" w:sz="4" w:space="0" w:color="1B556B"/>
            </w:tcBorders>
            <w:shd w:val="clear" w:color="auto" w:fill="1B556B" w:themeFill="text2"/>
          </w:tcPr>
          <w:p w14:paraId="0F1E4E16" w14:textId="77777777" w:rsidR="0010265C" w:rsidRPr="00261B7A" w:rsidRDefault="0010265C" w:rsidP="00D41492">
            <w:pPr>
              <w:pStyle w:val="TableText"/>
              <w:keepNext/>
              <w:spacing w:before="40" w:after="40"/>
              <w:jc w:val="right"/>
              <w:rPr>
                <w:b/>
                <w:color w:val="FFFFFF"/>
              </w:rPr>
            </w:pPr>
            <w:r w:rsidRPr="00261B7A">
              <w:rPr>
                <w:b/>
                <w:color w:val="FFFFFF"/>
              </w:rPr>
              <w:t>2021</w:t>
            </w:r>
          </w:p>
        </w:tc>
        <w:tc>
          <w:tcPr>
            <w:tcW w:w="1213" w:type="dxa"/>
            <w:vMerge/>
            <w:tcBorders>
              <w:bottom w:val="single" w:sz="4" w:space="0" w:color="1B556B"/>
            </w:tcBorders>
            <w:shd w:val="clear" w:color="auto" w:fill="1B556B" w:themeFill="text2"/>
          </w:tcPr>
          <w:p w14:paraId="18A6637B" w14:textId="77777777" w:rsidR="0010265C" w:rsidRPr="00261B7A" w:rsidRDefault="0010265C" w:rsidP="00D41492">
            <w:pPr>
              <w:pStyle w:val="TableText"/>
              <w:keepNext/>
              <w:spacing w:before="40" w:after="40"/>
              <w:jc w:val="center"/>
              <w:rPr>
                <w:rFonts w:eastAsia="Segoe UI"/>
              </w:rPr>
            </w:pPr>
          </w:p>
        </w:tc>
      </w:tr>
      <w:tr w:rsidR="0010265C" w:rsidRPr="00261B7A" w14:paraId="5157A116" w14:textId="77777777" w:rsidTr="00356180">
        <w:trPr>
          <w:trHeight w:val="20"/>
        </w:trPr>
        <w:tc>
          <w:tcPr>
            <w:tcW w:w="2619" w:type="dxa"/>
            <w:tcBorders>
              <w:top w:val="single" w:sz="4" w:space="0" w:color="1B556B"/>
              <w:bottom w:val="single" w:sz="4" w:space="0" w:color="1B556B"/>
            </w:tcBorders>
          </w:tcPr>
          <w:p w14:paraId="277E99A6" w14:textId="77777777" w:rsidR="0010265C" w:rsidRPr="00261B7A" w:rsidRDefault="0010265C" w:rsidP="00D41492">
            <w:pPr>
              <w:pStyle w:val="TableText"/>
              <w:spacing w:before="40" w:after="40"/>
            </w:pPr>
            <w:r w:rsidRPr="00261B7A">
              <w:t>Grassland remaining grassland</w:t>
            </w:r>
          </w:p>
        </w:tc>
        <w:tc>
          <w:tcPr>
            <w:tcW w:w="1357" w:type="dxa"/>
            <w:tcBorders>
              <w:top w:val="single" w:sz="4" w:space="0" w:color="1B556B"/>
              <w:bottom w:val="single" w:sz="4" w:space="0" w:color="1B556B"/>
            </w:tcBorders>
            <w:vAlign w:val="center"/>
          </w:tcPr>
          <w:p w14:paraId="3ED93CDD"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14,924,506</w:t>
            </w:r>
          </w:p>
        </w:tc>
        <w:tc>
          <w:tcPr>
            <w:tcW w:w="1357" w:type="dxa"/>
            <w:tcBorders>
              <w:top w:val="single" w:sz="4" w:space="0" w:color="1B556B"/>
              <w:bottom w:val="single" w:sz="4" w:space="0" w:color="1B556B"/>
            </w:tcBorders>
            <w:vAlign w:val="center"/>
          </w:tcPr>
          <w:p w14:paraId="2F00AFAC"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14,336,128</w:t>
            </w:r>
          </w:p>
        </w:tc>
        <w:tc>
          <w:tcPr>
            <w:tcW w:w="904" w:type="dxa"/>
            <w:tcBorders>
              <w:top w:val="single" w:sz="4" w:space="0" w:color="1B556B"/>
              <w:bottom w:val="single" w:sz="4" w:space="0" w:color="1B556B"/>
            </w:tcBorders>
            <w:noWrap/>
            <w:vAlign w:val="center"/>
          </w:tcPr>
          <w:p w14:paraId="4860149A"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 xml:space="preserve">302.7 </w:t>
            </w:r>
          </w:p>
        </w:tc>
        <w:tc>
          <w:tcPr>
            <w:tcW w:w="1055" w:type="dxa"/>
            <w:tcBorders>
              <w:top w:val="single" w:sz="4" w:space="0" w:color="1B556B"/>
              <w:bottom w:val="single" w:sz="4" w:space="0" w:color="1B556B"/>
            </w:tcBorders>
            <w:noWrap/>
            <w:vAlign w:val="center"/>
          </w:tcPr>
          <w:p w14:paraId="29033DD9"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 xml:space="preserve">1,247.3 </w:t>
            </w:r>
          </w:p>
        </w:tc>
        <w:tc>
          <w:tcPr>
            <w:tcW w:w="1213" w:type="dxa"/>
            <w:tcBorders>
              <w:top w:val="single" w:sz="4" w:space="0" w:color="1B556B"/>
              <w:bottom w:val="single" w:sz="4" w:space="0" w:color="1B556B"/>
            </w:tcBorders>
            <w:vAlign w:val="center"/>
          </w:tcPr>
          <w:p w14:paraId="7C6888DE"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312.0</w:t>
            </w:r>
          </w:p>
        </w:tc>
      </w:tr>
      <w:tr w:rsidR="0010265C" w:rsidRPr="00261B7A" w14:paraId="590514AB" w14:textId="77777777" w:rsidTr="00356180">
        <w:trPr>
          <w:trHeight w:val="20"/>
        </w:trPr>
        <w:tc>
          <w:tcPr>
            <w:tcW w:w="2619" w:type="dxa"/>
            <w:tcBorders>
              <w:top w:val="single" w:sz="4" w:space="0" w:color="1B556B"/>
              <w:bottom w:val="single" w:sz="4" w:space="0" w:color="1B556B"/>
            </w:tcBorders>
          </w:tcPr>
          <w:p w14:paraId="29CBAD53" w14:textId="77777777" w:rsidR="0010265C" w:rsidRPr="00261B7A" w:rsidRDefault="0010265C" w:rsidP="00D41492">
            <w:pPr>
              <w:pStyle w:val="TableText"/>
              <w:spacing w:before="40" w:after="40"/>
            </w:pPr>
            <w:r w:rsidRPr="00261B7A">
              <w:t>Land converted to grassland</w:t>
            </w:r>
          </w:p>
        </w:tc>
        <w:tc>
          <w:tcPr>
            <w:tcW w:w="1357" w:type="dxa"/>
            <w:tcBorders>
              <w:top w:val="single" w:sz="4" w:space="0" w:color="1B556B"/>
              <w:bottom w:val="single" w:sz="4" w:space="0" w:color="1B556B"/>
            </w:tcBorders>
            <w:vAlign w:val="center"/>
          </w:tcPr>
          <w:p w14:paraId="05C504F3"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344,864</w:t>
            </w:r>
          </w:p>
        </w:tc>
        <w:tc>
          <w:tcPr>
            <w:tcW w:w="1357" w:type="dxa"/>
            <w:tcBorders>
              <w:top w:val="single" w:sz="4" w:space="0" w:color="1B556B"/>
              <w:bottom w:val="single" w:sz="4" w:space="0" w:color="1B556B"/>
            </w:tcBorders>
            <w:vAlign w:val="center"/>
          </w:tcPr>
          <w:p w14:paraId="725B8FCD"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201,794</w:t>
            </w:r>
          </w:p>
        </w:tc>
        <w:tc>
          <w:tcPr>
            <w:tcW w:w="904" w:type="dxa"/>
            <w:tcBorders>
              <w:top w:val="single" w:sz="4" w:space="0" w:color="1B556B"/>
              <w:bottom w:val="single" w:sz="4" w:space="0" w:color="1B556B"/>
            </w:tcBorders>
            <w:noWrap/>
            <w:vAlign w:val="center"/>
          </w:tcPr>
          <w:p w14:paraId="3DA8AE26"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 xml:space="preserve">454.1 </w:t>
            </w:r>
          </w:p>
        </w:tc>
        <w:tc>
          <w:tcPr>
            <w:tcW w:w="1055" w:type="dxa"/>
            <w:tcBorders>
              <w:top w:val="single" w:sz="4" w:space="0" w:color="1B556B"/>
              <w:bottom w:val="single" w:sz="4" w:space="0" w:color="1B556B"/>
            </w:tcBorders>
            <w:noWrap/>
            <w:vAlign w:val="center"/>
          </w:tcPr>
          <w:p w14:paraId="0B2DB941"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 xml:space="preserve">1,497.0 </w:t>
            </w:r>
          </w:p>
        </w:tc>
        <w:tc>
          <w:tcPr>
            <w:tcW w:w="1213" w:type="dxa"/>
            <w:tcBorders>
              <w:top w:val="single" w:sz="4" w:space="0" w:color="1B556B"/>
              <w:bottom w:val="single" w:sz="4" w:space="0" w:color="1B556B"/>
            </w:tcBorders>
            <w:vAlign w:val="center"/>
          </w:tcPr>
          <w:p w14:paraId="7428B718"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229.7</w:t>
            </w:r>
          </w:p>
        </w:tc>
      </w:tr>
      <w:tr w:rsidR="0010265C" w:rsidRPr="00261B7A" w14:paraId="64322526" w14:textId="77777777" w:rsidTr="00356180">
        <w:trPr>
          <w:trHeight w:val="20"/>
        </w:trPr>
        <w:tc>
          <w:tcPr>
            <w:tcW w:w="2619" w:type="dxa"/>
            <w:tcBorders>
              <w:top w:val="single" w:sz="4" w:space="0" w:color="1B556B"/>
              <w:bottom w:val="single" w:sz="4" w:space="0" w:color="1B556B"/>
            </w:tcBorders>
          </w:tcPr>
          <w:p w14:paraId="32F6D530" w14:textId="77777777" w:rsidR="0010265C" w:rsidRPr="00261B7A" w:rsidRDefault="0010265C" w:rsidP="00D41492">
            <w:pPr>
              <w:pStyle w:val="Tableboldblue"/>
              <w:spacing w:before="40" w:after="40"/>
            </w:pPr>
            <w:r w:rsidRPr="00261B7A">
              <w:t>Total</w:t>
            </w:r>
          </w:p>
        </w:tc>
        <w:tc>
          <w:tcPr>
            <w:tcW w:w="1357" w:type="dxa"/>
            <w:tcBorders>
              <w:top w:val="single" w:sz="4" w:space="0" w:color="1B556B"/>
              <w:bottom w:val="single" w:sz="4" w:space="0" w:color="1B556B"/>
            </w:tcBorders>
          </w:tcPr>
          <w:p w14:paraId="425D6FF3" w14:textId="77777777" w:rsidR="0010265C" w:rsidRPr="00261B7A" w:rsidRDefault="0010265C" w:rsidP="00D41492">
            <w:pPr>
              <w:pStyle w:val="Tableboldblue"/>
              <w:spacing w:before="40" w:after="40"/>
              <w:jc w:val="right"/>
              <w:rPr>
                <w:rFonts w:asciiTheme="minorHAnsi" w:hAnsiTheme="minorHAnsi" w:cstheme="minorHAnsi"/>
              </w:rPr>
            </w:pPr>
            <w:r w:rsidRPr="00261B7A">
              <w:rPr>
                <w:rFonts w:asciiTheme="minorHAnsi" w:hAnsiTheme="minorHAnsi" w:cstheme="minorHAnsi"/>
                <w:szCs w:val="16"/>
              </w:rPr>
              <w:t>15,269,371</w:t>
            </w:r>
          </w:p>
        </w:tc>
        <w:tc>
          <w:tcPr>
            <w:tcW w:w="1357" w:type="dxa"/>
            <w:tcBorders>
              <w:top w:val="single" w:sz="4" w:space="0" w:color="1B556B"/>
              <w:bottom w:val="single" w:sz="4" w:space="0" w:color="1B556B"/>
            </w:tcBorders>
          </w:tcPr>
          <w:p w14:paraId="159C8B21" w14:textId="77777777" w:rsidR="0010265C" w:rsidRPr="00261B7A" w:rsidRDefault="0010265C" w:rsidP="00D41492">
            <w:pPr>
              <w:pStyle w:val="Tableboldblue"/>
              <w:spacing w:before="40" w:after="40"/>
              <w:jc w:val="right"/>
              <w:rPr>
                <w:rFonts w:asciiTheme="minorHAnsi" w:hAnsiTheme="minorHAnsi" w:cstheme="minorHAnsi"/>
              </w:rPr>
            </w:pPr>
            <w:r w:rsidRPr="00261B7A">
              <w:rPr>
                <w:rFonts w:asciiTheme="minorHAnsi" w:hAnsiTheme="minorHAnsi" w:cstheme="minorHAnsi"/>
                <w:szCs w:val="16"/>
              </w:rPr>
              <w:t>14,537,922</w:t>
            </w:r>
          </w:p>
        </w:tc>
        <w:tc>
          <w:tcPr>
            <w:tcW w:w="904" w:type="dxa"/>
            <w:tcBorders>
              <w:top w:val="single" w:sz="4" w:space="0" w:color="1B556B"/>
              <w:bottom w:val="single" w:sz="4" w:space="0" w:color="1B556B"/>
            </w:tcBorders>
            <w:noWrap/>
            <w:vAlign w:val="center"/>
          </w:tcPr>
          <w:p w14:paraId="31924043" w14:textId="77777777" w:rsidR="0010265C" w:rsidRPr="00261B7A" w:rsidRDefault="0010265C" w:rsidP="00D41492">
            <w:pPr>
              <w:pStyle w:val="Tableboldblue"/>
              <w:spacing w:before="40" w:after="40"/>
              <w:jc w:val="right"/>
              <w:rPr>
                <w:rFonts w:asciiTheme="minorHAnsi" w:hAnsiTheme="minorHAnsi" w:cstheme="minorHAnsi"/>
              </w:rPr>
            </w:pPr>
            <w:r w:rsidRPr="00261B7A">
              <w:rPr>
                <w:rFonts w:asciiTheme="minorHAnsi" w:hAnsiTheme="minorHAnsi" w:cstheme="minorHAnsi"/>
                <w:szCs w:val="16"/>
              </w:rPr>
              <w:t xml:space="preserve">756.8 </w:t>
            </w:r>
          </w:p>
        </w:tc>
        <w:tc>
          <w:tcPr>
            <w:tcW w:w="1055" w:type="dxa"/>
            <w:tcBorders>
              <w:top w:val="single" w:sz="4" w:space="0" w:color="1B556B"/>
              <w:bottom w:val="single" w:sz="4" w:space="0" w:color="1B556B"/>
            </w:tcBorders>
            <w:noWrap/>
            <w:vAlign w:val="center"/>
          </w:tcPr>
          <w:p w14:paraId="52B82AEC" w14:textId="77777777" w:rsidR="0010265C" w:rsidRPr="00261B7A" w:rsidRDefault="0010265C" w:rsidP="00D41492">
            <w:pPr>
              <w:pStyle w:val="Tableboldblue"/>
              <w:spacing w:before="40" w:after="40"/>
              <w:jc w:val="right"/>
              <w:rPr>
                <w:rFonts w:asciiTheme="minorHAnsi" w:hAnsiTheme="minorHAnsi" w:cstheme="minorHAnsi"/>
              </w:rPr>
            </w:pPr>
            <w:r w:rsidRPr="00261B7A">
              <w:rPr>
                <w:rFonts w:asciiTheme="minorHAnsi" w:hAnsiTheme="minorHAnsi" w:cstheme="minorHAnsi"/>
                <w:szCs w:val="16"/>
              </w:rPr>
              <w:t xml:space="preserve">2,744.3 </w:t>
            </w:r>
          </w:p>
        </w:tc>
        <w:tc>
          <w:tcPr>
            <w:tcW w:w="1213" w:type="dxa"/>
            <w:tcBorders>
              <w:top w:val="single" w:sz="4" w:space="0" w:color="1B556B"/>
              <w:bottom w:val="single" w:sz="4" w:space="0" w:color="1B556B"/>
            </w:tcBorders>
            <w:vAlign w:val="center"/>
          </w:tcPr>
          <w:p w14:paraId="7E537EBD" w14:textId="77777777" w:rsidR="0010265C" w:rsidRPr="00261B7A" w:rsidRDefault="0010265C" w:rsidP="00D41492">
            <w:pPr>
              <w:pStyle w:val="Tableboldblue"/>
              <w:spacing w:before="40" w:after="40"/>
              <w:jc w:val="right"/>
              <w:rPr>
                <w:rFonts w:asciiTheme="minorHAnsi" w:hAnsiTheme="minorHAnsi" w:cstheme="minorHAnsi"/>
              </w:rPr>
            </w:pPr>
            <w:r w:rsidRPr="00261B7A">
              <w:rPr>
                <w:rFonts w:asciiTheme="minorHAnsi" w:hAnsiTheme="minorHAnsi" w:cstheme="minorHAnsi"/>
                <w:szCs w:val="16"/>
              </w:rPr>
              <w:t>262.6</w:t>
            </w:r>
          </w:p>
        </w:tc>
      </w:tr>
    </w:tbl>
    <w:p w14:paraId="72C812D2" w14:textId="77777777" w:rsidR="0010265C" w:rsidRPr="00261B7A" w:rsidRDefault="0010265C" w:rsidP="0010265C">
      <w:pPr>
        <w:pStyle w:val="Noteundertable"/>
        <w:spacing w:before="60" w:after="0"/>
        <w:rPr>
          <w:rFonts w:eastAsia="Segoe UI"/>
        </w:rPr>
      </w:pPr>
      <w:r w:rsidRPr="00261B7A">
        <w:rPr>
          <w:rFonts w:eastAsia="Segoe UI"/>
          <w:b/>
        </w:rPr>
        <w:t>Note:</w:t>
      </w:r>
      <w:r w:rsidRPr="00261B7A">
        <w:rPr>
          <w:rFonts w:eastAsia="Segoe UI"/>
        </w:rPr>
        <w:tab/>
      </w:r>
      <w:r w:rsidRPr="00261B7A">
        <w:t xml:space="preserve">Net area in 1990 is as at 1 January 1990; net area in 2021 is as at 31 December. </w:t>
      </w:r>
      <w:r w:rsidRPr="00261B7A">
        <w:rPr>
          <w:i/>
        </w:rPr>
        <w:t>Land converted to grassland</w:t>
      </w:r>
      <w:r w:rsidRPr="00261B7A">
        <w:t xml:space="preserve"> includes land converted up to 20 years earlier. Net emission estimates are for the whole year indicated. Columns may not total due to rounding.</w:t>
      </w:r>
    </w:p>
    <w:p w14:paraId="0086F156" w14:textId="77777777" w:rsidR="0010265C" w:rsidRPr="00261B7A" w:rsidRDefault="0010265C" w:rsidP="00C76E31">
      <w:pPr>
        <w:pStyle w:val="BodyText"/>
      </w:pPr>
      <w:r w:rsidRPr="00261B7A">
        <w:t xml:space="preserve">In New Zealand, the </w:t>
      </w:r>
      <w:r w:rsidRPr="00261B7A">
        <w:rPr>
          <w:i/>
        </w:rPr>
        <w:t>Grassland</w:t>
      </w:r>
      <w:r w:rsidRPr="00261B7A">
        <w:t xml:space="preserve"> category is used to describe a range of land cover types. In this submission, three types of </w:t>
      </w:r>
      <w:r w:rsidRPr="00261B7A">
        <w:rPr>
          <w:i/>
        </w:rPr>
        <w:t>Grassland</w:t>
      </w:r>
      <w:r w:rsidRPr="00261B7A">
        <w:t xml:space="preserve"> are used: high producing, low producing and with woody biomass. Detailed descriptions of each </w:t>
      </w:r>
      <w:r w:rsidRPr="00261B7A">
        <w:rPr>
          <w:i/>
        </w:rPr>
        <w:t>Grassland</w:t>
      </w:r>
      <w:r w:rsidRPr="00261B7A">
        <w:t xml:space="preserve"> type can be found in table 6.2.3 and are briefly summarised below:</w:t>
      </w:r>
    </w:p>
    <w:p w14:paraId="53E52B36" w14:textId="77777777" w:rsidR="0010265C" w:rsidRPr="00261B7A" w:rsidRDefault="0010265C" w:rsidP="00294EC5">
      <w:pPr>
        <w:pStyle w:val="Bullet"/>
        <w:numPr>
          <w:ilvl w:val="0"/>
          <w:numId w:val="25"/>
        </w:numPr>
        <w:ind w:left="397" w:hanging="397"/>
      </w:pPr>
      <w:r w:rsidRPr="00261B7A">
        <w:rPr>
          <w:i/>
          <w:iCs/>
        </w:rPr>
        <w:t xml:space="preserve">High producing grassland </w:t>
      </w:r>
      <w:r w:rsidRPr="00261B7A">
        <w:t>– intensively managed pasture land</w:t>
      </w:r>
    </w:p>
    <w:p w14:paraId="19B78E96" w14:textId="77777777" w:rsidR="0010265C" w:rsidRPr="00261B7A" w:rsidRDefault="0010265C" w:rsidP="00294EC5">
      <w:pPr>
        <w:pStyle w:val="Bullet"/>
        <w:numPr>
          <w:ilvl w:val="0"/>
          <w:numId w:val="25"/>
        </w:numPr>
        <w:ind w:left="397" w:hanging="397"/>
      </w:pPr>
      <w:r w:rsidRPr="00261B7A">
        <w:rPr>
          <w:i/>
          <w:iCs/>
        </w:rPr>
        <w:t>Low producing grassland</w:t>
      </w:r>
      <w:r w:rsidRPr="00261B7A">
        <w:t xml:space="preserve"> – low-fertility grasses on hill country, areas of native tussock and areas composed of low, shrubby vegetation, both above and below the timberline</w:t>
      </w:r>
    </w:p>
    <w:p w14:paraId="31E5D8E0" w14:textId="77777777" w:rsidR="0010265C" w:rsidRPr="00261B7A" w:rsidRDefault="0010265C" w:rsidP="00294EC5">
      <w:pPr>
        <w:pStyle w:val="Bullet"/>
        <w:numPr>
          <w:ilvl w:val="0"/>
          <w:numId w:val="25"/>
        </w:numPr>
        <w:ind w:left="397" w:hanging="397"/>
      </w:pPr>
      <w:r w:rsidRPr="00261B7A">
        <w:rPr>
          <w:i/>
          <w:iCs/>
        </w:rPr>
        <w:t>Grassland with woody biomass</w:t>
      </w:r>
      <w:r w:rsidRPr="00261B7A">
        <w:t xml:space="preserve"> – grassland areas where the cover of woody species is less than 30 per cent and/or does not meet, nor has the potential to meet, the New Zealand forest definition due to the current management regime (e.g., periodically cleared for grazing), or due to characteristics of the vegetation or environmental constraints (e.g., alpine shrubland).</w:t>
      </w:r>
    </w:p>
    <w:p w14:paraId="59BDCEAF" w14:textId="77777777" w:rsidR="0010265C" w:rsidRPr="00261B7A" w:rsidRDefault="0010265C" w:rsidP="00C76E31">
      <w:pPr>
        <w:pStyle w:val="BodyText"/>
      </w:pPr>
      <w:r w:rsidRPr="00261B7A">
        <w:rPr>
          <w:i/>
          <w:iCs/>
        </w:rPr>
        <w:t>Grassland with woody biomass</w:t>
      </w:r>
      <w:r w:rsidRPr="00261B7A">
        <w:t xml:space="preserve"> is a diverse land use and has therefore been disaggregated into two types: permanent and transitional, described in table 6.5.2. Separate emission factors for each type of </w:t>
      </w:r>
      <w:r w:rsidRPr="00261B7A">
        <w:rPr>
          <w:i/>
          <w:iCs/>
        </w:rPr>
        <w:t>Grassland with woody biomass</w:t>
      </w:r>
      <w:r w:rsidRPr="00261B7A">
        <w:t xml:space="preserve"> are derived from the LUCAS plot network (Wakelin and Beets, unpublished). Within the CRF Reporter, reporting on </w:t>
      </w:r>
      <w:r w:rsidRPr="00261B7A">
        <w:rPr>
          <w:i/>
          <w:iCs/>
        </w:rPr>
        <w:t>Grassland with woody biomass</w:t>
      </w:r>
      <w:r w:rsidRPr="00261B7A">
        <w:t xml:space="preserve"> is at the aggregate level. </w:t>
      </w:r>
    </w:p>
    <w:p w14:paraId="61AEEA16" w14:textId="77777777" w:rsidR="0010265C" w:rsidRPr="00261B7A" w:rsidRDefault="0010265C" w:rsidP="0010265C">
      <w:pPr>
        <w:pStyle w:val="Table"/>
      </w:pPr>
      <w:bookmarkStart w:id="2050" w:name="_Toc131591409"/>
      <w:r w:rsidRPr="00261B7A">
        <w:t>Table 6.5.2</w:t>
      </w:r>
      <w:r w:rsidRPr="00261B7A">
        <w:tab/>
        <w:t>Grassland with woody biomass sub-classification and description</w:t>
      </w:r>
      <w:bookmarkEnd w:id="2050"/>
    </w:p>
    <w:tbl>
      <w:tblPr>
        <w:tblW w:w="8505" w:type="dxa"/>
        <w:tblBorders>
          <w:top w:val="single" w:sz="4" w:space="0" w:color="365F91"/>
          <w:bottom w:val="single" w:sz="4" w:space="0" w:color="365F91"/>
          <w:insideH w:val="single" w:sz="4" w:space="0" w:color="365F91"/>
          <w:insideV w:val="single" w:sz="4" w:space="0" w:color="365F91"/>
        </w:tblBorders>
        <w:tblCellMar>
          <w:right w:w="85" w:type="dxa"/>
        </w:tblCellMar>
        <w:tblLook w:val="04A0" w:firstRow="1" w:lastRow="0" w:firstColumn="1" w:lastColumn="0" w:noHBand="0" w:noVBand="1"/>
      </w:tblPr>
      <w:tblGrid>
        <w:gridCol w:w="1985"/>
        <w:gridCol w:w="3260"/>
        <w:gridCol w:w="3260"/>
      </w:tblGrid>
      <w:tr w:rsidR="0010265C" w:rsidRPr="00261B7A" w14:paraId="4DF2168F" w14:textId="77777777" w:rsidTr="00C76E31">
        <w:trPr>
          <w:tblHeader/>
        </w:trPr>
        <w:tc>
          <w:tcPr>
            <w:tcW w:w="1985" w:type="dxa"/>
            <w:tcBorders>
              <w:top w:val="single" w:sz="4" w:space="0" w:color="1B556B"/>
              <w:left w:val="nil"/>
              <w:bottom w:val="single" w:sz="4" w:space="0" w:color="1B556B"/>
              <w:right w:val="nil"/>
            </w:tcBorders>
            <w:shd w:val="clear" w:color="auto" w:fill="1B556B" w:themeFill="text2"/>
            <w:hideMark/>
          </w:tcPr>
          <w:p w14:paraId="0E573805" w14:textId="77777777" w:rsidR="0010265C" w:rsidRPr="00261B7A" w:rsidRDefault="0010265C" w:rsidP="00D41492">
            <w:pPr>
              <w:pStyle w:val="TableTextBold"/>
              <w:spacing w:before="40" w:after="40" w:line="256" w:lineRule="auto"/>
              <w:rPr>
                <w:noProof w:val="0"/>
                <w:color w:val="FFFFFF"/>
              </w:rPr>
            </w:pPr>
            <w:r w:rsidRPr="00261B7A">
              <w:rPr>
                <w:noProof w:val="0"/>
                <w:color w:val="FFFFFF"/>
              </w:rPr>
              <w:t>Grassland with woody biomass sub-classification</w:t>
            </w:r>
          </w:p>
        </w:tc>
        <w:tc>
          <w:tcPr>
            <w:tcW w:w="3260" w:type="dxa"/>
            <w:tcBorders>
              <w:top w:val="single" w:sz="4" w:space="0" w:color="1B556B"/>
              <w:left w:val="nil"/>
              <w:bottom w:val="single" w:sz="4" w:space="0" w:color="1B556B"/>
              <w:right w:val="nil"/>
            </w:tcBorders>
            <w:shd w:val="clear" w:color="auto" w:fill="1B556B" w:themeFill="text2"/>
            <w:vAlign w:val="bottom"/>
            <w:hideMark/>
          </w:tcPr>
          <w:p w14:paraId="430CCC1E" w14:textId="77777777" w:rsidR="0010265C" w:rsidRPr="00261B7A" w:rsidRDefault="0010265C" w:rsidP="00D41492">
            <w:pPr>
              <w:pStyle w:val="TableTextBold"/>
              <w:spacing w:before="40" w:after="40" w:line="256" w:lineRule="auto"/>
              <w:rPr>
                <w:noProof w:val="0"/>
                <w:color w:val="FFFFFF"/>
              </w:rPr>
            </w:pPr>
            <w:r w:rsidRPr="00261B7A">
              <w:rPr>
                <w:noProof w:val="0"/>
                <w:color w:val="FFFFFF"/>
              </w:rPr>
              <w:t>Description</w:t>
            </w:r>
          </w:p>
        </w:tc>
        <w:tc>
          <w:tcPr>
            <w:tcW w:w="3260" w:type="dxa"/>
            <w:tcBorders>
              <w:top w:val="single" w:sz="4" w:space="0" w:color="1B556B"/>
              <w:left w:val="nil"/>
              <w:bottom w:val="single" w:sz="4" w:space="0" w:color="1B556B"/>
              <w:right w:val="single" w:sz="4" w:space="0" w:color="365F91"/>
            </w:tcBorders>
            <w:shd w:val="clear" w:color="auto" w:fill="1B556B" w:themeFill="text2"/>
            <w:vAlign w:val="bottom"/>
          </w:tcPr>
          <w:p w14:paraId="5CFF6C7E" w14:textId="77777777" w:rsidR="0010265C" w:rsidRPr="00261B7A" w:rsidRDefault="0010265C" w:rsidP="00D41492">
            <w:pPr>
              <w:pStyle w:val="TableTextBold"/>
              <w:spacing w:before="40" w:after="40" w:line="256" w:lineRule="auto"/>
              <w:rPr>
                <w:noProof w:val="0"/>
                <w:color w:val="FFFFFF"/>
              </w:rPr>
            </w:pPr>
            <w:r w:rsidRPr="00261B7A">
              <w:rPr>
                <w:noProof w:val="0"/>
                <w:color w:val="FFFFFF"/>
              </w:rPr>
              <w:t xml:space="preserve">Expected occurrence </w:t>
            </w:r>
          </w:p>
        </w:tc>
      </w:tr>
      <w:tr w:rsidR="0010265C" w:rsidRPr="00261B7A" w14:paraId="491B1445" w14:textId="77777777" w:rsidTr="00C76E31">
        <w:tc>
          <w:tcPr>
            <w:tcW w:w="1985" w:type="dxa"/>
            <w:tcBorders>
              <w:top w:val="single" w:sz="4" w:space="0" w:color="1B556B"/>
              <w:left w:val="nil"/>
              <w:bottom w:val="single" w:sz="4" w:space="0" w:color="365F91"/>
              <w:right w:val="nil"/>
            </w:tcBorders>
            <w:hideMark/>
          </w:tcPr>
          <w:p w14:paraId="5B583E4B" w14:textId="77777777" w:rsidR="0010265C" w:rsidRPr="00261B7A" w:rsidRDefault="0010265C" w:rsidP="00D41492">
            <w:pPr>
              <w:pStyle w:val="TableText"/>
              <w:spacing w:before="40" w:after="40" w:line="256" w:lineRule="auto"/>
              <w:rPr>
                <w:rFonts w:cs="Arial Bold"/>
                <w:szCs w:val="16"/>
              </w:rPr>
            </w:pPr>
            <w:r w:rsidRPr="00261B7A">
              <w:rPr>
                <w:rFonts w:cs="Arial Bold"/>
                <w:szCs w:val="16"/>
              </w:rPr>
              <w:t xml:space="preserve">Transitional </w:t>
            </w:r>
          </w:p>
        </w:tc>
        <w:tc>
          <w:tcPr>
            <w:tcW w:w="3260" w:type="dxa"/>
            <w:tcBorders>
              <w:top w:val="single" w:sz="4" w:space="0" w:color="1B556B"/>
              <w:left w:val="nil"/>
              <w:bottom w:val="single" w:sz="4" w:space="0" w:color="365F91"/>
              <w:right w:val="nil"/>
            </w:tcBorders>
            <w:hideMark/>
          </w:tcPr>
          <w:p w14:paraId="635AB4FC" w14:textId="77777777" w:rsidR="0010265C" w:rsidRPr="00261B7A" w:rsidRDefault="0010265C" w:rsidP="00D41492">
            <w:pPr>
              <w:pStyle w:val="TableText"/>
              <w:spacing w:before="40" w:after="40" w:line="256" w:lineRule="auto"/>
              <w:rPr>
                <w:rFonts w:cs="Arial Bold"/>
                <w:szCs w:val="16"/>
              </w:rPr>
            </w:pPr>
            <w:r w:rsidRPr="00261B7A">
              <w:rPr>
                <w:rFonts w:cs="Arial Bold"/>
                <w:szCs w:val="16"/>
              </w:rPr>
              <w:t xml:space="preserve">Areas of woody shrublands within farmland that </w:t>
            </w:r>
            <w:r w:rsidRPr="00261B7A">
              <w:t>do not become forest over a 30- to 40</w:t>
            </w:r>
            <w:r w:rsidRPr="00261B7A">
              <w:noBreakHyphen/>
              <w:t>year timeframe (Trotter and MacKay, unpublished)</w:t>
            </w:r>
          </w:p>
        </w:tc>
        <w:tc>
          <w:tcPr>
            <w:tcW w:w="3260" w:type="dxa"/>
            <w:tcBorders>
              <w:top w:val="single" w:sz="4" w:space="0" w:color="1B556B"/>
              <w:left w:val="nil"/>
              <w:bottom w:val="single" w:sz="4" w:space="0" w:color="365F91"/>
              <w:right w:val="nil"/>
            </w:tcBorders>
          </w:tcPr>
          <w:p w14:paraId="29DE1D69" w14:textId="77777777" w:rsidR="0010265C" w:rsidRPr="00261B7A" w:rsidRDefault="0010265C" w:rsidP="00D41492">
            <w:pPr>
              <w:pStyle w:val="TableText"/>
              <w:spacing w:before="40" w:after="40" w:line="256" w:lineRule="auto"/>
              <w:rPr>
                <w:rFonts w:cs="Arial Bold"/>
                <w:szCs w:val="16"/>
              </w:rPr>
            </w:pPr>
            <w:r w:rsidRPr="00261B7A">
              <w:rPr>
                <w:rFonts w:cs="Arial Bold"/>
                <w:szCs w:val="16"/>
              </w:rPr>
              <w:t xml:space="preserve">Where livestock grazes areas of woody shrubland or where woody shrubland is managed in other ways (e.g., spraying) to prevent it from becoming forest. </w:t>
            </w:r>
          </w:p>
        </w:tc>
      </w:tr>
      <w:tr w:rsidR="0010265C" w:rsidRPr="00261B7A" w14:paraId="0297B0AB" w14:textId="77777777" w:rsidTr="00C76E31">
        <w:tc>
          <w:tcPr>
            <w:tcW w:w="1985" w:type="dxa"/>
            <w:tcBorders>
              <w:top w:val="single" w:sz="4" w:space="0" w:color="365F91"/>
              <w:left w:val="nil"/>
              <w:bottom w:val="single" w:sz="4" w:space="0" w:color="365F91"/>
              <w:right w:val="nil"/>
            </w:tcBorders>
          </w:tcPr>
          <w:p w14:paraId="2EE56DB7" w14:textId="77777777" w:rsidR="0010265C" w:rsidRPr="00261B7A" w:rsidRDefault="0010265C" w:rsidP="00D41492">
            <w:pPr>
              <w:pStyle w:val="TableText"/>
              <w:spacing w:before="40" w:after="40" w:line="256" w:lineRule="auto"/>
              <w:rPr>
                <w:rFonts w:cs="Arial Bold"/>
                <w:szCs w:val="16"/>
              </w:rPr>
            </w:pPr>
            <w:r w:rsidRPr="00261B7A">
              <w:rPr>
                <w:rFonts w:cs="Arial Bold"/>
                <w:szCs w:val="16"/>
              </w:rPr>
              <w:t>Permanent</w:t>
            </w:r>
          </w:p>
        </w:tc>
        <w:tc>
          <w:tcPr>
            <w:tcW w:w="3260" w:type="dxa"/>
            <w:tcBorders>
              <w:top w:val="single" w:sz="4" w:space="0" w:color="365F91"/>
              <w:left w:val="nil"/>
              <w:bottom w:val="single" w:sz="4" w:space="0" w:color="365F91"/>
              <w:right w:val="nil"/>
            </w:tcBorders>
            <w:hideMark/>
          </w:tcPr>
          <w:p w14:paraId="32AEC65F" w14:textId="77777777" w:rsidR="0010265C" w:rsidRPr="00261B7A" w:rsidRDefault="0010265C" w:rsidP="00D41492">
            <w:pPr>
              <w:pStyle w:val="TableText"/>
              <w:spacing w:before="40" w:after="40" w:line="256" w:lineRule="auto"/>
              <w:rPr>
                <w:rFonts w:cs="Arial Bold"/>
                <w:szCs w:val="16"/>
              </w:rPr>
            </w:pPr>
            <w:r w:rsidRPr="00261B7A">
              <w:rPr>
                <w:rFonts w:cs="Arial Bold"/>
                <w:szCs w:val="16"/>
              </w:rPr>
              <w:t xml:space="preserve">Land covered by woody vegetation that does not meet the forest definition and is not expected to do so under current ecological, management or environmental conditions. </w:t>
            </w:r>
          </w:p>
        </w:tc>
        <w:tc>
          <w:tcPr>
            <w:tcW w:w="3260" w:type="dxa"/>
            <w:tcBorders>
              <w:top w:val="single" w:sz="4" w:space="0" w:color="365F91"/>
              <w:left w:val="nil"/>
              <w:bottom w:val="single" w:sz="4" w:space="0" w:color="365F91"/>
              <w:right w:val="nil"/>
            </w:tcBorders>
          </w:tcPr>
          <w:p w14:paraId="75FCE986" w14:textId="77777777" w:rsidR="0010265C" w:rsidRPr="00261B7A" w:rsidRDefault="0010265C" w:rsidP="00D41492">
            <w:pPr>
              <w:pStyle w:val="TableText"/>
              <w:spacing w:before="40" w:after="40" w:line="256" w:lineRule="auto"/>
              <w:rPr>
                <w:rFonts w:cs="Arial Bold"/>
                <w:szCs w:val="16"/>
              </w:rPr>
            </w:pPr>
            <w:r w:rsidRPr="00261B7A">
              <w:rPr>
                <w:rFonts w:cs="Arial Bold"/>
                <w:szCs w:val="16"/>
              </w:rPr>
              <w:t>Where abiotic conditions at a site are conducive to low-stature vegetation; for example, vegetation growing at high altitudes, on low-fertility soil or on frost flats.</w:t>
            </w:r>
          </w:p>
        </w:tc>
      </w:tr>
    </w:tbl>
    <w:p w14:paraId="106154AF" w14:textId="247830DD" w:rsidR="0010265C" w:rsidRPr="00261B7A" w:rsidRDefault="0010265C" w:rsidP="0010265C">
      <w:pPr>
        <w:pStyle w:val="BodyText"/>
        <w:spacing w:before="240"/>
      </w:pPr>
      <w:r w:rsidRPr="00261B7A">
        <w:t xml:space="preserve">In 2021, there were 6,903,017 hectares of high producing grassland (25.6 per cent of total land area), 6,273,573 hectares of low producing grassland (23.3 per cent of total land area) and 1,361,332 hectares of </w:t>
      </w:r>
      <w:r w:rsidRPr="00261B7A">
        <w:rPr>
          <w:i/>
          <w:iCs/>
        </w:rPr>
        <w:t>Grassland with woody biomass</w:t>
      </w:r>
      <w:r w:rsidRPr="00261B7A">
        <w:t xml:space="preserve"> (5.1 per cent of total land area). The area </w:t>
      </w:r>
      <w:r w:rsidRPr="00261B7A">
        <w:rPr>
          <w:i/>
          <w:iCs/>
        </w:rPr>
        <w:t>of Grassland with woody biomass</w:t>
      </w:r>
      <w:r w:rsidRPr="00261B7A">
        <w:t xml:space="preserve"> is comprised of</w:t>
      </w:r>
      <w:r w:rsidR="00C76E31" w:rsidRPr="00261B7A">
        <w:t xml:space="preserve"> </w:t>
      </w:r>
      <w:r w:rsidRPr="00261B7A">
        <w:t xml:space="preserve">487,646 hectares of permanent and 873,685 hectares of transitional </w:t>
      </w:r>
      <w:r w:rsidRPr="00261B7A">
        <w:rPr>
          <w:i/>
          <w:iCs/>
        </w:rPr>
        <w:t>Grassland with woody biomass</w:t>
      </w:r>
      <w:r w:rsidRPr="00261B7A">
        <w:t xml:space="preserve">. </w:t>
      </w:r>
    </w:p>
    <w:p w14:paraId="00FA78C6" w14:textId="77777777" w:rsidR="0010265C" w:rsidRPr="00261B7A" w:rsidRDefault="0010265C" w:rsidP="0010265C">
      <w:pPr>
        <w:pStyle w:val="BodyText"/>
      </w:pPr>
      <w:r w:rsidRPr="00261B7A">
        <w:t xml:space="preserve">From 1990 to 2021, the net carbon stock change attributed to </w:t>
      </w:r>
      <w:r w:rsidRPr="00261B7A">
        <w:rPr>
          <w:i/>
        </w:rPr>
        <w:t>Grassland</w:t>
      </w:r>
      <w:r w:rsidRPr="00261B7A">
        <w:t xml:space="preserve"> was a loss of 43,690.2 kt C, equivalent to 160,197.4 kt CO</w:t>
      </w:r>
      <w:r w:rsidRPr="00261B7A">
        <w:rPr>
          <w:vertAlign w:val="subscript"/>
        </w:rPr>
        <w:t>2</w:t>
      </w:r>
      <w:r w:rsidRPr="00261B7A">
        <w:t xml:space="preserve"> emissions (see table 6.5.3). The majority of these emissions are due to the loss of living biomass carbon stock associated with </w:t>
      </w:r>
      <w:r w:rsidRPr="00261B7A">
        <w:rPr>
          <w:i/>
        </w:rPr>
        <w:t>Forest land</w:t>
      </w:r>
      <w:r w:rsidRPr="00261B7A">
        <w:t xml:space="preserve"> conversion to </w:t>
      </w:r>
      <w:r w:rsidRPr="00261B7A">
        <w:rPr>
          <w:i/>
        </w:rPr>
        <w:t>Grassland</w:t>
      </w:r>
      <w:r w:rsidRPr="00261B7A">
        <w:t xml:space="preserve"> (deforestation). </w:t>
      </w:r>
    </w:p>
    <w:p w14:paraId="23F7FB14" w14:textId="77777777" w:rsidR="0010265C" w:rsidRPr="00261B7A" w:rsidRDefault="0010265C" w:rsidP="001C5620">
      <w:pPr>
        <w:pStyle w:val="Table"/>
      </w:pPr>
      <w:bookmarkStart w:id="2051" w:name="_Toc280630467"/>
      <w:bookmarkStart w:id="2052" w:name="_Toc310423423"/>
      <w:bookmarkStart w:id="2053" w:name="_Toc318362716"/>
      <w:bookmarkStart w:id="2054" w:name="_Toc342470778"/>
      <w:bookmarkStart w:id="2055" w:name="_Toc352505018"/>
      <w:bookmarkStart w:id="2056" w:name="_Toc378853308"/>
      <w:bookmarkStart w:id="2057" w:name="_Toc391024106"/>
      <w:bookmarkStart w:id="2058" w:name="_Toc410028849"/>
      <w:bookmarkStart w:id="2059" w:name="_Toc414531477"/>
      <w:bookmarkStart w:id="2060" w:name="_Toc443645390"/>
      <w:bookmarkStart w:id="2061" w:name="_Toc474914609"/>
      <w:bookmarkStart w:id="2062" w:name="_Toc481751573"/>
      <w:bookmarkStart w:id="2063" w:name="_Toc522010630"/>
      <w:bookmarkStart w:id="2064" w:name="_Toc5269535"/>
      <w:bookmarkStart w:id="2065" w:name="_Toc33529409"/>
      <w:bookmarkStart w:id="2066" w:name="_Toc36224615"/>
      <w:bookmarkStart w:id="2067" w:name="_Toc131591410"/>
      <w:r w:rsidRPr="00261B7A">
        <w:t>Table 6.5.3</w:t>
      </w:r>
      <w:r w:rsidRPr="00261B7A">
        <w:tab/>
        <w:t>New Zealand’s carbon stock change by carbon pool for the</w:t>
      </w:r>
      <w:r w:rsidRPr="00261B7A">
        <w:rPr>
          <w:rFonts w:cs="Arial Bold"/>
        </w:rPr>
        <w:t xml:space="preserve"> </w:t>
      </w:r>
      <w:r w:rsidRPr="00261B7A">
        <w:rPr>
          <w:rFonts w:cs="Arial Bold"/>
          <w:i/>
        </w:rPr>
        <w:t>Grassland</w:t>
      </w:r>
      <w:r w:rsidRPr="00261B7A">
        <w:t xml:space="preserve"> category</w:t>
      </w:r>
      <w:r w:rsidRPr="00261B7A">
        <w:br/>
        <w:t>from 1990 to</w:t>
      </w:r>
      <w:bookmarkEnd w:id="2051"/>
      <w:bookmarkEnd w:id="2052"/>
      <w:bookmarkEnd w:id="2053"/>
      <w:bookmarkEnd w:id="2054"/>
      <w:bookmarkEnd w:id="2055"/>
      <w:bookmarkEnd w:id="2056"/>
      <w:bookmarkEnd w:id="2057"/>
      <w:r w:rsidRPr="00261B7A">
        <w:t> </w:t>
      </w:r>
      <w:bookmarkEnd w:id="2058"/>
      <w:bookmarkEnd w:id="2059"/>
      <w:bookmarkEnd w:id="2060"/>
      <w:bookmarkEnd w:id="2061"/>
      <w:bookmarkEnd w:id="2062"/>
      <w:bookmarkEnd w:id="2063"/>
      <w:bookmarkEnd w:id="2064"/>
      <w:bookmarkEnd w:id="2065"/>
      <w:bookmarkEnd w:id="2066"/>
      <w:r w:rsidRPr="00261B7A">
        <w:t>2021</w:t>
      </w:r>
      <w:bookmarkEnd w:id="2067"/>
    </w:p>
    <w:tbl>
      <w:tblPr>
        <w:tblW w:w="8505" w:type="dxa"/>
        <w:tblBorders>
          <w:top w:val="single" w:sz="4" w:space="0" w:color="365F91"/>
          <w:bottom w:val="single" w:sz="4" w:space="0" w:color="365F91"/>
          <w:insideH w:val="single" w:sz="4" w:space="0" w:color="365F91"/>
        </w:tblBorders>
        <w:tblLayout w:type="fixed"/>
        <w:tblLook w:val="04A0" w:firstRow="1" w:lastRow="0" w:firstColumn="1" w:lastColumn="0" w:noHBand="0" w:noVBand="1"/>
      </w:tblPr>
      <w:tblGrid>
        <w:gridCol w:w="2410"/>
        <w:gridCol w:w="1276"/>
        <w:gridCol w:w="1701"/>
        <w:gridCol w:w="855"/>
        <w:gridCol w:w="1056"/>
        <w:gridCol w:w="1207"/>
      </w:tblGrid>
      <w:tr w:rsidR="0010265C" w:rsidRPr="00261B7A" w14:paraId="075349D7" w14:textId="77777777" w:rsidTr="00726451">
        <w:trPr>
          <w:trHeight w:val="287"/>
        </w:trPr>
        <w:tc>
          <w:tcPr>
            <w:tcW w:w="2410" w:type="dxa"/>
            <w:vMerge w:val="restart"/>
            <w:tcBorders>
              <w:top w:val="single" w:sz="4" w:space="0" w:color="1B556B"/>
              <w:bottom w:val="nil"/>
            </w:tcBorders>
            <w:shd w:val="clear" w:color="auto" w:fill="1B556B"/>
            <w:vAlign w:val="bottom"/>
          </w:tcPr>
          <w:p w14:paraId="7B67FC1D" w14:textId="77777777" w:rsidR="0010265C" w:rsidRPr="00261B7A" w:rsidRDefault="0010265C" w:rsidP="00D41492">
            <w:pPr>
              <w:pStyle w:val="TableText"/>
              <w:keepNext/>
              <w:spacing w:before="50" w:after="50"/>
              <w:rPr>
                <w:b/>
                <w:color w:val="FFFFFF"/>
                <w:szCs w:val="16"/>
              </w:rPr>
            </w:pPr>
            <w:r w:rsidRPr="00261B7A">
              <w:rPr>
                <w:b/>
                <w:color w:val="FFFFFF"/>
                <w:szCs w:val="16"/>
              </w:rPr>
              <w:t>Grassland category</w:t>
            </w:r>
          </w:p>
        </w:tc>
        <w:tc>
          <w:tcPr>
            <w:tcW w:w="4888" w:type="dxa"/>
            <w:gridSpan w:val="4"/>
            <w:tcBorders>
              <w:top w:val="single" w:sz="4" w:space="0" w:color="1B556B"/>
              <w:bottom w:val="nil"/>
            </w:tcBorders>
            <w:shd w:val="clear" w:color="auto" w:fill="1B556B"/>
            <w:vAlign w:val="bottom"/>
          </w:tcPr>
          <w:p w14:paraId="5F3FE5AC" w14:textId="77777777" w:rsidR="0010265C" w:rsidRPr="00261B7A" w:rsidRDefault="0010265C" w:rsidP="00D41492">
            <w:pPr>
              <w:pStyle w:val="TableText"/>
              <w:keepNext/>
              <w:spacing w:before="50" w:after="0"/>
              <w:jc w:val="center"/>
              <w:rPr>
                <w:b/>
                <w:color w:val="FFFFFF"/>
                <w:szCs w:val="16"/>
              </w:rPr>
            </w:pPr>
            <w:r w:rsidRPr="00261B7A">
              <w:rPr>
                <w:b/>
                <w:color w:val="FFFFFF"/>
                <w:szCs w:val="16"/>
              </w:rPr>
              <w:t>Net carbon stock change 1990–2021 (kt C)</w:t>
            </w:r>
          </w:p>
        </w:tc>
        <w:tc>
          <w:tcPr>
            <w:tcW w:w="1207" w:type="dxa"/>
            <w:vMerge w:val="restart"/>
            <w:tcBorders>
              <w:top w:val="single" w:sz="4" w:space="0" w:color="1B556B"/>
              <w:bottom w:val="nil"/>
            </w:tcBorders>
            <w:shd w:val="clear" w:color="auto" w:fill="1B556B"/>
            <w:vAlign w:val="bottom"/>
          </w:tcPr>
          <w:p w14:paraId="315AE6C1" w14:textId="77777777" w:rsidR="0010265C" w:rsidRPr="00261B7A" w:rsidRDefault="0010265C" w:rsidP="00D41492">
            <w:pPr>
              <w:pStyle w:val="TableText"/>
              <w:keepNext/>
              <w:spacing w:before="50" w:after="50"/>
              <w:jc w:val="right"/>
              <w:rPr>
                <w:b/>
                <w:color w:val="FFFFFF" w:themeColor="background1"/>
                <w:szCs w:val="16"/>
              </w:rPr>
            </w:pPr>
            <w:r w:rsidRPr="00261B7A">
              <w:rPr>
                <w:b/>
                <w:color w:val="FFFFFF" w:themeColor="background1"/>
                <w:szCs w:val="16"/>
              </w:rPr>
              <w:t>Emissions 1990–2021 (kt CO</w:t>
            </w:r>
            <w:r w:rsidRPr="00261B7A">
              <w:rPr>
                <w:b/>
                <w:color w:val="FFFFFF" w:themeColor="background1"/>
                <w:szCs w:val="16"/>
                <w:vertAlign w:val="subscript"/>
              </w:rPr>
              <w:t>2</w:t>
            </w:r>
            <w:r w:rsidRPr="00261B7A">
              <w:rPr>
                <w:b/>
                <w:color w:val="FFFFFF" w:themeColor="background1"/>
                <w:szCs w:val="16"/>
              </w:rPr>
              <w:t>)</w:t>
            </w:r>
          </w:p>
        </w:tc>
      </w:tr>
      <w:tr w:rsidR="0010265C" w:rsidRPr="00261B7A" w14:paraId="236D0BAD" w14:textId="77777777" w:rsidTr="00726451">
        <w:trPr>
          <w:trHeight w:val="262"/>
        </w:trPr>
        <w:tc>
          <w:tcPr>
            <w:tcW w:w="2410" w:type="dxa"/>
            <w:vMerge/>
            <w:tcBorders>
              <w:top w:val="nil"/>
              <w:bottom w:val="nil"/>
            </w:tcBorders>
            <w:shd w:val="clear" w:color="auto" w:fill="1B556B"/>
            <w:vAlign w:val="bottom"/>
          </w:tcPr>
          <w:p w14:paraId="21447AC6" w14:textId="77777777" w:rsidR="0010265C" w:rsidRPr="00261B7A" w:rsidRDefault="0010265C" w:rsidP="00D41492">
            <w:pPr>
              <w:pStyle w:val="TableText"/>
              <w:keepNext/>
              <w:spacing w:before="50" w:after="50"/>
              <w:rPr>
                <w:color w:val="FFFFFF"/>
                <w:szCs w:val="16"/>
              </w:rPr>
            </w:pPr>
          </w:p>
        </w:tc>
        <w:tc>
          <w:tcPr>
            <w:tcW w:w="1276" w:type="dxa"/>
            <w:tcBorders>
              <w:top w:val="nil"/>
              <w:bottom w:val="nil"/>
            </w:tcBorders>
            <w:shd w:val="clear" w:color="auto" w:fill="1B556B"/>
            <w:vAlign w:val="bottom"/>
          </w:tcPr>
          <w:p w14:paraId="5B26C436" w14:textId="77777777" w:rsidR="0010265C" w:rsidRPr="00261B7A" w:rsidRDefault="0010265C" w:rsidP="00D41492">
            <w:pPr>
              <w:pStyle w:val="TableText"/>
              <w:keepNext/>
              <w:spacing w:before="50" w:after="50"/>
              <w:jc w:val="right"/>
              <w:rPr>
                <w:b/>
                <w:color w:val="FFFFFF"/>
                <w:szCs w:val="16"/>
              </w:rPr>
            </w:pPr>
            <w:r w:rsidRPr="00261B7A">
              <w:rPr>
                <w:b/>
                <w:color w:val="FFFFFF"/>
                <w:szCs w:val="16"/>
              </w:rPr>
              <w:t>Living biomass</w:t>
            </w:r>
          </w:p>
        </w:tc>
        <w:tc>
          <w:tcPr>
            <w:tcW w:w="1701" w:type="dxa"/>
            <w:tcBorders>
              <w:top w:val="nil"/>
              <w:bottom w:val="nil"/>
            </w:tcBorders>
            <w:shd w:val="clear" w:color="auto" w:fill="1B556B"/>
            <w:vAlign w:val="bottom"/>
          </w:tcPr>
          <w:p w14:paraId="794233FD" w14:textId="77777777" w:rsidR="0010265C" w:rsidRPr="00261B7A" w:rsidRDefault="0010265C" w:rsidP="00D41492">
            <w:pPr>
              <w:pStyle w:val="TableText"/>
              <w:keepNext/>
              <w:spacing w:before="50" w:after="50"/>
              <w:jc w:val="right"/>
              <w:rPr>
                <w:b/>
                <w:color w:val="FFFFFF"/>
                <w:szCs w:val="16"/>
              </w:rPr>
            </w:pPr>
            <w:r w:rsidRPr="00261B7A">
              <w:rPr>
                <w:b/>
                <w:color w:val="FFFFFF"/>
                <w:szCs w:val="16"/>
              </w:rPr>
              <w:t>Dead organic matter</w:t>
            </w:r>
          </w:p>
        </w:tc>
        <w:tc>
          <w:tcPr>
            <w:tcW w:w="855" w:type="dxa"/>
            <w:tcBorders>
              <w:top w:val="nil"/>
              <w:bottom w:val="nil"/>
            </w:tcBorders>
            <w:shd w:val="clear" w:color="auto" w:fill="1B556B"/>
            <w:vAlign w:val="bottom"/>
          </w:tcPr>
          <w:p w14:paraId="7BD17215" w14:textId="77777777" w:rsidR="0010265C" w:rsidRPr="00261B7A" w:rsidRDefault="0010265C" w:rsidP="00D41492">
            <w:pPr>
              <w:pStyle w:val="TableText"/>
              <w:keepNext/>
              <w:spacing w:before="50" w:after="50"/>
              <w:jc w:val="right"/>
              <w:rPr>
                <w:b/>
                <w:color w:val="FFFFFF"/>
                <w:szCs w:val="16"/>
              </w:rPr>
            </w:pPr>
            <w:r w:rsidRPr="00261B7A">
              <w:rPr>
                <w:b/>
                <w:color w:val="FFFFFF"/>
                <w:szCs w:val="16"/>
              </w:rPr>
              <w:t>Soils</w:t>
            </w:r>
          </w:p>
        </w:tc>
        <w:tc>
          <w:tcPr>
            <w:tcW w:w="1056" w:type="dxa"/>
            <w:tcBorders>
              <w:top w:val="nil"/>
              <w:bottom w:val="nil"/>
            </w:tcBorders>
            <w:shd w:val="clear" w:color="auto" w:fill="1B556B"/>
            <w:vAlign w:val="bottom"/>
          </w:tcPr>
          <w:p w14:paraId="2D129587" w14:textId="77777777" w:rsidR="0010265C" w:rsidRPr="00261B7A" w:rsidRDefault="0010265C" w:rsidP="00D41492">
            <w:pPr>
              <w:pStyle w:val="TableText"/>
              <w:keepNext/>
              <w:spacing w:before="50" w:after="50"/>
              <w:jc w:val="right"/>
              <w:rPr>
                <w:b/>
                <w:color w:val="FFFFFF"/>
                <w:szCs w:val="16"/>
              </w:rPr>
            </w:pPr>
            <w:r w:rsidRPr="00261B7A">
              <w:rPr>
                <w:b/>
                <w:color w:val="FFFFFF"/>
                <w:szCs w:val="16"/>
              </w:rPr>
              <w:t>Total</w:t>
            </w:r>
          </w:p>
        </w:tc>
        <w:tc>
          <w:tcPr>
            <w:tcW w:w="1207" w:type="dxa"/>
            <w:vMerge/>
            <w:tcBorders>
              <w:top w:val="nil"/>
              <w:bottom w:val="nil"/>
            </w:tcBorders>
            <w:shd w:val="clear" w:color="auto" w:fill="1B556B"/>
            <w:vAlign w:val="bottom"/>
          </w:tcPr>
          <w:p w14:paraId="3CFF264C" w14:textId="77777777" w:rsidR="0010265C" w:rsidRPr="00261B7A" w:rsidRDefault="0010265C" w:rsidP="00D41492">
            <w:pPr>
              <w:pStyle w:val="TableText"/>
              <w:keepNext/>
              <w:spacing w:before="50" w:after="50"/>
              <w:jc w:val="right"/>
              <w:rPr>
                <w:szCs w:val="16"/>
              </w:rPr>
            </w:pPr>
          </w:p>
        </w:tc>
      </w:tr>
      <w:tr w:rsidR="0010265C" w:rsidRPr="00261B7A" w14:paraId="6E1C817A" w14:textId="77777777" w:rsidTr="00726451">
        <w:tc>
          <w:tcPr>
            <w:tcW w:w="2410" w:type="dxa"/>
            <w:tcBorders>
              <w:top w:val="nil"/>
              <w:bottom w:val="single" w:sz="4" w:space="0" w:color="1B556B"/>
            </w:tcBorders>
          </w:tcPr>
          <w:p w14:paraId="2965AC10" w14:textId="77777777" w:rsidR="0010265C" w:rsidRPr="00261B7A" w:rsidRDefault="0010265C" w:rsidP="00D41492">
            <w:pPr>
              <w:pStyle w:val="TableText"/>
              <w:spacing w:before="40" w:after="40"/>
              <w:rPr>
                <w:szCs w:val="16"/>
              </w:rPr>
            </w:pPr>
            <w:r w:rsidRPr="00261B7A">
              <w:rPr>
                <w:szCs w:val="16"/>
              </w:rPr>
              <w:t>Grassland – high producing</w:t>
            </w:r>
          </w:p>
        </w:tc>
        <w:tc>
          <w:tcPr>
            <w:tcW w:w="1276" w:type="dxa"/>
            <w:tcBorders>
              <w:top w:val="nil"/>
              <w:bottom w:val="single" w:sz="4" w:space="0" w:color="1B556B"/>
            </w:tcBorders>
            <w:vAlign w:val="center"/>
          </w:tcPr>
          <w:p w14:paraId="3C86AED7" w14:textId="77777777" w:rsidR="0010265C" w:rsidRPr="00261B7A" w:rsidRDefault="0010265C" w:rsidP="00D41492">
            <w:pPr>
              <w:pStyle w:val="TableText"/>
              <w:spacing w:before="40" w:after="40"/>
              <w:jc w:val="right"/>
              <w:rPr>
                <w:rFonts w:asciiTheme="minorHAnsi" w:hAnsiTheme="minorHAnsi" w:cstheme="minorHAnsi"/>
                <w:szCs w:val="16"/>
              </w:rPr>
            </w:pPr>
            <w:r w:rsidRPr="00261B7A">
              <w:rPr>
                <w:rFonts w:asciiTheme="minorHAnsi" w:hAnsiTheme="minorHAnsi" w:cstheme="minorHAnsi"/>
                <w:color w:val="000000"/>
                <w:szCs w:val="16"/>
              </w:rPr>
              <w:t>–16,936.9</w:t>
            </w:r>
          </w:p>
        </w:tc>
        <w:tc>
          <w:tcPr>
            <w:tcW w:w="1701" w:type="dxa"/>
            <w:tcBorders>
              <w:top w:val="nil"/>
              <w:bottom w:val="single" w:sz="4" w:space="0" w:color="1B556B"/>
            </w:tcBorders>
            <w:vAlign w:val="center"/>
          </w:tcPr>
          <w:p w14:paraId="15EE3D75" w14:textId="77777777" w:rsidR="0010265C" w:rsidRPr="00261B7A" w:rsidRDefault="0010265C" w:rsidP="00D41492">
            <w:pPr>
              <w:pStyle w:val="TableText"/>
              <w:spacing w:before="40" w:after="40"/>
              <w:jc w:val="right"/>
              <w:rPr>
                <w:rFonts w:asciiTheme="minorHAnsi" w:hAnsiTheme="minorHAnsi" w:cstheme="minorHAnsi"/>
                <w:b/>
                <w:szCs w:val="16"/>
              </w:rPr>
            </w:pPr>
            <w:r w:rsidRPr="00261B7A">
              <w:rPr>
                <w:rFonts w:asciiTheme="minorHAnsi" w:hAnsiTheme="minorHAnsi" w:cstheme="minorHAnsi"/>
                <w:color w:val="000000"/>
                <w:szCs w:val="16"/>
              </w:rPr>
              <w:t>–2,145.6</w:t>
            </w:r>
          </w:p>
        </w:tc>
        <w:tc>
          <w:tcPr>
            <w:tcW w:w="855" w:type="dxa"/>
            <w:tcBorders>
              <w:top w:val="nil"/>
              <w:bottom w:val="single" w:sz="4" w:space="0" w:color="1B556B"/>
            </w:tcBorders>
            <w:vAlign w:val="center"/>
          </w:tcPr>
          <w:p w14:paraId="6FB872B0" w14:textId="77777777" w:rsidR="0010265C" w:rsidRPr="00261B7A" w:rsidRDefault="0010265C" w:rsidP="00D41492">
            <w:pPr>
              <w:pStyle w:val="TableText"/>
              <w:spacing w:before="40" w:after="40"/>
              <w:jc w:val="right"/>
              <w:rPr>
                <w:rFonts w:asciiTheme="minorHAnsi" w:hAnsiTheme="minorHAnsi" w:cstheme="minorHAnsi"/>
                <w:b/>
                <w:szCs w:val="16"/>
              </w:rPr>
            </w:pPr>
            <w:r w:rsidRPr="00261B7A">
              <w:rPr>
                <w:rFonts w:asciiTheme="minorHAnsi" w:hAnsiTheme="minorHAnsi" w:cstheme="minorHAnsi"/>
                <w:color w:val="000000"/>
                <w:szCs w:val="16"/>
              </w:rPr>
              <w:t>–9,402.5</w:t>
            </w:r>
          </w:p>
        </w:tc>
        <w:tc>
          <w:tcPr>
            <w:tcW w:w="1056" w:type="dxa"/>
            <w:tcBorders>
              <w:top w:val="nil"/>
              <w:bottom w:val="single" w:sz="4" w:space="0" w:color="1B556B"/>
            </w:tcBorders>
            <w:vAlign w:val="center"/>
          </w:tcPr>
          <w:p w14:paraId="1214CB31" w14:textId="77777777" w:rsidR="0010265C" w:rsidRPr="00261B7A" w:rsidRDefault="0010265C" w:rsidP="00D41492">
            <w:pPr>
              <w:pStyle w:val="TableText"/>
              <w:spacing w:before="40" w:after="40"/>
              <w:jc w:val="right"/>
              <w:rPr>
                <w:rFonts w:asciiTheme="minorHAnsi" w:hAnsiTheme="minorHAnsi" w:cstheme="minorHAnsi"/>
                <w:b/>
                <w:szCs w:val="16"/>
              </w:rPr>
            </w:pPr>
            <w:r w:rsidRPr="00261B7A">
              <w:rPr>
                <w:rFonts w:asciiTheme="minorHAnsi" w:hAnsiTheme="minorHAnsi" w:cstheme="minorHAnsi"/>
                <w:color w:val="000000"/>
                <w:szCs w:val="16"/>
              </w:rPr>
              <w:t>–28,485.0</w:t>
            </w:r>
          </w:p>
        </w:tc>
        <w:tc>
          <w:tcPr>
            <w:tcW w:w="1207" w:type="dxa"/>
            <w:tcBorders>
              <w:top w:val="nil"/>
              <w:bottom w:val="single" w:sz="4" w:space="0" w:color="1B556B"/>
            </w:tcBorders>
            <w:vAlign w:val="center"/>
          </w:tcPr>
          <w:p w14:paraId="42C3D704" w14:textId="77777777" w:rsidR="0010265C" w:rsidRPr="00261B7A" w:rsidRDefault="0010265C" w:rsidP="00D41492">
            <w:pPr>
              <w:pStyle w:val="TableText"/>
              <w:spacing w:before="40" w:after="40"/>
              <w:jc w:val="right"/>
              <w:rPr>
                <w:rFonts w:asciiTheme="minorHAnsi" w:hAnsiTheme="minorHAnsi" w:cstheme="minorHAnsi"/>
                <w:b/>
                <w:szCs w:val="16"/>
              </w:rPr>
            </w:pPr>
            <w:r w:rsidRPr="00261B7A">
              <w:rPr>
                <w:rFonts w:asciiTheme="minorHAnsi" w:hAnsiTheme="minorHAnsi" w:cstheme="minorHAnsi"/>
                <w:color w:val="000000"/>
                <w:szCs w:val="16"/>
              </w:rPr>
              <w:t>104,445.0</w:t>
            </w:r>
          </w:p>
        </w:tc>
      </w:tr>
      <w:tr w:rsidR="0010265C" w:rsidRPr="00261B7A" w14:paraId="7F9EBF9C" w14:textId="77777777" w:rsidTr="00726451">
        <w:tc>
          <w:tcPr>
            <w:tcW w:w="2410" w:type="dxa"/>
            <w:tcBorders>
              <w:top w:val="single" w:sz="4" w:space="0" w:color="1B556B"/>
              <w:bottom w:val="single" w:sz="4" w:space="0" w:color="1B556B"/>
            </w:tcBorders>
          </w:tcPr>
          <w:p w14:paraId="56A01B08" w14:textId="77777777" w:rsidR="0010265C" w:rsidRPr="00261B7A" w:rsidRDefault="0010265C" w:rsidP="00D41492">
            <w:pPr>
              <w:pStyle w:val="TableText"/>
              <w:spacing w:before="40" w:after="40"/>
              <w:rPr>
                <w:szCs w:val="16"/>
              </w:rPr>
            </w:pPr>
            <w:r w:rsidRPr="00261B7A">
              <w:rPr>
                <w:szCs w:val="16"/>
              </w:rPr>
              <w:t>Grassland – low producing</w:t>
            </w:r>
          </w:p>
        </w:tc>
        <w:tc>
          <w:tcPr>
            <w:tcW w:w="1276" w:type="dxa"/>
            <w:tcBorders>
              <w:top w:val="single" w:sz="4" w:space="0" w:color="1B556B"/>
              <w:bottom w:val="single" w:sz="4" w:space="0" w:color="1B556B"/>
            </w:tcBorders>
            <w:vAlign w:val="center"/>
          </w:tcPr>
          <w:p w14:paraId="5739E988" w14:textId="77777777" w:rsidR="0010265C" w:rsidRPr="00261B7A" w:rsidRDefault="0010265C" w:rsidP="00D41492">
            <w:pPr>
              <w:pStyle w:val="TableText"/>
              <w:spacing w:before="40" w:after="40"/>
              <w:jc w:val="right"/>
              <w:rPr>
                <w:rFonts w:asciiTheme="minorHAnsi" w:hAnsiTheme="minorHAnsi" w:cstheme="minorHAnsi"/>
                <w:szCs w:val="16"/>
              </w:rPr>
            </w:pPr>
            <w:r w:rsidRPr="00261B7A">
              <w:rPr>
                <w:rFonts w:asciiTheme="minorHAnsi" w:hAnsiTheme="minorHAnsi" w:cstheme="minorHAnsi"/>
                <w:color w:val="000000"/>
                <w:szCs w:val="16"/>
              </w:rPr>
              <w:t>–9,789.5</w:t>
            </w:r>
          </w:p>
        </w:tc>
        <w:tc>
          <w:tcPr>
            <w:tcW w:w="1701" w:type="dxa"/>
            <w:tcBorders>
              <w:top w:val="single" w:sz="4" w:space="0" w:color="1B556B"/>
              <w:bottom w:val="single" w:sz="4" w:space="0" w:color="1B556B"/>
            </w:tcBorders>
            <w:vAlign w:val="center"/>
          </w:tcPr>
          <w:p w14:paraId="63C0E843" w14:textId="77777777" w:rsidR="0010265C" w:rsidRPr="00261B7A" w:rsidRDefault="0010265C" w:rsidP="00D41492">
            <w:pPr>
              <w:pStyle w:val="TableText"/>
              <w:spacing w:before="40" w:after="40"/>
              <w:jc w:val="right"/>
              <w:rPr>
                <w:rFonts w:asciiTheme="minorHAnsi" w:hAnsiTheme="minorHAnsi" w:cstheme="minorHAnsi"/>
                <w:b/>
                <w:szCs w:val="16"/>
              </w:rPr>
            </w:pPr>
            <w:r w:rsidRPr="00261B7A">
              <w:rPr>
                <w:rFonts w:asciiTheme="minorHAnsi" w:hAnsiTheme="minorHAnsi" w:cstheme="minorHAnsi"/>
                <w:color w:val="000000"/>
                <w:szCs w:val="16"/>
              </w:rPr>
              <w:t>–1,357.2</w:t>
            </w:r>
          </w:p>
        </w:tc>
        <w:tc>
          <w:tcPr>
            <w:tcW w:w="855" w:type="dxa"/>
            <w:tcBorders>
              <w:top w:val="single" w:sz="4" w:space="0" w:color="1B556B"/>
              <w:bottom w:val="single" w:sz="4" w:space="0" w:color="1B556B"/>
            </w:tcBorders>
            <w:vAlign w:val="center"/>
          </w:tcPr>
          <w:p w14:paraId="7A9B34B8" w14:textId="77777777" w:rsidR="0010265C" w:rsidRPr="00261B7A" w:rsidRDefault="0010265C" w:rsidP="00D41492">
            <w:pPr>
              <w:pStyle w:val="TableText"/>
              <w:spacing w:before="40" w:after="40"/>
              <w:jc w:val="right"/>
              <w:rPr>
                <w:rFonts w:asciiTheme="minorHAnsi" w:hAnsiTheme="minorHAnsi" w:cstheme="minorHAnsi"/>
                <w:b/>
                <w:szCs w:val="16"/>
              </w:rPr>
            </w:pPr>
            <w:r w:rsidRPr="00261B7A">
              <w:rPr>
                <w:rFonts w:asciiTheme="minorHAnsi" w:hAnsiTheme="minorHAnsi" w:cstheme="minorHAnsi"/>
                <w:color w:val="000000"/>
                <w:szCs w:val="16"/>
              </w:rPr>
              <w:t>653.4</w:t>
            </w:r>
          </w:p>
        </w:tc>
        <w:tc>
          <w:tcPr>
            <w:tcW w:w="1056" w:type="dxa"/>
            <w:tcBorders>
              <w:top w:val="single" w:sz="4" w:space="0" w:color="1B556B"/>
              <w:bottom w:val="single" w:sz="4" w:space="0" w:color="1B556B"/>
            </w:tcBorders>
            <w:vAlign w:val="center"/>
          </w:tcPr>
          <w:p w14:paraId="2F4263A4" w14:textId="77777777" w:rsidR="0010265C" w:rsidRPr="00261B7A" w:rsidRDefault="0010265C" w:rsidP="00D41492">
            <w:pPr>
              <w:pStyle w:val="TableText"/>
              <w:spacing w:before="40" w:after="40"/>
              <w:jc w:val="right"/>
              <w:rPr>
                <w:rFonts w:asciiTheme="minorHAnsi" w:hAnsiTheme="minorHAnsi" w:cstheme="minorHAnsi"/>
                <w:b/>
                <w:szCs w:val="16"/>
              </w:rPr>
            </w:pPr>
            <w:r w:rsidRPr="00261B7A">
              <w:rPr>
                <w:rFonts w:asciiTheme="minorHAnsi" w:hAnsiTheme="minorHAnsi" w:cstheme="minorHAnsi"/>
                <w:color w:val="000000"/>
                <w:szCs w:val="16"/>
              </w:rPr>
              <w:t>–10,493.3</w:t>
            </w:r>
          </w:p>
        </w:tc>
        <w:tc>
          <w:tcPr>
            <w:tcW w:w="1207" w:type="dxa"/>
            <w:tcBorders>
              <w:top w:val="single" w:sz="4" w:space="0" w:color="1B556B"/>
              <w:bottom w:val="single" w:sz="4" w:space="0" w:color="1B556B"/>
            </w:tcBorders>
            <w:vAlign w:val="center"/>
          </w:tcPr>
          <w:p w14:paraId="20F55A87" w14:textId="77777777" w:rsidR="0010265C" w:rsidRPr="00261B7A" w:rsidRDefault="0010265C" w:rsidP="00D41492">
            <w:pPr>
              <w:pStyle w:val="TableText"/>
              <w:spacing w:before="40" w:after="40"/>
              <w:jc w:val="right"/>
              <w:rPr>
                <w:rFonts w:asciiTheme="minorHAnsi" w:hAnsiTheme="minorHAnsi" w:cstheme="minorHAnsi"/>
                <w:b/>
                <w:szCs w:val="16"/>
              </w:rPr>
            </w:pPr>
            <w:r w:rsidRPr="00261B7A">
              <w:rPr>
                <w:rFonts w:asciiTheme="minorHAnsi" w:hAnsiTheme="minorHAnsi" w:cstheme="minorHAnsi"/>
                <w:color w:val="000000"/>
                <w:szCs w:val="16"/>
              </w:rPr>
              <w:t>38,475.4</w:t>
            </w:r>
          </w:p>
        </w:tc>
      </w:tr>
      <w:tr w:rsidR="0010265C" w:rsidRPr="00261B7A" w14:paraId="4BCBF94F" w14:textId="77777777" w:rsidTr="00726451">
        <w:tc>
          <w:tcPr>
            <w:tcW w:w="2410" w:type="dxa"/>
            <w:tcBorders>
              <w:top w:val="single" w:sz="4" w:space="0" w:color="1B556B"/>
              <w:bottom w:val="single" w:sz="4" w:space="0" w:color="1B556B"/>
            </w:tcBorders>
          </w:tcPr>
          <w:p w14:paraId="0829CA52" w14:textId="77777777" w:rsidR="0010265C" w:rsidRPr="00261B7A" w:rsidRDefault="0010265C" w:rsidP="00D41492">
            <w:pPr>
              <w:pStyle w:val="TableText"/>
              <w:spacing w:before="40" w:after="40"/>
              <w:rPr>
                <w:szCs w:val="16"/>
              </w:rPr>
            </w:pPr>
            <w:r w:rsidRPr="00261B7A">
              <w:rPr>
                <w:szCs w:val="16"/>
              </w:rPr>
              <w:t>Grassland – with woody biomass</w:t>
            </w:r>
          </w:p>
        </w:tc>
        <w:tc>
          <w:tcPr>
            <w:tcW w:w="1276" w:type="dxa"/>
            <w:tcBorders>
              <w:top w:val="single" w:sz="4" w:space="0" w:color="1B556B"/>
              <w:bottom w:val="single" w:sz="4" w:space="0" w:color="1B556B"/>
            </w:tcBorders>
            <w:vAlign w:val="center"/>
          </w:tcPr>
          <w:p w14:paraId="46436F00" w14:textId="77777777" w:rsidR="0010265C" w:rsidRPr="00261B7A" w:rsidRDefault="0010265C" w:rsidP="00D41492">
            <w:pPr>
              <w:pStyle w:val="TableText"/>
              <w:spacing w:before="40" w:after="40"/>
              <w:jc w:val="right"/>
              <w:rPr>
                <w:rFonts w:asciiTheme="minorHAnsi" w:hAnsiTheme="minorHAnsi" w:cstheme="minorHAnsi"/>
                <w:szCs w:val="16"/>
              </w:rPr>
            </w:pPr>
            <w:r w:rsidRPr="00261B7A">
              <w:rPr>
                <w:rFonts w:asciiTheme="minorHAnsi" w:hAnsiTheme="minorHAnsi" w:cstheme="minorHAnsi"/>
                <w:color w:val="000000"/>
                <w:szCs w:val="16"/>
              </w:rPr>
              <w:t>–3,135.4</w:t>
            </w:r>
          </w:p>
        </w:tc>
        <w:tc>
          <w:tcPr>
            <w:tcW w:w="1701" w:type="dxa"/>
            <w:tcBorders>
              <w:top w:val="single" w:sz="4" w:space="0" w:color="1B556B"/>
              <w:bottom w:val="single" w:sz="4" w:space="0" w:color="1B556B"/>
            </w:tcBorders>
            <w:vAlign w:val="center"/>
          </w:tcPr>
          <w:p w14:paraId="24062A38" w14:textId="77777777" w:rsidR="0010265C" w:rsidRPr="00261B7A" w:rsidRDefault="0010265C" w:rsidP="00D41492">
            <w:pPr>
              <w:pStyle w:val="TableText"/>
              <w:spacing w:before="40" w:after="40"/>
              <w:jc w:val="right"/>
              <w:rPr>
                <w:rFonts w:asciiTheme="minorHAnsi" w:hAnsiTheme="minorHAnsi" w:cstheme="minorHAnsi"/>
                <w:b/>
                <w:szCs w:val="16"/>
              </w:rPr>
            </w:pPr>
            <w:r w:rsidRPr="00261B7A">
              <w:rPr>
                <w:rFonts w:asciiTheme="minorHAnsi" w:hAnsiTheme="minorHAnsi" w:cstheme="minorHAnsi"/>
                <w:color w:val="000000"/>
                <w:szCs w:val="16"/>
              </w:rPr>
              <w:t>–622.0</w:t>
            </w:r>
          </w:p>
        </w:tc>
        <w:tc>
          <w:tcPr>
            <w:tcW w:w="855" w:type="dxa"/>
            <w:tcBorders>
              <w:top w:val="single" w:sz="4" w:space="0" w:color="1B556B"/>
              <w:bottom w:val="single" w:sz="4" w:space="0" w:color="1B556B"/>
            </w:tcBorders>
            <w:vAlign w:val="center"/>
          </w:tcPr>
          <w:p w14:paraId="1B8E6A4E" w14:textId="77777777" w:rsidR="0010265C" w:rsidRPr="00261B7A" w:rsidRDefault="0010265C" w:rsidP="00D41492">
            <w:pPr>
              <w:pStyle w:val="TableText"/>
              <w:spacing w:before="40" w:after="40"/>
              <w:jc w:val="right"/>
              <w:rPr>
                <w:rFonts w:asciiTheme="minorHAnsi" w:hAnsiTheme="minorHAnsi" w:cstheme="minorHAnsi"/>
                <w:b/>
                <w:szCs w:val="16"/>
              </w:rPr>
            </w:pPr>
            <w:r w:rsidRPr="00261B7A">
              <w:rPr>
                <w:rFonts w:asciiTheme="minorHAnsi" w:hAnsiTheme="minorHAnsi" w:cstheme="minorHAnsi"/>
                <w:color w:val="000000"/>
                <w:szCs w:val="16"/>
              </w:rPr>
              <w:t>–954.4</w:t>
            </w:r>
          </w:p>
        </w:tc>
        <w:tc>
          <w:tcPr>
            <w:tcW w:w="1056" w:type="dxa"/>
            <w:tcBorders>
              <w:top w:val="single" w:sz="4" w:space="0" w:color="1B556B"/>
              <w:bottom w:val="single" w:sz="4" w:space="0" w:color="1B556B"/>
            </w:tcBorders>
            <w:vAlign w:val="center"/>
          </w:tcPr>
          <w:p w14:paraId="41910282" w14:textId="77777777" w:rsidR="0010265C" w:rsidRPr="00261B7A" w:rsidRDefault="0010265C" w:rsidP="00D41492">
            <w:pPr>
              <w:pStyle w:val="TableText"/>
              <w:spacing w:before="40" w:after="40"/>
              <w:jc w:val="right"/>
              <w:rPr>
                <w:rFonts w:asciiTheme="minorHAnsi" w:hAnsiTheme="minorHAnsi" w:cstheme="minorHAnsi"/>
                <w:b/>
                <w:szCs w:val="16"/>
              </w:rPr>
            </w:pPr>
            <w:r w:rsidRPr="00261B7A">
              <w:rPr>
                <w:rFonts w:asciiTheme="minorHAnsi" w:hAnsiTheme="minorHAnsi" w:cstheme="minorHAnsi"/>
                <w:color w:val="000000"/>
                <w:szCs w:val="16"/>
              </w:rPr>
              <w:t>–4,711.9</w:t>
            </w:r>
          </w:p>
        </w:tc>
        <w:tc>
          <w:tcPr>
            <w:tcW w:w="1207" w:type="dxa"/>
            <w:tcBorders>
              <w:top w:val="single" w:sz="4" w:space="0" w:color="1B556B"/>
              <w:bottom w:val="single" w:sz="4" w:space="0" w:color="1B556B"/>
            </w:tcBorders>
            <w:vAlign w:val="center"/>
          </w:tcPr>
          <w:p w14:paraId="731A1CB3" w14:textId="77777777" w:rsidR="0010265C" w:rsidRPr="00261B7A" w:rsidRDefault="0010265C" w:rsidP="00D41492">
            <w:pPr>
              <w:pStyle w:val="TableText"/>
              <w:spacing w:before="40" w:after="40"/>
              <w:jc w:val="right"/>
              <w:rPr>
                <w:rFonts w:asciiTheme="minorHAnsi" w:hAnsiTheme="minorHAnsi" w:cstheme="minorHAnsi"/>
                <w:b/>
                <w:szCs w:val="16"/>
              </w:rPr>
            </w:pPr>
            <w:r w:rsidRPr="00261B7A">
              <w:rPr>
                <w:rFonts w:asciiTheme="minorHAnsi" w:hAnsiTheme="minorHAnsi" w:cstheme="minorHAnsi"/>
                <w:color w:val="000000"/>
                <w:szCs w:val="16"/>
              </w:rPr>
              <w:t>17,277.0</w:t>
            </w:r>
          </w:p>
        </w:tc>
      </w:tr>
      <w:tr w:rsidR="0010265C" w:rsidRPr="00261B7A" w14:paraId="616FED54" w14:textId="77777777" w:rsidTr="00726451">
        <w:tc>
          <w:tcPr>
            <w:tcW w:w="2410" w:type="dxa"/>
            <w:tcBorders>
              <w:top w:val="single" w:sz="4" w:space="0" w:color="1B556B"/>
              <w:bottom w:val="single" w:sz="4" w:space="0" w:color="1B556B"/>
            </w:tcBorders>
          </w:tcPr>
          <w:p w14:paraId="6B283652" w14:textId="77777777" w:rsidR="0010265C" w:rsidRPr="00261B7A" w:rsidRDefault="0010265C" w:rsidP="00D41492">
            <w:pPr>
              <w:pStyle w:val="Tableboldblue"/>
              <w:spacing w:before="40" w:after="40"/>
            </w:pPr>
            <w:r w:rsidRPr="00261B7A">
              <w:t>Total</w:t>
            </w:r>
          </w:p>
        </w:tc>
        <w:tc>
          <w:tcPr>
            <w:tcW w:w="1276" w:type="dxa"/>
            <w:tcBorders>
              <w:top w:val="single" w:sz="4" w:space="0" w:color="1B556B"/>
              <w:bottom w:val="single" w:sz="4" w:space="0" w:color="1B556B"/>
            </w:tcBorders>
            <w:vAlign w:val="center"/>
          </w:tcPr>
          <w:p w14:paraId="00B8D3D7" w14:textId="77777777" w:rsidR="0010265C" w:rsidRPr="00261B7A" w:rsidRDefault="0010265C" w:rsidP="00D41492">
            <w:pPr>
              <w:pStyle w:val="Tableboldblue"/>
              <w:spacing w:before="40" w:after="40"/>
              <w:jc w:val="right"/>
              <w:rPr>
                <w:rFonts w:asciiTheme="minorHAnsi" w:hAnsiTheme="minorHAnsi" w:cstheme="minorHAnsi"/>
                <w:color w:val="1B556B"/>
              </w:rPr>
            </w:pPr>
            <w:r w:rsidRPr="00261B7A">
              <w:rPr>
                <w:rFonts w:cs="Calibri"/>
                <w:color w:val="1B556B"/>
                <w:szCs w:val="16"/>
              </w:rPr>
              <w:t>–</w:t>
            </w:r>
            <w:r w:rsidRPr="00261B7A">
              <w:rPr>
                <w:rFonts w:asciiTheme="minorHAnsi" w:hAnsiTheme="minorHAnsi" w:cstheme="minorHAnsi"/>
                <w:color w:val="1B556B"/>
                <w:szCs w:val="16"/>
              </w:rPr>
              <w:t>29,861.9</w:t>
            </w:r>
          </w:p>
        </w:tc>
        <w:tc>
          <w:tcPr>
            <w:tcW w:w="1701" w:type="dxa"/>
            <w:tcBorders>
              <w:top w:val="single" w:sz="4" w:space="0" w:color="1B556B"/>
              <w:bottom w:val="single" w:sz="4" w:space="0" w:color="1B556B"/>
            </w:tcBorders>
            <w:vAlign w:val="center"/>
          </w:tcPr>
          <w:p w14:paraId="4DA38FE2" w14:textId="77777777" w:rsidR="0010265C" w:rsidRPr="00261B7A" w:rsidRDefault="0010265C" w:rsidP="00D41492">
            <w:pPr>
              <w:pStyle w:val="Tableboldblue"/>
              <w:spacing w:before="40" w:after="40"/>
              <w:jc w:val="right"/>
              <w:rPr>
                <w:rFonts w:asciiTheme="minorHAnsi" w:hAnsiTheme="minorHAnsi" w:cstheme="minorHAnsi"/>
                <w:color w:val="1B556B"/>
              </w:rPr>
            </w:pPr>
            <w:r w:rsidRPr="00261B7A">
              <w:rPr>
                <w:rFonts w:cs="Calibri"/>
                <w:color w:val="1B556B"/>
                <w:szCs w:val="16"/>
              </w:rPr>
              <w:t>–</w:t>
            </w:r>
            <w:r w:rsidRPr="00261B7A">
              <w:rPr>
                <w:rFonts w:asciiTheme="minorHAnsi" w:hAnsiTheme="minorHAnsi" w:cstheme="minorHAnsi"/>
                <w:color w:val="1B556B"/>
                <w:szCs w:val="16"/>
              </w:rPr>
              <w:t>4,124.8</w:t>
            </w:r>
          </w:p>
        </w:tc>
        <w:tc>
          <w:tcPr>
            <w:tcW w:w="855" w:type="dxa"/>
            <w:tcBorders>
              <w:top w:val="single" w:sz="4" w:space="0" w:color="1B556B"/>
              <w:bottom w:val="single" w:sz="4" w:space="0" w:color="1B556B"/>
            </w:tcBorders>
            <w:vAlign w:val="center"/>
          </w:tcPr>
          <w:p w14:paraId="16D3B476" w14:textId="77777777" w:rsidR="0010265C" w:rsidRPr="00261B7A" w:rsidRDefault="0010265C" w:rsidP="00D41492">
            <w:pPr>
              <w:pStyle w:val="Tableboldblue"/>
              <w:spacing w:before="40" w:after="40"/>
              <w:jc w:val="right"/>
              <w:rPr>
                <w:rFonts w:asciiTheme="minorHAnsi" w:hAnsiTheme="minorHAnsi" w:cstheme="minorHAnsi"/>
                <w:color w:val="1B556B"/>
              </w:rPr>
            </w:pPr>
            <w:r w:rsidRPr="00261B7A">
              <w:rPr>
                <w:rFonts w:cs="Calibri"/>
                <w:color w:val="1B556B"/>
                <w:szCs w:val="16"/>
              </w:rPr>
              <w:t>–</w:t>
            </w:r>
            <w:r w:rsidRPr="00261B7A">
              <w:rPr>
                <w:rFonts w:asciiTheme="minorHAnsi" w:hAnsiTheme="minorHAnsi" w:cstheme="minorHAnsi"/>
                <w:color w:val="1B556B"/>
                <w:szCs w:val="16"/>
              </w:rPr>
              <w:t>9,703.5</w:t>
            </w:r>
          </w:p>
        </w:tc>
        <w:tc>
          <w:tcPr>
            <w:tcW w:w="1056" w:type="dxa"/>
            <w:tcBorders>
              <w:top w:val="single" w:sz="4" w:space="0" w:color="1B556B"/>
              <w:bottom w:val="single" w:sz="4" w:space="0" w:color="1B556B"/>
            </w:tcBorders>
            <w:vAlign w:val="center"/>
          </w:tcPr>
          <w:p w14:paraId="52BECC43" w14:textId="77777777" w:rsidR="0010265C" w:rsidRPr="00261B7A" w:rsidRDefault="0010265C" w:rsidP="00D41492">
            <w:pPr>
              <w:pStyle w:val="Tableboldblue"/>
              <w:spacing w:before="40" w:after="40"/>
              <w:jc w:val="right"/>
              <w:rPr>
                <w:rFonts w:asciiTheme="minorHAnsi" w:hAnsiTheme="minorHAnsi" w:cstheme="minorHAnsi"/>
                <w:color w:val="1B556B"/>
              </w:rPr>
            </w:pPr>
            <w:r w:rsidRPr="00261B7A">
              <w:rPr>
                <w:rFonts w:cs="Calibri"/>
                <w:color w:val="1B556B"/>
                <w:szCs w:val="16"/>
              </w:rPr>
              <w:t>–</w:t>
            </w:r>
            <w:r w:rsidRPr="00261B7A">
              <w:rPr>
                <w:rFonts w:asciiTheme="minorHAnsi" w:hAnsiTheme="minorHAnsi" w:cstheme="minorHAnsi"/>
                <w:color w:val="1B556B"/>
                <w:szCs w:val="16"/>
              </w:rPr>
              <w:t>43,690.2</w:t>
            </w:r>
          </w:p>
        </w:tc>
        <w:tc>
          <w:tcPr>
            <w:tcW w:w="1207" w:type="dxa"/>
            <w:tcBorders>
              <w:top w:val="single" w:sz="4" w:space="0" w:color="1B556B"/>
              <w:bottom w:val="single" w:sz="4" w:space="0" w:color="1B556B"/>
            </w:tcBorders>
            <w:vAlign w:val="center"/>
          </w:tcPr>
          <w:p w14:paraId="7CAF056C" w14:textId="77777777" w:rsidR="0010265C" w:rsidRPr="00261B7A" w:rsidRDefault="0010265C" w:rsidP="00D41492">
            <w:pPr>
              <w:pStyle w:val="Tableboldblue"/>
              <w:spacing w:before="40" w:after="40"/>
              <w:jc w:val="right"/>
              <w:rPr>
                <w:rFonts w:asciiTheme="minorHAnsi" w:hAnsiTheme="minorHAnsi" w:cstheme="minorHAnsi"/>
                <w:color w:val="1B556B"/>
              </w:rPr>
            </w:pPr>
            <w:r w:rsidRPr="00261B7A">
              <w:rPr>
                <w:rFonts w:asciiTheme="minorHAnsi" w:hAnsiTheme="minorHAnsi" w:cstheme="minorHAnsi"/>
                <w:color w:val="1B556B"/>
                <w:szCs w:val="16"/>
              </w:rPr>
              <w:t>160,197.4</w:t>
            </w:r>
          </w:p>
        </w:tc>
      </w:tr>
    </w:tbl>
    <w:p w14:paraId="1DF09B57" w14:textId="77777777" w:rsidR="0010265C" w:rsidRPr="00261B7A" w:rsidRDefault="0010265C" w:rsidP="0010265C">
      <w:pPr>
        <w:pStyle w:val="Noteundertable"/>
      </w:pPr>
      <w:r w:rsidRPr="00261B7A">
        <w:rPr>
          <w:b/>
          <w:bCs/>
        </w:rPr>
        <w:t>Note</w:t>
      </w:r>
      <w:r w:rsidRPr="00261B7A">
        <w:rPr>
          <w:b/>
        </w:rPr>
        <w:t>:</w:t>
      </w:r>
      <w:r w:rsidRPr="00261B7A">
        <w:tab/>
        <w:t>Columns may not total due to rounding.</w:t>
      </w:r>
    </w:p>
    <w:p w14:paraId="32841AB2" w14:textId="77777777" w:rsidR="0010265C" w:rsidRPr="00261B7A" w:rsidRDefault="0010265C" w:rsidP="0010265C">
      <w:pPr>
        <w:pStyle w:val="Heading5"/>
      </w:pPr>
      <w:bookmarkStart w:id="2068" w:name="_Toc255466394"/>
      <w:bookmarkStart w:id="2069" w:name="_Toc261513201"/>
      <w:bookmarkStart w:id="2070" w:name="_Toc261513814"/>
      <w:bookmarkStart w:id="2071" w:name="_Toc280630286"/>
      <w:r w:rsidRPr="00261B7A">
        <w:t>Grassland remaining grassland</w:t>
      </w:r>
      <w:bookmarkEnd w:id="2068"/>
      <w:bookmarkEnd w:id="2069"/>
      <w:bookmarkEnd w:id="2070"/>
      <w:bookmarkEnd w:id="2071"/>
    </w:p>
    <w:p w14:paraId="1100DA16" w14:textId="77777777" w:rsidR="0010265C" w:rsidRPr="00261B7A" w:rsidRDefault="0010265C" w:rsidP="0010265C">
      <w:pPr>
        <w:pStyle w:val="BodyText"/>
        <w:spacing w:before="100" w:after="100"/>
      </w:pPr>
      <w:r w:rsidRPr="00261B7A">
        <w:t xml:space="preserve">There were 14,336,128 hectares of </w:t>
      </w:r>
      <w:r w:rsidRPr="00261B7A">
        <w:rPr>
          <w:i/>
        </w:rPr>
        <w:t>Grassland remaining grassland</w:t>
      </w:r>
      <w:r w:rsidRPr="00261B7A">
        <w:t xml:space="preserve"> as at 2020, equivalent to 53.0 per cent of New Zealand’s total land area. </w:t>
      </w:r>
    </w:p>
    <w:p w14:paraId="68BB330A" w14:textId="77777777" w:rsidR="0010265C" w:rsidRPr="00261B7A" w:rsidRDefault="0010265C" w:rsidP="0010265C">
      <w:pPr>
        <w:pStyle w:val="Heading5"/>
        <w:spacing w:before="160"/>
      </w:pPr>
      <w:bookmarkStart w:id="2072" w:name="_Toc255466395"/>
      <w:bookmarkStart w:id="2073" w:name="_Toc261513202"/>
      <w:bookmarkStart w:id="2074" w:name="_Toc261513815"/>
      <w:bookmarkStart w:id="2075" w:name="_Toc280630287"/>
      <w:r w:rsidRPr="00261B7A">
        <w:t>Land converted to grassland</w:t>
      </w:r>
      <w:bookmarkEnd w:id="2072"/>
      <w:bookmarkEnd w:id="2073"/>
      <w:bookmarkEnd w:id="2074"/>
      <w:bookmarkEnd w:id="2075"/>
    </w:p>
    <w:p w14:paraId="70A1F78C" w14:textId="77777777" w:rsidR="0010265C" w:rsidRPr="00261B7A" w:rsidRDefault="0010265C" w:rsidP="0010265C">
      <w:pPr>
        <w:pStyle w:val="BodyText"/>
        <w:spacing w:before="100" w:after="100"/>
      </w:pPr>
      <w:r w:rsidRPr="00261B7A">
        <w:t xml:space="preserve">Between 2020 and 2021, an estimated 2,883 hectares of land was converted to </w:t>
      </w:r>
      <w:r w:rsidRPr="00261B7A">
        <w:rPr>
          <w:i/>
        </w:rPr>
        <w:t>Grassland</w:t>
      </w:r>
      <w:r w:rsidRPr="00261B7A">
        <w:t xml:space="preserve">, while 55,570 hectares of </w:t>
      </w:r>
      <w:r w:rsidRPr="00261B7A">
        <w:rPr>
          <w:i/>
        </w:rPr>
        <w:t>Grassland</w:t>
      </w:r>
      <w:r w:rsidRPr="00261B7A">
        <w:t xml:space="preserve"> was converted to other land use categories.</w:t>
      </w:r>
    </w:p>
    <w:p w14:paraId="10A2ABCD" w14:textId="77777777" w:rsidR="0010265C" w:rsidRPr="00261B7A" w:rsidRDefault="0010265C" w:rsidP="0010265C">
      <w:pPr>
        <w:pStyle w:val="BodyText"/>
        <w:spacing w:before="100" w:after="100"/>
      </w:pPr>
      <w:r w:rsidRPr="00261B7A">
        <w:t xml:space="preserve">The majority (91.6 per cent) of </w:t>
      </w:r>
      <w:r w:rsidRPr="00261B7A">
        <w:rPr>
          <w:i/>
        </w:rPr>
        <w:t>Land converted to grassland</w:t>
      </w:r>
      <w:r w:rsidRPr="00261B7A">
        <w:t xml:space="preserve"> since 1 January 1990 is land that was previously </w:t>
      </w:r>
      <w:r w:rsidRPr="00261B7A">
        <w:rPr>
          <w:i/>
        </w:rPr>
        <w:t>Forest land</w:t>
      </w:r>
      <w:r w:rsidRPr="00261B7A">
        <w:t xml:space="preserve">. The 222,328 hectares of </w:t>
      </w:r>
      <w:r w:rsidRPr="00261B7A">
        <w:rPr>
          <w:i/>
        </w:rPr>
        <w:t>Forest land</w:t>
      </w:r>
      <w:r w:rsidRPr="00261B7A">
        <w:t xml:space="preserve"> converted to </w:t>
      </w:r>
      <w:r w:rsidRPr="00261B7A">
        <w:rPr>
          <w:i/>
        </w:rPr>
        <w:t>Grassland</w:t>
      </w:r>
      <w:r w:rsidRPr="00261B7A">
        <w:t xml:space="preserve"> since 1 January 1990 is comprised of an estimated 129,088 hectares of pre-1990 planted forest, 45,758 hectares of pre-1990 natural forest, 46,373 hectares of post-1989 planted forest and 1,110 hectares of post-1989 natural forest. For more information on deforestation, see annex A3.2.2. Land-use change of </w:t>
      </w:r>
      <w:r w:rsidRPr="00261B7A">
        <w:rPr>
          <w:i/>
        </w:rPr>
        <w:t>Forest land</w:t>
      </w:r>
      <w:r w:rsidRPr="00261B7A">
        <w:t xml:space="preserve"> to </w:t>
      </w:r>
      <w:r w:rsidRPr="00261B7A">
        <w:rPr>
          <w:i/>
        </w:rPr>
        <w:t xml:space="preserve">Grassland </w:t>
      </w:r>
      <w:r w:rsidRPr="00261B7A">
        <w:t>resulted in net emissions of 1,461.4 kt CO</w:t>
      </w:r>
      <w:r w:rsidRPr="00261B7A">
        <w:rPr>
          <w:vertAlign w:val="subscript"/>
        </w:rPr>
        <w:t xml:space="preserve">2 </w:t>
      </w:r>
      <w:r w:rsidRPr="00261B7A">
        <w:t>in 2021.</w:t>
      </w:r>
    </w:p>
    <w:p w14:paraId="4BA5875A" w14:textId="77777777" w:rsidR="0010265C" w:rsidRPr="00261B7A" w:rsidRDefault="0010265C" w:rsidP="0010265C">
      <w:pPr>
        <w:pStyle w:val="Heading3"/>
      </w:pPr>
      <w:bookmarkStart w:id="2076" w:name="_Toc139253971"/>
      <w:bookmarkStart w:id="2077" w:name="_Toc255466396"/>
      <w:bookmarkStart w:id="2078" w:name="_Toc261513203"/>
      <w:bookmarkStart w:id="2079" w:name="_Toc261513816"/>
      <w:bookmarkStart w:id="2080" w:name="_Toc280630288"/>
      <w:r w:rsidRPr="00261B7A">
        <w:t>6.5.2</w:t>
      </w:r>
      <w:r w:rsidRPr="00261B7A">
        <w:tab/>
        <w:t>Methodological issues</w:t>
      </w:r>
      <w:bookmarkEnd w:id="2076"/>
      <w:bookmarkEnd w:id="2077"/>
      <w:bookmarkEnd w:id="2078"/>
      <w:bookmarkEnd w:id="2079"/>
      <w:bookmarkEnd w:id="2080"/>
    </w:p>
    <w:p w14:paraId="28466429" w14:textId="77777777" w:rsidR="0010265C" w:rsidRPr="00261B7A" w:rsidRDefault="0010265C" w:rsidP="0010265C">
      <w:pPr>
        <w:pStyle w:val="BodyText"/>
        <w:spacing w:before="100" w:after="100"/>
        <w:rPr>
          <w:spacing w:val="-2"/>
        </w:rPr>
      </w:pPr>
      <w:r w:rsidRPr="00261B7A">
        <w:t xml:space="preserve">Emissions and removals from living biomass and dead organic matter have been calculated using a combination of IPCC Tier 1 emission factors and country-specific factors (see table 6.5.4). Emissions and removals from mineral soils are estimated using a </w:t>
      </w:r>
      <w:r w:rsidRPr="00261B7A">
        <w:rPr>
          <w:spacing w:val="-2"/>
        </w:rPr>
        <w:t xml:space="preserve">Tier 2 method, whereas organic soils are estimated using a Tier 1 method (see annex A3.2.4). </w:t>
      </w:r>
    </w:p>
    <w:p w14:paraId="2F7D31EB" w14:textId="77777777" w:rsidR="0010265C" w:rsidRPr="00261B7A" w:rsidRDefault="0010265C" w:rsidP="001C5620">
      <w:pPr>
        <w:pStyle w:val="Table"/>
      </w:pPr>
      <w:bookmarkStart w:id="2081" w:name="_Toc310423425"/>
      <w:bookmarkStart w:id="2082" w:name="_Toc318362718"/>
      <w:bookmarkStart w:id="2083" w:name="_Toc342470780"/>
      <w:bookmarkStart w:id="2084" w:name="_Toc352505020"/>
      <w:bookmarkStart w:id="2085" w:name="_Toc378853309"/>
      <w:bookmarkStart w:id="2086" w:name="_Toc391024107"/>
      <w:bookmarkStart w:id="2087" w:name="_Toc410028850"/>
      <w:bookmarkStart w:id="2088" w:name="_Toc414531478"/>
      <w:bookmarkStart w:id="2089" w:name="_Toc443645391"/>
      <w:bookmarkStart w:id="2090" w:name="_Toc474914610"/>
      <w:bookmarkStart w:id="2091" w:name="_Toc481751574"/>
      <w:bookmarkStart w:id="2092" w:name="_Toc522010631"/>
      <w:bookmarkStart w:id="2093" w:name="_Toc5269536"/>
      <w:bookmarkStart w:id="2094" w:name="_Toc33529410"/>
      <w:bookmarkStart w:id="2095" w:name="_Toc36224616"/>
      <w:bookmarkStart w:id="2096" w:name="_Toc131591411"/>
      <w:bookmarkStart w:id="2097" w:name="_Toc255466397"/>
      <w:bookmarkStart w:id="2098" w:name="_Toc261513204"/>
      <w:bookmarkStart w:id="2099" w:name="_Toc261513817"/>
      <w:r w:rsidRPr="00261B7A">
        <w:t>Table 6.5.4</w:t>
      </w:r>
      <w:r w:rsidRPr="00261B7A">
        <w:tab/>
        <w:t xml:space="preserve">Summary of New Zealand’s biomass emission factors for </w:t>
      </w:r>
      <w:r w:rsidRPr="00261B7A">
        <w:rPr>
          <w:i/>
        </w:rPr>
        <w:t>Grassland</w:t>
      </w:r>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p>
    <w:tbl>
      <w:tblPr>
        <w:tblW w:w="8505" w:type="dxa"/>
        <w:tblLook w:val="04A0" w:firstRow="1" w:lastRow="0" w:firstColumn="1" w:lastColumn="0" w:noHBand="0" w:noVBand="1"/>
      </w:tblPr>
      <w:tblGrid>
        <w:gridCol w:w="1246"/>
        <w:gridCol w:w="1731"/>
        <w:gridCol w:w="1276"/>
        <w:gridCol w:w="1276"/>
        <w:gridCol w:w="1275"/>
        <w:gridCol w:w="1701"/>
      </w:tblGrid>
      <w:tr w:rsidR="0010265C" w:rsidRPr="00261B7A" w14:paraId="7F8EF5E0" w14:textId="77777777" w:rsidTr="00726451">
        <w:trPr>
          <w:trHeight w:val="20"/>
          <w:tblHeader/>
        </w:trPr>
        <w:tc>
          <w:tcPr>
            <w:tcW w:w="1246" w:type="dxa"/>
            <w:tcBorders>
              <w:top w:val="single" w:sz="4" w:space="0" w:color="1B556B"/>
              <w:bottom w:val="single" w:sz="4" w:space="0" w:color="1B556B"/>
            </w:tcBorders>
            <w:shd w:val="clear" w:color="auto" w:fill="1B556B" w:themeFill="text2"/>
            <w:vAlign w:val="bottom"/>
          </w:tcPr>
          <w:p w14:paraId="70F0C09C" w14:textId="77777777" w:rsidR="0010265C" w:rsidRPr="00261B7A" w:rsidRDefault="0010265C" w:rsidP="00D41492">
            <w:pPr>
              <w:pStyle w:val="TableTextBold"/>
              <w:keepNext/>
              <w:spacing w:before="30" w:after="30"/>
              <w:rPr>
                <w:rFonts w:cs="Calibri"/>
                <w:noProof w:val="0"/>
                <w:color w:val="FFFFFF"/>
                <w:szCs w:val="16"/>
              </w:rPr>
            </w:pPr>
            <w:r w:rsidRPr="00261B7A">
              <w:rPr>
                <w:rFonts w:cs="Calibri"/>
                <w:noProof w:val="0"/>
                <w:color w:val="FFFFFF"/>
                <w:szCs w:val="16"/>
              </w:rPr>
              <w:t>Land use</w:t>
            </w:r>
          </w:p>
        </w:tc>
        <w:tc>
          <w:tcPr>
            <w:tcW w:w="1731" w:type="dxa"/>
            <w:tcBorders>
              <w:top w:val="single" w:sz="4" w:space="0" w:color="1B556B"/>
              <w:bottom w:val="single" w:sz="4" w:space="0" w:color="1B556B"/>
            </w:tcBorders>
            <w:shd w:val="clear" w:color="auto" w:fill="1B556B" w:themeFill="text2"/>
            <w:vAlign w:val="bottom"/>
          </w:tcPr>
          <w:p w14:paraId="5F1A225F" w14:textId="77777777" w:rsidR="0010265C" w:rsidRPr="00261B7A" w:rsidRDefault="0010265C" w:rsidP="00D41492">
            <w:pPr>
              <w:pStyle w:val="TableTextBold"/>
              <w:spacing w:before="30" w:after="30"/>
              <w:rPr>
                <w:rFonts w:cs="Calibri"/>
                <w:noProof w:val="0"/>
                <w:color w:val="FFFFFF"/>
                <w:szCs w:val="16"/>
              </w:rPr>
            </w:pPr>
            <w:r w:rsidRPr="00261B7A">
              <w:rPr>
                <w:rFonts w:cs="Calibri"/>
                <w:noProof w:val="0"/>
                <w:color w:val="FFFFFF"/>
                <w:szCs w:val="16"/>
              </w:rPr>
              <w:t>Carbon pool</w:t>
            </w:r>
          </w:p>
        </w:tc>
        <w:tc>
          <w:tcPr>
            <w:tcW w:w="1276" w:type="dxa"/>
            <w:tcBorders>
              <w:top w:val="single" w:sz="4" w:space="0" w:color="1B556B"/>
              <w:bottom w:val="single" w:sz="4" w:space="0" w:color="1B556B"/>
            </w:tcBorders>
            <w:shd w:val="clear" w:color="auto" w:fill="1B556B" w:themeFill="text2"/>
            <w:vAlign w:val="bottom"/>
          </w:tcPr>
          <w:p w14:paraId="08A5808A" w14:textId="77777777" w:rsidR="0010265C" w:rsidRPr="00261B7A" w:rsidRDefault="0010265C" w:rsidP="00D41492">
            <w:pPr>
              <w:pStyle w:val="TableTextBold"/>
              <w:spacing w:before="30" w:after="30"/>
              <w:jc w:val="center"/>
              <w:rPr>
                <w:rFonts w:cs="Calibri"/>
                <w:noProof w:val="0"/>
                <w:color w:val="FFFFFF"/>
                <w:szCs w:val="16"/>
              </w:rPr>
            </w:pPr>
            <w:r w:rsidRPr="00261B7A">
              <w:rPr>
                <w:rFonts w:cs="Calibri"/>
                <w:noProof w:val="0"/>
                <w:color w:val="FFFFFF"/>
                <w:szCs w:val="16"/>
              </w:rPr>
              <w:t>Steady state carbon stock</w:t>
            </w:r>
            <w:r w:rsidRPr="00261B7A">
              <w:rPr>
                <w:rFonts w:cs="Calibri"/>
                <w:noProof w:val="0"/>
                <w:color w:val="FFFFFF"/>
                <w:szCs w:val="16"/>
              </w:rPr>
              <w:br/>
              <w:t>(t C ha</w:t>
            </w:r>
            <w:r w:rsidRPr="00261B7A">
              <w:rPr>
                <w:rFonts w:cs="Calibri"/>
                <w:noProof w:val="0"/>
                <w:color w:val="FFFFFF"/>
                <w:szCs w:val="16"/>
                <w:vertAlign w:val="superscript"/>
              </w:rPr>
              <w:t>–1</w:t>
            </w:r>
            <w:r w:rsidRPr="00261B7A">
              <w:rPr>
                <w:rFonts w:cs="Calibri"/>
                <w:noProof w:val="0"/>
                <w:color w:val="FFFFFF"/>
                <w:szCs w:val="16"/>
              </w:rPr>
              <w:t>)</w:t>
            </w:r>
          </w:p>
        </w:tc>
        <w:tc>
          <w:tcPr>
            <w:tcW w:w="1276" w:type="dxa"/>
            <w:tcBorders>
              <w:top w:val="single" w:sz="4" w:space="0" w:color="1B556B"/>
              <w:bottom w:val="single" w:sz="4" w:space="0" w:color="1B556B"/>
            </w:tcBorders>
            <w:shd w:val="clear" w:color="auto" w:fill="1B556B" w:themeFill="text2"/>
            <w:vAlign w:val="bottom"/>
          </w:tcPr>
          <w:p w14:paraId="5040E26F" w14:textId="77777777" w:rsidR="0010265C" w:rsidRPr="00261B7A" w:rsidRDefault="0010265C" w:rsidP="00D41492">
            <w:pPr>
              <w:pStyle w:val="TableTextBold"/>
              <w:spacing w:before="30" w:after="30"/>
              <w:jc w:val="center"/>
              <w:rPr>
                <w:rFonts w:cs="Calibri"/>
                <w:noProof w:val="0"/>
                <w:color w:val="FFFFFF"/>
                <w:szCs w:val="16"/>
              </w:rPr>
            </w:pPr>
            <w:r w:rsidRPr="00261B7A">
              <w:rPr>
                <w:rFonts w:cs="Calibri"/>
                <w:noProof w:val="0"/>
                <w:color w:val="FFFFFF"/>
                <w:szCs w:val="16"/>
              </w:rPr>
              <w:t xml:space="preserve">Annual carbon accumulation </w:t>
            </w:r>
            <w:r w:rsidRPr="00261B7A">
              <w:rPr>
                <w:rFonts w:cs="Calibri"/>
                <w:noProof w:val="0"/>
                <w:color w:val="FFFFFF"/>
                <w:szCs w:val="16"/>
              </w:rPr>
              <w:br/>
              <w:t>(t C ha</w:t>
            </w:r>
            <w:r w:rsidRPr="00261B7A">
              <w:rPr>
                <w:rFonts w:cs="Calibri"/>
                <w:noProof w:val="0"/>
                <w:color w:val="FFFFFF"/>
                <w:szCs w:val="16"/>
                <w:vertAlign w:val="superscript"/>
              </w:rPr>
              <w:t>–1</w:t>
            </w:r>
            <w:r w:rsidRPr="00261B7A">
              <w:rPr>
                <w:rFonts w:cs="Calibri"/>
                <w:noProof w:val="0"/>
                <w:color w:val="FFFFFF"/>
                <w:szCs w:val="16"/>
              </w:rPr>
              <w:t>)</w:t>
            </w:r>
          </w:p>
        </w:tc>
        <w:tc>
          <w:tcPr>
            <w:tcW w:w="1275" w:type="dxa"/>
            <w:tcBorders>
              <w:top w:val="single" w:sz="4" w:space="0" w:color="1B556B"/>
              <w:bottom w:val="single" w:sz="4" w:space="0" w:color="1B556B"/>
            </w:tcBorders>
            <w:shd w:val="clear" w:color="auto" w:fill="1B556B" w:themeFill="text2"/>
            <w:vAlign w:val="bottom"/>
          </w:tcPr>
          <w:p w14:paraId="643B8DEB" w14:textId="77777777" w:rsidR="0010265C" w:rsidRPr="00261B7A" w:rsidRDefault="0010265C" w:rsidP="00D41492">
            <w:pPr>
              <w:pStyle w:val="TableTextBold"/>
              <w:spacing w:before="30" w:after="30"/>
              <w:jc w:val="center"/>
              <w:rPr>
                <w:rFonts w:cs="Calibri"/>
                <w:noProof w:val="0"/>
                <w:color w:val="FFFFFF"/>
                <w:szCs w:val="16"/>
              </w:rPr>
            </w:pPr>
            <w:r w:rsidRPr="00261B7A">
              <w:rPr>
                <w:rFonts w:cs="Calibri"/>
                <w:noProof w:val="0"/>
                <w:color w:val="FFFFFF"/>
                <w:szCs w:val="16"/>
              </w:rPr>
              <w:t>Years to reach steady state</w:t>
            </w:r>
          </w:p>
        </w:tc>
        <w:tc>
          <w:tcPr>
            <w:tcW w:w="1701" w:type="dxa"/>
            <w:tcBorders>
              <w:top w:val="single" w:sz="4" w:space="0" w:color="1B556B"/>
              <w:bottom w:val="single" w:sz="4" w:space="0" w:color="1B556B"/>
            </w:tcBorders>
            <w:shd w:val="clear" w:color="auto" w:fill="1B556B" w:themeFill="text2"/>
            <w:vAlign w:val="bottom"/>
          </w:tcPr>
          <w:p w14:paraId="5BC06927" w14:textId="77777777" w:rsidR="0010265C" w:rsidRPr="00261B7A" w:rsidRDefault="0010265C" w:rsidP="00D41492">
            <w:pPr>
              <w:pStyle w:val="TableTextBold"/>
              <w:spacing w:before="30" w:after="30"/>
              <w:rPr>
                <w:rFonts w:cs="Calibri"/>
                <w:noProof w:val="0"/>
                <w:color w:val="FFFFFF"/>
                <w:szCs w:val="16"/>
              </w:rPr>
            </w:pPr>
            <w:r w:rsidRPr="00261B7A">
              <w:rPr>
                <w:rFonts w:cs="Calibri"/>
                <w:noProof w:val="0"/>
                <w:color w:val="FFFFFF"/>
                <w:szCs w:val="16"/>
              </w:rPr>
              <w:t>Source</w:t>
            </w:r>
          </w:p>
        </w:tc>
      </w:tr>
      <w:tr w:rsidR="0010265C" w:rsidRPr="00261B7A" w14:paraId="160840B4" w14:textId="77777777" w:rsidTr="00726451">
        <w:trPr>
          <w:trHeight w:val="20"/>
        </w:trPr>
        <w:tc>
          <w:tcPr>
            <w:tcW w:w="1246" w:type="dxa"/>
            <w:vMerge w:val="restart"/>
            <w:tcBorders>
              <w:top w:val="single" w:sz="4" w:space="0" w:color="1B556B"/>
            </w:tcBorders>
          </w:tcPr>
          <w:p w14:paraId="2A7B841E" w14:textId="77777777" w:rsidR="0010265C" w:rsidRPr="00261B7A" w:rsidRDefault="0010265C" w:rsidP="00D41492">
            <w:pPr>
              <w:pStyle w:val="TableText"/>
              <w:spacing w:before="30" w:after="30"/>
              <w:rPr>
                <w:rFonts w:cs="Calibri"/>
                <w:szCs w:val="16"/>
              </w:rPr>
            </w:pPr>
            <w:r w:rsidRPr="00261B7A">
              <w:rPr>
                <w:rFonts w:cs="Calibri"/>
                <w:szCs w:val="16"/>
              </w:rPr>
              <w:t>High producing</w:t>
            </w:r>
          </w:p>
        </w:tc>
        <w:tc>
          <w:tcPr>
            <w:tcW w:w="1731" w:type="dxa"/>
            <w:tcBorders>
              <w:top w:val="single" w:sz="4" w:space="0" w:color="1B556B"/>
              <w:bottom w:val="single" w:sz="4" w:space="0" w:color="1B556B"/>
            </w:tcBorders>
          </w:tcPr>
          <w:p w14:paraId="5F88428C" w14:textId="77777777" w:rsidR="0010265C" w:rsidRPr="00261B7A" w:rsidRDefault="0010265C" w:rsidP="00D41492">
            <w:pPr>
              <w:pStyle w:val="TableText"/>
              <w:spacing w:before="30" w:after="30"/>
              <w:rPr>
                <w:rFonts w:cs="Calibri"/>
                <w:b/>
                <w:szCs w:val="16"/>
              </w:rPr>
            </w:pPr>
            <w:r w:rsidRPr="00261B7A">
              <w:rPr>
                <w:rFonts w:cs="Calibri"/>
                <w:b/>
                <w:szCs w:val="16"/>
              </w:rPr>
              <w:t>Total biomass</w:t>
            </w:r>
          </w:p>
        </w:tc>
        <w:tc>
          <w:tcPr>
            <w:tcW w:w="1276" w:type="dxa"/>
            <w:tcBorders>
              <w:top w:val="single" w:sz="4" w:space="0" w:color="1B556B"/>
              <w:bottom w:val="single" w:sz="4" w:space="0" w:color="1B556B"/>
            </w:tcBorders>
          </w:tcPr>
          <w:p w14:paraId="096DD1ED" w14:textId="77777777" w:rsidR="0010265C" w:rsidRPr="00261B7A" w:rsidRDefault="0010265C" w:rsidP="00D41492">
            <w:pPr>
              <w:pStyle w:val="TableText"/>
              <w:spacing w:before="30" w:after="30"/>
              <w:jc w:val="center"/>
              <w:rPr>
                <w:rFonts w:cs="Calibri"/>
                <w:b/>
                <w:szCs w:val="16"/>
              </w:rPr>
            </w:pPr>
            <w:r w:rsidRPr="00261B7A">
              <w:rPr>
                <w:rFonts w:cs="Calibri"/>
                <w:b/>
                <w:szCs w:val="16"/>
              </w:rPr>
              <w:t>6.345</w:t>
            </w:r>
          </w:p>
        </w:tc>
        <w:tc>
          <w:tcPr>
            <w:tcW w:w="1276" w:type="dxa"/>
            <w:tcBorders>
              <w:top w:val="single" w:sz="4" w:space="0" w:color="1B556B"/>
              <w:bottom w:val="single" w:sz="4" w:space="0" w:color="1B556B"/>
            </w:tcBorders>
          </w:tcPr>
          <w:p w14:paraId="551B1523" w14:textId="77777777" w:rsidR="0010265C" w:rsidRPr="00261B7A" w:rsidRDefault="0010265C" w:rsidP="00D41492">
            <w:pPr>
              <w:pStyle w:val="TableText"/>
              <w:spacing w:before="30" w:after="30"/>
              <w:jc w:val="center"/>
              <w:rPr>
                <w:rFonts w:cs="Calibri"/>
                <w:b/>
                <w:szCs w:val="16"/>
              </w:rPr>
            </w:pPr>
            <w:r w:rsidRPr="00261B7A">
              <w:rPr>
                <w:rFonts w:cs="Calibri"/>
                <w:b/>
                <w:szCs w:val="16"/>
              </w:rPr>
              <w:t>6.345</w:t>
            </w:r>
          </w:p>
        </w:tc>
        <w:tc>
          <w:tcPr>
            <w:tcW w:w="1275" w:type="dxa"/>
            <w:tcBorders>
              <w:top w:val="single" w:sz="4" w:space="0" w:color="1B556B"/>
              <w:bottom w:val="single" w:sz="4" w:space="0" w:color="1B556B"/>
            </w:tcBorders>
          </w:tcPr>
          <w:p w14:paraId="0B06C7B8" w14:textId="77777777" w:rsidR="0010265C" w:rsidRPr="00261B7A" w:rsidRDefault="0010265C" w:rsidP="00D41492">
            <w:pPr>
              <w:pStyle w:val="TableText"/>
              <w:spacing w:before="30" w:after="30"/>
              <w:jc w:val="center"/>
              <w:rPr>
                <w:rFonts w:cs="Calibri"/>
                <w:b/>
                <w:szCs w:val="16"/>
              </w:rPr>
            </w:pPr>
            <w:r w:rsidRPr="00261B7A">
              <w:rPr>
                <w:rFonts w:cs="Calibri"/>
                <w:b/>
                <w:szCs w:val="16"/>
              </w:rPr>
              <w:t>1</w:t>
            </w:r>
          </w:p>
        </w:tc>
        <w:tc>
          <w:tcPr>
            <w:tcW w:w="1701" w:type="dxa"/>
            <w:vMerge w:val="restart"/>
            <w:tcBorders>
              <w:top w:val="single" w:sz="4" w:space="0" w:color="1B556B"/>
              <w:bottom w:val="single" w:sz="4" w:space="0" w:color="365F91"/>
            </w:tcBorders>
          </w:tcPr>
          <w:p w14:paraId="1E2895D1" w14:textId="77777777" w:rsidR="0010265C" w:rsidRPr="00261B7A" w:rsidRDefault="0010265C" w:rsidP="00D41492">
            <w:pPr>
              <w:pStyle w:val="TableText"/>
              <w:spacing w:before="30" w:after="30"/>
              <w:rPr>
                <w:rFonts w:cs="Calibri"/>
                <w:szCs w:val="16"/>
              </w:rPr>
            </w:pPr>
            <w:r w:rsidRPr="00261B7A">
              <w:rPr>
                <w:rFonts w:cs="Calibri"/>
                <w:szCs w:val="16"/>
              </w:rPr>
              <w:t>IPCC (2006a), table 6.4</w:t>
            </w:r>
          </w:p>
        </w:tc>
      </w:tr>
      <w:tr w:rsidR="0010265C" w:rsidRPr="00261B7A" w14:paraId="07E4314D" w14:textId="77777777" w:rsidTr="00726451">
        <w:trPr>
          <w:trHeight w:val="20"/>
        </w:trPr>
        <w:tc>
          <w:tcPr>
            <w:tcW w:w="1246" w:type="dxa"/>
            <w:vMerge/>
          </w:tcPr>
          <w:p w14:paraId="55A701B2" w14:textId="77777777" w:rsidR="0010265C" w:rsidRPr="00261B7A" w:rsidRDefault="0010265C" w:rsidP="00D41492">
            <w:pPr>
              <w:pStyle w:val="TableText"/>
              <w:spacing w:before="30" w:after="30"/>
              <w:rPr>
                <w:rFonts w:cs="Calibri"/>
                <w:szCs w:val="16"/>
              </w:rPr>
            </w:pPr>
          </w:p>
        </w:tc>
        <w:tc>
          <w:tcPr>
            <w:tcW w:w="1731" w:type="dxa"/>
            <w:tcBorders>
              <w:top w:val="single" w:sz="4" w:space="0" w:color="1B556B"/>
              <w:bottom w:val="single" w:sz="4" w:space="0" w:color="1B556B"/>
            </w:tcBorders>
          </w:tcPr>
          <w:p w14:paraId="02F8EE5F" w14:textId="77777777" w:rsidR="0010265C" w:rsidRPr="00261B7A" w:rsidRDefault="0010265C" w:rsidP="00D41492">
            <w:pPr>
              <w:pStyle w:val="TableText"/>
              <w:spacing w:before="30" w:after="30"/>
              <w:rPr>
                <w:rFonts w:cs="Calibri"/>
                <w:i/>
                <w:szCs w:val="16"/>
              </w:rPr>
            </w:pPr>
            <w:r w:rsidRPr="00261B7A">
              <w:rPr>
                <w:rFonts w:cs="Calibri"/>
                <w:i/>
                <w:szCs w:val="16"/>
              </w:rPr>
              <w:t>Living biomass</w:t>
            </w:r>
          </w:p>
        </w:tc>
        <w:tc>
          <w:tcPr>
            <w:tcW w:w="1276" w:type="dxa"/>
            <w:tcBorders>
              <w:top w:val="single" w:sz="4" w:space="0" w:color="1B556B"/>
              <w:bottom w:val="single" w:sz="4" w:space="0" w:color="1B556B"/>
            </w:tcBorders>
          </w:tcPr>
          <w:p w14:paraId="22DD6AC9" w14:textId="77777777" w:rsidR="0010265C" w:rsidRPr="00261B7A" w:rsidRDefault="0010265C" w:rsidP="00D41492">
            <w:pPr>
              <w:pStyle w:val="TableText"/>
              <w:spacing w:before="30" w:after="30"/>
              <w:jc w:val="center"/>
              <w:rPr>
                <w:rFonts w:cs="Calibri"/>
                <w:szCs w:val="16"/>
              </w:rPr>
            </w:pPr>
          </w:p>
        </w:tc>
        <w:tc>
          <w:tcPr>
            <w:tcW w:w="1276" w:type="dxa"/>
            <w:tcBorders>
              <w:top w:val="single" w:sz="4" w:space="0" w:color="1B556B"/>
              <w:bottom w:val="single" w:sz="4" w:space="0" w:color="1B556B"/>
            </w:tcBorders>
          </w:tcPr>
          <w:p w14:paraId="2356644F" w14:textId="77777777" w:rsidR="0010265C" w:rsidRPr="00261B7A" w:rsidRDefault="0010265C" w:rsidP="00D41492">
            <w:pPr>
              <w:pStyle w:val="TableText"/>
              <w:spacing w:before="30" w:after="30"/>
              <w:jc w:val="center"/>
              <w:rPr>
                <w:rFonts w:cs="Calibri"/>
                <w:szCs w:val="16"/>
              </w:rPr>
            </w:pPr>
          </w:p>
        </w:tc>
        <w:tc>
          <w:tcPr>
            <w:tcW w:w="1275" w:type="dxa"/>
            <w:tcBorders>
              <w:top w:val="single" w:sz="4" w:space="0" w:color="1B556B"/>
              <w:bottom w:val="single" w:sz="4" w:space="0" w:color="1B556B"/>
            </w:tcBorders>
          </w:tcPr>
          <w:p w14:paraId="4452F986" w14:textId="77777777" w:rsidR="0010265C" w:rsidRPr="00261B7A" w:rsidRDefault="0010265C" w:rsidP="00D41492">
            <w:pPr>
              <w:pStyle w:val="TableText"/>
              <w:spacing w:before="30" w:after="30"/>
              <w:jc w:val="center"/>
              <w:rPr>
                <w:rFonts w:cs="Calibri"/>
                <w:szCs w:val="16"/>
              </w:rPr>
            </w:pPr>
          </w:p>
        </w:tc>
        <w:tc>
          <w:tcPr>
            <w:tcW w:w="1701" w:type="dxa"/>
            <w:vMerge/>
          </w:tcPr>
          <w:p w14:paraId="3E3B66D1" w14:textId="77777777" w:rsidR="0010265C" w:rsidRPr="00261B7A" w:rsidRDefault="0010265C" w:rsidP="00D41492">
            <w:pPr>
              <w:pStyle w:val="TableText"/>
              <w:spacing w:before="30" w:after="30"/>
              <w:rPr>
                <w:rFonts w:cs="Calibri"/>
                <w:szCs w:val="16"/>
              </w:rPr>
            </w:pPr>
          </w:p>
        </w:tc>
      </w:tr>
      <w:tr w:rsidR="0010265C" w:rsidRPr="00261B7A" w14:paraId="1193F20C" w14:textId="77777777" w:rsidTr="00726451">
        <w:trPr>
          <w:trHeight w:val="20"/>
        </w:trPr>
        <w:tc>
          <w:tcPr>
            <w:tcW w:w="1246" w:type="dxa"/>
            <w:vMerge/>
          </w:tcPr>
          <w:p w14:paraId="5844147D" w14:textId="77777777" w:rsidR="0010265C" w:rsidRPr="00261B7A" w:rsidRDefault="0010265C" w:rsidP="00D41492">
            <w:pPr>
              <w:pStyle w:val="TableText"/>
              <w:spacing w:before="30" w:after="30"/>
              <w:rPr>
                <w:rFonts w:cs="Calibri"/>
                <w:szCs w:val="16"/>
              </w:rPr>
            </w:pPr>
          </w:p>
        </w:tc>
        <w:tc>
          <w:tcPr>
            <w:tcW w:w="1731" w:type="dxa"/>
            <w:tcBorders>
              <w:top w:val="single" w:sz="4" w:space="0" w:color="1B556B"/>
              <w:bottom w:val="single" w:sz="4" w:space="0" w:color="1B556B"/>
            </w:tcBorders>
          </w:tcPr>
          <w:p w14:paraId="46D2DE1F" w14:textId="77777777" w:rsidR="0010265C" w:rsidRPr="00261B7A" w:rsidRDefault="0010265C" w:rsidP="00D41492">
            <w:pPr>
              <w:pStyle w:val="TableText"/>
              <w:spacing w:before="30" w:after="30"/>
              <w:rPr>
                <w:rFonts w:cs="Calibri"/>
                <w:szCs w:val="16"/>
              </w:rPr>
            </w:pPr>
            <w:r w:rsidRPr="00261B7A">
              <w:rPr>
                <w:rFonts w:cs="Calibri"/>
                <w:szCs w:val="16"/>
              </w:rPr>
              <w:tab/>
              <w:t>AGB</w:t>
            </w:r>
          </w:p>
        </w:tc>
        <w:tc>
          <w:tcPr>
            <w:tcW w:w="1276" w:type="dxa"/>
            <w:tcBorders>
              <w:top w:val="single" w:sz="4" w:space="0" w:color="1B556B"/>
              <w:bottom w:val="single" w:sz="4" w:space="0" w:color="1B556B"/>
            </w:tcBorders>
          </w:tcPr>
          <w:p w14:paraId="22A01585" w14:textId="77777777" w:rsidR="0010265C" w:rsidRPr="00261B7A" w:rsidRDefault="0010265C" w:rsidP="00D41492">
            <w:pPr>
              <w:pStyle w:val="TableText"/>
              <w:spacing w:before="30" w:after="30"/>
              <w:jc w:val="center"/>
              <w:rPr>
                <w:rFonts w:cs="Calibri"/>
                <w:szCs w:val="16"/>
              </w:rPr>
            </w:pPr>
            <w:r w:rsidRPr="00261B7A">
              <w:rPr>
                <w:rFonts w:cs="Calibri"/>
                <w:szCs w:val="16"/>
              </w:rPr>
              <w:t>1.269</w:t>
            </w:r>
          </w:p>
        </w:tc>
        <w:tc>
          <w:tcPr>
            <w:tcW w:w="1276" w:type="dxa"/>
            <w:tcBorders>
              <w:top w:val="single" w:sz="4" w:space="0" w:color="1B556B"/>
              <w:bottom w:val="single" w:sz="4" w:space="0" w:color="1B556B"/>
            </w:tcBorders>
          </w:tcPr>
          <w:p w14:paraId="72664304" w14:textId="77777777" w:rsidR="0010265C" w:rsidRPr="00261B7A" w:rsidRDefault="0010265C" w:rsidP="00D41492">
            <w:pPr>
              <w:pStyle w:val="TableText"/>
              <w:spacing w:before="30" w:after="30"/>
              <w:jc w:val="center"/>
              <w:rPr>
                <w:rFonts w:cs="Calibri"/>
                <w:szCs w:val="16"/>
              </w:rPr>
            </w:pPr>
            <w:r w:rsidRPr="00261B7A">
              <w:rPr>
                <w:rFonts w:cs="Calibri"/>
                <w:szCs w:val="16"/>
              </w:rPr>
              <w:t>1.269</w:t>
            </w:r>
          </w:p>
        </w:tc>
        <w:tc>
          <w:tcPr>
            <w:tcW w:w="1275" w:type="dxa"/>
            <w:tcBorders>
              <w:top w:val="single" w:sz="4" w:space="0" w:color="1B556B"/>
              <w:bottom w:val="single" w:sz="4" w:space="0" w:color="1B556B"/>
            </w:tcBorders>
          </w:tcPr>
          <w:p w14:paraId="5825D707" w14:textId="77777777" w:rsidR="0010265C" w:rsidRPr="00261B7A" w:rsidRDefault="0010265C" w:rsidP="00D41492">
            <w:pPr>
              <w:pStyle w:val="TableText"/>
              <w:spacing w:before="30" w:after="30"/>
              <w:jc w:val="center"/>
              <w:rPr>
                <w:rFonts w:cs="Calibri"/>
                <w:szCs w:val="16"/>
              </w:rPr>
            </w:pPr>
            <w:r w:rsidRPr="00261B7A">
              <w:rPr>
                <w:rFonts w:cs="Calibri"/>
                <w:szCs w:val="16"/>
              </w:rPr>
              <w:t>1</w:t>
            </w:r>
          </w:p>
        </w:tc>
        <w:tc>
          <w:tcPr>
            <w:tcW w:w="1701" w:type="dxa"/>
            <w:vMerge/>
          </w:tcPr>
          <w:p w14:paraId="3EB71B02" w14:textId="77777777" w:rsidR="0010265C" w:rsidRPr="00261B7A" w:rsidRDefault="0010265C" w:rsidP="00D41492">
            <w:pPr>
              <w:pStyle w:val="TableText"/>
              <w:spacing w:before="30" w:after="30"/>
              <w:rPr>
                <w:rFonts w:cs="Calibri"/>
                <w:szCs w:val="16"/>
              </w:rPr>
            </w:pPr>
          </w:p>
        </w:tc>
      </w:tr>
      <w:tr w:rsidR="0010265C" w:rsidRPr="00261B7A" w14:paraId="3ABC00A7" w14:textId="77777777" w:rsidTr="00726451">
        <w:trPr>
          <w:trHeight w:val="20"/>
        </w:trPr>
        <w:tc>
          <w:tcPr>
            <w:tcW w:w="1246" w:type="dxa"/>
            <w:vMerge/>
          </w:tcPr>
          <w:p w14:paraId="73B9736C" w14:textId="77777777" w:rsidR="0010265C" w:rsidRPr="00261B7A" w:rsidRDefault="0010265C" w:rsidP="00D41492">
            <w:pPr>
              <w:pStyle w:val="TableText"/>
              <w:spacing w:before="30" w:after="30"/>
              <w:rPr>
                <w:rFonts w:cs="Calibri"/>
                <w:szCs w:val="16"/>
              </w:rPr>
            </w:pPr>
          </w:p>
        </w:tc>
        <w:tc>
          <w:tcPr>
            <w:tcW w:w="1731" w:type="dxa"/>
            <w:tcBorders>
              <w:top w:val="single" w:sz="4" w:space="0" w:color="1B556B"/>
              <w:bottom w:val="single" w:sz="4" w:space="0" w:color="1B556B"/>
            </w:tcBorders>
          </w:tcPr>
          <w:p w14:paraId="2C8DF7DD" w14:textId="77777777" w:rsidR="0010265C" w:rsidRPr="00261B7A" w:rsidRDefault="0010265C" w:rsidP="00D41492">
            <w:pPr>
              <w:pStyle w:val="TableText"/>
              <w:spacing w:before="30" w:after="30"/>
              <w:rPr>
                <w:rFonts w:cs="Calibri"/>
                <w:szCs w:val="16"/>
              </w:rPr>
            </w:pPr>
            <w:r w:rsidRPr="00261B7A">
              <w:rPr>
                <w:rFonts w:cs="Calibri"/>
                <w:szCs w:val="16"/>
              </w:rPr>
              <w:tab/>
              <w:t>BGB</w:t>
            </w:r>
          </w:p>
        </w:tc>
        <w:tc>
          <w:tcPr>
            <w:tcW w:w="1276" w:type="dxa"/>
            <w:tcBorders>
              <w:top w:val="single" w:sz="4" w:space="0" w:color="1B556B"/>
              <w:bottom w:val="single" w:sz="4" w:space="0" w:color="1B556B"/>
            </w:tcBorders>
          </w:tcPr>
          <w:p w14:paraId="5D6A960D" w14:textId="77777777" w:rsidR="0010265C" w:rsidRPr="00261B7A" w:rsidRDefault="0010265C" w:rsidP="00D41492">
            <w:pPr>
              <w:pStyle w:val="TableText"/>
              <w:spacing w:before="30" w:after="30"/>
              <w:jc w:val="center"/>
              <w:rPr>
                <w:rFonts w:cs="Calibri"/>
                <w:szCs w:val="16"/>
              </w:rPr>
            </w:pPr>
            <w:r w:rsidRPr="00261B7A">
              <w:rPr>
                <w:rFonts w:cs="Calibri"/>
                <w:szCs w:val="16"/>
              </w:rPr>
              <w:t>5.076</w:t>
            </w:r>
          </w:p>
        </w:tc>
        <w:tc>
          <w:tcPr>
            <w:tcW w:w="1276" w:type="dxa"/>
            <w:tcBorders>
              <w:top w:val="single" w:sz="4" w:space="0" w:color="1B556B"/>
              <w:bottom w:val="single" w:sz="4" w:space="0" w:color="1B556B"/>
            </w:tcBorders>
          </w:tcPr>
          <w:p w14:paraId="5D0B5679" w14:textId="77777777" w:rsidR="0010265C" w:rsidRPr="00261B7A" w:rsidRDefault="0010265C" w:rsidP="00D41492">
            <w:pPr>
              <w:pStyle w:val="TableText"/>
              <w:spacing w:before="30" w:after="30"/>
              <w:jc w:val="center"/>
              <w:rPr>
                <w:rFonts w:cs="Calibri"/>
                <w:szCs w:val="16"/>
              </w:rPr>
            </w:pPr>
            <w:r w:rsidRPr="00261B7A">
              <w:rPr>
                <w:rFonts w:cs="Calibri"/>
                <w:szCs w:val="16"/>
              </w:rPr>
              <w:t>5.076</w:t>
            </w:r>
          </w:p>
        </w:tc>
        <w:tc>
          <w:tcPr>
            <w:tcW w:w="1275" w:type="dxa"/>
            <w:tcBorders>
              <w:top w:val="single" w:sz="4" w:space="0" w:color="1B556B"/>
              <w:bottom w:val="single" w:sz="4" w:space="0" w:color="1B556B"/>
            </w:tcBorders>
          </w:tcPr>
          <w:p w14:paraId="1701536D" w14:textId="77777777" w:rsidR="0010265C" w:rsidRPr="00261B7A" w:rsidRDefault="0010265C" w:rsidP="00D41492">
            <w:pPr>
              <w:pStyle w:val="TableText"/>
              <w:spacing w:before="30" w:after="30"/>
              <w:jc w:val="center"/>
              <w:rPr>
                <w:rFonts w:cs="Calibri"/>
                <w:szCs w:val="16"/>
              </w:rPr>
            </w:pPr>
            <w:r w:rsidRPr="00261B7A">
              <w:rPr>
                <w:rFonts w:cs="Calibri"/>
                <w:szCs w:val="16"/>
              </w:rPr>
              <w:t>1</w:t>
            </w:r>
          </w:p>
        </w:tc>
        <w:tc>
          <w:tcPr>
            <w:tcW w:w="1701" w:type="dxa"/>
            <w:vMerge/>
            <w:tcBorders>
              <w:bottom w:val="single" w:sz="4" w:space="0" w:color="1B556B"/>
            </w:tcBorders>
          </w:tcPr>
          <w:p w14:paraId="28EA2C8E" w14:textId="77777777" w:rsidR="0010265C" w:rsidRPr="00261B7A" w:rsidRDefault="0010265C" w:rsidP="00D41492">
            <w:pPr>
              <w:pStyle w:val="TableText"/>
              <w:spacing w:before="30" w:after="30"/>
              <w:rPr>
                <w:rFonts w:cs="Calibri"/>
                <w:szCs w:val="16"/>
              </w:rPr>
            </w:pPr>
          </w:p>
        </w:tc>
      </w:tr>
      <w:tr w:rsidR="0010265C" w:rsidRPr="00261B7A" w14:paraId="34880118" w14:textId="77777777" w:rsidTr="00726451">
        <w:trPr>
          <w:trHeight w:val="20"/>
        </w:trPr>
        <w:tc>
          <w:tcPr>
            <w:tcW w:w="1246" w:type="dxa"/>
            <w:vMerge/>
            <w:tcBorders>
              <w:bottom w:val="single" w:sz="4" w:space="0" w:color="1B556B"/>
            </w:tcBorders>
          </w:tcPr>
          <w:p w14:paraId="5971E1EE" w14:textId="77777777" w:rsidR="0010265C" w:rsidRPr="00261B7A" w:rsidRDefault="0010265C" w:rsidP="00D41492">
            <w:pPr>
              <w:pStyle w:val="TableText"/>
              <w:spacing w:before="30" w:after="30"/>
              <w:rPr>
                <w:rFonts w:cs="Calibri"/>
                <w:szCs w:val="16"/>
              </w:rPr>
            </w:pPr>
          </w:p>
        </w:tc>
        <w:tc>
          <w:tcPr>
            <w:tcW w:w="1731" w:type="dxa"/>
            <w:tcBorders>
              <w:top w:val="single" w:sz="4" w:space="0" w:color="1B556B"/>
              <w:bottom w:val="single" w:sz="4" w:space="0" w:color="1B556B"/>
            </w:tcBorders>
          </w:tcPr>
          <w:p w14:paraId="00F54A72" w14:textId="77777777" w:rsidR="0010265C" w:rsidRPr="00261B7A" w:rsidRDefault="0010265C" w:rsidP="00D41492">
            <w:pPr>
              <w:pStyle w:val="TableText"/>
              <w:spacing w:before="30" w:after="30"/>
              <w:rPr>
                <w:rFonts w:cs="Calibri"/>
                <w:i/>
                <w:szCs w:val="16"/>
              </w:rPr>
            </w:pPr>
            <w:r w:rsidRPr="00261B7A">
              <w:rPr>
                <w:rFonts w:cs="Calibri"/>
                <w:i/>
                <w:szCs w:val="16"/>
              </w:rPr>
              <w:t>Dead organic matter</w:t>
            </w:r>
          </w:p>
        </w:tc>
        <w:tc>
          <w:tcPr>
            <w:tcW w:w="1276" w:type="dxa"/>
            <w:tcBorders>
              <w:top w:val="single" w:sz="4" w:space="0" w:color="1B556B"/>
              <w:bottom w:val="single" w:sz="4" w:space="0" w:color="1B556B"/>
            </w:tcBorders>
          </w:tcPr>
          <w:p w14:paraId="5D35A8DE" w14:textId="77777777" w:rsidR="0010265C" w:rsidRPr="00261B7A" w:rsidRDefault="0010265C" w:rsidP="00D41492">
            <w:pPr>
              <w:pStyle w:val="TableText"/>
              <w:spacing w:before="30" w:after="30"/>
              <w:jc w:val="center"/>
              <w:rPr>
                <w:rFonts w:cs="Calibri"/>
                <w:szCs w:val="16"/>
              </w:rPr>
            </w:pPr>
            <w:r w:rsidRPr="00261B7A">
              <w:rPr>
                <w:rFonts w:cs="Calibri"/>
                <w:szCs w:val="16"/>
              </w:rPr>
              <w:t>NE</w:t>
            </w:r>
          </w:p>
        </w:tc>
        <w:tc>
          <w:tcPr>
            <w:tcW w:w="1276" w:type="dxa"/>
            <w:tcBorders>
              <w:top w:val="single" w:sz="4" w:space="0" w:color="1B556B"/>
              <w:bottom w:val="single" w:sz="4" w:space="0" w:color="1B556B"/>
            </w:tcBorders>
          </w:tcPr>
          <w:p w14:paraId="6E9C21FE" w14:textId="77777777" w:rsidR="0010265C" w:rsidRPr="00261B7A" w:rsidRDefault="0010265C" w:rsidP="00D41492">
            <w:pPr>
              <w:pStyle w:val="TableText"/>
              <w:spacing w:before="30" w:after="30"/>
              <w:jc w:val="center"/>
              <w:rPr>
                <w:rFonts w:cs="Calibri"/>
                <w:szCs w:val="16"/>
              </w:rPr>
            </w:pPr>
            <w:r w:rsidRPr="00261B7A">
              <w:rPr>
                <w:rFonts w:cs="Calibri"/>
                <w:szCs w:val="16"/>
              </w:rPr>
              <w:t>NA</w:t>
            </w:r>
          </w:p>
        </w:tc>
        <w:tc>
          <w:tcPr>
            <w:tcW w:w="1275" w:type="dxa"/>
            <w:tcBorders>
              <w:top w:val="single" w:sz="4" w:space="0" w:color="1B556B"/>
              <w:bottom w:val="single" w:sz="4" w:space="0" w:color="1B556B"/>
            </w:tcBorders>
          </w:tcPr>
          <w:p w14:paraId="76D0EE4D" w14:textId="77777777" w:rsidR="0010265C" w:rsidRPr="00261B7A" w:rsidRDefault="0010265C" w:rsidP="00D41492">
            <w:pPr>
              <w:pStyle w:val="TableText"/>
              <w:spacing w:before="30" w:after="30"/>
              <w:jc w:val="center"/>
              <w:rPr>
                <w:rFonts w:cs="Calibri"/>
                <w:szCs w:val="16"/>
              </w:rPr>
            </w:pPr>
            <w:r w:rsidRPr="00261B7A">
              <w:rPr>
                <w:rFonts w:cs="Calibri"/>
                <w:szCs w:val="16"/>
              </w:rPr>
              <w:t>NA</w:t>
            </w:r>
          </w:p>
        </w:tc>
        <w:tc>
          <w:tcPr>
            <w:tcW w:w="1701" w:type="dxa"/>
            <w:tcBorders>
              <w:top w:val="single" w:sz="4" w:space="0" w:color="1B556B"/>
              <w:bottom w:val="single" w:sz="4" w:space="0" w:color="1B556B"/>
            </w:tcBorders>
          </w:tcPr>
          <w:p w14:paraId="485308DE" w14:textId="77777777" w:rsidR="0010265C" w:rsidRPr="00261B7A" w:rsidRDefault="0010265C" w:rsidP="00D41492">
            <w:pPr>
              <w:pStyle w:val="TableText"/>
              <w:spacing w:before="30" w:after="30"/>
              <w:rPr>
                <w:rFonts w:cs="Calibri"/>
                <w:szCs w:val="16"/>
              </w:rPr>
            </w:pPr>
            <w:r w:rsidRPr="00261B7A">
              <w:rPr>
                <w:rFonts w:cs="Calibri"/>
                <w:szCs w:val="16"/>
              </w:rPr>
              <w:t>No IPCC guidelines</w:t>
            </w:r>
          </w:p>
        </w:tc>
      </w:tr>
      <w:tr w:rsidR="0010265C" w:rsidRPr="00261B7A" w14:paraId="4A30A632" w14:textId="77777777" w:rsidTr="00726451">
        <w:trPr>
          <w:trHeight w:val="20"/>
        </w:trPr>
        <w:tc>
          <w:tcPr>
            <w:tcW w:w="1246" w:type="dxa"/>
            <w:vMerge w:val="restart"/>
            <w:tcBorders>
              <w:top w:val="single" w:sz="4" w:space="0" w:color="1B556B"/>
              <w:bottom w:val="single" w:sz="4" w:space="0" w:color="1B556B"/>
            </w:tcBorders>
          </w:tcPr>
          <w:p w14:paraId="609EC464" w14:textId="77777777" w:rsidR="0010265C" w:rsidRPr="00261B7A" w:rsidRDefault="0010265C" w:rsidP="00D41492">
            <w:pPr>
              <w:pStyle w:val="TableText"/>
              <w:spacing w:before="30" w:after="30"/>
              <w:rPr>
                <w:rFonts w:cs="Calibri"/>
                <w:szCs w:val="16"/>
              </w:rPr>
            </w:pPr>
            <w:r w:rsidRPr="00261B7A">
              <w:rPr>
                <w:rFonts w:cs="Calibri"/>
                <w:szCs w:val="16"/>
              </w:rPr>
              <w:t>Low producing</w:t>
            </w:r>
          </w:p>
        </w:tc>
        <w:tc>
          <w:tcPr>
            <w:tcW w:w="1731" w:type="dxa"/>
            <w:tcBorders>
              <w:top w:val="single" w:sz="4" w:space="0" w:color="1B556B"/>
              <w:bottom w:val="single" w:sz="4" w:space="0" w:color="1B556B"/>
            </w:tcBorders>
          </w:tcPr>
          <w:p w14:paraId="45E125E4" w14:textId="77777777" w:rsidR="0010265C" w:rsidRPr="00261B7A" w:rsidRDefault="0010265C" w:rsidP="00D41492">
            <w:pPr>
              <w:pStyle w:val="TableText"/>
              <w:spacing w:before="30" w:after="30"/>
              <w:rPr>
                <w:rFonts w:cs="Calibri"/>
                <w:b/>
                <w:szCs w:val="16"/>
              </w:rPr>
            </w:pPr>
            <w:r w:rsidRPr="00261B7A">
              <w:rPr>
                <w:rFonts w:cs="Calibri"/>
                <w:b/>
                <w:szCs w:val="16"/>
              </w:rPr>
              <w:t>Total biomass</w:t>
            </w:r>
          </w:p>
        </w:tc>
        <w:tc>
          <w:tcPr>
            <w:tcW w:w="1276" w:type="dxa"/>
            <w:tcBorders>
              <w:top w:val="single" w:sz="4" w:space="0" w:color="1B556B"/>
              <w:bottom w:val="single" w:sz="4" w:space="0" w:color="1B556B"/>
            </w:tcBorders>
          </w:tcPr>
          <w:p w14:paraId="69777571" w14:textId="77777777" w:rsidR="0010265C" w:rsidRPr="00261B7A" w:rsidRDefault="0010265C" w:rsidP="00D41492">
            <w:pPr>
              <w:pStyle w:val="TableText"/>
              <w:spacing w:before="30" w:after="30"/>
              <w:jc w:val="center"/>
              <w:rPr>
                <w:rFonts w:cs="Calibri"/>
                <w:b/>
                <w:szCs w:val="16"/>
              </w:rPr>
            </w:pPr>
            <w:r w:rsidRPr="00261B7A">
              <w:rPr>
                <w:rFonts w:cs="Calibri"/>
                <w:b/>
                <w:szCs w:val="16"/>
              </w:rPr>
              <w:t>2.867</w:t>
            </w:r>
          </w:p>
        </w:tc>
        <w:tc>
          <w:tcPr>
            <w:tcW w:w="1276" w:type="dxa"/>
            <w:tcBorders>
              <w:top w:val="single" w:sz="4" w:space="0" w:color="1B556B"/>
              <w:bottom w:val="single" w:sz="4" w:space="0" w:color="1B556B"/>
            </w:tcBorders>
          </w:tcPr>
          <w:p w14:paraId="26E1532F" w14:textId="77777777" w:rsidR="0010265C" w:rsidRPr="00261B7A" w:rsidRDefault="0010265C" w:rsidP="00D41492">
            <w:pPr>
              <w:pStyle w:val="TableText"/>
              <w:spacing w:before="30" w:after="30"/>
              <w:jc w:val="center"/>
              <w:rPr>
                <w:rFonts w:cs="Calibri"/>
                <w:b/>
                <w:szCs w:val="16"/>
              </w:rPr>
            </w:pPr>
            <w:r w:rsidRPr="00261B7A">
              <w:rPr>
                <w:rFonts w:cs="Calibri"/>
                <w:b/>
                <w:szCs w:val="16"/>
              </w:rPr>
              <w:t>2.867</w:t>
            </w:r>
          </w:p>
        </w:tc>
        <w:tc>
          <w:tcPr>
            <w:tcW w:w="1275" w:type="dxa"/>
            <w:tcBorders>
              <w:top w:val="single" w:sz="4" w:space="0" w:color="1B556B"/>
              <w:bottom w:val="single" w:sz="4" w:space="0" w:color="1B556B"/>
            </w:tcBorders>
          </w:tcPr>
          <w:p w14:paraId="2D40F177" w14:textId="77777777" w:rsidR="0010265C" w:rsidRPr="00261B7A" w:rsidRDefault="0010265C" w:rsidP="00D41492">
            <w:pPr>
              <w:pStyle w:val="TableText"/>
              <w:spacing w:before="30" w:after="30"/>
              <w:jc w:val="center"/>
              <w:rPr>
                <w:rFonts w:cs="Calibri"/>
                <w:b/>
                <w:szCs w:val="16"/>
              </w:rPr>
            </w:pPr>
            <w:r w:rsidRPr="00261B7A">
              <w:rPr>
                <w:rFonts w:cs="Calibri"/>
                <w:b/>
                <w:szCs w:val="16"/>
              </w:rPr>
              <w:t>1</w:t>
            </w:r>
          </w:p>
        </w:tc>
        <w:tc>
          <w:tcPr>
            <w:tcW w:w="1701" w:type="dxa"/>
            <w:vMerge w:val="restart"/>
            <w:tcBorders>
              <w:top w:val="single" w:sz="4" w:space="0" w:color="1B556B"/>
              <w:bottom w:val="single" w:sz="4" w:space="0" w:color="365F91"/>
            </w:tcBorders>
          </w:tcPr>
          <w:p w14:paraId="2F7C2F55" w14:textId="77777777" w:rsidR="0010265C" w:rsidRPr="00261B7A" w:rsidRDefault="0010265C" w:rsidP="00D41492">
            <w:pPr>
              <w:pStyle w:val="TableText"/>
              <w:spacing w:before="30" w:after="30"/>
              <w:rPr>
                <w:rFonts w:cs="Calibri"/>
                <w:szCs w:val="16"/>
              </w:rPr>
            </w:pPr>
            <w:r w:rsidRPr="00261B7A">
              <w:rPr>
                <w:rFonts w:cs="Calibri"/>
                <w:szCs w:val="16"/>
              </w:rPr>
              <w:t>IPCC (2006a), table 6.4</w:t>
            </w:r>
          </w:p>
        </w:tc>
      </w:tr>
      <w:tr w:rsidR="0010265C" w:rsidRPr="00261B7A" w14:paraId="03B97252" w14:textId="77777777" w:rsidTr="00726451">
        <w:trPr>
          <w:trHeight w:val="20"/>
        </w:trPr>
        <w:tc>
          <w:tcPr>
            <w:tcW w:w="1246" w:type="dxa"/>
            <w:vMerge/>
            <w:tcBorders>
              <w:bottom w:val="single" w:sz="4" w:space="0" w:color="1B556B"/>
            </w:tcBorders>
          </w:tcPr>
          <w:p w14:paraId="4764AF98" w14:textId="77777777" w:rsidR="0010265C" w:rsidRPr="00261B7A" w:rsidRDefault="0010265C" w:rsidP="00D41492">
            <w:pPr>
              <w:pStyle w:val="TableText"/>
              <w:spacing w:before="30" w:after="30"/>
              <w:rPr>
                <w:rFonts w:cs="Calibri"/>
                <w:szCs w:val="16"/>
              </w:rPr>
            </w:pPr>
          </w:p>
        </w:tc>
        <w:tc>
          <w:tcPr>
            <w:tcW w:w="1731" w:type="dxa"/>
            <w:tcBorders>
              <w:top w:val="single" w:sz="4" w:space="0" w:color="1B556B"/>
              <w:bottom w:val="single" w:sz="4" w:space="0" w:color="1B556B"/>
            </w:tcBorders>
          </w:tcPr>
          <w:p w14:paraId="7CB1357A" w14:textId="77777777" w:rsidR="0010265C" w:rsidRPr="00261B7A" w:rsidRDefault="0010265C" w:rsidP="00D41492">
            <w:pPr>
              <w:pStyle w:val="TableText"/>
              <w:spacing w:before="30" w:after="30"/>
              <w:rPr>
                <w:rFonts w:cs="Calibri"/>
                <w:i/>
                <w:szCs w:val="16"/>
              </w:rPr>
            </w:pPr>
            <w:r w:rsidRPr="00261B7A">
              <w:rPr>
                <w:rFonts w:cs="Calibri"/>
                <w:i/>
                <w:szCs w:val="16"/>
              </w:rPr>
              <w:t>Living biomass</w:t>
            </w:r>
          </w:p>
        </w:tc>
        <w:tc>
          <w:tcPr>
            <w:tcW w:w="1276" w:type="dxa"/>
            <w:tcBorders>
              <w:top w:val="single" w:sz="4" w:space="0" w:color="1B556B"/>
              <w:bottom w:val="single" w:sz="4" w:space="0" w:color="1B556B"/>
            </w:tcBorders>
          </w:tcPr>
          <w:p w14:paraId="355D92AA" w14:textId="77777777" w:rsidR="0010265C" w:rsidRPr="00261B7A" w:rsidRDefault="0010265C" w:rsidP="00D41492">
            <w:pPr>
              <w:pStyle w:val="TableText"/>
              <w:spacing w:before="30" w:after="30"/>
              <w:jc w:val="center"/>
              <w:rPr>
                <w:rFonts w:cs="Calibri"/>
                <w:szCs w:val="16"/>
              </w:rPr>
            </w:pPr>
          </w:p>
        </w:tc>
        <w:tc>
          <w:tcPr>
            <w:tcW w:w="1276" w:type="dxa"/>
            <w:tcBorders>
              <w:top w:val="single" w:sz="4" w:space="0" w:color="1B556B"/>
              <w:bottom w:val="single" w:sz="4" w:space="0" w:color="1B556B"/>
            </w:tcBorders>
          </w:tcPr>
          <w:p w14:paraId="61D05BA6" w14:textId="77777777" w:rsidR="0010265C" w:rsidRPr="00261B7A" w:rsidRDefault="0010265C" w:rsidP="00D41492">
            <w:pPr>
              <w:pStyle w:val="TableText"/>
              <w:spacing w:before="30" w:after="30"/>
              <w:jc w:val="center"/>
              <w:rPr>
                <w:rFonts w:cs="Calibri"/>
                <w:szCs w:val="16"/>
              </w:rPr>
            </w:pPr>
          </w:p>
        </w:tc>
        <w:tc>
          <w:tcPr>
            <w:tcW w:w="1275" w:type="dxa"/>
            <w:tcBorders>
              <w:top w:val="single" w:sz="4" w:space="0" w:color="1B556B"/>
              <w:bottom w:val="single" w:sz="4" w:space="0" w:color="1B556B"/>
            </w:tcBorders>
          </w:tcPr>
          <w:p w14:paraId="1158CB9F" w14:textId="77777777" w:rsidR="0010265C" w:rsidRPr="00261B7A" w:rsidRDefault="0010265C" w:rsidP="00D41492">
            <w:pPr>
              <w:pStyle w:val="TableText"/>
              <w:spacing w:before="30" w:after="30"/>
              <w:jc w:val="center"/>
              <w:rPr>
                <w:rFonts w:cs="Calibri"/>
                <w:szCs w:val="16"/>
              </w:rPr>
            </w:pPr>
          </w:p>
        </w:tc>
        <w:tc>
          <w:tcPr>
            <w:tcW w:w="1701" w:type="dxa"/>
            <w:vMerge/>
          </w:tcPr>
          <w:p w14:paraId="16883DD9" w14:textId="77777777" w:rsidR="0010265C" w:rsidRPr="00261B7A" w:rsidRDefault="0010265C" w:rsidP="00D41492">
            <w:pPr>
              <w:pStyle w:val="TableText"/>
              <w:spacing w:before="30" w:after="30"/>
              <w:rPr>
                <w:rFonts w:cs="Calibri"/>
                <w:szCs w:val="16"/>
              </w:rPr>
            </w:pPr>
          </w:p>
        </w:tc>
      </w:tr>
      <w:tr w:rsidR="0010265C" w:rsidRPr="00261B7A" w14:paraId="3A92DF6E" w14:textId="77777777" w:rsidTr="00726451">
        <w:trPr>
          <w:trHeight w:val="20"/>
        </w:trPr>
        <w:tc>
          <w:tcPr>
            <w:tcW w:w="1246" w:type="dxa"/>
            <w:vMerge/>
            <w:tcBorders>
              <w:bottom w:val="single" w:sz="4" w:space="0" w:color="1B556B"/>
            </w:tcBorders>
          </w:tcPr>
          <w:p w14:paraId="7C636803" w14:textId="77777777" w:rsidR="0010265C" w:rsidRPr="00261B7A" w:rsidRDefault="0010265C" w:rsidP="00D41492">
            <w:pPr>
              <w:pStyle w:val="TableText"/>
              <w:spacing w:before="30" w:after="30"/>
              <w:rPr>
                <w:rFonts w:cs="Calibri"/>
                <w:szCs w:val="16"/>
              </w:rPr>
            </w:pPr>
          </w:p>
        </w:tc>
        <w:tc>
          <w:tcPr>
            <w:tcW w:w="1731" w:type="dxa"/>
            <w:tcBorders>
              <w:top w:val="single" w:sz="4" w:space="0" w:color="1B556B"/>
              <w:bottom w:val="single" w:sz="4" w:space="0" w:color="1B556B"/>
            </w:tcBorders>
          </w:tcPr>
          <w:p w14:paraId="0C9A2C16" w14:textId="77777777" w:rsidR="0010265C" w:rsidRPr="00261B7A" w:rsidRDefault="0010265C" w:rsidP="00D41492">
            <w:pPr>
              <w:pStyle w:val="TableText"/>
              <w:spacing w:before="30" w:after="30"/>
              <w:rPr>
                <w:rFonts w:cs="Calibri"/>
                <w:szCs w:val="16"/>
              </w:rPr>
            </w:pPr>
            <w:r w:rsidRPr="00261B7A">
              <w:rPr>
                <w:rFonts w:cs="Calibri"/>
                <w:szCs w:val="16"/>
              </w:rPr>
              <w:tab/>
              <w:t>AGB</w:t>
            </w:r>
          </w:p>
        </w:tc>
        <w:tc>
          <w:tcPr>
            <w:tcW w:w="1276" w:type="dxa"/>
            <w:tcBorders>
              <w:top w:val="single" w:sz="4" w:space="0" w:color="1B556B"/>
              <w:bottom w:val="single" w:sz="4" w:space="0" w:color="1B556B"/>
            </w:tcBorders>
          </w:tcPr>
          <w:p w14:paraId="1199F82D" w14:textId="77777777" w:rsidR="0010265C" w:rsidRPr="00261B7A" w:rsidRDefault="0010265C" w:rsidP="00D41492">
            <w:pPr>
              <w:pStyle w:val="TableText"/>
              <w:spacing w:before="30" w:after="30"/>
              <w:jc w:val="center"/>
              <w:rPr>
                <w:rFonts w:cs="Calibri"/>
                <w:szCs w:val="16"/>
              </w:rPr>
            </w:pPr>
            <w:r w:rsidRPr="00261B7A">
              <w:rPr>
                <w:rFonts w:cs="Calibri"/>
                <w:szCs w:val="16"/>
              </w:rPr>
              <w:t>0.752</w:t>
            </w:r>
          </w:p>
        </w:tc>
        <w:tc>
          <w:tcPr>
            <w:tcW w:w="1276" w:type="dxa"/>
            <w:tcBorders>
              <w:top w:val="single" w:sz="4" w:space="0" w:color="1B556B"/>
              <w:bottom w:val="single" w:sz="4" w:space="0" w:color="1B556B"/>
            </w:tcBorders>
          </w:tcPr>
          <w:p w14:paraId="5AD281F4" w14:textId="77777777" w:rsidR="0010265C" w:rsidRPr="00261B7A" w:rsidRDefault="0010265C" w:rsidP="00D41492">
            <w:pPr>
              <w:pStyle w:val="TableText"/>
              <w:spacing w:before="30" w:after="30"/>
              <w:jc w:val="center"/>
              <w:rPr>
                <w:rFonts w:cs="Calibri"/>
                <w:szCs w:val="16"/>
              </w:rPr>
            </w:pPr>
            <w:r w:rsidRPr="00261B7A">
              <w:rPr>
                <w:rFonts w:cs="Calibri"/>
                <w:szCs w:val="16"/>
              </w:rPr>
              <w:t>0.752</w:t>
            </w:r>
          </w:p>
        </w:tc>
        <w:tc>
          <w:tcPr>
            <w:tcW w:w="1275" w:type="dxa"/>
            <w:tcBorders>
              <w:top w:val="single" w:sz="4" w:space="0" w:color="1B556B"/>
              <w:bottom w:val="single" w:sz="4" w:space="0" w:color="1B556B"/>
            </w:tcBorders>
          </w:tcPr>
          <w:p w14:paraId="58D062E7" w14:textId="77777777" w:rsidR="0010265C" w:rsidRPr="00261B7A" w:rsidRDefault="0010265C" w:rsidP="00D41492">
            <w:pPr>
              <w:pStyle w:val="TableText"/>
              <w:spacing w:before="30" w:after="30"/>
              <w:jc w:val="center"/>
              <w:rPr>
                <w:rFonts w:cs="Calibri"/>
                <w:szCs w:val="16"/>
              </w:rPr>
            </w:pPr>
            <w:r w:rsidRPr="00261B7A">
              <w:rPr>
                <w:rFonts w:cs="Calibri"/>
                <w:szCs w:val="16"/>
              </w:rPr>
              <w:t>1</w:t>
            </w:r>
          </w:p>
        </w:tc>
        <w:tc>
          <w:tcPr>
            <w:tcW w:w="1701" w:type="dxa"/>
            <w:vMerge/>
          </w:tcPr>
          <w:p w14:paraId="4D6F1C06" w14:textId="77777777" w:rsidR="0010265C" w:rsidRPr="00261B7A" w:rsidRDefault="0010265C" w:rsidP="00D41492">
            <w:pPr>
              <w:pStyle w:val="TableText"/>
              <w:spacing w:before="30" w:after="30"/>
              <w:rPr>
                <w:rFonts w:cs="Calibri"/>
                <w:szCs w:val="16"/>
              </w:rPr>
            </w:pPr>
          </w:p>
        </w:tc>
      </w:tr>
      <w:tr w:rsidR="0010265C" w:rsidRPr="00261B7A" w14:paraId="0C0999BD" w14:textId="77777777" w:rsidTr="00726451">
        <w:trPr>
          <w:trHeight w:val="20"/>
        </w:trPr>
        <w:tc>
          <w:tcPr>
            <w:tcW w:w="1246" w:type="dxa"/>
            <w:vMerge/>
            <w:tcBorders>
              <w:bottom w:val="single" w:sz="4" w:space="0" w:color="1B556B"/>
            </w:tcBorders>
          </w:tcPr>
          <w:p w14:paraId="2F926337" w14:textId="77777777" w:rsidR="0010265C" w:rsidRPr="00261B7A" w:rsidRDefault="0010265C" w:rsidP="00D41492">
            <w:pPr>
              <w:pStyle w:val="TableText"/>
              <w:spacing w:before="30" w:after="30"/>
              <w:rPr>
                <w:rFonts w:cs="Calibri"/>
                <w:szCs w:val="16"/>
              </w:rPr>
            </w:pPr>
          </w:p>
        </w:tc>
        <w:tc>
          <w:tcPr>
            <w:tcW w:w="1731" w:type="dxa"/>
            <w:tcBorders>
              <w:top w:val="single" w:sz="4" w:space="0" w:color="1B556B"/>
              <w:bottom w:val="single" w:sz="4" w:space="0" w:color="1B556B"/>
            </w:tcBorders>
          </w:tcPr>
          <w:p w14:paraId="1DF5102C" w14:textId="77777777" w:rsidR="0010265C" w:rsidRPr="00261B7A" w:rsidRDefault="0010265C" w:rsidP="00D41492">
            <w:pPr>
              <w:pStyle w:val="TableText"/>
              <w:spacing w:before="30" w:after="30"/>
              <w:rPr>
                <w:rFonts w:cs="Calibri"/>
                <w:szCs w:val="16"/>
              </w:rPr>
            </w:pPr>
            <w:r w:rsidRPr="00261B7A">
              <w:rPr>
                <w:rFonts w:cs="Calibri"/>
                <w:szCs w:val="16"/>
              </w:rPr>
              <w:tab/>
              <w:t>BGB</w:t>
            </w:r>
          </w:p>
        </w:tc>
        <w:tc>
          <w:tcPr>
            <w:tcW w:w="1276" w:type="dxa"/>
            <w:tcBorders>
              <w:top w:val="single" w:sz="4" w:space="0" w:color="1B556B"/>
              <w:bottom w:val="single" w:sz="4" w:space="0" w:color="1B556B"/>
            </w:tcBorders>
          </w:tcPr>
          <w:p w14:paraId="5D7A1DA2" w14:textId="77777777" w:rsidR="0010265C" w:rsidRPr="00261B7A" w:rsidRDefault="0010265C" w:rsidP="00D41492">
            <w:pPr>
              <w:pStyle w:val="TableText"/>
              <w:spacing w:before="30" w:after="30"/>
              <w:jc w:val="center"/>
              <w:rPr>
                <w:rFonts w:cs="Calibri"/>
                <w:szCs w:val="16"/>
              </w:rPr>
            </w:pPr>
            <w:r w:rsidRPr="00261B7A">
              <w:rPr>
                <w:rFonts w:cs="Calibri"/>
                <w:szCs w:val="16"/>
              </w:rPr>
              <w:t>2.115</w:t>
            </w:r>
          </w:p>
        </w:tc>
        <w:tc>
          <w:tcPr>
            <w:tcW w:w="1276" w:type="dxa"/>
            <w:tcBorders>
              <w:top w:val="single" w:sz="4" w:space="0" w:color="1B556B"/>
              <w:bottom w:val="single" w:sz="4" w:space="0" w:color="1B556B"/>
            </w:tcBorders>
          </w:tcPr>
          <w:p w14:paraId="30CFABCA" w14:textId="77777777" w:rsidR="0010265C" w:rsidRPr="00261B7A" w:rsidRDefault="0010265C" w:rsidP="00D41492">
            <w:pPr>
              <w:pStyle w:val="TableText"/>
              <w:spacing w:before="30" w:after="30"/>
              <w:jc w:val="center"/>
              <w:rPr>
                <w:rFonts w:cs="Calibri"/>
                <w:szCs w:val="16"/>
              </w:rPr>
            </w:pPr>
            <w:r w:rsidRPr="00261B7A">
              <w:rPr>
                <w:rFonts w:cs="Calibri"/>
                <w:szCs w:val="16"/>
              </w:rPr>
              <w:t>2.115</w:t>
            </w:r>
          </w:p>
        </w:tc>
        <w:tc>
          <w:tcPr>
            <w:tcW w:w="1275" w:type="dxa"/>
            <w:tcBorders>
              <w:top w:val="single" w:sz="4" w:space="0" w:color="1B556B"/>
              <w:bottom w:val="single" w:sz="4" w:space="0" w:color="1B556B"/>
            </w:tcBorders>
          </w:tcPr>
          <w:p w14:paraId="29FE395A" w14:textId="77777777" w:rsidR="0010265C" w:rsidRPr="00261B7A" w:rsidRDefault="0010265C" w:rsidP="00D41492">
            <w:pPr>
              <w:pStyle w:val="TableText"/>
              <w:spacing w:before="30" w:after="30"/>
              <w:jc w:val="center"/>
              <w:rPr>
                <w:rFonts w:cs="Calibri"/>
                <w:szCs w:val="16"/>
              </w:rPr>
            </w:pPr>
            <w:r w:rsidRPr="00261B7A">
              <w:rPr>
                <w:rFonts w:cs="Calibri"/>
                <w:szCs w:val="16"/>
              </w:rPr>
              <w:t>1</w:t>
            </w:r>
          </w:p>
        </w:tc>
        <w:tc>
          <w:tcPr>
            <w:tcW w:w="1701" w:type="dxa"/>
            <w:vMerge/>
          </w:tcPr>
          <w:p w14:paraId="18EB0ACA" w14:textId="77777777" w:rsidR="0010265C" w:rsidRPr="00261B7A" w:rsidRDefault="0010265C" w:rsidP="00D41492">
            <w:pPr>
              <w:pStyle w:val="TableText"/>
              <w:spacing w:before="30" w:after="30"/>
              <w:rPr>
                <w:rFonts w:cs="Calibri"/>
                <w:szCs w:val="16"/>
              </w:rPr>
            </w:pPr>
          </w:p>
        </w:tc>
      </w:tr>
      <w:tr w:rsidR="0010265C" w:rsidRPr="00261B7A" w14:paraId="1198A3C2" w14:textId="77777777" w:rsidTr="00726451">
        <w:trPr>
          <w:trHeight w:val="20"/>
        </w:trPr>
        <w:tc>
          <w:tcPr>
            <w:tcW w:w="1246" w:type="dxa"/>
            <w:vMerge/>
            <w:tcBorders>
              <w:bottom w:val="single" w:sz="4" w:space="0" w:color="1B556B"/>
            </w:tcBorders>
          </w:tcPr>
          <w:p w14:paraId="675B9D88" w14:textId="77777777" w:rsidR="0010265C" w:rsidRPr="00261B7A" w:rsidRDefault="0010265C" w:rsidP="00D41492">
            <w:pPr>
              <w:pStyle w:val="TableText"/>
              <w:spacing w:before="30" w:after="30"/>
              <w:rPr>
                <w:rFonts w:cs="Calibri"/>
                <w:szCs w:val="16"/>
              </w:rPr>
            </w:pPr>
          </w:p>
        </w:tc>
        <w:tc>
          <w:tcPr>
            <w:tcW w:w="1731" w:type="dxa"/>
            <w:tcBorders>
              <w:top w:val="single" w:sz="4" w:space="0" w:color="1B556B"/>
              <w:bottom w:val="single" w:sz="4" w:space="0" w:color="1B556B"/>
            </w:tcBorders>
          </w:tcPr>
          <w:p w14:paraId="40B75B40" w14:textId="77777777" w:rsidR="0010265C" w:rsidRPr="00261B7A" w:rsidRDefault="0010265C" w:rsidP="00D41492">
            <w:pPr>
              <w:pStyle w:val="TableText"/>
              <w:spacing w:before="30" w:after="30"/>
              <w:rPr>
                <w:rFonts w:cs="Calibri"/>
                <w:i/>
                <w:szCs w:val="16"/>
              </w:rPr>
            </w:pPr>
            <w:r w:rsidRPr="00261B7A">
              <w:rPr>
                <w:rFonts w:cs="Calibri"/>
                <w:i/>
                <w:szCs w:val="16"/>
              </w:rPr>
              <w:t>Dead organic matter</w:t>
            </w:r>
          </w:p>
        </w:tc>
        <w:tc>
          <w:tcPr>
            <w:tcW w:w="1276" w:type="dxa"/>
            <w:tcBorders>
              <w:top w:val="single" w:sz="4" w:space="0" w:color="1B556B"/>
              <w:bottom w:val="single" w:sz="4" w:space="0" w:color="1B556B"/>
            </w:tcBorders>
          </w:tcPr>
          <w:p w14:paraId="55346EDB" w14:textId="77777777" w:rsidR="0010265C" w:rsidRPr="00261B7A" w:rsidRDefault="0010265C" w:rsidP="00D41492">
            <w:pPr>
              <w:pStyle w:val="TableText"/>
              <w:spacing w:before="30" w:after="30"/>
              <w:jc w:val="center"/>
              <w:rPr>
                <w:rFonts w:cs="Calibri"/>
                <w:szCs w:val="16"/>
              </w:rPr>
            </w:pPr>
            <w:r w:rsidRPr="00261B7A">
              <w:rPr>
                <w:rFonts w:cs="Calibri"/>
                <w:szCs w:val="16"/>
              </w:rPr>
              <w:t>NE</w:t>
            </w:r>
          </w:p>
        </w:tc>
        <w:tc>
          <w:tcPr>
            <w:tcW w:w="1276" w:type="dxa"/>
            <w:tcBorders>
              <w:top w:val="single" w:sz="4" w:space="0" w:color="1B556B"/>
              <w:bottom w:val="single" w:sz="4" w:space="0" w:color="1B556B"/>
            </w:tcBorders>
          </w:tcPr>
          <w:p w14:paraId="578DA1C5" w14:textId="77777777" w:rsidR="0010265C" w:rsidRPr="00261B7A" w:rsidRDefault="0010265C" w:rsidP="00D41492">
            <w:pPr>
              <w:pStyle w:val="TableText"/>
              <w:spacing w:before="30" w:after="30"/>
              <w:jc w:val="center"/>
              <w:rPr>
                <w:rFonts w:cs="Calibri"/>
                <w:szCs w:val="16"/>
              </w:rPr>
            </w:pPr>
            <w:r w:rsidRPr="00261B7A">
              <w:rPr>
                <w:rFonts w:cs="Calibri"/>
                <w:szCs w:val="16"/>
              </w:rPr>
              <w:t>NA</w:t>
            </w:r>
          </w:p>
        </w:tc>
        <w:tc>
          <w:tcPr>
            <w:tcW w:w="1275" w:type="dxa"/>
            <w:tcBorders>
              <w:top w:val="single" w:sz="4" w:space="0" w:color="1B556B"/>
              <w:bottom w:val="single" w:sz="4" w:space="0" w:color="1B556B"/>
            </w:tcBorders>
          </w:tcPr>
          <w:p w14:paraId="6F83F714" w14:textId="77777777" w:rsidR="0010265C" w:rsidRPr="00261B7A" w:rsidRDefault="0010265C" w:rsidP="00D41492">
            <w:pPr>
              <w:pStyle w:val="TableText"/>
              <w:spacing w:before="30" w:after="30"/>
              <w:jc w:val="center"/>
              <w:rPr>
                <w:rFonts w:cs="Calibri"/>
                <w:szCs w:val="16"/>
              </w:rPr>
            </w:pPr>
            <w:r w:rsidRPr="00261B7A">
              <w:rPr>
                <w:rFonts w:cs="Calibri"/>
                <w:szCs w:val="16"/>
              </w:rPr>
              <w:t>NA</w:t>
            </w:r>
          </w:p>
        </w:tc>
        <w:tc>
          <w:tcPr>
            <w:tcW w:w="1701" w:type="dxa"/>
            <w:tcBorders>
              <w:top w:val="single" w:sz="4" w:space="0" w:color="365F91"/>
              <w:bottom w:val="single" w:sz="4" w:space="0" w:color="1B556B"/>
            </w:tcBorders>
          </w:tcPr>
          <w:p w14:paraId="34AAA56A" w14:textId="77777777" w:rsidR="0010265C" w:rsidRPr="00261B7A" w:rsidRDefault="0010265C" w:rsidP="00D41492">
            <w:pPr>
              <w:pStyle w:val="TableText"/>
              <w:spacing w:before="30" w:after="30"/>
              <w:rPr>
                <w:rFonts w:cs="Calibri"/>
                <w:szCs w:val="16"/>
              </w:rPr>
            </w:pPr>
            <w:r w:rsidRPr="00261B7A">
              <w:rPr>
                <w:rFonts w:cs="Calibri"/>
                <w:szCs w:val="16"/>
              </w:rPr>
              <w:t>No IPCC guidelines</w:t>
            </w:r>
          </w:p>
        </w:tc>
      </w:tr>
      <w:tr w:rsidR="0010265C" w:rsidRPr="00261B7A" w14:paraId="4E9E66A0" w14:textId="77777777" w:rsidTr="00726451">
        <w:trPr>
          <w:trHeight w:val="20"/>
        </w:trPr>
        <w:tc>
          <w:tcPr>
            <w:tcW w:w="1246" w:type="dxa"/>
            <w:vMerge w:val="restart"/>
            <w:tcBorders>
              <w:top w:val="single" w:sz="4" w:space="0" w:color="1B556B"/>
              <w:bottom w:val="single" w:sz="4" w:space="0" w:color="1B556B"/>
            </w:tcBorders>
          </w:tcPr>
          <w:p w14:paraId="27CF118F" w14:textId="77777777" w:rsidR="0010265C" w:rsidRPr="00261B7A" w:rsidRDefault="0010265C" w:rsidP="00D41492">
            <w:pPr>
              <w:pStyle w:val="TableText"/>
              <w:spacing w:before="30" w:after="30"/>
              <w:rPr>
                <w:rFonts w:cs="Calibri"/>
                <w:szCs w:val="16"/>
              </w:rPr>
            </w:pPr>
            <w:r w:rsidRPr="00261B7A">
              <w:rPr>
                <w:rFonts w:cs="Calibri"/>
                <w:szCs w:val="16"/>
              </w:rPr>
              <w:t>With woody biomass –transitional</w:t>
            </w:r>
          </w:p>
        </w:tc>
        <w:tc>
          <w:tcPr>
            <w:tcW w:w="1731" w:type="dxa"/>
            <w:tcBorders>
              <w:top w:val="single" w:sz="4" w:space="0" w:color="1B556B"/>
              <w:bottom w:val="single" w:sz="4" w:space="0" w:color="365F91"/>
            </w:tcBorders>
          </w:tcPr>
          <w:p w14:paraId="4DE16ABF" w14:textId="77777777" w:rsidR="0010265C" w:rsidRPr="00261B7A" w:rsidRDefault="0010265C" w:rsidP="00D41492">
            <w:pPr>
              <w:pStyle w:val="TableText"/>
              <w:spacing w:before="30" w:after="30"/>
              <w:rPr>
                <w:rFonts w:cs="Calibri"/>
                <w:b/>
                <w:szCs w:val="16"/>
              </w:rPr>
            </w:pPr>
            <w:r w:rsidRPr="00261B7A">
              <w:rPr>
                <w:rFonts w:cs="Calibri"/>
                <w:b/>
                <w:szCs w:val="16"/>
              </w:rPr>
              <w:t>Total biomass</w:t>
            </w:r>
          </w:p>
        </w:tc>
        <w:tc>
          <w:tcPr>
            <w:tcW w:w="1276" w:type="dxa"/>
            <w:tcBorders>
              <w:top w:val="single" w:sz="4" w:space="0" w:color="1B556B"/>
              <w:bottom w:val="single" w:sz="4" w:space="0" w:color="365F91"/>
            </w:tcBorders>
          </w:tcPr>
          <w:p w14:paraId="5BC90C62" w14:textId="77777777" w:rsidR="0010265C" w:rsidRPr="00261B7A" w:rsidRDefault="0010265C" w:rsidP="00D41492">
            <w:pPr>
              <w:pStyle w:val="TableText"/>
              <w:spacing w:before="30" w:after="30"/>
              <w:jc w:val="center"/>
              <w:rPr>
                <w:rFonts w:cs="Calibri"/>
                <w:b/>
                <w:szCs w:val="16"/>
              </w:rPr>
            </w:pPr>
            <w:r w:rsidRPr="00261B7A">
              <w:rPr>
                <w:rFonts w:cs="Calibri"/>
                <w:b/>
                <w:szCs w:val="16"/>
              </w:rPr>
              <w:t>13.05</w:t>
            </w:r>
          </w:p>
        </w:tc>
        <w:tc>
          <w:tcPr>
            <w:tcW w:w="1276" w:type="dxa"/>
            <w:tcBorders>
              <w:top w:val="single" w:sz="4" w:space="0" w:color="1B556B"/>
              <w:bottom w:val="single" w:sz="4" w:space="0" w:color="365F91"/>
            </w:tcBorders>
          </w:tcPr>
          <w:p w14:paraId="4AECF420" w14:textId="77777777" w:rsidR="0010265C" w:rsidRPr="00261B7A" w:rsidRDefault="0010265C" w:rsidP="00D41492">
            <w:pPr>
              <w:pStyle w:val="TableText"/>
              <w:spacing w:before="30" w:after="30"/>
              <w:jc w:val="center"/>
              <w:rPr>
                <w:rFonts w:cs="Calibri"/>
                <w:b/>
                <w:szCs w:val="16"/>
              </w:rPr>
            </w:pPr>
            <w:r w:rsidRPr="00261B7A">
              <w:rPr>
                <w:rFonts w:cs="Calibri"/>
                <w:b/>
                <w:szCs w:val="16"/>
              </w:rPr>
              <w:t>0.48</w:t>
            </w:r>
          </w:p>
        </w:tc>
        <w:tc>
          <w:tcPr>
            <w:tcW w:w="1275" w:type="dxa"/>
            <w:tcBorders>
              <w:top w:val="single" w:sz="4" w:space="0" w:color="1B556B"/>
              <w:bottom w:val="single" w:sz="4" w:space="0" w:color="365F91"/>
            </w:tcBorders>
          </w:tcPr>
          <w:p w14:paraId="7F5E585F" w14:textId="77777777" w:rsidR="0010265C" w:rsidRPr="00261B7A" w:rsidRDefault="0010265C" w:rsidP="00D41492">
            <w:pPr>
              <w:pStyle w:val="TableText"/>
              <w:spacing w:before="30" w:after="30"/>
              <w:jc w:val="center"/>
              <w:rPr>
                <w:rFonts w:cs="Calibri"/>
                <w:b/>
                <w:szCs w:val="16"/>
              </w:rPr>
            </w:pPr>
            <w:r w:rsidRPr="00261B7A">
              <w:rPr>
                <w:rFonts w:cs="Calibri"/>
                <w:b/>
                <w:szCs w:val="16"/>
              </w:rPr>
              <w:t>20</w:t>
            </w:r>
          </w:p>
        </w:tc>
        <w:tc>
          <w:tcPr>
            <w:tcW w:w="1701" w:type="dxa"/>
            <w:vMerge w:val="restart"/>
            <w:tcBorders>
              <w:top w:val="single" w:sz="4" w:space="0" w:color="1B556B"/>
              <w:bottom w:val="single" w:sz="4" w:space="0" w:color="365F91"/>
            </w:tcBorders>
          </w:tcPr>
          <w:p w14:paraId="6171322A" w14:textId="77777777" w:rsidR="0010265C" w:rsidRPr="00261B7A" w:rsidRDefault="0010265C" w:rsidP="00D41492">
            <w:pPr>
              <w:pStyle w:val="TableText"/>
              <w:spacing w:before="30" w:after="30"/>
              <w:rPr>
                <w:rFonts w:cs="Calibri"/>
                <w:szCs w:val="16"/>
              </w:rPr>
            </w:pPr>
            <w:r w:rsidRPr="00261B7A">
              <w:rPr>
                <w:rFonts w:cs="Calibri"/>
                <w:szCs w:val="16"/>
              </w:rPr>
              <w:t>Wakelin and Beets (unpublished)</w:t>
            </w:r>
          </w:p>
        </w:tc>
      </w:tr>
      <w:tr w:rsidR="0010265C" w:rsidRPr="00261B7A" w14:paraId="3455E534" w14:textId="77777777" w:rsidTr="00726451">
        <w:trPr>
          <w:trHeight w:val="20"/>
        </w:trPr>
        <w:tc>
          <w:tcPr>
            <w:tcW w:w="1246" w:type="dxa"/>
            <w:vMerge/>
            <w:tcBorders>
              <w:bottom w:val="single" w:sz="4" w:space="0" w:color="1B556B"/>
            </w:tcBorders>
          </w:tcPr>
          <w:p w14:paraId="2DD3DB26" w14:textId="77777777" w:rsidR="0010265C" w:rsidRPr="00261B7A" w:rsidRDefault="0010265C" w:rsidP="00D41492">
            <w:pPr>
              <w:pStyle w:val="TableText"/>
              <w:spacing w:before="30" w:after="30"/>
              <w:rPr>
                <w:rFonts w:cs="Calibri"/>
                <w:szCs w:val="16"/>
              </w:rPr>
            </w:pPr>
          </w:p>
        </w:tc>
        <w:tc>
          <w:tcPr>
            <w:tcW w:w="1731" w:type="dxa"/>
            <w:tcBorders>
              <w:top w:val="single" w:sz="4" w:space="0" w:color="365F91"/>
              <w:bottom w:val="single" w:sz="4" w:space="0" w:color="365F91"/>
            </w:tcBorders>
          </w:tcPr>
          <w:p w14:paraId="338AFE2C" w14:textId="77777777" w:rsidR="0010265C" w:rsidRPr="00261B7A" w:rsidRDefault="0010265C" w:rsidP="00D41492">
            <w:pPr>
              <w:pStyle w:val="TableText"/>
              <w:spacing w:before="30" w:after="30"/>
              <w:rPr>
                <w:rFonts w:cs="Calibri"/>
                <w:i/>
                <w:szCs w:val="16"/>
              </w:rPr>
            </w:pPr>
            <w:r w:rsidRPr="00261B7A">
              <w:rPr>
                <w:rFonts w:cs="Calibri"/>
                <w:i/>
                <w:szCs w:val="16"/>
              </w:rPr>
              <w:t>Living biomass</w:t>
            </w:r>
          </w:p>
        </w:tc>
        <w:tc>
          <w:tcPr>
            <w:tcW w:w="1276" w:type="dxa"/>
            <w:tcBorders>
              <w:top w:val="single" w:sz="4" w:space="0" w:color="365F91"/>
              <w:bottom w:val="single" w:sz="4" w:space="0" w:color="365F91"/>
            </w:tcBorders>
          </w:tcPr>
          <w:p w14:paraId="7645AEC1" w14:textId="77777777" w:rsidR="0010265C" w:rsidRPr="00261B7A" w:rsidRDefault="0010265C" w:rsidP="00D41492">
            <w:pPr>
              <w:pStyle w:val="TableText"/>
              <w:spacing w:before="30" w:after="30"/>
              <w:jc w:val="center"/>
              <w:rPr>
                <w:rFonts w:cs="Calibri"/>
                <w:szCs w:val="16"/>
              </w:rPr>
            </w:pPr>
          </w:p>
        </w:tc>
        <w:tc>
          <w:tcPr>
            <w:tcW w:w="1276" w:type="dxa"/>
            <w:tcBorders>
              <w:top w:val="single" w:sz="4" w:space="0" w:color="365F91"/>
              <w:bottom w:val="single" w:sz="4" w:space="0" w:color="365F91"/>
            </w:tcBorders>
          </w:tcPr>
          <w:p w14:paraId="6A4E1AF8" w14:textId="77777777" w:rsidR="0010265C" w:rsidRPr="00261B7A" w:rsidRDefault="0010265C" w:rsidP="00D41492">
            <w:pPr>
              <w:pStyle w:val="TableText"/>
              <w:spacing w:before="30" w:after="30"/>
              <w:jc w:val="center"/>
              <w:rPr>
                <w:rFonts w:cs="Calibri"/>
                <w:szCs w:val="16"/>
              </w:rPr>
            </w:pPr>
          </w:p>
        </w:tc>
        <w:tc>
          <w:tcPr>
            <w:tcW w:w="1275" w:type="dxa"/>
            <w:tcBorders>
              <w:top w:val="single" w:sz="4" w:space="0" w:color="365F91"/>
              <w:bottom w:val="single" w:sz="4" w:space="0" w:color="365F91"/>
            </w:tcBorders>
          </w:tcPr>
          <w:p w14:paraId="516D9BD9" w14:textId="77777777" w:rsidR="0010265C" w:rsidRPr="00261B7A" w:rsidRDefault="0010265C" w:rsidP="00D41492">
            <w:pPr>
              <w:pStyle w:val="TableText"/>
              <w:spacing w:before="30" w:after="30"/>
              <w:jc w:val="center"/>
              <w:rPr>
                <w:rFonts w:cs="Calibri"/>
                <w:szCs w:val="16"/>
              </w:rPr>
            </w:pPr>
          </w:p>
        </w:tc>
        <w:tc>
          <w:tcPr>
            <w:tcW w:w="1701" w:type="dxa"/>
            <w:vMerge/>
          </w:tcPr>
          <w:p w14:paraId="7500A20E" w14:textId="77777777" w:rsidR="0010265C" w:rsidRPr="00261B7A" w:rsidRDefault="0010265C" w:rsidP="00D41492">
            <w:pPr>
              <w:pStyle w:val="TableText"/>
              <w:spacing w:before="30" w:after="30"/>
              <w:rPr>
                <w:rFonts w:cs="Calibri"/>
                <w:szCs w:val="16"/>
              </w:rPr>
            </w:pPr>
          </w:p>
        </w:tc>
      </w:tr>
      <w:tr w:rsidR="0010265C" w:rsidRPr="00261B7A" w14:paraId="09153376" w14:textId="77777777" w:rsidTr="00726451">
        <w:trPr>
          <w:trHeight w:val="20"/>
        </w:trPr>
        <w:tc>
          <w:tcPr>
            <w:tcW w:w="1246" w:type="dxa"/>
            <w:vMerge/>
            <w:tcBorders>
              <w:bottom w:val="single" w:sz="4" w:space="0" w:color="1B556B"/>
            </w:tcBorders>
          </w:tcPr>
          <w:p w14:paraId="5E46C7F1" w14:textId="77777777" w:rsidR="0010265C" w:rsidRPr="00261B7A" w:rsidRDefault="0010265C" w:rsidP="00D41492">
            <w:pPr>
              <w:pStyle w:val="TableText"/>
              <w:spacing w:before="30" w:after="30"/>
              <w:rPr>
                <w:rFonts w:cs="Calibri"/>
                <w:szCs w:val="16"/>
              </w:rPr>
            </w:pPr>
          </w:p>
        </w:tc>
        <w:tc>
          <w:tcPr>
            <w:tcW w:w="1731" w:type="dxa"/>
            <w:tcBorders>
              <w:top w:val="single" w:sz="4" w:space="0" w:color="365F91"/>
              <w:bottom w:val="single" w:sz="4" w:space="0" w:color="365F91"/>
            </w:tcBorders>
          </w:tcPr>
          <w:p w14:paraId="5C715066" w14:textId="77777777" w:rsidR="0010265C" w:rsidRPr="00261B7A" w:rsidRDefault="0010265C" w:rsidP="00D41492">
            <w:pPr>
              <w:pStyle w:val="TableText"/>
              <w:spacing w:before="30" w:after="30"/>
              <w:rPr>
                <w:rFonts w:cs="Calibri"/>
                <w:szCs w:val="16"/>
              </w:rPr>
            </w:pPr>
            <w:r w:rsidRPr="00261B7A">
              <w:rPr>
                <w:rFonts w:cs="Calibri"/>
                <w:szCs w:val="16"/>
              </w:rPr>
              <w:tab/>
              <w:t>AGB</w:t>
            </w:r>
          </w:p>
        </w:tc>
        <w:tc>
          <w:tcPr>
            <w:tcW w:w="1276" w:type="dxa"/>
            <w:tcBorders>
              <w:top w:val="single" w:sz="4" w:space="0" w:color="365F91"/>
              <w:bottom w:val="single" w:sz="4" w:space="0" w:color="365F91"/>
            </w:tcBorders>
          </w:tcPr>
          <w:p w14:paraId="02264FD2" w14:textId="77777777" w:rsidR="0010265C" w:rsidRPr="00261B7A" w:rsidRDefault="0010265C" w:rsidP="00D41492">
            <w:pPr>
              <w:pStyle w:val="TableText"/>
              <w:spacing w:before="30" w:after="30"/>
              <w:jc w:val="center"/>
              <w:rPr>
                <w:rFonts w:cs="Calibri"/>
                <w:szCs w:val="16"/>
              </w:rPr>
            </w:pPr>
            <w:r w:rsidRPr="00261B7A">
              <w:rPr>
                <w:rFonts w:cs="Calibri"/>
                <w:szCs w:val="16"/>
              </w:rPr>
              <w:t>9.35</w:t>
            </w:r>
          </w:p>
        </w:tc>
        <w:tc>
          <w:tcPr>
            <w:tcW w:w="1276" w:type="dxa"/>
            <w:tcBorders>
              <w:top w:val="single" w:sz="4" w:space="0" w:color="365F91"/>
              <w:bottom w:val="single" w:sz="4" w:space="0" w:color="365F91"/>
            </w:tcBorders>
          </w:tcPr>
          <w:p w14:paraId="12D0DAF2" w14:textId="77777777" w:rsidR="0010265C" w:rsidRPr="00261B7A" w:rsidRDefault="0010265C" w:rsidP="00D41492">
            <w:pPr>
              <w:pStyle w:val="TableText"/>
              <w:spacing w:before="30" w:after="30"/>
              <w:jc w:val="center"/>
              <w:rPr>
                <w:rFonts w:cs="Calibri"/>
                <w:szCs w:val="16"/>
              </w:rPr>
            </w:pPr>
            <w:r w:rsidRPr="00261B7A">
              <w:rPr>
                <w:rFonts w:cs="Calibri"/>
                <w:szCs w:val="16"/>
              </w:rPr>
              <w:t>0.36</w:t>
            </w:r>
          </w:p>
        </w:tc>
        <w:tc>
          <w:tcPr>
            <w:tcW w:w="1275" w:type="dxa"/>
            <w:tcBorders>
              <w:top w:val="single" w:sz="4" w:space="0" w:color="365F91"/>
              <w:bottom w:val="single" w:sz="4" w:space="0" w:color="365F91"/>
            </w:tcBorders>
          </w:tcPr>
          <w:p w14:paraId="716C3D78" w14:textId="77777777" w:rsidR="0010265C" w:rsidRPr="00261B7A" w:rsidRDefault="0010265C" w:rsidP="00D41492">
            <w:pPr>
              <w:pStyle w:val="TableText"/>
              <w:spacing w:before="30" w:after="30"/>
              <w:jc w:val="center"/>
              <w:rPr>
                <w:rFonts w:cs="Calibri"/>
                <w:szCs w:val="16"/>
              </w:rPr>
            </w:pPr>
            <w:r w:rsidRPr="00261B7A">
              <w:rPr>
                <w:rFonts w:cs="Calibri"/>
                <w:szCs w:val="16"/>
              </w:rPr>
              <w:t>20</w:t>
            </w:r>
          </w:p>
        </w:tc>
        <w:tc>
          <w:tcPr>
            <w:tcW w:w="1701" w:type="dxa"/>
            <w:vMerge/>
          </w:tcPr>
          <w:p w14:paraId="607F2758" w14:textId="77777777" w:rsidR="0010265C" w:rsidRPr="00261B7A" w:rsidRDefault="0010265C" w:rsidP="00D41492">
            <w:pPr>
              <w:pStyle w:val="TableText"/>
              <w:spacing w:before="30" w:after="30"/>
              <w:rPr>
                <w:rFonts w:cs="Calibri"/>
                <w:szCs w:val="16"/>
              </w:rPr>
            </w:pPr>
          </w:p>
        </w:tc>
      </w:tr>
      <w:tr w:rsidR="0010265C" w:rsidRPr="00261B7A" w14:paraId="6B5F3AC5" w14:textId="77777777" w:rsidTr="00726451">
        <w:trPr>
          <w:trHeight w:val="20"/>
        </w:trPr>
        <w:tc>
          <w:tcPr>
            <w:tcW w:w="1246" w:type="dxa"/>
            <w:vMerge/>
            <w:tcBorders>
              <w:bottom w:val="single" w:sz="4" w:space="0" w:color="1B556B"/>
            </w:tcBorders>
          </w:tcPr>
          <w:p w14:paraId="0D63FD34" w14:textId="77777777" w:rsidR="0010265C" w:rsidRPr="00261B7A" w:rsidRDefault="0010265C" w:rsidP="00D41492">
            <w:pPr>
              <w:pStyle w:val="TableText"/>
              <w:spacing w:before="30" w:after="30"/>
              <w:rPr>
                <w:rFonts w:cs="Calibri"/>
                <w:szCs w:val="16"/>
              </w:rPr>
            </w:pPr>
          </w:p>
        </w:tc>
        <w:tc>
          <w:tcPr>
            <w:tcW w:w="1731" w:type="dxa"/>
            <w:tcBorders>
              <w:top w:val="single" w:sz="4" w:space="0" w:color="365F91"/>
              <w:bottom w:val="single" w:sz="4" w:space="0" w:color="365F91"/>
            </w:tcBorders>
          </w:tcPr>
          <w:p w14:paraId="4FF5645E" w14:textId="77777777" w:rsidR="0010265C" w:rsidRPr="00261B7A" w:rsidRDefault="0010265C" w:rsidP="00D41492">
            <w:pPr>
              <w:pStyle w:val="TableText"/>
              <w:spacing w:before="30" w:after="30"/>
              <w:rPr>
                <w:rFonts w:cs="Calibri"/>
                <w:szCs w:val="16"/>
              </w:rPr>
            </w:pPr>
            <w:r w:rsidRPr="00261B7A">
              <w:rPr>
                <w:rFonts w:cs="Calibri"/>
                <w:szCs w:val="16"/>
              </w:rPr>
              <w:tab/>
              <w:t>BGB</w:t>
            </w:r>
          </w:p>
        </w:tc>
        <w:tc>
          <w:tcPr>
            <w:tcW w:w="1276" w:type="dxa"/>
            <w:tcBorders>
              <w:top w:val="single" w:sz="4" w:space="0" w:color="365F91"/>
              <w:bottom w:val="single" w:sz="4" w:space="0" w:color="365F91"/>
            </w:tcBorders>
          </w:tcPr>
          <w:p w14:paraId="141857FF" w14:textId="77777777" w:rsidR="0010265C" w:rsidRPr="00261B7A" w:rsidRDefault="0010265C" w:rsidP="00D41492">
            <w:pPr>
              <w:pStyle w:val="TableText"/>
              <w:spacing w:before="30" w:after="30"/>
              <w:jc w:val="center"/>
              <w:rPr>
                <w:rFonts w:cs="Calibri"/>
                <w:szCs w:val="16"/>
              </w:rPr>
            </w:pPr>
            <w:r w:rsidRPr="00261B7A">
              <w:rPr>
                <w:rFonts w:cs="Calibri"/>
                <w:szCs w:val="16"/>
              </w:rPr>
              <w:t>3.05</w:t>
            </w:r>
          </w:p>
        </w:tc>
        <w:tc>
          <w:tcPr>
            <w:tcW w:w="1276" w:type="dxa"/>
            <w:tcBorders>
              <w:top w:val="single" w:sz="4" w:space="0" w:color="365F91"/>
              <w:bottom w:val="single" w:sz="4" w:space="0" w:color="365F91"/>
            </w:tcBorders>
          </w:tcPr>
          <w:p w14:paraId="04F4900E" w14:textId="77777777" w:rsidR="0010265C" w:rsidRPr="00261B7A" w:rsidRDefault="0010265C" w:rsidP="00D41492">
            <w:pPr>
              <w:pStyle w:val="TableText"/>
              <w:spacing w:before="30" w:after="30"/>
              <w:jc w:val="center"/>
              <w:rPr>
                <w:rFonts w:cs="Calibri"/>
                <w:szCs w:val="16"/>
              </w:rPr>
            </w:pPr>
            <w:r w:rsidRPr="00261B7A">
              <w:rPr>
                <w:rFonts w:cs="Calibri"/>
                <w:szCs w:val="16"/>
              </w:rPr>
              <w:t>0.08</w:t>
            </w:r>
          </w:p>
        </w:tc>
        <w:tc>
          <w:tcPr>
            <w:tcW w:w="1275" w:type="dxa"/>
            <w:tcBorders>
              <w:top w:val="single" w:sz="4" w:space="0" w:color="365F91"/>
              <w:bottom w:val="single" w:sz="4" w:space="0" w:color="365F91"/>
            </w:tcBorders>
          </w:tcPr>
          <w:p w14:paraId="35472854" w14:textId="77777777" w:rsidR="0010265C" w:rsidRPr="00261B7A" w:rsidRDefault="0010265C" w:rsidP="00D41492">
            <w:pPr>
              <w:pStyle w:val="TableText"/>
              <w:spacing w:before="30" w:after="30"/>
              <w:jc w:val="center"/>
              <w:rPr>
                <w:rFonts w:cs="Calibri"/>
                <w:szCs w:val="16"/>
              </w:rPr>
            </w:pPr>
            <w:r w:rsidRPr="00261B7A">
              <w:rPr>
                <w:rFonts w:cs="Calibri"/>
                <w:szCs w:val="16"/>
              </w:rPr>
              <w:t>20</w:t>
            </w:r>
          </w:p>
        </w:tc>
        <w:tc>
          <w:tcPr>
            <w:tcW w:w="1701" w:type="dxa"/>
            <w:vMerge/>
          </w:tcPr>
          <w:p w14:paraId="05E2DDAF" w14:textId="77777777" w:rsidR="0010265C" w:rsidRPr="00261B7A" w:rsidRDefault="0010265C" w:rsidP="00D41492">
            <w:pPr>
              <w:pStyle w:val="TableText"/>
              <w:spacing w:before="30" w:after="30"/>
              <w:rPr>
                <w:rFonts w:cs="Calibri"/>
                <w:szCs w:val="16"/>
              </w:rPr>
            </w:pPr>
          </w:p>
        </w:tc>
      </w:tr>
      <w:tr w:rsidR="0010265C" w:rsidRPr="00261B7A" w14:paraId="672F7088" w14:textId="77777777" w:rsidTr="00726451">
        <w:trPr>
          <w:trHeight w:val="20"/>
        </w:trPr>
        <w:tc>
          <w:tcPr>
            <w:tcW w:w="1246" w:type="dxa"/>
            <w:vMerge/>
            <w:tcBorders>
              <w:bottom w:val="single" w:sz="4" w:space="0" w:color="1B556B"/>
            </w:tcBorders>
          </w:tcPr>
          <w:p w14:paraId="3F5E7A3F" w14:textId="77777777" w:rsidR="0010265C" w:rsidRPr="00261B7A" w:rsidRDefault="0010265C" w:rsidP="00D41492">
            <w:pPr>
              <w:pStyle w:val="TableText"/>
              <w:spacing w:before="30" w:after="30"/>
              <w:rPr>
                <w:rFonts w:cs="Calibri"/>
                <w:szCs w:val="16"/>
              </w:rPr>
            </w:pPr>
          </w:p>
        </w:tc>
        <w:tc>
          <w:tcPr>
            <w:tcW w:w="1731" w:type="dxa"/>
            <w:tcBorders>
              <w:top w:val="single" w:sz="4" w:space="0" w:color="365F91"/>
              <w:bottom w:val="single" w:sz="4" w:space="0" w:color="365F91"/>
            </w:tcBorders>
          </w:tcPr>
          <w:p w14:paraId="2684A545" w14:textId="77777777" w:rsidR="0010265C" w:rsidRPr="00261B7A" w:rsidRDefault="0010265C" w:rsidP="00D41492">
            <w:pPr>
              <w:pStyle w:val="TableText"/>
              <w:spacing w:before="30" w:after="30"/>
              <w:rPr>
                <w:rFonts w:cs="Calibri"/>
                <w:i/>
                <w:szCs w:val="16"/>
              </w:rPr>
            </w:pPr>
            <w:r w:rsidRPr="00261B7A">
              <w:rPr>
                <w:rFonts w:cs="Calibri"/>
                <w:i/>
                <w:szCs w:val="16"/>
              </w:rPr>
              <w:t>Dead organic matter</w:t>
            </w:r>
          </w:p>
        </w:tc>
        <w:tc>
          <w:tcPr>
            <w:tcW w:w="1276" w:type="dxa"/>
            <w:tcBorders>
              <w:top w:val="single" w:sz="4" w:space="0" w:color="365F91"/>
              <w:bottom w:val="single" w:sz="4" w:space="0" w:color="365F91"/>
            </w:tcBorders>
          </w:tcPr>
          <w:p w14:paraId="49C50E80" w14:textId="77777777" w:rsidR="0010265C" w:rsidRPr="00261B7A" w:rsidRDefault="0010265C" w:rsidP="00D41492">
            <w:pPr>
              <w:pStyle w:val="TableText"/>
              <w:spacing w:before="30" w:after="30"/>
              <w:jc w:val="center"/>
              <w:rPr>
                <w:rFonts w:cs="Calibri"/>
                <w:szCs w:val="16"/>
              </w:rPr>
            </w:pPr>
          </w:p>
        </w:tc>
        <w:tc>
          <w:tcPr>
            <w:tcW w:w="1276" w:type="dxa"/>
            <w:tcBorders>
              <w:top w:val="single" w:sz="4" w:space="0" w:color="365F91"/>
              <w:bottom w:val="single" w:sz="4" w:space="0" w:color="365F91"/>
            </w:tcBorders>
          </w:tcPr>
          <w:p w14:paraId="27CA1473" w14:textId="77777777" w:rsidR="0010265C" w:rsidRPr="00261B7A" w:rsidRDefault="0010265C" w:rsidP="00D41492">
            <w:pPr>
              <w:pStyle w:val="TableText"/>
              <w:spacing w:before="30" w:after="30"/>
              <w:jc w:val="center"/>
              <w:rPr>
                <w:rFonts w:cs="Calibri"/>
                <w:szCs w:val="16"/>
              </w:rPr>
            </w:pPr>
          </w:p>
        </w:tc>
        <w:tc>
          <w:tcPr>
            <w:tcW w:w="1275" w:type="dxa"/>
            <w:tcBorders>
              <w:top w:val="single" w:sz="4" w:space="0" w:color="365F91"/>
              <w:bottom w:val="single" w:sz="4" w:space="0" w:color="365F91"/>
            </w:tcBorders>
          </w:tcPr>
          <w:p w14:paraId="0E7F525A" w14:textId="77777777" w:rsidR="0010265C" w:rsidRPr="00261B7A" w:rsidRDefault="0010265C" w:rsidP="00D41492">
            <w:pPr>
              <w:pStyle w:val="TableText"/>
              <w:spacing w:before="30" w:after="30"/>
              <w:jc w:val="center"/>
              <w:rPr>
                <w:rFonts w:cs="Calibri"/>
                <w:szCs w:val="16"/>
              </w:rPr>
            </w:pPr>
          </w:p>
        </w:tc>
        <w:tc>
          <w:tcPr>
            <w:tcW w:w="1701" w:type="dxa"/>
            <w:vMerge/>
          </w:tcPr>
          <w:p w14:paraId="4587009D" w14:textId="77777777" w:rsidR="0010265C" w:rsidRPr="00261B7A" w:rsidRDefault="0010265C" w:rsidP="00D41492">
            <w:pPr>
              <w:pStyle w:val="TableText"/>
              <w:spacing w:before="30" w:after="30"/>
              <w:rPr>
                <w:rFonts w:cs="Calibri"/>
                <w:szCs w:val="16"/>
              </w:rPr>
            </w:pPr>
          </w:p>
        </w:tc>
      </w:tr>
      <w:tr w:rsidR="0010265C" w:rsidRPr="00261B7A" w14:paraId="45F56925" w14:textId="77777777" w:rsidTr="00726451">
        <w:trPr>
          <w:trHeight w:val="20"/>
        </w:trPr>
        <w:tc>
          <w:tcPr>
            <w:tcW w:w="1246" w:type="dxa"/>
            <w:vMerge/>
            <w:tcBorders>
              <w:bottom w:val="single" w:sz="4" w:space="0" w:color="1B556B"/>
            </w:tcBorders>
          </w:tcPr>
          <w:p w14:paraId="21FD0805" w14:textId="77777777" w:rsidR="0010265C" w:rsidRPr="00261B7A" w:rsidRDefault="0010265C" w:rsidP="00D41492">
            <w:pPr>
              <w:pStyle w:val="TableText"/>
              <w:spacing w:before="30" w:after="30"/>
              <w:rPr>
                <w:rFonts w:cs="Calibri"/>
                <w:szCs w:val="16"/>
              </w:rPr>
            </w:pPr>
          </w:p>
        </w:tc>
        <w:tc>
          <w:tcPr>
            <w:tcW w:w="1731" w:type="dxa"/>
            <w:tcBorders>
              <w:top w:val="single" w:sz="4" w:space="0" w:color="365F91"/>
              <w:bottom w:val="single" w:sz="4" w:space="0" w:color="365F91"/>
            </w:tcBorders>
          </w:tcPr>
          <w:p w14:paraId="03296FE7" w14:textId="77777777" w:rsidR="0010265C" w:rsidRPr="00261B7A" w:rsidRDefault="0010265C" w:rsidP="00D41492">
            <w:pPr>
              <w:pStyle w:val="TableText"/>
              <w:spacing w:before="30" w:after="30"/>
              <w:rPr>
                <w:rFonts w:cs="Calibri"/>
                <w:szCs w:val="16"/>
              </w:rPr>
            </w:pPr>
            <w:r w:rsidRPr="00261B7A">
              <w:rPr>
                <w:rFonts w:cs="Calibri"/>
                <w:szCs w:val="16"/>
              </w:rPr>
              <w:tab/>
              <w:t>Dead wood</w:t>
            </w:r>
          </w:p>
        </w:tc>
        <w:tc>
          <w:tcPr>
            <w:tcW w:w="1276" w:type="dxa"/>
            <w:tcBorders>
              <w:top w:val="single" w:sz="4" w:space="0" w:color="365F91"/>
              <w:bottom w:val="single" w:sz="4" w:space="0" w:color="365F91"/>
            </w:tcBorders>
          </w:tcPr>
          <w:p w14:paraId="67B69A5A" w14:textId="77777777" w:rsidR="0010265C" w:rsidRPr="00261B7A" w:rsidRDefault="0010265C" w:rsidP="00D41492">
            <w:pPr>
              <w:pStyle w:val="TableText"/>
              <w:spacing w:before="30" w:after="30"/>
              <w:jc w:val="center"/>
              <w:rPr>
                <w:rFonts w:cs="Calibri"/>
                <w:szCs w:val="16"/>
              </w:rPr>
            </w:pPr>
            <w:r w:rsidRPr="00261B7A">
              <w:rPr>
                <w:rFonts w:cs="Calibri"/>
                <w:szCs w:val="16"/>
              </w:rPr>
              <w:t>0.10</w:t>
            </w:r>
          </w:p>
        </w:tc>
        <w:tc>
          <w:tcPr>
            <w:tcW w:w="1276" w:type="dxa"/>
            <w:tcBorders>
              <w:top w:val="single" w:sz="4" w:space="0" w:color="365F91"/>
              <w:bottom w:val="single" w:sz="4" w:space="0" w:color="365F91"/>
            </w:tcBorders>
          </w:tcPr>
          <w:p w14:paraId="634C59B2" w14:textId="77777777" w:rsidR="0010265C" w:rsidRPr="00261B7A" w:rsidRDefault="0010265C" w:rsidP="00D41492">
            <w:pPr>
              <w:pStyle w:val="TableText"/>
              <w:spacing w:before="30" w:after="30"/>
              <w:jc w:val="center"/>
              <w:rPr>
                <w:rFonts w:cs="Calibri"/>
                <w:szCs w:val="16"/>
              </w:rPr>
            </w:pPr>
            <w:r w:rsidRPr="00261B7A">
              <w:rPr>
                <w:rFonts w:cs="Calibri"/>
                <w:szCs w:val="16"/>
              </w:rPr>
              <w:t>0.004</w:t>
            </w:r>
          </w:p>
        </w:tc>
        <w:tc>
          <w:tcPr>
            <w:tcW w:w="1275" w:type="dxa"/>
            <w:tcBorders>
              <w:top w:val="single" w:sz="4" w:space="0" w:color="365F91"/>
              <w:bottom w:val="single" w:sz="4" w:space="0" w:color="365F91"/>
            </w:tcBorders>
          </w:tcPr>
          <w:p w14:paraId="0319DAD5" w14:textId="77777777" w:rsidR="0010265C" w:rsidRPr="00261B7A" w:rsidRDefault="0010265C" w:rsidP="00D41492">
            <w:pPr>
              <w:pStyle w:val="TableText"/>
              <w:spacing w:before="30" w:after="30"/>
              <w:jc w:val="center"/>
              <w:rPr>
                <w:rFonts w:cs="Calibri"/>
                <w:szCs w:val="16"/>
              </w:rPr>
            </w:pPr>
            <w:r w:rsidRPr="00261B7A">
              <w:rPr>
                <w:rFonts w:cs="Calibri"/>
                <w:szCs w:val="16"/>
              </w:rPr>
              <w:t>20</w:t>
            </w:r>
          </w:p>
        </w:tc>
        <w:tc>
          <w:tcPr>
            <w:tcW w:w="1701" w:type="dxa"/>
            <w:vMerge/>
          </w:tcPr>
          <w:p w14:paraId="11ECD6B4" w14:textId="77777777" w:rsidR="0010265C" w:rsidRPr="00261B7A" w:rsidRDefault="0010265C" w:rsidP="00D41492">
            <w:pPr>
              <w:pStyle w:val="TableText"/>
              <w:spacing w:before="30" w:after="30"/>
              <w:rPr>
                <w:rFonts w:cs="Calibri"/>
                <w:szCs w:val="16"/>
              </w:rPr>
            </w:pPr>
          </w:p>
        </w:tc>
      </w:tr>
      <w:tr w:rsidR="0010265C" w:rsidRPr="00261B7A" w14:paraId="322A110B" w14:textId="77777777" w:rsidTr="00726451">
        <w:trPr>
          <w:trHeight w:val="20"/>
        </w:trPr>
        <w:tc>
          <w:tcPr>
            <w:tcW w:w="1246" w:type="dxa"/>
            <w:vMerge/>
            <w:tcBorders>
              <w:bottom w:val="single" w:sz="4" w:space="0" w:color="1B556B"/>
            </w:tcBorders>
          </w:tcPr>
          <w:p w14:paraId="72CF924C" w14:textId="77777777" w:rsidR="0010265C" w:rsidRPr="00261B7A" w:rsidRDefault="0010265C" w:rsidP="00D41492">
            <w:pPr>
              <w:pStyle w:val="TableText"/>
              <w:spacing w:before="30" w:after="30"/>
              <w:rPr>
                <w:rFonts w:cs="Calibri"/>
                <w:szCs w:val="16"/>
              </w:rPr>
            </w:pPr>
          </w:p>
        </w:tc>
        <w:tc>
          <w:tcPr>
            <w:tcW w:w="1731" w:type="dxa"/>
            <w:tcBorders>
              <w:top w:val="single" w:sz="4" w:space="0" w:color="365F91"/>
              <w:bottom w:val="single" w:sz="4" w:space="0" w:color="1B556B"/>
            </w:tcBorders>
          </w:tcPr>
          <w:p w14:paraId="202C4FFE" w14:textId="77777777" w:rsidR="0010265C" w:rsidRPr="00261B7A" w:rsidRDefault="0010265C" w:rsidP="00D41492">
            <w:pPr>
              <w:pStyle w:val="TableText"/>
              <w:spacing w:before="30" w:after="30"/>
              <w:rPr>
                <w:rFonts w:cs="Calibri"/>
                <w:szCs w:val="16"/>
              </w:rPr>
            </w:pPr>
            <w:r w:rsidRPr="00261B7A">
              <w:rPr>
                <w:rFonts w:cs="Calibri"/>
                <w:szCs w:val="16"/>
              </w:rPr>
              <w:tab/>
              <w:t>Litter</w:t>
            </w:r>
          </w:p>
        </w:tc>
        <w:tc>
          <w:tcPr>
            <w:tcW w:w="1276" w:type="dxa"/>
            <w:tcBorders>
              <w:top w:val="single" w:sz="4" w:space="0" w:color="365F91"/>
              <w:bottom w:val="single" w:sz="4" w:space="0" w:color="1B556B"/>
            </w:tcBorders>
          </w:tcPr>
          <w:p w14:paraId="5F0589C8" w14:textId="77777777" w:rsidR="0010265C" w:rsidRPr="00261B7A" w:rsidRDefault="0010265C" w:rsidP="00D41492">
            <w:pPr>
              <w:pStyle w:val="TableText"/>
              <w:spacing w:before="30" w:after="30"/>
              <w:jc w:val="center"/>
              <w:rPr>
                <w:rFonts w:cs="Calibri"/>
                <w:szCs w:val="16"/>
              </w:rPr>
            </w:pPr>
            <w:r w:rsidRPr="00261B7A">
              <w:rPr>
                <w:rFonts w:cs="Calibri"/>
                <w:szCs w:val="16"/>
              </w:rPr>
              <w:t>0.55</w:t>
            </w:r>
          </w:p>
        </w:tc>
        <w:tc>
          <w:tcPr>
            <w:tcW w:w="1276" w:type="dxa"/>
            <w:tcBorders>
              <w:top w:val="single" w:sz="4" w:space="0" w:color="365F91"/>
              <w:bottom w:val="single" w:sz="4" w:space="0" w:color="1B556B"/>
            </w:tcBorders>
          </w:tcPr>
          <w:p w14:paraId="72839492" w14:textId="77777777" w:rsidR="0010265C" w:rsidRPr="00261B7A" w:rsidRDefault="0010265C" w:rsidP="00D41492">
            <w:pPr>
              <w:pStyle w:val="TableText"/>
              <w:spacing w:before="30" w:after="30"/>
              <w:jc w:val="center"/>
              <w:rPr>
                <w:rFonts w:cs="Calibri"/>
                <w:szCs w:val="16"/>
              </w:rPr>
            </w:pPr>
            <w:r w:rsidRPr="00261B7A">
              <w:rPr>
                <w:rFonts w:cs="Calibri"/>
                <w:szCs w:val="16"/>
              </w:rPr>
              <w:t>0.02</w:t>
            </w:r>
          </w:p>
        </w:tc>
        <w:tc>
          <w:tcPr>
            <w:tcW w:w="1275" w:type="dxa"/>
            <w:tcBorders>
              <w:top w:val="single" w:sz="4" w:space="0" w:color="365F91"/>
              <w:bottom w:val="single" w:sz="4" w:space="0" w:color="1B556B"/>
            </w:tcBorders>
          </w:tcPr>
          <w:p w14:paraId="3CE799DA" w14:textId="77777777" w:rsidR="0010265C" w:rsidRPr="00261B7A" w:rsidRDefault="0010265C" w:rsidP="00D41492">
            <w:pPr>
              <w:pStyle w:val="TableText"/>
              <w:spacing w:before="30" w:after="30"/>
              <w:jc w:val="center"/>
              <w:rPr>
                <w:rFonts w:cs="Calibri"/>
                <w:szCs w:val="16"/>
              </w:rPr>
            </w:pPr>
            <w:r w:rsidRPr="00261B7A">
              <w:rPr>
                <w:rFonts w:cs="Calibri"/>
                <w:szCs w:val="16"/>
              </w:rPr>
              <w:t>20</w:t>
            </w:r>
          </w:p>
        </w:tc>
        <w:tc>
          <w:tcPr>
            <w:tcW w:w="1701" w:type="dxa"/>
            <w:vMerge/>
            <w:tcBorders>
              <w:bottom w:val="single" w:sz="4" w:space="0" w:color="1B556B"/>
            </w:tcBorders>
          </w:tcPr>
          <w:p w14:paraId="1C0620EE" w14:textId="77777777" w:rsidR="0010265C" w:rsidRPr="00261B7A" w:rsidRDefault="0010265C" w:rsidP="00D41492">
            <w:pPr>
              <w:pStyle w:val="TableText"/>
              <w:spacing w:before="30" w:after="30"/>
              <w:rPr>
                <w:rFonts w:cs="Calibri"/>
                <w:szCs w:val="16"/>
              </w:rPr>
            </w:pPr>
          </w:p>
        </w:tc>
      </w:tr>
      <w:tr w:rsidR="0010265C" w:rsidRPr="00261B7A" w14:paraId="75E92543" w14:textId="77777777" w:rsidTr="00726451">
        <w:trPr>
          <w:trHeight w:val="20"/>
        </w:trPr>
        <w:tc>
          <w:tcPr>
            <w:tcW w:w="1246" w:type="dxa"/>
            <w:vMerge w:val="restart"/>
            <w:tcBorders>
              <w:top w:val="single" w:sz="4" w:space="0" w:color="1B556B"/>
              <w:bottom w:val="single" w:sz="4" w:space="0" w:color="1B556B"/>
            </w:tcBorders>
          </w:tcPr>
          <w:p w14:paraId="12DCB0E2" w14:textId="77777777" w:rsidR="0010265C" w:rsidRPr="00261B7A" w:rsidRDefault="0010265C" w:rsidP="00D41492">
            <w:pPr>
              <w:pStyle w:val="TableText"/>
              <w:spacing w:before="30" w:after="30"/>
              <w:rPr>
                <w:rFonts w:cs="Calibri"/>
                <w:szCs w:val="16"/>
              </w:rPr>
            </w:pPr>
            <w:r w:rsidRPr="00261B7A">
              <w:rPr>
                <w:rFonts w:cs="Calibri"/>
                <w:szCs w:val="16"/>
              </w:rPr>
              <w:t>With woody biomass – permanent</w:t>
            </w:r>
          </w:p>
        </w:tc>
        <w:tc>
          <w:tcPr>
            <w:tcW w:w="1731" w:type="dxa"/>
            <w:tcBorders>
              <w:top w:val="single" w:sz="4" w:space="0" w:color="1B556B"/>
              <w:bottom w:val="single" w:sz="4" w:space="0" w:color="1B556B"/>
            </w:tcBorders>
          </w:tcPr>
          <w:p w14:paraId="377A986E" w14:textId="77777777" w:rsidR="0010265C" w:rsidRPr="00261B7A" w:rsidRDefault="0010265C" w:rsidP="00D41492">
            <w:pPr>
              <w:pStyle w:val="TableText"/>
              <w:spacing w:before="30" w:after="30"/>
              <w:rPr>
                <w:rFonts w:cs="Calibri"/>
                <w:b/>
                <w:szCs w:val="16"/>
              </w:rPr>
            </w:pPr>
            <w:r w:rsidRPr="00261B7A">
              <w:rPr>
                <w:rFonts w:cs="Calibri"/>
                <w:b/>
                <w:szCs w:val="16"/>
              </w:rPr>
              <w:t>Total biomass</w:t>
            </w:r>
          </w:p>
        </w:tc>
        <w:tc>
          <w:tcPr>
            <w:tcW w:w="1276" w:type="dxa"/>
            <w:tcBorders>
              <w:top w:val="single" w:sz="4" w:space="0" w:color="1B556B"/>
              <w:bottom w:val="single" w:sz="4" w:space="0" w:color="1B556B"/>
            </w:tcBorders>
          </w:tcPr>
          <w:p w14:paraId="753694FD" w14:textId="77777777" w:rsidR="0010265C" w:rsidRPr="00261B7A" w:rsidRDefault="0010265C" w:rsidP="00D41492">
            <w:pPr>
              <w:pStyle w:val="TableText"/>
              <w:spacing w:before="30" w:after="30"/>
              <w:jc w:val="center"/>
              <w:rPr>
                <w:rFonts w:cs="Calibri"/>
                <w:b/>
                <w:szCs w:val="16"/>
              </w:rPr>
            </w:pPr>
            <w:r w:rsidRPr="00261B7A">
              <w:rPr>
                <w:rFonts w:cs="Calibri"/>
                <w:b/>
                <w:szCs w:val="16"/>
              </w:rPr>
              <w:t>60.57</w:t>
            </w:r>
          </w:p>
        </w:tc>
        <w:tc>
          <w:tcPr>
            <w:tcW w:w="1276" w:type="dxa"/>
            <w:tcBorders>
              <w:top w:val="single" w:sz="4" w:space="0" w:color="1B556B"/>
              <w:bottom w:val="single" w:sz="4" w:space="0" w:color="1B556B"/>
            </w:tcBorders>
          </w:tcPr>
          <w:p w14:paraId="49FEB6BB" w14:textId="77777777" w:rsidR="0010265C" w:rsidRPr="00261B7A" w:rsidRDefault="0010265C" w:rsidP="00D41492">
            <w:pPr>
              <w:pStyle w:val="TableText"/>
              <w:spacing w:before="30" w:after="30"/>
              <w:jc w:val="center"/>
              <w:rPr>
                <w:rFonts w:cs="Calibri"/>
                <w:b/>
                <w:szCs w:val="16"/>
              </w:rPr>
            </w:pPr>
            <w:r w:rsidRPr="00261B7A">
              <w:rPr>
                <w:rFonts w:cs="Calibri"/>
                <w:b/>
                <w:bCs/>
                <w:szCs w:val="16"/>
              </w:rPr>
              <w:t>NO</w:t>
            </w:r>
          </w:p>
        </w:tc>
        <w:tc>
          <w:tcPr>
            <w:tcW w:w="1275" w:type="dxa"/>
            <w:tcBorders>
              <w:top w:val="single" w:sz="4" w:space="0" w:color="1B556B"/>
              <w:bottom w:val="single" w:sz="4" w:space="0" w:color="1B556B"/>
            </w:tcBorders>
          </w:tcPr>
          <w:p w14:paraId="4BB4F17C" w14:textId="77777777" w:rsidR="0010265C" w:rsidRPr="00261B7A" w:rsidRDefault="0010265C" w:rsidP="00D41492">
            <w:pPr>
              <w:pStyle w:val="TableText"/>
              <w:spacing w:before="30" w:after="30"/>
              <w:jc w:val="center"/>
              <w:rPr>
                <w:rFonts w:cs="Calibri"/>
                <w:b/>
                <w:szCs w:val="16"/>
              </w:rPr>
            </w:pPr>
            <w:r w:rsidRPr="00261B7A">
              <w:rPr>
                <w:rFonts w:cs="Calibri"/>
                <w:b/>
                <w:bCs/>
                <w:szCs w:val="16"/>
              </w:rPr>
              <w:t>NO</w:t>
            </w:r>
          </w:p>
        </w:tc>
        <w:tc>
          <w:tcPr>
            <w:tcW w:w="1701" w:type="dxa"/>
            <w:vMerge w:val="restart"/>
            <w:tcBorders>
              <w:top w:val="single" w:sz="4" w:space="0" w:color="1B556B"/>
              <w:bottom w:val="single" w:sz="4" w:space="0" w:color="1B556B"/>
            </w:tcBorders>
          </w:tcPr>
          <w:p w14:paraId="77A0FBCF" w14:textId="77777777" w:rsidR="0010265C" w:rsidRPr="00261B7A" w:rsidRDefault="0010265C" w:rsidP="00D41492">
            <w:pPr>
              <w:pStyle w:val="TableText"/>
              <w:spacing w:before="30" w:after="30"/>
              <w:rPr>
                <w:rFonts w:cs="Calibri"/>
                <w:szCs w:val="16"/>
              </w:rPr>
            </w:pPr>
            <w:r w:rsidRPr="00261B7A">
              <w:rPr>
                <w:rFonts w:cs="Calibri"/>
                <w:szCs w:val="16"/>
              </w:rPr>
              <w:t>Wakelin and Beets (unpublished)</w:t>
            </w:r>
          </w:p>
        </w:tc>
      </w:tr>
      <w:tr w:rsidR="0010265C" w:rsidRPr="00261B7A" w14:paraId="38D9D386" w14:textId="77777777" w:rsidTr="00726451">
        <w:trPr>
          <w:trHeight w:val="20"/>
        </w:trPr>
        <w:tc>
          <w:tcPr>
            <w:tcW w:w="1246" w:type="dxa"/>
            <w:vMerge/>
            <w:tcBorders>
              <w:top w:val="single" w:sz="4" w:space="0" w:color="1B556B"/>
              <w:bottom w:val="single" w:sz="4" w:space="0" w:color="1B556B"/>
            </w:tcBorders>
          </w:tcPr>
          <w:p w14:paraId="0C477F4B" w14:textId="77777777" w:rsidR="0010265C" w:rsidRPr="00261B7A" w:rsidRDefault="0010265C" w:rsidP="00D41492">
            <w:pPr>
              <w:pStyle w:val="TableText"/>
              <w:spacing w:before="30" w:after="30"/>
              <w:rPr>
                <w:rFonts w:cs="Calibri"/>
                <w:szCs w:val="16"/>
              </w:rPr>
            </w:pPr>
          </w:p>
        </w:tc>
        <w:tc>
          <w:tcPr>
            <w:tcW w:w="1731" w:type="dxa"/>
            <w:tcBorders>
              <w:top w:val="single" w:sz="4" w:space="0" w:color="1B556B"/>
              <w:bottom w:val="single" w:sz="4" w:space="0" w:color="1B556B"/>
            </w:tcBorders>
          </w:tcPr>
          <w:p w14:paraId="2DEB0EC7" w14:textId="77777777" w:rsidR="0010265C" w:rsidRPr="00261B7A" w:rsidRDefault="0010265C" w:rsidP="00D41492">
            <w:pPr>
              <w:pStyle w:val="TableText"/>
              <w:spacing w:before="30" w:after="30"/>
              <w:rPr>
                <w:rFonts w:cs="Calibri"/>
                <w:i/>
                <w:szCs w:val="16"/>
              </w:rPr>
            </w:pPr>
            <w:r w:rsidRPr="00261B7A">
              <w:rPr>
                <w:rFonts w:cs="Calibri"/>
                <w:i/>
                <w:szCs w:val="16"/>
              </w:rPr>
              <w:t>Living biomass</w:t>
            </w:r>
          </w:p>
        </w:tc>
        <w:tc>
          <w:tcPr>
            <w:tcW w:w="1276" w:type="dxa"/>
            <w:tcBorders>
              <w:top w:val="single" w:sz="4" w:space="0" w:color="1B556B"/>
              <w:bottom w:val="single" w:sz="4" w:space="0" w:color="1B556B"/>
            </w:tcBorders>
          </w:tcPr>
          <w:p w14:paraId="2DA2BA6A" w14:textId="77777777" w:rsidR="0010265C" w:rsidRPr="00261B7A" w:rsidRDefault="0010265C" w:rsidP="00D41492">
            <w:pPr>
              <w:pStyle w:val="TableText"/>
              <w:spacing w:before="30" w:after="30"/>
              <w:jc w:val="center"/>
              <w:rPr>
                <w:rFonts w:cs="Calibri"/>
                <w:szCs w:val="16"/>
              </w:rPr>
            </w:pPr>
          </w:p>
        </w:tc>
        <w:tc>
          <w:tcPr>
            <w:tcW w:w="1276" w:type="dxa"/>
            <w:tcBorders>
              <w:top w:val="single" w:sz="4" w:space="0" w:color="1B556B"/>
              <w:bottom w:val="single" w:sz="4" w:space="0" w:color="1B556B"/>
            </w:tcBorders>
          </w:tcPr>
          <w:p w14:paraId="56D65158" w14:textId="77777777" w:rsidR="0010265C" w:rsidRPr="00261B7A" w:rsidRDefault="0010265C" w:rsidP="00D41492">
            <w:pPr>
              <w:pStyle w:val="TableText"/>
              <w:spacing w:before="30" w:after="30"/>
              <w:jc w:val="center"/>
              <w:rPr>
                <w:rFonts w:cs="Calibri"/>
                <w:szCs w:val="16"/>
              </w:rPr>
            </w:pPr>
          </w:p>
        </w:tc>
        <w:tc>
          <w:tcPr>
            <w:tcW w:w="1275" w:type="dxa"/>
            <w:tcBorders>
              <w:top w:val="single" w:sz="4" w:space="0" w:color="1B556B"/>
              <w:bottom w:val="single" w:sz="4" w:space="0" w:color="1B556B"/>
            </w:tcBorders>
          </w:tcPr>
          <w:p w14:paraId="76FB78D4" w14:textId="77777777" w:rsidR="0010265C" w:rsidRPr="00261B7A" w:rsidRDefault="0010265C" w:rsidP="00D41492">
            <w:pPr>
              <w:pStyle w:val="TableText"/>
              <w:spacing w:before="30" w:after="30"/>
              <w:jc w:val="center"/>
              <w:rPr>
                <w:rFonts w:cs="Calibri"/>
                <w:szCs w:val="16"/>
              </w:rPr>
            </w:pPr>
          </w:p>
        </w:tc>
        <w:tc>
          <w:tcPr>
            <w:tcW w:w="1701" w:type="dxa"/>
            <w:vMerge/>
            <w:tcBorders>
              <w:top w:val="single" w:sz="4" w:space="0" w:color="1B556B"/>
              <w:bottom w:val="single" w:sz="4" w:space="0" w:color="1B556B"/>
            </w:tcBorders>
          </w:tcPr>
          <w:p w14:paraId="28575162" w14:textId="77777777" w:rsidR="0010265C" w:rsidRPr="00261B7A" w:rsidRDefault="0010265C" w:rsidP="00D41492">
            <w:pPr>
              <w:pStyle w:val="TableText"/>
              <w:spacing w:before="30" w:after="30"/>
              <w:rPr>
                <w:rFonts w:cs="Calibri"/>
                <w:szCs w:val="16"/>
              </w:rPr>
            </w:pPr>
          </w:p>
        </w:tc>
      </w:tr>
      <w:tr w:rsidR="0010265C" w:rsidRPr="00261B7A" w14:paraId="75D57D95" w14:textId="77777777" w:rsidTr="00726451">
        <w:trPr>
          <w:trHeight w:val="20"/>
        </w:trPr>
        <w:tc>
          <w:tcPr>
            <w:tcW w:w="1246" w:type="dxa"/>
            <w:vMerge/>
            <w:tcBorders>
              <w:bottom w:val="single" w:sz="4" w:space="0" w:color="1B556B"/>
            </w:tcBorders>
          </w:tcPr>
          <w:p w14:paraId="17949AFE" w14:textId="77777777" w:rsidR="0010265C" w:rsidRPr="00261B7A" w:rsidRDefault="0010265C" w:rsidP="00D41492">
            <w:pPr>
              <w:pStyle w:val="TableText"/>
              <w:spacing w:before="30" w:after="30"/>
              <w:rPr>
                <w:rFonts w:cs="Calibri"/>
                <w:szCs w:val="16"/>
              </w:rPr>
            </w:pPr>
          </w:p>
        </w:tc>
        <w:tc>
          <w:tcPr>
            <w:tcW w:w="1731" w:type="dxa"/>
            <w:tcBorders>
              <w:top w:val="single" w:sz="4" w:space="0" w:color="1B556B"/>
              <w:bottom w:val="single" w:sz="4" w:space="0" w:color="1B556B"/>
            </w:tcBorders>
          </w:tcPr>
          <w:p w14:paraId="3B0AB78C" w14:textId="77777777" w:rsidR="0010265C" w:rsidRPr="00261B7A" w:rsidRDefault="0010265C" w:rsidP="00D41492">
            <w:pPr>
              <w:pStyle w:val="TableText"/>
              <w:spacing w:before="30" w:after="30"/>
              <w:rPr>
                <w:rFonts w:cs="Calibri"/>
                <w:szCs w:val="16"/>
              </w:rPr>
            </w:pPr>
            <w:r w:rsidRPr="00261B7A">
              <w:rPr>
                <w:rFonts w:cs="Calibri"/>
                <w:szCs w:val="16"/>
              </w:rPr>
              <w:tab/>
              <w:t>AGB</w:t>
            </w:r>
          </w:p>
        </w:tc>
        <w:tc>
          <w:tcPr>
            <w:tcW w:w="1276" w:type="dxa"/>
            <w:tcBorders>
              <w:top w:val="single" w:sz="4" w:space="0" w:color="1B556B"/>
              <w:bottom w:val="single" w:sz="4" w:space="0" w:color="1B556B"/>
            </w:tcBorders>
          </w:tcPr>
          <w:p w14:paraId="25305552" w14:textId="77777777" w:rsidR="0010265C" w:rsidRPr="00261B7A" w:rsidRDefault="0010265C" w:rsidP="00D41492">
            <w:pPr>
              <w:pStyle w:val="TableText"/>
              <w:spacing w:before="30" w:after="30"/>
              <w:jc w:val="center"/>
              <w:rPr>
                <w:rFonts w:cs="Calibri"/>
                <w:szCs w:val="16"/>
              </w:rPr>
            </w:pPr>
            <w:r w:rsidRPr="00261B7A">
              <w:rPr>
                <w:rFonts w:cs="Calibri"/>
                <w:szCs w:val="16"/>
              </w:rPr>
              <w:t>45.18</w:t>
            </w:r>
          </w:p>
        </w:tc>
        <w:tc>
          <w:tcPr>
            <w:tcW w:w="1276" w:type="dxa"/>
            <w:tcBorders>
              <w:top w:val="single" w:sz="4" w:space="0" w:color="1B556B"/>
              <w:bottom w:val="single" w:sz="4" w:space="0" w:color="1B556B"/>
            </w:tcBorders>
          </w:tcPr>
          <w:p w14:paraId="4A45EE00" w14:textId="77777777" w:rsidR="0010265C" w:rsidRPr="00261B7A" w:rsidRDefault="0010265C" w:rsidP="00D41492">
            <w:pPr>
              <w:pStyle w:val="TableText"/>
              <w:spacing w:before="30" w:after="30"/>
              <w:jc w:val="center"/>
              <w:rPr>
                <w:rFonts w:cs="Calibri"/>
                <w:szCs w:val="16"/>
              </w:rPr>
            </w:pPr>
            <w:r w:rsidRPr="00261B7A">
              <w:rPr>
                <w:rFonts w:cs="Calibri"/>
                <w:szCs w:val="16"/>
              </w:rPr>
              <w:t>NO</w:t>
            </w:r>
          </w:p>
        </w:tc>
        <w:tc>
          <w:tcPr>
            <w:tcW w:w="1275" w:type="dxa"/>
            <w:tcBorders>
              <w:top w:val="single" w:sz="4" w:space="0" w:color="1B556B"/>
              <w:bottom w:val="single" w:sz="4" w:space="0" w:color="1B556B"/>
            </w:tcBorders>
          </w:tcPr>
          <w:p w14:paraId="77C84D37" w14:textId="77777777" w:rsidR="0010265C" w:rsidRPr="00261B7A" w:rsidRDefault="0010265C" w:rsidP="00D41492">
            <w:pPr>
              <w:pStyle w:val="TableText"/>
              <w:spacing w:before="30" w:after="30"/>
              <w:jc w:val="center"/>
              <w:rPr>
                <w:rFonts w:cs="Calibri"/>
                <w:szCs w:val="16"/>
              </w:rPr>
            </w:pPr>
            <w:r w:rsidRPr="00261B7A">
              <w:rPr>
                <w:rFonts w:cs="Calibri"/>
                <w:b/>
                <w:bCs/>
                <w:szCs w:val="16"/>
              </w:rPr>
              <w:t>NO</w:t>
            </w:r>
          </w:p>
        </w:tc>
        <w:tc>
          <w:tcPr>
            <w:tcW w:w="1701" w:type="dxa"/>
            <w:vMerge/>
            <w:tcBorders>
              <w:bottom w:val="single" w:sz="4" w:space="0" w:color="1B556B"/>
            </w:tcBorders>
          </w:tcPr>
          <w:p w14:paraId="5A47214D" w14:textId="77777777" w:rsidR="0010265C" w:rsidRPr="00261B7A" w:rsidRDefault="0010265C" w:rsidP="00D41492">
            <w:pPr>
              <w:pStyle w:val="TableText"/>
              <w:spacing w:before="30" w:after="30"/>
              <w:rPr>
                <w:rFonts w:cs="Calibri"/>
                <w:szCs w:val="16"/>
              </w:rPr>
            </w:pPr>
          </w:p>
        </w:tc>
      </w:tr>
      <w:tr w:rsidR="0010265C" w:rsidRPr="00261B7A" w14:paraId="3DA136C1" w14:textId="77777777" w:rsidTr="00726451">
        <w:trPr>
          <w:trHeight w:val="20"/>
        </w:trPr>
        <w:tc>
          <w:tcPr>
            <w:tcW w:w="1246" w:type="dxa"/>
            <w:vMerge/>
            <w:tcBorders>
              <w:bottom w:val="single" w:sz="4" w:space="0" w:color="1B556B"/>
            </w:tcBorders>
          </w:tcPr>
          <w:p w14:paraId="1A3FAB93" w14:textId="77777777" w:rsidR="0010265C" w:rsidRPr="00261B7A" w:rsidRDefault="0010265C" w:rsidP="00D41492">
            <w:pPr>
              <w:pStyle w:val="TableText"/>
              <w:spacing w:before="30" w:after="30"/>
              <w:rPr>
                <w:rFonts w:cs="Calibri"/>
                <w:szCs w:val="16"/>
              </w:rPr>
            </w:pPr>
          </w:p>
        </w:tc>
        <w:tc>
          <w:tcPr>
            <w:tcW w:w="1731" w:type="dxa"/>
            <w:tcBorders>
              <w:top w:val="single" w:sz="4" w:space="0" w:color="1B556B"/>
              <w:bottom w:val="single" w:sz="4" w:space="0" w:color="1B556B"/>
            </w:tcBorders>
          </w:tcPr>
          <w:p w14:paraId="17A5F65B" w14:textId="77777777" w:rsidR="0010265C" w:rsidRPr="00261B7A" w:rsidRDefault="0010265C" w:rsidP="00D41492">
            <w:pPr>
              <w:pStyle w:val="TableText"/>
              <w:spacing w:before="30" w:after="30"/>
              <w:rPr>
                <w:rFonts w:cs="Calibri"/>
                <w:szCs w:val="16"/>
              </w:rPr>
            </w:pPr>
            <w:r w:rsidRPr="00261B7A">
              <w:rPr>
                <w:rFonts w:cs="Calibri"/>
                <w:szCs w:val="16"/>
              </w:rPr>
              <w:tab/>
              <w:t>BGB</w:t>
            </w:r>
          </w:p>
        </w:tc>
        <w:tc>
          <w:tcPr>
            <w:tcW w:w="1276" w:type="dxa"/>
            <w:tcBorders>
              <w:top w:val="single" w:sz="4" w:space="0" w:color="1B556B"/>
              <w:bottom w:val="single" w:sz="4" w:space="0" w:color="1B556B"/>
            </w:tcBorders>
          </w:tcPr>
          <w:p w14:paraId="54E8AD44" w14:textId="77777777" w:rsidR="0010265C" w:rsidRPr="00261B7A" w:rsidRDefault="0010265C" w:rsidP="00D41492">
            <w:pPr>
              <w:pStyle w:val="TableText"/>
              <w:spacing w:before="30" w:after="30"/>
              <w:jc w:val="center"/>
              <w:rPr>
                <w:rFonts w:cs="Calibri"/>
                <w:szCs w:val="16"/>
              </w:rPr>
            </w:pPr>
            <w:r w:rsidRPr="00261B7A">
              <w:rPr>
                <w:rFonts w:cs="Calibri"/>
                <w:szCs w:val="16"/>
              </w:rPr>
              <w:t>11.71</w:t>
            </w:r>
          </w:p>
        </w:tc>
        <w:tc>
          <w:tcPr>
            <w:tcW w:w="1276" w:type="dxa"/>
            <w:tcBorders>
              <w:top w:val="single" w:sz="4" w:space="0" w:color="1B556B"/>
              <w:bottom w:val="single" w:sz="4" w:space="0" w:color="1B556B"/>
            </w:tcBorders>
          </w:tcPr>
          <w:p w14:paraId="7D4BE9FC" w14:textId="77777777" w:rsidR="0010265C" w:rsidRPr="00261B7A" w:rsidRDefault="0010265C" w:rsidP="00D41492">
            <w:pPr>
              <w:pStyle w:val="TableText"/>
              <w:spacing w:before="30" w:after="30"/>
              <w:jc w:val="center"/>
              <w:rPr>
                <w:rFonts w:cs="Calibri"/>
                <w:szCs w:val="16"/>
              </w:rPr>
            </w:pPr>
            <w:r w:rsidRPr="00261B7A">
              <w:rPr>
                <w:rFonts w:cs="Calibri"/>
                <w:szCs w:val="16"/>
              </w:rPr>
              <w:t>NO</w:t>
            </w:r>
          </w:p>
        </w:tc>
        <w:tc>
          <w:tcPr>
            <w:tcW w:w="1275" w:type="dxa"/>
            <w:tcBorders>
              <w:top w:val="single" w:sz="4" w:space="0" w:color="1B556B"/>
              <w:bottom w:val="single" w:sz="4" w:space="0" w:color="1B556B"/>
            </w:tcBorders>
          </w:tcPr>
          <w:p w14:paraId="645C520B" w14:textId="77777777" w:rsidR="0010265C" w:rsidRPr="00261B7A" w:rsidRDefault="0010265C" w:rsidP="00D41492">
            <w:pPr>
              <w:pStyle w:val="TableText"/>
              <w:spacing w:before="30" w:after="30"/>
              <w:jc w:val="center"/>
              <w:rPr>
                <w:rFonts w:cs="Calibri"/>
                <w:szCs w:val="16"/>
              </w:rPr>
            </w:pPr>
            <w:r w:rsidRPr="00261B7A">
              <w:rPr>
                <w:rFonts w:cs="Calibri"/>
                <w:b/>
                <w:bCs/>
                <w:szCs w:val="16"/>
              </w:rPr>
              <w:t>NO</w:t>
            </w:r>
          </w:p>
        </w:tc>
        <w:tc>
          <w:tcPr>
            <w:tcW w:w="1701" w:type="dxa"/>
            <w:vMerge/>
            <w:tcBorders>
              <w:bottom w:val="single" w:sz="4" w:space="0" w:color="1B556B"/>
            </w:tcBorders>
          </w:tcPr>
          <w:p w14:paraId="44C4669C" w14:textId="77777777" w:rsidR="0010265C" w:rsidRPr="00261B7A" w:rsidRDefault="0010265C" w:rsidP="00D41492">
            <w:pPr>
              <w:pStyle w:val="TableText"/>
              <w:spacing w:before="30" w:after="30"/>
              <w:rPr>
                <w:rFonts w:cs="Calibri"/>
                <w:szCs w:val="16"/>
              </w:rPr>
            </w:pPr>
          </w:p>
        </w:tc>
      </w:tr>
      <w:tr w:rsidR="0010265C" w:rsidRPr="00261B7A" w14:paraId="6C887660" w14:textId="77777777" w:rsidTr="00726451">
        <w:trPr>
          <w:trHeight w:val="20"/>
        </w:trPr>
        <w:tc>
          <w:tcPr>
            <w:tcW w:w="1246" w:type="dxa"/>
            <w:vMerge/>
            <w:tcBorders>
              <w:bottom w:val="single" w:sz="4" w:space="0" w:color="1B556B"/>
            </w:tcBorders>
          </w:tcPr>
          <w:p w14:paraId="6CBE59E9" w14:textId="77777777" w:rsidR="0010265C" w:rsidRPr="00261B7A" w:rsidRDefault="0010265C" w:rsidP="00D41492">
            <w:pPr>
              <w:pStyle w:val="TableText"/>
              <w:spacing w:before="30" w:after="30"/>
              <w:rPr>
                <w:rFonts w:cs="Calibri"/>
                <w:szCs w:val="16"/>
              </w:rPr>
            </w:pPr>
          </w:p>
        </w:tc>
        <w:tc>
          <w:tcPr>
            <w:tcW w:w="1731" w:type="dxa"/>
            <w:tcBorders>
              <w:top w:val="single" w:sz="4" w:space="0" w:color="1B556B"/>
              <w:bottom w:val="single" w:sz="4" w:space="0" w:color="1B556B"/>
            </w:tcBorders>
          </w:tcPr>
          <w:p w14:paraId="5D8C2AA4" w14:textId="77777777" w:rsidR="0010265C" w:rsidRPr="00261B7A" w:rsidRDefault="0010265C" w:rsidP="00D41492">
            <w:pPr>
              <w:pStyle w:val="TableText"/>
              <w:spacing w:before="30" w:after="30"/>
              <w:rPr>
                <w:rFonts w:cs="Calibri"/>
                <w:i/>
                <w:szCs w:val="16"/>
              </w:rPr>
            </w:pPr>
            <w:r w:rsidRPr="00261B7A">
              <w:rPr>
                <w:rFonts w:cs="Calibri"/>
                <w:i/>
                <w:szCs w:val="16"/>
              </w:rPr>
              <w:t>Dead organic matter</w:t>
            </w:r>
          </w:p>
        </w:tc>
        <w:tc>
          <w:tcPr>
            <w:tcW w:w="1276" w:type="dxa"/>
            <w:tcBorders>
              <w:top w:val="single" w:sz="4" w:space="0" w:color="1B556B"/>
              <w:bottom w:val="single" w:sz="4" w:space="0" w:color="1B556B"/>
            </w:tcBorders>
          </w:tcPr>
          <w:p w14:paraId="654CBE1A" w14:textId="77777777" w:rsidR="0010265C" w:rsidRPr="00261B7A" w:rsidRDefault="0010265C" w:rsidP="00D41492">
            <w:pPr>
              <w:pStyle w:val="TableText"/>
              <w:spacing w:before="30" w:after="30"/>
              <w:jc w:val="center"/>
              <w:rPr>
                <w:rFonts w:cs="Calibri"/>
                <w:szCs w:val="16"/>
              </w:rPr>
            </w:pPr>
          </w:p>
        </w:tc>
        <w:tc>
          <w:tcPr>
            <w:tcW w:w="1276" w:type="dxa"/>
            <w:tcBorders>
              <w:top w:val="single" w:sz="4" w:space="0" w:color="1B556B"/>
              <w:bottom w:val="single" w:sz="4" w:space="0" w:color="1B556B"/>
            </w:tcBorders>
          </w:tcPr>
          <w:p w14:paraId="4C25D432" w14:textId="77777777" w:rsidR="0010265C" w:rsidRPr="00261B7A" w:rsidRDefault="0010265C" w:rsidP="00D41492">
            <w:pPr>
              <w:pStyle w:val="TableText"/>
              <w:spacing w:before="30" w:after="30"/>
              <w:jc w:val="center"/>
              <w:rPr>
                <w:rFonts w:cs="Calibri"/>
                <w:szCs w:val="16"/>
              </w:rPr>
            </w:pPr>
          </w:p>
        </w:tc>
        <w:tc>
          <w:tcPr>
            <w:tcW w:w="1275" w:type="dxa"/>
            <w:tcBorders>
              <w:top w:val="single" w:sz="4" w:space="0" w:color="1B556B"/>
              <w:bottom w:val="single" w:sz="4" w:space="0" w:color="1B556B"/>
            </w:tcBorders>
          </w:tcPr>
          <w:p w14:paraId="624A5974" w14:textId="77777777" w:rsidR="0010265C" w:rsidRPr="00261B7A" w:rsidRDefault="0010265C" w:rsidP="00D41492">
            <w:pPr>
              <w:pStyle w:val="TableText"/>
              <w:spacing w:before="30" w:after="30"/>
              <w:jc w:val="center"/>
              <w:rPr>
                <w:rFonts w:cs="Calibri"/>
                <w:szCs w:val="16"/>
              </w:rPr>
            </w:pPr>
            <w:r w:rsidRPr="00261B7A">
              <w:rPr>
                <w:rFonts w:cs="Calibri"/>
                <w:b/>
                <w:bCs/>
                <w:szCs w:val="16"/>
              </w:rPr>
              <w:t>NO</w:t>
            </w:r>
          </w:p>
        </w:tc>
        <w:tc>
          <w:tcPr>
            <w:tcW w:w="1701" w:type="dxa"/>
            <w:vMerge/>
            <w:tcBorders>
              <w:bottom w:val="single" w:sz="4" w:space="0" w:color="1B556B"/>
            </w:tcBorders>
          </w:tcPr>
          <w:p w14:paraId="5956A86E" w14:textId="77777777" w:rsidR="0010265C" w:rsidRPr="00261B7A" w:rsidRDefault="0010265C" w:rsidP="00D41492">
            <w:pPr>
              <w:pStyle w:val="TableText"/>
              <w:spacing w:before="30" w:after="30"/>
              <w:rPr>
                <w:rFonts w:cs="Calibri"/>
                <w:szCs w:val="16"/>
              </w:rPr>
            </w:pPr>
          </w:p>
        </w:tc>
      </w:tr>
      <w:tr w:rsidR="0010265C" w:rsidRPr="00261B7A" w14:paraId="6DAB4518" w14:textId="77777777" w:rsidTr="00726451">
        <w:trPr>
          <w:trHeight w:val="20"/>
        </w:trPr>
        <w:tc>
          <w:tcPr>
            <w:tcW w:w="1246" w:type="dxa"/>
            <w:vMerge/>
            <w:tcBorders>
              <w:bottom w:val="single" w:sz="4" w:space="0" w:color="1B556B"/>
            </w:tcBorders>
          </w:tcPr>
          <w:p w14:paraId="4A3228BA" w14:textId="77777777" w:rsidR="0010265C" w:rsidRPr="00261B7A" w:rsidRDefault="0010265C" w:rsidP="00D41492">
            <w:pPr>
              <w:pStyle w:val="TableText"/>
              <w:spacing w:before="30" w:after="30"/>
              <w:rPr>
                <w:rFonts w:cs="Calibri"/>
                <w:szCs w:val="16"/>
              </w:rPr>
            </w:pPr>
          </w:p>
        </w:tc>
        <w:tc>
          <w:tcPr>
            <w:tcW w:w="1731" w:type="dxa"/>
            <w:tcBorders>
              <w:top w:val="single" w:sz="4" w:space="0" w:color="1B556B"/>
              <w:bottom w:val="single" w:sz="4" w:space="0" w:color="1B556B"/>
            </w:tcBorders>
          </w:tcPr>
          <w:p w14:paraId="0151381F" w14:textId="77777777" w:rsidR="0010265C" w:rsidRPr="00261B7A" w:rsidRDefault="0010265C" w:rsidP="00D41492">
            <w:pPr>
              <w:pStyle w:val="TableText"/>
              <w:spacing w:before="30" w:after="30"/>
              <w:rPr>
                <w:rFonts w:cs="Calibri"/>
                <w:szCs w:val="16"/>
              </w:rPr>
            </w:pPr>
            <w:r w:rsidRPr="00261B7A">
              <w:rPr>
                <w:rFonts w:cs="Calibri"/>
                <w:szCs w:val="16"/>
              </w:rPr>
              <w:tab/>
              <w:t>Dead wood</w:t>
            </w:r>
          </w:p>
        </w:tc>
        <w:tc>
          <w:tcPr>
            <w:tcW w:w="1276" w:type="dxa"/>
            <w:tcBorders>
              <w:top w:val="single" w:sz="4" w:space="0" w:color="1B556B"/>
              <w:bottom w:val="single" w:sz="4" w:space="0" w:color="1B556B"/>
            </w:tcBorders>
          </w:tcPr>
          <w:p w14:paraId="23E2BADB" w14:textId="77777777" w:rsidR="0010265C" w:rsidRPr="00261B7A" w:rsidRDefault="0010265C" w:rsidP="00D41492">
            <w:pPr>
              <w:pStyle w:val="TableText"/>
              <w:spacing w:before="30" w:after="30"/>
              <w:jc w:val="center"/>
              <w:rPr>
                <w:rFonts w:cs="Calibri"/>
                <w:szCs w:val="16"/>
              </w:rPr>
            </w:pPr>
            <w:r w:rsidRPr="00261B7A">
              <w:rPr>
                <w:rFonts w:cs="Calibri"/>
                <w:szCs w:val="16"/>
              </w:rPr>
              <w:t>3.68</w:t>
            </w:r>
          </w:p>
        </w:tc>
        <w:tc>
          <w:tcPr>
            <w:tcW w:w="1276" w:type="dxa"/>
            <w:tcBorders>
              <w:top w:val="single" w:sz="4" w:space="0" w:color="1B556B"/>
              <w:bottom w:val="single" w:sz="4" w:space="0" w:color="1B556B"/>
            </w:tcBorders>
          </w:tcPr>
          <w:p w14:paraId="4C2722E0" w14:textId="77777777" w:rsidR="0010265C" w:rsidRPr="00261B7A" w:rsidRDefault="0010265C" w:rsidP="00D41492">
            <w:pPr>
              <w:pStyle w:val="TableText"/>
              <w:spacing w:before="30" w:after="30"/>
              <w:jc w:val="center"/>
              <w:rPr>
                <w:rFonts w:cs="Calibri"/>
                <w:szCs w:val="16"/>
              </w:rPr>
            </w:pPr>
            <w:r w:rsidRPr="00261B7A">
              <w:rPr>
                <w:rFonts w:cs="Calibri"/>
                <w:szCs w:val="16"/>
              </w:rPr>
              <w:t>NO</w:t>
            </w:r>
          </w:p>
        </w:tc>
        <w:tc>
          <w:tcPr>
            <w:tcW w:w="1275" w:type="dxa"/>
            <w:tcBorders>
              <w:top w:val="single" w:sz="4" w:space="0" w:color="1B556B"/>
              <w:bottom w:val="single" w:sz="4" w:space="0" w:color="1B556B"/>
            </w:tcBorders>
          </w:tcPr>
          <w:p w14:paraId="1471BD03" w14:textId="77777777" w:rsidR="0010265C" w:rsidRPr="00261B7A" w:rsidRDefault="0010265C" w:rsidP="00D41492">
            <w:pPr>
              <w:pStyle w:val="TableText"/>
              <w:spacing w:before="30" w:after="30"/>
              <w:jc w:val="center"/>
              <w:rPr>
                <w:rFonts w:cs="Calibri"/>
                <w:szCs w:val="16"/>
              </w:rPr>
            </w:pPr>
            <w:r w:rsidRPr="00261B7A">
              <w:rPr>
                <w:rFonts w:cs="Calibri"/>
                <w:b/>
                <w:bCs/>
                <w:szCs w:val="16"/>
              </w:rPr>
              <w:t>NO</w:t>
            </w:r>
          </w:p>
        </w:tc>
        <w:tc>
          <w:tcPr>
            <w:tcW w:w="1701" w:type="dxa"/>
            <w:vMerge/>
            <w:tcBorders>
              <w:bottom w:val="single" w:sz="4" w:space="0" w:color="1B556B"/>
            </w:tcBorders>
          </w:tcPr>
          <w:p w14:paraId="6A6CDEC6" w14:textId="77777777" w:rsidR="0010265C" w:rsidRPr="00261B7A" w:rsidRDefault="0010265C" w:rsidP="00D41492">
            <w:pPr>
              <w:pStyle w:val="TableText"/>
              <w:spacing w:before="30" w:after="30"/>
              <w:rPr>
                <w:rFonts w:cs="Calibri"/>
                <w:szCs w:val="16"/>
              </w:rPr>
            </w:pPr>
          </w:p>
        </w:tc>
      </w:tr>
      <w:tr w:rsidR="0010265C" w:rsidRPr="00261B7A" w14:paraId="35AEDFA7" w14:textId="77777777" w:rsidTr="00726451">
        <w:trPr>
          <w:trHeight w:val="20"/>
        </w:trPr>
        <w:tc>
          <w:tcPr>
            <w:tcW w:w="1246" w:type="dxa"/>
            <w:vMerge/>
            <w:tcBorders>
              <w:bottom w:val="single" w:sz="4" w:space="0" w:color="1B556B"/>
            </w:tcBorders>
          </w:tcPr>
          <w:p w14:paraId="5E868A86" w14:textId="77777777" w:rsidR="0010265C" w:rsidRPr="00261B7A" w:rsidRDefault="0010265C" w:rsidP="00D41492">
            <w:pPr>
              <w:pStyle w:val="TableText"/>
              <w:spacing w:before="30" w:after="30"/>
              <w:rPr>
                <w:rFonts w:cs="Calibri"/>
                <w:szCs w:val="16"/>
              </w:rPr>
            </w:pPr>
          </w:p>
        </w:tc>
        <w:tc>
          <w:tcPr>
            <w:tcW w:w="1731" w:type="dxa"/>
            <w:tcBorders>
              <w:top w:val="single" w:sz="4" w:space="0" w:color="1B556B"/>
              <w:bottom w:val="single" w:sz="4" w:space="0" w:color="1B556B"/>
            </w:tcBorders>
          </w:tcPr>
          <w:p w14:paraId="6A7D2A97" w14:textId="77777777" w:rsidR="0010265C" w:rsidRPr="00261B7A" w:rsidRDefault="0010265C" w:rsidP="00D41492">
            <w:pPr>
              <w:pStyle w:val="TableText"/>
              <w:spacing w:before="30" w:after="30"/>
              <w:rPr>
                <w:rFonts w:cs="Calibri"/>
                <w:szCs w:val="16"/>
              </w:rPr>
            </w:pPr>
            <w:r w:rsidRPr="00261B7A">
              <w:rPr>
                <w:rFonts w:cs="Calibri"/>
                <w:szCs w:val="16"/>
              </w:rPr>
              <w:tab/>
              <w:t>Litter</w:t>
            </w:r>
          </w:p>
        </w:tc>
        <w:tc>
          <w:tcPr>
            <w:tcW w:w="1276" w:type="dxa"/>
            <w:tcBorders>
              <w:top w:val="single" w:sz="4" w:space="0" w:color="1B556B"/>
              <w:bottom w:val="single" w:sz="4" w:space="0" w:color="1B556B"/>
            </w:tcBorders>
          </w:tcPr>
          <w:p w14:paraId="5ED7E2FB" w14:textId="77777777" w:rsidR="0010265C" w:rsidRPr="00261B7A" w:rsidRDefault="0010265C" w:rsidP="00D41492">
            <w:pPr>
              <w:pStyle w:val="TableText"/>
              <w:spacing w:before="30" w:after="30"/>
              <w:jc w:val="center"/>
              <w:rPr>
                <w:rFonts w:cs="Calibri"/>
                <w:szCs w:val="16"/>
              </w:rPr>
            </w:pPr>
            <w:r w:rsidRPr="00261B7A">
              <w:rPr>
                <w:rFonts w:cs="Calibri"/>
                <w:szCs w:val="16"/>
              </w:rPr>
              <w:t>0.00</w:t>
            </w:r>
          </w:p>
        </w:tc>
        <w:tc>
          <w:tcPr>
            <w:tcW w:w="1276" w:type="dxa"/>
            <w:tcBorders>
              <w:top w:val="single" w:sz="4" w:space="0" w:color="1B556B"/>
              <w:bottom w:val="single" w:sz="4" w:space="0" w:color="1B556B"/>
            </w:tcBorders>
          </w:tcPr>
          <w:p w14:paraId="1B2BA841" w14:textId="77777777" w:rsidR="0010265C" w:rsidRPr="00261B7A" w:rsidRDefault="0010265C" w:rsidP="00D41492">
            <w:pPr>
              <w:pStyle w:val="TableText"/>
              <w:spacing w:before="30" w:after="30"/>
              <w:jc w:val="center"/>
              <w:rPr>
                <w:rFonts w:cs="Calibri"/>
                <w:szCs w:val="16"/>
              </w:rPr>
            </w:pPr>
            <w:r w:rsidRPr="00261B7A">
              <w:rPr>
                <w:rFonts w:cs="Calibri"/>
                <w:szCs w:val="16"/>
              </w:rPr>
              <w:t>NO</w:t>
            </w:r>
          </w:p>
        </w:tc>
        <w:tc>
          <w:tcPr>
            <w:tcW w:w="1275" w:type="dxa"/>
            <w:tcBorders>
              <w:top w:val="single" w:sz="4" w:space="0" w:color="1B556B"/>
              <w:bottom w:val="single" w:sz="4" w:space="0" w:color="1B556B"/>
            </w:tcBorders>
          </w:tcPr>
          <w:p w14:paraId="74E27CC2" w14:textId="77777777" w:rsidR="0010265C" w:rsidRPr="00261B7A" w:rsidRDefault="0010265C" w:rsidP="00D41492">
            <w:pPr>
              <w:pStyle w:val="TableText"/>
              <w:spacing w:before="30" w:after="30"/>
              <w:jc w:val="center"/>
              <w:rPr>
                <w:rFonts w:cs="Calibri"/>
                <w:szCs w:val="16"/>
              </w:rPr>
            </w:pPr>
            <w:r w:rsidRPr="00261B7A">
              <w:rPr>
                <w:rFonts w:cs="Calibri"/>
                <w:b/>
                <w:bCs/>
                <w:szCs w:val="16"/>
              </w:rPr>
              <w:t>NO</w:t>
            </w:r>
          </w:p>
        </w:tc>
        <w:tc>
          <w:tcPr>
            <w:tcW w:w="1701" w:type="dxa"/>
            <w:vMerge/>
            <w:tcBorders>
              <w:bottom w:val="single" w:sz="4" w:space="0" w:color="1B556B"/>
            </w:tcBorders>
          </w:tcPr>
          <w:p w14:paraId="2FD912B1" w14:textId="77777777" w:rsidR="0010265C" w:rsidRPr="00261B7A" w:rsidRDefault="0010265C" w:rsidP="00D41492">
            <w:pPr>
              <w:pStyle w:val="TableText"/>
              <w:spacing w:before="30" w:after="30"/>
              <w:rPr>
                <w:rFonts w:cs="Calibri"/>
                <w:szCs w:val="16"/>
              </w:rPr>
            </w:pPr>
          </w:p>
        </w:tc>
      </w:tr>
    </w:tbl>
    <w:p w14:paraId="10C6CADC" w14:textId="77777777" w:rsidR="0010265C" w:rsidRPr="00261B7A" w:rsidRDefault="0010265C" w:rsidP="0010265C">
      <w:pPr>
        <w:pStyle w:val="Noteundertable"/>
      </w:pPr>
      <w:r w:rsidRPr="00261B7A">
        <w:rPr>
          <w:b/>
        </w:rPr>
        <w:t>Note:</w:t>
      </w:r>
      <w:r w:rsidRPr="00261B7A">
        <w:tab/>
        <w:t xml:space="preserve">AGB = above-ground biomass; BGB = below-ground biomass; NA = not applicable; NE = not estimated; NO = not occurring. Columns may not total due to rounding. The high producing grassland figure is based on the Warm temperate – wet figure from table 6.4 of the 2006 IPCC Guidelines, and the low producing grassland figure is based on the Warm temperate – dry figure from the same table (IPCC, 2006a), with a carbon fraction of 0.47 applied to both. Note that the annual accumulation rates for </w:t>
      </w:r>
      <w:r w:rsidRPr="00261B7A">
        <w:rPr>
          <w:i/>
          <w:iCs/>
        </w:rPr>
        <w:t>Grassland with woody biomass</w:t>
      </w:r>
      <w:r w:rsidRPr="00261B7A">
        <w:t xml:space="preserve"> – transitional do not equal the total biomass steady state carbon stock value over 20 years because the starting stock value at year 1 is 3.54 t C ha</w:t>
      </w:r>
      <w:r w:rsidRPr="00261B7A">
        <w:rPr>
          <w:vertAlign w:val="superscript"/>
        </w:rPr>
        <w:t>–1</w:t>
      </w:r>
      <w:r w:rsidRPr="00261B7A">
        <w:t xml:space="preserve">. </w:t>
      </w:r>
    </w:p>
    <w:p w14:paraId="35610E73" w14:textId="77777777" w:rsidR="0010265C" w:rsidRPr="00261B7A" w:rsidRDefault="0010265C" w:rsidP="0010265C">
      <w:pPr>
        <w:pStyle w:val="Heading4"/>
      </w:pPr>
      <w:bookmarkStart w:id="2100" w:name="_Toc280630289"/>
      <w:r w:rsidRPr="00261B7A">
        <w:t>Grassland remaining grassland</w:t>
      </w:r>
      <w:bookmarkEnd w:id="2097"/>
      <w:bookmarkEnd w:id="2098"/>
      <w:bookmarkEnd w:id="2099"/>
      <w:bookmarkEnd w:id="2100"/>
      <w:r w:rsidRPr="00261B7A">
        <w:t xml:space="preserve"> (CRF 4.C.1)</w:t>
      </w:r>
    </w:p>
    <w:p w14:paraId="677411EA" w14:textId="77777777" w:rsidR="0010265C" w:rsidRPr="00261B7A" w:rsidRDefault="0010265C" w:rsidP="0010265C">
      <w:pPr>
        <w:pStyle w:val="BodyText"/>
      </w:pPr>
      <w:r w:rsidRPr="00261B7A">
        <w:t xml:space="preserve">For </w:t>
      </w:r>
      <w:r w:rsidRPr="00261B7A">
        <w:rPr>
          <w:i/>
        </w:rPr>
        <w:t>Grassland remaining grassland</w:t>
      </w:r>
      <w:r w:rsidRPr="00261B7A">
        <w:t xml:space="preserve">, the Tier 1 assumption is there is no change in carbon stocks for </w:t>
      </w:r>
      <w:r w:rsidRPr="00261B7A">
        <w:rPr>
          <w:i/>
          <w:iCs/>
        </w:rPr>
        <w:t>Grassland</w:t>
      </w:r>
      <w:r w:rsidRPr="00261B7A">
        <w:t xml:space="preserve"> remaining in the same subcategory (section 6.2.1.1 of IPCC, 2006a). The rationale is that, where management practices are static, carbon stocks will be in an approximately steady state; that is, carbon gain through plant growth is roughly balanced by losses. New Zealand has reported NA in the CRF tables where there is no land-use change at the category level because no emissions or removals are assumed to have occurred. However, a significant area (570,311 hectares) is currently in a state of conversion from one </w:t>
      </w:r>
      <w:r w:rsidRPr="00261B7A">
        <w:rPr>
          <w:i/>
          <w:iCs/>
        </w:rPr>
        <w:t>Grassland</w:t>
      </w:r>
      <w:r w:rsidRPr="00261B7A">
        <w:t xml:space="preserve"> type to another. The carbon stock changes for these land-use changes are reported under </w:t>
      </w:r>
      <w:r w:rsidRPr="00261B7A">
        <w:rPr>
          <w:i/>
        </w:rPr>
        <w:t>Grassland remaining grassland</w:t>
      </w:r>
      <w:r w:rsidRPr="00261B7A">
        <w:t>.</w:t>
      </w:r>
    </w:p>
    <w:p w14:paraId="6AE02A6D" w14:textId="77777777" w:rsidR="0010265C" w:rsidRPr="00261B7A" w:rsidRDefault="0010265C" w:rsidP="0010265C">
      <w:pPr>
        <w:pStyle w:val="Heading5"/>
      </w:pPr>
      <w:bookmarkStart w:id="2101" w:name="_Toc255466398"/>
      <w:bookmarkStart w:id="2102" w:name="_Toc261513205"/>
      <w:bookmarkStart w:id="2103" w:name="_Toc261513818"/>
      <w:bookmarkStart w:id="2104" w:name="_Toc280630290"/>
      <w:r w:rsidRPr="00261B7A">
        <w:t>Living biomass</w:t>
      </w:r>
      <w:bookmarkEnd w:id="2101"/>
      <w:bookmarkEnd w:id="2102"/>
      <w:bookmarkEnd w:id="2103"/>
      <w:bookmarkEnd w:id="2104"/>
    </w:p>
    <w:p w14:paraId="34C8916F" w14:textId="77777777" w:rsidR="0010265C" w:rsidRPr="00261B7A" w:rsidRDefault="0010265C" w:rsidP="0010265C">
      <w:pPr>
        <w:pStyle w:val="BodyText"/>
      </w:pPr>
      <w:r w:rsidRPr="00261B7A">
        <w:t xml:space="preserve">To calculate carbon stock change in living biomass on land converted from one category to another (e.g., low producing grassland converted to high producing grassland), it is assumed the carbon in living biomass immediately after conversion is zero; that is, the land is cleared of all vegetation. In the same year, carbon stocks in living biomass increase by the amount given in table 6.5.4, representing the annual growth in biomass for land converted to another land use. </w:t>
      </w:r>
    </w:p>
    <w:p w14:paraId="0D80104A" w14:textId="77777777" w:rsidR="0010265C" w:rsidRPr="00261B7A" w:rsidRDefault="0010265C" w:rsidP="0010265C">
      <w:pPr>
        <w:pStyle w:val="Heading5"/>
      </w:pPr>
      <w:bookmarkStart w:id="2105" w:name="_Toc255466399"/>
      <w:bookmarkStart w:id="2106" w:name="_Toc261513206"/>
      <w:bookmarkStart w:id="2107" w:name="_Toc261513819"/>
      <w:bookmarkStart w:id="2108" w:name="_Toc280630291"/>
      <w:r w:rsidRPr="00261B7A">
        <w:t>Dead organic matter</w:t>
      </w:r>
      <w:bookmarkEnd w:id="2105"/>
      <w:bookmarkEnd w:id="2106"/>
      <w:bookmarkEnd w:id="2107"/>
      <w:bookmarkEnd w:id="2108"/>
    </w:p>
    <w:p w14:paraId="04FDACDF" w14:textId="77777777" w:rsidR="0010265C" w:rsidRPr="00261B7A" w:rsidRDefault="0010265C" w:rsidP="0010265C">
      <w:pPr>
        <w:pStyle w:val="BodyText"/>
      </w:pPr>
      <w:r w:rsidRPr="00261B7A">
        <w:t xml:space="preserve">New Zealand does not report estimates of dead organic matter for high producing grassland or low producing grassland because there are no Tier 1 defaults provided in the 2006 IPCC Guidelines (IPCC, 2006a). There is insufficient information to develop default coefficients for estimating the dead organic matter pool for these two categories (IPCC, 2006a). The notation key NE is used in the CRF tables in accordance with paragraph 37(b) of Decision 24/CP.19 (UNFCCC, 2014). </w:t>
      </w:r>
    </w:p>
    <w:p w14:paraId="12DD8D27" w14:textId="77777777" w:rsidR="0010265C" w:rsidRPr="00261B7A" w:rsidRDefault="0010265C" w:rsidP="0010265C">
      <w:pPr>
        <w:pStyle w:val="BodyText"/>
      </w:pPr>
      <w:r w:rsidRPr="00261B7A">
        <w:t xml:space="preserve">For </w:t>
      </w:r>
      <w:r w:rsidRPr="00261B7A">
        <w:rPr>
          <w:i/>
          <w:iCs/>
        </w:rPr>
        <w:t>Grassland with woody biomass</w:t>
      </w:r>
      <w:r w:rsidRPr="00261B7A">
        <w:t>, an estimate of dead organic matter is derived from the LUCAS national forest plot network (Wakelin and Beets, unpublished), and estimates of changes in dead organic matter stocks with conversion to and from this land use are reported.</w:t>
      </w:r>
    </w:p>
    <w:p w14:paraId="587CD61A" w14:textId="77777777" w:rsidR="0010265C" w:rsidRPr="00261B7A" w:rsidRDefault="0010265C" w:rsidP="0010265C">
      <w:pPr>
        <w:pStyle w:val="Heading5"/>
      </w:pPr>
      <w:bookmarkStart w:id="2109" w:name="_Toc255466400"/>
      <w:bookmarkStart w:id="2110" w:name="_Toc261513207"/>
      <w:bookmarkStart w:id="2111" w:name="_Toc261513820"/>
      <w:bookmarkStart w:id="2112" w:name="_Toc280630292"/>
      <w:r w:rsidRPr="00261B7A">
        <w:t>Soil organic carbon</w:t>
      </w:r>
      <w:bookmarkEnd w:id="2109"/>
      <w:bookmarkEnd w:id="2110"/>
      <w:bookmarkEnd w:id="2111"/>
      <w:bookmarkEnd w:id="2112"/>
    </w:p>
    <w:p w14:paraId="482E817B" w14:textId="77777777" w:rsidR="0010265C" w:rsidRPr="00261B7A" w:rsidRDefault="0010265C" w:rsidP="0010265C">
      <w:pPr>
        <w:pStyle w:val="BodyText"/>
      </w:pPr>
      <w:bookmarkStart w:id="2113" w:name="_Toc255466401"/>
      <w:bookmarkStart w:id="2114" w:name="_Toc261513208"/>
      <w:bookmarkStart w:id="2115" w:name="_Toc261513821"/>
      <w:r w:rsidRPr="00261B7A">
        <w:t xml:space="preserve">Soil organic carbon stocks in </w:t>
      </w:r>
      <w:r w:rsidRPr="00261B7A">
        <w:rPr>
          <w:i/>
        </w:rPr>
        <w:t>Grassland remaining grassland</w:t>
      </w:r>
      <w:r w:rsidRPr="00261B7A">
        <w:t xml:space="preserve"> are estimated using a Tier 2 method for mineral soils and a Tier 1 method for organic soils (see annex A3.2.4). </w:t>
      </w:r>
      <w:bookmarkStart w:id="2116" w:name="_Toc255466404"/>
      <w:bookmarkStart w:id="2117" w:name="_Toc261513211"/>
      <w:bookmarkStart w:id="2118" w:name="_Toc261513824"/>
      <w:bookmarkStart w:id="2119" w:name="_Toc280630295"/>
      <w:bookmarkEnd w:id="2113"/>
      <w:bookmarkEnd w:id="2114"/>
      <w:bookmarkEnd w:id="2115"/>
    </w:p>
    <w:p w14:paraId="3B2A23F3" w14:textId="77777777" w:rsidR="0010265C" w:rsidRPr="00261B7A" w:rsidRDefault="0010265C" w:rsidP="0010265C">
      <w:pPr>
        <w:pStyle w:val="Heading5"/>
      </w:pPr>
      <w:r w:rsidRPr="00261B7A">
        <w:t>Non-CO</w:t>
      </w:r>
      <w:r w:rsidRPr="00261B7A">
        <w:rPr>
          <w:vertAlign w:val="subscript"/>
        </w:rPr>
        <w:t>2</w:t>
      </w:r>
      <w:r w:rsidRPr="00261B7A">
        <w:t xml:space="preserve"> emissions</w:t>
      </w:r>
    </w:p>
    <w:p w14:paraId="5AB1FA11" w14:textId="77777777" w:rsidR="0010265C" w:rsidRPr="00261B7A" w:rsidRDefault="0010265C" w:rsidP="0010265C">
      <w:pPr>
        <w:pStyle w:val="BodyText"/>
      </w:pPr>
      <w:r w:rsidRPr="00261B7A">
        <w:t>Direct and indirect N</w:t>
      </w:r>
      <w:r w:rsidRPr="00261B7A">
        <w:rPr>
          <w:vertAlign w:val="subscript"/>
        </w:rPr>
        <w:t>2</w:t>
      </w:r>
      <w:r w:rsidRPr="00261B7A">
        <w:t xml:space="preserve">O emissions occurring as a result of nitrogen inputs, as well as drainage of managed soils, in </w:t>
      </w:r>
      <w:r w:rsidRPr="00261B7A">
        <w:rPr>
          <w:i/>
        </w:rPr>
        <w:t>Grassland remaining grassland</w:t>
      </w:r>
      <w:r w:rsidRPr="00261B7A">
        <w:t xml:space="preserve"> are reported under the Agriculture sector. </w:t>
      </w:r>
    </w:p>
    <w:p w14:paraId="78D34161" w14:textId="77777777" w:rsidR="0010265C" w:rsidRPr="00261B7A" w:rsidRDefault="0010265C" w:rsidP="0010265C">
      <w:pPr>
        <w:pStyle w:val="Heading4"/>
      </w:pPr>
      <w:r w:rsidRPr="00261B7A">
        <w:t>Land converted to grassland</w:t>
      </w:r>
      <w:bookmarkEnd w:id="2116"/>
      <w:bookmarkEnd w:id="2117"/>
      <w:bookmarkEnd w:id="2118"/>
      <w:bookmarkEnd w:id="2119"/>
      <w:r w:rsidRPr="00261B7A">
        <w:t xml:space="preserve"> (CRF 4.C.2)</w:t>
      </w:r>
    </w:p>
    <w:p w14:paraId="5B8012F5" w14:textId="77777777" w:rsidR="0010265C" w:rsidRPr="00261B7A" w:rsidRDefault="0010265C" w:rsidP="0010265C">
      <w:pPr>
        <w:pStyle w:val="Heading5"/>
        <w:spacing w:before="160"/>
      </w:pPr>
      <w:bookmarkStart w:id="2120" w:name="_Toc255466405"/>
      <w:bookmarkStart w:id="2121" w:name="_Toc261513212"/>
      <w:bookmarkStart w:id="2122" w:name="_Toc261513825"/>
      <w:bookmarkStart w:id="2123" w:name="_Toc280630296"/>
      <w:r w:rsidRPr="00261B7A">
        <w:t>Living biomass</w:t>
      </w:r>
      <w:bookmarkEnd w:id="2120"/>
      <w:bookmarkEnd w:id="2121"/>
      <w:bookmarkEnd w:id="2122"/>
      <w:bookmarkEnd w:id="2123"/>
    </w:p>
    <w:p w14:paraId="5B64306C" w14:textId="77777777" w:rsidR="0010265C" w:rsidRPr="00261B7A" w:rsidRDefault="0010265C" w:rsidP="0010265C">
      <w:pPr>
        <w:pStyle w:val="BodyText"/>
      </w:pPr>
      <w:r w:rsidRPr="00261B7A">
        <w:t xml:space="preserve">New Zealand applies a Tier 1 method to calculate emissions for </w:t>
      </w:r>
      <w:r w:rsidRPr="00261B7A">
        <w:rPr>
          <w:i/>
        </w:rPr>
        <w:t>Land converted to grassland</w:t>
      </w:r>
      <w:r w:rsidRPr="00261B7A">
        <w:t xml:space="preserve">. The Tier 1 method multiplies the area of </w:t>
      </w:r>
      <w:r w:rsidRPr="00261B7A">
        <w:rPr>
          <w:i/>
        </w:rPr>
        <w:t>Land converted to grassland</w:t>
      </w:r>
      <w:r w:rsidRPr="00261B7A">
        <w:t xml:space="preserve"> annually by the carbon stock change per area for that type of conversion. </w:t>
      </w:r>
    </w:p>
    <w:p w14:paraId="2DA27CE5" w14:textId="77777777" w:rsidR="0010265C" w:rsidRPr="00261B7A" w:rsidRDefault="0010265C" w:rsidP="0010265C">
      <w:pPr>
        <w:pStyle w:val="BodyText"/>
      </w:pPr>
      <w:r w:rsidRPr="00261B7A">
        <w:t xml:space="preserve">The Tier 1 method assumes carbon in living biomass immediately after conversion is zero; that is, the land is cleared of all vegetation at conversion and is instantly oxidised. The Tier 1 method also includes changes in carbon stocks from one year of growth from the </w:t>
      </w:r>
      <w:r w:rsidRPr="00261B7A">
        <w:rPr>
          <w:i/>
          <w:iCs/>
        </w:rPr>
        <w:t>Grassland</w:t>
      </w:r>
      <w:r w:rsidRPr="00261B7A">
        <w:t xml:space="preserve"> category that land was converted to in the year conversion takes place, as outlined in equation 2.9 of the 2006 IPCC Guidelines (IPCC, 2006a).</w:t>
      </w:r>
    </w:p>
    <w:p w14:paraId="4D9E38FA" w14:textId="77777777" w:rsidR="0010265C" w:rsidRPr="00261B7A" w:rsidRDefault="0010265C" w:rsidP="0010265C">
      <w:pPr>
        <w:pStyle w:val="Heading5"/>
      </w:pPr>
      <w:bookmarkStart w:id="2124" w:name="_Toc255466406"/>
      <w:bookmarkStart w:id="2125" w:name="_Toc261513213"/>
      <w:bookmarkStart w:id="2126" w:name="_Toc261513826"/>
      <w:bookmarkStart w:id="2127" w:name="_Toc280630297"/>
      <w:r w:rsidRPr="00261B7A">
        <w:t>Dead organic matter</w:t>
      </w:r>
      <w:bookmarkEnd w:id="2124"/>
      <w:bookmarkEnd w:id="2125"/>
      <w:bookmarkEnd w:id="2126"/>
      <w:bookmarkEnd w:id="2127"/>
    </w:p>
    <w:p w14:paraId="49FCBC37" w14:textId="77777777" w:rsidR="0010265C" w:rsidRPr="00261B7A" w:rsidRDefault="0010265C" w:rsidP="0010265C">
      <w:pPr>
        <w:pStyle w:val="BodyText"/>
      </w:pPr>
      <w:r w:rsidRPr="00261B7A">
        <w:rPr>
          <w:spacing w:val="-2"/>
        </w:rPr>
        <w:t xml:space="preserve">For land conversion to high and low producing grassland, New Zealand reports only losses in dead organic matter. The losses are calculated based on the carbon in dead organic matter at the site before conversion to </w:t>
      </w:r>
      <w:r w:rsidRPr="00261B7A">
        <w:rPr>
          <w:i/>
          <w:spacing w:val="-2"/>
        </w:rPr>
        <w:t>Grassland</w:t>
      </w:r>
      <w:r w:rsidRPr="00261B7A">
        <w:rPr>
          <w:spacing w:val="-2"/>
        </w:rPr>
        <w:t xml:space="preserve">. It is assumed that, immediately after conversion, the carbon in the dead organic matter pool is zero (all carbon in dead organic matter before conversion is instantly oxidised in the year of conversion). New Zealand applies the Tier 1 default method to high and low producing grassland land uses, which assumes there is no dead wood or litter accumulating in </w:t>
      </w:r>
      <w:r w:rsidRPr="00261B7A">
        <w:rPr>
          <w:i/>
          <w:spacing w:val="-2"/>
        </w:rPr>
        <w:t>Land converted to grassland</w:t>
      </w:r>
      <w:r w:rsidRPr="00261B7A">
        <w:rPr>
          <w:spacing w:val="-2"/>
        </w:rPr>
        <w:t xml:space="preserve"> (IPCC, 2006a). Therefore, where there are no dead organic matter losses associated with the previous land use, the notation key NE is used in the CRF tables in accordance with Decision 24/CP.19 (UNFCCC, 2014</w:t>
      </w:r>
      <w:r w:rsidRPr="00261B7A">
        <w:t>).</w:t>
      </w:r>
    </w:p>
    <w:p w14:paraId="7FCD6B4F" w14:textId="77777777" w:rsidR="0010265C" w:rsidRPr="00261B7A" w:rsidRDefault="0010265C" w:rsidP="0010265C">
      <w:pPr>
        <w:pStyle w:val="BodyText"/>
      </w:pPr>
      <w:r w:rsidRPr="00261B7A">
        <w:t xml:space="preserve">Where land is converted to </w:t>
      </w:r>
      <w:r w:rsidRPr="00261B7A">
        <w:rPr>
          <w:i/>
          <w:iCs/>
        </w:rPr>
        <w:t>Grassland with woody biomass</w:t>
      </w:r>
      <w:r w:rsidRPr="00261B7A">
        <w:t>, dead organic matter accumulates to 0.65 tonnes C ha</w:t>
      </w:r>
      <w:r w:rsidRPr="00261B7A">
        <w:rPr>
          <w:vertAlign w:val="superscript"/>
        </w:rPr>
        <w:t>–1</w:t>
      </w:r>
      <w:r w:rsidRPr="00261B7A">
        <w:t xml:space="preserve"> (see table 6.5.4) over 20 years (the IPCC default period for land to reach steady state (IPCC, 2006a).</w:t>
      </w:r>
    </w:p>
    <w:p w14:paraId="069AB408" w14:textId="77777777" w:rsidR="0010265C" w:rsidRPr="00261B7A" w:rsidRDefault="0010265C" w:rsidP="0010265C">
      <w:pPr>
        <w:pStyle w:val="Heading5"/>
      </w:pPr>
      <w:bookmarkStart w:id="2128" w:name="_Toc255466407"/>
      <w:bookmarkStart w:id="2129" w:name="_Toc261513214"/>
      <w:bookmarkStart w:id="2130" w:name="_Toc261513827"/>
      <w:bookmarkStart w:id="2131" w:name="_Toc280630298"/>
      <w:bookmarkStart w:id="2132" w:name="_Toc139253972"/>
      <w:r w:rsidRPr="00261B7A">
        <w:t>Soil organic carbon</w:t>
      </w:r>
      <w:bookmarkEnd w:id="2128"/>
      <w:bookmarkEnd w:id="2129"/>
      <w:bookmarkEnd w:id="2130"/>
      <w:bookmarkEnd w:id="2131"/>
    </w:p>
    <w:p w14:paraId="77F953F8" w14:textId="77777777" w:rsidR="0010265C" w:rsidRPr="00261B7A" w:rsidRDefault="0010265C" w:rsidP="0010265C">
      <w:pPr>
        <w:pStyle w:val="BodyText"/>
      </w:pPr>
      <w:r w:rsidRPr="00261B7A">
        <w:t xml:space="preserve">Soil organic carbon stocks in </w:t>
      </w:r>
      <w:r w:rsidRPr="00261B7A">
        <w:rPr>
          <w:i/>
        </w:rPr>
        <w:t>Land converted to grassland</w:t>
      </w:r>
      <w:r w:rsidRPr="00261B7A">
        <w:t xml:space="preserve"> are estimated using a Tier 2 method for mineral soils and a Tier 1 method for organic soils (see annex A3.2.4). </w:t>
      </w:r>
    </w:p>
    <w:p w14:paraId="331752B9" w14:textId="77777777" w:rsidR="0010265C" w:rsidRPr="00261B7A" w:rsidRDefault="0010265C" w:rsidP="0010265C">
      <w:pPr>
        <w:pStyle w:val="Heading5"/>
      </w:pPr>
      <w:r w:rsidRPr="00261B7A">
        <w:t>Non-CO</w:t>
      </w:r>
      <w:r w:rsidRPr="00261B7A">
        <w:rPr>
          <w:vertAlign w:val="subscript"/>
        </w:rPr>
        <w:t>2</w:t>
      </w:r>
      <w:r w:rsidRPr="00261B7A">
        <w:t xml:space="preserve"> emissions</w:t>
      </w:r>
    </w:p>
    <w:p w14:paraId="20CD3FFA" w14:textId="77777777" w:rsidR="0010265C" w:rsidRPr="00261B7A" w:rsidRDefault="0010265C" w:rsidP="0010265C">
      <w:pPr>
        <w:pStyle w:val="BodyText"/>
      </w:pPr>
      <w:r w:rsidRPr="00261B7A">
        <w:t>Nitrous oxide emissions from disturbance associated with land use conversion to </w:t>
      </w:r>
      <w:r w:rsidRPr="00261B7A">
        <w:rPr>
          <w:i/>
          <w:iCs/>
        </w:rPr>
        <w:t xml:space="preserve">Grassland </w:t>
      </w:r>
      <w:r w:rsidRPr="00261B7A">
        <w:t xml:space="preserve">and land use management are described in section 6.10. </w:t>
      </w:r>
    </w:p>
    <w:p w14:paraId="7D1C1935" w14:textId="77777777" w:rsidR="0010265C" w:rsidRPr="00261B7A" w:rsidRDefault="0010265C" w:rsidP="0010265C">
      <w:pPr>
        <w:pStyle w:val="Heading3"/>
      </w:pPr>
      <w:bookmarkStart w:id="2133" w:name="_Toc255466410"/>
      <w:bookmarkStart w:id="2134" w:name="_Toc261513217"/>
      <w:bookmarkStart w:id="2135" w:name="_Toc261513830"/>
      <w:bookmarkStart w:id="2136" w:name="_Toc280630300"/>
      <w:r w:rsidRPr="00261B7A">
        <w:t>6.5.3</w:t>
      </w:r>
      <w:r w:rsidRPr="00261B7A">
        <w:tab/>
        <w:t>Uncertainties and time-series consistency</w:t>
      </w:r>
      <w:bookmarkEnd w:id="2132"/>
      <w:bookmarkEnd w:id="2133"/>
      <w:bookmarkEnd w:id="2134"/>
      <w:bookmarkEnd w:id="2135"/>
      <w:bookmarkEnd w:id="2136"/>
    </w:p>
    <w:p w14:paraId="39FFF9B8" w14:textId="77777777" w:rsidR="0010265C" w:rsidRPr="00261B7A" w:rsidRDefault="0010265C" w:rsidP="0010265C">
      <w:pPr>
        <w:pStyle w:val="BodyText"/>
      </w:pPr>
      <w:bookmarkStart w:id="2137" w:name="_Hlk73364961"/>
      <w:r w:rsidRPr="00261B7A">
        <w:t xml:space="preserve">The uncertainty in net carbon emissions from </w:t>
      </w:r>
      <w:r w:rsidRPr="00261B7A">
        <w:rPr>
          <w:i/>
        </w:rPr>
        <w:t>Grassland</w:t>
      </w:r>
      <w:r w:rsidRPr="00261B7A">
        <w:t xml:space="preserve"> was 42.5 per cent in 2021. The uncertainty in net carbon emissions from </w:t>
      </w:r>
      <w:r w:rsidRPr="00261B7A">
        <w:rPr>
          <w:i/>
        </w:rPr>
        <w:t>Grassland</w:t>
      </w:r>
      <w:r w:rsidRPr="00261B7A">
        <w:t xml:space="preserve"> accounted for 4.9 per cent of the total uncertainty in emissions from the LULUCF sector. The uncertainty associated with the emissions from each </w:t>
      </w:r>
      <w:r w:rsidRPr="00261B7A">
        <w:rPr>
          <w:i/>
        </w:rPr>
        <w:t>Grassland</w:t>
      </w:r>
      <w:r w:rsidRPr="00261B7A">
        <w:t xml:space="preserve"> class is shown in table 6.5.5. The methods used to calculate the uncertainty are further described in annex A3.2.8. </w:t>
      </w:r>
    </w:p>
    <w:p w14:paraId="2C1BDE3D" w14:textId="77777777" w:rsidR="0010265C" w:rsidRPr="00261B7A" w:rsidRDefault="0010265C" w:rsidP="0010265C">
      <w:pPr>
        <w:pStyle w:val="BodyText"/>
      </w:pPr>
      <w:r w:rsidRPr="00261B7A">
        <w:t xml:space="preserve">Time-series consistency is ensured by applying consistent methods and full recalculations in the event of any refinement or improvement to methodology. </w:t>
      </w:r>
    </w:p>
    <w:p w14:paraId="44298E32" w14:textId="77777777" w:rsidR="0010265C" w:rsidRPr="00261B7A" w:rsidRDefault="0010265C" w:rsidP="0010265C">
      <w:pPr>
        <w:pStyle w:val="Table"/>
      </w:pPr>
      <w:bookmarkStart w:id="2138" w:name="_Toc131591412"/>
      <w:r w:rsidRPr="00261B7A">
        <w:t>Table 6.5.5</w:t>
      </w:r>
      <w:r w:rsidRPr="00261B7A">
        <w:tab/>
        <w:t xml:space="preserve">Uncertainty in carbon stock change emissions in 2021 for </w:t>
      </w:r>
      <w:r w:rsidRPr="00261B7A">
        <w:rPr>
          <w:i/>
        </w:rPr>
        <w:t>Grassland</w:t>
      </w:r>
      <w:bookmarkEnd w:id="2138"/>
      <w:r w:rsidRPr="00261B7A">
        <w:t xml:space="preserve"> </w:t>
      </w:r>
    </w:p>
    <w:tbl>
      <w:tblPr>
        <w:tblW w:w="8505" w:type="dxa"/>
        <w:tblLayout w:type="fixed"/>
        <w:tblLook w:val="04A0" w:firstRow="1" w:lastRow="0" w:firstColumn="1" w:lastColumn="0" w:noHBand="0" w:noVBand="1"/>
      </w:tblPr>
      <w:tblGrid>
        <w:gridCol w:w="2851"/>
        <w:gridCol w:w="1883"/>
        <w:gridCol w:w="1883"/>
        <w:gridCol w:w="1888"/>
      </w:tblGrid>
      <w:tr w:rsidR="0010265C" w:rsidRPr="00261B7A" w14:paraId="381ABB3B" w14:textId="77777777" w:rsidTr="00726451">
        <w:tc>
          <w:tcPr>
            <w:tcW w:w="2851" w:type="dxa"/>
            <w:tcBorders>
              <w:top w:val="single" w:sz="4" w:space="0" w:color="1B556B"/>
              <w:bottom w:val="single" w:sz="4" w:space="0" w:color="1B556B"/>
            </w:tcBorders>
            <w:shd w:val="clear" w:color="auto" w:fill="1B556B" w:themeFill="text2"/>
            <w:vAlign w:val="bottom"/>
          </w:tcPr>
          <w:p w14:paraId="0940EB4F" w14:textId="77777777" w:rsidR="0010265C" w:rsidRPr="00261B7A" w:rsidRDefault="0010265C" w:rsidP="00D41492">
            <w:pPr>
              <w:pStyle w:val="TableTextBold"/>
              <w:keepNext/>
              <w:spacing w:before="50" w:after="50"/>
              <w:rPr>
                <w:noProof w:val="0"/>
                <w:color w:val="FFFFFF"/>
                <w:szCs w:val="16"/>
              </w:rPr>
            </w:pPr>
          </w:p>
        </w:tc>
        <w:tc>
          <w:tcPr>
            <w:tcW w:w="1883" w:type="dxa"/>
            <w:tcBorders>
              <w:top w:val="single" w:sz="4" w:space="0" w:color="1B556B"/>
              <w:bottom w:val="single" w:sz="4" w:space="0" w:color="1B556B"/>
            </w:tcBorders>
            <w:shd w:val="clear" w:color="auto" w:fill="1B556B" w:themeFill="text2"/>
            <w:vAlign w:val="bottom"/>
          </w:tcPr>
          <w:p w14:paraId="1A8FF2B2" w14:textId="77777777" w:rsidR="0010265C" w:rsidRPr="00261B7A" w:rsidRDefault="0010265C" w:rsidP="00D41492">
            <w:pPr>
              <w:pStyle w:val="TableTextBold"/>
              <w:spacing w:before="50" w:after="50"/>
              <w:jc w:val="right"/>
              <w:rPr>
                <w:noProof w:val="0"/>
                <w:color w:val="FFFFFF"/>
                <w:szCs w:val="16"/>
              </w:rPr>
            </w:pPr>
            <w:r w:rsidRPr="00261B7A">
              <w:rPr>
                <w:noProof w:val="0"/>
                <w:color w:val="FFFFFF"/>
                <w:szCs w:val="16"/>
              </w:rPr>
              <w:t xml:space="preserve">Emissions </w:t>
            </w:r>
            <w:r w:rsidRPr="00261B7A">
              <w:rPr>
                <w:noProof w:val="0"/>
                <w:color w:val="FFFFFF"/>
                <w:szCs w:val="16"/>
              </w:rPr>
              <w:br/>
              <w:t>(kt CO</w:t>
            </w:r>
            <w:r w:rsidRPr="00261B7A">
              <w:rPr>
                <w:noProof w:val="0"/>
                <w:color w:val="FFFFFF"/>
                <w:szCs w:val="16"/>
                <w:vertAlign w:val="subscript"/>
              </w:rPr>
              <w:t>2</w:t>
            </w:r>
            <w:r w:rsidRPr="00261B7A">
              <w:rPr>
                <w:noProof w:val="0"/>
                <w:color w:val="FFFFFF"/>
                <w:szCs w:val="16"/>
              </w:rPr>
              <w:t>-e)</w:t>
            </w:r>
          </w:p>
        </w:tc>
        <w:tc>
          <w:tcPr>
            <w:tcW w:w="1883" w:type="dxa"/>
            <w:tcBorders>
              <w:top w:val="single" w:sz="4" w:space="0" w:color="1B556B"/>
              <w:bottom w:val="single" w:sz="4" w:space="0" w:color="1B556B"/>
            </w:tcBorders>
            <w:shd w:val="clear" w:color="auto" w:fill="1B556B" w:themeFill="text2"/>
            <w:vAlign w:val="bottom"/>
          </w:tcPr>
          <w:p w14:paraId="1F5E4499" w14:textId="77777777" w:rsidR="0010265C" w:rsidRPr="00261B7A" w:rsidRDefault="0010265C" w:rsidP="00D41492">
            <w:pPr>
              <w:pStyle w:val="TableTextBold"/>
              <w:spacing w:before="50" w:after="50"/>
              <w:jc w:val="right"/>
              <w:rPr>
                <w:noProof w:val="0"/>
                <w:color w:val="FFFFFF"/>
                <w:szCs w:val="16"/>
              </w:rPr>
            </w:pPr>
            <w:r w:rsidRPr="00261B7A">
              <w:rPr>
                <w:noProof w:val="0"/>
                <w:color w:val="FFFFFF"/>
                <w:szCs w:val="16"/>
              </w:rPr>
              <w:t>Uncertainty in emissions (%)</w:t>
            </w:r>
          </w:p>
        </w:tc>
        <w:tc>
          <w:tcPr>
            <w:tcW w:w="1888" w:type="dxa"/>
            <w:tcBorders>
              <w:top w:val="single" w:sz="4" w:space="0" w:color="1B556B"/>
              <w:bottom w:val="single" w:sz="4" w:space="0" w:color="1B556B"/>
            </w:tcBorders>
            <w:shd w:val="clear" w:color="auto" w:fill="1B556B" w:themeFill="text2"/>
            <w:vAlign w:val="bottom"/>
          </w:tcPr>
          <w:p w14:paraId="7E7A6251" w14:textId="77777777" w:rsidR="0010265C" w:rsidRPr="00261B7A" w:rsidRDefault="0010265C" w:rsidP="00D41492">
            <w:pPr>
              <w:pStyle w:val="TableTextBold"/>
              <w:spacing w:before="50" w:after="50"/>
              <w:jc w:val="right"/>
              <w:rPr>
                <w:noProof w:val="0"/>
                <w:color w:val="FFFFFF"/>
                <w:szCs w:val="16"/>
              </w:rPr>
            </w:pPr>
            <w:r w:rsidRPr="00261B7A">
              <w:rPr>
                <w:noProof w:val="0"/>
                <w:color w:val="FFFFFF"/>
                <w:szCs w:val="16"/>
              </w:rPr>
              <w:t>Contribution to LULUCF uncertainty (%)</w:t>
            </w:r>
          </w:p>
        </w:tc>
      </w:tr>
      <w:tr w:rsidR="0010265C" w:rsidRPr="00261B7A" w14:paraId="0C35ED13" w14:textId="77777777" w:rsidTr="00726451">
        <w:tc>
          <w:tcPr>
            <w:tcW w:w="2851" w:type="dxa"/>
            <w:tcBorders>
              <w:top w:val="single" w:sz="4" w:space="0" w:color="1B556B"/>
              <w:bottom w:val="single" w:sz="4" w:space="0" w:color="1B556B"/>
            </w:tcBorders>
          </w:tcPr>
          <w:p w14:paraId="748D9F5F" w14:textId="77777777" w:rsidR="0010265C" w:rsidRPr="00261B7A" w:rsidRDefault="0010265C" w:rsidP="00D41492">
            <w:pPr>
              <w:pStyle w:val="TableText"/>
              <w:spacing w:before="50" w:after="50"/>
              <w:rPr>
                <w:szCs w:val="16"/>
              </w:rPr>
            </w:pPr>
            <w:r w:rsidRPr="00261B7A">
              <w:rPr>
                <w:szCs w:val="16"/>
              </w:rPr>
              <w:t>Grassland – low producing</w:t>
            </w:r>
          </w:p>
        </w:tc>
        <w:tc>
          <w:tcPr>
            <w:tcW w:w="1883" w:type="dxa"/>
            <w:tcBorders>
              <w:top w:val="single" w:sz="4" w:space="0" w:color="1B556B"/>
              <w:bottom w:val="single" w:sz="4" w:space="0" w:color="1B556B"/>
            </w:tcBorders>
          </w:tcPr>
          <w:p w14:paraId="7827F0A6" w14:textId="77777777" w:rsidR="0010265C" w:rsidRPr="00261B7A" w:rsidRDefault="0010265C" w:rsidP="00D41492">
            <w:pPr>
              <w:pStyle w:val="TableText"/>
              <w:spacing w:before="50" w:after="50"/>
              <w:jc w:val="right"/>
              <w:rPr>
                <w:szCs w:val="16"/>
              </w:rPr>
            </w:pPr>
            <w:r w:rsidRPr="00261B7A">
              <w:rPr>
                <w:szCs w:val="16"/>
              </w:rPr>
              <w:t>1,784.3</w:t>
            </w:r>
          </w:p>
        </w:tc>
        <w:tc>
          <w:tcPr>
            <w:tcW w:w="1883" w:type="dxa"/>
            <w:tcBorders>
              <w:top w:val="single" w:sz="4" w:space="0" w:color="1B556B"/>
              <w:bottom w:val="single" w:sz="4" w:space="0" w:color="1B556B"/>
            </w:tcBorders>
            <w:vAlign w:val="bottom"/>
          </w:tcPr>
          <w:p w14:paraId="2F481B4C" w14:textId="77777777" w:rsidR="0010265C" w:rsidRPr="00261B7A" w:rsidRDefault="0010265C" w:rsidP="00D41492">
            <w:pPr>
              <w:pStyle w:val="TableText"/>
              <w:spacing w:before="50" w:after="50"/>
              <w:jc w:val="right"/>
              <w:rPr>
                <w:rFonts w:cs="Segoe UI"/>
                <w:szCs w:val="16"/>
              </w:rPr>
            </w:pPr>
            <w:r w:rsidRPr="00261B7A">
              <w:rPr>
                <w:rFonts w:cs="Calibri"/>
                <w:color w:val="000000"/>
                <w:szCs w:val="16"/>
              </w:rPr>
              <w:t>63.1</w:t>
            </w:r>
          </w:p>
        </w:tc>
        <w:tc>
          <w:tcPr>
            <w:tcW w:w="1888" w:type="dxa"/>
            <w:tcBorders>
              <w:top w:val="single" w:sz="4" w:space="0" w:color="1B556B"/>
              <w:bottom w:val="single" w:sz="4" w:space="0" w:color="1B556B"/>
            </w:tcBorders>
            <w:vAlign w:val="bottom"/>
          </w:tcPr>
          <w:p w14:paraId="7C4C0A59" w14:textId="77777777" w:rsidR="0010265C" w:rsidRPr="00261B7A" w:rsidRDefault="0010265C" w:rsidP="00D41492">
            <w:pPr>
              <w:pStyle w:val="TableText"/>
              <w:spacing w:before="50" w:after="50"/>
              <w:jc w:val="right"/>
              <w:rPr>
                <w:rFonts w:cs="Segoe UI"/>
                <w:szCs w:val="16"/>
              </w:rPr>
            </w:pPr>
            <w:r w:rsidRPr="00261B7A">
              <w:rPr>
                <w:rFonts w:cs="Calibri"/>
                <w:color w:val="000000"/>
                <w:szCs w:val="16"/>
              </w:rPr>
              <w:t>5.3</w:t>
            </w:r>
          </w:p>
        </w:tc>
      </w:tr>
      <w:tr w:rsidR="0010265C" w:rsidRPr="00261B7A" w14:paraId="4C1C39C2" w14:textId="77777777" w:rsidTr="00726451">
        <w:tc>
          <w:tcPr>
            <w:tcW w:w="2851" w:type="dxa"/>
            <w:tcBorders>
              <w:top w:val="single" w:sz="4" w:space="0" w:color="1B556B"/>
              <w:bottom w:val="single" w:sz="4" w:space="0" w:color="1B556B"/>
            </w:tcBorders>
          </w:tcPr>
          <w:p w14:paraId="0BD4A562" w14:textId="77777777" w:rsidR="0010265C" w:rsidRPr="00261B7A" w:rsidRDefault="0010265C" w:rsidP="00D41492">
            <w:pPr>
              <w:pStyle w:val="TableText"/>
              <w:spacing w:before="50" w:after="50"/>
              <w:rPr>
                <w:szCs w:val="16"/>
              </w:rPr>
            </w:pPr>
            <w:r w:rsidRPr="00261B7A">
              <w:rPr>
                <w:szCs w:val="16"/>
              </w:rPr>
              <w:t>Grassland – high producing</w:t>
            </w:r>
          </w:p>
        </w:tc>
        <w:tc>
          <w:tcPr>
            <w:tcW w:w="1883" w:type="dxa"/>
            <w:tcBorders>
              <w:top w:val="single" w:sz="4" w:space="0" w:color="1B556B"/>
              <w:bottom w:val="single" w:sz="4" w:space="0" w:color="1B556B"/>
            </w:tcBorders>
          </w:tcPr>
          <w:p w14:paraId="77D94BE8" w14:textId="77777777" w:rsidR="0010265C" w:rsidRPr="00261B7A" w:rsidRDefault="0010265C" w:rsidP="00D41492">
            <w:pPr>
              <w:pStyle w:val="TableText"/>
              <w:spacing w:before="50" w:after="50"/>
              <w:jc w:val="right"/>
              <w:rPr>
                <w:szCs w:val="16"/>
              </w:rPr>
            </w:pPr>
            <w:r w:rsidRPr="00261B7A">
              <w:rPr>
                <w:szCs w:val="16"/>
              </w:rPr>
              <w:t>583.6</w:t>
            </w:r>
          </w:p>
        </w:tc>
        <w:tc>
          <w:tcPr>
            <w:tcW w:w="1883" w:type="dxa"/>
            <w:tcBorders>
              <w:top w:val="single" w:sz="4" w:space="0" w:color="1B556B"/>
              <w:bottom w:val="single" w:sz="4" w:space="0" w:color="1B556B"/>
            </w:tcBorders>
            <w:vAlign w:val="bottom"/>
          </w:tcPr>
          <w:p w14:paraId="66420308" w14:textId="77777777" w:rsidR="0010265C" w:rsidRPr="00261B7A" w:rsidRDefault="0010265C" w:rsidP="00D41492">
            <w:pPr>
              <w:pStyle w:val="TableText"/>
              <w:spacing w:before="50" w:after="50"/>
              <w:jc w:val="right"/>
              <w:rPr>
                <w:rFonts w:cs="Segoe UI"/>
                <w:szCs w:val="16"/>
              </w:rPr>
            </w:pPr>
            <w:r w:rsidRPr="00261B7A">
              <w:rPr>
                <w:rFonts w:cs="Calibri"/>
                <w:color w:val="000000"/>
                <w:szCs w:val="16"/>
              </w:rPr>
              <w:t>21.9</w:t>
            </w:r>
          </w:p>
        </w:tc>
        <w:tc>
          <w:tcPr>
            <w:tcW w:w="1888" w:type="dxa"/>
            <w:tcBorders>
              <w:top w:val="single" w:sz="4" w:space="0" w:color="1B556B"/>
              <w:bottom w:val="single" w:sz="4" w:space="0" w:color="1B556B"/>
            </w:tcBorders>
            <w:vAlign w:val="bottom"/>
          </w:tcPr>
          <w:p w14:paraId="0D7B3E93" w14:textId="77777777" w:rsidR="0010265C" w:rsidRPr="00261B7A" w:rsidRDefault="0010265C" w:rsidP="00D41492">
            <w:pPr>
              <w:pStyle w:val="TableText"/>
              <w:spacing w:before="50" w:after="50"/>
              <w:jc w:val="right"/>
              <w:rPr>
                <w:rFonts w:cs="Segoe UI"/>
                <w:szCs w:val="16"/>
              </w:rPr>
            </w:pPr>
            <w:r w:rsidRPr="00261B7A">
              <w:rPr>
                <w:rFonts w:cs="Calibri"/>
                <w:color w:val="000000"/>
                <w:szCs w:val="16"/>
              </w:rPr>
              <w:t>0.6</w:t>
            </w:r>
          </w:p>
        </w:tc>
      </w:tr>
      <w:tr w:rsidR="0010265C" w:rsidRPr="00261B7A" w14:paraId="4BB140F9" w14:textId="77777777" w:rsidTr="00726451">
        <w:tc>
          <w:tcPr>
            <w:tcW w:w="2851" w:type="dxa"/>
            <w:tcBorders>
              <w:top w:val="single" w:sz="4" w:space="0" w:color="1B556B"/>
              <w:bottom w:val="single" w:sz="4" w:space="0" w:color="1B556B"/>
            </w:tcBorders>
          </w:tcPr>
          <w:p w14:paraId="71E0B5B1" w14:textId="77777777" w:rsidR="0010265C" w:rsidRPr="00261B7A" w:rsidRDefault="0010265C" w:rsidP="00D41492">
            <w:pPr>
              <w:pStyle w:val="TableText"/>
              <w:spacing w:before="50" w:after="50"/>
              <w:rPr>
                <w:szCs w:val="16"/>
              </w:rPr>
            </w:pPr>
            <w:r w:rsidRPr="00261B7A">
              <w:rPr>
                <w:szCs w:val="16"/>
              </w:rPr>
              <w:t>Grassland – with woody biomass</w:t>
            </w:r>
          </w:p>
        </w:tc>
        <w:tc>
          <w:tcPr>
            <w:tcW w:w="1883" w:type="dxa"/>
            <w:tcBorders>
              <w:top w:val="single" w:sz="4" w:space="0" w:color="1B556B"/>
              <w:bottom w:val="single" w:sz="4" w:space="0" w:color="1B556B"/>
            </w:tcBorders>
          </w:tcPr>
          <w:p w14:paraId="54A74EEC" w14:textId="77777777" w:rsidR="0010265C" w:rsidRPr="00261B7A" w:rsidRDefault="0010265C" w:rsidP="00D41492">
            <w:pPr>
              <w:pStyle w:val="TableText"/>
              <w:spacing w:before="50" w:after="50"/>
              <w:jc w:val="right"/>
              <w:rPr>
                <w:szCs w:val="16"/>
              </w:rPr>
            </w:pPr>
            <w:r w:rsidRPr="00261B7A">
              <w:rPr>
                <w:szCs w:val="16"/>
              </w:rPr>
              <w:t>340.2</w:t>
            </w:r>
          </w:p>
        </w:tc>
        <w:tc>
          <w:tcPr>
            <w:tcW w:w="1883" w:type="dxa"/>
            <w:tcBorders>
              <w:top w:val="single" w:sz="4" w:space="0" w:color="1B556B"/>
              <w:bottom w:val="single" w:sz="4" w:space="0" w:color="1B556B"/>
            </w:tcBorders>
            <w:vAlign w:val="bottom"/>
          </w:tcPr>
          <w:p w14:paraId="318B84E2" w14:textId="77777777" w:rsidR="0010265C" w:rsidRPr="00261B7A" w:rsidRDefault="0010265C" w:rsidP="00D41492">
            <w:pPr>
              <w:pStyle w:val="TableText"/>
              <w:spacing w:before="50" w:after="50"/>
              <w:jc w:val="right"/>
              <w:rPr>
                <w:szCs w:val="16"/>
              </w:rPr>
            </w:pPr>
            <w:r w:rsidRPr="00261B7A">
              <w:rPr>
                <w:rFonts w:cs="Calibri"/>
                <w:color w:val="000000"/>
                <w:szCs w:val="16"/>
              </w:rPr>
              <w:t>57.7</w:t>
            </w:r>
          </w:p>
        </w:tc>
        <w:tc>
          <w:tcPr>
            <w:tcW w:w="1888" w:type="dxa"/>
            <w:tcBorders>
              <w:top w:val="single" w:sz="4" w:space="0" w:color="1B556B"/>
              <w:bottom w:val="single" w:sz="4" w:space="0" w:color="1B556B"/>
            </w:tcBorders>
            <w:vAlign w:val="bottom"/>
          </w:tcPr>
          <w:p w14:paraId="5075A113" w14:textId="77777777" w:rsidR="0010265C" w:rsidRPr="00261B7A" w:rsidRDefault="0010265C" w:rsidP="00D41492">
            <w:pPr>
              <w:pStyle w:val="TableText"/>
              <w:spacing w:before="50" w:after="50"/>
              <w:jc w:val="right"/>
              <w:rPr>
                <w:szCs w:val="16"/>
              </w:rPr>
            </w:pPr>
            <w:r w:rsidRPr="00261B7A">
              <w:rPr>
                <w:rFonts w:cs="Calibri"/>
                <w:color w:val="000000"/>
                <w:szCs w:val="16"/>
              </w:rPr>
              <w:t>0.9</w:t>
            </w:r>
          </w:p>
        </w:tc>
      </w:tr>
      <w:tr w:rsidR="0010265C" w:rsidRPr="00261B7A" w14:paraId="4C7E8C33" w14:textId="77777777" w:rsidTr="00726451">
        <w:tc>
          <w:tcPr>
            <w:tcW w:w="2851" w:type="dxa"/>
            <w:tcBorders>
              <w:top w:val="single" w:sz="4" w:space="0" w:color="1B556B"/>
              <w:bottom w:val="single" w:sz="4" w:space="0" w:color="1B556B"/>
            </w:tcBorders>
          </w:tcPr>
          <w:p w14:paraId="6A167FF3" w14:textId="77777777" w:rsidR="0010265C" w:rsidRPr="00261B7A" w:rsidRDefault="0010265C" w:rsidP="0092426B">
            <w:pPr>
              <w:pStyle w:val="Tableboldblue"/>
              <w:spacing w:before="50" w:after="50"/>
              <w:jc w:val="right"/>
            </w:pPr>
            <w:r w:rsidRPr="00261B7A">
              <w:t xml:space="preserve">Total </w:t>
            </w:r>
          </w:p>
        </w:tc>
        <w:tc>
          <w:tcPr>
            <w:tcW w:w="1883" w:type="dxa"/>
            <w:tcBorders>
              <w:top w:val="single" w:sz="4" w:space="0" w:color="1B556B"/>
              <w:bottom w:val="single" w:sz="4" w:space="0" w:color="1B556B"/>
            </w:tcBorders>
          </w:tcPr>
          <w:p w14:paraId="7C3771E7" w14:textId="77777777" w:rsidR="0010265C" w:rsidRPr="00261B7A" w:rsidRDefault="0010265C" w:rsidP="0092426B">
            <w:pPr>
              <w:pStyle w:val="Tableboldblue"/>
              <w:spacing w:before="50" w:after="50"/>
              <w:jc w:val="right"/>
            </w:pPr>
            <w:r w:rsidRPr="00261B7A">
              <w:t>2,708.1</w:t>
            </w:r>
          </w:p>
        </w:tc>
        <w:tc>
          <w:tcPr>
            <w:tcW w:w="1883" w:type="dxa"/>
            <w:tcBorders>
              <w:top w:val="single" w:sz="4" w:space="0" w:color="1B556B"/>
              <w:bottom w:val="single" w:sz="4" w:space="0" w:color="1B556B"/>
            </w:tcBorders>
            <w:vAlign w:val="bottom"/>
          </w:tcPr>
          <w:p w14:paraId="7619A8F2" w14:textId="77777777" w:rsidR="0010265C" w:rsidRPr="00261B7A" w:rsidRDefault="0010265C" w:rsidP="0092426B">
            <w:pPr>
              <w:pStyle w:val="Tableboldblue"/>
              <w:spacing w:before="50" w:after="50"/>
              <w:jc w:val="right"/>
            </w:pPr>
            <w:r w:rsidRPr="00261B7A">
              <w:t>42.5</w:t>
            </w:r>
          </w:p>
        </w:tc>
        <w:tc>
          <w:tcPr>
            <w:tcW w:w="1888" w:type="dxa"/>
            <w:tcBorders>
              <w:top w:val="single" w:sz="4" w:space="0" w:color="1B556B"/>
              <w:bottom w:val="single" w:sz="4" w:space="0" w:color="1B556B"/>
            </w:tcBorders>
            <w:vAlign w:val="bottom"/>
          </w:tcPr>
          <w:p w14:paraId="517339D5" w14:textId="77777777" w:rsidR="0010265C" w:rsidRPr="00261B7A" w:rsidRDefault="0010265C" w:rsidP="0092426B">
            <w:pPr>
              <w:pStyle w:val="Tableboldblue"/>
              <w:spacing w:before="50" w:after="50"/>
              <w:jc w:val="right"/>
            </w:pPr>
            <w:r w:rsidRPr="00261B7A">
              <w:t>5.5</w:t>
            </w:r>
          </w:p>
        </w:tc>
      </w:tr>
    </w:tbl>
    <w:p w14:paraId="2DD568FB" w14:textId="77777777" w:rsidR="0010265C" w:rsidRPr="00261B7A" w:rsidRDefault="0010265C" w:rsidP="000D00A0">
      <w:pPr>
        <w:pStyle w:val="Heading3"/>
        <w:spacing w:before="400"/>
      </w:pPr>
      <w:bookmarkStart w:id="2139" w:name="_Toc139253973"/>
      <w:bookmarkStart w:id="2140" w:name="_Toc255466411"/>
      <w:bookmarkStart w:id="2141" w:name="_Toc261513218"/>
      <w:bookmarkStart w:id="2142" w:name="_Toc261513831"/>
      <w:bookmarkStart w:id="2143" w:name="_Toc280630301"/>
      <w:bookmarkEnd w:id="2137"/>
      <w:r w:rsidRPr="00261B7A">
        <w:t>6.5.4</w:t>
      </w:r>
      <w:r w:rsidRPr="00261B7A">
        <w:tab/>
        <w:t>Category-specific QA/QC and verification</w:t>
      </w:r>
      <w:bookmarkEnd w:id="2139"/>
      <w:bookmarkEnd w:id="2140"/>
      <w:bookmarkEnd w:id="2141"/>
      <w:bookmarkEnd w:id="2142"/>
      <w:bookmarkEnd w:id="2143"/>
    </w:p>
    <w:p w14:paraId="6F292099" w14:textId="033BEEE2" w:rsidR="0010265C" w:rsidRPr="00261B7A" w:rsidRDefault="0010265C" w:rsidP="0010265C">
      <w:pPr>
        <w:pStyle w:val="BodyText"/>
      </w:pPr>
      <w:bookmarkStart w:id="2144" w:name="_Toc139253974"/>
      <w:r w:rsidRPr="00261B7A">
        <w:t xml:space="preserve">Emissions from the </w:t>
      </w:r>
      <w:r w:rsidRPr="00261B7A">
        <w:rPr>
          <w:i/>
        </w:rPr>
        <w:t>Grassland remaining grassland</w:t>
      </w:r>
      <w:r w:rsidRPr="00261B7A">
        <w:t xml:space="preserve"> and </w:t>
      </w:r>
      <w:r w:rsidRPr="00261B7A">
        <w:rPr>
          <w:i/>
        </w:rPr>
        <w:t>Land converted to grassland</w:t>
      </w:r>
      <w:r w:rsidRPr="00261B7A">
        <w:t xml:space="preserve"> categories are key categories (level and trend). In the preparation of this inventory, the data for these emissions underwent Tier 1 quality checks.</w:t>
      </w:r>
      <w:r w:rsidR="00B34461" w:rsidRPr="00261B7A">
        <w:t xml:space="preserve"> </w:t>
      </w:r>
    </w:p>
    <w:p w14:paraId="17D48F5C" w14:textId="77777777" w:rsidR="0010265C" w:rsidRPr="00261B7A" w:rsidRDefault="0010265C" w:rsidP="0010265C">
      <w:pPr>
        <w:pStyle w:val="Heading3"/>
      </w:pPr>
      <w:bookmarkStart w:id="2145" w:name="_Toc255466412"/>
      <w:bookmarkStart w:id="2146" w:name="_Toc261513219"/>
      <w:bookmarkStart w:id="2147" w:name="_Toc261513832"/>
      <w:bookmarkStart w:id="2148" w:name="_Toc280630302"/>
      <w:r w:rsidRPr="00261B7A">
        <w:t>6.5.5</w:t>
      </w:r>
      <w:r w:rsidRPr="00261B7A">
        <w:tab/>
        <w:t>Category-specific recalculations</w:t>
      </w:r>
      <w:bookmarkEnd w:id="2144"/>
      <w:bookmarkEnd w:id="2145"/>
      <w:bookmarkEnd w:id="2146"/>
      <w:bookmarkEnd w:id="2147"/>
      <w:bookmarkEnd w:id="2148"/>
    </w:p>
    <w:p w14:paraId="508C86FA" w14:textId="77777777" w:rsidR="0010265C" w:rsidRPr="00261B7A" w:rsidRDefault="0010265C" w:rsidP="0010265C">
      <w:pPr>
        <w:pStyle w:val="BodyText"/>
      </w:pPr>
      <w:bookmarkStart w:id="2149" w:name="_Toc139253975"/>
      <w:r w:rsidRPr="00261B7A">
        <w:t>The impact of recalculations on net CO</w:t>
      </w:r>
      <w:r w:rsidRPr="00261B7A">
        <w:rPr>
          <w:vertAlign w:val="subscript"/>
        </w:rPr>
        <w:t>2</w:t>
      </w:r>
      <w:r w:rsidRPr="00261B7A">
        <w:t xml:space="preserve">-e emission estimates for the </w:t>
      </w:r>
      <w:r w:rsidRPr="00261B7A">
        <w:rPr>
          <w:i/>
        </w:rPr>
        <w:t>Grassland</w:t>
      </w:r>
      <w:r w:rsidRPr="00261B7A">
        <w:t xml:space="preserve"> category is shown in table 6.5.6. </w:t>
      </w:r>
    </w:p>
    <w:p w14:paraId="3A22F465" w14:textId="77777777" w:rsidR="0010265C" w:rsidRPr="00261B7A" w:rsidRDefault="0010265C" w:rsidP="007668D0">
      <w:pPr>
        <w:pStyle w:val="Table"/>
      </w:pPr>
      <w:bookmarkStart w:id="2150" w:name="_Toc310423428"/>
      <w:bookmarkStart w:id="2151" w:name="_Toc318362721"/>
      <w:bookmarkStart w:id="2152" w:name="_Toc342470783"/>
      <w:bookmarkStart w:id="2153" w:name="_Toc352505023"/>
      <w:bookmarkStart w:id="2154" w:name="_Toc378853312"/>
      <w:bookmarkStart w:id="2155" w:name="_Toc391024110"/>
      <w:bookmarkStart w:id="2156" w:name="_Toc410028853"/>
      <w:bookmarkStart w:id="2157" w:name="_Toc414531481"/>
      <w:bookmarkStart w:id="2158" w:name="_Toc443645394"/>
      <w:bookmarkStart w:id="2159" w:name="_Toc474914613"/>
      <w:bookmarkStart w:id="2160" w:name="_Toc481751577"/>
      <w:bookmarkStart w:id="2161" w:name="_Toc522010634"/>
      <w:bookmarkStart w:id="2162" w:name="_Toc5269539"/>
      <w:bookmarkStart w:id="2163" w:name="_Toc33529413"/>
      <w:bookmarkStart w:id="2164" w:name="_Toc36224619"/>
      <w:bookmarkStart w:id="2165" w:name="_Toc131591413"/>
      <w:r w:rsidRPr="00261B7A">
        <w:t>Table 6.5.6</w:t>
      </w:r>
      <w:r w:rsidRPr="00261B7A">
        <w:tab/>
        <w:t xml:space="preserve">Recalculations of New Zealand’s net emissions from the </w:t>
      </w:r>
      <w:r w:rsidRPr="00261B7A">
        <w:rPr>
          <w:i/>
        </w:rPr>
        <w:t>Grassland</w:t>
      </w:r>
      <w:r w:rsidRPr="00261B7A">
        <w:t xml:space="preserve"> category in 1990 and</w:t>
      </w:r>
      <w:bookmarkEnd w:id="2150"/>
      <w:bookmarkEnd w:id="2151"/>
      <w:bookmarkEnd w:id="2152"/>
      <w:bookmarkEnd w:id="2153"/>
      <w:bookmarkEnd w:id="2154"/>
      <w:bookmarkEnd w:id="2155"/>
      <w:r w:rsidRPr="00261B7A">
        <w:t> </w:t>
      </w:r>
      <w:bookmarkEnd w:id="2156"/>
      <w:bookmarkEnd w:id="2157"/>
      <w:bookmarkEnd w:id="2158"/>
      <w:bookmarkEnd w:id="2159"/>
      <w:bookmarkEnd w:id="2160"/>
      <w:bookmarkEnd w:id="2161"/>
      <w:bookmarkEnd w:id="2162"/>
      <w:bookmarkEnd w:id="2163"/>
      <w:bookmarkEnd w:id="2164"/>
      <w:r w:rsidRPr="00261B7A">
        <w:t>2020</w:t>
      </w:r>
      <w:bookmarkEnd w:id="2165"/>
    </w:p>
    <w:tbl>
      <w:tblPr>
        <w:tblW w:w="8505" w:type="dxa"/>
        <w:tblLayout w:type="fixed"/>
        <w:tblLook w:val="04A0" w:firstRow="1" w:lastRow="0" w:firstColumn="1" w:lastColumn="0" w:noHBand="0" w:noVBand="1"/>
      </w:tblPr>
      <w:tblGrid>
        <w:gridCol w:w="1203"/>
        <w:gridCol w:w="1825"/>
        <w:gridCol w:w="1825"/>
        <w:gridCol w:w="1825"/>
        <w:gridCol w:w="1827"/>
      </w:tblGrid>
      <w:tr w:rsidR="0010265C" w:rsidRPr="00261B7A" w14:paraId="20E8F41F" w14:textId="77777777" w:rsidTr="007668D0">
        <w:tc>
          <w:tcPr>
            <w:tcW w:w="1203" w:type="dxa"/>
            <w:vMerge w:val="restart"/>
            <w:tcBorders>
              <w:top w:val="single" w:sz="4" w:space="0" w:color="1B556B" w:themeColor="text2"/>
            </w:tcBorders>
            <w:shd w:val="clear" w:color="auto" w:fill="1B556B"/>
            <w:vAlign w:val="bottom"/>
          </w:tcPr>
          <w:p w14:paraId="6A069CC8" w14:textId="77777777" w:rsidR="0010265C" w:rsidRPr="00261B7A" w:rsidRDefault="0010265C" w:rsidP="00D41492">
            <w:pPr>
              <w:pStyle w:val="TableTextBold"/>
              <w:keepNext/>
              <w:spacing w:before="50" w:after="50"/>
              <w:rPr>
                <w:noProof w:val="0"/>
                <w:color w:val="FFFFFF"/>
              </w:rPr>
            </w:pPr>
            <w:r w:rsidRPr="00261B7A">
              <w:rPr>
                <w:noProof w:val="0"/>
                <w:color w:val="FFFFFF"/>
              </w:rPr>
              <w:t>Year</w:t>
            </w:r>
          </w:p>
        </w:tc>
        <w:tc>
          <w:tcPr>
            <w:tcW w:w="3650" w:type="dxa"/>
            <w:gridSpan w:val="2"/>
            <w:tcBorders>
              <w:top w:val="single" w:sz="4" w:space="0" w:color="1B556B" w:themeColor="text2"/>
            </w:tcBorders>
            <w:shd w:val="clear" w:color="auto" w:fill="1B556B"/>
            <w:noWrap/>
            <w:vAlign w:val="bottom"/>
          </w:tcPr>
          <w:p w14:paraId="1AB9998C" w14:textId="77777777" w:rsidR="0010265C" w:rsidRPr="00261B7A" w:rsidRDefault="0010265C" w:rsidP="00D41492">
            <w:pPr>
              <w:pStyle w:val="TableTextBold"/>
              <w:keepNext/>
              <w:spacing w:before="50" w:after="50"/>
              <w:jc w:val="center"/>
              <w:rPr>
                <w:noProof w:val="0"/>
                <w:color w:val="FFFFFF"/>
              </w:rPr>
            </w:pPr>
            <w:r w:rsidRPr="00261B7A">
              <w:rPr>
                <w:noProof w:val="0"/>
                <w:color w:val="FFFFFF"/>
              </w:rPr>
              <w:t>Net emissions (kt CO</w:t>
            </w:r>
            <w:r w:rsidRPr="00261B7A">
              <w:rPr>
                <w:noProof w:val="0"/>
                <w:color w:val="FFFFFF"/>
                <w:vertAlign w:val="subscript"/>
              </w:rPr>
              <w:t>2</w:t>
            </w:r>
            <w:r w:rsidRPr="00261B7A">
              <w:rPr>
                <w:noProof w:val="0"/>
                <w:color w:val="FFFFFF"/>
              </w:rPr>
              <w:t>-e)</w:t>
            </w:r>
          </w:p>
        </w:tc>
        <w:tc>
          <w:tcPr>
            <w:tcW w:w="3652" w:type="dxa"/>
            <w:gridSpan w:val="2"/>
            <w:tcBorders>
              <w:top w:val="single" w:sz="4" w:space="0" w:color="1B556B" w:themeColor="text2"/>
            </w:tcBorders>
            <w:shd w:val="clear" w:color="auto" w:fill="1B556B"/>
            <w:vAlign w:val="bottom"/>
          </w:tcPr>
          <w:p w14:paraId="5D44511F" w14:textId="77777777" w:rsidR="0010265C" w:rsidRPr="00261B7A" w:rsidRDefault="0010265C" w:rsidP="00D41492">
            <w:pPr>
              <w:pStyle w:val="TableTextBold"/>
              <w:keepNext/>
              <w:spacing w:before="50" w:after="50"/>
              <w:jc w:val="center"/>
              <w:rPr>
                <w:noProof w:val="0"/>
                <w:color w:val="FFFFFF"/>
              </w:rPr>
            </w:pPr>
            <w:r w:rsidRPr="00261B7A">
              <w:rPr>
                <w:noProof w:val="0"/>
                <w:color w:val="FFFFFF"/>
              </w:rPr>
              <w:t>Change from the 2022 submission</w:t>
            </w:r>
          </w:p>
        </w:tc>
      </w:tr>
      <w:tr w:rsidR="0010265C" w:rsidRPr="00261B7A" w14:paraId="75958762" w14:textId="77777777" w:rsidTr="007668D0">
        <w:tc>
          <w:tcPr>
            <w:tcW w:w="1203" w:type="dxa"/>
            <w:vMerge/>
            <w:tcBorders>
              <w:bottom w:val="single" w:sz="4" w:space="0" w:color="1B556B"/>
            </w:tcBorders>
            <w:shd w:val="clear" w:color="auto" w:fill="1B556B"/>
            <w:vAlign w:val="bottom"/>
          </w:tcPr>
          <w:p w14:paraId="23EA0548" w14:textId="77777777" w:rsidR="0010265C" w:rsidRPr="00261B7A" w:rsidRDefault="0010265C" w:rsidP="00D41492">
            <w:pPr>
              <w:pStyle w:val="TableTextBold"/>
              <w:keepNext/>
              <w:spacing w:before="50" w:after="50"/>
              <w:jc w:val="center"/>
              <w:rPr>
                <w:noProof w:val="0"/>
                <w:color w:val="FFFFFF"/>
              </w:rPr>
            </w:pPr>
          </w:p>
        </w:tc>
        <w:tc>
          <w:tcPr>
            <w:tcW w:w="1825" w:type="dxa"/>
            <w:tcBorders>
              <w:bottom w:val="single" w:sz="4" w:space="0" w:color="1B556B"/>
            </w:tcBorders>
            <w:shd w:val="clear" w:color="auto" w:fill="1B556B"/>
            <w:vAlign w:val="bottom"/>
          </w:tcPr>
          <w:p w14:paraId="63D96196" w14:textId="77777777" w:rsidR="0010265C" w:rsidRPr="00261B7A" w:rsidRDefault="0010265C" w:rsidP="00D41492">
            <w:pPr>
              <w:pStyle w:val="TableTextBold"/>
              <w:keepNext/>
              <w:spacing w:before="50" w:after="50"/>
              <w:jc w:val="right"/>
              <w:rPr>
                <w:noProof w:val="0"/>
                <w:color w:val="FFFFFF"/>
              </w:rPr>
            </w:pPr>
            <w:r w:rsidRPr="00261B7A">
              <w:rPr>
                <w:noProof w:val="0"/>
                <w:color w:val="FFFFFF"/>
              </w:rPr>
              <w:t>2022 submission</w:t>
            </w:r>
          </w:p>
        </w:tc>
        <w:tc>
          <w:tcPr>
            <w:tcW w:w="1825" w:type="dxa"/>
            <w:tcBorders>
              <w:bottom w:val="single" w:sz="4" w:space="0" w:color="1B556B"/>
            </w:tcBorders>
            <w:shd w:val="clear" w:color="auto" w:fill="1B556B"/>
            <w:vAlign w:val="bottom"/>
          </w:tcPr>
          <w:p w14:paraId="2581ADCE" w14:textId="77777777" w:rsidR="0010265C" w:rsidRPr="00261B7A" w:rsidRDefault="0010265C" w:rsidP="00D41492">
            <w:pPr>
              <w:pStyle w:val="TableTextBold"/>
              <w:keepNext/>
              <w:spacing w:before="50" w:after="50"/>
              <w:jc w:val="right"/>
              <w:rPr>
                <w:noProof w:val="0"/>
                <w:color w:val="FFFFFF"/>
              </w:rPr>
            </w:pPr>
            <w:r w:rsidRPr="00261B7A">
              <w:rPr>
                <w:noProof w:val="0"/>
                <w:color w:val="FFFFFF"/>
              </w:rPr>
              <w:t>2023 submission</w:t>
            </w:r>
          </w:p>
        </w:tc>
        <w:tc>
          <w:tcPr>
            <w:tcW w:w="1825" w:type="dxa"/>
            <w:tcBorders>
              <w:bottom w:val="single" w:sz="4" w:space="0" w:color="1B556B"/>
            </w:tcBorders>
            <w:shd w:val="clear" w:color="auto" w:fill="1B556B"/>
            <w:vAlign w:val="bottom"/>
          </w:tcPr>
          <w:p w14:paraId="7AF58A67" w14:textId="77777777" w:rsidR="0010265C" w:rsidRPr="00261B7A" w:rsidRDefault="0010265C" w:rsidP="00D41492">
            <w:pPr>
              <w:pStyle w:val="TableTextBold"/>
              <w:keepNext/>
              <w:spacing w:before="50" w:after="50"/>
              <w:jc w:val="right"/>
              <w:rPr>
                <w:noProof w:val="0"/>
                <w:color w:val="FFFFFF"/>
              </w:rPr>
            </w:pPr>
            <w:r w:rsidRPr="00261B7A">
              <w:rPr>
                <w:noProof w:val="0"/>
                <w:color w:val="FFFFFF"/>
              </w:rPr>
              <w:t>(kt CO</w:t>
            </w:r>
            <w:r w:rsidRPr="00261B7A">
              <w:rPr>
                <w:noProof w:val="0"/>
                <w:color w:val="FFFFFF"/>
                <w:vertAlign w:val="subscript"/>
              </w:rPr>
              <w:t>2</w:t>
            </w:r>
            <w:r w:rsidRPr="00261B7A">
              <w:rPr>
                <w:noProof w:val="0"/>
                <w:color w:val="FFFFFF"/>
              </w:rPr>
              <w:t>-e)</w:t>
            </w:r>
          </w:p>
        </w:tc>
        <w:tc>
          <w:tcPr>
            <w:tcW w:w="1827" w:type="dxa"/>
            <w:tcBorders>
              <w:bottom w:val="single" w:sz="4" w:space="0" w:color="1B556B"/>
            </w:tcBorders>
            <w:shd w:val="clear" w:color="auto" w:fill="1B556B"/>
            <w:vAlign w:val="bottom"/>
          </w:tcPr>
          <w:p w14:paraId="38CB9811" w14:textId="77777777" w:rsidR="0010265C" w:rsidRPr="00261B7A" w:rsidRDefault="0010265C" w:rsidP="00D41492">
            <w:pPr>
              <w:pStyle w:val="TableTextBold"/>
              <w:keepNext/>
              <w:spacing w:before="50" w:after="50"/>
              <w:jc w:val="right"/>
              <w:rPr>
                <w:noProof w:val="0"/>
                <w:color w:val="FFFFFF"/>
              </w:rPr>
            </w:pPr>
            <w:r w:rsidRPr="00261B7A">
              <w:rPr>
                <w:noProof w:val="0"/>
                <w:color w:val="FFFFFF"/>
              </w:rPr>
              <w:t>(%)</w:t>
            </w:r>
          </w:p>
        </w:tc>
      </w:tr>
      <w:tr w:rsidR="0010265C" w:rsidRPr="00261B7A" w14:paraId="29F8DBC6" w14:textId="77777777" w:rsidTr="00B34461">
        <w:tc>
          <w:tcPr>
            <w:tcW w:w="1203" w:type="dxa"/>
            <w:tcBorders>
              <w:top w:val="single" w:sz="4" w:space="0" w:color="1B556B"/>
              <w:bottom w:val="single" w:sz="4" w:space="0" w:color="1B556B"/>
            </w:tcBorders>
          </w:tcPr>
          <w:p w14:paraId="0477B82F" w14:textId="77777777" w:rsidR="0010265C" w:rsidRPr="00261B7A" w:rsidRDefault="0010265C" w:rsidP="00D41492">
            <w:pPr>
              <w:pStyle w:val="TableText"/>
              <w:spacing w:before="50" w:after="50"/>
            </w:pPr>
            <w:r w:rsidRPr="00261B7A">
              <w:t xml:space="preserve">1990 </w:t>
            </w:r>
          </w:p>
        </w:tc>
        <w:tc>
          <w:tcPr>
            <w:tcW w:w="1825" w:type="dxa"/>
            <w:tcBorders>
              <w:top w:val="single" w:sz="4" w:space="0" w:color="1B556B"/>
              <w:bottom w:val="single" w:sz="4" w:space="0" w:color="1B556B"/>
            </w:tcBorders>
            <w:vAlign w:val="center"/>
          </w:tcPr>
          <w:p w14:paraId="7FE1A708" w14:textId="77777777" w:rsidR="0010265C" w:rsidRPr="00261B7A" w:rsidRDefault="0010265C" w:rsidP="00D41492">
            <w:pPr>
              <w:pStyle w:val="TableText"/>
              <w:spacing w:before="50" w:after="50"/>
              <w:jc w:val="right"/>
              <w:rPr>
                <w:rFonts w:asciiTheme="minorHAnsi" w:hAnsiTheme="minorHAnsi" w:cstheme="minorHAnsi"/>
                <w:color w:val="000000"/>
              </w:rPr>
            </w:pPr>
            <w:r w:rsidRPr="00261B7A">
              <w:rPr>
                <w:rFonts w:asciiTheme="minorHAnsi" w:hAnsiTheme="minorHAnsi" w:cstheme="minorHAnsi"/>
                <w:color w:val="000000"/>
                <w:szCs w:val="16"/>
              </w:rPr>
              <w:t>724.7</w:t>
            </w:r>
          </w:p>
        </w:tc>
        <w:tc>
          <w:tcPr>
            <w:tcW w:w="1825" w:type="dxa"/>
            <w:tcBorders>
              <w:top w:val="single" w:sz="4" w:space="0" w:color="1B556B"/>
              <w:bottom w:val="single" w:sz="4" w:space="0" w:color="1B556B"/>
            </w:tcBorders>
            <w:vAlign w:val="center"/>
          </w:tcPr>
          <w:p w14:paraId="0ED1D472" w14:textId="77777777" w:rsidR="0010265C" w:rsidRPr="00261B7A" w:rsidRDefault="0010265C" w:rsidP="00D41492">
            <w:pPr>
              <w:pStyle w:val="TableText"/>
              <w:spacing w:before="50" w:after="50"/>
              <w:jc w:val="right"/>
              <w:rPr>
                <w:rFonts w:asciiTheme="minorHAnsi" w:hAnsiTheme="minorHAnsi" w:cstheme="minorHAnsi"/>
                <w:color w:val="000000"/>
              </w:rPr>
            </w:pPr>
            <w:r w:rsidRPr="00261B7A">
              <w:rPr>
                <w:rFonts w:asciiTheme="minorHAnsi" w:hAnsiTheme="minorHAnsi" w:cstheme="minorHAnsi"/>
                <w:color w:val="000000"/>
                <w:szCs w:val="16"/>
              </w:rPr>
              <w:t>756.8</w:t>
            </w:r>
          </w:p>
        </w:tc>
        <w:tc>
          <w:tcPr>
            <w:tcW w:w="1825" w:type="dxa"/>
            <w:tcBorders>
              <w:top w:val="single" w:sz="4" w:space="0" w:color="1B556B"/>
              <w:bottom w:val="single" w:sz="4" w:space="0" w:color="1B556B"/>
            </w:tcBorders>
            <w:vAlign w:val="center"/>
          </w:tcPr>
          <w:p w14:paraId="22CFDAAE" w14:textId="77777777" w:rsidR="0010265C" w:rsidRPr="00261B7A" w:rsidRDefault="0010265C" w:rsidP="00D41492">
            <w:pPr>
              <w:pStyle w:val="TableText"/>
              <w:spacing w:before="50" w:after="50"/>
              <w:jc w:val="right"/>
              <w:rPr>
                <w:rFonts w:asciiTheme="minorHAnsi" w:hAnsiTheme="minorHAnsi" w:cstheme="minorHAnsi"/>
                <w:color w:val="000000"/>
              </w:rPr>
            </w:pPr>
            <w:r w:rsidRPr="00261B7A">
              <w:rPr>
                <w:rFonts w:asciiTheme="minorHAnsi" w:hAnsiTheme="minorHAnsi" w:cstheme="minorHAnsi"/>
                <w:color w:val="000000"/>
                <w:szCs w:val="16"/>
              </w:rPr>
              <w:t xml:space="preserve">32.1 </w:t>
            </w:r>
          </w:p>
        </w:tc>
        <w:tc>
          <w:tcPr>
            <w:tcW w:w="1827" w:type="dxa"/>
            <w:tcBorders>
              <w:top w:val="single" w:sz="4" w:space="0" w:color="1B556B"/>
              <w:bottom w:val="single" w:sz="4" w:space="0" w:color="1B556B"/>
            </w:tcBorders>
            <w:vAlign w:val="center"/>
          </w:tcPr>
          <w:p w14:paraId="1B0500B5" w14:textId="77777777" w:rsidR="0010265C" w:rsidRPr="00261B7A" w:rsidRDefault="0010265C" w:rsidP="00D41492">
            <w:pPr>
              <w:pStyle w:val="TableText"/>
              <w:spacing w:before="50" w:after="50"/>
              <w:jc w:val="right"/>
              <w:rPr>
                <w:rFonts w:asciiTheme="minorHAnsi" w:hAnsiTheme="minorHAnsi" w:cstheme="minorHAnsi"/>
                <w:color w:val="000000"/>
              </w:rPr>
            </w:pPr>
            <w:r w:rsidRPr="00261B7A">
              <w:rPr>
                <w:rFonts w:asciiTheme="minorHAnsi" w:hAnsiTheme="minorHAnsi" w:cstheme="minorHAnsi"/>
                <w:color w:val="000000"/>
                <w:szCs w:val="16"/>
              </w:rPr>
              <w:t>+4.4</w:t>
            </w:r>
          </w:p>
        </w:tc>
      </w:tr>
      <w:tr w:rsidR="0010265C" w:rsidRPr="00261B7A" w14:paraId="01A42A9F" w14:textId="77777777" w:rsidTr="00B34461">
        <w:tc>
          <w:tcPr>
            <w:tcW w:w="1203" w:type="dxa"/>
            <w:tcBorders>
              <w:top w:val="single" w:sz="4" w:space="0" w:color="1B556B"/>
              <w:bottom w:val="single" w:sz="4" w:space="0" w:color="1B556B"/>
            </w:tcBorders>
          </w:tcPr>
          <w:p w14:paraId="4B14015D" w14:textId="77777777" w:rsidR="0010265C" w:rsidRPr="00261B7A" w:rsidRDefault="0010265C" w:rsidP="00D41492">
            <w:pPr>
              <w:pStyle w:val="TableText"/>
              <w:spacing w:before="50" w:after="50"/>
            </w:pPr>
            <w:r w:rsidRPr="00261B7A">
              <w:t>2020</w:t>
            </w:r>
          </w:p>
        </w:tc>
        <w:tc>
          <w:tcPr>
            <w:tcW w:w="1825" w:type="dxa"/>
            <w:tcBorders>
              <w:top w:val="single" w:sz="4" w:space="0" w:color="1B556B"/>
              <w:bottom w:val="single" w:sz="4" w:space="0" w:color="1B556B"/>
            </w:tcBorders>
            <w:vAlign w:val="center"/>
          </w:tcPr>
          <w:p w14:paraId="59851CBB" w14:textId="77777777" w:rsidR="0010265C" w:rsidRPr="00261B7A" w:rsidRDefault="0010265C" w:rsidP="00D41492">
            <w:pPr>
              <w:pStyle w:val="TableText"/>
              <w:spacing w:before="50" w:after="50"/>
              <w:jc w:val="right"/>
              <w:rPr>
                <w:rFonts w:asciiTheme="minorHAnsi" w:hAnsiTheme="minorHAnsi" w:cstheme="minorHAnsi"/>
                <w:color w:val="000000"/>
              </w:rPr>
            </w:pPr>
            <w:r w:rsidRPr="00261B7A">
              <w:rPr>
                <w:rFonts w:asciiTheme="minorHAnsi" w:hAnsiTheme="minorHAnsi" w:cstheme="minorHAnsi"/>
                <w:color w:val="000000"/>
                <w:szCs w:val="16"/>
              </w:rPr>
              <w:t>2,570.2</w:t>
            </w:r>
          </w:p>
        </w:tc>
        <w:tc>
          <w:tcPr>
            <w:tcW w:w="1825" w:type="dxa"/>
            <w:tcBorders>
              <w:top w:val="single" w:sz="4" w:space="0" w:color="1B556B"/>
              <w:bottom w:val="single" w:sz="4" w:space="0" w:color="1B556B"/>
            </w:tcBorders>
            <w:vAlign w:val="center"/>
          </w:tcPr>
          <w:p w14:paraId="62AC2ADE" w14:textId="77777777" w:rsidR="0010265C" w:rsidRPr="00261B7A" w:rsidRDefault="0010265C" w:rsidP="00D41492">
            <w:pPr>
              <w:pStyle w:val="TableText"/>
              <w:spacing w:before="50" w:after="50"/>
              <w:jc w:val="right"/>
              <w:rPr>
                <w:rFonts w:asciiTheme="minorHAnsi" w:hAnsiTheme="minorHAnsi" w:cstheme="minorHAnsi"/>
                <w:color w:val="000000"/>
              </w:rPr>
            </w:pPr>
            <w:r w:rsidRPr="00261B7A">
              <w:rPr>
                <w:rFonts w:asciiTheme="minorHAnsi" w:hAnsiTheme="minorHAnsi" w:cstheme="minorHAnsi"/>
                <w:color w:val="000000"/>
                <w:szCs w:val="16"/>
              </w:rPr>
              <w:t>3,628.1</w:t>
            </w:r>
          </w:p>
        </w:tc>
        <w:tc>
          <w:tcPr>
            <w:tcW w:w="1825" w:type="dxa"/>
            <w:tcBorders>
              <w:top w:val="single" w:sz="4" w:space="0" w:color="1B556B"/>
              <w:bottom w:val="single" w:sz="4" w:space="0" w:color="1B556B"/>
            </w:tcBorders>
            <w:vAlign w:val="center"/>
          </w:tcPr>
          <w:p w14:paraId="01F566EF" w14:textId="77777777" w:rsidR="0010265C" w:rsidRPr="00261B7A" w:rsidRDefault="0010265C" w:rsidP="00D41492">
            <w:pPr>
              <w:pStyle w:val="TableText"/>
              <w:spacing w:before="50" w:after="50"/>
              <w:jc w:val="right"/>
              <w:rPr>
                <w:rFonts w:asciiTheme="minorHAnsi" w:hAnsiTheme="minorHAnsi" w:cstheme="minorHAnsi"/>
                <w:color w:val="000000"/>
              </w:rPr>
            </w:pPr>
            <w:r w:rsidRPr="00261B7A">
              <w:rPr>
                <w:rFonts w:asciiTheme="minorHAnsi" w:hAnsiTheme="minorHAnsi" w:cstheme="minorHAnsi"/>
                <w:color w:val="000000"/>
                <w:szCs w:val="16"/>
              </w:rPr>
              <w:t xml:space="preserve">1,057.9 </w:t>
            </w:r>
          </w:p>
        </w:tc>
        <w:tc>
          <w:tcPr>
            <w:tcW w:w="1827" w:type="dxa"/>
            <w:tcBorders>
              <w:top w:val="single" w:sz="4" w:space="0" w:color="1B556B"/>
              <w:bottom w:val="single" w:sz="4" w:space="0" w:color="1B556B"/>
            </w:tcBorders>
            <w:vAlign w:val="center"/>
          </w:tcPr>
          <w:p w14:paraId="3E7AA1F6" w14:textId="77777777" w:rsidR="0010265C" w:rsidRPr="00261B7A" w:rsidRDefault="0010265C" w:rsidP="00D41492">
            <w:pPr>
              <w:pStyle w:val="TableText"/>
              <w:spacing w:before="50" w:after="50"/>
              <w:jc w:val="right"/>
              <w:rPr>
                <w:rFonts w:asciiTheme="minorHAnsi" w:hAnsiTheme="minorHAnsi" w:cstheme="minorHAnsi"/>
                <w:color w:val="000000"/>
              </w:rPr>
            </w:pPr>
            <w:r w:rsidRPr="00261B7A">
              <w:rPr>
                <w:rFonts w:asciiTheme="minorHAnsi" w:hAnsiTheme="minorHAnsi" w:cstheme="minorHAnsi"/>
                <w:color w:val="000000"/>
                <w:szCs w:val="16"/>
              </w:rPr>
              <w:t>+41.2</w:t>
            </w:r>
          </w:p>
        </w:tc>
      </w:tr>
    </w:tbl>
    <w:p w14:paraId="1203CE7C" w14:textId="77777777" w:rsidR="0010265C" w:rsidRPr="00261B7A" w:rsidRDefault="0010265C" w:rsidP="0010265C">
      <w:pPr>
        <w:pStyle w:val="BodyText"/>
        <w:spacing w:before="240"/>
      </w:pPr>
      <w:bookmarkStart w:id="2166" w:name="_Toc255466413"/>
      <w:bookmarkStart w:id="2167" w:name="_Toc261513220"/>
      <w:bookmarkStart w:id="2168" w:name="_Toc261513833"/>
      <w:r w:rsidRPr="00261B7A">
        <w:t>Recalculations of the entire time series were carried out for this category as a result of the following updates to activity data.</w:t>
      </w:r>
    </w:p>
    <w:p w14:paraId="371531C8" w14:textId="77777777" w:rsidR="0010265C" w:rsidRPr="00261B7A" w:rsidRDefault="0010265C" w:rsidP="00294EC5">
      <w:pPr>
        <w:pStyle w:val="Bullet"/>
        <w:numPr>
          <w:ilvl w:val="0"/>
          <w:numId w:val="25"/>
        </w:numPr>
        <w:ind w:left="397" w:hanging="397"/>
      </w:pPr>
      <w:r w:rsidRPr="00261B7A">
        <w:t>Additional deforestation to grassland in recent years was identified due to the application of the four-year rule</w:t>
      </w:r>
      <w:r w:rsidRPr="00261B7A" w:rsidDel="000B7B2B">
        <w:t xml:space="preserve"> </w:t>
      </w:r>
      <w:r w:rsidRPr="00261B7A">
        <w:t xml:space="preserve">– that is, land that lost forest cover but showed no evidence of land-use change is considered deforested after four years. Applying this rule led primarily to an increase in emissions in the </w:t>
      </w:r>
      <w:r w:rsidRPr="00261B7A">
        <w:rPr>
          <w:i/>
          <w:iCs/>
        </w:rPr>
        <w:t xml:space="preserve">Grassland with woody biomass </w:t>
      </w:r>
      <w:r w:rsidRPr="00261B7A">
        <w:t xml:space="preserve">category. </w:t>
      </w:r>
    </w:p>
    <w:p w14:paraId="4323969E" w14:textId="77777777" w:rsidR="0010265C" w:rsidRPr="00261B7A" w:rsidRDefault="0010265C" w:rsidP="00294EC5">
      <w:pPr>
        <w:pStyle w:val="Bullet"/>
        <w:numPr>
          <w:ilvl w:val="0"/>
          <w:numId w:val="25"/>
        </w:numPr>
      </w:pPr>
      <w:r w:rsidRPr="00261B7A">
        <w:t xml:space="preserve">The estimated area of deforestation that occurred in 2020 increased relative to the previous submission, leading to increased emissions in the </w:t>
      </w:r>
      <w:r w:rsidRPr="00261B7A">
        <w:rPr>
          <w:i/>
        </w:rPr>
        <w:t>Grassland</w:t>
      </w:r>
      <w:r w:rsidRPr="00261B7A">
        <w:t xml:space="preserve"> categories for that year (see also section 6.1.4). </w:t>
      </w:r>
    </w:p>
    <w:p w14:paraId="4755FC2C" w14:textId="77777777" w:rsidR="0010265C" w:rsidRPr="00261B7A" w:rsidRDefault="0010265C" w:rsidP="0010265C">
      <w:pPr>
        <w:pStyle w:val="Heading3"/>
      </w:pPr>
      <w:bookmarkStart w:id="2169" w:name="_Toc280630305"/>
      <w:r w:rsidRPr="00261B7A">
        <w:t>6.5.6</w:t>
      </w:r>
      <w:r w:rsidRPr="00261B7A">
        <w:tab/>
        <w:t>Category-specific planned improvements</w:t>
      </w:r>
      <w:bookmarkEnd w:id="2149"/>
      <w:bookmarkEnd w:id="2166"/>
      <w:bookmarkEnd w:id="2167"/>
      <w:bookmarkEnd w:id="2168"/>
      <w:bookmarkEnd w:id="2169"/>
    </w:p>
    <w:p w14:paraId="48B7F67B" w14:textId="77777777" w:rsidR="0010265C" w:rsidRPr="00261B7A" w:rsidRDefault="0010265C" w:rsidP="0010265C">
      <w:pPr>
        <w:pStyle w:val="BodyText"/>
      </w:pPr>
      <w:r w:rsidRPr="00261B7A">
        <w:t xml:space="preserve">A longitudinal study on the impact of management practices on carbon stocks in </w:t>
      </w:r>
      <w:r w:rsidRPr="00261B7A">
        <w:rPr>
          <w:i/>
          <w:iCs/>
        </w:rPr>
        <w:t>Grassland</w:t>
      </w:r>
      <w:r w:rsidRPr="00261B7A">
        <w:t xml:space="preserve"> and </w:t>
      </w:r>
      <w:r w:rsidRPr="00261B7A">
        <w:rPr>
          <w:i/>
          <w:iCs/>
        </w:rPr>
        <w:t>Cropland</w:t>
      </w:r>
      <w:r w:rsidRPr="00261B7A">
        <w:t xml:space="preserve"> soils is under way. This is further described in section 6.4.6.</w:t>
      </w:r>
    </w:p>
    <w:p w14:paraId="5477A5FF" w14:textId="77777777" w:rsidR="0010265C" w:rsidRPr="00261B7A" w:rsidRDefault="0010265C" w:rsidP="00A638DC">
      <w:pPr>
        <w:pStyle w:val="Heading2"/>
      </w:pPr>
      <w:bookmarkStart w:id="2170" w:name="_Toc310423455"/>
      <w:bookmarkStart w:id="2171" w:name="_Toc342470721"/>
      <w:bookmarkStart w:id="2172" w:name="_Toc352504873"/>
      <w:bookmarkStart w:id="2173" w:name="_Toc391024703"/>
      <w:bookmarkStart w:id="2174" w:name="_Toc414531320"/>
      <w:bookmarkStart w:id="2175" w:name="_Toc474335462"/>
      <w:bookmarkStart w:id="2176" w:name="_Toc481751402"/>
      <w:bookmarkStart w:id="2177" w:name="_Toc522013954"/>
      <w:bookmarkStart w:id="2178" w:name="_Toc5269379"/>
      <w:bookmarkStart w:id="2179" w:name="_Toc36224419"/>
      <w:bookmarkStart w:id="2180" w:name="_Toc131591253"/>
      <w:r w:rsidRPr="00261B7A">
        <w:t>6.6</w:t>
      </w:r>
      <w:r w:rsidRPr="00261B7A">
        <w:tab/>
        <w:t>Wetlands (CRF 4D)</w:t>
      </w:r>
      <w:bookmarkEnd w:id="2170"/>
      <w:bookmarkEnd w:id="2171"/>
      <w:bookmarkEnd w:id="2172"/>
      <w:bookmarkEnd w:id="2173"/>
      <w:bookmarkEnd w:id="2174"/>
      <w:bookmarkEnd w:id="2175"/>
      <w:bookmarkEnd w:id="2176"/>
      <w:bookmarkEnd w:id="2177"/>
      <w:bookmarkEnd w:id="2178"/>
      <w:bookmarkEnd w:id="2179"/>
      <w:bookmarkEnd w:id="2180"/>
    </w:p>
    <w:p w14:paraId="0D281543" w14:textId="77777777" w:rsidR="0010265C" w:rsidRPr="00261B7A" w:rsidRDefault="0010265C" w:rsidP="0010265C">
      <w:pPr>
        <w:pStyle w:val="Heading3"/>
        <w:spacing w:before="240"/>
      </w:pPr>
      <w:r w:rsidRPr="00261B7A">
        <w:t>6.6.1</w:t>
      </w:r>
      <w:r w:rsidRPr="00261B7A">
        <w:tab/>
        <w:t>Description</w:t>
      </w:r>
    </w:p>
    <w:p w14:paraId="55C454D9" w14:textId="77777777" w:rsidR="0010265C" w:rsidRPr="00261B7A" w:rsidRDefault="0010265C" w:rsidP="0010265C">
      <w:pPr>
        <w:pStyle w:val="BodyText"/>
      </w:pPr>
      <w:r w:rsidRPr="00261B7A">
        <w:t>In 2021, there were 11.4 kt CO</w:t>
      </w:r>
      <w:r w:rsidRPr="00261B7A">
        <w:rPr>
          <w:vertAlign w:val="subscript"/>
        </w:rPr>
        <w:t>2</w:t>
      </w:r>
      <w:r w:rsidRPr="00261B7A">
        <w:t xml:space="preserve">-e emissions from </w:t>
      </w:r>
      <w:r w:rsidRPr="00261B7A">
        <w:rPr>
          <w:i/>
        </w:rPr>
        <w:t>Wetlands</w:t>
      </w:r>
      <w:r w:rsidRPr="00261B7A">
        <w:t xml:space="preserve">, compared with emissions of </w:t>
      </w:r>
      <w:r w:rsidRPr="00261B7A">
        <w:br/>
        <w:t>–8.4 kt CO</w:t>
      </w:r>
      <w:r w:rsidRPr="00261B7A">
        <w:rPr>
          <w:vertAlign w:val="subscript"/>
        </w:rPr>
        <w:t>2</w:t>
      </w:r>
      <w:r w:rsidRPr="00261B7A">
        <w:t xml:space="preserve">-e from </w:t>
      </w:r>
      <w:r w:rsidRPr="00261B7A">
        <w:rPr>
          <w:i/>
        </w:rPr>
        <w:t>Wetlands</w:t>
      </w:r>
      <w:r w:rsidRPr="00261B7A">
        <w:t xml:space="preserve"> in 1990 (see table 6.6.1). This changing trend, from net remover in 1990 to net emitter in 2020, is due to the shift in land-use change patterns that have been observed since 1990, when compared with the changes that had occurred before 1990.</w:t>
      </w:r>
    </w:p>
    <w:p w14:paraId="67F7FACC" w14:textId="77777777" w:rsidR="0010265C" w:rsidRPr="00261B7A" w:rsidRDefault="0010265C" w:rsidP="0010265C">
      <w:pPr>
        <w:pStyle w:val="BodyText"/>
      </w:pPr>
      <w:r w:rsidRPr="00261B7A">
        <w:t>As of 2021, there were 5,63</w:t>
      </w:r>
      <w:r w:rsidRPr="00261B7A" w:rsidDel="009768AE">
        <w:t>8</w:t>
      </w:r>
      <w:r w:rsidRPr="00261B7A" w:rsidDel="008C0565">
        <w:t xml:space="preserve"> </w:t>
      </w:r>
      <w:r w:rsidRPr="00261B7A">
        <w:t xml:space="preserve">hectares in a state of conversion to </w:t>
      </w:r>
      <w:r w:rsidRPr="00261B7A">
        <w:rPr>
          <w:i/>
        </w:rPr>
        <w:t>Wetlands</w:t>
      </w:r>
      <w:r w:rsidRPr="00261B7A">
        <w:t xml:space="preserve"> (see table 6.6.1). These lands have been converted to </w:t>
      </w:r>
      <w:r w:rsidRPr="00261B7A">
        <w:rPr>
          <w:i/>
        </w:rPr>
        <w:t>Wetlands</w:t>
      </w:r>
      <w:r w:rsidRPr="00261B7A">
        <w:t xml:space="preserve"> during the previous 20 years but have not yet reached steady state.</w:t>
      </w:r>
    </w:p>
    <w:p w14:paraId="2F5D4884" w14:textId="77777777" w:rsidR="0010265C" w:rsidRPr="00261B7A" w:rsidRDefault="0010265C" w:rsidP="0010265C">
      <w:pPr>
        <w:pStyle w:val="BodyText"/>
      </w:pPr>
      <w:r w:rsidRPr="00261B7A">
        <w:t>Removals from wetlands are driven by increases to mineral soil carbon stocks following conversion to wetland (2.4 kt CO</w:t>
      </w:r>
      <w:r w:rsidRPr="00261B7A">
        <w:rPr>
          <w:vertAlign w:val="subscript"/>
        </w:rPr>
        <w:t>2</w:t>
      </w:r>
      <w:r w:rsidRPr="00261B7A">
        <w:t>-e of removals in 2021 from mineral soils), while emissions are driven by the extraction of peat each year.</w:t>
      </w:r>
    </w:p>
    <w:p w14:paraId="28B3B2B7" w14:textId="77777777" w:rsidR="0010265C" w:rsidRPr="00261B7A" w:rsidRDefault="0010265C" w:rsidP="0010265C">
      <w:pPr>
        <w:pStyle w:val="Table"/>
      </w:pPr>
      <w:bookmarkStart w:id="2181" w:name="_Toc342470784"/>
      <w:bookmarkStart w:id="2182" w:name="_Toc352505024"/>
      <w:bookmarkStart w:id="2183" w:name="_Toc378853313"/>
      <w:bookmarkStart w:id="2184" w:name="_Toc391024111"/>
      <w:bookmarkStart w:id="2185" w:name="_Toc410028854"/>
      <w:bookmarkStart w:id="2186" w:name="_Toc414531482"/>
      <w:bookmarkStart w:id="2187" w:name="_Toc443645395"/>
      <w:bookmarkStart w:id="2188" w:name="_Toc474914614"/>
      <w:bookmarkStart w:id="2189" w:name="_Toc481751578"/>
      <w:bookmarkStart w:id="2190" w:name="_Toc522010635"/>
      <w:bookmarkStart w:id="2191" w:name="_Toc5269540"/>
      <w:bookmarkStart w:id="2192" w:name="_Toc33529414"/>
      <w:bookmarkStart w:id="2193" w:name="_Toc36224620"/>
      <w:bookmarkStart w:id="2194" w:name="_Toc131591414"/>
      <w:r w:rsidRPr="00261B7A">
        <w:t>Table 6.6.1</w:t>
      </w:r>
      <w:r w:rsidRPr="00261B7A">
        <w:tab/>
        <w:t xml:space="preserve">New Zealand’s land-use change for the </w:t>
      </w:r>
      <w:r w:rsidRPr="00261B7A">
        <w:rPr>
          <w:i/>
        </w:rPr>
        <w:t>Wetlands</w:t>
      </w:r>
      <w:r w:rsidRPr="00261B7A">
        <w:t xml:space="preserve"> category, and associated</w:t>
      </w:r>
      <w:r w:rsidRPr="00261B7A">
        <w:br/>
        <w:t>CO</w:t>
      </w:r>
      <w:r w:rsidRPr="00261B7A">
        <w:rPr>
          <w:vertAlign w:val="subscript"/>
        </w:rPr>
        <w:t>2</w:t>
      </w:r>
      <w:r w:rsidRPr="00261B7A">
        <w:noBreakHyphen/>
        <w:t>e emissions</w:t>
      </w:r>
      <w:bookmarkEnd w:id="2181"/>
      <w:bookmarkEnd w:id="2182"/>
      <w:bookmarkEnd w:id="2183"/>
      <w:r w:rsidRPr="00261B7A">
        <w:t xml:space="preserve">, in 1990 and </w:t>
      </w:r>
      <w:bookmarkEnd w:id="2184"/>
      <w:bookmarkEnd w:id="2185"/>
      <w:bookmarkEnd w:id="2186"/>
      <w:bookmarkEnd w:id="2187"/>
      <w:bookmarkEnd w:id="2188"/>
      <w:bookmarkEnd w:id="2189"/>
      <w:bookmarkEnd w:id="2190"/>
      <w:bookmarkEnd w:id="2191"/>
      <w:bookmarkEnd w:id="2192"/>
      <w:bookmarkEnd w:id="2193"/>
      <w:r w:rsidRPr="00261B7A">
        <w:t>2021</w:t>
      </w:r>
      <w:bookmarkEnd w:id="2194"/>
    </w:p>
    <w:tbl>
      <w:tblPr>
        <w:tblW w:w="8505" w:type="dxa"/>
        <w:tblLayout w:type="fixed"/>
        <w:tblLook w:val="04A0" w:firstRow="1" w:lastRow="0" w:firstColumn="1" w:lastColumn="0" w:noHBand="0" w:noVBand="1"/>
      </w:tblPr>
      <w:tblGrid>
        <w:gridCol w:w="2770"/>
        <w:gridCol w:w="1206"/>
        <w:gridCol w:w="1055"/>
        <w:gridCol w:w="1055"/>
        <w:gridCol w:w="1112"/>
        <w:gridCol w:w="1307"/>
      </w:tblGrid>
      <w:tr w:rsidR="0010265C" w:rsidRPr="00261B7A" w14:paraId="2BF05AD5" w14:textId="77777777" w:rsidTr="001F37CD">
        <w:tc>
          <w:tcPr>
            <w:tcW w:w="2770" w:type="dxa"/>
            <w:vMerge w:val="restart"/>
            <w:tcBorders>
              <w:top w:val="single" w:sz="4" w:space="0" w:color="1B556B"/>
              <w:bottom w:val="single" w:sz="4" w:space="0" w:color="1B556B"/>
            </w:tcBorders>
            <w:shd w:val="clear" w:color="auto" w:fill="1B556B"/>
            <w:vAlign w:val="bottom"/>
          </w:tcPr>
          <w:p w14:paraId="10DBEA41" w14:textId="77777777" w:rsidR="0010265C" w:rsidRPr="00261B7A" w:rsidRDefault="0010265C" w:rsidP="00D41492">
            <w:pPr>
              <w:pStyle w:val="TableTextBold"/>
              <w:keepNext/>
              <w:spacing w:before="40" w:after="40"/>
              <w:rPr>
                <w:noProof w:val="0"/>
                <w:color w:val="FFFFFF"/>
              </w:rPr>
            </w:pPr>
            <w:r w:rsidRPr="00261B7A">
              <w:rPr>
                <w:noProof w:val="0"/>
                <w:color w:val="FFFFFF"/>
              </w:rPr>
              <w:t>Wetlands land use category</w:t>
            </w:r>
          </w:p>
        </w:tc>
        <w:tc>
          <w:tcPr>
            <w:tcW w:w="2261" w:type="dxa"/>
            <w:gridSpan w:val="2"/>
            <w:tcBorders>
              <w:top w:val="single" w:sz="4" w:space="0" w:color="1B556B"/>
              <w:bottom w:val="single" w:sz="4" w:space="0" w:color="1B556B"/>
            </w:tcBorders>
            <w:shd w:val="clear" w:color="auto" w:fill="1B556B"/>
            <w:vAlign w:val="bottom"/>
          </w:tcPr>
          <w:p w14:paraId="5FB675EF" w14:textId="77777777" w:rsidR="0010265C" w:rsidRPr="00261B7A" w:rsidRDefault="0010265C" w:rsidP="00D41492">
            <w:pPr>
              <w:pStyle w:val="TableTextBold"/>
              <w:keepNext/>
              <w:spacing w:before="40" w:after="40"/>
              <w:jc w:val="center"/>
              <w:rPr>
                <w:noProof w:val="0"/>
                <w:color w:val="FFFFFF"/>
              </w:rPr>
            </w:pPr>
            <w:r w:rsidRPr="00261B7A">
              <w:rPr>
                <w:noProof w:val="0"/>
                <w:color w:val="FFFFFF"/>
              </w:rPr>
              <w:t>Net area (ha) as at</w:t>
            </w:r>
          </w:p>
        </w:tc>
        <w:tc>
          <w:tcPr>
            <w:tcW w:w="2167" w:type="dxa"/>
            <w:gridSpan w:val="2"/>
            <w:tcBorders>
              <w:top w:val="single" w:sz="4" w:space="0" w:color="1B556B"/>
              <w:bottom w:val="single" w:sz="4" w:space="0" w:color="1B556B"/>
            </w:tcBorders>
            <w:shd w:val="clear" w:color="auto" w:fill="1B556B"/>
            <w:vAlign w:val="bottom"/>
          </w:tcPr>
          <w:p w14:paraId="75D7461C" w14:textId="77777777" w:rsidR="0010265C" w:rsidRPr="00261B7A" w:rsidRDefault="0010265C" w:rsidP="00D41492">
            <w:pPr>
              <w:pStyle w:val="TableTextBold"/>
              <w:keepNext/>
              <w:spacing w:before="40" w:after="40"/>
              <w:jc w:val="center"/>
              <w:rPr>
                <w:noProof w:val="0"/>
                <w:color w:val="FFFFFF"/>
              </w:rPr>
            </w:pPr>
            <w:r w:rsidRPr="00261B7A">
              <w:rPr>
                <w:noProof w:val="0"/>
                <w:color w:val="FFFFFF"/>
              </w:rPr>
              <w:t>Net emissions (kt CO</w:t>
            </w:r>
            <w:r w:rsidRPr="00261B7A">
              <w:rPr>
                <w:noProof w:val="0"/>
                <w:color w:val="FFFFFF"/>
                <w:vertAlign w:val="subscript"/>
              </w:rPr>
              <w:t>2</w:t>
            </w:r>
            <w:r w:rsidRPr="00261B7A">
              <w:rPr>
                <w:noProof w:val="0"/>
                <w:color w:val="FFFFFF"/>
              </w:rPr>
              <w:t>-e)</w:t>
            </w:r>
          </w:p>
        </w:tc>
        <w:tc>
          <w:tcPr>
            <w:tcW w:w="1307" w:type="dxa"/>
            <w:vMerge w:val="restart"/>
            <w:tcBorders>
              <w:top w:val="single" w:sz="4" w:space="0" w:color="1B556B"/>
              <w:bottom w:val="single" w:sz="4" w:space="0" w:color="1B556B"/>
            </w:tcBorders>
            <w:shd w:val="clear" w:color="auto" w:fill="1B556B"/>
            <w:vAlign w:val="bottom"/>
          </w:tcPr>
          <w:p w14:paraId="5EA99CC7" w14:textId="77777777" w:rsidR="0010265C" w:rsidRPr="00261B7A" w:rsidRDefault="0010265C" w:rsidP="00D41492">
            <w:pPr>
              <w:pStyle w:val="TableTextBold"/>
              <w:keepNext/>
              <w:spacing w:before="40" w:after="40"/>
              <w:jc w:val="right"/>
              <w:rPr>
                <w:noProof w:val="0"/>
                <w:color w:val="FFFFFF"/>
              </w:rPr>
            </w:pPr>
            <w:r w:rsidRPr="00261B7A">
              <w:rPr>
                <w:noProof w:val="0"/>
                <w:color w:val="FFFFFF"/>
              </w:rPr>
              <w:t>Change from 1990 (%)</w:t>
            </w:r>
          </w:p>
        </w:tc>
      </w:tr>
      <w:tr w:rsidR="0010265C" w:rsidRPr="00261B7A" w14:paraId="310E376E" w14:textId="77777777" w:rsidTr="00B34461">
        <w:tc>
          <w:tcPr>
            <w:tcW w:w="2770" w:type="dxa"/>
            <w:vMerge/>
            <w:tcBorders>
              <w:top w:val="single" w:sz="4" w:space="0" w:color="1B556B"/>
              <w:bottom w:val="single" w:sz="4" w:space="0" w:color="1B556B"/>
            </w:tcBorders>
            <w:shd w:val="clear" w:color="auto" w:fill="1B556B"/>
            <w:vAlign w:val="bottom"/>
          </w:tcPr>
          <w:p w14:paraId="3ED95D5E" w14:textId="77777777" w:rsidR="0010265C" w:rsidRPr="00261B7A" w:rsidRDefault="0010265C" w:rsidP="00D41492">
            <w:pPr>
              <w:pStyle w:val="TableTextBold"/>
              <w:keepNext/>
              <w:spacing w:before="40" w:after="40"/>
              <w:rPr>
                <w:noProof w:val="0"/>
                <w:color w:val="FFFFFF"/>
              </w:rPr>
            </w:pPr>
          </w:p>
        </w:tc>
        <w:tc>
          <w:tcPr>
            <w:tcW w:w="1206" w:type="dxa"/>
            <w:tcBorders>
              <w:top w:val="single" w:sz="4" w:space="0" w:color="1B556B"/>
              <w:bottom w:val="single" w:sz="4" w:space="0" w:color="1B556B"/>
            </w:tcBorders>
            <w:shd w:val="clear" w:color="auto" w:fill="1B556B"/>
            <w:vAlign w:val="bottom"/>
          </w:tcPr>
          <w:p w14:paraId="33DFBDA2" w14:textId="77777777" w:rsidR="0010265C" w:rsidRPr="00261B7A" w:rsidRDefault="0010265C" w:rsidP="00D41492">
            <w:pPr>
              <w:pStyle w:val="TableTextBold"/>
              <w:keepNext/>
              <w:spacing w:before="40" w:after="40"/>
              <w:jc w:val="right"/>
              <w:rPr>
                <w:noProof w:val="0"/>
                <w:color w:val="FFFFFF"/>
              </w:rPr>
            </w:pPr>
            <w:r w:rsidRPr="00261B7A">
              <w:rPr>
                <w:noProof w:val="0"/>
                <w:color w:val="FFFFFF"/>
              </w:rPr>
              <w:t>1990</w:t>
            </w:r>
          </w:p>
        </w:tc>
        <w:tc>
          <w:tcPr>
            <w:tcW w:w="1055" w:type="dxa"/>
            <w:tcBorders>
              <w:top w:val="single" w:sz="4" w:space="0" w:color="1B556B"/>
              <w:bottom w:val="single" w:sz="4" w:space="0" w:color="1B556B"/>
            </w:tcBorders>
            <w:shd w:val="clear" w:color="auto" w:fill="1B556B"/>
            <w:vAlign w:val="bottom"/>
          </w:tcPr>
          <w:p w14:paraId="297ACB91" w14:textId="77777777" w:rsidR="0010265C" w:rsidRPr="00261B7A" w:rsidRDefault="0010265C" w:rsidP="00D41492">
            <w:pPr>
              <w:pStyle w:val="TableTextBold"/>
              <w:keepNext/>
              <w:spacing w:before="40" w:after="40"/>
              <w:jc w:val="right"/>
              <w:rPr>
                <w:noProof w:val="0"/>
                <w:color w:val="FFFFFF"/>
              </w:rPr>
            </w:pPr>
            <w:r w:rsidRPr="00261B7A">
              <w:rPr>
                <w:noProof w:val="0"/>
                <w:color w:val="FFFFFF"/>
              </w:rPr>
              <w:t>2021</w:t>
            </w:r>
          </w:p>
        </w:tc>
        <w:tc>
          <w:tcPr>
            <w:tcW w:w="1055" w:type="dxa"/>
            <w:tcBorders>
              <w:top w:val="single" w:sz="4" w:space="0" w:color="1B556B"/>
              <w:bottom w:val="single" w:sz="4" w:space="0" w:color="1B556B"/>
            </w:tcBorders>
            <w:shd w:val="clear" w:color="auto" w:fill="1B556B"/>
            <w:vAlign w:val="bottom"/>
          </w:tcPr>
          <w:p w14:paraId="66E039BD" w14:textId="77777777" w:rsidR="0010265C" w:rsidRPr="00261B7A" w:rsidRDefault="0010265C" w:rsidP="00D41492">
            <w:pPr>
              <w:pStyle w:val="TableTextBold"/>
              <w:keepNext/>
              <w:spacing w:before="40" w:after="40"/>
              <w:jc w:val="right"/>
              <w:rPr>
                <w:noProof w:val="0"/>
                <w:color w:val="FFFFFF"/>
              </w:rPr>
            </w:pPr>
            <w:r w:rsidRPr="00261B7A">
              <w:rPr>
                <w:noProof w:val="0"/>
                <w:color w:val="FFFFFF"/>
              </w:rPr>
              <w:t>1990</w:t>
            </w:r>
          </w:p>
        </w:tc>
        <w:tc>
          <w:tcPr>
            <w:tcW w:w="1112" w:type="dxa"/>
            <w:tcBorders>
              <w:top w:val="single" w:sz="4" w:space="0" w:color="1B556B"/>
              <w:bottom w:val="single" w:sz="4" w:space="0" w:color="1B556B"/>
            </w:tcBorders>
            <w:shd w:val="clear" w:color="auto" w:fill="1B556B"/>
            <w:vAlign w:val="bottom"/>
          </w:tcPr>
          <w:p w14:paraId="4313ED1D" w14:textId="77777777" w:rsidR="0010265C" w:rsidRPr="00261B7A" w:rsidRDefault="0010265C" w:rsidP="00D41492">
            <w:pPr>
              <w:pStyle w:val="TableTextBold"/>
              <w:keepNext/>
              <w:spacing w:before="40" w:after="40"/>
              <w:jc w:val="right"/>
              <w:rPr>
                <w:noProof w:val="0"/>
                <w:color w:val="FFFFFF"/>
              </w:rPr>
            </w:pPr>
            <w:r w:rsidRPr="00261B7A">
              <w:rPr>
                <w:noProof w:val="0"/>
                <w:color w:val="FFFFFF"/>
              </w:rPr>
              <w:t>2021</w:t>
            </w:r>
          </w:p>
        </w:tc>
        <w:tc>
          <w:tcPr>
            <w:tcW w:w="1307" w:type="dxa"/>
            <w:vMerge/>
            <w:tcBorders>
              <w:top w:val="single" w:sz="4" w:space="0" w:color="1B556B"/>
              <w:bottom w:val="single" w:sz="4" w:space="0" w:color="1B556B"/>
            </w:tcBorders>
            <w:shd w:val="clear" w:color="auto" w:fill="1B556B"/>
            <w:vAlign w:val="bottom"/>
          </w:tcPr>
          <w:p w14:paraId="6E7C4920" w14:textId="77777777" w:rsidR="0010265C" w:rsidRPr="00261B7A" w:rsidRDefault="0010265C" w:rsidP="00D41492">
            <w:pPr>
              <w:pStyle w:val="TableTextBold"/>
              <w:keepNext/>
              <w:spacing w:before="40" w:after="40"/>
              <w:rPr>
                <w:noProof w:val="0"/>
                <w:color w:val="FFFFFF"/>
              </w:rPr>
            </w:pPr>
          </w:p>
        </w:tc>
      </w:tr>
      <w:tr w:rsidR="0010265C" w:rsidRPr="00261B7A" w14:paraId="434C3DDD" w14:textId="77777777" w:rsidTr="00B34461">
        <w:tc>
          <w:tcPr>
            <w:tcW w:w="2770" w:type="dxa"/>
            <w:tcBorders>
              <w:top w:val="single" w:sz="4" w:space="0" w:color="1B556B"/>
              <w:bottom w:val="single" w:sz="4" w:space="0" w:color="365F91"/>
            </w:tcBorders>
          </w:tcPr>
          <w:p w14:paraId="09713288" w14:textId="77777777" w:rsidR="0010265C" w:rsidRPr="00261B7A" w:rsidRDefault="0010265C" w:rsidP="00D41492">
            <w:pPr>
              <w:pStyle w:val="TableText"/>
              <w:spacing w:before="50" w:after="50"/>
            </w:pPr>
            <w:r w:rsidRPr="00261B7A">
              <w:t>Wetlands remaining wetlands</w:t>
            </w:r>
          </w:p>
        </w:tc>
        <w:tc>
          <w:tcPr>
            <w:tcW w:w="1206" w:type="dxa"/>
            <w:tcBorders>
              <w:top w:val="single" w:sz="4" w:space="0" w:color="1B556B"/>
              <w:bottom w:val="single" w:sz="4" w:space="0" w:color="365F91"/>
            </w:tcBorders>
            <w:vAlign w:val="center"/>
          </w:tcPr>
          <w:p w14:paraId="56AC4E64" w14:textId="77777777" w:rsidR="0010265C" w:rsidRPr="00261B7A" w:rsidRDefault="0010265C" w:rsidP="00D41492">
            <w:pPr>
              <w:pStyle w:val="TableText"/>
              <w:spacing w:before="50" w:after="50"/>
              <w:jc w:val="right"/>
            </w:pPr>
            <w:r w:rsidRPr="00261B7A">
              <w:rPr>
                <w:rFonts w:cs="Calibri"/>
                <w:szCs w:val="16"/>
              </w:rPr>
              <w:t>751,390</w:t>
            </w:r>
          </w:p>
        </w:tc>
        <w:tc>
          <w:tcPr>
            <w:tcW w:w="1055" w:type="dxa"/>
            <w:tcBorders>
              <w:top w:val="single" w:sz="4" w:space="0" w:color="1B556B"/>
              <w:bottom w:val="single" w:sz="4" w:space="0" w:color="365F91"/>
            </w:tcBorders>
            <w:vAlign w:val="center"/>
          </w:tcPr>
          <w:p w14:paraId="2B483B01" w14:textId="77777777" w:rsidR="0010265C" w:rsidRPr="00261B7A" w:rsidRDefault="0010265C" w:rsidP="00D41492">
            <w:pPr>
              <w:pStyle w:val="TableText"/>
              <w:spacing w:before="50" w:after="50"/>
              <w:jc w:val="right"/>
            </w:pPr>
            <w:r w:rsidRPr="00261B7A">
              <w:rPr>
                <w:rFonts w:cs="Calibri"/>
                <w:szCs w:val="16"/>
              </w:rPr>
              <w:t>752,607</w:t>
            </w:r>
          </w:p>
        </w:tc>
        <w:tc>
          <w:tcPr>
            <w:tcW w:w="1055" w:type="dxa"/>
            <w:tcBorders>
              <w:top w:val="single" w:sz="4" w:space="0" w:color="1B556B"/>
              <w:bottom w:val="single" w:sz="4" w:space="0" w:color="365F91"/>
            </w:tcBorders>
            <w:vAlign w:val="center"/>
          </w:tcPr>
          <w:p w14:paraId="0D0C65B1" w14:textId="77777777" w:rsidR="0010265C" w:rsidRPr="00261B7A" w:rsidRDefault="0010265C" w:rsidP="00D41492">
            <w:pPr>
              <w:pStyle w:val="TableText"/>
              <w:spacing w:before="50" w:after="50"/>
              <w:jc w:val="right"/>
            </w:pPr>
            <w:r w:rsidRPr="00261B7A">
              <w:rPr>
                <w:rFonts w:cs="Calibri"/>
                <w:szCs w:val="16"/>
              </w:rPr>
              <w:t xml:space="preserve">11.5 </w:t>
            </w:r>
          </w:p>
        </w:tc>
        <w:tc>
          <w:tcPr>
            <w:tcW w:w="1112" w:type="dxa"/>
            <w:tcBorders>
              <w:top w:val="single" w:sz="4" w:space="0" w:color="1B556B"/>
              <w:bottom w:val="single" w:sz="4" w:space="0" w:color="365F91"/>
            </w:tcBorders>
            <w:vAlign w:val="center"/>
          </w:tcPr>
          <w:p w14:paraId="2FA5DFFD" w14:textId="77777777" w:rsidR="0010265C" w:rsidRPr="00261B7A" w:rsidRDefault="0010265C" w:rsidP="00D41492">
            <w:pPr>
              <w:pStyle w:val="TableText"/>
              <w:spacing w:before="50" w:after="50"/>
              <w:jc w:val="right"/>
            </w:pPr>
            <w:r w:rsidRPr="00261B7A">
              <w:rPr>
                <w:rFonts w:cs="Calibri"/>
                <w:szCs w:val="16"/>
              </w:rPr>
              <w:t xml:space="preserve">19.1 </w:t>
            </w:r>
          </w:p>
        </w:tc>
        <w:tc>
          <w:tcPr>
            <w:tcW w:w="1307" w:type="dxa"/>
            <w:tcBorders>
              <w:top w:val="single" w:sz="4" w:space="0" w:color="1B556B"/>
              <w:bottom w:val="single" w:sz="4" w:space="0" w:color="365F91"/>
            </w:tcBorders>
            <w:vAlign w:val="center"/>
          </w:tcPr>
          <w:p w14:paraId="098EB897" w14:textId="77777777" w:rsidR="0010265C" w:rsidRPr="00261B7A" w:rsidRDefault="0010265C" w:rsidP="00D41492">
            <w:pPr>
              <w:pStyle w:val="TableText"/>
              <w:spacing w:before="50" w:after="50"/>
              <w:jc w:val="right"/>
            </w:pPr>
            <w:r w:rsidRPr="00261B7A">
              <w:rPr>
                <w:rFonts w:cs="Calibri"/>
                <w:szCs w:val="16"/>
              </w:rPr>
              <w:t>66.0</w:t>
            </w:r>
          </w:p>
        </w:tc>
      </w:tr>
      <w:tr w:rsidR="0010265C" w:rsidRPr="00261B7A" w14:paraId="4B507B9B" w14:textId="77777777" w:rsidTr="00B34461">
        <w:tc>
          <w:tcPr>
            <w:tcW w:w="2770" w:type="dxa"/>
            <w:tcBorders>
              <w:top w:val="single" w:sz="4" w:space="0" w:color="365F91"/>
              <w:bottom w:val="single" w:sz="4" w:space="0" w:color="365F91"/>
            </w:tcBorders>
          </w:tcPr>
          <w:p w14:paraId="5EEE2C49" w14:textId="77777777" w:rsidR="0010265C" w:rsidRPr="00261B7A" w:rsidRDefault="0010265C" w:rsidP="00D41492">
            <w:pPr>
              <w:pStyle w:val="TableText"/>
              <w:spacing w:before="50" w:after="50"/>
            </w:pPr>
            <w:r w:rsidRPr="00261B7A">
              <w:t>Land converted to wetlands</w:t>
            </w:r>
          </w:p>
        </w:tc>
        <w:tc>
          <w:tcPr>
            <w:tcW w:w="1206" w:type="dxa"/>
            <w:tcBorders>
              <w:top w:val="single" w:sz="4" w:space="0" w:color="365F91"/>
              <w:bottom w:val="single" w:sz="4" w:space="0" w:color="365F91"/>
            </w:tcBorders>
            <w:vAlign w:val="center"/>
          </w:tcPr>
          <w:p w14:paraId="7225E706" w14:textId="77777777" w:rsidR="0010265C" w:rsidRPr="00261B7A" w:rsidRDefault="0010265C" w:rsidP="00D41492">
            <w:pPr>
              <w:pStyle w:val="TableText"/>
              <w:spacing w:before="50" w:after="50"/>
              <w:jc w:val="right"/>
            </w:pPr>
            <w:r w:rsidRPr="00261B7A">
              <w:t>10,276</w:t>
            </w:r>
          </w:p>
        </w:tc>
        <w:tc>
          <w:tcPr>
            <w:tcW w:w="1055" w:type="dxa"/>
            <w:tcBorders>
              <w:top w:val="single" w:sz="4" w:space="0" w:color="365F91"/>
              <w:bottom w:val="single" w:sz="4" w:space="0" w:color="365F91"/>
            </w:tcBorders>
            <w:vAlign w:val="center"/>
          </w:tcPr>
          <w:p w14:paraId="331CD0B5" w14:textId="77777777" w:rsidR="0010265C" w:rsidRPr="00261B7A" w:rsidRDefault="0010265C" w:rsidP="00D41492">
            <w:pPr>
              <w:pStyle w:val="TableText"/>
              <w:spacing w:before="50" w:after="50"/>
              <w:jc w:val="right"/>
            </w:pPr>
            <w:r w:rsidRPr="00261B7A">
              <w:rPr>
                <w:rFonts w:cs="Calibri"/>
                <w:szCs w:val="16"/>
              </w:rPr>
              <w:t>5,638</w:t>
            </w:r>
          </w:p>
        </w:tc>
        <w:tc>
          <w:tcPr>
            <w:tcW w:w="1055" w:type="dxa"/>
            <w:tcBorders>
              <w:top w:val="single" w:sz="4" w:space="0" w:color="365F91"/>
              <w:bottom w:val="single" w:sz="4" w:space="0" w:color="365F91"/>
            </w:tcBorders>
            <w:vAlign w:val="center"/>
          </w:tcPr>
          <w:p w14:paraId="737F8F96" w14:textId="77777777" w:rsidR="0010265C" w:rsidRPr="00261B7A" w:rsidRDefault="0010265C" w:rsidP="00D41492">
            <w:pPr>
              <w:pStyle w:val="TableText"/>
              <w:spacing w:before="50" w:after="50"/>
              <w:jc w:val="right"/>
            </w:pPr>
            <w:r w:rsidRPr="00261B7A">
              <w:rPr>
                <w:rFonts w:cs="Calibri"/>
                <w:szCs w:val="16"/>
              </w:rPr>
              <w:t xml:space="preserve">–20.0 </w:t>
            </w:r>
          </w:p>
        </w:tc>
        <w:tc>
          <w:tcPr>
            <w:tcW w:w="1112" w:type="dxa"/>
            <w:tcBorders>
              <w:top w:val="single" w:sz="4" w:space="0" w:color="365F91"/>
              <w:bottom w:val="single" w:sz="4" w:space="0" w:color="365F91"/>
            </w:tcBorders>
            <w:vAlign w:val="center"/>
          </w:tcPr>
          <w:p w14:paraId="7FB4538A" w14:textId="77777777" w:rsidR="0010265C" w:rsidRPr="00261B7A" w:rsidRDefault="0010265C" w:rsidP="00D41492">
            <w:pPr>
              <w:pStyle w:val="TableText"/>
              <w:spacing w:before="50" w:after="50"/>
              <w:jc w:val="right"/>
            </w:pPr>
            <w:r w:rsidRPr="00261B7A">
              <w:rPr>
                <w:rFonts w:asciiTheme="minorHAnsi" w:hAnsiTheme="minorHAnsi" w:cstheme="minorHAnsi"/>
                <w:color w:val="000000"/>
                <w:szCs w:val="16"/>
              </w:rPr>
              <w:t>–</w:t>
            </w:r>
            <w:r w:rsidRPr="00261B7A">
              <w:rPr>
                <w:rFonts w:cs="Calibri"/>
                <w:szCs w:val="16"/>
              </w:rPr>
              <w:t xml:space="preserve">7.7 </w:t>
            </w:r>
          </w:p>
        </w:tc>
        <w:tc>
          <w:tcPr>
            <w:tcW w:w="1307" w:type="dxa"/>
            <w:tcBorders>
              <w:top w:val="single" w:sz="4" w:space="0" w:color="365F91"/>
              <w:bottom w:val="single" w:sz="4" w:space="0" w:color="365F91"/>
            </w:tcBorders>
            <w:vAlign w:val="center"/>
          </w:tcPr>
          <w:p w14:paraId="43F5E49F" w14:textId="77777777" w:rsidR="0010265C" w:rsidRPr="00261B7A" w:rsidRDefault="0010265C" w:rsidP="00D41492">
            <w:pPr>
              <w:pStyle w:val="TableText"/>
              <w:spacing w:before="50" w:after="50"/>
              <w:jc w:val="right"/>
            </w:pPr>
            <w:r w:rsidRPr="00261B7A">
              <w:rPr>
                <w:rFonts w:cs="Calibri"/>
                <w:szCs w:val="16"/>
              </w:rPr>
              <w:t>61.5</w:t>
            </w:r>
          </w:p>
        </w:tc>
      </w:tr>
      <w:tr w:rsidR="0010265C" w:rsidRPr="00261B7A" w14:paraId="61A34B30" w14:textId="77777777" w:rsidTr="00B34461">
        <w:tc>
          <w:tcPr>
            <w:tcW w:w="2770" w:type="dxa"/>
            <w:tcBorders>
              <w:top w:val="single" w:sz="4" w:space="0" w:color="365F91"/>
              <w:bottom w:val="single" w:sz="4" w:space="0" w:color="365F91"/>
            </w:tcBorders>
          </w:tcPr>
          <w:p w14:paraId="69A2CCF6" w14:textId="77777777" w:rsidR="0010265C" w:rsidRPr="00261B7A" w:rsidRDefault="0010265C" w:rsidP="00D41492">
            <w:pPr>
              <w:pStyle w:val="Tableboldblue"/>
              <w:spacing w:before="50" w:after="50"/>
              <w:jc w:val="right"/>
            </w:pPr>
            <w:r w:rsidRPr="00261B7A">
              <w:t>Total</w:t>
            </w:r>
          </w:p>
        </w:tc>
        <w:tc>
          <w:tcPr>
            <w:tcW w:w="1206" w:type="dxa"/>
            <w:tcBorders>
              <w:top w:val="single" w:sz="4" w:space="0" w:color="365F91"/>
              <w:bottom w:val="single" w:sz="4" w:space="0" w:color="365F91"/>
            </w:tcBorders>
          </w:tcPr>
          <w:p w14:paraId="259DE989" w14:textId="77777777" w:rsidR="0010265C" w:rsidRPr="00261B7A" w:rsidRDefault="0010265C" w:rsidP="00D41492">
            <w:pPr>
              <w:pStyle w:val="Tableboldblue"/>
              <w:spacing w:before="50" w:after="50"/>
              <w:jc w:val="right"/>
            </w:pPr>
            <w:r w:rsidRPr="00261B7A">
              <w:rPr>
                <w:rFonts w:cs="Calibri"/>
                <w:szCs w:val="16"/>
              </w:rPr>
              <w:t>761,665</w:t>
            </w:r>
          </w:p>
        </w:tc>
        <w:tc>
          <w:tcPr>
            <w:tcW w:w="1055" w:type="dxa"/>
            <w:tcBorders>
              <w:top w:val="single" w:sz="4" w:space="0" w:color="365F91"/>
              <w:bottom w:val="single" w:sz="4" w:space="0" w:color="365F91"/>
            </w:tcBorders>
          </w:tcPr>
          <w:p w14:paraId="36150363" w14:textId="77777777" w:rsidR="0010265C" w:rsidRPr="00261B7A" w:rsidRDefault="0010265C" w:rsidP="00D41492">
            <w:pPr>
              <w:pStyle w:val="Tableboldblue"/>
              <w:spacing w:before="50" w:after="50"/>
              <w:jc w:val="right"/>
            </w:pPr>
            <w:r w:rsidRPr="00261B7A">
              <w:rPr>
                <w:rFonts w:cs="Calibri"/>
                <w:szCs w:val="16"/>
              </w:rPr>
              <w:t>758,245</w:t>
            </w:r>
          </w:p>
        </w:tc>
        <w:tc>
          <w:tcPr>
            <w:tcW w:w="1055" w:type="dxa"/>
            <w:tcBorders>
              <w:top w:val="single" w:sz="4" w:space="0" w:color="365F91"/>
              <w:bottom w:val="single" w:sz="4" w:space="0" w:color="365F91"/>
            </w:tcBorders>
            <w:vAlign w:val="center"/>
          </w:tcPr>
          <w:p w14:paraId="5F2FC5E7" w14:textId="77777777" w:rsidR="0010265C" w:rsidRPr="00261B7A" w:rsidRDefault="0010265C" w:rsidP="00D41492">
            <w:pPr>
              <w:pStyle w:val="Tableboldblue"/>
              <w:spacing w:before="50" w:after="50"/>
              <w:jc w:val="right"/>
            </w:pPr>
            <w:r w:rsidRPr="00261B7A">
              <w:rPr>
                <w:rFonts w:cs="Calibri"/>
                <w:szCs w:val="16"/>
              </w:rPr>
              <w:t xml:space="preserve">–8.4 </w:t>
            </w:r>
          </w:p>
        </w:tc>
        <w:tc>
          <w:tcPr>
            <w:tcW w:w="1112" w:type="dxa"/>
            <w:tcBorders>
              <w:top w:val="single" w:sz="4" w:space="0" w:color="365F91"/>
              <w:bottom w:val="single" w:sz="4" w:space="0" w:color="365F91"/>
            </w:tcBorders>
            <w:vAlign w:val="center"/>
          </w:tcPr>
          <w:p w14:paraId="46C8200F" w14:textId="77777777" w:rsidR="0010265C" w:rsidRPr="00261B7A" w:rsidRDefault="0010265C" w:rsidP="00D41492">
            <w:pPr>
              <w:pStyle w:val="Tableboldblue"/>
              <w:spacing w:before="50" w:after="50"/>
              <w:jc w:val="right"/>
            </w:pPr>
            <w:r w:rsidRPr="00261B7A">
              <w:rPr>
                <w:rFonts w:cs="Calibri"/>
                <w:szCs w:val="16"/>
              </w:rPr>
              <w:t>11.</w:t>
            </w:r>
            <w:r w:rsidRPr="00261B7A">
              <w:t>4</w:t>
            </w:r>
          </w:p>
        </w:tc>
        <w:tc>
          <w:tcPr>
            <w:tcW w:w="1307" w:type="dxa"/>
            <w:tcBorders>
              <w:top w:val="single" w:sz="4" w:space="0" w:color="365F91"/>
              <w:bottom w:val="single" w:sz="4" w:space="0" w:color="365F91"/>
            </w:tcBorders>
            <w:vAlign w:val="center"/>
          </w:tcPr>
          <w:p w14:paraId="0682C3EF" w14:textId="77777777" w:rsidR="0010265C" w:rsidRPr="00261B7A" w:rsidRDefault="0010265C" w:rsidP="00D41492">
            <w:pPr>
              <w:pStyle w:val="Tableboldblue"/>
              <w:spacing w:before="50" w:after="50"/>
              <w:jc w:val="right"/>
            </w:pPr>
            <w:r w:rsidRPr="00261B7A">
              <w:rPr>
                <w:rFonts w:cs="Calibri"/>
                <w:szCs w:val="16"/>
              </w:rPr>
              <w:t>+235.7</w:t>
            </w:r>
          </w:p>
        </w:tc>
      </w:tr>
    </w:tbl>
    <w:p w14:paraId="50886673" w14:textId="2D4802C9" w:rsidR="0010265C" w:rsidRPr="00261B7A" w:rsidRDefault="0010265C" w:rsidP="0010265C">
      <w:pPr>
        <w:pStyle w:val="Noteundertable"/>
        <w:spacing w:after="80"/>
      </w:pPr>
      <w:r w:rsidRPr="00261B7A">
        <w:rPr>
          <w:b/>
        </w:rPr>
        <w:t xml:space="preserve">Note: </w:t>
      </w:r>
      <w:r w:rsidRPr="00261B7A">
        <w:rPr>
          <w:b/>
        </w:rPr>
        <w:tab/>
      </w:r>
      <w:r w:rsidRPr="00261B7A">
        <w:t>Net area in 1990 is as at 1 January 1990; net area in 2021 is as at 31 December.</w:t>
      </w:r>
      <w:r w:rsidRPr="00261B7A">
        <w:rPr>
          <w:i/>
        </w:rPr>
        <w:t xml:space="preserve"> Land converted to wetlands</w:t>
      </w:r>
      <w:r w:rsidRPr="00261B7A">
        <w:t xml:space="preserve"> includes land converted up to 20 years earlier. </w:t>
      </w:r>
      <w:r w:rsidRPr="00261B7A">
        <w:rPr>
          <w:i/>
        </w:rPr>
        <w:t>Land converted to wetlands</w:t>
      </w:r>
      <w:r w:rsidRPr="00261B7A">
        <w:t xml:space="preserve"> consists of land converted to hydro lakes before 1990. Net emission values are for the whole year indicated. Columns may not total due to rounding.</w:t>
      </w:r>
    </w:p>
    <w:p w14:paraId="1BCF26D7" w14:textId="77777777" w:rsidR="0010265C" w:rsidRPr="00261B7A" w:rsidRDefault="0010265C" w:rsidP="0010265C">
      <w:pPr>
        <w:pStyle w:val="BodyText"/>
      </w:pPr>
      <w:r w:rsidRPr="00261B7A">
        <w:t xml:space="preserve">New Zealand’s </w:t>
      </w:r>
      <w:r w:rsidRPr="00261B7A">
        <w:rPr>
          <w:i/>
        </w:rPr>
        <w:t>Wetlands</w:t>
      </w:r>
      <w:r w:rsidRPr="00261B7A">
        <w:t xml:space="preserve"> are currently mapped into two types: open water, which includes artificially flooded lands, lakes and rivers; and vegetated wetland, which includes herbaceous vegetation that is periodically flooded, and estuarine and tidal areas. Flooded lands, a subcategory of </w:t>
      </w:r>
      <w:r w:rsidRPr="00261B7A">
        <w:rPr>
          <w:i/>
        </w:rPr>
        <w:t>Wetlands</w:t>
      </w:r>
      <w:r w:rsidRPr="00261B7A">
        <w:t>, are defined in the 2006 IPCC Guidelines</w:t>
      </w:r>
      <w:r w:rsidRPr="00261B7A" w:rsidDel="0015189E">
        <w:t xml:space="preserve"> </w:t>
      </w:r>
      <w:r w:rsidRPr="00261B7A">
        <w:t>(IPCC, 2006a, p 7.19) as:</w:t>
      </w:r>
    </w:p>
    <w:p w14:paraId="7511D082" w14:textId="77777777" w:rsidR="0010265C" w:rsidRPr="00261B7A" w:rsidRDefault="0010265C" w:rsidP="0010265C">
      <w:pPr>
        <w:pStyle w:val="Quote"/>
        <w:spacing w:before="60"/>
      </w:pPr>
      <w:r w:rsidRPr="00261B7A">
        <w:t>… water bodies where human activities have caused changes in the amount of surface area covered by water, typically through water level regulation. … Regulated lakes and rivers that do not have substantial changes in water area in comparison with the pre-flooded ecosystem are not considered as Flooded Lands.</w:t>
      </w:r>
    </w:p>
    <w:p w14:paraId="4778F33A" w14:textId="77777777" w:rsidR="0010265C" w:rsidRPr="00261B7A" w:rsidRDefault="0010265C" w:rsidP="0010265C">
      <w:pPr>
        <w:pStyle w:val="BodyText"/>
        <w:rPr>
          <w:rFonts w:cs="Calibri"/>
        </w:rPr>
      </w:pPr>
      <w:r w:rsidRPr="00261B7A">
        <w:t xml:space="preserve">The majority of New Zealand’s hydroelectric schemes are based on rivers and lakes where the main pre-flooded ecosystem was a natural lake or river; therefore, they are not defined </w:t>
      </w:r>
      <w:r w:rsidRPr="00261B7A">
        <w:rPr>
          <w:rFonts w:cs="Calibri"/>
        </w:rPr>
        <w:t>as flooded lands.</w:t>
      </w:r>
      <w:r w:rsidRPr="00261B7A">
        <w:rPr>
          <w:rStyle w:val="FootnoteReference"/>
        </w:rPr>
        <w:footnoteReference w:id="63"/>
      </w:r>
      <w:r w:rsidRPr="00261B7A">
        <w:rPr>
          <w:rFonts w:cs="Calibri"/>
        </w:rPr>
        <w:t xml:space="preserve"> </w:t>
      </w:r>
    </w:p>
    <w:p w14:paraId="0617D669" w14:textId="77777777" w:rsidR="0010265C" w:rsidRPr="00261B7A" w:rsidRDefault="0010265C" w:rsidP="0010265C">
      <w:pPr>
        <w:pStyle w:val="BodyText"/>
      </w:pPr>
      <w:r w:rsidRPr="00261B7A">
        <w:t>In 2021, there were 534,734 hectares of open water and 223,511 hectares of vegetated wetlands. Together these two land use types make up 2.8 per cent of the total New Zealand land area.</w:t>
      </w:r>
    </w:p>
    <w:p w14:paraId="5B89218E" w14:textId="77777777" w:rsidR="0010265C" w:rsidRPr="00261B7A" w:rsidRDefault="0010265C" w:rsidP="0010265C">
      <w:pPr>
        <w:pStyle w:val="BodyText"/>
      </w:pPr>
      <w:r w:rsidRPr="00261B7A">
        <w:t xml:space="preserve">In 2016, a study was commissioned to identify and map current and historical (from 1990) horticultural peat mining areas, peat type and quantity, and post-mining activities (Clarkson, unpublished). The study showed that in 2020, there were 273 hectares under peat extraction. The results of this study have been incorporated into New Zealand’s 2016 land use map. </w:t>
      </w:r>
    </w:p>
    <w:p w14:paraId="36D93342" w14:textId="77777777" w:rsidR="0010265C" w:rsidRPr="00261B7A" w:rsidRDefault="0010265C" w:rsidP="0010265C">
      <w:pPr>
        <w:pStyle w:val="BodyText"/>
      </w:pPr>
      <w:r w:rsidRPr="00261B7A">
        <w:t xml:space="preserve">From 1990 to 2021, the net carbon stocks in </w:t>
      </w:r>
      <w:r w:rsidRPr="00261B7A">
        <w:rPr>
          <w:i/>
        </w:rPr>
        <w:t>Wetlands</w:t>
      </w:r>
      <w:r w:rsidRPr="00261B7A">
        <w:t xml:space="preserve"> decreased by 8.8 kt C, equivalent to emissions of 32.1 kt CO</w:t>
      </w:r>
      <w:r w:rsidRPr="00261B7A">
        <w:rPr>
          <w:vertAlign w:val="subscript"/>
        </w:rPr>
        <w:t>2</w:t>
      </w:r>
      <w:r w:rsidRPr="00261B7A">
        <w:t xml:space="preserve"> in total since 1990 (see table 6.6.2).</w:t>
      </w:r>
    </w:p>
    <w:p w14:paraId="45902951" w14:textId="77777777" w:rsidR="0010265C" w:rsidRPr="00261B7A" w:rsidRDefault="0010265C" w:rsidP="001F37CD">
      <w:pPr>
        <w:pStyle w:val="Table"/>
      </w:pPr>
      <w:bookmarkStart w:id="2195" w:name="_Toc342470785"/>
      <w:bookmarkStart w:id="2196" w:name="_Toc352505025"/>
      <w:bookmarkStart w:id="2197" w:name="_Toc378853314"/>
      <w:bookmarkStart w:id="2198" w:name="_Toc391024112"/>
      <w:bookmarkStart w:id="2199" w:name="_Toc410028855"/>
      <w:bookmarkStart w:id="2200" w:name="_Toc414531483"/>
      <w:bookmarkStart w:id="2201" w:name="_Toc443645396"/>
      <w:bookmarkStart w:id="2202" w:name="_Toc474914615"/>
      <w:bookmarkStart w:id="2203" w:name="_Toc481751579"/>
      <w:bookmarkStart w:id="2204" w:name="_Toc522010636"/>
      <w:bookmarkStart w:id="2205" w:name="_Toc5269541"/>
      <w:bookmarkStart w:id="2206" w:name="_Toc33529415"/>
      <w:bookmarkStart w:id="2207" w:name="_Toc36224621"/>
      <w:bookmarkStart w:id="2208" w:name="_Toc131591415"/>
      <w:r w:rsidRPr="00261B7A">
        <w:t>Table 6.6.2</w:t>
      </w:r>
      <w:r w:rsidRPr="00261B7A">
        <w:tab/>
        <w:t xml:space="preserve">New Zealand’s carbon stock change by carbon pool for the </w:t>
      </w:r>
      <w:r w:rsidRPr="00261B7A">
        <w:rPr>
          <w:i/>
        </w:rPr>
        <w:t>Wetlands</w:t>
      </w:r>
      <w:r w:rsidRPr="00261B7A">
        <w:t xml:space="preserve"> category from 1990 to</w:t>
      </w:r>
      <w:bookmarkEnd w:id="2195"/>
      <w:bookmarkEnd w:id="2196"/>
      <w:bookmarkEnd w:id="2197"/>
      <w:bookmarkEnd w:id="2198"/>
      <w:r w:rsidRPr="00261B7A">
        <w:t> </w:t>
      </w:r>
      <w:bookmarkEnd w:id="2199"/>
      <w:bookmarkEnd w:id="2200"/>
      <w:bookmarkEnd w:id="2201"/>
      <w:bookmarkEnd w:id="2202"/>
      <w:bookmarkEnd w:id="2203"/>
      <w:bookmarkEnd w:id="2204"/>
      <w:bookmarkEnd w:id="2205"/>
      <w:bookmarkEnd w:id="2206"/>
      <w:bookmarkEnd w:id="2207"/>
      <w:r w:rsidRPr="00261B7A">
        <w:t>2021</w:t>
      </w:r>
      <w:bookmarkEnd w:id="2208"/>
    </w:p>
    <w:tbl>
      <w:tblPr>
        <w:tblW w:w="8505" w:type="dxa"/>
        <w:tblLayout w:type="fixed"/>
        <w:tblLook w:val="04A0" w:firstRow="1" w:lastRow="0" w:firstColumn="1" w:lastColumn="0" w:noHBand="0" w:noVBand="1"/>
      </w:tblPr>
      <w:tblGrid>
        <w:gridCol w:w="1892"/>
        <w:gridCol w:w="1221"/>
        <w:gridCol w:w="1623"/>
        <w:gridCol w:w="1086"/>
        <w:gridCol w:w="982"/>
        <w:gridCol w:w="1701"/>
      </w:tblGrid>
      <w:tr w:rsidR="0010265C" w:rsidRPr="00261B7A" w14:paraId="10D7D3E9" w14:textId="77777777" w:rsidTr="00B34461">
        <w:tc>
          <w:tcPr>
            <w:tcW w:w="1892" w:type="dxa"/>
            <w:vMerge w:val="restart"/>
            <w:tcBorders>
              <w:top w:val="single" w:sz="4" w:space="0" w:color="1B556B"/>
            </w:tcBorders>
            <w:shd w:val="clear" w:color="auto" w:fill="1B556B"/>
            <w:vAlign w:val="bottom"/>
          </w:tcPr>
          <w:p w14:paraId="468DE70F" w14:textId="77777777" w:rsidR="0010265C" w:rsidRPr="00261B7A" w:rsidRDefault="0010265C" w:rsidP="00D41492">
            <w:pPr>
              <w:pStyle w:val="TableTextBold"/>
              <w:keepNext/>
              <w:spacing w:before="40" w:after="40"/>
              <w:rPr>
                <w:noProof w:val="0"/>
                <w:color w:val="FFFFFF"/>
              </w:rPr>
            </w:pPr>
            <w:r w:rsidRPr="00261B7A">
              <w:rPr>
                <w:noProof w:val="0"/>
                <w:color w:val="FFFFFF"/>
              </w:rPr>
              <w:t>Land use</w:t>
            </w:r>
          </w:p>
        </w:tc>
        <w:tc>
          <w:tcPr>
            <w:tcW w:w="4912" w:type="dxa"/>
            <w:gridSpan w:val="4"/>
            <w:tcBorders>
              <w:top w:val="single" w:sz="4" w:space="0" w:color="1B556B"/>
            </w:tcBorders>
            <w:shd w:val="clear" w:color="auto" w:fill="1B556B"/>
            <w:vAlign w:val="bottom"/>
          </w:tcPr>
          <w:p w14:paraId="4CE61419" w14:textId="77777777" w:rsidR="0010265C" w:rsidRPr="00261B7A" w:rsidRDefault="0010265C" w:rsidP="00D41492">
            <w:pPr>
              <w:pStyle w:val="TableTextBold"/>
              <w:keepNext/>
              <w:spacing w:before="40" w:after="40"/>
              <w:jc w:val="center"/>
              <w:rPr>
                <w:noProof w:val="0"/>
                <w:color w:val="FFFFFF"/>
              </w:rPr>
            </w:pPr>
            <w:r w:rsidRPr="00261B7A">
              <w:rPr>
                <w:noProof w:val="0"/>
                <w:color w:val="FFFFFF"/>
              </w:rPr>
              <w:t>Net carbon stock change 1990–2021 (kt C)</w:t>
            </w:r>
          </w:p>
        </w:tc>
        <w:tc>
          <w:tcPr>
            <w:tcW w:w="1701" w:type="dxa"/>
            <w:vMerge w:val="restart"/>
            <w:tcBorders>
              <w:top w:val="single" w:sz="4" w:space="0" w:color="1B556B"/>
            </w:tcBorders>
            <w:shd w:val="clear" w:color="auto" w:fill="1B556B"/>
            <w:vAlign w:val="bottom"/>
          </w:tcPr>
          <w:p w14:paraId="319DE145" w14:textId="77777777" w:rsidR="0010265C" w:rsidRPr="00261B7A" w:rsidRDefault="0010265C" w:rsidP="00D41492">
            <w:pPr>
              <w:pStyle w:val="TableTextBold"/>
              <w:keepNext/>
              <w:spacing w:before="40" w:after="40"/>
              <w:jc w:val="right"/>
              <w:rPr>
                <w:noProof w:val="0"/>
                <w:color w:val="FFFFFF"/>
              </w:rPr>
            </w:pPr>
            <w:r w:rsidRPr="00261B7A">
              <w:rPr>
                <w:noProof w:val="0"/>
                <w:color w:val="FFFFFF"/>
              </w:rPr>
              <w:t>Emissions 1990–2021</w:t>
            </w:r>
            <w:r w:rsidRPr="00261B7A">
              <w:rPr>
                <w:noProof w:val="0"/>
                <w:color w:val="FFFFFF"/>
              </w:rPr>
              <w:br/>
              <w:t>(kt CO</w:t>
            </w:r>
            <w:r w:rsidRPr="00261B7A">
              <w:rPr>
                <w:noProof w:val="0"/>
                <w:color w:val="FFFFFF"/>
                <w:vertAlign w:val="subscript"/>
              </w:rPr>
              <w:t>2</w:t>
            </w:r>
            <w:r w:rsidRPr="00261B7A">
              <w:rPr>
                <w:noProof w:val="0"/>
                <w:color w:val="FFFFFF"/>
              </w:rPr>
              <w:t>)</w:t>
            </w:r>
          </w:p>
        </w:tc>
      </w:tr>
      <w:tr w:rsidR="0010265C" w:rsidRPr="00261B7A" w14:paraId="3BD1E51F" w14:textId="77777777" w:rsidTr="00B34461">
        <w:tc>
          <w:tcPr>
            <w:tcW w:w="1892" w:type="dxa"/>
            <w:vMerge/>
            <w:tcBorders>
              <w:bottom w:val="single" w:sz="4" w:space="0" w:color="1B556B"/>
            </w:tcBorders>
            <w:shd w:val="clear" w:color="auto" w:fill="1B556B"/>
          </w:tcPr>
          <w:p w14:paraId="42E93BD4" w14:textId="77777777" w:rsidR="0010265C" w:rsidRPr="00261B7A" w:rsidRDefault="0010265C" w:rsidP="00D41492">
            <w:pPr>
              <w:pStyle w:val="TableTextBold"/>
              <w:spacing w:before="40" w:after="40"/>
              <w:rPr>
                <w:noProof w:val="0"/>
                <w:color w:val="FFFFFF"/>
              </w:rPr>
            </w:pPr>
          </w:p>
        </w:tc>
        <w:tc>
          <w:tcPr>
            <w:tcW w:w="1221" w:type="dxa"/>
            <w:tcBorders>
              <w:bottom w:val="single" w:sz="4" w:space="0" w:color="1B556B"/>
            </w:tcBorders>
            <w:shd w:val="clear" w:color="auto" w:fill="1B556B"/>
            <w:vAlign w:val="bottom"/>
          </w:tcPr>
          <w:p w14:paraId="08A917F9" w14:textId="77777777" w:rsidR="0010265C" w:rsidRPr="00261B7A" w:rsidRDefault="0010265C" w:rsidP="00D41492">
            <w:pPr>
              <w:pStyle w:val="TableTextBold"/>
              <w:spacing w:before="40" w:after="40"/>
              <w:jc w:val="right"/>
              <w:rPr>
                <w:noProof w:val="0"/>
                <w:color w:val="FFFFFF"/>
              </w:rPr>
            </w:pPr>
            <w:r w:rsidRPr="00261B7A">
              <w:rPr>
                <w:noProof w:val="0"/>
                <w:color w:val="FFFFFF"/>
              </w:rPr>
              <w:t>Living biomass</w:t>
            </w:r>
          </w:p>
        </w:tc>
        <w:tc>
          <w:tcPr>
            <w:tcW w:w="1623" w:type="dxa"/>
            <w:tcBorders>
              <w:bottom w:val="single" w:sz="4" w:space="0" w:color="1B556B"/>
            </w:tcBorders>
            <w:shd w:val="clear" w:color="auto" w:fill="1B556B"/>
            <w:vAlign w:val="bottom"/>
          </w:tcPr>
          <w:p w14:paraId="5A096AC5" w14:textId="77777777" w:rsidR="0010265C" w:rsidRPr="00261B7A" w:rsidRDefault="0010265C" w:rsidP="00D41492">
            <w:pPr>
              <w:pStyle w:val="TableTextBold"/>
              <w:spacing w:before="40" w:after="40"/>
              <w:jc w:val="right"/>
              <w:rPr>
                <w:noProof w:val="0"/>
                <w:color w:val="FFFFFF"/>
              </w:rPr>
            </w:pPr>
            <w:r w:rsidRPr="00261B7A">
              <w:rPr>
                <w:noProof w:val="0"/>
                <w:color w:val="FFFFFF"/>
              </w:rPr>
              <w:t>Dead organic matter</w:t>
            </w:r>
          </w:p>
        </w:tc>
        <w:tc>
          <w:tcPr>
            <w:tcW w:w="1086" w:type="dxa"/>
            <w:tcBorders>
              <w:bottom w:val="single" w:sz="4" w:space="0" w:color="1B556B"/>
            </w:tcBorders>
            <w:shd w:val="clear" w:color="auto" w:fill="1B556B"/>
            <w:vAlign w:val="bottom"/>
          </w:tcPr>
          <w:p w14:paraId="3651F410" w14:textId="77777777" w:rsidR="0010265C" w:rsidRPr="00261B7A" w:rsidRDefault="0010265C" w:rsidP="00D41492">
            <w:pPr>
              <w:pStyle w:val="TableTextBold"/>
              <w:spacing w:before="40" w:after="40"/>
              <w:jc w:val="right"/>
              <w:rPr>
                <w:noProof w:val="0"/>
                <w:color w:val="FFFFFF"/>
              </w:rPr>
            </w:pPr>
            <w:r w:rsidRPr="00261B7A">
              <w:rPr>
                <w:noProof w:val="0"/>
                <w:color w:val="FFFFFF"/>
              </w:rPr>
              <w:t>Soils</w:t>
            </w:r>
          </w:p>
        </w:tc>
        <w:tc>
          <w:tcPr>
            <w:tcW w:w="982" w:type="dxa"/>
            <w:tcBorders>
              <w:bottom w:val="single" w:sz="4" w:space="0" w:color="1B556B"/>
            </w:tcBorders>
            <w:shd w:val="clear" w:color="auto" w:fill="1B556B"/>
            <w:vAlign w:val="bottom"/>
          </w:tcPr>
          <w:p w14:paraId="010CE441" w14:textId="77777777" w:rsidR="0010265C" w:rsidRPr="00261B7A" w:rsidRDefault="0010265C" w:rsidP="00D41492">
            <w:pPr>
              <w:pStyle w:val="TableTextBold"/>
              <w:spacing w:before="40" w:after="40"/>
              <w:jc w:val="right"/>
              <w:rPr>
                <w:noProof w:val="0"/>
                <w:color w:val="FFFFFF"/>
              </w:rPr>
            </w:pPr>
            <w:r w:rsidRPr="00261B7A">
              <w:rPr>
                <w:noProof w:val="0"/>
                <w:color w:val="FFFFFF"/>
              </w:rPr>
              <w:t>Total</w:t>
            </w:r>
          </w:p>
        </w:tc>
        <w:tc>
          <w:tcPr>
            <w:tcW w:w="1701" w:type="dxa"/>
            <w:vMerge/>
            <w:tcBorders>
              <w:bottom w:val="single" w:sz="4" w:space="0" w:color="1B556B"/>
            </w:tcBorders>
            <w:shd w:val="clear" w:color="auto" w:fill="1B556B"/>
          </w:tcPr>
          <w:p w14:paraId="669D4E4E" w14:textId="77777777" w:rsidR="0010265C" w:rsidRPr="00261B7A" w:rsidRDefault="0010265C" w:rsidP="00D41492">
            <w:pPr>
              <w:pStyle w:val="TableTextBold"/>
              <w:spacing w:before="40" w:after="40"/>
              <w:jc w:val="center"/>
              <w:rPr>
                <w:noProof w:val="0"/>
                <w:color w:val="FFFFFF"/>
              </w:rPr>
            </w:pPr>
          </w:p>
        </w:tc>
      </w:tr>
      <w:tr w:rsidR="0010265C" w:rsidRPr="00261B7A" w14:paraId="3B46E0A8" w14:textId="77777777" w:rsidTr="00B34461">
        <w:tc>
          <w:tcPr>
            <w:tcW w:w="1892" w:type="dxa"/>
            <w:tcBorders>
              <w:top w:val="single" w:sz="4" w:space="0" w:color="1B556B"/>
              <w:bottom w:val="single" w:sz="4" w:space="0" w:color="1B556B"/>
            </w:tcBorders>
          </w:tcPr>
          <w:p w14:paraId="7E4FB2F2" w14:textId="77777777" w:rsidR="0010265C" w:rsidRPr="00261B7A" w:rsidRDefault="0010265C" w:rsidP="00D41492">
            <w:pPr>
              <w:pStyle w:val="TableText"/>
              <w:spacing w:before="40" w:after="40"/>
            </w:pPr>
            <w:r w:rsidRPr="00261B7A">
              <w:t>Wetlands – vegetated</w:t>
            </w:r>
          </w:p>
        </w:tc>
        <w:tc>
          <w:tcPr>
            <w:tcW w:w="1221" w:type="dxa"/>
            <w:tcBorders>
              <w:top w:val="single" w:sz="4" w:space="0" w:color="1B556B"/>
              <w:bottom w:val="single" w:sz="4" w:space="0" w:color="1B556B"/>
            </w:tcBorders>
            <w:vAlign w:val="center"/>
          </w:tcPr>
          <w:p w14:paraId="5290E234"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color w:val="000000"/>
                <w:szCs w:val="16"/>
              </w:rPr>
              <w:t>–20.2</w:t>
            </w:r>
          </w:p>
        </w:tc>
        <w:tc>
          <w:tcPr>
            <w:tcW w:w="1623" w:type="dxa"/>
            <w:tcBorders>
              <w:top w:val="single" w:sz="4" w:space="0" w:color="1B556B"/>
              <w:bottom w:val="single" w:sz="4" w:space="0" w:color="1B556B"/>
            </w:tcBorders>
            <w:vAlign w:val="center"/>
          </w:tcPr>
          <w:p w14:paraId="1B42BB23"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color w:val="000000"/>
                <w:szCs w:val="16"/>
              </w:rPr>
              <w:t>–2.4</w:t>
            </w:r>
          </w:p>
        </w:tc>
        <w:tc>
          <w:tcPr>
            <w:tcW w:w="1086" w:type="dxa"/>
            <w:tcBorders>
              <w:top w:val="single" w:sz="4" w:space="0" w:color="1B556B"/>
              <w:bottom w:val="single" w:sz="4" w:space="0" w:color="1B556B"/>
            </w:tcBorders>
            <w:vAlign w:val="center"/>
          </w:tcPr>
          <w:p w14:paraId="6A11E3D0"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color w:val="000000"/>
                <w:szCs w:val="16"/>
              </w:rPr>
              <w:t>12.3</w:t>
            </w:r>
          </w:p>
        </w:tc>
        <w:tc>
          <w:tcPr>
            <w:tcW w:w="982" w:type="dxa"/>
            <w:tcBorders>
              <w:top w:val="single" w:sz="4" w:space="0" w:color="1B556B"/>
              <w:bottom w:val="single" w:sz="4" w:space="0" w:color="1B556B"/>
            </w:tcBorders>
            <w:vAlign w:val="center"/>
          </w:tcPr>
          <w:p w14:paraId="4B5D81F2"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color w:val="000000"/>
                <w:szCs w:val="16"/>
              </w:rPr>
              <w:t>–10.3</w:t>
            </w:r>
          </w:p>
        </w:tc>
        <w:tc>
          <w:tcPr>
            <w:tcW w:w="1701" w:type="dxa"/>
            <w:tcBorders>
              <w:top w:val="single" w:sz="4" w:space="0" w:color="1B556B"/>
              <w:bottom w:val="single" w:sz="4" w:space="0" w:color="1B556B"/>
            </w:tcBorders>
            <w:vAlign w:val="center"/>
          </w:tcPr>
          <w:p w14:paraId="5D4F0385"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color w:val="000000"/>
                <w:szCs w:val="16"/>
              </w:rPr>
              <w:t>37.8</w:t>
            </w:r>
          </w:p>
        </w:tc>
      </w:tr>
      <w:tr w:rsidR="0010265C" w:rsidRPr="00261B7A" w14:paraId="5D1DC00A" w14:textId="77777777" w:rsidTr="00B34461">
        <w:tc>
          <w:tcPr>
            <w:tcW w:w="1892" w:type="dxa"/>
            <w:tcBorders>
              <w:top w:val="single" w:sz="4" w:space="0" w:color="1B556B"/>
              <w:bottom w:val="single" w:sz="4" w:space="0" w:color="1B556B"/>
            </w:tcBorders>
          </w:tcPr>
          <w:p w14:paraId="2925509E" w14:textId="77777777" w:rsidR="0010265C" w:rsidRPr="00261B7A" w:rsidRDefault="0010265C" w:rsidP="00D41492">
            <w:pPr>
              <w:pStyle w:val="TableText"/>
              <w:spacing w:before="40" w:after="40"/>
            </w:pPr>
            <w:r w:rsidRPr="00261B7A">
              <w:t>Wetlands – open water</w:t>
            </w:r>
          </w:p>
        </w:tc>
        <w:tc>
          <w:tcPr>
            <w:tcW w:w="1221" w:type="dxa"/>
            <w:tcBorders>
              <w:top w:val="single" w:sz="4" w:space="0" w:color="1B556B"/>
              <w:bottom w:val="single" w:sz="4" w:space="0" w:color="1B556B"/>
            </w:tcBorders>
            <w:vAlign w:val="center"/>
          </w:tcPr>
          <w:p w14:paraId="17929119"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color w:val="000000"/>
                <w:szCs w:val="16"/>
              </w:rPr>
              <w:t>–92.6</w:t>
            </w:r>
          </w:p>
        </w:tc>
        <w:tc>
          <w:tcPr>
            <w:tcW w:w="1623" w:type="dxa"/>
            <w:tcBorders>
              <w:top w:val="single" w:sz="4" w:space="0" w:color="1B556B"/>
              <w:bottom w:val="single" w:sz="4" w:space="0" w:color="1B556B"/>
            </w:tcBorders>
            <w:vAlign w:val="center"/>
          </w:tcPr>
          <w:p w14:paraId="6CD51B6F"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color w:val="000000"/>
                <w:szCs w:val="16"/>
              </w:rPr>
              <w:t>–6.1</w:t>
            </w:r>
          </w:p>
        </w:tc>
        <w:tc>
          <w:tcPr>
            <w:tcW w:w="1086" w:type="dxa"/>
            <w:tcBorders>
              <w:top w:val="single" w:sz="4" w:space="0" w:color="1B556B"/>
              <w:bottom w:val="single" w:sz="4" w:space="0" w:color="1B556B"/>
            </w:tcBorders>
            <w:vAlign w:val="center"/>
          </w:tcPr>
          <w:p w14:paraId="468A69BC"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color w:val="000000"/>
                <w:szCs w:val="16"/>
              </w:rPr>
              <w:t>100.3</w:t>
            </w:r>
          </w:p>
        </w:tc>
        <w:tc>
          <w:tcPr>
            <w:tcW w:w="982" w:type="dxa"/>
            <w:tcBorders>
              <w:top w:val="single" w:sz="4" w:space="0" w:color="1B556B"/>
              <w:bottom w:val="single" w:sz="4" w:space="0" w:color="1B556B"/>
            </w:tcBorders>
            <w:vAlign w:val="center"/>
          </w:tcPr>
          <w:p w14:paraId="4707273D"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color w:val="000000"/>
                <w:szCs w:val="16"/>
              </w:rPr>
              <w:t>1.5</w:t>
            </w:r>
          </w:p>
        </w:tc>
        <w:tc>
          <w:tcPr>
            <w:tcW w:w="1701" w:type="dxa"/>
            <w:tcBorders>
              <w:top w:val="single" w:sz="4" w:space="0" w:color="1B556B"/>
              <w:bottom w:val="single" w:sz="4" w:space="0" w:color="1B556B"/>
            </w:tcBorders>
            <w:vAlign w:val="center"/>
          </w:tcPr>
          <w:p w14:paraId="7879361C"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color w:val="000000"/>
                <w:szCs w:val="16"/>
              </w:rPr>
              <w:t>–5.7</w:t>
            </w:r>
          </w:p>
        </w:tc>
      </w:tr>
      <w:tr w:rsidR="0010265C" w:rsidRPr="00261B7A" w14:paraId="506B6433" w14:textId="77777777" w:rsidTr="00B34461">
        <w:tc>
          <w:tcPr>
            <w:tcW w:w="1892" w:type="dxa"/>
            <w:tcBorders>
              <w:top w:val="single" w:sz="4" w:space="0" w:color="1B556B"/>
              <w:bottom w:val="single" w:sz="4" w:space="0" w:color="1B556B"/>
            </w:tcBorders>
          </w:tcPr>
          <w:p w14:paraId="595D20D0" w14:textId="77777777" w:rsidR="0010265C" w:rsidRPr="00261B7A" w:rsidRDefault="0010265C" w:rsidP="00D41492">
            <w:pPr>
              <w:pStyle w:val="Tableboldblue"/>
              <w:spacing w:before="40" w:after="40"/>
              <w:jc w:val="right"/>
            </w:pPr>
            <w:r w:rsidRPr="00261B7A">
              <w:t>Total</w:t>
            </w:r>
          </w:p>
        </w:tc>
        <w:tc>
          <w:tcPr>
            <w:tcW w:w="1221" w:type="dxa"/>
            <w:tcBorders>
              <w:top w:val="single" w:sz="4" w:space="0" w:color="1B556B"/>
              <w:bottom w:val="single" w:sz="4" w:space="0" w:color="1B556B"/>
            </w:tcBorders>
            <w:vAlign w:val="center"/>
          </w:tcPr>
          <w:p w14:paraId="64C0BBF4" w14:textId="77777777" w:rsidR="0010265C" w:rsidRPr="00261B7A" w:rsidRDefault="0010265C" w:rsidP="00D41492">
            <w:pPr>
              <w:pStyle w:val="Tableboldblue"/>
              <w:spacing w:before="40" w:after="40"/>
              <w:jc w:val="right"/>
              <w:rPr>
                <w:rFonts w:cs="Calibri"/>
                <w:szCs w:val="16"/>
              </w:rPr>
            </w:pPr>
            <w:r w:rsidRPr="00261B7A">
              <w:rPr>
                <w:rFonts w:cs="Calibri"/>
                <w:szCs w:val="16"/>
              </w:rPr>
              <w:t>–112.8</w:t>
            </w:r>
          </w:p>
        </w:tc>
        <w:tc>
          <w:tcPr>
            <w:tcW w:w="1623" w:type="dxa"/>
            <w:tcBorders>
              <w:top w:val="single" w:sz="4" w:space="0" w:color="1B556B"/>
              <w:bottom w:val="single" w:sz="4" w:space="0" w:color="1B556B"/>
            </w:tcBorders>
            <w:vAlign w:val="center"/>
          </w:tcPr>
          <w:p w14:paraId="50F76B29" w14:textId="77777777" w:rsidR="0010265C" w:rsidRPr="00261B7A" w:rsidRDefault="0010265C" w:rsidP="00D41492">
            <w:pPr>
              <w:pStyle w:val="Tableboldblue"/>
              <w:spacing w:before="40" w:after="40"/>
              <w:jc w:val="right"/>
              <w:rPr>
                <w:rFonts w:cs="Calibri"/>
                <w:szCs w:val="16"/>
              </w:rPr>
            </w:pPr>
            <w:r w:rsidRPr="00261B7A">
              <w:rPr>
                <w:rFonts w:cs="Calibri"/>
                <w:szCs w:val="16"/>
              </w:rPr>
              <w:t>–8.6</w:t>
            </w:r>
          </w:p>
        </w:tc>
        <w:tc>
          <w:tcPr>
            <w:tcW w:w="1086" w:type="dxa"/>
            <w:tcBorders>
              <w:top w:val="single" w:sz="4" w:space="0" w:color="1B556B"/>
              <w:bottom w:val="single" w:sz="4" w:space="0" w:color="1B556B"/>
            </w:tcBorders>
            <w:vAlign w:val="center"/>
          </w:tcPr>
          <w:p w14:paraId="3ED6F6D6" w14:textId="77777777" w:rsidR="0010265C" w:rsidRPr="00261B7A" w:rsidRDefault="0010265C" w:rsidP="00D41492">
            <w:pPr>
              <w:pStyle w:val="Tableboldblue"/>
              <w:spacing w:before="40" w:after="40"/>
              <w:jc w:val="right"/>
              <w:rPr>
                <w:rFonts w:cs="Calibri"/>
                <w:szCs w:val="16"/>
              </w:rPr>
            </w:pPr>
            <w:r w:rsidRPr="00261B7A">
              <w:rPr>
                <w:rFonts w:cs="Calibri"/>
                <w:szCs w:val="16"/>
              </w:rPr>
              <w:t>112.7</w:t>
            </w:r>
          </w:p>
        </w:tc>
        <w:tc>
          <w:tcPr>
            <w:tcW w:w="982" w:type="dxa"/>
            <w:tcBorders>
              <w:top w:val="single" w:sz="4" w:space="0" w:color="1B556B"/>
              <w:bottom w:val="single" w:sz="4" w:space="0" w:color="1B556B"/>
            </w:tcBorders>
            <w:vAlign w:val="center"/>
          </w:tcPr>
          <w:p w14:paraId="57C83BA5" w14:textId="77777777" w:rsidR="0010265C" w:rsidRPr="00261B7A" w:rsidRDefault="0010265C" w:rsidP="00D41492">
            <w:pPr>
              <w:pStyle w:val="Tableboldblue"/>
              <w:spacing w:before="40" w:after="40"/>
              <w:jc w:val="right"/>
              <w:rPr>
                <w:rFonts w:cs="Calibri"/>
                <w:szCs w:val="16"/>
              </w:rPr>
            </w:pPr>
            <w:r w:rsidRPr="00261B7A">
              <w:rPr>
                <w:rFonts w:cs="Calibri"/>
                <w:szCs w:val="16"/>
              </w:rPr>
              <w:t>–8.8</w:t>
            </w:r>
          </w:p>
        </w:tc>
        <w:tc>
          <w:tcPr>
            <w:tcW w:w="1701" w:type="dxa"/>
            <w:tcBorders>
              <w:top w:val="single" w:sz="4" w:space="0" w:color="1B556B"/>
              <w:bottom w:val="single" w:sz="4" w:space="0" w:color="1B556B"/>
            </w:tcBorders>
            <w:vAlign w:val="center"/>
          </w:tcPr>
          <w:p w14:paraId="37A502DB" w14:textId="77777777" w:rsidR="0010265C" w:rsidRPr="00261B7A" w:rsidRDefault="0010265C" w:rsidP="00D41492">
            <w:pPr>
              <w:pStyle w:val="Tableboldblue"/>
              <w:spacing w:before="40" w:after="40"/>
              <w:jc w:val="right"/>
              <w:rPr>
                <w:rFonts w:cs="Calibri"/>
                <w:szCs w:val="16"/>
              </w:rPr>
            </w:pPr>
            <w:r w:rsidRPr="00261B7A">
              <w:rPr>
                <w:rFonts w:cs="Calibri"/>
                <w:szCs w:val="16"/>
              </w:rPr>
              <w:t>32.1</w:t>
            </w:r>
          </w:p>
        </w:tc>
      </w:tr>
    </w:tbl>
    <w:p w14:paraId="42EFCDCC" w14:textId="3E9F92B8" w:rsidR="0010265C" w:rsidRPr="00261B7A" w:rsidRDefault="0010265C" w:rsidP="0010265C">
      <w:pPr>
        <w:pStyle w:val="Noteundertable"/>
      </w:pPr>
      <w:r w:rsidRPr="00261B7A">
        <w:rPr>
          <w:b/>
        </w:rPr>
        <w:t xml:space="preserve">Note: </w:t>
      </w:r>
      <w:r w:rsidRPr="00261B7A">
        <w:rPr>
          <w:b/>
        </w:rPr>
        <w:tab/>
      </w:r>
      <w:r w:rsidRPr="00261B7A">
        <w:t>Columns may not total due to rounding.</w:t>
      </w:r>
      <w:r w:rsidR="00B34461" w:rsidRPr="00261B7A">
        <w:t xml:space="preserve"> </w:t>
      </w:r>
    </w:p>
    <w:p w14:paraId="04B6D9B7" w14:textId="77777777" w:rsidR="0010265C" w:rsidRPr="00261B7A" w:rsidRDefault="0010265C" w:rsidP="0010265C">
      <w:pPr>
        <w:pStyle w:val="Heading3"/>
        <w:spacing w:before="240"/>
      </w:pPr>
      <w:r w:rsidRPr="00261B7A">
        <w:t>6.6.2</w:t>
      </w:r>
      <w:r w:rsidRPr="00261B7A">
        <w:tab/>
        <w:t>Methodological issues</w:t>
      </w:r>
    </w:p>
    <w:p w14:paraId="75CAE358" w14:textId="77777777" w:rsidR="0010265C" w:rsidRPr="00261B7A" w:rsidRDefault="0010265C" w:rsidP="0010265C">
      <w:pPr>
        <w:pStyle w:val="Heading4"/>
      </w:pPr>
      <w:r w:rsidRPr="00261B7A">
        <w:t>Wetlands remaining wetlands (CRF 4.D.1)</w:t>
      </w:r>
    </w:p>
    <w:p w14:paraId="0380AB12" w14:textId="77777777" w:rsidR="0010265C" w:rsidRPr="00261B7A" w:rsidRDefault="0010265C" w:rsidP="0010265C">
      <w:pPr>
        <w:pStyle w:val="Heading5"/>
        <w:spacing w:before="160"/>
      </w:pPr>
      <w:r w:rsidRPr="00261B7A">
        <w:t xml:space="preserve">Living biomass and dead organic matter </w:t>
      </w:r>
    </w:p>
    <w:p w14:paraId="7A2F8E01" w14:textId="77777777" w:rsidR="0010265C" w:rsidRPr="00261B7A" w:rsidRDefault="0010265C" w:rsidP="0010265C">
      <w:pPr>
        <w:pStyle w:val="BodyText"/>
        <w:spacing w:before="100"/>
      </w:pPr>
      <w:r w:rsidRPr="00261B7A">
        <w:t>New Zealand applies Tier 1 methods for estimating CO</w:t>
      </w:r>
      <w:r w:rsidRPr="00261B7A">
        <w:rPr>
          <w:vertAlign w:val="subscript"/>
        </w:rPr>
        <w:t>2</w:t>
      </w:r>
      <w:r w:rsidRPr="00261B7A">
        <w:t xml:space="preserve"> emissions in </w:t>
      </w:r>
      <w:r w:rsidRPr="00261B7A">
        <w:rPr>
          <w:i/>
        </w:rPr>
        <w:t>Wetlands remaining wetlands</w:t>
      </w:r>
      <w:r w:rsidRPr="00261B7A">
        <w:t xml:space="preserve"> (following the guidance provided in section 7.1 of the 2006 IPCC Guidelines</w:t>
      </w:r>
      <w:r w:rsidRPr="00261B7A" w:rsidDel="0015189E">
        <w:t xml:space="preserve"> </w:t>
      </w:r>
      <w:r w:rsidRPr="00261B7A">
        <w:t>(IPCC, 2006a)).</w:t>
      </w:r>
      <w:r w:rsidRPr="00261B7A">
        <w:rPr>
          <w:rStyle w:val="FootnoteReference"/>
          <w:spacing w:val="-2"/>
        </w:rPr>
        <w:footnoteReference w:id="64"/>
      </w:r>
      <w:r w:rsidRPr="00261B7A">
        <w:t xml:space="preserve"> Chapter 7 (IPCC, 2006a) provides guidance for estimating emissions from flooded land and extraction from peat land. Recultivation of peat land is included under the Agriculture sector. </w:t>
      </w:r>
    </w:p>
    <w:p w14:paraId="0D67AC9C" w14:textId="77777777" w:rsidR="0010265C" w:rsidRPr="00261B7A" w:rsidRDefault="0010265C" w:rsidP="0010265C">
      <w:pPr>
        <w:pStyle w:val="BodyText"/>
        <w:spacing w:before="100"/>
      </w:pPr>
      <w:r w:rsidRPr="00261B7A">
        <w:t xml:space="preserve">Due to the current lack of data on biomass carbon stock changes in </w:t>
      </w:r>
      <w:r w:rsidRPr="00261B7A">
        <w:rPr>
          <w:i/>
        </w:rPr>
        <w:t>Wetlands remaining wetlands</w:t>
      </w:r>
      <w:r w:rsidRPr="00261B7A">
        <w:t xml:space="preserve">, New Zealand has not prepared estimates for change in living biomass or dead organic matter for this category. New Zealand reports the notation key NE in the CRF table for this category. However, carbon stock changes associated with changes between the two wetland sub-categories are reported under </w:t>
      </w:r>
      <w:r w:rsidRPr="00261B7A">
        <w:rPr>
          <w:i/>
          <w:iCs/>
        </w:rPr>
        <w:t>Wetlands remaining wetlands.</w:t>
      </w:r>
    </w:p>
    <w:p w14:paraId="5D55940B" w14:textId="77777777" w:rsidR="0010265C" w:rsidRPr="00261B7A" w:rsidRDefault="0010265C" w:rsidP="0010265C">
      <w:pPr>
        <w:pStyle w:val="Heading5"/>
        <w:spacing w:before="160"/>
      </w:pPr>
      <w:r w:rsidRPr="00261B7A">
        <w:t>Soil organic carbon</w:t>
      </w:r>
    </w:p>
    <w:p w14:paraId="371D4CC1" w14:textId="77777777" w:rsidR="0010265C" w:rsidRPr="00261B7A" w:rsidRDefault="0010265C" w:rsidP="0010265C">
      <w:pPr>
        <w:pStyle w:val="BodyText"/>
        <w:spacing w:before="100"/>
      </w:pPr>
      <w:r w:rsidRPr="00261B7A">
        <w:rPr>
          <w:spacing w:val="-2"/>
        </w:rPr>
        <w:t xml:space="preserve">Soil organic carbon stocks in </w:t>
      </w:r>
      <w:r w:rsidRPr="00261B7A">
        <w:rPr>
          <w:i/>
          <w:spacing w:val="-2"/>
        </w:rPr>
        <w:t>Wetlands remaining wetlands</w:t>
      </w:r>
      <w:r w:rsidRPr="00261B7A">
        <w:rPr>
          <w:spacing w:val="-2"/>
        </w:rPr>
        <w:t xml:space="preserve"> are estimated using a Tier 2 method for mineral soils and Tier 1 methods for organic soils (see annex A3.2.4). For open water,</w:t>
      </w:r>
      <w:r w:rsidRPr="00261B7A">
        <w:t xml:space="preserve"> the SOC stock at equilibrium is assumed to be the same value as that of low producing grassland</w:t>
      </w:r>
      <w:r w:rsidRPr="00261B7A" w:rsidDel="008B41C2">
        <w:t>.</w:t>
      </w:r>
      <w:r w:rsidRPr="00261B7A">
        <w:t xml:space="preserve"> </w:t>
      </w:r>
    </w:p>
    <w:p w14:paraId="7A164B05" w14:textId="77777777" w:rsidR="0010265C" w:rsidRPr="00261B7A" w:rsidRDefault="0010265C" w:rsidP="0010265C">
      <w:pPr>
        <w:pStyle w:val="BodyText"/>
        <w:spacing w:before="100"/>
      </w:pPr>
      <w:r w:rsidRPr="00261B7A">
        <w:t>For mineral soils, as with living biomass and dead organic matter, there are no emissions for wetlands in steady state, so the notation key NE is used in accordance with Decision 24/CP.19 (UNFCCC, 2014).</w:t>
      </w:r>
    </w:p>
    <w:p w14:paraId="444906E3" w14:textId="77777777" w:rsidR="0010265C" w:rsidRPr="00261B7A" w:rsidRDefault="0010265C" w:rsidP="0010265C">
      <w:pPr>
        <w:pStyle w:val="BodyText"/>
        <w:spacing w:before="100"/>
      </w:pPr>
      <w:r w:rsidRPr="00261B7A">
        <w:t>For organic soils, IPCC good practice guidance is limited to the estimation of carbon emissions associated with peat extraction. In New Zealand, oligotrophic Sphagnum peat is mined for horticultural use (Clarkson, unpublished). Carbon dioxide emissions from the extraction of horticultural peat are estimated from two sources: on-site emissions from peat production and off-site emissions from its subsequent use. Tier 1 default emission factors are applied. Non-CO</w:t>
      </w:r>
      <w:r w:rsidRPr="00261B7A">
        <w:rPr>
          <w:vertAlign w:val="subscript"/>
        </w:rPr>
        <w:t>2</w:t>
      </w:r>
      <w:r w:rsidRPr="00261B7A">
        <w:t xml:space="preserve"> emissions are not estimated because there is no method for estimating N</w:t>
      </w:r>
      <w:r w:rsidRPr="00261B7A">
        <w:rPr>
          <w:vertAlign w:val="subscript"/>
        </w:rPr>
        <w:t>2</w:t>
      </w:r>
      <w:r w:rsidRPr="00261B7A">
        <w:t>O emissions from the extraction of nutrient-poor peat, and no CH4 emissions occur from this activity. As such, the ERT recommendation L.7, 2017 (FCCC/ARR/2017/NZL) cannot be addressed. During the review of the 2021 submission, the ERT considered that this issue had been resolved given there is no method for estimating these emissions in the 2006 IPCC Guidelines (IPCC, 2006a). New Zealand is following the methodology for reporting N</w:t>
      </w:r>
      <w:r w:rsidRPr="00261B7A">
        <w:rPr>
          <w:vertAlign w:val="subscript"/>
        </w:rPr>
        <w:t>2</w:t>
      </w:r>
      <w:r w:rsidRPr="00261B7A">
        <w:t>O emissions from</w:t>
      </w:r>
      <w:r w:rsidRPr="00261B7A">
        <w:rPr>
          <w:i/>
        </w:rPr>
        <w:t xml:space="preserve"> Wetlands remaining </w:t>
      </w:r>
      <w:r w:rsidRPr="00261B7A">
        <w:t>w</w:t>
      </w:r>
      <w:r w:rsidRPr="00261B7A">
        <w:rPr>
          <w:i/>
          <w:spacing w:val="-2"/>
        </w:rPr>
        <w:t>etlands</w:t>
      </w:r>
      <w:r w:rsidRPr="00261B7A">
        <w:rPr>
          <w:iCs/>
          <w:spacing w:val="-2"/>
        </w:rPr>
        <w:t>,</w:t>
      </w:r>
      <w:r w:rsidRPr="00261B7A">
        <w:rPr>
          <w:spacing w:val="-2"/>
        </w:rPr>
        <w:t xml:space="preserve"> in line with volume 4, section 7.2.1.2 of the 2006 IPCC Guidelines (IPCC, 2006a). </w:t>
      </w:r>
    </w:p>
    <w:p w14:paraId="409A06E9" w14:textId="77777777" w:rsidR="0010265C" w:rsidRPr="00261B7A" w:rsidRDefault="0010265C" w:rsidP="0010265C">
      <w:pPr>
        <w:pStyle w:val="Heading5"/>
        <w:spacing w:before="160"/>
      </w:pPr>
      <w:r w:rsidRPr="00261B7A">
        <w:t>Activity data</w:t>
      </w:r>
    </w:p>
    <w:p w14:paraId="7007E751" w14:textId="77777777" w:rsidR="0010265C" w:rsidRPr="00261B7A" w:rsidRDefault="0010265C" w:rsidP="0010265C">
      <w:pPr>
        <w:pStyle w:val="BodyText"/>
      </w:pPr>
      <w:r w:rsidRPr="00261B7A">
        <w:t>The vegetated wetland subcategory includes areas of forest that are part of the wetland ecosystem. Where the forest area has been judged to be part of the wetland ecosystem, it has been classed as vegetated wetland.</w:t>
      </w:r>
    </w:p>
    <w:p w14:paraId="7A4203FC" w14:textId="77777777" w:rsidR="0010265C" w:rsidRPr="00261B7A" w:rsidRDefault="0010265C" w:rsidP="0010265C">
      <w:pPr>
        <w:pStyle w:val="Heading4"/>
      </w:pPr>
      <w:r w:rsidRPr="00261B7A">
        <w:t>Land converted to wetlands (CRF 4.D.2)</w:t>
      </w:r>
    </w:p>
    <w:p w14:paraId="519FDA99" w14:textId="77777777" w:rsidR="0010265C" w:rsidRPr="00261B7A" w:rsidRDefault="0010265C" w:rsidP="0010265C">
      <w:pPr>
        <w:pStyle w:val="BodyText"/>
      </w:pPr>
      <w:r w:rsidRPr="00261B7A">
        <w:t>Between 1990 and 2021, 9,060 hectares of land were converted to</w:t>
      </w:r>
      <w:r w:rsidRPr="00261B7A">
        <w:rPr>
          <w:i/>
        </w:rPr>
        <w:t xml:space="preserve"> Wetlands</w:t>
      </w:r>
      <w:r w:rsidRPr="00261B7A">
        <w:t xml:space="preserve">, while 12,012 hectares of </w:t>
      </w:r>
      <w:r w:rsidRPr="00261B7A">
        <w:rPr>
          <w:i/>
        </w:rPr>
        <w:t>Wetlands</w:t>
      </w:r>
      <w:r w:rsidRPr="00261B7A">
        <w:t xml:space="preserve"> were converted to other land uses (mainly </w:t>
      </w:r>
      <w:r w:rsidRPr="00261B7A">
        <w:rPr>
          <w:i/>
        </w:rPr>
        <w:t>Grassland</w:t>
      </w:r>
      <w:r w:rsidRPr="00261B7A">
        <w:rPr>
          <w:iCs/>
        </w:rPr>
        <w:t>,</w:t>
      </w:r>
      <w:r w:rsidRPr="00261B7A">
        <w:t xml:space="preserve"> at 10,066 hectares). This resulted in a net decrease in total area reported under </w:t>
      </w:r>
      <w:r w:rsidRPr="00261B7A">
        <w:rPr>
          <w:i/>
        </w:rPr>
        <w:t>Wetlands</w:t>
      </w:r>
      <w:r w:rsidRPr="00261B7A">
        <w:t xml:space="preserve"> of 3,420 hectares. The wetland losses were mainly related to the conversion of vegetated </w:t>
      </w:r>
      <w:r w:rsidRPr="00261B7A">
        <w:rPr>
          <w:spacing w:val="-2"/>
        </w:rPr>
        <w:t>wetland to grassland (9,</w:t>
      </w:r>
      <w:r w:rsidRPr="00261B7A">
        <w:t>540</w:t>
      </w:r>
      <w:r w:rsidRPr="00261B7A">
        <w:rPr>
          <w:spacing w:val="-2"/>
        </w:rPr>
        <w:t xml:space="preserve"> hectares). Increases in area of wetland open water (8,</w:t>
      </w:r>
      <w:r w:rsidRPr="00261B7A">
        <w:t>386</w:t>
      </w:r>
      <w:r w:rsidRPr="00261B7A">
        <w:rPr>
          <w:spacing w:val="-2"/>
        </w:rPr>
        <w:t xml:space="preserve"> hectares)</w:t>
      </w:r>
      <w:r w:rsidRPr="00261B7A">
        <w:t xml:space="preserve"> are mainly due to the development of irrigation ponds in the Canterbury and Otago regions. However, approximately 760 hectares of new open water has resulted from new lakes forming within the Southern Alps, often at the foot of glaciers. </w:t>
      </w:r>
    </w:p>
    <w:p w14:paraId="7C9209C1" w14:textId="77777777" w:rsidR="0010265C" w:rsidRPr="00261B7A" w:rsidRDefault="0010265C" w:rsidP="0010265C">
      <w:pPr>
        <w:pStyle w:val="BodyText"/>
        <w:spacing w:before="100" w:after="100"/>
      </w:pPr>
      <w:r w:rsidRPr="00261B7A">
        <w:rPr>
          <w:i/>
        </w:rPr>
        <w:t>Land converted to peat extraction</w:t>
      </w:r>
      <w:r w:rsidRPr="00261B7A">
        <w:t xml:space="preserve"> emissions are reported in the CRF tables as NE because the areas under peat extraction have remained static since 1990. For </w:t>
      </w:r>
      <w:r w:rsidRPr="00261B7A">
        <w:rPr>
          <w:i/>
        </w:rPr>
        <w:t>Land converted to flooded land</w:t>
      </w:r>
      <w:r w:rsidRPr="00261B7A">
        <w:t xml:space="preserve">, the area is included in the area mapped as </w:t>
      </w:r>
      <w:r w:rsidRPr="00261B7A">
        <w:rPr>
          <w:i/>
        </w:rPr>
        <w:t>Land converted to open water</w:t>
      </w:r>
      <w:r w:rsidRPr="00261B7A">
        <w:t xml:space="preserve"> (this category includes naturally occurring open water (natural lakes) as well as intentionally flooded land). </w:t>
      </w:r>
      <w:r w:rsidRPr="003061CD">
        <w:rPr>
          <w:spacing w:val="-2"/>
        </w:rPr>
        <w:t xml:space="preserve">This means emissions for </w:t>
      </w:r>
      <w:r w:rsidRPr="003061CD">
        <w:rPr>
          <w:i/>
          <w:spacing w:val="-2"/>
        </w:rPr>
        <w:t>Land converted to flooded land</w:t>
      </w:r>
      <w:r w:rsidRPr="003061CD">
        <w:rPr>
          <w:spacing w:val="-2"/>
        </w:rPr>
        <w:t xml:space="preserve"> are reported as IE (included elsewhere</w:t>
      </w:r>
      <w:r w:rsidRPr="00261B7A">
        <w:t xml:space="preserve">), and these emissions are captured under </w:t>
      </w:r>
      <w:r w:rsidRPr="00261B7A">
        <w:rPr>
          <w:i/>
        </w:rPr>
        <w:t>Land converted to open water</w:t>
      </w:r>
      <w:r w:rsidRPr="00261B7A">
        <w:t xml:space="preserve"> instead.</w:t>
      </w:r>
    </w:p>
    <w:p w14:paraId="098D19B8" w14:textId="77777777" w:rsidR="0010265C" w:rsidRPr="00261B7A" w:rsidRDefault="0010265C" w:rsidP="0010265C">
      <w:pPr>
        <w:pStyle w:val="Heading5"/>
      </w:pPr>
      <w:r w:rsidRPr="00261B7A">
        <w:t xml:space="preserve">Living biomass and dead organic matter </w:t>
      </w:r>
    </w:p>
    <w:p w14:paraId="05204AD7" w14:textId="77777777" w:rsidR="0010265C" w:rsidRPr="00261B7A" w:rsidRDefault="0010265C" w:rsidP="0010265C">
      <w:pPr>
        <w:pStyle w:val="BodyText"/>
        <w:spacing w:before="100"/>
        <w:rPr>
          <w:spacing w:val="-2"/>
        </w:rPr>
      </w:pPr>
      <w:r w:rsidRPr="00261B7A">
        <w:rPr>
          <w:spacing w:val="-2"/>
        </w:rPr>
        <w:t xml:space="preserve">New Zealand uses a Tier 1 method to calculate emissions from </w:t>
      </w:r>
      <w:r w:rsidRPr="00261B7A">
        <w:rPr>
          <w:i/>
          <w:spacing w:val="-2"/>
        </w:rPr>
        <w:t>Land converted to wetlands</w:t>
      </w:r>
      <w:r w:rsidRPr="00261B7A">
        <w:rPr>
          <w:spacing w:val="-2"/>
        </w:rPr>
        <w:t xml:space="preserve"> (equation 7.10, IPCC, 2006a). The Tier 1 method assumes the carbon in living biomass and dead organic matter present before conversion is lost in the same year as the conversion takes place. </w:t>
      </w:r>
      <w:r w:rsidRPr="00261B7A">
        <w:t xml:space="preserve">All emissions from land-use change to </w:t>
      </w:r>
      <w:r w:rsidRPr="00261B7A">
        <w:rPr>
          <w:i/>
        </w:rPr>
        <w:t>Wetlands</w:t>
      </w:r>
      <w:r w:rsidRPr="00261B7A">
        <w:t xml:space="preserve"> from the removal of the previous vegetation are instantly emitted.</w:t>
      </w:r>
    </w:p>
    <w:p w14:paraId="42E3C6EA" w14:textId="77777777" w:rsidR="0010265C" w:rsidRPr="00261B7A" w:rsidRDefault="0010265C" w:rsidP="0010265C">
      <w:pPr>
        <w:pStyle w:val="BodyText"/>
      </w:pPr>
      <w:r w:rsidRPr="00261B7A">
        <w:t xml:space="preserve">For open water wetlands, the carbon stocks in living biomass and dead organic matter following conversions are equal to zero. For </w:t>
      </w:r>
      <w:r w:rsidRPr="00261B7A">
        <w:rPr>
          <w:i/>
        </w:rPr>
        <w:t>Wetlands</w:t>
      </w:r>
      <w:r w:rsidRPr="00261B7A">
        <w:t xml:space="preserve"> – </w:t>
      </w:r>
      <w:r w:rsidRPr="00261B7A">
        <w:rPr>
          <w:i/>
        </w:rPr>
        <w:t>vegetated</w:t>
      </w:r>
      <w:r w:rsidRPr="00261B7A">
        <w:t>, a Tier 2 method is used that includes changes in carbon stocks from the year of conversion into this category, as outlined in equation 2.9 of the 2006 IPCC Guidelines (IPCC, 2006a).</w:t>
      </w:r>
      <w:r w:rsidRPr="00261B7A" w:rsidDel="001D2727">
        <w:t xml:space="preserve"> </w:t>
      </w:r>
      <w:r w:rsidRPr="00261B7A">
        <w:t xml:space="preserve">When land is converted to </w:t>
      </w:r>
      <w:r w:rsidRPr="00261B7A">
        <w:rPr>
          <w:i/>
        </w:rPr>
        <w:t>Wetlands</w:t>
      </w:r>
      <w:r w:rsidRPr="00261B7A">
        <w:rPr>
          <w:i/>
          <w:iCs/>
        </w:rPr>
        <w:t xml:space="preserve"> </w:t>
      </w:r>
      <w:r w:rsidRPr="00261B7A">
        <w:t>–</w:t>
      </w:r>
      <w:r w:rsidRPr="00261B7A">
        <w:rPr>
          <w:i/>
        </w:rPr>
        <w:t xml:space="preserve"> vegetated</w:t>
      </w:r>
      <w:r w:rsidRPr="00261B7A">
        <w:t>, living biomass accumulates to 1.4 tonnes C ha</w:t>
      </w:r>
      <w:r w:rsidRPr="00261B7A">
        <w:rPr>
          <w:vertAlign w:val="superscript"/>
        </w:rPr>
        <w:t>–1</w:t>
      </w:r>
      <w:r w:rsidRPr="00261B7A">
        <w:t xml:space="preserve"> (see table 6.6.3) over 20 years (the IPCC default period for land to reach steady state (IPCC, 2006a)). This rate of accumulation is based on a literature review of carbon stocks in New Zealand wetland vegetation (Easdale et al., unpublished). Due to the methods used in the review, the above-ground component of the estimated accumulation rate is based on biomass estimates of living and dead plant material as well as coarse dead wood for the woody vegetation types that are included in the </w:t>
      </w:r>
      <w:r w:rsidRPr="00261B7A">
        <w:rPr>
          <w:i/>
          <w:iCs/>
        </w:rPr>
        <w:t>Wetlands</w:t>
      </w:r>
      <w:r w:rsidRPr="00261B7A">
        <w:t xml:space="preserve"> – </w:t>
      </w:r>
      <w:r w:rsidRPr="00261B7A">
        <w:rPr>
          <w:i/>
        </w:rPr>
        <w:t>vegetated</w:t>
      </w:r>
      <w:r w:rsidRPr="00261B7A">
        <w:t xml:space="preserve"> category (Easdale et al., unpublished). </w:t>
      </w:r>
    </w:p>
    <w:p w14:paraId="3752CA50" w14:textId="6999420A" w:rsidR="0010265C" w:rsidRPr="00261B7A" w:rsidRDefault="0010265C" w:rsidP="001F37CD">
      <w:pPr>
        <w:pStyle w:val="Table"/>
      </w:pPr>
      <w:bookmarkStart w:id="2209" w:name="_Toc131591416"/>
      <w:r w:rsidRPr="00261B7A">
        <w:t>Table 6.6.3</w:t>
      </w:r>
      <w:r w:rsidRPr="00261B7A">
        <w:tab/>
        <w:t xml:space="preserve">Summary of New Zealand’s biomass emission factors for </w:t>
      </w:r>
      <w:r w:rsidRPr="00261B7A">
        <w:rPr>
          <w:i/>
        </w:rPr>
        <w:t>Wetlands</w:t>
      </w:r>
      <w:bookmarkEnd w:id="2209"/>
    </w:p>
    <w:tbl>
      <w:tblPr>
        <w:tblW w:w="8505" w:type="dxa"/>
        <w:tblLook w:val="04A0" w:firstRow="1" w:lastRow="0" w:firstColumn="1" w:lastColumn="0" w:noHBand="0" w:noVBand="1"/>
      </w:tblPr>
      <w:tblGrid>
        <w:gridCol w:w="1246"/>
        <w:gridCol w:w="1731"/>
        <w:gridCol w:w="1276"/>
        <w:gridCol w:w="1276"/>
        <w:gridCol w:w="1275"/>
        <w:gridCol w:w="1701"/>
      </w:tblGrid>
      <w:tr w:rsidR="0010265C" w:rsidRPr="00261B7A" w14:paraId="46E99A70" w14:textId="77777777" w:rsidTr="00E94426">
        <w:trPr>
          <w:trHeight w:val="20"/>
          <w:tblHeader/>
        </w:trPr>
        <w:tc>
          <w:tcPr>
            <w:tcW w:w="1246" w:type="dxa"/>
            <w:tcBorders>
              <w:top w:val="single" w:sz="4" w:space="0" w:color="1B556B"/>
              <w:bottom w:val="single" w:sz="4" w:space="0" w:color="1B556B"/>
            </w:tcBorders>
            <w:shd w:val="clear" w:color="auto" w:fill="1B556B" w:themeFill="text2"/>
            <w:vAlign w:val="bottom"/>
          </w:tcPr>
          <w:p w14:paraId="7E282797" w14:textId="77777777" w:rsidR="0010265C" w:rsidRPr="00261B7A" w:rsidRDefault="0010265C" w:rsidP="00D41492">
            <w:pPr>
              <w:pStyle w:val="TableTextBold"/>
              <w:keepNext/>
              <w:spacing w:before="40"/>
              <w:rPr>
                <w:noProof w:val="0"/>
                <w:color w:val="FFFFFF"/>
                <w:szCs w:val="16"/>
              </w:rPr>
            </w:pPr>
            <w:r w:rsidRPr="00261B7A">
              <w:rPr>
                <w:noProof w:val="0"/>
                <w:color w:val="FFFFFF"/>
                <w:szCs w:val="16"/>
              </w:rPr>
              <w:t>Land use</w:t>
            </w:r>
          </w:p>
        </w:tc>
        <w:tc>
          <w:tcPr>
            <w:tcW w:w="1731" w:type="dxa"/>
            <w:tcBorders>
              <w:top w:val="single" w:sz="4" w:space="0" w:color="1B556B"/>
              <w:bottom w:val="single" w:sz="4" w:space="0" w:color="1B556B"/>
            </w:tcBorders>
            <w:shd w:val="clear" w:color="auto" w:fill="1B556B" w:themeFill="text2"/>
            <w:vAlign w:val="bottom"/>
          </w:tcPr>
          <w:p w14:paraId="6583C576" w14:textId="77777777" w:rsidR="0010265C" w:rsidRPr="00261B7A" w:rsidRDefault="0010265C" w:rsidP="00D41492">
            <w:pPr>
              <w:pStyle w:val="TableTextBold"/>
              <w:spacing w:before="40"/>
              <w:rPr>
                <w:noProof w:val="0"/>
                <w:color w:val="FFFFFF"/>
                <w:szCs w:val="16"/>
              </w:rPr>
            </w:pPr>
            <w:r w:rsidRPr="00261B7A">
              <w:rPr>
                <w:noProof w:val="0"/>
                <w:color w:val="FFFFFF"/>
                <w:szCs w:val="16"/>
              </w:rPr>
              <w:t>Carbon pool</w:t>
            </w:r>
          </w:p>
        </w:tc>
        <w:tc>
          <w:tcPr>
            <w:tcW w:w="1276" w:type="dxa"/>
            <w:tcBorders>
              <w:top w:val="single" w:sz="4" w:space="0" w:color="1B556B"/>
              <w:bottom w:val="single" w:sz="4" w:space="0" w:color="1B556B"/>
            </w:tcBorders>
            <w:shd w:val="clear" w:color="auto" w:fill="1B556B" w:themeFill="text2"/>
            <w:vAlign w:val="bottom"/>
          </w:tcPr>
          <w:p w14:paraId="0B3B3895" w14:textId="77777777" w:rsidR="0010265C" w:rsidRPr="00261B7A" w:rsidRDefault="0010265C" w:rsidP="00D41492">
            <w:pPr>
              <w:pStyle w:val="TableTextBold"/>
              <w:spacing w:before="40"/>
              <w:jc w:val="center"/>
              <w:rPr>
                <w:noProof w:val="0"/>
                <w:color w:val="FFFFFF"/>
                <w:szCs w:val="16"/>
              </w:rPr>
            </w:pPr>
            <w:r w:rsidRPr="00261B7A">
              <w:rPr>
                <w:noProof w:val="0"/>
                <w:color w:val="FFFFFF"/>
                <w:szCs w:val="16"/>
              </w:rPr>
              <w:t>Steady state carbon stock</w:t>
            </w:r>
            <w:r w:rsidRPr="00261B7A">
              <w:rPr>
                <w:noProof w:val="0"/>
                <w:color w:val="FFFFFF"/>
                <w:szCs w:val="16"/>
              </w:rPr>
              <w:br/>
              <w:t>(t C ha</w:t>
            </w:r>
            <w:r w:rsidRPr="00261B7A">
              <w:rPr>
                <w:noProof w:val="0"/>
                <w:color w:val="FFFFFF"/>
                <w:szCs w:val="16"/>
                <w:vertAlign w:val="superscript"/>
              </w:rPr>
              <w:t>–1</w:t>
            </w:r>
            <w:r w:rsidRPr="00261B7A">
              <w:rPr>
                <w:noProof w:val="0"/>
                <w:color w:val="FFFFFF"/>
                <w:szCs w:val="16"/>
              </w:rPr>
              <w:t>)</w:t>
            </w:r>
          </w:p>
        </w:tc>
        <w:tc>
          <w:tcPr>
            <w:tcW w:w="1276" w:type="dxa"/>
            <w:tcBorders>
              <w:top w:val="single" w:sz="4" w:space="0" w:color="1B556B"/>
              <w:bottom w:val="single" w:sz="4" w:space="0" w:color="1B556B"/>
            </w:tcBorders>
            <w:shd w:val="clear" w:color="auto" w:fill="1B556B" w:themeFill="text2"/>
            <w:vAlign w:val="bottom"/>
          </w:tcPr>
          <w:p w14:paraId="79F65124" w14:textId="77777777" w:rsidR="0010265C" w:rsidRPr="00261B7A" w:rsidRDefault="0010265C" w:rsidP="00D41492">
            <w:pPr>
              <w:pStyle w:val="TableTextBold"/>
              <w:spacing w:before="40"/>
              <w:jc w:val="center"/>
              <w:rPr>
                <w:noProof w:val="0"/>
                <w:color w:val="FFFFFF"/>
                <w:szCs w:val="16"/>
              </w:rPr>
            </w:pPr>
            <w:r w:rsidRPr="00261B7A">
              <w:rPr>
                <w:noProof w:val="0"/>
                <w:color w:val="FFFFFF"/>
                <w:szCs w:val="16"/>
              </w:rPr>
              <w:t xml:space="preserve">Annual carbon accumulation </w:t>
            </w:r>
            <w:r w:rsidRPr="00261B7A">
              <w:rPr>
                <w:noProof w:val="0"/>
                <w:color w:val="FFFFFF"/>
                <w:szCs w:val="16"/>
              </w:rPr>
              <w:br/>
              <w:t>(t C ha</w:t>
            </w:r>
            <w:r w:rsidRPr="00261B7A">
              <w:rPr>
                <w:noProof w:val="0"/>
                <w:color w:val="FFFFFF"/>
                <w:szCs w:val="16"/>
                <w:vertAlign w:val="superscript"/>
              </w:rPr>
              <w:t>–1</w:t>
            </w:r>
            <w:r w:rsidRPr="00261B7A">
              <w:rPr>
                <w:noProof w:val="0"/>
                <w:color w:val="FFFFFF"/>
                <w:szCs w:val="16"/>
              </w:rPr>
              <w:t>)</w:t>
            </w:r>
          </w:p>
        </w:tc>
        <w:tc>
          <w:tcPr>
            <w:tcW w:w="1275" w:type="dxa"/>
            <w:tcBorders>
              <w:top w:val="single" w:sz="4" w:space="0" w:color="1B556B"/>
              <w:bottom w:val="single" w:sz="4" w:space="0" w:color="1B556B"/>
            </w:tcBorders>
            <w:shd w:val="clear" w:color="auto" w:fill="1B556B" w:themeFill="text2"/>
            <w:vAlign w:val="bottom"/>
          </w:tcPr>
          <w:p w14:paraId="7993C7F0" w14:textId="77777777" w:rsidR="0010265C" w:rsidRPr="00261B7A" w:rsidRDefault="0010265C" w:rsidP="00D41492">
            <w:pPr>
              <w:pStyle w:val="TableTextBold"/>
              <w:spacing w:before="40"/>
              <w:jc w:val="center"/>
              <w:rPr>
                <w:noProof w:val="0"/>
                <w:color w:val="FFFFFF"/>
                <w:szCs w:val="16"/>
              </w:rPr>
            </w:pPr>
            <w:r w:rsidRPr="00261B7A">
              <w:rPr>
                <w:noProof w:val="0"/>
                <w:color w:val="FFFFFF"/>
                <w:szCs w:val="16"/>
              </w:rPr>
              <w:t>Years to reach steady state</w:t>
            </w:r>
          </w:p>
        </w:tc>
        <w:tc>
          <w:tcPr>
            <w:tcW w:w="1701" w:type="dxa"/>
            <w:tcBorders>
              <w:top w:val="single" w:sz="4" w:space="0" w:color="1B556B"/>
              <w:bottom w:val="single" w:sz="4" w:space="0" w:color="1B556B"/>
            </w:tcBorders>
            <w:shd w:val="clear" w:color="auto" w:fill="1B556B" w:themeFill="text2"/>
            <w:vAlign w:val="bottom"/>
          </w:tcPr>
          <w:p w14:paraId="356A37C0" w14:textId="77777777" w:rsidR="0010265C" w:rsidRPr="00261B7A" w:rsidRDefault="0010265C" w:rsidP="00D41492">
            <w:pPr>
              <w:pStyle w:val="TableTextBold"/>
              <w:spacing w:before="40"/>
              <w:rPr>
                <w:noProof w:val="0"/>
                <w:color w:val="FFFFFF"/>
                <w:szCs w:val="16"/>
              </w:rPr>
            </w:pPr>
            <w:r w:rsidRPr="00261B7A">
              <w:rPr>
                <w:noProof w:val="0"/>
                <w:color w:val="FFFFFF"/>
                <w:szCs w:val="16"/>
              </w:rPr>
              <w:t>Source</w:t>
            </w:r>
          </w:p>
        </w:tc>
      </w:tr>
      <w:tr w:rsidR="0010265C" w:rsidRPr="00261B7A" w14:paraId="782999CA" w14:textId="77777777" w:rsidTr="00E94426">
        <w:trPr>
          <w:trHeight w:val="20"/>
        </w:trPr>
        <w:tc>
          <w:tcPr>
            <w:tcW w:w="1246" w:type="dxa"/>
            <w:vMerge w:val="restart"/>
            <w:tcBorders>
              <w:top w:val="single" w:sz="4" w:space="0" w:color="1B556B"/>
              <w:bottom w:val="single" w:sz="4" w:space="0" w:color="1B556B"/>
            </w:tcBorders>
          </w:tcPr>
          <w:p w14:paraId="0AD6A4CA" w14:textId="77777777" w:rsidR="0010265C" w:rsidRPr="00261B7A" w:rsidRDefault="0010265C" w:rsidP="00D41492">
            <w:pPr>
              <w:pStyle w:val="TableText"/>
              <w:spacing w:before="40" w:after="40"/>
              <w:rPr>
                <w:szCs w:val="16"/>
              </w:rPr>
            </w:pPr>
            <w:r w:rsidRPr="00261B7A">
              <w:rPr>
                <w:szCs w:val="16"/>
              </w:rPr>
              <w:t>Open water</w:t>
            </w:r>
          </w:p>
        </w:tc>
        <w:tc>
          <w:tcPr>
            <w:tcW w:w="1731" w:type="dxa"/>
            <w:tcBorders>
              <w:top w:val="single" w:sz="4" w:space="0" w:color="1B556B"/>
              <w:bottom w:val="single" w:sz="4" w:space="0" w:color="1B556B"/>
            </w:tcBorders>
          </w:tcPr>
          <w:p w14:paraId="677C94A6" w14:textId="77777777" w:rsidR="0010265C" w:rsidRPr="00261B7A" w:rsidRDefault="0010265C" w:rsidP="00D41492">
            <w:pPr>
              <w:pStyle w:val="TableText"/>
              <w:spacing w:before="40" w:after="40"/>
              <w:rPr>
                <w:b/>
                <w:color w:val="1B556B"/>
                <w:szCs w:val="16"/>
              </w:rPr>
            </w:pPr>
            <w:r w:rsidRPr="00261B7A">
              <w:rPr>
                <w:b/>
                <w:color w:val="1B556B"/>
                <w:szCs w:val="16"/>
              </w:rPr>
              <w:t>Total biomass</w:t>
            </w:r>
          </w:p>
        </w:tc>
        <w:tc>
          <w:tcPr>
            <w:tcW w:w="1276" w:type="dxa"/>
            <w:tcBorders>
              <w:top w:val="single" w:sz="4" w:space="0" w:color="1B556B"/>
              <w:bottom w:val="single" w:sz="4" w:space="0" w:color="1B556B"/>
            </w:tcBorders>
          </w:tcPr>
          <w:p w14:paraId="315F9825" w14:textId="77777777" w:rsidR="0010265C" w:rsidRPr="00261B7A" w:rsidRDefault="0010265C" w:rsidP="00D41492">
            <w:pPr>
              <w:pStyle w:val="TableText"/>
              <w:spacing w:before="40" w:after="40"/>
              <w:jc w:val="center"/>
              <w:rPr>
                <w:b/>
                <w:color w:val="1B556B"/>
                <w:szCs w:val="16"/>
              </w:rPr>
            </w:pPr>
            <w:r w:rsidRPr="00261B7A">
              <w:rPr>
                <w:b/>
                <w:color w:val="1B556B"/>
              </w:rPr>
              <w:t>NE</w:t>
            </w:r>
          </w:p>
        </w:tc>
        <w:tc>
          <w:tcPr>
            <w:tcW w:w="1276" w:type="dxa"/>
            <w:tcBorders>
              <w:top w:val="single" w:sz="4" w:space="0" w:color="1B556B"/>
              <w:bottom w:val="single" w:sz="4" w:space="0" w:color="1B556B"/>
            </w:tcBorders>
          </w:tcPr>
          <w:p w14:paraId="3B5C963D" w14:textId="77777777" w:rsidR="0010265C" w:rsidRPr="00261B7A" w:rsidRDefault="0010265C" w:rsidP="00D41492">
            <w:pPr>
              <w:pStyle w:val="TableText"/>
              <w:spacing w:before="40" w:after="40"/>
              <w:jc w:val="center"/>
              <w:rPr>
                <w:b/>
                <w:color w:val="1B556B"/>
                <w:szCs w:val="16"/>
              </w:rPr>
            </w:pPr>
            <w:r w:rsidRPr="00261B7A">
              <w:rPr>
                <w:b/>
                <w:color w:val="1B556B"/>
              </w:rPr>
              <w:t>NE</w:t>
            </w:r>
          </w:p>
        </w:tc>
        <w:tc>
          <w:tcPr>
            <w:tcW w:w="1275" w:type="dxa"/>
            <w:tcBorders>
              <w:top w:val="single" w:sz="4" w:space="0" w:color="1B556B"/>
              <w:bottom w:val="single" w:sz="4" w:space="0" w:color="1B556B"/>
            </w:tcBorders>
          </w:tcPr>
          <w:p w14:paraId="69FC70FC" w14:textId="77777777" w:rsidR="0010265C" w:rsidRPr="00261B7A" w:rsidRDefault="0010265C" w:rsidP="00D41492">
            <w:pPr>
              <w:pStyle w:val="TableText"/>
              <w:spacing w:before="40" w:after="40"/>
              <w:jc w:val="center"/>
              <w:rPr>
                <w:b/>
                <w:color w:val="1B556B"/>
                <w:szCs w:val="16"/>
              </w:rPr>
            </w:pPr>
            <w:r w:rsidRPr="00261B7A">
              <w:rPr>
                <w:b/>
                <w:color w:val="1B556B"/>
                <w:szCs w:val="16"/>
              </w:rPr>
              <w:t>NE</w:t>
            </w:r>
          </w:p>
        </w:tc>
        <w:tc>
          <w:tcPr>
            <w:tcW w:w="1701" w:type="dxa"/>
            <w:vMerge w:val="restart"/>
            <w:tcBorders>
              <w:top w:val="single" w:sz="4" w:space="0" w:color="1B556B"/>
            </w:tcBorders>
          </w:tcPr>
          <w:p w14:paraId="148750B0" w14:textId="77777777" w:rsidR="0010265C" w:rsidRPr="00261B7A" w:rsidRDefault="0010265C" w:rsidP="00D41492">
            <w:pPr>
              <w:pStyle w:val="TableText"/>
              <w:spacing w:before="40" w:after="40"/>
              <w:rPr>
                <w:szCs w:val="16"/>
              </w:rPr>
            </w:pPr>
            <w:r w:rsidRPr="00261B7A">
              <w:rPr>
                <w:szCs w:val="16"/>
              </w:rPr>
              <w:t>No IPCC guidelines</w:t>
            </w:r>
          </w:p>
          <w:p w14:paraId="262F1AF3" w14:textId="77777777" w:rsidR="0010265C" w:rsidRPr="00261B7A" w:rsidRDefault="0010265C" w:rsidP="00D41492">
            <w:pPr>
              <w:pStyle w:val="TableText"/>
              <w:spacing w:before="40" w:after="40"/>
              <w:rPr>
                <w:szCs w:val="16"/>
              </w:rPr>
            </w:pPr>
          </w:p>
        </w:tc>
      </w:tr>
      <w:tr w:rsidR="0010265C" w:rsidRPr="00261B7A" w14:paraId="230AE24E" w14:textId="77777777" w:rsidTr="00E94426">
        <w:trPr>
          <w:trHeight w:val="20"/>
        </w:trPr>
        <w:tc>
          <w:tcPr>
            <w:tcW w:w="1246" w:type="dxa"/>
            <w:vMerge/>
            <w:tcBorders>
              <w:bottom w:val="single" w:sz="4" w:space="0" w:color="1B556B"/>
            </w:tcBorders>
          </w:tcPr>
          <w:p w14:paraId="6EFDDF74" w14:textId="77777777" w:rsidR="0010265C" w:rsidRPr="00261B7A" w:rsidRDefault="0010265C" w:rsidP="00D41492">
            <w:pPr>
              <w:pStyle w:val="TableText"/>
              <w:spacing w:before="40" w:after="40"/>
              <w:rPr>
                <w:szCs w:val="16"/>
              </w:rPr>
            </w:pPr>
          </w:p>
        </w:tc>
        <w:tc>
          <w:tcPr>
            <w:tcW w:w="1731" w:type="dxa"/>
            <w:tcBorders>
              <w:top w:val="single" w:sz="4" w:space="0" w:color="1B556B"/>
              <w:bottom w:val="single" w:sz="4" w:space="0" w:color="1B556B"/>
            </w:tcBorders>
          </w:tcPr>
          <w:p w14:paraId="1C7255C3" w14:textId="77777777" w:rsidR="0010265C" w:rsidRPr="00261B7A" w:rsidRDefault="0010265C" w:rsidP="00D41492">
            <w:pPr>
              <w:pStyle w:val="TableText"/>
              <w:spacing w:before="40" w:after="40"/>
              <w:rPr>
                <w:i/>
                <w:szCs w:val="16"/>
              </w:rPr>
            </w:pPr>
            <w:r w:rsidRPr="00261B7A">
              <w:rPr>
                <w:i/>
                <w:szCs w:val="16"/>
              </w:rPr>
              <w:t>Living biomass</w:t>
            </w:r>
          </w:p>
        </w:tc>
        <w:tc>
          <w:tcPr>
            <w:tcW w:w="1276" w:type="dxa"/>
            <w:tcBorders>
              <w:top w:val="single" w:sz="4" w:space="0" w:color="1B556B"/>
              <w:bottom w:val="single" w:sz="4" w:space="0" w:color="1B556B"/>
            </w:tcBorders>
          </w:tcPr>
          <w:p w14:paraId="6950CD9D" w14:textId="77777777" w:rsidR="0010265C" w:rsidRPr="00261B7A" w:rsidRDefault="0010265C" w:rsidP="00D41492">
            <w:pPr>
              <w:pStyle w:val="TableText"/>
              <w:spacing w:before="40" w:after="40"/>
              <w:jc w:val="center"/>
              <w:rPr>
                <w:szCs w:val="16"/>
              </w:rPr>
            </w:pPr>
          </w:p>
        </w:tc>
        <w:tc>
          <w:tcPr>
            <w:tcW w:w="1276" w:type="dxa"/>
            <w:tcBorders>
              <w:top w:val="single" w:sz="4" w:space="0" w:color="1B556B"/>
              <w:bottom w:val="single" w:sz="4" w:space="0" w:color="1B556B"/>
            </w:tcBorders>
          </w:tcPr>
          <w:p w14:paraId="5BECED94" w14:textId="77777777" w:rsidR="0010265C" w:rsidRPr="00261B7A" w:rsidRDefault="0010265C" w:rsidP="00D41492">
            <w:pPr>
              <w:pStyle w:val="TableText"/>
              <w:spacing w:before="40" w:after="40"/>
              <w:jc w:val="center"/>
              <w:rPr>
                <w:szCs w:val="16"/>
              </w:rPr>
            </w:pPr>
          </w:p>
        </w:tc>
        <w:tc>
          <w:tcPr>
            <w:tcW w:w="1275" w:type="dxa"/>
            <w:tcBorders>
              <w:top w:val="single" w:sz="4" w:space="0" w:color="1B556B"/>
              <w:bottom w:val="single" w:sz="4" w:space="0" w:color="1B556B"/>
            </w:tcBorders>
          </w:tcPr>
          <w:p w14:paraId="2B633609" w14:textId="77777777" w:rsidR="0010265C" w:rsidRPr="00261B7A" w:rsidRDefault="0010265C" w:rsidP="00D41492">
            <w:pPr>
              <w:pStyle w:val="TableText"/>
              <w:spacing w:before="40" w:after="40"/>
              <w:jc w:val="center"/>
              <w:rPr>
                <w:szCs w:val="16"/>
              </w:rPr>
            </w:pPr>
          </w:p>
        </w:tc>
        <w:tc>
          <w:tcPr>
            <w:tcW w:w="1701" w:type="dxa"/>
            <w:vMerge/>
          </w:tcPr>
          <w:p w14:paraId="181CC6FF" w14:textId="77777777" w:rsidR="0010265C" w:rsidRPr="00261B7A" w:rsidRDefault="0010265C" w:rsidP="00D41492">
            <w:pPr>
              <w:pStyle w:val="TableText"/>
              <w:spacing w:before="40" w:after="40"/>
              <w:rPr>
                <w:szCs w:val="16"/>
              </w:rPr>
            </w:pPr>
          </w:p>
        </w:tc>
      </w:tr>
      <w:tr w:rsidR="0010265C" w:rsidRPr="00261B7A" w14:paraId="2CF98FB3" w14:textId="77777777" w:rsidTr="00E94426">
        <w:trPr>
          <w:trHeight w:val="20"/>
        </w:trPr>
        <w:tc>
          <w:tcPr>
            <w:tcW w:w="1246" w:type="dxa"/>
            <w:vMerge/>
            <w:tcBorders>
              <w:bottom w:val="single" w:sz="4" w:space="0" w:color="1B556B"/>
            </w:tcBorders>
          </w:tcPr>
          <w:p w14:paraId="7398909E" w14:textId="77777777" w:rsidR="0010265C" w:rsidRPr="00261B7A" w:rsidRDefault="0010265C" w:rsidP="00D41492">
            <w:pPr>
              <w:pStyle w:val="TableText"/>
              <w:spacing w:before="40" w:after="40"/>
              <w:rPr>
                <w:szCs w:val="16"/>
              </w:rPr>
            </w:pPr>
          </w:p>
        </w:tc>
        <w:tc>
          <w:tcPr>
            <w:tcW w:w="1731" w:type="dxa"/>
            <w:tcBorders>
              <w:top w:val="single" w:sz="4" w:space="0" w:color="1B556B"/>
              <w:bottom w:val="single" w:sz="4" w:space="0" w:color="1B556B"/>
            </w:tcBorders>
          </w:tcPr>
          <w:p w14:paraId="3EF0E5C6" w14:textId="77777777" w:rsidR="0010265C" w:rsidRPr="00261B7A" w:rsidRDefault="0010265C" w:rsidP="00D41492">
            <w:pPr>
              <w:pStyle w:val="TableText"/>
              <w:spacing w:before="40" w:after="40"/>
              <w:rPr>
                <w:szCs w:val="16"/>
              </w:rPr>
            </w:pPr>
            <w:r w:rsidRPr="00261B7A">
              <w:rPr>
                <w:szCs w:val="16"/>
              </w:rPr>
              <w:tab/>
              <w:t>AGB</w:t>
            </w:r>
          </w:p>
        </w:tc>
        <w:tc>
          <w:tcPr>
            <w:tcW w:w="1276" w:type="dxa"/>
            <w:tcBorders>
              <w:top w:val="single" w:sz="4" w:space="0" w:color="1B556B"/>
              <w:bottom w:val="single" w:sz="4" w:space="0" w:color="1B556B"/>
            </w:tcBorders>
          </w:tcPr>
          <w:p w14:paraId="3AABB7D1" w14:textId="77777777" w:rsidR="0010265C" w:rsidRPr="00261B7A" w:rsidRDefault="0010265C" w:rsidP="00D41492">
            <w:pPr>
              <w:pStyle w:val="TableText"/>
              <w:spacing w:before="40" w:after="40"/>
              <w:jc w:val="center"/>
              <w:rPr>
                <w:szCs w:val="16"/>
              </w:rPr>
            </w:pPr>
            <w:r w:rsidRPr="00261B7A">
              <w:t>NE</w:t>
            </w:r>
          </w:p>
        </w:tc>
        <w:tc>
          <w:tcPr>
            <w:tcW w:w="1276" w:type="dxa"/>
            <w:tcBorders>
              <w:top w:val="single" w:sz="4" w:space="0" w:color="1B556B"/>
              <w:bottom w:val="single" w:sz="4" w:space="0" w:color="1B556B"/>
            </w:tcBorders>
          </w:tcPr>
          <w:p w14:paraId="68B7B36D" w14:textId="77777777" w:rsidR="0010265C" w:rsidRPr="00261B7A" w:rsidRDefault="0010265C" w:rsidP="00D41492">
            <w:pPr>
              <w:pStyle w:val="TableText"/>
              <w:spacing w:before="40" w:after="40"/>
              <w:jc w:val="center"/>
              <w:rPr>
                <w:szCs w:val="16"/>
              </w:rPr>
            </w:pPr>
            <w:r w:rsidRPr="00261B7A">
              <w:rPr>
                <w:szCs w:val="16"/>
              </w:rPr>
              <w:t>NE</w:t>
            </w:r>
          </w:p>
        </w:tc>
        <w:tc>
          <w:tcPr>
            <w:tcW w:w="1275" w:type="dxa"/>
            <w:tcBorders>
              <w:top w:val="single" w:sz="4" w:space="0" w:color="1B556B"/>
              <w:bottom w:val="single" w:sz="4" w:space="0" w:color="1B556B"/>
            </w:tcBorders>
          </w:tcPr>
          <w:p w14:paraId="6A6B4904" w14:textId="77777777" w:rsidR="0010265C" w:rsidRPr="00261B7A" w:rsidRDefault="0010265C" w:rsidP="00D41492">
            <w:pPr>
              <w:pStyle w:val="TableText"/>
              <w:spacing w:before="40" w:after="40"/>
              <w:jc w:val="center"/>
              <w:rPr>
                <w:szCs w:val="16"/>
              </w:rPr>
            </w:pPr>
            <w:r w:rsidRPr="00261B7A">
              <w:rPr>
                <w:szCs w:val="16"/>
              </w:rPr>
              <w:t>NE</w:t>
            </w:r>
          </w:p>
        </w:tc>
        <w:tc>
          <w:tcPr>
            <w:tcW w:w="1701" w:type="dxa"/>
            <w:vMerge/>
          </w:tcPr>
          <w:p w14:paraId="30DD184A" w14:textId="77777777" w:rsidR="0010265C" w:rsidRPr="00261B7A" w:rsidRDefault="0010265C" w:rsidP="00D41492">
            <w:pPr>
              <w:pStyle w:val="TableText"/>
              <w:spacing w:before="40" w:after="40"/>
              <w:rPr>
                <w:szCs w:val="16"/>
              </w:rPr>
            </w:pPr>
          </w:p>
        </w:tc>
      </w:tr>
      <w:tr w:rsidR="0010265C" w:rsidRPr="00261B7A" w14:paraId="2B2C3695" w14:textId="77777777" w:rsidTr="00E94426">
        <w:trPr>
          <w:trHeight w:val="20"/>
        </w:trPr>
        <w:tc>
          <w:tcPr>
            <w:tcW w:w="1246" w:type="dxa"/>
            <w:vMerge/>
            <w:tcBorders>
              <w:bottom w:val="single" w:sz="4" w:space="0" w:color="1B556B"/>
            </w:tcBorders>
          </w:tcPr>
          <w:p w14:paraId="7D0A7E12" w14:textId="77777777" w:rsidR="0010265C" w:rsidRPr="00261B7A" w:rsidRDefault="0010265C" w:rsidP="00D41492">
            <w:pPr>
              <w:pStyle w:val="TableText"/>
              <w:spacing w:before="40" w:after="40"/>
              <w:rPr>
                <w:szCs w:val="16"/>
              </w:rPr>
            </w:pPr>
          </w:p>
        </w:tc>
        <w:tc>
          <w:tcPr>
            <w:tcW w:w="1731" w:type="dxa"/>
            <w:tcBorders>
              <w:top w:val="single" w:sz="4" w:space="0" w:color="1B556B"/>
              <w:bottom w:val="single" w:sz="4" w:space="0" w:color="1B556B"/>
            </w:tcBorders>
          </w:tcPr>
          <w:p w14:paraId="169373A6" w14:textId="77777777" w:rsidR="0010265C" w:rsidRPr="00261B7A" w:rsidRDefault="0010265C" w:rsidP="00D41492">
            <w:pPr>
              <w:pStyle w:val="TableText"/>
              <w:spacing w:before="40" w:after="40"/>
              <w:rPr>
                <w:szCs w:val="16"/>
              </w:rPr>
            </w:pPr>
            <w:r w:rsidRPr="00261B7A">
              <w:rPr>
                <w:szCs w:val="16"/>
              </w:rPr>
              <w:tab/>
              <w:t>BGB</w:t>
            </w:r>
          </w:p>
        </w:tc>
        <w:tc>
          <w:tcPr>
            <w:tcW w:w="1276" w:type="dxa"/>
            <w:tcBorders>
              <w:top w:val="single" w:sz="4" w:space="0" w:color="1B556B"/>
              <w:bottom w:val="single" w:sz="4" w:space="0" w:color="1B556B"/>
            </w:tcBorders>
          </w:tcPr>
          <w:p w14:paraId="31C86B91" w14:textId="77777777" w:rsidR="0010265C" w:rsidRPr="00261B7A" w:rsidRDefault="0010265C" w:rsidP="00D41492">
            <w:pPr>
              <w:pStyle w:val="TableText"/>
              <w:spacing w:before="40" w:after="40"/>
              <w:jc w:val="center"/>
              <w:rPr>
                <w:szCs w:val="16"/>
              </w:rPr>
            </w:pPr>
            <w:r w:rsidRPr="00261B7A">
              <w:t>NE</w:t>
            </w:r>
          </w:p>
        </w:tc>
        <w:tc>
          <w:tcPr>
            <w:tcW w:w="1276" w:type="dxa"/>
            <w:tcBorders>
              <w:top w:val="single" w:sz="4" w:space="0" w:color="1B556B"/>
              <w:bottom w:val="single" w:sz="4" w:space="0" w:color="1B556B"/>
            </w:tcBorders>
          </w:tcPr>
          <w:p w14:paraId="70D35F5B" w14:textId="77777777" w:rsidR="0010265C" w:rsidRPr="00261B7A" w:rsidRDefault="0010265C" w:rsidP="00D41492">
            <w:pPr>
              <w:pStyle w:val="TableText"/>
              <w:spacing w:before="40" w:after="40"/>
              <w:jc w:val="center"/>
              <w:rPr>
                <w:szCs w:val="16"/>
              </w:rPr>
            </w:pPr>
            <w:r w:rsidRPr="00261B7A">
              <w:rPr>
                <w:szCs w:val="16"/>
              </w:rPr>
              <w:t>NE</w:t>
            </w:r>
          </w:p>
        </w:tc>
        <w:tc>
          <w:tcPr>
            <w:tcW w:w="1275" w:type="dxa"/>
            <w:tcBorders>
              <w:top w:val="single" w:sz="4" w:space="0" w:color="1B556B"/>
              <w:bottom w:val="single" w:sz="4" w:space="0" w:color="1B556B"/>
            </w:tcBorders>
          </w:tcPr>
          <w:p w14:paraId="77FE2369" w14:textId="77777777" w:rsidR="0010265C" w:rsidRPr="00261B7A" w:rsidRDefault="0010265C" w:rsidP="00D41492">
            <w:pPr>
              <w:pStyle w:val="TableText"/>
              <w:spacing w:before="40" w:after="40"/>
              <w:jc w:val="center"/>
              <w:rPr>
                <w:szCs w:val="16"/>
              </w:rPr>
            </w:pPr>
            <w:r w:rsidRPr="00261B7A">
              <w:rPr>
                <w:szCs w:val="16"/>
              </w:rPr>
              <w:t>NE</w:t>
            </w:r>
          </w:p>
        </w:tc>
        <w:tc>
          <w:tcPr>
            <w:tcW w:w="1701" w:type="dxa"/>
            <w:vMerge/>
          </w:tcPr>
          <w:p w14:paraId="6BA16F00" w14:textId="77777777" w:rsidR="0010265C" w:rsidRPr="00261B7A" w:rsidRDefault="0010265C" w:rsidP="00D41492">
            <w:pPr>
              <w:pStyle w:val="TableText"/>
              <w:spacing w:before="40" w:after="40"/>
              <w:rPr>
                <w:szCs w:val="16"/>
              </w:rPr>
            </w:pPr>
          </w:p>
        </w:tc>
      </w:tr>
      <w:tr w:rsidR="0010265C" w:rsidRPr="00261B7A" w14:paraId="7D3D1466" w14:textId="77777777" w:rsidTr="00E94426">
        <w:trPr>
          <w:trHeight w:val="20"/>
        </w:trPr>
        <w:tc>
          <w:tcPr>
            <w:tcW w:w="1246" w:type="dxa"/>
            <w:vMerge/>
            <w:tcBorders>
              <w:bottom w:val="single" w:sz="4" w:space="0" w:color="1B556B"/>
            </w:tcBorders>
          </w:tcPr>
          <w:p w14:paraId="5A36B50A" w14:textId="77777777" w:rsidR="0010265C" w:rsidRPr="00261B7A" w:rsidRDefault="0010265C" w:rsidP="00D41492">
            <w:pPr>
              <w:pStyle w:val="TableText"/>
              <w:spacing w:before="40" w:after="40"/>
              <w:rPr>
                <w:szCs w:val="16"/>
              </w:rPr>
            </w:pPr>
          </w:p>
        </w:tc>
        <w:tc>
          <w:tcPr>
            <w:tcW w:w="1731" w:type="dxa"/>
            <w:tcBorders>
              <w:top w:val="single" w:sz="4" w:space="0" w:color="1B556B"/>
              <w:bottom w:val="single" w:sz="4" w:space="0" w:color="1B556B"/>
            </w:tcBorders>
          </w:tcPr>
          <w:p w14:paraId="7FCC2256" w14:textId="77777777" w:rsidR="0010265C" w:rsidRPr="00261B7A" w:rsidRDefault="0010265C" w:rsidP="00D41492">
            <w:pPr>
              <w:pStyle w:val="TableText"/>
              <w:spacing w:before="40" w:after="40"/>
              <w:rPr>
                <w:i/>
                <w:szCs w:val="16"/>
              </w:rPr>
            </w:pPr>
            <w:r w:rsidRPr="00261B7A">
              <w:rPr>
                <w:i/>
                <w:szCs w:val="16"/>
              </w:rPr>
              <w:t>Dead organic matter</w:t>
            </w:r>
          </w:p>
        </w:tc>
        <w:tc>
          <w:tcPr>
            <w:tcW w:w="1276" w:type="dxa"/>
            <w:tcBorders>
              <w:top w:val="single" w:sz="4" w:space="0" w:color="1B556B"/>
              <w:bottom w:val="single" w:sz="4" w:space="0" w:color="1B556B"/>
            </w:tcBorders>
          </w:tcPr>
          <w:p w14:paraId="554E380C" w14:textId="77777777" w:rsidR="0010265C" w:rsidRPr="00261B7A" w:rsidRDefault="0010265C" w:rsidP="00D41492">
            <w:pPr>
              <w:pStyle w:val="TableText"/>
              <w:spacing w:before="40" w:after="40"/>
              <w:jc w:val="center"/>
            </w:pPr>
            <w:r w:rsidRPr="00261B7A">
              <w:t>NE</w:t>
            </w:r>
          </w:p>
        </w:tc>
        <w:tc>
          <w:tcPr>
            <w:tcW w:w="1276" w:type="dxa"/>
            <w:tcBorders>
              <w:top w:val="single" w:sz="4" w:space="0" w:color="1B556B"/>
              <w:bottom w:val="single" w:sz="4" w:space="0" w:color="1B556B"/>
            </w:tcBorders>
          </w:tcPr>
          <w:p w14:paraId="34C91979" w14:textId="77777777" w:rsidR="0010265C" w:rsidRPr="00261B7A" w:rsidRDefault="0010265C" w:rsidP="00D41492">
            <w:pPr>
              <w:pStyle w:val="TableText"/>
              <w:spacing w:before="40" w:after="40"/>
              <w:jc w:val="center"/>
            </w:pPr>
            <w:r w:rsidRPr="00261B7A">
              <w:t>NE</w:t>
            </w:r>
          </w:p>
        </w:tc>
        <w:tc>
          <w:tcPr>
            <w:tcW w:w="1275" w:type="dxa"/>
            <w:tcBorders>
              <w:top w:val="single" w:sz="4" w:space="0" w:color="1B556B"/>
              <w:bottom w:val="single" w:sz="4" w:space="0" w:color="1B556B"/>
            </w:tcBorders>
          </w:tcPr>
          <w:p w14:paraId="21E30D20" w14:textId="77777777" w:rsidR="0010265C" w:rsidRPr="00261B7A" w:rsidRDefault="0010265C" w:rsidP="00D41492">
            <w:pPr>
              <w:pStyle w:val="TableText"/>
              <w:spacing w:before="40" w:after="40"/>
              <w:jc w:val="center"/>
            </w:pPr>
            <w:r w:rsidRPr="00261B7A">
              <w:t>NE</w:t>
            </w:r>
          </w:p>
        </w:tc>
        <w:tc>
          <w:tcPr>
            <w:tcW w:w="1701" w:type="dxa"/>
            <w:vMerge/>
            <w:tcBorders>
              <w:bottom w:val="single" w:sz="4" w:space="0" w:color="1B556B"/>
            </w:tcBorders>
          </w:tcPr>
          <w:p w14:paraId="1E7B5A1F" w14:textId="77777777" w:rsidR="0010265C" w:rsidRPr="00261B7A" w:rsidRDefault="0010265C" w:rsidP="00D41492">
            <w:pPr>
              <w:pStyle w:val="TableText"/>
              <w:spacing w:before="40" w:after="40"/>
              <w:rPr>
                <w:szCs w:val="16"/>
              </w:rPr>
            </w:pPr>
          </w:p>
        </w:tc>
      </w:tr>
      <w:tr w:rsidR="0010265C" w:rsidRPr="00261B7A" w14:paraId="1D24112C" w14:textId="77777777" w:rsidTr="00E94426">
        <w:trPr>
          <w:trHeight w:val="20"/>
        </w:trPr>
        <w:tc>
          <w:tcPr>
            <w:tcW w:w="1246" w:type="dxa"/>
            <w:vMerge w:val="restart"/>
            <w:tcBorders>
              <w:top w:val="single" w:sz="4" w:space="0" w:color="1B556B"/>
              <w:bottom w:val="single" w:sz="4" w:space="0" w:color="1B556B"/>
            </w:tcBorders>
          </w:tcPr>
          <w:p w14:paraId="2B4495A7" w14:textId="77777777" w:rsidR="0010265C" w:rsidRPr="00261B7A" w:rsidRDefault="0010265C" w:rsidP="00D41492">
            <w:pPr>
              <w:pStyle w:val="TableText"/>
              <w:spacing w:before="40" w:after="40"/>
              <w:rPr>
                <w:szCs w:val="16"/>
              </w:rPr>
            </w:pPr>
            <w:r w:rsidRPr="00261B7A">
              <w:rPr>
                <w:szCs w:val="16"/>
              </w:rPr>
              <w:t>Vegetated</w:t>
            </w:r>
          </w:p>
        </w:tc>
        <w:tc>
          <w:tcPr>
            <w:tcW w:w="1731" w:type="dxa"/>
            <w:tcBorders>
              <w:top w:val="single" w:sz="4" w:space="0" w:color="1B556B"/>
              <w:bottom w:val="single" w:sz="4" w:space="0" w:color="1B556B"/>
            </w:tcBorders>
          </w:tcPr>
          <w:p w14:paraId="012DE03E" w14:textId="77777777" w:rsidR="0010265C" w:rsidRPr="00261B7A" w:rsidRDefault="0010265C" w:rsidP="00D41492">
            <w:pPr>
              <w:pStyle w:val="TableText"/>
              <w:spacing w:before="40" w:after="40"/>
              <w:rPr>
                <w:b/>
                <w:color w:val="1B556B"/>
                <w:szCs w:val="16"/>
              </w:rPr>
            </w:pPr>
            <w:r w:rsidRPr="00261B7A">
              <w:rPr>
                <w:b/>
                <w:color w:val="1B556B"/>
                <w:szCs w:val="16"/>
              </w:rPr>
              <w:t>Total biomass</w:t>
            </w:r>
          </w:p>
        </w:tc>
        <w:tc>
          <w:tcPr>
            <w:tcW w:w="1276" w:type="dxa"/>
            <w:tcBorders>
              <w:top w:val="single" w:sz="4" w:space="0" w:color="1B556B"/>
              <w:bottom w:val="single" w:sz="4" w:space="0" w:color="1B556B"/>
            </w:tcBorders>
          </w:tcPr>
          <w:p w14:paraId="58006351" w14:textId="77777777" w:rsidR="0010265C" w:rsidRPr="00261B7A" w:rsidRDefault="0010265C" w:rsidP="00D41492">
            <w:pPr>
              <w:pStyle w:val="TableText"/>
              <w:spacing w:before="40" w:after="40"/>
              <w:jc w:val="center"/>
              <w:rPr>
                <w:b/>
                <w:color w:val="1B556B"/>
                <w:szCs w:val="16"/>
              </w:rPr>
            </w:pPr>
            <w:r w:rsidRPr="00261B7A">
              <w:rPr>
                <w:b/>
                <w:color w:val="1B556B"/>
                <w:szCs w:val="16"/>
              </w:rPr>
              <w:t>27.6</w:t>
            </w:r>
          </w:p>
        </w:tc>
        <w:tc>
          <w:tcPr>
            <w:tcW w:w="1276" w:type="dxa"/>
            <w:tcBorders>
              <w:top w:val="single" w:sz="4" w:space="0" w:color="1B556B"/>
              <w:bottom w:val="single" w:sz="4" w:space="0" w:color="1B556B"/>
            </w:tcBorders>
          </w:tcPr>
          <w:p w14:paraId="21EF0E7E" w14:textId="77777777" w:rsidR="0010265C" w:rsidRPr="00261B7A" w:rsidRDefault="0010265C" w:rsidP="00D41492">
            <w:pPr>
              <w:pStyle w:val="TableText"/>
              <w:spacing w:before="40" w:after="40"/>
              <w:jc w:val="center"/>
              <w:rPr>
                <w:b/>
                <w:color w:val="1B556B"/>
              </w:rPr>
            </w:pPr>
            <w:r w:rsidRPr="00261B7A">
              <w:rPr>
                <w:b/>
                <w:color w:val="1B556B"/>
              </w:rPr>
              <w:t>1.4</w:t>
            </w:r>
          </w:p>
        </w:tc>
        <w:tc>
          <w:tcPr>
            <w:tcW w:w="1275" w:type="dxa"/>
            <w:tcBorders>
              <w:top w:val="single" w:sz="4" w:space="0" w:color="1B556B"/>
              <w:bottom w:val="single" w:sz="4" w:space="0" w:color="1B556B"/>
            </w:tcBorders>
          </w:tcPr>
          <w:p w14:paraId="6B0BC493" w14:textId="77777777" w:rsidR="0010265C" w:rsidRPr="00261B7A" w:rsidRDefault="0010265C" w:rsidP="00D41492">
            <w:pPr>
              <w:pStyle w:val="TableText"/>
              <w:spacing w:before="40" w:after="40"/>
              <w:jc w:val="center"/>
              <w:rPr>
                <w:b/>
                <w:color w:val="1B556B"/>
              </w:rPr>
            </w:pPr>
            <w:r w:rsidRPr="00261B7A">
              <w:rPr>
                <w:b/>
                <w:color w:val="1B556B"/>
              </w:rPr>
              <w:t>20</w:t>
            </w:r>
          </w:p>
        </w:tc>
        <w:tc>
          <w:tcPr>
            <w:tcW w:w="1701" w:type="dxa"/>
            <w:vMerge w:val="restart"/>
            <w:tcBorders>
              <w:top w:val="single" w:sz="4" w:space="0" w:color="1B556B"/>
              <w:bottom w:val="single" w:sz="4" w:space="0" w:color="1B556B"/>
            </w:tcBorders>
          </w:tcPr>
          <w:p w14:paraId="3D811C36" w14:textId="77777777" w:rsidR="0010265C" w:rsidRPr="00261B7A" w:rsidRDefault="0010265C" w:rsidP="00D41492">
            <w:pPr>
              <w:pStyle w:val="TableText"/>
              <w:spacing w:before="40" w:after="40"/>
              <w:rPr>
                <w:szCs w:val="16"/>
              </w:rPr>
            </w:pPr>
            <w:r w:rsidRPr="00261B7A">
              <w:rPr>
                <w:szCs w:val="16"/>
              </w:rPr>
              <w:t>Easdale (unpublished)</w:t>
            </w:r>
          </w:p>
        </w:tc>
      </w:tr>
      <w:tr w:rsidR="0010265C" w:rsidRPr="00261B7A" w14:paraId="4472EB9D" w14:textId="77777777" w:rsidTr="00E94426">
        <w:trPr>
          <w:trHeight w:val="20"/>
        </w:trPr>
        <w:tc>
          <w:tcPr>
            <w:tcW w:w="1246" w:type="dxa"/>
            <w:vMerge/>
            <w:tcBorders>
              <w:top w:val="single" w:sz="4" w:space="0" w:color="1B556B"/>
              <w:bottom w:val="single" w:sz="4" w:space="0" w:color="1B556B"/>
            </w:tcBorders>
          </w:tcPr>
          <w:p w14:paraId="0BB37864" w14:textId="77777777" w:rsidR="0010265C" w:rsidRPr="00261B7A" w:rsidRDefault="0010265C" w:rsidP="00D41492">
            <w:pPr>
              <w:pStyle w:val="TableText"/>
              <w:spacing w:before="40" w:after="40"/>
              <w:rPr>
                <w:szCs w:val="16"/>
              </w:rPr>
            </w:pPr>
          </w:p>
        </w:tc>
        <w:tc>
          <w:tcPr>
            <w:tcW w:w="1731" w:type="dxa"/>
            <w:tcBorders>
              <w:top w:val="single" w:sz="4" w:space="0" w:color="1B556B"/>
              <w:bottom w:val="single" w:sz="4" w:space="0" w:color="1B556B"/>
            </w:tcBorders>
          </w:tcPr>
          <w:p w14:paraId="7F1E38AA" w14:textId="77777777" w:rsidR="0010265C" w:rsidRPr="00261B7A" w:rsidRDefault="0010265C" w:rsidP="00D41492">
            <w:pPr>
              <w:pStyle w:val="TableText"/>
              <w:spacing w:before="40" w:after="40"/>
              <w:rPr>
                <w:i/>
                <w:szCs w:val="16"/>
              </w:rPr>
            </w:pPr>
            <w:r w:rsidRPr="00261B7A">
              <w:rPr>
                <w:i/>
                <w:szCs w:val="16"/>
              </w:rPr>
              <w:t>Living biomass</w:t>
            </w:r>
          </w:p>
        </w:tc>
        <w:tc>
          <w:tcPr>
            <w:tcW w:w="1276" w:type="dxa"/>
            <w:tcBorders>
              <w:top w:val="single" w:sz="4" w:space="0" w:color="1B556B"/>
              <w:bottom w:val="single" w:sz="4" w:space="0" w:color="1B556B"/>
            </w:tcBorders>
          </w:tcPr>
          <w:p w14:paraId="4570D5A2" w14:textId="77777777" w:rsidR="0010265C" w:rsidRPr="00261B7A" w:rsidRDefault="0010265C" w:rsidP="00D41492">
            <w:pPr>
              <w:pStyle w:val="TableText"/>
              <w:spacing w:before="40" w:after="40"/>
              <w:jc w:val="center"/>
              <w:rPr>
                <w:szCs w:val="16"/>
              </w:rPr>
            </w:pPr>
          </w:p>
        </w:tc>
        <w:tc>
          <w:tcPr>
            <w:tcW w:w="1276" w:type="dxa"/>
            <w:tcBorders>
              <w:top w:val="single" w:sz="4" w:space="0" w:color="1B556B"/>
              <w:bottom w:val="single" w:sz="4" w:space="0" w:color="1B556B"/>
            </w:tcBorders>
          </w:tcPr>
          <w:p w14:paraId="14C075B4" w14:textId="77777777" w:rsidR="0010265C" w:rsidRPr="00261B7A" w:rsidRDefault="0010265C" w:rsidP="00D41492">
            <w:pPr>
              <w:pStyle w:val="TableText"/>
              <w:spacing w:before="40" w:after="40"/>
              <w:jc w:val="center"/>
              <w:rPr>
                <w:szCs w:val="16"/>
              </w:rPr>
            </w:pPr>
          </w:p>
        </w:tc>
        <w:tc>
          <w:tcPr>
            <w:tcW w:w="1275" w:type="dxa"/>
            <w:tcBorders>
              <w:top w:val="single" w:sz="4" w:space="0" w:color="1B556B"/>
              <w:bottom w:val="single" w:sz="4" w:space="0" w:color="1B556B"/>
            </w:tcBorders>
          </w:tcPr>
          <w:p w14:paraId="367049AA" w14:textId="77777777" w:rsidR="0010265C" w:rsidRPr="00261B7A" w:rsidRDefault="0010265C" w:rsidP="00D41492">
            <w:pPr>
              <w:pStyle w:val="TableText"/>
              <w:spacing w:before="40" w:after="40"/>
              <w:jc w:val="center"/>
              <w:rPr>
                <w:szCs w:val="16"/>
              </w:rPr>
            </w:pPr>
          </w:p>
        </w:tc>
        <w:tc>
          <w:tcPr>
            <w:tcW w:w="1701" w:type="dxa"/>
            <w:vMerge/>
            <w:tcBorders>
              <w:top w:val="single" w:sz="4" w:space="0" w:color="1B556B"/>
              <w:bottom w:val="single" w:sz="4" w:space="0" w:color="1B556B"/>
            </w:tcBorders>
          </w:tcPr>
          <w:p w14:paraId="0CC6DF58" w14:textId="77777777" w:rsidR="0010265C" w:rsidRPr="00261B7A" w:rsidRDefault="0010265C" w:rsidP="00D41492">
            <w:pPr>
              <w:pStyle w:val="TableText"/>
              <w:spacing w:before="40" w:after="40"/>
              <w:rPr>
                <w:szCs w:val="16"/>
              </w:rPr>
            </w:pPr>
          </w:p>
        </w:tc>
      </w:tr>
      <w:tr w:rsidR="0010265C" w:rsidRPr="00261B7A" w14:paraId="22B3DE74" w14:textId="77777777" w:rsidTr="00E94426">
        <w:trPr>
          <w:trHeight w:val="20"/>
        </w:trPr>
        <w:tc>
          <w:tcPr>
            <w:tcW w:w="1246" w:type="dxa"/>
            <w:vMerge/>
            <w:tcBorders>
              <w:bottom w:val="single" w:sz="4" w:space="0" w:color="1B556B"/>
            </w:tcBorders>
          </w:tcPr>
          <w:p w14:paraId="07C5CC2B" w14:textId="77777777" w:rsidR="0010265C" w:rsidRPr="00261B7A" w:rsidRDefault="0010265C" w:rsidP="00D41492">
            <w:pPr>
              <w:pStyle w:val="TableText"/>
              <w:spacing w:before="40" w:after="40"/>
              <w:rPr>
                <w:szCs w:val="16"/>
              </w:rPr>
            </w:pPr>
          </w:p>
        </w:tc>
        <w:tc>
          <w:tcPr>
            <w:tcW w:w="1731" w:type="dxa"/>
            <w:tcBorders>
              <w:top w:val="single" w:sz="4" w:space="0" w:color="1B556B"/>
              <w:bottom w:val="single" w:sz="4" w:space="0" w:color="1B556B"/>
            </w:tcBorders>
          </w:tcPr>
          <w:p w14:paraId="4A3630D6" w14:textId="77777777" w:rsidR="0010265C" w:rsidRPr="00261B7A" w:rsidRDefault="0010265C" w:rsidP="00D41492">
            <w:pPr>
              <w:pStyle w:val="TableText"/>
              <w:spacing w:before="40" w:after="40"/>
              <w:rPr>
                <w:szCs w:val="16"/>
              </w:rPr>
            </w:pPr>
            <w:r w:rsidRPr="00261B7A">
              <w:rPr>
                <w:szCs w:val="16"/>
              </w:rPr>
              <w:tab/>
              <w:t>AGB</w:t>
            </w:r>
          </w:p>
        </w:tc>
        <w:tc>
          <w:tcPr>
            <w:tcW w:w="1276" w:type="dxa"/>
            <w:tcBorders>
              <w:top w:val="single" w:sz="4" w:space="0" w:color="1B556B"/>
              <w:bottom w:val="single" w:sz="4" w:space="0" w:color="1B556B"/>
            </w:tcBorders>
          </w:tcPr>
          <w:p w14:paraId="1BFC69D2" w14:textId="77777777" w:rsidR="0010265C" w:rsidRPr="00261B7A" w:rsidRDefault="0010265C" w:rsidP="00D41492">
            <w:pPr>
              <w:pStyle w:val="TableText"/>
              <w:spacing w:before="40" w:after="40"/>
              <w:jc w:val="center"/>
              <w:rPr>
                <w:szCs w:val="16"/>
              </w:rPr>
            </w:pPr>
            <w:r w:rsidRPr="00261B7A">
              <w:rPr>
                <w:szCs w:val="16"/>
              </w:rPr>
              <w:t>20.2</w:t>
            </w:r>
          </w:p>
        </w:tc>
        <w:tc>
          <w:tcPr>
            <w:tcW w:w="1276" w:type="dxa"/>
            <w:tcBorders>
              <w:top w:val="single" w:sz="4" w:space="0" w:color="1B556B"/>
              <w:bottom w:val="single" w:sz="4" w:space="0" w:color="1B556B"/>
            </w:tcBorders>
          </w:tcPr>
          <w:p w14:paraId="3D745C3B" w14:textId="77777777" w:rsidR="0010265C" w:rsidRPr="00261B7A" w:rsidRDefault="0010265C" w:rsidP="00D41492">
            <w:pPr>
              <w:pStyle w:val="TableText"/>
              <w:spacing w:before="40" w:after="40"/>
              <w:jc w:val="center"/>
            </w:pPr>
            <w:r w:rsidRPr="00261B7A">
              <w:t>1</w:t>
            </w:r>
          </w:p>
        </w:tc>
        <w:tc>
          <w:tcPr>
            <w:tcW w:w="1275" w:type="dxa"/>
            <w:tcBorders>
              <w:top w:val="single" w:sz="4" w:space="0" w:color="1B556B"/>
              <w:bottom w:val="single" w:sz="4" w:space="0" w:color="1B556B"/>
            </w:tcBorders>
          </w:tcPr>
          <w:p w14:paraId="34030D17" w14:textId="77777777" w:rsidR="0010265C" w:rsidRPr="00261B7A" w:rsidRDefault="0010265C" w:rsidP="00D41492">
            <w:pPr>
              <w:pStyle w:val="TableText"/>
              <w:spacing w:before="40" w:after="40"/>
              <w:jc w:val="center"/>
            </w:pPr>
            <w:r w:rsidRPr="00261B7A">
              <w:t>20</w:t>
            </w:r>
          </w:p>
        </w:tc>
        <w:tc>
          <w:tcPr>
            <w:tcW w:w="1701" w:type="dxa"/>
            <w:vMerge/>
            <w:tcBorders>
              <w:bottom w:val="single" w:sz="4" w:space="0" w:color="1B556B"/>
            </w:tcBorders>
          </w:tcPr>
          <w:p w14:paraId="7419F408" w14:textId="77777777" w:rsidR="0010265C" w:rsidRPr="00261B7A" w:rsidRDefault="0010265C" w:rsidP="00D41492">
            <w:pPr>
              <w:pStyle w:val="TableText"/>
              <w:spacing w:before="40" w:after="40"/>
              <w:rPr>
                <w:szCs w:val="16"/>
              </w:rPr>
            </w:pPr>
          </w:p>
        </w:tc>
      </w:tr>
      <w:tr w:rsidR="0010265C" w:rsidRPr="00261B7A" w14:paraId="732A4930" w14:textId="77777777" w:rsidTr="00E94426">
        <w:trPr>
          <w:trHeight w:val="20"/>
        </w:trPr>
        <w:tc>
          <w:tcPr>
            <w:tcW w:w="1246" w:type="dxa"/>
            <w:vMerge/>
            <w:tcBorders>
              <w:bottom w:val="single" w:sz="4" w:space="0" w:color="1B556B"/>
            </w:tcBorders>
          </w:tcPr>
          <w:p w14:paraId="6969D23E" w14:textId="77777777" w:rsidR="0010265C" w:rsidRPr="00261B7A" w:rsidRDefault="0010265C" w:rsidP="00D41492">
            <w:pPr>
              <w:pStyle w:val="TableText"/>
              <w:spacing w:before="40" w:after="40"/>
              <w:rPr>
                <w:szCs w:val="16"/>
              </w:rPr>
            </w:pPr>
          </w:p>
        </w:tc>
        <w:tc>
          <w:tcPr>
            <w:tcW w:w="1731" w:type="dxa"/>
            <w:tcBorders>
              <w:top w:val="single" w:sz="4" w:space="0" w:color="1B556B"/>
              <w:bottom w:val="single" w:sz="4" w:space="0" w:color="1B556B"/>
            </w:tcBorders>
          </w:tcPr>
          <w:p w14:paraId="1BB38704" w14:textId="77777777" w:rsidR="0010265C" w:rsidRPr="00261B7A" w:rsidRDefault="0010265C" w:rsidP="00D41492">
            <w:pPr>
              <w:pStyle w:val="TableText"/>
              <w:spacing w:before="40" w:after="40"/>
              <w:rPr>
                <w:szCs w:val="16"/>
              </w:rPr>
            </w:pPr>
            <w:r w:rsidRPr="00261B7A">
              <w:rPr>
                <w:szCs w:val="16"/>
              </w:rPr>
              <w:tab/>
              <w:t>BGB</w:t>
            </w:r>
          </w:p>
        </w:tc>
        <w:tc>
          <w:tcPr>
            <w:tcW w:w="1276" w:type="dxa"/>
            <w:tcBorders>
              <w:top w:val="single" w:sz="4" w:space="0" w:color="1B556B"/>
              <w:bottom w:val="single" w:sz="4" w:space="0" w:color="1B556B"/>
            </w:tcBorders>
          </w:tcPr>
          <w:p w14:paraId="514F6CE8" w14:textId="77777777" w:rsidR="0010265C" w:rsidRPr="00261B7A" w:rsidRDefault="0010265C" w:rsidP="00D41492">
            <w:pPr>
              <w:pStyle w:val="TableText"/>
              <w:spacing w:before="40" w:after="40"/>
              <w:jc w:val="center"/>
              <w:rPr>
                <w:szCs w:val="16"/>
              </w:rPr>
            </w:pPr>
            <w:r w:rsidRPr="00261B7A">
              <w:rPr>
                <w:szCs w:val="16"/>
              </w:rPr>
              <w:t>7.4</w:t>
            </w:r>
          </w:p>
        </w:tc>
        <w:tc>
          <w:tcPr>
            <w:tcW w:w="1276" w:type="dxa"/>
            <w:tcBorders>
              <w:top w:val="single" w:sz="4" w:space="0" w:color="1B556B"/>
              <w:bottom w:val="single" w:sz="4" w:space="0" w:color="1B556B"/>
            </w:tcBorders>
          </w:tcPr>
          <w:p w14:paraId="6F11F2EB" w14:textId="77777777" w:rsidR="0010265C" w:rsidRPr="00261B7A" w:rsidRDefault="0010265C" w:rsidP="00D41492">
            <w:pPr>
              <w:pStyle w:val="TableText"/>
              <w:spacing w:before="40" w:after="40"/>
              <w:jc w:val="center"/>
            </w:pPr>
            <w:r w:rsidRPr="00261B7A">
              <w:t>0.4</w:t>
            </w:r>
          </w:p>
        </w:tc>
        <w:tc>
          <w:tcPr>
            <w:tcW w:w="1275" w:type="dxa"/>
            <w:tcBorders>
              <w:top w:val="single" w:sz="4" w:space="0" w:color="1B556B"/>
              <w:bottom w:val="single" w:sz="4" w:space="0" w:color="1B556B"/>
            </w:tcBorders>
          </w:tcPr>
          <w:p w14:paraId="1EA11E21" w14:textId="77777777" w:rsidR="0010265C" w:rsidRPr="00261B7A" w:rsidRDefault="0010265C" w:rsidP="00D41492">
            <w:pPr>
              <w:pStyle w:val="TableText"/>
              <w:spacing w:before="40" w:after="40"/>
              <w:jc w:val="center"/>
            </w:pPr>
            <w:r w:rsidRPr="00261B7A">
              <w:t>20</w:t>
            </w:r>
          </w:p>
        </w:tc>
        <w:tc>
          <w:tcPr>
            <w:tcW w:w="1701" w:type="dxa"/>
            <w:vMerge/>
            <w:tcBorders>
              <w:bottom w:val="single" w:sz="4" w:space="0" w:color="1B556B"/>
            </w:tcBorders>
          </w:tcPr>
          <w:p w14:paraId="260D9C1A" w14:textId="77777777" w:rsidR="0010265C" w:rsidRPr="00261B7A" w:rsidRDefault="0010265C" w:rsidP="00D41492">
            <w:pPr>
              <w:pStyle w:val="TableText"/>
              <w:spacing w:before="40" w:after="40"/>
              <w:rPr>
                <w:szCs w:val="16"/>
              </w:rPr>
            </w:pPr>
          </w:p>
        </w:tc>
      </w:tr>
      <w:tr w:rsidR="0010265C" w:rsidRPr="00261B7A" w14:paraId="18906C5E" w14:textId="77777777" w:rsidTr="00E94426">
        <w:trPr>
          <w:trHeight w:val="20"/>
        </w:trPr>
        <w:tc>
          <w:tcPr>
            <w:tcW w:w="1246" w:type="dxa"/>
            <w:vMerge/>
            <w:tcBorders>
              <w:bottom w:val="single" w:sz="4" w:space="0" w:color="1B556B"/>
            </w:tcBorders>
          </w:tcPr>
          <w:p w14:paraId="3846BC09" w14:textId="77777777" w:rsidR="0010265C" w:rsidRPr="00261B7A" w:rsidRDefault="0010265C" w:rsidP="00D41492">
            <w:pPr>
              <w:pStyle w:val="TableText"/>
              <w:spacing w:before="40" w:after="40"/>
              <w:rPr>
                <w:szCs w:val="16"/>
              </w:rPr>
            </w:pPr>
          </w:p>
        </w:tc>
        <w:tc>
          <w:tcPr>
            <w:tcW w:w="1731" w:type="dxa"/>
            <w:tcBorders>
              <w:top w:val="single" w:sz="4" w:space="0" w:color="1B556B"/>
              <w:bottom w:val="single" w:sz="4" w:space="0" w:color="1B556B"/>
            </w:tcBorders>
          </w:tcPr>
          <w:p w14:paraId="0CA87A04" w14:textId="77777777" w:rsidR="0010265C" w:rsidRPr="00261B7A" w:rsidRDefault="0010265C" w:rsidP="00D41492">
            <w:pPr>
              <w:pStyle w:val="TableText"/>
              <w:spacing w:before="40" w:after="40"/>
              <w:rPr>
                <w:i/>
                <w:szCs w:val="16"/>
              </w:rPr>
            </w:pPr>
            <w:r w:rsidRPr="00261B7A">
              <w:rPr>
                <w:i/>
                <w:szCs w:val="16"/>
              </w:rPr>
              <w:t>Dead organic matter</w:t>
            </w:r>
          </w:p>
        </w:tc>
        <w:tc>
          <w:tcPr>
            <w:tcW w:w="1276" w:type="dxa"/>
            <w:tcBorders>
              <w:top w:val="single" w:sz="4" w:space="0" w:color="1B556B"/>
              <w:bottom w:val="single" w:sz="4" w:space="0" w:color="1B556B"/>
            </w:tcBorders>
          </w:tcPr>
          <w:p w14:paraId="365DAFA4" w14:textId="77777777" w:rsidR="0010265C" w:rsidRPr="00261B7A" w:rsidRDefault="0010265C" w:rsidP="00D41492">
            <w:pPr>
              <w:pStyle w:val="TableText"/>
              <w:spacing w:before="40" w:after="40"/>
              <w:jc w:val="center"/>
              <w:rPr>
                <w:szCs w:val="16"/>
              </w:rPr>
            </w:pPr>
          </w:p>
        </w:tc>
        <w:tc>
          <w:tcPr>
            <w:tcW w:w="1276" w:type="dxa"/>
            <w:tcBorders>
              <w:top w:val="single" w:sz="4" w:space="0" w:color="1B556B"/>
              <w:bottom w:val="single" w:sz="4" w:space="0" w:color="1B556B"/>
            </w:tcBorders>
          </w:tcPr>
          <w:p w14:paraId="4327E54B" w14:textId="77777777" w:rsidR="0010265C" w:rsidRPr="00261B7A" w:rsidRDefault="0010265C" w:rsidP="00D41492">
            <w:pPr>
              <w:pStyle w:val="TableText"/>
              <w:spacing w:before="40" w:after="40"/>
              <w:jc w:val="center"/>
              <w:rPr>
                <w:szCs w:val="16"/>
              </w:rPr>
            </w:pPr>
          </w:p>
        </w:tc>
        <w:tc>
          <w:tcPr>
            <w:tcW w:w="1275" w:type="dxa"/>
            <w:tcBorders>
              <w:top w:val="single" w:sz="4" w:space="0" w:color="1B556B"/>
              <w:bottom w:val="single" w:sz="4" w:space="0" w:color="1B556B"/>
            </w:tcBorders>
          </w:tcPr>
          <w:p w14:paraId="6C94495B" w14:textId="77777777" w:rsidR="0010265C" w:rsidRPr="00261B7A" w:rsidRDefault="0010265C" w:rsidP="00D41492">
            <w:pPr>
              <w:pStyle w:val="TableText"/>
              <w:spacing w:before="40" w:after="40"/>
              <w:jc w:val="center"/>
            </w:pPr>
          </w:p>
        </w:tc>
        <w:tc>
          <w:tcPr>
            <w:tcW w:w="1701" w:type="dxa"/>
            <w:vMerge/>
            <w:tcBorders>
              <w:bottom w:val="single" w:sz="4" w:space="0" w:color="1B556B"/>
            </w:tcBorders>
          </w:tcPr>
          <w:p w14:paraId="0FCF2378" w14:textId="77777777" w:rsidR="0010265C" w:rsidRPr="00261B7A" w:rsidRDefault="0010265C" w:rsidP="00D41492">
            <w:pPr>
              <w:pStyle w:val="TableText"/>
              <w:spacing w:before="40" w:after="40"/>
              <w:rPr>
                <w:szCs w:val="16"/>
              </w:rPr>
            </w:pPr>
          </w:p>
        </w:tc>
      </w:tr>
      <w:tr w:rsidR="0010265C" w:rsidRPr="00261B7A" w14:paraId="035A0000" w14:textId="77777777" w:rsidTr="00E94426">
        <w:trPr>
          <w:trHeight w:val="20"/>
        </w:trPr>
        <w:tc>
          <w:tcPr>
            <w:tcW w:w="1246" w:type="dxa"/>
            <w:vMerge/>
            <w:tcBorders>
              <w:bottom w:val="single" w:sz="4" w:space="0" w:color="1B556B"/>
            </w:tcBorders>
          </w:tcPr>
          <w:p w14:paraId="779A0758" w14:textId="77777777" w:rsidR="0010265C" w:rsidRPr="00261B7A" w:rsidRDefault="0010265C" w:rsidP="00D41492">
            <w:pPr>
              <w:pStyle w:val="TableText"/>
              <w:spacing w:before="40" w:after="40"/>
              <w:rPr>
                <w:szCs w:val="16"/>
              </w:rPr>
            </w:pPr>
          </w:p>
        </w:tc>
        <w:tc>
          <w:tcPr>
            <w:tcW w:w="1731" w:type="dxa"/>
            <w:tcBorders>
              <w:top w:val="single" w:sz="4" w:space="0" w:color="1B556B"/>
              <w:bottom w:val="single" w:sz="4" w:space="0" w:color="1B556B"/>
            </w:tcBorders>
          </w:tcPr>
          <w:p w14:paraId="6B18B9D2" w14:textId="77777777" w:rsidR="0010265C" w:rsidRPr="00261B7A" w:rsidRDefault="0010265C" w:rsidP="00D41492">
            <w:pPr>
              <w:pStyle w:val="TableText"/>
              <w:spacing w:before="40" w:after="40"/>
              <w:rPr>
                <w:szCs w:val="16"/>
              </w:rPr>
            </w:pPr>
            <w:r w:rsidRPr="00261B7A">
              <w:rPr>
                <w:szCs w:val="16"/>
              </w:rPr>
              <w:tab/>
              <w:t>Dead wood</w:t>
            </w:r>
          </w:p>
        </w:tc>
        <w:tc>
          <w:tcPr>
            <w:tcW w:w="1276" w:type="dxa"/>
            <w:tcBorders>
              <w:top w:val="single" w:sz="4" w:space="0" w:color="1B556B"/>
              <w:bottom w:val="single" w:sz="4" w:space="0" w:color="1B556B"/>
            </w:tcBorders>
          </w:tcPr>
          <w:p w14:paraId="2E9D9B0F" w14:textId="77777777" w:rsidR="0010265C" w:rsidRPr="00261B7A" w:rsidRDefault="0010265C" w:rsidP="00D41492">
            <w:pPr>
              <w:pStyle w:val="TableText"/>
              <w:spacing w:before="40" w:after="40"/>
              <w:jc w:val="center"/>
              <w:rPr>
                <w:szCs w:val="16"/>
              </w:rPr>
            </w:pPr>
            <w:r w:rsidRPr="00261B7A">
              <w:t>NE</w:t>
            </w:r>
          </w:p>
        </w:tc>
        <w:tc>
          <w:tcPr>
            <w:tcW w:w="1276" w:type="dxa"/>
            <w:tcBorders>
              <w:top w:val="single" w:sz="4" w:space="0" w:color="1B556B"/>
              <w:bottom w:val="single" w:sz="4" w:space="0" w:color="1B556B"/>
            </w:tcBorders>
          </w:tcPr>
          <w:p w14:paraId="6F526C55" w14:textId="77777777" w:rsidR="0010265C" w:rsidRPr="00261B7A" w:rsidRDefault="0010265C" w:rsidP="00D41492">
            <w:pPr>
              <w:pStyle w:val="TableText"/>
              <w:spacing w:before="40" w:after="40"/>
              <w:jc w:val="center"/>
            </w:pPr>
            <w:r w:rsidRPr="00261B7A">
              <w:t>NE</w:t>
            </w:r>
          </w:p>
        </w:tc>
        <w:tc>
          <w:tcPr>
            <w:tcW w:w="1275" w:type="dxa"/>
            <w:tcBorders>
              <w:top w:val="single" w:sz="4" w:space="0" w:color="1B556B"/>
              <w:bottom w:val="single" w:sz="4" w:space="0" w:color="1B556B"/>
            </w:tcBorders>
          </w:tcPr>
          <w:p w14:paraId="4812E992" w14:textId="77777777" w:rsidR="0010265C" w:rsidRPr="00261B7A" w:rsidRDefault="0010265C" w:rsidP="00D41492">
            <w:pPr>
              <w:pStyle w:val="TableText"/>
              <w:spacing w:before="40" w:after="40"/>
              <w:jc w:val="center"/>
            </w:pPr>
            <w:r w:rsidRPr="00261B7A">
              <w:t>NE</w:t>
            </w:r>
          </w:p>
        </w:tc>
        <w:tc>
          <w:tcPr>
            <w:tcW w:w="1701" w:type="dxa"/>
            <w:vMerge/>
            <w:tcBorders>
              <w:bottom w:val="single" w:sz="4" w:space="0" w:color="1B556B"/>
            </w:tcBorders>
          </w:tcPr>
          <w:p w14:paraId="18976713" w14:textId="77777777" w:rsidR="0010265C" w:rsidRPr="00261B7A" w:rsidRDefault="0010265C" w:rsidP="00D41492">
            <w:pPr>
              <w:pStyle w:val="TableText"/>
              <w:spacing w:before="40" w:after="40"/>
              <w:rPr>
                <w:szCs w:val="16"/>
              </w:rPr>
            </w:pPr>
          </w:p>
        </w:tc>
      </w:tr>
      <w:tr w:rsidR="0010265C" w:rsidRPr="00261B7A" w14:paraId="55331585" w14:textId="77777777" w:rsidTr="00E94426">
        <w:trPr>
          <w:trHeight w:val="20"/>
        </w:trPr>
        <w:tc>
          <w:tcPr>
            <w:tcW w:w="1246" w:type="dxa"/>
            <w:vMerge/>
            <w:tcBorders>
              <w:bottom w:val="single" w:sz="4" w:space="0" w:color="1B556B"/>
            </w:tcBorders>
          </w:tcPr>
          <w:p w14:paraId="2EBEA70A" w14:textId="77777777" w:rsidR="0010265C" w:rsidRPr="00261B7A" w:rsidRDefault="0010265C" w:rsidP="00D41492">
            <w:pPr>
              <w:pStyle w:val="TableText"/>
              <w:spacing w:before="40" w:after="40"/>
              <w:rPr>
                <w:szCs w:val="16"/>
              </w:rPr>
            </w:pPr>
          </w:p>
        </w:tc>
        <w:tc>
          <w:tcPr>
            <w:tcW w:w="1731" w:type="dxa"/>
            <w:tcBorders>
              <w:top w:val="single" w:sz="4" w:space="0" w:color="1B556B"/>
              <w:bottom w:val="single" w:sz="4" w:space="0" w:color="1B556B"/>
            </w:tcBorders>
          </w:tcPr>
          <w:p w14:paraId="631AF675" w14:textId="77777777" w:rsidR="0010265C" w:rsidRPr="00261B7A" w:rsidRDefault="0010265C" w:rsidP="00D41492">
            <w:pPr>
              <w:pStyle w:val="TableText"/>
              <w:spacing w:before="40" w:after="40"/>
              <w:rPr>
                <w:szCs w:val="16"/>
              </w:rPr>
            </w:pPr>
            <w:r w:rsidRPr="00261B7A">
              <w:rPr>
                <w:szCs w:val="16"/>
              </w:rPr>
              <w:tab/>
              <w:t>Litter</w:t>
            </w:r>
          </w:p>
        </w:tc>
        <w:tc>
          <w:tcPr>
            <w:tcW w:w="1276" w:type="dxa"/>
            <w:tcBorders>
              <w:top w:val="single" w:sz="4" w:space="0" w:color="1B556B"/>
              <w:bottom w:val="single" w:sz="4" w:space="0" w:color="1B556B"/>
            </w:tcBorders>
          </w:tcPr>
          <w:p w14:paraId="1C6DDFD1" w14:textId="77777777" w:rsidR="0010265C" w:rsidRPr="00261B7A" w:rsidRDefault="0010265C" w:rsidP="00D41492">
            <w:pPr>
              <w:pStyle w:val="TableText"/>
              <w:spacing w:before="40" w:after="40"/>
              <w:jc w:val="center"/>
              <w:rPr>
                <w:szCs w:val="16"/>
              </w:rPr>
            </w:pPr>
            <w:r w:rsidRPr="00261B7A">
              <w:t>NE</w:t>
            </w:r>
          </w:p>
        </w:tc>
        <w:tc>
          <w:tcPr>
            <w:tcW w:w="1276" w:type="dxa"/>
            <w:tcBorders>
              <w:top w:val="single" w:sz="4" w:space="0" w:color="1B556B"/>
              <w:bottom w:val="single" w:sz="4" w:space="0" w:color="1B556B"/>
            </w:tcBorders>
          </w:tcPr>
          <w:p w14:paraId="3E300B53" w14:textId="77777777" w:rsidR="0010265C" w:rsidRPr="00261B7A" w:rsidRDefault="0010265C" w:rsidP="00D41492">
            <w:pPr>
              <w:pStyle w:val="TableText"/>
              <w:spacing w:before="40" w:after="40"/>
              <w:jc w:val="center"/>
            </w:pPr>
            <w:r w:rsidRPr="00261B7A">
              <w:t>NE</w:t>
            </w:r>
          </w:p>
        </w:tc>
        <w:tc>
          <w:tcPr>
            <w:tcW w:w="1275" w:type="dxa"/>
            <w:tcBorders>
              <w:top w:val="single" w:sz="4" w:space="0" w:color="1B556B"/>
              <w:bottom w:val="single" w:sz="4" w:space="0" w:color="1B556B"/>
            </w:tcBorders>
          </w:tcPr>
          <w:p w14:paraId="542F440C" w14:textId="77777777" w:rsidR="0010265C" w:rsidRPr="00261B7A" w:rsidRDefault="0010265C" w:rsidP="00D41492">
            <w:pPr>
              <w:pStyle w:val="TableText"/>
              <w:spacing w:before="40" w:after="40"/>
              <w:jc w:val="center"/>
            </w:pPr>
            <w:r w:rsidRPr="00261B7A">
              <w:t>NE</w:t>
            </w:r>
          </w:p>
        </w:tc>
        <w:tc>
          <w:tcPr>
            <w:tcW w:w="1701" w:type="dxa"/>
            <w:vMerge/>
            <w:tcBorders>
              <w:bottom w:val="single" w:sz="4" w:space="0" w:color="1B556B"/>
            </w:tcBorders>
          </w:tcPr>
          <w:p w14:paraId="3452527B" w14:textId="77777777" w:rsidR="0010265C" w:rsidRPr="00261B7A" w:rsidRDefault="0010265C" w:rsidP="00D41492">
            <w:pPr>
              <w:pStyle w:val="TableText"/>
              <w:spacing w:before="40" w:after="40"/>
              <w:rPr>
                <w:szCs w:val="16"/>
              </w:rPr>
            </w:pPr>
          </w:p>
        </w:tc>
      </w:tr>
    </w:tbl>
    <w:p w14:paraId="23CD6B2E" w14:textId="77777777" w:rsidR="0010265C" w:rsidRPr="00261B7A" w:rsidRDefault="0010265C" w:rsidP="0010265C">
      <w:pPr>
        <w:pStyle w:val="Noteundertable"/>
      </w:pPr>
      <w:r w:rsidRPr="00261B7A">
        <w:rPr>
          <w:b/>
        </w:rPr>
        <w:t>Note:</w:t>
      </w:r>
      <w:r w:rsidRPr="00261B7A">
        <w:tab/>
        <w:t>AGB = above-ground biomass; BGB = below-ground biomass;</w:t>
      </w:r>
      <w:r w:rsidRPr="00261B7A" w:rsidDel="00BB7833">
        <w:t xml:space="preserve"> </w:t>
      </w:r>
      <w:r w:rsidRPr="00261B7A">
        <w:t>NE = not estimated</w:t>
      </w:r>
      <w:r w:rsidRPr="00261B7A" w:rsidDel="00BB7833">
        <w:t xml:space="preserve"> </w:t>
      </w:r>
      <w:r w:rsidRPr="00261B7A">
        <w:t xml:space="preserve">. Columns may not total due to rounding. </w:t>
      </w:r>
    </w:p>
    <w:p w14:paraId="1A9591B7" w14:textId="77777777" w:rsidR="0010265C" w:rsidRPr="00261B7A" w:rsidRDefault="0010265C" w:rsidP="0010265C">
      <w:pPr>
        <w:pStyle w:val="Heading5"/>
      </w:pPr>
      <w:r w:rsidRPr="00261B7A">
        <w:t>Soil organic carbon</w:t>
      </w:r>
    </w:p>
    <w:p w14:paraId="7703D053" w14:textId="77777777" w:rsidR="0010265C" w:rsidRPr="00261B7A" w:rsidRDefault="0010265C" w:rsidP="0010265C">
      <w:pPr>
        <w:pStyle w:val="BodyText"/>
      </w:pPr>
      <w:r w:rsidRPr="00261B7A">
        <w:t xml:space="preserve">Soil organic carbon stocks in </w:t>
      </w:r>
      <w:r w:rsidRPr="00261B7A">
        <w:rPr>
          <w:i/>
        </w:rPr>
        <w:t>Land converted to wetlands</w:t>
      </w:r>
      <w:r w:rsidRPr="00261B7A">
        <w:t xml:space="preserve"> are estimated using a Tier 2 method, as described in annex A3.2.4. </w:t>
      </w:r>
    </w:p>
    <w:p w14:paraId="685BFEDB" w14:textId="77777777" w:rsidR="0010265C" w:rsidRPr="00261B7A" w:rsidRDefault="0010265C" w:rsidP="0010265C">
      <w:pPr>
        <w:pStyle w:val="Heading5"/>
      </w:pPr>
      <w:r w:rsidRPr="00261B7A">
        <w:t>Non-CO</w:t>
      </w:r>
      <w:r w:rsidRPr="00261B7A">
        <w:rPr>
          <w:vertAlign w:val="subscript"/>
        </w:rPr>
        <w:t>2</w:t>
      </w:r>
      <w:r w:rsidRPr="00261B7A">
        <w:t xml:space="preserve"> emissions</w:t>
      </w:r>
    </w:p>
    <w:p w14:paraId="2C4CF765" w14:textId="77777777" w:rsidR="0010265C" w:rsidRPr="00261B7A" w:rsidRDefault="0010265C" w:rsidP="00CE2D16">
      <w:pPr>
        <w:pStyle w:val="Heading6"/>
      </w:pPr>
      <w:r w:rsidRPr="00261B7A">
        <w:t>Non-CO</w:t>
      </w:r>
      <w:r w:rsidRPr="00261B7A">
        <w:rPr>
          <w:vertAlign w:val="subscript"/>
        </w:rPr>
        <w:t>2</w:t>
      </w:r>
      <w:r w:rsidRPr="00261B7A">
        <w:t xml:space="preserve"> emissions from drainage of soils and wetlands</w:t>
      </w:r>
    </w:p>
    <w:p w14:paraId="1FBB9D62" w14:textId="77777777" w:rsidR="0010265C" w:rsidRPr="00261B7A" w:rsidRDefault="0010265C" w:rsidP="0010265C">
      <w:pPr>
        <w:pStyle w:val="BodyText"/>
      </w:pPr>
      <w:r w:rsidRPr="00261B7A">
        <w:t xml:space="preserve">New Zealand has not prepared estimates for this category. The notation key NE is used in the CRF tables where either no activity data are available to report on this activity or no Tier 1 methodology exists within the accepted guidelines for providing estimates. Use of this notation key is in accordance with Decision 24/CP.19 (UNFCCC, 2014). </w:t>
      </w:r>
    </w:p>
    <w:p w14:paraId="7B917B36" w14:textId="77777777" w:rsidR="0010265C" w:rsidRPr="00261B7A" w:rsidRDefault="0010265C" w:rsidP="0010265C">
      <w:pPr>
        <w:pStyle w:val="Heading3"/>
      </w:pPr>
      <w:r w:rsidRPr="00261B7A">
        <w:t>6.6.3</w:t>
      </w:r>
      <w:r w:rsidRPr="00261B7A">
        <w:tab/>
        <w:t>Uncertainties and time-series consistency</w:t>
      </w:r>
    </w:p>
    <w:p w14:paraId="1730B2D1" w14:textId="77777777" w:rsidR="0010265C" w:rsidRPr="00261B7A" w:rsidRDefault="0010265C" w:rsidP="0010265C">
      <w:pPr>
        <w:pStyle w:val="BodyText"/>
      </w:pPr>
      <w:r w:rsidRPr="00261B7A">
        <w:t xml:space="preserve">The uncertainty in net carbon emissions from </w:t>
      </w:r>
      <w:r w:rsidRPr="00261B7A">
        <w:rPr>
          <w:i/>
          <w:iCs/>
        </w:rPr>
        <w:t>Wetlands</w:t>
      </w:r>
      <w:r w:rsidRPr="00261B7A">
        <w:t xml:space="preserve"> was 77.7 per cent in 2021. The uncertainty in net carbon emissions from </w:t>
      </w:r>
      <w:r w:rsidRPr="00261B7A">
        <w:rPr>
          <w:i/>
        </w:rPr>
        <w:t>Wetlands</w:t>
      </w:r>
      <w:r w:rsidRPr="00261B7A">
        <w:t xml:space="preserve"> accounted for 0.0 per cent of the total uncertainty in emissions from the LULUCF sector. The uncertainty associated with the emissions from each </w:t>
      </w:r>
      <w:r w:rsidRPr="00261B7A">
        <w:rPr>
          <w:i/>
        </w:rPr>
        <w:t>Wetland</w:t>
      </w:r>
      <w:r w:rsidRPr="00261B7A">
        <w:t xml:space="preserve"> class is shown in table 6.6.4. The methods used to calculate the uncertainty are further described in annex A3.2.8. </w:t>
      </w:r>
    </w:p>
    <w:p w14:paraId="4248BA7E" w14:textId="77777777" w:rsidR="0010265C" w:rsidRPr="00261B7A" w:rsidRDefault="0010265C" w:rsidP="0010265C">
      <w:pPr>
        <w:pStyle w:val="BodyText"/>
      </w:pPr>
      <w:r w:rsidRPr="00261B7A">
        <w:t xml:space="preserve">Time-series consistency is ensured by applying consistent methods and full recalculations in the event of any refinement or improvement to methodology. </w:t>
      </w:r>
    </w:p>
    <w:p w14:paraId="7B2740F2" w14:textId="77777777" w:rsidR="0010265C" w:rsidRPr="00261B7A" w:rsidRDefault="0010265C" w:rsidP="008B4B62">
      <w:pPr>
        <w:pStyle w:val="Table"/>
      </w:pPr>
      <w:bookmarkStart w:id="2210" w:name="_Toc131591417"/>
      <w:r w:rsidRPr="00261B7A">
        <w:t>Table 6.6.4</w:t>
      </w:r>
      <w:r w:rsidRPr="00261B7A">
        <w:tab/>
        <w:t xml:space="preserve">Uncertainty in carbon stock change emissions in 2021 for </w:t>
      </w:r>
      <w:r w:rsidRPr="00261B7A">
        <w:rPr>
          <w:i/>
        </w:rPr>
        <w:t>Wetlands</w:t>
      </w:r>
      <w:bookmarkEnd w:id="2210"/>
      <w:r w:rsidRPr="00261B7A">
        <w:t xml:space="preserve"> </w:t>
      </w:r>
    </w:p>
    <w:tbl>
      <w:tblPr>
        <w:tblW w:w="8505" w:type="dxa"/>
        <w:tblLayout w:type="fixed"/>
        <w:tblLook w:val="04A0" w:firstRow="1" w:lastRow="0" w:firstColumn="1" w:lastColumn="0" w:noHBand="0" w:noVBand="1"/>
      </w:tblPr>
      <w:tblGrid>
        <w:gridCol w:w="1977"/>
        <w:gridCol w:w="2118"/>
        <w:gridCol w:w="2434"/>
        <w:gridCol w:w="1976"/>
      </w:tblGrid>
      <w:tr w:rsidR="0010265C" w:rsidRPr="00261B7A" w14:paraId="133E405F" w14:textId="77777777" w:rsidTr="008B4B62">
        <w:tc>
          <w:tcPr>
            <w:tcW w:w="1985" w:type="dxa"/>
            <w:tcBorders>
              <w:top w:val="single" w:sz="4" w:space="0" w:color="1B556B"/>
              <w:bottom w:val="single" w:sz="4" w:space="0" w:color="1B556B"/>
            </w:tcBorders>
            <w:shd w:val="clear" w:color="auto" w:fill="1B556B" w:themeFill="text2"/>
            <w:vAlign w:val="bottom"/>
          </w:tcPr>
          <w:p w14:paraId="2BF38791" w14:textId="77777777" w:rsidR="0010265C" w:rsidRPr="00261B7A" w:rsidRDefault="0010265C" w:rsidP="00D41492">
            <w:pPr>
              <w:pStyle w:val="TableTextBold"/>
              <w:keepNext/>
              <w:spacing w:before="40" w:after="40"/>
              <w:rPr>
                <w:noProof w:val="0"/>
                <w:color w:val="FFFFFF"/>
                <w:szCs w:val="16"/>
              </w:rPr>
            </w:pPr>
          </w:p>
        </w:tc>
        <w:tc>
          <w:tcPr>
            <w:tcW w:w="2126" w:type="dxa"/>
            <w:tcBorders>
              <w:top w:val="single" w:sz="4" w:space="0" w:color="1B556B"/>
              <w:bottom w:val="single" w:sz="4" w:space="0" w:color="1B556B"/>
            </w:tcBorders>
            <w:shd w:val="clear" w:color="auto" w:fill="1B556B" w:themeFill="text2"/>
            <w:vAlign w:val="bottom"/>
          </w:tcPr>
          <w:p w14:paraId="38A47EB2" w14:textId="77777777" w:rsidR="0010265C" w:rsidRPr="00261B7A" w:rsidRDefault="0010265C" w:rsidP="00D41492">
            <w:pPr>
              <w:pStyle w:val="TableTextBold"/>
              <w:spacing w:before="40" w:after="40"/>
              <w:jc w:val="right"/>
              <w:rPr>
                <w:noProof w:val="0"/>
                <w:color w:val="FFFFFF"/>
                <w:szCs w:val="16"/>
              </w:rPr>
            </w:pPr>
            <w:r w:rsidRPr="00261B7A">
              <w:rPr>
                <w:noProof w:val="0"/>
                <w:color w:val="FFFFFF"/>
                <w:szCs w:val="16"/>
              </w:rPr>
              <w:t xml:space="preserve">Emissions </w:t>
            </w:r>
            <w:r w:rsidRPr="00261B7A">
              <w:rPr>
                <w:noProof w:val="0"/>
                <w:color w:val="FFFFFF"/>
                <w:szCs w:val="16"/>
              </w:rPr>
              <w:br/>
              <w:t>(kt CO</w:t>
            </w:r>
            <w:r w:rsidRPr="00261B7A">
              <w:rPr>
                <w:noProof w:val="0"/>
                <w:color w:val="FFFFFF"/>
                <w:szCs w:val="16"/>
                <w:vertAlign w:val="subscript"/>
              </w:rPr>
              <w:t>2</w:t>
            </w:r>
            <w:r w:rsidRPr="00261B7A">
              <w:rPr>
                <w:noProof w:val="0"/>
                <w:color w:val="FFFFFF"/>
                <w:szCs w:val="16"/>
              </w:rPr>
              <w:t>-e)</w:t>
            </w:r>
          </w:p>
        </w:tc>
        <w:tc>
          <w:tcPr>
            <w:tcW w:w="2444" w:type="dxa"/>
            <w:tcBorders>
              <w:top w:val="single" w:sz="4" w:space="0" w:color="1B556B"/>
              <w:bottom w:val="single" w:sz="4" w:space="0" w:color="1B556B"/>
            </w:tcBorders>
            <w:shd w:val="clear" w:color="auto" w:fill="1B556B" w:themeFill="text2"/>
            <w:vAlign w:val="bottom"/>
          </w:tcPr>
          <w:p w14:paraId="199D5546" w14:textId="77777777" w:rsidR="0010265C" w:rsidRPr="00261B7A" w:rsidRDefault="0010265C" w:rsidP="00D41492">
            <w:pPr>
              <w:pStyle w:val="TableTextBold"/>
              <w:spacing w:before="40" w:after="40"/>
              <w:jc w:val="right"/>
              <w:rPr>
                <w:noProof w:val="0"/>
                <w:color w:val="FFFFFF"/>
                <w:szCs w:val="16"/>
              </w:rPr>
            </w:pPr>
            <w:r w:rsidRPr="00261B7A">
              <w:rPr>
                <w:noProof w:val="0"/>
                <w:color w:val="FFFFFF"/>
                <w:szCs w:val="16"/>
              </w:rPr>
              <w:t>Uncertainty in emissions (%)</w:t>
            </w:r>
          </w:p>
        </w:tc>
        <w:tc>
          <w:tcPr>
            <w:tcW w:w="1984" w:type="dxa"/>
            <w:tcBorders>
              <w:top w:val="single" w:sz="4" w:space="0" w:color="1B556B"/>
              <w:bottom w:val="single" w:sz="4" w:space="0" w:color="1B556B"/>
            </w:tcBorders>
            <w:shd w:val="clear" w:color="auto" w:fill="1B556B" w:themeFill="text2"/>
            <w:vAlign w:val="bottom"/>
          </w:tcPr>
          <w:p w14:paraId="43DD1367" w14:textId="77777777" w:rsidR="0010265C" w:rsidRPr="00261B7A" w:rsidRDefault="0010265C" w:rsidP="00D41492">
            <w:pPr>
              <w:pStyle w:val="TableTextBold"/>
              <w:spacing w:before="40" w:after="40"/>
              <w:jc w:val="right"/>
              <w:rPr>
                <w:noProof w:val="0"/>
                <w:color w:val="FFFFFF"/>
                <w:szCs w:val="16"/>
              </w:rPr>
            </w:pPr>
            <w:r w:rsidRPr="00261B7A">
              <w:rPr>
                <w:noProof w:val="0"/>
                <w:color w:val="FFFFFF"/>
                <w:szCs w:val="16"/>
              </w:rPr>
              <w:t>Contribution to LULUCF uncertainty (%)</w:t>
            </w:r>
          </w:p>
        </w:tc>
      </w:tr>
      <w:tr w:rsidR="0010265C" w:rsidRPr="00261B7A" w14:paraId="361D4B24" w14:textId="77777777" w:rsidTr="00E94426">
        <w:tc>
          <w:tcPr>
            <w:tcW w:w="1985" w:type="dxa"/>
            <w:tcBorders>
              <w:top w:val="single" w:sz="4" w:space="0" w:color="1B556B"/>
              <w:bottom w:val="single" w:sz="4" w:space="0" w:color="1B556B"/>
            </w:tcBorders>
          </w:tcPr>
          <w:p w14:paraId="563829D8" w14:textId="77777777" w:rsidR="0010265C" w:rsidRPr="00261B7A" w:rsidRDefault="0010265C" w:rsidP="00D41492">
            <w:pPr>
              <w:pStyle w:val="TableText"/>
              <w:spacing w:before="40" w:after="40"/>
              <w:rPr>
                <w:szCs w:val="16"/>
              </w:rPr>
            </w:pPr>
            <w:r w:rsidRPr="00261B7A">
              <w:t>Wetlands – open water</w:t>
            </w:r>
          </w:p>
        </w:tc>
        <w:tc>
          <w:tcPr>
            <w:tcW w:w="2126" w:type="dxa"/>
            <w:tcBorders>
              <w:top w:val="single" w:sz="4" w:space="0" w:color="1B556B"/>
              <w:bottom w:val="single" w:sz="4" w:space="0" w:color="1B556B"/>
            </w:tcBorders>
          </w:tcPr>
          <w:p w14:paraId="43AA1930" w14:textId="77777777" w:rsidR="0010265C" w:rsidRPr="00261B7A" w:rsidRDefault="0010265C" w:rsidP="00D41492">
            <w:pPr>
              <w:pStyle w:val="TableText"/>
              <w:spacing w:before="40" w:after="40"/>
              <w:jc w:val="right"/>
            </w:pPr>
            <w:r w:rsidRPr="00261B7A">
              <w:t>–2.2</w:t>
            </w:r>
          </w:p>
        </w:tc>
        <w:tc>
          <w:tcPr>
            <w:tcW w:w="2444" w:type="dxa"/>
            <w:tcBorders>
              <w:top w:val="single" w:sz="4" w:space="0" w:color="1B556B"/>
              <w:bottom w:val="single" w:sz="4" w:space="0" w:color="1B556B"/>
            </w:tcBorders>
          </w:tcPr>
          <w:p w14:paraId="6F95187B" w14:textId="77777777" w:rsidR="0010265C" w:rsidRPr="00261B7A" w:rsidRDefault="0010265C" w:rsidP="00D41492">
            <w:pPr>
              <w:pStyle w:val="TableText"/>
              <w:spacing w:before="40" w:after="40"/>
              <w:jc w:val="right"/>
              <w:rPr>
                <w:rFonts w:cs="Segoe UI"/>
              </w:rPr>
            </w:pPr>
            <w:r w:rsidRPr="00261B7A">
              <w:t>211.2</w:t>
            </w:r>
          </w:p>
        </w:tc>
        <w:tc>
          <w:tcPr>
            <w:tcW w:w="1984" w:type="dxa"/>
            <w:tcBorders>
              <w:top w:val="single" w:sz="4" w:space="0" w:color="1B556B"/>
              <w:bottom w:val="single" w:sz="4" w:space="0" w:color="1B556B"/>
            </w:tcBorders>
          </w:tcPr>
          <w:p w14:paraId="45D922EA" w14:textId="77777777" w:rsidR="0010265C" w:rsidRPr="00261B7A" w:rsidRDefault="0010265C" w:rsidP="00D41492">
            <w:pPr>
              <w:pStyle w:val="TableText"/>
              <w:spacing w:before="40" w:after="40"/>
              <w:jc w:val="right"/>
              <w:rPr>
                <w:rFonts w:cs="Segoe UI"/>
              </w:rPr>
            </w:pPr>
            <w:r w:rsidRPr="00261B7A">
              <w:t>0.0</w:t>
            </w:r>
          </w:p>
        </w:tc>
      </w:tr>
      <w:tr w:rsidR="0010265C" w:rsidRPr="00261B7A" w14:paraId="1B10020B" w14:textId="77777777" w:rsidTr="00E94426">
        <w:tc>
          <w:tcPr>
            <w:tcW w:w="1985" w:type="dxa"/>
            <w:tcBorders>
              <w:top w:val="single" w:sz="4" w:space="0" w:color="1B556B"/>
              <w:bottom w:val="single" w:sz="4" w:space="0" w:color="1B556B"/>
            </w:tcBorders>
          </w:tcPr>
          <w:p w14:paraId="1CD87FA5" w14:textId="77777777" w:rsidR="0010265C" w:rsidRPr="00261B7A" w:rsidRDefault="0010265C" w:rsidP="00D41492">
            <w:pPr>
              <w:pStyle w:val="TableText"/>
              <w:spacing w:before="40" w:after="40"/>
              <w:rPr>
                <w:szCs w:val="16"/>
              </w:rPr>
            </w:pPr>
            <w:r w:rsidRPr="00261B7A">
              <w:t>Wetlands – vegetative</w:t>
            </w:r>
          </w:p>
        </w:tc>
        <w:tc>
          <w:tcPr>
            <w:tcW w:w="2126" w:type="dxa"/>
            <w:tcBorders>
              <w:top w:val="single" w:sz="4" w:space="0" w:color="1B556B"/>
              <w:bottom w:val="single" w:sz="4" w:space="0" w:color="1B556B"/>
            </w:tcBorders>
          </w:tcPr>
          <w:p w14:paraId="38A58F12" w14:textId="77777777" w:rsidR="0010265C" w:rsidRPr="00261B7A" w:rsidRDefault="0010265C" w:rsidP="00D41492">
            <w:pPr>
              <w:pStyle w:val="TableText"/>
              <w:spacing w:before="40" w:after="40"/>
              <w:jc w:val="right"/>
            </w:pPr>
            <w:r w:rsidRPr="00261B7A">
              <w:t>–4.4</w:t>
            </w:r>
          </w:p>
        </w:tc>
        <w:tc>
          <w:tcPr>
            <w:tcW w:w="2444" w:type="dxa"/>
            <w:tcBorders>
              <w:top w:val="single" w:sz="4" w:space="0" w:color="1B556B"/>
              <w:bottom w:val="single" w:sz="4" w:space="0" w:color="1B556B"/>
            </w:tcBorders>
          </w:tcPr>
          <w:p w14:paraId="426E6CDF" w14:textId="77777777" w:rsidR="0010265C" w:rsidRPr="00261B7A" w:rsidRDefault="0010265C" w:rsidP="00D41492">
            <w:pPr>
              <w:pStyle w:val="TableText"/>
              <w:spacing w:before="40" w:after="40"/>
              <w:jc w:val="right"/>
              <w:rPr>
                <w:rFonts w:cs="Segoe UI"/>
              </w:rPr>
            </w:pPr>
            <w:r w:rsidRPr="00261B7A">
              <w:t>53.6</w:t>
            </w:r>
          </w:p>
        </w:tc>
        <w:tc>
          <w:tcPr>
            <w:tcW w:w="1984" w:type="dxa"/>
            <w:tcBorders>
              <w:top w:val="single" w:sz="4" w:space="0" w:color="1B556B"/>
              <w:bottom w:val="single" w:sz="4" w:space="0" w:color="1B556B"/>
            </w:tcBorders>
          </w:tcPr>
          <w:p w14:paraId="21537DDB" w14:textId="77777777" w:rsidR="0010265C" w:rsidRPr="00261B7A" w:rsidRDefault="0010265C" w:rsidP="00D41492">
            <w:pPr>
              <w:pStyle w:val="TableText"/>
              <w:spacing w:before="40" w:after="40"/>
              <w:jc w:val="right"/>
              <w:rPr>
                <w:rFonts w:cs="Segoe UI"/>
              </w:rPr>
            </w:pPr>
            <w:r w:rsidRPr="00261B7A">
              <w:t>0.0</w:t>
            </w:r>
          </w:p>
        </w:tc>
      </w:tr>
      <w:tr w:rsidR="0010265C" w:rsidRPr="00261B7A" w14:paraId="33AFB75B" w14:textId="77777777" w:rsidTr="00E94426">
        <w:tc>
          <w:tcPr>
            <w:tcW w:w="1985" w:type="dxa"/>
            <w:tcBorders>
              <w:top w:val="single" w:sz="4" w:space="0" w:color="1B556B"/>
              <w:bottom w:val="single" w:sz="4" w:space="0" w:color="1B556B"/>
            </w:tcBorders>
          </w:tcPr>
          <w:p w14:paraId="502B1E69" w14:textId="77777777" w:rsidR="0010265C" w:rsidRPr="00261B7A" w:rsidRDefault="0010265C" w:rsidP="00D41492">
            <w:pPr>
              <w:pStyle w:val="TableText"/>
              <w:spacing w:before="40" w:after="40"/>
            </w:pPr>
            <w:r w:rsidRPr="00261B7A">
              <w:t>Peat extraction</w:t>
            </w:r>
          </w:p>
        </w:tc>
        <w:tc>
          <w:tcPr>
            <w:tcW w:w="2126" w:type="dxa"/>
            <w:tcBorders>
              <w:top w:val="single" w:sz="4" w:space="0" w:color="1B556B"/>
              <w:bottom w:val="single" w:sz="4" w:space="0" w:color="1B556B"/>
            </w:tcBorders>
          </w:tcPr>
          <w:p w14:paraId="213A87C0" w14:textId="77777777" w:rsidR="0010265C" w:rsidRPr="00261B7A" w:rsidRDefault="0010265C" w:rsidP="00D41492">
            <w:pPr>
              <w:pStyle w:val="TableText"/>
              <w:spacing w:before="40" w:after="40"/>
              <w:jc w:val="right"/>
            </w:pPr>
            <w:r w:rsidRPr="00261B7A">
              <w:t>18.0</w:t>
            </w:r>
          </w:p>
        </w:tc>
        <w:tc>
          <w:tcPr>
            <w:tcW w:w="2444" w:type="dxa"/>
            <w:tcBorders>
              <w:top w:val="single" w:sz="4" w:space="0" w:color="1B556B"/>
              <w:bottom w:val="single" w:sz="4" w:space="0" w:color="1B556B"/>
            </w:tcBorders>
          </w:tcPr>
          <w:p w14:paraId="5D768FEA" w14:textId="77777777" w:rsidR="0010265C" w:rsidRPr="00261B7A" w:rsidRDefault="0010265C" w:rsidP="00D41492">
            <w:pPr>
              <w:pStyle w:val="TableText"/>
              <w:spacing w:before="40" w:after="40"/>
              <w:jc w:val="right"/>
            </w:pPr>
            <w:r w:rsidRPr="00261B7A">
              <w:t>18.9</w:t>
            </w:r>
          </w:p>
        </w:tc>
        <w:tc>
          <w:tcPr>
            <w:tcW w:w="1984" w:type="dxa"/>
            <w:tcBorders>
              <w:top w:val="single" w:sz="4" w:space="0" w:color="1B556B"/>
              <w:bottom w:val="single" w:sz="4" w:space="0" w:color="1B556B"/>
            </w:tcBorders>
          </w:tcPr>
          <w:p w14:paraId="287BE292" w14:textId="77777777" w:rsidR="0010265C" w:rsidRPr="00261B7A" w:rsidRDefault="0010265C" w:rsidP="00D41492">
            <w:pPr>
              <w:pStyle w:val="TableText"/>
              <w:spacing w:before="40" w:after="40"/>
              <w:jc w:val="right"/>
            </w:pPr>
            <w:r w:rsidRPr="00261B7A">
              <w:t>0.0</w:t>
            </w:r>
          </w:p>
        </w:tc>
      </w:tr>
      <w:tr w:rsidR="0010265C" w:rsidRPr="00261B7A" w14:paraId="2A4AB60F" w14:textId="77777777" w:rsidTr="00E94426">
        <w:tc>
          <w:tcPr>
            <w:tcW w:w="1985" w:type="dxa"/>
            <w:tcBorders>
              <w:top w:val="single" w:sz="4" w:space="0" w:color="1B556B"/>
              <w:bottom w:val="single" w:sz="4" w:space="0" w:color="1B556B"/>
            </w:tcBorders>
          </w:tcPr>
          <w:p w14:paraId="771A005D" w14:textId="77777777" w:rsidR="0010265C" w:rsidRPr="00261B7A" w:rsidRDefault="0010265C" w:rsidP="00D41492">
            <w:pPr>
              <w:pStyle w:val="TableTextBold"/>
              <w:spacing w:before="40" w:after="40"/>
              <w:rPr>
                <w:noProof w:val="0"/>
                <w:color w:val="1B556B"/>
              </w:rPr>
            </w:pPr>
            <w:r w:rsidRPr="00261B7A">
              <w:rPr>
                <w:noProof w:val="0"/>
                <w:color w:val="1B556B"/>
              </w:rPr>
              <w:t>Total</w:t>
            </w:r>
          </w:p>
        </w:tc>
        <w:tc>
          <w:tcPr>
            <w:tcW w:w="2126" w:type="dxa"/>
            <w:tcBorders>
              <w:top w:val="single" w:sz="4" w:space="0" w:color="1B556B"/>
              <w:bottom w:val="single" w:sz="4" w:space="0" w:color="1B556B"/>
            </w:tcBorders>
          </w:tcPr>
          <w:p w14:paraId="3B8CD59D" w14:textId="77777777" w:rsidR="0010265C" w:rsidRPr="00261B7A" w:rsidRDefault="0010265C" w:rsidP="00D41492">
            <w:pPr>
              <w:pStyle w:val="TableTextBold"/>
              <w:spacing w:before="40" w:after="40"/>
              <w:jc w:val="right"/>
              <w:rPr>
                <w:noProof w:val="0"/>
                <w:color w:val="1B556B"/>
              </w:rPr>
            </w:pPr>
            <w:r w:rsidRPr="00261B7A">
              <w:rPr>
                <w:noProof w:val="0"/>
                <w:color w:val="1B556B"/>
              </w:rPr>
              <w:t>11.4</w:t>
            </w:r>
          </w:p>
        </w:tc>
        <w:tc>
          <w:tcPr>
            <w:tcW w:w="2444" w:type="dxa"/>
            <w:tcBorders>
              <w:top w:val="single" w:sz="4" w:space="0" w:color="1B556B"/>
              <w:bottom w:val="single" w:sz="4" w:space="0" w:color="1B556B"/>
            </w:tcBorders>
          </w:tcPr>
          <w:p w14:paraId="24EBBC2E" w14:textId="77777777" w:rsidR="0010265C" w:rsidRPr="00261B7A" w:rsidRDefault="0010265C" w:rsidP="00D41492">
            <w:pPr>
              <w:pStyle w:val="TableTextBold"/>
              <w:spacing w:before="40" w:after="40"/>
              <w:jc w:val="right"/>
              <w:rPr>
                <w:noProof w:val="0"/>
                <w:color w:val="1B556B"/>
              </w:rPr>
            </w:pPr>
            <w:r w:rsidRPr="00261B7A">
              <w:rPr>
                <w:noProof w:val="0"/>
                <w:color w:val="1B556B"/>
              </w:rPr>
              <w:t>77.7</w:t>
            </w:r>
          </w:p>
        </w:tc>
        <w:tc>
          <w:tcPr>
            <w:tcW w:w="1984" w:type="dxa"/>
            <w:tcBorders>
              <w:top w:val="single" w:sz="4" w:space="0" w:color="1B556B"/>
              <w:bottom w:val="single" w:sz="4" w:space="0" w:color="1B556B"/>
            </w:tcBorders>
          </w:tcPr>
          <w:p w14:paraId="029F09E1" w14:textId="77777777" w:rsidR="0010265C" w:rsidRPr="00261B7A" w:rsidRDefault="0010265C" w:rsidP="00D41492">
            <w:pPr>
              <w:pStyle w:val="TableTextBold"/>
              <w:spacing w:before="40" w:after="40"/>
              <w:jc w:val="right"/>
              <w:rPr>
                <w:noProof w:val="0"/>
                <w:color w:val="1B556B"/>
              </w:rPr>
            </w:pPr>
            <w:r w:rsidRPr="00261B7A">
              <w:rPr>
                <w:noProof w:val="0"/>
                <w:color w:val="1B556B"/>
              </w:rPr>
              <w:t>0.0</w:t>
            </w:r>
          </w:p>
        </w:tc>
      </w:tr>
    </w:tbl>
    <w:p w14:paraId="0F373592" w14:textId="2B9A4219" w:rsidR="0010265C" w:rsidRPr="00261B7A" w:rsidRDefault="0010265C" w:rsidP="0010265C">
      <w:pPr>
        <w:pStyle w:val="Heading3"/>
        <w:spacing w:before="400"/>
      </w:pPr>
      <w:r w:rsidRPr="00261B7A">
        <w:t>6.6.4</w:t>
      </w:r>
      <w:r w:rsidRPr="00261B7A">
        <w:tab/>
        <w:t>Category-specific QA/QC and verification</w:t>
      </w:r>
      <w:r w:rsidR="00E94426" w:rsidRPr="00261B7A">
        <w:t xml:space="preserve"> </w:t>
      </w:r>
    </w:p>
    <w:p w14:paraId="540EDD88" w14:textId="77777777" w:rsidR="0010265C" w:rsidRPr="00261B7A" w:rsidRDefault="0010265C" w:rsidP="0010265C">
      <w:pPr>
        <w:pStyle w:val="BodyText"/>
      </w:pPr>
      <w:r w:rsidRPr="00261B7A">
        <w:t>In the preparation of this inventory, the activity data and emission factor for carbon change underwent Tier 1 quality checks.</w:t>
      </w:r>
    </w:p>
    <w:p w14:paraId="59558CC9" w14:textId="77777777" w:rsidR="0010265C" w:rsidRPr="00261B7A" w:rsidRDefault="0010265C" w:rsidP="0010265C">
      <w:pPr>
        <w:pStyle w:val="Heading3"/>
        <w:spacing w:before="320"/>
      </w:pPr>
      <w:r w:rsidRPr="00261B7A">
        <w:t>6.6.5</w:t>
      </w:r>
      <w:r w:rsidRPr="00261B7A">
        <w:tab/>
        <w:t>Category-specific recalculations</w:t>
      </w:r>
    </w:p>
    <w:p w14:paraId="4206E7D1" w14:textId="77777777" w:rsidR="0010265C" w:rsidRPr="00261B7A" w:rsidRDefault="0010265C" w:rsidP="0010265C">
      <w:pPr>
        <w:pStyle w:val="BodyText"/>
        <w:spacing w:before="100" w:after="100"/>
      </w:pPr>
      <w:r w:rsidRPr="00261B7A">
        <w:t>The impact of recalculations on net CO</w:t>
      </w:r>
      <w:r w:rsidRPr="00261B7A">
        <w:rPr>
          <w:vertAlign w:val="subscript"/>
        </w:rPr>
        <w:t>2</w:t>
      </w:r>
      <w:r w:rsidRPr="00261B7A">
        <w:t xml:space="preserve">-e emission estimates for </w:t>
      </w:r>
      <w:r w:rsidRPr="00261B7A">
        <w:rPr>
          <w:i/>
        </w:rPr>
        <w:t>Wetlands</w:t>
      </w:r>
      <w:r w:rsidRPr="00261B7A">
        <w:t xml:space="preserve"> is shown in table 6.6.5. Recalculations were carried out for this category as a result of updating biomass carbon stock estimates for the </w:t>
      </w:r>
      <w:r w:rsidRPr="00261B7A">
        <w:rPr>
          <w:i/>
        </w:rPr>
        <w:t xml:space="preserve">Wetlands </w:t>
      </w:r>
      <w:r w:rsidRPr="00261B7A">
        <w:t xml:space="preserve">– </w:t>
      </w:r>
      <w:r w:rsidRPr="00261B7A">
        <w:rPr>
          <w:i/>
          <w:iCs/>
        </w:rPr>
        <w:t>vegetated</w:t>
      </w:r>
      <w:r w:rsidRPr="00261B7A">
        <w:t xml:space="preserve"> category. </w:t>
      </w:r>
    </w:p>
    <w:p w14:paraId="1DF80CE0" w14:textId="77777777" w:rsidR="0010265C" w:rsidRPr="00261B7A" w:rsidRDefault="0010265C" w:rsidP="008B4B62">
      <w:pPr>
        <w:pStyle w:val="Table"/>
      </w:pPr>
      <w:bookmarkStart w:id="2211" w:name="_Toc342470787"/>
      <w:bookmarkStart w:id="2212" w:name="_Toc352505027"/>
      <w:bookmarkStart w:id="2213" w:name="_Toc378853316"/>
      <w:bookmarkStart w:id="2214" w:name="_Toc391024114"/>
      <w:bookmarkStart w:id="2215" w:name="_Toc410028857"/>
      <w:bookmarkStart w:id="2216" w:name="_Toc414531485"/>
      <w:bookmarkStart w:id="2217" w:name="_Toc443645398"/>
      <w:bookmarkStart w:id="2218" w:name="_Toc474914617"/>
      <w:bookmarkStart w:id="2219" w:name="_Toc481751581"/>
      <w:bookmarkStart w:id="2220" w:name="_Toc522010638"/>
      <w:bookmarkStart w:id="2221" w:name="_Toc5269543"/>
      <w:bookmarkStart w:id="2222" w:name="_Toc33529417"/>
      <w:bookmarkStart w:id="2223" w:name="_Toc36224623"/>
      <w:bookmarkStart w:id="2224" w:name="_Toc131591418"/>
      <w:r w:rsidRPr="00261B7A">
        <w:t>Table 6.6.5</w:t>
      </w:r>
      <w:r w:rsidRPr="00261B7A">
        <w:tab/>
        <w:t xml:space="preserve">Recalculations for New Zealand’s net emissions from the </w:t>
      </w:r>
      <w:r w:rsidRPr="00261B7A">
        <w:rPr>
          <w:i/>
        </w:rPr>
        <w:t>Wetlands</w:t>
      </w:r>
      <w:r w:rsidRPr="00261B7A">
        <w:t xml:space="preserve"> category in 1990 and</w:t>
      </w:r>
      <w:bookmarkEnd w:id="2211"/>
      <w:bookmarkEnd w:id="2212"/>
      <w:bookmarkEnd w:id="2213"/>
      <w:bookmarkEnd w:id="2214"/>
      <w:r w:rsidRPr="00261B7A">
        <w:t> </w:t>
      </w:r>
      <w:bookmarkEnd w:id="2215"/>
      <w:bookmarkEnd w:id="2216"/>
      <w:bookmarkEnd w:id="2217"/>
      <w:bookmarkEnd w:id="2218"/>
      <w:bookmarkEnd w:id="2219"/>
      <w:bookmarkEnd w:id="2220"/>
      <w:bookmarkEnd w:id="2221"/>
      <w:bookmarkEnd w:id="2222"/>
      <w:bookmarkEnd w:id="2223"/>
      <w:r w:rsidRPr="00261B7A">
        <w:t>2020</w:t>
      </w:r>
      <w:bookmarkEnd w:id="2224"/>
    </w:p>
    <w:tbl>
      <w:tblPr>
        <w:tblW w:w="8505" w:type="dxa"/>
        <w:tblLayout w:type="fixed"/>
        <w:tblLook w:val="04A0" w:firstRow="1" w:lastRow="0" w:firstColumn="1" w:lastColumn="0" w:noHBand="0" w:noVBand="1"/>
      </w:tblPr>
      <w:tblGrid>
        <w:gridCol w:w="1050"/>
        <w:gridCol w:w="1863"/>
        <w:gridCol w:w="1864"/>
        <w:gridCol w:w="1864"/>
        <w:gridCol w:w="1864"/>
      </w:tblGrid>
      <w:tr w:rsidR="0010265C" w:rsidRPr="00261B7A" w14:paraId="1898B402" w14:textId="77777777" w:rsidTr="00E94426">
        <w:tc>
          <w:tcPr>
            <w:tcW w:w="1050" w:type="dxa"/>
            <w:vMerge w:val="restart"/>
            <w:tcBorders>
              <w:top w:val="single" w:sz="4" w:space="0" w:color="1B556B"/>
            </w:tcBorders>
            <w:shd w:val="clear" w:color="auto" w:fill="1B556B" w:themeFill="text2"/>
            <w:vAlign w:val="bottom"/>
          </w:tcPr>
          <w:p w14:paraId="5012BFF2" w14:textId="77777777" w:rsidR="0010265C" w:rsidRPr="00261B7A" w:rsidRDefault="0010265C" w:rsidP="00D41492">
            <w:pPr>
              <w:pStyle w:val="TableTextBold"/>
              <w:keepNext/>
              <w:spacing w:before="40" w:after="40"/>
              <w:rPr>
                <w:noProof w:val="0"/>
                <w:color w:val="FFFFFF"/>
              </w:rPr>
            </w:pPr>
            <w:r w:rsidRPr="00261B7A">
              <w:rPr>
                <w:noProof w:val="0"/>
                <w:color w:val="FFFFFF"/>
              </w:rPr>
              <w:t>Year</w:t>
            </w:r>
          </w:p>
        </w:tc>
        <w:tc>
          <w:tcPr>
            <w:tcW w:w="3727" w:type="dxa"/>
            <w:gridSpan w:val="2"/>
            <w:tcBorders>
              <w:top w:val="single" w:sz="4" w:space="0" w:color="1B556B"/>
            </w:tcBorders>
            <w:shd w:val="clear" w:color="auto" w:fill="1B556B" w:themeFill="text2"/>
            <w:noWrap/>
          </w:tcPr>
          <w:p w14:paraId="7A5A8732" w14:textId="77777777" w:rsidR="0010265C" w:rsidRPr="00261B7A" w:rsidRDefault="0010265C" w:rsidP="00D41492">
            <w:pPr>
              <w:pStyle w:val="TableTextBold"/>
              <w:keepNext/>
              <w:spacing w:before="40" w:after="40"/>
              <w:jc w:val="center"/>
              <w:rPr>
                <w:noProof w:val="0"/>
                <w:color w:val="FFFFFF"/>
              </w:rPr>
            </w:pPr>
            <w:r w:rsidRPr="00261B7A">
              <w:rPr>
                <w:noProof w:val="0"/>
                <w:color w:val="FFFFFF"/>
              </w:rPr>
              <w:t>Net emissions (kt CO</w:t>
            </w:r>
            <w:r w:rsidRPr="00261B7A">
              <w:rPr>
                <w:rFonts w:ascii="Calibri Light" w:hAnsi="Calibri Light"/>
                <w:noProof w:val="0"/>
                <w:color w:val="FFFFFF"/>
                <w:vertAlign w:val="subscript"/>
              </w:rPr>
              <w:t>2</w:t>
            </w:r>
            <w:r w:rsidRPr="00261B7A">
              <w:rPr>
                <w:noProof w:val="0"/>
                <w:color w:val="FFFFFF"/>
              </w:rPr>
              <w:t>-e)</w:t>
            </w:r>
          </w:p>
        </w:tc>
        <w:tc>
          <w:tcPr>
            <w:tcW w:w="3728" w:type="dxa"/>
            <w:gridSpan w:val="2"/>
            <w:tcBorders>
              <w:top w:val="single" w:sz="4" w:space="0" w:color="1B556B"/>
            </w:tcBorders>
            <w:shd w:val="clear" w:color="auto" w:fill="1B556B" w:themeFill="text2"/>
          </w:tcPr>
          <w:p w14:paraId="7E0172A9" w14:textId="77777777" w:rsidR="0010265C" w:rsidRPr="00261B7A" w:rsidRDefault="0010265C" w:rsidP="00D41492">
            <w:pPr>
              <w:pStyle w:val="TableTextBold"/>
              <w:keepNext/>
              <w:spacing w:before="40" w:after="40"/>
              <w:jc w:val="center"/>
              <w:rPr>
                <w:noProof w:val="0"/>
                <w:color w:val="FFFFFF"/>
              </w:rPr>
            </w:pPr>
            <w:r w:rsidRPr="00261B7A">
              <w:rPr>
                <w:noProof w:val="0"/>
                <w:color w:val="FFFFFF"/>
              </w:rPr>
              <w:t>Change from the 2022 submission</w:t>
            </w:r>
          </w:p>
        </w:tc>
      </w:tr>
      <w:tr w:rsidR="0010265C" w:rsidRPr="00261B7A" w14:paraId="574D0B52" w14:textId="77777777" w:rsidTr="00E94426">
        <w:tc>
          <w:tcPr>
            <w:tcW w:w="1050" w:type="dxa"/>
            <w:vMerge/>
            <w:tcBorders>
              <w:bottom w:val="single" w:sz="4" w:space="0" w:color="1B556B"/>
            </w:tcBorders>
            <w:shd w:val="clear" w:color="auto" w:fill="1B556B" w:themeFill="text2"/>
          </w:tcPr>
          <w:p w14:paraId="353E78E2" w14:textId="77777777" w:rsidR="0010265C" w:rsidRPr="00261B7A" w:rsidRDefault="0010265C" w:rsidP="00D41492">
            <w:pPr>
              <w:keepNext/>
              <w:spacing w:before="40" w:after="40"/>
              <w:rPr>
                <w:rFonts w:ascii="Arial Bold" w:hAnsi="Arial Bold"/>
                <w:color w:val="FFFFFF"/>
              </w:rPr>
            </w:pPr>
          </w:p>
        </w:tc>
        <w:tc>
          <w:tcPr>
            <w:tcW w:w="1863" w:type="dxa"/>
            <w:tcBorders>
              <w:bottom w:val="single" w:sz="4" w:space="0" w:color="1B556B"/>
            </w:tcBorders>
            <w:shd w:val="clear" w:color="auto" w:fill="1B556B" w:themeFill="text2"/>
          </w:tcPr>
          <w:p w14:paraId="38B04CDF" w14:textId="77777777" w:rsidR="0010265C" w:rsidRPr="00261B7A" w:rsidRDefault="0010265C" w:rsidP="00D41492">
            <w:pPr>
              <w:pStyle w:val="TableText"/>
              <w:keepNext/>
              <w:spacing w:before="40" w:after="40"/>
              <w:jc w:val="right"/>
              <w:rPr>
                <w:b/>
                <w:color w:val="FFFFFF"/>
              </w:rPr>
            </w:pPr>
            <w:r w:rsidRPr="00261B7A">
              <w:rPr>
                <w:b/>
                <w:color w:val="FFFFFF"/>
              </w:rPr>
              <w:t>2022 submission</w:t>
            </w:r>
          </w:p>
        </w:tc>
        <w:tc>
          <w:tcPr>
            <w:tcW w:w="1864" w:type="dxa"/>
            <w:tcBorders>
              <w:bottom w:val="single" w:sz="4" w:space="0" w:color="1B556B"/>
            </w:tcBorders>
            <w:shd w:val="clear" w:color="auto" w:fill="1B556B" w:themeFill="text2"/>
          </w:tcPr>
          <w:p w14:paraId="5E81C786" w14:textId="77777777" w:rsidR="0010265C" w:rsidRPr="00261B7A" w:rsidRDefault="0010265C" w:rsidP="00D41492">
            <w:pPr>
              <w:pStyle w:val="TableText"/>
              <w:keepNext/>
              <w:spacing w:before="40" w:after="40"/>
              <w:jc w:val="right"/>
              <w:rPr>
                <w:b/>
                <w:color w:val="FFFFFF"/>
              </w:rPr>
            </w:pPr>
            <w:r w:rsidRPr="00261B7A">
              <w:rPr>
                <w:b/>
                <w:color w:val="FFFFFF"/>
              </w:rPr>
              <w:t>2023 submission</w:t>
            </w:r>
          </w:p>
        </w:tc>
        <w:tc>
          <w:tcPr>
            <w:tcW w:w="1864" w:type="dxa"/>
            <w:tcBorders>
              <w:bottom w:val="single" w:sz="4" w:space="0" w:color="1B556B"/>
            </w:tcBorders>
            <w:shd w:val="clear" w:color="auto" w:fill="1B556B" w:themeFill="text2"/>
          </w:tcPr>
          <w:p w14:paraId="33D04895" w14:textId="77777777" w:rsidR="0010265C" w:rsidRPr="00261B7A" w:rsidRDefault="0010265C" w:rsidP="00D41492">
            <w:pPr>
              <w:pStyle w:val="TableText"/>
              <w:keepNext/>
              <w:spacing w:before="40" w:after="40"/>
              <w:jc w:val="right"/>
              <w:rPr>
                <w:b/>
                <w:color w:val="FFFFFF"/>
              </w:rPr>
            </w:pPr>
            <w:r w:rsidRPr="00261B7A">
              <w:rPr>
                <w:b/>
                <w:color w:val="FFFFFF"/>
              </w:rPr>
              <w:t>(kt CO</w:t>
            </w:r>
            <w:r w:rsidRPr="00261B7A">
              <w:rPr>
                <w:b/>
                <w:color w:val="FFFFFF"/>
                <w:vertAlign w:val="subscript"/>
              </w:rPr>
              <w:t>2</w:t>
            </w:r>
            <w:r w:rsidRPr="00261B7A">
              <w:rPr>
                <w:b/>
                <w:color w:val="FFFFFF"/>
              </w:rPr>
              <w:t>-e)</w:t>
            </w:r>
          </w:p>
        </w:tc>
        <w:tc>
          <w:tcPr>
            <w:tcW w:w="1864" w:type="dxa"/>
            <w:tcBorders>
              <w:bottom w:val="single" w:sz="4" w:space="0" w:color="1B556B"/>
            </w:tcBorders>
            <w:shd w:val="clear" w:color="auto" w:fill="1B556B" w:themeFill="text2"/>
          </w:tcPr>
          <w:p w14:paraId="587D3AFE" w14:textId="77777777" w:rsidR="0010265C" w:rsidRPr="00261B7A" w:rsidRDefault="0010265C" w:rsidP="00D41492">
            <w:pPr>
              <w:pStyle w:val="TableText"/>
              <w:keepNext/>
              <w:spacing w:before="40" w:after="40"/>
              <w:jc w:val="right"/>
              <w:rPr>
                <w:b/>
                <w:color w:val="FFFFFF"/>
              </w:rPr>
            </w:pPr>
            <w:r w:rsidRPr="00261B7A">
              <w:rPr>
                <w:b/>
                <w:color w:val="FFFFFF"/>
              </w:rPr>
              <w:t>(%)</w:t>
            </w:r>
          </w:p>
        </w:tc>
      </w:tr>
      <w:tr w:rsidR="0010265C" w:rsidRPr="00261B7A" w14:paraId="6FBA563F" w14:textId="77777777" w:rsidTr="00E94426">
        <w:tc>
          <w:tcPr>
            <w:tcW w:w="1050" w:type="dxa"/>
            <w:tcBorders>
              <w:top w:val="single" w:sz="4" w:space="0" w:color="1B556B"/>
              <w:bottom w:val="single" w:sz="4" w:space="0" w:color="1B556B"/>
            </w:tcBorders>
          </w:tcPr>
          <w:p w14:paraId="41B83BF4" w14:textId="77777777" w:rsidR="0010265C" w:rsidRPr="00261B7A" w:rsidRDefault="0010265C" w:rsidP="00D41492">
            <w:pPr>
              <w:pStyle w:val="TableText"/>
              <w:spacing w:before="40" w:after="40"/>
            </w:pPr>
            <w:r w:rsidRPr="00261B7A">
              <w:t xml:space="preserve">1990 </w:t>
            </w:r>
          </w:p>
        </w:tc>
        <w:tc>
          <w:tcPr>
            <w:tcW w:w="1863" w:type="dxa"/>
            <w:tcBorders>
              <w:top w:val="single" w:sz="4" w:space="0" w:color="1B556B"/>
              <w:bottom w:val="single" w:sz="4" w:space="0" w:color="1B556B"/>
            </w:tcBorders>
            <w:vAlign w:val="center"/>
          </w:tcPr>
          <w:p w14:paraId="53E0E072" w14:textId="77777777" w:rsidR="0010265C" w:rsidRPr="00261B7A" w:rsidRDefault="0010265C" w:rsidP="00D41492">
            <w:pPr>
              <w:pStyle w:val="TableText"/>
              <w:keepNext/>
              <w:tabs>
                <w:tab w:val="decimal" w:pos="369"/>
              </w:tabs>
              <w:spacing w:before="40" w:after="40"/>
              <w:jc w:val="right"/>
            </w:pPr>
            <w:r w:rsidRPr="00261B7A">
              <w:rPr>
                <w:rFonts w:cs="Calibri"/>
                <w:color w:val="000000"/>
                <w:szCs w:val="16"/>
              </w:rPr>
              <w:t xml:space="preserve">–10.5 </w:t>
            </w:r>
          </w:p>
        </w:tc>
        <w:tc>
          <w:tcPr>
            <w:tcW w:w="1864" w:type="dxa"/>
            <w:tcBorders>
              <w:top w:val="single" w:sz="4" w:space="0" w:color="1B556B"/>
              <w:bottom w:val="single" w:sz="4" w:space="0" w:color="1B556B"/>
            </w:tcBorders>
            <w:vAlign w:val="center"/>
          </w:tcPr>
          <w:p w14:paraId="750F6953" w14:textId="77777777" w:rsidR="0010265C" w:rsidRPr="00261B7A" w:rsidRDefault="0010265C" w:rsidP="00D41492">
            <w:pPr>
              <w:pStyle w:val="TableText"/>
              <w:keepNext/>
              <w:tabs>
                <w:tab w:val="decimal" w:pos="369"/>
              </w:tabs>
              <w:spacing w:before="40" w:after="40"/>
              <w:jc w:val="right"/>
            </w:pPr>
            <w:r w:rsidRPr="00261B7A">
              <w:rPr>
                <w:rFonts w:cs="Calibri"/>
                <w:color w:val="000000"/>
                <w:szCs w:val="16"/>
              </w:rPr>
              <w:t xml:space="preserve">–8.4 </w:t>
            </w:r>
          </w:p>
        </w:tc>
        <w:tc>
          <w:tcPr>
            <w:tcW w:w="1864" w:type="dxa"/>
            <w:tcBorders>
              <w:top w:val="single" w:sz="4" w:space="0" w:color="1B556B"/>
              <w:bottom w:val="single" w:sz="4" w:space="0" w:color="1B556B"/>
            </w:tcBorders>
            <w:vAlign w:val="center"/>
          </w:tcPr>
          <w:p w14:paraId="6B489547" w14:textId="77777777" w:rsidR="0010265C" w:rsidRPr="00261B7A" w:rsidRDefault="0010265C" w:rsidP="00D41492">
            <w:pPr>
              <w:pStyle w:val="TableText"/>
              <w:keepNext/>
              <w:tabs>
                <w:tab w:val="decimal" w:pos="369"/>
              </w:tabs>
              <w:spacing w:before="40" w:after="40"/>
              <w:jc w:val="right"/>
            </w:pPr>
            <w:r w:rsidRPr="00261B7A">
              <w:rPr>
                <w:rFonts w:cs="Calibri"/>
                <w:color w:val="000000"/>
                <w:szCs w:val="16"/>
              </w:rPr>
              <w:t xml:space="preserve">2.0 </w:t>
            </w:r>
          </w:p>
        </w:tc>
        <w:tc>
          <w:tcPr>
            <w:tcW w:w="1864" w:type="dxa"/>
            <w:tcBorders>
              <w:top w:val="single" w:sz="4" w:space="0" w:color="1B556B"/>
              <w:bottom w:val="single" w:sz="4" w:space="0" w:color="1B556B"/>
            </w:tcBorders>
            <w:vAlign w:val="center"/>
          </w:tcPr>
          <w:p w14:paraId="5A93B602" w14:textId="77777777" w:rsidR="0010265C" w:rsidRPr="00261B7A" w:rsidRDefault="0010265C" w:rsidP="00D41492">
            <w:pPr>
              <w:pStyle w:val="TableText"/>
              <w:keepNext/>
              <w:tabs>
                <w:tab w:val="decimal" w:pos="369"/>
              </w:tabs>
              <w:spacing w:before="40" w:after="40"/>
              <w:jc w:val="right"/>
            </w:pPr>
            <w:r w:rsidRPr="00261B7A">
              <w:rPr>
                <w:rFonts w:cs="Calibri"/>
                <w:color w:val="000000"/>
                <w:szCs w:val="16"/>
              </w:rPr>
              <w:t>19.4</w:t>
            </w:r>
          </w:p>
        </w:tc>
      </w:tr>
      <w:tr w:rsidR="0010265C" w:rsidRPr="00261B7A" w14:paraId="1C715D99" w14:textId="77777777" w:rsidTr="00E94426">
        <w:tc>
          <w:tcPr>
            <w:tcW w:w="1050" w:type="dxa"/>
            <w:tcBorders>
              <w:top w:val="single" w:sz="4" w:space="0" w:color="1B556B"/>
              <w:bottom w:val="single" w:sz="4" w:space="0" w:color="1B556B"/>
            </w:tcBorders>
          </w:tcPr>
          <w:p w14:paraId="5A8BA1D3" w14:textId="77777777" w:rsidR="0010265C" w:rsidRPr="00261B7A" w:rsidRDefault="0010265C" w:rsidP="00D41492">
            <w:pPr>
              <w:pStyle w:val="TableText"/>
              <w:spacing w:before="40" w:after="40"/>
            </w:pPr>
            <w:r w:rsidRPr="00261B7A">
              <w:t>2020</w:t>
            </w:r>
          </w:p>
        </w:tc>
        <w:tc>
          <w:tcPr>
            <w:tcW w:w="1863" w:type="dxa"/>
            <w:tcBorders>
              <w:top w:val="single" w:sz="4" w:space="0" w:color="1B556B"/>
              <w:bottom w:val="single" w:sz="4" w:space="0" w:color="1B556B"/>
            </w:tcBorders>
            <w:vAlign w:val="center"/>
          </w:tcPr>
          <w:p w14:paraId="39CC0E12" w14:textId="77777777" w:rsidR="0010265C" w:rsidRPr="00261B7A" w:rsidRDefault="0010265C" w:rsidP="00D41492">
            <w:pPr>
              <w:pStyle w:val="TableText"/>
              <w:tabs>
                <w:tab w:val="decimal" w:pos="369"/>
              </w:tabs>
              <w:spacing w:before="40" w:after="40"/>
              <w:jc w:val="right"/>
            </w:pPr>
            <w:r w:rsidRPr="00261B7A">
              <w:rPr>
                <w:rFonts w:cs="Calibri"/>
                <w:color w:val="000000"/>
                <w:szCs w:val="16"/>
              </w:rPr>
              <w:t xml:space="preserve">13.4 </w:t>
            </w:r>
          </w:p>
        </w:tc>
        <w:tc>
          <w:tcPr>
            <w:tcW w:w="1864" w:type="dxa"/>
            <w:tcBorders>
              <w:top w:val="single" w:sz="4" w:space="0" w:color="1B556B"/>
              <w:bottom w:val="single" w:sz="4" w:space="0" w:color="1B556B"/>
            </w:tcBorders>
            <w:vAlign w:val="center"/>
          </w:tcPr>
          <w:p w14:paraId="64448A06" w14:textId="77777777" w:rsidR="0010265C" w:rsidRPr="00261B7A" w:rsidRDefault="0010265C" w:rsidP="00D41492">
            <w:pPr>
              <w:pStyle w:val="TableText"/>
              <w:tabs>
                <w:tab w:val="decimal" w:pos="369"/>
              </w:tabs>
              <w:spacing w:before="40" w:after="40"/>
              <w:jc w:val="right"/>
            </w:pPr>
            <w:r w:rsidRPr="00261B7A">
              <w:rPr>
                <w:rFonts w:cs="Calibri"/>
                <w:color w:val="000000"/>
                <w:szCs w:val="16"/>
              </w:rPr>
              <w:t xml:space="preserve">11.2 </w:t>
            </w:r>
          </w:p>
        </w:tc>
        <w:tc>
          <w:tcPr>
            <w:tcW w:w="1864" w:type="dxa"/>
            <w:tcBorders>
              <w:top w:val="single" w:sz="4" w:space="0" w:color="1B556B"/>
              <w:bottom w:val="single" w:sz="4" w:space="0" w:color="1B556B"/>
            </w:tcBorders>
            <w:vAlign w:val="center"/>
          </w:tcPr>
          <w:p w14:paraId="346FFEF1" w14:textId="77777777" w:rsidR="0010265C" w:rsidRPr="00261B7A" w:rsidRDefault="0010265C" w:rsidP="00D41492">
            <w:pPr>
              <w:pStyle w:val="TableText"/>
              <w:tabs>
                <w:tab w:val="decimal" w:pos="369"/>
              </w:tabs>
              <w:spacing w:before="40" w:after="40"/>
              <w:jc w:val="right"/>
            </w:pPr>
            <w:r w:rsidRPr="00261B7A">
              <w:rPr>
                <w:rFonts w:cs="Calibri"/>
                <w:color w:val="000000"/>
                <w:szCs w:val="16"/>
              </w:rPr>
              <w:t xml:space="preserve">–2.1 </w:t>
            </w:r>
          </w:p>
        </w:tc>
        <w:tc>
          <w:tcPr>
            <w:tcW w:w="1864" w:type="dxa"/>
            <w:tcBorders>
              <w:top w:val="single" w:sz="4" w:space="0" w:color="1B556B"/>
              <w:bottom w:val="single" w:sz="4" w:space="0" w:color="1B556B"/>
            </w:tcBorders>
            <w:vAlign w:val="center"/>
          </w:tcPr>
          <w:p w14:paraId="47943991" w14:textId="77777777" w:rsidR="0010265C" w:rsidRPr="00261B7A" w:rsidRDefault="0010265C" w:rsidP="00D41492">
            <w:pPr>
              <w:pStyle w:val="TableText"/>
              <w:tabs>
                <w:tab w:val="decimal" w:pos="369"/>
              </w:tabs>
              <w:spacing w:before="40" w:after="40"/>
              <w:jc w:val="right"/>
            </w:pPr>
            <w:r w:rsidRPr="00261B7A">
              <w:rPr>
                <w:rFonts w:cs="Calibri"/>
                <w:color w:val="000000"/>
                <w:szCs w:val="16"/>
              </w:rPr>
              <w:t>–15.9</w:t>
            </w:r>
          </w:p>
        </w:tc>
      </w:tr>
    </w:tbl>
    <w:p w14:paraId="44207BF7" w14:textId="77777777" w:rsidR="0010265C" w:rsidRPr="00261B7A" w:rsidRDefault="0010265C" w:rsidP="0010265C">
      <w:pPr>
        <w:pStyle w:val="BodyText"/>
        <w:spacing w:before="240" w:after="100"/>
      </w:pPr>
      <w:r w:rsidRPr="00261B7A">
        <w:t xml:space="preserve">The overall net impact of these recalculations for the LULUCF sector (rather than the </w:t>
      </w:r>
      <w:r w:rsidRPr="00261B7A">
        <w:rPr>
          <w:i/>
          <w:iCs/>
        </w:rPr>
        <w:t>Wetlands</w:t>
      </w:r>
      <w:r w:rsidRPr="00261B7A">
        <w:t xml:space="preserve"> category specifically) is a decrease of 15.8 kt CO</w:t>
      </w:r>
      <w:r w:rsidRPr="00261B7A">
        <w:rPr>
          <w:vertAlign w:val="subscript"/>
        </w:rPr>
        <w:t>2</w:t>
      </w:r>
      <w:r w:rsidRPr="00261B7A">
        <w:t>-e in 2020 and a decrease of 38.8 kt CO</w:t>
      </w:r>
      <w:r w:rsidRPr="00261B7A">
        <w:rPr>
          <w:vertAlign w:val="subscript"/>
        </w:rPr>
        <w:t>2</w:t>
      </w:r>
      <w:r w:rsidRPr="00261B7A">
        <w:t>-e in 1990.</w:t>
      </w:r>
    </w:p>
    <w:p w14:paraId="2D409437" w14:textId="77777777" w:rsidR="0010265C" w:rsidRPr="00261B7A" w:rsidRDefault="0010265C" w:rsidP="0010265C">
      <w:pPr>
        <w:pStyle w:val="Heading3"/>
        <w:spacing w:before="400"/>
      </w:pPr>
      <w:r w:rsidRPr="00261B7A">
        <w:t>6.6.6</w:t>
      </w:r>
      <w:r w:rsidRPr="00261B7A">
        <w:tab/>
        <w:t>Category-specific planned improvements</w:t>
      </w:r>
    </w:p>
    <w:p w14:paraId="2182C186" w14:textId="77777777" w:rsidR="0010265C" w:rsidRPr="00261B7A" w:rsidRDefault="0010265C" w:rsidP="0010265C">
      <w:pPr>
        <w:pStyle w:val="BodyText"/>
        <w:spacing w:after="100"/>
      </w:pPr>
      <w:r w:rsidRPr="00261B7A">
        <w:t xml:space="preserve">The following improvements are planned for the </w:t>
      </w:r>
      <w:r w:rsidRPr="00261B7A">
        <w:rPr>
          <w:i/>
        </w:rPr>
        <w:t xml:space="preserve">Wetlands </w:t>
      </w:r>
      <w:r w:rsidRPr="00261B7A">
        <w:t>category.</w:t>
      </w:r>
    </w:p>
    <w:p w14:paraId="3046E65B" w14:textId="77777777" w:rsidR="0010265C" w:rsidRPr="00261B7A" w:rsidRDefault="0010265C" w:rsidP="00294EC5">
      <w:pPr>
        <w:pStyle w:val="Bullet"/>
        <w:numPr>
          <w:ilvl w:val="0"/>
          <w:numId w:val="25"/>
        </w:numPr>
        <w:spacing w:after="100"/>
        <w:ind w:left="397" w:hanging="397"/>
      </w:pPr>
      <w:r w:rsidRPr="00261B7A">
        <w:t xml:space="preserve">Research is under way to identify activity data, nutrient status, drainage depth and suitable emission factors for drained organic soils to enable the application of the 2013 </w:t>
      </w:r>
      <w:r w:rsidRPr="00261B7A">
        <w:rPr>
          <w:i/>
        </w:rPr>
        <w:t>Wetlands</w:t>
      </w:r>
      <w:r w:rsidRPr="00261B7A">
        <w:t xml:space="preserve"> supplement in future submissions. It is unlikely this work will be complete before the 2023 submission. </w:t>
      </w:r>
    </w:p>
    <w:p w14:paraId="2AFFFF23" w14:textId="77777777" w:rsidR="0010265C" w:rsidRPr="00261B7A" w:rsidRDefault="0010265C" w:rsidP="00294EC5">
      <w:pPr>
        <w:pStyle w:val="Bullet"/>
        <w:numPr>
          <w:ilvl w:val="0"/>
          <w:numId w:val="25"/>
        </w:numPr>
        <w:spacing w:after="100"/>
        <w:ind w:left="397" w:hanging="397"/>
      </w:pPr>
      <w:r w:rsidRPr="00261B7A">
        <w:t>Wetland mapping will be improved throughout the time series as part of the production of the 2020 land use map.</w:t>
      </w:r>
    </w:p>
    <w:p w14:paraId="39EB9F88" w14:textId="77777777" w:rsidR="0010265C" w:rsidRPr="00261B7A" w:rsidRDefault="0010265C" w:rsidP="00A638DC">
      <w:pPr>
        <w:pStyle w:val="Heading2"/>
      </w:pPr>
      <w:bookmarkStart w:id="2225" w:name="_Toc310423456"/>
      <w:bookmarkStart w:id="2226" w:name="_Toc342470722"/>
      <w:bookmarkStart w:id="2227" w:name="_Toc352504874"/>
      <w:bookmarkStart w:id="2228" w:name="_Toc391024704"/>
      <w:bookmarkStart w:id="2229" w:name="_Toc414531321"/>
      <w:bookmarkStart w:id="2230" w:name="_Toc474335463"/>
      <w:bookmarkStart w:id="2231" w:name="_Toc481751403"/>
      <w:bookmarkStart w:id="2232" w:name="_Toc522013955"/>
      <w:bookmarkStart w:id="2233" w:name="_Toc5269380"/>
      <w:bookmarkStart w:id="2234" w:name="_Toc36224420"/>
      <w:bookmarkStart w:id="2235" w:name="_Toc131591254"/>
      <w:r w:rsidRPr="00261B7A">
        <w:t>6.7</w:t>
      </w:r>
      <w:r w:rsidRPr="00261B7A">
        <w:tab/>
        <w:t>Settlements (CRF 4E)</w:t>
      </w:r>
      <w:bookmarkEnd w:id="2225"/>
      <w:bookmarkEnd w:id="2226"/>
      <w:bookmarkEnd w:id="2227"/>
      <w:bookmarkEnd w:id="2228"/>
      <w:bookmarkEnd w:id="2229"/>
      <w:bookmarkEnd w:id="2230"/>
      <w:bookmarkEnd w:id="2231"/>
      <w:bookmarkEnd w:id="2232"/>
      <w:bookmarkEnd w:id="2233"/>
      <w:bookmarkEnd w:id="2234"/>
      <w:bookmarkEnd w:id="2235"/>
    </w:p>
    <w:p w14:paraId="1F53F8A1" w14:textId="77777777" w:rsidR="0010265C" w:rsidRPr="00261B7A" w:rsidRDefault="0010265C" w:rsidP="0010265C">
      <w:pPr>
        <w:pStyle w:val="Heading3"/>
        <w:spacing w:before="240"/>
      </w:pPr>
      <w:r w:rsidRPr="00261B7A">
        <w:t>6.7.1</w:t>
      </w:r>
      <w:r w:rsidRPr="00261B7A">
        <w:tab/>
        <w:t>Description</w:t>
      </w:r>
    </w:p>
    <w:p w14:paraId="7375F241" w14:textId="77777777" w:rsidR="0010265C" w:rsidRPr="00261B7A" w:rsidRDefault="0010265C" w:rsidP="0010265C">
      <w:pPr>
        <w:pStyle w:val="BodyText"/>
      </w:pPr>
      <w:r w:rsidRPr="00261B7A">
        <w:t xml:space="preserve">In 2021, the net emissions from </w:t>
      </w:r>
      <w:r w:rsidRPr="00261B7A">
        <w:rPr>
          <w:i/>
          <w:iCs/>
        </w:rPr>
        <w:t>Settlements</w:t>
      </w:r>
      <w:r w:rsidRPr="00261B7A">
        <w:t xml:space="preserve"> were 122.2 kt CO</w:t>
      </w:r>
      <w:r w:rsidRPr="00261B7A">
        <w:rPr>
          <w:vertAlign w:val="subscript"/>
        </w:rPr>
        <w:t>2</w:t>
      </w:r>
      <w:r w:rsidRPr="00261B7A">
        <w:t xml:space="preserve">-e, an increase of 61.4 per cent from net emissions in 1990 (see table 6.7.1). This change in emissions is mainly from the category of </w:t>
      </w:r>
      <w:r w:rsidRPr="00261B7A">
        <w:rPr>
          <w:i/>
          <w:iCs/>
        </w:rPr>
        <w:t xml:space="preserve">Land converted to settlements </w:t>
      </w:r>
      <w:r w:rsidRPr="00261B7A">
        <w:t xml:space="preserve">and results from the drainage of organic soils. </w:t>
      </w:r>
      <w:r w:rsidRPr="00261B7A">
        <w:rPr>
          <w:i/>
          <w:iCs/>
        </w:rPr>
        <w:t>Settlements</w:t>
      </w:r>
      <w:r w:rsidRPr="00261B7A">
        <w:t xml:space="preserve"> was </w:t>
      </w:r>
      <w:r w:rsidRPr="00261B7A" w:rsidDel="00094862">
        <w:t xml:space="preserve">not </w:t>
      </w:r>
      <w:r w:rsidRPr="00261B7A">
        <w:t>a key category in 2021.</w:t>
      </w:r>
    </w:p>
    <w:p w14:paraId="0EDBA98B" w14:textId="77777777" w:rsidR="0010265C" w:rsidRPr="00261B7A" w:rsidRDefault="0010265C" w:rsidP="0010265C">
      <w:pPr>
        <w:pStyle w:val="Table"/>
      </w:pPr>
      <w:bookmarkStart w:id="2236" w:name="_Toc342470788"/>
      <w:bookmarkStart w:id="2237" w:name="_Toc352505028"/>
      <w:bookmarkStart w:id="2238" w:name="_Toc378853317"/>
      <w:bookmarkStart w:id="2239" w:name="_Toc391024115"/>
      <w:bookmarkStart w:id="2240" w:name="_Toc410028858"/>
      <w:bookmarkStart w:id="2241" w:name="_Toc414531486"/>
      <w:bookmarkStart w:id="2242" w:name="_Toc443645399"/>
      <w:bookmarkStart w:id="2243" w:name="_Toc474914618"/>
      <w:bookmarkStart w:id="2244" w:name="_Toc481751582"/>
      <w:bookmarkStart w:id="2245" w:name="_Toc522010639"/>
      <w:bookmarkStart w:id="2246" w:name="_Toc5269544"/>
      <w:bookmarkStart w:id="2247" w:name="_Toc33529418"/>
      <w:bookmarkStart w:id="2248" w:name="_Toc36224624"/>
      <w:bookmarkStart w:id="2249" w:name="_Toc131591419"/>
      <w:r w:rsidRPr="00261B7A">
        <w:t>Table 6</w:t>
      </w:r>
      <w:r w:rsidRPr="00261B7A" w:rsidDel="006F084B">
        <w:t>.</w:t>
      </w:r>
      <w:r w:rsidRPr="00261B7A">
        <w:t>7.1</w:t>
      </w:r>
      <w:r w:rsidRPr="00261B7A">
        <w:tab/>
        <w:t xml:space="preserve">New Zealand’s land-use change for the </w:t>
      </w:r>
      <w:r w:rsidRPr="00261B7A">
        <w:rPr>
          <w:i/>
        </w:rPr>
        <w:t>Settlements</w:t>
      </w:r>
      <w:r w:rsidRPr="00261B7A">
        <w:t xml:space="preserve"> category, and associated CO</w:t>
      </w:r>
      <w:r w:rsidRPr="00261B7A">
        <w:rPr>
          <w:vertAlign w:val="subscript"/>
        </w:rPr>
        <w:t>2</w:t>
      </w:r>
      <w:r w:rsidRPr="00261B7A">
        <w:noBreakHyphen/>
        <w:t>e emissions</w:t>
      </w:r>
      <w:bookmarkEnd w:id="2236"/>
      <w:bookmarkEnd w:id="2237"/>
      <w:bookmarkEnd w:id="2238"/>
      <w:r w:rsidRPr="00261B7A">
        <w:t>, from 1990 to</w:t>
      </w:r>
      <w:bookmarkEnd w:id="2239"/>
      <w:r w:rsidRPr="00261B7A">
        <w:t> </w:t>
      </w:r>
      <w:bookmarkEnd w:id="2240"/>
      <w:bookmarkEnd w:id="2241"/>
      <w:bookmarkEnd w:id="2242"/>
      <w:bookmarkEnd w:id="2243"/>
      <w:bookmarkEnd w:id="2244"/>
      <w:bookmarkEnd w:id="2245"/>
      <w:bookmarkEnd w:id="2246"/>
      <w:bookmarkEnd w:id="2247"/>
      <w:bookmarkEnd w:id="2248"/>
      <w:r w:rsidRPr="00261B7A">
        <w:t>2021</w:t>
      </w:r>
      <w:bookmarkEnd w:id="2249"/>
    </w:p>
    <w:tbl>
      <w:tblPr>
        <w:tblW w:w="8505" w:type="dxa"/>
        <w:tblLayout w:type="fixed"/>
        <w:tblLook w:val="04A0" w:firstRow="1" w:lastRow="0" w:firstColumn="1" w:lastColumn="0" w:noHBand="0" w:noVBand="1"/>
      </w:tblPr>
      <w:tblGrid>
        <w:gridCol w:w="2964"/>
        <w:gridCol w:w="1136"/>
        <w:gridCol w:w="1136"/>
        <w:gridCol w:w="855"/>
        <w:gridCol w:w="1084"/>
        <w:gridCol w:w="1330"/>
      </w:tblGrid>
      <w:tr w:rsidR="0010265C" w:rsidRPr="00261B7A" w14:paraId="1D737F15" w14:textId="77777777" w:rsidTr="002E6B66">
        <w:trPr>
          <w:trHeight w:val="293"/>
          <w:tblHeader/>
        </w:trPr>
        <w:tc>
          <w:tcPr>
            <w:tcW w:w="2964" w:type="dxa"/>
            <w:vMerge w:val="restart"/>
            <w:tcBorders>
              <w:top w:val="single" w:sz="4" w:space="0" w:color="1B556B" w:themeColor="text2"/>
            </w:tcBorders>
            <w:shd w:val="clear" w:color="auto" w:fill="1B556B" w:themeFill="text2"/>
            <w:vAlign w:val="bottom"/>
          </w:tcPr>
          <w:p w14:paraId="1C03EBC7" w14:textId="77777777" w:rsidR="0010265C" w:rsidRPr="00261B7A" w:rsidRDefault="0010265C" w:rsidP="00D41492">
            <w:pPr>
              <w:pStyle w:val="TableTextBold"/>
              <w:keepNext/>
              <w:spacing w:before="40" w:after="40"/>
              <w:rPr>
                <w:noProof w:val="0"/>
                <w:color w:val="FFFFFF"/>
              </w:rPr>
            </w:pPr>
            <w:r w:rsidRPr="00261B7A">
              <w:rPr>
                <w:noProof w:val="0"/>
                <w:color w:val="FFFFFF"/>
              </w:rPr>
              <w:t>Settlements land use category</w:t>
            </w:r>
          </w:p>
        </w:tc>
        <w:tc>
          <w:tcPr>
            <w:tcW w:w="2272" w:type="dxa"/>
            <w:gridSpan w:val="2"/>
            <w:tcBorders>
              <w:top w:val="single" w:sz="4" w:space="0" w:color="1B556B" w:themeColor="text2"/>
            </w:tcBorders>
            <w:shd w:val="clear" w:color="auto" w:fill="1B556B" w:themeFill="text2"/>
            <w:vAlign w:val="bottom"/>
          </w:tcPr>
          <w:p w14:paraId="5D78E032" w14:textId="77777777" w:rsidR="0010265C" w:rsidRPr="00261B7A" w:rsidRDefault="0010265C" w:rsidP="00D41492">
            <w:pPr>
              <w:pStyle w:val="TableTextBold"/>
              <w:keepNext/>
              <w:spacing w:before="40" w:after="40"/>
              <w:jc w:val="center"/>
              <w:rPr>
                <w:noProof w:val="0"/>
                <w:color w:val="FFFFFF"/>
              </w:rPr>
            </w:pPr>
            <w:r w:rsidRPr="00261B7A">
              <w:rPr>
                <w:noProof w:val="0"/>
                <w:color w:val="FFFFFF"/>
              </w:rPr>
              <w:t>Net area (ha) as at</w:t>
            </w:r>
          </w:p>
        </w:tc>
        <w:tc>
          <w:tcPr>
            <w:tcW w:w="1939" w:type="dxa"/>
            <w:gridSpan w:val="2"/>
            <w:tcBorders>
              <w:top w:val="single" w:sz="4" w:space="0" w:color="1B556B" w:themeColor="text2"/>
            </w:tcBorders>
            <w:shd w:val="clear" w:color="auto" w:fill="1B556B" w:themeFill="text2"/>
            <w:vAlign w:val="bottom"/>
          </w:tcPr>
          <w:p w14:paraId="013DD322" w14:textId="77777777" w:rsidR="0010265C" w:rsidRPr="00261B7A" w:rsidRDefault="0010265C" w:rsidP="00D41492">
            <w:pPr>
              <w:pStyle w:val="TableTextBold"/>
              <w:keepNext/>
              <w:spacing w:before="40" w:after="40"/>
              <w:jc w:val="center"/>
              <w:rPr>
                <w:noProof w:val="0"/>
                <w:color w:val="FFFFFF"/>
              </w:rPr>
            </w:pPr>
            <w:r w:rsidRPr="00261B7A">
              <w:rPr>
                <w:noProof w:val="0"/>
                <w:color w:val="FFFFFF"/>
              </w:rPr>
              <w:t>Net emissions (kt CO</w:t>
            </w:r>
            <w:r w:rsidRPr="00261B7A">
              <w:rPr>
                <w:noProof w:val="0"/>
                <w:color w:val="FFFFFF"/>
                <w:vertAlign w:val="subscript"/>
              </w:rPr>
              <w:t>2</w:t>
            </w:r>
            <w:r w:rsidRPr="00261B7A">
              <w:rPr>
                <w:noProof w:val="0"/>
                <w:color w:val="FFFFFF"/>
              </w:rPr>
              <w:t>-e)</w:t>
            </w:r>
          </w:p>
        </w:tc>
        <w:tc>
          <w:tcPr>
            <w:tcW w:w="1330" w:type="dxa"/>
            <w:vMerge w:val="restart"/>
            <w:tcBorders>
              <w:top w:val="single" w:sz="4" w:space="0" w:color="1B556B" w:themeColor="text2"/>
            </w:tcBorders>
            <w:shd w:val="clear" w:color="auto" w:fill="1B556B" w:themeFill="text2"/>
            <w:vAlign w:val="bottom"/>
          </w:tcPr>
          <w:p w14:paraId="3BD96138" w14:textId="77777777" w:rsidR="0010265C" w:rsidRPr="00261B7A" w:rsidRDefault="0010265C" w:rsidP="00D41492">
            <w:pPr>
              <w:pStyle w:val="TableTextBold"/>
              <w:keepNext/>
              <w:spacing w:before="40" w:after="40"/>
              <w:jc w:val="center"/>
              <w:rPr>
                <w:noProof w:val="0"/>
                <w:color w:val="FFFFFF"/>
              </w:rPr>
            </w:pPr>
            <w:r w:rsidRPr="00261B7A">
              <w:rPr>
                <w:noProof w:val="0"/>
                <w:color w:val="FFFFFF"/>
              </w:rPr>
              <w:t>Change from 1990 (%)</w:t>
            </w:r>
          </w:p>
        </w:tc>
      </w:tr>
      <w:tr w:rsidR="0010265C" w:rsidRPr="00261B7A" w14:paraId="535729BA" w14:textId="77777777" w:rsidTr="002E6B66">
        <w:trPr>
          <w:trHeight w:val="293"/>
          <w:tblHeader/>
        </w:trPr>
        <w:tc>
          <w:tcPr>
            <w:tcW w:w="2964" w:type="dxa"/>
            <w:vMerge/>
          </w:tcPr>
          <w:p w14:paraId="72DF107B" w14:textId="77777777" w:rsidR="0010265C" w:rsidRPr="00261B7A" w:rsidRDefault="0010265C" w:rsidP="00D41492">
            <w:pPr>
              <w:keepNext/>
              <w:keepLines/>
              <w:spacing w:before="40" w:after="40"/>
            </w:pPr>
          </w:p>
        </w:tc>
        <w:tc>
          <w:tcPr>
            <w:tcW w:w="1136" w:type="dxa"/>
            <w:tcBorders>
              <w:bottom w:val="single" w:sz="4" w:space="0" w:color="1B556B" w:themeColor="text2"/>
            </w:tcBorders>
            <w:shd w:val="clear" w:color="auto" w:fill="1B556B" w:themeFill="text2"/>
          </w:tcPr>
          <w:p w14:paraId="7288464D" w14:textId="77777777" w:rsidR="0010265C" w:rsidRPr="00261B7A" w:rsidRDefault="0010265C" w:rsidP="00D41492">
            <w:pPr>
              <w:pStyle w:val="TableTextBold"/>
              <w:keepNext/>
              <w:spacing w:before="40" w:after="40"/>
              <w:jc w:val="right"/>
              <w:rPr>
                <w:noProof w:val="0"/>
                <w:color w:val="FFFFFF"/>
              </w:rPr>
            </w:pPr>
            <w:r w:rsidRPr="00261B7A">
              <w:rPr>
                <w:noProof w:val="0"/>
                <w:color w:val="FFFFFF"/>
              </w:rPr>
              <w:t>1990</w:t>
            </w:r>
          </w:p>
        </w:tc>
        <w:tc>
          <w:tcPr>
            <w:tcW w:w="1136" w:type="dxa"/>
            <w:tcBorders>
              <w:bottom w:val="single" w:sz="4" w:space="0" w:color="1B556B" w:themeColor="text2"/>
            </w:tcBorders>
            <w:shd w:val="clear" w:color="auto" w:fill="1B556B" w:themeFill="text2"/>
          </w:tcPr>
          <w:p w14:paraId="70FDEF7B" w14:textId="77777777" w:rsidR="0010265C" w:rsidRPr="00261B7A" w:rsidRDefault="0010265C" w:rsidP="00D41492">
            <w:pPr>
              <w:pStyle w:val="TableTextBold"/>
              <w:keepNext/>
              <w:spacing w:before="40" w:after="40"/>
              <w:jc w:val="right"/>
              <w:rPr>
                <w:noProof w:val="0"/>
                <w:color w:val="FFFFFF"/>
              </w:rPr>
            </w:pPr>
            <w:r w:rsidRPr="00261B7A">
              <w:rPr>
                <w:noProof w:val="0"/>
                <w:color w:val="FFFFFF" w:themeColor="background1"/>
              </w:rPr>
              <w:t>2021</w:t>
            </w:r>
          </w:p>
        </w:tc>
        <w:tc>
          <w:tcPr>
            <w:tcW w:w="855" w:type="dxa"/>
            <w:tcBorders>
              <w:bottom w:val="single" w:sz="4" w:space="0" w:color="1B556B" w:themeColor="text2"/>
            </w:tcBorders>
            <w:shd w:val="clear" w:color="auto" w:fill="1B556B" w:themeFill="text2"/>
          </w:tcPr>
          <w:p w14:paraId="58D93718" w14:textId="77777777" w:rsidR="0010265C" w:rsidRPr="00261B7A" w:rsidRDefault="0010265C" w:rsidP="00D41492">
            <w:pPr>
              <w:pStyle w:val="TableTextBold"/>
              <w:keepNext/>
              <w:spacing w:before="40" w:after="40"/>
              <w:jc w:val="right"/>
              <w:rPr>
                <w:noProof w:val="0"/>
                <w:color w:val="FFFFFF"/>
              </w:rPr>
            </w:pPr>
            <w:r w:rsidRPr="00261B7A">
              <w:rPr>
                <w:noProof w:val="0"/>
                <w:color w:val="FFFFFF"/>
              </w:rPr>
              <w:t>1990</w:t>
            </w:r>
          </w:p>
        </w:tc>
        <w:tc>
          <w:tcPr>
            <w:tcW w:w="1084" w:type="dxa"/>
            <w:tcBorders>
              <w:bottom w:val="single" w:sz="4" w:space="0" w:color="1B556B" w:themeColor="text2"/>
            </w:tcBorders>
            <w:shd w:val="clear" w:color="auto" w:fill="1B556B" w:themeFill="text2"/>
          </w:tcPr>
          <w:p w14:paraId="202385D6" w14:textId="77777777" w:rsidR="0010265C" w:rsidRPr="00261B7A" w:rsidRDefault="0010265C" w:rsidP="00D41492">
            <w:pPr>
              <w:pStyle w:val="TableTextBold"/>
              <w:keepNext/>
              <w:spacing w:before="40" w:after="40"/>
              <w:jc w:val="right"/>
              <w:rPr>
                <w:noProof w:val="0"/>
                <w:color w:val="FFFFFF"/>
              </w:rPr>
            </w:pPr>
            <w:r w:rsidRPr="00261B7A">
              <w:rPr>
                <w:noProof w:val="0"/>
                <w:color w:val="FFFFFF" w:themeColor="background1"/>
              </w:rPr>
              <w:t>2021</w:t>
            </w:r>
          </w:p>
        </w:tc>
        <w:tc>
          <w:tcPr>
            <w:tcW w:w="1330" w:type="dxa"/>
            <w:vMerge/>
          </w:tcPr>
          <w:p w14:paraId="0DD22EB9" w14:textId="77777777" w:rsidR="0010265C" w:rsidRPr="00261B7A" w:rsidRDefault="0010265C" w:rsidP="00D41492">
            <w:pPr>
              <w:keepNext/>
              <w:keepLines/>
              <w:spacing w:before="40" w:after="40"/>
              <w:jc w:val="right"/>
              <w:rPr>
                <w:rFonts w:ascii="Arial Bold" w:hAnsi="Arial Bold"/>
              </w:rPr>
            </w:pPr>
          </w:p>
        </w:tc>
      </w:tr>
      <w:tr w:rsidR="0010265C" w:rsidRPr="00261B7A" w14:paraId="020B858A" w14:textId="77777777" w:rsidTr="002E6B66">
        <w:trPr>
          <w:trHeight w:val="293"/>
        </w:trPr>
        <w:tc>
          <w:tcPr>
            <w:tcW w:w="2964" w:type="dxa"/>
            <w:tcBorders>
              <w:top w:val="single" w:sz="4" w:space="0" w:color="1B556B" w:themeColor="text2"/>
              <w:bottom w:val="single" w:sz="4" w:space="0" w:color="1B556B" w:themeColor="text2"/>
            </w:tcBorders>
          </w:tcPr>
          <w:p w14:paraId="51E89917" w14:textId="77777777" w:rsidR="0010265C" w:rsidRPr="00261B7A" w:rsidRDefault="0010265C" w:rsidP="00D41492">
            <w:pPr>
              <w:pStyle w:val="TableText"/>
              <w:keepNext/>
              <w:spacing w:before="40" w:after="40"/>
            </w:pPr>
            <w:r w:rsidRPr="00261B7A">
              <w:t>Settlements remaining settlements</w:t>
            </w:r>
          </w:p>
        </w:tc>
        <w:tc>
          <w:tcPr>
            <w:tcW w:w="1136" w:type="dxa"/>
            <w:tcBorders>
              <w:top w:val="single" w:sz="4" w:space="0" w:color="1B556B" w:themeColor="text2"/>
              <w:bottom w:val="single" w:sz="4" w:space="0" w:color="1B556B" w:themeColor="text2"/>
            </w:tcBorders>
            <w:vAlign w:val="center"/>
          </w:tcPr>
          <w:p w14:paraId="6345DCFF" w14:textId="77777777" w:rsidR="0010265C" w:rsidRPr="00261B7A" w:rsidRDefault="0010265C" w:rsidP="00D41492">
            <w:pPr>
              <w:pStyle w:val="TableText"/>
              <w:keepNext/>
              <w:spacing w:before="40" w:after="40"/>
              <w:jc w:val="right"/>
            </w:pPr>
            <w:r w:rsidRPr="00261B7A">
              <w:rPr>
                <w:rFonts w:cs="Calibri"/>
                <w:szCs w:val="16"/>
              </w:rPr>
              <w:t>191,271</w:t>
            </w:r>
          </w:p>
        </w:tc>
        <w:tc>
          <w:tcPr>
            <w:tcW w:w="1136" w:type="dxa"/>
            <w:tcBorders>
              <w:top w:val="single" w:sz="4" w:space="0" w:color="1B556B" w:themeColor="text2"/>
              <w:bottom w:val="single" w:sz="4" w:space="0" w:color="1B556B" w:themeColor="text2"/>
            </w:tcBorders>
            <w:vAlign w:val="center"/>
          </w:tcPr>
          <w:p w14:paraId="0A3C1415" w14:textId="77777777" w:rsidR="0010265C" w:rsidRPr="00261B7A" w:rsidRDefault="0010265C" w:rsidP="00D41492">
            <w:pPr>
              <w:pStyle w:val="TableText"/>
              <w:keepNext/>
              <w:spacing w:before="40" w:after="40"/>
              <w:jc w:val="right"/>
            </w:pPr>
            <w:r w:rsidRPr="00261B7A">
              <w:rPr>
                <w:rFonts w:cs="Calibri"/>
                <w:szCs w:val="16"/>
              </w:rPr>
              <w:t>219,151</w:t>
            </w:r>
          </w:p>
        </w:tc>
        <w:tc>
          <w:tcPr>
            <w:tcW w:w="855" w:type="dxa"/>
            <w:tcBorders>
              <w:top w:val="single" w:sz="4" w:space="0" w:color="1B556B" w:themeColor="text2"/>
              <w:bottom w:val="single" w:sz="4" w:space="0" w:color="1B556B" w:themeColor="text2"/>
            </w:tcBorders>
            <w:vAlign w:val="center"/>
          </w:tcPr>
          <w:p w14:paraId="3DDB1D41" w14:textId="77777777" w:rsidR="0010265C" w:rsidRPr="00261B7A" w:rsidRDefault="0010265C" w:rsidP="00D41492">
            <w:pPr>
              <w:pStyle w:val="TableText"/>
              <w:keepNext/>
              <w:spacing w:before="40" w:after="40"/>
              <w:jc w:val="right"/>
            </w:pPr>
            <w:r w:rsidRPr="00261B7A">
              <w:t>67.2</w:t>
            </w:r>
          </w:p>
        </w:tc>
        <w:tc>
          <w:tcPr>
            <w:tcW w:w="1084" w:type="dxa"/>
            <w:tcBorders>
              <w:top w:val="single" w:sz="4" w:space="0" w:color="1B556B" w:themeColor="text2"/>
              <w:bottom w:val="single" w:sz="4" w:space="0" w:color="1B556B" w:themeColor="text2"/>
            </w:tcBorders>
            <w:vAlign w:val="center"/>
          </w:tcPr>
          <w:p w14:paraId="19FE2639" w14:textId="77777777" w:rsidR="0010265C" w:rsidRPr="00261B7A" w:rsidRDefault="0010265C" w:rsidP="00D41492">
            <w:pPr>
              <w:pStyle w:val="TableText"/>
              <w:keepNext/>
              <w:spacing w:before="40" w:after="40"/>
              <w:jc w:val="right"/>
            </w:pPr>
            <w:r w:rsidRPr="00261B7A">
              <w:rPr>
                <w:rFonts w:cs="Calibri"/>
                <w:szCs w:val="16"/>
              </w:rPr>
              <w:t>77.4</w:t>
            </w:r>
          </w:p>
        </w:tc>
        <w:tc>
          <w:tcPr>
            <w:tcW w:w="1330" w:type="dxa"/>
            <w:tcBorders>
              <w:top w:val="single" w:sz="4" w:space="0" w:color="1B556B" w:themeColor="text2"/>
              <w:bottom w:val="single" w:sz="4" w:space="0" w:color="1B556B" w:themeColor="text2"/>
            </w:tcBorders>
            <w:vAlign w:val="center"/>
          </w:tcPr>
          <w:p w14:paraId="460D29DB" w14:textId="77777777" w:rsidR="0010265C" w:rsidRPr="00261B7A" w:rsidRDefault="0010265C" w:rsidP="00D41492">
            <w:pPr>
              <w:pStyle w:val="TableText"/>
              <w:keepNext/>
              <w:spacing w:before="40" w:after="40"/>
              <w:jc w:val="right"/>
            </w:pPr>
            <w:r w:rsidRPr="00261B7A">
              <w:rPr>
                <w:rFonts w:cs="Calibri"/>
                <w:szCs w:val="16"/>
              </w:rPr>
              <w:t>15.2</w:t>
            </w:r>
          </w:p>
        </w:tc>
      </w:tr>
      <w:tr w:rsidR="0010265C" w:rsidRPr="00261B7A" w14:paraId="0E73D435" w14:textId="77777777" w:rsidTr="002E6B66">
        <w:trPr>
          <w:trHeight w:val="293"/>
        </w:trPr>
        <w:tc>
          <w:tcPr>
            <w:tcW w:w="2964" w:type="dxa"/>
            <w:tcBorders>
              <w:top w:val="single" w:sz="4" w:space="0" w:color="1B556B" w:themeColor="text2"/>
              <w:bottom w:val="single" w:sz="4" w:space="0" w:color="1B556B" w:themeColor="text2"/>
            </w:tcBorders>
          </w:tcPr>
          <w:p w14:paraId="0F0E9D7B" w14:textId="77777777" w:rsidR="0010265C" w:rsidRPr="00261B7A" w:rsidRDefault="0010265C" w:rsidP="00D41492">
            <w:pPr>
              <w:pStyle w:val="TableText"/>
              <w:spacing w:before="40" w:after="40"/>
            </w:pPr>
            <w:r w:rsidRPr="00261B7A">
              <w:t>Land converted to settlements</w:t>
            </w:r>
          </w:p>
        </w:tc>
        <w:tc>
          <w:tcPr>
            <w:tcW w:w="1136" w:type="dxa"/>
            <w:tcBorders>
              <w:top w:val="single" w:sz="4" w:space="0" w:color="1B556B" w:themeColor="text2"/>
              <w:bottom w:val="single" w:sz="4" w:space="0" w:color="1B556B" w:themeColor="text2"/>
            </w:tcBorders>
            <w:vAlign w:val="center"/>
          </w:tcPr>
          <w:p w14:paraId="3EBC40D1" w14:textId="77777777" w:rsidR="0010265C" w:rsidRPr="00261B7A" w:rsidRDefault="0010265C" w:rsidP="00D41492">
            <w:pPr>
              <w:pStyle w:val="TableText"/>
              <w:spacing w:before="40" w:after="40"/>
              <w:jc w:val="right"/>
            </w:pPr>
            <w:r w:rsidRPr="00261B7A">
              <w:t>16,624</w:t>
            </w:r>
          </w:p>
        </w:tc>
        <w:tc>
          <w:tcPr>
            <w:tcW w:w="1136" w:type="dxa"/>
            <w:tcBorders>
              <w:top w:val="single" w:sz="4" w:space="0" w:color="1B556B" w:themeColor="text2"/>
              <w:bottom w:val="single" w:sz="4" w:space="0" w:color="1B556B" w:themeColor="text2"/>
            </w:tcBorders>
            <w:vAlign w:val="center"/>
          </w:tcPr>
          <w:p w14:paraId="570F6731" w14:textId="77777777" w:rsidR="0010265C" w:rsidRPr="00261B7A" w:rsidRDefault="0010265C" w:rsidP="00D41492">
            <w:pPr>
              <w:pStyle w:val="TableText"/>
              <w:spacing w:before="40" w:after="40"/>
              <w:jc w:val="right"/>
            </w:pPr>
            <w:r w:rsidRPr="00261B7A">
              <w:rPr>
                <w:rFonts w:cs="Calibri"/>
                <w:szCs w:val="16"/>
              </w:rPr>
              <w:t>19,092</w:t>
            </w:r>
          </w:p>
        </w:tc>
        <w:tc>
          <w:tcPr>
            <w:tcW w:w="855" w:type="dxa"/>
            <w:tcBorders>
              <w:top w:val="single" w:sz="4" w:space="0" w:color="1B556B" w:themeColor="text2"/>
              <w:bottom w:val="single" w:sz="4" w:space="0" w:color="1B556B" w:themeColor="text2"/>
            </w:tcBorders>
            <w:vAlign w:val="center"/>
          </w:tcPr>
          <w:p w14:paraId="04F6B7C5" w14:textId="77777777" w:rsidR="0010265C" w:rsidRPr="00261B7A" w:rsidRDefault="0010265C" w:rsidP="00D41492">
            <w:pPr>
              <w:pStyle w:val="TableText"/>
              <w:spacing w:before="40" w:after="40"/>
              <w:jc w:val="right"/>
            </w:pPr>
            <w:r w:rsidRPr="00261B7A">
              <w:rPr>
                <w:rFonts w:cs="Calibri"/>
                <w:szCs w:val="16"/>
              </w:rPr>
              <w:t xml:space="preserve">8.5 </w:t>
            </w:r>
          </w:p>
        </w:tc>
        <w:tc>
          <w:tcPr>
            <w:tcW w:w="1084" w:type="dxa"/>
            <w:tcBorders>
              <w:top w:val="single" w:sz="4" w:space="0" w:color="1B556B" w:themeColor="text2"/>
              <w:bottom w:val="single" w:sz="4" w:space="0" w:color="1B556B" w:themeColor="text2"/>
            </w:tcBorders>
            <w:vAlign w:val="center"/>
          </w:tcPr>
          <w:p w14:paraId="07F4A270" w14:textId="77777777" w:rsidR="0010265C" w:rsidRPr="00261B7A" w:rsidRDefault="0010265C" w:rsidP="00D41492">
            <w:pPr>
              <w:pStyle w:val="TableText"/>
              <w:spacing w:before="40" w:after="40"/>
              <w:jc w:val="right"/>
            </w:pPr>
            <w:r w:rsidRPr="00261B7A">
              <w:rPr>
                <w:rFonts w:cs="Calibri"/>
                <w:szCs w:val="16"/>
              </w:rPr>
              <w:t xml:space="preserve">44.8 </w:t>
            </w:r>
          </w:p>
        </w:tc>
        <w:tc>
          <w:tcPr>
            <w:tcW w:w="1330" w:type="dxa"/>
            <w:tcBorders>
              <w:top w:val="single" w:sz="4" w:space="0" w:color="1B556B" w:themeColor="text2"/>
              <w:bottom w:val="single" w:sz="4" w:space="0" w:color="1B556B" w:themeColor="text2"/>
            </w:tcBorders>
            <w:vAlign w:val="center"/>
          </w:tcPr>
          <w:p w14:paraId="4F085A0F" w14:textId="77777777" w:rsidR="0010265C" w:rsidRPr="00261B7A" w:rsidRDefault="0010265C" w:rsidP="00D41492">
            <w:pPr>
              <w:pStyle w:val="TableText"/>
              <w:spacing w:before="40" w:after="40"/>
              <w:jc w:val="right"/>
            </w:pPr>
            <w:r w:rsidRPr="00261B7A">
              <w:rPr>
                <w:rFonts w:cs="Calibri"/>
                <w:szCs w:val="16"/>
              </w:rPr>
              <w:t>425.3</w:t>
            </w:r>
          </w:p>
        </w:tc>
      </w:tr>
      <w:tr w:rsidR="0010265C" w:rsidRPr="00261B7A" w14:paraId="28751254" w14:textId="77777777" w:rsidTr="002E6B66">
        <w:trPr>
          <w:trHeight w:val="293"/>
        </w:trPr>
        <w:tc>
          <w:tcPr>
            <w:tcW w:w="2964" w:type="dxa"/>
            <w:tcBorders>
              <w:top w:val="single" w:sz="4" w:space="0" w:color="1B556B" w:themeColor="text2"/>
              <w:bottom w:val="single" w:sz="4" w:space="0" w:color="1B556B" w:themeColor="text2"/>
            </w:tcBorders>
          </w:tcPr>
          <w:p w14:paraId="0CA0B82B" w14:textId="77777777" w:rsidR="0010265C" w:rsidRPr="00261B7A" w:rsidRDefault="0010265C" w:rsidP="00D41492">
            <w:pPr>
              <w:pStyle w:val="Tableboldblue"/>
              <w:spacing w:before="40" w:after="40"/>
              <w:jc w:val="right"/>
            </w:pPr>
            <w:r w:rsidRPr="00261B7A">
              <w:t>Total</w:t>
            </w:r>
          </w:p>
        </w:tc>
        <w:tc>
          <w:tcPr>
            <w:tcW w:w="1136" w:type="dxa"/>
            <w:tcBorders>
              <w:top w:val="single" w:sz="4" w:space="0" w:color="1B556B" w:themeColor="text2"/>
              <w:bottom w:val="single" w:sz="4" w:space="0" w:color="1B556B" w:themeColor="text2"/>
            </w:tcBorders>
          </w:tcPr>
          <w:p w14:paraId="0CC604F8" w14:textId="77777777" w:rsidR="0010265C" w:rsidRPr="00261B7A" w:rsidRDefault="0010265C" w:rsidP="00D41492">
            <w:pPr>
              <w:pStyle w:val="Tableboldblue"/>
              <w:spacing w:before="40" w:after="40"/>
              <w:jc w:val="right"/>
              <w:rPr>
                <w:color w:val="44546A"/>
              </w:rPr>
            </w:pPr>
            <w:r w:rsidRPr="00261B7A">
              <w:rPr>
                <w:rFonts w:cs="Calibri"/>
                <w:szCs w:val="16"/>
              </w:rPr>
              <w:t>207,895</w:t>
            </w:r>
          </w:p>
        </w:tc>
        <w:tc>
          <w:tcPr>
            <w:tcW w:w="1136" w:type="dxa"/>
            <w:tcBorders>
              <w:top w:val="single" w:sz="4" w:space="0" w:color="1B556B" w:themeColor="text2"/>
              <w:bottom w:val="single" w:sz="4" w:space="0" w:color="1B556B" w:themeColor="text2"/>
            </w:tcBorders>
          </w:tcPr>
          <w:p w14:paraId="23B94C2D" w14:textId="77777777" w:rsidR="0010265C" w:rsidRPr="00261B7A" w:rsidRDefault="0010265C" w:rsidP="00D41492">
            <w:pPr>
              <w:pStyle w:val="Tableboldblue"/>
              <w:spacing w:before="40" w:after="40"/>
              <w:jc w:val="right"/>
              <w:rPr>
                <w:color w:val="44546A"/>
              </w:rPr>
            </w:pPr>
            <w:r w:rsidRPr="00261B7A">
              <w:rPr>
                <w:rFonts w:cs="Calibri"/>
                <w:szCs w:val="16"/>
              </w:rPr>
              <w:t>238,242</w:t>
            </w:r>
          </w:p>
        </w:tc>
        <w:tc>
          <w:tcPr>
            <w:tcW w:w="855" w:type="dxa"/>
            <w:tcBorders>
              <w:top w:val="single" w:sz="4" w:space="0" w:color="1B556B" w:themeColor="text2"/>
              <w:bottom w:val="single" w:sz="4" w:space="0" w:color="1B556B" w:themeColor="text2"/>
            </w:tcBorders>
            <w:vAlign w:val="center"/>
          </w:tcPr>
          <w:p w14:paraId="16AC2906" w14:textId="77777777" w:rsidR="0010265C" w:rsidRPr="00261B7A" w:rsidRDefault="0010265C" w:rsidP="00D41492">
            <w:pPr>
              <w:pStyle w:val="Tableboldblue"/>
              <w:spacing w:before="40" w:after="40"/>
              <w:jc w:val="right"/>
              <w:rPr>
                <w:color w:val="44546A"/>
              </w:rPr>
            </w:pPr>
            <w:r w:rsidRPr="00261B7A">
              <w:rPr>
                <w:rFonts w:cs="Calibri"/>
                <w:szCs w:val="16"/>
              </w:rPr>
              <w:t xml:space="preserve">75.7 </w:t>
            </w:r>
          </w:p>
        </w:tc>
        <w:tc>
          <w:tcPr>
            <w:tcW w:w="1084" w:type="dxa"/>
            <w:tcBorders>
              <w:top w:val="single" w:sz="4" w:space="0" w:color="1B556B" w:themeColor="text2"/>
              <w:bottom w:val="single" w:sz="4" w:space="0" w:color="1B556B" w:themeColor="text2"/>
            </w:tcBorders>
            <w:vAlign w:val="center"/>
          </w:tcPr>
          <w:p w14:paraId="65AE9A60" w14:textId="77777777" w:rsidR="0010265C" w:rsidRPr="00261B7A" w:rsidRDefault="0010265C" w:rsidP="00D41492">
            <w:pPr>
              <w:pStyle w:val="Tableboldblue"/>
              <w:spacing w:before="40" w:after="40"/>
              <w:jc w:val="right"/>
              <w:rPr>
                <w:color w:val="44546A"/>
              </w:rPr>
            </w:pPr>
            <w:r w:rsidRPr="00261B7A">
              <w:rPr>
                <w:rFonts w:cs="Calibri"/>
                <w:szCs w:val="16"/>
              </w:rPr>
              <w:t xml:space="preserve">122.2 </w:t>
            </w:r>
          </w:p>
        </w:tc>
        <w:tc>
          <w:tcPr>
            <w:tcW w:w="1330" w:type="dxa"/>
            <w:tcBorders>
              <w:top w:val="single" w:sz="4" w:space="0" w:color="1B556B" w:themeColor="text2"/>
              <w:bottom w:val="single" w:sz="4" w:space="0" w:color="1B556B" w:themeColor="text2"/>
            </w:tcBorders>
            <w:vAlign w:val="center"/>
          </w:tcPr>
          <w:p w14:paraId="766554D9" w14:textId="77777777" w:rsidR="0010265C" w:rsidRPr="00261B7A" w:rsidRDefault="0010265C" w:rsidP="00D41492">
            <w:pPr>
              <w:pStyle w:val="Tableboldblue"/>
              <w:spacing w:before="40" w:after="40"/>
              <w:jc w:val="right"/>
              <w:rPr>
                <w:color w:val="44546A"/>
              </w:rPr>
            </w:pPr>
            <w:r w:rsidRPr="00261B7A">
              <w:rPr>
                <w:rFonts w:cs="Calibri"/>
                <w:szCs w:val="16"/>
              </w:rPr>
              <w:t>61.4</w:t>
            </w:r>
          </w:p>
        </w:tc>
      </w:tr>
    </w:tbl>
    <w:p w14:paraId="2E4CDFFB" w14:textId="77777777" w:rsidR="0010265C" w:rsidRPr="00261B7A" w:rsidRDefault="0010265C" w:rsidP="0010265C">
      <w:pPr>
        <w:pStyle w:val="Noteundertable"/>
      </w:pPr>
      <w:r w:rsidRPr="00261B7A">
        <w:rPr>
          <w:b/>
        </w:rPr>
        <w:t>Note:</w:t>
      </w:r>
      <w:r w:rsidRPr="00261B7A">
        <w:tab/>
        <w:t xml:space="preserve">Net area at 1990 is as of 1 January 1990; net area at 2021 is as of 31 December 2021. </w:t>
      </w:r>
      <w:r w:rsidRPr="00261B7A">
        <w:rPr>
          <w:i/>
        </w:rPr>
        <w:t>Land converted to settlements</w:t>
      </w:r>
      <w:r w:rsidRPr="00261B7A">
        <w:t xml:space="preserve"> includes land converted up to 20 years earlier. Net emission values are for the whole year indicated. Columns may not total due to rounding. </w:t>
      </w:r>
    </w:p>
    <w:p w14:paraId="56397441" w14:textId="77777777" w:rsidR="0010265C" w:rsidRPr="00261B7A" w:rsidRDefault="0010265C" w:rsidP="0010265C">
      <w:pPr>
        <w:pStyle w:val="BodyText"/>
      </w:pPr>
      <w:r w:rsidRPr="00261B7A">
        <w:t xml:space="preserve">From 1990 to 2021, the net carbon stock change for </w:t>
      </w:r>
      <w:r w:rsidRPr="00261B7A">
        <w:rPr>
          <w:i/>
        </w:rPr>
        <w:t>Settlements</w:t>
      </w:r>
      <w:r w:rsidRPr="00261B7A">
        <w:t xml:space="preserve"> decreased by 1,054.7 kt C, equivalent to emissions of 3,867.2 kt CO</w:t>
      </w:r>
      <w:r w:rsidRPr="00261B7A">
        <w:rPr>
          <w:vertAlign w:val="subscript"/>
        </w:rPr>
        <w:t>2</w:t>
      </w:r>
      <w:r w:rsidRPr="00261B7A">
        <w:t xml:space="preserve"> in total since 1990 (see table 6.7.2). These carbon stock losses are predominantly due to the loss of carbon from organic soils associated with drainage when land is converted to </w:t>
      </w:r>
      <w:r w:rsidRPr="00261B7A">
        <w:rPr>
          <w:i/>
        </w:rPr>
        <w:t>Settlements</w:t>
      </w:r>
      <w:r w:rsidRPr="00261B7A">
        <w:t xml:space="preserve">. </w:t>
      </w:r>
    </w:p>
    <w:p w14:paraId="752DB3CF" w14:textId="77777777" w:rsidR="0010265C" w:rsidRPr="00261B7A" w:rsidRDefault="0010265C" w:rsidP="0010265C">
      <w:pPr>
        <w:pStyle w:val="Table"/>
      </w:pPr>
      <w:bookmarkStart w:id="2250" w:name="_Toc352505029"/>
      <w:bookmarkStart w:id="2251" w:name="_Toc342470789"/>
      <w:bookmarkStart w:id="2252" w:name="_Toc378853318"/>
      <w:bookmarkStart w:id="2253" w:name="_Toc391024116"/>
      <w:bookmarkStart w:id="2254" w:name="_Toc410028859"/>
      <w:bookmarkStart w:id="2255" w:name="_Toc414531487"/>
      <w:bookmarkStart w:id="2256" w:name="_Toc443645400"/>
      <w:bookmarkStart w:id="2257" w:name="_Toc474914619"/>
      <w:bookmarkStart w:id="2258" w:name="_Toc481751583"/>
      <w:bookmarkStart w:id="2259" w:name="_Toc522010640"/>
      <w:bookmarkStart w:id="2260" w:name="_Toc5269545"/>
      <w:bookmarkStart w:id="2261" w:name="_Toc33529419"/>
      <w:bookmarkStart w:id="2262" w:name="_Toc36224625"/>
      <w:bookmarkStart w:id="2263" w:name="_Toc131591420"/>
      <w:r w:rsidRPr="00261B7A">
        <w:t>Table 6.7.2</w:t>
      </w:r>
      <w:r w:rsidRPr="00261B7A">
        <w:tab/>
        <w:t xml:space="preserve">New Zealand’s carbon stock change by carbon pool for the </w:t>
      </w:r>
      <w:r w:rsidRPr="00261B7A">
        <w:rPr>
          <w:i/>
        </w:rPr>
        <w:t>Settlements</w:t>
      </w:r>
      <w:r w:rsidRPr="00261B7A">
        <w:t xml:space="preserve"> category</w:t>
      </w:r>
      <w:r w:rsidRPr="00261B7A">
        <w:br/>
        <w:t>from 1990 to</w:t>
      </w:r>
      <w:bookmarkEnd w:id="2250"/>
      <w:bookmarkEnd w:id="2251"/>
      <w:bookmarkEnd w:id="2252"/>
      <w:bookmarkEnd w:id="2253"/>
      <w:r w:rsidRPr="00261B7A">
        <w:t> </w:t>
      </w:r>
      <w:bookmarkEnd w:id="2254"/>
      <w:bookmarkEnd w:id="2255"/>
      <w:bookmarkEnd w:id="2256"/>
      <w:bookmarkEnd w:id="2257"/>
      <w:bookmarkEnd w:id="2258"/>
      <w:bookmarkEnd w:id="2259"/>
      <w:bookmarkEnd w:id="2260"/>
      <w:bookmarkEnd w:id="2261"/>
      <w:bookmarkEnd w:id="2262"/>
      <w:r w:rsidRPr="00261B7A">
        <w:t>2021</w:t>
      </w:r>
      <w:bookmarkEnd w:id="2263"/>
    </w:p>
    <w:tbl>
      <w:tblPr>
        <w:tblW w:w="8505" w:type="dxa"/>
        <w:tblLook w:val="04A0" w:firstRow="1" w:lastRow="0" w:firstColumn="1" w:lastColumn="0" w:noHBand="0" w:noVBand="1"/>
      </w:tblPr>
      <w:tblGrid>
        <w:gridCol w:w="1574"/>
        <w:gridCol w:w="1416"/>
        <w:gridCol w:w="1595"/>
        <w:gridCol w:w="937"/>
        <w:gridCol w:w="1135"/>
        <w:gridCol w:w="1848"/>
      </w:tblGrid>
      <w:tr w:rsidR="0010265C" w:rsidRPr="00261B7A" w14:paraId="158314A3" w14:textId="77777777" w:rsidTr="005D2293">
        <w:trPr>
          <w:trHeight w:val="259"/>
        </w:trPr>
        <w:tc>
          <w:tcPr>
            <w:tcW w:w="1574" w:type="dxa"/>
            <w:vMerge w:val="restart"/>
            <w:tcBorders>
              <w:top w:val="single" w:sz="4" w:space="0" w:color="1B556B"/>
            </w:tcBorders>
            <w:shd w:val="clear" w:color="auto" w:fill="1B556B" w:themeFill="text2"/>
            <w:vAlign w:val="bottom"/>
          </w:tcPr>
          <w:p w14:paraId="7557F000" w14:textId="77777777" w:rsidR="0010265C" w:rsidRPr="00261B7A" w:rsidRDefault="0010265C" w:rsidP="00D41492">
            <w:pPr>
              <w:pStyle w:val="TableTextBold"/>
              <w:keepNext/>
              <w:rPr>
                <w:noProof w:val="0"/>
                <w:color w:val="FFFFFF"/>
              </w:rPr>
            </w:pPr>
            <w:r w:rsidRPr="00261B7A">
              <w:rPr>
                <w:noProof w:val="0"/>
                <w:color w:val="FFFFFF"/>
              </w:rPr>
              <w:t>Land use category</w:t>
            </w:r>
          </w:p>
        </w:tc>
        <w:tc>
          <w:tcPr>
            <w:tcW w:w="5083" w:type="dxa"/>
            <w:gridSpan w:val="4"/>
            <w:tcBorders>
              <w:top w:val="single" w:sz="4" w:space="0" w:color="1B556B"/>
            </w:tcBorders>
            <w:shd w:val="clear" w:color="auto" w:fill="1B556B" w:themeFill="text2"/>
            <w:vAlign w:val="bottom"/>
          </w:tcPr>
          <w:p w14:paraId="499F2E1B" w14:textId="77777777" w:rsidR="0010265C" w:rsidRPr="00261B7A" w:rsidRDefault="0010265C" w:rsidP="00D41492">
            <w:pPr>
              <w:pStyle w:val="TableTextBold"/>
              <w:keepNext/>
              <w:jc w:val="center"/>
              <w:rPr>
                <w:noProof w:val="0"/>
                <w:color w:val="FFFFFF"/>
              </w:rPr>
            </w:pPr>
            <w:r w:rsidRPr="00261B7A">
              <w:rPr>
                <w:noProof w:val="0"/>
                <w:color w:val="FFFFFF"/>
              </w:rPr>
              <w:t>Net carbon stock change 1990–2021 (kt C)</w:t>
            </w:r>
          </w:p>
        </w:tc>
        <w:tc>
          <w:tcPr>
            <w:tcW w:w="1848" w:type="dxa"/>
            <w:vMerge w:val="restart"/>
            <w:tcBorders>
              <w:top w:val="single" w:sz="4" w:space="0" w:color="1B556B"/>
            </w:tcBorders>
            <w:shd w:val="clear" w:color="auto" w:fill="1B556B" w:themeFill="text2"/>
            <w:vAlign w:val="bottom"/>
          </w:tcPr>
          <w:p w14:paraId="7AB89041" w14:textId="77777777" w:rsidR="0010265C" w:rsidRPr="00261B7A" w:rsidRDefault="0010265C" w:rsidP="00D41492">
            <w:pPr>
              <w:pStyle w:val="TableTextBold"/>
              <w:keepNext/>
              <w:jc w:val="center"/>
              <w:rPr>
                <w:noProof w:val="0"/>
                <w:color w:val="FFFFFF"/>
              </w:rPr>
            </w:pPr>
            <w:r w:rsidRPr="00261B7A">
              <w:rPr>
                <w:noProof w:val="0"/>
                <w:color w:val="FFFFFF"/>
              </w:rPr>
              <w:t>Emissions 1990–2021</w:t>
            </w:r>
            <w:r w:rsidRPr="00261B7A">
              <w:rPr>
                <w:noProof w:val="0"/>
                <w:color w:val="FFFFFF"/>
              </w:rPr>
              <w:br/>
              <w:t>(kt CO</w:t>
            </w:r>
            <w:r w:rsidRPr="00261B7A">
              <w:rPr>
                <w:noProof w:val="0"/>
                <w:color w:val="FFFFFF"/>
                <w:vertAlign w:val="subscript"/>
              </w:rPr>
              <w:t>2</w:t>
            </w:r>
            <w:r w:rsidRPr="00261B7A">
              <w:rPr>
                <w:noProof w:val="0"/>
                <w:color w:val="FFFFFF"/>
              </w:rPr>
              <w:t>)</w:t>
            </w:r>
          </w:p>
        </w:tc>
      </w:tr>
      <w:tr w:rsidR="0010265C" w:rsidRPr="00261B7A" w14:paraId="152FC6DD" w14:textId="77777777" w:rsidTr="005D2293">
        <w:trPr>
          <w:trHeight w:val="259"/>
        </w:trPr>
        <w:tc>
          <w:tcPr>
            <w:tcW w:w="1574" w:type="dxa"/>
            <w:vMerge/>
            <w:tcBorders>
              <w:bottom w:val="single" w:sz="4" w:space="0" w:color="1B556B"/>
            </w:tcBorders>
            <w:shd w:val="clear" w:color="auto" w:fill="1B556B" w:themeFill="text2"/>
          </w:tcPr>
          <w:p w14:paraId="60BB70FA" w14:textId="77777777" w:rsidR="0010265C" w:rsidRPr="00261B7A" w:rsidRDefault="0010265C" w:rsidP="00D41492">
            <w:pPr>
              <w:keepNext/>
              <w:spacing w:before="60" w:after="60"/>
              <w:rPr>
                <w:rFonts w:ascii="Arial Bold" w:hAnsi="Arial Bold"/>
                <w:b/>
              </w:rPr>
            </w:pPr>
          </w:p>
        </w:tc>
        <w:tc>
          <w:tcPr>
            <w:tcW w:w="1416" w:type="dxa"/>
            <w:tcBorders>
              <w:bottom w:val="single" w:sz="4" w:space="0" w:color="1B556B"/>
            </w:tcBorders>
            <w:shd w:val="clear" w:color="auto" w:fill="1B556B" w:themeFill="text2"/>
            <w:vAlign w:val="bottom"/>
          </w:tcPr>
          <w:p w14:paraId="11EA16C4" w14:textId="77777777" w:rsidR="0010265C" w:rsidRPr="00261B7A" w:rsidRDefault="0010265C" w:rsidP="00D41492">
            <w:pPr>
              <w:pStyle w:val="TableTextBold"/>
              <w:jc w:val="center"/>
              <w:rPr>
                <w:noProof w:val="0"/>
                <w:color w:val="FFFFFF"/>
              </w:rPr>
            </w:pPr>
            <w:r w:rsidRPr="00261B7A">
              <w:rPr>
                <w:noProof w:val="0"/>
                <w:color w:val="FFFFFF"/>
              </w:rPr>
              <w:t>Living biomass</w:t>
            </w:r>
          </w:p>
        </w:tc>
        <w:tc>
          <w:tcPr>
            <w:tcW w:w="1595" w:type="dxa"/>
            <w:tcBorders>
              <w:bottom w:val="single" w:sz="4" w:space="0" w:color="1B556B"/>
            </w:tcBorders>
            <w:shd w:val="clear" w:color="auto" w:fill="1B556B" w:themeFill="text2"/>
            <w:vAlign w:val="bottom"/>
          </w:tcPr>
          <w:p w14:paraId="5C781EEA" w14:textId="77777777" w:rsidR="0010265C" w:rsidRPr="00261B7A" w:rsidRDefault="0010265C" w:rsidP="00D41492">
            <w:pPr>
              <w:pStyle w:val="TableTextBold"/>
              <w:jc w:val="center"/>
              <w:rPr>
                <w:noProof w:val="0"/>
                <w:color w:val="FFFFFF"/>
              </w:rPr>
            </w:pPr>
            <w:r w:rsidRPr="00261B7A">
              <w:rPr>
                <w:noProof w:val="0"/>
                <w:color w:val="FFFFFF"/>
              </w:rPr>
              <w:t>Dead organic matter</w:t>
            </w:r>
          </w:p>
        </w:tc>
        <w:tc>
          <w:tcPr>
            <w:tcW w:w="937" w:type="dxa"/>
            <w:tcBorders>
              <w:bottom w:val="single" w:sz="4" w:space="0" w:color="1B556B"/>
            </w:tcBorders>
            <w:shd w:val="clear" w:color="auto" w:fill="1B556B" w:themeFill="text2"/>
            <w:vAlign w:val="bottom"/>
          </w:tcPr>
          <w:p w14:paraId="0746DC51" w14:textId="77777777" w:rsidR="0010265C" w:rsidRPr="00261B7A" w:rsidRDefault="0010265C" w:rsidP="00D41492">
            <w:pPr>
              <w:pStyle w:val="TableTextBold"/>
              <w:jc w:val="center"/>
              <w:rPr>
                <w:noProof w:val="0"/>
                <w:color w:val="FFFFFF"/>
              </w:rPr>
            </w:pPr>
            <w:r w:rsidRPr="00261B7A">
              <w:rPr>
                <w:noProof w:val="0"/>
                <w:color w:val="FFFFFF"/>
              </w:rPr>
              <w:t>Soils</w:t>
            </w:r>
          </w:p>
        </w:tc>
        <w:tc>
          <w:tcPr>
            <w:tcW w:w="1135" w:type="dxa"/>
            <w:tcBorders>
              <w:bottom w:val="single" w:sz="4" w:space="0" w:color="1B556B"/>
            </w:tcBorders>
            <w:shd w:val="clear" w:color="auto" w:fill="1B556B" w:themeFill="text2"/>
            <w:vAlign w:val="bottom"/>
          </w:tcPr>
          <w:p w14:paraId="447EB2B8" w14:textId="77777777" w:rsidR="0010265C" w:rsidRPr="00261B7A" w:rsidRDefault="0010265C" w:rsidP="00D41492">
            <w:pPr>
              <w:pStyle w:val="TableTextBold"/>
              <w:jc w:val="center"/>
              <w:rPr>
                <w:noProof w:val="0"/>
                <w:color w:val="FFFFFF"/>
              </w:rPr>
            </w:pPr>
            <w:r w:rsidRPr="00261B7A">
              <w:rPr>
                <w:noProof w:val="0"/>
                <w:color w:val="FFFFFF"/>
              </w:rPr>
              <w:t>Total</w:t>
            </w:r>
          </w:p>
        </w:tc>
        <w:tc>
          <w:tcPr>
            <w:tcW w:w="1848" w:type="dxa"/>
            <w:vMerge/>
            <w:tcBorders>
              <w:bottom w:val="single" w:sz="4" w:space="0" w:color="1B556B"/>
            </w:tcBorders>
            <w:shd w:val="clear" w:color="auto" w:fill="1B556B" w:themeFill="text2"/>
          </w:tcPr>
          <w:p w14:paraId="4B9B0586" w14:textId="77777777" w:rsidR="0010265C" w:rsidRPr="00261B7A" w:rsidRDefault="0010265C" w:rsidP="00D41492">
            <w:pPr>
              <w:keepNext/>
              <w:spacing w:before="60" w:after="60"/>
              <w:jc w:val="center"/>
              <w:rPr>
                <w:rFonts w:ascii="Arial Bold" w:hAnsi="Arial Bold"/>
                <w:b/>
              </w:rPr>
            </w:pPr>
          </w:p>
        </w:tc>
      </w:tr>
      <w:tr w:rsidR="0010265C" w:rsidRPr="00261B7A" w14:paraId="250DC130" w14:textId="77777777" w:rsidTr="005D2293">
        <w:trPr>
          <w:trHeight w:val="259"/>
        </w:trPr>
        <w:tc>
          <w:tcPr>
            <w:tcW w:w="1574" w:type="dxa"/>
            <w:tcBorders>
              <w:top w:val="single" w:sz="4" w:space="0" w:color="1B556B"/>
              <w:bottom w:val="single" w:sz="4" w:space="0" w:color="1B556B"/>
            </w:tcBorders>
          </w:tcPr>
          <w:p w14:paraId="64ECD650" w14:textId="77777777" w:rsidR="0010265C" w:rsidRPr="00261B7A" w:rsidRDefault="0010265C" w:rsidP="00D41492">
            <w:pPr>
              <w:pStyle w:val="TableText"/>
            </w:pPr>
            <w:r w:rsidRPr="00261B7A">
              <w:t>Settlements</w:t>
            </w:r>
          </w:p>
        </w:tc>
        <w:tc>
          <w:tcPr>
            <w:tcW w:w="1416" w:type="dxa"/>
            <w:tcBorders>
              <w:top w:val="single" w:sz="4" w:space="0" w:color="1B556B"/>
              <w:bottom w:val="single" w:sz="4" w:space="0" w:color="1B556B"/>
            </w:tcBorders>
            <w:vAlign w:val="center"/>
          </w:tcPr>
          <w:p w14:paraId="6CE6A695" w14:textId="77777777" w:rsidR="0010265C" w:rsidRPr="00261B7A" w:rsidRDefault="0010265C" w:rsidP="00D41492">
            <w:pPr>
              <w:pStyle w:val="TableText"/>
              <w:jc w:val="center"/>
            </w:pPr>
            <w:r w:rsidRPr="00261B7A">
              <w:rPr>
                <w:rFonts w:cs="Calibri"/>
                <w:color w:val="000000"/>
                <w:szCs w:val="16"/>
              </w:rPr>
              <w:t>–425.0</w:t>
            </w:r>
          </w:p>
        </w:tc>
        <w:tc>
          <w:tcPr>
            <w:tcW w:w="1595" w:type="dxa"/>
            <w:tcBorders>
              <w:top w:val="single" w:sz="4" w:space="0" w:color="1B556B"/>
              <w:bottom w:val="single" w:sz="4" w:space="0" w:color="1B556B"/>
            </w:tcBorders>
            <w:vAlign w:val="center"/>
          </w:tcPr>
          <w:p w14:paraId="67919511" w14:textId="77777777" w:rsidR="0010265C" w:rsidRPr="00261B7A" w:rsidRDefault="0010265C" w:rsidP="00D41492">
            <w:pPr>
              <w:pStyle w:val="TableText"/>
              <w:jc w:val="center"/>
            </w:pPr>
            <w:r w:rsidRPr="00261B7A">
              <w:rPr>
                <w:rFonts w:cs="Calibri"/>
                <w:color w:val="000000"/>
                <w:szCs w:val="16"/>
              </w:rPr>
              <w:t>–32.2</w:t>
            </w:r>
          </w:p>
        </w:tc>
        <w:tc>
          <w:tcPr>
            <w:tcW w:w="937" w:type="dxa"/>
            <w:tcBorders>
              <w:top w:val="single" w:sz="4" w:space="0" w:color="1B556B"/>
              <w:bottom w:val="single" w:sz="4" w:space="0" w:color="1B556B"/>
            </w:tcBorders>
            <w:vAlign w:val="center"/>
          </w:tcPr>
          <w:p w14:paraId="57109F97" w14:textId="77777777" w:rsidR="0010265C" w:rsidRPr="00261B7A" w:rsidRDefault="0010265C" w:rsidP="00D41492">
            <w:pPr>
              <w:pStyle w:val="TableText"/>
              <w:jc w:val="center"/>
            </w:pPr>
            <w:r w:rsidRPr="00261B7A">
              <w:rPr>
                <w:rFonts w:cs="Calibri"/>
                <w:color w:val="000000"/>
                <w:szCs w:val="16"/>
              </w:rPr>
              <w:t>–597.4</w:t>
            </w:r>
          </w:p>
        </w:tc>
        <w:tc>
          <w:tcPr>
            <w:tcW w:w="1135" w:type="dxa"/>
            <w:tcBorders>
              <w:top w:val="single" w:sz="4" w:space="0" w:color="1B556B"/>
              <w:bottom w:val="single" w:sz="4" w:space="0" w:color="1B556B"/>
            </w:tcBorders>
            <w:vAlign w:val="center"/>
          </w:tcPr>
          <w:p w14:paraId="33C74BB5" w14:textId="77777777" w:rsidR="0010265C" w:rsidRPr="00261B7A" w:rsidRDefault="0010265C" w:rsidP="00D41492">
            <w:pPr>
              <w:pStyle w:val="TableText"/>
              <w:jc w:val="center"/>
            </w:pPr>
            <w:r w:rsidRPr="00261B7A">
              <w:rPr>
                <w:rFonts w:cs="Calibri"/>
                <w:color w:val="000000"/>
                <w:szCs w:val="16"/>
              </w:rPr>
              <w:t>–1,054.7</w:t>
            </w:r>
          </w:p>
        </w:tc>
        <w:tc>
          <w:tcPr>
            <w:tcW w:w="1848" w:type="dxa"/>
            <w:tcBorders>
              <w:top w:val="single" w:sz="4" w:space="0" w:color="1B556B"/>
              <w:bottom w:val="single" w:sz="4" w:space="0" w:color="1B556B"/>
            </w:tcBorders>
            <w:vAlign w:val="center"/>
          </w:tcPr>
          <w:p w14:paraId="7FB02F26" w14:textId="77777777" w:rsidR="0010265C" w:rsidRPr="00261B7A" w:rsidRDefault="0010265C" w:rsidP="00D41492">
            <w:pPr>
              <w:pStyle w:val="TableText"/>
              <w:jc w:val="center"/>
            </w:pPr>
            <w:r w:rsidRPr="00261B7A">
              <w:rPr>
                <w:rFonts w:cs="Calibri"/>
                <w:color w:val="000000"/>
                <w:szCs w:val="16"/>
              </w:rPr>
              <w:t>3,867.2</w:t>
            </w:r>
          </w:p>
        </w:tc>
      </w:tr>
    </w:tbl>
    <w:p w14:paraId="1BB915FF" w14:textId="77777777" w:rsidR="0010265C" w:rsidRPr="00261B7A" w:rsidRDefault="0010265C" w:rsidP="0010265C">
      <w:pPr>
        <w:pStyle w:val="BodyText"/>
        <w:spacing w:before="240"/>
      </w:pPr>
      <w:r w:rsidRPr="00261B7A">
        <w:t xml:space="preserve">The </w:t>
      </w:r>
      <w:r w:rsidRPr="00261B7A">
        <w:rPr>
          <w:i/>
        </w:rPr>
        <w:t>Settlements</w:t>
      </w:r>
      <w:r w:rsidRPr="00261B7A">
        <w:t xml:space="preserve"> land use category, as described in chapter 3.2 of the 2006 IPCC Guidelines, includes “all developed land, including transportation infrastructure and human settlements of any size, unless they are already included under other categories” (IPCC, 2006a, p 3.7). </w:t>
      </w:r>
      <w:r w:rsidRPr="00261B7A">
        <w:rPr>
          <w:i/>
        </w:rPr>
        <w:t>Settlements</w:t>
      </w:r>
      <w:r w:rsidRPr="00261B7A">
        <w:t xml:space="preserve"> include trees grown along streets, in public and private gardens, and in parks associated with urban areas. </w:t>
      </w:r>
    </w:p>
    <w:p w14:paraId="268D9D06" w14:textId="77777777" w:rsidR="0010265C" w:rsidRPr="00261B7A" w:rsidRDefault="0010265C" w:rsidP="0010265C">
      <w:pPr>
        <w:pStyle w:val="BodyText"/>
      </w:pPr>
      <w:r w:rsidRPr="00261B7A">
        <w:t xml:space="preserve">In 2021, there were 238,242 hectares of </w:t>
      </w:r>
      <w:r w:rsidRPr="00261B7A">
        <w:rPr>
          <w:i/>
        </w:rPr>
        <w:t>Settlements</w:t>
      </w:r>
      <w:r w:rsidRPr="00261B7A">
        <w:t xml:space="preserve"> in New Zealand, an increase of 30,347 hectares since 1990. This category comprised 0.9 per cent of New Zealand’s total land area in 2021. The largest area of change to </w:t>
      </w:r>
      <w:r w:rsidRPr="00261B7A">
        <w:rPr>
          <w:i/>
        </w:rPr>
        <w:t>Settlements</w:t>
      </w:r>
      <w:r w:rsidRPr="00261B7A">
        <w:t xml:space="preserve"> between 1990 and 2021 came from high producing grassland, with 24,038 hectares between 1990 and 2021.</w:t>
      </w:r>
    </w:p>
    <w:p w14:paraId="21CDAA4D" w14:textId="77777777" w:rsidR="0010265C" w:rsidRPr="00261B7A" w:rsidRDefault="0010265C" w:rsidP="0010265C">
      <w:pPr>
        <w:pStyle w:val="BodyText"/>
      </w:pPr>
      <w:r w:rsidRPr="00261B7A">
        <w:t xml:space="preserve">The emissions in the </w:t>
      </w:r>
      <w:r w:rsidRPr="00261B7A">
        <w:rPr>
          <w:i/>
        </w:rPr>
        <w:t>Settlements remaining settlements</w:t>
      </w:r>
      <w:r w:rsidRPr="00261B7A">
        <w:t xml:space="preserve"> category are all from anthropogenic drainage of organic soils for establishment of settlements. Carbon in living biomass and dead organic matter for this land use category is estimated as zero but, because zero is not a valid entry for biomass gains in the CRF Reporter, the notation key NA is reported for biomass gains instead. The carbon stock in mineral soil for this land use is assumed to be in steady state, so this is also reported as zero. </w:t>
      </w:r>
    </w:p>
    <w:p w14:paraId="6A0B0B82" w14:textId="77777777" w:rsidR="0010265C" w:rsidRPr="00261B7A" w:rsidRDefault="0010265C" w:rsidP="0010265C">
      <w:pPr>
        <w:pStyle w:val="Heading3"/>
      </w:pPr>
      <w:r w:rsidRPr="00261B7A">
        <w:t>6.7.2</w:t>
      </w:r>
      <w:r w:rsidRPr="00261B7A">
        <w:tab/>
        <w:t>Methodological issues</w:t>
      </w:r>
    </w:p>
    <w:p w14:paraId="44C57BA1" w14:textId="77777777" w:rsidR="0010265C" w:rsidRPr="00261B7A" w:rsidRDefault="0010265C" w:rsidP="0010265C">
      <w:pPr>
        <w:pStyle w:val="Heading4"/>
      </w:pPr>
      <w:r w:rsidRPr="00261B7A">
        <w:t>Settlements remaining settlements (CRF 4.E.1)</w:t>
      </w:r>
    </w:p>
    <w:p w14:paraId="67249D90" w14:textId="77777777" w:rsidR="0010265C" w:rsidRPr="00261B7A" w:rsidRDefault="0010265C" w:rsidP="0010265C">
      <w:pPr>
        <w:pStyle w:val="BodyText"/>
      </w:pPr>
      <w:r w:rsidRPr="00261B7A">
        <w:t xml:space="preserve">New Zealand applies Tier 1 methods for estimating emissions from the </w:t>
      </w:r>
      <w:r w:rsidRPr="00261B7A">
        <w:rPr>
          <w:i/>
        </w:rPr>
        <w:t xml:space="preserve">Settlements remaining settlements </w:t>
      </w:r>
      <w:r w:rsidRPr="00261B7A">
        <w:t>category</w:t>
      </w:r>
      <w:r w:rsidRPr="00261B7A">
        <w:rPr>
          <w:i/>
        </w:rPr>
        <w:t xml:space="preserve">. </w:t>
      </w:r>
      <w:r w:rsidRPr="00261B7A">
        <w:t>The assumptions are that there is no change in carbon stocks for living biomass, dead organic matter or mineral soils.</w:t>
      </w:r>
      <w:r w:rsidRPr="00261B7A" w:rsidDel="00394041">
        <w:t xml:space="preserve"> </w:t>
      </w:r>
      <w:r w:rsidRPr="00261B7A">
        <w:t xml:space="preserve">The Tier 1 method for organic soils conversely assumes emissions are constant if they are drained. Where organic soils occur in this category, they are assumed to be drained. See annex A3.2.4 ‘Organic soils’ for further information on the methods applied to organic soils. </w:t>
      </w:r>
    </w:p>
    <w:p w14:paraId="02BD817F" w14:textId="77777777" w:rsidR="0010265C" w:rsidRPr="00261B7A" w:rsidRDefault="0010265C" w:rsidP="0010265C">
      <w:pPr>
        <w:pStyle w:val="BodyText"/>
      </w:pPr>
      <w:r w:rsidRPr="00261B7A">
        <w:t>Because this is not a key category, New Zealand is not investigating methods to move to a higher tier of reporting for this category.</w:t>
      </w:r>
    </w:p>
    <w:p w14:paraId="3B1D92FE" w14:textId="77777777" w:rsidR="0010265C" w:rsidRPr="00261B7A" w:rsidRDefault="0010265C" w:rsidP="0010265C">
      <w:pPr>
        <w:pStyle w:val="Heading4"/>
      </w:pPr>
      <w:r w:rsidRPr="00261B7A">
        <w:t>Land converted to settlements (CRF 4.E.2)</w:t>
      </w:r>
    </w:p>
    <w:p w14:paraId="789CFA68" w14:textId="77777777" w:rsidR="0010265C" w:rsidRPr="00261B7A" w:rsidRDefault="0010265C" w:rsidP="0010265C">
      <w:pPr>
        <w:pStyle w:val="Heading5"/>
        <w:spacing w:before="160"/>
      </w:pPr>
      <w:r w:rsidRPr="00261B7A">
        <w:t>Living biomass and dead organic matter</w:t>
      </w:r>
    </w:p>
    <w:p w14:paraId="393F5A59" w14:textId="77777777" w:rsidR="0010265C" w:rsidRPr="00261B7A" w:rsidRDefault="0010265C" w:rsidP="0010265C">
      <w:pPr>
        <w:pStyle w:val="BodyText"/>
      </w:pPr>
      <w:r w:rsidRPr="00261B7A">
        <w:t xml:space="preserve">New Zealand has applied a Tier 1 method for estimating carbon stock change with land conversion to </w:t>
      </w:r>
      <w:r w:rsidRPr="00261B7A">
        <w:rPr>
          <w:i/>
        </w:rPr>
        <w:t>Settlements</w:t>
      </w:r>
      <w:r w:rsidRPr="00261B7A">
        <w:t xml:space="preserve"> (equation 2.16, IPCC, 2006a). This is the same as that used for other areas of land use conversion (e.g., </w:t>
      </w:r>
      <w:r w:rsidRPr="00261B7A">
        <w:rPr>
          <w:i/>
        </w:rPr>
        <w:t>Land converted to cropland</w:t>
      </w:r>
      <w:r w:rsidRPr="00261B7A">
        <w:t>). The default assumptions for a Tier 1 estimate are that all living biomass and dead organic matter present before conversion are lost in the same year as the conversion took place. Furthermore, carbon stocks in living biomass and dead organic matter following conversion are equal to zero (sections 8.3.1 and 8.3.2, IPCC, 2006a).</w:t>
      </w:r>
    </w:p>
    <w:p w14:paraId="4E79D7D5" w14:textId="77777777" w:rsidR="0010265C" w:rsidRPr="00261B7A" w:rsidRDefault="0010265C" w:rsidP="0010265C">
      <w:pPr>
        <w:pStyle w:val="Heading5"/>
        <w:spacing w:before="200"/>
      </w:pPr>
      <w:r w:rsidRPr="00261B7A">
        <w:t>Soil organic carbon</w:t>
      </w:r>
    </w:p>
    <w:p w14:paraId="3359D581" w14:textId="77777777" w:rsidR="0010265C" w:rsidRPr="00261B7A" w:rsidRDefault="0010265C" w:rsidP="0010265C">
      <w:pPr>
        <w:pStyle w:val="BodyText"/>
      </w:pPr>
      <w:r w:rsidRPr="00261B7A">
        <w:t xml:space="preserve">Soil organic carbon stocks in mineral soil for </w:t>
      </w:r>
      <w:r w:rsidRPr="00261B7A">
        <w:rPr>
          <w:i/>
        </w:rPr>
        <w:t>Land converted to settlements</w:t>
      </w:r>
      <w:r w:rsidRPr="00261B7A">
        <w:t xml:space="preserve"> are estimated using a Tier 2 method (see annex A3.2.4 ‘Mineral soils’). For organic soils, loss of soil carbon is estimated using the Tier 1 method applied to </w:t>
      </w:r>
      <w:r w:rsidRPr="00261B7A">
        <w:rPr>
          <w:i/>
        </w:rPr>
        <w:t>Settlements remaining settlements</w:t>
      </w:r>
      <w:r w:rsidRPr="00261B7A">
        <w:t xml:space="preserve">. </w:t>
      </w:r>
    </w:p>
    <w:p w14:paraId="18608883" w14:textId="77777777" w:rsidR="0010265C" w:rsidRPr="00261B7A" w:rsidRDefault="0010265C" w:rsidP="0010265C">
      <w:pPr>
        <w:pStyle w:val="Heading3"/>
      </w:pPr>
      <w:r w:rsidRPr="00261B7A">
        <w:t>6.7.3</w:t>
      </w:r>
      <w:r w:rsidRPr="00261B7A">
        <w:tab/>
        <w:t>Uncertainties and time-series consistency</w:t>
      </w:r>
    </w:p>
    <w:p w14:paraId="4A61CA7A" w14:textId="77777777" w:rsidR="0010265C" w:rsidRPr="00261B7A" w:rsidRDefault="0010265C" w:rsidP="0010265C">
      <w:pPr>
        <w:pStyle w:val="BodyText"/>
        <w:rPr>
          <w:rFonts w:ascii="Segoe UI" w:hAnsi="Segoe UI" w:cs="Segoe UI"/>
        </w:rPr>
      </w:pPr>
      <w:r w:rsidRPr="00261B7A">
        <w:t xml:space="preserve">The uncertainty in net carbon emissions from </w:t>
      </w:r>
      <w:r w:rsidRPr="00261B7A">
        <w:rPr>
          <w:i/>
          <w:iCs/>
        </w:rPr>
        <w:t>Settlements</w:t>
      </w:r>
      <w:r w:rsidRPr="00261B7A">
        <w:t xml:space="preserve"> was 63.4 per cent in 2021. The uncertainty in net carbon emissions from </w:t>
      </w:r>
      <w:r w:rsidRPr="00261B7A">
        <w:rPr>
          <w:i/>
        </w:rPr>
        <w:t>Settlements</w:t>
      </w:r>
      <w:r w:rsidRPr="00261B7A">
        <w:t xml:space="preserve"> accounted for 0.4 per cent of the total uncertainty in emissions from the LULUCF sector. The methods used to calculate the uncertainty are further described in annex A3.2.8. </w:t>
      </w:r>
    </w:p>
    <w:p w14:paraId="24A18FB3" w14:textId="77777777" w:rsidR="0010265C" w:rsidRPr="00261B7A" w:rsidRDefault="0010265C" w:rsidP="0010265C">
      <w:pPr>
        <w:pStyle w:val="BodyText"/>
      </w:pPr>
      <w:r w:rsidRPr="00261B7A">
        <w:t>Time-series consistency is ensured by applying consistent methods and full recalculations in the event of any refinement or improvement to methodology.</w:t>
      </w:r>
    </w:p>
    <w:p w14:paraId="651296A6" w14:textId="77777777" w:rsidR="0010265C" w:rsidRPr="00261B7A" w:rsidRDefault="0010265C" w:rsidP="0010265C">
      <w:pPr>
        <w:pStyle w:val="Heading3"/>
      </w:pPr>
      <w:r w:rsidRPr="00261B7A" w:rsidDel="00CB15DE">
        <w:t>6.</w:t>
      </w:r>
      <w:r w:rsidRPr="00261B7A">
        <w:t>7.4</w:t>
      </w:r>
      <w:r w:rsidRPr="00261B7A">
        <w:tab/>
        <w:t>Category-specific QA/QC and verification</w:t>
      </w:r>
    </w:p>
    <w:p w14:paraId="152A493B" w14:textId="77777777" w:rsidR="0010265C" w:rsidRPr="00261B7A" w:rsidRDefault="0010265C" w:rsidP="0010265C">
      <w:pPr>
        <w:pStyle w:val="BodyText"/>
      </w:pPr>
      <w:r w:rsidRPr="00261B7A">
        <w:t>In the preparation of this inventory, the activity data for these emissions underwent Tier 1 quality checks.</w:t>
      </w:r>
    </w:p>
    <w:p w14:paraId="124817A1" w14:textId="77777777" w:rsidR="0010265C" w:rsidRPr="00261B7A" w:rsidRDefault="0010265C" w:rsidP="0010265C">
      <w:pPr>
        <w:pStyle w:val="Heading3"/>
      </w:pPr>
      <w:r w:rsidRPr="00261B7A">
        <w:t>6.7.5</w:t>
      </w:r>
      <w:r w:rsidRPr="00261B7A">
        <w:tab/>
        <w:t>Category-specific recalculations</w:t>
      </w:r>
    </w:p>
    <w:p w14:paraId="72BF41FE" w14:textId="77777777" w:rsidR="0010265C" w:rsidRPr="00261B7A" w:rsidRDefault="0010265C" w:rsidP="0010265C">
      <w:pPr>
        <w:pStyle w:val="BodyText"/>
      </w:pPr>
      <w:r w:rsidRPr="00261B7A">
        <w:t xml:space="preserve">Recalculations were carried out for this category (see table 6.7.3). Recalculations in the </w:t>
      </w:r>
      <w:r w:rsidRPr="00261B7A">
        <w:rPr>
          <w:i/>
        </w:rPr>
        <w:t>Settlements</w:t>
      </w:r>
      <w:r w:rsidRPr="00261B7A">
        <w:t xml:space="preserve"> category are largely due to emissions associated with small mapping changes to the areas of deforestation that have been converted to </w:t>
      </w:r>
      <w:r w:rsidRPr="00261B7A">
        <w:rPr>
          <w:i/>
        </w:rPr>
        <w:t>Settlements</w:t>
      </w:r>
      <w:r w:rsidRPr="00261B7A">
        <w:t xml:space="preserve">. </w:t>
      </w:r>
    </w:p>
    <w:p w14:paraId="2E53AA8E" w14:textId="77777777" w:rsidR="0010265C" w:rsidRPr="00261B7A" w:rsidRDefault="0010265C" w:rsidP="0010265C">
      <w:pPr>
        <w:pStyle w:val="Table"/>
      </w:pPr>
      <w:bookmarkStart w:id="2264" w:name="_Toc342470792"/>
      <w:bookmarkStart w:id="2265" w:name="_Toc352505032"/>
      <w:bookmarkStart w:id="2266" w:name="_Toc378853321"/>
      <w:bookmarkStart w:id="2267" w:name="_Toc391024119"/>
      <w:bookmarkStart w:id="2268" w:name="_Toc410028861"/>
      <w:bookmarkStart w:id="2269" w:name="_Toc414531489"/>
      <w:bookmarkStart w:id="2270" w:name="_Toc443645402"/>
      <w:bookmarkStart w:id="2271" w:name="_Toc474914621"/>
      <w:bookmarkStart w:id="2272" w:name="_Toc481751585"/>
      <w:bookmarkStart w:id="2273" w:name="_Toc522010642"/>
      <w:bookmarkStart w:id="2274" w:name="_Toc5269547"/>
      <w:bookmarkStart w:id="2275" w:name="_Toc33529421"/>
      <w:bookmarkStart w:id="2276" w:name="_Toc36224627"/>
      <w:bookmarkStart w:id="2277" w:name="_Toc131591421"/>
      <w:r w:rsidRPr="00261B7A">
        <w:t>Table 6.7.3</w:t>
      </w:r>
      <w:r w:rsidRPr="00261B7A">
        <w:tab/>
        <w:t xml:space="preserve">Recalculations for New Zealand’s net emissions from the </w:t>
      </w:r>
      <w:r w:rsidRPr="00261B7A">
        <w:rPr>
          <w:i/>
        </w:rPr>
        <w:t>Settlements</w:t>
      </w:r>
      <w:r w:rsidRPr="00261B7A">
        <w:t xml:space="preserve"> category in 1990 and</w:t>
      </w:r>
      <w:bookmarkEnd w:id="2264"/>
      <w:bookmarkEnd w:id="2265"/>
      <w:bookmarkEnd w:id="2266"/>
      <w:bookmarkEnd w:id="2267"/>
      <w:r w:rsidRPr="00261B7A">
        <w:t> </w:t>
      </w:r>
      <w:bookmarkEnd w:id="2268"/>
      <w:bookmarkEnd w:id="2269"/>
      <w:bookmarkEnd w:id="2270"/>
      <w:bookmarkEnd w:id="2271"/>
      <w:bookmarkEnd w:id="2272"/>
      <w:bookmarkEnd w:id="2273"/>
      <w:bookmarkEnd w:id="2274"/>
      <w:bookmarkEnd w:id="2275"/>
      <w:bookmarkEnd w:id="2276"/>
      <w:r w:rsidRPr="00261B7A">
        <w:t>2020</w:t>
      </w:r>
      <w:bookmarkEnd w:id="2277"/>
    </w:p>
    <w:tbl>
      <w:tblPr>
        <w:tblW w:w="8505" w:type="dxa"/>
        <w:tblLayout w:type="fixed"/>
        <w:tblLook w:val="04A0" w:firstRow="1" w:lastRow="0" w:firstColumn="1" w:lastColumn="0" w:noHBand="0" w:noVBand="1"/>
      </w:tblPr>
      <w:tblGrid>
        <w:gridCol w:w="1111"/>
        <w:gridCol w:w="1848"/>
        <w:gridCol w:w="1849"/>
        <w:gridCol w:w="1848"/>
        <w:gridCol w:w="1849"/>
      </w:tblGrid>
      <w:tr w:rsidR="0010265C" w:rsidRPr="00261B7A" w14:paraId="773035FB" w14:textId="77777777" w:rsidTr="005D2293">
        <w:trPr>
          <w:trHeight w:val="258"/>
        </w:trPr>
        <w:tc>
          <w:tcPr>
            <w:tcW w:w="1111" w:type="dxa"/>
            <w:vMerge w:val="restart"/>
            <w:tcBorders>
              <w:top w:val="single" w:sz="4" w:space="0" w:color="1B556B"/>
            </w:tcBorders>
            <w:shd w:val="clear" w:color="auto" w:fill="1B556B" w:themeFill="text2"/>
            <w:vAlign w:val="bottom"/>
          </w:tcPr>
          <w:p w14:paraId="5AC2D809" w14:textId="77777777" w:rsidR="0010265C" w:rsidRPr="00261B7A" w:rsidRDefault="0010265C" w:rsidP="00D41492">
            <w:pPr>
              <w:pStyle w:val="TableTextBold"/>
              <w:keepNext/>
              <w:spacing w:before="40" w:after="40"/>
              <w:rPr>
                <w:noProof w:val="0"/>
                <w:color w:val="FFFFFF"/>
              </w:rPr>
            </w:pPr>
            <w:r w:rsidRPr="00261B7A">
              <w:rPr>
                <w:noProof w:val="0"/>
                <w:color w:val="FFFFFF"/>
              </w:rPr>
              <w:t>Year</w:t>
            </w:r>
          </w:p>
        </w:tc>
        <w:tc>
          <w:tcPr>
            <w:tcW w:w="3697" w:type="dxa"/>
            <w:gridSpan w:val="2"/>
            <w:tcBorders>
              <w:top w:val="single" w:sz="4" w:space="0" w:color="1B556B"/>
            </w:tcBorders>
            <w:shd w:val="clear" w:color="auto" w:fill="1B556B" w:themeFill="text2"/>
            <w:noWrap/>
          </w:tcPr>
          <w:p w14:paraId="7FE6B1EC" w14:textId="77777777" w:rsidR="0010265C" w:rsidRPr="00261B7A" w:rsidRDefault="0010265C" w:rsidP="00D41492">
            <w:pPr>
              <w:pStyle w:val="TableTextBold"/>
              <w:keepNext/>
              <w:spacing w:before="40" w:after="40"/>
              <w:jc w:val="center"/>
              <w:rPr>
                <w:noProof w:val="0"/>
                <w:color w:val="FFFFFF"/>
              </w:rPr>
            </w:pPr>
            <w:r w:rsidRPr="00261B7A">
              <w:rPr>
                <w:noProof w:val="0"/>
                <w:color w:val="FFFFFF"/>
              </w:rPr>
              <w:t>Net emissions (kt CO</w:t>
            </w:r>
            <w:r w:rsidRPr="00261B7A">
              <w:rPr>
                <w:noProof w:val="0"/>
                <w:color w:val="FFFFFF"/>
                <w:vertAlign w:val="subscript"/>
              </w:rPr>
              <w:t>2</w:t>
            </w:r>
            <w:r w:rsidRPr="00261B7A">
              <w:rPr>
                <w:noProof w:val="0"/>
                <w:color w:val="FFFFFF"/>
              </w:rPr>
              <w:t>-e)</w:t>
            </w:r>
          </w:p>
        </w:tc>
        <w:tc>
          <w:tcPr>
            <w:tcW w:w="3697" w:type="dxa"/>
            <w:gridSpan w:val="2"/>
            <w:tcBorders>
              <w:top w:val="single" w:sz="4" w:space="0" w:color="1B556B"/>
            </w:tcBorders>
            <w:shd w:val="clear" w:color="auto" w:fill="1B556B" w:themeFill="text2"/>
          </w:tcPr>
          <w:p w14:paraId="5044B713" w14:textId="77777777" w:rsidR="0010265C" w:rsidRPr="00261B7A" w:rsidRDefault="0010265C" w:rsidP="00D41492">
            <w:pPr>
              <w:pStyle w:val="TableTextBold"/>
              <w:keepNext/>
              <w:spacing w:before="40" w:after="40"/>
              <w:jc w:val="center"/>
              <w:rPr>
                <w:noProof w:val="0"/>
                <w:color w:val="FFFFFF"/>
              </w:rPr>
            </w:pPr>
            <w:r w:rsidRPr="00261B7A">
              <w:rPr>
                <w:noProof w:val="0"/>
                <w:color w:val="FFFFFF"/>
              </w:rPr>
              <w:t>Change from the 2022 submission</w:t>
            </w:r>
          </w:p>
        </w:tc>
      </w:tr>
      <w:tr w:rsidR="0010265C" w:rsidRPr="00261B7A" w14:paraId="035270CB" w14:textId="77777777" w:rsidTr="005D2293">
        <w:trPr>
          <w:trHeight w:val="258"/>
        </w:trPr>
        <w:tc>
          <w:tcPr>
            <w:tcW w:w="1111" w:type="dxa"/>
            <w:vMerge/>
            <w:tcBorders>
              <w:bottom w:val="single" w:sz="4" w:space="0" w:color="1B556B"/>
            </w:tcBorders>
            <w:shd w:val="clear" w:color="auto" w:fill="1B556B" w:themeFill="text2"/>
          </w:tcPr>
          <w:p w14:paraId="0F93D579" w14:textId="77777777" w:rsidR="0010265C" w:rsidRPr="00261B7A" w:rsidRDefault="0010265C" w:rsidP="00D41492">
            <w:pPr>
              <w:pStyle w:val="TableText"/>
              <w:keepNext/>
              <w:spacing w:before="40" w:after="40"/>
            </w:pPr>
          </w:p>
        </w:tc>
        <w:tc>
          <w:tcPr>
            <w:tcW w:w="1848" w:type="dxa"/>
            <w:tcBorders>
              <w:bottom w:val="single" w:sz="4" w:space="0" w:color="1B556B"/>
            </w:tcBorders>
            <w:shd w:val="clear" w:color="auto" w:fill="1B556B" w:themeFill="text2"/>
          </w:tcPr>
          <w:p w14:paraId="35713D07" w14:textId="77777777" w:rsidR="0010265C" w:rsidRPr="00261B7A" w:rsidRDefault="0010265C" w:rsidP="00D41492">
            <w:pPr>
              <w:pStyle w:val="TableText"/>
              <w:keepNext/>
              <w:spacing w:before="40" w:after="40"/>
              <w:jc w:val="center"/>
              <w:rPr>
                <w:b/>
                <w:color w:val="FFFFFF"/>
              </w:rPr>
            </w:pPr>
            <w:r w:rsidRPr="00261B7A">
              <w:rPr>
                <w:b/>
                <w:color w:val="FFFFFF"/>
              </w:rPr>
              <w:t>2022 submission</w:t>
            </w:r>
          </w:p>
        </w:tc>
        <w:tc>
          <w:tcPr>
            <w:tcW w:w="1849" w:type="dxa"/>
            <w:tcBorders>
              <w:bottom w:val="single" w:sz="4" w:space="0" w:color="1B556B"/>
            </w:tcBorders>
            <w:shd w:val="clear" w:color="auto" w:fill="1B556B" w:themeFill="text2"/>
          </w:tcPr>
          <w:p w14:paraId="543F069D" w14:textId="77777777" w:rsidR="0010265C" w:rsidRPr="00261B7A" w:rsidRDefault="0010265C" w:rsidP="00D41492">
            <w:pPr>
              <w:pStyle w:val="TableText"/>
              <w:keepNext/>
              <w:spacing w:before="40" w:after="40"/>
              <w:jc w:val="center"/>
              <w:rPr>
                <w:b/>
                <w:color w:val="FFFFFF"/>
              </w:rPr>
            </w:pPr>
            <w:r w:rsidRPr="00261B7A">
              <w:rPr>
                <w:b/>
                <w:color w:val="FFFFFF"/>
              </w:rPr>
              <w:t>2023 submission</w:t>
            </w:r>
          </w:p>
        </w:tc>
        <w:tc>
          <w:tcPr>
            <w:tcW w:w="1848" w:type="dxa"/>
            <w:tcBorders>
              <w:bottom w:val="single" w:sz="4" w:space="0" w:color="1B556B"/>
            </w:tcBorders>
            <w:shd w:val="clear" w:color="auto" w:fill="1B556B" w:themeFill="text2"/>
          </w:tcPr>
          <w:p w14:paraId="10EDA368" w14:textId="77777777" w:rsidR="0010265C" w:rsidRPr="00261B7A" w:rsidRDefault="0010265C" w:rsidP="00D41492">
            <w:pPr>
              <w:pStyle w:val="TableText"/>
              <w:keepNext/>
              <w:spacing w:before="40" w:after="40"/>
              <w:jc w:val="center"/>
              <w:rPr>
                <w:b/>
                <w:color w:val="FFFFFF"/>
              </w:rPr>
            </w:pPr>
            <w:r w:rsidRPr="00261B7A">
              <w:rPr>
                <w:b/>
                <w:color w:val="FFFFFF"/>
              </w:rPr>
              <w:t>(kt CO</w:t>
            </w:r>
            <w:r w:rsidRPr="00261B7A">
              <w:rPr>
                <w:b/>
                <w:color w:val="FFFFFF"/>
                <w:vertAlign w:val="subscript"/>
              </w:rPr>
              <w:t>2</w:t>
            </w:r>
            <w:r w:rsidRPr="00261B7A">
              <w:rPr>
                <w:b/>
                <w:color w:val="FFFFFF"/>
              </w:rPr>
              <w:t>-e)</w:t>
            </w:r>
          </w:p>
        </w:tc>
        <w:tc>
          <w:tcPr>
            <w:tcW w:w="1849" w:type="dxa"/>
            <w:tcBorders>
              <w:bottom w:val="single" w:sz="4" w:space="0" w:color="1B556B"/>
            </w:tcBorders>
            <w:shd w:val="clear" w:color="auto" w:fill="1B556B" w:themeFill="text2"/>
          </w:tcPr>
          <w:p w14:paraId="07A2959E" w14:textId="77777777" w:rsidR="0010265C" w:rsidRPr="00261B7A" w:rsidRDefault="0010265C" w:rsidP="00D41492">
            <w:pPr>
              <w:pStyle w:val="TableText"/>
              <w:keepNext/>
              <w:spacing w:before="40" w:after="40"/>
              <w:jc w:val="center"/>
              <w:rPr>
                <w:b/>
                <w:color w:val="FFFFFF"/>
              </w:rPr>
            </w:pPr>
            <w:r w:rsidRPr="00261B7A">
              <w:rPr>
                <w:b/>
                <w:color w:val="FFFFFF"/>
              </w:rPr>
              <w:t>(%)</w:t>
            </w:r>
          </w:p>
        </w:tc>
      </w:tr>
      <w:tr w:rsidR="0010265C" w:rsidRPr="00261B7A" w14:paraId="4C561A2E" w14:textId="77777777" w:rsidTr="005D2293">
        <w:trPr>
          <w:trHeight w:val="258"/>
        </w:trPr>
        <w:tc>
          <w:tcPr>
            <w:tcW w:w="1111" w:type="dxa"/>
            <w:tcBorders>
              <w:top w:val="single" w:sz="4" w:space="0" w:color="1B556B"/>
              <w:bottom w:val="single" w:sz="4" w:space="0" w:color="1B556B"/>
            </w:tcBorders>
          </w:tcPr>
          <w:p w14:paraId="0CBDDD89" w14:textId="77777777" w:rsidR="0010265C" w:rsidRPr="00261B7A" w:rsidRDefault="0010265C" w:rsidP="00D41492">
            <w:pPr>
              <w:pStyle w:val="TableText"/>
              <w:spacing w:before="40" w:after="40"/>
            </w:pPr>
            <w:r w:rsidRPr="00261B7A">
              <w:t xml:space="preserve">1990 </w:t>
            </w:r>
          </w:p>
        </w:tc>
        <w:tc>
          <w:tcPr>
            <w:tcW w:w="1848" w:type="dxa"/>
            <w:tcBorders>
              <w:top w:val="single" w:sz="4" w:space="0" w:color="1B556B"/>
              <w:bottom w:val="single" w:sz="4" w:space="0" w:color="1B556B"/>
            </w:tcBorders>
            <w:vAlign w:val="center"/>
          </w:tcPr>
          <w:p w14:paraId="6AE896AD" w14:textId="77777777" w:rsidR="0010265C" w:rsidRPr="00261B7A" w:rsidRDefault="0010265C" w:rsidP="00D41492">
            <w:pPr>
              <w:pStyle w:val="TableText"/>
              <w:tabs>
                <w:tab w:val="decimal" w:pos="458"/>
              </w:tabs>
              <w:spacing w:before="40" w:after="40"/>
              <w:jc w:val="center"/>
              <w:rPr>
                <w:color w:val="000000"/>
              </w:rPr>
            </w:pPr>
            <w:r w:rsidRPr="00261B7A">
              <w:rPr>
                <w:rFonts w:cs="Calibri"/>
                <w:color w:val="000000"/>
                <w:szCs w:val="16"/>
              </w:rPr>
              <w:t xml:space="preserve">75.4 </w:t>
            </w:r>
          </w:p>
        </w:tc>
        <w:tc>
          <w:tcPr>
            <w:tcW w:w="1849" w:type="dxa"/>
            <w:tcBorders>
              <w:top w:val="single" w:sz="4" w:space="0" w:color="1B556B"/>
              <w:bottom w:val="single" w:sz="4" w:space="0" w:color="1B556B"/>
            </w:tcBorders>
            <w:vAlign w:val="center"/>
          </w:tcPr>
          <w:p w14:paraId="77E96DBC" w14:textId="77777777" w:rsidR="0010265C" w:rsidRPr="00261B7A" w:rsidRDefault="0010265C" w:rsidP="00D41492">
            <w:pPr>
              <w:pStyle w:val="TableText"/>
              <w:tabs>
                <w:tab w:val="decimal" w:pos="458"/>
              </w:tabs>
              <w:spacing w:before="40" w:after="40"/>
              <w:jc w:val="center"/>
              <w:rPr>
                <w:color w:val="000000"/>
              </w:rPr>
            </w:pPr>
            <w:r w:rsidRPr="00261B7A">
              <w:rPr>
                <w:rFonts w:cs="Calibri"/>
                <w:color w:val="000000"/>
                <w:szCs w:val="16"/>
              </w:rPr>
              <w:t xml:space="preserve">75.7 </w:t>
            </w:r>
          </w:p>
        </w:tc>
        <w:tc>
          <w:tcPr>
            <w:tcW w:w="1848" w:type="dxa"/>
            <w:tcBorders>
              <w:top w:val="single" w:sz="4" w:space="0" w:color="1B556B"/>
              <w:bottom w:val="single" w:sz="4" w:space="0" w:color="1B556B"/>
            </w:tcBorders>
            <w:vAlign w:val="center"/>
          </w:tcPr>
          <w:p w14:paraId="5123C2CD" w14:textId="77777777" w:rsidR="0010265C" w:rsidRPr="00261B7A" w:rsidRDefault="0010265C" w:rsidP="00D41492">
            <w:pPr>
              <w:pStyle w:val="TableText"/>
              <w:tabs>
                <w:tab w:val="decimal" w:pos="458"/>
              </w:tabs>
              <w:spacing w:before="40" w:after="40"/>
              <w:jc w:val="center"/>
              <w:rPr>
                <w:color w:val="000000"/>
              </w:rPr>
            </w:pPr>
            <w:r w:rsidRPr="00261B7A">
              <w:rPr>
                <w:rFonts w:cs="Calibri"/>
                <w:color w:val="000000"/>
                <w:szCs w:val="16"/>
              </w:rPr>
              <w:t xml:space="preserve">0.3 </w:t>
            </w:r>
          </w:p>
        </w:tc>
        <w:tc>
          <w:tcPr>
            <w:tcW w:w="1849" w:type="dxa"/>
            <w:tcBorders>
              <w:top w:val="single" w:sz="4" w:space="0" w:color="1B556B"/>
              <w:bottom w:val="single" w:sz="4" w:space="0" w:color="1B556B"/>
            </w:tcBorders>
            <w:vAlign w:val="center"/>
          </w:tcPr>
          <w:p w14:paraId="63F515E7" w14:textId="77777777" w:rsidR="0010265C" w:rsidRPr="00261B7A" w:rsidRDefault="0010265C" w:rsidP="00D41492">
            <w:pPr>
              <w:pStyle w:val="TableText"/>
              <w:tabs>
                <w:tab w:val="decimal" w:pos="458"/>
              </w:tabs>
              <w:spacing w:before="40" w:after="40"/>
              <w:jc w:val="center"/>
              <w:rPr>
                <w:color w:val="000000"/>
              </w:rPr>
            </w:pPr>
            <w:r w:rsidRPr="00261B7A">
              <w:rPr>
                <w:rFonts w:cs="Calibri"/>
                <w:color w:val="000000"/>
                <w:szCs w:val="16"/>
              </w:rPr>
              <w:t>0.35</w:t>
            </w:r>
          </w:p>
        </w:tc>
      </w:tr>
      <w:tr w:rsidR="0010265C" w:rsidRPr="00261B7A" w14:paraId="2BAD5621" w14:textId="77777777" w:rsidTr="005D2293">
        <w:trPr>
          <w:trHeight w:val="247"/>
        </w:trPr>
        <w:tc>
          <w:tcPr>
            <w:tcW w:w="1111" w:type="dxa"/>
            <w:tcBorders>
              <w:top w:val="single" w:sz="4" w:space="0" w:color="1B556B"/>
              <w:bottom w:val="single" w:sz="4" w:space="0" w:color="1B556B"/>
            </w:tcBorders>
          </w:tcPr>
          <w:p w14:paraId="1E3739B2" w14:textId="77777777" w:rsidR="0010265C" w:rsidRPr="00261B7A" w:rsidRDefault="0010265C" w:rsidP="00D41492">
            <w:pPr>
              <w:pStyle w:val="TableText"/>
              <w:spacing w:before="40" w:after="40"/>
            </w:pPr>
            <w:r w:rsidRPr="00261B7A">
              <w:t>2020</w:t>
            </w:r>
          </w:p>
        </w:tc>
        <w:tc>
          <w:tcPr>
            <w:tcW w:w="1848" w:type="dxa"/>
            <w:tcBorders>
              <w:top w:val="single" w:sz="4" w:space="0" w:color="1B556B"/>
              <w:bottom w:val="single" w:sz="4" w:space="0" w:color="1B556B"/>
            </w:tcBorders>
            <w:vAlign w:val="center"/>
          </w:tcPr>
          <w:p w14:paraId="47AD131E" w14:textId="77777777" w:rsidR="0010265C" w:rsidRPr="00261B7A" w:rsidRDefault="0010265C" w:rsidP="00D41492">
            <w:pPr>
              <w:pStyle w:val="TableText"/>
              <w:tabs>
                <w:tab w:val="decimal" w:pos="458"/>
              </w:tabs>
              <w:spacing w:before="40" w:after="40"/>
              <w:jc w:val="center"/>
              <w:rPr>
                <w:color w:val="000000"/>
              </w:rPr>
            </w:pPr>
            <w:r w:rsidRPr="00261B7A">
              <w:rPr>
                <w:rFonts w:cs="Calibri"/>
                <w:color w:val="000000"/>
                <w:szCs w:val="16"/>
              </w:rPr>
              <w:t xml:space="preserve">124.1 </w:t>
            </w:r>
          </w:p>
        </w:tc>
        <w:tc>
          <w:tcPr>
            <w:tcW w:w="1849" w:type="dxa"/>
            <w:tcBorders>
              <w:top w:val="single" w:sz="4" w:space="0" w:color="1B556B"/>
              <w:bottom w:val="single" w:sz="4" w:space="0" w:color="1B556B"/>
            </w:tcBorders>
            <w:vAlign w:val="center"/>
          </w:tcPr>
          <w:p w14:paraId="55C33B3E" w14:textId="77777777" w:rsidR="0010265C" w:rsidRPr="00261B7A" w:rsidRDefault="0010265C" w:rsidP="00D41492">
            <w:pPr>
              <w:pStyle w:val="TableText"/>
              <w:tabs>
                <w:tab w:val="decimal" w:pos="458"/>
              </w:tabs>
              <w:spacing w:before="40" w:after="40"/>
              <w:jc w:val="center"/>
              <w:rPr>
                <w:color w:val="000000"/>
              </w:rPr>
            </w:pPr>
            <w:r w:rsidRPr="00261B7A">
              <w:rPr>
                <w:rFonts w:cs="Calibri"/>
                <w:color w:val="000000"/>
                <w:szCs w:val="16"/>
              </w:rPr>
              <w:t xml:space="preserve">121.7 </w:t>
            </w:r>
          </w:p>
        </w:tc>
        <w:tc>
          <w:tcPr>
            <w:tcW w:w="1848" w:type="dxa"/>
            <w:tcBorders>
              <w:top w:val="single" w:sz="4" w:space="0" w:color="1B556B"/>
              <w:bottom w:val="single" w:sz="4" w:space="0" w:color="1B556B"/>
            </w:tcBorders>
            <w:vAlign w:val="center"/>
          </w:tcPr>
          <w:p w14:paraId="3DC48F18" w14:textId="77777777" w:rsidR="0010265C" w:rsidRPr="00261B7A" w:rsidRDefault="0010265C" w:rsidP="00D41492">
            <w:pPr>
              <w:pStyle w:val="TableText"/>
              <w:tabs>
                <w:tab w:val="decimal" w:pos="458"/>
              </w:tabs>
              <w:spacing w:before="40" w:after="40"/>
              <w:jc w:val="center"/>
              <w:rPr>
                <w:color w:val="000000"/>
              </w:rPr>
            </w:pPr>
            <w:r w:rsidRPr="00261B7A">
              <w:rPr>
                <w:rFonts w:cs="Calibri"/>
                <w:color w:val="000000"/>
                <w:szCs w:val="16"/>
              </w:rPr>
              <w:t xml:space="preserve">–2.3 </w:t>
            </w:r>
          </w:p>
        </w:tc>
        <w:tc>
          <w:tcPr>
            <w:tcW w:w="1849" w:type="dxa"/>
            <w:tcBorders>
              <w:top w:val="single" w:sz="4" w:space="0" w:color="1B556B"/>
              <w:bottom w:val="single" w:sz="4" w:space="0" w:color="1B556B"/>
            </w:tcBorders>
            <w:vAlign w:val="center"/>
          </w:tcPr>
          <w:p w14:paraId="38B24FD4" w14:textId="77777777" w:rsidR="0010265C" w:rsidRPr="00261B7A" w:rsidRDefault="0010265C" w:rsidP="00D41492">
            <w:pPr>
              <w:pStyle w:val="TableText"/>
              <w:tabs>
                <w:tab w:val="decimal" w:pos="458"/>
              </w:tabs>
              <w:spacing w:before="40" w:after="40"/>
              <w:jc w:val="center"/>
              <w:rPr>
                <w:color w:val="000000"/>
              </w:rPr>
            </w:pPr>
            <w:r w:rsidRPr="00261B7A">
              <w:rPr>
                <w:rFonts w:cs="Calibri"/>
                <w:color w:val="000000"/>
                <w:szCs w:val="16"/>
              </w:rPr>
              <w:t>–1.9</w:t>
            </w:r>
          </w:p>
        </w:tc>
      </w:tr>
    </w:tbl>
    <w:p w14:paraId="33CDE8DC" w14:textId="77777777" w:rsidR="0010265C" w:rsidRPr="00261B7A" w:rsidRDefault="0010265C" w:rsidP="0010265C">
      <w:pPr>
        <w:pStyle w:val="Heading3"/>
      </w:pPr>
      <w:r w:rsidRPr="00261B7A">
        <w:t>6.7.6</w:t>
      </w:r>
      <w:r w:rsidRPr="00261B7A">
        <w:tab/>
        <w:t>Category-specific planned improvements</w:t>
      </w:r>
    </w:p>
    <w:p w14:paraId="7D6B1496" w14:textId="77777777" w:rsidR="0010265C" w:rsidRPr="00261B7A" w:rsidRDefault="0010265C" w:rsidP="0010265C">
      <w:pPr>
        <w:pStyle w:val="BodyText"/>
        <w:spacing w:before="100" w:after="100"/>
      </w:pPr>
      <w:r w:rsidRPr="00261B7A">
        <w:t>During the review of the 2021 submission, the ERT recommended that New Zealand calculate N</w:t>
      </w:r>
      <w:r w:rsidRPr="00261B7A">
        <w:rPr>
          <w:vertAlign w:val="subscript"/>
        </w:rPr>
        <w:t>2</w:t>
      </w:r>
      <w:r w:rsidRPr="00261B7A">
        <w:t>O emissions associated with the drainage of organic soils in settlements. Although there is no default method in the IPCC 2006 Guidelines (IPCC, 2006a) for N</w:t>
      </w:r>
      <w:r w:rsidRPr="00261B7A">
        <w:rPr>
          <w:vertAlign w:val="subscript"/>
        </w:rPr>
        <w:t>2</w:t>
      </w:r>
      <w:r w:rsidRPr="00261B7A">
        <w:t xml:space="preserve">O emissions associated with drainage for this land use category, New Zealand considers that most of its </w:t>
      </w:r>
      <w:r w:rsidRPr="00261B7A">
        <w:rPr>
          <w:i/>
        </w:rPr>
        <w:t>Settlements</w:t>
      </w:r>
      <w:r w:rsidRPr="00261B7A">
        <w:t xml:space="preserve"> area can be assimilated to </w:t>
      </w:r>
      <w:r w:rsidRPr="00261B7A">
        <w:rPr>
          <w:i/>
          <w:iCs/>
        </w:rPr>
        <w:t>Grassland</w:t>
      </w:r>
      <w:r w:rsidRPr="00261B7A">
        <w:t xml:space="preserve"> when it comes to soil carbon. Therefore, the default methods applied to </w:t>
      </w:r>
      <w:r w:rsidRPr="00261B7A">
        <w:rPr>
          <w:i/>
        </w:rPr>
        <w:t>Grassland</w:t>
      </w:r>
      <w:r w:rsidRPr="00261B7A">
        <w:t xml:space="preserve"> should also be applied to </w:t>
      </w:r>
      <w:r w:rsidRPr="00261B7A">
        <w:rPr>
          <w:i/>
          <w:iCs/>
        </w:rPr>
        <w:t>Settlements</w:t>
      </w:r>
      <w:r w:rsidRPr="00261B7A">
        <w:t>. Given there is no reporting category for these emissions in the CRF, assistance was sought on how these emissions could be reported. Unfortunately, the response to this request was not received in time to incorporate into this submission. Therefore, the 23.2 kt CO</w:t>
      </w:r>
      <w:r w:rsidRPr="00261B7A">
        <w:rPr>
          <w:vertAlign w:val="subscript"/>
        </w:rPr>
        <w:t>2</w:t>
      </w:r>
      <w:r w:rsidRPr="00261B7A">
        <w:noBreakHyphen/>
        <w:t xml:space="preserve">e of emissions resulting from drained organic soils in </w:t>
      </w:r>
      <w:r w:rsidRPr="00261B7A">
        <w:rPr>
          <w:i/>
          <w:iCs/>
        </w:rPr>
        <w:t>Settlements</w:t>
      </w:r>
      <w:r w:rsidRPr="00261B7A">
        <w:t xml:space="preserve"> has not been included in the total emissions for LULUCF. It is planned that this will be included in the 2024 submission. </w:t>
      </w:r>
    </w:p>
    <w:p w14:paraId="1001C870" w14:textId="77777777" w:rsidR="0010265C" w:rsidRPr="00261B7A" w:rsidRDefault="0010265C" w:rsidP="00A638DC">
      <w:pPr>
        <w:pStyle w:val="Heading2"/>
      </w:pPr>
      <w:bookmarkStart w:id="2278" w:name="_Toc310423457"/>
      <w:bookmarkStart w:id="2279" w:name="_Toc342470723"/>
      <w:bookmarkStart w:id="2280" w:name="_Toc352504875"/>
      <w:bookmarkStart w:id="2281" w:name="_Toc391024705"/>
      <w:bookmarkStart w:id="2282" w:name="_Toc414531322"/>
      <w:bookmarkStart w:id="2283" w:name="_Toc474335464"/>
      <w:bookmarkStart w:id="2284" w:name="_Toc481751404"/>
      <w:bookmarkStart w:id="2285" w:name="_Toc522013956"/>
      <w:bookmarkStart w:id="2286" w:name="_Toc5269381"/>
      <w:bookmarkStart w:id="2287" w:name="_Toc36224421"/>
      <w:bookmarkStart w:id="2288" w:name="_Toc131591255"/>
      <w:r w:rsidRPr="00261B7A">
        <w:t>6.8</w:t>
      </w:r>
      <w:r w:rsidRPr="00261B7A">
        <w:tab/>
        <w:t>Other land (CRF 4F)</w:t>
      </w:r>
      <w:bookmarkEnd w:id="2278"/>
      <w:bookmarkEnd w:id="2279"/>
      <w:bookmarkEnd w:id="2280"/>
      <w:bookmarkEnd w:id="2281"/>
      <w:bookmarkEnd w:id="2282"/>
      <w:bookmarkEnd w:id="2283"/>
      <w:bookmarkEnd w:id="2284"/>
      <w:bookmarkEnd w:id="2285"/>
      <w:bookmarkEnd w:id="2286"/>
      <w:bookmarkEnd w:id="2287"/>
      <w:bookmarkEnd w:id="2288"/>
    </w:p>
    <w:p w14:paraId="2F73339A" w14:textId="77777777" w:rsidR="0010265C" w:rsidRPr="00261B7A" w:rsidRDefault="0010265C" w:rsidP="0010265C">
      <w:pPr>
        <w:pStyle w:val="Heading3"/>
        <w:spacing w:before="240"/>
      </w:pPr>
      <w:r w:rsidRPr="00261B7A">
        <w:t>6.8.1</w:t>
      </w:r>
      <w:r w:rsidRPr="00261B7A">
        <w:tab/>
        <w:t>Description</w:t>
      </w:r>
    </w:p>
    <w:p w14:paraId="718F5649" w14:textId="77777777" w:rsidR="0010265C" w:rsidRPr="00261B7A" w:rsidRDefault="0010265C" w:rsidP="0010265C">
      <w:pPr>
        <w:pStyle w:val="BodyText"/>
      </w:pPr>
      <w:r w:rsidRPr="00261B7A">
        <w:t xml:space="preserve">In 2021, the net emissions from </w:t>
      </w:r>
      <w:r w:rsidRPr="00261B7A">
        <w:rPr>
          <w:i/>
        </w:rPr>
        <w:t>Other land</w:t>
      </w:r>
      <w:r w:rsidRPr="00261B7A">
        <w:t xml:space="preserve"> were 85.7 kt CO</w:t>
      </w:r>
      <w:r w:rsidRPr="00261B7A">
        <w:rPr>
          <w:vertAlign w:val="subscript"/>
        </w:rPr>
        <w:t>2</w:t>
      </w:r>
      <w:r w:rsidRPr="00261B7A">
        <w:t>-e (see table 6.8.1). This is 71.9 kt CO</w:t>
      </w:r>
      <w:r w:rsidRPr="00261B7A">
        <w:rPr>
          <w:vertAlign w:val="subscript"/>
        </w:rPr>
        <w:t>2</w:t>
      </w:r>
      <w:r w:rsidRPr="00261B7A">
        <w:t>-e (522.5 per cent) higher than the 1990 level of 13.8 kt CO</w:t>
      </w:r>
      <w:r w:rsidRPr="00261B7A">
        <w:rPr>
          <w:vertAlign w:val="subscript"/>
        </w:rPr>
        <w:t>2</w:t>
      </w:r>
      <w:r w:rsidRPr="00261B7A">
        <w:t xml:space="preserve">e. The majority of these emissions occur in the </w:t>
      </w:r>
      <w:r w:rsidRPr="00261B7A">
        <w:rPr>
          <w:i/>
        </w:rPr>
        <w:t>Land converted to other land</w:t>
      </w:r>
      <w:r w:rsidRPr="00261B7A">
        <w:t xml:space="preserve"> category. This is primarily because the area of land estimated as having been converted to </w:t>
      </w:r>
      <w:r w:rsidRPr="00261B7A">
        <w:rPr>
          <w:i/>
        </w:rPr>
        <w:t>Other land</w:t>
      </w:r>
      <w:r w:rsidRPr="00261B7A">
        <w:t xml:space="preserve"> has been steadily increasing since 1990.</w:t>
      </w:r>
    </w:p>
    <w:p w14:paraId="22EE2954" w14:textId="77777777" w:rsidR="0010265C" w:rsidRPr="00261B7A" w:rsidRDefault="0010265C" w:rsidP="0010265C">
      <w:pPr>
        <w:pStyle w:val="BodyText"/>
      </w:pPr>
      <w:r w:rsidRPr="00261B7A">
        <w:rPr>
          <w:i/>
        </w:rPr>
        <w:t>Other land</w:t>
      </w:r>
      <w:r w:rsidRPr="00261B7A">
        <w:t xml:space="preserve"> is defined in section 3.2 of the 2006 IPCC Guidelines (IPCC, 2006a) as including bare soil, rock, ice and all land areas that do not fall into any of the other five land use categories. This means that this category includes any land which has not been actively classified into one of the other categories. It consists mostly of steep, rocky terrain at high elevation, often covered in snow or ice. This category is 3.3 per cent of New Zealand’s total land area.</w:t>
      </w:r>
    </w:p>
    <w:p w14:paraId="25B44A44" w14:textId="77777777" w:rsidR="0010265C" w:rsidRPr="00261B7A" w:rsidRDefault="0010265C" w:rsidP="0010265C">
      <w:pPr>
        <w:pStyle w:val="BodyText"/>
      </w:pPr>
      <w:r w:rsidRPr="00261B7A">
        <w:t xml:space="preserve">An analysis of change in area between 1990 and 2021 shows that, of the 7,140 hectares converted from </w:t>
      </w:r>
      <w:r w:rsidRPr="00261B7A">
        <w:rPr>
          <w:i/>
        </w:rPr>
        <w:t>Other land</w:t>
      </w:r>
      <w:r w:rsidRPr="00261B7A">
        <w:t xml:space="preserve"> to different land use categories, 2,974 hectares were converted to post-1989 planted forest, 714 hectares of post-1989 natural forest and 1,462 hectares were converted to </w:t>
      </w:r>
      <w:r w:rsidRPr="00261B7A">
        <w:rPr>
          <w:i/>
          <w:iCs/>
        </w:rPr>
        <w:t>Grassland with woody biomass</w:t>
      </w:r>
      <w:r w:rsidRPr="00261B7A">
        <w:t xml:space="preserve">. </w:t>
      </w:r>
      <w:r w:rsidRPr="00261B7A">
        <w:rPr>
          <w:i/>
        </w:rPr>
        <w:t>Land converted to other land</w:t>
      </w:r>
      <w:r w:rsidRPr="00261B7A">
        <w:t xml:space="preserve"> is dominated by quarries, with the largest individual site in the region of Otago measuring approximately 1,400 hectares. Also included in this change are coastal areas where sand dunes have advanced into previously vegetated areas, some areas of new rural roading not associated with settlements, and areas that have been cleared of vegetation but where the future land use is uncertain. In some cases these uncertain areas undergo a subsequent land-use change to </w:t>
      </w:r>
      <w:r w:rsidRPr="00261B7A">
        <w:rPr>
          <w:i/>
          <w:iCs/>
        </w:rPr>
        <w:t>Settlements</w:t>
      </w:r>
      <w:r w:rsidRPr="00261B7A">
        <w:t>.</w:t>
      </w:r>
    </w:p>
    <w:p w14:paraId="1091E8E0" w14:textId="77777777" w:rsidR="0010265C" w:rsidRPr="00261B7A" w:rsidRDefault="0010265C" w:rsidP="0010265C">
      <w:pPr>
        <w:pStyle w:val="BodyText"/>
      </w:pPr>
      <w:r w:rsidRPr="00261B7A">
        <w:t xml:space="preserve">Between 1 January 1990 and 31 December 2021, there were 8,525 hectares of </w:t>
      </w:r>
      <w:r w:rsidRPr="00261B7A">
        <w:rPr>
          <w:i/>
        </w:rPr>
        <w:t>Land converted to other land</w:t>
      </w:r>
      <w:r w:rsidRPr="00261B7A">
        <w:t xml:space="preserve">; most (5,279 hectares) of this was from the </w:t>
      </w:r>
      <w:r w:rsidRPr="00261B7A">
        <w:rPr>
          <w:i/>
        </w:rPr>
        <w:t>Grassland</w:t>
      </w:r>
      <w:r w:rsidRPr="00261B7A">
        <w:t xml:space="preserve"> categories. This is likely to be mainly due to conversion of </w:t>
      </w:r>
      <w:r w:rsidRPr="00261B7A">
        <w:rPr>
          <w:i/>
        </w:rPr>
        <w:t>Grassland</w:t>
      </w:r>
      <w:r w:rsidRPr="00261B7A">
        <w:t xml:space="preserve"> to roads, mines and quarries.</w:t>
      </w:r>
    </w:p>
    <w:p w14:paraId="489F8881" w14:textId="77777777" w:rsidR="0010265C" w:rsidRPr="00261B7A" w:rsidRDefault="0010265C" w:rsidP="0010265C">
      <w:pPr>
        <w:pStyle w:val="BodyText"/>
      </w:pPr>
      <w:r w:rsidRPr="00261B7A">
        <w:t xml:space="preserve">In 2021, </w:t>
      </w:r>
      <w:r w:rsidRPr="00261B7A">
        <w:rPr>
          <w:i/>
        </w:rPr>
        <w:t>Land converted to other land</w:t>
      </w:r>
      <w:r w:rsidRPr="00261B7A">
        <w:t xml:space="preserve"> was </w:t>
      </w:r>
      <w:r w:rsidRPr="00261B7A" w:rsidDel="00AB3A81">
        <w:t xml:space="preserve">not </w:t>
      </w:r>
      <w:r w:rsidRPr="00261B7A">
        <w:t>a key category.</w:t>
      </w:r>
    </w:p>
    <w:p w14:paraId="2B44A05F" w14:textId="77777777" w:rsidR="0010265C" w:rsidRPr="00261B7A" w:rsidRDefault="0010265C" w:rsidP="0010265C">
      <w:pPr>
        <w:pStyle w:val="Table"/>
      </w:pPr>
      <w:bookmarkStart w:id="2289" w:name="_Toc342470793"/>
      <w:bookmarkStart w:id="2290" w:name="_Toc352505033"/>
      <w:bookmarkStart w:id="2291" w:name="_Toc378853322"/>
      <w:bookmarkStart w:id="2292" w:name="_Toc391024120"/>
      <w:bookmarkStart w:id="2293" w:name="_Toc410028862"/>
      <w:bookmarkStart w:id="2294" w:name="_Toc414531490"/>
      <w:bookmarkStart w:id="2295" w:name="_Toc443645403"/>
      <w:bookmarkStart w:id="2296" w:name="_Toc474914622"/>
      <w:bookmarkStart w:id="2297" w:name="_Toc481751586"/>
      <w:bookmarkStart w:id="2298" w:name="_Toc522010643"/>
      <w:bookmarkStart w:id="2299" w:name="_Toc5269548"/>
      <w:bookmarkStart w:id="2300" w:name="_Toc33529422"/>
      <w:bookmarkStart w:id="2301" w:name="_Toc36224628"/>
      <w:bookmarkStart w:id="2302" w:name="_Toc131591422"/>
      <w:r w:rsidRPr="00261B7A">
        <w:t>Table 6.8.1</w:t>
      </w:r>
      <w:r w:rsidRPr="00261B7A">
        <w:tab/>
        <w:t xml:space="preserve">New Zealand’s land-use change for the land use category </w:t>
      </w:r>
      <w:r w:rsidRPr="00261B7A">
        <w:rPr>
          <w:i/>
        </w:rPr>
        <w:t>Other land</w:t>
      </w:r>
      <w:r w:rsidRPr="00261B7A">
        <w:t xml:space="preserve"> from 1990 to</w:t>
      </w:r>
      <w:bookmarkEnd w:id="2289"/>
      <w:bookmarkEnd w:id="2290"/>
      <w:bookmarkEnd w:id="2291"/>
      <w:bookmarkEnd w:id="2292"/>
      <w:r w:rsidRPr="00261B7A">
        <w:t> </w:t>
      </w:r>
      <w:bookmarkEnd w:id="2293"/>
      <w:bookmarkEnd w:id="2294"/>
      <w:bookmarkEnd w:id="2295"/>
      <w:bookmarkEnd w:id="2296"/>
      <w:bookmarkEnd w:id="2297"/>
      <w:bookmarkEnd w:id="2298"/>
      <w:bookmarkEnd w:id="2299"/>
      <w:bookmarkEnd w:id="2300"/>
      <w:bookmarkEnd w:id="2301"/>
      <w:r w:rsidRPr="00261B7A">
        <w:t>2021</w:t>
      </w:r>
      <w:bookmarkEnd w:id="2302"/>
    </w:p>
    <w:tbl>
      <w:tblPr>
        <w:tblW w:w="8505" w:type="dxa"/>
        <w:tblLayout w:type="fixed"/>
        <w:tblLook w:val="04A0" w:firstRow="1" w:lastRow="0" w:firstColumn="1" w:lastColumn="0" w:noHBand="0" w:noVBand="1"/>
      </w:tblPr>
      <w:tblGrid>
        <w:gridCol w:w="2933"/>
        <w:gridCol w:w="1058"/>
        <w:gridCol w:w="1059"/>
        <w:gridCol w:w="1208"/>
        <w:gridCol w:w="1059"/>
        <w:gridCol w:w="1188"/>
      </w:tblGrid>
      <w:tr w:rsidR="0010265C" w:rsidRPr="00261B7A" w14:paraId="1F61D056" w14:textId="77777777" w:rsidTr="00771F44">
        <w:tc>
          <w:tcPr>
            <w:tcW w:w="2933" w:type="dxa"/>
            <w:vMerge w:val="restart"/>
            <w:tcBorders>
              <w:top w:val="single" w:sz="4" w:space="0" w:color="1B556B"/>
            </w:tcBorders>
            <w:shd w:val="clear" w:color="auto" w:fill="1B556B" w:themeFill="text2"/>
            <w:vAlign w:val="bottom"/>
          </w:tcPr>
          <w:p w14:paraId="02C91862" w14:textId="77777777" w:rsidR="0010265C" w:rsidRPr="00261B7A" w:rsidRDefault="0010265C" w:rsidP="00D41492">
            <w:pPr>
              <w:pStyle w:val="TableTextBold"/>
              <w:keepNext/>
              <w:spacing w:before="40" w:after="40"/>
              <w:rPr>
                <w:noProof w:val="0"/>
                <w:color w:val="FFFFFF"/>
              </w:rPr>
            </w:pPr>
            <w:r w:rsidRPr="00261B7A">
              <w:rPr>
                <w:noProof w:val="0"/>
                <w:color w:val="FFFFFF"/>
              </w:rPr>
              <w:t>Land use category – Other land</w:t>
            </w:r>
          </w:p>
        </w:tc>
        <w:tc>
          <w:tcPr>
            <w:tcW w:w="1058" w:type="dxa"/>
            <w:vMerge w:val="restart"/>
            <w:tcBorders>
              <w:top w:val="single" w:sz="4" w:space="0" w:color="1B556B"/>
            </w:tcBorders>
            <w:shd w:val="clear" w:color="auto" w:fill="1B556B" w:themeFill="text2"/>
            <w:vAlign w:val="bottom"/>
          </w:tcPr>
          <w:p w14:paraId="77B92018" w14:textId="77777777" w:rsidR="0010265C" w:rsidRPr="00261B7A" w:rsidRDefault="0010265C" w:rsidP="00D41492">
            <w:pPr>
              <w:pStyle w:val="TableTextBold"/>
              <w:spacing w:before="40" w:after="40"/>
              <w:jc w:val="right"/>
              <w:rPr>
                <w:noProof w:val="0"/>
                <w:color w:val="FFFFFF"/>
              </w:rPr>
            </w:pPr>
            <w:r w:rsidRPr="00261B7A">
              <w:rPr>
                <w:noProof w:val="0"/>
                <w:color w:val="FFFFFF"/>
              </w:rPr>
              <w:t>Net area as at 1990 (ha)</w:t>
            </w:r>
          </w:p>
        </w:tc>
        <w:tc>
          <w:tcPr>
            <w:tcW w:w="1059" w:type="dxa"/>
            <w:vMerge w:val="restart"/>
            <w:tcBorders>
              <w:top w:val="single" w:sz="4" w:space="0" w:color="1B556B"/>
            </w:tcBorders>
            <w:shd w:val="clear" w:color="auto" w:fill="1B556B" w:themeFill="text2"/>
            <w:vAlign w:val="bottom"/>
          </w:tcPr>
          <w:p w14:paraId="14113747" w14:textId="77777777" w:rsidR="0010265C" w:rsidRPr="00261B7A" w:rsidRDefault="0010265C" w:rsidP="00D41492">
            <w:pPr>
              <w:pStyle w:val="TableTextBold"/>
              <w:spacing w:before="40" w:after="40"/>
              <w:jc w:val="right"/>
              <w:rPr>
                <w:noProof w:val="0"/>
                <w:color w:val="FFFFFF"/>
              </w:rPr>
            </w:pPr>
            <w:r w:rsidRPr="00261B7A">
              <w:rPr>
                <w:noProof w:val="0"/>
                <w:color w:val="FFFFFF"/>
              </w:rPr>
              <w:t>Net area as at 2021 (ha)</w:t>
            </w:r>
          </w:p>
        </w:tc>
        <w:tc>
          <w:tcPr>
            <w:tcW w:w="2267" w:type="dxa"/>
            <w:gridSpan w:val="2"/>
            <w:tcBorders>
              <w:top w:val="single" w:sz="4" w:space="0" w:color="1B556B"/>
            </w:tcBorders>
            <w:shd w:val="clear" w:color="auto" w:fill="1B556B" w:themeFill="text2"/>
            <w:vAlign w:val="bottom"/>
          </w:tcPr>
          <w:p w14:paraId="73826140" w14:textId="77777777" w:rsidR="0010265C" w:rsidRPr="00261B7A" w:rsidRDefault="0010265C" w:rsidP="00D41492">
            <w:pPr>
              <w:pStyle w:val="TableTextBold"/>
              <w:spacing w:before="40" w:after="40"/>
              <w:jc w:val="center"/>
              <w:rPr>
                <w:noProof w:val="0"/>
                <w:color w:val="FFFFFF"/>
              </w:rPr>
            </w:pPr>
            <w:r w:rsidRPr="00261B7A">
              <w:rPr>
                <w:noProof w:val="0"/>
                <w:color w:val="FFFFFF"/>
              </w:rPr>
              <w:t>Net emissions (kt CO</w:t>
            </w:r>
            <w:r w:rsidRPr="00261B7A">
              <w:rPr>
                <w:noProof w:val="0"/>
                <w:color w:val="FFFFFF"/>
                <w:vertAlign w:val="subscript"/>
              </w:rPr>
              <w:t>2</w:t>
            </w:r>
            <w:r w:rsidRPr="00261B7A">
              <w:rPr>
                <w:noProof w:val="0"/>
                <w:color w:val="FFFFFF"/>
              </w:rPr>
              <w:t>-e)</w:t>
            </w:r>
          </w:p>
        </w:tc>
        <w:tc>
          <w:tcPr>
            <w:tcW w:w="1188" w:type="dxa"/>
            <w:vMerge w:val="restart"/>
            <w:tcBorders>
              <w:top w:val="single" w:sz="4" w:space="0" w:color="1B556B"/>
            </w:tcBorders>
            <w:shd w:val="clear" w:color="auto" w:fill="1B556B" w:themeFill="text2"/>
            <w:vAlign w:val="bottom"/>
          </w:tcPr>
          <w:p w14:paraId="6BD9D8DF" w14:textId="77777777" w:rsidR="0010265C" w:rsidRPr="00261B7A" w:rsidRDefault="0010265C" w:rsidP="00D41492">
            <w:pPr>
              <w:pStyle w:val="TableTextBold"/>
              <w:spacing w:before="40" w:after="40"/>
              <w:jc w:val="right"/>
              <w:rPr>
                <w:noProof w:val="0"/>
                <w:color w:val="FFFFFF"/>
              </w:rPr>
            </w:pPr>
            <w:r w:rsidRPr="00261B7A">
              <w:rPr>
                <w:noProof w:val="0"/>
                <w:color w:val="FFFFFF"/>
              </w:rPr>
              <w:t>Change from 1990 (%)</w:t>
            </w:r>
          </w:p>
        </w:tc>
      </w:tr>
      <w:tr w:rsidR="0010265C" w:rsidRPr="00261B7A" w14:paraId="243C519A" w14:textId="77777777" w:rsidTr="00771F44">
        <w:tc>
          <w:tcPr>
            <w:tcW w:w="2933" w:type="dxa"/>
            <w:vMerge/>
            <w:tcBorders>
              <w:bottom w:val="single" w:sz="4" w:space="0" w:color="1B556B"/>
            </w:tcBorders>
            <w:shd w:val="clear" w:color="auto" w:fill="1B556B" w:themeFill="text2"/>
          </w:tcPr>
          <w:p w14:paraId="06822752" w14:textId="77777777" w:rsidR="0010265C" w:rsidRPr="00261B7A" w:rsidRDefault="0010265C" w:rsidP="00D41492">
            <w:pPr>
              <w:keepNext/>
              <w:spacing w:before="40" w:after="40"/>
              <w:rPr>
                <w:rFonts w:ascii="Arial Bold" w:hAnsi="Arial Bold"/>
              </w:rPr>
            </w:pPr>
          </w:p>
        </w:tc>
        <w:tc>
          <w:tcPr>
            <w:tcW w:w="1058" w:type="dxa"/>
            <w:vMerge/>
            <w:tcBorders>
              <w:bottom w:val="single" w:sz="4" w:space="0" w:color="1B556B"/>
            </w:tcBorders>
            <w:shd w:val="clear" w:color="auto" w:fill="1B556B" w:themeFill="text2"/>
          </w:tcPr>
          <w:p w14:paraId="4A2B317B" w14:textId="77777777" w:rsidR="0010265C" w:rsidRPr="00261B7A" w:rsidRDefault="0010265C" w:rsidP="00D41492">
            <w:pPr>
              <w:spacing w:before="40" w:after="40"/>
              <w:jc w:val="center"/>
              <w:rPr>
                <w:rFonts w:ascii="Arial Bold" w:hAnsi="Arial Bold"/>
                <w:b/>
              </w:rPr>
            </w:pPr>
          </w:p>
        </w:tc>
        <w:tc>
          <w:tcPr>
            <w:tcW w:w="1059" w:type="dxa"/>
            <w:vMerge/>
            <w:tcBorders>
              <w:bottom w:val="single" w:sz="4" w:space="0" w:color="1B556B"/>
            </w:tcBorders>
            <w:shd w:val="clear" w:color="auto" w:fill="1B556B" w:themeFill="text2"/>
          </w:tcPr>
          <w:p w14:paraId="76161A77" w14:textId="77777777" w:rsidR="0010265C" w:rsidRPr="00261B7A" w:rsidRDefault="0010265C" w:rsidP="00D41492">
            <w:pPr>
              <w:spacing w:before="40" w:after="40"/>
              <w:jc w:val="center"/>
              <w:rPr>
                <w:rFonts w:ascii="Arial Bold" w:hAnsi="Arial Bold"/>
                <w:b/>
              </w:rPr>
            </w:pPr>
          </w:p>
        </w:tc>
        <w:tc>
          <w:tcPr>
            <w:tcW w:w="1208" w:type="dxa"/>
            <w:tcBorders>
              <w:bottom w:val="single" w:sz="4" w:space="0" w:color="1B556B"/>
            </w:tcBorders>
            <w:shd w:val="clear" w:color="auto" w:fill="1B556B" w:themeFill="text2"/>
          </w:tcPr>
          <w:p w14:paraId="49023ED1" w14:textId="77777777" w:rsidR="0010265C" w:rsidRPr="00261B7A" w:rsidRDefault="0010265C" w:rsidP="00D41492">
            <w:pPr>
              <w:pStyle w:val="TableTextBold"/>
              <w:spacing w:before="40" w:after="40"/>
              <w:jc w:val="right"/>
              <w:rPr>
                <w:noProof w:val="0"/>
                <w:color w:val="FFFFFF"/>
              </w:rPr>
            </w:pPr>
            <w:r w:rsidRPr="00261B7A">
              <w:rPr>
                <w:noProof w:val="0"/>
                <w:color w:val="FFFFFF"/>
              </w:rPr>
              <w:t>1990</w:t>
            </w:r>
          </w:p>
        </w:tc>
        <w:tc>
          <w:tcPr>
            <w:tcW w:w="1059" w:type="dxa"/>
            <w:tcBorders>
              <w:bottom w:val="single" w:sz="4" w:space="0" w:color="1B556B"/>
            </w:tcBorders>
            <w:shd w:val="clear" w:color="auto" w:fill="1B556B" w:themeFill="text2"/>
          </w:tcPr>
          <w:p w14:paraId="7630ADDE" w14:textId="77777777" w:rsidR="0010265C" w:rsidRPr="00261B7A" w:rsidRDefault="0010265C" w:rsidP="00D41492">
            <w:pPr>
              <w:pStyle w:val="TableTextBold"/>
              <w:spacing w:before="40" w:after="40"/>
              <w:jc w:val="right"/>
              <w:rPr>
                <w:noProof w:val="0"/>
                <w:color w:val="FFFFFF"/>
              </w:rPr>
            </w:pPr>
            <w:r w:rsidRPr="00261B7A">
              <w:rPr>
                <w:noProof w:val="0"/>
                <w:color w:val="FFFFFF"/>
              </w:rPr>
              <w:t>2021</w:t>
            </w:r>
          </w:p>
        </w:tc>
        <w:tc>
          <w:tcPr>
            <w:tcW w:w="1188" w:type="dxa"/>
            <w:vMerge/>
            <w:tcBorders>
              <w:bottom w:val="single" w:sz="4" w:space="0" w:color="1B556B"/>
            </w:tcBorders>
            <w:shd w:val="clear" w:color="auto" w:fill="1B556B" w:themeFill="text2"/>
          </w:tcPr>
          <w:p w14:paraId="448B049A" w14:textId="77777777" w:rsidR="0010265C" w:rsidRPr="00261B7A" w:rsidRDefault="0010265C" w:rsidP="00D41492">
            <w:pPr>
              <w:spacing w:before="40" w:after="40"/>
              <w:jc w:val="center"/>
              <w:rPr>
                <w:rFonts w:ascii="Arial Bold" w:hAnsi="Arial Bold"/>
                <w:b/>
              </w:rPr>
            </w:pPr>
          </w:p>
        </w:tc>
      </w:tr>
      <w:tr w:rsidR="0010265C" w:rsidRPr="00261B7A" w14:paraId="239DBC66" w14:textId="77777777" w:rsidTr="00771F44">
        <w:tc>
          <w:tcPr>
            <w:tcW w:w="2933" w:type="dxa"/>
            <w:tcBorders>
              <w:top w:val="single" w:sz="4" w:space="0" w:color="1B556B"/>
              <w:bottom w:val="single" w:sz="4" w:space="0" w:color="1B556B"/>
            </w:tcBorders>
          </w:tcPr>
          <w:p w14:paraId="391349A0" w14:textId="77777777" w:rsidR="0010265C" w:rsidRPr="00261B7A" w:rsidRDefault="0010265C" w:rsidP="00D41492">
            <w:pPr>
              <w:pStyle w:val="TableText"/>
              <w:spacing w:before="40" w:after="40"/>
            </w:pPr>
            <w:r w:rsidRPr="00261B7A">
              <w:t>Other land remaining other land</w:t>
            </w:r>
          </w:p>
        </w:tc>
        <w:tc>
          <w:tcPr>
            <w:tcW w:w="1058" w:type="dxa"/>
            <w:tcBorders>
              <w:top w:val="single" w:sz="4" w:space="0" w:color="1B556B"/>
              <w:bottom w:val="single" w:sz="4" w:space="0" w:color="1B556B"/>
            </w:tcBorders>
          </w:tcPr>
          <w:p w14:paraId="33FC604F"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895,297</w:t>
            </w:r>
          </w:p>
        </w:tc>
        <w:tc>
          <w:tcPr>
            <w:tcW w:w="1059" w:type="dxa"/>
            <w:tcBorders>
              <w:top w:val="single" w:sz="4" w:space="0" w:color="1B556B"/>
              <w:bottom w:val="single" w:sz="4" w:space="0" w:color="1B556B"/>
            </w:tcBorders>
          </w:tcPr>
          <w:p w14:paraId="740780BA"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890,384</w:t>
            </w:r>
          </w:p>
        </w:tc>
        <w:tc>
          <w:tcPr>
            <w:tcW w:w="1208" w:type="dxa"/>
            <w:tcBorders>
              <w:top w:val="single" w:sz="4" w:space="0" w:color="1B556B"/>
              <w:bottom w:val="single" w:sz="4" w:space="0" w:color="1B556B"/>
            </w:tcBorders>
          </w:tcPr>
          <w:p w14:paraId="5EE24B17"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 xml:space="preserve">0.1 </w:t>
            </w:r>
          </w:p>
        </w:tc>
        <w:tc>
          <w:tcPr>
            <w:tcW w:w="1059" w:type="dxa"/>
            <w:tcBorders>
              <w:top w:val="single" w:sz="4" w:space="0" w:color="1B556B"/>
              <w:bottom w:val="single" w:sz="4" w:space="0" w:color="1B556B"/>
            </w:tcBorders>
          </w:tcPr>
          <w:p w14:paraId="2A67A45F" w14:textId="77777777" w:rsidR="0010265C" w:rsidRPr="00261B7A" w:rsidRDefault="0010265C" w:rsidP="00D41492">
            <w:pPr>
              <w:pStyle w:val="TableText"/>
              <w:spacing w:before="40" w:after="40"/>
              <w:jc w:val="right"/>
              <w:rPr>
                <w:rFonts w:asciiTheme="minorHAnsi" w:hAnsiTheme="minorHAnsi" w:cstheme="minorHAnsi"/>
                <w:szCs w:val="16"/>
              </w:rPr>
            </w:pPr>
            <w:r w:rsidRPr="00261B7A">
              <w:rPr>
                <w:rFonts w:asciiTheme="minorHAnsi" w:hAnsiTheme="minorHAnsi" w:cstheme="minorHAnsi"/>
                <w:szCs w:val="16"/>
              </w:rPr>
              <w:t xml:space="preserve">4.1 </w:t>
            </w:r>
          </w:p>
        </w:tc>
        <w:tc>
          <w:tcPr>
            <w:tcW w:w="1188" w:type="dxa"/>
            <w:tcBorders>
              <w:top w:val="single" w:sz="4" w:space="0" w:color="1B556B"/>
              <w:bottom w:val="single" w:sz="4" w:space="0" w:color="1B556B"/>
            </w:tcBorders>
          </w:tcPr>
          <w:p w14:paraId="6519A361"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3,816.6</w:t>
            </w:r>
          </w:p>
        </w:tc>
      </w:tr>
      <w:tr w:rsidR="0010265C" w:rsidRPr="00261B7A" w14:paraId="53A306FA" w14:textId="77777777" w:rsidTr="00771F44">
        <w:tc>
          <w:tcPr>
            <w:tcW w:w="2933" w:type="dxa"/>
            <w:tcBorders>
              <w:top w:val="single" w:sz="4" w:space="0" w:color="1B556B"/>
              <w:bottom w:val="single" w:sz="4" w:space="0" w:color="1B556B"/>
            </w:tcBorders>
          </w:tcPr>
          <w:p w14:paraId="755147B4" w14:textId="77777777" w:rsidR="0010265C" w:rsidRPr="00261B7A" w:rsidRDefault="0010265C" w:rsidP="00D41492">
            <w:pPr>
              <w:pStyle w:val="TableText"/>
              <w:spacing w:before="40" w:after="40"/>
            </w:pPr>
            <w:r w:rsidRPr="00261B7A">
              <w:t>Land converted to other land</w:t>
            </w:r>
          </w:p>
        </w:tc>
        <w:tc>
          <w:tcPr>
            <w:tcW w:w="1058" w:type="dxa"/>
            <w:tcBorders>
              <w:top w:val="single" w:sz="4" w:space="0" w:color="1B556B"/>
              <w:bottom w:val="single" w:sz="4" w:space="0" w:color="1B556B"/>
            </w:tcBorders>
          </w:tcPr>
          <w:p w14:paraId="4A38BC80"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0</w:t>
            </w:r>
          </w:p>
        </w:tc>
        <w:tc>
          <w:tcPr>
            <w:tcW w:w="1059" w:type="dxa"/>
            <w:tcBorders>
              <w:top w:val="single" w:sz="4" w:space="0" w:color="1B556B"/>
              <w:bottom w:val="single" w:sz="4" w:space="0" w:color="1B556B"/>
            </w:tcBorders>
          </w:tcPr>
          <w:p w14:paraId="7DA45AEE"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6,299</w:t>
            </w:r>
          </w:p>
        </w:tc>
        <w:tc>
          <w:tcPr>
            <w:tcW w:w="1208" w:type="dxa"/>
            <w:tcBorders>
              <w:top w:val="single" w:sz="4" w:space="0" w:color="1B556B"/>
              <w:bottom w:val="single" w:sz="4" w:space="0" w:color="1B556B"/>
            </w:tcBorders>
          </w:tcPr>
          <w:p w14:paraId="254153E6"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 xml:space="preserve">13.7 </w:t>
            </w:r>
          </w:p>
        </w:tc>
        <w:tc>
          <w:tcPr>
            <w:tcW w:w="1059" w:type="dxa"/>
            <w:tcBorders>
              <w:top w:val="single" w:sz="4" w:space="0" w:color="1B556B"/>
              <w:bottom w:val="single" w:sz="4" w:space="0" w:color="1B556B"/>
            </w:tcBorders>
          </w:tcPr>
          <w:p w14:paraId="563C66B6"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 xml:space="preserve">81.6 </w:t>
            </w:r>
          </w:p>
        </w:tc>
        <w:tc>
          <w:tcPr>
            <w:tcW w:w="1188" w:type="dxa"/>
            <w:tcBorders>
              <w:top w:val="single" w:sz="4" w:space="0" w:color="1B556B"/>
              <w:bottom w:val="single" w:sz="4" w:space="0" w:color="1B556B"/>
            </w:tcBorders>
          </w:tcPr>
          <w:p w14:paraId="663D2AE2" w14:textId="77777777" w:rsidR="0010265C" w:rsidRPr="00261B7A" w:rsidRDefault="0010265C" w:rsidP="00D41492">
            <w:pPr>
              <w:pStyle w:val="TableText"/>
              <w:spacing w:before="40" w:after="40"/>
              <w:jc w:val="right"/>
              <w:rPr>
                <w:rFonts w:asciiTheme="minorHAnsi" w:hAnsiTheme="minorHAnsi" w:cstheme="minorHAnsi"/>
              </w:rPr>
            </w:pPr>
            <w:r w:rsidRPr="00261B7A">
              <w:rPr>
                <w:rFonts w:asciiTheme="minorHAnsi" w:hAnsiTheme="minorHAnsi" w:cstheme="minorHAnsi"/>
                <w:szCs w:val="16"/>
              </w:rPr>
              <w:t>497.5</w:t>
            </w:r>
          </w:p>
        </w:tc>
      </w:tr>
      <w:tr w:rsidR="0010265C" w:rsidRPr="00261B7A" w14:paraId="1E303634" w14:textId="77777777" w:rsidTr="00771F44">
        <w:tc>
          <w:tcPr>
            <w:tcW w:w="2933" w:type="dxa"/>
            <w:tcBorders>
              <w:top w:val="single" w:sz="4" w:space="0" w:color="1B556B"/>
              <w:bottom w:val="single" w:sz="4" w:space="0" w:color="1B556B"/>
            </w:tcBorders>
          </w:tcPr>
          <w:p w14:paraId="304F8DB9" w14:textId="77777777" w:rsidR="0010265C" w:rsidRPr="00261B7A" w:rsidRDefault="0010265C" w:rsidP="00D41492">
            <w:pPr>
              <w:pStyle w:val="Tableboldblue"/>
              <w:spacing w:before="40" w:after="40"/>
              <w:jc w:val="right"/>
            </w:pPr>
            <w:r w:rsidRPr="00261B7A">
              <w:t>Total</w:t>
            </w:r>
          </w:p>
        </w:tc>
        <w:tc>
          <w:tcPr>
            <w:tcW w:w="1058" w:type="dxa"/>
            <w:tcBorders>
              <w:top w:val="single" w:sz="4" w:space="0" w:color="1B556B"/>
              <w:bottom w:val="single" w:sz="4" w:space="0" w:color="1B556B"/>
            </w:tcBorders>
          </w:tcPr>
          <w:p w14:paraId="76FCB112" w14:textId="77777777" w:rsidR="0010265C" w:rsidRPr="00261B7A" w:rsidRDefault="0010265C" w:rsidP="00D41492">
            <w:pPr>
              <w:pStyle w:val="Tableboldblue"/>
              <w:spacing w:before="40" w:after="40"/>
              <w:jc w:val="right"/>
              <w:rPr>
                <w:rFonts w:asciiTheme="minorHAnsi" w:hAnsiTheme="minorHAnsi" w:cstheme="minorHAnsi"/>
              </w:rPr>
            </w:pPr>
            <w:r w:rsidRPr="00261B7A">
              <w:rPr>
                <w:rFonts w:asciiTheme="minorHAnsi" w:hAnsiTheme="minorHAnsi" w:cstheme="minorHAnsi"/>
                <w:szCs w:val="16"/>
              </w:rPr>
              <w:t>895,297</w:t>
            </w:r>
          </w:p>
        </w:tc>
        <w:tc>
          <w:tcPr>
            <w:tcW w:w="1059" w:type="dxa"/>
            <w:tcBorders>
              <w:top w:val="single" w:sz="4" w:space="0" w:color="1B556B"/>
              <w:bottom w:val="single" w:sz="4" w:space="0" w:color="1B556B"/>
            </w:tcBorders>
          </w:tcPr>
          <w:p w14:paraId="5721E896" w14:textId="77777777" w:rsidR="0010265C" w:rsidRPr="00261B7A" w:rsidRDefault="0010265C" w:rsidP="00D41492">
            <w:pPr>
              <w:pStyle w:val="Tableboldblue"/>
              <w:spacing w:before="40" w:after="40"/>
              <w:jc w:val="right"/>
              <w:rPr>
                <w:rFonts w:asciiTheme="minorHAnsi" w:hAnsiTheme="minorHAnsi" w:cstheme="minorHAnsi"/>
              </w:rPr>
            </w:pPr>
            <w:r w:rsidRPr="00261B7A">
              <w:rPr>
                <w:rFonts w:asciiTheme="minorHAnsi" w:hAnsiTheme="minorHAnsi" w:cstheme="minorHAnsi"/>
                <w:szCs w:val="16"/>
              </w:rPr>
              <w:t>896,683</w:t>
            </w:r>
          </w:p>
        </w:tc>
        <w:tc>
          <w:tcPr>
            <w:tcW w:w="1208" w:type="dxa"/>
            <w:tcBorders>
              <w:top w:val="single" w:sz="4" w:space="0" w:color="1B556B"/>
              <w:bottom w:val="single" w:sz="4" w:space="0" w:color="1B556B"/>
            </w:tcBorders>
          </w:tcPr>
          <w:p w14:paraId="4AE4B5CE" w14:textId="77777777" w:rsidR="0010265C" w:rsidRPr="00261B7A" w:rsidRDefault="0010265C" w:rsidP="00D41492">
            <w:pPr>
              <w:pStyle w:val="Tableboldblue"/>
              <w:spacing w:before="40" w:after="40"/>
              <w:jc w:val="right"/>
              <w:rPr>
                <w:rFonts w:asciiTheme="minorHAnsi" w:hAnsiTheme="minorHAnsi" w:cstheme="minorHAnsi"/>
              </w:rPr>
            </w:pPr>
            <w:r w:rsidRPr="00261B7A">
              <w:rPr>
                <w:rFonts w:asciiTheme="minorHAnsi" w:hAnsiTheme="minorHAnsi" w:cstheme="minorHAnsi"/>
                <w:szCs w:val="16"/>
              </w:rPr>
              <w:t xml:space="preserve">13.8 </w:t>
            </w:r>
          </w:p>
        </w:tc>
        <w:tc>
          <w:tcPr>
            <w:tcW w:w="1059" w:type="dxa"/>
            <w:tcBorders>
              <w:top w:val="single" w:sz="4" w:space="0" w:color="1B556B"/>
              <w:bottom w:val="single" w:sz="4" w:space="0" w:color="1B556B"/>
            </w:tcBorders>
          </w:tcPr>
          <w:p w14:paraId="431F8E95" w14:textId="77777777" w:rsidR="0010265C" w:rsidRPr="00261B7A" w:rsidRDefault="0010265C" w:rsidP="00D41492">
            <w:pPr>
              <w:pStyle w:val="Tableboldblue"/>
              <w:spacing w:before="40" w:after="40"/>
              <w:jc w:val="right"/>
              <w:rPr>
                <w:rFonts w:asciiTheme="minorHAnsi" w:hAnsiTheme="minorHAnsi" w:cstheme="minorHAnsi"/>
              </w:rPr>
            </w:pPr>
            <w:r w:rsidRPr="00261B7A">
              <w:rPr>
                <w:rFonts w:asciiTheme="minorHAnsi" w:hAnsiTheme="minorHAnsi" w:cstheme="minorHAnsi"/>
                <w:szCs w:val="16"/>
              </w:rPr>
              <w:t xml:space="preserve">85.7 </w:t>
            </w:r>
          </w:p>
        </w:tc>
        <w:tc>
          <w:tcPr>
            <w:tcW w:w="1188" w:type="dxa"/>
            <w:tcBorders>
              <w:top w:val="single" w:sz="4" w:space="0" w:color="1B556B"/>
              <w:bottom w:val="single" w:sz="4" w:space="0" w:color="1B556B"/>
            </w:tcBorders>
          </w:tcPr>
          <w:p w14:paraId="2CADAF70" w14:textId="77777777" w:rsidR="0010265C" w:rsidRPr="00261B7A" w:rsidRDefault="0010265C" w:rsidP="00D41492">
            <w:pPr>
              <w:pStyle w:val="Tableboldblue"/>
              <w:spacing w:before="40" w:after="40"/>
              <w:jc w:val="right"/>
              <w:rPr>
                <w:rFonts w:asciiTheme="minorHAnsi" w:hAnsiTheme="minorHAnsi" w:cstheme="minorHAnsi"/>
              </w:rPr>
            </w:pPr>
            <w:r w:rsidRPr="00261B7A">
              <w:rPr>
                <w:rFonts w:asciiTheme="minorHAnsi" w:hAnsiTheme="minorHAnsi" w:cstheme="minorHAnsi"/>
                <w:szCs w:val="16"/>
              </w:rPr>
              <w:t>522.5</w:t>
            </w:r>
          </w:p>
        </w:tc>
      </w:tr>
    </w:tbl>
    <w:p w14:paraId="3A9C2C8D" w14:textId="77777777" w:rsidR="0010265C" w:rsidRPr="00261B7A" w:rsidRDefault="0010265C" w:rsidP="0010265C">
      <w:pPr>
        <w:pStyle w:val="Noteundertable"/>
        <w:spacing w:before="80" w:after="80"/>
      </w:pPr>
      <w:r w:rsidRPr="00261B7A">
        <w:rPr>
          <w:b/>
        </w:rPr>
        <w:t>Note:</w:t>
      </w:r>
      <w:r w:rsidRPr="00261B7A">
        <w:tab/>
        <w:t xml:space="preserve">Net area at 1990 is as of 1 January 1990; net area at 2021 is as of 31 December. </w:t>
      </w:r>
      <w:r w:rsidRPr="00261B7A">
        <w:rPr>
          <w:i/>
        </w:rPr>
        <w:t>Land converted to other land</w:t>
      </w:r>
      <w:r w:rsidRPr="00261B7A">
        <w:t xml:space="preserve"> includes land converted up to 20 years earlier. The net emission values for </w:t>
      </w:r>
      <w:r w:rsidRPr="00261B7A">
        <w:rPr>
          <w:i/>
        </w:rPr>
        <w:t>Other land remaining other land</w:t>
      </w:r>
      <w:r w:rsidRPr="00261B7A">
        <w:t xml:space="preserve"> are due to N</w:t>
      </w:r>
      <w:r w:rsidRPr="00261B7A">
        <w:rPr>
          <w:vertAlign w:val="subscript"/>
        </w:rPr>
        <w:t>2</w:t>
      </w:r>
      <w:r w:rsidRPr="00261B7A">
        <w:t>O emissions from N mineralisation as a result of land-use change. Columns may not total due to rounding.</w:t>
      </w:r>
    </w:p>
    <w:p w14:paraId="1465F7E4" w14:textId="77777777" w:rsidR="0010265C" w:rsidRPr="00261B7A" w:rsidRDefault="0010265C" w:rsidP="0010265C">
      <w:pPr>
        <w:pStyle w:val="Heading3"/>
      </w:pPr>
      <w:r w:rsidRPr="00261B7A">
        <w:t>6.8.2</w:t>
      </w:r>
      <w:r w:rsidRPr="00261B7A">
        <w:tab/>
        <w:t>Methodological issues</w:t>
      </w:r>
    </w:p>
    <w:p w14:paraId="26E39110" w14:textId="77777777" w:rsidR="0010265C" w:rsidRPr="00261B7A" w:rsidRDefault="0010265C" w:rsidP="0010265C">
      <w:pPr>
        <w:pStyle w:val="Heading4"/>
      </w:pPr>
      <w:r w:rsidRPr="00261B7A">
        <w:t>Other land remaining other land (CRF 4.F.1)</w:t>
      </w:r>
    </w:p>
    <w:p w14:paraId="0340E53D" w14:textId="77777777" w:rsidR="0010265C" w:rsidRPr="00261B7A" w:rsidRDefault="0010265C" w:rsidP="0010265C">
      <w:pPr>
        <w:pStyle w:val="BodyText"/>
      </w:pPr>
      <w:r w:rsidRPr="00261B7A">
        <w:t xml:space="preserve">A summary of the New Zealand emission factors and other parameters used to estimate greenhouse gas emissions for </w:t>
      </w:r>
      <w:r w:rsidRPr="00261B7A">
        <w:rPr>
          <w:i/>
        </w:rPr>
        <w:t>Other land</w:t>
      </w:r>
      <w:r w:rsidRPr="00261B7A">
        <w:t xml:space="preserve"> is provided in table 6.8.2.</w:t>
      </w:r>
    </w:p>
    <w:p w14:paraId="6BA70124" w14:textId="77777777" w:rsidR="0010265C" w:rsidRPr="00261B7A" w:rsidRDefault="0010265C" w:rsidP="008B4B62">
      <w:pPr>
        <w:pStyle w:val="Table"/>
      </w:pPr>
      <w:bookmarkStart w:id="2303" w:name="_Toc342470794"/>
      <w:bookmarkStart w:id="2304" w:name="_Toc352505034"/>
      <w:bookmarkStart w:id="2305" w:name="_Toc378853323"/>
      <w:bookmarkStart w:id="2306" w:name="_Toc391024121"/>
      <w:bookmarkStart w:id="2307" w:name="_Toc410028863"/>
      <w:bookmarkStart w:id="2308" w:name="_Toc414531491"/>
      <w:bookmarkStart w:id="2309" w:name="_Toc443645404"/>
      <w:bookmarkStart w:id="2310" w:name="_Toc474914623"/>
      <w:bookmarkStart w:id="2311" w:name="_Toc481751587"/>
      <w:bookmarkStart w:id="2312" w:name="_Toc522010644"/>
      <w:bookmarkStart w:id="2313" w:name="_Toc5269549"/>
      <w:bookmarkStart w:id="2314" w:name="_Toc33529423"/>
      <w:bookmarkStart w:id="2315" w:name="_Toc36224629"/>
      <w:bookmarkStart w:id="2316" w:name="_Toc131591423"/>
      <w:r w:rsidRPr="00261B7A">
        <w:t>Table 6.8.2</w:t>
      </w:r>
      <w:r w:rsidRPr="00261B7A">
        <w:tab/>
        <w:t>Summary of New Zealand emission factors for the land use category</w:t>
      </w:r>
      <w:bookmarkEnd w:id="2303"/>
      <w:bookmarkEnd w:id="2304"/>
      <w:bookmarkEnd w:id="2305"/>
      <w:r w:rsidRPr="00261B7A">
        <w:t xml:space="preserve"> </w:t>
      </w:r>
      <w:r w:rsidRPr="00261B7A">
        <w:rPr>
          <w:i/>
        </w:rPr>
        <w:t>Other land</w:t>
      </w:r>
      <w:bookmarkEnd w:id="2306"/>
      <w:bookmarkEnd w:id="2307"/>
      <w:bookmarkEnd w:id="2308"/>
      <w:bookmarkEnd w:id="2309"/>
      <w:bookmarkEnd w:id="2310"/>
      <w:bookmarkEnd w:id="2311"/>
      <w:bookmarkEnd w:id="2312"/>
      <w:bookmarkEnd w:id="2313"/>
      <w:bookmarkEnd w:id="2314"/>
      <w:bookmarkEnd w:id="2315"/>
      <w:bookmarkEnd w:id="2316"/>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1445"/>
        <w:gridCol w:w="1143"/>
        <w:gridCol w:w="1141"/>
        <w:gridCol w:w="2531"/>
        <w:gridCol w:w="2245"/>
      </w:tblGrid>
      <w:tr w:rsidR="0010265C" w:rsidRPr="00261B7A" w14:paraId="1453A7B8" w14:textId="77777777" w:rsidTr="00771F44">
        <w:tc>
          <w:tcPr>
            <w:tcW w:w="1501" w:type="dxa"/>
            <w:shd w:val="clear" w:color="auto" w:fill="1B556B" w:themeFill="text2"/>
          </w:tcPr>
          <w:p w14:paraId="00E3B3D3" w14:textId="77777777" w:rsidR="0010265C" w:rsidRPr="00261B7A" w:rsidRDefault="0010265C" w:rsidP="00D41492">
            <w:pPr>
              <w:pStyle w:val="TableTextBold"/>
              <w:keepNext/>
              <w:rPr>
                <w:noProof w:val="0"/>
                <w:color w:val="FFFFFF"/>
              </w:rPr>
            </w:pPr>
            <w:r w:rsidRPr="00261B7A">
              <w:rPr>
                <w:noProof w:val="0"/>
                <w:color w:val="FFFFFF"/>
              </w:rPr>
              <w:t xml:space="preserve">Other land </w:t>
            </w:r>
            <w:r w:rsidRPr="00261B7A">
              <w:rPr>
                <w:noProof w:val="0"/>
                <w:color w:val="FFFFFF"/>
              </w:rPr>
              <w:br/>
              <w:t>greenhouse gas source category</w:t>
            </w:r>
          </w:p>
        </w:tc>
        <w:tc>
          <w:tcPr>
            <w:tcW w:w="1200" w:type="dxa"/>
            <w:shd w:val="clear" w:color="auto" w:fill="1B556B" w:themeFill="text2"/>
            <w:vAlign w:val="bottom"/>
          </w:tcPr>
          <w:p w14:paraId="3A7665DE" w14:textId="77777777" w:rsidR="0010265C" w:rsidRPr="00261B7A" w:rsidRDefault="0010265C" w:rsidP="00D41492">
            <w:pPr>
              <w:pStyle w:val="TableTextBold"/>
              <w:keepNext/>
              <w:rPr>
                <w:noProof w:val="0"/>
                <w:color w:val="FFFFFF"/>
              </w:rPr>
            </w:pPr>
            <w:r w:rsidRPr="00261B7A">
              <w:rPr>
                <w:noProof w:val="0"/>
                <w:color w:val="FFFFFF"/>
              </w:rPr>
              <w:t xml:space="preserve">Steady state carbon stock </w:t>
            </w:r>
            <w:r w:rsidRPr="00261B7A">
              <w:rPr>
                <w:noProof w:val="0"/>
                <w:color w:val="FFFFFF"/>
              </w:rPr>
              <w:br/>
              <w:t>(t C ha</w:t>
            </w:r>
            <w:r w:rsidRPr="00261B7A">
              <w:rPr>
                <w:noProof w:val="0"/>
                <w:color w:val="FFFFFF"/>
                <w:vertAlign w:val="superscript"/>
              </w:rPr>
              <w:t>–1</w:t>
            </w:r>
            <w:r w:rsidRPr="00261B7A">
              <w:rPr>
                <w:noProof w:val="0"/>
                <w:color w:val="FFFFFF"/>
              </w:rPr>
              <w:t>)</w:t>
            </w:r>
          </w:p>
        </w:tc>
        <w:tc>
          <w:tcPr>
            <w:tcW w:w="1200" w:type="dxa"/>
            <w:shd w:val="clear" w:color="auto" w:fill="1B556B" w:themeFill="text2"/>
            <w:vAlign w:val="bottom"/>
          </w:tcPr>
          <w:p w14:paraId="6B2EC2AC" w14:textId="77777777" w:rsidR="0010265C" w:rsidRPr="00261B7A" w:rsidRDefault="0010265C" w:rsidP="00D41492">
            <w:pPr>
              <w:pStyle w:val="TableTextBold"/>
              <w:keepNext/>
              <w:rPr>
                <w:noProof w:val="0"/>
                <w:color w:val="FFFFFF"/>
              </w:rPr>
            </w:pPr>
            <w:r w:rsidRPr="00261B7A">
              <w:rPr>
                <w:noProof w:val="0"/>
                <w:color w:val="FFFFFF"/>
              </w:rPr>
              <w:t>Years to reach steady state</w:t>
            </w:r>
          </w:p>
        </w:tc>
        <w:tc>
          <w:tcPr>
            <w:tcW w:w="2701" w:type="dxa"/>
            <w:shd w:val="clear" w:color="auto" w:fill="1B556B" w:themeFill="text2"/>
            <w:vAlign w:val="bottom"/>
          </w:tcPr>
          <w:p w14:paraId="7BEF41A8" w14:textId="77777777" w:rsidR="0010265C" w:rsidRPr="00261B7A" w:rsidRDefault="0010265C" w:rsidP="00D41492">
            <w:pPr>
              <w:pStyle w:val="TableTextBold"/>
              <w:keepNext/>
              <w:rPr>
                <w:noProof w:val="0"/>
                <w:color w:val="FFFFFF"/>
              </w:rPr>
            </w:pPr>
            <w:r w:rsidRPr="00261B7A">
              <w:rPr>
                <w:noProof w:val="0"/>
                <w:color w:val="FFFFFF"/>
              </w:rPr>
              <w:t xml:space="preserve">Carbon stock change on conversion to Other land </w:t>
            </w:r>
            <w:r w:rsidRPr="00261B7A">
              <w:rPr>
                <w:noProof w:val="0"/>
                <w:color w:val="FFFFFF"/>
              </w:rPr>
              <w:br/>
              <w:t>(t C ha</w:t>
            </w:r>
            <w:r w:rsidRPr="00261B7A">
              <w:rPr>
                <w:noProof w:val="0"/>
                <w:color w:val="FFFFFF"/>
                <w:vertAlign w:val="superscript"/>
              </w:rPr>
              <w:t>–1</w:t>
            </w:r>
            <w:r w:rsidRPr="00261B7A">
              <w:rPr>
                <w:noProof w:val="0"/>
                <w:color w:val="FFFFFF"/>
              </w:rPr>
              <w:t>)</w:t>
            </w:r>
          </w:p>
        </w:tc>
        <w:tc>
          <w:tcPr>
            <w:tcW w:w="2401" w:type="dxa"/>
            <w:shd w:val="clear" w:color="auto" w:fill="1B556B" w:themeFill="text2"/>
            <w:vAlign w:val="bottom"/>
          </w:tcPr>
          <w:p w14:paraId="24B6CFEE" w14:textId="77777777" w:rsidR="0010265C" w:rsidRPr="00261B7A" w:rsidRDefault="0010265C" w:rsidP="00D41492">
            <w:pPr>
              <w:pStyle w:val="TableTextBold"/>
              <w:keepNext/>
              <w:rPr>
                <w:noProof w:val="0"/>
                <w:color w:val="FFFFFF"/>
              </w:rPr>
            </w:pPr>
            <w:r w:rsidRPr="00261B7A">
              <w:rPr>
                <w:noProof w:val="0"/>
                <w:color w:val="FFFFFF"/>
              </w:rPr>
              <w:t>Reference</w:t>
            </w:r>
          </w:p>
        </w:tc>
      </w:tr>
      <w:tr w:rsidR="0010265C" w:rsidRPr="00261B7A" w14:paraId="43135EA3" w14:textId="77777777" w:rsidTr="00771F44">
        <w:tc>
          <w:tcPr>
            <w:tcW w:w="1501" w:type="dxa"/>
          </w:tcPr>
          <w:p w14:paraId="6855F18B" w14:textId="77777777" w:rsidR="0010265C" w:rsidRPr="00261B7A" w:rsidRDefault="0010265C" w:rsidP="00D41492">
            <w:pPr>
              <w:pStyle w:val="TableText"/>
              <w:spacing w:before="50" w:after="50"/>
            </w:pPr>
            <w:r w:rsidRPr="00261B7A">
              <w:t>Biomass</w:t>
            </w:r>
          </w:p>
        </w:tc>
        <w:tc>
          <w:tcPr>
            <w:tcW w:w="1200" w:type="dxa"/>
          </w:tcPr>
          <w:p w14:paraId="44204813" w14:textId="77777777" w:rsidR="0010265C" w:rsidRPr="00261B7A" w:rsidRDefault="0010265C" w:rsidP="00D41492">
            <w:pPr>
              <w:pStyle w:val="TableText"/>
              <w:spacing w:before="50" w:after="50"/>
            </w:pPr>
            <w:r w:rsidRPr="00261B7A">
              <w:t>NE</w:t>
            </w:r>
          </w:p>
        </w:tc>
        <w:tc>
          <w:tcPr>
            <w:tcW w:w="1200" w:type="dxa"/>
          </w:tcPr>
          <w:p w14:paraId="2579CDEE" w14:textId="77777777" w:rsidR="0010265C" w:rsidRPr="00261B7A" w:rsidRDefault="0010265C" w:rsidP="00D41492">
            <w:pPr>
              <w:pStyle w:val="TableText"/>
              <w:spacing w:before="50" w:after="50"/>
            </w:pPr>
            <w:r w:rsidRPr="00261B7A">
              <w:t>NA</w:t>
            </w:r>
          </w:p>
        </w:tc>
        <w:tc>
          <w:tcPr>
            <w:tcW w:w="2701" w:type="dxa"/>
          </w:tcPr>
          <w:p w14:paraId="4CDDF2CF" w14:textId="77777777" w:rsidR="0010265C" w:rsidRPr="00261B7A" w:rsidRDefault="0010265C" w:rsidP="00D41492">
            <w:pPr>
              <w:pStyle w:val="TableText"/>
              <w:spacing w:before="50" w:after="50"/>
            </w:pPr>
            <w:r w:rsidRPr="00261B7A">
              <w:t>Instantaneous loss of previous land use carbon stock</w:t>
            </w:r>
          </w:p>
        </w:tc>
        <w:tc>
          <w:tcPr>
            <w:tcW w:w="2401" w:type="dxa"/>
          </w:tcPr>
          <w:p w14:paraId="79B8D6BF" w14:textId="77777777" w:rsidR="0010265C" w:rsidRPr="00261B7A" w:rsidRDefault="0010265C" w:rsidP="00D41492">
            <w:pPr>
              <w:pStyle w:val="TableText"/>
              <w:spacing w:before="50" w:after="50"/>
            </w:pPr>
            <w:r w:rsidRPr="00261B7A">
              <w:t>IPCC Tier 1 default assumption (section 9.3.1, IPCC, 2006a)</w:t>
            </w:r>
          </w:p>
        </w:tc>
      </w:tr>
      <w:tr w:rsidR="0010265C" w:rsidRPr="00261B7A" w14:paraId="6BBDA10F" w14:textId="77777777" w:rsidTr="00771F44">
        <w:tc>
          <w:tcPr>
            <w:tcW w:w="1501" w:type="dxa"/>
          </w:tcPr>
          <w:p w14:paraId="592279CA" w14:textId="77777777" w:rsidR="0010265C" w:rsidRPr="00261B7A" w:rsidRDefault="0010265C" w:rsidP="00D41492">
            <w:pPr>
              <w:pStyle w:val="TableText"/>
              <w:spacing w:before="50" w:after="50"/>
            </w:pPr>
            <w:r w:rsidRPr="00261B7A">
              <w:t>Soils (mineral)</w:t>
            </w:r>
          </w:p>
        </w:tc>
        <w:tc>
          <w:tcPr>
            <w:tcW w:w="1200" w:type="dxa"/>
          </w:tcPr>
          <w:p w14:paraId="1AA72DC6" w14:textId="77777777" w:rsidR="0010265C" w:rsidRPr="00261B7A" w:rsidRDefault="0010265C" w:rsidP="00D41492">
            <w:pPr>
              <w:pStyle w:val="TableText"/>
              <w:spacing w:before="50" w:after="50"/>
            </w:pPr>
            <w:r w:rsidRPr="00261B7A">
              <w:t>58.37</w:t>
            </w:r>
          </w:p>
        </w:tc>
        <w:tc>
          <w:tcPr>
            <w:tcW w:w="1200" w:type="dxa"/>
          </w:tcPr>
          <w:p w14:paraId="1A93D448" w14:textId="77777777" w:rsidR="0010265C" w:rsidRPr="00261B7A" w:rsidRDefault="0010265C" w:rsidP="00D41492">
            <w:pPr>
              <w:pStyle w:val="TableText"/>
              <w:spacing w:before="50" w:after="50"/>
            </w:pPr>
            <w:r w:rsidRPr="00261B7A">
              <w:t>20</w:t>
            </w:r>
          </w:p>
        </w:tc>
        <w:tc>
          <w:tcPr>
            <w:tcW w:w="2701" w:type="dxa"/>
          </w:tcPr>
          <w:p w14:paraId="34438F58" w14:textId="77777777" w:rsidR="0010265C" w:rsidRPr="00261B7A" w:rsidRDefault="0010265C" w:rsidP="00D41492">
            <w:pPr>
              <w:pStyle w:val="TableText"/>
              <w:spacing w:before="50" w:after="50"/>
            </w:pPr>
            <w:r w:rsidRPr="00261B7A">
              <w:t>Linear change over the conversion period between new and previous stock values</w:t>
            </w:r>
          </w:p>
        </w:tc>
        <w:tc>
          <w:tcPr>
            <w:tcW w:w="2401" w:type="dxa"/>
          </w:tcPr>
          <w:p w14:paraId="1EDEFDDC" w14:textId="77777777" w:rsidR="0010265C" w:rsidRPr="00261B7A" w:rsidRDefault="0010265C" w:rsidP="00D41492">
            <w:pPr>
              <w:pStyle w:val="TableText"/>
              <w:spacing w:before="50" w:after="50"/>
            </w:pPr>
            <w:r w:rsidRPr="00261B7A">
              <w:t>Section 6.3 of this submission</w:t>
            </w:r>
          </w:p>
        </w:tc>
      </w:tr>
    </w:tbl>
    <w:p w14:paraId="64D8A8DE" w14:textId="77777777" w:rsidR="0010265C" w:rsidRPr="00261B7A" w:rsidRDefault="0010265C" w:rsidP="0010265C">
      <w:pPr>
        <w:pStyle w:val="Noteundertable"/>
        <w:spacing w:before="80"/>
      </w:pPr>
      <w:r w:rsidRPr="00261B7A">
        <w:rPr>
          <w:b/>
        </w:rPr>
        <w:t>Note:</w:t>
      </w:r>
      <w:r w:rsidRPr="00261B7A">
        <w:tab/>
        <w:t>NA = not applicable; NE = not estimated.</w:t>
      </w:r>
    </w:p>
    <w:p w14:paraId="66D3468E" w14:textId="77777777" w:rsidR="0010265C" w:rsidRPr="00261B7A" w:rsidRDefault="0010265C" w:rsidP="0010265C">
      <w:pPr>
        <w:pStyle w:val="Heading5"/>
      </w:pPr>
      <w:r w:rsidRPr="00261B7A">
        <w:t>Living biomass and dead organic matter</w:t>
      </w:r>
    </w:p>
    <w:p w14:paraId="5246A3BB" w14:textId="77777777" w:rsidR="0010265C" w:rsidRPr="00261B7A" w:rsidRDefault="0010265C" w:rsidP="0010265C">
      <w:pPr>
        <w:pStyle w:val="BodyText"/>
      </w:pPr>
      <w:r w:rsidRPr="00261B7A">
        <w:rPr>
          <w:spacing w:val="-2"/>
        </w:rPr>
        <w:t xml:space="preserve">All of New Zealand’s land area in the </w:t>
      </w:r>
      <w:r w:rsidRPr="00261B7A">
        <w:rPr>
          <w:i/>
          <w:spacing w:val="-2"/>
        </w:rPr>
        <w:t>Other land</w:t>
      </w:r>
      <w:r w:rsidRPr="00261B7A">
        <w:rPr>
          <w:spacing w:val="-2"/>
        </w:rPr>
        <w:t xml:space="preserve"> category is classified as ‘managed’. New Zealand</w:t>
      </w:r>
      <w:r w:rsidRPr="00261B7A">
        <w:t xml:space="preserve"> considers all land to be managed, because all land is under some form of management plan, regardless of the intensity and/or type of land-management practices. Reporting for the category </w:t>
      </w:r>
      <w:r w:rsidRPr="00261B7A">
        <w:rPr>
          <w:i/>
        </w:rPr>
        <w:t>Other land remaining other land</w:t>
      </w:r>
      <w:r w:rsidRPr="00261B7A">
        <w:t xml:space="preserve"> is not mandatory. New Zealand applies the Tier 1 approach to this category, which assumes carbon accumulation and loss for the biomass pool is zero in all years subsequent to the year of conversion (section 9.3.1, IPCC, 2006a).</w:t>
      </w:r>
    </w:p>
    <w:p w14:paraId="7B041738" w14:textId="77777777" w:rsidR="0010265C" w:rsidRPr="00261B7A" w:rsidRDefault="0010265C" w:rsidP="0010265C">
      <w:pPr>
        <w:pStyle w:val="Heading5"/>
        <w:spacing w:before="160"/>
      </w:pPr>
      <w:r w:rsidRPr="00261B7A">
        <w:t>Soil organic carbon</w:t>
      </w:r>
    </w:p>
    <w:p w14:paraId="66FBBAD3" w14:textId="77777777" w:rsidR="0010265C" w:rsidRPr="00261B7A" w:rsidRDefault="0010265C" w:rsidP="0010265C">
      <w:pPr>
        <w:pStyle w:val="BodyText"/>
      </w:pPr>
      <w:r w:rsidRPr="00261B7A">
        <w:t xml:space="preserve">Soil organic carbon stocks in </w:t>
      </w:r>
      <w:r w:rsidRPr="00261B7A">
        <w:rPr>
          <w:i/>
        </w:rPr>
        <w:t>Other land remaining other land</w:t>
      </w:r>
      <w:r w:rsidRPr="00261B7A">
        <w:t xml:space="preserve"> are estimated using a Tier 2 method for mineral soils (see annex A3.2.4 ‘Mineral soils’). The steady state mineral SOC stock in </w:t>
      </w:r>
      <w:r w:rsidRPr="00261B7A">
        <w:rPr>
          <w:i/>
        </w:rPr>
        <w:t>Other land</w:t>
      </w:r>
      <w:r w:rsidRPr="00261B7A">
        <w:t xml:space="preserve"> is estimated to be </w:t>
      </w:r>
      <w:r w:rsidRPr="00261B7A">
        <w:rPr>
          <w:color w:val="000000"/>
        </w:rPr>
        <w:t>58.37 </w:t>
      </w:r>
      <w:r w:rsidRPr="00261B7A">
        <w:t>tonnes C ha</w:t>
      </w:r>
      <w:r w:rsidRPr="00261B7A">
        <w:rPr>
          <w:vertAlign w:val="superscript"/>
        </w:rPr>
        <w:t>–1</w:t>
      </w:r>
      <w:r w:rsidRPr="00261B7A">
        <w:t xml:space="preserve">. This is based on only three samples so has </w:t>
      </w:r>
      <w:r w:rsidRPr="00261B7A">
        <w:rPr>
          <w:spacing w:val="-2"/>
        </w:rPr>
        <w:t>an associated uncertainty of ±70.7 per cent (McNeill and Barringer, unpublished). The 2006 IPCC</w:t>
      </w:r>
      <w:r w:rsidRPr="00261B7A">
        <w:t xml:space="preserve"> Guidelines provides a default value for soil carbon in </w:t>
      </w:r>
      <w:r w:rsidRPr="00261B7A">
        <w:rPr>
          <w:i/>
        </w:rPr>
        <w:t xml:space="preserve">Other land </w:t>
      </w:r>
      <w:r w:rsidRPr="00261B7A">
        <w:t>of 0 tonnes C ha</w:t>
      </w:r>
      <w:r w:rsidRPr="00261B7A">
        <w:rPr>
          <w:vertAlign w:val="superscript"/>
        </w:rPr>
        <w:t>-1</w:t>
      </w:r>
      <w:r w:rsidRPr="00261B7A">
        <w:t xml:space="preserve"> (section 9.3.3.2, IPCC, 2006a). However, due to the hierarchical structure of defining land use classes, </w:t>
      </w:r>
      <w:r w:rsidRPr="00261B7A">
        <w:rPr>
          <w:i/>
        </w:rPr>
        <w:t>Other land</w:t>
      </w:r>
      <w:r w:rsidRPr="00261B7A">
        <w:t xml:space="preserve"> is defined as “any other remaining land that does not fall into any of the other land use categories”, which can result in the SOC measured potentially being greater than zero.</w:t>
      </w:r>
    </w:p>
    <w:p w14:paraId="623B17AD" w14:textId="77777777" w:rsidR="0010265C" w:rsidRPr="00261B7A" w:rsidRDefault="0010265C" w:rsidP="0010265C">
      <w:pPr>
        <w:pStyle w:val="Heading4"/>
      </w:pPr>
      <w:r w:rsidRPr="00261B7A">
        <w:t>Land converted to other land (CRF 4.F.2)</w:t>
      </w:r>
    </w:p>
    <w:p w14:paraId="10083EB0" w14:textId="77777777" w:rsidR="0010265C" w:rsidRPr="00261B7A" w:rsidRDefault="0010265C" w:rsidP="0010265C">
      <w:pPr>
        <w:pStyle w:val="Heading5"/>
        <w:spacing w:before="160"/>
      </w:pPr>
      <w:r w:rsidRPr="00261B7A">
        <w:t>Living biomass and dead organic matter</w:t>
      </w:r>
    </w:p>
    <w:p w14:paraId="27599C90" w14:textId="77777777" w:rsidR="0010265C" w:rsidRPr="00261B7A" w:rsidRDefault="0010265C" w:rsidP="0010265C">
      <w:pPr>
        <w:pStyle w:val="BodyText"/>
      </w:pPr>
      <w:r w:rsidRPr="00261B7A">
        <w:t xml:space="preserve">New Zealand uses a Tier 1 method to calculate emissions for </w:t>
      </w:r>
      <w:r w:rsidRPr="00261B7A">
        <w:rPr>
          <w:i/>
        </w:rPr>
        <w:t>Land converted to other land</w:t>
      </w:r>
      <w:r w:rsidRPr="00261B7A">
        <w:t xml:space="preserve"> (equation 2.16, IPCC, 2006a). This is the same as the method used for other areas of land use conversion (e.g., </w:t>
      </w:r>
      <w:r w:rsidRPr="00261B7A">
        <w:rPr>
          <w:i/>
        </w:rPr>
        <w:t>Land converted to cropland</w:t>
      </w:r>
      <w:r w:rsidRPr="00261B7A">
        <w:t xml:space="preserve">). The Tier 1 method assumes the carbon in living biomass and dead organic matter present before conversion is lost and instantly oxidised in the same year as the conversion takes place and that carbon stocks in living biomass and dead organic matter following conversion are equal to zero. There is no Tier 1 method for calculating carbon accumulation in living biomass or dead organic matter for </w:t>
      </w:r>
      <w:r w:rsidRPr="00261B7A">
        <w:rPr>
          <w:i/>
        </w:rPr>
        <w:t>Land converted to other land</w:t>
      </w:r>
      <w:r w:rsidRPr="00261B7A">
        <w:t>.</w:t>
      </w:r>
    </w:p>
    <w:p w14:paraId="33D803C0" w14:textId="77777777" w:rsidR="0010265C" w:rsidRPr="00261B7A" w:rsidRDefault="0010265C" w:rsidP="00120E92">
      <w:pPr>
        <w:pStyle w:val="Heading5"/>
      </w:pPr>
      <w:r w:rsidRPr="00261B7A">
        <w:t>Soil organic carbon</w:t>
      </w:r>
    </w:p>
    <w:p w14:paraId="0114A283" w14:textId="77777777" w:rsidR="0010265C" w:rsidRPr="00261B7A" w:rsidRDefault="0010265C" w:rsidP="0010265C">
      <w:pPr>
        <w:pStyle w:val="BodyText"/>
      </w:pPr>
      <w:r w:rsidRPr="00261B7A">
        <w:t xml:space="preserve">Soil organic carbon stocks in </w:t>
      </w:r>
      <w:r w:rsidRPr="00261B7A">
        <w:rPr>
          <w:i/>
        </w:rPr>
        <w:t>Land converted to other land</w:t>
      </w:r>
      <w:r w:rsidRPr="00261B7A">
        <w:t xml:space="preserve"> before conversion are estimated using a Tier 2 method (see annex A3.2.4 ‘Mineral soils’). The IPCC default method of a linear change over a 20</w:t>
      </w:r>
      <w:r w:rsidRPr="00261B7A">
        <w:noBreakHyphen/>
        <w:t>year period is used to estimate the change in SOC stocks between the original land use and other land for any given period.</w:t>
      </w:r>
    </w:p>
    <w:p w14:paraId="0FAB3331" w14:textId="77777777" w:rsidR="0010265C" w:rsidRPr="00261B7A" w:rsidRDefault="0010265C" w:rsidP="0010265C">
      <w:pPr>
        <w:pStyle w:val="Heading3"/>
      </w:pPr>
      <w:r w:rsidRPr="00261B7A">
        <w:t>6.8.3</w:t>
      </w:r>
      <w:r w:rsidRPr="00261B7A">
        <w:tab/>
        <w:t>Uncertainties and time-series consistency</w:t>
      </w:r>
    </w:p>
    <w:p w14:paraId="35D789BD" w14:textId="77777777" w:rsidR="0010265C" w:rsidRPr="00261B7A" w:rsidRDefault="0010265C" w:rsidP="0010265C">
      <w:pPr>
        <w:pStyle w:val="BodyText"/>
      </w:pPr>
      <w:r w:rsidRPr="00261B7A">
        <w:t xml:space="preserve">The uncertainty in net carbon emissions from </w:t>
      </w:r>
      <w:r w:rsidRPr="00261B7A">
        <w:rPr>
          <w:i/>
          <w:iCs/>
        </w:rPr>
        <w:t>Other</w:t>
      </w:r>
      <w:r w:rsidRPr="00261B7A">
        <w:rPr>
          <w:i/>
        </w:rPr>
        <w:t xml:space="preserve"> land</w:t>
      </w:r>
      <w:r w:rsidRPr="00261B7A">
        <w:t xml:space="preserve"> was 86.9 per cent in 2021. Emissions from </w:t>
      </w:r>
      <w:r w:rsidRPr="00261B7A">
        <w:rPr>
          <w:i/>
        </w:rPr>
        <w:t>Other land</w:t>
      </w:r>
      <w:r w:rsidRPr="00261B7A">
        <w:t xml:space="preserve"> accounted for 0.4 per cent of the net emissions from the LULUCF sector. The methods used to calculate the uncertainty are further described in annex A3.2.8.</w:t>
      </w:r>
    </w:p>
    <w:p w14:paraId="28CBD9B6" w14:textId="77777777" w:rsidR="0010265C" w:rsidRPr="00261B7A" w:rsidRDefault="0010265C" w:rsidP="0010265C">
      <w:pPr>
        <w:pStyle w:val="BodyText"/>
      </w:pPr>
      <w:r w:rsidRPr="00261B7A">
        <w:t xml:space="preserve">Time-series consistency is ensured by applying consistent methods and full recalculations in the event of any refinement or improvement to methodology. </w:t>
      </w:r>
    </w:p>
    <w:p w14:paraId="2F6BE632" w14:textId="77777777" w:rsidR="0010265C" w:rsidRPr="00261B7A" w:rsidRDefault="0010265C" w:rsidP="0010265C">
      <w:pPr>
        <w:pStyle w:val="Heading3"/>
      </w:pPr>
      <w:r w:rsidRPr="00261B7A">
        <w:t>6.8.4</w:t>
      </w:r>
      <w:r w:rsidRPr="00261B7A">
        <w:tab/>
        <w:t>Category-specific QA/QC and verification</w:t>
      </w:r>
    </w:p>
    <w:p w14:paraId="596AE627" w14:textId="77777777" w:rsidR="0010265C" w:rsidRPr="00261B7A" w:rsidRDefault="0010265C" w:rsidP="0010265C">
      <w:pPr>
        <w:pStyle w:val="BodyText"/>
      </w:pPr>
      <w:r w:rsidRPr="00261B7A">
        <w:t>In the preparation of this inventory, the data for these emissions underwent Tier 1 quality checks.</w:t>
      </w:r>
    </w:p>
    <w:p w14:paraId="750C45C6" w14:textId="77777777" w:rsidR="0010265C" w:rsidRPr="00261B7A" w:rsidRDefault="0010265C" w:rsidP="0010265C">
      <w:pPr>
        <w:pStyle w:val="Heading3"/>
      </w:pPr>
      <w:r w:rsidRPr="00261B7A">
        <w:t>6.8.5</w:t>
      </w:r>
      <w:r w:rsidRPr="00261B7A">
        <w:tab/>
        <w:t>Category-specific recalculations</w:t>
      </w:r>
    </w:p>
    <w:p w14:paraId="72DDB470" w14:textId="77777777" w:rsidR="0010265C" w:rsidRPr="00261B7A" w:rsidRDefault="0010265C" w:rsidP="0010265C">
      <w:pPr>
        <w:pStyle w:val="BodyText"/>
        <w:rPr>
          <w:spacing w:val="-2"/>
        </w:rPr>
      </w:pPr>
      <w:r w:rsidRPr="00261B7A">
        <w:rPr>
          <w:spacing w:val="-2"/>
        </w:rPr>
        <w:t>The impact of recalculations on net CO</w:t>
      </w:r>
      <w:r w:rsidRPr="00261B7A">
        <w:rPr>
          <w:spacing w:val="-2"/>
          <w:vertAlign w:val="subscript"/>
        </w:rPr>
        <w:t>2</w:t>
      </w:r>
      <w:r w:rsidRPr="00261B7A">
        <w:rPr>
          <w:spacing w:val="-2"/>
        </w:rPr>
        <w:t xml:space="preserve">-e emission estimates for the </w:t>
      </w:r>
      <w:r w:rsidRPr="00261B7A">
        <w:rPr>
          <w:i/>
          <w:spacing w:val="-2"/>
        </w:rPr>
        <w:t>Other land</w:t>
      </w:r>
      <w:r w:rsidRPr="00261B7A">
        <w:rPr>
          <w:spacing w:val="-2"/>
        </w:rPr>
        <w:t xml:space="preserve"> category is shown in table 6.8.3</w:t>
      </w:r>
      <w:r w:rsidRPr="00261B7A" w:rsidDel="00B01A6B">
        <w:rPr>
          <w:spacing w:val="-2"/>
        </w:rPr>
        <w:t>.</w:t>
      </w:r>
      <w:r w:rsidRPr="00261B7A">
        <w:rPr>
          <w:spacing w:val="-2"/>
        </w:rPr>
        <w:t xml:space="preserve"> Recalculations were carried out for this category as a result of mapping data as described section 6.2 and annex A3.2.2. </w:t>
      </w:r>
      <w:r w:rsidRPr="00261B7A">
        <w:t xml:space="preserve">Recalculations in the </w:t>
      </w:r>
      <w:r w:rsidRPr="00261B7A">
        <w:rPr>
          <w:i/>
        </w:rPr>
        <w:t xml:space="preserve">Other land </w:t>
      </w:r>
      <w:r w:rsidRPr="00261B7A">
        <w:t xml:space="preserve">category are largely due to emissions associated with small mapping changes to the areas of deforestation that have been converted to </w:t>
      </w:r>
      <w:r w:rsidRPr="00261B7A">
        <w:rPr>
          <w:i/>
        </w:rPr>
        <w:t>Other lands</w:t>
      </w:r>
      <w:r w:rsidRPr="00261B7A">
        <w:t>.</w:t>
      </w:r>
      <w:r w:rsidRPr="00261B7A">
        <w:rPr>
          <w:spacing w:val="-2"/>
        </w:rPr>
        <w:t xml:space="preserve"> </w:t>
      </w:r>
    </w:p>
    <w:p w14:paraId="3E60221A" w14:textId="77777777" w:rsidR="0010265C" w:rsidRPr="00261B7A" w:rsidRDefault="0010265C" w:rsidP="0010265C">
      <w:pPr>
        <w:pStyle w:val="Table"/>
      </w:pPr>
      <w:bookmarkStart w:id="2317" w:name="_Toc342470796"/>
      <w:bookmarkStart w:id="2318" w:name="_Toc352505036"/>
      <w:bookmarkStart w:id="2319" w:name="_Toc378853325"/>
      <w:bookmarkStart w:id="2320" w:name="_Toc391024123"/>
      <w:bookmarkStart w:id="2321" w:name="_Toc410028865"/>
      <w:bookmarkStart w:id="2322" w:name="_Toc414531493"/>
      <w:bookmarkStart w:id="2323" w:name="_Toc443645406"/>
      <w:bookmarkStart w:id="2324" w:name="_Toc474914625"/>
      <w:bookmarkStart w:id="2325" w:name="_Toc481751589"/>
      <w:bookmarkStart w:id="2326" w:name="_Toc522010646"/>
      <w:bookmarkStart w:id="2327" w:name="_Toc5269551"/>
      <w:bookmarkStart w:id="2328" w:name="_Toc33529425"/>
      <w:bookmarkStart w:id="2329" w:name="_Toc36224631"/>
      <w:bookmarkStart w:id="2330" w:name="_Toc131591424"/>
      <w:r w:rsidRPr="00261B7A">
        <w:t>Table 6.8.3</w:t>
      </w:r>
      <w:r w:rsidRPr="00261B7A">
        <w:tab/>
        <w:t xml:space="preserve">Recalculations for New Zealand’s net emissions from the </w:t>
      </w:r>
      <w:r w:rsidRPr="00261B7A">
        <w:rPr>
          <w:i/>
        </w:rPr>
        <w:t>Other land</w:t>
      </w:r>
      <w:r w:rsidRPr="00261B7A">
        <w:t xml:space="preserve"> category in 1990 and </w:t>
      </w:r>
      <w:bookmarkEnd w:id="2317"/>
      <w:bookmarkEnd w:id="2318"/>
      <w:bookmarkEnd w:id="2319"/>
      <w:bookmarkEnd w:id="2320"/>
      <w:bookmarkEnd w:id="2321"/>
      <w:bookmarkEnd w:id="2322"/>
      <w:bookmarkEnd w:id="2323"/>
      <w:bookmarkEnd w:id="2324"/>
      <w:bookmarkEnd w:id="2325"/>
      <w:bookmarkEnd w:id="2326"/>
      <w:bookmarkEnd w:id="2327"/>
      <w:bookmarkEnd w:id="2328"/>
      <w:bookmarkEnd w:id="2329"/>
      <w:r w:rsidRPr="00261B7A">
        <w:t>2020</w:t>
      </w:r>
      <w:bookmarkEnd w:id="2330"/>
    </w:p>
    <w:tbl>
      <w:tblPr>
        <w:tblW w:w="8505" w:type="dxa"/>
        <w:tblLook w:val="04A0" w:firstRow="1" w:lastRow="0" w:firstColumn="1" w:lastColumn="0" w:noHBand="0" w:noVBand="1"/>
      </w:tblPr>
      <w:tblGrid>
        <w:gridCol w:w="1109"/>
        <w:gridCol w:w="1849"/>
        <w:gridCol w:w="1849"/>
        <w:gridCol w:w="1849"/>
        <w:gridCol w:w="1849"/>
      </w:tblGrid>
      <w:tr w:rsidR="0010265C" w:rsidRPr="00261B7A" w14:paraId="763BDBE7" w14:textId="77777777" w:rsidTr="00EF2F22">
        <w:tc>
          <w:tcPr>
            <w:tcW w:w="652" w:type="pct"/>
            <w:vMerge w:val="restart"/>
            <w:tcBorders>
              <w:top w:val="single" w:sz="4" w:space="0" w:color="1B556B"/>
            </w:tcBorders>
            <w:shd w:val="clear" w:color="auto" w:fill="1B556B"/>
            <w:vAlign w:val="bottom"/>
          </w:tcPr>
          <w:p w14:paraId="09090B34" w14:textId="77777777" w:rsidR="0010265C" w:rsidRPr="00261B7A" w:rsidRDefault="0010265C" w:rsidP="00D41492">
            <w:pPr>
              <w:pStyle w:val="TableTextBold"/>
              <w:rPr>
                <w:noProof w:val="0"/>
                <w:color w:val="FFFFFF"/>
              </w:rPr>
            </w:pPr>
            <w:r w:rsidRPr="00261B7A">
              <w:rPr>
                <w:noProof w:val="0"/>
                <w:color w:val="FFFFFF"/>
              </w:rPr>
              <w:t>Year</w:t>
            </w:r>
          </w:p>
        </w:tc>
        <w:tc>
          <w:tcPr>
            <w:tcW w:w="2174" w:type="pct"/>
            <w:gridSpan w:val="2"/>
            <w:tcBorders>
              <w:top w:val="single" w:sz="4" w:space="0" w:color="1B556B"/>
            </w:tcBorders>
            <w:shd w:val="clear" w:color="auto" w:fill="1B556B"/>
            <w:noWrap/>
          </w:tcPr>
          <w:p w14:paraId="3AFF6F81" w14:textId="77777777" w:rsidR="0010265C" w:rsidRPr="00261B7A" w:rsidRDefault="0010265C" w:rsidP="00EF2F22">
            <w:pPr>
              <w:pStyle w:val="TableTextBold"/>
              <w:spacing w:after="0"/>
              <w:jc w:val="center"/>
              <w:rPr>
                <w:noProof w:val="0"/>
                <w:color w:val="FFFFFF"/>
              </w:rPr>
            </w:pPr>
            <w:r w:rsidRPr="00261B7A">
              <w:rPr>
                <w:noProof w:val="0"/>
                <w:color w:val="FFFFFF"/>
              </w:rPr>
              <w:t>Net emissions (kt CO</w:t>
            </w:r>
            <w:r w:rsidRPr="00261B7A">
              <w:rPr>
                <w:noProof w:val="0"/>
                <w:color w:val="FFFFFF"/>
                <w:vertAlign w:val="subscript"/>
              </w:rPr>
              <w:t>2</w:t>
            </w:r>
            <w:r w:rsidRPr="00261B7A">
              <w:rPr>
                <w:noProof w:val="0"/>
                <w:color w:val="FFFFFF"/>
              </w:rPr>
              <w:t>-e)</w:t>
            </w:r>
          </w:p>
        </w:tc>
        <w:tc>
          <w:tcPr>
            <w:tcW w:w="2174" w:type="pct"/>
            <w:gridSpan w:val="2"/>
            <w:tcBorders>
              <w:top w:val="single" w:sz="4" w:space="0" w:color="1B556B"/>
            </w:tcBorders>
            <w:shd w:val="clear" w:color="auto" w:fill="1B556B"/>
          </w:tcPr>
          <w:p w14:paraId="746588BE" w14:textId="77777777" w:rsidR="0010265C" w:rsidRPr="00261B7A" w:rsidRDefault="0010265C" w:rsidP="00EF2F22">
            <w:pPr>
              <w:pStyle w:val="TableTextBold"/>
              <w:spacing w:after="0"/>
              <w:jc w:val="center"/>
              <w:rPr>
                <w:noProof w:val="0"/>
                <w:color w:val="FFFFFF"/>
              </w:rPr>
            </w:pPr>
            <w:r w:rsidRPr="00261B7A">
              <w:rPr>
                <w:noProof w:val="0"/>
                <w:color w:val="FFFFFF"/>
              </w:rPr>
              <w:t>Change from the 2022 submission</w:t>
            </w:r>
          </w:p>
        </w:tc>
      </w:tr>
      <w:tr w:rsidR="0010265C" w:rsidRPr="00261B7A" w14:paraId="6F3F6D67" w14:textId="77777777" w:rsidTr="00EF2F22">
        <w:trPr>
          <w:trHeight w:val="291"/>
        </w:trPr>
        <w:tc>
          <w:tcPr>
            <w:tcW w:w="652" w:type="pct"/>
            <w:vMerge/>
            <w:tcBorders>
              <w:bottom w:val="single" w:sz="4" w:space="0" w:color="1B556B"/>
            </w:tcBorders>
            <w:shd w:val="clear" w:color="auto" w:fill="1B556B"/>
          </w:tcPr>
          <w:p w14:paraId="717028EC" w14:textId="77777777" w:rsidR="0010265C" w:rsidRPr="00261B7A" w:rsidRDefault="0010265C" w:rsidP="00D41492">
            <w:pPr>
              <w:pStyle w:val="TableText"/>
              <w:rPr>
                <w:color w:val="FFFFFF"/>
              </w:rPr>
            </w:pPr>
          </w:p>
        </w:tc>
        <w:tc>
          <w:tcPr>
            <w:tcW w:w="1087" w:type="pct"/>
            <w:tcBorders>
              <w:bottom w:val="single" w:sz="4" w:space="0" w:color="1B556B"/>
            </w:tcBorders>
            <w:shd w:val="clear" w:color="auto" w:fill="1B556B"/>
          </w:tcPr>
          <w:p w14:paraId="76DED73F" w14:textId="77777777" w:rsidR="0010265C" w:rsidRPr="00261B7A" w:rsidRDefault="0010265C" w:rsidP="00D41492">
            <w:pPr>
              <w:pStyle w:val="TableTextBold"/>
              <w:jc w:val="center"/>
              <w:rPr>
                <w:noProof w:val="0"/>
                <w:color w:val="FFFFFF"/>
              </w:rPr>
            </w:pPr>
            <w:r w:rsidRPr="00261B7A">
              <w:rPr>
                <w:noProof w:val="0"/>
                <w:color w:val="FFFFFF"/>
              </w:rPr>
              <w:t>2022 submission</w:t>
            </w:r>
          </w:p>
        </w:tc>
        <w:tc>
          <w:tcPr>
            <w:tcW w:w="1087" w:type="pct"/>
            <w:tcBorders>
              <w:bottom w:val="single" w:sz="4" w:space="0" w:color="1B556B"/>
            </w:tcBorders>
            <w:shd w:val="clear" w:color="auto" w:fill="1B556B"/>
          </w:tcPr>
          <w:p w14:paraId="5DF49348" w14:textId="77777777" w:rsidR="0010265C" w:rsidRPr="00261B7A" w:rsidRDefault="0010265C" w:rsidP="00D41492">
            <w:pPr>
              <w:pStyle w:val="TableTextBold"/>
              <w:jc w:val="center"/>
              <w:rPr>
                <w:noProof w:val="0"/>
                <w:color w:val="FFFFFF"/>
              </w:rPr>
            </w:pPr>
            <w:r w:rsidRPr="00261B7A">
              <w:rPr>
                <w:noProof w:val="0"/>
                <w:color w:val="FFFFFF"/>
              </w:rPr>
              <w:t>2023 submission</w:t>
            </w:r>
          </w:p>
        </w:tc>
        <w:tc>
          <w:tcPr>
            <w:tcW w:w="1087" w:type="pct"/>
            <w:tcBorders>
              <w:bottom w:val="single" w:sz="4" w:space="0" w:color="1B556B"/>
            </w:tcBorders>
            <w:shd w:val="clear" w:color="auto" w:fill="1B556B"/>
          </w:tcPr>
          <w:p w14:paraId="0AC313B1" w14:textId="77777777" w:rsidR="0010265C" w:rsidRPr="00261B7A" w:rsidRDefault="0010265C" w:rsidP="00D41492">
            <w:pPr>
              <w:pStyle w:val="TableTextBold"/>
              <w:jc w:val="center"/>
              <w:rPr>
                <w:noProof w:val="0"/>
                <w:color w:val="FFFFFF"/>
              </w:rPr>
            </w:pPr>
            <w:r w:rsidRPr="00261B7A">
              <w:rPr>
                <w:noProof w:val="0"/>
                <w:color w:val="FFFFFF"/>
              </w:rPr>
              <w:t>(kt CO</w:t>
            </w:r>
            <w:r w:rsidRPr="00261B7A">
              <w:rPr>
                <w:noProof w:val="0"/>
                <w:color w:val="FFFFFF"/>
                <w:vertAlign w:val="subscript"/>
              </w:rPr>
              <w:t>2</w:t>
            </w:r>
            <w:r w:rsidRPr="00261B7A">
              <w:rPr>
                <w:noProof w:val="0"/>
                <w:color w:val="FFFFFF"/>
              </w:rPr>
              <w:t>-e)</w:t>
            </w:r>
          </w:p>
        </w:tc>
        <w:tc>
          <w:tcPr>
            <w:tcW w:w="1087" w:type="pct"/>
            <w:tcBorders>
              <w:bottom w:val="single" w:sz="4" w:space="0" w:color="1B556B"/>
            </w:tcBorders>
            <w:shd w:val="clear" w:color="auto" w:fill="1B556B"/>
          </w:tcPr>
          <w:p w14:paraId="78D71B4E" w14:textId="77777777" w:rsidR="0010265C" w:rsidRPr="00261B7A" w:rsidRDefault="0010265C" w:rsidP="00D41492">
            <w:pPr>
              <w:pStyle w:val="TableTextBold"/>
              <w:jc w:val="center"/>
              <w:rPr>
                <w:noProof w:val="0"/>
                <w:color w:val="FFFFFF"/>
              </w:rPr>
            </w:pPr>
            <w:r w:rsidRPr="00261B7A">
              <w:rPr>
                <w:noProof w:val="0"/>
                <w:color w:val="FFFFFF"/>
              </w:rPr>
              <w:t>(%)</w:t>
            </w:r>
          </w:p>
        </w:tc>
      </w:tr>
      <w:tr w:rsidR="0010265C" w:rsidRPr="00261B7A" w14:paraId="540E61D2" w14:textId="77777777" w:rsidTr="00EF2F22">
        <w:trPr>
          <w:trHeight w:val="291"/>
        </w:trPr>
        <w:tc>
          <w:tcPr>
            <w:tcW w:w="652" w:type="pct"/>
            <w:tcBorders>
              <w:top w:val="single" w:sz="4" w:space="0" w:color="1B556B"/>
              <w:bottom w:val="single" w:sz="4" w:space="0" w:color="1B556B"/>
            </w:tcBorders>
          </w:tcPr>
          <w:p w14:paraId="6F55022D" w14:textId="77777777" w:rsidR="0010265C" w:rsidRPr="00261B7A" w:rsidRDefault="0010265C" w:rsidP="00D41492">
            <w:pPr>
              <w:pStyle w:val="TableText"/>
            </w:pPr>
            <w:r w:rsidRPr="00261B7A">
              <w:t xml:space="preserve">1990 </w:t>
            </w:r>
          </w:p>
        </w:tc>
        <w:tc>
          <w:tcPr>
            <w:tcW w:w="1087" w:type="pct"/>
            <w:tcBorders>
              <w:top w:val="single" w:sz="4" w:space="0" w:color="1B556B"/>
              <w:bottom w:val="single" w:sz="4" w:space="0" w:color="1B556B"/>
            </w:tcBorders>
            <w:vAlign w:val="center"/>
          </w:tcPr>
          <w:p w14:paraId="2B4158A2" w14:textId="77777777" w:rsidR="0010265C" w:rsidRPr="00261B7A" w:rsidRDefault="0010265C" w:rsidP="00D41492">
            <w:pPr>
              <w:pStyle w:val="TableText"/>
              <w:tabs>
                <w:tab w:val="decimal" w:pos="458"/>
              </w:tabs>
              <w:jc w:val="center"/>
            </w:pPr>
            <w:r w:rsidRPr="00261B7A">
              <w:rPr>
                <w:rFonts w:cs="Calibri"/>
                <w:color w:val="000000"/>
                <w:szCs w:val="16"/>
              </w:rPr>
              <w:t xml:space="preserve">13.6 </w:t>
            </w:r>
          </w:p>
        </w:tc>
        <w:tc>
          <w:tcPr>
            <w:tcW w:w="1087" w:type="pct"/>
            <w:tcBorders>
              <w:top w:val="single" w:sz="4" w:space="0" w:color="1B556B"/>
              <w:bottom w:val="single" w:sz="4" w:space="0" w:color="1B556B"/>
            </w:tcBorders>
            <w:vAlign w:val="center"/>
          </w:tcPr>
          <w:p w14:paraId="04F20211" w14:textId="77777777" w:rsidR="0010265C" w:rsidRPr="00261B7A" w:rsidRDefault="0010265C" w:rsidP="00D41492">
            <w:pPr>
              <w:pStyle w:val="TableText"/>
              <w:tabs>
                <w:tab w:val="decimal" w:pos="458"/>
              </w:tabs>
              <w:jc w:val="center"/>
            </w:pPr>
            <w:r w:rsidRPr="00261B7A">
              <w:rPr>
                <w:rFonts w:cs="Calibri"/>
                <w:color w:val="000000"/>
                <w:szCs w:val="16"/>
              </w:rPr>
              <w:t xml:space="preserve">13.8 </w:t>
            </w:r>
          </w:p>
        </w:tc>
        <w:tc>
          <w:tcPr>
            <w:tcW w:w="1087" w:type="pct"/>
            <w:tcBorders>
              <w:top w:val="single" w:sz="4" w:space="0" w:color="1B556B"/>
              <w:bottom w:val="single" w:sz="4" w:space="0" w:color="1B556B"/>
            </w:tcBorders>
            <w:vAlign w:val="center"/>
          </w:tcPr>
          <w:p w14:paraId="5345F707" w14:textId="77777777" w:rsidR="0010265C" w:rsidRPr="00261B7A" w:rsidRDefault="0010265C" w:rsidP="00D41492">
            <w:pPr>
              <w:pStyle w:val="TableText"/>
              <w:tabs>
                <w:tab w:val="decimal" w:pos="458"/>
              </w:tabs>
              <w:jc w:val="center"/>
            </w:pPr>
            <w:r w:rsidRPr="00261B7A">
              <w:rPr>
                <w:rFonts w:cs="Calibri"/>
                <w:color w:val="000000"/>
                <w:szCs w:val="16"/>
              </w:rPr>
              <w:t xml:space="preserve">0.2 </w:t>
            </w:r>
          </w:p>
        </w:tc>
        <w:tc>
          <w:tcPr>
            <w:tcW w:w="1087" w:type="pct"/>
            <w:tcBorders>
              <w:top w:val="single" w:sz="4" w:space="0" w:color="1B556B"/>
              <w:bottom w:val="single" w:sz="4" w:space="0" w:color="1B556B"/>
            </w:tcBorders>
            <w:vAlign w:val="center"/>
          </w:tcPr>
          <w:p w14:paraId="3E22B1DE" w14:textId="77777777" w:rsidR="0010265C" w:rsidRPr="00261B7A" w:rsidRDefault="0010265C" w:rsidP="00D41492">
            <w:pPr>
              <w:pStyle w:val="TableText"/>
              <w:tabs>
                <w:tab w:val="decimal" w:pos="458"/>
              </w:tabs>
              <w:jc w:val="center"/>
            </w:pPr>
            <w:r w:rsidRPr="00261B7A">
              <w:rPr>
                <w:rFonts w:cs="Calibri"/>
                <w:color w:val="000000"/>
                <w:szCs w:val="16"/>
              </w:rPr>
              <w:t>+1.2</w:t>
            </w:r>
          </w:p>
        </w:tc>
      </w:tr>
      <w:tr w:rsidR="0010265C" w:rsidRPr="00261B7A" w14:paraId="070D4388" w14:textId="77777777" w:rsidTr="00EF2F22">
        <w:trPr>
          <w:trHeight w:val="291"/>
        </w:trPr>
        <w:tc>
          <w:tcPr>
            <w:tcW w:w="652" w:type="pct"/>
            <w:tcBorders>
              <w:top w:val="single" w:sz="4" w:space="0" w:color="1B556B"/>
              <w:bottom w:val="single" w:sz="4" w:space="0" w:color="1B556B"/>
            </w:tcBorders>
          </w:tcPr>
          <w:p w14:paraId="46CB9CC4" w14:textId="77777777" w:rsidR="0010265C" w:rsidRPr="00261B7A" w:rsidRDefault="0010265C" w:rsidP="00D41492">
            <w:pPr>
              <w:pStyle w:val="TableText"/>
            </w:pPr>
            <w:r w:rsidRPr="00261B7A">
              <w:t>2020</w:t>
            </w:r>
          </w:p>
        </w:tc>
        <w:tc>
          <w:tcPr>
            <w:tcW w:w="1087" w:type="pct"/>
            <w:tcBorders>
              <w:top w:val="single" w:sz="4" w:space="0" w:color="1B556B"/>
              <w:bottom w:val="single" w:sz="4" w:space="0" w:color="1B556B"/>
            </w:tcBorders>
            <w:vAlign w:val="center"/>
          </w:tcPr>
          <w:p w14:paraId="0C49DF20" w14:textId="77777777" w:rsidR="0010265C" w:rsidRPr="00261B7A" w:rsidRDefault="0010265C" w:rsidP="00D41492">
            <w:pPr>
              <w:pStyle w:val="TableText"/>
              <w:tabs>
                <w:tab w:val="decimal" w:pos="458"/>
              </w:tabs>
              <w:jc w:val="center"/>
            </w:pPr>
            <w:r w:rsidRPr="00261B7A">
              <w:rPr>
                <w:rFonts w:cs="Calibri"/>
                <w:color w:val="000000"/>
                <w:szCs w:val="16"/>
              </w:rPr>
              <w:t xml:space="preserve">118.4 </w:t>
            </w:r>
          </w:p>
        </w:tc>
        <w:tc>
          <w:tcPr>
            <w:tcW w:w="1087" w:type="pct"/>
            <w:tcBorders>
              <w:top w:val="single" w:sz="4" w:space="0" w:color="1B556B"/>
              <w:bottom w:val="single" w:sz="4" w:space="0" w:color="1B556B"/>
            </w:tcBorders>
            <w:vAlign w:val="center"/>
          </w:tcPr>
          <w:p w14:paraId="090192E3" w14:textId="77777777" w:rsidR="0010265C" w:rsidRPr="00261B7A" w:rsidRDefault="0010265C" w:rsidP="00D41492">
            <w:pPr>
              <w:pStyle w:val="TableText"/>
              <w:tabs>
                <w:tab w:val="decimal" w:pos="458"/>
              </w:tabs>
              <w:jc w:val="center"/>
            </w:pPr>
            <w:r w:rsidRPr="00261B7A">
              <w:rPr>
                <w:rFonts w:cs="Calibri"/>
                <w:color w:val="000000"/>
                <w:szCs w:val="16"/>
              </w:rPr>
              <w:t xml:space="preserve">92.7 </w:t>
            </w:r>
          </w:p>
        </w:tc>
        <w:tc>
          <w:tcPr>
            <w:tcW w:w="1087" w:type="pct"/>
            <w:tcBorders>
              <w:top w:val="single" w:sz="4" w:space="0" w:color="1B556B"/>
              <w:bottom w:val="single" w:sz="4" w:space="0" w:color="1B556B"/>
            </w:tcBorders>
            <w:vAlign w:val="center"/>
          </w:tcPr>
          <w:p w14:paraId="1C6CD427" w14:textId="77777777" w:rsidR="0010265C" w:rsidRPr="00261B7A" w:rsidRDefault="0010265C" w:rsidP="00D41492">
            <w:pPr>
              <w:pStyle w:val="TableText"/>
              <w:tabs>
                <w:tab w:val="decimal" w:pos="458"/>
              </w:tabs>
              <w:jc w:val="center"/>
            </w:pPr>
            <w:r w:rsidRPr="00261B7A">
              <w:rPr>
                <w:rFonts w:cs="Calibri"/>
                <w:color w:val="000000"/>
                <w:szCs w:val="16"/>
              </w:rPr>
              <w:t xml:space="preserve">–25.7 </w:t>
            </w:r>
          </w:p>
        </w:tc>
        <w:tc>
          <w:tcPr>
            <w:tcW w:w="1087" w:type="pct"/>
            <w:tcBorders>
              <w:top w:val="single" w:sz="4" w:space="0" w:color="1B556B"/>
              <w:bottom w:val="single" w:sz="4" w:space="0" w:color="1B556B"/>
            </w:tcBorders>
            <w:vAlign w:val="center"/>
          </w:tcPr>
          <w:p w14:paraId="16138CCD" w14:textId="77777777" w:rsidR="0010265C" w:rsidRPr="00261B7A" w:rsidRDefault="0010265C" w:rsidP="00D41492">
            <w:pPr>
              <w:pStyle w:val="TableText"/>
              <w:tabs>
                <w:tab w:val="decimal" w:pos="458"/>
              </w:tabs>
              <w:jc w:val="center"/>
            </w:pPr>
            <w:r w:rsidRPr="00261B7A">
              <w:rPr>
                <w:rFonts w:cs="Calibri"/>
                <w:color w:val="000000"/>
                <w:szCs w:val="16"/>
              </w:rPr>
              <w:t>–21.7</w:t>
            </w:r>
          </w:p>
        </w:tc>
      </w:tr>
    </w:tbl>
    <w:p w14:paraId="22E46E95" w14:textId="77777777" w:rsidR="0010265C" w:rsidRPr="00261B7A" w:rsidRDefault="0010265C" w:rsidP="0010265C">
      <w:pPr>
        <w:pStyle w:val="Heading3"/>
      </w:pPr>
      <w:r w:rsidRPr="00261B7A">
        <w:t>6.8.6</w:t>
      </w:r>
      <w:r w:rsidRPr="00261B7A">
        <w:tab/>
        <w:t>Category-specific planned improvements</w:t>
      </w:r>
    </w:p>
    <w:p w14:paraId="30730A1E" w14:textId="77777777" w:rsidR="0010265C" w:rsidRPr="00261B7A" w:rsidRDefault="0010265C" w:rsidP="0010265C">
      <w:pPr>
        <w:pStyle w:val="BodyText"/>
        <w:spacing w:before="100" w:after="100"/>
      </w:pPr>
      <w:r w:rsidRPr="00261B7A">
        <w:t xml:space="preserve">The reference SOC value, based on only three estimates, is high compared with the 2006 IPCC Guidelines (IPCC, 2006a) default value and has a relatively high uncertainty. Further soil sampling in land classified as </w:t>
      </w:r>
      <w:r w:rsidRPr="00261B7A">
        <w:rPr>
          <w:i/>
        </w:rPr>
        <w:t>Other land</w:t>
      </w:r>
      <w:r w:rsidRPr="00261B7A">
        <w:t xml:space="preserve"> is required to improve soil carbon estimates in this land use category. </w:t>
      </w:r>
    </w:p>
    <w:p w14:paraId="4857FF62" w14:textId="77777777" w:rsidR="0010265C" w:rsidRPr="00261B7A" w:rsidRDefault="0010265C" w:rsidP="00A638DC">
      <w:pPr>
        <w:pStyle w:val="Heading2"/>
      </w:pPr>
      <w:bookmarkStart w:id="2331" w:name="_Toc131591256"/>
      <w:r w:rsidRPr="00261B7A">
        <w:t>6.9</w:t>
      </w:r>
      <w:r w:rsidRPr="00261B7A">
        <w:tab/>
        <w:t>Harvested wood products (CRF 4G)</w:t>
      </w:r>
      <w:bookmarkEnd w:id="2331"/>
    </w:p>
    <w:p w14:paraId="72ED2E50" w14:textId="77777777" w:rsidR="0010265C" w:rsidRPr="00261B7A" w:rsidRDefault="0010265C" w:rsidP="0010265C">
      <w:pPr>
        <w:pStyle w:val="Heading3"/>
        <w:spacing w:before="240"/>
      </w:pPr>
      <w:r w:rsidRPr="00261B7A">
        <w:t>6.9.1</w:t>
      </w:r>
      <w:r w:rsidRPr="00261B7A">
        <w:tab/>
        <w:t>Description</w:t>
      </w:r>
    </w:p>
    <w:p w14:paraId="1016997E" w14:textId="77777777" w:rsidR="0010265C" w:rsidRPr="00261B7A" w:rsidRDefault="0010265C" w:rsidP="0010265C">
      <w:pPr>
        <w:pStyle w:val="BodyText"/>
        <w:spacing w:before="100" w:after="100"/>
      </w:pPr>
      <w:r w:rsidRPr="00261B7A">
        <w:t xml:space="preserve">In 2021, the net emissions from </w:t>
      </w:r>
      <w:r w:rsidRPr="00261B7A">
        <w:rPr>
          <w:i/>
        </w:rPr>
        <w:t xml:space="preserve">Harvested wood products </w:t>
      </w:r>
      <w:r w:rsidRPr="00261B7A">
        <w:t>were –8,658.8 kt CO</w:t>
      </w:r>
      <w:r w:rsidRPr="00261B7A">
        <w:rPr>
          <w:vertAlign w:val="subscript"/>
        </w:rPr>
        <w:t>2</w:t>
      </w:r>
      <w:r w:rsidRPr="00261B7A">
        <w:t xml:space="preserve">-e. This is </w:t>
      </w:r>
      <w:r w:rsidRPr="00261B7A">
        <w:br/>
      </w:r>
      <w:r w:rsidRPr="00261B7A">
        <w:rPr>
          <w:spacing w:val="-2"/>
        </w:rPr>
        <w:t>–</w:t>
      </w:r>
      <w:r w:rsidRPr="00261B7A">
        <w:t>6,177.6</w:t>
      </w:r>
      <w:r w:rsidRPr="00261B7A">
        <w:rPr>
          <w:spacing w:val="-2"/>
        </w:rPr>
        <w:t xml:space="preserve"> kt CO</w:t>
      </w:r>
      <w:r w:rsidRPr="00261B7A">
        <w:rPr>
          <w:spacing w:val="-2"/>
          <w:vertAlign w:val="subscript"/>
        </w:rPr>
        <w:t>2</w:t>
      </w:r>
      <w:r w:rsidRPr="00261B7A">
        <w:rPr>
          <w:spacing w:val="-2"/>
        </w:rPr>
        <w:noBreakHyphen/>
        <w:t>e (</w:t>
      </w:r>
      <w:r w:rsidRPr="00261B7A">
        <w:t>249</w:t>
      </w:r>
      <w:r w:rsidRPr="00261B7A">
        <w:rPr>
          <w:spacing w:val="-2"/>
        </w:rPr>
        <w:t>.</w:t>
      </w:r>
      <w:r w:rsidRPr="00261B7A">
        <w:t>0</w:t>
      </w:r>
      <w:r w:rsidRPr="00261B7A">
        <w:rPr>
          <w:spacing w:val="-2"/>
        </w:rPr>
        <w:t xml:space="preserve"> per cent) lower than the 1990 level of –2,481.2 kt CO</w:t>
      </w:r>
      <w:r w:rsidRPr="00261B7A">
        <w:rPr>
          <w:spacing w:val="-2"/>
          <w:vertAlign w:val="subscript"/>
        </w:rPr>
        <w:t>2</w:t>
      </w:r>
      <w:r w:rsidRPr="00261B7A">
        <w:rPr>
          <w:spacing w:val="-2"/>
        </w:rPr>
        <w:noBreakHyphen/>
        <w:t>e. The decrease</w:t>
      </w:r>
      <w:r w:rsidRPr="00261B7A">
        <w:t xml:space="preserve"> in emissions in the </w:t>
      </w:r>
      <w:r w:rsidRPr="00261B7A">
        <w:rPr>
          <w:i/>
        </w:rPr>
        <w:t xml:space="preserve">Harvested wood products </w:t>
      </w:r>
      <w:r w:rsidRPr="00261B7A">
        <w:t>category</w:t>
      </w:r>
      <w:r w:rsidRPr="00261B7A">
        <w:rPr>
          <w:i/>
        </w:rPr>
        <w:t xml:space="preserve"> </w:t>
      </w:r>
      <w:r w:rsidRPr="00261B7A">
        <w:t>is driven by the increase in harvesting and production of roundwood that has occurred since 1990, as shown in figure 6.9.1.</w:t>
      </w:r>
    </w:p>
    <w:p w14:paraId="4E0B35F0" w14:textId="77777777" w:rsidR="0010265C" w:rsidRPr="00261B7A" w:rsidRDefault="0010265C" w:rsidP="0010265C">
      <w:pPr>
        <w:pStyle w:val="BodyText"/>
        <w:spacing w:before="100" w:after="100"/>
      </w:pPr>
      <w:r w:rsidRPr="00261B7A">
        <w:t xml:space="preserve">Net emissions in the </w:t>
      </w:r>
      <w:r w:rsidRPr="00261B7A">
        <w:rPr>
          <w:i/>
        </w:rPr>
        <w:t xml:space="preserve">Harvested wood products </w:t>
      </w:r>
      <w:r w:rsidRPr="00261B7A">
        <w:t xml:space="preserve">category are driven by the harvesting of planted forests to produce roundwood, resulting in changes to the carbon stock of this pool. The </w:t>
      </w:r>
      <w:r w:rsidRPr="00261B7A">
        <w:rPr>
          <w:i/>
        </w:rPr>
        <w:t xml:space="preserve">Harvested wood products </w:t>
      </w:r>
      <w:r w:rsidRPr="00261B7A">
        <w:t xml:space="preserve">pool gains carbon as new </w:t>
      </w:r>
      <w:r w:rsidRPr="00261B7A">
        <w:rPr>
          <w:i/>
        </w:rPr>
        <w:t>Harvested wood products</w:t>
      </w:r>
      <w:r w:rsidRPr="00261B7A">
        <w:t xml:space="preserve"> are created. Losses from the </w:t>
      </w:r>
      <w:r w:rsidRPr="00261B7A">
        <w:rPr>
          <w:i/>
        </w:rPr>
        <w:t>Harvested wood products</w:t>
      </w:r>
      <w:r w:rsidRPr="00261B7A">
        <w:t xml:space="preserve"> pool occur due to products being discarded. To account for these losses through time, a decay profile, or half-life, is applied for each product type. </w:t>
      </w:r>
    </w:p>
    <w:p w14:paraId="1F2116C0" w14:textId="77777777" w:rsidR="0010265C" w:rsidRPr="00261B7A" w:rsidRDefault="0010265C" w:rsidP="0010265C">
      <w:pPr>
        <w:pStyle w:val="BodyText"/>
        <w:spacing w:before="100" w:after="100"/>
        <w:rPr>
          <w:spacing w:val="-2"/>
        </w:rPr>
      </w:pPr>
      <w:r w:rsidRPr="00261B7A">
        <w:t xml:space="preserve">Between 2020 and 2021 removals in the </w:t>
      </w:r>
      <w:r w:rsidRPr="00261B7A">
        <w:rPr>
          <w:i/>
        </w:rPr>
        <w:t>Harvested wood products </w:t>
      </w:r>
      <w:r w:rsidRPr="00261B7A">
        <w:t xml:space="preserve">category have increased by </w:t>
      </w:r>
      <w:r w:rsidRPr="00261B7A">
        <w:rPr>
          <w:spacing w:val="-2"/>
        </w:rPr>
        <w:t>1,824.3 kt CO</w:t>
      </w:r>
      <w:r w:rsidRPr="00261B7A">
        <w:rPr>
          <w:spacing w:val="-2"/>
          <w:vertAlign w:val="subscript"/>
        </w:rPr>
        <w:t>2</w:t>
      </w:r>
      <w:r w:rsidRPr="00261B7A">
        <w:rPr>
          <w:spacing w:val="-2"/>
        </w:rPr>
        <w:t>-e. The reason for this change was an increase in harvesting compared with 2020.</w:t>
      </w:r>
    </w:p>
    <w:p w14:paraId="53728011" w14:textId="77777777" w:rsidR="0010265C" w:rsidRPr="00261B7A" w:rsidRDefault="0010265C" w:rsidP="0010265C">
      <w:pPr>
        <w:pStyle w:val="Figure"/>
        <w:spacing w:before="100" w:after="0"/>
      </w:pPr>
      <w:bookmarkStart w:id="2332" w:name="_Toc405448097"/>
      <w:bookmarkStart w:id="2333" w:name="_Toc414531629"/>
      <w:bookmarkStart w:id="2334" w:name="_Toc474914653"/>
      <w:bookmarkStart w:id="2335" w:name="_Toc481752035"/>
      <w:bookmarkStart w:id="2336" w:name="_Toc522010713"/>
      <w:bookmarkStart w:id="2337" w:name="_Toc33529488"/>
      <w:bookmarkStart w:id="2338" w:name="_Toc36292818"/>
      <w:bookmarkStart w:id="2339" w:name="_Toc131591576"/>
      <w:bookmarkStart w:id="2340" w:name="_Toc5269715"/>
      <w:r w:rsidRPr="00261B7A">
        <w:t>Figure 6.9.1</w:t>
      </w:r>
      <w:r w:rsidRPr="00261B7A">
        <w:tab/>
        <w:t>Volume of roundwood produced and exported from 1990 to 2021</w:t>
      </w:r>
      <w:bookmarkEnd w:id="2332"/>
      <w:bookmarkEnd w:id="2333"/>
      <w:bookmarkEnd w:id="2334"/>
      <w:bookmarkEnd w:id="2335"/>
      <w:bookmarkEnd w:id="2336"/>
      <w:bookmarkEnd w:id="2337"/>
      <w:bookmarkEnd w:id="2338"/>
      <w:bookmarkEnd w:id="2339"/>
    </w:p>
    <w:bookmarkEnd w:id="2340"/>
    <w:p w14:paraId="6AA7EE7B" w14:textId="77777777" w:rsidR="0010265C" w:rsidRPr="00261B7A" w:rsidRDefault="0010265C" w:rsidP="0010265C">
      <w:pPr>
        <w:pStyle w:val="BodyText"/>
        <w:spacing w:before="0" w:after="0"/>
      </w:pPr>
      <w:r w:rsidRPr="00261B7A">
        <w:rPr>
          <w:noProof/>
        </w:rPr>
        <w:drawing>
          <wp:inline distT="0" distB="0" distL="0" distR="0" wp14:anchorId="5DEC9D38" wp14:editId="595868E6">
            <wp:extent cx="5400040" cy="3698240"/>
            <wp:effectExtent l="0" t="0" r="0" b="0"/>
            <wp:docPr id="7" name="Chart 7">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14:paraId="4774CA83" w14:textId="77777777" w:rsidR="0010265C" w:rsidRPr="00261B7A" w:rsidRDefault="0010265C" w:rsidP="002B5AE7">
      <w:pPr>
        <w:pStyle w:val="BodyText"/>
      </w:pPr>
      <w:r w:rsidRPr="00261B7A">
        <w:t>New Zealand has a large planted forest estate that provides the majority of wood products consumed domestically and exported in either product or raw material form. New Zealand currently processes around 40 per cent of its annual harvest (Ministry for Primary Industries, 2022a). The remaining harvest is exported in raw material form. New Zealand is currently the largest exporter of industrial roundwood followed by the Russian Federation and Czechia (Food and Agriculture Organization, 2019). New Zealand’s planted forests are dominated by radiata pine (</w:t>
      </w:r>
      <w:r w:rsidRPr="00261B7A">
        <w:rPr>
          <w:i/>
        </w:rPr>
        <w:t>Pinus radiata</w:t>
      </w:r>
      <w:r w:rsidRPr="00261B7A">
        <w:t xml:space="preserve">), which is used in a wide range of applications including timber-frame construction, packaging, furniture, joinery and interior fittings, decking, general external outdoor products, concrete formwork, printing and writing paper, corrugated materials, tissue products, newsprint, kitchen and bathroom cabinets, flooring, posts and poles (Ministry for Primary Industries, 2022b; Wekesa, 2022). </w:t>
      </w:r>
    </w:p>
    <w:p w14:paraId="6689D7A8" w14:textId="77777777" w:rsidR="0010265C" w:rsidRPr="00261B7A" w:rsidRDefault="0010265C" w:rsidP="002B5AE7">
      <w:pPr>
        <w:pStyle w:val="BodyText"/>
        <w:spacing w:before="100" w:after="100"/>
      </w:pPr>
      <w:r w:rsidRPr="00261B7A">
        <w:t xml:space="preserve">In 2021, </w:t>
      </w:r>
      <w:r w:rsidRPr="00261B7A">
        <w:rPr>
          <w:i/>
        </w:rPr>
        <w:t>Harvested wood products</w:t>
      </w:r>
      <w:r w:rsidRPr="00261B7A">
        <w:t xml:space="preserve"> was a key category (level and trend assessment).</w:t>
      </w:r>
    </w:p>
    <w:p w14:paraId="51234097" w14:textId="77777777" w:rsidR="0010265C" w:rsidRPr="00261B7A" w:rsidRDefault="0010265C" w:rsidP="002B5AE7">
      <w:pPr>
        <w:pStyle w:val="Heading3"/>
        <w:spacing w:before="320"/>
      </w:pPr>
      <w:r w:rsidRPr="00261B7A">
        <w:t>6.9.2</w:t>
      </w:r>
      <w:r w:rsidRPr="00261B7A">
        <w:tab/>
        <w:t>Methodological issues</w:t>
      </w:r>
    </w:p>
    <w:p w14:paraId="5071C4A9" w14:textId="77777777" w:rsidR="0010265C" w:rsidRPr="00261B7A" w:rsidRDefault="0010265C" w:rsidP="002B5AE7">
      <w:pPr>
        <w:pStyle w:val="BodyText"/>
        <w:spacing w:before="80" w:after="100"/>
      </w:pPr>
      <w:r w:rsidRPr="00261B7A">
        <w:t xml:space="preserve">New Zealand has selected the production approach to report </w:t>
      </w:r>
      <w:r w:rsidRPr="00261B7A">
        <w:rPr>
          <w:i/>
        </w:rPr>
        <w:t>Harvested wood products</w:t>
      </w:r>
      <w:r w:rsidRPr="00261B7A">
        <w:t xml:space="preserve"> in the National Inventory Report. To do this, New Zealand has adapted the default </w:t>
      </w:r>
      <w:r w:rsidRPr="00261B7A">
        <w:rPr>
          <w:i/>
        </w:rPr>
        <w:t>Harvested wood products</w:t>
      </w:r>
      <w:r w:rsidRPr="00261B7A">
        <w:t xml:space="preserve"> model and uses a Tier 2 method (section 12.2.1.2, IPCC, 2006a), which involves using country-specific activity data and parameters (Wakelin et al., 2020). </w:t>
      </w:r>
    </w:p>
    <w:p w14:paraId="37925F23" w14:textId="77777777" w:rsidR="0010265C" w:rsidRPr="00261B7A" w:rsidRDefault="0010265C" w:rsidP="0010265C">
      <w:pPr>
        <w:pStyle w:val="Heading5"/>
        <w:spacing w:before="160"/>
      </w:pPr>
      <w:r w:rsidRPr="00261B7A">
        <w:t>Activity data</w:t>
      </w:r>
    </w:p>
    <w:p w14:paraId="05589018" w14:textId="77777777" w:rsidR="0010265C" w:rsidRPr="00261B7A" w:rsidRDefault="0010265C" w:rsidP="002B5AE7">
      <w:pPr>
        <w:pStyle w:val="BodyText"/>
        <w:spacing w:before="80" w:after="100"/>
      </w:pPr>
      <w:r w:rsidRPr="00261B7A">
        <w:rPr>
          <w:spacing w:val="-2"/>
        </w:rPr>
        <w:t xml:space="preserve">Activity data on roundwood production volume, </w:t>
      </w:r>
      <w:r w:rsidRPr="00261B7A">
        <w:t>roundwood</w:t>
      </w:r>
      <w:r w:rsidRPr="00261B7A">
        <w:rPr>
          <w:spacing w:val="-2"/>
        </w:rPr>
        <w:t xml:space="preserve"> export volume and the production</w:t>
      </w:r>
      <w:r w:rsidRPr="00261B7A">
        <w:t xml:space="preserve"> of New Zealand processed wood products are sourced from MPI (</w:t>
      </w:r>
      <w:r w:rsidRPr="00261B7A" w:rsidDel="009855F5">
        <w:t>Ministry for Primary Industries</w:t>
      </w:r>
      <w:r w:rsidRPr="00261B7A">
        <w:t>, 2022a, 2022c</w:t>
      </w:r>
      <w:r w:rsidRPr="00261B7A" w:rsidDel="008369AD">
        <w:t>)</w:t>
      </w:r>
      <w:r w:rsidRPr="00261B7A">
        <w:t>. Additional data on New Zealand wood product production and export that are not available from the published MPI statistics</w:t>
      </w:r>
      <w:r w:rsidRPr="00261B7A" w:rsidDel="006D3A2A">
        <w:t xml:space="preserve"> </w:t>
      </w:r>
      <w:r w:rsidRPr="00261B7A">
        <w:t xml:space="preserve">are sourced from the Food and Agriculture Organization statistical database (the FAOSTAT database), which contains data that MPI provides to the Food and Agriculture Organization. The FAOSTAT database provides more granular breakdowns of semi-finished wood products produced in New Zealand, to which specific carbon fractions can then be applied. </w:t>
      </w:r>
    </w:p>
    <w:p w14:paraId="319C9C0C" w14:textId="77777777" w:rsidR="0010265C" w:rsidRPr="00261B7A" w:rsidRDefault="0010265C" w:rsidP="002B5AE7">
      <w:pPr>
        <w:pStyle w:val="BodyText"/>
        <w:spacing w:before="100" w:after="100"/>
      </w:pPr>
      <w:r w:rsidRPr="00261B7A">
        <w:t xml:space="preserve">Activity data for the period 1900 to 1960 are populated using the IPCC model method, which assumes that consumption is correlated with population growth. New Zealand used the default value for Oceania for the annual rate of increase for the period 1900 to 1960. This information is used to initialise </w:t>
      </w:r>
      <w:r w:rsidRPr="00261B7A">
        <w:rPr>
          <w:i/>
        </w:rPr>
        <w:t>Harvested wood products</w:t>
      </w:r>
      <w:r w:rsidRPr="00261B7A">
        <w:t xml:space="preserve"> stocks at 1 January 1990. </w:t>
      </w:r>
    </w:p>
    <w:p w14:paraId="601B3C18" w14:textId="77777777" w:rsidR="0010265C" w:rsidRPr="00261B7A" w:rsidRDefault="0010265C" w:rsidP="002B5AE7">
      <w:pPr>
        <w:pStyle w:val="BodyText"/>
        <w:spacing w:before="100" w:after="100"/>
      </w:pPr>
      <w:r w:rsidRPr="00261B7A">
        <w:t xml:space="preserve">A large proportion (over 60 per cent) of New Zealand’s harvest was exported as raw materials in the form of logs or wood chips in 2021, as shown in figure 6.9.1 (Ministry for Primary Industries, 2022a). Note that the exported volume of </w:t>
      </w:r>
      <w:r w:rsidRPr="00261B7A">
        <w:rPr>
          <w:i/>
        </w:rPr>
        <w:t>Harvested wood products</w:t>
      </w:r>
      <w:r w:rsidRPr="00261B7A">
        <w:t xml:space="preserve"> described in CRF table 4.Gs2 does not sum to 60 per cent of all exported products. This is because this table includes only products produced in New Zealand and does not include the volume of raw logs exported that are then processed offshore. </w:t>
      </w:r>
    </w:p>
    <w:p w14:paraId="0FDD465B" w14:textId="77777777" w:rsidR="0010265C" w:rsidRPr="00261B7A" w:rsidRDefault="0010265C" w:rsidP="002B5AE7">
      <w:pPr>
        <w:pStyle w:val="BodyText"/>
        <w:spacing w:before="100" w:after="100"/>
      </w:pPr>
      <w:r w:rsidRPr="00261B7A">
        <w:t>MPI provides data on the export quantity of raw materials but provides no information on the conversion of these materials to products or their expected half-lives. Research was completed in 2016 to provide information on</w:t>
      </w:r>
      <w:r w:rsidRPr="00261B7A">
        <w:rPr>
          <w:i/>
        </w:rPr>
        <w:t xml:space="preserve"> Harvested wood products</w:t>
      </w:r>
      <w:r w:rsidRPr="00261B7A">
        <w:t xml:space="preserve"> from exported logs in New Zealand’s three main export markets (China, South Korea and India). This research provides activity data for the conversion of New Zealand-produced raw materials to harvested wood products in export markets (Ministry for Primary Industries, 2016). </w:t>
      </w:r>
    </w:p>
    <w:p w14:paraId="36E0B82C" w14:textId="3E470AC5" w:rsidR="0010265C" w:rsidRPr="00261B7A" w:rsidRDefault="0010265C" w:rsidP="0010265C">
      <w:pPr>
        <w:pStyle w:val="BodyText"/>
        <w:spacing w:before="100" w:after="100"/>
      </w:pPr>
      <w:r w:rsidRPr="00261B7A">
        <w:t>Further research was commissioned in 2017 to update the model assumptions that are used for calculating harvested wood product volume and associated emissions to include the activity data and half-lives of the 2016 report (Wakelin and Kimberley, unpublished). Note that the model also includes export variables to Japan, which was historically a large export market but has reduced and is projected to continue to reduce over time. It also includes</w:t>
      </w:r>
      <w:r w:rsidRPr="00261B7A" w:rsidDel="001122AF">
        <w:t xml:space="preserve"> </w:t>
      </w:r>
      <w:r w:rsidR="00EC0591" w:rsidRPr="00261B7A">
        <w:t>‘</w:t>
      </w:r>
      <w:r w:rsidRPr="00261B7A">
        <w:t>Other countries</w:t>
      </w:r>
      <w:r w:rsidR="00EC0591" w:rsidRPr="00261B7A">
        <w:t>’</w:t>
      </w:r>
      <w:r w:rsidRPr="00261B7A">
        <w:t xml:space="preserve">, which account for a small volume of exports that are sold to other markets. Details of product volume and half-lives for these export markets can be found in annex A3.2.6. </w:t>
      </w:r>
    </w:p>
    <w:p w14:paraId="660642C7" w14:textId="77777777" w:rsidR="0010265C" w:rsidRPr="00261B7A" w:rsidRDefault="0010265C" w:rsidP="0010265C">
      <w:pPr>
        <w:pStyle w:val="BodyText"/>
        <w:spacing w:before="100" w:after="100"/>
      </w:pPr>
      <w:r w:rsidRPr="00261B7A">
        <w:t xml:space="preserve">Activity data for exported log volumes and </w:t>
      </w:r>
      <w:r w:rsidRPr="00261B7A">
        <w:rPr>
          <w:i/>
          <w:iCs/>
        </w:rPr>
        <w:t>Harvested wood products</w:t>
      </w:r>
      <w:r w:rsidRPr="00261B7A">
        <w:t xml:space="preserve"> to individual countries are periodically published by MPI </w:t>
      </w:r>
      <w:bookmarkStart w:id="2341" w:name="_Hlk89344724"/>
      <w:r w:rsidRPr="00261B7A">
        <w:t xml:space="preserve">(Ministry for Primary Industries, </w:t>
      </w:r>
      <w:bookmarkEnd w:id="2341"/>
      <w:r w:rsidRPr="00261B7A">
        <w:t xml:space="preserve">2022a, 2022c). The proportion of exported roundwood to product type in these export markets is obtained by applying the ratios of product type produced (sawnwood, wood panels, or paper) as identified in the 2016 report (Ministry for Primary Industries, 2016) to the volume of timber exported to each of the export markets. </w:t>
      </w:r>
    </w:p>
    <w:p w14:paraId="193CC17C" w14:textId="77777777" w:rsidR="0010265C" w:rsidRPr="00261B7A" w:rsidRDefault="0010265C" w:rsidP="0010265C">
      <w:pPr>
        <w:pStyle w:val="Heading5"/>
        <w:spacing w:before="200"/>
      </w:pPr>
      <w:r w:rsidRPr="00261B7A">
        <w:t>Emission factors</w:t>
      </w:r>
    </w:p>
    <w:p w14:paraId="4AD768D2" w14:textId="483A8C51" w:rsidR="0010265C" w:rsidRPr="00261B7A" w:rsidRDefault="0010265C" w:rsidP="0010265C">
      <w:pPr>
        <w:pStyle w:val="BodyText"/>
      </w:pPr>
      <w:r w:rsidRPr="00261B7A">
        <w:t xml:space="preserve">The default wood carbon content value of 50 per cent, from table 12.4 of the 2006 IPCC Guidelines (IPCC, 2006a), is used in the </w:t>
      </w:r>
      <w:r w:rsidRPr="00261B7A">
        <w:rPr>
          <w:i/>
        </w:rPr>
        <w:t>Harvested wood products</w:t>
      </w:r>
      <w:r w:rsidRPr="00261B7A">
        <w:t xml:space="preserve"> model (IPCC, 2006a). This value is consistent with the planted forest model that uses a country-specific value of 50 per cent. A country-specific wood density value of 420 kilograms per cubic metre is used</w:t>
      </w:r>
      <w:r w:rsidR="00EC0591" w:rsidRPr="00261B7A">
        <w:t xml:space="preserve"> </w:t>
      </w:r>
      <w:r w:rsidRPr="00261B7A">
        <w:t>for</w:t>
      </w:r>
      <w:r w:rsidR="00175CD5" w:rsidRPr="00261B7A">
        <w:t> </w:t>
      </w:r>
      <w:r w:rsidRPr="00261B7A">
        <w:t>sawnwood produced from coniferous species (Jones, 2005). This value is used to reflect coniferous species’ contribution to New Zealand roundwood, which makes up around 98 per cent of annual harvest. A country-specific wood density value of 500 kilograms per cubic metre is used for sawnwood produced from non-coniferous species (Jones, 2005). Non</w:t>
      </w:r>
      <w:r w:rsidRPr="00261B7A">
        <w:noBreakHyphen/>
        <w:t xml:space="preserve">coniferous species (mainly </w:t>
      </w:r>
      <w:r w:rsidRPr="00261B7A">
        <w:rPr>
          <w:i/>
        </w:rPr>
        <w:t>Eucalyptus</w:t>
      </w:r>
      <w:r w:rsidRPr="00261B7A">
        <w:t xml:space="preserve"> species) make up around 2 per cent of annual harvest. The default IPCC bark factor (11 per cent; annex 4A.1, IPCC, 2006a) is used for conifers and is considered appropriate for New Zealand. Wood-based panels and paper products all use IPCC defaults because no country-specific value is available (see table 6.9.1).</w:t>
      </w:r>
    </w:p>
    <w:p w14:paraId="44DD11A9" w14:textId="77777777" w:rsidR="0010265C" w:rsidRPr="00261B7A" w:rsidRDefault="0010265C" w:rsidP="0010265C">
      <w:pPr>
        <w:pStyle w:val="BodyText"/>
      </w:pPr>
      <w:r w:rsidRPr="00261B7A">
        <w:t xml:space="preserve">Exported raw logs are first converted to tonnes of carbon, based on the carbon fractions for coniferous species and for non-coniferous species as outlined above. This carbon is then apportioned into each export market and wood product combination (sawnwood, panels, and paper). </w:t>
      </w:r>
    </w:p>
    <w:p w14:paraId="6FFB6445" w14:textId="77777777" w:rsidR="0010265C" w:rsidRPr="00261B7A" w:rsidRDefault="0010265C" w:rsidP="0010265C">
      <w:pPr>
        <w:pStyle w:val="Table"/>
      </w:pPr>
      <w:bookmarkStart w:id="2342" w:name="_Toc410028866"/>
      <w:bookmarkStart w:id="2343" w:name="_Toc414531494"/>
      <w:bookmarkStart w:id="2344" w:name="_Toc443645407"/>
      <w:bookmarkStart w:id="2345" w:name="_Toc474914626"/>
      <w:bookmarkStart w:id="2346" w:name="_Toc481751590"/>
      <w:bookmarkStart w:id="2347" w:name="_Toc522010647"/>
      <w:bookmarkStart w:id="2348" w:name="_Toc5269552"/>
      <w:bookmarkStart w:id="2349" w:name="_Toc33529426"/>
      <w:bookmarkStart w:id="2350" w:name="_Toc36224632"/>
      <w:bookmarkStart w:id="2351" w:name="_Toc131591425"/>
      <w:r w:rsidRPr="00261B7A">
        <w:t>Table 6.9.1</w:t>
      </w:r>
      <w:r w:rsidRPr="00261B7A">
        <w:tab/>
        <w:t xml:space="preserve">Conversion factors for </w:t>
      </w:r>
      <w:r w:rsidRPr="00261B7A">
        <w:rPr>
          <w:i/>
        </w:rPr>
        <w:t>Harvested wood products</w:t>
      </w:r>
      <w:r w:rsidRPr="00261B7A">
        <w:t xml:space="preserve"> produced from New Zealand</w:t>
      </w:r>
      <w:bookmarkEnd w:id="2342"/>
      <w:bookmarkEnd w:id="2343"/>
      <w:bookmarkEnd w:id="2344"/>
      <w:bookmarkEnd w:id="2345"/>
      <w:bookmarkEnd w:id="2346"/>
      <w:r w:rsidRPr="00261B7A">
        <w:t xml:space="preserve"> wood</w:t>
      </w:r>
      <w:bookmarkEnd w:id="2347"/>
      <w:bookmarkEnd w:id="2348"/>
      <w:bookmarkEnd w:id="2349"/>
      <w:bookmarkEnd w:id="2350"/>
      <w:r w:rsidRPr="00261B7A">
        <w:t xml:space="preserve"> in New Zealand</w:t>
      </w:r>
      <w:bookmarkEnd w:id="2351"/>
    </w:p>
    <w:tbl>
      <w:tblPr>
        <w:tblW w:w="8505"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3963"/>
        <w:gridCol w:w="1994"/>
        <w:gridCol w:w="2548"/>
      </w:tblGrid>
      <w:tr w:rsidR="0010265C" w:rsidRPr="00261B7A" w14:paraId="2B87D921" w14:textId="77777777" w:rsidTr="002E577C">
        <w:trPr>
          <w:trHeight w:val="286"/>
          <w:tblHeader/>
        </w:trPr>
        <w:tc>
          <w:tcPr>
            <w:tcW w:w="4144" w:type="dxa"/>
            <w:tcBorders>
              <w:top w:val="single" w:sz="4" w:space="0" w:color="1B556B"/>
              <w:bottom w:val="nil"/>
            </w:tcBorders>
            <w:shd w:val="clear" w:color="auto" w:fill="1B556B" w:themeFill="text2"/>
            <w:vAlign w:val="bottom"/>
          </w:tcPr>
          <w:p w14:paraId="1A42B024" w14:textId="77777777" w:rsidR="0010265C" w:rsidRPr="00261B7A" w:rsidRDefault="0010265C" w:rsidP="00D41492">
            <w:pPr>
              <w:pStyle w:val="TableTextBold"/>
              <w:keepNext/>
              <w:keepLines/>
              <w:spacing w:before="40" w:after="40"/>
              <w:rPr>
                <w:noProof w:val="0"/>
                <w:color w:val="FFFFFF"/>
              </w:rPr>
            </w:pPr>
            <w:r w:rsidRPr="00261B7A">
              <w:rPr>
                <w:noProof w:val="0"/>
                <w:color w:val="FFFFFF"/>
              </w:rPr>
              <w:t>Category</w:t>
            </w:r>
          </w:p>
        </w:tc>
        <w:tc>
          <w:tcPr>
            <w:tcW w:w="2072" w:type="dxa"/>
            <w:tcBorders>
              <w:top w:val="single" w:sz="4" w:space="0" w:color="1B556B"/>
              <w:bottom w:val="nil"/>
            </w:tcBorders>
            <w:shd w:val="clear" w:color="auto" w:fill="1B556B" w:themeFill="text2"/>
            <w:vAlign w:val="bottom"/>
          </w:tcPr>
          <w:p w14:paraId="0B6C1F56" w14:textId="77777777" w:rsidR="0010265C" w:rsidRPr="00261B7A" w:rsidRDefault="0010265C" w:rsidP="00D41492">
            <w:pPr>
              <w:pStyle w:val="TableTextBold"/>
              <w:keepNext/>
              <w:keepLines/>
              <w:spacing w:before="40" w:after="40"/>
              <w:jc w:val="center"/>
              <w:rPr>
                <w:noProof w:val="0"/>
                <w:color w:val="FFFFFF"/>
              </w:rPr>
            </w:pPr>
            <w:r w:rsidRPr="00261B7A">
              <w:rPr>
                <w:noProof w:val="0"/>
                <w:color w:val="FFFFFF"/>
              </w:rPr>
              <w:t>Factor (t C/m</w:t>
            </w:r>
            <w:r w:rsidRPr="00261B7A">
              <w:rPr>
                <w:rFonts w:ascii="Calibri Light" w:hAnsi="Calibri Light"/>
                <w:noProof w:val="0"/>
                <w:color w:val="FFFFFF"/>
                <w:vertAlign w:val="superscript"/>
              </w:rPr>
              <w:t>3</w:t>
            </w:r>
            <w:r w:rsidRPr="00261B7A">
              <w:rPr>
                <w:noProof w:val="0"/>
                <w:color w:val="FFFFFF"/>
              </w:rPr>
              <w:t xml:space="preserve"> or t C/t*)</w:t>
            </w:r>
          </w:p>
        </w:tc>
        <w:tc>
          <w:tcPr>
            <w:tcW w:w="2663" w:type="dxa"/>
            <w:tcBorders>
              <w:top w:val="single" w:sz="4" w:space="0" w:color="1B556B"/>
              <w:bottom w:val="nil"/>
            </w:tcBorders>
            <w:shd w:val="clear" w:color="auto" w:fill="1B556B" w:themeFill="text2"/>
            <w:vAlign w:val="bottom"/>
          </w:tcPr>
          <w:p w14:paraId="4DFAD9F1" w14:textId="77777777" w:rsidR="0010265C" w:rsidRPr="00261B7A" w:rsidRDefault="0010265C" w:rsidP="00D41492">
            <w:pPr>
              <w:pStyle w:val="TableTextBold"/>
              <w:keepNext/>
              <w:keepLines/>
              <w:spacing w:before="40" w:after="40"/>
              <w:rPr>
                <w:noProof w:val="0"/>
                <w:color w:val="FFFFFF"/>
              </w:rPr>
            </w:pPr>
            <w:r w:rsidRPr="00261B7A">
              <w:rPr>
                <w:noProof w:val="0"/>
                <w:color w:val="FFFFFF"/>
              </w:rPr>
              <w:t>Source</w:t>
            </w:r>
          </w:p>
        </w:tc>
      </w:tr>
      <w:tr w:rsidR="0010265C" w:rsidRPr="00261B7A" w14:paraId="52BD6D37" w14:textId="77777777" w:rsidTr="002E577C">
        <w:trPr>
          <w:trHeight w:val="286"/>
        </w:trPr>
        <w:tc>
          <w:tcPr>
            <w:tcW w:w="4144" w:type="dxa"/>
            <w:tcBorders>
              <w:top w:val="nil"/>
              <w:bottom w:val="single" w:sz="4" w:space="0" w:color="1B556B"/>
            </w:tcBorders>
            <w:shd w:val="clear" w:color="auto" w:fill="auto"/>
          </w:tcPr>
          <w:p w14:paraId="15A19404" w14:textId="77777777" w:rsidR="0010265C" w:rsidRPr="00261B7A" w:rsidRDefault="0010265C" w:rsidP="00D41492">
            <w:pPr>
              <w:pStyle w:val="TableText"/>
              <w:spacing w:before="40" w:after="40"/>
            </w:pPr>
            <w:r w:rsidRPr="00261B7A">
              <w:t>Sawnwood, other industrial roundwood (coniferous)</w:t>
            </w:r>
          </w:p>
        </w:tc>
        <w:tc>
          <w:tcPr>
            <w:tcW w:w="2072" w:type="dxa"/>
            <w:tcBorders>
              <w:top w:val="nil"/>
              <w:bottom w:val="single" w:sz="4" w:space="0" w:color="1B556B"/>
            </w:tcBorders>
            <w:shd w:val="clear" w:color="auto" w:fill="auto"/>
          </w:tcPr>
          <w:p w14:paraId="72B82CCD" w14:textId="77777777" w:rsidR="0010265C" w:rsidRPr="00261B7A" w:rsidRDefault="0010265C" w:rsidP="00D41492">
            <w:pPr>
              <w:pStyle w:val="TableText"/>
              <w:tabs>
                <w:tab w:val="decimal" w:pos="181"/>
              </w:tabs>
              <w:spacing w:before="40" w:after="40"/>
              <w:jc w:val="center"/>
            </w:pPr>
            <w:r w:rsidRPr="00261B7A">
              <w:t>0.210</w:t>
            </w:r>
          </w:p>
        </w:tc>
        <w:tc>
          <w:tcPr>
            <w:tcW w:w="2663" w:type="dxa"/>
            <w:tcBorders>
              <w:top w:val="nil"/>
              <w:bottom w:val="single" w:sz="4" w:space="0" w:color="1B556B"/>
            </w:tcBorders>
            <w:shd w:val="clear" w:color="auto" w:fill="auto"/>
          </w:tcPr>
          <w:p w14:paraId="1E9B9C07" w14:textId="77777777" w:rsidR="0010265C" w:rsidRPr="00261B7A" w:rsidRDefault="0010265C" w:rsidP="00D41492">
            <w:pPr>
              <w:pStyle w:val="TableText"/>
              <w:spacing w:before="40" w:after="40"/>
            </w:pPr>
            <w:r w:rsidRPr="00261B7A">
              <w:t>Country specific (Jones, 2005)</w:t>
            </w:r>
          </w:p>
        </w:tc>
      </w:tr>
      <w:tr w:rsidR="0010265C" w:rsidRPr="00261B7A" w14:paraId="489CF7AF" w14:textId="77777777" w:rsidTr="002E577C">
        <w:trPr>
          <w:trHeight w:val="286"/>
        </w:trPr>
        <w:tc>
          <w:tcPr>
            <w:tcW w:w="4144" w:type="dxa"/>
            <w:tcBorders>
              <w:top w:val="single" w:sz="4" w:space="0" w:color="1B556B"/>
              <w:bottom w:val="single" w:sz="4" w:space="0" w:color="1B556B"/>
            </w:tcBorders>
            <w:shd w:val="clear" w:color="auto" w:fill="auto"/>
          </w:tcPr>
          <w:p w14:paraId="4813CB6B" w14:textId="77777777" w:rsidR="0010265C" w:rsidRPr="00261B7A" w:rsidRDefault="0010265C" w:rsidP="00D41492">
            <w:pPr>
              <w:pStyle w:val="TableText"/>
              <w:spacing w:before="40" w:after="40"/>
            </w:pPr>
            <w:r w:rsidRPr="00261B7A">
              <w:t>Sawnwood, other industrial roundwood (non-coniferous)</w:t>
            </w:r>
          </w:p>
        </w:tc>
        <w:tc>
          <w:tcPr>
            <w:tcW w:w="2072" w:type="dxa"/>
            <w:tcBorders>
              <w:top w:val="single" w:sz="4" w:space="0" w:color="1B556B"/>
              <w:bottom w:val="single" w:sz="4" w:space="0" w:color="1B556B"/>
            </w:tcBorders>
            <w:shd w:val="clear" w:color="auto" w:fill="auto"/>
          </w:tcPr>
          <w:p w14:paraId="3A6FAC0D" w14:textId="77777777" w:rsidR="0010265C" w:rsidRPr="00261B7A" w:rsidRDefault="0010265C" w:rsidP="00D41492">
            <w:pPr>
              <w:pStyle w:val="TableText"/>
              <w:tabs>
                <w:tab w:val="decimal" w:pos="181"/>
              </w:tabs>
              <w:spacing w:before="40" w:after="40"/>
              <w:jc w:val="center"/>
            </w:pPr>
            <w:r w:rsidRPr="00261B7A">
              <w:t>0.250</w:t>
            </w:r>
          </w:p>
        </w:tc>
        <w:tc>
          <w:tcPr>
            <w:tcW w:w="2663" w:type="dxa"/>
            <w:tcBorders>
              <w:top w:val="single" w:sz="4" w:space="0" w:color="1B556B"/>
              <w:bottom w:val="single" w:sz="4" w:space="0" w:color="1B556B"/>
            </w:tcBorders>
            <w:shd w:val="clear" w:color="auto" w:fill="auto"/>
          </w:tcPr>
          <w:p w14:paraId="692842F1" w14:textId="77777777" w:rsidR="0010265C" w:rsidRPr="00261B7A" w:rsidRDefault="0010265C" w:rsidP="00D41492">
            <w:pPr>
              <w:pStyle w:val="TableText"/>
              <w:spacing w:before="40" w:after="40"/>
            </w:pPr>
            <w:r w:rsidRPr="00261B7A">
              <w:t>Country specific (Jones, 2005)</w:t>
            </w:r>
          </w:p>
        </w:tc>
      </w:tr>
      <w:tr w:rsidR="0010265C" w:rsidRPr="00261B7A" w14:paraId="78DB4855" w14:textId="77777777" w:rsidTr="002E577C">
        <w:trPr>
          <w:trHeight w:val="286"/>
        </w:trPr>
        <w:tc>
          <w:tcPr>
            <w:tcW w:w="4144" w:type="dxa"/>
            <w:tcBorders>
              <w:top w:val="single" w:sz="4" w:space="0" w:color="1B556B"/>
              <w:bottom w:val="single" w:sz="4" w:space="0" w:color="1B556B"/>
            </w:tcBorders>
            <w:shd w:val="clear" w:color="auto" w:fill="auto"/>
          </w:tcPr>
          <w:p w14:paraId="48D6D023" w14:textId="77777777" w:rsidR="0010265C" w:rsidRPr="00261B7A" w:rsidRDefault="0010265C" w:rsidP="00D41492">
            <w:pPr>
              <w:pStyle w:val="TableText"/>
              <w:spacing w:before="40" w:after="40"/>
            </w:pPr>
            <w:r w:rsidRPr="00261B7A">
              <w:t>Veneer sheets</w:t>
            </w:r>
          </w:p>
        </w:tc>
        <w:tc>
          <w:tcPr>
            <w:tcW w:w="2072" w:type="dxa"/>
            <w:tcBorders>
              <w:top w:val="single" w:sz="4" w:space="0" w:color="1B556B"/>
              <w:bottom w:val="single" w:sz="4" w:space="0" w:color="1B556B"/>
            </w:tcBorders>
            <w:shd w:val="clear" w:color="auto" w:fill="auto"/>
          </w:tcPr>
          <w:p w14:paraId="73FBA734" w14:textId="77777777" w:rsidR="0010265C" w:rsidRPr="00261B7A" w:rsidRDefault="0010265C" w:rsidP="00D41492">
            <w:pPr>
              <w:pStyle w:val="TableText"/>
              <w:tabs>
                <w:tab w:val="decimal" w:pos="181"/>
              </w:tabs>
              <w:spacing w:before="40" w:after="40"/>
              <w:jc w:val="center"/>
            </w:pPr>
            <w:r w:rsidRPr="00261B7A">
              <w:t>0.210</w:t>
            </w:r>
          </w:p>
        </w:tc>
        <w:tc>
          <w:tcPr>
            <w:tcW w:w="2663" w:type="dxa"/>
            <w:tcBorders>
              <w:top w:val="single" w:sz="4" w:space="0" w:color="1B556B"/>
              <w:bottom w:val="single" w:sz="4" w:space="0" w:color="1B556B"/>
            </w:tcBorders>
            <w:shd w:val="clear" w:color="auto" w:fill="auto"/>
          </w:tcPr>
          <w:p w14:paraId="184A6397" w14:textId="77777777" w:rsidR="0010265C" w:rsidRPr="00261B7A" w:rsidRDefault="0010265C" w:rsidP="00D41492">
            <w:pPr>
              <w:pStyle w:val="TableText"/>
              <w:spacing w:before="40" w:after="40"/>
            </w:pPr>
            <w:r w:rsidRPr="00261B7A">
              <w:t>Country specific (Jones, 2005)</w:t>
            </w:r>
          </w:p>
        </w:tc>
      </w:tr>
      <w:tr w:rsidR="0010265C" w:rsidRPr="00261B7A" w14:paraId="67372F1D" w14:textId="77777777" w:rsidTr="002E577C">
        <w:trPr>
          <w:trHeight w:val="286"/>
        </w:trPr>
        <w:tc>
          <w:tcPr>
            <w:tcW w:w="4144" w:type="dxa"/>
            <w:tcBorders>
              <w:top w:val="single" w:sz="4" w:space="0" w:color="1B556B"/>
              <w:bottom w:val="single" w:sz="4" w:space="0" w:color="1B556B"/>
            </w:tcBorders>
            <w:shd w:val="clear" w:color="auto" w:fill="auto"/>
          </w:tcPr>
          <w:p w14:paraId="0F72D2BA" w14:textId="77777777" w:rsidR="0010265C" w:rsidRPr="00261B7A" w:rsidRDefault="0010265C" w:rsidP="00D41492">
            <w:pPr>
              <w:pStyle w:val="TableText"/>
              <w:spacing w:before="40" w:after="40"/>
            </w:pPr>
            <w:r w:rsidRPr="00261B7A">
              <w:t>Plywood</w:t>
            </w:r>
          </w:p>
        </w:tc>
        <w:tc>
          <w:tcPr>
            <w:tcW w:w="2072" w:type="dxa"/>
            <w:tcBorders>
              <w:top w:val="single" w:sz="4" w:space="0" w:color="1B556B"/>
              <w:bottom w:val="single" w:sz="4" w:space="0" w:color="1B556B"/>
            </w:tcBorders>
            <w:shd w:val="clear" w:color="auto" w:fill="auto"/>
          </w:tcPr>
          <w:p w14:paraId="430AE823" w14:textId="77777777" w:rsidR="0010265C" w:rsidRPr="00261B7A" w:rsidRDefault="0010265C" w:rsidP="00D41492">
            <w:pPr>
              <w:pStyle w:val="TableText"/>
              <w:tabs>
                <w:tab w:val="decimal" w:pos="181"/>
              </w:tabs>
              <w:spacing w:before="40" w:after="40"/>
              <w:jc w:val="center"/>
            </w:pPr>
            <w:r w:rsidRPr="00261B7A">
              <w:t>0.267</w:t>
            </w:r>
          </w:p>
        </w:tc>
        <w:tc>
          <w:tcPr>
            <w:tcW w:w="2663" w:type="dxa"/>
            <w:tcBorders>
              <w:top w:val="single" w:sz="4" w:space="0" w:color="1B556B"/>
              <w:bottom w:val="single" w:sz="4" w:space="0" w:color="1B556B"/>
            </w:tcBorders>
            <w:shd w:val="clear" w:color="auto" w:fill="auto"/>
          </w:tcPr>
          <w:p w14:paraId="147853E5" w14:textId="77777777" w:rsidR="0010265C" w:rsidRPr="00261B7A" w:rsidRDefault="0010265C" w:rsidP="00D41492">
            <w:pPr>
              <w:pStyle w:val="TableText"/>
              <w:spacing w:before="40" w:after="40"/>
            </w:pPr>
            <w:r w:rsidRPr="00261B7A">
              <w:t>IPCC default (IPCC, 2014)</w:t>
            </w:r>
          </w:p>
        </w:tc>
      </w:tr>
      <w:tr w:rsidR="0010265C" w:rsidRPr="00261B7A" w14:paraId="1AB77548" w14:textId="77777777" w:rsidTr="002E577C">
        <w:trPr>
          <w:trHeight w:val="286"/>
        </w:trPr>
        <w:tc>
          <w:tcPr>
            <w:tcW w:w="4144" w:type="dxa"/>
            <w:tcBorders>
              <w:top w:val="single" w:sz="4" w:space="0" w:color="1B556B"/>
              <w:bottom w:val="single" w:sz="4" w:space="0" w:color="1B556B"/>
            </w:tcBorders>
            <w:shd w:val="clear" w:color="auto" w:fill="auto"/>
          </w:tcPr>
          <w:p w14:paraId="4B174AD8" w14:textId="77777777" w:rsidR="0010265C" w:rsidRPr="00261B7A" w:rsidRDefault="0010265C" w:rsidP="00D41492">
            <w:pPr>
              <w:pStyle w:val="TableText"/>
              <w:spacing w:before="40" w:after="40"/>
            </w:pPr>
            <w:r w:rsidRPr="00261B7A">
              <w:t>Particle board</w:t>
            </w:r>
          </w:p>
        </w:tc>
        <w:tc>
          <w:tcPr>
            <w:tcW w:w="2072" w:type="dxa"/>
            <w:tcBorders>
              <w:top w:val="single" w:sz="4" w:space="0" w:color="1B556B"/>
              <w:bottom w:val="single" w:sz="4" w:space="0" w:color="1B556B"/>
            </w:tcBorders>
            <w:shd w:val="clear" w:color="auto" w:fill="auto"/>
          </w:tcPr>
          <w:p w14:paraId="579F1C1B" w14:textId="77777777" w:rsidR="0010265C" w:rsidRPr="00261B7A" w:rsidRDefault="0010265C" w:rsidP="00D41492">
            <w:pPr>
              <w:pStyle w:val="TableText"/>
              <w:tabs>
                <w:tab w:val="decimal" w:pos="181"/>
              </w:tabs>
              <w:spacing w:before="40" w:after="40"/>
              <w:jc w:val="center"/>
            </w:pPr>
            <w:r w:rsidRPr="00261B7A">
              <w:t>0.269</w:t>
            </w:r>
          </w:p>
        </w:tc>
        <w:tc>
          <w:tcPr>
            <w:tcW w:w="2663" w:type="dxa"/>
            <w:tcBorders>
              <w:top w:val="single" w:sz="4" w:space="0" w:color="1B556B"/>
              <w:bottom w:val="single" w:sz="4" w:space="0" w:color="1B556B"/>
            </w:tcBorders>
            <w:shd w:val="clear" w:color="auto" w:fill="auto"/>
          </w:tcPr>
          <w:p w14:paraId="0E061745" w14:textId="77777777" w:rsidR="0010265C" w:rsidRPr="00261B7A" w:rsidRDefault="0010265C" w:rsidP="00D41492">
            <w:pPr>
              <w:pStyle w:val="TableText"/>
              <w:spacing w:before="40" w:after="40"/>
            </w:pPr>
            <w:r w:rsidRPr="00261B7A">
              <w:t>IPCC default (IPCC, 2014)</w:t>
            </w:r>
          </w:p>
        </w:tc>
      </w:tr>
      <w:tr w:rsidR="0010265C" w:rsidRPr="00261B7A" w14:paraId="28B9CDAB" w14:textId="77777777" w:rsidTr="002E577C">
        <w:trPr>
          <w:trHeight w:val="286"/>
        </w:trPr>
        <w:tc>
          <w:tcPr>
            <w:tcW w:w="4144" w:type="dxa"/>
            <w:tcBorders>
              <w:top w:val="single" w:sz="4" w:space="0" w:color="1B556B"/>
              <w:bottom w:val="single" w:sz="4" w:space="0" w:color="1B556B"/>
            </w:tcBorders>
            <w:shd w:val="clear" w:color="auto" w:fill="auto"/>
          </w:tcPr>
          <w:p w14:paraId="0B1AFC03" w14:textId="77777777" w:rsidR="0010265C" w:rsidRPr="00261B7A" w:rsidRDefault="0010265C" w:rsidP="00D41492">
            <w:pPr>
              <w:pStyle w:val="TableText"/>
              <w:spacing w:before="40" w:after="40"/>
            </w:pPr>
            <w:r w:rsidRPr="00261B7A">
              <w:t>Fibreboard (compressed)</w:t>
            </w:r>
          </w:p>
        </w:tc>
        <w:tc>
          <w:tcPr>
            <w:tcW w:w="2072" w:type="dxa"/>
            <w:tcBorders>
              <w:top w:val="single" w:sz="4" w:space="0" w:color="1B556B"/>
              <w:bottom w:val="single" w:sz="4" w:space="0" w:color="1B556B"/>
            </w:tcBorders>
            <w:shd w:val="clear" w:color="auto" w:fill="auto"/>
          </w:tcPr>
          <w:p w14:paraId="2542C30D" w14:textId="77777777" w:rsidR="0010265C" w:rsidRPr="00261B7A" w:rsidRDefault="0010265C" w:rsidP="00D41492">
            <w:pPr>
              <w:pStyle w:val="TableText"/>
              <w:tabs>
                <w:tab w:val="decimal" w:pos="181"/>
              </w:tabs>
              <w:spacing w:before="40" w:after="40"/>
              <w:jc w:val="center"/>
            </w:pPr>
            <w:r w:rsidRPr="00261B7A">
              <w:t>0.315</w:t>
            </w:r>
          </w:p>
        </w:tc>
        <w:tc>
          <w:tcPr>
            <w:tcW w:w="2663" w:type="dxa"/>
            <w:tcBorders>
              <w:top w:val="single" w:sz="4" w:space="0" w:color="1B556B"/>
              <w:bottom w:val="single" w:sz="4" w:space="0" w:color="1B556B"/>
            </w:tcBorders>
            <w:shd w:val="clear" w:color="auto" w:fill="auto"/>
          </w:tcPr>
          <w:p w14:paraId="0D4199E6" w14:textId="77777777" w:rsidR="0010265C" w:rsidRPr="00261B7A" w:rsidRDefault="0010265C" w:rsidP="00D41492">
            <w:pPr>
              <w:pStyle w:val="TableText"/>
              <w:spacing w:before="40" w:after="40"/>
            </w:pPr>
            <w:r w:rsidRPr="00261B7A">
              <w:t>IPCC default (IPCC, 2014)</w:t>
            </w:r>
          </w:p>
        </w:tc>
      </w:tr>
      <w:tr w:rsidR="0010265C" w:rsidRPr="00261B7A" w14:paraId="17994A42" w14:textId="77777777" w:rsidTr="002E577C">
        <w:trPr>
          <w:trHeight w:val="286"/>
        </w:trPr>
        <w:tc>
          <w:tcPr>
            <w:tcW w:w="4144" w:type="dxa"/>
            <w:tcBorders>
              <w:top w:val="single" w:sz="4" w:space="0" w:color="1B556B"/>
              <w:bottom w:val="single" w:sz="4" w:space="0" w:color="1B556B"/>
            </w:tcBorders>
            <w:shd w:val="clear" w:color="auto" w:fill="auto"/>
          </w:tcPr>
          <w:p w14:paraId="7B13ED0A" w14:textId="77777777" w:rsidR="0010265C" w:rsidRPr="00261B7A" w:rsidRDefault="0010265C" w:rsidP="00D41492">
            <w:pPr>
              <w:pStyle w:val="TableText"/>
              <w:spacing w:before="40" w:after="40"/>
            </w:pPr>
            <w:r w:rsidRPr="00261B7A">
              <w:t>Insulating board/other fibreboard</w:t>
            </w:r>
          </w:p>
        </w:tc>
        <w:tc>
          <w:tcPr>
            <w:tcW w:w="2072" w:type="dxa"/>
            <w:tcBorders>
              <w:top w:val="single" w:sz="4" w:space="0" w:color="1B556B"/>
              <w:bottom w:val="single" w:sz="4" w:space="0" w:color="1B556B"/>
            </w:tcBorders>
            <w:shd w:val="clear" w:color="auto" w:fill="auto"/>
          </w:tcPr>
          <w:p w14:paraId="46798341" w14:textId="77777777" w:rsidR="0010265C" w:rsidRPr="00261B7A" w:rsidRDefault="0010265C" w:rsidP="00D41492">
            <w:pPr>
              <w:pStyle w:val="TableText"/>
              <w:tabs>
                <w:tab w:val="decimal" w:pos="181"/>
              </w:tabs>
              <w:spacing w:before="40" w:after="40"/>
              <w:jc w:val="center"/>
            </w:pPr>
            <w:r w:rsidRPr="00261B7A">
              <w:t>0.075</w:t>
            </w:r>
          </w:p>
        </w:tc>
        <w:tc>
          <w:tcPr>
            <w:tcW w:w="2663" w:type="dxa"/>
            <w:tcBorders>
              <w:top w:val="single" w:sz="4" w:space="0" w:color="1B556B"/>
              <w:bottom w:val="single" w:sz="4" w:space="0" w:color="1B556B"/>
            </w:tcBorders>
            <w:shd w:val="clear" w:color="auto" w:fill="auto"/>
          </w:tcPr>
          <w:p w14:paraId="3EAD40BC" w14:textId="77777777" w:rsidR="0010265C" w:rsidRPr="00261B7A" w:rsidRDefault="0010265C" w:rsidP="00D41492">
            <w:pPr>
              <w:pStyle w:val="TableText"/>
              <w:spacing w:before="40" w:after="40"/>
            </w:pPr>
            <w:r w:rsidRPr="00261B7A">
              <w:t>IPCC default (IPCC, 2014)</w:t>
            </w:r>
          </w:p>
        </w:tc>
      </w:tr>
      <w:tr w:rsidR="0010265C" w:rsidRPr="00261B7A" w14:paraId="1A1CEB92" w14:textId="77777777" w:rsidTr="002E577C">
        <w:trPr>
          <w:trHeight w:val="286"/>
        </w:trPr>
        <w:tc>
          <w:tcPr>
            <w:tcW w:w="4144" w:type="dxa"/>
            <w:tcBorders>
              <w:top w:val="single" w:sz="4" w:space="0" w:color="1B556B"/>
              <w:bottom w:val="single" w:sz="4" w:space="0" w:color="1B556B"/>
            </w:tcBorders>
            <w:shd w:val="clear" w:color="auto" w:fill="auto"/>
          </w:tcPr>
          <w:p w14:paraId="6EC29745" w14:textId="77777777" w:rsidR="0010265C" w:rsidRPr="00261B7A" w:rsidRDefault="0010265C" w:rsidP="00D41492">
            <w:pPr>
              <w:pStyle w:val="TableText"/>
              <w:spacing w:before="40" w:after="40"/>
            </w:pPr>
            <w:r w:rsidRPr="00261B7A">
              <w:t>Paper products</w:t>
            </w:r>
          </w:p>
        </w:tc>
        <w:tc>
          <w:tcPr>
            <w:tcW w:w="2072" w:type="dxa"/>
            <w:tcBorders>
              <w:top w:val="single" w:sz="4" w:space="0" w:color="1B556B"/>
              <w:bottom w:val="single" w:sz="4" w:space="0" w:color="1B556B"/>
            </w:tcBorders>
            <w:shd w:val="clear" w:color="auto" w:fill="auto"/>
          </w:tcPr>
          <w:p w14:paraId="3A323557" w14:textId="77777777" w:rsidR="0010265C" w:rsidRPr="00261B7A" w:rsidRDefault="0010265C" w:rsidP="00D41492">
            <w:pPr>
              <w:pStyle w:val="TableText"/>
              <w:tabs>
                <w:tab w:val="decimal" w:pos="181"/>
              </w:tabs>
              <w:spacing w:before="40" w:after="40"/>
              <w:ind w:right="-57"/>
              <w:jc w:val="center"/>
            </w:pPr>
            <w:r w:rsidRPr="00261B7A">
              <w:t>0.450*</w:t>
            </w:r>
          </w:p>
        </w:tc>
        <w:tc>
          <w:tcPr>
            <w:tcW w:w="2663" w:type="dxa"/>
            <w:tcBorders>
              <w:top w:val="single" w:sz="4" w:space="0" w:color="1B556B"/>
              <w:bottom w:val="single" w:sz="4" w:space="0" w:color="1B556B"/>
            </w:tcBorders>
            <w:shd w:val="clear" w:color="auto" w:fill="auto"/>
          </w:tcPr>
          <w:p w14:paraId="33352D70" w14:textId="77777777" w:rsidR="0010265C" w:rsidRPr="00261B7A" w:rsidRDefault="0010265C" w:rsidP="00D41492">
            <w:pPr>
              <w:pStyle w:val="TableText"/>
              <w:spacing w:before="40" w:after="40"/>
            </w:pPr>
            <w:r w:rsidRPr="00261B7A">
              <w:t>IPCC default (IPCC, 2014)</w:t>
            </w:r>
          </w:p>
        </w:tc>
      </w:tr>
    </w:tbl>
    <w:p w14:paraId="6285F742" w14:textId="77777777" w:rsidR="0010265C" w:rsidRPr="00261B7A" w:rsidRDefault="0010265C" w:rsidP="0010265C">
      <w:pPr>
        <w:pStyle w:val="Noteundertable"/>
      </w:pPr>
      <w:r w:rsidRPr="00261B7A">
        <w:rPr>
          <w:b/>
        </w:rPr>
        <w:t>Note:</w:t>
      </w:r>
      <w:r w:rsidRPr="00261B7A">
        <w:tab/>
        <w:t>* Indicates where factors are given in tonnes of carbon per tonne of product.</w:t>
      </w:r>
    </w:p>
    <w:p w14:paraId="486B9A29" w14:textId="77777777" w:rsidR="0010265C" w:rsidRPr="00261B7A" w:rsidRDefault="0010265C" w:rsidP="0010265C">
      <w:pPr>
        <w:pStyle w:val="Heading5"/>
        <w:spacing w:before="120"/>
      </w:pPr>
      <w:r w:rsidRPr="00261B7A">
        <w:t xml:space="preserve">Half-lives </w:t>
      </w:r>
    </w:p>
    <w:p w14:paraId="6305E20C" w14:textId="77777777" w:rsidR="0010265C" w:rsidRPr="00261B7A" w:rsidRDefault="0010265C" w:rsidP="0010265C">
      <w:pPr>
        <w:pStyle w:val="BodyText"/>
      </w:pPr>
      <w:r w:rsidRPr="00261B7A">
        <w:t xml:space="preserve">Half-lives determine the discard rate of products from service in the </w:t>
      </w:r>
      <w:r w:rsidRPr="00261B7A">
        <w:rPr>
          <w:i/>
        </w:rPr>
        <w:t xml:space="preserve">Harvested wood products </w:t>
      </w:r>
      <w:r w:rsidRPr="00261B7A">
        <w:t>category. New Zealand uses a half-life of 35 years for </w:t>
      </w:r>
      <w:r w:rsidRPr="00261B7A">
        <w:rPr>
          <w:i/>
        </w:rPr>
        <w:t>Sawnwood</w:t>
      </w:r>
      <w:r w:rsidRPr="00261B7A">
        <w:t>,</w:t>
      </w:r>
      <w:r w:rsidRPr="00261B7A">
        <w:rPr>
          <w:i/>
        </w:rPr>
        <w:t xml:space="preserve"> </w:t>
      </w:r>
      <w:r w:rsidRPr="00261B7A">
        <w:t>25 years for</w:t>
      </w:r>
      <w:r w:rsidRPr="00261B7A">
        <w:rPr>
          <w:i/>
        </w:rPr>
        <w:t xml:space="preserve"> Panels</w:t>
      </w:r>
      <w:r w:rsidRPr="00261B7A" w:rsidDel="00C32CA0">
        <w:rPr>
          <w:i/>
        </w:rPr>
        <w:t xml:space="preserve"> </w:t>
      </w:r>
      <w:r w:rsidRPr="00261B7A">
        <w:t xml:space="preserve">and two years for </w:t>
      </w:r>
      <w:r w:rsidRPr="00261B7A">
        <w:rPr>
          <w:i/>
        </w:rPr>
        <w:t>Paper and paperboard</w:t>
      </w:r>
      <w:r w:rsidRPr="00261B7A">
        <w:t xml:space="preserve"> from the Kyoto Protocol Supplement (IPCC, 2014) for domestic production. These half-lives are used to increase the accuracy of the estimates over the default categories (</w:t>
      </w:r>
      <w:r w:rsidRPr="00261B7A">
        <w:rPr>
          <w:i/>
        </w:rPr>
        <w:t xml:space="preserve">Solid wood </w:t>
      </w:r>
      <w:r w:rsidRPr="00261B7A">
        <w:t>and</w:t>
      </w:r>
      <w:r w:rsidRPr="00261B7A">
        <w:rPr>
          <w:i/>
        </w:rPr>
        <w:t xml:space="preserve"> Paper and paperboard</w:t>
      </w:r>
      <w:r w:rsidRPr="00261B7A">
        <w:t>)</w:t>
      </w:r>
      <w:r w:rsidRPr="00261B7A">
        <w:rPr>
          <w:i/>
        </w:rPr>
        <w:t xml:space="preserve"> </w:t>
      </w:r>
      <w:r w:rsidRPr="00261B7A">
        <w:t>(table 12.2, IPCC, 2006a).</w:t>
      </w:r>
    </w:p>
    <w:p w14:paraId="73BDC750" w14:textId="77777777" w:rsidR="0010265C" w:rsidRPr="00261B7A" w:rsidRDefault="0010265C" w:rsidP="0010265C">
      <w:pPr>
        <w:pStyle w:val="BodyText"/>
      </w:pPr>
      <w:r w:rsidRPr="00261B7A">
        <w:t xml:space="preserve">Most of New Zealand’s exported logs are converted into construction and packaging material (Ministry for Primary Industries, 2016). The weighted half-lives for China and India are significantly lower than the IPCC default half-lives for </w:t>
      </w:r>
      <w:r w:rsidRPr="00261B7A">
        <w:rPr>
          <w:i/>
        </w:rPr>
        <w:t>Sawnwood</w:t>
      </w:r>
      <w:r w:rsidRPr="00261B7A">
        <w:t xml:space="preserve"> and </w:t>
      </w:r>
      <w:r w:rsidRPr="00261B7A">
        <w:rPr>
          <w:i/>
        </w:rPr>
        <w:t>Panels</w:t>
      </w:r>
      <w:r w:rsidRPr="00261B7A">
        <w:t xml:space="preserve">, as demonstrated </w:t>
      </w:r>
      <w:r w:rsidRPr="009D6B55">
        <w:rPr>
          <w:spacing w:val="-2"/>
        </w:rPr>
        <w:t xml:space="preserve">in table 6.9.2. These findings are included in New Zealand’s </w:t>
      </w:r>
      <w:r w:rsidRPr="009D6B55">
        <w:rPr>
          <w:i/>
          <w:spacing w:val="-2"/>
        </w:rPr>
        <w:t>Harvested wood products</w:t>
      </w:r>
      <w:r w:rsidRPr="009D6B55">
        <w:rPr>
          <w:spacing w:val="-2"/>
        </w:rPr>
        <w:t xml:space="preserve"> estimates</w:t>
      </w:r>
      <w:r w:rsidRPr="00261B7A">
        <w:t xml:space="preserve"> and provide an improvement on the default assumption where exported raw materials were discarded at the same rate as domestic production. Further information on the half-lives for conversions of exported logs is provided in annex A3.2.6.</w:t>
      </w:r>
    </w:p>
    <w:p w14:paraId="529449EA" w14:textId="77777777" w:rsidR="0010265C" w:rsidRPr="00261B7A" w:rsidRDefault="0010265C" w:rsidP="0010265C">
      <w:pPr>
        <w:pStyle w:val="Table"/>
      </w:pPr>
      <w:bookmarkStart w:id="2352" w:name="_Toc131591426"/>
      <w:r w:rsidRPr="00261B7A">
        <w:t>Table 6.9.2</w:t>
      </w:r>
      <w:r w:rsidRPr="00261B7A">
        <w:tab/>
        <w:t>Comparison of weighted half-lives for harvested wood products produced in export markets and the defaults applied in the IPCC, 2014 guidance</w:t>
      </w:r>
      <w:bookmarkEnd w:id="2352"/>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062"/>
        <w:gridCol w:w="2609"/>
        <w:gridCol w:w="1981"/>
        <w:gridCol w:w="1853"/>
      </w:tblGrid>
      <w:tr w:rsidR="0010265C" w:rsidRPr="00261B7A" w14:paraId="42691348" w14:textId="77777777" w:rsidTr="002E577C">
        <w:trPr>
          <w:tblHeader/>
        </w:trPr>
        <w:tc>
          <w:tcPr>
            <w:tcW w:w="2062" w:type="dxa"/>
            <w:vMerge w:val="restart"/>
            <w:shd w:val="clear" w:color="auto" w:fill="1B556B" w:themeFill="text2"/>
            <w:vAlign w:val="bottom"/>
          </w:tcPr>
          <w:p w14:paraId="1DE4679B" w14:textId="77777777" w:rsidR="0010265C" w:rsidRPr="00261B7A" w:rsidRDefault="0010265C" w:rsidP="00D41492">
            <w:pPr>
              <w:pStyle w:val="TableTextBold"/>
              <w:spacing w:before="40" w:after="40"/>
              <w:rPr>
                <w:noProof w:val="0"/>
                <w:color w:val="FFFFFF"/>
              </w:rPr>
            </w:pPr>
            <w:r w:rsidRPr="00261B7A">
              <w:rPr>
                <w:noProof w:val="0"/>
                <w:color w:val="FFFFFF"/>
              </w:rPr>
              <w:t>Country</w:t>
            </w:r>
          </w:p>
        </w:tc>
        <w:tc>
          <w:tcPr>
            <w:tcW w:w="6443" w:type="dxa"/>
            <w:gridSpan w:val="3"/>
            <w:tcBorders>
              <w:bottom w:val="nil"/>
            </w:tcBorders>
            <w:shd w:val="clear" w:color="auto" w:fill="1B556B" w:themeFill="text2"/>
            <w:vAlign w:val="bottom"/>
          </w:tcPr>
          <w:p w14:paraId="5E6777BA" w14:textId="77777777" w:rsidR="0010265C" w:rsidRPr="00261B7A" w:rsidRDefault="0010265C" w:rsidP="002E577C">
            <w:pPr>
              <w:pStyle w:val="TableTextBold"/>
              <w:spacing w:before="40" w:after="0"/>
              <w:jc w:val="center"/>
              <w:rPr>
                <w:noProof w:val="0"/>
                <w:color w:val="FFFFFF"/>
              </w:rPr>
            </w:pPr>
            <w:r w:rsidRPr="00261B7A">
              <w:rPr>
                <w:noProof w:val="0"/>
                <w:color w:val="FFFFFF"/>
              </w:rPr>
              <w:t>Weighted half-lives</w:t>
            </w:r>
          </w:p>
        </w:tc>
      </w:tr>
      <w:tr w:rsidR="0010265C" w:rsidRPr="00261B7A" w14:paraId="38F503AA" w14:textId="77777777" w:rsidTr="002E577C">
        <w:tc>
          <w:tcPr>
            <w:tcW w:w="2062" w:type="dxa"/>
            <w:vMerge/>
            <w:shd w:val="clear" w:color="auto" w:fill="1B556B" w:themeFill="text2"/>
          </w:tcPr>
          <w:p w14:paraId="54157C89" w14:textId="77777777" w:rsidR="0010265C" w:rsidRPr="00261B7A" w:rsidRDefault="0010265C" w:rsidP="00D41492">
            <w:pPr>
              <w:pStyle w:val="TableTextBold"/>
              <w:spacing w:before="40" w:after="40"/>
              <w:rPr>
                <w:noProof w:val="0"/>
                <w:color w:val="FFFFFF"/>
              </w:rPr>
            </w:pPr>
          </w:p>
        </w:tc>
        <w:tc>
          <w:tcPr>
            <w:tcW w:w="2609" w:type="dxa"/>
            <w:tcBorders>
              <w:top w:val="nil"/>
            </w:tcBorders>
            <w:shd w:val="clear" w:color="auto" w:fill="1B556B" w:themeFill="text2"/>
          </w:tcPr>
          <w:p w14:paraId="57576344" w14:textId="77777777" w:rsidR="0010265C" w:rsidRPr="00261B7A" w:rsidRDefault="0010265C" w:rsidP="00D41492">
            <w:pPr>
              <w:pStyle w:val="TableTextBold"/>
              <w:spacing w:before="40" w:after="40"/>
              <w:jc w:val="right"/>
              <w:rPr>
                <w:noProof w:val="0"/>
                <w:color w:val="FFFFFF"/>
              </w:rPr>
            </w:pPr>
            <w:r w:rsidRPr="00261B7A">
              <w:rPr>
                <w:noProof w:val="0"/>
                <w:color w:val="FFFFFF"/>
              </w:rPr>
              <w:t>Sawnwood</w:t>
            </w:r>
          </w:p>
        </w:tc>
        <w:tc>
          <w:tcPr>
            <w:tcW w:w="1981" w:type="dxa"/>
            <w:tcBorders>
              <w:top w:val="nil"/>
            </w:tcBorders>
            <w:shd w:val="clear" w:color="auto" w:fill="1B556B" w:themeFill="text2"/>
          </w:tcPr>
          <w:p w14:paraId="4E881D31" w14:textId="77777777" w:rsidR="0010265C" w:rsidRPr="00261B7A" w:rsidRDefault="0010265C" w:rsidP="00D41492">
            <w:pPr>
              <w:pStyle w:val="TableTextBold"/>
              <w:spacing w:before="40" w:after="40"/>
              <w:jc w:val="right"/>
              <w:rPr>
                <w:noProof w:val="0"/>
                <w:color w:val="FFFFFF"/>
              </w:rPr>
            </w:pPr>
            <w:r w:rsidRPr="00261B7A">
              <w:rPr>
                <w:noProof w:val="0"/>
                <w:color w:val="FFFFFF"/>
              </w:rPr>
              <w:t>Wood panels</w:t>
            </w:r>
          </w:p>
        </w:tc>
        <w:tc>
          <w:tcPr>
            <w:tcW w:w="1853" w:type="dxa"/>
            <w:tcBorders>
              <w:top w:val="nil"/>
            </w:tcBorders>
            <w:shd w:val="clear" w:color="auto" w:fill="1B556B" w:themeFill="text2"/>
          </w:tcPr>
          <w:p w14:paraId="56D4B372" w14:textId="77777777" w:rsidR="0010265C" w:rsidRPr="00261B7A" w:rsidRDefault="0010265C" w:rsidP="00D41492">
            <w:pPr>
              <w:pStyle w:val="TableTextBold"/>
              <w:spacing w:before="40" w:after="40"/>
              <w:jc w:val="right"/>
              <w:rPr>
                <w:noProof w:val="0"/>
                <w:color w:val="FFFFFF"/>
              </w:rPr>
            </w:pPr>
            <w:r w:rsidRPr="00261B7A">
              <w:rPr>
                <w:noProof w:val="0"/>
                <w:color w:val="FFFFFF"/>
              </w:rPr>
              <w:t>Paper</w:t>
            </w:r>
          </w:p>
        </w:tc>
      </w:tr>
      <w:tr w:rsidR="0010265C" w:rsidRPr="00261B7A" w14:paraId="7DAA8A6F" w14:textId="77777777" w:rsidTr="002E577C">
        <w:tc>
          <w:tcPr>
            <w:tcW w:w="2062" w:type="dxa"/>
            <w:shd w:val="clear" w:color="auto" w:fill="auto"/>
          </w:tcPr>
          <w:p w14:paraId="2A9A7623" w14:textId="77777777" w:rsidR="0010265C" w:rsidRPr="00261B7A" w:rsidRDefault="0010265C" w:rsidP="00D41492">
            <w:pPr>
              <w:pStyle w:val="TableText"/>
              <w:spacing w:before="40" w:after="40"/>
            </w:pPr>
            <w:r w:rsidRPr="00261B7A">
              <w:t>China</w:t>
            </w:r>
          </w:p>
        </w:tc>
        <w:tc>
          <w:tcPr>
            <w:tcW w:w="2609" w:type="dxa"/>
            <w:shd w:val="clear" w:color="auto" w:fill="auto"/>
          </w:tcPr>
          <w:p w14:paraId="02B2ED57" w14:textId="77777777" w:rsidR="0010265C" w:rsidRPr="00261B7A" w:rsidRDefault="0010265C" w:rsidP="00D41492">
            <w:pPr>
              <w:pStyle w:val="TableText"/>
              <w:tabs>
                <w:tab w:val="decimal" w:pos="181"/>
              </w:tabs>
              <w:spacing w:before="40" w:after="40"/>
              <w:jc w:val="right"/>
            </w:pPr>
            <w:r w:rsidRPr="00261B7A">
              <w:t>8.3</w:t>
            </w:r>
          </w:p>
        </w:tc>
        <w:tc>
          <w:tcPr>
            <w:tcW w:w="1981" w:type="dxa"/>
            <w:shd w:val="clear" w:color="auto" w:fill="auto"/>
          </w:tcPr>
          <w:p w14:paraId="2547E72B" w14:textId="77777777" w:rsidR="0010265C" w:rsidRPr="00261B7A" w:rsidRDefault="0010265C" w:rsidP="00D41492">
            <w:pPr>
              <w:pStyle w:val="TableText"/>
              <w:spacing w:before="40" w:after="40"/>
              <w:jc w:val="right"/>
            </w:pPr>
            <w:r w:rsidRPr="00261B7A">
              <w:t>8.3</w:t>
            </w:r>
          </w:p>
        </w:tc>
        <w:tc>
          <w:tcPr>
            <w:tcW w:w="1853" w:type="dxa"/>
          </w:tcPr>
          <w:p w14:paraId="527C17D1" w14:textId="77777777" w:rsidR="0010265C" w:rsidRPr="00261B7A" w:rsidRDefault="0010265C" w:rsidP="00D41492">
            <w:pPr>
              <w:pStyle w:val="TableText"/>
              <w:spacing w:before="40" w:after="40"/>
              <w:jc w:val="right"/>
            </w:pPr>
            <w:r w:rsidRPr="00261B7A">
              <w:t>2</w:t>
            </w:r>
          </w:p>
        </w:tc>
      </w:tr>
      <w:tr w:rsidR="0010265C" w:rsidRPr="00261B7A" w14:paraId="2B49C714" w14:textId="77777777" w:rsidTr="002E577C">
        <w:tc>
          <w:tcPr>
            <w:tcW w:w="2062" w:type="dxa"/>
            <w:shd w:val="clear" w:color="auto" w:fill="auto"/>
          </w:tcPr>
          <w:p w14:paraId="128DB88B" w14:textId="77777777" w:rsidR="0010265C" w:rsidRPr="00261B7A" w:rsidRDefault="0010265C" w:rsidP="00D41492">
            <w:pPr>
              <w:pStyle w:val="TableText"/>
              <w:spacing w:before="40" w:after="40"/>
            </w:pPr>
            <w:r w:rsidRPr="00261B7A">
              <w:t>India</w:t>
            </w:r>
          </w:p>
        </w:tc>
        <w:tc>
          <w:tcPr>
            <w:tcW w:w="2609" w:type="dxa"/>
            <w:shd w:val="clear" w:color="auto" w:fill="auto"/>
          </w:tcPr>
          <w:p w14:paraId="61ED557B" w14:textId="77777777" w:rsidR="0010265C" w:rsidRPr="00261B7A" w:rsidRDefault="0010265C" w:rsidP="00D41492">
            <w:pPr>
              <w:pStyle w:val="TableText"/>
              <w:tabs>
                <w:tab w:val="decimal" w:pos="181"/>
              </w:tabs>
              <w:spacing w:before="40" w:after="40"/>
              <w:jc w:val="right"/>
            </w:pPr>
            <w:r w:rsidRPr="00261B7A">
              <w:t>1.4</w:t>
            </w:r>
          </w:p>
        </w:tc>
        <w:tc>
          <w:tcPr>
            <w:tcW w:w="1981" w:type="dxa"/>
            <w:shd w:val="clear" w:color="auto" w:fill="auto"/>
          </w:tcPr>
          <w:p w14:paraId="68F5373B" w14:textId="77777777" w:rsidR="0010265C" w:rsidRPr="00261B7A" w:rsidRDefault="0010265C" w:rsidP="00D41492">
            <w:pPr>
              <w:pStyle w:val="TableText"/>
              <w:spacing w:before="40" w:after="40"/>
              <w:jc w:val="right"/>
            </w:pPr>
            <w:r w:rsidRPr="00261B7A">
              <w:t>10.4</w:t>
            </w:r>
          </w:p>
        </w:tc>
        <w:tc>
          <w:tcPr>
            <w:tcW w:w="1853" w:type="dxa"/>
          </w:tcPr>
          <w:p w14:paraId="2254D3B0" w14:textId="77777777" w:rsidR="0010265C" w:rsidRPr="00261B7A" w:rsidRDefault="0010265C" w:rsidP="00D41492">
            <w:pPr>
              <w:pStyle w:val="TableText"/>
              <w:spacing w:before="40" w:after="40"/>
              <w:jc w:val="right"/>
            </w:pPr>
            <w:r w:rsidRPr="00261B7A">
              <w:t>2</w:t>
            </w:r>
          </w:p>
        </w:tc>
      </w:tr>
      <w:tr w:rsidR="0010265C" w:rsidRPr="00261B7A" w14:paraId="7F118C53" w14:textId="77777777" w:rsidTr="002E577C">
        <w:tc>
          <w:tcPr>
            <w:tcW w:w="2062" w:type="dxa"/>
            <w:shd w:val="clear" w:color="auto" w:fill="auto"/>
          </w:tcPr>
          <w:p w14:paraId="48671053" w14:textId="77777777" w:rsidR="0010265C" w:rsidRPr="00261B7A" w:rsidRDefault="0010265C" w:rsidP="00D41492">
            <w:pPr>
              <w:pStyle w:val="TableText"/>
              <w:spacing w:before="40" w:after="40"/>
            </w:pPr>
            <w:r w:rsidRPr="00261B7A">
              <w:t>South Korea</w:t>
            </w:r>
          </w:p>
        </w:tc>
        <w:tc>
          <w:tcPr>
            <w:tcW w:w="2609" w:type="dxa"/>
            <w:shd w:val="clear" w:color="auto" w:fill="auto"/>
          </w:tcPr>
          <w:p w14:paraId="34EA13A0" w14:textId="77777777" w:rsidR="0010265C" w:rsidRPr="00261B7A" w:rsidRDefault="0010265C" w:rsidP="00D41492">
            <w:pPr>
              <w:pStyle w:val="TableText"/>
              <w:tabs>
                <w:tab w:val="decimal" w:pos="181"/>
              </w:tabs>
              <w:spacing w:before="40" w:after="40"/>
              <w:jc w:val="right"/>
            </w:pPr>
            <w:r w:rsidRPr="00261B7A">
              <w:t>15.5</w:t>
            </w:r>
          </w:p>
        </w:tc>
        <w:tc>
          <w:tcPr>
            <w:tcW w:w="1981" w:type="dxa"/>
            <w:shd w:val="clear" w:color="auto" w:fill="auto"/>
          </w:tcPr>
          <w:p w14:paraId="12FFA1F1" w14:textId="77777777" w:rsidR="0010265C" w:rsidRPr="00261B7A" w:rsidRDefault="0010265C" w:rsidP="00D41492">
            <w:pPr>
              <w:pStyle w:val="TableText"/>
              <w:spacing w:before="40" w:after="40"/>
              <w:jc w:val="right"/>
            </w:pPr>
            <w:r w:rsidRPr="00261B7A">
              <w:t>23.9</w:t>
            </w:r>
          </w:p>
        </w:tc>
        <w:tc>
          <w:tcPr>
            <w:tcW w:w="1853" w:type="dxa"/>
          </w:tcPr>
          <w:p w14:paraId="73F45298" w14:textId="77777777" w:rsidR="0010265C" w:rsidRPr="00261B7A" w:rsidRDefault="0010265C" w:rsidP="00D41492">
            <w:pPr>
              <w:pStyle w:val="TableText"/>
              <w:spacing w:before="40" w:after="40"/>
              <w:jc w:val="right"/>
            </w:pPr>
            <w:r w:rsidRPr="00261B7A">
              <w:t>2</w:t>
            </w:r>
          </w:p>
        </w:tc>
      </w:tr>
      <w:tr w:rsidR="0010265C" w:rsidRPr="00261B7A" w14:paraId="799647EB" w14:textId="77777777" w:rsidTr="002E577C">
        <w:tc>
          <w:tcPr>
            <w:tcW w:w="2062" w:type="dxa"/>
            <w:shd w:val="clear" w:color="auto" w:fill="auto"/>
          </w:tcPr>
          <w:p w14:paraId="5F4136C6" w14:textId="77777777" w:rsidR="0010265C" w:rsidRPr="00261B7A" w:rsidRDefault="0010265C" w:rsidP="00D41492">
            <w:pPr>
              <w:pStyle w:val="TableText"/>
              <w:spacing w:before="40" w:after="40"/>
            </w:pPr>
            <w:r w:rsidRPr="00261B7A">
              <w:t>Japan</w:t>
            </w:r>
          </w:p>
        </w:tc>
        <w:tc>
          <w:tcPr>
            <w:tcW w:w="2609" w:type="dxa"/>
            <w:shd w:val="clear" w:color="auto" w:fill="auto"/>
          </w:tcPr>
          <w:p w14:paraId="63DF360D" w14:textId="77777777" w:rsidR="0010265C" w:rsidRPr="00261B7A" w:rsidRDefault="0010265C" w:rsidP="00D41492">
            <w:pPr>
              <w:pStyle w:val="TableText"/>
              <w:tabs>
                <w:tab w:val="decimal" w:pos="181"/>
              </w:tabs>
              <w:spacing w:before="40" w:after="40"/>
              <w:jc w:val="right"/>
            </w:pPr>
            <w:r w:rsidRPr="00261B7A">
              <w:t>3.1</w:t>
            </w:r>
          </w:p>
        </w:tc>
        <w:tc>
          <w:tcPr>
            <w:tcW w:w="1981" w:type="dxa"/>
            <w:shd w:val="clear" w:color="auto" w:fill="auto"/>
          </w:tcPr>
          <w:p w14:paraId="05296EB0" w14:textId="77777777" w:rsidR="0010265C" w:rsidRPr="00261B7A" w:rsidRDefault="0010265C" w:rsidP="00D41492">
            <w:pPr>
              <w:pStyle w:val="TableText"/>
              <w:spacing w:before="40" w:after="40"/>
              <w:jc w:val="right"/>
            </w:pPr>
            <w:r w:rsidRPr="00261B7A">
              <w:t>2.8</w:t>
            </w:r>
          </w:p>
        </w:tc>
        <w:tc>
          <w:tcPr>
            <w:tcW w:w="1853" w:type="dxa"/>
          </w:tcPr>
          <w:p w14:paraId="218800E0" w14:textId="77777777" w:rsidR="0010265C" w:rsidRPr="00261B7A" w:rsidRDefault="0010265C" w:rsidP="00D41492">
            <w:pPr>
              <w:pStyle w:val="TableText"/>
              <w:spacing w:before="40" w:after="40"/>
              <w:jc w:val="right"/>
            </w:pPr>
            <w:r w:rsidRPr="00261B7A">
              <w:t>2</w:t>
            </w:r>
          </w:p>
        </w:tc>
      </w:tr>
      <w:tr w:rsidR="0010265C" w:rsidRPr="00261B7A" w14:paraId="09E2D232" w14:textId="77777777" w:rsidTr="002E577C">
        <w:tc>
          <w:tcPr>
            <w:tcW w:w="2062" w:type="dxa"/>
            <w:shd w:val="clear" w:color="auto" w:fill="auto"/>
          </w:tcPr>
          <w:p w14:paraId="15520B91" w14:textId="77777777" w:rsidR="0010265C" w:rsidRPr="00261B7A" w:rsidRDefault="0010265C" w:rsidP="00D41492">
            <w:pPr>
              <w:pStyle w:val="TableText"/>
              <w:spacing w:before="40" w:after="40"/>
            </w:pPr>
            <w:r w:rsidRPr="00261B7A">
              <w:t>Other</w:t>
            </w:r>
          </w:p>
        </w:tc>
        <w:tc>
          <w:tcPr>
            <w:tcW w:w="2609" w:type="dxa"/>
            <w:shd w:val="clear" w:color="auto" w:fill="auto"/>
          </w:tcPr>
          <w:p w14:paraId="079283A2" w14:textId="77777777" w:rsidR="0010265C" w:rsidRPr="00261B7A" w:rsidRDefault="0010265C" w:rsidP="00D41492">
            <w:pPr>
              <w:pStyle w:val="TableText"/>
              <w:tabs>
                <w:tab w:val="decimal" w:pos="181"/>
              </w:tabs>
              <w:spacing w:before="40" w:after="40"/>
              <w:jc w:val="right"/>
            </w:pPr>
            <w:r w:rsidRPr="00261B7A">
              <w:t>8.3</w:t>
            </w:r>
          </w:p>
        </w:tc>
        <w:tc>
          <w:tcPr>
            <w:tcW w:w="1981" w:type="dxa"/>
            <w:shd w:val="clear" w:color="auto" w:fill="auto"/>
          </w:tcPr>
          <w:p w14:paraId="1AD09C0B" w14:textId="77777777" w:rsidR="0010265C" w:rsidRPr="00261B7A" w:rsidRDefault="0010265C" w:rsidP="00D41492">
            <w:pPr>
              <w:pStyle w:val="TableText"/>
              <w:spacing w:before="40" w:after="40"/>
              <w:jc w:val="right"/>
            </w:pPr>
            <w:r w:rsidRPr="00261B7A">
              <w:t>8.3</w:t>
            </w:r>
          </w:p>
        </w:tc>
        <w:tc>
          <w:tcPr>
            <w:tcW w:w="1853" w:type="dxa"/>
          </w:tcPr>
          <w:p w14:paraId="4FFF22B1" w14:textId="77777777" w:rsidR="0010265C" w:rsidRPr="00261B7A" w:rsidRDefault="0010265C" w:rsidP="00D41492">
            <w:pPr>
              <w:pStyle w:val="TableText"/>
              <w:spacing w:before="40" w:after="40"/>
              <w:jc w:val="right"/>
            </w:pPr>
            <w:r w:rsidRPr="00261B7A">
              <w:t>2</w:t>
            </w:r>
          </w:p>
        </w:tc>
      </w:tr>
      <w:tr w:rsidR="0010265C" w:rsidRPr="00261B7A" w14:paraId="75A69D4C" w14:textId="77777777" w:rsidTr="002E577C">
        <w:tc>
          <w:tcPr>
            <w:tcW w:w="2062" w:type="dxa"/>
            <w:shd w:val="clear" w:color="auto" w:fill="auto"/>
          </w:tcPr>
          <w:p w14:paraId="5DA67F3C" w14:textId="77777777" w:rsidR="0010265C" w:rsidRPr="00261B7A" w:rsidRDefault="0010265C" w:rsidP="00D41492">
            <w:pPr>
              <w:pStyle w:val="TableText"/>
              <w:spacing w:before="40" w:after="40"/>
            </w:pPr>
            <w:r w:rsidRPr="00261B7A">
              <w:t>IPCC default</w:t>
            </w:r>
          </w:p>
        </w:tc>
        <w:tc>
          <w:tcPr>
            <w:tcW w:w="2609" w:type="dxa"/>
            <w:shd w:val="clear" w:color="auto" w:fill="auto"/>
          </w:tcPr>
          <w:p w14:paraId="576C0E0B" w14:textId="77777777" w:rsidR="0010265C" w:rsidRPr="00261B7A" w:rsidRDefault="0010265C" w:rsidP="00D41492">
            <w:pPr>
              <w:pStyle w:val="TableText"/>
              <w:tabs>
                <w:tab w:val="decimal" w:pos="181"/>
              </w:tabs>
              <w:spacing w:before="40" w:after="40"/>
              <w:jc w:val="right"/>
            </w:pPr>
            <w:r w:rsidRPr="00261B7A">
              <w:t>35</w:t>
            </w:r>
          </w:p>
        </w:tc>
        <w:tc>
          <w:tcPr>
            <w:tcW w:w="1981" w:type="dxa"/>
            <w:shd w:val="clear" w:color="auto" w:fill="auto"/>
          </w:tcPr>
          <w:p w14:paraId="67638F64" w14:textId="77777777" w:rsidR="0010265C" w:rsidRPr="00261B7A" w:rsidRDefault="0010265C" w:rsidP="00D41492">
            <w:pPr>
              <w:pStyle w:val="TableText"/>
              <w:spacing w:before="40" w:after="40"/>
              <w:jc w:val="right"/>
            </w:pPr>
            <w:r w:rsidRPr="00261B7A">
              <w:t>25</w:t>
            </w:r>
          </w:p>
        </w:tc>
        <w:tc>
          <w:tcPr>
            <w:tcW w:w="1853" w:type="dxa"/>
          </w:tcPr>
          <w:p w14:paraId="7180CF89" w14:textId="77777777" w:rsidR="0010265C" w:rsidRPr="00261B7A" w:rsidRDefault="0010265C" w:rsidP="00D41492">
            <w:pPr>
              <w:pStyle w:val="TableText"/>
              <w:spacing w:before="40" w:after="40"/>
              <w:jc w:val="right"/>
            </w:pPr>
            <w:r w:rsidRPr="00261B7A">
              <w:t>2</w:t>
            </w:r>
          </w:p>
        </w:tc>
      </w:tr>
    </w:tbl>
    <w:p w14:paraId="13ED676B" w14:textId="77777777" w:rsidR="0010265C" w:rsidRPr="00261B7A" w:rsidRDefault="0010265C" w:rsidP="002E577C">
      <w:pPr>
        <w:pStyle w:val="Heading3"/>
        <w:spacing w:before="400"/>
      </w:pPr>
      <w:r w:rsidRPr="00261B7A">
        <w:t>6.9.3</w:t>
      </w:r>
      <w:r w:rsidRPr="00261B7A">
        <w:tab/>
        <w:t>Uncertainties and time-series consistency</w:t>
      </w:r>
    </w:p>
    <w:p w14:paraId="15A542A0" w14:textId="77777777" w:rsidR="0010265C" w:rsidRPr="00261B7A" w:rsidRDefault="0010265C" w:rsidP="0010265C">
      <w:pPr>
        <w:pStyle w:val="BodyText"/>
        <w:spacing w:before="100" w:after="100"/>
      </w:pPr>
      <w:r w:rsidRPr="00261B7A">
        <w:t xml:space="preserve">The uncertainty in net carbon emissions from </w:t>
      </w:r>
      <w:r w:rsidRPr="00261B7A">
        <w:rPr>
          <w:i/>
          <w:iCs/>
        </w:rPr>
        <w:t>Harvested</w:t>
      </w:r>
      <w:r w:rsidRPr="00261B7A">
        <w:rPr>
          <w:i/>
        </w:rPr>
        <w:t xml:space="preserve"> wood products</w:t>
      </w:r>
      <w:r w:rsidRPr="00261B7A">
        <w:t xml:space="preserve"> was 68.2 per cent in 2021</w:t>
      </w:r>
      <w:r w:rsidRPr="00261B7A">
        <w:rPr>
          <w:rFonts w:asciiTheme="minorHAnsi" w:eastAsia="Symbol" w:hAnsiTheme="minorHAnsi"/>
          <w:i/>
          <w:iCs/>
        </w:rPr>
        <w:t xml:space="preserve">, </w:t>
      </w:r>
      <w:r w:rsidRPr="00261B7A">
        <w:rPr>
          <w:rFonts w:asciiTheme="minorHAnsi" w:eastAsia="Symbol" w:hAnsiTheme="minorHAnsi"/>
        </w:rPr>
        <w:t xml:space="preserve">which accounted for 28.0 per cent of the </w:t>
      </w:r>
      <w:r w:rsidRPr="00261B7A">
        <w:rPr>
          <w:rFonts w:asciiTheme="minorHAnsi" w:hAnsiTheme="minorHAnsi"/>
        </w:rPr>
        <w:t>t</w:t>
      </w:r>
      <w:r w:rsidRPr="00261B7A">
        <w:t>otal uncertainty in emissions from the LULUCF sector. Uncertainty in the </w:t>
      </w:r>
      <w:r w:rsidRPr="00261B7A">
        <w:rPr>
          <w:i/>
        </w:rPr>
        <w:t>Harvested wood products</w:t>
      </w:r>
      <w:r w:rsidRPr="00261B7A">
        <w:t xml:space="preserve"> estimates is introduced by activity data, conversion factors and decay parameters and is driven by large removals in this pool and high uncertainty associated with the end-use and discard rates of New Zealand wood. The methods used to calculate the uncertainty are further described in annex A3.2.8.</w:t>
      </w:r>
    </w:p>
    <w:p w14:paraId="7FF9A3ED" w14:textId="77777777" w:rsidR="0010265C" w:rsidRPr="00261B7A" w:rsidRDefault="0010265C" w:rsidP="0010265C">
      <w:pPr>
        <w:pStyle w:val="BodyText"/>
        <w:spacing w:before="100" w:after="100"/>
      </w:pPr>
      <w:r w:rsidRPr="00261B7A">
        <w:t xml:space="preserve">Time-series consistency is ensured by applying consistent methods and full recalculations in the event of any refinement or improvement to methodology. </w:t>
      </w:r>
    </w:p>
    <w:p w14:paraId="2712B6F5" w14:textId="77777777" w:rsidR="0010265C" w:rsidRPr="00261B7A" w:rsidRDefault="0010265C" w:rsidP="002E577C">
      <w:pPr>
        <w:pStyle w:val="Heading3"/>
      </w:pPr>
      <w:r w:rsidRPr="00261B7A">
        <w:t>6.9.4</w:t>
      </w:r>
      <w:r w:rsidRPr="00261B7A">
        <w:tab/>
        <w:t>Category-specific QA/QC and verification</w:t>
      </w:r>
    </w:p>
    <w:p w14:paraId="14019239" w14:textId="77777777" w:rsidR="0010265C" w:rsidRPr="00261B7A" w:rsidRDefault="0010265C" w:rsidP="0010265C">
      <w:pPr>
        <w:pStyle w:val="BodyText"/>
      </w:pPr>
      <w:r w:rsidRPr="00261B7A">
        <w:t xml:space="preserve">Activity data for roundwood are sourced from annual statistics produced by MPI. However, as section 6.3 describes, the methodology for estimating above-ground biomass losses on harvest uses the LUCAS model, which combines harvest area by age with yield table carbon values. To ensure consistency between MPI roundwood volume statistics and LUCAS harvest estimates, a comparison between the two data sources across the time series was carried out and is further described in annex A3.2.5 ‘Forest land model validations’. </w:t>
      </w:r>
    </w:p>
    <w:p w14:paraId="1B53578C" w14:textId="77777777" w:rsidR="0010265C" w:rsidRPr="00261B7A" w:rsidRDefault="0010265C" w:rsidP="0010265C">
      <w:pPr>
        <w:pStyle w:val="BodyText"/>
      </w:pPr>
      <w:r w:rsidRPr="00261B7A">
        <w:t>The results show</w:t>
      </w:r>
      <w:r w:rsidRPr="00261B7A" w:rsidDel="004D5E77">
        <w:t xml:space="preserve"> </w:t>
      </w:r>
      <w:r w:rsidRPr="00261B7A">
        <w:t xml:space="preserve">a relatively good match between the two data sources between 2013 and 2020. This is because roundwood volume is now used to determine the total destocking area over this period. However, the two data sources deviate in earlier years. LUCAS above-ground biomass losses from harvest are greater than those estimated from roundwood volume statistics from 1996 to 2012 and are slightly lower from 1990 to 1994. </w:t>
      </w:r>
    </w:p>
    <w:p w14:paraId="67524A3B" w14:textId="77777777" w:rsidR="0010265C" w:rsidRPr="00261B7A" w:rsidRDefault="0010265C" w:rsidP="0010265C">
      <w:pPr>
        <w:pStyle w:val="BodyText"/>
      </w:pPr>
      <w:r w:rsidRPr="00261B7A">
        <w:t xml:space="preserve">The implications of these earlier differences are that New Zealand may be reporting more carbon losses from harvesting and deforestation than carbon gains from roundwood creation and inputs into the </w:t>
      </w:r>
      <w:r w:rsidRPr="00261B7A">
        <w:rPr>
          <w:i/>
        </w:rPr>
        <w:t>Harvested wood products</w:t>
      </w:r>
      <w:r w:rsidRPr="00261B7A">
        <w:t xml:space="preserve"> pool across most of the time series. </w:t>
      </w:r>
    </w:p>
    <w:p w14:paraId="5AF6B85C" w14:textId="77777777" w:rsidR="0010265C" w:rsidRPr="00261B7A" w:rsidRDefault="0010265C" w:rsidP="0010265C">
      <w:pPr>
        <w:pStyle w:val="BodyText"/>
      </w:pPr>
      <w:r w:rsidRPr="00261B7A">
        <w:t xml:space="preserve">Work is under way to establish how best to fix this inconsistency through the time series. </w:t>
      </w:r>
    </w:p>
    <w:p w14:paraId="460B9616" w14:textId="77777777" w:rsidR="0010265C" w:rsidRPr="00261B7A" w:rsidRDefault="0010265C" w:rsidP="0010265C">
      <w:pPr>
        <w:pStyle w:val="Heading3"/>
      </w:pPr>
      <w:r w:rsidRPr="00261B7A" w:rsidDel="007F0462">
        <w:t>6.</w:t>
      </w:r>
      <w:r w:rsidRPr="00261B7A">
        <w:t>9.5</w:t>
      </w:r>
      <w:r w:rsidRPr="00261B7A">
        <w:tab/>
        <w:t>Category-specific recalculations</w:t>
      </w:r>
    </w:p>
    <w:p w14:paraId="45899CB7" w14:textId="3760BEF0" w:rsidR="0010265C" w:rsidRPr="00261B7A" w:rsidRDefault="0010265C" w:rsidP="0010265C">
      <w:pPr>
        <w:pStyle w:val="BodyText"/>
      </w:pPr>
      <w:r w:rsidRPr="00261B7A">
        <w:t>All data on total roundwood production, roundwood exports and the production of New</w:t>
      </w:r>
      <w:r w:rsidR="002E577C" w:rsidRPr="00261B7A">
        <w:t> </w:t>
      </w:r>
      <w:r w:rsidRPr="00261B7A">
        <w:t xml:space="preserve">Zealand processed wood products were previously sourced from the FAOSTAT database. During the review of the 2021 submission, and in line with review recommendation L.11/FCCC/ARR/2019/NZL, concerns were raised around the reliability and timeliness of this data set. From the 2022 submission onwards these data are now being sourced directly from MPI published statistics (Ministry for Primary Industries, 2022a, 2022c). This means that up-to-date data on roundwood production and trade, and wood production are now available for the current reporting year. Therefore, the 1990 and 2020 </w:t>
      </w:r>
      <w:r w:rsidRPr="00261B7A">
        <w:rPr>
          <w:i/>
          <w:iCs/>
        </w:rPr>
        <w:t>Harvested wood products</w:t>
      </w:r>
      <w:r w:rsidRPr="00261B7A">
        <w:t xml:space="preserve"> removal and emission estimates have not changed as MPI data are usually final and do not fluctuate on an annual basis.</w:t>
      </w:r>
    </w:p>
    <w:p w14:paraId="4B4DE056" w14:textId="77777777" w:rsidR="0010265C" w:rsidRPr="00261B7A" w:rsidRDefault="0010265C" w:rsidP="00175CD5">
      <w:pPr>
        <w:pStyle w:val="Table"/>
      </w:pPr>
      <w:bookmarkStart w:id="2353" w:name="_Toc443645410"/>
      <w:bookmarkStart w:id="2354" w:name="_Toc474914629"/>
      <w:bookmarkStart w:id="2355" w:name="_Toc481751593"/>
      <w:bookmarkStart w:id="2356" w:name="_Toc522010650"/>
      <w:bookmarkStart w:id="2357" w:name="_Toc5269555"/>
      <w:bookmarkStart w:id="2358" w:name="_Toc33529429"/>
      <w:bookmarkStart w:id="2359" w:name="_Toc36224635"/>
      <w:bookmarkStart w:id="2360" w:name="_Toc131591427"/>
      <w:r w:rsidRPr="00261B7A">
        <w:t>Table 6.9.3</w:t>
      </w:r>
      <w:r w:rsidRPr="00261B7A">
        <w:tab/>
        <w:t xml:space="preserve">Recalculations for New Zealand’s net emissions from the </w:t>
      </w:r>
      <w:r w:rsidRPr="00261B7A">
        <w:rPr>
          <w:i/>
        </w:rPr>
        <w:t>Harvested wood products</w:t>
      </w:r>
      <w:r w:rsidRPr="00261B7A">
        <w:br/>
        <w:t xml:space="preserve">category in 1990 and </w:t>
      </w:r>
      <w:bookmarkEnd w:id="2353"/>
      <w:bookmarkEnd w:id="2354"/>
      <w:bookmarkEnd w:id="2355"/>
      <w:bookmarkEnd w:id="2356"/>
      <w:bookmarkEnd w:id="2357"/>
      <w:bookmarkEnd w:id="2358"/>
      <w:bookmarkEnd w:id="2359"/>
      <w:r w:rsidRPr="00261B7A">
        <w:t>2020</w:t>
      </w:r>
      <w:bookmarkEnd w:id="2360"/>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1109"/>
        <w:gridCol w:w="1849"/>
        <w:gridCol w:w="1849"/>
        <w:gridCol w:w="1849"/>
        <w:gridCol w:w="1849"/>
      </w:tblGrid>
      <w:tr w:rsidR="0010265C" w:rsidRPr="00261B7A" w14:paraId="63EC3915" w14:textId="77777777" w:rsidTr="002E577C">
        <w:tc>
          <w:tcPr>
            <w:tcW w:w="652" w:type="pct"/>
            <w:vMerge w:val="restart"/>
            <w:shd w:val="clear" w:color="auto" w:fill="1B556B" w:themeFill="text2"/>
            <w:vAlign w:val="bottom"/>
          </w:tcPr>
          <w:p w14:paraId="05A42481" w14:textId="77777777" w:rsidR="0010265C" w:rsidRPr="00261B7A" w:rsidRDefault="0010265C" w:rsidP="00D41492">
            <w:pPr>
              <w:pStyle w:val="TableTextBold"/>
              <w:spacing w:before="40" w:after="40"/>
              <w:rPr>
                <w:noProof w:val="0"/>
                <w:color w:val="FFFFFF"/>
              </w:rPr>
            </w:pPr>
            <w:r w:rsidRPr="00261B7A">
              <w:rPr>
                <w:noProof w:val="0"/>
                <w:color w:val="FFFFFF"/>
              </w:rPr>
              <w:t>Year</w:t>
            </w:r>
          </w:p>
        </w:tc>
        <w:tc>
          <w:tcPr>
            <w:tcW w:w="2174" w:type="pct"/>
            <w:gridSpan w:val="2"/>
            <w:tcBorders>
              <w:bottom w:val="nil"/>
            </w:tcBorders>
            <w:shd w:val="clear" w:color="auto" w:fill="1B556B" w:themeFill="text2"/>
            <w:noWrap/>
          </w:tcPr>
          <w:p w14:paraId="05191380" w14:textId="77777777" w:rsidR="0010265C" w:rsidRPr="00261B7A" w:rsidRDefault="0010265C" w:rsidP="002E577C">
            <w:pPr>
              <w:pStyle w:val="TableTextBold"/>
              <w:spacing w:before="40" w:after="0"/>
              <w:jc w:val="center"/>
              <w:rPr>
                <w:noProof w:val="0"/>
                <w:color w:val="FFFFFF"/>
              </w:rPr>
            </w:pPr>
            <w:r w:rsidRPr="00261B7A">
              <w:rPr>
                <w:noProof w:val="0"/>
                <w:color w:val="FFFFFF"/>
              </w:rPr>
              <w:t>Net emissions (kt CO</w:t>
            </w:r>
            <w:r w:rsidRPr="00261B7A">
              <w:rPr>
                <w:noProof w:val="0"/>
                <w:color w:val="FFFFFF"/>
                <w:vertAlign w:val="subscript"/>
              </w:rPr>
              <w:t>2</w:t>
            </w:r>
            <w:r w:rsidRPr="00261B7A">
              <w:rPr>
                <w:noProof w:val="0"/>
                <w:color w:val="FFFFFF"/>
              </w:rPr>
              <w:t>-e)</w:t>
            </w:r>
          </w:p>
        </w:tc>
        <w:tc>
          <w:tcPr>
            <w:tcW w:w="2174" w:type="pct"/>
            <w:gridSpan w:val="2"/>
            <w:tcBorders>
              <w:bottom w:val="nil"/>
            </w:tcBorders>
            <w:shd w:val="clear" w:color="auto" w:fill="1B556B" w:themeFill="text2"/>
          </w:tcPr>
          <w:p w14:paraId="2E0DD68A" w14:textId="77777777" w:rsidR="0010265C" w:rsidRPr="00261B7A" w:rsidRDefault="0010265C" w:rsidP="002E577C">
            <w:pPr>
              <w:pStyle w:val="TableTextBold"/>
              <w:spacing w:before="40" w:after="0"/>
              <w:jc w:val="center"/>
              <w:rPr>
                <w:noProof w:val="0"/>
                <w:color w:val="FFFFFF"/>
              </w:rPr>
            </w:pPr>
            <w:r w:rsidRPr="00261B7A">
              <w:rPr>
                <w:noProof w:val="0"/>
                <w:color w:val="FFFFFF"/>
              </w:rPr>
              <w:t>Change from the 2021 submission</w:t>
            </w:r>
          </w:p>
        </w:tc>
      </w:tr>
      <w:tr w:rsidR="0010265C" w:rsidRPr="00261B7A" w14:paraId="7E786EA9" w14:textId="77777777" w:rsidTr="002E577C">
        <w:tc>
          <w:tcPr>
            <w:tcW w:w="652" w:type="pct"/>
            <w:vMerge/>
          </w:tcPr>
          <w:p w14:paraId="7856C95F" w14:textId="77777777" w:rsidR="0010265C" w:rsidRPr="00261B7A" w:rsidRDefault="0010265C" w:rsidP="00D41492">
            <w:pPr>
              <w:pStyle w:val="TableText"/>
              <w:spacing w:before="40" w:after="40"/>
              <w:rPr>
                <w:color w:val="FFFFFF"/>
              </w:rPr>
            </w:pPr>
          </w:p>
        </w:tc>
        <w:tc>
          <w:tcPr>
            <w:tcW w:w="1087" w:type="pct"/>
            <w:tcBorders>
              <w:top w:val="nil"/>
              <w:bottom w:val="single" w:sz="4" w:space="0" w:color="1B556B" w:themeColor="text2"/>
            </w:tcBorders>
            <w:shd w:val="clear" w:color="auto" w:fill="1B556B" w:themeFill="text2"/>
          </w:tcPr>
          <w:p w14:paraId="34782D2F" w14:textId="77777777" w:rsidR="0010265C" w:rsidRPr="00261B7A" w:rsidRDefault="0010265C" w:rsidP="00D41492">
            <w:pPr>
              <w:pStyle w:val="TableTextBold"/>
              <w:spacing w:before="40" w:after="40"/>
              <w:jc w:val="right"/>
              <w:rPr>
                <w:noProof w:val="0"/>
                <w:color w:val="FFFFFF"/>
              </w:rPr>
            </w:pPr>
            <w:r w:rsidRPr="00261B7A">
              <w:rPr>
                <w:noProof w:val="0"/>
                <w:color w:val="FFFFFF"/>
              </w:rPr>
              <w:t>2021 submission</w:t>
            </w:r>
          </w:p>
        </w:tc>
        <w:tc>
          <w:tcPr>
            <w:tcW w:w="1087" w:type="pct"/>
            <w:tcBorders>
              <w:top w:val="nil"/>
              <w:bottom w:val="single" w:sz="4" w:space="0" w:color="1B556B" w:themeColor="text2"/>
            </w:tcBorders>
            <w:shd w:val="clear" w:color="auto" w:fill="1B556B" w:themeFill="text2"/>
          </w:tcPr>
          <w:p w14:paraId="016A3EAB" w14:textId="77777777" w:rsidR="0010265C" w:rsidRPr="00261B7A" w:rsidRDefault="0010265C" w:rsidP="00D41492">
            <w:pPr>
              <w:pStyle w:val="TableTextBold"/>
              <w:spacing w:before="40" w:after="40"/>
              <w:jc w:val="right"/>
              <w:rPr>
                <w:noProof w:val="0"/>
                <w:color w:val="FFFFFF"/>
              </w:rPr>
            </w:pPr>
            <w:r w:rsidRPr="00261B7A">
              <w:rPr>
                <w:noProof w:val="0"/>
                <w:color w:val="FFFFFF"/>
              </w:rPr>
              <w:t>2022 submission</w:t>
            </w:r>
          </w:p>
        </w:tc>
        <w:tc>
          <w:tcPr>
            <w:tcW w:w="1087" w:type="pct"/>
            <w:tcBorders>
              <w:top w:val="nil"/>
              <w:bottom w:val="single" w:sz="4" w:space="0" w:color="1B556B" w:themeColor="text2"/>
            </w:tcBorders>
            <w:shd w:val="clear" w:color="auto" w:fill="1B556B" w:themeFill="text2"/>
          </w:tcPr>
          <w:p w14:paraId="63F2CA62" w14:textId="77777777" w:rsidR="0010265C" w:rsidRPr="00261B7A" w:rsidRDefault="0010265C" w:rsidP="00D41492">
            <w:pPr>
              <w:pStyle w:val="TableTextBold"/>
              <w:spacing w:before="40" w:after="40"/>
              <w:jc w:val="right"/>
              <w:rPr>
                <w:noProof w:val="0"/>
                <w:color w:val="FFFFFF"/>
              </w:rPr>
            </w:pPr>
            <w:r w:rsidRPr="00261B7A">
              <w:rPr>
                <w:noProof w:val="0"/>
                <w:color w:val="FFFFFF"/>
              </w:rPr>
              <w:t>(kt CO</w:t>
            </w:r>
            <w:r w:rsidRPr="00261B7A">
              <w:rPr>
                <w:noProof w:val="0"/>
                <w:color w:val="FFFFFF"/>
                <w:vertAlign w:val="subscript"/>
              </w:rPr>
              <w:t>2</w:t>
            </w:r>
            <w:r w:rsidRPr="00261B7A">
              <w:rPr>
                <w:noProof w:val="0"/>
                <w:color w:val="FFFFFF"/>
              </w:rPr>
              <w:t>-e)</w:t>
            </w:r>
          </w:p>
        </w:tc>
        <w:tc>
          <w:tcPr>
            <w:tcW w:w="1087" w:type="pct"/>
            <w:tcBorders>
              <w:top w:val="nil"/>
              <w:bottom w:val="single" w:sz="4" w:space="0" w:color="1B556B" w:themeColor="text2"/>
            </w:tcBorders>
            <w:shd w:val="clear" w:color="auto" w:fill="1B556B" w:themeFill="text2"/>
          </w:tcPr>
          <w:p w14:paraId="744B0E81" w14:textId="77777777" w:rsidR="0010265C" w:rsidRPr="00261B7A" w:rsidRDefault="0010265C" w:rsidP="00D41492">
            <w:pPr>
              <w:pStyle w:val="TableTextBold"/>
              <w:spacing w:before="40" w:after="40"/>
              <w:jc w:val="right"/>
              <w:rPr>
                <w:noProof w:val="0"/>
                <w:color w:val="FFFFFF"/>
              </w:rPr>
            </w:pPr>
            <w:r w:rsidRPr="00261B7A">
              <w:rPr>
                <w:noProof w:val="0"/>
                <w:color w:val="FFFFFF"/>
              </w:rPr>
              <w:t>(%)</w:t>
            </w:r>
          </w:p>
        </w:tc>
      </w:tr>
      <w:tr w:rsidR="0010265C" w:rsidRPr="00261B7A" w14:paraId="5CE9088F" w14:textId="77777777" w:rsidTr="002E577C">
        <w:tc>
          <w:tcPr>
            <w:tcW w:w="652" w:type="pct"/>
            <w:tcBorders>
              <w:top w:val="single" w:sz="4" w:space="0" w:color="1B556B" w:themeColor="text2"/>
              <w:bottom w:val="single" w:sz="4" w:space="0" w:color="1B556B" w:themeColor="text2"/>
            </w:tcBorders>
          </w:tcPr>
          <w:p w14:paraId="6D3A36B6" w14:textId="77777777" w:rsidR="0010265C" w:rsidRPr="00261B7A" w:rsidRDefault="0010265C" w:rsidP="00D41492">
            <w:pPr>
              <w:pStyle w:val="TableText"/>
              <w:spacing w:before="40" w:after="40"/>
            </w:pPr>
            <w:r w:rsidRPr="00261B7A">
              <w:t xml:space="preserve">1990 </w:t>
            </w:r>
          </w:p>
        </w:tc>
        <w:tc>
          <w:tcPr>
            <w:tcW w:w="1087" w:type="pct"/>
            <w:tcBorders>
              <w:top w:val="single" w:sz="4" w:space="0" w:color="1B556B" w:themeColor="text2"/>
              <w:bottom w:val="single" w:sz="4" w:space="0" w:color="1B556B" w:themeColor="text2"/>
            </w:tcBorders>
            <w:vAlign w:val="center"/>
          </w:tcPr>
          <w:p w14:paraId="6D51E4EB" w14:textId="77777777" w:rsidR="0010265C" w:rsidRPr="00261B7A" w:rsidRDefault="0010265C" w:rsidP="00D41492">
            <w:pPr>
              <w:pStyle w:val="TableText"/>
              <w:tabs>
                <w:tab w:val="decimal" w:pos="599"/>
              </w:tabs>
              <w:spacing w:before="40" w:after="40"/>
              <w:jc w:val="right"/>
              <w:rPr>
                <w:rFonts w:asciiTheme="minorHAnsi" w:hAnsiTheme="minorHAnsi" w:cstheme="minorHAnsi"/>
              </w:rPr>
            </w:pPr>
            <w:r w:rsidRPr="00261B7A">
              <w:rPr>
                <w:rFonts w:cs="Calibri"/>
                <w:color w:val="000000"/>
                <w:szCs w:val="16"/>
              </w:rPr>
              <w:t>–2,481.2</w:t>
            </w:r>
          </w:p>
        </w:tc>
        <w:tc>
          <w:tcPr>
            <w:tcW w:w="1087" w:type="pct"/>
            <w:tcBorders>
              <w:top w:val="single" w:sz="4" w:space="0" w:color="1B556B" w:themeColor="text2"/>
              <w:bottom w:val="single" w:sz="4" w:space="0" w:color="1B556B" w:themeColor="text2"/>
            </w:tcBorders>
            <w:vAlign w:val="center"/>
          </w:tcPr>
          <w:p w14:paraId="79C7EE7F" w14:textId="77777777" w:rsidR="0010265C" w:rsidRPr="00261B7A" w:rsidRDefault="0010265C" w:rsidP="00D41492">
            <w:pPr>
              <w:pStyle w:val="TableText"/>
              <w:tabs>
                <w:tab w:val="decimal" w:pos="599"/>
              </w:tabs>
              <w:spacing w:before="40" w:after="40"/>
              <w:jc w:val="right"/>
              <w:rPr>
                <w:rFonts w:asciiTheme="minorHAnsi" w:hAnsiTheme="minorHAnsi" w:cstheme="minorHAnsi"/>
              </w:rPr>
            </w:pPr>
            <w:r w:rsidRPr="00261B7A">
              <w:rPr>
                <w:rFonts w:cs="Calibri"/>
                <w:color w:val="000000"/>
                <w:szCs w:val="16"/>
              </w:rPr>
              <w:t>–2,481.2</w:t>
            </w:r>
          </w:p>
        </w:tc>
        <w:tc>
          <w:tcPr>
            <w:tcW w:w="1087" w:type="pct"/>
            <w:tcBorders>
              <w:top w:val="single" w:sz="4" w:space="0" w:color="1B556B" w:themeColor="text2"/>
              <w:bottom w:val="single" w:sz="4" w:space="0" w:color="1B556B" w:themeColor="text2"/>
            </w:tcBorders>
            <w:vAlign w:val="center"/>
          </w:tcPr>
          <w:p w14:paraId="06158A55" w14:textId="77777777" w:rsidR="0010265C" w:rsidRPr="00261B7A" w:rsidRDefault="0010265C" w:rsidP="00D41492">
            <w:pPr>
              <w:pStyle w:val="TableText"/>
              <w:tabs>
                <w:tab w:val="decimal" w:pos="599"/>
              </w:tabs>
              <w:spacing w:before="40" w:after="40"/>
              <w:jc w:val="right"/>
              <w:rPr>
                <w:rFonts w:asciiTheme="minorHAnsi" w:hAnsiTheme="minorHAnsi" w:cstheme="minorHAnsi"/>
              </w:rPr>
            </w:pPr>
            <w:r w:rsidRPr="00261B7A">
              <w:rPr>
                <w:rFonts w:cs="Calibri"/>
                <w:color w:val="000000"/>
                <w:szCs w:val="16"/>
              </w:rPr>
              <w:t xml:space="preserve">0.0 </w:t>
            </w:r>
          </w:p>
        </w:tc>
        <w:tc>
          <w:tcPr>
            <w:tcW w:w="1087" w:type="pct"/>
            <w:tcBorders>
              <w:top w:val="single" w:sz="4" w:space="0" w:color="1B556B" w:themeColor="text2"/>
              <w:bottom w:val="single" w:sz="4" w:space="0" w:color="1B556B" w:themeColor="text2"/>
            </w:tcBorders>
            <w:vAlign w:val="center"/>
          </w:tcPr>
          <w:p w14:paraId="03688CAA" w14:textId="77777777" w:rsidR="0010265C" w:rsidRPr="00261B7A" w:rsidRDefault="0010265C" w:rsidP="00D41492">
            <w:pPr>
              <w:pStyle w:val="TableText"/>
              <w:tabs>
                <w:tab w:val="decimal" w:pos="599"/>
              </w:tabs>
              <w:spacing w:before="40" w:after="40"/>
              <w:jc w:val="right"/>
              <w:rPr>
                <w:rFonts w:asciiTheme="minorHAnsi" w:hAnsiTheme="minorHAnsi" w:cstheme="minorHAnsi"/>
              </w:rPr>
            </w:pPr>
            <w:r w:rsidRPr="00261B7A">
              <w:rPr>
                <w:rFonts w:cs="Calibri"/>
                <w:color w:val="000000"/>
                <w:szCs w:val="16"/>
              </w:rPr>
              <w:t>0.0</w:t>
            </w:r>
          </w:p>
        </w:tc>
      </w:tr>
      <w:tr w:rsidR="0010265C" w:rsidRPr="00261B7A" w14:paraId="5E86EDB7" w14:textId="77777777" w:rsidTr="002E577C">
        <w:tc>
          <w:tcPr>
            <w:tcW w:w="652" w:type="pct"/>
            <w:tcBorders>
              <w:top w:val="single" w:sz="4" w:space="0" w:color="1B556B" w:themeColor="text2"/>
              <w:bottom w:val="single" w:sz="4" w:space="0" w:color="1B556B" w:themeColor="text2"/>
            </w:tcBorders>
          </w:tcPr>
          <w:p w14:paraId="72FA35A1" w14:textId="77777777" w:rsidR="0010265C" w:rsidRPr="00261B7A" w:rsidRDefault="0010265C" w:rsidP="00D41492">
            <w:pPr>
              <w:pStyle w:val="TableText"/>
              <w:spacing w:before="40" w:after="40"/>
            </w:pPr>
            <w:r w:rsidRPr="00261B7A">
              <w:t>2020</w:t>
            </w:r>
          </w:p>
        </w:tc>
        <w:tc>
          <w:tcPr>
            <w:tcW w:w="1087" w:type="pct"/>
            <w:tcBorders>
              <w:top w:val="single" w:sz="4" w:space="0" w:color="1B556B" w:themeColor="text2"/>
              <w:bottom w:val="single" w:sz="4" w:space="0" w:color="1B556B" w:themeColor="text2"/>
            </w:tcBorders>
            <w:vAlign w:val="center"/>
          </w:tcPr>
          <w:p w14:paraId="03E85FF9" w14:textId="77777777" w:rsidR="0010265C" w:rsidRPr="00261B7A" w:rsidRDefault="0010265C" w:rsidP="00D41492">
            <w:pPr>
              <w:pStyle w:val="TableText"/>
              <w:tabs>
                <w:tab w:val="decimal" w:pos="599"/>
              </w:tabs>
              <w:spacing w:before="40" w:after="40"/>
              <w:jc w:val="right"/>
              <w:rPr>
                <w:rFonts w:asciiTheme="minorHAnsi" w:hAnsiTheme="minorHAnsi" w:cstheme="minorHAnsi"/>
              </w:rPr>
            </w:pPr>
            <w:r w:rsidRPr="00261B7A">
              <w:rPr>
                <w:rFonts w:cs="Calibri"/>
                <w:color w:val="000000"/>
                <w:szCs w:val="16"/>
              </w:rPr>
              <w:t>–6,834.6</w:t>
            </w:r>
          </w:p>
        </w:tc>
        <w:tc>
          <w:tcPr>
            <w:tcW w:w="1087" w:type="pct"/>
            <w:tcBorders>
              <w:top w:val="single" w:sz="4" w:space="0" w:color="1B556B" w:themeColor="text2"/>
              <w:bottom w:val="single" w:sz="4" w:space="0" w:color="1B556B" w:themeColor="text2"/>
            </w:tcBorders>
            <w:vAlign w:val="center"/>
          </w:tcPr>
          <w:p w14:paraId="04B677F3" w14:textId="77777777" w:rsidR="0010265C" w:rsidRPr="00261B7A" w:rsidRDefault="0010265C" w:rsidP="00D41492">
            <w:pPr>
              <w:pStyle w:val="TableText"/>
              <w:tabs>
                <w:tab w:val="decimal" w:pos="599"/>
              </w:tabs>
              <w:spacing w:before="40" w:after="40"/>
              <w:jc w:val="right"/>
              <w:rPr>
                <w:rFonts w:asciiTheme="minorHAnsi" w:hAnsiTheme="minorHAnsi" w:cstheme="minorHAnsi"/>
              </w:rPr>
            </w:pPr>
            <w:r w:rsidRPr="00261B7A">
              <w:rPr>
                <w:rFonts w:cs="Calibri"/>
                <w:color w:val="000000"/>
                <w:szCs w:val="16"/>
              </w:rPr>
              <w:t>–6,834.6</w:t>
            </w:r>
          </w:p>
        </w:tc>
        <w:tc>
          <w:tcPr>
            <w:tcW w:w="1087" w:type="pct"/>
            <w:tcBorders>
              <w:top w:val="single" w:sz="4" w:space="0" w:color="1B556B" w:themeColor="text2"/>
              <w:bottom w:val="single" w:sz="4" w:space="0" w:color="1B556B" w:themeColor="text2"/>
            </w:tcBorders>
            <w:vAlign w:val="center"/>
          </w:tcPr>
          <w:p w14:paraId="67246A5C" w14:textId="77777777" w:rsidR="0010265C" w:rsidRPr="00261B7A" w:rsidRDefault="0010265C" w:rsidP="00D41492">
            <w:pPr>
              <w:pStyle w:val="TableText"/>
              <w:tabs>
                <w:tab w:val="decimal" w:pos="599"/>
              </w:tabs>
              <w:spacing w:before="40" w:after="40"/>
              <w:jc w:val="right"/>
              <w:rPr>
                <w:rFonts w:asciiTheme="minorHAnsi" w:hAnsiTheme="minorHAnsi" w:cstheme="minorHAnsi"/>
              </w:rPr>
            </w:pPr>
            <w:r w:rsidRPr="00261B7A">
              <w:rPr>
                <w:rFonts w:cs="Calibri"/>
                <w:color w:val="000000"/>
                <w:szCs w:val="16"/>
              </w:rPr>
              <w:t xml:space="preserve">0.0 </w:t>
            </w:r>
          </w:p>
        </w:tc>
        <w:tc>
          <w:tcPr>
            <w:tcW w:w="1087" w:type="pct"/>
            <w:tcBorders>
              <w:top w:val="single" w:sz="4" w:space="0" w:color="1B556B" w:themeColor="text2"/>
              <w:bottom w:val="single" w:sz="4" w:space="0" w:color="1B556B" w:themeColor="text2"/>
            </w:tcBorders>
            <w:vAlign w:val="center"/>
          </w:tcPr>
          <w:p w14:paraId="7B113764" w14:textId="77777777" w:rsidR="0010265C" w:rsidRPr="00261B7A" w:rsidRDefault="0010265C" w:rsidP="00D41492">
            <w:pPr>
              <w:pStyle w:val="TableText"/>
              <w:tabs>
                <w:tab w:val="decimal" w:pos="599"/>
              </w:tabs>
              <w:spacing w:before="40" w:after="40"/>
              <w:jc w:val="right"/>
              <w:rPr>
                <w:rFonts w:asciiTheme="minorHAnsi" w:hAnsiTheme="minorHAnsi" w:cstheme="minorHAnsi"/>
              </w:rPr>
            </w:pPr>
            <w:r w:rsidRPr="00261B7A">
              <w:rPr>
                <w:rFonts w:cs="Calibri"/>
                <w:color w:val="000000"/>
                <w:szCs w:val="16"/>
              </w:rPr>
              <w:t>0.0</w:t>
            </w:r>
          </w:p>
        </w:tc>
      </w:tr>
    </w:tbl>
    <w:p w14:paraId="795A5F04" w14:textId="77777777" w:rsidR="0010265C" w:rsidRPr="00261B7A" w:rsidRDefault="0010265C" w:rsidP="002E577C">
      <w:pPr>
        <w:pStyle w:val="Heading3"/>
        <w:spacing w:before="400"/>
      </w:pPr>
      <w:r w:rsidRPr="00261B7A">
        <w:t>6.9.6</w:t>
      </w:r>
      <w:r w:rsidRPr="00261B7A">
        <w:tab/>
        <w:t>Category-specific planned improvements</w:t>
      </w:r>
    </w:p>
    <w:p w14:paraId="1AFC1EFB" w14:textId="77777777" w:rsidR="0010265C" w:rsidRPr="00261B7A" w:rsidRDefault="0010265C" w:rsidP="0010265C">
      <w:pPr>
        <w:pStyle w:val="BodyText"/>
      </w:pPr>
      <w:r w:rsidRPr="00261B7A">
        <w:rPr>
          <w:rFonts w:eastAsia="Calibri" w:cs="Calibri"/>
        </w:rPr>
        <w:t xml:space="preserve">Data are now available on the country-specific end-use products and half-lives of roundwood logs processed and consumed in New Zealand (Ministry for Primary Industries, 2022b; Wekesa, 2022). Research is currently under way to update the existing </w:t>
      </w:r>
      <w:r w:rsidRPr="00261B7A">
        <w:rPr>
          <w:rFonts w:eastAsia="Calibri" w:cs="Calibri"/>
          <w:i/>
          <w:iCs/>
        </w:rPr>
        <w:t>Harvested wood products</w:t>
      </w:r>
      <w:r w:rsidRPr="00261B7A">
        <w:rPr>
          <w:rFonts w:eastAsia="Calibri" w:cs="Calibri"/>
        </w:rPr>
        <w:t xml:space="preserve"> model to include this information. Moreover, the research will update decay profiles for country-specific end-use products and harvested wood products sold abroad in different export markets. The findings will be included in the 2024 inventory submission.</w:t>
      </w:r>
    </w:p>
    <w:p w14:paraId="553D46D8" w14:textId="77777777" w:rsidR="0010265C" w:rsidRPr="00261B7A" w:rsidRDefault="0010265C" w:rsidP="00A638DC">
      <w:pPr>
        <w:pStyle w:val="Heading2"/>
      </w:pPr>
      <w:bookmarkStart w:id="2361" w:name="_Toc522013958"/>
      <w:bookmarkStart w:id="2362" w:name="_Toc5269383"/>
      <w:bookmarkStart w:id="2363" w:name="_Toc36224423"/>
      <w:bookmarkStart w:id="2364" w:name="_Toc131591257"/>
      <w:r w:rsidRPr="00261B7A">
        <w:t>6.10</w:t>
      </w:r>
      <w:r w:rsidRPr="00261B7A">
        <w:tab/>
        <w:t>Non-CO</w:t>
      </w:r>
      <w:r w:rsidRPr="00261B7A">
        <w:rPr>
          <w:vertAlign w:val="subscript"/>
        </w:rPr>
        <w:t>2</w:t>
      </w:r>
      <w:r w:rsidRPr="00261B7A">
        <w:t xml:space="preserve"> emissions (CRF 4(I–V))</w:t>
      </w:r>
      <w:bookmarkEnd w:id="2361"/>
      <w:bookmarkEnd w:id="2362"/>
      <w:bookmarkEnd w:id="2363"/>
      <w:bookmarkEnd w:id="2364"/>
    </w:p>
    <w:p w14:paraId="2AD3A722" w14:textId="77777777" w:rsidR="0010265C" w:rsidRPr="00261B7A" w:rsidRDefault="0010265C" w:rsidP="0010265C">
      <w:pPr>
        <w:pStyle w:val="BodyText"/>
      </w:pPr>
      <w:bookmarkStart w:id="2365" w:name="_Toc280630350"/>
      <w:r w:rsidRPr="00261B7A">
        <w:t>In 2021, net N</w:t>
      </w:r>
      <w:r w:rsidRPr="00261B7A">
        <w:rPr>
          <w:vertAlign w:val="subscript"/>
        </w:rPr>
        <w:t>2</w:t>
      </w:r>
      <w:r w:rsidRPr="00261B7A">
        <w:t>O emissions from soils associated with land-use change reported in the LULUCF sector were 225.2 kt CO</w:t>
      </w:r>
      <w:r w:rsidRPr="00261B7A">
        <w:rPr>
          <w:vertAlign w:val="subscript"/>
        </w:rPr>
        <w:t>2</w:t>
      </w:r>
      <w:r w:rsidRPr="00261B7A">
        <w:t>-e (see table 6.10.1). This is 74.8 kt CO</w:t>
      </w:r>
      <w:r w:rsidRPr="00261B7A">
        <w:rPr>
          <w:vertAlign w:val="subscript"/>
        </w:rPr>
        <w:t>2</w:t>
      </w:r>
      <w:r w:rsidRPr="00261B7A">
        <w:t>-e (24.9 per cent) lower than the 1990 level of 300.0 kt CO</w:t>
      </w:r>
      <w:r w:rsidRPr="00261B7A">
        <w:rPr>
          <w:vertAlign w:val="subscript"/>
        </w:rPr>
        <w:t>2</w:t>
      </w:r>
      <w:r w:rsidRPr="00261B7A">
        <w:t xml:space="preserve">-e. </w:t>
      </w:r>
    </w:p>
    <w:p w14:paraId="14BF94F4" w14:textId="77777777" w:rsidR="0010265C" w:rsidRPr="00261B7A" w:rsidRDefault="0010265C" w:rsidP="0010265C">
      <w:pPr>
        <w:pStyle w:val="Table"/>
      </w:pPr>
      <w:bookmarkStart w:id="2366" w:name="_Toc131591428"/>
      <w:r w:rsidRPr="00261B7A">
        <w:t>Table 6.10.1</w:t>
      </w:r>
      <w:r w:rsidRPr="00261B7A">
        <w:tab/>
        <w:t>N</w:t>
      </w:r>
      <w:r w:rsidRPr="00261B7A">
        <w:rPr>
          <w:vertAlign w:val="subscript"/>
        </w:rPr>
        <w:t>2</w:t>
      </w:r>
      <w:r w:rsidRPr="00261B7A">
        <w:t>O emissions from soils associated with land-use change reported in the LULUCF sector from 1990 to 2021</w:t>
      </w:r>
      <w:bookmarkEnd w:id="2366"/>
    </w:p>
    <w:tbl>
      <w:tblPr>
        <w:tblW w:w="8505"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3544"/>
        <w:gridCol w:w="992"/>
        <w:gridCol w:w="851"/>
        <w:gridCol w:w="992"/>
        <w:gridCol w:w="992"/>
        <w:gridCol w:w="1134"/>
      </w:tblGrid>
      <w:tr w:rsidR="0010265C" w:rsidRPr="00261B7A" w14:paraId="76937766" w14:textId="77777777" w:rsidTr="002E577C">
        <w:trPr>
          <w:trHeight w:val="221"/>
        </w:trPr>
        <w:tc>
          <w:tcPr>
            <w:tcW w:w="3544" w:type="dxa"/>
            <w:vMerge w:val="restart"/>
            <w:shd w:val="clear" w:color="auto" w:fill="1B556B" w:themeFill="text2"/>
            <w:vAlign w:val="bottom"/>
          </w:tcPr>
          <w:p w14:paraId="14C200B4" w14:textId="77777777" w:rsidR="0010265C" w:rsidRPr="00261B7A" w:rsidRDefault="0010265C" w:rsidP="00D41492">
            <w:pPr>
              <w:pStyle w:val="TableTextBold"/>
              <w:keepNext/>
              <w:spacing w:before="40" w:after="40"/>
              <w:rPr>
                <w:noProof w:val="0"/>
                <w:color w:val="FFFFFF"/>
              </w:rPr>
            </w:pPr>
            <w:r w:rsidRPr="00261B7A">
              <w:rPr>
                <w:noProof w:val="0"/>
                <w:color w:val="FFFFFF"/>
              </w:rPr>
              <w:t>Emissions source</w:t>
            </w:r>
          </w:p>
        </w:tc>
        <w:tc>
          <w:tcPr>
            <w:tcW w:w="1843" w:type="dxa"/>
            <w:gridSpan w:val="2"/>
            <w:tcBorders>
              <w:bottom w:val="nil"/>
            </w:tcBorders>
            <w:shd w:val="clear" w:color="auto" w:fill="1B556B" w:themeFill="text2"/>
            <w:vAlign w:val="bottom"/>
          </w:tcPr>
          <w:p w14:paraId="71A1A55F" w14:textId="77777777" w:rsidR="0010265C" w:rsidRPr="00261B7A" w:rsidRDefault="0010265C" w:rsidP="00D41492">
            <w:pPr>
              <w:pStyle w:val="TableTextBold"/>
              <w:spacing w:before="40" w:after="40"/>
              <w:jc w:val="right"/>
              <w:rPr>
                <w:noProof w:val="0"/>
                <w:color w:val="FFFFFF"/>
              </w:rPr>
            </w:pPr>
            <w:r w:rsidRPr="00261B7A">
              <w:rPr>
                <w:noProof w:val="0"/>
                <w:color w:val="FFFFFF"/>
              </w:rPr>
              <w:t>Net emissions (kt N</w:t>
            </w:r>
            <w:r w:rsidRPr="00261B7A">
              <w:rPr>
                <w:b w:val="0"/>
                <w:noProof w:val="0"/>
                <w:color w:val="FFFFFF"/>
                <w:vertAlign w:val="subscript"/>
              </w:rPr>
              <w:t>2</w:t>
            </w:r>
            <w:r w:rsidRPr="00261B7A">
              <w:rPr>
                <w:noProof w:val="0"/>
                <w:color w:val="FFFFFF"/>
              </w:rPr>
              <w:t>O)</w:t>
            </w:r>
          </w:p>
        </w:tc>
        <w:tc>
          <w:tcPr>
            <w:tcW w:w="1984" w:type="dxa"/>
            <w:gridSpan w:val="2"/>
            <w:tcBorders>
              <w:bottom w:val="nil"/>
            </w:tcBorders>
            <w:shd w:val="clear" w:color="auto" w:fill="1B556B" w:themeFill="text2"/>
            <w:vAlign w:val="bottom"/>
          </w:tcPr>
          <w:p w14:paraId="61521F40" w14:textId="77777777" w:rsidR="0010265C" w:rsidRPr="00261B7A" w:rsidRDefault="0010265C" w:rsidP="00D41492">
            <w:pPr>
              <w:pStyle w:val="TableTextBold"/>
              <w:spacing w:before="40" w:after="40"/>
              <w:jc w:val="center"/>
              <w:rPr>
                <w:noProof w:val="0"/>
                <w:color w:val="FFFFFF"/>
              </w:rPr>
            </w:pPr>
            <w:r w:rsidRPr="00261B7A">
              <w:rPr>
                <w:noProof w:val="0"/>
                <w:color w:val="FFFFFF"/>
              </w:rPr>
              <w:t>Net emissions (kt CO</w:t>
            </w:r>
            <w:r w:rsidRPr="00261B7A">
              <w:rPr>
                <w:noProof w:val="0"/>
                <w:color w:val="FFFFFF"/>
                <w:vertAlign w:val="subscript"/>
              </w:rPr>
              <w:t>2</w:t>
            </w:r>
            <w:r w:rsidRPr="00261B7A">
              <w:rPr>
                <w:noProof w:val="0"/>
                <w:color w:val="FFFFFF"/>
              </w:rPr>
              <w:t>-e)</w:t>
            </w:r>
          </w:p>
        </w:tc>
        <w:tc>
          <w:tcPr>
            <w:tcW w:w="1134" w:type="dxa"/>
            <w:vMerge w:val="restart"/>
            <w:shd w:val="clear" w:color="auto" w:fill="1B556B" w:themeFill="text2"/>
            <w:vAlign w:val="bottom"/>
          </w:tcPr>
          <w:p w14:paraId="2685D044" w14:textId="77777777" w:rsidR="0010265C" w:rsidRPr="00261B7A" w:rsidRDefault="0010265C" w:rsidP="00D41492">
            <w:pPr>
              <w:pStyle w:val="TableTextBold"/>
              <w:spacing w:before="40" w:after="40"/>
              <w:jc w:val="right"/>
              <w:rPr>
                <w:noProof w:val="0"/>
                <w:color w:val="FFFFFF"/>
              </w:rPr>
            </w:pPr>
            <w:r w:rsidRPr="00261B7A">
              <w:rPr>
                <w:noProof w:val="0"/>
                <w:color w:val="FFFFFF"/>
              </w:rPr>
              <w:t>Change from 1990 (%)</w:t>
            </w:r>
          </w:p>
        </w:tc>
      </w:tr>
      <w:tr w:rsidR="0010265C" w:rsidRPr="00261B7A" w14:paraId="6DEB35C7" w14:textId="77777777" w:rsidTr="002E577C">
        <w:trPr>
          <w:trHeight w:val="229"/>
        </w:trPr>
        <w:tc>
          <w:tcPr>
            <w:tcW w:w="3544" w:type="dxa"/>
            <w:vMerge/>
            <w:shd w:val="clear" w:color="auto" w:fill="1B556B" w:themeFill="text2"/>
          </w:tcPr>
          <w:p w14:paraId="125874D3" w14:textId="77777777" w:rsidR="0010265C" w:rsidRPr="00261B7A" w:rsidRDefault="0010265C" w:rsidP="00D41492">
            <w:pPr>
              <w:keepNext/>
              <w:spacing w:before="40" w:after="40"/>
              <w:rPr>
                <w:rFonts w:ascii="Courier New" w:hAnsi="Courier New"/>
              </w:rPr>
            </w:pPr>
          </w:p>
        </w:tc>
        <w:tc>
          <w:tcPr>
            <w:tcW w:w="992" w:type="dxa"/>
            <w:tcBorders>
              <w:top w:val="nil"/>
            </w:tcBorders>
            <w:shd w:val="clear" w:color="auto" w:fill="1B556B" w:themeFill="text2"/>
          </w:tcPr>
          <w:p w14:paraId="6686845D" w14:textId="77777777" w:rsidR="0010265C" w:rsidRPr="00261B7A" w:rsidRDefault="0010265C" w:rsidP="00D41492">
            <w:pPr>
              <w:pStyle w:val="TableTextBold"/>
              <w:spacing w:before="40" w:after="40"/>
              <w:jc w:val="right"/>
              <w:rPr>
                <w:rFonts w:ascii="Courier New" w:hAnsi="Courier New"/>
                <w:noProof w:val="0"/>
              </w:rPr>
            </w:pPr>
            <w:r w:rsidRPr="00261B7A">
              <w:rPr>
                <w:noProof w:val="0"/>
                <w:color w:val="FFFFFF" w:themeColor="background1"/>
              </w:rPr>
              <w:t>1990</w:t>
            </w:r>
          </w:p>
        </w:tc>
        <w:tc>
          <w:tcPr>
            <w:tcW w:w="851" w:type="dxa"/>
            <w:tcBorders>
              <w:top w:val="nil"/>
            </w:tcBorders>
            <w:shd w:val="clear" w:color="auto" w:fill="1B556B" w:themeFill="text2"/>
          </w:tcPr>
          <w:p w14:paraId="5190C916" w14:textId="77777777" w:rsidR="0010265C" w:rsidRPr="00261B7A" w:rsidRDefault="0010265C" w:rsidP="00D41492">
            <w:pPr>
              <w:pStyle w:val="TableTextBold"/>
              <w:spacing w:before="40" w:after="40"/>
              <w:jc w:val="right"/>
              <w:rPr>
                <w:rFonts w:ascii="Courier New" w:hAnsi="Courier New"/>
                <w:noProof w:val="0"/>
              </w:rPr>
            </w:pPr>
            <w:r w:rsidRPr="00261B7A">
              <w:rPr>
                <w:noProof w:val="0"/>
                <w:color w:val="FFFFFF" w:themeColor="background1"/>
              </w:rPr>
              <w:t>2021</w:t>
            </w:r>
          </w:p>
        </w:tc>
        <w:tc>
          <w:tcPr>
            <w:tcW w:w="992" w:type="dxa"/>
            <w:tcBorders>
              <w:top w:val="nil"/>
            </w:tcBorders>
            <w:shd w:val="clear" w:color="auto" w:fill="1B556B" w:themeFill="text2"/>
          </w:tcPr>
          <w:p w14:paraId="3A7F4103" w14:textId="77777777" w:rsidR="0010265C" w:rsidRPr="00261B7A" w:rsidRDefault="0010265C" w:rsidP="00D41492">
            <w:pPr>
              <w:pStyle w:val="TableTextBold"/>
              <w:spacing w:before="40" w:after="40"/>
              <w:jc w:val="right"/>
              <w:rPr>
                <w:noProof w:val="0"/>
                <w:color w:val="FFFFFF"/>
              </w:rPr>
            </w:pPr>
            <w:r w:rsidRPr="00261B7A">
              <w:rPr>
                <w:noProof w:val="0"/>
                <w:color w:val="FFFFFF"/>
              </w:rPr>
              <w:t>1990</w:t>
            </w:r>
          </w:p>
        </w:tc>
        <w:tc>
          <w:tcPr>
            <w:tcW w:w="992" w:type="dxa"/>
            <w:tcBorders>
              <w:top w:val="nil"/>
            </w:tcBorders>
            <w:shd w:val="clear" w:color="auto" w:fill="1B556B" w:themeFill="text2"/>
          </w:tcPr>
          <w:p w14:paraId="3EEDD8C5" w14:textId="77777777" w:rsidR="0010265C" w:rsidRPr="00261B7A" w:rsidRDefault="0010265C" w:rsidP="00D41492">
            <w:pPr>
              <w:pStyle w:val="TableTextBold"/>
              <w:spacing w:before="40" w:after="40"/>
              <w:jc w:val="right"/>
              <w:rPr>
                <w:noProof w:val="0"/>
                <w:color w:val="FFFFFF"/>
              </w:rPr>
            </w:pPr>
            <w:r w:rsidRPr="00261B7A">
              <w:rPr>
                <w:noProof w:val="0"/>
                <w:color w:val="FFFFFF"/>
              </w:rPr>
              <w:t>2021</w:t>
            </w:r>
          </w:p>
        </w:tc>
        <w:tc>
          <w:tcPr>
            <w:tcW w:w="1134" w:type="dxa"/>
            <w:vMerge/>
            <w:shd w:val="clear" w:color="auto" w:fill="1B556B" w:themeFill="text2"/>
          </w:tcPr>
          <w:p w14:paraId="45A1DEC0" w14:textId="77777777" w:rsidR="0010265C" w:rsidRPr="00261B7A" w:rsidRDefault="0010265C" w:rsidP="00D41492">
            <w:pPr>
              <w:spacing w:before="40" w:after="40"/>
              <w:jc w:val="right"/>
              <w:rPr>
                <w:rFonts w:ascii="Courier New" w:hAnsi="Courier New"/>
                <w:b/>
              </w:rPr>
            </w:pPr>
          </w:p>
        </w:tc>
      </w:tr>
      <w:tr w:rsidR="0010265C" w:rsidRPr="00261B7A" w14:paraId="67C48797" w14:textId="77777777" w:rsidTr="002E577C">
        <w:trPr>
          <w:trHeight w:val="453"/>
        </w:trPr>
        <w:tc>
          <w:tcPr>
            <w:tcW w:w="3544" w:type="dxa"/>
          </w:tcPr>
          <w:p w14:paraId="737AFED0" w14:textId="77777777" w:rsidR="0010265C" w:rsidRPr="00261B7A" w:rsidRDefault="0010265C" w:rsidP="00D41492">
            <w:pPr>
              <w:pStyle w:val="TableText"/>
              <w:spacing w:before="40" w:after="40"/>
            </w:pPr>
            <w:r w:rsidRPr="00261B7A">
              <w:t>Direct emissions from nitrogen mineralisation/ immobilisation</w:t>
            </w:r>
          </w:p>
        </w:tc>
        <w:tc>
          <w:tcPr>
            <w:tcW w:w="992" w:type="dxa"/>
          </w:tcPr>
          <w:p w14:paraId="508E6494" w14:textId="77777777" w:rsidR="0010265C" w:rsidRPr="00261B7A" w:rsidRDefault="0010265C" w:rsidP="00D41492">
            <w:pPr>
              <w:pStyle w:val="TableText"/>
              <w:spacing w:before="40" w:after="40"/>
              <w:jc w:val="right"/>
            </w:pPr>
            <w:r w:rsidRPr="00261B7A">
              <w:t>0.6</w:t>
            </w:r>
          </w:p>
        </w:tc>
        <w:tc>
          <w:tcPr>
            <w:tcW w:w="851" w:type="dxa"/>
          </w:tcPr>
          <w:p w14:paraId="01B554B7" w14:textId="77777777" w:rsidR="0010265C" w:rsidRPr="00261B7A" w:rsidRDefault="0010265C" w:rsidP="00D41492">
            <w:pPr>
              <w:pStyle w:val="TableText"/>
              <w:spacing w:before="40" w:after="40"/>
              <w:jc w:val="right"/>
            </w:pPr>
            <w:r w:rsidRPr="00261B7A">
              <w:t>0.3</w:t>
            </w:r>
          </w:p>
        </w:tc>
        <w:tc>
          <w:tcPr>
            <w:tcW w:w="992" w:type="dxa"/>
          </w:tcPr>
          <w:p w14:paraId="247FA6E1" w14:textId="77777777" w:rsidR="0010265C" w:rsidRPr="00261B7A" w:rsidRDefault="0010265C" w:rsidP="00D41492">
            <w:pPr>
              <w:pStyle w:val="TableText"/>
              <w:spacing w:before="40" w:after="40"/>
              <w:jc w:val="right"/>
            </w:pPr>
            <w:r w:rsidRPr="00261B7A">
              <w:t>181.4</w:t>
            </w:r>
          </w:p>
        </w:tc>
        <w:tc>
          <w:tcPr>
            <w:tcW w:w="992" w:type="dxa"/>
          </w:tcPr>
          <w:p w14:paraId="5031DAA2" w14:textId="77777777" w:rsidR="0010265C" w:rsidRPr="00261B7A" w:rsidRDefault="0010265C" w:rsidP="00D41492">
            <w:pPr>
              <w:pStyle w:val="TableText"/>
              <w:spacing w:before="40" w:after="40"/>
              <w:jc w:val="right"/>
            </w:pPr>
            <w:r w:rsidRPr="00261B7A">
              <w:t>82.1</w:t>
            </w:r>
          </w:p>
        </w:tc>
        <w:tc>
          <w:tcPr>
            <w:tcW w:w="1134" w:type="dxa"/>
          </w:tcPr>
          <w:p w14:paraId="239D61FA" w14:textId="77777777" w:rsidR="0010265C" w:rsidRPr="00261B7A" w:rsidRDefault="0010265C" w:rsidP="00D41492">
            <w:pPr>
              <w:pStyle w:val="TableText"/>
              <w:spacing w:before="40" w:after="40"/>
              <w:jc w:val="right"/>
            </w:pPr>
            <w:r w:rsidRPr="00261B7A">
              <w:t>–54.7</w:t>
            </w:r>
          </w:p>
        </w:tc>
      </w:tr>
      <w:tr w:rsidR="0010265C" w:rsidRPr="00261B7A" w14:paraId="2A513C80" w14:textId="77777777" w:rsidTr="002E577C">
        <w:trPr>
          <w:trHeight w:val="56"/>
        </w:trPr>
        <w:tc>
          <w:tcPr>
            <w:tcW w:w="3544" w:type="dxa"/>
          </w:tcPr>
          <w:p w14:paraId="7992888A" w14:textId="77777777" w:rsidR="0010265C" w:rsidRPr="00261B7A" w:rsidRDefault="0010265C" w:rsidP="00D41492">
            <w:pPr>
              <w:pStyle w:val="TableText"/>
              <w:spacing w:before="40" w:after="40"/>
            </w:pPr>
            <w:r w:rsidRPr="00261B7A">
              <w:t>Direct emissions from drainage of organic and mineral soils</w:t>
            </w:r>
          </w:p>
        </w:tc>
        <w:tc>
          <w:tcPr>
            <w:tcW w:w="992" w:type="dxa"/>
          </w:tcPr>
          <w:p w14:paraId="058D0A6D" w14:textId="77777777" w:rsidR="0010265C" w:rsidRPr="00261B7A" w:rsidRDefault="0010265C" w:rsidP="00D41492">
            <w:pPr>
              <w:pStyle w:val="TableText"/>
              <w:spacing w:before="40" w:after="40"/>
              <w:jc w:val="right"/>
            </w:pPr>
            <w:r w:rsidRPr="00261B7A">
              <w:t>0.3</w:t>
            </w:r>
          </w:p>
        </w:tc>
        <w:tc>
          <w:tcPr>
            <w:tcW w:w="851" w:type="dxa"/>
          </w:tcPr>
          <w:p w14:paraId="0ED5A77B" w14:textId="77777777" w:rsidR="0010265C" w:rsidRPr="00261B7A" w:rsidRDefault="0010265C" w:rsidP="00D41492">
            <w:pPr>
              <w:pStyle w:val="TableText"/>
              <w:spacing w:before="40" w:after="40"/>
              <w:jc w:val="right"/>
            </w:pPr>
            <w:r w:rsidRPr="00261B7A">
              <w:t>0.4</w:t>
            </w:r>
          </w:p>
        </w:tc>
        <w:tc>
          <w:tcPr>
            <w:tcW w:w="992" w:type="dxa"/>
          </w:tcPr>
          <w:p w14:paraId="3586CFC8" w14:textId="77777777" w:rsidR="0010265C" w:rsidRPr="00261B7A" w:rsidRDefault="0010265C" w:rsidP="00D41492">
            <w:pPr>
              <w:pStyle w:val="TableText"/>
              <w:spacing w:before="40" w:after="40"/>
              <w:jc w:val="right"/>
            </w:pPr>
            <w:r w:rsidRPr="00261B7A">
              <w:t>77.8</w:t>
            </w:r>
          </w:p>
        </w:tc>
        <w:tc>
          <w:tcPr>
            <w:tcW w:w="992" w:type="dxa"/>
          </w:tcPr>
          <w:p w14:paraId="0FDE0B0B" w14:textId="77777777" w:rsidR="0010265C" w:rsidRPr="00261B7A" w:rsidRDefault="0010265C" w:rsidP="00D41492">
            <w:pPr>
              <w:pStyle w:val="TableText"/>
              <w:spacing w:before="40" w:after="40"/>
              <w:jc w:val="right"/>
            </w:pPr>
            <w:r w:rsidRPr="00261B7A">
              <w:t>124.6</w:t>
            </w:r>
          </w:p>
        </w:tc>
        <w:tc>
          <w:tcPr>
            <w:tcW w:w="1134" w:type="dxa"/>
          </w:tcPr>
          <w:p w14:paraId="545A613D" w14:textId="77777777" w:rsidR="0010265C" w:rsidRPr="00261B7A" w:rsidRDefault="0010265C" w:rsidP="00D41492">
            <w:pPr>
              <w:pStyle w:val="TableText"/>
              <w:spacing w:before="40" w:after="40"/>
              <w:jc w:val="right"/>
            </w:pPr>
            <w:r w:rsidRPr="00261B7A">
              <w:t>60.2</w:t>
            </w:r>
          </w:p>
        </w:tc>
      </w:tr>
      <w:tr w:rsidR="0010265C" w:rsidRPr="00261B7A" w14:paraId="447AFF2A" w14:textId="77777777" w:rsidTr="002E577C">
        <w:trPr>
          <w:trHeight w:val="168"/>
        </w:trPr>
        <w:tc>
          <w:tcPr>
            <w:tcW w:w="3544" w:type="dxa"/>
          </w:tcPr>
          <w:p w14:paraId="098ABE17" w14:textId="77777777" w:rsidR="0010265C" w:rsidRPr="00261B7A" w:rsidRDefault="0010265C" w:rsidP="00D41492">
            <w:pPr>
              <w:pStyle w:val="TableText"/>
              <w:spacing w:before="40" w:after="40"/>
            </w:pPr>
            <w:r w:rsidRPr="00261B7A">
              <w:t>Indirect emissions from leaching and runoff</w:t>
            </w:r>
          </w:p>
        </w:tc>
        <w:tc>
          <w:tcPr>
            <w:tcW w:w="992" w:type="dxa"/>
          </w:tcPr>
          <w:p w14:paraId="2AAB25B0" w14:textId="77777777" w:rsidR="0010265C" w:rsidRPr="00261B7A" w:rsidRDefault="0010265C" w:rsidP="00D41492">
            <w:pPr>
              <w:pStyle w:val="TableText"/>
              <w:spacing w:before="40" w:after="40"/>
              <w:jc w:val="right"/>
            </w:pPr>
            <w:r w:rsidRPr="00261B7A">
              <w:t>0.1</w:t>
            </w:r>
          </w:p>
        </w:tc>
        <w:tc>
          <w:tcPr>
            <w:tcW w:w="851" w:type="dxa"/>
          </w:tcPr>
          <w:p w14:paraId="02D1A6A9" w14:textId="77777777" w:rsidR="0010265C" w:rsidRPr="00261B7A" w:rsidRDefault="0010265C" w:rsidP="00D41492">
            <w:pPr>
              <w:pStyle w:val="TableText"/>
              <w:spacing w:before="40" w:after="40"/>
              <w:jc w:val="right"/>
            </w:pPr>
            <w:r w:rsidRPr="00261B7A">
              <w:t>0.1</w:t>
            </w:r>
          </w:p>
        </w:tc>
        <w:tc>
          <w:tcPr>
            <w:tcW w:w="992" w:type="dxa"/>
          </w:tcPr>
          <w:p w14:paraId="3FF34D14" w14:textId="77777777" w:rsidR="0010265C" w:rsidRPr="00261B7A" w:rsidRDefault="0010265C" w:rsidP="00D41492">
            <w:pPr>
              <w:pStyle w:val="TableText"/>
              <w:spacing w:before="40" w:after="40"/>
              <w:jc w:val="right"/>
            </w:pPr>
            <w:r w:rsidRPr="00261B7A">
              <w:t>40.8</w:t>
            </w:r>
          </w:p>
        </w:tc>
        <w:tc>
          <w:tcPr>
            <w:tcW w:w="992" w:type="dxa"/>
          </w:tcPr>
          <w:p w14:paraId="73E0CE22" w14:textId="77777777" w:rsidR="0010265C" w:rsidRPr="00261B7A" w:rsidRDefault="0010265C" w:rsidP="00D41492">
            <w:pPr>
              <w:pStyle w:val="TableText"/>
              <w:spacing w:before="40" w:after="40"/>
              <w:jc w:val="right"/>
            </w:pPr>
            <w:r w:rsidRPr="00261B7A">
              <w:t>18.5</w:t>
            </w:r>
          </w:p>
        </w:tc>
        <w:tc>
          <w:tcPr>
            <w:tcW w:w="1134" w:type="dxa"/>
          </w:tcPr>
          <w:p w14:paraId="1250E557" w14:textId="77777777" w:rsidR="0010265C" w:rsidRPr="00261B7A" w:rsidRDefault="0010265C" w:rsidP="00D41492">
            <w:pPr>
              <w:pStyle w:val="TableText"/>
              <w:spacing w:before="40" w:after="40"/>
              <w:jc w:val="right"/>
            </w:pPr>
            <w:r w:rsidRPr="00261B7A">
              <w:t>–54.5</w:t>
            </w:r>
          </w:p>
        </w:tc>
      </w:tr>
      <w:tr w:rsidR="0010265C" w:rsidRPr="00261B7A" w14:paraId="28F43299" w14:textId="77777777" w:rsidTr="002E577C">
        <w:trPr>
          <w:trHeight w:val="168"/>
        </w:trPr>
        <w:tc>
          <w:tcPr>
            <w:tcW w:w="3544" w:type="dxa"/>
          </w:tcPr>
          <w:p w14:paraId="3D9BCFD1" w14:textId="77777777" w:rsidR="0010265C" w:rsidRPr="00261B7A" w:rsidRDefault="0010265C" w:rsidP="00D41492">
            <w:pPr>
              <w:pStyle w:val="Tableboldblue"/>
              <w:spacing w:before="40" w:after="40"/>
            </w:pPr>
            <w:r w:rsidRPr="00261B7A">
              <w:t>Total</w:t>
            </w:r>
          </w:p>
        </w:tc>
        <w:tc>
          <w:tcPr>
            <w:tcW w:w="992" w:type="dxa"/>
          </w:tcPr>
          <w:p w14:paraId="1D804B70" w14:textId="77777777" w:rsidR="0010265C" w:rsidRPr="00261B7A" w:rsidRDefault="0010265C" w:rsidP="00D41492">
            <w:pPr>
              <w:pStyle w:val="Tableboldblue"/>
              <w:spacing w:before="40" w:after="40"/>
              <w:jc w:val="right"/>
            </w:pPr>
            <w:r w:rsidRPr="00261B7A">
              <w:t>1.0</w:t>
            </w:r>
          </w:p>
        </w:tc>
        <w:tc>
          <w:tcPr>
            <w:tcW w:w="851" w:type="dxa"/>
          </w:tcPr>
          <w:p w14:paraId="5DDAB83D" w14:textId="77777777" w:rsidR="0010265C" w:rsidRPr="00261B7A" w:rsidRDefault="0010265C" w:rsidP="00D41492">
            <w:pPr>
              <w:pStyle w:val="Tableboldblue"/>
              <w:spacing w:before="40" w:after="40"/>
              <w:jc w:val="right"/>
            </w:pPr>
            <w:r w:rsidRPr="00261B7A">
              <w:t>0.8</w:t>
            </w:r>
          </w:p>
        </w:tc>
        <w:tc>
          <w:tcPr>
            <w:tcW w:w="992" w:type="dxa"/>
          </w:tcPr>
          <w:p w14:paraId="2ADAF0FA" w14:textId="77777777" w:rsidR="0010265C" w:rsidRPr="00261B7A" w:rsidRDefault="0010265C" w:rsidP="00D41492">
            <w:pPr>
              <w:pStyle w:val="Tableboldblue"/>
              <w:spacing w:before="40" w:after="40"/>
              <w:jc w:val="right"/>
            </w:pPr>
            <w:r w:rsidRPr="00261B7A">
              <w:t>300.0</w:t>
            </w:r>
          </w:p>
        </w:tc>
        <w:tc>
          <w:tcPr>
            <w:tcW w:w="992" w:type="dxa"/>
          </w:tcPr>
          <w:p w14:paraId="2C5B611E" w14:textId="77777777" w:rsidR="0010265C" w:rsidRPr="00261B7A" w:rsidRDefault="0010265C" w:rsidP="00D41492">
            <w:pPr>
              <w:pStyle w:val="Tableboldblue"/>
              <w:spacing w:before="40" w:after="40"/>
              <w:jc w:val="right"/>
            </w:pPr>
            <w:r w:rsidRPr="00261B7A">
              <w:t>225.2</w:t>
            </w:r>
          </w:p>
        </w:tc>
        <w:tc>
          <w:tcPr>
            <w:tcW w:w="1134" w:type="dxa"/>
          </w:tcPr>
          <w:p w14:paraId="48A97B83" w14:textId="77777777" w:rsidR="0010265C" w:rsidRPr="00261B7A" w:rsidRDefault="0010265C" w:rsidP="00D41492">
            <w:pPr>
              <w:pStyle w:val="Tableboldblue"/>
              <w:spacing w:before="40" w:after="40"/>
              <w:jc w:val="right"/>
            </w:pPr>
            <w:r w:rsidRPr="00261B7A">
              <w:t>–24.9</w:t>
            </w:r>
          </w:p>
        </w:tc>
      </w:tr>
    </w:tbl>
    <w:p w14:paraId="3B45E189" w14:textId="77777777" w:rsidR="0010265C" w:rsidRPr="00261B7A" w:rsidRDefault="0010265C" w:rsidP="0010265C">
      <w:pPr>
        <w:pStyle w:val="Noteundertable"/>
      </w:pPr>
      <w:r w:rsidRPr="00261B7A">
        <w:rPr>
          <w:b/>
        </w:rPr>
        <w:t>Note:</w:t>
      </w:r>
      <w:r w:rsidRPr="00261B7A">
        <w:rPr>
          <w:bCs/>
        </w:rPr>
        <w:tab/>
      </w:r>
      <w:r w:rsidRPr="00261B7A">
        <w:t xml:space="preserve">Columns may not total due to </w:t>
      </w:r>
      <w:r w:rsidRPr="00261B7A" w:rsidDel="00963486">
        <w:t>rounding</w:t>
      </w:r>
      <w:r w:rsidRPr="00261B7A">
        <w:t>.</w:t>
      </w:r>
    </w:p>
    <w:p w14:paraId="02EA2954" w14:textId="77777777" w:rsidR="0010265C" w:rsidRPr="00261B7A" w:rsidRDefault="0010265C" w:rsidP="0010265C">
      <w:pPr>
        <w:pStyle w:val="Heading3"/>
      </w:pPr>
      <w:r w:rsidRPr="00261B7A">
        <w:t xml:space="preserve">6.10.1 </w:t>
      </w:r>
      <w:r w:rsidRPr="00261B7A">
        <w:tab/>
        <w:t>Direct N</w:t>
      </w:r>
      <w:r w:rsidRPr="00261B7A">
        <w:rPr>
          <w:vertAlign w:val="subscript"/>
        </w:rPr>
        <w:t>2</w:t>
      </w:r>
      <w:r w:rsidRPr="00261B7A">
        <w:t>O emissions from nitrogen fertilisation of forest land and other land (CRF 4(I)</w:t>
      </w:r>
      <w:bookmarkEnd w:id="2365"/>
      <w:r w:rsidRPr="00261B7A">
        <w:t>)</w:t>
      </w:r>
    </w:p>
    <w:p w14:paraId="6C4025D9" w14:textId="77777777" w:rsidR="0010265C" w:rsidRPr="00261B7A" w:rsidRDefault="0010265C" w:rsidP="0010265C">
      <w:pPr>
        <w:pStyle w:val="BodyText"/>
      </w:pPr>
      <w:r w:rsidRPr="00261B7A">
        <w:rPr>
          <w:spacing w:val="-2"/>
        </w:rPr>
        <w:t>New Zealand’s activity data on nitrogen fertilisation are not currently disaggregated by land use</w:t>
      </w:r>
      <w:r w:rsidRPr="00261B7A">
        <w:t xml:space="preserve"> </w:t>
      </w:r>
      <w:r w:rsidRPr="00261B7A">
        <w:rPr>
          <w:spacing w:val="-2"/>
        </w:rPr>
        <w:t>and, therefore, all direct N</w:t>
      </w:r>
      <w:r w:rsidRPr="00261B7A">
        <w:rPr>
          <w:spacing w:val="-2"/>
          <w:vertAlign w:val="subscript"/>
        </w:rPr>
        <w:t>2</w:t>
      </w:r>
      <w:r w:rsidRPr="00261B7A">
        <w:rPr>
          <w:spacing w:val="-2"/>
        </w:rPr>
        <w:t>O emissions from nitrogen fertilisation of</w:t>
      </w:r>
      <w:r w:rsidRPr="00261B7A">
        <w:rPr>
          <w:i/>
          <w:spacing w:val="-2"/>
        </w:rPr>
        <w:t xml:space="preserve"> Forest land </w:t>
      </w:r>
      <w:r w:rsidRPr="00261B7A">
        <w:rPr>
          <w:spacing w:val="-2"/>
        </w:rPr>
        <w:t>and</w:t>
      </w:r>
      <w:r w:rsidRPr="00261B7A">
        <w:rPr>
          <w:i/>
          <w:spacing w:val="-2"/>
        </w:rPr>
        <w:t xml:space="preserve"> Other land</w:t>
      </w:r>
      <w:r w:rsidRPr="00261B7A">
        <w:t xml:space="preserve"> are reported in the Agriculture sector under the category </w:t>
      </w:r>
      <w:r w:rsidRPr="00261B7A">
        <w:rPr>
          <w:i/>
        </w:rPr>
        <w:t>Direct N</w:t>
      </w:r>
      <w:r w:rsidRPr="00261B7A">
        <w:rPr>
          <w:i/>
          <w:vertAlign w:val="subscript"/>
        </w:rPr>
        <w:t>2</w:t>
      </w:r>
      <w:r w:rsidRPr="00261B7A">
        <w:rPr>
          <w:i/>
        </w:rPr>
        <w:t>O emissions from managed soils</w:t>
      </w:r>
      <w:r w:rsidRPr="00261B7A">
        <w:t xml:space="preserve"> (CRF 3.D.a). The notation key IE is reported in the CRF tables for the LULUCF sector.</w:t>
      </w:r>
    </w:p>
    <w:p w14:paraId="73F8E7B9" w14:textId="77777777" w:rsidR="0010265C" w:rsidRPr="00261B7A" w:rsidRDefault="0010265C" w:rsidP="00B97110">
      <w:pPr>
        <w:pStyle w:val="Heading3"/>
        <w:spacing w:before="320"/>
      </w:pPr>
      <w:bookmarkStart w:id="2367" w:name="_Toc280630351"/>
      <w:r w:rsidRPr="00261B7A">
        <w:t xml:space="preserve">6.10.2 </w:t>
      </w:r>
      <w:r w:rsidRPr="00261B7A">
        <w:tab/>
        <w:t>Emissions from drainage and rewetting of organic and mineral soils (CRF 4(II)</w:t>
      </w:r>
      <w:bookmarkEnd w:id="2367"/>
      <w:r w:rsidRPr="00261B7A">
        <w:t xml:space="preserve">) </w:t>
      </w:r>
    </w:p>
    <w:p w14:paraId="2EDE98B9" w14:textId="77777777" w:rsidR="0010265C" w:rsidRPr="00261B7A" w:rsidRDefault="0010265C" w:rsidP="00B97110">
      <w:pPr>
        <w:pStyle w:val="Heading4"/>
        <w:spacing w:before="180"/>
      </w:pPr>
      <w:r w:rsidRPr="00261B7A">
        <w:t xml:space="preserve">Description </w:t>
      </w:r>
    </w:p>
    <w:p w14:paraId="2C95B611" w14:textId="77777777" w:rsidR="0010265C" w:rsidRPr="00261B7A" w:rsidRDefault="0010265C" w:rsidP="0010265C">
      <w:pPr>
        <w:pStyle w:val="BodyText"/>
      </w:pPr>
      <w:r w:rsidRPr="00261B7A">
        <w:t>New Zealand reports on N</w:t>
      </w:r>
      <w:r w:rsidRPr="00261B7A">
        <w:rPr>
          <w:vertAlign w:val="subscript"/>
        </w:rPr>
        <w:t>2</w:t>
      </w:r>
      <w:r w:rsidRPr="00261B7A">
        <w:t>O emissions, as a result of oxidation of organic matter, from the drainage of organic soils. N</w:t>
      </w:r>
      <w:r w:rsidRPr="00261B7A">
        <w:rPr>
          <w:vertAlign w:val="subscript"/>
        </w:rPr>
        <w:t>2</w:t>
      </w:r>
      <w:r w:rsidRPr="00261B7A">
        <w:t xml:space="preserve">O emissions on </w:t>
      </w:r>
      <w:r w:rsidRPr="00261B7A">
        <w:rPr>
          <w:i/>
          <w:iCs/>
        </w:rPr>
        <w:t>Croplands</w:t>
      </w:r>
      <w:r w:rsidRPr="00261B7A">
        <w:t xml:space="preserve"> and </w:t>
      </w:r>
      <w:r w:rsidRPr="00261B7A">
        <w:rPr>
          <w:i/>
          <w:iCs/>
        </w:rPr>
        <w:t>Grasslands</w:t>
      </w:r>
      <w:r w:rsidRPr="00261B7A">
        <w:t xml:space="preserve"> are reported under the Agriculture sector. Direct N</w:t>
      </w:r>
      <w:r w:rsidRPr="00261B7A">
        <w:rPr>
          <w:vertAlign w:val="subscript"/>
        </w:rPr>
        <w:t>2</w:t>
      </w:r>
      <w:r w:rsidRPr="00261B7A">
        <w:t xml:space="preserve">O emissions from drained organic soils in </w:t>
      </w:r>
      <w:r w:rsidRPr="00261B7A">
        <w:rPr>
          <w:i/>
        </w:rPr>
        <w:t>Forest land</w:t>
      </w:r>
      <w:r w:rsidRPr="00261B7A">
        <w:t xml:space="preserve"> are estimated to be 0.4 kt N</w:t>
      </w:r>
      <w:r w:rsidRPr="00261B7A">
        <w:rPr>
          <w:spacing w:val="-2"/>
          <w:vertAlign w:val="subscript"/>
        </w:rPr>
        <w:t>2</w:t>
      </w:r>
      <w:r w:rsidRPr="00261B7A">
        <w:t>O in 2020 compared with 0.3 kt N</w:t>
      </w:r>
      <w:r w:rsidRPr="00261B7A">
        <w:rPr>
          <w:spacing w:val="-2"/>
          <w:vertAlign w:val="subscript"/>
        </w:rPr>
        <w:t>2</w:t>
      </w:r>
      <w:r w:rsidRPr="00261B7A">
        <w:t>O in 1990.</w:t>
      </w:r>
    </w:p>
    <w:p w14:paraId="0676813F" w14:textId="77777777" w:rsidR="0010265C" w:rsidRPr="00261B7A" w:rsidRDefault="0010265C" w:rsidP="0010265C">
      <w:pPr>
        <w:pStyle w:val="Heading4"/>
      </w:pPr>
      <w:r w:rsidRPr="00261B7A">
        <w:t>Methodological issues</w:t>
      </w:r>
    </w:p>
    <w:p w14:paraId="0B4903EA" w14:textId="749CB621" w:rsidR="0010265C" w:rsidRPr="00261B7A" w:rsidRDefault="0010265C" w:rsidP="0010265C">
      <w:pPr>
        <w:pStyle w:val="BodyText"/>
      </w:pPr>
      <w:r w:rsidRPr="00261B7A">
        <w:t>To estimate N</w:t>
      </w:r>
      <w:r w:rsidRPr="00261B7A">
        <w:rPr>
          <w:vertAlign w:val="subscript"/>
        </w:rPr>
        <w:t>2</w:t>
      </w:r>
      <w:r w:rsidRPr="00261B7A">
        <w:t>O emissions associated with the drainage of organic soils on forest land, New</w:t>
      </w:r>
      <w:r w:rsidR="00F34E34" w:rsidRPr="00261B7A">
        <w:t> </w:t>
      </w:r>
      <w:r w:rsidRPr="00261B7A">
        <w:t>Zealand uses the Tier 1 method outlined in the 2006 IPCC Guidelines (equation 11.1, IPCC, 2006a). The Tier 1 default value for temperate, nutrient-poor forest soils of 0.1 kg N</w:t>
      </w:r>
      <w:r w:rsidRPr="00261B7A">
        <w:rPr>
          <w:vertAlign w:val="subscript"/>
        </w:rPr>
        <w:t>2</w:t>
      </w:r>
      <w:r w:rsidRPr="00261B7A">
        <w:t>O-N ha</w:t>
      </w:r>
      <w:r w:rsidRPr="00261B7A">
        <w:rPr>
          <w:vertAlign w:val="superscript"/>
        </w:rPr>
        <w:t>-1</w:t>
      </w:r>
      <w:r w:rsidRPr="00261B7A">
        <w:t xml:space="preserve"> is</w:t>
      </w:r>
      <w:r w:rsidR="00F34E34" w:rsidRPr="00261B7A">
        <w:t xml:space="preserve"> </w:t>
      </w:r>
      <w:r w:rsidRPr="00261B7A">
        <w:t xml:space="preserve">applied. Note that the area of pre-1990 natural forest remaining pre-1990 natural forest on organic soils is assumed to be in its natural, undisturbed state, and therefore is presumed not to be drained. </w:t>
      </w:r>
    </w:p>
    <w:p w14:paraId="0B27DA10" w14:textId="77777777" w:rsidR="0010265C" w:rsidRPr="00261B7A" w:rsidRDefault="0010265C" w:rsidP="00B97110">
      <w:pPr>
        <w:pStyle w:val="Heading3"/>
        <w:spacing w:before="320"/>
      </w:pPr>
      <w:bookmarkStart w:id="2368" w:name="_Toc280630352"/>
      <w:r w:rsidRPr="00261B7A">
        <w:t xml:space="preserve">6.10.3 </w:t>
      </w:r>
      <w:r w:rsidRPr="00261B7A">
        <w:tab/>
        <w:t>Direct N</w:t>
      </w:r>
      <w:r w:rsidRPr="00261B7A">
        <w:rPr>
          <w:vertAlign w:val="subscript"/>
        </w:rPr>
        <w:t>2</w:t>
      </w:r>
      <w:r w:rsidRPr="00261B7A">
        <w:t>O emissions from nitrogen mineralisation/immobilisation (CRF 4(III)</w:t>
      </w:r>
      <w:bookmarkEnd w:id="2368"/>
      <w:r w:rsidRPr="00261B7A">
        <w:t>)</w:t>
      </w:r>
    </w:p>
    <w:p w14:paraId="12E5582E" w14:textId="77777777" w:rsidR="0010265C" w:rsidRPr="00261B7A" w:rsidRDefault="0010265C" w:rsidP="00B97110">
      <w:pPr>
        <w:pStyle w:val="Heading4"/>
        <w:spacing w:before="180"/>
      </w:pPr>
      <w:bookmarkStart w:id="2369" w:name="_Toc280630353"/>
      <w:r w:rsidRPr="00261B7A">
        <w:t>Description</w:t>
      </w:r>
      <w:bookmarkEnd w:id="2369"/>
      <w:r w:rsidRPr="00261B7A">
        <w:t xml:space="preserve"> </w:t>
      </w:r>
    </w:p>
    <w:p w14:paraId="03749151" w14:textId="77777777" w:rsidR="0010265C" w:rsidRPr="00261B7A" w:rsidRDefault="0010265C" w:rsidP="0010265C">
      <w:pPr>
        <w:pStyle w:val="BodyText"/>
      </w:pPr>
      <w:r w:rsidRPr="00261B7A">
        <w:t>Direct N</w:t>
      </w:r>
      <w:r w:rsidRPr="00261B7A">
        <w:rPr>
          <w:spacing w:val="-2"/>
          <w:vertAlign w:val="subscript"/>
        </w:rPr>
        <w:t>2</w:t>
      </w:r>
      <w:r w:rsidRPr="00261B7A">
        <w:t>O emissions from nitrogen mineralisation/immobilisation are minor in New Zealand, estimated at 0.3 kt N</w:t>
      </w:r>
      <w:r w:rsidRPr="00261B7A">
        <w:rPr>
          <w:spacing w:val="-2"/>
          <w:vertAlign w:val="subscript"/>
        </w:rPr>
        <w:t>2</w:t>
      </w:r>
      <w:r w:rsidRPr="00261B7A">
        <w:t>O in 2021 compared with 0.6 kt N</w:t>
      </w:r>
      <w:r w:rsidRPr="00261B7A">
        <w:rPr>
          <w:spacing w:val="-2"/>
          <w:vertAlign w:val="subscript"/>
        </w:rPr>
        <w:t>2</w:t>
      </w:r>
      <w:r w:rsidRPr="00261B7A">
        <w:t>O in 1990. Note that N</w:t>
      </w:r>
      <w:r w:rsidRPr="00261B7A">
        <w:rPr>
          <w:vertAlign w:val="subscript"/>
        </w:rPr>
        <w:t>2</w:t>
      </w:r>
      <w:r w:rsidRPr="00261B7A">
        <w:t xml:space="preserve">O emissions on </w:t>
      </w:r>
      <w:r w:rsidRPr="00261B7A">
        <w:rPr>
          <w:i/>
          <w:iCs/>
        </w:rPr>
        <w:t>Cropland</w:t>
      </w:r>
      <w:r w:rsidRPr="00261B7A">
        <w:rPr>
          <w:i/>
        </w:rPr>
        <w:t xml:space="preserve"> remaining </w:t>
      </w:r>
      <w:r w:rsidRPr="00261B7A">
        <w:rPr>
          <w:i/>
          <w:iCs/>
        </w:rPr>
        <w:t>cropland</w:t>
      </w:r>
      <w:r w:rsidRPr="00261B7A">
        <w:t xml:space="preserve"> from nitrogen mineralisation/immobilisation are reported under the Agriculture sector. Direct N</w:t>
      </w:r>
      <w:r w:rsidRPr="00261B7A">
        <w:rPr>
          <w:vertAlign w:val="subscript"/>
        </w:rPr>
        <w:t>2</w:t>
      </w:r>
      <w:r w:rsidRPr="00261B7A">
        <w:t>O emissions from nitrogen mineralisation/immobilisation associated with land-use change for all other land use categories are reported under the LULUCF sector.</w:t>
      </w:r>
    </w:p>
    <w:p w14:paraId="29F7712C" w14:textId="77777777" w:rsidR="0010265C" w:rsidRPr="00261B7A" w:rsidRDefault="0010265C" w:rsidP="0010265C">
      <w:pPr>
        <w:pStyle w:val="BodyText"/>
      </w:pPr>
      <w:r w:rsidRPr="00261B7A">
        <w:t>Nitrous oxide emissions result from the mineralisation of soil organic matter with land-use change. This mineralisation results in an associated conversion of nitrogen previously in the soil organic matter to ammonium and nitrate. Microbial activity in the soil converts some of the ammonium and nitrate present to N</w:t>
      </w:r>
      <w:r w:rsidRPr="00261B7A">
        <w:rPr>
          <w:vertAlign w:val="subscript"/>
        </w:rPr>
        <w:t>2</w:t>
      </w:r>
      <w:r w:rsidRPr="00261B7A">
        <w:t>O. An increase in this microbial substrate caused by a net decrease in soil organic matter can therefore be expected to give an increase in net N</w:t>
      </w:r>
      <w:r w:rsidRPr="00261B7A">
        <w:rPr>
          <w:vertAlign w:val="subscript"/>
        </w:rPr>
        <w:t>2</w:t>
      </w:r>
      <w:r w:rsidRPr="00261B7A">
        <w:t>O emissions (section 11, IPCC, 2006a).</w:t>
      </w:r>
    </w:p>
    <w:p w14:paraId="14BD66ED" w14:textId="77777777" w:rsidR="0010265C" w:rsidRPr="00261B7A" w:rsidRDefault="0010265C" w:rsidP="0010265C">
      <w:pPr>
        <w:pStyle w:val="Heading4"/>
      </w:pPr>
      <w:bookmarkStart w:id="2370" w:name="_Toc280630354"/>
      <w:r w:rsidRPr="00261B7A">
        <w:t>Methodological issues</w:t>
      </w:r>
      <w:bookmarkEnd w:id="2370"/>
    </w:p>
    <w:p w14:paraId="41223F94" w14:textId="77777777" w:rsidR="0010265C" w:rsidRPr="00261B7A" w:rsidRDefault="0010265C" w:rsidP="0010265C">
      <w:pPr>
        <w:pStyle w:val="BodyText"/>
      </w:pPr>
      <w:r w:rsidRPr="00261B7A">
        <w:t>To estimate N</w:t>
      </w:r>
      <w:r w:rsidRPr="00261B7A">
        <w:rPr>
          <w:vertAlign w:val="subscript"/>
        </w:rPr>
        <w:t>2</w:t>
      </w:r>
      <w:r w:rsidRPr="00261B7A">
        <w:t xml:space="preserve">O emissions from disturbance associated with land-use change, New Zealand uses the method outlined in the 2006 IPCC Guidelines (equations 11.2 and 11.8, IPCC, 2006a). </w:t>
      </w:r>
    </w:p>
    <w:p w14:paraId="59EDF46B" w14:textId="77777777" w:rsidR="0010265C" w:rsidRPr="00261B7A" w:rsidRDefault="0010265C" w:rsidP="007F362D">
      <w:pPr>
        <w:pStyle w:val="BodyText"/>
        <w:keepNext/>
      </w:pPr>
      <w:r w:rsidRPr="00261B7A">
        <w:t>The inputs to these equations are:</w:t>
      </w:r>
    </w:p>
    <w:p w14:paraId="18C69D0B" w14:textId="77777777" w:rsidR="0010265C" w:rsidRPr="00261B7A" w:rsidRDefault="0010265C" w:rsidP="00294EC5">
      <w:pPr>
        <w:pStyle w:val="Bullet"/>
        <w:numPr>
          <w:ilvl w:val="0"/>
          <w:numId w:val="25"/>
        </w:numPr>
        <w:ind w:left="397" w:hanging="397"/>
      </w:pPr>
      <w:r w:rsidRPr="00261B7A">
        <w:t>loss of carbon in mineral soils</w:t>
      </w:r>
    </w:p>
    <w:p w14:paraId="16835F41" w14:textId="77777777" w:rsidR="0010265C" w:rsidRPr="00261B7A" w:rsidRDefault="0010265C" w:rsidP="00294EC5">
      <w:pPr>
        <w:pStyle w:val="Bullet"/>
        <w:numPr>
          <w:ilvl w:val="0"/>
          <w:numId w:val="25"/>
        </w:numPr>
        <w:ind w:left="397" w:hanging="397"/>
      </w:pPr>
      <w:r w:rsidRPr="00261B7A">
        <w:t>EF1 – the emission factor for calculating emissions of N</w:t>
      </w:r>
      <w:r w:rsidRPr="00261B7A">
        <w:rPr>
          <w:vertAlign w:val="subscript"/>
        </w:rPr>
        <w:t>2</w:t>
      </w:r>
      <w:r w:rsidRPr="00261B7A">
        <w:t>O from nitrogen in the soil. New Zealand uses a country-specific value of 0.01 kg N</w:t>
      </w:r>
      <w:r w:rsidRPr="00261B7A">
        <w:rPr>
          <w:vertAlign w:val="subscript"/>
        </w:rPr>
        <w:t>2</w:t>
      </w:r>
      <w:r w:rsidRPr="00261B7A">
        <w:t>O – N/kg N (Kelliher and de Klein, unpublished)</w:t>
      </w:r>
    </w:p>
    <w:p w14:paraId="48E9F331" w14:textId="77777777" w:rsidR="0010265C" w:rsidRPr="00261B7A" w:rsidRDefault="0010265C" w:rsidP="00294EC5">
      <w:pPr>
        <w:pStyle w:val="Bullet"/>
        <w:numPr>
          <w:ilvl w:val="0"/>
          <w:numId w:val="25"/>
        </w:numPr>
        <w:ind w:left="397" w:hanging="397"/>
      </w:pPr>
      <w:r w:rsidRPr="00261B7A">
        <w:t xml:space="preserve">C:N ratio – the IPCC default ratio of carbon to nitrogen in soil organic matter (15:1) is used (IPCC, 2006a, p 11.16). </w:t>
      </w:r>
    </w:p>
    <w:p w14:paraId="52236994" w14:textId="77777777" w:rsidR="0010265C" w:rsidRPr="00261B7A" w:rsidRDefault="0010265C" w:rsidP="0010265C">
      <w:pPr>
        <w:pStyle w:val="BodyText"/>
      </w:pPr>
      <w:r w:rsidRPr="00261B7A">
        <w:t>Where an area of land is converted to a land use with a higher original mineral SOC stock than the category it is converted from, no N</w:t>
      </w:r>
      <w:r w:rsidRPr="00261B7A">
        <w:rPr>
          <w:vertAlign w:val="subscript"/>
        </w:rPr>
        <w:t>2</w:t>
      </w:r>
      <w:r w:rsidRPr="00261B7A">
        <w:t xml:space="preserve">O emissions have been estimated as occurring because there is no associated loss of SOC. For instance, </w:t>
      </w:r>
      <w:r w:rsidRPr="00261B7A">
        <w:rPr>
          <w:i/>
          <w:iCs/>
        </w:rPr>
        <w:t>Cropland</w:t>
      </w:r>
      <w:r w:rsidRPr="00261B7A">
        <w:t xml:space="preserve"> converted to </w:t>
      </w:r>
      <w:r w:rsidRPr="00261B7A">
        <w:rPr>
          <w:i/>
          <w:iCs/>
        </w:rPr>
        <w:t>Forest</w:t>
      </w:r>
      <w:r w:rsidRPr="00261B7A">
        <w:rPr>
          <w:i/>
        </w:rPr>
        <w:t xml:space="preserve"> land</w:t>
      </w:r>
      <w:r w:rsidRPr="00261B7A">
        <w:t xml:space="preserve"> is estimated not to result in net N</w:t>
      </w:r>
      <w:r w:rsidRPr="00261B7A">
        <w:rPr>
          <w:vertAlign w:val="subscript"/>
        </w:rPr>
        <w:t>2</w:t>
      </w:r>
      <w:r w:rsidRPr="00261B7A">
        <w:t>O emissions because this land use conversion is associated with a net gain in SOC in New Zealand (see annex A3.2.4, table A3.2.6). In these situations, the notation key NO (not occurring) is reported in the CRF tables.</w:t>
      </w:r>
    </w:p>
    <w:p w14:paraId="3396373F" w14:textId="77777777" w:rsidR="0010265C" w:rsidRPr="00261B7A" w:rsidRDefault="0010265C" w:rsidP="0010265C">
      <w:pPr>
        <w:pStyle w:val="Heading3"/>
        <w:spacing w:before="240"/>
      </w:pPr>
      <w:r w:rsidRPr="00261B7A">
        <w:t xml:space="preserve">6.10.4 </w:t>
      </w:r>
      <w:r w:rsidRPr="00261B7A">
        <w:tab/>
        <w:t>Indirect N</w:t>
      </w:r>
      <w:r w:rsidRPr="00261B7A">
        <w:rPr>
          <w:vertAlign w:val="subscript"/>
        </w:rPr>
        <w:t>2</w:t>
      </w:r>
      <w:r w:rsidRPr="00261B7A">
        <w:t>O emissions from leaching and runoff (CRF 4(IV))</w:t>
      </w:r>
    </w:p>
    <w:p w14:paraId="24D2359E" w14:textId="77777777" w:rsidR="0010265C" w:rsidRPr="00261B7A" w:rsidRDefault="0010265C" w:rsidP="0010265C">
      <w:pPr>
        <w:pStyle w:val="BodyText"/>
      </w:pPr>
      <w:r w:rsidRPr="00261B7A">
        <w:t>Indirect N</w:t>
      </w:r>
      <w:r w:rsidRPr="00261B7A">
        <w:rPr>
          <w:spacing w:val="-2"/>
          <w:vertAlign w:val="subscript"/>
        </w:rPr>
        <w:t>2</w:t>
      </w:r>
      <w:r w:rsidRPr="00261B7A">
        <w:t xml:space="preserve">O emissions from leaching and runoff is associated with mineralisation of N from loss of soil carbon in mineral and drained/managed organic soils through land-use change or management practices. Emissions on </w:t>
      </w:r>
      <w:r w:rsidRPr="00261B7A">
        <w:rPr>
          <w:i/>
          <w:iCs/>
        </w:rPr>
        <w:t>Cropland remaining cropland</w:t>
      </w:r>
      <w:r w:rsidRPr="00261B7A">
        <w:t xml:space="preserve"> from leaching and runoff are reported under the Agriculture sector. Indirect N</w:t>
      </w:r>
      <w:r w:rsidRPr="00261B7A">
        <w:rPr>
          <w:vertAlign w:val="subscript"/>
        </w:rPr>
        <w:t>2</w:t>
      </w:r>
      <w:r w:rsidRPr="00261B7A">
        <w:t>O emissions from leaching and runoff for all other land use categories are reported under the LULUCF sector.</w:t>
      </w:r>
    </w:p>
    <w:p w14:paraId="2F5FBE0C" w14:textId="77777777" w:rsidR="0010265C" w:rsidRPr="00261B7A" w:rsidRDefault="0010265C" w:rsidP="0010265C">
      <w:pPr>
        <w:pStyle w:val="BodyText"/>
      </w:pPr>
      <w:r w:rsidRPr="00261B7A">
        <w:t xml:space="preserve">Indirect emissions from leaching and runoff in all land use categories excluding </w:t>
      </w:r>
      <w:r w:rsidRPr="00261B7A">
        <w:rPr>
          <w:i/>
          <w:iCs/>
        </w:rPr>
        <w:t>Cropland remaining cropland</w:t>
      </w:r>
      <w:r w:rsidRPr="00261B7A">
        <w:t xml:space="preserve"> were estimated as 0.1 kt N</w:t>
      </w:r>
      <w:r w:rsidRPr="00261B7A">
        <w:rPr>
          <w:spacing w:val="-2"/>
          <w:vertAlign w:val="subscript"/>
        </w:rPr>
        <w:t>2</w:t>
      </w:r>
      <w:r w:rsidRPr="00261B7A">
        <w:t>O in 2021, which is the same as the value reported in 1990.</w:t>
      </w:r>
    </w:p>
    <w:p w14:paraId="070AAF6D" w14:textId="77777777" w:rsidR="0010265C" w:rsidRPr="00261B7A" w:rsidRDefault="0010265C" w:rsidP="0010265C">
      <w:pPr>
        <w:pStyle w:val="Heading4"/>
      </w:pPr>
      <w:r w:rsidRPr="00261B7A">
        <w:t>Methodological issues</w:t>
      </w:r>
    </w:p>
    <w:p w14:paraId="3FF88CA3" w14:textId="77777777" w:rsidR="0010265C" w:rsidRPr="00261B7A" w:rsidRDefault="0010265C" w:rsidP="0010265C">
      <w:pPr>
        <w:pStyle w:val="BodyText"/>
      </w:pPr>
      <w:r w:rsidRPr="00261B7A">
        <w:t>New Zealand applies the Tier 1 method outlined in the 2006 IPCC Guidelines (equation 11.10, IPCC, 2006a) for estimating N</w:t>
      </w:r>
      <w:r w:rsidRPr="00261B7A">
        <w:rPr>
          <w:vertAlign w:val="subscript"/>
        </w:rPr>
        <w:t>2</w:t>
      </w:r>
      <w:r w:rsidRPr="00261B7A">
        <w:t>O emissions from leaching and runoff. The following are the inputs to this equation.</w:t>
      </w:r>
    </w:p>
    <w:p w14:paraId="3D383137" w14:textId="77777777" w:rsidR="0010265C" w:rsidRPr="00261B7A" w:rsidRDefault="0010265C" w:rsidP="00294EC5">
      <w:pPr>
        <w:pStyle w:val="Bullet"/>
        <w:numPr>
          <w:ilvl w:val="0"/>
          <w:numId w:val="25"/>
        </w:numPr>
        <w:ind w:left="397" w:hanging="397"/>
      </w:pPr>
      <w:r w:rsidRPr="00261B7A">
        <w:t>F</w:t>
      </w:r>
      <w:r w:rsidRPr="00261B7A">
        <w:rPr>
          <w:vertAlign w:val="subscript"/>
        </w:rPr>
        <w:t>SOM</w:t>
      </w:r>
      <w:r w:rsidRPr="00261B7A">
        <w:t xml:space="preserve"> – annual amount of N mineralised in mineral soils associated with loss of soil C from soil organic matter as a result of changes to land use or management in regions where leaching/runoff occurs, kg N yr</w:t>
      </w:r>
      <w:r w:rsidRPr="00261B7A">
        <w:rPr>
          <w:vertAlign w:val="superscript"/>
        </w:rPr>
        <w:t>-1</w:t>
      </w:r>
      <w:r w:rsidRPr="00261B7A">
        <w:t>, is calculated using the method described in section 6.10.3 above.</w:t>
      </w:r>
    </w:p>
    <w:p w14:paraId="2FC4E951" w14:textId="77777777" w:rsidR="0010265C" w:rsidRPr="00261B7A" w:rsidRDefault="0010265C" w:rsidP="00294EC5">
      <w:pPr>
        <w:pStyle w:val="Bullet"/>
        <w:numPr>
          <w:ilvl w:val="0"/>
          <w:numId w:val="25"/>
        </w:numPr>
        <w:ind w:left="397" w:hanging="397"/>
      </w:pPr>
      <w:r w:rsidRPr="00261B7A">
        <w:t>EF</w:t>
      </w:r>
      <w:r w:rsidRPr="00261B7A">
        <w:rPr>
          <w:vertAlign w:val="subscript"/>
        </w:rPr>
        <w:t>5</w:t>
      </w:r>
      <w:r w:rsidRPr="00261B7A">
        <w:t xml:space="preserve"> – emission factor for N</w:t>
      </w:r>
      <w:r w:rsidRPr="00261B7A">
        <w:rPr>
          <w:vertAlign w:val="subscript"/>
        </w:rPr>
        <w:t>2</w:t>
      </w:r>
      <w:r w:rsidRPr="00261B7A">
        <w:t>O emissions from N leaching and runoff, kg N2O–N (kg N leached and runoff)</w:t>
      </w:r>
      <w:r w:rsidRPr="00261B7A">
        <w:rPr>
          <w:vertAlign w:val="superscript"/>
        </w:rPr>
        <w:t>-1</w:t>
      </w:r>
      <w:r w:rsidRPr="00261B7A">
        <w:t xml:space="preserve"> uses the default emission factor of 0.0075 provided in table 11.3 (IPCC, 2006a).</w:t>
      </w:r>
    </w:p>
    <w:p w14:paraId="30379634" w14:textId="77777777" w:rsidR="0010265C" w:rsidRPr="00261B7A" w:rsidRDefault="0010265C" w:rsidP="00294EC5">
      <w:pPr>
        <w:pStyle w:val="Bullet"/>
        <w:numPr>
          <w:ilvl w:val="0"/>
          <w:numId w:val="25"/>
        </w:numPr>
        <w:ind w:left="397" w:hanging="397"/>
      </w:pPr>
      <w:r w:rsidRPr="00261B7A">
        <w:t>Frac</w:t>
      </w:r>
      <w:r w:rsidRPr="00261B7A">
        <w:rPr>
          <w:vertAlign w:val="subscript"/>
        </w:rPr>
        <w:t>LEACH-(H)</w:t>
      </w:r>
      <w:r w:rsidRPr="00261B7A">
        <w:t xml:space="preserve"> – fraction of all N added to/mineralised in managed soils in regions where leaching/runoff occurs that is lost through leaching and runoff, kg N (kg of N additions)</w:t>
      </w:r>
      <w:r w:rsidRPr="00261B7A">
        <w:rPr>
          <w:vertAlign w:val="superscript"/>
        </w:rPr>
        <w:t>-1</w:t>
      </w:r>
      <w:r w:rsidRPr="00261B7A">
        <w:t xml:space="preserve"> uses the default value of 0.30 provided in table 11.3 (IPCC, 2006a).</w:t>
      </w:r>
    </w:p>
    <w:p w14:paraId="5F8A1132" w14:textId="77777777" w:rsidR="0010265C" w:rsidRPr="00261B7A" w:rsidRDefault="0010265C" w:rsidP="0010265C">
      <w:pPr>
        <w:pStyle w:val="Heading3"/>
        <w:spacing w:before="240"/>
      </w:pPr>
      <w:r w:rsidRPr="00261B7A">
        <w:t xml:space="preserve">6.10.5 </w:t>
      </w:r>
      <w:r w:rsidRPr="00261B7A">
        <w:tab/>
        <w:t>Indirect N</w:t>
      </w:r>
      <w:r w:rsidRPr="00261B7A">
        <w:rPr>
          <w:vertAlign w:val="subscript"/>
        </w:rPr>
        <w:t>2</w:t>
      </w:r>
      <w:r w:rsidRPr="00261B7A">
        <w:t>O emissions from atmospheric deposition of N volatilised from managed soil (CRF 4(IV))</w:t>
      </w:r>
    </w:p>
    <w:p w14:paraId="4EC28FDE" w14:textId="77777777" w:rsidR="0010265C" w:rsidRPr="00261B7A" w:rsidRDefault="0010265C" w:rsidP="00175CD5">
      <w:pPr>
        <w:pStyle w:val="Heading4"/>
        <w:spacing w:before="180"/>
      </w:pPr>
      <w:r w:rsidRPr="00261B7A">
        <w:t>Description</w:t>
      </w:r>
    </w:p>
    <w:p w14:paraId="19161649" w14:textId="77777777" w:rsidR="0010265C" w:rsidRPr="00261B7A" w:rsidRDefault="0010265C" w:rsidP="0010265C">
      <w:pPr>
        <w:pStyle w:val="BodyText"/>
      </w:pPr>
      <w:r w:rsidRPr="00261B7A">
        <w:t xml:space="preserve">New Zealand cannot separate the sources of nitrogen between </w:t>
      </w:r>
      <w:r w:rsidRPr="00261B7A">
        <w:rPr>
          <w:i/>
        </w:rPr>
        <w:t>Cropland</w:t>
      </w:r>
      <w:r w:rsidRPr="00261B7A">
        <w:t xml:space="preserve">, </w:t>
      </w:r>
      <w:r w:rsidRPr="00261B7A">
        <w:rPr>
          <w:i/>
        </w:rPr>
        <w:t>Grassland</w:t>
      </w:r>
      <w:r w:rsidRPr="00261B7A">
        <w:t xml:space="preserve"> and </w:t>
      </w:r>
      <w:r w:rsidRPr="00261B7A">
        <w:rPr>
          <w:i/>
        </w:rPr>
        <w:t>Other land</w:t>
      </w:r>
      <w:r w:rsidRPr="00261B7A">
        <w:t xml:space="preserve"> uses. For this reason, it reports all </w:t>
      </w:r>
      <w:r w:rsidRPr="00261B7A">
        <w:rPr>
          <w:i/>
        </w:rPr>
        <w:t>Indirect N</w:t>
      </w:r>
      <w:r w:rsidRPr="00261B7A">
        <w:rPr>
          <w:i/>
          <w:vertAlign w:val="subscript"/>
        </w:rPr>
        <w:t>2</w:t>
      </w:r>
      <w:r w:rsidRPr="00261B7A">
        <w:rPr>
          <w:i/>
        </w:rPr>
        <w:t>O emissions from</w:t>
      </w:r>
      <w:r w:rsidRPr="00261B7A">
        <w:t xml:space="preserve"> </w:t>
      </w:r>
      <w:r w:rsidRPr="00261B7A">
        <w:rPr>
          <w:i/>
        </w:rPr>
        <w:t xml:space="preserve">atmospheric deposition of N volatilised from managed soil </w:t>
      </w:r>
      <w:r w:rsidRPr="00261B7A">
        <w:t>within CRF table 3.D.b in the Agriculture</w:t>
      </w:r>
      <w:r w:rsidRPr="00261B7A">
        <w:rPr>
          <w:i/>
        </w:rPr>
        <w:t xml:space="preserve"> </w:t>
      </w:r>
      <w:r w:rsidRPr="00261B7A">
        <w:t>sector and uses the notation key IE within CRF table 4(IV) of the</w:t>
      </w:r>
      <w:r w:rsidRPr="00261B7A">
        <w:rPr>
          <w:i/>
        </w:rPr>
        <w:t xml:space="preserve"> </w:t>
      </w:r>
      <w:r w:rsidRPr="00261B7A">
        <w:t xml:space="preserve">LULUCF sector. </w:t>
      </w:r>
    </w:p>
    <w:p w14:paraId="7F61B1CD" w14:textId="77777777" w:rsidR="0010265C" w:rsidRPr="00261B7A" w:rsidRDefault="0010265C" w:rsidP="0010265C">
      <w:pPr>
        <w:pStyle w:val="Heading3"/>
      </w:pPr>
      <w:bookmarkStart w:id="2371" w:name="_Toc280630357"/>
      <w:r w:rsidRPr="00261B7A">
        <w:t xml:space="preserve">6.10.6 </w:t>
      </w:r>
      <w:bookmarkStart w:id="2372" w:name="_Toc255466320"/>
      <w:bookmarkStart w:id="2373" w:name="_Toc261513127"/>
      <w:bookmarkStart w:id="2374" w:name="_Toc261513740"/>
      <w:bookmarkStart w:id="2375" w:name="_Toc280630364"/>
      <w:bookmarkEnd w:id="2371"/>
      <w:r w:rsidRPr="00261B7A">
        <w:tab/>
        <w:t>Uncertainties and time-series consistency for N</w:t>
      </w:r>
      <w:r w:rsidRPr="00261B7A">
        <w:rPr>
          <w:vertAlign w:val="subscript"/>
        </w:rPr>
        <w:t>2</w:t>
      </w:r>
      <w:r w:rsidRPr="00261B7A">
        <w:t>O emissions in soils associated with land-use change</w:t>
      </w:r>
    </w:p>
    <w:p w14:paraId="61EF0A05" w14:textId="77777777" w:rsidR="0010265C" w:rsidRPr="00261B7A" w:rsidRDefault="0010265C" w:rsidP="0010265C">
      <w:pPr>
        <w:pStyle w:val="BodyText"/>
      </w:pPr>
      <w:r w:rsidRPr="00261B7A">
        <w:t>The uncertainty in net N</w:t>
      </w:r>
      <w:r w:rsidRPr="00261B7A">
        <w:rPr>
          <w:vertAlign w:val="subscript"/>
        </w:rPr>
        <w:t>2</w:t>
      </w:r>
      <w:r w:rsidRPr="00261B7A">
        <w:t xml:space="preserve">O emissions from nitrogen in soils associated with land-use change in 2021 is outlined in table 6.10.2. The methods used to calculate the uncertainty are further described in annex A3.2.8. </w:t>
      </w:r>
    </w:p>
    <w:p w14:paraId="2A604818" w14:textId="77777777" w:rsidR="0010265C" w:rsidRPr="00261B7A" w:rsidRDefault="0010265C" w:rsidP="0010265C">
      <w:pPr>
        <w:pStyle w:val="Table"/>
      </w:pPr>
      <w:bookmarkStart w:id="2376" w:name="_Toc131591429"/>
      <w:r w:rsidRPr="00261B7A">
        <w:t>Table 6.10.2</w:t>
      </w:r>
      <w:r w:rsidRPr="00261B7A">
        <w:tab/>
        <w:t>Net N</w:t>
      </w:r>
      <w:r w:rsidRPr="00261B7A">
        <w:rPr>
          <w:vertAlign w:val="subscript"/>
        </w:rPr>
        <w:t>2</w:t>
      </w:r>
      <w:r w:rsidRPr="00261B7A">
        <w:t>O emissions from nitrogen in soils associated with land-use change in 2021</w:t>
      </w:r>
      <w:bookmarkEnd w:id="2376"/>
    </w:p>
    <w:tbl>
      <w:tblPr>
        <w:tblW w:w="8505" w:type="dxa"/>
        <w:tblLayout w:type="fixed"/>
        <w:tblLook w:val="04A0" w:firstRow="1" w:lastRow="0" w:firstColumn="1" w:lastColumn="0" w:noHBand="0" w:noVBand="1"/>
      </w:tblPr>
      <w:tblGrid>
        <w:gridCol w:w="4111"/>
        <w:gridCol w:w="1134"/>
        <w:gridCol w:w="1418"/>
        <w:gridCol w:w="1842"/>
      </w:tblGrid>
      <w:tr w:rsidR="0010265C" w:rsidRPr="00261B7A" w14:paraId="6AC7B1BE" w14:textId="77777777" w:rsidTr="007F362D">
        <w:tc>
          <w:tcPr>
            <w:tcW w:w="4111" w:type="dxa"/>
            <w:tcBorders>
              <w:top w:val="single" w:sz="4" w:space="0" w:color="1B556B"/>
              <w:bottom w:val="single" w:sz="4" w:space="0" w:color="1B556B"/>
            </w:tcBorders>
            <w:shd w:val="clear" w:color="auto" w:fill="1B556B" w:themeFill="text2"/>
            <w:vAlign w:val="bottom"/>
          </w:tcPr>
          <w:p w14:paraId="4ABA983C" w14:textId="77777777" w:rsidR="0010265C" w:rsidRPr="00261B7A" w:rsidRDefault="0010265C" w:rsidP="00D41492">
            <w:pPr>
              <w:pStyle w:val="TableTextBold"/>
              <w:keepNext/>
              <w:spacing w:before="40" w:after="40"/>
              <w:rPr>
                <w:noProof w:val="0"/>
                <w:color w:val="FFFFFF"/>
                <w:szCs w:val="16"/>
              </w:rPr>
            </w:pPr>
          </w:p>
        </w:tc>
        <w:tc>
          <w:tcPr>
            <w:tcW w:w="1134" w:type="dxa"/>
            <w:tcBorders>
              <w:top w:val="single" w:sz="4" w:space="0" w:color="1B556B"/>
              <w:bottom w:val="single" w:sz="4" w:space="0" w:color="1B556B"/>
            </w:tcBorders>
            <w:shd w:val="clear" w:color="auto" w:fill="1B556B" w:themeFill="text2"/>
            <w:vAlign w:val="bottom"/>
          </w:tcPr>
          <w:p w14:paraId="736F15A1" w14:textId="77777777" w:rsidR="0010265C" w:rsidRPr="00261B7A" w:rsidRDefault="0010265C" w:rsidP="00D41492">
            <w:pPr>
              <w:pStyle w:val="TableTextBold"/>
              <w:spacing w:before="40" w:after="40"/>
              <w:jc w:val="right"/>
              <w:rPr>
                <w:noProof w:val="0"/>
                <w:color w:val="FFFFFF"/>
                <w:szCs w:val="16"/>
              </w:rPr>
            </w:pPr>
            <w:r w:rsidRPr="00261B7A">
              <w:rPr>
                <w:noProof w:val="0"/>
                <w:color w:val="FFFFFF"/>
                <w:szCs w:val="16"/>
              </w:rPr>
              <w:t xml:space="preserve">Emissions </w:t>
            </w:r>
            <w:r w:rsidRPr="00261B7A">
              <w:rPr>
                <w:noProof w:val="0"/>
                <w:color w:val="FFFFFF"/>
                <w:szCs w:val="16"/>
              </w:rPr>
              <w:br/>
              <w:t>(kt CO</w:t>
            </w:r>
            <w:r w:rsidRPr="00261B7A">
              <w:rPr>
                <w:noProof w:val="0"/>
                <w:color w:val="FFFFFF"/>
                <w:szCs w:val="16"/>
                <w:vertAlign w:val="subscript"/>
              </w:rPr>
              <w:t>2</w:t>
            </w:r>
            <w:r w:rsidRPr="00261B7A">
              <w:rPr>
                <w:noProof w:val="0"/>
                <w:color w:val="FFFFFF"/>
                <w:szCs w:val="16"/>
              </w:rPr>
              <w:t>-e)</w:t>
            </w:r>
          </w:p>
        </w:tc>
        <w:tc>
          <w:tcPr>
            <w:tcW w:w="1418" w:type="dxa"/>
            <w:tcBorders>
              <w:top w:val="single" w:sz="4" w:space="0" w:color="1B556B"/>
              <w:bottom w:val="single" w:sz="4" w:space="0" w:color="1B556B"/>
            </w:tcBorders>
            <w:shd w:val="clear" w:color="auto" w:fill="1B556B" w:themeFill="text2"/>
          </w:tcPr>
          <w:p w14:paraId="079DA78B" w14:textId="77777777" w:rsidR="0010265C" w:rsidRPr="00261B7A" w:rsidRDefault="0010265C" w:rsidP="00D41492">
            <w:pPr>
              <w:pStyle w:val="TableTextBold"/>
              <w:spacing w:before="40" w:after="40"/>
              <w:jc w:val="right"/>
              <w:rPr>
                <w:noProof w:val="0"/>
                <w:color w:val="FFFFFF"/>
                <w:szCs w:val="16"/>
              </w:rPr>
            </w:pPr>
            <w:r w:rsidRPr="00261B7A">
              <w:rPr>
                <w:noProof w:val="0"/>
                <w:color w:val="FFFFFF"/>
                <w:szCs w:val="16"/>
              </w:rPr>
              <w:t>Uncertainty in emissions (%)</w:t>
            </w:r>
          </w:p>
        </w:tc>
        <w:tc>
          <w:tcPr>
            <w:tcW w:w="1842" w:type="dxa"/>
            <w:tcBorders>
              <w:top w:val="single" w:sz="4" w:space="0" w:color="1B556B"/>
              <w:bottom w:val="single" w:sz="4" w:space="0" w:color="1B556B"/>
            </w:tcBorders>
            <w:shd w:val="clear" w:color="auto" w:fill="1B556B" w:themeFill="text2"/>
          </w:tcPr>
          <w:p w14:paraId="46314242" w14:textId="77777777" w:rsidR="0010265C" w:rsidRPr="00261B7A" w:rsidRDefault="0010265C" w:rsidP="00D41492">
            <w:pPr>
              <w:pStyle w:val="TableTextBold"/>
              <w:spacing w:before="40" w:after="40"/>
              <w:jc w:val="right"/>
              <w:rPr>
                <w:noProof w:val="0"/>
                <w:color w:val="FFFFFF"/>
                <w:szCs w:val="16"/>
              </w:rPr>
            </w:pPr>
            <w:r w:rsidRPr="00261B7A">
              <w:rPr>
                <w:noProof w:val="0"/>
                <w:color w:val="FFFFFF"/>
                <w:szCs w:val="16"/>
              </w:rPr>
              <w:t>Contribution to LULUCF uncertainty (%)</w:t>
            </w:r>
          </w:p>
        </w:tc>
      </w:tr>
      <w:tr w:rsidR="0010265C" w:rsidRPr="00261B7A" w14:paraId="7F3DC245" w14:textId="77777777" w:rsidTr="007F362D">
        <w:trPr>
          <w:trHeight w:val="287"/>
        </w:trPr>
        <w:tc>
          <w:tcPr>
            <w:tcW w:w="4111" w:type="dxa"/>
            <w:tcBorders>
              <w:top w:val="single" w:sz="4" w:space="0" w:color="1B556B"/>
              <w:bottom w:val="single" w:sz="4" w:space="0" w:color="1B556B"/>
            </w:tcBorders>
          </w:tcPr>
          <w:p w14:paraId="09FAC914" w14:textId="77777777" w:rsidR="0010265C" w:rsidRPr="00261B7A" w:rsidRDefault="0010265C" w:rsidP="00D41492">
            <w:pPr>
              <w:pStyle w:val="TableText"/>
              <w:keepNext/>
              <w:spacing w:before="40" w:after="40"/>
              <w:rPr>
                <w:szCs w:val="16"/>
              </w:rPr>
            </w:pPr>
            <w:r w:rsidRPr="00261B7A">
              <w:t>Direct N</w:t>
            </w:r>
            <w:r w:rsidRPr="00261B7A">
              <w:rPr>
                <w:vertAlign w:val="subscript"/>
              </w:rPr>
              <w:t>2</w:t>
            </w:r>
            <w:r w:rsidRPr="00261B7A">
              <w:t>O emissions from N mineralisation/immobilisation</w:t>
            </w:r>
          </w:p>
        </w:tc>
        <w:tc>
          <w:tcPr>
            <w:tcW w:w="1134" w:type="dxa"/>
            <w:tcBorders>
              <w:top w:val="single" w:sz="4" w:space="0" w:color="1B556B"/>
              <w:bottom w:val="single" w:sz="4" w:space="0" w:color="1B556B"/>
            </w:tcBorders>
          </w:tcPr>
          <w:p w14:paraId="7500ABE6" w14:textId="77777777" w:rsidR="0010265C" w:rsidRPr="00261B7A" w:rsidRDefault="0010265C" w:rsidP="00D41492">
            <w:pPr>
              <w:pStyle w:val="TableText"/>
              <w:spacing w:before="40" w:after="40"/>
              <w:jc w:val="right"/>
            </w:pPr>
            <w:r w:rsidRPr="00261B7A">
              <w:t>82.1</w:t>
            </w:r>
          </w:p>
        </w:tc>
        <w:tc>
          <w:tcPr>
            <w:tcW w:w="1418" w:type="dxa"/>
            <w:tcBorders>
              <w:top w:val="single" w:sz="4" w:space="0" w:color="1B556B"/>
              <w:bottom w:val="single" w:sz="4" w:space="0" w:color="1B556B"/>
            </w:tcBorders>
          </w:tcPr>
          <w:p w14:paraId="35CF9A21" w14:textId="77777777" w:rsidR="0010265C" w:rsidRPr="00261B7A" w:rsidRDefault="0010265C" w:rsidP="00D41492">
            <w:pPr>
              <w:pStyle w:val="TableText"/>
              <w:spacing w:before="40" w:after="40"/>
              <w:jc w:val="right"/>
              <w:rPr>
                <w:rFonts w:cs="Yu Gothic"/>
              </w:rPr>
            </w:pPr>
            <w:r w:rsidRPr="00261B7A">
              <w:t>86.9</w:t>
            </w:r>
          </w:p>
        </w:tc>
        <w:tc>
          <w:tcPr>
            <w:tcW w:w="1842" w:type="dxa"/>
            <w:tcBorders>
              <w:top w:val="single" w:sz="4" w:space="0" w:color="1B556B"/>
              <w:bottom w:val="single" w:sz="4" w:space="0" w:color="1B556B"/>
            </w:tcBorders>
          </w:tcPr>
          <w:p w14:paraId="7858BC53" w14:textId="77777777" w:rsidR="0010265C" w:rsidRPr="00261B7A" w:rsidRDefault="0010265C" w:rsidP="00D41492">
            <w:pPr>
              <w:pStyle w:val="TableText"/>
              <w:spacing w:before="40" w:after="40"/>
              <w:jc w:val="right"/>
              <w:rPr>
                <w:rFonts w:cs="Yu Gothic"/>
              </w:rPr>
            </w:pPr>
            <w:r w:rsidRPr="00261B7A">
              <w:t>0.3</w:t>
            </w:r>
          </w:p>
        </w:tc>
      </w:tr>
      <w:tr w:rsidR="0010265C" w:rsidRPr="00261B7A" w14:paraId="771337D6" w14:textId="77777777" w:rsidTr="007F362D">
        <w:trPr>
          <w:trHeight w:val="279"/>
        </w:trPr>
        <w:tc>
          <w:tcPr>
            <w:tcW w:w="4111" w:type="dxa"/>
            <w:tcBorders>
              <w:top w:val="single" w:sz="4" w:space="0" w:color="1B556B"/>
              <w:bottom w:val="single" w:sz="4" w:space="0" w:color="1B556B"/>
            </w:tcBorders>
          </w:tcPr>
          <w:p w14:paraId="7F52D6A9" w14:textId="77777777" w:rsidR="0010265C" w:rsidRPr="00261B7A" w:rsidRDefault="0010265C" w:rsidP="00D41492">
            <w:pPr>
              <w:pStyle w:val="TableText"/>
              <w:keepNext/>
              <w:spacing w:before="40" w:after="40"/>
              <w:rPr>
                <w:szCs w:val="16"/>
              </w:rPr>
            </w:pPr>
            <w:r w:rsidRPr="00261B7A">
              <w:t>Direct N</w:t>
            </w:r>
            <w:r w:rsidRPr="00261B7A">
              <w:rPr>
                <w:vertAlign w:val="subscript"/>
              </w:rPr>
              <w:t>2</w:t>
            </w:r>
            <w:r w:rsidRPr="00261B7A">
              <w:t>O emissions from drainage and rewetting</w:t>
            </w:r>
          </w:p>
        </w:tc>
        <w:tc>
          <w:tcPr>
            <w:tcW w:w="1134" w:type="dxa"/>
            <w:tcBorders>
              <w:top w:val="single" w:sz="4" w:space="0" w:color="1B556B"/>
              <w:bottom w:val="single" w:sz="4" w:space="0" w:color="1B556B"/>
            </w:tcBorders>
          </w:tcPr>
          <w:p w14:paraId="28020C81" w14:textId="77777777" w:rsidR="0010265C" w:rsidRPr="00261B7A" w:rsidRDefault="0010265C" w:rsidP="00D41492">
            <w:pPr>
              <w:pStyle w:val="TableText"/>
              <w:spacing w:before="40" w:after="40"/>
              <w:jc w:val="right"/>
            </w:pPr>
            <w:r w:rsidRPr="00261B7A">
              <w:t>124.6</w:t>
            </w:r>
          </w:p>
        </w:tc>
        <w:tc>
          <w:tcPr>
            <w:tcW w:w="1418" w:type="dxa"/>
            <w:tcBorders>
              <w:top w:val="single" w:sz="4" w:space="0" w:color="1B556B"/>
              <w:bottom w:val="single" w:sz="4" w:space="0" w:color="1B556B"/>
            </w:tcBorders>
          </w:tcPr>
          <w:p w14:paraId="71A6751F" w14:textId="77777777" w:rsidR="0010265C" w:rsidRPr="00261B7A" w:rsidRDefault="0010265C" w:rsidP="00D41492">
            <w:pPr>
              <w:pStyle w:val="TableText"/>
              <w:spacing w:before="40" w:after="40"/>
              <w:jc w:val="right"/>
              <w:rPr>
                <w:rFonts w:cs="Yu Gothic"/>
              </w:rPr>
            </w:pPr>
            <w:r w:rsidRPr="00261B7A">
              <w:t>86.5</w:t>
            </w:r>
          </w:p>
        </w:tc>
        <w:tc>
          <w:tcPr>
            <w:tcW w:w="1842" w:type="dxa"/>
            <w:tcBorders>
              <w:top w:val="single" w:sz="4" w:space="0" w:color="1B556B"/>
              <w:bottom w:val="single" w:sz="4" w:space="0" w:color="1B556B"/>
            </w:tcBorders>
          </w:tcPr>
          <w:p w14:paraId="19E81250" w14:textId="77777777" w:rsidR="0010265C" w:rsidRPr="00261B7A" w:rsidRDefault="0010265C" w:rsidP="00D41492">
            <w:pPr>
              <w:pStyle w:val="TableText"/>
              <w:spacing w:before="40" w:after="40"/>
              <w:jc w:val="right"/>
              <w:rPr>
                <w:rFonts w:cs="Yu Gothic"/>
              </w:rPr>
            </w:pPr>
            <w:r w:rsidRPr="00261B7A">
              <w:t>0.5</w:t>
            </w:r>
          </w:p>
        </w:tc>
      </w:tr>
      <w:tr w:rsidR="0010265C" w:rsidRPr="00261B7A" w14:paraId="6529B69C" w14:textId="77777777" w:rsidTr="007F362D">
        <w:trPr>
          <w:trHeight w:val="279"/>
        </w:trPr>
        <w:tc>
          <w:tcPr>
            <w:tcW w:w="4111" w:type="dxa"/>
            <w:tcBorders>
              <w:top w:val="single" w:sz="4" w:space="0" w:color="1B556B"/>
              <w:bottom w:val="single" w:sz="4" w:space="0" w:color="1B556B"/>
            </w:tcBorders>
          </w:tcPr>
          <w:p w14:paraId="37521676" w14:textId="77777777" w:rsidR="0010265C" w:rsidRPr="00261B7A" w:rsidRDefault="0010265C" w:rsidP="00D41492">
            <w:pPr>
              <w:pStyle w:val="TableText"/>
              <w:keepNext/>
              <w:spacing w:before="40" w:after="40"/>
            </w:pPr>
            <w:r w:rsidRPr="00261B7A">
              <w:t>Indirect emissions from leaching and runoff</w:t>
            </w:r>
          </w:p>
        </w:tc>
        <w:tc>
          <w:tcPr>
            <w:tcW w:w="1134" w:type="dxa"/>
            <w:tcBorders>
              <w:top w:val="single" w:sz="4" w:space="0" w:color="1B556B"/>
              <w:bottom w:val="single" w:sz="4" w:space="0" w:color="1B556B"/>
            </w:tcBorders>
          </w:tcPr>
          <w:p w14:paraId="6334814F" w14:textId="77777777" w:rsidR="0010265C" w:rsidRPr="00261B7A" w:rsidRDefault="0010265C" w:rsidP="00D41492">
            <w:pPr>
              <w:pStyle w:val="TableText"/>
              <w:spacing w:before="40" w:after="40"/>
              <w:jc w:val="right"/>
            </w:pPr>
            <w:r w:rsidRPr="00261B7A">
              <w:t>18.5</w:t>
            </w:r>
          </w:p>
        </w:tc>
        <w:tc>
          <w:tcPr>
            <w:tcW w:w="1418" w:type="dxa"/>
            <w:tcBorders>
              <w:top w:val="single" w:sz="4" w:space="0" w:color="1B556B"/>
              <w:bottom w:val="single" w:sz="4" w:space="0" w:color="1B556B"/>
            </w:tcBorders>
          </w:tcPr>
          <w:p w14:paraId="7051A8BC" w14:textId="77777777" w:rsidR="0010265C" w:rsidRPr="00261B7A" w:rsidRDefault="0010265C" w:rsidP="00D41492">
            <w:pPr>
              <w:pStyle w:val="TableText"/>
              <w:spacing w:before="40" w:after="40"/>
              <w:jc w:val="right"/>
            </w:pPr>
            <w:r w:rsidRPr="00261B7A">
              <w:t>127.8</w:t>
            </w:r>
          </w:p>
        </w:tc>
        <w:tc>
          <w:tcPr>
            <w:tcW w:w="1842" w:type="dxa"/>
            <w:tcBorders>
              <w:top w:val="single" w:sz="4" w:space="0" w:color="1B556B"/>
              <w:bottom w:val="single" w:sz="4" w:space="0" w:color="1B556B"/>
            </w:tcBorders>
          </w:tcPr>
          <w:p w14:paraId="07C329DD" w14:textId="77777777" w:rsidR="0010265C" w:rsidRPr="00261B7A" w:rsidRDefault="0010265C" w:rsidP="00D41492">
            <w:pPr>
              <w:pStyle w:val="TableText"/>
              <w:spacing w:before="40" w:after="40"/>
              <w:jc w:val="right"/>
            </w:pPr>
            <w:r w:rsidRPr="00261B7A">
              <w:t>0.1</w:t>
            </w:r>
          </w:p>
        </w:tc>
      </w:tr>
    </w:tbl>
    <w:p w14:paraId="0C4F68C6" w14:textId="77777777" w:rsidR="0010265C" w:rsidRPr="00261B7A" w:rsidRDefault="0010265C" w:rsidP="0010265C">
      <w:pPr>
        <w:pStyle w:val="BodyText"/>
        <w:spacing w:before="240"/>
      </w:pPr>
      <w:r w:rsidRPr="00261B7A">
        <w:t xml:space="preserve">Time-series consistency is ensured by applying consistent methods and full recalculations in the event of any refinement or improvement to methodology. </w:t>
      </w:r>
    </w:p>
    <w:p w14:paraId="5D732F32" w14:textId="77777777" w:rsidR="0010265C" w:rsidRPr="00261B7A" w:rsidRDefault="0010265C" w:rsidP="0010265C">
      <w:pPr>
        <w:pStyle w:val="Heading3"/>
      </w:pPr>
      <w:r w:rsidRPr="00261B7A">
        <w:t>6.10.7</w:t>
      </w:r>
      <w:r w:rsidRPr="00261B7A">
        <w:tab/>
        <w:t>Source-specific planned improvements for N</w:t>
      </w:r>
      <w:r w:rsidRPr="00261B7A">
        <w:rPr>
          <w:vertAlign w:val="subscript"/>
        </w:rPr>
        <w:t>2</w:t>
      </w:r>
      <w:r w:rsidRPr="00261B7A">
        <w:t>O emissions in soils associated with land-use change</w:t>
      </w:r>
    </w:p>
    <w:p w14:paraId="26E68501" w14:textId="77777777" w:rsidR="0010265C" w:rsidRPr="00261B7A" w:rsidRDefault="0010265C" w:rsidP="0010265C">
      <w:pPr>
        <w:pStyle w:val="BodyText"/>
      </w:pPr>
      <w:r w:rsidRPr="00261B7A">
        <w:t xml:space="preserve">Nitrous oxide emissions associated with the drainage of organic soils in </w:t>
      </w:r>
      <w:r w:rsidRPr="00261B7A">
        <w:rPr>
          <w:i/>
          <w:iCs/>
        </w:rPr>
        <w:t>Settlements</w:t>
      </w:r>
      <w:r w:rsidRPr="00261B7A">
        <w:t xml:space="preserve"> will be included in the 2024 submission as New Zealand considers that most of its </w:t>
      </w:r>
      <w:r w:rsidRPr="00261B7A">
        <w:rPr>
          <w:i/>
          <w:iCs/>
        </w:rPr>
        <w:t>Settlements</w:t>
      </w:r>
      <w:r w:rsidRPr="00261B7A">
        <w:t xml:space="preserve"> area can be assimilated to </w:t>
      </w:r>
      <w:r w:rsidRPr="00261B7A">
        <w:rPr>
          <w:i/>
          <w:iCs/>
        </w:rPr>
        <w:t>Grassland</w:t>
      </w:r>
      <w:r w:rsidRPr="00261B7A">
        <w:t xml:space="preserve"> when it comes to soil carbon. This is covered in section 6.7.6.</w:t>
      </w:r>
    </w:p>
    <w:p w14:paraId="74894A28" w14:textId="77777777" w:rsidR="0010265C" w:rsidRPr="00261B7A" w:rsidRDefault="0010265C" w:rsidP="0010265C">
      <w:pPr>
        <w:pStyle w:val="Heading3"/>
      </w:pPr>
      <w:r w:rsidRPr="00261B7A">
        <w:t xml:space="preserve">6.10.8 </w:t>
      </w:r>
      <w:r w:rsidRPr="00261B7A">
        <w:tab/>
        <w:t>Biomass burning</w:t>
      </w:r>
      <w:bookmarkEnd w:id="2372"/>
      <w:bookmarkEnd w:id="2373"/>
      <w:bookmarkEnd w:id="2374"/>
      <w:r w:rsidRPr="00261B7A">
        <w:t xml:space="preserve"> (CRF 4(V)</w:t>
      </w:r>
      <w:bookmarkEnd w:id="2375"/>
      <w:r w:rsidRPr="00261B7A">
        <w:t>)</w:t>
      </w:r>
    </w:p>
    <w:p w14:paraId="51EED5B8" w14:textId="77777777" w:rsidR="0010265C" w:rsidRPr="00261B7A" w:rsidRDefault="0010265C" w:rsidP="00175CD5">
      <w:pPr>
        <w:pStyle w:val="Heading4"/>
        <w:spacing w:before="180"/>
      </w:pPr>
      <w:bookmarkStart w:id="2377" w:name="_Toc280630365"/>
      <w:r w:rsidRPr="00261B7A">
        <w:t>Description</w:t>
      </w:r>
      <w:bookmarkEnd w:id="2377"/>
    </w:p>
    <w:p w14:paraId="5289D0FB" w14:textId="77777777" w:rsidR="0010265C" w:rsidRPr="00261B7A" w:rsidRDefault="0010265C" w:rsidP="0010265C">
      <w:pPr>
        <w:pStyle w:val="BodyText"/>
      </w:pPr>
      <w:r w:rsidRPr="00261B7A">
        <w:t>Non-CO</w:t>
      </w:r>
      <w:r w:rsidRPr="00261B7A">
        <w:rPr>
          <w:vertAlign w:val="subscript"/>
        </w:rPr>
        <w:t xml:space="preserve">2 </w:t>
      </w:r>
      <w:r w:rsidRPr="00261B7A">
        <w:t xml:space="preserve">emissions from </w:t>
      </w:r>
      <w:r w:rsidRPr="00261B7A">
        <w:rPr>
          <w:i/>
        </w:rPr>
        <w:t>Biomass burning</w:t>
      </w:r>
      <w:r w:rsidRPr="00261B7A">
        <w:t xml:space="preserve"> in 2021 were 1.3 kt CH</w:t>
      </w:r>
      <w:r w:rsidRPr="00261B7A">
        <w:rPr>
          <w:vertAlign w:val="subscript"/>
        </w:rPr>
        <w:t>4</w:t>
      </w:r>
      <w:r w:rsidRPr="00261B7A">
        <w:t xml:space="preserve"> (32.6 kt CO</w:t>
      </w:r>
      <w:r w:rsidRPr="00261B7A">
        <w:rPr>
          <w:vertAlign w:val="subscript"/>
        </w:rPr>
        <w:t>2</w:t>
      </w:r>
      <w:r w:rsidRPr="00261B7A">
        <w:t>-e) and 0.1 kt N</w:t>
      </w:r>
      <w:r w:rsidRPr="00261B7A">
        <w:rPr>
          <w:vertAlign w:val="subscript"/>
        </w:rPr>
        <w:t>2</w:t>
      </w:r>
      <w:r w:rsidRPr="00261B7A">
        <w:t>O (22.2 kt CO</w:t>
      </w:r>
      <w:r w:rsidRPr="00261B7A">
        <w:rPr>
          <w:vertAlign w:val="subscript"/>
        </w:rPr>
        <w:t>2</w:t>
      </w:r>
      <w:r w:rsidRPr="00261B7A">
        <w:t>-e) (see table 6.10.3).</w:t>
      </w:r>
    </w:p>
    <w:p w14:paraId="0C22FE8F" w14:textId="77777777" w:rsidR="0010265C" w:rsidRPr="00261B7A" w:rsidRDefault="0010265C" w:rsidP="0010265C">
      <w:pPr>
        <w:pStyle w:val="Table"/>
      </w:pPr>
      <w:bookmarkStart w:id="2378" w:name="_Toc310423431"/>
      <w:bookmarkStart w:id="2379" w:name="_Toc318362724"/>
      <w:bookmarkStart w:id="2380" w:name="_Toc342470799"/>
      <w:bookmarkStart w:id="2381" w:name="_Toc352505039"/>
      <w:bookmarkStart w:id="2382" w:name="_Toc378853328"/>
      <w:bookmarkStart w:id="2383" w:name="_Toc391024126"/>
      <w:bookmarkStart w:id="2384" w:name="_Toc410028870"/>
      <w:bookmarkStart w:id="2385" w:name="_Toc414531498"/>
      <w:bookmarkStart w:id="2386" w:name="_Toc443645412"/>
      <w:bookmarkStart w:id="2387" w:name="_Toc474914631"/>
      <w:bookmarkStart w:id="2388" w:name="_Toc481751595"/>
      <w:bookmarkStart w:id="2389" w:name="_Toc522010652"/>
      <w:bookmarkStart w:id="2390" w:name="_Toc5269557"/>
      <w:bookmarkStart w:id="2391" w:name="_Toc33529431"/>
      <w:bookmarkStart w:id="2392" w:name="_Toc36224637"/>
      <w:bookmarkStart w:id="2393" w:name="_Toc131591430"/>
      <w:r w:rsidRPr="00261B7A">
        <w:t>Table 6.10.3</w:t>
      </w:r>
      <w:r w:rsidRPr="00261B7A">
        <w:tab/>
        <w:t>Non-CO</w:t>
      </w:r>
      <w:r w:rsidRPr="00261B7A">
        <w:rPr>
          <w:vertAlign w:val="subscript"/>
        </w:rPr>
        <w:t>2</w:t>
      </w:r>
      <w:r w:rsidRPr="00261B7A">
        <w:t xml:space="preserve"> emissions from </w:t>
      </w:r>
      <w:r w:rsidRPr="00261B7A">
        <w:rPr>
          <w:i/>
        </w:rPr>
        <w:t>Biomass burning</w:t>
      </w:r>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4092"/>
        <w:gridCol w:w="1055"/>
        <w:gridCol w:w="1056"/>
        <w:gridCol w:w="2302"/>
      </w:tblGrid>
      <w:tr w:rsidR="0010265C" w:rsidRPr="00261B7A" w14:paraId="29E25522" w14:textId="77777777" w:rsidTr="007F362D">
        <w:tc>
          <w:tcPr>
            <w:tcW w:w="4092" w:type="dxa"/>
            <w:shd w:val="clear" w:color="auto" w:fill="1B556B" w:themeFill="text2"/>
          </w:tcPr>
          <w:p w14:paraId="358C7177" w14:textId="77777777" w:rsidR="0010265C" w:rsidRPr="00261B7A" w:rsidRDefault="0010265C" w:rsidP="00D41492">
            <w:pPr>
              <w:pStyle w:val="TableTextBold"/>
              <w:spacing w:before="40" w:after="40"/>
              <w:rPr>
                <w:noProof w:val="0"/>
                <w:color w:val="FFFFFF"/>
              </w:rPr>
            </w:pPr>
            <w:r w:rsidRPr="00261B7A">
              <w:rPr>
                <w:noProof w:val="0"/>
                <w:color w:val="FFFFFF"/>
              </w:rPr>
              <w:t>Emissions</w:t>
            </w:r>
          </w:p>
        </w:tc>
        <w:tc>
          <w:tcPr>
            <w:tcW w:w="1055" w:type="dxa"/>
            <w:shd w:val="clear" w:color="auto" w:fill="1B556B" w:themeFill="text2"/>
          </w:tcPr>
          <w:p w14:paraId="67E9C0F0" w14:textId="77777777" w:rsidR="0010265C" w:rsidRPr="00261B7A" w:rsidRDefault="0010265C" w:rsidP="00E3117D">
            <w:pPr>
              <w:pStyle w:val="TableTextBold"/>
              <w:spacing w:before="40" w:after="40"/>
              <w:jc w:val="right"/>
              <w:rPr>
                <w:noProof w:val="0"/>
                <w:color w:val="FFFFFF"/>
              </w:rPr>
            </w:pPr>
            <w:r w:rsidRPr="00261B7A">
              <w:rPr>
                <w:noProof w:val="0"/>
                <w:color w:val="FFFFFF"/>
              </w:rPr>
              <w:t>1990</w:t>
            </w:r>
          </w:p>
        </w:tc>
        <w:tc>
          <w:tcPr>
            <w:tcW w:w="1056" w:type="dxa"/>
            <w:shd w:val="clear" w:color="auto" w:fill="1B556B" w:themeFill="text2"/>
          </w:tcPr>
          <w:p w14:paraId="0D9BA7CF" w14:textId="77777777" w:rsidR="0010265C" w:rsidRPr="00261B7A" w:rsidRDefault="0010265C" w:rsidP="00E3117D">
            <w:pPr>
              <w:pStyle w:val="TableTextBold"/>
              <w:spacing w:before="40" w:after="40"/>
              <w:jc w:val="right"/>
              <w:rPr>
                <w:noProof w:val="0"/>
                <w:color w:val="FFFFFF"/>
              </w:rPr>
            </w:pPr>
            <w:r w:rsidRPr="00261B7A">
              <w:rPr>
                <w:noProof w:val="0"/>
                <w:color w:val="FFFFFF"/>
              </w:rPr>
              <w:t>2021</w:t>
            </w:r>
          </w:p>
        </w:tc>
        <w:tc>
          <w:tcPr>
            <w:tcW w:w="2302" w:type="dxa"/>
            <w:shd w:val="clear" w:color="auto" w:fill="1B556B" w:themeFill="text2"/>
          </w:tcPr>
          <w:p w14:paraId="278163E7" w14:textId="77777777" w:rsidR="0010265C" w:rsidRPr="00261B7A" w:rsidRDefault="0010265C" w:rsidP="00E3117D">
            <w:pPr>
              <w:pStyle w:val="TableTextBold"/>
              <w:spacing w:before="40" w:after="40"/>
              <w:jc w:val="right"/>
              <w:rPr>
                <w:noProof w:val="0"/>
                <w:color w:val="FFFFFF"/>
              </w:rPr>
            </w:pPr>
            <w:r w:rsidRPr="00261B7A">
              <w:rPr>
                <w:noProof w:val="0"/>
                <w:color w:val="FFFFFF"/>
              </w:rPr>
              <w:t>Change since 1990 (%)</w:t>
            </w:r>
          </w:p>
        </w:tc>
      </w:tr>
      <w:tr w:rsidR="0010265C" w:rsidRPr="00261B7A" w14:paraId="2CDADE5E" w14:textId="77777777" w:rsidTr="007F362D">
        <w:tc>
          <w:tcPr>
            <w:tcW w:w="4092" w:type="dxa"/>
          </w:tcPr>
          <w:p w14:paraId="6AE8C660" w14:textId="77777777" w:rsidR="0010265C" w:rsidRPr="00261B7A" w:rsidRDefault="0010265C" w:rsidP="00D41492">
            <w:pPr>
              <w:pStyle w:val="TableText"/>
            </w:pPr>
            <w:r w:rsidRPr="00261B7A">
              <w:t>CH</w:t>
            </w:r>
            <w:r w:rsidRPr="00261B7A">
              <w:rPr>
                <w:vertAlign w:val="subscript"/>
              </w:rPr>
              <w:t>4</w:t>
            </w:r>
            <w:r w:rsidRPr="00261B7A">
              <w:t xml:space="preserve"> emissions (kt CH</w:t>
            </w:r>
            <w:r w:rsidRPr="00261B7A">
              <w:rPr>
                <w:vertAlign w:val="subscript"/>
              </w:rPr>
              <w:t>4</w:t>
            </w:r>
            <w:r w:rsidRPr="00261B7A">
              <w:t>)</w:t>
            </w:r>
          </w:p>
        </w:tc>
        <w:tc>
          <w:tcPr>
            <w:tcW w:w="1055" w:type="dxa"/>
          </w:tcPr>
          <w:p w14:paraId="7F0F4695" w14:textId="77777777" w:rsidR="0010265C" w:rsidRPr="00261B7A" w:rsidRDefault="0010265C" w:rsidP="00E3117D">
            <w:pPr>
              <w:pStyle w:val="TableText"/>
              <w:tabs>
                <w:tab w:val="decimal" w:pos="204"/>
              </w:tabs>
              <w:jc w:val="right"/>
            </w:pPr>
            <w:r w:rsidRPr="00261B7A">
              <w:t>2.7</w:t>
            </w:r>
          </w:p>
        </w:tc>
        <w:tc>
          <w:tcPr>
            <w:tcW w:w="1056" w:type="dxa"/>
          </w:tcPr>
          <w:p w14:paraId="0813D01F" w14:textId="77777777" w:rsidR="0010265C" w:rsidRPr="00261B7A" w:rsidRDefault="0010265C" w:rsidP="00E3117D">
            <w:pPr>
              <w:pStyle w:val="TableText"/>
              <w:tabs>
                <w:tab w:val="decimal" w:pos="204"/>
              </w:tabs>
              <w:jc w:val="right"/>
            </w:pPr>
            <w:r w:rsidRPr="00261B7A">
              <w:t>1.3</w:t>
            </w:r>
          </w:p>
        </w:tc>
        <w:tc>
          <w:tcPr>
            <w:tcW w:w="2302" w:type="dxa"/>
          </w:tcPr>
          <w:p w14:paraId="7B23F0D4" w14:textId="77777777" w:rsidR="0010265C" w:rsidRPr="00261B7A" w:rsidRDefault="0010265C" w:rsidP="00E3117D">
            <w:pPr>
              <w:pStyle w:val="TableText"/>
              <w:tabs>
                <w:tab w:val="decimal" w:pos="204"/>
              </w:tabs>
              <w:jc w:val="right"/>
            </w:pPr>
            <w:r w:rsidRPr="00261B7A">
              <w:rPr>
                <w:rFonts w:cs="Calibri"/>
                <w:color w:val="000000"/>
                <w:szCs w:val="16"/>
              </w:rPr>
              <w:t>–</w:t>
            </w:r>
            <w:r w:rsidRPr="00261B7A">
              <w:t>52.3</w:t>
            </w:r>
          </w:p>
        </w:tc>
      </w:tr>
      <w:tr w:rsidR="0010265C" w:rsidRPr="00261B7A" w14:paraId="5FA2121F" w14:textId="77777777" w:rsidTr="007F362D">
        <w:tc>
          <w:tcPr>
            <w:tcW w:w="4092" w:type="dxa"/>
          </w:tcPr>
          <w:p w14:paraId="63917E9C" w14:textId="77777777" w:rsidR="0010265C" w:rsidRPr="00261B7A" w:rsidRDefault="0010265C" w:rsidP="00D41492">
            <w:pPr>
              <w:pStyle w:val="TableText"/>
            </w:pPr>
            <w:r w:rsidRPr="00261B7A">
              <w:t>N</w:t>
            </w:r>
            <w:r w:rsidRPr="00261B7A">
              <w:rPr>
                <w:vertAlign w:val="subscript"/>
              </w:rPr>
              <w:t>2</w:t>
            </w:r>
            <w:r w:rsidRPr="00261B7A">
              <w:t>O emissions (kt N</w:t>
            </w:r>
            <w:r w:rsidRPr="00261B7A">
              <w:rPr>
                <w:vertAlign w:val="subscript"/>
              </w:rPr>
              <w:t>2</w:t>
            </w:r>
            <w:r w:rsidRPr="00261B7A">
              <w:t>O)</w:t>
            </w:r>
          </w:p>
        </w:tc>
        <w:tc>
          <w:tcPr>
            <w:tcW w:w="1055" w:type="dxa"/>
          </w:tcPr>
          <w:p w14:paraId="5FB304EE" w14:textId="77777777" w:rsidR="0010265C" w:rsidRPr="00261B7A" w:rsidRDefault="0010265C" w:rsidP="00E3117D">
            <w:pPr>
              <w:pStyle w:val="TableText"/>
              <w:tabs>
                <w:tab w:val="decimal" w:pos="204"/>
              </w:tabs>
              <w:jc w:val="right"/>
            </w:pPr>
            <w:r w:rsidRPr="00261B7A">
              <w:t>0.1</w:t>
            </w:r>
          </w:p>
        </w:tc>
        <w:tc>
          <w:tcPr>
            <w:tcW w:w="1056" w:type="dxa"/>
          </w:tcPr>
          <w:p w14:paraId="71D10BA1" w14:textId="77777777" w:rsidR="0010265C" w:rsidRPr="00261B7A" w:rsidRDefault="0010265C" w:rsidP="00E3117D">
            <w:pPr>
              <w:pStyle w:val="TableText"/>
              <w:tabs>
                <w:tab w:val="decimal" w:pos="204"/>
              </w:tabs>
              <w:jc w:val="right"/>
            </w:pPr>
            <w:r w:rsidRPr="00261B7A">
              <w:t>0.1</w:t>
            </w:r>
          </w:p>
        </w:tc>
        <w:tc>
          <w:tcPr>
            <w:tcW w:w="2302" w:type="dxa"/>
          </w:tcPr>
          <w:p w14:paraId="7BB81246" w14:textId="77777777" w:rsidR="0010265C" w:rsidRPr="00261B7A" w:rsidRDefault="0010265C" w:rsidP="00E3117D">
            <w:pPr>
              <w:pStyle w:val="TableText"/>
              <w:tabs>
                <w:tab w:val="decimal" w:pos="204"/>
              </w:tabs>
              <w:jc w:val="right"/>
            </w:pPr>
            <w:r w:rsidRPr="00261B7A">
              <w:rPr>
                <w:rFonts w:cs="Calibri"/>
                <w:color w:val="000000"/>
                <w:szCs w:val="16"/>
              </w:rPr>
              <w:t>–</w:t>
            </w:r>
            <w:r w:rsidRPr="00261B7A">
              <w:t>13.3</w:t>
            </w:r>
          </w:p>
        </w:tc>
      </w:tr>
    </w:tbl>
    <w:p w14:paraId="679E117E" w14:textId="77777777" w:rsidR="0010265C" w:rsidRPr="00261B7A" w:rsidRDefault="0010265C" w:rsidP="0010265C">
      <w:pPr>
        <w:pStyle w:val="BodyText"/>
        <w:spacing w:before="240"/>
      </w:pPr>
      <w:r w:rsidRPr="00261B7A">
        <w:rPr>
          <w:i/>
          <w:spacing w:val="-2"/>
        </w:rPr>
        <w:t>Biomass burning</w:t>
      </w:r>
      <w:r w:rsidRPr="00261B7A">
        <w:rPr>
          <w:spacing w:val="-2"/>
        </w:rPr>
        <w:t xml:space="preserve"> can occur as a result of wildfires or controlled burning, and results in emissions</w:t>
      </w:r>
      <w:r w:rsidRPr="00261B7A">
        <w:t xml:space="preserve"> of CO</w:t>
      </w:r>
      <w:r w:rsidRPr="00261B7A">
        <w:rPr>
          <w:vertAlign w:val="subscript"/>
        </w:rPr>
        <w:t>2</w:t>
      </w:r>
      <w:r w:rsidRPr="00261B7A">
        <w:t>, CH</w:t>
      </w:r>
      <w:r w:rsidRPr="00261B7A">
        <w:rPr>
          <w:vertAlign w:val="subscript"/>
        </w:rPr>
        <w:t>4</w:t>
      </w:r>
      <w:r w:rsidRPr="00261B7A">
        <w:t>, N</w:t>
      </w:r>
      <w:r w:rsidRPr="00261B7A">
        <w:rPr>
          <w:vertAlign w:val="subscript"/>
        </w:rPr>
        <w:t>2</w:t>
      </w:r>
      <w:r w:rsidRPr="00261B7A">
        <w:t>O, CO and NO</w:t>
      </w:r>
      <w:r w:rsidRPr="00261B7A">
        <w:rPr>
          <w:vertAlign w:val="subscript"/>
        </w:rPr>
        <w:t>x</w:t>
      </w:r>
      <w:r w:rsidRPr="00261B7A">
        <w:t xml:space="preserve">. </w:t>
      </w:r>
      <w:r w:rsidRPr="00261B7A">
        <w:rPr>
          <w:i/>
        </w:rPr>
        <w:t>Biomass burning</w:t>
      </w:r>
      <w:r w:rsidRPr="00261B7A" w:rsidDel="008B158D">
        <w:t xml:space="preserve"> </w:t>
      </w:r>
      <w:r w:rsidRPr="00261B7A">
        <w:t>is not a significant source of emissions for New Zealand because the practice of controlled burning is limited, and wildfires are not common due to New Zealand’s temperate climate and vegetation.</w:t>
      </w:r>
    </w:p>
    <w:p w14:paraId="3611EDA2" w14:textId="77777777" w:rsidR="0010265C" w:rsidRPr="00261B7A" w:rsidRDefault="0010265C" w:rsidP="0010265C">
      <w:pPr>
        <w:pStyle w:val="BodyText"/>
      </w:pPr>
      <w:r w:rsidRPr="00261B7A">
        <w:t xml:space="preserve">The two types of biomass burning (wildfire and controlled burning) that occur in New Zealand are reported in two main land use categories: </w:t>
      </w:r>
      <w:r w:rsidRPr="00261B7A">
        <w:rPr>
          <w:i/>
        </w:rPr>
        <w:t>Forest land</w:t>
      </w:r>
      <w:r w:rsidRPr="00261B7A">
        <w:t xml:space="preserve"> and </w:t>
      </w:r>
      <w:r w:rsidRPr="00261B7A">
        <w:rPr>
          <w:i/>
        </w:rPr>
        <w:t>Grassland</w:t>
      </w:r>
      <w:r w:rsidRPr="00261B7A">
        <w:t xml:space="preserve">. Emissions reported in </w:t>
      </w:r>
      <w:r w:rsidRPr="00261B7A">
        <w:rPr>
          <w:i/>
          <w:iCs/>
        </w:rPr>
        <w:t>Forest land</w:t>
      </w:r>
      <w:r w:rsidRPr="00261B7A">
        <w:t xml:space="preserve"> are further separated by forest type, and emissions from </w:t>
      </w:r>
      <w:r w:rsidRPr="00261B7A">
        <w:rPr>
          <w:i/>
          <w:iCs/>
        </w:rPr>
        <w:t xml:space="preserve">Grassland </w:t>
      </w:r>
      <w:r w:rsidRPr="00261B7A">
        <w:t xml:space="preserve">are reported from the controlled burning of tussock land (in ecosystems dominated by </w:t>
      </w:r>
      <w:r w:rsidRPr="00261B7A">
        <w:rPr>
          <w:i/>
        </w:rPr>
        <w:t xml:space="preserve">Chionochloa </w:t>
      </w:r>
      <w:r w:rsidRPr="00261B7A">
        <w:t>spp.) and from wildfires in exotic pasture grassland.</w:t>
      </w:r>
    </w:p>
    <w:p w14:paraId="68D6380A" w14:textId="77777777" w:rsidR="0010265C" w:rsidRPr="00261B7A" w:rsidRDefault="0010265C" w:rsidP="0010265C">
      <w:pPr>
        <w:pStyle w:val="Heading4"/>
      </w:pPr>
      <w:bookmarkStart w:id="2394" w:name="_Toc280630366"/>
      <w:r w:rsidRPr="00261B7A">
        <w:t>Methodological issues</w:t>
      </w:r>
      <w:bookmarkEnd w:id="2394"/>
    </w:p>
    <w:p w14:paraId="7D30CFD0" w14:textId="77777777" w:rsidR="0010265C" w:rsidRPr="00261B7A" w:rsidRDefault="0010265C" w:rsidP="0010265C">
      <w:pPr>
        <w:pStyle w:val="BodyText"/>
      </w:pPr>
      <w:r w:rsidRPr="00261B7A">
        <w:t xml:space="preserve">New Zealand employs Tier 2 methodologies to estimate emissions from </w:t>
      </w:r>
      <w:r w:rsidRPr="00261B7A">
        <w:rPr>
          <w:i/>
        </w:rPr>
        <w:t>Biomass burning</w:t>
      </w:r>
      <w:r w:rsidRPr="00261B7A">
        <w:t>. A combination of country-specific carbon fractions (Beets, unpublished), emission factors (Thomas et al., 2011) and combustion factors (Wakelin, unpublished(a),</w:t>
      </w:r>
      <w:r w:rsidRPr="00261B7A">
        <w:rPr>
          <w:szCs w:val="20"/>
        </w:rPr>
        <w:t xml:space="preserve"> (e)</w:t>
      </w:r>
      <w:r w:rsidRPr="00261B7A">
        <w:t>; Payton and Pearce, 2009) is employed along with the 2006 IPCC Guidelines default carbon fractions, emission factors, combustion factors and equations to derive emissions (sections 2.4, 4.2.4 and 6.2.4, IPCC, 2006a). These variables are summarised in tables 6.10.4 and 6.10.5 and further information on their application is provided in annex A3.2.7.</w:t>
      </w:r>
    </w:p>
    <w:p w14:paraId="54A16C40" w14:textId="77777777" w:rsidR="0010265C" w:rsidRPr="00261B7A" w:rsidRDefault="0010265C" w:rsidP="0010265C">
      <w:pPr>
        <w:pStyle w:val="BodyText"/>
      </w:pPr>
    </w:p>
    <w:p w14:paraId="4FC2BFAC" w14:textId="77777777" w:rsidR="0010265C" w:rsidRPr="00261B7A" w:rsidRDefault="0010265C" w:rsidP="0010265C">
      <w:pPr>
        <w:sectPr w:rsidR="0010265C" w:rsidRPr="00261B7A" w:rsidSect="00307A05">
          <w:footerReference w:type="default" r:id="rId217"/>
          <w:pgSz w:w="11906" w:h="16838" w:code="9"/>
          <w:pgMar w:top="1418" w:right="1701" w:bottom="1418" w:left="1701" w:header="567" w:footer="567" w:gutter="0"/>
          <w:cols w:space="708"/>
          <w:docGrid w:linePitch="360"/>
        </w:sectPr>
      </w:pPr>
    </w:p>
    <w:p w14:paraId="7D3FFCF3" w14:textId="77777777" w:rsidR="0010265C" w:rsidRPr="00261B7A" w:rsidRDefault="0010265C" w:rsidP="0010265C">
      <w:pPr>
        <w:pStyle w:val="Table"/>
        <w:spacing w:before="0"/>
      </w:pPr>
      <w:bookmarkStart w:id="2395" w:name="_Toc131591431"/>
      <w:r w:rsidRPr="00261B7A">
        <w:t>Table 6.10.4</w:t>
      </w:r>
      <w:r w:rsidRPr="00261B7A">
        <w:tab/>
        <w:t xml:space="preserve">Summary of </w:t>
      </w:r>
      <w:r w:rsidRPr="00261B7A">
        <w:rPr>
          <w:i/>
        </w:rPr>
        <w:t>Biomass burning</w:t>
      </w:r>
      <w:r w:rsidRPr="00261B7A">
        <w:t xml:space="preserve"> carbon fractions and emission factors</w:t>
      </w:r>
      <w:bookmarkEnd w:id="2395"/>
    </w:p>
    <w:tbl>
      <w:tblPr>
        <w:tblW w:w="13948" w:type="dxa"/>
        <w:tblLook w:val="04A0" w:firstRow="1" w:lastRow="0" w:firstColumn="1" w:lastColumn="0" w:noHBand="0" w:noVBand="1"/>
      </w:tblPr>
      <w:tblGrid>
        <w:gridCol w:w="2376"/>
        <w:gridCol w:w="1560"/>
        <w:gridCol w:w="1275"/>
        <w:gridCol w:w="1560"/>
        <w:gridCol w:w="1417"/>
        <w:gridCol w:w="1418"/>
        <w:gridCol w:w="1417"/>
        <w:gridCol w:w="1559"/>
        <w:gridCol w:w="1366"/>
      </w:tblGrid>
      <w:tr w:rsidR="0010265C" w:rsidRPr="00261B7A" w14:paraId="541B62DB" w14:textId="77777777" w:rsidTr="007017A7">
        <w:trPr>
          <w:trHeight w:val="325"/>
        </w:trPr>
        <w:tc>
          <w:tcPr>
            <w:tcW w:w="2376" w:type="dxa"/>
            <w:tcBorders>
              <w:left w:val="nil"/>
            </w:tcBorders>
            <w:shd w:val="clear" w:color="auto" w:fill="auto"/>
            <w:noWrap/>
            <w:vAlign w:val="bottom"/>
            <w:hideMark/>
          </w:tcPr>
          <w:p w14:paraId="1AD803D2" w14:textId="77777777" w:rsidR="0010265C" w:rsidRPr="00261B7A" w:rsidRDefault="0010265C" w:rsidP="00D41492">
            <w:pPr>
              <w:pStyle w:val="TableTextBold"/>
              <w:rPr>
                <w:noProof w:val="0"/>
              </w:rPr>
            </w:pPr>
          </w:p>
        </w:tc>
        <w:tc>
          <w:tcPr>
            <w:tcW w:w="11572" w:type="dxa"/>
            <w:gridSpan w:val="8"/>
            <w:tcBorders>
              <w:top w:val="single" w:sz="4" w:space="0" w:color="1B556B" w:themeColor="text2"/>
              <w:bottom w:val="single" w:sz="4" w:space="0" w:color="1B556B" w:themeColor="text2"/>
            </w:tcBorders>
            <w:shd w:val="clear" w:color="auto" w:fill="1B556B" w:themeFill="text2"/>
            <w:noWrap/>
            <w:vAlign w:val="bottom"/>
            <w:hideMark/>
          </w:tcPr>
          <w:p w14:paraId="6C174768" w14:textId="77777777" w:rsidR="0010265C" w:rsidRPr="00261B7A" w:rsidRDefault="0010265C" w:rsidP="00D41492">
            <w:pPr>
              <w:pStyle w:val="TableTextBold"/>
              <w:jc w:val="center"/>
              <w:rPr>
                <w:rFonts w:eastAsia="Courier New"/>
                <w:noProof w:val="0"/>
                <w:color w:val="FFFFFF"/>
              </w:rPr>
            </w:pPr>
            <w:r w:rsidRPr="00261B7A">
              <w:rPr>
                <w:rFonts w:eastAsia="Courier New"/>
                <w:noProof w:val="0"/>
                <w:color w:val="FFFFFF"/>
              </w:rPr>
              <w:t>Biomass burning implied emission factors derived from 2006 IPCC Guidelines (IPCC, 2006a) and New Zealand-specific carbon fractions</w:t>
            </w:r>
          </w:p>
        </w:tc>
      </w:tr>
      <w:tr w:rsidR="0010265C" w:rsidRPr="00261B7A" w14:paraId="4F3256F6" w14:textId="77777777" w:rsidTr="007017A7">
        <w:trPr>
          <w:trHeight w:val="325"/>
        </w:trPr>
        <w:tc>
          <w:tcPr>
            <w:tcW w:w="2376" w:type="dxa"/>
            <w:tcBorders>
              <w:left w:val="nil"/>
            </w:tcBorders>
            <w:shd w:val="clear" w:color="auto" w:fill="auto"/>
            <w:noWrap/>
            <w:vAlign w:val="bottom"/>
            <w:hideMark/>
          </w:tcPr>
          <w:p w14:paraId="39AC51FC" w14:textId="77777777" w:rsidR="0010265C" w:rsidRPr="00261B7A" w:rsidRDefault="0010265C" w:rsidP="00D41492">
            <w:pPr>
              <w:jc w:val="center"/>
              <w:rPr>
                <w:rFonts w:ascii="Yu Gothic" w:eastAsia="Symbol" w:hAnsi="Yu Gothic" w:cs="Yu Gothic"/>
                <w:color w:val="000000"/>
                <w:sz w:val="16"/>
                <w:szCs w:val="16"/>
              </w:rPr>
            </w:pPr>
          </w:p>
        </w:tc>
        <w:tc>
          <w:tcPr>
            <w:tcW w:w="2835" w:type="dxa"/>
            <w:gridSpan w:val="2"/>
            <w:tcBorders>
              <w:top w:val="single" w:sz="4" w:space="0" w:color="1B556B" w:themeColor="text2"/>
              <w:bottom w:val="single" w:sz="4" w:space="0" w:color="1B556B"/>
            </w:tcBorders>
            <w:shd w:val="clear" w:color="auto" w:fill="auto"/>
            <w:noWrap/>
            <w:vAlign w:val="bottom"/>
            <w:hideMark/>
          </w:tcPr>
          <w:p w14:paraId="22D21600" w14:textId="77777777" w:rsidR="0010265C" w:rsidRPr="00261B7A" w:rsidRDefault="0010265C" w:rsidP="00D41492">
            <w:pPr>
              <w:pStyle w:val="TableTextBold"/>
              <w:jc w:val="center"/>
              <w:rPr>
                <w:noProof w:val="0"/>
              </w:rPr>
            </w:pPr>
            <w:r w:rsidRPr="00261B7A">
              <w:rPr>
                <w:noProof w:val="0"/>
              </w:rPr>
              <w:t>Grassland/savannah</w:t>
            </w:r>
          </w:p>
        </w:tc>
        <w:tc>
          <w:tcPr>
            <w:tcW w:w="2977" w:type="dxa"/>
            <w:gridSpan w:val="2"/>
            <w:tcBorders>
              <w:top w:val="single" w:sz="4" w:space="0" w:color="1B556B" w:themeColor="text2"/>
              <w:bottom w:val="single" w:sz="4" w:space="0" w:color="1B556B"/>
            </w:tcBorders>
            <w:shd w:val="clear" w:color="auto" w:fill="auto"/>
            <w:noWrap/>
            <w:vAlign w:val="bottom"/>
            <w:hideMark/>
          </w:tcPr>
          <w:p w14:paraId="70A2D597" w14:textId="77777777" w:rsidR="0010265C" w:rsidRPr="00261B7A" w:rsidRDefault="0010265C" w:rsidP="00D41492">
            <w:pPr>
              <w:pStyle w:val="TableTextBold"/>
              <w:jc w:val="center"/>
              <w:rPr>
                <w:noProof w:val="0"/>
              </w:rPr>
            </w:pPr>
            <w:r w:rsidRPr="00261B7A">
              <w:rPr>
                <w:noProof w:val="0"/>
              </w:rPr>
              <w:t>GWB/shrubland</w:t>
            </w:r>
          </w:p>
        </w:tc>
        <w:tc>
          <w:tcPr>
            <w:tcW w:w="5760" w:type="dxa"/>
            <w:gridSpan w:val="4"/>
            <w:tcBorders>
              <w:top w:val="single" w:sz="4" w:space="0" w:color="1B556B" w:themeColor="text2"/>
              <w:bottom w:val="single" w:sz="4" w:space="0" w:color="1B556B"/>
            </w:tcBorders>
            <w:shd w:val="clear" w:color="auto" w:fill="auto"/>
            <w:noWrap/>
            <w:vAlign w:val="bottom"/>
            <w:hideMark/>
          </w:tcPr>
          <w:p w14:paraId="31E8E8A9" w14:textId="77777777" w:rsidR="0010265C" w:rsidRPr="00261B7A" w:rsidRDefault="0010265C" w:rsidP="00D41492">
            <w:pPr>
              <w:pStyle w:val="TableTextBold"/>
              <w:jc w:val="center"/>
              <w:rPr>
                <w:noProof w:val="0"/>
              </w:rPr>
            </w:pPr>
            <w:r w:rsidRPr="00261B7A">
              <w:rPr>
                <w:noProof w:val="0"/>
              </w:rPr>
              <w:t>Forest land</w:t>
            </w:r>
          </w:p>
        </w:tc>
      </w:tr>
      <w:tr w:rsidR="0010265C" w:rsidRPr="00261B7A" w14:paraId="62F278D6" w14:textId="77777777" w:rsidTr="007017A7">
        <w:trPr>
          <w:trHeight w:val="325"/>
        </w:trPr>
        <w:tc>
          <w:tcPr>
            <w:tcW w:w="2376" w:type="dxa"/>
            <w:tcBorders>
              <w:left w:val="nil"/>
            </w:tcBorders>
            <w:shd w:val="clear" w:color="auto" w:fill="auto"/>
            <w:noWrap/>
            <w:vAlign w:val="bottom"/>
            <w:hideMark/>
          </w:tcPr>
          <w:p w14:paraId="593F04B7" w14:textId="77777777" w:rsidR="0010265C" w:rsidRPr="00261B7A" w:rsidRDefault="0010265C" w:rsidP="00D41492">
            <w:pPr>
              <w:jc w:val="center"/>
              <w:rPr>
                <w:rFonts w:ascii="Yu Gothic" w:eastAsia="Symbol" w:hAnsi="Yu Gothic" w:cs="Yu Gothic"/>
                <w:color w:val="000000"/>
                <w:sz w:val="16"/>
                <w:szCs w:val="16"/>
              </w:rPr>
            </w:pPr>
          </w:p>
        </w:tc>
        <w:tc>
          <w:tcPr>
            <w:tcW w:w="1560" w:type="dxa"/>
            <w:tcBorders>
              <w:top w:val="single" w:sz="4" w:space="0" w:color="1B556B"/>
            </w:tcBorders>
            <w:shd w:val="clear" w:color="auto" w:fill="auto"/>
            <w:noWrap/>
            <w:vAlign w:val="bottom"/>
            <w:hideMark/>
          </w:tcPr>
          <w:p w14:paraId="61A4C927" w14:textId="77777777" w:rsidR="0010265C" w:rsidRPr="00261B7A" w:rsidRDefault="0010265C" w:rsidP="00D41492">
            <w:pPr>
              <w:pStyle w:val="TableText"/>
              <w:jc w:val="center"/>
            </w:pPr>
            <w:r w:rsidRPr="00261B7A">
              <w:t>Controlled burning</w:t>
            </w:r>
          </w:p>
        </w:tc>
        <w:tc>
          <w:tcPr>
            <w:tcW w:w="1275" w:type="dxa"/>
            <w:tcBorders>
              <w:top w:val="single" w:sz="4" w:space="0" w:color="1B556B"/>
            </w:tcBorders>
            <w:shd w:val="clear" w:color="auto" w:fill="auto"/>
            <w:noWrap/>
            <w:vAlign w:val="bottom"/>
            <w:hideMark/>
          </w:tcPr>
          <w:p w14:paraId="09C5D3DC" w14:textId="77777777" w:rsidR="0010265C" w:rsidRPr="00261B7A" w:rsidRDefault="0010265C" w:rsidP="00D41492">
            <w:pPr>
              <w:pStyle w:val="TableText"/>
              <w:jc w:val="center"/>
            </w:pPr>
            <w:r w:rsidRPr="00261B7A">
              <w:t>Wildfire</w:t>
            </w:r>
          </w:p>
        </w:tc>
        <w:tc>
          <w:tcPr>
            <w:tcW w:w="1560" w:type="dxa"/>
            <w:tcBorders>
              <w:top w:val="single" w:sz="4" w:space="0" w:color="1B556B"/>
            </w:tcBorders>
            <w:shd w:val="clear" w:color="auto" w:fill="auto"/>
            <w:noWrap/>
            <w:vAlign w:val="bottom"/>
            <w:hideMark/>
          </w:tcPr>
          <w:p w14:paraId="055D479D" w14:textId="77777777" w:rsidR="0010265C" w:rsidRPr="00261B7A" w:rsidRDefault="0010265C" w:rsidP="00D41492">
            <w:pPr>
              <w:pStyle w:val="TableText"/>
              <w:jc w:val="center"/>
            </w:pPr>
            <w:r w:rsidRPr="00261B7A">
              <w:t>Controlled burning</w:t>
            </w:r>
          </w:p>
        </w:tc>
        <w:tc>
          <w:tcPr>
            <w:tcW w:w="1417" w:type="dxa"/>
            <w:tcBorders>
              <w:top w:val="single" w:sz="4" w:space="0" w:color="1B556B"/>
            </w:tcBorders>
            <w:shd w:val="clear" w:color="auto" w:fill="auto"/>
            <w:noWrap/>
            <w:vAlign w:val="bottom"/>
            <w:hideMark/>
          </w:tcPr>
          <w:p w14:paraId="6690F759" w14:textId="77777777" w:rsidR="0010265C" w:rsidRPr="00261B7A" w:rsidRDefault="0010265C" w:rsidP="00D41492">
            <w:pPr>
              <w:pStyle w:val="TableText"/>
              <w:jc w:val="center"/>
            </w:pPr>
            <w:r w:rsidRPr="00261B7A">
              <w:t>Wildfire</w:t>
            </w:r>
          </w:p>
        </w:tc>
        <w:tc>
          <w:tcPr>
            <w:tcW w:w="2835" w:type="dxa"/>
            <w:gridSpan w:val="2"/>
            <w:tcBorders>
              <w:top w:val="single" w:sz="4" w:space="0" w:color="1B556B"/>
              <w:bottom w:val="single" w:sz="4" w:space="0" w:color="1B556B"/>
            </w:tcBorders>
            <w:shd w:val="clear" w:color="auto" w:fill="auto"/>
            <w:noWrap/>
            <w:vAlign w:val="bottom"/>
            <w:hideMark/>
          </w:tcPr>
          <w:p w14:paraId="626DFCB4" w14:textId="77777777" w:rsidR="0010265C" w:rsidRPr="00261B7A" w:rsidRDefault="0010265C" w:rsidP="00D41492">
            <w:pPr>
              <w:pStyle w:val="TableText"/>
              <w:jc w:val="center"/>
            </w:pPr>
            <w:r w:rsidRPr="00261B7A">
              <w:t>Controlled burning</w:t>
            </w:r>
          </w:p>
        </w:tc>
        <w:tc>
          <w:tcPr>
            <w:tcW w:w="2925" w:type="dxa"/>
            <w:gridSpan w:val="2"/>
            <w:tcBorders>
              <w:top w:val="single" w:sz="4" w:space="0" w:color="1B556B"/>
              <w:bottom w:val="single" w:sz="4" w:space="0" w:color="1B556B"/>
            </w:tcBorders>
            <w:shd w:val="clear" w:color="auto" w:fill="auto"/>
            <w:noWrap/>
            <w:vAlign w:val="bottom"/>
            <w:hideMark/>
          </w:tcPr>
          <w:p w14:paraId="30846A65" w14:textId="77777777" w:rsidR="0010265C" w:rsidRPr="00261B7A" w:rsidRDefault="0010265C" w:rsidP="00D41492">
            <w:pPr>
              <w:pStyle w:val="TableText"/>
              <w:jc w:val="center"/>
            </w:pPr>
            <w:r w:rsidRPr="00261B7A">
              <w:t>Wildfire</w:t>
            </w:r>
          </w:p>
        </w:tc>
      </w:tr>
      <w:tr w:rsidR="0010265C" w:rsidRPr="00261B7A" w14:paraId="55B5DC4D" w14:textId="77777777" w:rsidTr="007017A7">
        <w:trPr>
          <w:trHeight w:val="325"/>
        </w:trPr>
        <w:tc>
          <w:tcPr>
            <w:tcW w:w="2376" w:type="dxa"/>
            <w:shd w:val="clear" w:color="auto" w:fill="D2DDE1" w:themeFill="background2"/>
            <w:noWrap/>
            <w:vAlign w:val="bottom"/>
            <w:hideMark/>
          </w:tcPr>
          <w:p w14:paraId="0B1282E9" w14:textId="77777777" w:rsidR="0010265C" w:rsidRPr="00261B7A" w:rsidRDefault="0010265C" w:rsidP="00D41492">
            <w:pPr>
              <w:jc w:val="center"/>
              <w:rPr>
                <w:rFonts w:ascii="Yu Gothic" w:eastAsia="Symbol" w:hAnsi="Yu Gothic" w:cs="Yu Gothic"/>
                <w:color w:val="000000"/>
                <w:sz w:val="16"/>
                <w:szCs w:val="16"/>
              </w:rPr>
            </w:pPr>
          </w:p>
        </w:tc>
        <w:tc>
          <w:tcPr>
            <w:tcW w:w="1560" w:type="dxa"/>
            <w:shd w:val="clear" w:color="auto" w:fill="D2DDE1" w:themeFill="background2"/>
            <w:noWrap/>
            <w:vAlign w:val="bottom"/>
            <w:hideMark/>
          </w:tcPr>
          <w:p w14:paraId="6034DDF7" w14:textId="77777777" w:rsidR="0010265C" w:rsidRPr="00261B7A" w:rsidRDefault="0010265C" w:rsidP="00D41492">
            <w:pPr>
              <w:pStyle w:val="TableText"/>
              <w:jc w:val="center"/>
            </w:pPr>
          </w:p>
        </w:tc>
        <w:tc>
          <w:tcPr>
            <w:tcW w:w="1275" w:type="dxa"/>
            <w:shd w:val="clear" w:color="auto" w:fill="D2DDE1" w:themeFill="background2"/>
            <w:noWrap/>
            <w:vAlign w:val="bottom"/>
            <w:hideMark/>
          </w:tcPr>
          <w:p w14:paraId="673424D8" w14:textId="77777777" w:rsidR="0010265C" w:rsidRPr="00261B7A" w:rsidRDefault="0010265C" w:rsidP="00D41492">
            <w:pPr>
              <w:pStyle w:val="TableText"/>
              <w:jc w:val="center"/>
            </w:pPr>
          </w:p>
        </w:tc>
        <w:tc>
          <w:tcPr>
            <w:tcW w:w="1560" w:type="dxa"/>
            <w:shd w:val="clear" w:color="auto" w:fill="D2DDE1" w:themeFill="background2"/>
            <w:noWrap/>
            <w:vAlign w:val="bottom"/>
            <w:hideMark/>
          </w:tcPr>
          <w:p w14:paraId="567663AF" w14:textId="77777777" w:rsidR="0010265C" w:rsidRPr="00261B7A" w:rsidRDefault="0010265C" w:rsidP="00D41492">
            <w:pPr>
              <w:pStyle w:val="TableText"/>
              <w:jc w:val="center"/>
            </w:pPr>
          </w:p>
        </w:tc>
        <w:tc>
          <w:tcPr>
            <w:tcW w:w="1417" w:type="dxa"/>
            <w:shd w:val="clear" w:color="auto" w:fill="D2DDE1" w:themeFill="background2"/>
            <w:noWrap/>
            <w:vAlign w:val="bottom"/>
            <w:hideMark/>
          </w:tcPr>
          <w:p w14:paraId="16DB1C06" w14:textId="77777777" w:rsidR="0010265C" w:rsidRPr="00261B7A" w:rsidRDefault="0010265C" w:rsidP="00D41492">
            <w:pPr>
              <w:pStyle w:val="TableText"/>
              <w:jc w:val="center"/>
            </w:pPr>
          </w:p>
        </w:tc>
        <w:tc>
          <w:tcPr>
            <w:tcW w:w="1418" w:type="dxa"/>
            <w:tcBorders>
              <w:top w:val="single" w:sz="4" w:space="0" w:color="1B556B"/>
              <w:bottom w:val="single" w:sz="4" w:space="0" w:color="1B556B"/>
            </w:tcBorders>
            <w:shd w:val="clear" w:color="auto" w:fill="auto"/>
            <w:noWrap/>
            <w:vAlign w:val="bottom"/>
            <w:hideMark/>
          </w:tcPr>
          <w:p w14:paraId="6ECED7C9" w14:textId="77777777" w:rsidR="0010265C" w:rsidRPr="00261B7A" w:rsidRDefault="0010265C" w:rsidP="00D41492">
            <w:pPr>
              <w:pStyle w:val="TableText"/>
              <w:jc w:val="center"/>
            </w:pPr>
            <w:r w:rsidRPr="00261B7A">
              <w:t>Planted forest</w:t>
            </w:r>
          </w:p>
        </w:tc>
        <w:tc>
          <w:tcPr>
            <w:tcW w:w="1417" w:type="dxa"/>
            <w:tcBorders>
              <w:top w:val="single" w:sz="4" w:space="0" w:color="1B556B"/>
              <w:bottom w:val="single" w:sz="4" w:space="0" w:color="1B556B"/>
            </w:tcBorders>
            <w:shd w:val="clear" w:color="auto" w:fill="auto"/>
            <w:noWrap/>
            <w:vAlign w:val="bottom"/>
            <w:hideMark/>
          </w:tcPr>
          <w:p w14:paraId="10393069" w14:textId="77777777" w:rsidR="0010265C" w:rsidRPr="00261B7A" w:rsidRDefault="0010265C" w:rsidP="00D41492">
            <w:pPr>
              <w:pStyle w:val="TableText"/>
              <w:jc w:val="center"/>
            </w:pPr>
            <w:r w:rsidRPr="00261B7A">
              <w:t>Natural forest</w:t>
            </w:r>
          </w:p>
        </w:tc>
        <w:tc>
          <w:tcPr>
            <w:tcW w:w="1559" w:type="dxa"/>
            <w:tcBorders>
              <w:top w:val="single" w:sz="4" w:space="0" w:color="1B556B"/>
              <w:bottom w:val="single" w:sz="4" w:space="0" w:color="1B556B"/>
            </w:tcBorders>
            <w:shd w:val="clear" w:color="auto" w:fill="auto"/>
            <w:noWrap/>
            <w:vAlign w:val="bottom"/>
            <w:hideMark/>
          </w:tcPr>
          <w:p w14:paraId="7D02DF51" w14:textId="77777777" w:rsidR="0010265C" w:rsidRPr="00261B7A" w:rsidRDefault="0010265C" w:rsidP="00D41492">
            <w:pPr>
              <w:pStyle w:val="TableText"/>
              <w:jc w:val="center"/>
            </w:pPr>
            <w:r w:rsidRPr="00261B7A">
              <w:t>Planted forest</w:t>
            </w:r>
          </w:p>
        </w:tc>
        <w:tc>
          <w:tcPr>
            <w:tcW w:w="1366" w:type="dxa"/>
            <w:tcBorders>
              <w:top w:val="single" w:sz="4" w:space="0" w:color="1B556B"/>
              <w:bottom w:val="single" w:sz="4" w:space="0" w:color="1B556B"/>
            </w:tcBorders>
            <w:shd w:val="clear" w:color="auto" w:fill="auto"/>
            <w:noWrap/>
            <w:vAlign w:val="bottom"/>
            <w:hideMark/>
          </w:tcPr>
          <w:p w14:paraId="723E28F3" w14:textId="77777777" w:rsidR="0010265C" w:rsidRPr="00261B7A" w:rsidRDefault="0010265C" w:rsidP="00D41492">
            <w:pPr>
              <w:pStyle w:val="TableText"/>
              <w:jc w:val="center"/>
            </w:pPr>
            <w:r w:rsidRPr="00261B7A">
              <w:t>Natural forest</w:t>
            </w:r>
          </w:p>
        </w:tc>
      </w:tr>
      <w:tr w:rsidR="0010265C" w:rsidRPr="00261B7A" w14:paraId="6FF362F1" w14:textId="77777777" w:rsidTr="007017A7">
        <w:trPr>
          <w:trHeight w:val="325"/>
        </w:trPr>
        <w:tc>
          <w:tcPr>
            <w:tcW w:w="2376" w:type="dxa"/>
            <w:tcBorders>
              <w:top w:val="nil"/>
              <w:bottom w:val="single" w:sz="4" w:space="0" w:color="1B556B"/>
            </w:tcBorders>
            <w:shd w:val="clear" w:color="auto" w:fill="auto"/>
            <w:noWrap/>
            <w:vAlign w:val="bottom"/>
            <w:hideMark/>
          </w:tcPr>
          <w:p w14:paraId="3CD150B6" w14:textId="77777777" w:rsidR="0010265C" w:rsidRPr="00261B7A" w:rsidRDefault="0010265C" w:rsidP="00D41492">
            <w:pPr>
              <w:pStyle w:val="TableText"/>
            </w:pPr>
            <w:r w:rsidRPr="00261B7A">
              <w:t>Carbon fraction</w:t>
            </w:r>
          </w:p>
        </w:tc>
        <w:tc>
          <w:tcPr>
            <w:tcW w:w="1560" w:type="dxa"/>
            <w:tcBorders>
              <w:top w:val="nil"/>
              <w:bottom w:val="single" w:sz="4" w:space="0" w:color="1B556B"/>
            </w:tcBorders>
            <w:shd w:val="clear" w:color="auto" w:fill="auto"/>
            <w:noWrap/>
            <w:hideMark/>
          </w:tcPr>
          <w:p w14:paraId="45122EAF" w14:textId="77777777" w:rsidR="0010265C" w:rsidRPr="00261B7A" w:rsidRDefault="0010265C" w:rsidP="00D41492">
            <w:pPr>
              <w:pStyle w:val="TableText"/>
              <w:jc w:val="center"/>
            </w:pPr>
            <w:r w:rsidRPr="00261B7A">
              <w:t>0.44</w:t>
            </w:r>
          </w:p>
        </w:tc>
        <w:tc>
          <w:tcPr>
            <w:tcW w:w="1275" w:type="dxa"/>
            <w:tcBorders>
              <w:top w:val="nil"/>
              <w:bottom w:val="single" w:sz="4" w:space="0" w:color="1B556B"/>
            </w:tcBorders>
            <w:shd w:val="clear" w:color="auto" w:fill="auto"/>
            <w:noWrap/>
            <w:hideMark/>
          </w:tcPr>
          <w:p w14:paraId="6595BDDF" w14:textId="77777777" w:rsidR="0010265C" w:rsidRPr="00261B7A" w:rsidRDefault="0010265C" w:rsidP="00D41492">
            <w:pPr>
              <w:pStyle w:val="TableText"/>
              <w:jc w:val="center"/>
            </w:pPr>
            <w:r w:rsidRPr="00261B7A">
              <w:t>0.44</w:t>
            </w:r>
          </w:p>
        </w:tc>
        <w:tc>
          <w:tcPr>
            <w:tcW w:w="1560" w:type="dxa"/>
            <w:tcBorders>
              <w:top w:val="nil"/>
              <w:bottom w:val="single" w:sz="4" w:space="0" w:color="1B556B"/>
            </w:tcBorders>
            <w:shd w:val="clear" w:color="auto" w:fill="auto"/>
            <w:noWrap/>
            <w:hideMark/>
          </w:tcPr>
          <w:p w14:paraId="3CA20D19" w14:textId="77777777" w:rsidR="0010265C" w:rsidRPr="00261B7A" w:rsidRDefault="0010265C" w:rsidP="00D41492">
            <w:pPr>
              <w:pStyle w:val="TableText"/>
              <w:jc w:val="center"/>
            </w:pPr>
            <w:r w:rsidRPr="00261B7A">
              <w:t>0.44</w:t>
            </w:r>
          </w:p>
        </w:tc>
        <w:tc>
          <w:tcPr>
            <w:tcW w:w="1417" w:type="dxa"/>
            <w:tcBorders>
              <w:top w:val="nil"/>
              <w:bottom w:val="single" w:sz="4" w:space="0" w:color="1B556B"/>
            </w:tcBorders>
            <w:shd w:val="clear" w:color="auto" w:fill="auto"/>
            <w:noWrap/>
            <w:hideMark/>
          </w:tcPr>
          <w:p w14:paraId="2FDD3FF1" w14:textId="77777777" w:rsidR="0010265C" w:rsidRPr="00261B7A" w:rsidRDefault="0010265C" w:rsidP="00D41492">
            <w:pPr>
              <w:pStyle w:val="TableText"/>
              <w:jc w:val="center"/>
            </w:pPr>
            <w:r w:rsidRPr="00261B7A">
              <w:t>0.44</w:t>
            </w:r>
          </w:p>
        </w:tc>
        <w:tc>
          <w:tcPr>
            <w:tcW w:w="1418" w:type="dxa"/>
            <w:tcBorders>
              <w:top w:val="single" w:sz="4" w:space="0" w:color="1B556B"/>
              <w:bottom w:val="single" w:sz="4" w:space="0" w:color="1B556B"/>
            </w:tcBorders>
            <w:shd w:val="clear" w:color="auto" w:fill="auto"/>
            <w:noWrap/>
            <w:vAlign w:val="bottom"/>
            <w:hideMark/>
          </w:tcPr>
          <w:p w14:paraId="55EABB72" w14:textId="77777777" w:rsidR="0010265C" w:rsidRPr="00261B7A" w:rsidRDefault="0010265C" w:rsidP="00D41492">
            <w:pPr>
              <w:pStyle w:val="TableText"/>
              <w:jc w:val="center"/>
            </w:pPr>
            <w:r w:rsidRPr="00261B7A">
              <w:t>0.51*</w:t>
            </w:r>
          </w:p>
        </w:tc>
        <w:tc>
          <w:tcPr>
            <w:tcW w:w="1417" w:type="dxa"/>
            <w:tcBorders>
              <w:top w:val="single" w:sz="4" w:space="0" w:color="1B556B"/>
              <w:bottom w:val="single" w:sz="4" w:space="0" w:color="1B556B"/>
            </w:tcBorders>
            <w:shd w:val="clear" w:color="auto" w:fill="auto"/>
            <w:noWrap/>
            <w:vAlign w:val="bottom"/>
            <w:hideMark/>
          </w:tcPr>
          <w:p w14:paraId="2925D56A" w14:textId="77777777" w:rsidR="0010265C" w:rsidRPr="00261B7A" w:rsidRDefault="0010265C" w:rsidP="00D41492">
            <w:pPr>
              <w:pStyle w:val="TableText"/>
              <w:jc w:val="center"/>
            </w:pPr>
            <w:r w:rsidRPr="00261B7A">
              <w:t>0.47</w:t>
            </w:r>
          </w:p>
        </w:tc>
        <w:tc>
          <w:tcPr>
            <w:tcW w:w="1559" w:type="dxa"/>
            <w:tcBorders>
              <w:top w:val="single" w:sz="4" w:space="0" w:color="1B556B"/>
              <w:bottom w:val="single" w:sz="4" w:space="0" w:color="1B556B"/>
            </w:tcBorders>
            <w:shd w:val="clear" w:color="auto" w:fill="auto"/>
            <w:noWrap/>
            <w:vAlign w:val="bottom"/>
            <w:hideMark/>
          </w:tcPr>
          <w:p w14:paraId="2B79048C" w14:textId="77777777" w:rsidR="0010265C" w:rsidRPr="00261B7A" w:rsidRDefault="0010265C" w:rsidP="00D41492">
            <w:pPr>
              <w:pStyle w:val="TableText"/>
              <w:jc w:val="center"/>
            </w:pPr>
            <w:r w:rsidRPr="00261B7A">
              <w:t>0.51*</w:t>
            </w:r>
          </w:p>
        </w:tc>
        <w:tc>
          <w:tcPr>
            <w:tcW w:w="1366" w:type="dxa"/>
            <w:tcBorders>
              <w:top w:val="single" w:sz="4" w:space="0" w:color="1B556B"/>
              <w:bottom w:val="single" w:sz="4" w:space="0" w:color="1B556B"/>
            </w:tcBorders>
            <w:shd w:val="clear" w:color="auto" w:fill="auto"/>
            <w:noWrap/>
            <w:vAlign w:val="bottom"/>
            <w:hideMark/>
          </w:tcPr>
          <w:p w14:paraId="5CB03BCF" w14:textId="77777777" w:rsidR="0010265C" w:rsidRPr="00261B7A" w:rsidRDefault="0010265C" w:rsidP="00D41492">
            <w:pPr>
              <w:pStyle w:val="TableText"/>
              <w:jc w:val="center"/>
            </w:pPr>
            <w:r w:rsidRPr="00261B7A">
              <w:t>0.47</w:t>
            </w:r>
          </w:p>
        </w:tc>
      </w:tr>
      <w:tr w:rsidR="0010265C" w:rsidRPr="00261B7A" w14:paraId="3E715E40" w14:textId="77777777" w:rsidTr="007017A7">
        <w:trPr>
          <w:trHeight w:val="325"/>
        </w:trPr>
        <w:tc>
          <w:tcPr>
            <w:tcW w:w="2376" w:type="dxa"/>
            <w:tcBorders>
              <w:top w:val="single" w:sz="4" w:space="0" w:color="1B556B"/>
              <w:bottom w:val="single" w:sz="4" w:space="0" w:color="1B556B"/>
            </w:tcBorders>
            <w:shd w:val="clear" w:color="auto" w:fill="auto"/>
            <w:noWrap/>
            <w:vAlign w:val="bottom"/>
            <w:hideMark/>
          </w:tcPr>
          <w:p w14:paraId="6727A338" w14:textId="77777777" w:rsidR="0010265C" w:rsidRPr="00261B7A" w:rsidRDefault="0010265C" w:rsidP="00D41492">
            <w:pPr>
              <w:pStyle w:val="TableText"/>
            </w:pPr>
            <w:r w:rsidRPr="00261B7A">
              <w:t>C:N ratio</w:t>
            </w:r>
          </w:p>
        </w:tc>
        <w:tc>
          <w:tcPr>
            <w:tcW w:w="1560" w:type="dxa"/>
            <w:tcBorders>
              <w:top w:val="single" w:sz="4" w:space="0" w:color="1B556B"/>
              <w:bottom w:val="single" w:sz="4" w:space="0" w:color="1B556B"/>
            </w:tcBorders>
            <w:shd w:val="clear" w:color="auto" w:fill="auto"/>
            <w:noWrap/>
            <w:hideMark/>
          </w:tcPr>
          <w:p w14:paraId="76AD9C4B" w14:textId="77777777" w:rsidR="0010265C" w:rsidRPr="00261B7A" w:rsidRDefault="0010265C" w:rsidP="00D41492">
            <w:pPr>
              <w:pStyle w:val="TableText"/>
              <w:jc w:val="center"/>
            </w:pPr>
            <w:r w:rsidRPr="00261B7A">
              <w:t>0.01</w:t>
            </w:r>
          </w:p>
        </w:tc>
        <w:tc>
          <w:tcPr>
            <w:tcW w:w="1275" w:type="dxa"/>
            <w:tcBorders>
              <w:top w:val="single" w:sz="4" w:space="0" w:color="1B556B"/>
              <w:bottom w:val="single" w:sz="4" w:space="0" w:color="1B556B"/>
            </w:tcBorders>
            <w:shd w:val="clear" w:color="auto" w:fill="auto"/>
            <w:noWrap/>
            <w:hideMark/>
          </w:tcPr>
          <w:p w14:paraId="7D51DA3C" w14:textId="77777777" w:rsidR="0010265C" w:rsidRPr="00261B7A" w:rsidRDefault="0010265C" w:rsidP="00D41492">
            <w:pPr>
              <w:pStyle w:val="TableText"/>
              <w:jc w:val="center"/>
            </w:pPr>
            <w:r w:rsidRPr="00261B7A">
              <w:t>0.01</w:t>
            </w:r>
          </w:p>
        </w:tc>
        <w:tc>
          <w:tcPr>
            <w:tcW w:w="1560" w:type="dxa"/>
            <w:tcBorders>
              <w:top w:val="single" w:sz="4" w:space="0" w:color="1B556B"/>
              <w:bottom w:val="single" w:sz="4" w:space="0" w:color="1B556B"/>
            </w:tcBorders>
            <w:shd w:val="clear" w:color="auto" w:fill="auto"/>
            <w:noWrap/>
            <w:hideMark/>
          </w:tcPr>
          <w:p w14:paraId="482E2CB4" w14:textId="77777777" w:rsidR="0010265C" w:rsidRPr="00261B7A" w:rsidRDefault="0010265C" w:rsidP="00D41492">
            <w:pPr>
              <w:pStyle w:val="TableText"/>
              <w:jc w:val="center"/>
            </w:pPr>
            <w:r w:rsidRPr="00261B7A">
              <w:t>0.01</w:t>
            </w:r>
          </w:p>
        </w:tc>
        <w:tc>
          <w:tcPr>
            <w:tcW w:w="1417" w:type="dxa"/>
            <w:tcBorders>
              <w:top w:val="single" w:sz="4" w:space="0" w:color="1B556B"/>
              <w:bottom w:val="single" w:sz="4" w:space="0" w:color="1B556B"/>
            </w:tcBorders>
            <w:shd w:val="clear" w:color="auto" w:fill="auto"/>
            <w:noWrap/>
            <w:hideMark/>
          </w:tcPr>
          <w:p w14:paraId="2E75C770" w14:textId="77777777" w:rsidR="0010265C" w:rsidRPr="00261B7A" w:rsidRDefault="0010265C" w:rsidP="00D41492">
            <w:pPr>
              <w:pStyle w:val="TableText"/>
              <w:jc w:val="center"/>
            </w:pPr>
            <w:r w:rsidRPr="00261B7A">
              <w:t>0.01</w:t>
            </w:r>
          </w:p>
        </w:tc>
        <w:tc>
          <w:tcPr>
            <w:tcW w:w="1418" w:type="dxa"/>
            <w:tcBorders>
              <w:top w:val="single" w:sz="4" w:space="0" w:color="1B556B"/>
              <w:bottom w:val="single" w:sz="4" w:space="0" w:color="1B556B"/>
            </w:tcBorders>
            <w:shd w:val="clear" w:color="auto" w:fill="auto"/>
            <w:noWrap/>
            <w:vAlign w:val="bottom"/>
            <w:hideMark/>
          </w:tcPr>
          <w:p w14:paraId="7770E98D" w14:textId="77777777" w:rsidR="0010265C" w:rsidRPr="00261B7A" w:rsidRDefault="0010265C" w:rsidP="00D41492">
            <w:pPr>
              <w:pStyle w:val="TableText"/>
              <w:jc w:val="center"/>
            </w:pPr>
            <w:r w:rsidRPr="00261B7A">
              <w:t>0.01</w:t>
            </w:r>
          </w:p>
        </w:tc>
        <w:tc>
          <w:tcPr>
            <w:tcW w:w="1417" w:type="dxa"/>
            <w:tcBorders>
              <w:top w:val="single" w:sz="4" w:space="0" w:color="1B556B"/>
              <w:bottom w:val="single" w:sz="4" w:space="0" w:color="1B556B"/>
            </w:tcBorders>
            <w:shd w:val="clear" w:color="auto" w:fill="auto"/>
            <w:noWrap/>
            <w:vAlign w:val="bottom"/>
            <w:hideMark/>
          </w:tcPr>
          <w:p w14:paraId="41BCCC92" w14:textId="77777777" w:rsidR="0010265C" w:rsidRPr="00261B7A" w:rsidRDefault="0010265C" w:rsidP="00D41492">
            <w:pPr>
              <w:pStyle w:val="TableText"/>
              <w:jc w:val="center"/>
            </w:pPr>
            <w:r w:rsidRPr="00261B7A">
              <w:t>0.01</w:t>
            </w:r>
          </w:p>
        </w:tc>
        <w:tc>
          <w:tcPr>
            <w:tcW w:w="1559" w:type="dxa"/>
            <w:tcBorders>
              <w:top w:val="single" w:sz="4" w:space="0" w:color="1B556B"/>
              <w:bottom w:val="single" w:sz="4" w:space="0" w:color="1B556B"/>
            </w:tcBorders>
            <w:shd w:val="clear" w:color="auto" w:fill="auto"/>
            <w:noWrap/>
            <w:vAlign w:val="bottom"/>
            <w:hideMark/>
          </w:tcPr>
          <w:p w14:paraId="0300CABE" w14:textId="77777777" w:rsidR="0010265C" w:rsidRPr="00261B7A" w:rsidRDefault="0010265C" w:rsidP="00D41492">
            <w:pPr>
              <w:pStyle w:val="TableText"/>
              <w:jc w:val="center"/>
            </w:pPr>
            <w:r w:rsidRPr="00261B7A">
              <w:t>0.01</w:t>
            </w:r>
          </w:p>
        </w:tc>
        <w:tc>
          <w:tcPr>
            <w:tcW w:w="1366" w:type="dxa"/>
            <w:tcBorders>
              <w:top w:val="single" w:sz="4" w:space="0" w:color="1B556B"/>
              <w:bottom w:val="single" w:sz="4" w:space="0" w:color="1B556B"/>
            </w:tcBorders>
            <w:shd w:val="clear" w:color="auto" w:fill="auto"/>
            <w:noWrap/>
            <w:vAlign w:val="bottom"/>
            <w:hideMark/>
          </w:tcPr>
          <w:p w14:paraId="506E9C5C" w14:textId="77777777" w:rsidR="0010265C" w:rsidRPr="00261B7A" w:rsidRDefault="0010265C" w:rsidP="00D41492">
            <w:pPr>
              <w:pStyle w:val="TableText"/>
              <w:jc w:val="center"/>
            </w:pPr>
            <w:r w:rsidRPr="00261B7A">
              <w:t>0.01</w:t>
            </w:r>
          </w:p>
        </w:tc>
      </w:tr>
      <w:tr w:rsidR="0010265C" w:rsidRPr="00261B7A" w14:paraId="1CD52580" w14:textId="77777777" w:rsidTr="007017A7">
        <w:trPr>
          <w:trHeight w:val="325"/>
        </w:trPr>
        <w:tc>
          <w:tcPr>
            <w:tcW w:w="2376" w:type="dxa"/>
            <w:tcBorders>
              <w:top w:val="single" w:sz="4" w:space="0" w:color="1B556B"/>
              <w:bottom w:val="single" w:sz="4" w:space="0" w:color="1B556B"/>
            </w:tcBorders>
            <w:shd w:val="clear" w:color="auto" w:fill="auto"/>
            <w:noWrap/>
            <w:vAlign w:val="bottom"/>
            <w:hideMark/>
          </w:tcPr>
          <w:p w14:paraId="1E398C27" w14:textId="77777777" w:rsidR="0010265C" w:rsidRPr="00261B7A" w:rsidRDefault="0010265C" w:rsidP="00D41492">
            <w:pPr>
              <w:pStyle w:val="TableText"/>
            </w:pPr>
            <w:r w:rsidRPr="00261B7A">
              <w:t>CO emission factor</w:t>
            </w:r>
          </w:p>
        </w:tc>
        <w:tc>
          <w:tcPr>
            <w:tcW w:w="1560" w:type="dxa"/>
            <w:tcBorders>
              <w:top w:val="single" w:sz="4" w:space="0" w:color="1B556B"/>
              <w:bottom w:val="single" w:sz="4" w:space="0" w:color="1B556B"/>
            </w:tcBorders>
            <w:shd w:val="clear" w:color="auto" w:fill="auto"/>
            <w:noWrap/>
            <w:hideMark/>
          </w:tcPr>
          <w:p w14:paraId="20C271E9" w14:textId="77777777" w:rsidR="0010265C" w:rsidRPr="00261B7A" w:rsidRDefault="0010265C" w:rsidP="00D41492">
            <w:pPr>
              <w:pStyle w:val="TableText"/>
              <w:jc w:val="center"/>
            </w:pPr>
            <w:r w:rsidRPr="00261B7A">
              <w:t>0.06</w:t>
            </w:r>
          </w:p>
        </w:tc>
        <w:tc>
          <w:tcPr>
            <w:tcW w:w="1275" w:type="dxa"/>
            <w:tcBorders>
              <w:top w:val="single" w:sz="4" w:space="0" w:color="1B556B"/>
              <w:bottom w:val="single" w:sz="4" w:space="0" w:color="1B556B"/>
            </w:tcBorders>
            <w:shd w:val="clear" w:color="auto" w:fill="auto"/>
            <w:noWrap/>
            <w:hideMark/>
          </w:tcPr>
          <w:p w14:paraId="5E98C4E5" w14:textId="77777777" w:rsidR="0010265C" w:rsidRPr="00261B7A" w:rsidRDefault="0010265C" w:rsidP="00D41492">
            <w:pPr>
              <w:pStyle w:val="TableText"/>
              <w:jc w:val="center"/>
            </w:pPr>
            <w:r w:rsidRPr="00261B7A">
              <w:t>0.06</w:t>
            </w:r>
          </w:p>
        </w:tc>
        <w:tc>
          <w:tcPr>
            <w:tcW w:w="1560" w:type="dxa"/>
            <w:tcBorders>
              <w:top w:val="single" w:sz="4" w:space="0" w:color="1B556B"/>
              <w:bottom w:val="single" w:sz="4" w:space="0" w:color="1B556B"/>
            </w:tcBorders>
            <w:shd w:val="clear" w:color="auto" w:fill="auto"/>
            <w:noWrap/>
            <w:hideMark/>
          </w:tcPr>
          <w:p w14:paraId="25C66973" w14:textId="77777777" w:rsidR="0010265C" w:rsidRPr="00261B7A" w:rsidRDefault="0010265C" w:rsidP="00D41492">
            <w:pPr>
              <w:pStyle w:val="TableText"/>
              <w:jc w:val="center"/>
            </w:pPr>
            <w:r w:rsidRPr="00261B7A">
              <w:t>0.06</w:t>
            </w:r>
          </w:p>
        </w:tc>
        <w:tc>
          <w:tcPr>
            <w:tcW w:w="1417" w:type="dxa"/>
            <w:tcBorders>
              <w:top w:val="single" w:sz="4" w:space="0" w:color="1B556B"/>
              <w:bottom w:val="single" w:sz="4" w:space="0" w:color="1B556B"/>
            </w:tcBorders>
            <w:shd w:val="clear" w:color="auto" w:fill="auto"/>
            <w:noWrap/>
            <w:hideMark/>
          </w:tcPr>
          <w:p w14:paraId="47C8159A" w14:textId="77777777" w:rsidR="0010265C" w:rsidRPr="00261B7A" w:rsidRDefault="0010265C" w:rsidP="00D41492">
            <w:pPr>
              <w:pStyle w:val="TableText"/>
              <w:jc w:val="center"/>
            </w:pPr>
            <w:r w:rsidRPr="00261B7A">
              <w:t>0.06</w:t>
            </w:r>
          </w:p>
        </w:tc>
        <w:tc>
          <w:tcPr>
            <w:tcW w:w="1418" w:type="dxa"/>
            <w:tcBorders>
              <w:top w:val="single" w:sz="4" w:space="0" w:color="1B556B"/>
              <w:bottom w:val="single" w:sz="4" w:space="0" w:color="1B556B"/>
            </w:tcBorders>
            <w:shd w:val="clear" w:color="auto" w:fill="auto"/>
            <w:noWrap/>
            <w:hideMark/>
          </w:tcPr>
          <w:p w14:paraId="61F190F5" w14:textId="77777777" w:rsidR="0010265C" w:rsidRPr="00261B7A" w:rsidRDefault="0010265C" w:rsidP="00D41492">
            <w:pPr>
              <w:pStyle w:val="TableText"/>
              <w:jc w:val="center"/>
            </w:pPr>
            <w:r w:rsidRPr="00261B7A">
              <w:t>0.09</w:t>
            </w:r>
          </w:p>
        </w:tc>
        <w:tc>
          <w:tcPr>
            <w:tcW w:w="1417" w:type="dxa"/>
            <w:tcBorders>
              <w:top w:val="single" w:sz="4" w:space="0" w:color="1B556B"/>
              <w:bottom w:val="single" w:sz="4" w:space="0" w:color="1B556B"/>
            </w:tcBorders>
            <w:shd w:val="clear" w:color="auto" w:fill="auto"/>
            <w:noWrap/>
            <w:hideMark/>
          </w:tcPr>
          <w:p w14:paraId="0B52E2F2" w14:textId="77777777" w:rsidR="0010265C" w:rsidRPr="00261B7A" w:rsidRDefault="0010265C" w:rsidP="00D41492">
            <w:pPr>
              <w:pStyle w:val="TableText"/>
              <w:jc w:val="center"/>
            </w:pPr>
            <w:r w:rsidRPr="00261B7A">
              <w:t>0.10</w:t>
            </w:r>
          </w:p>
        </w:tc>
        <w:tc>
          <w:tcPr>
            <w:tcW w:w="1559" w:type="dxa"/>
            <w:tcBorders>
              <w:top w:val="single" w:sz="4" w:space="0" w:color="1B556B"/>
              <w:bottom w:val="single" w:sz="4" w:space="0" w:color="1B556B"/>
            </w:tcBorders>
            <w:shd w:val="clear" w:color="auto" w:fill="auto"/>
            <w:noWrap/>
            <w:hideMark/>
          </w:tcPr>
          <w:p w14:paraId="05D90C86" w14:textId="77777777" w:rsidR="0010265C" w:rsidRPr="00261B7A" w:rsidRDefault="0010265C" w:rsidP="00D41492">
            <w:pPr>
              <w:pStyle w:val="TableText"/>
              <w:jc w:val="center"/>
            </w:pPr>
            <w:r w:rsidRPr="00261B7A">
              <w:t>0.09</w:t>
            </w:r>
          </w:p>
        </w:tc>
        <w:tc>
          <w:tcPr>
            <w:tcW w:w="1366" w:type="dxa"/>
            <w:tcBorders>
              <w:top w:val="single" w:sz="4" w:space="0" w:color="1B556B"/>
              <w:bottom w:val="single" w:sz="4" w:space="0" w:color="1B556B"/>
            </w:tcBorders>
            <w:shd w:val="clear" w:color="auto" w:fill="auto"/>
            <w:noWrap/>
            <w:hideMark/>
          </w:tcPr>
          <w:p w14:paraId="72C22367" w14:textId="77777777" w:rsidR="0010265C" w:rsidRPr="00261B7A" w:rsidRDefault="0010265C" w:rsidP="00D41492">
            <w:pPr>
              <w:pStyle w:val="TableText"/>
              <w:jc w:val="center"/>
            </w:pPr>
            <w:r w:rsidRPr="00261B7A">
              <w:t>0.10</w:t>
            </w:r>
          </w:p>
        </w:tc>
      </w:tr>
      <w:tr w:rsidR="0010265C" w:rsidRPr="00261B7A" w14:paraId="55B7785D" w14:textId="77777777" w:rsidTr="007017A7">
        <w:trPr>
          <w:trHeight w:val="325"/>
        </w:trPr>
        <w:tc>
          <w:tcPr>
            <w:tcW w:w="2376" w:type="dxa"/>
            <w:tcBorders>
              <w:top w:val="single" w:sz="4" w:space="0" w:color="1B556B"/>
              <w:bottom w:val="single" w:sz="4" w:space="0" w:color="1B556B"/>
            </w:tcBorders>
            <w:shd w:val="clear" w:color="auto" w:fill="auto"/>
            <w:noWrap/>
            <w:vAlign w:val="bottom"/>
            <w:hideMark/>
          </w:tcPr>
          <w:p w14:paraId="380C5560" w14:textId="77777777" w:rsidR="0010265C" w:rsidRPr="00261B7A" w:rsidRDefault="0010265C" w:rsidP="00D41492">
            <w:pPr>
              <w:pStyle w:val="TableText"/>
            </w:pPr>
            <w:r w:rsidRPr="00261B7A">
              <w:t>CH</w:t>
            </w:r>
            <w:r w:rsidRPr="00261B7A">
              <w:rPr>
                <w:vertAlign w:val="subscript"/>
              </w:rPr>
              <w:t>4</w:t>
            </w:r>
            <w:r w:rsidRPr="00261B7A">
              <w:t xml:space="preserve"> emission factor</w:t>
            </w:r>
          </w:p>
        </w:tc>
        <w:tc>
          <w:tcPr>
            <w:tcW w:w="1560" w:type="dxa"/>
            <w:tcBorders>
              <w:top w:val="single" w:sz="4" w:space="0" w:color="1B556B"/>
              <w:bottom w:val="single" w:sz="4" w:space="0" w:color="1B556B"/>
            </w:tcBorders>
            <w:shd w:val="clear" w:color="auto" w:fill="auto"/>
            <w:noWrap/>
            <w:hideMark/>
          </w:tcPr>
          <w:p w14:paraId="4C340E5A" w14:textId="77777777" w:rsidR="0010265C" w:rsidRPr="00261B7A" w:rsidRDefault="0010265C" w:rsidP="00D41492">
            <w:pPr>
              <w:pStyle w:val="TableText"/>
              <w:jc w:val="center"/>
            </w:pPr>
            <w:r w:rsidRPr="00261B7A">
              <w:t>0.00</w:t>
            </w:r>
          </w:p>
        </w:tc>
        <w:tc>
          <w:tcPr>
            <w:tcW w:w="1275" w:type="dxa"/>
            <w:tcBorders>
              <w:top w:val="single" w:sz="4" w:space="0" w:color="1B556B"/>
              <w:bottom w:val="single" w:sz="4" w:space="0" w:color="1B556B"/>
            </w:tcBorders>
            <w:shd w:val="clear" w:color="auto" w:fill="auto"/>
            <w:noWrap/>
            <w:hideMark/>
          </w:tcPr>
          <w:p w14:paraId="041781AB" w14:textId="77777777" w:rsidR="0010265C" w:rsidRPr="00261B7A" w:rsidRDefault="0010265C" w:rsidP="00D41492">
            <w:pPr>
              <w:pStyle w:val="TableText"/>
              <w:jc w:val="center"/>
            </w:pPr>
            <w:r w:rsidRPr="00261B7A">
              <w:t>0.00</w:t>
            </w:r>
          </w:p>
        </w:tc>
        <w:tc>
          <w:tcPr>
            <w:tcW w:w="1560" w:type="dxa"/>
            <w:tcBorders>
              <w:top w:val="single" w:sz="4" w:space="0" w:color="1B556B"/>
              <w:bottom w:val="single" w:sz="4" w:space="0" w:color="1B556B"/>
            </w:tcBorders>
            <w:shd w:val="clear" w:color="auto" w:fill="auto"/>
            <w:noWrap/>
            <w:hideMark/>
          </w:tcPr>
          <w:p w14:paraId="14D630F9" w14:textId="77777777" w:rsidR="0010265C" w:rsidRPr="00261B7A" w:rsidRDefault="0010265C" w:rsidP="00D41492">
            <w:pPr>
              <w:pStyle w:val="TableText"/>
              <w:jc w:val="center"/>
            </w:pPr>
            <w:r w:rsidRPr="00261B7A">
              <w:t>0.00</w:t>
            </w:r>
          </w:p>
        </w:tc>
        <w:tc>
          <w:tcPr>
            <w:tcW w:w="1417" w:type="dxa"/>
            <w:tcBorders>
              <w:top w:val="single" w:sz="4" w:space="0" w:color="1B556B"/>
              <w:bottom w:val="single" w:sz="4" w:space="0" w:color="1B556B"/>
            </w:tcBorders>
            <w:shd w:val="clear" w:color="auto" w:fill="auto"/>
            <w:noWrap/>
            <w:hideMark/>
          </w:tcPr>
          <w:p w14:paraId="78218E9B" w14:textId="77777777" w:rsidR="0010265C" w:rsidRPr="00261B7A" w:rsidRDefault="0010265C" w:rsidP="00D41492">
            <w:pPr>
              <w:pStyle w:val="TableText"/>
              <w:jc w:val="center"/>
            </w:pPr>
            <w:r w:rsidRPr="00261B7A">
              <w:t>0.00</w:t>
            </w:r>
          </w:p>
        </w:tc>
        <w:tc>
          <w:tcPr>
            <w:tcW w:w="1418" w:type="dxa"/>
            <w:tcBorders>
              <w:top w:val="single" w:sz="4" w:space="0" w:color="1B556B"/>
              <w:bottom w:val="single" w:sz="4" w:space="0" w:color="1B556B"/>
            </w:tcBorders>
            <w:shd w:val="clear" w:color="auto" w:fill="auto"/>
            <w:noWrap/>
            <w:hideMark/>
          </w:tcPr>
          <w:p w14:paraId="3A68BB75" w14:textId="77777777" w:rsidR="0010265C" w:rsidRPr="00261B7A" w:rsidRDefault="0010265C" w:rsidP="00D41492">
            <w:pPr>
              <w:pStyle w:val="TableText"/>
              <w:jc w:val="center"/>
            </w:pPr>
            <w:r w:rsidRPr="00261B7A">
              <w:t>0.01</w:t>
            </w:r>
          </w:p>
        </w:tc>
        <w:tc>
          <w:tcPr>
            <w:tcW w:w="1417" w:type="dxa"/>
            <w:tcBorders>
              <w:top w:val="single" w:sz="4" w:space="0" w:color="1B556B"/>
              <w:bottom w:val="single" w:sz="4" w:space="0" w:color="1B556B"/>
            </w:tcBorders>
            <w:shd w:val="clear" w:color="auto" w:fill="auto"/>
            <w:noWrap/>
            <w:hideMark/>
          </w:tcPr>
          <w:p w14:paraId="5EEC47C0" w14:textId="77777777" w:rsidR="0010265C" w:rsidRPr="00261B7A" w:rsidRDefault="0010265C" w:rsidP="00D41492">
            <w:pPr>
              <w:pStyle w:val="TableText"/>
              <w:jc w:val="center"/>
            </w:pPr>
            <w:r w:rsidRPr="00261B7A">
              <w:t>0.01</w:t>
            </w:r>
          </w:p>
        </w:tc>
        <w:tc>
          <w:tcPr>
            <w:tcW w:w="1559" w:type="dxa"/>
            <w:tcBorders>
              <w:top w:val="single" w:sz="4" w:space="0" w:color="1B556B"/>
              <w:bottom w:val="single" w:sz="4" w:space="0" w:color="1B556B"/>
            </w:tcBorders>
            <w:shd w:val="clear" w:color="auto" w:fill="auto"/>
            <w:noWrap/>
            <w:hideMark/>
          </w:tcPr>
          <w:p w14:paraId="29897F32" w14:textId="77777777" w:rsidR="0010265C" w:rsidRPr="00261B7A" w:rsidRDefault="0010265C" w:rsidP="00D41492">
            <w:pPr>
              <w:pStyle w:val="TableText"/>
              <w:jc w:val="center"/>
            </w:pPr>
            <w:r w:rsidRPr="00261B7A">
              <w:t>0.01</w:t>
            </w:r>
          </w:p>
        </w:tc>
        <w:tc>
          <w:tcPr>
            <w:tcW w:w="1366" w:type="dxa"/>
            <w:tcBorders>
              <w:top w:val="single" w:sz="4" w:space="0" w:color="1B556B"/>
              <w:bottom w:val="single" w:sz="4" w:space="0" w:color="1B556B"/>
            </w:tcBorders>
            <w:shd w:val="clear" w:color="auto" w:fill="auto"/>
            <w:noWrap/>
            <w:hideMark/>
          </w:tcPr>
          <w:p w14:paraId="1AE170F7" w14:textId="77777777" w:rsidR="0010265C" w:rsidRPr="00261B7A" w:rsidRDefault="0010265C" w:rsidP="00D41492">
            <w:pPr>
              <w:pStyle w:val="TableText"/>
              <w:jc w:val="center"/>
            </w:pPr>
            <w:r w:rsidRPr="00261B7A">
              <w:t>0.01</w:t>
            </w:r>
          </w:p>
        </w:tc>
      </w:tr>
      <w:tr w:rsidR="0010265C" w:rsidRPr="00261B7A" w14:paraId="6D59E6D3" w14:textId="77777777" w:rsidTr="007017A7">
        <w:trPr>
          <w:trHeight w:val="325"/>
        </w:trPr>
        <w:tc>
          <w:tcPr>
            <w:tcW w:w="2376" w:type="dxa"/>
            <w:tcBorders>
              <w:top w:val="single" w:sz="4" w:space="0" w:color="1B556B"/>
              <w:bottom w:val="single" w:sz="4" w:space="0" w:color="1B556B"/>
            </w:tcBorders>
            <w:shd w:val="clear" w:color="auto" w:fill="auto"/>
            <w:noWrap/>
            <w:vAlign w:val="bottom"/>
            <w:hideMark/>
          </w:tcPr>
          <w:p w14:paraId="7A91704F" w14:textId="77777777" w:rsidR="0010265C" w:rsidRPr="00261B7A" w:rsidRDefault="0010265C" w:rsidP="00D41492">
            <w:pPr>
              <w:pStyle w:val="TableText"/>
            </w:pPr>
            <w:r w:rsidRPr="00261B7A">
              <w:t>N</w:t>
            </w:r>
            <w:r w:rsidRPr="00261B7A">
              <w:rPr>
                <w:vertAlign w:val="subscript"/>
              </w:rPr>
              <w:t>2</w:t>
            </w:r>
            <w:r w:rsidRPr="00261B7A">
              <w:t>O emission factor</w:t>
            </w:r>
          </w:p>
        </w:tc>
        <w:tc>
          <w:tcPr>
            <w:tcW w:w="1560" w:type="dxa"/>
            <w:tcBorders>
              <w:top w:val="single" w:sz="4" w:space="0" w:color="1B556B"/>
              <w:bottom w:val="single" w:sz="4" w:space="0" w:color="1B556B"/>
            </w:tcBorders>
            <w:shd w:val="clear" w:color="auto" w:fill="auto"/>
            <w:noWrap/>
            <w:hideMark/>
          </w:tcPr>
          <w:p w14:paraId="388E6F73" w14:textId="77777777" w:rsidR="0010265C" w:rsidRPr="00261B7A" w:rsidRDefault="0010265C" w:rsidP="00D41492">
            <w:pPr>
              <w:pStyle w:val="TableText"/>
              <w:jc w:val="center"/>
            </w:pPr>
            <w:r w:rsidRPr="00261B7A">
              <w:t>0.03</w:t>
            </w:r>
          </w:p>
        </w:tc>
        <w:tc>
          <w:tcPr>
            <w:tcW w:w="1275" w:type="dxa"/>
            <w:tcBorders>
              <w:top w:val="single" w:sz="4" w:space="0" w:color="1B556B"/>
              <w:bottom w:val="single" w:sz="4" w:space="0" w:color="1B556B"/>
            </w:tcBorders>
            <w:shd w:val="clear" w:color="auto" w:fill="auto"/>
            <w:noWrap/>
            <w:hideMark/>
          </w:tcPr>
          <w:p w14:paraId="4B566638" w14:textId="77777777" w:rsidR="0010265C" w:rsidRPr="00261B7A" w:rsidRDefault="0010265C" w:rsidP="00D41492">
            <w:pPr>
              <w:pStyle w:val="TableText"/>
              <w:jc w:val="center"/>
            </w:pPr>
            <w:r w:rsidRPr="00261B7A">
              <w:t>0.03</w:t>
            </w:r>
          </w:p>
        </w:tc>
        <w:tc>
          <w:tcPr>
            <w:tcW w:w="1560" w:type="dxa"/>
            <w:tcBorders>
              <w:top w:val="single" w:sz="4" w:space="0" w:color="1B556B"/>
              <w:bottom w:val="single" w:sz="4" w:space="0" w:color="1B556B"/>
            </w:tcBorders>
            <w:shd w:val="clear" w:color="auto" w:fill="auto"/>
            <w:noWrap/>
            <w:hideMark/>
          </w:tcPr>
          <w:p w14:paraId="4C9C4B35" w14:textId="77777777" w:rsidR="0010265C" w:rsidRPr="00261B7A" w:rsidRDefault="0010265C" w:rsidP="00D41492">
            <w:pPr>
              <w:pStyle w:val="TableText"/>
              <w:jc w:val="center"/>
            </w:pPr>
            <w:r w:rsidRPr="00261B7A">
              <w:t>0.03</w:t>
            </w:r>
          </w:p>
        </w:tc>
        <w:tc>
          <w:tcPr>
            <w:tcW w:w="1417" w:type="dxa"/>
            <w:tcBorders>
              <w:top w:val="single" w:sz="4" w:space="0" w:color="1B556B"/>
              <w:bottom w:val="single" w:sz="4" w:space="0" w:color="1B556B"/>
            </w:tcBorders>
            <w:shd w:val="clear" w:color="auto" w:fill="auto"/>
            <w:noWrap/>
            <w:hideMark/>
          </w:tcPr>
          <w:p w14:paraId="22FE1A6E" w14:textId="77777777" w:rsidR="0010265C" w:rsidRPr="00261B7A" w:rsidRDefault="0010265C" w:rsidP="00D41492">
            <w:pPr>
              <w:pStyle w:val="TableText"/>
              <w:jc w:val="center"/>
            </w:pPr>
            <w:r w:rsidRPr="00261B7A">
              <w:t>0.03</w:t>
            </w:r>
          </w:p>
        </w:tc>
        <w:tc>
          <w:tcPr>
            <w:tcW w:w="1418" w:type="dxa"/>
            <w:tcBorders>
              <w:top w:val="single" w:sz="4" w:space="0" w:color="1B556B"/>
              <w:bottom w:val="single" w:sz="4" w:space="0" w:color="1B556B"/>
            </w:tcBorders>
            <w:shd w:val="clear" w:color="auto" w:fill="auto"/>
            <w:noWrap/>
            <w:hideMark/>
          </w:tcPr>
          <w:p w14:paraId="0948B034" w14:textId="77777777" w:rsidR="0010265C" w:rsidRPr="00261B7A" w:rsidRDefault="0010265C" w:rsidP="00D41492">
            <w:pPr>
              <w:pStyle w:val="TableText"/>
              <w:jc w:val="center"/>
            </w:pPr>
            <w:r w:rsidRPr="00261B7A">
              <w:t>0.03</w:t>
            </w:r>
          </w:p>
        </w:tc>
        <w:tc>
          <w:tcPr>
            <w:tcW w:w="1417" w:type="dxa"/>
            <w:tcBorders>
              <w:top w:val="single" w:sz="4" w:space="0" w:color="1B556B"/>
              <w:bottom w:val="single" w:sz="4" w:space="0" w:color="1B556B"/>
            </w:tcBorders>
            <w:shd w:val="clear" w:color="auto" w:fill="auto"/>
            <w:noWrap/>
            <w:hideMark/>
          </w:tcPr>
          <w:p w14:paraId="449C5DE2" w14:textId="77777777" w:rsidR="0010265C" w:rsidRPr="00261B7A" w:rsidRDefault="0010265C" w:rsidP="00D41492">
            <w:pPr>
              <w:pStyle w:val="TableText"/>
              <w:jc w:val="center"/>
            </w:pPr>
            <w:r w:rsidRPr="00261B7A">
              <w:t>0.04</w:t>
            </w:r>
          </w:p>
        </w:tc>
        <w:tc>
          <w:tcPr>
            <w:tcW w:w="1559" w:type="dxa"/>
            <w:tcBorders>
              <w:top w:val="single" w:sz="4" w:space="0" w:color="1B556B"/>
              <w:bottom w:val="single" w:sz="4" w:space="0" w:color="1B556B"/>
            </w:tcBorders>
            <w:shd w:val="clear" w:color="auto" w:fill="auto"/>
            <w:noWrap/>
            <w:hideMark/>
          </w:tcPr>
          <w:p w14:paraId="3DCA7A46" w14:textId="77777777" w:rsidR="0010265C" w:rsidRPr="00261B7A" w:rsidRDefault="0010265C" w:rsidP="00D41492">
            <w:pPr>
              <w:pStyle w:val="TableText"/>
              <w:jc w:val="center"/>
            </w:pPr>
            <w:r w:rsidRPr="00261B7A">
              <w:t>0.03</w:t>
            </w:r>
          </w:p>
        </w:tc>
        <w:tc>
          <w:tcPr>
            <w:tcW w:w="1366" w:type="dxa"/>
            <w:tcBorders>
              <w:top w:val="single" w:sz="4" w:space="0" w:color="1B556B"/>
              <w:bottom w:val="single" w:sz="4" w:space="0" w:color="1B556B"/>
            </w:tcBorders>
            <w:shd w:val="clear" w:color="auto" w:fill="auto"/>
            <w:noWrap/>
            <w:hideMark/>
          </w:tcPr>
          <w:p w14:paraId="1BC19ABC" w14:textId="77777777" w:rsidR="0010265C" w:rsidRPr="00261B7A" w:rsidRDefault="0010265C" w:rsidP="00D41492">
            <w:pPr>
              <w:pStyle w:val="TableText"/>
              <w:jc w:val="center"/>
            </w:pPr>
            <w:r w:rsidRPr="00261B7A">
              <w:t>0.04</w:t>
            </w:r>
          </w:p>
        </w:tc>
      </w:tr>
      <w:tr w:rsidR="0010265C" w:rsidRPr="00261B7A" w14:paraId="6E72A2C9" w14:textId="77777777" w:rsidTr="007017A7">
        <w:trPr>
          <w:trHeight w:val="325"/>
        </w:trPr>
        <w:tc>
          <w:tcPr>
            <w:tcW w:w="2376" w:type="dxa"/>
            <w:tcBorders>
              <w:top w:val="single" w:sz="4" w:space="0" w:color="1B556B"/>
              <w:bottom w:val="single" w:sz="4" w:space="0" w:color="1B556B"/>
            </w:tcBorders>
            <w:shd w:val="clear" w:color="auto" w:fill="auto"/>
            <w:noWrap/>
            <w:vAlign w:val="bottom"/>
            <w:hideMark/>
          </w:tcPr>
          <w:p w14:paraId="2CF92643" w14:textId="77777777" w:rsidR="0010265C" w:rsidRPr="00261B7A" w:rsidRDefault="0010265C" w:rsidP="00D41492">
            <w:pPr>
              <w:pStyle w:val="TableText"/>
            </w:pPr>
            <w:r w:rsidRPr="00261B7A">
              <w:t>NO</w:t>
            </w:r>
            <w:r w:rsidRPr="00261B7A">
              <w:rPr>
                <w:vertAlign w:val="subscript"/>
              </w:rPr>
              <w:t xml:space="preserve">x </w:t>
            </w:r>
            <w:r w:rsidRPr="00261B7A">
              <w:t>emission factor</w:t>
            </w:r>
          </w:p>
        </w:tc>
        <w:tc>
          <w:tcPr>
            <w:tcW w:w="1560" w:type="dxa"/>
            <w:tcBorders>
              <w:top w:val="single" w:sz="4" w:space="0" w:color="1B556B"/>
              <w:bottom w:val="single" w:sz="4" w:space="0" w:color="1B556B"/>
            </w:tcBorders>
            <w:shd w:val="clear" w:color="auto" w:fill="auto"/>
            <w:noWrap/>
            <w:hideMark/>
          </w:tcPr>
          <w:p w14:paraId="6D3DAAAF" w14:textId="77777777" w:rsidR="0010265C" w:rsidRPr="00261B7A" w:rsidRDefault="0010265C" w:rsidP="00D41492">
            <w:pPr>
              <w:pStyle w:val="TableText"/>
              <w:jc w:val="center"/>
            </w:pPr>
            <w:r w:rsidRPr="00261B7A">
              <w:t>0.27</w:t>
            </w:r>
          </w:p>
        </w:tc>
        <w:tc>
          <w:tcPr>
            <w:tcW w:w="1275" w:type="dxa"/>
            <w:tcBorders>
              <w:top w:val="single" w:sz="4" w:space="0" w:color="1B556B"/>
              <w:bottom w:val="single" w:sz="4" w:space="0" w:color="1B556B"/>
            </w:tcBorders>
            <w:shd w:val="clear" w:color="auto" w:fill="auto"/>
            <w:noWrap/>
            <w:hideMark/>
          </w:tcPr>
          <w:p w14:paraId="71C9ED50" w14:textId="77777777" w:rsidR="0010265C" w:rsidRPr="00261B7A" w:rsidRDefault="0010265C" w:rsidP="00D41492">
            <w:pPr>
              <w:pStyle w:val="TableText"/>
              <w:jc w:val="center"/>
            </w:pPr>
            <w:r w:rsidRPr="00261B7A">
              <w:t>0.27</w:t>
            </w:r>
          </w:p>
        </w:tc>
        <w:tc>
          <w:tcPr>
            <w:tcW w:w="1560" w:type="dxa"/>
            <w:tcBorders>
              <w:top w:val="single" w:sz="4" w:space="0" w:color="1B556B"/>
              <w:bottom w:val="single" w:sz="4" w:space="0" w:color="1B556B"/>
            </w:tcBorders>
            <w:shd w:val="clear" w:color="auto" w:fill="auto"/>
            <w:noWrap/>
            <w:hideMark/>
          </w:tcPr>
          <w:p w14:paraId="6AA20C13" w14:textId="77777777" w:rsidR="0010265C" w:rsidRPr="00261B7A" w:rsidRDefault="0010265C" w:rsidP="00D41492">
            <w:pPr>
              <w:pStyle w:val="TableText"/>
              <w:jc w:val="center"/>
            </w:pPr>
            <w:r w:rsidRPr="00261B7A">
              <w:t>0.27</w:t>
            </w:r>
          </w:p>
        </w:tc>
        <w:tc>
          <w:tcPr>
            <w:tcW w:w="1417" w:type="dxa"/>
            <w:tcBorders>
              <w:top w:val="single" w:sz="4" w:space="0" w:color="1B556B"/>
              <w:bottom w:val="single" w:sz="4" w:space="0" w:color="1B556B"/>
            </w:tcBorders>
            <w:shd w:val="clear" w:color="auto" w:fill="auto"/>
            <w:noWrap/>
            <w:hideMark/>
          </w:tcPr>
          <w:p w14:paraId="65B61209" w14:textId="77777777" w:rsidR="0010265C" w:rsidRPr="00261B7A" w:rsidRDefault="0010265C" w:rsidP="00D41492">
            <w:pPr>
              <w:pStyle w:val="TableText"/>
              <w:jc w:val="center"/>
            </w:pPr>
            <w:r w:rsidRPr="00261B7A">
              <w:t>0.27</w:t>
            </w:r>
          </w:p>
        </w:tc>
        <w:tc>
          <w:tcPr>
            <w:tcW w:w="1418" w:type="dxa"/>
            <w:tcBorders>
              <w:top w:val="single" w:sz="4" w:space="0" w:color="1B556B"/>
              <w:bottom w:val="single" w:sz="4" w:space="0" w:color="1B556B"/>
            </w:tcBorders>
            <w:shd w:val="clear" w:color="auto" w:fill="auto"/>
            <w:noWrap/>
            <w:hideMark/>
          </w:tcPr>
          <w:p w14:paraId="14DEDB02" w14:textId="77777777" w:rsidR="0010265C" w:rsidRPr="00261B7A" w:rsidRDefault="0010265C" w:rsidP="00D41492">
            <w:pPr>
              <w:pStyle w:val="TableText"/>
              <w:jc w:val="center"/>
            </w:pPr>
            <w:r w:rsidRPr="00261B7A">
              <w:t>0.18</w:t>
            </w:r>
          </w:p>
        </w:tc>
        <w:tc>
          <w:tcPr>
            <w:tcW w:w="1417" w:type="dxa"/>
            <w:tcBorders>
              <w:top w:val="single" w:sz="4" w:space="0" w:color="1B556B"/>
              <w:bottom w:val="single" w:sz="4" w:space="0" w:color="1B556B"/>
            </w:tcBorders>
            <w:shd w:val="clear" w:color="auto" w:fill="auto"/>
            <w:noWrap/>
            <w:hideMark/>
          </w:tcPr>
          <w:p w14:paraId="4484993E" w14:textId="77777777" w:rsidR="0010265C" w:rsidRPr="00261B7A" w:rsidRDefault="0010265C" w:rsidP="00D41492">
            <w:pPr>
              <w:pStyle w:val="TableText"/>
              <w:jc w:val="center"/>
            </w:pPr>
            <w:r w:rsidRPr="00261B7A">
              <w:t>0.19</w:t>
            </w:r>
          </w:p>
        </w:tc>
        <w:tc>
          <w:tcPr>
            <w:tcW w:w="1559" w:type="dxa"/>
            <w:tcBorders>
              <w:top w:val="single" w:sz="4" w:space="0" w:color="1B556B"/>
              <w:bottom w:val="single" w:sz="4" w:space="0" w:color="1B556B"/>
            </w:tcBorders>
            <w:shd w:val="clear" w:color="auto" w:fill="auto"/>
            <w:noWrap/>
            <w:hideMark/>
          </w:tcPr>
          <w:p w14:paraId="2DF7BE3C" w14:textId="77777777" w:rsidR="0010265C" w:rsidRPr="00261B7A" w:rsidRDefault="0010265C" w:rsidP="00D41492">
            <w:pPr>
              <w:pStyle w:val="TableText"/>
              <w:jc w:val="center"/>
            </w:pPr>
            <w:r w:rsidRPr="00261B7A">
              <w:t>0.18</w:t>
            </w:r>
          </w:p>
        </w:tc>
        <w:tc>
          <w:tcPr>
            <w:tcW w:w="1366" w:type="dxa"/>
            <w:tcBorders>
              <w:top w:val="single" w:sz="4" w:space="0" w:color="1B556B"/>
              <w:bottom w:val="single" w:sz="4" w:space="0" w:color="1B556B"/>
            </w:tcBorders>
            <w:shd w:val="clear" w:color="auto" w:fill="auto"/>
            <w:noWrap/>
            <w:hideMark/>
          </w:tcPr>
          <w:p w14:paraId="1449CE0E" w14:textId="77777777" w:rsidR="0010265C" w:rsidRPr="00261B7A" w:rsidRDefault="0010265C" w:rsidP="00D41492">
            <w:pPr>
              <w:pStyle w:val="TableText"/>
              <w:jc w:val="center"/>
            </w:pPr>
            <w:r w:rsidRPr="00261B7A">
              <w:t>0.19</w:t>
            </w:r>
          </w:p>
        </w:tc>
      </w:tr>
    </w:tbl>
    <w:p w14:paraId="3EDBDF99" w14:textId="77777777" w:rsidR="0010265C" w:rsidRPr="00261B7A" w:rsidRDefault="0010265C" w:rsidP="0010265C">
      <w:pPr>
        <w:pStyle w:val="Noteundertable"/>
      </w:pPr>
      <w:r w:rsidRPr="00261B7A">
        <w:rPr>
          <w:b/>
          <w:bCs/>
        </w:rPr>
        <w:t>Note:</w:t>
      </w:r>
      <w:r w:rsidRPr="00261B7A">
        <w:rPr>
          <w:b/>
          <w:bCs/>
        </w:rPr>
        <w:tab/>
      </w:r>
      <w:r w:rsidRPr="00261B7A">
        <w:t>GWB = grassland with woody biomass. Values are rounded to two decimal places. *0.51 New Zealand-specific carbon fraction for planted forests (Beets, unpublished).</w:t>
      </w:r>
    </w:p>
    <w:p w14:paraId="141DBDB0" w14:textId="77777777" w:rsidR="0010265C" w:rsidRPr="00261B7A" w:rsidRDefault="0010265C" w:rsidP="0010265C">
      <w:pPr>
        <w:pStyle w:val="BodyText"/>
      </w:pPr>
    </w:p>
    <w:p w14:paraId="5402B8E4" w14:textId="77777777" w:rsidR="0010265C" w:rsidRPr="00261B7A" w:rsidRDefault="0010265C" w:rsidP="0010265C">
      <w:pPr>
        <w:pStyle w:val="BodyText"/>
      </w:pPr>
    </w:p>
    <w:p w14:paraId="077BE643" w14:textId="77777777" w:rsidR="0010265C" w:rsidRPr="00261B7A" w:rsidRDefault="0010265C" w:rsidP="0010265C">
      <w:pPr>
        <w:sectPr w:rsidR="0010265C" w:rsidRPr="00261B7A" w:rsidSect="00307A05">
          <w:footerReference w:type="default" r:id="rId218"/>
          <w:pgSz w:w="16838" w:h="11906" w:orient="landscape"/>
          <w:pgMar w:top="1701" w:right="1418" w:bottom="1701" w:left="1418" w:header="709" w:footer="709" w:gutter="0"/>
          <w:cols w:space="708"/>
          <w:docGrid w:linePitch="360"/>
        </w:sectPr>
      </w:pPr>
    </w:p>
    <w:p w14:paraId="373D4D3D" w14:textId="77777777" w:rsidR="0010265C" w:rsidRPr="00261B7A" w:rsidRDefault="0010265C" w:rsidP="00B25AA7">
      <w:pPr>
        <w:pStyle w:val="Table"/>
        <w:spacing w:before="0"/>
      </w:pPr>
      <w:bookmarkStart w:id="2396" w:name="_Toc131591432"/>
      <w:r w:rsidRPr="00261B7A">
        <w:t>Table 6.10.5</w:t>
      </w:r>
      <w:r w:rsidRPr="00261B7A">
        <w:tab/>
        <w:t xml:space="preserve">Summary of </w:t>
      </w:r>
      <w:r w:rsidRPr="00261B7A">
        <w:rPr>
          <w:i/>
        </w:rPr>
        <w:t>Biomass burning</w:t>
      </w:r>
      <w:r w:rsidRPr="00261B7A">
        <w:t xml:space="preserve"> combustion factor values</w:t>
      </w:r>
      <w:bookmarkEnd w:id="2396"/>
    </w:p>
    <w:tbl>
      <w:tblPr>
        <w:tblStyle w:val="TableGrid"/>
        <w:tblW w:w="85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04"/>
        <w:gridCol w:w="1848"/>
        <w:gridCol w:w="3430"/>
        <w:gridCol w:w="2523"/>
      </w:tblGrid>
      <w:tr w:rsidR="0010265C" w:rsidRPr="00261B7A" w14:paraId="4B173CE5" w14:textId="77777777" w:rsidTr="007017A7">
        <w:tc>
          <w:tcPr>
            <w:tcW w:w="8505" w:type="dxa"/>
            <w:gridSpan w:val="4"/>
            <w:tcBorders>
              <w:top w:val="single" w:sz="4" w:space="0" w:color="1B556B"/>
              <w:left w:val="nil"/>
              <w:bottom w:val="single" w:sz="4" w:space="0" w:color="1B556B"/>
              <w:right w:val="nil"/>
            </w:tcBorders>
            <w:shd w:val="clear" w:color="auto" w:fill="1B556B"/>
          </w:tcPr>
          <w:p w14:paraId="45C90024" w14:textId="77777777" w:rsidR="0010265C" w:rsidRPr="00261B7A" w:rsidRDefault="0010265C" w:rsidP="00D41492">
            <w:pPr>
              <w:pStyle w:val="TableTextBold"/>
              <w:spacing w:before="40" w:after="40"/>
              <w:jc w:val="center"/>
              <w:rPr>
                <w:noProof w:val="0"/>
              </w:rPr>
            </w:pPr>
            <w:r w:rsidRPr="00261B7A">
              <w:rPr>
                <w:noProof w:val="0"/>
                <w:color w:val="FFFFFF" w:themeColor="background1"/>
              </w:rPr>
              <w:t>Combustion factor values (proportion of pre-fire biomass consumed) for fires (table 2.6, IPCC, 2006a)</w:t>
            </w:r>
          </w:p>
        </w:tc>
      </w:tr>
      <w:tr w:rsidR="0010265C" w:rsidRPr="00261B7A" w14:paraId="7D6D98B6" w14:textId="77777777" w:rsidTr="007017A7">
        <w:tc>
          <w:tcPr>
            <w:tcW w:w="5982" w:type="dxa"/>
            <w:gridSpan w:val="3"/>
            <w:tcBorders>
              <w:top w:val="single" w:sz="4" w:space="0" w:color="1B556B"/>
              <w:left w:val="nil"/>
              <w:bottom w:val="single" w:sz="4" w:space="0" w:color="1B556B"/>
              <w:right w:val="nil"/>
            </w:tcBorders>
          </w:tcPr>
          <w:p w14:paraId="5587F289" w14:textId="48B7F6E8" w:rsidR="0010265C" w:rsidRPr="00261B7A" w:rsidRDefault="0010265C" w:rsidP="00D41492">
            <w:pPr>
              <w:pStyle w:val="TableTextBold"/>
              <w:spacing w:before="40" w:after="40"/>
              <w:jc w:val="center"/>
              <w:rPr>
                <w:noProof w:val="0"/>
              </w:rPr>
            </w:pPr>
            <w:r w:rsidRPr="00261B7A">
              <w:rPr>
                <w:noProof w:val="0"/>
              </w:rPr>
              <w:t xml:space="preserve">Vegetation </w:t>
            </w:r>
            <w:r w:rsidR="00E3117D" w:rsidRPr="00261B7A">
              <w:rPr>
                <w:noProof w:val="0"/>
              </w:rPr>
              <w:t>t</w:t>
            </w:r>
            <w:r w:rsidRPr="00261B7A">
              <w:rPr>
                <w:noProof w:val="0"/>
              </w:rPr>
              <w:t>ype</w:t>
            </w:r>
          </w:p>
        </w:tc>
        <w:tc>
          <w:tcPr>
            <w:tcW w:w="2523" w:type="dxa"/>
            <w:tcBorders>
              <w:top w:val="single" w:sz="4" w:space="0" w:color="1B556B"/>
              <w:left w:val="nil"/>
              <w:bottom w:val="single" w:sz="4" w:space="0" w:color="1B556B"/>
              <w:right w:val="nil"/>
            </w:tcBorders>
          </w:tcPr>
          <w:p w14:paraId="5B704756" w14:textId="77777777" w:rsidR="0010265C" w:rsidRPr="00261B7A" w:rsidRDefault="0010265C" w:rsidP="00E3117D">
            <w:pPr>
              <w:pStyle w:val="TableTextBold"/>
              <w:spacing w:before="40" w:after="40"/>
              <w:rPr>
                <w:noProof w:val="0"/>
              </w:rPr>
            </w:pPr>
            <w:r w:rsidRPr="00261B7A">
              <w:rPr>
                <w:noProof w:val="0"/>
              </w:rPr>
              <w:t>Value</w:t>
            </w:r>
          </w:p>
        </w:tc>
      </w:tr>
      <w:tr w:rsidR="0010265C" w:rsidRPr="00261B7A" w14:paraId="75ECCB90" w14:textId="77777777" w:rsidTr="007017A7">
        <w:tc>
          <w:tcPr>
            <w:tcW w:w="704" w:type="dxa"/>
            <w:vMerge w:val="restart"/>
            <w:tcBorders>
              <w:top w:val="single" w:sz="4" w:space="0" w:color="1B556B"/>
              <w:left w:val="nil"/>
              <w:bottom w:val="nil"/>
              <w:right w:val="nil"/>
            </w:tcBorders>
            <w:textDirection w:val="btLr"/>
          </w:tcPr>
          <w:p w14:paraId="70888296" w14:textId="77777777" w:rsidR="0010265C" w:rsidRPr="00261B7A" w:rsidRDefault="0010265C" w:rsidP="00D41492">
            <w:pPr>
              <w:pStyle w:val="TableTextBold"/>
              <w:spacing w:before="40" w:after="40"/>
              <w:jc w:val="center"/>
              <w:rPr>
                <w:noProof w:val="0"/>
              </w:rPr>
            </w:pPr>
            <w:r w:rsidRPr="00261B7A">
              <w:rPr>
                <w:noProof w:val="0"/>
              </w:rPr>
              <w:t>Forest</w:t>
            </w:r>
          </w:p>
        </w:tc>
        <w:tc>
          <w:tcPr>
            <w:tcW w:w="1848" w:type="dxa"/>
            <w:vMerge w:val="restart"/>
            <w:tcBorders>
              <w:top w:val="single" w:sz="4" w:space="0" w:color="1B556B"/>
              <w:left w:val="nil"/>
              <w:bottom w:val="nil"/>
              <w:right w:val="nil"/>
            </w:tcBorders>
            <w:vAlign w:val="center"/>
          </w:tcPr>
          <w:p w14:paraId="4006BA17" w14:textId="77777777" w:rsidR="0010265C" w:rsidRPr="00261B7A" w:rsidRDefault="0010265C" w:rsidP="00D41492">
            <w:pPr>
              <w:pStyle w:val="TableText"/>
              <w:spacing w:before="40" w:after="40"/>
            </w:pPr>
            <w:r w:rsidRPr="00261B7A">
              <w:t>Other temperate forests</w:t>
            </w:r>
          </w:p>
        </w:tc>
        <w:tc>
          <w:tcPr>
            <w:tcW w:w="3430" w:type="dxa"/>
            <w:tcBorders>
              <w:top w:val="single" w:sz="4" w:space="0" w:color="1B556B"/>
              <w:left w:val="nil"/>
              <w:bottom w:val="nil"/>
              <w:right w:val="nil"/>
            </w:tcBorders>
          </w:tcPr>
          <w:p w14:paraId="5D1DD919" w14:textId="77777777" w:rsidR="0010265C" w:rsidRPr="00261B7A" w:rsidRDefault="0010265C" w:rsidP="00D41492">
            <w:pPr>
              <w:pStyle w:val="TableText"/>
              <w:spacing w:before="40" w:after="40"/>
            </w:pPr>
            <w:r w:rsidRPr="00261B7A">
              <w:t>Post logging slash burn</w:t>
            </w:r>
          </w:p>
        </w:tc>
        <w:tc>
          <w:tcPr>
            <w:tcW w:w="2523" w:type="dxa"/>
            <w:tcBorders>
              <w:top w:val="single" w:sz="4" w:space="0" w:color="1B556B"/>
              <w:left w:val="nil"/>
              <w:bottom w:val="nil"/>
              <w:right w:val="nil"/>
            </w:tcBorders>
          </w:tcPr>
          <w:p w14:paraId="5D1E7EA1" w14:textId="77777777" w:rsidR="0010265C" w:rsidRPr="00261B7A" w:rsidRDefault="0010265C" w:rsidP="00E3117D">
            <w:pPr>
              <w:pStyle w:val="TableText"/>
              <w:spacing w:before="40" w:after="40"/>
            </w:pPr>
            <w:r w:rsidRPr="00261B7A">
              <w:t>0.62</w:t>
            </w:r>
          </w:p>
        </w:tc>
      </w:tr>
      <w:tr w:rsidR="0010265C" w:rsidRPr="00261B7A" w14:paraId="5FD0A68D" w14:textId="77777777" w:rsidTr="007017A7">
        <w:tc>
          <w:tcPr>
            <w:tcW w:w="704" w:type="dxa"/>
            <w:vMerge/>
            <w:tcBorders>
              <w:top w:val="nil"/>
              <w:left w:val="nil"/>
              <w:bottom w:val="nil"/>
              <w:right w:val="nil"/>
            </w:tcBorders>
          </w:tcPr>
          <w:p w14:paraId="184A54CB" w14:textId="77777777" w:rsidR="0010265C" w:rsidRPr="00261B7A" w:rsidRDefault="0010265C" w:rsidP="00D41492">
            <w:pPr>
              <w:pStyle w:val="TableTextBold"/>
              <w:spacing w:before="40" w:after="40"/>
              <w:jc w:val="center"/>
              <w:rPr>
                <w:noProof w:val="0"/>
              </w:rPr>
            </w:pPr>
          </w:p>
        </w:tc>
        <w:tc>
          <w:tcPr>
            <w:tcW w:w="1848" w:type="dxa"/>
            <w:vMerge/>
            <w:tcBorders>
              <w:top w:val="nil"/>
              <w:left w:val="nil"/>
              <w:bottom w:val="nil"/>
              <w:right w:val="nil"/>
            </w:tcBorders>
          </w:tcPr>
          <w:p w14:paraId="76A39E6C" w14:textId="77777777" w:rsidR="0010265C" w:rsidRPr="00261B7A" w:rsidRDefault="0010265C" w:rsidP="00D41492">
            <w:pPr>
              <w:pStyle w:val="TableText"/>
              <w:spacing w:before="40" w:after="40"/>
            </w:pPr>
          </w:p>
        </w:tc>
        <w:tc>
          <w:tcPr>
            <w:tcW w:w="3430" w:type="dxa"/>
            <w:tcBorders>
              <w:top w:val="nil"/>
              <w:left w:val="nil"/>
              <w:bottom w:val="nil"/>
              <w:right w:val="nil"/>
            </w:tcBorders>
          </w:tcPr>
          <w:p w14:paraId="7E019BA7" w14:textId="77777777" w:rsidR="0010265C" w:rsidRPr="00261B7A" w:rsidRDefault="0010265C" w:rsidP="00D41492">
            <w:pPr>
              <w:pStyle w:val="TableText"/>
              <w:spacing w:before="40" w:after="40"/>
            </w:pPr>
            <w:r w:rsidRPr="00261B7A">
              <w:t>Felled and burned (land clearing fire)</w:t>
            </w:r>
          </w:p>
        </w:tc>
        <w:tc>
          <w:tcPr>
            <w:tcW w:w="2523" w:type="dxa"/>
            <w:tcBorders>
              <w:top w:val="nil"/>
              <w:left w:val="nil"/>
              <w:bottom w:val="nil"/>
              <w:right w:val="nil"/>
            </w:tcBorders>
          </w:tcPr>
          <w:p w14:paraId="1EBD50C7" w14:textId="77777777" w:rsidR="0010265C" w:rsidRPr="00261B7A" w:rsidRDefault="0010265C" w:rsidP="00E3117D">
            <w:pPr>
              <w:pStyle w:val="TableText"/>
              <w:spacing w:before="40" w:after="40"/>
            </w:pPr>
            <w:r w:rsidRPr="00261B7A">
              <w:t>0.51</w:t>
            </w:r>
          </w:p>
        </w:tc>
      </w:tr>
      <w:tr w:rsidR="0010265C" w:rsidRPr="00261B7A" w14:paraId="25BD4A30" w14:textId="77777777" w:rsidTr="007017A7">
        <w:tc>
          <w:tcPr>
            <w:tcW w:w="704" w:type="dxa"/>
            <w:vMerge/>
            <w:tcBorders>
              <w:top w:val="nil"/>
              <w:left w:val="nil"/>
              <w:bottom w:val="single" w:sz="4" w:space="0" w:color="1B556B"/>
              <w:right w:val="nil"/>
            </w:tcBorders>
          </w:tcPr>
          <w:p w14:paraId="62925B44" w14:textId="77777777" w:rsidR="0010265C" w:rsidRPr="00261B7A" w:rsidRDefault="0010265C" w:rsidP="00D41492">
            <w:pPr>
              <w:pStyle w:val="TableTextBold"/>
              <w:spacing w:before="40" w:after="40"/>
              <w:jc w:val="center"/>
              <w:rPr>
                <w:noProof w:val="0"/>
              </w:rPr>
            </w:pPr>
          </w:p>
        </w:tc>
        <w:tc>
          <w:tcPr>
            <w:tcW w:w="5278" w:type="dxa"/>
            <w:gridSpan w:val="2"/>
            <w:tcBorders>
              <w:top w:val="nil"/>
              <w:left w:val="nil"/>
              <w:bottom w:val="single" w:sz="4" w:space="0" w:color="1B556B"/>
              <w:right w:val="nil"/>
            </w:tcBorders>
          </w:tcPr>
          <w:p w14:paraId="23C43D0F" w14:textId="77777777" w:rsidR="0010265C" w:rsidRPr="00261B7A" w:rsidRDefault="0010265C" w:rsidP="00D41492">
            <w:pPr>
              <w:pStyle w:val="TableText"/>
              <w:spacing w:before="40" w:after="40"/>
            </w:pPr>
            <w:r w:rsidRPr="00261B7A">
              <w:t>All “other” temperate forests</w:t>
            </w:r>
          </w:p>
        </w:tc>
        <w:tc>
          <w:tcPr>
            <w:tcW w:w="2523" w:type="dxa"/>
            <w:tcBorders>
              <w:top w:val="nil"/>
              <w:left w:val="nil"/>
              <w:bottom w:val="single" w:sz="4" w:space="0" w:color="1B556B"/>
              <w:right w:val="nil"/>
            </w:tcBorders>
          </w:tcPr>
          <w:p w14:paraId="3A673DDE" w14:textId="77777777" w:rsidR="0010265C" w:rsidRPr="00261B7A" w:rsidRDefault="0010265C" w:rsidP="00E3117D">
            <w:pPr>
              <w:pStyle w:val="TableText"/>
              <w:spacing w:before="40" w:after="40"/>
            </w:pPr>
            <w:r w:rsidRPr="00261B7A">
              <w:t>0.45</w:t>
            </w:r>
          </w:p>
        </w:tc>
      </w:tr>
      <w:tr w:rsidR="0010265C" w:rsidRPr="00261B7A" w14:paraId="6C5D4008" w14:textId="77777777" w:rsidTr="007017A7">
        <w:tc>
          <w:tcPr>
            <w:tcW w:w="704" w:type="dxa"/>
            <w:vMerge w:val="restart"/>
            <w:tcBorders>
              <w:top w:val="single" w:sz="4" w:space="0" w:color="1B556B"/>
              <w:left w:val="nil"/>
              <w:bottom w:val="nil"/>
              <w:right w:val="nil"/>
            </w:tcBorders>
            <w:textDirection w:val="btLr"/>
          </w:tcPr>
          <w:p w14:paraId="69D3D36D" w14:textId="77777777" w:rsidR="0010265C" w:rsidRPr="00261B7A" w:rsidRDefault="0010265C" w:rsidP="00D41492">
            <w:pPr>
              <w:pStyle w:val="TableTextBold"/>
              <w:spacing w:before="40" w:after="40"/>
              <w:jc w:val="center"/>
              <w:rPr>
                <w:noProof w:val="0"/>
              </w:rPr>
            </w:pPr>
            <w:r w:rsidRPr="00261B7A">
              <w:rPr>
                <w:noProof w:val="0"/>
              </w:rPr>
              <w:t>GWB and shrubland</w:t>
            </w:r>
          </w:p>
        </w:tc>
        <w:tc>
          <w:tcPr>
            <w:tcW w:w="5278" w:type="dxa"/>
            <w:gridSpan w:val="2"/>
            <w:tcBorders>
              <w:top w:val="single" w:sz="4" w:space="0" w:color="1B556B"/>
              <w:left w:val="nil"/>
              <w:bottom w:val="nil"/>
              <w:right w:val="nil"/>
            </w:tcBorders>
          </w:tcPr>
          <w:p w14:paraId="7E62DB14" w14:textId="77777777" w:rsidR="0010265C" w:rsidRPr="00261B7A" w:rsidRDefault="0010265C" w:rsidP="00D41492">
            <w:pPr>
              <w:pStyle w:val="TableText"/>
              <w:spacing w:before="40" w:after="40"/>
            </w:pPr>
            <w:r w:rsidRPr="00261B7A">
              <w:t>Shrubland (general)</w:t>
            </w:r>
          </w:p>
        </w:tc>
        <w:tc>
          <w:tcPr>
            <w:tcW w:w="2523" w:type="dxa"/>
            <w:tcBorders>
              <w:top w:val="single" w:sz="4" w:space="0" w:color="1B556B"/>
              <w:left w:val="nil"/>
              <w:bottom w:val="nil"/>
              <w:right w:val="nil"/>
            </w:tcBorders>
          </w:tcPr>
          <w:p w14:paraId="317B9058" w14:textId="77777777" w:rsidR="0010265C" w:rsidRPr="00261B7A" w:rsidRDefault="0010265C" w:rsidP="00E3117D">
            <w:pPr>
              <w:pStyle w:val="TableText"/>
              <w:spacing w:before="40" w:after="40"/>
            </w:pPr>
            <w:r w:rsidRPr="00261B7A">
              <w:t>0.95</w:t>
            </w:r>
          </w:p>
        </w:tc>
      </w:tr>
      <w:tr w:rsidR="0010265C" w:rsidRPr="00261B7A" w14:paraId="2578568B" w14:textId="77777777" w:rsidTr="007017A7">
        <w:tc>
          <w:tcPr>
            <w:tcW w:w="704" w:type="dxa"/>
            <w:vMerge/>
            <w:tcBorders>
              <w:top w:val="nil"/>
              <w:left w:val="nil"/>
              <w:bottom w:val="nil"/>
              <w:right w:val="nil"/>
            </w:tcBorders>
          </w:tcPr>
          <w:p w14:paraId="506E585C" w14:textId="77777777" w:rsidR="0010265C" w:rsidRPr="00261B7A" w:rsidRDefault="0010265C" w:rsidP="00D41492">
            <w:pPr>
              <w:pStyle w:val="TableTextBold"/>
              <w:spacing w:before="40" w:after="40"/>
              <w:jc w:val="center"/>
              <w:rPr>
                <w:noProof w:val="0"/>
              </w:rPr>
            </w:pPr>
          </w:p>
        </w:tc>
        <w:tc>
          <w:tcPr>
            <w:tcW w:w="5278" w:type="dxa"/>
            <w:gridSpan w:val="2"/>
            <w:tcBorders>
              <w:top w:val="nil"/>
              <w:left w:val="nil"/>
              <w:bottom w:val="nil"/>
              <w:right w:val="nil"/>
            </w:tcBorders>
          </w:tcPr>
          <w:p w14:paraId="3440992A" w14:textId="77777777" w:rsidR="0010265C" w:rsidRPr="00261B7A" w:rsidRDefault="0010265C" w:rsidP="00D41492">
            <w:pPr>
              <w:pStyle w:val="TableText"/>
              <w:spacing w:before="40" w:after="40"/>
            </w:pPr>
            <w:r w:rsidRPr="00261B7A">
              <w:t>All shrubland</w:t>
            </w:r>
          </w:p>
        </w:tc>
        <w:tc>
          <w:tcPr>
            <w:tcW w:w="2523" w:type="dxa"/>
            <w:tcBorders>
              <w:top w:val="nil"/>
              <w:left w:val="nil"/>
              <w:bottom w:val="nil"/>
              <w:right w:val="nil"/>
            </w:tcBorders>
          </w:tcPr>
          <w:p w14:paraId="2D40AEA2" w14:textId="77777777" w:rsidR="0010265C" w:rsidRPr="00261B7A" w:rsidRDefault="0010265C" w:rsidP="00E3117D">
            <w:pPr>
              <w:pStyle w:val="TableText"/>
              <w:spacing w:before="40" w:after="40"/>
            </w:pPr>
            <w:r w:rsidRPr="00261B7A">
              <w:t>0.72</w:t>
            </w:r>
          </w:p>
        </w:tc>
      </w:tr>
      <w:tr w:rsidR="0010265C" w:rsidRPr="00261B7A" w14:paraId="5BD29D76" w14:textId="77777777" w:rsidTr="007017A7">
        <w:tc>
          <w:tcPr>
            <w:tcW w:w="704" w:type="dxa"/>
            <w:vMerge/>
            <w:tcBorders>
              <w:top w:val="nil"/>
              <w:left w:val="nil"/>
              <w:bottom w:val="single" w:sz="4" w:space="0" w:color="1B556B"/>
              <w:right w:val="nil"/>
            </w:tcBorders>
          </w:tcPr>
          <w:p w14:paraId="149CD63C" w14:textId="77777777" w:rsidR="0010265C" w:rsidRPr="00261B7A" w:rsidRDefault="0010265C" w:rsidP="00D41492">
            <w:pPr>
              <w:pStyle w:val="TableTextBold"/>
              <w:spacing w:before="40" w:after="40"/>
              <w:jc w:val="center"/>
              <w:rPr>
                <w:noProof w:val="0"/>
              </w:rPr>
            </w:pPr>
          </w:p>
        </w:tc>
        <w:tc>
          <w:tcPr>
            <w:tcW w:w="5278" w:type="dxa"/>
            <w:gridSpan w:val="2"/>
            <w:tcBorders>
              <w:top w:val="nil"/>
              <w:left w:val="nil"/>
              <w:bottom w:val="single" w:sz="4" w:space="0" w:color="1B556B"/>
              <w:right w:val="nil"/>
            </w:tcBorders>
          </w:tcPr>
          <w:p w14:paraId="5FD37710" w14:textId="77777777" w:rsidR="0010265C" w:rsidRPr="00261B7A" w:rsidRDefault="0010265C" w:rsidP="00D41492">
            <w:pPr>
              <w:pStyle w:val="TableText"/>
              <w:spacing w:before="40" w:after="40"/>
            </w:pPr>
            <w:r w:rsidRPr="00261B7A">
              <w:t>GWB NZ-specific</w:t>
            </w:r>
          </w:p>
        </w:tc>
        <w:tc>
          <w:tcPr>
            <w:tcW w:w="2523" w:type="dxa"/>
            <w:tcBorders>
              <w:top w:val="nil"/>
              <w:left w:val="nil"/>
              <w:bottom w:val="single" w:sz="4" w:space="0" w:color="1B556B"/>
              <w:right w:val="nil"/>
            </w:tcBorders>
          </w:tcPr>
          <w:p w14:paraId="4E8B94A7" w14:textId="77777777" w:rsidR="0010265C" w:rsidRPr="00261B7A" w:rsidRDefault="0010265C" w:rsidP="00E3117D">
            <w:pPr>
              <w:pStyle w:val="TableText"/>
              <w:spacing w:before="40" w:after="40"/>
            </w:pPr>
            <w:r w:rsidRPr="00261B7A">
              <w:t>0.7*</w:t>
            </w:r>
          </w:p>
        </w:tc>
      </w:tr>
      <w:tr w:rsidR="0010265C" w:rsidRPr="00261B7A" w14:paraId="69ADD625" w14:textId="77777777" w:rsidTr="007017A7">
        <w:tc>
          <w:tcPr>
            <w:tcW w:w="704" w:type="dxa"/>
            <w:vMerge w:val="restart"/>
            <w:tcBorders>
              <w:top w:val="single" w:sz="4" w:space="0" w:color="1B556B"/>
              <w:left w:val="nil"/>
              <w:bottom w:val="nil"/>
              <w:right w:val="nil"/>
            </w:tcBorders>
            <w:textDirection w:val="btLr"/>
          </w:tcPr>
          <w:p w14:paraId="39EFAD0E" w14:textId="77777777" w:rsidR="0010265C" w:rsidRPr="00261B7A" w:rsidRDefault="0010265C" w:rsidP="00D41492">
            <w:pPr>
              <w:pStyle w:val="TableTextBold"/>
              <w:spacing w:before="40" w:after="40"/>
              <w:jc w:val="center"/>
              <w:rPr>
                <w:noProof w:val="0"/>
              </w:rPr>
            </w:pPr>
            <w:r w:rsidRPr="00261B7A">
              <w:rPr>
                <w:noProof w:val="0"/>
              </w:rPr>
              <w:t>Grassland</w:t>
            </w:r>
          </w:p>
        </w:tc>
        <w:tc>
          <w:tcPr>
            <w:tcW w:w="5278" w:type="dxa"/>
            <w:gridSpan w:val="2"/>
            <w:tcBorders>
              <w:top w:val="single" w:sz="4" w:space="0" w:color="1B556B"/>
              <w:left w:val="nil"/>
              <w:bottom w:val="nil"/>
              <w:right w:val="nil"/>
            </w:tcBorders>
          </w:tcPr>
          <w:p w14:paraId="3ACECF39" w14:textId="77777777" w:rsidR="0010265C" w:rsidRPr="00261B7A" w:rsidRDefault="0010265C" w:rsidP="00D41492">
            <w:pPr>
              <w:pStyle w:val="TableText"/>
              <w:spacing w:before="40" w:after="40"/>
            </w:pPr>
            <w:r w:rsidRPr="00261B7A">
              <w:t>All savannah/grasslands (early dry season burns)</w:t>
            </w:r>
          </w:p>
        </w:tc>
        <w:tc>
          <w:tcPr>
            <w:tcW w:w="2523" w:type="dxa"/>
            <w:tcBorders>
              <w:top w:val="single" w:sz="4" w:space="0" w:color="1B556B"/>
              <w:left w:val="nil"/>
              <w:bottom w:val="nil"/>
              <w:right w:val="nil"/>
            </w:tcBorders>
          </w:tcPr>
          <w:p w14:paraId="2AF08F15" w14:textId="77777777" w:rsidR="0010265C" w:rsidRPr="00261B7A" w:rsidRDefault="0010265C" w:rsidP="00E3117D">
            <w:pPr>
              <w:pStyle w:val="TableText"/>
              <w:spacing w:before="40" w:after="40"/>
            </w:pPr>
            <w:r w:rsidRPr="00261B7A">
              <w:t>0.74</w:t>
            </w:r>
          </w:p>
        </w:tc>
      </w:tr>
      <w:tr w:rsidR="0010265C" w:rsidRPr="00261B7A" w14:paraId="6567892F" w14:textId="77777777" w:rsidTr="007017A7">
        <w:tc>
          <w:tcPr>
            <w:tcW w:w="704" w:type="dxa"/>
            <w:vMerge/>
            <w:tcBorders>
              <w:top w:val="nil"/>
              <w:left w:val="nil"/>
              <w:bottom w:val="nil"/>
              <w:right w:val="nil"/>
            </w:tcBorders>
          </w:tcPr>
          <w:p w14:paraId="4CFD2826" w14:textId="77777777" w:rsidR="0010265C" w:rsidRPr="00261B7A" w:rsidRDefault="0010265C" w:rsidP="00D41492">
            <w:pPr>
              <w:spacing w:before="40" w:after="40"/>
              <w:jc w:val="center"/>
              <w:rPr>
                <w:rFonts w:cstheme="minorHAnsi"/>
                <w:sz w:val="16"/>
                <w:szCs w:val="16"/>
              </w:rPr>
            </w:pPr>
          </w:p>
        </w:tc>
        <w:tc>
          <w:tcPr>
            <w:tcW w:w="5278" w:type="dxa"/>
            <w:gridSpan w:val="2"/>
            <w:tcBorders>
              <w:top w:val="nil"/>
              <w:left w:val="nil"/>
              <w:bottom w:val="nil"/>
              <w:right w:val="nil"/>
            </w:tcBorders>
          </w:tcPr>
          <w:p w14:paraId="26FA2A6C" w14:textId="77777777" w:rsidR="0010265C" w:rsidRPr="00261B7A" w:rsidRDefault="0010265C" w:rsidP="00D41492">
            <w:pPr>
              <w:pStyle w:val="TableText"/>
              <w:spacing w:before="40" w:after="40"/>
            </w:pPr>
            <w:r w:rsidRPr="00261B7A">
              <w:t>All savannah/grasslands (mid/late dry season burns)</w:t>
            </w:r>
          </w:p>
        </w:tc>
        <w:tc>
          <w:tcPr>
            <w:tcW w:w="2523" w:type="dxa"/>
            <w:tcBorders>
              <w:top w:val="nil"/>
              <w:left w:val="nil"/>
              <w:bottom w:val="nil"/>
              <w:right w:val="nil"/>
            </w:tcBorders>
          </w:tcPr>
          <w:p w14:paraId="663A4B4C" w14:textId="77777777" w:rsidR="0010265C" w:rsidRPr="00261B7A" w:rsidRDefault="0010265C" w:rsidP="00E3117D">
            <w:pPr>
              <w:pStyle w:val="TableText"/>
              <w:spacing w:before="40" w:after="40"/>
            </w:pPr>
            <w:r w:rsidRPr="00261B7A">
              <w:t>0.77</w:t>
            </w:r>
          </w:p>
        </w:tc>
      </w:tr>
      <w:tr w:rsidR="0010265C" w:rsidRPr="00261B7A" w14:paraId="03923251" w14:textId="77777777" w:rsidTr="007017A7">
        <w:tc>
          <w:tcPr>
            <w:tcW w:w="704" w:type="dxa"/>
            <w:vMerge/>
            <w:tcBorders>
              <w:top w:val="nil"/>
              <w:left w:val="nil"/>
              <w:bottom w:val="nil"/>
              <w:right w:val="nil"/>
            </w:tcBorders>
          </w:tcPr>
          <w:p w14:paraId="5006C377" w14:textId="77777777" w:rsidR="0010265C" w:rsidRPr="00261B7A" w:rsidRDefault="0010265C" w:rsidP="00D41492">
            <w:pPr>
              <w:spacing w:before="40" w:after="40"/>
              <w:jc w:val="center"/>
              <w:rPr>
                <w:rFonts w:cstheme="minorHAnsi"/>
                <w:sz w:val="16"/>
                <w:szCs w:val="16"/>
              </w:rPr>
            </w:pPr>
          </w:p>
        </w:tc>
        <w:tc>
          <w:tcPr>
            <w:tcW w:w="5278" w:type="dxa"/>
            <w:gridSpan w:val="2"/>
            <w:tcBorders>
              <w:top w:val="nil"/>
              <w:left w:val="nil"/>
              <w:bottom w:val="nil"/>
              <w:right w:val="nil"/>
            </w:tcBorders>
          </w:tcPr>
          <w:p w14:paraId="2E857B95" w14:textId="77777777" w:rsidR="0010265C" w:rsidRPr="00261B7A" w:rsidRDefault="0010265C" w:rsidP="00D41492">
            <w:pPr>
              <w:pStyle w:val="TableText"/>
              <w:spacing w:before="40" w:after="40"/>
            </w:pPr>
            <w:r w:rsidRPr="00261B7A">
              <w:t>Average of IPCC savannah/grasslands</w:t>
            </w:r>
          </w:p>
        </w:tc>
        <w:tc>
          <w:tcPr>
            <w:tcW w:w="2523" w:type="dxa"/>
            <w:tcBorders>
              <w:top w:val="nil"/>
              <w:left w:val="nil"/>
              <w:bottom w:val="nil"/>
              <w:right w:val="nil"/>
            </w:tcBorders>
          </w:tcPr>
          <w:p w14:paraId="51E2C451" w14:textId="77777777" w:rsidR="0010265C" w:rsidRPr="00261B7A" w:rsidRDefault="0010265C" w:rsidP="00E3117D">
            <w:pPr>
              <w:pStyle w:val="TableText"/>
              <w:spacing w:before="40" w:after="40"/>
            </w:pPr>
            <w:r w:rsidRPr="00261B7A">
              <w:t>0.755</w:t>
            </w:r>
          </w:p>
        </w:tc>
      </w:tr>
      <w:tr w:rsidR="0010265C" w:rsidRPr="00261B7A" w14:paraId="63CCAA61" w14:textId="77777777" w:rsidTr="007017A7">
        <w:tc>
          <w:tcPr>
            <w:tcW w:w="704" w:type="dxa"/>
            <w:vMerge/>
            <w:tcBorders>
              <w:top w:val="nil"/>
              <w:left w:val="nil"/>
              <w:bottom w:val="single" w:sz="4" w:space="0" w:color="auto"/>
              <w:right w:val="nil"/>
            </w:tcBorders>
          </w:tcPr>
          <w:p w14:paraId="1AA10D91" w14:textId="77777777" w:rsidR="0010265C" w:rsidRPr="00261B7A" w:rsidRDefault="0010265C" w:rsidP="00D41492">
            <w:pPr>
              <w:spacing w:before="40" w:after="40"/>
              <w:jc w:val="center"/>
              <w:rPr>
                <w:rFonts w:cstheme="minorHAnsi"/>
                <w:sz w:val="16"/>
                <w:szCs w:val="16"/>
              </w:rPr>
            </w:pPr>
          </w:p>
        </w:tc>
        <w:tc>
          <w:tcPr>
            <w:tcW w:w="5278" w:type="dxa"/>
            <w:gridSpan w:val="2"/>
            <w:tcBorders>
              <w:top w:val="nil"/>
              <w:left w:val="nil"/>
              <w:bottom w:val="single" w:sz="4" w:space="0" w:color="auto"/>
              <w:right w:val="nil"/>
            </w:tcBorders>
          </w:tcPr>
          <w:p w14:paraId="2F9239BC" w14:textId="77777777" w:rsidR="0010265C" w:rsidRPr="00261B7A" w:rsidRDefault="0010265C" w:rsidP="00D41492">
            <w:pPr>
              <w:pStyle w:val="TableText"/>
              <w:spacing w:before="40" w:after="40"/>
            </w:pPr>
            <w:r w:rsidRPr="00261B7A">
              <w:t>Controlled grassland burn NZ specific</w:t>
            </w:r>
          </w:p>
        </w:tc>
        <w:tc>
          <w:tcPr>
            <w:tcW w:w="2523" w:type="dxa"/>
            <w:tcBorders>
              <w:top w:val="nil"/>
              <w:left w:val="nil"/>
              <w:bottom w:val="single" w:sz="4" w:space="0" w:color="auto"/>
              <w:right w:val="nil"/>
            </w:tcBorders>
          </w:tcPr>
          <w:p w14:paraId="17BDB4C5" w14:textId="77777777" w:rsidR="0010265C" w:rsidRPr="00261B7A" w:rsidRDefault="0010265C" w:rsidP="00E3117D">
            <w:pPr>
              <w:pStyle w:val="TableText"/>
              <w:spacing w:before="40" w:after="40"/>
            </w:pPr>
            <w:r w:rsidRPr="00261B7A">
              <w:t>0.555**</w:t>
            </w:r>
          </w:p>
        </w:tc>
      </w:tr>
    </w:tbl>
    <w:p w14:paraId="3DB129A6" w14:textId="77777777" w:rsidR="0010265C" w:rsidRPr="00261B7A" w:rsidRDefault="0010265C" w:rsidP="0010265C">
      <w:pPr>
        <w:pStyle w:val="Noteundertable"/>
      </w:pPr>
      <w:r w:rsidRPr="00261B7A">
        <w:rPr>
          <w:b/>
        </w:rPr>
        <w:t>Note:</w:t>
      </w:r>
      <w:r w:rsidRPr="00261B7A">
        <w:tab/>
        <w:t>GWB = grassland with woody biomass. *Wakelin (unpublished</w:t>
      </w:r>
      <w:r w:rsidRPr="00261B7A" w:rsidDel="003847CC">
        <w:t>(</w:t>
      </w:r>
      <w:r w:rsidRPr="00261B7A">
        <w:t>e)) **Payton and Pearce (2009).</w:t>
      </w:r>
    </w:p>
    <w:p w14:paraId="50979A0C" w14:textId="77777777" w:rsidR="0010265C" w:rsidRPr="00261B7A" w:rsidRDefault="0010265C" w:rsidP="0010265C">
      <w:pPr>
        <w:pStyle w:val="BodyText"/>
        <w:spacing w:after="100"/>
      </w:pPr>
      <w:r w:rsidRPr="00261B7A">
        <w:t>For all land uses, CO</w:t>
      </w:r>
      <w:r w:rsidRPr="00261B7A">
        <w:rPr>
          <w:vertAlign w:val="subscript"/>
        </w:rPr>
        <w:t>2</w:t>
      </w:r>
      <w:r w:rsidRPr="00261B7A">
        <w:t xml:space="preserve"> emissions are captured in the general stock change calculation following the 2006 IPCC Guidelines (IPCC, 2006a). Carbon dioxide</w:t>
      </w:r>
      <w:r w:rsidRPr="00261B7A" w:rsidDel="00097907">
        <w:t xml:space="preserve"> </w:t>
      </w:r>
      <w:r w:rsidRPr="00261B7A">
        <w:t xml:space="preserve">emissions resulting from </w:t>
      </w:r>
      <w:r w:rsidRPr="00261B7A">
        <w:rPr>
          <w:i/>
        </w:rPr>
        <w:t>Biomass burning</w:t>
      </w:r>
      <w:r w:rsidRPr="00261B7A">
        <w:t xml:space="preserve"> are reported as IE, where emissions are captured in the stock change calculation within the land use category.</w:t>
      </w:r>
    </w:p>
    <w:p w14:paraId="62FDA8E8" w14:textId="77777777" w:rsidR="0010265C" w:rsidRPr="00261B7A" w:rsidRDefault="0010265C" w:rsidP="0010265C">
      <w:pPr>
        <w:pStyle w:val="BodyText"/>
        <w:spacing w:after="100"/>
        <w:rPr>
          <w:spacing w:val="-2"/>
        </w:rPr>
      </w:pPr>
      <w:r w:rsidRPr="00261B7A">
        <w:t xml:space="preserve">In </w:t>
      </w:r>
      <w:r w:rsidRPr="00261B7A">
        <w:rPr>
          <w:i/>
          <w:iCs/>
        </w:rPr>
        <w:t>Grassland</w:t>
      </w:r>
      <w:r w:rsidRPr="00261B7A">
        <w:t>, CO</w:t>
      </w:r>
      <w:r w:rsidRPr="00261B7A">
        <w:rPr>
          <w:vertAlign w:val="subscript"/>
        </w:rPr>
        <w:t xml:space="preserve">2 </w:t>
      </w:r>
      <w:r w:rsidRPr="00261B7A">
        <w:t>emissions from biomass burning are assumed to be equal to subsequent regrowth. The assumption of equivalence is accepted as reasonable in this scenario as per the 2006 IPCC Guidelines, sections 2.4 and 6.2.4 (IPCC, 2006a).</w:t>
      </w:r>
    </w:p>
    <w:p w14:paraId="3845B15C" w14:textId="77777777" w:rsidR="0010265C" w:rsidRPr="00261B7A" w:rsidRDefault="0010265C" w:rsidP="0010265C">
      <w:pPr>
        <w:pStyle w:val="BodyText"/>
        <w:spacing w:after="100"/>
      </w:pPr>
      <w:r w:rsidRPr="00261B7A">
        <w:rPr>
          <w:spacing w:val="-2"/>
        </w:rPr>
        <w:t xml:space="preserve">In </w:t>
      </w:r>
      <w:r w:rsidRPr="00261B7A">
        <w:rPr>
          <w:i/>
          <w:iCs/>
          <w:spacing w:val="-2"/>
        </w:rPr>
        <w:t>Cropland</w:t>
      </w:r>
      <w:r w:rsidRPr="00261B7A">
        <w:rPr>
          <w:spacing w:val="-2"/>
        </w:rPr>
        <w:t xml:space="preserve">, </w:t>
      </w:r>
      <w:r w:rsidRPr="00261B7A">
        <w:t>CH</w:t>
      </w:r>
      <w:r w:rsidRPr="00261B7A">
        <w:rPr>
          <w:vertAlign w:val="subscript"/>
        </w:rPr>
        <w:t>4</w:t>
      </w:r>
      <w:r w:rsidRPr="00261B7A">
        <w:t xml:space="preserve"> and N</w:t>
      </w:r>
      <w:r w:rsidRPr="00261B7A">
        <w:rPr>
          <w:vertAlign w:val="subscript"/>
        </w:rPr>
        <w:t>2</w:t>
      </w:r>
      <w:r w:rsidRPr="00261B7A">
        <w:t xml:space="preserve">O emissions from controlled burning are reported as IE. This is because emissions from the burning of crop stubble associated with controlled burning in </w:t>
      </w:r>
      <w:r w:rsidRPr="00261B7A">
        <w:rPr>
          <w:i/>
          <w:iCs/>
        </w:rPr>
        <w:t>Cropland</w:t>
      </w:r>
      <w:r w:rsidRPr="00261B7A">
        <w:t xml:space="preserve"> are reported under the Agriculture sector and reported within CRF table 3.F.</w:t>
      </w:r>
    </w:p>
    <w:p w14:paraId="64B1F188" w14:textId="77777777" w:rsidR="0010265C" w:rsidRPr="00261B7A" w:rsidRDefault="0010265C" w:rsidP="0010265C">
      <w:pPr>
        <w:pStyle w:val="BodyText"/>
        <w:spacing w:after="100"/>
      </w:pPr>
      <w:r w:rsidRPr="00261B7A">
        <w:rPr>
          <w:spacing w:val="-2"/>
        </w:rPr>
        <w:t>Both CO and NO</w:t>
      </w:r>
      <w:r w:rsidRPr="00261B7A">
        <w:rPr>
          <w:spacing w:val="-2"/>
          <w:vertAlign w:val="subscript"/>
        </w:rPr>
        <w:t>x</w:t>
      </w:r>
      <w:r w:rsidRPr="00261B7A">
        <w:rPr>
          <w:spacing w:val="-2"/>
        </w:rPr>
        <w:t xml:space="preserve"> are also released from biomass burning and are reported in relevant aggregat</w:t>
      </w:r>
      <w:r w:rsidRPr="00261B7A">
        <w:t>e land use categories. Carbon monoxide and NOx emissions from biomass burning are captured as part of the biomass burning model and reported in the CRF.</w:t>
      </w:r>
    </w:p>
    <w:p w14:paraId="198BE9D1" w14:textId="77777777" w:rsidR="0010265C" w:rsidRPr="00261B7A" w:rsidRDefault="0010265C" w:rsidP="0010265C">
      <w:pPr>
        <w:pStyle w:val="BodyText"/>
      </w:pPr>
      <w:r w:rsidRPr="00261B7A">
        <w:t>Controlled burning emissions are reported within:</w:t>
      </w:r>
    </w:p>
    <w:p w14:paraId="2795B09F" w14:textId="77777777" w:rsidR="0010265C" w:rsidRPr="00261B7A" w:rsidRDefault="0010265C" w:rsidP="00294EC5">
      <w:pPr>
        <w:pStyle w:val="Bullet"/>
        <w:numPr>
          <w:ilvl w:val="0"/>
          <w:numId w:val="25"/>
        </w:numPr>
        <w:spacing w:after="100"/>
        <w:ind w:left="397" w:hanging="397"/>
      </w:pPr>
      <w:r w:rsidRPr="00261B7A">
        <w:rPr>
          <w:i/>
        </w:rPr>
        <w:t>Grassland</w:t>
      </w:r>
      <w:r w:rsidRPr="00261B7A">
        <w:t xml:space="preserve"> converted to</w:t>
      </w:r>
      <w:r w:rsidRPr="00261B7A">
        <w:rPr>
          <w:i/>
        </w:rPr>
        <w:t xml:space="preserve"> Forest land </w:t>
      </w:r>
      <w:r w:rsidRPr="00261B7A">
        <w:t>(due to site preparation for conversion)</w:t>
      </w:r>
    </w:p>
    <w:p w14:paraId="34A5985B" w14:textId="77777777" w:rsidR="0010265C" w:rsidRPr="00261B7A" w:rsidRDefault="0010265C" w:rsidP="00294EC5">
      <w:pPr>
        <w:pStyle w:val="Bullet"/>
        <w:numPr>
          <w:ilvl w:val="0"/>
          <w:numId w:val="25"/>
        </w:numPr>
        <w:spacing w:after="100"/>
        <w:ind w:left="397" w:hanging="397"/>
      </w:pPr>
      <w:r w:rsidRPr="00261B7A">
        <w:rPr>
          <w:i/>
        </w:rPr>
        <w:t>Forest land remaining forest land</w:t>
      </w:r>
      <w:r w:rsidRPr="00261B7A">
        <w:t xml:space="preserve"> (from the clearing of vegetation (natural forest) before the establishment of exotic planted forest and the burning of post-harvest slash before restocking)</w:t>
      </w:r>
    </w:p>
    <w:p w14:paraId="4FD2B7AB" w14:textId="77777777" w:rsidR="0010265C" w:rsidRPr="00261B7A" w:rsidRDefault="0010265C" w:rsidP="00294EC5">
      <w:pPr>
        <w:pStyle w:val="Bullet"/>
        <w:numPr>
          <w:ilvl w:val="0"/>
          <w:numId w:val="25"/>
        </w:numPr>
        <w:spacing w:after="100"/>
        <w:ind w:left="397" w:hanging="397"/>
      </w:pPr>
      <w:r w:rsidRPr="00261B7A">
        <w:rPr>
          <w:i/>
        </w:rPr>
        <w:t xml:space="preserve">Forest land </w:t>
      </w:r>
      <w:r w:rsidRPr="00261B7A">
        <w:t xml:space="preserve">converted to </w:t>
      </w:r>
      <w:r w:rsidRPr="00261B7A">
        <w:rPr>
          <w:i/>
        </w:rPr>
        <w:t>Grassland</w:t>
      </w:r>
      <w:r w:rsidRPr="00261B7A">
        <w:t xml:space="preserve"> (from controlled burning associated with deforestation) </w:t>
      </w:r>
    </w:p>
    <w:p w14:paraId="61DD0871" w14:textId="77777777" w:rsidR="0010265C" w:rsidRPr="00261B7A" w:rsidRDefault="0010265C" w:rsidP="00294EC5">
      <w:pPr>
        <w:pStyle w:val="Bullet"/>
        <w:numPr>
          <w:ilvl w:val="0"/>
          <w:numId w:val="25"/>
        </w:numPr>
        <w:ind w:left="397" w:hanging="397"/>
      </w:pPr>
      <w:r w:rsidRPr="00261B7A">
        <w:rPr>
          <w:i/>
        </w:rPr>
        <w:t>Grassland remaining grassland</w:t>
      </w:r>
      <w:r w:rsidRPr="00261B7A">
        <w:t xml:space="preserve"> (due to savanna (tussock) and pastureland management practices).</w:t>
      </w:r>
    </w:p>
    <w:p w14:paraId="7799B169" w14:textId="77777777" w:rsidR="0010265C" w:rsidRPr="00261B7A" w:rsidRDefault="0010265C" w:rsidP="0010265C">
      <w:pPr>
        <w:pStyle w:val="BodyText"/>
      </w:pPr>
      <w:r w:rsidRPr="00261B7A">
        <w:t>Emissions of CO</w:t>
      </w:r>
      <w:r w:rsidRPr="00261B7A">
        <w:rPr>
          <w:vertAlign w:val="subscript"/>
        </w:rPr>
        <w:t>2</w:t>
      </w:r>
      <w:r w:rsidRPr="00261B7A">
        <w:t xml:space="preserve"> from wildfires in </w:t>
      </w:r>
      <w:r w:rsidRPr="00261B7A">
        <w:rPr>
          <w:i/>
        </w:rPr>
        <w:t>Forest land remaining forest land</w:t>
      </w:r>
      <w:r w:rsidRPr="00261B7A">
        <w:t xml:space="preserve"> are included in the general stock change calculation. In </w:t>
      </w:r>
      <w:r w:rsidRPr="00261B7A">
        <w:rPr>
          <w:i/>
        </w:rPr>
        <w:t>Forest land remaining forest land</w:t>
      </w:r>
      <w:r w:rsidRPr="00261B7A">
        <w:t>, burned stands are either harvested (so emissions are included with the harvesting emissions) or left to grow on at reduced stocking. Carbon dioxide emissions are reported when the stand is harvested or deforested (with no reduction in stock when compared with an unburned stand). For both natural and planted forests, emissions from areas burned are captured within the forest plot networks that New Zealand uses to estimate carbon stock change. In these cases, to avoid double counting of CO</w:t>
      </w:r>
      <w:r w:rsidRPr="00261B7A">
        <w:rPr>
          <w:vertAlign w:val="subscript"/>
        </w:rPr>
        <w:t>2</w:t>
      </w:r>
      <w:r w:rsidRPr="00261B7A">
        <w:t xml:space="preserve"> emissions, the notation key IE is used.</w:t>
      </w:r>
    </w:p>
    <w:p w14:paraId="5E380B98" w14:textId="77777777" w:rsidR="0010265C" w:rsidRPr="00261B7A" w:rsidRDefault="0010265C" w:rsidP="0010265C">
      <w:pPr>
        <w:pStyle w:val="BodyText"/>
        <w:spacing w:before="100" w:after="100"/>
      </w:pPr>
      <w:r w:rsidRPr="00261B7A">
        <w:t xml:space="preserve">Wildfire activity data are sourced from Fire and Emergency New Zealand (FENZ). Historically, burned areas were estimated and allocated by field staff to vegetation types: grass, tussock, gorse, scrub, wetland, plantation forest and indigenous forest. The process (since 2017) now involves mapping the burn area. This area is overlaid on the 2016 land use map in order to determine what type of land cover has been burnt. </w:t>
      </w:r>
    </w:p>
    <w:p w14:paraId="2721A933" w14:textId="77777777" w:rsidR="0010265C" w:rsidRPr="00261B7A" w:rsidRDefault="0010265C" w:rsidP="0010265C">
      <w:pPr>
        <w:pStyle w:val="BodyText"/>
        <w:spacing w:before="100" w:after="100"/>
        <w:rPr>
          <w:rFonts w:cs="Courier New"/>
        </w:rPr>
      </w:pPr>
      <w:r w:rsidRPr="00261B7A">
        <w:t xml:space="preserve">Activity data for controlled burning for </w:t>
      </w:r>
      <w:r w:rsidRPr="00261B7A">
        <w:rPr>
          <w:i/>
        </w:rPr>
        <w:t>Forest land</w:t>
      </w:r>
      <w:r w:rsidRPr="00261B7A">
        <w:t xml:space="preserve"> are estimated based on a 2011 survey of forest owners (Wakelin, unpublished(d)). Activity data (area of land-use change) for </w:t>
      </w:r>
      <w:r w:rsidRPr="00261B7A">
        <w:rPr>
          <w:i/>
          <w:iCs/>
        </w:rPr>
        <w:t>Grassland with woody biomass</w:t>
      </w:r>
      <w:r w:rsidRPr="00261B7A">
        <w:t xml:space="preserve"> converted to forest are based on annual land-use changes, as estimated in section 6.2, and an estimate of area burned from a survey of forest owners. Earlier estimates of controlled burning in planted forest (Forest Industry Training and Education Council, 2005; Robertson, 1998) were used in addition to the 2011 survey to provide activity data throughout the time series. Further details of the survey findings and extrapolation can be found in annex A3.2.7.</w:t>
      </w:r>
    </w:p>
    <w:p w14:paraId="5164E158" w14:textId="77777777" w:rsidR="0010265C" w:rsidRPr="00261B7A" w:rsidRDefault="0010265C" w:rsidP="0010265C">
      <w:pPr>
        <w:pStyle w:val="BodyText"/>
        <w:spacing w:before="100" w:after="100"/>
      </w:pPr>
      <w:r w:rsidRPr="00261B7A">
        <w:t>Activity data are combined with emission factors derived from the national forest plot network (see table 6.3.8) to estimate non-CO</w:t>
      </w:r>
      <w:r w:rsidRPr="00261B7A">
        <w:rPr>
          <w:vertAlign w:val="subscript"/>
        </w:rPr>
        <w:t>2</w:t>
      </w:r>
      <w:r w:rsidRPr="00261B7A">
        <w:t xml:space="preserve"> emissions from burning associated with the clearing of vegetation before the establishment of exotic planted forest. Below-ground biomass is assumed not to burn. Further detailed information on the methodology applied can be found in annex A3.2.7.</w:t>
      </w:r>
    </w:p>
    <w:p w14:paraId="2625C250" w14:textId="77777777" w:rsidR="0010265C" w:rsidRPr="00261B7A" w:rsidRDefault="0010265C" w:rsidP="0010265C">
      <w:pPr>
        <w:pStyle w:val="BodyText"/>
        <w:spacing w:before="100" w:after="100"/>
      </w:pPr>
      <w:r w:rsidRPr="00261B7A">
        <w:rPr>
          <w:i/>
        </w:rPr>
        <w:t>Biomass burning</w:t>
      </w:r>
      <w:r w:rsidRPr="00261B7A">
        <w:t xml:space="preserve"> is not a key category for New Zealand.</w:t>
      </w:r>
    </w:p>
    <w:p w14:paraId="119C4CA2" w14:textId="77777777" w:rsidR="0010265C" w:rsidRPr="00261B7A" w:rsidRDefault="0010265C" w:rsidP="0010265C">
      <w:pPr>
        <w:pStyle w:val="Heading4"/>
        <w:spacing w:before="180"/>
      </w:pPr>
      <w:bookmarkStart w:id="2397" w:name="_Toc232906997"/>
      <w:bookmarkStart w:id="2398" w:name="_Toc255466321"/>
      <w:bookmarkStart w:id="2399" w:name="_Toc261513128"/>
      <w:bookmarkStart w:id="2400" w:name="_Toc261513741"/>
      <w:bookmarkStart w:id="2401" w:name="_Toc280630367"/>
      <w:r w:rsidRPr="00261B7A">
        <w:t>Uncertainties and time-series consistency</w:t>
      </w:r>
      <w:bookmarkEnd w:id="2397"/>
      <w:bookmarkEnd w:id="2398"/>
      <w:bookmarkEnd w:id="2399"/>
      <w:bookmarkEnd w:id="2400"/>
      <w:bookmarkEnd w:id="2401"/>
    </w:p>
    <w:p w14:paraId="3434A6F6" w14:textId="77777777" w:rsidR="0010265C" w:rsidRPr="00261B7A" w:rsidRDefault="0010265C" w:rsidP="0010265C">
      <w:pPr>
        <w:pStyle w:val="BodyText"/>
        <w:spacing w:before="80" w:after="100"/>
      </w:pPr>
      <w:r w:rsidRPr="00261B7A">
        <w:t>The uncertainty in net emissions from CH</w:t>
      </w:r>
      <w:r w:rsidRPr="00261B7A">
        <w:rPr>
          <w:vertAlign w:val="subscript"/>
        </w:rPr>
        <w:t>4</w:t>
      </w:r>
      <w:r w:rsidRPr="00261B7A">
        <w:t xml:space="preserve"> and N</w:t>
      </w:r>
      <w:r w:rsidRPr="00261B7A">
        <w:rPr>
          <w:vertAlign w:val="subscript"/>
        </w:rPr>
        <w:t>2</w:t>
      </w:r>
      <w:r w:rsidRPr="00261B7A">
        <w:t xml:space="preserve">O emissions from </w:t>
      </w:r>
      <w:r w:rsidRPr="00261B7A">
        <w:rPr>
          <w:i/>
        </w:rPr>
        <w:t>Biomass burning</w:t>
      </w:r>
      <w:r w:rsidRPr="00261B7A">
        <w:t xml:space="preserve"> was 51.3 per cent in 2021. Emissions from </w:t>
      </w:r>
      <w:r w:rsidRPr="00261B7A">
        <w:rPr>
          <w:i/>
        </w:rPr>
        <w:t>Biomass burning</w:t>
      </w:r>
      <w:r w:rsidRPr="00261B7A">
        <w:t xml:space="preserve"> accounted for 0.1 per cent of the net emissions from the LULUCF sector. </w:t>
      </w:r>
    </w:p>
    <w:p w14:paraId="62F6097A" w14:textId="77777777" w:rsidR="0010265C" w:rsidRPr="00261B7A" w:rsidRDefault="0010265C" w:rsidP="0010265C">
      <w:pPr>
        <w:pStyle w:val="BodyText"/>
        <w:spacing w:before="100" w:after="100"/>
      </w:pPr>
      <w:r w:rsidRPr="00261B7A">
        <w:t xml:space="preserve">Time-series consistency is ensured by applying consistent methods and full recalculations in the event of any refinement or improvement to methodology. </w:t>
      </w:r>
    </w:p>
    <w:p w14:paraId="13D66C8F" w14:textId="77777777" w:rsidR="0010265C" w:rsidRPr="00261B7A" w:rsidRDefault="0010265C" w:rsidP="0010265C">
      <w:pPr>
        <w:pStyle w:val="Heading4"/>
        <w:spacing w:before="180"/>
      </w:pPr>
      <w:bookmarkStart w:id="2402" w:name="_Toc255466322"/>
      <w:bookmarkStart w:id="2403" w:name="_Toc261513129"/>
      <w:bookmarkStart w:id="2404" w:name="_Toc261513742"/>
      <w:bookmarkStart w:id="2405" w:name="_Toc280630368"/>
      <w:r w:rsidRPr="00261B7A">
        <w:t>Source-specific QA/QC and verification</w:t>
      </w:r>
      <w:bookmarkEnd w:id="2402"/>
      <w:bookmarkEnd w:id="2403"/>
      <w:bookmarkEnd w:id="2404"/>
      <w:bookmarkEnd w:id="2405"/>
    </w:p>
    <w:p w14:paraId="240F5842" w14:textId="77777777" w:rsidR="0010265C" w:rsidRPr="00261B7A" w:rsidRDefault="0010265C" w:rsidP="0010265C">
      <w:pPr>
        <w:pStyle w:val="BodyText"/>
        <w:spacing w:before="80" w:after="100"/>
      </w:pPr>
      <w:r w:rsidRPr="00261B7A">
        <w:t xml:space="preserve">Quality-control and quality-assurance measures are applied to the </w:t>
      </w:r>
      <w:r w:rsidRPr="00261B7A">
        <w:rPr>
          <w:i/>
        </w:rPr>
        <w:t>Biomass burning</w:t>
      </w:r>
      <w:r w:rsidRPr="00261B7A">
        <w:t xml:space="preserve"> activity data and emission factors. The biomass burning data set is verified whenever new data are supplied. The </w:t>
      </w:r>
      <w:r w:rsidRPr="00261B7A">
        <w:rPr>
          <w:i/>
        </w:rPr>
        <w:t>Biomass burning</w:t>
      </w:r>
      <w:r w:rsidRPr="00261B7A">
        <w:t xml:space="preserve"> parameters (burning and emission factors), assumptions and data set have been reviewed (Payton and Pearce, 2009; Thomas et al., 2011; Wakelin, unpublished(b), (c), (d), (e); Wakelin et al., unpublished).</w:t>
      </w:r>
    </w:p>
    <w:p w14:paraId="7BB99931" w14:textId="77777777" w:rsidR="0010265C" w:rsidRPr="00261B7A" w:rsidRDefault="0010265C" w:rsidP="0010265C">
      <w:pPr>
        <w:pStyle w:val="Heading4"/>
        <w:spacing w:before="180"/>
      </w:pPr>
      <w:bookmarkStart w:id="2406" w:name="_Toc280630369"/>
      <w:bookmarkStart w:id="2407" w:name="_Toc232906999"/>
      <w:bookmarkStart w:id="2408" w:name="_Toc255466323"/>
      <w:bookmarkStart w:id="2409" w:name="_Toc261513130"/>
      <w:bookmarkStart w:id="2410" w:name="_Toc261513743"/>
      <w:r w:rsidRPr="00261B7A">
        <w:t>Source-specific recalculations</w:t>
      </w:r>
      <w:bookmarkEnd w:id="2406"/>
    </w:p>
    <w:p w14:paraId="1A36D601" w14:textId="77777777" w:rsidR="0010265C" w:rsidRPr="00261B7A" w:rsidRDefault="0010265C" w:rsidP="0010265C">
      <w:pPr>
        <w:pStyle w:val="BodyText"/>
        <w:spacing w:before="80" w:after="100"/>
      </w:pPr>
      <w:bookmarkStart w:id="2411" w:name="_Hlk60906729"/>
      <w:r w:rsidRPr="00261B7A">
        <w:t xml:space="preserve">The post-1989 planted forest yield table used in the controlled burning calculations following harvest and deforestation has not been updated in this submission (see section 6.3.5 for further details). </w:t>
      </w:r>
    </w:p>
    <w:p w14:paraId="44BC98BD" w14:textId="77777777" w:rsidR="0010265C" w:rsidRPr="00261B7A" w:rsidRDefault="0010265C" w:rsidP="0010265C">
      <w:pPr>
        <w:pStyle w:val="BodyText"/>
        <w:spacing w:before="100" w:after="100"/>
      </w:pPr>
      <w:r w:rsidRPr="00261B7A">
        <w:t xml:space="preserve">Wildfire activity data for 2018 to 2020 have been updated for this submission to incorporate both improvements to mapping of the wildfire extent and updates to the vegetation classification from the land use map. New estimates for controlled burning in </w:t>
      </w:r>
      <w:r w:rsidRPr="00261B7A">
        <w:rPr>
          <w:i/>
        </w:rPr>
        <w:t>Grassland remaining grassland</w:t>
      </w:r>
      <w:r w:rsidRPr="00261B7A">
        <w:t xml:space="preserve"> have required recalculations across the time series. </w:t>
      </w:r>
    </w:p>
    <w:p w14:paraId="123C633B" w14:textId="77777777" w:rsidR="0010265C" w:rsidRPr="00261B7A" w:rsidRDefault="0010265C" w:rsidP="0010265C">
      <w:pPr>
        <w:pStyle w:val="Heading4"/>
        <w:spacing w:before="180"/>
      </w:pPr>
      <w:bookmarkStart w:id="2412" w:name="_Toc280630370"/>
      <w:bookmarkEnd w:id="2411"/>
      <w:r w:rsidRPr="00261B7A">
        <w:t>Source-specific planned improvements</w:t>
      </w:r>
      <w:bookmarkEnd w:id="2407"/>
      <w:bookmarkEnd w:id="2408"/>
      <w:bookmarkEnd w:id="2409"/>
      <w:bookmarkEnd w:id="2410"/>
      <w:bookmarkEnd w:id="2412"/>
    </w:p>
    <w:p w14:paraId="31B7765F" w14:textId="0255869E" w:rsidR="0010265C" w:rsidRPr="00261B7A" w:rsidRDefault="0010265C" w:rsidP="0010265C">
      <w:pPr>
        <w:pStyle w:val="BodyText"/>
        <w:spacing w:before="80" w:after="0"/>
      </w:pPr>
      <w:r w:rsidRPr="00261B7A">
        <w:t>The assumption that controlled burning of post-harvest residues on afforested land does not</w:t>
      </w:r>
      <w:r w:rsidR="00E3117D" w:rsidRPr="00261B7A">
        <w:t> </w:t>
      </w:r>
      <w:r w:rsidRPr="00261B7A">
        <w:t>occur will be revisited in a future submission, due to the increasing harvest rate in these forests as they reach maturity.</w:t>
      </w:r>
    </w:p>
    <w:p w14:paraId="6644ED3B" w14:textId="77777777" w:rsidR="0010265C" w:rsidRPr="00261B7A" w:rsidRDefault="0010265C" w:rsidP="00E3117D">
      <w:pPr>
        <w:pStyle w:val="Heading2"/>
        <w:spacing w:before="0" w:after="480"/>
      </w:pPr>
      <w:bookmarkStart w:id="2413" w:name="_Toc414531325"/>
      <w:bookmarkStart w:id="2414" w:name="_Toc474335467"/>
      <w:bookmarkStart w:id="2415" w:name="_Toc481751407"/>
      <w:bookmarkStart w:id="2416" w:name="_Toc522013959"/>
      <w:bookmarkStart w:id="2417" w:name="_Toc5269384"/>
      <w:bookmarkStart w:id="2418" w:name="_Toc36224424"/>
      <w:bookmarkStart w:id="2419" w:name="_Toc131591258"/>
      <w:r w:rsidRPr="00261B7A">
        <w:t>Chapter 6: References</w:t>
      </w:r>
      <w:bookmarkEnd w:id="2413"/>
      <w:bookmarkEnd w:id="2414"/>
      <w:bookmarkEnd w:id="2415"/>
      <w:bookmarkEnd w:id="2416"/>
      <w:bookmarkEnd w:id="2417"/>
      <w:bookmarkEnd w:id="2418"/>
      <w:bookmarkEnd w:id="2419"/>
    </w:p>
    <w:p w14:paraId="7D4DDEA6" w14:textId="77777777" w:rsidR="0010265C" w:rsidRPr="00261B7A" w:rsidRDefault="0010265C" w:rsidP="0010265C">
      <w:pPr>
        <w:pStyle w:val="References"/>
        <w:rPr>
          <w:szCs w:val="20"/>
        </w:rPr>
      </w:pPr>
      <w:r w:rsidRPr="00261B7A">
        <w:rPr>
          <w:szCs w:val="20"/>
        </w:rPr>
        <w:t>Beets PN. Unpublished. Carbon Fraction of Radiata Pine Biomass Components. Contract report prepared for the Ministry for the Environment by New Zealand Forest Research Institute Ltd (trading as Scion) in 2017.</w:t>
      </w:r>
    </w:p>
    <w:p w14:paraId="2F638DED" w14:textId="77777777" w:rsidR="0010265C" w:rsidRPr="00261B7A" w:rsidRDefault="0010265C" w:rsidP="0010265C">
      <w:pPr>
        <w:pStyle w:val="References"/>
        <w:rPr>
          <w:szCs w:val="20"/>
        </w:rPr>
      </w:pPr>
      <w:r w:rsidRPr="00261B7A">
        <w:rPr>
          <w:szCs w:val="20"/>
        </w:rPr>
        <w:t>Clarkson, B. Unpublished. Peat Extraction in New Zealand Wetlands. Contract report LC2710 prepared for the Ministry for the Environment by Landcare Research New Zealand Ltd</w:t>
      </w:r>
      <w:r w:rsidRPr="00261B7A" w:rsidDel="00D309F3">
        <w:rPr>
          <w:szCs w:val="20"/>
        </w:rPr>
        <w:t xml:space="preserve"> </w:t>
      </w:r>
      <w:r w:rsidRPr="00261B7A">
        <w:rPr>
          <w:szCs w:val="20"/>
        </w:rPr>
        <w:t>in 2016.</w:t>
      </w:r>
    </w:p>
    <w:p w14:paraId="19488E3F" w14:textId="77777777" w:rsidR="0010265C" w:rsidRPr="00261B7A" w:rsidRDefault="0010265C" w:rsidP="0010265C">
      <w:pPr>
        <w:pStyle w:val="References"/>
        <w:rPr>
          <w:szCs w:val="20"/>
        </w:rPr>
      </w:pPr>
      <w:r w:rsidRPr="00261B7A">
        <w:rPr>
          <w:szCs w:val="20"/>
        </w:rPr>
        <w:t xml:space="preserve">Davis MR, Wakelin SJ. Unpublished. </w:t>
      </w:r>
      <w:r w:rsidRPr="00261B7A">
        <w:rPr>
          <w:iCs/>
          <w:szCs w:val="20"/>
        </w:rPr>
        <w:t>Perennial Cropland Biomass: Sampling Requirements</w:t>
      </w:r>
      <w:r w:rsidRPr="00261B7A">
        <w:rPr>
          <w:szCs w:val="20"/>
        </w:rPr>
        <w:t>. Contract report prepared for the Ministry for the Environment by New Zealand Forest Research Institute Limited (trading as Scion).</w:t>
      </w:r>
    </w:p>
    <w:p w14:paraId="0F85D5DD" w14:textId="77777777" w:rsidR="0010265C" w:rsidRPr="00261B7A" w:rsidRDefault="0010265C" w:rsidP="0010265C">
      <w:pPr>
        <w:pStyle w:val="References"/>
        <w:rPr>
          <w:szCs w:val="20"/>
        </w:rPr>
      </w:pPr>
      <w:r w:rsidRPr="00261B7A">
        <w:rPr>
          <w:szCs w:val="20"/>
        </w:rPr>
        <w:t xml:space="preserve">Easdale TA, Richardson SJ, Marden M, England JR, Gayoso-Aguilar J, Guerra-Carcamo JE, Brandon AM. 2019. Root biomass allocation in southern temperate forests. </w:t>
      </w:r>
      <w:r w:rsidRPr="00261B7A">
        <w:rPr>
          <w:i/>
          <w:iCs/>
          <w:szCs w:val="20"/>
        </w:rPr>
        <w:t>Forest Ecology and Management</w:t>
      </w:r>
      <w:r w:rsidRPr="00261B7A">
        <w:rPr>
          <w:szCs w:val="20"/>
        </w:rPr>
        <w:t xml:space="preserve"> 453: 117542. </w:t>
      </w:r>
    </w:p>
    <w:p w14:paraId="1C6A43FF" w14:textId="77777777" w:rsidR="0010265C" w:rsidRPr="00261B7A" w:rsidRDefault="0010265C" w:rsidP="0010265C">
      <w:pPr>
        <w:pStyle w:val="References"/>
        <w:rPr>
          <w:szCs w:val="20"/>
        </w:rPr>
      </w:pPr>
      <w:r w:rsidRPr="00261B7A">
        <w:rPr>
          <w:szCs w:val="20"/>
        </w:rPr>
        <w:t>Easdale TA, Burge OR, Wiser S, Richardson SJ. Unpublished. Carbon Assessment of Wetland Vegetation. Contract report LC4173 prepared for the Ministry for the Environment by Landcare Research New Zealand Ltd in 2022.</w:t>
      </w:r>
    </w:p>
    <w:p w14:paraId="33BF56C5" w14:textId="77777777" w:rsidR="0010265C" w:rsidRPr="00261B7A" w:rsidRDefault="0010265C" w:rsidP="0010265C">
      <w:pPr>
        <w:pStyle w:val="References"/>
        <w:rPr>
          <w:szCs w:val="20"/>
        </w:rPr>
      </w:pPr>
      <w:r w:rsidRPr="00261B7A">
        <w:rPr>
          <w:szCs w:val="20"/>
        </w:rPr>
        <w:t xml:space="preserve">Food and Agriculture Organization of the United Nations. 2019. </w:t>
      </w:r>
      <w:r w:rsidRPr="00261B7A">
        <w:rPr>
          <w:i/>
          <w:iCs/>
          <w:szCs w:val="20"/>
        </w:rPr>
        <w:t>FAO Yearbook of Forest Products 2019</w:t>
      </w:r>
      <w:r w:rsidRPr="00261B7A">
        <w:rPr>
          <w:szCs w:val="20"/>
        </w:rPr>
        <w:t xml:space="preserve">. Rome: Food and Agriculture Organization of the United Nations. Retrieved from </w:t>
      </w:r>
      <w:hyperlink r:id="rId219" w:history="1">
        <w:r w:rsidRPr="00261B7A">
          <w:rPr>
            <w:rStyle w:val="Hyperlink"/>
            <w:szCs w:val="20"/>
          </w:rPr>
          <w:t>www.fao.org/3/cb3795m/cb3795m.pdf</w:t>
        </w:r>
      </w:hyperlink>
      <w:r w:rsidRPr="00261B7A">
        <w:rPr>
          <w:szCs w:val="20"/>
        </w:rPr>
        <w:t xml:space="preserve"> (16 November 2021). </w:t>
      </w:r>
    </w:p>
    <w:p w14:paraId="4E7081D5" w14:textId="77777777" w:rsidR="0010265C" w:rsidRPr="00261B7A" w:rsidRDefault="0010265C" w:rsidP="0010265C">
      <w:pPr>
        <w:pStyle w:val="References"/>
        <w:rPr>
          <w:szCs w:val="20"/>
        </w:rPr>
      </w:pPr>
      <w:r w:rsidRPr="00261B7A">
        <w:rPr>
          <w:szCs w:val="20"/>
        </w:rPr>
        <w:t xml:space="preserve">Forest Industry Training and Education Council. 2005. </w:t>
      </w:r>
      <w:r w:rsidRPr="00261B7A">
        <w:rPr>
          <w:i/>
          <w:iCs/>
          <w:szCs w:val="20"/>
        </w:rPr>
        <w:t>Best Practice Guidelines for Land Preparation</w:t>
      </w:r>
      <w:r w:rsidRPr="00261B7A">
        <w:rPr>
          <w:szCs w:val="20"/>
        </w:rPr>
        <w:t>. Revised edn. Rotorua: Forest Industry Training and Education Council.</w:t>
      </w:r>
    </w:p>
    <w:p w14:paraId="4D31A00B" w14:textId="77777777" w:rsidR="0010265C" w:rsidRPr="00261B7A" w:rsidRDefault="0010265C" w:rsidP="0010265C">
      <w:pPr>
        <w:pStyle w:val="References"/>
        <w:rPr>
          <w:szCs w:val="20"/>
        </w:rPr>
      </w:pPr>
      <w:r w:rsidRPr="00261B7A">
        <w:rPr>
          <w:szCs w:val="20"/>
        </w:rPr>
        <w:t xml:space="preserve">Garrett LG. Unpublished. </w:t>
      </w:r>
      <w:r w:rsidRPr="00261B7A">
        <w:rPr>
          <w:iCs/>
          <w:szCs w:val="20"/>
        </w:rPr>
        <w:t>Natural Forests Soils: Data Checking and Carbon Content of the Mineral Soil</w:t>
      </w:r>
      <w:r w:rsidRPr="00261B7A">
        <w:rPr>
          <w:szCs w:val="20"/>
        </w:rPr>
        <w:t>. Contract report prepared for the Ministry for the Environment by New Zealand Forest Research Institute Ltd (trading as Scion).</w:t>
      </w:r>
    </w:p>
    <w:p w14:paraId="03D5B3C5" w14:textId="77777777" w:rsidR="0010265C" w:rsidRPr="00261B7A" w:rsidRDefault="0010265C" w:rsidP="0010265C">
      <w:pPr>
        <w:pStyle w:val="References"/>
        <w:rPr>
          <w:iCs/>
          <w:szCs w:val="20"/>
        </w:rPr>
      </w:pPr>
      <w:r w:rsidRPr="00261B7A">
        <w:rPr>
          <w:szCs w:val="20"/>
        </w:rPr>
        <w:t xml:space="preserve">Garrett LG, Kimberley MO, Oliver GR, Parks M, Pearce SH, Beets PN, Paul TSH. 2019. Decay rates of above- and below-ground coarse woody debris of common tree species in New Zealand’s natural forest. </w:t>
      </w:r>
      <w:r w:rsidRPr="00261B7A">
        <w:rPr>
          <w:i/>
          <w:szCs w:val="20"/>
        </w:rPr>
        <w:t xml:space="preserve">Forest Ecology and Management </w:t>
      </w:r>
      <w:r w:rsidRPr="00261B7A">
        <w:rPr>
          <w:szCs w:val="20"/>
        </w:rPr>
        <w:t>438: 96–102.</w:t>
      </w:r>
      <w:r w:rsidRPr="00261B7A">
        <w:rPr>
          <w:i/>
          <w:szCs w:val="20"/>
        </w:rPr>
        <w:t xml:space="preserve"> </w:t>
      </w:r>
    </w:p>
    <w:p w14:paraId="385E4404" w14:textId="77777777" w:rsidR="0010265C" w:rsidRPr="00261B7A" w:rsidRDefault="0010265C" w:rsidP="0010265C">
      <w:pPr>
        <w:pStyle w:val="References"/>
        <w:rPr>
          <w:szCs w:val="20"/>
        </w:rPr>
      </w:pPr>
      <w:r w:rsidRPr="00261B7A">
        <w:rPr>
          <w:szCs w:val="20"/>
        </w:rPr>
        <w:t xml:space="preserve">Hunter G, McNeill S. Unpublished. </w:t>
      </w:r>
      <w:r w:rsidRPr="00261B7A">
        <w:rPr>
          <w:iCs/>
          <w:szCs w:val="20"/>
        </w:rPr>
        <w:t>Review of LUCAS Land Use Backcasting 1962–1989.</w:t>
      </w:r>
      <w:r w:rsidRPr="00261B7A">
        <w:rPr>
          <w:szCs w:val="20"/>
        </w:rPr>
        <w:t xml:space="preserve"> Contract report prepared for the Ministry for the Environment by Landcare Research New Zealand Ltd.</w:t>
      </w:r>
    </w:p>
    <w:p w14:paraId="136410D1" w14:textId="77777777" w:rsidR="0010265C" w:rsidRPr="00261B7A" w:rsidRDefault="0010265C" w:rsidP="0010265C">
      <w:pPr>
        <w:pStyle w:val="References"/>
        <w:rPr>
          <w:szCs w:val="20"/>
        </w:rPr>
      </w:pPr>
      <w:r w:rsidRPr="00261B7A">
        <w:rPr>
          <w:szCs w:val="20"/>
        </w:rPr>
        <w:t xml:space="preserve">IPCC. 2006a. Eggleston HS, Buendia L, Miwa K, Ngara T, Tanabe K (eds). </w:t>
      </w:r>
      <w:r w:rsidRPr="00261B7A">
        <w:rPr>
          <w:i/>
          <w:szCs w:val="20"/>
        </w:rPr>
        <w:t xml:space="preserve">2006 IPCC Guidelines for National Greenhouse Gas Inventories. Volume 4. Agriculture, Forestry and Other Land Use. </w:t>
      </w:r>
      <w:r w:rsidRPr="00261B7A">
        <w:rPr>
          <w:szCs w:val="20"/>
        </w:rPr>
        <w:t>IPCC National Greenhouse Gas Inventories Programme. Japan: Institute for Global Environmental Strategies for IPCC.</w:t>
      </w:r>
    </w:p>
    <w:p w14:paraId="00E5E0B8" w14:textId="77777777" w:rsidR="0010265C" w:rsidRPr="00261B7A" w:rsidRDefault="0010265C" w:rsidP="0010265C">
      <w:pPr>
        <w:pStyle w:val="References"/>
        <w:rPr>
          <w:szCs w:val="20"/>
        </w:rPr>
      </w:pPr>
      <w:r w:rsidRPr="00261B7A">
        <w:rPr>
          <w:szCs w:val="20"/>
        </w:rPr>
        <w:t xml:space="preserve">IPCC. 2006b. Eggleston HS, Buendia L, Miwa K, Ngara T, Tanabe K (eds). </w:t>
      </w:r>
      <w:r w:rsidRPr="00261B7A">
        <w:rPr>
          <w:i/>
          <w:iCs/>
          <w:szCs w:val="20"/>
        </w:rPr>
        <w:t>General Guidance and Reporting</w:t>
      </w:r>
      <w:r w:rsidRPr="00261B7A">
        <w:rPr>
          <w:szCs w:val="20"/>
        </w:rPr>
        <w:t xml:space="preserve">. </w:t>
      </w:r>
      <w:r w:rsidRPr="00261B7A">
        <w:rPr>
          <w:i/>
          <w:szCs w:val="20"/>
        </w:rPr>
        <w:t xml:space="preserve">Volume 1. </w:t>
      </w:r>
      <w:r w:rsidRPr="00261B7A">
        <w:rPr>
          <w:szCs w:val="20"/>
        </w:rPr>
        <w:t>Japan: Institute for Global Environmental Strategies for IPCC.</w:t>
      </w:r>
    </w:p>
    <w:p w14:paraId="0DEAAE91" w14:textId="77777777" w:rsidR="0010265C" w:rsidRPr="00261B7A" w:rsidRDefault="0010265C" w:rsidP="0010265C">
      <w:pPr>
        <w:pStyle w:val="References"/>
        <w:rPr>
          <w:szCs w:val="20"/>
        </w:rPr>
      </w:pPr>
      <w:r w:rsidRPr="00261B7A">
        <w:rPr>
          <w:szCs w:val="20"/>
        </w:rPr>
        <w:t xml:space="preserve">IPCC. 2014. Hiraishi T, Krug T, Tanabe K, Srivastava N, Baasansuren J, Fukuda M, Troxler TG (eds). </w:t>
      </w:r>
      <w:r w:rsidRPr="00261B7A">
        <w:rPr>
          <w:i/>
          <w:iCs/>
          <w:szCs w:val="20"/>
        </w:rPr>
        <w:t>2013 Revised Supplementary Methods and Good Practice Guidance Arising from the Kyoto Protocol</w:t>
      </w:r>
      <w:r w:rsidRPr="00261B7A">
        <w:rPr>
          <w:szCs w:val="20"/>
        </w:rPr>
        <w:t>. Switzerland: IPCC.</w:t>
      </w:r>
    </w:p>
    <w:p w14:paraId="7F379B3C" w14:textId="77777777" w:rsidR="0010265C" w:rsidRPr="00261B7A" w:rsidRDefault="0010265C" w:rsidP="0010265C">
      <w:pPr>
        <w:pStyle w:val="References"/>
        <w:rPr>
          <w:szCs w:val="20"/>
        </w:rPr>
      </w:pPr>
      <w:r w:rsidRPr="00261B7A">
        <w:rPr>
          <w:szCs w:val="20"/>
        </w:rPr>
        <w:t xml:space="preserve">Jones T. 2005. Wood properties of commercial tree species. In: M Colley (ed.) </w:t>
      </w:r>
      <w:r w:rsidRPr="00261B7A">
        <w:rPr>
          <w:i/>
          <w:iCs/>
          <w:szCs w:val="20"/>
        </w:rPr>
        <w:t>NZIF 2005 Forestry Handbook</w:t>
      </w:r>
      <w:r w:rsidRPr="00261B7A">
        <w:rPr>
          <w:szCs w:val="20"/>
        </w:rPr>
        <w:t>. Wellington: New Zealand Institute of Forestry. pp 204–207.</w:t>
      </w:r>
    </w:p>
    <w:p w14:paraId="134B38BC" w14:textId="77777777" w:rsidR="0010265C" w:rsidRPr="00261B7A" w:rsidRDefault="0010265C" w:rsidP="0010265C">
      <w:pPr>
        <w:pStyle w:val="References"/>
        <w:rPr>
          <w:szCs w:val="20"/>
        </w:rPr>
      </w:pPr>
      <w:r w:rsidRPr="00261B7A">
        <w:rPr>
          <w:szCs w:val="20"/>
        </w:rPr>
        <w:t xml:space="preserve">Kelliher FM, de Klein CA. Unpublished. </w:t>
      </w:r>
      <w:r w:rsidRPr="00261B7A">
        <w:rPr>
          <w:iCs/>
          <w:szCs w:val="20"/>
        </w:rPr>
        <w:t>Review of New Zealand’s Fertiliser Nitrous Oxide Emission Factor (EF1) Data</w:t>
      </w:r>
      <w:r w:rsidRPr="00261B7A">
        <w:rPr>
          <w:szCs w:val="20"/>
        </w:rPr>
        <w:t>. Contract report prepared for the Ministry for the Environment in 2006.</w:t>
      </w:r>
    </w:p>
    <w:p w14:paraId="47CC3DC4" w14:textId="77777777" w:rsidR="0010265C" w:rsidRPr="00261B7A" w:rsidRDefault="0010265C" w:rsidP="0010265C">
      <w:pPr>
        <w:pStyle w:val="References"/>
        <w:rPr>
          <w:szCs w:val="20"/>
        </w:rPr>
      </w:pPr>
      <w:r w:rsidRPr="00261B7A">
        <w:rPr>
          <w:szCs w:val="20"/>
        </w:rPr>
        <w:t xml:space="preserve">Kimberley MO, Beets PN, Paul TSH. 2019. Comparison of measured and modelled change in coarse woody debris carbon stocks in New Zealand’s natural forest. </w:t>
      </w:r>
      <w:r w:rsidRPr="00261B7A">
        <w:rPr>
          <w:i/>
          <w:szCs w:val="20"/>
        </w:rPr>
        <w:t>Forest Ecology and Management</w:t>
      </w:r>
      <w:r w:rsidRPr="00261B7A">
        <w:rPr>
          <w:szCs w:val="20"/>
        </w:rPr>
        <w:t>. 434 (2019): 18–28.</w:t>
      </w:r>
    </w:p>
    <w:p w14:paraId="016A6E42" w14:textId="77777777" w:rsidR="0010265C" w:rsidRPr="00261B7A" w:rsidRDefault="0010265C" w:rsidP="0010265C">
      <w:pPr>
        <w:pStyle w:val="References"/>
        <w:rPr>
          <w:szCs w:val="20"/>
        </w:rPr>
      </w:pPr>
      <w:r w:rsidRPr="00261B7A">
        <w:rPr>
          <w:szCs w:val="20"/>
        </w:rPr>
        <w:t xml:space="preserve">Land Cover Database v5.0 _ Land Cover Database version 5.0, Mainland New Zealand. Retrieved from </w:t>
      </w:r>
      <w:hyperlink r:id="rId220" w:history="1">
        <w:r w:rsidRPr="00261B7A">
          <w:rPr>
            <w:rStyle w:val="Hyperlink"/>
            <w:szCs w:val="20"/>
          </w:rPr>
          <w:t>https://lris.scinfo.org.nz/layer/104400-lcdb-v50-land-cover-database-version-50-mainland-new-zealand</w:t>
        </w:r>
      </w:hyperlink>
      <w:r w:rsidRPr="00261B7A">
        <w:rPr>
          <w:szCs w:val="20"/>
        </w:rPr>
        <w:t xml:space="preserve"> (11 November 2021).</w:t>
      </w:r>
    </w:p>
    <w:p w14:paraId="6B149C96" w14:textId="77777777" w:rsidR="0010265C" w:rsidRPr="00261B7A" w:rsidRDefault="0010265C" w:rsidP="0010265C">
      <w:pPr>
        <w:pStyle w:val="References"/>
        <w:rPr>
          <w:szCs w:val="20"/>
        </w:rPr>
      </w:pPr>
      <w:r w:rsidRPr="00261B7A">
        <w:rPr>
          <w:szCs w:val="20"/>
        </w:rPr>
        <w:t xml:space="preserve">Manaaki Whenua Landcare Research. 2020. </w:t>
      </w:r>
      <w:r w:rsidRPr="00261B7A">
        <w:rPr>
          <w:i/>
          <w:szCs w:val="20"/>
        </w:rPr>
        <w:t>A New national Soil Carbon Monitoring System for Agricultural Land</w:t>
      </w:r>
      <w:r w:rsidRPr="00261B7A">
        <w:rPr>
          <w:szCs w:val="20"/>
        </w:rPr>
        <w:t xml:space="preserve">. Retrieved from </w:t>
      </w:r>
      <w:hyperlink r:id="rId221" w:history="1">
        <w:r w:rsidRPr="00261B7A">
          <w:rPr>
            <w:rStyle w:val="Hyperlink"/>
            <w:szCs w:val="20"/>
          </w:rPr>
          <w:t>www.landcareresearch.co.nz/news/a-new-national-soil-carbon-monitoring-system-for-agricultural-land</w:t>
        </w:r>
      </w:hyperlink>
      <w:r w:rsidRPr="00261B7A">
        <w:rPr>
          <w:szCs w:val="20"/>
        </w:rPr>
        <w:t xml:space="preserve"> (4 December 2020). </w:t>
      </w:r>
    </w:p>
    <w:p w14:paraId="10C812B1" w14:textId="77777777" w:rsidR="0010265C" w:rsidRPr="00261B7A" w:rsidRDefault="0010265C" w:rsidP="0010265C">
      <w:pPr>
        <w:pStyle w:val="References"/>
        <w:rPr>
          <w:szCs w:val="20"/>
        </w:rPr>
      </w:pPr>
      <w:r w:rsidRPr="00261B7A">
        <w:rPr>
          <w:szCs w:val="20"/>
        </w:rPr>
        <w:t xml:space="preserve">McGlone MS. 2009. Postglacial history of New Zealand wetlands and implications for their conservation. </w:t>
      </w:r>
      <w:r w:rsidRPr="00261B7A">
        <w:rPr>
          <w:i/>
          <w:iCs/>
          <w:szCs w:val="20"/>
        </w:rPr>
        <w:t>New Zealand Journal of Ecology</w:t>
      </w:r>
      <w:r w:rsidRPr="00261B7A">
        <w:rPr>
          <w:szCs w:val="20"/>
        </w:rPr>
        <w:t xml:space="preserve"> 33: 1–23.</w:t>
      </w:r>
    </w:p>
    <w:p w14:paraId="6681DA67" w14:textId="77777777" w:rsidR="0010265C" w:rsidRPr="00261B7A" w:rsidRDefault="0010265C" w:rsidP="0010265C">
      <w:pPr>
        <w:pStyle w:val="References"/>
        <w:rPr>
          <w:szCs w:val="20"/>
        </w:rPr>
      </w:pPr>
      <w:r w:rsidRPr="00261B7A">
        <w:rPr>
          <w:szCs w:val="20"/>
        </w:rPr>
        <w:t xml:space="preserve">McNeill SJ, Barringer JRF. Unpublished. </w:t>
      </w:r>
      <w:r w:rsidRPr="00261B7A">
        <w:rPr>
          <w:iCs/>
          <w:szCs w:val="20"/>
        </w:rPr>
        <w:t>Respecification and Reclassification of the 2013 MfE Soil CMS Model</w:t>
      </w:r>
      <w:r w:rsidRPr="00261B7A">
        <w:rPr>
          <w:szCs w:val="20"/>
        </w:rPr>
        <w:t>. Prepared for the Ministry for the Environment by Landcare Research New Zealand Ltd.</w:t>
      </w:r>
    </w:p>
    <w:p w14:paraId="1EA493E9" w14:textId="3F7B7BBF" w:rsidR="0010265C" w:rsidRPr="00261B7A" w:rsidRDefault="0010265C" w:rsidP="0010265C">
      <w:pPr>
        <w:pStyle w:val="References"/>
        <w:rPr>
          <w:szCs w:val="20"/>
        </w:rPr>
      </w:pPr>
      <w:r w:rsidRPr="00261B7A">
        <w:rPr>
          <w:szCs w:val="20"/>
        </w:rPr>
        <w:t xml:space="preserve">Ministry for Primary Industries. 2015. </w:t>
      </w:r>
      <w:r w:rsidRPr="00261B7A">
        <w:rPr>
          <w:iCs/>
          <w:szCs w:val="20"/>
        </w:rPr>
        <w:t>An overview of forestry in the emissions trading scheme</w:t>
      </w:r>
      <w:r w:rsidRPr="00261B7A">
        <w:rPr>
          <w:szCs w:val="20"/>
        </w:rPr>
        <w:t xml:space="preserve">. Retrieved from </w:t>
      </w:r>
      <w:hyperlink r:id="rId222" w:history="1">
        <w:r w:rsidR="00C654A9">
          <w:rPr>
            <w:rStyle w:val="Hyperlink"/>
            <w:szCs w:val="20"/>
          </w:rPr>
          <w:t>mpi.govt.nz/forestry/forestry-in-the-emissions-trading-scheme</w:t>
        </w:r>
      </w:hyperlink>
      <w:r w:rsidR="00890E36" w:rsidRPr="00261B7A">
        <w:rPr>
          <w:szCs w:val="20"/>
        </w:rPr>
        <w:t xml:space="preserve"> </w:t>
      </w:r>
      <w:r w:rsidRPr="00261B7A">
        <w:rPr>
          <w:szCs w:val="20"/>
        </w:rPr>
        <w:t>(12</w:t>
      </w:r>
      <w:r w:rsidR="00104BE3" w:rsidRPr="00261B7A">
        <w:rPr>
          <w:szCs w:val="20"/>
        </w:rPr>
        <w:t> </w:t>
      </w:r>
      <w:r w:rsidRPr="00261B7A">
        <w:rPr>
          <w:szCs w:val="20"/>
        </w:rPr>
        <w:t>February 2022).</w:t>
      </w:r>
    </w:p>
    <w:p w14:paraId="2ACB1A1A" w14:textId="77777777" w:rsidR="0010265C" w:rsidRPr="00261B7A" w:rsidRDefault="0010265C" w:rsidP="0010265C">
      <w:pPr>
        <w:pStyle w:val="References"/>
        <w:rPr>
          <w:szCs w:val="20"/>
        </w:rPr>
      </w:pPr>
      <w:r w:rsidRPr="00261B7A">
        <w:rPr>
          <w:szCs w:val="20"/>
        </w:rPr>
        <w:t xml:space="preserve">Ministry for Primary Industries. 2016. </w:t>
      </w:r>
      <w:r w:rsidRPr="00261B7A">
        <w:rPr>
          <w:i/>
          <w:iCs/>
          <w:szCs w:val="20"/>
        </w:rPr>
        <w:t>Material Flow and End-use of Harvested Wood Products Produced from New Zealand Log Exports</w:t>
      </w:r>
      <w:r w:rsidRPr="00261B7A">
        <w:rPr>
          <w:szCs w:val="20"/>
        </w:rPr>
        <w:t>. Wellington: Ministry for Primary Industries.</w:t>
      </w:r>
    </w:p>
    <w:p w14:paraId="4CB523B9" w14:textId="639EAF73" w:rsidR="0010265C" w:rsidRPr="00261B7A" w:rsidRDefault="0010265C" w:rsidP="0010265C">
      <w:pPr>
        <w:pStyle w:val="References"/>
      </w:pPr>
      <w:r w:rsidRPr="00261B7A">
        <w:t xml:space="preserve">Ministry for Primary Industries. 2022a. Wood processing: Quarterly production, stock and roundwood removals, September 2022 quarter production. Wellington: Ministry for Primary Industries. Retrieved from </w:t>
      </w:r>
      <w:hyperlink r:id="rId223" w:history="1">
        <w:r w:rsidR="00225B27">
          <w:rPr>
            <w:rStyle w:val="Hyperlink"/>
            <w:rFonts w:eastAsia="Calibri" w:cs="Calibri"/>
            <w:szCs w:val="20"/>
          </w:rPr>
          <w:t>mpi.govt.nz/forestry/forest-industry-and-workforce/forestry-wood-processing-data</w:t>
        </w:r>
      </w:hyperlink>
      <w:r w:rsidRPr="00261B7A">
        <w:t xml:space="preserve"> (15</w:t>
      </w:r>
      <w:r w:rsidR="005C1946" w:rsidRPr="00261B7A">
        <w:t> </w:t>
      </w:r>
      <w:r w:rsidRPr="00261B7A">
        <w:t>November 2022).</w:t>
      </w:r>
    </w:p>
    <w:p w14:paraId="5C284699" w14:textId="77777777" w:rsidR="0010265C" w:rsidRPr="00261B7A" w:rsidRDefault="0010265C" w:rsidP="0010265C">
      <w:pPr>
        <w:pStyle w:val="References"/>
        <w:rPr>
          <w:szCs w:val="20"/>
        </w:rPr>
      </w:pPr>
      <w:r w:rsidRPr="00261B7A">
        <w:rPr>
          <w:szCs w:val="20"/>
        </w:rPr>
        <w:t>Ministry for Primary Industries. 2022b. Improved data on harvested wood products. Wellington: Ministry for Primary Industries.</w:t>
      </w:r>
    </w:p>
    <w:p w14:paraId="102945FC" w14:textId="16CEDB99" w:rsidR="0010265C" w:rsidRPr="00261B7A" w:rsidRDefault="0010265C" w:rsidP="0010265C">
      <w:pPr>
        <w:pStyle w:val="References"/>
        <w:rPr>
          <w:szCs w:val="20"/>
        </w:rPr>
      </w:pPr>
      <w:r w:rsidRPr="00261B7A">
        <w:rPr>
          <w:szCs w:val="20"/>
        </w:rPr>
        <w:t>Ministry for Primary Industries. 2022c. Wood product markets: Quarterly trade, June 2022 quarterly exports.</w:t>
      </w:r>
      <w:r w:rsidRPr="00261B7A">
        <w:rPr>
          <w:i/>
          <w:szCs w:val="20"/>
        </w:rPr>
        <w:t xml:space="preserve"> </w:t>
      </w:r>
      <w:r w:rsidRPr="00261B7A">
        <w:rPr>
          <w:szCs w:val="20"/>
        </w:rPr>
        <w:t xml:space="preserve">Retrieved from </w:t>
      </w:r>
      <w:hyperlink r:id="rId224" w:history="1">
        <w:r w:rsidR="00225B27">
          <w:rPr>
            <w:rStyle w:val="Hyperlink"/>
            <w:szCs w:val="20"/>
          </w:rPr>
          <w:t>mpi.govt.nz/forestry/new-zealand-forests-forest-industry/forestry/wood-product-markets</w:t>
        </w:r>
      </w:hyperlink>
      <w:r w:rsidRPr="00261B7A">
        <w:rPr>
          <w:szCs w:val="20"/>
        </w:rPr>
        <w:t xml:space="preserve"> (14 November 2022).</w:t>
      </w:r>
    </w:p>
    <w:p w14:paraId="1A6E8554" w14:textId="7E490ABA" w:rsidR="0010265C" w:rsidRPr="00261B7A" w:rsidRDefault="0010265C" w:rsidP="0010265C">
      <w:pPr>
        <w:pStyle w:val="References"/>
      </w:pPr>
      <w:r w:rsidRPr="00261B7A">
        <w:t xml:space="preserve">Ministry for the Environment. 2006. </w:t>
      </w:r>
      <w:r w:rsidRPr="00261B7A">
        <w:rPr>
          <w:i/>
          <w:iCs/>
        </w:rPr>
        <w:t>New Zealand’s Initial Report under the Kyoto Protocol</w:t>
      </w:r>
      <w:r w:rsidRPr="00261B7A">
        <w:t>. Wellington: Ministry for the Environment. Retrieved from</w:t>
      </w:r>
      <w:r w:rsidR="005815B6" w:rsidRPr="00261B7A">
        <w:t xml:space="preserve"> </w:t>
      </w:r>
      <w:hyperlink r:id="rId225" w:history="1">
        <w:r w:rsidR="005C756C" w:rsidRPr="00261B7A">
          <w:rPr>
            <w:rStyle w:val="Hyperlink"/>
          </w:rPr>
          <w:t>unfccc.int/files/national_reports/application/pdf/new_ zealands_initial_report_under_the_kyoto_protocol.pdf</w:t>
        </w:r>
      </w:hyperlink>
      <w:r w:rsidRPr="00261B7A">
        <w:t xml:space="preserve"> (14 July 2011).</w:t>
      </w:r>
    </w:p>
    <w:p w14:paraId="1CFDA482" w14:textId="77777777" w:rsidR="0010265C" w:rsidRPr="00261B7A" w:rsidRDefault="0010265C" w:rsidP="0010265C">
      <w:pPr>
        <w:pStyle w:val="References"/>
      </w:pPr>
      <w:r w:rsidRPr="00261B7A">
        <w:t xml:space="preserve">Ministry for the Environment. 2012. </w:t>
      </w:r>
      <w:r w:rsidRPr="00261B7A">
        <w:rPr>
          <w:i/>
        </w:rPr>
        <w:t>Land Use and Carbon Analysis System: Satellite imagery interpretation guide for land use classes</w:t>
      </w:r>
      <w:r w:rsidRPr="00261B7A">
        <w:t xml:space="preserve"> (2nd edn). Wellington: Ministry for the Environment.</w:t>
      </w:r>
    </w:p>
    <w:p w14:paraId="499CE385" w14:textId="77777777" w:rsidR="0010265C" w:rsidRPr="00261B7A" w:rsidRDefault="0010265C" w:rsidP="0010265C">
      <w:pPr>
        <w:pStyle w:val="References"/>
        <w:rPr>
          <w:szCs w:val="20"/>
        </w:rPr>
      </w:pPr>
      <w:r w:rsidRPr="00261B7A">
        <w:rPr>
          <w:szCs w:val="20"/>
        </w:rPr>
        <w:t xml:space="preserve">Ministry for the Environment and Stats NZ. 2017. </w:t>
      </w:r>
      <w:r w:rsidRPr="00261B7A">
        <w:rPr>
          <w:i/>
          <w:szCs w:val="20"/>
        </w:rPr>
        <w:t>New Zealand’s Environmental Reporting Series: Our fresh water 2017</w:t>
      </w:r>
      <w:r w:rsidRPr="00261B7A">
        <w:rPr>
          <w:szCs w:val="20"/>
        </w:rPr>
        <w:t xml:space="preserve">. Retrieved from </w:t>
      </w:r>
      <w:hyperlink r:id="rId226" w:history="1">
        <w:r w:rsidRPr="00261B7A">
          <w:rPr>
            <w:rStyle w:val="Hyperlink"/>
            <w:szCs w:val="20"/>
          </w:rPr>
          <w:t>www.mfe.govt.nz</w:t>
        </w:r>
      </w:hyperlink>
      <w:r w:rsidRPr="00261B7A">
        <w:rPr>
          <w:szCs w:val="20"/>
        </w:rPr>
        <w:t xml:space="preserve"> and </w:t>
      </w:r>
      <w:hyperlink r:id="rId227" w:history="1">
        <w:r w:rsidRPr="00261B7A">
          <w:rPr>
            <w:rStyle w:val="Hyperlink"/>
            <w:szCs w:val="20"/>
          </w:rPr>
          <w:t>www.stats.govt.nz</w:t>
        </w:r>
      </w:hyperlink>
      <w:r w:rsidRPr="00261B7A">
        <w:rPr>
          <w:szCs w:val="20"/>
        </w:rPr>
        <w:t>.</w:t>
      </w:r>
    </w:p>
    <w:p w14:paraId="22D14C6B" w14:textId="386E3C9D" w:rsidR="0010265C" w:rsidRPr="00261B7A" w:rsidRDefault="0010265C" w:rsidP="0010265C">
      <w:pPr>
        <w:pStyle w:val="References"/>
        <w:rPr>
          <w:szCs w:val="20"/>
        </w:rPr>
      </w:pPr>
      <w:r w:rsidRPr="00261B7A">
        <w:rPr>
          <w:szCs w:val="20"/>
        </w:rPr>
        <w:t xml:space="preserve">Ministry for the Environment and Stats NZ. 2018. </w:t>
      </w:r>
      <w:r w:rsidRPr="00261B7A">
        <w:rPr>
          <w:i/>
          <w:szCs w:val="20"/>
        </w:rPr>
        <w:t>New Zealand’s Environmental Reporting Series: Our land 2018</w:t>
      </w:r>
      <w:r w:rsidRPr="00261B7A">
        <w:rPr>
          <w:szCs w:val="20"/>
        </w:rPr>
        <w:t xml:space="preserve">. Retrieved from </w:t>
      </w:r>
      <w:hyperlink r:id="rId228" w:history="1">
        <w:r w:rsidR="005C1946" w:rsidRPr="00261B7A">
          <w:rPr>
            <w:rStyle w:val="Hyperlink"/>
            <w:szCs w:val="20"/>
          </w:rPr>
          <w:t>environment.govt.nz/assets/Publications/Files/Our-land-201-final.pdf</w:t>
        </w:r>
      </w:hyperlink>
      <w:r w:rsidRPr="00261B7A">
        <w:rPr>
          <w:szCs w:val="20"/>
        </w:rPr>
        <w:t>.</w:t>
      </w:r>
    </w:p>
    <w:p w14:paraId="526D7C50" w14:textId="77777777" w:rsidR="0010265C" w:rsidRPr="00261B7A" w:rsidRDefault="0010265C" w:rsidP="0010265C">
      <w:pPr>
        <w:pStyle w:val="References"/>
        <w:rPr>
          <w:szCs w:val="20"/>
        </w:rPr>
      </w:pPr>
      <w:r w:rsidRPr="00261B7A">
        <w:rPr>
          <w:szCs w:val="20"/>
        </w:rPr>
        <w:t>Paul TSH, Beets PN, Kimberley MO. Unpublished(a). Carbon Stocks in New Zealand’s Post-1989 Natural Forest: Analysis of the 2018/2019 forest inventory data. Contract report prepared for the Ministry for the Environment by the New Zealand Forest Research Institute Ltd (trading as Scion) in 2020.</w:t>
      </w:r>
    </w:p>
    <w:p w14:paraId="4D46E1ED" w14:textId="77777777" w:rsidR="0010265C" w:rsidRPr="00261B7A" w:rsidRDefault="0010265C" w:rsidP="0010265C">
      <w:pPr>
        <w:pStyle w:val="References"/>
        <w:rPr>
          <w:szCs w:val="20"/>
        </w:rPr>
      </w:pPr>
      <w:r w:rsidRPr="00261B7A">
        <w:rPr>
          <w:szCs w:val="20"/>
        </w:rPr>
        <w:t xml:space="preserve">Paul TSH, Kimberley MO, Beets PN. 2021. Natural forests in New Zealand: A large terrestrial carbon pool in a national state of equilibrium. </w:t>
      </w:r>
      <w:r w:rsidRPr="00261B7A">
        <w:rPr>
          <w:i/>
          <w:iCs/>
          <w:szCs w:val="20"/>
        </w:rPr>
        <w:t xml:space="preserve">Forest Ecosystems </w:t>
      </w:r>
      <w:r w:rsidRPr="00261B7A">
        <w:rPr>
          <w:szCs w:val="20"/>
        </w:rPr>
        <w:t>8(1): 1–21.</w:t>
      </w:r>
    </w:p>
    <w:p w14:paraId="33562B46" w14:textId="77777777" w:rsidR="0010265C" w:rsidRPr="00261B7A" w:rsidRDefault="0010265C" w:rsidP="0010265C">
      <w:pPr>
        <w:pStyle w:val="References"/>
        <w:rPr>
          <w:szCs w:val="20"/>
        </w:rPr>
      </w:pPr>
      <w:r w:rsidRPr="00261B7A">
        <w:rPr>
          <w:szCs w:val="20"/>
        </w:rPr>
        <w:t>Paul THS, Wakelin SJ, Dodunski, C. Unpublished(b). The NFI 2016–2020 analysis: Yield tables and carbon stocks in planted forests in New Zealand based on a five-year inventory cycle. Contract report prepared for the Ministry for the Environment by New Zealand Forest Research Institute Ltd (trading as Scion) in 2021.</w:t>
      </w:r>
    </w:p>
    <w:p w14:paraId="0BC6DEAB" w14:textId="77777777" w:rsidR="0010265C" w:rsidRPr="00261B7A" w:rsidDel="00EA06F5" w:rsidRDefault="0010265C" w:rsidP="0010265C">
      <w:pPr>
        <w:pStyle w:val="References"/>
        <w:rPr>
          <w:szCs w:val="20"/>
        </w:rPr>
      </w:pPr>
      <w:r w:rsidRPr="00261B7A">
        <w:rPr>
          <w:szCs w:val="20"/>
        </w:rPr>
        <w:t xml:space="preserve">Payton IJ, Pearce HG. 2009. </w:t>
      </w:r>
      <w:r w:rsidRPr="00261B7A">
        <w:rPr>
          <w:i/>
          <w:szCs w:val="20"/>
        </w:rPr>
        <w:t>Fire-induced Changes to the Vegetation of Tall-tussock (Chionochloa rigida) Grassland Ecosystems.</w:t>
      </w:r>
      <w:r w:rsidRPr="00261B7A">
        <w:rPr>
          <w:szCs w:val="20"/>
        </w:rPr>
        <w:t xml:space="preserve"> Science for Conservation 290. Wellington: Department of Conservation.</w:t>
      </w:r>
    </w:p>
    <w:p w14:paraId="67590F79" w14:textId="77777777" w:rsidR="0010265C" w:rsidRPr="00261B7A" w:rsidRDefault="0010265C" w:rsidP="0010265C">
      <w:pPr>
        <w:pStyle w:val="References"/>
        <w:rPr>
          <w:szCs w:val="20"/>
        </w:rPr>
      </w:pPr>
      <w:r w:rsidRPr="00261B7A">
        <w:rPr>
          <w:szCs w:val="20"/>
        </w:rPr>
        <w:t xml:space="preserve">Robertson KA. 1998. Loss of organic matter and carbon during slash burns in New Zealand exotic forests. </w:t>
      </w:r>
      <w:r w:rsidRPr="00261B7A">
        <w:rPr>
          <w:i/>
          <w:szCs w:val="20"/>
        </w:rPr>
        <w:t>New Zealand Journal of Forestry Science</w:t>
      </w:r>
      <w:r w:rsidRPr="00261B7A">
        <w:rPr>
          <w:szCs w:val="20"/>
        </w:rPr>
        <w:t xml:space="preserve"> 28(2): 221–241.</w:t>
      </w:r>
    </w:p>
    <w:p w14:paraId="5EB38E7D" w14:textId="77777777" w:rsidR="0010265C" w:rsidRPr="00261B7A" w:rsidRDefault="0010265C" w:rsidP="0010265C">
      <w:pPr>
        <w:pStyle w:val="References"/>
        <w:rPr>
          <w:szCs w:val="20"/>
        </w:rPr>
      </w:pPr>
      <w:r w:rsidRPr="00261B7A">
        <w:rPr>
          <w:szCs w:val="20"/>
        </w:rPr>
        <w:t xml:space="preserve">Thomas S, Hume E, Fraser T, Curtin D. 2011. </w:t>
      </w:r>
      <w:r w:rsidRPr="00261B7A">
        <w:rPr>
          <w:i/>
          <w:szCs w:val="20"/>
        </w:rPr>
        <w:t>Factors and Activity Data to Estimate Nitrous Oxide Emissions from Cropping Systems, and Stubble and Tussock Burning</w:t>
      </w:r>
      <w:r w:rsidRPr="00261B7A">
        <w:rPr>
          <w:szCs w:val="20"/>
        </w:rPr>
        <w:t>. Report prepared for the Ministry of Agriculture and Forestry by Plant and Food Research (formerly Crop and Food Research) technical paper no. 2012/16. Wellington: Ministry of Agriculture and Forestry.</w:t>
      </w:r>
    </w:p>
    <w:p w14:paraId="296E4314" w14:textId="77777777" w:rsidR="0010265C" w:rsidRPr="00261B7A" w:rsidRDefault="0010265C" w:rsidP="0010265C">
      <w:pPr>
        <w:pStyle w:val="References"/>
        <w:rPr>
          <w:szCs w:val="20"/>
        </w:rPr>
      </w:pPr>
      <w:r w:rsidRPr="00261B7A">
        <w:rPr>
          <w:szCs w:val="20"/>
        </w:rPr>
        <w:t xml:space="preserve">Trotter C, MacKay A. Unpublished. </w:t>
      </w:r>
      <w:r w:rsidRPr="00261B7A">
        <w:rPr>
          <w:iCs/>
          <w:szCs w:val="20"/>
        </w:rPr>
        <w:t>Potential Forest Land</w:t>
      </w:r>
      <w:r w:rsidRPr="00261B7A">
        <w:rPr>
          <w:szCs w:val="20"/>
        </w:rPr>
        <w:t>. Contract report 04/05-0410-L prepared for Landcare Research New Zealand Ltd.</w:t>
      </w:r>
    </w:p>
    <w:p w14:paraId="06101ECD" w14:textId="77777777" w:rsidR="0010265C" w:rsidRPr="00261B7A" w:rsidRDefault="0010265C" w:rsidP="0010265C">
      <w:pPr>
        <w:pStyle w:val="References"/>
        <w:rPr>
          <w:szCs w:val="20"/>
        </w:rPr>
      </w:pPr>
      <w:r w:rsidRPr="00261B7A">
        <w:rPr>
          <w:szCs w:val="20"/>
        </w:rPr>
        <w:t>UNFCCC. 2014</w:t>
      </w:r>
      <w:r w:rsidRPr="00261B7A">
        <w:rPr>
          <w:i/>
          <w:szCs w:val="20"/>
        </w:rPr>
        <w:t xml:space="preserve">. </w:t>
      </w:r>
      <w:r w:rsidRPr="00261B7A">
        <w:rPr>
          <w:szCs w:val="20"/>
        </w:rPr>
        <w:t>FCCC/CP/2013/10/Add.3.</w:t>
      </w:r>
      <w:r w:rsidRPr="00261B7A">
        <w:rPr>
          <w:i/>
          <w:szCs w:val="20"/>
        </w:rPr>
        <w:t xml:space="preserve"> Report of the Conference of the Parties on its nineteenth session, held in Warsaw from 11 to 23 November 2013: Addendum – Part 2: Action taken by the Conference of the Parties at its nineteenth session</w:t>
      </w:r>
      <w:r w:rsidRPr="00261B7A">
        <w:rPr>
          <w:szCs w:val="20"/>
        </w:rPr>
        <w:t>.</w:t>
      </w:r>
    </w:p>
    <w:p w14:paraId="337A4B5B" w14:textId="51C38774" w:rsidR="0010265C" w:rsidRPr="00261B7A" w:rsidRDefault="0010265C" w:rsidP="0010265C">
      <w:pPr>
        <w:pStyle w:val="References"/>
        <w:rPr>
          <w:szCs w:val="20"/>
        </w:rPr>
      </w:pPr>
      <w:bookmarkStart w:id="2420" w:name="_Hlk61859390"/>
      <w:r w:rsidRPr="00261B7A">
        <w:rPr>
          <w:szCs w:val="20"/>
        </w:rPr>
        <w:t>UNFCCC. 2020. FCCC/ARR/2019/NZL. Report of the individual review of the annual submission of New</w:t>
      </w:r>
      <w:r w:rsidR="005C1946" w:rsidRPr="00261B7A">
        <w:rPr>
          <w:szCs w:val="20"/>
        </w:rPr>
        <w:t> </w:t>
      </w:r>
      <w:r w:rsidRPr="00261B7A">
        <w:rPr>
          <w:szCs w:val="20"/>
        </w:rPr>
        <w:t>Zealand submitted in 2019. In-country Review.</w:t>
      </w:r>
    </w:p>
    <w:bookmarkEnd w:id="2420"/>
    <w:p w14:paraId="75A9B454" w14:textId="37F79EAB" w:rsidR="0010265C" w:rsidRPr="00261B7A" w:rsidRDefault="0010265C" w:rsidP="0010265C">
      <w:pPr>
        <w:pStyle w:val="References"/>
      </w:pPr>
      <w:r w:rsidRPr="00261B7A">
        <w:t xml:space="preserve">Wakelin SJ. Unpublished(a). Scientific Research Underpinning New Zealand’s Carbon Inventory in Planted Forests. Objective 9 – UNFCCC planted forest carbon inventory methodology. Milestone 2 </w:t>
      </w:r>
      <w:r w:rsidRPr="00261B7A">
        <w:br/>
        <w:t>– Review of shrubland clearance assumptions in the national carbon inventory. Contract report prepared for the Ministry for the Environment by New Zealand Forest Research Institute Ltd (trading</w:t>
      </w:r>
      <w:r w:rsidR="005C1946" w:rsidRPr="00261B7A">
        <w:t> </w:t>
      </w:r>
      <w:r w:rsidRPr="00261B7A">
        <w:t>as Scion) in 2004.</w:t>
      </w:r>
    </w:p>
    <w:p w14:paraId="0A77E54B" w14:textId="77777777" w:rsidR="0010265C" w:rsidRPr="00261B7A" w:rsidRDefault="0010265C" w:rsidP="0010265C">
      <w:pPr>
        <w:pStyle w:val="References"/>
        <w:rPr>
          <w:szCs w:val="20"/>
        </w:rPr>
      </w:pPr>
      <w:r w:rsidRPr="00261B7A">
        <w:rPr>
          <w:szCs w:val="20"/>
        </w:rPr>
        <w:t xml:space="preserve">Wakelin SJ. Unpublished(b). </w:t>
      </w:r>
      <w:r w:rsidRPr="00261B7A">
        <w:rPr>
          <w:iCs/>
          <w:szCs w:val="20"/>
        </w:rPr>
        <w:t>Review of LULUCF Biomass Burning Assumptions in New Zealand’s Greenhouse Gas Inventory</w:t>
      </w:r>
      <w:r w:rsidRPr="00261B7A">
        <w:rPr>
          <w:szCs w:val="20"/>
        </w:rPr>
        <w:t>. Contract report prepared for the Ministry for the Environment by Ensis in 2006.</w:t>
      </w:r>
    </w:p>
    <w:p w14:paraId="34A41B94" w14:textId="715294DB" w:rsidR="0010265C" w:rsidRPr="00261B7A" w:rsidRDefault="0010265C" w:rsidP="0010265C">
      <w:pPr>
        <w:pStyle w:val="References"/>
        <w:rPr>
          <w:szCs w:val="20"/>
        </w:rPr>
      </w:pPr>
      <w:r w:rsidRPr="00261B7A">
        <w:rPr>
          <w:szCs w:val="20"/>
        </w:rPr>
        <w:t xml:space="preserve">Wakelin SJ. Unpublished(c). </w:t>
      </w:r>
      <w:r w:rsidRPr="00261B7A">
        <w:rPr>
          <w:iCs/>
          <w:szCs w:val="20"/>
        </w:rPr>
        <w:t>Apportioning Wildfire Emissions to Forest Sub-categories in the National Greenhouse Gas Inventory</w:t>
      </w:r>
      <w:r w:rsidRPr="00261B7A">
        <w:rPr>
          <w:szCs w:val="20"/>
        </w:rPr>
        <w:t>. Contract report prepared for the Ministry for the Environment by New</w:t>
      </w:r>
      <w:r w:rsidR="00C12B66" w:rsidRPr="00261B7A">
        <w:rPr>
          <w:szCs w:val="20"/>
        </w:rPr>
        <w:t> </w:t>
      </w:r>
      <w:r w:rsidRPr="00261B7A">
        <w:rPr>
          <w:szCs w:val="20"/>
        </w:rPr>
        <w:t>Zealand Forest Research Institute Ltd (trading as Scion) in 2011.</w:t>
      </w:r>
    </w:p>
    <w:p w14:paraId="16C2D27D" w14:textId="77777777" w:rsidR="0010265C" w:rsidRPr="00261B7A" w:rsidRDefault="0010265C" w:rsidP="0010265C">
      <w:pPr>
        <w:pStyle w:val="References"/>
        <w:rPr>
          <w:szCs w:val="20"/>
        </w:rPr>
      </w:pPr>
      <w:r w:rsidRPr="00261B7A">
        <w:rPr>
          <w:szCs w:val="20"/>
        </w:rPr>
        <w:t xml:space="preserve">Wakelin SJ. Unpublished(d). </w:t>
      </w:r>
      <w:r w:rsidRPr="00261B7A">
        <w:rPr>
          <w:iCs/>
          <w:szCs w:val="20"/>
        </w:rPr>
        <w:t>Controlled Biomass Burning Emissions for the 2011 Greenhouse Gas Inventory</w:t>
      </w:r>
      <w:r w:rsidRPr="00261B7A">
        <w:rPr>
          <w:szCs w:val="20"/>
        </w:rPr>
        <w:t>. Contract report prepared for the Ministry for the Environment by New Zealand Forest Research Institute Ltd (trading as Scion) in 2012.</w:t>
      </w:r>
    </w:p>
    <w:p w14:paraId="4B11B118" w14:textId="77777777" w:rsidR="0010265C" w:rsidRPr="00261B7A" w:rsidRDefault="0010265C" w:rsidP="0010265C">
      <w:pPr>
        <w:pStyle w:val="References"/>
        <w:rPr>
          <w:szCs w:val="20"/>
        </w:rPr>
      </w:pPr>
      <w:r w:rsidRPr="00261B7A">
        <w:rPr>
          <w:szCs w:val="20"/>
        </w:rPr>
        <w:t>Wakelin SJ. Unpublished(e). Review of Emissions from Prescribed Burning of Standing Vegetation in New Zealand. Contract report prepared for the Ministry for the Environment by New Zealand Forest Research Institute Ltd (trading as Scion) in 2018.</w:t>
      </w:r>
    </w:p>
    <w:p w14:paraId="00C3BB97" w14:textId="77777777" w:rsidR="0010265C" w:rsidRPr="00261B7A" w:rsidRDefault="0010265C" w:rsidP="0010265C">
      <w:pPr>
        <w:pStyle w:val="References"/>
        <w:rPr>
          <w:szCs w:val="20"/>
        </w:rPr>
      </w:pPr>
      <w:r w:rsidRPr="00261B7A">
        <w:rPr>
          <w:szCs w:val="20"/>
        </w:rPr>
        <w:t xml:space="preserve">Wakelin SJ, Beets PN. Unpublished. </w:t>
      </w:r>
      <w:r w:rsidRPr="00261B7A">
        <w:rPr>
          <w:iCs/>
          <w:szCs w:val="20"/>
        </w:rPr>
        <w:t>Emission Factors for Managed and Unmanaged Grassland with Woody Biomass</w:t>
      </w:r>
      <w:r w:rsidRPr="00261B7A">
        <w:rPr>
          <w:szCs w:val="20"/>
        </w:rPr>
        <w:t>. Contract report prepared for the Ministry for the Environment by New Zealand Forest Research Institute Ltd (trading as Scion) in 2013.</w:t>
      </w:r>
    </w:p>
    <w:p w14:paraId="70004979" w14:textId="77777777" w:rsidR="0010265C" w:rsidRPr="00261B7A" w:rsidRDefault="0010265C" w:rsidP="0010265C">
      <w:pPr>
        <w:pStyle w:val="References"/>
        <w:rPr>
          <w:szCs w:val="20"/>
        </w:rPr>
      </w:pPr>
      <w:r w:rsidRPr="00261B7A">
        <w:rPr>
          <w:szCs w:val="20"/>
        </w:rPr>
        <w:t xml:space="preserve">Wakelin SJ, Clifford VR, Anderson SAJ, Pearce HG. Unpublished. </w:t>
      </w:r>
      <w:r w:rsidRPr="00261B7A">
        <w:rPr>
          <w:iCs/>
          <w:szCs w:val="20"/>
        </w:rPr>
        <w:t>Review of LULUCF Non-carbon Emissions in New Zealand’s Greenhouse Gas Inventory</w:t>
      </w:r>
      <w:r w:rsidRPr="00261B7A">
        <w:rPr>
          <w:szCs w:val="20"/>
        </w:rPr>
        <w:t>. Contract report 17342 prepared for Ministry for the Environment by New Zealand Forest Research Institute Ltd (trading as Scion) in 2009.</w:t>
      </w:r>
    </w:p>
    <w:p w14:paraId="560F9AF2" w14:textId="77777777" w:rsidR="0010265C" w:rsidRPr="00261B7A" w:rsidRDefault="0010265C" w:rsidP="0010265C">
      <w:pPr>
        <w:pStyle w:val="References"/>
        <w:rPr>
          <w:szCs w:val="20"/>
        </w:rPr>
      </w:pPr>
      <w:r w:rsidRPr="00261B7A">
        <w:rPr>
          <w:szCs w:val="20"/>
        </w:rPr>
        <w:t>Wakelin SJ, Kimberley M. Unpublished. Harvested Wood Products Model for UNFCCC and Kyoto Protocol Reporting. Contract report prepared for the Ministry for the Environment by New Zealand Forest Research Institute Ltd (trading as Scion) in 2017.</w:t>
      </w:r>
    </w:p>
    <w:p w14:paraId="2FB82230" w14:textId="77777777" w:rsidR="0010265C" w:rsidRPr="00261B7A" w:rsidRDefault="0010265C" w:rsidP="0010265C">
      <w:pPr>
        <w:pStyle w:val="References"/>
        <w:rPr>
          <w:szCs w:val="20"/>
        </w:rPr>
      </w:pPr>
      <w:r w:rsidRPr="00261B7A">
        <w:rPr>
          <w:szCs w:val="20"/>
        </w:rPr>
        <w:t xml:space="preserve">Wakelin SJ, Searles N, Lawrence D, Paul TSH. 2020. Estimating New Zealand’s harvested wood products carbon stocks and stock changes. </w:t>
      </w:r>
      <w:r w:rsidRPr="00261B7A">
        <w:rPr>
          <w:i/>
          <w:iCs/>
          <w:szCs w:val="20"/>
        </w:rPr>
        <w:t>Carbon Balance and Management</w:t>
      </w:r>
      <w:r w:rsidRPr="00261B7A">
        <w:rPr>
          <w:szCs w:val="20"/>
        </w:rPr>
        <w:t xml:space="preserve"> 15(10). </w:t>
      </w:r>
    </w:p>
    <w:p w14:paraId="460450F9" w14:textId="77777777" w:rsidR="0010265C" w:rsidRPr="00261B7A" w:rsidRDefault="0010265C" w:rsidP="0010265C">
      <w:pPr>
        <w:pStyle w:val="References"/>
        <w:rPr>
          <w:szCs w:val="20"/>
        </w:rPr>
      </w:pPr>
      <w:r w:rsidRPr="00261B7A">
        <w:rPr>
          <w:szCs w:val="20"/>
        </w:rPr>
        <w:t>Watts D. Unpublished. Land Use Backcasting: Data and methodology. Wellington: Ministry for the Environment.</w:t>
      </w:r>
    </w:p>
    <w:p w14:paraId="2EA32983" w14:textId="77777777" w:rsidR="0010265C" w:rsidRPr="00261B7A" w:rsidRDefault="0010265C" w:rsidP="0010265C">
      <w:pPr>
        <w:pStyle w:val="References"/>
        <w:rPr>
          <w:szCs w:val="20"/>
        </w:rPr>
      </w:pPr>
      <w:r w:rsidRPr="00261B7A">
        <w:rPr>
          <w:szCs w:val="20"/>
        </w:rPr>
        <w:t xml:space="preserve">Wekesa A. 2022. The Estimation and Modelling of Carbon Stocks from Harvested Wood Products in New Zealand. Doctoral thesis, University of Canterbury. Retrieved from </w:t>
      </w:r>
      <w:hyperlink r:id="rId229" w:history="1">
        <w:r w:rsidRPr="00261B7A">
          <w:rPr>
            <w:rStyle w:val="Hyperlink"/>
            <w:szCs w:val="20"/>
          </w:rPr>
          <w:t>dx.doi.org/10.26021/13673</w:t>
        </w:r>
      </w:hyperlink>
      <w:r w:rsidRPr="00261B7A">
        <w:rPr>
          <w:szCs w:val="20"/>
        </w:rPr>
        <w:t xml:space="preserve"> (24 February 2023).</w:t>
      </w:r>
    </w:p>
    <w:p w14:paraId="447C6440" w14:textId="77777777" w:rsidR="0010265C" w:rsidRPr="00261B7A" w:rsidRDefault="0010265C" w:rsidP="0010265C">
      <w:pPr>
        <w:pStyle w:val="References"/>
      </w:pPr>
    </w:p>
    <w:p w14:paraId="1D383EBB" w14:textId="77777777" w:rsidR="00532C24" w:rsidRPr="00261B7A" w:rsidRDefault="00532C24" w:rsidP="009F5DA6">
      <w:pPr>
        <w:sectPr w:rsidR="00532C24" w:rsidRPr="00261B7A" w:rsidSect="00131AD5">
          <w:headerReference w:type="even" r:id="rId230"/>
          <w:headerReference w:type="default" r:id="rId231"/>
          <w:footerReference w:type="even" r:id="rId232"/>
          <w:footerReference w:type="default" r:id="rId233"/>
          <w:headerReference w:type="first" r:id="rId234"/>
          <w:footerReference w:type="first" r:id="rId235"/>
          <w:pgSz w:w="11906" w:h="16838" w:code="9"/>
          <w:pgMar w:top="1418" w:right="1701" w:bottom="1418" w:left="1701" w:header="567" w:footer="567" w:gutter="0"/>
          <w:cols w:space="708"/>
          <w:docGrid w:linePitch="360"/>
        </w:sectPr>
      </w:pPr>
    </w:p>
    <w:p w14:paraId="2BFE5EB3" w14:textId="77777777" w:rsidR="00422EFE" w:rsidRPr="00261B7A" w:rsidRDefault="00422EFE" w:rsidP="00422EFE">
      <w:pPr>
        <w:pStyle w:val="Heading1"/>
      </w:pPr>
      <w:bookmarkStart w:id="2421" w:name="_Toc131591259"/>
      <w:bookmarkStart w:id="2422" w:name="chapter-7-waste"/>
      <w:r w:rsidRPr="00261B7A">
        <w:t>Chapter 7: Waste</w:t>
      </w:r>
      <w:bookmarkEnd w:id="2421"/>
    </w:p>
    <w:p w14:paraId="5883D5CA" w14:textId="77777777" w:rsidR="00422EFE" w:rsidRPr="00261B7A" w:rsidRDefault="00422EFE" w:rsidP="0097577A">
      <w:pPr>
        <w:pStyle w:val="Heading2"/>
        <w:spacing w:before="240"/>
      </w:pPr>
      <w:bookmarkStart w:id="2423" w:name="_Toc131591260"/>
      <w:bookmarkStart w:id="2424" w:name="sector-overview"/>
      <w:r w:rsidRPr="00261B7A">
        <w:t xml:space="preserve">7.1 </w:t>
      </w:r>
      <w:r w:rsidRPr="00261B7A">
        <w:tab/>
        <w:t>Sector overview</w:t>
      </w:r>
      <w:bookmarkEnd w:id="2423"/>
    </w:p>
    <w:p w14:paraId="54AD7B47" w14:textId="77777777" w:rsidR="00422EFE" w:rsidRPr="00261B7A" w:rsidRDefault="00422EFE" w:rsidP="00422EFE">
      <w:pPr>
        <w:pStyle w:val="Heading3"/>
        <w:spacing w:before="240"/>
      </w:pPr>
      <w:bookmarkStart w:id="2425" w:name="the-waste-sector-in-new-zealand"/>
      <w:r w:rsidRPr="00261B7A">
        <w:t xml:space="preserve">7.1.1 </w:t>
      </w:r>
      <w:r w:rsidRPr="00261B7A">
        <w:tab/>
        <w:t>The Waste sector in New Zealand</w:t>
      </w:r>
    </w:p>
    <w:p w14:paraId="1E5F24EB" w14:textId="77777777" w:rsidR="00422EFE" w:rsidRPr="00261B7A" w:rsidRDefault="00422EFE" w:rsidP="00422EFE">
      <w:pPr>
        <w:pStyle w:val="BodyText"/>
      </w:pPr>
      <w:r w:rsidRPr="00261B7A">
        <w:t>In New Zealand, most solid waste is disposed to land. The majority of the country’s household and commercial waste is placed in managed municipal landfills. Before 2010, some municipal waste was also disposed to unmanaged or uncategorised sites. Unmanaged</w:t>
      </w:r>
      <w:r w:rsidRPr="00261B7A">
        <w:rPr>
          <w:rStyle w:val="FootnoteReference"/>
        </w:rPr>
        <w:footnoteReference w:id="65"/>
      </w:r>
      <w:r w:rsidRPr="00261B7A">
        <w:t xml:space="preserve"> sites consist of many small landfills, such as those on farms and in industry, which are still in operation. One major exception to disposal to land is that about half of all farm waste is disposed by open burning. Figure 7.1.1 shows the sources of and disposal practices for solid waste in New Zealand.</w:t>
      </w:r>
    </w:p>
    <w:p w14:paraId="431801D8" w14:textId="77777777" w:rsidR="00422EFE" w:rsidRPr="00261B7A" w:rsidRDefault="00422EFE" w:rsidP="00422EFE">
      <w:pPr>
        <w:pStyle w:val="BodyText"/>
      </w:pPr>
      <w:r w:rsidRPr="00261B7A">
        <w:t>Most wastewater treatment in New Zealand is aerobic, including domestic, commercial and industrial wastewater, which releases methane (CH</w:t>
      </w:r>
      <w:r w:rsidRPr="00261B7A">
        <w:rPr>
          <w:vertAlign w:val="subscript"/>
        </w:rPr>
        <w:t>4</w:t>
      </w:r>
      <w:r w:rsidRPr="00261B7A">
        <w:t>) emissions. Methane emissions from domestic wastewater are mainly from rural septic tank usage. Wastewater emissions also occur from some municipal treatment plants, which use semi-aerobic processes, and from industries in New Zealand, in particular, the meat and the pulp and paper industries.</w:t>
      </w:r>
    </w:p>
    <w:p w14:paraId="0B0B9756" w14:textId="77777777" w:rsidR="00422EFE" w:rsidRPr="00261B7A" w:rsidRDefault="00422EFE" w:rsidP="00422EFE">
      <w:pPr>
        <w:pStyle w:val="BodyText"/>
      </w:pPr>
      <w:r w:rsidRPr="00261B7A">
        <w:t>Municipal waste is generally not incinerated in New Zealand. Incineration is used only on a very small scale, mainly for hazardous waste, clinical waste and sewage sludge, and has declined over time due to environmental regulation and the availability of other disposal options.</w:t>
      </w:r>
    </w:p>
    <w:p w14:paraId="56B965E1" w14:textId="77777777" w:rsidR="00422EFE" w:rsidRPr="00261B7A" w:rsidRDefault="00422EFE" w:rsidP="00422EFE">
      <w:pPr>
        <w:pStyle w:val="BodyText"/>
      </w:pPr>
      <w:r w:rsidRPr="00261B7A">
        <w:t>Emissions from composting activities are included. An anaerobic digestion plant is under development, however, it was not yet operating in 2021. No other emission sources for direct greenhouse gases are applicable to New Zealand and no other activity data are available.</w:t>
      </w:r>
    </w:p>
    <w:p w14:paraId="218645F4" w14:textId="77777777" w:rsidR="00422EFE" w:rsidRPr="00261B7A" w:rsidRDefault="00422EFE" w:rsidP="00422EFE">
      <w:pPr>
        <w:pStyle w:val="BodyText"/>
      </w:pPr>
      <w:r w:rsidRPr="00261B7A">
        <w:t>In 2022, the Ministry for the Environment published the first emissions reduction plan, which sets out actions for achieving New Zealand’s emissions budget for 2022–25, and chapter 15 in the plan covers actions for waste.</w:t>
      </w:r>
      <w:r w:rsidRPr="00261B7A">
        <w:rPr>
          <w:rStyle w:val="FootnoteReference"/>
        </w:rPr>
        <w:footnoteReference w:id="66"/>
      </w:r>
      <w:r w:rsidRPr="00261B7A">
        <w:t xml:space="preserve"> The effects of these actions will be reported in future inventories.</w:t>
      </w:r>
    </w:p>
    <w:p w14:paraId="3736539E" w14:textId="77777777" w:rsidR="00422EFE" w:rsidRPr="00261B7A" w:rsidRDefault="00422EFE" w:rsidP="00422EFE">
      <w:pPr>
        <w:pStyle w:val="BodyText"/>
      </w:pPr>
      <w:r w:rsidRPr="00261B7A">
        <w:t>The impact of COVID-19 on emissions from the Waste sector is negligible, because annual variations are within usual ranges. In addition, variations to solid waste disposal activity have a reduced effect on annual emissions. This is due to the dampening effect of the first-order decay models used to estimate emissions from landfills.</w:t>
      </w:r>
    </w:p>
    <w:p w14:paraId="3A32B428" w14:textId="77777777" w:rsidR="00422EFE" w:rsidRPr="00261B7A" w:rsidRDefault="00422EFE" w:rsidP="00422EFE">
      <w:pPr>
        <w:pStyle w:val="Figure"/>
      </w:pPr>
      <w:bookmarkStart w:id="2426" w:name="_Toc130211456"/>
      <w:bookmarkStart w:id="2427" w:name="_Toc131591577"/>
      <w:r w:rsidRPr="00261B7A">
        <w:t xml:space="preserve">Figure 7.1.1 </w:t>
      </w:r>
      <w:r w:rsidRPr="00261B7A">
        <w:tab/>
        <w:t>Flows of solid waste generation and disposal in New Zealand</w:t>
      </w:r>
      <w:bookmarkEnd w:id="2426"/>
      <w:bookmarkEnd w:id="2427"/>
    </w:p>
    <w:p w14:paraId="4636419D" w14:textId="77777777" w:rsidR="00422EFE" w:rsidRPr="00261B7A" w:rsidRDefault="00422EFE" w:rsidP="00422EFE">
      <w:pPr>
        <w:pStyle w:val="BodyText"/>
        <w:spacing w:before="60"/>
      </w:pPr>
      <w:r w:rsidRPr="00261B7A">
        <w:rPr>
          <w:noProof/>
        </w:rPr>
        <w:drawing>
          <wp:inline distT="0" distB="0" distL="0" distR="0" wp14:anchorId="72CD108F" wp14:editId="3060064E">
            <wp:extent cx="5397257" cy="2827020"/>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25" name="Picture" descr="images/fig_7_1_1.png"/>
                    <pic:cNvPicPr>
                      <a:picLocks noChangeAspect="1" noChangeArrowheads="1"/>
                    </pic:cNvPicPr>
                  </pic:nvPicPr>
                  <pic:blipFill rotWithShape="1">
                    <a:blip r:embed="rId236"/>
                    <a:srcRect b="5817"/>
                    <a:stretch/>
                  </pic:blipFill>
                  <pic:spPr bwMode="auto">
                    <a:xfrm>
                      <a:off x="0" y="0"/>
                      <a:ext cx="5397500" cy="2827147"/>
                    </a:xfrm>
                    <a:prstGeom prst="rect">
                      <a:avLst/>
                    </a:prstGeom>
                    <a:noFill/>
                    <a:ln>
                      <a:noFill/>
                    </a:ln>
                    <a:extLst>
                      <a:ext uri="{53640926-AAD7-44D8-BBD7-CCE9431645EC}">
                        <a14:shadowObscured xmlns:a14="http://schemas.microsoft.com/office/drawing/2010/main"/>
                      </a:ext>
                    </a:extLst>
                  </pic:spPr>
                </pic:pic>
              </a:graphicData>
            </a:graphic>
          </wp:inline>
        </w:drawing>
      </w:r>
    </w:p>
    <w:p w14:paraId="2A801122" w14:textId="77777777" w:rsidR="00422EFE" w:rsidRPr="00261B7A" w:rsidRDefault="00422EFE" w:rsidP="008D02F0">
      <w:pPr>
        <w:pStyle w:val="BodyText"/>
        <w:spacing w:after="100"/>
      </w:pPr>
      <w:r w:rsidRPr="00261B7A">
        <w:t>New Zealand reports emissions from Tokelau, which is a dependent territory of New Zealand. Emissions from Tokelau for all activities are reported in annex 7 of the National Inventory Report and within the ‘Other’ sector in the common reporting format (CRF) tables. This is due to the significantly different methods applied and the prohibitive complexity of integrating emissions within the main sectors. Therefore, all emissions reported in this sector are from New Zealand excluding Tokelau. Please refer to chapter 8 and annex 7 for details of methods applied and the emissions for Tokelau.</w:t>
      </w:r>
    </w:p>
    <w:p w14:paraId="0E1E0AD0" w14:textId="77777777" w:rsidR="00422EFE" w:rsidRPr="00261B7A" w:rsidRDefault="00422EFE" w:rsidP="00F96CC7">
      <w:pPr>
        <w:pStyle w:val="Heading3"/>
        <w:spacing w:before="240"/>
      </w:pPr>
      <w:bookmarkStart w:id="2428" w:name="emissions-summary"/>
      <w:bookmarkEnd w:id="2425"/>
      <w:r w:rsidRPr="00261B7A">
        <w:t xml:space="preserve">7.1.2 </w:t>
      </w:r>
      <w:r w:rsidRPr="00261B7A">
        <w:tab/>
        <w:t>Emissions summary</w:t>
      </w:r>
    </w:p>
    <w:p w14:paraId="31918FA7" w14:textId="77777777" w:rsidR="00422EFE" w:rsidRPr="00261B7A" w:rsidRDefault="00422EFE" w:rsidP="00F96CC7">
      <w:pPr>
        <w:pStyle w:val="BodyText"/>
        <w:spacing w:before="80" w:after="100"/>
      </w:pPr>
      <w:r w:rsidRPr="00261B7A">
        <w:t>The Waste sector in New Zealand produces mainly CH</w:t>
      </w:r>
      <w:r w:rsidRPr="00261B7A">
        <w:rPr>
          <w:vertAlign w:val="subscript"/>
        </w:rPr>
        <w:t>4</w:t>
      </w:r>
      <w:r w:rsidRPr="00261B7A">
        <w:t xml:space="preserve"> emissions (91.9 per cent) followed by nitrous oxide (N</w:t>
      </w:r>
      <w:r w:rsidRPr="00261B7A">
        <w:rPr>
          <w:vertAlign w:val="subscript"/>
        </w:rPr>
        <w:t>2</w:t>
      </w:r>
      <w:r w:rsidRPr="00261B7A">
        <w:t>O) (5.3 per cent) and carbon dioxide (CO</w:t>
      </w:r>
      <w:r w:rsidRPr="00261B7A">
        <w:rPr>
          <w:vertAlign w:val="subscript"/>
        </w:rPr>
        <w:t>2</w:t>
      </w:r>
      <w:r w:rsidRPr="00261B7A">
        <w:t>) emissions (2.8 per cent). The Waste sector produces 9.0 per cent of gross CH</w:t>
      </w:r>
      <w:r w:rsidRPr="00261B7A">
        <w:rPr>
          <w:vertAlign w:val="subscript"/>
        </w:rPr>
        <w:t>4</w:t>
      </w:r>
      <w:r w:rsidRPr="00261B7A">
        <w:t xml:space="preserve"> emissions in New Zealand. There are also emissions of CO</w:t>
      </w:r>
      <w:r w:rsidRPr="00261B7A">
        <w:rPr>
          <w:vertAlign w:val="subscript"/>
        </w:rPr>
        <w:t>2</w:t>
      </w:r>
      <w:r w:rsidRPr="00261B7A">
        <w:t xml:space="preserve"> from the disposal of solid waste, but these are of biogenic origin and are not reported. </w:t>
      </w:r>
    </w:p>
    <w:p w14:paraId="3840B516" w14:textId="77777777" w:rsidR="00422EFE" w:rsidRPr="00261B7A" w:rsidRDefault="00422EFE" w:rsidP="008D02F0">
      <w:pPr>
        <w:pStyle w:val="Heading5"/>
        <w:spacing w:before="180"/>
      </w:pPr>
      <w:bookmarkStart w:id="2429" w:name="section"/>
      <w:r w:rsidRPr="00261B7A">
        <w:t>2021</w:t>
      </w:r>
    </w:p>
    <w:p w14:paraId="256FE868" w14:textId="6A000558" w:rsidR="00422EFE" w:rsidRPr="00261B7A" w:rsidRDefault="00422EFE" w:rsidP="00F96CC7">
      <w:pPr>
        <w:pStyle w:val="BodyText"/>
        <w:spacing w:before="80" w:after="100"/>
      </w:pPr>
      <w:r w:rsidRPr="00261B7A">
        <w:t>In 2021, emissions from the Waste sector contributed 3,214.9 kt CO</w:t>
      </w:r>
      <w:r w:rsidRPr="00261B7A">
        <w:rPr>
          <w:vertAlign w:val="subscript"/>
        </w:rPr>
        <w:t>2</w:t>
      </w:r>
      <w:r w:rsidRPr="00261B7A">
        <w:t>-e or 4.2 per cent of New</w:t>
      </w:r>
      <w:r w:rsidR="0019356D" w:rsidRPr="00261B7A">
        <w:t> </w:t>
      </w:r>
      <w:r w:rsidRPr="00261B7A">
        <w:t xml:space="preserve">Zealand’s gross greenhouse gas emissions. The largest source category is </w:t>
      </w:r>
      <w:r w:rsidRPr="00261B7A">
        <w:rPr>
          <w:i/>
          <w:iCs/>
        </w:rPr>
        <w:t>Solid waste disposal</w:t>
      </w:r>
      <w:r w:rsidRPr="00261B7A">
        <w:t xml:space="preserve">, as shown in table 7.1.1. </w:t>
      </w:r>
    </w:p>
    <w:p w14:paraId="5133A856" w14:textId="77777777" w:rsidR="00422EFE" w:rsidRPr="00261B7A" w:rsidRDefault="00422EFE" w:rsidP="008D02F0">
      <w:pPr>
        <w:pStyle w:val="Heading5"/>
        <w:spacing w:before="180"/>
      </w:pPr>
      <w:bookmarkStart w:id="2430" w:name="section-1"/>
      <w:bookmarkEnd w:id="2429"/>
      <w:r w:rsidRPr="00261B7A">
        <w:t>1990–2021</w:t>
      </w:r>
    </w:p>
    <w:p w14:paraId="45CDBAD1" w14:textId="77777777" w:rsidR="00422EFE" w:rsidRPr="00261B7A" w:rsidRDefault="00422EFE" w:rsidP="00F96CC7">
      <w:pPr>
        <w:pStyle w:val="BodyText"/>
        <w:spacing w:before="80" w:after="100"/>
      </w:pPr>
      <w:r w:rsidRPr="00261B7A">
        <w:t>In 2021, emissions from the Waste sector decreased by 18.5 per cent (729.7 kt CO</w:t>
      </w:r>
      <w:r w:rsidRPr="00261B7A">
        <w:rPr>
          <w:vertAlign w:val="subscript"/>
        </w:rPr>
        <w:t>2</w:t>
      </w:r>
      <w:r w:rsidRPr="00261B7A">
        <w:t>-e), from 3,944.6 kt CO</w:t>
      </w:r>
      <w:r w:rsidRPr="00261B7A">
        <w:rPr>
          <w:vertAlign w:val="subscript"/>
        </w:rPr>
        <w:t>2</w:t>
      </w:r>
      <w:r w:rsidRPr="00261B7A">
        <w:t>-e in 1990.</w:t>
      </w:r>
    </w:p>
    <w:p w14:paraId="0084BA06" w14:textId="77777777" w:rsidR="00422EFE" w:rsidRPr="00261B7A" w:rsidRDefault="00422EFE" w:rsidP="008D02F0">
      <w:pPr>
        <w:pStyle w:val="BodyText"/>
        <w:spacing w:before="100" w:after="100"/>
      </w:pPr>
      <w:r w:rsidRPr="00261B7A">
        <w:t>Annual emissions increased between 1990 and 2002, peaking at 4,470.0 kt CO</w:t>
      </w:r>
      <w:r w:rsidRPr="00261B7A">
        <w:rPr>
          <w:vertAlign w:val="subscript"/>
        </w:rPr>
        <w:t>2</w:t>
      </w:r>
      <w:r w:rsidRPr="00261B7A">
        <w:t>-e in 2002, and have generally decreased since that time. Growth in population and economic activity since 1990 has resulted in increasing volumes of solid waste and wastewater for the whole of the time series. Ongoing improvements in the management of solid waste disposal at municipal landfills have meant total Waste sector emissions have been trending down since 2005, in spite of increasing volumes of solid waste and wastewater. The reduction in emissions is primarily the result of increased CH</w:t>
      </w:r>
      <w:r w:rsidRPr="00261B7A">
        <w:rPr>
          <w:vertAlign w:val="subscript"/>
        </w:rPr>
        <w:t>4</w:t>
      </w:r>
      <w:r w:rsidRPr="00261B7A">
        <w:t xml:space="preserve"> recovery driven by the National Environmental Standards for Air Quality introduced in 2004 and also by the New Zealand Emissions Trading Scheme (NZ ETS) since 2013. The trends are shown in chapter 2, figure 2.2.11 and in figures 7.1.2 and 7.1.3. </w:t>
      </w:r>
    </w:p>
    <w:p w14:paraId="7EE12056" w14:textId="77777777" w:rsidR="00422EFE" w:rsidRPr="00261B7A" w:rsidRDefault="00422EFE" w:rsidP="00422EFE">
      <w:pPr>
        <w:pStyle w:val="Heading5"/>
      </w:pPr>
      <w:bookmarkStart w:id="2431" w:name="section-2"/>
      <w:bookmarkEnd w:id="2430"/>
      <w:r w:rsidRPr="00261B7A">
        <w:t>2020–2021</w:t>
      </w:r>
    </w:p>
    <w:p w14:paraId="1DA2913C" w14:textId="77777777" w:rsidR="00422EFE" w:rsidRPr="00261B7A" w:rsidRDefault="00422EFE" w:rsidP="00422EFE">
      <w:pPr>
        <w:pStyle w:val="BodyText"/>
      </w:pPr>
      <w:r w:rsidRPr="00261B7A">
        <w:t>Between 2020 and 2021, emissions from the Waste sector decreased by 51.6 kt CO</w:t>
      </w:r>
      <w:r w:rsidRPr="00261B7A">
        <w:rPr>
          <w:vertAlign w:val="subscript"/>
        </w:rPr>
        <w:t>2</w:t>
      </w:r>
      <w:r w:rsidRPr="00261B7A">
        <w:t>-e (1.6 per cent). This decrease is largely the result of decreases in CH</w:t>
      </w:r>
      <w:r w:rsidRPr="00261B7A">
        <w:rPr>
          <w:vertAlign w:val="subscript"/>
        </w:rPr>
        <w:t>4</w:t>
      </w:r>
      <w:r w:rsidRPr="00261B7A">
        <w:t xml:space="preserve"> emissions in the </w:t>
      </w:r>
      <w:r w:rsidRPr="00261B7A">
        <w:rPr>
          <w:i/>
          <w:iCs/>
        </w:rPr>
        <w:t>Managed waste disposal sites</w:t>
      </w:r>
      <w:r w:rsidRPr="00261B7A">
        <w:t xml:space="preserve"> category mainly due to increasing landfill gas capture and changes in the composition of waste, with a reduction in the proportion of garden, food and paper waste disposed to those sites.</w:t>
      </w:r>
    </w:p>
    <w:p w14:paraId="00AA71E8" w14:textId="77777777" w:rsidR="00422EFE" w:rsidRPr="00261B7A" w:rsidRDefault="00422EFE" w:rsidP="00422EFE">
      <w:pPr>
        <w:pStyle w:val="Table"/>
      </w:pPr>
      <w:bookmarkStart w:id="2432" w:name="_Toc128383660"/>
      <w:bookmarkStart w:id="2433" w:name="_Toc131591433"/>
      <w:r w:rsidRPr="00261B7A">
        <w:t xml:space="preserve">Table 7.1.1 </w:t>
      </w:r>
      <w:r w:rsidRPr="00261B7A">
        <w:tab/>
        <w:t>New Zealand’s greenhouse gas emissions for the Waste sector by source category in 1990 and 2021</w:t>
      </w:r>
      <w:bookmarkEnd w:id="2432"/>
      <w:bookmarkEnd w:id="2433"/>
    </w:p>
    <w:tbl>
      <w:tblPr>
        <w:tblW w:w="8499"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195"/>
        <w:gridCol w:w="792"/>
        <w:gridCol w:w="792"/>
        <w:gridCol w:w="1628"/>
        <w:gridCol w:w="984"/>
        <w:gridCol w:w="554"/>
        <w:gridCol w:w="554"/>
      </w:tblGrid>
      <w:tr w:rsidR="00422EFE" w:rsidRPr="00261B7A" w14:paraId="1CED4CC3" w14:textId="77777777" w:rsidTr="00D41492">
        <w:trPr>
          <w:tblHeader/>
        </w:trPr>
        <w:tc>
          <w:tcPr>
            <w:tcW w:w="0" w:type="auto"/>
            <w:shd w:val="clear" w:color="auto" w:fill="1B556B"/>
            <w:tcMar>
              <w:top w:w="0" w:type="dxa"/>
              <w:left w:w="108" w:type="dxa"/>
              <w:bottom w:w="0" w:type="dxa"/>
              <w:right w:w="108" w:type="dxa"/>
            </w:tcMar>
            <w:vAlign w:val="center"/>
          </w:tcPr>
          <w:p w14:paraId="25E09338" w14:textId="77777777" w:rsidR="00422EFE" w:rsidRPr="00261B7A" w:rsidRDefault="00422EFE" w:rsidP="0033744F">
            <w:pPr>
              <w:pStyle w:val="TableText"/>
              <w:spacing w:before="40" w:after="40"/>
              <w:rPr>
                <w:b/>
                <w:bCs/>
                <w:color w:val="FFFFFF" w:themeColor="background1"/>
              </w:rPr>
            </w:pPr>
            <w:r w:rsidRPr="00261B7A">
              <w:rPr>
                <w:rFonts w:eastAsia="Calibri"/>
                <w:b/>
                <w:bCs/>
                <w:color w:val="FFFFFF" w:themeColor="background1"/>
              </w:rPr>
              <w:t xml:space="preserve"> </w:t>
            </w:r>
          </w:p>
        </w:tc>
        <w:tc>
          <w:tcPr>
            <w:tcW w:w="0" w:type="auto"/>
            <w:gridSpan w:val="2"/>
            <w:shd w:val="clear" w:color="auto" w:fill="1B556B"/>
            <w:tcMar>
              <w:top w:w="0" w:type="dxa"/>
              <w:left w:w="108" w:type="dxa"/>
              <w:bottom w:w="0" w:type="dxa"/>
              <w:right w:w="108" w:type="dxa"/>
            </w:tcMar>
            <w:vAlign w:val="center"/>
          </w:tcPr>
          <w:p w14:paraId="337C9F31" w14:textId="77777777" w:rsidR="00422EFE" w:rsidRPr="00261B7A" w:rsidRDefault="00422EFE" w:rsidP="0033744F">
            <w:pPr>
              <w:pStyle w:val="TableText"/>
              <w:spacing w:before="40" w:after="40"/>
              <w:rPr>
                <w:b/>
                <w:bCs/>
                <w:color w:val="FFFFFF" w:themeColor="background1"/>
              </w:rPr>
            </w:pPr>
            <w:r w:rsidRPr="00261B7A">
              <w:rPr>
                <w:rFonts w:eastAsia="Calibri"/>
                <w:b/>
                <w:bCs/>
                <w:color w:val="FFFFFF" w:themeColor="background1"/>
              </w:rPr>
              <w:t>Emissions (kt CO₂-e)</w:t>
            </w:r>
          </w:p>
        </w:tc>
        <w:tc>
          <w:tcPr>
            <w:tcW w:w="0" w:type="auto"/>
            <w:shd w:val="clear" w:color="auto" w:fill="1B556B"/>
            <w:tcMar>
              <w:top w:w="0" w:type="dxa"/>
              <w:left w:w="108" w:type="dxa"/>
              <w:bottom w:w="0" w:type="dxa"/>
              <w:right w:w="108" w:type="dxa"/>
            </w:tcMar>
            <w:vAlign w:val="center"/>
          </w:tcPr>
          <w:p w14:paraId="4EF3E398" w14:textId="77777777" w:rsidR="00422EFE" w:rsidRPr="00261B7A" w:rsidRDefault="00422EFE" w:rsidP="0033744F">
            <w:pPr>
              <w:pStyle w:val="TableText"/>
              <w:spacing w:before="40" w:after="40"/>
              <w:rPr>
                <w:b/>
                <w:bCs/>
                <w:color w:val="FFFFFF" w:themeColor="background1"/>
              </w:rPr>
            </w:pPr>
            <w:r w:rsidRPr="00261B7A">
              <w:rPr>
                <w:rFonts w:eastAsia="Calibri"/>
                <w:b/>
                <w:bCs/>
                <w:color w:val="FFFFFF" w:themeColor="background1"/>
              </w:rPr>
              <w:t>Difference (kt CO₂-e)</w:t>
            </w:r>
          </w:p>
        </w:tc>
        <w:tc>
          <w:tcPr>
            <w:tcW w:w="0" w:type="auto"/>
            <w:shd w:val="clear" w:color="auto" w:fill="1B556B"/>
            <w:tcMar>
              <w:top w:w="0" w:type="dxa"/>
              <w:left w:w="108" w:type="dxa"/>
              <w:bottom w:w="0" w:type="dxa"/>
              <w:right w:w="108" w:type="dxa"/>
            </w:tcMar>
            <w:vAlign w:val="center"/>
          </w:tcPr>
          <w:p w14:paraId="7D6F16AB" w14:textId="77777777" w:rsidR="00422EFE" w:rsidRPr="00261B7A" w:rsidRDefault="00422EFE" w:rsidP="0033744F">
            <w:pPr>
              <w:pStyle w:val="TableText"/>
              <w:spacing w:before="40" w:after="40"/>
              <w:rPr>
                <w:b/>
                <w:bCs/>
                <w:color w:val="FFFFFF" w:themeColor="background1"/>
              </w:rPr>
            </w:pPr>
            <w:r w:rsidRPr="00261B7A">
              <w:rPr>
                <w:rFonts w:eastAsia="Calibri"/>
                <w:b/>
                <w:bCs/>
                <w:color w:val="FFFFFF" w:themeColor="background1"/>
              </w:rPr>
              <w:t>Change (%)</w:t>
            </w:r>
          </w:p>
        </w:tc>
        <w:tc>
          <w:tcPr>
            <w:tcW w:w="0" w:type="auto"/>
            <w:gridSpan w:val="2"/>
            <w:shd w:val="clear" w:color="auto" w:fill="1B556B"/>
            <w:tcMar>
              <w:top w:w="0" w:type="dxa"/>
              <w:left w:w="108" w:type="dxa"/>
              <w:bottom w:w="0" w:type="dxa"/>
              <w:right w:w="108" w:type="dxa"/>
            </w:tcMar>
            <w:vAlign w:val="center"/>
          </w:tcPr>
          <w:p w14:paraId="29C59B8E" w14:textId="77777777" w:rsidR="00422EFE" w:rsidRPr="00261B7A" w:rsidRDefault="00422EFE" w:rsidP="0033744F">
            <w:pPr>
              <w:pStyle w:val="TableText"/>
              <w:spacing w:before="40" w:after="40"/>
              <w:rPr>
                <w:b/>
                <w:bCs/>
                <w:color w:val="FFFFFF" w:themeColor="background1"/>
              </w:rPr>
            </w:pPr>
            <w:r w:rsidRPr="00261B7A">
              <w:rPr>
                <w:rFonts w:eastAsia="Calibri"/>
                <w:b/>
                <w:bCs/>
                <w:color w:val="FFFFFF" w:themeColor="background1"/>
              </w:rPr>
              <w:t>Share (%)</w:t>
            </w:r>
          </w:p>
        </w:tc>
      </w:tr>
      <w:tr w:rsidR="00422EFE" w:rsidRPr="00261B7A" w14:paraId="4EF3DCDC" w14:textId="77777777" w:rsidTr="00D41492">
        <w:tc>
          <w:tcPr>
            <w:tcW w:w="0" w:type="auto"/>
            <w:shd w:val="clear" w:color="auto" w:fill="FFFFFF"/>
            <w:tcMar>
              <w:top w:w="0" w:type="dxa"/>
              <w:left w:w="108" w:type="dxa"/>
              <w:bottom w:w="0" w:type="dxa"/>
              <w:right w:w="108" w:type="dxa"/>
            </w:tcMar>
            <w:vAlign w:val="center"/>
          </w:tcPr>
          <w:p w14:paraId="56A694D4" w14:textId="77777777" w:rsidR="00422EFE" w:rsidRPr="00261B7A" w:rsidRDefault="00422EFE" w:rsidP="0033744F">
            <w:pPr>
              <w:pStyle w:val="TableTextBold"/>
              <w:spacing w:before="40" w:after="40"/>
              <w:rPr>
                <w:noProof w:val="0"/>
              </w:rPr>
            </w:pPr>
            <w:r w:rsidRPr="00261B7A">
              <w:rPr>
                <w:rFonts w:eastAsia="Calibri"/>
                <w:noProof w:val="0"/>
              </w:rPr>
              <w:t>Source category</w:t>
            </w:r>
          </w:p>
        </w:tc>
        <w:tc>
          <w:tcPr>
            <w:tcW w:w="0" w:type="auto"/>
            <w:shd w:val="clear" w:color="auto" w:fill="FFFFFF"/>
            <w:tcMar>
              <w:top w:w="0" w:type="dxa"/>
              <w:left w:w="108" w:type="dxa"/>
              <w:bottom w:w="0" w:type="dxa"/>
              <w:right w:w="108" w:type="dxa"/>
            </w:tcMar>
            <w:vAlign w:val="center"/>
          </w:tcPr>
          <w:p w14:paraId="4FA86780" w14:textId="77777777" w:rsidR="00422EFE" w:rsidRPr="00261B7A" w:rsidRDefault="00422EFE" w:rsidP="0033744F">
            <w:pPr>
              <w:pStyle w:val="TableTextBold"/>
              <w:spacing w:before="40" w:after="40"/>
              <w:jc w:val="right"/>
              <w:rPr>
                <w:noProof w:val="0"/>
              </w:rPr>
            </w:pPr>
            <w:r w:rsidRPr="00261B7A">
              <w:rPr>
                <w:rFonts w:eastAsia="Calibri"/>
                <w:noProof w:val="0"/>
              </w:rPr>
              <w:t>1990</w:t>
            </w:r>
          </w:p>
        </w:tc>
        <w:tc>
          <w:tcPr>
            <w:tcW w:w="0" w:type="auto"/>
            <w:shd w:val="clear" w:color="auto" w:fill="FFFFFF"/>
            <w:tcMar>
              <w:top w:w="0" w:type="dxa"/>
              <w:left w:w="108" w:type="dxa"/>
              <w:bottom w:w="0" w:type="dxa"/>
              <w:right w:w="108" w:type="dxa"/>
            </w:tcMar>
            <w:vAlign w:val="center"/>
          </w:tcPr>
          <w:p w14:paraId="0A977537" w14:textId="77777777" w:rsidR="00422EFE" w:rsidRPr="00261B7A" w:rsidRDefault="00422EFE" w:rsidP="0033744F">
            <w:pPr>
              <w:pStyle w:val="TableTextBold"/>
              <w:spacing w:before="40" w:after="40"/>
              <w:jc w:val="right"/>
              <w:rPr>
                <w:noProof w:val="0"/>
              </w:rPr>
            </w:pPr>
            <w:r w:rsidRPr="00261B7A">
              <w:rPr>
                <w:rFonts w:eastAsia="Calibri"/>
                <w:noProof w:val="0"/>
              </w:rPr>
              <w:t>2021</w:t>
            </w:r>
          </w:p>
        </w:tc>
        <w:tc>
          <w:tcPr>
            <w:tcW w:w="0" w:type="auto"/>
            <w:shd w:val="clear" w:color="auto" w:fill="FFFFFF"/>
            <w:tcMar>
              <w:top w:w="0" w:type="dxa"/>
              <w:left w:w="108" w:type="dxa"/>
              <w:bottom w:w="0" w:type="dxa"/>
              <w:right w:w="108" w:type="dxa"/>
            </w:tcMar>
            <w:vAlign w:val="center"/>
          </w:tcPr>
          <w:p w14:paraId="6F787F0B" w14:textId="77777777" w:rsidR="00422EFE" w:rsidRPr="00261B7A" w:rsidRDefault="00422EFE" w:rsidP="0033744F">
            <w:pPr>
              <w:pStyle w:val="TableTextBold"/>
              <w:spacing w:before="40" w:after="40"/>
              <w:jc w:val="right"/>
              <w:rPr>
                <w:noProof w:val="0"/>
              </w:rPr>
            </w:pPr>
            <w:r w:rsidRPr="00261B7A">
              <w:rPr>
                <w:rFonts w:eastAsia="Calibri"/>
                <w:noProof w:val="0"/>
              </w:rPr>
              <w:t>1990–2021</w:t>
            </w:r>
          </w:p>
        </w:tc>
        <w:tc>
          <w:tcPr>
            <w:tcW w:w="0" w:type="auto"/>
            <w:shd w:val="clear" w:color="auto" w:fill="FFFFFF"/>
            <w:tcMar>
              <w:top w:w="0" w:type="dxa"/>
              <w:left w:w="108" w:type="dxa"/>
              <w:bottom w:w="0" w:type="dxa"/>
              <w:right w:w="108" w:type="dxa"/>
            </w:tcMar>
            <w:vAlign w:val="center"/>
          </w:tcPr>
          <w:p w14:paraId="7CAEAE72" w14:textId="77777777" w:rsidR="00422EFE" w:rsidRPr="00261B7A" w:rsidRDefault="00422EFE" w:rsidP="0033744F">
            <w:pPr>
              <w:pStyle w:val="TableTextBold"/>
              <w:spacing w:before="40" w:after="40"/>
              <w:jc w:val="right"/>
              <w:rPr>
                <w:noProof w:val="0"/>
              </w:rPr>
            </w:pPr>
            <w:r w:rsidRPr="00261B7A">
              <w:rPr>
                <w:rFonts w:eastAsia="Calibri"/>
                <w:noProof w:val="0"/>
              </w:rPr>
              <w:t>1990–2021</w:t>
            </w:r>
          </w:p>
        </w:tc>
        <w:tc>
          <w:tcPr>
            <w:tcW w:w="0" w:type="auto"/>
            <w:shd w:val="clear" w:color="auto" w:fill="FFFFFF"/>
            <w:tcMar>
              <w:top w:w="0" w:type="dxa"/>
              <w:left w:w="108" w:type="dxa"/>
              <w:bottom w:w="0" w:type="dxa"/>
              <w:right w:w="108" w:type="dxa"/>
            </w:tcMar>
            <w:vAlign w:val="center"/>
          </w:tcPr>
          <w:p w14:paraId="54674984" w14:textId="77777777" w:rsidR="00422EFE" w:rsidRPr="00261B7A" w:rsidRDefault="00422EFE" w:rsidP="0033744F">
            <w:pPr>
              <w:pStyle w:val="TableTextBold"/>
              <w:spacing w:before="40" w:after="40"/>
              <w:jc w:val="right"/>
              <w:rPr>
                <w:noProof w:val="0"/>
              </w:rPr>
            </w:pPr>
            <w:r w:rsidRPr="00261B7A">
              <w:rPr>
                <w:rFonts w:eastAsia="Calibri"/>
                <w:noProof w:val="0"/>
              </w:rPr>
              <w:t>1990</w:t>
            </w:r>
          </w:p>
        </w:tc>
        <w:tc>
          <w:tcPr>
            <w:tcW w:w="0" w:type="auto"/>
            <w:shd w:val="clear" w:color="auto" w:fill="FFFFFF"/>
            <w:tcMar>
              <w:top w:w="0" w:type="dxa"/>
              <w:left w:w="108" w:type="dxa"/>
              <w:bottom w:w="0" w:type="dxa"/>
              <w:right w:w="108" w:type="dxa"/>
            </w:tcMar>
            <w:vAlign w:val="center"/>
          </w:tcPr>
          <w:p w14:paraId="197C41C5" w14:textId="77777777" w:rsidR="00422EFE" w:rsidRPr="00261B7A" w:rsidRDefault="00422EFE" w:rsidP="0033744F">
            <w:pPr>
              <w:pStyle w:val="TableTextBold"/>
              <w:spacing w:before="40" w:after="40"/>
              <w:jc w:val="right"/>
              <w:rPr>
                <w:noProof w:val="0"/>
              </w:rPr>
            </w:pPr>
            <w:r w:rsidRPr="00261B7A">
              <w:rPr>
                <w:rFonts w:eastAsia="Calibri"/>
                <w:noProof w:val="0"/>
              </w:rPr>
              <w:t>2021</w:t>
            </w:r>
          </w:p>
        </w:tc>
      </w:tr>
      <w:tr w:rsidR="00422EFE" w:rsidRPr="00261B7A" w14:paraId="43C38084" w14:textId="77777777" w:rsidTr="00D41492">
        <w:tc>
          <w:tcPr>
            <w:tcW w:w="0" w:type="auto"/>
            <w:shd w:val="clear" w:color="auto" w:fill="FFFFFF"/>
            <w:tcMar>
              <w:top w:w="0" w:type="dxa"/>
              <w:left w:w="108" w:type="dxa"/>
              <w:bottom w:w="0" w:type="dxa"/>
              <w:right w:w="108" w:type="dxa"/>
            </w:tcMar>
            <w:vAlign w:val="center"/>
          </w:tcPr>
          <w:p w14:paraId="7C6CC9E5" w14:textId="77777777" w:rsidR="00422EFE" w:rsidRPr="00261B7A" w:rsidRDefault="00422EFE" w:rsidP="0033744F">
            <w:pPr>
              <w:pStyle w:val="TableText"/>
              <w:spacing w:before="40" w:after="40"/>
            </w:pPr>
            <w:r w:rsidRPr="00261B7A">
              <w:rPr>
                <w:rFonts w:eastAsia="Calibri"/>
                <w:color w:val="000000"/>
              </w:rPr>
              <w:t>Solid waste disposal (5.A)</w:t>
            </w:r>
          </w:p>
        </w:tc>
        <w:tc>
          <w:tcPr>
            <w:tcW w:w="0" w:type="auto"/>
            <w:shd w:val="clear" w:color="auto" w:fill="FFFFFF"/>
            <w:tcMar>
              <w:top w:w="0" w:type="dxa"/>
              <w:left w:w="108" w:type="dxa"/>
              <w:bottom w:w="0" w:type="dxa"/>
              <w:right w:w="108" w:type="dxa"/>
            </w:tcMar>
            <w:vAlign w:val="center"/>
          </w:tcPr>
          <w:p w14:paraId="748A5E8F" w14:textId="77777777" w:rsidR="00422EFE" w:rsidRPr="00261B7A" w:rsidRDefault="00422EFE" w:rsidP="0033744F">
            <w:pPr>
              <w:pStyle w:val="TableText"/>
              <w:spacing w:before="40" w:after="40"/>
              <w:jc w:val="right"/>
            </w:pPr>
            <w:r w:rsidRPr="00261B7A">
              <w:rPr>
                <w:rFonts w:eastAsia="Calibri"/>
                <w:color w:val="000000"/>
              </w:rPr>
              <w:t>3,318.2</w:t>
            </w:r>
          </w:p>
        </w:tc>
        <w:tc>
          <w:tcPr>
            <w:tcW w:w="0" w:type="auto"/>
            <w:shd w:val="clear" w:color="auto" w:fill="FFFFFF"/>
            <w:tcMar>
              <w:top w:w="0" w:type="dxa"/>
              <w:left w:w="108" w:type="dxa"/>
              <w:bottom w:w="0" w:type="dxa"/>
              <w:right w:w="108" w:type="dxa"/>
            </w:tcMar>
            <w:vAlign w:val="center"/>
          </w:tcPr>
          <w:p w14:paraId="7B5A8443" w14:textId="77777777" w:rsidR="00422EFE" w:rsidRPr="00261B7A" w:rsidRDefault="00422EFE" w:rsidP="0033744F">
            <w:pPr>
              <w:pStyle w:val="TableText"/>
              <w:spacing w:before="40" w:after="40"/>
              <w:jc w:val="right"/>
            </w:pPr>
            <w:r w:rsidRPr="00261B7A">
              <w:rPr>
                <w:rFonts w:eastAsia="Calibri"/>
                <w:color w:val="000000"/>
              </w:rPr>
              <w:t>2,578.2</w:t>
            </w:r>
          </w:p>
        </w:tc>
        <w:tc>
          <w:tcPr>
            <w:tcW w:w="0" w:type="auto"/>
            <w:shd w:val="clear" w:color="auto" w:fill="FFFFFF"/>
            <w:tcMar>
              <w:top w:w="0" w:type="dxa"/>
              <w:left w:w="108" w:type="dxa"/>
              <w:bottom w:w="0" w:type="dxa"/>
              <w:right w:w="108" w:type="dxa"/>
            </w:tcMar>
            <w:vAlign w:val="center"/>
          </w:tcPr>
          <w:p w14:paraId="5A910955" w14:textId="77777777" w:rsidR="00422EFE" w:rsidRPr="00261B7A" w:rsidRDefault="00422EFE" w:rsidP="0033744F">
            <w:pPr>
              <w:pStyle w:val="TableText"/>
              <w:spacing w:before="40" w:after="40"/>
              <w:jc w:val="right"/>
            </w:pPr>
            <w:r w:rsidRPr="00261B7A">
              <w:rPr>
                <w:rFonts w:eastAsia="Calibri"/>
                <w:color w:val="000000"/>
              </w:rPr>
              <w:t>–740.0</w:t>
            </w:r>
          </w:p>
        </w:tc>
        <w:tc>
          <w:tcPr>
            <w:tcW w:w="0" w:type="auto"/>
            <w:shd w:val="clear" w:color="auto" w:fill="FFFFFF"/>
            <w:tcMar>
              <w:top w:w="0" w:type="dxa"/>
              <w:left w:w="108" w:type="dxa"/>
              <w:bottom w:w="0" w:type="dxa"/>
              <w:right w:w="108" w:type="dxa"/>
            </w:tcMar>
            <w:vAlign w:val="center"/>
          </w:tcPr>
          <w:p w14:paraId="091FD9A0" w14:textId="77777777" w:rsidR="00422EFE" w:rsidRPr="00261B7A" w:rsidRDefault="00422EFE" w:rsidP="0033744F">
            <w:pPr>
              <w:pStyle w:val="TableText"/>
              <w:spacing w:before="40" w:after="40"/>
              <w:jc w:val="right"/>
            </w:pPr>
            <w:r w:rsidRPr="00261B7A">
              <w:rPr>
                <w:rFonts w:eastAsia="Calibri"/>
                <w:color w:val="000000"/>
              </w:rPr>
              <w:t>–22.3</w:t>
            </w:r>
          </w:p>
        </w:tc>
        <w:tc>
          <w:tcPr>
            <w:tcW w:w="0" w:type="auto"/>
            <w:shd w:val="clear" w:color="auto" w:fill="FFFFFF"/>
            <w:tcMar>
              <w:top w:w="0" w:type="dxa"/>
              <w:left w:w="108" w:type="dxa"/>
              <w:bottom w:w="0" w:type="dxa"/>
              <w:right w:w="108" w:type="dxa"/>
            </w:tcMar>
            <w:vAlign w:val="center"/>
          </w:tcPr>
          <w:p w14:paraId="25EC7723" w14:textId="77777777" w:rsidR="00422EFE" w:rsidRPr="00261B7A" w:rsidRDefault="00422EFE" w:rsidP="0033744F">
            <w:pPr>
              <w:pStyle w:val="TableText"/>
              <w:spacing w:before="40" w:after="40"/>
              <w:jc w:val="right"/>
            </w:pPr>
            <w:r w:rsidRPr="00261B7A">
              <w:rPr>
                <w:rFonts w:eastAsia="Calibri"/>
                <w:color w:val="000000"/>
              </w:rPr>
              <w:t>84.1</w:t>
            </w:r>
          </w:p>
        </w:tc>
        <w:tc>
          <w:tcPr>
            <w:tcW w:w="0" w:type="auto"/>
            <w:shd w:val="clear" w:color="auto" w:fill="FFFFFF"/>
            <w:tcMar>
              <w:top w:w="0" w:type="dxa"/>
              <w:left w:w="108" w:type="dxa"/>
              <w:bottom w:w="0" w:type="dxa"/>
              <w:right w:w="108" w:type="dxa"/>
            </w:tcMar>
            <w:vAlign w:val="center"/>
          </w:tcPr>
          <w:p w14:paraId="7BA35367" w14:textId="77777777" w:rsidR="00422EFE" w:rsidRPr="00261B7A" w:rsidRDefault="00422EFE" w:rsidP="0033744F">
            <w:pPr>
              <w:pStyle w:val="TableText"/>
              <w:spacing w:before="40" w:after="40"/>
              <w:jc w:val="right"/>
            </w:pPr>
            <w:r w:rsidRPr="00261B7A">
              <w:rPr>
                <w:rFonts w:eastAsia="Calibri"/>
                <w:color w:val="000000"/>
              </w:rPr>
              <w:t>80.2</w:t>
            </w:r>
          </w:p>
        </w:tc>
      </w:tr>
      <w:tr w:rsidR="00422EFE" w:rsidRPr="00261B7A" w14:paraId="1E5CD810" w14:textId="77777777" w:rsidTr="00D41492">
        <w:tc>
          <w:tcPr>
            <w:tcW w:w="0" w:type="auto"/>
            <w:shd w:val="clear" w:color="auto" w:fill="FFFFFF"/>
            <w:tcMar>
              <w:top w:w="0" w:type="dxa"/>
              <w:left w:w="108" w:type="dxa"/>
              <w:bottom w:w="0" w:type="dxa"/>
              <w:right w:w="108" w:type="dxa"/>
            </w:tcMar>
            <w:vAlign w:val="center"/>
          </w:tcPr>
          <w:p w14:paraId="3E262996" w14:textId="77777777" w:rsidR="00422EFE" w:rsidRPr="00261B7A" w:rsidRDefault="00422EFE" w:rsidP="0033744F">
            <w:pPr>
              <w:pStyle w:val="TableText"/>
              <w:spacing w:before="40" w:after="40"/>
            </w:pPr>
            <w:r w:rsidRPr="00261B7A">
              <w:rPr>
                <w:rFonts w:eastAsia="Calibri"/>
                <w:color w:val="000000"/>
              </w:rPr>
              <w:t>Biological treatment of solid waste (5.B)</w:t>
            </w:r>
          </w:p>
        </w:tc>
        <w:tc>
          <w:tcPr>
            <w:tcW w:w="0" w:type="auto"/>
            <w:shd w:val="clear" w:color="auto" w:fill="FFFFFF"/>
            <w:tcMar>
              <w:top w:w="0" w:type="dxa"/>
              <w:left w:w="108" w:type="dxa"/>
              <w:bottom w:w="0" w:type="dxa"/>
              <w:right w:w="108" w:type="dxa"/>
            </w:tcMar>
            <w:vAlign w:val="center"/>
          </w:tcPr>
          <w:p w14:paraId="59162CF8" w14:textId="77777777" w:rsidR="00422EFE" w:rsidRPr="00261B7A" w:rsidRDefault="00422EFE" w:rsidP="0033744F">
            <w:pPr>
              <w:pStyle w:val="TableText"/>
              <w:spacing w:before="40" w:after="40"/>
              <w:jc w:val="right"/>
            </w:pPr>
            <w:r w:rsidRPr="00261B7A">
              <w:rPr>
                <w:rFonts w:eastAsia="Calibri"/>
                <w:color w:val="000000"/>
              </w:rPr>
              <w:t>4.7</w:t>
            </w:r>
          </w:p>
        </w:tc>
        <w:tc>
          <w:tcPr>
            <w:tcW w:w="0" w:type="auto"/>
            <w:shd w:val="clear" w:color="auto" w:fill="FFFFFF"/>
            <w:tcMar>
              <w:top w:w="0" w:type="dxa"/>
              <w:left w:w="108" w:type="dxa"/>
              <w:bottom w:w="0" w:type="dxa"/>
              <w:right w:w="108" w:type="dxa"/>
            </w:tcMar>
            <w:vAlign w:val="center"/>
          </w:tcPr>
          <w:p w14:paraId="42C7F8E4" w14:textId="77777777" w:rsidR="00422EFE" w:rsidRPr="00261B7A" w:rsidRDefault="00422EFE" w:rsidP="0033744F">
            <w:pPr>
              <w:pStyle w:val="TableText"/>
              <w:spacing w:before="40" w:after="40"/>
              <w:jc w:val="right"/>
            </w:pPr>
            <w:r w:rsidRPr="00261B7A">
              <w:rPr>
                <w:rFonts w:eastAsia="Calibri"/>
                <w:color w:val="000000"/>
              </w:rPr>
              <w:t>72.1</w:t>
            </w:r>
          </w:p>
        </w:tc>
        <w:tc>
          <w:tcPr>
            <w:tcW w:w="0" w:type="auto"/>
            <w:shd w:val="clear" w:color="auto" w:fill="FFFFFF"/>
            <w:tcMar>
              <w:top w:w="0" w:type="dxa"/>
              <w:left w:w="108" w:type="dxa"/>
              <w:bottom w:w="0" w:type="dxa"/>
              <w:right w:w="108" w:type="dxa"/>
            </w:tcMar>
            <w:vAlign w:val="center"/>
          </w:tcPr>
          <w:p w14:paraId="0CA411A8" w14:textId="77777777" w:rsidR="00422EFE" w:rsidRPr="00261B7A" w:rsidRDefault="00422EFE" w:rsidP="0033744F">
            <w:pPr>
              <w:pStyle w:val="TableText"/>
              <w:spacing w:before="40" w:after="40"/>
              <w:jc w:val="right"/>
            </w:pPr>
            <w:r w:rsidRPr="00261B7A">
              <w:rPr>
                <w:rFonts w:eastAsia="Calibri"/>
                <w:color w:val="000000"/>
              </w:rPr>
              <w:t>67.4</w:t>
            </w:r>
          </w:p>
        </w:tc>
        <w:tc>
          <w:tcPr>
            <w:tcW w:w="0" w:type="auto"/>
            <w:shd w:val="clear" w:color="auto" w:fill="FFFFFF"/>
            <w:tcMar>
              <w:top w:w="0" w:type="dxa"/>
              <w:left w:w="108" w:type="dxa"/>
              <w:bottom w:w="0" w:type="dxa"/>
              <w:right w:w="108" w:type="dxa"/>
            </w:tcMar>
            <w:vAlign w:val="center"/>
          </w:tcPr>
          <w:p w14:paraId="0D4610CF" w14:textId="111F9DE3" w:rsidR="00422EFE" w:rsidRPr="00261B7A" w:rsidRDefault="00422EFE" w:rsidP="0033744F">
            <w:pPr>
              <w:pStyle w:val="TableText"/>
              <w:spacing w:before="40" w:after="40"/>
              <w:jc w:val="right"/>
            </w:pPr>
            <w:r w:rsidRPr="00261B7A">
              <w:rPr>
                <w:rFonts w:eastAsia="Calibri"/>
                <w:color w:val="000000"/>
              </w:rPr>
              <w:t>1,435</w:t>
            </w:r>
            <w:r w:rsidR="00FE29BB" w:rsidRPr="00261B7A">
              <w:rPr>
                <w:rFonts w:eastAsia="Calibri"/>
                <w:color w:val="000000"/>
              </w:rPr>
              <w:t>.0</w:t>
            </w:r>
          </w:p>
        </w:tc>
        <w:tc>
          <w:tcPr>
            <w:tcW w:w="0" w:type="auto"/>
            <w:shd w:val="clear" w:color="auto" w:fill="FFFFFF"/>
            <w:tcMar>
              <w:top w:w="0" w:type="dxa"/>
              <w:left w:w="108" w:type="dxa"/>
              <w:bottom w:w="0" w:type="dxa"/>
              <w:right w:w="108" w:type="dxa"/>
            </w:tcMar>
            <w:vAlign w:val="center"/>
          </w:tcPr>
          <w:p w14:paraId="53FF8035" w14:textId="77777777" w:rsidR="00422EFE" w:rsidRPr="00261B7A" w:rsidRDefault="00422EFE" w:rsidP="0033744F">
            <w:pPr>
              <w:pStyle w:val="TableText"/>
              <w:spacing w:before="40" w:after="40"/>
              <w:jc w:val="right"/>
            </w:pPr>
            <w:r w:rsidRPr="00261B7A">
              <w:rPr>
                <w:rFonts w:eastAsia="Calibri"/>
                <w:color w:val="000000"/>
              </w:rPr>
              <w:t>0.1</w:t>
            </w:r>
          </w:p>
        </w:tc>
        <w:tc>
          <w:tcPr>
            <w:tcW w:w="0" w:type="auto"/>
            <w:shd w:val="clear" w:color="auto" w:fill="FFFFFF"/>
            <w:tcMar>
              <w:top w:w="0" w:type="dxa"/>
              <w:left w:w="108" w:type="dxa"/>
              <w:bottom w:w="0" w:type="dxa"/>
              <w:right w:w="108" w:type="dxa"/>
            </w:tcMar>
            <w:vAlign w:val="center"/>
          </w:tcPr>
          <w:p w14:paraId="0BE65523" w14:textId="77777777" w:rsidR="00422EFE" w:rsidRPr="00261B7A" w:rsidRDefault="00422EFE" w:rsidP="0033744F">
            <w:pPr>
              <w:pStyle w:val="TableText"/>
              <w:spacing w:before="40" w:after="40"/>
              <w:jc w:val="right"/>
            </w:pPr>
            <w:r w:rsidRPr="00261B7A">
              <w:rPr>
                <w:rFonts w:eastAsia="Calibri"/>
                <w:color w:val="000000"/>
              </w:rPr>
              <w:t>2.2</w:t>
            </w:r>
          </w:p>
        </w:tc>
      </w:tr>
      <w:tr w:rsidR="00422EFE" w:rsidRPr="00261B7A" w14:paraId="7408CCE9" w14:textId="77777777" w:rsidTr="00D41492">
        <w:tc>
          <w:tcPr>
            <w:tcW w:w="0" w:type="auto"/>
            <w:shd w:val="clear" w:color="auto" w:fill="FFFFFF"/>
            <w:tcMar>
              <w:top w:w="0" w:type="dxa"/>
              <w:left w:w="108" w:type="dxa"/>
              <w:bottom w:w="0" w:type="dxa"/>
              <w:right w:w="108" w:type="dxa"/>
            </w:tcMar>
            <w:vAlign w:val="center"/>
          </w:tcPr>
          <w:p w14:paraId="6AD9A810" w14:textId="77777777" w:rsidR="00422EFE" w:rsidRPr="00261B7A" w:rsidRDefault="00422EFE" w:rsidP="0033744F">
            <w:pPr>
              <w:pStyle w:val="TableText"/>
              <w:spacing w:before="40" w:after="40"/>
            </w:pPr>
            <w:r w:rsidRPr="00261B7A">
              <w:rPr>
                <w:rFonts w:eastAsia="Calibri"/>
                <w:color w:val="000000"/>
              </w:rPr>
              <w:t>Incineration and open burning of waste (5.C)</w:t>
            </w:r>
          </w:p>
        </w:tc>
        <w:tc>
          <w:tcPr>
            <w:tcW w:w="0" w:type="auto"/>
            <w:shd w:val="clear" w:color="auto" w:fill="FFFFFF"/>
            <w:tcMar>
              <w:top w:w="0" w:type="dxa"/>
              <w:left w:w="108" w:type="dxa"/>
              <w:bottom w:w="0" w:type="dxa"/>
              <w:right w:w="108" w:type="dxa"/>
            </w:tcMar>
            <w:vAlign w:val="center"/>
          </w:tcPr>
          <w:p w14:paraId="3B116E3D" w14:textId="77777777" w:rsidR="00422EFE" w:rsidRPr="00261B7A" w:rsidRDefault="00422EFE" w:rsidP="0033744F">
            <w:pPr>
              <w:pStyle w:val="TableText"/>
              <w:spacing w:before="40" w:after="40"/>
              <w:jc w:val="right"/>
            </w:pPr>
            <w:r w:rsidRPr="00261B7A">
              <w:rPr>
                <w:rFonts w:eastAsia="Calibri"/>
                <w:color w:val="000000"/>
              </w:rPr>
              <w:t>315.7</w:t>
            </w:r>
          </w:p>
        </w:tc>
        <w:tc>
          <w:tcPr>
            <w:tcW w:w="0" w:type="auto"/>
            <w:shd w:val="clear" w:color="auto" w:fill="FFFFFF"/>
            <w:tcMar>
              <w:top w:w="0" w:type="dxa"/>
              <w:left w:w="108" w:type="dxa"/>
              <w:bottom w:w="0" w:type="dxa"/>
              <w:right w:w="108" w:type="dxa"/>
            </w:tcMar>
            <w:vAlign w:val="center"/>
          </w:tcPr>
          <w:p w14:paraId="26BF00E4" w14:textId="77777777" w:rsidR="00422EFE" w:rsidRPr="00261B7A" w:rsidRDefault="00422EFE" w:rsidP="0033744F">
            <w:pPr>
              <w:pStyle w:val="TableText"/>
              <w:spacing w:before="40" w:after="40"/>
              <w:jc w:val="right"/>
            </w:pPr>
            <w:r w:rsidRPr="00261B7A">
              <w:rPr>
                <w:rFonts w:eastAsia="Calibri"/>
                <w:color w:val="000000"/>
              </w:rPr>
              <w:t>187.1</w:t>
            </w:r>
          </w:p>
        </w:tc>
        <w:tc>
          <w:tcPr>
            <w:tcW w:w="0" w:type="auto"/>
            <w:shd w:val="clear" w:color="auto" w:fill="FFFFFF"/>
            <w:tcMar>
              <w:top w:w="0" w:type="dxa"/>
              <w:left w:w="108" w:type="dxa"/>
              <w:bottom w:w="0" w:type="dxa"/>
              <w:right w:w="108" w:type="dxa"/>
            </w:tcMar>
            <w:vAlign w:val="center"/>
          </w:tcPr>
          <w:p w14:paraId="0891DF6E" w14:textId="77777777" w:rsidR="00422EFE" w:rsidRPr="00261B7A" w:rsidRDefault="00422EFE" w:rsidP="0033744F">
            <w:pPr>
              <w:pStyle w:val="TableText"/>
              <w:spacing w:before="40" w:after="40"/>
              <w:jc w:val="right"/>
            </w:pPr>
            <w:r w:rsidRPr="00261B7A">
              <w:rPr>
                <w:rFonts w:eastAsia="Calibri"/>
                <w:color w:val="000000"/>
              </w:rPr>
              <w:t>–128.6</w:t>
            </w:r>
          </w:p>
        </w:tc>
        <w:tc>
          <w:tcPr>
            <w:tcW w:w="0" w:type="auto"/>
            <w:shd w:val="clear" w:color="auto" w:fill="FFFFFF"/>
            <w:tcMar>
              <w:top w:w="0" w:type="dxa"/>
              <w:left w:w="108" w:type="dxa"/>
              <w:bottom w:w="0" w:type="dxa"/>
              <w:right w:w="108" w:type="dxa"/>
            </w:tcMar>
            <w:vAlign w:val="center"/>
          </w:tcPr>
          <w:p w14:paraId="5F354611" w14:textId="77777777" w:rsidR="00422EFE" w:rsidRPr="00261B7A" w:rsidRDefault="00422EFE" w:rsidP="0033744F">
            <w:pPr>
              <w:pStyle w:val="TableText"/>
              <w:spacing w:before="40" w:after="40"/>
              <w:jc w:val="right"/>
            </w:pPr>
            <w:r w:rsidRPr="00261B7A">
              <w:rPr>
                <w:rFonts w:eastAsia="Calibri"/>
                <w:color w:val="000000"/>
              </w:rPr>
              <w:t>–40.7</w:t>
            </w:r>
          </w:p>
        </w:tc>
        <w:tc>
          <w:tcPr>
            <w:tcW w:w="0" w:type="auto"/>
            <w:shd w:val="clear" w:color="auto" w:fill="FFFFFF"/>
            <w:tcMar>
              <w:top w:w="0" w:type="dxa"/>
              <w:left w:w="108" w:type="dxa"/>
              <w:bottom w:w="0" w:type="dxa"/>
              <w:right w:w="108" w:type="dxa"/>
            </w:tcMar>
            <w:vAlign w:val="center"/>
          </w:tcPr>
          <w:p w14:paraId="19CDE27B" w14:textId="1B26AF08" w:rsidR="00422EFE" w:rsidRPr="00261B7A" w:rsidRDefault="00422EFE" w:rsidP="0033744F">
            <w:pPr>
              <w:pStyle w:val="TableText"/>
              <w:spacing w:before="40" w:after="40"/>
              <w:jc w:val="right"/>
            </w:pPr>
            <w:r w:rsidRPr="00261B7A">
              <w:rPr>
                <w:rFonts w:eastAsia="Calibri"/>
                <w:color w:val="000000"/>
              </w:rPr>
              <w:t>8</w:t>
            </w:r>
            <w:r w:rsidR="009B4080" w:rsidRPr="00261B7A">
              <w:rPr>
                <w:rFonts w:eastAsia="Calibri"/>
                <w:color w:val="000000"/>
              </w:rPr>
              <w:t>.0</w:t>
            </w:r>
          </w:p>
        </w:tc>
        <w:tc>
          <w:tcPr>
            <w:tcW w:w="0" w:type="auto"/>
            <w:shd w:val="clear" w:color="auto" w:fill="FFFFFF"/>
            <w:tcMar>
              <w:top w:w="0" w:type="dxa"/>
              <w:left w:w="108" w:type="dxa"/>
              <w:bottom w:w="0" w:type="dxa"/>
              <w:right w:w="108" w:type="dxa"/>
            </w:tcMar>
            <w:vAlign w:val="center"/>
          </w:tcPr>
          <w:p w14:paraId="0A76362B" w14:textId="77777777" w:rsidR="00422EFE" w:rsidRPr="00261B7A" w:rsidRDefault="00422EFE" w:rsidP="0033744F">
            <w:pPr>
              <w:pStyle w:val="TableText"/>
              <w:spacing w:before="40" w:after="40"/>
              <w:jc w:val="right"/>
            </w:pPr>
            <w:r w:rsidRPr="00261B7A">
              <w:rPr>
                <w:rFonts w:eastAsia="Calibri"/>
                <w:color w:val="000000"/>
              </w:rPr>
              <w:t>5.8</w:t>
            </w:r>
          </w:p>
        </w:tc>
      </w:tr>
      <w:tr w:rsidR="00422EFE" w:rsidRPr="00261B7A" w14:paraId="7606BA98" w14:textId="77777777" w:rsidTr="00D41492">
        <w:tc>
          <w:tcPr>
            <w:tcW w:w="0" w:type="auto"/>
            <w:shd w:val="clear" w:color="auto" w:fill="FFFFFF"/>
            <w:tcMar>
              <w:top w:w="0" w:type="dxa"/>
              <w:left w:w="108" w:type="dxa"/>
              <w:bottom w:w="0" w:type="dxa"/>
              <w:right w:w="108" w:type="dxa"/>
            </w:tcMar>
            <w:vAlign w:val="center"/>
          </w:tcPr>
          <w:p w14:paraId="10A9F6D1" w14:textId="77777777" w:rsidR="00422EFE" w:rsidRPr="00261B7A" w:rsidRDefault="00422EFE" w:rsidP="0033744F">
            <w:pPr>
              <w:pStyle w:val="TableText"/>
              <w:spacing w:before="40" w:after="40"/>
            </w:pPr>
            <w:r w:rsidRPr="00261B7A">
              <w:rPr>
                <w:rFonts w:eastAsia="Calibri"/>
                <w:color w:val="000000"/>
              </w:rPr>
              <w:t>Wastewater treatment and discharge (5.D)</w:t>
            </w:r>
          </w:p>
        </w:tc>
        <w:tc>
          <w:tcPr>
            <w:tcW w:w="0" w:type="auto"/>
            <w:shd w:val="clear" w:color="auto" w:fill="FFFFFF"/>
            <w:tcMar>
              <w:top w:w="0" w:type="dxa"/>
              <w:left w:w="108" w:type="dxa"/>
              <w:bottom w:w="0" w:type="dxa"/>
              <w:right w:w="108" w:type="dxa"/>
            </w:tcMar>
            <w:vAlign w:val="center"/>
          </w:tcPr>
          <w:p w14:paraId="636E6041" w14:textId="62BF7A09" w:rsidR="00422EFE" w:rsidRPr="00261B7A" w:rsidRDefault="00422EFE" w:rsidP="0033744F">
            <w:pPr>
              <w:pStyle w:val="TableText"/>
              <w:spacing w:before="40" w:after="40"/>
              <w:jc w:val="right"/>
            </w:pPr>
            <w:r w:rsidRPr="00261B7A">
              <w:rPr>
                <w:rFonts w:eastAsia="Calibri"/>
                <w:color w:val="000000"/>
              </w:rPr>
              <w:t>306</w:t>
            </w:r>
            <w:r w:rsidR="00014607" w:rsidRPr="00261B7A">
              <w:rPr>
                <w:rFonts w:eastAsia="Calibri"/>
                <w:color w:val="000000"/>
              </w:rPr>
              <w:t>.0</w:t>
            </w:r>
          </w:p>
        </w:tc>
        <w:tc>
          <w:tcPr>
            <w:tcW w:w="0" w:type="auto"/>
            <w:shd w:val="clear" w:color="auto" w:fill="FFFFFF"/>
            <w:tcMar>
              <w:top w:w="0" w:type="dxa"/>
              <w:left w:w="108" w:type="dxa"/>
              <w:bottom w:w="0" w:type="dxa"/>
              <w:right w:w="108" w:type="dxa"/>
            </w:tcMar>
            <w:vAlign w:val="center"/>
          </w:tcPr>
          <w:p w14:paraId="1C6F7D86" w14:textId="77777777" w:rsidR="00422EFE" w:rsidRPr="00261B7A" w:rsidRDefault="00422EFE" w:rsidP="0033744F">
            <w:pPr>
              <w:pStyle w:val="TableText"/>
              <w:spacing w:before="40" w:after="40"/>
              <w:jc w:val="right"/>
            </w:pPr>
            <w:r w:rsidRPr="00261B7A">
              <w:rPr>
                <w:rFonts w:eastAsia="Calibri"/>
                <w:color w:val="000000"/>
              </w:rPr>
              <w:t>377.6</w:t>
            </w:r>
          </w:p>
        </w:tc>
        <w:tc>
          <w:tcPr>
            <w:tcW w:w="0" w:type="auto"/>
            <w:shd w:val="clear" w:color="auto" w:fill="FFFFFF"/>
            <w:tcMar>
              <w:top w:w="0" w:type="dxa"/>
              <w:left w:w="108" w:type="dxa"/>
              <w:bottom w:w="0" w:type="dxa"/>
              <w:right w:w="108" w:type="dxa"/>
            </w:tcMar>
            <w:vAlign w:val="center"/>
          </w:tcPr>
          <w:p w14:paraId="7C2F4455" w14:textId="77777777" w:rsidR="00422EFE" w:rsidRPr="00261B7A" w:rsidRDefault="00422EFE" w:rsidP="0033744F">
            <w:pPr>
              <w:pStyle w:val="TableText"/>
              <w:spacing w:before="40" w:after="40"/>
              <w:jc w:val="right"/>
            </w:pPr>
            <w:r w:rsidRPr="00261B7A">
              <w:rPr>
                <w:rFonts w:eastAsia="Calibri"/>
                <w:color w:val="000000"/>
              </w:rPr>
              <w:t>71.6</w:t>
            </w:r>
          </w:p>
        </w:tc>
        <w:tc>
          <w:tcPr>
            <w:tcW w:w="0" w:type="auto"/>
            <w:shd w:val="clear" w:color="auto" w:fill="FFFFFF"/>
            <w:tcMar>
              <w:top w:w="0" w:type="dxa"/>
              <w:left w:w="108" w:type="dxa"/>
              <w:bottom w:w="0" w:type="dxa"/>
              <w:right w:w="108" w:type="dxa"/>
            </w:tcMar>
            <w:vAlign w:val="center"/>
          </w:tcPr>
          <w:p w14:paraId="3C5D7C19" w14:textId="77777777" w:rsidR="00422EFE" w:rsidRPr="00261B7A" w:rsidRDefault="00422EFE" w:rsidP="0033744F">
            <w:pPr>
              <w:pStyle w:val="TableText"/>
              <w:spacing w:before="40" w:after="40"/>
              <w:jc w:val="right"/>
            </w:pPr>
            <w:r w:rsidRPr="00261B7A">
              <w:rPr>
                <w:rFonts w:eastAsia="Calibri"/>
                <w:color w:val="000000"/>
              </w:rPr>
              <w:t>23.4</w:t>
            </w:r>
          </w:p>
        </w:tc>
        <w:tc>
          <w:tcPr>
            <w:tcW w:w="0" w:type="auto"/>
            <w:shd w:val="clear" w:color="auto" w:fill="FFFFFF"/>
            <w:tcMar>
              <w:top w:w="0" w:type="dxa"/>
              <w:left w:w="108" w:type="dxa"/>
              <w:bottom w:w="0" w:type="dxa"/>
              <w:right w:w="108" w:type="dxa"/>
            </w:tcMar>
            <w:vAlign w:val="center"/>
          </w:tcPr>
          <w:p w14:paraId="696E9170" w14:textId="77777777" w:rsidR="00422EFE" w:rsidRPr="00261B7A" w:rsidRDefault="00422EFE" w:rsidP="0033744F">
            <w:pPr>
              <w:pStyle w:val="TableText"/>
              <w:spacing w:before="40" w:after="40"/>
              <w:jc w:val="right"/>
            </w:pPr>
            <w:r w:rsidRPr="00261B7A">
              <w:rPr>
                <w:rFonts w:eastAsia="Calibri"/>
                <w:color w:val="000000"/>
              </w:rPr>
              <w:t>7.8</w:t>
            </w:r>
          </w:p>
        </w:tc>
        <w:tc>
          <w:tcPr>
            <w:tcW w:w="0" w:type="auto"/>
            <w:shd w:val="clear" w:color="auto" w:fill="FFFFFF"/>
            <w:tcMar>
              <w:top w:w="0" w:type="dxa"/>
              <w:left w:w="108" w:type="dxa"/>
              <w:bottom w:w="0" w:type="dxa"/>
              <w:right w:w="108" w:type="dxa"/>
            </w:tcMar>
            <w:vAlign w:val="center"/>
          </w:tcPr>
          <w:p w14:paraId="51CE6508" w14:textId="77777777" w:rsidR="00422EFE" w:rsidRPr="00261B7A" w:rsidRDefault="00422EFE" w:rsidP="0033744F">
            <w:pPr>
              <w:pStyle w:val="TableText"/>
              <w:spacing w:before="40" w:after="40"/>
              <w:jc w:val="right"/>
            </w:pPr>
            <w:r w:rsidRPr="00261B7A">
              <w:rPr>
                <w:rFonts w:eastAsia="Calibri"/>
                <w:color w:val="000000"/>
              </w:rPr>
              <w:t>11.7</w:t>
            </w:r>
          </w:p>
        </w:tc>
      </w:tr>
      <w:tr w:rsidR="004677F9" w:rsidRPr="00261B7A" w14:paraId="39F0D0F2" w14:textId="77777777" w:rsidTr="00D41492">
        <w:tc>
          <w:tcPr>
            <w:tcW w:w="0" w:type="auto"/>
            <w:shd w:val="clear" w:color="auto" w:fill="FFFFFF"/>
            <w:tcMar>
              <w:top w:w="0" w:type="dxa"/>
              <w:left w:w="108" w:type="dxa"/>
              <w:bottom w:w="0" w:type="dxa"/>
              <w:right w:w="108" w:type="dxa"/>
            </w:tcMar>
            <w:vAlign w:val="center"/>
          </w:tcPr>
          <w:p w14:paraId="7B315F7D" w14:textId="77777777" w:rsidR="00422EFE" w:rsidRPr="00261B7A" w:rsidRDefault="00422EFE" w:rsidP="0033744F">
            <w:pPr>
              <w:pStyle w:val="TableTextBold"/>
              <w:spacing w:before="40" w:after="40"/>
              <w:rPr>
                <w:noProof w:val="0"/>
                <w:color w:val="1B556B" w:themeColor="text2"/>
              </w:rPr>
            </w:pPr>
            <w:r w:rsidRPr="00261B7A">
              <w:rPr>
                <w:rFonts w:eastAsia="Calibri"/>
                <w:noProof w:val="0"/>
                <w:color w:val="1B556B" w:themeColor="text2"/>
              </w:rPr>
              <w:t>Waste sector total</w:t>
            </w:r>
          </w:p>
        </w:tc>
        <w:tc>
          <w:tcPr>
            <w:tcW w:w="0" w:type="auto"/>
            <w:shd w:val="clear" w:color="auto" w:fill="FFFFFF"/>
            <w:tcMar>
              <w:top w:w="0" w:type="dxa"/>
              <w:left w:w="108" w:type="dxa"/>
              <w:bottom w:w="0" w:type="dxa"/>
              <w:right w:w="108" w:type="dxa"/>
            </w:tcMar>
            <w:vAlign w:val="center"/>
          </w:tcPr>
          <w:p w14:paraId="30292B6F" w14:textId="77777777" w:rsidR="00422EFE" w:rsidRPr="00261B7A" w:rsidRDefault="00422EFE" w:rsidP="0033744F">
            <w:pPr>
              <w:pStyle w:val="TableTextBold"/>
              <w:spacing w:before="40" w:after="40"/>
              <w:jc w:val="right"/>
              <w:rPr>
                <w:noProof w:val="0"/>
                <w:color w:val="1B556B" w:themeColor="text2"/>
              </w:rPr>
            </w:pPr>
            <w:r w:rsidRPr="00261B7A">
              <w:rPr>
                <w:rFonts w:eastAsia="Calibri"/>
                <w:noProof w:val="0"/>
                <w:color w:val="1B556B" w:themeColor="text2"/>
              </w:rPr>
              <w:t>3,944.6</w:t>
            </w:r>
          </w:p>
        </w:tc>
        <w:tc>
          <w:tcPr>
            <w:tcW w:w="0" w:type="auto"/>
            <w:shd w:val="clear" w:color="auto" w:fill="FFFFFF"/>
            <w:tcMar>
              <w:top w:w="0" w:type="dxa"/>
              <w:left w:w="108" w:type="dxa"/>
              <w:bottom w:w="0" w:type="dxa"/>
              <w:right w:w="108" w:type="dxa"/>
            </w:tcMar>
            <w:vAlign w:val="center"/>
          </w:tcPr>
          <w:p w14:paraId="3673FFE4" w14:textId="77777777" w:rsidR="00422EFE" w:rsidRPr="00261B7A" w:rsidRDefault="00422EFE" w:rsidP="0033744F">
            <w:pPr>
              <w:pStyle w:val="TableTextBold"/>
              <w:spacing w:before="40" w:after="40"/>
              <w:jc w:val="right"/>
              <w:rPr>
                <w:noProof w:val="0"/>
                <w:color w:val="1B556B" w:themeColor="text2"/>
              </w:rPr>
            </w:pPr>
            <w:r w:rsidRPr="00261B7A">
              <w:rPr>
                <w:rFonts w:eastAsia="Calibri"/>
                <w:noProof w:val="0"/>
                <w:color w:val="1B556B" w:themeColor="text2"/>
              </w:rPr>
              <w:t>3,214.9</w:t>
            </w:r>
          </w:p>
        </w:tc>
        <w:tc>
          <w:tcPr>
            <w:tcW w:w="0" w:type="auto"/>
            <w:shd w:val="clear" w:color="auto" w:fill="FFFFFF"/>
            <w:tcMar>
              <w:top w:w="0" w:type="dxa"/>
              <w:left w:w="108" w:type="dxa"/>
              <w:bottom w:w="0" w:type="dxa"/>
              <w:right w:w="108" w:type="dxa"/>
            </w:tcMar>
            <w:vAlign w:val="center"/>
          </w:tcPr>
          <w:p w14:paraId="1B2C9B02" w14:textId="77777777" w:rsidR="00422EFE" w:rsidRPr="00261B7A" w:rsidRDefault="00422EFE" w:rsidP="0033744F">
            <w:pPr>
              <w:pStyle w:val="TableTextBold"/>
              <w:spacing w:before="40" w:after="40"/>
              <w:jc w:val="right"/>
              <w:rPr>
                <w:noProof w:val="0"/>
                <w:color w:val="1B556B" w:themeColor="text2"/>
              </w:rPr>
            </w:pPr>
            <w:r w:rsidRPr="00261B7A">
              <w:rPr>
                <w:rFonts w:eastAsia="Calibri"/>
                <w:noProof w:val="0"/>
                <w:color w:val="1B556B" w:themeColor="text2"/>
              </w:rPr>
              <w:t>–729.7</w:t>
            </w:r>
          </w:p>
        </w:tc>
        <w:tc>
          <w:tcPr>
            <w:tcW w:w="0" w:type="auto"/>
            <w:shd w:val="clear" w:color="auto" w:fill="FFFFFF"/>
            <w:tcMar>
              <w:top w:w="0" w:type="dxa"/>
              <w:left w:w="108" w:type="dxa"/>
              <w:bottom w:w="0" w:type="dxa"/>
              <w:right w:w="108" w:type="dxa"/>
            </w:tcMar>
            <w:vAlign w:val="center"/>
          </w:tcPr>
          <w:p w14:paraId="194352A7" w14:textId="77777777" w:rsidR="00422EFE" w:rsidRPr="00261B7A" w:rsidRDefault="00422EFE" w:rsidP="0033744F">
            <w:pPr>
              <w:pStyle w:val="TableTextBold"/>
              <w:spacing w:before="40" w:after="40"/>
              <w:jc w:val="right"/>
              <w:rPr>
                <w:noProof w:val="0"/>
                <w:color w:val="1B556B" w:themeColor="text2"/>
              </w:rPr>
            </w:pPr>
            <w:r w:rsidRPr="00261B7A">
              <w:rPr>
                <w:rFonts w:eastAsia="Calibri"/>
                <w:noProof w:val="0"/>
                <w:color w:val="1B556B" w:themeColor="text2"/>
              </w:rPr>
              <w:t>–18.5</w:t>
            </w:r>
          </w:p>
        </w:tc>
        <w:tc>
          <w:tcPr>
            <w:tcW w:w="0" w:type="auto"/>
            <w:shd w:val="clear" w:color="auto" w:fill="FFFFFF"/>
            <w:tcMar>
              <w:top w:w="0" w:type="dxa"/>
              <w:left w:w="108" w:type="dxa"/>
              <w:bottom w:w="0" w:type="dxa"/>
              <w:right w:w="108" w:type="dxa"/>
            </w:tcMar>
            <w:vAlign w:val="center"/>
          </w:tcPr>
          <w:p w14:paraId="46C6899D" w14:textId="77777777" w:rsidR="00422EFE" w:rsidRPr="00261B7A" w:rsidRDefault="00422EFE" w:rsidP="0033744F">
            <w:pPr>
              <w:pStyle w:val="TableTextBold"/>
              <w:spacing w:before="40" w:after="40"/>
              <w:jc w:val="right"/>
              <w:rPr>
                <w:noProof w:val="0"/>
                <w:color w:val="1B556B" w:themeColor="text2"/>
              </w:rPr>
            </w:pPr>
            <w:r w:rsidRPr="00261B7A">
              <w:rPr>
                <w:rFonts w:eastAsia="Calibri"/>
                <w:noProof w:val="0"/>
                <w:color w:val="1B556B" w:themeColor="text2"/>
              </w:rPr>
              <w:t>–</w:t>
            </w:r>
          </w:p>
        </w:tc>
        <w:tc>
          <w:tcPr>
            <w:tcW w:w="0" w:type="auto"/>
            <w:shd w:val="clear" w:color="auto" w:fill="FFFFFF"/>
            <w:tcMar>
              <w:top w:w="0" w:type="dxa"/>
              <w:left w:w="108" w:type="dxa"/>
              <w:bottom w:w="0" w:type="dxa"/>
              <w:right w:w="108" w:type="dxa"/>
            </w:tcMar>
            <w:vAlign w:val="center"/>
          </w:tcPr>
          <w:p w14:paraId="499A27AC" w14:textId="77777777" w:rsidR="00422EFE" w:rsidRPr="00261B7A" w:rsidRDefault="00422EFE" w:rsidP="0033744F">
            <w:pPr>
              <w:pStyle w:val="TableTextBold"/>
              <w:spacing w:before="40" w:after="40"/>
              <w:jc w:val="right"/>
              <w:rPr>
                <w:noProof w:val="0"/>
                <w:color w:val="1B556B" w:themeColor="text2"/>
              </w:rPr>
            </w:pPr>
            <w:r w:rsidRPr="00261B7A">
              <w:rPr>
                <w:rFonts w:eastAsia="Calibri"/>
                <w:noProof w:val="0"/>
                <w:color w:val="1B556B" w:themeColor="text2"/>
              </w:rPr>
              <w:t>–</w:t>
            </w:r>
          </w:p>
        </w:tc>
      </w:tr>
    </w:tbl>
    <w:p w14:paraId="668C971F" w14:textId="77777777" w:rsidR="00422EFE" w:rsidRPr="00261B7A" w:rsidRDefault="00422EFE" w:rsidP="00422EFE">
      <w:pPr>
        <w:pStyle w:val="Noteundertable"/>
      </w:pPr>
      <w:r w:rsidRPr="00261B7A">
        <w:rPr>
          <w:b/>
          <w:bCs/>
        </w:rPr>
        <w:t>Note:</w:t>
      </w:r>
      <w:r w:rsidRPr="00261B7A">
        <w:t xml:space="preserve"> </w:t>
      </w:r>
      <w:r w:rsidRPr="00261B7A">
        <w:tab/>
        <w:t>Percentages presented are calculated from unrounded values. Columns may not total due to rounding.</w:t>
      </w:r>
    </w:p>
    <w:p w14:paraId="3A8E7DD8" w14:textId="77777777" w:rsidR="00422EFE" w:rsidRPr="00261B7A" w:rsidRDefault="00422EFE" w:rsidP="00422EFE">
      <w:pPr>
        <w:pStyle w:val="Figure"/>
        <w:spacing w:after="60"/>
      </w:pPr>
      <w:bookmarkStart w:id="2434" w:name="_Toc130211457"/>
      <w:bookmarkStart w:id="2435" w:name="_Toc131591578"/>
      <w:r w:rsidRPr="00261B7A">
        <w:t xml:space="preserve">Figure 7.1.2 </w:t>
      </w:r>
      <w:r w:rsidRPr="00261B7A">
        <w:tab/>
        <w:t xml:space="preserve">Profile of emissions from New Zealand’s Waste sector by source category from </w:t>
      </w:r>
      <w:r w:rsidRPr="00261B7A">
        <w:rPr>
          <w:bCs/>
        </w:rPr>
        <w:t>1990</w:t>
      </w:r>
      <w:r w:rsidRPr="00261B7A">
        <w:t> to </w:t>
      </w:r>
      <w:r w:rsidRPr="00261B7A">
        <w:rPr>
          <w:bCs/>
        </w:rPr>
        <w:t>2021</w:t>
      </w:r>
      <w:bookmarkEnd w:id="2434"/>
      <w:bookmarkEnd w:id="2435"/>
    </w:p>
    <w:p w14:paraId="077E8B6F" w14:textId="77777777" w:rsidR="00422EFE" w:rsidRPr="00261B7A" w:rsidRDefault="00422EFE" w:rsidP="00422EFE">
      <w:pPr>
        <w:pStyle w:val="BodyText"/>
      </w:pPr>
      <w:r w:rsidRPr="00261B7A">
        <w:rPr>
          <w:noProof/>
        </w:rPr>
        <w:drawing>
          <wp:inline distT="0" distB="0" distL="0" distR="0" wp14:anchorId="0A895231" wp14:editId="5122DC18">
            <wp:extent cx="5397500" cy="2735517"/>
            <wp:effectExtent l="0" t="0" r="0" b="0"/>
            <wp:docPr id="30" name="Picture 30"/>
            <wp:cNvGraphicFramePr/>
            <a:graphic xmlns:a="http://schemas.openxmlformats.org/drawingml/2006/main">
              <a:graphicData uri="http://schemas.openxmlformats.org/drawingml/2006/picture">
                <pic:pic xmlns:pic="http://schemas.openxmlformats.org/drawingml/2006/picture">
                  <pic:nvPicPr>
                    <pic:cNvPr id="31" name="Picture" descr="images/fig_7_1_2.png"/>
                    <pic:cNvPicPr>
                      <a:picLocks noChangeAspect="1" noChangeArrowheads="1"/>
                    </pic:cNvPicPr>
                  </pic:nvPicPr>
                  <pic:blipFill>
                    <a:blip r:embed="rId237"/>
                    <a:stretch>
                      <a:fillRect/>
                    </a:stretch>
                  </pic:blipFill>
                  <pic:spPr bwMode="auto">
                    <a:xfrm>
                      <a:off x="0" y="0"/>
                      <a:ext cx="5397500" cy="2735517"/>
                    </a:xfrm>
                    <a:prstGeom prst="rect">
                      <a:avLst/>
                    </a:prstGeom>
                    <a:noFill/>
                    <a:ln w="9525">
                      <a:noFill/>
                      <a:headEnd/>
                      <a:tailEnd/>
                    </a:ln>
                  </pic:spPr>
                </pic:pic>
              </a:graphicData>
            </a:graphic>
          </wp:inline>
        </w:drawing>
      </w:r>
    </w:p>
    <w:p w14:paraId="1CB7CB23" w14:textId="27BA345F" w:rsidR="00422EFE" w:rsidRPr="00261B7A" w:rsidRDefault="00422EFE" w:rsidP="00422EFE">
      <w:pPr>
        <w:pStyle w:val="Figure"/>
      </w:pPr>
      <w:bookmarkStart w:id="2436" w:name="_Toc130211458"/>
      <w:bookmarkStart w:id="2437" w:name="_Toc131591579"/>
      <w:r w:rsidRPr="00261B7A">
        <w:t xml:space="preserve">Figure 7.1.3 </w:t>
      </w:r>
      <w:r w:rsidRPr="00261B7A">
        <w:tab/>
        <w:t>Change in New Zealand’s emissions from the Waste sector by source category from</w:t>
      </w:r>
      <w:r w:rsidR="00CD561B" w:rsidRPr="00261B7A">
        <w:t> </w:t>
      </w:r>
      <w:r w:rsidRPr="00261B7A">
        <w:rPr>
          <w:bCs/>
        </w:rPr>
        <w:t>1990</w:t>
      </w:r>
      <w:r w:rsidRPr="00261B7A">
        <w:t> to </w:t>
      </w:r>
      <w:r w:rsidRPr="00261B7A">
        <w:rPr>
          <w:bCs/>
        </w:rPr>
        <w:t>2021</w:t>
      </w:r>
      <w:bookmarkEnd w:id="2436"/>
      <w:bookmarkEnd w:id="2437"/>
    </w:p>
    <w:p w14:paraId="51F8BED4" w14:textId="77777777" w:rsidR="00422EFE" w:rsidRPr="00261B7A" w:rsidRDefault="00422EFE" w:rsidP="00422EFE">
      <w:pPr>
        <w:pStyle w:val="BodyText"/>
        <w:spacing w:after="0"/>
        <w:jc w:val="center"/>
      </w:pPr>
      <w:r w:rsidRPr="00261B7A">
        <w:rPr>
          <w:noProof/>
        </w:rPr>
        <w:drawing>
          <wp:inline distT="0" distB="0" distL="0" distR="0" wp14:anchorId="41626AB2" wp14:editId="77A410AB">
            <wp:extent cx="4989191" cy="2932857"/>
            <wp:effectExtent l="0" t="0" r="2540" b="1270"/>
            <wp:docPr id="33" name="Picture 33"/>
            <wp:cNvGraphicFramePr/>
            <a:graphic xmlns:a="http://schemas.openxmlformats.org/drawingml/2006/main">
              <a:graphicData uri="http://schemas.openxmlformats.org/drawingml/2006/picture">
                <pic:pic xmlns:pic="http://schemas.openxmlformats.org/drawingml/2006/picture">
                  <pic:nvPicPr>
                    <pic:cNvPr id="34" name="Picture" descr="images/fig_7_1_3.png"/>
                    <pic:cNvPicPr>
                      <a:picLocks noChangeAspect="1" noChangeArrowheads="1"/>
                    </pic:cNvPicPr>
                  </pic:nvPicPr>
                  <pic:blipFill rotWithShape="1">
                    <a:blip r:embed="rId238"/>
                    <a:srcRect l="3331" t="4010" r="4193" b="3255"/>
                    <a:stretch/>
                  </pic:blipFill>
                  <pic:spPr bwMode="auto">
                    <a:xfrm>
                      <a:off x="0" y="0"/>
                      <a:ext cx="4991425" cy="2934170"/>
                    </a:xfrm>
                    <a:prstGeom prst="rect">
                      <a:avLst/>
                    </a:prstGeom>
                    <a:noFill/>
                    <a:ln>
                      <a:noFill/>
                    </a:ln>
                    <a:extLst>
                      <a:ext uri="{53640926-AAD7-44D8-BBD7-CCE9431645EC}">
                        <a14:shadowObscured xmlns:a14="http://schemas.microsoft.com/office/drawing/2010/main"/>
                      </a:ext>
                    </a:extLst>
                  </pic:spPr>
                </pic:pic>
              </a:graphicData>
            </a:graphic>
          </wp:inline>
        </w:drawing>
      </w:r>
    </w:p>
    <w:p w14:paraId="4EBD9EEF" w14:textId="77777777" w:rsidR="00422EFE" w:rsidRPr="00261B7A" w:rsidRDefault="00422EFE" w:rsidP="00422EFE">
      <w:pPr>
        <w:pStyle w:val="Heading3"/>
      </w:pPr>
      <w:bookmarkStart w:id="2438" w:name="Xfa42449e806fcf6a112d3c25ee820409e286d8a"/>
      <w:bookmarkEnd w:id="2428"/>
      <w:bookmarkEnd w:id="2431"/>
      <w:r w:rsidRPr="00261B7A">
        <w:t xml:space="preserve">7.1.3 </w:t>
      </w:r>
      <w:r w:rsidRPr="00261B7A">
        <w:tab/>
        <w:t>Key categories for Waste sector emissions</w:t>
      </w:r>
    </w:p>
    <w:p w14:paraId="5B872172" w14:textId="77777777" w:rsidR="00422EFE" w:rsidRPr="00261B7A" w:rsidRDefault="00422EFE" w:rsidP="00422EFE">
      <w:pPr>
        <w:pStyle w:val="BodyText"/>
      </w:pPr>
      <w:r w:rsidRPr="00261B7A">
        <w:t>Details of New Zealand’s key category analysis are in chapter 1, section 1.5. The key categories in the Waste sector are listed in table 7.1.2.</w:t>
      </w:r>
    </w:p>
    <w:p w14:paraId="6A1AFE75" w14:textId="77777777" w:rsidR="00422EFE" w:rsidRPr="00261B7A" w:rsidRDefault="00422EFE" w:rsidP="00422EFE">
      <w:pPr>
        <w:pStyle w:val="Table"/>
      </w:pPr>
      <w:bookmarkStart w:id="2439" w:name="_Toc128383661"/>
      <w:bookmarkStart w:id="2440" w:name="_Toc131591434"/>
      <w:r w:rsidRPr="00261B7A">
        <w:t xml:space="preserve">Table 7.1.2 </w:t>
      </w:r>
      <w:r w:rsidRPr="00261B7A">
        <w:tab/>
        <w:t>Key categories in the Waste sector</w:t>
      </w:r>
      <w:bookmarkEnd w:id="2439"/>
      <w:bookmarkEnd w:id="2440"/>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864"/>
        <w:gridCol w:w="3618"/>
        <w:gridCol w:w="600"/>
        <w:gridCol w:w="2423"/>
      </w:tblGrid>
      <w:tr w:rsidR="00422EFE" w:rsidRPr="00261B7A" w14:paraId="2C07EB72" w14:textId="77777777" w:rsidTr="00D41492">
        <w:trPr>
          <w:tblHeader/>
        </w:trPr>
        <w:tc>
          <w:tcPr>
            <w:tcW w:w="0" w:type="auto"/>
            <w:shd w:val="clear" w:color="auto" w:fill="1B556B"/>
            <w:tcMar>
              <w:top w:w="0" w:type="dxa"/>
              <w:left w:w="108" w:type="dxa"/>
              <w:bottom w:w="0" w:type="dxa"/>
              <w:right w:w="108" w:type="dxa"/>
            </w:tcMar>
          </w:tcPr>
          <w:p w14:paraId="28A0CBDC" w14:textId="77777777" w:rsidR="00422EFE" w:rsidRPr="00261B7A" w:rsidRDefault="00422EFE" w:rsidP="0033744F">
            <w:pPr>
              <w:pStyle w:val="TableTextBold"/>
              <w:spacing w:before="40" w:after="40"/>
              <w:rPr>
                <w:noProof w:val="0"/>
                <w:color w:val="FFFFFF" w:themeColor="background1"/>
              </w:rPr>
            </w:pPr>
            <w:r w:rsidRPr="00261B7A">
              <w:rPr>
                <w:rFonts w:eastAsia="Calibri"/>
                <w:noProof w:val="0"/>
                <w:color w:val="FFFFFF" w:themeColor="background1"/>
              </w:rPr>
              <w:t>CRF category code</w:t>
            </w:r>
          </w:p>
        </w:tc>
        <w:tc>
          <w:tcPr>
            <w:tcW w:w="0" w:type="auto"/>
            <w:shd w:val="clear" w:color="auto" w:fill="1B556B"/>
            <w:tcMar>
              <w:top w:w="0" w:type="dxa"/>
              <w:left w:w="108" w:type="dxa"/>
              <w:bottom w:w="0" w:type="dxa"/>
              <w:right w:w="108" w:type="dxa"/>
            </w:tcMar>
          </w:tcPr>
          <w:p w14:paraId="3BB98C57" w14:textId="77777777" w:rsidR="00422EFE" w:rsidRPr="00261B7A" w:rsidRDefault="00422EFE" w:rsidP="0033744F">
            <w:pPr>
              <w:pStyle w:val="TableTextBold"/>
              <w:spacing w:before="40" w:after="40"/>
              <w:rPr>
                <w:noProof w:val="0"/>
                <w:color w:val="FFFFFF" w:themeColor="background1"/>
              </w:rPr>
            </w:pPr>
            <w:r w:rsidRPr="00261B7A">
              <w:rPr>
                <w:rFonts w:eastAsia="Calibri"/>
                <w:noProof w:val="0"/>
                <w:color w:val="FFFFFF" w:themeColor="background1"/>
              </w:rPr>
              <w:t>IPCC category</w:t>
            </w:r>
          </w:p>
        </w:tc>
        <w:tc>
          <w:tcPr>
            <w:tcW w:w="0" w:type="auto"/>
            <w:shd w:val="clear" w:color="auto" w:fill="1B556B"/>
            <w:tcMar>
              <w:top w:w="0" w:type="dxa"/>
              <w:left w:w="108" w:type="dxa"/>
              <w:bottom w:w="0" w:type="dxa"/>
              <w:right w:w="108" w:type="dxa"/>
            </w:tcMar>
          </w:tcPr>
          <w:p w14:paraId="5849C224" w14:textId="77777777" w:rsidR="00422EFE" w:rsidRPr="00261B7A" w:rsidRDefault="00422EFE" w:rsidP="0033744F">
            <w:pPr>
              <w:pStyle w:val="TableTextBold"/>
              <w:spacing w:before="40" w:after="40"/>
              <w:rPr>
                <w:noProof w:val="0"/>
                <w:color w:val="FFFFFF" w:themeColor="background1"/>
              </w:rPr>
            </w:pPr>
            <w:r w:rsidRPr="00261B7A">
              <w:rPr>
                <w:rFonts w:eastAsia="Calibri"/>
                <w:noProof w:val="0"/>
                <w:color w:val="FFFFFF" w:themeColor="background1"/>
              </w:rPr>
              <w:t>Gas</w:t>
            </w:r>
          </w:p>
        </w:tc>
        <w:tc>
          <w:tcPr>
            <w:tcW w:w="0" w:type="auto"/>
            <w:shd w:val="clear" w:color="auto" w:fill="1B556B"/>
            <w:tcMar>
              <w:top w:w="0" w:type="dxa"/>
              <w:left w:w="108" w:type="dxa"/>
              <w:bottom w:w="0" w:type="dxa"/>
              <w:right w:w="108" w:type="dxa"/>
            </w:tcMar>
          </w:tcPr>
          <w:p w14:paraId="20A9C56F" w14:textId="77777777" w:rsidR="00422EFE" w:rsidRPr="00261B7A" w:rsidRDefault="00422EFE" w:rsidP="0033744F">
            <w:pPr>
              <w:pStyle w:val="TableTextBold"/>
              <w:spacing w:before="40" w:after="40"/>
              <w:rPr>
                <w:noProof w:val="0"/>
                <w:color w:val="FFFFFF" w:themeColor="background1"/>
              </w:rPr>
            </w:pPr>
            <w:r w:rsidRPr="00261B7A">
              <w:rPr>
                <w:rFonts w:eastAsia="Calibri"/>
                <w:noProof w:val="0"/>
                <w:color w:val="FFFFFF" w:themeColor="background1"/>
              </w:rPr>
              <w:t>Criteria for identification</w:t>
            </w:r>
          </w:p>
        </w:tc>
      </w:tr>
      <w:tr w:rsidR="00422EFE" w:rsidRPr="00261B7A" w14:paraId="634560FD" w14:textId="77777777" w:rsidTr="00D41492">
        <w:tc>
          <w:tcPr>
            <w:tcW w:w="0" w:type="auto"/>
            <w:shd w:val="clear" w:color="auto" w:fill="FFFFFF"/>
            <w:tcMar>
              <w:top w:w="0" w:type="dxa"/>
              <w:left w:w="108" w:type="dxa"/>
              <w:bottom w:w="0" w:type="dxa"/>
              <w:right w:w="108" w:type="dxa"/>
            </w:tcMar>
          </w:tcPr>
          <w:p w14:paraId="46E05020" w14:textId="77777777" w:rsidR="00422EFE" w:rsidRPr="00261B7A" w:rsidRDefault="00422EFE" w:rsidP="0033744F">
            <w:pPr>
              <w:pStyle w:val="TableText"/>
              <w:spacing w:before="40" w:after="40"/>
            </w:pPr>
            <w:r w:rsidRPr="00261B7A">
              <w:rPr>
                <w:rFonts w:eastAsia="Calibri"/>
                <w:color w:val="000000"/>
              </w:rPr>
              <w:t>5.A</w:t>
            </w:r>
          </w:p>
        </w:tc>
        <w:tc>
          <w:tcPr>
            <w:tcW w:w="0" w:type="auto"/>
            <w:shd w:val="clear" w:color="auto" w:fill="FFFFFF"/>
            <w:tcMar>
              <w:top w:w="0" w:type="dxa"/>
              <w:left w:w="108" w:type="dxa"/>
              <w:bottom w:w="0" w:type="dxa"/>
              <w:right w:w="108" w:type="dxa"/>
            </w:tcMar>
          </w:tcPr>
          <w:p w14:paraId="266EC20E" w14:textId="77777777" w:rsidR="00422EFE" w:rsidRPr="00261B7A" w:rsidRDefault="00422EFE" w:rsidP="0033744F">
            <w:pPr>
              <w:pStyle w:val="TableText"/>
              <w:spacing w:before="40" w:after="40"/>
            </w:pPr>
            <w:r w:rsidRPr="00261B7A">
              <w:rPr>
                <w:rFonts w:eastAsia="Calibri"/>
                <w:color w:val="000000"/>
              </w:rPr>
              <w:t>Solid waste disposal</w:t>
            </w:r>
          </w:p>
        </w:tc>
        <w:tc>
          <w:tcPr>
            <w:tcW w:w="0" w:type="auto"/>
            <w:shd w:val="clear" w:color="auto" w:fill="FFFFFF"/>
            <w:tcMar>
              <w:top w:w="0" w:type="dxa"/>
              <w:left w:w="108" w:type="dxa"/>
              <w:bottom w:w="0" w:type="dxa"/>
              <w:right w:w="108" w:type="dxa"/>
            </w:tcMar>
          </w:tcPr>
          <w:p w14:paraId="0217522E" w14:textId="77777777" w:rsidR="00422EFE" w:rsidRPr="00261B7A" w:rsidRDefault="00422EFE" w:rsidP="0033744F">
            <w:pPr>
              <w:pStyle w:val="TableText"/>
              <w:spacing w:before="40" w:after="40"/>
            </w:pPr>
            <w:r w:rsidRPr="00261B7A">
              <w:rPr>
                <w:rFonts w:eastAsia="Calibri"/>
                <w:color w:val="000000"/>
              </w:rPr>
              <w:t>CH</w:t>
            </w:r>
            <w:r w:rsidRPr="00261B7A">
              <w:rPr>
                <w:rFonts w:eastAsia="Calibri"/>
                <w:color w:val="000000"/>
                <w:vertAlign w:val="subscript"/>
              </w:rPr>
              <w:t>4</w:t>
            </w:r>
          </w:p>
        </w:tc>
        <w:tc>
          <w:tcPr>
            <w:tcW w:w="0" w:type="auto"/>
            <w:shd w:val="clear" w:color="auto" w:fill="FFFFFF"/>
            <w:tcMar>
              <w:top w:w="0" w:type="dxa"/>
              <w:left w:w="108" w:type="dxa"/>
              <w:bottom w:w="0" w:type="dxa"/>
              <w:right w:w="108" w:type="dxa"/>
            </w:tcMar>
          </w:tcPr>
          <w:p w14:paraId="53B85FF0" w14:textId="77777777" w:rsidR="00422EFE" w:rsidRPr="00261B7A" w:rsidRDefault="00422EFE" w:rsidP="0033744F">
            <w:pPr>
              <w:pStyle w:val="TableText"/>
              <w:spacing w:before="40" w:after="40"/>
            </w:pPr>
            <w:r w:rsidRPr="00261B7A">
              <w:rPr>
                <w:rFonts w:eastAsia="Calibri"/>
                <w:color w:val="000000"/>
              </w:rPr>
              <w:t>L1, T1</w:t>
            </w:r>
          </w:p>
        </w:tc>
      </w:tr>
      <w:tr w:rsidR="00422EFE" w:rsidRPr="00261B7A" w14:paraId="6045CA78" w14:textId="77777777" w:rsidTr="00D41492">
        <w:tc>
          <w:tcPr>
            <w:tcW w:w="0" w:type="auto"/>
            <w:shd w:val="clear" w:color="auto" w:fill="FFFFFF"/>
            <w:tcMar>
              <w:top w:w="0" w:type="dxa"/>
              <w:left w:w="108" w:type="dxa"/>
              <w:bottom w:w="0" w:type="dxa"/>
              <w:right w:w="108" w:type="dxa"/>
            </w:tcMar>
          </w:tcPr>
          <w:p w14:paraId="77A6C2D7" w14:textId="77777777" w:rsidR="00422EFE" w:rsidRPr="00261B7A" w:rsidRDefault="00422EFE" w:rsidP="0033744F">
            <w:pPr>
              <w:pStyle w:val="TableText"/>
              <w:spacing w:before="40" w:after="40"/>
            </w:pPr>
            <w:r w:rsidRPr="00261B7A">
              <w:rPr>
                <w:rFonts w:eastAsia="Calibri"/>
                <w:color w:val="000000"/>
              </w:rPr>
              <w:t>5.C</w:t>
            </w:r>
          </w:p>
        </w:tc>
        <w:tc>
          <w:tcPr>
            <w:tcW w:w="0" w:type="auto"/>
            <w:shd w:val="clear" w:color="auto" w:fill="FFFFFF"/>
            <w:tcMar>
              <w:top w:w="0" w:type="dxa"/>
              <w:left w:w="108" w:type="dxa"/>
              <w:bottom w:w="0" w:type="dxa"/>
              <w:right w:w="108" w:type="dxa"/>
            </w:tcMar>
          </w:tcPr>
          <w:p w14:paraId="538DB8C0" w14:textId="77777777" w:rsidR="00422EFE" w:rsidRPr="00261B7A" w:rsidRDefault="00422EFE" w:rsidP="0033744F">
            <w:pPr>
              <w:pStyle w:val="TableText"/>
              <w:spacing w:before="40" w:after="40"/>
            </w:pPr>
            <w:r w:rsidRPr="00261B7A">
              <w:rPr>
                <w:rFonts w:eastAsia="Calibri"/>
                <w:color w:val="000000"/>
              </w:rPr>
              <w:t>Incineration and open burning of waste</w:t>
            </w:r>
          </w:p>
        </w:tc>
        <w:tc>
          <w:tcPr>
            <w:tcW w:w="0" w:type="auto"/>
            <w:shd w:val="clear" w:color="auto" w:fill="FFFFFF"/>
            <w:tcMar>
              <w:top w:w="0" w:type="dxa"/>
              <w:left w:w="108" w:type="dxa"/>
              <w:bottom w:w="0" w:type="dxa"/>
              <w:right w:w="108" w:type="dxa"/>
            </w:tcMar>
          </w:tcPr>
          <w:p w14:paraId="7EF58752" w14:textId="77777777" w:rsidR="00422EFE" w:rsidRPr="00261B7A" w:rsidRDefault="00422EFE" w:rsidP="0033744F">
            <w:pPr>
              <w:pStyle w:val="TableText"/>
              <w:spacing w:before="40" w:after="40"/>
            </w:pPr>
            <w:r w:rsidRPr="00261B7A">
              <w:rPr>
                <w:rFonts w:eastAsia="Calibri"/>
                <w:color w:val="000000"/>
              </w:rPr>
              <w:t>CO</w:t>
            </w:r>
            <w:r w:rsidRPr="00261B7A">
              <w:rPr>
                <w:rFonts w:eastAsia="Calibri"/>
                <w:color w:val="000000"/>
                <w:vertAlign w:val="subscript"/>
              </w:rPr>
              <w:t>2</w:t>
            </w:r>
          </w:p>
        </w:tc>
        <w:tc>
          <w:tcPr>
            <w:tcW w:w="0" w:type="auto"/>
            <w:shd w:val="clear" w:color="auto" w:fill="FFFFFF"/>
            <w:tcMar>
              <w:top w:w="0" w:type="dxa"/>
              <w:left w:w="108" w:type="dxa"/>
              <w:bottom w:w="0" w:type="dxa"/>
              <w:right w:w="108" w:type="dxa"/>
            </w:tcMar>
          </w:tcPr>
          <w:p w14:paraId="2C55525F" w14:textId="77777777" w:rsidR="00422EFE" w:rsidRPr="00261B7A" w:rsidRDefault="00422EFE" w:rsidP="0033744F">
            <w:pPr>
              <w:pStyle w:val="TableText"/>
              <w:spacing w:before="40" w:after="40"/>
            </w:pPr>
            <w:r w:rsidRPr="00261B7A">
              <w:rPr>
                <w:rFonts w:eastAsia="Calibri"/>
                <w:color w:val="000000"/>
              </w:rPr>
              <w:t>T1</w:t>
            </w:r>
          </w:p>
        </w:tc>
      </w:tr>
      <w:tr w:rsidR="00422EFE" w:rsidRPr="00261B7A" w14:paraId="7F9CD988" w14:textId="77777777" w:rsidTr="00D41492">
        <w:tc>
          <w:tcPr>
            <w:tcW w:w="0" w:type="auto"/>
            <w:shd w:val="clear" w:color="auto" w:fill="FFFFFF"/>
            <w:tcMar>
              <w:top w:w="0" w:type="dxa"/>
              <w:left w:w="108" w:type="dxa"/>
              <w:bottom w:w="0" w:type="dxa"/>
              <w:right w:w="108" w:type="dxa"/>
            </w:tcMar>
          </w:tcPr>
          <w:p w14:paraId="70755421" w14:textId="77777777" w:rsidR="00422EFE" w:rsidRPr="00261B7A" w:rsidRDefault="00422EFE" w:rsidP="0033744F">
            <w:pPr>
              <w:pStyle w:val="TableText"/>
              <w:spacing w:before="40" w:after="40"/>
            </w:pPr>
            <w:r w:rsidRPr="00261B7A">
              <w:rPr>
                <w:rFonts w:eastAsia="Calibri"/>
                <w:color w:val="000000"/>
              </w:rPr>
              <w:t>5.D</w:t>
            </w:r>
          </w:p>
        </w:tc>
        <w:tc>
          <w:tcPr>
            <w:tcW w:w="0" w:type="auto"/>
            <w:shd w:val="clear" w:color="auto" w:fill="FFFFFF"/>
            <w:tcMar>
              <w:top w:w="0" w:type="dxa"/>
              <w:left w:w="108" w:type="dxa"/>
              <w:bottom w:w="0" w:type="dxa"/>
              <w:right w:w="108" w:type="dxa"/>
            </w:tcMar>
          </w:tcPr>
          <w:p w14:paraId="60295D76" w14:textId="77777777" w:rsidR="00422EFE" w:rsidRPr="00261B7A" w:rsidRDefault="00422EFE" w:rsidP="0033744F">
            <w:pPr>
              <w:pStyle w:val="TableText"/>
              <w:spacing w:before="40" w:after="40"/>
            </w:pPr>
            <w:r w:rsidRPr="00261B7A">
              <w:rPr>
                <w:rFonts w:eastAsia="Calibri"/>
                <w:color w:val="000000"/>
              </w:rPr>
              <w:t>Wastewater treatment and discharge</w:t>
            </w:r>
          </w:p>
        </w:tc>
        <w:tc>
          <w:tcPr>
            <w:tcW w:w="0" w:type="auto"/>
            <w:shd w:val="clear" w:color="auto" w:fill="FFFFFF"/>
            <w:tcMar>
              <w:top w:w="0" w:type="dxa"/>
              <w:left w:w="108" w:type="dxa"/>
              <w:bottom w:w="0" w:type="dxa"/>
              <w:right w:w="108" w:type="dxa"/>
            </w:tcMar>
          </w:tcPr>
          <w:p w14:paraId="2DF3723A" w14:textId="77777777" w:rsidR="00422EFE" w:rsidRPr="00261B7A" w:rsidRDefault="00422EFE" w:rsidP="0033744F">
            <w:pPr>
              <w:pStyle w:val="TableText"/>
              <w:spacing w:before="40" w:after="40"/>
            </w:pPr>
            <w:r w:rsidRPr="00261B7A">
              <w:rPr>
                <w:rFonts w:eastAsia="Calibri"/>
                <w:color w:val="000000"/>
              </w:rPr>
              <w:t>CH</w:t>
            </w:r>
            <w:r w:rsidRPr="00261B7A">
              <w:rPr>
                <w:rFonts w:eastAsia="Calibri"/>
                <w:color w:val="000000"/>
                <w:vertAlign w:val="subscript"/>
              </w:rPr>
              <w:t>4</w:t>
            </w:r>
          </w:p>
        </w:tc>
        <w:tc>
          <w:tcPr>
            <w:tcW w:w="0" w:type="auto"/>
            <w:shd w:val="clear" w:color="auto" w:fill="FFFFFF"/>
            <w:tcMar>
              <w:top w:w="0" w:type="dxa"/>
              <w:left w:w="108" w:type="dxa"/>
              <w:bottom w:w="0" w:type="dxa"/>
              <w:right w:w="108" w:type="dxa"/>
            </w:tcMar>
          </w:tcPr>
          <w:p w14:paraId="6F71E64C" w14:textId="77777777" w:rsidR="00422EFE" w:rsidRPr="00261B7A" w:rsidRDefault="00422EFE" w:rsidP="0033744F">
            <w:pPr>
              <w:pStyle w:val="TableText"/>
              <w:spacing w:before="40" w:after="40"/>
            </w:pPr>
            <w:r w:rsidRPr="00261B7A">
              <w:rPr>
                <w:rFonts w:eastAsia="Calibri"/>
                <w:color w:val="000000"/>
              </w:rPr>
              <w:t>L1</w:t>
            </w:r>
          </w:p>
        </w:tc>
      </w:tr>
    </w:tbl>
    <w:p w14:paraId="3F523436" w14:textId="77777777" w:rsidR="00422EFE" w:rsidRPr="00261B7A" w:rsidRDefault="00422EFE" w:rsidP="00422EFE">
      <w:pPr>
        <w:pStyle w:val="Noteundertable"/>
      </w:pPr>
      <w:r w:rsidRPr="00261B7A">
        <w:rPr>
          <w:b/>
          <w:bCs/>
        </w:rPr>
        <w:t>Note:</w:t>
      </w:r>
      <w:r w:rsidRPr="00261B7A">
        <w:t xml:space="preserve"> </w:t>
      </w:r>
      <w:r w:rsidRPr="00261B7A">
        <w:tab/>
        <w:t>L1 means a key category is identified under the level analysis – approach 1, and T1 is trend analysis – approach 1. See chapter 1 for more information.</w:t>
      </w:r>
    </w:p>
    <w:p w14:paraId="4FA9D48E" w14:textId="77777777" w:rsidR="00422EFE" w:rsidRPr="00261B7A" w:rsidRDefault="00422EFE" w:rsidP="00422EFE">
      <w:pPr>
        <w:pStyle w:val="Heading3"/>
      </w:pPr>
      <w:bookmarkStart w:id="2441" w:name="X3d7ebec223af44d93c735d31f59b1b4f613c843"/>
      <w:bookmarkEnd w:id="2438"/>
      <w:r w:rsidRPr="00261B7A">
        <w:t xml:space="preserve">7.1.4 </w:t>
      </w:r>
      <w:r w:rsidRPr="00261B7A">
        <w:tab/>
        <w:t>Methodological issues for the Waste sector</w:t>
      </w:r>
    </w:p>
    <w:p w14:paraId="414C3CBA" w14:textId="77777777" w:rsidR="00422EFE" w:rsidRPr="00261B7A" w:rsidRDefault="00422EFE" w:rsidP="00422EFE">
      <w:pPr>
        <w:pStyle w:val="BodyText"/>
      </w:pPr>
      <w:r w:rsidRPr="00261B7A">
        <w:t>Activity data have come from a variety of sources. Municipal solid waste disposal data, from mandatory reporting under the Waste Minimisation Act 2008 and from the NZ ETS, were used for the years for which they are available (2010 onwards). Activity data for all other sources were based on specific surveys. Interpolation based on gross domestic product (GDP) or population is used for other years.</w:t>
      </w:r>
    </w:p>
    <w:p w14:paraId="24C2900D" w14:textId="77777777" w:rsidR="00422EFE" w:rsidRPr="00261B7A" w:rsidRDefault="00422EFE" w:rsidP="00422EFE">
      <w:pPr>
        <w:pStyle w:val="BodyText"/>
      </w:pPr>
      <w:r w:rsidRPr="00261B7A">
        <w:t xml:space="preserve">New Zealand uses Tier 2 methodologies for estimating emissions from the </w:t>
      </w:r>
      <w:r w:rsidRPr="00261B7A">
        <w:rPr>
          <w:i/>
          <w:iCs/>
        </w:rPr>
        <w:t>Solid waste disposal</w:t>
      </w:r>
      <w:r w:rsidRPr="00261B7A">
        <w:t xml:space="preserve"> source category, which is a key category, and for some wastewater emissions. Tier 1 methods are used to estimate other emissions from the Waste sector.</w:t>
      </w:r>
    </w:p>
    <w:p w14:paraId="571D0C73" w14:textId="77777777" w:rsidR="00422EFE" w:rsidRPr="00261B7A" w:rsidRDefault="00422EFE" w:rsidP="00422EFE">
      <w:pPr>
        <w:pStyle w:val="BodyText"/>
      </w:pPr>
      <w:r w:rsidRPr="00261B7A">
        <w:t>Country-specific emission factors have been used where available, including parameters for municipal waste (Eunomia, unpublished(a)) and for treatment of some types of industrial wastewater (Cardno, unpublished).</w:t>
      </w:r>
    </w:p>
    <w:p w14:paraId="10738DCB" w14:textId="77777777" w:rsidR="00422EFE" w:rsidRPr="00261B7A" w:rsidRDefault="00422EFE" w:rsidP="00422EFE">
      <w:pPr>
        <w:pStyle w:val="BodyText"/>
      </w:pPr>
      <w:r w:rsidRPr="00261B7A">
        <w:t xml:space="preserve">Methodological issues are discussed under each source category in this chapter. </w:t>
      </w:r>
    </w:p>
    <w:p w14:paraId="3C135B72" w14:textId="77777777" w:rsidR="00422EFE" w:rsidRPr="00261B7A" w:rsidRDefault="00422EFE" w:rsidP="00422EFE">
      <w:pPr>
        <w:pStyle w:val="Heading3"/>
      </w:pPr>
      <w:bookmarkStart w:id="2442" w:name="uncertainties"/>
      <w:bookmarkEnd w:id="2441"/>
      <w:r w:rsidRPr="00261B7A">
        <w:t xml:space="preserve">7.1.5 </w:t>
      </w:r>
      <w:r w:rsidRPr="00261B7A">
        <w:tab/>
        <w:t>Uncertainties</w:t>
      </w:r>
    </w:p>
    <w:p w14:paraId="4DA7EED1" w14:textId="77777777" w:rsidR="00422EFE" w:rsidRPr="00261B7A" w:rsidRDefault="00422EFE" w:rsidP="00422EFE">
      <w:pPr>
        <w:pStyle w:val="BodyText"/>
      </w:pPr>
      <w:r w:rsidRPr="00261B7A">
        <w:t>The uncertainties for emission estimates are discussed under each category in this chapter. For most sources, they conform to default uncertainties in the 2006 Intergovernmental Panel on Climate Change (IPCC) Guidelines (IPCC, 2006a). Much higher uncertainties are reported for unmanaged waste due to uncertainty in the activity data, and for indirect N</w:t>
      </w:r>
      <w:r w:rsidRPr="00261B7A">
        <w:rPr>
          <w:vertAlign w:val="subscript"/>
        </w:rPr>
        <w:t>2</w:t>
      </w:r>
      <w:r w:rsidRPr="00261B7A">
        <w:t>O emissions from wastewater going into rivers and seawater due to uncertainty in the emission factors.</w:t>
      </w:r>
    </w:p>
    <w:p w14:paraId="3E81AFED" w14:textId="77777777" w:rsidR="00422EFE" w:rsidRPr="00261B7A" w:rsidRDefault="00422EFE" w:rsidP="00422EFE">
      <w:pPr>
        <w:pStyle w:val="Heading3"/>
      </w:pPr>
      <w:bookmarkStart w:id="2443" w:name="verification"/>
      <w:bookmarkEnd w:id="2442"/>
      <w:r w:rsidRPr="00261B7A">
        <w:t xml:space="preserve">7.1.6 </w:t>
      </w:r>
      <w:r w:rsidRPr="00261B7A">
        <w:tab/>
        <w:t>Verification</w:t>
      </w:r>
    </w:p>
    <w:p w14:paraId="1046F570" w14:textId="77777777" w:rsidR="00422EFE" w:rsidRPr="00261B7A" w:rsidRDefault="00422EFE" w:rsidP="00422EFE">
      <w:pPr>
        <w:pStyle w:val="BodyText"/>
      </w:pPr>
      <w:r w:rsidRPr="00261B7A">
        <w:t>Where available, data from different sources were used for verification. All of the municipal landfills report their activity data either monthly or annually under the requirements of the Waste Minimisation Act 2008. In addition, most of these landfills also report activity data and estimated emissions (by mass balance) as part of the NZ ETS. These data sources are used as primary sources or for verification, as appropriate.</w:t>
      </w:r>
    </w:p>
    <w:p w14:paraId="0D42711A" w14:textId="77777777" w:rsidR="00422EFE" w:rsidRPr="00261B7A" w:rsidRDefault="00422EFE" w:rsidP="00422EFE">
      <w:pPr>
        <w:pStyle w:val="BodyText"/>
      </w:pPr>
      <w:r w:rsidRPr="00261B7A">
        <w:t>Data on wastewater treatment have been obtained from surveys.</w:t>
      </w:r>
    </w:p>
    <w:p w14:paraId="48F9BAC0" w14:textId="77777777" w:rsidR="00422EFE" w:rsidRPr="00261B7A" w:rsidRDefault="00422EFE" w:rsidP="00422EFE">
      <w:pPr>
        <w:pStyle w:val="Heading3"/>
      </w:pPr>
      <w:bookmarkStart w:id="2444" w:name="recalculations-and-improvements"/>
      <w:bookmarkEnd w:id="2443"/>
      <w:r w:rsidRPr="00261B7A">
        <w:t xml:space="preserve">7.1.7 </w:t>
      </w:r>
      <w:r w:rsidRPr="00261B7A">
        <w:tab/>
        <w:t>Recalculations and improvements</w:t>
      </w:r>
    </w:p>
    <w:p w14:paraId="2F7E3C74" w14:textId="77777777" w:rsidR="00422EFE" w:rsidRPr="00261B7A" w:rsidRDefault="00422EFE" w:rsidP="00422EFE">
      <w:pPr>
        <w:pStyle w:val="BodyText"/>
      </w:pPr>
      <w:r w:rsidRPr="00261B7A">
        <w:t>Improvements and recalculations made to estimates in the Waste sector have resulted in a 0.04 per cent (1.5 kt CO</w:t>
      </w:r>
      <w:r w:rsidRPr="00261B7A">
        <w:rPr>
          <w:vertAlign w:val="subscript"/>
        </w:rPr>
        <w:t>2</w:t>
      </w:r>
      <w:r w:rsidRPr="00261B7A">
        <w:t>-e) increase in emissions in 1990 and a 0.1 per cent (2.4 kt CO</w:t>
      </w:r>
      <w:r w:rsidRPr="00261B7A">
        <w:rPr>
          <w:vertAlign w:val="subscript"/>
        </w:rPr>
        <w:t>2</w:t>
      </w:r>
      <w:r w:rsidRPr="00261B7A">
        <w:t>-e) decrease in emissions in 2020.</w:t>
      </w:r>
    </w:p>
    <w:p w14:paraId="18E20CC7" w14:textId="77777777" w:rsidR="00422EFE" w:rsidRPr="00261B7A" w:rsidRDefault="00422EFE" w:rsidP="00422EFE">
      <w:pPr>
        <w:pStyle w:val="BodyText"/>
      </w:pPr>
      <w:r w:rsidRPr="00261B7A">
        <w:t>Minor changes have been made that affect emissions as follows.</w:t>
      </w:r>
    </w:p>
    <w:p w14:paraId="3310F194" w14:textId="77777777" w:rsidR="00422EFE" w:rsidRPr="00261B7A" w:rsidRDefault="00422EFE" w:rsidP="00422EFE">
      <w:pPr>
        <w:pStyle w:val="Bullet"/>
      </w:pPr>
      <w:r w:rsidRPr="00261B7A">
        <w:t xml:space="preserve">Accuracy: activity data for </w:t>
      </w:r>
      <w:r w:rsidRPr="00261B7A">
        <w:rPr>
          <w:i/>
          <w:iCs/>
        </w:rPr>
        <w:t>Managed waste disposal sites</w:t>
      </w:r>
      <w:r w:rsidRPr="00261B7A">
        <w:t xml:space="preserve"> were revised for 2018, 2019 and 2020, to remove small amounts of cover material that should not be included in the waste tonnage.</w:t>
      </w:r>
    </w:p>
    <w:p w14:paraId="2C1098F4" w14:textId="77777777" w:rsidR="00422EFE" w:rsidRPr="00261B7A" w:rsidRDefault="00422EFE" w:rsidP="00422EFE">
      <w:pPr>
        <w:pStyle w:val="Bullet"/>
      </w:pPr>
      <w:r w:rsidRPr="00261B7A">
        <w:t xml:space="preserve">Accuracy: the Coulson Road landfill within the </w:t>
      </w:r>
      <w:r w:rsidRPr="00261B7A">
        <w:rPr>
          <w:i/>
          <w:iCs/>
        </w:rPr>
        <w:t>Managed waste disposal sites</w:t>
      </w:r>
      <w:r w:rsidRPr="00261B7A">
        <w:t xml:space="preserve"> category stopped accepting waste in 2019, and, as a result, the landfill gas capture rate was revised for the entire duration of gas capture beginning in 2018 from 68 per cent to 52 per cent, which is the value for closed sites. Further, the Victoria Flats landfill had a gas capture system installed during 2021, and the estimate for 2021 reflects this.</w:t>
      </w:r>
    </w:p>
    <w:p w14:paraId="13C8887C" w14:textId="77777777" w:rsidR="00422EFE" w:rsidRPr="00261B7A" w:rsidRDefault="00422EFE" w:rsidP="00422EFE">
      <w:pPr>
        <w:pStyle w:val="Bullet"/>
      </w:pPr>
      <w:r w:rsidRPr="00261B7A">
        <w:t xml:space="preserve">Completeness: activity data for </w:t>
      </w:r>
      <w:r w:rsidRPr="00261B7A">
        <w:rPr>
          <w:i/>
          <w:iCs/>
        </w:rPr>
        <w:t>Composting</w:t>
      </w:r>
      <w:r w:rsidRPr="00261B7A">
        <w:t xml:space="preserve"> is revised upward to account for the effects of policy actions beginning in 2020.</w:t>
      </w:r>
    </w:p>
    <w:p w14:paraId="0F28A73C" w14:textId="77777777" w:rsidR="00422EFE" w:rsidRPr="00261B7A" w:rsidRDefault="00422EFE" w:rsidP="00422EFE">
      <w:pPr>
        <w:pStyle w:val="Bullet"/>
      </w:pPr>
      <w:r w:rsidRPr="00261B7A">
        <w:t xml:space="preserve">Accuracy: activity data for </w:t>
      </w:r>
      <w:r w:rsidRPr="00261B7A">
        <w:rPr>
          <w:i/>
          <w:iCs/>
        </w:rPr>
        <w:t>Industrial wastewater</w:t>
      </w:r>
      <w:r w:rsidRPr="00261B7A">
        <w:t xml:space="preserve"> is revised for the paper and paperboard and wood pulp industries due to revised statistics.</w:t>
      </w:r>
    </w:p>
    <w:p w14:paraId="25A46664" w14:textId="77777777" w:rsidR="00422EFE" w:rsidRPr="00261B7A" w:rsidRDefault="00422EFE" w:rsidP="00422EFE">
      <w:pPr>
        <w:pStyle w:val="BodyText"/>
      </w:pPr>
      <w:r w:rsidRPr="00261B7A">
        <w:t>Further details can be found under methodological issues for each source category and also in chapter 10.</w:t>
      </w:r>
    </w:p>
    <w:p w14:paraId="2EF8C9A5" w14:textId="77777777" w:rsidR="00422EFE" w:rsidRPr="00261B7A" w:rsidRDefault="00422EFE" w:rsidP="00422EFE">
      <w:pPr>
        <w:pStyle w:val="Heading3"/>
      </w:pPr>
      <w:bookmarkStart w:id="2445" w:name="X1f698cc084c84463889f5fff1260c8c66d2e4cc"/>
      <w:bookmarkEnd w:id="2444"/>
      <w:r w:rsidRPr="00261B7A">
        <w:t xml:space="preserve">7.1.8 </w:t>
      </w:r>
      <w:r w:rsidRPr="00261B7A">
        <w:tab/>
        <w:t>Quality-assurance/quality-control (QA/QC) processes</w:t>
      </w:r>
    </w:p>
    <w:p w14:paraId="195C8514" w14:textId="77777777" w:rsidR="00422EFE" w:rsidRPr="00261B7A" w:rsidRDefault="00422EFE" w:rsidP="00422EFE">
      <w:pPr>
        <w:pStyle w:val="BodyText"/>
      </w:pPr>
      <w:r w:rsidRPr="00261B7A">
        <w:t>Figure 7.1.4 shows a flow diagram for data in the Waste sector, including quality-assurance and quality-control processes. Tier 1 quality checks were carried out on all data for key categories in this sector.</w:t>
      </w:r>
    </w:p>
    <w:p w14:paraId="0D6A0458" w14:textId="77777777" w:rsidR="00422EFE" w:rsidRPr="00261B7A" w:rsidRDefault="00422EFE" w:rsidP="00422EFE">
      <w:pPr>
        <w:pStyle w:val="Figure"/>
      </w:pPr>
      <w:bookmarkStart w:id="2446" w:name="_Toc130211459"/>
      <w:bookmarkStart w:id="2447" w:name="_Toc131591580"/>
      <w:r w:rsidRPr="00261B7A">
        <w:t xml:space="preserve">Figure 7.1.4 </w:t>
      </w:r>
      <w:r w:rsidRPr="00261B7A">
        <w:tab/>
        <w:t>Tier 1 quality checks for the Waste sector</w:t>
      </w:r>
      <w:bookmarkEnd w:id="2446"/>
      <w:bookmarkEnd w:id="2447"/>
    </w:p>
    <w:p w14:paraId="373560A9" w14:textId="77777777" w:rsidR="00422EFE" w:rsidRPr="00261B7A" w:rsidRDefault="00422EFE" w:rsidP="00422EFE">
      <w:pPr>
        <w:pStyle w:val="BodyText"/>
        <w:spacing w:after="60"/>
        <w:jc w:val="center"/>
      </w:pPr>
      <w:r w:rsidRPr="00261B7A">
        <w:rPr>
          <w:noProof/>
        </w:rPr>
        <w:drawing>
          <wp:inline distT="0" distB="0" distL="0" distR="0" wp14:anchorId="6C206070" wp14:editId="2628DEB1">
            <wp:extent cx="5124091" cy="4344035"/>
            <wp:effectExtent l="0" t="0" r="635" b="0"/>
            <wp:docPr id="43" name="Picture 43"/>
            <wp:cNvGraphicFramePr/>
            <a:graphic xmlns:a="http://schemas.openxmlformats.org/drawingml/2006/main">
              <a:graphicData uri="http://schemas.openxmlformats.org/drawingml/2006/picture">
                <pic:pic xmlns:pic="http://schemas.openxmlformats.org/drawingml/2006/picture">
                  <pic:nvPicPr>
                    <pic:cNvPr id="44" name="Picture" descr="images/fig_7_1_4.png"/>
                    <pic:cNvPicPr>
                      <a:picLocks noChangeAspect="1" noChangeArrowheads="1"/>
                    </pic:cNvPicPr>
                  </pic:nvPicPr>
                  <pic:blipFill rotWithShape="1">
                    <a:blip r:embed="rId239"/>
                    <a:srcRect l="2316" t="1035" r="2705"/>
                    <a:stretch/>
                  </pic:blipFill>
                  <pic:spPr bwMode="auto">
                    <a:xfrm>
                      <a:off x="0" y="0"/>
                      <a:ext cx="5125176" cy="4344954"/>
                    </a:xfrm>
                    <a:prstGeom prst="rect">
                      <a:avLst/>
                    </a:prstGeom>
                    <a:noFill/>
                    <a:ln>
                      <a:noFill/>
                    </a:ln>
                    <a:extLst>
                      <a:ext uri="{53640926-AAD7-44D8-BBD7-CCE9431645EC}">
                        <a14:shadowObscured xmlns:a14="http://schemas.microsoft.com/office/drawing/2010/main"/>
                      </a:ext>
                    </a:extLst>
                  </pic:spPr>
                </pic:pic>
              </a:graphicData>
            </a:graphic>
          </wp:inline>
        </w:drawing>
      </w:r>
    </w:p>
    <w:p w14:paraId="15CA122F" w14:textId="77777777" w:rsidR="00422EFE" w:rsidRPr="00261B7A" w:rsidRDefault="00422EFE" w:rsidP="00A638DC">
      <w:pPr>
        <w:pStyle w:val="Heading2"/>
      </w:pPr>
      <w:bookmarkStart w:id="2448" w:name="_Toc131591261"/>
      <w:bookmarkStart w:id="2449" w:name="solid-waste-disposal-5.a"/>
      <w:bookmarkEnd w:id="2424"/>
      <w:bookmarkEnd w:id="2445"/>
      <w:r w:rsidRPr="00261B7A">
        <w:t xml:space="preserve">7.2 </w:t>
      </w:r>
      <w:r w:rsidRPr="00261B7A">
        <w:tab/>
        <w:t>Solid waste disposal (5.A)</w:t>
      </w:r>
      <w:bookmarkEnd w:id="2448"/>
    </w:p>
    <w:p w14:paraId="04283FF0" w14:textId="77777777" w:rsidR="00422EFE" w:rsidRPr="00261B7A" w:rsidRDefault="00422EFE" w:rsidP="002D3152">
      <w:pPr>
        <w:pStyle w:val="Heading3"/>
        <w:spacing w:before="180"/>
      </w:pPr>
      <w:bookmarkStart w:id="2450" w:name="description"/>
      <w:r w:rsidRPr="00261B7A">
        <w:t xml:space="preserve">7.2.1 </w:t>
      </w:r>
      <w:r w:rsidRPr="00261B7A">
        <w:tab/>
        <w:t>Description</w:t>
      </w:r>
    </w:p>
    <w:p w14:paraId="172989C5" w14:textId="77777777" w:rsidR="00422EFE" w:rsidRPr="00261B7A" w:rsidRDefault="00422EFE" w:rsidP="00422EFE">
      <w:pPr>
        <w:pStyle w:val="BodyText"/>
        <w:spacing w:after="100"/>
      </w:pPr>
      <w:r w:rsidRPr="00261B7A">
        <w:t>Household, industrial and commercial</w:t>
      </w:r>
      <w:r w:rsidRPr="00261B7A">
        <w:rPr>
          <w:rStyle w:val="FootnoteReference"/>
        </w:rPr>
        <w:footnoteReference w:id="67"/>
      </w:r>
      <w:r w:rsidRPr="00261B7A">
        <w:t xml:space="preserve"> solid waste in New Zealand is disposed of almost exclusively to landfills, except for about half of all farm waste, which is disposed by open burning. The three broad types of landfill sites in New Zealand are:</w:t>
      </w:r>
    </w:p>
    <w:p w14:paraId="2F970B28" w14:textId="77777777" w:rsidR="00422EFE" w:rsidRPr="00261B7A" w:rsidRDefault="00422EFE" w:rsidP="00F233E6">
      <w:pPr>
        <w:pStyle w:val="Numberedparagraph"/>
        <w:numPr>
          <w:ilvl w:val="0"/>
          <w:numId w:val="35"/>
        </w:numPr>
      </w:pPr>
      <w:r w:rsidRPr="00261B7A">
        <w:t>municipal landfills, which are used for disposal of household waste but also accept industrial waste or other types of solid waste</w:t>
      </w:r>
    </w:p>
    <w:p w14:paraId="5093C709" w14:textId="77777777" w:rsidR="00422EFE" w:rsidRPr="00261B7A" w:rsidRDefault="00422EFE" w:rsidP="00B85E7F">
      <w:pPr>
        <w:pStyle w:val="Numberedparagraph"/>
      </w:pPr>
      <w:r w:rsidRPr="00261B7A">
        <w:t>non-municipal landfills, including cleanfills (sites disposing of largely inert waste), industrial fills and sites that dispose of construction and demolition waste</w:t>
      </w:r>
    </w:p>
    <w:p w14:paraId="50478560" w14:textId="77777777" w:rsidR="00422EFE" w:rsidRPr="00261B7A" w:rsidRDefault="00422EFE" w:rsidP="00B85E7F">
      <w:pPr>
        <w:pStyle w:val="Numberedparagraph"/>
      </w:pPr>
      <w:r w:rsidRPr="00261B7A">
        <w:t>farm fills, which are used for disposal of household and other on-farm waste to land. Disposal of waste to land (in addition to open burning) is prevalent on farms in New Zealand.</w:t>
      </w:r>
    </w:p>
    <w:p w14:paraId="62D49D4C" w14:textId="77777777" w:rsidR="00422EFE" w:rsidRPr="00261B7A" w:rsidRDefault="00422EFE" w:rsidP="00422EFE">
      <w:pPr>
        <w:pStyle w:val="BodyText"/>
        <w:spacing w:before="100"/>
      </w:pPr>
      <w:r w:rsidRPr="00261B7A">
        <w:t>These types of landfill sites map on to the CRF tables, as shown in table 7.2.1. All currently operational municipal landfill sites are managed sites (IPCC, 2006a) but, due to first-order decay, some emissions continue to come from uncategorised municipal landfill sites, which were in operation before 2010.</w:t>
      </w:r>
    </w:p>
    <w:p w14:paraId="11A35C41" w14:textId="77777777" w:rsidR="00422EFE" w:rsidRPr="00261B7A" w:rsidRDefault="00422EFE" w:rsidP="00422EFE">
      <w:pPr>
        <w:pStyle w:val="Table"/>
      </w:pPr>
      <w:bookmarkStart w:id="2451" w:name="_Toc128383662"/>
      <w:bookmarkStart w:id="2452" w:name="_Toc131591435"/>
      <w:r w:rsidRPr="00261B7A">
        <w:t xml:space="preserve">Table 7.2.1 </w:t>
      </w:r>
      <w:r w:rsidRPr="00261B7A">
        <w:tab/>
        <w:t>Landfill emissions in the common reporting format table</w:t>
      </w:r>
      <w:bookmarkEnd w:id="2451"/>
      <w:bookmarkEnd w:id="2452"/>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843"/>
        <w:gridCol w:w="2693"/>
        <w:gridCol w:w="3969"/>
      </w:tblGrid>
      <w:tr w:rsidR="00422EFE" w:rsidRPr="00261B7A" w14:paraId="10ADE7F7" w14:textId="77777777" w:rsidTr="00D41492">
        <w:trPr>
          <w:tblHeader/>
        </w:trPr>
        <w:tc>
          <w:tcPr>
            <w:tcW w:w="1843" w:type="dxa"/>
            <w:shd w:val="clear" w:color="auto" w:fill="1B556B"/>
            <w:tcMar>
              <w:top w:w="0" w:type="dxa"/>
              <w:left w:w="108" w:type="dxa"/>
              <w:bottom w:w="0" w:type="dxa"/>
              <w:right w:w="108" w:type="dxa"/>
            </w:tcMar>
            <w:vAlign w:val="bottom"/>
          </w:tcPr>
          <w:p w14:paraId="4316F5D1" w14:textId="77777777" w:rsidR="00422EFE" w:rsidRPr="00261B7A" w:rsidRDefault="00422EFE" w:rsidP="00D41492">
            <w:pPr>
              <w:pStyle w:val="TableTextBold"/>
              <w:spacing w:before="40" w:after="40"/>
              <w:rPr>
                <w:noProof w:val="0"/>
                <w:color w:val="FFFFFF" w:themeColor="background1"/>
              </w:rPr>
            </w:pPr>
            <w:r w:rsidRPr="00261B7A">
              <w:rPr>
                <w:rFonts w:eastAsia="Calibri"/>
                <w:noProof w:val="0"/>
                <w:color w:val="FFFFFF" w:themeColor="background1"/>
              </w:rPr>
              <w:t>CRF category code</w:t>
            </w:r>
          </w:p>
        </w:tc>
        <w:tc>
          <w:tcPr>
            <w:tcW w:w="2693" w:type="dxa"/>
            <w:shd w:val="clear" w:color="auto" w:fill="1B556B"/>
            <w:tcMar>
              <w:top w:w="0" w:type="dxa"/>
              <w:left w:w="108" w:type="dxa"/>
              <w:bottom w:w="0" w:type="dxa"/>
              <w:right w:w="108" w:type="dxa"/>
            </w:tcMar>
            <w:vAlign w:val="bottom"/>
          </w:tcPr>
          <w:p w14:paraId="62E12259" w14:textId="77777777" w:rsidR="00422EFE" w:rsidRPr="00261B7A" w:rsidRDefault="00422EFE" w:rsidP="00D41492">
            <w:pPr>
              <w:pStyle w:val="TableTextBold"/>
              <w:spacing w:before="40" w:after="40"/>
              <w:rPr>
                <w:noProof w:val="0"/>
                <w:color w:val="FFFFFF" w:themeColor="background1"/>
              </w:rPr>
            </w:pPr>
            <w:r w:rsidRPr="00261B7A">
              <w:rPr>
                <w:rFonts w:eastAsia="Calibri"/>
                <w:noProof w:val="0"/>
                <w:color w:val="FFFFFF" w:themeColor="background1"/>
              </w:rPr>
              <w:t>Landfill type using New Zealand terminology</w:t>
            </w:r>
          </w:p>
        </w:tc>
        <w:tc>
          <w:tcPr>
            <w:tcW w:w="3969" w:type="dxa"/>
            <w:shd w:val="clear" w:color="auto" w:fill="1B556B"/>
            <w:tcMar>
              <w:top w:w="0" w:type="dxa"/>
              <w:left w:w="108" w:type="dxa"/>
              <w:bottom w:w="0" w:type="dxa"/>
              <w:right w:w="108" w:type="dxa"/>
            </w:tcMar>
            <w:vAlign w:val="bottom"/>
          </w:tcPr>
          <w:p w14:paraId="71EF9ED9" w14:textId="77777777" w:rsidR="00422EFE" w:rsidRPr="00261B7A" w:rsidRDefault="00422EFE" w:rsidP="00D41492">
            <w:pPr>
              <w:pStyle w:val="TableTextBold"/>
              <w:spacing w:before="40" w:after="40"/>
              <w:rPr>
                <w:noProof w:val="0"/>
                <w:color w:val="FFFFFF" w:themeColor="background1"/>
              </w:rPr>
            </w:pPr>
            <w:r w:rsidRPr="00261B7A">
              <w:rPr>
                <w:rFonts w:eastAsia="Calibri"/>
                <w:noProof w:val="0"/>
                <w:color w:val="FFFFFF" w:themeColor="background1"/>
              </w:rPr>
              <w:t>Comment</w:t>
            </w:r>
          </w:p>
        </w:tc>
      </w:tr>
      <w:tr w:rsidR="00422EFE" w:rsidRPr="00261B7A" w14:paraId="6C5DB210" w14:textId="77777777" w:rsidTr="00D41492">
        <w:tc>
          <w:tcPr>
            <w:tcW w:w="1843" w:type="dxa"/>
            <w:shd w:val="clear" w:color="auto" w:fill="FFFFFF"/>
            <w:tcMar>
              <w:top w:w="0" w:type="dxa"/>
              <w:left w:w="108" w:type="dxa"/>
              <w:bottom w:w="0" w:type="dxa"/>
              <w:right w:w="108" w:type="dxa"/>
            </w:tcMar>
          </w:tcPr>
          <w:p w14:paraId="7AA8AF64" w14:textId="77777777" w:rsidR="00422EFE" w:rsidRPr="00261B7A" w:rsidRDefault="00422EFE" w:rsidP="00D41492">
            <w:pPr>
              <w:pStyle w:val="TableText"/>
              <w:spacing w:before="40" w:after="40"/>
            </w:pPr>
            <w:r w:rsidRPr="00261B7A">
              <w:rPr>
                <w:rFonts w:eastAsia="Calibri"/>
                <w:color w:val="000000"/>
              </w:rPr>
              <w:t>5.A.1.a (Anaerobic)</w:t>
            </w:r>
          </w:p>
        </w:tc>
        <w:tc>
          <w:tcPr>
            <w:tcW w:w="2693" w:type="dxa"/>
            <w:shd w:val="clear" w:color="auto" w:fill="FFFFFF"/>
            <w:tcMar>
              <w:top w:w="0" w:type="dxa"/>
              <w:left w:w="108" w:type="dxa"/>
              <w:bottom w:w="0" w:type="dxa"/>
              <w:right w:w="108" w:type="dxa"/>
            </w:tcMar>
          </w:tcPr>
          <w:p w14:paraId="345D862A" w14:textId="77777777" w:rsidR="00422EFE" w:rsidRPr="00261B7A" w:rsidRDefault="00422EFE" w:rsidP="00D41492">
            <w:pPr>
              <w:pStyle w:val="TableText"/>
              <w:spacing w:before="40" w:after="40"/>
            </w:pPr>
            <w:r w:rsidRPr="00261B7A">
              <w:rPr>
                <w:rFonts w:eastAsia="Calibri"/>
                <w:color w:val="000000"/>
              </w:rPr>
              <w:t>Managed municipal landfills (Class 1)</w:t>
            </w:r>
          </w:p>
        </w:tc>
        <w:tc>
          <w:tcPr>
            <w:tcW w:w="3969" w:type="dxa"/>
            <w:shd w:val="clear" w:color="auto" w:fill="FFFFFF"/>
            <w:tcMar>
              <w:top w:w="0" w:type="dxa"/>
              <w:left w:w="108" w:type="dxa"/>
              <w:bottom w:w="0" w:type="dxa"/>
              <w:right w:w="108" w:type="dxa"/>
            </w:tcMar>
          </w:tcPr>
          <w:p w14:paraId="02F0D666" w14:textId="77777777" w:rsidR="00422EFE" w:rsidRPr="00261B7A" w:rsidRDefault="00422EFE" w:rsidP="00D41492">
            <w:pPr>
              <w:pStyle w:val="TableText"/>
              <w:spacing w:before="40" w:after="40"/>
            </w:pPr>
            <w:r w:rsidRPr="00261B7A">
              <w:rPr>
                <w:rFonts w:eastAsia="Calibri"/>
                <w:color w:val="000000"/>
              </w:rPr>
              <w:t>Includes all currently operational municipal landfill sites and all sites with gas recovery</w:t>
            </w:r>
          </w:p>
        </w:tc>
      </w:tr>
      <w:tr w:rsidR="00422EFE" w:rsidRPr="00261B7A" w14:paraId="75583B77" w14:textId="77777777" w:rsidTr="00D41492">
        <w:tc>
          <w:tcPr>
            <w:tcW w:w="1843" w:type="dxa"/>
            <w:shd w:val="clear" w:color="auto" w:fill="FFFFFF"/>
            <w:tcMar>
              <w:top w:w="0" w:type="dxa"/>
              <w:left w:w="108" w:type="dxa"/>
              <w:bottom w:w="0" w:type="dxa"/>
              <w:right w:w="108" w:type="dxa"/>
            </w:tcMar>
          </w:tcPr>
          <w:p w14:paraId="6184F3B1" w14:textId="77777777" w:rsidR="00422EFE" w:rsidRPr="00261B7A" w:rsidRDefault="00422EFE" w:rsidP="00D41492">
            <w:pPr>
              <w:pStyle w:val="TableText"/>
              <w:spacing w:before="40" w:after="40"/>
            </w:pPr>
            <w:r w:rsidRPr="00261B7A">
              <w:rPr>
                <w:rFonts w:eastAsia="Calibri"/>
                <w:color w:val="000000"/>
              </w:rPr>
              <w:t>5.A.1.b (Semi-aerobic)</w:t>
            </w:r>
          </w:p>
        </w:tc>
        <w:tc>
          <w:tcPr>
            <w:tcW w:w="2693" w:type="dxa"/>
            <w:shd w:val="clear" w:color="auto" w:fill="FFFFFF"/>
            <w:tcMar>
              <w:top w:w="0" w:type="dxa"/>
              <w:left w:w="108" w:type="dxa"/>
              <w:bottom w:w="0" w:type="dxa"/>
              <w:right w:w="108" w:type="dxa"/>
            </w:tcMar>
          </w:tcPr>
          <w:p w14:paraId="4485C303" w14:textId="77777777" w:rsidR="00422EFE" w:rsidRPr="00261B7A" w:rsidRDefault="00422EFE" w:rsidP="00D41492">
            <w:pPr>
              <w:pStyle w:val="TableText"/>
              <w:spacing w:before="40" w:after="40"/>
            </w:pPr>
            <w:r w:rsidRPr="00261B7A">
              <w:rPr>
                <w:rFonts w:eastAsia="Calibri"/>
                <w:color w:val="000000"/>
              </w:rPr>
              <w:t>–</w:t>
            </w:r>
          </w:p>
        </w:tc>
        <w:tc>
          <w:tcPr>
            <w:tcW w:w="3969" w:type="dxa"/>
            <w:shd w:val="clear" w:color="auto" w:fill="FFFFFF"/>
            <w:tcMar>
              <w:top w:w="0" w:type="dxa"/>
              <w:left w:w="108" w:type="dxa"/>
              <w:bottom w:w="0" w:type="dxa"/>
              <w:right w:w="108" w:type="dxa"/>
            </w:tcMar>
          </w:tcPr>
          <w:p w14:paraId="5A9731A4" w14:textId="77777777" w:rsidR="00422EFE" w:rsidRPr="00261B7A" w:rsidRDefault="00422EFE" w:rsidP="00D41492">
            <w:pPr>
              <w:pStyle w:val="TableText"/>
              <w:spacing w:before="40" w:after="40"/>
            </w:pPr>
            <w:r w:rsidRPr="00261B7A">
              <w:rPr>
                <w:rFonts w:eastAsia="Calibri"/>
                <w:color w:val="000000"/>
              </w:rPr>
              <w:t>No semi-aerobic landfill sites identified in New Zealand</w:t>
            </w:r>
          </w:p>
        </w:tc>
      </w:tr>
      <w:tr w:rsidR="00422EFE" w:rsidRPr="00261B7A" w14:paraId="5488D438" w14:textId="77777777" w:rsidTr="00D41492">
        <w:tc>
          <w:tcPr>
            <w:tcW w:w="1843" w:type="dxa"/>
            <w:shd w:val="clear" w:color="auto" w:fill="FFFFFF"/>
            <w:tcMar>
              <w:top w:w="0" w:type="dxa"/>
              <w:left w:w="108" w:type="dxa"/>
              <w:bottom w:w="0" w:type="dxa"/>
              <w:right w:w="108" w:type="dxa"/>
            </w:tcMar>
          </w:tcPr>
          <w:p w14:paraId="54EE2ABB" w14:textId="77777777" w:rsidR="00422EFE" w:rsidRPr="00261B7A" w:rsidRDefault="00422EFE" w:rsidP="00D41492">
            <w:pPr>
              <w:pStyle w:val="TableText"/>
              <w:spacing w:before="40" w:after="40"/>
            </w:pPr>
            <w:r w:rsidRPr="00261B7A">
              <w:rPr>
                <w:rFonts w:eastAsia="Calibri"/>
                <w:color w:val="000000"/>
              </w:rPr>
              <w:t>5.A.2 (Unmanaged)</w:t>
            </w:r>
          </w:p>
        </w:tc>
        <w:tc>
          <w:tcPr>
            <w:tcW w:w="2693" w:type="dxa"/>
            <w:shd w:val="clear" w:color="auto" w:fill="FFFFFF"/>
            <w:tcMar>
              <w:top w:w="0" w:type="dxa"/>
              <w:left w:w="108" w:type="dxa"/>
              <w:bottom w:w="0" w:type="dxa"/>
              <w:right w:w="108" w:type="dxa"/>
            </w:tcMar>
          </w:tcPr>
          <w:p w14:paraId="4FEA345B" w14:textId="77777777" w:rsidR="00422EFE" w:rsidRPr="00261B7A" w:rsidRDefault="00422EFE" w:rsidP="00D41492">
            <w:pPr>
              <w:pStyle w:val="TableText"/>
              <w:spacing w:before="40" w:after="40"/>
            </w:pPr>
            <w:r w:rsidRPr="00261B7A">
              <w:rPr>
                <w:rFonts w:eastAsia="Calibri"/>
                <w:color w:val="000000"/>
              </w:rPr>
              <w:t>Non-municipal landfills (Classes 2–5)</w:t>
            </w:r>
          </w:p>
        </w:tc>
        <w:tc>
          <w:tcPr>
            <w:tcW w:w="3969" w:type="dxa"/>
            <w:shd w:val="clear" w:color="auto" w:fill="FFFFFF"/>
            <w:tcMar>
              <w:top w:w="0" w:type="dxa"/>
              <w:left w:w="108" w:type="dxa"/>
              <w:bottom w:w="0" w:type="dxa"/>
              <w:right w:w="108" w:type="dxa"/>
            </w:tcMar>
          </w:tcPr>
          <w:p w14:paraId="66E75A87" w14:textId="77777777" w:rsidR="00422EFE" w:rsidRPr="00261B7A" w:rsidRDefault="00422EFE" w:rsidP="00D41492">
            <w:pPr>
              <w:pStyle w:val="TableText"/>
              <w:spacing w:before="40" w:after="40"/>
            </w:pPr>
            <w:r w:rsidRPr="00261B7A">
              <w:rPr>
                <w:rFonts w:eastAsia="Calibri"/>
                <w:color w:val="000000"/>
              </w:rPr>
              <w:t>Includes industrial landfills</w:t>
            </w:r>
          </w:p>
        </w:tc>
      </w:tr>
      <w:tr w:rsidR="00422EFE" w:rsidRPr="00261B7A" w14:paraId="45195AE3" w14:textId="77777777" w:rsidTr="00D41492">
        <w:tc>
          <w:tcPr>
            <w:tcW w:w="1843" w:type="dxa"/>
            <w:shd w:val="clear" w:color="auto" w:fill="FFFFFF"/>
            <w:tcMar>
              <w:top w:w="0" w:type="dxa"/>
              <w:left w:w="108" w:type="dxa"/>
              <w:bottom w:w="0" w:type="dxa"/>
              <w:right w:w="108" w:type="dxa"/>
            </w:tcMar>
          </w:tcPr>
          <w:p w14:paraId="204246C1" w14:textId="77777777" w:rsidR="00422EFE" w:rsidRPr="00261B7A" w:rsidRDefault="00422EFE" w:rsidP="00D41492">
            <w:pPr>
              <w:pStyle w:val="TableText"/>
              <w:spacing w:before="40" w:after="40"/>
            </w:pPr>
            <w:r w:rsidRPr="00261B7A">
              <w:rPr>
                <w:rFonts w:eastAsia="Calibri"/>
                <w:color w:val="000000"/>
              </w:rPr>
              <w:t>5.A.2 (Unmanaged)</w:t>
            </w:r>
          </w:p>
        </w:tc>
        <w:tc>
          <w:tcPr>
            <w:tcW w:w="2693" w:type="dxa"/>
            <w:shd w:val="clear" w:color="auto" w:fill="FFFFFF"/>
            <w:tcMar>
              <w:top w:w="0" w:type="dxa"/>
              <w:left w:w="108" w:type="dxa"/>
              <w:bottom w:w="0" w:type="dxa"/>
              <w:right w:w="108" w:type="dxa"/>
            </w:tcMar>
          </w:tcPr>
          <w:p w14:paraId="29A12EDC" w14:textId="77777777" w:rsidR="00422EFE" w:rsidRPr="00261B7A" w:rsidRDefault="00422EFE" w:rsidP="00D41492">
            <w:pPr>
              <w:pStyle w:val="TableText"/>
              <w:spacing w:before="40" w:after="40"/>
            </w:pPr>
            <w:r w:rsidRPr="00261B7A">
              <w:rPr>
                <w:rFonts w:eastAsia="Calibri"/>
                <w:color w:val="000000"/>
              </w:rPr>
              <w:t>Farm fills</w:t>
            </w:r>
          </w:p>
        </w:tc>
        <w:tc>
          <w:tcPr>
            <w:tcW w:w="3969" w:type="dxa"/>
            <w:shd w:val="clear" w:color="auto" w:fill="FFFFFF"/>
            <w:tcMar>
              <w:top w:w="0" w:type="dxa"/>
              <w:left w:w="108" w:type="dxa"/>
              <w:bottom w:w="0" w:type="dxa"/>
              <w:right w:w="108" w:type="dxa"/>
            </w:tcMar>
          </w:tcPr>
          <w:p w14:paraId="278F721C" w14:textId="77777777" w:rsidR="00422EFE" w:rsidRPr="00261B7A" w:rsidRDefault="00422EFE" w:rsidP="00D41492">
            <w:pPr>
              <w:pStyle w:val="TableText"/>
              <w:spacing w:before="40" w:after="40"/>
            </w:pPr>
            <w:r w:rsidRPr="00261B7A">
              <w:rPr>
                <w:rFonts w:eastAsia="Calibri"/>
                <w:color w:val="000000"/>
              </w:rPr>
              <w:t>Disposal of about half of farm waste</w:t>
            </w:r>
          </w:p>
        </w:tc>
      </w:tr>
      <w:tr w:rsidR="00422EFE" w:rsidRPr="00261B7A" w14:paraId="730B3070" w14:textId="77777777" w:rsidTr="00D41492">
        <w:tc>
          <w:tcPr>
            <w:tcW w:w="1843" w:type="dxa"/>
            <w:shd w:val="clear" w:color="auto" w:fill="FFFFFF"/>
            <w:tcMar>
              <w:top w:w="0" w:type="dxa"/>
              <w:left w:w="108" w:type="dxa"/>
              <w:bottom w:w="0" w:type="dxa"/>
              <w:right w:w="108" w:type="dxa"/>
            </w:tcMar>
          </w:tcPr>
          <w:p w14:paraId="78C09193" w14:textId="77777777" w:rsidR="00422EFE" w:rsidRPr="00261B7A" w:rsidRDefault="00422EFE" w:rsidP="00D41492">
            <w:pPr>
              <w:pStyle w:val="TableText"/>
              <w:spacing w:before="40" w:after="40"/>
            </w:pPr>
            <w:r w:rsidRPr="00261B7A">
              <w:rPr>
                <w:rFonts w:eastAsia="Calibri"/>
                <w:color w:val="000000"/>
              </w:rPr>
              <w:t>5.A.3 (Uncategorised)</w:t>
            </w:r>
          </w:p>
        </w:tc>
        <w:tc>
          <w:tcPr>
            <w:tcW w:w="2693" w:type="dxa"/>
            <w:shd w:val="clear" w:color="auto" w:fill="FFFFFF"/>
            <w:tcMar>
              <w:top w:w="0" w:type="dxa"/>
              <w:left w:w="108" w:type="dxa"/>
              <w:bottom w:w="0" w:type="dxa"/>
              <w:right w:w="108" w:type="dxa"/>
            </w:tcMar>
          </w:tcPr>
          <w:p w14:paraId="0E9DAFD0" w14:textId="77777777" w:rsidR="00422EFE" w:rsidRPr="00261B7A" w:rsidRDefault="00422EFE" w:rsidP="00D41492">
            <w:pPr>
              <w:pStyle w:val="TableText"/>
              <w:spacing w:before="40" w:after="40"/>
            </w:pPr>
            <w:r w:rsidRPr="00261B7A">
              <w:rPr>
                <w:rFonts w:eastAsia="Calibri"/>
                <w:color w:val="000000"/>
              </w:rPr>
              <w:t>Other municipal landfills (now closed)</w:t>
            </w:r>
          </w:p>
        </w:tc>
        <w:tc>
          <w:tcPr>
            <w:tcW w:w="3969" w:type="dxa"/>
            <w:shd w:val="clear" w:color="auto" w:fill="FFFFFF"/>
            <w:tcMar>
              <w:top w:w="0" w:type="dxa"/>
              <w:left w:w="108" w:type="dxa"/>
              <w:bottom w:w="0" w:type="dxa"/>
              <w:right w:w="108" w:type="dxa"/>
            </w:tcMar>
          </w:tcPr>
          <w:p w14:paraId="526E7855" w14:textId="77777777" w:rsidR="00422EFE" w:rsidRPr="00261B7A" w:rsidRDefault="00422EFE" w:rsidP="00D41492">
            <w:pPr>
              <w:pStyle w:val="TableText"/>
              <w:spacing w:before="40" w:after="40"/>
            </w:pPr>
            <w:r w:rsidRPr="00261B7A">
              <w:rPr>
                <w:rFonts w:eastAsia="Calibri"/>
                <w:color w:val="000000"/>
              </w:rPr>
              <w:t>While disposal is prior to 2010 only, emissions continue to be reported due to decay over time</w:t>
            </w:r>
          </w:p>
        </w:tc>
      </w:tr>
    </w:tbl>
    <w:p w14:paraId="0F4E378B" w14:textId="77777777" w:rsidR="00422EFE" w:rsidRPr="00261B7A" w:rsidRDefault="00422EFE" w:rsidP="00422EFE">
      <w:pPr>
        <w:pStyle w:val="BodyText"/>
        <w:spacing w:before="240"/>
      </w:pPr>
      <w:r w:rsidRPr="00261B7A">
        <w:t>Since 1990, several initiatives have been undertaken to improve solid waste management practices in New Zealand. These include:</w:t>
      </w:r>
    </w:p>
    <w:p w14:paraId="46B596E7" w14:textId="77777777" w:rsidR="00422EFE" w:rsidRPr="00261B7A" w:rsidRDefault="00422EFE" w:rsidP="00422EFE">
      <w:pPr>
        <w:pStyle w:val="Bullet"/>
        <w:spacing w:after="100"/>
      </w:pPr>
      <w:r w:rsidRPr="00261B7A">
        <w:t>requirements for all municipal landfills to meet resource consent conditions set under the Resource Management Act 1991</w:t>
      </w:r>
    </w:p>
    <w:p w14:paraId="3F6AF9BB" w14:textId="77777777" w:rsidR="00422EFE" w:rsidRPr="00261B7A" w:rsidRDefault="00422EFE" w:rsidP="00422EFE">
      <w:pPr>
        <w:pStyle w:val="Bullet"/>
        <w:spacing w:after="100"/>
      </w:pPr>
      <w:r w:rsidRPr="00261B7A">
        <w:t>the National Environmental Standards for Air Quality (2004) set under the Resource Management Act 1991, which require large landfills to capture landfill gas (LFG). This has significantly increased the use of LFG collection technology</w:t>
      </w:r>
    </w:p>
    <w:p w14:paraId="05FB3E4C" w14:textId="77777777" w:rsidR="00422EFE" w:rsidRPr="00261B7A" w:rsidRDefault="00422EFE" w:rsidP="00422EFE">
      <w:pPr>
        <w:pStyle w:val="Bullet"/>
        <w:spacing w:after="100"/>
      </w:pPr>
      <w:r w:rsidRPr="00261B7A">
        <w:t xml:space="preserve">guidance and direction to local government and the Waste sector through </w:t>
      </w:r>
      <w:r w:rsidRPr="00261B7A">
        <w:rPr>
          <w:i/>
          <w:iCs/>
        </w:rPr>
        <w:t>The New Zealand Waste Strategy</w:t>
      </w:r>
      <w:r w:rsidRPr="00261B7A">
        <w:t xml:space="preserve"> (Ministry for the Environment, 2002a) and its revision in 2010 (Ministry for the Environment, 2010). There is a new waste strategy currently in development as at the time of the 2023 submission</w:t>
      </w:r>
      <w:r w:rsidRPr="00261B7A">
        <w:rPr>
          <w:rStyle w:val="FootnoteReference"/>
        </w:rPr>
        <w:footnoteReference w:id="68"/>
      </w:r>
    </w:p>
    <w:p w14:paraId="1291A867" w14:textId="77777777" w:rsidR="00422EFE" w:rsidRPr="00261B7A" w:rsidRDefault="00422EFE" w:rsidP="00422EFE">
      <w:pPr>
        <w:pStyle w:val="Bullet"/>
        <w:spacing w:after="100"/>
      </w:pPr>
      <w:r w:rsidRPr="00261B7A">
        <w:t xml:space="preserve">development of the </w:t>
      </w:r>
      <w:r w:rsidRPr="00261B7A">
        <w:rPr>
          <w:i/>
          <w:iCs/>
        </w:rPr>
        <w:t>Solid Waste Analysis Protocol</w:t>
      </w:r>
      <w:r w:rsidRPr="00261B7A">
        <w:t>, which provides a consistent classification system, sampling regimes and survey procedures to estimate the composition of solid waste (Ministry for the Environment, 2002b). The Ministry for the Environment has commissioned an update to the 2002 Solid Waste Analysis Protocol, which is not yet finalised as of the 2023 submission</w:t>
      </w:r>
    </w:p>
    <w:p w14:paraId="78F63322" w14:textId="77777777" w:rsidR="00422EFE" w:rsidRPr="00261B7A" w:rsidRDefault="00422EFE" w:rsidP="00422EFE">
      <w:pPr>
        <w:pStyle w:val="Bullet"/>
        <w:spacing w:after="100"/>
      </w:pPr>
      <w:r w:rsidRPr="00261B7A">
        <w:t>the Waste Minimisation Act 2008, which imposes a levy on the disposal of municipal solid waste and enables regulations to establish product stewardship requirements and for information reporting. The levy started at NZ$10 per tonne and is increasing over time, to NZ$20 per tonne from 1 July 2021 for municipal landfills and up to NZ$60 per tonne from 1 July 2024. Further, the levy is expanding over time to numerous non-municipal landfills (construction and demolition fills) as of 1 July 2022.</w:t>
      </w:r>
    </w:p>
    <w:p w14:paraId="181496A4" w14:textId="77777777" w:rsidR="00422EFE" w:rsidRPr="00261B7A" w:rsidRDefault="00422EFE" w:rsidP="00422EFE">
      <w:pPr>
        <w:pStyle w:val="BodyText"/>
        <w:spacing w:after="100"/>
      </w:pPr>
      <w:r w:rsidRPr="00261B7A">
        <w:t>In addition, most municipal landfills are now mandatory participants in the NZ ETS with obligations to report and surrender emission units for their CH</w:t>
      </w:r>
      <w:r w:rsidRPr="00261B7A">
        <w:rPr>
          <w:vertAlign w:val="subscript"/>
        </w:rPr>
        <w:t>4</w:t>
      </w:r>
      <w:r w:rsidRPr="00261B7A">
        <w:t xml:space="preserve"> emissions estimated by mass balance.</w:t>
      </w:r>
    </w:p>
    <w:p w14:paraId="68E3CBA5" w14:textId="77777777" w:rsidR="00422EFE" w:rsidRPr="00261B7A" w:rsidRDefault="00422EFE" w:rsidP="00422EFE">
      <w:pPr>
        <w:pStyle w:val="BodyText"/>
      </w:pPr>
      <w:r w:rsidRPr="00261B7A">
        <w:t>These initiatives have contributed to substantial improvements in waste management since 1990. A large number of small, often poorly located and substandard municipal landfills have closed, and most communities are now using larger, more modern regional facilities for disposal of their waste. In 2020, 39 municipal landfill sites were active, in comparison with 327 in 1995 and 563 in 1971. These changes have occurred because the policy initiatives outlined above lead to a consolidation of solid waste into fewer, better-managed landfills. The overall volume of waste disposal to these landfills has increased over time, especially to non-municipal fills (see tables 7.2.3 and 7.2.4). The increased disposal activity and reduction in the number of landfills means the operating facilities are larger.</w:t>
      </w:r>
    </w:p>
    <w:p w14:paraId="06087062" w14:textId="77777777" w:rsidR="00422EFE" w:rsidRPr="00261B7A" w:rsidRDefault="00422EFE" w:rsidP="00422EFE">
      <w:pPr>
        <w:pStyle w:val="BodyText"/>
      </w:pPr>
      <w:r w:rsidRPr="00261B7A">
        <w:t xml:space="preserve">Non-municipal landfills and farm fills are required to comply with regional policies and plans made under the Resource Management Act 1991. For most of the time series, these facilities were not required to monitor and report the waste they accept, or to pay the waste levy or to participate in the NZ ETS. </w:t>
      </w:r>
    </w:p>
    <w:p w14:paraId="0CCC013F" w14:textId="77777777" w:rsidR="00422EFE" w:rsidRPr="00261B7A" w:rsidRDefault="00422EFE" w:rsidP="00422EFE">
      <w:pPr>
        <w:pStyle w:val="BodyText"/>
      </w:pPr>
      <w:r w:rsidRPr="00261B7A">
        <w:t xml:space="preserve">In 2021, the </w:t>
      </w:r>
      <w:r w:rsidRPr="00261B7A">
        <w:rPr>
          <w:i/>
          <w:iCs/>
        </w:rPr>
        <w:t>Solid waste disposal</w:t>
      </w:r>
      <w:r w:rsidRPr="00261B7A">
        <w:t xml:space="preserve"> source category contributed 2,578.2 kt CO</w:t>
      </w:r>
      <w:r w:rsidRPr="00261B7A">
        <w:rPr>
          <w:vertAlign w:val="subscript"/>
        </w:rPr>
        <w:t>2</w:t>
      </w:r>
      <w:r w:rsidRPr="00261B7A">
        <w:t xml:space="preserve">-e (80.2 per cent) of total emissions from the Waste sector. Emissions from </w:t>
      </w:r>
      <w:r w:rsidRPr="00261B7A">
        <w:rPr>
          <w:i/>
          <w:iCs/>
        </w:rPr>
        <w:t>Solid waste disposal</w:t>
      </w:r>
      <w:r w:rsidRPr="00261B7A">
        <w:t xml:space="preserve"> in 2021 were 740.0 kt CO</w:t>
      </w:r>
      <w:r w:rsidRPr="00261B7A">
        <w:rPr>
          <w:vertAlign w:val="subscript"/>
        </w:rPr>
        <w:t>2</w:t>
      </w:r>
      <w:r w:rsidRPr="00261B7A">
        <w:t>-e (22.3 per cent) below the 1990 level of 3,318.2 kt CO</w:t>
      </w:r>
      <w:r w:rsidRPr="00261B7A">
        <w:rPr>
          <w:vertAlign w:val="subscript"/>
        </w:rPr>
        <w:t>2</w:t>
      </w:r>
      <w:r w:rsidRPr="00261B7A">
        <w:t>-e. While there is year-to</w:t>
      </w:r>
      <w:r w:rsidRPr="00261B7A">
        <w:noBreakHyphen/>
        <w:t>year variation, this net decrease is the result of two contrary trends. First, population and economic growth have driven ongoing increases in the total and per capita amount of municipal waste generated but, secondly, changing composition over time and improved landfill management practices, particularly LFG recovery, have offset this increase, resulting in emissions peaking in 2002.</w:t>
      </w:r>
    </w:p>
    <w:p w14:paraId="095896B8" w14:textId="77777777" w:rsidR="00422EFE" w:rsidRPr="00261B7A" w:rsidRDefault="00422EFE" w:rsidP="00422EFE">
      <w:pPr>
        <w:pStyle w:val="BodyText"/>
      </w:pPr>
      <w:r w:rsidRPr="00261B7A">
        <w:t xml:space="preserve">Methane emissions from </w:t>
      </w:r>
      <w:r w:rsidRPr="00261B7A">
        <w:rPr>
          <w:i/>
          <w:iCs/>
        </w:rPr>
        <w:t>Solid waste disposal</w:t>
      </w:r>
      <w:r w:rsidRPr="00261B7A">
        <w:t xml:space="preserve"> were identified as a key category in the 2021 level assessment and trend assessment.</w:t>
      </w:r>
    </w:p>
    <w:p w14:paraId="269AD99A" w14:textId="77777777" w:rsidR="00422EFE" w:rsidRPr="00261B7A" w:rsidRDefault="00422EFE" w:rsidP="00422EFE">
      <w:pPr>
        <w:pStyle w:val="Heading3"/>
      </w:pPr>
      <w:bookmarkStart w:id="2453" w:name="methodological-issues"/>
      <w:bookmarkEnd w:id="2450"/>
      <w:r w:rsidRPr="00261B7A">
        <w:t xml:space="preserve">7.2.2 </w:t>
      </w:r>
      <w:r w:rsidRPr="00261B7A">
        <w:tab/>
        <w:t>Methodological issues</w:t>
      </w:r>
    </w:p>
    <w:p w14:paraId="1D9AAABC" w14:textId="77777777" w:rsidR="00422EFE" w:rsidRPr="00261B7A" w:rsidRDefault="00422EFE" w:rsidP="00422EFE">
      <w:pPr>
        <w:pStyle w:val="Heading4"/>
      </w:pPr>
      <w:bookmarkStart w:id="2454" w:name="choice-of-activity-data"/>
      <w:r w:rsidRPr="00261B7A">
        <w:t>Choice of activity data</w:t>
      </w:r>
    </w:p>
    <w:p w14:paraId="5194B434" w14:textId="77777777" w:rsidR="00422EFE" w:rsidRPr="00261B7A" w:rsidRDefault="00422EFE" w:rsidP="00422EFE">
      <w:pPr>
        <w:pStyle w:val="BodyText"/>
      </w:pPr>
      <w:r w:rsidRPr="00261B7A">
        <w:t xml:space="preserve">Activity data for </w:t>
      </w:r>
      <w:r w:rsidRPr="00261B7A">
        <w:rPr>
          <w:i/>
          <w:iCs/>
        </w:rPr>
        <w:t>Solid waste disposal</w:t>
      </w:r>
      <w:r w:rsidRPr="00261B7A">
        <w:t xml:space="preserve"> vary significantly in quality and quantity. Most data are based on estimates and infrequent surveys rather than annual data, except for municipal sites since 2010.</w:t>
      </w:r>
    </w:p>
    <w:p w14:paraId="50D21AC9" w14:textId="77777777" w:rsidR="00422EFE" w:rsidRPr="00261B7A" w:rsidRDefault="00422EFE" w:rsidP="00422EFE">
      <w:pPr>
        <w:pStyle w:val="Heading5"/>
      </w:pPr>
      <w:bookmarkStart w:id="2455" w:name="municipal-landfills-5.a.1.a-and-5.a.3"/>
      <w:r w:rsidRPr="00261B7A">
        <w:t>Municipal landfills (5.A.1.a and 5.A.3)</w:t>
      </w:r>
    </w:p>
    <w:p w14:paraId="275A8071" w14:textId="77777777" w:rsidR="00422EFE" w:rsidRPr="00261B7A" w:rsidRDefault="00422EFE" w:rsidP="00422EFE">
      <w:pPr>
        <w:pStyle w:val="BodyText"/>
      </w:pPr>
      <w:r w:rsidRPr="00261B7A">
        <w:t>Annual total waste placement to all municipal landfills has been estimated based on:</w:t>
      </w:r>
    </w:p>
    <w:p w14:paraId="55FE2659" w14:textId="77777777" w:rsidR="00422EFE" w:rsidRPr="00261B7A" w:rsidRDefault="00422EFE" w:rsidP="00422EFE">
      <w:pPr>
        <w:pStyle w:val="Bullet"/>
      </w:pPr>
      <w:r w:rsidRPr="00261B7A">
        <w:t>back-casting from a 1982 national survey, using real (inflation-adjusted) GDP, for the years before 1982</w:t>
      </w:r>
    </w:p>
    <w:p w14:paraId="1212001F" w14:textId="77777777" w:rsidR="00422EFE" w:rsidRPr="00261B7A" w:rsidRDefault="00422EFE" w:rsidP="00422EFE">
      <w:pPr>
        <w:pStyle w:val="Bullet"/>
      </w:pPr>
      <w:r w:rsidRPr="00261B7A">
        <w:t>national surveys carried out for the years 1982, 1995, 1998, 2002 and 2006</w:t>
      </w:r>
    </w:p>
    <w:p w14:paraId="579B6C4B" w14:textId="77777777" w:rsidR="00422EFE" w:rsidRPr="00261B7A" w:rsidRDefault="00422EFE" w:rsidP="00422EFE">
      <w:pPr>
        <w:pStyle w:val="Bullet"/>
      </w:pPr>
      <w:r w:rsidRPr="00261B7A">
        <w:t>linear interpolation for the years between these surveys</w:t>
      </w:r>
    </w:p>
    <w:p w14:paraId="00965A95" w14:textId="77777777" w:rsidR="00422EFE" w:rsidRPr="00261B7A" w:rsidRDefault="00422EFE" w:rsidP="00422EFE">
      <w:pPr>
        <w:pStyle w:val="Bullet"/>
      </w:pPr>
      <w:r w:rsidRPr="00261B7A">
        <w:t>linear interpolation for the years 2007 to 2009</w:t>
      </w:r>
    </w:p>
    <w:p w14:paraId="231DB7BC" w14:textId="77777777" w:rsidR="00422EFE" w:rsidRPr="00261B7A" w:rsidRDefault="00422EFE" w:rsidP="00422EFE">
      <w:pPr>
        <w:pStyle w:val="Bullet"/>
      </w:pPr>
      <w:r w:rsidRPr="00261B7A">
        <w:t>data collected annually under the requirements of the Waste Minimisation Act 2008 for the years since 2010.</w:t>
      </w:r>
    </w:p>
    <w:p w14:paraId="461E6437" w14:textId="77777777" w:rsidR="00422EFE" w:rsidRPr="00261B7A" w:rsidRDefault="00422EFE" w:rsidP="00422EFE">
      <w:pPr>
        <w:pStyle w:val="BodyText"/>
      </w:pPr>
      <w:r w:rsidRPr="00261B7A">
        <w:t>A regression analysis established that there was a correlation between real GDP and the amount of waste landfilled up to 2002. The transition from national surveys to using Waste Minimisation Act 2008 information involves a linear interpolation. Other methods were explored, but this approach gave the most robust estimates (Eunomia and Waste Not Consulting, unpublished).</w:t>
      </w:r>
    </w:p>
    <w:p w14:paraId="16F76AD0" w14:textId="77777777" w:rsidR="00422EFE" w:rsidRPr="00261B7A" w:rsidRDefault="00422EFE" w:rsidP="00422EFE">
      <w:pPr>
        <w:pStyle w:val="BodyText"/>
      </w:pPr>
      <w:r w:rsidRPr="00261B7A">
        <w:t>Activity data are also available from individual landfill sites. This information was collected from landfill operators by a survey in 2009 (SKM, unpublished(b)). The 25 landfills that were operating at that time, that either had LFG recovery systems or were planning to install LFG recovery systems by 2012, all provided data.</w:t>
      </w:r>
    </w:p>
    <w:p w14:paraId="2CC95AAC" w14:textId="77777777" w:rsidR="00422EFE" w:rsidRPr="00261B7A" w:rsidRDefault="00422EFE" w:rsidP="00422EFE">
      <w:pPr>
        <w:pStyle w:val="BodyText"/>
      </w:pPr>
      <w:r w:rsidRPr="00261B7A">
        <w:t>The data included annual waste placement history and intentions. Some of these sites have since closed and are no longer accepting waste, but they all still generate CH</w:t>
      </w:r>
      <w:r w:rsidRPr="00261B7A">
        <w:rPr>
          <w:vertAlign w:val="subscript"/>
        </w:rPr>
        <w:t>4</w:t>
      </w:r>
      <w:r w:rsidRPr="00261B7A">
        <w:t xml:space="preserve"> emissions. One new, large landfill site has opened in New Zealand since 2009, and an existing landfill installed an LFG system in 2018. Both have been included in the emissions estimates. From 2010 onwards, all municipal landfills report volumes of waste placement under the Waste Minimisation Act 2008. Table 7.2.2 shows the number of managed landfills.</w:t>
      </w:r>
    </w:p>
    <w:p w14:paraId="43A8394C" w14:textId="77777777" w:rsidR="00422EFE" w:rsidRPr="00261B7A" w:rsidRDefault="00422EFE" w:rsidP="00422EFE">
      <w:pPr>
        <w:pStyle w:val="Table"/>
      </w:pPr>
      <w:bookmarkStart w:id="2456" w:name="_Toc128383663"/>
      <w:bookmarkStart w:id="2457" w:name="_Toc131591436"/>
      <w:r w:rsidRPr="00261B7A">
        <w:t xml:space="preserve">Table 7.2.2 </w:t>
      </w:r>
      <w:r w:rsidRPr="00261B7A">
        <w:tab/>
        <w:t xml:space="preserve">Landfill categories in </w:t>
      </w:r>
      <w:r w:rsidRPr="00261B7A">
        <w:rPr>
          <w:bCs/>
        </w:rPr>
        <w:t>2021</w:t>
      </w:r>
      <w:bookmarkEnd w:id="2456"/>
      <w:bookmarkEnd w:id="2457"/>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01"/>
        <w:gridCol w:w="1938"/>
        <w:gridCol w:w="2188"/>
        <w:gridCol w:w="1178"/>
      </w:tblGrid>
      <w:tr w:rsidR="00422EFE" w:rsidRPr="00261B7A" w14:paraId="2EA3D518" w14:textId="77777777" w:rsidTr="00D41492">
        <w:trPr>
          <w:tblHeader/>
        </w:trPr>
        <w:tc>
          <w:tcPr>
            <w:tcW w:w="0" w:type="auto"/>
            <w:shd w:val="clear" w:color="auto" w:fill="1B556B"/>
            <w:tcMar>
              <w:top w:w="0" w:type="dxa"/>
              <w:left w:w="108" w:type="dxa"/>
              <w:bottom w:w="0" w:type="dxa"/>
              <w:right w:w="108" w:type="dxa"/>
            </w:tcMar>
          </w:tcPr>
          <w:p w14:paraId="27AAF705" w14:textId="77777777" w:rsidR="00422EFE" w:rsidRPr="00261B7A" w:rsidRDefault="00422EFE" w:rsidP="00240807">
            <w:pPr>
              <w:pStyle w:val="TableText"/>
              <w:spacing w:before="30" w:after="30"/>
              <w:rPr>
                <w:b/>
                <w:bCs/>
                <w:color w:val="FFFFFF" w:themeColor="background1"/>
              </w:rPr>
            </w:pPr>
            <w:r w:rsidRPr="00261B7A">
              <w:rPr>
                <w:rFonts w:eastAsia="Calibri"/>
                <w:b/>
                <w:bCs/>
                <w:color w:val="FFFFFF" w:themeColor="background1"/>
              </w:rPr>
              <w:t>Landfill type</w:t>
            </w:r>
          </w:p>
        </w:tc>
        <w:tc>
          <w:tcPr>
            <w:tcW w:w="0" w:type="auto"/>
            <w:shd w:val="clear" w:color="auto" w:fill="1B556B"/>
            <w:tcMar>
              <w:top w:w="0" w:type="dxa"/>
              <w:left w:w="108" w:type="dxa"/>
              <w:bottom w:w="0" w:type="dxa"/>
              <w:right w:w="108" w:type="dxa"/>
            </w:tcMar>
          </w:tcPr>
          <w:p w14:paraId="64D34F8F" w14:textId="77777777" w:rsidR="00422EFE" w:rsidRPr="00261B7A" w:rsidRDefault="00422EFE" w:rsidP="00240807">
            <w:pPr>
              <w:pStyle w:val="TableText"/>
              <w:spacing w:before="30" w:after="30"/>
              <w:rPr>
                <w:b/>
                <w:bCs/>
                <w:color w:val="FFFFFF" w:themeColor="background1"/>
              </w:rPr>
            </w:pPr>
            <w:r w:rsidRPr="00261B7A">
              <w:rPr>
                <w:rFonts w:eastAsia="Calibri"/>
                <w:b/>
                <w:bCs/>
                <w:color w:val="FFFFFF" w:themeColor="background1"/>
              </w:rPr>
              <w:t>Sites with LFG recovery</w:t>
            </w:r>
          </w:p>
        </w:tc>
        <w:tc>
          <w:tcPr>
            <w:tcW w:w="0" w:type="auto"/>
            <w:shd w:val="clear" w:color="auto" w:fill="1B556B"/>
            <w:tcMar>
              <w:top w:w="0" w:type="dxa"/>
              <w:left w:w="108" w:type="dxa"/>
              <w:bottom w:w="0" w:type="dxa"/>
              <w:right w:w="108" w:type="dxa"/>
            </w:tcMar>
          </w:tcPr>
          <w:p w14:paraId="19A00B80" w14:textId="77777777" w:rsidR="00422EFE" w:rsidRPr="00261B7A" w:rsidRDefault="00422EFE" w:rsidP="00240807">
            <w:pPr>
              <w:pStyle w:val="TableText"/>
              <w:spacing w:before="30" w:after="30"/>
              <w:rPr>
                <w:b/>
                <w:bCs/>
                <w:color w:val="FFFFFF" w:themeColor="background1"/>
              </w:rPr>
            </w:pPr>
            <w:r w:rsidRPr="00261B7A">
              <w:rPr>
                <w:rFonts w:eastAsia="Calibri"/>
                <w:b/>
                <w:bCs/>
                <w:color w:val="FFFFFF" w:themeColor="background1"/>
              </w:rPr>
              <w:t>Sites without LFG recovery</w:t>
            </w:r>
          </w:p>
        </w:tc>
        <w:tc>
          <w:tcPr>
            <w:tcW w:w="0" w:type="auto"/>
            <w:shd w:val="clear" w:color="auto" w:fill="1B556B"/>
            <w:tcMar>
              <w:top w:w="0" w:type="dxa"/>
              <w:left w:w="108" w:type="dxa"/>
              <w:bottom w:w="0" w:type="dxa"/>
              <w:right w:w="108" w:type="dxa"/>
            </w:tcMar>
          </w:tcPr>
          <w:p w14:paraId="2BE5EC37" w14:textId="77777777" w:rsidR="00422EFE" w:rsidRPr="00261B7A" w:rsidRDefault="00422EFE" w:rsidP="00240807">
            <w:pPr>
              <w:pStyle w:val="TableText"/>
              <w:spacing w:before="30" w:after="30"/>
              <w:rPr>
                <w:b/>
                <w:bCs/>
                <w:color w:val="FFFFFF" w:themeColor="background1"/>
              </w:rPr>
            </w:pPr>
            <w:r w:rsidRPr="00261B7A">
              <w:rPr>
                <w:rFonts w:eastAsia="Calibri"/>
                <w:b/>
                <w:bCs/>
                <w:color w:val="FFFFFF" w:themeColor="background1"/>
              </w:rPr>
              <w:t>Total</w:t>
            </w:r>
          </w:p>
        </w:tc>
      </w:tr>
      <w:tr w:rsidR="00422EFE" w:rsidRPr="00261B7A" w14:paraId="741BB7D3" w14:textId="77777777" w:rsidTr="00D41492">
        <w:tc>
          <w:tcPr>
            <w:tcW w:w="0" w:type="auto"/>
            <w:shd w:val="clear" w:color="auto" w:fill="FFFFFF"/>
            <w:tcMar>
              <w:top w:w="0" w:type="dxa"/>
              <w:left w:w="108" w:type="dxa"/>
              <w:bottom w:w="0" w:type="dxa"/>
              <w:right w:w="108" w:type="dxa"/>
            </w:tcMar>
          </w:tcPr>
          <w:p w14:paraId="5E32CEC3" w14:textId="77777777" w:rsidR="00422EFE" w:rsidRPr="00261B7A" w:rsidRDefault="00422EFE" w:rsidP="00240807">
            <w:pPr>
              <w:pStyle w:val="TableText"/>
              <w:spacing w:before="30" w:after="30"/>
            </w:pPr>
            <w:r w:rsidRPr="00261B7A">
              <w:rPr>
                <w:rFonts w:eastAsia="Calibri"/>
                <w:color w:val="000000"/>
              </w:rPr>
              <w:t>Landfills under the NZ ETS and waste levy</w:t>
            </w:r>
          </w:p>
        </w:tc>
        <w:tc>
          <w:tcPr>
            <w:tcW w:w="0" w:type="auto"/>
            <w:shd w:val="clear" w:color="auto" w:fill="FFFFFF"/>
            <w:tcMar>
              <w:top w:w="0" w:type="dxa"/>
              <w:left w:w="108" w:type="dxa"/>
              <w:bottom w:w="0" w:type="dxa"/>
              <w:right w:w="108" w:type="dxa"/>
            </w:tcMar>
          </w:tcPr>
          <w:p w14:paraId="5E32EEE5" w14:textId="28A401A7" w:rsidR="00422EFE" w:rsidRPr="00261B7A" w:rsidRDefault="00422EFE" w:rsidP="00240807">
            <w:pPr>
              <w:pStyle w:val="TableText"/>
              <w:spacing w:before="30" w:after="30"/>
            </w:pPr>
            <w:r w:rsidRPr="00261B7A">
              <w:rPr>
                <w:rFonts w:eastAsia="Calibri"/>
                <w:color w:val="000000"/>
              </w:rPr>
              <w:t>1</w:t>
            </w:r>
            <w:r w:rsidR="00053168" w:rsidRPr="00261B7A">
              <w:rPr>
                <w:rFonts w:eastAsia="Calibri"/>
                <w:color w:val="000000"/>
              </w:rPr>
              <w:t>8</w:t>
            </w:r>
          </w:p>
        </w:tc>
        <w:tc>
          <w:tcPr>
            <w:tcW w:w="0" w:type="auto"/>
            <w:shd w:val="clear" w:color="auto" w:fill="FFFFFF"/>
            <w:tcMar>
              <w:top w:w="0" w:type="dxa"/>
              <w:left w:w="108" w:type="dxa"/>
              <w:bottom w:w="0" w:type="dxa"/>
              <w:right w:w="108" w:type="dxa"/>
            </w:tcMar>
          </w:tcPr>
          <w:p w14:paraId="6303C226" w14:textId="6E8A11B8" w:rsidR="00422EFE" w:rsidRPr="00261B7A" w:rsidRDefault="00422EFE" w:rsidP="00240807">
            <w:pPr>
              <w:pStyle w:val="TableText"/>
              <w:spacing w:before="30" w:after="30"/>
            </w:pPr>
            <w:r w:rsidRPr="00261B7A">
              <w:rPr>
                <w:rFonts w:eastAsia="Calibri"/>
                <w:color w:val="000000"/>
              </w:rPr>
              <w:t>2</w:t>
            </w:r>
            <w:r w:rsidR="00727106" w:rsidRPr="00261B7A">
              <w:rPr>
                <w:rFonts w:eastAsia="Calibri"/>
                <w:color w:val="000000"/>
              </w:rPr>
              <w:t>0</w:t>
            </w:r>
          </w:p>
        </w:tc>
        <w:tc>
          <w:tcPr>
            <w:tcW w:w="0" w:type="auto"/>
            <w:shd w:val="clear" w:color="auto" w:fill="FFFFFF"/>
            <w:tcMar>
              <w:top w:w="0" w:type="dxa"/>
              <w:left w:w="108" w:type="dxa"/>
              <w:bottom w:w="0" w:type="dxa"/>
              <w:right w:w="108" w:type="dxa"/>
            </w:tcMar>
          </w:tcPr>
          <w:p w14:paraId="223C086B" w14:textId="67A2EC9E" w:rsidR="00422EFE" w:rsidRPr="00261B7A" w:rsidRDefault="00EA3ACE" w:rsidP="00240807">
            <w:pPr>
              <w:pStyle w:val="TableText"/>
              <w:spacing w:before="30" w:after="30"/>
            </w:pPr>
            <w:r w:rsidRPr="00261B7A">
              <w:t>38</w:t>
            </w:r>
          </w:p>
        </w:tc>
      </w:tr>
      <w:tr w:rsidR="00422EFE" w:rsidRPr="00261B7A" w14:paraId="03970B7C" w14:textId="77777777" w:rsidTr="00D41492">
        <w:tc>
          <w:tcPr>
            <w:tcW w:w="0" w:type="auto"/>
            <w:shd w:val="clear" w:color="auto" w:fill="FFFFFF"/>
            <w:tcMar>
              <w:top w:w="0" w:type="dxa"/>
              <w:left w:w="108" w:type="dxa"/>
              <w:bottom w:w="0" w:type="dxa"/>
              <w:right w:w="108" w:type="dxa"/>
            </w:tcMar>
          </w:tcPr>
          <w:p w14:paraId="66681A61" w14:textId="77777777" w:rsidR="00422EFE" w:rsidRPr="00261B7A" w:rsidRDefault="00422EFE" w:rsidP="00240807">
            <w:pPr>
              <w:pStyle w:val="TableText"/>
              <w:spacing w:before="30" w:after="30"/>
            </w:pPr>
            <w:r w:rsidRPr="00261B7A">
              <w:rPr>
                <w:rFonts w:eastAsia="Calibri"/>
                <w:color w:val="000000"/>
              </w:rPr>
              <w:t>Closed landfills (still emitting)</w:t>
            </w:r>
          </w:p>
        </w:tc>
        <w:tc>
          <w:tcPr>
            <w:tcW w:w="0" w:type="auto"/>
            <w:shd w:val="clear" w:color="auto" w:fill="FFFFFF"/>
            <w:tcMar>
              <w:top w:w="0" w:type="dxa"/>
              <w:left w:w="108" w:type="dxa"/>
              <w:bottom w:w="0" w:type="dxa"/>
              <w:right w:w="108" w:type="dxa"/>
            </w:tcMar>
          </w:tcPr>
          <w:p w14:paraId="42C8D77A" w14:textId="6709920D" w:rsidR="00422EFE" w:rsidRPr="00261B7A" w:rsidRDefault="009B2457" w:rsidP="00240807">
            <w:pPr>
              <w:pStyle w:val="TableText"/>
              <w:spacing w:before="30" w:after="30"/>
            </w:pPr>
            <w:r w:rsidRPr="00261B7A">
              <w:t>9</w:t>
            </w:r>
          </w:p>
        </w:tc>
        <w:tc>
          <w:tcPr>
            <w:tcW w:w="0" w:type="auto"/>
            <w:shd w:val="clear" w:color="auto" w:fill="FFFFFF"/>
            <w:tcMar>
              <w:top w:w="0" w:type="dxa"/>
              <w:left w:w="108" w:type="dxa"/>
              <w:bottom w:w="0" w:type="dxa"/>
              <w:right w:w="108" w:type="dxa"/>
            </w:tcMar>
          </w:tcPr>
          <w:p w14:paraId="2DFF2DCD" w14:textId="77777777" w:rsidR="00422EFE" w:rsidRPr="00261B7A" w:rsidRDefault="00422EFE" w:rsidP="00240807">
            <w:pPr>
              <w:pStyle w:val="TableText"/>
              <w:spacing w:before="30" w:after="30"/>
            </w:pPr>
            <w:r w:rsidRPr="00261B7A">
              <w:rPr>
                <w:rFonts w:eastAsia="Calibri"/>
                <w:color w:val="000000"/>
              </w:rPr>
              <w:t>Not reported</w:t>
            </w:r>
          </w:p>
        </w:tc>
        <w:tc>
          <w:tcPr>
            <w:tcW w:w="0" w:type="auto"/>
            <w:shd w:val="clear" w:color="auto" w:fill="FFFFFF"/>
            <w:tcMar>
              <w:top w:w="0" w:type="dxa"/>
              <w:left w:w="108" w:type="dxa"/>
              <w:bottom w:w="0" w:type="dxa"/>
              <w:right w:w="108" w:type="dxa"/>
            </w:tcMar>
          </w:tcPr>
          <w:p w14:paraId="318CDA14" w14:textId="77777777" w:rsidR="00422EFE" w:rsidRPr="00261B7A" w:rsidRDefault="00422EFE" w:rsidP="00240807">
            <w:pPr>
              <w:pStyle w:val="TableText"/>
              <w:spacing w:before="30" w:after="30"/>
            </w:pPr>
            <w:r w:rsidRPr="00261B7A">
              <w:rPr>
                <w:rFonts w:eastAsia="Calibri"/>
                <w:color w:val="000000"/>
              </w:rPr>
              <w:t>Not reported</w:t>
            </w:r>
          </w:p>
        </w:tc>
      </w:tr>
      <w:tr w:rsidR="00422EFE" w:rsidRPr="00261B7A" w14:paraId="6DB25F88" w14:textId="77777777" w:rsidTr="00D41492">
        <w:tc>
          <w:tcPr>
            <w:tcW w:w="0" w:type="auto"/>
            <w:shd w:val="clear" w:color="auto" w:fill="FFFFFF"/>
            <w:tcMar>
              <w:top w:w="0" w:type="dxa"/>
              <w:left w:w="108" w:type="dxa"/>
              <w:bottom w:w="0" w:type="dxa"/>
              <w:right w:w="108" w:type="dxa"/>
            </w:tcMar>
          </w:tcPr>
          <w:p w14:paraId="54A03BD5" w14:textId="77777777" w:rsidR="00422EFE" w:rsidRPr="00261B7A" w:rsidRDefault="00422EFE" w:rsidP="00240807">
            <w:pPr>
              <w:pStyle w:val="TableText"/>
              <w:spacing w:before="30" w:after="30"/>
            </w:pPr>
            <w:r w:rsidRPr="00261B7A">
              <w:rPr>
                <w:rFonts w:eastAsia="Calibri"/>
                <w:color w:val="000000"/>
              </w:rPr>
              <w:t>Total</w:t>
            </w:r>
          </w:p>
        </w:tc>
        <w:tc>
          <w:tcPr>
            <w:tcW w:w="0" w:type="auto"/>
            <w:shd w:val="clear" w:color="auto" w:fill="FFFFFF"/>
            <w:tcMar>
              <w:top w:w="0" w:type="dxa"/>
              <w:left w:w="108" w:type="dxa"/>
              <w:bottom w:w="0" w:type="dxa"/>
              <w:right w:w="108" w:type="dxa"/>
            </w:tcMar>
          </w:tcPr>
          <w:p w14:paraId="22244587" w14:textId="77777777" w:rsidR="00422EFE" w:rsidRPr="00261B7A" w:rsidRDefault="00422EFE" w:rsidP="00240807">
            <w:pPr>
              <w:pStyle w:val="TableText"/>
              <w:spacing w:before="30" w:after="30"/>
            </w:pPr>
            <w:r w:rsidRPr="00261B7A">
              <w:rPr>
                <w:rFonts w:eastAsia="Calibri"/>
                <w:color w:val="000000"/>
              </w:rPr>
              <w:t>27</w:t>
            </w:r>
          </w:p>
        </w:tc>
        <w:tc>
          <w:tcPr>
            <w:tcW w:w="0" w:type="auto"/>
            <w:shd w:val="clear" w:color="auto" w:fill="FFFFFF"/>
            <w:tcMar>
              <w:top w:w="0" w:type="dxa"/>
              <w:left w:w="108" w:type="dxa"/>
              <w:bottom w:w="0" w:type="dxa"/>
              <w:right w:w="108" w:type="dxa"/>
            </w:tcMar>
          </w:tcPr>
          <w:p w14:paraId="648C1C24" w14:textId="77777777" w:rsidR="00422EFE" w:rsidRPr="00261B7A" w:rsidRDefault="00422EFE" w:rsidP="00240807">
            <w:pPr>
              <w:pStyle w:val="TableText"/>
              <w:spacing w:before="30" w:after="30"/>
            </w:pPr>
            <w:r w:rsidRPr="00261B7A">
              <w:rPr>
                <w:rFonts w:eastAsia="Calibri"/>
                <w:color w:val="000000"/>
              </w:rPr>
              <w:t>Not reported</w:t>
            </w:r>
          </w:p>
        </w:tc>
        <w:tc>
          <w:tcPr>
            <w:tcW w:w="0" w:type="auto"/>
            <w:shd w:val="clear" w:color="auto" w:fill="FFFFFF"/>
            <w:tcMar>
              <w:top w:w="0" w:type="dxa"/>
              <w:left w:w="108" w:type="dxa"/>
              <w:bottom w:w="0" w:type="dxa"/>
              <w:right w:w="108" w:type="dxa"/>
            </w:tcMar>
          </w:tcPr>
          <w:p w14:paraId="6E207195" w14:textId="77777777" w:rsidR="00422EFE" w:rsidRPr="00261B7A" w:rsidRDefault="00422EFE" w:rsidP="00240807">
            <w:pPr>
              <w:pStyle w:val="TableText"/>
              <w:spacing w:before="30" w:after="30"/>
            </w:pPr>
            <w:r w:rsidRPr="00261B7A">
              <w:rPr>
                <w:rFonts w:eastAsia="Calibri"/>
                <w:color w:val="000000"/>
              </w:rPr>
              <w:t>Not reported</w:t>
            </w:r>
          </w:p>
        </w:tc>
      </w:tr>
    </w:tbl>
    <w:p w14:paraId="6F07CEBA" w14:textId="77777777" w:rsidR="00422EFE" w:rsidRPr="00261B7A" w:rsidRDefault="00422EFE" w:rsidP="00422EFE">
      <w:pPr>
        <w:pStyle w:val="Noteundertable"/>
      </w:pPr>
      <w:r w:rsidRPr="00261B7A">
        <w:rPr>
          <w:b/>
          <w:bCs/>
        </w:rPr>
        <w:t>Note:</w:t>
      </w:r>
      <w:r w:rsidRPr="00261B7A">
        <w:t xml:space="preserve"> </w:t>
      </w:r>
      <w:r w:rsidRPr="00261B7A">
        <w:tab/>
        <w:t>LFG = landfill gas; NZ ETS = New Zealand Emissions Trading Scheme.</w:t>
      </w:r>
    </w:p>
    <w:p w14:paraId="1992AC2F" w14:textId="77777777" w:rsidR="00422EFE" w:rsidRPr="00261B7A" w:rsidRDefault="00422EFE" w:rsidP="00422EFE">
      <w:pPr>
        <w:pStyle w:val="BodyText"/>
      </w:pPr>
      <w:r w:rsidRPr="00261B7A">
        <w:t>For 1950 to 1995, the waste placement for the uncategorised category (5.A.3) is estimated as a fixed fraction (10 per cent) of the difference between the national total and sites with LFG recovery, as shown in the equation:</w:t>
      </w:r>
    </w:p>
    <w:p w14:paraId="2AE44F3B" w14:textId="77777777" w:rsidR="00422EFE" w:rsidRPr="00261B7A" w:rsidRDefault="00422EFE" w:rsidP="00422EFE">
      <w:pPr>
        <w:pStyle w:val="BodyText"/>
        <w:rPr>
          <w:rFonts w:ascii="Cambria Math" w:hAnsi="Cambria Math"/>
        </w:rPr>
      </w:pPr>
      <m:oMathPara>
        <m:oMathParaPr>
          <m:jc m:val="center"/>
        </m:oMathParaPr>
        <m:oMath>
          <m:r>
            <m:rPr>
              <m:nor/>
            </m:rPr>
            <w:rPr>
              <w:rFonts w:ascii="Cambria Math" w:hAnsi="Cambria Math"/>
            </w:rPr>
            <m:t>disposal</m:t>
          </m:r>
          <m:r>
            <w:rPr>
              <w:rFonts w:ascii="Cambria Math" w:hAnsi="Cambria Math"/>
            </w:rPr>
            <m:t> </m:t>
          </m:r>
          <m:r>
            <m:rPr>
              <m:nor/>
            </m:rPr>
            <w:rPr>
              <w:rFonts w:ascii="Cambria Math" w:hAnsi="Cambria Math"/>
            </w:rPr>
            <m:t>for</m:t>
          </m:r>
          <m:r>
            <w:rPr>
              <w:rFonts w:ascii="Cambria Math" w:hAnsi="Cambria Math"/>
            </w:rPr>
            <m:t> 5</m:t>
          </m:r>
          <m:r>
            <m:rPr>
              <m:sty m:val="p"/>
            </m:rPr>
            <w:rPr>
              <w:rFonts w:ascii="Cambria Math" w:hAnsi="Cambria Math"/>
            </w:rPr>
            <m:t>.</m:t>
          </m:r>
          <m:r>
            <w:rPr>
              <w:rFonts w:ascii="Cambria Math" w:hAnsi="Cambria Math"/>
            </w:rPr>
            <m:t>A.3</m:t>
          </m:r>
          <m:r>
            <m:rPr>
              <m:sty m:val="p"/>
            </m:rPr>
            <w:rPr>
              <w:rFonts w:ascii="Cambria Math" w:hAnsi="Cambria Math"/>
            </w:rPr>
            <m:t>=</m:t>
          </m:r>
          <m:r>
            <w:rPr>
              <w:rFonts w:ascii="Cambria Math" w:hAnsi="Cambria Math"/>
            </w:rPr>
            <m:t> 10</m:t>
          </m:r>
          <m:r>
            <m:rPr>
              <m:sty m:val="p"/>
            </m:rPr>
            <w:rPr>
              <w:rFonts w:ascii="Cambria Math" w:hAnsi="Cambria Math"/>
            </w:rPr>
            <m:t>%×</m:t>
          </m:r>
          <m:d>
            <m:dPr>
              <m:ctrlPr>
                <w:rPr>
                  <w:rFonts w:ascii="Cambria Math" w:hAnsi="Cambria Math"/>
                </w:rPr>
              </m:ctrlPr>
            </m:dPr>
            <m:e>
              <m:r>
                <m:rPr>
                  <m:nor/>
                </m:rPr>
                <w:rPr>
                  <w:rFonts w:ascii="Cambria Math" w:hAnsi="Cambria Math"/>
                </w:rPr>
                <m:t>national</m:t>
              </m:r>
              <m:r>
                <w:rPr>
                  <w:rFonts w:ascii="Cambria Math" w:hAnsi="Cambria Math"/>
                </w:rPr>
                <m:t> </m:t>
              </m:r>
              <m:r>
                <m:rPr>
                  <m:nor/>
                </m:rPr>
                <w:rPr>
                  <w:rFonts w:ascii="Cambria Math" w:hAnsi="Cambria Math"/>
                </w:rPr>
                <m:t>total</m:t>
              </m:r>
              <m:r>
                <m:rPr>
                  <m:sty m:val="p"/>
                </m:rPr>
                <w:rPr>
                  <w:rFonts w:ascii="Cambria Math" w:hAnsi="Cambria Math"/>
                </w:rPr>
                <m:t>-</m:t>
              </m:r>
              <m:r>
                <m:rPr>
                  <m:nor/>
                </m:rPr>
                <w:rPr>
                  <w:rFonts w:ascii="Cambria Math" w:hAnsi="Cambria Math"/>
                </w:rPr>
                <m:t>disposal</m:t>
              </m:r>
              <m:r>
                <w:rPr>
                  <w:rFonts w:ascii="Cambria Math" w:hAnsi="Cambria Math"/>
                </w:rPr>
                <m:t> </m:t>
              </m:r>
              <m:r>
                <m:rPr>
                  <m:nor/>
                </m:rPr>
                <w:rPr>
                  <w:rFonts w:ascii="Cambria Math" w:hAnsi="Cambria Math"/>
                </w:rPr>
                <m:t>for</m:t>
              </m:r>
              <m:r>
                <w:rPr>
                  <w:rFonts w:ascii="Cambria Math" w:hAnsi="Cambria Math"/>
                </w:rPr>
                <m:t> </m:t>
              </m:r>
              <m:r>
                <m:rPr>
                  <m:nor/>
                </m:rPr>
                <w:rPr>
                  <w:rFonts w:ascii="Cambria Math" w:hAnsi="Cambria Math"/>
                </w:rPr>
                <m:t>LFG</m:t>
              </m:r>
              <m:r>
                <w:rPr>
                  <w:rFonts w:ascii="Cambria Math" w:hAnsi="Cambria Math"/>
                </w:rPr>
                <m:t> </m:t>
              </m:r>
              <m:r>
                <m:rPr>
                  <m:nor/>
                </m:rPr>
                <w:rPr>
                  <w:rFonts w:ascii="Cambria Math" w:hAnsi="Cambria Math"/>
                </w:rPr>
                <m:t>sites</m:t>
              </m:r>
            </m:e>
          </m:d>
        </m:oMath>
      </m:oMathPara>
    </w:p>
    <w:p w14:paraId="13C06134" w14:textId="77777777" w:rsidR="00422EFE" w:rsidRPr="00261B7A" w:rsidRDefault="00422EFE" w:rsidP="00422EFE">
      <w:pPr>
        <w:pStyle w:val="BodyText"/>
      </w:pPr>
      <w:r w:rsidRPr="00261B7A">
        <w:t>Between 1995 and 2010, the 10 per cent fraction declines to zero, and activity data for uncategorised sites is reported as not occurring (NO) from 2010 onwards.</w:t>
      </w:r>
    </w:p>
    <w:p w14:paraId="565DC867" w14:textId="77777777" w:rsidR="00422EFE" w:rsidRPr="00261B7A" w:rsidRDefault="00422EFE" w:rsidP="00422EFE">
      <w:pPr>
        <w:pStyle w:val="BodyText"/>
      </w:pPr>
      <w:r w:rsidRPr="00261B7A">
        <w:t>Table 7.2.3 shows waste placement from the beginning of the model in 1950 to 2021. Landfill sites that had LFG recovery at any time since 1950 are included in the ‘sites with LFG recovery’ category even though no sites had LFG recovery systems installed before 1985.</w:t>
      </w:r>
    </w:p>
    <w:p w14:paraId="66DE0051" w14:textId="77777777" w:rsidR="00422EFE" w:rsidRPr="00261B7A" w:rsidRDefault="00422EFE" w:rsidP="00422EFE">
      <w:pPr>
        <w:pStyle w:val="Table"/>
      </w:pPr>
      <w:bookmarkStart w:id="2458" w:name="_Toc128383664"/>
      <w:bookmarkStart w:id="2459" w:name="_Toc131591437"/>
      <w:r w:rsidRPr="00261B7A">
        <w:t xml:space="preserve">Table 7.2.3 </w:t>
      </w:r>
      <w:r w:rsidRPr="00261B7A">
        <w:tab/>
        <w:t>Solid waste deposited to municipal and uncategorised landfills from 1950 to </w:t>
      </w:r>
      <w:r w:rsidRPr="00261B7A">
        <w:rPr>
          <w:bCs/>
        </w:rPr>
        <w:t>2021</w:t>
      </w:r>
      <w:bookmarkEnd w:id="2458"/>
      <w:bookmarkEnd w:id="2459"/>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620"/>
        <w:gridCol w:w="2322"/>
        <w:gridCol w:w="2581"/>
        <w:gridCol w:w="2040"/>
        <w:gridCol w:w="942"/>
      </w:tblGrid>
      <w:tr w:rsidR="00422EFE" w:rsidRPr="00261B7A" w14:paraId="24B2B725" w14:textId="77777777" w:rsidTr="00D41492">
        <w:trPr>
          <w:tblHeader/>
        </w:trPr>
        <w:tc>
          <w:tcPr>
            <w:tcW w:w="0" w:type="auto"/>
            <w:shd w:val="clear" w:color="auto" w:fill="1B556B"/>
            <w:tcMar>
              <w:top w:w="0" w:type="dxa"/>
              <w:left w:w="108" w:type="dxa"/>
              <w:bottom w:w="0" w:type="dxa"/>
              <w:right w:w="108" w:type="dxa"/>
            </w:tcMar>
          </w:tcPr>
          <w:p w14:paraId="6DBF08A7" w14:textId="77777777" w:rsidR="00422EFE" w:rsidRPr="00261B7A" w:rsidRDefault="00422EFE" w:rsidP="00240807">
            <w:pPr>
              <w:pStyle w:val="TableText"/>
              <w:spacing w:before="30" w:after="30"/>
              <w:rPr>
                <w:b/>
                <w:bCs/>
                <w:color w:val="FFFFFF" w:themeColor="background1"/>
                <w:szCs w:val="16"/>
              </w:rPr>
            </w:pPr>
            <w:r w:rsidRPr="00261B7A">
              <w:rPr>
                <w:rFonts w:eastAsia="Calibri"/>
                <w:b/>
                <w:bCs/>
                <w:color w:val="FFFFFF" w:themeColor="background1"/>
                <w:szCs w:val="16"/>
              </w:rPr>
              <w:t>Year</w:t>
            </w:r>
          </w:p>
        </w:tc>
        <w:tc>
          <w:tcPr>
            <w:tcW w:w="0" w:type="auto"/>
            <w:shd w:val="clear" w:color="auto" w:fill="1B556B"/>
            <w:tcMar>
              <w:top w:w="0" w:type="dxa"/>
              <w:left w:w="108" w:type="dxa"/>
              <w:bottom w:w="0" w:type="dxa"/>
              <w:right w:w="108" w:type="dxa"/>
            </w:tcMar>
          </w:tcPr>
          <w:p w14:paraId="54BBD7B7" w14:textId="77777777" w:rsidR="00422EFE" w:rsidRPr="00261B7A" w:rsidRDefault="00422EFE" w:rsidP="00240807">
            <w:pPr>
              <w:pStyle w:val="TableText"/>
              <w:spacing w:before="30" w:after="30"/>
              <w:jc w:val="right"/>
              <w:rPr>
                <w:b/>
                <w:bCs/>
                <w:color w:val="FFFFFF" w:themeColor="background1"/>
                <w:szCs w:val="16"/>
              </w:rPr>
            </w:pPr>
            <w:r w:rsidRPr="00261B7A">
              <w:rPr>
                <w:rFonts w:eastAsia="Calibri"/>
                <w:b/>
                <w:bCs/>
                <w:color w:val="FFFFFF" w:themeColor="background1"/>
                <w:szCs w:val="16"/>
              </w:rPr>
              <w:t>Sites with LFG recovery (kt)</w:t>
            </w:r>
          </w:p>
        </w:tc>
        <w:tc>
          <w:tcPr>
            <w:tcW w:w="0" w:type="auto"/>
            <w:shd w:val="clear" w:color="auto" w:fill="1B556B"/>
            <w:tcMar>
              <w:top w:w="0" w:type="dxa"/>
              <w:left w:w="108" w:type="dxa"/>
              <w:bottom w:w="0" w:type="dxa"/>
              <w:right w:w="108" w:type="dxa"/>
            </w:tcMar>
          </w:tcPr>
          <w:p w14:paraId="454F7ACC" w14:textId="77777777" w:rsidR="00422EFE" w:rsidRPr="00261B7A" w:rsidRDefault="00422EFE" w:rsidP="00240807">
            <w:pPr>
              <w:pStyle w:val="TableText"/>
              <w:spacing w:before="30" w:after="30"/>
              <w:jc w:val="right"/>
              <w:rPr>
                <w:b/>
                <w:bCs/>
                <w:color w:val="FFFFFF" w:themeColor="background1"/>
                <w:szCs w:val="16"/>
              </w:rPr>
            </w:pPr>
            <w:r w:rsidRPr="00261B7A">
              <w:rPr>
                <w:rFonts w:eastAsia="Calibri"/>
                <w:b/>
                <w:bCs/>
                <w:color w:val="FFFFFF" w:themeColor="background1"/>
                <w:szCs w:val="16"/>
              </w:rPr>
              <w:t>Sites without LFG recovery (kt)</w:t>
            </w:r>
          </w:p>
        </w:tc>
        <w:tc>
          <w:tcPr>
            <w:tcW w:w="0" w:type="auto"/>
            <w:shd w:val="clear" w:color="auto" w:fill="1B556B"/>
            <w:tcMar>
              <w:top w:w="0" w:type="dxa"/>
              <w:left w:w="108" w:type="dxa"/>
              <w:bottom w:w="0" w:type="dxa"/>
              <w:right w:w="108" w:type="dxa"/>
            </w:tcMar>
          </w:tcPr>
          <w:p w14:paraId="1526AC7E" w14:textId="77777777" w:rsidR="00422EFE" w:rsidRPr="00261B7A" w:rsidRDefault="00422EFE" w:rsidP="00240807">
            <w:pPr>
              <w:pStyle w:val="TableText"/>
              <w:spacing w:before="30" w:after="30"/>
              <w:jc w:val="right"/>
              <w:rPr>
                <w:b/>
                <w:bCs/>
                <w:color w:val="FFFFFF" w:themeColor="background1"/>
                <w:szCs w:val="16"/>
              </w:rPr>
            </w:pPr>
            <w:r w:rsidRPr="00261B7A">
              <w:rPr>
                <w:rFonts w:eastAsia="Calibri"/>
                <w:b/>
                <w:bCs/>
                <w:color w:val="FFFFFF" w:themeColor="background1"/>
                <w:szCs w:val="16"/>
              </w:rPr>
              <w:t>Uncategorised sites (kt)</w:t>
            </w:r>
          </w:p>
        </w:tc>
        <w:tc>
          <w:tcPr>
            <w:tcW w:w="0" w:type="auto"/>
            <w:shd w:val="clear" w:color="auto" w:fill="1B556B"/>
            <w:tcMar>
              <w:top w:w="0" w:type="dxa"/>
              <w:left w:w="108" w:type="dxa"/>
              <w:bottom w:w="0" w:type="dxa"/>
              <w:right w:w="108" w:type="dxa"/>
            </w:tcMar>
          </w:tcPr>
          <w:p w14:paraId="07B42316" w14:textId="77777777" w:rsidR="00422EFE" w:rsidRPr="00261B7A" w:rsidRDefault="00422EFE" w:rsidP="00240807">
            <w:pPr>
              <w:pStyle w:val="TableText"/>
              <w:spacing w:before="30" w:after="30"/>
              <w:jc w:val="right"/>
              <w:rPr>
                <w:b/>
                <w:bCs/>
                <w:color w:val="FFFFFF" w:themeColor="background1"/>
                <w:szCs w:val="16"/>
              </w:rPr>
            </w:pPr>
            <w:r w:rsidRPr="00261B7A">
              <w:rPr>
                <w:rFonts w:eastAsia="Calibri"/>
                <w:b/>
                <w:bCs/>
                <w:color w:val="FFFFFF" w:themeColor="background1"/>
                <w:szCs w:val="16"/>
              </w:rPr>
              <w:t>Total (kt)</w:t>
            </w:r>
          </w:p>
        </w:tc>
      </w:tr>
      <w:tr w:rsidR="00422EFE" w:rsidRPr="00261B7A" w14:paraId="2A7A25A7" w14:textId="77777777" w:rsidTr="00D41492">
        <w:tc>
          <w:tcPr>
            <w:tcW w:w="0" w:type="auto"/>
            <w:shd w:val="clear" w:color="auto" w:fill="FFFFFF"/>
            <w:tcMar>
              <w:top w:w="0" w:type="dxa"/>
              <w:left w:w="108" w:type="dxa"/>
              <w:bottom w:w="0" w:type="dxa"/>
              <w:right w:w="108" w:type="dxa"/>
            </w:tcMar>
          </w:tcPr>
          <w:p w14:paraId="7728CA19" w14:textId="77777777" w:rsidR="00422EFE" w:rsidRPr="00261B7A" w:rsidRDefault="00422EFE" w:rsidP="00240807">
            <w:pPr>
              <w:pStyle w:val="TableText"/>
              <w:spacing w:before="30" w:after="30"/>
            </w:pPr>
            <w:r w:rsidRPr="00261B7A">
              <w:rPr>
                <w:rFonts w:eastAsia="Calibri"/>
              </w:rPr>
              <w:t>1950</w:t>
            </w:r>
          </w:p>
        </w:tc>
        <w:tc>
          <w:tcPr>
            <w:tcW w:w="0" w:type="auto"/>
            <w:shd w:val="clear" w:color="auto" w:fill="FFFFFF"/>
            <w:tcMar>
              <w:top w:w="0" w:type="dxa"/>
              <w:left w:w="108" w:type="dxa"/>
              <w:bottom w:w="0" w:type="dxa"/>
              <w:right w:w="108" w:type="dxa"/>
            </w:tcMar>
          </w:tcPr>
          <w:p w14:paraId="72DE221B" w14:textId="77777777" w:rsidR="00422EFE" w:rsidRPr="00261B7A" w:rsidRDefault="00422EFE" w:rsidP="00240807">
            <w:pPr>
              <w:pStyle w:val="TableText"/>
              <w:spacing w:before="30" w:after="30"/>
              <w:jc w:val="right"/>
              <w:rPr>
                <w:szCs w:val="16"/>
              </w:rPr>
            </w:pPr>
            <w:r w:rsidRPr="00261B7A">
              <w:rPr>
                <w:rFonts w:eastAsia="Calibri"/>
                <w:color w:val="000000"/>
                <w:szCs w:val="16"/>
              </w:rPr>
              <w:t>33.7</w:t>
            </w:r>
          </w:p>
        </w:tc>
        <w:tc>
          <w:tcPr>
            <w:tcW w:w="0" w:type="auto"/>
            <w:shd w:val="clear" w:color="auto" w:fill="FFFFFF"/>
            <w:tcMar>
              <w:top w:w="0" w:type="dxa"/>
              <w:left w:w="108" w:type="dxa"/>
              <w:bottom w:w="0" w:type="dxa"/>
              <w:right w:w="108" w:type="dxa"/>
            </w:tcMar>
          </w:tcPr>
          <w:p w14:paraId="4ECF5DEB" w14:textId="77777777" w:rsidR="00422EFE" w:rsidRPr="00261B7A" w:rsidRDefault="00422EFE" w:rsidP="00240807">
            <w:pPr>
              <w:pStyle w:val="TableText"/>
              <w:spacing w:before="30" w:after="30"/>
              <w:jc w:val="right"/>
              <w:rPr>
                <w:szCs w:val="16"/>
              </w:rPr>
            </w:pPr>
            <w:r w:rsidRPr="00261B7A">
              <w:rPr>
                <w:rFonts w:eastAsia="Calibri"/>
                <w:color w:val="000000"/>
                <w:szCs w:val="16"/>
              </w:rPr>
              <w:t>74.7</w:t>
            </w:r>
          </w:p>
        </w:tc>
        <w:tc>
          <w:tcPr>
            <w:tcW w:w="0" w:type="auto"/>
            <w:shd w:val="clear" w:color="auto" w:fill="FFFFFF"/>
            <w:tcMar>
              <w:top w:w="0" w:type="dxa"/>
              <w:left w:w="108" w:type="dxa"/>
              <w:bottom w:w="0" w:type="dxa"/>
              <w:right w:w="108" w:type="dxa"/>
            </w:tcMar>
          </w:tcPr>
          <w:p w14:paraId="0452E0CF" w14:textId="77777777" w:rsidR="00422EFE" w:rsidRPr="00261B7A" w:rsidRDefault="00422EFE" w:rsidP="00240807">
            <w:pPr>
              <w:pStyle w:val="TableText"/>
              <w:spacing w:before="30" w:after="30"/>
              <w:jc w:val="right"/>
              <w:rPr>
                <w:szCs w:val="16"/>
              </w:rPr>
            </w:pPr>
            <w:r w:rsidRPr="00261B7A">
              <w:rPr>
                <w:rFonts w:eastAsia="Calibri"/>
                <w:color w:val="000000"/>
                <w:szCs w:val="16"/>
              </w:rPr>
              <w:t>8.3</w:t>
            </w:r>
          </w:p>
        </w:tc>
        <w:tc>
          <w:tcPr>
            <w:tcW w:w="0" w:type="auto"/>
            <w:shd w:val="clear" w:color="auto" w:fill="FFFFFF"/>
            <w:tcMar>
              <w:top w:w="0" w:type="dxa"/>
              <w:left w:w="108" w:type="dxa"/>
              <w:bottom w:w="0" w:type="dxa"/>
              <w:right w:w="108" w:type="dxa"/>
            </w:tcMar>
          </w:tcPr>
          <w:p w14:paraId="7A870FE8" w14:textId="77777777" w:rsidR="00422EFE" w:rsidRPr="00261B7A" w:rsidRDefault="00422EFE" w:rsidP="00240807">
            <w:pPr>
              <w:pStyle w:val="TableText"/>
              <w:spacing w:before="30" w:after="30"/>
              <w:jc w:val="right"/>
              <w:rPr>
                <w:szCs w:val="16"/>
              </w:rPr>
            </w:pPr>
            <w:r w:rsidRPr="00261B7A">
              <w:rPr>
                <w:rFonts w:eastAsia="Calibri"/>
                <w:color w:val="000000"/>
                <w:szCs w:val="16"/>
              </w:rPr>
              <w:t>116.6</w:t>
            </w:r>
          </w:p>
        </w:tc>
      </w:tr>
      <w:tr w:rsidR="00422EFE" w:rsidRPr="00261B7A" w14:paraId="1D5ED181" w14:textId="77777777" w:rsidTr="00D41492">
        <w:tc>
          <w:tcPr>
            <w:tcW w:w="0" w:type="auto"/>
            <w:shd w:val="clear" w:color="auto" w:fill="FFFFFF"/>
            <w:tcMar>
              <w:top w:w="0" w:type="dxa"/>
              <w:left w:w="108" w:type="dxa"/>
              <w:bottom w:w="0" w:type="dxa"/>
              <w:right w:w="108" w:type="dxa"/>
            </w:tcMar>
          </w:tcPr>
          <w:p w14:paraId="2B034093" w14:textId="77777777" w:rsidR="00422EFE" w:rsidRPr="00261B7A" w:rsidRDefault="00422EFE" w:rsidP="00240807">
            <w:pPr>
              <w:pStyle w:val="TableText"/>
              <w:spacing w:before="30" w:after="30"/>
            </w:pPr>
            <w:r w:rsidRPr="00261B7A">
              <w:rPr>
                <w:rFonts w:eastAsia="Calibri"/>
              </w:rPr>
              <w:t>1951</w:t>
            </w:r>
          </w:p>
        </w:tc>
        <w:tc>
          <w:tcPr>
            <w:tcW w:w="0" w:type="auto"/>
            <w:shd w:val="clear" w:color="auto" w:fill="FFFFFF"/>
            <w:tcMar>
              <w:top w:w="0" w:type="dxa"/>
              <w:left w:w="108" w:type="dxa"/>
              <w:bottom w:w="0" w:type="dxa"/>
              <w:right w:w="108" w:type="dxa"/>
            </w:tcMar>
          </w:tcPr>
          <w:p w14:paraId="36D11720" w14:textId="77777777" w:rsidR="00422EFE" w:rsidRPr="00261B7A" w:rsidRDefault="00422EFE" w:rsidP="00240807">
            <w:pPr>
              <w:pStyle w:val="TableText"/>
              <w:spacing w:before="30" w:after="30"/>
              <w:jc w:val="right"/>
              <w:rPr>
                <w:szCs w:val="16"/>
              </w:rPr>
            </w:pPr>
            <w:r w:rsidRPr="00261B7A">
              <w:rPr>
                <w:rFonts w:eastAsia="Calibri"/>
                <w:color w:val="000000"/>
                <w:szCs w:val="16"/>
              </w:rPr>
              <w:t>77.5</w:t>
            </w:r>
          </w:p>
        </w:tc>
        <w:tc>
          <w:tcPr>
            <w:tcW w:w="0" w:type="auto"/>
            <w:shd w:val="clear" w:color="auto" w:fill="FFFFFF"/>
            <w:tcMar>
              <w:top w:w="0" w:type="dxa"/>
              <w:left w:w="108" w:type="dxa"/>
              <w:bottom w:w="0" w:type="dxa"/>
              <w:right w:w="108" w:type="dxa"/>
            </w:tcMar>
          </w:tcPr>
          <w:p w14:paraId="0E710AA8" w14:textId="77777777" w:rsidR="00422EFE" w:rsidRPr="00261B7A" w:rsidRDefault="00422EFE" w:rsidP="00240807">
            <w:pPr>
              <w:pStyle w:val="TableText"/>
              <w:spacing w:before="30" w:after="30"/>
              <w:jc w:val="right"/>
              <w:rPr>
                <w:szCs w:val="16"/>
              </w:rPr>
            </w:pPr>
            <w:r w:rsidRPr="00261B7A">
              <w:rPr>
                <w:rFonts w:eastAsia="Calibri"/>
                <w:color w:val="000000"/>
                <w:szCs w:val="16"/>
              </w:rPr>
              <w:t>164.7</w:t>
            </w:r>
          </w:p>
        </w:tc>
        <w:tc>
          <w:tcPr>
            <w:tcW w:w="0" w:type="auto"/>
            <w:shd w:val="clear" w:color="auto" w:fill="FFFFFF"/>
            <w:tcMar>
              <w:top w:w="0" w:type="dxa"/>
              <w:left w:w="108" w:type="dxa"/>
              <w:bottom w:w="0" w:type="dxa"/>
              <w:right w:w="108" w:type="dxa"/>
            </w:tcMar>
          </w:tcPr>
          <w:p w14:paraId="21B29551" w14:textId="77777777" w:rsidR="00422EFE" w:rsidRPr="00261B7A" w:rsidRDefault="00422EFE" w:rsidP="00240807">
            <w:pPr>
              <w:pStyle w:val="TableText"/>
              <w:spacing w:before="30" w:after="30"/>
              <w:jc w:val="right"/>
              <w:rPr>
                <w:szCs w:val="16"/>
              </w:rPr>
            </w:pPr>
            <w:r w:rsidRPr="00261B7A">
              <w:rPr>
                <w:rFonts w:eastAsia="Calibri"/>
                <w:color w:val="000000"/>
                <w:szCs w:val="16"/>
              </w:rPr>
              <w:t>18.3</w:t>
            </w:r>
          </w:p>
        </w:tc>
        <w:tc>
          <w:tcPr>
            <w:tcW w:w="0" w:type="auto"/>
            <w:shd w:val="clear" w:color="auto" w:fill="FFFFFF"/>
            <w:tcMar>
              <w:top w:w="0" w:type="dxa"/>
              <w:left w:w="108" w:type="dxa"/>
              <w:bottom w:w="0" w:type="dxa"/>
              <w:right w:w="108" w:type="dxa"/>
            </w:tcMar>
          </w:tcPr>
          <w:p w14:paraId="5B170670" w14:textId="77777777" w:rsidR="00422EFE" w:rsidRPr="00261B7A" w:rsidRDefault="00422EFE" w:rsidP="00240807">
            <w:pPr>
              <w:pStyle w:val="TableText"/>
              <w:spacing w:before="30" w:after="30"/>
              <w:jc w:val="right"/>
              <w:rPr>
                <w:szCs w:val="16"/>
              </w:rPr>
            </w:pPr>
            <w:r w:rsidRPr="00261B7A">
              <w:rPr>
                <w:rFonts w:eastAsia="Calibri"/>
                <w:color w:val="000000"/>
                <w:szCs w:val="16"/>
              </w:rPr>
              <w:t>260.6</w:t>
            </w:r>
          </w:p>
        </w:tc>
      </w:tr>
      <w:tr w:rsidR="00422EFE" w:rsidRPr="00261B7A" w14:paraId="3DB3D770" w14:textId="77777777" w:rsidTr="00D41492">
        <w:tc>
          <w:tcPr>
            <w:tcW w:w="0" w:type="auto"/>
            <w:shd w:val="clear" w:color="auto" w:fill="FFFFFF"/>
            <w:tcMar>
              <w:top w:w="0" w:type="dxa"/>
              <w:left w:w="108" w:type="dxa"/>
              <w:bottom w:w="0" w:type="dxa"/>
              <w:right w:w="108" w:type="dxa"/>
            </w:tcMar>
          </w:tcPr>
          <w:p w14:paraId="5997FB08" w14:textId="77777777" w:rsidR="00422EFE" w:rsidRPr="00261B7A" w:rsidRDefault="00422EFE" w:rsidP="00240807">
            <w:pPr>
              <w:pStyle w:val="TableText"/>
              <w:spacing w:before="30" w:after="30"/>
            </w:pPr>
            <w:r w:rsidRPr="00261B7A">
              <w:rPr>
                <w:rFonts w:eastAsia="Calibri"/>
              </w:rPr>
              <w:t>1952</w:t>
            </w:r>
          </w:p>
        </w:tc>
        <w:tc>
          <w:tcPr>
            <w:tcW w:w="0" w:type="auto"/>
            <w:shd w:val="clear" w:color="auto" w:fill="FFFFFF"/>
            <w:tcMar>
              <w:top w:w="0" w:type="dxa"/>
              <w:left w:w="108" w:type="dxa"/>
              <w:bottom w:w="0" w:type="dxa"/>
              <w:right w:w="108" w:type="dxa"/>
            </w:tcMar>
          </w:tcPr>
          <w:p w14:paraId="36865273" w14:textId="77777777" w:rsidR="00422EFE" w:rsidRPr="00261B7A" w:rsidRDefault="00422EFE" w:rsidP="00240807">
            <w:pPr>
              <w:pStyle w:val="TableText"/>
              <w:spacing w:before="30" w:after="30"/>
              <w:jc w:val="right"/>
              <w:rPr>
                <w:szCs w:val="16"/>
              </w:rPr>
            </w:pPr>
            <w:r w:rsidRPr="00261B7A">
              <w:rPr>
                <w:rFonts w:eastAsia="Calibri"/>
                <w:color w:val="000000"/>
                <w:szCs w:val="16"/>
              </w:rPr>
              <w:t>77.5</w:t>
            </w:r>
          </w:p>
        </w:tc>
        <w:tc>
          <w:tcPr>
            <w:tcW w:w="0" w:type="auto"/>
            <w:shd w:val="clear" w:color="auto" w:fill="FFFFFF"/>
            <w:tcMar>
              <w:top w:w="0" w:type="dxa"/>
              <w:left w:w="108" w:type="dxa"/>
              <w:bottom w:w="0" w:type="dxa"/>
              <w:right w:w="108" w:type="dxa"/>
            </w:tcMar>
          </w:tcPr>
          <w:p w14:paraId="5A15D8DF" w14:textId="77777777" w:rsidR="00422EFE" w:rsidRPr="00261B7A" w:rsidRDefault="00422EFE" w:rsidP="00240807">
            <w:pPr>
              <w:pStyle w:val="TableText"/>
              <w:spacing w:before="30" w:after="30"/>
              <w:jc w:val="right"/>
              <w:rPr>
                <w:szCs w:val="16"/>
              </w:rPr>
            </w:pPr>
            <w:r w:rsidRPr="00261B7A">
              <w:rPr>
                <w:rFonts w:eastAsia="Calibri"/>
                <w:color w:val="000000"/>
                <w:szCs w:val="16"/>
              </w:rPr>
              <w:t>118.7</w:t>
            </w:r>
          </w:p>
        </w:tc>
        <w:tc>
          <w:tcPr>
            <w:tcW w:w="0" w:type="auto"/>
            <w:shd w:val="clear" w:color="auto" w:fill="FFFFFF"/>
            <w:tcMar>
              <w:top w:w="0" w:type="dxa"/>
              <w:left w:w="108" w:type="dxa"/>
              <w:bottom w:w="0" w:type="dxa"/>
              <w:right w:w="108" w:type="dxa"/>
            </w:tcMar>
          </w:tcPr>
          <w:p w14:paraId="132DCDB6" w14:textId="77777777" w:rsidR="00422EFE" w:rsidRPr="00261B7A" w:rsidRDefault="00422EFE" w:rsidP="00240807">
            <w:pPr>
              <w:pStyle w:val="TableText"/>
              <w:spacing w:before="30" w:after="30"/>
              <w:jc w:val="right"/>
              <w:rPr>
                <w:szCs w:val="16"/>
              </w:rPr>
            </w:pPr>
            <w:r w:rsidRPr="00261B7A">
              <w:rPr>
                <w:rFonts w:eastAsia="Calibri"/>
                <w:color w:val="000000"/>
                <w:szCs w:val="16"/>
              </w:rPr>
              <w:t>13.2</w:t>
            </w:r>
          </w:p>
        </w:tc>
        <w:tc>
          <w:tcPr>
            <w:tcW w:w="0" w:type="auto"/>
            <w:shd w:val="clear" w:color="auto" w:fill="FFFFFF"/>
            <w:tcMar>
              <w:top w:w="0" w:type="dxa"/>
              <w:left w:w="108" w:type="dxa"/>
              <w:bottom w:w="0" w:type="dxa"/>
              <w:right w:w="108" w:type="dxa"/>
            </w:tcMar>
          </w:tcPr>
          <w:p w14:paraId="5F398BC4" w14:textId="77777777" w:rsidR="00422EFE" w:rsidRPr="00261B7A" w:rsidRDefault="00422EFE" w:rsidP="00240807">
            <w:pPr>
              <w:pStyle w:val="TableText"/>
              <w:spacing w:before="30" w:after="30"/>
              <w:jc w:val="right"/>
              <w:rPr>
                <w:szCs w:val="16"/>
              </w:rPr>
            </w:pPr>
            <w:r w:rsidRPr="00261B7A">
              <w:rPr>
                <w:rFonts w:eastAsia="Calibri"/>
                <w:color w:val="000000"/>
                <w:szCs w:val="16"/>
              </w:rPr>
              <w:t>209.4</w:t>
            </w:r>
          </w:p>
        </w:tc>
      </w:tr>
      <w:tr w:rsidR="00422EFE" w:rsidRPr="00261B7A" w14:paraId="7ADCDBED" w14:textId="77777777" w:rsidTr="00D41492">
        <w:tc>
          <w:tcPr>
            <w:tcW w:w="0" w:type="auto"/>
            <w:shd w:val="clear" w:color="auto" w:fill="FFFFFF"/>
            <w:tcMar>
              <w:top w:w="0" w:type="dxa"/>
              <w:left w:w="108" w:type="dxa"/>
              <w:bottom w:w="0" w:type="dxa"/>
              <w:right w:w="108" w:type="dxa"/>
            </w:tcMar>
          </w:tcPr>
          <w:p w14:paraId="375CB97B" w14:textId="77777777" w:rsidR="00422EFE" w:rsidRPr="00261B7A" w:rsidRDefault="00422EFE" w:rsidP="00240807">
            <w:pPr>
              <w:pStyle w:val="TableText"/>
              <w:spacing w:before="30" w:after="30"/>
            </w:pPr>
            <w:r w:rsidRPr="00261B7A">
              <w:rPr>
                <w:rFonts w:eastAsia="Calibri"/>
              </w:rPr>
              <w:t>1953</w:t>
            </w:r>
          </w:p>
        </w:tc>
        <w:tc>
          <w:tcPr>
            <w:tcW w:w="0" w:type="auto"/>
            <w:shd w:val="clear" w:color="auto" w:fill="FFFFFF"/>
            <w:tcMar>
              <w:top w:w="0" w:type="dxa"/>
              <w:left w:w="108" w:type="dxa"/>
              <w:bottom w:w="0" w:type="dxa"/>
              <w:right w:w="108" w:type="dxa"/>
            </w:tcMar>
          </w:tcPr>
          <w:p w14:paraId="7B447CB2" w14:textId="77777777" w:rsidR="00422EFE" w:rsidRPr="00261B7A" w:rsidRDefault="00422EFE" w:rsidP="00240807">
            <w:pPr>
              <w:pStyle w:val="TableText"/>
              <w:spacing w:before="30" w:after="30"/>
              <w:jc w:val="right"/>
              <w:rPr>
                <w:szCs w:val="16"/>
              </w:rPr>
            </w:pPr>
            <w:r w:rsidRPr="00261B7A">
              <w:rPr>
                <w:rFonts w:eastAsia="Calibri"/>
                <w:color w:val="000000"/>
                <w:szCs w:val="16"/>
              </w:rPr>
              <w:t>77.5</w:t>
            </w:r>
          </w:p>
        </w:tc>
        <w:tc>
          <w:tcPr>
            <w:tcW w:w="0" w:type="auto"/>
            <w:shd w:val="clear" w:color="auto" w:fill="FFFFFF"/>
            <w:tcMar>
              <w:top w:w="0" w:type="dxa"/>
              <w:left w:w="108" w:type="dxa"/>
              <w:bottom w:w="0" w:type="dxa"/>
              <w:right w:w="108" w:type="dxa"/>
            </w:tcMar>
          </w:tcPr>
          <w:p w14:paraId="0D70B0C7" w14:textId="77777777" w:rsidR="00422EFE" w:rsidRPr="00261B7A" w:rsidRDefault="00422EFE" w:rsidP="00240807">
            <w:pPr>
              <w:pStyle w:val="TableText"/>
              <w:spacing w:before="30" w:after="30"/>
              <w:jc w:val="right"/>
              <w:rPr>
                <w:szCs w:val="16"/>
              </w:rPr>
            </w:pPr>
            <w:r w:rsidRPr="00261B7A">
              <w:rPr>
                <w:rFonts w:eastAsia="Calibri"/>
                <w:color w:val="000000"/>
                <w:szCs w:val="16"/>
              </w:rPr>
              <w:t>127.3</w:t>
            </w:r>
          </w:p>
        </w:tc>
        <w:tc>
          <w:tcPr>
            <w:tcW w:w="0" w:type="auto"/>
            <w:shd w:val="clear" w:color="auto" w:fill="FFFFFF"/>
            <w:tcMar>
              <w:top w:w="0" w:type="dxa"/>
              <w:left w:w="108" w:type="dxa"/>
              <w:bottom w:w="0" w:type="dxa"/>
              <w:right w:w="108" w:type="dxa"/>
            </w:tcMar>
          </w:tcPr>
          <w:p w14:paraId="373A7C5D" w14:textId="77777777" w:rsidR="00422EFE" w:rsidRPr="00261B7A" w:rsidRDefault="00422EFE" w:rsidP="00240807">
            <w:pPr>
              <w:pStyle w:val="TableText"/>
              <w:spacing w:before="30" w:after="30"/>
              <w:jc w:val="right"/>
              <w:rPr>
                <w:szCs w:val="16"/>
              </w:rPr>
            </w:pPr>
            <w:r w:rsidRPr="00261B7A">
              <w:rPr>
                <w:rFonts w:eastAsia="Calibri"/>
                <w:color w:val="000000"/>
                <w:szCs w:val="16"/>
              </w:rPr>
              <w:t>14.1</w:t>
            </w:r>
          </w:p>
        </w:tc>
        <w:tc>
          <w:tcPr>
            <w:tcW w:w="0" w:type="auto"/>
            <w:shd w:val="clear" w:color="auto" w:fill="FFFFFF"/>
            <w:tcMar>
              <w:top w:w="0" w:type="dxa"/>
              <w:left w:w="108" w:type="dxa"/>
              <w:bottom w:w="0" w:type="dxa"/>
              <w:right w:w="108" w:type="dxa"/>
            </w:tcMar>
          </w:tcPr>
          <w:p w14:paraId="59C1CCDB" w14:textId="66B4019D" w:rsidR="00422EFE" w:rsidRPr="00261B7A" w:rsidRDefault="00422EFE" w:rsidP="00240807">
            <w:pPr>
              <w:pStyle w:val="TableText"/>
              <w:spacing w:before="30" w:after="30"/>
              <w:jc w:val="right"/>
              <w:rPr>
                <w:szCs w:val="16"/>
              </w:rPr>
            </w:pPr>
            <w:r w:rsidRPr="00261B7A">
              <w:rPr>
                <w:rFonts w:eastAsia="Calibri"/>
                <w:color w:val="000000"/>
                <w:szCs w:val="16"/>
              </w:rPr>
              <w:t>219</w:t>
            </w:r>
            <w:r w:rsidR="0044625C" w:rsidRPr="00261B7A">
              <w:rPr>
                <w:rFonts w:eastAsia="Calibri"/>
                <w:color w:val="000000"/>
                <w:szCs w:val="16"/>
              </w:rPr>
              <w:t>.0</w:t>
            </w:r>
          </w:p>
        </w:tc>
      </w:tr>
      <w:tr w:rsidR="00422EFE" w:rsidRPr="00261B7A" w14:paraId="29990B88" w14:textId="77777777" w:rsidTr="00D41492">
        <w:tc>
          <w:tcPr>
            <w:tcW w:w="0" w:type="auto"/>
            <w:shd w:val="clear" w:color="auto" w:fill="FFFFFF"/>
            <w:tcMar>
              <w:top w:w="0" w:type="dxa"/>
              <w:left w:w="108" w:type="dxa"/>
              <w:bottom w:w="0" w:type="dxa"/>
              <w:right w:w="108" w:type="dxa"/>
            </w:tcMar>
          </w:tcPr>
          <w:p w14:paraId="05EE024C" w14:textId="77777777" w:rsidR="00422EFE" w:rsidRPr="00261B7A" w:rsidRDefault="00422EFE" w:rsidP="00240807">
            <w:pPr>
              <w:pStyle w:val="TableText"/>
              <w:spacing w:before="30" w:after="30"/>
            </w:pPr>
            <w:r w:rsidRPr="00261B7A">
              <w:rPr>
                <w:rFonts w:eastAsia="Calibri"/>
              </w:rPr>
              <w:t>1954</w:t>
            </w:r>
          </w:p>
        </w:tc>
        <w:tc>
          <w:tcPr>
            <w:tcW w:w="0" w:type="auto"/>
            <w:shd w:val="clear" w:color="auto" w:fill="FFFFFF"/>
            <w:tcMar>
              <w:top w:w="0" w:type="dxa"/>
              <w:left w:w="108" w:type="dxa"/>
              <w:bottom w:w="0" w:type="dxa"/>
              <w:right w:w="108" w:type="dxa"/>
            </w:tcMar>
          </w:tcPr>
          <w:p w14:paraId="16DAC001" w14:textId="77777777" w:rsidR="00422EFE" w:rsidRPr="00261B7A" w:rsidRDefault="00422EFE" w:rsidP="00240807">
            <w:pPr>
              <w:pStyle w:val="TableText"/>
              <w:spacing w:before="30" w:after="30"/>
              <w:jc w:val="right"/>
              <w:rPr>
                <w:szCs w:val="16"/>
              </w:rPr>
            </w:pPr>
            <w:r w:rsidRPr="00261B7A">
              <w:rPr>
                <w:rFonts w:eastAsia="Calibri"/>
                <w:color w:val="000000"/>
                <w:szCs w:val="16"/>
              </w:rPr>
              <w:t>77.5</w:t>
            </w:r>
          </w:p>
        </w:tc>
        <w:tc>
          <w:tcPr>
            <w:tcW w:w="0" w:type="auto"/>
            <w:shd w:val="clear" w:color="auto" w:fill="FFFFFF"/>
            <w:tcMar>
              <w:top w:w="0" w:type="dxa"/>
              <w:left w:w="108" w:type="dxa"/>
              <w:bottom w:w="0" w:type="dxa"/>
              <w:right w:w="108" w:type="dxa"/>
            </w:tcMar>
          </w:tcPr>
          <w:p w14:paraId="6104A826" w14:textId="77777777" w:rsidR="00422EFE" w:rsidRPr="00261B7A" w:rsidRDefault="00422EFE" w:rsidP="00240807">
            <w:pPr>
              <w:pStyle w:val="TableText"/>
              <w:spacing w:before="30" w:after="30"/>
              <w:jc w:val="right"/>
              <w:rPr>
                <w:szCs w:val="16"/>
              </w:rPr>
            </w:pPr>
            <w:r w:rsidRPr="00261B7A">
              <w:rPr>
                <w:rFonts w:eastAsia="Calibri"/>
                <w:color w:val="000000"/>
                <w:szCs w:val="16"/>
              </w:rPr>
              <w:t>195.3</w:t>
            </w:r>
          </w:p>
        </w:tc>
        <w:tc>
          <w:tcPr>
            <w:tcW w:w="0" w:type="auto"/>
            <w:shd w:val="clear" w:color="auto" w:fill="FFFFFF"/>
            <w:tcMar>
              <w:top w:w="0" w:type="dxa"/>
              <w:left w:w="108" w:type="dxa"/>
              <w:bottom w:w="0" w:type="dxa"/>
              <w:right w:w="108" w:type="dxa"/>
            </w:tcMar>
          </w:tcPr>
          <w:p w14:paraId="0AB3A614" w14:textId="77777777" w:rsidR="00422EFE" w:rsidRPr="00261B7A" w:rsidRDefault="00422EFE" w:rsidP="00240807">
            <w:pPr>
              <w:pStyle w:val="TableText"/>
              <w:spacing w:before="30" w:after="30"/>
              <w:jc w:val="right"/>
              <w:rPr>
                <w:szCs w:val="16"/>
              </w:rPr>
            </w:pPr>
            <w:r w:rsidRPr="00261B7A">
              <w:rPr>
                <w:rFonts w:eastAsia="Calibri"/>
                <w:color w:val="000000"/>
                <w:szCs w:val="16"/>
              </w:rPr>
              <w:t>21.7</w:t>
            </w:r>
          </w:p>
        </w:tc>
        <w:tc>
          <w:tcPr>
            <w:tcW w:w="0" w:type="auto"/>
            <w:shd w:val="clear" w:color="auto" w:fill="FFFFFF"/>
            <w:tcMar>
              <w:top w:w="0" w:type="dxa"/>
              <w:left w:w="108" w:type="dxa"/>
              <w:bottom w:w="0" w:type="dxa"/>
              <w:right w:w="108" w:type="dxa"/>
            </w:tcMar>
          </w:tcPr>
          <w:p w14:paraId="28F712CD" w14:textId="77777777" w:rsidR="00422EFE" w:rsidRPr="00261B7A" w:rsidRDefault="00422EFE" w:rsidP="00240807">
            <w:pPr>
              <w:pStyle w:val="TableText"/>
              <w:spacing w:before="30" w:after="30"/>
              <w:jc w:val="right"/>
              <w:rPr>
                <w:szCs w:val="16"/>
              </w:rPr>
            </w:pPr>
            <w:r w:rsidRPr="00261B7A">
              <w:rPr>
                <w:rFonts w:eastAsia="Calibri"/>
                <w:color w:val="000000"/>
                <w:szCs w:val="16"/>
              </w:rPr>
              <w:t>294.5</w:t>
            </w:r>
          </w:p>
        </w:tc>
      </w:tr>
      <w:tr w:rsidR="00422EFE" w:rsidRPr="00261B7A" w14:paraId="697BF9A9" w14:textId="77777777" w:rsidTr="00D41492">
        <w:tc>
          <w:tcPr>
            <w:tcW w:w="0" w:type="auto"/>
            <w:shd w:val="clear" w:color="auto" w:fill="FFFFFF"/>
            <w:tcMar>
              <w:top w:w="0" w:type="dxa"/>
              <w:left w:w="108" w:type="dxa"/>
              <w:bottom w:w="0" w:type="dxa"/>
              <w:right w:w="108" w:type="dxa"/>
            </w:tcMar>
          </w:tcPr>
          <w:p w14:paraId="6F5C17B3" w14:textId="77777777" w:rsidR="00422EFE" w:rsidRPr="00261B7A" w:rsidRDefault="00422EFE" w:rsidP="00240807">
            <w:pPr>
              <w:pStyle w:val="TableText"/>
              <w:spacing w:before="30" w:after="30"/>
            </w:pPr>
            <w:r w:rsidRPr="00261B7A">
              <w:rPr>
                <w:rFonts w:eastAsia="Calibri"/>
              </w:rPr>
              <w:t>1955</w:t>
            </w:r>
          </w:p>
        </w:tc>
        <w:tc>
          <w:tcPr>
            <w:tcW w:w="0" w:type="auto"/>
            <w:shd w:val="clear" w:color="auto" w:fill="FFFFFF"/>
            <w:tcMar>
              <w:top w:w="0" w:type="dxa"/>
              <w:left w:w="108" w:type="dxa"/>
              <w:bottom w:w="0" w:type="dxa"/>
              <w:right w:w="108" w:type="dxa"/>
            </w:tcMar>
          </w:tcPr>
          <w:p w14:paraId="3B06302E" w14:textId="77777777" w:rsidR="00422EFE" w:rsidRPr="00261B7A" w:rsidRDefault="00422EFE" w:rsidP="00240807">
            <w:pPr>
              <w:pStyle w:val="TableText"/>
              <w:spacing w:before="30" w:after="30"/>
              <w:jc w:val="right"/>
              <w:rPr>
                <w:szCs w:val="16"/>
              </w:rPr>
            </w:pPr>
            <w:r w:rsidRPr="00261B7A">
              <w:rPr>
                <w:rFonts w:eastAsia="Calibri"/>
                <w:color w:val="000000"/>
                <w:szCs w:val="16"/>
              </w:rPr>
              <w:t>181.7</w:t>
            </w:r>
          </w:p>
        </w:tc>
        <w:tc>
          <w:tcPr>
            <w:tcW w:w="0" w:type="auto"/>
            <w:shd w:val="clear" w:color="auto" w:fill="FFFFFF"/>
            <w:tcMar>
              <w:top w:w="0" w:type="dxa"/>
              <w:left w:w="108" w:type="dxa"/>
              <w:bottom w:w="0" w:type="dxa"/>
              <w:right w:w="108" w:type="dxa"/>
            </w:tcMar>
          </w:tcPr>
          <w:p w14:paraId="77731BD1" w14:textId="77777777" w:rsidR="00422EFE" w:rsidRPr="00261B7A" w:rsidRDefault="00422EFE" w:rsidP="00240807">
            <w:pPr>
              <w:pStyle w:val="TableText"/>
              <w:spacing w:before="30" w:after="30"/>
              <w:jc w:val="right"/>
              <w:rPr>
                <w:szCs w:val="16"/>
              </w:rPr>
            </w:pPr>
            <w:r w:rsidRPr="00261B7A">
              <w:rPr>
                <w:rFonts w:eastAsia="Calibri"/>
                <w:color w:val="000000"/>
                <w:szCs w:val="16"/>
              </w:rPr>
              <w:t>180.3</w:t>
            </w:r>
          </w:p>
        </w:tc>
        <w:tc>
          <w:tcPr>
            <w:tcW w:w="0" w:type="auto"/>
            <w:shd w:val="clear" w:color="auto" w:fill="FFFFFF"/>
            <w:tcMar>
              <w:top w:w="0" w:type="dxa"/>
              <w:left w:w="108" w:type="dxa"/>
              <w:bottom w:w="0" w:type="dxa"/>
              <w:right w:w="108" w:type="dxa"/>
            </w:tcMar>
          </w:tcPr>
          <w:p w14:paraId="15FF093B" w14:textId="293E3439" w:rsidR="00422EFE" w:rsidRPr="00261B7A" w:rsidRDefault="00422EFE" w:rsidP="00240807">
            <w:pPr>
              <w:pStyle w:val="TableText"/>
              <w:spacing w:before="30" w:after="30"/>
              <w:jc w:val="right"/>
              <w:rPr>
                <w:szCs w:val="16"/>
              </w:rPr>
            </w:pPr>
            <w:r w:rsidRPr="00261B7A">
              <w:rPr>
                <w:rFonts w:eastAsia="Calibri"/>
                <w:color w:val="000000"/>
                <w:szCs w:val="16"/>
              </w:rPr>
              <w:t>20</w:t>
            </w:r>
            <w:r w:rsidR="001B5958"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7411C9EA" w14:textId="77777777" w:rsidR="00422EFE" w:rsidRPr="00261B7A" w:rsidRDefault="00422EFE" w:rsidP="00240807">
            <w:pPr>
              <w:pStyle w:val="TableText"/>
              <w:spacing w:before="30" w:after="30"/>
              <w:jc w:val="right"/>
              <w:rPr>
                <w:szCs w:val="16"/>
              </w:rPr>
            </w:pPr>
            <w:r w:rsidRPr="00261B7A">
              <w:rPr>
                <w:rFonts w:eastAsia="Calibri"/>
                <w:color w:val="000000"/>
                <w:szCs w:val="16"/>
              </w:rPr>
              <w:t>382.1</w:t>
            </w:r>
          </w:p>
        </w:tc>
      </w:tr>
      <w:tr w:rsidR="00422EFE" w:rsidRPr="00261B7A" w14:paraId="3FF59E7C" w14:textId="77777777" w:rsidTr="00D41492">
        <w:tc>
          <w:tcPr>
            <w:tcW w:w="0" w:type="auto"/>
            <w:shd w:val="clear" w:color="auto" w:fill="FFFFFF"/>
            <w:tcMar>
              <w:top w:w="0" w:type="dxa"/>
              <w:left w:w="108" w:type="dxa"/>
              <w:bottom w:w="0" w:type="dxa"/>
              <w:right w:w="108" w:type="dxa"/>
            </w:tcMar>
          </w:tcPr>
          <w:p w14:paraId="5425B8B6" w14:textId="77777777" w:rsidR="00422EFE" w:rsidRPr="00261B7A" w:rsidRDefault="00422EFE" w:rsidP="00240807">
            <w:pPr>
              <w:pStyle w:val="TableText"/>
              <w:spacing w:before="30" w:after="30"/>
            </w:pPr>
            <w:r w:rsidRPr="00261B7A">
              <w:rPr>
                <w:rFonts w:eastAsia="Calibri"/>
              </w:rPr>
              <w:t>1956</w:t>
            </w:r>
          </w:p>
        </w:tc>
        <w:tc>
          <w:tcPr>
            <w:tcW w:w="0" w:type="auto"/>
            <w:shd w:val="clear" w:color="auto" w:fill="FFFFFF"/>
            <w:tcMar>
              <w:top w:w="0" w:type="dxa"/>
              <w:left w:w="108" w:type="dxa"/>
              <w:bottom w:w="0" w:type="dxa"/>
              <w:right w:w="108" w:type="dxa"/>
            </w:tcMar>
          </w:tcPr>
          <w:p w14:paraId="462C02AC" w14:textId="77777777" w:rsidR="00422EFE" w:rsidRPr="00261B7A" w:rsidRDefault="00422EFE" w:rsidP="00240807">
            <w:pPr>
              <w:pStyle w:val="TableText"/>
              <w:spacing w:before="30" w:after="30"/>
              <w:jc w:val="right"/>
              <w:rPr>
                <w:szCs w:val="16"/>
              </w:rPr>
            </w:pPr>
            <w:r w:rsidRPr="00261B7A">
              <w:rPr>
                <w:rFonts w:eastAsia="Calibri"/>
                <w:color w:val="000000"/>
                <w:szCs w:val="16"/>
              </w:rPr>
              <w:t>181.7</w:t>
            </w:r>
          </w:p>
        </w:tc>
        <w:tc>
          <w:tcPr>
            <w:tcW w:w="0" w:type="auto"/>
            <w:shd w:val="clear" w:color="auto" w:fill="FFFFFF"/>
            <w:tcMar>
              <w:top w:w="0" w:type="dxa"/>
              <w:left w:w="108" w:type="dxa"/>
              <w:bottom w:w="0" w:type="dxa"/>
              <w:right w:w="108" w:type="dxa"/>
            </w:tcMar>
          </w:tcPr>
          <w:p w14:paraId="216F512F" w14:textId="77777777" w:rsidR="00422EFE" w:rsidRPr="00261B7A" w:rsidRDefault="00422EFE" w:rsidP="00240807">
            <w:pPr>
              <w:pStyle w:val="TableText"/>
              <w:spacing w:before="30" w:after="30"/>
              <w:jc w:val="right"/>
              <w:rPr>
                <w:szCs w:val="16"/>
              </w:rPr>
            </w:pPr>
            <w:r w:rsidRPr="00261B7A">
              <w:rPr>
                <w:rFonts w:eastAsia="Calibri"/>
                <w:color w:val="000000"/>
                <w:szCs w:val="16"/>
              </w:rPr>
              <w:t>202.7</w:t>
            </w:r>
          </w:p>
        </w:tc>
        <w:tc>
          <w:tcPr>
            <w:tcW w:w="0" w:type="auto"/>
            <w:shd w:val="clear" w:color="auto" w:fill="FFFFFF"/>
            <w:tcMar>
              <w:top w:w="0" w:type="dxa"/>
              <w:left w:w="108" w:type="dxa"/>
              <w:bottom w:w="0" w:type="dxa"/>
              <w:right w:w="108" w:type="dxa"/>
            </w:tcMar>
          </w:tcPr>
          <w:p w14:paraId="468A439A" w14:textId="77777777" w:rsidR="00422EFE" w:rsidRPr="00261B7A" w:rsidRDefault="00422EFE" w:rsidP="00240807">
            <w:pPr>
              <w:pStyle w:val="TableText"/>
              <w:spacing w:before="30" w:after="30"/>
              <w:jc w:val="right"/>
              <w:rPr>
                <w:szCs w:val="16"/>
              </w:rPr>
            </w:pPr>
            <w:r w:rsidRPr="00261B7A">
              <w:rPr>
                <w:rFonts w:eastAsia="Calibri"/>
                <w:color w:val="000000"/>
                <w:szCs w:val="16"/>
              </w:rPr>
              <w:t>22.5</w:t>
            </w:r>
          </w:p>
        </w:tc>
        <w:tc>
          <w:tcPr>
            <w:tcW w:w="0" w:type="auto"/>
            <w:shd w:val="clear" w:color="auto" w:fill="FFFFFF"/>
            <w:tcMar>
              <w:top w:w="0" w:type="dxa"/>
              <w:left w:w="108" w:type="dxa"/>
              <w:bottom w:w="0" w:type="dxa"/>
              <w:right w:w="108" w:type="dxa"/>
            </w:tcMar>
          </w:tcPr>
          <w:p w14:paraId="41504862" w14:textId="680FB084" w:rsidR="00422EFE" w:rsidRPr="00261B7A" w:rsidRDefault="00422EFE" w:rsidP="00240807">
            <w:pPr>
              <w:pStyle w:val="TableText"/>
              <w:spacing w:before="30" w:after="30"/>
              <w:jc w:val="right"/>
              <w:rPr>
                <w:szCs w:val="16"/>
              </w:rPr>
            </w:pPr>
            <w:r w:rsidRPr="00261B7A">
              <w:rPr>
                <w:rFonts w:eastAsia="Calibri"/>
                <w:color w:val="000000"/>
                <w:szCs w:val="16"/>
              </w:rPr>
              <w:t>407</w:t>
            </w:r>
            <w:r w:rsidR="001B5958" w:rsidRPr="00261B7A">
              <w:rPr>
                <w:rFonts w:eastAsia="Calibri"/>
                <w:color w:val="000000"/>
                <w:szCs w:val="16"/>
              </w:rPr>
              <w:t>.0</w:t>
            </w:r>
          </w:p>
        </w:tc>
      </w:tr>
      <w:tr w:rsidR="00422EFE" w:rsidRPr="00261B7A" w14:paraId="23304535" w14:textId="77777777" w:rsidTr="00D41492">
        <w:tc>
          <w:tcPr>
            <w:tcW w:w="0" w:type="auto"/>
            <w:shd w:val="clear" w:color="auto" w:fill="FFFFFF"/>
            <w:tcMar>
              <w:top w:w="0" w:type="dxa"/>
              <w:left w:w="108" w:type="dxa"/>
              <w:bottom w:w="0" w:type="dxa"/>
              <w:right w:w="108" w:type="dxa"/>
            </w:tcMar>
          </w:tcPr>
          <w:p w14:paraId="4CCDCE71" w14:textId="77777777" w:rsidR="00422EFE" w:rsidRPr="00261B7A" w:rsidRDefault="00422EFE" w:rsidP="00240807">
            <w:pPr>
              <w:pStyle w:val="TableText"/>
              <w:spacing w:before="30" w:after="30"/>
            </w:pPr>
            <w:r w:rsidRPr="00261B7A">
              <w:rPr>
                <w:rFonts w:eastAsia="Calibri"/>
              </w:rPr>
              <w:t>1957</w:t>
            </w:r>
          </w:p>
        </w:tc>
        <w:tc>
          <w:tcPr>
            <w:tcW w:w="0" w:type="auto"/>
            <w:shd w:val="clear" w:color="auto" w:fill="FFFFFF"/>
            <w:tcMar>
              <w:top w:w="0" w:type="dxa"/>
              <w:left w:w="108" w:type="dxa"/>
              <w:bottom w:w="0" w:type="dxa"/>
              <w:right w:w="108" w:type="dxa"/>
            </w:tcMar>
          </w:tcPr>
          <w:p w14:paraId="0E75A543" w14:textId="77777777" w:rsidR="00422EFE" w:rsidRPr="00261B7A" w:rsidRDefault="00422EFE" w:rsidP="00240807">
            <w:pPr>
              <w:pStyle w:val="TableText"/>
              <w:spacing w:before="30" w:after="30"/>
              <w:jc w:val="right"/>
              <w:rPr>
                <w:szCs w:val="16"/>
              </w:rPr>
            </w:pPr>
            <w:r w:rsidRPr="00261B7A">
              <w:rPr>
                <w:rFonts w:eastAsia="Calibri"/>
                <w:color w:val="000000"/>
                <w:szCs w:val="16"/>
              </w:rPr>
              <w:t>181.7</w:t>
            </w:r>
          </w:p>
        </w:tc>
        <w:tc>
          <w:tcPr>
            <w:tcW w:w="0" w:type="auto"/>
            <w:shd w:val="clear" w:color="auto" w:fill="FFFFFF"/>
            <w:tcMar>
              <w:top w:w="0" w:type="dxa"/>
              <w:left w:w="108" w:type="dxa"/>
              <w:bottom w:w="0" w:type="dxa"/>
              <w:right w:w="108" w:type="dxa"/>
            </w:tcMar>
          </w:tcPr>
          <w:p w14:paraId="5251B782" w14:textId="77777777" w:rsidR="00422EFE" w:rsidRPr="00261B7A" w:rsidRDefault="00422EFE" w:rsidP="00240807">
            <w:pPr>
              <w:pStyle w:val="TableText"/>
              <w:spacing w:before="30" w:after="30"/>
              <w:jc w:val="right"/>
              <w:rPr>
                <w:szCs w:val="16"/>
              </w:rPr>
            </w:pPr>
            <w:r w:rsidRPr="00261B7A">
              <w:rPr>
                <w:rFonts w:eastAsia="Calibri"/>
                <w:color w:val="000000"/>
                <w:szCs w:val="16"/>
              </w:rPr>
              <w:t>241.8</w:t>
            </w:r>
          </w:p>
        </w:tc>
        <w:tc>
          <w:tcPr>
            <w:tcW w:w="0" w:type="auto"/>
            <w:shd w:val="clear" w:color="auto" w:fill="FFFFFF"/>
            <w:tcMar>
              <w:top w:w="0" w:type="dxa"/>
              <w:left w:w="108" w:type="dxa"/>
              <w:bottom w:w="0" w:type="dxa"/>
              <w:right w:w="108" w:type="dxa"/>
            </w:tcMar>
          </w:tcPr>
          <w:p w14:paraId="23F9CA99" w14:textId="77777777" w:rsidR="00422EFE" w:rsidRPr="00261B7A" w:rsidRDefault="00422EFE" w:rsidP="00240807">
            <w:pPr>
              <w:pStyle w:val="TableText"/>
              <w:spacing w:before="30" w:after="30"/>
              <w:jc w:val="right"/>
              <w:rPr>
                <w:szCs w:val="16"/>
              </w:rPr>
            </w:pPr>
            <w:r w:rsidRPr="00261B7A">
              <w:rPr>
                <w:rFonts w:eastAsia="Calibri"/>
                <w:color w:val="000000"/>
                <w:szCs w:val="16"/>
              </w:rPr>
              <w:t>26.9</w:t>
            </w:r>
          </w:p>
        </w:tc>
        <w:tc>
          <w:tcPr>
            <w:tcW w:w="0" w:type="auto"/>
            <w:shd w:val="clear" w:color="auto" w:fill="FFFFFF"/>
            <w:tcMar>
              <w:top w:w="0" w:type="dxa"/>
              <w:left w:w="108" w:type="dxa"/>
              <w:bottom w:w="0" w:type="dxa"/>
              <w:right w:w="108" w:type="dxa"/>
            </w:tcMar>
          </w:tcPr>
          <w:p w14:paraId="40DE174A" w14:textId="77777777" w:rsidR="00422EFE" w:rsidRPr="00261B7A" w:rsidRDefault="00422EFE" w:rsidP="00240807">
            <w:pPr>
              <w:pStyle w:val="TableText"/>
              <w:spacing w:before="30" w:after="30"/>
              <w:jc w:val="right"/>
              <w:rPr>
                <w:szCs w:val="16"/>
              </w:rPr>
            </w:pPr>
            <w:r w:rsidRPr="00261B7A">
              <w:rPr>
                <w:rFonts w:eastAsia="Calibri"/>
                <w:color w:val="000000"/>
                <w:szCs w:val="16"/>
              </w:rPr>
              <w:t>450.4</w:t>
            </w:r>
          </w:p>
        </w:tc>
      </w:tr>
      <w:tr w:rsidR="00422EFE" w:rsidRPr="00261B7A" w14:paraId="48206FE0" w14:textId="77777777" w:rsidTr="00D41492">
        <w:tc>
          <w:tcPr>
            <w:tcW w:w="0" w:type="auto"/>
            <w:shd w:val="clear" w:color="auto" w:fill="FFFFFF"/>
            <w:tcMar>
              <w:top w:w="0" w:type="dxa"/>
              <w:left w:w="108" w:type="dxa"/>
              <w:bottom w:w="0" w:type="dxa"/>
              <w:right w:w="108" w:type="dxa"/>
            </w:tcMar>
          </w:tcPr>
          <w:p w14:paraId="0DDBB522" w14:textId="77777777" w:rsidR="00422EFE" w:rsidRPr="00261B7A" w:rsidRDefault="00422EFE" w:rsidP="00240807">
            <w:pPr>
              <w:pStyle w:val="TableText"/>
              <w:spacing w:before="30" w:after="30"/>
            </w:pPr>
            <w:r w:rsidRPr="00261B7A">
              <w:rPr>
                <w:rFonts w:eastAsia="Calibri"/>
              </w:rPr>
              <w:t>1958</w:t>
            </w:r>
          </w:p>
        </w:tc>
        <w:tc>
          <w:tcPr>
            <w:tcW w:w="0" w:type="auto"/>
            <w:shd w:val="clear" w:color="auto" w:fill="FFFFFF"/>
            <w:tcMar>
              <w:top w:w="0" w:type="dxa"/>
              <w:left w:w="108" w:type="dxa"/>
              <w:bottom w:w="0" w:type="dxa"/>
              <w:right w:w="108" w:type="dxa"/>
            </w:tcMar>
          </w:tcPr>
          <w:p w14:paraId="40C099A4" w14:textId="77777777" w:rsidR="00422EFE" w:rsidRPr="00261B7A" w:rsidRDefault="00422EFE" w:rsidP="00240807">
            <w:pPr>
              <w:pStyle w:val="TableText"/>
              <w:spacing w:before="30" w:after="30"/>
              <w:jc w:val="right"/>
              <w:rPr>
                <w:szCs w:val="16"/>
              </w:rPr>
            </w:pPr>
            <w:r w:rsidRPr="00261B7A">
              <w:rPr>
                <w:rFonts w:eastAsia="Calibri"/>
                <w:color w:val="000000"/>
                <w:szCs w:val="16"/>
              </w:rPr>
              <w:t>181.7</w:t>
            </w:r>
          </w:p>
        </w:tc>
        <w:tc>
          <w:tcPr>
            <w:tcW w:w="0" w:type="auto"/>
            <w:shd w:val="clear" w:color="auto" w:fill="FFFFFF"/>
            <w:tcMar>
              <w:top w:w="0" w:type="dxa"/>
              <w:left w:w="108" w:type="dxa"/>
              <w:bottom w:w="0" w:type="dxa"/>
              <w:right w:w="108" w:type="dxa"/>
            </w:tcMar>
          </w:tcPr>
          <w:p w14:paraId="37D2FC93" w14:textId="77777777" w:rsidR="00422EFE" w:rsidRPr="00261B7A" w:rsidRDefault="00422EFE" w:rsidP="00240807">
            <w:pPr>
              <w:pStyle w:val="TableText"/>
              <w:spacing w:before="30" w:after="30"/>
              <w:jc w:val="right"/>
              <w:rPr>
                <w:szCs w:val="16"/>
              </w:rPr>
            </w:pPr>
            <w:r w:rsidRPr="00261B7A">
              <w:rPr>
                <w:rFonts w:eastAsia="Calibri"/>
                <w:color w:val="000000"/>
                <w:szCs w:val="16"/>
              </w:rPr>
              <w:t>267.1</w:t>
            </w:r>
          </w:p>
        </w:tc>
        <w:tc>
          <w:tcPr>
            <w:tcW w:w="0" w:type="auto"/>
            <w:shd w:val="clear" w:color="auto" w:fill="FFFFFF"/>
            <w:tcMar>
              <w:top w:w="0" w:type="dxa"/>
              <w:left w:w="108" w:type="dxa"/>
              <w:bottom w:w="0" w:type="dxa"/>
              <w:right w:w="108" w:type="dxa"/>
            </w:tcMar>
          </w:tcPr>
          <w:p w14:paraId="34305EA2" w14:textId="77777777" w:rsidR="00422EFE" w:rsidRPr="00261B7A" w:rsidRDefault="00422EFE" w:rsidP="00240807">
            <w:pPr>
              <w:pStyle w:val="TableText"/>
              <w:spacing w:before="30" w:after="30"/>
              <w:jc w:val="right"/>
              <w:rPr>
                <w:szCs w:val="16"/>
              </w:rPr>
            </w:pPr>
            <w:r w:rsidRPr="00261B7A">
              <w:rPr>
                <w:rFonts w:eastAsia="Calibri"/>
                <w:color w:val="000000"/>
                <w:szCs w:val="16"/>
              </w:rPr>
              <w:t>29.7</w:t>
            </w:r>
          </w:p>
        </w:tc>
        <w:tc>
          <w:tcPr>
            <w:tcW w:w="0" w:type="auto"/>
            <w:shd w:val="clear" w:color="auto" w:fill="FFFFFF"/>
            <w:tcMar>
              <w:top w:w="0" w:type="dxa"/>
              <w:left w:w="108" w:type="dxa"/>
              <w:bottom w:w="0" w:type="dxa"/>
              <w:right w:w="108" w:type="dxa"/>
            </w:tcMar>
          </w:tcPr>
          <w:p w14:paraId="3EAB2E6A" w14:textId="77777777" w:rsidR="00422EFE" w:rsidRPr="00261B7A" w:rsidRDefault="00422EFE" w:rsidP="00240807">
            <w:pPr>
              <w:pStyle w:val="TableText"/>
              <w:spacing w:before="30" w:after="30"/>
              <w:jc w:val="right"/>
              <w:rPr>
                <w:szCs w:val="16"/>
              </w:rPr>
            </w:pPr>
            <w:r w:rsidRPr="00261B7A">
              <w:rPr>
                <w:rFonts w:eastAsia="Calibri"/>
                <w:color w:val="000000"/>
                <w:szCs w:val="16"/>
              </w:rPr>
              <w:t>478.5</w:t>
            </w:r>
          </w:p>
        </w:tc>
      </w:tr>
      <w:tr w:rsidR="00422EFE" w:rsidRPr="00261B7A" w14:paraId="0A76BDD8" w14:textId="77777777" w:rsidTr="00D41492">
        <w:tc>
          <w:tcPr>
            <w:tcW w:w="0" w:type="auto"/>
            <w:shd w:val="clear" w:color="auto" w:fill="FFFFFF"/>
            <w:tcMar>
              <w:top w:w="0" w:type="dxa"/>
              <w:left w:w="108" w:type="dxa"/>
              <w:bottom w:w="0" w:type="dxa"/>
              <w:right w:w="108" w:type="dxa"/>
            </w:tcMar>
          </w:tcPr>
          <w:p w14:paraId="1F70B646" w14:textId="77777777" w:rsidR="00422EFE" w:rsidRPr="00261B7A" w:rsidRDefault="00422EFE" w:rsidP="00240807">
            <w:pPr>
              <w:pStyle w:val="TableText"/>
              <w:spacing w:before="30" w:after="30"/>
            </w:pPr>
            <w:r w:rsidRPr="00261B7A">
              <w:rPr>
                <w:rFonts w:eastAsia="Calibri"/>
              </w:rPr>
              <w:t>1959</w:t>
            </w:r>
          </w:p>
        </w:tc>
        <w:tc>
          <w:tcPr>
            <w:tcW w:w="0" w:type="auto"/>
            <w:shd w:val="clear" w:color="auto" w:fill="FFFFFF"/>
            <w:tcMar>
              <w:top w:w="0" w:type="dxa"/>
              <w:left w:w="108" w:type="dxa"/>
              <w:bottom w:w="0" w:type="dxa"/>
              <w:right w:w="108" w:type="dxa"/>
            </w:tcMar>
          </w:tcPr>
          <w:p w14:paraId="420D635C" w14:textId="77777777" w:rsidR="00422EFE" w:rsidRPr="00261B7A" w:rsidRDefault="00422EFE" w:rsidP="00240807">
            <w:pPr>
              <w:pStyle w:val="TableText"/>
              <w:spacing w:before="30" w:after="30"/>
              <w:jc w:val="right"/>
              <w:rPr>
                <w:szCs w:val="16"/>
              </w:rPr>
            </w:pPr>
            <w:r w:rsidRPr="00261B7A">
              <w:rPr>
                <w:rFonts w:eastAsia="Calibri"/>
                <w:color w:val="000000"/>
                <w:szCs w:val="16"/>
              </w:rPr>
              <w:t>181.7</w:t>
            </w:r>
          </w:p>
        </w:tc>
        <w:tc>
          <w:tcPr>
            <w:tcW w:w="0" w:type="auto"/>
            <w:shd w:val="clear" w:color="auto" w:fill="FFFFFF"/>
            <w:tcMar>
              <w:top w:w="0" w:type="dxa"/>
              <w:left w:w="108" w:type="dxa"/>
              <w:bottom w:w="0" w:type="dxa"/>
              <w:right w:w="108" w:type="dxa"/>
            </w:tcMar>
          </w:tcPr>
          <w:p w14:paraId="16A9A8A6" w14:textId="77777777" w:rsidR="00422EFE" w:rsidRPr="00261B7A" w:rsidRDefault="00422EFE" w:rsidP="00240807">
            <w:pPr>
              <w:pStyle w:val="TableText"/>
              <w:spacing w:before="30" w:after="30"/>
              <w:jc w:val="right"/>
              <w:rPr>
                <w:szCs w:val="16"/>
              </w:rPr>
            </w:pPr>
            <w:r w:rsidRPr="00261B7A">
              <w:rPr>
                <w:rFonts w:eastAsia="Calibri"/>
                <w:color w:val="000000"/>
                <w:szCs w:val="16"/>
              </w:rPr>
              <w:t>281.5</w:t>
            </w:r>
          </w:p>
        </w:tc>
        <w:tc>
          <w:tcPr>
            <w:tcW w:w="0" w:type="auto"/>
            <w:shd w:val="clear" w:color="auto" w:fill="FFFFFF"/>
            <w:tcMar>
              <w:top w:w="0" w:type="dxa"/>
              <w:left w:w="108" w:type="dxa"/>
              <w:bottom w:w="0" w:type="dxa"/>
              <w:right w:w="108" w:type="dxa"/>
            </w:tcMar>
          </w:tcPr>
          <w:p w14:paraId="05B7B52F" w14:textId="77777777" w:rsidR="00422EFE" w:rsidRPr="00261B7A" w:rsidRDefault="00422EFE" w:rsidP="00240807">
            <w:pPr>
              <w:pStyle w:val="TableText"/>
              <w:spacing w:before="30" w:after="30"/>
              <w:jc w:val="right"/>
              <w:rPr>
                <w:szCs w:val="16"/>
              </w:rPr>
            </w:pPr>
            <w:r w:rsidRPr="00261B7A">
              <w:rPr>
                <w:rFonts w:eastAsia="Calibri"/>
                <w:color w:val="000000"/>
                <w:szCs w:val="16"/>
              </w:rPr>
              <w:t>31.3</w:t>
            </w:r>
          </w:p>
        </w:tc>
        <w:tc>
          <w:tcPr>
            <w:tcW w:w="0" w:type="auto"/>
            <w:shd w:val="clear" w:color="auto" w:fill="FFFFFF"/>
            <w:tcMar>
              <w:top w:w="0" w:type="dxa"/>
              <w:left w:w="108" w:type="dxa"/>
              <w:bottom w:w="0" w:type="dxa"/>
              <w:right w:w="108" w:type="dxa"/>
            </w:tcMar>
          </w:tcPr>
          <w:p w14:paraId="73AE8D7C" w14:textId="77777777" w:rsidR="00422EFE" w:rsidRPr="00261B7A" w:rsidRDefault="00422EFE" w:rsidP="00240807">
            <w:pPr>
              <w:pStyle w:val="TableText"/>
              <w:spacing w:before="30" w:after="30"/>
              <w:jc w:val="right"/>
              <w:rPr>
                <w:szCs w:val="16"/>
              </w:rPr>
            </w:pPr>
            <w:r w:rsidRPr="00261B7A">
              <w:rPr>
                <w:rFonts w:eastAsia="Calibri"/>
                <w:color w:val="000000"/>
                <w:szCs w:val="16"/>
              </w:rPr>
              <w:t>494.5</w:t>
            </w:r>
          </w:p>
        </w:tc>
      </w:tr>
      <w:tr w:rsidR="00422EFE" w:rsidRPr="00261B7A" w14:paraId="1580CAAC" w14:textId="77777777" w:rsidTr="00D41492">
        <w:tc>
          <w:tcPr>
            <w:tcW w:w="0" w:type="auto"/>
            <w:shd w:val="clear" w:color="auto" w:fill="FFFFFF"/>
            <w:tcMar>
              <w:top w:w="0" w:type="dxa"/>
              <w:left w:w="108" w:type="dxa"/>
              <w:bottom w:w="0" w:type="dxa"/>
              <w:right w:w="108" w:type="dxa"/>
            </w:tcMar>
          </w:tcPr>
          <w:p w14:paraId="085DBB3F" w14:textId="77777777" w:rsidR="00422EFE" w:rsidRPr="00261B7A" w:rsidRDefault="00422EFE" w:rsidP="00240807">
            <w:pPr>
              <w:pStyle w:val="TableText"/>
              <w:spacing w:before="30" w:after="30"/>
            </w:pPr>
            <w:r w:rsidRPr="00261B7A">
              <w:rPr>
                <w:rFonts w:eastAsia="Calibri"/>
              </w:rPr>
              <w:t>1960</w:t>
            </w:r>
          </w:p>
        </w:tc>
        <w:tc>
          <w:tcPr>
            <w:tcW w:w="0" w:type="auto"/>
            <w:shd w:val="clear" w:color="auto" w:fill="FFFFFF"/>
            <w:tcMar>
              <w:top w:w="0" w:type="dxa"/>
              <w:left w:w="108" w:type="dxa"/>
              <w:bottom w:w="0" w:type="dxa"/>
              <w:right w:w="108" w:type="dxa"/>
            </w:tcMar>
          </w:tcPr>
          <w:p w14:paraId="0EE52712" w14:textId="77777777" w:rsidR="00422EFE" w:rsidRPr="00261B7A" w:rsidRDefault="00422EFE" w:rsidP="00240807">
            <w:pPr>
              <w:pStyle w:val="TableText"/>
              <w:spacing w:before="30" w:after="30"/>
              <w:jc w:val="right"/>
              <w:rPr>
                <w:szCs w:val="16"/>
              </w:rPr>
            </w:pPr>
            <w:r w:rsidRPr="00261B7A">
              <w:rPr>
                <w:rFonts w:eastAsia="Calibri"/>
                <w:color w:val="000000"/>
                <w:szCs w:val="16"/>
              </w:rPr>
              <w:t>181.7</w:t>
            </w:r>
          </w:p>
        </w:tc>
        <w:tc>
          <w:tcPr>
            <w:tcW w:w="0" w:type="auto"/>
            <w:shd w:val="clear" w:color="auto" w:fill="FFFFFF"/>
            <w:tcMar>
              <w:top w:w="0" w:type="dxa"/>
              <w:left w:w="108" w:type="dxa"/>
              <w:bottom w:w="0" w:type="dxa"/>
              <w:right w:w="108" w:type="dxa"/>
            </w:tcMar>
          </w:tcPr>
          <w:p w14:paraId="0818A673" w14:textId="77777777" w:rsidR="00422EFE" w:rsidRPr="00261B7A" w:rsidRDefault="00422EFE" w:rsidP="00240807">
            <w:pPr>
              <w:pStyle w:val="TableText"/>
              <w:spacing w:before="30" w:after="30"/>
              <w:jc w:val="right"/>
              <w:rPr>
                <w:szCs w:val="16"/>
              </w:rPr>
            </w:pPr>
            <w:r w:rsidRPr="00261B7A">
              <w:rPr>
                <w:rFonts w:eastAsia="Calibri"/>
                <w:color w:val="000000"/>
                <w:szCs w:val="16"/>
              </w:rPr>
              <w:t>349.3</w:t>
            </w:r>
          </w:p>
        </w:tc>
        <w:tc>
          <w:tcPr>
            <w:tcW w:w="0" w:type="auto"/>
            <w:shd w:val="clear" w:color="auto" w:fill="FFFFFF"/>
            <w:tcMar>
              <w:top w:w="0" w:type="dxa"/>
              <w:left w:w="108" w:type="dxa"/>
              <w:bottom w:w="0" w:type="dxa"/>
              <w:right w:w="108" w:type="dxa"/>
            </w:tcMar>
          </w:tcPr>
          <w:p w14:paraId="34B63324" w14:textId="77777777" w:rsidR="00422EFE" w:rsidRPr="00261B7A" w:rsidRDefault="00422EFE" w:rsidP="00240807">
            <w:pPr>
              <w:pStyle w:val="TableText"/>
              <w:spacing w:before="30" w:after="30"/>
              <w:jc w:val="right"/>
              <w:rPr>
                <w:szCs w:val="16"/>
              </w:rPr>
            </w:pPr>
            <w:r w:rsidRPr="00261B7A">
              <w:rPr>
                <w:rFonts w:eastAsia="Calibri"/>
                <w:color w:val="000000"/>
                <w:szCs w:val="16"/>
              </w:rPr>
              <w:t>38.8</w:t>
            </w:r>
          </w:p>
        </w:tc>
        <w:tc>
          <w:tcPr>
            <w:tcW w:w="0" w:type="auto"/>
            <w:shd w:val="clear" w:color="auto" w:fill="FFFFFF"/>
            <w:tcMar>
              <w:top w:w="0" w:type="dxa"/>
              <w:left w:w="108" w:type="dxa"/>
              <w:bottom w:w="0" w:type="dxa"/>
              <w:right w:w="108" w:type="dxa"/>
            </w:tcMar>
          </w:tcPr>
          <w:p w14:paraId="4CD4A9BE" w14:textId="77777777" w:rsidR="00422EFE" w:rsidRPr="00261B7A" w:rsidRDefault="00422EFE" w:rsidP="00240807">
            <w:pPr>
              <w:pStyle w:val="TableText"/>
              <w:spacing w:before="30" w:after="30"/>
              <w:jc w:val="right"/>
              <w:rPr>
                <w:szCs w:val="16"/>
              </w:rPr>
            </w:pPr>
            <w:r w:rsidRPr="00261B7A">
              <w:rPr>
                <w:rFonts w:eastAsia="Calibri"/>
                <w:color w:val="000000"/>
                <w:szCs w:val="16"/>
              </w:rPr>
              <w:t>569.9</w:t>
            </w:r>
          </w:p>
        </w:tc>
      </w:tr>
      <w:tr w:rsidR="00422EFE" w:rsidRPr="00261B7A" w14:paraId="29F7B357" w14:textId="77777777" w:rsidTr="00D41492">
        <w:tc>
          <w:tcPr>
            <w:tcW w:w="0" w:type="auto"/>
            <w:shd w:val="clear" w:color="auto" w:fill="FFFFFF"/>
            <w:tcMar>
              <w:top w:w="0" w:type="dxa"/>
              <w:left w:w="108" w:type="dxa"/>
              <w:bottom w:w="0" w:type="dxa"/>
              <w:right w:w="108" w:type="dxa"/>
            </w:tcMar>
          </w:tcPr>
          <w:p w14:paraId="08EBEA80" w14:textId="77777777" w:rsidR="00422EFE" w:rsidRPr="00261B7A" w:rsidRDefault="00422EFE" w:rsidP="00240807">
            <w:pPr>
              <w:pStyle w:val="TableText"/>
              <w:spacing w:before="30" w:after="30"/>
            </w:pPr>
            <w:r w:rsidRPr="00261B7A">
              <w:rPr>
                <w:rFonts w:eastAsia="Calibri"/>
              </w:rPr>
              <w:t>1961</w:t>
            </w:r>
          </w:p>
        </w:tc>
        <w:tc>
          <w:tcPr>
            <w:tcW w:w="0" w:type="auto"/>
            <w:shd w:val="clear" w:color="auto" w:fill="FFFFFF"/>
            <w:tcMar>
              <w:top w:w="0" w:type="dxa"/>
              <w:left w:w="108" w:type="dxa"/>
              <w:bottom w:w="0" w:type="dxa"/>
              <w:right w:w="108" w:type="dxa"/>
            </w:tcMar>
          </w:tcPr>
          <w:p w14:paraId="5D8FE4F3" w14:textId="77777777" w:rsidR="00422EFE" w:rsidRPr="00261B7A" w:rsidRDefault="00422EFE" w:rsidP="00240807">
            <w:pPr>
              <w:pStyle w:val="TableText"/>
              <w:spacing w:before="30" w:after="30"/>
              <w:jc w:val="right"/>
              <w:rPr>
                <w:szCs w:val="16"/>
              </w:rPr>
            </w:pPr>
            <w:r w:rsidRPr="00261B7A">
              <w:rPr>
                <w:rFonts w:eastAsia="Calibri"/>
                <w:color w:val="000000"/>
                <w:szCs w:val="16"/>
              </w:rPr>
              <w:t>181.7</w:t>
            </w:r>
          </w:p>
        </w:tc>
        <w:tc>
          <w:tcPr>
            <w:tcW w:w="0" w:type="auto"/>
            <w:shd w:val="clear" w:color="auto" w:fill="FFFFFF"/>
            <w:tcMar>
              <w:top w:w="0" w:type="dxa"/>
              <w:left w:w="108" w:type="dxa"/>
              <w:bottom w:w="0" w:type="dxa"/>
              <w:right w:w="108" w:type="dxa"/>
            </w:tcMar>
          </w:tcPr>
          <w:p w14:paraId="744F1DCF" w14:textId="77777777" w:rsidR="00422EFE" w:rsidRPr="00261B7A" w:rsidRDefault="00422EFE" w:rsidP="00240807">
            <w:pPr>
              <w:pStyle w:val="TableText"/>
              <w:spacing w:before="30" w:after="30"/>
              <w:jc w:val="right"/>
              <w:rPr>
                <w:szCs w:val="16"/>
              </w:rPr>
            </w:pPr>
            <w:r w:rsidRPr="00261B7A">
              <w:rPr>
                <w:rFonts w:eastAsia="Calibri"/>
                <w:color w:val="000000"/>
                <w:szCs w:val="16"/>
              </w:rPr>
              <w:t>438.5</w:t>
            </w:r>
          </w:p>
        </w:tc>
        <w:tc>
          <w:tcPr>
            <w:tcW w:w="0" w:type="auto"/>
            <w:shd w:val="clear" w:color="auto" w:fill="FFFFFF"/>
            <w:tcMar>
              <w:top w:w="0" w:type="dxa"/>
              <w:left w:w="108" w:type="dxa"/>
              <w:bottom w:w="0" w:type="dxa"/>
              <w:right w:w="108" w:type="dxa"/>
            </w:tcMar>
          </w:tcPr>
          <w:p w14:paraId="1A377EBF" w14:textId="77777777" w:rsidR="00422EFE" w:rsidRPr="00261B7A" w:rsidRDefault="00422EFE" w:rsidP="00240807">
            <w:pPr>
              <w:pStyle w:val="TableText"/>
              <w:spacing w:before="30" w:after="30"/>
              <w:jc w:val="right"/>
              <w:rPr>
                <w:szCs w:val="16"/>
              </w:rPr>
            </w:pPr>
            <w:r w:rsidRPr="00261B7A">
              <w:rPr>
                <w:rFonts w:eastAsia="Calibri"/>
                <w:color w:val="000000"/>
                <w:szCs w:val="16"/>
              </w:rPr>
              <w:t>48.7</w:t>
            </w:r>
          </w:p>
        </w:tc>
        <w:tc>
          <w:tcPr>
            <w:tcW w:w="0" w:type="auto"/>
            <w:shd w:val="clear" w:color="auto" w:fill="FFFFFF"/>
            <w:tcMar>
              <w:top w:w="0" w:type="dxa"/>
              <w:left w:w="108" w:type="dxa"/>
              <w:bottom w:w="0" w:type="dxa"/>
              <w:right w:w="108" w:type="dxa"/>
            </w:tcMar>
          </w:tcPr>
          <w:p w14:paraId="5E061244" w14:textId="77777777" w:rsidR="00422EFE" w:rsidRPr="00261B7A" w:rsidRDefault="00422EFE" w:rsidP="00240807">
            <w:pPr>
              <w:pStyle w:val="TableText"/>
              <w:spacing w:before="30" w:after="30"/>
              <w:jc w:val="right"/>
              <w:rPr>
                <w:szCs w:val="16"/>
              </w:rPr>
            </w:pPr>
            <w:r w:rsidRPr="00261B7A">
              <w:rPr>
                <w:rFonts w:eastAsia="Calibri"/>
                <w:color w:val="000000"/>
                <w:szCs w:val="16"/>
              </w:rPr>
              <w:t>668.9</w:t>
            </w:r>
          </w:p>
        </w:tc>
      </w:tr>
      <w:tr w:rsidR="00422EFE" w:rsidRPr="00261B7A" w14:paraId="7838F94D" w14:textId="77777777" w:rsidTr="00D41492">
        <w:tc>
          <w:tcPr>
            <w:tcW w:w="0" w:type="auto"/>
            <w:shd w:val="clear" w:color="auto" w:fill="FFFFFF"/>
            <w:tcMar>
              <w:top w:w="0" w:type="dxa"/>
              <w:left w:w="108" w:type="dxa"/>
              <w:bottom w:w="0" w:type="dxa"/>
              <w:right w:w="108" w:type="dxa"/>
            </w:tcMar>
          </w:tcPr>
          <w:p w14:paraId="1EA7D504" w14:textId="77777777" w:rsidR="00422EFE" w:rsidRPr="00261B7A" w:rsidRDefault="00422EFE" w:rsidP="00240807">
            <w:pPr>
              <w:pStyle w:val="TableText"/>
              <w:spacing w:before="30" w:after="30"/>
            </w:pPr>
            <w:r w:rsidRPr="00261B7A">
              <w:rPr>
                <w:rFonts w:eastAsia="Calibri"/>
              </w:rPr>
              <w:t>1962</w:t>
            </w:r>
          </w:p>
        </w:tc>
        <w:tc>
          <w:tcPr>
            <w:tcW w:w="0" w:type="auto"/>
            <w:shd w:val="clear" w:color="auto" w:fill="FFFFFF"/>
            <w:tcMar>
              <w:top w:w="0" w:type="dxa"/>
              <w:left w:w="108" w:type="dxa"/>
              <w:bottom w:w="0" w:type="dxa"/>
              <w:right w:w="108" w:type="dxa"/>
            </w:tcMar>
          </w:tcPr>
          <w:p w14:paraId="27A3CE13" w14:textId="77777777" w:rsidR="00422EFE" w:rsidRPr="00261B7A" w:rsidRDefault="00422EFE" w:rsidP="00240807">
            <w:pPr>
              <w:pStyle w:val="TableText"/>
              <w:spacing w:before="30" w:after="30"/>
              <w:jc w:val="right"/>
              <w:rPr>
                <w:szCs w:val="16"/>
              </w:rPr>
            </w:pPr>
            <w:r w:rsidRPr="00261B7A">
              <w:rPr>
                <w:rFonts w:eastAsia="Calibri"/>
                <w:color w:val="000000"/>
                <w:szCs w:val="16"/>
              </w:rPr>
              <w:t>181.7</w:t>
            </w:r>
          </w:p>
        </w:tc>
        <w:tc>
          <w:tcPr>
            <w:tcW w:w="0" w:type="auto"/>
            <w:shd w:val="clear" w:color="auto" w:fill="FFFFFF"/>
            <w:tcMar>
              <w:top w:w="0" w:type="dxa"/>
              <w:left w:w="108" w:type="dxa"/>
              <w:bottom w:w="0" w:type="dxa"/>
              <w:right w:w="108" w:type="dxa"/>
            </w:tcMar>
          </w:tcPr>
          <w:p w14:paraId="52257DA7" w14:textId="77777777" w:rsidR="00422EFE" w:rsidRPr="00261B7A" w:rsidRDefault="00422EFE" w:rsidP="00240807">
            <w:pPr>
              <w:pStyle w:val="TableText"/>
              <w:spacing w:before="30" w:after="30"/>
              <w:jc w:val="right"/>
              <w:rPr>
                <w:szCs w:val="16"/>
              </w:rPr>
            </w:pPr>
            <w:r w:rsidRPr="00261B7A">
              <w:rPr>
                <w:rFonts w:eastAsia="Calibri"/>
                <w:color w:val="000000"/>
                <w:szCs w:val="16"/>
              </w:rPr>
              <w:t>447.2</w:t>
            </w:r>
          </w:p>
        </w:tc>
        <w:tc>
          <w:tcPr>
            <w:tcW w:w="0" w:type="auto"/>
            <w:shd w:val="clear" w:color="auto" w:fill="FFFFFF"/>
            <w:tcMar>
              <w:top w:w="0" w:type="dxa"/>
              <w:left w:w="108" w:type="dxa"/>
              <w:bottom w:w="0" w:type="dxa"/>
              <w:right w:w="108" w:type="dxa"/>
            </w:tcMar>
          </w:tcPr>
          <w:p w14:paraId="035245D7" w14:textId="77777777" w:rsidR="00422EFE" w:rsidRPr="00261B7A" w:rsidRDefault="00422EFE" w:rsidP="00240807">
            <w:pPr>
              <w:pStyle w:val="TableText"/>
              <w:spacing w:before="30" w:after="30"/>
              <w:jc w:val="right"/>
              <w:rPr>
                <w:szCs w:val="16"/>
              </w:rPr>
            </w:pPr>
            <w:r w:rsidRPr="00261B7A">
              <w:rPr>
                <w:rFonts w:eastAsia="Calibri"/>
                <w:color w:val="000000"/>
                <w:szCs w:val="16"/>
              </w:rPr>
              <w:t>49.7</w:t>
            </w:r>
          </w:p>
        </w:tc>
        <w:tc>
          <w:tcPr>
            <w:tcW w:w="0" w:type="auto"/>
            <w:shd w:val="clear" w:color="auto" w:fill="FFFFFF"/>
            <w:tcMar>
              <w:top w:w="0" w:type="dxa"/>
              <w:left w:w="108" w:type="dxa"/>
              <w:bottom w:w="0" w:type="dxa"/>
              <w:right w:w="108" w:type="dxa"/>
            </w:tcMar>
          </w:tcPr>
          <w:p w14:paraId="064DF83D" w14:textId="77777777" w:rsidR="00422EFE" w:rsidRPr="00261B7A" w:rsidRDefault="00422EFE" w:rsidP="00240807">
            <w:pPr>
              <w:pStyle w:val="TableText"/>
              <w:spacing w:before="30" w:after="30"/>
              <w:jc w:val="right"/>
              <w:rPr>
                <w:szCs w:val="16"/>
              </w:rPr>
            </w:pPr>
            <w:r w:rsidRPr="00261B7A">
              <w:rPr>
                <w:rFonts w:eastAsia="Calibri"/>
                <w:color w:val="000000"/>
                <w:szCs w:val="16"/>
              </w:rPr>
              <w:t>678.6</w:t>
            </w:r>
          </w:p>
        </w:tc>
      </w:tr>
      <w:tr w:rsidR="00422EFE" w:rsidRPr="00261B7A" w14:paraId="299584FB" w14:textId="77777777" w:rsidTr="00D41492">
        <w:tc>
          <w:tcPr>
            <w:tcW w:w="0" w:type="auto"/>
            <w:shd w:val="clear" w:color="auto" w:fill="FFFFFF"/>
            <w:tcMar>
              <w:top w:w="0" w:type="dxa"/>
              <w:left w:w="108" w:type="dxa"/>
              <w:bottom w:w="0" w:type="dxa"/>
              <w:right w:w="108" w:type="dxa"/>
            </w:tcMar>
          </w:tcPr>
          <w:p w14:paraId="3CC0F833" w14:textId="77777777" w:rsidR="00422EFE" w:rsidRPr="00261B7A" w:rsidRDefault="00422EFE" w:rsidP="00240807">
            <w:pPr>
              <w:pStyle w:val="TableText"/>
              <w:spacing w:before="30" w:after="30"/>
            </w:pPr>
            <w:r w:rsidRPr="00261B7A">
              <w:rPr>
                <w:rFonts w:eastAsia="Calibri"/>
              </w:rPr>
              <w:t>1963</w:t>
            </w:r>
          </w:p>
        </w:tc>
        <w:tc>
          <w:tcPr>
            <w:tcW w:w="0" w:type="auto"/>
            <w:shd w:val="clear" w:color="auto" w:fill="FFFFFF"/>
            <w:tcMar>
              <w:top w:w="0" w:type="dxa"/>
              <w:left w:w="108" w:type="dxa"/>
              <w:bottom w:w="0" w:type="dxa"/>
              <w:right w:w="108" w:type="dxa"/>
            </w:tcMar>
          </w:tcPr>
          <w:p w14:paraId="51FE832F" w14:textId="77777777" w:rsidR="00422EFE" w:rsidRPr="00261B7A" w:rsidRDefault="00422EFE" w:rsidP="00240807">
            <w:pPr>
              <w:pStyle w:val="TableText"/>
              <w:spacing w:before="30" w:after="30"/>
              <w:jc w:val="right"/>
              <w:rPr>
                <w:szCs w:val="16"/>
              </w:rPr>
            </w:pPr>
            <w:r w:rsidRPr="00261B7A">
              <w:rPr>
                <w:rFonts w:eastAsia="Calibri"/>
                <w:color w:val="000000"/>
                <w:szCs w:val="16"/>
              </w:rPr>
              <w:t>447.9</w:t>
            </w:r>
          </w:p>
        </w:tc>
        <w:tc>
          <w:tcPr>
            <w:tcW w:w="0" w:type="auto"/>
            <w:shd w:val="clear" w:color="auto" w:fill="FFFFFF"/>
            <w:tcMar>
              <w:top w:w="0" w:type="dxa"/>
              <w:left w:w="108" w:type="dxa"/>
              <w:bottom w:w="0" w:type="dxa"/>
              <w:right w:w="108" w:type="dxa"/>
            </w:tcMar>
          </w:tcPr>
          <w:p w14:paraId="2BFB86EE" w14:textId="77777777" w:rsidR="00422EFE" w:rsidRPr="00261B7A" w:rsidRDefault="00422EFE" w:rsidP="00240807">
            <w:pPr>
              <w:pStyle w:val="TableText"/>
              <w:spacing w:before="30" w:after="30"/>
              <w:jc w:val="right"/>
              <w:rPr>
                <w:szCs w:val="16"/>
              </w:rPr>
            </w:pPr>
            <w:r w:rsidRPr="00261B7A">
              <w:rPr>
                <w:rFonts w:eastAsia="Calibri"/>
                <w:color w:val="000000"/>
                <w:szCs w:val="16"/>
              </w:rPr>
              <w:t>297.3</w:t>
            </w:r>
          </w:p>
        </w:tc>
        <w:tc>
          <w:tcPr>
            <w:tcW w:w="0" w:type="auto"/>
            <w:shd w:val="clear" w:color="auto" w:fill="FFFFFF"/>
            <w:tcMar>
              <w:top w:w="0" w:type="dxa"/>
              <w:left w:w="108" w:type="dxa"/>
              <w:bottom w:w="0" w:type="dxa"/>
              <w:right w:w="108" w:type="dxa"/>
            </w:tcMar>
          </w:tcPr>
          <w:p w14:paraId="6B741EAB" w14:textId="0D723826" w:rsidR="00422EFE" w:rsidRPr="00261B7A" w:rsidRDefault="00422EFE" w:rsidP="00240807">
            <w:pPr>
              <w:pStyle w:val="TableText"/>
              <w:spacing w:before="30" w:after="30"/>
              <w:jc w:val="right"/>
              <w:rPr>
                <w:szCs w:val="16"/>
              </w:rPr>
            </w:pPr>
            <w:r w:rsidRPr="00261B7A">
              <w:rPr>
                <w:rFonts w:eastAsia="Calibri"/>
                <w:color w:val="000000"/>
                <w:szCs w:val="16"/>
              </w:rPr>
              <w:t>33</w:t>
            </w:r>
            <w:r w:rsidR="00E55EF4"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60C96787" w14:textId="77777777" w:rsidR="00422EFE" w:rsidRPr="00261B7A" w:rsidRDefault="00422EFE" w:rsidP="00240807">
            <w:pPr>
              <w:pStyle w:val="TableText"/>
              <w:spacing w:before="30" w:after="30"/>
              <w:jc w:val="right"/>
              <w:rPr>
                <w:szCs w:val="16"/>
              </w:rPr>
            </w:pPr>
            <w:r w:rsidRPr="00261B7A">
              <w:rPr>
                <w:rFonts w:eastAsia="Calibri"/>
                <w:color w:val="000000"/>
                <w:szCs w:val="16"/>
              </w:rPr>
              <w:t>778.2</w:t>
            </w:r>
          </w:p>
        </w:tc>
      </w:tr>
      <w:tr w:rsidR="00422EFE" w:rsidRPr="00261B7A" w14:paraId="6D412FD1" w14:textId="77777777" w:rsidTr="00D41492">
        <w:tc>
          <w:tcPr>
            <w:tcW w:w="0" w:type="auto"/>
            <w:shd w:val="clear" w:color="auto" w:fill="FFFFFF"/>
            <w:tcMar>
              <w:top w:w="0" w:type="dxa"/>
              <w:left w:w="108" w:type="dxa"/>
              <w:bottom w:w="0" w:type="dxa"/>
              <w:right w:w="108" w:type="dxa"/>
            </w:tcMar>
          </w:tcPr>
          <w:p w14:paraId="681B49FA" w14:textId="77777777" w:rsidR="00422EFE" w:rsidRPr="00261B7A" w:rsidRDefault="00422EFE" w:rsidP="00240807">
            <w:pPr>
              <w:pStyle w:val="TableText"/>
              <w:spacing w:before="30" w:after="30"/>
            </w:pPr>
            <w:r w:rsidRPr="00261B7A">
              <w:rPr>
                <w:rFonts w:eastAsia="Calibri"/>
              </w:rPr>
              <w:t>1964</w:t>
            </w:r>
          </w:p>
        </w:tc>
        <w:tc>
          <w:tcPr>
            <w:tcW w:w="0" w:type="auto"/>
            <w:shd w:val="clear" w:color="auto" w:fill="FFFFFF"/>
            <w:tcMar>
              <w:top w:w="0" w:type="dxa"/>
              <w:left w:w="108" w:type="dxa"/>
              <w:bottom w:w="0" w:type="dxa"/>
              <w:right w:w="108" w:type="dxa"/>
            </w:tcMar>
          </w:tcPr>
          <w:p w14:paraId="79F1EFE2" w14:textId="77777777" w:rsidR="00422EFE" w:rsidRPr="00261B7A" w:rsidRDefault="00422EFE" w:rsidP="00240807">
            <w:pPr>
              <w:pStyle w:val="TableText"/>
              <w:spacing w:before="30" w:after="30"/>
              <w:jc w:val="right"/>
              <w:rPr>
                <w:szCs w:val="16"/>
              </w:rPr>
            </w:pPr>
            <w:r w:rsidRPr="00261B7A">
              <w:rPr>
                <w:rFonts w:eastAsia="Calibri"/>
                <w:color w:val="000000"/>
                <w:szCs w:val="16"/>
              </w:rPr>
              <w:t>447.9</w:t>
            </w:r>
          </w:p>
        </w:tc>
        <w:tc>
          <w:tcPr>
            <w:tcW w:w="0" w:type="auto"/>
            <w:shd w:val="clear" w:color="auto" w:fill="FFFFFF"/>
            <w:tcMar>
              <w:top w:w="0" w:type="dxa"/>
              <w:left w:w="108" w:type="dxa"/>
              <w:bottom w:w="0" w:type="dxa"/>
              <w:right w:w="108" w:type="dxa"/>
            </w:tcMar>
          </w:tcPr>
          <w:p w14:paraId="518C98CD" w14:textId="77777777" w:rsidR="00422EFE" w:rsidRPr="00261B7A" w:rsidRDefault="00422EFE" w:rsidP="00240807">
            <w:pPr>
              <w:pStyle w:val="TableText"/>
              <w:spacing w:before="30" w:after="30"/>
              <w:jc w:val="right"/>
              <w:rPr>
                <w:szCs w:val="16"/>
              </w:rPr>
            </w:pPr>
            <w:r w:rsidRPr="00261B7A">
              <w:rPr>
                <w:rFonts w:eastAsia="Calibri"/>
                <w:color w:val="000000"/>
                <w:szCs w:val="16"/>
              </w:rPr>
              <w:t>369.1</w:t>
            </w:r>
          </w:p>
        </w:tc>
        <w:tc>
          <w:tcPr>
            <w:tcW w:w="0" w:type="auto"/>
            <w:shd w:val="clear" w:color="auto" w:fill="FFFFFF"/>
            <w:tcMar>
              <w:top w:w="0" w:type="dxa"/>
              <w:left w:w="108" w:type="dxa"/>
              <w:bottom w:w="0" w:type="dxa"/>
              <w:right w:w="108" w:type="dxa"/>
            </w:tcMar>
          </w:tcPr>
          <w:p w14:paraId="19CED94D" w14:textId="54C4B099" w:rsidR="00422EFE" w:rsidRPr="00261B7A" w:rsidRDefault="00422EFE" w:rsidP="00240807">
            <w:pPr>
              <w:pStyle w:val="TableText"/>
              <w:spacing w:before="30" w:after="30"/>
              <w:jc w:val="right"/>
              <w:rPr>
                <w:szCs w:val="16"/>
              </w:rPr>
            </w:pPr>
            <w:r w:rsidRPr="00261B7A">
              <w:rPr>
                <w:rFonts w:eastAsia="Calibri"/>
                <w:color w:val="000000"/>
                <w:szCs w:val="16"/>
              </w:rPr>
              <w:t>41</w:t>
            </w:r>
            <w:r w:rsidR="00E55EF4"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2F7316DF" w14:textId="76B07781" w:rsidR="00422EFE" w:rsidRPr="00261B7A" w:rsidRDefault="00422EFE" w:rsidP="00240807">
            <w:pPr>
              <w:pStyle w:val="TableText"/>
              <w:spacing w:before="30" w:after="30"/>
              <w:jc w:val="right"/>
              <w:rPr>
                <w:szCs w:val="16"/>
              </w:rPr>
            </w:pPr>
            <w:r w:rsidRPr="00261B7A">
              <w:rPr>
                <w:rFonts w:eastAsia="Calibri"/>
                <w:color w:val="000000"/>
                <w:szCs w:val="16"/>
              </w:rPr>
              <w:t>858</w:t>
            </w:r>
            <w:r w:rsidR="004D1833" w:rsidRPr="00261B7A">
              <w:rPr>
                <w:rFonts w:eastAsia="Calibri"/>
                <w:color w:val="000000"/>
                <w:szCs w:val="16"/>
              </w:rPr>
              <w:t>.0</w:t>
            </w:r>
          </w:p>
        </w:tc>
      </w:tr>
      <w:tr w:rsidR="00422EFE" w:rsidRPr="00261B7A" w14:paraId="357B63F8" w14:textId="77777777" w:rsidTr="00D41492">
        <w:tc>
          <w:tcPr>
            <w:tcW w:w="0" w:type="auto"/>
            <w:shd w:val="clear" w:color="auto" w:fill="FFFFFF"/>
            <w:tcMar>
              <w:top w:w="0" w:type="dxa"/>
              <w:left w:w="108" w:type="dxa"/>
              <w:bottom w:w="0" w:type="dxa"/>
              <w:right w:w="108" w:type="dxa"/>
            </w:tcMar>
          </w:tcPr>
          <w:p w14:paraId="78D457B6" w14:textId="77777777" w:rsidR="00422EFE" w:rsidRPr="00261B7A" w:rsidRDefault="00422EFE" w:rsidP="00240807">
            <w:pPr>
              <w:pStyle w:val="TableText"/>
              <w:spacing w:before="30" w:after="30"/>
            </w:pPr>
            <w:r w:rsidRPr="00261B7A">
              <w:rPr>
                <w:rFonts w:eastAsia="Calibri"/>
              </w:rPr>
              <w:t>1965</w:t>
            </w:r>
          </w:p>
        </w:tc>
        <w:tc>
          <w:tcPr>
            <w:tcW w:w="0" w:type="auto"/>
            <w:shd w:val="clear" w:color="auto" w:fill="FFFFFF"/>
            <w:tcMar>
              <w:top w:w="0" w:type="dxa"/>
              <w:left w:w="108" w:type="dxa"/>
              <w:bottom w:w="0" w:type="dxa"/>
              <w:right w:w="108" w:type="dxa"/>
            </w:tcMar>
          </w:tcPr>
          <w:p w14:paraId="0535EBD0" w14:textId="77777777" w:rsidR="00422EFE" w:rsidRPr="00261B7A" w:rsidRDefault="00422EFE" w:rsidP="00240807">
            <w:pPr>
              <w:pStyle w:val="TableText"/>
              <w:spacing w:before="30" w:after="30"/>
              <w:jc w:val="right"/>
              <w:rPr>
                <w:szCs w:val="16"/>
              </w:rPr>
            </w:pPr>
            <w:r w:rsidRPr="00261B7A">
              <w:rPr>
                <w:rFonts w:eastAsia="Calibri"/>
                <w:color w:val="000000"/>
                <w:szCs w:val="16"/>
              </w:rPr>
              <w:t>447.9</w:t>
            </w:r>
          </w:p>
        </w:tc>
        <w:tc>
          <w:tcPr>
            <w:tcW w:w="0" w:type="auto"/>
            <w:shd w:val="clear" w:color="auto" w:fill="FFFFFF"/>
            <w:tcMar>
              <w:top w:w="0" w:type="dxa"/>
              <w:left w:w="108" w:type="dxa"/>
              <w:bottom w:w="0" w:type="dxa"/>
              <w:right w:w="108" w:type="dxa"/>
            </w:tcMar>
          </w:tcPr>
          <w:p w14:paraId="00A4466F" w14:textId="77777777" w:rsidR="00422EFE" w:rsidRPr="00261B7A" w:rsidRDefault="00422EFE" w:rsidP="00240807">
            <w:pPr>
              <w:pStyle w:val="TableText"/>
              <w:spacing w:before="30" w:after="30"/>
              <w:jc w:val="right"/>
              <w:rPr>
                <w:szCs w:val="16"/>
              </w:rPr>
            </w:pPr>
            <w:r w:rsidRPr="00261B7A">
              <w:rPr>
                <w:rFonts w:eastAsia="Calibri"/>
                <w:color w:val="000000"/>
                <w:szCs w:val="16"/>
              </w:rPr>
              <w:t>477.2</w:t>
            </w:r>
          </w:p>
        </w:tc>
        <w:tc>
          <w:tcPr>
            <w:tcW w:w="0" w:type="auto"/>
            <w:shd w:val="clear" w:color="auto" w:fill="FFFFFF"/>
            <w:tcMar>
              <w:top w:w="0" w:type="dxa"/>
              <w:left w:w="108" w:type="dxa"/>
              <w:bottom w:w="0" w:type="dxa"/>
              <w:right w:w="108" w:type="dxa"/>
            </w:tcMar>
          </w:tcPr>
          <w:p w14:paraId="392EC8D2" w14:textId="59AB8B6D" w:rsidR="00422EFE" w:rsidRPr="00261B7A" w:rsidRDefault="00422EFE" w:rsidP="00240807">
            <w:pPr>
              <w:pStyle w:val="TableText"/>
              <w:spacing w:before="30" w:after="30"/>
              <w:jc w:val="right"/>
              <w:rPr>
                <w:szCs w:val="16"/>
              </w:rPr>
            </w:pPr>
            <w:r w:rsidRPr="00261B7A">
              <w:rPr>
                <w:rFonts w:eastAsia="Calibri"/>
                <w:color w:val="000000"/>
                <w:szCs w:val="16"/>
              </w:rPr>
              <w:t>53</w:t>
            </w:r>
            <w:r w:rsidR="00E55EF4"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52DAF87B" w14:textId="77777777" w:rsidR="00422EFE" w:rsidRPr="00261B7A" w:rsidRDefault="00422EFE" w:rsidP="00240807">
            <w:pPr>
              <w:pStyle w:val="TableText"/>
              <w:spacing w:before="30" w:after="30"/>
              <w:jc w:val="right"/>
              <w:rPr>
                <w:szCs w:val="16"/>
              </w:rPr>
            </w:pPr>
            <w:r w:rsidRPr="00261B7A">
              <w:rPr>
                <w:rFonts w:eastAsia="Calibri"/>
                <w:color w:val="000000"/>
                <w:szCs w:val="16"/>
              </w:rPr>
              <w:t>978.1</w:t>
            </w:r>
          </w:p>
        </w:tc>
      </w:tr>
      <w:tr w:rsidR="00422EFE" w:rsidRPr="00261B7A" w14:paraId="2EA4DC71" w14:textId="77777777" w:rsidTr="00D41492">
        <w:tc>
          <w:tcPr>
            <w:tcW w:w="0" w:type="auto"/>
            <w:shd w:val="clear" w:color="auto" w:fill="FFFFFF"/>
            <w:tcMar>
              <w:top w:w="0" w:type="dxa"/>
              <w:left w:w="108" w:type="dxa"/>
              <w:bottom w:w="0" w:type="dxa"/>
              <w:right w:w="108" w:type="dxa"/>
            </w:tcMar>
          </w:tcPr>
          <w:p w14:paraId="59B70067" w14:textId="77777777" w:rsidR="00422EFE" w:rsidRPr="00261B7A" w:rsidRDefault="00422EFE" w:rsidP="00240807">
            <w:pPr>
              <w:pStyle w:val="TableText"/>
              <w:spacing w:before="30" w:after="30"/>
            </w:pPr>
            <w:r w:rsidRPr="00261B7A">
              <w:rPr>
                <w:rFonts w:eastAsia="Calibri"/>
              </w:rPr>
              <w:t>1966</w:t>
            </w:r>
          </w:p>
        </w:tc>
        <w:tc>
          <w:tcPr>
            <w:tcW w:w="0" w:type="auto"/>
            <w:shd w:val="clear" w:color="auto" w:fill="FFFFFF"/>
            <w:tcMar>
              <w:top w:w="0" w:type="dxa"/>
              <w:left w:w="108" w:type="dxa"/>
              <w:bottom w:w="0" w:type="dxa"/>
              <w:right w:w="108" w:type="dxa"/>
            </w:tcMar>
          </w:tcPr>
          <w:p w14:paraId="5C974B0E" w14:textId="77777777" w:rsidR="00422EFE" w:rsidRPr="00261B7A" w:rsidRDefault="00422EFE" w:rsidP="00240807">
            <w:pPr>
              <w:pStyle w:val="TableText"/>
              <w:spacing w:before="30" w:after="30"/>
              <w:jc w:val="right"/>
              <w:rPr>
                <w:szCs w:val="16"/>
              </w:rPr>
            </w:pPr>
            <w:r w:rsidRPr="00261B7A">
              <w:rPr>
                <w:rFonts w:eastAsia="Calibri"/>
                <w:color w:val="000000"/>
                <w:szCs w:val="16"/>
              </w:rPr>
              <w:t>447.9</w:t>
            </w:r>
          </w:p>
        </w:tc>
        <w:tc>
          <w:tcPr>
            <w:tcW w:w="0" w:type="auto"/>
            <w:shd w:val="clear" w:color="auto" w:fill="FFFFFF"/>
            <w:tcMar>
              <w:top w:w="0" w:type="dxa"/>
              <w:left w:w="108" w:type="dxa"/>
              <w:bottom w:w="0" w:type="dxa"/>
              <w:right w:w="108" w:type="dxa"/>
            </w:tcMar>
          </w:tcPr>
          <w:p w14:paraId="3327378C" w14:textId="77777777" w:rsidR="00422EFE" w:rsidRPr="00261B7A" w:rsidRDefault="00422EFE" w:rsidP="00240807">
            <w:pPr>
              <w:pStyle w:val="TableText"/>
              <w:spacing w:before="30" w:after="30"/>
              <w:jc w:val="right"/>
              <w:rPr>
                <w:szCs w:val="16"/>
              </w:rPr>
            </w:pPr>
            <w:r w:rsidRPr="00261B7A">
              <w:rPr>
                <w:rFonts w:eastAsia="Calibri"/>
                <w:color w:val="000000"/>
                <w:szCs w:val="16"/>
              </w:rPr>
              <w:t>566.8</w:t>
            </w:r>
          </w:p>
        </w:tc>
        <w:tc>
          <w:tcPr>
            <w:tcW w:w="0" w:type="auto"/>
            <w:shd w:val="clear" w:color="auto" w:fill="FFFFFF"/>
            <w:tcMar>
              <w:top w:w="0" w:type="dxa"/>
              <w:left w:w="108" w:type="dxa"/>
              <w:bottom w:w="0" w:type="dxa"/>
              <w:right w:w="108" w:type="dxa"/>
            </w:tcMar>
          </w:tcPr>
          <w:p w14:paraId="028AB913" w14:textId="0B4E9862" w:rsidR="00422EFE" w:rsidRPr="00261B7A" w:rsidRDefault="00422EFE" w:rsidP="00240807">
            <w:pPr>
              <w:pStyle w:val="TableText"/>
              <w:spacing w:before="30" w:after="30"/>
              <w:jc w:val="right"/>
              <w:rPr>
                <w:szCs w:val="16"/>
              </w:rPr>
            </w:pPr>
            <w:r w:rsidRPr="00261B7A">
              <w:rPr>
                <w:rFonts w:eastAsia="Calibri"/>
                <w:color w:val="000000"/>
                <w:szCs w:val="16"/>
              </w:rPr>
              <w:t>63</w:t>
            </w:r>
            <w:r w:rsidR="00E55EF4"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1EEABEC2" w14:textId="77777777" w:rsidR="00422EFE" w:rsidRPr="00261B7A" w:rsidRDefault="00422EFE" w:rsidP="00240807">
            <w:pPr>
              <w:pStyle w:val="TableText"/>
              <w:spacing w:before="30" w:after="30"/>
              <w:jc w:val="right"/>
              <w:rPr>
                <w:szCs w:val="16"/>
              </w:rPr>
            </w:pPr>
            <w:r w:rsidRPr="00261B7A">
              <w:rPr>
                <w:rFonts w:eastAsia="Calibri"/>
                <w:color w:val="000000"/>
                <w:szCs w:val="16"/>
              </w:rPr>
              <w:t>1,077.6</w:t>
            </w:r>
          </w:p>
        </w:tc>
      </w:tr>
      <w:tr w:rsidR="00422EFE" w:rsidRPr="00261B7A" w14:paraId="1DDC9156" w14:textId="77777777" w:rsidTr="00D41492">
        <w:tc>
          <w:tcPr>
            <w:tcW w:w="0" w:type="auto"/>
            <w:shd w:val="clear" w:color="auto" w:fill="FFFFFF"/>
            <w:tcMar>
              <w:top w:w="0" w:type="dxa"/>
              <w:left w:w="108" w:type="dxa"/>
              <w:bottom w:w="0" w:type="dxa"/>
              <w:right w:w="108" w:type="dxa"/>
            </w:tcMar>
          </w:tcPr>
          <w:p w14:paraId="05A99BDE" w14:textId="77777777" w:rsidR="00422EFE" w:rsidRPr="00261B7A" w:rsidRDefault="00422EFE" w:rsidP="00240807">
            <w:pPr>
              <w:pStyle w:val="TableText"/>
              <w:spacing w:before="30" w:after="30"/>
            </w:pPr>
            <w:r w:rsidRPr="00261B7A">
              <w:rPr>
                <w:rFonts w:eastAsia="Calibri"/>
              </w:rPr>
              <w:t>1967</w:t>
            </w:r>
          </w:p>
        </w:tc>
        <w:tc>
          <w:tcPr>
            <w:tcW w:w="0" w:type="auto"/>
            <w:shd w:val="clear" w:color="auto" w:fill="FFFFFF"/>
            <w:tcMar>
              <w:top w:w="0" w:type="dxa"/>
              <w:left w:w="108" w:type="dxa"/>
              <w:bottom w:w="0" w:type="dxa"/>
              <w:right w:w="108" w:type="dxa"/>
            </w:tcMar>
          </w:tcPr>
          <w:p w14:paraId="56CD4BB2" w14:textId="77777777" w:rsidR="00422EFE" w:rsidRPr="00261B7A" w:rsidRDefault="00422EFE" w:rsidP="00240807">
            <w:pPr>
              <w:pStyle w:val="TableText"/>
              <w:spacing w:before="30" w:after="30"/>
              <w:jc w:val="right"/>
              <w:rPr>
                <w:szCs w:val="16"/>
              </w:rPr>
            </w:pPr>
            <w:r w:rsidRPr="00261B7A">
              <w:rPr>
                <w:rFonts w:eastAsia="Calibri"/>
                <w:color w:val="000000"/>
                <w:szCs w:val="16"/>
              </w:rPr>
              <w:t>495.8</w:t>
            </w:r>
          </w:p>
        </w:tc>
        <w:tc>
          <w:tcPr>
            <w:tcW w:w="0" w:type="auto"/>
            <w:shd w:val="clear" w:color="auto" w:fill="FFFFFF"/>
            <w:tcMar>
              <w:top w:w="0" w:type="dxa"/>
              <w:left w:w="108" w:type="dxa"/>
              <w:bottom w:w="0" w:type="dxa"/>
              <w:right w:w="108" w:type="dxa"/>
            </w:tcMar>
          </w:tcPr>
          <w:p w14:paraId="1CDDC069" w14:textId="65437E7E" w:rsidR="00422EFE" w:rsidRPr="00261B7A" w:rsidRDefault="00422EFE" w:rsidP="00240807">
            <w:pPr>
              <w:pStyle w:val="TableText"/>
              <w:spacing w:before="30" w:after="30"/>
              <w:jc w:val="right"/>
              <w:rPr>
                <w:szCs w:val="16"/>
              </w:rPr>
            </w:pPr>
            <w:r w:rsidRPr="00261B7A">
              <w:rPr>
                <w:rFonts w:eastAsia="Calibri"/>
                <w:color w:val="000000"/>
                <w:szCs w:val="16"/>
              </w:rPr>
              <w:t>486</w:t>
            </w:r>
            <w:r w:rsidR="00E55EF4"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022B4055" w14:textId="519CB737" w:rsidR="00422EFE" w:rsidRPr="00261B7A" w:rsidRDefault="00422EFE" w:rsidP="00240807">
            <w:pPr>
              <w:pStyle w:val="TableText"/>
              <w:spacing w:before="30" w:after="30"/>
              <w:jc w:val="right"/>
              <w:rPr>
                <w:szCs w:val="16"/>
              </w:rPr>
            </w:pPr>
            <w:r w:rsidRPr="00261B7A">
              <w:rPr>
                <w:rFonts w:eastAsia="Calibri"/>
                <w:color w:val="000000"/>
                <w:szCs w:val="16"/>
              </w:rPr>
              <w:t>54</w:t>
            </w:r>
            <w:r w:rsidR="00E55EF4"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504FBB98" w14:textId="77777777" w:rsidR="00422EFE" w:rsidRPr="00261B7A" w:rsidRDefault="00422EFE" w:rsidP="00240807">
            <w:pPr>
              <w:pStyle w:val="TableText"/>
              <w:spacing w:before="30" w:after="30"/>
              <w:jc w:val="right"/>
              <w:rPr>
                <w:szCs w:val="16"/>
              </w:rPr>
            </w:pPr>
            <w:r w:rsidRPr="00261B7A">
              <w:rPr>
                <w:rFonts w:eastAsia="Calibri"/>
                <w:color w:val="000000"/>
                <w:szCs w:val="16"/>
              </w:rPr>
              <w:t>1,035.8</w:t>
            </w:r>
          </w:p>
        </w:tc>
      </w:tr>
      <w:tr w:rsidR="00422EFE" w:rsidRPr="00261B7A" w14:paraId="1637489E" w14:textId="77777777" w:rsidTr="00D41492">
        <w:tc>
          <w:tcPr>
            <w:tcW w:w="0" w:type="auto"/>
            <w:shd w:val="clear" w:color="auto" w:fill="FFFFFF"/>
            <w:tcMar>
              <w:top w:w="0" w:type="dxa"/>
              <w:left w:w="108" w:type="dxa"/>
              <w:bottom w:w="0" w:type="dxa"/>
              <w:right w:w="108" w:type="dxa"/>
            </w:tcMar>
          </w:tcPr>
          <w:p w14:paraId="31C055ED" w14:textId="77777777" w:rsidR="00422EFE" w:rsidRPr="00261B7A" w:rsidRDefault="00422EFE" w:rsidP="00240807">
            <w:pPr>
              <w:pStyle w:val="TableText"/>
              <w:spacing w:before="30" w:after="30"/>
            </w:pPr>
            <w:r w:rsidRPr="00261B7A">
              <w:rPr>
                <w:rFonts w:eastAsia="Calibri"/>
              </w:rPr>
              <w:t>1968</w:t>
            </w:r>
          </w:p>
        </w:tc>
        <w:tc>
          <w:tcPr>
            <w:tcW w:w="0" w:type="auto"/>
            <w:shd w:val="clear" w:color="auto" w:fill="FFFFFF"/>
            <w:tcMar>
              <w:top w:w="0" w:type="dxa"/>
              <w:left w:w="108" w:type="dxa"/>
              <w:bottom w:w="0" w:type="dxa"/>
              <w:right w:w="108" w:type="dxa"/>
            </w:tcMar>
          </w:tcPr>
          <w:p w14:paraId="3AAD3C17" w14:textId="77777777" w:rsidR="00422EFE" w:rsidRPr="00261B7A" w:rsidRDefault="00422EFE" w:rsidP="00240807">
            <w:pPr>
              <w:pStyle w:val="TableText"/>
              <w:spacing w:before="30" w:after="30"/>
              <w:jc w:val="right"/>
              <w:rPr>
                <w:szCs w:val="16"/>
              </w:rPr>
            </w:pPr>
            <w:r w:rsidRPr="00261B7A">
              <w:rPr>
                <w:rFonts w:eastAsia="Calibri"/>
                <w:color w:val="000000"/>
                <w:szCs w:val="16"/>
              </w:rPr>
              <w:t>495.8</w:t>
            </w:r>
          </w:p>
        </w:tc>
        <w:tc>
          <w:tcPr>
            <w:tcW w:w="0" w:type="auto"/>
            <w:shd w:val="clear" w:color="auto" w:fill="FFFFFF"/>
            <w:tcMar>
              <w:top w:w="0" w:type="dxa"/>
              <w:left w:w="108" w:type="dxa"/>
              <w:bottom w:w="0" w:type="dxa"/>
              <w:right w:w="108" w:type="dxa"/>
            </w:tcMar>
          </w:tcPr>
          <w:p w14:paraId="22E713C7" w14:textId="77777777" w:rsidR="00422EFE" w:rsidRPr="00261B7A" w:rsidRDefault="00422EFE" w:rsidP="00240807">
            <w:pPr>
              <w:pStyle w:val="TableText"/>
              <w:spacing w:before="30" w:after="30"/>
              <w:jc w:val="right"/>
              <w:rPr>
                <w:szCs w:val="16"/>
              </w:rPr>
            </w:pPr>
            <w:r w:rsidRPr="00261B7A">
              <w:rPr>
                <w:rFonts w:eastAsia="Calibri"/>
                <w:color w:val="000000"/>
                <w:szCs w:val="16"/>
              </w:rPr>
              <w:t>485.2</w:t>
            </w:r>
          </w:p>
        </w:tc>
        <w:tc>
          <w:tcPr>
            <w:tcW w:w="0" w:type="auto"/>
            <w:shd w:val="clear" w:color="auto" w:fill="FFFFFF"/>
            <w:tcMar>
              <w:top w:w="0" w:type="dxa"/>
              <w:left w:w="108" w:type="dxa"/>
              <w:bottom w:w="0" w:type="dxa"/>
              <w:right w:w="108" w:type="dxa"/>
            </w:tcMar>
          </w:tcPr>
          <w:p w14:paraId="15EE6F78" w14:textId="77777777" w:rsidR="00422EFE" w:rsidRPr="00261B7A" w:rsidRDefault="00422EFE" w:rsidP="00240807">
            <w:pPr>
              <w:pStyle w:val="TableText"/>
              <w:spacing w:before="30" w:after="30"/>
              <w:jc w:val="right"/>
              <w:rPr>
                <w:szCs w:val="16"/>
              </w:rPr>
            </w:pPr>
            <w:r w:rsidRPr="00261B7A">
              <w:rPr>
                <w:rFonts w:eastAsia="Calibri"/>
                <w:color w:val="000000"/>
                <w:szCs w:val="16"/>
              </w:rPr>
              <w:t>53.9</w:t>
            </w:r>
          </w:p>
        </w:tc>
        <w:tc>
          <w:tcPr>
            <w:tcW w:w="0" w:type="auto"/>
            <w:shd w:val="clear" w:color="auto" w:fill="FFFFFF"/>
            <w:tcMar>
              <w:top w:w="0" w:type="dxa"/>
              <w:left w:w="108" w:type="dxa"/>
              <w:bottom w:w="0" w:type="dxa"/>
              <w:right w:w="108" w:type="dxa"/>
            </w:tcMar>
          </w:tcPr>
          <w:p w14:paraId="77370E94" w14:textId="77777777" w:rsidR="00422EFE" w:rsidRPr="00261B7A" w:rsidRDefault="00422EFE" w:rsidP="00240807">
            <w:pPr>
              <w:pStyle w:val="TableText"/>
              <w:spacing w:before="30" w:after="30"/>
              <w:jc w:val="right"/>
              <w:rPr>
                <w:szCs w:val="16"/>
              </w:rPr>
            </w:pPr>
            <w:r w:rsidRPr="00261B7A">
              <w:rPr>
                <w:rFonts w:eastAsia="Calibri"/>
                <w:color w:val="000000"/>
                <w:szCs w:val="16"/>
              </w:rPr>
              <w:t>1,034.9</w:t>
            </w:r>
          </w:p>
        </w:tc>
      </w:tr>
      <w:tr w:rsidR="00422EFE" w:rsidRPr="00261B7A" w14:paraId="45B6F7F2" w14:textId="77777777" w:rsidTr="00D41492">
        <w:tc>
          <w:tcPr>
            <w:tcW w:w="0" w:type="auto"/>
            <w:shd w:val="clear" w:color="auto" w:fill="FFFFFF"/>
            <w:tcMar>
              <w:top w:w="0" w:type="dxa"/>
              <w:left w:w="108" w:type="dxa"/>
              <w:bottom w:w="0" w:type="dxa"/>
              <w:right w:w="108" w:type="dxa"/>
            </w:tcMar>
          </w:tcPr>
          <w:p w14:paraId="61E98AD2" w14:textId="77777777" w:rsidR="00422EFE" w:rsidRPr="00261B7A" w:rsidRDefault="00422EFE" w:rsidP="00240807">
            <w:pPr>
              <w:pStyle w:val="TableText"/>
              <w:spacing w:before="30" w:after="30"/>
            </w:pPr>
            <w:r w:rsidRPr="00261B7A">
              <w:rPr>
                <w:rFonts w:eastAsia="Calibri"/>
              </w:rPr>
              <w:t>1969</w:t>
            </w:r>
          </w:p>
        </w:tc>
        <w:tc>
          <w:tcPr>
            <w:tcW w:w="0" w:type="auto"/>
            <w:shd w:val="clear" w:color="auto" w:fill="FFFFFF"/>
            <w:tcMar>
              <w:top w:w="0" w:type="dxa"/>
              <w:left w:w="108" w:type="dxa"/>
              <w:bottom w:w="0" w:type="dxa"/>
              <w:right w:w="108" w:type="dxa"/>
            </w:tcMar>
          </w:tcPr>
          <w:p w14:paraId="577F87AF" w14:textId="77777777" w:rsidR="00422EFE" w:rsidRPr="00261B7A" w:rsidRDefault="00422EFE" w:rsidP="00240807">
            <w:pPr>
              <w:pStyle w:val="TableText"/>
              <w:spacing w:before="30" w:after="30"/>
              <w:jc w:val="right"/>
              <w:rPr>
                <w:szCs w:val="16"/>
              </w:rPr>
            </w:pPr>
            <w:r w:rsidRPr="00261B7A">
              <w:rPr>
                <w:rFonts w:eastAsia="Calibri"/>
                <w:color w:val="000000"/>
                <w:szCs w:val="16"/>
              </w:rPr>
              <w:t>495.8</w:t>
            </w:r>
          </w:p>
        </w:tc>
        <w:tc>
          <w:tcPr>
            <w:tcW w:w="0" w:type="auto"/>
            <w:shd w:val="clear" w:color="auto" w:fill="FFFFFF"/>
            <w:tcMar>
              <w:top w:w="0" w:type="dxa"/>
              <w:left w:w="108" w:type="dxa"/>
              <w:bottom w:w="0" w:type="dxa"/>
              <w:right w:w="108" w:type="dxa"/>
            </w:tcMar>
          </w:tcPr>
          <w:p w14:paraId="528525E8" w14:textId="77777777" w:rsidR="00422EFE" w:rsidRPr="00261B7A" w:rsidRDefault="00422EFE" w:rsidP="00240807">
            <w:pPr>
              <w:pStyle w:val="TableText"/>
              <w:spacing w:before="30" w:after="30"/>
              <w:jc w:val="right"/>
              <w:rPr>
                <w:szCs w:val="16"/>
              </w:rPr>
            </w:pPr>
            <w:r w:rsidRPr="00261B7A">
              <w:rPr>
                <w:rFonts w:eastAsia="Calibri"/>
                <w:color w:val="000000"/>
                <w:szCs w:val="16"/>
              </w:rPr>
              <w:t>489.1</w:t>
            </w:r>
          </w:p>
        </w:tc>
        <w:tc>
          <w:tcPr>
            <w:tcW w:w="0" w:type="auto"/>
            <w:shd w:val="clear" w:color="auto" w:fill="FFFFFF"/>
            <w:tcMar>
              <w:top w:w="0" w:type="dxa"/>
              <w:left w:w="108" w:type="dxa"/>
              <w:bottom w:w="0" w:type="dxa"/>
              <w:right w:w="108" w:type="dxa"/>
            </w:tcMar>
          </w:tcPr>
          <w:p w14:paraId="590C0D3F" w14:textId="77777777" w:rsidR="00422EFE" w:rsidRPr="00261B7A" w:rsidRDefault="00422EFE" w:rsidP="00240807">
            <w:pPr>
              <w:pStyle w:val="TableText"/>
              <w:spacing w:before="30" w:after="30"/>
              <w:jc w:val="right"/>
              <w:rPr>
                <w:szCs w:val="16"/>
              </w:rPr>
            </w:pPr>
            <w:r w:rsidRPr="00261B7A">
              <w:rPr>
                <w:rFonts w:eastAsia="Calibri"/>
                <w:color w:val="000000"/>
                <w:szCs w:val="16"/>
              </w:rPr>
              <w:t>54.3</w:t>
            </w:r>
          </w:p>
        </w:tc>
        <w:tc>
          <w:tcPr>
            <w:tcW w:w="0" w:type="auto"/>
            <w:shd w:val="clear" w:color="auto" w:fill="FFFFFF"/>
            <w:tcMar>
              <w:top w:w="0" w:type="dxa"/>
              <w:left w:w="108" w:type="dxa"/>
              <w:bottom w:w="0" w:type="dxa"/>
              <w:right w:w="108" w:type="dxa"/>
            </w:tcMar>
          </w:tcPr>
          <w:p w14:paraId="3E650D2B" w14:textId="77777777" w:rsidR="00422EFE" w:rsidRPr="00261B7A" w:rsidRDefault="00422EFE" w:rsidP="00240807">
            <w:pPr>
              <w:pStyle w:val="TableText"/>
              <w:spacing w:before="30" w:after="30"/>
              <w:jc w:val="right"/>
              <w:rPr>
                <w:szCs w:val="16"/>
              </w:rPr>
            </w:pPr>
            <w:r w:rsidRPr="00261B7A">
              <w:rPr>
                <w:rFonts w:eastAsia="Calibri"/>
                <w:color w:val="000000"/>
                <w:szCs w:val="16"/>
              </w:rPr>
              <w:t>1,039.2</w:t>
            </w:r>
          </w:p>
        </w:tc>
      </w:tr>
      <w:tr w:rsidR="00422EFE" w:rsidRPr="00261B7A" w14:paraId="3D16FDFA" w14:textId="77777777" w:rsidTr="00D41492">
        <w:tc>
          <w:tcPr>
            <w:tcW w:w="0" w:type="auto"/>
            <w:shd w:val="clear" w:color="auto" w:fill="FFFFFF"/>
            <w:tcMar>
              <w:top w:w="0" w:type="dxa"/>
              <w:left w:w="108" w:type="dxa"/>
              <w:bottom w:w="0" w:type="dxa"/>
              <w:right w:w="108" w:type="dxa"/>
            </w:tcMar>
          </w:tcPr>
          <w:p w14:paraId="1752EA24" w14:textId="77777777" w:rsidR="00422EFE" w:rsidRPr="00261B7A" w:rsidRDefault="00422EFE" w:rsidP="00240807">
            <w:pPr>
              <w:pStyle w:val="TableText"/>
              <w:spacing w:before="30" w:after="30"/>
            </w:pPr>
            <w:r w:rsidRPr="00261B7A">
              <w:rPr>
                <w:rFonts w:eastAsia="Calibri"/>
              </w:rPr>
              <w:t>1970</w:t>
            </w:r>
          </w:p>
        </w:tc>
        <w:tc>
          <w:tcPr>
            <w:tcW w:w="0" w:type="auto"/>
            <w:shd w:val="clear" w:color="auto" w:fill="FFFFFF"/>
            <w:tcMar>
              <w:top w:w="0" w:type="dxa"/>
              <w:left w:w="108" w:type="dxa"/>
              <w:bottom w:w="0" w:type="dxa"/>
              <w:right w:w="108" w:type="dxa"/>
            </w:tcMar>
          </w:tcPr>
          <w:p w14:paraId="62ED17C8" w14:textId="77777777" w:rsidR="00422EFE" w:rsidRPr="00261B7A" w:rsidRDefault="00422EFE" w:rsidP="00240807">
            <w:pPr>
              <w:pStyle w:val="TableText"/>
              <w:spacing w:before="30" w:after="30"/>
              <w:jc w:val="right"/>
              <w:rPr>
                <w:szCs w:val="16"/>
              </w:rPr>
            </w:pPr>
            <w:r w:rsidRPr="00261B7A">
              <w:rPr>
                <w:rFonts w:eastAsia="Calibri"/>
                <w:color w:val="000000"/>
                <w:szCs w:val="16"/>
              </w:rPr>
              <w:t>654.1</w:t>
            </w:r>
          </w:p>
        </w:tc>
        <w:tc>
          <w:tcPr>
            <w:tcW w:w="0" w:type="auto"/>
            <w:shd w:val="clear" w:color="auto" w:fill="FFFFFF"/>
            <w:tcMar>
              <w:top w:w="0" w:type="dxa"/>
              <w:left w:w="108" w:type="dxa"/>
              <w:bottom w:w="0" w:type="dxa"/>
              <w:right w:w="108" w:type="dxa"/>
            </w:tcMar>
          </w:tcPr>
          <w:p w14:paraId="3CB6300B" w14:textId="77777777" w:rsidR="00422EFE" w:rsidRPr="00261B7A" w:rsidRDefault="00422EFE" w:rsidP="00240807">
            <w:pPr>
              <w:pStyle w:val="TableText"/>
              <w:spacing w:before="30" w:after="30"/>
              <w:jc w:val="right"/>
              <w:rPr>
                <w:szCs w:val="16"/>
              </w:rPr>
            </w:pPr>
            <w:r w:rsidRPr="00261B7A">
              <w:rPr>
                <w:rFonts w:eastAsia="Calibri"/>
                <w:color w:val="000000"/>
                <w:szCs w:val="16"/>
              </w:rPr>
              <w:t>497.4</w:t>
            </w:r>
          </w:p>
        </w:tc>
        <w:tc>
          <w:tcPr>
            <w:tcW w:w="0" w:type="auto"/>
            <w:shd w:val="clear" w:color="auto" w:fill="FFFFFF"/>
            <w:tcMar>
              <w:top w:w="0" w:type="dxa"/>
              <w:left w:w="108" w:type="dxa"/>
              <w:bottom w:w="0" w:type="dxa"/>
              <w:right w:w="108" w:type="dxa"/>
            </w:tcMar>
          </w:tcPr>
          <w:p w14:paraId="345DEE6A" w14:textId="77777777" w:rsidR="00422EFE" w:rsidRPr="00261B7A" w:rsidRDefault="00422EFE" w:rsidP="00240807">
            <w:pPr>
              <w:pStyle w:val="TableText"/>
              <w:spacing w:before="30" w:after="30"/>
              <w:jc w:val="right"/>
              <w:rPr>
                <w:szCs w:val="16"/>
              </w:rPr>
            </w:pPr>
            <w:r w:rsidRPr="00261B7A">
              <w:rPr>
                <w:rFonts w:eastAsia="Calibri"/>
                <w:color w:val="000000"/>
                <w:szCs w:val="16"/>
              </w:rPr>
              <w:t>55.3</w:t>
            </w:r>
          </w:p>
        </w:tc>
        <w:tc>
          <w:tcPr>
            <w:tcW w:w="0" w:type="auto"/>
            <w:shd w:val="clear" w:color="auto" w:fill="FFFFFF"/>
            <w:tcMar>
              <w:top w:w="0" w:type="dxa"/>
              <w:left w:w="108" w:type="dxa"/>
              <w:bottom w:w="0" w:type="dxa"/>
              <w:right w:w="108" w:type="dxa"/>
            </w:tcMar>
          </w:tcPr>
          <w:p w14:paraId="129018E0" w14:textId="77777777" w:rsidR="00422EFE" w:rsidRPr="00261B7A" w:rsidRDefault="00422EFE" w:rsidP="00240807">
            <w:pPr>
              <w:pStyle w:val="TableText"/>
              <w:spacing w:before="30" w:after="30"/>
              <w:jc w:val="right"/>
              <w:rPr>
                <w:szCs w:val="16"/>
              </w:rPr>
            </w:pPr>
            <w:r w:rsidRPr="00261B7A">
              <w:rPr>
                <w:rFonts w:eastAsia="Calibri"/>
                <w:color w:val="000000"/>
                <w:szCs w:val="16"/>
              </w:rPr>
              <w:t>1,206.9</w:t>
            </w:r>
          </w:p>
        </w:tc>
      </w:tr>
      <w:tr w:rsidR="00422EFE" w:rsidRPr="00261B7A" w14:paraId="1BFC1BDB" w14:textId="77777777" w:rsidTr="00D41492">
        <w:tc>
          <w:tcPr>
            <w:tcW w:w="0" w:type="auto"/>
            <w:shd w:val="clear" w:color="auto" w:fill="FFFFFF"/>
            <w:tcMar>
              <w:top w:w="0" w:type="dxa"/>
              <w:left w:w="108" w:type="dxa"/>
              <w:bottom w:w="0" w:type="dxa"/>
              <w:right w:w="108" w:type="dxa"/>
            </w:tcMar>
          </w:tcPr>
          <w:p w14:paraId="361A26EE" w14:textId="77777777" w:rsidR="00422EFE" w:rsidRPr="00261B7A" w:rsidRDefault="00422EFE" w:rsidP="00240807">
            <w:pPr>
              <w:pStyle w:val="TableText"/>
              <w:spacing w:before="30" w:after="30"/>
            </w:pPr>
            <w:r w:rsidRPr="00261B7A">
              <w:rPr>
                <w:rFonts w:eastAsia="Calibri"/>
              </w:rPr>
              <w:t>1971</w:t>
            </w:r>
          </w:p>
        </w:tc>
        <w:tc>
          <w:tcPr>
            <w:tcW w:w="0" w:type="auto"/>
            <w:shd w:val="clear" w:color="auto" w:fill="FFFFFF"/>
            <w:tcMar>
              <w:top w:w="0" w:type="dxa"/>
              <w:left w:w="108" w:type="dxa"/>
              <w:bottom w:w="0" w:type="dxa"/>
              <w:right w:w="108" w:type="dxa"/>
            </w:tcMar>
          </w:tcPr>
          <w:p w14:paraId="24543A66" w14:textId="77777777" w:rsidR="00422EFE" w:rsidRPr="00261B7A" w:rsidRDefault="00422EFE" w:rsidP="00240807">
            <w:pPr>
              <w:pStyle w:val="TableText"/>
              <w:spacing w:before="30" w:after="30"/>
              <w:jc w:val="right"/>
              <w:rPr>
                <w:szCs w:val="16"/>
              </w:rPr>
            </w:pPr>
            <w:r w:rsidRPr="00261B7A">
              <w:rPr>
                <w:rFonts w:eastAsia="Calibri"/>
                <w:color w:val="000000"/>
                <w:szCs w:val="16"/>
              </w:rPr>
              <w:t>654.1</w:t>
            </w:r>
          </w:p>
        </w:tc>
        <w:tc>
          <w:tcPr>
            <w:tcW w:w="0" w:type="auto"/>
            <w:shd w:val="clear" w:color="auto" w:fill="FFFFFF"/>
            <w:tcMar>
              <w:top w:w="0" w:type="dxa"/>
              <w:left w:w="108" w:type="dxa"/>
              <w:bottom w:w="0" w:type="dxa"/>
              <w:right w:w="108" w:type="dxa"/>
            </w:tcMar>
          </w:tcPr>
          <w:p w14:paraId="4E512EE6" w14:textId="77777777" w:rsidR="00422EFE" w:rsidRPr="00261B7A" w:rsidRDefault="00422EFE" w:rsidP="00240807">
            <w:pPr>
              <w:pStyle w:val="TableText"/>
              <w:spacing w:before="30" w:after="30"/>
              <w:jc w:val="right"/>
              <w:rPr>
                <w:szCs w:val="16"/>
              </w:rPr>
            </w:pPr>
            <w:r w:rsidRPr="00261B7A">
              <w:rPr>
                <w:rFonts w:eastAsia="Calibri"/>
                <w:color w:val="000000"/>
                <w:szCs w:val="16"/>
              </w:rPr>
              <w:t>554.4</w:t>
            </w:r>
          </w:p>
        </w:tc>
        <w:tc>
          <w:tcPr>
            <w:tcW w:w="0" w:type="auto"/>
            <w:shd w:val="clear" w:color="auto" w:fill="FFFFFF"/>
            <w:tcMar>
              <w:top w:w="0" w:type="dxa"/>
              <w:left w:w="108" w:type="dxa"/>
              <w:bottom w:w="0" w:type="dxa"/>
              <w:right w:w="108" w:type="dxa"/>
            </w:tcMar>
          </w:tcPr>
          <w:p w14:paraId="1B811136" w14:textId="77777777" w:rsidR="00422EFE" w:rsidRPr="00261B7A" w:rsidRDefault="00422EFE" w:rsidP="00240807">
            <w:pPr>
              <w:pStyle w:val="TableText"/>
              <w:spacing w:before="30" w:after="30"/>
              <w:jc w:val="right"/>
              <w:rPr>
                <w:szCs w:val="16"/>
              </w:rPr>
            </w:pPr>
            <w:r w:rsidRPr="00261B7A">
              <w:rPr>
                <w:rFonts w:eastAsia="Calibri"/>
                <w:color w:val="000000"/>
                <w:szCs w:val="16"/>
              </w:rPr>
              <w:t>61.6</w:t>
            </w:r>
          </w:p>
        </w:tc>
        <w:tc>
          <w:tcPr>
            <w:tcW w:w="0" w:type="auto"/>
            <w:shd w:val="clear" w:color="auto" w:fill="FFFFFF"/>
            <w:tcMar>
              <w:top w:w="0" w:type="dxa"/>
              <w:left w:w="108" w:type="dxa"/>
              <w:bottom w:w="0" w:type="dxa"/>
              <w:right w:w="108" w:type="dxa"/>
            </w:tcMar>
          </w:tcPr>
          <w:p w14:paraId="417E0E6C" w14:textId="77777777" w:rsidR="00422EFE" w:rsidRPr="00261B7A" w:rsidRDefault="00422EFE" w:rsidP="00240807">
            <w:pPr>
              <w:pStyle w:val="TableText"/>
              <w:spacing w:before="30" w:after="30"/>
              <w:jc w:val="right"/>
              <w:rPr>
                <w:szCs w:val="16"/>
              </w:rPr>
            </w:pPr>
            <w:r w:rsidRPr="00261B7A">
              <w:rPr>
                <w:rFonts w:eastAsia="Calibri"/>
                <w:color w:val="000000"/>
                <w:szCs w:val="16"/>
              </w:rPr>
              <w:t>1,270.1</w:t>
            </w:r>
          </w:p>
        </w:tc>
      </w:tr>
      <w:tr w:rsidR="00422EFE" w:rsidRPr="00261B7A" w14:paraId="4B5AA45A" w14:textId="77777777" w:rsidTr="00D41492">
        <w:tc>
          <w:tcPr>
            <w:tcW w:w="0" w:type="auto"/>
            <w:shd w:val="clear" w:color="auto" w:fill="FFFFFF"/>
            <w:tcMar>
              <w:top w:w="0" w:type="dxa"/>
              <w:left w:w="108" w:type="dxa"/>
              <w:bottom w:w="0" w:type="dxa"/>
              <w:right w:w="108" w:type="dxa"/>
            </w:tcMar>
          </w:tcPr>
          <w:p w14:paraId="31C55323" w14:textId="77777777" w:rsidR="00422EFE" w:rsidRPr="00261B7A" w:rsidRDefault="00422EFE" w:rsidP="00240807">
            <w:pPr>
              <w:pStyle w:val="TableText"/>
              <w:spacing w:before="30" w:after="30"/>
            </w:pPr>
            <w:r w:rsidRPr="00261B7A">
              <w:rPr>
                <w:rFonts w:eastAsia="Calibri"/>
              </w:rPr>
              <w:t>1972</w:t>
            </w:r>
          </w:p>
        </w:tc>
        <w:tc>
          <w:tcPr>
            <w:tcW w:w="0" w:type="auto"/>
            <w:shd w:val="clear" w:color="auto" w:fill="FFFFFF"/>
            <w:tcMar>
              <w:top w:w="0" w:type="dxa"/>
              <w:left w:w="108" w:type="dxa"/>
              <w:bottom w:w="0" w:type="dxa"/>
              <w:right w:w="108" w:type="dxa"/>
            </w:tcMar>
          </w:tcPr>
          <w:p w14:paraId="7A13307D" w14:textId="77777777" w:rsidR="00422EFE" w:rsidRPr="00261B7A" w:rsidRDefault="00422EFE" w:rsidP="00240807">
            <w:pPr>
              <w:pStyle w:val="TableText"/>
              <w:spacing w:before="30" w:after="30"/>
              <w:jc w:val="right"/>
              <w:rPr>
                <w:szCs w:val="16"/>
              </w:rPr>
            </w:pPr>
            <w:r w:rsidRPr="00261B7A">
              <w:rPr>
                <w:rFonts w:eastAsia="Calibri"/>
                <w:color w:val="000000"/>
                <w:szCs w:val="16"/>
              </w:rPr>
              <w:t>672.5</w:t>
            </w:r>
          </w:p>
        </w:tc>
        <w:tc>
          <w:tcPr>
            <w:tcW w:w="0" w:type="auto"/>
            <w:shd w:val="clear" w:color="auto" w:fill="FFFFFF"/>
            <w:tcMar>
              <w:top w:w="0" w:type="dxa"/>
              <w:left w:w="108" w:type="dxa"/>
              <w:bottom w:w="0" w:type="dxa"/>
              <w:right w:w="108" w:type="dxa"/>
            </w:tcMar>
          </w:tcPr>
          <w:p w14:paraId="4D383640" w14:textId="77777777" w:rsidR="00422EFE" w:rsidRPr="00261B7A" w:rsidRDefault="00422EFE" w:rsidP="00240807">
            <w:pPr>
              <w:pStyle w:val="TableText"/>
              <w:spacing w:before="30" w:after="30"/>
              <w:jc w:val="right"/>
              <w:rPr>
                <w:szCs w:val="16"/>
              </w:rPr>
            </w:pPr>
            <w:r w:rsidRPr="00261B7A">
              <w:rPr>
                <w:rFonts w:eastAsia="Calibri"/>
                <w:color w:val="000000"/>
                <w:szCs w:val="16"/>
              </w:rPr>
              <w:t>746.9</w:t>
            </w:r>
          </w:p>
        </w:tc>
        <w:tc>
          <w:tcPr>
            <w:tcW w:w="0" w:type="auto"/>
            <w:shd w:val="clear" w:color="auto" w:fill="FFFFFF"/>
            <w:tcMar>
              <w:top w:w="0" w:type="dxa"/>
              <w:left w:w="108" w:type="dxa"/>
              <w:bottom w:w="0" w:type="dxa"/>
              <w:right w:w="108" w:type="dxa"/>
            </w:tcMar>
          </w:tcPr>
          <w:p w14:paraId="0086256C" w14:textId="0F112260" w:rsidR="00422EFE" w:rsidRPr="00261B7A" w:rsidRDefault="00422EFE" w:rsidP="00240807">
            <w:pPr>
              <w:pStyle w:val="TableText"/>
              <w:spacing w:before="30" w:after="30"/>
              <w:jc w:val="right"/>
              <w:rPr>
                <w:szCs w:val="16"/>
              </w:rPr>
            </w:pPr>
            <w:r w:rsidRPr="00261B7A">
              <w:rPr>
                <w:rFonts w:eastAsia="Calibri"/>
                <w:color w:val="000000"/>
                <w:szCs w:val="16"/>
              </w:rPr>
              <w:t>83</w:t>
            </w:r>
            <w:r w:rsidR="00E22DB1"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3556507D" w14:textId="77777777" w:rsidR="00422EFE" w:rsidRPr="00261B7A" w:rsidRDefault="00422EFE" w:rsidP="00240807">
            <w:pPr>
              <w:pStyle w:val="TableText"/>
              <w:spacing w:before="30" w:after="30"/>
              <w:jc w:val="right"/>
              <w:rPr>
                <w:szCs w:val="16"/>
              </w:rPr>
            </w:pPr>
            <w:r w:rsidRPr="00261B7A">
              <w:rPr>
                <w:rFonts w:eastAsia="Calibri"/>
                <w:color w:val="000000"/>
                <w:szCs w:val="16"/>
              </w:rPr>
              <w:t>1,502.5</w:t>
            </w:r>
          </w:p>
        </w:tc>
      </w:tr>
      <w:tr w:rsidR="00422EFE" w:rsidRPr="00261B7A" w14:paraId="2938DC19" w14:textId="77777777" w:rsidTr="00D41492">
        <w:tc>
          <w:tcPr>
            <w:tcW w:w="0" w:type="auto"/>
            <w:shd w:val="clear" w:color="auto" w:fill="FFFFFF"/>
            <w:tcMar>
              <w:top w:w="0" w:type="dxa"/>
              <w:left w:w="108" w:type="dxa"/>
              <w:bottom w:w="0" w:type="dxa"/>
              <w:right w:w="108" w:type="dxa"/>
            </w:tcMar>
          </w:tcPr>
          <w:p w14:paraId="6F5FE6F9" w14:textId="77777777" w:rsidR="00422EFE" w:rsidRPr="00261B7A" w:rsidRDefault="00422EFE" w:rsidP="00240807">
            <w:pPr>
              <w:pStyle w:val="TableText"/>
              <w:spacing w:before="30" w:after="30"/>
            </w:pPr>
            <w:r w:rsidRPr="00261B7A">
              <w:rPr>
                <w:rFonts w:eastAsia="Calibri"/>
              </w:rPr>
              <w:t>1973</w:t>
            </w:r>
          </w:p>
        </w:tc>
        <w:tc>
          <w:tcPr>
            <w:tcW w:w="0" w:type="auto"/>
            <w:shd w:val="clear" w:color="auto" w:fill="FFFFFF"/>
            <w:tcMar>
              <w:top w:w="0" w:type="dxa"/>
              <w:left w:w="108" w:type="dxa"/>
              <w:bottom w:w="0" w:type="dxa"/>
              <w:right w:w="108" w:type="dxa"/>
            </w:tcMar>
          </w:tcPr>
          <w:p w14:paraId="4D2CD18C" w14:textId="77777777" w:rsidR="00422EFE" w:rsidRPr="00261B7A" w:rsidRDefault="00422EFE" w:rsidP="00240807">
            <w:pPr>
              <w:pStyle w:val="TableText"/>
              <w:spacing w:before="30" w:after="30"/>
              <w:jc w:val="right"/>
              <w:rPr>
                <w:szCs w:val="16"/>
              </w:rPr>
            </w:pPr>
            <w:r w:rsidRPr="00261B7A">
              <w:rPr>
                <w:rFonts w:eastAsia="Calibri"/>
                <w:color w:val="000000"/>
                <w:szCs w:val="16"/>
              </w:rPr>
              <w:t>672.5</w:t>
            </w:r>
          </w:p>
        </w:tc>
        <w:tc>
          <w:tcPr>
            <w:tcW w:w="0" w:type="auto"/>
            <w:shd w:val="clear" w:color="auto" w:fill="FFFFFF"/>
            <w:tcMar>
              <w:top w:w="0" w:type="dxa"/>
              <w:left w:w="108" w:type="dxa"/>
              <w:bottom w:w="0" w:type="dxa"/>
              <w:right w:w="108" w:type="dxa"/>
            </w:tcMar>
          </w:tcPr>
          <w:p w14:paraId="4B6FC1B3" w14:textId="77777777" w:rsidR="00422EFE" w:rsidRPr="00261B7A" w:rsidRDefault="00422EFE" w:rsidP="00240807">
            <w:pPr>
              <w:pStyle w:val="TableText"/>
              <w:spacing w:before="30" w:after="30"/>
              <w:jc w:val="right"/>
              <w:rPr>
                <w:szCs w:val="16"/>
              </w:rPr>
            </w:pPr>
            <w:r w:rsidRPr="00261B7A">
              <w:rPr>
                <w:rFonts w:eastAsia="Calibri"/>
                <w:color w:val="000000"/>
                <w:szCs w:val="16"/>
              </w:rPr>
              <w:t>889.1</w:t>
            </w:r>
          </w:p>
        </w:tc>
        <w:tc>
          <w:tcPr>
            <w:tcW w:w="0" w:type="auto"/>
            <w:shd w:val="clear" w:color="auto" w:fill="FFFFFF"/>
            <w:tcMar>
              <w:top w:w="0" w:type="dxa"/>
              <w:left w:w="108" w:type="dxa"/>
              <w:bottom w:w="0" w:type="dxa"/>
              <w:right w:w="108" w:type="dxa"/>
            </w:tcMar>
          </w:tcPr>
          <w:p w14:paraId="1966C1B4" w14:textId="77777777" w:rsidR="00422EFE" w:rsidRPr="00261B7A" w:rsidRDefault="00422EFE" w:rsidP="00240807">
            <w:pPr>
              <w:pStyle w:val="TableText"/>
              <w:spacing w:before="30" w:after="30"/>
              <w:jc w:val="right"/>
              <w:rPr>
                <w:szCs w:val="16"/>
              </w:rPr>
            </w:pPr>
            <w:r w:rsidRPr="00261B7A">
              <w:rPr>
                <w:rFonts w:eastAsia="Calibri"/>
                <w:color w:val="000000"/>
                <w:szCs w:val="16"/>
              </w:rPr>
              <w:t>98.8</w:t>
            </w:r>
          </w:p>
        </w:tc>
        <w:tc>
          <w:tcPr>
            <w:tcW w:w="0" w:type="auto"/>
            <w:shd w:val="clear" w:color="auto" w:fill="FFFFFF"/>
            <w:tcMar>
              <w:top w:w="0" w:type="dxa"/>
              <w:left w:w="108" w:type="dxa"/>
              <w:bottom w:w="0" w:type="dxa"/>
              <w:right w:w="108" w:type="dxa"/>
            </w:tcMar>
          </w:tcPr>
          <w:p w14:paraId="1621C96B" w14:textId="77777777" w:rsidR="00422EFE" w:rsidRPr="00261B7A" w:rsidRDefault="00422EFE" w:rsidP="00240807">
            <w:pPr>
              <w:pStyle w:val="TableText"/>
              <w:spacing w:before="30" w:after="30"/>
              <w:jc w:val="right"/>
              <w:rPr>
                <w:szCs w:val="16"/>
              </w:rPr>
            </w:pPr>
            <w:r w:rsidRPr="00261B7A">
              <w:rPr>
                <w:rFonts w:eastAsia="Calibri"/>
                <w:color w:val="000000"/>
                <w:szCs w:val="16"/>
              </w:rPr>
              <w:t>1,660.4</w:t>
            </w:r>
          </w:p>
        </w:tc>
      </w:tr>
      <w:tr w:rsidR="00422EFE" w:rsidRPr="00261B7A" w14:paraId="52A33114" w14:textId="77777777" w:rsidTr="00D41492">
        <w:tc>
          <w:tcPr>
            <w:tcW w:w="0" w:type="auto"/>
            <w:shd w:val="clear" w:color="auto" w:fill="FFFFFF"/>
            <w:tcMar>
              <w:top w:w="0" w:type="dxa"/>
              <w:left w:w="108" w:type="dxa"/>
              <w:bottom w:w="0" w:type="dxa"/>
              <w:right w:w="108" w:type="dxa"/>
            </w:tcMar>
          </w:tcPr>
          <w:p w14:paraId="056076D7" w14:textId="77777777" w:rsidR="00422EFE" w:rsidRPr="00261B7A" w:rsidRDefault="00422EFE" w:rsidP="00240807">
            <w:pPr>
              <w:pStyle w:val="TableText"/>
              <w:spacing w:before="30" w:after="30"/>
            </w:pPr>
            <w:r w:rsidRPr="00261B7A">
              <w:rPr>
                <w:rFonts w:eastAsia="Calibri"/>
              </w:rPr>
              <w:t>1974</w:t>
            </w:r>
          </w:p>
        </w:tc>
        <w:tc>
          <w:tcPr>
            <w:tcW w:w="0" w:type="auto"/>
            <w:shd w:val="clear" w:color="auto" w:fill="FFFFFF"/>
            <w:tcMar>
              <w:top w:w="0" w:type="dxa"/>
              <w:left w:w="108" w:type="dxa"/>
              <w:bottom w:w="0" w:type="dxa"/>
              <w:right w:w="108" w:type="dxa"/>
            </w:tcMar>
          </w:tcPr>
          <w:p w14:paraId="60BBBBB8" w14:textId="77777777" w:rsidR="00422EFE" w:rsidRPr="00261B7A" w:rsidRDefault="00422EFE" w:rsidP="00240807">
            <w:pPr>
              <w:pStyle w:val="TableText"/>
              <w:spacing w:before="30" w:after="30"/>
              <w:jc w:val="right"/>
              <w:rPr>
                <w:szCs w:val="16"/>
              </w:rPr>
            </w:pPr>
            <w:r w:rsidRPr="00261B7A">
              <w:rPr>
                <w:rFonts w:eastAsia="Calibri"/>
                <w:color w:val="000000"/>
                <w:szCs w:val="16"/>
              </w:rPr>
              <w:t>844.5</w:t>
            </w:r>
          </w:p>
        </w:tc>
        <w:tc>
          <w:tcPr>
            <w:tcW w:w="0" w:type="auto"/>
            <w:shd w:val="clear" w:color="auto" w:fill="FFFFFF"/>
            <w:tcMar>
              <w:top w:w="0" w:type="dxa"/>
              <w:left w:w="108" w:type="dxa"/>
              <w:bottom w:w="0" w:type="dxa"/>
              <w:right w:w="108" w:type="dxa"/>
            </w:tcMar>
          </w:tcPr>
          <w:p w14:paraId="1D1D62BA" w14:textId="77777777" w:rsidR="00422EFE" w:rsidRPr="00261B7A" w:rsidRDefault="00422EFE" w:rsidP="00240807">
            <w:pPr>
              <w:pStyle w:val="TableText"/>
              <w:spacing w:before="30" w:after="30"/>
              <w:jc w:val="right"/>
              <w:rPr>
                <w:szCs w:val="16"/>
              </w:rPr>
            </w:pPr>
            <w:r w:rsidRPr="00261B7A">
              <w:rPr>
                <w:rFonts w:eastAsia="Calibri"/>
                <w:color w:val="000000"/>
                <w:szCs w:val="16"/>
              </w:rPr>
              <w:t>839.4</w:t>
            </w:r>
          </w:p>
        </w:tc>
        <w:tc>
          <w:tcPr>
            <w:tcW w:w="0" w:type="auto"/>
            <w:shd w:val="clear" w:color="auto" w:fill="FFFFFF"/>
            <w:tcMar>
              <w:top w:w="0" w:type="dxa"/>
              <w:left w:w="108" w:type="dxa"/>
              <w:bottom w:w="0" w:type="dxa"/>
              <w:right w:w="108" w:type="dxa"/>
            </w:tcMar>
          </w:tcPr>
          <w:p w14:paraId="0B614E18" w14:textId="77777777" w:rsidR="00422EFE" w:rsidRPr="00261B7A" w:rsidRDefault="00422EFE" w:rsidP="00240807">
            <w:pPr>
              <w:pStyle w:val="TableText"/>
              <w:spacing w:before="30" w:after="30"/>
              <w:jc w:val="right"/>
              <w:rPr>
                <w:szCs w:val="16"/>
              </w:rPr>
            </w:pPr>
            <w:r w:rsidRPr="00261B7A">
              <w:rPr>
                <w:rFonts w:eastAsia="Calibri"/>
                <w:color w:val="000000"/>
                <w:szCs w:val="16"/>
              </w:rPr>
              <w:t>93.3</w:t>
            </w:r>
          </w:p>
        </w:tc>
        <w:tc>
          <w:tcPr>
            <w:tcW w:w="0" w:type="auto"/>
            <w:shd w:val="clear" w:color="auto" w:fill="FFFFFF"/>
            <w:tcMar>
              <w:top w:w="0" w:type="dxa"/>
              <w:left w:w="108" w:type="dxa"/>
              <w:bottom w:w="0" w:type="dxa"/>
              <w:right w:w="108" w:type="dxa"/>
            </w:tcMar>
          </w:tcPr>
          <w:p w14:paraId="2EFD9E00" w14:textId="77777777" w:rsidR="00422EFE" w:rsidRPr="00261B7A" w:rsidRDefault="00422EFE" w:rsidP="00240807">
            <w:pPr>
              <w:pStyle w:val="TableText"/>
              <w:spacing w:before="30" w:after="30"/>
              <w:jc w:val="right"/>
              <w:rPr>
                <w:szCs w:val="16"/>
              </w:rPr>
            </w:pPr>
            <w:r w:rsidRPr="00261B7A">
              <w:rPr>
                <w:rFonts w:eastAsia="Calibri"/>
                <w:color w:val="000000"/>
                <w:szCs w:val="16"/>
              </w:rPr>
              <w:t>1,777.1</w:t>
            </w:r>
          </w:p>
        </w:tc>
      </w:tr>
      <w:tr w:rsidR="00422EFE" w:rsidRPr="00261B7A" w14:paraId="295E15D1" w14:textId="77777777" w:rsidTr="00D41492">
        <w:tc>
          <w:tcPr>
            <w:tcW w:w="0" w:type="auto"/>
            <w:shd w:val="clear" w:color="auto" w:fill="FFFFFF"/>
            <w:tcMar>
              <w:top w:w="0" w:type="dxa"/>
              <w:left w:w="108" w:type="dxa"/>
              <w:bottom w:w="0" w:type="dxa"/>
              <w:right w:w="108" w:type="dxa"/>
            </w:tcMar>
          </w:tcPr>
          <w:p w14:paraId="599EA641" w14:textId="77777777" w:rsidR="00422EFE" w:rsidRPr="00261B7A" w:rsidRDefault="00422EFE" w:rsidP="00240807">
            <w:pPr>
              <w:pStyle w:val="TableText"/>
              <w:spacing w:before="30" w:after="30"/>
            </w:pPr>
            <w:r w:rsidRPr="00261B7A">
              <w:rPr>
                <w:rFonts w:eastAsia="Calibri"/>
              </w:rPr>
              <w:t>1975</w:t>
            </w:r>
          </w:p>
        </w:tc>
        <w:tc>
          <w:tcPr>
            <w:tcW w:w="0" w:type="auto"/>
            <w:shd w:val="clear" w:color="auto" w:fill="FFFFFF"/>
            <w:tcMar>
              <w:top w:w="0" w:type="dxa"/>
              <w:left w:w="108" w:type="dxa"/>
              <w:bottom w:w="0" w:type="dxa"/>
              <w:right w:w="108" w:type="dxa"/>
            </w:tcMar>
          </w:tcPr>
          <w:p w14:paraId="365CEB39" w14:textId="77777777" w:rsidR="00422EFE" w:rsidRPr="00261B7A" w:rsidRDefault="00422EFE" w:rsidP="00240807">
            <w:pPr>
              <w:pStyle w:val="TableText"/>
              <w:spacing w:before="30" w:after="30"/>
              <w:jc w:val="right"/>
              <w:rPr>
                <w:szCs w:val="16"/>
              </w:rPr>
            </w:pPr>
            <w:r w:rsidRPr="00261B7A">
              <w:rPr>
                <w:rFonts w:eastAsia="Calibri"/>
                <w:color w:val="000000"/>
                <w:szCs w:val="16"/>
              </w:rPr>
              <w:t>844.5</w:t>
            </w:r>
          </w:p>
        </w:tc>
        <w:tc>
          <w:tcPr>
            <w:tcW w:w="0" w:type="auto"/>
            <w:shd w:val="clear" w:color="auto" w:fill="FFFFFF"/>
            <w:tcMar>
              <w:top w:w="0" w:type="dxa"/>
              <w:left w:w="108" w:type="dxa"/>
              <w:bottom w:w="0" w:type="dxa"/>
              <w:right w:w="108" w:type="dxa"/>
            </w:tcMar>
          </w:tcPr>
          <w:p w14:paraId="25B8BADB" w14:textId="77777777" w:rsidR="00422EFE" w:rsidRPr="00261B7A" w:rsidRDefault="00422EFE" w:rsidP="00240807">
            <w:pPr>
              <w:pStyle w:val="TableText"/>
              <w:spacing w:before="30" w:after="30"/>
              <w:jc w:val="right"/>
              <w:rPr>
                <w:szCs w:val="16"/>
              </w:rPr>
            </w:pPr>
            <w:r w:rsidRPr="00261B7A">
              <w:rPr>
                <w:rFonts w:eastAsia="Calibri"/>
                <w:color w:val="000000"/>
                <w:szCs w:val="16"/>
              </w:rPr>
              <w:t>736.6</w:t>
            </w:r>
          </w:p>
        </w:tc>
        <w:tc>
          <w:tcPr>
            <w:tcW w:w="0" w:type="auto"/>
            <w:shd w:val="clear" w:color="auto" w:fill="FFFFFF"/>
            <w:tcMar>
              <w:top w:w="0" w:type="dxa"/>
              <w:left w:w="108" w:type="dxa"/>
              <w:bottom w:w="0" w:type="dxa"/>
              <w:right w:w="108" w:type="dxa"/>
            </w:tcMar>
          </w:tcPr>
          <w:p w14:paraId="3AE53289" w14:textId="77777777" w:rsidR="00422EFE" w:rsidRPr="00261B7A" w:rsidRDefault="00422EFE" w:rsidP="00240807">
            <w:pPr>
              <w:pStyle w:val="TableText"/>
              <w:spacing w:before="30" w:after="30"/>
              <w:jc w:val="right"/>
              <w:rPr>
                <w:szCs w:val="16"/>
              </w:rPr>
            </w:pPr>
            <w:r w:rsidRPr="00261B7A">
              <w:rPr>
                <w:rFonts w:eastAsia="Calibri"/>
                <w:color w:val="000000"/>
                <w:szCs w:val="16"/>
              </w:rPr>
              <w:t>81.8</w:t>
            </w:r>
          </w:p>
        </w:tc>
        <w:tc>
          <w:tcPr>
            <w:tcW w:w="0" w:type="auto"/>
            <w:shd w:val="clear" w:color="auto" w:fill="FFFFFF"/>
            <w:tcMar>
              <w:top w:w="0" w:type="dxa"/>
              <w:left w:w="108" w:type="dxa"/>
              <w:bottom w:w="0" w:type="dxa"/>
              <w:right w:w="108" w:type="dxa"/>
            </w:tcMar>
          </w:tcPr>
          <w:p w14:paraId="05D0767C" w14:textId="77777777" w:rsidR="00422EFE" w:rsidRPr="00261B7A" w:rsidRDefault="00422EFE" w:rsidP="00240807">
            <w:pPr>
              <w:pStyle w:val="TableText"/>
              <w:spacing w:before="30" w:after="30"/>
              <w:jc w:val="right"/>
              <w:rPr>
                <w:szCs w:val="16"/>
              </w:rPr>
            </w:pPr>
            <w:r w:rsidRPr="00261B7A">
              <w:rPr>
                <w:rFonts w:eastAsia="Calibri"/>
                <w:color w:val="000000"/>
                <w:szCs w:val="16"/>
              </w:rPr>
              <w:t>1,662.9</w:t>
            </w:r>
          </w:p>
        </w:tc>
      </w:tr>
      <w:tr w:rsidR="00422EFE" w:rsidRPr="00261B7A" w14:paraId="49DC48E3" w14:textId="77777777" w:rsidTr="00D41492">
        <w:tc>
          <w:tcPr>
            <w:tcW w:w="0" w:type="auto"/>
            <w:shd w:val="clear" w:color="auto" w:fill="FFFFFF"/>
            <w:tcMar>
              <w:top w:w="0" w:type="dxa"/>
              <w:left w:w="108" w:type="dxa"/>
              <w:bottom w:w="0" w:type="dxa"/>
              <w:right w:w="108" w:type="dxa"/>
            </w:tcMar>
          </w:tcPr>
          <w:p w14:paraId="1977B132" w14:textId="77777777" w:rsidR="00422EFE" w:rsidRPr="00261B7A" w:rsidRDefault="00422EFE" w:rsidP="00240807">
            <w:pPr>
              <w:pStyle w:val="TableText"/>
              <w:spacing w:before="30" w:after="30"/>
            </w:pPr>
            <w:r w:rsidRPr="00261B7A">
              <w:rPr>
                <w:rFonts w:eastAsia="Calibri"/>
              </w:rPr>
              <w:t>1976</w:t>
            </w:r>
          </w:p>
        </w:tc>
        <w:tc>
          <w:tcPr>
            <w:tcW w:w="0" w:type="auto"/>
            <w:shd w:val="clear" w:color="auto" w:fill="FFFFFF"/>
            <w:tcMar>
              <w:top w:w="0" w:type="dxa"/>
              <w:left w:w="108" w:type="dxa"/>
              <w:bottom w:w="0" w:type="dxa"/>
              <w:right w:w="108" w:type="dxa"/>
            </w:tcMar>
          </w:tcPr>
          <w:p w14:paraId="1FD57C78" w14:textId="77777777" w:rsidR="00422EFE" w:rsidRPr="00261B7A" w:rsidRDefault="00422EFE" w:rsidP="00240807">
            <w:pPr>
              <w:pStyle w:val="TableText"/>
              <w:spacing w:before="30" w:after="30"/>
              <w:jc w:val="right"/>
              <w:rPr>
                <w:szCs w:val="16"/>
              </w:rPr>
            </w:pPr>
            <w:r w:rsidRPr="00261B7A">
              <w:rPr>
                <w:rFonts w:eastAsia="Calibri"/>
                <w:color w:val="000000"/>
                <w:szCs w:val="16"/>
              </w:rPr>
              <w:t>984.9</w:t>
            </w:r>
          </w:p>
        </w:tc>
        <w:tc>
          <w:tcPr>
            <w:tcW w:w="0" w:type="auto"/>
            <w:shd w:val="clear" w:color="auto" w:fill="FFFFFF"/>
            <w:tcMar>
              <w:top w:w="0" w:type="dxa"/>
              <w:left w:w="108" w:type="dxa"/>
              <w:bottom w:w="0" w:type="dxa"/>
              <w:right w:w="108" w:type="dxa"/>
            </w:tcMar>
          </w:tcPr>
          <w:p w14:paraId="5C14CF00" w14:textId="77777777" w:rsidR="00422EFE" w:rsidRPr="00261B7A" w:rsidRDefault="00422EFE" w:rsidP="00240807">
            <w:pPr>
              <w:pStyle w:val="TableText"/>
              <w:spacing w:before="30" w:after="30"/>
              <w:jc w:val="right"/>
              <w:rPr>
                <w:szCs w:val="16"/>
              </w:rPr>
            </w:pPr>
            <w:r w:rsidRPr="00261B7A">
              <w:rPr>
                <w:rFonts w:eastAsia="Calibri"/>
                <w:color w:val="000000"/>
                <w:szCs w:val="16"/>
              </w:rPr>
              <w:t>578.2</w:t>
            </w:r>
          </w:p>
        </w:tc>
        <w:tc>
          <w:tcPr>
            <w:tcW w:w="0" w:type="auto"/>
            <w:shd w:val="clear" w:color="auto" w:fill="FFFFFF"/>
            <w:tcMar>
              <w:top w:w="0" w:type="dxa"/>
              <w:left w:w="108" w:type="dxa"/>
              <w:bottom w:w="0" w:type="dxa"/>
              <w:right w:w="108" w:type="dxa"/>
            </w:tcMar>
          </w:tcPr>
          <w:p w14:paraId="255610D0" w14:textId="77777777" w:rsidR="00422EFE" w:rsidRPr="00261B7A" w:rsidRDefault="00422EFE" w:rsidP="00240807">
            <w:pPr>
              <w:pStyle w:val="TableText"/>
              <w:spacing w:before="30" w:after="30"/>
              <w:jc w:val="right"/>
              <w:rPr>
                <w:szCs w:val="16"/>
              </w:rPr>
            </w:pPr>
            <w:r w:rsidRPr="00261B7A">
              <w:rPr>
                <w:rFonts w:eastAsia="Calibri"/>
                <w:color w:val="000000"/>
                <w:szCs w:val="16"/>
              </w:rPr>
              <w:t>64.2</w:t>
            </w:r>
          </w:p>
        </w:tc>
        <w:tc>
          <w:tcPr>
            <w:tcW w:w="0" w:type="auto"/>
            <w:shd w:val="clear" w:color="auto" w:fill="FFFFFF"/>
            <w:tcMar>
              <w:top w:w="0" w:type="dxa"/>
              <w:left w:w="108" w:type="dxa"/>
              <w:bottom w:w="0" w:type="dxa"/>
              <w:right w:w="108" w:type="dxa"/>
            </w:tcMar>
          </w:tcPr>
          <w:p w14:paraId="71CFBEEC" w14:textId="77777777" w:rsidR="00422EFE" w:rsidRPr="00261B7A" w:rsidRDefault="00422EFE" w:rsidP="00240807">
            <w:pPr>
              <w:pStyle w:val="TableText"/>
              <w:spacing w:before="30" w:after="30"/>
              <w:jc w:val="right"/>
              <w:rPr>
                <w:szCs w:val="16"/>
              </w:rPr>
            </w:pPr>
            <w:r w:rsidRPr="00261B7A">
              <w:rPr>
                <w:rFonts w:eastAsia="Calibri"/>
                <w:color w:val="000000"/>
                <w:szCs w:val="16"/>
              </w:rPr>
              <w:t>1,627.4</w:t>
            </w:r>
          </w:p>
        </w:tc>
      </w:tr>
      <w:tr w:rsidR="00422EFE" w:rsidRPr="00261B7A" w14:paraId="1FC558BD" w14:textId="77777777" w:rsidTr="00D41492">
        <w:tc>
          <w:tcPr>
            <w:tcW w:w="0" w:type="auto"/>
            <w:shd w:val="clear" w:color="auto" w:fill="FFFFFF"/>
            <w:tcMar>
              <w:top w:w="0" w:type="dxa"/>
              <w:left w:w="108" w:type="dxa"/>
              <w:bottom w:w="0" w:type="dxa"/>
              <w:right w:w="108" w:type="dxa"/>
            </w:tcMar>
          </w:tcPr>
          <w:p w14:paraId="22E50EB3" w14:textId="77777777" w:rsidR="00422EFE" w:rsidRPr="00261B7A" w:rsidRDefault="00422EFE" w:rsidP="00240807">
            <w:pPr>
              <w:pStyle w:val="TableText"/>
              <w:spacing w:before="30" w:after="30"/>
            </w:pPr>
            <w:r w:rsidRPr="00261B7A">
              <w:rPr>
                <w:rFonts w:eastAsia="Calibri"/>
              </w:rPr>
              <w:t>1977</w:t>
            </w:r>
          </w:p>
        </w:tc>
        <w:tc>
          <w:tcPr>
            <w:tcW w:w="0" w:type="auto"/>
            <w:shd w:val="clear" w:color="auto" w:fill="FFFFFF"/>
            <w:tcMar>
              <w:top w:w="0" w:type="dxa"/>
              <w:left w:w="108" w:type="dxa"/>
              <w:bottom w:w="0" w:type="dxa"/>
              <w:right w:w="108" w:type="dxa"/>
            </w:tcMar>
          </w:tcPr>
          <w:p w14:paraId="4871A186" w14:textId="77777777" w:rsidR="00422EFE" w:rsidRPr="00261B7A" w:rsidRDefault="00422EFE" w:rsidP="00240807">
            <w:pPr>
              <w:pStyle w:val="TableText"/>
              <w:spacing w:before="30" w:after="30"/>
              <w:jc w:val="right"/>
              <w:rPr>
                <w:szCs w:val="16"/>
              </w:rPr>
            </w:pPr>
            <w:r w:rsidRPr="00261B7A">
              <w:rPr>
                <w:rFonts w:eastAsia="Calibri"/>
                <w:color w:val="000000"/>
                <w:szCs w:val="16"/>
              </w:rPr>
              <w:t>984.9</w:t>
            </w:r>
          </w:p>
        </w:tc>
        <w:tc>
          <w:tcPr>
            <w:tcW w:w="0" w:type="auto"/>
            <w:shd w:val="clear" w:color="auto" w:fill="FFFFFF"/>
            <w:tcMar>
              <w:top w:w="0" w:type="dxa"/>
              <w:left w:w="108" w:type="dxa"/>
              <w:bottom w:w="0" w:type="dxa"/>
              <w:right w:w="108" w:type="dxa"/>
            </w:tcMar>
          </w:tcPr>
          <w:p w14:paraId="4A4E69DF" w14:textId="53162F1B" w:rsidR="00422EFE" w:rsidRPr="00261B7A" w:rsidRDefault="00422EFE" w:rsidP="00240807">
            <w:pPr>
              <w:pStyle w:val="TableText"/>
              <w:spacing w:before="30" w:after="30"/>
              <w:jc w:val="right"/>
              <w:rPr>
                <w:szCs w:val="16"/>
              </w:rPr>
            </w:pPr>
            <w:r w:rsidRPr="00261B7A">
              <w:rPr>
                <w:rFonts w:eastAsia="Calibri"/>
                <w:color w:val="000000"/>
                <w:szCs w:val="16"/>
              </w:rPr>
              <w:t>713</w:t>
            </w:r>
            <w:r w:rsidR="00E22DB1"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3D4061D5" w14:textId="77777777" w:rsidR="00422EFE" w:rsidRPr="00261B7A" w:rsidRDefault="00422EFE" w:rsidP="00240807">
            <w:pPr>
              <w:pStyle w:val="TableText"/>
              <w:spacing w:before="30" w:after="30"/>
              <w:jc w:val="right"/>
              <w:rPr>
                <w:szCs w:val="16"/>
              </w:rPr>
            </w:pPr>
            <w:r w:rsidRPr="00261B7A">
              <w:rPr>
                <w:rFonts w:eastAsia="Calibri"/>
                <w:color w:val="000000"/>
                <w:szCs w:val="16"/>
              </w:rPr>
              <w:t>79.2</w:t>
            </w:r>
          </w:p>
        </w:tc>
        <w:tc>
          <w:tcPr>
            <w:tcW w:w="0" w:type="auto"/>
            <w:shd w:val="clear" w:color="auto" w:fill="FFFFFF"/>
            <w:tcMar>
              <w:top w:w="0" w:type="dxa"/>
              <w:left w:w="108" w:type="dxa"/>
              <w:bottom w:w="0" w:type="dxa"/>
              <w:right w:w="108" w:type="dxa"/>
            </w:tcMar>
          </w:tcPr>
          <w:p w14:paraId="69F60FB4" w14:textId="77777777" w:rsidR="00422EFE" w:rsidRPr="00261B7A" w:rsidRDefault="00422EFE" w:rsidP="00240807">
            <w:pPr>
              <w:pStyle w:val="TableText"/>
              <w:spacing w:before="30" w:after="30"/>
              <w:jc w:val="right"/>
              <w:rPr>
                <w:szCs w:val="16"/>
              </w:rPr>
            </w:pPr>
            <w:r w:rsidRPr="00261B7A">
              <w:rPr>
                <w:rFonts w:eastAsia="Calibri"/>
                <w:color w:val="000000"/>
                <w:szCs w:val="16"/>
              </w:rPr>
              <w:t>1,777.2</w:t>
            </w:r>
          </w:p>
        </w:tc>
      </w:tr>
      <w:tr w:rsidR="00422EFE" w:rsidRPr="00261B7A" w14:paraId="50D33A28" w14:textId="77777777" w:rsidTr="00D41492">
        <w:tc>
          <w:tcPr>
            <w:tcW w:w="0" w:type="auto"/>
            <w:shd w:val="clear" w:color="auto" w:fill="FFFFFF"/>
            <w:tcMar>
              <w:top w:w="0" w:type="dxa"/>
              <w:left w:w="108" w:type="dxa"/>
              <w:bottom w:w="0" w:type="dxa"/>
              <w:right w:w="108" w:type="dxa"/>
            </w:tcMar>
          </w:tcPr>
          <w:p w14:paraId="70EA1729" w14:textId="77777777" w:rsidR="00422EFE" w:rsidRPr="00261B7A" w:rsidRDefault="00422EFE" w:rsidP="00240807">
            <w:pPr>
              <w:pStyle w:val="TableText"/>
              <w:spacing w:before="30" w:after="30"/>
            </w:pPr>
            <w:r w:rsidRPr="00261B7A">
              <w:rPr>
                <w:rFonts w:eastAsia="Calibri"/>
              </w:rPr>
              <w:t>1978</w:t>
            </w:r>
          </w:p>
        </w:tc>
        <w:tc>
          <w:tcPr>
            <w:tcW w:w="0" w:type="auto"/>
            <w:shd w:val="clear" w:color="auto" w:fill="FFFFFF"/>
            <w:tcMar>
              <w:top w:w="0" w:type="dxa"/>
              <w:left w:w="108" w:type="dxa"/>
              <w:bottom w:w="0" w:type="dxa"/>
              <w:right w:w="108" w:type="dxa"/>
            </w:tcMar>
          </w:tcPr>
          <w:p w14:paraId="5F876B31" w14:textId="77777777" w:rsidR="00422EFE" w:rsidRPr="00261B7A" w:rsidRDefault="00422EFE" w:rsidP="00240807">
            <w:pPr>
              <w:pStyle w:val="TableText"/>
              <w:spacing w:before="30" w:after="30"/>
              <w:jc w:val="right"/>
              <w:rPr>
                <w:szCs w:val="16"/>
              </w:rPr>
            </w:pPr>
            <w:r w:rsidRPr="00261B7A">
              <w:rPr>
                <w:rFonts w:eastAsia="Calibri"/>
                <w:color w:val="000000"/>
                <w:szCs w:val="16"/>
              </w:rPr>
              <w:t>984.9</w:t>
            </w:r>
          </w:p>
        </w:tc>
        <w:tc>
          <w:tcPr>
            <w:tcW w:w="0" w:type="auto"/>
            <w:shd w:val="clear" w:color="auto" w:fill="FFFFFF"/>
            <w:tcMar>
              <w:top w:w="0" w:type="dxa"/>
              <w:left w:w="108" w:type="dxa"/>
              <w:bottom w:w="0" w:type="dxa"/>
              <w:right w:w="108" w:type="dxa"/>
            </w:tcMar>
          </w:tcPr>
          <w:p w14:paraId="692814D5" w14:textId="77777777" w:rsidR="00422EFE" w:rsidRPr="00261B7A" w:rsidRDefault="00422EFE" w:rsidP="00240807">
            <w:pPr>
              <w:pStyle w:val="TableText"/>
              <w:spacing w:before="30" w:after="30"/>
              <w:jc w:val="right"/>
              <w:rPr>
                <w:szCs w:val="16"/>
              </w:rPr>
            </w:pPr>
            <w:r w:rsidRPr="00261B7A">
              <w:rPr>
                <w:rFonts w:eastAsia="Calibri"/>
                <w:color w:val="000000"/>
                <w:szCs w:val="16"/>
              </w:rPr>
              <w:t>588.6</w:t>
            </w:r>
          </w:p>
        </w:tc>
        <w:tc>
          <w:tcPr>
            <w:tcW w:w="0" w:type="auto"/>
            <w:shd w:val="clear" w:color="auto" w:fill="FFFFFF"/>
            <w:tcMar>
              <w:top w:w="0" w:type="dxa"/>
              <w:left w:w="108" w:type="dxa"/>
              <w:bottom w:w="0" w:type="dxa"/>
              <w:right w:w="108" w:type="dxa"/>
            </w:tcMar>
          </w:tcPr>
          <w:p w14:paraId="41B42E02" w14:textId="77777777" w:rsidR="00422EFE" w:rsidRPr="00261B7A" w:rsidRDefault="00422EFE" w:rsidP="00240807">
            <w:pPr>
              <w:pStyle w:val="TableText"/>
              <w:spacing w:before="30" w:after="30"/>
              <w:jc w:val="right"/>
              <w:rPr>
                <w:szCs w:val="16"/>
              </w:rPr>
            </w:pPr>
            <w:r w:rsidRPr="00261B7A">
              <w:rPr>
                <w:rFonts w:eastAsia="Calibri"/>
                <w:color w:val="000000"/>
                <w:szCs w:val="16"/>
              </w:rPr>
              <w:t>65.4</w:t>
            </w:r>
          </w:p>
        </w:tc>
        <w:tc>
          <w:tcPr>
            <w:tcW w:w="0" w:type="auto"/>
            <w:shd w:val="clear" w:color="auto" w:fill="FFFFFF"/>
            <w:tcMar>
              <w:top w:w="0" w:type="dxa"/>
              <w:left w:w="108" w:type="dxa"/>
              <w:bottom w:w="0" w:type="dxa"/>
              <w:right w:w="108" w:type="dxa"/>
            </w:tcMar>
          </w:tcPr>
          <w:p w14:paraId="3855DB84" w14:textId="217CBAF6" w:rsidR="00422EFE" w:rsidRPr="00261B7A" w:rsidRDefault="00422EFE" w:rsidP="00240807">
            <w:pPr>
              <w:pStyle w:val="TableText"/>
              <w:spacing w:before="30" w:after="30"/>
              <w:jc w:val="right"/>
              <w:rPr>
                <w:szCs w:val="16"/>
              </w:rPr>
            </w:pPr>
            <w:r w:rsidRPr="00261B7A">
              <w:rPr>
                <w:rFonts w:eastAsia="Calibri"/>
                <w:color w:val="000000"/>
                <w:szCs w:val="16"/>
              </w:rPr>
              <w:t>1,639</w:t>
            </w:r>
            <w:r w:rsidR="00C82577" w:rsidRPr="00261B7A">
              <w:rPr>
                <w:rFonts w:eastAsia="Calibri"/>
                <w:color w:val="000000"/>
                <w:szCs w:val="16"/>
              </w:rPr>
              <w:t>.0</w:t>
            </w:r>
          </w:p>
        </w:tc>
      </w:tr>
      <w:tr w:rsidR="00422EFE" w:rsidRPr="00261B7A" w14:paraId="4CF6F944" w14:textId="77777777" w:rsidTr="00D41492">
        <w:tc>
          <w:tcPr>
            <w:tcW w:w="0" w:type="auto"/>
            <w:shd w:val="clear" w:color="auto" w:fill="FFFFFF"/>
            <w:tcMar>
              <w:top w:w="0" w:type="dxa"/>
              <w:left w:w="108" w:type="dxa"/>
              <w:bottom w:w="0" w:type="dxa"/>
              <w:right w:w="108" w:type="dxa"/>
            </w:tcMar>
          </w:tcPr>
          <w:p w14:paraId="526AFD40" w14:textId="77777777" w:rsidR="00422EFE" w:rsidRPr="00261B7A" w:rsidRDefault="00422EFE" w:rsidP="00240807">
            <w:pPr>
              <w:pStyle w:val="TableText"/>
              <w:spacing w:before="30" w:after="30"/>
            </w:pPr>
            <w:r w:rsidRPr="00261B7A">
              <w:rPr>
                <w:rFonts w:eastAsia="Calibri"/>
              </w:rPr>
              <w:t>1979</w:t>
            </w:r>
          </w:p>
        </w:tc>
        <w:tc>
          <w:tcPr>
            <w:tcW w:w="0" w:type="auto"/>
            <w:shd w:val="clear" w:color="auto" w:fill="FFFFFF"/>
            <w:tcMar>
              <w:top w:w="0" w:type="dxa"/>
              <w:left w:w="108" w:type="dxa"/>
              <w:bottom w:w="0" w:type="dxa"/>
              <w:right w:w="108" w:type="dxa"/>
            </w:tcMar>
          </w:tcPr>
          <w:p w14:paraId="6D826F97" w14:textId="77777777" w:rsidR="00422EFE" w:rsidRPr="00261B7A" w:rsidRDefault="00422EFE" w:rsidP="00240807">
            <w:pPr>
              <w:pStyle w:val="TableText"/>
              <w:spacing w:before="30" w:after="30"/>
              <w:jc w:val="right"/>
              <w:rPr>
                <w:szCs w:val="16"/>
              </w:rPr>
            </w:pPr>
            <w:r w:rsidRPr="00261B7A">
              <w:rPr>
                <w:rFonts w:eastAsia="Calibri"/>
                <w:color w:val="000000"/>
                <w:szCs w:val="16"/>
              </w:rPr>
              <w:t>984.9</w:t>
            </w:r>
          </w:p>
        </w:tc>
        <w:tc>
          <w:tcPr>
            <w:tcW w:w="0" w:type="auto"/>
            <w:shd w:val="clear" w:color="auto" w:fill="FFFFFF"/>
            <w:tcMar>
              <w:top w:w="0" w:type="dxa"/>
              <w:left w:w="108" w:type="dxa"/>
              <w:bottom w:w="0" w:type="dxa"/>
              <w:right w:w="108" w:type="dxa"/>
            </w:tcMar>
          </w:tcPr>
          <w:p w14:paraId="3FFFF0E9" w14:textId="77777777" w:rsidR="00422EFE" w:rsidRPr="00261B7A" w:rsidRDefault="00422EFE" w:rsidP="00240807">
            <w:pPr>
              <w:pStyle w:val="TableText"/>
              <w:spacing w:before="30" w:after="30"/>
              <w:jc w:val="right"/>
              <w:rPr>
                <w:szCs w:val="16"/>
              </w:rPr>
            </w:pPr>
            <w:r w:rsidRPr="00261B7A">
              <w:rPr>
                <w:rFonts w:eastAsia="Calibri"/>
                <w:color w:val="000000"/>
                <w:szCs w:val="16"/>
              </w:rPr>
              <w:t>581.8</w:t>
            </w:r>
          </w:p>
        </w:tc>
        <w:tc>
          <w:tcPr>
            <w:tcW w:w="0" w:type="auto"/>
            <w:shd w:val="clear" w:color="auto" w:fill="FFFFFF"/>
            <w:tcMar>
              <w:top w:w="0" w:type="dxa"/>
              <w:left w:w="108" w:type="dxa"/>
              <w:bottom w:w="0" w:type="dxa"/>
              <w:right w:w="108" w:type="dxa"/>
            </w:tcMar>
          </w:tcPr>
          <w:p w14:paraId="58C9FAA0" w14:textId="77777777" w:rsidR="00422EFE" w:rsidRPr="00261B7A" w:rsidRDefault="00422EFE" w:rsidP="00240807">
            <w:pPr>
              <w:pStyle w:val="TableText"/>
              <w:spacing w:before="30" w:after="30"/>
              <w:jc w:val="right"/>
              <w:rPr>
                <w:szCs w:val="16"/>
              </w:rPr>
            </w:pPr>
            <w:r w:rsidRPr="00261B7A">
              <w:rPr>
                <w:rFonts w:eastAsia="Calibri"/>
                <w:color w:val="000000"/>
                <w:szCs w:val="16"/>
              </w:rPr>
              <w:t>64.6</w:t>
            </w:r>
          </w:p>
        </w:tc>
        <w:tc>
          <w:tcPr>
            <w:tcW w:w="0" w:type="auto"/>
            <w:shd w:val="clear" w:color="auto" w:fill="FFFFFF"/>
            <w:tcMar>
              <w:top w:w="0" w:type="dxa"/>
              <w:left w:w="108" w:type="dxa"/>
              <w:bottom w:w="0" w:type="dxa"/>
              <w:right w:w="108" w:type="dxa"/>
            </w:tcMar>
          </w:tcPr>
          <w:p w14:paraId="57A0C01D" w14:textId="77777777" w:rsidR="00422EFE" w:rsidRPr="00261B7A" w:rsidRDefault="00422EFE" w:rsidP="00240807">
            <w:pPr>
              <w:pStyle w:val="TableText"/>
              <w:spacing w:before="30" w:after="30"/>
              <w:jc w:val="right"/>
              <w:rPr>
                <w:szCs w:val="16"/>
              </w:rPr>
            </w:pPr>
            <w:r w:rsidRPr="00261B7A">
              <w:rPr>
                <w:rFonts w:eastAsia="Calibri"/>
                <w:color w:val="000000"/>
                <w:szCs w:val="16"/>
              </w:rPr>
              <w:t>1,631.4</w:t>
            </w:r>
          </w:p>
        </w:tc>
      </w:tr>
      <w:tr w:rsidR="00422EFE" w:rsidRPr="00261B7A" w14:paraId="7C33C1D4" w14:textId="77777777" w:rsidTr="00D41492">
        <w:tc>
          <w:tcPr>
            <w:tcW w:w="0" w:type="auto"/>
            <w:shd w:val="clear" w:color="auto" w:fill="FFFFFF"/>
            <w:tcMar>
              <w:top w:w="0" w:type="dxa"/>
              <w:left w:w="108" w:type="dxa"/>
              <w:bottom w:w="0" w:type="dxa"/>
              <w:right w:w="108" w:type="dxa"/>
            </w:tcMar>
          </w:tcPr>
          <w:p w14:paraId="39C592A6" w14:textId="77777777" w:rsidR="00422EFE" w:rsidRPr="00261B7A" w:rsidRDefault="00422EFE" w:rsidP="00240807">
            <w:pPr>
              <w:pStyle w:val="TableText"/>
              <w:spacing w:before="30" w:after="30"/>
            </w:pPr>
            <w:r w:rsidRPr="00261B7A">
              <w:rPr>
                <w:rFonts w:eastAsia="Calibri"/>
              </w:rPr>
              <w:t>1980</w:t>
            </w:r>
          </w:p>
        </w:tc>
        <w:tc>
          <w:tcPr>
            <w:tcW w:w="0" w:type="auto"/>
            <w:shd w:val="clear" w:color="auto" w:fill="FFFFFF"/>
            <w:tcMar>
              <w:top w:w="0" w:type="dxa"/>
              <w:left w:w="108" w:type="dxa"/>
              <w:bottom w:w="0" w:type="dxa"/>
              <w:right w:w="108" w:type="dxa"/>
            </w:tcMar>
          </w:tcPr>
          <w:p w14:paraId="6B97C830" w14:textId="77777777" w:rsidR="00422EFE" w:rsidRPr="00261B7A" w:rsidRDefault="00422EFE" w:rsidP="00240807">
            <w:pPr>
              <w:pStyle w:val="TableText"/>
              <w:spacing w:before="30" w:after="30"/>
              <w:jc w:val="right"/>
              <w:rPr>
                <w:szCs w:val="16"/>
              </w:rPr>
            </w:pPr>
            <w:r w:rsidRPr="00261B7A">
              <w:rPr>
                <w:rFonts w:eastAsia="Calibri"/>
                <w:color w:val="000000"/>
                <w:szCs w:val="16"/>
              </w:rPr>
              <w:t>984.9</w:t>
            </w:r>
          </w:p>
        </w:tc>
        <w:tc>
          <w:tcPr>
            <w:tcW w:w="0" w:type="auto"/>
            <w:shd w:val="clear" w:color="auto" w:fill="FFFFFF"/>
            <w:tcMar>
              <w:top w:w="0" w:type="dxa"/>
              <w:left w:w="108" w:type="dxa"/>
              <w:bottom w:w="0" w:type="dxa"/>
              <w:right w:w="108" w:type="dxa"/>
            </w:tcMar>
          </w:tcPr>
          <w:p w14:paraId="38E7CA21" w14:textId="77777777" w:rsidR="00422EFE" w:rsidRPr="00261B7A" w:rsidRDefault="00422EFE" w:rsidP="00240807">
            <w:pPr>
              <w:pStyle w:val="TableText"/>
              <w:spacing w:before="30" w:after="30"/>
              <w:jc w:val="right"/>
              <w:rPr>
                <w:szCs w:val="16"/>
              </w:rPr>
            </w:pPr>
            <w:r w:rsidRPr="00261B7A">
              <w:rPr>
                <w:rFonts w:eastAsia="Calibri"/>
                <w:color w:val="000000"/>
                <w:szCs w:val="16"/>
              </w:rPr>
              <w:t>572.1</w:t>
            </w:r>
          </w:p>
        </w:tc>
        <w:tc>
          <w:tcPr>
            <w:tcW w:w="0" w:type="auto"/>
            <w:shd w:val="clear" w:color="auto" w:fill="FFFFFF"/>
            <w:tcMar>
              <w:top w:w="0" w:type="dxa"/>
              <w:left w:w="108" w:type="dxa"/>
              <w:bottom w:w="0" w:type="dxa"/>
              <w:right w:w="108" w:type="dxa"/>
            </w:tcMar>
          </w:tcPr>
          <w:p w14:paraId="2F423506" w14:textId="77777777" w:rsidR="00422EFE" w:rsidRPr="00261B7A" w:rsidRDefault="00422EFE" w:rsidP="00240807">
            <w:pPr>
              <w:pStyle w:val="TableText"/>
              <w:spacing w:before="30" w:after="30"/>
              <w:jc w:val="right"/>
              <w:rPr>
                <w:szCs w:val="16"/>
              </w:rPr>
            </w:pPr>
            <w:r w:rsidRPr="00261B7A">
              <w:rPr>
                <w:rFonts w:eastAsia="Calibri"/>
                <w:color w:val="000000"/>
                <w:szCs w:val="16"/>
              </w:rPr>
              <w:t>63.6</w:t>
            </w:r>
          </w:p>
        </w:tc>
        <w:tc>
          <w:tcPr>
            <w:tcW w:w="0" w:type="auto"/>
            <w:shd w:val="clear" w:color="auto" w:fill="FFFFFF"/>
            <w:tcMar>
              <w:top w:w="0" w:type="dxa"/>
              <w:left w:w="108" w:type="dxa"/>
              <w:bottom w:w="0" w:type="dxa"/>
              <w:right w:w="108" w:type="dxa"/>
            </w:tcMar>
          </w:tcPr>
          <w:p w14:paraId="19F8E346" w14:textId="77777777" w:rsidR="00422EFE" w:rsidRPr="00261B7A" w:rsidRDefault="00422EFE" w:rsidP="00240807">
            <w:pPr>
              <w:pStyle w:val="TableText"/>
              <w:spacing w:before="30" w:after="30"/>
              <w:jc w:val="right"/>
              <w:rPr>
                <w:szCs w:val="16"/>
              </w:rPr>
            </w:pPr>
            <w:r w:rsidRPr="00261B7A">
              <w:rPr>
                <w:rFonts w:eastAsia="Calibri"/>
                <w:color w:val="000000"/>
                <w:szCs w:val="16"/>
              </w:rPr>
              <w:t>1,620.6</w:t>
            </w:r>
          </w:p>
        </w:tc>
      </w:tr>
      <w:tr w:rsidR="00422EFE" w:rsidRPr="00261B7A" w14:paraId="3ADEA358" w14:textId="77777777" w:rsidTr="00D41492">
        <w:tc>
          <w:tcPr>
            <w:tcW w:w="0" w:type="auto"/>
            <w:shd w:val="clear" w:color="auto" w:fill="FFFFFF"/>
            <w:tcMar>
              <w:top w:w="0" w:type="dxa"/>
              <w:left w:w="108" w:type="dxa"/>
              <w:bottom w:w="0" w:type="dxa"/>
              <w:right w:w="108" w:type="dxa"/>
            </w:tcMar>
          </w:tcPr>
          <w:p w14:paraId="689FD434" w14:textId="77777777" w:rsidR="00422EFE" w:rsidRPr="00261B7A" w:rsidRDefault="00422EFE" w:rsidP="00240807">
            <w:pPr>
              <w:pStyle w:val="TableText"/>
              <w:spacing w:before="30" w:after="30"/>
            </w:pPr>
            <w:r w:rsidRPr="00261B7A">
              <w:rPr>
                <w:rFonts w:eastAsia="Calibri"/>
              </w:rPr>
              <w:t>1981</w:t>
            </w:r>
          </w:p>
        </w:tc>
        <w:tc>
          <w:tcPr>
            <w:tcW w:w="0" w:type="auto"/>
            <w:shd w:val="clear" w:color="auto" w:fill="FFFFFF"/>
            <w:tcMar>
              <w:top w:w="0" w:type="dxa"/>
              <w:left w:w="108" w:type="dxa"/>
              <w:bottom w:w="0" w:type="dxa"/>
              <w:right w:w="108" w:type="dxa"/>
            </w:tcMar>
          </w:tcPr>
          <w:p w14:paraId="569CC833" w14:textId="77777777" w:rsidR="00422EFE" w:rsidRPr="00261B7A" w:rsidRDefault="00422EFE" w:rsidP="00240807">
            <w:pPr>
              <w:pStyle w:val="TableText"/>
              <w:spacing w:before="30" w:after="30"/>
              <w:jc w:val="right"/>
              <w:rPr>
                <w:szCs w:val="16"/>
              </w:rPr>
            </w:pPr>
            <w:r w:rsidRPr="00261B7A">
              <w:rPr>
                <w:rFonts w:eastAsia="Calibri"/>
                <w:color w:val="000000"/>
                <w:szCs w:val="16"/>
              </w:rPr>
              <w:t>984.9</w:t>
            </w:r>
          </w:p>
        </w:tc>
        <w:tc>
          <w:tcPr>
            <w:tcW w:w="0" w:type="auto"/>
            <w:shd w:val="clear" w:color="auto" w:fill="FFFFFF"/>
            <w:tcMar>
              <w:top w:w="0" w:type="dxa"/>
              <w:left w:w="108" w:type="dxa"/>
              <w:bottom w:w="0" w:type="dxa"/>
              <w:right w:w="108" w:type="dxa"/>
            </w:tcMar>
          </w:tcPr>
          <w:p w14:paraId="57B9294A" w14:textId="77777777" w:rsidR="00422EFE" w:rsidRPr="00261B7A" w:rsidRDefault="00422EFE" w:rsidP="00240807">
            <w:pPr>
              <w:pStyle w:val="TableText"/>
              <w:spacing w:before="30" w:after="30"/>
              <w:jc w:val="right"/>
              <w:rPr>
                <w:szCs w:val="16"/>
              </w:rPr>
            </w:pPr>
            <w:r w:rsidRPr="00261B7A">
              <w:rPr>
                <w:rFonts w:eastAsia="Calibri"/>
                <w:color w:val="000000"/>
                <w:szCs w:val="16"/>
              </w:rPr>
              <w:t>581.8</w:t>
            </w:r>
          </w:p>
        </w:tc>
        <w:tc>
          <w:tcPr>
            <w:tcW w:w="0" w:type="auto"/>
            <w:shd w:val="clear" w:color="auto" w:fill="FFFFFF"/>
            <w:tcMar>
              <w:top w:w="0" w:type="dxa"/>
              <w:left w:w="108" w:type="dxa"/>
              <w:bottom w:w="0" w:type="dxa"/>
              <w:right w:w="108" w:type="dxa"/>
            </w:tcMar>
          </w:tcPr>
          <w:p w14:paraId="7571D0C6" w14:textId="77777777" w:rsidR="00422EFE" w:rsidRPr="00261B7A" w:rsidRDefault="00422EFE" w:rsidP="00240807">
            <w:pPr>
              <w:pStyle w:val="TableText"/>
              <w:spacing w:before="30" w:after="30"/>
              <w:jc w:val="right"/>
              <w:rPr>
                <w:szCs w:val="16"/>
              </w:rPr>
            </w:pPr>
            <w:r w:rsidRPr="00261B7A">
              <w:rPr>
                <w:rFonts w:eastAsia="Calibri"/>
                <w:color w:val="000000"/>
                <w:szCs w:val="16"/>
              </w:rPr>
              <w:t>64.6</w:t>
            </w:r>
          </w:p>
        </w:tc>
        <w:tc>
          <w:tcPr>
            <w:tcW w:w="0" w:type="auto"/>
            <w:shd w:val="clear" w:color="auto" w:fill="FFFFFF"/>
            <w:tcMar>
              <w:top w:w="0" w:type="dxa"/>
              <w:left w:w="108" w:type="dxa"/>
              <w:bottom w:w="0" w:type="dxa"/>
              <w:right w:w="108" w:type="dxa"/>
            </w:tcMar>
          </w:tcPr>
          <w:p w14:paraId="2A63346B" w14:textId="77777777" w:rsidR="00422EFE" w:rsidRPr="00261B7A" w:rsidRDefault="00422EFE" w:rsidP="00240807">
            <w:pPr>
              <w:pStyle w:val="TableText"/>
              <w:spacing w:before="30" w:after="30"/>
              <w:jc w:val="right"/>
              <w:rPr>
                <w:szCs w:val="16"/>
              </w:rPr>
            </w:pPr>
            <w:r w:rsidRPr="00261B7A">
              <w:rPr>
                <w:rFonts w:eastAsia="Calibri"/>
                <w:color w:val="000000"/>
                <w:szCs w:val="16"/>
              </w:rPr>
              <w:t>1,631.4</w:t>
            </w:r>
          </w:p>
        </w:tc>
      </w:tr>
      <w:tr w:rsidR="00422EFE" w:rsidRPr="00261B7A" w14:paraId="4354071E" w14:textId="77777777" w:rsidTr="00D41492">
        <w:tc>
          <w:tcPr>
            <w:tcW w:w="0" w:type="auto"/>
            <w:shd w:val="clear" w:color="auto" w:fill="FFFFFF"/>
            <w:tcMar>
              <w:top w:w="0" w:type="dxa"/>
              <w:left w:w="108" w:type="dxa"/>
              <w:bottom w:w="0" w:type="dxa"/>
              <w:right w:w="108" w:type="dxa"/>
            </w:tcMar>
          </w:tcPr>
          <w:p w14:paraId="0A2D42D6" w14:textId="77777777" w:rsidR="00422EFE" w:rsidRPr="00261B7A" w:rsidRDefault="00422EFE" w:rsidP="00240807">
            <w:pPr>
              <w:pStyle w:val="TableText"/>
              <w:spacing w:before="30" w:after="30"/>
            </w:pPr>
            <w:r w:rsidRPr="00261B7A">
              <w:rPr>
                <w:rFonts w:eastAsia="Calibri"/>
              </w:rPr>
              <w:t>1982</w:t>
            </w:r>
          </w:p>
        </w:tc>
        <w:tc>
          <w:tcPr>
            <w:tcW w:w="0" w:type="auto"/>
            <w:shd w:val="clear" w:color="auto" w:fill="FFFFFF"/>
            <w:tcMar>
              <w:top w:w="0" w:type="dxa"/>
              <w:left w:w="108" w:type="dxa"/>
              <w:bottom w:w="0" w:type="dxa"/>
              <w:right w:w="108" w:type="dxa"/>
            </w:tcMar>
          </w:tcPr>
          <w:p w14:paraId="0569B362" w14:textId="77777777" w:rsidR="00422EFE" w:rsidRPr="00261B7A" w:rsidRDefault="00422EFE" w:rsidP="00240807">
            <w:pPr>
              <w:pStyle w:val="TableText"/>
              <w:spacing w:before="30" w:after="30"/>
              <w:jc w:val="right"/>
              <w:rPr>
                <w:szCs w:val="16"/>
              </w:rPr>
            </w:pPr>
            <w:r w:rsidRPr="00261B7A">
              <w:rPr>
                <w:rFonts w:eastAsia="Calibri"/>
                <w:color w:val="000000"/>
                <w:szCs w:val="16"/>
              </w:rPr>
              <w:t>984.9</w:t>
            </w:r>
          </w:p>
        </w:tc>
        <w:tc>
          <w:tcPr>
            <w:tcW w:w="0" w:type="auto"/>
            <w:shd w:val="clear" w:color="auto" w:fill="FFFFFF"/>
            <w:tcMar>
              <w:top w:w="0" w:type="dxa"/>
              <w:left w:w="108" w:type="dxa"/>
              <w:bottom w:w="0" w:type="dxa"/>
              <w:right w:w="108" w:type="dxa"/>
            </w:tcMar>
          </w:tcPr>
          <w:p w14:paraId="43136D73" w14:textId="77777777" w:rsidR="00422EFE" w:rsidRPr="00261B7A" w:rsidRDefault="00422EFE" w:rsidP="00240807">
            <w:pPr>
              <w:pStyle w:val="TableText"/>
              <w:spacing w:before="30" w:after="30"/>
              <w:jc w:val="right"/>
              <w:rPr>
                <w:szCs w:val="16"/>
              </w:rPr>
            </w:pPr>
            <w:r w:rsidRPr="00261B7A">
              <w:rPr>
                <w:rFonts w:eastAsia="Calibri"/>
                <w:color w:val="000000"/>
                <w:szCs w:val="16"/>
              </w:rPr>
              <w:t>937.7</w:t>
            </w:r>
          </w:p>
        </w:tc>
        <w:tc>
          <w:tcPr>
            <w:tcW w:w="0" w:type="auto"/>
            <w:shd w:val="clear" w:color="auto" w:fill="FFFFFF"/>
            <w:tcMar>
              <w:top w:w="0" w:type="dxa"/>
              <w:left w:w="108" w:type="dxa"/>
              <w:bottom w:w="0" w:type="dxa"/>
              <w:right w:w="108" w:type="dxa"/>
            </w:tcMar>
          </w:tcPr>
          <w:p w14:paraId="5B5AAD1E" w14:textId="77777777" w:rsidR="00422EFE" w:rsidRPr="00261B7A" w:rsidRDefault="00422EFE" w:rsidP="00240807">
            <w:pPr>
              <w:pStyle w:val="TableText"/>
              <w:spacing w:before="30" w:after="30"/>
              <w:jc w:val="right"/>
              <w:rPr>
                <w:szCs w:val="16"/>
              </w:rPr>
            </w:pPr>
            <w:r w:rsidRPr="00261B7A">
              <w:rPr>
                <w:rFonts w:eastAsia="Calibri"/>
                <w:color w:val="000000"/>
                <w:szCs w:val="16"/>
              </w:rPr>
              <w:t>104.2</w:t>
            </w:r>
          </w:p>
        </w:tc>
        <w:tc>
          <w:tcPr>
            <w:tcW w:w="0" w:type="auto"/>
            <w:shd w:val="clear" w:color="auto" w:fill="FFFFFF"/>
            <w:tcMar>
              <w:top w:w="0" w:type="dxa"/>
              <w:left w:w="108" w:type="dxa"/>
              <w:bottom w:w="0" w:type="dxa"/>
              <w:right w:w="108" w:type="dxa"/>
            </w:tcMar>
          </w:tcPr>
          <w:p w14:paraId="40B037A8" w14:textId="77777777" w:rsidR="00422EFE" w:rsidRPr="00261B7A" w:rsidRDefault="00422EFE" w:rsidP="00240807">
            <w:pPr>
              <w:pStyle w:val="TableText"/>
              <w:spacing w:before="30" w:after="30"/>
              <w:jc w:val="right"/>
              <w:rPr>
                <w:szCs w:val="16"/>
              </w:rPr>
            </w:pPr>
            <w:r w:rsidRPr="00261B7A">
              <w:rPr>
                <w:rFonts w:eastAsia="Calibri"/>
                <w:color w:val="000000"/>
                <w:szCs w:val="16"/>
              </w:rPr>
              <w:t>2,026.8</w:t>
            </w:r>
          </w:p>
        </w:tc>
      </w:tr>
      <w:tr w:rsidR="00422EFE" w:rsidRPr="00261B7A" w14:paraId="5513F1D5" w14:textId="77777777" w:rsidTr="00D41492">
        <w:tc>
          <w:tcPr>
            <w:tcW w:w="0" w:type="auto"/>
            <w:shd w:val="clear" w:color="auto" w:fill="FFFFFF"/>
            <w:tcMar>
              <w:top w:w="0" w:type="dxa"/>
              <w:left w:w="108" w:type="dxa"/>
              <w:bottom w:w="0" w:type="dxa"/>
              <w:right w:w="108" w:type="dxa"/>
            </w:tcMar>
          </w:tcPr>
          <w:p w14:paraId="09A1D0A2" w14:textId="77777777" w:rsidR="00422EFE" w:rsidRPr="00261B7A" w:rsidRDefault="00422EFE" w:rsidP="00240807">
            <w:pPr>
              <w:pStyle w:val="TableText"/>
              <w:spacing w:before="30" w:after="30"/>
            </w:pPr>
            <w:r w:rsidRPr="00261B7A">
              <w:rPr>
                <w:rFonts w:eastAsia="Calibri"/>
              </w:rPr>
              <w:t>1983</w:t>
            </w:r>
          </w:p>
        </w:tc>
        <w:tc>
          <w:tcPr>
            <w:tcW w:w="0" w:type="auto"/>
            <w:shd w:val="clear" w:color="auto" w:fill="FFFFFF"/>
            <w:tcMar>
              <w:top w:w="0" w:type="dxa"/>
              <w:left w:w="108" w:type="dxa"/>
              <w:bottom w:w="0" w:type="dxa"/>
              <w:right w:w="108" w:type="dxa"/>
            </w:tcMar>
          </w:tcPr>
          <w:p w14:paraId="1FCD9C50" w14:textId="77777777" w:rsidR="00422EFE" w:rsidRPr="00261B7A" w:rsidRDefault="00422EFE" w:rsidP="00240807">
            <w:pPr>
              <w:pStyle w:val="TableText"/>
              <w:spacing w:before="30" w:after="30"/>
              <w:jc w:val="right"/>
              <w:rPr>
                <w:szCs w:val="16"/>
              </w:rPr>
            </w:pPr>
            <w:r w:rsidRPr="00261B7A">
              <w:rPr>
                <w:rFonts w:eastAsia="Calibri"/>
                <w:color w:val="000000"/>
                <w:szCs w:val="16"/>
              </w:rPr>
              <w:t>984.9</w:t>
            </w:r>
          </w:p>
        </w:tc>
        <w:tc>
          <w:tcPr>
            <w:tcW w:w="0" w:type="auto"/>
            <w:shd w:val="clear" w:color="auto" w:fill="FFFFFF"/>
            <w:tcMar>
              <w:top w:w="0" w:type="dxa"/>
              <w:left w:w="108" w:type="dxa"/>
              <w:bottom w:w="0" w:type="dxa"/>
              <w:right w:w="108" w:type="dxa"/>
            </w:tcMar>
          </w:tcPr>
          <w:p w14:paraId="2DF26B27" w14:textId="0081D273" w:rsidR="00422EFE" w:rsidRPr="00261B7A" w:rsidRDefault="00422EFE" w:rsidP="00240807">
            <w:pPr>
              <w:pStyle w:val="TableText"/>
              <w:spacing w:before="30" w:after="30"/>
              <w:jc w:val="right"/>
              <w:rPr>
                <w:szCs w:val="16"/>
              </w:rPr>
            </w:pPr>
            <w:r w:rsidRPr="00261B7A">
              <w:rPr>
                <w:rFonts w:eastAsia="Calibri"/>
                <w:color w:val="000000"/>
                <w:szCs w:val="16"/>
              </w:rPr>
              <w:t>1</w:t>
            </w:r>
            <w:r w:rsidR="009C4031" w:rsidRPr="00261B7A">
              <w:rPr>
                <w:rFonts w:eastAsia="Calibri"/>
                <w:color w:val="000000"/>
                <w:szCs w:val="16"/>
              </w:rPr>
              <w:t>,</w:t>
            </w:r>
            <w:r w:rsidRPr="00261B7A">
              <w:rPr>
                <w:rFonts w:eastAsia="Calibri"/>
                <w:color w:val="000000"/>
                <w:szCs w:val="16"/>
              </w:rPr>
              <w:t>017.6</w:t>
            </w:r>
          </w:p>
        </w:tc>
        <w:tc>
          <w:tcPr>
            <w:tcW w:w="0" w:type="auto"/>
            <w:shd w:val="clear" w:color="auto" w:fill="FFFFFF"/>
            <w:tcMar>
              <w:top w:w="0" w:type="dxa"/>
              <w:left w:w="108" w:type="dxa"/>
              <w:bottom w:w="0" w:type="dxa"/>
              <w:right w:w="108" w:type="dxa"/>
            </w:tcMar>
          </w:tcPr>
          <w:p w14:paraId="48057296" w14:textId="77777777" w:rsidR="00422EFE" w:rsidRPr="00261B7A" w:rsidRDefault="00422EFE" w:rsidP="00240807">
            <w:pPr>
              <w:pStyle w:val="TableText"/>
              <w:spacing w:before="30" w:after="30"/>
              <w:jc w:val="right"/>
              <w:rPr>
                <w:szCs w:val="16"/>
              </w:rPr>
            </w:pPr>
            <w:r w:rsidRPr="00261B7A">
              <w:rPr>
                <w:rFonts w:eastAsia="Calibri"/>
                <w:color w:val="000000"/>
                <w:szCs w:val="16"/>
              </w:rPr>
              <w:t>113.1</w:t>
            </w:r>
          </w:p>
        </w:tc>
        <w:tc>
          <w:tcPr>
            <w:tcW w:w="0" w:type="auto"/>
            <w:shd w:val="clear" w:color="auto" w:fill="FFFFFF"/>
            <w:tcMar>
              <w:top w:w="0" w:type="dxa"/>
              <w:left w:w="108" w:type="dxa"/>
              <w:bottom w:w="0" w:type="dxa"/>
              <w:right w:w="108" w:type="dxa"/>
            </w:tcMar>
          </w:tcPr>
          <w:p w14:paraId="1409BFE8" w14:textId="77777777" w:rsidR="00422EFE" w:rsidRPr="00261B7A" w:rsidRDefault="00422EFE" w:rsidP="00240807">
            <w:pPr>
              <w:pStyle w:val="TableText"/>
              <w:spacing w:before="30" w:after="30"/>
              <w:jc w:val="right"/>
              <w:rPr>
                <w:szCs w:val="16"/>
              </w:rPr>
            </w:pPr>
            <w:r w:rsidRPr="00261B7A">
              <w:rPr>
                <w:rFonts w:eastAsia="Calibri"/>
                <w:color w:val="000000"/>
                <w:szCs w:val="16"/>
              </w:rPr>
              <w:t>2,115.7</w:t>
            </w:r>
          </w:p>
        </w:tc>
      </w:tr>
      <w:tr w:rsidR="00422EFE" w:rsidRPr="00261B7A" w14:paraId="61D4EEDB" w14:textId="77777777" w:rsidTr="00D41492">
        <w:tc>
          <w:tcPr>
            <w:tcW w:w="0" w:type="auto"/>
            <w:shd w:val="clear" w:color="auto" w:fill="FFFFFF"/>
            <w:tcMar>
              <w:top w:w="0" w:type="dxa"/>
              <w:left w:w="108" w:type="dxa"/>
              <w:bottom w:w="0" w:type="dxa"/>
              <w:right w:w="108" w:type="dxa"/>
            </w:tcMar>
          </w:tcPr>
          <w:p w14:paraId="79316E50" w14:textId="77777777" w:rsidR="00422EFE" w:rsidRPr="00261B7A" w:rsidRDefault="00422EFE" w:rsidP="00240807">
            <w:pPr>
              <w:pStyle w:val="TableText"/>
              <w:spacing w:before="30" w:after="30"/>
            </w:pPr>
            <w:r w:rsidRPr="00261B7A">
              <w:rPr>
                <w:rFonts w:eastAsia="Calibri"/>
              </w:rPr>
              <w:t>1984</w:t>
            </w:r>
          </w:p>
        </w:tc>
        <w:tc>
          <w:tcPr>
            <w:tcW w:w="0" w:type="auto"/>
            <w:shd w:val="clear" w:color="auto" w:fill="FFFFFF"/>
            <w:tcMar>
              <w:top w:w="0" w:type="dxa"/>
              <w:left w:w="108" w:type="dxa"/>
              <w:bottom w:w="0" w:type="dxa"/>
              <w:right w:w="108" w:type="dxa"/>
            </w:tcMar>
          </w:tcPr>
          <w:p w14:paraId="7861EF84" w14:textId="77777777" w:rsidR="00422EFE" w:rsidRPr="00261B7A" w:rsidRDefault="00422EFE" w:rsidP="00240807">
            <w:pPr>
              <w:pStyle w:val="TableText"/>
              <w:spacing w:before="30" w:after="30"/>
              <w:jc w:val="right"/>
              <w:rPr>
                <w:szCs w:val="16"/>
              </w:rPr>
            </w:pPr>
            <w:r w:rsidRPr="00261B7A">
              <w:rPr>
                <w:rFonts w:eastAsia="Calibri"/>
                <w:color w:val="000000"/>
                <w:szCs w:val="16"/>
              </w:rPr>
              <w:t>1,156.5</w:t>
            </w:r>
          </w:p>
        </w:tc>
        <w:tc>
          <w:tcPr>
            <w:tcW w:w="0" w:type="auto"/>
            <w:shd w:val="clear" w:color="auto" w:fill="FFFFFF"/>
            <w:tcMar>
              <w:top w:w="0" w:type="dxa"/>
              <w:left w:w="108" w:type="dxa"/>
              <w:bottom w:w="0" w:type="dxa"/>
              <w:right w:w="108" w:type="dxa"/>
            </w:tcMar>
          </w:tcPr>
          <w:p w14:paraId="602E8FEA" w14:textId="77777777" w:rsidR="00422EFE" w:rsidRPr="00261B7A" w:rsidRDefault="00422EFE" w:rsidP="00240807">
            <w:pPr>
              <w:pStyle w:val="TableText"/>
              <w:spacing w:before="30" w:after="30"/>
              <w:jc w:val="right"/>
              <w:rPr>
                <w:szCs w:val="16"/>
              </w:rPr>
            </w:pPr>
            <w:r w:rsidRPr="00261B7A">
              <w:rPr>
                <w:rFonts w:eastAsia="Calibri"/>
                <w:color w:val="000000"/>
                <w:szCs w:val="16"/>
              </w:rPr>
              <w:t>943.2</w:t>
            </w:r>
          </w:p>
        </w:tc>
        <w:tc>
          <w:tcPr>
            <w:tcW w:w="0" w:type="auto"/>
            <w:shd w:val="clear" w:color="auto" w:fill="FFFFFF"/>
            <w:tcMar>
              <w:top w:w="0" w:type="dxa"/>
              <w:left w:w="108" w:type="dxa"/>
              <w:bottom w:w="0" w:type="dxa"/>
              <w:right w:w="108" w:type="dxa"/>
            </w:tcMar>
          </w:tcPr>
          <w:p w14:paraId="7553F2AD" w14:textId="77777777" w:rsidR="00422EFE" w:rsidRPr="00261B7A" w:rsidRDefault="00422EFE" w:rsidP="00240807">
            <w:pPr>
              <w:pStyle w:val="TableText"/>
              <w:spacing w:before="30" w:after="30"/>
              <w:jc w:val="right"/>
              <w:rPr>
                <w:szCs w:val="16"/>
              </w:rPr>
            </w:pPr>
            <w:r w:rsidRPr="00261B7A">
              <w:rPr>
                <w:rFonts w:eastAsia="Calibri"/>
                <w:color w:val="000000"/>
                <w:szCs w:val="16"/>
              </w:rPr>
              <w:t>104.8</w:t>
            </w:r>
          </w:p>
        </w:tc>
        <w:tc>
          <w:tcPr>
            <w:tcW w:w="0" w:type="auto"/>
            <w:shd w:val="clear" w:color="auto" w:fill="FFFFFF"/>
            <w:tcMar>
              <w:top w:w="0" w:type="dxa"/>
              <w:left w:w="108" w:type="dxa"/>
              <w:bottom w:w="0" w:type="dxa"/>
              <w:right w:w="108" w:type="dxa"/>
            </w:tcMar>
          </w:tcPr>
          <w:p w14:paraId="3091BB8D" w14:textId="77777777" w:rsidR="00422EFE" w:rsidRPr="00261B7A" w:rsidRDefault="00422EFE" w:rsidP="00240807">
            <w:pPr>
              <w:pStyle w:val="TableText"/>
              <w:spacing w:before="30" w:after="30"/>
              <w:jc w:val="right"/>
              <w:rPr>
                <w:szCs w:val="16"/>
              </w:rPr>
            </w:pPr>
            <w:r w:rsidRPr="00261B7A">
              <w:rPr>
                <w:rFonts w:eastAsia="Calibri"/>
                <w:color w:val="000000"/>
                <w:szCs w:val="16"/>
              </w:rPr>
              <w:t>2,204.5</w:t>
            </w:r>
          </w:p>
        </w:tc>
      </w:tr>
      <w:tr w:rsidR="00422EFE" w:rsidRPr="00261B7A" w14:paraId="574AEDB1" w14:textId="77777777" w:rsidTr="00D41492">
        <w:tc>
          <w:tcPr>
            <w:tcW w:w="0" w:type="auto"/>
            <w:shd w:val="clear" w:color="auto" w:fill="FFFFFF"/>
            <w:tcMar>
              <w:top w:w="0" w:type="dxa"/>
              <w:left w:w="108" w:type="dxa"/>
              <w:bottom w:w="0" w:type="dxa"/>
              <w:right w:w="108" w:type="dxa"/>
            </w:tcMar>
          </w:tcPr>
          <w:p w14:paraId="40DC3135" w14:textId="77777777" w:rsidR="00422EFE" w:rsidRPr="00261B7A" w:rsidRDefault="00422EFE" w:rsidP="00240807">
            <w:pPr>
              <w:pStyle w:val="TableText"/>
              <w:spacing w:before="30" w:after="30"/>
            </w:pPr>
            <w:r w:rsidRPr="00261B7A">
              <w:rPr>
                <w:rFonts w:eastAsia="Calibri"/>
              </w:rPr>
              <w:t>1985</w:t>
            </w:r>
          </w:p>
        </w:tc>
        <w:tc>
          <w:tcPr>
            <w:tcW w:w="0" w:type="auto"/>
            <w:shd w:val="clear" w:color="auto" w:fill="FFFFFF"/>
            <w:tcMar>
              <w:top w:w="0" w:type="dxa"/>
              <w:left w:w="108" w:type="dxa"/>
              <w:bottom w:w="0" w:type="dxa"/>
              <w:right w:w="108" w:type="dxa"/>
            </w:tcMar>
          </w:tcPr>
          <w:p w14:paraId="5A589C70" w14:textId="77777777" w:rsidR="00422EFE" w:rsidRPr="00261B7A" w:rsidRDefault="00422EFE" w:rsidP="00240807">
            <w:pPr>
              <w:pStyle w:val="TableText"/>
              <w:spacing w:before="30" w:after="30"/>
              <w:jc w:val="right"/>
              <w:rPr>
                <w:szCs w:val="16"/>
              </w:rPr>
            </w:pPr>
            <w:r w:rsidRPr="00261B7A">
              <w:rPr>
                <w:rFonts w:eastAsia="Calibri"/>
                <w:color w:val="000000"/>
                <w:szCs w:val="16"/>
              </w:rPr>
              <w:t>1,259.1</w:t>
            </w:r>
          </w:p>
        </w:tc>
        <w:tc>
          <w:tcPr>
            <w:tcW w:w="0" w:type="auto"/>
            <w:shd w:val="clear" w:color="auto" w:fill="FFFFFF"/>
            <w:tcMar>
              <w:top w:w="0" w:type="dxa"/>
              <w:left w:w="108" w:type="dxa"/>
              <w:bottom w:w="0" w:type="dxa"/>
              <w:right w:w="108" w:type="dxa"/>
            </w:tcMar>
          </w:tcPr>
          <w:p w14:paraId="14765AE5" w14:textId="77777777" w:rsidR="00422EFE" w:rsidRPr="00261B7A" w:rsidRDefault="00422EFE" w:rsidP="00240807">
            <w:pPr>
              <w:pStyle w:val="TableText"/>
              <w:spacing w:before="30" w:after="30"/>
              <w:jc w:val="right"/>
              <w:rPr>
                <w:szCs w:val="16"/>
              </w:rPr>
            </w:pPr>
            <w:r w:rsidRPr="00261B7A">
              <w:rPr>
                <w:rFonts w:eastAsia="Calibri"/>
                <w:color w:val="000000"/>
                <w:szCs w:val="16"/>
              </w:rPr>
              <w:t>930.9</w:t>
            </w:r>
          </w:p>
        </w:tc>
        <w:tc>
          <w:tcPr>
            <w:tcW w:w="0" w:type="auto"/>
            <w:shd w:val="clear" w:color="auto" w:fill="FFFFFF"/>
            <w:tcMar>
              <w:top w:w="0" w:type="dxa"/>
              <w:left w:w="108" w:type="dxa"/>
              <w:bottom w:w="0" w:type="dxa"/>
              <w:right w:w="108" w:type="dxa"/>
            </w:tcMar>
          </w:tcPr>
          <w:p w14:paraId="1B89AD61" w14:textId="77777777" w:rsidR="00422EFE" w:rsidRPr="00261B7A" w:rsidRDefault="00422EFE" w:rsidP="00240807">
            <w:pPr>
              <w:pStyle w:val="TableText"/>
              <w:spacing w:before="30" w:after="30"/>
              <w:jc w:val="right"/>
              <w:rPr>
                <w:szCs w:val="16"/>
              </w:rPr>
            </w:pPr>
            <w:r w:rsidRPr="00261B7A">
              <w:rPr>
                <w:rFonts w:eastAsia="Calibri"/>
                <w:color w:val="000000"/>
                <w:szCs w:val="16"/>
              </w:rPr>
              <w:t>103.4</w:t>
            </w:r>
          </w:p>
        </w:tc>
        <w:tc>
          <w:tcPr>
            <w:tcW w:w="0" w:type="auto"/>
            <w:shd w:val="clear" w:color="auto" w:fill="FFFFFF"/>
            <w:tcMar>
              <w:top w:w="0" w:type="dxa"/>
              <w:left w:w="108" w:type="dxa"/>
              <w:bottom w:w="0" w:type="dxa"/>
              <w:right w:w="108" w:type="dxa"/>
            </w:tcMar>
          </w:tcPr>
          <w:p w14:paraId="0BCD1FD5" w14:textId="77777777" w:rsidR="00422EFE" w:rsidRPr="00261B7A" w:rsidRDefault="00422EFE" w:rsidP="00240807">
            <w:pPr>
              <w:pStyle w:val="TableText"/>
              <w:spacing w:before="30" w:after="30"/>
              <w:jc w:val="right"/>
              <w:rPr>
                <w:szCs w:val="16"/>
              </w:rPr>
            </w:pPr>
            <w:r w:rsidRPr="00261B7A">
              <w:rPr>
                <w:rFonts w:eastAsia="Calibri"/>
                <w:color w:val="000000"/>
                <w:szCs w:val="16"/>
              </w:rPr>
              <w:t>2,293.4</w:t>
            </w:r>
          </w:p>
        </w:tc>
      </w:tr>
      <w:tr w:rsidR="00422EFE" w:rsidRPr="00261B7A" w14:paraId="60419B52" w14:textId="77777777" w:rsidTr="00D41492">
        <w:tc>
          <w:tcPr>
            <w:tcW w:w="0" w:type="auto"/>
            <w:shd w:val="clear" w:color="auto" w:fill="FFFFFF"/>
            <w:tcMar>
              <w:top w:w="0" w:type="dxa"/>
              <w:left w:w="108" w:type="dxa"/>
              <w:bottom w:w="0" w:type="dxa"/>
              <w:right w:w="108" w:type="dxa"/>
            </w:tcMar>
          </w:tcPr>
          <w:p w14:paraId="708D8BCB" w14:textId="77777777" w:rsidR="00422EFE" w:rsidRPr="00261B7A" w:rsidRDefault="00422EFE" w:rsidP="00240807">
            <w:pPr>
              <w:pStyle w:val="TableText"/>
              <w:spacing w:before="30" w:after="30"/>
            </w:pPr>
            <w:r w:rsidRPr="00261B7A">
              <w:rPr>
                <w:rFonts w:eastAsia="Calibri"/>
              </w:rPr>
              <w:t>1986</w:t>
            </w:r>
          </w:p>
        </w:tc>
        <w:tc>
          <w:tcPr>
            <w:tcW w:w="0" w:type="auto"/>
            <w:shd w:val="clear" w:color="auto" w:fill="FFFFFF"/>
            <w:tcMar>
              <w:top w:w="0" w:type="dxa"/>
              <w:left w:w="108" w:type="dxa"/>
              <w:bottom w:w="0" w:type="dxa"/>
              <w:right w:w="108" w:type="dxa"/>
            </w:tcMar>
          </w:tcPr>
          <w:p w14:paraId="0138EB8D" w14:textId="77777777" w:rsidR="00422EFE" w:rsidRPr="00261B7A" w:rsidRDefault="00422EFE" w:rsidP="00240807">
            <w:pPr>
              <w:pStyle w:val="TableText"/>
              <w:spacing w:before="30" w:after="30"/>
              <w:jc w:val="right"/>
              <w:rPr>
                <w:szCs w:val="16"/>
              </w:rPr>
            </w:pPr>
            <w:r w:rsidRPr="00261B7A">
              <w:rPr>
                <w:rFonts w:eastAsia="Calibri"/>
                <w:color w:val="000000"/>
                <w:szCs w:val="16"/>
              </w:rPr>
              <w:t>1,259.1</w:t>
            </w:r>
          </w:p>
        </w:tc>
        <w:tc>
          <w:tcPr>
            <w:tcW w:w="0" w:type="auto"/>
            <w:shd w:val="clear" w:color="auto" w:fill="FFFFFF"/>
            <w:tcMar>
              <w:top w:w="0" w:type="dxa"/>
              <w:left w:w="108" w:type="dxa"/>
              <w:bottom w:w="0" w:type="dxa"/>
              <w:right w:w="108" w:type="dxa"/>
            </w:tcMar>
          </w:tcPr>
          <w:p w14:paraId="7FB13CFC" w14:textId="77777777" w:rsidR="00422EFE" w:rsidRPr="00261B7A" w:rsidRDefault="00422EFE" w:rsidP="00240807">
            <w:pPr>
              <w:pStyle w:val="TableText"/>
              <w:spacing w:before="30" w:after="30"/>
              <w:jc w:val="right"/>
              <w:rPr>
                <w:szCs w:val="16"/>
              </w:rPr>
            </w:pPr>
            <w:r w:rsidRPr="00261B7A">
              <w:rPr>
                <w:rFonts w:eastAsia="Calibri"/>
                <w:color w:val="000000"/>
                <w:szCs w:val="16"/>
              </w:rPr>
              <w:t>1,010.9</w:t>
            </w:r>
          </w:p>
        </w:tc>
        <w:tc>
          <w:tcPr>
            <w:tcW w:w="0" w:type="auto"/>
            <w:shd w:val="clear" w:color="auto" w:fill="FFFFFF"/>
            <w:tcMar>
              <w:top w:w="0" w:type="dxa"/>
              <w:left w:w="108" w:type="dxa"/>
              <w:bottom w:w="0" w:type="dxa"/>
              <w:right w:w="108" w:type="dxa"/>
            </w:tcMar>
          </w:tcPr>
          <w:p w14:paraId="4D7D9BAA" w14:textId="77777777" w:rsidR="00422EFE" w:rsidRPr="00261B7A" w:rsidRDefault="00422EFE" w:rsidP="00240807">
            <w:pPr>
              <w:pStyle w:val="TableText"/>
              <w:spacing w:before="30" w:after="30"/>
              <w:jc w:val="right"/>
              <w:rPr>
                <w:szCs w:val="16"/>
              </w:rPr>
            </w:pPr>
            <w:r w:rsidRPr="00261B7A">
              <w:rPr>
                <w:rFonts w:eastAsia="Calibri"/>
                <w:color w:val="000000"/>
                <w:szCs w:val="16"/>
              </w:rPr>
              <w:t>112.3</w:t>
            </w:r>
          </w:p>
        </w:tc>
        <w:tc>
          <w:tcPr>
            <w:tcW w:w="0" w:type="auto"/>
            <w:shd w:val="clear" w:color="auto" w:fill="FFFFFF"/>
            <w:tcMar>
              <w:top w:w="0" w:type="dxa"/>
              <w:left w:w="108" w:type="dxa"/>
              <w:bottom w:w="0" w:type="dxa"/>
              <w:right w:w="108" w:type="dxa"/>
            </w:tcMar>
          </w:tcPr>
          <w:p w14:paraId="66C9A165" w14:textId="77777777" w:rsidR="00422EFE" w:rsidRPr="00261B7A" w:rsidRDefault="00422EFE" w:rsidP="00240807">
            <w:pPr>
              <w:pStyle w:val="TableText"/>
              <w:spacing w:before="30" w:after="30"/>
              <w:jc w:val="right"/>
              <w:rPr>
                <w:szCs w:val="16"/>
              </w:rPr>
            </w:pPr>
            <w:r w:rsidRPr="00261B7A">
              <w:rPr>
                <w:rFonts w:eastAsia="Calibri"/>
                <w:color w:val="000000"/>
                <w:szCs w:val="16"/>
              </w:rPr>
              <w:t>2,382.3</w:t>
            </w:r>
          </w:p>
        </w:tc>
      </w:tr>
      <w:tr w:rsidR="00422EFE" w:rsidRPr="00261B7A" w14:paraId="1E2CEC44" w14:textId="77777777" w:rsidTr="00D41492">
        <w:tc>
          <w:tcPr>
            <w:tcW w:w="0" w:type="auto"/>
            <w:shd w:val="clear" w:color="auto" w:fill="FFFFFF"/>
            <w:tcMar>
              <w:top w:w="0" w:type="dxa"/>
              <w:left w:w="108" w:type="dxa"/>
              <w:bottom w:w="0" w:type="dxa"/>
              <w:right w:w="108" w:type="dxa"/>
            </w:tcMar>
          </w:tcPr>
          <w:p w14:paraId="4FF08DC0" w14:textId="77777777" w:rsidR="00422EFE" w:rsidRPr="00261B7A" w:rsidRDefault="00422EFE" w:rsidP="00240807">
            <w:pPr>
              <w:pStyle w:val="TableText"/>
              <w:spacing w:before="30" w:after="30"/>
            </w:pPr>
            <w:r w:rsidRPr="00261B7A">
              <w:rPr>
                <w:rFonts w:eastAsia="Calibri"/>
              </w:rPr>
              <w:t>1987</w:t>
            </w:r>
          </w:p>
        </w:tc>
        <w:tc>
          <w:tcPr>
            <w:tcW w:w="0" w:type="auto"/>
            <w:shd w:val="clear" w:color="auto" w:fill="FFFFFF"/>
            <w:tcMar>
              <w:top w:w="0" w:type="dxa"/>
              <w:left w:w="108" w:type="dxa"/>
              <w:bottom w:w="0" w:type="dxa"/>
              <w:right w:w="108" w:type="dxa"/>
            </w:tcMar>
          </w:tcPr>
          <w:p w14:paraId="5A7AED58" w14:textId="77777777" w:rsidR="00422EFE" w:rsidRPr="00261B7A" w:rsidRDefault="00422EFE" w:rsidP="00240807">
            <w:pPr>
              <w:pStyle w:val="TableText"/>
              <w:spacing w:before="30" w:after="30"/>
              <w:jc w:val="right"/>
              <w:rPr>
                <w:szCs w:val="16"/>
              </w:rPr>
            </w:pPr>
            <w:r w:rsidRPr="00261B7A">
              <w:rPr>
                <w:rFonts w:eastAsia="Calibri"/>
                <w:color w:val="000000"/>
                <w:szCs w:val="16"/>
              </w:rPr>
              <w:t>1,342.7</w:t>
            </w:r>
          </w:p>
        </w:tc>
        <w:tc>
          <w:tcPr>
            <w:tcW w:w="0" w:type="auto"/>
            <w:shd w:val="clear" w:color="auto" w:fill="FFFFFF"/>
            <w:tcMar>
              <w:top w:w="0" w:type="dxa"/>
              <w:left w:w="108" w:type="dxa"/>
              <w:bottom w:w="0" w:type="dxa"/>
              <w:right w:w="108" w:type="dxa"/>
            </w:tcMar>
          </w:tcPr>
          <w:p w14:paraId="38F026B4" w14:textId="77777777" w:rsidR="00422EFE" w:rsidRPr="00261B7A" w:rsidRDefault="00422EFE" w:rsidP="00240807">
            <w:pPr>
              <w:pStyle w:val="TableText"/>
              <w:spacing w:before="30" w:after="30"/>
              <w:jc w:val="right"/>
              <w:rPr>
                <w:szCs w:val="16"/>
              </w:rPr>
            </w:pPr>
            <w:r w:rsidRPr="00261B7A">
              <w:rPr>
                <w:rFonts w:eastAsia="Calibri"/>
                <w:color w:val="000000"/>
                <w:szCs w:val="16"/>
              </w:rPr>
              <w:t>1,015.6</w:t>
            </w:r>
          </w:p>
        </w:tc>
        <w:tc>
          <w:tcPr>
            <w:tcW w:w="0" w:type="auto"/>
            <w:shd w:val="clear" w:color="auto" w:fill="FFFFFF"/>
            <w:tcMar>
              <w:top w:w="0" w:type="dxa"/>
              <w:left w:w="108" w:type="dxa"/>
              <w:bottom w:w="0" w:type="dxa"/>
              <w:right w:w="108" w:type="dxa"/>
            </w:tcMar>
          </w:tcPr>
          <w:p w14:paraId="7009AA25" w14:textId="77777777" w:rsidR="00422EFE" w:rsidRPr="00261B7A" w:rsidRDefault="00422EFE" w:rsidP="00240807">
            <w:pPr>
              <w:pStyle w:val="TableText"/>
              <w:spacing w:before="30" w:after="30"/>
              <w:jc w:val="right"/>
              <w:rPr>
                <w:szCs w:val="16"/>
              </w:rPr>
            </w:pPr>
            <w:r w:rsidRPr="00261B7A">
              <w:rPr>
                <w:rFonts w:eastAsia="Calibri"/>
                <w:color w:val="000000"/>
                <w:szCs w:val="16"/>
              </w:rPr>
              <w:t>112.8</w:t>
            </w:r>
          </w:p>
        </w:tc>
        <w:tc>
          <w:tcPr>
            <w:tcW w:w="0" w:type="auto"/>
            <w:shd w:val="clear" w:color="auto" w:fill="FFFFFF"/>
            <w:tcMar>
              <w:top w:w="0" w:type="dxa"/>
              <w:left w:w="108" w:type="dxa"/>
              <w:bottom w:w="0" w:type="dxa"/>
              <w:right w:w="108" w:type="dxa"/>
            </w:tcMar>
          </w:tcPr>
          <w:p w14:paraId="3DD136B7" w14:textId="77777777" w:rsidR="00422EFE" w:rsidRPr="00261B7A" w:rsidRDefault="00422EFE" w:rsidP="00240807">
            <w:pPr>
              <w:pStyle w:val="TableText"/>
              <w:spacing w:before="30" w:after="30"/>
              <w:jc w:val="right"/>
              <w:rPr>
                <w:szCs w:val="16"/>
              </w:rPr>
            </w:pPr>
            <w:r w:rsidRPr="00261B7A">
              <w:rPr>
                <w:rFonts w:eastAsia="Calibri"/>
                <w:color w:val="000000"/>
                <w:szCs w:val="16"/>
              </w:rPr>
              <w:t>2,471.1</w:t>
            </w:r>
          </w:p>
        </w:tc>
      </w:tr>
      <w:tr w:rsidR="00422EFE" w:rsidRPr="00261B7A" w14:paraId="04E984A1" w14:textId="77777777" w:rsidTr="00D41492">
        <w:tc>
          <w:tcPr>
            <w:tcW w:w="0" w:type="auto"/>
            <w:shd w:val="clear" w:color="auto" w:fill="FFFFFF"/>
            <w:tcMar>
              <w:top w:w="0" w:type="dxa"/>
              <w:left w:w="108" w:type="dxa"/>
              <w:bottom w:w="0" w:type="dxa"/>
              <w:right w:w="108" w:type="dxa"/>
            </w:tcMar>
          </w:tcPr>
          <w:p w14:paraId="3C70A1C1" w14:textId="77777777" w:rsidR="00422EFE" w:rsidRPr="00261B7A" w:rsidRDefault="00422EFE" w:rsidP="00240807">
            <w:pPr>
              <w:pStyle w:val="TableText"/>
              <w:spacing w:before="30" w:after="30"/>
            </w:pPr>
            <w:r w:rsidRPr="00261B7A">
              <w:rPr>
                <w:rFonts w:eastAsia="Calibri"/>
              </w:rPr>
              <w:t>1988</w:t>
            </w:r>
          </w:p>
        </w:tc>
        <w:tc>
          <w:tcPr>
            <w:tcW w:w="0" w:type="auto"/>
            <w:shd w:val="clear" w:color="auto" w:fill="FFFFFF"/>
            <w:tcMar>
              <w:top w:w="0" w:type="dxa"/>
              <w:left w:w="108" w:type="dxa"/>
              <w:bottom w:w="0" w:type="dxa"/>
              <w:right w:w="108" w:type="dxa"/>
            </w:tcMar>
          </w:tcPr>
          <w:p w14:paraId="47FA33AB" w14:textId="77777777" w:rsidR="00422EFE" w:rsidRPr="00261B7A" w:rsidRDefault="00422EFE" w:rsidP="00240807">
            <w:pPr>
              <w:pStyle w:val="TableText"/>
              <w:spacing w:before="30" w:after="30"/>
              <w:jc w:val="right"/>
              <w:rPr>
                <w:szCs w:val="16"/>
              </w:rPr>
            </w:pPr>
            <w:r w:rsidRPr="00261B7A">
              <w:rPr>
                <w:rFonts w:eastAsia="Calibri"/>
                <w:color w:val="000000"/>
                <w:szCs w:val="16"/>
              </w:rPr>
              <w:t>1,432.6</w:t>
            </w:r>
          </w:p>
        </w:tc>
        <w:tc>
          <w:tcPr>
            <w:tcW w:w="0" w:type="auto"/>
            <w:shd w:val="clear" w:color="auto" w:fill="FFFFFF"/>
            <w:tcMar>
              <w:top w:w="0" w:type="dxa"/>
              <w:left w:w="108" w:type="dxa"/>
              <w:bottom w:w="0" w:type="dxa"/>
              <w:right w:w="108" w:type="dxa"/>
            </w:tcMar>
          </w:tcPr>
          <w:p w14:paraId="649CF6B1" w14:textId="77777777" w:rsidR="00422EFE" w:rsidRPr="00261B7A" w:rsidRDefault="00422EFE" w:rsidP="00240807">
            <w:pPr>
              <w:pStyle w:val="TableText"/>
              <w:spacing w:before="30" w:after="30"/>
              <w:jc w:val="right"/>
              <w:rPr>
                <w:szCs w:val="16"/>
              </w:rPr>
            </w:pPr>
            <w:r w:rsidRPr="00261B7A">
              <w:rPr>
                <w:rFonts w:eastAsia="Calibri"/>
                <w:color w:val="000000"/>
                <w:szCs w:val="16"/>
              </w:rPr>
              <w:t>1,014.7</w:t>
            </w:r>
          </w:p>
        </w:tc>
        <w:tc>
          <w:tcPr>
            <w:tcW w:w="0" w:type="auto"/>
            <w:shd w:val="clear" w:color="auto" w:fill="FFFFFF"/>
            <w:tcMar>
              <w:top w:w="0" w:type="dxa"/>
              <w:left w:w="108" w:type="dxa"/>
              <w:bottom w:w="0" w:type="dxa"/>
              <w:right w:w="108" w:type="dxa"/>
            </w:tcMar>
          </w:tcPr>
          <w:p w14:paraId="74B0E0C1" w14:textId="77777777" w:rsidR="00422EFE" w:rsidRPr="00261B7A" w:rsidRDefault="00422EFE" w:rsidP="00240807">
            <w:pPr>
              <w:pStyle w:val="TableText"/>
              <w:spacing w:before="30" w:after="30"/>
              <w:jc w:val="right"/>
              <w:rPr>
                <w:szCs w:val="16"/>
              </w:rPr>
            </w:pPr>
            <w:r w:rsidRPr="00261B7A">
              <w:rPr>
                <w:rFonts w:eastAsia="Calibri"/>
                <w:color w:val="000000"/>
                <w:szCs w:val="16"/>
              </w:rPr>
              <w:t>112.7</w:t>
            </w:r>
          </w:p>
        </w:tc>
        <w:tc>
          <w:tcPr>
            <w:tcW w:w="0" w:type="auto"/>
            <w:shd w:val="clear" w:color="auto" w:fill="FFFFFF"/>
            <w:tcMar>
              <w:top w:w="0" w:type="dxa"/>
              <w:left w:w="108" w:type="dxa"/>
              <w:bottom w:w="0" w:type="dxa"/>
              <w:right w:w="108" w:type="dxa"/>
            </w:tcMar>
          </w:tcPr>
          <w:p w14:paraId="40AB4100" w14:textId="49F7D895" w:rsidR="00422EFE" w:rsidRPr="00261B7A" w:rsidRDefault="00422EFE" w:rsidP="00240807">
            <w:pPr>
              <w:pStyle w:val="TableText"/>
              <w:spacing w:before="30" w:after="30"/>
              <w:jc w:val="right"/>
              <w:rPr>
                <w:szCs w:val="16"/>
              </w:rPr>
            </w:pPr>
            <w:r w:rsidRPr="00261B7A">
              <w:rPr>
                <w:rFonts w:eastAsia="Calibri"/>
                <w:color w:val="000000"/>
                <w:szCs w:val="16"/>
              </w:rPr>
              <w:t>2,560</w:t>
            </w:r>
            <w:r w:rsidR="00A02FB4" w:rsidRPr="00261B7A">
              <w:rPr>
                <w:rFonts w:eastAsia="Calibri"/>
                <w:color w:val="000000"/>
                <w:szCs w:val="16"/>
              </w:rPr>
              <w:t>.0</w:t>
            </w:r>
          </w:p>
        </w:tc>
      </w:tr>
      <w:tr w:rsidR="00422EFE" w:rsidRPr="00261B7A" w14:paraId="5FCB6FA9" w14:textId="77777777" w:rsidTr="00D41492">
        <w:tc>
          <w:tcPr>
            <w:tcW w:w="0" w:type="auto"/>
            <w:shd w:val="clear" w:color="auto" w:fill="FFFFFF"/>
            <w:tcMar>
              <w:top w:w="0" w:type="dxa"/>
              <w:left w:w="108" w:type="dxa"/>
              <w:bottom w:w="0" w:type="dxa"/>
              <w:right w:w="108" w:type="dxa"/>
            </w:tcMar>
          </w:tcPr>
          <w:p w14:paraId="0D91CFFC" w14:textId="77777777" w:rsidR="00422EFE" w:rsidRPr="00261B7A" w:rsidRDefault="00422EFE" w:rsidP="00240807">
            <w:pPr>
              <w:pStyle w:val="TableText"/>
              <w:spacing w:before="30" w:after="30"/>
            </w:pPr>
            <w:r w:rsidRPr="00261B7A">
              <w:rPr>
                <w:rFonts w:eastAsia="Calibri"/>
              </w:rPr>
              <w:t>1989</w:t>
            </w:r>
          </w:p>
        </w:tc>
        <w:tc>
          <w:tcPr>
            <w:tcW w:w="0" w:type="auto"/>
            <w:shd w:val="clear" w:color="auto" w:fill="FFFFFF"/>
            <w:tcMar>
              <w:top w:w="0" w:type="dxa"/>
              <w:left w:w="108" w:type="dxa"/>
              <w:bottom w:w="0" w:type="dxa"/>
              <w:right w:w="108" w:type="dxa"/>
            </w:tcMar>
          </w:tcPr>
          <w:p w14:paraId="2DE4B291" w14:textId="77777777" w:rsidR="00422EFE" w:rsidRPr="00261B7A" w:rsidRDefault="00422EFE" w:rsidP="00240807">
            <w:pPr>
              <w:pStyle w:val="TableText"/>
              <w:spacing w:before="30" w:after="30"/>
              <w:jc w:val="right"/>
              <w:rPr>
                <w:szCs w:val="16"/>
              </w:rPr>
            </w:pPr>
            <w:r w:rsidRPr="00261B7A">
              <w:rPr>
                <w:rFonts w:eastAsia="Calibri"/>
                <w:color w:val="000000"/>
                <w:szCs w:val="16"/>
              </w:rPr>
              <w:t>1,432.6</w:t>
            </w:r>
          </w:p>
        </w:tc>
        <w:tc>
          <w:tcPr>
            <w:tcW w:w="0" w:type="auto"/>
            <w:shd w:val="clear" w:color="auto" w:fill="FFFFFF"/>
            <w:tcMar>
              <w:top w:w="0" w:type="dxa"/>
              <w:left w:w="108" w:type="dxa"/>
              <w:bottom w:w="0" w:type="dxa"/>
              <w:right w:w="108" w:type="dxa"/>
            </w:tcMar>
          </w:tcPr>
          <w:p w14:paraId="39A32B1C" w14:textId="77777777" w:rsidR="00422EFE" w:rsidRPr="00261B7A" w:rsidRDefault="00422EFE" w:rsidP="00240807">
            <w:pPr>
              <w:pStyle w:val="TableText"/>
              <w:spacing w:before="30" w:after="30"/>
              <w:jc w:val="right"/>
              <w:rPr>
                <w:szCs w:val="16"/>
              </w:rPr>
            </w:pPr>
            <w:r w:rsidRPr="00261B7A">
              <w:rPr>
                <w:rFonts w:eastAsia="Calibri"/>
                <w:color w:val="000000"/>
                <w:szCs w:val="16"/>
              </w:rPr>
              <w:t>1,094.7</w:t>
            </w:r>
          </w:p>
        </w:tc>
        <w:tc>
          <w:tcPr>
            <w:tcW w:w="0" w:type="auto"/>
            <w:shd w:val="clear" w:color="auto" w:fill="FFFFFF"/>
            <w:tcMar>
              <w:top w:w="0" w:type="dxa"/>
              <w:left w:w="108" w:type="dxa"/>
              <w:bottom w:w="0" w:type="dxa"/>
              <w:right w:w="108" w:type="dxa"/>
            </w:tcMar>
          </w:tcPr>
          <w:p w14:paraId="43B9A11F" w14:textId="77777777" w:rsidR="00422EFE" w:rsidRPr="00261B7A" w:rsidRDefault="00422EFE" w:rsidP="00240807">
            <w:pPr>
              <w:pStyle w:val="TableText"/>
              <w:spacing w:before="30" w:after="30"/>
              <w:jc w:val="right"/>
              <w:rPr>
                <w:szCs w:val="16"/>
              </w:rPr>
            </w:pPr>
            <w:r w:rsidRPr="00261B7A">
              <w:rPr>
                <w:rFonts w:eastAsia="Calibri"/>
                <w:color w:val="000000"/>
                <w:szCs w:val="16"/>
              </w:rPr>
              <w:t>121.6</w:t>
            </w:r>
          </w:p>
        </w:tc>
        <w:tc>
          <w:tcPr>
            <w:tcW w:w="0" w:type="auto"/>
            <w:shd w:val="clear" w:color="auto" w:fill="FFFFFF"/>
            <w:tcMar>
              <w:top w:w="0" w:type="dxa"/>
              <w:left w:w="108" w:type="dxa"/>
              <w:bottom w:w="0" w:type="dxa"/>
              <w:right w:w="108" w:type="dxa"/>
            </w:tcMar>
          </w:tcPr>
          <w:p w14:paraId="4366F4D5" w14:textId="77777777" w:rsidR="00422EFE" w:rsidRPr="00261B7A" w:rsidRDefault="00422EFE" w:rsidP="00240807">
            <w:pPr>
              <w:pStyle w:val="TableText"/>
              <w:spacing w:before="30" w:after="30"/>
              <w:jc w:val="right"/>
              <w:rPr>
                <w:szCs w:val="16"/>
              </w:rPr>
            </w:pPr>
            <w:r w:rsidRPr="00261B7A">
              <w:rPr>
                <w:rFonts w:eastAsia="Calibri"/>
                <w:color w:val="000000"/>
                <w:szCs w:val="16"/>
              </w:rPr>
              <w:t>2,648.9</w:t>
            </w:r>
          </w:p>
        </w:tc>
      </w:tr>
      <w:tr w:rsidR="00422EFE" w:rsidRPr="00261B7A" w14:paraId="6F3E5BFF" w14:textId="77777777" w:rsidTr="00D41492">
        <w:tc>
          <w:tcPr>
            <w:tcW w:w="0" w:type="auto"/>
            <w:shd w:val="clear" w:color="auto" w:fill="FFFFFF"/>
            <w:tcMar>
              <w:top w:w="0" w:type="dxa"/>
              <w:left w:w="108" w:type="dxa"/>
              <w:bottom w:w="0" w:type="dxa"/>
              <w:right w:w="108" w:type="dxa"/>
            </w:tcMar>
          </w:tcPr>
          <w:p w14:paraId="1A878FE5" w14:textId="77777777" w:rsidR="00422EFE" w:rsidRPr="00261B7A" w:rsidRDefault="00422EFE" w:rsidP="00240807">
            <w:pPr>
              <w:pStyle w:val="TableText"/>
              <w:spacing w:before="30" w:after="30"/>
            </w:pPr>
            <w:r w:rsidRPr="00261B7A">
              <w:rPr>
                <w:rFonts w:eastAsia="Calibri"/>
              </w:rPr>
              <w:t>1990</w:t>
            </w:r>
          </w:p>
        </w:tc>
        <w:tc>
          <w:tcPr>
            <w:tcW w:w="0" w:type="auto"/>
            <w:shd w:val="clear" w:color="auto" w:fill="FFFFFF"/>
            <w:tcMar>
              <w:top w:w="0" w:type="dxa"/>
              <w:left w:w="108" w:type="dxa"/>
              <w:bottom w:w="0" w:type="dxa"/>
              <w:right w:w="108" w:type="dxa"/>
            </w:tcMar>
          </w:tcPr>
          <w:p w14:paraId="5DA81470" w14:textId="77777777" w:rsidR="00422EFE" w:rsidRPr="00261B7A" w:rsidRDefault="00422EFE" w:rsidP="00240807">
            <w:pPr>
              <w:pStyle w:val="TableText"/>
              <w:spacing w:before="30" w:after="30"/>
              <w:jc w:val="right"/>
              <w:rPr>
                <w:szCs w:val="16"/>
              </w:rPr>
            </w:pPr>
            <w:r w:rsidRPr="00261B7A">
              <w:rPr>
                <w:rFonts w:eastAsia="Calibri"/>
                <w:color w:val="000000"/>
                <w:szCs w:val="16"/>
              </w:rPr>
              <w:t>1,432.6</w:t>
            </w:r>
          </w:p>
        </w:tc>
        <w:tc>
          <w:tcPr>
            <w:tcW w:w="0" w:type="auto"/>
            <w:shd w:val="clear" w:color="auto" w:fill="FFFFFF"/>
            <w:tcMar>
              <w:top w:w="0" w:type="dxa"/>
              <w:left w:w="108" w:type="dxa"/>
              <w:bottom w:w="0" w:type="dxa"/>
              <w:right w:w="108" w:type="dxa"/>
            </w:tcMar>
          </w:tcPr>
          <w:p w14:paraId="1424FB23" w14:textId="77777777" w:rsidR="00422EFE" w:rsidRPr="00261B7A" w:rsidRDefault="00422EFE" w:rsidP="00240807">
            <w:pPr>
              <w:pStyle w:val="TableText"/>
              <w:spacing w:before="30" w:after="30"/>
              <w:jc w:val="right"/>
              <w:rPr>
                <w:szCs w:val="16"/>
              </w:rPr>
            </w:pPr>
            <w:r w:rsidRPr="00261B7A">
              <w:rPr>
                <w:rFonts w:eastAsia="Calibri"/>
                <w:color w:val="000000"/>
                <w:szCs w:val="16"/>
              </w:rPr>
              <w:t>1,174.7</w:t>
            </w:r>
          </w:p>
        </w:tc>
        <w:tc>
          <w:tcPr>
            <w:tcW w:w="0" w:type="auto"/>
            <w:shd w:val="clear" w:color="auto" w:fill="FFFFFF"/>
            <w:tcMar>
              <w:top w:w="0" w:type="dxa"/>
              <w:left w:w="108" w:type="dxa"/>
              <w:bottom w:w="0" w:type="dxa"/>
              <w:right w:w="108" w:type="dxa"/>
            </w:tcMar>
          </w:tcPr>
          <w:p w14:paraId="69C31726" w14:textId="77777777" w:rsidR="00422EFE" w:rsidRPr="00261B7A" w:rsidRDefault="00422EFE" w:rsidP="00240807">
            <w:pPr>
              <w:pStyle w:val="TableText"/>
              <w:spacing w:before="30" w:after="30"/>
              <w:jc w:val="right"/>
              <w:rPr>
                <w:szCs w:val="16"/>
              </w:rPr>
            </w:pPr>
            <w:r w:rsidRPr="00261B7A">
              <w:rPr>
                <w:rFonts w:eastAsia="Calibri"/>
                <w:color w:val="000000"/>
                <w:szCs w:val="16"/>
              </w:rPr>
              <w:t>130.5</w:t>
            </w:r>
          </w:p>
        </w:tc>
        <w:tc>
          <w:tcPr>
            <w:tcW w:w="0" w:type="auto"/>
            <w:shd w:val="clear" w:color="auto" w:fill="FFFFFF"/>
            <w:tcMar>
              <w:top w:w="0" w:type="dxa"/>
              <w:left w:w="108" w:type="dxa"/>
              <w:bottom w:w="0" w:type="dxa"/>
              <w:right w:w="108" w:type="dxa"/>
            </w:tcMar>
          </w:tcPr>
          <w:p w14:paraId="7C5BF7CD" w14:textId="77777777" w:rsidR="00422EFE" w:rsidRPr="00261B7A" w:rsidRDefault="00422EFE" w:rsidP="00240807">
            <w:pPr>
              <w:pStyle w:val="TableText"/>
              <w:spacing w:before="30" w:after="30"/>
              <w:jc w:val="right"/>
              <w:rPr>
                <w:szCs w:val="16"/>
              </w:rPr>
            </w:pPr>
            <w:r w:rsidRPr="00261B7A">
              <w:rPr>
                <w:rFonts w:eastAsia="Calibri"/>
                <w:color w:val="000000"/>
                <w:szCs w:val="16"/>
              </w:rPr>
              <w:t>2,737.8</w:t>
            </w:r>
          </w:p>
        </w:tc>
      </w:tr>
      <w:tr w:rsidR="00422EFE" w:rsidRPr="00261B7A" w14:paraId="1D33CD9C" w14:textId="77777777" w:rsidTr="00D41492">
        <w:tc>
          <w:tcPr>
            <w:tcW w:w="0" w:type="auto"/>
            <w:shd w:val="clear" w:color="auto" w:fill="FFFFFF"/>
            <w:tcMar>
              <w:top w:w="0" w:type="dxa"/>
              <w:left w:w="108" w:type="dxa"/>
              <w:bottom w:w="0" w:type="dxa"/>
              <w:right w:w="108" w:type="dxa"/>
            </w:tcMar>
          </w:tcPr>
          <w:p w14:paraId="465C2E76" w14:textId="77777777" w:rsidR="00422EFE" w:rsidRPr="00261B7A" w:rsidRDefault="00422EFE" w:rsidP="00240807">
            <w:pPr>
              <w:pStyle w:val="TableText"/>
              <w:spacing w:before="30" w:after="30"/>
            </w:pPr>
            <w:r w:rsidRPr="00261B7A">
              <w:rPr>
                <w:rFonts w:eastAsia="Calibri"/>
              </w:rPr>
              <w:t>1991</w:t>
            </w:r>
          </w:p>
        </w:tc>
        <w:tc>
          <w:tcPr>
            <w:tcW w:w="0" w:type="auto"/>
            <w:shd w:val="clear" w:color="auto" w:fill="FFFFFF"/>
            <w:tcMar>
              <w:top w:w="0" w:type="dxa"/>
              <w:left w:w="108" w:type="dxa"/>
              <w:bottom w:w="0" w:type="dxa"/>
              <w:right w:w="108" w:type="dxa"/>
            </w:tcMar>
          </w:tcPr>
          <w:p w14:paraId="596F4333" w14:textId="77777777" w:rsidR="00422EFE" w:rsidRPr="00261B7A" w:rsidRDefault="00422EFE" w:rsidP="00240807">
            <w:pPr>
              <w:pStyle w:val="TableText"/>
              <w:spacing w:before="30" w:after="30"/>
              <w:jc w:val="right"/>
              <w:rPr>
                <w:szCs w:val="16"/>
              </w:rPr>
            </w:pPr>
            <w:r w:rsidRPr="00261B7A">
              <w:rPr>
                <w:rFonts w:eastAsia="Calibri"/>
                <w:color w:val="000000"/>
                <w:szCs w:val="16"/>
              </w:rPr>
              <w:t>1,432.6</w:t>
            </w:r>
          </w:p>
        </w:tc>
        <w:tc>
          <w:tcPr>
            <w:tcW w:w="0" w:type="auto"/>
            <w:shd w:val="clear" w:color="auto" w:fill="FFFFFF"/>
            <w:tcMar>
              <w:top w:w="0" w:type="dxa"/>
              <w:left w:w="108" w:type="dxa"/>
              <w:bottom w:w="0" w:type="dxa"/>
              <w:right w:w="108" w:type="dxa"/>
            </w:tcMar>
          </w:tcPr>
          <w:p w14:paraId="1C71EFAB" w14:textId="77777777" w:rsidR="00422EFE" w:rsidRPr="00261B7A" w:rsidRDefault="00422EFE" w:rsidP="00240807">
            <w:pPr>
              <w:pStyle w:val="TableText"/>
              <w:spacing w:before="30" w:after="30"/>
              <w:jc w:val="right"/>
              <w:rPr>
                <w:szCs w:val="16"/>
              </w:rPr>
            </w:pPr>
            <w:r w:rsidRPr="00261B7A">
              <w:rPr>
                <w:rFonts w:eastAsia="Calibri"/>
                <w:color w:val="000000"/>
                <w:szCs w:val="16"/>
              </w:rPr>
              <w:t>1,254.7</w:t>
            </w:r>
          </w:p>
        </w:tc>
        <w:tc>
          <w:tcPr>
            <w:tcW w:w="0" w:type="auto"/>
            <w:shd w:val="clear" w:color="auto" w:fill="FFFFFF"/>
            <w:tcMar>
              <w:top w:w="0" w:type="dxa"/>
              <w:left w:w="108" w:type="dxa"/>
              <w:bottom w:w="0" w:type="dxa"/>
              <w:right w:w="108" w:type="dxa"/>
            </w:tcMar>
          </w:tcPr>
          <w:p w14:paraId="5A043B6D" w14:textId="77777777" w:rsidR="00422EFE" w:rsidRPr="00261B7A" w:rsidRDefault="00422EFE" w:rsidP="00240807">
            <w:pPr>
              <w:pStyle w:val="TableText"/>
              <w:spacing w:before="30" w:after="30"/>
              <w:jc w:val="right"/>
              <w:rPr>
                <w:szCs w:val="16"/>
              </w:rPr>
            </w:pPr>
            <w:r w:rsidRPr="00261B7A">
              <w:rPr>
                <w:rFonts w:eastAsia="Calibri"/>
                <w:color w:val="000000"/>
                <w:szCs w:val="16"/>
              </w:rPr>
              <w:t>139.4</w:t>
            </w:r>
          </w:p>
        </w:tc>
        <w:tc>
          <w:tcPr>
            <w:tcW w:w="0" w:type="auto"/>
            <w:shd w:val="clear" w:color="auto" w:fill="FFFFFF"/>
            <w:tcMar>
              <w:top w:w="0" w:type="dxa"/>
              <w:left w:w="108" w:type="dxa"/>
              <w:bottom w:w="0" w:type="dxa"/>
              <w:right w:w="108" w:type="dxa"/>
            </w:tcMar>
          </w:tcPr>
          <w:p w14:paraId="6F68A94C" w14:textId="77777777" w:rsidR="00422EFE" w:rsidRPr="00261B7A" w:rsidRDefault="00422EFE" w:rsidP="00240807">
            <w:pPr>
              <w:pStyle w:val="TableText"/>
              <w:spacing w:before="30" w:after="30"/>
              <w:jc w:val="right"/>
              <w:rPr>
                <w:szCs w:val="16"/>
              </w:rPr>
            </w:pPr>
            <w:r w:rsidRPr="00261B7A">
              <w:rPr>
                <w:rFonts w:eastAsia="Calibri"/>
                <w:color w:val="000000"/>
                <w:szCs w:val="16"/>
              </w:rPr>
              <w:t>2,826.6</w:t>
            </w:r>
          </w:p>
        </w:tc>
      </w:tr>
      <w:tr w:rsidR="00422EFE" w:rsidRPr="00261B7A" w14:paraId="28F75B3E" w14:textId="77777777" w:rsidTr="00D41492">
        <w:tc>
          <w:tcPr>
            <w:tcW w:w="0" w:type="auto"/>
            <w:shd w:val="clear" w:color="auto" w:fill="FFFFFF"/>
            <w:tcMar>
              <w:top w:w="0" w:type="dxa"/>
              <w:left w:w="108" w:type="dxa"/>
              <w:bottom w:w="0" w:type="dxa"/>
              <w:right w:w="108" w:type="dxa"/>
            </w:tcMar>
          </w:tcPr>
          <w:p w14:paraId="67639D08" w14:textId="77777777" w:rsidR="00422EFE" w:rsidRPr="00261B7A" w:rsidRDefault="00422EFE" w:rsidP="00240807">
            <w:pPr>
              <w:pStyle w:val="TableText"/>
              <w:spacing w:before="30" w:after="30"/>
            </w:pPr>
            <w:r w:rsidRPr="00261B7A">
              <w:rPr>
                <w:rFonts w:eastAsia="Calibri"/>
              </w:rPr>
              <w:t>1992</w:t>
            </w:r>
          </w:p>
        </w:tc>
        <w:tc>
          <w:tcPr>
            <w:tcW w:w="0" w:type="auto"/>
            <w:shd w:val="clear" w:color="auto" w:fill="FFFFFF"/>
            <w:tcMar>
              <w:top w:w="0" w:type="dxa"/>
              <w:left w:w="108" w:type="dxa"/>
              <w:bottom w:w="0" w:type="dxa"/>
              <w:right w:w="108" w:type="dxa"/>
            </w:tcMar>
          </w:tcPr>
          <w:p w14:paraId="738C210E" w14:textId="77777777" w:rsidR="00422EFE" w:rsidRPr="00261B7A" w:rsidRDefault="00422EFE" w:rsidP="00240807">
            <w:pPr>
              <w:pStyle w:val="TableText"/>
              <w:spacing w:before="30" w:after="30"/>
              <w:jc w:val="right"/>
              <w:rPr>
                <w:szCs w:val="16"/>
              </w:rPr>
            </w:pPr>
            <w:r w:rsidRPr="00261B7A">
              <w:rPr>
                <w:rFonts w:eastAsia="Calibri"/>
                <w:color w:val="000000"/>
                <w:szCs w:val="16"/>
              </w:rPr>
              <w:t>1,432.6</w:t>
            </w:r>
          </w:p>
        </w:tc>
        <w:tc>
          <w:tcPr>
            <w:tcW w:w="0" w:type="auto"/>
            <w:shd w:val="clear" w:color="auto" w:fill="FFFFFF"/>
            <w:tcMar>
              <w:top w:w="0" w:type="dxa"/>
              <w:left w:w="108" w:type="dxa"/>
              <w:bottom w:w="0" w:type="dxa"/>
              <w:right w:w="108" w:type="dxa"/>
            </w:tcMar>
          </w:tcPr>
          <w:p w14:paraId="61DD1E87" w14:textId="77777777" w:rsidR="00422EFE" w:rsidRPr="00261B7A" w:rsidRDefault="00422EFE" w:rsidP="00240807">
            <w:pPr>
              <w:pStyle w:val="TableText"/>
              <w:spacing w:before="30" w:after="30"/>
              <w:jc w:val="right"/>
              <w:rPr>
                <w:szCs w:val="16"/>
              </w:rPr>
            </w:pPr>
            <w:r w:rsidRPr="00261B7A">
              <w:rPr>
                <w:rFonts w:eastAsia="Calibri"/>
                <w:color w:val="000000"/>
                <w:szCs w:val="16"/>
              </w:rPr>
              <w:t>1,334.7</w:t>
            </w:r>
          </w:p>
        </w:tc>
        <w:tc>
          <w:tcPr>
            <w:tcW w:w="0" w:type="auto"/>
            <w:shd w:val="clear" w:color="auto" w:fill="FFFFFF"/>
            <w:tcMar>
              <w:top w:w="0" w:type="dxa"/>
              <w:left w:w="108" w:type="dxa"/>
              <w:bottom w:w="0" w:type="dxa"/>
              <w:right w:w="108" w:type="dxa"/>
            </w:tcMar>
          </w:tcPr>
          <w:p w14:paraId="7AE91867" w14:textId="77777777" w:rsidR="00422EFE" w:rsidRPr="00261B7A" w:rsidRDefault="00422EFE" w:rsidP="00240807">
            <w:pPr>
              <w:pStyle w:val="TableText"/>
              <w:spacing w:before="30" w:after="30"/>
              <w:jc w:val="right"/>
              <w:rPr>
                <w:szCs w:val="16"/>
              </w:rPr>
            </w:pPr>
            <w:r w:rsidRPr="00261B7A">
              <w:rPr>
                <w:rFonts w:eastAsia="Calibri"/>
                <w:color w:val="000000"/>
                <w:szCs w:val="16"/>
              </w:rPr>
              <w:t>148.3</w:t>
            </w:r>
          </w:p>
        </w:tc>
        <w:tc>
          <w:tcPr>
            <w:tcW w:w="0" w:type="auto"/>
            <w:shd w:val="clear" w:color="auto" w:fill="FFFFFF"/>
            <w:tcMar>
              <w:top w:w="0" w:type="dxa"/>
              <w:left w:w="108" w:type="dxa"/>
              <w:bottom w:w="0" w:type="dxa"/>
              <w:right w:w="108" w:type="dxa"/>
            </w:tcMar>
          </w:tcPr>
          <w:p w14:paraId="5B5A0ED1" w14:textId="77777777" w:rsidR="00422EFE" w:rsidRPr="00261B7A" w:rsidRDefault="00422EFE" w:rsidP="00240807">
            <w:pPr>
              <w:pStyle w:val="TableText"/>
              <w:spacing w:before="30" w:after="30"/>
              <w:jc w:val="right"/>
              <w:rPr>
                <w:szCs w:val="16"/>
              </w:rPr>
            </w:pPr>
            <w:r w:rsidRPr="00261B7A">
              <w:rPr>
                <w:rFonts w:eastAsia="Calibri"/>
                <w:color w:val="000000"/>
                <w:szCs w:val="16"/>
              </w:rPr>
              <w:t>2,915.5</w:t>
            </w:r>
          </w:p>
        </w:tc>
      </w:tr>
      <w:tr w:rsidR="00422EFE" w:rsidRPr="00261B7A" w14:paraId="63CAE8E6" w14:textId="77777777" w:rsidTr="00D41492">
        <w:tc>
          <w:tcPr>
            <w:tcW w:w="0" w:type="auto"/>
            <w:shd w:val="clear" w:color="auto" w:fill="FFFFFF"/>
            <w:tcMar>
              <w:top w:w="0" w:type="dxa"/>
              <w:left w:w="108" w:type="dxa"/>
              <w:bottom w:w="0" w:type="dxa"/>
              <w:right w:w="108" w:type="dxa"/>
            </w:tcMar>
          </w:tcPr>
          <w:p w14:paraId="347421E8" w14:textId="77777777" w:rsidR="00422EFE" w:rsidRPr="00261B7A" w:rsidRDefault="00422EFE" w:rsidP="00240807">
            <w:pPr>
              <w:pStyle w:val="TableText"/>
              <w:spacing w:before="30" w:after="30"/>
            </w:pPr>
            <w:r w:rsidRPr="00261B7A">
              <w:rPr>
                <w:rFonts w:eastAsia="Calibri"/>
              </w:rPr>
              <w:t>1993</w:t>
            </w:r>
          </w:p>
        </w:tc>
        <w:tc>
          <w:tcPr>
            <w:tcW w:w="0" w:type="auto"/>
            <w:shd w:val="clear" w:color="auto" w:fill="FFFFFF"/>
            <w:tcMar>
              <w:top w:w="0" w:type="dxa"/>
              <w:left w:w="108" w:type="dxa"/>
              <w:bottom w:w="0" w:type="dxa"/>
              <w:right w:w="108" w:type="dxa"/>
            </w:tcMar>
          </w:tcPr>
          <w:p w14:paraId="66458697" w14:textId="77777777" w:rsidR="00422EFE" w:rsidRPr="00261B7A" w:rsidRDefault="00422EFE" w:rsidP="00240807">
            <w:pPr>
              <w:pStyle w:val="TableText"/>
              <w:spacing w:before="30" w:after="30"/>
              <w:jc w:val="right"/>
              <w:rPr>
                <w:szCs w:val="16"/>
              </w:rPr>
            </w:pPr>
            <w:r w:rsidRPr="00261B7A">
              <w:rPr>
                <w:rFonts w:eastAsia="Calibri"/>
                <w:color w:val="000000"/>
                <w:szCs w:val="16"/>
              </w:rPr>
              <w:t>1,650.5</w:t>
            </w:r>
          </w:p>
        </w:tc>
        <w:tc>
          <w:tcPr>
            <w:tcW w:w="0" w:type="auto"/>
            <w:shd w:val="clear" w:color="auto" w:fill="FFFFFF"/>
            <w:tcMar>
              <w:top w:w="0" w:type="dxa"/>
              <w:left w:w="108" w:type="dxa"/>
              <w:bottom w:w="0" w:type="dxa"/>
              <w:right w:w="108" w:type="dxa"/>
            </w:tcMar>
          </w:tcPr>
          <w:p w14:paraId="1449295F" w14:textId="77777777" w:rsidR="00422EFE" w:rsidRPr="00261B7A" w:rsidRDefault="00422EFE" w:rsidP="00240807">
            <w:pPr>
              <w:pStyle w:val="TableText"/>
              <w:spacing w:before="30" w:after="30"/>
              <w:jc w:val="right"/>
              <w:rPr>
                <w:szCs w:val="16"/>
              </w:rPr>
            </w:pPr>
            <w:r w:rsidRPr="00261B7A">
              <w:rPr>
                <w:rFonts w:eastAsia="Calibri"/>
                <w:color w:val="000000"/>
                <w:szCs w:val="16"/>
              </w:rPr>
              <w:t>1,218.5</w:t>
            </w:r>
          </w:p>
        </w:tc>
        <w:tc>
          <w:tcPr>
            <w:tcW w:w="0" w:type="auto"/>
            <w:shd w:val="clear" w:color="auto" w:fill="FFFFFF"/>
            <w:tcMar>
              <w:top w:w="0" w:type="dxa"/>
              <w:left w:w="108" w:type="dxa"/>
              <w:bottom w:w="0" w:type="dxa"/>
              <w:right w:w="108" w:type="dxa"/>
            </w:tcMar>
          </w:tcPr>
          <w:p w14:paraId="55C4E52C" w14:textId="77777777" w:rsidR="00422EFE" w:rsidRPr="00261B7A" w:rsidRDefault="00422EFE" w:rsidP="00240807">
            <w:pPr>
              <w:pStyle w:val="TableText"/>
              <w:spacing w:before="30" w:after="30"/>
              <w:jc w:val="right"/>
              <w:rPr>
                <w:szCs w:val="16"/>
              </w:rPr>
            </w:pPr>
            <w:r w:rsidRPr="00261B7A">
              <w:rPr>
                <w:rFonts w:eastAsia="Calibri"/>
                <w:color w:val="000000"/>
                <w:szCs w:val="16"/>
              </w:rPr>
              <w:t>135.4</w:t>
            </w:r>
          </w:p>
        </w:tc>
        <w:tc>
          <w:tcPr>
            <w:tcW w:w="0" w:type="auto"/>
            <w:shd w:val="clear" w:color="auto" w:fill="FFFFFF"/>
            <w:tcMar>
              <w:top w:w="0" w:type="dxa"/>
              <w:left w:w="108" w:type="dxa"/>
              <w:bottom w:w="0" w:type="dxa"/>
              <w:right w:w="108" w:type="dxa"/>
            </w:tcMar>
          </w:tcPr>
          <w:p w14:paraId="7D98A3A5" w14:textId="77777777" w:rsidR="00422EFE" w:rsidRPr="00261B7A" w:rsidRDefault="00422EFE" w:rsidP="00240807">
            <w:pPr>
              <w:pStyle w:val="TableText"/>
              <w:spacing w:before="30" w:after="30"/>
              <w:jc w:val="right"/>
              <w:rPr>
                <w:szCs w:val="16"/>
              </w:rPr>
            </w:pPr>
            <w:r w:rsidRPr="00261B7A">
              <w:rPr>
                <w:rFonts w:eastAsia="Calibri"/>
                <w:color w:val="000000"/>
                <w:szCs w:val="16"/>
              </w:rPr>
              <w:t>3,004.4</w:t>
            </w:r>
          </w:p>
        </w:tc>
      </w:tr>
      <w:tr w:rsidR="00422EFE" w:rsidRPr="00261B7A" w14:paraId="784756C6" w14:textId="77777777" w:rsidTr="00D41492">
        <w:tc>
          <w:tcPr>
            <w:tcW w:w="0" w:type="auto"/>
            <w:shd w:val="clear" w:color="auto" w:fill="FFFFFF"/>
            <w:tcMar>
              <w:top w:w="0" w:type="dxa"/>
              <w:left w:w="108" w:type="dxa"/>
              <w:bottom w:w="0" w:type="dxa"/>
              <w:right w:w="108" w:type="dxa"/>
            </w:tcMar>
          </w:tcPr>
          <w:p w14:paraId="7A55B869" w14:textId="77777777" w:rsidR="00422EFE" w:rsidRPr="00261B7A" w:rsidRDefault="00422EFE" w:rsidP="00240807">
            <w:pPr>
              <w:pStyle w:val="TableText"/>
              <w:spacing w:before="30" w:after="30"/>
            </w:pPr>
            <w:r w:rsidRPr="00261B7A">
              <w:rPr>
                <w:rFonts w:eastAsia="Calibri"/>
              </w:rPr>
              <w:t>1994</w:t>
            </w:r>
          </w:p>
        </w:tc>
        <w:tc>
          <w:tcPr>
            <w:tcW w:w="0" w:type="auto"/>
            <w:shd w:val="clear" w:color="auto" w:fill="FFFFFF"/>
            <w:tcMar>
              <w:top w:w="0" w:type="dxa"/>
              <w:left w:w="108" w:type="dxa"/>
              <w:bottom w:w="0" w:type="dxa"/>
              <w:right w:w="108" w:type="dxa"/>
            </w:tcMar>
          </w:tcPr>
          <w:p w14:paraId="459093D3" w14:textId="47E7E167" w:rsidR="00422EFE" w:rsidRPr="00261B7A" w:rsidRDefault="00422EFE" w:rsidP="00240807">
            <w:pPr>
              <w:pStyle w:val="TableText"/>
              <w:spacing w:before="30" w:after="30"/>
              <w:jc w:val="right"/>
              <w:rPr>
                <w:szCs w:val="16"/>
              </w:rPr>
            </w:pPr>
            <w:r w:rsidRPr="00261B7A">
              <w:rPr>
                <w:rFonts w:eastAsia="Calibri"/>
                <w:color w:val="000000"/>
                <w:szCs w:val="16"/>
              </w:rPr>
              <w:t>1</w:t>
            </w:r>
            <w:r w:rsidR="00C32E0B" w:rsidRPr="00261B7A">
              <w:rPr>
                <w:rFonts w:eastAsia="Calibri"/>
                <w:color w:val="000000"/>
                <w:szCs w:val="16"/>
              </w:rPr>
              <w:t>,</w:t>
            </w:r>
            <w:r w:rsidRPr="00261B7A">
              <w:rPr>
                <w:rFonts w:eastAsia="Calibri"/>
                <w:color w:val="000000"/>
                <w:szCs w:val="16"/>
              </w:rPr>
              <w:t>687.5</w:t>
            </w:r>
          </w:p>
        </w:tc>
        <w:tc>
          <w:tcPr>
            <w:tcW w:w="0" w:type="auto"/>
            <w:shd w:val="clear" w:color="auto" w:fill="FFFFFF"/>
            <w:tcMar>
              <w:top w:w="0" w:type="dxa"/>
              <w:left w:w="108" w:type="dxa"/>
              <w:bottom w:w="0" w:type="dxa"/>
              <w:right w:w="108" w:type="dxa"/>
            </w:tcMar>
          </w:tcPr>
          <w:p w14:paraId="5683CCE8" w14:textId="33B41B70" w:rsidR="00422EFE" w:rsidRPr="00261B7A" w:rsidRDefault="00422EFE" w:rsidP="00240807">
            <w:pPr>
              <w:pStyle w:val="TableText"/>
              <w:spacing w:before="30" w:after="30"/>
              <w:jc w:val="right"/>
              <w:rPr>
                <w:szCs w:val="16"/>
              </w:rPr>
            </w:pPr>
            <w:r w:rsidRPr="00261B7A">
              <w:rPr>
                <w:rFonts w:eastAsia="Calibri"/>
                <w:color w:val="000000"/>
                <w:szCs w:val="16"/>
              </w:rPr>
              <w:t>1</w:t>
            </w:r>
            <w:r w:rsidR="000413DD" w:rsidRPr="00261B7A">
              <w:rPr>
                <w:rFonts w:eastAsia="Calibri"/>
                <w:color w:val="000000"/>
                <w:szCs w:val="16"/>
              </w:rPr>
              <w:t>,</w:t>
            </w:r>
            <w:r w:rsidRPr="00261B7A">
              <w:rPr>
                <w:rFonts w:eastAsia="Calibri"/>
                <w:color w:val="000000"/>
                <w:szCs w:val="16"/>
              </w:rPr>
              <w:t>265.2</w:t>
            </w:r>
          </w:p>
        </w:tc>
        <w:tc>
          <w:tcPr>
            <w:tcW w:w="0" w:type="auto"/>
            <w:shd w:val="clear" w:color="auto" w:fill="FFFFFF"/>
            <w:tcMar>
              <w:top w:w="0" w:type="dxa"/>
              <w:left w:w="108" w:type="dxa"/>
              <w:bottom w:w="0" w:type="dxa"/>
              <w:right w:w="108" w:type="dxa"/>
            </w:tcMar>
          </w:tcPr>
          <w:p w14:paraId="1958D685" w14:textId="77777777" w:rsidR="00422EFE" w:rsidRPr="00261B7A" w:rsidRDefault="00422EFE" w:rsidP="00240807">
            <w:pPr>
              <w:pStyle w:val="TableText"/>
              <w:spacing w:before="30" w:after="30"/>
              <w:jc w:val="right"/>
              <w:rPr>
                <w:szCs w:val="16"/>
              </w:rPr>
            </w:pPr>
            <w:r w:rsidRPr="00261B7A">
              <w:rPr>
                <w:rFonts w:eastAsia="Calibri"/>
                <w:color w:val="000000"/>
                <w:szCs w:val="16"/>
              </w:rPr>
              <w:t>140.6</w:t>
            </w:r>
          </w:p>
        </w:tc>
        <w:tc>
          <w:tcPr>
            <w:tcW w:w="0" w:type="auto"/>
            <w:shd w:val="clear" w:color="auto" w:fill="FFFFFF"/>
            <w:tcMar>
              <w:top w:w="0" w:type="dxa"/>
              <w:left w:w="108" w:type="dxa"/>
              <w:bottom w:w="0" w:type="dxa"/>
              <w:right w:w="108" w:type="dxa"/>
            </w:tcMar>
          </w:tcPr>
          <w:p w14:paraId="002A77EC" w14:textId="7D814E62" w:rsidR="00422EFE" w:rsidRPr="00261B7A" w:rsidRDefault="00422EFE" w:rsidP="00240807">
            <w:pPr>
              <w:pStyle w:val="TableText"/>
              <w:spacing w:before="30" w:after="30"/>
              <w:jc w:val="right"/>
              <w:rPr>
                <w:szCs w:val="16"/>
              </w:rPr>
            </w:pPr>
            <w:r w:rsidRPr="00261B7A">
              <w:rPr>
                <w:rFonts w:eastAsia="Calibri"/>
                <w:color w:val="000000"/>
                <w:szCs w:val="16"/>
              </w:rPr>
              <w:t>3</w:t>
            </w:r>
            <w:r w:rsidR="004570AC" w:rsidRPr="00261B7A">
              <w:rPr>
                <w:rFonts w:eastAsia="Calibri"/>
                <w:color w:val="000000"/>
                <w:szCs w:val="16"/>
              </w:rPr>
              <w:t>,</w:t>
            </w:r>
            <w:r w:rsidRPr="00261B7A">
              <w:rPr>
                <w:rFonts w:eastAsia="Calibri"/>
                <w:color w:val="000000"/>
                <w:szCs w:val="16"/>
              </w:rPr>
              <w:t>093.2</w:t>
            </w:r>
          </w:p>
        </w:tc>
      </w:tr>
      <w:tr w:rsidR="00422EFE" w:rsidRPr="00261B7A" w14:paraId="42738D84" w14:textId="77777777" w:rsidTr="00D41492">
        <w:tc>
          <w:tcPr>
            <w:tcW w:w="0" w:type="auto"/>
            <w:shd w:val="clear" w:color="auto" w:fill="FFFFFF"/>
            <w:tcMar>
              <w:top w:w="0" w:type="dxa"/>
              <w:left w:w="108" w:type="dxa"/>
              <w:bottom w:w="0" w:type="dxa"/>
              <w:right w:w="108" w:type="dxa"/>
            </w:tcMar>
          </w:tcPr>
          <w:p w14:paraId="63D8D30E" w14:textId="77777777" w:rsidR="00422EFE" w:rsidRPr="00261B7A" w:rsidRDefault="00422EFE" w:rsidP="00240807">
            <w:pPr>
              <w:pStyle w:val="TableText"/>
              <w:spacing w:before="30" w:after="30"/>
            </w:pPr>
            <w:r w:rsidRPr="00261B7A">
              <w:rPr>
                <w:rFonts w:eastAsia="Calibri"/>
              </w:rPr>
              <w:t>1995</w:t>
            </w:r>
          </w:p>
        </w:tc>
        <w:tc>
          <w:tcPr>
            <w:tcW w:w="0" w:type="auto"/>
            <w:shd w:val="clear" w:color="auto" w:fill="FFFFFF"/>
            <w:tcMar>
              <w:top w:w="0" w:type="dxa"/>
              <w:left w:w="108" w:type="dxa"/>
              <w:bottom w:w="0" w:type="dxa"/>
              <w:right w:w="108" w:type="dxa"/>
            </w:tcMar>
          </w:tcPr>
          <w:p w14:paraId="1025A252" w14:textId="77777777" w:rsidR="00422EFE" w:rsidRPr="00261B7A" w:rsidRDefault="00422EFE" w:rsidP="00240807">
            <w:pPr>
              <w:pStyle w:val="TableText"/>
              <w:spacing w:before="30" w:after="30"/>
              <w:jc w:val="right"/>
              <w:rPr>
                <w:szCs w:val="16"/>
              </w:rPr>
            </w:pPr>
            <w:r w:rsidRPr="00261B7A">
              <w:rPr>
                <w:rFonts w:eastAsia="Calibri"/>
                <w:color w:val="000000"/>
                <w:szCs w:val="16"/>
              </w:rPr>
              <w:t>1,687.5</w:t>
            </w:r>
          </w:p>
        </w:tc>
        <w:tc>
          <w:tcPr>
            <w:tcW w:w="0" w:type="auto"/>
            <w:shd w:val="clear" w:color="auto" w:fill="FFFFFF"/>
            <w:tcMar>
              <w:top w:w="0" w:type="dxa"/>
              <w:left w:w="108" w:type="dxa"/>
              <w:bottom w:w="0" w:type="dxa"/>
              <w:right w:w="108" w:type="dxa"/>
            </w:tcMar>
          </w:tcPr>
          <w:p w14:paraId="0ED0DC4A" w14:textId="77777777" w:rsidR="00422EFE" w:rsidRPr="00261B7A" w:rsidRDefault="00422EFE" w:rsidP="00240807">
            <w:pPr>
              <w:pStyle w:val="TableText"/>
              <w:spacing w:before="30" w:after="30"/>
              <w:jc w:val="right"/>
              <w:rPr>
                <w:szCs w:val="16"/>
              </w:rPr>
            </w:pPr>
            <w:r w:rsidRPr="00261B7A">
              <w:rPr>
                <w:rFonts w:eastAsia="Calibri"/>
                <w:color w:val="000000"/>
                <w:szCs w:val="16"/>
              </w:rPr>
              <w:t>1,345.2</w:t>
            </w:r>
          </w:p>
        </w:tc>
        <w:tc>
          <w:tcPr>
            <w:tcW w:w="0" w:type="auto"/>
            <w:shd w:val="clear" w:color="auto" w:fill="FFFFFF"/>
            <w:tcMar>
              <w:top w:w="0" w:type="dxa"/>
              <w:left w:w="108" w:type="dxa"/>
              <w:bottom w:w="0" w:type="dxa"/>
              <w:right w:w="108" w:type="dxa"/>
            </w:tcMar>
          </w:tcPr>
          <w:p w14:paraId="7D9FB4B5" w14:textId="77777777" w:rsidR="00422EFE" w:rsidRPr="00261B7A" w:rsidRDefault="00422EFE" w:rsidP="00240807">
            <w:pPr>
              <w:pStyle w:val="TableText"/>
              <w:spacing w:before="30" w:after="30"/>
              <w:jc w:val="right"/>
              <w:rPr>
                <w:szCs w:val="16"/>
              </w:rPr>
            </w:pPr>
            <w:r w:rsidRPr="00261B7A">
              <w:rPr>
                <w:rFonts w:eastAsia="Calibri"/>
                <w:color w:val="000000"/>
                <w:szCs w:val="16"/>
              </w:rPr>
              <w:t>149.5</w:t>
            </w:r>
          </w:p>
        </w:tc>
        <w:tc>
          <w:tcPr>
            <w:tcW w:w="0" w:type="auto"/>
            <w:shd w:val="clear" w:color="auto" w:fill="FFFFFF"/>
            <w:tcMar>
              <w:top w:w="0" w:type="dxa"/>
              <w:left w:w="108" w:type="dxa"/>
              <w:bottom w:w="0" w:type="dxa"/>
              <w:right w:w="108" w:type="dxa"/>
            </w:tcMar>
          </w:tcPr>
          <w:p w14:paraId="72E47BF0" w14:textId="77777777" w:rsidR="00422EFE" w:rsidRPr="00261B7A" w:rsidRDefault="00422EFE" w:rsidP="00240807">
            <w:pPr>
              <w:pStyle w:val="TableText"/>
              <w:spacing w:before="30" w:after="30"/>
              <w:jc w:val="right"/>
              <w:rPr>
                <w:szCs w:val="16"/>
              </w:rPr>
            </w:pPr>
            <w:r w:rsidRPr="00261B7A">
              <w:rPr>
                <w:rFonts w:eastAsia="Calibri"/>
                <w:color w:val="000000"/>
                <w:szCs w:val="16"/>
              </w:rPr>
              <w:t>3,182.1</w:t>
            </w:r>
          </w:p>
        </w:tc>
      </w:tr>
      <w:tr w:rsidR="00422EFE" w:rsidRPr="00261B7A" w14:paraId="5A09E166" w14:textId="77777777" w:rsidTr="00D41492">
        <w:tc>
          <w:tcPr>
            <w:tcW w:w="0" w:type="auto"/>
            <w:shd w:val="clear" w:color="auto" w:fill="FFFFFF"/>
            <w:tcMar>
              <w:top w:w="0" w:type="dxa"/>
              <w:left w:w="108" w:type="dxa"/>
              <w:bottom w:w="0" w:type="dxa"/>
              <w:right w:w="108" w:type="dxa"/>
            </w:tcMar>
          </w:tcPr>
          <w:p w14:paraId="6608C702" w14:textId="77777777" w:rsidR="00422EFE" w:rsidRPr="00261B7A" w:rsidRDefault="00422EFE" w:rsidP="00240807">
            <w:pPr>
              <w:pStyle w:val="TableText"/>
              <w:spacing w:before="30" w:after="30"/>
            </w:pPr>
            <w:r w:rsidRPr="00261B7A">
              <w:rPr>
                <w:rFonts w:eastAsia="Calibri"/>
              </w:rPr>
              <w:t>1996</w:t>
            </w:r>
          </w:p>
        </w:tc>
        <w:tc>
          <w:tcPr>
            <w:tcW w:w="0" w:type="auto"/>
            <w:shd w:val="clear" w:color="auto" w:fill="FFFFFF"/>
            <w:tcMar>
              <w:top w:w="0" w:type="dxa"/>
              <w:left w:w="108" w:type="dxa"/>
              <w:bottom w:w="0" w:type="dxa"/>
              <w:right w:w="108" w:type="dxa"/>
            </w:tcMar>
          </w:tcPr>
          <w:p w14:paraId="79C7918F" w14:textId="1651CCFD" w:rsidR="00422EFE" w:rsidRPr="00261B7A" w:rsidRDefault="00422EFE" w:rsidP="00240807">
            <w:pPr>
              <w:pStyle w:val="TableText"/>
              <w:spacing w:before="30" w:after="30"/>
              <w:jc w:val="right"/>
              <w:rPr>
                <w:szCs w:val="16"/>
              </w:rPr>
            </w:pPr>
            <w:r w:rsidRPr="00261B7A">
              <w:rPr>
                <w:rFonts w:eastAsia="Calibri"/>
                <w:color w:val="000000"/>
                <w:szCs w:val="16"/>
              </w:rPr>
              <w:t>1,735</w:t>
            </w:r>
            <w:r w:rsidR="00EC745E"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7828021F" w14:textId="3E90B6AA" w:rsidR="00422EFE" w:rsidRPr="00261B7A" w:rsidRDefault="00422EFE" w:rsidP="00240807">
            <w:pPr>
              <w:pStyle w:val="TableText"/>
              <w:spacing w:before="30" w:after="30"/>
              <w:jc w:val="right"/>
              <w:rPr>
                <w:szCs w:val="16"/>
              </w:rPr>
            </w:pPr>
            <w:r w:rsidRPr="00261B7A">
              <w:rPr>
                <w:rFonts w:eastAsia="Calibri"/>
                <w:color w:val="000000"/>
                <w:szCs w:val="16"/>
              </w:rPr>
              <w:t>1,186</w:t>
            </w:r>
            <w:r w:rsidR="003B3815"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31E6641C" w14:textId="77777777" w:rsidR="00422EFE" w:rsidRPr="00261B7A" w:rsidRDefault="00422EFE" w:rsidP="00240807">
            <w:pPr>
              <w:pStyle w:val="TableText"/>
              <w:spacing w:before="30" w:after="30"/>
              <w:jc w:val="right"/>
              <w:rPr>
                <w:szCs w:val="16"/>
              </w:rPr>
            </w:pPr>
            <w:r w:rsidRPr="00261B7A">
              <w:rPr>
                <w:rFonts w:eastAsia="Calibri"/>
                <w:color w:val="000000"/>
                <w:szCs w:val="16"/>
              </w:rPr>
              <w:t>122.1</w:t>
            </w:r>
          </w:p>
        </w:tc>
        <w:tc>
          <w:tcPr>
            <w:tcW w:w="0" w:type="auto"/>
            <w:shd w:val="clear" w:color="auto" w:fill="FFFFFF"/>
            <w:tcMar>
              <w:top w:w="0" w:type="dxa"/>
              <w:left w:w="108" w:type="dxa"/>
              <w:bottom w:w="0" w:type="dxa"/>
              <w:right w:w="108" w:type="dxa"/>
            </w:tcMar>
          </w:tcPr>
          <w:p w14:paraId="6E9B61F5" w14:textId="77777777" w:rsidR="00422EFE" w:rsidRPr="00261B7A" w:rsidRDefault="00422EFE" w:rsidP="00240807">
            <w:pPr>
              <w:pStyle w:val="TableText"/>
              <w:spacing w:before="30" w:after="30"/>
              <w:jc w:val="right"/>
              <w:rPr>
                <w:szCs w:val="16"/>
              </w:rPr>
            </w:pPr>
            <w:r w:rsidRPr="00261B7A">
              <w:rPr>
                <w:rFonts w:eastAsia="Calibri"/>
                <w:color w:val="000000"/>
                <w:szCs w:val="16"/>
              </w:rPr>
              <w:t>3,043.1</w:t>
            </w:r>
          </w:p>
        </w:tc>
      </w:tr>
      <w:tr w:rsidR="00422EFE" w:rsidRPr="00261B7A" w14:paraId="69ADF48B" w14:textId="77777777" w:rsidTr="00D41492">
        <w:tc>
          <w:tcPr>
            <w:tcW w:w="0" w:type="auto"/>
            <w:shd w:val="clear" w:color="auto" w:fill="FFFFFF"/>
            <w:tcMar>
              <w:top w:w="0" w:type="dxa"/>
              <w:left w:w="108" w:type="dxa"/>
              <w:bottom w:w="0" w:type="dxa"/>
              <w:right w:w="108" w:type="dxa"/>
            </w:tcMar>
          </w:tcPr>
          <w:p w14:paraId="4818E763" w14:textId="77777777" w:rsidR="00422EFE" w:rsidRPr="00261B7A" w:rsidRDefault="00422EFE" w:rsidP="00240807">
            <w:pPr>
              <w:pStyle w:val="TableText"/>
              <w:spacing w:before="30" w:after="30"/>
            </w:pPr>
            <w:r w:rsidRPr="00261B7A">
              <w:rPr>
                <w:rFonts w:eastAsia="Calibri"/>
              </w:rPr>
              <w:t>1997</w:t>
            </w:r>
          </w:p>
        </w:tc>
        <w:tc>
          <w:tcPr>
            <w:tcW w:w="0" w:type="auto"/>
            <w:shd w:val="clear" w:color="auto" w:fill="FFFFFF"/>
            <w:tcMar>
              <w:top w:w="0" w:type="dxa"/>
              <w:left w:w="108" w:type="dxa"/>
              <w:bottom w:w="0" w:type="dxa"/>
              <w:right w:w="108" w:type="dxa"/>
            </w:tcMar>
          </w:tcPr>
          <w:p w14:paraId="7E7198ED" w14:textId="77777777" w:rsidR="00422EFE" w:rsidRPr="00261B7A" w:rsidRDefault="00422EFE" w:rsidP="00240807">
            <w:pPr>
              <w:pStyle w:val="TableText"/>
              <w:spacing w:before="30" w:after="30"/>
              <w:jc w:val="right"/>
              <w:rPr>
                <w:szCs w:val="16"/>
              </w:rPr>
            </w:pPr>
            <w:r w:rsidRPr="00261B7A">
              <w:rPr>
                <w:rFonts w:eastAsia="Calibri"/>
                <w:color w:val="000000"/>
                <w:szCs w:val="16"/>
              </w:rPr>
              <w:t>1,671.2</w:t>
            </w:r>
          </w:p>
        </w:tc>
        <w:tc>
          <w:tcPr>
            <w:tcW w:w="0" w:type="auto"/>
            <w:shd w:val="clear" w:color="auto" w:fill="FFFFFF"/>
            <w:tcMar>
              <w:top w:w="0" w:type="dxa"/>
              <w:left w:w="108" w:type="dxa"/>
              <w:bottom w:w="0" w:type="dxa"/>
              <w:right w:w="108" w:type="dxa"/>
            </w:tcMar>
          </w:tcPr>
          <w:p w14:paraId="6704C5BD" w14:textId="69C05C58" w:rsidR="00422EFE" w:rsidRPr="00261B7A" w:rsidRDefault="00422EFE" w:rsidP="00240807">
            <w:pPr>
              <w:pStyle w:val="TableText"/>
              <w:spacing w:before="30" w:after="30"/>
              <w:jc w:val="right"/>
              <w:rPr>
                <w:szCs w:val="16"/>
              </w:rPr>
            </w:pPr>
            <w:r w:rsidRPr="00261B7A">
              <w:rPr>
                <w:rFonts w:eastAsia="Calibri"/>
                <w:color w:val="000000"/>
                <w:szCs w:val="16"/>
              </w:rPr>
              <w:t>1,126</w:t>
            </w:r>
            <w:r w:rsidR="003B3815"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3D22D76D" w14:textId="77777777" w:rsidR="00422EFE" w:rsidRPr="00261B7A" w:rsidRDefault="00422EFE" w:rsidP="00240807">
            <w:pPr>
              <w:pStyle w:val="TableText"/>
              <w:spacing w:before="30" w:after="30"/>
              <w:jc w:val="right"/>
              <w:rPr>
                <w:szCs w:val="16"/>
              </w:rPr>
            </w:pPr>
            <w:r w:rsidRPr="00261B7A">
              <w:rPr>
                <w:rFonts w:eastAsia="Calibri"/>
                <w:color w:val="000000"/>
                <w:szCs w:val="16"/>
              </w:rPr>
              <w:t>106.8</w:t>
            </w:r>
          </w:p>
        </w:tc>
        <w:tc>
          <w:tcPr>
            <w:tcW w:w="0" w:type="auto"/>
            <w:shd w:val="clear" w:color="auto" w:fill="FFFFFF"/>
            <w:tcMar>
              <w:top w:w="0" w:type="dxa"/>
              <w:left w:w="108" w:type="dxa"/>
              <w:bottom w:w="0" w:type="dxa"/>
              <w:right w:w="108" w:type="dxa"/>
            </w:tcMar>
          </w:tcPr>
          <w:p w14:paraId="7CAF3C6C" w14:textId="77777777" w:rsidR="00422EFE" w:rsidRPr="00261B7A" w:rsidRDefault="00422EFE" w:rsidP="00240807">
            <w:pPr>
              <w:pStyle w:val="TableText"/>
              <w:spacing w:before="30" w:after="30"/>
              <w:jc w:val="right"/>
              <w:rPr>
                <w:szCs w:val="16"/>
              </w:rPr>
            </w:pPr>
            <w:r w:rsidRPr="00261B7A">
              <w:rPr>
                <w:rFonts w:eastAsia="Calibri"/>
                <w:color w:val="000000"/>
                <w:szCs w:val="16"/>
              </w:rPr>
              <w:t>2,904.1</w:t>
            </w:r>
          </w:p>
        </w:tc>
      </w:tr>
      <w:tr w:rsidR="00422EFE" w:rsidRPr="00261B7A" w14:paraId="483CCAE1" w14:textId="77777777" w:rsidTr="00D41492">
        <w:tc>
          <w:tcPr>
            <w:tcW w:w="0" w:type="auto"/>
            <w:shd w:val="clear" w:color="auto" w:fill="FFFFFF"/>
            <w:tcMar>
              <w:top w:w="0" w:type="dxa"/>
              <w:left w:w="108" w:type="dxa"/>
              <w:bottom w:w="0" w:type="dxa"/>
              <w:right w:w="108" w:type="dxa"/>
            </w:tcMar>
          </w:tcPr>
          <w:p w14:paraId="518B5555" w14:textId="77777777" w:rsidR="00422EFE" w:rsidRPr="00261B7A" w:rsidRDefault="00422EFE" w:rsidP="00240807">
            <w:pPr>
              <w:pStyle w:val="TableText"/>
              <w:spacing w:before="30" w:after="30"/>
            </w:pPr>
            <w:r w:rsidRPr="00261B7A">
              <w:rPr>
                <w:rFonts w:eastAsia="Calibri"/>
              </w:rPr>
              <w:t>1998</w:t>
            </w:r>
          </w:p>
        </w:tc>
        <w:tc>
          <w:tcPr>
            <w:tcW w:w="0" w:type="auto"/>
            <w:shd w:val="clear" w:color="auto" w:fill="FFFFFF"/>
            <w:tcMar>
              <w:top w:w="0" w:type="dxa"/>
              <w:left w:w="108" w:type="dxa"/>
              <w:bottom w:w="0" w:type="dxa"/>
              <w:right w:w="108" w:type="dxa"/>
            </w:tcMar>
          </w:tcPr>
          <w:p w14:paraId="695579BD" w14:textId="2E654C5F" w:rsidR="00422EFE" w:rsidRPr="00261B7A" w:rsidRDefault="00422EFE" w:rsidP="00240807">
            <w:pPr>
              <w:pStyle w:val="TableText"/>
              <w:spacing w:before="30" w:after="30"/>
              <w:jc w:val="right"/>
              <w:rPr>
                <w:szCs w:val="16"/>
              </w:rPr>
            </w:pPr>
            <w:r w:rsidRPr="00261B7A">
              <w:rPr>
                <w:rFonts w:eastAsia="Calibri"/>
                <w:color w:val="000000"/>
                <w:szCs w:val="16"/>
              </w:rPr>
              <w:t>1,605</w:t>
            </w:r>
            <w:r w:rsidR="00C32E0B"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0F2C3C07" w14:textId="77777777" w:rsidR="00422EFE" w:rsidRPr="00261B7A" w:rsidRDefault="00422EFE" w:rsidP="00240807">
            <w:pPr>
              <w:pStyle w:val="TableText"/>
              <w:spacing w:before="30" w:after="30"/>
              <w:jc w:val="right"/>
              <w:rPr>
                <w:szCs w:val="16"/>
              </w:rPr>
            </w:pPr>
            <w:r w:rsidRPr="00261B7A">
              <w:rPr>
                <w:rFonts w:eastAsia="Calibri"/>
                <w:color w:val="000000"/>
                <w:szCs w:val="16"/>
              </w:rPr>
              <w:t>1,067.2</w:t>
            </w:r>
          </w:p>
        </w:tc>
        <w:tc>
          <w:tcPr>
            <w:tcW w:w="0" w:type="auto"/>
            <w:shd w:val="clear" w:color="auto" w:fill="FFFFFF"/>
            <w:tcMar>
              <w:top w:w="0" w:type="dxa"/>
              <w:left w:w="108" w:type="dxa"/>
              <w:bottom w:w="0" w:type="dxa"/>
              <w:right w:w="108" w:type="dxa"/>
            </w:tcMar>
          </w:tcPr>
          <w:p w14:paraId="2F078F64" w14:textId="77777777" w:rsidR="00422EFE" w:rsidRPr="00261B7A" w:rsidRDefault="00422EFE" w:rsidP="00240807">
            <w:pPr>
              <w:pStyle w:val="TableText"/>
              <w:spacing w:before="30" w:after="30"/>
              <w:jc w:val="right"/>
              <w:rPr>
                <w:szCs w:val="16"/>
              </w:rPr>
            </w:pPr>
            <w:r w:rsidRPr="00261B7A">
              <w:rPr>
                <w:rFonts w:eastAsia="Calibri"/>
                <w:color w:val="000000"/>
                <w:szCs w:val="16"/>
              </w:rPr>
              <w:t>92.8</w:t>
            </w:r>
          </w:p>
        </w:tc>
        <w:tc>
          <w:tcPr>
            <w:tcW w:w="0" w:type="auto"/>
            <w:shd w:val="clear" w:color="auto" w:fill="FFFFFF"/>
            <w:tcMar>
              <w:top w:w="0" w:type="dxa"/>
              <w:left w:w="108" w:type="dxa"/>
              <w:bottom w:w="0" w:type="dxa"/>
              <w:right w:w="108" w:type="dxa"/>
            </w:tcMar>
          </w:tcPr>
          <w:p w14:paraId="5014C7AB" w14:textId="2A705C3D" w:rsidR="00422EFE" w:rsidRPr="00261B7A" w:rsidRDefault="00422EFE" w:rsidP="00240807">
            <w:pPr>
              <w:pStyle w:val="TableText"/>
              <w:spacing w:before="30" w:after="30"/>
              <w:jc w:val="right"/>
              <w:rPr>
                <w:szCs w:val="16"/>
              </w:rPr>
            </w:pPr>
            <w:r w:rsidRPr="00261B7A">
              <w:rPr>
                <w:rFonts w:eastAsia="Calibri"/>
                <w:color w:val="000000"/>
                <w:szCs w:val="16"/>
              </w:rPr>
              <w:t>2,765</w:t>
            </w:r>
            <w:r w:rsidR="004D78CB" w:rsidRPr="00261B7A">
              <w:rPr>
                <w:rFonts w:eastAsia="Calibri"/>
                <w:color w:val="000000"/>
                <w:szCs w:val="16"/>
              </w:rPr>
              <w:t>.0</w:t>
            </w:r>
          </w:p>
        </w:tc>
      </w:tr>
      <w:tr w:rsidR="00422EFE" w:rsidRPr="00261B7A" w14:paraId="70FF7078" w14:textId="77777777" w:rsidTr="00D41492">
        <w:tc>
          <w:tcPr>
            <w:tcW w:w="0" w:type="auto"/>
            <w:shd w:val="clear" w:color="auto" w:fill="FFFFFF"/>
            <w:tcMar>
              <w:top w:w="0" w:type="dxa"/>
              <w:left w:w="108" w:type="dxa"/>
              <w:bottom w:w="0" w:type="dxa"/>
              <w:right w:w="108" w:type="dxa"/>
            </w:tcMar>
          </w:tcPr>
          <w:p w14:paraId="5F3FF8D2" w14:textId="77777777" w:rsidR="00422EFE" w:rsidRPr="00261B7A" w:rsidRDefault="00422EFE" w:rsidP="00240807">
            <w:pPr>
              <w:pStyle w:val="TableText"/>
              <w:spacing w:before="30" w:after="30"/>
            </w:pPr>
            <w:r w:rsidRPr="00261B7A">
              <w:rPr>
                <w:rFonts w:eastAsia="Calibri"/>
              </w:rPr>
              <w:t>1999</w:t>
            </w:r>
          </w:p>
        </w:tc>
        <w:tc>
          <w:tcPr>
            <w:tcW w:w="0" w:type="auto"/>
            <w:shd w:val="clear" w:color="auto" w:fill="FFFFFF"/>
            <w:tcMar>
              <w:top w:w="0" w:type="dxa"/>
              <w:left w:w="108" w:type="dxa"/>
              <w:bottom w:w="0" w:type="dxa"/>
              <w:right w:w="108" w:type="dxa"/>
            </w:tcMar>
          </w:tcPr>
          <w:p w14:paraId="34397D63" w14:textId="61DA4F63" w:rsidR="00422EFE" w:rsidRPr="00261B7A" w:rsidRDefault="00422EFE" w:rsidP="00240807">
            <w:pPr>
              <w:pStyle w:val="TableText"/>
              <w:spacing w:before="30" w:after="30"/>
              <w:jc w:val="right"/>
              <w:rPr>
                <w:szCs w:val="16"/>
              </w:rPr>
            </w:pPr>
            <w:r w:rsidRPr="00261B7A">
              <w:rPr>
                <w:rFonts w:eastAsia="Calibri"/>
                <w:color w:val="000000"/>
                <w:szCs w:val="16"/>
              </w:rPr>
              <w:t>1,605</w:t>
            </w:r>
            <w:r w:rsidR="00C32E0B"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1C8C046D" w14:textId="77777777" w:rsidR="00422EFE" w:rsidRPr="00261B7A" w:rsidRDefault="00422EFE" w:rsidP="00240807">
            <w:pPr>
              <w:pStyle w:val="TableText"/>
              <w:spacing w:before="30" w:after="30"/>
              <w:jc w:val="right"/>
              <w:rPr>
                <w:szCs w:val="16"/>
              </w:rPr>
            </w:pPr>
            <w:r w:rsidRPr="00261B7A">
              <w:rPr>
                <w:rFonts w:eastAsia="Calibri"/>
                <w:color w:val="000000"/>
                <w:szCs w:val="16"/>
              </w:rPr>
              <w:t>1,134.5</w:t>
            </w:r>
          </w:p>
        </w:tc>
        <w:tc>
          <w:tcPr>
            <w:tcW w:w="0" w:type="auto"/>
            <w:shd w:val="clear" w:color="auto" w:fill="FFFFFF"/>
            <w:tcMar>
              <w:top w:w="0" w:type="dxa"/>
              <w:left w:w="108" w:type="dxa"/>
              <w:bottom w:w="0" w:type="dxa"/>
              <w:right w:w="108" w:type="dxa"/>
            </w:tcMar>
          </w:tcPr>
          <w:p w14:paraId="42928BAF" w14:textId="77777777" w:rsidR="00422EFE" w:rsidRPr="00261B7A" w:rsidRDefault="00422EFE" w:rsidP="00240807">
            <w:pPr>
              <w:pStyle w:val="TableText"/>
              <w:spacing w:before="30" w:after="30"/>
              <w:jc w:val="right"/>
              <w:rPr>
                <w:szCs w:val="16"/>
              </w:rPr>
            </w:pPr>
            <w:r w:rsidRPr="00261B7A">
              <w:rPr>
                <w:rFonts w:eastAsia="Calibri"/>
                <w:color w:val="000000"/>
                <w:szCs w:val="16"/>
              </w:rPr>
              <w:t>89.8</w:t>
            </w:r>
          </w:p>
        </w:tc>
        <w:tc>
          <w:tcPr>
            <w:tcW w:w="0" w:type="auto"/>
            <w:shd w:val="clear" w:color="auto" w:fill="FFFFFF"/>
            <w:tcMar>
              <w:top w:w="0" w:type="dxa"/>
              <w:left w:w="108" w:type="dxa"/>
              <w:bottom w:w="0" w:type="dxa"/>
              <w:right w:w="108" w:type="dxa"/>
            </w:tcMar>
          </w:tcPr>
          <w:p w14:paraId="0B059A5C" w14:textId="77777777" w:rsidR="00422EFE" w:rsidRPr="00261B7A" w:rsidRDefault="00422EFE" w:rsidP="00240807">
            <w:pPr>
              <w:pStyle w:val="TableText"/>
              <w:spacing w:before="30" w:after="30"/>
              <w:jc w:val="right"/>
              <w:rPr>
                <w:szCs w:val="16"/>
              </w:rPr>
            </w:pPr>
            <w:r w:rsidRPr="00261B7A">
              <w:rPr>
                <w:rFonts w:eastAsia="Calibri"/>
                <w:color w:val="000000"/>
                <w:szCs w:val="16"/>
              </w:rPr>
              <w:t>2,829.3</w:t>
            </w:r>
          </w:p>
        </w:tc>
      </w:tr>
      <w:tr w:rsidR="00422EFE" w:rsidRPr="00261B7A" w14:paraId="43B25752" w14:textId="77777777" w:rsidTr="00D41492">
        <w:tc>
          <w:tcPr>
            <w:tcW w:w="0" w:type="auto"/>
            <w:shd w:val="clear" w:color="auto" w:fill="FFFFFF"/>
            <w:tcMar>
              <w:top w:w="0" w:type="dxa"/>
              <w:left w:w="108" w:type="dxa"/>
              <w:bottom w:w="0" w:type="dxa"/>
              <w:right w:w="108" w:type="dxa"/>
            </w:tcMar>
          </w:tcPr>
          <w:p w14:paraId="128A9C84" w14:textId="77777777" w:rsidR="00422EFE" w:rsidRPr="00261B7A" w:rsidRDefault="00422EFE" w:rsidP="00240807">
            <w:pPr>
              <w:pStyle w:val="TableText"/>
              <w:spacing w:before="30" w:after="30"/>
            </w:pPr>
            <w:r w:rsidRPr="00261B7A">
              <w:rPr>
                <w:rFonts w:eastAsia="Calibri"/>
              </w:rPr>
              <w:t>2000</w:t>
            </w:r>
          </w:p>
        </w:tc>
        <w:tc>
          <w:tcPr>
            <w:tcW w:w="0" w:type="auto"/>
            <w:shd w:val="clear" w:color="auto" w:fill="FFFFFF"/>
            <w:tcMar>
              <w:top w:w="0" w:type="dxa"/>
              <w:left w:w="108" w:type="dxa"/>
              <w:bottom w:w="0" w:type="dxa"/>
              <w:right w:w="108" w:type="dxa"/>
            </w:tcMar>
          </w:tcPr>
          <w:p w14:paraId="6AA31D3D" w14:textId="02904345" w:rsidR="00422EFE" w:rsidRPr="00261B7A" w:rsidRDefault="00422EFE" w:rsidP="00240807">
            <w:pPr>
              <w:pStyle w:val="TableText"/>
              <w:spacing w:before="30" w:after="30"/>
              <w:jc w:val="right"/>
              <w:rPr>
                <w:szCs w:val="16"/>
              </w:rPr>
            </w:pPr>
            <w:r w:rsidRPr="00261B7A">
              <w:rPr>
                <w:rFonts w:eastAsia="Calibri"/>
                <w:color w:val="000000"/>
                <w:szCs w:val="16"/>
              </w:rPr>
              <w:t>1,605</w:t>
            </w:r>
            <w:r w:rsidR="00C32E0B"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0EA58A39" w14:textId="77777777" w:rsidR="00422EFE" w:rsidRPr="00261B7A" w:rsidRDefault="00422EFE" w:rsidP="00240807">
            <w:pPr>
              <w:pStyle w:val="TableText"/>
              <w:spacing w:before="30" w:after="30"/>
              <w:jc w:val="right"/>
              <w:rPr>
                <w:szCs w:val="16"/>
              </w:rPr>
            </w:pPr>
            <w:r w:rsidRPr="00261B7A">
              <w:rPr>
                <w:rFonts w:eastAsia="Calibri"/>
                <w:color w:val="000000"/>
                <w:szCs w:val="16"/>
              </w:rPr>
              <w:t>1,202.6</w:t>
            </w:r>
          </w:p>
        </w:tc>
        <w:tc>
          <w:tcPr>
            <w:tcW w:w="0" w:type="auto"/>
            <w:shd w:val="clear" w:color="auto" w:fill="FFFFFF"/>
            <w:tcMar>
              <w:top w:w="0" w:type="dxa"/>
              <w:left w:w="108" w:type="dxa"/>
              <w:bottom w:w="0" w:type="dxa"/>
              <w:right w:w="108" w:type="dxa"/>
            </w:tcMar>
          </w:tcPr>
          <w:p w14:paraId="7FB4771B" w14:textId="77777777" w:rsidR="00422EFE" w:rsidRPr="00261B7A" w:rsidRDefault="00422EFE" w:rsidP="00240807">
            <w:pPr>
              <w:pStyle w:val="TableText"/>
              <w:spacing w:before="30" w:after="30"/>
              <w:jc w:val="right"/>
              <w:rPr>
                <w:szCs w:val="16"/>
              </w:rPr>
            </w:pPr>
            <w:r w:rsidRPr="00261B7A">
              <w:rPr>
                <w:rFonts w:eastAsia="Calibri"/>
                <w:color w:val="000000"/>
                <w:szCs w:val="16"/>
              </w:rPr>
              <w:t>85.9</w:t>
            </w:r>
          </w:p>
        </w:tc>
        <w:tc>
          <w:tcPr>
            <w:tcW w:w="0" w:type="auto"/>
            <w:shd w:val="clear" w:color="auto" w:fill="FFFFFF"/>
            <w:tcMar>
              <w:top w:w="0" w:type="dxa"/>
              <w:left w:w="108" w:type="dxa"/>
              <w:bottom w:w="0" w:type="dxa"/>
              <w:right w:w="108" w:type="dxa"/>
            </w:tcMar>
          </w:tcPr>
          <w:p w14:paraId="494A552C" w14:textId="77777777" w:rsidR="00422EFE" w:rsidRPr="00261B7A" w:rsidRDefault="00422EFE" w:rsidP="00240807">
            <w:pPr>
              <w:pStyle w:val="TableText"/>
              <w:spacing w:before="30" w:after="30"/>
              <w:jc w:val="right"/>
              <w:rPr>
                <w:szCs w:val="16"/>
              </w:rPr>
            </w:pPr>
            <w:r w:rsidRPr="00261B7A">
              <w:rPr>
                <w:rFonts w:eastAsia="Calibri"/>
                <w:color w:val="000000"/>
                <w:szCs w:val="16"/>
              </w:rPr>
              <w:t>2,893.5</w:t>
            </w:r>
          </w:p>
        </w:tc>
      </w:tr>
      <w:tr w:rsidR="00422EFE" w:rsidRPr="00261B7A" w14:paraId="3004981F" w14:textId="77777777" w:rsidTr="00D41492">
        <w:tc>
          <w:tcPr>
            <w:tcW w:w="0" w:type="auto"/>
            <w:shd w:val="clear" w:color="auto" w:fill="FFFFFF"/>
            <w:tcMar>
              <w:top w:w="0" w:type="dxa"/>
              <w:left w:w="108" w:type="dxa"/>
              <w:bottom w:w="0" w:type="dxa"/>
              <w:right w:w="108" w:type="dxa"/>
            </w:tcMar>
          </w:tcPr>
          <w:p w14:paraId="2BCCB291" w14:textId="77777777" w:rsidR="00422EFE" w:rsidRPr="00261B7A" w:rsidRDefault="00422EFE" w:rsidP="00240807">
            <w:pPr>
              <w:pStyle w:val="TableText"/>
              <w:spacing w:before="30" w:after="30"/>
            </w:pPr>
            <w:r w:rsidRPr="00261B7A">
              <w:rPr>
                <w:rFonts w:eastAsia="Calibri"/>
              </w:rPr>
              <w:t>2001</w:t>
            </w:r>
          </w:p>
        </w:tc>
        <w:tc>
          <w:tcPr>
            <w:tcW w:w="0" w:type="auto"/>
            <w:shd w:val="clear" w:color="auto" w:fill="FFFFFF"/>
            <w:tcMar>
              <w:top w:w="0" w:type="dxa"/>
              <w:left w:w="108" w:type="dxa"/>
              <w:bottom w:w="0" w:type="dxa"/>
              <w:right w:w="108" w:type="dxa"/>
            </w:tcMar>
          </w:tcPr>
          <w:p w14:paraId="66EB2CFB" w14:textId="77777777" w:rsidR="00422EFE" w:rsidRPr="00261B7A" w:rsidRDefault="00422EFE" w:rsidP="00240807">
            <w:pPr>
              <w:pStyle w:val="TableText"/>
              <w:spacing w:before="30" w:after="30"/>
              <w:jc w:val="right"/>
              <w:rPr>
                <w:szCs w:val="16"/>
              </w:rPr>
            </w:pPr>
            <w:r w:rsidRPr="00261B7A">
              <w:rPr>
                <w:rFonts w:eastAsia="Calibri"/>
                <w:color w:val="000000"/>
                <w:szCs w:val="16"/>
              </w:rPr>
              <w:t>1,748.3</w:t>
            </w:r>
          </w:p>
        </w:tc>
        <w:tc>
          <w:tcPr>
            <w:tcW w:w="0" w:type="auto"/>
            <w:shd w:val="clear" w:color="auto" w:fill="FFFFFF"/>
            <w:tcMar>
              <w:top w:w="0" w:type="dxa"/>
              <w:left w:w="108" w:type="dxa"/>
              <w:bottom w:w="0" w:type="dxa"/>
              <w:right w:w="108" w:type="dxa"/>
            </w:tcMar>
          </w:tcPr>
          <w:p w14:paraId="67297DE3" w14:textId="77777777" w:rsidR="00422EFE" w:rsidRPr="00261B7A" w:rsidRDefault="00422EFE" w:rsidP="00240807">
            <w:pPr>
              <w:pStyle w:val="TableText"/>
              <w:spacing w:before="30" w:after="30"/>
              <w:jc w:val="right"/>
              <w:rPr>
                <w:szCs w:val="16"/>
              </w:rPr>
            </w:pPr>
            <w:r w:rsidRPr="00261B7A">
              <w:rPr>
                <w:rFonts w:eastAsia="Calibri"/>
                <w:color w:val="000000"/>
                <w:szCs w:val="16"/>
              </w:rPr>
              <w:t>1,136.9</w:t>
            </w:r>
          </w:p>
        </w:tc>
        <w:tc>
          <w:tcPr>
            <w:tcW w:w="0" w:type="auto"/>
            <w:shd w:val="clear" w:color="auto" w:fill="FFFFFF"/>
            <w:tcMar>
              <w:top w:w="0" w:type="dxa"/>
              <w:left w:w="108" w:type="dxa"/>
              <w:bottom w:w="0" w:type="dxa"/>
              <w:right w:w="108" w:type="dxa"/>
            </w:tcMar>
          </w:tcPr>
          <w:p w14:paraId="3DCF4C1A" w14:textId="77777777" w:rsidR="00422EFE" w:rsidRPr="00261B7A" w:rsidRDefault="00422EFE" w:rsidP="00240807">
            <w:pPr>
              <w:pStyle w:val="TableText"/>
              <w:spacing w:before="30" w:after="30"/>
              <w:jc w:val="right"/>
              <w:rPr>
                <w:szCs w:val="16"/>
              </w:rPr>
            </w:pPr>
            <w:r w:rsidRPr="00261B7A">
              <w:rPr>
                <w:rFonts w:eastAsia="Calibri"/>
                <w:color w:val="000000"/>
                <w:szCs w:val="16"/>
              </w:rPr>
              <w:t>72.6</w:t>
            </w:r>
          </w:p>
        </w:tc>
        <w:tc>
          <w:tcPr>
            <w:tcW w:w="0" w:type="auto"/>
            <w:shd w:val="clear" w:color="auto" w:fill="FFFFFF"/>
            <w:tcMar>
              <w:top w:w="0" w:type="dxa"/>
              <w:left w:w="108" w:type="dxa"/>
              <w:bottom w:w="0" w:type="dxa"/>
              <w:right w:w="108" w:type="dxa"/>
            </w:tcMar>
          </w:tcPr>
          <w:p w14:paraId="54A744BB" w14:textId="77777777" w:rsidR="00422EFE" w:rsidRPr="00261B7A" w:rsidRDefault="00422EFE" w:rsidP="00240807">
            <w:pPr>
              <w:pStyle w:val="TableText"/>
              <w:spacing w:before="30" w:after="30"/>
              <w:jc w:val="right"/>
              <w:rPr>
                <w:szCs w:val="16"/>
              </w:rPr>
            </w:pPr>
            <w:r w:rsidRPr="00261B7A">
              <w:rPr>
                <w:rFonts w:eastAsia="Calibri"/>
                <w:color w:val="000000"/>
                <w:szCs w:val="16"/>
              </w:rPr>
              <w:t>2,957.8</w:t>
            </w:r>
          </w:p>
        </w:tc>
      </w:tr>
      <w:tr w:rsidR="00422EFE" w:rsidRPr="00261B7A" w14:paraId="04E7DF8B" w14:textId="77777777" w:rsidTr="00D41492">
        <w:tc>
          <w:tcPr>
            <w:tcW w:w="0" w:type="auto"/>
            <w:shd w:val="clear" w:color="auto" w:fill="FFFFFF"/>
            <w:tcMar>
              <w:top w:w="0" w:type="dxa"/>
              <w:left w:w="108" w:type="dxa"/>
              <w:bottom w:w="0" w:type="dxa"/>
              <w:right w:w="108" w:type="dxa"/>
            </w:tcMar>
          </w:tcPr>
          <w:p w14:paraId="3B4C9D1A" w14:textId="77777777" w:rsidR="00422EFE" w:rsidRPr="00261B7A" w:rsidRDefault="00422EFE" w:rsidP="00240807">
            <w:pPr>
              <w:pStyle w:val="TableText"/>
              <w:spacing w:before="30" w:after="30"/>
            </w:pPr>
            <w:r w:rsidRPr="00261B7A">
              <w:rPr>
                <w:rFonts w:eastAsia="Calibri"/>
              </w:rPr>
              <w:t>2002</w:t>
            </w:r>
          </w:p>
        </w:tc>
        <w:tc>
          <w:tcPr>
            <w:tcW w:w="0" w:type="auto"/>
            <w:shd w:val="clear" w:color="auto" w:fill="FFFFFF"/>
            <w:tcMar>
              <w:top w:w="0" w:type="dxa"/>
              <w:left w:w="108" w:type="dxa"/>
              <w:bottom w:w="0" w:type="dxa"/>
              <w:right w:w="108" w:type="dxa"/>
            </w:tcMar>
          </w:tcPr>
          <w:p w14:paraId="0533BEFF" w14:textId="29E2E697" w:rsidR="00422EFE" w:rsidRPr="00261B7A" w:rsidRDefault="00422EFE" w:rsidP="00240807">
            <w:pPr>
              <w:pStyle w:val="TableText"/>
              <w:spacing w:before="30" w:after="30"/>
              <w:jc w:val="right"/>
              <w:rPr>
                <w:szCs w:val="16"/>
              </w:rPr>
            </w:pPr>
            <w:r w:rsidRPr="00261B7A">
              <w:rPr>
                <w:rFonts w:eastAsia="Calibri"/>
                <w:color w:val="000000"/>
                <w:szCs w:val="16"/>
              </w:rPr>
              <w:t>1,797</w:t>
            </w:r>
            <w:r w:rsidR="005F2705"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2D32FA3B" w14:textId="77777777" w:rsidR="00422EFE" w:rsidRPr="00261B7A" w:rsidRDefault="00422EFE" w:rsidP="00240807">
            <w:pPr>
              <w:pStyle w:val="TableText"/>
              <w:spacing w:before="30" w:after="30"/>
              <w:jc w:val="right"/>
              <w:rPr>
                <w:szCs w:val="16"/>
              </w:rPr>
            </w:pPr>
            <w:r w:rsidRPr="00261B7A">
              <w:rPr>
                <w:rFonts w:eastAsia="Calibri"/>
                <w:color w:val="000000"/>
                <w:szCs w:val="16"/>
              </w:rPr>
              <w:t>1,159.7</w:t>
            </w:r>
          </w:p>
        </w:tc>
        <w:tc>
          <w:tcPr>
            <w:tcW w:w="0" w:type="auto"/>
            <w:shd w:val="clear" w:color="auto" w:fill="FFFFFF"/>
            <w:tcMar>
              <w:top w:w="0" w:type="dxa"/>
              <w:left w:w="108" w:type="dxa"/>
              <w:bottom w:w="0" w:type="dxa"/>
              <w:right w:w="108" w:type="dxa"/>
            </w:tcMar>
          </w:tcPr>
          <w:p w14:paraId="17B668C0" w14:textId="77777777" w:rsidR="00422EFE" w:rsidRPr="00261B7A" w:rsidRDefault="00422EFE" w:rsidP="00240807">
            <w:pPr>
              <w:pStyle w:val="TableText"/>
              <w:spacing w:before="30" w:after="30"/>
              <w:jc w:val="right"/>
              <w:rPr>
                <w:szCs w:val="16"/>
              </w:rPr>
            </w:pPr>
            <w:r w:rsidRPr="00261B7A">
              <w:rPr>
                <w:rFonts w:eastAsia="Calibri"/>
                <w:color w:val="000000"/>
                <w:szCs w:val="16"/>
              </w:rPr>
              <w:t>65.3</w:t>
            </w:r>
          </w:p>
        </w:tc>
        <w:tc>
          <w:tcPr>
            <w:tcW w:w="0" w:type="auto"/>
            <w:shd w:val="clear" w:color="auto" w:fill="FFFFFF"/>
            <w:tcMar>
              <w:top w:w="0" w:type="dxa"/>
              <w:left w:w="108" w:type="dxa"/>
              <w:bottom w:w="0" w:type="dxa"/>
              <w:right w:w="108" w:type="dxa"/>
            </w:tcMar>
          </w:tcPr>
          <w:p w14:paraId="4BDD53E2" w14:textId="64076C63" w:rsidR="00422EFE" w:rsidRPr="00261B7A" w:rsidRDefault="00422EFE" w:rsidP="00240807">
            <w:pPr>
              <w:pStyle w:val="TableText"/>
              <w:spacing w:before="30" w:after="30"/>
              <w:jc w:val="right"/>
              <w:rPr>
                <w:szCs w:val="16"/>
              </w:rPr>
            </w:pPr>
            <w:r w:rsidRPr="00261B7A">
              <w:rPr>
                <w:rFonts w:eastAsia="Calibri"/>
                <w:color w:val="000000"/>
                <w:szCs w:val="16"/>
              </w:rPr>
              <w:t>3,022</w:t>
            </w:r>
            <w:r w:rsidR="004D78CB" w:rsidRPr="00261B7A">
              <w:rPr>
                <w:rFonts w:eastAsia="Calibri"/>
                <w:color w:val="000000"/>
                <w:szCs w:val="16"/>
              </w:rPr>
              <w:t>.0</w:t>
            </w:r>
          </w:p>
        </w:tc>
      </w:tr>
      <w:tr w:rsidR="00422EFE" w:rsidRPr="00261B7A" w14:paraId="43769F04" w14:textId="77777777" w:rsidTr="00D41492">
        <w:tc>
          <w:tcPr>
            <w:tcW w:w="0" w:type="auto"/>
            <w:shd w:val="clear" w:color="auto" w:fill="FFFFFF"/>
            <w:tcMar>
              <w:top w:w="0" w:type="dxa"/>
              <w:left w:w="108" w:type="dxa"/>
              <w:bottom w:w="0" w:type="dxa"/>
              <w:right w:w="108" w:type="dxa"/>
            </w:tcMar>
          </w:tcPr>
          <w:p w14:paraId="4E779430" w14:textId="77777777" w:rsidR="00422EFE" w:rsidRPr="00261B7A" w:rsidRDefault="00422EFE" w:rsidP="00240807">
            <w:pPr>
              <w:pStyle w:val="TableText"/>
              <w:spacing w:before="30" w:after="30"/>
            </w:pPr>
            <w:r w:rsidRPr="00261B7A">
              <w:rPr>
                <w:rFonts w:eastAsia="Calibri"/>
              </w:rPr>
              <w:t>2003</w:t>
            </w:r>
          </w:p>
        </w:tc>
        <w:tc>
          <w:tcPr>
            <w:tcW w:w="0" w:type="auto"/>
            <w:shd w:val="clear" w:color="auto" w:fill="FFFFFF"/>
            <w:tcMar>
              <w:top w:w="0" w:type="dxa"/>
              <w:left w:w="108" w:type="dxa"/>
              <w:bottom w:w="0" w:type="dxa"/>
              <w:right w:w="108" w:type="dxa"/>
            </w:tcMar>
          </w:tcPr>
          <w:p w14:paraId="5C7CD438" w14:textId="77777777" w:rsidR="00422EFE" w:rsidRPr="00261B7A" w:rsidRDefault="00422EFE" w:rsidP="00240807">
            <w:pPr>
              <w:pStyle w:val="TableText"/>
              <w:spacing w:before="30" w:after="30"/>
              <w:jc w:val="right"/>
              <w:rPr>
                <w:szCs w:val="16"/>
              </w:rPr>
            </w:pPr>
            <w:r w:rsidRPr="00261B7A">
              <w:rPr>
                <w:rFonts w:eastAsia="Calibri"/>
                <w:color w:val="000000"/>
                <w:szCs w:val="16"/>
              </w:rPr>
              <w:t>1,694.9</w:t>
            </w:r>
          </w:p>
        </w:tc>
        <w:tc>
          <w:tcPr>
            <w:tcW w:w="0" w:type="auto"/>
            <w:shd w:val="clear" w:color="auto" w:fill="FFFFFF"/>
            <w:tcMar>
              <w:top w:w="0" w:type="dxa"/>
              <w:left w:w="108" w:type="dxa"/>
              <w:bottom w:w="0" w:type="dxa"/>
              <w:right w:w="108" w:type="dxa"/>
            </w:tcMar>
          </w:tcPr>
          <w:p w14:paraId="3BE65FEE" w14:textId="77777777" w:rsidR="00422EFE" w:rsidRPr="00261B7A" w:rsidRDefault="00422EFE" w:rsidP="00240807">
            <w:pPr>
              <w:pStyle w:val="TableText"/>
              <w:spacing w:before="30" w:after="30"/>
              <w:jc w:val="right"/>
              <w:rPr>
                <w:szCs w:val="16"/>
              </w:rPr>
            </w:pPr>
            <w:r w:rsidRPr="00261B7A">
              <w:rPr>
                <w:rFonts w:eastAsia="Calibri"/>
                <w:color w:val="000000"/>
                <w:szCs w:val="16"/>
              </w:rPr>
              <w:t>1,297.1</w:t>
            </w:r>
          </w:p>
        </w:tc>
        <w:tc>
          <w:tcPr>
            <w:tcW w:w="0" w:type="auto"/>
            <w:shd w:val="clear" w:color="auto" w:fill="FFFFFF"/>
            <w:tcMar>
              <w:top w:w="0" w:type="dxa"/>
              <w:left w:w="108" w:type="dxa"/>
              <w:bottom w:w="0" w:type="dxa"/>
              <w:right w:w="108" w:type="dxa"/>
            </w:tcMar>
          </w:tcPr>
          <w:p w14:paraId="0FFB0368" w14:textId="77777777" w:rsidR="00422EFE" w:rsidRPr="00261B7A" w:rsidRDefault="00422EFE" w:rsidP="00240807">
            <w:pPr>
              <w:pStyle w:val="TableText"/>
              <w:spacing w:before="30" w:after="30"/>
              <w:jc w:val="right"/>
              <w:rPr>
                <w:szCs w:val="16"/>
              </w:rPr>
            </w:pPr>
            <w:r w:rsidRPr="00261B7A">
              <w:rPr>
                <w:rFonts w:eastAsia="Calibri"/>
                <w:color w:val="000000"/>
                <w:szCs w:val="16"/>
              </w:rPr>
              <w:t>63.5</w:t>
            </w:r>
          </w:p>
        </w:tc>
        <w:tc>
          <w:tcPr>
            <w:tcW w:w="0" w:type="auto"/>
            <w:shd w:val="clear" w:color="auto" w:fill="FFFFFF"/>
            <w:tcMar>
              <w:top w:w="0" w:type="dxa"/>
              <w:left w:w="108" w:type="dxa"/>
              <w:bottom w:w="0" w:type="dxa"/>
              <w:right w:w="108" w:type="dxa"/>
            </w:tcMar>
          </w:tcPr>
          <w:p w14:paraId="2BBE6D5F" w14:textId="77777777" w:rsidR="00422EFE" w:rsidRPr="00261B7A" w:rsidRDefault="00422EFE" w:rsidP="00240807">
            <w:pPr>
              <w:pStyle w:val="TableText"/>
              <w:spacing w:before="30" w:after="30"/>
              <w:jc w:val="right"/>
              <w:rPr>
                <w:szCs w:val="16"/>
              </w:rPr>
            </w:pPr>
            <w:r w:rsidRPr="00261B7A">
              <w:rPr>
                <w:rFonts w:eastAsia="Calibri"/>
                <w:color w:val="000000"/>
                <w:szCs w:val="16"/>
              </w:rPr>
              <w:t>3,055.5</w:t>
            </w:r>
          </w:p>
        </w:tc>
      </w:tr>
      <w:tr w:rsidR="00422EFE" w:rsidRPr="00261B7A" w14:paraId="32F9A65D" w14:textId="77777777" w:rsidTr="00D41492">
        <w:tc>
          <w:tcPr>
            <w:tcW w:w="0" w:type="auto"/>
            <w:shd w:val="clear" w:color="auto" w:fill="FFFFFF"/>
            <w:tcMar>
              <w:top w:w="0" w:type="dxa"/>
              <w:left w:w="108" w:type="dxa"/>
              <w:bottom w:w="0" w:type="dxa"/>
              <w:right w:w="108" w:type="dxa"/>
            </w:tcMar>
          </w:tcPr>
          <w:p w14:paraId="38BF3D90" w14:textId="77777777" w:rsidR="00422EFE" w:rsidRPr="00261B7A" w:rsidRDefault="00422EFE" w:rsidP="00240807">
            <w:pPr>
              <w:pStyle w:val="TableText"/>
              <w:spacing w:before="30" w:after="30"/>
            </w:pPr>
            <w:r w:rsidRPr="00261B7A">
              <w:rPr>
                <w:rFonts w:eastAsia="Calibri"/>
              </w:rPr>
              <w:t>2004</w:t>
            </w:r>
          </w:p>
        </w:tc>
        <w:tc>
          <w:tcPr>
            <w:tcW w:w="0" w:type="auto"/>
            <w:shd w:val="clear" w:color="auto" w:fill="FFFFFF"/>
            <w:tcMar>
              <w:top w:w="0" w:type="dxa"/>
              <w:left w:w="108" w:type="dxa"/>
              <w:bottom w:w="0" w:type="dxa"/>
              <w:right w:w="108" w:type="dxa"/>
            </w:tcMar>
          </w:tcPr>
          <w:p w14:paraId="1BA98060" w14:textId="77777777" w:rsidR="00422EFE" w:rsidRPr="00261B7A" w:rsidRDefault="00422EFE" w:rsidP="00240807">
            <w:pPr>
              <w:pStyle w:val="TableText"/>
              <w:spacing w:before="30" w:after="30"/>
              <w:jc w:val="right"/>
              <w:rPr>
                <w:szCs w:val="16"/>
              </w:rPr>
            </w:pPr>
            <w:r w:rsidRPr="00261B7A">
              <w:rPr>
                <w:rFonts w:eastAsia="Calibri"/>
                <w:color w:val="000000"/>
                <w:szCs w:val="16"/>
              </w:rPr>
              <w:t>1,746.2</w:t>
            </w:r>
          </w:p>
        </w:tc>
        <w:tc>
          <w:tcPr>
            <w:tcW w:w="0" w:type="auto"/>
            <w:shd w:val="clear" w:color="auto" w:fill="FFFFFF"/>
            <w:tcMar>
              <w:top w:w="0" w:type="dxa"/>
              <w:left w:w="108" w:type="dxa"/>
              <w:bottom w:w="0" w:type="dxa"/>
              <w:right w:w="108" w:type="dxa"/>
            </w:tcMar>
          </w:tcPr>
          <w:p w14:paraId="50AEAC27" w14:textId="77777777" w:rsidR="00422EFE" w:rsidRPr="00261B7A" w:rsidRDefault="00422EFE" w:rsidP="00240807">
            <w:pPr>
              <w:pStyle w:val="TableText"/>
              <w:spacing w:before="30" w:after="30"/>
              <w:jc w:val="right"/>
              <w:rPr>
                <w:szCs w:val="16"/>
              </w:rPr>
            </w:pPr>
            <w:r w:rsidRPr="00261B7A">
              <w:rPr>
                <w:rFonts w:eastAsia="Calibri"/>
                <w:color w:val="000000"/>
                <w:szCs w:val="16"/>
              </w:rPr>
              <w:t>1,289.1</w:t>
            </w:r>
          </w:p>
        </w:tc>
        <w:tc>
          <w:tcPr>
            <w:tcW w:w="0" w:type="auto"/>
            <w:shd w:val="clear" w:color="auto" w:fill="FFFFFF"/>
            <w:tcMar>
              <w:top w:w="0" w:type="dxa"/>
              <w:left w:w="108" w:type="dxa"/>
              <w:bottom w:w="0" w:type="dxa"/>
              <w:right w:w="108" w:type="dxa"/>
            </w:tcMar>
          </w:tcPr>
          <w:p w14:paraId="580F46BB" w14:textId="77777777" w:rsidR="00422EFE" w:rsidRPr="00261B7A" w:rsidRDefault="00422EFE" w:rsidP="00240807">
            <w:pPr>
              <w:pStyle w:val="TableText"/>
              <w:spacing w:before="30" w:after="30"/>
              <w:jc w:val="right"/>
              <w:rPr>
                <w:szCs w:val="16"/>
              </w:rPr>
            </w:pPr>
            <w:r w:rsidRPr="00261B7A">
              <w:rPr>
                <w:rFonts w:eastAsia="Calibri"/>
                <w:color w:val="000000"/>
                <w:szCs w:val="16"/>
              </w:rPr>
              <w:t>53.7</w:t>
            </w:r>
          </w:p>
        </w:tc>
        <w:tc>
          <w:tcPr>
            <w:tcW w:w="0" w:type="auto"/>
            <w:shd w:val="clear" w:color="auto" w:fill="FFFFFF"/>
            <w:tcMar>
              <w:top w:w="0" w:type="dxa"/>
              <w:left w:w="108" w:type="dxa"/>
              <w:bottom w:w="0" w:type="dxa"/>
              <w:right w:w="108" w:type="dxa"/>
            </w:tcMar>
          </w:tcPr>
          <w:p w14:paraId="5D1969B8" w14:textId="6D4A4A06" w:rsidR="00422EFE" w:rsidRPr="00261B7A" w:rsidRDefault="00422EFE" w:rsidP="00240807">
            <w:pPr>
              <w:pStyle w:val="TableText"/>
              <w:spacing w:before="30" w:after="30"/>
              <w:jc w:val="right"/>
              <w:rPr>
                <w:szCs w:val="16"/>
              </w:rPr>
            </w:pPr>
            <w:r w:rsidRPr="00261B7A">
              <w:rPr>
                <w:rFonts w:eastAsia="Calibri"/>
                <w:color w:val="000000"/>
                <w:szCs w:val="16"/>
              </w:rPr>
              <w:t>3,089</w:t>
            </w:r>
            <w:r w:rsidR="00B10926" w:rsidRPr="00261B7A">
              <w:rPr>
                <w:rFonts w:eastAsia="Calibri"/>
                <w:color w:val="000000"/>
                <w:szCs w:val="16"/>
              </w:rPr>
              <w:t>.0</w:t>
            </w:r>
          </w:p>
        </w:tc>
      </w:tr>
      <w:tr w:rsidR="00422EFE" w:rsidRPr="00261B7A" w14:paraId="42DA9CF7" w14:textId="77777777" w:rsidTr="00D41492">
        <w:tc>
          <w:tcPr>
            <w:tcW w:w="0" w:type="auto"/>
            <w:shd w:val="clear" w:color="auto" w:fill="FFFFFF"/>
            <w:tcMar>
              <w:top w:w="0" w:type="dxa"/>
              <w:left w:w="108" w:type="dxa"/>
              <w:bottom w:w="0" w:type="dxa"/>
              <w:right w:w="108" w:type="dxa"/>
            </w:tcMar>
          </w:tcPr>
          <w:p w14:paraId="2E70148E" w14:textId="77777777" w:rsidR="00422EFE" w:rsidRPr="00261B7A" w:rsidRDefault="00422EFE" w:rsidP="00240807">
            <w:pPr>
              <w:pStyle w:val="TableText"/>
              <w:spacing w:before="30" w:after="30"/>
            </w:pPr>
            <w:r w:rsidRPr="00261B7A">
              <w:rPr>
                <w:rFonts w:eastAsia="Calibri"/>
              </w:rPr>
              <w:t>2005</w:t>
            </w:r>
          </w:p>
        </w:tc>
        <w:tc>
          <w:tcPr>
            <w:tcW w:w="0" w:type="auto"/>
            <w:shd w:val="clear" w:color="auto" w:fill="FFFFFF"/>
            <w:tcMar>
              <w:top w:w="0" w:type="dxa"/>
              <w:left w:w="108" w:type="dxa"/>
              <w:bottom w:w="0" w:type="dxa"/>
              <w:right w:w="108" w:type="dxa"/>
            </w:tcMar>
          </w:tcPr>
          <w:p w14:paraId="1CD14C1A" w14:textId="77777777" w:rsidR="00422EFE" w:rsidRPr="00261B7A" w:rsidRDefault="00422EFE" w:rsidP="00240807">
            <w:pPr>
              <w:pStyle w:val="TableText"/>
              <w:spacing w:before="30" w:after="30"/>
              <w:jc w:val="right"/>
              <w:rPr>
                <w:szCs w:val="16"/>
              </w:rPr>
            </w:pPr>
            <w:r w:rsidRPr="00261B7A">
              <w:rPr>
                <w:rFonts w:eastAsia="Calibri"/>
                <w:color w:val="000000"/>
                <w:szCs w:val="16"/>
              </w:rPr>
              <w:t>1,954.3</w:t>
            </w:r>
          </w:p>
        </w:tc>
        <w:tc>
          <w:tcPr>
            <w:tcW w:w="0" w:type="auto"/>
            <w:shd w:val="clear" w:color="auto" w:fill="FFFFFF"/>
            <w:tcMar>
              <w:top w:w="0" w:type="dxa"/>
              <w:left w:w="108" w:type="dxa"/>
              <w:bottom w:w="0" w:type="dxa"/>
              <w:right w:w="108" w:type="dxa"/>
            </w:tcMar>
          </w:tcPr>
          <w:p w14:paraId="246143FC" w14:textId="77777777" w:rsidR="00422EFE" w:rsidRPr="00261B7A" w:rsidRDefault="00422EFE" w:rsidP="00240807">
            <w:pPr>
              <w:pStyle w:val="TableText"/>
              <w:spacing w:before="30" w:after="30"/>
              <w:jc w:val="right"/>
              <w:rPr>
                <w:szCs w:val="16"/>
              </w:rPr>
            </w:pPr>
            <w:r w:rsidRPr="00261B7A">
              <w:rPr>
                <w:rFonts w:eastAsia="Calibri"/>
                <w:color w:val="000000"/>
                <w:szCs w:val="16"/>
              </w:rPr>
              <w:t>1,129.2</w:t>
            </w:r>
          </w:p>
        </w:tc>
        <w:tc>
          <w:tcPr>
            <w:tcW w:w="0" w:type="auto"/>
            <w:shd w:val="clear" w:color="auto" w:fill="FFFFFF"/>
            <w:tcMar>
              <w:top w:w="0" w:type="dxa"/>
              <w:left w:w="108" w:type="dxa"/>
              <w:bottom w:w="0" w:type="dxa"/>
              <w:right w:w="108" w:type="dxa"/>
            </w:tcMar>
          </w:tcPr>
          <w:p w14:paraId="4279D969" w14:textId="77777777" w:rsidR="00422EFE" w:rsidRPr="00261B7A" w:rsidRDefault="00422EFE" w:rsidP="00240807">
            <w:pPr>
              <w:pStyle w:val="TableText"/>
              <w:spacing w:before="30" w:after="30"/>
              <w:jc w:val="right"/>
              <w:rPr>
                <w:szCs w:val="16"/>
              </w:rPr>
            </w:pPr>
            <w:r w:rsidRPr="00261B7A">
              <w:rPr>
                <w:rFonts w:eastAsia="Calibri"/>
                <w:color w:val="000000"/>
                <w:szCs w:val="16"/>
              </w:rPr>
              <w:t>38.9</w:t>
            </w:r>
          </w:p>
        </w:tc>
        <w:tc>
          <w:tcPr>
            <w:tcW w:w="0" w:type="auto"/>
            <w:shd w:val="clear" w:color="auto" w:fill="FFFFFF"/>
            <w:tcMar>
              <w:top w:w="0" w:type="dxa"/>
              <w:left w:w="108" w:type="dxa"/>
              <w:bottom w:w="0" w:type="dxa"/>
              <w:right w:w="108" w:type="dxa"/>
            </w:tcMar>
          </w:tcPr>
          <w:p w14:paraId="57967A31" w14:textId="77777777" w:rsidR="00422EFE" w:rsidRPr="00261B7A" w:rsidRDefault="00422EFE" w:rsidP="00240807">
            <w:pPr>
              <w:pStyle w:val="TableText"/>
              <w:spacing w:before="30" w:after="30"/>
              <w:jc w:val="right"/>
              <w:rPr>
                <w:szCs w:val="16"/>
              </w:rPr>
            </w:pPr>
            <w:r w:rsidRPr="00261B7A">
              <w:rPr>
                <w:rFonts w:eastAsia="Calibri"/>
                <w:color w:val="000000"/>
                <w:szCs w:val="16"/>
              </w:rPr>
              <w:t>3,122.5</w:t>
            </w:r>
          </w:p>
        </w:tc>
      </w:tr>
      <w:tr w:rsidR="00422EFE" w:rsidRPr="00261B7A" w14:paraId="53B8D778" w14:textId="77777777" w:rsidTr="00D41492">
        <w:tc>
          <w:tcPr>
            <w:tcW w:w="0" w:type="auto"/>
            <w:shd w:val="clear" w:color="auto" w:fill="FFFFFF"/>
            <w:tcMar>
              <w:top w:w="0" w:type="dxa"/>
              <w:left w:w="108" w:type="dxa"/>
              <w:bottom w:w="0" w:type="dxa"/>
              <w:right w:w="108" w:type="dxa"/>
            </w:tcMar>
          </w:tcPr>
          <w:p w14:paraId="57C49089" w14:textId="77777777" w:rsidR="00422EFE" w:rsidRPr="00261B7A" w:rsidRDefault="00422EFE" w:rsidP="00240807">
            <w:pPr>
              <w:pStyle w:val="TableText"/>
              <w:spacing w:before="30" w:after="30"/>
            </w:pPr>
            <w:r w:rsidRPr="00261B7A">
              <w:rPr>
                <w:rFonts w:eastAsia="Calibri"/>
              </w:rPr>
              <w:t>2006</w:t>
            </w:r>
          </w:p>
        </w:tc>
        <w:tc>
          <w:tcPr>
            <w:tcW w:w="0" w:type="auto"/>
            <w:shd w:val="clear" w:color="auto" w:fill="FFFFFF"/>
            <w:tcMar>
              <w:top w:w="0" w:type="dxa"/>
              <w:left w:w="108" w:type="dxa"/>
              <w:bottom w:w="0" w:type="dxa"/>
              <w:right w:w="108" w:type="dxa"/>
            </w:tcMar>
          </w:tcPr>
          <w:p w14:paraId="2AE9CBAF" w14:textId="77777777" w:rsidR="00422EFE" w:rsidRPr="00261B7A" w:rsidRDefault="00422EFE" w:rsidP="00240807">
            <w:pPr>
              <w:pStyle w:val="TableText"/>
              <w:spacing w:before="30" w:after="30"/>
              <w:jc w:val="right"/>
              <w:rPr>
                <w:szCs w:val="16"/>
              </w:rPr>
            </w:pPr>
            <w:r w:rsidRPr="00261B7A">
              <w:rPr>
                <w:rFonts w:eastAsia="Calibri"/>
                <w:color w:val="000000"/>
                <w:szCs w:val="16"/>
              </w:rPr>
              <w:t>2,384.2</w:t>
            </w:r>
          </w:p>
        </w:tc>
        <w:tc>
          <w:tcPr>
            <w:tcW w:w="0" w:type="auto"/>
            <w:shd w:val="clear" w:color="auto" w:fill="FFFFFF"/>
            <w:tcMar>
              <w:top w:w="0" w:type="dxa"/>
              <w:left w:w="108" w:type="dxa"/>
              <w:bottom w:w="0" w:type="dxa"/>
              <w:right w:w="108" w:type="dxa"/>
            </w:tcMar>
          </w:tcPr>
          <w:p w14:paraId="6637D256" w14:textId="77777777" w:rsidR="00422EFE" w:rsidRPr="00261B7A" w:rsidRDefault="00422EFE" w:rsidP="00240807">
            <w:pPr>
              <w:pStyle w:val="TableText"/>
              <w:spacing w:before="30" w:after="30"/>
              <w:jc w:val="right"/>
              <w:rPr>
                <w:szCs w:val="16"/>
              </w:rPr>
            </w:pPr>
            <w:r w:rsidRPr="00261B7A">
              <w:rPr>
                <w:rFonts w:eastAsia="Calibri"/>
                <w:color w:val="000000"/>
                <w:szCs w:val="16"/>
              </w:rPr>
              <w:t>751.2</w:t>
            </w:r>
          </w:p>
        </w:tc>
        <w:tc>
          <w:tcPr>
            <w:tcW w:w="0" w:type="auto"/>
            <w:shd w:val="clear" w:color="auto" w:fill="FFFFFF"/>
            <w:tcMar>
              <w:top w:w="0" w:type="dxa"/>
              <w:left w:w="108" w:type="dxa"/>
              <w:bottom w:w="0" w:type="dxa"/>
              <w:right w:w="108" w:type="dxa"/>
            </w:tcMar>
          </w:tcPr>
          <w:p w14:paraId="068D1E50" w14:textId="77777777" w:rsidR="00422EFE" w:rsidRPr="00261B7A" w:rsidRDefault="00422EFE" w:rsidP="00240807">
            <w:pPr>
              <w:pStyle w:val="TableText"/>
              <w:spacing w:before="30" w:after="30"/>
              <w:jc w:val="right"/>
              <w:rPr>
                <w:szCs w:val="16"/>
              </w:rPr>
            </w:pPr>
            <w:r w:rsidRPr="00261B7A">
              <w:rPr>
                <w:rFonts w:eastAsia="Calibri"/>
                <w:color w:val="000000"/>
                <w:szCs w:val="16"/>
              </w:rPr>
              <w:t>20.6</w:t>
            </w:r>
          </w:p>
        </w:tc>
        <w:tc>
          <w:tcPr>
            <w:tcW w:w="0" w:type="auto"/>
            <w:shd w:val="clear" w:color="auto" w:fill="FFFFFF"/>
            <w:tcMar>
              <w:top w:w="0" w:type="dxa"/>
              <w:left w:w="108" w:type="dxa"/>
              <w:bottom w:w="0" w:type="dxa"/>
              <w:right w:w="108" w:type="dxa"/>
            </w:tcMar>
          </w:tcPr>
          <w:p w14:paraId="6ED09A35" w14:textId="44D76FFF" w:rsidR="00422EFE" w:rsidRPr="00261B7A" w:rsidRDefault="00422EFE" w:rsidP="00240807">
            <w:pPr>
              <w:pStyle w:val="TableText"/>
              <w:spacing w:before="30" w:after="30"/>
              <w:jc w:val="right"/>
              <w:rPr>
                <w:szCs w:val="16"/>
              </w:rPr>
            </w:pPr>
            <w:r w:rsidRPr="00261B7A">
              <w:rPr>
                <w:rFonts w:eastAsia="Calibri"/>
                <w:color w:val="000000"/>
                <w:szCs w:val="16"/>
              </w:rPr>
              <w:t>3,156</w:t>
            </w:r>
            <w:r w:rsidR="004570AC" w:rsidRPr="00261B7A">
              <w:rPr>
                <w:rFonts w:eastAsia="Calibri"/>
                <w:color w:val="000000"/>
                <w:szCs w:val="16"/>
              </w:rPr>
              <w:t>.0</w:t>
            </w:r>
          </w:p>
        </w:tc>
      </w:tr>
      <w:tr w:rsidR="00422EFE" w:rsidRPr="00261B7A" w14:paraId="5B801945" w14:textId="77777777" w:rsidTr="00D41492">
        <w:tc>
          <w:tcPr>
            <w:tcW w:w="0" w:type="auto"/>
            <w:shd w:val="clear" w:color="auto" w:fill="FFFFFF"/>
            <w:tcMar>
              <w:top w:w="0" w:type="dxa"/>
              <w:left w:w="108" w:type="dxa"/>
              <w:bottom w:w="0" w:type="dxa"/>
              <w:right w:w="108" w:type="dxa"/>
            </w:tcMar>
          </w:tcPr>
          <w:p w14:paraId="752EE5F1" w14:textId="77777777" w:rsidR="00422EFE" w:rsidRPr="00261B7A" w:rsidRDefault="00422EFE" w:rsidP="00240807">
            <w:pPr>
              <w:pStyle w:val="TableText"/>
              <w:spacing w:before="30" w:after="30"/>
            </w:pPr>
            <w:r w:rsidRPr="00261B7A">
              <w:rPr>
                <w:rFonts w:eastAsia="Calibri"/>
              </w:rPr>
              <w:t>2007</w:t>
            </w:r>
          </w:p>
        </w:tc>
        <w:tc>
          <w:tcPr>
            <w:tcW w:w="0" w:type="auto"/>
            <w:shd w:val="clear" w:color="auto" w:fill="FFFFFF"/>
            <w:tcMar>
              <w:top w:w="0" w:type="dxa"/>
              <w:left w:w="108" w:type="dxa"/>
              <w:bottom w:w="0" w:type="dxa"/>
              <w:right w:w="108" w:type="dxa"/>
            </w:tcMar>
          </w:tcPr>
          <w:p w14:paraId="2338361B" w14:textId="77777777" w:rsidR="00422EFE" w:rsidRPr="00261B7A" w:rsidRDefault="00422EFE" w:rsidP="00240807">
            <w:pPr>
              <w:pStyle w:val="TableText"/>
              <w:spacing w:before="30" w:after="30"/>
              <w:jc w:val="right"/>
              <w:rPr>
                <w:szCs w:val="16"/>
              </w:rPr>
            </w:pPr>
            <w:r w:rsidRPr="00261B7A">
              <w:rPr>
                <w:rFonts w:eastAsia="Calibri"/>
                <w:color w:val="000000"/>
                <w:szCs w:val="16"/>
              </w:rPr>
              <w:t>2,244.9</w:t>
            </w:r>
          </w:p>
        </w:tc>
        <w:tc>
          <w:tcPr>
            <w:tcW w:w="0" w:type="auto"/>
            <w:shd w:val="clear" w:color="auto" w:fill="FFFFFF"/>
            <w:tcMar>
              <w:top w:w="0" w:type="dxa"/>
              <w:left w:w="108" w:type="dxa"/>
              <w:bottom w:w="0" w:type="dxa"/>
              <w:right w:w="108" w:type="dxa"/>
            </w:tcMar>
          </w:tcPr>
          <w:p w14:paraId="3E805E7C" w14:textId="77777777" w:rsidR="00422EFE" w:rsidRPr="00261B7A" w:rsidRDefault="00422EFE" w:rsidP="00240807">
            <w:pPr>
              <w:pStyle w:val="TableText"/>
              <w:spacing w:before="30" w:after="30"/>
              <w:jc w:val="right"/>
              <w:rPr>
                <w:szCs w:val="16"/>
              </w:rPr>
            </w:pPr>
            <w:r w:rsidRPr="00261B7A">
              <w:rPr>
                <w:rFonts w:eastAsia="Calibri"/>
                <w:color w:val="000000"/>
                <w:szCs w:val="16"/>
              </w:rPr>
              <w:t>739.8</w:t>
            </w:r>
          </w:p>
        </w:tc>
        <w:tc>
          <w:tcPr>
            <w:tcW w:w="0" w:type="auto"/>
            <w:shd w:val="clear" w:color="auto" w:fill="FFFFFF"/>
            <w:tcMar>
              <w:top w:w="0" w:type="dxa"/>
              <w:left w:w="108" w:type="dxa"/>
              <w:bottom w:w="0" w:type="dxa"/>
              <w:right w:w="108" w:type="dxa"/>
            </w:tcMar>
          </w:tcPr>
          <w:p w14:paraId="5DB5891F" w14:textId="77777777" w:rsidR="00422EFE" w:rsidRPr="00261B7A" w:rsidRDefault="00422EFE" w:rsidP="00240807">
            <w:pPr>
              <w:pStyle w:val="TableText"/>
              <w:spacing w:before="30" w:after="30"/>
              <w:jc w:val="right"/>
              <w:rPr>
                <w:szCs w:val="16"/>
              </w:rPr>
            </w:pPr>
            <w:r w:rsidRPr="00261B7A">
              <w:rPr>
                <w:rFonts w:eastAsia="Calibri"/>
                <w:color w:val="000000"/>
                <w:szCs w:val="16"/>
              </w:rPr>
              <w:t>15.1</w:t>
            </w:r>
          </w:p>
        </w:tc>
        <w:tc>
          <w:tcPr>
            <w:tcW w:w="0" w:type="auto"/>
            <w:shd w:val="clear" w:color="auto" w:fill="FFFFFF"/>
            <w:tcMar>
              <w:top w:w="0" w:type="dxa"/>
              <w:left w:w="108" w:type="dxa"/>
              <w:bottom w:w="0" w:type="dxa"/>
              <w:right w:w="108" w:type="dxa"/>
            </w:tcMar>
          </w:tcPr>
          <w:p w14:paraId="185A4E72" w14:textId="77777777" w:rsidR="00422EFE" w:rsidRPr="00261B7A" w:rsidRDefault="00422EFE" w:rsidP="00240807">
            <w:pPr>
              <w:pStyle w:val="TableText"/>
              <w:spacing w:before="30" w:after="30"/>
              <w:jc w:val="right"/>
              <w:rPr>
                <w:szCs w:val="16"/>
              </w:rPr>
            </w:pPr>
            <w:r w:rsidRPr="00261B7A">
              <w:rPr>
                <w:rFonts w:eastAsia="Calibri"/>
                <w:color w:val="000000"/>
                <w:szCs w:val="16"/>
              </w:rPr>
              <w:t>2,999.8</w:t>
            </w:r>
          </w:p>
        </w:tc>
      </w:tr>
      <w:tr w:rsidR="00422EFE" w:rsidRPr="00261B7A" w14:paraId="50156AD1" w14:textId="77777777" w:rsidTr="00D41492">
        <w:tc>
          <w:tcPr>
            <w:tcW w:w="0" w:type="auto"/>
            <w:shd w:val="clear" w:color="auto" w:fill="FFFFFF"/>
            <w:tcMar>
              <w:top w:w="0" w:type="dxa"/>
              <w:left w:w="108" w:type="dxa"/>
              <w:bottom w:w="0" w:type="dxa"/>
              <w:right w:w="108" w:type="dxa"/>
            </w:tcMar>
          </w:tcPr>
          <w:p w14:paraId="5C564C33" w14:textId="77777777" w:rsidR="00422EFE" w:rsidRPr="00261B7A" w:rsidRDefault="00422EFE" w:rsidP="00240807">
            <w:pPr>
              <w:pStyle w:val="TableText"/>
              <w:spacing w:before="30" w:after="30"/>
            </w:pPr>
            <w:r w:rsidRPr="00261B7A">
              <w:rPr>
                <w:rFonts w:eastAsia="Calibri"/>
              </w:rPr>
              <w:t>2008</w:t>
            </w:r>
          </w:p>
        </w:tc>
        <w:tc>
          <w:tcPr>
            <w:tcW w:w="0" w:type="auto"/>
            <w:shd w:val="clear" w:color="auto" w:fill="FFFFFF"/>
            <w:tcMar>
              <w:top w:w="0" w:type="dxa"/>
              <w:left w:w="108" w:type="dxa"/>
              <w:bottom w:w="0" w:type="dxa"/>
              <w:right w:w="108" w:type="dxa"/>
            </w:tcMar>
          </w:tcPr>
          <w:p w14:paraId="75B61C16" w14:textId="77777777" w:rsidR="00422EFE" w:rsidRPr="00261B7A" w:rsidRDefault="00422EFE" w:rsidP="00240807">
            <w:pPr>
              <w:pStyle w:val="TableText"/>
              <w:spacing w:before="30" w:after="30"/>
              <w:jc w:val="right"/>
              <w:rPr>
                <w:szCs w:val="16"/>
              </w:rPr>
            </w:pPr>
            <w:r w:rsidRPr="00261B7A">
              <w:rPr>
                <w:rFonts w:eastAsia="Calibri"/>
                <w:color w:val="000000"/>
                <w:szCs w:val="16"/>
              </w:rPr>
              <w:t>2,189.3</w:t>
            </w:r>
          </w:p>
        </w:tc>
        <w:tc>
          <w:tcPr>
            <w:tcW w:w="0" w:type="auto"/>
            <w:shd w:val="clear" w:color="auto" w:fill="FFFFFF"/>
            <w:tcMar>
              <w:top w:w="0" w:type="dxa"/>
              <w:left w:w="108" w:type="dxa"/>
              <w:bottom w:w="0" w:type="dxa"/>
              <w:right w:w="108" w:type="dxa"/>
            </w:tcMar>
          </w:tcPr>
          <w:p w14:paraId="666076D8" w14:textId="77777777" w:rsidR="00422EFE" w:rsidRPr="00261B7A" w:rsidRDefault="00422EFE" w:rsidP="00240807">
            <w:pPr>
              <w:pStyle w:val="TableText"/>
              <w:spacing w:before="30" w:after="30"/>
              <w:jc w:val="right"/>
              <w:rPr>
                <w:szCs w:val="16"/>
              </w:rPr>
            </w:pPr>
            <w:r w:rsidRPr="00261B7A">
              <w:rPr>
                <w:rFonts w:eastAsia="Calibri"/>
                <w:color w:val="000000"/>
                <w:szCs w:val="16"/>
              </w:rPr>
              <w:t>645.4</w:t>
            </w:r>
          </w:p>
        </w:tc>
        <w:tc>
          <w:tcPr>
            <w:tcW w:w="0" w:type="auto"/>
            <w:shd w:val="clear" w:color="auto" w:fill="FFFFFF"/>
            <w:tcMar>
              <w:top w:w="0" w:type="dxa"/>
              <w:left w:w="108" w:type="dxa"/>
              <w:bottom w:w="0" w:type="dxa"/>
              <w:right w:w="108" w:type="dxa"/>
            </w:tcMar>
          </w:tcPr>
          <w:p w14:paraId="1DBC2A3E" w14:textId="77777777" w:rsidR="00422EFE" w:rsidRPr="00261B7A" w:rsidRDefault="00422EFE" w:rsidP="00240807">
            <w:pPr>
              <w:pStyle w:val="TableText"/>
              <w:spacing w:before="30" w:after="30"/>
              <w:jc w:val="right"/>
              <w:rPr>
                <w:szCs w:val="16"/>
              </w:rPr>
            </w:pPr>
            <w:r w:rsidRPr="00261B7A">
              <w:rPr>
                <w:rFonts w:eastAsia="Calibri"/>
                <w:color w:val="000000"/>
                <w:szCs w:val="16"/>
              </w:rPr>
              <w:t>8.7</w:t>
            </w:r>
          </w:p>
        </w:tc>
        <w:tc>
          <w:tcPr>
            <w:tcW w:w="0" w:type="auto"/>
            <w:shd w:val="clear" w:color="auto" w:fill="FFFFFF"/>
            <w:tcMar>
              <w:top w:w="0" w:type="dxa"/>
              <w:left w:w="108" w:type="dxa"/>
              <w:bottom w:w="0" w:type="dxa"/>
              <w:right w:w="108" w:type="dxa"/>
            </w:tcMar>
          </w:tcPr>
          <w:p w14:paraId="56AD43F8" w14:textId="77777777" w:rsidR="00422EFE" w:rsidRPr="00261B7A" w:rsidRDefault="00422EFE" w:rsidP="00240807">
            <w:pPr>
              <w:pStyle w:val="TableText"/>
              <w:spacing w:before="30" w:after="30"/>
              <w:jc w:val="right"/>
              <w:rPr>
                <w:szCs w:val="16"/>
              </w:rPr>
            </w:pPr>
            <w:r w:rsidRPr="00261B7A">
              <w:rPr>
                <w:rFonts w:eastAsia="Calibri"/>
                <w:color w:val="000000"/>
                <w:szCs w:val="16"/>
              </w:rPr>
              <w:t>2,843.5</w:t>
            </w:r>
          </w:p>
        </w:tc>
      </w:tr>
      <w:tr w:rsidR="00422EFE" w:rsidRPr="00261B7A" w14:paraId="77281A33" w14:textId="77777777" w:rsidTr="00D41492">
        <w:tc>
          <w:tcPr>
            <w:tcW w:w="0" w:type="auto"/>
            <w:shd w:val="clear" w:color="auto" w:fill="FFFFFF"/>
            <w:tcMar>
              <w:top w:w="0" w:type="dxa"/>
              <w:left w:w="108" w:type="dxa"/>
              <w:bottom w:w="0" w:type="dxa"/>
              <w:right w:w="108" w:type="dxa"/>
            </w:tcMar>
          </w:tcPr>
          <w:p w14:paraId="60AFB914" w14:textId="77777777" w:rsidR="00422EFE" w:rsidRPr="00261B7A" w:rsidRDefault="00422EFE" w:rsidP="00240807">
            <w:pPr>
              <w:pStyle w:val="TableText"/>
              <w:spacing w:before="30" w:after="30"/>
            </w:pPr>
            <w:r w:rsidRPr="00261B7A">
              <w:rPr>
                <w:rFonts w:eastAsia="Calibri"/>
              </w:rPr>
              <w:t>2009</w:t>
            </w:r>
          </w:p>
        </w:tc>
        <w:tc>
          <w:tcPr>
            <w:tcW w:w="0" w:type="auto"/>
            <w:shd w:val="clear" w:color="auto" w:fill="FFFFFF"/>
            <w:tcMar>
              <w:top w:w="0" w:type="dxa"/>
              <w:left w:w="108" w:type="dxa"/>
              <w:bottom w:w="0" w:type="dxa"/>
              <w:right w:w="108" w:type="dxa"/>
            </w:tcMar>
          </w:tcPr>
          <w:p w14:paraId="505C1659" w14:textId="77777777" w:rsidR="00422EFE" w:rsidRPr="00261B7A" w:rsidRDefault="00422EFE" w:rsidP="00240807">
            <w:pPr>
              <w:pStyle w:val="TableText"/>
              <w:spacing w:before="30" w:after="30"/>
              <w:jc w:val="right"/>
              <w:rPr>
                <w:szCs w:val="16"/>
              </w:rPr>
            </w:pPr>
            <w:r w:rsidRPr="00261B7A">
              <w:rPr>
                <w:rFonts w:eastAsia="Calibri"/>
                <w:color w:val="000000"/>
                <w:szCs w:val="16"/>
              </w:rPr>
              <w:t>2,143.9</w:t>
            </w:r>
          </w:p>
        </w:tc>
        <w:tc>
          <w:tcPr>
            <w:tcW w:w="0" w:type="auto"/>
            <w:shd w:val="clear" w:color="auto" w:fill="FFFFFF"/>
            <w:tcMar>
              <w:top w:w="0" w:type="dxa"/>
              <w:left w:w="108" w:type="dxa"/>
              <w:bottom w:w="0" w:type="dxa"/>
              <w:right w:w="108" w:type="dxa"/>
            </w:tcMar>
          </w:tcPr>
          <w:p w14:paraId="77D22540" w14:textId="77777777" w:rsidR="00422EFE" w:rsidRPr="00261B7A" w:rsidRDefault="00422EFE" w:rsidP="00240807">
            <w:pPr>
              <w:pStyle w:val="TableText"/>
              <w:spacing w:before="30" w:after="30"/>
              <w:jc w:val="right"/>
              <w:rPr>
                <w:szCs w:val="16"/>
              </w:rPr>
            </w:pPr>
            <w:r w:rsidRPr="00261B7A">
              <w:rPr>
                <w:rFonts w:eastAsia="Calibri"/>
                <w:color w:val="000000"/>
                <w:szCs w:val="16"/>
              </w:rPr>
              <w:t>539.8</w:t>
            </w:r>
          </w:p>
        </w:tc>
        <w:tc>
          <w:tcPr>
            <w:tcW w:w="0" w:type="auto"/>
            <w:shd w:val="clear" w:color="auto" w:fill="FFFFFF"/>
            <w:tcMar>
              <w:top w:w="0" w:type="dxa"/>
              <w:left w:w="108" w:type="dxa"/>
              <w:bottom w:w="0" w:type="dxa"/>
              <w:right w:w="108" w:type="dxa"/>
            </w:tcMar>
          </w:tcPr>
          <w:p w14:paraId="53EC0F0C" w14:textId="77777777" w:rsidR="00422EFE" w:rsidRPr="00261B7A" w:rsidRDefault="00422EFE" w:rsidP="00240807">
            <w:pPr>
              <w:pStyle w:val="TableText"/>
              <w:spacing w:before="30" w:after="30"/>
              <w:jc w:val="right"/>
              <w:rPr>
                <w:szCs w:val="16"/>
              </w:rPr>
            </w:pPr>
            <w:r w:rsidRPr="00261B7A">
              <w:rPr>
                <w:rFonts w:eastAsia="Calibri"/>
                <w:color w:val="000000"/>
                <w:szCs w:val="16"/>
              </w:rPr>
              <w:t>3.6</w:t>
            </w:r>
          </w:p>
        </w:tc>
        <w:tc>
          <w:tcPr>
            <w:tcW w:w="0" w:type="auto"/>
            <w:shd w:val="clear" w:color="auto" w:fill="FFFFFF"/>
            <w:tcMar>
              <w:top w:w="0" w:type="dxa"/>
              <w:left w:w="108" w:type="dxa"/>
              <w:bottom w:w="0" w:type="dxa"/>
              <w:right w:w="108" w:type="dxa"/>
            </w:tcMar>
          </w:tcPr>
          <w:p w14:paraId="220A1082" w14:textId="77777777" w:rsidR="00422EFE" w:rsidRPr="00261B7A" w:rsidRDefault="00422EFE" w:rsidP="00240807">
            <w:pPr>
              <w:pStyle w:val="TableText"/>
              <w:spacing w:before="30" w:after="30"/>
              <w:jc w:val="right"/>
              <w:rPr>
                <w:szCs w:val="16"/>
              </w:rPr>
            </w:pPr>
            <w:r w:rsidRPr="00261B7A">
              <w:rPr>
                <w:rFonts w:eastAsia="Calibri"/>
                <w:color w:val="000000"/>
                <w:szCs w:val="16"/>
              </w:rPr>
              <w:t>2,687.2</w:t>
            </w:r>
          </w:p>
        </w:tc>
      </w:tr>
      <w:tr w:rsidR="00422EFE" w:rsidRPr="00261B7A" w14:paraId="0A918EF6" w14:textId="77777777" w:rsidTr="00D41492">
        <w:tc>
          <w:tcPr>
            <w:tcW w:w="0" w:type="auto"/>
            <w:shd w:val="clear" w:color="auto" w:fill="FFFFFF"/>
            <w:tcMar>
              <w:top w:w="0" w:type="dxa"/>
              <w:left w:w="108" w:type="dxa"/>
              <w:bottom w:w="0" w:type="dxa"/>
              <w:right w:w="108" w:type="dxa"/>
            </w:tcMar>
          </w:tcPr>
          <w:p w14:paraId="58820199" w14:textId="77777777" w:rsidR="00422EFE" w:rsidRPr="00261B7A" w:rsidRDefault="00422EFE" w:rsidP="00240807">
            <w:pPr>
              <w:pStyle w:val="TableText"/>
              <w:spacing w:before="30" w:after="30"/>
            </w:pPr>
            <w:r w:rsidRPr="00261B7A">
              <w:rPr>
                <w:rFonts w:eastAsia="Calibri"/>
              </w:rPr>
              <w:t>2010</w:t>
            </w:r>
          </w:p>
        </w:tc>
        <w:tc>
          <w:tcPr>
            <w:tcW w:w="0" w:type="auto"/>
            <w:shd w:val="clear" w:color="auto" w:fill="FFFFFF"/>
            <w:tcMar>
              <w:top w:w="0" w:type="dxa"/>
              <w:left w:w="108" w:type="dxa"/>
              <w:bottom w:w="0" w:type="dxa"/>
              <w:right w:w="108" w:type="dxa"/>
            </w:tcMar>
          </w:tcPr>
          <w:p w14:paraId="0E843A27" w14:textId="77777777" w:rsidR="00422EFE" w:rsidRPr="00261B7A" w:rsidRDefault="00422EFE" w:rsidP="00240807">
            <w:pPr>
              <w:pStyle w:val="TableText"/>
              <w:spacing w:before="30" w:after="30"/>
              <w:jc w:val="right"/>
              <w:rPr>
                <w:szCs w:val="16"/>
              </w:rPr>
            </w:pPr>
            <w:r w:rsidRPr="00261B7A">
              <w:rPr>
                <w:rFonts w:eastAsia="Calibri"/>
                <w:color w:val="000000"/>
                <w:szCs w:val="16"/>
              </w:rPr>
              <w:t>2,338.7</w:t>
            </w:r>
          </w:p>
        </w:tc>
        <w:tc>
          <w:tcPr>
            <w:tcW w:w="0" w:type="auto"/>
            <w:shd w:val="clear" w:color="auto" w:fill="FFFFFF"/>
            <w:tcMar>
              <w:top w:w="0" w:type="dxa"/>
              <w:left w:w="108" w:type="dxa"/>
              <w:bottom w:w="0" w:type="dxa"/>
              <w:right w:w="108" w:type="dxa"/>
            </w:tcMar>
          </w:tcPr>
          <w:p w14:paraId="01B7AF68" w14:textId="77777777" w:rsidR="00422EFE" w:rsidRPr="00261B7A" w:rsidRDefault="00422EFE" w:rsidP="00240807">
            <w:pPr>
              <w:pStyle w:val="TableText"/>
              <w:spacing w:before="30" w:after="30"/>
              <w:jc w:val="right"/>
              <w:rPr>
                <w:szCs w:val="16"/>
              </w:rPr>
            </w:pPr>
            <w:r w:rsidRPr="00261B7A">
              <w:rPr>
                <w:rFonts w:eastAsia="Calibri"/>
                <w:color w:val="000000"/>
                <w:szCs w:val="16"/>
              </w:rPr>
              <w:t>193.8</w:t>
            </w:r>
          </w:p>
        </w:tc>
        <w:tc>
          <w:tcPr>
            <w:tcW w:w="0" w:type="auto"/>
            <w:shd w:val="clear" w:color="auto" w:fill="FFFFFF"/>
            <w:tcMar>
              <w:top w:w="0" w:type="dxa"/>
              <w:left w:w="108" w:type="dxa"/>
              <w:bottom w:w="0" w:type="dxa"/>
              <w:right w:w="108" w:type="dxa"/>
            </w:tcMar>
          </w:tcPr>
          <w:p w14:paraId="7ED0D5F6" w14:textId="77777777" w:rsidR="00422EFE" w:rsidRPr="00261B7A" w:rsidRDefault="00422EFE" w:rsidP="00240807">
            <w:pPr>
              <w:pStyle w:val="TableText"/>
              <w:spacing w:before="30" w:after="30"/>
              <w:jc w:val="right"/>
              <w:rPr>
                <w:szCs w:val="16"/>
              </w:rPr>
            </w:pPr>
            <w:r w:rsidRPr="00261B7A">
              <w:rPr>
                <w:rFonts w:eastAsia="Calibri"/>
                <w:color w:val="000000"/>
                <w:szCs w:val="16"/>
              </w:rPr>
              <w:t>NO</w:t>
            </w:r>
          </w:p>
        </w:tc>
        <w:tc>
          <w:tcPr>
            <w:tcW w:w="0" w:type="auto"/>
            <w:shd w:val="clear" w:color="auto" w:fill="FFFFFF"/>
            <w:tcMar>
              <w:top w:w="0" w:type="dxa"/>
              <w:left w:w="108" w:type="dxa"/>
              <w:bottom w:w="0" w:type="dxa"/>
              <w:right w:w="108" w:type="dxa"/>
            </w:tcMar>
          </w:tcPr>
          <w:p w14:paraId="2CAD2C84" w14:textId="77777777" w:rsidR="00422EFE" w:rsidRPr="00261B7A" w:rsidRDefault="00422EFE" w:rsidP="00240807">
            <w:pPr>
              <w:pStyle w:val="TableText"/>
              <w:spacing w:before="30" w:after="30"/>
              <w:jc w:val="right"/>
              <w:rPr>
                <w:szCs w:val="16"/>
              </w:rPr>
            </w:pPr>
            <w:r w:rsidRPr="00261B7A">
              <w:rPr>
                <w:rFonts w:eastAsia="Calibri"/>
                <w:color w:val="000000"/>
                <w:szCs w:val="16"/>
              </w:rPr>
              <w:t>2,532.5</w:t>
            </w:r>
          </w:p>
        </w:tc>
      </w:tr>
      <w:tr w:rsidR="00422EFE" w:rsidRPr="00261B7A" w14:paraId="10AAC27E" w14:textId="77777777" w:rsidTr="00D41492">
        <w:tc>
          <w:tcPr>
            <w:tcW w:w="0" w:type="auto"/>
            <w:shd w:val="clear" w:color="auto" w:fill="FFFFFF"/>
            <w:tcMar>
              <w:top w:w="0" w:type="dxa"/>
              <w:left w:w="108" w:type="dxa"/>
              <w:bottom w:w="0" w:type="dxa"/>
              <w:right w:w="108" w:type="dxa"/>
            </w:tcMar>
          </w:tcPr>
          <w:p w14:paraId="0D262007" w14:textId="77777777" w:rsidR="00422EFE" w:rsidRPr="00261B7A" w:rsidRDefault="00422EFE" w:rsidP="00240807">
            <w:pPr>
              <w:pStyle w:val="TableText"/>
              <w:spacing w:before="30" w:after="30"/>
            </w:pPr>
            <w:r w:rsidRPr="00261B7A">
              <w:rPr>
                <w:rFonts w:eastAsia="Calibri"/>
              </w:rPr>
              <w:t>2011</w:t>
            </w:r>
          </w:p>
        </w:tc>
        <w:tc>
          <w:tcPr>
            <w:tcW w:w="0" w:type="auto"/>
            <w:shd w:val="clear" w:color="auto" w:fill="FFFFFF"/>
            <w:tcMar>
              <w:top w:w="0" w:type="dxa"/>
              <w:left w:w="108" w:type="dxa"/>
              <w:bottom w:w="0" w:type="dxa"/>
              <w:right w:w="108" w:type="dxa"/>
            </w:tcMar>
          </w:tcPr>
          <w:p w14:paraId="0AA769EA" w14:textId="77777777" w:rsidR="00422EFE" w:rsidRPr="00261B7A" w:rsidRDefault="00422EFE" w:rsidP="00240807">
            <w:pPr>
              <w:pStyle w:val="TableText"/>
              <w:spacing w:before="30" w:after="30"/>
              <w:jc w:val="right"/>
              <w:rPr>
                <w:szCs w:val="16"/>
              </w:rPr>
            </w:pPr>
            <w:r w:rsidRPr="00261B7A">
              <w:rPr>
                <w:rFonts w:eastAsia="Calibri"/>
                <w:color w:val="000000"/>
                <w:szCs w:val="16"/>
              </w:rPr>
              <w:t>2,330.1</w:t>
            </w:r>
          </w:p>
        </w:tc>
        <w:tc>
          <w:tcPr>
            <w:tcW w:w="0" w:type="auto"/>
            <w:shd w:val="clear" w:color="auto" w:fill="FFFFFF"/>
            <w:tcMar>
              <w:top w:w="0" w:type="dxa"/>
              <w:left w:w="108" w:type="dxa"/>
              <w:bottom w:w="0" w:type="dxa"/>
              <w:right w:w="108" w:type="dxa"/>
            </w:tcMar>
          </w:tcPr>
          <w:p w14:paraId="5396E06B" w14:textId="77777777" w:rsidR="00422EFE" w:rsidRPr="00261B7A" w:rsidRDefault="00422EFE" w:rsidP="00240807">
            <w:pPr>
              <w:pStyle w:val="TableText"/>
              <w:spacing w:before="30" w:after="30"/>
              <w:jc w:val="right"/>
              <w:rPr>
                <w:szCs w:val="16"/>
              </w:rPr>
            </w:pPr>
            <w:r w:rsidRPr="00261B7A">
              <w:rPr>
                <w:rFonts w:eastAsia="Calibri"/>
                <w:color w:val="000000"/>
                <w:szCs w:val="16"/>
              </w:rPr>
              <w:t>182.4</w:t>
            </w:r>
          </w:p>
        </w:tc>
        <w:tc>
          <w:tcPr>
            <w:tcW w:w="0" w:type="auto"/>
            <w:shd w:val="clear" w:color="auto" w:fill="FFFFFF"/>
            <w:tcMar>
              <w:top w:w="0" w:type="dxa"/>
              <w:left w:w="108" w:type="dxa"/>
              <w:bottom w:w="0" w:type="dxa"/>
              <w:right w:w="108" w:type="dxa"/>
            </w:tcMar>
          </w:tcPr>
          <w:p w14:paraId="5E2C3B5E" w14:textId="77777777" w:rsidR="00422EFE" w:rsidRPr="00261B7A" w:rsidRDefault="00422EFE" w:rsidP="00240807">
            <w:pPr>
              <w:pStyle w:val="TableText"/>
              <w:spacing w:before="30" w:after="30"/>
              <w:jc w:val="right"/>
              <w:rPr>
                <w:szCs w:val="16"/>
              </w:rPr>
            </w:pPr>
            <w:r w:rsidRPr="00261B7A">
              <w:rPr>
                <w:rFonts w:eastAsia="Calibri"/>
                <w:color w:val="000000"/>
                <w:szCs w:val="16"/>
              </w:rPr>
              <w:t>NO</w:t>
            </w:r>
          </w:p>
        </w:tc>
        <w:tc>
          <w:tcPr>
            <w:tcW w:w="0" w:type="auto"/>
            <w:shd w:val="clear" w:color="auto" w:fill="FFFFFF"/>
            <w:tcMar>
              <w:top w:w="0" w:type="dxa"/>
              <w:left w:w="108" w:type="dxa"/>
              <w:bottom w:w="0" w:type="dxa"/>
              <w:right w:w="108" w:type="dxa"/>
            </w:tcMar>
          </w:tcPr>
          <w:p w14:paraId="61EE5E76" w14:textId="77777777" w:rsidR="00422EFE" w:rsidRPr="00261B7A" w:rsidRDefault="00422EFE" w:rsidP="00240807">
            <w:pPr>
              <w:pStyle w:val="TableText"/>
              <w:spacing w:before="30" w:after="30"/>
              <w:jc w:val="right"/>
              <w:rPr>
                <w:szCs w:val="16"/>
              </w:rPr>
            </w:pPr>
            <w:r w:rsidRPr="00261B7A">
              <w:rPr>
                <w:rFonts w:eastAsia="Calibri"/>
                <w:color w:val="000000"/>
                <w:szCs w:val="16"/>
              </w:rPr>
              <w:t>2,512.5</w:t>
            </w:r>
          </w:p>
        </w:tc>
      </w:tr>
      <w:tr w:rsidR="00422EFE" w:rsidRPr="00261B7A" w14:paraId="18876BF2" w14:textId="77777777" w:rsidTr="00D41492">
        <w:tc>
          <w:tcPr>
            <w:tcW w:w="0" w:type="auto"/>
            <w:shd w:val="clear" w:color="auto" w:fill="FFFFFF"/>
            <w:tcMar>
              <w:top w:w="0" w:type="dxa"/>
              <w:left w:w="108" w:type="dxa"/>
              <w:bottom w:w="0" w:type="dxa"/>
              <w:right w:w="108" w:type="dxa"/>
            </w:tcMar>
          </w:tcPr>
          <w:p w14:paraId="01F4054A" w14:textId="77777777" w:rsidR="00422EFE" w:rsidRPr="00261B7A" w:rsidRDefault="00422EFE" w:rsidP="00240807">
            <w:pPr>
              <w:pStyle w:val="TableText"/>
              <w:spacing w:before="30" w:after="30"/>
            </w:pPr>
            <w:r w:rsidRPr="00261B7A">
              <w:rPr>
                <w:rFonts w:eastAsia="Calibri"/>
              </w:rPr>
              <w:t>2012</w:t>
            </w:r>
          </w:p>
        </w:tc>
        <w:tc>
          <w:tcPr>
            <w:tcW w:w="0" w:type="auto"/>
            <w:shd w:val="clear" w:color="auto" w:fill="FFFFFF"/>
            <w:tcMar>
              <w:top w:w="0" w:type="dxa"/>
              <w:left w:w="108" w:type="dxa"/>
              <w:bottom w:w="0" w:type="dxa"/>
              <w:right w:w="108" w:type="dxa"/>
            </w:tcMar>
          </w:tcPr>
          <w:p w14:paraId="097B8D20" w14:textId="77777777" w:rsidR="00422EFE" w:rsidRPr="00261B7A" w:rsidRDefault="00422EFE" w:rsidP="00240807">
            <w:pPr>
              <w:pStyle w:val="TableText"/>
              <w:spacing w:before="30" w:after="30"/>
              <w:jc w:val="right"/>
              <w:rPr>
                <w:szCs w:val="16"/>
              </w:rPr>
            </w:pPr>
            <w:r w:rsidRPr="00261B7A">
              <w:rPr>
                <w:rFonts w:eastAsia="Calibri"/>
                <w:color w:val="000000"/>
                <w:szCs w:val="16"/>
              </w:rPr>
              <w:t>2,335.8</w:t>
            </w:r>
          </w:p>
        </w:tc>
        <w:tc>
          <w:tcPr>
            <w:tcW w:w="0" w:type="auto"/>
            <w:shd w:val="clear" w:color="auto" w:fill="FFFFFF"/>
            <w:tcMar>
              <w:top w:w="0" w:type="dxa"/>
              <w:left w:w="108" w:type="dxa"/>
              <w:bottom w:w="0" w:type="dxa"/>
              <w:right w:w="108" w:type="dxa"/>
            </w:tcMar>
          </w:tcPr>
          <w:p w14:paraId="63E1C2AB" w14:textId="77777777" w:rsidR="00422EFE" w:rsidRPr="00261B7A" w:rsidRDefault="00422EFE" w:rsidP="00240807">
            <w:pPr>
              <w:pStyle w:val="TableText"/>
              <w:spacing w:before="30" w:after="30"/>
              <w:jc w:val="right"/>
              <w:rPr>
                <w:szCs w:val="16"/>
              </w:rPr>
            </w:pPr>
            <w:r w:rsidRPr="00261B7A">
              <w:rPr>
                <w:rFonts w:eastAsia="Calibri"/>
                <w:color w:val="000000"/>
                <w:szCs w:val="16"/>
              </w:rPr>
              <w:t>179.1</w:t>
            </w:r>
          </w:p>
        </w:tc>
        <w:tc>
          <w:tcPr>
            <w:tcW w:w="0" w:type="auto"/>
            <w:shd w:val="clear" w:color="auto" w:fill="FFFFFF"/>
            <w:tcMar>
              <w:top w:w="0" w:type="dxa"/>
              <w:left w:w="108" w:type="dxa"/>
              <w:bottom w:w="0" w:type="dxa"/>
              <w:right w:w="108" w:type="dxa"/>
            </w:tcMar>
          </w:tcPr>
          <w:p w14:paraId="66F5F3E0" w14:textId="77777777" w:rsidR="00422EFE" w:rsidRPr="00261B7A" w:rsidRDefault="00422EFE" w:rsidP="00240807">
            <w:pPr>
              <w:pStyle w:val="TableText"/>
              <w:spacing w:before="30" w:after="30"/>
              <w:jc w:val="right"/>
              <w:rPr>
                <w:szCs w:val="16"/>
              </w:rPr>
            </w:pPr>
            <w:r w:rsidRPr="00261B7A">
              <w:rPr>
                <w:rFonts w:eastAsia="Calibri"/>
                <w:color w:val="000000"/>
                <w:szCs w:val="16"/>
              </w:rPr>
              <w:t>NO</w:t>
            </w:r>
          </w:p>
        </w:tc>
        <w:tc>
          <w:tcPr>
            <w:tcW w:w="0" w:type="auto"/>
            <w:shd w:val="clear" w:color="auto" w:fill="FFFFFF"/>
            <w:tcMar>
              <w:top w:w="0" w:type="dxa"/>
              <w:left w:w="108" w:type="dxa"/>
              <w:bottom w:w="0" w:type="dxa"/>
              <w:right w:w="108" w:type="dxa"/>
            </w:tcMar>
          </w:tcPr>
          <w:p w14:paraId="0499BA29" w14:textId="799E4E16" w:rsidR="00422EFE" w:rsidRPr="00261B7A" w:rsidRDefault="00422EFE" w:rsidP="00240807">
            <w:pPr>
              <w:pStyle w:val="TableText"/>
              <w:spacing w:before="30" w:after="30"/>
              <w:jc w:val="right"/>
              <w:rPr>
                <w:szCs w:val="16"/>
              </w:rPr>
            </w:pPr>
            <w:r w:rsidRPr="00261B7A">
              <w:rPr>
                <w:rFonts w:eastAsia="Calibri"/>
                <w:color w:val="000000"/>
                <w:szCs w:val="16"/>
              </w:rPr>
              <w:t>2,515</w:t>
            </w:r>
            <w:r w:rsidR="004570AC" w:rsidRPr="00261B7A">
              <w:rPr>
                <w:rFonts w:eastAsia="Calibri"/>
                <w:color w:val="000000"/>
                <w:szCs w:val="16"/>
              </w:rPr>
              <w:t>.0</w:t>
            </w:r>
          </w:p>
        </w:tc>
      </w:tr>
      <w:tr w:rsidR="00422EFE" w:rsidRPr="00261B7A" w14:paraId="27886A45" w14:textId="77777777" w:rsidTr="00D41492">
        <w:tc>
          <w:tcPr>
            <w:tcW w:w="0" w:type="auto"/>
            <w:shd w:val="clear" w:color="auto" w:fill="FFFFFF"/>
            <w:tcMar>
              <w:top w:w="0" w:type="dxa"/>
              <w:left w:w="108" w:type="dxa"/>
              <w:bottom w:w="0" w:type="dxa"/>
              <w:right w:w="108" w:type="dxa"/>
            </w:tcMar>
          </w:tcPr>
          <w:p w14:paraId="1E44ED78" w14:textId="77777777" w:rsidR="00422EFE" w:rsidRPr="00261B7A" w:rsidRDefault="00422EFE" w:rsidP="00240807">
            <w:pPr>
              <w:pStyle w:val="TableText"/>
              <w:spacing w:before="30" w:after="30"/>
            </w:pPr>
            <w:r w:rsidRPr="00261B7A">
              <w:rPr>
                <w:rFonts w:eastAsia="Calibri"/>
              </w:rPr>
              <w:t>2013</w:t>
            </w:r>
          </w:p>
        </w:tc>
        <w:tc>
          <w:tcPr>
            <w:tcW w:w="0" w:type="auto"/>
            <w:shd w:val="clear" w:color="auto" w:fill="FFFFFF"/>
            <w:tcMar>
              <w:top w:w="0" w:type="dxa"/>
              <w:left w:w="108" w:type="dxa"/>
              <w:bottom w:w="0" w:type="dxa"/>
              <w:right w:w="108" w:type="dxa"/>
            </w:tcMar>
          </w:tcPr>
          <w:p w14:paraId="5556E42B" w14:textId="77777777" w:rsidR="00422EFE" w:rsidRPr="00261B7A" w:rsidRDefault="00422EFE" w:rsidP="00240807">
            <w:pPr>
              <w:pStyle w:val="TableText"/>
              <w:spacing w:before="30" w:after="30"/>
              <w:jc w:val="right"/>
              <w:rPr>
                <w:szCs w:val="16"/>
              </w:rPr>
            </w:pPr>
            <w:r w:rsidRPr="00261B7A">
              <w:rPr>
                <w:rFonts w:eastAsia="Calibri"/>
                <w:color w:val="000000"/>
                <w:szCs w:val="16"/>
              </w:rPr>
              <w:t>2,524.2</w:t>
            </w:r>
          </w:p>
        </w:tc>
        <w:tc>
          <w:tcPr>
            <w:tcW w:w="0" w:type="auto"/>
            <w:shd w:val="clear" w:color="auto" w:fill="FFFFFF"/>
            <w:tcMar>
              <w:top w:w="0" w:type="dxa"/>
              <w:left w:w="108" w:type="dxa"/>
              <w:bottom w:w="0" w:type="dxa"/>
              <w:right w:w="108" w:type="dxa"/>
            </w:tcMar>
          </w:tcPr>
          <w:p w14:paraId="017C1BB8" w14:textId="77777777" w:rsidR="00422EFE" w:rsidRPr="00261B7A" w:rsidRDefault="00422EFE" w:rsidP="00240807">
            <w:pPr>
              <w:pStyle w:val="TableText"/>
              <w:spacing w:before="30" w:after="30"/>
              <w:jc w:val="right"/>
              <w:rPr>
                <w:szCs w:val="16"/>
              </w:rPr>
            </w:pPr>
            <w:r w:rsidRPr="00261B7A">
              <w:rPr>
                <w:rFonts w:eastAsia="Calibri"/>
                <w:color w:val="000000"/>
                <w:szCs w:val="16"/>
              </w:rPr>
              <w:t>161.2</w:t>
            </w:r>
          </w:p>
        </w:tc>
        <w:tc>
          <w:tcPr>
            <w:tcW w:w="0" w:type="auto"/>
            <w:shd w:val="clear" w:color="auto" w:fill="FFFFFF"/>
            <w:tcMar>
              <w:top w:w="0" w:type="dxa"/>
              <w:left w:w="108" w:type="dxa"/>
              <w:bottom w:w="0" w:type="dxa"/>
              <w:right w:w="108" w:type="dxa"/>
            </w:tcMar>
          </w:tcPr>
          <w:p w14:paraId="11400A02" w14:textId="77777777" w:rsidR="00422EFE" w:rsidRPr="00261B7A" w:rsidRDefault="00422EFE" w:rsidP="00240807">
            <w:pPr>
              <w:pStyle w:val="TableText"/>
              <w:spacing w:before="30" w:after="30"/>
              <w:jc w:val="right"/>
              <w:rPr>
                <w:szCs w:val="16"/>
              </w:rPr>
            </w:pPr>
            <w:r w:rsidRPr="00261B7A">
              <w:rPr>
                <w:rFonts w:eastAsia="Calibri"/>
                <w:color w:val="000000"/>
                <w:szCs w:val="16"/>
              </w:rPr>
              <w:t>NO</w:t>
            </w:r>
          </w:p>
        </w:tc>
        <w:tc>
          <w:tcPr>
            <w:tcW w:w="0" w:type="auto"/>
            <w:shd w:val="clear" w:color="auto" w:fill="FFFFFF"/>
            <w:tcMar>
              <w:top w:w="0" w:type="dxa"/>
              <w:left w:w="108" w:type="dxa"/>
              <w:bottom w:w="0" w:type="dxa"/>
              <w:right w:w="108" w:type="dxa"/>
            </w:tcMar>
          </w:tcPr>
          <w:p w14:paraId="60CCAFFD" w14:textId="77777777" w:rsidR="00422EFE" w:rsidRPr="00261B7A" w:rsidRDefault="00422EFE" w:rsidP="00240807">
            <w:pPr>
              <w:pStyle w:val="TableText"/>
              <w:spacing w:before="30" w:after="30"/>
              <w:jc w:val="right"/>
              <w:rPr>
                <w:szCs w:val="16"/>
              </w:rPr>
            </w:pPr>
            <w:r w:rsidRPr="00261B7A">
              <w:rPr>
                <w:rFonts w:eastAsia="Calibri"/>
                <w:color w:val="000000"/>
                <w:szCs w:val="16"/>
              </w:rPr>
              <w:t>2,685.4</w:t>
            </w:r>
          </w:p>
        </w:tc>
      </w:tr>
      <w:tr w:rsidR="00422EFE" w:rsidRPr="00261B7A" w14:paraId="7AC9E7C6" w14:textId="77777777" w:rsidTr="00D41492">
        <w:tc>
          <w:tcPr>
            <w:tcW w:w="0" w:type="auto"/>
            <w:shd w:val="clear" w:color="auto" w:fill="FFFFFF"/>
            <w:tcMar>
              <w:top w:w="0" w:type="dxa"/>
              <w:left w:w="108" w:type="dxa"/>
              <w:bottom w:w="0" w:type="dxa"/>
              <w:right w:w="108" w:type="dxa"/>
            </w:tcMar>
          </w:tcPr>
          <w:p w14:paraId="3761A3B2" w14:textId="77777777" w:rsidR="00422EFE" w:rsidRPr="00261B7A" w:rsidRDefault="00422EFE" w:rsidP="00240807">
            <w:pPr>
              <w:pStyle w:val="TableText"/>
              <w:spacing w:before="30" w:after="30"/>
            </w:pPr>
            <w:r w:rsidRPr="00261B7A">
              <w:rPr>
                <w:rFonts w:eastAsia="Calibri"/>
              </w:rPr>
              <w:t>2014</w:t>
            </w:r>
          </w:p>
        </w:tc>
        <w:tc>
          <w:tcPr>
            <w:tcW w:w="0" w:type="auto"/>
            <w:shd w:val="clear" w:color="auto" w:fill="FFFFFF"/>
            <w:tcMar>
              <w:top w:w="0" w:type="dxa"/>
              <w:left w:w="108" w:type="dxa"/>
              <w:bottom w:w="0" w:type="dxa"/>
              <w:right w:w="108" w:type="dxa"/>
            </w:tcMar>
          </w:tcPr>
          <w:p w14:paraId="37D1BA35" w14:textId="77777777" w:rsidR="00422EFE" w:rsidRPr="00261B7A" w:rsidRDefault="00422EFE" w:rsidP="00240807">
            <w:pPr>
              <w:pStyle w:val="TableText"/>
              <w:spacing w:before="30" w:after="30"/>
              <w:jc w:val="right"/>
              <w:rPr>
                <w:szCs w:val="16"/>
              </w:rPr>
            </w:pPr>
            <w:r w:rsidRPr="00261B7A">
              <w:rPr>
                <w:rFonts w:eastAsia="Calibri"/>
                <w:color w:val="000000"/>
                <w:szCs w:val="16"/>
              </w:rPr>
              <w:t>2,776.8</w:t>
            </w:r>
          </w:p>
        </w:tc>
        <w:tc>
          <w:tcPr>
            <w:tcW w:w="0" w:type="auto"/>
            <w:shd w:val="clear" w:color="auto" w:fill="FFFFFF"/>
            <w:tcMar>
              <w:top w:w="0" w:type="dxa"/>
              <w:left w:w="108" w:type="dxa"/>
              <w:bottom w:w="0" w:type="dxa"/>
              <w:right w:w="108" w:type="dxa"/>
            </w:tcMar>
          </w:tcPr>
          <w:p w14:paraId="03E1553B" w14:textId="77777777" w:rsidR="00422EFE" w:rsidRPr="00261B7A" w:rsidRDefault="00422EFE" w:rsidP="00240807">
            <w:pPr>
              <w:pStyle w:val="TableText"/>
              <w:spacing w:before="30" w:after="30"/>
              <w:jc w:val="right"/>
              <w:rPr>
                <w:szCs w:val="16"/>
              </w:rPr>
            </w:pPr>
            <w:r w:rsidRPr="00261B7A">
              <w:rPr>
                <w:rFonts w:eastAsia="Calibri"/>
                <w:color w:val="000000"/>
                <w:szCs w:val="16"/>
              </w:rPr>
              <w:t>156.2</w:t>
            </w:r>
          </w:p>
        </w:tc>
        <w:tc>
          <w:tcPr>
            <w:tcW w:w="0" w:type="auto"/>
            <w:shd w:val="clear" w:color="auto" w:fill="FFFFFF"/>
            <w:tcMar>
              <w:top w:w="0" w:type="dxa"/>
              <w:left w:w="108" w:type="dxa"/>
              <w:bottom w:w="0" w:type="dxa"/>
              <w:right w:w="108" w:type="dxa"/>
            </w:tcMar>
          </w:tcPr>
          <w:p w14:paraId="768F60F8" w14:textId="77777777" w:rsidR="00422EFE" w:rsidRPr="00261B7A" w:rsidRDefault="00422EFE" w:rsidP="00240807">
            <w:pPr>
              <w:pStyle w:val="TableText"/>
              <w:spacing w:before="30" w:after="30"/>
              <w:jc w:val="right"/>
              <w:rPr>
                <w:szCs w:val="16"/>
              </w:rPr>
            </w:pPr>
            <w:r w:rsidRPr="00261B7A">
              <w:rPr>
                <w:rFonts w:eastAsia="Calibri"/>
                <w:color w:val="000000"/>
                <w:szCs w:val="16"/>
              </w:rPr>
              <w:t>NO</w:t>
            </w:r>
          </w:p>
        </w:tc>
        <w:tc>
          <w:tcPr>
            <w:tcW w:w="0" w:type="auto"/>
            <w:shd w:val="clear" w:color="auto" w:fill="FFFFFF"/>
            <w:tcMar>
              <w:top w:w="0" w:type="dxa"/>
              <w:left w:w="108" w:type="dxa"/>
              <w:bottom w:w="0" w:type="dxa"/>
              <w:right w:w="108" w:type="dxa"/>
            </w:tcMar>
          </w:tcPr>
          <w:p w14:paraId="7587EE32" w14:textId="77777777" w:rsidR="00422EFE" w:rsidRPr="00261B7A" w:rsidRDefault="00422EFE" w:rsidP="00240807">
            <w:pPr>
              <w:pStyle w:val="TableText"/>
              <w:spacing w:before="30" w:after="30"/>
              <w:jc w:val="right"/>
              <w:rPr>
                <w:szCs w:val="16"/>
              </w:rPr>
            </w:pPr>
            <w:r w:rsidRPr="00261B7A">
              <w:rPr>
                <w:rFonts w:eastAsia="Calibri"/>
                <w:color w:val="000000"/>
                <w:szCs w:val="16"/>
              </w:rPr>
              <w:t>2,933.1</w:t>
            </w:r>
          </w:p>
        </w:tc>
      </w:tr>
      <w:tr w:rsidR="00422EFE" w:rsidRPr="00261B7A" w14:paraId="265745C1" w14:textId="77777777" w:rsidTr="00D41492">
        <w:tc>
          <w:tcPr>
            <w:tcW w:w="0" w:type="auto"/>
            <w:shd w:val="clear" w:color="auto" w:fill="FFFFFF"/>
            <w:tcMar>
              <w:top w:w="0" w:type="dxa"/>
              <w:left w:w="108" w:type="dxa"/>
              <w:bottom w:w="0" w:type="dxa"/>
              <w:right w:w="108" w:type="dxa"/>
            </w:tcMar>
          </w:tcPr>
          <w:p w14:paraId="2ECDA1A0" w14:textId="77777777" w:rsidR="00422EFE" w:rsidRPr="00261B7A" w:rsidRDefault="00422EFE" w:rsidP="00240807">
            <w:pPr>
              <w:pStyle w:val="TableText"/>
              <w:spacing w:before="30" w:after="30"/>
            </w:pPr>
            <w:r w:rsidRPr="00261B7A">
              <w:rPr>
                <w:rFonts w:eastAsia="Calibri"/>
              </w:rPr>
              <w:t>2015</w:t>
            </w:r>
          </w:p>
        </w:tc>
        <w:tc>
          <w:tcPr>
            <w:tcW w:w="0" w:type="auto"/>
            <w:shd w:val="clear" w:color="auto" w:fill="FFFFFF"/>
            <w:tcMar>
              <w:top w:w="0" w:type="dxa"/>
              <w:left w:w="108" w:type="dxa"/>
              <w:bottom w:w="0" w:type="dxa"/>
              <w:right w:w="108" w:type="dxa"/>
            </w:tcMar>
          </w:tcPr>
          <w:p w14:paraId="21BE32FF" w14:textId="77777777" w:rsidR="00422EFE" w:rsidRPr="00261B7A" w:rsidRDefault="00422EFE" w:rsidP="00240807">
            <w:pPr>
              <w:pStyle w:val="TableText"/>
              <w:spacing w:before="30" w:after="30"/>
              <w:jc w:val="right"/>
              <w:rPr>
                <w:szCs w:val="16"/>
              </w:rPr>
            </w:pPr>
            <w:r w:rsidRPr="00261B7A">
              <w:rPr>
                <w:rFonts w:eastAsia="Calibri"/>
                <w:color w:val="000000"/>
                <w:szCs w:val="16"/>
              </w:rPr>
              <w:t>3,053.9</w:t>
            </w:r>
          </w:p>
        </w:tc>
        <w:tc>
          <w:tcPr>
            <w:tcW w:w="0" w:type="auto"/>
            <w:shd w:val="clear" w:color="auto" w:fill="FFFFFF"/>
            <w:tcMar>
              <w:top w:w="0" w:type="dxa"/>
              <w:left w:w="108" w:type="dxa"/>
              <w:bottom w:w="0" w:type="dxa"/>
              <w:right w:w="108" w:type="dxa"/>
            </w:tcMar>
          </w:tcPr>
          <w:p w14:paraId="18B71923" w14:textId="77777777" w:rsidR="00422EFE" w:rsidRPr="00261B7A" w:rsidRDefault="00422EFE" w:rsidP="00240807">
            <w:pPr>
              <w:pStyle w:val="TableText"/>
              <w:spacing w:before="30" w:after="30"/>
              <w:jc w:val="right"/>
              <w:rPr>
                <w:szCs w:val="16"/>
              </w:rPr>
            </w:pPr>
            <w:r w:rsidRPr="00261B7A">
              <w:rPr>
                <w:rFonts w:eastAsia="Calibri"/>
                <w:color w:val="000000"/>
                <w:szCs w:val="16"/>
              </w:rPr>
              <w:t>168.5</w:t>
            </w:r>
          </w:p>
        </w:tc>
        <w:tc>
          <w:tcPr>
            <w:tcW w:w="0" w:type="auto"/>
            <w:shd w:val="clear" w:color="auto" w:fill="FFFFFF"/>
            <w:tcMar>
              <w:top w:w="0" w:type="dxa"/>
              <w:left w:w="108" w:type="dxa"/>
              <w:bottom w:w="0" w:type="dxa"/>
              <w:right w:w="108" w:type="dxa"/>
            </w:tcMar>
          </w:tcPr>
          <w:p w14:paraId="434C058B" w14:textId="77777777" w:rsidR="00422EFE" w:rsidRPr="00261B7A" w:rsidRDefault="00422EFE" w:rsidP="00240807">
            <w:pPr>
              <w:pStyle w:val="TableText"/>
              <w:spacing w:before="30" w:after="30"/>
              <w:jc w:val="right"/>
              <w:rPr>
                <w:szCs w:val="16"/>
              </w:rPr>
            </w:pPr>
            <w:r w:rsidRPr="00261B7A">
              <w:rPr>
                <w:rFonts w:eastAsia="Calibri"/>
                <w:color w:val="000000"/>
                <w:szCs w:val="16"/>
              </w:rPr>
              <w:t>NO</w:t>
            </w:r>
          </w:p>
        </w:tc>
        <w:tc>
          <w:tcPr>
            <w:tcW w:w="0" w:type="auto"/>
            <w:shd w:val="clear" w:color="auto" w:fill="FFFFFF"/>
            <w:tcMar>
              <w:top w:w="0" w:type="dxa"/>
              <w:left w:w="108" w:type="dxa"/>
              <w:bottom w:w="0" w:type="dxa"/>
              <w:right w:w="108" w:type="dxa"/>
            </w:tcMar>
          </w:tcPr>
          <w:p w14:paraId="567D7751" w14:textId="77777777" w:rsidR="00422EFE" w:rsidRPr="00261B7A" w:rsidRDefault="00422EFE" w:rsidP="00240807">
            <w:pPr>
              <w:pStyle w:val="TableText"/>
              <w:spacing w:before="30" w:after="30"/>
              <w:jc w:val="right"/>
              <w:rPr>
                <w:szCs w:val="16"/>
              </w:rPr>
            </w:pPr>
            <w:r w:rsidRPr="00261B7A">
              <w:rPr>
                <w:rFonts w:eastAsia="Calibri"/>
                <w:color w:val="000000"/>
                <w:szCs w:val="16"/>
              </w:rPr>
              <w:t>3,222.4</w:t>
            </w:r>
          </w:p>
        </w:tc>
      </w:tr>
      <w:tr w:rsidR="00422EFE" w:rsidRPr="00261B7A" w14:paraId="414632E4" w14:textId="77777777" w:rsidTr="00D41492">
        <w:tc>
          <w:tcPr>
            <w:tcW w:w="0" w:type="auto"/>
            <w:shd w:val="clear" w:color="auto" w:fill="FFFFFF"/>
            <w:tcMar>
              <w:top w:w="0" w:type="dxa"/>
              <w:left w:w="108" w:type="dxa"/>
              <w:bottom w:w="0" w:type="dxa"/>
              <w:right w:w="108" w:type="dxa"/>
            </w:tcMar>
          </w:tcPr>
          <w:p w14:paraId="7D1BC318" w14:textId="77777777" w:rsidR="00422EFE" w:rsidRPr="00261B7A" w:rsidRDefault="00422EFE" w:rsidP="00240807">
            <w:pPr>
              <w:pStyle w:val="TableText"/>
              <w:spacing w:before="30" w:after="30"/>
            </w:pPr>
            <w:r w:rsidRPr="00261B7A">
              <w:rPr>
                <w:rFonts w:eastAsia="Calibri"/>
              </w:rPr>
              <w:t>2016</w:t>
            </w:r>
          </w:p>
        </w:tc>
        <w:tc>
          <w:tcPr>
            <w:tcW w:w="0" w:type="auto"/>
            <w:shd w:val="clear" w:color="auto" w:fill="FFFFFF"/>
            <w:tcMar>
              <w:top w:w="0" w:type="dxa"/>
              <w:left w:w="108" w:type="dxa"/>
              <w:bottom w:w="0" w:type="dxa"/>
              <w:right w:w="108" w:type="dxa"/>
            </w:tcMar>
          </w:tcPr>
          <w:p w14:paraId="2D186296" w14:textId="77777777" w:rsidR="00422EFE" w:rsidRPr="00261B7A" w:rsidRDefault="00422EFE" w:rsidP="00240807">
            <w:pPr>
              <w:pStyle w:val="TableText"/>
              <w:spacing w:before="30" w:after="30"/>
              <w:jc w:val="right"/>
              <w:rPr>
                <w:szCs w:val="16"/>
              </w:rPr>
            </w:pPr>
            <w:r w:rsidRPr="00261B7A">
              <w:rPr>
                <w:rFonts w:eastAsia="Calibri"/>
                <w:color w:val="000000"/>
                <w:szCs w:val="16"/>
              </w:rPr>
              <w:t>3,232.9</w:t>
            </w:r>
          </w:p>
        </w:tc>
        <w:tc>
          <w:tcPr>
            <w:tcW w:w="0" w:type="auto"/>
            <w:shd w:val="clear" w:color="auto" w:fill="FFFFFF"/>
            <w:tcMar>
              <w:top w:w="0" w:type="dxa"/>
              <w:left w:w="108" w:type="dxa"/>
              <w:bottom w:w="0" w:type="dxa"/>
              <w:right w:w="108" w:type="dxa"/>
            </w:tcMar>
          </w:tcPr>
          <w:p w14:paraId="1B8AD981" w14:textId="77777777" w:rsidR="00422EFE" w:rsidRPr="00261B7A" w:rsidRDefault="00422EFE" w:rsidP="00240807">
            <w:pPr>
              <w:pStyle w:val="TableText"/>
              <w:spacing w:before="30" w:after="30"/>
              <w:jc w:val="right"/>
              <w:rPr>
                <w:szCs w:val="16"/>
              </w:rPr>
            </w:pPr>
            <w:r w:rsidRPr="00261B7A">
              <w:rPr>
                <w:rFonts w:eastAsia="Calibri"/>
                <w:color w:val="000000"/>
                <w:szCs w:val="16"/>
              </w:rPr>
              <w:t>172.1</w:t>
            </w:r>
          </w:p>
        </w:tc>
        <w:tc>
          <w:tcPr>
            <w:tcW w:w="0" w:type="auto"/>
            <w:shd w:val="clear" w:color="auto" w:fill="FFFFFF"/>
            <w:tcMar>
              <w:top w:w="0" w:type="dxa"/>
              <w:left w:w="108" w:type="dxa"/>
              <w:bottom w:w="0" w:type="dxa"/>
              <w:right w:w="108" w:type="dxa"/>
            </w:tcMar>
          </w:tcPr>
          <w:p w14:paraId="38C6E881" w14:textId="77777777" w:rsidR="00422EFE" w:rsidRPr="00261B7A" w:rsidRDefault="00422EFE" w:rsidP="00240807">
            <w:pPr>
              <w:pStyle w:val="TableText"/>
              <w:spacing w:before="30" w:after="30"/>
              <w:jc w:val="right"/>
              <w:rPr>
                <w:szCs w:val="16"/>
              </w:rPr>
            </w:pPr>
            <w:r w:rsidRPr="00261B7A">
              <w:rPr>
                <w:rFonts w:eastAsia="Calibri"/>
                <w:color w:val="000000"/>
                <w:szCs w:val="16"/>
              </w:rPr>
              <w:t>NO</w:t>
            </w:r>
          </w:p>
        </w:tc>
        <w:tc>
          <w:tcPr>
            <w:tcW w:w="0" w:type="auto"/>
            <w:shd w:val="clear" w:color="auto" w:fill="FFFFFF"/>
            <w:tcMar>
              <w:top w:w="0" w:type="dxa"/>
              <w:left w:w="108" w:type="dxa"/>
              <w:bottom w:w="0" w:type="dxa"/>
              <w:right w:w="108" w:type="dxa"/>
            </w:tcMar>
          </w:tcPr>
          <w:p w14:paraId="41D27102" w14:textId="77777777" w:rsidR="00422EFE" w:rsidRPr="00261B7A" w:rsidRDefault="00422EFE" w:rsidP="00240807">
            <w:pPr>
              <w:pStyle w:val="TableText"/>
              <w:spacing w:before="30" w:after="30"/>
              <w:jc w:val="right"/>
              <w:rPr>
                <w:szCs w:val="16"/>
              </w:rPr>
            </w:pPr>
            <w:r w:rsidRPr="00261B7A">
              <w:rPr>
                <w:rFonts w:eastAsia="Calibri"/>
                <w:color w:val="000000"/>
                <w:szCs w:val="16"/>
              </w:rPr>
              <w:t>3,404.9</w:t>
            </w:r>
          </w:p>
        </w:tc>
      </w:tr>
      <w:tr w:rsidR="00422EFE" w:rsidRPr="00261B7A" w14:paraId="182E2005" w14:textId="77777777" w:rsidTr="00D41492">
        <w:tc>
          <w:tcPr>
            <w:tcW w:w="0" w:type="auto"/>
            <w:shd w:val="clear" w:color="auto" w:fill="FFFFFF"/>
            <w:tcMar>
              <w:top w:w="0" w:type="dxa"/>
              <w:left w:w="108" w:type="dxa"/>
              <w:bottom w:w="0" w:type="dxa"/>
              <w:right w:w="108" w:type="dxa"/>
            </w:tcMar>
          </w:tcPr>
          <w:p w14:paraId="3D1B3483" w14:textId="77777777" w:rsidR="00422EFE" w:rsidRPr="00261B7A" w:rsidRDefault="00422EFE" w:rsidP="00240807">
            <w:pPr>
              <w:pStyle w:val="TableText"/>
              <w:spacing w:before="30" w:after="30"/>
            </w:pPr>
            <w:r w:rsidRPr="00261B7A">
              <w:rPr>
                <w:rFonts w:eastAsia="Calibri"/>
              </w:rPr>
              <w:t>2017</w:t>
            </w:r>
          </w:p>
        </w:tc>
        <w:tc>
          <w:tcPr>
            <w:tcW w:w="0" w:type="auto"/>
            <w:shd w:val="clear" w:color="auto" w:fill="FFFFFF"/>
            <w:tcMar>
              <w:top w:w="0" w:type="dxa"/>
              <w:left w:w="108" w:type="dxa"/>
              <w:bottom w:w="0" w:type="dxa"/>
              <w:right w:w="108" w:type="dxa"/>
            </w:tcMar>
          </w:tcPr>
          <w:p w14:paraId="57BA5DB4" w14:textId="77777777" w:rsidR="00422EFE" w:rsidRPr="00261B7A" w:rsidRDefault="00422EFE" w:rsidP="00240807">
            <w:pPr>
              <w:pStyle w:val="TableText"/>
              <w:spacing w:before="30" w:after="30"/>
              <w:jc w:val="right"/>
              <w:rPr>
                <w:szCs w:val="16"/>
              </w:rPr>
            </w:pPr>
            <w:r w:rsidRPr="00261B7A">
              <w:rPr>
                <w:rFonts w:eastAsia="Calibri"/>
                <w:color w:val="000000"/>
                <w:szCs w:val="16"/>
              </w:rPr>
              <w:t>3,349.1</w:t>
            </w:r>
          </w:p>
        </w:tc>
        <w:tc>
          <w:tcPr>
            <w:tcW w:w="0" w:type="auto"/>
            <w:shd w:val="clear" w:color="auto" w:fill="FFFFFF"/>
            <w:tcMar>
              <w:top w:w="0" w:type="dxa"/>
              <w:left w:w="108" w:type="dxa"/>
              <w:bottom w:w="0" w:type="dxa"/>
              <w:right w:w="108" w:type="dxa"/>
            </w:tcMar>
          </w:tcPr>
          <w:p w14:paraId="23A9B39C" w14:textId="77777777" w:rsidR="00422EFE" w:rsidRPr="00261B7A" w:rsidRDefault="00422EFE" w:rsidP="00240807">
            <w:pPr>
              <w:pStyle w:val="TableText"/>
              <w:spacing w:before="30" w:after="30"/>
              <w:jc w:val="right"/>
              <w:rPr>
                <w:szCs w:val="16"/>
              </w:rPr>
            </w:pPr>
            <w:r w:rsidRPr="00261B7A">
              <w:rPr>
                <w:rFonts w:eastAsia="Calibri"/>
                <w:color w:val="000000"/>
                <w:szCs w:val="16"/>
              </w:rPr>
              <w:t>145.2</w:t>
            </w:r>
          </w:p>
        </w:tc>
        <w:tc>
          <w:tcPr>
            <w:tcW w:w="0" w:type="auto"/>
            <w:shd w:val="clear" w:color="auto" w:fill="FFFFFF"/>
            <w:tcMar>
              <w:top w:w="0" w:type="dxa"/>
              <w:left w:w="108" w:type="dxa"/>
              <w:bottom w:w="0" w:type="dxa"/>
              <w:right w:w="108" w:type="dxa"/>
            </w:tcMar>
          </w:tcPr>
          <w:p w14:paraId="405C2CC2" w14:textId="77777777" w:rsidR="00422EFE" w:rsidRPr="00261B7A" w:rsidRDefault="00422EFE" w:rsidP="00240807">
            <w:pPr>
              <w:pStyle w:val="TableText"/>
              <w:spacing w:before="30" w:after="30"/>
              <w:jc w:val="right"/>
              <w:rPr>
                <w:szCs w:val="16"/>
              </w:rPr>
            </w:pPr>
            <w:r w:rsidRPr="00261B7A">
              <w:rPr>
                <w:rFonts w:eastAsia="Calibri"/>
                <w:color w:val="000000"/>
                <w:szCs w:val="16"/>
              </w:rPr>
              <w:t>NO</w:t>
            </w:r>
          </w:p>
        </w:tc>
        <w:tc>
          <w:tcPr>
            <w:tcW w:w="0" w:type="auto"/>
            <w:shd w:val="clear" w:color="auto" w:fill="FFFFFF"/>
            <w:tcMar>
              <w:top w:w="0" w:type="dxa"/>
              <w:left w:w="108" w:type="dxa"/>
              <w:bottom w:w="0" w:type="dxa"/>
              <w:right w:w="108" w:type="dxa"/>
            </w:tcMar>
          </w:tcPr>
          <w:p w14:paraId="2B2DD416" w14:textId="77777777" w:rsidR="00422EFE" w:rsidRPr="00261B7A" w:rsidRDefault="00422EFE" w:rsidP="00240807">
            <w:pPr>
              <w:pStyle w:val="TableText"/>
              <w:spacing w:before="30" w:after="30"/>
              <w:jc w:val="right"/>
              <w:rPr>
                <w:szCs w:val="16"/>
              </w:rPr>
            </w:pPr>
            <w:r w:rsidRPr="00261B7A">
              <w:rPr>
                <w:rFonts w:eastAsia="Calibri"/>
                <w:color w:val="000000"/>
                <w:szCs w:val="16"/>
              </w:rPr>
              <w:t>3,494.3</w:t>
            </w:r>
          </w:p>
        </w:tc>
      </w:tr>
      <w:tr w:rsidR="00422EFE" w:rsidRPr="00261B7A" w14:paraId="065CD9D1" w14:textId="77777777" w:rsidTr="00D41492">
        <w:tc>
          <w:tcPr>
            <w:tcW w:w="0" w:type="auto"/>
            <w:shd w:val="clear" w:color="auto" w:fill="FFFFFF"/>
            <w:tcMar>
              <w:top w:w="0" w:type="dxa"/>
              <w:left w:w="108" w:type="dxa"/>
              <w:bottom w:w="0" w:type="dxa"/>
              <w:right w:w="108" w:type="dxa"/>
            </w:tcMar>
          </w:tcPr>
          <w:p w14:paraId="3C8F12FE" w14:textId="77777777" w:rsidR="00422EFE" w:rsidRPr="00261B7A" w:rsidRDefault="00422EFE" w:rsidP="00240807">
            <w:pPr>
              <w:pStyle w:val="TableText"/>
              <w:spacing w:before="30" w:after="30"/>
            </w:pPr>
            <w:r w:rsidRPr="00261B7A">
              <w:rPr>
                <w:rFonts w:eastAsia="Calibri"/>
              </w:rPr>
              <w:t>2018</w:t>
            </w:r>
          </w:p>
        </w:tc>
        <w:tc>
          <w:tcPr>
            <w:tcW w:w="0" w:type="auto"/>
            <w:shd w:val="clear" w:color="auto" w:fill="FFFFFF"/>
            <w:tcMar>
              <w:top w:w="0" w:type="dxa"/>
              <w:left w:w="108" w:type="dxa"/>
              <w:bottom w:w="0" w:type="dxa"/>
              <w:right w:w="108" w:type="dxa"/>
            </w:tcMar>
          </w:tcPr>
          <w:p w14:paraId="57D8766F" w14:textId="77777777" w:rsidR="00422EFE" w:rsidRPr="00261B7A" w:rsidRDefault="00422EFE" w:rsidP="00240807">
            <w:pPr>
              <w:pStyle w:val="TableText"/>
              <w:spacing w:before="30" w:after="30"/>
              <w:jc w:val="right"/>
              <w:rPr>
                <w:szCs w:val="16"/>
              </w:rPr>
            </w:pPr>
            <w:r w:rsidRPr="00261B7A">
              <w:rPr>
                <w:rFonts w:eastAsia="Calibri"/>
                <w:color w:val="000000"/>
                <w:szCs w:val="16"/>
              </w:rPr>
              <w:t>3,610.1</w:t>
            </w:r>
          </w:p>
        </w:tc>
        <w:tc>
          <w:tcPr>
            <w:tcW w:w="0" w:type="auto"/>
            <w:shd w:val="clear" w:color="auto" w:fill="FFFFFF"/>
            <w:tcMar>
              <w:top w:w="0" w:type="dxa"/>
              <w:left w:w="108" w:type="dxa"/>
              <w:bottom w:w="0" w:type="dxa"/>
              <w:right w:w="108" w:type="dxa"/>
            </w:tcMar>
          </w:tcPr>
          <w:p w14:paraId="26446A33" w14:textId="77777777" w:rsidR="00422EFE" w:rsidRPr="00261B7A" w:rsidRDefault="00422EFE" w:rsidP="00240807">
            <w:pPr>
              <w:pStyle w:val="TableText"/>
              <w:spacing w:before="30" w:after="30"/>
              <w:jc w:val="right"/>
              <w:rPr>
                <w:szCs w:val="16"/>
              </w:rPr>
            </w:pPr>
            <w:r w:rsidRPr="00261B7A">
              <w:rPr>
                <w:rFonts w:eastAsia="Calibri"/>
                <w:color w:val="000000"/>
                <w:szCs w:val="16"/>
              </w:rPr>
              <w:t>95.1</w:t>
            </w:r>
          </w:p>
        </w:tc>
        <w:tc>
          <w:tcPr>
            <w:tcW w:w="0" w:type="auto"/>
            <w:shd w:val="clear" w:color="auto" w:fill="FFFFFF"/>
            <w:tcMar>
              <w:top w:w="0" w:type="dxa"/>
              <w:left w:w="108" w:type="dxa"/>
              <w:bottom w:w="0" w:type="dxa"/>
              <w:right w:w="108" w:type="dxa"/>
            </w:tcMar>
          </w:tcPr>
          <w:p w14:paraId="29AAF341" w14:textId="77777777" w:rsidR="00422EFE" w:rsidRPr="00261B7A" w:rsidRDefault="00422EFE" w:rsidP="00240807">
            <w:pPr>
              <w:pStyle w:val="TableText"/>
              <w:spacing w:before="30" w:after="30"/>
              <w:jc w:val="right"/>
              <w:rPr>
                <w:szCs w:val="16"/>
              </w:rPr>
            </w:pPr>
            <w:r w:rsidRPr="00261B7A">
              <w:rPr>
                <w:rFonts w:eastAsia="Calibri"/>
                <w:color w:val="000000"/>
                <w:szCs w:val="16"/>
              </w:rPr>
              <w:t>NO</w:t>
            </w:r>
          </w:p>
        </w:tc>
        <w:tc>
          <w:tcPr>
            <w:tcW w:w="0" w:type="auto"/>
            <w:shd w:val="clear" w:color="auto" w:fill="FFFFFF"/>
            <w:tcMar>
              <w:top w:w="0" w:type="dxa"/>
              <w:left w:w="108" w:type="dxa"/>
              <w:bottom w:w="0" w:type="dxa"/>
              <w:right w:w="108" w:type="dxa"/>
            </w:tcMar>
          </w:tcPr>
          <w:p w14:paraId="1E42DE74" w14:textId="77777777" w:rsidR="00422EFE" w:rsidRPr="00261B7A" w:rsidRDefault="00422EFE" w:rsidP="00240807">
            <w:pPr>
              <w:pStyle w:val="TableText"/>
              <w:spacing w:before="30" w:after="30"/>
              <w:jc w:val="right"/>
              <w:rPr>
                <w:szCs w:val="16"/>
              </w:rPr>
            </w:pPr>
            <w:r w:rsidRPr="00261B7A">
              <w:rPr>
                <w:rFonts w:eastAsia="Calibri"/>
                <w:color w:val="000000"/>
                <w:szCs w:val="16"/>
              </w:rPr>
              <w:t>3,705.3</w:t>
            </w:r>
          </w:p>
        </w:tc>
      </w:tr>
      <w:tr w:rsidR="00422EFE" w:rsidRPr="00261B7A" w14:paraId="3458A2D0" w14:textId="77777777" w:rsidTr="00D41492">
        <w:tc>
          <w:tcPr>
            <w:tcW w:w="0" w:type="auto"/>
            <w:shd w:val="clear" w:color="auto" w:fill="FFFFFF"/>
            <w:tcMar>
              <w:top w:w="0" w:type="dxa"/>
              <w:left w:w="108" w:type="dxa"/>
              <w:bottom w:w="0" w:type="dxa"/>
              <w:right w:w="108" w:type="dxa"/>
            </w:tcMar>
          </w:tcPr>
          <w:p w14:paraId="331CD9F4" w14:textId="77777777" w:rsidR="00422EFE" w:rsidRPr="00261B7A" w:rsidRDefault="00422EFE" w:rsidP="00240807">
            <w:pPr>
              <w:pStyle w:val="TableText"/>
              <w:spacing w:before="30" w:after="30"/>
            </w:pPr>
            <w:r w:rsidRPr="00261B7A">
              <w:rPr>
                <w:rFonts w:eastAsia="Calibri"/>
              </w:rPr>
              <w:t>2019</w:t>
            </w:r>
          </w:p>
        </w:tc>
        <w:tc>
          <w:tcPr>
            <w:tcW w:w="0" w:type="auto"/>
            <w:shd w:val="clear" w:color="auto" w:fill="FFFFFF"/>
            <w:tcMar>
              <w:top w:w="0" w:type="dxa"/>
              <w:left w:w="108" w:type="dxa"/>
              <w:bottom w:w="0" w:type="dxa"/>
              <w:right w:w="108" w:type="dxa"/>
            </w:tcMar>
          </w:tcPr>
          <w:p w14:paraId="74E233DD" w14:textId="77777777" w:rsidR="00422EFE" w:rsidRPr="00261B7A" w:rsidRDefault="00422EFE" w:rsidP="00240807">
            <w:pPr>
              <w:pStyle w:val="TableText"/>
              <w:spacing w:before="30" w:after="30"/>
              <w:jc w:val="right"/>
              <w:rPr>
                <w:szCs w:val="16"/>
              </w:rPr>
            </w:pPr>
            <w:r w:rsidRPr="00261B7A">
              <w:rPr>
                <w:rFonts w:eastAsia="Calibri"/>
                <w:color w:val="000000"/>
                <w:szCs w:val="16"/>
              </w:rPr>
              <w:t>3,405.8</w:t>
            </w:r>
          </w:p>
        </w:tc>
        <w:tc>
          <w:tcPr>
            <w:tcW w:w="0" w:type="auto"/>
            <w:shd w:val="clear" w:color="auto" w:fill="FFFFFF"/>
            <w:tcMar>
              <w:top w:w="0" w:type="dxa"/>
              <w:left w:w="108" w:type="dxa"/>
              <w:bottom w:w="0" w:type="dxa"/>
              <w:right w:w="108" w:type="dxa"/>
            </w:tcMar>
          </w:tcPr>
          <w:p w14:paraId="24EC9767" w14:textId="77777777" w:rsidR="00422EFE" w:rsidRPr="00261B7A" w:rsidRDefault="00422EFE" w:rsidP="00240807">
            <w:pPr>
              <w:pStyle w:val="TableText"/>
              <w:spacing w:before="30" w:after="30"/>
              <w:jc w:val="right"/>
              <w:rPr>
                <w:szCs w:val="16"/>
              </w:rPr>
            </w:pPr>
            <w:r w:rsidRPr="00261B7A">
              <w:rPr>
                <w:rFonts w:eastAsia="Calibri"/>
                <w:color w:val="000000"/>
                <w:szCs w:val="16"/>
              </w:rPr>
              <w:t>93.9</w:t>
            </w:r>
          </w:p>
        </w:tc>
        <w:tc>
          <w:tcPr>
            <w:tcW w:w="0" w:type="auto"/>
            <w:shd w:val="clear" w:color="auto" w:fill="FFFFFF"/>
            <w:tcMar>
              <w:top w:w="0" w:type="dxa"/>
              <w:left w:w="108" w:type="dxa"/>
              <w:bottom w:w="0" w:type="dxa"/>
              <w:right w:w="108" w:type="dxa"/>
            </w:tcMar>
          </w:tcPr>
          <w:p w14:paraId="23791679" w14:textId="77777777" w:rsidR="00422EFE" w:rsidRPr="00261B7A" w:rsidRDefault="00422EFE" w:rsidP="00240807">
            <w:pPr>
              <w:pStyle w:val="TableText"/>
              <w:spacing w:before="30" w:after="30"/>
              <w:jc w:val="right"/>
              <w:rPr>
                <w:szCs w:val="16"/>
              </w:rPr>
            </w:pPr>
            <w:r w:rsidRPr="00261B7A">
              <w:rPr>
                <w:rFonts w:eastAsia="Calibri"/>
                <w:color w:val="000000"/>
                <w:szCs w:val="16"/>
              </w:rPr>
              <w:t>NO</w:t>
            </w:r>
          </w:p>
        </w:tc>
        <w:tc>
          <w:tcPr>
            <w:tcW w:w="0" w:type="auto"/>
            <w:shd w:val="clear" w:color="auto" w:fill="FFFFFF"/>
            <w:tcMar>
              <w:top w:w="0" w:type="dxa"/>
              <w:left w:w="108" w:type="dxa"/>
              <w:bottom w:w="0" w:type="dxa"/>
              <w:right w:w="108" w:type="dxa"/>
            </w:tcMar>
          </w:tcPr>
          <w:p w14:paraId="775FE171" w14:textId="77777777" w:rsidR="00422EFE" w:rsidRPr="00261B7A" w:rsidRDefault="00422EFE" w:rsidP="00240807">
            <w:pPr>
              <w:pStyle w:val="TableText"/>
              <w:spacing w:before="30" w:after="30"/>
              <w:jc w:val="right"/>
              <w:rPr>
                <w:szCs w:val="16"/>
              </w:rPr>
            </w:pPr>
            <w:r w:rsidRPr="00261B7A">
              <w:rPr>
                <w:rFonts w:eastAsia="Calibri"/>
                <w:color w:val="000000"/>
                <w:szCs w:val="16"/>
              </w:rPr>
              <w:t>3,499.7</w:t>
            </w:r>
          </w:p>
        </w:tc>
      </w:tr>
      <w:tr w:rsidR="00422EFE" w:rsidRPr="00261B7A" w14:paraId="526B19C7" w14:textId="77777777" w:rsidTr="00D41492">
        <w:tc>
          <w:tcPr>
            <w:tcW w:w="0" w:type="auto"/>
            <w:shd w:val="clear" w:color="auto" w:fill="FFFFFF"/>
            <w:tcMar>
              <w:top w:w="0" w:type="dxa"/>
              <w:left w:w="108" w:type="dxa"/>
              <w:bottom w:w="0" w:type="dxa"/>
              <w:right w:w="108" w:type="dxa"/>
            </w:tcMar>
          </w:tcPr>
          <w:p w14:paraId="476ADBA8" w14:textId="77777777" w:rsidR="00422EFE" w:rsidRPr="00261B7A" w:rsidRDefault="00422EFE" w:rsidP="00240807">
            <w:pPr>
              <w:pStyle w:val="TableText"/>
              <w:spacing w:before="30" w:after="30"/>
            </w:pPr>
            <w:r w:rsidRPr="00261B7A">
              <w:rPr>
                <w:rFonts w:eastAsia="Calibri"/>
              </w:rPr>
              <w:t>2020</w:t>
            </w:r>
          </w:p>
        </w:tc>
        <w:tc>
          <w:tcPr>
            <w:tcW w:w="0" w:type="auto"/>
            <w:shd w:val="clear" w:color="auto" w:fill="FFFFFF"/>
            <w:tcMar>
              <w:top w:w="0" w:type="dxa"/>
              <w:left w:w="108" w:type="dxa"/>
              <w:bottom w:w="0" w:type="dxa"/>
              <w:right w:w="108" w:type="dxa"/>
            </w:tcMar>
          </w:tcPr>
          <w:p w14:paraId="69798A8E" w14:textId="77777777" w:rsidR="00422EFE" w:rsidRPr="00261B7A" w:rsidRDefault="00422EFE" w:rsidP="00240807">
            <w:pPr>
              <w:pStyle w:val="TableText"/>
              <w:spacing w:before="30" w:after="30"/>
              <w:jc w:val="right"/>
              <w:rPr>
                <w:szCs w:val="16"/>
              </w:rPr>
            </w:pPr>
            <w:r w:rsidRPr="00261B7A">
              <w:rPr>
                <w:rFonts w:eastAsia="Calibri"/>
                <w:color w:val="000000"/>
                <w:szCs w:val="16"/>
              </w:rPr>
              <w:t>3,297.2</w:t>
            </w:r>
          </w:p>
        </w:tc>
        <w:tc>
          <w:tcPr>
            <w:tcW w:w="0" w:type="auto"/>
            <w:shd w:val="clear" w:color="auto" w:fill="FFFFFF"/>
            <w:tcMar>
              <w:top w:w="0" w:type="dxa"/>
              <w:left w:w="108" w:type="dxa"/>
              <w:bottom w:w="0" w:type="dxa"/>
              <w:right w:w="108" w:type="dxa"/>
            </w:tcMar>
          </w:tcPr>
          <w:p w14:paraId="76C55135" w14:textId="77777777" w:rsidR="00422EFE" w:rsidRPr="00261B7A" w:rsidRDefault="00422EFE" w:rsidP="00240807">
            <w:pPr>
              <w:pStyle w:val="TableText"/>
              <w:spacing w:before="30" w:after="30"/>
              <w:jc w:val="right"/>
              <w:rPr>
                <w:szCs w:val="16"/>
              </w:rPr>
            </w:pPr>
            <w:r w:rsidRPr="00261B7A">
              <w:rPr>
                <w:rFonts w:eastAsia="Calibri"/>
                <w:color w:val="000000"/>
                <w:szCs w:val="16"/>
              </w:rPr>
              <w:t>85.8</w:t>
            </w:r>
          </w:p>
        </w:tc>
        <w:tc>
          <w:tcPr>
            <w:tcW w:w="0" w:type="auto"/>
            <w:shd w:val="clear" w:color="auto" w:fill="FFFFFF"/>
            <w:tcMar>
              <w:top w:w="0" w:type="dxa"/>
              <w:left w:w="108" w:type="dxa"/>
              <w:bottom w:w="0" w:type="dxa"/>
              <w:right w:w="108" w:type="dxa"/>
            </w:tcMar>
          </w:tcPr>
          <w:p w14:paraId="0AC9667A" w14:textId="77777777" w:rsidR="00422EFE" w:rsidRPr="00261B7A" w:rsidRDefault="00422EFE" w:rsidP="00240807">
            <w:pPr>
              <w:pStyle w:val="TableText"/>
              <w:spacing w:before="30" w:after="30"/>
              <w:jc w:val="right"/>
              <w:rPr>
                <w:szCs w:val="16"/>
              </w:rPr>
            </w:pPr>
            <w:r w:rsidRPr="00261B7A">
              <w:rPr>
                <w:rFonts w:eastAsia="Calibri"/>
                <w:color w:val="000000"/>
                <w:szCs w:val="16"/>
              </w:rPr>
              <w:t>NO</w:t>
            </w:r>
          </w:p>
        </w:tc>
        <w:tc>
          <w:tcPr>
            <w:tcW w:w="0" w:type="auto"/>
            <w:shd w:val="clear" w:color="auto" w:fill="FFFFFF"/>
            <w:tcMar>
              <w:top w:w="0" w:type="dxa"/>
              <w:left w:w="108" w:type="dxa"/>
              <w:bottom w:w="0" w:type="dxa"/>
              <w:right w:w="108" w:type="dxa"/>
            </w:tcMar>
          </w:tcPr>
          <w:p w14:paraId="6B6D127C" w14:textId="77777777" w:rsidR="00422EFE" w:rsidRPr="00261B7A" w:rsidRDefault="00422EFE" w:rsidP="00240807">
            <w:pPr>
              <w:pStyle w:val="TableText"/>
              <w:spacing w:before="30" w:after="30"/>
              <w:jc w:val="right"/>
              <w:rPr>
                <w:szCs w:val="16"/>
              </w:rPr>
            </w:pPr>
            <w:r w:rsidRPr="00261B7A">
              <w:rPr>
                <w:rFonts w:eastAsia="Calibri"/>
                <w:color w:val="000000"/>
                <w:szCs w:val="16"/>
              </w:rPr>
              <w:t>3,382.9</w:t>
            </w:r>
          </w:p>
        </w:tc>
      </w:tr>
      <w:tr w:rsidR="00422EFE" w:rsidRPr="00261B7A" w14:paraId="7C67706F" w14:textId="77777777" w:rsidTr="00D41492">
        <w:tc>
          <w:tcPr>
            <w:tcW w:w="0" w:type="auto"/>
            <w:shd w:val="clear" w:color="auto" w:fill="FFFFFF"/>
            <w:tcMar>
              <w:top w:w="0" w:type="dxa"/>
              <w:left w:w="108" w:type="dxa"/>
              <w:bottom w:w="0" w:type="dxa"/>
              <w:right w:w="108" w:type="dxa"/>
            </w:tcMar>
          </w:tcPr>
          <w:p w14:paraId="71C8D583" w14:textId="77777777" w:rsidR="00422EFE" w:rsidRPr="00261B7A" w:rsidRDefault="00422EFE" w:rsidP="00240807">
            <w:pPr>
              <w:pStyle w:val="TableText"/>
              <w:spacing w:before="30" w:after="30"/>
            </w:pPr>
            <w:r w:rsidRPr="00261B7A">
              <w:rPr>
                <w:rFonts w:eastAsia="Calibri"/>
              </w:rPr>
              <w:t>2021</w:t>
            </w:r>
          </w:p>
        </w:tc>
        <w:tc>
          <w:tcPr>
            <w:tcW w:w="0" w:type="auto"/>
            <w:shd w:val="clear" w:color="auto" w:fill="FFFFFF"/>
            <w:tcMar>
              <w:top w:w="0" w:type="dxa"/>
              <w:left w:w="108" w:type="dxa"/>
              <w:bottom w:w="0" w:type="dxa"/>
              <w:right w:w="108" w:type="dxa"/>
            </w:tcMar>
          </w:tcPr>
          <w:p w14:paraId="40B3E3D9" w14:textId="77777777" w:rsidR="00422EFE" w:rsidRPr="00261B7A" w:rsidRDefault="00422EFE" w:rsidP="00240807">
            <w:pPr>
              <w:pStyle w:val="TableText"/>
              <w:spacing w:before="30" w:after="30"/>
              <w:jc w:val="right"/>
              <w:rPr>
                <w:szCs w:val="16"/>
              </w:rPr>
            </w:pPr>
            <w:r w:rsidRPr="00261B7A">
              <w:rPr>
                <w:rFonts w:eastAsia="Calibri"/>
                <w:color w:val="000000"/>
                <w:szCs w:val="16"/>
              </w:rPr>
              <w:t>3,424.8</w:t>
            </w:r>
          </w:p>
        </w:tc>
        <w:tc>
          <w:tcPr>
            <w:tcW w:w="0" w:type="auto"/>
            <w:shd w:val="clear" w:color="auto" w:fill="FFFFFF"/>
            <w:tcMar>
              <w:top w:w="0" w:type="dxa"/>
              <w:left w:w="108" w:type="dxa"/>
              <w:bottom w:w="0" w:type="dxa"/>
              <w:right w:w="108" w:type="dxa"/>
            </w:tcMar>
          </w:tcPr>
          <w:p w14:paraId="5038CCFB" w14:textId="259AFCB5" w:rsidR="00422EFE" w:rsidRPr="00261B7A" w:rsidRDefault="00422EFE" w:rsidP="00240807">
            <w:pPr>
              <w:pStyle w:val="TableText"/>
              <w:spacing w:before="30" w:after="30"/>
              <w:jc w:val="right"/>
              <w:rPr>
                <w:szCs w:val="16"/>
              </w:rPr>
            </w:pPr>
            <w:r w:rsidRPr="00261B7A">
              <w:rPr>
                <w:rFonts w:eastAsia="Calibri"/>
                <w:color w:val="000000"/>
                <w:szCs w:val="16"/>
              </w:rPr>
              <w:t>113</w:t>
            </w:r>
            <w:r w:rsidR="00945342" w:rsidRPr="00261B7A">
              <w:rPr>
                <w:rFonts w:eastAsia="Calibri"/>
                <w:color w:val="000000"/>
                <w:szCs w:val="16"/>
              </w:rPr>
              <w:t>.0</w:t>
            </w:r>
          </w:p>
        </w:tc>
        <w:tc>
          <w:tcPr>
            <w:tcW w:w="0" w:type="auto"/>
            <w:shd w:val="clear" w:color="auto" w:fill="FFFFFF"/>
            <w:tcMar>
              <w:top w:w="0" w:type="dxa"/>
              <w:left w:w="108" w:type="dxa"/>
              <w:bottom w:w="0" w:type="dxa"/>
              <w:right w:w="108" w:type="dxa"/>
            </w:tcMar>
          </w:tcPr>
          <w:p w14:paraId="2E1C8829" w14:textId="77777777" w:rsidR="00422EFE" w:rsidRPr="00261B7A" w:rsidRDefault="00422EFE" w:rsidP="00240807">
            <w:pPr>
              <w:pStyle w:val="TableText"/>
              <w:spacing w:before="30" w:after="30"/>
              <w:jc w:val="right"/>
              <w:rPr>
                <w:szCs w:val="16"/>
              </w:rPr>
            </w:pPr>
            <w:r w:rsidRPr="00261B7A">
              <w:rPr>
                <w:rFonts w:eastAsia="Calibri"/>
                <w:color w:val="000000"/>
                <w:szCs w:val="16"/>
              </w:rPr>
              <w:t>NO</w:t>
            </w:r>
          </w:p>
        </w:tc>
        <w:tc>
          <w:tcPr>
            <w:tcW w:w="0" w:type="auto"/>
            <w:shd w:val="clear" w:color="auto" w:fill="FFFFFF"/>
            <w:tcMar>
              <w:top w:w="0" w:type="dxa"/>
              <w:left w:w="108" w:type="dxa"/>
              <w:bottom w:w="0" w:type="dxa"/>
              <w:right w:w="108" w:type="dxa"/>
            </w:tcMar>
          </w:tcPr>
          <w:p w14:paraId="17A0519B" w14:textId="77777777" w:rsidR="00422EFE" w:rsidRPr="00261B7A" w:rsidRDefault="00422EFE" w:rsidP="00240807">
            <w:pPr>
              <w:pStyle w:val="TableText"/>
              <w:spacing w:before="30" w:after="30"/>
              <w:jc w:val="right"/>
              <w:rPr>
                <w:szCs w:val="16"/>
              </w:rPr>
            </w:pPr>
            <w:r w:rsidRPr="00261B7A">
              <w:rPr>
                <w:rFonts w:eastAsia="Calibri"/>
                <w:color w:val="000000"/>
                <w:szCs w:val="16"/>
              </w:rPr>
              <w:t>3,537.8</w:t>
            </w:r>
          </w:p>
        </w:tc>
      </w:tr>
    </w:tbl>
    <w:p w14:paraId="27515D51" w14:textId="77777777" w:rsidR="00422EFE" w:rsidRPr="00261B7A" w:rsidRDefault="00422EFE" w:rsidP="00422EFE">
      <w:pPr>
        <w:pStyle w:val="Noteundertable"/>
      </w:pPr>
      <w:r w:rsidRPr="00261B7A">
        <w:rPr>
          <w:b/>
          <w:bCs/>
        </w:rPr>
        <w:t>Note:</w:t>
      </w:r>
      <w:r w:rsidRPr="00261B7A">
        <w:t xml:space="preserve"> LFG = landfill gas; NO = not occurring. Columns may not total due to rounding.</w:t>
      </w:r>
    </w:p>
    <w:p w14:paraId="7775C42A" w14:textId="77777777" w:rsidR="00422EFE" w:rsidRPr="00261B7A" w:rsidRDefault="00422EFE" w:rsidP="00422EFE">
      <w:pPr>
        <w:pStyle w:val="Heading5"/>
      </w:pPr>
      <w:bookmarkStart w:id="2460" w:name="X9a4fc03142a4dae83e3a755d1b7c253538508f5"/>
      <w:bookmarkEnd w:id="2455"/>
      <w:r w:rsidRPr="00261B7A">
        <w:t>Non-municipal landfills and farm fills (5.A.2)</w:t>
      </w:r>
    </w:p>
    <w:p w14:paraId="7BF373FE" w14:textId="77777777" w:rsidR="00422EFE" w:rsidRPr="00261B7A" w:rsidRDefault="00422EFE" w:rsidP="00422EFE">
      <w:pPr>
        <w:pStyle w:val="BodyText"/>
      </w:pPr>
      <w:r w:rsidRPr="00261B7A">
        <w:t xml:space="preserve">Non-municipal landfills are significant landfill sites that predominantly accept commercial and industrial waste. They are not intended to accept household waste; however, they do account </w:t>
      </w:r>
      <w:r w:rsidRPr="00261B7A">
        <w:rPr>
          <w:spacing w:val="-2"/>
        </w:rPr>
        <w:t>for a small amount of municipal waste. Non-municipal landfills include cleanfills (sites disposing</w:t>
      </w:r>
      <w:r w:rsidRPr="00261B7A">
        <w:t xml:space="preserve"> of largely inert waste), industrial fills and sites that dispose of construction and demolition waste. The available information on historical and current disposal rates to non-municipal landfills is derived from direct contact with landfill operators and from regional councils, which regulate these activities under the Resource Management Act 1991. There are substantial gaps, which were filled by correlating waste quantities with regional GDP (Tonkin and Taylor Ltd, unpublished(b)). Waste quantities are determined for each region and then combined to provide a national total (Tonkin and Taylor Ltd, unpublished(b)). These sites are subject to mandatory reporting (with obligations beginning 1 January 2022 for construction and demolition sites and 1 January 2023 for other sites, including cleanfills and industrial monofils).</w:t>
      </w:r>
    </w:p>
    <w:p w14:paraId="45B5D77A" w14:textId="77777777" w:rsidR="00422EFE" w:rsidRPr="00261B7A" w:rsidRDefault="00422EFE" w:rsidP="00422EFE">
      <w:pPr>
        <w:pStyle w:val="BodyText"/>
      </w:pPr>
      <w:r w:rsidRPr="00261B7A">
        <w:t>Farm fills are used to dispose of various types of farming waste, such as scrap metal, timber used for fencing, plastic wraps and ties, batteries and demolition waste. Farmers also use them to dispose of organic and general household waste.</w:t>
      </w:r>
    </w:p>
    <w:p w14:paraId="6C183511" w14:textId="77777777" w:rsidR="00422EFE" w:rsidRPr="00261B7A" w:rsidRDefault="00422EFE" w:rsidP="00422EFE">
      <w:pPr>
        <w:pStyle w:val="BodyText"/>
      </w:pPr>
      <w:r w:rsidRPr="00261B7A">
        <w:t>The information used to estimate activity data and emissions from farm fills has come from surveys carried out in the Canterbury region in 2012 and 2013, and the Waikato and Bay of Plenty regions in 2014 (GHD, 2013, 2014; Tonkin and Taylor Ltd, unpublished(b)). The results from these surveys are extrapolated to the rest of the country based on the number of farms of each type in each region for each year. Farming practices regarding farm fill sites are similar around the country, so the extrapolation is unlikely to introduce a systematic bias. However, the sample size is small and limited in relation to the number and type of farms in New Zealand. Further, the overall volume of farm waste is based strictly on the number of farms and does not account for changing farm sizes over time, noting that the number of farms has decreased since the 1990s.</w:t>
      </w:r>
    </w:p>
    <w:p w14:paraId="77B8AD88" w14:textId="77777777" w:rsidR="00422EFE" w:rsidRPr="00261B7A" w:rsidRDefault="00422EFE" w:rsidP="00422EFE">
      <w:pPr>
        <w:pStyle w:val="BodyText"/>
      </w:pPr>
      <w:r w:rsidRPr="00261B7A">
        <w:t>Waste quantities were averaged for the farm types surveyed: dairy, livestock, arable, viticulture and other horticulture. These survey results have been applied regionally and then combined to provide a national total, with adjustments to account for the differences in the prevalence of these five farm types across all regions and across time (Tonkin and Taylor Ltd, unpublished(b)).</w:t>
      </w:r>
    </w:p>
    <w:p w14:paraId="02E62B07" w14:textId="77777777" w:rsidR="00422EFE" w:rsidRPr="00261B7A" w:rsidRDefault="00422EFE" w:rsidP="00422EFE">
      <w:pPr>
        <w:pStyle w:val="BodyText"/>
      </w:pPr>
      <w:r w:rsidRPr="00261B7A">
        <w:t>Data obtained from the Agriculture Production Survey has been used to estimate the number and type of farms throughout the time series. The Agriculture Production Survey also provides the livestock numbers used in the Agriculture sector, which ensures consistency between the sectors.</w:t>
      </w:r>
    </w:p>
    <w:p w14:paraId="530D5F51" w14:textId="77777777" w:rsidR="00422EFE" w:rsidRPr="00261B7A" w:rsidRDefault="00422EFE" w:rsidP="00422EFE">
      <w:pPr>
        <w:pStyle w:val="BodyText"/>
      </w:pPr>
      <w:r w:rsidRPr="00261B7A">
        <w:t>A change introduced in the 2021 submission is that the methods of disposal of farm waste are evenly split between disposal to land in farm fills and disposal by open burning, at 47 per cent each (noting that 6 per cent is disposed in other ways). Previous submissions assumed that open burning was only about 2 per cent of the farm waste, because Tonkin and Taylor Ltd (unpublished(b)) reported that “the majority of wastes were buried”. However, open burning is a common practice in New Zealand, in part evidenced by the dozens of complaints received by regional councils each year about potential issues with open burning. Further, GHD (2014) states “the surveys team felt that burning was the most prevalent practice, with virtually every farm having a burn pile, or some form of brazier” and GHD (2013) states “other wood waste was invariably burnt”. Wood wastes make up a large proportion of methane emissions from farm fills, so it is appropriate to account for farm waste, including wood that is burned instead of buried.</w:t>
      </w:r>
    </w:p>
    <w:p w14:paraId="430E93F9" w14:textId="77777777" w:rsidR="00422EFE" w:rsidRPr="00261B7A" w:rsidRDefault="00422EFE" w:rsidP="00422EFE">
      <w:pPr>
        <w:pStyle w:val="BodyText"/>
      </w:pPr>
      <w:r w:rsidRPr="00261B7A">
        <w:t>Taking a balanced approach, this submission has assumed an even split in the absence of better information. In 2022, Eunomia (unpublished(c)) investigated this further with experts from around the country and found this assumption was still appropriate. This will be revised again when quantitative data become available.</w:t>
      </w:r>
    </w:p>
    <w:p w14:paraId="214F975E" w14:textId="77777777" w:rsidR="00422EFE" w:rsidRPr="00261B7A" w:rsidRDefault="00422EFE" w:rsidP="00422EFE">
      <w:pPr>
        <w:pStyle w:val="BodyText"/>
        <w:rPr>
          <w:spacing w:val="-2"/>
        </w:rPr>
      </w:pPr>
      <w:r w:rsidRPr="00261B7A">
        <w:t xml:space="preserve">Table 7.2.4 shows waste placement for farm fills only (not including open burning or other </w:t>
      </w:r>
      <w:r w:rsidRPr="00261B7A">
        <w:rPr>
          <w:spacing w:val="-2"/>
        </w:rPr>
        <w:t>disposal methods) and non-municipal landfills from the beginning of the model in 1950 to 2021.</w:t>
      </w:r>
    </w:p>
    <w:p w14:paraId="056EB7CF" w14:textId="77777777" w:rsidR="00422EFE" w:rsidRPr="00261B7A" w:rsidRDefault="00422EFE" w:rsidP="00422EFE">
      <w:pPr>
        <w:pStyle w:val="Table"/>
      </w:pPr>
      <w:bookmarkStart w:id="2461" w:name="_Toc128383665"/>
      <w:bookmarkStart w:id="2462" w:name="_Toc131591438"/>
      <w:r w:rsidRPr="00261B7A">
        <w:t xml:space="preserve">Table 7.2.4 </w:t>
      </w:r>
      <w:r w:rsidRPr="00261B7A">
        <w:tab/>
        <w:t>Solid waste deposited to unmanaged landfills from 1950 to </w:t>
      </w:r>
      <w:r w:rsidRPr="00261B7A">
        <w:rPr>
          <w:bCs/>
        </w:rPr>
        <w:t>2021</w:t>
      </w:r>
      <w:bookmarkEnd w:id="2461"/>
      <w:bookmarkEnd w:id="2462"/>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829"/>
        <w:gridCol w:w="1676"/>
        <w:gridCol w:w="3099"/>
        <w:gridCol w:w="2890"/>
      </w:tblGrid>
      <w:tr w:rsidR="00422EFE" w:rsidRPr="00261B7A" w14:paraId="10B2DC2F" w14:textId="77777777" w:rsidTr="00D41492">
        <w:trPr>
          <w:tblHeader/>
        </w:trPr>
        <w:tc>
          <w:tcPr>
            <w:tcW w:w="0" w:type="auto"/>
            <w:shd w:val="clear" w:color="auto" w:fill="1B556B"/>
            <w:tcMar>
              <w:top w:w="0" w:type="dxa"/>
              <w:left w:w="108" w:type="dxa"/>
              <w:bottom w:w="0" w:type="dxa"/>
              <w:right w:w="108" w:type="dxa"/>
            </w:tcMar>
            <w:vAlign w:val="center"/>
          </w:tcPr>
          <w:p w14:paraId="038E3EB2" w14:textId="77777777" w:rsidR="00422EFE" w:rsidRPr="00261B7A" w:rsidRDefault="00422EFE" w:rsidP="00D41492">
            <w:pPr>
              <w:pStyle w:val="TableText"/>
              <w:spacing w:before="30" w:after="30"/>
              <w:rPr>
                <w:b/>
                <w:bCs/>
                <w:color w:val="FFFFFF" w:themeColor="background1"/>
              </w:rPr>
            </w:pPr>
            <w:r w:rsidRPr="00261B7A">
              <w:rPr>
                <w:rFonts w:eastAsia="Calibri"/>
                <w:b/>
                <w:bCs/>
                <w:color w:val="FFFFFF" w:themeColor="background1"/>
              </w:rPr>
              <w:t>Year</w:t>
            </w:r>
          </w:p>
        </w:tc>
        <w:tc>
          <w:tcPr>
            <w:tcW w:w="0" w:type="auto"/>
            <w:shd w:val="clear" w:color="auto" w:fill="1B556B"/>
            <w:tcMar>
              <w:top w:w="0" w:type="dxa"/>
              <w:left w:w="108" w:type="dxa"/>
              <w:bottom w:w="0" w:type="dxa"/>
              <w:right w:w="108" w:type="dxa"/>
            </w:tcMar>
            <w:vAlign w:val="center"/>
          </w:tcPr>
          <w:p w14:paraId="0307D283" w14:textId="77777777" w:rsidR="00422EFE" w:rsidRPr="00261B7A" w:rsidRDefault="00422EFE" w:rsidP="00D41492">
            <w:pPr>
              <w:pStyle w:val="TableText"/>
              <w:spacing w:before="30" w:after="30"/>
              <w:jc w:val="right"/>
              <w:rPr>
                <w:b/>
                <w:bCs/>
                <w:color w:val="FFFFFF" w:themeColor="background1"/>
              </w:rPr>
            </w:pPr>
            <w:r w:rsidRPr="00261B7A">
              <w:rPr>
                <w:rFonts w:eastAsia="Calibri"/>
                <w:b/>
                <w:bCs/>
                <w:color w:val="FFFFFF" w:themeColor="background1"/>
              </w:rPr>
              <w:t>Farm fills (kt)</w:t>
            </w:r>
          </w:p>
        </w:tc>
        <w:tc>
          <w:tcPr>
            <w:tcW w:w="0" w:type="auto"/>
            <w:shd w:val="clear" w:color="auto" w:fill="1B556B"/>
            <w:tcMar>
              <w:top w:w="0" w:type="dxa"/>
              <w:left w:w="108" w:type="dxa"/>
              <w:bottom w:w="0" w:type="dxa"/>
              <w:right w:w="108" w:type="dxa"/>
            </w:tcMar>
            <w:vAlign w:val="center"/>
          </w:tcPr>
          <w:p w14:paraId="5E23A6A2" w14:textId="77777777" w:rsidR="00422EFE" w:rsidRPr="00261B7A" w:rsidRDefault="00422EFE" w:rsidP="00D41492">
            <w:pPr>
              <w:pStyle w:val="TableText"/>
              <w:spacing w:before="30" w:after="30"/>
              <w:jc w:val="right"/>
              <w:rPr>
                <w:b/>
                <w:bCs/>
                <w:color w:val="FFFFFF" w:themeColor="background1"/>
              </w:rPr>
            </w:pPr>
            <w:r w:rsidRPr="00261B7A">
              <w:rPr>
                <w:rFonts w:eastAsia="Calibri"/>
                <w:b/>
                <w:bCs/>
                <w:color w:val="FFFFFF" w:themeColor="background1"/>
              </w:rPr>
              <w:t>Non-municipal landfills (kt)</w:t>
            </w:r>
          </w:p>
        </w:tc>
        <w:tc>
          <w:tcPr>
            <w:tcW w:w="0" w:type="auto"/>
            <w:shd w:val="clear" w:color="auto" w:fill="1B556B"/>
            <w:tcMar>
              <w:top w:w="0" w:type="dxa"/>
              <w:left w:w="108" w:type="dxa"/>
              <w:bottom w:w="0" w:type="dxa"/>
              <w:right w:w="108" w:type="dxa"/>
            </w:tcMar>
            <w:vAlign w:val="center"/>
          </w:tcPr>
          <w:p w14:paraId="18BC73CA" w14:textId="77777777" w:rsidR="00422EFE" w:rsidRPr="00261B7A" w:rsidRDefault="00422EFE" w:rsidP="00D41492">
            <w:pPr>
              <w:pStyle w:val="TableText"/>
              <w:spacing w:before="30" w:after="30"/>
              <w:jc w:val="right"/>
              <w:rPr>
                <w:b/>
                <w:bCs/>
                <w:color w:val="FFFFFF" w:themeColor="background1"/>
              </w:rPr>
            </w:pPr>
            <w:r w:rsidRPr="00261B7A">
              <w:rPr>
                <w:rFonts w:eastAsia="Calibri"/>
                <w:b/>
                <w:bCs/>
                <w:color w:val="FFFFFF" w:themeColor="background1"/>
              </w:rPr>
              <w:t>Total waste disposed (kt)</w:t>
            </w:r>
          </w:p>
        </w:tc>
      </w:tr>
      <w:tr w:rsidR="00422EFE" w:rsidRPr="00261B7A" w14:paraId="4243EE50" w14:textId="77777777" w:rsidTr="00D41492">
        <w:tc>
          <w:tcPr>
            <w:tcW w:w="0" w:type="auto"/>
            <w:shd w:val="clear" w:color="auto" w:fill="FFFFFF"/>
            <w:tcMar>
              <w:top w:w="0" w:type="dxa"/>
              <w:left w:w="108" w:type="dxa"/>
              <w:bottom w:w="0" w:type="dxa"/>
              <w:right w:w="108" w:type="dxa"/>
            </w:tcMar>
            <w:vAlign w:val="center"/>
          </w:tcPr>
          <w:p w14:paraId="38B5BBB6" w14:textId="77777777" w:rsidR="00422EFE" w:rsidRPr="00261B7A" w:rsidRDefault="00422EFE" w:rsidP="00D41492">
            <w:pPr>
              <w:pStyle w:val="TableText"/>
              <w:spacing w:before="30" w:after="30"/>
            </w:pPr>
            <w:r w:rsidRPr="00261B7A">
              <w:rPr>
                <w:rFonts w:eastAsia="Calibri"/>
              </w:rPr>
              <w:t>1950</w:t>
            </w:r>
          </w:p>
        </w:tc>
        <w:tc>
          <w:tcPr>
            <w:tcW w:w="0" w:type="auto"/>
            <w:shd w:val="clear" w:color="auto" w:fill="FFFFFF"/>
            <w:tcMar>
              <w:top w:w="0" w:type="dxa"/>
              <w:left w:w="108" w:type="dxa"/>
              <w:bottom w:w="0" w:type="dxa"/>
              <w:right w:w="108" w:type="dxa"/>
            </w:tcMar>
            <w:vAlign w:val="center"/>
          </w:tcPr>
          <w:p w14:paraId="2EEEF748" w14:textId="77777777" w:rsidR="00422EFE" w:rsidRPr="00261B7A" w:rsidRDefault="00422EFE" w:rsidP="00D41492">
            <w:pPr>
              <w:pStyle w:val="TableText"/>
              <w:spacing w:before="30" w:after="30"/>
              <w:jc w:val="right"/>
            </w:pPr>
            <w:r w:rsidRPr="00261B7A">
              <w:rPr>
                <w:rFonts w:eastAsia="Calibri"/>
                <w:color w:val="000000"/>
              </w:rPr>
              <w:t>866.3</w:t>
            </w:r>
          </w:p>
        </w:tc>
        <w:tc>
          <w:tcPr>
            <w:tcW w:w="0" w:type="auto"/>
            <w:shd w:val="clear" w:color="auto" w:fill="FFFFFF"/>
            <w:tcMar>
              <w:top w:w="0" w:type="dxa"/>
              <w:left w:w="108" w:type="dxa"/>
              <w:bottom w:w="0" w:type="dxa"/>
              <w:right w:w="108" w:type="dxa"/>
            </w:tcMar>
            <w:vAlign w:val="center"/>
          </w:tcPr>
          <w:p w14:paraId="2091478C" w14:textId="77777777" w:rsidR="00422EFE" w:rsidRPr="00261B7A" w:rsidRDefault="00422EFE" w:rsidP="00D41492">
            <w:pPr>
              <w:pStyle w:val="TableText"/>
              <w:spacing w:before="30" w:after="30"/>
              <w:jc w:val="right"/>
            </w:pPr>
            <w:r w:rsidRPr="00261B7A">
              <w:rPr>
                <w:rFonts w:eastAsia="Calibri"/>
                <w:color w:val="000000"/>
              </w:rPr>
              <w:t>763.8</w:t>
            </w:r>
          </w:p>
        </w:tc>
        <w:tc>
          <w:tcPr>
            <w:tcW w:w="0" w:type="auto"/>
            <w:shd w:val="clear" w:color="auto" w:fill="FFFFFF"/>
            <w:tcMar>
              <w:top w:w="0" w:type="dxa"/>
              <w:left w:w="108" w:type="dxa"/>
              <w:bottom w:w="0" w:type="dxa"/>
              <w:right w:w="108" w:type="dxa"/>
            </w:tcMar>
            <w:vAlign w:val="center"/>
          </w:tcPr>
          <w:p w14:paraId="007276CB" w14:textId="77777777" w:rsidR="00422EFE" w:rsidRPr="00261B7A" w:rsidRDefault="00422EFE" w:rsidP="00D41492">
            <w:pPr>
              <w:pStyle w:val="TableText"/>
              <w:spacing w:before="30" w:after="30"/>
              <w:jc w:val="right"/>
            </w:pPr>
            <w:r w:rsidRPr="00261B7A">
              <w:rPr>
                <w:rFonts w:eastAsia="Calibri"/>
                <w:color w:val="000000"/>
              </w:rPr>
              <w:t>1,630.1</w:t>
            </w:r>
          </w:p>
        </w:tc>
      </w:tr>
      <w:tr w:rsidR="00422EFE" w:rsidRPr="00261B7A" w14:paraId="6B1F2B6A" w14:textId="77777777" w:rsidTr="00D41492">
        <w:tc>
          <w:tcPr>
            <w:tcW w:w="0" w:type="auto"/>
            <w:shd w:val="clear" w:color="auto" w:fill="FFFFFF"/>
            <w:tcMar>
              <w:top w:w="0" w:type="dxa"/>
              <w:left w:w="108" w:type="dxa"/>
              <w:bottom w:w="0" w:type="dxa"/>
              <w:right w:w="108" w:type="dxa"/>
            </w:tcMar>
            <w:vAlign w:val="center"/>
          </w:tcPr>
          <w:p w14:paraId="431A3F1E" w14:textId="77777777" w:rsidR="00422EFE" w:rsidRPr="00261B7A" w:rsidRDefault="00422EFE" w:rsidP="00D41492">
            <w:pPr>
              <w:pStyle w:val="TableText"/>
              <w:spacing w:before="30" w:after="30"/>
            </w:pPr>
            <w:r w:rsidRPr="00261B7A">
              <w:rPr>
                <w:rFonts w:eastAsia="Calibri"/>
              </w:rPr>
              <w:t>1951</w:t>
            </w:r>
          </w:p>
        </w:tc>
        <w:tc>
          <w:tcPr>
            <w:tcW w:w="0" w:type="auto"/>
            <w:shd w:val="clear" w:color="auto" w:fill="FFFFFF"/>
            <w:tcMar>
              <w:top w:w="0" w:type="dxa"/>
              <w:left w:w="108" w:type="dxa"/>
              <w:bottom w:w="0" w:type="dxa"/>
              <w:right w:w="108" w:type="dxa"/>
            </w:tcMar>
            <w:vAlign w:val="center"/>
          </w:tcPr>
          <w:p w14:paraId="60F42ED9" w14:textId="77777777" w:rsidR="00422EFE" w:rsidRPr="00261B7A" w:rsidRDefault="00422EFE" w:rsidP="00D41492">
            <w:pPr>
              <w:pStyle w:val="TableText"/>
              <w:spacing w:before="30" w:after="30"/>
              <w:jc w:val="right"/>
            </w:pPr>
            <w:r w:rsidRPr="00261B7A">
              <w:rPr>
                <w:rFonts w:eastAsia="Calibri"/>
                <w:color w:val="000000"/>
              </w:rPr>
              <w:t>865.7</w:t>
            </w:r>
          </w:p>
        </w:tc>
        <w:tc>
          <w:tcPr>
            <w:tcW w:w="0" w:type="auto"/>
            <w:shd w:val="clear" w:color="auto" w:fill="FFFFFF"/>
            <w:tcMar>
              <w:top w:w="0" w:type="dxa"/>
              <w:left w:w="108" w:type="dxa"/>
              <w:bottom w:w="0" w:type="dxa"/>
              <w:right w:w="108" w:type="dxa"/>
            </w:tcMar>
            <w:vAlign w:val="center"/>
          </w:tcPr>
          <w:p w14:paraId="12B62994" w14:textId="77777777" w:rsidR="00422EFE" w:rsidRPr="00261B7A" w:rsidRDefault="00422EFE" w:rsidP="00D41492">
            <w:pPr>
              <w:pStyle w:val="TableText"/>
              <w:spacing w:before="30" w:after="30"/>
              <w:jc w:val="right"/>
            </w:pPr>
            <w:r w:rsidRPr="00261B7A">
              <w:rPr>
                <w:rFonts w:eastAsia="Calibri"/>
                <w:color w:val="000000"/>
              </w:rPr>
              <w:t>791.9</w:t>
            </w:r>
          </w:p>
        </w:tc>
        <w:tc>
          <w:tcPr>
            <w:tcW w:w="0" w:type="auto"/>
            <w:shd w:val="clear" w:color="auto" w:fill="FFFFFF"/>
            <w:tcMar>
              <w:top w:w="0" w:type="dxa"/>
              <w:left w:w="108" w:type="dxa"/>
              <w:bottom w:w="0" w:type="dxa"/>
              <w:right w:w="108" w:type="dxa"/>
            </w:tcMar>
            <w:vAlign w:val="center"/>
          </w:tcPr>
          <w:p w14:paraId="7165D812" w14:textId="77777777" w:rsidR="00422EFE" w:rsidRPr="00261B7A" w:rsidRDefault="00422EFE" w:rsidP="00D41492">
            <w:pPr>
              <w:pStyle w:val="TableText"/>
              <w:spacing w:before="30" w:after="30"/>
              <w:jc w:val="right"/>
            </w:pPr>
            <w:r w:rsidRPr="00261B7A">
              <w:rPr>
                <w:rFonts w:eastAsia="Calibri"/>
                <w:color w:val="000000"/>
              </w:rPr>
              <w:t>1,657.6</w:t>
            </w:r>
          </w:p>
        </w:tc>
      </w:tr>
      <w:tr w:rsidR="00422EFE" w:rsidRPr="00261B7A" w14:paraId="46A87901" w14:textId="77777777" w:rsidTr="00D41492">
        <w:tc>
          <w:tcPr>
            <w:tcW w:w="0" w:type="auto"/>
            <w:shd w:val="clear" w:color="auto" w:fill="FFFFFF"/>
            <w:tcMar>
              <w:top w:w="0" w:type="dxa"/>
              <w:left w:w="108" w:type="dxa"/>
              <w:bottom w:w="0" w:type="dxa"/>
              <w:right w:w="108" w:type="dxa"/>
            </w:tcMar>
            <w:vAlign w:val="center"/>
          </w:tcPr>
          <w:p w14:paraId="25D16B89" w14:textId="77777777" w:rsidR="00422EFE" w:rsidRPr="00261B7A" w:rsidRDefault="00422EFE" w:rsidP="00D41492">
            <w:pPr>
              <w:pStyle w:val="TableText"/>
              <w:spacing w:before="30" w:after="30"/>
            </w:pPr>
            <w:r w:rsidRPr="00261B7A">
              <w:rPr>
                <w:rFonts w:eastAsia="Calibri"/>
              </w:rPr>
              <w:t>1952</w:t>
            </w:r>
          </w:p>
        </w:tc>
        <w:tc>
          <w:tcPr>
            <w:tcW w:w="0" w:type="auto"/>
            <w:shd w:val="clear" w:color="auto" w:fill="FFFFFF"/>
            <w:tcMar>
              <w:top w:w="0" w:type="dxa"/>
              <w:left w:w="108" w:type="dxa"/>
              <w:bottom w:w="0" w:type="dxa"/>
              <w:right w:w="108" w:type="dxa"/>
            </w:tcMar>
            <w:vAlign w:val="center"/>
          </w:tcPr>
          <w:p w14:paraId="6E171B24" w14:textId="77777777" w:rsidR="00422EFE" w:rsidRPr="00261B7A" w:rsidRDefault="00422EFE" w:rsidP="00D41492">
            <w:pPr>
              <w:pStyle w:val="TableText"/>
              <w:spacing w:before="30" w:after="30"/>
              <w:jc w:val="right"/>
            </w:pPr>
            <w:r w:rsidRPr="00261B7A">
              <w:rPr>
                <w:rFonts w:eastAsia="Calibri"/>
                <w:color w:val="000000"/>
              </w:rPr>
              <w:t>866.2</w:t>
            </w:r>
          </w:p>
        </w:tc>
        <w:tc>
          <w:tcPr>
            <w:tcW w:w="0" w:type="auto"/>
            <w:shd w:val="clear" w:color="auto" w:fill="FFFFFF"/>
            <w:tcMar>
              <w:top w:w="0" w:type="dxa"/>
              <w:left w:w="108" w:type="dxa"/>
              <w:bottom w:w="0" w:type="dxa"/>
              <w:right w:w="108" w:type="dxa"/>
            </w:tcMar>
            <w:vAlign w:val="center"/>
          </w:tcPr>
          <w:p w14:paraId="07793303" w14:textId="77777777" w:rsidR="00422EFE" w:rsidRPr="00261B7A" w:rsidRDefault="00422EFE" w:rsidP="00D41492">
            <w:pPr>
              <w:pStyle w:val="TableText"/>
              <w:spacing w:before="30" w:after="30"/>
              <w:jc w:val="right"/>
            </w:pPr>
            <w:r w:rsidRPr="00261B7A">
              <w:rPr>
                <w:rFonts w:eastAsia="Calibri"/>
                <w:color w:val="000000"/>
              </w:rPr>
              <w:t>820.9</w:t>
            </w:r>
          </w:p>
        </w:tc>
        <w:tc>
          <w:tcPr>
            <w:tcW w:w="0" w:type="auto"/>
            <w:shd w:val="clear" w:color="auto" w:fill="FFFFFF"/>
            <w:tcMar>
              <w:top w:w="0" w:type="dxa"/>
              <w:left w:w="108" w:type="dxa"/>
              <w:bottom w:w="0" w:type="dxa"/>
              <w:right w:w="108" w:type="dxa"/>
            </w:tcMar>
            <w:vAlign w:val="center"/>
          </w:tcPr>
          <w:p w14:paraId="4FA6A22D" w14:textId="77777777" w:rsidR="00422EFE" w:rsidRPr="00261B7A" w:rsidRDefault="00422EFE" w:rsidP="00D41492">
            <w:pPr>
              <w:pStyle w:val="TableText"/>
              <w:spacing w:before="30" w:after="30"/>
              <w:jc w:val="right"/>
            </w:pPr>
            <w:r w:rsidRPr="00261B7A">
              <w:rPr>
                <w:rFonts w:eastAsia="Calibri"/>
                <w:color w:val="000000"/>
              </w:rPr>
              <w:t>1,687.2</w:t>
            </w:r>
          </w:p>
        </w:tc>
      </w:tr>
      <w:tr w:rsidR="00422EFE" w:rsidRPr="00261B7A" w14:paraId="0422BF65" w14:textId="77777777" w:rsidTr="00D41492">
        <w:tc>
          <w:tcPr>
            <w:tcW w:w="0" w:type="auto"/>
            <w:shd w:val="clear" w:color="auto" w:fill="FFFFFF"/>
            <w:tcMar>
              <w:top w:w="0" w:type="dxa"/>
              <w:left w:w="108" w:type="dxa"/>
              <w:bottom w:w="0" w:type="dxa"/>
              <w:right w:w="108" w:type="dxa"/>
            </w:tcMar>
            <w:vAlign w:val="center"/>
          </w:tcPr>
          <w:p w14:paraId="48370157" w14:textId="77777777" w:rsidR="00422EFE" w:rsidRPr="00261B7A" w:rsidRDefault="00422EFE" w:rsidP="00D41492">
            <w:pPr>
              <w:pStyle w:val="TableText"/>
              <w:spacing w:before="30" w:after="30"/>
            </w:pPr>
            <w:r w:rsidRPr="00261B7A">
              <w:rPr>
                <w:rFonts w:eastAsia="Calibri"/>
              </w:rPr>
              <w:t>1953</w:t>
            </w:r>
          </w:p>
        </w:tc>
        <w:tc>
          <w:tcPr>
            <w:tcW w:w="0" w:type="auto"/>
            <w:shd w:val="clear" w:color="auto" w:fill="FFFFFF"/>
            <w:tcMar>
              <w:top w:w="0" w:type="dxa"/>
              <w:left w:w="108" w:type="dxa"/>
              <w:bottom w:w="0" w:type="dxa"/>
              <w:right w:w="108" w:type="dxa"/>
            </w:tcMar>
            <w:vAlign w:val="center"/>
          </w:tcPr>
          <w:p w14:paraId="013B489E" w14:textId="77777777" w:rsidR="00422EFE" w:rsidRPr="00261B7A" w:rsidRDefault="00422EFE" w:rsidP="00D41492">
            <w:pPr>
              <w:pStyle w:val="TableText"/>
              <w:spacing w:before="30" w:after="30"/>
              <w:jc w:val="right"/>
            </w:pPr>
            <w:r w:rsidRPr="00261B7A">
              <w:rPr>
                <w:rFonts w:eastAsia="Calibri"/>
                <w:color w:val="000000"/>
              </w:rPr>
              <w:t>868.6</w:t>
            </w:r>
          </w:p>
        </w:tc>
        <w:tc>
          <w:tcPr>
            <w:tcW w:w="0" w:type="auto"/>
            <w:shd w:val="clear" w:color="auto" w:fill="FFFFFF"/>
            <w:tcMar>
              <w:top w:w="0" w:type="dxa"/>
              <w:left w:w="108" w:type="dxa"/>
              <w:bottom w:w="0" w:type="dxa"/>
              <w:right w:w="108" w:type="dxa"/>
            </w:tcMar>
            <w:vAlign w:val="center"/>
          </w:tcPr>
          <w:p w14:paraId="5A5D78FD" w14:textId="77777777" w:rsidR="00422EFE" w:rsidRPr="00261B7A" w:rsidRDefault="00422EFE" w:rsidP="00D41492">
            <w:pPr>
              <w:pStyle w:val="TableText"/>
              <w:spacing w:before="30" w:after="30"/>
              <w:jc w:val="right"/>
            </w:pPr>
            <w:r w:rsidRPr="00261B7A">
              <w:rPr>
                <w:rFonts w:eastAsia="Calibri"/>
                <w:color w:val="000000"/>
              </w:rPr>
              <w:t>851.0</w:t>
            </w:r>
          </w:p>
        </w:tc>
        <w:tc>
          <w:tcPr>
            <w:tcW w:w="0" w:type="auto"/>
            <w:shd w:val="clear" w:color="auto" w:fill="FFFFFF"/>
            <w:tcMar>
              <w:top w:w="0" w:type="dxa"/>
              <w:left w:w="108" w:type="dxa"/>
              <w:bottom w:w="0" w:type="dxa"/>
              <w:right w:w="108" w:type="dxa"/>
            </w:tcMar>
            <w:vAlign w:val="center"/>
          </w:tcPr>
          <w:p w14:paraId="4EF76677" w14:textId="77777777" w:rsidR="00422EFE" w:rsidRPr="00261B7A" w:rsidRDefault="00422EFE" w:rsidP="00D41492">
            <w:pPr>
              <w:pStyle w:val="TableText"/>
              <w:spacing w:before="30" w:after="30"/>
              <w:jc w:val="right"/>
            </w:pPr>
            <w:r w:rsidRPr="00261B7A">
              <w:rPr>
                <w:rFonts w:eastAsia="Calibri"/>
                <w:color w:val="000000"/>
              </w:rPr>
              <w:t>1,719.6</w:t>
            </w:r>
          </w:p>
        </w:tc>
      </w:tr>
      <w:tr w:rsidR="00422EFE" w:rsidRPr="00261B7A" w14:paraId="0CFF30A4" w14:textId="77777777" w:rsidTr="00D41492">
        <w:tc>
          <w:tcPr>
            <w:tcW w:w="0" w:type="auto"/>
            <w:shd w:val="clear" w:color="auto" w:fill="FFFFFF"/>
            <w:tcMar>
              <w:top w:w="0" w:type="dxa"/>
              <w:left w:w="108" w:type="dxa"/>
              <w:bottom w:w="0" w:type="dxa"/>
              <w:right w:w="108" w:type="dxa"/>
            </w:tcMar>
            <w:vAlign w:val="center"/>
          </w:tcPr>
          <w:p w14:paraId="44154934" w14:textId="77777777" w:rsidR="00422EFE" w:rsidRPr="00261B7A" w:rsidRDefault="00422EFE" w:rsidP="00D41492">
            <w:pPr>
              <w:pStyle w:val="TableText"/>
              <w:spacing w:before="30" w:after="30"/>
            </w:pPr>
            <w:r w:rsidRPr="00261B7A">
              <w:rPr>
                <w:rFonts w:eastAsia="Calibri"/>
              </w:rPr>
              <w:t>1954</w:t>
            </w:r>
          </w:p>
        </w:tc>
        <w:tc>
          <w:tcPr>
            <w:tcW w:w="0" w:type="auto"/>
            <w:shd w:val="clear" w:color="auto" w:fill="FFFFFF"/>
            <w:tcMar>
              <w:top w:w="0" w:type="dxa"/>
              <w:left w:w="108" w:type="dxa"/>
              <w:bottom w:w="0" w:type="dxa"/>
              <w:right w:w="108" w:type="dxa"/>
            </w:tcMar>
            <w:vAlign w:val="center"/>
          </w:tcPr>
          <w:p w14:paraId="7FA61C9D" w14:textId="77777777" w:rsidR="00422EFE" w:rsidRPr="00261B7A" w:rsidRDefault="00422EFE" w:rsidP="00D41492">
            <w:pPr>
              <w:pStyle w:val="TableText"/>
              <w:spacing w:before="30" w:after="30"/>
              <w:jc w:val="right"/>
            </w:pPr>
            <w:r w:rsidRPr="00261B7A">
              <w:rPr>
                <w:rFonts w:eastAsia="Calibri"/>
                <w:color w:val="000000"/>
              </w:rPr>
              <w:t>879.7</w:t>
            </w:r>
          </w:p>
        </w:tc>
        <w:tc>
          <w:tcPr>
            <w:tcW w:w="0" w:type="auto"/>
            <w:shd w:val="clear" w:color="auto" w:fill="FFFFFF"/>
            <w:tcMar>
              <w:top w:w="0" w:type="dxa"/>
              <w:left w:w="108" w:type="dxa"/>
              <w:bottom w:w="0" w:type="dxa"/>
              <w:right w:w="108" w:type="dxa"/>
            </w:tcMar>
            <w:vAlign w:val="center"/>
          </w:tcPr>
          <w:p w14:paraId="22A4B33D" w14:textId="77777777" w:rsidR="00422EFE" w:rsidRPr="00261B7A" w:rsidRDefault="00422EFE" w:rsidP="00D41492">
            <w:pPr>
              <w:pStyle w:val="TableText"/>
              <w:spacing w:before="30" w:after="30"/>
              <w:jc w:val="right"/>
            </w:pPr>
            <w:r w:rsidRPr="00261B7A">
              <w:rPr>
                <w:rFonts w:eastAsia="Calibri"/>
                <w:color w:val="000000"/>
              </w:rPr>
              <w:t>882.2</w:t>
            </w:r>
          </w:p>
        </w:tc>
        <w:tc>
          <w:tcPr>
            <w:tcW w:w="0" w:type="auto"/>
            <w:shd w:val="clear" w:color="auto" w:fill="FFFFFF"/>
            <w:tcMar>
              <w:top w:w="0" w:type="dxa"/>
              <w:left w:w="108" w:type="dxa"/>
              <w:bottom w:w="0" w:type="dxa"/>
              <w:right w:w="108" w:type="dxa"/>
            </w:tcMar>
            <w:vAlign w:val="center"/>
          </w:tcPr>
          <w:p w14:paraId="237CFCE9" w14:textId="77777777" w:rsidR="00422EFE" w:rsidRPr="00261B7A" w:rsidRDefault="00422EFE" w:rsidP="00D41492">
            <w:pPr>
              <w:pStyle w:val="TableText"/>
              <w:spacing w:before="30" w:after="30"/>
              <w:jc w:val="right"/>
            </w:pPr>
            <w:r w:rsidRPr="00261B7A">
              <w:rPr>
                <w:rFonts w:eastAsia="Calibri"/>
                <w:color w:val="000000"/>
              </w:rPr>
              <w:t>1,761.9</w:t>
            </w:r>
          </w:p>
        </w:tc>
      </w:tr>
      <w:tr w:rsidR="00422EFE" w:rsidRPr="00261B7A" w14:paraId="635A546F" w14:textId="77777777" w:rsidTr="00D41492">
        <w:tc>
          <w:tcPr>
            <w:tcW w:w="0" w:type="auto"/>
            <w:shd w:val="clear" w:color="auto" w:fill="FFFFFF"/>
            <w:tcMar>
              <w:top w:w="0" w:type="dxa"/>
              <w:left w:w="108" w:type="dxa"/>
              <w:bottom w:w="0" w:type="dxa"/>
              <w:right w:w="108" w:type="dxa"/>
            </w:tcMar>
            <w:vAlign w:val="center"/>
          </w:tcPr>
          <w:p w14:paraId="34F9CDAF" w14:textId="77777777" w:rsidR="00422EFE" w:rsidRPr="00261B7A" w:rsidRDefault="00422EFE" w:rsidP="00D41492">
            <w:pPr>
              <w:pStyle w:val="TableText"/>
              <w:spacing w:before="30" w:after="30"/>
            </w:pPr>
            <w:r w:rsidRPr="00261B7A">
              <w:rPr>
                <w:rFonts w:eastAsia="Calibri"/>
              </w:rPr>
              <w:t>1955</w:t>
            </w:r>
          </w:p>
        </w:tc>
        <w:tc>
          <w:tcPr>
            <w:tcW w:w="0" w:type="auto"/>
            <w:shd w:val="clear" w:color="auto" w:fill="FFFFFF"/>
            <w:tcMar>
              <w:top w:w="0" w:type="dxa"/>
              <w:left w:w="108" w:type="dxa"/>
              <w:bottom w:w="0" w:type="dxa"/>
              <w:right w:w="108" w:type="dxa"/>
            </w:tcMar>
            <w:vAlign w:val="center"/>
          </w:tcPr>
          <w:p w14:paraId="6E547EB3" w14:textId="77777777" w:rsidR="00422EFE" w:rsidRPr="00261B7A" w:rsidRDefault="00422EFE" w:rsidP="00D41492">
            <w:pPr>
              <w:pStyle w:val="TableText"/>
              <w:spacing w:before="30" w:after="30"/>
              <w:jc w:val="right"/>
            </w:pPr>
            <w:r w:rsidRPr="00261B7A">
              <w:rPr>
                <w:rFonts w:eastAsia="Calibri"/>
                <w:color w:val="000000"/>
              </w:rPr>
              <w:t>886.5</w:t>
            </w:r>
          </w:p>
        </w:tc>
        <w:tc>
          <w:tcPr>
            <w:tcW w:w="0" w:type="auto"/>
            <w:shd w:val="clear" w:color="auto" w:fill="FFFFFF"/>
            <w:tcMar>
              <w:top w:w="0" w:type="dxa"/>
              <w:left w:w="108" w:type="dxa"/>
              <w:bottom w:w="0" w:type="dxa"/>
              <w:right w:w="108" w:type="dxa"/>
            </w:tcMar>
            <w:vAlign w:val="center"/>
          </w:tcPr>
          <w:p w14:paraId="3A8D87D9" w14:textId="77777777" w:rsidR="00422EFE" w:rsidRPr="00261B7A" w:rsidRDefault="00422EFE" w:rsidP="00D41492">
            <w:pPr>
              <w:pStyle w:val="TableText"/>
              <w:spacing w:before="30" w:after="30"/>
              <w:jc w:val="right"/>
            </w:pPr>
            <w:r w:rsidRPr="00261B7A">
              <w:rPr>
                <w:rFonts w:eastAsia="Calibri"/>
                <w:color w:val="000000"/>
              </w:rPr>
              <w:t>914.5</w:t>
            </w:r>
          </w:p>
        </w:tc>
        <w:tc>
          <w:tcPr>
            <w:tcW w:w="0" w:type="auto"/>
            <w:shd w:val="clear" w:color="auto" w:fill="FFFFFF"/>
            <w:tcMar>
              <w:top w:w="0" w:type="dxa"/>
              <w:left w:w="108" w:type="dxa"/>
              <w:bottom w:w="0" w:type="dxa"/>
              <w:right w:w="108" w:type="dxa"/>
            </w:tcMar>
            <w:vAlign w:val="center"/>
          </w:tcPr>
          <w:p w14:paraId="62A15C2F" w14:textId="77777777" w:rsidR="00422EFE" w:rsidRPr="00261B7A" w:rsidRDefault="00422EFE" w:rsidP="00D41492">
            <w:pPr>
              <w:pStyle w:val="TableText"/>
              <w:spacing w:before="30" w:after="30"/>
              <w:jc w:val="right"/>
            </w:pPr>
            <w:r w:rsidRPr="00261B7A">
              <w:rPr>
                <w:rFonts w:eastAsia="Calibri"/>
                <w:color w:val="000000"/>
              </w:rPr>
              <w:t>1,801.0</w:t>
            </w:r>
          </w:p>
        </w:tc>
      </w:tr>
      <w:tr w:rsidR="00422EFE" w:rsidRPr="00261B7A" w14:paraId="5F36FE3D" w14:textId="77777777" w:rsidTr="00D41492">
        <w:tc>
          <w:tcPr>
            <w:tcW w:w="0" w:type="auto"/>
            <w:shd w:val="clear" w:color="auto" w:fill="FFFFFF"/>
            <w:tcMar>
              <w:top w:w="0" w:type="dxa"/>
              <w:left w:w="108" w:type="dxa"/>
              <w:bottom w:w="0" w:type="dxa"/>
              <w:right w:w="108" w:type="dxa"/>
            </w:tcMar>
            <w:vAlign w:val="center"/>
          </w:tcPr>
          <w:p w14:paraId="1B660C9B" w14:textId="77777777" w:rsidR="00422EFE" w:rsidRPr="00261B7A" w:rsidRDefault="00422EFE" w:rsidP="00D41492">
            <w:pPr>
              <w:pStyle w:val="TableText"/>
              <w:spacing w:before="30" w:after="30"/>
            </w:pPr>
            <w:r w:rsidRPr="00261B7A">
              <w:rPr>
                <w:rFonts w:eastAsia="Calibri"/>
              </w:rPr>
              <w:t>1956</w:t>
            </w:r>
          </w:p>
        </w:tc>
        <w:tc>
          <w:tcPr>
            <w:tcW w:w="0" w:type="auto"/>
            <w:shd w:val="clear" w:color="auto" w:fill="FFFFFF"/>
            <w:tcMar>
              <w:top w:w="0" w:type="dxa"/>
              <w:left w:w="108" w:type="dxa"/>
              <w:bottom w:w="0" w:type="dxa"/>
              <w:right w:w="108" w:type="dxa"/>
            </w:tcMar>
            <w:vAlign w:val="center"/>
          </w:tcPr>
          <w:p w14:paraId="34FE4776" w14:textId="77777777" w:rsidR="00422EFE" w:rsidRPr="00261B7A" w:rsidRDefault="00422EFE" w:rsidP="00D41492">
            <w:pPr>
              <w:pStyle w:val="TableText"/>
              <w:spacing w:before="30" w:after="30"/>
              <w:jc w:val="right"/>
            </w:pPr>
            <w:r w:rsidRPr="00261B7A">
              <w:rPr>
                <w:rFonts w:eastAsia="Calibri"/>
                <w:color w:val="000000"/>
              </w:rPr>
              <w:t>812.7</w:t>
            </w:r>
          </w:p>
        </w:tc>
        <w:tc>
          <w:tcPr>
            <w:tcW w:w="0" w:type="auto"/>
            <w:shd w:val="clear" w:color="auto" w:fill="FFFFFF"/>
            <w:tcMar>
              <w:top w:w="0" w:type="dxa"/>
              <w:left w:w="108" w:type="dxa"/>
              <w:bottom w:w="0" w:type="dxa"/>
              <w:right w:w="108" w:type="dxa"/>
            </w:tcMar>
            <w:vAlign w:val="center"/>
          </w:tcPr>
          <w:p w14:paraId="1A0859B4" w14:textId="77777777" w:rsidR="00422EFE" w:rsidRPr="00261B7A" w:rsidRDefault="00422EFE" w:rsidP="00D41492">
            <w:pPr>
              <w:pStyle w:val="TableText"/>
              <w:spacing w:before="30" w:after="30"/>
              <w:jc w:val="right"/>
            </w:pPr>
            <w:r w:rsidRPr="00261B7A">
              <w:rPr>
                <w:rFonts w:eastAsia="Calibri"/>
                <w:color w:val="000000"/>
              </w:rPr>
              <w:t>948.0</w:t>
            </w:r>
          </w:p>
        </w:tc>
        <w:tc>
          <w:tcPr>
            <w:tcW w:w="0" w:type="auto"/>
            <w:shd w:val="clear" w:color="auto" w:fill="FFFFFF"/>
            <w:tcMar>
              <w:top w:w="0" w:type="dxa"/>
              <w:left w:w="108" w:type="dxa"/>
              <w:bottom w:w="0" w:type="dxa"/>
              <w:right w:w="108" w:type="dxa"/>
            </w:tcMar>
            <w:vAlign w:val="center"/>
          </w:tcPr>
          <w:p w14:paraId="4D660E14" w14:textId="77777777" w:rsidR="00422EFE" w:rsidRPr="00261B7A" w:rsidRDefault="00422EFE" w:rsidP="00D41492">
            <w:pPr>
              <w:pStyle w:val="TableText"/>
              <w:spacing w:before="30" w:after="30"/>
              <w:jc w:val="right"/>
            </w:pPr>
            <w:r w:rsidRPr="00261B7A">
              <w:rPr>
                <w:rFonts w:eastAsia="Calibri"/>
                <w:color w:val="000000"/>
              </w:rPr>
              <w:t>1,760.7</w:t>
            </w:r>
          </w:p>
        </w:tc>
      </w:tr>
      <w:tr w:rsidR="00422EFE" w:rsidRPr="00261B7A" w14:paraId="5AD9F01A" w14:textId="77777777" w:rsidTr="00D41492">
        <w:tc>
          <w:tcPr>
            <w:tcW w:w="0" w:type="auto"/>
            <w:shd w:val="clear" w:color="auto" w:fill="FFFFFF"/>
            <w:tcMar>
              <w:top w:w="0" w:type="dxa"/>
              <w:left w:w="108" w:type="dxa"/>
              <w:bottom w:w="0" w:type="dxa"/>
              <w:right w:w="108" w:type="dxa"/>
            </w:tcMar>
            <w:vAlign w:val="center"/>
          </w:tcPr>
          <w:p w14:paraId="5BC4565B" w14:textId="77777777" w:rsidR="00422EFE" w:rsidRPr="00261B7A" w:rsidRDefault="00422EFE" w:rsidP="00D41492">
            <w:pPr>
              <w:pStyle w:val="TableText"/>
              <w:spacing w:before="30" w:after="30"/>
            </w:pPr>
            <w:r w:rsidRPr="00261B7A">
              <w:rPr>
                <w:rFonts w:eastAsia="Calibri"/>
              </w:rPr>
              <w:t>1957</w:t>
            </w:r>
          </w:p>
        </w:tc>
        <w:tc>
          <w:tcPr>
            <w:tcW w:w="0" w:type="auto"/>
            <w:shd w:val="clear" w:color="auto" w:fill="FFFFFF"/>
            <w:tcMar>
              <w:top w:w="0" w:type="dxa"/>
              <w:left w:w="108" w:type="dxa"/>
              <w:bottom w:w="0" w:type="dxa"/>
              <w:right w:w="108" w:type="dxa"/>
            </w:tcMar>
            <w:vAlign w:val="center"/>
          </w:tcPr>
          <w:p w14:paraId="1631C5FD" w14:textId="77777777" w:rsidR="00422EFE" w:rsidRPr="00261B7A" w:rsidRDefault="00422EFE" w:rsidP="00D41492">
            <w:pPr>
              <w:pStyle w:val="TableText"/>
              <w:spacing w:before="30" w:after="30"/>
              <w:jc w:val="right"/>
            </w:pPr>
            <w:r w:rsidRPr="00261B7A">
              <w:rPr>
                <w:rFonts w:eastAsia="Calibri"/>
                <w:color w:val="000000"/>
              </w:rPr>
              <w:t>811.7</w:t>
            </w:r>
          </w:p>
        </w:tc>
        <w:tc>
          <w:tcPr>
            <w:tcW w:w="0" w:type="auto"/>
            <w:shd w:val="clear" w:color="auto" w:fill="FFFFFF"/>
            <w:tcMar>
              <w:top w:w="0" w:type="dxa"/>
              <w:left w:w="108" w:type="dxa"/>
              <w:bottom w:w="0" w:type="dxa"/>
              <w:right w:w="108" w:type="dxa"/>
            </w:tcMar>
            <w:vAlign w:val="center"/>
          </w:tcPr>
          <w:p w14:paraId="0E854817" w14:textId="77777777" w:rsidR="00422EFE" w:rsidRPr="00261B7A" w:rsidRDefault="00422EFE" w:rsidP="00D41492">
            <w:pPr>
              <w:pStyle w:val="TableText"/>
              <w:spacing w:before="30" w:after="30"/>
              <w:jc w:val="right"/>
            </w:pPr>
            <w:r w:rsidRPr="00261B7A">
              <w:rPr>
                <w:rFonts w:eastAsia="Calibri"/>
                <w:color w:val="000000"/>
              </w:rPr>
              <w:t>982.7</w:t>
            </w:r>
          </w:p>
        </w:tc>
        <w:tc>
          <w:tcPr>
            <w:tcW w:w="0" w:type="auto"/>
            <w:shd w:val="clear" w:color="auto" w:fill="FFFFFF"/>
            <w:tcMar>
              <w:top w:w="0" w:type="dxa"/>
              <w:left w:w="108" w:type="dxa"/>
              <w:bottom w:w="0" w:type="dxa"/>
              <w:right w:w="108" w:type="dxa"/>
            </w:tcMar>
            <w:vAlign w:val="center"/>
          </w:tcPr>
          <w:p w14:paraId="2A2B5148" w14:textId="77777777" w:rsidR="00422EFE" w:rsidRPr="00261B7A" w:rsidRDefault="00422EFE" w:rsidP="00D41492">
            <w:pPr>
              <w:pStyle w:val="TableText"/>
              <w:spacing w:before="30" w:after="30"/>
              <w:jc w:val="right"/>
            </w:pPr>
            <w:r w:rsidRPr="00261B7A">
              <w:rPr>
                <w:rFonts w:eastAsia="Calibri"/>
                <w:color w:val="000000"/>
              </w:rPr>
              <w:t>1,794.4</w:t>
            </w:r>
          </w:p>
        </w:tc>
      </w:tr>
      <w:tr w:rsidR="00422EFE" w:rsidRPr="00261B7A" w14:paraId="1F3B0CEF" w14:textId="77777777" w:rsidTr="00D41492">
        <w:tc>
          <w:tcPr>
            <w:tcW w:w="0" w:type="auto"/>
            <w:shd w:val="clear" w:color="auto" w:fill="FFFFFF"/>
            <w:tcMar>
              <w:top w:w="0" w:type="dxa"/>
              <w:left w:w="108" w:type="dxa"/>
              <w:bottom w:w="0" w:type="dxa"/>
              <w:right w:w="108" w:type="dxa"/>
            </w:tcMar>
            <w:vAlign w:val="center"/>
          </w:tcPr>
          <w:p w14:paraId="75DCF114" w14:textId="77777777" w:rsidR="00422EFE" w:rsidRPr="00261B7A" w:rsidRDefault="00422EFE" w:rsidP="00D41492">
            <w:pPr>
              <w:pStyle w:val="TableText"/>
              <w:spacing w:before="30" w:after="30"/>
            </w:pPr>
            <w:r w:rsidRPr="00261B7A">
              <w:rPr>
                <w:rFonts w:eastAsia="Calibri"/>
              </w:rPr>
              <w:t>1958</w:t>
            </w:r>
          </w:p>
        </w:tc>
        <w:tc>
          <w:tcPr>
            <w:tcW w:w="0" w:type="auto"/>
            <w:shd w:val="clear" w:color="auto" w:fill="FFFFFF"/>
            <w:tcMar>
              <w:top w:w="0" w:type="dxa"/>
              <w:left w:w="108" w:type="dxa"/>
              <w:bottom w:w="0" w:type="dxa"/>
              <w:right w:w="108" w:type="dxa"/>
            </w:tcMar>
            <w:vAlign w:val="center"/>
          </w:tcPr>
          <w:p w14:paraId="38199217" w14:textId="77777777" w:rsidR="00422EFE" w:rsidRPr="00261B7A" w:rsidRDefault="00422EFE" w:rsidP="00D41492">
            <w:pPr>
              <w:pStyle w:val="TableText"/>
              <w:spacing w:before="30" w:after="30"/>
              <w:jc w:val="right"/>
            </w:pPr>
            <w:r w:rsidRPr="00261B7A">
              <w:rPr>
                <w:rFonts w:eastAsia="Calibri"/>
                <w:color w:val="000000"/>
              </w:rPr>
              <w:t>796.6</w:t>
            </w:r>
          </w:p>
        </w:tc>
        <w:tc>
          <w:tcPr>
            <w:tcW w:w="0" w:type="auto"/>
            <w:shd w:val="clear" w:color="auto" w:fill="FFFFFF"/>
            <w:tcMar>
              <w:top w:w="0" w:type="dxa"/>
              <w:left w:w="108" w:type="dxa"/>
              <w:bottom w:w="0" w:type="dxa"/>
              <w:right w:w="108" w:type="dxa"/>
            </w:tcMar>
            <w:vAlign w:val="center"/>
          </w:tcPr>
          <w:p w14:paraId="48063FB7" w14:textId="77777777" w:rsidR="00422EFE" w:rsidRPr="00261B7A" w:rsidRDefault="00422EFE" w:rsidP="00D41492">
            <w:pPr>
              <w:pStyle w:val="TableText"/>
              <w:spacing w:before="30" w:after="30"/>
              <w:jc w:val="right"/>
            </w:pPr>
            <w:r w:rsidRPr="00261B7A">
              <w:rPr>
                <w:rFonts w:eastAsia="Calibri"/>
                <w:color w:val="000000"/>
              </w:rPr>
              <w:t>1,018.6</w:t>
            </w:r>
          </w:p>
        </w:tc>
        <w:tc>
          <w:tcPr>
            <w:tcW w:w="0" w:type="auto"/>
            <w:shd w:val="clear" w:color="auto" w:fill="FFFFFF"/>
            <w:tcMar>
              <w:top w:w="0" w:type="dxa"/>
              <w:left w:w="108" w:type="dxa"/>
              <w:bottom w:w="0" w:type="dxa"/>
              <w:right w:w="108" w:type="dxa"/>
            </w:tcMar>
            <w:vAlign w:val="center"/>
          </w:tcPr>
          <w:p w14:paraId="32C734A3" w14:textId="77777777" w:rsidR="00422EFE" w:rsidRPr="00261B7A" w:rsidRDefault="00422EFE" w:rsidP="00D41492">
            <w:pPr>
              <w:pStyle w:val="TableText"/>
              <w:spacing w:before="30" w:after="30"/>
              <w:jc w:val="right"/>
            </w:pPr>
            <w:r w:rsidRPr="00261B7A">
              <w:rPr>
                <w:rFonts w:eastAsia="Calibri"/>
                <w:color w:val="000000"/>
              </w:rPr>
              <w:t>1,815.2</w:t>
            </w:r>
          </w:p>
        </w:tc>
      </w:tr>
      <w:tr w:rsidR="00422EFE" w:rsidRPr="00261B7A" w14:paraId="5BB00893" w14:textId="77777777" w:rsidTr="00D41492">
        <w:tc>
          <w:tcPr>
            <w:tcW w:w="0" w:type="auto"/>
            <w:shd w:val="clear" w:color="auto" w:fill="FFFFFF"/>
            <w:tcMar>
              <w:top w:w="0" w:type="dxa"/>
              <w:left w:w="108" w:type="dxa"/>
              <w:bottom w:w="0" w:type="dxa"/>
              <w:right w:w="108" w:type="dxa"/>
            </w:tcMar>
            <w:vAlign w:val="center"/>
          </w:tcPr>
          <w:p w14:paraId="376BFDBF" w14:textId="77777777" w:rsidR="00422EFE" w:rsidRPr="00261B7A" w:rsidRDefault="00422EFE" w:rsidP="00D41492">
            <w:pPr>
              <w:pStyle w:val="TableText"/>
              <w:spacing w:before="30" w:after="30"/>
            </w:pPr>
            <w:r w:rsidRPr="00261B7A">
              <w:rPr>
                <w:rFonts w:eastAsia="Calibri"/>
              </w:rPr>
              <w:t>1959</w:t>
            </w:r>
          </w:p>
        </w:tc>
        <w:tc>
          <w:tcPr>
            <w:tcW w:w="0" w:type="auto"/>
            <w:shd w:val="clear" w:color="auto" w:fill="FFFFFF"/>
            <w:tcMar>
              <w:top w:w="0" w:type="dxa"/>
              <w:left w:w="108" w:type="dxa"/>
              <w:bottom w:w="0" w:type="dxa"/>
              <w:right w:w="108" w:type="dxa"/>
            </w:tcMar>
            <w:vAlign w:val="center"/>
          </w:tcPr>
          <w:p w14:paraId="44F268D2" w14:textId="77777777" w:rsidR="00422EFE" w:rsidRPr="00261B7A" w:rsidRDefault="00422EFE" w:rsidP="00D41492">
            <w:pPr>
              <w:pStyle w:val="TableText"/>
              <w:spacing w:before="30" w:after="30"/>
              <w:jc w:val="right"/>
            </w:pPr>
            <w:r w:rsidRPr="00261B7A">
              <w:rPr>
                <w:rFonts w:eastAsia="Calibri"/>
                <w:color w:val="000000"/>
              </w:rPr>
              <w:t>799.7</w:t>
            </w:r>
          </w:p>
        </w:tc>
        <w:tc>
          <w:tcPr>
            <w:tcW w:w="0" w:type="auto"/>
            <w:shd w:val="clear" w:color="auto" w:fill="FFFFFF"/>
            <w:tcMar>
              <w:top w:w="0" w:type="dxa"/>
              <w:left w:w="108" w:type="dxa"/>
              <w:bottom w:w="0" w:type="dxa"/>
              <w:right w:w="108" w:type="dxa"/>
            </w:tcMar>
            <w:vAlign w:val="center"/>
          </w:tcPr>
          <w:p w14:paraId="22AC115D" w14:textId="77777777" w:rsidR="00422EFE" w:rsidRPr="00261B7A" w:rsidRDefault="00422EFE" w:rsidP="00D41492">
            <w:pPr>
              <w:pStyle w:val="TableText"/>
              <w:spacing w:before="30" w:after="30"/>
              <w:jc w:val="right"/>
            </w:pPr>
            <w:r w:rsidRPr="00261B7A">
              <w:rPr>
                <w:rFonts w:eastAsia="Calibri"/>
                <w:color w:val="000000"/>
              </w:rPr>
              <w:t>1,055.8</w:t>
            </w:r>
          </w:p>
        </w:tc>
        <w:tc>
          <w:tcPr>
            <w:tcW w:w="0" w:type="auto"/>
            <w:shd w:val="clear" w:color="auto" w:fill="FFFFFF"/>
            <w:tcMar>
              <w:top w:w="0" w:type="dxa"/>
              <w:left w:w="108" w:type="dxa"/>
              <w:bottom w:w="0" w:type="dxa"/>
              <w:right w:w="108" w:type="dxa"/>
            </w:tcMar>
            <w:vAlign w:val="center"/>
          </w:tcPr>
          <w:p w14:paraId="3E22E4CB" w14:textId="77777777" w:rsidR="00422EFE" w:rsidRPr="00261B7A" w:rsidRDefault="00422EFE" w:rsidP="00D41492">
            <w:pPr>
              <w:pStyle w:val="TableText"/>
              <w:spacing w:before="30" w:after="30"/>
              <w:jc w:val="right"/>
            </w:pPr>
            <w:r w:rsidRPr="00261B7A">
              <w:rPr>
                <w:rFonts w:eastAsia="Calibri"/>
                <w:color w:val="000000"/>
              </w:rPr>
              <w:t>1,855.5</w:t>
            </w:r>
          </w:p>
        </w:tc>
      </w:tr>
      <w:tr w:rsidR="00422EFE" w:rsidRPr="00261B7A" w14:paraId="5974791C" w14:textId="77777777" w:rsidTr="00D41492">
        <w:tc>
          <w:tcPr>
            <w:tcW w:w="0" w:type="auto"/>
            <w:shd w:val="clear" w:color="auto" w:fill="FFFFFF"/>
            <w:tcMar>
              <w:top w:w="0" w:type="dxa"/>
              <w:left w:w="108" w:type="dxa"/>
              <w:bottom w:w="0" w:type="dxa"/>
              <w:right w:w="108" w:type="dxa"/>
            </w:tcMar>
            <w:vAlign w:val="center"/>
          </w:tcPr>
          <w:p w14:paraId="0B45DE86" w14:textId="77777777" w:rsidR="00422EFE" w:rsidRPr="00261B7A" w:rsidRDefault="00422EFE" w:rsidP="00D41492">
            <w:pPr>
              <w:pStyle w:val="TableText"/>
              <w:spacing w:before="30" w:after="30"/>
            </w:pPr>
            <w:r w:rsidRPr="00261B7A">
              <w:rPr>
                <w:rFonts w:eastAsia="Calibri"/>
              </w:rPr>
              <w:t>1960</w:t>
            </w:r>
          </w:p>
        </w:tc>
        <w:tc>
          <w:tcPr>
            <w:tcW w:w="0" w:type="auto"/>
            <w:shd w:val="clear" w:color="auto" w:fill="FFFFFF"/>
            <w:tcMar>
              <w:top w:w="0" w:type="dxa"/>
              <w:left w:w="108" w:type="dxa"/>
              <w:bottom w:w="0" w:type="dxa"/>
              <w:right w:w="108" w:type="dxa"/>
            </w:tcMar>
            <w:vAlign w:val="center"/>
          </w:tcPr>
          <w:p w14:paraId="12767C78" w14:textId="77777777" w:rsidR="00422EFE" w:rsidRPr="00261B7A" w:rsidRDefault="00422EFE" w:rsidP="00D41492">
            <w:pPr>
              <w:pStyle w:val="TableText"/>
              <w:spacing w:before="30" w:after="30"/>
              <w:jc w:val="right"/>
            </w:pPr>
            <w:r w:rsidRPr="00261B7A">
              <w:rPr>
                <w:rFonts w:eastAsia="Calibri"/>
                <w:color w:val="000000"/>
              </w:rPr>
              <w:t>738.1</w:t>
            </w:r>
          </w:p>
        </w:tc>
        <w:tc>
          <w:tcPr>
            <w:tcW w:w="0" w:type="auto"/>
            <w:shd w:val="clear" w:color="auto" w:fill="FFFFFF"/>
            <w:tcMar>
              <w:top w:w="0" w:type="dxa"/>
              <w:left w:w="108" w:type="dxa"/>
              <w:bottom w:w="0" w:type="dxa"/>
              <w:right w:w="108" w:type="dxa"/>
            </w:tcMar>
            <w:vAlign w:val="center"/>
          </w:tcPr>
          <w:p w14:paraId="6691CD80" w14:textId="77777777" w:rsidR="00422EFE" w:rsidRPr="00261B7A" w:rsidRDefault="00422EFE" w:rsidP="00D41492">
            <w:pPr>
              <w:pStyle w:val="TableText"/>
              <w:spacing w:before="30" w:after="30"/>
              <w:jc w:val="right"/>
            </w:pPr>
            <w:r w:rsidRPr="00261B7A">
              <w:rPr>
                <w:rFonts w:eastAsia="Calibri"/>
                <w:color w:val="000000"/>
              </w:rPr>
              <w:t>1,094.4</w:t>
            </w:r>
          </w:p>
        </w:tc>
        <w:tc>
          <w:tcPr>
            <w:tcW w:w="0" w:type="auto"/>
            <w:shd w:val="clear" w:color="auto" w:fill="FFFFFF"/>
            <w:tcMar>
              <w:top w:w="0" w:type="dxa"/>
              <w:left w:w="108" w:type="dxa"/>
              <w:bottom w:w="0" w:type="dxa"/>
              <w:right w:w="108" w:type="dxa"/>
            </w:tcMar>
            <w:vAlign w:val="center"/>
          </w:tcPr>
          <w:p w14:paraId="02859367" w14:textId="77777777" w:rsidR="00422EFE" w:rsidRPr="00261B7A" w:rsidRDefault="00422EFE" w:rsidP="00D41492">
            <w:pPr>
              <w:pStyle w:val="TableText"/>
              <w:spacing w:before="30" w:after="30"/>
              <w:jc w:val="right"/>
            </w:pPr>
            <w:r w:rsidRPr="00261B7A">
              <w:rPr>
                <w:rFonts w:eastAsia="Calibri"/>
                <w:color w:val="000000"/>
              </w:rPr>
              <w:t>1,832.5</w:t>
            </w:r>
          </w:p>
        </w:tc>
      </w:tr>
      <w:tr w:rsidR="00422EFE" w:rsidRPr="00261B7A" w14:paraId="3D364D16" w14:textId="77777777" w:rsidTr="00D41492">
        <w:tc>
          <w:tcPr>
            <w:tcW w:w="0" w:type="auto"/>
            <w:shd w:val="clear" w:color="auto" w:fill="FFFFFF"/>
            <w:tcMar>
              <w:top w:w="0" w:type="dxa"/>
              <w:left w:w="108" w:type="dxa"/>
              <w:bottom w:w="0" w:type="dxa"/>
              <w:right w:w="108" w:type="dxa"/>
            </w:tcMar>
            <w:vAlign w:val="center"/>
          </w:tcPr>
          <w:p w14:paraId="645704D5" w14:textId="77777777" w:rsidR="00422EFE" w:rsidRPr="00261B7A" w:rsidRDefault="00422EFE" w:rsidP="00D41492">
            <w:pPr>
              <w:pStyle w:val="TableText"/>
              <w:spacing w:before="30" w:after="30"/>
            </w:pPr>
            <w:r w:rsidRPr="00261B7A">
              <w:rPr>
                <w:rFonts w:eastAsia="Calibri"/>
              </w:rPr>
              <w:t>1961</w:t>
            </w:r>
          </w:p>
        </w:tc>
        <w:tc>
          <w:tcPr>
            <w:tcW w:w="0" w:type="auto"/>
            <w:shd w:val="clear" w:color="auto" w:fill="FFFFFF"/>
            <w:tcMar>
              <w:top w:w="0" w:type="dxa"/>
              <w:left w:w="108" w:type="dxa"/>
              <w:bottom w:w="0" w:type="dxa"/>
              <w:right w:w="108" w:type="dxa"/>
            </w:tcMar>
            <w:vAlign w:val="center"/>
          </w:tcPr>
          <w:p w14:paraId="7961522A" w14:textId="77777777" w:rsidR="00422EFE" w:rsidRPr="00261B7A" w:rsidRDefault="00422EFE" w:rsidP="00D41492">
            <w:pPr>
              <w:pStyle w:val="TableText"/>
              <w:spacing w:before="30" w:after="30"/>
              <w:jc w:val="right"/>
            </w:pPr>
            <w:r w:rsidRPr="00261B7A">
              <w:rPr>
                <w:rFonts w:eastAsia="Calibri"/>
                <w:color w:val="000000"/>
              </w:rPr>
              <w:t>702.0</w:t>
            </w:r>
          </w:p>
        </w:tc>
        <w:tc>
          <w:tcPr>
            <w:tcW w:w="0" w:type="auto"/>
            <w:shd w:val="clear" w:color="auto" w:fill="FFFFFF"/>
            <w:tcMar>
              <w:top w:w="0" w:type="dxa"/>
              <w:left w:w="108" w:type="dxa"/>
              <w:bottom w:w="0" w:type="dxa"/>
              <w:right w:w="108" w:type="dxa"/>
            </w:tcMar>
            <w:vAlign w:val="center"/>
          </w:tcPr>
          <w:p w14:paraId="259A1FF4" w14:textId="77777777" w:rsidR="00422EFE" w:rsidRPr="00261B7A" w:rsidRDefault="00422EFE" w:rsidP="00D41492">
            <w:pPr>
              <w:pStyle w:val="TableText"/>
              <w:spacing w:before="30" w:after="30"/>
              <w:jc w:val="right"/>
            </w:pPr>
            <w:r w:rsidRPr="00261B7A">
              <w:rPr>
                <w:rFonts w:eastAsia="Calibri"/>
                <w:color w:val="000000"/>
              </w:rPr>
              <w:t>1,134.4</w:t>
            </w:r>
          </w:p>
        </w:tc>
        <w:tc>
          <w:tcPr>
            <w:tcW w:w="0" w:type="auto"/>
            <w:shd w:val="clear" w:color="auto" w:fill="FFFFFF"/>
            <w:tcMar>
              <w:top w:w="0" w:type="dxa"/>
              <w:left w:w="108" w:type="dxa"/>
              <w:bottom w:w="0" w:type="dxa"/>
              <w:right w:w="108" w:type="dxa"/>
            </w:tcMar>
            <w:vAlign w:val="center"/>
          </w:tcPr>
          <w:p w14:paraId="24C88F83" w14:textId="77777777" w:rsidR="00422EFE" w:rsidRPr="00261B7A" w:rsidRDefault="00422EFE" w:rsidP="00D41492">
            <w:pPr>
              <w:pStyle w:val="TableText"/>
              <w:spacing w:before="30" w:after="30"/>
              <w:jc w:val="right"/>
            </w:pPr>
            <w:r w:rsidRPr="00261B7A">
              <w:rPr>
                <w:rFonts w:eastAsia="Calibri"/>
                <w:color w:val="000000"/>
              </w:rPr>
              <w:t>1,836.3</w:t>
            </w:r>
          </w:p>
        </w:tc>
      </w:tr>
      <w:tr w:rsidR="00422EFE" w:rsidRPr="00261B7A" w14:paraId="24DD8B6C" w14:textId="77777777" w:rsidTr="00D41492">
        <w:tc>
          <w:tcPr>
            <w:tcW w:w="0" w:type="auto"/>
            <w:shd w:val="clear" w:color="auto" w:fill="FFFFFF"/>
            <w:tcMar>
              <w:top w:w="0" w:type="dxa"/>
              <w:left w:w="108" w:type="dxa"/>
              <w:bottom w:w="0" w:type="dxa"/>
              <w:right w:w="108" w:type="dxa"/>
            </w:tcMar>
            <w:vAlign w:val="center"/>
          </w:tcPr>
          <w:p w14:paraId="67381D2E" w14:textId="77777777" w:rsidR="00422EFE" w:rsidRPr="00261B7A" w:rsidRDefault="00422EFE" w:rsidP="00D41492">
            <w:pPr>
              <w:pStyle w:val="TableText"/>
              <w:spacing w:before="30" w:after="30"/>
            </w:pPr>
            <w:r w:rsidRPr="00261B7A">
              <w:rPr>
                <w:rFonts w:eastAsia="Calibri"/>
              </w:rPr>
              <w:t>1962</w:t>
            </w:r>
          </w:p>
        </w:tc>
        <w:tc>
          <w:tcPr>
            <w:tcW w:w="0" w:type="auto"/>
            <w:shd w:val="clear" w:color="auto" w:fill="FFFFFF"/>
            <w:tcMar>
              <w:top w:w="0" w:type="dxa"/>
              <w:left w:w="108" w:type="dxa"/>
              <w:bottom w:w="0" w:type="dxa"/>
              <w:right w:w="108" w:type="dxa"/>
            </w:tcMar>
            <w:vAlign w:val="center"/>
          </w:tcPr>
          <w:p w14:paraId="6EC465E5" w14:textId="77777777" w:rsidR="00422EFE" w:rsidRPr="00261B7A" w:rsidRDefault="00422EFE" w:rsidP="00D41492">
            <w:pPr>
              <w:pStyle w:val="TableText"/>
              <w:spacing w:before="30" w:after="30"/>
              <w:jc w:val="right"/>
            </w:pPr>
            <w:r w:rsidRPr="00261B7A">
              <w:rPr>
                <w:rFonts w:eastAsia="Calibri"/>
                <w:color w:val="000000"/>
              </w:rPr>
              <w:t>698.0</w:t>
            </w:r>
          </w:p>
        </w:tc>
        <w:tc>
          <w:tcPr>
            <w:tcW w:w="0" w:type="auto"/>
            <w:shd w:val="clear" w:color="auto" w:fill="FFFFFF"/>
            <w:tcMar>
              <w:top w:w="0" w:type="dxa"/>
              <w:left w:w="108" w:type="dxa"/>
              <w:bottom w:w="0" w:type="dxa"/>
              <w:right w:w="108" w:type="dxa"/>
            </w:tcMar>
            <w:vAlign w:val="center"/>
          </w:tcPr>
          <w:p w14:paraId="7F85E984" w14:textId="77777777" w:rsidR="00422EFE" w:rsidRPr="00261B7A" w:rsidRDefault="00422EFE" w:rsidP="00D41492">
            <w:pPr>
              <w:pStyle w:val="TableText"/>
              <w:spacing w:before="30" w:after="30"/>
              <w:jc w:val="right"/>
            </w:pPr>
            <w:r w:rsidRPr="00261B7A">
              <w:rPr>
                <w:rFonts w:eastAsia="Calibri"/>
                <w:color w:val="000000"/>
              </w:rPr>
              <w:t>1,175.8</w:t>
            </w:r>
          </w:p>
        </w:tc>
        <w:tc>
          <w:tcPr>
            <w:tcW w:w="0" w:type="auto"/>
            <w:shd w:val="clear" w:color="auto" w:fill="FFFFFF"/>
            <w:tcMar>
              <w:top w:w="0" w:type="dxa"/>
              <w:left w:w="108" w:type="dxa"/>
              <w:bottom w:w="0" w:type="dxa"/>
              <w:right w:w="108" w:type="dxa"/>
            </w:tcMar>
            <w:vAlign w:val="center"/>
          </w:tcPr>
          <w:p w14:paraId="4F5C5960" w14:textId="77777777" w:rsidR="00422EFE" w:rsidRPr="00261B7A" w:rsidRDefault="00422EFE" w:rsidP="00D41492">
            <w:pPr>
              <w:pStyle w:val="TableText"/>
              <w:spacing w:before="30" w:after="30"/>
              <w:jc w:val="right"/>
            </w:pPr>
            <w:r w:rsidRPr="00261B7A">
              <w:rPr>
                <w:rFonts w:eastAsia="Calibri"/>
                <w:color w:val="000000"/>
              </w:rPr>
              <w:t>1,873.8</w:t>
            </w:r>
          </w:p>
        </w:tc>
      </w:tr>
      <w:tr w:rsidR="00422EFE" w:rsidRPr="00261B7A" w14:paraId="75524B47" w14:textId="77777777" w:rsidTr="00D41492">
        <w:tc>
          <w:tcPr>
            <w:tcW w:w="0" w:type="auto"/>
            <w:shd w:val="clear" w:color="auto" w:fill="FFFFFF"/>
            <w:tcMar>
              <w:top w:w="0" w:type="dxa"/>
              <w:left w:w="108" w:type="dxa"/>
              <w:bottom w:w="0" w:type="dxa"/>
              <w:right w:w="108" w:type="dxa"/>
            </w:tcMar>
            <w:vAlign w:val="center"/>
          </w:tcPr>
          <w:p w14:paraId="623A7604" w14:textId="77777777" w:rsidR="00422EFE" w:rsidRPr="00261B7A" w:rsidRDefault="00422EFE" w:rsidP="00D41492">
            <w:pPr>
              <w:pStyle w:val="TableText"/>
              <w:spacing w:before="30" w:after="30"/>
            </w:pPr>
            <w:r w:rsidRPr="00261B7A">
              <w:rPr>
                <w:rFonts w:eastAsia="Calibri"/>
              </w:rPr>
              <w:t>1963</w:t>
            </w:r>
          </w:p>
        </w:tc>
        <w:tc>
          <w:tcPr>
            <w:tcW w:w="0" w:type="auto"/>
            <w:shd w:val="clear" w:color="auto" w:fill="FFFFFF"/>
            <w:tcMar>
              <w:top w:w="0" w:type="dxa"/>
              <w:left w:w="108" w:type="dxa"/>
              <w:bottom w:w="0" w:type="dxa"/>
              <w:right w:w="108" w:type="dxa"/>
            </w:tcMar>
            <w:vAlign w:val="center"/>
          </w:tcPr>
          <w:p w14:paraId="77CE51BD" w14:textId="77777777" w:rsidR="00422EFE" w:rsidRPr="00261B7A" w:rsidRDefault="00422EFE" w:rsidP="00D41492">
            <w:pPr>
              <w:pStyle w:val="TableText"/>
              <w:spacing w:before="30" w:after="30"/>
              <w:jc w:val="right"/>
            </w:pPr>
            <w:r w:rsidRPr="00261B7A">
              <w:rPr>
                <w:rFonts w:eastAsia="Calibri"/>
                <w:color w:val="000000"/>
              </w:rPr>
              <w:t>693.6</w:t>
            </w:r>
          </w:p>
        </w:tc>
        <w:tc>
          <w:tcPr>
            <w:tcW w:w="0" w:type="auto"/>
            <w:shd w:val="clear" w:color="auto" w:fill="FFFFFF"/>
            <w:tcMar>
              <w:top w:w="0" w:type="dxa"/>
              <w:left w:w="108" w:type="dxa"/>
              <w:bottom w:w="0" w:type="dxa"/>
              <w:right w:w="108" w:type="dxa"/>
            </w:tcMar>
            <w:vAlign w:val="center"/>
          </w:tcPr>
          <w:p w14:paraId="4122BB24" w14:textId="77777777" w:rsidR="00422EFE" w:rsidRPr="00261B7A" w:rsidRDefault="00422EFE" w:rsidP="00D41492">
            <w:pPr>
              <w:pStyle w:val="TableText"/>
              <w:spacing w:before="30" w:after="30"/>
              <w:jc w:val="right"/>
            </w:pPr>
            <w:r w:rsidRPr="00261B7A">
              <w:rPr>
                <w:rFonts w:eastAsia="Calibri"/>
                <w:color w:val="000000"/>
              </w:rPr>
              <w:t>1,218.6</w:t>
            </w:r>
          </w:p>
        </w:tc>
        <w:tc>
          <w:tcPr>
            <w:tcW w:w="0" w:type="auto"/>
            <w:shd w:val="clear" w:color="auto" w:fill="FFFFFF"/>
            <w:tcMar>
              <w:top w:w="0" w:type="dxa"/>
              <w:left w:w="108" w:type="dxa"/>
              <w:bottom w:w="0" w:type="dxa"/>
              <w:right w:w="108" w:type="dxa"/>
            </w:tcMar>
            <w:vAlign w:val="center"/>
          </w:tcPr>
          <w:p w14:paraId="6C723B1A" w14:textId="77777777" w:rsidR="00422EFE" w:rsidRPr="00261B7A" w:rsidRDefault="00422EFE" w:rsidP="00D41492">
            <w:pPr>
              <w:pStyle w:val="TableText"/>
              <w:spacing w:before="30" w:after="30"/>
              <w:jc w:val="right"/>
            </w:pPr>
            <w:r w:rsidRPr="00261B7A">
              <w:rPr>
                <w:rFonts w:eastAsia="Calibri"/>
                <w:color w:val="000000"/>
              </w:rPr>
              <w:t>1,912.2</w:t>
            </w:r>
          </w:p>
        </w:tc>
      </w:tr>
      <w:tr w:rsidR="00422EFE" w:rsidRPr="00261B7A" w14:paraId="4477F836" w14:textId="77777777" w:rsidTr="00D41492">
        <w:tc>
          <w:tcPr>
            <w:tcW w:w="0" w:type="auto"/>
            <w:shd w:val="clear" w:color="auto" w:fill="FFFFFF"/>
            <w:tcMar>
              <w:top w:w="0" w:type="dxa"/>
              <w:left w:w="108" w:type="dxa"/>
              <w:bottom w:w="0" w:type="dxa"/>
              <w:right w:w="108" w:type="dxa"/>
            </w:tcMar>
            <w:vAlign w:val="center"/>
          </w:tcPr>
          <w:p w14:paraId="711EE64A" w14:textId="77777777" w:rsidR="00422EFE" w:rsidRPr="00261B7A" w:rsidRDefault="00422EFE" w:rsidP="00D41492">
            <w:pPr>
              <w:pStyle w:val="TableText"/>
              <w:spacing w:before="30" w:after="30"/>
            </w:pPr>
            <w:r w:rsidRPr="00261B7A">
              <w:rPr>
                <w:rFonts w:eastAsia="Calibri"/>
              </w:rPr>
              <w:t>1964</w:t>
            </w:r>
          </w:p>
        </w:tc>
        <w:tc>
          <w:tcPr>
            <w:tcW w:w="0" w:type="auto"/>
            <w:shd w:val="clear" w:color="auto" w:fill="FFFFFF"/>
            <w:tcMar>
              <w:top w:w="0" w:type="dxa"/>
              <w:left w:w="108" w:type="dxa"/>
              <w:bottom w:w="0" w:type="dxa"/>
              <w:right w:w="108" w:type="dxa"/>
            </w:tcMar>
            <w:vAlign w:val="center"/>
          </w:tcPr>
          <w:p w14:paraId="49759CB1" w14:textId="77777777" w:rsidR="00422EFE" w:rsidRPr="00261B7A" w:rsidRDefault="00422EFE" w:rsidP="00D41492">
            <w:pPr>
              <w:pStyle w:val="TableText"/>
              <w:spacing w:before="30" w:after="30"/>
              <w:jc w:val="right"/>
            </w:pPr>
            <w:r w:rsidRPr="00261B7A">
              <w:rPr>
                <w:rFonts w:eastAsia="Calibri"/>
                <w:color w:val="000000"/>
              </w:rPr>
              <w:t>687.9</w:t>
            </w:r>
          </w:p>
        </w:tc>
        <w:tc>
          <w:tcPr>
            <w:tcW w:w="0" w:type="auto"/>
            <w:shd w:val="clear" w:color="auto" w:fill="FFFFFF"/>
            <w:tcMar>
              <w:top w:w="0" w:type="dxa"/>
              <w:left w:w="108" w:type="dxa"/>
              <w:bottom w:w="0" w:type="dxa"/>
              <w:right w:w="108" w:type="dxa"/>
            </w:tcMar>
            <w:vAlign w:val="center"/>
          </w:tcPr>
          <w:p w14:paraId="40091D39" w14:textId="77777777" w:rsidR="00422EFE" w:rsidRPr="00261B7A" w:rsidRDefault="00422EFE" w:rsidP="00D41492">
            <w:pPr>
              <w:pStyle w:val="TableText"/>
              <w:spacing w:before="30" w:after="30"/>
              <w:jc w:val="right"/>
            </w:pPr>
            <w:r w:rsidRPr="00261B7A">
              <w:rPr>
                <w:rFonts w:eastAsia="Calibri"/>
                <w:color w:val="000000"/>
              </w:rPr>
              <w:t>1,263.1</w:t>
            </w:r>
          </w:p>
        </w:tc>
        <w:tc>
          <w:tcPr>
            <w:tcW w:w="0" w:type="auto"/>
            <w:shd w:val="clear" w:color="auto" w:fill="FFFFFF"/>
            <w:tcMar>
              <w:top w:w="0" w:type="dxa"/>
              <w:left w:w="108" w:type="dxa"/>
              <w:bottom w:w="0" w:type="dxa"/>
              <w:right w:w="108" w:type="dxa"/>
            </w:tcMar>
            <w:vAlign w:val="center"/>
          </w:tcPr>
          <w:p w14:paraId="38B2F544" w14:textId="77777777" w:rsidR="00422EFE" w:rsidRPr="00261B7A" w:rsidRDefault="00422EFE" w:rsidP="00D41492">
            <w:pPr>
              <w:pStyle w:val="TableText"/>
              <w:spacing w:before="30" w:after="30"/>
              <w:jc w:val="right"/>
            </w:pPr>
            <w:r w:rsidRPr="00261B7A">
              <w:rPr>
                <w:rFonts w:eastAsia="Calibri"/>
                <w:color w:val="000000"/>
              </w:rPr>
              <w:t>1,950.9</w:t>
            </w:r>
          </w:p>
        </w:tc>
      </w:tr>
      <w:tr w:rsidR="00422EFE" w:rsidRPr="00261B7A" w14:paraId="15634AD4" w14:textId="77777777" w:rsidTr="00D41492">
        <w:tc>
          <w:tcPr>
            <w:tcW w:w="0" w:type="auto"/>
            <w:shd w:val="clear" w:color="auto" w:fill="FFFFFF"/>
            <w:tcMar>
              <w:top w:w="0" w:type="dxa"/>
              <w:left w:w="108" w:type="dxa"/>
              <w:bottom w:w="0" w:type="dxa"/>
              <w:right w:w="108" w:type="dxa"/>
            </w:tcMar>
            <w:vAlign w:val="center"/>
          </w:tcPr>
          <w:p w14:paraId="497A0689" w14:textId="77777777" w:rsidR="00422EFE" w:rsidRPr="00261B7A" w:rsidRDefault="00422EFE" w:rsidP="00D41492">
            <w:pPr>
              <w:pStyle w:val="TableText"/>
              <w:spacing w:before="30" w:after="30"/>
            </w:pPr>
            <w:r w:rsidRPr="00261B7A">
              <w:rPr>
                <w:rFonts w:eastAsia="Calibri"/>
              </w:rPr>
              <w:t>1965</w:t>
            </w:r>
          </w:p>
        </w:tc>
        <w:tc>
          <w:tcPr>
            <w:tcW w:w="0" w:type="auto"/>
            <w:shd w:val="clear" w:color="auto" w:fill="FFFFFF"/>
            <w:tcMar>
              <w:top w:w="0" w:type="dxa"/>
              <w:left w:w="108" w:type="dxa"/>
              <w:bottom w:w="0" w:type="dxa"/>
              <w:right w:w="108" w:type="dxa"/>
            </w:tcMar>
            <w:vAlign w:val="center"/>
          </w:tcPr>
          <w:p w14:paraId="69598438" w14:textId="77777777" w:rsidR="00422EFE" w:rsidRPr="00261B7A" w:rsidRDefault="00422EFE" w:rsidP="00D41492">
            <w:pPr>
              <w:pStyle w:val="TableText"/>
              <w:spacing w:before="30" w:after="30"/>
              <w:jc w:val="right"/>
            </w:pPr>
            <w:r w:rsidRPr="00261B7A">
              <w:rPr>
                <w:rFonts w:eastAsia="Calibri"/>
                <w:color w:val="000000"/>
              </w:rPr>
              <w:t>676.1</w:t>
            </w:r>
          </w:p>
        </w:tc>
        <w:tc>
          <w:tcPr>
            <w:tcW w:w="0" w:type="auto"/>
            <w:shd w:val="clear" w:color="auto" w:fill="FFFFFF"/>
            <w:tcMar>
              <w:top w:w="0" w:type="dxa"/>
              <w:left w:w="108" w:type="dxa"/>
              <w:bottom w:w="0" w:type="dxa"/>
              <w:right w:w="108" w:type="dxa"/>
            </w:tcMar>
            <w:vAlign w:val="center"/>
          </w:tcPr>
          <w:p w14:paraId="2A323901" w14:textId="77777777" w:rsidR="00422EFE" w:rsidRPr="00261B7A" w:rsidRDefault="00422EFE" w:rsidP="00D41492">
            <w:pPr>
              <w:pStyle w:val="TableText"/>
              <w:spacing w:before="30" w:after="30"/>
              <w:jc w:val="right"/>
            </w:pPr>
            <w:r w:rsidRPr="00261B7A">
              <w:rPr>
                <w:rFonts w:eastAsia="Calibri"/>
                <w:color w:val="000000"/>
              </w:rPr>
              <w:t>1,309.1</w:t>
            </w:r>
          </w:p>
        </w:tc>
        <w:tc>
          <w:tcPr>
            <w:tcW w:w="0" w:type="auto"/>
            <w:shd w:val="clear" w:color="auto" w:fill="FFFFFF"/>
            <w:tcMar>
              <w:top w:w="0" w:type="dxa"/>
              <w:left w:w="108" w:type="dxa"/>
              <w:bottom w:w="0" w:type="dxa"/>
              <w:right w:w="108" w:type="dxa"/>
            </w:tcMar>
            <w:vAlign w:val="center"/>
          </w:tcPr>
          <w:p w14:paraId="63C19AFA" w14:textId="77777777" w:rsidR="00422EFE" w:rsidRPr="00261B7A" w:rsidRDefault="00422EFE" w:rsidP="00D41492">
            <w:pPr>
              <w:pStyle w:val="TableText"/>
              <w:spacing w:before="30" w:after="30"/>
              <w:jc w:val="right"/>
            </w:pPr>
            <w:r w:rsidRPr="00261B7A">
              <w:rPr>
                <w:rFonts w:eastAsia="Calibri"/>
                <w:color w:val="000000"/>
              </w:rPr>
              <w:t>1,985.2</w:t>
            </w:r>
          </w:p>
        </w:tc>
      </w:tr>
      <w:tr w:rsidR="00422EFE" w:rsidRPr="00261B7A" w14:paraId="1A9D4444" w14:textId="77777777" w:rsidTr="00D41492">
        <w:tc>
          <w:tcPr>
            <w:tcW w:w="0" w:type="auto"/>
            <w:shd w:val="clear" w:color="auto" w:fill="FFFFFF"/>
            <w:tcMar>
              <w:top w:w="0" w:type="dxa"/>
              <w:left w:w="108" w:type="dxa"/>
              <w:bottom w:w="0" w:type="dxa"/>
              <w:right w:w="108" w:type="dxa"/>
            </w:tcMar>
            <w:vAlign w:val="center"/>
          </w:tcPr>
          <w:p w14:paraId="1D3A70F9" w14:textId="77777777" w:rsidR="00422EFE" w:rsidRPr="00261B7A" w:rsidRDefault="00422EFE" w:rsidP="00D41492">
            <w:pPr>
              <w:pStyle w:val="TableText"/>
              <w:spacing w:before="30" w:after="30"/>
            </w:pPr>
            <w:r w:rsidRPr="00261B7A">
              <w:rPr>
                <w:rFonts w:eastAsia="Calibri"/>
              </w:rPr>
              <w:t>1966</w:t>
            </w:r>
          </w:p>
        </w:tc>
        <w:tc>
          <w:tcPr>
            <w:tcW w:w="0" w:type="auto"/>
            <w:shd w:val="clear" w:color="auto" w:fill="FFFFFF"/>
            <w:tcMar>
              <w:top w:w="0" w:type="dxa"/>
              <w:left w:w="108" w:type="dxa"/>
              <w:bottom w:w="0" w:type="dxa"/>
              <w:right w:w="108" w:type="dxa"/>
            </w:tcMar>
            <w:vAlign w:val="center"/>
          </w:tcPr>
          <w:p w14:paraId="660CBEA5" w14:textId="77777777" w:rsidR="00422EFE" w:rsidRPr="00261B7A" w:rsidRDefault="00422EFE" w:rsidP="00D41492">
            <w:pPr>
              <w:pStyle w:val="TableText"/>
              <w:spacing w:before="30" w:after="30"/>
              <w:jc w:val="right"/>
            </w:pPr>
            <w:r w:rsidRPr="00261B7A">
              <w:rPr>
                <w:rFonts w:eastAsia="Calibri"/>
                <w:color w:val="000000"/>
              </w:rPr>
              <w:t>670.6</w:t>
            </w:r>
          </w:p>
        </w:tc>
        <w:tc>
          <w:tcPr>
            <w:tcW w:w="0" w:type="auto"/>
            <w:shd w:val="clear" w:color="auto" w:fill="FFFFFF"/>
            <w:tcMar>
              <w:top w:w="0" w:type="dxa"/>
              <w:left w:w="108" w:type="dxa"/>
              <w:bottom w:w="0" w:type="dxa"/>
              <w:right w:w="108" w:type="dxa"/>
            </w:tcMar>
            <w:vAlign w:val="center"/>
          </w:tcPr>
          <w:p w14:paraId="11FAB701" w14:textId="77777777" w:rsidR="00422EFE" w:rsidRPr="00261B7A" w:rsidRDefault="00422EFE" w:rsidP="00D41492">
            <w:pPr>
              <w:pStyle w:val="TableText"/>
              <w:spacing w:before="30" w:after="30"/>
              <w:jc w:val="right"/>
            </w:pPr>
            <w:r w:rsidRPr="00261B7A">
              <w:rPr>
                <w:rFonts w:eastAsia="Calibri"/>
                <w:color w:val="000000"/>
              </w:rPr>
              <w:t>1,356.8</w:t>
            </w:r>
          </w:p>
        </w:tc>
        <w:tc>
          <w:tcPr>
            <w:tcW w:w="0" w:type="auto"/>
            <w:shd w:val="clear" w:color="auto" w:fill="FFFFFF"/>
            <w:tcMar>
              <w:top w:w="0" w:type="dxa"/>
              <w:left w:w="108" w:type="dxa"/>
              <w:bottom w:w="0" w:type="dxa"/>
              <w:right w:w="108" w:type="dxa"/>
            </w:tcMar>
            <w:vAlign w:val="center"/>
          </w:tcPr>
          <w:p w14:paraId="5A4B6CE4" w14:textId="77777777" w:rsidR="00422EFE" w:rsidRPr="00261B7A" w:rsidRDefault="00422EFE" w:rsidP="00D41492">
            <w:pPr>
              <w:pStyle w:val="TableText"/>
              <w:spacing w:before="30" w:after="30"/>
              <w:jc w:val="right"/>
            </w:pPr>
            <w:r w:rsidRPr="00261B7A">
              <w:rPr>
                <w:rFonts w:eastAsia="Calibri"/>
                <w:color w:val="000000"/>
              </w:rPr>
              <w:t>2,027.3</w:t>
            </w:r>
          </w:p>
        </w:tc>
      </w:tr>
      <w:tr w:rsidR="00422EFE" w:rsidRPr="00261B7A" w14:paraId="6ED4F2D2" w14:textId="77777777" w:rsidTr="00D41492">
        <w:tc>
          <w:tcPr>
            <w:tcW w:w="0" w:type="auto"/>
            <w:shd w:val="clear" w:color="auto" w:fill="FFFFFF"/>
            <w:tcMar>
              <w:top w:w="0" w:type="dxa"/>
              <w:left w:w="108" w:type="dxa"/>
              <w:bottom w:w="0" w:type="dxa"/>
              <w:right w:w="108" w:type="dxa"/>
            </w:tcMar>
            <w:vAlign w:val="center"/>
          </w:tcPr>
          <w:p w14:paraId="1E50AB96" w14:textId="77777777" w:rsidR="00422EFE" w:rsidRPr="00261B7A" w:rsidRDefault="00422EFE" w:rsidP="00D41492">
            <w:pPr>
              <w:pStyle w:val="TableText"/>
              <w:spacing w:before="30" w:after="30"/>
            </w:pPr>
            <w:r w:rsidRPr="00261B7A">
              <w:rPr>
                <w:rFonts w:eastAsia="Calibri"/>
              </w:rPr>
              <w:t>1967</w:t>
            </w:r>
          </w:p>
        </w:tc>
        <w:tc>
          <w:tcPr>
            <w:tcW w:w="0" w:type="auto"/>
            <w:shd w:val="clear" w:color="auto" w:fill="FFFFFF"/>
            <w:tcMar>
              <w:top w:w="0" w:type="dxa"/>
              <w:left w:w="108" w:type="dxa"/>
              <w:bottom w:w="0" w:type="dxa"/>
              <w:right w:w="108" w:type="dxa"/>
            </w:tcMar>
            <w:vAlign w:val="center"/>
          </w:tcPr>
          <w:p w14:paraId="17D36CE4" w14:textId="77777777" w:rsidR="00422EFE" w:rsidRPr="00261B7A" w:rsidRDefault="00422EFE" w:rsidP="00D41492">
            <w:pPr>
              <w:pStyle w:val="TableText"/>
              <w:spacing w:before="30" w:after="30"/>
              <w:jc w:val="right"/>
            </w:pPr>
            <w:r w:rsidRPr="00261B7A">
              <w:rPr>
                <w:rFonts w:eastAsia="Calibri"/>
                <w:color w:val="000000"/>
              </w:rPr>
              <w:t>654.1</w:t>
            </w:r>
          </w:p>
        </w:tc>
        <w:tc>
          <w:tcPr>
            <w:tcW w:w="0" w:type="auto"/>
            <w:shd w:val="clear" w:color="auto" w:fill="FFFFFF"/>
            <w:tcMar>
              <w:top w:w="0" w:type="dxa"/>
              <w:left w:w="108" w:type="dxa"/>
              <w:bottom w:w="0" w:type="dxa"/>
              <w:right w:w="108" w:type="dxa"/>
            </w:tcMar>
            <w:vAlign w:val="center"/>
          </w:tcPr>
          <w:p w14:paraId="250520AD" w14:textId="77777777" w:rsidR="00422EFE" w:rsidRPr="00261B7A" w:rsidRDefault="00422EFE" w:rsidP="00D41492">
            <w:pPr>
              <w:pStyle w:val="TableText"/>
              <w:spacing w:before="30" w:after="30"/>
              <w:jc w:val="right"/>
            </w:pPr>
            <w:r w:rsidRPr="00261B7A">
              <w:rPr>
                <w:rFonts w:eastAsia="Calibri"/>
                <w:color w:val="000000"/>
              </w:rPr>
              <w:t>1,406.1</w:t>
            </w:r>
          </w:p>
        </w:tc>
        <w:tc>
          <w:tcPr>
            <w:tcW w:w="0" w:type="auto"/>
            <w:shd w:val="clear" w:color="auto" w:fill="FFFFFF"/>
            <w:tcMar>
              <w:top w:w="0" w:type="dxa"/>
              <w:left w:w="108" w:type="dxa"/>
              <w:bottom w:w="0" w:type="dxa"/>
              <w:right w:w="108" w:type="dxa"/>
            </w:tcMar>
            <w:vAlign w:val="center"/>
          </w:tcPr>
          <w:p w14:paraId="50C34904" w14:textId="77777777" w:rsidR="00422EFE" w:rsidRPr="00261B7A" w:rsidRDefault="00422EFE" w:rsidP="00D41492">
            <w:pPr>
              <w:pStyle w:val="TableText"/>
              <w:spacing w:before="30" w:after="30"/>
              <w:jc w:val="right"/>
            </w:pPr>
            <w:r w:rsidRPr="00261B7A">
              <w:rPr>
                <w:rFonts w:eastAsia="Calibri"/>
                <w:color w:val="000000"/>
              </w:rPr>
              <w:t>2,060.3</w:t>
            </w:r>
          </w:p>
        </w:tc>
      </w:tr>
      <w:tr w:rsidR="00422EFE" w:rsidRPr="00261B7A" w14:paraId="79408C5C" w14:textId="77777777" w:rsidTr="00D41492">
        <w:tc>
          <w:tcPr>
            <w:tcW w:w="0" w:type="auto"/>
            <w:shd w:val="clear" w:color="auto" w:fill="FFFFFF"/>
            <w:tcMar>
              <w:top w:w="0" w:type="dxa"/>
              <w:left w:w="108" w:type="dxa"/>
              <w:bottom w:w="0" w:type="dxa"/>
              <w:right w:w="108" w:type="dxa"/>
            </w:tcMar>
            <w:vAlign w:val="center"/>
          </w:tcPr>
          <w:p w14:paraId="7A74505B" w14:textId="77777777" w:rsidR="00422EFE" w:rsidRPr="00261B7A" w:rsidRDefault="00422EFE" w:rsidP="00D41492">
            <w:pPr>
              <w:pStyle w:val="TableText"/>
              <w:spacing w:before="30" w:after="30"/>
            </w:pPr>
            <w:r w:rsidRPr="00261B7A">
              <w:rPr>
                <w:rFonts w:eastAsia="Calibri"/>
              </w:rPr>
              <w:t>1968</w:t>
            </w:r>
          </w:p>
        </w:tc>
        <w:tc>
          <w:tcPr>
            <w:tcW w:w="0" w:type="auto"/>
            <w:shd w:val="clear" w:color="auto" w:fill="FFFFFF"/>
            <w:tcMar>
              <w:top w:w="0" w:type="dxa"/>
              <w:left w:w="108" w:type="dxa"/>
              <w:bottom w:w="0" w:type="dxa"/>
              <w:right w:w="108" w:type="dxa"/>
            </w:tcMar>
            <w:vAlign w:val="center"/>
          </w:tcPr>
          <w:p w14:paraId="5B3BACD1" w14:textId="77777777" w:rsidR="00422EFE" w:rsidRPr="00261B7A" w:rsidRDefault="00422EFE" w:rsidP="00D41492">
            <w:pPr>
              <w:pStyle w:val="TableText"/>
              <w:spacing w:before="30" w:after="30"/>
              <w:jc w:val="right"/>
            </w:pPr>
            <w:r w:rsidRPr="00261B7A">
              <w:rPr>
                <w:rFonts w:eastAsia="Calibri"/>
                <w:color w:val="000000"/>
              </w:rPr>
              <w:t>641.5</w:t>
            </w:r>
          </w:p>
        </w:tc>
        <w:tc>
          <w:tcPr>
            <w:tcW w:w="0" w:type="auto"/>
            <w:shd w:val="clear" w:color="auto" w:fill="FFFFFF"/>
            <w:tcMar>
              <w:top w:w="0" w:type="dxa"/>
              <w:left w:w="108" w:type="dxa"/>
              <w:bottom w:w="0" w:type="dxa"/>
              <w:right w:w="108" w:type="dxa"/>
            </w:tcMar>
            <w:vAlign w:val="center"/>
          </w:tcPr>
          <w:p w14:paraId="1B61AE36" w14:textId="77777777" w:rsidR="00422EFE" w:rsidRPr="00261B7A" w:rsidRDefault="00422EFE" w:rsidP="00D41492">
            <w:pPr>
              <w:pStyle w:val="TableText"/>
              <w:spacing w:before="30" w:after="30"/>
              <w:jc w:val="right"/>
            </w:pPr>
            <w:r w:rsidRPr="00261B7A">
              <w:rPr>
                <w:rFonts w:eastAsia="Calibri"/>
                <w:color w:val="000000"/>
              </w:rPr>
              <w:t>1,457.3</w:t>
            </w:r>
          </w:p>
        </w:tc>
        <w:tc>
          <w:tcPr>
            <w:tcW w:w="0" w:type="auto"/>
            <w:shd w:val="clear" w:color="auto" w:fill="FFFFFF"/>
            <w:tcMar>
              <w:top w:w="0" w:type="dxa"/>
              <w:left w:w="108" w:type="dxa"/>
              <w:bottom w:w="0" w:type="dxa"/>
              <w:right w:w="108" w:type="dxa"/>
            </w:tcMar>
            <w:vAlign w:val="center"/>
          </w:tcPr>
          <w:p w14:paraId="0D6510C2" w14:textId="77777777" w:rsidR="00422EFE" w:rsidRPr="00261B7A" w:rsidRDefault="00422EFE" w:rsidP="00D41492">
            <w:pPr>
              <w:pStyle w:val="TableText"/>
              <w:spacing w:before="30" w:after="30"/>
              <w:jc w:val="right"/>
            </w:pPr>
            <w:r w:rsidRPr="00261B7A">
              <w:rPr>
                <w:rFonts w:eastAsia="Calibri"/>
                <w:color w:val="000000"/>
              </w:rPr>
              <w:t>2,098.8</w:t>
            </w:r>
          </w:p>
        </w:tc>
      </w:tr>
      <w:tr w:rsidR="00422EFE" w:rsidRPr="00261B7A" w14:paraId="3F952447" w14:textId="77777777" w:rsidTr="00D41492">
        <w:tc>
          <w:tcPr>
            <w:tcW w:w="0" w:type="auto"/>
            <w:shd w:val="clear" w:color="auto" w:fill="FFFFFF"/>
            <w:tcMar>
              <w:top w:w="0" w:type="dxa"/>
              <w:left w:w="108" w:type="dxa"/>
              <w:bottom w:w="0" w:type="dxa"/>
              <w:right w:w="108" w:type="dxa"/>
            </w:tcMar>
            <w:vAlign w:val="center"/>
          </w:tcPr>
          <w:p w14:paraId="3C5593DE" w14:textId="77777777" w:rsidR="00422EFE" w:rsidRPr="00261B7A" w:rsidRDefault="00422EFE" w:rsidP="00D41492">
            <w:pPr>
              <w:pStyle w:val="TableText"/>
              <w:spacing w:before="30" w:after="30"/>
            </w:pPr>
            <w:r w:rsidRPr="00261B7A">
              <w:rPr>
                <w:rFonts w:eastAsia="Calibri"/>
              </w:rPr>
              <w:t>1969</w:t>
            </w:r>
          </w:p>
        </w:tc>
        <w:tc>
          <w:tcPr>
            <w:tcW w:w="0" w:type="auto"/>
            <w:shd w:val="clear" w:color="auto" w:fill="FFFFFF"/>
            <w:tcMar>
              <w:top w:w="0" w:type="dxa"/>
              <w:left w:w="108" w:type="dxa"/>
              <w:bottom w:w="0" w:type="dxa"/>
              <w:right w:w="108" w:type="dxa"/>
            </w:tcMar>
            <w:vAlign w:val="center"/>
          </w:tcPr>
          <w:p w14:paraId="3A167B99" w14:textId="77777777" w:rsidR="00422EFE" w:rsidRPr="00261B7A" w:rsidRDefault="00422EFE" w:rsidP="00D41492">
            <w:pPr>
              <w:pStyle w:val="TableText"/>
              <w:spacing w:before="30" w:after="30"/>
              <w:jc w:val="right"/>
            </w:pPr>
            <w:r w:rsidRPr="00261B7A">
              <w:rPr>
                <w:rFonts w:eastAsia="Calibri"/>
                <w:color w:val="000000"/>
              </w:rPr>
              <w:t>636.9</w:t>
            </w:r>
          </w:p>
        </w:tc>
        <w:tc>
          <w:tcPr>
            <w:tcW w:w="0" w:type="auto"/>
            <w:shd w:val="clear" w:color="auto" w:fill="FFFFFF"/>
            <w:tcMar>
              <w:top w:w="0" w:type="dxa"/>
              <w:left w:w="108" w:type="dxa"/>
              <w:bottom w:w="0" w:type="dxa"/>
              <w:right w:w="108" w:type="dxa"/>
            </w:tcMar>
            <w:vAlign w:val="center"/>
          </w:tcPr>
          <w:p w14:paraId="0B906F28" w14:textId="77777777" w:rsidR="00422EFE" w:rsidRPr="00261B7A" w:rsidRDefault="00422EFE" w:rsidP="00D41492">
            <w:pPr>
              <w:pStyle w:val="TableText"/>
              <w:spacing w:before="30" w:after="30"/>
              <w:jc w:val="right"/>
            </w:pPr>
            <w:r w:rsidRPr="00261B7A">
              <w:rPr>
                <w:rFonts w:eastAsia="Calibri"/>
                <w:color w:val="000000"/>
              </w:rPr>
              <w:t>1,510.3</w:t>
            </w:r>
          </w:p>
        </w:tc>
        <w:tc>
          <w:tcPr>
            <w:tcW w:w="0" w:type="auto"/>
            <w:shd w:val="clear" w:color="auto" w:fill="FFFFFF"/>
            <w:tcMar>
              <w:top w:w="0" w:type="dxa"/>
              <w:left w:w="108" w:type="dxa"/>
              <w:bottom w:w="0" w:type="dxa"/>
              <w:right w:w="108" w:type="dxa"/>
            </w:tcMar>
            <w:vAlign w:val="center"/>
          </w:tcPr>
          <w:p w14:paraId="3F050B74" w14:textId="77777777" w:rsidR="00422EFE" w:rsidRPr="00261B7A" w:rsidRDefault="00422EFE" w:rsidP="00D41492">
            <w:pPr>
              <w:pStyle w:val="TableText"/>
              <w:spacing w:before="30" w:after="30"/>
              <w:jc w:val="right"/>
            </w:pPr>
            <w:r w:rsidRPr="00261B7A">
              <w:rPr>
                <w:rFonts w:eastAsia="Calibri"/>
                <w:color w:val="000000"/>
              </w:rPr>
              <w:t>2,147.1</w:t>
            </w:r>
          </w:p>
        </w:tc>
      </w:tr>
      <w:tr w:rsidR="00422EFE" w:rsidRPr="00261B7A" w14:paraId="7264B2B9" w14:textId="77777777" w:rsidTr="00D41492">
        <w:tc>
          <w:tcPr>
            <w:tcW w:w="0" w:type="auto"/>
            <w:shd w:val="clear" w:color="auto" w:fill="FFFFFF"/>
            <w:tcMar>
              <w:top w:w="0" w:type="dxa"/>
              <w:left w:w="108" w:type="dxa"/>
              <w:bottom w:w="0" w:type="dxa"/>
              <w:right w:w="108" w:type="dxa"/>
            </w:tcMar>
            <w:vAlign w:val="center"/>
          </w:tcPr>
          <w:p w14:paraId="579D880A" w14:textId="77777777" w:rsidR="00422EFE" w:rsidRPr="00261B7A" w:rsidRDefault="00422EFE" w:rsidP="00D41492">
            <w:pPr>
              <w:pStyle w:val="TableText"/>
              <w:spacing w:before="30" w:after="30"/>
            </w:pPr>
            <w:r w:rsidRPr="00261B7A">
              <w:rPr>
                <w:rFonts w:eastAsia="Calibri"/>
              </w:rPr>
              <w:t>1970</w:t>
            </w:r>
          </w:p>
        </w:tc>
        <w:tc>
          <w:tcPr>
            <w:tcW w:w="0" w:type="auto"/>
            <w:shd w:val="clear" w:color="auto" w:fill="FFFFFF"/>
            <w:tcMar>
              <w:top w:w="0" w:type="dxa"/>
              <w:left w:w="108" w:type="dxa"/>
              <w:bottom w:w="0" w:type="dxa"/>
              <w:right w:w="108" w:type="dxa"/>
            </w:tcMar>
            <w:vAlign w:val="center"/>
          </w:tcPr>
          <w:p w14:paraId="5178D614" w14:textId="77777777" w:rsidR="00422EFE" w:rsidRPr="00261B7A" w:rsidRDefault="00422EFE" w:rsidP="00D41492">
            <w:pPr>
              <w:pStyle w:val="TableText"/>
              <w:spacing w:before="30" w:after="30"/>
              <w:jc w:val="right"/>
            </w:pPr>
            <w:r w:rsidRPr="00261B7A">
              <w:rPr>
                <w:rFonts w:eastAsia="Calibri"/>
                <w:color w:val="000000"/>
              </w:rPr>
              <w:t>626.8</w:t>
            </w:r>
          </w:p>
        </w:tc>
        <w:tc>
          <w:tcPr>
            <w:tcW w:w="0" w:type="auto"/>
            <w:shd w:val="clear" w:color="auto" w:fill="FFFFFF"/>
            <w:tcMar>
              <w:top w:w="0" w:type="dxa"/>
              <w:left w:w="108" w:type="dxa"/>
              <w:bottom w:w="0" w:type="dxa"/>
              <w:right w:w="108" w:type="dxa"/>
            </w:tcMar>
            <w:vAlign w:val="center"/>
          </w:tcPr>
          <w:p w14:paraId="23B98D11" w14:textId="77777777" w:rsidR="00422EFE" w:rsidRPr="00261B7A" w:rsidRDefault="00422EFE" w:rsidP="00D41492">
            <w:pPr>
              <w:pStyle w:val="TableText"/>
              <w:spacing w:before="30" w:after="30"/>
              <w:jc w:val="right"/>
            </w:pPr>
            <w:r w:rsidRPr="00261B7A">
              <w:rPr>
                <w:rFonts w:eastAsia="Calibri"/>
                <w:color w:val="000000"/>
              </w:rPr>
              <w:t>1,565.2</w:t>
            </w:r>
          </w:p>
        </w:tc>
        <w:tc>
          <w:tcPr>
            <w:tcW w:w="0" w:type="auto"/>
            <w:shd w:val="clear" w:color="auto" w:fill="FFFFFF"/>
            <w:tcMar>
              <w:top w:w="0" w:type="dxa"/>
              <w:left w:w="108" w:type="dxa"/>
              <w:bottom w:w="0" w:type="dxa"/>
              <w:right w:w="108" w:type="dxa"/>
            </w:tcMar>
            <w:vAlign w:val="center"/>
          </w:tcPr>
          <w:p w14:paraId="206589D0" w14:textId="77777777" w:rsidR="00422EFE" w:rsidRPr="00261B7A" w:rsidRDefault="00422EFE" w:rsidP="00D41492">
            <w:pPr>
              <w:pStyle w:val="TableText"/>
              <w:spacing w:before="30" w:after="30"/>
              <w:jc w:val="right"/>
            </w:pPr>
            <w:r w:rsidRPr="00261B7A">
              <w:rPr>
                <w:rFonts w:eastAsia="Calibri"/>
                <w:color w:val="000000"/>
              </w:rPr>
              <w:t>2,192.0</w:t>
            </w:r>
          </w:p>
        </w:tc>
      </w:tr>
      <w:tr w:rsidR="00422EFE" w:rsidRPr="00261B7A" w14:paraId="2AB4C413" w14:textId="77777777" w:rsidTr="00D41492">
        <w:tc>
          <w:tcPr>
            <w:tcW w:w="0" w:type="auto"/>
            <w:shd w:val="clear" w:color="auto" w:fill="FFFFFF"/>
            <w:tcMar>
              <w:top w:w="0" w:type="dxa"/>
              <w:left w:w="108" w:type="dxa"/>
              <w:bottom w:w="0" w:type="dxa"/>
              <w:right w:w="108" w:type="dxa"/>
            </w:tcMar>
            <w:vAlign w:val="center"/>
          </w:tcPr>
          <w:p w14:paraId="1C294BF6" w14:textId="77777777" w:rsidR="00422EFE" w:rsidRPr="00261B7A" w:rsidRDefault="00422EFE" w:rsidP="00D41492">
            <w:pPr>
              <w:pStyle w:val="TableText"/>
              <w:spacing w:before="30" w:after="30"/>
            </w:pPr>
            <w:r w:rsidRPr="00261B7A">
              <w:rPr>
                <w:rFonts w:eastAsia="Calibri"/>
              </w:rPr>
              <w:t>1971</w:t>
            </w:r>
          </w:p>
        </w:tc>
        <w:tc>
          <w:tcPr>
            <w:tcW w:w="0" w:type="auto"/>
            <w:shd w:val="clear" w:color="auto" w:fill="FFFFFF"/>
            <w:tcMar>
              <w:top w:w="0" w:type="dxa"/>
              <w:left w:w="108" w:type="dxa"/>
              <w:bottom w:w="0" w:type="dxa"/>
              <w:right w:w="108" w:type="dxa"/>
            </w:tcMar>
            <w:vAlign w:val="center"/>
          </w:tcPr>
          <w:p w14:paraId="7753CD71" w14:textId="77777777" w:rsidR="00422EFE" w:rsidRPr="00261B7A" w:rsidRDefault="00422EFE" w:rsidP="00D41492">
            <w:pPr>
              <w:pStyle w:val="TableText"/>
              <w:spacing w:before="30" w:after="30"/>
              <w:jc w:val="right"/>
            </w:pPr>
            <w:r w:rsidRPr="00261B7A">
              <w:rPr>
                <w:rFonts w:eastAsia="Calibri"/>
                <w:color w:val="000000"/>
              </w:rPr>
              <w:t>622.5</w:t>
            </w:r>
          </w:p>
        </w:tc>
        <w:tc>
          <w:tcPr>
            <w:tcW w:w="0" w:type="auto"/>
            <w:shd w:val="clear" w:color="auto" w:fill="FFFFFF"/>
            <w:tcMar>
              <w:top w:w="0" w:type="dxa"/>
              <w:left w:w="108" w:type="dxa"/>
              <w:bottom w:w="0" w:type="dxa"/>
              <w:right w:w="108" w:type="dxa"/>
            </w:tcMar>
            <w:vAlign w:val="center"/>
          </w:tcPr>
          <w:p w14:paraId="64FD6747" w14:textId="77777777" w:rsidR="00422EFE" w:rsidRPr="00261B7A" w:rsidRDefault="00422EFE" w:rsidP="00D41492">
            <w:pPr>
              <w:pStyle w:val="TableText"/>
              <w:spacing w:before="30" w:after="30"/>
              <w:jc w:val="right"/>
            </w:pPr>
            <w:r w:rsidRPr="00261B7A">
              <w:rPr>
                <w:rFonts w:eastAsia="Calibri"/>
                <w:color w:val="000000"/>
              </w:rPr>
              <w:t>1,622.0</w:t>
            </w:r>
          </w:p>
        </w:tc>
        <w:tc>
          <w:tcPr>
            <w:tcW w:w="0" w:type="auto"/>
            <w:shd w:val="clear" w:color="auto" w:fill="FFFFFF"/>
            <w:tcMar>
              <w:top w:w="0" w:type="dxa"/>
              <w:left w:w="108" w:type="dxa"/>
              <w:bottom w:w="0" w:type="dxa"/>
              <w:right w:w="108" w:type="dxa"/>
            </w:tcMar>
            <w:vAlign w:val="center"/>
          </w:tcPr>
          <w:p w14:paraId="686FF91D" w14:textId="77777777" w:rsidR="00422EFE" w:rsidRPr="00261B7A" w:rsidRDefault="00422EFE" w:rsidP="00D41492">
            <w:pPr>
              <w:pStyle w:val="TableText"/>
              <w:spacing w:before="30" w:after="30"/>
              <w:jc w:val="right"/>
            </w:pPr>
            <w:r w:rsidRPr="00261B7A">
              <w:rPr>
                <w:rFonts w:eastAsia="Calibri"/>
                <w:color w:val="000000"/>
              </w:rPr>
              <w:t>2,244.5</w:t>
            </w:r>
          </w:p>
        </w:tc>
      </w:tr>
      <w:tr w:rsidR="00422EFE" w:rsidRPr="00261B7A" w14:paraId="05C661EC" w14:textId="77777777" w:rsidTr="00D41492">
        <w:tc>
          <w:tcPr>
            <w:tcW w:w="0" w:type="auto"/>
            <w:shd w:val="clear" w:color="auto" w:fill="FFFFFF"/>
            <w:tcMar>
              <w:top w:w="0" w:type="dxa"/>
              <w:left w:w="108" w:type="dxa"/>
              <w:bottom w:w="0" w:type="dxa"/>
              <w:right w:w="108" w:type="dxa"/>
            </w:tcMar>
            <w:vAlign w:val="center"/>
          </w:tcPr>
          <w:p w14:paraId="73D2CE03" w14:textId="77777777" w:rsidR="00422EFE" w:rsidRPr="00261B7A" w:rsidRDefault="00422EFE" w:rsidP="00D41492">
            <w:pPr>
              <w:pStyle w:val="TableText"/>
              <w:spacing w:before="30" w:after="30"/>
            </w:pPr>
            <w:r w:rsidRPr="00261B7A">
              <w:rPr>
                <w:rFonts w:eastAsia="Calibri"/>
              </w:rPr>
              <w:t>1972</w:t>
            </w:r>
          </w:p>
        </w:tc>
        <w:tc>
          <w:tcPr>
            <w:tcW w:w="0" w:type="auto"/>
            <w:shd w:val="clear" w:color="auto" w:fill="FFFFFF"/>
            <w:tcMar>
              <w:top w:w="0" w:type="dxa"/>
              <w:left w:w="108" w:type="dxa"/>
              <w:bottom w:w="0" w:type="dxa"/>
              <w:right w:w="108" w:type="dxa"/>
            </w:tcMar>
            <w:vAlign w:val="center"/>
          </w:tcPr>
          <w:p w14:paraId="7936435F" w14:textId="77777777" w:rsidR="00422EFE" w:rsidRPr="00261B7A" w:rsidRDefault="00422EFE" w:rsidP="00D41492">
            <w:pPr>
              <w:pStyle w:val="TableText"/>
              <w:spacing w:before="30" w:after="30"/>
              <w:jc w:val="right"/>
            </w:pPr>
            <w:r w:rsidRPr="00261B7A">
              <w:rPr>
                <w:rFonts w:eastAsia="Calibri"/>
                <w:color w:val="000000"/>
              </w:rPr>
              <w:t>602.4</w:t>
            </w:r>
          </w:p>
        </w:tc>
        <w:tc>
          <w:tcPr>
            <w:tcW w:w="0" w:type="auto"/>
            <w:shd w:val="clear" w:color="auto" w:fill="FFFFFF"/>
            <w:tcMar>
              <w:top w:w="0" w:type="dxa"/>
              <w:left w:w="108" w:type="dxa"/>
              <w:bottom w:w="0" w:type="dxa"/>
              <w:right w:w="108" w:type="dxa"/>
            </w:tcMar>
            <w:vAlign w:val="center"/>
          </w:tcPr>
          <w:p w14:paraId="31C37E23" w14:textId="77777777" w:rsidR="00422EFE" w:rsidRPr="00261B7A" w:rsidRDefault="00422EFE" w:rsidP="00D41492">
            <w:pPr>
              <w:pStyle w:val="TableText"/>
              <w:spacing w:before="30" w:after="30"/>
              <w:jc w:val="right"/>
            </w:pPr>
            <w:r w:rsidRPr="00261B7A">
              <w:rPr>
                <w:rFonts w:eastAsia="Calibri"/>
                <w:color w:val="000000"/>
              </w:rPr>
              <w:t>1,680.9</w:t>
            </w:r>
          </w:p>
        </w:tc>
        <w:tc>
          <w:tcPr>
            <w:tcW w:w="0" w:type="auto"/>
            <w:shd w:val="clear" w:color="auto" w:fill="FFFFFF"/>
            <w:tcMar>
              <w:top w:w="0" w:type="dxa"/>
              <w:left w:w="108" w:type="dxa"/>
              <w:bottom w:w="0" w:type="dxa"/>
              <w:right w:w="108" w:type="dxa"/>
            </w:tcMar>
            <w:vAlign w:val="center"/>
          </w:tcPr>
          <w:p w14:paraId="33CACA79" w14:textId="77777777" w:rsidR="00422EFE" w:rsidRPr="00261B7A" w:rsidRDefault="00422EFE" w:rsidP="00D41492">
            <w:pPr>
              <w:pStyle w:val="TableText"/>
              <w:spacing w:before="30" w:after="30"/>
              <w:jc w:val="right"/>
            </w:pPr>
            <w:r w:rsidRPr="00261B7A">
              <w:rPr>
                <w:rFonts w:eastAsia="Calibri"/>
                <w:color w:val="000000"/>
              </w:rPr>
              <w:t>2,283.3</w:t>
            </w:r>
          </w:p>
        </w:tc>
      </w:tr>
      <w:tr w:rsidR="00422EFE" w:rsidRPr="00261B7A" w14:paraId="7D85DA96" w14:textId="77777777" w:rsidTr="00D41492">
        <w:tc>
          <w:tcPr>
            <w:tcW w:w="0" w:type="auto"/>
            <w:shd w:val="clear" w:color="auto" w:fill="FFFFFF"/>
            <w:tcMar>
              <w:top w:w="0" w:type="dxa"/>
              <w:left w:w="108" w:type="dxa"/>
              <w:bottom w:w="0" w:type="dxa"/>
              <w:right w:w="108" w:type="dxa"/>
            </w:tcMar>
            <w:vAlign w:val="center"/>
          </w:tcPr>
          <w:p w14:paraId="26A745AC" w14:textId="77777777" w:rsidR="00422EFE" w:rsidRPr="00261B7A" w:rsidRDefault="00422EFE" w:rsidP="00D41492">
            <w:pPr>
              <w:pStyle w:val="TableText"/>
              <w:spacing w:before="30" w:after="30"/>
            </w:pPr>
            <w:r w:rsidRPr="00261B7A">
              <w:rPr>
                <w:rFonts w:eastAsia="Calibri"/>
              </w:rPr>
              <w:t>1973</w:t>
            </w:r>
          </w:p>
        </w:tc>
        <w:tc>
          <w:tcPr>
            <w:tcW w:w="0" w:type="auto"/>
            <w:shd w:val="clear" w:color="auto" w:fill="FFFFFF"/>
            <w:tcMar>
              <w:top w:w="0" w:type="dxa"/>
              <w:left w:w="108" w:type="dxa"/>
              <w:bottom w:w="0" w:type="dxa"/>
              <w:right w:w="108" w:type="dxa"/>
            </w:tcMar>
            <w:vAlign w:val="center"/>
          </w:tcPr>
          <w:p w14:paraId="7A288E07" w14:textId="77777777" w:rsidR="00422EFE" w:rsidRPr="00261B7A" w:rsidRDefault="00422EFE" w:rsidP="00D41492">
            <w:pPr>
              <w:pStyle w:val="TableText"/>
              <w:spacing w:before="30" w:after="30"/>
              <w:jc w:val="right"/>
            </w:pPr>
            <w:r w:rsidRPr="00261B7A">
              <w:rPr>
                <w:rFonts w:eastAsia="Calibri"/>
                <w:color w:val="000000"/>
              </w:rPr>
              <w:t>606.3</w:t>
            </w:r>
          </w:p>
        </w:tc>
        <w:tc>
          <w:tcPr>
            <w:tcW w:w="0" w:type="auto"/>
            <w:shd w:val="clear" w:color="auto" w:fill="FFFFFF"/>
            <w:tcMar>
              <w:top w:w="0" w:type="dxa"/>
              <w:left w:w="108" w:type="dxa"/>
              <w:bottom w:w="0" w:type="dxa"/>
              <w:right w:w="108" w:type="dxa"/>
            </w:tcMar>
            <w:vAlign w:val="center"/>
          </w:tcPr>
          <w:p w14:paraId="00DDABBE" w14:textId="77777777" w:rsidR="00422EFE" w:rsidRPr="00261B7A" w:rsidRDefault="00422EFE" w:rsidP="00D41492">
            <w:pPr>
              <w:pStyle w:val="TableText"/>
              <w:spacing w:before="30" w:after="30"/>
              <w:jc w:val="right"/>
            </w:pPr>
            <w:r w:rsidRPr="00261B7A">
              <w:rPr>
                <w:rFonts w:eastAsia="Calibri"/>
                <w:color w:val="000000"/>
              </w:rPr>
              <w:t>1,741.9</w:t>
            </w:r>
          </w:p>
        </w:tc>
        <w:tc>
          <w:tcPr>
            <w:tcW w:w="0" w:type="auto"/>
            <w:shd w:val="clear" w:color="auto" w:fill="FFFFFF"/>
            <w:tcMar>
              <w:top w:w="0" w:type="dxa"/>
              <w:left w:w="108" w:type="dxa"/>
              <w:bottom w:w="0" w:type="dxa"/>
              <w:right w:w="108" w:type="dxa"/>
            </w:tcMar>
            <w:vAlign w:val="center"/>
          </w:tcPr>
          <w:p w14:paraId="53123B9D" w14:textId="77777777" w:rsidR="00422EFE" w:rsidRPr="00261B7A" w:rsidRDefault="00422EFE" w:rsidP="00D41492">
            <w:pPr>
              <w:pStyle w:val="TableText"/>
              <w:spacing w:before="30" w:after="30"/>
              <w:jc w:val="right"/>
            </w:pPr>
            <w:r w:rsidRPr="00261B7A">
              <w:rPr>
                <w:rFonts w:eastAsia="Calibri"/>
                <w:color w:val="000000"/>
              </w:rPr>
              <w:t>2,348.2</w:t>
            </w:r>
          </w:p>
        </w:tc>
      </w:tr>
      <w:tr w:rsidR="00422EFE" w:rsidRPr="00261B7A" w14:paraId="6EFE9EDC" w14:textId="77777777" w:rsidTr="00D41492">
        <w:tc>
          <w:tcPr>
            <w:tcW w:w="0" w:type="auto"/>
            <w:shd w:val="clear" w:color="auto" w:fill="FFFFFF"/>
            <w:tcMar>
              <w:top w:w="0" w:type="dxa"/>
              <w:left w:w="108" w:type="dxa"/>
              <w:bottom w:w="0" w:type="dxa"/>
              <w:right w:w="108" w:type="dxa"/>
            </w:tcMar>
            <w:vAlign w:val="center"/>
          </w:tcPr>
          <w:p w14:paraId="131FAF05" w14:textId="77777777" w:rsidR="00422EFE" w:rsidRPr="00261B7A" w:rsidRDefault="00422EFE" w:rsidP="00D41492">
            <w:pPr>
              <w:pStyle w:val="TableText"/>
              <w:spacing w:before="30" w:after="30"/>
            </w:pPr>
            <w:r w:rsidRPr="00261B7A">
              <w:rPr>
                <w:rFonts w:eastAsia="Calibri"/>
              </w:rPr>
              <w:t>1974</w:t>
            </w:r>
          </w:p>
        </w:tc>
        <w:tc>
          <w:tcPr>
            <w:tcW w:w="0" w:type="auto"/>
            <w:shd w:val="clear" w:color="auto" w:fill="FFFFFF"/>
            <w:tcMar>
              <w:top w:w="0" w:type="dxa"/>
              <w:left w:w="108" w:type="dxa"/>
              <w:bottom w:w="0" w:type="dxa"/>
              <w:right w:w="108" w:type="dxa"/>
            </w:tcMar>
            <w:vAlign w:val="center"/>
          </w:tcPr>
          <w:p w14:paraId="418A167A" w14:textId="77777777" w:rsidR="00422EFE" w:rsidRPr="00261B7A" w:rsidRDefault="00422EFE" w:rsidP="00D41492">
            <w:pPr>
              <w:pStyle w:val="TableText"/>
              <w:spacing w:before="30" w:after="30"/>
              <w:jc w:val="right"/>
            </w:pPr>
            <w:r w:rsidRPr="00261B7A">
              <w:rPr>
                <w:rFonts w:eastAsia="Calibri"/>
                <w:color w:val="000000"/>
              </w:rPr>
              <w:t>608.8</w:t>
            </w:r>
          </w:p>
        </w:tc>
        <w:tc>
          <w:tcPr>
            <w:tcW w:w="0" w:type="auto"/>
            <w:shd w:val="clear" w:color="auto" w:fill="FFFFFF"/>
            <w:tcMar>
              <w:top w:w="0" w:type="dxa"/>
              <w:left w:w="108" w:type="dxa"/>
              <w:bottom w:w="0" w:type="dxa"/>
              <w:right w:w="108" w:type="dxa"/>
            </w:tcMar>
            <w:vAlign w:val="center"/>
          </w:tcPr>
          <w:p w14:paraId="698D20FB" w14:textId="77777777" w:rsidR="00422EFE" w:rsidRPr="00261B7A" w:rsidRDefault="00422EFE" w:rsidP="00D41492">
            <w:pPr>
              <w:pStyle w:val="TableText"/>
              <w:spacing w:before="30" w:after="30"/>
              <w:jc w:val="right"/>
            </w:pPr>
            <w:r w:rsidRPr="00261B7A">
              <w:rPr>
                <w:rFonts w:eastAsia="Calibri"/>
                <w:color w:val="000000"/>
              </w:rPr>
              <w:t>1,805.0</w:t>
            </w:r>
          </w:p>
        </w:tc>
        <w:tc>
          <w:tcPr>
            <w:tcW w:w="0" w:type="auto"/>
            <w:shd w:val="clear" w:color="auto" w:fill="FFFFFF"/>
            <w:tcMar>
              <w:top w:w="0" w:type="dxa"/>
              <w:left w:w="108" w:type="dxa"/>
              <w:bottom w:w="0" w:type="dxa"/>
              <w:right w:w="108" w:type="dxa"/>
            </w:tcMar>
            <w:vAlign w:val="center"/>
          </w:tcPr>
          <w:p w14:paraId="66373524" w14:textId="77777777" w:rsidR="00422EFE" w:rsidRPr="00261B7A" w:rsidRDefault="00422EFE" w:rsidP="00D41492">
            <w:pPr>
              <w:pStyle w:val="TableText"/>
              <w:spacing w:before="30" w:after="30"/>
              <w:jc w:val="right"/>
            </w:pPr>
            <w:r w:rsidRPr="00261B7A">
              <w:rPr>
                <w:rFonts w:eastAsia="Calibri"/>
                <w:color w:val="000000"/>
              </w:rPr>
              <w:t>2,413.8</w:t>
            </w:r>
          </w:p>
        </w:tc>
      </w:tr>
      <w:tr w:rsidR="00422EFE" w:rsidRPr="00261B7A" w14:paraId="71E93620" w14:textId="77777777" w:rsidTr="00D41492">
        <w:tc>
          <w:tcPr>
            <w:tcW w:w="0" w:type="auto"/>
            <w:shd w:val="clear" w:color="auto" w:fill="FFFFFF"/>
            <w:tcMar>
              <w:top w:w="0" w:type="dxa"/>
              <w:left w:w="108" w:type="dxa"/>
              <w:bottom w:w="0" w:type="dxa"/>
              <w:right w:w="108" w:type="dxa"/>
            </w:tcMar>
            <w:vAlign w:val="center"/>
          </w:tcPr>
          <w:p w14:paraId="392156A2" w14:textId="77777777" w:rsidR="00422EFE" w:rsidRPr="00261B7A" w:rsidRDefault="00422EFE" w:rsidP="00D41492">
            <w:pPr>
              <w:pStyle w:val="TableText"/>
              <w:spacing w:before="30" w:after="30"/>
            </w:pPr>
            <w:r w:rsidRPr="00261B7A">
              <w:rPr>
                <w:rFonts w:eastAsia="Calibri"/>
              </w:rPr>
              <w:t>1975</w:t>
            </w:r>
          </w:p>
        </w:tc>
        <w:tc>
          <w:tcPr>
            <w:tcW w:w="0" w:type="auto"/>
            <w:shd w:val="clear" w:color="auto" w:fill="FFFFFF"/>
            <w:tcMar>
              <w:top w:w="0" w:type="dxa"/>
              <w:left w:w="108" w:type="dxa"/>
              <w:bottom w:w="0" w:type="dxa"/>
              <w:right w:w="108" w:type="dxa"/>
            </w:tcMar>
            <w:vAlign w:val="center"/>
          </w:tcPr>
          <w:p w14:paraId="4F05504E" w14:textId="77777777" w:rsidR="00422EFE" w:rsidRPr="00261B7A" w:rsidRDefault="00422EFE" w:rsidP="00D41492">
            <w:pPr>
              <w:pStyle w:val="TableText"/>
              <w:spacing w:before="30" w:after="30"/>
              <w:jc w:val="right"/>
            </w:pPr>
            <w:r w:rsidRPr="00261B7A">
              <w:rPr>
                <w:rFonts w:eastAsia="Calibri"/>
                <w:color w:val="000000"/>
              </w:rPr>
              <w:t>643.4</w:t>
            </w:r>
          </w:p>
        </w:tc>
        <w:tc>
          <w:tcPr>
            <w:tcW w:w="0" w:type="auto"/>
            <w:shd w:val="clear" w:color="auto" w:fill="FFFFFF"/>
            <w:tcMar>
              <w:top w:w="0" w:type="dxa"/>
              <w:left w:w="108" w:type="dxa"/>
              <w:bottom w:w="0" w:type="dxa"/>
              <w:right w:w="108" w:type="dxa"/>
            </w:tcMar>
            <w:vAlign w:val="center"/>
          </w:tcPr>
          <w:p w14:paraId="19E696CE" w14:textId="77777777" w:rsidR="00422EFE" w:rsidRPr="00261B7A" w:rsidRDefault="00422EFE" w:rsidP="00D41492">
            <w:pPr>
              <w:pStyle w:val="TableText"/>
              <w:spacing w:before="30" w:after="30"/>
              <w:jc w:val="right"/>
            </w:pPr>
            <w:r w:rsidRPr="00261B7A">
              <w:rPr>
                <w:rFonts w:eastAsia="Calibri"/>
                <w:color w:val="000000"/>
              </w:rPr>
              <w:t>1,870.5</w:t>
            </w:r>
          </w:p>
        </w:tc>
        <w:tc>
          <w:tcPr>
            <w:tcW w:w="0" w:type="auto"/>
            <w:shd w:val="clear" w:color="auto" w:fill="FFFFFF"/>
            <w:tcMar>
              <w:top w:w="0" w:type="dxa"/>
              <w:left w:w="108" w:type="dxa"/>
              <w:bottom w:w="0" w:type="dxa"/>
              <w:right w:w="108" w:type="dxa"/>
            </w:tcMar>
            <w:vAlign w:val="center"/>
          </w:tcPr>
          <w:p w14:paraId="3E3427D7" w14:textId="77777777" w:rsidR="00422EFE" w:rsidRPr="00261B7A" w:rsidRDefault="00422EFE" w:rsidP="00D41492">
            <w:pPr>
              <w:pStyle w:val="TableText"/>
              <w:spacing w:before="30" w:after="30"/>
              <w:jc w:val="right"/>
            </w:pPr>
            <w:r w:rsidRPr="00261B7A">
              <w:rPr>
                <w:rFonts w:eastAsia="Calibri"/>
                <w:color w:val="000000"/>
              </w:rPr>
              <w:t>2,513.9</w:t>
            </w:r>
          </w:p>
        </w:tc>
      </w:tr>
      <w:tr w:rsidR="00422EFE" w:rsidRPr="00261B7A" w14:paraId="407F6081" w14:textId="77777777" w:rsidTr="00D41492">
        <w:tc>
          <w:tcPr>
            <w:tcW w:w="0" w:type="auto"/>
            <w:shd w:val="clear" w:color="auto" w:fill="FFFFFF"/>
            <w:tcMar>
              <w:top w:w="0" w:type="dxa"/>
              <w:left w:w="108" w:type="dxa"/>
              <w:bottom w:w="0" w:type="dxa"/>
              <w:right w:w="108" w:type="dxa"/>
            </w:tcMar>
            <w:vAlign w:val="center"/>
          </w:tcPr>
          <w:p w14:paraId="1ACE4D5B" w14:textId="77777777" w:rsidR="00422EFE" w:rsidRPr="00261B7A" w:rsidRDefault="00422EFE" w:rsidP="00D41492">
            <w:pPr>
              <w:pStyle w:val="TableText"/>
              <w:spacing w:before="30" w:after="30"/>
            </w:pPr>
            <w:r w:rsidRPr="00261B7A">
              <w:rPr>
                <w:rFonts w:eastAsia="Calibri"/>
              </w:rPr>
              <w:t>1976</w:t>
            </w:r>
          </w:p>
        </w:tc>
        <w:tc>
          <w:tcPr>
            <w:tcW w:w="0" w:type="auto"/>
            <w:shd w:val="clear" w:color="auto" w:fill="FFFFFF"/>
            <w:tcMar>
              <w:top w:w="0" w:type="dxa"/>
              <w:left w:w="108" w:type="dxa"/>
              <w:bottom w:w="0" w:type="dxa"/>
              <w:right w:w="108" w:type="dxa"/>
            </w:tcMar>
            <w:vAlign w:val="center"/>
          </w:tcPr>
          <w:p w14:paraId="777A6CE7" w14:textId="77777777" w:rsidR="00422EFE" w:rsidRPr="00261B7A" w:rsidRDefault="00422EFE" w:rsidP="00D41492">
            <w:pPr>
              <w:pStyle w:val="TableText"/>
              <w:spacing w:before="30" w:after="30"/>
              <w:jc w:val="right"/>
            </w:pPr>
            <w:r w:rsidRPr="00261B7A">
              <w:rPr>
                <w:rFonts w:eastAsia="Calibri"/>
                <w:color w:val="000000"/>
              </w:rPr>
              <w:t>650.2</w:t>
            </w:r>
          </w:p>
        </w:tc>
        <w:tc>
          <w:tcPr>
            <w:tcW w:w="0" w:type="auto"/>
            <w:shd w:val="clear" w:color="auto" w:fill="FFFFFF"/>
            <w:tcMar>
              <w:top w:w="0" w:type="dxa"/>
              <w:left w:w="108" w:type="dxa"/>
              <w:bottom w:w="0" w:type="dxa"/>
              <w:right w:w="108" w:type="dxa"/>
            </w:tcMar>
            <w:vAlign w:val="center"/>
          </w:tcPr>
          <w:p w14:paraId="2EB0D9BF" w14:textId="77777777" w:rsidR="00422EFE" w:rsidRPr="00261B7A" w:rsidRDefault="00422EFE" w:rsidP="00D41492">
            <w:pPr>
              <w:pStyle w:val="TableText"/>
              <w:spacing w:before="30" w:after="30"/>
              <w:jc w:val="right"/>
            </w:pPr>
            <w:r w:rsidRPr="00261B7A">
              <w:rPr>
                <w:rFonts w:eastAsia="Calibri"/>
                <w:color w:val="000000"/>
              </w:rPr>
              <w:t>1,938.2</w:t>
            </w:r>
          </w:p>
        </w:tc>
        <w:tc>
          <w:tcPr>
            <w:tcW w:w="0" w:type="auto"/>
            <w:shd w:val="clear" w:color="auto" w:fill="FFFFFF"/>
            <w:tcMar>
              <w:top w:w="0" w:type="dxa"/>
              <w:left w:w="108" w:type="dxa"/>
              <w:bottom w:w="0" w:type="dxa"/>
              <w:right w:w="108" w:type="dxa"/>
            </w:tcMar>
            <w:vAlign w:val="center"/>
          </w:tcPr>
          <w:p w14:paraId="519E49BB" w14:textId="77777777" w:rsidR="00422EFE" w:rsidRPr="00261B7A" w:rsidRDefault="00422EFE" w:rsidP="00D41492">
            <w:pPr>
              <w:pStyle w:val="TableText"/>
              <w:spacing w:before="30" w:after="30"/>
              <w:jc w:val="right"/>
            </w:pPr>
            <w:r w:rsidRPr="00261B7A">
              <w:rPr>
                <w:rFonts w:eastAsia="Calibri"/>
                <w:color w:val="000000"/>
              </w:rPr>
              <w:t>2,588.5</w:t>
            </w:r>
          </w:p>
        </w:tc>
      </w:tr>
      <w:tr w:rsidR="00422EFE" w:rsidRPr="00261B7A" w14:paraId="471CC2A4" w14:textId="77777777" w:rsidTr="00D41492">
        <w:tc>
          <w:tcPr>
            <w:tcW w:w="0" w:type="auto"/>
            <w:shd w:val="clear" w:color="auto" w:fill="FFFFFF"/>
            <w:tcMar>
              <w:top w:w="0" w:type="dxa"/>
              <w:left w:w="108" w:type="dxa"/>
              <w:bottom w:w="0" w:type="dxa"/>
              <w:right w:w="108" w:type="dxa"/>
            </w:tcMar>
            <w:vAlign w:val="center"/>
          </w:tcPr>
          <w:p w14:paraId="71A5F8F8" w14:textId="77777777" w:rsidR="00422EFE" w:rsidRPr="00261B7A" w:rsidRDefault="00422EFE" w:rsidP="00D41492">
            <w:pPr>
              <w:pStyle w:val="TableText"/>
              <w:spacing w:before="30" w:after="30"/>
            </w:pPr>
            <w:r w:rsidRPr="00261B7A">
              <w:rPr>
                <w:rFonts w:eastAsia="Calibri"/>
              </w:rPr>
              <w:t>1977</w:t>
            </w:r>
          </w:p>
        </w:tc>
        <w:tc>
          <w:tcPr>
            <w:tcW w:w="0" w:type="auto"/>
            <w:shd w:val="clear" w:color="auto" w:fill="FFFFFF"/>
            <w:tcMar>
              <w:top w:w="0" w:type="dxa"/>
              <w:left w:w="108" w:type="dxa"/>
              <w:bottom w:w="0" w:type="dxa"/>
              <w:right w:w="108" w:type="dxa"/>
            </w:tcMar>
            <w:vAlign w:val="center"/>
          </w:tcPr>
          <w:p w14:paraId="074D4692" w14:textId="77777777" w:rsidR="00422EFE" w:rsidRPr="00261B7A" w:rsidRDefault="00422EFE" w:rsidP="00D41492">
            <w:pPr>
              <w:pStyle w:val="TableText"/>
              <w:spacing w:before="30" w:after="30"/>
              <w:jc w:val="right"/>
            </w:pPr>
            <w:r w:rsidRPr="00261B7A">
              <w:rPr>
                <w:rFonts w:eastAsia="Calibri"/>
                <w:color w:val="000000"/>
              </w:rPr>
              <w:t>657.9</w:t>
            </w:r>
          </w:p>
        </w:tc>
        <w:tc>
          <w:tcPr>
            <w:tcW w:w="0" w:type="auto"/>
            <w:shd w:val="clear" w:color="auto" w:fill="FFFFFF"/>
            <w:tcMar>
              <w:top w:w="0" w:type="dxa"/>
              <w:left w:w="108" w:type="dxa"/>
              <w:bottom w:w="0" w:type="dxa"/>
              <w:right w:w="108" w:type="dxa"/>
            </w:tcMar>
            <w:vAlign w:val="center"/>
          </w:tcPr>
          <w:p w14:paraId="3A9907E9" w14:textId="77777777" w:rsidR="00422EFE" w:rsidRPr="00261B7A" w:rsidRDefault="00422EFE" w:rsidP="00D41492">
            <w:pPr>
              <w:pStyle w:val="TableText"/>
              <w:spacing w:before="30" w:after="30"/>
              <w:jc w:val="right"/>
            </w:pPr>
            <w:r w:rsidRPr="00261B7A">
              <w:rPr>
                <w:rFonts w:eastAsia="Calibri"/>
                <w:color w:val="000000"/>
              </w:rPr>
              <w:t>2,008.4</w:t>
            </w:r>
          </w:p>
        </w:tc>
        <w:tc>
          <w:tcPr>
            <w:tcW w:w="0" w:type="auto"/>
            <w:shd w:val="clear" w:color="auto" w:fill="FFFFFF"/>
            <w:tcMar>
              <w:top w:w="0" w:type="dxa"/>
              <w:left w:w="108" w:type="dxa"/>
              <w:bottom w:w="0" w:type="dxa"/>
              <w:right w:w="108" w:type="dxa"/>
            </w:tcMar>
            <w:vAlign w:val="center"/>
          </w:tcPr>
          <w:p w14:paraId="1BD14A51" w14:textId="77777777" w:rsidR="00422EFE" w:rsidRPr="00261B7A" w:rsidRDefault="00422EFE" w:rsidP="00D41492">
            <w:pPr>
              <w:pStyle w:val="TableText"/>
              <w:spacing w:before="30" w:after="30"/>
              <w:jc w:val="right"/>
            </w:pPr>
            <w:r w:rsidRPr="00261B7A">
              <w:rPr>
                <w:rFonts w:eastAsia="Calibri"/>
                <w:color w:val="000000"/>
              </w:rPr>
              <w:t>2,666.3</w:t>
            </w:r>
          </w:p>
        </w:tc>
      </w:tr>
      <w:tr w:rsidR="00422EFE" w:rsidRPr="00261B7A" w14:paraId="62ACC0B2" w14:textId="77777777" w:rsidTr="00D41492">
        <w:tc>
          <w:tcPr>
            <w:tcW w:w="0" w:type="auto"/>
            <w:shd w:val="clear" w:color="auto" w:fill="FFFFFF"/>
            <w:tcMar>
              <w:top w:w="0" w:type="dxa"/>
              <w:left w:w="108" w:type="dxa"/>
              <w:bottom w:w="0" w:type="dxa"/>
              <w:right w:w="108" w:type="dxa"/>
            </w:tcMar>
            <w:vAlign w:val="center"/>
          </w:tcPr>
          <w:p w14:paraId="3563F6C7" w14:textId="77777777" w:rsidR="00422EFE" w:rsidRPr="00261B7A" w:rsidRDefault="00422EFE" w:rsidP="00D41492">
            <w:pPr>
              <w:pStyle w:val="TableText"/>
              <w:spacing w:before="30" w:after="30"/>
            </w:pPr>
            <w:r w:rsidRPr="00261B7A">
              <w:rPr>
                <w:rFonts w:eastAsia="Calibri"/>
              </w:rPr>
              <w:t>1978</w:t>
            </w:r>
          </w:p>
        </w:tc>
        <w:tc>
          <w:tcPr>
            <w:tcW w:w="0" w:type="auto"/>
            <w:shd w:val="clear" w:color="auto" w:fill="FFFFFF"/>
            <w:tcMar>
              <w:top w:w="0" w:type="dxa"/>
              <w:left w:w="108" w:type="dxa"/>
              <w:bottom w:w="0" w:type="dxa"/>
              <w:right w:w="108" w:type="dxa"/>
            </w:tcMar>
            <w:vAlign w:val="center"/>
          </w:tcPr>
          <w:p w14:paraId="56FF0B08" w14:textId="77777777" w:rsidR="00422EFE" w:rsidRPr="00261B7A" w:rsidRDefault="00422EFE" w:rsidP="00D41492">
            <w:pPr>
              <w:pStyle w:val="TableText"/>
              <w:spacing w:before="30" w:after="30"/>
              <w:jc w:val="right"/>
            </w:pPr>
            <w:r w:rsidRPr="00261B7A">
              <w:rPr>
                <w:rFonts w:eastAsia="Calibri"/>
                <w:color w:val="000000"/>
              </w:rPr>
              <w:t>665.8</w:t>
            </w:r>
          </w:p>
        </w:tc>
        <w:tc>
          <w:tcPr>
            <w:tcW w:w="0" w:type="auto"/>
            <w:shd w:val="clear" w:color="auto" w:fill="FFFFFF"/>
            <w:tcMar>
              <w:top w:w="0" w:type="dxa"/>
              <w:left w:w="108" w:type="dxa"/>
              <w:bottom w:w="0" w:type="dxa"/>
              <w:right w:w="108" w:type="dxa"/>
            </w:tcMar>
            <w:vAlign w:val="center"/>
          </w:tcPr>
          <w:p w14:paraId="11570A7A" w14:textId="77777777" w:rsidR="00422EFE" w:rsidRPr="00261B7A" w:rsidRDefault="00422EFE" w:rsidP="00D41492">
            <w:pPr>
              <w:pStyle w:val="TableText"/>
              <w:spacing w:before="30" w:after="30"/>
              <w:jc w:val="right"/>
            </w:pPr>
            <w:r w:rsidRPr="00261B7A">
              <w:rPr>
                <w:rFonts w:eastAsia="Calibri"/>
                <w:color w:val="000000"/>
              </w:rPr>
              <w:t>2,081.7</w:t>
            </w:r>
          </w:p>
        </w:tc>
        <w:tc>
          <w:tcPr>
            <w:tcW w:w="0" w:type="auto"/>
            <w:shd w:val="clear" w:color="auto" w:fill="FFFFFF"/>
            <w:tcMar>
              <w:top w:w="0" w:type="dxa"/>
              <w:left w:w="108" w:type="dxa"/>
              <w:bottom w:w="0" w:type="dxa"/>
              <w:right w:w="108" w:type="dxa"/>
            </w:tcMar>
            <w:vAlign w:val="center"/>
          </w:tcPr>
          <w:p w14:paraId="53399242" w14:textId="77777777" w:rsidR="00422EFE" w:rsidRPr="00261B7A" w:rsidRDefault="00422EFE" w:rsidP="00D41492">
            <w:pPr>
              <w:pStyle w:val="TableText"/>
              <w:spacing w:before="30" w:after="30"/>
              <w:jc w:val="right"/>
            </w:pPr>
            <w:r w:rsidRPr="00261B7A">
              <w:rPr>
                <w:rFonts w:eastAsia="Calibri"/>
                <w:color w:val="000000"/>
              </w:rPr>
              <w:t>2,747.6</w:t>
            </w:r>
          </w:p>
        </w:tc>
      </w:tr>
      <w:tr w:rsidR="00422EFE" w:rsidRPr="00261B7A" w14:paraId="1D299962" w14:textId="77777777" w:rsidTr="00D41492">
        <w:tc>
          <w:tcPr>
            <w:tcW w:w="0" w:type="auto"/>
            <w:shd w:val="clear" w:color="auto" w:fill="FFFFFF"/>
            <w:tcMar>
              <w:top w:w="0" w:type="dxa"/>
              <w:left w:w="108" w:type="dxa"/>
              <w:bottom w:w="0" w:type="dxa"/>
              <w:right w:w="108" w:type="dxa"/>
            </w:tcMar>
            <w:vAlign w:val="center"/>
          </w:tcPr>
          <w:p w14:paraId="18695AE3" w14:textId="77777777" w:rsidR="00422EFE" w:rsidRPr="00261B7A" w:rsidRDefault="00422EFE" w:rsidP="00D41492">
            <w:pPr>
              <w:pStyle w:val="TableText"/>
              <w:spacing w:before="30" w:after="30"/>
            </w:pPr>
            <w:r w:rsidRPr="00261B7A">
              <w:rPr>
                <w:rFonts w:eastAsia="Calibri"/>
              </w:rPr>
              <w:t>1979</w:t>
            </w:r>
          </w:p>
        </w:tc>
        <w:tc>
          <w:tcPr>
            <w:tcW w:w="0" w:type="auto"/>
            <w:shd w:val="clear" w:color="auto" w:fill="FFFFFF"/>
            <w:tcMar>
              <w:top w:w="0" w:type="dxa"/>
              <w:left w:w="108" w:type="dxa"/>
              <w:bottom w:w="0" w:type="dxa"/>
              <w:right w:w="108" w:type="dxa"/>
            </w:tcMar>
            <w:vAlign w:val="center"/>
          </w:tcPr>
          <w:p w14:paraId="1CD0715C" w14:textId="77777777" w:rsidR="00422EFE" w:rsidRPr="00261B7A" w:rsidRDefault="00422EFE" w:rsidP="00D41492">
            <w:pPr>
              <w:pStyle w:val="TableText"/>
              <w:spacing w:before="30" w:after="30"/>
              <w:jc w:val="right"/>
            </w:pPr>
            <w:r w:rsidRPr="00261B7A">
              <w:rPr>
                <w:rFonts w:eastAsia="Calibri"/>
                <w:color w:val="000000"/>
              </w:rPr>
              <w:t>675.9</w:t>
            </w:r>
          </w:p>
        </w:tc>
        <w:tc>
          <w:tcPr>
            <w:tcW w:w="0" w:type="auto"/>
            <w:shd w:val="clear" w:color="auto" w:fill="FFFFFF"/>
            <w:tcMar>
              <w:top w:w="0" w:type="dxa"/>
              <w:left w:w="108" w:type="dxa"/>
              <w:bottom w:w="0" w:type="dxa"/>
              <w:right w:w="108" w:type="dxa"/>
            </w:tcMar>
            <w:vAlign w:val="center"/>
          </w:tcPr>
          <w:p w14:paraId="0399A76C" w14:textId="77777777" w:rsidR="00422EFE" w:rsidRPr="00261B7A" w:rsidRDefault="00422EFE" w:rsidP="00D41492">
            <w:pPr>
              <w:pStyle w:val="TableText"/>
              <w:spacing w:before="30" w:after="30"/>
              <w:jc w:val="right"/>
            </w:pPr>
            <w:r w:rsidRPr="00261B7A">
              <w:rPr>
                <w:rFonts w:eastAsia="Calibri"/>
                <w:color w:val="000000"/>
              </w:rPr>
              <w:t>2,088.3</w:t>
            </w:r>
          </w:p>
        </w:tc>
        <w:tc>
          <w:tcPr>
            <w:tcW w:w="0" w:type="auto"/>
            <w:shd w:val="clear" w:color="auto" w:fill="FFFFFF"/>
            <w:tcMar>
              <w:top w:w="0" w:type="dxa"/>
              <w:left w:w="108" w:type="dxa"/>
              <w:bottom w:w="0" w:type="dxa"/>
              <w:right w:w="108" w:type="dxa"/>
            </w:tcMar>
            <w:vAlign w:val="center"/>
          </w:tcPr>
          <w:p w14:paraId="38B89B46" w14:textId="77777777" w:rsidR="00422EFE" w:rsidRPr="00261B7A" w:rsidRDefault="00422EFE" w:rsidP="00D41492">
            <w:pPr>
              <w:pStyle w:val="TableText"/>
              <w:spacing w:before="30" w:after="30"/>
              <w:jc w:val="right"/>
            </w:pPr>
            <w:r w:rsidRPr="00261B7A">
              <w:rPr>
                <w:rFonts w:eastAsia="Calibri"/>
                <w:color w:val="000000"/>
              </w:rPr>
              <w:t>2,764.3</w:t>
            </w:r>
          </w:p>
        </w:tc>
      </w:tr>
      <w:tr w:rsidR="00422EFE" w:rsidRPr="00261B7A" w14:paraId="56369AFA" w14:textId="77777777" w:rsidTr="00D41492">
        <w:tc>
          <w:tcPr>
            <w:tcW w:w="0" w:type="auto"/>
            <w:shd w:val="clear" w:color="auto" w:fill="FFFFFF"/>
            <w:tcMar>
              <w:top w:w="0" w:type="dxa"/>
              <w:left w:w="108" w:type="dxa"/>
              <w:bottom w:w="0" w:type="dxa"/>
              <w:right w:w="108" w:type="dxa"/>
            </w:tcMar>
            <w:vAlign w:val="center"/>
          </w:tcPr>
          <w:p w14:paraId="5FEE0CFB" w14:textId="77777777" w:rsidR="00422EFE" w:rsidRPr="00261B7A" w:rsidRDefault="00422EFE" w:rsidP="00D41492">
            <w:pPr>
              <w:pStyle w:val="TableText"/>
              <w:spacing w:before="30" w:after="30"/>
            </w:pPr>
            <w:r w:rsidRPr="00261B7A">
              <w:rPr>
                <w:rFonts w:eastAsia="Calibri"/>
              </w:rPr>
              <w:t>1980</w:t>
            </w:r>
          </w:p>
        </w:tc>
        <w:tc>
          <w:tcPr>
            <w:tcW w:w="0" w:type="auto"/>
            <w:shd w:val="clear" w:color="auto" w:fill="FFFFFF"/>
            <w:tcMar>
              <w:top w:w="0" w:type="dxa"/>
              <w:left w:w="108" w:type="dxa"/>
              <w:bottom w:w="0" w:type="dxa"/>
              <w:right w:w="108" w:type="dxa"/>
            </w:tcMar>
            <w:vAlign w:val="center"/>
          </w:tcPr>
          <w:p w14:paraId="4A74E4DB" w14:textId="77777777" w:rsidR="00422EFE" w:rsidRPr="00261B7A" w:rsidRDefault="00422EFE" w:rsidP="00D41492">
            <w:pPr>
              <w:pStyle w:val="TableText"/>
              <w:spacing w:before="30" w:after="30"/>
              <w:jc w:val="right"/>
            </w:pPr>
            <w:r w:rsidRPr="00261B7A">
              <w:rPr>
                <w:rFonts w:eastAsia="Calibri"/>
                <w:color w:val="000000"/>
              </w:rPr>
              <w:t>686.0</w:t>
            </w:r>
          </w:p>
        </w:tc>
        <w:tc>
          <w:tcPr>
            <w:tcW w:w="0" w:type="auto"/>
            <w:shd w:val="clear" w:color="auto" w:fill="FFFFFF"/>
            <w:tcMar>
              <w:top w:w="0" w:type="dxa"/>
              <w:left w:w="108" w:type="dxa"/>
              <w:bottom w:w="0" w:type="dxa"/>
              <w:right w:w="108" w:type="dxa"/>
            </w:tcMar>
            <w:vAlign w:val="center"/>
          </w:tcPr>
          <w:p w14:paraId="017C8013" w14:textId="77777777" w:rsidR="00422EFE" w:rsidRPr="00261B7A" w:rsidRDefault="00422EFE" w:rsidP="00D41492">
            <w:pPr>
              <w:pStyle w:val="TableText"/>
              <w:spacing w:before="30" w:after="30"/>
              <w:jc w:val="right"/>
            </w:pPr>
            <w:r w:rsidRPr="00261B7A">
              <w:rPr>
                <w:rFonts w:eastAsia="Calibri"/>
                <w:color w:val="000000"/>
              </w:rPr>
              <w:t>2,134.1</w:t>
            </w:r>
          </w:p>
        </w:tc>
        <w:tc>
          <w:tcPr>
            <w:tcW w:w="0" w:type="auto"/>
            <w:shd w:val="clear" w:color="auto" w:fill="FFFFFF"/>
            <w:tcMar>
              <w:top w:w="0" w:type="dxa"/>
              <w:left w:w="108" w:type="dxa"/>
              <w:bottom w:w="0" w:type="dxa"/>
              <w:right w:w="108" w:type="dxa"/>
            </w:tcMar>
            <w:vAlign w:val="center"/>
          </w:tcPr>
          <w:p w14:paraId="204A1C91" w14:textId="77777777" w:rsidR="00422EFE" w:rsidRPr="00261B7A" w:rsidRDefault="00422EFE" w:rsidP="00D41492">
            <w:pPr>
              <w:pStyle w:val="TableText"/>
              <w:spacing w:before="30" w:after="30"/>
              <w:jc w:val="right"/>
            </w:pPr>
            <w:r w:rsidRPr="00261B7A">
              <w:rPr>
                <w:rFonts w:eastAsia="Calibri"/>
                <w:color w:val="000000"/>
              </w:rPr>
              <w:t>2,820.1</w:t>
            </w:r>
          </w:p>
        </w:tc>
      </w:tr>
      <w:tr w:rsidR="00422EFE" w:rsidRPr="00261B7A" w14:paraId="4C1B7A53" w14:textId="77777777" w:rsidTr="00D41492">
        <w:tc>
          <w:tcPr>
            <w:tcW w:w="0" w:type="auto"/>
            <w:shd w:val="clear" w:color="auto" w:fill="FFFFFF"/>
            <w:tcMar>
              <w:top w:w="0" w:type="dxa"/>
              <w:left w:w="108" w:type="dxa"/>
              <w:bottom w:w="0" w:type="dxa"/>
              <w:right w:w="108" w:type="dxa"/>
            </w:tcMar>
            <w:vAlign w:val="center"/>
          </w:tcPr>
          <w:p w14:paraId="07E445EC" w14:textId="77777777" w:rsidR="00422EFE" w:rsidRPr="00261B7A" w:rsidRDefault="00422EFE" w:rsidP="00D41492">
            <w:pPr>
              <w:pStyle w:val="TableText"/>
              <w:spacing w:before="30" w:after="30"/>
            </w:pPr>
            <w:r w:rsidRPr="00261B7A">
              <w:rPr>
                <w:rFonts w:eastAsia="Calibri"/>
              </w:rPr>
              <w:t>1981</w:t>
            </w:r>
          </w:p>
        </w:tc>
        <w:tc>
          <w:tcPr>
            <w:tcW w:w="0" w:type="auto"/>
            <w:shd w:val="clear" w:color="auto" w:fill="FFFFFF"/>
            <w:tcMar>
              <w:top w:w="0" w:type="dxa"/>
              <w:left w:w="108" w:type="dxa"/>
              <w:bottom w:w="0" w:type="dxa"/>
              <w:right w:w="108" w:type="dxa"/>
            </w:tcMar>
            <w:vAlign w:val="center"/>
          </w:tcPr>
          <w:p w14:paraId="5B5B297A" w14:textId="77777777" w:rsidR="00422EFE" w:rsidRPr="00261B7A" w:rsidRDefault="00422EFE" w:rsidP="00D41492">
            <w:pPr>
              <w:pStyle w:val="TableText"/>
              <w:spacing w:before="30" w:after="30"/>
              <w:jc w:val="right"/>
            </w:pPr>
            <w:r w:rsidRPr="00261B7A">
              <w:rPr>
                <w:rFonts w:eastAsia="Calibri"/>
                <w:color w:val="000000"/>
              </w:rPr>
              <w:t>695.7</w:t>
            </w:r>
          </w:p>
        </w:tc>
        <w:tc>
          <w:tcPr>
            <w:tcW w:w="0" w:type="auto"/>
            <w:shd w:val="clear" w:color="auto" w:fill="FFFFFF"/>
            <w:tcMar>
              <w:top w:w="0" w:type="dxa"/>
              <w:left w:w="108" w:type="dxa"/>
              <w:bottom w:w="0" w:type="dxa"/>
              <w:right w:w="108" w:type="dxa"/>
            </w:tcMar>
            <w:vAlign w:val="center"/>
          </w:tcPr>
          <w:p w14:paraId="535316BE" w14:textId="77777777" w:rsidR="00422EFE" w:rsidRPr="00261B7A" w:rsidRDefault="00422EFE" w:rsidP="00D41492">
            <w:pPr>
              <w:pStyle w:val="TableText"/>
              <w:spacing w:before="30" w:after="30"/>
              <w:jc w:val="right"/>
            </w:pPr>
            <w:r w:rsidRPr="00261B7A">
              <w:rPr>
                <w:rFonts w:eastAsia="Calibri"/>
                <w:color w:val="000000"/>
              </w:rPr>
              <w:t>2,161.5</w:t>
            </w:r>
          </w:p>
        </w:tc>
        <w:tc>
          <w:tcPr>
            <w:tcW w:w="0" w:type="auto"/>
            <w:shd w:val="clear" w:color="auto" w:fill="FFFFFF"/>
            <w:tcMar>
              <w:top w:w="0" w:type="dxa"/>
              <w:left w:w="108" w:type="dxa"/>
              <w:bottom w:w="0" w:type="dxa"/>
              <w:right w:w="108" w:type="dxa"/>
            </w:tcMar>
            <w:vAlign w:val="center"/>
          </w:tcPr>
          <w:p w14:paraId="359C66AB" w14:textId="77777777" w:rsidR="00422EFE" w:rsidRPr="00261B7A" w:rsidRDefault="00422EFE" w:rsidP="00D41492">
            <w:pPr>
              <w:pStyle w:val="TableText"/>
              <w:spacing w:before="30" w:after="30"/>
              <w:jc w:val="right"/>
            </w:pPr>
            <w:r w:rsidRPr="00261B7A">
              <w:rPr>
                <w:rFonts w:eastAsia="Calibri"/>
                <w:color w:val="000000"/>
              </w:rPr>
              <w:t>2,857.2</w:t>
            </w:r>
          </w:p>
        </w:tc>
      </w:tr>
      <w:tr w:rsidR="00422EFE" w:rsidRPr="00261B7A" w14:paraId="7131EAC6" w14:textId="77777777" w:rsidTr="00D41492">
        <w:tc>
          <w:tcPr>
            <w:tcW w:w="0" w:type="auto"/>
            <w:shd w:val="clear" w:color="auto" w:fill="FFFFFF"/>
            <w:tcMar>
              <w:top w:w="0" w:type="dxa"/>
              <w:left w:w="108" w:type="dxa"/>
              <w:bottom w:w="0" w:type="dxa"/>
              <w:right w:w="108" w:type="dxa"/>
            </w:tcMar>
            <w:vAlign w:val="center"/>
          </w:tcPr>
          <w:p w14:paraId="55309193" w14:textId="77777777" w:rsidR="00422EFE" w:rsidRPr="00261B7A" w:rsidRDefault="00422EFE" w:rsidP="00D41492">
            <w:pPr>
              <w:pStyle w:val="TableText"/>
              <w:spacing w:before="30" w:after="30"/>
            </w:pPr>
            <w:r w:rsidRPr="00261B7A">
              <w:rPr>
                <w:rFonts w:eastAsia="Calibri"/>
              </w:rPr>
              <w:t>1982</w:t>
            </w:r>
          </w:p>
        </w:tc>
        <w:tc>
          <w:tcPr>
            <w:tcW w:w="0" w:type="auto"/>
            <w:shd w:val="clear" w:color="auto" w:fill="FFFFFF"/>
            <w:tcMar>
              <w:top w:w="0" w:type="dxa"/>
              <w:left w:w="108" w:type="dxa"/>
              <w:bottom w:w="0" w:type="dxa"/>
              <w:right w:w="108" w:type="dxa"/>
            </w:tcMar>
            <w:vAlign w:val="center"/>
          </w:tcPr>
          <w:p w14:paraId="434DA2EC" w14:textId="77777777" w:rsidR="00422EFE" w:rsidRPr="00261B7A" w:rsidRDefault="00422EFE" w:rsidP="00D41492">
            <w:pPr>
              <w:pStyle w:val="TableText"/>
              <w:spacing w:before="30" w:after="30"/>
              <w:jc w:val="right"/>
            </w:pPr>
            <w:r w:rsidRPr="00261B7A">
              <w:rPr>
                <w:rFonts w:eastAsia="Calibri"/>
                <w:color w:val="000000"/>
              </w:rPr>
              <w:t>709.3</w:t>
            </w:r>
          </w:p>
        </w:tc>
        <w:tc>
          <w:tcPr>
            <w:tcW w:w="0" w:type="auto"/>
            <w:shd w:val="clear" w:color="auto" w:fill="FFFFFF"/>
            <w:tcMar>
              <w:top w:w="0" w:type="dxa"/>
              <w:left w:w="108" w:type="dxa"/>
              <w:bottom w:w="0" w:type="dxa"/>
              <w:right w:w="108" w:type="dxa"/>
            </w:tcMar>
            <w:vAlign w:val="center"/>
          </w:tcPr>
          <w:p w14:paraId="14700E81" w14:textId="77777777" w:rsidR="00422EFE" w:rsidRPr="00261B7A" w:rsidRDefault="00422EFE" w:rsidP="00D41492">
            <w:pPr>
              <w:pStyle w:val="TableText"/>
              <w:spacing w:before="30" w:after="30"/>
              <w:jc w:val="right"/>
            </w:pPr>
            <w:r w:rsidRPr="00261B7A">
              <w:rPr>
                <w:rFonts w:eastAsia="Calibri"/>
                <w:color w:val="000000"/>
              </w:rPr>
              <w:t>2,262.1</w:t>
            </w:r>
          </w:p>
        </w:tc>
        <w:tc>
          <w:tcPr>
            <w:tcW w:w="0" w:type="auto"/>
            <w:shd w:val="clear" w:color="auto" w:fill="FFFFFF"/>
            <w:tcMar>
              <w:top w:w="0" w:type="dxa"/>
              <w:left w:w="108" w:type="dxa"/>
              <w:bottom w:w="0" w:type="dxa"/>
              <w:right w:w="108" w:type="dxa"/>
            </w:tcMar>
            <w:vAlign w:val="center"/>
          </w:tcPr>
          <w:p w14:paraId="29E92B61" w14:textId="77777777" w:rsidR="00422EFE" w:rsidRPr="00261B7A" w:rsidRDefault="00422EFE" w:rsidP="00D41492">
            <w:pPr>
              <w:pStyle w:val="TableText"/>
              <w:spacing w:before="30" w:after="30"/>
              <w:jc w:val="right"/>
            </w:pPr>
            <w:r w:rsidRPr="00261B7A">
              <w:rPr>
                <w:rFonts w:eastAsia="Calibri"/>
                <w:color w:val="000000"/>
              </w:rPr>
              <w:t>2,971.4</w:t>
            </w:r>
          </w:p>
        </w:tc>
      </w:tr>
      <w:tr w:rsidR="00422EFE" w:rsidRPr="00261B7A" w14:paraId="6ED799D1" w14:textId="77777777" w:rsidTr="00D41492">
        <w:tc>
          <w:tcPr>
            <w:tcW w:w="0" w:type="auto"/>
            <w:shd w:val="clear" w:color="auto" w:fill="FFFFFF"/>
            <w:tcMar>
              <w:top w:w="0" w:type="dxa"/>
              <w:left w:w="108" w:type="dxa"/>
              <w:bottom w:w="0" w:type="dxa"/>
              <w:right w:w="108" w:type="dxa"/>
            </w:tcMar>
            <w:vAlign w:val="center"/>
          </w:tcPr>
          <w:p w14:paraId="23089329" w14:textId="77777777" w:rsidR="00422EFE" w:rsidRPr="00261B7A" w:rsidRDefault="00422EFE" w:rsidP="00D41492">
            <w:pPr>
              <w:pStyle w:val="TableText"/>
              <w:spacing w:before="30" w:after="30"/>
            </w:pPr>
            <w:r w:rsidRPr="00261B7A">
              <w:rPr>
                <w:rFonts w:eastAsia="Calibri"/>
              </w:rPr>
              <w:t>1983</w:t>
            </w:r>
          </w:p>
        </w:tc>
        <w:tc>
          <w:tcPr>
            <w:tcW w:w="0" w:type="auto"/>
            <w:shd w:val="clear" w:color="auto" w:fill="FFFFFF"/>
            <w:tcMar>
              <w:top w:w="0" w:type="dxa"/>
              <w:left w:w="108" w:type="dxa"/>
              <w:bottom w:w="0" w:type="dxa"/>
              <w:right w:w="108" w:type="dxa"/>
            </w:tcMar>
            <w:vAlign w:val="center"/>
          </w:tcPr>
          <w:p w14:paraId="1B024EA9" w14:textId="77777777" w:rsidR="00422EFE" w:rsidRPr="00261B7A" w:rsidRDefault="00422EFE" w:rsidP="00D41492">
            <w:pPr>
              <w:pStyle w:val="TableText"/>
              <w:spacing w:before="30" w:after="30"/>
              <w:jc w:val="right"/>
            </w:pPr>
            <w:r w:rsidRPr="00261B7A">
              <w:rPr>
                <w:rFonts w:eastAsia="Calibri"/>
                <w:color w:val="000000"/>
              </w:rPr>
              <w:t>726.7</w:t>
            </w:r>
          </w:p>
        </w:tc>
        <w:tc>
          <w:tcPr>
            <w:tcW w:w="0" w:type="auto"/>
            <w:shd w:val="clear" w:color="auto" w:fill="FFFFFF"/>
            <w:tcMar>
              <w:top w:w="0" w:type="dxa"/>
              <w:left w:w="108" w:type="dxa"/>
              <w:bottom w:w="0" w:type="dxa"/>
              <w:right w:w="108" w:type="dxa"/>
            </w:tcMar>
            <w:vAlign w:val="center"/>
          </w:tcPr>
          <w:p w14:paraId="429056CD" w14:textId="77777777" w:rsidR="00422EFE" w:rsidRPr="00261B7A" w:rsidRDefault="00422EFE" w:rsidP="00D41492">
            <w:pPr>
              <w:pStyle w:val="TableText"/>
              <w:spacing w:before="30" w:after="30"/>
              <w:jc w:val="right"/>
            </w:pPr>
            <w:r w:rsidRPr="00261B7A">
              <w:rPr>
                <w:rFonts w:eastAsia="Calibri"/>
                <w:color w:val="000000"/>
              </w:rPr>
              <w:t>2,283.2</w:t>
            </w:r>
          </w:p>
        </w:tc>
        <w:tc>
          <w:tcPr>
            <w:tcW w:w="0" w:type="auto"/>
            <w:shd w:val="clear" w:color="auto" w:fill="FFFFFF"/>
            <w:tcMar>
              <w:top w:w="0" w:type="dxa"/>
              <w:left w:w="108" w:type="dxa"/>
              <w:bottom w:w="0" w:type="dxa"/>
              <w:right w:w="108" w:type="dxa"/>
            </w:tcMar>
            <w:vAlign w:val="center"/>
          </w:tcPr>
          <w:p w14:paraId="365ED329" w14:textId="77777777" w:rsidR="00422EFE" w:rsidRPr="00261B7A" w:rsidRDefault="00422EFE" w:rsidP="00D41492">
            <w:pPr>
              <w:pStyle w:val="TableText"/>
              <w:spacing w:before="30" w:after="30"/>
              <w:jc w:val="right"/>
            </w:pPr>
            <w:r w:rsidRPr="00261B7A">
              <w:rPr>
                <w:rFonts w:eastAsia="Calibri"/>
                <w:color w:val="000000"/>
              </w:rPr>
              <w:t>3,009.9</w:t>
            </w:r>
          </w:p>
        </w:tc>
      </w:tr>
      <w:tr w:rsidR="00422EFE" w:rsidRPr="00261B7A" w14:paraId="46473621" w14:textId="77777777" w:rsidTr="00D41492">
        <w:tc>
          <w:tcPr>
            <w:tcW w:w="0" w:type="auto"/>
            <w:shd w:val="clear" w:color="auto" w:fill="FFFFFF"/>
            <w:tcMar>
              <w:top w:w="0" w:type="dxa"/>
              <w:left w:w="108" w:type="dxa"/>
              <w:bottom w:w="0" w:type="dxa"/>
              <w:right w:w="108" w:type="dxa"/>
            </w:tcMar>
            <w:vAlign w:val="center"/>
          </w:tcPr>
          <w:p w14:paraId="6034E388" w14:textId="77777777" w:rsidR="00422EFE" w:rsidRPr="00261B7A" w:rsidRDefault="00422EFE" w:rsidP="00D41492">
            <w:pPr>
              <w:pStyle w:val="TableText"/>
              <w:spacing w:before="30" w:after="30"/>
            </w:pPr>
            <w:r w:rsidRPr="00261B7A">
              <w:rPr>
                <w:rFonts w:eastAsia="Calibri"/>
              </w:rPr>
              <w:t>1984</w:t>
            </w:r>
          </w:p>
        </w:tc>
        <w:tc>
          <w:tcPr>
            <w:tcW w:w="0" w:type="auto"/>
            <w:shd w:val="clear" w:color="auto" w:fill="FFFFFF"/>
            <w:tcMar>
              <w:top w:w="0" w:type="dxa"/>
              <w:left w:w="108" w:type="dxa"/>
              <w:bottom w:w="0" w:type="dxa"/>
              <w:right w:w="108" w:type="dxa"/>
            </w:tcMar>
            <w:vAlign w:val="center"/>
          </w:tcPr>
          <w:p w14:paraId="6809B4F1" w14:textId="77777777" w:rsidR="00422EFE" w:rsidRPr="00261B7A" w:rsidRDefault="00422EFE" w:rsidP="00D41492">
            <w:pPr>
              <w:pStyle w:val="TableText"/>
              <w:spacing w:before="30" w:after="30"/>
              <w:jc w:val="right"/>
            </w:pPr>
            <w:r w:rsidRPr="00261B7A">
              <w:rPr>
                <w:rFonts w:eastAsia="Calibri"/>
                <w:color w:val="000000"/>
              </w:rPr>
              <w:t>735.2</w:t>
            </w:r>
          </w:p>
        </w:tc>
        <w:tc>
          <w:tcPr>
            <w:tcW w:w="0" w:type="auto"/>
            <w:shd w:val="clear" w:color="auto" w:fill="FFFFFF"/>
            <w:tcMar>
              <w:top w:w="0" w:type="dxa"/>
              <w:left w:w="108" w:type="dxa"/>
              <w:bottom w:w="0" w:type="dxa"/>
              <w:right w:w="108" w:type="dxa"/>
            </w:tcMar>
            <w:vAlign w:val="center"/>
          </w:tcPr>
          <w:p w14:paraId="576F67E7" w14:textId="77777777" w:rsidR="00422EFE" w:rsidRPr="00261B7A" w:rsidRDefault="00422EFE" w:rsidP="00D41492">
            <w:pPr>
              <w:pStyle w:val="TableText"/>
              <w:spacing w:before="30" w:after="30"/>
              <w:jc w:val="right"/>
            </w:pPr>
            <w:r w:rsidRPr="00261B7A">
              <w:rPr>
                <w:rFonts w:eastAsia="Calibri"/>
                <w:color w:val="000000"/>
              </w:rPr>
              <w:t>2,362.9</w:t>
            </w:r>
          </w:p>
        </w:tc>
        <w:tc>
          <w:tcPr>
            <w:tcW w:w="0" w:type="auto"/>
            <w:shd w:val="clear" w:color="auto" w:fill="FFFFFF"/>
            <w:tcMar>
              <w:top w:w="0" w:type="dxa"/>
              <w:left w:w="108" w:type="dxa"/>
              <w:bottom w:w="0" w:type="dxa"/>
              <w:right w:w="108" w:type="dxa"/>
            </w:tcMar>
            <w:vAlign w:val="center"/>
          </w:tcPr>
          <w:p w14:paraId="67F1E767" w14:textId="77777777" w:rsidR="00422EFE" w:rsidRPr="00261B7A" w:rsidRDefault="00422EFE" w:rsidP="00D41492">
            <w:pPr>
              <w:pStyle w:val="TableText"/>
              <w:spacing w:before="30" w:after="30"/>
              <w:jc w:val="right"/>
            </w:pPr>
            <w:r w:rsidRPr="00261B7A">
              <w:rPr>
                <w:rFonts w:eastAsia="Calibri"/>
                <w:color w:val="000000"/>
              </w:rPr>
              <w:t>3,098.1</w:t>
            </w:r>
          </w:p>
        </w:tc>
      </w:tr>
      <w:tr w:rsidR="00422EFE" w:rsidRPr="00261B7A" w14:paraId="108056C5" w14:textId="77777777" w:rsidTr="00D41492">
        <w:tc>
          <w:tcPr>
            <w:tcW w:w="0" w:type="auto"/>
            <w:shd w:val="clear" w:color="auto" w:fill="FFFFFF"/>
            <w:tcMar>
              <w:top w:w="0" w:type="dxa"/>
              <w:left w:w="108" w:type="dxa"/>
              <w:bottom w:w="0" w:type="dxa"/>
              <w:right w:w="108" w:type="dxa"/>
            </w:tcMar>
            <w:vAlign w:val="center"/>
          </w:tcPr>
          <w:p w14:paraId="34F4766B" w14:textId="77777777" w:rsidR="00422EFE" w:rsidRPr="00261B7A" w:rsidRDefault="00422EFE" w:rsidP="00D41492">
            <w:pPr>
              <w:pStyle w:val="TableText"/>
              <w:spacing w:before="30" w:after="30"/>
            </w:pPr>
            <w:r w:rsidRPr="00261B7A">
              <w:rPr>
                <w:rFonts w:eastAsia="Calibri"/>
              </w:rPr>
              <w:t>1985</w:t>
            </w:r>
          </w:p>
        </w:tc>
        <w:tc>
          <w:tcPr>
            <w:tcW w:w="0" w:type="auto"/>
            <w:shd w:val="clear" w:color="auto" w:fill="FFFFFF"/>
            <w:tcMar>
              <w:top w:w="0" w:type="dxa"/>
              <w:left w:w="108" w:type="dxa"/>
              <w:bottom w:w="0" w:type="dxa"/>
              <w:right w:w="108" w:type="dxa"/>
            </w:tcMar>
            <w:vAlign w:val="center"/>
          </w:tcPr>
          <w:p w14:paraId="216FA5F7" w14:textId="77777777" w:rsidR="00422EFE" w:rsidRPr="00261B7A" w:rsidRDefault="00422EFE" w:rsidP="00D41492">
            <w:pPr>
              <w:pStyle w:val="TableText"/>
              <w:spacing w:before="30" w:after="30"/>
              <w:jc w:val="right"/>
            </w:pPr>
            <w:r w:rsidRPr="00261B7A">
              <w:rPr>
                <w:rFonts w:eastAsia="Calibri"/>
                <w:color w:val="000000"/>
              </w:rPr>
              <w:t>756.1</w:t>
            </w:r>
          </w:p>
        </w:tc>
        <w:tc>
          <w:tcPr>
            <w:tcW w:w="0" w:type="auto"/>
            <w:shd w:val="clear" w:color="auto" w:fill="FFFFFF"/>
            <w:tcMar>
              <w:top w:w="0" w:type="dxa"/>
              <w:left w:w="108" w:type="dxa"/>
              <w:bottom w:w="0" w:type="dxa"/>
              <w:right w:w="108" w:type="dxa"/>
            </w:tcMar>
            <w:vAlign w:val="center"/>
          </w:tcPr>
          <w:p w14:paraId="533EA5F5" w14:textId="77777777" w:rsidR="00422EFE" w:rsidRPr="00261B7A" w:rsidRDefault="00422EFE" w:rsidP="00D41492">
            <w:pPr>
              <w:pStyle w:val="TableText"/>
              <w:spacing w:before="30" w:after="30"/>
              <w:jc w:val="right"/>
            </w:pPr>
            <w:r w:rsidRPr="00261B7A">
              <w:rPr>
                <w:rFonts w:eastAsia="Calibri"/>
                <w:color w:val="000000"/>
              </w:rPr>
              <w:t>2,476.1</w:t>
            </w:r>
          </w:p>
        </w:tc>
        <w:tc>
          <w:tcPr>
            <w:tcW w:w="0" w:type="auto"/>
            <w:shd w:val="clear" w:color="auto" w:fill="FFFFFF"/>
            <w:tcMar>
              <w:top w:w="0" w:type="dxa"/>
              <w:left w:w="108" w:type="dxa"/>
              <w:bottom w:w="0" w:type="dxa"/>
              <w:right w:w="108" w:type="dxa"/>
            </w:tcMar>
            <w:vAlign w:val="center"/>
          </w:tcPr>
          <w:p w14:paraId="25718ECF" w14:textId="77777777" w:rsidR="00422EFE" w:rsidRPr="00261B7A" w:rsidRDefault="00422EFE" w:rsidP="00D41492">
            <w:pPr>
              <w:pStyle w:val="TableText"/>
              <w:spacing w:before="30" w:after="30"/>
              <w:jc w:val="right"/>
            </w:pPr>
            <w:r w:rsidRPr="00261B7A">
              <w:rPr>
                <w:rFonts w:eastAsia="Calibri"/>
                <w:color w:val="000000"/>
              </w:rPr>
              <w:t>3,232.2</w:t>
            </w:r>
          </w:p>
        </w:tc>
      </w:tr>
      <w:tr w:rsidR="00422EFE" w:rsidRPr="00261B7A" w14:paraId="4FA6110F" w14:textId="77777777" w:rsidTr="00D41492">
        <w:tc>
          <w:tcPr>
            <w:tcW w:w="0" w:type="auto"/>
            <w:shd w:val="clear" w:color="auto" w:fill="FFFFFF"/>
            <w:tcMar>
              <w:top w:w="0" w:type="dxa"/>
              <w:left w:w="108" w:type="dxa"/>
              <w:bottom w:w="0" w:type="dxa"/>
              <w:right w:w="108" w:type="dxa"/>
            </w:tcMar>
            <w:vAlign w:val="center"/>
          </w:tcPr>
          <w:p w14:paraId="268D868E" w14:textId="77777777" w:rsidR="00422EFE" w:rsidRPr="00261B7A" w:rsidRDefault="00422EFE" w:rsidP="00D41492">
            <w:pPr>
              <w:pStyle w:val="TableText"/>
              <w:spacing w:before="30" w:after="30"/>
            </w:pPr>
            <w:r w:rsidRPr="00261B7A">
              <w:rPr>
                <w:rFonts w:eastAsia="Calibri"/>
              </w:rPr>
              <w:t>1986</w:t>
            </w:r>
          </w:p>
        </w:tc>
        <w:tc>
          <w:tcPr>
            <w:tcW w:w="0" w:type="auto"/>
            <w:shd w:val="clear" w:color="auto" w:fill="FFFFFF"/>
            <w:tcMar>
              <w:top w:w="0" w:type="dxa"/>
              <w:left w:w="108" w:type="dxa"/>
              <w:bottom w:w="0" w:type="dxa"/>
              <w:right w:w="108" w:type="dxa"/>
            </w:tcMar>
            <w:vAlign w:val="center"/>
          </w:tcPr>
          <w:p w14:paraId="1E6FB7E6" w14:textId="77777777" w:rsidR="00422EFE" w:rsidRPr="00261B7A" w:rsidRDefault="00422EFE" w:rsidP="00D41492">
            <w:pPr>
              <w:pStyle w:val="TableText"/>
              <w:spacing w:before="30" w:after="30"/>
              <w:jc w:val="right"/>
            </w:pPr>
            <w:r w:rsidRPr="00261B7A">
              <w:rPr>
                <w:rFonts w:eastAsia="Calibri"/>
                <w:color w:val="000000"/>
              </w:rPr>
              <w:t>765.8</w:t>
            </w:r>
          </w:p>
        </w:tc>
        <w:tc>
          <w:tcPr>
            <w:tcW w:w="0" w:type="auto"/>
            <w:shd w:val="clear" w:color="auto" w:fill="FFFFFF"/>
            <w:tcMar>
              <w:top w:w="0" w:type="dxa"/>
              <w:left w:w="108" w:type="dxa"/>
              <w:bottom w:w="0" w:type="dxa"/>
              <w:right w:w="108" w:type="dxa"/>
            </w:tcMar>
            <w:vAlign w:val="center"/>
          </w:tcPr>
          <w:p w14:paraId="3EEEC2E1" w14:textId="77777777" w:rsidR="00422EFE" w:rsidRPr="00261B7A" w:rsidRDefault="00422EFE" w:rsidP="00D41492">
            <w:pPr>
              <w:pStyle w:val="TableText"/>
              <w:spacing w:before="30" w:after="30"/>
              <w:jc w:val="right"/>
            </w:pPr>
            <w:r w:rsidRPr="00261B7A">
              <w:rPr>
                <w:rFonts w:eastAsia="Calibri"/>
                <w:color w:val="000000"/>
              </w:rPr>
              <w:t>2,516.1</w:t>
            </w:r>
          </w:p>
        </w:tc>
        <w:tc>
          <w:tcPr>
            <w:tcW w:w="0" w:type="auto"/>
            <w:shd w:val="clear" w:color="auto" w:fill="FFFFFF"/>
            <w:tcMar>
              <w:top w:w="0" w:type="dxa"/>
              <w:left w:w="108" w:type="dxa"/>
              <w:bottom w:w="0" w:type="dxa"/>
              <w:right w:w="108" w:type="dxa"/>
            </w:tcMar>
            <w:vAlign w:val="center"/>
          </w:tcPr>
          <w:p w14:paraId="68B700C9" w14:textId="77777777" w:rsidR="00422EFE" w:rsidRPr="00261B7A" w:rsidRDefault="00422EFE" w:rsidP="00D41492">
            <w:pPr>
              <w:pStyle w:val="TableText"/>
              <w:spacing w:before="30" w:after="30"/>
              <w:jc w:val="right"/>
            </w:pPr>
            <w:r w:rsidRPr="00261B7A">
              <w:rPr>
                <w:rFonts w:eastAsia="Calibri"/>
                <w:color w:val="000000"/>
              </w:rPr>
              <w:t>3,282.0</w:t>
            </w:r>
          </w:p>
        </w:tc>
      </w:tr>
      <w:tr w:rsidR="00422EFE" w:rsidRPr="00261B7A" w14:paraId="57536A75" w14:textId="77777777" w:rsidTr="00D41492">
        <w:tc>
          <w:tcPr>
            <w:tcW w:w="0" w:type="auto"/>
            <w:shd w:val="clear" w:color="auto" w:fill="FFFFFF"/>
            <w:tcMar>
              <w:top w:w="0" w:type="dxa"/>
              <w:left w:w="108" w:type="dxa"/>
              <w:bottom w:w="0" w:type="dxa"/>
              <w:right w:w="108" w:type="dxa"/>
            </w:tcMar>
            <w:vAlign w:val="center"/>
          </w:tcPr>
          <w:p w14:paraId="30E957D3" w14:textId="77777777" w:rsidR="00422EFE" w:rsidRPr="00261B7A" w:rsidRDefault="00422EFE" w:rsidP="00D41492">
            <w:pPr>
              <w:pStyle w:val="TableText"/>
              <w:spacing w:before="30" w:after="30"/>
            </w:pPr>
            <w:r w:rsidRPr="00261B7A">
              <w:rPr>
                <w:rFonts w:eastAsia="Calibri"/>
              </w:rPr>
              <w:t>1987</w:t>
            </w:r>
          </w:p>
        </w:tc>
        <w:tc>
          <w:tcPr>
            <w:tcW w:w="0" w:type="auto"/>
            <w:shd w:val="clear" w:color="auto" w:fill="FFFFFF"/>
            <w:tcMar>
              <w:top w:w="0" w:type="dxa"/>
              <w:left w:w="108" w:type="dxa"/>
              <w:bottom w:w="0" w:type="dxa"/>
              <w:right w:w="108" w:type="dxa"/>
            </w:tcMar>
            <w:vAlign w:val="center"/>
          </w:tcPr>
          <w:p w14:paraId="02DAF84C" w14:textId="77777777" w:rsidR="00422EFE" w:rsidRPr="00261B7A" w:rsidRDefault="00422EFE" w:rsidP="00D41492">
            <w:pPr>
              <w:pStyle w:val="TableText"/>
              <w:spacing w:before="30" w:after="30"/>
              <w:jc w:val="right"/>
            </w:pPr>
            <w:r w:rsidRPr="00261B7A">
              <w:rPr>
                <w:rFonts w:eastAsia="Calibri"/>
                <w:color w:val="000000"/>
              </w:rPr>
              <w:t>775.2</w:t>
            </w:r>
          </w:p>
        </w:tc>
        <w:tc>
          <w:tcPr>
            <w:tcW w:w="0" w:type="auto"/>
            <w:shd w:val="clear" w:color="auto" w:fill="FFFFFF"/>
            <w:tcMar>
              <w:top w:w="0" w:type="dxa"/>
              <w:left w:w="108" w:type="dxa"/>
              <w:bottom w:w="0" w:type="dxa"/>
              <w:right w:w="108" w:type="dxa"/>
            </w:tcMar>
            <w:vAlign w:val="center"/>
          </w:tcPr>
          <w:p w14:paraId="25742964" w14:textId="77777777" w:rsidR="00422EFE" w:rsidRPr="00261B7A" w:rsidRDefault="00422EFE" w:rsidP="00D41492">
            <w:pPr>
              <w:pStyle w:val="TableText"/>
              <w:spacing w:before="30" w:after="30"/>
              <w:jc w:val="right"/>
            </w:pPr>
            <w:r w:rsidRPr="00261B7A">
              <w:rPr>
                <w:rFonts w:eastAsia="Calibri"/>
                <w:color w:val="000000"/>
              </w:rPr>
              <w:t>2,584.2</w:t>
            </w:r>
          </w:p>
        </w:tc>
        <w:tc>
          <w:tcPr>
            <w:tcW w:w="0" w:type="auto"/>
            <w:shd w:val="clear" w:color="auto" w:fill="FFFFFF"/>
            <w:tcMar>
              <w:top w:w="0" w:type="dxa"/>
              <w:left w:w="108" w:type="dxa"/>
              <w:bottom w:w="0" w:type="dxa"/>
              <w:right w:w="108" w:type="dxa"/>
            </w:tcMar>
            <w:vAlign w:val="center"/>
          </w:tcPr>
          <w:p w14:paraId="7464BA7E" w14:textId="77777777" w:rsidR="00422EFE" w:rsidRPr="00261B7A" w:rsidRDefault="00422EFE" w:rsidP="00D41492">
            <w:pPr>
              <w:pStyle w:val="TableText"/>
              <w:spacing w:before="30" w:after="30"/>
              <w:jc w:val="right"/>
            </w:pPr>
            <w:r w:rsidRPr="00261B7A">
              <w:rPr>
                <w:rFonts w:eastAsia="Calibri"/>
                <w:color w:val="000000"/>
              </w:rPr>
              <w:t>3,359.4</w:t>
            </w:r>
          </w:p>
        </w:tc>
      </w:tr>
      <w:tr w:rsidR="00422EFE" w:rsidRPr="00261B7A" w14:paraId="61FABA55" w14:textId="77777777" w:rsidTr="00D41492">
        <w:tc>
          <w:tcPr>
            <w:tcW w:w="0" w:type="auto"/>
            <w:shd w:val="clear" w:color="auto" w:fill="FFFFFF"/>
            <w:tcMar>
              <w:top w:w="0" w:type="dxa"/>
              <w:left w:w="108" w:type="dxa"/>
              <w:bottom w:w="0" w:type="dxa"/>
              <w:right w:w="108" w:type="dxa"/>
            </w:tcMar>
            <w:vAlign w:val="center"/>
          </w:tcPr>
          <w:p w14:paraId="3627FFEB" w14:textId="77777777" w:rsidR="00422EFE" w:rsidRPr="00261B7A" w:rsidRDefault="00422EFE" w:rsidP="00D41492">
            <w:pPr>
              <w:pStyle w:val="TableText"/>
              <w:spacing w:before="30" w:after="30"/>
            </w:pPr>
            <w:r w:rsidRPr="00261B7A">
              <w:rPr>
                <w:rFonts w:eastAsia="Calibri"/>
              </w:rPr>
              <w:t>1988</w:t>
            </w:r>
          </w:p>
        </w:tc>
        <w:tc>
          <w:tcPr>
            <w:tcW w:w="0" w:type="auto"/>
            <w:shd w:val="clear" w:color="auto" w:fill="FFFFFF"/>
            <w:tcMar>
              <w:top w:w="0" w:type="dxa"/>
              <w:left w:w="108" w:type="dxa"/>
              <w:bottom w:w="0" w:type="dxa"/>
              <w:right w:w="108" w:type="dxa"/>
            </w:tcMar>
            <w:vAlign w:val="center"/>
          </w:tcPr>
          <w:p w14:paraId="3791A60D" w14:textId="77777777" w:rsidR="00422EFE" w:rsidRPr="00261B7A" w:rsidRDefault="00422EFE" w:rsidP="00D41492">
            <w:pPr>
              <w:pStyle w:val="TableText"/>
              <w:spacing w:before="30" w:after="30"/>
              <w:jc w:val="right"/>
            </w:pPr>
            <w:r w:rsidRPr="00261B7A">
              <w:rPr>
                <w:rFonts w:eastAsia="Calibri"/>
                <w:color w:val="000000"/>
              </w:rPr>
              <w:t>787.3</w:t>
            </w:r>
          </w:p>
        </w:tc>
        <w:tc>
          <w:tcPr>
            <w:tcW w:w="0" w:type="auto"/>
            <w:shd w:val="clear" w:color="auto" w:fill="FFFFFF"/>
            <w:tcMar>
              <w:top w:w="0" w:type="dxa"/>
              <w:left w:w="108" w:type="dxa"/>
              <w:bottom w:w="0" w:type="dxa"/>
              <w:right w:w="108" w:type="dxa"/>
            </w:tcMar>
            <w:vAlign w:val="center"/>
          </w:tcPr>
          <w:p w14:paraId="699C05BB" w14:textId="77777777" w:rsidR="00422EFE" w:rsidRPr="00261B7A" w:rsidRDefault="00422EFE" w:rsidP="00D41492">
            <w:pPr>
              <w:pStyle w:val="TableText"/>
              <w:spacing w:before="30" w:after="30"/>
              <w:jc w:val="right"/>
            </w:pPr>
            <w:r w:rsidRPr="00261B7A">
              <w:rPr>
                <w:rFonts w:eastAsia="Calibri"/>
                <w:color w:val="000000"/>
              </w:rPr>
              <w:t>2,609.3</w:t>
            </w:r>
          </w:p>
        </w:tc>
        <w:tc>
          <w:tcPr>
            <w:tcW w:w="0" w:type="auto"/>
            <w:shd w:val="clear" w:color="auto" w:fill="FFFFFF"/>
            <w:tcMar>
              <w:top w:w="0" w:type="dxa"/>
              <w:left w:w="108" w:type="dxa"/>
              <w:bottom w:w="0" w:type="dxa"/>
              <w:right w:w="108" w:type="dxa"/>
            </w:tcMar>
            <w:vAlign w:val="center"/>
          </w:tcPr>
          <w:p w14:paraId="2194BBF0" w14:textId="77777777" w:rsidR="00422EFE" w:rsidRPr="00261B7A" w:rsidRDefault="00422EFE" w:rsidP="00D41492">
            <w:pPr>
              <w:pStyle w:val="TableText"/>
              <w:spacing w:before="30" w:after="30"/>
              <w:jc w:val="right"/>
            </w:pPr>
            <w:r w:rsidRPr="00261B7A">
              <w:rPr>
                <w:rFonts w:eastAsia="Calibri"/>
                <w:color w:val="000000"/>
              </w:rPr>
              <w:t>3,396.6</w:t>
            </w:r>
          </w:p>
        </w:tc>
      </w:tr>
      <w:tr w:rsidR="00422EFE" w:rsidRPr="00261B7A" w14:paraId="73316C7C" w14:textId="77777777" w:rsidTr="00D41492">
        <w:tc>
          <w:tcPr>
            <w:tcW w:w="0" w:type="auto"/>
            <w:shd w:val="clear" w:color="auto" w:fill="FFFFFF"/>
            <w:tcMar>
              <w:top w:w="0" w:type="dxa"/>
              <w:left w:w="108" w:type="dxa"/>
              <w:bottom w:w="0" w:type="dxa"/>
              <w:right w:w="108" w:type="dxa"/>
            </w:tcMar>
            <w:vAlign w:val="center"/>
          </w:tcPr>
          <w:p w14:paraId="6ACB280B" w14:textId="77777777" w:rsidR="00422EFE" w:rsidRPr="00261B7A" w:rsidRDefault="00422EFE" w:rsidP="00D41492">
            <w:pPr>
              <w:pStyle w:val="TableText"/>
              <w:spacing w:before="30" w:after="30"/>
            </w:pPr>
            <w:r w:rsidRPr="00261B7A">
              <w:rPr>
                <w:rFonts w:eastAsia="Calibri"/>
              </w:rPr>
              <w:t>1989</w:t>
            </w:r>
          </w:p>
        </w:tc>
        <w:tc>
          <w:tcPr>
            <w:tcW w:w="0" w:type="auto"/>
            <w:shd w:val="clear" w:color="auto" w:fill="FFFFFF"/>
            <w:tcMar>
              <w:top w:w="0" w:type="dxa"/>
              <w:left w:w="108" w:type="dxa"/>
              <w:bottom w:w="0" w:type="dxa"/>
              <w:right w:w="108" w:type="dxa"/>
            </w:tcMar>
            <w:vAlign w:val="center"/>
          </w:tcPr>
          <w:p w14:paraId="0ECC0DAF" w14:textId="77777777" w:rsidR="00422EFE" w:rsidRPr="00261B7A" w:rsidRDefault="00422EFE" w:rsidP="00D41492">
            <w:pPr>
              <w:pStyle w:val="TableText"/>
              <w:spacing w:before="30" w:after="30"/>
              <w:jc w:val="right"/>
            </w:pPr>
            <w:r w:rsidRPr="00261B7A">
              <w:rPr>
                <w:rFonts w:eastAsia="Calibri"/>
                <w:color w:val="000000"/>
              </w:rPr>
              <w:t>793.3</w:t>
            </w:r>
          </w:p>
        </w:tc>
        <w:tc>
          <w:tcPr>
            <w:tcW w:w="0" w:type="auto"/>
            <w:shd w:val="clear" w:color="auto" w:fill="FFFFFF"/>
            <w:tcMar>
              <w:top w:w="0" w:type="dxa"/>
              <w:left w:w="108" w:type="dxa"/>
              <w:bottom w:w="0" w:type="dxa"/>
              <w:right w:w="108" w:type="dxa"/>
            </w:tcMar>
            <w:vAlign w:val="center"/>
          </w:tcPr>
          <w:p w14:paraId="4535A467" w14:textId="77777777" w:rsidR="00422EFE" w:rsidRPr="00261B7A" w:rsidRDefault="00422EFE" w:rsidP="00D41492">
            <w:pPr>
              <w:pStyle w:val="TableText"/>
              <w:spacing w:before="30" w:after="30"/>
              <w:jc w:val="right"/>
            </w:pPr>
            <w:r w:rsidRPr="00261B7A">
              <w:rPr>
                <w:rFonts w:eastAsia="Calibri"/>
                <w:color w:val="000000"/>
              </w:rPr>
              <w:t>2,600.1</w:t>
            </w:r>
          </w:p>
        </w:tc>
        <w:tc>
          <w:tcPr>
            <w:tcW w:w="0" w:type="auto"/>
            <w:shd w:val="clear" w:color="auto" w:fill="FFFFFF"/>
            <w:tcMar>
              <w:top w:w="0" w:type="dxa"/>
              <w:left w:w="108" w:type="dxa"/>
              <w:bottom w:w="0" w:type="dxa"/>
              <w:right w:w="108" w:type="dxa"/>
            </w:tcMar>
            <w:vAlign w:val="center"/>
          </w:tcPr>
          <w:p w14:paraId="35F0D53E" w14:textId="77777777" w:rsidR="00422EFE" w:rsidRPr="00261B7A" w:rsidRDefault="00422EFE" w:rsidP="00D41492">
            <w:pPr>
              <w:pStyle w:val="TableText"/>
              <w:spacing w:before="30" w:after="30"/>
              <w:jc w:val="right"/>
            </w:pPr>
            <w:r w:rsidRPr="00261B7A">
              <w:rPr>
                <w:rFonts w:eastAsia="Calibri"/>
                <w:color w:val="000000"/>
              </w:rPr>
              <w:t>3,393.4</w:t>
            </w:r>
          </w:p>
        </w:tc>
      </w:tr>
      <w:tr w:rsidR="00422EFE" w:rsidRPr="00261B7A" w14:paraId="44549392" w14:textId="77777777" w:rsidTr="00D41492">
        <w:tc>
          <w:tcPr>
            <w:tcW w:w="0" w:type="auto"/>
            <w:shd w:val="clear" w:color="auto" w:fill="FFFFFF"/>
            <w:tcMar>
              <w:top w:w="0" w:type="dxa"/>
              <w:left w:w="108" w:type="dxa"/>
              <w:bottom w:w="0" w:type="dxa"/>
              <w:right w:w="108" w:type="dxa"/>
            </w:tcMar>
            <w:vAlign w:val="center"/>
          </w:tcPr>
          <w:p w14:paraId="4A1BBD65" w14:textId="77777777" w:rsidR="00422EFE" w:rsidRPr="00261B7A" w:rsidRDefault="00422EFE" w:rsidP="00D41492">
            <w:pPr>
              <w:pStyle w:val="TableText"/>
              <w:spacing w:before="30" w:after="30"/>
            </w:pPr>
            <w:r w:rsidRPr="00261B7A">
              <w:rPr>
                <w:rFonts w:eastAsia="Calibri"/>
              </w:rPr>
              <w:t>1990</w:t>
            </w:r>
          </w:p>
        </w:tc>
        <w:tc>
          <w:tcPr>
            <w:tcW w:w="0" w:type="auto"/>
            <w:shd w:val="clear" w:color="auto" w:fill="FFFFFF"/>
            <w:tcMar>
              <w:top w:w="0" w:type="dxa"/>
              <w:left w:w="108" w:type="dxa"/>
              <w:bottom w:w="0" w:type="dxa"/>
              <w:right w:w="108" w:type="dxa"/>
            </w:tcMar>
            <w:vAlign w:val="center"/>
          </w:tcPr>
          <w:p w14:paraId="253D9858" w14:textId="77777777" w:rsidR="00422EFE" w:rsidRPr="00261B7A" w:rsidRDefault="00422EFE" w:rsidP="00D41492">
            <w:pPr>
              <w:pStyle w:val="TableText"/>
              <w:spacing w:before="30" w:after="30"/>
              <w:jc w:val="right"/>
            </w:pPr>
            <w:r w:rsidRPr="00261B7A">
              <w:rPr>
                <w:rFonts w:eastAsia="Calibri"/>
                <w:color w:val="000000"/>
              </w:rPr>
              <w:t>783.7</w:t>
            </w:r>
          </w:p>
        </w:tc>
        <w:tc>
          <w:tcPr>
            <w:tcW w:w="0" w:type="auto"/>
            <w:shd w:val="clear" w:color="auto" w:fill="FFFFFF"/>
            <w:tcMar>
              <w:top w:w="0" w:type="dxa"/>
              <w:left w:w="108" w:type="dxa"/>
              <w:bottom w:w="0" w:type="dxa"/>
              <w:right w:w="108" w:type="dxa"/>
            </w:tcMar>
            <w:vAlign w:val="center"/>
          </w:tcPr>
          <w:p w14:paraId="470A3AD7" w14:textId="77777777" w:rsidR="00422EFE" w:rsidRPr="00261B7A" w:rsidRDefault="00422EFE" w:rsidP="00D41492">
            <w:pPr>
              <w:pStyle w:val="TableText"/>
              <w:spacing w:before="30" w:after="30"/>
              <w:jc w:val="right"/>
            </w:pPr>
            <w:r w:rsidRPr="00261B7A">
              <w:rPr>
                <w:rFonts w:eastAsia="Calibri"/>
                <w:color w:val="000000"/>
              </w:rPr>
              <w:t>2,604.3</w:t>
            </w:r>
          </w:p>
        </w:tc>
        <w:tc>
          <w:tcPr>
            <w:tcW w:w="0" w:type="auto"/>
            <w:shd w:val="clear" w:color="auto" w:fill="FFFFFF"/>
            <w:tcMar>
              <w:top w:w="0" w:type="dxa"/>
              <w:left w:w="108" w:type="dxa"/>
              <w:bottom w:w="0" w:type="dxa"/>
              <w:right w:w="108" w:type="dxa"/>
            </w:tcMar>
            <w:vAlign w:val="center"/>
          </w:tcPr>
          <w:p w14:paraId="6E801FE5" w14:textId="77777777" w:rsidR="00422EFE" w:rsidRPr="00261B7A" w:rsidRDefault="00422EFE" w:rsidP="00D41492">
            <w:pPr>
              <w:pStyle w:val="TableText"/>
              <w:spacing w:before="30" w:after="30"/>
              <w:jc w:val="right"/>
            </w:pPr>
            <w:r w:rsidRPr="00261B7A">
              <w:rPr>
                <w:rFonts w:eastAsia="Calibri"/>
                <w:color w:val="000000"/>
              </w:rPr>
              <w:t>3,387.9</w:t>
            </w:r>
          </w:p>
        </w:tc>
      </w:tr>
      <w:tr w:rsidR="00422EFE" w:rsidRPr="00261B7A" w14:paraId="7E717651" w14:textId="77777777" w:rsidTr="00D41492">
        <w:tc>
          <w:tcPr>
            <w:tcW w:w="0" w:type="auto"/>
            <w:shd w:val="clear" w:color="auto" w:fill="FFFFFF"/>
            <w:tcMar>
              <w:top w:w="0" w:type="dxa"/>
              <w:left w:w="108" w:type="dxa"/>
              <w:bottom w:w="0" w:type="dxa"/>
              <w:right w:w="108" w:type="dxa"/>
            </w:tcMar>
            <w:vAlign w:val="center"/>
          </w:tcPr>
          <w:p w14:paraId="7BAE19C8" w14:textId="77777777" w:rsidR="00422EFE" w:rsidRPr="00261B7A" w:rsidRDefault="00422EFE" w:rsidP="00D41492">
            <w:pPr>
              <w:pStyle w:val="TableText"/>
              <w:spacing w:before="30" w:after="30"/>
            </w:pPr>
            <w:r w:rsidRPr="00261B7A">
              <w:rPr>
                <w:rFonts w:eastAsia="Calibri"/>
              </w:rPr>
              <w:t>1991</w:t>
            </w:r>
          </w:p>
        </w:tc>
        <w:tc>
          <w:tcPr>
            <w:tcW w:w="0" w:type="auto"/>
            <w:shd w:val="clear" w:color="auto" w:fill="FFFFFF"/>
            <w:tcMar>
              <w:top w:w="0" w:type="dxa"/>
              <w:left w:w="108" w:type="dxa"/>
              <w:bottom w:w="0" w:type="dxa"/>
              <w:right w:w="108" w:type="dxa"/>
            </w:tcMar>
            <w:vAlign w:val="center"/>
          </w:tcPr>
          <w:p w14:paraId="61201460" w14:textId="77777777" w:rsidR="00422EFE" w:rsidRPr="00261B7A" w:rsidRDefault="00422EFE" w:rsidP="00D41492">
            <w:pPr>
              <w:pStyle w:val="TableText"/>
              <w:spacing w:before="30" w:after="30"/>
              <w:jc w:val="right"/>
            </w:pPr>
            <w:r w:rsidRPr="00261B7A">
              <w:rPr>
                <w:rFonts w:eastAsia="Calibri"/>
                <w:color w:val="000000"/>
              </w:rPr>
              <w:t>777.9</w:t>
            </w:r>
          </w:p>
        </w:tc>
        <w:tc>
          <w:tcPr>
            <w:tcW w:w="0" w:type="auto"/>
            <w:shd w:val="clear" w:color="auto" w:fill="FFFFFF"/>
            <w:tcMar>
              <w:top w:w="0" w:type="dxa"/>
              <w:left w:w="108" w:type="dxa"/>
              <w:bottom w:w="0" w:type="dxa"/>
              <w:right w:w="108" w:type="dxa"/>
            </w:tcMar>
            <w:vAlign w:val="center"/>
          </w:tcPr>
          <w:p w14:paraId="26BA977E" w14:textId="77777777" w:rsidR="00422EFE" w:rsidRPr="00261B7A" w:rsidRDefault="00422EFE" w:rsidP="00D41492">
            <w:pPr>
              <w:pStyle w:val="TableText"/>
              <w:spacing w:before="30" w:after="30"/>
              <w:jc w:val="right"/>
            </w:pPr>
            <w:r w:rsidRPr="00261B7A">
              <w:rPr>
                <w:rFonts w:eastAsia="Calibri"/>
                <w:color w:val="000000"/>
              </w:rPr>
              <w:t>2,608.2</w:t>
            </w:r>
          </w:p>
        </w:tc>
        <w:tc>
          <w:tcPr>
            <w:tcW w:w="0" w:type="auto"/>
            <w:shd w:val="clear" w:color="auto" w:fill="FFFFFF"/>
            <w:tcMar>
              <w:top w:w="0" w:type="dxa"/>
              <w:left w:w="108" w:type="dxa"/>
              <w:bottom w:w="0" w:type="dxa"/>
              <w:right w:w="108" w:type="dxa"/>
            </w:tcMar>
            <w:vAlign w:val="center"/>
          </w:tcPr>
          <w:p w14:paraId="5F5296D6" w14:textId="77777777" w:rsidR="00422EFE" w:rsidRPr="00261B7A" w:rsidRDefault="00422EFE" w:rsidP="00D41492">
            <w:pPr>
              <w:pStyle w:val="TableText"/>
              <w:spacing w:before="30" w:after="30"/>
              <w:jc w:val="right"/>
            </w:pPr>
            <w:r w:rsidRPr="00261B7A">
              <w:rPr>
                <w:rFonts w:eastAsia="Calibri"/>
                <w:color w:val="000000"/>
              </w:rPr>
              <w:t>3,386.1</w:t>
            </w:r>
          </w:p>
        </w:tc>
      </w:tr>
      <w:tr w:rsidR="00422EFE" w:rsidRPr="00261B7A" w14:paraId="62128E0A" w14:textId="77777777" w:rsidTr="00D41492">
        <w:tc>
          <w:tcPr>
            <w:tcW w:w="0" w:type="auto"/>
            <w:shd w:val="clear" w:color="auto" w:fill="FFFFFF"/>
            <w:tcMar>
              <w:top w:w="0" w:type="dxa"/>
              <w:left w:w="108" w:type="dxa"/>
              <w:bottom w:w="0" w:type="dxa"/>
              <w:right w:w="108" w:type="dxa"/>
            </w:tcMar>
            <w:vAlign w:val="center"/>
          </w:tcPr>
          <w:p w14:paraId="61D4F4D0" w14:textId="77777777" w:rsidR="00422EFE" w:rsidRPr="00261B7A" w:rsidRDefault="00422EFE" w:rsidP="00D41492">
            <w:pPr>
              <w:pStyle w:val="TableText"/>
              <w:spacing w:before="30" w:after="30"/>
            </w:pPr>
            <w:r w:rsidRPr="00261B7A">
              <w:rPr>
                <w:rFonts w:eastAsia="Calibri"/>
              </w:rPr>
              <w:t>1992</w:t>
            </w:r>
          </w:p>
        </w:tc>
        <w:tc>
          <w:tcPr>
            <w:tcW w:w="0" w:type="auto"/>
            <w:shd w:val="clear" w:color="auto" w:fill="FFFFFF"/>
            <w:tcMar>
              <w:top w:w="0" w:type="dxa"/>
              <w:left w:w="108" w:type="dxa"/>
              <w:bottom w:w="0" w:type="dxa"/>
              <w:right w:w="108" w:type="dxa"/>
            </w:tcMar>
            <w:vAlign w:val="center"/>
          </w:tcPr>
          <w:p w14:paraId="41C0C546" w14:textId="77777777" w:rsidR="00422EFE" w:rsidRPr="00261B7A" w:rsidRDefault="00422EFE" w:rsidP="00D41492">
            <w:pPr>
              <w:pStyle w:val="TableText"/>
              <w:spacing w:before="30" w:after="30"/>
              <w:jc w:val="right"/>
            </w:pPr>
            <w:r w:rsidRPr="00261B7A">
              <w:rPr>
                <w:rFonts w:eastAsia="Calibri"/>
                <w:color w:val="000000"/>
              </w:rPr>
              <w:t>768.9</w:t>
            </w:r>
          </w:p>
        </w:tc>
        <w:tc>
          <w:tcPr>
            <w:tcW w:w="0" w:type="auto"/>
            <w:shd w:val="clear" w:color="auto" w:fill="FFFFFF"/>
            <w:tcMar>
              <w:top w:w="0" w:type="dxa"/>
              <w:left w:w="108" w:type="dxa"/>
              <w:bottom w:w="0" w:type="dxa"/>
              <w:right w:w="108" w:type="dxa"/>
            </w:tcMar>
            <w:vAlign w:val="center"/>
          </w:tcPr>
          <w:p w14:paraId="1B5CF5FC" w14:textId="77777777" w:rsidR="00422EFE" w:rsidRPr="00261B7A" w:rsidRDefault="00422EFE" w:rsidP="00D41492">
            <w:pPr>
              <w:pStyle w:val="TableText"/>
              <w:spacing w:before="30" w:after="30"/>
              <w:jc w:val="right"/>
            </w:pPr>
            <w:r w:rsidRPr="00261B7A">
              <w:rPr>
                <w:rFonts w:eastAsia="Calibri"/>
                <w:color w:val="000000"/>
              </w:rPr>
              <w:t>2,579.8</w:t>
            </w:r>
          </w:p>
        </w:tc>
        <w:tc>
          <w:tcPr>
            <w:tcW w:w="0" w:type="auto"/>
            <w:shd w:val="clear" w:color="auto" w:fill="FFFFFF"/>
            <w:tcMar>
              <w:top w:w="0" w:type="dxa"/>
              <w:left w:w="108" w:type="dxa"/>
              <w:bottom w:w="0" w:type="dxa"/>
              <w:right w:w="108" w:type="dxa"/>
            </w:tcMar>
            <w:vAlign w:val="center"/>
          </w:tcPr>
          <w:p w14:paraId="58557912" w14:textId="77777777" w:rsidR="00422EFE" w:rsidRPr="00261B7A" w:rsidRDefault="00422EFE" w:rsidP="00D41492">
            <w:pPr>
              <w:pStyle w:val="TableText"/>
              <w:spacing w:before="30" w:after="30"/>
              <w:jc w:val="right"/>
            </w:pPr>
            <w:r w:rsidRPr="00261B7A">
              <w:rPr>
                <w:rFonts w:eastAsia="Calibri"/>
                <w:color w:val="000000"/>
              </w:rPr>
              <w:t>3,348.7</w:t>
            </w:r>
          </w:p>
        </w:tc>
      </w:tr>
      <w:tr w:rsidR="00422EFE" w:rsidRPr="00261B7A" w14:paraId="787DF6C6" w14:textId="77777777" w:rsidTr="00D41492">
        <w:tc>
          <w:tcPr>
            <w:tcW w:w="0" w:type="auto"/>
            <w:shd w:val="clear" w:color="auto" w:fill="FFFFFF"/>
            <w:tcMar>
              <w:top w:w="0" w:type="dxa"/>
              <w:left w:w="108" w:type="dxa"/>
              <w:bottom w:w="0" w:type="dxa"/>
              <w:right w:w="108" w:type="dxa"/>
            </w:tcMar>
            <w:vAlign w:val="center"/>
          </w:tcPr>
          <w:p w14:paraId="7CE0020D" w14:textId="77777777" w:rsidR="00422EFE" w:rsidRPr="00261B7A" w:rsidRDefault="00422EFE" w:rsidP="00D41492">
            <w:pPr>
              <w:pStyle w:val="TableText"/>
              <w:spacing w:before="30" w:after="30"/>
            </w:pPr>
            <w:r w:rsidRPr="00261B7A">
              <w:rPr>
                <w:rFonts w:eastAsia="Calibri"/>
              </w:rPr>
              <w:t>1993</w:t>
            </w:r>
          </w:p>
        </w:tc>
        <w:tc>
          <w:tcPr>
            <w:tcW w:w="0" w:type="auto"/>
            <w:shd w:val="clear" w:color="auto" w:fill="FFFFFF"/>
            <w:tcMar>
              <w:top w:w="0" w:type="dxa"/>
              <w:left w:w="108" w:type="dxa"/>
              <w:bottom w:w="0" w:type="dxa"/>
              <w:right w:w="108" w:type="dxa"/>
            </w:tcMar>
            <w:vAlign w:val="center"/>
          </w:tcPr>
          <w:p w14:paraId="38BBA68F" w14:textId="77777777" w:rsidR="00422EFE" w:rsidRPr="00261B7A" w:rsidRDefault="00422EFE" w:rsidP="00D41492">
            <w:pPr>
              <w:pStyle w:val="TableText"/>
              <w:spacing w:before="30" w:after="30"/>
              <w:jc w:val="right"/>
            </w:pPr>
            <w:r w:rsidRPr="00261B7A">
              <w:rPr>
                <w:rFonts w:eastAsia="Calibri"/>
                <w:color w:val="000000"/>
              </w:rPr>
              <w:t>784.4</w:t>
            </w:r>
          </w:p>
        </w:tc>
        <w:tc>
          <w:tcPr>
            <w:tcW w:w="0" w:type="auto"/>
            <w:shd w:val="clear" w:color="auto" w:fill="FFFFFF"/>
            <w:tcMar>
              <w:top w:w="0" w:type="dxa"/>
              <w:left w:w="108" w:type="dxa"/>
              <w:bottom w:w="0" w:type="dxa"/>
              <w:right w:w="108" w:type="dxa"/>
            </w:tcMar>
            <w:vAlign w:val="center"/>
          </w:tcPr>
          <w:p w14:paraId="11F17CEA" w14:textId="77777777" w:rsidR="00422EFE" w:rsidRPr="00261B7A" w:rsidRDefault="00422EFE" w:rsidP="00D41492">
            <w:pPr>
              <w:pStyle w:val="TableText"/>
              <w:spacing w:before="30" w:after="30"/>
              <w:jc w:val="right"/>
            </w:pPr>
            <w:r w:rsidRPr="00261B7A">
              <w:rPr>
                <w:rFonts w:eastAsia="Calibri"/>
                <w:color w:val="000000"/>
              </w:rPr>
              <w:t>2,608.0</w:t>
            </w:r>
          </w:p>
        </w:tc>
        <w:tc>
          <w:tcPr>
            <w:tcW w:w="0" w:type="auto"/>
            <w:shd w:val="clear" w:color="auto" w:fill="FFFFFF"/>
            <w:tcMar>
              <w:top w:w="0" w:type="dxa"/>
              <w:left w:w="108" w:type="dxa"/>
              <w:bottom w:w="0" w:type="dxa"/>
              <w:right w:w="108" w:type="dxa"/>
            </w:tcMar>
            <w:vAlign w:val="center"/>
          </w:tcPr>
          <w:p w14:paraId="7851E2FD" w14:textId="77777777" w:rsidR="00422EFE" w:rsidRPr="00261B7A" w:rsidRDefault="00422EFE" w:rsidP="00D41492">
            <w:pPr>
              <w:pStyle w:val="TableText"/>
              <w:spacing w:before="30" w:after="30"/>
              <w:jc w:val="right"/>
            </w:pPr>
            <w:r w:rsidRPr="00261B7A">
              <w:rPr>
                <w:rFonts w:eastAsia="Calibri"/>
                <w:color w:val="000000"/>
              </w:rPr>
              <w:t>3,392.4</w:t>
            </w:r>
          </w:p>
        </w:tc>
      </w:tr>
      <w:tr w:rsidR="00422EFE" w:rsidRPr="00261B7A" w14:paraId="5093B214" w14:textId="77777777" w:rsidTr="00D41492">
        <w:tc>
          <w:tcPr>
            <w:tcW w:w="0" w:type="auto"/>
            <w:shd w:val="clear" w:color="auto" w:fill="FFFFFF"/>
            <w:tcMar>
              <w:top w:w="0" w:type="dxa"/>
              <w:left w:w="108" w:type="dxa"/>
              <w:bottom w:w="0" w:type="dxa"/>
              <w:right w:w="108" w:type="dxa"/>
            </w:tcMar>
            <w:vAlign w:val="center"/>
          </w:tcPr>
          <w:p w14:paraId="1370F54E" w14:textId="77777777" w:rsidR="00422EFE" w:rsidRPr="00261B7A" w:rsidRDefault="00422EFE" w:rsidP="00D41492">
            <w:pPr>
              <w:pStyle w:val="TableText"/>
              <w:spacing w:before="30" w:after="30"/>
            </w:pPr>
            <w:r w:rsidRPr="00261B7A">
              <w:rPr>
                <w:rFonts w:eastAsia="Calibri"/>
              </w:rPr>
              <w:t>1994</w:t>
            </w:r>
          </w:p>
        </w:tc>
        <w:tc>
          <w:tcPr>
            <w:tcW w:w="0" w:type="auto"/>
            <w:shd w:val="clear" w:color="auto" w:fill="FFFFFF"/>
            <w:tcMar>
              <w:top w:w="0" w:type="dxa"/>
              <w:left w:w="108" w:type="dxa"/>
              <w:bottom w:w="0" w:type="dxa"/>
              <w:right w:w="108" w:type="dxa"/>
            </w:tcMar>
            <w:vAlign w:val="center"/>
          </w:tcPr>
          <w:p w14:paraId="6F7F700C" w14:textId="77777777" w:rsidR="00422EFE" w:rsidRPr="00261B7A" w:rsidRDefault="00422EFE" w:rsidP="00D41492">
            <w:pPr>
              <w:pStyle w:val="TableText"/>
              <w:spacing w:before="30" w:after="30"/>
              <w:jc w:val="right"/>
            </w:pPr>
            <w:r w:rsidRPr="00261B7A">
              <w:rPr>
                <w:rFonts w:eastAsia="Calibri"/>
                <w:color w:val="000000"/>
              </w:rPr>
              <w:t>669.9</w:t>
            </w:r>
          </w:p>
        </w:tc>
        <w:tc>
          <w:tcPr>
            <w:tcW w:w="0" w:type="auto"/>
            <w:shd w:val="clear" w:color="auto" w:fill="FFFFFF"/>
            <w:tcMar>
              <w:top w:w="0" w:type="dxa"/>
              <w:left w:w="108" w:type="dxa"/>
              <w:bottom w:w="0" w:type="dxa"/>
              <w:right w:w="108" w:type="dxa"/>
            </w:tcMar>
            <w:vAlign w:val="center"/>
          </w:tcPr>
          <w:p w14:paraId="06FA7DD7" w14:textId="77777777" w:rsidR="00422EFE" w:rsidRPr="00261B7A" w:rsidRDefault="00422EFE" w:rsidP="00D41492">
            <w:pPr>
              <w:pStyle w:val="TableText"/>
              <w:spacing w:before="30" w:after="30"/>
              <w:jc w:val="right"/>
            </w:pPr>
            <w:r w:rsidRPr="00261B7A">
              <w:rPr>
                <w:rFonts w:eastAsia="Calibri"/>
                <w:color w:val="000000"/>
              </w:rPr>
              <w:t>2,774.7</w:t>
            </w:r>
          </w:p>
        </w:tc>
        <w:tc>
          <w:tcPr>
            <w:tcW w:w="0" w:type="auto"/>
            <w:shd w:val="clear" w:color="auto" w:fill="FFFFFF"/>
            <w:tcMar>
              <w:top w:w="0" w:type="dxa"/>
              <w:left w:w="108" w:type="dxa"/>
              <w:bottom w:w="0" w:type="dxa"/>
              <w:right w:w="108" w:type="dxa"/>
            </w:tcMar>
            <w:vAlign w:val="center"/>
          </w:tcPr>
          <w:p w14:paraId="52BA4FC9" w14:textId="77777777" w:rsidR="00422EFE" w:rsidRPr="00261B7A" w:rsidRDefault="00422EFE" w:rsidP="00D41492">
            <w:pPr>
              <w:pStyle w:val="TableText"/>
              <w:spacing w:before="30" w:after="30"/>
              <w:jc w:val="right"/>
            </w:pPr>
            <w:r w:rsidRPr="00261B7A">
              <w:rPr>
                <w:rFonts w:eastAsia="Calibri"/>
                <w:color w:val="000000"/>
              </w:rPr>
              <w:t>3,444.6</w:t>
            </w:r>
          </w:p>
        </w:tc>
      </w:tr>
      <w:tr w:rsidR="00422EFE" w:rsidRPr="00261B7A" w14:paraId="0CF750EA" w14:textId="77777777" w:rsidTr="00D41492">
        <w:tc>
          <w:tcPr>
            <w:tcW w:w="0" w:type="auto"/>
            <w:shd w:val="clear" w:color="auto" w:fill="FFFFFF"/>
            <w:tcMar>
              <w:top w:w="0" w:type="dxa"/>
              <w:left w:w="108" w:type="dxa"/>
              <w:bottom w:w="0" w:type="dxa"/>
              <w:right w:w="108" w:type="dxa"/>
            </w:tcMar>
            <w:vAlign w:val="center"/>
          </w:tcPr>
          <w:p w14:paraId="4D237DDC" w14:textId="77777777" w:rsidR="00422EFE" w:rsidRPr="00261B7A" w:rsidRDefault="00422EFE" w:rsidP="00D41492">
            <w:pPr>
              <w:pStyle w:val="TableText"/>
              <w:spacing w:before="30" w:after="30"/>
            </w:pPr>
            <w:r w:rsidRPr="00261B7A">
              <w:rPr>
                <w:rFonts w:eastAsia="Calibri"/>
              </w:rPr>
              <w:t>1995</w:t>
            </w:r>
          </w:p>
        </w:tc>
        <w:tc>
          <w:tcPr>
            <w:tcW w:w="0" w:type="auto"/>
            <w:shd w:val="clear" w:color="auto" w:fill="FFFFFF"/>
            <w:tcMar>
              <w:top w:w="0" w:type="dxa"/>
              <w:left w:w="108" w:type="dxa"/>
              <w:bottom w:w="0" w:type="dxa"/>
              <w:right w:w="108" w:type="dxa"/>
            </w:tcMar>
            <w:vAlign w:val="center"/>
          </w:tcPr>
          <w:p w14:paraId="65A03D88" w14:textId="77777777" w:rsidR="00422EFE" w:rsidRPr="00261B7A" w:rsidRDefault="00422EFE" w:rsidP="00D41492">
            <w:pPr>
              <w:pStyle w:val="TableText"/>
              <w:spacing w:before="30" w:after="30"/>
              <w:jc w:val="right"/>
            </w:pPr>
            <w:r w:rsidRPr="00261B7A">
              <w:rPr>
                <w:rFonts w:eastAsia="Calibri"/>
                <w:color w:val="000000"/>
              </w:rPr>
              <w:t>663.5</w:t>
            </w:r>
          </w:p>
        </w:tc>
        <w:tc>
          <w:tcPr>
            <w:tcW w:w="0" w:type="auto"/>
            <w:shd w:val="clear" w:color="auto" w:fill="FFFFFF"/>
            <w:tcMar>
              <w:top w:w="0" w:type="dxa"/>
              <w:left w:w="108" w:type="dxa"/>
              <w:bottom w:w="0" w:type="dxa"/>
              <w:right w:w="108" w:type="dxa"/>
            </w:tcMar>
            <w:vAlign w:val="center"/>
          </w:tcPr>
          <w:p w14:paraId="4F6577BA" w14:textId="77777777" w:rsidR="00422EFE" w:rsidRPr="00261B7A" w:rsidRDefault="00422EFE" w:rsidP="00D41492">
            <w:pPr>
              <w:pStyle w:val="TableText"/>
              <w:spacing w:before="30" w:after="30"/>
              <w:jc w:val="right"/>
            </w:pPr>
            <w:r w:rsidRPr="00261B7A">
              <w:rPr>
                <w:rFonts w:eastAsia="Calibri"/>
                <w:color w:val="000000"/>
              </w:rPr>
              <w:t>2,916.8</w:t>
            </w:r>
          </w:p>
        </w:tc>
        <w:tc>
          <w:tcPr>
            <w:tcW w:w="0" w:type="auto"/>
            <w:shd w:val="clear" w:color="auto" w:fill="FFFFFF"/>
            <w:tcMar>
              <w:top w:w="0" w:type="dxa"/>
              <w:left w:w="108" w:type="dxa"/>
              <w:bottom w:w="0" w:type="dxa"/>
              <w:right w:w="108" w:type="dxa"/>
            </w:tcMar>
            <w:vAlign w:val="center"/>
          </w:tcPr>
          <w:p w14:paraId="02AEF4F0" w14:textId="77777777" w:rsidR="00422EFE" w:rsidRPr="00261B7A" w:rsidRDefault="00422EFE" w:rsidP="00D41492">
            <w:pPr>
              <w:pStyle w:val="TableText"/>
              <w:spacing w:before="30" w:after="30"/>
              <w:jc w:val="right"/>
            </w:pPr>
            <w:r w:rsidRPr="00261B7A">
              <w:rPr>
                <w:rFonts w:eastAsia="Calibri"/>
                <w:color w:val="000000"/>
              </w:rPr>
              <w:t>3,580.2</w:t>
            </w:r>
          </w:p>
        </w:tc>
      </w:tr>
      <w:tr w:rsidR="00422EFE" w:rsidRPr="00261B7A" w14:paraId="3DB71BCE" w14:textId="77777777" w:rsidTr="00D41492">
        <w:tc>
          <w:tcPr>
            <w:tcW w:w="0" w:type="auto"/>
            <w:shd w:val="clear" w:color="auto" w:fill="FFFFFF"/>
            <w:tcMar>
              <w:top w:w="0" w:type="dxa"/>
              <w:left w:w="108" w:type="dxa"/>
              <w:bottom w:w="0" w:type="dxa"/>
              <w:right w:w="108" w:type="dxa"/>
            </w:tcMar>
            <w:vAlign w:val="center"/>
          </w:tcPr>
          <w:p w14:paraId="06E7DD8E" w14:textId="77777777" w:rsidR="00422EFE" w:rsidRPr="00261B7A" w:rsidRDefault="00422EFE" w:rsidP="00D41492">
            <w:pPr>
              <w:pStyle w:val="TableText"/>
              <w:spacing w:before="30" w:after="30"/>
            </w:pPr>
            <w:r w:rsidRPr="00261B7A">
              <w:rPr>
                <w:rFonts w:eastAsia="Calibri"/>
              </w:rPr>
              <w:t>1996</w:t>
            </w:r>
          </w:p>
        </w:tc>
        <w:tc>
          <w:tcPr>
            <w:tcW w:w="0" w:type="auto"/>
            <w:shd w:val="clear" w:color="auto" w:fill="FFFFFF"/>
            <w:tcMar>
              <w:top w:w="0" w:type="dxa"/>
              <w:left w:w="108" w:type="dxa"/>
              <w:bottom w:w="0" w:type="dxa"/>
              <w:right w:w="108" w:type="dxa"/>
            </w:tcMar>
            <w:vAlign w:val="center"/>
          </w:tcPr>
          <w:p w14:paraId="082B5211" w14:textId="77777777" w:rsidR="00422EFE" w:rsidRPr="00261B7A" w:rsidRDefault="00422EFE" w:rsidP="00D41492">
            <w:pPr>
              <w:pStyle w:val="TableText"/>
              <w:spacing w:before="30" w:after="30"/>
              <w:jc w:val="right"/>
            </w:pPr>
            <w:r w:rsidRPr="00261B7A">
              <w:rPr>
                <w:rFonts w:eastAsia="Calibri"/>
                <w:color w:val="000000"/>
              </w:rPr>
              <w:t>637.3</w:t>
            </w:r>
          </w:p>
        </w:tc>
        <w:tc>
          <w:tcPr>
            <w:tcW w:w="0" w:type="auto"/>
            <w:shd w:val="clear" w:color="auto" w:fill="FFFFFF"/>
            <w:tcMar>
              <w:top w:w="0" w:type="dxa"/>
              <w:left w:w="108" w:type="dxa"/>
              <w:bottom w:w="0" w:type="dxa"/>
              <w:right w:w="108" w:type="dxa"/>
            </w:tcMar>
            <w:vAlign w:val="center"/>
          </w:tcPr>
          <w:p w14:paraId="00F81752" w14:textId="77777777" w:rsidR="00422EFE" w:rsidRPr="00261B7A" w:rsidRDefault="00422EFE" w:rsidP="00D41492">
            <w:pPr>
              <w:pStyle w:val="TableText"/>
              <w:spacing w:before="30" w:after="30"/>
              <w:jc w:val="right"/>
            </w:pPr>
            <w:r w:rsidRPr="00261B7A">
              <w:rPr>
                <w:rFonts w:eastAsia="Calibri"/>
                <w:color w:val="000000"/>
              </w:rPr>
              <w:t>3,054.5</w:t>
            </w:r>
          </w:p>
        </w:tc>
        <w:tc>
          <w:tcPr>
            <w:tcW w:w="0" w:type="auto"/>
            <w:shd w:val="clear" w:color="auto" w:fill="FFFFFF"/>
            <w:tcMar>
              <w:top w:w="0" w:type="dxa"/>
              <w:left w:w="108" w:type="dxa"/>
              <w:bottom w:w="0" w:type="dxa"/>
              <w:right w:w="108" w:type="dxa"/>
            </w:tcMar>
            <w:vAlign w:val="center"/>
          </w:tcPr>
          <w:p w14:paraId="48A359C1" w14:textId="77777777" w:rsidR="00422EFE" w:rsidRPr="00261B7A" w:rsidRDefault="00422EFE" w:rsidP="00D41492">
            <w:pPr>
              <w:pStyle w:val="TableText"/>
              <w:spacing w:before="30" w:after="30"/>
              <w:jc w:val="right"/>
            </w:pPr>
            <w:r w:rsidRPr="00261B7A">
              <w:rPr>
                <w:rFonts w:eastAsia="Calibri"/>
                <w:color w:val="000000"/>
              </w:rPr>
              <w:t>3,691.8</w:t>
            </w:r>
          </w:p>
        </w:tc>
      </w:tr>
      <w:tr w:rsidR="00422EFE" w:rsidRPr="00261B7A" w14:paraId="2C032456" w14:textId="77777777" w:rsidTr="00D41492">
        <w:tc>
          <w:tcPr>
            <w:tcW w:w="0" w:type="auto"/>
            <w:shd w:val="clear" w:color="auto" w:fill="FFFFFF"/>
            <w:tcMar>
              <w:top w:w="0" w:type="dxa"/>
              <w:left w:w="108" w:type="dxa"/>
              <w:bottom w:w="0" w:type="dxa"/>
              <w:right w:w="108" w:type="dxa"/>
            </w:tcMar>
            <w:vAlign w:val="center"/>
          </w:tcPr>
          <w:p w14:paraId="34B29251" w14:textId="77777777" w:rsidR="00422EFE" w:rsidRPr="00261B7A" w:rsidRDefault="00422EFE" w:rsidP="00D41492">
            <w:pPr>
              <w:pStyle w:val="TableText"/>
              <w:spacing w:before="30" w:after="30"/>
            </w:pPr>
            <w:r w:rsidRPr="00261B7A">
              <w:rPr>
                <w:rFonts w:eastAsia="Calibri"/>
              </w:rPr>
              <w:t>1997</w:t>
            </w:r>
          </w:p>
        </w:tc>
        <w:tc>
          <w:tcPr>
            <w:tcW w:w="0" w:type="auto"/>
            <w:shd w:val="clear" w:color="auto" w:fill="FFFFFF"/>
            <w:tcMar>
              <w:top w:w="0" w:type="dxa"/>
              <w:left w:w="108" w:type="dxa"/>
              <w:bottom w:w="0" w:type="dxa"/>
              <w:right w:w="108" w:type="dxa"/>
            </w:tcMar>
            <w:vAlign w:val="center"/>
          </w:tcPr>
          <w:p w14:paraId="41A3F728" w14:textId="77777777" w:rsidR="00422EFE" w:rsidRPr="00261B7A" w:rsidRDefault="00422EFE" w:rsidP="00D41492">
            <w:pPr>
              <w:pStyle w:val="TableText"/>
              <w:spacing w:before="30" w:after="30"/>
              <w:jc w:val="right"/>
            </w:pPr>
            <w:r w:rsidRPr="00261B7A">
              <w:rPr>
                <w:rFonts w:eastAsia="Calibri"/>
                <w:color w:val="000000"/>
              </w:rPr>
              <w:t>684.9</w:t>
            </w:r>
          </w:p>
        </w:tc>
        <w:tc>
          <w:tcPr>
            <w:tcW w:w="0" w:type="auto"/>
            <w:shd w:val="clear" w:color="auto" w:fill="FFFFFF"/>
            <w:tcMar>
              <w:top w:w="0" w:type="dxa"/>
              <w:left w:w="108" w:type="dxa"/>
              <w:bottom w:w="0" w:type="dxa"/>
              <w:right w:w="108" w:type="dxa"/>
            </w:tcMar>
            <w:vAlign w:val="center"/>
          </w:tcPr>
          <w:p w14:paraId="4A4D892E" w14:textId="77777777" w:rsidR="00422EFE" w:rsidRPr="00261B7A" w:rsidRDefault="00422EFE" w:rsidP="00D41492">
            <w:pPr>
              <w:pStyle w:val="TableText"/>
              <w:spacing w:before="30" w:after="30"/>
              <w:jc w:val="right"/>
            </w:pPr>
            <w:r w:rsidRPr="00261B7A">
              <w:rPr>
                <w:rFonts w:eastAsia="Calibri"/>
                <w:color w:val="000000"/>
              </w:rPr>
              <w:t>3,164.9</w:t>
            </w:r>
          </w:p>
        </w:tc>
        <w:tc>
          <w:tcPr>
            <w:tcW w:w="0" w:type="auto"/>
            <w:shd w:val="clear" w:color="auto" w:fill="FFFFFF"/>
            <w:tcMar>
              <w:top w:w="0" w:type="dxa"/>
              <w:left w:w="108" w:type="dxa"/>
              <w:bottom w:w="0" w:type="dxa"/>
              <w:right w:w="108" w:type="dxa"/>
            </w:tcMar>
            <w:vAlign w:val="center"/>
          </w:tcPr>
          <w:p w14:paraId="1B9486C6" w14:textId="77777777" w:rsidR="00422EFE" w:rsidRPr="00261B7A" w:rsidRDefault="00422EFE" w:rsidP="00D41492">
            <w:pPr>
              <w:pStyle w:val="TableText"/>
              <w:spacing w:before="30" w:after="30"/>
              <w:jc w:val="right"/>
            </w:pPr>
            <w:r w:rsidRPr="00261B7A">
              <w:rPr>
                <w:rFonts w:eastAsia="Calibri"/>
                <w:color w:val="000000"/>
              </w:rPr>
              <w:t>3,849.8</w:t>
            </w:r>
          </w:p>
        </w:tc>
      </w:tr>
      <w:tr w:rsidR="00422EFE" w:rsidRPr="00261B7A" w14:paraId="68F97779" w14:textId="77777777" w:rsidTr="00D41492">
        <w:tc>
          <w:tcPr>
            <w:tcW w:w="0" w:type="auto"/>
            <w:shd w:val="clear" w:color="auto" w:fill="FFFFFF"/>
            <w:tcMar>
              <w:top w:w="0" w:type="dxa"/>
              <w:left w:w="108" w:type="dxa"/>
              <w:bottom w:w="0" w:type="dxa"/>
              <w:right w:w="108" w:type="dxa"/>
            </w:tcMar>
            <w:vAlign w:val="center"/>
          </w:tcPr>
          <w:p w14:paraId="0F95B8E2" w14:textId="77777777" w:rsidR="00422EFE" w:rsidRPr="00261B7A" w:rsidRDefault="00422EFE" w:rsidP="00D41492">
            <w:pPr>
              <w:pStyle w:val="TableText"/>
              <w:spacing w:before="30" w:after="30"/>
            </w:pPr>
            <w:r w:rsidRPr="00261B7A">
              <w:rPr>
                <w:rFonts w:eastAsia="Calibri"/>
              </w:rPr>
              <w:t>1998</w:t>
            </w:r>
          </w:p>
        </w:tc>
        <w:tc>
          <w:tcPr>
            <w:tcW w:w="0" w:type="auto"/>
            <w:shd w:val="clear" w:color="auto" w:fill="FFFFFF"/>
            <w:tcMar>
              <w:top w:w="0" w:type="dxa"/>
              <w:left w:w="108" w:type="dxa"/>
              <w:bottom w:w="0" w:type="dxa"/>
              <w:right w:w="108" w:type="dxa"/>
            </w:tcMar>
            <w:vAlign w:val="center"/>
          </w:tcPr>
          <w:p w14:paraId="7DE26E12" w14:textId="77777777" w:rsidR="00422EFE" w:rsidRPr="00261B7A" w:rsidRDefault="00422EFE" w:rsidP="00D41492">
            <w:pPr>
              <w:pStyle w:val="TableText"/>
              <w:spacing w:before="30" w:after="30"/>
              <w:jc w:val="right"/>
            </w:pPr>
            <w:r w:rsidRPr="00261B7A">
              <w:rPr>
                <w:rFonts w:eastAsia="Calibri"/>
                <w:color w:val="000000"/>
              </w:rPr>
              <w:t>732.4</w:t>
            </w:r>
          </w:p>
        </w:tc>
        <w:tc>
          <w:tcPr>
            <w:tcW w:w="0" w:type="auto"/>
            <w:shd w:val="clear" w:color="auto" w:fill="FFFFFF"/>
            <w:tcMar>
              <w:top w:w="0" w:type="dxa"/>
              <w:left w:w="108" w:type="dxa"/>
              <w:bottom w:w="0" w:type="dxa"/>
              <w:right w:w="108" w:type="dxa"/>
            </w:tcMar>
            <w:vAlign w:val="center"/>
          </w:tcPr>
          <w:p w14:paraId="72A59CAD" w14:textId="77777777" w:rsidR="00422EFE" w:rsidRPr="00261B7A" w:rsidRDefault="00422EFE" w:rsidP="00D41492">
            <w:pPr>
              <w:pStyle w:val="TableText"/>
              <w:spacing w:before="30" w:after="30"/>
              <w:jc w:val="right"/>
            </w:pPr>
            <w:r w:rsidRPr="00261B7A">
              <w:rPr>
                <w:rFonts w:eastAsia="Calibri"/>
                <w:color w:val="000000"/>
              </w:rPr>
              <w:t>3,229.8</w:t>
            </w:r>
          </w:p>
        </w:tc>
        <w:tc>
          <w:tcPr>
            <w:tcW w:w="0" w:type="auto"/>
            <w:shd w:val="clear" w:color="auto" w:fill="FFFFFF"/>
            <w:tcMar>
              <w:top w:w="0" w:type="dxa"/>
              <w:left w:w="108" w:type="dxa"/>
              <w:bottom w:w="0" w:type="dxa"/>
              <w:right w:w="108" w:type="dxa"/>
            </w:tcMar>
            <w:vAlign w:val="center"/>
          </w:tcPr>
          <w:p w14:paraId="567887AA" w14:textId="77777777" w:rsidR="00422EFE" w:rsidRPr="00261B7A" w:rsidRDefault="00422EFE" w:rsidP="00D41492">
            <w:pPr>
              <w:pStyle w:val="TableText"/>
              <w:spacing w:before="30" w:after="30"/>
              <w:jc w:val="right"/>
            </w:pPr>
            <w:r w:rsidRPr="00261B7A">
              <w:rPr>
                <w:rFonts w:eastAsia="Calibri"/>
                <w:color w:val="000000"/>
              </w:rPr>
              <w:t>3,962.2</w:t>
            </w:r>
          </w:p>
        </w:tc>
      </w:tr>
      <w:tr w:rsidR="00422EFE" w:rsidRPr="00261B7A" w14:paraId="374DA997" w14:textId="77777777" w:rsidTr="00D41492">
        <w:tc>
          <w:tcPr>
            <w:tcW w:w="0" w:type="auto"/>
            <w:shd w:val="clear" w:color="auto" w:fill="FFFFFF"/>
            <w:tcMar>
              <w:top w:w="0" w:type="dxa"/>
              <w:left w:w="108" w:type="dxa"/>
              <w:bottom w:w="0" w:type="dxa"/>
              <w:right w:w="108" w:type="dxa"/>
            </w:tcMar>
            <w:vAlign w:val="center"/>
          </w:tcPr>
          <w:p w14:paraId="45693A51" w14:textId="77777777" w:rsidR="00422EFE" w:rsidRPr="00261B7A" w:rsidRDefault="00422EFE" w:rsidP="00D41492">
            <w:pPr>
              <w:pStyle w:val="TableText"/>
              <w:spacing w:before="30" w:after="30"/>
            </w:pPr>
            <w:r w:rsidRPr="00261B7A">
              <w:rPr>
                <w:rFonts w:eastAsia="Calibri"/>
              </w:rPr>
              <w:t>1999</w:t>
            </w:r>
          </w:p>
        </w:tc>
        <w:tc>
          <w:tcPr>
            <w:tcW w:w="0" w:type="auto"/>
            <w:shd w:val="clear" w:color="auto" w:fill="FFFFFF"/>
            <w:tcMar>
              <w:top w:w="0" w:type="dxa"/>
              <w:left w:w="108" w:type="dxa"/>
              <w:bottom w:w="0" w:type="dxa"/>
              <w:right w:w="108" w:type="dxa"/>
            </w:tcMar>
            <w:vAlign w:val="center"/>
          </w:tcPr>
          <w:p w14:paraId="70EF1BB3" w14:textId="77777777" w:rsidR="00422EFE" w:rsidRPr="00261B7A" w:rsidRDefault="00422EFE" w:rsidP="00D41492">
            <w:pPr>
              <w:pStyle w:val="TableText"/>
              <w:spacing w:before="30" w:after="30"/>
              <w:jc w:val="right"/>
            </w:pPr>
            <w:r w:rsidRPr="00261B7A">
              <w:rPr>
                <w:rFonts w:eastAsia="Calibri"/>
                <w:color w:val="000000"/>
              </w:rPr>
              <w:t>779.9</w:t>
            </w:r>
          </w:p>
        </w:tc>
        <w:tc>
          <w:tcPr>
            <w:tcW w:w="0" w:type="auto"/>
            <w:shd w:val="clear" w:color="auto" w:fill="FFFFFF"/>
            <w:tcMar>
              <w:top w:w="0" w:type="dxa"/>
              <w:left w:w="108" w:type="dxa"/>
              <w:bottom w:w="0" w:type="dxa"/>
              <w:right w:w="108" w:type="dxa"/>
            </w:tcMar>
            <w:vAlign w:val="center"/>
          </w:tcPr>
          <w:p w14:paraId="20069FE9" w14:textId="77777777" w:rsidR="00422EFE" w:rsidRPr="00261B7A" w:rsidRDefault="00422EFE" w:rsidP="00D41492">
            <w:pPr>
              <w:pStyle w:val="TableText"/>
              <w:spacing w:before="30" w:after="30"/>
              <w:jc w:val="right"/>
            </w:pPr>
            <w:r w:rsidRPr="00261B7A">
              <w:rPr>
                <w:rFonts w:eastAsia="Calibri"/>
                <w:color w:val="000000"/>
              </w:rPr>
              <w:t>3,255.6</w:t>
            </w:r>
          </w:p>
        </w:tc>
        <w:tc>
          <w:tcPr>
            <w:tcW w:w="0" w:type="auto"/>
            <w:shd w:val="clear" w:color="auto" w:fill="FFFFFF"/>
            <w:tcMar>
              <w:top w:w="0" w:type="dxa"/>
              <w:left w:w="108" w:type="dxa"/>
              <w:bottom w:w="0" w:type="dxa"/>
              <w:right w:w="108" w:type="dxa"/>
            </w:tcMar>
            <w:vAlign w:val="center"/>
          </w:tcPr>
          <w:p w14:paraId="3931671E" w14:textId="77777777" w:rsidR="00422EFE" w:rsidRPr="00261B7A" w:rsidRDefault="00422EFE" w:rsidP="00D41492">
            <w:pPr>
              <w:pStyle w:val="TableText"/>
              <w:spacing w:before="30" w:after="30"/>
              <w:jc w:val="right"/>
            </w:pPr>
            <w:r w:rsidRPr="00261B7A">
              <w:rPr>
                <w:rFonts w:eastAsia="Calibri"/>
                <w:color w:val="000000"/>
              </w:rPr>
              <w:t>4,035.5</w:t>
            </w:r>
          </w:p>
        </w:tc>
      </w:tr>
      <w:tr w:rsidR="00422EFE" w:rsidRPr="00261B7A" w14:paraId="0025C0A2" w14:textId="77777777" w:rsidTr="00D41492">
        <w:tc>
          <w:tcPr>
            <w:tcW w:w="0" w:type="auto"/>
            <w:shd w:val="clear" w:color="auto" w:fill="FFFFFF"/>
            <w:tcMar>
              <w:top w:w="0" w:type="dxa"/>
              <w:left w:w="108" w:type="dxa"/>
              <w:bottom w:w="0" w:type="dxa"/>
              <w:right w:w="108" w:type="dxa"/>
            </w:tcMar>
            <w:vAlign w:val="center"/>
          </w:tcPr>
          <w:p w14:paraId="396FC878" w14:textId="77777777" w:rsidR="00422EFE" w:rsidRPr="00261B7A" w:rsidRDefault="00422EFE" w:rsidP="00D41492">
            <w:pPr>
              <w:pStyle w:val="TableText"/>
              <w:spacing w:before="30" w:after="30"/>
            </w:pPr>
            <w:r w:rsidRPr="00261B7A">
              <w:rPr>
                <w:rFonts w:eastAsia="Calibri"/>
              </w:rPr>
              <w:t>2000</w:t>
            </w:r>
          </w:p>
        </w:tc>
        <w:tc>
          <w:tcPr>
            <w:tcW w:w="0" w:type="auto"/>
            <w:shd w:val="clear" w:color="auto" w:fill="FFFFFF"/>
            <w:tcMar>
              <w:top w:w="0" w:type="dxa"/>
              <w:left w:w="108" w:type="dxa"/>
              <w:bottom w:w="0" w:type="dxa"/>
              <w:right w:w="108" w:type="dxa"/>
            </w:tcMar>
            <w:vAlign w:val="center"/>
          </w:tcPr>
          <w:p w14:paraId="106A696E" w14:textId="77777777" w:rsidR="00422EFE" w:rsidRPr="00261B7A" w:rsidRDefault="00422EFE" w:rsidP="00D41492">
            <w:pPr>
              <w:pStyle w:val="TableText"/>
              <w:spacing w:before="30" w:after="30"/>
              <w:jc w:val="right"/>
            </w:pPr>
            <w:r w:rsidRPr="00261B7A">
              <w:rPr>
                <w:rFonts w:eastAsia="Calibri"/>
                <w:color w:val="000000"/>
              </w:rPr>
              <w:t>745.8</w:t>
            </w:r>
          </w:p>
        </w:tc>
        <w:tc>
          <w:tcPr>
            <w:tcW w:w="0" w:type="auto"/>
            <w:shd w:val="clear" w:color="auto" w:fill="FFFFFF"/>
            <w:tcMar>
              <w:top w:w="0" w:type="dxa"/>
              <w:left w:w="108" w:type="dxa"/>
              <w:bottom w:w="0" w:type="dxa"/>
              <w:right w:w="108" w:type="dxa"/>
            </w:tcMar>
            <w:vAlign w:val="center"/>
          </w:tcPr>
          <w:p w14:paraId="5D5B5F86" w14:textId="77777777" w:rsidR="00422EFE" w:rsidRPr="00261B7A" w:rsidRDefault="00422EFE" w:rsidP="00D41492">
            <w:pPr>
              <w:pStyle w:val="TableText"/>
              <w:spacing w:before="30" w:after="30"/>
              <w:jc w:val="right"/>
            </w:pPr>
            <w:r w:rsidRPr="00261B7A">
              <w:rPr>
                <w:rFonts w:eastAsia="Calibri"/>
                <w:color w:val="000000"/>
              </w:rPr>
              <w:t>3,433.0</w:t>
            </w:r>
          </w:p>
        </w:tc>
        <w:tc>
          <w:tcPr>
            <w:tcW w:w="0" w:type="auto"/>
            <w:shd w:val="clear" w:color="auto" w:fill="FFFFFF"/>
            <w:tcMar>
              <w:top w:w="0" w:type="dxa"/>
              <w:left w:w="108" w:type="dxa"/>
              <w:bottom w:w="0" w:type="dxa"/>
              <w:right w:w="108" w:type="dxa"/>
            </w:tcMar>
            <w:vAlign w:val="center"/>
          </w:tcPr>
          <w:p w14:paraId="156C8B39" w14:textId="77777777" w:rsidR="00422EFE" w:rsidRPr="00261B7A" w:rsidRDefault="00422EFE" w:rsidP="00D41492">
            <w:pPr>
              <w:pStyle w:val="TableText"/>
              <w:spacing w:before="30" w:after="30"/>
              <w:jc w:val="right"/>
            </w:pPr>
            <w:r w:rsidRPr="00261B7A">
              <w:rPr>
                <w:rFonts w:eastAsia="Calibri"/>
                <w:color w:val="000000"/>
              </w:rPr>
              <w:t>4,178.9</w:t>
            </w:r>
          </w:p>
        </w:tc>
      </w:tr>
      <w:tr w:rsidR="00422EFE" w:rsidRPr="00261B7A" w14:paraId="735C0E38" w14:textId="77777777" w:rsidTr="00D41492">
        <w:tc>
          <w:tcPr>
            <w:tcW w:w="0" w:type="auto"/>
            <w:shd w:val="clear" w:color="auto" w:fill="FFFFFF"/>
            <w:tcMar>
              <w:top w:w="0" w:type="dxa"/>
              <w:left w:w="108" w:type="dxa"/>
              <w:bottom w:w="0" w:type="dxa"/>
              <w:right w:w="108" w:type="dxa"/>
            </w:tcMar>
            <w:vAlign w:val="center"/>
          </w:tcPr>
          <w:p w14:paraId="435BBFCC" w14:textId="77777777" w:rsidR="00422EFE" w:rsidRPr="00261B7A" w:rsidRDefault="00422EFE" w:rsidP="00D41492">
            <w:pPr>
              <w:pStyle w:val="TableText"/>
              <w:spacing w:before="30" w:after="30"/>
            </w:pPr>
            <w:r w:rsidRPr="00261B7A">
              <w:rPr>
                <w:rFonts w:eastAsia="Calibri"/>
              </w:rPr>
              <w:t>2001</w:t>
            </w:r>
          </w:p>
        </w:tc>
        <w:tc>
          <w:tcPr>
            <w:tcW w:w="0" w:type="auto"/>
            <w:shd w:val="clear" w:color="auto" w:fill="FFFFFF"/>
            <w:tcMar>
              <w:top w:w="0" w:type="dxa"/>
              <w:left w:w="108" w:type="dxa"/>
              <w:bottom w:w="0" w:type="dxa"/>
              <w:right w:w="108" w:type="dxa"/>
            </w:tcMar>
            <w:vAlign w:val="center"/>
          </w:tcPr>
          <w:p w14:paraId="31D9D0C0" w14:textId="77777777" w:rsidR="00422EFE" w:rsidRPr="00261B7A" w:rsidRDefault="00422EFE" w:rsidP="00D41492">
            <w:pPr>
              <w:pStyle w:val="TableText"/>
              <w:spacing w:before="30" w:after="30"/>
              <w:jc w:val="right"/>
            </w:pPr>
            <w:r w:rsidRPr="00261B7A">
              <w:rPr>
                <w:rFonts w:eastAsia="Calibri"/>
                <w:color w:val="000000"/>
              </w:rPr>
              <w:t>711.7</w:t>
            </w:r>
          </w:p>
        </w:tc>
        <w:tc>
          <w:tcPr>
            <w:tcW w:w="0" w:type="auto"/>
            <w:shd w:val="clear" w:color="auto" w:fill="FFFFFF"/>
            <w:tcMar>
              <w:top w:w="0" w:type="dxa"/>
              <w:left w:w="108" w:type="dxa"/>
              <w:bottom w:w="0" w:type="dxa"/>
              <w:right w:w="108" w:type="dxa"/>
            </w:tcMar>
            <w:vAlign w:val="center"/>
          </w:tcPr>
          <w:p w14:paraId="0C2A1D3C" w14:textId="77777777" w:rsidR="00422EFE" w:rsidRPr="00261B7A" w:rsidRDefault="00422EFE" w:rsidP="00D41492">
            <w:pPr>
              <w:pStyle w:val="TableText"/>
              <w:spacing w:before="30" w:after="30"/>
              <w:jc w:val="right"/>
            </w:pPr>
            <w:r w:rsidRPr="00261B7A">
              <w:rPr>
                <w:rFonts w:eastAsia="Calibri"/>
                <w:color w:val="000000"/>
              </w:rPr>
              <w:t>3,532.8</w:t>
            </w:r>
          </w:p>
        </w:tc>
        <w:tc>
          <w:tcPr>
            <w:tcW w:w="0" w:type="auto"/>
            <w:shd w:val="clear" w:color="auto" w:fill="FFFFFF"/>
            <w:tcMar>
              <w:top w:w="0" w:type="dxa"/>
              <w:left w:w="108" w:type="dxa"/>
              <w:bottom w:w="0" w:type="dxa"/>
              <w:right w:w="108" w:type="dxa"/>
            </w:tcMar>
            <w:vAlign w:val="center"/>
          </w:tcPr>
          <w:p w14:paraId="46B04536" w14:textId="77777777" w:rsidR="00422EFE" w:rsidRPr="00261B7A" w:rsidRDefault="00422EFE" w:rsidP="00D41492">
            <w:pPr>
              <w:pStyle w:val="TableText"/>
              <w:spacing w:before="30" w:after="30"/>
              <w:jc w:val="right"/>
            </w:pPr>
            <w:r w:rsidRPr="00261B7A">
              <w:rPr>
                <w:rFonts w:eastAsia="Calibri"/>
                <w:color w:val="000000"/>
              </w:rPr>
              <w:t>4,244.5</w:t>
            </w:r>
          </w:p>
        </w:tc>
      </w:tr>
      <w:tr w:rsidR="00422EFE" w:rsidRPr="00261B7A" w14:paraId="05E17FD7" w14:textId="77777777" w:rsidTr="00D41492">
        <w:tc>
          <w:tcPr>
            <w:tcW w:w="0" w:type="auto"/>
            <w:shd w:val="clear" w:color="auto" w:fill="FFFFFF"/>
            <w:tcMar>
              <w:top w:w="0" w:type="dxa"/>
              <w:left w:w="108" w:type="dxa"/>
              <w:bottom w:w="0" w:type="dxa"/>
              <w:right w:w="108" w:type="dxa"/>
            </w:tcMar>
            <w:vAlign w:val="center"/>
          </w:tcPr>
          <w:p w14:paraId="2D9A5FDF" w14:textId="77777777" w:rsidR="00422EFE" w:rsidRPr="00261B7A" w:rsidRDefault="00422EFE" w:rsidP="00D41492">
            <w:pPr>
              <w:pStyle w:val="TableText"/>
              <w:spacing w:before="30" w:after="30"/>
            </w:pPr>
            <w:r w:rsidRPr="00261B7A">
              <w:rPr>
                <w:rFonts w:eastAsia="Calibri"/>
              </w:rPr>
              <w:t>2002</w:t>
            </w:r>
          </w:p>
        </w:tc>
        <w:tc>
          <w:tcPr>
            <w:tcW w:w="0" w:type="auto"/>
            <w:shd w:val="clear" w:color="auto" w:fill="FFFFFF"/>
            <w:tcMar>
              <w:top w:w="0" w:type="dxa"/>
              <w:left w:w="108" w:type="dxa"/>
              <w:bottom w:w="0" w:type="dxa"/>
              <w:right w:w="108" w:type="dxa"/>
            </w:tcMar>
            <w:vAlign w:val="center"/>
          </w:tcPr>
          <w:p w14:paraId="165CCCA6" w14:textId="77777777" w:rsidR="00422EFE" w:rsidRPr="00261B7A" w:rsidRDefault="00422EFE" w:rsidP="00D41492">
            <w:pPr>
              <w:pStyle w:val="TableText"/>
              <w:spacing w:before="30" w:after="30"/>
              <w:jc w:val="right"/>
            </w:pPr>
            <w:r w:rsidRPr="00261B7A">
              <w:rPr>
                <w:rFonts w:eastAsia="Calibri"/>
                <w:color w:val="000000"/>
              </w:rPr>
              <w:t>677.6</w:t>
            </w:r>
          </w:p>
        </w:tc>
        <w:tc>
          <w:tcPr>
            <w:tcW w:w="0" w:type="auto"/>
            <w:shd w:val="clear" w:color="auto" w:fill="FFFFFF"/>
            <w:tcMar>
              <w:top w:w="0" w:type="dxa"/>
              <w:left w:w="108" w:type="dxa"/>
              <w:bottom w:w="0" w:type="dxa"/>
              <w:right w:w="108" w:type="dxa"/>
            </w:tcMar>
            <w:vAlign w:val="center"/>
          </w:tcPr>
          <w:p w14:paraId="0123BF98" w14:textId="77777777" w:rsidR="00422EFE" w:rsidRPr="00261B7A" w:rsidRDefault="00422EFE" w:rsidP="00D41492">
            <w:pPr>
              <w:pStyle w:val="TableText"/>
              <w:spacing w:before="30" w:after="30"/>
              <w:jc w:val="right"/>
            </w:pPr>
            <w:r w:rsidRPr="00261B7A">
              <w:rPr>
                <w:rFonts w:eastAsia="Calibri"/>
                <w:color w:val="000000"/>
              </w:rPr>
              <w:t>3,655.2</w:t>
            </w:r>
          </w:p>
        </w:tc>
        <w:tc>
          <w:tcPr>
            <w:tcW w:w="0" w:type="auto"/>
            <w:shd w:val="clear" w:color="auto" w:fill="FFFFFF"/>
            <w:tcMar>
              <w:top w:w="0" w:type="dxa"/>
              <w:left w:w="108" w:type="dxa"/>
              <w:bottom w:w="0" w:type="dxa"/>
              <w:right w:w="108" w:type="dxa"/>
            </w:tcMar>
            <w:vAlign w:val="center"/>
          </w:tcPr>
          <w:p w14:paraId="5379E20A" w14:textId="77777777" w:rsidR="00422EFE" w:rsidRPr="00261B7A" w:rsidRDefault="00422EFE" w:rsidP="00D41492">
            <w:pPr>
              <w:pStyle w:val="TableText"/>
              <w:spacing w:before="30" w:after="30"/>
              <w:jc w:val="right"/>
            </w:pPr>
            <w:r w:rsidRPr="00261B7A">
              <w:rPr>
                <w:rFonts w:eastAsia="Calibri"/>
                <w:color w:val="000000"/>
              </w:rPr>
              <w:t>4,332.8</w:t>
            </w:r>
          </w:p>
        </w:tc>
      </w:tr>
      <w:tr w:rsidR="00422EFE" w:rsidRPr="00261B7A" w14:paraId="352E4EDC" w14:textId="77777777" w:rsidTr="00D41492">
        <w:tc>
          <w:tcPr>
            <w:tcW w:w="0" w:type="auto"/>
            <w:shd w:val="clear" w:color="auto" w:fill="FFFFFF"/>
            <w:tcMar>
              <w:top w:w="0" w:type="dxa"/>
              <w:left w:w="108" w:type="dxa"/>
              <w:bottom w:w="0" w:type="dxa"/>
              <w:right w:w="108" w:type="dxa"/>
            </w:tcMar>
            <w:vAlign w:val="center"/>
          </w:tcPr>
          <w:p w14:paraId="36F210C1" w14:textId="77777777" w:rsidR="00422EFE" w:rsidRPr="00261B7A" w:rsidRDefault="00422EFE" w:rsidP="00D41492">
            <w:pPr>
              <w:pStyle w:val="TableText"/>
              <w:spacing w:before="30" w:after="30"/>
            </w:pPr>
            <w:r w:rsidRPr="00261B7A">
              <w:rPr>
                <w:rFonts w:eastAsia="Calibri"/>
              </w:rPr>
              <w:t>2003</w:t>
            </w:r>
          </w:p>
        </w:tc>
        <w:tc>
          <w:tcPr>
            <w:tcW w:w="0" w:type="auto"/>
            <w:shd w:val="clear" w:color="auto" w:fill="FFFFFF"/>
            <w:tcMar>
              <w:top w:w="0" w:type="dxa"/>
              <w:left w:w="108" w:type="dxa"/>
              <w:bottom w:w="0" w:type="dxa"/>
              <w:right w:w="108" w:type="dxa"/>
            </w:tcMar>
            <w:vAlign w:val="center"/>
          </w:tcPr>
          <w:p w14:paraId="7F79980C" w14:textId="77777777" w:rsidR="00422EFE" w:rsidRPr="00261B7A" w:rsidRDefault="00422EFE" w:rsidP="00D41492">
            <w:pPr>
              <w:pStyle w:val="TableText"/>
              <w:spacing w:before="30" w:after="30"/>
              <w:jc w:val="right"/>
            </w:pPr>
            <w:r w:rsidRPr="00261B7A">
              <w:rPr>
                <w:rFonts w:eastAsia="Calibri"/>
                <w:color w:val="000000"/>
              </w:rPr>
              <w:t>636.6</w:t>
            </w:r>
          </w:p>
        </w:tc>
        <w:tc>
          <w:tcPr>
            <w:tcW w:w="0" w:type="auto"/>
            <w:shd w:val="clear" w:color="auto" w:fill="FFFFFF"/>
            <w:tcMar>
              <w:top w:w="0" w:type="dxa"/>
              <w:left w:w="108" w:type="dxa"/>
              <w:bottom w:w="0" w:type="dxa"/>
              <w:right w:w="108" w:type="dxa"/>
            </w:tcMar>
            <w:vAlign w:val="center"/>
          </w:tcPr>
          <w:p w14:paraId="76CAFFB0" w14:textId="77777777" w:rsidR="00422EFE" w:rsidRPr="00261B7A" w:rsidRDefault="00422EFE" w:rsidP="00D41492">
            <w:pPr>
              <w:pStyle w:val="TableText"/>
              <w:spacing w:before="30" w:after="30"/>
              <w:jc w:val="right"/>
            </w:pPr>
            <w:r w:rsidRPr="00261B7A">
              <w:rPr>
                <w:rFonts w:eastAsia="Calibri"/>
                <w:color w:val="000000"/>
              </w:rPr>
              <w:t>3,826.0</w:t>
            </w:r>
          </w:p>
        </w:tc>
        <w:tc>
          <w:tcPr>
            <w:tcW w:w="0" w:type="auto"/>
            <w:shd w:val="clear" w:color="auto" w:fill="FFFFFF"/>
            <w:tcMar>
              <w:top w:w="0" w:type="dxa"/>
              <w:left w:w="108" w:type="dxa"/>
              <w:bottom w:w="0" w:type="dxa"/>
              <w:right w:w="108" w:type="dxa"/>
            </w:tcMar>
            <w:vAlign w:val="center"/>
          </w:tcPr>
          <w:p w14:paraId="64C0028A" w14:textId="77777777" w:rsidR="00422EFE" w:rsidRPr="00261B7A" w:rsidRDefault="00422EFE" w:rsidP="00D41492">
            <w:pPr>
              <w:pStyle w:val="TableText"/>
              <w:spacing w:before="30" w:after="30"/>
              <w:jc w:val="right"/>
            </w:pPr>
            <w:r w:rsidRPr="00261B7A">
              <w:rPr>
                <w:rFonts w:eastAsia="Calibri"/>
                <w:color w:val="000000"/>
              </w:rPr>
              <w:t>4,462.6</w:t>
            </w:r>
          </w:p>
        </w:tc>
      </w:tr>
      <w:tr w:rsidR="00422EFE" w:rsidRPr="00261B7A" w14:paraId="4694D86F" w14:textId="77777777" w:rsidTr="00D41492">
        <w:tc>
          <w:tcPr>
            <w:tcW w:w="0" w:type="auto"/>
            <w:shd w:val="clear" w:color="auto" w:fill="FFFFFF"/>
            <w:tcMar>
              <w:top w:w="0" w:type="dxa"/>
              <w:left w:w="108" w:type="dxa"/>
              <w:bottom w:w="0" w:type="dxa"/>
              <w:right w:w="108" w:type="dxa"/>
            </w:tcMar>
            <w:vAlign w:val="center"/>
          </w:tcPr>
          <w:p w14:paraId="4C9428E2" w14:textId="77777777" w:rsidR="00422EFE" w:rsidRPr="00261B7A" w:rsidRDefault="00422EFE" w:rsidP="00D41492">
            <w:pPr>
              <w:pStyle w:val="TableText"/>
              <w:spacing w:before="30" w:after="30"/>
            </w:pPr>
            <w:r w:rsidRPr="00261B7A">
              <w:rPr>
                <w:rFonts w:eastAsia="Calibri"/>
              </w:rPr>
              <w:t>2004</w:t>
            </w:r>
          </w:p>
        </w:tc>
        <w:tc>
          <w:tcPr>
            <w:tcW w:w="0" w:type="auto"/>
            <w:shd w:val="clear" w:color="auto" w:fill="FFFFFF"/>
            <w:tcMar>
              <w:top w:w="0" w:type="dxa"/>
              <w:left w:w="108" w:type="dxa"/>
              <w:bottom w:w="0" w:type="dxa"/>
              <w:right w:w="108" w:type="dxa"/>
            </w:tcMar>
            <w:vAlign w:val="center"/>
          </w:tcPr>
          <w:p w14:paraId="6AF15392" w14:textId="77777777" w:rsidR="00422EFE" w:rsidRPr="00261B7A" w:rsidRDefault="00422EFE" w:rsidP="00D41492">
            <w:pPr>
              <w:pStyle w:val="TableText"/>
              <w:spacing w:before="30" w:after="30"/>
              <w:jc w:val="right"/>
            </w:pPr>
            <w:r w:rsidRPr="00261B7A">
              <w:rPr>
                <w:rFonts w:eastAsia="Calibri"/>
                <w:color w:val="000000"/>
              </w:rPr>
              <w:t>641.4</w:t>
            </w:r>
          </w:p>
        </w:tc>
        <w:tc>
          <w:tcPr>
            <w:tcW w:w="0" w:type="auto"/>
            <w:shd w:val="clear" w:color="auto" w:fill="FFFFFF"/>
            <w:tcMar>
              <w:top w:w="0" w:type="dxa"/>
              <w:left w:w="108" w:type="dxa"/>
              <w:bottom w:w="0" w:type="dxa"/>
              <w:right w:w="108" w:type="dxa"/>
            </w:tcMar>
            <w:vAlign w:val="center"/>
          </w:tcPr>
          <w:p w14:paraId="471FF057" w14:textId="77777777" w:rsidR="00422EFE" w:rsidRPr="00261B7A" w:rsidRDefault="00422EFE" w:rsidP="00D41492">
            <w:pPr>
              <w:pStyle w:val="TableText"/>
              <w:spacing w:before="30" w:after="30"/>
              <w:jc w:val="right"/>
            </w:pPr>
            <w:r w:rsidRPr="00261B7A">
              <w:rPr>
                <w:rFonts w:eastAsia="Calibri"/>
                <w:color w:val="000000"/>
              </w:rPr>
              <w:t>4,000.1</w:t>
            </w:r>
          </w:p>
        </w:tc>
        <w:tc>
          <w:tcPr>
            <w:tcW w:w="0" w:type="auto"/>
            <w:shd w:val="clear" w:color="auto" w:fill="FFFFFF"/>
            <w:tcMar>
              <w:top w:w="0" w:type="dxa"/>
              <w:left w:w="108" w:type="dxa"/>
              <w:bottom w:w="0" w:type="dxa"/>
              <w:right w:w="108" w:type="dxa"/>
            </w:tcMar>
            <w:vAlign w:val="center"/>
          </w:tcPr>
          <w:p w14:paraId="2F540D74" w14:textId="77777777" w:rsidR="00422EFE" w:rsidRPr="00261B7A" w:rsidRDefault="00422EFE" w:rsidP="00D41492">
            <w:pPr>
              <w:pStyle w:val="TableText"/>
              <w:spacing w:before="30" w:after="30"/>
              <w:jc w:val="right"/>
            </w:pPr>
            <w:r w:rsidRPr="00261B7A">
              <w:rPr>
                <w:rFonts w:eastAsia="Calibri"/>
                <w:color w:val="000000"/>
              </w:rPr>
              <w:t>4,641.5</w:t>
            </w:r>
          </w:p>
        </w:tc>
      </w:tr>
      <w:tr w:rsidR="00422EFE" w:rsidRPr="00261B7A" w14:paraId="16938206" w14:textId="77777777" w:rsidTr="00D41492">
        <w:tc>
          <w:tcPr>
            <w:tcW w:w="0" w:type="auto"/>
            <w:shd w:val="clear" w:color="auto" w:fill="FFFFFF"/>
            <w:tcMar>
              <w:top w:w="0" w:type="dxa"/>
              <w:left w:w="108" w:type="dxa"/>
              <w:bottom w:w="0" w:type="dxa"/>
              <w:right w:w="108" w:type="dxa"/>
            </w:tcMar>
            <w:vAlign w:val="center"/>
          </w:tcPr>
          <w:p w14:paraId="573FE421" w14:textId="77777777" w:rsidR="00422EFE" w:rsidRPr="00261B7A" w:rsidRDefault="00422EFE" w:rsidP="00D41492">
            <w:pPr>
              <w:pStyle w:val="TableText"/>
              <w:spacing w:before="30" w:after="30"/>
            </w:pPr>
            <w:r w:rsidRPr="00261B7A">
              <w:rPr>
                <w:rFonts w:eastAsia="Calibri"/>
              </w:rPr>
              <w:t>2005</w:t>
            </w:r>
          </w:p>
        </w:tc>
        <w:tc>
          <w:tcPr>
            <w:tcW w:w="0" w:type="auto"/>
            <w:shd w:val="clear" w:color="auto" w:fill="FFFFFF"/>
            <w:tcMar>
              <w:top w:w="0" w:type="dxa"/>
              <w:left w:w="108" w:type="dxa"/>
              <w:bottom w:w="0" w:type="dxa"/>
              <w:right w:w="108" w:type="dxa"/>
            </w:tcMar>
            <w:vAlign w:val="center"/>
          </w:tcPr>
          <w:p w14:paraId="491F9C9B" w14:textId="77777777" w:rsidR="00422EFE" w:rsidRPr="00261B7A" w:rsidRDefault="00422EFE" w:rsidP="00D41492">
            <w:pPr>
              <w:pStyle w:val="TableText"/>
              <w:spacing w:before="30" w:after="30"/>
              <w:jc w:val="right"/>
            </w:pPr>
            <w:r w:rsidRPr="00261B7A">
              <w:rPr>
                <w:rFonts w:eastAsia="Calibri"/>
                <w:color w:val="000000"/>
              </w:rPr>
              <w:t>621.4</w:t>
            </w:r>
          </w:p>
        </w:tc>
        <w:tc>
          <w:tcPr>
            <w:tcW w:w="0" w:type="auto"/>
            <w:shd w:val="clear" w:color="auto" w:fill="FFFFFF"/>
            <w:tcMar>
              <w:top w:w="0" w:type="dxa"/>
              <w:left w:w="108" w:type="dxa"/>
              <w:bottom w:w="0" w:type="dxa"/>
              <w:right w:w="108" w:type="dxa"/>
            </w:tcMar>
            <w:vAlign w:val="center"/>
          </w:tcPr>
          <w:p w14:paraId="5CC7BF3F" w14:textId="77777777" w:rsidR="00422EFE" w:rsidRPr="00261B7A" w:rsidRDefault="00422EFE" w:rsidP="00D41492">
            <w:pPr>
              <w:pStyle w:val="TableText"/>
              <w:spacing w:before="30" w:after="30"/>
              <w:jc w:val="right"/>
            </w:pPr>
            <w:r w:rsidRPr="00261B7A">
              <w:rPr>
                <w:rFonts w:eastAsia="Calibri"/>
                <w:color w:val="000000"/>
              </w:rPr>
              <w:t>4,161.2</w:t>
            </w:r>
          </w:p>
        </w:tc>
        <w:tc>
          <w:tcPr>
            <w:tcW w:w="0" w:type="auto"/>
            <w:shd w:val="clear" w:color="auto" w:fill="FFFFFF"/>
            <w:tcMar>
              <w:top w:w="0" w:type="dxa"/>
              <w:left w:w="108" w:type="dxa"/>
              <w:bottom w:w="0" w:type="dxa"/>
              <w:right w:w="108" w:type="dxa"/>
            </w:tcMar>
            <w:vAlign w:val="center"/>
          </w:tcPr>
          <w:p w14:paraId="7600C507" w14:textId="77777777" w:rsidR="00422EFE" w:rsidRPr="00261B7A" w:rsidRDefault="00422EFE" w:rsidP="00D41492">
            <w:pPr>
              <w:pStyle w:val="TableText"/>
              <w:spacing w:before="30" w:after="30"/>
              <w:jc w:val="right"/>
            </w:pPr>
            <w:r w:rsidRPr="00261B7A">
              <w:rPr>
                <w:rFonts w:eastAsia="Calibri"/>
                <w:color w:val="000000"/>
              </w:rPr>
              <w:t>4,782.6</w:t>
            </w:r>
          </w:p>
        </w:tc>
      </w:tr>
      <w:tr w:rsidR="00422EFE" w:rsidRPr="00261B7A" w14:paraId="458366D1" w14:textId="77777777" w:rsidTr="00D41492">
        <w:tc>
          <w:tcPr>
            <w:tcW w:w="0" w:type="auto"/>
            <w:shd w:val="clear" w:color="auto" w:fill="FFFFFF"/>
            <w:tcMar>
              <w:top w:w="0" w:type="dxa"/>
              <w:left w:w="108" w:type="dxa"/>
              <w:bottom w:w="0" w:type="dxa"/>
              <w:right w:w="108" w:type="dxa"/>
            </w:tcMar>
            <w:vAlign w:val="center"/>
          </w:tcPr>
          <w:p w14:paraId="33EFE9FC" w14:textId="77777777" w:rsidR="00422EFE" w:rsidRPr="00261B7A" w:rsidRDefault="00422EFE" w:rsidP="00D41492">
            <w:pPr>
              <w:pStyle w:val="TableText"/>
              <w:spacing w:before="30" w:after="30"/>
            </w:pPr>
            <w:r w:rsidRPr="00261B7A">
              <w:rPr>
                <w:rFonts w:eastAsia="Calibri"/>
              </w:rPr>
              <w:t>2006</w:t>
            </w:r>
          </w:p>
        </w:tc>
        <w:tc>
          <w:tcPr>
            <w:tcW w:w="0" w:type="auto"/>
            <w:shd w:val="clear" w:color="auto" w:fill="FFFFFF"/>
            <w:tcMar>
              <w:top w:w="0" w:type="dxa"/>
              <w:left w:w="108" w:type="dxa"/>
              <w:bottom w:w="0" w:type="dxa"/>
              <w:right w:w="108" w:type="dxa"/>
            </w:tcMar>
            <w:vAlign w:val="center"/>
          </w:tcPr>
          <w:p w14:paraId="15F03F2B" w14:textId="77777777" w:rsidR="00422EFE" w:rsidRPr="00261B7A" w:rsidRDefault="00422EFE" w:rsidP="00D41492">
            <w:pPr>
              <w:pStyle w:val="TableText"/>
              <w:spacing w:before="30" w:after="30"/>
              <w:jc w:val="right"/>
            </w:pPr>
            <w:r w:rsidRPr="00261B7A">
              <w:rPr>
                <w:rFonts w:eastAsia="Calibri"/>
                <w:color w:val="000000"/>
              </w:rPr>
              <w:t>622.9</w:t>
            </w:r>
          </w:p>
        </w:tc>
        <w:tc>
          <w:tcPr>
            <w:tcW w:w="0" w:type="auto"/>
            <w:shd w:val="clear" w:color="auto" w:fill="FFFFFF"/>
            <w:tcMar>
              <w:top w:w="0" w:type="dxa"/>
              <w:left w:w="108" w:type="dxa"/>
              <w:bottom w:w="0" w:type="dxa"/>
              <w:right w:w="108" w:type="dxa"/>
            </w:tcMar>
            <w:vAlign w:val="center"/>
          </w:tcPr>
          <w:p w14:paraId="3CB40733" w14:textId="77777777" w:rsidR="00422EFE" w:rsidRPr="00261B7A" w:rsidRDefault="00422EFE" w:rsidP="00D41492">
            <w:pPr>
              <w:pStyle w:val="TableText"/>
              <w:spacing w:before="30" w:after="30"/>
              <w:jc w:val="right"/>
            </w:pPr>
            <w:r w:rsidRPr="00261B7A">
              <w:rPr>
                <w:rFonts w:eastAsia="Calibri"/>
                <w:color w:val="000000"/>
              </w:rPr>
              <w:t>4,299.4</w:t>
            </w:r>
          </w:p>
        </w:tc>
        <w:tc>
          <w:tcPr>
            <w:tcW w:w="0" w:type="auto"/>
            <w:shd w:val="clear" w:color="auto" w:fill="FFFFFF"/>
            <w:tcMar>
              <w:top w:w="0" w:type="dxa"/>
              <w:left w:w="108" w:type="dxa"/>
              <w:bottom w:w="0" w:type="dxa"/>
              <w:right w:w="108" w:type="dxa"/>
            </w:tcMar>
            <w:vAlign w:val="center"/>
          </w:tcPr>
          <w:p w14:paraId="6184FA4E" w14:textId="77777777" w:rsidR="00422EFE" w:rsidRPr="00261B7A" w:rsidRDefault="00422EFE" w:rsidP="00D41492">
            <w:pPr>
              <w:pStyle w:val="TableText"/>
              <w:spacing w:before="30" w:after="30"/>
              <w:jc w:val="right"/>
            </w:pPr>
            <w:r w:rsidRPr="00261B7A">
              <w:rPr>
                <w:rFonts w:eastAsia="Calibri"/>
                <w:color w:val="000000"/>
              </w:rPr>
              <w:t>4,922.3</w:t>
            </w:r>
          </w:p>
        </w:tc>
      </w:tr>
      <w:tr w:rsidR="00422EFE" w:rsidRPr="00261B7A" w14:paraId="6BF87361" w14:textId="77777777" w:rsidTr="00D41492">
        <w:tc>
          <w:tcPr>
            <w:tcW w:w="0" w:type="auto"/>
            <w:shd w:val="clear" w:color="auto" w:fill="FFFFFF"/>
            <w:tcMar>
              <w:top w:w="0" w:type="dxa"/>
              <w:left w:w="108" w:type="dxa"/>
              <w:bottom w:w="0" w:type="dxa"/>
              <w:right w:w="108" w:type="dxa"/>
            </w:tcMar>
            <w:vAlign w:val="center"/>
          </w:tcPr>
          <w:p w14:paraId="5D0C29A7" w14:textId="77777777" w:rsidR="00422EFE" w:rsidRPr="00261B7A" w:rsidRDefault="00422EFE" w:rsidP="00D41492">
            <w:pPr>
              <w:pStyle w:val="TableText"/>
              <w:spacing w:before="30" w:after="30"/>
            </w:pPr>
            <w:r w:rsidRPr="00261B7A">
              <w:rPr>
                <w:rFonts w:eastAsia="Calibri"/>
              </w:rPr>
              <w:t>2007</w:t>
            </w:r>
          </w:p>
        </w:tc>
        <w:tc>
          <w:tcPr>
            <w:tcW w:w="0" w:type="auto"/>
            <w:shd w:val="clear" w:color="auto" w:fill="FFFFFF"/>
            <w:tcMar>
              <w:top w:w="0" w:type="dxa"/>
              <w:left w:w="108" w:type="dxa"/>
              <w:bottom w:w="0" w:type="dxa"/>
              <w:right w:w="108" w:type="dxa"/>
            </w:tcMar>
            <w:vAlign w:val="center"/>
          </w:tcPr>
          <w:p w14:paraId="36A6E1AE" w14:textId="77777777" w:rsidR="00422EFE" w:rsidRPr="00261B7A" w:rsidRDefault="00422EFE" w:rsidP="00D41492">
            <w:pPr>
              <w:pStyle w:val="TableText"/>
              <w:spacing w:before="30" w:after="30"/>
              <w:jc w:val="right"/>
            </w:pPr>
            <w:r w:rsidRPr="00261B7A">
              <w:rPr>
                <w:rFonts w:eastAsia="Calibri"/>
                <w:color w:val="000000"/>
              </w:rPr>
              <w:t>611.2</w:t>
            </w:r>
          </w:p>
        </w:tc>
        <w:tc>
          <w:tcPr>
            <w:tcW w:w="0" w:type="auto"/>
            <w:shd w:val="clear" w:color="auto" w:fill="FFFFFF"/>
            <w:tcMar>
              <w:top w:w="0" w:type="dxa"/>
              <w:left w:w="108" w:type="dxa"/>
              <w:bottom w:w="0" w:type="dxa"/>
              <w:right w:w="108" w:type="dxa"/>
            </w:tcMar>
            <w:vAlign w:val="center"/>
          </w:tcPr>
          <w:p w14:paraId="3B2CAD46" w14:textId="77777777" w:rsidR="00422EFE" w:rsidRPr="00261B7A" w:rsidRDefault="00422EFE" w:rsidP="00D41492">
            <w:pPr>
              <w:pStyle w:val="TableText"/>
              <w:spacing w:before="30" w:after="30"/>
              <w:jc w:val="right"/>
            </w:pPr>
            <w:r w:rsidRPr="00261B7A">
              <w:rPr>
                <w:rFonts w:eastAsia="Calibri"/>
                <w:color w:val="000000"/>
              </w:rPr>
              <w:t>4,423.3</w:t>
            </w:r>
          </w:p>
        </w:tc>
        <w:tc>
          <w:tcPr>
            <w:tcW w:w="0" w:type="auto"/>
            <w:shd w:val="clear" w:color="auto" w:fill="FFFFFF"/>
            <w:tcMar>
              <w:top w:w="0" w:type="dxa"/>
              <w:left w:w="108" w:type="dxa"/>
              <w:bottom w:w="0" w:type="dxa"/>
              <w:right w:w="108" w:type="dxa"/>
            </w:tcMar>
            <w:vAlign w:val="center"/>
          </w:tcPr>
          <w:p w14:paraId="3C0020D6" w14:textId="77777777" w:rsidR="00422EFE" w:rsidRPr="00261B7A" w:rsidRDefault="00422EFE" w:rsidP="00D41492">
            <w:pPr>
              <w:pStyle w:val="TableText"/>
              <w:spacing w:before="30" w:after="30"/>
              <w:jc w:val="right"/>
            </w:pPr>
            <w:r w:rsidRPr="00261B7A">
              <w:rPr>
                <w:rFonts w:eastAsia="Calibri"/>
                <w:color w:val="000000"/>
              </w:rPr>
              <w:t>5,034.5</w:t>
            </w:r>
          </w:p>
        </w:tc>
      </w:tr>
      <w:tr w:rsidR="00422EFE" w:rsidRPr="00261B7A" w14:paraId="37827F72" w14:textId="77777777" w:rsidTr="00D41492">
        <w:tc>
          <w:tcPr>
            <w:tcW w:w="0" w:type="auto"/>
            <w:shd w:val="clear" w:color="auto" w:fill="FFFFFF"/>
            <w:tcMar>
              <w:top w:w="0" w:type="dxa"/>
              <w:left w:w="108" w:type="dxa"/>
              <w:bottom w:w="0" w:type="dxa"/>
              <w:right w:w="108" w:type="dxa"/>
            </w:tcMar>
            <w:vAlign w:val="center"/>
          </w:tcPr>
          <w:p w14:paraId="356F2E93" w14:textId="77777777" w:rsidR="00422EFE" w:rsidRPr="00261B7A" w:rsidRDefault="00422EFE" w:rsidP="00D41492">
            <w:pPr>
              <w:pStyle w:val="TableText"/>
              <w:spacing w:before="30" w:after="30"/>
            </w:pPr>
            <w:r w:rsidRPr="00261B7A">
              <w:rPr>
                <w:rFonts w:eastAsia="Calibri"/>
              </w:rPr>
              <w:t>2008</w:t>
            </w:r>
          </w:p>
        </w:tc>
        <w:tc>
          <w:tcPr>
            <w:tcW w:w="0" w:type="auto"/>
            <w:shd w:val="clear" w:color="auto" w:fill="FFFFFF"/>
            <w:tcMar>
              <w:top w:w="0" w:type="dxa"/>
              <w:left w:w="108" w:type="dxa"/>
              <w:bottom w:w="0" w:type="dxa"/>
              <w:right w:w="108" w:type="dxa"/>
            </w:tcMar>
            <w:vAlign w:val="center"/>
          </w:tcPr>
          <w:p w14:paraId="055A8B42" w14:textId="77777777" w:rsidR="00422EFE" w:rsidRPr="00261B7A" w:rsidRDefault="00422EFE" w:rsidP="00D41492">
            <w:pPr>
              <w:pStyle w:val="TableText"/>
              <w:spacing w:before="30" w:after="30"/>
              <w:jc w:val="right"/>
            </w:pPr>
            <w:r w:rsidRPr="00261B7A">
              <w:rPr>
                <w:rFonts w:eastAsia="Calibri"/>
                <w:color w:val="000000"/>
              </w:rPr>
              <w:t>584.5</w:t>
            </w:r>
          </w:p>
        </w:tc>
        <w:tc>
          <w:tcPr>
            <w:tcW w:w="0" w:type="auto"/>
            <w:shd w:val="clear" w:color="auto" w:fill="FFFFFF"/>
            <w:tcMar>
              <w:top w:w="0" w:type="dxa"/>
              <w:left w:w="108" w:type="dxa"/>
              <w:bottom w:w="0" w:type="dxa"/>
              <w:right w:w="108" w:type="dxa"/>
            </w:tcMar>
            <w:vAlign w:val="center"/>
          </w:tcPr>
          <w:p w14:paraId="7D9D0BE2" w14:textId="77777777" w:rsidR="00422EFE" w:rsidRPr="00261B7A" w:rsidRDefault="00422EFE" w:rsidP="00D41492">
            <w:pPr>
              <w:pStyle w:val="TableText"/>
              <w:spacing w:before="30" w:after="30"/>
              <w:jc w:val="right"/>
            </w:pPr>
            <w:r w:rsidRPr="00261B7A">
              <w:rPr>
                <w:rFonts w:eastAsia="Calibri"/>
                <w:color w:val="000000"/>
              </w:rPr>
              <w:t>4,557.2</w:t>
            </w:r>
          </w:p>
        </w:tc>
        <w:tc>
          <w:tcPr>
            <w:tcW w:w="0" w:type="auto"/>
            <w:shd w:val="clear" w:color="auto" w:fill="FFFFFF"/>
            <w:tcMar>
              <w:top w:w="0" w:type="dxa"/>
              <w:left w:w="108" w:type="dxa"/>
              <w:bottom w:w="0" w:type="dxa"/>
              <w:right w:w="108" w:type="dxa"/>
            </w:tcMar>
            <w:vAlign w:val="center"/>
          </w:tcPr>
          <w:p w14:paraId="0CDDE40D" w14:textId="77777777" w:rsidR="00422EFE" w:rsidRPr="00261B7A" w:rsidRDefault="00422EFE" w:rsidP="00D41492">
            <w:pPr>
              <w:pStyle w:val="TableText"/>
              <w:spacing w:before="30" w:after="30"/>
              <w:jc w:val="right"/>
            </w:pPr>
            <w:r w:rsidRPr="00261B7A">
              <w:rPr>
                <w:rFonts w:eastAsia="Calibri"/>
                <w:color w:val="000000"/>
              </w:rPr>
              <w:t>5,141.7</w:t>
            </w:r>
          </w:p>
        </w:tc>
      </w:tr>
      <w:tr w:rsidR="00422EFE" w:rsidRPr="00261B7A" w14:paraId="6084D5AB" w14:textId="77777777" w:rsidTr="00D41492">
        <w:tc>
          <w:tcPr>
            <w:tcW w:w="0" w:type="auto"/>
            <w:shd w:val="clear" w:color="auto" w:fill="FFFFFF"/>
            <w:tcMar>
              <w:top w:w="0" w:type="dxa"/>
              <w:left w:w="108" w:type="dxa"/>
              <w:bottom w:w="0" w:type="dxa"/>
              <w:right w:w="108" w:type="dxa"/>
            </w:tcMar>
            <w:vAlign w:val="center"/>
          </w:tcPr>
          <w:p w14:paraId="245FFF26" w14:textId="77777777" w:rsidR="00422EFE" w:rsidRPr="00261B7A" w:rsidRDefault="00422EFE" w:rsidP="00D41492">
            <w:pPr>
              <w:pStyle w:val="TableText"/>
              <w:spacing w:before="30" w:after="30"/>
            </w:pPr>
            <w:r w:rsidRPr="00261B7A">
              <w:rPr>
                <w:rFonts w:eastAsia="Calibri"/>
              </w:rPr>
              <w:t>2009</w:t>
            </w:r>
          </w:p>
        </w:tc>
        <w:tc>
          <w:tcPr>
            <w:tcW w:w="0" w:type="auto"/>
            <w:shd w:val="clear" w:color="auto" w:fill="FFFFFF"/>
            <w:tcMar>
              <w:top w:w="0" w:type="dxa"/>
              <w:left w:w="108" w:type="dxa"/>
              <w:bottom w:w="0" w:type="dxa"/>
              <w:right w:w="108" w:type="dxa"/>
            </w:tcMar>
            <w:vAlign w:val="center"/>
          </w:tcPr>
          <w:p w14:paraId="11CC1A44" w14:textId="77777777" w:rsidR="00422EFE" w:rsidRPr="00261B7A" w:rsidRDefault="00422EFE" w:rsidP="00D41492">
            <w:pPr>
              <w:pStyle w:val="TableText"/>
              <w:spacing w:before="30" w:after="30"/>
              <w:jc w:val="right"/>
            </w:pPr>
            <w:r w:rsidRPr="00261B7A">
              <w:rPr>
                <w:rFonts w:eastAsia="Calibri"/>
                <w:color w:val="000000"/>
              </w:rPr>
              <w:t>572.4</w:t>
            </w:r>
          </w:p>
        </w:tc>
        <w:tc>
          <w:tcPr>
            <w:tcW w:w="0" w:type="auto"/>
            <w:shd w:val="clear" w:color="auto" w:fill="FFFFFF"/>
            <w:tcMar>
              <w:top w:w="0" w:type="dxa"/>
              <w:left w:w="108" w:type="dxa"/>
              <w:bottom w:w="0" w:type="dxa"/>
              <w:right w:w="108" w:type="dxa"/>
            </w:tcMar>
            <w:vAlign w:val="center"/>
          </w:tcPr>
          <w:p w14:paraId="5E1864CA" w14:textId="77777777" w:rsidR="00422EFE" w:rsidRPr="00261B7A" w:rsidRDefault="00422EFE" w:rsidP="00D41492">
            <w:pPr>
              <w:pStyle w:val="TableText"/>
              <w:spacing w:before="30" w:after="30"/>
              <w:jc w:val="right"/>
            </w:pPr>
            <w:r w:rsidRPr="00261B7A">
              <w:rPr>
                <w:rFonts w:eastAsia="Calibri"/>
                <w:color w:val="000000"/>
              </w:rPr>
              <w:t>4,506.6</w:t>
            </w:r>
          </w:p>
        </w:tc>
        <w:tc>
          <w:tcPr>
            <w:tcW w:w="0" w:type="auto"/>
            <w:shd w:val="clear" w:color="auto" w:fill="FFFFFF"/>
            <w:tcMar>
              <w:top w:w="0" w:type="dxa"/>
              <w:left w:w="108" w:type="dxa"/>
              <w:bottom w:w="0" w:type="dxa"/>
              <w:right w:w="108" w:type="dxa"/>
            </w:tcMar>
            <w:vAlign w:val="center"/>
          </w:tcPr>
          <w:p w14:paraId="68DF7B29" w14:textId="77777777" w:rsidR="00422EFE" w:rsidRPr="00261B7A" w:rsidRDefault="00422EFE" w:rsidP="00D41492">
            <w:pPr>
              <w:pStyle w:val="TableText"/>
              <w:spacing w:before="30" w:after="30"/>
              <w:jc w:val="right"/>
            </w:pPr>
            <w:r w:rsidRPr="00261B7A">
              <w:rPr>
                <w:rFonts w:eastAsia="Calibri"/>
                <w:color w:val="000000"/>
              </w:rPr>
              <w:t>5,079.0</w:t>
            </w:r>
          </w:p>
        </w:tc>
      </w:tr>
      <w:tr w:rsidR="00422EFE" w:rsidRPr="00261B7A" w14:paraId="367B090E" w14:textId="77777777" w:rsidTr="00D41492">
        <w:tc>
          <w:tcPr>
            <w:tcW w:w="0" w:type="auto"/>
            <w:shd w:val="clear" w:color="auto" w:fill="FFFFFF"/>
            <w:tcMar>
              <w:top w:w="0" w:type="dxa"/>
              <w:left w:w="108" w:type="dxa"/>
              <w:bottom w:w="0" w:type="dxa"/>
              <w:right w:w="108" w:type="dxa"/>
            </w:tcMar>
            <w:vAlign w:val="center"/>
          </w:tcPr>
          <w:p w14:paraId="6305F209" w14:textId="77777777" w:rsidR="00422EFE" w:rsidRPr="00261B7A" w:rsidRDefault="00422EFE" w:rsidP="00D41492">
            <w:pPr>
              <w:pStyle w:val="TableText"/>
              <w:spacing w:before="30" w:after="30"/>
            </w:pPr>
            <w:r w:rsidRPr="00261B7A">
              <w:rPr>
                <w:rFonts w:eastAsia="Calibri"/>
              </w:rPr>
              <w:t>2010</w:t>
            </w:r>
          </w:p>
        </w:tc>
        <w:tc>
          <w:tcPr>
            <w:tcW w:w="0" w:type="auto"/>
            <w:shd w:val="clear" w:color="auto" w:fill="FFFFFF"/>
            <w:tcMar>
              <w:top w:w="0" w:type="dxa"/>
              <w:left w:w="108" w:type="dxa"/>
              <w:bottom w:w="0" w:type="dxa"/>
              <w:right w:w="108" w:type="dxa"/>
            </w:tcMar>
            <w:vAlign w:val="center"/>
          </w:tcPr>
          <w:p w14:paraId="76233934" w14:textId="77777777" w:rsidR="00422EFE" w:rsidRPr="00261B7A" w:rsidRDefault="00422EFE" w:rsidP="00D41492">
            <w:pPr>
              <w:pStyle w:val="TableText"/>
              <w:spacing w:before="30" w:after="30"/>
              <w:jc w:val="right"/>
            </w:pPr>
            <w:r w:rsidRPr="00261B7A">
              <w:rPr>
                <w:rFonts w:eastAsia="Calibri"/>
                <w:color w:val="000000"/>
              </w:rPr>
              <w:t>577.8</w:t>
            </w:r>
          </w:p>
        </w:tc>
        <w:tc>
          <w:tcPr>
            <w:tcW w:w="0" w:type="auto"/>
            <w:shd w:val="clear" w:color="auto" w:fill="FFFFFF"/>
            <w:tcMar>
              <w:top w:w="0" w:type="dxa"/>
              <w:left w:w="108" w:type="dxa"/>
              <w:bottom w:w="0" w:type="dxa"/>
              <w:right w:w="108" w:type="dxa"/>
            </w:tcMar>
            <w:vAlign w:val="center"/>
          </w:tcPr>
          <w:p w14:paraId="40567C59" w14:textId="77777777" w:rsidR="00422EFE" w:rsidRPr="00261B7A" w:rsidRDefault="00422EFE" w:rsidP="00D41492">
            <w:pPr>
              <w:pStyle w:val="TableText"/>
              <w:spacing w:before="30" w:after="30"/>
              <w:jc w:val="right"/>
            </w:pPr>
            <w:r w:rsidRPr="00261B7A">
              <w:rPr>
                <w:rFonts w:eastAsia="Calibri"/>
                <w:color w:val="000000"/>
              </w:rPr>
              <w:t>4,500.5</w:t>
            </w:r>
          </w:p>
        </w:tc>
        <w:tc>
          <w:tcPr>
            <w:tcW w:w="0" w:type="auto"/>
            <w:shd w:val="clear" w:color="auto" w:fill="FFFFFF"/>
            <w:tcMar>
              <w:top w:w="0" w:type="dxa"/>
              <w:left w:w="108" w:type="dxa"/>
              <w:bottom w:w="0" w:type="dxa"/>
              <w:right w:w="108" w:type="dxa"/>
            </w:tcMar>
            <w:vAlign w:val="center"/>
          </w:tcPr>
          <w:p w14:paraId="50ED30EE" w14:textId="77777777" w:rsidR="00422EFE" w:rsidRPr="00261B7A" w:rsidRDefault="00422EFE" w:rsidP="00D41492">
            <w:pPr>
              <w:pStyle w:val="TableText"/>
              <w:spacing w:before="30" w:after="30"/>
              <w:jc w:val="right"/>
            </w:pPr>
            <w:r w:rsidRPr="00261B7A">
              <w:rPr>
                <w:rFonts w:eastAsia="Calibri"/>
                <w:color w:val="000000"/>
              </w:rPr>
              <w:t>5,078.3</w:t>
            </w:r>
          </w:p>
        </w:tc>
      </w:tr>
      <w:tr w:rsidR="00422EFE" w:rsidRPr="00261B7A" w14:paraId="0897F153" w14:textId="77777777" w:rsidTr="00D41492">
        <w:tc>
          <w:tcPr>
            <w:tcW w:w="0" w:type="auto"/>
            <w:shd w:val="clear" w:color="auto" w:fill="FFFFFF"/>
            <w:tcMar>
              <w:top w:w="0" w:type="dxa"/>
              <w:left w:w="108" w:type="dxa"/>
              <w:bottom w:w="0" w:type="dxa"/>
              <w:right w:w="108" w:type="dxa"/>
            </w:tcMar>
            <w:vAlign w:val="center"/>
          </w:tcPr>
          <w:p w14:paraId="29173BD3" w14:textId="77777777" w:rsidR="00422EFE" w:rsidRPr="00261B7A" w:rsidRDefault="00422EFE" w:rsidP="00D41492">
            <w:pPr>
              <w:pStyle w:val="TableText"/>
              <w:spacing w:before="30" w:after="30"/>
            </w:pPr>
            <w:r w:rsidRPr="00261B7A">
              <w:rPr>
                <w:rFonts w:eastAsia="Calibri"/>
              </w:rPr>
              <w:t>2011</w:t>
            </w:r>
          </w:p>
        </w:tc>
        <w:tc>
          <w:tcPr>
            <w:tcW w:w="0" w:type="auto"/>
            <w:shd w:val="clear" w:color="auto" w:fill="FFFFFF"/>
            <w:tcMar>
              <w:top w:w="0" w:type="dxa"/>
              <w:left w:w="108" w:type="dxa"/>
              <w:bottom w:w="0" w:type="dxa"/>
              <w:right w:w="108" w:type="dxa"/>
            </w:tcMar>
            <w:vAlign w:val="center"/>
          </w:tcPr>
          <w:p w14:paraId="7B5ECA0B" w14:textId="77777777" w:rsidR="00422EFE" w:rsidRPr="00261B7A" w:rsidRDefault="00422EFE" w:rsidP="00D41492">
            <w:pPr>
              <w:pStyle w:val="TableText"/>
              <w:spacing w:before="30" w:after="30"/>
              <w:jc w:val="right"/>
            </w:pPr>
            <w:r w:rsidRPr="00261B7A">
              <w:rPr>
                <w:rFonts w:eastAsia="Calibri"/>
                <w:color w:val="000000"/>
              </w:rPr>
              <w:t>559.8</w:t>
            </w:r>
          </w:p>
        </w:tc>
        <w:tc>
          <w:tcPr>
            <w:tcW w:w="0" w:type="auto"/>
            <w:shd w:val="clear" w:color="auto" w:fill="FFFFFF"/>
            <w:tcMar>
              <w:top w:w="0" w:type="dxa"/>
              <w:left w:w="108" w:type="dxa"/>
              <w:bottom w:w="0" w:type="dxa"/>
              <w:right w:w="108" w:type="dxa"/>
            </w:tcMar>
            <w:vAlign w:val="center"/>
          </w:tcPr>
          <w:p w14:paraId="7E79F144" w14:textId="77777777" w:rsidR="00422EFE" w:rsidRPr="00261B7A" w:rsidRDefault="00422EFE" w:rsidP="00D41492">
            <w:pPr>
              <w:pStyle w:val="TableText"/>
              <w:spacing w:before="30" w:after="30"/>
              <w:jc w:val="right"/>
            </w:pPr>
            <w:r w:rsidRPr="00261B7A">
              <w:rPr>
                <w:rFonts w:eastAsia="Calibri"/>
                <w:color w:val="000000"/>
              </w:rPr>
              <w:t>4,569.1</w:t>
            </w:r>
          </w:p>
        </w:tc>
        <w:tc>
          <w:tcPr>
            <w:tcW w:w="0" w:type="auto"/>
            <w:shd w:val="clear" w:color="auto" w:fill="FFFFFF"/>
            <w:tcMar>
              <w:top w:w="0" w:type="dxa"/>
              <w:left w:w="108" w:type="dxa"/>
              <w:bottom w:w="0" w:type="dxa"/>
              <w:right w:w="108" w:type="dxa"/>
            </w:tcMar>
            <w:vAlign w:val="center"/>
          </w:tcPr>
          <w:p w14:paraId="2729C5DA" w14:textId="77777777" w:rsidR="00422EFE" w:rsidRPr="00261B7A" w:rsidRDefault="00422EFE" w:rsidP="00D41492">
            <w:pPr>
              <w:pStyle w:val="TableText"/>
              <w:spacing w:before="30" w:after="30"/>
              <w:jc w:val="right"/>
            </w:pPr>
            <w:r w:rsidRPr="00261B7A">
              <w:rPr>
                <w:rFonts w:eastAsia="Calibri"/>
                <w:color w:val="000000"/>
              </w:rPr>
              <w:t>5,128.8</w:t>
            </w:r>
          </w:p>
        </w:tc>
      </w:tr>
      <w:tr w:rsidR="00422EFE" w:rsidRPr="00261B7A" w14:paraId="31B8E72F" w14:textId="77777777" w:rsidTr="00D41492">
        <w:tc>
          <w:tcPr>
            <w:tcW w:w="0" w:type="auto"/>
            <w:shd w:val="clear" w:color="auto" w:fill="FFFFFF"/>
            <w:tcMar>
              <w:top w:w="0" w:type="dxa"/>
              <w:left w:w="108" w:type="dxa"/>
              <w:bottom w:w="0" w:type="dxa"/>
              <w:right w:w="108" w:type="dxa"/>
            </w:tcMar>
            <w:vAlign w:val="center"/>
          </w:tcPr>
          <w:p w14:paraId="4811A850" w14:textId="77777777" w:rsidR="00422EFE" w:rsidRPr="00261B7A" w:rsidRDefault="00422EFE" w:rsidP="00D41492">
            <w:pPr>
              <w:pStyle w:val="TableText"/>
              <w:spacing w:before="30" w:after="30"/>
            </w:pPr>
            <w:r w:rsidRPr="00261B7A">
              <w:rPr>
                <w:rFonts w:eastAsia="Calibri"/>
              </w:rPr>
              <w:t>2012</w:t>
            </w:r>
          </w:p>
        </w:tc>
        <w:tc>
          <w:tcPr>
            <w:tcW w:w="0" w:type="auto"/>
            <w:shd w:val="clear" w:color="auto" w:fill="FFFFFF"/>
            <w:tcMar>
              <w:top w:w="0" w:type="dxa"/>
              <w:left w:w="108" w:type="dxa"/>
              <w:bottom w:w="0" w:type="dxa"/>
              <w:right w:w="108" w:type="dxa"/>
            </w:tcMar>
            <w:vAlign w:val="center"/>
          </w:tcPr>
          <w:p w14:paraId="6872D083" w14:textId="77777777" w:rsidR="00422EFE" w:rsidRPr="00261B7A" w:rsidRDefault="00422EFE" w:rsidP="00D41492">
            <w:pPr>
              <w:pStyle w:val="TableText"/>
              <w:spacing w:before="30" w:after="30"/>
              <w:jc w:val="right"/>
            </w:pPr>
            <w:r w:rsidRPr="00261B7A">
              <w:rPr>
                <w:rFonts w:eastAsia="Calibri"/>
                <w:color w:val="000000"/>
              </w:rPr>
              <w:t>561.2</w:t>
            </w:r>
          </w:p>
        </w:tc>
        <w:tc>
          <w:tcPr>
            <w:tcW w:w="0" w:type="auto"/>
            <w:shd w:val="clear" w:color="auto" w:fill="FFFFFF"/>
            <w:tcMar>
              <w:top w:w="0" w:type="dxa"/>
              <w:left w:w="108" w:type="dxa"/>
              <w:bottom w:w="0" w:type="dxa"/>
              <w:right w:w="108" w:type="dxa"/>
            </w:tcMar>
            <w:vAlign w:val="center"/>
          </w:tcPr>
          <w:p w14:paraId="17B62E6C" w14:textId="77777777" w:rsidR="00422EFE" w:rsidRPr="00261B7A" w:rsidRDefault="00422EFE" w:rsidP="00D41492">
            <w:pPr>
              <w:pStyle w:val="TableText"/>
              <w:spacing w:before="30" w:after="30"/>
              <w:jc w:val="right"/>
            </w:pPr>
            <w:r w:rsidRPr="00261B7A">
              <w:rPr>
                <w:rFonts w:eastAsia="Calibri"/>
                <w:color w:val="000000"/>
              </w:rPr>
              <w:t>4,671.9</w:t>
            </w:r>
          </w:p>
        </w:tc>
        <w:tc>
          <w:tcPr>
            <w:tcW w:w="0" w:type="auto"/>
            <w:shd w:val="clear" w:color="auto" w:fill="FFFFFF"/>
            <w:tcMar>
              <w:top w:w="0" w:type="dxa"/>
              <w:left w:w="108" w:type="dxa"/>
              <w:bottom w:w="0" w:type="dxa"/>
              <w:right w:w="108" w:type="dxa"/>
            </w:tcMar>
            <w:vAlign w:val="center"/>
          </w:tcPr>
          <w:p w14:paraId="431FB03D" w14:textId="77777777" w:rsidR="00422EFE" w:rsidRPr="00261B7A" w:rsidRDefault="00422EFE" w:rsidP="00D41492">
            <w:pPr>
              <w:pStyle w:val="TableText"/>
              <w:spacing w:before="30" w:after="30"/>
              <w:jc w:val="right"/>
            </w:pPr>
            <w:r w:rsidRPr="00261B7A">
              <w:rPr>
                <w:rFonts w:eastAsia="Calibri"/>
                <w:color w:val="000000"/>
              </w:rPr>
              <w:t>5,233.1</w:t>
            </w:r>
          </w:p>
        </w:tc>
      </w:tr>
      <w:tr w:rsidR="00422EFE" w:rsidRPr="00261B7A" w14:paraId="3BFE8285" w14:textId="77777777" w:rsidTr="00D41492">
        <w:tc>
          <w:tcPr>
            <w:tcW w:w="0" w:type="auto"/>
            <w:shd w:val="clear" w:color="auto" w:fill="FFFFFF"/>
            <w:tcMar>
              <w:top w:w="0" w:type="dxa"/>
              <w:left w:w="108" w:type="dxa"/>
              <w:bottom w:w="0" w:type="dxa"/>
              <w:right w:w="108" w:type="dxa"/>
            </w:tcMar>
            <w:vAlign w:val="center"/>
          </w:tcPr>
          <w:p w14:paraId="1D89B371" w14:textId="77777777" w:rsidR="00422EFE" w:rsidRPr="00261B7A" w:rsidRDefault="00422EFE" w:rsidP="00D41492">
            <w:pPr>
              <w:pStyle w:val="TableText"/>
              <w:spacing w:before="30" w:after="30"/>
            </w:pPr>
            <w:r w:rsidRPr="00261B7A">
              <w:rPr>
                <w:rFonts w:eastAsia="Calibri"/>
              </w:rPr>
              <w:t>2013</w:t>
            </w:r>
          </w:p>
        </w:tc>
        <w:tc>
          <w:tcPr>
            <w:tcW w:w="0" w:type="auto"/>
            <w:shd w:val="clear" w:color="auto" w:fill="FFFFFF"/>
            <w:tcMar>
              <w:top w:w="0" w:type="dxa"/>
              <w:left w:w="108" w:type="dxa"/>
              <w:bottom w:w="0" w:type="dxa"/>
              <w:right w:w="108" w:type="dxa"/>
            </w:tcMar>
            <w:vAlign w:val="center"/>
          </w:tcPr>
          <w:p w14:paraId="46B5C6D3" w14:textId="77777777" w:rsidR="00422EFE" w:rsidRPr="00261B7A" w:rsidRDefault="00422EFE" w:rsidP="00D41492">
            <w:pPr>
              <w:pStyle w:val="TableText"/>
              <w:spacing w:before="30" w:after="30"/>
              <w:jc w:val="right"/>
            </w:pPr>
            <w:r w:rsidRPr="00261B7A">
              <w:rPr>
                <w:rFonts w:eastAsia="Calibri"/>
                <w:color w:val="000000"/>
              </w:rPr>
              <w:t>546.9</w:t>
            </w:r>
          </w:p>
        </w:tc>
        <w:tc>
          <w:tcPr>
            <w:tcW w:w="0" w:type="auto"/>
            <w:shd w:val="clear" w:color="auto" w:fill="FFFFFF"/>
            <w:tcMar>
              <w:top w:w="0" w:type="dxa"/>
              <w:left w:w="108" w:type="dxa"/>
              <w:bottom w:w="0" w:type="dxa"/>
              <w:right w:w="108" w:type="dxa"/>
            </w:tcMar>
            <w:vAlign w:val="center"/>
          </w:tcPr>
          <w:p w14:paraId="46995F26" w14:textId="77777777" w:rsidR="00422EFE" w:rsidRPr="00261B7A" w:rsidRDefault="00422EFE" w:rsidP="00D41492">
            <w:pPr>
              <w:pStyle w:val="TableText"/>
              <w:spacing w:before="30" w:after="30"/>
              <w:jc w:val="right"/>
            </w:pPr>
            <w:r w:rsidRPr="00261B7A">
              <w:rPr>
                <w:rFonts w:eastAsia="Calibri"/>
                <w:color w:val="000000"/>
              </w:rPr>
              <w:t>4,776.8</w:t>
            </w:r>
          </w:p>
        </w:tc>
        <w:tc>
          <w:tcPr>
            <w:tcW w:w="0" w:type="auto"/>
            <w:shd w:val="clear" w:color="auto" w:fill="FFFFFF"/>
            <w:tcMar>
              <w:top w:w="0" w:type="dxa"/>
              <w:left w:w="108" w:type="dxa"/>
              <w:bottom w:w="0" w:type="dxa"/>
              <w:right w:w="108" w:type="dxa"/>
            </w:tcMar>
            <w:vAlign w:val="center"/>
          </w:tcPr>
          <w:p w14:paraId="04E40E20" w14:textId="77777777" w:rsidR="00422EFE" w:rsidRPr="00261B7A" w:rsidRDefault="00422EFE" w:rsidP="00D41492">
            <w:pPr>
              <w:pStyle w:val="TableText"/>
              <w:spacing w:before="30" w:after="30"/>
              <w:jc w:val="right"/>
            </w:pPr>
            <w:r w:rsidRPr="00261B7A">
              <w:rPr>
                <w:rFonts w:eastAsia="Calibri"/>
                <w:color w:val="000000"/>
              </w:rPr>
              <w:t>5,323.7</w:t>
            </w:r>
          </w:p>
        </w:tc>
      </w:tr>
      <w:tr w:rsidR="00422EFE" w:rsidRPr="00261B7A" w14:paraId="2C264547" w14:textId="77777777" w:rsidTr="00D41492">
        <w:tc>
          <w:tcPr>
            <w:tcW w:w="0" w:type="auto"/>
            <w:shd w:val="clear" w:color="auto" w:fill="FFFFFF"/>
            <w:tcMar>
              <w:top w:w="0" w:type="dxa"/>
              <w:left w:w="108" w:type="dxa"/>
              <w:bottom w:w="0" w:type="dxa"/>
              <w:right w:w="108" w:type="dxa"/>
            </w:tcMar>
            <w:vAlign w:val="center"/>
          </w:tcPr>
          <w:p w14:paraId="2DE1F831" w14:textId="77777777" w:rsidR="00422EFE" w:rsidRPr="00261B7A" w:rsidRDefault="00422EFE" w:rsidP="00D41492">
            <w:pPr>
              <w:pStyle w:val="TableText"/>
              <w:spacing w:before="30" w:after="30"/>
            </w:pPr>
            <w:r w:rsidRPr="00261B7A">
              <w:rPr>
                <w:rFonts w:eastAsia="Calibri"/>
              </w:rPr>
              <w:t>2014</w:t>
            </w:r>
          </w:p>
        </w:tc>
        <w:tc>
          <w:tcPr>
            <w:tcW w:w="0" w:type="auto"/>
            <w:shd w:val="clear" w:color="auto" w:fill="FFFFFF"/>
            <w:tcMar>
              <w:top w:w="0" w:type="dxa"/>
              <w:left w:w="108" w:type="dxa"/>
              <w:bottom w:w="0" w:type="dxa"/>
              <w:right w:w="108" w:type="dxa"/>
            </w:tcMar>
            <w:vAlign w:val="center"/>
          </w:tcPr>
          <w:p w14:paraId="50FB3B67" w14:textId="77777777" w:rsidR="00422EFE" w:rsidRPr="00261B7A" w:rsidRDefault="00422EFE" w:rsidP="00D41492">
            <w:pPr>
              <w:pStyle w:val="TableText"/>
              <w:spacing w:before="30" w:after="30"/>
              <w:jc w:val="right"/>
            </w:pPr>
            <w:r w:rsidRPr="00261B7A">
              <w:rPr>
                <w:rFonts w:eastAsia="Calibri"/>
                <w:color w:val="000000"/>
              </w:rPr>
              <w:t>547.3</w:t>
            </w:r>
          </w:p>
        </w:tc>
        <w:tc>
          <w:tcPr>
            <w:tcW w:w="0" w:type="auto"/>
            <w:shd w:val="clear" w:color="auto" w:fill="FFFFFF"/>
            <w:tcMar>
              <w:top w:w="0" w:type="dxa"/>
              <w:left w:w="108" w:type="dxa"/>
              <w:bottom w:w="0" w:type="dxa"/>
              <w:right w:w="108" w:type="dxa"/>
            </w:tcMar>
            <w:vAlign w:val="center"/>
          </w:tcPr>
          <w:p w14:paraId="5122C2D2" w14:textId="77777777" w:rsidR="00422EFE" w:rsidRPr="00261B7A" w:rsidRDefault="00422EFE" w:rsidP="00D41492">
            <w:pPr>
              <w:pStyle w:val="TableText"/>
              <w:spacing w:before="30" w:after="30"/>
              <w:jc w:val="right"/>
            </w:pPr>
            <w:r w:rsidRPr="00261B7A">
              <w:rPr>
                <w:rFonts w:eastAsia="Calibri"/>
                <w:color w:val="000000"/>
              </w:rPr>
              <w:t>4,905.6</w:t>
            </w:r>
          </w:p>
        </w:tc>
        <w:tc>
          <w:tcPr>
            <w:tcW w:w="0" w:type="auto"/>
            <w:shd w:val="clear" w:color="auto" w:fill="FFFFFF"/>
            <w:tcMar>
              <w:top w:w="0" w:type="dxa"/>
              <w:left w:w="108" w:type="dxa"/>
              <w:bottom w:w="0" w:type="dxa"/>
              <w:right w:w="108" w:type="dxa"/>
            </w:tcMar>
            <w:vAlign w:val="center"/>
          </w:tcPr>
          <w:p w14:paraId="3D98DB6A" w14:textId="77777777" w:rsidR="00422EFE" w:rsidRPr="00261B7A" w:rsidRDefault="00422EFE" w:rsidP="00D41492">
            <w:pPr>
              <w:pStyle w:val="TableText"/>
              <w:spacing w:before="30" w:after="30"/>
              <w:jc w:val="right"/>
            </w:pPr>
            <w:r w:rsidRPr="00261B7A">
              <w:rPr>
                <w:rFonts w:eastAsia="Calibri"/>
                <w:color w:val="000000"/>
              </w:rPr>
              <w:t>5,452.9</w:t>
            </w:r>
          </w:p>
        </w:tc>
      </w:tr>
      <w:tr w:rsidR="00422EFE" w:rsidRPr="00261B7A" w14:paraId="4347E6FA" w14:textId="77777777" w:rsidTr="00D41492">
        <w:tc>
          <w:tcPr>
            <w:tcW w:w="0" w:type="auto"/>
            <w:shd w:val="clear" w:color="auto" w:fill="FFFFFF"/>
            <w:tcMar>
              <w:top w:w="0" w:type="dxa"/>
              <w:left w:w="108" w:type="dxa"/>
              <w:bottom w:w="0" w:type="dxa"/>
              <w:right w:w="108" w:type="dxa"/>
            </w:tcMar>
            <w:vAlign w:val="center"/>
          </w:tcPr>
          <w:p w14:paraId="533C917A" w14:textId="77777777" w:rsidR="00422EFE" w:rsidRPr="00261B7A" w:rsidRDefault="00422EFE" w:rsidP="00D41492">
            <w:pPr>
              <w:pStyle w:val="TableText"/>
              <w:spacing w:before="30" w:after="30"/>
            </w:pPr>
            <w:r w:rsidRPr="00261B7A">
              <w:rPr>
                <w:rFonts w:eastAsia="Calibri"/>
              </w:rPr>
              <w:t>2015</w:t>
            </w:r>
          </w:p>
        </w:tc>
        <w:tc>
          <w:tcPr>
            <w:tcW w:w="0" w:type="auto"/>
            <w:shd w:val="clear" w:color="auto" w:fill="FFFFFF"/>
            <w:tcMar>
              <w:top w:w="0" w:type="dxa"/>
              <w:left w:w="108" w:type="dxa"/>
              <w:bottom w:w="0" w:type="dxa"/>
              <w:right w:w="108" w:type="dxa"/>
            </w:tcMar>
            <w:vAlign w:val="center"/>
          </w:tcPr>
          <w:p w14:paraId="55A5E99C" w14:textId="77777777" w:rsidR="00422EFE" w:rsidRPr="00261B7A" w:rsidRDefault="00422EFE" w:rsidP="00D41492">
            <w:pPr>
              <w:pStyle w:val="TableText"/>
              <w:spacing w:before="30" w:after="30"/>
              <w:jc w:val="right"/>
            </w:pPr>
            <w:r w:rsidRPr="00261B7A">
              <w:rPr>
                <w:rFonts w:eastAsia="Calibri"/>
                <w:color w:val="000000"/>
              </w:rPr>
              <w:t>533.0</w:t>
            </w:r>
          </w:p>
        </w:tc>
        <w:tc>
          <w:tcPr>
            <w:tcW w:w="0" w:type="auto"/>
            <w:shd w:val="clear" w:color="auto" w:fill="FFFFFF"/>
            <w:tcMar>
              <w:top w:w="0" w:type="dxa"/>
              <w:left w:w="108" w:type="dxa"/>
              <w:bottom w:w="0" w:type="dxa"/>
              <w:right w:w="108" w:type="dxa"/>
            </w:tcMar>
            <w:vAlign w:val="center"/>
          </w:tcPr>
          <w:p w14:paraId="58FFDBEA" w14:textId="77777777" w:rsidR="00422EFE" w:rsidRPr="00261B7A" w:rsidRDefault="00422EFE" w:rsidP="00D41492">
            <w:pPr>
              <w:pStyle w:val="TableText"/>
              <w:spacing w:before="30" w:after="30"/>
              <w:jc w:val="right"/>
            </w:pPr>
            <w:r w:rsidRPr="00261B7A">
              <w:rPr>
                <w:rFonts w:eastAsia="Calibri"/>
                <w:color w:val="000000"/>
              </w:rPr>
              <w:t>5,092.8</w:t>
            </w:r>
          </w:p>
        </w:tc>
        <w:tc>
          <w:tcPr>
            <w:tcW w:w="0" w:type="auto"/>
            <w:shd w:val="clear" w:color="auto" w:fill="FFFFFF"/>
            <w:tcMar>
              <w:top w:w="0" w:type="dxa"/>
              <w:left w:w="108" w:type="dxa"/>
              <w:bottom w:w="0" w:type="dxa"/>
              <w:right w:w="108" w:type="dxa"/>
            </w:tcMar>
            <w:vAlign w:val="center"/>
          </w:tcPr>
          <w:p w14:paraId="6AA47C78" w14:textId="77777777" w:rsidR="00422EFE" w:rsidRPr="00261B7A" w:rsidRDefault="00422EFE" w:rsidP="00D41492">
            <w:pPr>
              <w:pStyle w:val="TableText"/>
              <w:spacing w:before="30" w:after="30"/>
              <w:jc w:val="right"/>
            </w:pPr>
            <w:r w:rsidRPr="00261B7A">
              <w:rPr>
                <w:rFonts w:eastAsia="Calibri"/>
                <w:color w:val="000000"/>
              </w:rPr>
              <w:t>5,625.8</w:t>
            </w:r>
          </w:p>
        </w:tc>
      </w:tr>
      <w:tr w:rsidR="00422EFE" w:rsidRPr="00261B7A" w14:paraId="467C4396" w14:textId="77777777" w:rsidTr="00D41492">
        <w:tc>
          <w:tcPr>
            <w:tcW w:w="0" w:type="auto"/>
            <w:shd w:val="clear" w:color="auto" w:fill="FFFFFF"/>
            <w:tcMar>
              <w:top w:w="0" w:type="dxa"/>
              <w:left w:w="108" w:type="dxa"/>
              <w:bottom w:w="0" w:type="dxa"/>
              <w:right w:w="108" w:type="dxa"/>
            </w:tcMar>
            <w:vAlign w:val="center"/>
          </w:tcPr>
          <w:p w14:paraId="3874E76D" w14:textId="77777777" w:rsidR="00422EFE" w:rsidRPr="00261B7A" w:rsidRDefault="00422EFE" w:rsidP="00D41492">
            <w:pPr>
              <w:pStyle w:val="TableText"/>
              <w:spacing w:before="30" w:after="30"/>
            </w:pPr>
            <w:r w:rsidRPr="00261B7A">
              <w:rPr>
                <w:rFonts w:eastAsia="Calibri"/>
              </w:rPr>
              <w:t>2016</w:t>
            </w:r>
          </w:p>
        </w:tc>
        <w:tc>
          <w:tcPr>
            <w:tcW w:w="0" w:type="auto"/>
            <w:shd w:val="clear" w:color="auto" w:fill="FFFFFF"/>
            <w:tcMar>
              <w:top w:w="0" w:type="dxa"/>
              <w:left w:w="108" w:type="dxa"/>
              <w:bottom w:w="0" w:type="dxa"/>
              <w:right w:w="108" w:type="dxa"/>
            </w:tcMar>
            <w:vAlign w:val="center"/>
          </w:tcPr>
          <w:p w14:paraId="77DF1BEF" w14:textId="77777777" w:rsidR="00422EFE" w:rsidRPr="00261B7A" w:rsidRDefault="00422EFE" w:rsidP="00D41492">
            <w:pPr>
              <w:pStyle w:val="TableText"/>
              <w:spacing w:before="30" w:after="30"/>
              <w:jc w:val="right"/>
            </w:pPr>
            <w:r w:rsidRPr="00261B7A">
              <w:rPr>
                <w:rFonts w:eastAsia="Calibri"/>
                <w:color w:val="000000"/>
              </w:rPr>
              <w:t>535.4</w:t>
            </w:r>
          </w:p>
        </w:tc>
        <w:tc>
          <w:tcPr>
            <w:tcW w:w="0" w:type="auto"/>
            <w:shd w:val="clear" w:color="auto" w:fill="FFFFFF"/>
            <w:tcMar>
              <w:top w:w="0" w:type="dxa"/>
              <w:left w:w="108" w:type="dxa"/>
              <w:bottom w:w="0" w:type="dxa"/>
              <w:right w:w="108" w:type="dxa"/>
            </w:tcMar>
            <w:vAlign w:val="center"/>
          </w:tcPr>
          <w:p w14:paraId="453F89C6" w14:textId="77777777" w:rsidR="00422EFE" w:rsidRPr="00261B7A" w:rsidRDefault="00422EFE" w:rsidP="00D41492">
            <w:pPr>
              <w:pStyle w:val="TableText"/>
              <w:spacing w:before="30" w:after="30"/>
              <w:jc w:val="right"/>
            </w:pPr>
            <w:r w:rsidRPr="00261B7A">
              <w:rPr>
                <w:rFonts w:eastAsia="Calibri"/>
                <w:color w:val="000000"/>
              </w:rPr>
              <w:t>5,092.8</w:t>
            </w:r>
          </w:p>
        </w:tc>
        <w:tc>
          <w:tcPr>
            <w:tcW w:w="0" w:type="auto"/>
            <w:shd w:val="clear" w:color="auto" w:fill="FFFFFF"/>
            <w:tcMar>
              <w:top w:w="0" w:type="dxa"/>
              <w:left w:w="108" w:type="dxa"/>
              <w:bottom w:w="0" w:type="dxa"/>
              <w:right w:w="108" w:type="dxa"/>
            </w:tcMar>
            <w:vAlign w:val="center"/>
          </w:tcPr>
          <w:p w14:paraId="319544C7" w14:textId="77777777" w:rsidR="00422EFE" w:rsidRPr="00261B7A" w:rsidRDefault="00422EFE" w:rsidP="00D41492">
            <w:pPr>
              <w:pStyle w:val="TableText"/>
              <w:spacing w:before="30" w:after="30"/>
              <w:jc w:val="right"/>
            </w:pPr>
            <w:r w:rsidRPr="00261B7A">
              <w:rPr>
                <w:rFonts w:eastAsia="Calibri"/>
                <w:color w:val="000000"/>
              </w:rPr>
              <w:t>5,628.2</w:t>
            </w:r>
          </w:p>
        </w:tc>
      </w:tr>
      <w:tr w:rsidR="00422EFE" w:rsidRPr="00261B7A" w14:paraId="2E045921" w14:textId="77777777" w:rsidTr="00D41492">
        <w:tc>
          <w:tcPr>
            <w:tcW w:w="0" w:type="auto"/>
            <w:shd w:val="clear" w:color="auto" w:fill="FFFFFF"/>
            <w:tcMar>
              <w:top w:w="0" w:type="dxa"/>
              <w:left w:w="108" w:type="dxa"/>
              <w:bottom w:w="0" w:type="dxa"/>
              <w:right w:w="108" w:type="dxa"/>
            </w:tcMar>
            <w:vAlign w:val="center"/>
          </w:tcPr>
          <w:p w14:paraId="28399B4C" w14:textId="77777777" w:rsidR="00422EFE" w:rsidRPr="00261B7A" w:rsidRDefault="00422EFE" w:rsidP="00D41492">
            <w:pPr>
              <w:pStyle w:val="TableText"/>
              <w:spacing w:before="30" w:after="30"/>
            </w:pPr>
            <w:r w:rsidRPr="00261B7A">
              <w:rPr>
                <w:rFonts w:eastAsia="Calibri"/>
              </w:rPr>
              <w:t>2017</w:t>
            </w:r>
          </w:p>
        </w:tc>
        <w:tc>
          <w:tcPr>
            <w:tcW w:w="0" w:type="auto"/>
            <w:shd w:val="clear" w:color="auto" w:fill="FFFFFF"/>
            <w:tcMar>
              <w:top w:w="0" w:type="dxa"/>
              <w:left w:w="108" w:type="dxa"/>
              <w:bottom w:w="0" w:type="dxa"/>
              <w:right w:w="108" w:type="dxa"/>
            </w:tcMar>
            <w:vAlign w:val="center"/>
          </w:tcPr>
          <w:p w14:paraId="4507893A" w14:textId="77777777" w:rsidR="00422EFE" w:rsidRPr="00261B7A" w:rsidRDefault="00422EFE" w:rsidP="00D41492">
            <w:pPr>
              <w:pStyle w:val="TableText"/>
              <w:spacing w:before="30" w:after="30"/>
              <w:jc w:val="right"/>
            </w:pPr>
            <w:r w:rsidRPr="00261B7A">
              <w:rPr>
                <w:rFonts w:eastAsia="Calibri"/>
                <w:color w:val="000000"/>
              </w:rPr>
              <w:t>505.5</w:t>
            </w:r>
          </w:p>
        </w:tc>
        <w:tc>
          <w:tcPr>
            <w:tcW w:w="0" w:type="auto"/>
            <w:shd w:val="clear" w:color="auto" w:fill="FFFFFF"/>
            <w:tcMar>
              <w:top w:w="0" w:type="dxa"/>
              <w:left w:w="108" w:type="dxa"/>
              <w:bottom w:w="0" w:type="dxa"/>
              <w:right w:w="108" w:type="dxa"/>
            </w:tcMar>
            <w:vAlign w:val="center"/>
          </w:tcPr>
          <w:p w14:paraId="4D284F02" w14:textId="77777777" w:rsidR="00422EFE" w:rsidRPr="00261B7A" w:rsidRDefault="00422EFE" w:rsidP="00D41492">
            <w:pPr>
              <w:pStyle w:val="TableText"/>
              <w:spacing w:before="30" w:after="30"/>
              <w:jc w:val="right"/>
            </w:pPr>
            <w:r w:rsidRPr="00261B7A">
              <w:rPr>
                <w:rFonts w:eastAsia="Calibri"/>
                <w:color w:val="000000"/>
              </w:rPr>
              <w:t>5,092.8</w:t>
            </w:r>
          </w:p>
        </w:tc>
        <w:tc>
          <w:tcPr>
            <w:tcW w:w="0" w:type="auto"/>
            <w:shd w:val="clear" w:color="auto" w:fill="FFFFFF"/>
            <w:tcMar>
              <w:top w:w="0" w:type="dxa"/>
              <w:left w:w="108" w:type="dxa"/>
              <w:bottom w:w="0" w:type="dxa"/>
              <w:right w:w="108" w:type="dxa"/>
            </w:tcMar>
            <w:vAlign w:val="center"/>
          </w:tcPr>
          <w:p w14:paraId="1E6BF0DF" w14:textId="77777777" w:rsidR="00422EFE" w:rsidRPr="00261B7A" w:rsidRDefault="00422EFE" w:rsidP="00D41492">
            <w:pPr>
              <w:pStyle w:val="TableText"/>
              <w:spacing w:before="30" w:after="30"/>
              <w:jc w:val="right"/>
            </w:pPr>
            <w:r w:rsidRPr="00261B7A">
              <w:rPr>
                <w:rFonts w:eastAsia="Calibri"/>
                <w:color w:val="000000"/>
              </w:rPr>
              <w:t>5,598.3</w:t>
            </w:r>
          </w:p>
        </w:tc>
      </w:tr>
      <w:tr w:rsidR="00422EFE" w:rsidRPr="00261B7A" w14:paraId="4DF1F17B" w14:textId="77777777" w:rsidTr="00D41492">
        <w:tc>
          <w:tcPr>
            <w:tcW w:w="0" w:type="auto"/>
            <w:shd w:val="clear" w:color="auto" w:fill="FFFFFF"/>
            <w:tcMar>
              <w:top w:w="0" w:type="dxa"/>
              <w:left w:w="108" w:type="dxa"/>
              <w:bottom w:w="0" w:type="dxa"/>
              <w:right w:w="108" w:type="dxa"/>
            </w:tcMar>
            <w:vAlign w:val="center"/>
          </w:tcPr>
          <w:p w14:paraId="77DC10B7" w14:textId="77777777" w:rsidR="00422EFE" w:rsidRPr="00261B7A" w:rsidRDefault="00422EFE" w:rsidP="00D41492">
            <w:pPr>
              <w:pStyle w:val="TableText"/>
              <w:spacing w:before="30" w:after="30"/>
            </w:pPr>
            <w:r w:rsidRPr="00261B7A">
              <w:rPr>
                <w:rFonts w:eastAsia="Calibri"/>
              </w:rPr>
              <w:t>2018</w:t>
            </w:r>
          </w:p>
        </w:tc>
        <w:tc>
          <w:tcPr>
            <w:tcW w:w="0" w:type="auto"/>
            <w:shd w:val="clear" w:color="auto" w:fill="FFFFFF"/>
            <w:tcMar>
              <w:top w:w="0" w:type="dxa"/>
              <w:left w:w="108" w:type="dxa"/>
              <w:bottom w:w="0" w:type="dxa"/>
              <w:right w:w="108" w:type="dxa"/>
            </w:tcMar>
            <w:vAlign w:val="center"/>
          </w:tcPr>
          <w:p w14:paraId="507A327E" w14:textId="77777777" w:rsidR="00422EFE" w:rsidRPr="00261B7A" w:rsidRDefault="00422EFE" w:rsidP="00D41492">
            <w:pPr>
              <w:pStyle w:val="TableText"/>
              <w:spacing w:before="30" w:after="30"/>
              <w:jc w:val="right"/>
            </w:pPr>
            <w:r w:rsidRPr="00261B7A">
              <w:rPr>
                <w:rFonts w:eastAsia="Calibri"/>
                <w:color w:val="000000"/>
              </w:rPr>
              <w:t>490.5</w:t>
            </w:r>
          </w:p>
        </w:tc>
        <w:tc>
          <w:tcPr>
            <w:tcW w:w="0" w:type="auto"/>
            <w:shd w:val="clear" w:color="auto" w:fill="FFFFFF"/>
            <w:tcMar>
              <w:top w:w="0" w:type="dxa"/>
              <w:left w:w="108" w:type="dxa"/>
              <w:bottom w:w="0" w:type="dxa"/>
              <w:right w:w="108" w:type="dxa"/>
            </w:tcMar>
            <w:vAlign w:val="center"/>
          </w:tcPr>
          <w:p w14:paraId="7AEFE8E8" w14:textId="77777777" w:rsidR="00422EFE" w:rsidRPr="00261B7A" w:rsidRDefault="00422EFE" w:rsidP="00D41492">
            <w:pPr>
              <w:pStyle w:val="TableText"/>
              <w:spacing w:before="30" w:after="30"/>
              <w:jc w:val="right"/>
            </w:pPr>
            <w:r w:rsidRPr="00261B7A">
              <w:rPr>
                <w:rFonts w:eastAsia="Calibri"/>
                <w:color w:val="000000"/>
              </w:rPr>
              <w:t>5,092.8</w:t>
            </w:r>
          </w:p>
        </w:tc>
        <w:tc>
          <w:tcPr>
            <w:tcW w:w="0" w:type="auto"/>
            <w:shd w:val="clear" w:color="auto" w:fill="FFFFFF"/>
            <w:tcMar>
              <w:top w:w="0" w:type="dxa"/>
              <w:left w:w="108" w:type="dxa"/>
              <w:bottom w:w="0" w:type="dxa"/>
              <w:right w:w="108" w:type="dxa"/>
            </w:tcMar>
            <w:vAlign w:val="center"/>
          </w:tcPr>
          <w:p w14:paraId="60C70404" w14:textId="77777777" w:rsidR="00422EFE" w:rsidRPr="00261B7A" w:rsidRDefault="00422EFE" w:rsidP="00D41492">
            <w:pPr>
              <w:pStyle w:val="TableText"/>
              <w:spacing w:before="30" w:after="30"/>
              <w:jc w:val="right"/>
            </w:pPr>
            <w:r w:rsidRPr="00261B7A">
              <w:rPr>
                <w:rFonts w:eastAsia="Calibri"/>
                <w:color w:val="000000"/>
              </w:rPr>
              <w:t>5,583.2</w:t>
            </w:r>
          </w:p>
        </w:tc>
      </w:tr>
      <w:tr w:rsidR="00422EFE" w:rsidRPr="00261B7A" w14:paraId="6277B4B6" w14:textId="77777777" w:rsidTr="00D41492">
        <w:tc>
          <w:tcPr>
            <w:tcW w:w="0" w:type="auto"/>
            <w:shd w:val="clear" w:color="auto" w:fill="FFFFFF"/>
            <w:tcMar>
              <w:top w:w="0" w:type="dxa"/>
              <w:left w:w="108" w:type="dxa"/>
              <w:bottom w:w="0" w:type="dxa"/>
              <w:right w:w="108" w:type="dxa"/>
            </w:tcMar>
            <w:vAlign w:val="center"/>
          </w:tcPr>
          <w:p w14:paraId="55C9E854" w14:textId="77777777" w:rsidR="00422EFE" w:rsidRPr="00261B7A" w:rsidRDefault="00422EFE" w:rsidP="00D41492">
            <w:pPr>
              <w:pStyle w:val="TableText"/>
              <w:spacing w:before="30" w:after="30"/>
            </w:pPr>
            <w:r w:rsidRPr="00261B7A">
              <w:rPr>
                <w:rFonts w:eastAsia="Calibri"/>
              </w:rPr>
              <w:t>2019</w:t>
            </w:r>
          </w:p>
        </w:tc>
        <w:tc>
          <w:tcPr>
            <w:tcW w:w="0" w:type="auto"/>
            <w:shd w:val="clear" w:color="auto" w:fill="FFFFFF"/>
            <w:tcMar>
              <w:top w:w="0" w:type="dxa"/>
              <w:left w:w="108" w:type="dxa"/>
              <w:bottom w:w="0" w:type="dxa"/>
              <w:right w:w="108" w:type="dxa"/>
            </w:tcMar>
            <w:vAlign w:val="center"/>
          </w:tcPr>
          <w:p w14:paraId="3DE2C6E4" w14:textId="77777777" w:rsidR="00422EFE" w:rsidRPr="00261B7A" w:rsidRDefault="00422EFE" w:rsidP="00D41492">
            <w:pPr>
              <w:pStyle w:val="TableText"/>
              <w:spacing w:before="30" w:after="30"/>
              <w:jc w:val="right"/>
            </w:pPr>
            <w:r w:rsidRPr="00261B7A">
              <w:rPr>
                <w:rFonts w:eastAsia="Calibri"/>
                <w:color w:val="000000"/>
              </w:rPr>
              <w:t>478.9</w:t>
            </w:r>
          </w:p>
        </w:tc>
        <w:tc>
          <w:tcPr>
            <w:tcW w:w="0" w:type="auto"/>
            <w:shd w:val="clear" w:color="auto" w:fill="FFFFFF"/>
            <w:tcMar>
              <w:top w:w="0" w:type="dxa"/>
              <w:left w:w="108" w:type="dxa"/>
              <w:bottom w:w="0" w:type="dxa"/>
              <w:right w:w="108" w:type="dxa"/>
            </w:tcMar>
            <w:vAlign w:val="center"/>
          </w:tcPr>
          <w:p w14:paraId="3FF4F3A4" w14:textId="77777777" w:rsidR="00422EFE" w:rsidRPr="00261B7A" w:rsidRDefault="00422EFE" w:rsidP="00D41492">
            <w:pPr>
              <w:pStyle w:val="TableText"/>
              <w:spacing w:before="30" w:after="30"/>
              <w:jc w:val="right"/>
            </w:pPr>
            <w:r w:rsidRPr="00261B7A">
              <w:rPr>
                <w:rFonts w:eastAsia="Calibri"/>
                <w:color w:val="000000"/>
              </w:rPr>
              <w:t>5,092.8</w:t>
            </w:r>
          </w:p>
        </w:tc>
        <w:tc>
          <w:tcPr>
            <w:tcW w:w="0" w:type="auto"/>
            <w:shd w:val="clear" w:color="auto" w:fill="FFFFFF"/>
            <w:tcMar>
              <w:top w:w="0" w:type="dxa"/>
              <w:left w:w="108" w:type="dxa"/>
              <w:bottom w:w="0" w:type="dxa"/>
              <w:right w:w="108" w:type="dxa"/>
            </w:tcMar>
            <w:vAlign w:val="center"/>
          </w:tcPr>
          <w:p w14:paraId="3333BA1D" w14:textId="77777777" w:rsidR="00422EFE" w:rsidRPr="00261B7A" w:rsidRDefault="00422EFE" w:rsidP="00D41492">
            <w:pPr>
              <w:pStyle w:val="TableText"/>
              <w:spacing w:before="30" w:after="30"/>
              <w:jc w:val="right"/>
            </w:pPr>
            <w:r w:rsidRPr="00261B7A">
              <w:rPr>
                <w:rFonts w:eastAsia="Calibri"/>
                <w:color w:val="000000"/>
              </w:rPr>
              <w:t>5,571.6</w:t>
            </w:r>
          </w:p>
        </w:tc>
      </w:tr>
      <w:tr w:rsidR="00422EFE" w:rsidRPr="00261B7A" w14:paraId="38398261" w14:textId="77777777" w:rsidTr="00D41492">
        <w:tc>
          <w:tcPr>
            <w:tcW w:w="0" w:type="auto"/>
            <w:shd w:val="clear" w:color="auto" w:fill="FFFFFF"/>
            <w:tcMar>
              <w:top w:w="0" w:type="dxa"/>
              <w:left w:w="108" w:type="dxa"/>
              <w:bottom w:w="0" w:type="dxa"/>
              <w:right w:w="108" w:type="dxa"/>
            </w:tcMar>
            <w:vAlign w:val="center"/>
          </w:tcPr>
          <w:p w14:paraId="255CA394" w14:textId="77777777" w:rsidR="00422EFE" w:rsidRPr="00261B7A" w:rsidRDefault="00422EFE" w:rsidP="00D41492">
            <w:pPr>
              <w:pStyle w:val="TableText"/>
              <w:spacing w:before="30" w:after="30"/>
            </w:pPr>
            <w:r w:rsidRPr="00261B7A">
              <w:rPr>
                <w:rFonts w:eastAsia="Calibri"/>
              </w:rPr>
              <w:t>2020</w:t>
            </w:r>
          </w:p>
        </w:tc>
        <w:tc>
          <w:tcPr>
            <w:tcW w:w="0" w:type="auto"/>
            <w:shd w:val="clear" w:color="auto" w:fill="FFFFFF"/>
            <w:tcMar>
              <w:top w:w="0" w:type="dxa"/>
              <w:left w:w="108" w:type="dxa"/>
              <w:bottom w:w="0" w:type="dxa"/>
              <w:right w:w="108" w:type="dxa"/>
            </w:tcMar>
            <w:vAlign w:val="center"/>
          </w:tcPr>
          <w:p w14:paraId="6DFC2919" w14:textId="77777777" w:rsidR="00422EFE" w:rsidRPr="00261B7A" w:rsidRDefault="00422EFE" w:rsidP="00D41492">
            <w:pPr>
              <w:pStyle w:val="TableText"/>
              <w:spacing w:before="30" w:after="30"/>
              <w:jc w:val="right"/>
            </w:pPr>
            <w:r w:rsidRPr="00261B7A">
              <w:rPr>
                <w:rFonts w:eastAsia="Calibri"/>
                <w:color w:val="000000"/>
              </w:rPr>
              <w:t>476.4</w:t>
            </w:r>
          </w:p>
        </w:tc>
        <w:tc>
          <w:tcPr>
            <w:tcW w:w="0" w:type="auto"/>
            <w:shd w:val="clear" w:color="auto" w:fill="FFFFFF"/>
            <w:tcMar>
              <w:top w:w="0" w:type="dxa"/>
              <w:left w:w="108" w:type="dxa"/>
              <w:bottom w:w="0" w:type="dxa"/>
              <w:right w:w="108" w:type="dxa"/>
            </w:tcMar>
            <w:vAlign w:val="center"/>
          </w:tcPr>
          <w:p w14:paraId="7DC19718" w14:textId="77777777" w:rsidR="00422EFE" w:rsidRPr="00261B7A" w:rsidRDefault="00422EFE" w:rsidP="00D41492">
            <w:pPr>
              <w:pStyle w:val="TableText"/>
              <w:spacing w:before="30" w:after="30"/>
              <w:jc w:val="right"/>
            </w:pPr>
            <w:r w:rsidRPr="00261B7A">
              <w:rPr>
                <w:rFonts w:eastAsia="Calibri"/>
                <w:color w:val="000000"/>
              </w:rPr>
              <w:t>5,092.8</w:t>
            </w:r>
          </w:p>
        </w:tc>
        <w:tc>
          <w:tcPr>
            <w:tcW w:w="0" w:type="auto"/>
            <w:shd w:val="clear" w:color="auto" w:fill="FFFFFF"/>
            <w:tcMar>
              <w:top w:w="0" w:type="dxa"/>
              <w:left w:w="108" w:type="dxa"/>
              <w:bottom w:w="0" w:type="dxa"/>
              <w:right w:w="108" w:type="dxa"/>
            </w:tcMar>
            <w:vAlign w:val="center"/>
          </w:tcPr>
          <w:p w14:paraId="06CE6D08" w14:textId="77777777" w:rsidR="00422EFE" w:rsidRPr="00261B7A" w:rsidRDefault="00422EFE" w:rsidP="00D41492">
            <w:pPr>
              <w:pStyle w:val="TableText"/>
              <w:spacing w:before="30" w:after="30"/>
              <w:jc w:val="right"/>
            </w:pPr>
            <w:r w:rsidRPr="00261B7A">
              <w:rPr>
                <w:rFonts w:eastAsia="Calibri"/>
                <w:color w:val="000000"/>
              </w:rPr>
              <w:t>5,569.2</w:t>
            </w:r>
          </w:p>
        </w:tc>
      </w:tr>
      <w:tr w:rsidR="00422EFE" w:rsidRPr="00261B7A" w14:paraId="6AB94F10" w14:textId="77777777" w:rsidTr="00D41492">
        <w:tc>
          <w:tcPr>
            <w:tcW w:w="0" w:type="auto"/>
            <w:shd w:val="clear" w:color="auto" w:fill="FFFFFF"/>
            <w:tcMar>
              <w:top w:w="0" w:type="dxa"/>
              <w:left w:w="108" w:type="dxa"/>
              <w:bottom w:w="0" w:type="dxa"/>
              <w:right w:w="108" w:type="dxa"/>
            </w:tcMar>
            <w:vAlign w:val="center"/>
          </w:tcPr>
          <w:p w14:paraId="114B9F1B" w14:textId="77777777" w:rsidR="00422EFE" w:rsidRPr="00261B7A" w:rsidRDefault="00422EFE" w:rsidP="00D41492">
            <w:pPr>
              <w:pStyle w:val="TableText"/>
              <w:spacing w:before="30" w:after="30"/>
            </w:pPr>
            <w:r w:rsidRPr="00261B7A">
              <w:rPr>
                <w:rFonts w:eastAsia="Calibri"/>
              </w:rPr>
              <w:t>2021</w:t>
            </w:r>
          </w:p>
        </w:tc>
        <w:tc>
          <w:tcPr>
            <w:tcW w:w="0" w:type="auto"/>
            <w:shd w:val="clear" w:color="auto" w:fill="FFFFFF"/>
            <w:tcMar>
              <w:top w:w="0" w:type="dxa"/>
              <w:left w:w="108" w:type="dxa"/>
              <w:bottom w:w="0" w:type="dxa"/>
              <w:right w:w="108" w:type="dxa"/>
            </w:tcMar>
            <w:vAlign w:val="center"/>
          </w:tcPr>
          <w:p w14:paraId="1D237673" w14:textId="77777777" w:rsidR="00422EFE" w:rsidRPr="00261B7A" w:rsidRDefault="00422EFE" w:rsidP="00D41492">
            <w:pPr>
              <w:pStyle w:val="TableText"/>
              <w:spacing w:before="30" w:after="30"/>
              <w:jc w:val="right"/>
            </w:pPr>
            <w:r w:rsidRPr="00261B7A">
              <w:rPr>
                <w:rFonts w:eastAsia="Calibri"/>
                <w:color w:val="000000"/>
              </w:rPr>
              <w:t>480.8</w:t>
            </w:r>
          </w:p>
        </w:tc>
        <w:tc>
          <w:tcPr>
            <w:tcW w:w="0" w:type="auto"/>
            <w:shd w:val="clear" w:color="auto" w:fill="FFFFFF"/>
            <w:tcMar>
              <w:top w:w="0" w:type="dxa"/>
              <w:left w:w="108" w:type="dxa"/>
              <w:bottom w:w="0" w:type="dxa"/>
              <w:right w:w="108" w:type="dxa"/>
            </w:tcMar>
            <w:vAlign w:val="center"/>
          </w:tcPr>
          <w:p w14:paraId="7483D09F" w14:textId="77777777" w:rsidR="00422EFE" w:rsidRPr="00261B7A" w:rsidRDefault="00422EFE" w:rsidP="00D41492">
            <w:pPr>
              <w:pStyle w:val="TableText"/>
              <w:spacing w:before="30" w:after="30"/>
              <w:jc w:val="right"/>
            </w:pPr>
            <w:r w:rsidRPr="00261B7A">
              <w:rPr>
                <w:rFonts w:eastAsia="Calibri"/>
                <w:color w:val="000000"/>
              </w:rPr>
              <w:t>5,092.8</w:t>
            </w:r>
          </w:p>
        </w:tc>
        <w:tc>
          <w:tcPr>
            <w:tcW w:w="0" w:type="auto"/>
            <w:shd w:val="clear" w:color="auto" w:fill="FFFFFF"/>
            <w:tcMar>
              <w:top w:w="0" w:type="dxa"/>
              <w:left w:w="108" w:type="dxa"/>
              <w:bottom w:w="0" w:type="dxa"/>
              <w:right w:w="108" w:type="dxa"/>
            </w:tcMar>
            <w:vAlign w:val="center"/>
          </w:tcPr>
          <w:p w14:paraId="7FE76276" w14:textId="77777777" w:rsidR="00422EFE" w:rsidRPr="00261B7A" w:rsidRDefault="00422EFE" w:rsidP="00D41492">
            <w:pPr>
              <w:pStyle w:val="TableText"/>
              <w:spacing w:before="30" w:after="30"/>
              <w:jc w:val="right"/>
            </w:pPr>
            <w:r w:rsidRPr="00261B7A">
              <w:rPr>
                <w:rFonts w:eastAsia="Calibri"/>
                <w:color w:val="000000"/>
              </w:rPr>
              <w:t>5,573.6</w:t>
            </w:r>
          </w:p>
        </w:tc>
      </w:tr>
    </w:tbl>
    <w:p w14:paraId="621AFEF0" w14:textId="77777777" w:rsidR="00422EFE" w:rsidRPr="00261B7A" w:rsidRDefault="00422EFE" w:rsidP="006B77FA">
      <w:pPr>
        <w:pStyle w:val="Noteundertable"/>
        <w:spacing w:after="0"/>
      </w:pPr>
      <w:r w:rsidRPr="00261B7A">
        <w:rPr>
          <w:b/>
          <w:bCs/>
        </w:rPr>
        <w:t>Note:</w:t>
      </w:r>
      <w:r w:rsidRPr="00261B7A">
        <w:t xml:space="preserve"> </w:t>
      </w:r>
      <w:r w:rsidRPr="00261B7A">
        <w:tab/>
        <w:t>Columns may not total due to rounding. It is assumed that an equal and additional amount of farm waste that is buried in farm fills is burned (see section 7.4).</w:t>
      </w:r>
    </w:p>
    <w:p w14:paraId="40B32D21" w14:textId="77777777" w:rsidR="00422EFE" w:rsidRPr="00261B7A" w:rsidRDefault="00422EFE" w:rsidP="00422EFE">
      <w:pPr>
        <w:pStyle w:val="Heading4"/>
      </w:pPr>
      <w:bookmarkStart w:id="2463" w:name="choice-of-methods"/>
      <w:bookmarkEnd w:id="2454"/>
      <w:bookmarkEnd w:id="2460"/>
      <w:r w:rsidRPr="00261B7A">
        <w:t>Choice of methods</w:t>
      </w:r>
    </w:p>
    <w:p w14:paraId="34D73311" w14:textId="77777777" w:rsidR="00422EFE" w:rsidRPr="00261B7A" w:rsidRDefault="00422EFE" w:rsidP="006B77FA">
      <w:pPr>
        <w:pStyle w:val="BodyText"/>
        <w:spacing w:before="100" w:after="100"/>
      </w:pPr>
      <w:r w:rsidRPr="00261B7A">
        <w:t>Estimations of CH</w:t>
      </w:r>
      <w:r w:rsidRPr="00261B7A">
        <w:rPr>
          <w:vertAlign w:val="subscript"/>
        </w:rPr>
        <w:t>4</w:t>
      </w:r>
      <w:r w:rsidRPr="00261B7A">
        <w:t xml:space="preserve"> emissions from </w:t>
      </w:r>
      <w:r w:rsidRPr="00261B7A">
        <w:rPr>
          <w:i/>
          <w:iCs/>
        </w:rPr>
        <w:t>Solid waste disposal</w:t>
      </w:r>
      <w:r w:rsidRPr="00261B7A">
        <w:t xml:space="preserve"> to land were calculated using the first order decay (FOD) model. This is the Tier 2 method from the 2006 IPCC Guidelines (IPCC, 2006a).</w:t>
      </w:r>
    </w:p>
    <w:p w14:paraId="3ECED21E" w14:textId="77777777" w:rsidR="00422EFE" w:rsidRPr="00261B7A" w:rsidRDefault="00422EFE" w:rsidP="00422EFE">
      <w:pPr>
        <w:pStyle w:val="Heading5"/>
      </w:pPr>
      <w:bookmarkStart w:id="2464" w:name="municipal-landfills-5.a.1.a"/>
      <w:r w:rsidRPr="00261B7A">
        <w:t>Municipal landfills (5.A.1.a)</w:t>
      </w:r>
    </w:p>
    <w:p w14:paraId="1F5F928E" w14:textId="77777777" w:rsidR="00422EFE" w:rsidRPr="00261B7A" w:rsidRDefault="00422EFE" w:rsidP="006B77FA">
      <w:pPr>
        <w:pStyle w:val="BodyText"/>
        <w:spacing w:before="100" w:after="100"/>
      </w:pPr>
      <w:r w:rsidRPr="00261B7A">
        <w:t>Municipal landfills use a multi-phase FOD model consistent with the IPCC (2006a) model using country-specific parameters.</w:t>
      </w:r>
    </w:p>
    <w:p w14:paraId="30861A45" w14:textId="77777777" w:rsidR="00422EFE" w:rsidRPr="00261B7A" w:rsidRDefault="00422EFE" w:rsidP="006B77FA">
      <w:pPr>
        <w:pStyle w:val="BodyText"/>
        <w:spacing w:before="100" w:after="100"/>
      </w:pPr>
      <w:r w:rsidRPr="00261B7A">
        <w:t>For each of the 27 landfill sites that had LFG recovery at any time, the FOD multi-phase model (IPCC, 2006a) has been applied to develop estimates of CH</w:t>
      </w:r>
      <w:r w:rsidRPr="00261B7A">
        <w:rPr>
          <w:vertAlign w:val="subscript"/>
        </w:rPr>
        <w:t>4</w:t>
      </w:r>
      <w:r w:rsidRPr="00261B7A">
        <w:t xml:space="preserve"> emissions, with site-specific data on waste placement, k‑values dependent on local climate, and an LFG recovery efficiency rate that reflects the landfill’s operational status as either open or closed. The 19 sites that are still operational account for approximately 95 per cent of waste disposed to municipal landfills, as per the data in table 7.2.3.</w:t>
      </w:r>
    </w:p>
    <w:p w14:paraId="23AA83E3" w14:textId="77777777" w:rsidR="00422EFE" w:rsidRPr="00261B7A" w:rsidRDefault="00422EFE" w:rsidP="006B77FA">
      <w:pPr>
        <w:pStyle w:val="BodyText"/>
        <w:spacing w:before="100"/>
      </w:pPr>
      <w:r w:rsidRPr="00261B7A">
        <w:t>Municipal waste outside of these 27 sites is disposed to smaller landfills that have never had gas recovery. In 1990, there were more than 300 of these sites and in 2021 approximately 21 were still in operation. This number includes very small sites serving small and remote communities. The FOD model has also been applied to estimate the total CH</w:t>
      </w:r>
      <w:r w:rsidRPr="00261B7A">
        <w:rPr>
          <w:vertAlign w:val="subscript"/>
        </w:rPr>
        <w:t>4</w:t>
      </w:r>
      <w:r w:rsidRPr="00261B7A">
        <w:t xml:space="preserve"> emissions from these landfills as a whole, using the same approach as the sites with LFG recovery, except that all of these sites are assumed to have a wet climate and zero LFG recovery.</w:t>
      </w:r>
    </w:p>
    <w:p w14:paraId="5F92657E" w14:textId="77777777" w:rsidR="00422EFE" w:rsidRPr="00261B7A" w:rsidRDefault="00422EFE" w:rsidP="00422EFE">
      <w:pPr>
        <w:pStyle w:val="Heading5"/>
      </w:pPr>
      <w:bookmarkStart w:id="2465" w:name="X579238e0c28a6a45a0403081429b8235dd38f71"/>
      <w:bookmarkEnd w:id="2464"/>
      <w:r w:rsidRPr="00261B7A">
        <w:t>Non-municipal landfills and farm fills (5.A.2)</w:t>
      </w:r>
    </w:p>
    <w:p w14:paraId="0E4C7E4D" w14:textId="77777777" w:rsidR="00422EFE" w:rsidRPr="00261B7A" w:rsidRDefault="00422EFE" w:rsidP="00422EFE">
      <w:pPr>
        <w:pStyle w:val="BodyText"/>
      </w:pPr>
      <w:r w:rsidRPr="00261B7A">
        <w:t>Non-municipal landfills include privately owned industrial landfills and a large number of landfill sites (cleanfills and construction and demolition fills) that are consented for largely inert waste. These sites in some cases are allowed to receive up to 5–10 per cent putrescible waste. Limited information is available on these sites and their management practices, with a lack of historical information in particular. The FOD model has been applied to estimate total CH</w:t>
      </w:r>
      <w:r w:rsidRPr="00261B7A">
        <w:rPr>
          <w:vertAlign w:val="subscript"/>
        </w:rPr>
        <w:t>4</w:t>
      </w:r>
      <w:r w:rsidRPr="00261B7A">
        <w:t xml:space="preserve"> emissions from non-municipal landfills.</w:t>
      </w:r>
    </w:p>
    <w:p w14:paraId="2795F630" w14:textId="77777777" w:rsidR="00422EFE" w:rsidRPr="00261B7A" w:rsidRDefault="00422EFE" w:rsidP="00422EFE">
      <w:pPr>
        <w:pStyle w:val="BodyText"/>
      </w:pPr>
      <w:r w:rsidRPr="00261B7A">
        <w:t>For farm fills, the FOD model has been applied to estimate total CH</w:t>
      </w:r>
      <w:r w:rsidRPr="00261B7A">
        <w:rPr>
          <w:vertAlign w:val="subscript"/>
        </w:rPr>
        <w:t>4</w:t>
      </w:r>
      <w:r w:rsidRPr="00261B7A">
        <w:t xml:space="preserve"> emissions from the proportion of total farm waste that is landfilled. Farm waste comprises a mix of household and other wastes. Survey data on waste composition are used to determine weighted average values for degradable organic carbon (DOC) content of waste from dairy farms, livestock farms, arable farms and viticulture farms (GHD, 2013, 2014). Survey data on waste composition from viticulture and arable farms are used to determine a weighted average DOC value for other remaining horticultural farms.</w:t>
      </w:r>
    </w:p>
    <w:p w14:paraId="3F125B57" w14:textId="77777777" w:rsidR="00422EFE" w:rsidRPr="00261B7A" w:rsidRDefault="00422EFE" w:rsidP="00422EFE">
      <w:pPr>
        <w:pStyle w:val="Heading4"/>
      </w:pPr>
      <w:bookmarkStart w:id="2466" w:name="X64e8346dfcafd746400d549bffeca46f4706a17"/>
      <w:bookmarkEnd w:id="2463"/>
      <w:bookmarkEnd w:id="2465"/>
      <w:r w:rsidRPr="00261B7A">
        <w:t>Choice of emission factors and parameters</w:t>
      </w:r>
    </w:p>
    <w:p w14:paraId="3E46F285" w14:textId="77777777" w:rsidR="00422EFE" w:rsidRPr="00261B7A" w:rsidRDefault="00422EFE" w:rsidP="00422EFE">
      <w:pPr>
        <w:pStyle w:val="Heading5"/>
        <w:spacing w:before="180"/>
      </w:pPr>
      <w:bookmarkStart w:id="2467" w:name="municipal-landfills-5.a.1.a-1"/>
      <w:r w:rsidRPr="00261B7A">
        <w:t>Municipal landfills (5.A.1.a)</w:t>
      </w:r>
    </w:p>
    <w:p w14:paraId="42D2B0F5" w14:textId="77777777" w:rsidR="00422EFE" w:rsidRPr="00261B7A" w:rsidRDefault="00422EFE" w:rsidP="00CE2D16">
      <w:pPr>
        <w:pStyle w:val="Heading6"/>
      </w:pPr>
      <w:bookmarkStart w:id="2468" w:name="waste-composition"/>
      <w:r w:rsidRPr="00261B7A">
        <w:t>Waste composition</w:t>
      </w:r>
    </w:p>
    <w:p w14:paraId="27DB7C46" w14:textId="77777777" w:rsidR="00422EFE" w:rsidRPr="00261B7A" w:rsidRDefault="00422EFE" w:rsidP="00422EFE">
      <w:pPr>
        <w:pStyle w:val="BodyText"/>
      </w:pPr>
      <w:r w:rsidRPr="00261B7A">
        <w:t>Many municipal landfills in New Zealand accept commercial and industrial waste as well as municipal waste. New Zealand has insufficient data to determine how much of the waste disposed to municipal landfills comes from industrial sources. Where surveys of composition data have occurred at sites that take industrial waste, this is included as part of the overall composition estimates.</w:t>
      </w:r>
    </w:p>
    <w:p w14:paraId="2A3B5808" w14:textId="77777777" w:rsidR="00422EFE" w:rsidRPr="00261B7A" w:rsidRDefault="00422EFE" w:rsidP="00422EFE">
      <w:pPr>
        <w:pStyle w:val="BodyText"/>
      </w:pPr>
      <w:r w:rsidRPr="00261B7A">
        <w:t>Waste composition has been estimated from national surveys carried out in 1995 and 2004 (Ministry for the Environment, 1997; Waste Not Consulting, unpublished(a)). In addition, estimates have been made for 2008, 2012 and 2018 based on individual landfill surveys (Eunomia, unpublished(a); Waste Not Consulting, unpublished(b), unpublished(c)). The waste surveys have been based on the Solid Waste Analysis Protocol (Ministry for the Environment, 2002b) to ensure consistent methodologies for sampling and analysis. The 2018 Solid Waste Analysis Protocol surveys assessed were conducted by territorial authorities from 18 disposal facilities and transfer stations, which collectively represent 66 per cent of all waste disposed of at municipal landfills in 2018.</w:t>
      </w:r>
    </w:p>
    <w:p w14:paraId="41ACF323" w14:textId="77777777" w:rsidR="00422EFE" w:rsidRPr="00261B7A" w:rsidRDefault="00422EFE" w:rsidP="00422EFE">
      <w:pPr>
        <w:pStyle w:val="BodyText"/>
      </w:pPr>
      <w:r w:rsidRPr="00261B7A">
        <w:t>No usable waste composition data are available for the period before 1995. For the years 1950 to 1994, data from the 1995 survey have been used, with an adjustment to account for the fact that disposable nappies came into use in the 1960s (Eunomia and Waste Not Consulting, unpublished). Linear interpolation was used for years between the survey years, and the years since 2018 are assumed to be the same as 2018. This will be revised when more survey data are collected in the future.</w:t>
      </w:r>
    </w:p>
    <w:p w14:paraId="22F86374" w14:textId="77777777" w:rsidR="00422EFE" w:rsidRPr="00261B7A" w:rsidRDefault="00422EFE" w:rsidP="00422EFE">
      <w:pPr>
        <w:pStyle w:val="BodyText"/>
      </w:pPr>
      <w:r w:rsidRPr="00261B7A">
        <w:t>Table 7.2.5 shows the resulting estimated composition data from 1950 to 2021. These have been used for the waste disposed to all municipal landfills.</w:t>
      </w:r>
    </w:p>
    <w:p w14:paraId="2E0C1589" w14:textId="77777777" w:rsidR="00422EFE" w:rsidRPr="00261B7A" w:rsidRDefault="00422EFE" w:rsidP="00422EFE">
      <w:pPr>
        <w:pStyle w:val="Table"/>
      </w:pPr>
      <w:bookmarkStart w:id="2469" w:name="_Toc128383666"/>
      <w:bookmarkStart w:id="2470" w:name="_Toc131591439"/>
      <w:r w:rsidRPr="00261B7A">
        <w:t xml:space="preserve">Table 7.2.5 </w:t>
      </w:r>
      <w:r w:rsidRPr="00261B7A">
        <w:tab/>
        <w:t>Estimated composition of waste to municipal landfills from 1950 to </w:t>
      </w:r>
      <w:r w:rsidRPr="00261B7A">
        <w:rPr>
          <w:bCs/>
        </w:rPr>
        <w:t>2021</w:t>
      </w:r>
      <w:bookmarkEnd w:id="2469"/>
      <w:bookmarkEnd w:id="2470"/>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795"/>
        <w:gridCol w:w="548"/>
        <w:gridCol w:w="888"/>
        <w:gridCol w:w="785"/>
        <w:gridCol w:w="801"/>
        <w:gridCol w:w="846"/>
        <w:gridCol w:w="756"/>
        <w:gridCol w:w="660"/>
        <w:gridCol w:w="563"/>
        <w:gridCol w:w="1863"/>
      </w:tblGrid>
      <w:tr w:rsidR="00422EFE" w:rsidRPr="00261B7A" w14:paraId="26656D1F" w14:textId="77777777" w:rsidTr="00D41492">
        <w:trPr>
          <w:tblHeader/>
        </w:trPr>
        <w:tc>
          <w:tcPr>
            <w:tcW w:w="821" w:type="dxa"/>
            <w:shd w:val="clear" w:color="auto" w:fill="1B556B"/>
            <w:tcMar>
              <w:top w:w="0" w:type="dxa"/>
              <w:left w:w="108" w:type="dxa"/>
              <w:bottom w:w="0" w:type="dxa"/>
              <w:right w:w="108" w:type="dxa"/>
            </w:tcMar>
            <w:vAlign w:val="bottom"/>
          </w:tcPr>
          <w:p w14:paraId="20A2EBAF"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Year</w:t>
            </w:r>
          </w:p>
        </w:tc>
        <w:tc>
          <w:tcPr>
            <w:tcW w:w="548" w:type="dxa"/>
            <w:shd w:val="clear" w:color="auto" w:fill="1B556B"/>
            <w:tcMar>
              <w:top w:w="0" w:type="dxa"/>
              <w:left w:w="108" w:type="dxa"/>
              <w:bottom w:w="0" w:type="dxa"/>
              <w:right w:w="108" w:type="dxa"/>
            </w:tcMar>
            <w:vAlign w:val="bottom"/>
          </w:tcPr>
          <w:p w14:paraId="253853EB" w14:textId="77777777" w:rsidR="00422EFE" w:rsidRPr="00261B7A" w:rsidRDefault="00422EFE" w:rsidP="00D41492">
            <w:pPr>
              <w:pStyle w:val="TableText"/>
              <w:spacing w:before="40" w:after="40"/>
              <w:jc w:val="right"/>
              <w:rPr>
                <w:b/>
                <w:bCs/>
                <w:color w:val="FFFFFF" w:themeColor="background1"/>
              </w:rPr>
            </w:pPr>
            <w:r w:rsidRPr="00261B7A">
              <w:rPr>
                <w:rFonts w:eastAsia="Calibri"/>
                <w:b/>
                <w:bCs/>
                <w:color w:val="FFFFFF" w:themeColor="background1"/>
              </w:rPr>
              <w:t>Food (%)</w:t>
            </w:r>
          </w:p>
        </w:tc>
        <w:tc>
          <w:tcPr>
            <w:tcW w:w="916" w:type="dxa"/>
            <w:shd w:val="clear" w:color="auto" w:fill="1B556B"/>
            <w:tcMar>
              <w:top w:w="0" w:type="dxa"/>
              <w:left w:w="108" w:type="dxa"/>
              <w:bottom w:w="0" w:type="dxa"/>
              <w:right w:w="108" w:type="dxa"/>
            </w:tcMar>
            <w:vAlign w:val="bottom"/>
          </w:tcPr>
          <w:p w14:paraId="7CF832D0" w14:textId="77777777" w:rsidR="00422EFE" w:rsidRPr="00261B7A" w:rsidRDefault="00422EFE" w:rsidP="00D41492">
            <w:pPr>
              <w:pStyle w:val="TableText"/>
              <w:spacing w:before="40" w:after="40"/>
              <w:jc w:val="right"/>
              <w:rPr>
                <w:b/>
                <w:bCs/>
                <w:color w:val="FFFFFF" w:themeColor="background1"/>
              </w:rPr>
            </w:pPr>
            <w:r w:rsidRPr="00261B7A">
              <w:rPr>
                <w:rFonts w:eastAsia="Calibri"/>
                <w:b/>
                <w:bCs/>
                <w:color w:val="FFFFFF" w:themeColor="background1"/>
              </w:rPr>
              <w:t>Garden (%)</w:t>
            </w:r>
          </w:p>
        </w:tc>
        <w:tc>
          <w:tcPr>
            <w:tcW w:w="813" w:type="dxa"/>
            <w:shd w:val="clear" w:color="auto" w:fill="1B556B"/>
            <w:tcMar>
              <w:top w:w="0" w:type="dxa"/>
              <w:left w:w="108" w:type="dxa"/>
              <w:bottom w:w="0" w:type="dxa"/>
              <w:right w:w="108" w:type="dxa"/>
            </w:tcMar>
            <w:vAlign w:val="bottom"/>
          </w:tcPr>
          <w:p w14:paraId="58C24A99" w14:textId="77777777" w:rsidR="00422EFE" w:rsidRPr="00261B7A" w:rsidRDefault="00422EFE" w:rsidP="00D41492">
            <w:pPr>
              <w:pStyle w:val="TableText"/>
              <w:spacing w:before="40" w:after="40"/>
              <w:jc w:val="right"/>
              <w:rPr>
                <w:b/>
                <w:bCs/>
                <w:color w:val="FFFFFF" w:themeColor="background1"/>
              </w:rPr>
            </w:pPr>
            <w:r w:rsidRPr="00261B7A">
              <w:rPr>
                <w:rFonts w:eastAsia="Calibri"/>
                <w:b/>
                <w:bCs/>
                <w:color w:val="FFFFFF" w:themeColor="background1"/>
              </w:rPr>
              <w:t>Paper (%)</w:t>
            </w:r>
          </w:p>
        </w:tc>
        <w:tc>
          <w:tcPr>
            <w:tcW w:w="829" w:type="dxa"/>
            <w:shd w:val="clear" w:color="auto" w:fill="1B556B"/>
            <w:tcMar>
              <w:top w:w="0" w:type="dxa"/>
              <w:left w:w="108" w:type="dxa"/>
              <w:bottom w:w="0" w:type="dxa"/>
              <w:right w:w="108" w:type="dxa"/>
            </w:tcMar>
            <w:vAlign w:val="bottom"/>
          </w:tcPr>
          <w:p w14:paraId="30B4C54C" w14:textId="77777777" w:rsidR="00422EFE" w:rsidRPr="00261B7A" w:rsidRDefault="00422EFE" w:rsidP="00D41492">
            <w:pPr>
              <w:pStyle w:val="TableText"/>
              <w:spacing w:before="40" w:after="40"/>
              <w:jc w:val="right"/>
              <w:rPr>
                <w:b/>
                <w:bCs/>
                <w:color w:val="FFFFFF" w:themeColor="background1"/>
              </w:rPr>
            </w:pPr>
            <w:r w:rsidRPr="00261B7A">
              <w:rPr>
                <w:rFonts w:eastAsia="Calibri"/>
                <w:b/>
                <w:bCs/>
                <w:color w:val="FFFFFF" w:themeColor="background1"/>
              </w:rPr>
              <w:t>Wood (%)</w:t>
            </w:r>
          </w:p>
        </w:tc>
        <w:tc>
          <w:tcPr>
            <w:tcW w:w="874" w:type="dxa"/>
            <w:shd w:val="clear" w:color="auto" w:fill="1B556B"/>
            <w:tcMar>
              <w:top w:w="0" w:type="dxa"/>
              <w:left w:w="108" w:type="dxa"/>
              <w:bottom w:w="0" w:type="dxa"/>
              <w:right w:w="108" w:type="dxa"/>
            </w:tcMar>
            <w:vAlign w:val="bottom"/>
          </w:tcPr>
          <w:p w14:paraId="2201B5CD" w14:textId="77777777" w:rsidR="00422EFE" w:rsidRPr="00261B7A" w:rsidRDefault="00422EFE" w:rsidP="00D41492">
            <w:pPr>
              <w:pStyle w:val="TableText"/>
              <w:spacing w:before="40" w:after="40"/>
              <w:jc w:val="right"/>
              <w:rPr>
                <w:b/>
                <w:bCs/>
                <w:color w:val="FFFFFF" w:themeColor="background1"/>
              </w:rPr>
            </w:pPr>
            <w:r w:rsidRPr="00261B7A">
              <w:rPr>
                <w:rFonts w:eastAsia="Calibri"/>
                <w:b/>
                <w:bCs/>
                <w:color w:val="FFFFFF" w:themeColor="background1"/>
              </w:rPr>
              <w:t>Textile (%)</w:t>
            </w:r>
          </w:p>
        </w:tc>
        <w:tc>
          <w:tcPr>
            <w:tcW w:w="756" w:type="dxa"/>
            <w:shd w:val="clear" w:color="auto" w:fill="1B556B"/>
            <w:tcMar>
              <w:top w:w="0" w:type="dxa"/>
              <w:left w:w="108" w:type="dxa"/>
              <w:bottom w:w="0" w:type="dxa"/>
              <w:right w:w="108" w:type="dxa"/>
            </w:tcMar>
            <w:vAlign w:val="bottom"/>
          </w:tcPr>
          <w:p w14:paraId="36A82E00" w14:textId="77777777" w:rsidR="00422EFE" w:rsidRPr="00261B7A" w:rsidRDefault="00422EFE" w:rsidP="00D41492">
            <w:pPr>
              <w:pStyle w:val="TableText"/>
              <w:spacing w:before="40" w:after="40"/>
              <w:jc w:val="right"/>
              <w:rPr>
                <w:b/>
                <w:bCs/>
                <w:color w:val="FFFFFF" w:themeColor="background1"/>
              </w:rPr>
            </w:pPr>
            <w:r w:rsidRPr="00261B7A">
              <w:rPr>
                <w:rFonts w:eastAsia="Calibri"/>
                <w:b/>
                <w:bCs/>
                <w:color w:val="FFFFFF" w:themeColor="background1"/>
              </w:rPr>
              <w:t>Nappies (%)</w:t>
            </w:r>
          </w:p>
        </w:tc>
        <w:tc>
          <w:tcPr>
            <w:tcW w:w="660" w:type="dxa"/>
            <w:shd w:val="clear" w:color="auto" w:fill="1B556B"/>
            <w:tcMar>
              <w:top w:w="0" w:type="dxa"/>
              <w:left w:w="108" w:type="dxa"/>
              <w:bottom w:w="0" w:type="dxa"/>
              <w:right w:w="108" w:type="dxa"/>
            </w:tcMar>
            <w:vAlign w:val="bottom"/>
          </w:tcPr>
          <w:p w14:paraId="6CF97623" w14:textId="77777777" w:rsidR="00422EFE" w:rsidRPr="00261B7A" w:rsidRDefault="00422EFE" w:rsidP="00D41492">
            <w:pPr>
              <w:pStyle w:val="TableText"/>
              <w:spacing w:before="40" w:after="40"/>
              <w:jc w:val="right"/>
              <w:rPr>
                <w:b/>
                <w:bCs/>
                <w:color w:val="FFFFFF" w:themeColor="background1"/>
              </w:rPr>
            </w:pPr>
            <w:r w:rsidRPr="00261B7A">
              <w:rPr>
                <w:rFonts w:eastAsia="Calibri"/>
                <w:b/>
                <w:bCs/>
                <w:color w:val="FFFFFF" w:themeColor="background1"/>
              </w:rPr>
              <w:t>Sludge (%)</w:t>
            </w:r>
          </w:p>
        </w:tc>
        <w:tc>
          <w:tcPr>
            <w:tcW w:w="567" w:type="dxa"/>
            <w:shd w:val="clear" w:color="auto" w:fill="1B556B"/>
            <w:tcMar>
              <w:top w:w="0" w:type="dxa"/>
              <w:left w:w="108" w:type="dxa"/>
              <w:bottom w:w="0" w:type="dxa"/>
              <w:right w:w="108" w:type="dxa"/>
            </w:tcMar>
            <w:vAlign w:val="bottom"/>
          </w:tcPr>
          <w:p w14:paraId="39360923" w14:textId="77777777" w:rsidR="00422EFE" w:rsidRPr="00261B7A" w:rsidRDefault="00422EFE" w:rsidP="00D41492">
            <w:pPr>
              <w:pStyle w:val="TableText"/>
              <w:spacing w:before="40" w:after="40"/>
              <w:jc w:val="right"/>
              <w:rPr>
                <w:b/>
                <w:bCs/>
                <w:color w:val="FFFFFF" w:themeColor="background1"/>
              </w:rPr>
            </w:pPr>
            <w:r w:rsidRPr="00261B7A">
              <w:rPr>
                <w:rFonts w:eastAsia="Calibri"/>
                <w:b/>
                <w:bCs/>
                <w:color w:val="FFFFFF" w:themeColor="background1"/>
              </w:rPr>
              <w:t>Inert (%)</w:t>
            </w:r>
          </w:p>
        </w:tc>
        <w:tc>
          <w:tcPr>
            <w:tcW w:w="1985" w:type="dxa"/>
            <w:shd w:val="clear" w:color="auto" w:fill="1B556B"/>
            <w:tcMar>
              <w:top w:w="0" w:type="dxa"/>
              <w:left w:w="108" w:type="dxa"/>
              <w:bottom w:w="0" w:type="dxa"/>
              <w:right w:w="108" w:type="dxa"/>
            </w:tcMar>
            <w:vAlign w:val="bottom"/>
          </w:tcPr>
          <w:p w14:paraId="69095742"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Notes</w:t>
            </w:r>
          </w:p>
        </w:tc>
      </w:tr>
      <w:tr w:rsidR="00422EFE" w:rsidRPr="00261B7A" w14:paraId="1209F18A" w14:textId="77777777" w:rsidTr="00D41492">
        <w:tc>
          <w:tcPr>
            <w:tcW w:w="821" w:type="dxa"/>
            <w:shd w:val="clear" w:color="auto" w:fill="FFFFFF"/>
            <w:tcMar>
              <w:top w:w="0" w:type="dxa"/>
              <w:left w:w="108" w:type="dxa"/>
              <w:bottom w:w="0" w:type="dxa"/>
              <w:right w:w="108" w:type="dxa"/>
            </w:tcMar>
          </w:tcPr>
          <w:p w14:paraId="1C18188E" w14:textId="77777777" w:rsidR="00422EFE" w:rsidRPr="00261B7A" w:rsidRDefault="00422EFE" w:rsidP="00D41492">
            <w:pPr>
              <w:pStyle w:val="TableText"/>
              <w:spacing w:before="40" w:after="40"/>
            </w:pPr>
            <w:r w:rsidRPr="00261B7A">
              <w:rPr>
                <w:rFonts w:eastAsia="Calibri"/>
                <w:color w:val="1B556B"/>
              </w:rPr>
              <w:t>1950–60</w:t>
            </w:r>
          </w:p>
        </w:tc>
        <w:tc>
          <w:tcPr>
            <w:tcW w:w="548" w:type="dxa"/>
            <w:shd w:val="clear" w:color="auto" w:fill="FFFFFF"/>
            <w:tcMar>
              <w:top w:w="0" w:type="dxa"/>
              <w:left w:w="108" w:type="dxa"/>
              <w:bottom w:w="0" w:type="dxa"/>
              <w:right w:w="108" w:type="dxa"/>
            </w:tcMar>
          </w:tcPr>
          <w:p w14:paraId="6372AE57" w14:textId="77777777" w:rsidR="00422EFE" w:rsidRPr="00261B7A" w:rsidRDefault="00422EFE" w:rsidP="00D41492">
            <w:pPr>
              <w:pStyle w:val="TableText"/>
              <w:spacing w:before="40" w:after="40"/>
              <w:jc w:val="right"/>
            </w:pPr>
            <w:r w:rsidRPr="00261B7A">
              <w:rPr>
                <w:rFonts w:eastAsia="Calibri"/>
                <w:color w:val="000000"/>
              </w:rPr>
              <w:t>17.2</w:t>
            </w:r>
          </w:p>
        </w:tc>
        <w:tc>
          <w:tcPr>
            <w:tcW w:w="916" w:type="dxa"/>
            <w:shd w:val="clear" w:color="auto" w:fill="FFFFFF"/>
            <w:tcMar>
              <w:top w:w="0" w:type="dxa"/>
              <w:left w:w="108" w:type="dxa"/>
              <w:bottom w:w="0" w:type="dxa"/>
              <w:right w:w="108" w:type="dxa"/>
            </w:tcMar>
          </w:tcPr>
          <w:p w14:paraId="419726A2" w14:textId="22496058" w:rsidR="00422EFE" w:rsidRPr="00261B7A" w:rsidRDefault="00422EFE" w:rsidP="00D41492">
            <w:pPr>
              <w:pStyle w:val="TableText"/>
              <w:spacing w:before="40" w:after="40"/>
              <w:jc w:val="right"/>
            </w:pPr>
            <w:r w:rsidRPr="00261B7A">
              <w:rPr>
                <w:rFonts w:eastAsia="Calibri"/>
                <w:color w:val="000000"/>
              </w:rPr>
              <w:t>11</w:t>
            </w:r>
            <w:r w:rsidR="00A54E84" w:rsidRPr="00261B7A">
              <w:rPr>
                <w:rFonts w:eastAsia="Calibri"/>
                <w:color w:val="000000"/>
              </w:rPr>
              <w:t>.0</w:t>
            </w:r>
          </w:p>
        </w:tc>
        <w:tc>
          <w:tcPr>
            <w:tcW w:w="813" w:type="dxa"/>
            <w:shd w:val="clear" w:color="auto" w:fill="FFFFFF"/>
            <w:tcMar>
              <w:top w:w="0" w:type="dxa"/>
              <w:left w:w="108" w:type="dxa"/>
              <w:bottom w:w="0" w:type="dxa"/>
              <w:right w:w="108" w:type="dxa"/>
            </w:tcMar>
          </w:tcPr>
          <w:p w14:paraId="5EB1E553" w14:textId="77777777" w:rsidR="00422EFE" w:rsidRPr="00261B7A" w:rsidRDefault="00422EFE" w:rsidP="00D41492">
            <w:pPr>
              <w:pStyle w:val="TableText"/>
              <w:spacing w:before="40" w:after="40"/>
              <w:jc w:val="right"/>
            </w:pPr>
            <w:r w:rsidRPr="00261B7A">
              <w:rPr>
                <w:rFonts w:eastAsia="Calibri"/>
                <w:color w:val="000000"/>
              </w:rPr>
              <w:t>16.3</w:t>
            </w:r>
          </w:p>
        </w:tc>
        <w:tc>
          <w:tcPr>
            <w:tcW w:w="829" w:type="dxa"/>
            <w:shd w:val="clear" w:color="auto" w:fill="FFFFFF"/>
            <w:tcMar>
              <w:top w:w="0" w:type="dxa"/>
              <w:left w:w="108" w:type="dxa"/>
              <w:bottom w:w="0" w:type="dxa"/>
              <w:right w:w="108" w:type="dxa"/>
            </w:tcMar>
          </w:tcPr>
          <w:p w14:paraId="69B77E23" w14:textId="77777777" w:rsidR="00422EFE" w:rsidRPr="00261B7A" w:rsidRDefault="00422EFE" w:rsidP="00D41492">
            <w:pPr>
              <w:pStyle w:val="TableText"/>
              <w:spacing w:before="40" w:after="40"/>
              <w:jc w:val="right"/>
            </w:pPr>
            <w:r w:rsidRPr="00261B7A">
              <w:rPr>
                <w:rFonts w:eastAsia="Calibri"/>
                <w:color w:val="000000"/>
              </w:rPr>
              <w:t>7.1</w:t>
            </w:r>
          </w:p>
        </w:tc>
        <w:tc>
          <w:tcPr>
            <w:tcW w:w="874" w:type="dxa"/>
            <w:shd w:val="clear" w:color="auto" w:fill="FFFFFF"/>
            <w:tcMar>
              <w:top w:w="0" w:type="dxa"/>
              <w:left w:w="108" w:type="dxa"/>
              <w:bottom w:w="0" w:type="dxa"/>
              <w:right w:w="108" w:type="dxa"/>
            </w:tcMar>
          </w:tcPr>
          <w:p w14:paraId="3F6EEE84" w14:textId="77777777" w:rsidR="00422EFE" w:rsidRPr="00261B7A" w:rsidRDefault="00422EFE" w:rsidP="00D41492">
            <w:pPr>
              <w:pStyle w:val="TableText"/>
              <w:spacing w:before="40" w:after="40"/>
              <w:jc w:val="right"/>
            </w:pPr>
            <w:r w:rsidRPr="00261B7A">
              <w:rPr>
                <w:rFonts w:eastAsia="Calibri"/>
                <w:color w:val="000000"/>
              </w:rPr>
              <w:t>0.5</w:t>
            </w:r>
          </w:p>
        </w:tc>
        <w:tc>
          <w:tcPr>
            <w:tcW w:w="756" w:type="dxa"/>
            <w:shd w:val="clear" w:color="auto" w:fill="FFFFFF"/>
            <w:tcMar>
              <w:top w:w="0" w:type="dxa"/>
              <w:left w:w="108" w:type="dxa"/>
              <w:bottom w:w="0" w:type="dxa"/>
              <w:right w:w="108" w:type="dxa"/>
            </w:tcMar>
          </w:tcPr>
          <w:p w14:paraId="1DC103B7" w14:textId="08A79E6A" w:rsidR="00422EFE" w:rsidRPr="00261B7A" w:rsidRDefault="00422EFE" w:rsidP="00D41492">
            <w:pPr>
              <w:pStyle w:val="TableText"/>
              <w:spacing w:before="40" w:after="40"/>
              <w:jc w:val="right"/>
            </w:pPr>
            <w:r w:rsidRPr="00261B7A">
              <w:rPr>
                <w:rFonts w:eastAsia="Calibri"/>
                <w:color w:val="000000"/>
              </w:rPr>
              <w:t>0</w:t>
            </w:r>
            <w:r w:rsidR="00BB5C72" w:rsidRPr="00261B7A">
              <w:rPr>
                <w:rFonts w:eastAsia="Calibri"/>
                <w:color w:val="000000"/>
              </w:rPr>
              <w:t>.0</w:t>
            </w:r>
          </w:p>
        </w:tc>
        <w:tc>
          <w:tcPr>
            <w:tcW w:w="660" w:type="dxa"/>
            <w:shd w:val="clear" w:color="auto" w:fill="FFFFFF"/>
            <w:tcMar>
              <w:top w:w="0" w:type="dxa"/>
              <w:left w:w="108" w:type="dxa"/>
              <w:bottom w:w="0" w:type="dxa"/>
              <w:right w:w="108" w:type="dxa"/>
            </w:tcMar>
          </w:tcPr>
          <w:p w14:paraId="10B83B15"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06BF3F91" w14:textId="78F5FBAF" w:rsidR="00422EFE" w:rsidRPr="00261B7A" w:rsidRDefault="00422EFE" w:rsidP="00D41492">
            <w:pPr>
              <w:pStyle w:val="TableText"/>
              <w:spacing w:before="40" w:after="40"/>
              <w:jc w:val="right"/>
            </w:pPr>
            <w:r w:rsidRPr="00261B7A">
              <w:rPr>
                <w:rFonts w:eastAsia="Calibri"/>
                <w:color w:val="000000"/>
              </w:rPr>
              <w:t>45</w:t>
            </w:r>
            <w:r w:rsidR="00BB5C72" w:rsidRPr="00261B7A">
              <w:rPr>
                <w:rFonts w:eastAsia="Calibri"/>
                <w:color w:val="000000"/>
              </w:rPr>
              <w:t>.0</w:t>
            </w:r>
          </w:p>
        </w:tc>
        <w:tc>
          <w:tcPr>
            <w:tcW w:w="1985" w:type="dxa"/>
            <w:shd w:val="clear" w:color="auto" w:fill="FFFFFF"/>
            <w:tcMar>
              <w:top w:w="0" w:type="dxa"/>
              <w:left w:w="108" w:type="dxa"/>
              <w:bottom w:w="0" w:type="dxa"/>
              <w:right w:w="108" w:type="dxa"/>
            </w:tcMar>
          </w:tcPr>
          <w:p w14:paraId="71F65439" w14:textId="77777777" w:rsidR="00422EFE" w:rsidRPr="00261B7A" w:rsidRDefault="00422EFE" w:rsidP="00D41492">
            <w:pPr>
              <w:pStyle w:val="TableText"/>
              <w:spacing w:before="40" w:after="40"/>
            </w:pPr>
            <w:r w:rsidRPr="00261B7A">
              <w:rPr>
                <w:rFonts w:eastAsia="Calibri"/>
                <w:color w:val="000000"/>
              </w:rPr>
              <w:t>No nappies</w:t>
            </w:r>
          </w:p>
        </w:tc>
      </w:tr>
      <w:tr w:rsidR="00422EFE" w:rsidRPr="00261B7A" w14:paraId="2970CD92" w14:textId="77777777" w:rsidTr="00D41492">
        <w:tc>
          <w:tcPr>
            <w:tcW w:w="821" w:type="dxa"/>
            <w:shd w:val="clear" w:color="auto" w:fill="FFFFFF"/>
            <w:tcMar>
              <w:top w:w="0" w:type="dxa"/>
              <w:left w:w="108" w:type="dxa"/>
              <w:bottom w:w="0" w:type="dxa"/>
              <w:right w:w="108" w:type="dxa"/>
            </w:tcMar>
          </w:tcPr>
          <w:p w14:paraId="22840517" w14:textId="77777777" w:rsidR="00422EFE" w:rsidRPr="00261B7A" w:rsidRDefault="00422EFE" w:rsidP="00D41492">
            <w:pPr>
              <w:pStyle w:val="TableText"/>
              <w:spacing w:before="40" w:after="40"/>
            </w:pPr>
            <w:r w:rsidRPr="00261B7A">
              <w:rPr>
                <w:rFonts w:eastAsia="Calibri"/>
                <w:color w:val="1B556B"/>
              </w:rPr>
              <w:t>1961–69</w:t>
            </w:r>
          </w:p>
        </w:tc>
        <w:tc>
          <w:tcPr>
            <w:tcW w:w="548" w:type="dxa"/>
            <w:shd w:val="clear" w:color="auto" w:fill="FFFFFF"/>
            <w:tcMar>
              <w:top w:w="0" w:type="dxa"/>
              <w:left w:w="108" w:type="dxa"/>
              <w:bottom w:w="0" w:type="dxa"/>
              <w:right w:w="108" w:type="dxa"/>
            </w:tcMar>
          </w:tcPr>
          <w:p w14:paraId="3DC4018C" w14:textId="77777777" w:rsidR="00422EFE" w:rsidRPr="00261B7A" w:rsidRDefault="00422EFE" w:rsidP="00D41492">
            <w:pPr>
              <w:pStyle w:val="TableText"/>
              <w:spacing w:before="40" w:after="40"/>
              <w:jc w:val="right"/>
            </w:pPr>
            <w:r w:rsidRPr="00261B7A">
              <w:rPr>
                <w:rFonts w:eastAsia="Calibri"/>
                <w:color w:val="000000"/>
              </w:rPr>
              <w:t>17.2</w:t>
            </w:r>
          </w:p>
        </w:tc>
        <w:tc>
          <w:tcPr>
            <w:tcW w:w="916" w:type="dxa"/>
            <w:shd w:val="clear" w:color="auto" w:fill="FFFFFF"/>
            <w:tcMar>
              <w:top w:w="0" w:type="dxa"/>
              <w:left w:w="108" w:type="dxa"/>
              <w:bottom w:w="0" w:type="dxa"/>
              <w:right w:w="108" w:type="dxa"/>
            </w:tcMar>
          </w:tcPr>
          <w:p w14:paraId="237C288F" w14:textId="0614F72A" w:rsidR="00422EFE" w:rsidRPr="00261B7A" w:rsidRDefault="00422EFE" w:rsidP="00D41492">
            <w:pPr>
              <w:pStyle w:val="TableText"/>
              <w:spacing w:before="40" w:after="40"/>
              <w:jc w:val="right"/>
            </w:pPr>
            <w:r w:rsidRPr="00261B7A">
              <w:rPr>
                <w:rFonts w:eastAsia="Calibri"/>
                <w:color w:val="000000"/>
              </w:rPr>
              <w:t>11</w:t>
            </w:r>
            <w:r w:rsidR="00A54E84" w:rsidRPr="00261B7A">
              <w:rPr>
                <w:rFonts w:eastAsia="Calibri"/>
                <w:color w:val="000000"/>
              </w:rPr>
              <w:t>.0</w:t>
            </w:r>
          </w:p>
        </w:tc>
        <w:tc>
          <w:tcPr>
            <w:tcW w:w="813" w:type="dxa"/>
            <w:shd w:val="clear" w:color="auto" w:fill="FFFFFF"/>
            <w:tcMar>
              <w:top w:w="0" w:type="dxa"/>
              <w:left w:w="108" w:type="dxa"/>
              <w:bottom w:w="0" w:type="dxa"/>
              <w:right w:w="108" w:type="dxa"/>
            </w:tcMar>
          </w:tcPr>
          <w:p w14:paraId="6D2CC179" w14:textId="77777777" w:rsidR="00422EFE" w:rsidRPr="00261B7A" w:rsidRDefault="00422EFE" w:rsidP="00D41492">
            <w:pPr>
              <w:pStyle w:val="TableText"/>
              <w:spacing w:before="40" w:after="40"/>
              <w:jc w:val="right"/>
            </w:pPr>
            <w:r w:rsidRPr="00261B7A">
              <w:rPr>
                <w:rFonts w:eastAsia="Calibri"/>
                <w:color w:val="000000"/>
              </w:rPr>
              <w:t>16.3</w:t>
            </w:r>
          </w:p>
        </w:tc>
        <w:tc>
          <w:tcPr>
            <w:tcW w:w="829" w:type="dxa"/>
            <w:shd w:val="clear" w:color="auto" w:fill="FFFFFF"/>
            <w:tcMar>
              <w:top w:w="0" w:type="dxa"/>
              <w:left w:w="108" w:type="dxa"/>
              <w:bottom w:w="0" w:type="dxa"/>
              <w:right w:w="108" w:type="dxa"/>
            </w:tcMar>
          </w:tcPr>
          <w:p w14:paraId="690742C1" w14:textId="77777777" w:rsidR="00422EFE" w:rsidRPr="00261B7A" w:rsidRDefault="00422EFE" w:rsidP="00D41492">
            <w:pPr>
              <w:pStyle w:val="TableText"/>
              <w:spacing w:before="40" w:after="40"/>
              <w:jc w:val="right"/>
            </w:pPr>
            <w:r w:rsidRPr="00261B7A">
              <w:rPr>
                <w:rFonts w:eastAsia="Calibri"/>
                <w:color w:val="000000"/>
              </w:rPr>
              <w:t>7.1</w:t>
            </w:r>
          </w:p>
        </w:tc>
        <w:tc>
          <w:tcPr>
            <w:tcW w:w="874" w:type="dxa"/>
            <w:shd w:val="clear" w:color="auto" w:fill="FFFFFF"/>
            <w:tcMar>
              <w:top w:w="0" w:type="dxa"/>
              <w:left w:w="108" w:type="dxa"/>
              <w:bottom w:w="0" w:type="dxa"/>
              <w:right w:w="108" w:type="dxa"/>
            </w:tcMar>
          </w:tcPr>
          <w:p w14:paraId="5698D36F" w14:textId="77777777" w:rsidR="00422EFE" w:rsidRPr="00261B7A" w:rsidRDefault="00422EFE" w:rsidP="00D41492">
            <w:pPr>
              <w:pStyle w:val="TableText"/>
              <w:spacing w:before="40" w:after="40"/>
              <w:jc w:val="right"/>
            </w:pPr>
            <w:r w:rsidRPr="00261B7A">
              <w:rPr>
                <w:rFonts w:eastAsia="Calibri"/>
                <w:color w:val="000000"/>
              </w:rPr>
              <w:t>0.5</w:t>
            </w:r>
          </w:p>
        </w:tc>
        <w:tc>
          <w:tcPr>
            <w:tcW w:w="756" w:type="dxa"/>
            <w:shd w:val="clear" w:color="auto" w:fill="FFFFFF"/>
            <w:tcMar>
              <w:top w:w="0" w:type="dxa"/>
              <w:left w:w="108" w:type="dxa"/>
              <w:bottom w:w="0" w:type="dxa"/>
              <w:right w:w="108" w:type="dxa"/>
            </w:tcMar>
          </w:tcPr>
          <w:p w14:paraId="3FF423B0" w14:textId="20A03C76" w:rsidR="00422EFE" w:rsidRPr="00261B7A" w:rsidRDefault="00422EFE" w:rsidP="00D41492">
            <w:pPr>
              <w:pStyle w:val="TableText"/>
              <w:spacing w:before="40" w:after="40"/>
              <w:jc w:val="right"/>
            </w:pPr>
            <w:r w:rsidRPr="00261B7A">
              <w:rPr>
                <w:rFonts w:eastAsia="Calibri"/>
                <w:color w:val="000000"/>
              </w:rPr>
              <w:t>1</w:t>
            </w:r>
            <w:r w:rsidR="00BB5C72" w:rsidRPr="00261B7A">
              <w:rPr>
                <w:rFonts w:eastAsia="Calibri"/>
                <w:color w:val="000000"/>
              </w:rPr>
              <w:t>.0</w:t>
            </w:r>
          </w:p>
        </w:tc>
        <w:tc>
          <w:tcPr>
            <w:tcW w:w="660" w:type="dxa"/>
            <w:shd w:val="clear" w:color="auto" w:fill="FFFFFF"/>
            <w:tcMar>
              <w:top w:w="0" w:type="dxa"/>
              <w:left w:w="108" w:type="dxa"/>
              <w:bottom w:w="0" w:type="dxa"/>
              <w:right w:w="108" w:type="dxa"/>
            </w:tcMar>
          </w:tcPr>
          <w:p w14:paraId="1409F307"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5CBD1015" w14:textId="23F8248A" w:rsidR="00422EFE" w:rsidRPr="00261B7A" w:rsidRDefault="00422EFE" w:rsidP="00D41492">
            <w:pPr>
              <w:pStyle w:val="TableText"/>
              <w:spacing w:before="40" w:after="40"/>
              <w:jc w:val="right"/>
            </w:pPr>
            <w:r w:rsidRPr="00261B7A">
              <w:rPr>
                <w:rFonts w:eastAsia="Calibri"/>
                <w:color w:val="000000"/>
              </w:rPr>
              <w:t>44</w:t>
            </w:r>
            <w:r w:rsidR="00BB5C72" w:rsidRPr="00261B7A">
              <w:rPr>
                <w:rFonts w:eastAsia="Calibri"/>
                <w:color w:val="000000"/>
              </w:rPr>
              <w:t>.0</w:t>
            </w:r>
          </w:p>
        </w:tc>
        <w:tc>
          <w:tcPr>
            <w:tcW w:w="1985" w:type="dxa"/>
            <w:shd w:val="clear" w:color="auto" w:fill="FFFFFF"/>
            <w:tcMar>
              <w:top w:w="0" w:type="dxa"/>
              <w:left w:w="108" w:type="dxa"/>
              <w:bottom w:w="0" w:type="dxa"/>
              <w:right w:w="108" w:type="dxa"/>
            </w:tcMar>
          </w:tcPr>
          <w:p w14:paraId="5C1EECD7"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1D2296BE" w14:textId="77777777" w:rsidTr="00D41492">
        <w:tc>
          <w:tcPr>
            <w:tcW w:w="821" w:type="dxa"/>
            <w:shd w:val="clear" w:color="auto" w:fill="FFFFFF"/>
            <w:tcMar>
              <w:top w:w="0" w:type="dxa"/>
              <w:left w:w="108" w:type="dxa"/>
              <w:bottom w:w="0" w:type="dxa"/>
              <w:right w:w="108" w:type="dxa"/>
            </w:tcMar>
          </w:tcPr>
          <w:p w14:paraId="678B2F3B" w14:textId="77777777" w:rsidR="00422EFE" w:rsidRPr="00261B7A" w:rsidRDefault="00422EFE" w:rsidP="00D41492">
            <w:pPr>
              <w:pStyle w:val="TableText"/>
              <w:spacing w:before="40" w:after="40"/>
            </w:pPr>
            <w:r w:rsidRPr="00261B7A">
              <w:rPr>
                <w:rFonts w:eastAsia="Calibri"/>
                <w:color w:val="1B556B"/>
              </w:rPr>
              <w:t>1970–79</w:t>
            </w:r>
          </w:p>
        </w:tc>
        <w:tc>
          <w:tcPr>
            <w:tcW w:w="548" w:type="dxa"/>
            <w:shd w:val="clear" w:color="auto" w:fill="FFFFFF"/>
            <w:tcMar>
              <w:top w:w="0" w:type="dxa"/>
              <w:left w:w="108" w:type="dxa"/>
              <w:bottom w:w="0" w:type="dxa"/>
              <w:right w:w="108" w:type="dxa"/>
            </w:tcMar>
          </w:tcPr>
          <w:p w14:paraId="619FD86D" w14:textId="77777777" w:rsidR="00422EFE" w:rsidRPr="00261B7A" w:rsidRDefault="00422EFE" w:rsidP="00D41492">
            <w:pPr>
              <w:pStyle w:val="TableText"/>
              <w:spacing w:before="40" w:after="40"/>
              <w:jc w:val="right"/>
            </w:pPr>
            <w:r w:rsidRPr="00261B7A">
              <w:rPr>
                <w:rFonts w:eastAsia="Calibri"/>
                <w:color w:val="000000"/>
              </w:rPr>
              <w:t>17.2</w:t>
            </w:r>
          </w:p>
        </w:tc>
        <w:tc>
          <w:tcPr>
            <w:tcW w:w="916" w:type="dxa"/>
            <w:shd w:val="clear" w:color="auto" w:fill="FFFFFF"/>
            <w:tcMar>
              <w:top w:w="0" w:type="dxa"/>
              <w:left w:w="108" w:type="dxa"/>
              <w:bottom w:w="0" w:type="dxa"/>
              <w:right w:w="108" w:type="dxa"/>
            </w:tcMar>
          </w:tcPr>
          <w:p w14:paraId="4C3EC050" w14:textId="4A9A49BB" w:rsidR="00422EFE" w:rsidRPr="00261B7A" w:rsidRDefault="00422EFE" w:rsidP="00D41492">
            <w:pPr>
              <w:pStyle w:val="TableText"/>
              <w:spacing w:before="40" w:after="40"/>
              <w:jc w:val="right"/>
            </w:pPr>
            <w:r w:rsidRPr="00261B7A">
              <w:rPr>
                <w:rFonts w:eastAsia="Calibri"/>
                <w:color w:val="000000"/>
              </w:rPr>
              <w:t>11</w:t>
            </w:r>
            <w:r w:rsidR="00A54E84" w:rsidRPr="00261B7A">
              <w:rPr>
                <w:rFonts w:eastAsia="Calibri"/>
                <w:color w:val="000000"/>
              </w:rPr>
              <w:t>.0</w:t>
            </w:r>
          </w:p>
        </w:tc>
        <w:tc>
          <w:tcPr>
            <w:tcW w:w="813" w:type="dxa"/>
            <w:shd w:val="clear" w:color="auto" w:fill="FFFFFF"/>
            <w:tcMar>
              <w:top w:w="0" w:type="dxa"/>
              <w:left w:w="108" w:type="dxa"/>
              <w:bottom w:w="0" w:type="dxa"/>
              <w:right w:w="108" w:type="dxa"/>
            </w:tcMar>
          </w:tcPr>
          <w:p w14:paraId="1E649A6D" w14:textId="77777777" w:rsidR="00422EFE" w:rsidRPr="00261B7A" w:rsidRDefault="00422EFE" w:rsidP="00D41492">
            <w:pPr>
              <w:pStyle w:val="TableText"/>
              <w:spacing w:before="40" w:after="40"/>
              <w:jc w:val="right"/>
            </w:pPr>
            <w:r w:rsidRPr="00261B7A">
              <w:rPr>
                <w:rFonts w:eastAsia="Calibri"/>
                <w:color w:val="000000"/>
              </w:rPr>
              <w:t>16.3</w:t>
            </w:r>
          </w:p>
        </w:tc>
        <w:tc>
          <w:tcPr>
            <w:tcW w:w="829" w:type="dxa"/>
            <w:shd w:val="clear" w:color="auto" w:fill="FFFFFF"/>
            <w:tcMar>
              <w:top w:w="0" w:type="dxa"/>
              <w:left w:w="108" w:type="dxa"/>
              <w:bottom w:w="0" w:type="dxa"/>
              <w:right w:w="108" w:type="dxa"/>
            </w:tcMar>
          </w:tcPr>
          <w:p w14:paraId="14850784" w14:textId="77777777" w:rsidR="00422EFE" w:rsidRPr="00261B7A" w:rsidRDefault="00422EFE" w:rsidP="00D41492">
            <w:pPr>
              <w:pStyle w:val="TableText"/>
              <w:spacing w:before="40" w:after="40"/>
              <w:jc w:val="right"/>
            </w:pPr>
            <w:r w:rsidRPr="00261B7A">
              <w:rPr>
                <w:rFonts w:eastAsia="Calibri"/>
                <w:color w:val="000000"/>
              </w:rPr>
              <w:t>7.1</w:t>
            </w:r>
          </w:p>
        </w:tc>
        <w:tc>
          <w:tcPr>
            <w:tcW w:w="874" w:type="dxa"/>
            <w:shd w:val="clear" w:color="auto" w:fill="FFFFFF"/>
            <w:tcMar>
              <w:top w:w="0" w:type="dxa"/>
              <w:left w:w="108" w:type="dxa"/>
              <w:bottom w:w="0" w:type="dxa"/>
              <w:right w:w="108" w:type="dxa"/>
            </w:tcMar>
          </w:tcPr>
          <w:p w14:paraId="4E7E041B" w14:textId="77777777" w:rsidR="00422EFE" w:rsidRPr="00261B7A" w:rsidRDefault="00422EFE" w:rsidP="00D41492">
            <w:pPr>
              <w:pStyle w:val="TableText"/>
              <w:spacing w:before="40" w:after="40"/>
              <w:jc w:val="right"/>
            </w:pPr>
            <w:r w:rsidRPr="00261B7A">
              <w:rPr>
                <w:rFonts w:eastAsia="Calibri"/>
                <w:color w:val="000000"/>
              </w:rPr>
              <w:t>0.5</w:t>
            </w:r>
          </w:p>
        </w:tc>
        <w:tc>
          <w:tcPr>
            <w:tcW w:w="756" w:type="dxa"/>
            <w:shd w:val="clear" w:color="auto" w:fill="FFFFFF"/>
            <w:tcMar>
              <w:top w:w="0" w:type="dxa"/>
              <w:left w:w="108" w:type="dxa"/>
              <w:bottom w:w="0" w:type="dxa"/>
              <w:right w:w="108" w:type="dxa"/>
            </w:tcMar>
          </w:tcPr>
          <w:p w14:paraId="53705FA4" w14:textId="28E9D3B1" w:rsidR="00422EFE" w:rsidRPr="00261B7A" w:rsidRDefault="00422EFE" w:rsidP="00D41492">
            <w:pPr>
              <w:pStyle w:val="TableText"/>
              <w:spacing w:before="40" w:after="40"/>
              <w:jc w:val="right"/>
            </w:pPr>
            <w:r w:rsidRPr="00261B7A">
              <w:rPr>
                <w:rFonts w:eastAsia="Calibri"/>
                <w:color w:val="000000"/>
              </w:rPr>
              <w:t>2</w:t>
            </w:r>
            <w:r w:rsidR="00BB5C72" w:rsidRPr="00261B7A">
              <w:rPr>
                <w:rFonts w:eastAsia="Calibri"/>
                <w:color w:val="000000"/>
              </w:rPr>
              <w:t>.0</w:t>
            </w:r>
          </w:p>
        </w:tc>
        <w:tc>
          <w:tcPr>
            <w:tcW w:w="660" w:type="dxa"/>
            <w:shd w:val="clear" w:color="auto" w:fill="FFFFFF"/>
            <w:tcMar>
              <w:top w:w="0" w:type="dxa"/>
              <w:left w:w="108" w:type="dxa"/>
              <w:bottom w:w="0" w:type="dxa"/>
              <w:right w:w="108" w:type="dxa"/>
            </w:tcMar>
          </w:tcPr>
          <w:p w14:paraId="1911FCA2"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62159576" w14:textId="3C795523" w:rsidR="00422EFE" w:rsidRPr="00261B7A" w:rsidRDefault="00422EFE" w:rsidP="00D41492">
            <w:pPr>
              <w:pStyle w:val="TableText"/>
              <w:spacing w:before="40" w:after="40"/>
              <w:jc w:val="right"/>
            </w:pPr>
            <w:r w:rsidRPr="00261B7A">
              <w:rPr>
                <w:rFonts w:eastAsia="Calibri"/>
                <w:color w:val="000000"/>
              </w:rPr>
              <w:t>43</w:t>
            </w:r>
            <w:r w:rsidR="00BB5C72" w:rsidRPr="00261B7A">
              <w:rPr>
                <w:rFonts w:eastAsia="Calibri"/>
                <w:color w:val="000000"/>
              </w:rPr>
              <w:t>.0</w:t>
            </w:r>
          </w:p>
        </w:tc>
        <w:tc>
          <w:tcPr>
            <w:tcW w:w="1985" w:type="dxa"/>
            <w:shd w:val="clear" w:color="auto" w:fill="FFFFFF"/>
            <w:tcMar>
              <w:top w:w="0" w:type="dxa"/>
              <w:left w:w="108" w:type="dxa"/>
              <w:bottom w:w="0" w:type="dxa"/>
              <w:right w:w="108" w:type="dxa"/>
            </w:tcMar>
          </w:tcPr>
          <w:p w14:paraId="7113BC10"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63950072" w14:textId="77777777" w:rsidTr="00D41492">
        <w:tc>
          <w:tcPr>
            <w:tcW w:w="821" w:type="dxa"/>
            <w:shd w:val="clear" w:color="auto" w:fill="FFFFFF"/>
            <w:tcMar>
              <w:top w:w="0" w:type="dxa"/>
              <w:left w:w="108" w:type="dxa"/>
              <w:bottom w:w="0" w:type="dxa"/>
              <w:right w:w="108" w:type="dxa"/>
            </w:tcMar>
          </w:tcPr>
          <w:p w14:paraId="52FDC446" w14:textId="77777777" w:rsidR="00422EFE" w:rsidRPr="00261B7A" w:rsidRDefault="00422EFE" w:rsidP="00D41492">
            <w:pPr>
              <w:pStyle w:val="TableText"/>
              <w:spacing w:before="40" w:after="40"/>
            </w:pPr>
            <w:r w:rsidRPr="00261B7A">
              <w:rPr>
                <w:rFonts w:eastAsia="Calibri"/>
                <w:color w:val="1B556B"/>
              </w:rPr>
              <w:t>1980–94</w:t>
            </w:r>
          </w:p>
        </w:tc>
        <w:tc>
          <w:tcPr>
            <w:tcW w:w="548" w:type="dxa"/>
            <w:shd w:val="clear" w:color="auto" w:fill="FFFFFF"/>
            <w:tcMar>
              <w:top w:w="0" w:type="dxa"/>
              <w:left w:w="108" w:type="dxa"/>
              <w:bottom w:w="0" w:type="dxa"/>
              <w:right w:w="108" w:type="dxa"/>
            </w:tcMar>
          </w:tcPr>
          <w:p w14:paraId="6C5F95AE" w14:textId="77777777" w:rsidR="00422EFE" w:rsidRPr="00261B7A" w:rsidRDefault="00422EFE" w:rsidP="00D41492">
            <w:pPr>
              <w:pStyle w:val="TableText"/>
              <w:spacing w:before="40" w:after="40"/>
              <w:jc w:val="right"/>
            </w:pPr>
            <w:r w:rsidRPr="00261B7A">
              <w:rPr>
                <w:rFonts w:eastAsia="Calibri"/>
                <w:color w:val="000000"/>
              </w:rPr>
              <w:t>17.2</w:t>
            </w:r>
          </w:p>
        </w:tc>
        <w:tc>
          <w:tcPr>
            <w:tcW w:w="916" w:type="dxa"/>
            <w:shd w:val="clear" w:color="auto" w:fill="FFFFFF"/>
            <w:tcMar>
              <w:top w:w="0" w:type="dxa"/>
              <w:left w:w="108" w:type="dxa"/>
              <w:bottom w:w="0" w:type="dxa"/>
              <w:right w:w="108" w:type="dxa"/>
            </w:tcMar>
          </w:tcPr>
          <w:p w14:paraId="29FE35C3" w14:textId="7B905853" w:rsidR="00422EFE" w:rsidRPr="00261B7A" w:rsidRDefault="00422EFE" w:rsidP="00D41492">
            <w:pPr>
              <w:pStyle w:val="TableText"/>
              <w:spacing w:before="40" w:after="40"/>
              <w:jc w:val="right"/>
            </w:pPr>
            <w:r w:rsidRPr="00261B7A">
              <w:rPr>
                <w:rFonts w:eastAsia="Calibri"/>
                <w:color w:val="000000"/>
              </w:rPr>
              <w:t>11</w:t>
            </w:r>
            <w:r w:rsidR="00A54E84" w:rsidRPr="00261B7A">
              <w:rPr>
                <w:rFonts w:eastAsia="Calibri"/>
                <w:color w:val="000000"/>
              </w:rPr>
              <w:t>.0</w:t>
            </w:r>
          </w:p>
        </w:tc>
        <w:tc>
          <w:tcPr>
            <w:tcW w:w="813" w:type="dxa"/>
            <w:shd w:val="clear" w:color="auto" w:fill="FFFFFF"/>
            <w:tcMar>
              <w:top w:w="0" w:type="dxa"/>
              <w:left w:w="108" w:type="dxa"/>
              <w:bottom w:w="0" w:type="dxa"/>
              <w:right w:w="108" w:type="dxa"/>
            </w:tcMar>
          </w:tcPr>
          <w:p w14:paraId="186155EE" w14:textId="77777777" w:rsidR="00422EFE" w:rsidRPr="00261B7A" w:rsidRDefault="00422EFE" w:rsidP="00D41492">
            <w:pPr>
              <w:pStyle w:val="TableText"/>
              <w:spacing w:before="40" w:after="40"/>
              <w:jc w:val="right"/>
            </w:pPr>
            <w:r w:rsidRPr="00261B7A">
              <w:rPr>
                <w:rFonts w:eastAsia="Calibri"/>
                <w:color w:val="000000"/>
              </w:rPr>
              <w:t>16.3</w:t>
            </w:r>
          </w:p>
        </w:tc>
        <w:tc>
          <w:tcPr>
            <w:tcW w:w="829" w:type="dxa"/>
            <w:shd w:val="clear" w:color="auto" w:fill="FFFFFF"/>
            <w:tcMar>
              <w:top w:w="0" w:type="dxa"/>
              <w:left w:w="108" w:type="dxa"/>
              <w:bottom w:w="0" w:type="dxa"/>
              <w:right w:w="108" w:type="dxa"/>
            </w:tcMar>
          </w:tcPr>
          <w:p w14:paraId="692A4800" w14:textId="77777777" w:rsidR="00422EFE" w:rsidRPr="00261B7A" w:rsidRDefault="00422EFE" w:rsidP="00D41492">
            <w:pPr>
              <w:pStyle w:val="TableText"/>
              <w:spacing w:before="40" w:after="40"/>
              <w:jc w:val="right"/>
            </w:pPr>
            <w:r w:rsidRPr="00261B7A">
              <w:rPr>
                <w:rFonts w:eastAsia="Calibri"/>
                <w:color w:val="000000"/>
              </w:rPr>
              <w:t>7.1</w:t>
            </w:r>
          </w:p>
        </w:tc>
        <w:tc>
          <w:tcPr>
            <w:tcW w:w="874" w:type="dxa"/>
            <w:shd w:val="clear" w:color="auto" w:fill="FFFFFF"/>
            <w:tcMar>
              <w:top w:w="0" w:type="dxa"/>
              <w:left w:w="108" w:type="dxa"/>
              <w:bottom w:w="0" w:type="dxa"/>
              <w:right w:w="108" w:type="dxa"/>
            </w:tcMar>
          </w:tcPr>
          <w:p w14:paraId="16191F37" w14:textId="77777777" w:rsidR="00422EFE" w:rsidRPr="00261B7A" w:rsidRDefault="00422EFE" w:rsidP="00D41492">
            <w:pPr>
              <w:pStyle w:val="TableText"/>
              <w:spacing w:before="40" w:after="40"/>
              <w:jc w:val="right"/>
            </w:pPr>
            <w:r w:rsidRPr="00261B7A">
              <w:rPr>
                <w:rFonts w:eastAsia="Calibri"/>
                <w:color w:val="000000"/>
              </w:rPr>
              <w:t>0.5</w:t>
            </w:r>
          </w:p>
        </w:tc>
        <w:tc>
          <w:tcPr>
            <w:tcW w:w="756" w:type="dxa"/>
            <w:shd w:val="clear" w:color="auto" w:fill="FFFFFF"/>
            <w:tcMar>
              <w:top w:w="0" w:type="dxa"/>
              <w:left w:w="108" w:type="dxa"/>
              <w:bottom w:w="0" w:type="dxa"/>
              <w:right w:w="108" w:type="dxa"/>
            </w:tcMar>
          </w:tcPr>
          <w:p w14:paraId="5CCF3415" w14:textId="77777777" w:rsidR="00422EFE" w:rsidRPr="00261B7A" w:rsidRDefault="00422EFE" w:rsidP="00D41492">
            <w:pPr>
              <w:pStyle w:val="TableText"/>
              <w:spacing w:before="40" w:after="40"/>
              <w:jc w:val="right"/>
            </w:pPr>
            <w:r w:rsidRPr="00261B7A">
              <w:rPr>
                <w:rFonts w:eastAsia="Calibri"/>
                <w:color w:val="000000"/>
              </w:rPr>
              <w:t>2.7</w:t>
            </w:r>
          </w:p>
        </w:tc>
        <w:tc>
          <w:tcPr>
            <w:tcW w:w="660" w:type="dxa"/>
            <w:shd w:val="clear" w:color="auto" w:fill="FFFFFF"/>
            <w:tcMar>
              <w:top w:w="0" w:type="dxa"/>
              <w:left w:w="108" w:type="dxa"/>
              <w:bottom w:w="0" w:type="dxa"/>
              <w:right w:w="108" w:type="dxa"/>
            </w:tcMar>
          </w:tcPr>
          <w:p w14:paraId="140DDED3"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732A0C48" w14:textId="77777777" w:rsidR="00422EFE" w:rsidRPr="00261B7A" w:rsidRDefault="00422EFE" w:rsidP="00D41492">
            <w:pPr>
              <w:pStyle w:val="TableText"/>
              <w:spacing w:before="40" w:after="40"/>
              <w:jc w:val="right"/>
            </w:pPr>
            <w:r w:rsidRPr="00261B7A">
              <w:rPr>
                <w:rFonts w:eastAsia="Calibri"/>
                <w:color w:val="000000"/>
              </w:rPr>
              <w:t>42.3</w:t>
            </w:r>
          </w:p>
        </w:tc>
        <w:tc>
          <w:tcPr>
            <w:tcW w:w="1985" w:type="dxa"/>
            <w:shd w:val="clear" w:color="auto" w:fill="FFFFFF"/>
            <w:tcMar>
              <w:top w:w="0" w:type="dxa"/>
              <w:left w:w="108" w:type="dxa"/>
              <w:bottom w:w="0" w:type="dxa"/>
              <w:right w:w="108" w:type="dxa"/>
            </w:tcMar>
          </w:tcPr>
          <w:p w14:paraId="2F2618DF" w14:textId="77777777" w:rsidR="00422EFE" w:rsidRPr="00261B7A" w:rsidRDefault="00422EFE" w:rsidP="00D41492">
            <w:pPr>
              <w:pStyle w:val="TableText"/>
              <w:spacing w:before="40" w:after="40"/>
            </w:pPr>
            <w:r w:rsidRPr="00261B7A">
              <w:rPr>
                <w:rFonts w:eastAsia="Calibri"/>
                <w:color w:val="000000"/>
              </w:rPr>
              <w:t>As for 1995</w:t>
            </w:r>
          </w:p>
        </w:tc>
      </w:tr>
      <w:tr w:rsidR="00422EFE" w:rsidRPr="00261B7A" w14:paraId="332DEC3E" w14:textId="77777777" w:rsidTr="00D41492">
        <w:tc>
          <w:tcPr>
            <w:tcW w:w="821" w:type="dxa"/>
            <w:shd w:val="clear" w:color="auto" w:fill="FFFFFF"/>
            <w:tcMar>
              <w:top w:w="0" w:type="dxa"/>
              <w:left w:w="108" w:type="dxa"/>
              <w:bottom w:w="0" w:type="dxa"/>
              <w:right w:w="108" w:type="dxa"/>
            </w:tcMar>
          </w:tcPr>
          <w:p w14:paraId="663F02A8" w14:textId="77777777" w:rsidR="00422EFE" w:rsidRPr="00261B7A" w:rsidRDefault="00422EFE" w:rsidP="00D41492">
            <w:pPr>
              <w:pStyle w:val="TableText"/>
              <w:spacing w:before="40" w:after="40"/>
            </w:pPr>
            <w:r w:rsidRPr="00261B7A">
              <w:rPr>
                <w:rFonts w:eastAsia="Calibri"/>
                <w:color w:val="1B556B"/>
              </w:rPr>
              <w:t>1995</w:t>
            </w:r>
          </w:p>
        </w:tc>
        <w:tc>
          <w:tcPr>
            <w:tcW w:w="548" w:type="dxa"/>
            <w:shd w:val="clear" w:color="auto" w:fill="FFFFFF"/>
            <w:tcMar>
              <w:top w:w="0" w:type="dxa"/>
              <w:left w:w="108" w:type="dxa"/>
              <w:bottom w:w="0" w:type="dxa"/>
              <w:right w:w="108" w:type="dxa"/>
            </w:tcMar>
          </w:tcPr>
          <w:p w14:paraId="1A55E0CB" w14:textId="77777777" w:rsidR="00422EFE" w:rsidRPr="00261B7A" w:rsidRDefault="00422EFE" w:rsidP="00D41492">
            <w:pPr>
              <w:pStyle w:val="TableText"/>
              <w:spacing w:before="40" w:after="40"/>
              <w:jc w:val="right"/>
            </w:pPr>
            <w:r w:rsidRPr="00261B7A">
              <w:rPr>
                <w:rFonts w:eastAsia="Calibri"/>
                <w:color w:val="000000"/>
              </w:rPr>
              <w:t>17.2</w:t>
            </w:r>
          </w:p>
        </w:tc>
        <w:tc>
          <w:tcPr>
            <w:tcW w:w="916" w:type="dxa"/>
            <w:shd w:val="clear" w:color="auto" w:fill="FFFFFF"/>
            <w:tcMar>
              <w:top w:w="0" w:type="dxa"/>
              <w:left w:w="108" w:type="dxa"/>
              <w:bottom w:w="0" w:type="dxa"/>
              <w:right w:w="108" w:type="dxa"/>
            </w:tcMar>
          </w:tcPr>
          <w:p w14:paraId="6B9D8597" w14:textId="74D298FF" w:rsidR="00422EFE" w:rsidRPr="00261B7A" w:rsidRDefault="00422EFE" w:rsidP="00D41492">
            <w:pPr>
              <w:pStyle w:val="TableText"/>
              <w:spacing w:before="40" w:after="40"/>
              <w:jc w:val="right"/>
            </w:pPr>
            <w:r w:rsidRPr="00261B7A">
              <w:rPr>
                <w:rFonts w:eastAsia="Calibri"/>
                <w:color w:val="000000"/>
              </w:rPr>
              <w:t>11</w:t>
            </w:r>
            <w:r w:rsidR="00A54E84" w:rsidRPr="00261B7A">
              <w:rPr>
                <w:rFonts w:eastAsia="Calibri"/>
                <w:color w:val="000000"/>
              </w:rPr>
              <w:t>.0</w:t>
            </w:r>
          </w:p>
        </w:tc>
        <w:tc>
          <w:tcPr>
            <w:tcW w:w="813" w:type="dxa"/>
            <w:shd w:val="clear" w:color="auto" w:fill="FFFFFF"/>
            <w:tcMar>
              <w:top w:w="0" w:type="dxa"/>
              <w:left w:w="108" w:type="dxa"/>
              <w:bottom w:w="0" w:type="dxa"/>
              <w:right w:w="108" w:type="dxa"/>
            </w:tcMar>
          </w:tcPr>
          <w:p w14:paraId="151AD464" w14:textId="77777777" w:rsidR="00422EFE" w:rsidRPr="00261B7A" w:rsidRDefault="00422EFE" w:rsidP="00D41492">
            <w:pPr>
              <w:pStyle w:val="TableText"/>
              <w:spacing w:before="40" w:after="40"/>
              <w:jc w:val="right"/>
            </w:pPr>
            <w:r w:rsidRPr="00261B7A">
              <w:rPr>
                <w:rFonts w:eastAsia="Calibri"/>
                <w:color w:val="000000"/>
              </w:rPr>
              <w:t>16.3</w:t>
            </w:r>
          </w:p>
        </w:tc>
        <w:tc>
          <w:tcPr>
            <w:tcW w:w="829" w:type="dxa"/>
            <w:shd w:val="clear" w:color="auto" w:fill="FFFFFF"/>
            <w:tcMar>
              <w:top w:w="0" w:type="dxa"/>
              <w:left w:w="108" w:type="dxa"/>
              <w:bottom w:w="0" w:type="dxa"/>
              <w:right w:w="108" w:type="dxa"/>
            </w:tcMar>
          </w:tcPr>
          <w:p w14:paraId="4152AE69" w14:textId="77777777" w:rsidR="00422EFE" w:rsidRPr="00261B7A" w:rsidRDefault="00422EFE" w:rsidP="00D41492">
            <w:pPr>
              <w:pStyle w:val="TableText"/>
              <w:spacing w:before="40" w:after="40"/>
              <w:jc w:val="right"/>
            </w:pPr>
            <w:r w:rsidRPr="00261B7A">
              <w:rPr>
                <w:rFonts w:eastAsia="Calibri"/>
                <w:color w:val="000000"/>
              </w:rPr>
              <w:t>7.1</w:t>
            </w:r>
          </w:p>
        </w:tc>
        <w:tc>
          <w:tcPr>
            <w:tcW w:w="874" w:type="dxa"/>
            <w:shd w:val="clear" w:color="auto" w:fill="FFFFFF"/>
            <w:tcMar>
              <w:top w:w="0" w:type="dxa"/>
              <w:left w:w="108" w:type="dxa"/>
              <w:bottom w:w="0" w:type="dxa"/>
              <w:right w:w="108" w:type="dxa"/>
            </w:tcMar>
          </w:tcPr>
          <w:p w14:paraId="1BF9C0D2" w14:textId="77777777" w:rsidR="00422EFE" w:rsidRPr="00261B7A" w:rsidRDefault="00422EFE" w:rsidP="00D41492">
            <w:pPr>
              <w:pStyle w:val="TableText"/>
              <w:spacing w:before="40" w:after="40"/>
              <w:jc w:val="right"/>
            </w:pPr>
            <w:r w:rsidRPr="00261B7A">
              <w:rPr>
                <w:rFonts w:eastAsia="Calibri"/>
                <w:color w:val="000000"/>
              </w:rPr>
              <w:t>0.5</w:t>
            </w:r>
          </w:p>
        </w:tc>
        <w:tc>
          <w:tcPr>
            <w:tcW w:w="756" w:type="dxa"/>
            <w:shd w:val="clear" w:color="auto" w:fill="FFFFFF"/>
            <w:tcMar>
              <w:top w:w="0" w:type="dxa"/>
              <w:left w:w="108" w:type="dxa"/>
              <w:bottom w:w="0" w:type="dxa"/>
              <w:right w:w="108" w:type="dxa"/>
            </w:tcMar>
          </w:tcPr>
          <w:p w14:paraId="5767077D" w14:textId="77777777" w:rsidR="00422EFE" w:rsidRPr="00261B7A" w:rsidRDefault="00422EFE" w:rsidP="00D41492">
            <w:pPr>
              <w:pStyle w:val="TableText"/>
              <w:spacing w:before="40" w:after="40"/>
              <w:jc w:val="right"/>
            </w:pPr>
            <w:r w:rsidRPr="00261B7A">
              <w:rPr>
                <w:rFonts w:eastAsia="Calibri"/>
                <w:color w:val="000000"/>
              </w:rPr>
              <w:t>2.7</w:t>
            </w:r>
          </w:p>
        </w:tc>
        <w:tc>
          <w:tcPr>
            <w:tcW w:w="660" w:type="dxa"/>
            <w:shd w:val="clear" w:color="auto" w:fill="FFFFFF"/>
            <w:tcMar>
              <w:top w:w="0" w:type="dxa"/>
              <w:left w:w="108" w:type="dxa"/>
              <w:bottom w:w="0" w:type="dxa"/>
              <w:right w:w="108" w:type="dxa"/>
            </w:tcMar>
          </w:tcPr>
          <w:p w14:paraId="26972007"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0EB46950" w14:textId="77777777" w:rsidR="00422EFE" w:rsidRPr="00261B7A" w:rsidRDefault="00422EFE" w:rsidP="00D41492">
            <w:pPr>
              <w:pStyle w:val="TableText"/>
              <w:spacing w:before="40" w:after="40"/>
              <w:jc w:val="right"/>
            </w:pPr>
            <w:r w:rsidRPr="00261B7A">
              <w:rPr>
                <w:rFonts w:eastAsia="Calibri"/>
                <w:color w:val="000000"/>
              </w:rPr>
              <w:t>42.3</w:t>
            </w:r>
          </w:p>
        </w:tc>
        <w:tc>
          <w:tcPr>
            <w:tcW w:w="1985" w:type="dxa"/>
            <w:shd w:val="clear" w:color="auto" w:fill="FFFFFF"/>
            <w:tcMar>
              <w:top w:w="0" w:type="dxa"/>
              <w:left w:w="108" w:type="dxa"/>
              <w:bottom w:w="0" w:type="dxa"/>
              <w:right w:w="108" w:type="dxa"/>
            </w:tcMar>
          </w:tcPr>
          <w:p w14:paraId="3A38E174" w14:textId="77777777" w:rsidR="00422EFE" w:rsidRPr="00261B7A" w:rsidRDefault="00422EFE" w:rsidP="00D41492">
            <w:pPr>
              <w:pStyle w:val="TableText"/>
              <w:spacing w:before="40" w:after="40"/>
            </w:pPr>
            <w:r w:rsidRPr="00261B7A">
              <w:rPr>
                <w:rFonts w:eastAsia="Calibri"/>
                <w:color w:val="000000"/>
              </w:rPr>
              <w:t>National survey</w:t>
            </w:r>
          </w:p>
        </w:tc>
      </w:tr>
      <w:tr w:rsidR="00422EFE" w:rsidRPr="00261B7A" w14:paraId="646E40C4" w14:textId="77777777" w:rsidTr="00D41492">
        <w:tc>
          <w:tcPr>
            <w:tcW w:w="821" w:type="dxa"/>
            <w:shd w:val="clear" w:color="auto" w:fill="FFFFFF"/>
            <w:tcMar>
              <w:top w:w="0" w:type="dxa"/>
              <w:left w:w="108" w:type="dxa"/>
              <w:bottom w:w="0" w:type="dxa"/>
              <w:right w:w="108" w:type="dxa"/>
            </w:tcMar>
          </w:tcPr>
          <w:p w14:paraId="03CCDCD8" w14:textId="77777777" w:rsidR="00422EFE" w:rsidRPr="00261B7A" w:rsidRDefault="00422EFE" w:rsidP="00D41492">
            <w:pPr>
              <w:pStyle w:val="TableText"/>
              <w:spacing w:before="40" w:after="40"/>
            </w:pPr>
            <w:r w:rsidRPr="00261B7A">
              <w:rPr>
                <w:rFonts w:eastAsia="Calibri"/>
                <w:color w:val="1B556B"/>
              </w:rPr>
              <w:t>1996</w:t>
            </w:r>
          </w:p>
        </w:tc>
        <w:tc>
          <w:tcPr>
            <w:tcW w:w="548" w:type="dxa"/>
            <w:shd w:val="clear" w:color="auto" w:fill="FFFFFF"/>
            <w:tcMar>
              <w:top w:w="0" w:type="dxa"/>
              <w:left w:w="108" w:type="dxa"/>
              <w:bottom w:w="0" w:type="dxa"/>
              <w:right w:w="108" w:type="dxa"/>
            </w:tcMar>
          </w:tcPr>
          <w:p w14:paraId="65410789" w14:textId="77777777" w:rsidR="00422EFE" w:rsidRPr="00261B7A" w:rsidRDefault="00422EFE" w:rsidP="00D41492">
            <w:pPr>
              <w:pStyle w:val="TableText"/>
              <w:spacing w:before="40" w:after="40"/>
              <w:jc w:val="right"/>
            </w:pPr>
            <w:r w:rsidRPr="00261B7A">
              <w:rPr>
                <w:rFonts w:eastAsia="Calibri"/>
                <w:color w:val="000000"/>
              </w:rPr>
              <w:t>16.9</w:t>
            </w:r>
          </w:p>
        </w:tc>
        <w:tc>
          <w:tcPr>
            <w:tcW w:w="916" w:type="dxa"/>
            <w:shd w:val="clear" w:color="auto" w:fill="FFFFFF"/>
            <w:tcMar>
              <w:top w:w="0" w:type="dxa"/>
              <w:left w:w="108" w:type="dxa"/>
              <w:bottom w:w="0" w:type="dxa"/>
              <w:right w:w="108" w:type="dxa"/>
            </w:tcMar>
          </w:tcPr>
          <w:p w14:paraId="0ACAEE09" w14:textId="77777777" w:rsidR="00422EFE" w:rsidRPr="00261B7A" w:rsidRDefault="00422EFE" w:rsidP="00D41492">
            <w:pPr>
              <w:pStyle w:val="TableText"/>
              <w:spacing w:before="40" w:after="40"/>
              <w:jc w:val="right"/>
            </w:pPr>
            <w:r w:rsidRPr="00261B7A">
              <w:rPr>
                <w:rFonts w:eastAsia="Calibri"/>
                <w:color w:val="000000"/>
              </w:rPr>
              <w:t>10.8</w:t>
            </w:r>
          </w:p>
        </w:tc>
        <w:tc>
          <w:tcPr>
            <w:tcW w:w="813" w:type="dxa"/>
            <w:shd w:val="clear" w:color="auto" w:fill="FFFFFF"/>
            <w:tcMar>
              <w:top w:w="0" w:type="dxa"/>
              <w:left w:w="108" w:type="dxa"/>
              <w:bottom w:w="0" w:type="dxa"/>
              <w:right w:w="108" w:type="dxa"/>
            </w:tcMar>
          </w:tcPr>
          <w:p w14:paraId="261A8BE3" w14:textId="77777777" w:rsidR="00422EFE" w:rsidRPr="00261B7A" w:rsidRDefault="00422EFE" w:rsidP="00D41492">
            <w:pPr>
              <w:pStyle w:val="TableText"/>
              <w:spacing w:before="40" w:after="40"/>
              <w:jc w:val="right"/>
            </w:pPr>
            <w:r w:rsidRPr="00261B7A">
              <w:rPr>
                <w:rFonts w:eastAsia="Calibri"/>
                <w:color w:val="000000"/>
              </w:rPr>
              <w:t>16.1</w:t>
            </w:r>
          </w:p>
        </w:tc>
        <w:tc>
          <w:tcPr>
            <w:tcW w:w="829" w:type="dxa"/>
            <w:shd w:val="clear" w:color="auto" w:fill="FFFFFF"/>
            <w:tcMar>
              <w:top w:w="0" w:type="dxa"/>
              <w:left w:w="108" w:type="dxa"/>
              <w:bottom w:w="0" w:type="dxa"/>
              <w:right w:w="108" w:type="dxa"/>
            </w:tcMar>
          </w:tcPr>
          <w:p w14:paraId="63755B47" w14:textId="77777777" w:rsidR="00422EFE" w:rsidRPr="00261B7A" w:rsidRDefault="00422EFE" w:rsidP="00D41492">
            <w:pPr>
              <w:pStyle w:val="TableText"/>
              <w:spacing w:before="40" w:after="40"/>
              <w:jc w:val="right"/>
            </w:pPr>
            <w:r w:rsidRPr="00261B7A">
              <w:rPr>
                <w:rFonts w:eastAsia="Calibri"/>
                <w:color w:val="000000"/>
              </w:rPr>
              <w:t>7.9</w:t>
            </w:r>
          </w:p>
        </w:tc>
        <w:tc>
          <w:tcPr>
            <w:tcW w:w="874" w:type="dxa"/>
            <w:shd w:val="clear" w:color="auto" w:fill="FFFFFF"/>
            <w:tcMar>
              <w:top w:w="0" w:type="dxa"/>
              <w:left w:w="108" w:type="dxa"/>
              <w:bottom w:w="0" w:type="dxa"/>
              <w:right w:w="108" w:type="dxa"/>
            </w:tcMar>
          </w:tcPr>
          <w:p w14:paraId="283BAE80" w14:textId="77777777" w:rsidR="00422EFE" w:rsidRPr="00261B7A" w:rsidRDefault="00422EFE" w:rsidP="00D41492">
            <w:pPr>
              <w:pStyle w:val="TableText"/>
              <w:spacing w:before="40" w:after="40"/>
              <w:jc w:val="right"/>
            </w:pPr>
            <w:r w:rsidRPr="00261B7A">
              <w:rPr>
                <w:rFonts w:eastAsia="Calibri"/>
                <w:color w:val="000000"/>
              </w:rPr>
              <w:t>0.9</w:t>
            </w:r>
          </w:p>
        </w:tc>
        <w:tc>
          <w:tcPr>
            <w:tcW w:w="756" w:type="dxa"/>
            <w:shd w:val="clear" w:color="auto" w:fill="FFFFFF"/>
            <w:tcMar>
              <w:top w:w="0" w:type="dxa"/>
              <w:left w:w="108" w:type="dxa"/>
              <w:bottom w:w="0" w:type="dxa"/>
              <w:right w:w="108" w:type="dxa"/>
            </w:tcMar>
          </w:tcPr>
          <w:p w14:paraId="14A23A12" w14:textId="77777777" w:rsidR="00422EFE" w:rsidRPr="00261B7A" w:rsidRDefault="00422EFE" w:rsidP="00D41492">
            <w:pPr>
              <w:pStyle w:val="TableText"/>
              <w:spacing w:before="40" w:after="40"/>
              <w:jc w:val="right"/>
            </w:pPr>
            <w:r w:rsidRPr="00261B7A">
              <w:rPr>
                <w:rFonts w:eastAsia="Calibri"/>
                <w:color w:val="000000"/>
              </w:rPr>
              <w:t>2.7</w:t>
            </w:r>
          </w:p>
        </w:tc>
        <w:tc>
          <w:tcPr>
            <w:tcW w:w="660" w:type="dxa"/>
            <w:shd w:val="clear" w:color="auto" w:fill="FFFFFF"/>
            <w:tcMar>
              <w:top w:w="0" w:type="dxa"/>
              <w:left w:w="108" w:type="dxa"/>
              <w:bottom w:w="0" w:type="dxa"/>
              <w:right w:w="108" w:type="dxa"/>
            </w:tcMar>
          </w:tcPr>
          <w:p w14:paraId="2E9A88A6"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79792669" w14:textId="77777777" w:rsidR="00422EFE" w:rsidRPr="00261B7A" w:rsidRDefault="00422EFE" w:rsidP="00D41492">
            <w:pPr>
              <w:pStyle w:val="TableText"/>
              <w:spacing w:before="40" w:after="40"/>
              <w:jc w:val="right"/>
            </w:pPr>
            <w:r w:rsidRPr="00261B7A">
              <w:rPr>
                <w:rFonts w:eastAsia="Calibri"/>
                <w:color w:val="000000"/>
              </w:rPr>
              <w:t>41.9</w:t>
            </w:r>
          </w:p>
        </w:tc>
        <w:tc>
          <w:tcPr>
            <w:tcW w:w="1985" w:type="dxa"/>
            <w:shd w:val="clear" w:color="auto" w:fill="FFFFFF"/>
            <w:tcMar>
              <w:top w:w="0" w:type="dxa"/>
              <w:left w:w="108" w:type="dxa"/>
              <w:bottom w:w="0" w:type="dxa"/>
              <w:right w:w="108" w:type="dxa"/>
            </w:tcMar>
          </w:tcPr>
          <w:p w14:paraId="37C38FBE"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5D6BAF63" w14:textId="77777777" w:rsidTr="00D41492">
        <w:tc>
          <w:tcPr>
            <w:tcW w:w="821" w:type="dxa"/>
            <w:shd w:val="clear" w:color="auto" w:fill="FFFFFF"/>
            <w:tcMar>
              <w:top w:w="0" w:type="dxa"/>
              <w:left w:w="108" w:type="dxa"/>
              <w:bottom w:w="0" w:type="dxa"/>
              <w:right w:w="108" w:type="dxa"/>
            </w:tcMar>
          </w:tcPr>
          <w:p w14:paraId="74B789C0" w14:textId="77777777" w:rsidR="00422EFE" w:rsidRPr="00261B7A" w:rsidRDefault="00422EFE" w:rsidP="00D41492">
            <w:pPr>
              <w:pStyle w:val="TableText"/>
              <w:spacing w:before="40" w:after="40"/>
            </w:pPr>
            <w:r w:rsidRPr="00261B7A">
              <w:rPr>
                <w:rFonts w:eastAsia="Calibri"/>
                <w:color w:val="1B556B"/>
              </w:rPr>
              <w:t>1997</w:t>
            </w:r>
          </w:p>
        </w:tc>
        <w:tc>
          <w:tcPr>
            <w:tcW w:w="548" w:type="dxa"/>
            <w:shd w:val="clear" w:color="auto" w:fill="FFFFFF"/>
            <w:tcMar>
              <w:top w:w="0" w:type="dxa"/>
              <w:left w:w="108" w:type="dxa"/>
              <w:bottom w:w="0" w:type="dxa"/>
              <w:right w:w="108" w:type="dxa"/>
            </w:tcMar>
          </w:tcPr>
          <w:p w14:paraId="402C6FD4" w14:textId="77777777" w:rsidR="00422EFE" w:rsidRPr="00261B7A" w:rsidRDefault="00422EFE" w:rsidP="00D41492">
            <w:pPr>
              <w:pStyle w:val="TableText"/>
              <w:spacing w:before="40" w:after="40"/>
              <w:jc w:val="right"/>
            </w:pPr>
            <w:r w:rsidRPr="00261B7A">
              <w:rPr>
                <w:rFonts w:eastAsia="Calibri"/>
                <w:color w:val="000000"/>
              </w:rPr>
              <w:t>16.5</w:t>
            </w:r>
          </w:p>
        </w:tc>
        <w:tc>
          <w:tcPr>
            <w:tcW w:w="916" w:type="dxa"/>
            <w:shd w:val="clear" w:color="auto" w:fill="FFFFFF"/>
            <w:tcMar>
              <w:top w:w="0" w:type="dxa"/>
              <w:left w:w="108" w:type="dxa"/>
              <w:bottom w:w="0" w:type="dxa"/>
              <w:right w:w="108" w:type="dxa"/>
            </w:tcMar>
          </w:tcPr>
          <w:p w14:paraId="03CAF335" w14:textId="77777777" w:rsidR="00422EFE" w:rsidRPr="00261B7A" w:rsidRDefault="00422EFE" w:rsidP="00D41492">
            <w:pPr>
              <w:pStyle w:val="TableText"/>
              <w:spacing w:before="40" w:after="40"/>
              <w:jc w:val="right"/>
            </w:pPr>
            <w:r w:rsidRPr="00261B7A">
              <w:rPr>
                <w:rFonts w:eastAsia="Calibri"/>
                <w:color w:val="000000"/>
              </w:rPr>
              <w:t>10.6</w:t>
            </w:r>
          </w:p>
        </w:tc>
        <w:tc>
          <w:tcPr>
            <w:tcW w:w="813" w:type="dxa"/>
            <w:shd w:val="clear" w:color="auto" w:fill="FFFFFF"/>
            <w:tcMar>
              <w:top w:w="0" w:type="dxa"/>
              <w:left w:w="108" w:type="dxa"/>
              <w:bottom w:w="0" w:type="dxa"/>
              <w:right w:w="108" w:type="dxa"/>
            </w:tcMar>
          </w:tcPr>
          <w:p w14:paraId="1BE0EDE8" w14:textId="30015B03" w:rsidR="00422EFE" w:rsidRPr="00261B7A" w:rsidRDefault="00422EFE" w:rsidP="00D41492">
            <w:pPr>
              <w:pStyle w:val="TableText"/>
              <w:spacing w:before="40" w:after="40"/>
              <w:jc w:val="right"/>
            </w:pPr>
            <w:r w:rsidRPr="00261B7A">
              <w:rPr>
                <w:rFonts w:eastAsia="Calibri"/>
                <w:color w:val="000000"/>
              </w:rPr>
              <w:t>16</w:t>
            </w:r>
            <w:r w:rsidR="00A54E84" w:rsidRPr="00261B7A">
              <w:rPr>
                <w:rFonts w:eastAsia="Calibri"/>
                <w:color w:val="000000"/>
              </w:rPr>
              <w:t>.0</w:t>
            </w:r>
          </w:p>
        </w:tc>
        <w:tc>
          <w:tcPr>
            <w:tcW w:w="829" w:type="dxa"/>
            <w:shd w:val="clear" w:color="auto" w:fill="FFFFFF"/>
            <w:tcMar>
              <w:top w:w="0" w:type="dxa"/>
              <w:left w:w="108" w:type="dxa"/>
              <w:bottom w:w="0" w:type="dxa"/>
              <w:right w:w="108" w:type="dxa"/>
            </w:tcMar>
          </w:tcPr>
          <w:p w14:paraId="1F1392DB" w14:textId="77777777" w:rsidR="00422EFE" w:rsidRPr="00261B7A" w:rsidRDefault="00422EFE" w:rsidP="00D41492">
            <w:pPr>
              <w:pStyle w:val="TableText"/>
              <w:spacing w:before="40" w:after="40"/>
              <w:jc w:val="right"/>
            </w:pPr>
            <w:r w:rsidRPr="00261B7A">
              <w:rPr>
                <w:rFonts w:eastAsia="Calibri"/>
                <w:color w:val="000000"/>
              </w:rPr>
              <w:t>8.6</w:t>
            </w:r>
          </w:p>
        </w:tc>
        <w:tc>
          <w:tcPr>
            <w:tcW w:w="874" w:type="dxa"/>
            <w:shd w:val="clear" w:color="auto" w:fill="FFFFFF"/>
            <w:tcMar>
              <w:top w:w="0" w:type="dxa"/>
              <w:left w:w="108" w:type="dxa"/>
              <w:bottom w:w="0" w:type="dxa"/>
              <w:right w:w="108" w:type="dxa"/>
            </w:tcMar>
          </w:tcPr>
          <w:p w14:paraId="4CF5B087" w14:textId="77777777" w:rsidR="00422EFE" w:rsidRPr="00261B7A" w:rsidRDefault="00422EFE" w:rsidP="00D41492">
            <w:pPr>
              <w:pStyle w:val="TableText"/>
              <w:spacing w:before="40" w:after="40"/>
              <w:jc w:val="right"/>
            </w:pPr>
            <w:r w:rsidRPr="00261B7A">
              <w:rPr>
                <w:rFonts w:eastAsia="Calibri"/>
                <w:color w:val="000000"/>
              </w:rPr>
              <w:t>1.3</w:t>
            </w:r>
          </w:p>
        </w:tc>
        <w:tc>
          <w:tcPr>
            <w:tcW w:w="756" w:type="dxa"/>
            <w:shd w:val="clear" w:color="auto" w:fill="FFFFFF"/>
            <w:tcMar>
              <w:top w:w="0" w:type="dxa"/>
              <w:left w:w="108" w:type="dxa"/>
              <w:bottom w:w="0" w:type="dxa"/>
              <w:right w:w="108" w:type="dxa"/>
            </w:tcMar>
          </w:tcPr>
          <w:p w14:paraId="08820423" w14:textId="77777777" w:rsidR="00422EFE" w:rsidRPr="00261B7A" w:rsidRDefault="00422EFE" w:rsidP="00D41492">
            <w:pPr>
              <w:pStyle w:val="TableText"/>
              <w:spacing w:before="40" w:after="40"/>
              <w:jc w:val="right"/>
            </w:pPr>
            <w:r w:rsidRPr="00261B7A">
              <w:rPr>
                <w:rFonts w:eastAsia="Calibri"/>
                <w:color w:val="000000"/>
              </w:rPr>
              <w:t>2.7</w:t>
            </w:r>
          </w:p>
        </w:tc>
        <w:tc>
          <w:tcPr>
            <w:tcW w:w="660" w:type="dxa"/>
            <w:shd w:val="clear" w:color="auto" w:fill="FFFFFF"/>
            <w:tcMar>
              <w:top w:w="0" w:type="dxa"/>
              <w:left w:w="108" w:type="dxa"/>
              <w:bottom w:w="0" w:type="dxa"/>
              <w:right w:w="108" w:type="dxa"/>
            </w:tcMar>
          </w:tcPr>
          <w:p w14:paraId="7EE56510"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4163196A" w14:textId="77777777" w:rsidR="00422EFE" w:rsidRPr="00261B7A" w:rsidRDefault="00422EFE" w:rsidP="00D41492">
            <w:pPr>
              <w:pStyle w:val="TableText"/>
              <w:spacing w:before="40" w:after="40"/>
              <w:jc w:val="right"/>
            </w:pPr>
            <w:r w:rsidRPr="00261B7A">
              <w:rPr>
                <w:rFonts w:eastAsia="Calibri"/>
                <w:color w:val="000000"/>
              </w:rPr>
              <w:t>41.4</w:t>
            </w:r>
          </w:p>
        </w:tc>
        <w:tc>
          <w:tcPr>
            <w:tcW w:w="1985" w:type="dxa"/>
            <w:shd w:val="clear" w:color="auto" w:fill="FFFFFF"/>
            <w:tcMar>
              <w:top w:w="0" w:type="dxa"/>
              <w:left w:w="108" w:type="dxa"/>
              <w:bottom w:w="0" w:type="dxa"/>
              <w:right w:w="108" w:type="dxa"/>
            </w:tcMar>
          </w:tcPr>
          <w:p w14:paraId="11D2C211"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7BD485F1" w14:textId="77777777" w:rsidTr="00D41492">
        <w:tc>
          <w:tcPr>
            <w:tcW w:w="821" w:type="dxa"/>
            <w:shd w:val="clear" w:color="auto" w:fill="FFFFFF"/>
            <w:tcMar>
              <w:top w:w="0" w:type="dxa"/>
              <w:left w:w="108" w:type="dxa"/>
              <w:bottom w:w="0" w:type="dxa"/>
              <w:right w:w="108" w:type="dxa"/>
            </w:tcMar>
          </w:tcPr>
          <w:p w14:paraId="07343F10" w14:textId="77777777" w:rsidR="00422EFE" w:rsidRPr="00261B7A" w:rsidRDefault="00422EFE" w:rsidP="00D41492">
            <w:pPr>
              <w:pStyle w:val="TableText"/>
              <w:spacing w:before="40" w:after="40"/>
            </w:pPr>
            <w:r w:rsidRPr="00261B7A">
              <w:rPr>
                <w:rFonts w:eastAsia="Calibri"/>
                <w:color w:val="1B556B"/>
              </w:rPr>
              <w:t>1998</w:t>
            </w:r>
          </w:p>
        </w:tc>
        <w:tc>
          <w:tcPr>
            <w:tcW w:w="548" w:type="dxa"/>
            <w:shd w:val="clear" w:color="auto" w:fill="FFFFFF"/>
            <w:tcMar>
              <w:top w:w="0" w:type="dxa"/>
              <w:left w:w="108" w:type="dxa"/>
              <w:bottom w:w="0" w:type="dxa"/>
              <w:right w:w="108" w:type="dxa"/>
            </w:tcMar>
          </w:tcPr>
          <w:p w14:paraId="7A63F0F9" w14:textId="77777777" w:rsidR="00422EFE" w:rsidRPr="00261B7A" w:rsidRDefault="00422EFE" w:rsidP="00D41492">
            <w:pPr>
              <w:pStyle w:val="TableText"/>
              <w:spacing w:before="40" w:after="40"/>
              <w:jc w:val="right"/>
            </w:pPr>
            <w:r w:rsidRPr="00261B7A">
              <w:rPr>
                <w:rFonts w:eastAsia="Calibri"/>
                <w:color w:val="000000"/>
              </w:rPr>
              <w:t>16.2</w:t>
            </w:r>
          </w:p>
        </w:tc>
        <w:tc>
          <w:tcPr>
            <w:tcW w:w="916" w:type="dxa"/>
            <w:shd w:val="clear" w:color="auto" w:fill="FFFFFF"/>
            <w:tcMar>
              <w:top w:w="0" w:type="dxa"/>
              <w:left w:w="108" w:type="dxa"/>
              <w:bottom w:w="0" w:type="dxa"/>
              <w:right w:w="108" w:type="dxa"/>
            </w:tcMar>
          </w:tcPr>
          <w:p w14:paraId="67206815" w14:textId="77777777" w:rsidR="00422EFE" w:rsidRPr="00261B7A" w:rsidRDefault="00422EFE" w:rsidP="00D41492">
            <w:pPr>
              <w:pStyle w:val="TableText"/>
              <w:spacing w:before="40" w:after="40"/>
              <w:jc w:val="right"/>
            </w:pPr>
            <w:r w:rsidRPr="00261B7A">
              <w:rPr>
                <w:rFonts w:eastAsia="Calibri"/>
                <w:color w:val="000000"/>
              </w:rPr>
              <w:t>10.4</w:t>
            </w:r>
          </w:p>
        </w:tc>
        <w:tc>
          <w:tcPr>
            <w:tcW w:w="813" w:type="dxa"/>
            <w:shd w:val="clear" w:color="auto" w:fill="FFFFFF"/>
            <w:tcMar>
              <w:top w:w="0" w:type="dxa"/>
              <w:left w:w="108" w:type="dxa"/>
              <w:bottom w:w="0" w:type="dxa"/>
              <w:right w:w="108" w:type="dxa"/>
            </w:tcMar>
          </w:tcPr>
          <w:p w14:paraId="6145CF8F" w14:textId="77777777" w:rsidR="00422EFE" w:rsidRPr="00261B7A" w:rsidRDefault="00422EFE" w:rsidP="00D41492">
            <w:pPr>
              <w:pStyle w:val="TableText"/>
              <w:spacing w:before="40" w:after="40"/>
              <w:jc w:val="right"/>
            </w:pPr>
            <w:r w:rsidRPr="00261B7A">
              <w:rPr>
                <w:rFonts w:eastAsia="Calibri"/>
                <w:color w:val="000000"/>
              </w:rPr>
              <w:t>15.8</w:t>
            </w:r>
          </w:p>
        </w:tc>
        <w:tc>
          <w:tcPr>
            <w:tcW w:w="829" w:type="dxa"/>
            <w:shd w:val="clear" w:color="auto" w:fill="FFFFFF"/>
            <w:tcMar>
              <w:top w:w="0" w:type="dxa"/>
              <w:left w:w="108" w:type="dxa"/>
              <w:bottom w:w="0" w:type="dxa"/>
              <w:right w:w="108" w:type="dxa"/>
            </w:tcMar>
          </w:tcPr>
          <w:p w14:paraId="4E388A4C" w14:textId="77777777" w:rsidR="00422EFE" w:rsidRPr="00261B7A" w:rsidRDefault="00422EFE" w:rsidP="00D41492">
            <w:pPr>
              <w:pStyle w:val="TableText"/>
              <w:spacing w:before="40" w:after="40"/>
              <w:jc w:val="right"/>
            </w:pPr>
            <w:r w:rsidRPr="00261B7A">
              <w:rPr>
                <w:rFonts w:eastAsia="Calibri"/>
                <w:color w:val="000000"/>
              </w:rPr>
              <w:t>9.4</w:t>
            </w:r>
          </w:p>
        </w:tc>
        <w:tc>
          <w:tcPr>
            <w:tcW w:w="874" w:type="dxa"/>
            <w:shd w:val="clear" w:color="auto" w:fill="FFFFFF"/>
            <w:tcMar>
              <w:top w:w="0" w:type="dxa"/>
              <w:left w:w="108" w:type="dxa"/>
              <w:bottom w:w="0" w:type="dxa"/>
              <w:right w:w="108" w:type="dxa"/>
            </w:tcMar>
          </w:tcPr>
          <w:p w14:paraId="6A1E6E48" w14:textId="77777777" w:rsidR="00422EFE" w:rsidRPr="00261B7A" w:rsidRDefault="00422EFE" w:rsidP="00D41492">
            <w:pPr>
              <w:pStyle w:val="TableText"/>
              <w:spacing w:before="40" w:after="40"/>
              <w:jc w:val="right"/>
            </w:pPr>
            <w:r w:rsidRPr="00261B7A">
              <w:rPr>
                <w:rFonts w:eastAsia="Calibri"/>
                <w:color w:val="000000"/>
              </w:rPr>
              <w:t>1.6</w:t>
            </w:r>
          </w:p>
        </w:tc>
        <w:tc>
          <w:tcPr>
            <w:tcW w:w="756" w:type="dxa"/>
            <w:shd w:val="clear" w:color="auto" w:fill="FFFFFF"/>
            <w:tcMar>
              <w:top w:w="0" w:type="dxa"/>
              <w:left w:w="108" w:type="dxa"/>
              <w:bottom w:w="0" w:type="dxa"/>
              <w:right w:w="108" w:type="dxa"/>
            </w:tcMar>
          </w:tcPr>
          <w:p w14:paraId="2C79B6D8" w14:textId="77777777" w:rsidR="00422EFE" w:rsidRPr="00261B7A" w:rsidRDefault="00422EFE" w:rsidP="00D41492">
            <w:pPr>
              <w:pStyle w:val="TableText"/>
              <w:spacing w:before="40" w:after="40"/>
              <w:jc w:val="right"/>
            </w:pPr>
            <w:r w:rsidRPr="00261B7A">
              <w:rPr>
                <w:rFonts w:eastAsia="Calibri"/>
                <w:color w:val="000000"/>
              </w:rPr>
              <w:t>2.7</w:t>
            </w:r>
          </w:p>
        </w:tc>
        <w:tc>
          <w:tcPr>
            <w:tcW w:w="660" w:type="dxa"/>
            <w:shd w:val="clear" w:color="auto" w:fill="FFFFFF"/>
            <w:tcMar>
              <w:top w:w="0" w:type="dxa"/>
              <w:left w:w="108" w:type="dxa"/>
              <w:bottom w:w="0" w:type="dxa"/>
              <w:right w:w="108" w:type="dxa"/>
            </w:tcMar>
          </w:tcPr>
          <w:p w14:paraId="54684B84"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4025F8FF" w14:textId="1C1E24A5" w:rsidR="00422EFE" w:rsidRPr="00261B7A" w:rsidRDefault="00422EFE" w:rsidP="00D41492">
            <w:pPr>
              <w:pStyle w:val="TableText"/>
              <w:spacing w:before="40" w:after="40"/>
              <w:jc w:val="right"/>
            </w:pPr>
            <w:r w:rsidRPr="00261B7A">
              <w:rPr>
                <w:rFonts w:eastAsia="Calibri"/>
                <w:color w:val="000000"/>
              </w:rPr>
              <w:t>41</w:t>
            </w:r>
            <w:r w:rsidR="00BB5C72" w:rsidRPr="00261B7A">
              <w:rPr>
                <w:rFonts w:eastAsia="Calibri"/>
                <w:color w:val="000000"/>
              </w:rPr>
              <w:t>.0</w:t>
            </w:r>
          </w:p>
        </w:tc>
        <w:tc>
          <w:tcPr>
            <w:tcW w:w="1985" w:type="dxa"/>
            <w:shd w:val="clear" w:color="auto" w:fill="FFFFFF"/>
            <w:tcMar>
              <w:top w:w="0" w:type="dxa"/>
              <w:left w:w="108" w:type="dxa"/>
              <w:bottom w:w="0" w:type="dxa"/>
              <w:right w:w="108" w:type="dxa"/>
            </w:tcMar>
          </w:tcPr>
          <w:p w14:paraId="0BCE13A6"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05AFF629" w14:textId="77777777" w:rsidTr="00D41492">
        <w:tc>
          <w:tcPr>
            <w:tcW w:w="821" w:type="dxa"/>
            <w:shd w:val="clear" w:color="auto" w:fill="FFFFFF"/>
            <w:tcMar>
              <w:top w:w="0" w:type="dxa"/>
              <w:left w:w="108" w:type="dxa"/>
              <w:bottom w:w="0" w:type="dxa"/>
              <w:right w:w="108" w:type="dxa"/>
            </w:tcMar>
          </w:tcPr>
          <w:p w14:paraId="23236910" w14:textId="77777777" w:rsidR="00422EFE" w:rsidRPr="00261B7A" w:rsidRDefault="00422EFE" w:rsidP="00D41492">
            <w:pPr>
              <w:pStyle w:val="TableText"/>
              <w:spacing w:before="40" w:after="40"/>
            </w:pPr>
            <w:r w:rsidRPr="00261B7A">
              <w:rPr>
                <w:rFonts w:eastAsia="Calibri"/>
                <w:color w:val="1B556B"/>
              </w:rPr>
              <w:t>1999</w:t>
            </w:r>
          </w:p>
        </w:tc>
        <w:tc>
          <w:tcPr>
            <w:tcW w:w="548" w:type="dxa"/>
            <w:shd w:val="clear" w:color="auto" w:fill="FFFFFF"/>
            <w:tcMar>
              <w:top w:w="0" w:type="dxa"/>
              <w:left w:w="108" w:type="dxa"/>
              <w:bottom w:w="0" w:type="dxa"/>
              <w:right w:w="108" w:type="dxa"/>
            </w:tcMar>
          </w:tcPr>
          <w:p w14:paraId="20823DB1" w14:textId="77777777" w:rsidR="00422EFE" w:rsidRPr="00261B7A" w:rsidRDefault="00422EFE" w:rsidP="00D41492">
            <w:pPr>
              <w:pStyle w:val="TableText"/>
              <w:spacing w:before="40" w:after="40"/>
              <w:jc w:val="right"/>
            </w:pPr>
            <w:r w:rsidRPr="00261B7A">
              <w:rPr>
                <w:rFonts w:eastAsia="Calibri"/>
                <w:color w:val="000000"/>
              </w:rPr>
              <w:t>15.9</w:t>
            </w:r>
          </w:p>
        </w:tc>
        <w:tc>
          <w:tcPr>
            <w:tcW w:w="916" w:type="dxa"/>
            <w:shd w:val="clear" w:color="auto" w:fill="FFFFFF"/>
            <w:tcMar>
              <w:top w:w="0" w:type="dxa"/>
              <w:left w:w="108" w:type="dxa"/>
              <w:bottom w:w="0" w:type="dxa"/>
              <w:right w:w="108" w:type="dxa"/>
            </w:tcMar>
          </w:tcPr>
          <w:p w14:paraId="3F856F97" w14:textId="77777777" w:rsidR="00422EFE" w:rsidRPr="00261B7A" w:rsidRDefault="00422EFE" w:rsidP="00D41492">
            <w:pPr>
              <w:pStyle w:val="TableText"/>
              <w:spacing w:before="40" w:after="40"/>
              <w:jc w:val="right"/>
            </w:pPr>
            <w:r w:rsidRPr="00261B7A">
              <w:rPr>
                <w:rFonts w:eastAsia="Calibri"/>
                <w:color w:val="000000"/>
              </w:rPr>
              <w:t>10.1</w:t>
            </w:r>
          </w:p>
        </w:tc>
        <w:tc>
          <w:tcPr>
            <w:tcW w:w="813" w:type="dxa"/>
            <w:shd w:val="clear" w:color="auto" w:fill="FFFFFF"/>
            <w:tcMar>
              <w:top w:w="0" w:type="dxa"/>
              <w:left w:w="108" w:type="dxa"/>
              <w:bottom w:w="0" w:type="dxa"/>
              <w:right w:w="108" w:type="dxa"/>
            </w:tcMar>
          </w:tcPr>
          <w:p w14:paraId="7D16C7D9" w14:textId="77777777" w:rsidR="00422EFE" w:rsidRPr="00261B7A" w:rsidRDefault="00422EFE" w:rsidP="00D41492">
            <w:pPr>
              <w:pStyle w:val="TableText"/>
              <w:spacing w:before="40" w:after="40"/>
              <w:jc w:val="right"/>
            </w:pPr>
            <w:r w:rsidRPr="00261B7A">
              <w:rPr>
                <w:rFonts w:eastAsia="Calibri"/>
                <w:color w:val="000000"/>
              </w:rPr>
              <w:t>15.7</w:t>
            </w:r>
          </w:p>
        </w:tc>
        <w:tc>
          <w:tcPr>
            <w:tcW w:w="829" w:type="dxa"/>
            <w:shd w:val="clear" w:color="auto" w:fill="FFFFFF"/>
            <w:tcMar>
              <w:top w:w="0" w:type="dxa"/>
              <w:left w:w="108" w:type="dxa"/>
              <w:bottom w:w="0" w:type="dxa"/>
              <w:right w:w="108" w:type="dxa"/>
            </w:tcMar>
          </w:tcPr>
          <w:p w14:paraId="6DFDC16C" w14:textId="77777777" w:rsidR="00422EFE" w:rsidRPr="00261B7A" w:rsidRDefault="00422EFE" w:rsidP="00D41492">
            <w:pPr>
              <w:pStyle w:val="TableText"/>
              <w:spacing w:before="40" w:after="40"/>
              <w:jc w:val="right"/>
            </w:pPr>
            <w:r w:rsidRPr="00261B7A">
              <w:rPr>
                <w:rFonts w:eastAsia="Calibri"/>
                <w:color w:val="000000"/>
              </w:rPr>
              <w:t>10.1</w:t>
            </w:r>
          </w:p>
        </w:tc>
        <w:tc>
          <w:tcPr>
            <w:tcW w:w="874" w:type="dxa"/>
            <w:shd w:val="clear" w:color="auto" w:fill="FFFFFF"/>
            <w:tcMar>
              <w:top w:w="0" w:type="dxa"/>
              <w:left w:w="108" w:type="dxa"/>
              <w:bottom w:w="0" w:type="dxa"/>
              <w:right w:w="108" w:type="dxa"/>
            </w:tcMar>
          </w:tcPr>
          <w:p w14:paraId="3AF23429" w14:textId="73F7C4B4" w:rsidR="00422EFE" w:rsidRPr="00261B7A" w:rsidRDefault="00422EFE" w:rsidP="00D41492">
            <w:pPr>
              <w:pStyle w:val="TableText"/>
              <w:spacing w:before="40" w:after="40"/>
              <w:jc w:val="right"/>
            </w:pPr>
            <w:r w:rsidRPr="00261B7A">
              <w:rPr>
                <w:rFonts w:eastAsia="Calibri"/>
                <w:color w:val="000000"/>
              </w:rPr>
              <w:t>2</w:t>
            </w:r>
            <w:r w:rsidR="00DF4D32">
              <w:rPr>
                <w:rFonts w:eastAsia="Calibri"/>
                <w:color w:val="000000"/>
              </w:rPr>
              <w:t>.0</w:t>
            </w:r>
          </w:p>
        </w:tc>
        <w:tc>
          <w:tcPr>
            <w:tcW w:w="756" w:type="dxa"/>
            <w:shd w:val="clear" w:color="auto" w:fill="FFFFFF"/>
            <w:tcMar>
              <w:top w:w="0" w:type="dxa"/>
              <w:left w:w="108" w:type="dxa"/>
              <w:bottom w:w="0" w:type="dxa"/>
              <w:right w:w="108" w:type="dxa"/>
            </w:tcMar>
          </w:tcPr>
          <w:p w14:paraId="78C7E055" w14:textId="77777777" w:rsidR="00422EFE" w:rsidRPr="00261B7A" w:rsidRDefault="00422EFE" w:rsidP="00D41492">
            <w:pPr>
              <w:pStyle w:val="TableText"/>
              <w:spacing w:before="40" w:after="40"/>
              <w:jc w:val="right"/>
            </w:pPr>
            <w:r w:rsidRPr="00261B7A">
              <w:rPr>
                <w:rFonts w:eastAsia="Calibri"/>
                <w:color w:val="000000"/>
              </w:rPr>
              <w:t>2.7</w:t>
            </w:r>
          </w:p>
        </w:tc>
        <w:tc>
          <w:tcPr>
            <w:tcW w:w="660" w:type="dxa"/>
            <w:shd w:val="clear" w:color="auto" w:fill="FFFFFF"/>
            <w:tcMar>
              <w:top w:w="0" w:type="dxa"/>
              <w:left w:w="108" w:type="dxa"/>
              <w:bottom w:w="0" w:type="dxa"/>
              <w:right w:w="108" w:type="dxa"/>
            </w:tcMar>
          </w:tcPr>
          <w:p w14:paraId="26F61C1C"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4AA12222" w14:textId="77777777" w:rsidR="00422EFE" w:rsidRPr="00261B7A" w:rsidRDefault="00422EFE" w:rsidP="00D41492">
            <w:pPr>
              <w:pStyle w:val="TableText"/>
              <w:spacing w:before="40" w:after="40"/>
              <w:jc w:val="right"/>
            </w:pPr>
            <w:r w:rsidRPr="00261B7A">
              <w:rPr>
                <w:rFonts w:eastAsia="Calibri"/>
                <w:color w:val="000000"/>
              </w:rPr>
              <w:t>40.6</w:t>
            </w:r>
          </w:p>
        </w:tc>
        <w:tc>
          <w:tcPr>
            <w:tcW w:w="1985" w:type="dxa"/>
            <w:shd w:val="clear" w:color="auto" w:fill="FFFFFF"/>
            <w:tcMar>
              <w:top w:w="0" w:type="dxa"/>
              <w:left w:w="108" w:type="dxa"/>
              <w:bottom w:w="0" w:type="dxa"/>
              <w:right w:w="108" w:type="dxa"/>
            </w:tcMar>
          </w:tcPr>
          <w:p w14:paraId="22A74287"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1838EDB9" w14:textId="77777777" w:rsidTr="00D41492">
        <w:tc>
          <w:tcPr>
            <w:tcW w:w="821" w:type="dxa"/>
            <w:shd w:val="clear" w:color="auto" w:fill="FFFFFF"/>
            <w:tcMar>
              <w:top w:w="0" w:type="dxa"/>
              <w:left w:w="108" w:type="dxa"/>
              <w:bottom w:w="0" w:type="dxa"/>
              <w:right w:w="108" w:type="dxa"/>
            </w:tcMar>
          </w:tcPr>
          <w:p w14:paraId="4A833073" w14:textId="77777777" w:rsidR="00422EFE" w:rsidRPr="00261B7A" w:rsidRDefault="00422EFE" w:rsidP="00D41492">
            <w:pPr>
              <w:pStyle w:val="TableText"/>
              <w:spacing w:before="40" w:after="40"/>
            </w:pPr>
            <w:r w:rsidRPr="00261B7A">
              <w:rPr>
                <w:rFonts w:eastAsia="Calibri"/>
                <w:color w:val="1B556B"/>
              </w:rPr>
              <w:t>2000</w:t>
            </w:r>
          </w:p>
        </w:tc>
        <w:tc>
          <w:tcPr>
            <w:tcW w:w="548" w:type="dxa"/>
            <w:shd w:val="clear" w:color="auto" w:fill="FFFFFF"/>
            <w:tcMar>
              <w:top w:w="0" w:type="dxa"/>
              <w:left w:w="108" w:type="dxa"/>
              <w:bottom w:w="0" w:type="dxa"/>
              <w:right w:w="108" w:type="dxa"/>
            </w:tcMar>
          </w:tcPr>
          <w:p w14:paraId="25E69667" w14:textId="77777777" w:rsidR="00422EFE" w:rsidRPr="00261B7A" w:rsidRDefault="00422EFE" w:rsidP="00D41492">
            <w:pPr>
              <w:pStyle w:val="TableText"/>
              <w:spacing w:before="40" w:after="40"/>
              <w:jc w:val="right"/>
            </w:pPr>
            <w:r w:rsidRPr="00261B7A">
              <w:rPr>
                <w:rFonts w:eastAsia="Calibri"/>
                <w:color w:val="000000"/>
              </w:rPr>
              <w:t>15.5</w:t>
            </w:r>
          </w:p>
        </w:tc>
        <w:tc>
          <w:tcPr>
            <w:tcW w:w="916" w:type="dxa"/>
            <w:shd w:val="clear" w:color="auto" w:fill="FFFFFF"/>
            <w:tcMar>
              <w:top w:w="0" w:type="dxa"/>
              <w:left w:w="108" w:type="dxa"/>
              <w:bottom w:w="0" w:type="dxa"/>
              <w:right w:w="108" w:type="dxa"/>
            </w:tcMar>
          </w:tcPr>
          <w:p w14:paraId="1A24B31B" w14:textId="77777777" w:rsidR="00422EFE" w:rsidRPr="00261B7A" w:rsidRDefault="00422EFE" w:rsidP="00D41492">
            <w:pPr>
              <w:pStyle w:val="TableText"/>
              <w:spacing w:before="40" w:after="40"/>
              <w:jc w:val="right"/>
            </w:pPr>
            <w:r w:rsidRPr="00261B7A">
              <w:rPr>
                <w:rFonts w:eastAsia="Calibri"/>
                <w:color w:val="000000"/>
              </w:rPr>
              <w:t>9.9</w:t>
            </w:r>
          </w:p>
        </w:tc>
        <w:tc>
          <w:tcPr>
            <w:tcW w:w="813" w:type="dxa"/>
            <w:shd w:val="clear" w:color="auto" w:fill="FFFFFF"/>
            <w:tcMar>
              <w:top w:w="0" w:type="dxa"/>
              <w:left w:w="108" w:type="dxa"/>
              <w:bottom w:w="0" w:type="dxa"/>
              <w:right w:w="108" w:type="dxa"/>
            </w:tcMar>
          </w:tcPr>
          <w:p w14:paraId="0CF7C371" w14:textId="77777777" w:rsidR="00422EFE" w:rsidRPr="00261B7A" w:rsidRDefault="00422EFE" w:rsidP="00D41492">
            <w:pPr>
              <w:pStyle w:val="TableText"/>
              <w:spacing w:before="40" w:after="40"/>
              <w:jc w:val="right"/>
            </w:pPr>
            <w:r w:rsidRPr="00261B7A">
              <w:rPr>
                <w:rFonts w:eastAsia="Calibri"/>
                <w:color w:val="000000"/>
              </w:rPr>
              <w:t>15.5</w:t>
            </w:r>
          </w:p>
        </w:tc>
        <w:tc>
          <w:tcPr>
            <w:tcW w:w="829" w:type="dxa"/>
            <w:shd w:val="clear" w:color="auto" w:fill="FFFFFF"/>
            <w:tcMar>
              <w:top w:w="0" w:type="dxa"/>
              <w:left w:w="108" w:type="dxa"/>
              <w:bottom w:w="0" w:type="dxa"/>
              <w:right w:w="108" w:type="dxa"/>
            </w:tcMar>
          </w:tcPr>
          <w:p w14:paraId="1811751C" w14:textId="77777777" w:rsidR="00422EFE" w:rsidRPr="00261B7A" w:rsidRDefault="00422EFE" w:rsidP="00D41492">
            <w:pPr>
              <w:pStyle w:val="TableText"/>
              <w:spacing w:before="40" w:after="40"/>
              <w:jc w:val="right"/>
            </w:pPr>
            <w:r w:rsidRPr="00261B7A">
              <w:rPr>
                <w:rFonts w:eastAsia="Calibri"/>
                <w:color w:val="000000"/>
              </w:rPr>
              <w:t>10.9</w:t>
            </w:r>
          </w:p>
        </w:tc>
        <w:tc>
          <w:tcPr>
            <w:tcW w:w="874" w:type="dxa"/>
            <w:shd w:val="clear" w:color="auto" w:fill="FFFFFF"/>
            <w:tcMar>
              <w:top w:w="0" w:type="dxa"/>
              <w:left w:w="108" w:type="dxa"/>
              <w:bottom w:w="0" w:type="dxa"/>
              <w:right w:w="108" w:type="dxa"/>
            </w:tcMar>
          </w:tcPr>
          <w:p w14:paraId="70C66958" w14:textId="77777777" w:rsidR="00422EFE" w:rsidRPr="00261B7A" w:rsidRDefault="00422EFE" w:rsidP="00D41492">
            <w:pPr>
              <w:pStyle w:val="TableText"/>
              <w:spacing w:before="40" w:after="40"/>
              <w:jc w:val="right"/>
            </w:pPr>
            <w:r w:rsidRPr="00261B7A">
              <w:rPr>
                <w:rFonts w:eastAsia="Calibri"/>
                <w:color w:val="000000"/>
              </w:rPr>
              <w:t>2.4</w:t>
            </w:r>
          </w:p>
        </w:tc>
        <w:tc>
          <w:tcPr>
            <w:tcW w:w="756" w:type="dxa"/>
            <w:shd w:val="clear" w:color="auto" w:fill="FFFFFF"/>
            <w:tcMar>
              <w:top w:w="0" w:type="dxa"/>
              <w:left w:w="108" w:type="dxa"/>
              <w:bottom w:w="0" w:type="dxa"/>
              <w:right w:w="108" w:type="dxa"/>
            </w:tcMar>
          </w:tcPr>
          <w:p w14:paraId="06C43B53" w14:textId="77777777" w:rsidR="00422EFE" w:rsidRPr="00261B7A" w:rsidRDefault="00422EFE" w:rsidP="00D41492">
            <w:pPr>
              <w:pStyle w:val="TableText"/>
              <w:spacing w:before="40" w:after="40"/>
              <w:jc w:val="right"/>
            </w:pPr>
            <w:r w:rsidRPr="00261B7A">
              <w:rPr>
                <w:rFonts w:eastAsia="Calibri"/>
                <w:color w:val="000000"/>
              </w:rPr>
              <w:t>2.7</w:t>
            </w:r>
          </w:p>
        </w:tc>
        <w:tc>
          <w:tcPr>
            <w:tcW w:w="660" w:type="dxa"/>
            <w:shd w:val="clear" w:color="auto" w:fill="FFFFFF"/>
            <w:tcMar>
              <w:top w:w="0" w:type="dxa"/>
              <w:left w:w="108" w:type="dxa"/>
              <w:bottom w:w="0" w:type="dxa"/>
              <w:right w:w="108" w:type="dxa"/>
            </w:tcMar>
          </w:tcPr>
          <w:p w14:paraId="3124976D"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63D1F3E2" w14:textId="77777777" w:rsidR="00422EFE" w:rsidRPr="00261B7A" w:rsidRDefault="00422EFE" w:rsidP="00D41492">
            <w:pPr>
              <w:pStyle w:val="TableText"/>
              <w:spacing w:before="40" w:after="40"/>
              <w:jc w:val="right"/>
            </w:pPr>
            <w:r w:rsidRPr="00261B7A">
              <w:rPr>
                <w:rFonts w:eastAsia="Calibri"/>
                <w:color w:val="000000"/>
              </w:rPr>
              <w:t>40.1</w:t>
            </w:r>
          </w:p>
        </w:tc>
        <w:tc>
          <w:tcPr>
            <w:tcW w:w="1985" w:type="dxa"/>
            <w:shd w:val="clear" w:color="auto" w:fill="FFFFFF"/>
            <w:tcMar>
              <w:top w:w="0" w:type="dxa"/>
              <w:left w:w="108" w:type="dxa"/>
              <w:bottom w:w="0" w:type="dxa"/>
              <w:right w:w="108" w:type="dxa"/>
            </w:tcMar>
          </w:tcPr>
          <w:p w14:paraId="0886034A"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626A7333" w14:textId="77777777" w:rsidTr="00D41492">
        <w:tc>
          <w:tcPr>
            <w:tcW w:w="821" w:type="dxa"/>
            <w:shd w:val="clear" w:color="auto" w:fill="FFFFFF"/>
            <w:tcMar>
              <w:top w:w="0" w:type="dxa"/>
              <w:left w:w="108" w:type="dxa"/>
              <w:bottom w:w="0" w:type="dxa"/>
              <w:right w:w="108" w:type="dxa"/>
            </w:tcMar>
          </w:tcPr>
          <w:p w14:paraId="5B04A2C1" w14:textId="77777777" w:rsidR="00422EFE" w:rsidRPr="00261B7A" w:rsidRDefault="00422EFE" w:rsidP="00D41492">
            <w:pPr>
              <w:pStyle w:val="TableText"/>
              <w:spacing w:before="40" w:after="40"/>
            </w:pPr>
            <w:r w:rsidRPr="00261B7A">
              <w:rPr>
                <w:rFonts w:eastAsia="Calibri"/>
                <w:color w:val="1B556B"/>
              </w:rPr>
              <w:t>2001</w:t>
            </w:r>
          </w:p>
        </w:tc>
        <w:tc>
          <w:tcPr>
            <w:tcW w:w="548" w:type="dxa"/>
            <w:shd w:val="clear" w:color="auto" w:fill="FFFFFF"/>
            <w:tcMar>
              <w:top w:w="0" w:type="dxa"/>
              <w:left w:w="108" w:type="dxa"/>
              <w:bottom w:w="0" w:type="dxa"/>
              <w:right w:w="108" w:type="dxa"/>
            </w:tcMar>
          </w:tcPr>
          <w:p w14:paraId="5BE4AA11" w14:textId="77777777" w:rsidR="00422EFE" w:rsidRPr="00261B7A" w:rsidRDefault="00422EFE" w:rsidP="00D41492">
            <w:pPr>
              <w:pStyle w:val="TableText"/>
              <w:spacing w:before="40" w:after="40"/>
              <w:jc w:val="right"/>
            </w:pPr>
            <w:r w:rsidRPr="00261B7A">
              <w:rPr>
                <w:rFonts w:eastAsia="Calibri"/>
                <w:color w:val="000000"/>
              </w:rPr>
              <w:t>15.2</w:t>
            </w:r>
          </w:p>
        </w:tc>
        <w:tc>
          <w:tcPr>
            <w:tcW w:w="916" w:type="dxa"/>
            <w:shd w:val="clear" w:color="auto" w:fill="FFFFFF"/>
            <w:tcMar>
              <w:top w:w="0" w:type="dxa"/>
              <w:left w:w="108" w:type="dxa"/>
              <w:bottom w:w="0" w:type="dxa"/>
              <w:right w:w="108" w:type="dxa"/>
            </w:tcMar>
          </w:tcPr>
          <w:p w14:paraId="6E5D33DA" w14:textId="77777777" w:rsidR="00422EFE" w:rsidRPr="00261B7A" w:rsidRDefault="00422EFE" w:rsidP="00D41492">
            <w:pPr>
              <w:pStyle w:val="TableText"/>
              <w:spacing w:before="40" w:after="40"/>
              <w:jc w:val="right"/>
            </w:pPr>
            <w:r w:rsidRPr="00261B7A">
              <w:rPr>
                <w:rFonts w:eastAsia="Calibri"/>
                <w:color w:val="000000"/>
              </w:rPr>
              <w:t>9.7</w:t>
            </w:r>
          </w:p>
        </w:tc>
        <w:tc>
          <w:tcPr>
            <w:tcW w:w="813" w:type="dxa"/>
            <w:shd w:val="clear" w:color="auto" w:fill="FFFFFF"/>
            <w:tcMar>
              <w:top w:w="0" w:type="dxa"/>
              <w:left w:w="108" w:type="dxa"/>
              <w:bottom w:w="0" w:type="dxa"/>
              <w:right w:w="108" w:type="dxa"/>
            </w:tcMar>
          </w:tcPr>
          <w:p w14:paraId="089B1EB2" w14:textId="77777777" w:rsidR="00422EFE" w:rsidRPr="00261B7A" w:rsidRDefault="00422EFE" w:rsidP="00D41492">
            <w:pPr>
              <w:pStyle w:val="TableText"/>
              <w:spacing w:before="40" w:after="40"/>
              <w:jc w:val="right"/>
            </w:pPr>
            <w:r w:rsidRPr="00261B7A">
              <w:rPr>
                <w:rFonts w:eastAsia="Calibri"/>
                <w:color w:val="000000"/>
              </w:rPr>
              <w:t>15.4</w:t>
            </w:r>
          </w:p>
        </w:tc>
        <w:tc>
          <w:tcPr>
            <w:tcW w:w="829" w:type="dxa"/>
            <w:shd w:val="clear" w:color="auto" w:fill="FFFFFF"/>
            <w:tcMar>
              <w:top w:w="0" w:type="dxa"/>
              <w:left w:w="108" w:type="dxa"/>
              <w:bottom w:w="0" w:type="dxa"/>
              <w:right w:w="108" w:type="dxa"/>
            </w:tcMar>
          </w:tcPr>
          <w:p w14:paraId="41F546BD" w14:textId="77777777" w:rsidR="00422EFE" w:rsidRPr="00261B7A" w:rsidRDefault="00422EFE" w:rsidP="00D41492">
            <w:pPr>
              <w:pStyle w:val="TableText"/>
              <w:spacing w:before="40" w:after="40"/>
              <w:jc w:val="right"/>
            </w:pPr>
            <w:r w:rsidRPr="00261B7A">
              <w:rPr>
                <w:rFonts w:eastAsia="Calibri"/>
                <w:color w:val="000000"/>
              </w:rPr>
              <w:t>11.6</w:t>
            </w:r>
          </w:p>
        </w:tc>
        <w:tc>
          <w:tcPr>
            <w:tcW w:w="874" w:type="dxa"/>
            <w:shd w:val="clear" w:color="auto" w:fill="FFFFFF"/>
            <w:tcMar>
              <w:top w:w="0" w:type="dxa"/>
              <w:left w:w="108" w:type="dxa"/>
              <w:bottom w:w="0" w:type="dxa"/>
              <w:right w:w="108" w:type="dxa"/>
            </w:tcMar>
          </w:tcPr>
          <w:p w14:paraId="79A7A3B6" w14:textId="77777777" w:rsidR="00422EFE" w:rsidRPr="00261B7A" w:rsidRDefault="00422EFE" w:rsidP="00D41492">
            <w:pPr>
              <w:pStyle w:val="TableText"/>
              <w:spacing w:before="40" w:after="40"/>
              <w:jc w:val="right"/>
            </w:pPr>
            <w:r w:rsidRPr="00261B7A">
              <w:rPr>
                <w:rFonts w:eastAsia="Calibri"/>
                <w:color w:val="000000"/>
              </w:rPr>
              <w:t>2.8</w:t>
            </w:r>
          </w:p>
        </w:tc>
        <w:tc>
          <w:tcPr>
            <w:tcW w:w="756" w:type="dxa"/>
            <w:shd w:val="clear" w:color="auto" w:fill="FFFFFF"/>
            <w:tcMar>
              <w:top w:w="0" w:type="dxa"/>
              <w:left w:w="108" w:type="dxa"/>
              <w:bottom w:w="0" w:type="dxa"/>
              <w:right w:w="108" w:type="dxa"/>
            </w:tcMar>
          </w:tcPr>
          <w:p w14:paraId="2F408244" w14:textId="77777777" w:rsidR="00422EFE" w:rsidRPr="00261B7A" w:rsidRDefault="00422EFE" w:rsidP="00D41492">
            <w:pPr>
              <w:pStyle w:val="TableText"/>
              <w:spacing w:before="40" w:after="40"/>
              <w:jc w:val="right"/>
            </w:pPr>
            <w:r w:rsidRPr="00261B7A">
              <w:rPr>
                <w:rFonts w:eastAsia="Calibri"/>
                <w:color w:val="000000"/>
              </w:rPr>
              <w:t>2.7</w:t>
            </w:r>
          </w:p>
        </w:tc>
        <w:tc>
          <w:tcPr>
            <w:tcW w:w="660" w:type="dxa"/>
            <w:shd w:val="clear" w:color="auto" w:fill="FFFFFF"/>
            <w:tcMar>
              <w:top w:w="0" w:type="dxa"/>
              <w:left w:w="108" w:type="dxa"/>
              <w:bottom w:w="0" w:type="dxa"/>
              <w:right w:w="108" w:type="dxa"/>
            </w:tcMar>
          </w:tcPr>
          <w:p w14:paraId="58D23C00"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1454A8EA" w14:textId="77777777" w:rsidR="00422EFE" w:rsidRPr="00261B7A" w:rsidRDefault="00422EFE" w:rsidP="00D41492">
            <w:pPr>
              <w:pStyle w:val="TableText"/>
              <w:spacing w:before="40" w:after="40"/>
              <w:jc w:val="right"/>
            </w:pPr>
            <w:r w:rsidRPr="00261B7A">
              <w:rPr>
                <w:rFonts w:eastAsia="Calibri"/>
                <w:color w:val="000000"/>
              </w:rPr>
              <w:t>39.7</w:t>
            </w:r>
          </w:p>
        </w:tc>
        <w:tc>
          <w:tcPr>
            <w:tcW w:w="1985" w:type="dxa"/>
            <w:shd w:val="clear" w:color="auto" w:fill="FFFFFF"/>
            <w:tcMar>
              <w:top w:w="0" w:type="dxa"/>
              <w:left w:w="108" w:type="dxa"/>
              <w:bottom w:w="0" w:type="dxa"/>
              <w:right w:w="108" w:type="dxa"/>
            </w:tcMar>
          </w:tcPr>
          <w:p w14:paraId="0EE0D57A"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19210E5A" w14:textId="77777777" w:rsidTr="00D41492">
        <w:tc>
          <w:tcPr>
            <w:tcW w:w="821" w:type="dxa"/>
            <w:shd w:val="clear" w:color="auto" w:fill="FFFFFF"/>
            <w:tcMar>
              <w:top w:w="0" w:type="dxa"/>
              <w:left w:w="108" w:type="dxa"/>
              <w:bottom w:w="0" w:type="dxa"/>
              <w:right w:w="108" w:type="dxa"/>
            </w:tcMar>
          </w:tcPr>
          <w:p w14:paraId="28D2491D" w14:textId="77777777" w:rsidR="00422EFE" w:rsidRPr="00261B7A" w:rsidRDefault="00422EFE" w:rsidP="00D41492">
            <w:pPr>
              <w:pStyle w:val="TableText"/>
              <w:spacing w:before="40" w:after="40"/>
            </w:pPr>
            <w:r w:rsidRPr="00261B7A">
              <w:rPr>
                <w:rFonts w:eastAsia="Calibri"/>
                <w:color w:val="1B556B"/>
              </w:rPr>
              <w:t>2002</w:t>
            </w:r>
          </w:p>
        </w:tc>
        <w:tc>
          <w:tcPr>
            <w:tcW w:w="548" w:type="dxa"/>
            <w:shd w:val="clear" w:color="auto" w:fill="FFFFFF"/>
            <w:tcMar>
              <w:top w:w="0" w:type="dxa"/>
              <w:left w:w="108" w:type="dxa"/>
              <w:bottom w:w="0" w:type="dxa"/>
              <w:right w:w="108" w:type="dxa"/>
            </w:tcMar>
          </w:tcPr>
          <w:p w14:paraId="264BB25B" w14:textId="77777777" w:rsidR="00422EFE" w:rsidRPr="00261B7A" w:rsidRDefault="00422EFE" w:rsidP="00D41492">
            <w:pPr>
              <w:pStyle w:val="TableText"/>
              <w:spacing w:before="40" w:after="40"/>
              <w:jc w:val="right"/>
            </w:pPr>
            <w:r w:rsidRPr="00261B7A">
              <w:rPr>
                <w:rFonts w:eastAsia="Calibri"/>
                <w:color w:val="000000"/>
              </w:rPr>
              <w:t>14.9</w:t>
            </w:r>
          </w:p>
        </w:tc>
        <w:tc>
          <w:tcPr>
            <w:tcW w:w="916" w:type="dxa"/>
            <w:shd w:val="clear" w:color="auto" w:fill="FFFFFF"/>
            <w:tcMar>
              <w:top w:w="0" w:type="dxa"/>
              <w:left w:w="108" w:type="dxa"/>
              <w:bottom w:w="0" w:type="dxa"/>
              <w:right w:w="108" w:type="dxa"/>
            </w:tcMar>
          </w:tcPr>
          <w:p w14:paraId="41061836" w14:textId="77777777" w:rsidR="00422EFE" w:rsidRPr="00261B7A" w:rsidRDefault="00422EFE" w:rsidP="00D41492">
            <w:pPr>
              <w:pStyle w:val="TableText"/>
              <w:spacing w:before="40" w:after="40"/>
              <w:jc w:val="right"/>
            </w:pPr>
            <w:r w:rsidRPr="00261B7A">
              <w:rPr>
                <w:rFonts w:eastAsia="Calibri"/>
                <w:color w:val="000000"/>
              </w:rPr>
              <w:t>9.5</w:t>
            </w:r>
          </w:p>
        </w:tc>
        <w:tc>
          <w:tcPr>
            <w:tcW w:w="813" w:type="dxa"/>
            <w:shd w:val="clear" w:color="auto" w:fill="FFFFFF"/>
            <w:tcMar>
              <w:top w:w="0" w:type="dxa"/>
              <w:left w:w="108" w:type="dxa"/>
              <w:bottom w:w="0" w:type="dxa"/>
              <w:right w:w="108" w:type="dxa"/>
            </w:tcMar>
          </w:tcPr>
          <w:p w14:paraId="21DBB094" w14:textId="77777777" w:rsidR="00422EFE" w:rsidRPr="00261B7A" w:rsidRDefault="00422EFE" w:rsidP="00D41492">
            <w:pPr>
              <w:pStyle w:val="TableText"/>
              <w:spacing w:before="40" w:after="40"/>
              <w:jc w:val="right"/>
            </w:pPr>
            <w:r w:rsidRPr="00261B7A">
              <w:rPr>
                <w:rFonts w:eastAsia="Calibri"/>
                <w:color w:val="000000"/>
              </w:rPr>
              <w:t>15.2</w:t>
            </w:r>
          </w:p>
        </w:tc>
        <w:tc>
          <w:tcPr>
            <w:tcW w:w="829" w:type="dxa"/>
            <w:shd w:val="clear" w:color="auto" w:fill="FFFFFF"/>
            <w:tcMar>
              <w:top w:w="0" w:type="dxa"/>
              <w:left w:w="108" w:type="dxa"/>
              <w:bottom w:w="0" w:type="dxa"/>
              <w:right w:w="108" w:type="dxa"/>
            </w:tcMar>
          </w:tcPr>
          <w:p w14:paraId="0411D2E5" w14:textId="77777777" w:rsidR="00422EFE" w:rsidRPr="00261B7A" w:rsidRDefault="00422EFE" w:rsidP="00D41492">
            <w:pPr>
              <w:pStyle w:val="TableText"/>
              <w:spacing w:before="40" w:after="40"/>
              <w:jc w:val="right"/>
            </w:pPr>
            <w:r w:rsidRPr="00261B7A">
              <w:rPr>
                <w:rFonts w:eastAsia="Calibri"/>
                <w:color w:val="000000"/>
              </w:rPr>
              <w:t>12.4</w:t>
            </w:r>
          </w:p>
        </w:tc>
        <w:tc>
          <w:tcPr>
            <w:tcW w:w="874" w:type="dxa"/>
            <w:shd w:val="clear" w:color="auto" w:fill="FFFFFF"/>
            <w:tcMar>
              <w:top w:w="0" w:type="dxa"/>
              <w:left w:w="108" w:type="dxa"/>
              <w:bottom w:w="0" w:type="dxa"/>
              <w:right w:w="108" w:type="dxa"/>
            </w:tcMar>
          </w:tcPr>
          <w:p w14:paraId="3AD4465A" w14:textId="77777777" w:rsidR="00422EFE" w:rsidRPr="00261B7A" w:rsidRDefault="00422EFE" w:rsidP="00D41492">
            <w:pPr>
              <w:pStyle w:val="TableText"/>
              <w:spacing w:before="40" w:after="40"/>
              <w:jc w:val="right"/>
            </w:pPr>
            <w:r w:rsidRPr="00261B7A">
              <w:rPr>
                <w:rFonts w:eastAsia="Calibri"/>
                <w:color w:val="000000"/>
              </w:rPr>
              <w:t>3.1</w:t>
            </w:r>
          </w:p>
        </w:tc>
        <w:tc>
          <w:tcPr>
            <w:tcW w:w="756" w:type="dxa"/>
            <w:shd w:val="clear" w:color="auto" w:fill="FFFFFF"/>
            <w:tcMar>
              <w:top w:w="0" w:type="dxa"/>
              <w:left w:w="108" w:type="dxa"/>
              <w:bottom w:w="0" w:type="dxa"/>
              <w:right w:w="108" w:type="dxa"/>
            </w:tcMar>
          </w:tcPr>
          <w:p w14:paraId="7C9BB625" w14:textId="77777777" w:rsidR="00422EFE" w:rsidRPr="00261B7A" w:rsidRDefault="00422EFE" w:rsidP="00D41492">
            <w:pPr>
              <w:pStyle w:val="TableText"/>
              <w:spacing w:before="40" w:after="40"/>
              <w:jc w:val="right"/>
            </w:pPr>
            <w:r w:rsidRPr="00261B7A">
              <w:rPr>
                <w:rFonts w:eastAsia="Calibri"/>
                <w:color w:val="000000"/>
              </w:rPr>
              <w:t>2.7</w:t>
            </w:r>
          </w:p>
        </w:tc>
        <w:tc>
          <w:tcPr>
            <w:tcW w:w="660" w:type="dxa"/>
            <w:shd w:val="clear" w:color="auto" w:fill="FFFFFF"/>
            <w:tcMar>
              <w:top w:w="0" w:type="dxa"/>
              <w:left w:w="108" w:type="dxa"/>
              <w:bottom w:w="0" w:type="dxa"/>
              <w:right w:w="108" w:type="dxa"/>
            </w:tcMar>
          </w:tcPr>
          <w:p w14:paraId="7CA7A645"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46A29695" w14:textId="77777777" w:rsidR="00422EFE" w:rsidRPr="00261B7A" w:rsidRDefault="00422EFE" w:rsidP="00D41492">
            <w:pPr>
              <w:pStyle w:val="TableText"/>
              <w:spacing w:before="40" w:after="40"/>
              <w:jc w:val="right"/>
            </w:pPr>
            <w:r w:rsidRPr="00261B7A">
              <w:rPr>
                <w:rFonts w:eastAsia="Calibri"/>
                <w:color w:val="000000"/>
              </w:rPr>
              <w:t>39.3</w:t>
            </w:r>
          </w:p>
        </w:tc>
        <w:tc>
          <w:tcPr>
            <w:tcW w:w="1985" w:type="dxa"/>
            <w:shd w:val="clear" w:color="auto" w:fill="FFFFFF"/>
            <w:tcMar>
              <w:top w:w="0" w:type="dxa"/>
              <w:left w:w="108" w:type="dxa"/>
              <w:bottom w:w="0" w:type="dxa"/>
              <w:right w:w="108" w:type="dxa"/>
            </w:tcMar>
          </w:tcPr>
          <w:p w14:paraId="6677B329"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6BA1CFEE" w14:textId="77777777" w:rsidTr="00D41492">
        <w:tc>
          <w:tcPr>
            <w:tcW w:w="821" w:type="dxa"/>
            <w:shd w:val="clear" w:color="auto" w:fill="FFFFFF"/>
            <w:tcMar>
              <w:top w:w="0" w:type="dxa"/>
              <w:left w:w="108" w:type="dxa"/>
              <w:bottom w:w="0" w:type="dxa"/>
              <w:right w:w="108" w:type="dxa"/>
            </w:tcMar>
          </w:tcPr>
          <w:p w14:paraId="24306019" w14:textId="77777777" w:rsidR="00422EFE" w:rsidRPr="00261B7A" w:rsidRDefault="00422EFE" w:rsidP="00D41492">
            <w:pPr>
              <w:pStyle w:val="TableText"/>
              <w:spacing w:before="40" w:after="40"/>
            </w:pPr>
            <w:r w:rsidRPr="00261B7A">
              <w:rPr>
                <w:rFonts w:eastAsia="Calibri"/>
                <w:color w:val="1B556B"/>
              </w:rPr>
              <w:t>2003</w:t>
            </w:r>
          </w:p>
        </w:tc>
        <w:tc>
          <w:tcPr>
            <w:tcW w:w="548" w:type="dxa"/>
            <w:shd w:val="clear" w:color="auto" w:fill="FFFFFF"/>
            <w:tcMar>
              <w:top w:w="0" w:type="dxa"/>
              <w:left w:w="108" w:type="dxa"/>
              <w:bottom w:w="0" w:type="dxa"/>
              <w:right w:w="108" w:type="dxa"/>
            </w:tcMar>
          </w:tcPr>
          <w:p w14:paraId="6EE36AE8" w14:textId="77777777" w:rsidR="00422EFE" w:rsidRPr="00261B7A" w:rsidRDefault="00422EFE" w:rsidP="00D41492">
            <w:pPr>
              <w:pStyle w:val="TableText"/>
              <w:spacing w:before="40" w:after="40"/>
              <w:jc w:val="right"/>
            </w:pPr>
            <w:r w:rsidRPr="00261B7A">
              <w:rPr>
                <w:rFonts w:eastAsia="Calibri"/>
                <w:color w:val="000000"/>
              </w:rPr>
              <w:t>14.5</w:t>
            </w:r>
          </w:p>
        </w:tc>
        <w:tc>
          <w:tcPr>
            <w:tcW w:w="916" w:type="dxa"/>
            <w:shd w:val="clear" w:color="auto" w:fill="FFFFFF"/>
            <w:tcMar>
              <w:top w:w="0" w:type="dxa"/>
              <w:left w:w="108" w:type="dxa"/>
              <w:bottom w:w="0" w:type="dxa"/>
              <w:right w:w="108" w:type="dxa"/>
            </w:tcMar>
          </w:tcPr>
          <w:p w14:paraId="25893F98" w14:textId="77777777" w:rsidR="00422EFE" w:rsidRPr="00261B7A" w:rsidRDefault="00422EFE" w:rsidP="00D41492">
            <w:pPr>
              <w:pStyle w:val="TableText"/>
              <w:spacing w:before="40" w:after="40"/>
              <w:jc w:val="right"/>
            </w:pPr>
            <w:r w:rsidRPr="00261B7A">
              <w:rPr>
                <w:rFonts w:eastAsia="Calibri"/>
                <w:color w:val="000000"/>
              </w:rPr>
              <w:t>9.3</w:t>
            </w:r>
          </w:p>
        </w:tc>
        <w:tc>
          <w:tcPr>
            <w:tcW w:w="813" w:type="dxa"/>
            <w:shd w:val="clear" w:color="auto" w:fill="FFFFFF"/>
            <w:tcMar>
              <w:top w:w="0" w:type="dxa"/>
              <w:left w:w="108" w:type="dxa"/>
              <w:bottom w:w="0" w:type="dxa"/>
              <w:right w:w="108" w:type="dxa"/>
            </w:tcMar>
          </w:tcPr>
          <w:p w14:paraId="1D5960B2" w14:textId="77777777" w:rsidR="00422EFE" w:rsidRPr="00261B7A" w:rsidRDefault="00422EFE" w:rsidP="00D41492">
            <w:pPr>
              <w:pStyle w:val="TableText"/>
              <w:spacing w:before="40" w:after="40"/>
              <w:jc w:val="right"/>
            </w:pPr>
            <w:r w:rsidRPr="00261B7A">
              <w:rPr>
                <w:rFonts w:eastAsia="Calibri"/>
                <w:color w:val="000000"/>
              </w:rPr>
              <w:t>15.1</w:t>
            </w:r>
          </w:p>
        </w:tc>
        <w:tc>
          <w:tcPr>
            <w:tcW w:w="829" w:type="dxa"/>
            <w:shd w:val="clear" w:color="auto" w:fill="FFFFFF"/>
            <w:tcMar>
              <w:top w:w="0" w:type="dxa"/>
              <w:left w:w="108" w:type="dxa"/>
              <w:bottom w:w="0" w:type="dxa"/>
              <w:right w:w="108" w:type="dxa"/>
            </w:tcMar>
          </w:tcPr>
          <w:p w14:paraId="08DF422B" w14:textId="77777777" w:rsidR="00422EFE" w:rsidRPr="00261B7A" w:rsidRDefault="00422EFE" w:rsidP="00D41492">
            <w:pPr>
              <w:pStyle w:val="TableText"/>
              <w:spacing w:before="40" w:after="40"/>
              <w:jc w:val="right"/>
            </w:pPr>
            <w:r w:rsidRPr="00261B7A">
              <w:rPr>
                <w:rFonts w:eastAsia="Calibri"/>
                <w:color w:val="000000"/>
              </w:rPr>
              <w:t>13.1</w:t>
            </w:r>
          </w:p>
        </w:tc>
        <w:tc>
          <w:tcPr>
            <w:tcW w:w="874" w:type="dxa"/>
            <w:shd w:val="clear" w:color="auto" w:fill="FFFFFF"/>
            <w:tcMar>
              <w:top w:w="0" w:type="dxa"/>
              <w:left w:w="108" w:type="dxa"/>
              <w:bottom w:w="0" w:type="dxa"/>
              <w:right w:w="108" w:type="dxa"/>
            </w:tcMar>
          </w:tcPr>
          <w:p w14:paraId="77FA1341" w14:textId="77777777" w:rsidR="00422EFE" w:rsidRPr="00261B7A" w:rsidRDefault="00422EFE" w:rsidP="00D41492">
            <w:pPr>
              <w:pStyle w:val="TableText"/>
              <w:spacing w:before="40" w:after="40"/>
              <w:jc w:val="right"/>
            </w:pPr>
            <w:r w:rsidRPr="00261B7A">
              <w:rPr>
                <w:rFonts w:eastAsia="Calibri"/>
                <w:color w:val="000000"/>
              </w:rPr>
              <w:t>3.5</w:t>
            </w:r>
          </w:p>
        </w:tc>
        <w:tc>
          <w:tcPr>
            <w:tcW w:w="756" w:type="dxa"/>
            <w:shd w:val="clear" w:color="auto" w:fill="FFFFFF"/>
            <w:tcMar>
              <w:top w:w="0" w:type="dxa"/>
              <w:left w:w="108" w:type="dxa"/>
              <w:bottom w:w="0" w:type="dxa"/>
              <w:right w:w="108" w:type="dxa"/>
            </w:tcMar>
          </w:tcPr>
          <w:p w14:paraId="4FC1A830" w14:textId="77777777" w:rsidR="00422EFE" w:rsidRPr="00261B7A" w:rsidRDefault="00422EFE" w:rsidP="00D41492">
            <w:pPr>
              <w:pStyle w:val="TableText"/>
              <w:spacing w:before="40" w:after="40"/>
              <w:jc w:val="right"/>
            </w:pPr>
            <w:r w:rsidRPr="00261B7A">
              <w:rPr>
                <w:rFonts w:eastAsia="Calibri"/>
                <w:color w:val="000000"/>
              </w:rPr>
              <w:t>2.7</w:t>
            </w:r>
          </w:p>
        </w:tc>
        <w:tc>
          <w:tcPr>
            <w:tcW w:w="660" w:type="dxa"/>
            <w:shd w:val="clear" w:color="auto" w:fill="FFFFFF"/>
            <w:tcMar>
              <w:top w:w="0" w:type="dxa"/>
              <w:left w:w="108" w:type="dxa"/>
              <w:bottom w:w="0" w:type="dxa"/>
              <w:right w:w="108" w:type="dxa"/>
            </w:tcMar>
          </w:tcPr>
          <w:p w14:paraId="535E11C7"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5ADCDF0D" w14:textId="77777777" w:rsidR="00422EFE" w:rsidRPr="00261B7A" w:rsidRDefault="00422EFE" w:rsidP="00D41492">
            <w:pPr>
              <w:pStyle w:val="TableText"/>
              <w:spacing w:before="40" w:after="40"/>
              <w:jc w:val="right"/>
            </w:pPr>
            <w:r w:rsidRPr="00261B7A">
              <w:rPr>
                <w:rFonts w:eastAsia="Calibri"/>
                <w:color w:val="000000"/>
              </w:rPr>
              <w:t>38.8</w:t>
            </w:r>
          </w:p>
        </w:tc>
        <w:tc>
          <w:tcPr>
            <w:tcW w:w="1985" w:type="dxa"/>
            <w:shd w:val="clear" w:color="auto" w:fill="FFFFFF"/>
            <w:tcMar>
              <w:top w:w="0" w:type="dxa"/>
              <w:left w:w="108" w:type="dxa"/>
              <w:bottom w:w="0" w:type="dxa"/>
              <w:right w:w="108" w:type="dxa"/>
            </w:tcMar>
          </w:tcPr>
          <w:p w14:paraId="6665D4CE"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6FA5CE5E" w14:textId="77777777" w:rsidTr="00D41492">
        <w:tc>
          <w:tcPr>
            <w:tcW w:w="821" w:type="dxa"/>
            <w:shd w:val="clear" w:color="auto" w:fill="FFFFFF"/>
            <w:tcMar>
              <w:top w:w="0" w:type="dxa"/>
              <w:left w:w="108" w:type="dxa"/>
              <w:bottom w:w="0" w:type="dxa"/>
              <w:right w:w="108" w:type="dxa"/>
            </w:tcMar>
          </w:tcPr>
          <w:p w14:paraId="39B2C949" w14:textId="77777777" w:rsidR="00422EFE" w:rsidRPr="00261B7A" w:rsidRDefault="00422EFE" w:rsidP="00D41492">
            <w:pPr>
              <w:pStyle w:val="TableText"/>
              <w:spacing w:before="40" w:after="40"/>
            </w:pPr>
            <w:r w:rsidRPr="00261B7A">
              <w:rPr>
                <w:rFonts w:eastAsia="Calibri"/>
                <w:color w:val="1B556B"/>
              </w:rPr>
              <w:t>2004</w:t>
            </w:r>
          </w:p>
        </w:tc>
        <w:tc>
          <w:tcPr>
            <w:tcW w:w="548" w:type="dxa"/>
            <w:shd w:val="clear" w:color="auto" w:fill="FFFFFF"/>
            <w:tcMar>
              <w:top w:w="0" w:type="dxa"/>
              <w:left w:w="108" w:type="dxa"/>
              <w:bottom w:w="0" w:type="dxa"/>
              <w:right w:w="108" w:type="dxa"/>
            </w:tcMar>
          </w:tcPr>
          <w:p w14:paraId="1AE0B7AF" w14:textId="77777777" w:rsidR="00422EFE" w:rsidRPr="00261B7A" w:rsidRDefault="00422EFE" w:rsidP="00D41492">
            <w:pPr>
              <w:pStyle w:val="TableText"/>
              <w:spacing w:before="40" w:after="40"/>
              <w:jc w:val="right"/>
            </w:pPr>
            <w:r w:rsidRPr="00261B7A">
              <w:rPr>
                <w:rFonts w:eastAsia="Calibri"/>
                <w:color w:val="000000"/>
              </w:rPr>
              <w:t>14.2</w:t>
            </w:r>
          </w:p>
        </w:tc>
        <w:tc>
          <w:tcPr>
            <w:tcW w:w="916" w:type="dxa"/>
            <w:shd w:val="clear" w:color="auto" w:fill="FFFFFF"/>
            <w:tcMar>
              <w:top w:w="0" w:type="dxa"/>
              <w:left w:w="108" w:type="dxa"/>
              <w:bottom w:w="0" w:type="dxa"/>
              <w:right w:w="108" w:type="dxa"/>
            </w:tcMar>
          </w:tcPr>
          <w:p w14:paraId="39F376F6" w14:textId="77777777" w:rsidR="00422EFE" w:rsidRPr="00261B7A" w:rsidRDefault="00422EFE" w:rsidP="00D41492">
            <w:pPr>
              <w:pStyle w:val="TableText"/>
              <w:spacing w:before="40" w:after="40"/>
              <w:jc w:val="right"/>
            </w:pPr>
            <w:r w:rsidRPr="00261B7A">
              <w:rPr>
                <w:rFonts w:eastAsia="Calibri"/>
                <w:color w:val="000000"/>
              </w:rPr>
              <w:t>9.1</w:t>
            </w:r>
          </w:p>
        </w:tc>
        <w:tc>
          <w:tcPr>
            <w:tcW w:w="813" w:type="dxa"/>
            <w:shd w:val="clear" w:color="auto" w:fill="FFFFFF"/>
            <w:tcMar>
              <w:top w:w="0" w:type="dxa"/>
              <w:left w:w="108" w:type="dxa"/>
              <w:bottom w:w="0" w:type="dxa"/>
              <w:right w:w="108" w:type="dxa"/>
            </w:tcMar>
          </w:tcPr>
          <w:p w14:paraId="4C2792A9" w14:textId="77777777" w:rsidR="00422EFE" w:rsidRPr="00261B7A" w:rsidRDefault="00422EFE" w:rsidP="00D41492">
            <w:pPr>
              <w:pStyle w:val="TableText"/>
              <w:spacing w:before="40" w:after="40"/>
              <w:jc w:val="right"/>
            </w:pPr>
            <w:r w:rsidRPr="00261B7A">
              <w:rPr>
                <w:rFonts w:eastAsia="Calibri"/>
                <w:color w:val="000000"/>
              </w:rPr>
              <w:t>14.9</w:t>
            </w:r>
          </w:p>
        </w:tc>
        <w:tc>
          <w:tcPr>
            <w:tcW w:w="829" w:type="dxa"/>
            <w:shd w:val="clear" w:color="auto" w:fill="FFFFFF"/>
            <w:tcMar>
              <w:top w:w="0" w:type="dxa"/>
              <w:left w:w="108" w:type="dxa"/>
              <w:bottom w:w="0" w:type="dxa"/>
              <w:right w:w="108" w:type="dxa"/>
            </w:tcMar>
          </w:tcPr>
          <w:p w14:paraId="25322853" w14:textId="77777777" w:rsidR="00422EFE" w:rsidRPr="00261B7A" w:rsidRDefault="00422EFE" w:rsidP="00D41492">
            <w:pPr>
              <w:pStyle w:val="TableText"/>
              <w:spacing w:before="40" w:after="40"/>
              <w:jc w:val="right"/>
            </w:pPr>
            <w:r w:rsidRPr="00261B7A">
              <w:rPr>
                <w:rFonts w:eastAsia="Calibri"/>
                <w:color w:val="000000"/>
              </w:rPr>
              <w:t>13.9</w:t>
            </w:r>
          </w:p>
        </w:tc>
        <w:tc>
          <w:tcPr>
            <w:tcW w:w="874" w:type="dxa"/>
            <w:shd w:val="clear" w:color="auto" w:fill="FFFFFF"/>
            <w:tcMar>
              <w:top w:w="0" w:type="dxa"/>
              <w:left w:w="108" w:type="dxa"/>
              <w:bottom w:w="0" w:type="dxa"/>
              <w:right w:w="108" w:type="dxa"/>
            </w:tcMar>
          </w:tcPr>
          <w:p w14:paraId="1041C435" w14:textId="77777777" w:rsidR="00422EFE" w:rsidRPr="00261B7A" w:rsidRDefault="00422EFE" w:rsidP="00D41492">
            <w:pPr>
              <w:pStyle w:val="TableText"/>
              <w:spacing w:before="40" w:after="40"/>
              <w:jc w:val="right"/>
            </w:pPr>
            <w:r w:rsidRPr="00261B7A">
              <w:rPr>
                <w:rFonts w:eastAsia="Calibri"/>
                <w:color w:val="000000"/>
              </w:rPr>
              <w:t>3.9</w:t>
            </w:r>
          </w:p>
        </w:tc>
        <w:tc>
          <w:tcPr>
            <w:tcW w:w="756" w:type="dxa"/>
            <w:shd w:val="clear" w:color="auto" w:fill="FFFFFF"/>
            <w:tcMar>
              <w:top w:w="0" w:type="dxa"/>
              <w:left w:w="108" w:type="dxa"/>
              <w:bottom w:w="0" w:type="dxa"/>
              <w:right w:w="108" w:type="dxa"/>
            </w:tcMar>
          </w:tcPr>
          <w:p w14:paraId="4610E6BE" w14:textId="77777777" w:rsidR="00422EFE" w:rsidRPr="00261B7A" w:rsidRDefault="00422EFE" w:rsidP="00D41492">
            <w:pPr>
              <w:pStyle w:val="TableText"/>
              <w:spacing w:before="40" w:after="40"/>
              <w:jc w:val="right"/>
            </w:pPr>
            <w:r w:rsidRPr="00261B7A">
              <w:rPr>
                <w:rFonts w:eastAsia="Calibri"/>
                <w:color w:val="000000"/>
              </w:rPr>
              <w:t>2.7</w:t>
            </w:r>
          </w:p>
        </w:tc>
        <w:tc>
          <w:tcPr>
            <w:tcW w:w="660" w:type="dxa"/>
            <w:shd w:val="clear" w:color="auto" w:fill="FFFFFF"/>
            <w:tcMar>
              <w:top w:w="0" w:type="dxa"/>
              <w:left w:w="108" w:type="dxa"/>
              <w:bottom w:w="0" w:type="dxa"/>
              <w:right w:w="108" w:type="dxa"/>
            </w:tcMar>
          </w:tcPr>
          <w:p w14:paraId="1170D76D"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31052041" w14:textId="77777777" w:rsidR="00422EFE" w:rsidRPr="00261B7A" w:rsidRDefault="00422EFE" w:rsidP="00D41492">
            <w:pPr>
              <w:pStyle w:val="TableText"/>
              <w:spacing w:before="40" w:after="40"/>
              <w:jc w:val="right"/>
            </w:pPr>
            <w:r w:rsidRPr="00261B7A">
              <w:rPr>
                <w:rFonts w:eastAsia="Calibri"/>
                <w:color w:val="000000"/>
              </w:rPr>
              <w:t>38.4</w:t>
            </w:r>
          </w:p>
        </w:tc>
        <w:tc>
          <w:tcPr>
            <w:tcW w:w="1985" w:type="dxa"/>
            <w:shd w:val="clear" w:color="auto" w:fill="FFFFFF"/>
            <w:tcMar>
              <w:top w:w="0" w:type="dxa"/>
              <w:left w:w="108" w:type="dxa"/>
              <w:bottom w:w="0" w:type="dxa"/>
              <w:right w:w="108" w:type="dxa"/>
            </w:tcMar>
          </w:tcPr>
          <w:p w14:paraId="2CB3252C" w14:textId="77777777" w:rsidR="00422EFE" w:rsidRPr="00261B7A" w:rsidRDefault="00422EFE" w:rsidP="00D41492">
            <w:pPr>
              <w:pStyle w:val="TableText"/>
              <w:spacing w:before="40" w:after="40"/>
            </w:pPr>
            <w:r w:rsidRPr="00261B7A">
              <w:rPr>
                <w:rFonts w:eastAsia="Calibri"/>
                <w:color w:val="000000"/>
              </w:rPr>
              <w:t>National survey</w:t>
            </w:r>
          </w:p>
        </w:tc>
      </w:tr>
      <w:tr w:rsidR="00422EFE" w:rsidRPr="00261B7A" w14:paraId="3BE1ECC5" w14:textId="77777777" w:rsidTr="00D41492">
        <w:tc>
          <w:tcPr>
            <w:tcW w:w="821" w:type="dxa"/>
            <w:shd w:val="clear" w:color="auto" w:fill="FFFFFF"/>
            <w:tcMar>
              <w:top w:w="0" w:type="dxa"/>
              <w:left w:w="108" w:type="dxa"/>
              <w:bottom w:w="0" w:type="dxa"/>
              <w:right w:w="108" w:type="dxa"/>
            </w:tcMar>
          </w:tcPr>
          <w:p w14:paraId="46EACDA1" w14:textId="77777777" w:rsidR="00422EFE" w:rsidRPr="00261B7A" w:rsidRDefault="00422EFE" w:rsidP="00D41492">
            <w:pPr>
              <w:pStyle w:val="TableText"/>
              <w:spacing w:before="40" w:after="40"/>
            </w:pPr>
            <w:r w:rsidRPr="00261B7A">
              <w:rPr>
                <w:rFonts w:eastAsia="Calibri"/>
                <w:color w:val="1B556B"/>
              </w:rPr>
              <w:t>2005</w:t>
            </w:r>
          </w:p>
        </w:tc>
        <w:tc>
          <w:tcPr>
            <w:tcW w:w="548" w:type="dxa"/>
            <w:shd w:val="clear" w:color="auto" w:fill="FFFFFF"/>
            <w:tcMar>
              <w:top w:w="0" w:type="dxa"/>
              <w:left w:w="108" w:type="dxa"/>
              <w:bottom w:w="0" w:type="dxa"/>
              <w:right w:w="108" w:type="dxa"/>
            </w:tcMar>
          </w:tcPr>
          <w:p w14:paraId="38DF7F77" w14:textId="77777777" w:rsidR="00422EFE" w:rsidRPr="00261B7A" w:rsidRDefault="00422EFE" w:rsidP="00D41492">
            <w:pPr>
              <w:pStyle w:val="TableText"/>
              <w:spacing w:before="40" w:after="40"/>
              <w:jc w:val="right"/>
            </w:pPr>
            <w:r w:rsidRPr="00261B7A">
              <w:rPr>
                <w:rFonts w:eastAsia="Calibri"/>
                <w:color w:val="000000"/>
              </w:rPr>
              <w:t>14.9</w:t>
            </w:r>
          </w:p>
        </w:tc>
        <w:tc>
          <w:tcPr>
            <w:tcW w:w="916" w:type="dxa"/>
            <w:shd w:val="clear" w:color="auto" w:fill="FFFFFF"/>
            <w:tcMar>
              <w:top w:w="0" w:type="dxa"/>
              <w:left w:w="108" w:type="dxa"/>
              <w:bottom w:w="0" w:type="dxa"/>
              <w:right w:w="108" w:type="dxa"/>
            </w:tcMar>
          </w:tcPr>
          <w:p w14:paraId="7129DA3C" w14:textId="77777777" w:rsidR="00422EFE" w:rsidRPr="00261B7A" w:rsidRDefault="00422EFE" w:rsidP="00D41492">
            <w:pPr>
              <w:pStyle w:val="TableText"/>
              <w:spacing w:before="40" w:after="40"/>
              <w:jc w:val="right"/>
            </w:pPr>
            <w:r w:rsidRPr="00261B7A">
              <w:rPr>
                <w:rFonts w:eastAsia="Calibri"/>
                <w:color w:val="000000"/>
              </w:rPr>
              <w:t>9.2</w:t>
            </w:r>
          </w:p>
        </w:tc>
        <w:tc>
          <w:tcPr>
            <w:tcW w:w="813" w:type="dxa"/>
            <w:shd w:val="clear" w:color="auto" w:fill="FFFFFF"/>
            <w:tcMar>
              <w:top w:w="0" w:type="dxa"/>
              <w:left w:w="108" w:type="dxa"/>
              <w:bottom w:w="0" w:type="dxa"/>
              <w:right w:w="108" w:type="dxa"/>
            </w:tcMar>
          </w:tcPr>
          <w:p w14:paraId="6DA6201D" w14:textId="77777777" w:rsidR="00422EFE" w:rsidRPr="00261B7A" w:rsidRDefault="00422EFE" w:rsidP="00D41492">
            <w:pPr>
              <w:pStyle w:val="TableText"/>
              <w:spacing w:before="40" w:after="40"/>
              <w:jc w:val="right"/>
            </w:pPr>
            <w:r w:rsidRPr="00261B7A">
              <w:rPr>
                <w:rFonts w:eastAsia="Calibri"/>
                <w:color w:val="000000"/>
              </w:rPr>
              <w:t>13.4</w:t>
            </w:r>
          </w:p>
        </w:tc>
        <w:tc>
          <w:tcPr>
            <w:tcW w:w="829" w:type="dxa"/>
            <w:shd w:val="clear" w:color="auto" w:fill="FFFFFF"/>
            <w:tcMar>
              <w:top w:w="0" w:type="dxa"/>
              <w:left w:w="108" w:type="dxa"/>
              <w:bottom w:w="0" w:type="dxa"/>
              <w:right w:w="108" w:type="dxa"/>
            </w:tcMar>
          </w:tcPr>
          <w:p w14:paraId="192ADD2B" w14:textId="77777777" w:rsidR="00422EFE" w:rsidRPr="00261B7A" w:rsidRDefault="00422EFE" w:rsidP="00D41492">
            <w:pPr>
              <w:pStyle w:val="TableText"/>
              <w:spacing w:before="40" w:after="40"/>
              <w:jc w:val="right"/>
            </w:pPr>
            <w:r w:rsidRPr="00261B7A">
              <w:rPr>
                <w:rFonts w:eastAsia="Calibri"/>
                <w:color w:val="000000"/>
              </w:rPr>
              <w:t>13.4</w:t>
            </w:r>
          </w:p>
        </w:tc>
        <w:tc>
          <w:tcPr>
            <w:tcW w:w="874" w:type="dxa"/>
            <w:shd w:val="clear" w:color="auto" w:fill="FFFFFF"/>
            <w:tcMar>
              <w:top w:w="0" w:type="dxa"/>
              <w:left w:w="108" w:type="dxa"/>
              <w:bottom w:w="0" w:type="dxa"/>
              <w:right w:w="108" w:type="dxa"/>
            </w:tcMar>
          </w:tcPr>
          <w:p w14:paraId="1C736C00" w14:textId="77777777" w:rsidR="00422EFE" w:rsidRPr="00261B7A" w:rsidRDefault="00422EFE" w:rsidP="00D41492">
            <w:pPr>
              <w:pStyle w:val="TableText"/>
              <w:spacing w:before="40" w:after="40"/>
              <w:jc w:val="right"/>
            </w:pPr>
            <w:r w:rsidRPr="00261B7A">
              <w:rPr>
                <w:rFonts w:eastAsia="Calibri"/>
                <w:color w:val="000000"/>
              </w:rPr>
              <w:t>3.9</w:t>
            </w:r>
          </w:p>
        </w:tc>
        <w:tc>
          <w:tcPr>
            <w:tcW w:w="756" w:type="dxa"/>
            <w:shd w:val="clear" w:color="auto" w:fill="FFFFFF"/>
            <w:tcMar>
              <w:top w:w="0" w:type="dxa"/>
              <w:left w:w="108" w:type="dxa"/>
              <w:bottom w:w="0" w:type="dxa"/>
              <w:right w:w="108" w:type="dxa"/>
            </w:tcMar>
          </w:tcPr>
          <w:p w14:paraId="13030A61" w14:textId="77777777" w:rsidR="00422EFE" w:rsidRPr="00261B7A" w:rsidRDefault="00422EFE" w:rsidP="00D41492">
            <w:pPr>
              <w:pStyle w:val="TableText"/>
              <w:spacing w:before="40" w:after="40"/>
              <w:jc w:val="right"/>
            </w:pPr>
            <w:r w:rsidRPr="00261B7A">
              <w:rPr>
                <w:rFonts w:eastAsia="Calibri"/>
                <w:color w:val="000000"/>
              </w:rPr>
              <w:t>2.9</w:t>
            </w:r>
          </w:p>
        </w:tc>
        <w:tc>
          <w:tcPr>
            <w:tcW w:w="660" w:type="dxa"/>
            <w:shd w:val="clear" w:color="auto" w:fill="FFFFFF"/>
            <w:tcMar>
              <w:top w:w="0" w:type="dxa"/>
              <w:left w:w="108" w:type="dxa"/>
              <w:bottom w:w="0" w:type="dxa"/>
              <w:right w:w="108" w:type="dxa"/>
            </w:tcMar>
          </w:tcPr>
          <w:p w14:paraId="76B1DE90"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20B4246A" w14:textId="77777777" w:rsidR="00422EFE" w:rsidRPr="00261B7A" w:rsidRDefault="00422EFE" w:rsidP="00D41492">
            <w:pPr>
              <w:pStyle w:val="TableText"/>
              <w:spacing w:before="40" w:after="40"/>
              <w:jc w:val="right"/>
            </w:pPr>
            <w:r w:rsidRPr="00261B7A">
              <w:rPr>
                <w:rFonts w:eastAsia="Calibri"/>
                <w:color w:val="000000"/>
              </w:rPr>
              <w:t>39.4</w:t>
            </w:r>
          </w:p>
        </w:tc>
        <w:tc>
          <w:tcPr>
            <w:tcW w:w="1985" w:type="dxa"/>
            <w:shd w:val="clear" w:color="auto" w:fill="FFFFFF"/>
            <w:tcMar>
              <w:top w:w="0" w:type="dxa"/>
              <w:left w:w="108" w:type="dxa"/>
              <w:bottom w:w="0" w:type="dxa"/>
              <w:right w:w="108" w:type="dxa"/>
            </w:tcMar>
          </w:tcPr>
          <w:p w14:paraId="39E5B1C7"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37E491EB" w14:textId="77777777" w:rsidTr="00D41492">
        <w:tc>
          <w:tcPr>
            <w:tcW w:w="821" w:type="dxa"/>
            <w:shd w:val="clear" w:color="auto" w:fill="FFFFFF"/>
            <w:tcMar>
              <w:top w:w="0" w:type="dxa"/>
              <w:left w:w="108" w:type="dxa"/>
              <w:bottom w:w="0" w:type="dxa"/>
              <w:right w:w="108" w:type="dxa"/>
            </w:tcMar>
          </w:tcPr>
          <w:p w14:paraId="6545145C" w14:textId="77777777" w:rsidR="00422EFE" w:rsidRPr="00261B7A" w:rsidRDefault="00422EFE" w:rsidP="00D41492">
            <w:pPr>
              <w:pStyle w:val="TableText"/>
              <w:spacing w:before="40" w:after="40"/>
            </w:pPr>
            <w:r w:rsidRPr="00261B7A">
              <w:rPr>
                <w:rFonts w:eastAsia="Calibri"/>
                <w:color w:val="1B556B"/>
              </w:rPr>
              <w:t>2006</w:t>
            </w:r>
          </w:p>
        </w:tc>
        <w:tc>
          <w:tcPr>
            <w:tcW w:w="548" w:type="dxa"/>
            <w:shd w:val="clear" w:color="auto" w:fill="FFFFFF"/>
            <w:tcMar>
              <w:top w:w="0" w:type="dxa"/>
              <w:left w:w="108" w:type="dxa"/>
              <w:bottom w:w="0" w:type="dxa"/>
              <w:right w:w="108" w:type="dxa"/>
            </w:tcMar>
          </w:tcPr>
          <w:p w14:paraId="262B029D" w14:textId="77777777" w:rsidR="00422EFE" w:rsidRPr="00261B7A" w:rsidRDefault="00422EFE" w:rsidP="00D41492">
            <w:pPr>
              <w:pStyle w:val="TableText"/>
              <w:spacing w:before="40" w:after="40"/>
              <w:jc w:val="right"/>
            </w:pPr>
            <w:r w:rsidRPr="00261B7A">
              <w:rPr>
                <w:rFonts w:eastAsia="Calibri"/>
                <w:color w:val="000000"/>
              </w:rPr>
              <w:t>15.7</w:t>
            </w:r>
          </w:p>
        </w:tc>
        <w:tc>
          <w:tcPr>
            <w:tcW w:w="916" w:type="dxa"/>
            <w:shd w:val="clear" w:color="auto" w:fill="FFFFFF"/>
            <w:tcMar>
              <w:top w:w="0" w:type="dxa"/>
              <w:left w:w="108" w:type="dxa"/>
              <w:bottom w:w="0" w:type="dxa"/>
              <w:right w:w="108" w:type="dxa"/>
            </w:tcMar>
          </w:tcPr>
          <w:p w14:paraId="5B0FF7CE" w14:textId="77777777" w:rsidR="00422EFE" w:rsidRPr="00261B7A" w:rsidRDefault="00422EFE" w:rsidP="00D41492">
            <w:pPr>
              <w:pStyle w:val="TableText"/>
              <w:spacing w:before="40" w:after="40"/>
              <w:jc w:val="right"/>
            </w:pPr>
            <w:r w:rsidRPr="00261B7A">
              <w:rPr>
                <w:rFonts w:eastAsia="Calibri"/>
                <w:color w:val="000000"/>
              </w:rPr>
              <w:t>9.2</w:t>
            </w:r>
          </w:p>
        </w:tc>
        <w:tc>
          <w:tcPr>
            <w:tcW w:w="813" w:type="dxa"/>
            <w:shd w:val="clear" w:color="auto" w:fill="FFFFFF"/>
            <w:tcMar>
              <w:top w:w="0" w:type="dxa"/>
              <w:left w:w="108" w:type="dxa"/>
              <w:bottom w:w="0" w:type="dxa"/>
              <w:right w:w="108" w:type="dxa"/>
            </w:tcMar>
          </w:tcPr>
          <w:p w14:paraId="0EA29193" w14:textId="15BCB14F" w:rsidR="00422EFE" w:rsidRPr="00261B7A" w:rsidRDefault="00422EFE" w:rsidP="00D41492">
            <w:pPr>
              <w:pStyle w:val="TableText"/>
              <w:spacing w:before="40" w:after="40"/>
              <w:jc w:val="right"/>
            </w:pPr>
            <w:r w:rsidRPr="00261B7A">
              <w:rPr>
                <w:rFonts w:eastAsia="Calibri"/>
                <w:color w:val="000000"/>
              </w:rPr>
              <w:t>12</w:t>
            </w:r>
            <w:r w:rsidR="008C5F68" w:rsidRPr="00261B7A">
              <w:rPr>
                <w:rFonts w:eastAsia="Calibri"/>
                <w:color w:val="000000"/>
              </w:rPr>
              <w:t>.0</w:t>
            </w:r>
          </w:p>
        </w:tc>
        <w:tc>
          <w:tcPr>
            <w:tcW w:w="829" w:type="dxa"/>
            <w:shd w:val="clear" w:color="auto" w:fill="FFFFFF"/>
            <w:tcMar>
              <w:top w:w="0" w:type="dxa"/>
              <w:left w:w="108" w:type="dxa"/>
              <w:bottom w:w="0" w:type="dxa"/>
              <w:right w:w="108" w:type="dxa"/>
            </w:tcMar>
          </w:tcPr>
          <w:p w14:paraId="0DB771EC" w14:textId="069587CA" w:rsidR="00422EFE" w:rsidRPr="00261B7A" w:rsidRDefault="00422EFE" w:rsidP="00D41492">
            <w:pPr>
              <w:pStyle w:val="TableText"/>
              <w:spacing w:before="40" w:after="40"/>
              <w:jc w:val="right"/>
            </w:pPr>
            <w:r w:rsidRPr="00261B7A">
              <w:rPr>
                <w:rFonts w:eastAsia="Calibri"/>
                <w:color w:val="000000"/>
              </w:rPr>
              <w:t>13</w:t>
            </w:r>
            <w:r w:rsidR="008C5F68" w:rsidRPr="00261B7A">
              <w:rPr>
                <w:rFonts w:eastAsia="Calibri"/>
                <w:color w:val="000000"/>
              </w:rPr>
              <w:t>.0</w:t>
            </w:r>
          </w:p>
        </w:tc>
        <w:tc>
          <w:tcPr>
            <w:tcW w:w="874" w:type="dxa"/>
            <w:shd w:val="clear" w:color="auto" w:fill="FFFFFF"/>
            <w:tcMar>
              <w:top w:w="0" w:type="dxa"/>
              <w:left w:w="108" w:type="dxa"/>
              <w:bottom w:w="0" w:type="dxa"/>
              <w:right w:w="108" w:type="dxa"/>
            </w:tcMar>
          </w:tcPr>
          <w:p w14:paraId="519A2314" w14:textId="77777777" w:rsidR="00422EFE" w:rsidRPr="00261B7A" w:rsidRDefault="00422EFE" w:rsidP="00D41492">
            <w:pPr>
              <w:pStyle w:val="TableText"/>
              <w:spacing w:before="40" w:after="40"/>
              <w:jc w:val="right"/>
            </w:pPr>
            <w:r w:rsidRPr="00261B7A">
              <w:rPr>
                <w:rFonts w:eastAsia="Calibri"/>
                <w:color w:val="000000"/>
              </w:rPr>
              <w:t>3.9</w:t>
            </w:r>
          </w:p>
        </w:tc>
        <w:tc>
          <w:tcPr>
            <w:tcW w:w="756" w:type="dxa"/>
            <w:shd w:val="clear" w:color="auto" w:fill="FFFFFF"/>
            <w:tcMar>
              <w:top w:w="0" w:type="dxa"/>
              <w:left w:w="108" w:type="dxa"/>
              <w:bottom w:w="0" w:type="dxa"/>
              <w:right w:w="108" w:type="dxa"/>
            </w:tcMar>
          </w:tcPr>
          <w:p w14:paraId="2140A6E3" w14:textId="2569838B" w:rsidR="00422EFE" w:rsidRPr="00261B7A" w:rsidRDefault="00422EFE" w:rsidP="00D41492">
            <w:pPr>
              <w:pStyle w:val="TableText"/>
              <w:spacing w:before="40" w:after="40"/>
              <w:jc w:val="right"/>
            </w:pPr>
            <w:r w:rsidRPr="00261B7A">
              <w:rPr>
                <w:rFonts w:eastAsia="Calibri"/>
                <w:color w:val="000000"/>
              </w:rPr>
              <w:t>3</w:t>
            </w:r>
            <w:r w:rsidR="008C5F68" w:rsidRPr="00261B7A">
              <w:rPr>
                <w:rFonts w:eastAsia="Calibri"/>
                <w:color w:val="000000"/>
              </w:rPr>
              <w:t>.0</w:t>
            </w:r>
          </w:p>
        </w:tc>
        <w:tc>
          <w:tcPr>
            <w:tcW w:w="660" w:type="dxa"/>
            <w:shd w:val="clear" w:color="auto" w:fill="FFFFFF"/>
            <w:tcMar>
              <w:top w:w="0" w:type="dxa"/>
              <w:left w:w="108" w:type="dxa"/>
              <w:bottom w:w="0" w:type="dxa"/>
              <w:right w:w="108" w:type="dxa"/>
            </w:tcMar>
          </w:tcPr>
          <w:p w14:paraId="484F062A"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1AAC5FD6" w14:textId="77777777" w:rsidR="00422EFE" w:rsidRPr="00261B7A" w:rsidRDefault="00422EFE" w:rsidP="00D41492">
            <w:pPr>
              <w:pStyle w:val="TableText"/>
              <w:spacing w:before="40" w:after="40"/>
              <w:jc w:val="right"/>
            </w:pPr>
            <w:r w:rsidRPr="00261B7A">
              <w:rPr>
                <w:rFonts w:eastAsia="Calibri"/>
                <w:color w:val="000000"/>
              </w:rPr>
              <w:t>40.4</w:t>
            </w:r>
          </w:p>
        </w:tc>
        <w:tc>
          <w:tcPr>
            <w:tcW w:w="1985" w:type="dxa"/>
            <w:shd w:val="clear" w:color="auto" w:fill="FFFFFF"/>
            <w:tcMar>
              <w:top w:w="0" w:type="dxa"/>
              <w:left w:w="108" w:type="dxa"/>
              <w:bottom w:w="0" w:type="dxa"/>
              <w:right w:w="108" w:type="dxa"/>
            </w:tcMar>
          </w:tcPr>
          <w:p w14:paraId="61E561C4"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287F2DF7" w14:textId="77777777" w:rsidTr="00D41492">
        <w:tc>
          <w:tcPr>
            <w:tcW w:w="821" w:type="dxa"/>
            <w:shd w:val="clear" w:color="auto" w:fill="FFFFFF"/>
            <w:tcMar>
              <w:top w:w="0" w:type="dxa"/>
              <w:left w:w="108" w:type="dxa"/>
              <w:bottom w:w="0" w:type="dxa"/>
              <w:right w:w="108" w:type="dxa"/>
            </w:tcMar>
          </w:tcPr>
          <w:p w14:paraId="56BEA58F" w14:textId="77777777" w:rsidR="00422EFE" w:rsidRPr="00261B7A" w:rsidRDefault="00422EFE" w:rsidP="00D41492">
            <w:pPr>
              <w:pStyle w:val="TableText"/>
              <w:spacing w:before="40" w:after="40"/>
            </w:pPr>
            <w:r w:rsidRPr="00261B7A">
              <w:rPr>
                <w:rFonts w:eastAsia="Calibri"/>
                <w:color w:val="1B556B"/>
              </w:rPr>
              <w:t>2007</w:t>
            </w:r>
          </w:p>
        </w:tc>
        <w:tc>
          <w:tcPr>
            <w:tcW w:w="548" w:type="dxa"/>
            <w:shd w:val="clear" w:color="auto" w:fill="FFFFFF"/>
            <w:tcMar>
              <w:top w:w="0" w:type="dxa"/>
              <w:left w:w="108" w:type="dxa"/>
              <w:bottom w:w="0" w:type="dxa"/>
              <w:right w:w="108" w:type="dxa"/>
            </w:tcMar>
          </w:tcPr>
          <w:p w14:paraId="6AE239D6" w14:textId="77777777" w:rsidR="00422EFE" w:rsidRPr="00261B7A" w:rsidRDefault="00422EFE" w:rsidP="00D41492">
            <w:pPr>
              <w:pStyle w:val="TableText"/>
              <w:spacing w:before="40" w:after="40"/>
              <w:jc w:val="right"/>
            </w:pPr>
            <w:r w:rsidRPr="00261B7A">
              <w:rPr>
                <w:rFonts w:eastAsia="Calibri"/>
                <w:color w:val="000000"/>
              </w:rPr>
              <w:t>16.4</w:t>
            </w:r>
          </w:p>
        </w:tc>
        <w:tc>
          <w:tcPr>
            <w:tcW w:w="916" w:type="dxa"/>
            <w:shd w:val="clear" w:color="auto" w:fill="FFFFFF"/>
            <w:tcMar>
              <w:top w:w="0" w:type="dxa"/>
              <w:left w:w="108" w:type="dxa"/>
              <w:bottom w:w="0" w:type="dxa"/>
              <w:right w:w="108" w:type="dxa"/>
            </w:tcMar>
          </w:tcPr>
          <w:p w14:paraId="03D1AD40" w14:textId="77777777" w:rsidR="00422EFE" w:rsidRPr="00261B7A" w:rsidRDefault="00422EFE" w:rsidP="00D41492">
            <w:pPr>
              <w:pStyle w:val="TableText"/>
              <w:spacing w:before="40" w:after="40"/>
              <w:jc w:val="right"/>
            </w:pPr>
            <w:r w:rsidRPr="00261B7A">
              <w:rPr>
                <w:rFonts w:eastAsia="Calibri"/>
                <w:color w:val="000000"/>
              </w:rPr>
              <w:t>9.3</w:t>
            </w:r>
          </w:p>
        </w:tc>
        <w:tc>
          <w:tcPr>
            <w:tcW w:w="813" w:type="dxa"/>
            <w:shd w:val="clear" w:color="auto" w:fill="FFFFFF"/>
            <w:tcMar>
              <w:top w:w="0" w:type="dxa"/>
              <w:left w:w="108" w:type="dxa"/>
              <w:bottom w:w="0" w:type="dxa"/>
              <w:right w:w="108" w:type="dxa"/>
            </w:tcMar>
          </w:tcPr>
          <w:p w14:paraId="1DF00FF2" w14:textId="77777777" w:rsidR="00422EFE" w:rsidRPr="00261B7A" w:rsidRDefault="00422EFE" w:rsidP="00D41492">
            <w:pPr>
              <w:pStyle w:val="TableText"/>
              <w:spacing w:before="40" w:after="40"/>
              <w:jc w:val="right"/>
            </w:pPr>
            <w:r w:rsidRPr="00261B7A">
              <w:rPr>
                <w:rFonts w:eastAsia="Calibri"/>
                <w:color w:val="000000"/>
              </w:rPr>
              <w:t>10.5</w:t>
            </w:r>
          </w:p>
        </w:tc>
        <w:tc>
          <w:tcPr>
            <w:tcW w:w="829" w:type="dxa"/>
            <w:shd w:val="clear" w:color="auto" w:fill="FFFFFF"/>
            <w:tcMar>
              <w:top w:w="0" w:type="dxa"/>
              <w:left w:w="108" w:type="dxa"/>
              <w:bottom w:w="0" w:type="dxa"/>
              <w:right w:w="108" w:type="dxa"/>
            </w:tcMar>
          </w:tcPr>
          <w:p w14:paraId="1DA08A63" w14:textId="77777777" w:rsidR="00422EFE" w:rsidRPr="00261B7A" w:rsidRDefault="00422EFE" w:rsidP="00D41492">
            <w:pPr>
              <w:pStyle w:val="TableText"/>
              <w:spacing w:before="40" w:after="40"/>
              <w:jc w:val="right"/>
            </w:pPr>
            <w:r w:rsidRPr="00261B7A">
              <w:rPr>
                <w:rFonts w:eastAsia="Calibri"/>
                <w:color w:val="000000"/>
              </w:rPr>
              <w:t>12.5</w:t>
            </w:r>
          </w:p>
        </w:tc>
        <w:tc>
          <w:tcPr>
            <w:tcW w:w="874" w:type="dxa"/>
            <w:shd w:val="clear" w:color="auto" w:fill="FFFFFF"/>
            <w:tcMar>
              <w:top w:w="0" w:type="dxa"/>
              <w:left w:w="108" w:type="dxa"/>
              <w:bottom w:w="0" w:type="dxa"/>
              <w:right w:w="108" w:type="dxa"/>
            </w:tcMar>
          </w:tcPr>
          <w:p w14:paraId="32E9B8C7" w14:textId="77777777" w:rsidR="00422EFE" w:rsidRPr="00261B7A" w:rsidRDefault="00422EFE" w:rsidP="00D41492">
            <w:pPr>
              <w:pStyle w:val="TableText"/>
              <w:spacing w:before="40" w:after="40"/>
              <w:jc w:val="right"/>
            </w:pPr>
            <w:r w:rsidRPr="00261B7A">
              <w:rPr>
                <w:rFonts w:eastAsia="Calibri"/>
                <w:color w:val="000000"/>
              </w:rPr>
              <w:t>3.9</w:t>
            </w:r>
          </w:p>
        </w:tc>
        <w:tc>
          <w:tcPr>
            <w:tcW w:w="756" w:type="dxa"/>
            <w:shd w:val="clear" w:color="auto" w:fill="FFFFFF"/>
            <w:tcMar>
              <w:top w:w="0" w:type="dxa"/>
              <w:left w:w="108" w:type="dxa"/>
              <w:bottom w:w="0" w:type="dxa"/>
              <w:right w:w="108" w:type="dxa"/>
            </w:tcMar>
          </w:tcPr>
          <w:p w14:paraId="4B6288B4" w14:textId="77777777" w:rsidR="00422EFE" w:rsidRPr="00261B7A" w:rsidRDefault="00422EFE" w:rsidP="00D41492">
            <w:pPr>
              <w:pStyle w:val="TableText"/>
              <w:spacing w:before="40" w:after="40"/>
              <w:jc w:val="right"/>
            </w:pPr>
            <w:r w:rsidRPr="00261B7A">
              <w:rPr>
                <w:rFonts w:eastAsia="Calibri"/>
                <w:color w:val="000000"/>
              </w:rPr>
              <w:t>3.2</w:t>
            </w:r>
          </w:p>
        </w:tc>
        <w:tc>
          <w:tcPr>
            <w:tcW w:w="660" w:type="dxa"/>
            <w:shd w:val="clear" w:color="auto" w:fill="FFFFFF"/>
            <w:tcMar>
              <w:top w:w="0" w:type="dxa"/>
              <w:left w:w="108" w:type="dxa"/>
              <w:bottom w:w="0" w:type="dxa"/>
              <w:right w:w="108" w:type="dxa"/>
            </w:tcMar>
          </w:tcPr>
          <w:p w14:paraId="1E233623"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47E0A0E6" w14:textId="77777777" w:rsidR="00422EFE" w:rsidRPr="00261B7A" w:rsidRDefault="00422EFE" w:rsidP="00D41492">
            <w:pPr>
              <w:pStyle w:val="TableText"/>
              <w:spacing w:before="40" w:after="40"/>
              <w:jc w:val="right"/>
            </w:pPr>
            <w:r w:rsidRPr="00261B7A">
              <w:rPr>
                <w:rFonts w:eastAsia="Calibri"/>
                <w:color w:val="000000"/>
              </w:rPr>
              <w:t>41.4</w:t>
            </w:r>
          </w:p>
        </w:tc>
        <w:tc>
          <w:tcPr>
            <w:tcW w:w="1985" w:type="dxa"/>
            <w:shd w:val="clear" w:color="auto" w:fill="FFFFFF"/>
            <w:tcMar>
              <w:top w:w="0" w:type="dxa"/>
              <w:left w:w="108" w:type="dxa"/>
              <w:bottom w:w="0" w:type="dxa"/>
              <w:right w:w="108" w:type="dxa"/>
            </w:tcMar>
          </w:tcPr>
          <w:p w14:paraId="0F897CA3"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1B2B0254" w14:textId="77777777" w:rsidTr="00D41492">
        <w:tc>
          <w:tcPr>
            <w:tcW w:w="821" w:type="dxa"/>
            <w:shd w:val="clear" w:color="auto" w:fill="FFFFFF"/>
            <w:tcMar>
              <w:top w:w="0" w:type="dxa"/>
              <w:left w:w="108" w:type="dxa"/>
              <w:bottom w:w="0" w:type="dxa"/>
              <w:right w:w="108" w:type="dxa"/>
            </w:tcMar>
          </w:tcPr>
          <w:p w14:paraId="321331C6" w14:textId="77777777" w:rsidR="00422EFE" w:rsidRPr="00261B7A" w:rsidRDefault="00422EFE" w:rsidP="00D41492">
            <w:pPr>
              <w:pStyle w:val="TableText"/>
              <w:spacing w:before="40" w:after="40"/>
            </w:pPr>
            <w:r w:rsidRPr="00261B7A">
              <w:rPr>
                <w:rFonts w:eastAsia="Calibri"/>
                <w:color w:val="1B556B"/>
              </w:rPr>
              <w:t>2008</w:t>
            </w:r>
          </w:p>
        </w:tc>
        <w:tc>
          <w:tcPr>
            <w:tcW w:w="548" w:type="dxa"/>
            <w:shd w:val="clear" w:color="auto" w:fill="FFFFFF"/>
            <w:tcMar>
              <w:top w:w="0" w:type="dxa"/>
              <w:left w:w="108" w:type="dxa"/>
              <w:bottom w:w="0" w:type="dxa"/>
              <w:right w:w="108" w:type="dxa"/>
            </w:tcMar>
          </w:tcPr>
          <w:p w14:paraId="256958FD" w14:textId="77777777" w:rsidR="00422EFE" w:rsidRPr="00261B7A" w:rsidRDefault="00422EFE" w:rsidP="00D41492">
            <w:pPr>
              <w:pStyle w:val="TableText"/>
              <w:spacing w:before="40" w:after="40"/>
              <w:jc w:val="right"/>
            </w:pPr>
            <w:r w:rsidRPr="00261B7A">
              <w:rPr>
                <w:rFonts w:eastAsia="Calibri"/>
                <w:color w:val="000000"/>
              </w:rPr>
              <w:t>17.1</w:t>
            </w:r>
          </w:p>
        </w:tc>
        <w:tc>
          <w:tcPr>
            <w:tcW w:w="916" w:type="dxa"/>
            <w:shd w:val="clear" w:color="auto" w:fill="FFFFFF"/>
            <w:tcMar>
              <w:top w:w="0" w:type="dxa"/>
              <w:left w:w="108" w:type="dxa"/>
              <w:bottom w:w="0" w:type="dxa"/>
              <w:right w:w="108" w:type="dxa"/>
            </w:tcMar>
          </w:tcPr>
          <w:p w14:paraId="5587B681" w14:textId="77777777" w:rsidR="00422EFE" w:rsidRPr="00261B7A" w:rsidRDefault="00422EFE" w:rsidP="00D41492">
            <w:pPr>
              <w:pStyle w:val="TableText"/>
              <w:spacing w:before="40" w:after="40"/>
              <w:jc w:val="right"/>
            </w:pPr>
            <w:r w:rsidRPr="00261B7A">
              <w:rPr>
                <w:rFonts w:eastAsia="Calibri"/>
                <w:color w:val="000000"/>
              </w:rPr>
              <w:t>9.4</w:t>
            </w:r>
          </w:p>
        </w:tc>
        <w:tc>
          <w:tcPr>
            <w:tcW w:w="813" w:type="dxa"/>
            <w:shd w:val="clear" w:color="auto" w:fill="FFFFFF"/>
            <w:tcMar>
              <w:top w:w="0" w:type="dxa"/>
              <w:left w:w="108" w:type="dxa"/>
              <w:bottom w:w="0" w:type="dxa"/>
              <w:right w:w="108" w:type="dxa"/>
            </w:tcMar>
          </w:tcPr>
          <w:p w14:paraId="52714F79" w14:textId="17595FC0" w:rsidR="00422EFE" w:rsidRPr="00261B7A" w:rsidRDefault="00422EFE" w:rsidP="00D41492">
            <w:pPr>
              <w:pStyle w:val="TableText"/>
              <w:spacing w:before="40" w:after="40"/>
              <w:jc w:val="right"/>
            </w:pPr>
            <w:r w:rsidRPr="00261B7A">
              <w:rPr>
                <w:rFonts w:eastAsia="Calibri"/>
                <w:color w:val="000000"/>
              </w:rPr>
              <w:t>9</w:t>
            </w:r>
            <w:r w:rsidR="00212A1A" w:rsidRPr="00261B7A">
              <w:rPr>
                <w:rFonts w:eastAsia="Calibri"/>
                <w:color w:val="000000"/>
              </w:rPr>
              <w:t>.0</w:t>
            </w:r>
          </w:p>
        </w:tc>
        <w:tc>
          <w:tcPr>
            <w:tcW w:w="829" w:type="dxa"/>
            <w:shd w:val="clear" w:color="auto" w:fill="FFFFFF"/>
            <w:tcMar>
              <w:top w:w="0" w:type="dxa"/>
              <w:left w:w="108" w:type="dxa"/>
              <w:bottom w:w="0" w:type="dxa"/>
              <w:right w:w="108" w:type="dxa"/>
            </w:tcMar>
          </w:tcPr>
          <w:p w14:paraId="6002C247" w14:textId="54427988" w:rsidR="00422EFE" w:rsidRPr="00261B7A" w:rsidRDefault="00422EFE" w:rsidP="00D41492">
            <w:pPr>
              <w:pStyle w:val="TableText"/>
              <w:spacing w:before="40" w:after="40"/>
              <w:jc w:val="right"/>
            </w:pPr>
            <w:r w:rsidRPr="00261B7A">
              <w:rPr>
                <w:rFonts w:eastAsia="Calibri"/>
                <w:color w:val="000000"/>
              </w:rPr>
              <w:t>12</w:t>
            </w:r>
            <w:r w:rsidR="00212A1A" w:rsidRPr="00261B7A">
              <w:rPr>
                <w:rFonts w:eastAsia="Calibri"/>
                <w:color w:val="000000"/>
              </w:rPr>
              <w:t>.0</w:t>
            </w:r>
          </w:p>
        </w:tc>
        <w:tc>
          <w:tcPr>
            <w:tcW w:w="874" w:type="dxa"/>
            <w:shd w:val="clear" w:color="auto" w:fill="FFFFFF"/>
            <w:tcMar>
              <w:top w:w="0" w:type="dxa"/>
              <w:left w:w="108" w:type="dxa"/>
              <w:bottom w:w="0" w:type="dxa"/>
              <w:right w:w="108" w:type="dxa"/>
            </w:tcMar>
          </w:tcPr>
          <w:p w14:paraId="64E3F828" w14:textId="77777777" w:rsidR="00422EFE" w:rsidRPr="00261B7A" w:rsidRDefault="00422EFE" w:rsidP="00D41492">
            <w:pPr>
              <w:pStyle w:val="TableText"/>
              <w:spacing w:before="40" w:after="40"/>
              <w:jc w:val="right"/>
            </w:pPr>
            <w:r w:rsidRPr="00261B7A">
              <w:rPr>
                <w:rFonts w:eastAsia="Calibri"/>
                <w:color w:val="000000"/>
              </w:rPr>
              <w:t>3.8</w:t>
            </w:r>
          </w:p>
        </w:tc>
        <w:tc>
          <w:tcPr>
            <w:tcW w:w="756" w:type="dxa"/>
            <w:shd w:val="clear" w:color="auto" w:fill="FFFFFF"/>
            <w:tcMar>
              <w:top w:w="0" w:type="dxa"/>
              <w:left w:w="108" w:type="dxa"/>
              <w:bottom w:w="0" w:type="dxa"/>
              <w:right w:w="108" w:type="dxa"/>
            </w:tcMar>
          </w:tcPr>
          <w:p w14:paraId="18B3F29F" w14:textId="77777777" w:rsidR="00422EFE" w:rsidRPr="00261B7A" w:rsidRDefault="00422EFE" w:rsidP="00D41492">
            <w:pPr>
              <w:pStyle w:val="TableText"/>
              <w:spacing w:before="40" w:after="40"/>
              <w:jc w:val="right"/>
            </w:pPr>
            <w:r w:rsidRPr="00261B7A">
              <w:rPr>
                <w:rFonts w:eastAsia="Calibri"/>
                <w:color w:val="000000"/>
              </w:rPr>
              <w:t>3.3</w:t>
            </w:r>
          </w:p>
        </w:tc>
        <w:tc>
          <w:tcPr>
            <w:tcW w:w="660" w:type="dxa"/>
            <w:shd w:val="clear" w:color="auto" w:fill="FFFFFF"/>
            <w:tcMar>
              <w:top w:w="0" w:type="dxa"/>
              <w:left w:w="108" w:type="dxa"/>
              <w:bottom w:w="0" w:type="dxa"/>
              <w:right w:w="108" w:type="dxa"/>
            </w:tcMar>
          </w:tcPr>
          <w:p w14:paraId="4A6F7A4E"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31B3D32F" w14:textId="77777777" w:rsidR="00422EFE" w:rsidRPr="00261B7A" w:rsidRDefault="00422EFE" w:rsidP="00D41492">
            <w:pPr>
              <w:pStyle w:val="TableText"/>
              <w:spacing w:before="40" w:after="40"/>
              <w:jc w:val="right"/>
            </w:pPr>
            <w:r w:rsidRPr="00261B7A">
              <w:rPr>
                <w:rFonts w:eastAsia="Calibri"/>
                <w:color w:val="000000"/>
              </w:rPr>
              <w:t>42.4</w:t>
            </w:r>
          </w:p>
        </w:tc>
        <w:tc>
          <w:tcPr>
            <w:tcW w:w="1985" w:type="dxa"/>
            <w:shd w:val="clear" w:color="auto" w:fill="FFFFFF"/>
            <w:tcMar>
              <w:top w:w="0" w:type="dxa"/>
              <w:left w:w="108" w:type="dxa"/>
              <w:bottom w:w="0" w:type="dxa"/>
              <w:right w:w="108" w:type="dxa"/>
            </w:tcMar>
          </w:tcPr>
          <w:p w14:paraId="5AB98B8A" w14:textId="77777777" w:rsidR="00422EFE" w:rsidRPr="00261B7A" w:rsidRDefault="00422EFE" w:rsidP="00D41492">
            <w:pPr>
              <w:pStyle w:val="TableText"/>
              <w:spacing w:before="40" w:after="40"/>
            </w:pPr>
            <w:r w:rsidRPr="00261B7A">
              <w:rPr>
                <w:rFonts w:eastAsia="Calibri"/>
                <w:color w:val="000000"/>
              </w:rPr>
              <w:t>Survey</w:t>
            </w:r>
          </w:p>
        </w:tc>
      </w:tr>
      <w:tr w:rsidR="00422EFE" w:rsidRPr="00261B7A" w14:paraId="7F408EAA" w14:textId="77777777" w:rsidTr="00D41492">
        <w:tc>
          <w:tcPr>
            <w:tcW w:w="821" w:type="dxa"/>
            <w:shd w:val="clear" w:color="auto" w:fill="FFFFFF"/>
            <w:tcMar>
              <w:top w:w="0" w:type="dxa"/>
              <w:left w:w="108" w:type="dxa"/>
              <w:bottom w:w="0" w:type="dxa"/>
              <w:right w:w="108" w:type="dxa"/>
            </w:tcMar>
          </w:tcPr>
          <w:p w14:paraId="5C051825" w14:textId="77777777" w:rsidR="00422EFE" w:rsidRPr="00261B7A" w:rsidRDefault="00422EFE" w:rsidP="00D41492">
            <w:pPr>
              <w:pStyle w:val="TableText"/>
              <w:spacing w:before="40" w:after="40"/>
            </w:pPr>
            <w:r w:rsidRPr="00261B7A">
              <w:rPr>
                <w:rFonts w:eastAsia="Calibri"/>
                <w:color w:val="1B556B"/>
              </w:rPr>
              <w:t>2009</w:t>
            </w:r>
          </w:p>
        </w:tc>
        <w:tc>
          <w:tcPr>
            <w:tcW w:w="548" w:type="dxa"/>
            <w:shd w:val="clear" w:color="auto" w:fill="FFFFFF"/>
            <w:tcMar>
              <w:top w:w="0" w:type="dxa"/>
              <w:left w:w="108" w:type="dxa"/>
              <w:bottom w:w="0" w:type="dxa"/>
              <w:right w:w="108" w:type="dxa"/>
            </w:tcMar>
          </w:tcPr>
          <w:p w14:paraId="4A7C3628" w14:textId="7A79DF72" w:rsidR="00422EFE" w:rsidRPr="00261B7A" w:rsidRDefault="00422EFE" w:rsidP="00D41492">
            <w:pPr>
              <w:pStyle w:val="TableText"/>
              <w:spacing w:before="40" w:after="40"/>
              <w:jc w:val="right"/>
            </w:pPr>
            <w:r w:rsidRPr="00261B7A">
              <w:rPr>
                <w:rFonts w:eastAsia="Calibri"/>
                <w:color w:val="000000"/>
              </w:rPr>
              <w:t>17</w:t>
            </w:r>
            <w:r w:rsidR="00AF507A">
              <w:rPr>
                <w:rFonts w:eastAsia="Calibri"/>
                <w:color w:val="000000"/>
              </w:rPr>
              <w:t>.</w:t>
            </w:r>
            <w:r w:rsidR="00A00632">
              <w:rPr>
                <w:rFonts w:eastAsia="Calibri"/>
                <w:color w:val="000000"/>
              </w:rPr>
              <w:t>0</w:t>
            </w:r>
          </w:p>
        </w:tc>
        <w:tc>
          <w:tcPr>
            <w:tcW w:w="916" w:type="dxa"/>
            <w:shd w:val="clear" w:color="auto" w:fill="FFFFFF"/>
            <w:tcMar>
              <w:top w:w="0" w:type="dxa"/>
              <w:left w:w="108" w:type="dxa"/>
              <w:bottom w:w="0" w:type="dxa"/>
              <w:right w:w="108" w:type="dxa"/>
            </w:tcMar>
          </w:tcPr>
          <w:p w14:paraId="1A3679E5" w14:textId="77777777" w:rsidR="00422EFE" w:rsidRPr="00261B7A" w:rsidRDefault="00422EFE" w:rsidP="00D41492">
            <w:pPr>
              <w:pStyle w:val="TableText"/>
              <w:spacing w:before="40" w:after="40"/>
              <w:jc w:val="right"/>
            </w:pPr>
            <w:r w:rsidRPr="00261B7A">
              <w:rPr>
                <w:rFonts w:eastAsia="Calibri"/>
                <w:color w:val="000000"/>
              </w:rPr>
              <w:t>9.1</w:t>
            </w:r>
          </w:p>
        </w:tc>
        <w:tc>
          <w:tcPr>
            <w:tcW w:w="813" w:type="dxa"/>
            <w:shd w:val="clear" w:color="auto" w:fill="FFFFFF"/>
            <w:tcMar>
              <w:top w:w="0" w:type="dxa"/>
              <w:left w:w="108" w:type="dxa"/>
              <w:bottom w:w="0" w:type="dxa"/>
              <w:right w:w="108" w:type="dxa"/>
            </w:tcMar>
          </w:tcPr>
          <w:p w14:paraId="36EF061B" w14:textId="77777777" w:rsidR="00422EFE" w:rsidRPr="00261B7A" w:rsidRDefault="00422EFE" w:rsidP="00D41492">
            <w:pPr>
              <w:pStyle w:val="TableText"/>
              <w:spacing w:before="40" w:after="40"/>
              <w:jc w:val="right"/>
            </w:pPr>
            <w:r w:rsidRPr="00261B7A">
              <w:rPr>
                <w:rFonts w:eastAsia="Calibri"/>
                <w:color w:val="000000"/>
              </w:rPr>
              <w:t>9.4</w:t>
            </w:r>
          </w:p>
        </w:tc>
        <w:tc>
          <w:tcPr>
            <w:tcW w:w="829" w:type="dxa"/>
            <w:shd w:val="clear" w:color="auto" w:fill="FFFFFF"/>
            <w:tcMar>
              <w:top w:w="0" w:type="dxa"/>
              <w:left w:w="108" w:type="dxa"/>
              <w:bottom w:w="0" w:type="dxa"/>
              <w:right w:w="108" w:type="dxa"/>
            </w:tcMar>
          </w:tcPr>
          <w:p w14:paraId="0ACA1154" w14:textId="13A803C0" w:rsidR="00422EFE" w:rsidRPr="00261B7A" w:rsidRDefault="00422EFE" w:rsidP="00D41492">
            <w:pPr>
              <w:pStyle w:val="TableText"/>
              <w:spacing w:before="40" w:after="40"/>
              <w:jc w:val="right"/>
            </w:pPr>
            <w:r w:rsidRPr="00261B7A">
              <w:rPr>
                <w:rFonts w:eastAsia="Calibri"/>
                <w:color w:val="000000"/>
              </w:rPr>
              <w:t>12</w:t>
            </w:r>
            <w:r w:rsidR="0027332C" w:rsidRPr="00261B7A">
              <w:rPr>
                <w:rFonts w:eastAsia="Calibri"/>
                <w:color w:val="000000"/>
              </w:rPr>
              <w:t>.0</w:t>
            </w:r>
          </w:p>
        </w:tc>
        <w:tc>
          <w:tcPr>
            <w:tcW w:w="874" w:type="dxa"/>
            <w:shd w:val="clear" w:color="auto" w:fill="FFFFFF"/>
            <w:tcMar>
              <w:top w:w="0" w:type="dxa"/>
              <w:left w:w="108" w:type="dxa"/>
              <w:bottom w:w="0" w:type="dxa"/>
              <w:right w:w="108" w:type="dxa"/>
            </w:tcMar>
          </w:tcPr>
          <w:p w14:paraId="05077CFD" w14:textId="77777777" w:rsidR="00422EFE" w:rsidRPr="00261B7A" w:rsidRDefault="00422EFE" w:rsidP="00D41492">
            <w:pPr>
              <w:pStyle w:val="TableText"/>
              <w:spacing w:before="40" w:after="40"/>
              <w:jc w:val="right"/>
            </w:pPr>
            <w:r w:rsidRPr="00261B7A">
              <w:rPr>
                <w:rFonts w:eastAsia="Calibri"/>
                <w:color w:val="000000"/>
              </w:rPr>
              <w:t>4.3</w:t>
            </w:r>
          </w:p>
        </w:tc>
        <w:tc>
          <w:tcPr>
            <w:tcW w:w="756" w:type="dxa"/>
            <w:shd w:val="clear" w:color="auto" w:fill="FFFFFF"/>
            <w:tcMar>
              <w:top w:w="0" w:type="dxa"/>
              <w:left w:w="108" w:type="dxa"/>
              <w:bottom w:w="0" w:type="dxa"/>
              <w:right w:w="108" w:type="dxa"/>
            </w:tcMar>
          </w:tcPr>
          <w:p w14:paraId="0B52B59A" w14:textId="77777777" w:rsidR="00422EFE" w:rsidRPr="00261B7A" w:rsidRDefault="00422EFE" w:rsidP="00D41492">
            <w:pPr>
              <w:pStyle w:val="TableText"/>
              <w:spacing w:before="40" w:after="40"/>
              <w:jc w:val="right"/>
            </w:pPr>
            <w:r w:rsidRPr="00261B7A">
              <w:rPr>
                <w:rFonts w:eastAsia="Calibri"/>
                <w:color w:val="000000"/>
              </w:rPr>
              <w:t>3.2</w:t>
            </w:r>
          </w:p>
        </w:tc>
        <w:tc>
          <w:tcPr>
            <w:tcW w:w="660" w:type="dxa"/>
            <w:shd w:val="clear" w:color="auto" w:fill="FFFFFF"/>
            <w:tcMar>
              <w:top w:w="0" w:type="dxa"/>
              <w:left w:w="108" w:type="dxa"/>
              <w:bottom w:w="0" w:type="dxa"/>
              <w:right w:w="108" w:type="dxa"/>
            </w:tcMar>
          </w:tcPr>
          <w:p w14:paraId="7F0D978E" w14:textId="77777777" w:rsidR="00422EFE" w:rsidRPr="00261B7A" w:rsidRDefault="00422EFE" w:rsidP="00D41492">
            <w:pPr>
              <w:pStyle w:val="TableText"/>
              <w:spacing w:before="40" w:after="40"/>
              <w:jc w:val="right"/>
            </w:pPr>
            <w:r w:rsidRPr="00261B7A">
              <w:rPr>
                <w:rFonts w:eastAsia="Calibri"/>
                <w:color w:val="000000"/>
              </w:rPr>
              <w:t>3.1</w:t>
            </w:r>
          </w:p>
        </w:tc>
        <w:tc>
          <w:tcPr>
            <w:tcW w:w="567" w:type="dxa"/>
            <w:shd w:val="clear" w:color="auto" w:fill="FFFFFF"/>
            <w:tcMar>
              <w:top w:w="0" w:type="dxa"/>
              <w:left w:w="108" w:type="dxa"/>
              <w:bottom w:w="0" w:type="dxa"/>
              <w:right w:w="108" w:type="dxa"/>
            </w:tcMar>
          </w:tcPr>
          <w:p w14:paraId="477C0EC8" w14:textId="77777777" w:rsidR="00422EFE" w:rsidRPr="00261B7A" w:rsidRDefault="00422EFE" w:rsidP="00D41492">
            <w:pPr>
              <w:pStyle w:val="TableText"/>
              <w:spacing w:before="40" w:after="40"/>
              <w:jc w:val="right"/>
            </w:pPr>
            <w:r w:rsidRPr="00261B7A">
              <w:rPr>
                <w:rFonts w:eastAsia="Calibri"/>
                <w:color w:val="000000"/>
              </w:rPr>
              <w:t>41.8</w:t>
            </w:r>
          </w:p>
        </w:tc>
        <w:tc>
          <w:tcPr>
            <w:tcW w:w="1985" w:type="dxa"/>
            <w:shd w:val="clear" w:color="auto" w:fill="FFFFFF"/>
            <w:tcMar>
              <w:top w:w="0" w:type="dxa"/>
              <w:left w:w="108" w:type="dxa"/>
              <w:bottom w:w="0" w:type="dxa"/>
              <w:right w:w="108" w:type="dxa"/>
            </w:tcMar>
          </w:tcPr>
          <w:p w14:paraId="7D4FF395"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23CF95A9" w14:textId="77777777" w:rsidTr="00D41492">
        <w:tc>
          <w:tcPr>
            <w:tcW w:w="821" w:type="dxa"/>
            <w:shd w:val="clear" w:color="auto" w:fill="FFFFFF"/>
            <w:tcMar>
              <w:top w:w="0" w:type="dxa"/>
              <w:left w:w="108" w:type="dxa"/>
              <w:bottom w:w="0" w:type="dxa"/>
              <w:right w:w="108" w:type="dxa"/>
            </w:tcMar>
          </w:tcPr>
          <w:p w14:paraId="6AAE138E" w14:textId="77777777" w:rsidR="00422EFE" w:rsidRPr="00261B7A" w:rsidRDefault="00422EFE" w:rsidP="00D41492">
            <w:pPr>
              <w:pStyle w:val="TableText"/>
              <w:spacing w:before="40" w:after="40"/>
            </w:pPr>
            <w:r w:rsidRPr="00261B7A">
              <w:rPr>
                <w:rFonts w:eastAsia="Calibri"/>
                <w:color w:val="1B556B"/>
              </w:rPr>
              <w:t>2010</w:t>
            </w:r>
          </w:p>
        </w:tc>
        <w:tc>
          <w:tcPr>
            <w:tcW w:w="548" w:type="dxa"/>
            <w:shd w:val="clear" w:color="auto" w:fill="FFFFFF"/>
            <w:tcMar>
              <w:top w:w="0" w:type="dxa"/>
              <w:left w:w="108" w:type="dxa"/>
              <w:bottom w:w="0" w:type="dxa"/>
              <w:right w:w="108" w:type="dxa"/>
            </w:tcMar>
          </w:tcPr>
          <w:p w14:paraId="33311BE8" w14:textId="77777777" w:rsidR="00422EFE" w:rsidRPr="00261B7A" w:rsidRDefault="00422EFE" w:rsidP="00D41492">
            <w:pPr>
              <w:pStyle w:val="TableText"/>
              <w:spacing w:before="40" w:after="40"/>
              <w:jc w:val="right"/>
            </w:pPr>
            <w:r w:rsidRPr="00261B7A">
              <w:rPr>
                <w:rFonts w:eastAsia="Calibri"/>
                <w:color w:val="000000"/>
              </w:rPr>
              <w:t>16.9</w:t>
            </w:r>
          </w:p>
        </w:tc>
        <w:tc>
          <w:tcPr>
            <w:tcW w:w="916" w:type="dxa"/>
            <w:shd w:val="clear" w:color="auto" w:fill="FFFFFF"/>
            <w:tcMar>
              <w:top w:w="0" w:type="dxa"/>
              <w:left w:w="108" w:type="dxa"/>
              <w:bottom w:w="0" w:type="dxa"/>
              <w:right w:w="108" w:type="dxa"/>
            </w:tcMar>
          </w:tcPr>
          <w:p w14:paraId="7E086DA4" w14:textId="77777777" w:rsidR="00422EFE" w:rsidRPr="00261B7A" w:rsidRDefault="00422EFE" w:rsidP="00D41492">
            <w:pPr>
              <w:pStyle w:val="TableText"/>
              <w:spacing w:before="40" w:after="40"/>
              <w:jc w:val="right"/>
            </w:pPr>
            <w:r w:rsidRPr="00261B7A">
              <w:rPr>
                <w:rFonts w:eastAsia="Calibri"/>
                <w:color w:val="000000"/>
              </w:rPr>
              <w:t>8.9</w:t>
            </w:r>
          </w:p>
        </w:tc>
        <w:tc>
          <w:tcPr>
            <w:tcW w:w="813" w:type="dxa"/>
            <w:shd w:val="clear" w:color="auto" w:fill="FFFFFF"/>
            <w:tcMar>
              <w:top w:w="0" w:type="dxa"/>
              <w:left w:w="108" w:type="dxa"/>
              <w:bottom w:w="0" w:type="dxa"/>
              <w:right w:w="108" w:type="dxa"/>
            </w:tcMar>
          </w:tcPr>
          <w:p w14:paraId="24632F08" w14:textId="77777777" w:rsidR="00422EFE" w:rsidRPr="00261B7A" w:rsidRDefault="00422EFE" w:rsidP="00D41492">
            <w:pPr>
              <w:pStyle w:val="TableText"/>
              <w:spacing w:before="40" w:after="40"/>
              <w:jc w:val="right"/>
            </w:pPr>
            <w:r w:rsidRPr="00261B7A">
              <w:rPr>
                <w:rFonts w:eastAsia="Calibri"/>
                <w:color w:val="000000"/>
              </w:rPr>
              <w:t>9.8</w:t>
            </w:r>
          </w:p>
        </w:tc>
        <w:tc>
          <w:tcPr>
            <w:tcW w:w="829" w:type="dxa"/>
            <w:shd w:val="clear" w:color="auto" w:fill="FFFFFF"/>
            <w:tcMar>
              <w:top w:w="0" w:type="dxa"/>
              <w:left w:w="108" w:type="dxa"/>
              <w:bottom w:w="0" w:type="dxa"/>
              <w:right w:w="108" w:type="dxa"/>
            </w:tcMar>
          </w:tcPr>
          <w:p w14:paraId="0C100287" w14:textId="77777777" w:rsidR="00422EFE" w:rsidRPr="00261B7A" w:rsidRDefault="00422EFE" w:rsidP="00D41492">
            <w:pPr>
              <w:pStyle w:val="TableText"/>
              <w:spacing w:before="40" w:after="40"/>
              <w:jc w:val="right"/>
            </w:pPr>
            <w:r w:rsidRPr="00261B7A">
              <w:rPr>
                <w:rFonts w:eastAsia="Calibri"/>
                <w:color w:val="000000"/>
              </w:rPr>
              <w:t>11.9</w:t>
            </w:r>
          </w:p>
        </w:tc>
        <w:tc>
          <w:tcPr>
            <w:tcW w:w="874" w:type="dxa"/>
            <w:shd w:val="clear" w:color="auto" w:fill="FFFFFF"/>
            <w:tcMar>
              <w:top w:w="0" w:type="dxa"/>
              <w:left w:w="108" w:type="dxa"/>
              <w:bottom w:w="0" w:type="dxa"/>
              <w:right w:w="108" w:type="dxa"/>
            </w:tcMar>
          </w:tcPr>
          <w:p w14:paraId="5D3DA67F" w14:textId="77777777" w:rsidR="00422EFE" w:rsidRPr="00261B7A" w:rsidRDefault="00422EFE" w:rsidP="00D41492">
            <w:pPr>
              <w:pStyle w:val="TableText"/>
              <w:spacing w:before="40" w:after="40"/>
              <w:jc w:val="right"/>
            </w:pPr>
            <w:r w:rsidRPr="00261B7A">
              <w:rPr>
                <w:rFonts w:eastAsia="Calibri"/>
                <w:color w:val="000000"/>
              </w:rPr>
              <w:t>4.7</w:t>
            </w:r>
          </w:p>
        </w:tc>
        <w:tc>
          <w:tcPr>
            <w:tcW w:w="756" w:type="dxa"/>
            <w:shd w:val="clear" w:color="auto" w:fill="FFFFFF"/>
            <w:tcMar>
              <w:top w:w="0" w:type="dxa"/>
              <w:left w:w="108" w:type="dxa"/>
              <w:bottom w:w="0" w:type="dxa"/>
              <w:right w:w="108" w:type="dxa"/>
            </w:tcMar>
          </w:tcPr>
          <w:p w14:paraId="21292B7B" w14:textId="77777777" w:rsidR="00422EFE" w:rsidRPr="00261B7A" w:rsidRDefault="00422EFE" w:rsidP="00D41492">
            <w:pPr>
              <w:pStyle w:val="TableText"/>
              <w:spacing w:before="40" w:after="40"/>
              <w:jc w:val="right"/>
            </w:pPr>
            <w:r w:rsidRPr="00261B7A">
              <w:rPr>
                <w:rFonts w:eastAsia="Calibri"/>
                <w:color w:val="000000"/>
              </w:rPr>
              <w:t>3.2</w:t>
            </w:r>
          </w:p>
        </w:tc>
        <w:tc>
          <w:tcPr>
            <w:tcW w:w="660" w:type="dxa"/>
            <w:shd w:val="clear" w:color="auto" w:fill="FFFFFF"/>
            <w:tcMar>
              <w:top w:w="0" w:type="dxa"/>
              <w:left w:w="108" w:type="dxa"/>
              <w:bottom w:w="0" w:type="dxa"/>
              <w:right w:w="108" w:type="dxa"/>
            </w:tcMar>
          </w:tcPr>
          <w:p w14:paraId="4375E340" w14:textId="77777777" w:rsidR="00422EFE" w:rsidRPr="00261B7A" w:rsidRDefault="00422EFE" w:rsidP="00D41492">
            <w:pPr>
              <w:pStyle w:val="TableText"/>
              <w:spacing w:before="40" w:after="40"/>
              <w:jc w:val="right"/>
            </w:pPr>
            <w:r w:rsidRPr="00261B7A">
              <w:rPr>
                <w:rFonts w:eastAsia="Calibri"/>
                <w:color w:val="000000"/>
              </w:rPr>
              <w:t>3.4</w:t>
            </w:r>
          </w:p>
        </w:tc>
        <w:tc>
          <w:tcPr>
            <w:tcW w:w="567" w:type="dxa"/>
            <w:shd w:val="clear" w:color="auto" w:fill="FFFFFF"/>
            <w:tcMar>
              <w:top w:w="0" w:type="dxa"/>
              <w:left w:w="108" w:type="dxa"/>
              <w:bottom w:w="0" w:type="dxa"/>
              <w:right w:w="108" w:type="dxa"/>
            </w:tcMar>
          </w:tcPr>
          <w:p w14:paraId="1C9BF8BA" w14:textId="77777777" w:rsidR="00422EFE" w:rsidRPr="00261B7A" w:rsidRDefault="00422EFE" w:rsidP="00D41492">
            <w:pPr>
              <w:pStyle w:val="TableText"/>
              <w:spacing w:before="40" w:after="40"/>
              <w:jc w:val="right"/>
            </w:pPr>
            <w:r w:rsidRPr="00261B7A">
              <w:rPr>
                <w:rFonts w:eastAsia="Calibri"/>
                <w:color w:val="000000"/>
              </w:rPr>
              <w:t>41.1</w:t>
            </w:r>
          </w:p>
        </w:tc>
        <w:tc>
          <w:tcPr>
            <w:tcW w:w="1985" w:type="dxa"/>
            <w:shd w:val="clear" w:color="auto" w:fill="FFFFFF"/>
            <w:tcMar>
              <w:top w:w="0" w:type="dxa"/>
              <w:left w:w="108" w:type="dxa"/>
              <w:bottom w:w="0" w:type="dxa"/>
              <w:right w:w="108" w:type="dxa"/>
            </w:tcMar>
          </w:tcPr>
          <w:p w14:paraId="26A1AF52"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3ADA79F9" w14:textId="77777777" w:rsidTr="00D41492">
        <w:tc>
          <w:tcPr>
            <w:tcW w:w="821" w:type="dxa"/>
            <w:shd w:val="clear" w:color="auto" w:fill="FFFFFF"/>
            <w:tcMar>
              <w:top w:w="0" w:type="dxa"/>
              <w:left w:w="108" w:type="dxa"/>
              <w:bottom w:w="0" w:type="dxa"/>
              <w:right w:w="108" w:type="dxa"/>
            </w:tcMar>
          </w:tcPr>
          <w:p w14:paraId="6DAD4910" w14:textId="77777777" w:rsidR="00422EFE" w:rsidRPr="00261B7A" w:rsidRDefault="00422EFE" w:rsidP="00D41492">
            <w:pPr>
              <w:pStyle w:val="TableText"/>
              <w:spacing w:before="40" w:after="40"/>
            </w:pPr>
            <w:r w:rsidRPr="00261B7A">
              <w:rPr>
                <w:rFonts w:eastAsia="Calibri"/>
                <w:color w:val="1B556B"/>
              </w:rPr>
              <w:t>2011</w:t>
            </w:r>
          </w:p>
        </w:tc>
        <w:tc>
          <w:tcPr>
            <w:tcW w:w="548" w:type="dxa"/>
            <w:shd w:val="clear" w:color="auto" w:fill="FFFFFF"/>
            <w:tcMar>
              <w:top w:w="0" w:type="dxa"/>
              <w:left w:w="108" w:type="dxa"/>
              <w:bottom w:w="0" w:type="dxa"/>
              <w:right w:w="108" w:type="dxa"/>
            </w:tcMar>
          </w:tcPr>
          <w:p w14:paraId="2BD8CE65" w14:textId="77777777" w:rsidR="00422EFE" w:rsidRPr="00261B7A" w:rsidRDefault="00422EFE" w:rsidP="00D41492">
            <w:pPr>
              <w:pStyle w:val="TableText"/>
              <w:spacing w:before="40" w:after="40"/>
              <w:jc w:val="right"/>
            </w:pPr>
            <w:r w:rsidRPr="00261B7A">
              <w:rPr>
                <w:rFonts w:eastAsia="Calibri"/>
                <w:color w:val="000000"/>
              </w:rPr>
              <w:t>16.9</w:t>
            </w:r>
          </w:p>
        </w:tc>
        <w:tc>
          <w:tcPr>
            <w:tcW w:w="916" w:type="dxa"/>
            <w:shd w:val="clear" w:color="auto" w:fill="FFFFFF"/>
            <w:tcMar>
              <w:top w:w="0" w:type="dxa"/>
              <w:left w:w="108" w:type="dxa"/>
              <w:bottom w:w="0" w:type="dxa"/>
              <w:right w:w="108" w:type="dxa"/>
            </w:tcMar>
          </w:tcPr>
          <w:p w14:paraId="3772BB9A" w14:textId="77777777" w:rsidR="00422EFE" w:rsidRPr="00261B7A" w:rsidRDefault="00422EFE" w:rsidP="00D41492">
            <w:pPr>
              <w:pStyle w:val="TableText"/>
              <w:spacing w:before="40" w:after="40"/>
              <w:jc w:val="right"/>
            </w:pPr>
            <w:r w:rsidRPr="00261B7A">
              <w:rPr>
                <w:rFonts w:eastAsia="Calibri"/>
                <w:color w:val="000000"/>
              </w:rPr>
              <w:t>8.6</w:t>
            </w:r>
          </w:p>
        </w:tc>
        <w:tc>
          <w:tcPr>
            <w:tcW w:w="813" w:type="dxa"/>
            <w:shd w:val="clear" w:color="auto" w:fill="FFFFFF"/>
            <w:tcMar>
              <w:top w:w="0" w:type="dxa"/>
              <w:left w:w="108" w:type="dxa"/>
              <w:bottom w:w="0" w:type="dxa"/>
              <w:right w:w="108" w:type="dxa"/>
            </w:tcMar>
          </w:tcPr>
          <w:p w14:paraId="4793E4A7" w14:textId="77777777" w:rsidR="00422EFE" w:rsidRPr="00261B7A" w:rsidRDefault="00422EFE" w:rsidP="00D41492">
            <w:pPr>
              <w:pStyle w:val="TableText"/>
              <w:spacing w:before="40" w:after="40"/>
              <w:jc w:val="right"/>
            </w:pPr>
            <w:r w:rsidRPr="00261B7A">
              <w:rPr>
                <w:rFonts w:eastAsia="Calibri"/>
                <w:color w:val="000000"/>
              </w:rPr>
              <w:t>10.3</w:t>
            </w:r>
          </w:p>
        </w:tc>
        <w:tc>
          <w:tcPr>
            <w:tcW w:w="829" w:type="dxa"/>
            <w:shd w:val="clear" w:color="auto" w:fill="FFFFFF"/>
            <w:tcMar>
              <w:top w:w="0" w:type="dxa"/>
              <w:left w:w="108" w:type="dxa"/>
              <w:bottom w:w="0" w:type="dxa"/>
              <w:right w:w="108" w:type="dxa"/>
            </w:tcMar>
          </w:tcPr>
          <w:p w14:paraId="0FB7AF1E" w14:textId="77777777" w:rsidR="00422EFE" w:rsidRPr="00261B7A" w:rsidRDefault="00422EFE" w:rsidP="00D41492">
            <w:pPr>
              <w:pStyle w:val="TableText"/>
              <w:spacing w:before="40" w:after="40"/>
              <w:jc w:val="right"/>
            </w:pPr>
            <w:r w:rsidRPr="00261B7A">
              <w:rPr>
                <w:rFonts w:eastAsia="Calibri"/>
                <w:color w:val="000000"/>
              </w:rPr>
              <w:t>11.9</w:t>
            </w:r>
          </w:p>
        </w:tc>
        <w:tc>
          <w:tcPr>
            <w:tcW w:w="874" w:type="dxa"/>
            <w:shd w:val="clear" w:color="auto" w:fill="FFFFFF"/>
            <w:tcMar>
              <w:top w:w="0" w:type="dxa"/>
              <w:left w:w="108" w:type="dxa"/>
              <w:bottom w:w="0" w:type="dxa"/>
              <w:right w:w="108" w:type="dxa"/>
            </w:tcMar>
          </w:tcPr>
          <w:p w14:paraId="14C5BA36" w14:textId="77777777" w:rsidR="00422EFE" w:rsidRPr="00261B7A" w:rsidRDefault="00422EFE" w:rsidP="00D41492">
            <w:pPr>
              <w:pStyle w:val="TableText"/>
              <w:spacing w:before="40" w:after="40"/>
              <w:jc w:val="right"/>
            </w:pPr>
            <w:r w:rsidRPr="00261B7A">
              <w:rPr>
                <w:rFonts w:eastAsia="Calibri"/>
                <w:color w:val="000000"/>
              </w:rPr>
              <w:t>5.2</w:t>
            </w:r>
          </w:p>
        </w:tc>
        <w:tc>
          <w:tcPr>
            <w:tcW w:w="756" w:type="dxa"/>
            <w:shd w:val="clear" w:color="auto" w:fill="FFFFFF"/>
            <w:tcMar>
              <w:top w:w="0" w:type="dxa"/>
              <w:left w:w="108" w:type="dxa"/>
              <w:bottom w:w="0" w:type="dxa"/>
              <w:right w:w="108" w:type="dxa"/>
            </w:tcMar>
          </w:tcPr>
          <w:p w14:paraId="008578D2" w14:textId="77777777" w:rsidR="00422EFE" w:rsidRPr="00261B7A" w:rsidRDefault="00422EFE" w:rsidP="00D41492">
            <w:pPr>
              <w:pStyle w:val="TableText"/>
              <w:spacing w:before="40" w:after="40"/>
              <w:jc w:val="right"/>
            </w:pPr>
            <w:r w:rsidRPr="00261B7A">
              <w:rPr>
                <w:rFonts w:eastAsia="Calibri"/>
                <w:color w:val="000000"/>
              </w:rPr>
              <w:t>3.1</w:t>
            </w:r>
          </w:p>
        </w:tc>
        <w:tc>
          <w:tcPr>
            <w:tcW w:w="660" w:type="dxa"/>
            <w:shd w:val="clear" w:color="auto" w:fill="FFFFFF"/>
            <w:tcMar>
              <w:top w:w="0" w:type="dxa"/>
              <w:left w:w="108" w:type="dxa"/>
              <w:bottom w:w="0" w:type="dxa"/>
              <w:right w:w="108" w:type="dxa"/>
            </w:tcMar>
          </w:tcPr>
          <w:p w14:paraId="1B78C38B" w14:textId="77777777" w:rsidR="00422EFE" w:rsidRPr="00261B7A" w:rsidRDefault="00422EFE" w:rsidP="00D41492">
            <w:pPr>
              <w:pStyle w:val="TableText"/>
              <w:spacing w:before="40" w:after="40"/>
              <w:jc w:val="right"/>
            </w:pPr>
            <w:r w:rsidRPr="00261B7A">
              <w:rPr>
                <w:rFonts w:eastAsia="Calibri"/>
                <w:color w:val="000000"/>
              </w:rPr>
              <w:t>3.6</w:t>
            </w:r>
          </w:p>
        </w:tc>
        <w:tc>
          <w:tcPr>
            <w:tcW w:w="567" w:type="dxa"/>
            <w:shd w:val="clear" w:color="auto" w:fill="FFFFFF"/>
            <w:tcMar>
              <w:top w:w="0" w:type="dxa"/>
              <w:left w:w="108" w:type="dxa"/>
              <w:bottom w:w="0" w:type="dxa"/>
              <w:right w:w="108" w:type="dxa"/>
            </w:tcMar>
          </w:tcPr>
          <w:p w14:paraId="02F26845" w14:textId="77777777" w:rsidR="00422EFE" w:rsidRPr="00261B7A" w:rsidRDefault="00422EFE" w:rsidP="00D41492">
            <w:pPr>
              <w:pStyle w:val="TableText"/>
              <w:spacing w:before="40" w:after="40"/>
              <w:jc w:val="right"/>
            </w:pPr>
            <w:r w:rsidRPr="00261B7A">
              <w:rPr>
                <w:rFonts w:eastAsia="Calibri"/>
                <w:color w:val="000000"/>
              </w:rPr>
              <w:t>40.5</w:t>
            </w:r>
          </w:p>
        </w:tc>
        <w:tc>
          <w:tcPr>
            <w:tcW w:w="1985" w:type="dxa"/>
            <w:shd w:val="clear" w:color="auto" w:fill="FFFFFF"/>
            <w:tcMar>
              <w:top w:w="0" w:type="dxa"/>
              <w:left w:w="108" w:type="dxa"/>
              <w:bottom w:w="0" w:type="dxa"/>
              <w:right w:w="108" w:type="dxa"/>
            </w:tcMar>
          </w:tcPr>
          <w:p w14:paraId="2896C399"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5977F73B" w14:textId="77777777" w:rsidTr="00D41492">
        <w:tc>
          <w:tcPr>
            <w:tcW w:w="821" w:type="dxa"/>
            <w:shd w:val="clear" w:color="auto" w:fill="FFFFFF"/>
            <w:tcMar>
              <w:top w:w="0" w:type="dxa"/>
              <w:left w:w="108" w:type="dxa"/>
              <w:bottom w:w="0" w:type="dxa"/>
              <w:right w:w="108" w:type="dxa"/>
            </w:tcMar>
          </w:tcPr>
          <w:p w14:paraId="6A860CD3" w14:textId="77777777" w:rsidR="00422EFE" w:rsidRPr="00261B7A" w:rsidRDefault="00422EFE" w:rsidP="00D41492">
            <w:pPr>
              <w:pStyle w:val="TableText"/>
              <w:spacing w:before="40" w:after="40"/>
            </w:pPr>
            <w:r w:rsidRPr="00261B7A">
              <w:rPr>
                <w:rFonts w:eastAsia="Calibri"/>
                <w:color w:val="1B556B"/>
              </w:rPr>
              <w:t>2012</w:t>
            </w:r>
          </w:p>
        </w:tc>
        <w:tc>
          <w:tcPr>
            <w:tcW w:w="548" w:type="dxa"/>
            <w:shd w:val="clear" w:color="auto" w:fill="FFFFFF"/>
            <w:tcMar>
              <w:top w:w="0" w:type="dxa"/>
              <w:left w:w="108" w:type="dxa"/>
              <w:bottom w:w="0" w:type="dxa"/>
              <w:right w:w="108" w:type="dxa"/>
            </w:tcMar>
          </w:tcPr>
          <w:p w14:paraId="33A6E833" w14:textId="77777777" w:rsidR="00422EFE" w:rsidRPr="00261B7A" w:rsidRDefault="00422EFE" w:rsidP="00D41492">
            <w:pPr>
              <w:pStyle w:val="TableText"/>
              <w:spacing w:before="40" w:after="40"/>
              <w:jc w:val="right"/>
            </w:pPr>
            <w:r w:rsidRPr="00261B7A">
              <w:rPr>
                <w:rFonts w:eastAsia="Calibri"/>
                <w:color w:val="000000"/>
              </w:rPr>
              <w:t>16.8</w:t>
            </w:r>
          </w:p>
        </w:tc>
        <w:tc>
          <w:tcPr>
            <w:tcW w:w="916" w:type="dxa"/>
            <w:shd w:val="clear" w:color="auto" w:fill="FFFFFF"/>
            <w:tcMar>
              <w:top w:w="0" w:type="dxa"/>
              <w:left w:w="108" w:type="dxa"/>
              <w:bottom w:w="0" w:type="dxa"/>
              <w:right w:w="108" w:type="dxa"/>
            </w:tcMar>
          </w:tcPr>
          <w:p w14:paraId="2526B56F" w14:textId="77777777" w:rsidR="00422EFE" w:rsidRPr="00261B7A" w:rsidRDefault="00422EFE" w:rsidP="00D41492">
            <w:pPr>
              <w:pStyle w:val="TableText"/>
              <w:spacing w:before="40" w:after="40"/>
              <w:jc w:val="right"/>
            </w:pPr>
            <w:r w:rsidRPr="00261B7A">
              <w:rPr>
                <w:rFonts w:eastAsia="Calibri"/>
                <w:color w:val="000000"/>
              </w:rPr>
              <w:t>8.3</w:t>
            </w:r>
          </w:p>
        </w:tc>
        <w:tc>
          <w:tcPr>
            <w:tcW w:w="813" w:type="dxa"/>
            <w:shd w:val="clear" w:color="auto" w:fill="FFFFFF"/>
            <w:tcMar>
              <w:top w:w="0" w:type="dxa"/>
              <w:left w:w="108" w:type="dxa"/>
              <w:bottom w:w="0" w:type="dxa"/>
              <w:right w:w="108" w:type="dxa"/>
            </w:tcMar>
          </w:tcPr>
          <w:p w14:paraId="590B330C" w14:textId="77777777" w:rsidR="00422EFE" w:rsidRPr="00261B7A" w:rsidRDefault="00422EFE" w:rsidP="00D41492">
            <w:pPr>
              <w:pStyle w:val="TableText"/>
              <w:spacing w:before="40" w:after="40"/>
              <w:jc w:val="right"/>
            </w:pPr>
            <w:r w:rsidRPr="00261B7A">
              <w:rPr>
                <w:rFonts w:eastAsia="Calibri"/>
                <w:color w:val="000000"/>
              </w:rPr>
              <w:t>10.7</w:t>
            </w:r>
          </w:p>
        </w:tc>
        <w:tc>
          <w:tcPr>
            <w:tcW w:w="829" w:type="dxa"/>
            <w:shd w:val="clear" w:color="auto" w:fill="FFFFFF"/>
            <w:tcMar>
              <w:top w:w="0" w:type="dxa"/>
              <w:left w:w="108" w:type="dxa"/>
              <w:bottom w:w="0" w:type="dxa"/>
              <w:right w:w="108" w:type="dxa"/>
            </w:tcMar>
          </w:tcPr>
          <w:p w14:paraId="1DB23764" w14:textId="77777777" w:rsidR="00422EFE" w:rsidRPr="00261B7A" w:rsidRDefault="00422EFE" w:rsidP="00D41492">
            <w:pPr>
              <w:pStyle w:val="TableText"/>
              <w:spacing w:before="40" w:after="40"/>
              <w:jc w:val="right"/>
            </w:pPr>
            <w:r w:rsidRPr="00261B7A">
              <w:rPr>
                <w:rFonts w:eastAsia="Calibri"/>
                <w:color w:val="000000"/>
              </w:rPr>
              <w:t>11.9</w:t>
            </w:r>
          </w:p>
        </w:tc>
        <w:tc>
          <w:tcPr>
            <w:tcW w:w="874" w:type="dxa"/>
            <w:shd w:val="clear" w:color="auto" w:fill="FFFFFF"/>
            <w:tcMar>
              <w:top w:w="0" w:type="dxa"/>
              <w:left w:w="108" w:type="dxa"/>
              <w:bottom w:w="0" w:type="dxa"/>
              <w:right w:w="108" w:type="dxa"/>
            </w:tcMar>
          </w:tcPr>
          <w:p w14:paraId="5903BD9C" w14:textId="77777777" w:rsidR="00422EFE" w:rsidRPr="00261B7A" w:rsidRDefault="00422EFE" w:rsidP="00D41492">
            <w:pPr>
              <w:pStyle w:val="TableText"/>
              <w:spacing w:before="40" w:after="40"/>
              <w:jc w:val="right"/>
            </w:pPr>
            <w:r w:rsidRPr="00261B7A">
              <w:rPr>
                <w:rFonts w:eastAsia="Calibri"/>
                <w:color w:val="000000"/>
              </w:rPr>
              <w:t>5.6</w:t>
            </w:r>
          </w:p>
        </w:tc>
        <w:tc>
          <w:tcPr>
            <w:tcW w:w="756" w:type="dxa"/>
            <w:shd w:val="clear" w:color="auto" w:fill="FFFFFF"/>
            <w:tcMar>
              <w:top w:w="0" w:type="dxa"/>
              <w:left w:w="108" w:type="dxa"/>
              <w:bottom w:w="0" w:type="dxa"/>
              <w:right w:w="108" w:type="dxa"/>
            </w:tcMar>
          </w:tcPr>
          <w:p w14:paraId="7F8DF20B" w14:textId="7E2B9AC1" w:rsidR="00422EFE" w:rsidRPr="00261B7A" w:rsidRDefault="00422EFE" w:rsidP="00D41492">
            <w:pPr>
              <w:pStyle w:val="TableText"/>
              <w:spacing w:before="40" w:after="40"/>
              <w:jc w:val="right"/>
            </w:pPr>
            <w:r w:rsidRPr="00261B7A">
              <w:rPr>
                <w:rFonts w:eastAsia="Calibri"/>
                <w:color w:val="000000"/>
              </w:rPr>
              <w:t>3</w:t>
            </w:r>
            <w:r w:rsidR="00D84A50" w:rsidRPr="00261B7A">
              <w:rPr>
                <w:rFonts w:eastAsia="Calibri"/>
                <w:color w:val="000000"/>
              </w:rPr>
              <w:t>.0</w:t>
            </w:r>
          </w:p>
        </w:tc>
        <w:tc>
          <w:tcPr>
            <w:tcW w:w="660" w:type="dxa"/>
            <w:shd w:val="clear" w:color="auto" w:fill="FFFFFF"/>
            <w:tcMar>
              <w:top w:w="0" w:type="dxa"/>
              <w:left w:w="108" w:type="dxa"/>
              <w:bottom w:w="0" w:type="dxa"/>
              <w:right w:w="108" w:type="dxa"/>
            </w:tcMar>
          </w:tcPr>
          <w:p w14:paraId="038B912D" w14:textId="77777777" w:rsidR="00422EFE" w:rsidRPr="00261B7A" w:rsidRDefault="00422EFE" w:rsidP="00D41492">
            <w:pPr>
              <w:pStyle w:val="TableText"/>
              <w:spacing w:before="40" w:after="40"/>
              <w:jc w:val="right"/>
            </w:pPr>
            <w:r w:rsidRPr="00261B7A">
              <w:rPr>
                <w:rFonts w:eastAsia="Calibri"/>
                <w:color w:val="000000"/>
              </w:rPr>
              <w:t>3.9</w:t>
            </w:r>
          </w:p>
        </w:tc>
        <w:tc>
          <w:tcPr>
            <w:tcW w:w="567" w:type="dxa"/>
            <w:shd w:val="clear" w:color="auto" w:fill="FFFFFF"/>
            <w:tcMar>
              <w:top w:w="0" w:type="dxa"/>
              <w:left w:w="108" w:type="dxa"/>
              <w:bottom w:w="0" w:type="dxa"/>
              <w:right w:w="108" w:type="dxa"/>
            </w:tcMar>
          </w:tcPr>
          <w:p w14:paraId="1C4D2485" w14:textId="77777777" w:rsidR="00422EFE" w:rsidRPr="00261B7A" w:rsidRDefault="00422EFE" w:rsidP="00D41492">
            <w:pPr>
              <w:pStyle w:val="TableText"/>
              <w:spacing w:before="40" w:after="40"/>
              <w:jc w:val="right"/>
            </w:pPr>
            <w:r w:rsidRPr="00261B7A">
              <w:rPr>
                <w:rFonts w:eastAsia="Calibri"/>
                <w:color w:val="000000"/>
              </w:rPr>
              <w:t>39.9</w:t>
            </w:r>
          </w:p>
        </w:tc>
        <w:tc>
          <w:tcPr>
            <w:tcW w:w="1985" w:type="dxa"/>
            <w:shd w:val="clear" w:color="auto" w:fill="FFFFFF"/>
            <w:tcMar>
              <w:top w:w="0" w:type="dxa"/>
              <w:left w:w="108" w:type="dxa"/>
              <w:bottom w:w="0" w:type="dxa"/>
              <w:right w:w="108" w:type="dxa"/>
            </w:tcMar>
          </w:tcPr>
          <w:p w14:paraId="567ECC7F" w14:textId="77777777" w:rsidR="00422EFE" w:rsidRPr="00261B7A" w:rsidRDefault="00422EFE" w:rsidP="00D41492">
            <w:pPr>
              <w:pStyle w:val="TableText"/>
              <w:spacing w:before="40" w:after="40"/>
            </w:pPr>
            <w:r w:rsidRPr="00261B7A">
              <w:rPr>
                <w:rFonts w:eastAsia="Calibri"/>
                <w:color w:val="000000"/>
              </w:rPr>
              <w:t>Survey</w:t>
            </w:r>
          </w:p>
        </w:tc>
      </w:tr>
      <w:tr w:rsidR="00422EFE" w:rsidRPr="00261B7A" w14:paraId="6A5F173E" w14:textId="77777777" w:rsidTr="00D41492">
        <w:tc>
          <w:tcPr>
            <w:tcW w:w="821" w:type="dxa"/>
            <w:shd w:val="clear" w:color="auto" w:fill="FFFFFF"/>
            <w:tcMar>
              <w:top w:w="0" w:type="dxa"/>
              <w:left w:w="108" w:type="dxa"/>
              <w:bottom w:w="0" w:type="dxa"/>
              <w:right w:w="108" w:type="dxa"/>
            </w:tcMar>
          </w:tcPr>
          <w:p w14:paraId="6A547D21" w14:textId="77777777" w:rsidR="00422EFE" w:rsidRPr="00261B7A" w:rsidRDefault="00422EFE" w:rsidP="00D41492">
            <w:pPr>
              <w:pStyle w:val="TableText"/>
              <w:spacing w:before="40" w:after="40"/>
            </w:pPr>
            <w:r w:rsidRPr="00261B7A">
              <w:rPr>
                <w:rFonts w:eastAsia="Calibri"/>
                <w:color w:val="1B556B"/>
              </w:rPr>
              <w:t>2013</w:t>
            </w:r>
          </w:p>
        </w:tc>
        <w:tc>
          <w:tcPr>
            <w:tcW w:w="548" w:type="dxa"/>
            <w:shd w:val="clear" w:color="auto" w:fill="FFFFFF"/>
            <w:tcMar>
              <w:top w:w="0" w:type="dxa"/>
              <w:left w:w="108" w:type="dxa"/>
              <w:bottom w:w="0" w:type="dxa"/>
              <w:right w:w="108" w:type="dxa"/>
            </w:tcMar>
          </w:tcPr>
          <w:p w14:paraId="46514E01" w14:textId="77777777" w:rsidR="00422EFE" w:rsidRPr="00261B7A" w:rsidRDefault="00422EFE" w:rsidP="00D41492">
            <w:pPr>
              <w:pStyle w:val="TableText"/>
              <w:spacing w:before="40" w:after="40"/>
              <w:jc w:val="right"/>
            </w:pPr>
            <w:r w:rsidRPr="00261B7A">
              <w:rPr>
                <w:rFonts w:eastAsia="Calibri"/>
                <w:color w:val="000000"/>
              </w:rPr>
              <w:t>15.5</w:t>
            </w:r>
          </w:p>
        </w:tc>
        <w:tc>
          <w:tcPr>
            <w:tcW w:w="916" w:type="dxa"/>
            <w:shd w:val="clear" w:color="auto" w:fill="FFFFFF"/>
            <w:tcMar>
              <w:top w:w="0" w:type="dxa"/>
              <w:left w:w="108" w:type="dxa"/>
              <w:bottom w:w="0" w:type="dxa"/>
              <w:right w:w="108" w:type="dxa"/>
            </w:tcMar>
          </w:tcPr>
          <w:p w14:paraId="382A4F3C" w14:textId="77777777" w:rsidR="00422EFE" w:rsidRPr="00261B7A" w:rsidRDefault="00422EFE" w:rsidP="00D41492">
            <w:pPr>
              <w:pStyle w:val="TableText"/>
              <w:spacing w:before="40" w:after="40"/>
              <w:jc w:val="right"/>
            </w:pPr>
            <w:r w:rsidRPr="00261B7A">
              <w:rPr>
                <w:rFonts w:eastAsia="Calibri"/>
                <w:color w:val="000000"/>
              </w:rPr>
              <w:t>7.9</w:t>
            </w:r>
          </w:p>
        </w:tc>
        <w:tc>
          <w:tcPr>
            <w:tcW w:w="813" w:type="dxa"/>
            <w:shd w:val="clear" w:color="auto" w:fill="FFFFFF"/>
            <w:tcMar>
              <w:top w:w="0" w:type="dxa"/>
              <w:left w:w="108" w:type="dxa"/>
              <w:bottom w:w="0" w:type="dxa"/>
              <w:right w:w="108" w:type="dxa"/>
            </w:tcMar>
          </w:tcPr>
          <w:p w14:paraId="4A2E8697" w14:textId="77777777" w:rsidR="00422EFE" w:rsidRPr="00261B7A" w:rsidRDefault="00422EFE" w:rsidP="00D41492">
            <w:pPr>
              <w:pStyle w:val="TableText"/>
              <w:spacing w:before="40" w:after="40"/>
              <w:jc w:val="right"/>
            </w:pPr>
            <w:r w:rsidRPr="00261B7A">
              <w:rPr>
                <w:rFonts w:eastAsia="Calibri"/>
                <w:color w:val="000000"/>
              </w:rPr>
              <w:t>9.9</w:t>
            </w:r>
          </w:p>
        </w:tc>
        <w:tc>
          <w:tcPr>
            <w:tcW w:w="829" w:type="dxa"/>
            <w:shd w:val="clear" w:color="auto" w:fill="FFFFFF"/>
            <w:tcMar>
              <w:top w:w="0" w:type="dxa"/>
              <w:left w:w="108" w:type="dxa"/>
              <w:bottom w:w="0" w:type="dxa"/>
              <w:right w:w="108" w:type="dxa"/>
            </w:tcMar>
          </w:tcPr>
          <w:p w14:paraId="75EE27DE" w14:textId="08CE7204" w:rsidR="00422EFE" w:rsidRPr="00261B7A" w:rsidRDefault="00422EFE" w:rsidP="00D41492">
            <w:pPr>
              <w:pStyle w:val="TableText"/>
              <w:spacing w:before="40" w:after="40"/>
              <w:jc w:val="right"/>
            </w:pPr>
            <w:r w:rsidRPr="00261B7A">
              <w:rPr>
                <w:rFonts w:eastAsia="Calibri"/>
                <w:color w:val="000000"/>
              </w:rPr>
              <w:t>12</w:t>
            </w:r>
            <w:r w:rsidR="002B551F" w:rsidRPr="00261B7A">
              <w:rPr>
                <w:rFonts w:eastAsia="Calibri"/>
                <w:color w:val="000000"/>
              </w:rPr>
              <w:t>.0</w:t>
            </w:r>
          </w:p>
        </w:tc>
        <w:tc>
          <w:tcPr>
            <w:tcW w:w="874" w:type="dxa"/>
            <w:shd w:val="clear" w:color="auto" w:fill="FFFFFF"/>
            <w:tcMar>
              <w:top w:w="0" w:type="dxa"/>
              <w:left w:w="108" w:type="dxa"/>
              <w:bottom w:w="0" w:type="dxa"/>
              <w:right w:w="108" w:type="dxa"/>
            </w:tcMar>
          </w:tcPr>
          <w:p w14:paraId="4C7C67C2" w14:textId="77777777" w:rsidR="00422EFE" w:rsidRPr="00261B7A" w:rsidRDefault="00422EFE" w:rsidP="00D41492">
            <w:pPr>
              <w:pStyle w:val="TableText"/>
              <w:spacing w:before="40" w:after="40"/>
              <w:jc w:val="right"/>
            </w:pPr>
            <w:r w:rsidRPr="00261B7A">
              <w:rPr>
                <w:rFonts w:eastAsia="Calibri"/>
                <w:color w:val="000000"/>
              </w:rPr>
              <w:t>5.5</w:t>
            </w:r>
          </w:p>
        </w:tc>
        <w:tc>
          <w:tcPr>
            <w:tcW w:w="756" w:type="dxa"/>
            <w:shd w:val="clear" w:color="auto" w:fill="FFFFFF"/>
            <w:tcMar>
              <w:top w:w="0" w:type="dxa"/>
              <w:left w:w="108" w:type="dxa"/>
              <w:bottom w:w="0" w:type="dxa"/>
              <w:right w:w="108" w:type="dxa"/>
            </w:tcMar>
          </w:tcPr>
          <w:p w14:paraId="5BA55DE8" w14:textId="77777777" w:rsidR="00422EFE" w:rsidRPr="00261B7A" w:rsidRDefault="00422EFE" w:rsidP="00D41492">
            <w:pPr>
              <w:pStyle w:val="TableText"/>
              <w:spacing w:before="40" w:after="40"/>
              <w:jc w:val="right"/>
            </w:pPr>
            <w:r w:rsidRPr="00261B7A">
              <w:rPr>
                <w:rFonts w:eastAsia="Calibri"/>
                <w:color w:val="000000"/>
              </w:rPr>
              <w:t>2.9</w:t>
            </w:r>
          </w:p>
        </w:tc>
        <w:tc>
          <w:tcPr>
            <w:tcW w:w="660" w:type="dxa"/>
            <w:shd w:val="clear" w:color="auto" w:fill="FFFFFF"/>
            <w:tcMar>
              <w:top w:w="0" w:type="dxa"/>
              <w:left w:w="108" w:type="dxa"/>
              <w:bottom w:w="0" w:type="dxa"/>
              <w:right w:w="108" w:type="dxa"/>
            </w:tcMar>
          </w:tcPr>
          <w:p w14:paraId="721084B7" w14:textId="77777777" w:rsidR="00422EFE" w:rsidRPr="00261B7A" w:rsidRDefault="00422EFE" w:rsidP="00D41492">
            <w:pPr>
              <w:pStyle w:val="TableText"/>
              <w:spacing w:before="40" w:after="40"/>
              <w:jc w:val="right"/>
            </w:pPr>
            <w:r w:rsidRPr="00261B7A">
              <w:rPr>
                <w:rFonts w:eastAsia="Calibri"/>
                <w:color w:val="000000"/>
              </w:rPr>
              <w:t>3.6</w:t>
            </w:r>
          </w:p>
        </w:tc>
        <w:tc>
          <w:tcPr>
            <w:tcW w:w="567" w:type="dxa"/>
            <w:shd w:val="clear" w:color="auto" w:fill="FFFFFF"/>
            <w:tcMar>
              <w:top w:w="0" w:type="dxa"/>
              <w:left w:w="108" w:type="dxa"/>
              <w:bottom w:w="0" w:type="dxa"/>
              <w:right w:w="108" w:type="dxa"/>
            </w:tcMar>
          </w:tcPr>
          <w:p w14:paraId="7EC04ED9" w14:textId="77777777" w:rsidR="00422EFE" w:rsidRPr="00261B7A" w:rsidRDefault="00422EFE" w:rsidP="00D41492">
            <w:pPr>
              <w:pStyle w:val="TableText"/>
              <w:spacing w:before="40" w:after="40"/>
              <w:jc w:val="right"/>
            </w:pPr>
            <w:r w:rsidRPr="00261B7A">
              <w:rPr>
                <w:rFonts w:eastAsia="Calibri"/>
                <w:color w:val="000000"/>
              </w:rPr>
              <w:t>42.8</w:t>
            </w:r>
          </w:p>
        </w:tc>
        <w:tc>
          <w:tcPr>
            <w:tcW w:w="1985" w:type="dxa"/>
            <w:shd w:val="clear" w:color="auto" w:fill="FFFFFF"/>
            <w:tcMar>
              <w:top w:w="0" w:type="dxa"/>
              <w:left w:w="108" w:type="dxa"/>
              <w:bottom w:w="0" w:type="dxa"/>
              <w:right w:w="108" w:type="dxa"/>
            </w:tcMar>
          </w:tcPr>
          <w:p w14:paraId="329DCA1A"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7E941889" w14:textId="77777777" w:rsidTr="00D41492">
        <w:tc>
          <w:tcPr>
            <w:tcW w:w="821" w:type="dxa"/>
            <w:shd w:val="clear" w:color="auto" w:fill="FFFFFF"/>
            <w:tcMar>
              <w:top w:w="0" w:type="dxa"/>
              <w:left w:w="108" w:type="dxa"/>
              <w:bottom w:w="0" w:type="dxa"/>
              <w:right w:w="108" w:type="dxa"/>
            </w:tcMar>
          </w:tcPr>
          <w:p w14:paraId="5D0B9085" w14:textId="77777777" w:rsidR="00422EFE" w:rsidRPr="00261B7A" w:rsidRDefault="00422EFE" w:rsidP="00D41492">
            <w:pPr>
              <w:pStyle w:val="TableText"/>
              <w:spacing w:before="40" w:after="40"/>
            </w:pPr>
            <w:r w:rsidRPr="00261B7A">
              <w:rPr>
                <w:rFonts w:eastAsia="Calibri"/>
                <w:color w:val="1B556B"/>
              </w:rPr>
              <w:t>2014</w:t>
            </w:r>
          </w:p>
        </w:tc>
        <w:tc>
          <w:tcPr>
            <w:tcW w:w="548" w:type="dxa"/>
            <w:shd w:val="clear" w:color="auto" w:fill="FFFFFF"/>
            <w:tcMar>
              <w:top w:w="0" w:type="dxa"/>
              <w:left w:w="108" w:type="dxa"/>
              <w:bottom w:w="0" w:type="dxa"/>
              <w:right w:w="108" w:type="dxa"/>
            </w:tcMar>
          </w:tcPr>
          <w:p w14:paraId="1FB426D8" w14:textId="77777777" w:rsidR="00422EFE" w:rsidRPr="00261B7A" w:rsidRDefault="00422EFE" w:rsidP="00D41492">
            <w:pPr>
              <w:pStyle w:val="TableText"/>
              <w:spacing w:before="40" w:after="40"/>
              <w:jc w:val="right"/>
            </w:pPr>
            <w:r w:rsidRPr="00261B7A">
              <w:rPr>
                <w:rFonts w:eastAsia="Calibri"/>
                <w:color w:val="000000"/>
              </w:rPr>
              <w:t>14.2</w:t>
            </w:r>
          </w:p>
        </w:tc>
        <w:tc>
          <w:tcPr>
            <w:tcW w:w="916" w:type="dxa"/>
            <w:shd w:val="clear" w:color="auto" w:fill="FFFFFF"/>
            <w:tcMar>
              <w:top w:w="0" w:type="dxa"/>
              <w:left w:w="108" w:type="dxa"/>
              <w:bottom w:w="0" w:type="dxa"/>
              <w:right w:w="108" w:type="dxa"/>
            </w:tcMar>
          </w:tcPr>
          <w:p w14:paraId="5D42EEDB" w14:textId="77777777" w:rsidR="00422EFE" w:rsidRPr="00261B7A" w:rsidRDefault="00422EFE" w:rsidP="00D41492">
            <w:pPr>
              <w:pStyle w:val="TableText"/>
              <w:spacing w:before="40" w:after="40"/>
              <w:jc w:val="right"/>
            </w:pPr>
            <w:r w:rsidRPr="00261B7A">
              <w:rPr>
                <w:rFonts w:eastAsia="Calibri"/>
                <w:color w:val="000000"/>
              </w:rPr>
              <w:t>7.5</w:t>
            </w:r>
          </w:p>
        </w:tc>
        <w:tc>
          <w:tcPr>
            <w:tcW w:w="813" w:type="dxa"/>
            <w:shd w:val="clear" w:color="auto" w:fill="FFFFFF"/>
            <w:tcMar>
              <w:top w:w="0" w:type="dxa"/>
              <w:left w:w="108" w:type="dxa"/>
              <w:bottom w:w="0" w:type="dxa"/>
              <w:right w:w="108" w:type="dxa"/>
            </w:tcMar>
          </w:tcPr>
          <w:p w14:paraId="6BD21ED9" w14:textId="77777777" w:rsidR="00422EFE" w:rsidRPr="00261B7A" w:rsidRDefault="00422EFE" w:rsidP="00D41492">
            <w:pPr>
              <w:pStyle w:val="TableText"/>
              <w:spacing w:before="40" w:after="40"/>
              <w:jc w:val="right"/>
            </w:pPr>
            <w:r w:rsidRPr="00261B7A">
              <w:rPr>
                <w:rFonts w:eastAsia="Calibri"/>
                <w:color w:val="000000"/>
              </w:rPr>
              <w:t>9.1</w:t>
            </w:r>
          </w:p>
        </w:tc>
        <w:tc>
          <w:tcPr>
            <w:tcW w:w="829" w:type="dxa"/>
            <w:shd w:val="clear" w:color="auto" w:fill="FFFFFF"/>
            <w:tcMar>
              <w:top w:w="0" w:type="dxa"/>
              <w:left w:w="108" w:type="dxa"/>
              <w:bottom w:w="0" w:type="dxa"/>
              <w:right w:w="108" w:type="dxa"/>
            </w:tcMar>
          </w:tcPr>
          <w:p w14:paraId="76F65C1F" w14:textId="77777777" w:rsidR="00422EFE" w:rsidRPr="00261B7A" w:rsidRDefault="00422EFE" w:rsidP="00D41492">
            <w:pPr>
              <w:pStyle w:val="TableText"/>
              <w:spacing w:before="40" w:after="40"/>
              <w:jc w:val="right"/>
            </w:pPr>
            <w:r w:rsidRPr="00261B7A">
              <w:rPr>
                <w:rFonts w:eastAsia="Calibri"/>
                <w:color w:val="000000"/>
              </w:rPr>
              <w:t>12.1</w:t>
            </w:r>
          </w:p>
        </w:tc>
        <w:tc>
          <w:tcPr>
            <w:tcW w:w="874" w:type="dxa"/>
            <w:shd w:val="clear" w:color="auto" w:fill="FFFFFF"/>
            <w:tcMar>
              <w:top w:w="0" w:type="dxa"/>
              <w:left w:w="108" w:type="dxa"/>
              <w:bottom w:w="0" w:type="dxa"/>
              <w:right w:w="108" w:type="dxa"/>
            </w:tcMar>
          </w:tcPr>
          <w:p w14:paraId="643903AD" w14:textId="77777777" w:rsidR="00422EFE" w:rsidRPr="00261B7A" w:rsidRDefault="00422EFE" w:rsidP="00D41492">
            <w:pPr>
              <w:pStyle w:val="TableText"/>
              <w:spacing w:before="40" w:after="40"/>
              <w:jc w:val="right"/>
            </w:pPr>
            <w:r w:rsidRPr="00261B7A">
              <w:rPr>
                <w:rFonts w:eastAsia="Calibri"/>
                <w:color w:val="000000"/>
              </w:rPr>
              <w:t>5.4</w:t>
            </w:r>
          </w:p>
        </w:tc>
        <w:tc>
          <w:tcPr>
            <w:tcW w:w="756" w:type="dxa"/>
            <w:shd w:val="clear" w:color="auto" w:fill="FFFFFF"/>
            <w:tcMar>
              <w:top w:w="0" w:type="dxa"/>
              <w:left w:w="108" w:type="dxa"/>
              <w:bottom w:w="0" w:type="dxa"/>
              <w:right w:w="108" w:type="dxa"/>
            </w:tcMar>
          </w:tcPr>
          <w:p w14:paraId="7A4EEBC5" w14:textId="77777777" w:rsidR="00422EFE" w:rsidRPr="00261B7A" w:rsidRDefault="00422EFE" w:rsidP="00D41492">
            <w:pPr>
              <w:pStyle w:val="TableText"/>
              <w:spacing w:before="40" w:after="40"/>
              <w:jc w:val="right"/>
            </w:pPr>
            <w:r w:rsidRPr="00261B7A">
              <w:rPr>
                <w:rFonts w:eastAsia="Calibri"/>
                <w:color w:val="000000"/>
              </w:rPr>
              <w:t>2.8</w:t>
            </w:r>
          </w:p>
        </w:tc>
        <w:tc>
          <w:tcPr>
            <w:tcW w:w="660" w:type="dxa"/>
            <w:shd w:val="clear" w:color="auto" w:fill="FFFFFF"/>
            <w:tcMar>
              <w:top w:w="0" w:type="dxa"/>
              <w:left w:w="108" w:type="dxa"/>
              <w:bottom w:w="0" w:type="dxa"/>
              <w:right w:w="108" w:type="dxa"/>
            </w:tcMar>
          </w:tcPr>
          <w:p w14:paraId="40B7E24C" w14:textId="77777777" w:rsidR="00422EFE" w:rsidRPr="00261B7A" w:rsidRDefault="00422EFE" w:rsidP="00D41492">
            <w:pPr>
              <w:pStyle w:val="TableText"/>
              <w:spacing w:before="40" w:after="40"/>
              <w:jc w:val="right"/>
            </w:pPr>
            <w:r w:rsidRPr="00261B7A">
              <w:rPr>
                <w:rFonts w:eastAsia="Calibri"/>
                <w:color w:val="000000"/>
              </w:rPr>
              <w:t>3.2</w:t>
            </w:r>
          </w:p>
        </w:tc>
        <w:tc>
          <w:tcPr>
            <w:tcW w:w="567" w:type="dxa"/>
            <w:shd w:val="clear" w:color="auto" w:fill="FFFFFF"/>
            <w:tcMar>
              <w:top w:w="0" w:type="dxa"/>
              <w:left w:w="108" w:type="dxa"/>
              <w:bottom w:w="0" w:type="dxa"/>
              <w:right w:w="108" w:type="dxa"/>
            </w:tcMar>
          </w:tcPr>
          <w:p w14:paraId="69714FA7" w14:textId="77777777" w:rsidR="00422EFE" w:rsidRPr="00261B7A" w:rsidRDefault="00422EFE" w:rsidP="00D41492">
            <w:pPr>
              <w:pStyle w:val="TableText"/>
              <w:spacing w:before="40" w:after="40"/>
              <w:jc w:val="right"/>
            </w:pPr>
            <w:r w:rsidRPr="00261B7A">
              <w:rPr>
                <w:rFonts w:eastAsia="Calibri"/>
                <w:color w:val="000000"/>
              </w:rPr>
              <w:t>45.7</w:t>
            </w:r>
          </w:p>
        </w:tc>
        <w:tc>
          <w:tcPr>
            <w:tcW w:w="1985" w:type="dxa"/>
            <w:shd w:val="clear" w:color="auto" w:fill="FFFFFF"/>
            <w:tcMar>
              <w:top w:w="0" w:type="dxa"/>
              <w:left w:w="108" w:type="dxa"/>
              <w:bottom w:w="0" w:type="dxa"/>
              <w:right w:w="108" w:type="dxa"/>
            </w:tcMar>
          </w:tcPr>
          <w:p w14:paraId="3B09B5E6"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495FF71E" w14:textId="77777777" w:rsidTr="00D41492">
        <w:tc>
          <w:tcPr>
            <w:tcW w:w="821" w:type="dxa"/>
            <w:shd w:val="clear" w:color="auto" w:fill="FFFFFF"/>
            <w:tcMar>
              <w:top w:w="0" w:type="dxa"/>
              <w:left w:w="108" w:type="dxa"/>
              <w:bottom w:w="0" w:type="dxa"/>
              <w:right w:w="108" w:type="dxa"/>
            </w:tcMar>
          </w:tcPr>
          <w:p w14:paraId="127E33C3" w14:textId="77777777" w:rsidR="00422EFE" w:rsidRPr="00261B7A" w:rsidRDefault="00422EFE" w:rsidP="00D41492">
            <w:pPr>
              <w:pStyle w:val="TableText"/>
              <w:spacing w:before="40" w:after="40"/>
            </w:pPr>
            <w:r w:rsidRPr="00261B7A">
              <w:rPr>
                <w:rFonts w:eastAsia="Calibri"/>
                <w:color w:val="1B556B"/>
              </w:rPr>
              <w:t>2015</w:t>
            </w:r>
          </w:p>
        </w:tc>
        <w:tc>
          <w:tcPr>
            <w:tcW w:w="548" w:type="dxa"/>
            <w:shd w:val="clear" w:color="auto" w:fill="FFFFFF"/>
            <w:tcMar>
              <w:top w:w="0" w:type="dxa"/>
              <w:left w:w="108" w:type="dxa"/>
              <w:bottom w:w="0" w:type="dxa"/>
              <w:right w:w="108" w:type="dxa"/>
            </w:tcMar>
          </w:tcPr>
          <w:p w14:paraId="0E947A36" w14:textId="77777777" w:rsidR="00422EFE" w:rsidRPr="00261B7A" w:rsidRDefault="00422EFE" w:rsidP="00D41492">
            <w:pPr>
              <w:pStyle w:val="TableText"/>
              <w:spacing w:before="40" w:after="40"/>
              <w:jc w:val="right"/>
            </w:pPr>
            <w:r w:rsidRPr="00261B7A">
              <w:rPr>
                <w:rFonts w:eastAsia="Calibri"/>
                <w:color w:val="000000"/>
              </w:rPr>
              <w:t>12.9</w:t>
            </w:r>
          </w:p>
        </w:tc>
        <w:tc>
          <w:tcPr>
            <w:tcW w:w="916" w:type="dxa"/>
            <w:shd w:val="clear" w:color="auto" w:fill="FFFFFF"/>
            <w:tcMar>
              <w:top w:w="0" w:type="dxa"/>
              <w:left w:w="108" w:type="dxa"/>
              <w:bottom w:w="0" w:type="dxa"/>
              <w:right w:w="108" w:type="dxa"/>
            </w:tcMar>
          </w:tcPr>
          <w:p w14:paraId="71213032" w14:textId="095D260F" w:rsidR="00422EFE" w:rsidRPr="00261B7A" w:rsidRDefault="00422EFE" w:rsidP="00D41492">
            <w:pPr>
              <w:pStyle w:val="TableText"/>
              <w:spacing w:before="40" w:after="40"/>
              <w:jc w:val="right"/>
            </w:pPr>
            <w:r w:rsidRPr="00261B7A">
              <w:rPr>
                <w:rFonts w:eastAsia="Calibri"/>
                <w:color w:val="000000"/>
              </w:rPr>
              <w:t>7</w:t>
            </w:r>
            <w:r w:rsidR="005A6546" w:rsidRPr="00261B7A">
              <w:rPr>
                <w:rFonts w:eastAsia="Calibri"/>
                <w:color w:val="000000"/>
              </w:rPr>
              <w:t>.0</w:t>
            </w:r>
          </w:p>
        </w:tc>
        <w:tc>
          <w:tcPr>
            <w:tcW w:w="813" w:type="dxa"/>
            <w:shd w:val="clear" w:color="auto" w:fill="FFFFFF"/>
            <w:tcMar>
              <w:top w:w="0" w:type="dxa"/>
              <w:left w:w="108" w:type="dxa"/>
              <w:bottom w:w="0" w:type="dxa"/>
              <w:right w:w="108" w:type="dxa"/>
            </w:tcMar>
          </w:tcPr>
          <w:p w14:paraId="2142F26A" w14:textId="77777777" w:rsidR="00422EFE" w:rsidRPr="00261B7A" w:rsidRDefault="00422EFE" w:rsidP="00D41492">
            <w:pPr>
              <w:pStyle w:val="TableText"/>
              <w:spacing w:before="40" w:after="40"/>
              <w:jc w:val="right"/>
            </w:pPr>
            <w:r w:rsidRPr="00261B7A">
              <w:rPr>
                <w:rFonts w:eastAsia="Calibri"/>
                <w:color w:val="000000"/>
              </w:rPr>
              <w:t>8.3</w:t>
            </w:r>
          </w:p>
        </w:tc>
        <w:tc>
          <w:tcPr>
            <w:tcW w:w="829" w:type="dxa"/>
            <w:shd w:val="clear" w:color="auto" w:fill="FFFFFF"/>
            <w:tcMar>
              <w:top w:w="0" w:type="dxa"/>
              <w:left w:w="108" w:type="dxa"/>
              <w:bottom w:w="0" w:type="dxa"/>
              <w:right w:w="108" w:type="dxa"/>
            </w:tcMar>
          </w:tcPr>
          <w:p w14:paraId="205A96EA" w14:textId="77777777" w:rsidR="00422EFE" w:rsidRPr="00261B7A" w:rsidRDefault="00422EFE" w:rsidP="00D41492">
            <w:pPr>
              <w:pStyle w:val="TableText"/>
              <w:spacing w:before="40" w:after="40"/>
              <w:jc w:val="right"/>
            </w:pPr>
            <w:r w:rsidRPr="00261B7A">
              <w:rPr>
                <w:rFonts w:eastAsia="Calibri"/>
                <w:color w:val="000000"/>
              </w:rPr>
              <w:t>12.2</w:t>
            </w:r>
          </w:p>
        </w:tc>
        <w:tc>
          <w:tcPr>
            <w:tcW w:w="874" w:type="dxa"/>
            <w:shd w:val="clear" w:color="auto" w:fill="FFFFFF"/>
            <w:tcMar>
              <w:top w:w="0" w:type="dxa"/>
              <w:left w:w="108" w:type="dxa"/>
              <w:bottom w:w="0" w:type="dxa"/>
              <w:right w:w="108" w:type="dxa"/>
            </w:tcMar>
          </w:tcPr>
          <w:p w14:paraId="4E5C50A5" w14:textId="77777777" w:rsidR="00422EFE" w:rsidRPr="00261B7A" w:rsidRDefault="00422EFE" w:rsidP="00D41492">
            <w:pPr>
              <w:pStyle w:val="TableText"/>
              <w:spacing w:before="40" w:after="40"/>
              <w:jc w:val="right"/>
            </w:pPr>
            <w:r w:rsidRPr="00261B7A">
              <w:rPr>
                <w:rFonts w:eastAsia="Calibri"/>
                <w:color w:val="000000"/>
              </w:rPr>
              <w:t>5.3</w:t>
            </w:r>
          </w:p>
        </w:tc>
        <w:tc>
          <w:tcPr>
            <w:tcW w:w="756" w:type="dxa"/>
            <w:shd w:val="clear" w:color="auto" w:fill="FFFFFF"/>
            <w:tcMar>
              <w:top w:w="0" w:type="dxa"/>
              <w:left w:w="108" w:type="dxa"/>
              <w:bottom w:w="0" w:type="dxa"/>
              <w:right w:w="108" w:type="dxa"/>
            </w:tcMar>
          </w:tcPr>
          <w:p w14:paraId="468EA847" w14:textId="77777777" w:rsidR="00422EFE" w:rsidRPr="00261B7A" w:rsidRDefault="00422EFE" w:rsidP="00D41492">
            <w:pPr>
              <w:pStyle w:val="TableText"/>
              <w:spacing w:before="40" w:after="40"/>
              <w:jc w:val="right"/>
            </w:pPr>
            <w:r w:rsidRPr="00261B7A">
              <w:rPr>
                <w:rFonts w:eastAsia="Calibri"/>
                <w:color w:val="000000"/>
              </w:rPr>
              <w:t>2.7</w:t>
            </w:r>
          </w:p>
        </w:tc>
        <w:tc>
          <w:tcPr>
            <w:tcW w:w="660" w:type="dxa"/>
            <w:shd w:val="clear" w:color="auto" w:fill="FFFFFF"/>
            <w:tcMar>
              <w:top w:w="0" w:type="dxa"/>
              <w:left w:w="108" w:type="dxa"/>
              <w:bottom w:w="0" w:type="dxa"/>
              <w:right w:w="108" w:type="dxa"/>
            </w:tcMar>
          </w:tcPr>
          <w:p w14:paraId="69DA7991" w14:textId="77777777" w:rsidR="00422EFE" w:rsidRPr="00261B7A" w:rsidRDefault="00422EFE" w:rsidP="00D41492">
            <w:pPr>
              <w:pStyle w:val="TableText"/>
              <w:spacing w:before="40" w:after="40"/>
              <w:jc w:val="right"/>
            </w:pPr>
            <w:r w:rsidRPr="00261B7A">
              <w:rPr>
                <w:rFonts w:eastAsia="Calibri"/>
                <w:color w:val="000000"/>
              </w:rPr>
              <w:t>2.9</w:t>
            </w:r>
          </w:p>
        </w:tc>
        <w:tc>
          <w:tcPr>
            <w:tcW w:w="567" w:type="dxa"/>
            <w:shd w:val="clear" w:color="auto" w:fill="FFFFFF"/>
            <w:tcMar>
              <w:top w:w="0" w:type="dxa"/>
              <w:left w:w="108" w:type="dxa"/>
              <w:bottom w:w="0" w:type="dxa"/>
              <w:right w:w="108" w:type="dxa"/>
            </w:tcMar>
          </w:tcPr>
          <w:p w14:paraId="7D769E57" w14:textId="77777777" w:rsidR="00422EFE" w:rsidRPr="00261B7A" w:rsidRDefault="00422EFE" w:rsidP="00D41492">
            <w:pPr>
              <w:pStyle w:val="TableText"/>
              <w:spacing w:before="40" w:after="40"/>
              <w:jc w:val="right"/>
            </w:pPr>
            <w:r w:rsidRPr="00261B7A">
              <w:rPr>
                <w:rFonts w:eastAsia="Calibri"/>
                <w:color w:val="000000"/>
              </w:rPr>
              <w:t>48.6</w:t>
            </w:r>
          </w:p>
        </w:tc>
        <w:tc>
          <w:tcPr>
            <w:tcW w:w="1985" w:type="dxa"/>
            <w:shd w:val="clear" w:color="auto" w:fill="FFFFFF"/>
            <w:tcMar>
              <w:top w:w="0" w:type="dxa"/>
              <w:left w:w="108" w:type="dxa"/>
              <w:bottom w:w="0" w:type="dxa"/>
              <w:right w:w="108" w:type="dxa"/>
            </w:tcMar>
          </w:tcPr>
          <w:p w14:paraId="4AA57AAC"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7CE26E09" w14:textId="77777777" w:rsidTr="00D41492">
        <w:tc>
          <w:tcPr>
            <w:tcW w:w="821" w:type="dxa"/>
            <w:shd w:val="clear" w:color="auto" w:fill="FFFFFF"/>
            <w:tcMar>
              <w:top w:w="0" w:type="dxa"/>
              <w:left w:w="108" w:type="dxa"/>
              <w:bottom w:w="0" w:type="dxa"/>
              <w:right w:w="108" w:type="dxa"/>
            </w:tcMar>
          </w:tcPr>
          <w:p w14:paraId="0198238D" w14:textId="77777777" w:rsidR="00422EFE" w:rsidRPr="00261B7A" w:rsidRDefault="00422EFE" w:rsidP="00D41492">
            <w:pPr>
              <w:pStyle w:val="TableText"/>
              <w:spacing w:before="40" w:after="40"/>
            </w:pPr>
            <w:r w:rsidRPr="00261B7A">
              <w:rPr>
                <w:rFonts w:eastAsia="Calibri"/>
                <w:color w:val="1B556B"/>
              </w:rPr>
              <w:t>2016</w:t>
            </w:r>
          </w:p>
        </w:tc>
        <w:tc>
          <w:tcPr>
            <w:tcW w:w="548" w:type="dxa"/>
            <w:shd w:val="clear" w:color="auto" w:fill="FFFFFF"/>
            <w:tcMar>
              <w:top w:w="0" w:type="dxa"/>
              <w:left w:w="108" w:type="dxa"/>
              <w:bottom w:w="0" w:type="dxa"/>
              <w:right w:w="108" w:type="dxa"/>
            </w:tcMar>
          </w:tcPr>
          <w:p w14:paraId="4498900B" w14:textId="77777777" w:rsidR="00422EFE" w:rsidRPr="00261B7A" w:rsidRDefault="00422EFE" w:rsidP="00D41492">
            <w:pPr>
              <w:pStyle w:val="TableText"/>
              <w:spacing w:before="40" w:after="40"/>
              <w:jc w:val="right"/>
            </w:pPr>
            <w:r w:rsidRPr="00261B7A">
              <w:rPr>
                <w:rFonts w:eastAsia="Calibri"/>
                <w:color w:val="000000"/>
              </w:rPr>
              <w:t>11.6</w:t>
            </w:r>
          </w:p>
        </w:tc>
        <w:tc>
          <w:tcPr>
            <w:tcW w:w="916" w:type="dxa"/>
            <w:shd w:val="clear" w:color="auto" w:fill="FFFFFF"/>
            <w:tcMar>
              <w:top w:w="0" w:type="dxa"/>
              <w:left w:w="108" w:type="dxa"/>
              <w:bottom w:w="0" w:type="dxa"/>
              <w:right w:w="108" w:type="dxa"/>
            </w:tcMar>
          </w:tcPr>
          <w:p w14:paraId="2BDADC33" w14:textId="77777777" w:rsidR="00422EFE" w:rsidRPr="00261B7A" w:rsidRDefault="00422EFE" w:rsidP="00D41492">
            <w:pPr>
              <w:pStyle w:val="TableText"/>
              <w:spacing w:before="40" w:after="40"/>
              <w:jc w:val="right"/>
            </w:pPr>
            <w:r w:rsidRPr="00261B7A">
              <w:rPr>
                <w:rFonts w:eastAsia="Calibri"/>
                <w:color w:val="000000"/>
              </w:rPr>
              <w:t>6.6</w:t>
            </w:r>
          </w:p>
        </w:tc>
        <w:tc>
          <w:tcPr>
            <w:tcW w:w="813" w:type="dxa"/>
            <w:shd w:val="clear" w:color="auto" w:fill="FFFFFF"/>
            <w:tcMar>
              <w:top w:w="0" w:type="dxa"/>
              <w:left w:w="108" w:type="dxa"/>
              <w:bottom w:w="0" w:type="dxa"/>
              <w:right w:w="108" w:type="dxa"/>
            </w:tcMar>
          </w:tcPr>
          <w:p w14:paraId="063E6C8B" w14:textId="77777777" w:rsidR="00422EFE" w:rsidRPr="00261B7A" w:rsidRDefault="00422EFE" w:rsidP="00D41492">
            <w:pPr>
              <w:pStyle w:val="TableText"/>
              <w:spacing w:before="40" w:after="40"/>
              <w:jc w:val="right"/>
            </w:pPr>
            <w:r w:rsidRPr="00261B7A">
              <w:rPr>
                <w:rFonts w:eastAsia="Calibri"/>
                <w:color w:val="000000"/>
              </w:rPr>
              <w:t>7.5</w:t>
            </w:r>
          </w:p>
        </w:tc>
        <w:tc>
          <w:tcPr>
            <w:tcW w:w="829" w:type="dxa"/>
            <w:shd w:val="clear" w:color="auto" w:fill="FFFFFF"/>
            <w:tcMar>
              <w:top w:w="0" w:type="dxa"/>
              <w:left w:w="108" w:type="dxa"/>
              <w:bottom w:w="0" w:type="dxa"/>
              <w:right w:w="108" w:type="dxa"/>
            </w:tcMar>
          </w:tcPr>
          <w:p w14:paraId="23D6C612" w14:textId="77777777" w:rsidR="00422EFE" w:rsidRPr="00261B7A" w:rsidRDefault="00422EFE" w:rsidP="00D41492">
            <w:pPr>
              <w:pStyle w:val="TableText"/>
              <w:spacing w:before="40" w:after="40"/>
              <w:jc w:val="right"/>
            </w:pPr>
            <w:r w:rsidRPr="00261B7A">
              <w:rPr>
                <w:rFonts w:eastAsia="Calibri"/>
                <w:color w:val="000000"/>
              </w:rPr>
              <w:t>12.4</w:t>
            </w:r>
          </w:p>
        </w:tc>
        <w:tc>
          <w:tcPr>
            <w:tcW w:w="874" w:type="dxa"/>
            <w:shd w:val="clear" w:color="auto" w:fill="FFFFFF"/>
            <w:tcMar>
              <w:top w:w="0" w:type="dxa"/>
              <w:left w:w="108" w:type="dxa"/>
              <w:bottom w:w="0" w:type="dxa"/>
              <w:right w:w="108" w:type="dxa"/>
            </w:tcMar>
          </w:tcPr>
          <w:p w14:paraId="01797583" w14:textId="77777777" w:rsidR="00422EFE" w:rsidRPr="00261B7A" w:rsidRDefault="00422EFE" w:rsidP="00D41492">
            <w:pPr>
              <w:pStyle w:val="TableText"/>
              <w:spacing w:before="40" w:after="40"/>
              <w:jc w:val="right"/>
            </w:pPr>
            <w:r w:rsidRPr="00261B7A">
              <w:rPr>
                <w:rFonts w:eastAsia="Calibri"/>
                <w:color w:val="000000"/>
              </w:rPr>
              <w:t>5.2</w:t>
            </w:r>
          </w:p>
        </w:tc>
        <w:tc>
          <w:tcPr>
            <w:tcW w:w="756" w:type="dxa"/>
            <w:shd w:val="clear" w:color="auto" w:fill="FFFFFF"/>
            <w:tcMar>
              <w:top w:w="0" w:type="dxa"/>
              <w:left w:w="108" w:type="dxa"/>
              <w:bottom w:w="0" w:type="dxa"/>
              <w:right w:w="108" w:type="dxa"/>
            </w:tcMar>
          </w:tcPr>
          <w:p w14:paraId="2B9DD551" w14:textId="77777777" w:rsidR="00422EFE" w:rsidRPr="00261B7A" w:rsidRDefault="00422EFE" w:rsidP="00D41492">
            <w:pPr>
              <w:pStyle w:val="TableText"/>
              <w:spacing w:before="40" w:after="40"/>
              <w:jc w:val="right"/>
            </w:pPr>
            <w:r w:rsidRPr="00261B7A">
              <w:rPr>
                <w:rFonts w:eastAsia="Calibri"/>
                <w:color w:val="000000"/>
              </w:rPr>
              <w:t>2.6</w:t>
            </w:r>
          </w:p>
        </w:tc>
        <w:tc>
          <w:tcPr>
            <w:tcW w:w="660" w:type="dxa"/>
            <w:shd w:val="clear" w:color="auto" w:fill="FFFFFF"/>
            <w:tcMar>
              <w:top w:w="0" w:type="dxa"/>
              <w:left w:w="108" w:type="dxa"/>
              <w:bottom w:w="0" w:type="dxa"/>
              <w:right w:w="108" w:type="dxa"/>
            </w:tcMar>
          </w:tcPr>
          <w:p w14:paraId="610D5D24" w14:textId="77777777" w:rsidR="00422EFE" w:rsidRPr="00261B7A" w:rsidRDefault="00422EFE" w:rsidP="00D41492">
            <w:pPr>
              <w:pStyle w:val="TableText"/>
              <w:spacing w:before="40" w:after="40"/>
              <w:jc w:val="right"/>
            </w:pPr>
            <w:r w:rsidRPr="00261B7A">
              <w:rPr>
                <w:rFonts w:eastAsia="Calibri"/>
                <w:color w:val="000000"/>
              </w:rPr>
              <w:t>2.6</w:t>
            </w:r>
          </w:p>
        </w:tc>
        <w:tc>
          <w:tcPr>
            <w:tcW w:w="567" w:type="dxa"/>
            <w:shd w:val="clear" w:color="auto" w:fill="FFFFFF"/>
            <w:tcMar>
              <w:top w:w="0" w:type="dxa"/>
              <w:left w:w="108" w:type="dxa"/>
              <w:bottom w:w="0" w:type="dxa"/>
              <w:right w:w="108" w:type="dxa"/>
            </w:tcMar>
          </w:tcPr>
          <w:p w14:paraId="58BB15D1" w14:textId="77777777" w:rsidR="00422EFE" w:rsidRPr="00261B7A" w:rsidRDefault="00422EFE" w:rsidP="00D41492">
            <w:pPr>
              <w:pStyle w:val="TableText"/>
              <w:spacing w:before="40" w:after="40"/>
              <w:jc w:val="right"/>
            </w:pPr>
            <w:r w:rsidRPr="00261B7A">
              <w:rPr>
                <w:rFonts w:eastAsia="Calibri"/>
                <w:color w:val="000000"/>
              </w:rPr>
              <w:t>51.5</w:t>
            </w:r>
          </w:p>
        </w:tc>
        <w:tc>
          <w:tcPr>
            <w:tcW w:w="1985" w:type="dxa"/>
            <w:shd w:val="clear" w:color="auto" w:fill="FFFFFF"/>
            <w:tcMar>
              <w:top w:w="0" w:type="dxa"/>
              <w:left w:w="108" w:type="dxa"/>
              <w:bottom w:w="0" w:type="dxa"/>
              <w:right w:w="108" w:type="dxa"/>
            </w:tcMar>
          </w:tcPr>
          <w:p w14:paraId="1C40CC18"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30604A90" w14:textId="77777777" w:rsidTr="00D41492">
        <w:tc>
          <w:tcPr>
            <w:tcW w:w="821" w:type="dxa"/>
            <w:shd w:val="clear" w:color="auto" w:fill="FFFFFF"/>
            <w:tcMar>
              <w:top w:w="0" w:type="dxa"/>
              <w:left w:w="108" w:type="dxa"/>
              <w:bottom w:w="0" w:type="dxa"/>
              <w:right w:w="108" w:type="dxa"/>
            </w:tcMar>
          </w:tcPr>
          <w:p w14:paraId="15A44DC0" w14:textId="77777777" w:rsidR="00422EFE" w:rsidRPr="00261B7A" w:rsidRDefault="00422EFE" w:rsidP="00D41492">
            <w:pPr>
              <w:pStyle w:val="TableText"/>
              <w:spacing w:before="40" w:after="40"/>
            </w:pPr>
            <w:r w:rsidRPr="00261B7A">
              <w:rPr>
                <w:rFonts w:eastAsia="Calibri"/>
                <w:color w:val="1B556B"/>
              </w:rPr>
              <w:t>2017</w:t>
            </w:r>
          </w:p>
        </w:tc>
        <w:tc>
          <w:tcPr>
            <w:tcW w:w="548" w:type="dxa"/>
            <w:shd w:val="clear" w:color="auto" w:fill="FFFFFF"/>
            <w:tcMar>
              <w:top w:w="0" w:type="dxa"/>
              <w:left w:w="108" w:type="dxa"/>
              <w:bottom w:w="0" w:type="dxa"/>
              <w:right w:w="108" w:type="dxa"/>
            </w:tcMar>
          </w:tcPr>
          <w:p w14:paraId="5B47899A" w14:textId="77777777" w:rsidR="00422EFE" w:rsidRPr="00261B7A" w:rsidRDefault="00422EFE" w:rsidP="00D41492">
            <w:pPr>
              <w:pStyle w:val="TableText"/>
              <w:spacing w:before="40" w:after="40"/>
              <w:jc w:val="right"/>
            </w:pPr>
            <w:r w:rsidRPr="00261B7A">
              <w:rPr>
                <w:rFonts w:eastAsia="Calibri"/>
                <w:color w:val="000000"/>
              </w:rPr>
              <w:t>10.3</w:t>
            </w:r>
          </w:p>
        </w:tc>
        <w:tc>
          <w:tcPr>
            <w:tcW w:w="916" w:type="dxa"/>
            <w:shd w:val="clear" w:color="auto" w:fill="FFFFFF"/>
            <w:tcMar>
              <w:top w:w="0" w:type="dxa"/>
              <w:left w:w="108" w:type="dxa"/>
              <w:bottom w:w="0" w:type="dxa"/>
              <w:right w:w="108" w:type="dxa"/>
            </w:tcMar>
          </w:tcPr>
          <w:p w14:paraId="6276C464" w14:textId="77777777" w:rsidR="00422EFE" w:rsidRPr="00261B7A" w:rsidRDefault="00422EFE" w:rsidP="00D41492">
            <w:pPr>
              <w:pStyle w:val="TableText"/>
              <w:spacing w:before="40" w:after="40"/>
              <w:jc w:val="right"/>
            </w:pPr>
            <w:r w:rsidRPr="00261B7A">
              <w:rPr>
                <w:rFonts w:eastAsia="Calibri"/>
                <w:color w:val="000000"/>
              </w:rPr>
              <w:t>6.2</w:t>
            </w:r>
          </w:p>
        </w:tc>
        <w:tc>
          <w:tcPr>
            <w:tcW w:w="813" w:type="dxa"/>
            <w:shd w:val="clear" w:color="auto" w:fill="FFFFFF"/>
            <w:tcMar>
              <w:top w:w="0" w:type="dxa"/>
              <w:left w:w="108" w:type="dxa"/>
              <w:bottom w:w="0" w:type="dxa"/>
              <w:right w:w="108" w:type="dxa"/>
            </w:tcMar>
          </w:tcPr>
          <w:p w14:paraId="01591C4E" w14:textId="77777777" w:rsidR="00422EFE" w:rsidRPr="00261B7A" w:rsidRDefault="00422EFE" w:rsidP="00D41492">
            <w:pPr>
              <w:pStyle w:val="TableText"/>
              <w:spacing w:before="40" w:after="40"/>
              <w:jc w:val="right"/>
            </w:pPr>
            <w:r w:rsidRPr="00261B7A">
              <w:rPr>
                <w:rFonts w:eastAsia="Calibri"/>
                <w:color w:val="000000"/>
              </w:rPr>
              <w:t>6.7</w:t>
            </w:r>
          </w:p>
        </w:tc>
        <w:tc>
          <w:tcPr>
            <w:tcW w:w="829" w:type="dxa"/>
            <w:shd w:val="clear" w:color="auto" w:fill="FFFFFF"/>
            <w:tcMar>
              <w:top w:w="0" w:type="dxa"/>
              <w:left w:w="108" w:type="dxa"/>
              <w:bottom w:w="0" w:type="dxa"/>
              <w:right w:w="108" w:type="dxa"/>
            </w:tcMar>
          </w:tcPr>
          <w:p w14:paraId="529F85FF" w14:textId="77777777" w:rsidR="00422EFE" w:rsidRPr="00261B7A" w:rsidRDefault="00422EFE" w:rsidP="00D41492">
            <w:pPr>
              <w:pStyle w:val="TableText"/>
              <w:spacing w:before="40" w:after="40"/>
              <w:jc w:val="right"/>
            </w:pPr>
            <w:r w:rsidRPr="00261B7A">
              <w:rPr>
                <w:rFonts w:eastAsia="Calibri"/>
                <w:color w:val="000000"/>
              </w:rPr>
              <w:t>12.5</w:t>
            </w:r>
          </w:p>
        </w:tc>
        <w:tc>
          <w:tcPr>
            <w:tcW w:w="874" w:type="dxa"/>
            <w:shd w:val="clear" w:color="auto" w:fill="FFFFFF"/>
            <w:tcMar>
              <w:top w:w="0" w:type="dxa"/>
              <w:left w:w="108" w:type="dxa"/>
              <w:bottom w:w="0" w:type="dxa"/>
              <w:right w:w="108" w:type="dxa"/>
            </w:tcMar>
          </w:tcPr>
          <w:p w14:paraId="4CE4612D" w14:textId="77777777" w:rsidR="00422EFE" w:rsidRPr="00261B7A" w:rsidRDefault="00422EFE" w:rsidP="00D41492">
            <w:pPr>
              <w:pStyle w:val="TableText"/>
              <w:spacing w:before="40" w:after="40"/>
              <w:jc w:val="right"/>
            </w:pPr>
            <w:r w:rsidRPr="00261B7A">
              <w:rPr>
                <w:rFonts w:eastAsia="Calibri"/>
                <w:color w:val="000000"/>
              </w:rPr>
              <w:t>5.1</w:t>
            </w:r>
          </w:p>
        </w:tc>
        <w:tc>
          <w:tcPr>
            <w:tcW w:w="756" w:type="dxa"/>
            <w:shd w:val="clear" w:color="auto" w:fill="FFFFFF"/>
            <w:tcMar>
              <w:top w:w="0" w:type="dxa"/>
              <w:left w:w="108" w:type="dxa"/>
              <w:bottom w:w="0" w:type="dxa"/>
              <w:right w:w="108" w:type="dxa"/>
            </w:tcMar>
          </w:tcPr>
          <w:p w14:paraId="7070E2F9" w14:textId="77777777" w:rsidR="00422EFE" w:rsidRPr="00261B7A" w:rsidRDefault="00422EFE" w:rsidP="00D41492">
            <w:pPr>
              <w:pStyle w:val="TableText"/>
              <w:spacing w:before="40" w:after="40"/>
              <w:jc w:val="right"/>
            </w:pPr>
            <w:r w:rsidRPr="00261B7A">
              <w:rPr>
                <w:rFonts w:eastAsia="Calibri"/>
                <w:color w:val="000000"/>
              </w:rPr>
              <w:t>2.6</w:t>
            </w:r>
          </w:p>
        </w:tc>
        <w:tc>
          <w:tcPr>
            <w:tcW w:w="660" w:type="dxa"/>
            <w:shd w:val="clear" w:color="auto" w:fill="FFFFFF"/>
            <w:tcMar>
              <w:top w:w="0" w:type="dxa"/>
              <w:left w:w="108" w:type="dxa"/>
              <w:bottom w:w="0" w:type="dxa"/>
              <w:right w:w="108" w:type="dxa"/>
            </w:tcMar>
          </w:tcPr>
          <w:p w14:paraId="35C04C50" w14:textId="77777777" w:rsidR="00422EFE" w:rsidRPr="00261B7A" w:rsidRDefault="00422EFE" w:rsidP="00D41492">
            <w:pPr>
              <w:pStyle w:val="TableText"/>
              <w:spacing w:before="40" w:after="40"/>
              <w:jc w:val="right"/>
            </w:pPr>
            <w:r w:rsidRPr="00261B7A">
              <w:rPr>
                <w:rFonts w:eastAsia="Calibri"/>
                <w:color w:val="000000"/>
              </w:rPr>
              <w:t>2.3</w:t>
            </w:r>
          </w:p>
        </w:tc>
        <w:tc>
          <w:tcPr>
            <w:tcW w:w="567" w:type="dxa"/>
            <w:shd w:val="clear" w:color="auto" w:fill="FFFFFF"/>
            <w:tcMar>
              <w:top w:w="0" w:type="dxa"/>
              <w:left w:w="108" w:type="dxa"/>
              <w:bottom w:w="0" w:type="dxa"/>
              <w:right w:w="108" w:type="dxa"/>
            </w:tcMar>
          </w:tcPr>
          <w:p w14:paraId="2D3C7B98" w14:textId="77777777" w:rsidR="00422EFE" w:rsidRPr="00261B7A" w:rsidRDefault="00422EFE" w:rsidP="00D41492">
            <w:pPr>
              <w:pStyle w:val="TableText"/>
              <w:spacing w:before="40" w:after="40"/>
              <w:jc w:val="right"/>
            </w:pPr>
            <w:r w:rsidRPr="00261B7A">
              <w:rPr>
                <w:rFonts w:eastAsia="Calibri"/>
                <w:color w:val="000000"/>
              </w:rPr>
              <w:t>54.4</w:t>
            </w:r>
          </w:p>
        </w:tc>
        <w:tc>
          <w:tcPr>
            <w:tcW w:w="1985" w:type="dxa"/>
            <w:shd w:val="clear" w:color="auto" w:fill="FFFFFF"/>
            <w:tcMar>
              <w:top w:w="0" w:type="dxa"/>
              <w:left w:w="108" w:type="dxa"/>
              <w:bottom w:w="0" w:type="dxa"/>
              <w:right w:w="108" w:type="dxa"/>
            </w:tcMar>
          </w:tcPr>
          <w:p w14:paraId="045E4A98" w14:textId="77777777" w:rsidR="00422EFE" w:rsidRPr="00261B7A" w:rsidRDefault="00422EFE" w:rsidP="00D41492">
            <w:pPr>
              <w:pStyle w:val="TableText"/>
              <w:spacing w:before="40" w:after="40"/>
            </w:pPr>
            <w:r w:rsidRPr="00261B7A">
              <w:rPr>
                <w:rFonts w:eastAsia="Calibri"/>
                <w:color w:val="000000"/>
              </w:rPr>
              <w:t>Interpolation</w:t>
            </w:r>
          </w:p>
        </w:tc>
      </w:tr>
      <w:tr w:rsidR="00422EFE" w:rsidRPr="00261B7A" w14:paraId="29B8A9E1" w14:textId="77777777" w:rsidTr="00D41492">
        <w:tc>
          <w:tcPr>
            <w:tcW w:w="821" w:type="dxa"/>
            <w:shd w:val="clear" w:color="auto" w:fill="FFFFFF"/>
            <w:tcMar>
              <w:top w:w="0" w:type="dxa"/>
              <w:left w:w="108" w:type="dxa"/>
              <w:bottom w:w="0" w:type="dxa"/>
              <w:right w:w="108" w:type="dxa"/>
            </w:tcMar>
          </w:tcPr>
          <w:p w14:paraId="791949A1" w14:textId="77777777" w:rsidR="00422EFE" w:rsidRPr="00261B7A" w:rsidRDefault="00422EFE" w:rsidP="00D41492">
            <w:pPr>
              <w:pStyle w:val="TableText"/>
              <w:spacing w:before="40" w:after="40"/>
            </w:pPr>
            <w:r w:rsidRPr="00261B7A">
              <w:rPr>
                <w:rFonts w:eastAsia="Calibri"/>
                <w:color w:val="1B556B"/>
              </w:rPr>
              <w:t>2018</w:t>
            </w:r>
          </w:p>
        </w:tc>
        <w:tc>
          <w:tcPr>
            <w:tcW w:w="548" w:type="dxa"/>
            <w:shd w:val="clear" w:color="auto" w:fill="FFFFFF"/>
            <w:tcMar>
              <w:top w:w="0" w:type="dxa"/>
              <w:left w:w="108" w:type="dxa"/>
              <w:bottom w:w="0" w:type="dxa"/>
              <w:right w:w="108" w:type="dxa"/>
            </w:tcMar>
          </w:tcPr>
          <w:p w14:paraId="5A2AA517" w14:textId="55901E10" w:rsidR="00422EFE" w:rsidRPr="00261B7A" w:rsidRDefault="00422EFE" w:rsidP="00D41492">
            <w:pPr>
              <w:pStyle w:val="TableText"/>
              <w:spacing w:before="40" w:after="40"/>
              <w:jc w:val="right"/>
            </w:pPr>
            <w:r w:rsidRPr="00261B7A">
              <w:rPr>
                <w:rFonts w:eastAsia="Calibri"/>
                <w:color w:val="000000"/>
              </w:rPr>
              <w:t>9</w:t>
            </w:r>
            <w:r w:rsidR="005A7EE8" w:rsidRPr="00261B7A">
              <w:rPr>
                <w:rFonts w:eastAsia="Calibri"/>
                <w:color w:val="000000"/>
              </w:rPr>
              <w:t>.0</w:t>
            </w:r>
          </w:p>
        </w:tc>
        <w:tc>
          <w:tcPr>
            <w:tcW w:w="916" w:type="dxa"/>
            <w:shd w:val="clear" w:color="auto" w:fill="FFFFFF"/>
            <w:tcMar>
              <w:top w:w="0" w:type="dxa"/>
              <w:left w:w="108" w:type="dxa"/>
              <w:bottom w:w="0" w:type="dxa"/>
              <w:right w:w="108" w:type="dxa"/>
            </w:tcMar>
          </w:tcPr>
          <w:p w14:paraId="310C4A15" w14:textId="77777777" w:rsidR="00422EFE" w:rsidRPr="00261B7A" w:rsidRDefault="00422EFE" w:rsidP="00D41492">
            <w:pPr>
              <w:pStyle w:val="TableText"/>
              <w:spacing w:before="40" w:after="40"/>
              <w:jc w:val="right"/>
            </w:pPr>
            <w:r w:rsidRPr="00261B7A">
              <w:rPr>
                <w:rFonts w:eastAsia="Calibri"/>
                <w:color w:val="000000"/>
              </w:rPr>
              <w:t>5.7</w:t>
            </w:r>
          </w:p>
        </w:tc>
        <w:tc>
          <w:tcPr>
            <w:tcW w:w="813" w:type="dxa"/>
            <w:shd w:val="clear" w:color="auto" w:fill="FFFFFF"/>
            <w:tcMar>
              <w:top w:w="0" w:type="dxa"/>
              <w:left w:w="108" w:type="dxa"/>
              <w:bottom w:w="0" w:type="dxa"/>
              <w:right w:w="108" w:type="dxa"/>
            </w:tcMar>
          </w:tcPr>
          <w:p w14:paraId="3F82E298" w14:textId="77777777" w:rsidR="00422EFE" w:rsidRPr="00261B7A" w:rsidRDefault="00422EFE" w:rsidP="00D41492">
            <w:pPr>
              <w:pStyle w:val="TableText"/>
              <w:spacing w:before="40" w:after="40"/>
              <w:jc w:val="right"/>
            </w:pPr>
            <w:r w:rsidRPr="00261B7A">
              <w:rPr>
                <w:rFonts w:eastAsia="Calibri"/>
                <w:color w:val="000000"/>
              </w:rPr>
              <w:t>5.9</w:t>
            </w:r>
          </w:p>
        </w:tc>
        <w:tc>
          <w:tcPr>
            <w:tcW w:w="829" w:type="dxa"/>
            <w:shd w:val="clear" w:color="auto" w:fill="FFFFFF"/>
            <w:tcMar>
              <w:top w:w="0" w:type="dxa"/>
              <w:left w:w="108" w:type="dxa"/>
              <w:bottom w:w="0" w:type="dxa"/>
              <w:right w:w="108" w:type="dxa"/>
            </w:tcMar>
          </w:tcPr>
          <w:p w14:paraId="1B3BA854" w14:textId="77777777" w:rsidR="00422EFE" w:rsidRPr="00261B7A" w:rsidRDefault="00422EFE" w:rsidP="00D41492">
            <w:pPr>
              <w:pStyle w:val="TableText"/>
              <w:spacing w:before="40" w:after="40"/>
              <w:jc w:val="right"/>
            </w:pPr>
            <w:r w:rsidRPr="00261B7A">
              <w:rPr>
                <w:rFonts w:eastAsia="Calibri"/>
                <w:color w:val="000000"/>
              </w:rPr>
              <w:t>12.6</w:t>
            </w:r>
          </w:p>
        </w:tc>
        <w:tc>
          <w:tcPr>
            <w:tcW w:w="874" w:type="dxa"/>
            <w:shd w:val="clear" w:color="auto" w:fill="FFFFFF"/>
            <w:tcMar>
              <w:top w:w="0" w:type="dxa"/>
              <w:left w:w="108" w:type="dxa"/>
              <w:bottom w:w="0" w:type="dxa"/>
              <w:right w:w="108" w:type="dxa"/>
            </w:tcMar>
          </w:tcPr>
          <w:p w14:paraId="5AB56074" w14:textId="2C65262A" w:rsidR="00422EFE" w:rsidRPr="00261B7A" w:rsidRDefault="00422EFE" w:rsidP="00D41492">
            <w:pPr>
              <w:pStyle w:val="TableText"/>
              <w:spacing w:before="40" w:after="40"/>
              <w:jc w:val="right"/>
            </w:pPr>
            <w:r w:rsidRPr="00261B7A">
              <w:rPr>
                <w:rFonts w:eastAsia="Calibri"/>
                <w:color w:val="000000"/>
              </w:rPr>
              <w:t>5</w:t>
            </w:r>
            <w:r w:rsidR="005A7EE8" w:rsidRPr="00261B7A">
              <w:rPr>
                <w:rFonts w:eastAsia="Calibri"/>
                <w:color w:val="000000"/>
              </w:rPr>
              <w:t>.0</w:t>
            </w:r>
          </w:p>
        </w:tc>
        <w:tc>
          <w:tcPr>
            <w:tcW w:w="756" w:type="dxa"/>
            <w:shd w:val="clear" w:color="auto" w:fill="FFFFFF"/>
            <w:tcMar>
              <w:top w:w="0" w:type="dxa"/>
              <w:left w:w="108" w:type="dxa"/>
              <w:bottom w:w="0" w:type="dxa"/>
              <w:right w:w="108" w:type="dxa"/>
            </w:tcMar>
          </w:tcPr>
          <w:p w14:paraId="7B4215FB" w14:textId="77777777" w:rsidR="00422EFE" w:rsidRPr="00261B7A" w:rsidRDefault="00422EFE" w:rsidP="00D41492">
            <w:pPr>
              <w:pStyle w:val="TableText"/>
              <w:spacing w:before="40" w:after="40"/>
              <w:jc w:val="right"/>
            </w:pPr>
            <w:r w:rsidRPr="00261B7A">
              <w:rPr>
                <w:rFonts w:eastAsia="Calibri"/>
                <w:color w:val="000000"/>
              </w:rPr>
              <w:t>2.5</w:t>
            </w:r>
          </w:p>
        </w:tc>
        <w:tc>
          <w:tcPr>
            <w:tcW w:w="660" w:type="dxa"/>
            <w:shd w:val="clear" w:color="auto" w:fill="FFFFFF"/>
            <w:tcMar>
              <w:top w:w="0" w:type="dxa"/>
              <w:left w:w="108" w:type="dxa"/>
              <w:bottom w:w="0" w:type="dxa"/>
              <w:right w:w="108" w:type="dxa"/>
            </w:tcMar>
          </w:tcPr>
          <w:p w14:paraId="31524834" w14:textId="77777777" w:rsidR="00422EFE" w:rsidRPr="00261B7A" w:rsidRDefault="00422EFE" w:rsidP="00D41492">
            <w:pPr>
              <w:pStyle w:val="TableText"/>
              <w:spacing w:before="40" w:after="40"/>
              <w:jc w:val="right"/>
            </w:pPr>
            <w:r w:rsidRPr="00261B7A">
              <w:rPr>
                <w:rFonts w:eastAsia="Calibri"/>
                <w:color w:val="000000"/>
              </w:rPr>
              <w:t>1.9</w:t>
            </w:r>
          </w:p>
        </w:tc>
        <w:tc>
          <w:tcPr>
            <w:tcW w:w="567" w:type="dxa"/>
            <w:shd w:val="clear" w:color="auto" w:fill="FFFFFF"/>
            <w:tcMar>
              <w:top w:w="0" w:type="dxa"/>
              <w:left w:w="108" w:type="dxa"/>
              <w:bottom w:w="0" w:type="dxa"/>
              <w:right w:w="108" w:type="dxa"/>
            </w:tcMar>
          </w:tcPr>
          <w:p w14:paraId="3CA8BCD8" w14:textId="77777777" w:rsidR="00422EFE" w:rsidRPr="00261B7A" w:rsidRDefault="00422EFE" w:rsidP="00D41492">
            <w:pPr>
              <w:pStyle w:val="TableText"/>
              <w:spacing w:before="40" w:after="40"/>
              <w:jc w:val="right"/>
            </w:pPr>
            <w:r w:rsidRPr="00261B7A">
              <w:rPr>
                <w:rFonts w:eastAsia="Calibri"/>
                <w:color w:val="000000"/>
              </w:rPr>
              <w:t>57.3</w:t>
            </w:r>
          </w:p>
        </w:tc>
        <w:tc>
          <w:tcPr>
            <w:tcW w:w="1985" w:type="dxa"/>
            <w:shd w:val="clear" w:color="auto" w:fill="FFFFFF"/>
            <w:tcMar>
              <w:top w:w="0" w:type="dxa"/>
              <w:left w:w="108" w:type="dxa"/>
              <w:bottom w:w="0" w:type="dxa"/>
              <w:right w:w="108" w:type="dxa"/>
            </w:tcMar>
          </w:tcPr>
          <w:p w14:paraId="30618F06" w14:textId="77777777" w:rsidR="00422EFE" w:rsidRPr="00261B7A" w:rsidRDefault="00422EFE" w:rsidP="00D41492">
            <w:pPr>
              <w:pStyle w:val="TableText"/>
              <w:spacing w:before="40" w:after="40"/>
            </w:pPr>
            <w:r w:rsidRPr="00261B7A">
              <w:rPr>
                <w:rFonts w:eastAsia="Calibri"/>
                <w:color w:val="000000"/>
              </w:rPr>
              <w:t>Survey</w:t>
            </w:r>
          </w:p>
        </w:tc>
      </w:tr>
      <w:tr w:rsidR="00422EFE" w:rsidRPr="00261B7A" w14:paraId="6728815D" w14:textId="77777777" w:rsidTr="00D41492">
        <w:tc>
          <w:tcPr>
            <w:tcW w:w="821" w:type="dxa"/>
            <w:shd w:val="clear" w:color="auto" w:fill="FFFFFF"/>
            <w:tcMar>
              <w:top w:w="0" w:type="dxa"/>
              <w:left w:w="108" w:type="dxa"/>
              <w:bottom w:w="0" w:type="dxa"/>
              <w:right w:w="108" w:type="dxa"/>
            </w:tcMar>
          </w:tcPr>
          <w:p w14:paraId="2C59E844" w14:textId="77777777" w:rsidR="00422EFE" w:rsidRPr="00261B7A" w:rsidRDefault="00422EFE" w:rsidP="00D41492">
            <w:pPr>
              <w:pStyle w:val="TableText"/>
              <w:spacing w:before="40" w:after="40"/>
            </w:pPr>
            <w:r w:rsidRPr="00261B7A">
              <w:rPr>
                <w:rFonts w:eastAsia="Calibri"/>
                <w:color w:val="1B556B"/>
              </w:rPr>
              <w:t>2019</w:t>
            </w:r>
          </w:p>
        </w:tc>
        <w:tc>
          <w:tcPr>
            <w:tcW w:w="548" w:type="dxa"/>
            <w:shd w:val="clear" w:color="auto" w:fill="FFFFFF"/>
            <w:tcMar>
              <w:top w:w="0" w:type="dxa"/>
              <w:left w:w="108" w:type="dxa"/>
              <w:bottom w:w="0" w:type="dxa"/>
              <w:right w:w="108" w:type="dxa"/>
            </w:tcMar>
          </w:tcPr>
          <w:p w14:paraId="10305624" w14:textId="1329CB36" w:rsidR="00422EFE" w:rsidRPr="00261B7A" w:rsidRDefault="00422EFE" w:rsidP="00D41492">
            <w:pPr>
              <w:pStyle w:val="TableText"/>
              <w:spacing w:before="40" w:after="40"/>
              <w:jc w:val="right"/>
            </w:pPr>
            <w:r w:rsidRPr="00261B7A">
              <w:rPr>
                <w:rFonts w:eastAsia="Calibri"/>
                <w:color w:val="000000"/>
              </w:rPr>
              <w:t>9</w:t>
            </w:r>
            <w:r w:rsidR="00CA6452" w:rsidRPr="00261B7A">
              <w:rPr>
                <w:rFonts w:eastAsia="Calibri"/>
                <w:color w:val="000000"/>
              </w:rPr>
              <w:t>.0</w:t>
            </w:r>
          </w:p>
        </w:tc>
        <w:tc>
          <w:tcPr>
            <w:tcW w:w="916" w:type="dxa"/>
            <w:shd w:val="clear" w:color="auto" w:fill="FFFFFF"/>
            <w:tcMar>
              <w:top w:w="0" w:type="dxa"/>
              <w:left w:w="108" w:type="dxa"/>
              <w:bottom w:w="0" w:type="dxa"/>
              <w:right w:w="108" w:type="dxa"/>
            </w:tcMar>
          </w:tcPr>
          <w:p w14:paraId="296569F6" w14:textId="77777777" w:rsidR="00422EFE" w:rsidRPr="00261B7A" w:rsidRDefault="00422EFE" w:rsidP="00D41492">
            <w:pPr>
              <w:pStyle w:val="TableText"/>
              <w:spacing w:before="40" w:after="40"/>
              <w:jc w:val="right"/>
            </w:pPr>
            <w:r w:rsidRPr="00261B7A">
              <w:rPr>
                <w:rFonts w:eastAsia="Calibri"/>
                <w:color w:val="000000"/>
              </w:rPr>
              <w:t>5.7</w:t>
            </w:r>
          </w:p>
        </w:tc>
        <w:tc>
          <w:tcPr>
            <w:tcW w:w="813" w:type="dxa"/>
            <w:shd w:val="clear" w:color="auto" w:fill="FFFFFF"/>
            <w:tcMar>
              <w:top w:w="0" w:type="dxa"/>
              <w:left w:w="108" w:type="dxa"/>
              <w:bottom w:w="0" w:type="dxa"/>
              <w:right w:w="108" w:type="dxa"/>
            </w:tcMar>
          </w:tcPr>
          <w:p w14:paraId="329ED5C3" w14:textId="77777777" w:rsidR="00422EFE" w:rsidRPr="00261B7A" w:rsidRDefault="00422EFE" w:rsidP="00D41492">
            <w:pPr>
              <w:pStyle w:val="TableText"/>
              <w:spacing w:before="40" w:after="40"/>
              <w:jc w:val="right"/>
            </w:pPr>
            <w:r w:rsidRPr="00261B7A">
              <w:rPr>
                <w:rFonts w:eastAsia="Calibri"/>
                <w:color w:val="000000"/>
              </w:rPr>
              <w:t>5.9</w:t>
            </w:r>
          </w:p>
        </w:tc>
        <w:tc>
          <w:tcPr>
            <w:tcW w:w="829" w:type="dxa"/>
            <w:shd w:val="clear" w:color="auto" w:fill="FFFFFF"/>
            <w:tcMar>
              <w:top w:w="0" w:type="dxa"/>
              <w:left w:w="108" w:type="dxa"/>
              <w:bottom w:w="0" w:type="dxa"/>
              <w:right w:w="108" w:type="dxa"/>
            </w:tcMar>
          </w:tcPr>
          <w:p w14:paraId="127B7A0D" w14:textId="77777777" w:rsidR="00422EFE" w:rsidRPr="00261B7A" w:rsidRDefault="00422EFE" w:rsidP="00D41492">
            <w:pPr>
              <w:pStyle w:val="TableText"/>
              <w:spacing w:before="40" w:after="40"/>
              <w:jc w:val="right"/>
            </w:pPr>
            <w:r w:rsidRPr="00261B7A">
              <w:rPr>
                <w:rFonts w:eastAsia="Calibri"/>
                <w:color w:val="000000"/>
              </w:rPr>
              <w:t>12.6</w:t>
            </w:r>
          </w:p>
        </w:tc>
        <w:tc>
          <w:tcPr>
            <w:tcW w:w="874" w:type="dxa"/>
            <w:shd w:val="clear" w:color="auto" w:fill="FFFFFF"/>
            <w:tcMar>
              <w:top w:w="0" w:type="dxa"/>
              <w:left w:w="108" w:type="dxa"/>
              <w:bottom w:w="0" w:type="dxa"/>
              <w:right w:w="108" w:type="dxa"/>
            </w:tcMar>
          </w:tcPr>
          <w:p w14:paraId="260600E4" w14:textId="6501FA48" w:rsidR="00422EFE" w:rsidRPr="00261B7A" w:rsidRDefault="00422EFE" w:rsidP="00D41492">
            <w:pPr>
              <w:pStyle w:val="TableText"/>
              <w:spacing w:before="40" w:after="40"/>
              <w:jc w:val="right"/>
            </w:pPr>
            <w:r w:rsidRPr="00261B7A">
              <w:rPr>
                <w:rFonts w:eastAsia="Calibri"/>
                <w:color w:val="000000"/>
              </w:rPr>
              <w:t>5</w:t>
            </w:r>
            <w:r w:rsidR="00CA6452" w:rsidRPr="00261B7A">
              <w:rPr>
                <w:rFonts w:eastAsia="Calibri"/>
                <w:color w:val="000000"/>
              </w:rPr>
              <w:t>.0</w:t>
            </w:r>
          </w:p>
        </w:tc>
        <w:tc>
          <w:tcPr>
            <w:tcW w:w="756" w:type="dxa"/>
            <w:shd w:val="clear" w:color="auto" w:fill="FFFFFF"/>
            <w:tcMar>
              <w:top w:w="0" w:type="dxa"/>
              <w:left w:w="108" w:type="dxa"/>
              <w:bottom w:w="0" w:type="dxa"/>
              <w:right w:w="108" w:type="dxa"/>
            </w:tcMar>
          </w:tcPr>
          <w:p w14:paraId="4F5CFF32" w14:textId="77777777" w:rsidR="00422EFE" w:rsidRPr="00261B7A" w:rsidRDefault="00422EFE" w:rsidP="00D41492">
            <w:pPr>
              <w:pStyle w:val="TableText"/>
              <w:spacing w:before="40" w:after="40"/>
              <w:jc w:val="right"/>
            </w:pPr>
            <w:r w:rsidRPr="00261B7A">
              <w:rPr>
                <w:rFonts w:eastAsia="Calibri"/>
                <w:color w:val="000000"/>
              </w:rPr>
              <w:t>2.5</w:t>
            </w:r>
          </w:p>
        </w:tc>
        <w:tc>
          <w:tcPr>
            <w:tcW w:w="660" w:type="dxa"/>
            <w:shd w:val="clear" w:color="auto" w:fill="FFFFFF"/>
            <w:tcMar>
              <w:top w:w="0" w:type="dxa"/>
              <w:left w:w="108" w:type="dxa"/>
              <w:bottom w:w="0" w:type="dxa"/>
              <w:right w:w="108" w:type="dxa"/>
            </w:tcMar>
          </w:tcPr>
          <w:p w14:paraId="3DB70F3C" w14:textId="77777777" w:rsidR="00422EFE" w:rsidRPr="00261B7A" w:rsidRDefault="00422EFE" w:rsidP="00D41492">
            <w:pPr>
              <w:pStyle w:val="TableText"/>
              <w:spacing w:before="40" w:after="40"/>
              <w:jc w:val="right"/>
            </w:pPr>
            <w:r w:rsidRPr="00261B7A">
              <w:rPr>
                <w:rFonts w:eastAsia="Calibri"/>
                <w:color w:val="000000"/>
              </w:rPr>
              <w:t>1.9</w:t>
            </w:r>
          </w:p>
        </w:tc>
        <w:tc>
          <w:tcPr>
            <w:tcW w:w="567" w:type="dxa"/>
            <w:shd w:val="clear" w:color="auto" w:fill="FFFFFF"/>
            <w:tcMar>
              <w:top w:w="0" w:type="dxa"/>
              <w:left w:w="108" w:type="dxa"/>
              <w:bottom w:w="0" w:type="dxa"/>
              <w:right w:w="108" w:type="dxa"/>
            </w:tcMar>
          </w:tcPr>
          <w:p w14:paraId="32D0441E" w14:textId="77777777" w:rsidR="00422EFE" w:rsidRPr="00261B7A" w:rsidRDefault="00422EFE" w:rsidP="00D41492">
            <w:pPr>
              <w:pStyle w:val="TableText"/>
              <w:spacing w:before="40" w:after="40"/>
              <w:jc w:val="right"/>
            </w:pPr>
            <w:r w:rsidRPr="00261B7A">
              <w:rPr>
                <w:rFonts w:eastAsia="Calibri"/>
                <w:color w:val="000000"/>
              </w:rPr>
              <w:t>57.3</w:t>
            </w:r>
          </w:p>
        </w:tc>
        <w:tc>
          <w:tcPr>
            <w:tcW w:w="1985" w:type="dxa"/>
            <w:shd w:val="clear" w:color="auto" w:fill="FFFFFF"/>
            <w:tcMar>
              <w:top w:w="0" w:type="dxa"/>
              <w:left w:w="108" w:type="dxa"/>
              <w:bottom w:w="0" w:type="dxa"/>
              <w:right w:w="108" w:type="dxa"/>
            </w:tcMar>
          </w:tcPr>
          <w:p w14:paraId="7AD20C23" w14:textId="77777777" w:rsidR="00422EFE" w:rsidRPr="00261B7A" w:rsidRDefault="00422EFE" w:rsidP="00D41492">
            <w:pPr>
              <w:pStyle w:val="TableText"/>
              <w:spacing w:before="40" w:after="40"/>
            </w:pPr>
            <w:r w:rsidRPr="00261B7A">
              <w:rPr>
                <w:rFonts w:eastAsia="Calibri"/>
                <w:color w:val="000000"/>
              </w:rPr>
              <w:t>Assumed same as 2018</w:t>
            </w:r>
          </w:p>
        </w:tc>
      </w:tr>
      <w:tr w:rsidR="00422EFE" w:rsidRPr="00261B7A" w14:paraId="56D41923" w14:textId="77777777" w:rsidTr="00D41492">
        <w:tc>
          <w:tcPr>
            <w:tcW w:w="821" w:type="dxa"/>
            <w:shd w:val="clear" w:color="auto" w:fill="FFFFFF"/>
            <w:tcMar>
              <w:top w:w="0" w:type="dxa"/>
              <w:left w:w="108" w:type="dxa"/>
              <w:bottom w:w="0" w:type="dxa"/>
              <w:right w:w="108" w:type="dxa"/>
            </w:tcMar>
          </w:tcPr>
          <w:p w14:paraId="17F7C74C" w14:textId="77777777" w:rsidR="00422EFE" w:rsidRPr="00261B7A" w:rsidRDefault="00422EFE" w:rsidP="00D41492">
            <w:pPr>
              <w:pStyle w:val="TableText"/>
              <w:spacing w:before="40" w:after="40"/>
            </w:pPr>
            <w:r w:rsidRPr="00261B7A">
              <w:rPr>
                <w:rFonts w:eastAsia="Calibri"/>
                <w:color w:val="1B556B"/>
              </w:rPr>
              <w:t>2020</w:t>
            </w:r>
          </w:p>
        </w:tc>
        <w:tc>
          <w:tcPr>
            <w:tcW w:w="548" w:type="dxa"/>
            <w:shd w:val="clear" w:color="auto" w:fill="FFFFFF"/>
            <w:tcMar>
              <w:top w:w="0" w:type="dxa"/>
              <w:left w:w="108" w:type="dxa"/>
              <w:bottom w:w="0" w:type="dxa"/>
              <w:right w:w="108" w:type="dxa"/>
            </w:tcMar>
          </w:tcPr>
          <w:p w14:paraId="17A5616A" w14:textId="51747A9C" w:rsidR="00422EFE" w:rsidRPr="00261B7A" w:rsidRDefault="00422EFE" w:rsidP="00D41492">
            <w:pPr>
              <w:pStyle w:val="TableText"/>
              <w:spacing w:before="40" w:after="40"/>
              <w:jc w:val="right"/>
            </w:pPr>
            <w:r w:rsidRPr="00261B7A">
              <w:rPr>
                <w:rFonts w:eastAsia="Calibri"/>
                <w:color w:val="000000"/>
              </w:rPr>
              <w:t>9</w:t>
            </w:r>
            <w:r w:rsidR="00CA6452" w:rsidRPr="00261B7A">
              <w:rPr>
                <w:rFonts w:eastAsia="Calibri"/>
                <w:color w:val="000000"/>
              </w:rPr>
              <w:t>.0</w:t>
            </w:r>
          </w:p>
        </w:tc>
        <w:tc>
          <w:tcPr>
            <w:tcW w:w="916" w:type="dxa"/>
            <w:shd w:val="clear" w:color="auto" w:fill="FFFFFF"/>
            <w:tcMar>
              <w:top w:w="0" w:type="dxa"/>
              <w:left w:w="108" w:type="dxa"/>
              <w:bottom w:w="0" w:type="dxa"/>
              <w:right w:w="108" w:type="dxa"/>
            </w:tcMar>
          </w:tcPr>
          <w:p w14:paraId="3E96D8D4" w14:textId="77777777" w:rsidR="00422EFE" w:rsidRPr="00261B7A" w:rsidRDefault="00422EFE" w:rsidP="00D41492">
            <w:pPr>
              <w:pStyle w:val="TableText"/>
              <w:spacing w:before="40" w:after="40"/>
              <w:jc w:val="right"/>
            </w:pPr>
            <w:r w:rsidRPr="00261B7A">
              <w:rPr>
                <w:rFonts w:eastAsia="Calibri"/>
                <w:color w:val="000000"/>
              </w:rPr>
              <w:t>5.7</w:t>
            </w:r>
          </w:p>
        </w:tc>
        <w:tc>
          <w:tcPr>
            <w:tcW w:w="813" w:type="dxa"/>
            <w:shd w:val="clear" w:color="auto" w:fill="FFFFFF"/>
            <w:tcMar>
              <w:top w:w="0" w:type="dxa"/>
              <w:left w:w="108" w:type="dxa"/>
              <w:bottom w:w="0" w:type="dxa"/>
              <w:right w:w="108" w:type="dxa"/>
            </w:tcMar>
          </w:tcPr>
          <w:p w14:paraId="3C091522" w14:textId="77777777" w:rsidR="00422EFE" w:rsidRPr="00261B7A" w:rsidRDefault="00422EFE" w:rsidP="00D41492">
            <w:pPr>
              <w:pStyle w:val="TableText"/>
              <w:spacing w:before="40" w:after="40"/>
              <w:jc w:val="right"/>
            </w:pPr>
            <w:r w:rsidRPr="00261B7A">
              <w:rPr>
                <w:rFonts w:eastAsia="Calibri"/>
                <w:color w:val="000000"/>
              </w:rPr>
              <w:t>5.9</w:t>
            </w:r>
          </w:p>
        </w:tc>
        <w:tc>
          <w:tcPr>
            <w:tcW w:w="829" w:type="dxa"/>
            <w:shd w:val="clear" w:color="auto" w:fill="FFFFFF"/>
            <w:tcMar>
              <w:top w:w="0" w:type="dxa"/>
              <w:left w:w="108" w:type="dxa"/>
              <w:bottom w:w="0" w:type="dxa"/>
              <w:right w:w="108" w:type="dxa"/>
            </w:tcMar>
          </w:tcPr>
          <w:p w14:paraId="437C8434" w14:textId="77777777" w:rsidR="00422EFE" w:rsidRPr="00261B7A" w:rsidRDefault="00422EFE" w:rsidP="00D41492">
            <w:pPr>
              <w:pStyle w:val="TableText"/>
              <w:spacing w:before="40" w:after="40"/>
              <w:jc w:val="right"/>
            </w:pPr>
            <w:r w:rsidRPr="00261B7A">
              <w:rPr>
                <w:rFonts w:eastAsia="Calibri"/>
                <w:color w:val="000000"/>
              </w:rPr>
              <w:t>12.6</w:t>
            </w:r>
          </w:p>
        </w:tc>
        <w:tc>
          <w:tcPr>
            <w:tcW w:w="874" w:type="dxa"/>
            <w:shd w:val="clear" w:color="auto" w:fill="FFFFFF"/>
            <w:tcMar>
              <w:top w:w="0" w:type="dxa"/>
              <w:left w:w="108" w:type="dxa"/>
              <w:bottom w:w="0" w:type="dxa"/>
              <w:right w:w="108" w:type="dxa"/>
            </w:tcMar>
          </w:tcPr>
          <w:p w14:paraId="1AE8AA57" w14:textId="3A030420" w:rsidR="00422EFE" w:rsidRPr="00261B7A" w:rsidRDefault="00422EFE" w:rsidP="00D41492">
            <w:pPr>
              <w:pStyle w:val="TableText"/>
              <w:spacing w:before="40" w:after="40"/>
              <w:jc w:val="right"/>
            </w:pPr>
            <w:r w:rsidRPr="00261B7A">
              <w:rPr>
                <w:rFonts w:eastAsia="Calibri"/>
                <w:color w:val="000000"/>
              </w:rPr>
              <w:t>5</w:t>
            </w:r>
            <w:r w:rsidR="00CA6452" w:rsidRPr="00261B7A">
              <w:rPr>
                <w:rFonts w:eastAsia="Calibri"/>
                <w:color w:val="000000"/>
              </w:rPr>
              <w:t>.0</w:t>
            </w:r>
          </w:p>
        </w:tc>
        <w:tc>
          <w:tcPr>
            <w:tcW w:w="756" w:type="dxa"/>
            <w:shd w:val="clear" w:color="auto" w:fill="FFFFFF"/>
            <w:tcMar>
              <w:top w:w="0" w:type="dxa"/>
              <w:left w:w="108" w:type="dxa"/>
              <w:bottom w:w="0" w:type="dxa"/>
              <w:right w:w="108" w:type="dxa"/>
            </w:tcMar>
          </w:tcPr>
          <w:p w14:paraId="6ADB9136" w14:textId="77777777" w:rsidR="00422EFE" w:rsidRPr="00261B7A" w:rsidRDefault="00422EFE" w:rsidP="00D41492">
            <w:pPr>
              <w:pStyle w:val="TableText"/>
              <w:spacing w:before="40" w:after="40"/>
              <w:jc w:val="right"/>
            </w:pPr>
            <w:r w:rsidRPr="00261B7A">
              <w:rPr>
                <w:rFonts w:eastAsia="Calibri"/>
                <w:color w:val="000000"/>
              </w:rPr>
              <w:t>2.5</w:t>
            </w:r>
          </w:p>
        </w:tc>
        <w:tc>
          <w:tcPr>
            <w:tcW w:w="660" w:type="dxa"/>
            <w:shd w:val="clear" w:color="auto" w:fill="FFFFFF"/>
            <w:tcMar>
              <w:top w:w="0" w:type="dxa"/>
              <w:left w:w="108" w:type="dxa"/>
              <w:bottom w:w="0" w:type="dxa"/>
              <w:right w:w="108" w:type="dxa"/>
            </w:tcMar>
          </w:tcPr>
          <w:p w14:paraId="045EBB02" w14:textId="77777777" w:rsidR="00422EFE" w:rsidRPr="00261B7A" w:rsidRDefault="00422EFE" w:rsidP="00D41492">
            <w:pPr>
              <w:pStyle w:val="TableText"/>
              <w:spacing w:before="40" w:after="40"/>
              <w:jc w:val="right"/>
            </w:pPr>
            <w:r w:rsidRPr="00261B7A">
              <w:rPr>
                <w:rFonts w:eastAsia="Calibri"/>
                <w:color w:val="000000"/>
              </w:rPr>
              <w:t>1.9</w:t>
            </w:r>
          </w:p>
        </w:tc>
        <w:tc>
          <w:tcPr>
            <w:tcW w:w="567" w:type="dxa"/>
            <w:shd w:val="clear" w:color="auto" w:fill="FFFFFF"/>
            <w:tcMar>
              <w:top w:w="0" w:type="dxa"/>
              <w:left w:w="108" w:type="dxa"/>
              <w:bottom w:w="0" w:type="dxa"/>
              <w:right w:w="108" w:type="dxa"/>
            </w:tcMar>
          </w:tcPr>
          <w:p w14:paraId="4138EEE7" w14:textId="77777777" w:rsidR="00422EFE" w:rsidRPr="00261B7A" w:rsidRDefault="00422EFE" w:rsidP="00D41492">
            <w:pPr>
              <w:pStyle w:val="TableText"/>
              <w:spacing w:before="40" w:after="40"/>
              <w:jc w:val="right"/>
            </w:pPr>
            <w:r w:rsidRPr="00261B7A">
              <w:rPr>
                <w:rFonts w:eastAsia="Calibri"/>
                <w:color w:val="000000"/>
              </w:rPr>
              <w:t>57.3</w:t>
            </w:r>
          </w:p>
        </w:tc>
        <w:tc>
          <w:tcPr>
            <w:tcW w:w="1985" w:type="dxa"/>
            <w:shd w:val="clear" w:color="auto" w:fill="FFFFFF"/>
            <w:tcMar>
              <w:top w:w="0" w:type="dxa"/>
              <w:left w:w="108" w:type="dxa"/>
              <w:bottom w:w="0" w:type="dxa"/>
              <w:right w:w="108" w:type="dxa"/>
            </w:tcMar>
          </w:tcPr>
          <w:p w14:paraId="4031F015" w14:textId="77777777" w:rsidR="00422EFE" w:rsidRPr="00261B7A" w:rsidRDefault="00422EFE" w:rsidP="00D41492">
            <w:pPr>
              <w:pStyle w:val="TableText"/>
              <w:spacing w:before="40" w:after="40"/>
            </w:pPr>
            <w:r w:rsidRPr="00261B7A">
              <w:rPr>
                <w:rFonts w:eastAsia="Calibri"/>
                <w:color w:val="000000"/>
              </w:rPr>
              <w:t>Assumed same as 2018</w:t>
            </w:r>
          </w:p>
        </w:tc>
      </w:tr>
      <w:tr w:rsidR="00422EFE" w:rsidRPr="00261B7A" w14:paraId="4038EF26" w14:textId="77777777" w:rsidTr="00D41492">
        <w:tc>
          <w:tcPr>
            <w:tcW w:w="821" w:type="dxa"/>
            <w:shd w:val="clear" w:color="auto" w:fill="FFFFFF"/>
            <w:tcMar>
              <w:top w:w="0" w:type="dxa"/>
              <w:left w:w="108" w:type="dxa"/>
              <w:bottom w:w="0" w:type="dxa"/>
              <w:right w:w="108" w:type="dxa"/>
            </w:tcMar>
          </w:tcPr>
          <w:p w14:paraId="21D546CF" w14:textId="77777777" w:rsidR="00422EFE" w:rsidRPr="00261B7A" w:rsidRDefault="00422EFE" w:rsidP="00D41492">
            <w:pPr>
              <w:pStyle w:val="TableText"/>
              <w:spacing w:before="40" w:after="40"/>
            </w:pPr>
            <w:r w:rsidRPr="00261B7A">
              <w:rPr>
                <w:rFonts w:eastAsia="Calibri"/>
                <w:color w:val="1B556B"/>
              </w:rPr>
              <w:t>2021</w:t>
            </w:r>
          </w:p>
        </w:tc>
        <w:tc>
          <w:tcPr>
            <w:tcW w:w="548" w:type="dxa"/>
            <w:shd w:val="clear" w:color="auto" w:fill="FFFFFF"/>
            <w:tcMar>
              <w:top w:w="0" w:type="dxa"/>
              <w:left w:w="108" w:type="dxa"/>
              <w:bottom w:w="0" w:type="dxa"/>
              <w:right w:w="108" w:type="dxa"/>
            </w:tcMar>
          </w:tcPr>
          <w:p w14:paraId="0E0A26AE" w14:textId="4D70AA4D" w:rsidR="00422EFE" w:rsidRPr="00261B7A" w:rsidRDefault="00422EFE" w:rsidP="00D41492">
            <w:pPr>
              <w:pStyle w:val="TableText"/>
              <w:spacing w:before="40" w:after="40"/>
              <w:jc w:val="right"/>
            </w:pPr>
            <w:r w:rsidRPr="00261B7A">
              <w:rPr>
                <w:rFonts w:eastAsia="Calibri"/>
                <w:color w:val="000000"/>
              </w:rPr>
              <w:t>9</w:t>
            </w:r>
            <w:r w:rsidR="00506CA5" w:rsidRPr="00261B7A">
              <w:rPr>
                <w:rFonts w:eastAsia="Calibri"/>
                <w:color w:val="000000"/>
              </w:rPr>
              <w:t>.0</w:t>
            </w:r>
          </w:p>
        </w:tc>
        <w:tc>
          <w:tcPr>
            <w:tcW w:w="916" w:type="dxa"/>
            <w:shd w:val="clear" w:color="auto" w:fill="FFFFFF"/>
            <w:tcMar>
              <w:top w:w="0" w:type="dxa"/>
              <w:left w:w="108" w:type="dxa"/>
              <w:bottom w:w="0" w:type="dxa"/>
              <w:right w:w="108" w:type="dxa"/>
            </w:tcMar>
          </w:tcPr>
          <w:p w14:paraId="367A8C85" w14:textId="77777777" w:rsidR="00422EFE" w:rsidRPr="00261B7A" w:rsidRDefault="00422EFE" w:rsidP="00D41492">
            <w:pPr>
              <w:pStyle w:val="TableText"/>
              <w:spacing w:before="40" w:after="40"/>
              <w:jc w:val="right"/>
            </w:pPr>
            <w:r w:rsidRPr="00261B7A">
              <w:rPr>
                <w:rFonts w:eastAsia="Calibri"/>
                <w:color w:val="000000"/>
              </w:rPr>
              <w:t>5.7</w:t>
            </w:r>
          </w:p>
        </w:tc>
        <w:tc>
          <w:tcPr>
            <w:tcW w:w="813" w:type="dxa"/>
            <w:shd w:val="clear" w:color="auto" w:fill="FFFFFF"/>
            <w:tcMar>
              <w:top w:w="0" w:type="dxa"/>
              <w:left w:w="108" w:type="dxa"/>
              <w:bottom w:w="0" w:type="dxa"/>
              <w:right w:w="108" w:type="dxa"/>
            </w:tcMar>
          </w:tcPr>
          <w:p w14:paraId="166DA3B5" w14:textId="77777777" w:rsidR="00422EFE" w:rsidRPr="00261B7A" w:rsidRDefault="00422EFE" w:rsidP="00D41492">
            <w:pPr>
              <w:pStyle w:val="TableText"/>
              <w:spacing w:before="40" w:after="40"/>
              <w:jc w:val="right"/>
            </w:pPr>
            <w:r w:rsidRPr="00261B7A">
              <w:rPr>
                <w:rFonts w:eastAsia="Calibri"/>
                <w:color w:val="000000"/>
              </w:rPr>
              <w:t>5.9</w:t>
            </w:r>
          </w:p>
        </w:tc>
        <w:tc>
          <w:tcPr>
            <w:tcW w:w="829" w:type="dxa"/>
            <w:shd w:val="clear" w:color="auto" w:fill="FFFFFF"/>
            <w:tcMar>
              <w:top w:w="0" w:type="dxa"/>
              <w:left w:w="108" w:type="dxa"/>
              <w:bottom w:w="0" w:type="dxa"/>
              <w:right w:w="108" w:type="dxa"/>
            </w:tcMar>
          </w:tcPr>
          <w:p w14:paraId="072E24FC" w14:textId="77777777" w:rsidR="00422EFE" w:rsidRPr="00261B7A" w:rsidRDefault="00422EFE" w:rsidP="00D41492">
            <w:pPr>
              <w:pStyle w:val="TableText"/>
              <w:spacing w:before="40" w:after="40"/>
              <w:jc w:val="right"/>
            </w:pPr>
            <w:r w:rsidRPr="00261B7A">
              <w:rPr>
                <w:rFonts w:eastAsia="Calibri"/>
                <w:color w:val="000000"/>
              </w:rPr>
              <w:t>12.6</w:t>
            </w:r>
          </w:p>
        </w:tc>
        <w:tc>
          <w:tcPr>
            <w:tcW w:w="874" w:type="dxa"/>
            <w:shd w:val="clear" w:color="auto" w:fill="FFFFFF"/>
            <w:tcMar>
              <w:top w:w="0" w:type="dxa"/>
              <w:left w:w="108" w:type="dxa"/>
              <w:bottom w:w="0" w:type="dxa"/>
              <w:right w:w="108" w:type="dxa"/>
            </w:tcMar>
          </w:tcPr>
          <w:p w14:paraId="104D7CF0" w14:textId="60EE2289" w:rsidR="00422EFE" w:rsidRPr="00261B7A" w:rsidRDefault="00422EFE" w:rsidP="00D41492">
            <w:pPr>
              <w:pStyle w:val="TableText"/>
              <w:spacing w:before="40" w:after="40"/>
              <w:jc w:val="right"/>
            </w:pPr>
            <w:r w:rsidRPr="00261B7A">
              <w:rPr>
                <w:rFonts w:eastAsia="Calibri"/>
                <w:color w:val="000000"/>
              </w:rPr>
              <w:t>5</w:t>
            </w:r>
            <w:r w:rsidR="00506CA5" w:rsidRPr="00261B7A">
              <w:rPr>
                <w:rFonts w:eastAsia="Calibri"/>
                <w:color w:val="000000"/>
              </w:rPr>
              <w:t>.0</w:t>
            </w:r>
          </w:p>
        </w:tc>
        <w:tc>
          <w:tcPr>
            <w:tcW w:w="756" w:type="dxa"/>
            <w:shd w:val="clear" w:color="auto" w:fill="FFFFFF"/>
            <w:tcMar>
              <w:top w:w="0" w:type="dxa"/>
              <w:left w:w="108" w:type="dxa"/>
              <w:bottom w:w="0" w:type="dxa"/>
              <w:right w:w="108" w:type="dxa"/>
            </w:tcMar>
          </w:tcPr>
          <w:p w14:paraId="07BECF2B" w14:textId="77777777" w:rsidR="00422EFE" w:rsidRPr="00261B7A" w:rsidRDefault="00422EFE" w:rsidP="00D41492">
            <w:pPr>
              <w:pStyle w:val="TableText"/>
              <w:spacing w:before="40" w:after="40"/>
              <w:jc w:val="right"/>
            </w:pPr>
            <w:r w:rsidRPr="00261B7A">
              <w:rPr>
                <w:rFonts w:eastAsia="Calibri"/>
                <w:color w:val="000000"/>
              </w:rPr>
              <w:t>2.5</w:t>
            </w:r>
          </w:p>
        </w:tc>
        <w:tc>
          <w:tcPr>
            <w:tcW w:w="660" w:type="dxa"/>
            <w:shd w:val="clear" w:color="auto" w:fill="FFFFFF"/>
            <w:tcMar>
              <w:top w:w="0" w:type="dxa"/>
              <w:left w:w="108" w:type="dxa"/>
              <w:bottom w:w="0" w:type="dxa"/>
              <w:right w:w="108" w:type="dxa"/>
            </w:tcMar>
          </w:tcPr>
          <w:p w14:paraId="3E1E5F24" w14:textId="77777777" w:rsidR="00422EFE" w:rsidRPr="00261B7A" w:rsidRDefault="00422EFE" w:rsidP="00D41492">
            <w:pPr>
              <w:pStyle w:val="TableText"/>
              <w:spacing w:before="40" w:after="40"/>
              <w:jc w:val="right"/>
            </w:pPr>
            <w:r w:rsidRPr="00261B7A">
              <w:rPr>
                <w:rFonts w:eastAsia="Calibri"/>
                <w:color w:val="000000"/>
              </w:rPr>
              <w:t>1.9</w:t>
            </w:r>
          </w:p>
        </w:tc>
        <w:tc>
          <w:tcPr>
            <w:tcW w:w="567" w:type="dxa"/>
            <w:shd w:val="clear" w:color="auto" w:fill="FFFFFF"/>
            <w:tcMar>
              <w:top w:w="0" w:type="dxa"/>
              <w:left w:w="108" w:type="dxa"/>
              <w:bottom w:w="0" w:type="dxa"/>
              <w:right w:w="108" w:type="dxa"/>
            </w:tcMar>
          </w:tcPr>
          <w:p w14:paraId="2E34BC99" w14:textId="77777777" w:rsidR="00422EFE" w:rsidRPr="00261B7A" w:rsidRDefault="00422EFE" w:rsidP="00D41492">
            <w:pPr>
              <w:pStyle w:val="TableText"/>
              <w:spacing w:before="40" w:after="40"/>
              <w:jc w:val="right"/>
            </w:pPr>
            <w:r w:rsidRPr="00261B7A">
              <w:rPr>
                <w:rFonts w:eastAsia="Calibri"/>
                <w:color w:val="000000"/>
              </w:rPr>
              <w:t>57.3</w:t>
            </w:r>
          </w:p>
        </w:tc>
        <w:tc>
          <w:tcPr>
            <w:tcW w:w="1985" w:type="dxa"/>
            <w:shd w:val="clear" w:color="auto" w:fill="FFFFFF"/>
            <w:tcMar>
              <w:top w:w="0" w:type="dxa"/>
              <w:left w:w="108" w:type="dxa"/>
              <w:bottom w:w="0" w:type="dxa"/>
              <w:right w:w="108" w:type="dxa"/>
            </w:tcMar>
          </w:tcPr>
          <w:p w14:paraId="38340F3A" w14:textId="77777777" w:rsidR="00422EFE" w:rsidRPr="00261B7A" w:rsidRDefault="00422EFE" w:rsidP="00D41492">
            <w:pPr>
              <w:pStyle w:val="TableText"/>
              <w:spacing w:before="40" w:after="40"/>
            </w:pPr>
            <w:r w:rsidRPr="00261B7A">
              <w:rPr>
                <w:rFonts w:eastAsia="Calibri"/>
                <w:color w:val="000000"/>
              </w:rPr>
              <w:t>Assumed same as 2018</w:t>
            </w:r>
          </w:p>
        </w:tc>
      </w:tr>
    </w:tbl>
    <w:p w14:paraId="633B5ECB" w14:textId="77777777" w:rsidR="00422EFE" w:rsidRPr="00261B7A" w:rsidRDefault="00422EFE" w:rsidP="0054663C">
      <w:pPr>
        <w:pStyle w:val="BodyText"/>
        <w:spacing w:before="240" w:after="100"/>
      </w:pPr>
      <w:r w:rsidRPr="00261B7A">
        <w:t>The changes in composition over time lead to varying amounts of decomposable degradable organic carbon (DDOC) being entered into the landfill over time. Refer to table 7.2.6 for the values used for DDOC and other variables.</w:t>
      </w:r>
    </w:p>
    <w:p w14:paraId="77B0715A" w14:textId="77777777" w:rsidR="00422EFE" w:rsidRPr="00261B7A" w:rsidRDefault="00422EFE" w:rsidP="00CE2D16">
      <w:pPr>
        <w:pStyle w:val="Heading6"/>
      </w:pPr>
      <w:bookmarkStart w:id="2471" w:name="Xde5f86123d5b1c6488ba174a8cdadcc583b2b20"/>
      <w:bookmarkEnd w:id="2468"/>
      <w:r w:rsidRPr="00261B7A">
        <w:t>Methane correction factor, oxidation factor and fraction of methane in landfill gas (F)</w:t>
      </w:r>
    </w:p>
    <w:p w14:paraId="46F98135" w14:textId="77777777" w:rsidR="00422EFE" w:rsidRPr="00261B7A" w:rsidRDefault="00422EFE" w:rsidP="0054663C">
      <w:pPr>
        <w:pStyle w:val="BodyText"/>
        <w:spacing w:before="100"/>
      </w:pPr>
      <w:r w:rsidRPr="00261B7A">
        <w:t>The CH</w:t>
      </w:r>
      <w:r w:rsidRPr="00261B7A">
        <w:rPr>
          <w:vertAlign w:val="subscript"/>
        </w:rPr>
        <w:t>4</w:t>
      </w:r>
      <w:r w:rsidRPr="00261B7A">
        <w:t xml:space="preserve"> correction factor used is 1.0 for all managed landfill sites, both landfills with LFG recovery and those without. An oxidation factor of 10 per cent is used for waste disposed to these sites.</w:t>
      </w:r>
    </w:p>
    <w:p w14:paraId="6CDE9D4D" w14:textId="77777777" w:rsidR="00422EFE" w:rsidRPr="00261B7A" w:rsidRDefault="00422EFE" w:rsidP="0054663C">
      <w:pPr>
        <w:pStyle w:val="BodyText"/>
        <w:spacing w:before="100"/>
      </w:pPr>
      <w:r w:rsidRPr="00261B7A">
        <w:t>For all sites other than managed landfills, there was an unknown mix of shallow and deep disposal areas. A survey carried out in 1971 revealed that larger sites in operation were assessed at that time to be roughly half deep (more than 5 metres) and half shallow. The use of cover material was variable. Therefore, for uncategorised sites, a CH</w:t>
      </w:r>
      <w:r w:rsidRPr="00261B7A">
        <w:rPr>
          <w:vertAlign w:val="subscript"/>
        </w:rPr>
        <w:t>4</w:t>
      </w:r>
      <w:r w:rsidRPr="00261B7A">
        <w:t xml:space="preserve"> correction factor of 0.6 and an oxidation factor of zero have been used.</w:t>
      </w:r>
    </w:p>
    <w:p w14:paraId="33458504" w14:textId="77777777" w:rsidR="00422EFE" w:rsidRPr="00261B7A" w:rsidRDefault="00422EFE" w:rsidP="00422EFE">
      <w:pPr>
        <w:pStyle w:val="BodyText"/>
      </w:pPr>
      <w:r w:rsidRPr="00261B7A">
        <w:t>The fraction of methane in landfill gas (F) is 57 per cent for municipal landfills (Eunomia, unpublished(a)). This figure is based on research in the United Kingdom and the general similarities in landfill management practices between the United Kingdom and New Zealand. Uncategorised sites use the IPCC (2006a) default of 50 per cent.</w:t>
      </w:r>
    </w:p>
    <w:p w14:paraId="0D0CAF9E" w14:textId="77777777" w:rsidR="00422EFE" w:rsidRPr="00261B7A" w:rsidRDefault="00422EFE" w:rsidP="00CE2D16">
      <w:pPr>
        <w:pStyle w:val="Heading6"/>
      </w:pPr>
      <w:bookmarkStart w:id="2472" w:name="methane-generation-rates"/>
      <w:bookmarkEnd w:id="2471"/>
      <w:r w:rsidRPr="00261B7A">
        <w:t>Methane generation rates</w:t>
      </w:r>
    </w:p>
    <w:p w14:paraId="3AB9E69D" w14:textId="77777777" w:rsidR="00422EFE" w:rsidRPr="00261B7A" w:rsidRDefault="00422EFE" w:rsidP="00422EFE">
      <w:pPr>
        <w:pStyle w:val="BodyText"/>
      </w:pPr>
      <w:r w:rsidRPr="00261B7A">
        <w:t>The study by Eunomia (unpublished(a)) provides the parameters used to determine the quantity and rate of methane generation. Table 7.2.6 details the parameters used.</w:t>
      </w:r>
    </w:p>
    <w:p w14:paraId="08D0E0F1" w14:textId="77777777" w:rsidR="00422EFE" w:rsidRPr="00261B7A" w:rsidRDefault="00422EFE" w:rsidP="00422EFE">
      <w:pPr>
        <w:pStyle w:val="Table"/>
      </w:pPr>
      <w:bookmarkStart w:id="2473" w:name="_Toc128383667"/>
      <w:bookmarkStart w:id="2474" w:name="_Toc131591440"/>
      <w:r w:rsidRPr="00261B7A">
        <w:t xml:space="preserve">Table 7.2.6 </w:t>
      </w:r>
      <w:r w:rsidRPr="00261B7A">
        <w:tab/>
        <w:t>Parameters by waste type that determine the quantity and rate of methane generation</w:t>
      </w:r>
      <w:bookmarkEnd w:id="2473"/>
      <w:bookmarkEnd w:id="2474"/>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843"/>
        <w:gridCol w:w="709"/>
        <w:gridCol w:w="850"/>
        <w:gridCol w:w="851"/>
        <w:gridCol w:w="850"/>
        <w:gridCol w:w="1933"/>
        <w:gridCol w:w="756"/>
        <w:gridCol w:w="713"/>
      </w:tblGrid>
      <w:tr w:rsidR="00422EFE" w:rsidRPr="00261B7A" w14:paraId="58B1ED70" w14:textId="77777777" w:rsidTr="00D41492">
        <w:trPr>
          <w:tblHeader/>
        </w:trPr>
        <w:tc>
          <w:tcPr>
            <w:tcW w:w="1843" w:type="dxa"/>
            <w:shd w:val="clear" w:color="auto" w:fill="1B556B"/>
            <w:tcMar>
              <w:top w:w="0" w:type="dxa"/>
              <w:left w:w="108" w:type="dxa"/>
              <w:bottom w:w="0" w:type="dxa"/>
              <w:right w:w="108" w:type="dxa"/>
            </w:tcMar>
          </w:tcPr>
          <w:p w14:paraId="5052311A"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Parameter</w:t>
            </w:r>
          </w:p>
        </w:tc>
        <w:tc>
          <w:tcPr>
            <w:tcW w:w="709" w:type="dxa"/>
            <w:shd w:val="clear" w:color="auto" w:fill="1B556B"/>
            <w:tcMar>
              <w:top w:w="0" w:type="dxa"/>
              <w:left w:w="108" w:type="dxa"/>
              <w:bottom w:w="0" w:type="dxa"/>
              <w:right w:w="108" w:type="dxa"/>
            </w:tcMar>
          </w:tcPr>
          <w:p w14:paraId="7C328B15"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Food</w:t>
            </w:r>
          </w:p>
        </w:tc>
        <w:tc>
          <w:tcPr>
            <w:tcW w:w="850" w:type="dxa"/>
            <w:shd w:val="clear" w:color="auto" w:fill="1B556B"/>
            <w:tcMar>
              <w:top w:w="0" w:type="dxa"/>
              <w:left w:w="108" w:type="dxa"/>
              <w:bottom w:w="0" w:type="dxa"/>
              <w:right w:w="108" w:type="dxa"/>
            </w:tcMar>
          </w:tcPr>
          <w:p w14:paraId="3A0EA043"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Garden</w:t>
            </w:r>
          </w:p>
        </w:tc>
        <w:tc>
          <w:tcPr>
            <w:tcW w:w="851" w:type="dxa"/>
            <w:shd w:val="clear" w:color="auto" w:fill="1B556B"/>
            <w:tcMar>
              <w:top w:w="0" w:type="dxa"/>
              <w:left w:w="108" w:type="dxa"/>
              <w:bottom w:w="0" w:type="dxa"/>
              <w:right w:w="108" w:type="dxa"/>
            </w:tcMar>
          </w:tcPr>
          <w:p w14:paraId="5E26F917"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Paper</w:t>
            </w:r>
          </w:p>
        </w:tc>
        <w:tc>
          <w:tcPr>
            <w:tcW w:w="850" w:type="dxa"/>
            <w:shd w:val="clear" w:color="auto" w:fill="1B556B"/>
            <w:tcMar>
              <w:top w:w="0" w:type="dxa"/>
              <w:left w:w="108" w:type="dxa"/>
              <w:bottom w:w="0" w:type="dxa"/>
              <w:right w:w="108" w:type="dxa"/>
            </w:tcMar>
          </w:tcPr>
          <w:p w14:paraId="182EBD87"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Wood</w:t>
            </w:r>
          </w:p>
        </w:tc>
        <w:tc>
          <w:tcPr>
            <w:tcW w:w="1933" w:type="dxa"/>
            <w:shd w:val="clear" w:color="auto" w:fill="1B556B"/>
            <w:tcMar>
              <w:top w:w="0" w:type="dxa"/>
              <w:left w:w="108" w:type="dxa"/>
              <w:bottom w:w="0" w:type="dxa"/>
              <w:right w:w="108" w:type="dxa"/>
            </w:tcMar>
          </w:tcPr>
          <w:p w14:paraId="5429932C"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Textile</w:t>
            </w:r>
          </w:p>
        </w:tc>
        <w:tc>
          <w:tcPr>
            <w:tcW w:w="0" w:type="auto"/>
            <w:shd w:val="clear" w:color="auto" w:fill="1B556B"/>
            <w:tcMar>
              <w:top w:w="0" w:type="dxa"/>
              <w:left w:w="108" w:type="dxa"/>
              <w:bottom w:w="0" w:type="dxa"/>
              <w:right w:w="108" w:type="dxa"/>
            </w:tcMar>
          </w:tcPr>
          <w:p w14:paraId="59FFE27D"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Nappies</w:t>
            </w:r>
          </w:p>
        </w:tc>
        <w:tc>
          <w:tcPr>
            <w:tcW w:w="0" w:type="auto"/>
            <w:shd w:val="clear" w:color="auto" w:fill="1B556B"/>
            <w:tcMar>
              <w:top w:w="0" w:type="dxa"/>
              <w:left w:w="108" w:type="dxa"/>
              <w:bottom w:w="0" w:type="dxa"/>
              <w:right w:w="108" w:type="dxa"/>
            </w:tcMar>
          </w:tcPr>
          <w:p w14:paraId="48A0B7A4"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Sludge</w:t>
            </w:r>
            <w:r w:rsidRPr="00261B7A">
              <w:rPr>
                <w:rFonts w:eastAsia="Calibri"/>
                <w:b/>
                <w:bCs/>
                <w:color w:val="FFFFFF" w:themeColor="background1"/>
                <w:vertAlign w:val="superscript"/>
              </w:rPr>
              <w:t>b</w:t>
            </w:r>
          </w:p>
        </w:tc>
      </w:tr>
      <w:tr w:rsidR="00422EFE" w:rsidRPr="00261B7A" w14:paraId="1A9803B5" w14:textId="77777777" w:rsidTr="00D41492">
        <w:tc>
          <w:tcPr>
            <w:tcW w:w="1843" w:type="dxa"/>
            <w:shd w:val="clear" w:color="auto" w:fill="FFFFFF"/>
            <w:tcMar>
              <w:top w:w="0" w:type="dxa"/>
              <w:left w:w="108" w:type="dxa"/>
              <w:bottom w:w="0" w:type="dxa"/>
              <w:right w:w="108" w:type="dxa"/>
            </w:tcMar>
          </w:tcPr>
          <w:p w14:paraId="3CEEB9E1" w14:textId="77777777" w:rsidR="00422EFE" w:rsidRPr="00261B7A" w:rsidRDefault="00422EFE" w:rsidP="0054663C">
            <w:pPr>
              <w:pStyle w:val="TableText"/>
              <w:spacing w:before="40" w:after="40"/>
            </w:pPr>
            <w:r w:rsidRPr="00261B7A">
              <w:rPr>
                <w:rFonts w:eastAsia="Calibri"/>
                <w:color w:val="000000"/>
              </w:rPr>
              <w:t>DDOC</w:t>
            </w:r>
          </w:p>
        </w:tc>
        <w:tc>
          <w:tcPr>
            <w:tcW w:w="709" w:type="dxa"/>
            <w:shd w:val="clear" w:color="auto" w:fill="FFFFFF"/>
            <w:tcMar>
              <w:top w:w="0" w:type="dxa"/>
              <w:left w:w="108" w:type="dxa"/>
              <w:bottom w:w="0" w:type="dxa"/>
              <w:right w:w="108" w:type="dxa"/>
            </w:tcMar>
          </w:tcPr>
          <w:p w14:paraId="2D5DBE90" w14:textId="77777777" w:rsidR="00422EFE" w:rsidRPr="00261B7A" w:rsidRDefault="00422EFE" w:rsidP="0054663C">
            <w:pPr>
              <w:pStyle w:val="TableText"/>
              <w:spacing w:before="40" w:after="40"/>
            </w:pPr>
            <w:r w:rsidRPr="00261B7A">
              <w:rPr>
                <w:rFonts w:eastAsia="Calibri"/>
                <w:color w:val="000000"/>
              </w:rPr>
              <w:t>0.11</w:t>
            </w:r>
            <w:r w:rsidRPr="00261B7A">
              <w:rPr>
                <w:rFonts w:eastAsia="Calibri"/>
                <w:color w:val="000000"/>
                <w:vertAlign w:val="superscript"/>
              </w:rPr>
              <w:t>a</w:t>
            </w:r>
          </w:p>
        </w:tc>
        <w:tc>
          <w:tcPr>
            <w:tcW w:w="850" w:type="dxa"/>
            <w:shd w:val="clear" w:color="auto" w:fill="FFFFFF"/>
            <w:tcMar>
              <w:top w:w="0" w:type="dxa"/>
              <w:left w:w="108" w:type="dxa"/>
              <w:bottom w:w="0" w:type="dxa"/>
              <w:right w:w="108" w:type="dxa"/>
            </w:tcMar>
          </w:tcPr>
          <w:p w14:paraId="00645B48" w14:textId="77777777" w:rsidR="00422EFE" w:rsidRPr="00261B7A" w:rsidRDefault="00422EFE" w:rsidP="0054663C">
            <w:pPr>
              <w:pStyle w:val="TableText"/>
              <w:spacing w:before="40" w:after="40"/>
            </w:pPr>
            <w:r w:rsidRPr="00261B7A">
              <w:rPr>
                <w:rFonts w:eastAsia="Calibri"/>
                <w:color w:val="000000"/>
              </w:rPr>
              <w:t>0.09</w:t>
            </w:r>
          </w:p>
        </w:tc>
        <w:tc>
          <w:tcPr>
            <w:tcW w:w="851" w:type="dxa"/>
            <w:shd w:val="clear" w:color="auto" w:fill="FFFFFF"/>
            <w:tcMar>
              <w:top w:w="0" w:type="dxa"/>
              <w:left w:w="108" w:type="dxa"/>
              <w:bottom w:w="0" w:type="dxa"/>
              <w:right w:w="108" w:type="dxa"/>
            </w:tcMar>
          </w:tcPr>
          <w:p w14:paraId="250E78C7" w14:textId="77777777" w:rsidR="00422EFE" w:rsidRPr="00261B7A" w:rsidRDefault="00422EFE" w:rsidP="0054663C">
            <w:pPr>
              <w:pStyle w:val="TableText"/>
              <w:spacing w:before="40" w:after="40"/>
            </w:pPr>
            <w:r w:rsidRPr="00261B7A">
              <w:rPr>
                <w:rFonts w:eastAsia="Calibri"/>
                <w:color w:val="000000"/>
              </w:rPr>
              <w:t>0.16</w:t>
            </w:r>
          </w:p>
        </w:tc>
        <w:tc>
          <w:tcPr>
            <w:tcW w:w="850" w:type="dxa"/>
            <w:shd w:val="clear" w:color="auto" w:fill="FFFFFF"/>
            <w:tcMar>
              <w:top w:w="0" w:type="dxa"/>
              <w:left w:w="108" w:type="dxa"/>
              <w:bottom w:w="0" w:type="dxa"/>
              <w:right w:w="108" w:type="dxa"/>
            </w:tcMar>
          </w:tcPr>
          <w:p w14:paraId="373C36CC" w14:textId="77777777" w:rsidR="00422EFE" w:rsidRPr="00261B7A" w:rsidRDefault="00422EFE" w:rsidP="0054663C">
            <w:pPr>
              <w:pStyle w:val="TableText"/>
              <w:spacing w:before="40" w:after="40"/>
            </w:pPr>
            <w:r w:rsidRPr="00261B7A">
              <w:rPr>
                <w:rFonts w:eastAsia="Calibri"/>
                <w:color w:val="000000"/>
              </w:rPr>
              <w:t>0.06</w:t>
            </w:r>
          </w:p>
        </w:tc>
        <w:tc>
          <w:tcPr>
            <w:tcW w:w="1933" w:type="dxa"/>
            <w:shd w:val="clear" w:color="auto" w:fill="FFFFFF"/>
            <w:tcMar>
              <w:top w:w="0" w:type="dxa"/>
              <w:left w:w="108" w:type="dxa"/>
              <w:bottom w:w="0" w:type="dxa"/>
              <w:right w:w="108" w:type="dxa"/>
            </w:tcMar>
          </w:tcPr>
          <w:p w14:paraId="1C0F036F" w14:textId="0CFDD148" w:rsidR="00422EFE" w:rsidRPr="00261B7A" w:rsidRDefault="00422EFE" w:rsidP="0054663C">
            <w:pPr>
              <w:pStyle w:val="TableText"/>
              <w:spacing w:before="40" w:after="40"/>
            </w:pPr>
            <w:r w:rsidRPr="00261B7A">
              <w:rPr>
                <w:rFonts w:eastAsia="Calibri"/>
                <w:color w:val="000000"/>
              </w:rPr>
              <w:t>0.20 (1950s) to 0.08 (2020</w:t>
            </w:r>
            <w:r w:rsidR="009931F5">
              <w:rPr>
                <w:rFonts w:eastAsia="Calibri"/>
                <w:color w:val="000000"/>
              </w:rPr>
              <w:t> </w:t>
            </w:r>
            <w:r w:rsidRPr="00261B7A">
              <w:rPr>
                <w:rFonts w:eastAsia="Calibri"/>
                <w:color w:val="000000"/>
              </w:rPr>
              <w:t>onwards)</w:t>
            </w:r>
          </w:p>
        </w:tc>
        <w:tc>
          <w:tcPr>
            <w:tcW w:w="0" w:type="auto"/>
            <w:shd w:val="clear" w:color="auto" w:fill="FFFFFF"/>
            <w:tcMar>
              <w:top w:w="0" w:type="dxa"/>
              <w:left w:w="108" w:type="dxa"/>
              <w:bottom w:w="0" w:type="dxa"/>
              <w:right w:w="108" w:type="dxa"/>
            </w:tcMar>
          </w:tcPr>
          <w:p w14:paraId="07036C34" w14:textId="77777777" w:rsidR="00422EFE" w:rsidRPr="00261B7A" w:rsidRDefault="00422EFE" w:rsidP="0054663C">
            <w:pPr>
              <w:pStyle w:val="TableText"/>
              <w:spacing w:before="40" w:after="40"/>
            </w:pPr>
            <w:r w:rsidRPr="00261B7A">
              <w:rPr>
                <w:rFonts w:eastAsia="Calibri"/>
                <w:color w:val="000000"/>
              </w:rPr>
              <w:t>0.04</w:t>
            </w:r>
          </w:p>
        </w:tc>
        <w:tc>
          <w:tcPr>
            <w:tcW w:w="0" w:type="auto"/>
            <w:shd w:val="clear" w:color="auto" w:fill="FFFFFF"/>
            <w:tcMar>
              <w:top w:w="0" w:type="dxa"/>
              <w:left w:w="108" w:type="dxa"/>
              <w:bottom w:w="0" w:type="dxa"/>
              <w:right w:w="108" w:type="dxa"/>
            </w:tcMar>
          </w:tcPr>
          <w:p w14:paraId="295AC72E" w14:textId="77777777" w:rsidR="00422EFE" w:rsidRPr="00261B7A" w:rsidRDefault="00422EFE" w:rsidP="0054663C">
            <w:pPr>
              <w:pStyle w:val="TableText"/>
              <w:spacing w:before="40" w:after="40"/>
            </w:pPr>
            <w:r w:rsidRPr="00261B7A">
              <w:rPr>
                <w:rFonts w:eastAsia="Calibri"/>
                <w:color w:val="000000"/>
              </w:rPr>
              <w:t>0.025</w:t>
            </w:r>
          </w:p>
        </w:tc>
      </w:tr>
      <w:tr w:rsidR="00422EFE" w:rsidRPr="00261B7A" w14:paraId="7ADD6983" w14:textId="77777777" w:rsidTr="00D41492">
        <w:tc>
          <w:tcPr>
            <w:tcW w:w="1843" w:type="dxa"/>
            <w:shd w:val="clear" w:color="auto" w:fill="FFFFFF"/>
            <w:tcMar>
              <w:top w:w="0" w:type="dxa"/>
              <w:left w:w="108" w:type="dxa"/>
              <w:bottom w:w="0" w:type="dxa"/>
              <w:right w:w="108" w:type="dxa"/>
            </w:tcMar>
          </w:tcPr>
          <w:p w14:paraId="54D301FB" w14:textId="77777777" w:rsidR="00422EFE" w:rsidRPr="00261B7A" w:rsidRDefault="00422EFE" w:rsidP="0054663C">
            <w:pPr>
              <w:pStyle w:val="TableText"/>
              <w:spacing w:before="40" w:after="40"/>
            </w:pPr>
            <w:r w:rsidRPr="00261B7A">
              <w:rPr>
                <w:rFonts w:eastAsia="Calibri"/>
                <w:color w:val="000000"/>
              </w:rPr>
              <w:t>DOCf</w:t>
            </w:r>
            <w:r w:rsidRPr="00261B7A">
              <w:rPr>
                <w:rFonts w:eastAsia="Calibri"/>
                <w:color w:val="000000"/>
                <w:vertAlign w:val="superscript"/>
              </w:rPr>
              <w:t>c</w:t>
            </w:r>
          </w:p>
        </w:tc>
        <w:tc>
          <w:tcPr>
            <w:tcW w:w="709" w:type="dxa"/>
            <w:shd w:val="clear" w:color="auto" w:fill="FFFFFF"/>
            <w:tcMar>
              <w:top w:w="0" w:type="dxa"/>
              <w:left w:w="108" w:type="dxa"/>
              <w:bottom w:w="0" w:type="dxa"/>
              <w:right w:w="108" w:type="dxa"/>
            </w:tcMar>
          </w:tcPr>
          <w:p w14:paraId="3DFFE21C" w14:textId="77777777" w:rsidR="00422EFE" w:rsidRPr="00261B7A" w:rsidRDefault="00422EFE" w:rsidP="0054663C">
            <w:pPr>
              <w:pStyle w:val="TableText"/>
              <w:spacing w:before="40" w:after="40"/>
            </w:pPr>
            <w:r w:rsidRPr="00261B7A">
              <w:rPr>
                <w:rFonts w:eastAsia="Calibri"/>
                <w:color w:val="000000"/>
              </w:rPr>
              <w:t>0.7</w:t>
            </w:r>
          </w:p>
        </w:tc>
        <w:tc>
          <w:tcPr>
            <w:tcW w:w="850" w:type="dxa"/>
            <w:shd w:val="clear" w:color="auto" w:fill="FFFFFF"/>
            <w:tcMar>
              <w:top w:w="0" w:type="dxa"/>
              <w:left w:w="108" w:type="dxa"/>
              <w:bottom w:w="0" w:type="dxa"/>
              <w:right w:w="108" w:type="dxa"/>
            </w:tcMar>
          </w:tcPr>
          <w:p w14:paraId="1C92238A" w14:textId="77777777" w:rsidR="00422EFE" w:rsidRPr="00261B7A" w:rsidRDefault="00422EFE" w:rsidP="0054663C">
            <w:pPr>
              <w:pStyle w:val="TableText"/>
              <w:spacing w:before="40" w:after="40"/>
            </w:pPr>
            <w:r w:rsidRPr="00261B7A">
              <w:rPr>
                <w:rFonts w:eastAsia="Calibri"/>
                <w:color w:val="000000"/>
              </w:rPr>
              <w:t>0.56</w:t>
            </w:r>
          </w:p>
        </w:tc>
        <w:tc>
          <w:tcPr>
            <w:tcW w:w="851" w:type="dxa"/>
            <w:shd w:val="clear" w:color="auto" w:fill="FFFFFF"/>
            <w:tcMar>
              <w:top w:w="0" w:type="dxa"/>
              <w:left w:w="108" w:type="dxa"/>
              <w:bottom w:w="0" w:type="dxa"/>
              <w:right w:w="108" w:type="dxa"/>
            </w:tcMar>
          </w:tcPr>
          <w:p w14:paraId="2D6A3708" w14:textId="77777777" w:rsidR="00422EFE" w:rsidRPr="00261B7A" w:rsidRDefault="00422EFE" w:rsidP="0054663C">
            <w:pPr>
              <w:pStyle w:val="TableText"/>
              <w:spacing w:before="40" w:after="40"/>
            </w:pPr>
            <w:r w:rsidRPr="00261B7A">
              <w:rPr>
                <w:rFonts w:eastAsia="Calibri"/>
                <w:color w:val="000000"/>
              </w:rPr>
              <w:t>0.5</w:t>
            </w:r>
          </w:p>
        </w:tc>
        <w:tc>
          <w:tcPr>
            <w:tcW w:w="850" w:type="dxa"/>
            <w:shd w:val="clear" w:color="auto" w:fill="FFFFFF"/>
            <w:tcMar>
              <w:top w:w="0" w:type="dxa"/>
              <w:left w:w="108" w:type="dxa"/>
              <w:bottom w:w="0" w:type="dxa"/>
              <w:right w:w="108" w:type="dxa"/>
            </w:tcMar>
          </w:tcPr>
          <w:p w14:paraId="5ECDF5D6" w14:textId="77777777" w:rsidR="00422EFE" w:rsidRPr="00261B7A" w:rsidRDefault="00422EFE" w:rsidP="0054663C">
            <w:pPr>
              <w:pStyle w:val="TableText"/>
              <w:spacing w:before="40" w:after="40"/>
            </w:pPr>
            <w:r w:rsidRPr="00261B7A">
              <w:rPr>
                <w:rFonts w:eastAsia="Calibri"/>
                <w:color w:val="000000"/>
              </w:rPr>
              <w:t>0.14</w:t>
            </w:r>
          </w:p>
        </w:tc>
        <w:tc>
          <w:tcPr>
            <w:tcW w:w="1933" w:type="dxa"/>
            <w:shd w:val="clear" w:color="auto" w:fill="FFFFFF"/>
            <w:tcMar>
              <w:top w:w="0" w:type="dxa"/>
              <w:left w:w="108" w:type="dxa"/>
              <w:bottom w:w="0" w:type="dxa"/>
              <w:right w:w="108" w:type="dxa"/>
            </w:tcMar>
          </w:tcPr>
          <w:p w14:paraId="1E5CFAF8" w14:textId="77777777" w:rsidR="00422EFE" w:rsidRPr="00261B7A" w:rsidRDefault="00422EFE" w:rsidP="0054663C">
            <w:pPr>
              <w:pStyle w:val="TableText"/>
              <w:spacing w:before="40" w:after="40"/>
            </w:pPr>
            <w:r w:rsidRPr="00261B7A">
              <w:rPr>
                <w:rFonts w:eastAsia="Calibri"/>
                <w:color w:val="000000"/>
              </w:rPr>
              <w:t>0.5</w:t>
            </w:r>
          </w:p>
        </w:tc>
        <w:tc>
          <w:tcPr>
            <w:tcW w:w="0" w:type="auto"/>
            <w:shd w:val="clear" w:color="auto" w:fill="FFFFFF"/>
            <w:tcMar>
              <w:top w:w="0" w:type="dxa"/>
              <w:left w:w="108" w:type="dxa"/>
              <w:bottom w:w="0" w:type="dxa"/>
              <w:right w:w="108" w:type="dxa"/>
            </w:tcMar>
          </w:tcPr>
          <w:p w14:paraId="7014C8F8" w14:textId="77777777" w:rsidR="00422EFE" w:rsidRPr="00261B7A" w:rsidRDefault="00422EFE" w:rsidP="0054663C">
            <w:pPr>
              <w:pStyle w:val="TableText"/>
              <w:spacing w:before="40" w:after="40"/>
            </w:pPr>
            <w:r w:rsidRPr="00261B7A">
              <w:rPr>
                <w:rFonts w:eastAsia="Calibri"/>
                <w:color w:val="000000"/>
              </w:rPr>
              <w:t>0.5</w:t>
            </w:r>
          </w:p>
        </w:tc>
        <w:tc>
          <w:tcPr>
            <w:tcW w:w="0" w:type="auto"/>
            <w:shd w:val="clear" w:color="auto" w:fill="FFFFFF"/>
            <w:tcMar>
              <w:top w:w="0" w:type="dxa"/>
              <w:left w:w="108" w:type="dxa"/>
              <w:bottom w:w="0" w:type="dxa"/>
              <w:right w:w="108" w:type="dxa"/>
            </w:tcMar>
          </w:tcPr>
          <w:p w14:paraId="686EB9DE" w14:textId="77777777" w:rsidR="00422EFE" w:rsidRPr="00261B7A" w:rsidRDefault="00422EFE" w:rsidP="0054663C">
            <w:pPr>
              <w:pStyle w:val="TableText"/>
              <w:spacing w:before="40" w:after="40"/>
            </w:pPr>
            <w:r w:rsidRPr="00261B7A">
              <w:rPr>
                <w:rFonts w:eastAsia="Calibri"/>
                <w:color w:val="000000"/>
              </w:rPr>
              <w:t>0.5</w:t>
            </w:r>
          </w:p>
        </w:tc>
      </w:tr>
      <w:tr w:rsidR="00422EFE" w:rsidRPr="00261B7A" w14:paraId="4D4E247B" w14:textId="77777777" w:rsidTr="00D41492">
        <w:tc>
          <w:tcPr>
            <w:tcW w:w="1843" w:type="dxa"/>
            <w:shd w:val="clear" w:color="auto" w:fill="FFFFFF"/>
            <w:tcMar>
              <w:top w:w="0" w:type="dxa"/>
              <w:left w:w="108" w:type="dxa"/>
              <w:bottom w:w="0" w:type="dxa"/>
              <w:right w:w="108" w:type="dxa"/>
            </w:tcMar>
          </w:tcPr>
          <w:p w14:paraId="1B25CE10" w14:textId="77777777" w:rsidR="00422EFE" w:rsidRPr="00261B7A" w:rsidRDefault="00422EFE" w:rsidP="0054663C">
            <w:pPr>
              <w:pStyle w:val="TableText"/>
              <w:spacing w:before="40" w:after="40"/>
            </w:pPr>
            <w:r w:rsidRPr="00261B7A">
              <w:rPr>
                <w:rFonts w:eastAsia="Calibri"/>
                <w:color w:val="000000"/>
              </w:rPr>
              <w:t>DOC (=DDOC/DOCf)</w:t>
            </w:r>
          </w:p>
        </w:tc>
        <w:tc>
          <w:tcPr>
            <w:tcW w:w="709" w:type="dxa"/>
            <w:shd w:val="clear" w:color="auto" w:fill="FFFFFF"/>
            <w:tcMar>
              <w:top w:w="0" w:type="dxa"/>
              <w:left w:w="108" w:type="dxa"/>
              <w:bottom w:w="0" w:type="dxa"/>
              <w:right w:w="108" w:type="dxa"/>
            </w:tcMar>
          </w:tcPr>
          <w:p w14:paraId="145EFEE0" w14:textId="77777777" w:rsidR="00422EFE" w:rsidRPr="00261B7A" w:rsidRDefault="00422EFE" w:rsidP="0054663C">
            <w:pPr>
              <w:pStyle w:val="TableText"/>
              <w:spacing w:before="40" w:after="40"/>
            </w:pPr>
            <w:r w:rsidRPr="00261B7A">
              <w:rPr>
                <w:rFonts w:eastAsia="Calibri"/>
                <w:color w:val="000000"/>
              </w:rPr>
              <w:t>0.16</w:t>
            </w:r>
          </w:p>
        </w:tc>
        <w:tc>
          <w:tcPr>
            <w:tcW w:w="850" w:type="dxa"/>
            <w:shd w:val="clear" w:color="auto" w:fill="FFFFFF"/>
            <w:tcMar>
              <w:top w:w="0" w:type="dxa"/>
              <w:left w:w="108" w:type="dxa"/>
              <w:bottom w:w="0" w:type="dxa"/>
              <w:right w:w="108" w:type="dxa"/>
            </w:tcMar>
          </w:tcPr>
          <w:p w14:paraId="1B64A0A8" w14:textId="77777777" w:rsidR="00422EFE" w:rsidRPr="00261B7A" w:rsidRDefault="00422EFE" w:rsidP="0054663C">
            <w:pPr>
              <w:pStyle w:val="TableText"/>
              <w:spacing w:before="40" w:after="40"/>
            </w:pPr>
            <w:r w:rsidRPr="00261B7A">
              <w:rPr>
                <w:rFonts w:eastAsia="Calibri"/>
                <w:color w:val="000000"/>
              </w:rPr>
              <w:t>0.16</w:t>
            </w:r>
          </w:p>
        </w:tc>
        <w:tc>
          <w:tcPr>
            <w:tcW w:w="851" w:type="dxa"/>
            <w:shd w:val="clear" w:color="auto" w:fill="FFFFFF"/>
            <w:tcMar>
              <w:top w:w="0" w:type="dxa"/>
              <w:left w:w="108" w:type="dxa"/>
              <w:bottom w:w="0" w:type="dxa"/>
              <w:right w:w="108" w:type="dxa"/>
            </w:tcMar>
          </w:tcPr>
          <w:p w14:paraId="7E74193B" w14:textId="77777777" w:rsidR="00422EFE" w:rsidRPr="00261B7A" w:rsidRDefault="00422EFE" w:rsidP="0054663C">
            <w:pPr>
              <w:pStyle w:val="TableText"/>
              <w:spacing w:before="40" w:after="40"/>
            </w:pPr>
            <w:r w:rsidRPr="00261B7A">
              <w:rPr>
                <w:rFonts w:eastAsia="Calibri"/>
                <w:color w:val="000000"/>
              </w:rPr>
              <w:t>0.32</w:t>
            </w:r>
          </w:p>
        </w:tc>
        <w:tc>
          <w:tcPr>
            <w:tcW w:w="850" w:type="dxa"/>
            <w:shd w:val="clear" w:color="auto" w:fill="FFFFFF"/>
            <w:tcMar>
              <w:top w:w="0" w:type="dxa"/>
              <w:left w:w="108" w:type="dxa"/>
              <w:bottom w:w="0" w:type="dxa"/>
              <w:right w:w="108" w:type="dxa"/>
            </w:tcMar>
          </w:tcPr>
          <w:p w14:paraId="46F8E239" w14:textId="77777777" w:rsidR="00422EFE" w:rsidRPr="00261B7A" w:rsidRDefault="00422EFE" w:rsidP="0054663C">
            <w:pPr>
              <w:pStyle w:val="TableText"/>
              <w:spacing w:before="40" w:after="40"/>
            </w:pPr>
            <w:r w:rsidRPr="00261B7A">
              <w:rPr>
                <w:rFonts w:eastAsia="Calibri"/>
                <w:color w:val="000000"/>
              </w:rPr>
              <w:t>0.43</w:t>
            </w:r>
          </w:p>
        </w:tc>
        <w:tc>
          <w:tcPr>
            <w:tcW w:w="1933" w:type="dxa"/>
            <w:shd w:val="clear" w:color="auto" w:fill="FFFFFF"/>
            <w:tcMar>
              <w:top w:w="0" w:type="dxa"/>
              <w:left w:w="108" w:type="dxa"/>
              <w:bottom w:w="0" w:type="dxa"/>
              <w:right w:w="108" w:type="dxa"/>
            </w:tcMar>
          </w:tcPr>
          <w:p w14:paraId="550B6CDD" w14:textId="69740838" w:rsidR="00422EFE" w:rsidRPr="00261B7A" w:rsidRDefault="00422EFE" w:rsidP="0054663C">
            <w:pPr>
              <w:pStyle w:val="TableText"/>
              <w:spacing w:before="40" w:after="40"/>
            </w:pPr>
            <w:r w:rsidRPr="00261B7A">
              <w:rPr>
                <w:rFonts w:eastAsia="Calibri"/>
                <w:color w:val="000000"/>
              </w:rPr>
              <w:t>0.40 (1950s) to 0.16 (2020</w:t>
            </w:r>
            <w:r w:rsidR="009931F5">
              <w:rPr>
                <w:rFonts w:eastAsia="Calibri"/>
                <w:color w:val="000000"/>
              </w:rPr>
              <w:t> </w:t>
            </w:r>
            <w:r w:rsidRPr="00261B7A">
              <w:rPr>
                <w:rFonts w:eastAsia="Calibri"/>
                <w:color w:val="000000"/>
              </w:rPr>
              <w:t>onwards)</w:t>
            </w:r>
          </w:p>
        </w:tc>
        <w:tc>
          <w:tcPr>
            <w:tcW w:w="0" w:type="auto"/>
            <w:shd w:val="clear" w:color="auto" w:fill="FFFFFF"/>
            <w:tcMar>
              <w:top w:w="0" w:type="dxa"/>
              <w:left w:w="108" w:type="dxa"/>
              <w:bottom w:w="0" w:type="dxa"/>
              <w:right w:w="108" w:type="dxa"/>
            </w:tcMar>
          </w:tcPr>
          <w:p w14:paraId="325C310E" w14:textId="77777777" w:rsidR="00422EFE" w:rsidRPr="00261B7A" w:rsidRDefault="00422EFE" w:rsidP="0054663C">
            <w:pPr>
              <w:pStyle w:val="TableText"/>
              <w:spacing w:before="40" w:after="40"/>
            </w:pPr>
            <w:r w:rsidRPr="00261B7A">
              <w:rPr>
                <w:rFonts w:eastAsia="Calibri"/>
                <w:color w:val="000000"/>
              </w:rPr>
              <w:t>0.08</w:t>
            </w:r>
          </w:p>
        </w:tc>
        <w:tc>
          <w:tcPr>
            <w:tcW w:w="0" w:type="auto"/>
            <w:shd w:val="clear" w:color="auto" w:fill="FFFFFF"/>
            <w:tcMar>
              <w:top w:w="0" w:type="dxa"/>
              <w:left w:w="108" w:type="dxa"/>
              <w:bottom w:w="0" w:type="dxa"/>
              <w:right w:w="108" w:type="dxa"/>
            </w:tcMar>
          </w:tcPr>
          <w:p w14:paraId="15D2A69A" w14:textId="77777777" w:rsidR="00422EFE" w:rsidRPr="00261B7A" w:rsidRDefault="00422EFE" w:rsidP="0054663C">
            <w:pPr>
              <w:pStyle w:val="TableText"/>
              <w:spacing w:before="40" w:after="40"/>
            </w:pPr>
            <w:r w:rsidRPr="00261B7A">
              <w:rPr>
                <w:rFonts w:eastAsia="Calibri"/>
                <w:color w:val="000000"/>
              </w:rPr>
              <w:t>0.05</w:t>
            </w:r>
          </w:p>
        </w:tc>
      </w:tr>
      <w:tr w:rsidR="00422EFE" w:rsidRPr="00261B7A" w14:paraId="7A3155D6" w14:textId="77777777" w:rsidTr="00D41492">
        <w:tc>
          <w:tcPr>
            <w:tcW w:w="1843" w:type="dxa"/>
            <w:shd w:val="clear" w:color="auto" w:fill="FFFFFF"/>
            <w:tcMar>
              <w:top w:w="0" w:type="dxa"/>
              <w:left w:w="108" w:type="dxa"/>
              <w:bottom w:w="0" w:type="dxa"/>
              <w:right w:w="108" w:type="dxa"/>
            </w:tcMar>
          </w:tcPr>
          <w:p w14:paraId="49DA67E9" w14:textId="77777777" w:rsidR="00422EFE" w:rsidRPr="00261B7A" w:rsidRDefault="00422EFE" w:rsidP="0054663C">
            <w:pPr>
              <w:pStyle w:val="TableText"/>
              <w:spacing w:before="40" w:after="40"/>
            </w:pPr>
            <w:r w:rsidRPr="00261B7A">
              <w:rPr>
                <w:rFonts w:eastAsia="Calibri"/>
                <w:color w:val="000000"/>
              </w:rPr>
              <w:t>k-value wet sites (&gt;700 mm rain/year)</w:t>
            </w:r>
          </w:p>
        </w:tc>
        <w:tc>
          <w:tcPr>
            <w:tcW w:w="709" w:type="dxa"/>
            <w:shd w:val="clear" w:color="auto" w:fill="FFFFFF"/>
            <w:tcMar>
              <w:top w:w="0" w:type="dxa"/>
              <w:left w:w="108" w:type="dxa"/>
              <w:bottom w:w="0" w:type="dxa"/>
              <w:right w:w="108" w:type="dxa"/>
            </w:tcMar>
          </w:tcPr>
          <w:p w14:paraId="5AD13EB1" w14:textId="77777777" w:rsidR="00422EFE" w:rsidRPr="00261B7A" w:rsidRDefault="00422EFE" w:rsidP="0054663C">
            <w:pPr>
              <w:pStyle w:val="TableText"/>
              <w:spacing w:before="40" w:after="40"/>
            </w:pPr>
            <w:r w:rsidRPr="00261B7A">
              <w:rPr>
                <w:rFonts w:eastAsia="Calibri"/>
                <w:color w:val="000000"/>
              </w:rPr>
              <w:t>0.69</w:t>
            </w:r>
          </w:p>
        </w:tc>
        <w:tc>
          <w:tcPr>
            <w:tcW w:w="850" w:type="dxa"/>
            <w:shd w:val="clear" w:color="auto" w:fill="FFFFFF"/>
            <w:tcMar>
              <w:top w:w="0" w:type="dxa"/>
              <w:left w:w="108" w:type="dxa"/>
              <w:bottom w:w="0" w:type="dxa"/>
              <w:right w:w="108" w:type="dxa"/>
            </w:tcMar>
          </w:tcPr>
          <w:p w14:paraId="285EFF78" w14:textId="77777777" w:rsidR="00422EFE" w:rsidRPr="00261B7A" w:rsidRDefault="00422EFE" w:rsidP="0054663C">
            <w:pPr>
              <w:pStyle w:val="TableText"/>
              <w:spacing w:before="40" w:after="40"/>
            </w:pPr>
            <w:r w:rsidRPr="00261B7A">
              <w:rPr>
                <w:rFonts w:eastAsia="Calibri"/>
                <w:color w:val="000000"/>
              </w:rPr>
              <w:t>0.12</w:t>
            </w:r>
          </w:p>
        </w:tc>
        <w:tc>
          <w:tcPr>
            <w:tcW w:w="851" w:type="dxa"/>
            <w:shd w:val="clear" w:color="auto" w:fill="FFFFFF"/>
            <w:tcMar>
              <w:top w:w="0" w:type="dxa"/>
              <w:left w:w="108" w:type="dxa"/>
              <w:bottom w:w="0" w:type="dxa"/>
              <w:right w:w="108" w:type="dxa"/>
            </w:tcMar>
          </w:tcPr>
          <w:p w14:paraId="5F7B5909" w14:textId="77777777" w:rsidR="00422EFE" w:rsidRPr="00261B7A" w:rsidRDefault="00422EFE" w:rsidP="0054663C">
            <w:pPr>
              <w:pStyle w:val="TableText"/>
              <w:spacing w:before="40" w:after="40"/>
            </w:pPr>
            <w:r w:rsidRPr="00261B7A">
              <w:rPr>
                <w:rFonts w:eastAsia="Calibri"/>
                <w:color w:val="000000"/>
              </w:rPr>
              <w:t>0.076</w:t>
            </w:r>
          </w:p>
        </w:tc>
        <w:tc>
          <w:tcPr>
            <w:tcW w:w="850" w:type="dxa"/>
            <w:shd w:val="clear" w:color="auto" w:fill="FFFFFF"/>
            <w:tcMar>
              <w:top w:w="0" w:type="dxa"/>
              <w:left w:w="108" w:type="dxa"/>
              <w:bottom w:w="0" w:type="dxa"/>
              <w:right w:w="108" w:type="dxa"/>
            </w:tcMar>
          </w:tcPr>
          <w:p w14:paraId="1A13A230" w14:textId="77777777" w:rsidR="00422EFE" w:rsidRPr="00261B7A" w:rsidRDefault="00422EFE" w:rsidP="0054663C">
            <w:pPr>
              <w:pStyle w:val="TableText"/>
              <w:spacing w:before="40" w:after="40"/>
            </w:pPr>
            <w:r w:rsidRPr="00261B7A">
              <w:rPr>
                <w:rFonts w:eastAsia="Calibri"/>
                <w:color w:val="000000"/>
              </w:rPr>
              <w:t>0.076</w:t>
            </w:r>
          </w:p>
        </w:tc>
        <w:tc>
          <w:tcPr>
            <w:tcW w:w="1933" w:type="dxa"/>
            <w:shd w:val="clear" w:color="auto" w:fill="FFFFFF"/>
            <w:tcMar>
              <w:top w:w="0" w:type="dxa"/>
              <w:left w:w="108" w:type="dxa"/>
              <w:bottom w:w="0" w:type="dxa"/>
              <w:right w:w="108" w:type="dxa"/>
            </w:tcMar>
          </w:tcPr>
          <w:p w14:paraId="7E41BED6" w14:textId="77777777" w:rsidR="00422EFE" w:rsidRPr="00261B7A" w:rsidRDefault="00422EFE" w:rsidP="0054663C">
            <w:pPr>
              <w:pStyle w:val="TableText"/>
              <w:spacing w:before="40" w:after="40"/>
            </w:pPr>
            <w:r w:rsidRPr="00261B7A">
              <w:rPr>
                <w:rFonts w:eastAsia="Calibri"/>
                <w:color w:val="000000"/>
              </w:rPr>
              <w:t>0.076</w:t>
            </w:r>
          </w:p>
        </w:tc>
        <w:tc>
          <w:tcPr>
            <w:tcW w:w="0" w:type="auto"/>
            <w:shd w:val="clear" w:color="auto" w:fill="FFFFFF"/>
            <w:tcMar>
              <w:top w:w="0" w:type="dxa"/>
              <w:left w:w="108" w:type="dxa"/>
              <w:bottom w:w="0" w:type="dxa"/>
              <w:right w:w="108" w:type="dxa"/>
            </w:tcMar>
          </w:tcPr>
          <w:p w14:paraId="3B4308CF" w14:textId="77777777" w:rsidR="00422EFE" w:rsidRPr="00261B7A" w:rsidRDefault="00422EFE" w:rsidP="0054663C">
            <w:pPr>
              <w:pStyle w:val="TableText"/>
              <w:spacing w:before="40" w:after="40"/>
            </w:pPr>
            <w:r w:rsidRPr="00261B7A">
              <w:rPr>
                <w:rFonts w:eastAsia="Calibri"/>
                <w:color w:val="000000"/>
              </w:rPr>
              <w:t>0.12</w:t>
            </w:r>
          </w:p>
        </w:tc>
        <w:tc>
          <w:tcPr>
            <w:tcW w:w="0" w:type="auto"/>
            <w:shd w:val="clear" w:color="auto" w:fill="FFFFFF"/>
            <w:tcMar>
              <w:top w:w="0" w:type="dxa"/>
              <w:left w:w="108" w:type="dxa"/>
              <w:bottom w:w="0" w:type="dxa"/>
              <w:right w:w="108" w:type="dxa"/>
            </w:tcMar>
          </w:tcPr>
          <w:p w14:paraId="15B5CACA" w14:textId="51553226" w:rsidR="00422EFE" w:rsidRPr="00261B7A" w:rsidRDefault="00422EFE" w:rsidP="0054663C">
            <w:pPr>
              <w:pStyle w:val="TableText"/>
              <w:spacing w:before="40" w:after="40"/>
            </w:pPr>
            <w:r w:rsidRPr="00261B7A">
              <w:rPr>
                <w:rFonts w:eastAsia="Calibri"/>
                <w:color w:val="000000"/>
              </w:rPr>
              <w:t>0.1</w:t>
            </w:r>
            <w:r w:rsidR="005D7EFE">
              <w:rPr>
                <w:rFonts w:eastAsia="Calibri"/>
                <w:color w:val="000000"/>
              </w:rPr>
              <w:t>9</w:t>
            </w:r>
          </w:p>
        </w:tc>
      </w:tr>
      <w:tr w:rsidR="00422EFE" w:rsidRPr="00261B7A" w14:paraId="27F4010F" w14:textId="77777777" w:rsidTr="00D41492">
        <w:tc>
          <w:tcPr>
            <w:tcW w:w="1843" w:type="dxa"/>
            <w:shd w:val="clear" w:color="auto" w:fill="FFFFFF"/>
            <w:tcMar>
              <w:top w:w="0" w:type="dxa"/>
              <w:left w:w="108" w:type="dxa"/>
              <w:bottom w:w="0" w:type="dxa"/>
              <w:right w:w="108" w:type="dxa"/>
            </w:tcMar>
          </w:tcPr>
          <w:p w14:paraId="51B6E442" w14:textId="77777777" w:rsidR="00422EFE" w:rsidRPr="00261B7A" w:rsidRDefault="00422EFE" w:rsidP="0054663C">
            <w:pPr>
              <w:pStyle w:val="TableText"/>
              <w:spacing w:before="40" w:after="40"/>
            </w:pPr>
            <w:r w:rsidRPr="00261B7A">
              <w:rPr>
                <w:rFonts w:eastAsia="Calibri"/>
                <w:color w:val="000000"/>
              </w:rPr>
              <w:t>k-value dry sites</w:t>
            </w:r>
          </w:p>
        </w:tc>
        <w:tc>
          <w:tcPr>
            <w:tcW w:w="709" w:type="dxa"/>
            <w:shd w:val="clear" w:color="auto" w:fill="FFFFFF"/>
            <w:tcMar>
              <w:top w:w="0" w:type="dxa"/>
              <w:left w:w="108" w:type="dxa"/>
              <w:bottom w:w="0" w:type="dxa"/>
              <w:right w:w="108" w:type="dxa"/>
            </w:tcMar>
          </w:tcPr>
          <w:p w14:paraId="705F9902" w14:textId="77777777" w:rsidR="00422EFE" w:rsidRPr="00261B7A" w:rsidRDefault="00422EFE" w:rsidP="0054663C">
            <w:pPr>
              <w:pStyle w:val="TableText"/>
              <w:spacing w:before="40" w:after="40"/>
            </w:pPr>
            <w:r w:rsidRPr="00261B7A">
              <w:rPr>
                <w:rFonts w:eastAsia="Calibri"/>
                <w:color w:val="000000"/>
              </w:rPr>
              <w:t>0.12</w:t>
            </w:r>
          </w:p>
        </w:tc>
        <w:tc>
          <w:tcPr>
            <w:tcW w:w="850" w:type="dxa"/>
            <w:shd w:val="clear" w:color="auto" w:fill="FFFFFF"/>
            <w:tcMar>
              <w:top w:w="0" w:type="dxa"/>
              <w:left w:w="108" w:type="dxa"/>
              <w:bottom w:w="0" w:type="dxa"/>
              <w:right w:w="108" w:type="dxa"/>
            </w:tcMar>
          </w:tcPr>
          <w:p w14:paraId="1E7DC42F" w14:textId="77777777" w:rsidR="00422EFE" w:rsidRPr="00261B7A" w:rsidRDefault="00422EFE" w:rsidP="0054663C">
            <w:pPr>
              <w:pStyle w:val="TableText"/>
              <w:spacing w:before="40" w:after="40"/>
            </w:pPr>
            <w:r w:rsidRPr="00261B7A">
              <w:rPr>
                <w:rFonts w:eastAsia="Calibri"/>
                <w:color w:val="000000"/>
              </w:rPr>
              <w:t>0.076</w:t>
            </w:r>
          </w:p>
        </w:tc>
        <w:tc>
          <w:tcPr>
            <w:tcW w:w="851" w:type="dxa"/>
            <w:shd w:val="clear" w:color="auto" w:fill="FFFFFF"/>
            <w:tcMar>
              <w:top w:w="0" w:type="dxa"/>
              <w:left w:w="108" w:type="dxa"/>
              <w:bottom w:w="0" w:type="dxa"/>
              <w:right w:w="108" w:type="dxa"/>
            </w:tcMar>
          </w:tcPr>
          <w:p w14:paraId="59DC0CA0" w14:textId="77777777" w:rsidR="00422EFE" w:rsidRPr="00261B7A" w:rsidRDefault="00422EFE" w:rsidP="0054663C">
            <w:pPr>
              <w:pStyle w:val="TableText"/>
              <w:spacing w:before="40" w:after="40"/>
            </w:pPr>
            <w:r w:rsidRPr="00261B7A">
              <w:rPr>
                <w:rFonts w:eastAsia="Calibri"/>
                <w:color w:val="000000"/>
              </w:rPr>
              <w:t>0.046</w:t>
            </w:r>
          </w:p>
        </w:tc>
        <w:tc>
          <w:tcPr>
            <w:tcW w:w="850" w:type="dxa"/>
            <w:shd w:val="clear" w:color="auto" w:fill="FFFFFF"/>
            <w:tcMar>
              <w:top w:w="0" w:type="dxa"/>
              <w:left w:w="108" w:type="dxa"/>
              <w:bottom w:w="0" w:type="dxa"/>
              <w:right w:w="108" w:type="dxa"/>
            </w:tcMar>
          </w:tcPr>
          <w:p w14:paraId="69DD2FE3" w14:textId="77777777" w:rsidR="00422EFE" w:rsidRPr="00261B7A" w:rsidRDefault="00422EFE" w:rsidP="0054663C">
            <w:pPr>
              <w:pStyle w:val="TableText"/>
              <w:spacing w:before="40" w:after="40"/>
            </w:pPr>
            <w:r w:rsidRPr="00261B7A">
              <w:rPr>
                <w:rFonts w:eastAsia="Calibri"/>
                <w:color w:val="000000"/>
              </w:rPr>
              <w:t>0.046</w:t>
            </w:r>
          </w:p>
        </w:tc>
        <w:tc>
          <w:tcPr>
            <w:tcW w:w="1933" w:type="dxa"/>
            <w:shd w:val="clear" w:color="auto" w:fill="FFFFFF"/>
            <w:tcMar>
              <w:top w:w="0" w:type="dxa"/>
              <w:left w:w="108" w:type="dxa"/>
              <w:bottom w:w="0" w:type="dxa"/>
              <w:right w:w="108" w:type="dxa"/>
            </w:tcMar>
          </w:tcPr>
          <w:p w14:paraId="65830888" w14:textId="77777777" w:rsidR="00422EFE" w:rsidRPr="00261B7A" w:rsidRDefault="00422EFE" w:rsidP="0054663C">
            <w:pPr>
              <w:pStyle w:val="TableText"/>
              <w:spacing w:before="40" w:after="40"/>
            </w:pPr>
            <w:r w:rsidRPr="00261B7A">
              <w:rPr>
                <w:rFonts w:eastAsia="Calibri"/>
                <w:color w:val="000000"/>
              </w:rPr>
              <w:t>0.046</w:t>
            </w:r>
          </w:p>
        </w:tc>
        <w:tc>
          <w:tcPr>
            <w:tcW w:w="0" w:type="auto"/>
            <w:shd w:val="clear" w:color="auto" w:fill="FFFFFF"/>
            <w:tcMar>
              <w:top w:w="0" w:type="dxa"/>
              <w:left w:w="108" w:type="dxa"/>
              <w:bottom w:w="0" w:type="dxa"/>
              <w:right w:w="108" w:type="dxa"/>
            </w:tcMar>
          </w:tcPr>
          <w:p w14:paraId="6EEB26EA" w14:textId="77777777" w:rsidR="00422EFE" w:rsidRPr="00261B7A" w:rsidRDefault="00422EFE" w:rsidP="0054663C">
            <w:pPr>
              <w:pStyle w:val="TableText"/>
              <w:spacing w:before="40" w:after="40"/>
            </w:pPr>
            <w:r w:rsidRPr="00261B7A">
              <w:rPr>
                <w:rFonts w:eastAsia="Calibri"/>
                <w:color w:val="000000"/>
              </w:rPr>
              <w:t>0.076</w:t>
            </w:r>
          </w:p>
        </w:tc>
        <w:tc>
          <w:tcPr>
            <w:tcW w:w="0" w:type="auto"/>
            <w:shd w:val="clear" w:color="auto" w:fill="FFFFFF"/>
            <w:tcMar>
              <w:top w:w="0" w:type="dxa"/>
              <w:left w:w="108" w:type="dxa"/>
              <w:bottom w:w="0" w:type="dxa"/>
              <w:right w:w="108" w:type="dxa"/>
            </w:tcMar>
          </w:tcPr>
          <w:p w14:paraId="4E40D339" w14:textId="43F00E7B" w:rsidR="00422EFE" w:rsidRPr="00261B7A" w:rsidRDefault="00422EFE" w:rsidP="0054663C">
            <w:pPr>
              <w:pStyle w:val="TableText"/>
              <w:spacing w:before="40" w:after="40"/>
            </w:pPr>
            <w:r w:rsidRPr="00261B7A">
              <w:rPr>
                <w:rFonts w:eastAsia="Calibri"/>
                <w:color w:val="000000"/>
              </w:rPr>
              <w:t>0.1</w:t>
            </w:r>
            <w:r w:rsidR="005D7EFE">
              <w:rPr>
                <w:rFonts w:eastAsia="Calibri"/>
                <w:color w:val="000000"/>
              </w:rPr>
              <w:t>9</w:t>
            </w:r>
          </w:p>
        </w:tc>
      </w:tr>
    </w:tbl>
    <w:p w14:paraId="56D95DA3" w14:textId="77777777" w:rsidR="00422EFE" w:rsidRPr="00261B7A" w:rsidRDefault="00422EFE" w:rsidP="00422EFE">
      <w:pPr>
        <w:pStyle w:val="Noteundertable"/>
      </w:pPr>
      <w:r w:rsidRPr="00261B7A">
        <w:rPr>
          <w:b/>
          <w:bCs/>
        </w:rPr>
        <w:t>Note:</w:t>
      </w:r>
      <w:r w:rsidRPr="00261B7A">
        <w:t xml:space="preserve"> </w:t>
      </w:r>
      <w:r w:rsidRPr="00261B7A">
        <w:tab/>
        <w:t>DDOC = decomposable degradable organic carbon; DOC = degradable organic carbon; DOCf = DOC fraction. All parameters are from Eunomia (unpublished(a)) except: (a) DDOC for food is from IPCC (2019); (b) all values for sludge are from IPCC (2006a) default wet temperate; and (c) all DOCf values are from IPCC (2019) except for garden waste.</w:t>
      </w:r>
    </w:p>
    <w:p w14:paraId="6BEA111A" w14:textId="77777777" w:rsidR="00422EFE" w:rsidRPr="00261B7A" w:rsidRDefault="00422EFE" w:rsidP="00422EFE">
      <w:pPr>
        <w:pStyle w:val="BodyText"/>
      </w:pPr>
      <w:r w:rsidRPr="00261B7A">
        <w:t xml:space="preserve">Eunomia (unpublished(a)) recommended DOC fraction (DOCf) values consistent with the 2019 refinement to the 2006 IPCC Guidelines, except for garden waste, which is adjusted for a proportion of woody branches. DOC values are calculated based on the ratio of the DDOC to </w:t>
      </w:r>
      <w:r w:rsidRPr="00261B7A">
        <w:rPr>
          <w:spacing w:val="-2"/>
        </w:rPr>
        <w:t>DOCf instead of being given explicitly. The DDOC values for all materials differ from IPCC (2006a)</w:t>
      </w:r>
      <w:r w:rsidRPr="00261B7A">
        <w:t xml:space="preserve"> defaults, which is largely a reflection of global trends in the characteristics of materials. On balance, the most suitable DDOC for food is the IPCC default (IPCC, 2019). Paper is lower than the IPCC (2006a) default to account for the types of paper such as magazine and newsprint paper that do not degrade as easily as plain paper due to their high lignin content. The wood DDOC is specific to New Zealand, much lower than IPCC (2006a) defaults but closer to IPCC (2019) values, because it accounts for the ratio of treated and untreated wood disposed in New Zealand landfills, as well as the degradability of these types of wood wastes. DDOC for textiles varies to account for an increasing quantity of synthetic fibres over time. Nappies have a lower DDOC than the IPCC default, which is based on the Swedish anaerobic digestion model, noting that there is no source or justification for the IPCC default. The rates of decay (k-values) are differentiated by climate and composition as determined by Eunomia (unpublished(a)).</w:t>
      </w:r>
    </w:p>
    <w:p w14:paraId="0D9EF8F3" w14:textId="77777777" w:rsidR="00422EFE" w:rsidRPr="00261B7A" w:rsidRDefault="00422EFE" w:rsidP="00422EFE">
      <w:pPr>
        <w:pStyle w:val="BodyText"/>
      </w:pPr>
      <w:r w:rsidRPr="00261B7A">
        <w:t>Eunomia (unpublished(a)) has carefully assessed international data, particularly from the United Kingdom, for its applicability to New Zealand landfills. It considered factors that could influence parameters at national and regional levels. For example, New Zealand is an island nation with a maritime climate, as is the United Kingdom, and some studies based in the United Kingdom take these factors into account when the IPCC default parameters (i.e., k‑values) do not. Further, landfill site management practices, such as landfill cell capping, gas capture methods, daily cover, intermediate cover and leachate management in the United Kingdom and New Zealand are reasonably well aligned. Therefore, these represent the best data available for New Zealand landfills, until more New Zealand studies are available.</w:t>
      </w:r>
    </w:p>
    <w:p w14:paraId="26C14856" w14:textId="77777777" w:rsidR="00422EFE" w:rsidRPr="00261B7A" w:rsidRDefault="00422EFE" w:rsidP="008334A0">
      <w:pPr>
        <w:pStyle w:val="Heading5"/>
      </w:pPr>
      <w:bookmarkStart w:id="2475" w:name="gas-recovery"/>
      <w:bookmarkEnd w:id="2472"/>
      <w:r w:rsidRPr="00261B7A">
        <w:t>Gas recovery</w:t>
      </w:r>
    </w:p>
    <w:p w14:paraId="6000DEB6" w14:textId="77777777" w:rsidR="00422EFE" w:rsidRPr="00261B7A" w:rsidRDefault="00422EFE" w:rsidP="0054663C">
      <w:pPr>
        <w:pStyle w:val="BodyText"/>
        <w:spacing w:after="100"/>
      </w:pPr>
      <w:r w:rsidRPr="00261B7A">
        <w:t>Based on studies of similar landfills in the United Kingdom (Eunomia, unpublished(a)) gas recovery rates use one of two values, depending on whether the site is currently open or not. These values are applied to all years and are representative of average recovery rates over the lifetime of the landfill as follows.</w:t>
      </w:r>
    </w:p>
    <w:p w14:paraId="1C6CD34C" w14:textId="77777777" w:rsidR="00422EFE" w:rsidRPr="00261B7A" w:rsidRDefault="00422EFE" w:rsidP="0054663C">
      <w:pPr>
        <w:pStyle w:val="Bullet"/>
        <w:spacing w:after="100"/>
      </w:pPr>
      <w:r w:rsidRPr="00261B7A">
        <w:t>Sites that are open in the latest reporting year use a 68 per cent gas recovery rate.</w:t>
      </w:r>
    </w:p>
    <w:p w14:paraId="15F2C2A9" w14:textId="77777777" w:rsidR="00422EFE" w:rsidRPr="00261B7A" w:rsidRDefault="00422EFE" w:rsidP="0054663C">
      <w:pPr>
        <w:pStyle w:val="Bullet"/>
        <w:spacing w:after="100"/>
      </w:pPr>
      <w:r w:rsidRPr="00261B7A">
        <w:t>Sites that are closed in the latest reporting year use a 52 per cent gas recovery rate.</w:t>
      </w:r>
    </w:p>
    <w:p w14:paraId="1D227BC7" w14:textId="77777777" w:rsidR="00422EFE" w:rsidRPr="00261B7A" w:rsidRDefault="00422EFE" w:rsidP="0054663C">
      <w:pPr>
        <w:pStyle w:val="BodyText"/>
        <w:spacing w:after="100"/>
      </w:pPr>
      <w:r w:rsidRPr="00261B7A">
        <w:t>Using a higher recovery rate for open sites reflects that most of them are modern, large, well-</w:t>
      </w:r>
      <w:r w:rsidRPr="00261B7A">
        <w:rPr>
          <w:spacing w:val="-2"/>
        </w:rPr>
        <w:t>managed facilities that have more efficient systems than older sites that are less well</w:t>
      </w:r>
      <w:r w:rsidRPr="00261B7A">
        <w:rPr>
          <w:rFonts w:ascii="Cambria Math" w:hAnsi="Cambria Math" w:cs="Cambria Math"/>
          <w:spacing w:val="-2"/>
        </w:rPr>
        <w:t>‑</w:t>
      </w:r>
      <w:r w:rsidRPr="00261B7A">
        <w:rPr>
          <w:spacing w:val="-2"/>
        </w:rPr>
        <w:t>managed</w:t>
      </w:r>
      <w:r w:rsidRPr="00261B7A">
        <w:t>. This approach is chosen due to the limited data available in New Zealand. This will be revised if and when more capture data become available to the Ministry for the Environment.</w:t>
      </w:r>
    </w:p>
    <w:p w14:paraId="4EF3457A" w14:textId="77777777" w:rsidR="00422EFE" w:rsidRPr="00261B7A" w:rsidRDefault="00422EFE" w:rsidP="0054663C">
      <w:pPr>
        <w:pStyle w:val="BodyText"/>
        <w:spacing w:after="100"/>
      </w:pPr>
      <w:r w:rsidRPr="00261B7A">
        <w:t>Noting that most parameters used in the landfill models are similar to those in the United Kingdom, the observed methane recovery rates in the United Kingdom can be compared with the parameters used in the New Zealand model. Recovery rates in the United Kingdom were found to be between 45 per cent and 70 per cent or more (Eunomia, unpublished(a)). The values chosen for New Zealand are within this range.</w:t>
      </w:r>
    </w:p>
    <w:p w14:paraId="65BD3E66" w14:textId="77777777" w:rsidR="00422EFE" w:rsidRPr="00261B7A" w:rsidRDefault="00422EFE" w:rsidP="008334A0">
      <w:pPr>
        <w:pStyle w:val="Heading5"/>
      </w:pPr>
      <w:bookmarkStart w:id="2476" w:name="summary-of-parameters-used"/>
      <w:bookmarkEnd w:id="2475"/>
      <w:r w:rsidRPr="00261B7A">
        <w:t>Summary of parameters used</w:t>
      </w:r>
    </w:p>
    <w:p w14:paraId="280FAA2B" w14:textId="77777777" w:rsidR="00422EFE" w:rsidRPr="00261B7A" w:rsidRDefault="00422EFE" w:rsidP="00422EFE">
      <w:pPr>
        <w:pStyle w:val="BodyText"/>
      </w:pPr>
      <w:r w:rsidRPr="00261B7A">
        <w:t>Table 7.2.7 gives a summary of the parameter values that have been applied for estimating CH</w:t>
      </w:r>
      <w:r w:rsidRPr="00261B7A">
        <w:rPr>
          <w:vertAlign w:val="subscript"/>
        </w:rPr>
        <w:t>4</w:t>
      </w:r>
      <w:r w:rsidRPr="00261B7A">
        <w:t xml:space="preserve"> emissions for solid waste disposed to municipal landfills.</w:t>
      </w:r>
    </w:p>
    <w:p w14:paraId="7C0008A9" w14:textId="77777777" w:rsidR="00422EFE" w:rsidRPr="00261B7A" w:rsidRDefault="00422EFE" w:rsidP="00422EFE">
      <w:pPr>
        <w:pStyle w:val="Table"/>
      </w:pPr>
      <w:bookmarkStart w:id="2477" w:name="_Toc128383668"/>
      <w:bookmarkStart w:id="2478" w:name="_Toc131591441"/>
      <w:r w:rsidRPr="00261B7A">
        <w:t xml:space="preserve">Table 7.2.7 </w:t>
      </w:r>
      <w:r w:rsidRPr="00261B7A">
        <w:tab/>
        <w:t>Summary of parameters for municipal landfills</w:t>
      </w:r>
      <w:bookmarkEnd w:id="2477"/>
      <w:bookmarkEnd w:id="2478"/>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642"/>
        <w:gridCol w:w="1787"/>
        <w:gridCol w:w="1261"/>
        <w:gridCol w:w="2815"/>
      </w:tblGrid>
      <w:tr w:rsidR="00422EFE" w:rsidRPr="00261B7A" w14:paraId="3C8710A5" w14:textId="77777777" w:rsidTr="00D41492">
        <w:trPr>
          <w:tblHeader/>
        </w:trPr>
        <w:tc>
          <w:tcPr>
            <w:tcW w:w="0" w:type="auto"/>
            <w:shd w:val="clear" w:color="auto" w:fill="1B556B"/>
            <w:tcMar>
              <w:top w:w="0" w:type="dxa"/>
              <w:left w:w="108" w:type="dxa"/>
              <w:bottom w:w="0" w:type="dxa"/>
              <w:right w:w="108" w:type="dxa"/>
            </w:tcMar>
          </w:tcPr>
          <w:p w14:paraId="285941D1"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Parameter</w:t>
            </w:r>
          </w:p>
        </w:tc>
        <w:tc>
          <w:tcPr>
            <w:tcW w:w="0" w:type="auto"/>
            <w:shd w:val="clear" w:color="auto" w:fill="1B556B"/>
            <w:tcMar>
              <w:top w:w="0" w:type="dxa"/>
              <w:left w:w="108" w:type="dxa"/>
              <w:bottom w:w="0" w:type="dxa"/>
              <w:right w:w="108" w:type="dxa"/>
            </w:tcMar>
          </w:tcPr>
          <w:p w14:paraId="033EC3AC"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Values</w:t>
            </w:r>
          </w:p>
        </w:tc>
        <w:tc>
          <w:tcPr>
            <w:tcW w:w="0" w:type="auto"/>
            <w:shd w:val="clear" w:color="auto" w:fill="1B556B"/>
            <w:tcMar>
              <w:top w:w="0" w:type="dxa"/>
              <w:left w:w="108" w:type="dxa"/>
              <w:bottom w:w="0" w:type="dxa"/>
              <w:right w:w="108" w:type="dxa"/>
            </w:tcMar>
          </w:tcPr>
          <w:p w14:paraId="19E561AC"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Source</w:t>
            </w:r>
          </w:p>
        </w:tc>
        <w:tc>
          <w:tcPr>
            <w:tcW w:w="0" w:type="auto"/>
            <w:shd w:val="clear" w:color="auto" w:fill="1B556B"/>
            <w:tcMar>
              <w:top w:w="0" w:type="dxa"/>
              <w:left w:w="108" w:type="dxa"/>
              <w:bottom w:w="0" w:type="dxa"/>
              <w:right w:w="108" w:type="dxa"/>
            </w:tcMar>
          </w:tcPr>
          <w:p w14:paraId="0FE0C234"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Reference</w:t>
            </w:r>
          </w:p>
        </w:tc>
      </w:tr>
      <w:tr w:rsidR="00422EFE" w:rsidRPr="00261B7A" w14:paraId="540599B7" w14:textId="77777777" w:rsidTr="00D41492">
        <w:tc>
          <w:tcPr>
            <w:tcW w:w="0" w:type="auto"/>
            <w:shd w:val="clear" w:color="auto" w:fill="FFFFFF"/>
            <w:tcMar>
              <w:top w:w="0" w:type="dxa"/>
              <w:left w:w="108" w:type="dxa"/>
              <w:bottom w:w="0" w:type="dxa"/>
              <w:right w:w="108" w:type="dxa"/>
            </w:tcMar>
          </w:tcPr>
          <w:p w14:paraId="249655EC" w14:textId="77777777" w:rsidR="00422EFE" w:rsidRPr="00261B7A" w:rsidRDefault="00422EFE" w:rsidP="00943F5B">
            <w:pPr>
              <w:pStyle w:val="TableTextBold"/>
              <w:spacing w:before="40" w:after="40"/>
              <w:rPr>
                <w:noProof w:val="0"/>
              </w:rPr>
            </w:pPr>
            <w:r w:rsidRPr="00261B7A">
              <w:rPr>
                <w:rFonts w:eastAsia="Calibri"/>
                <w:noProof w:val="0"/>
              </w:rPr>
              <w:t>Managed landfills</w:t>
            </w:r>
          </w:p>
        </w:tc>
        <w:tc>
          <w:tcPr>
            <w:tcW w:w="0" w:type="auto"/>
            <w:shd w:val="clear" w:color="auto" w:fill="FFFFFF"/>
            <w:tcMar>
              <w:top w:w="0" w:type="dxa"/>
              <w:left w:w="108" w:type="dxa"/>
              <w:bottom w:w="0" w:type="dxa"/>
              <w:right w:w="108" w:type="dxa"/>
            </w:tcMar>
          </w:tcPr>
          <w:p w14:paraId="366AF941" w14:textId="77777777" w:rsidR="00422EFE" w:rsidRPr="00261B7A" w:rsidRDefault="00422EFE" w:rsidP="00943F5B">
            <w:pPr>
              <w:pStyle w:val="TableTextBold"/>
              <w:spacing w:before="40" w:after="40"/>
              <w:rPr>
                <w:noProof w:val="0"/>
              </w:rPr>
            </w:pPr>
          </w:p>
        </w:tc>
        <w:tc>
          <w:tcPr>
            <w:tcW w:w="0" w:type="auto"/>
            <w:shd w:val="clear" w:color="auto" w:fill="FFFFFF"/>
            <w:tcMar>
              <w:top w:w="0" w:type="dxa"/>
              <w:left w:w="108" w:type="dxa"/>
              <w:bottom w:w="0" w:type="dxa"/>
              <w:right w:w="108" w:type="dxa"/>
            </w:tcMar>
          </w:tcPr>
          <w:p w14:paraId="40E90722" w14:textId="77777777" w:rsidR="00422EFE" w:rsidRPr="00261B7A" w:rsidRDefault="00422EFE" w:rsidP="00943F5B">
            <w:pPr>
              <w:pStyle w:val="TableTextBold"/>
              <w:spacing w:before="40" w:after="40"/>
              <w:rPr>
                <w:noProof w:val="0"/>
              </w:rPr>
            </w:pPr>
          </w:p>
        </w:tc>
        <w:tc>
          <w:tcPr>
            <w:tcW w:w="0" w:type="auto"/>
            <w:shd w:val="clear" w:color="auto" w:fill="FFFFFF"/>
            <w:tcMar>
              <w:top w:w="0" w:type="dxa"/>
              <w:left w:w="108" w:type="dxa"/>
              <w:bottom w:w="0" w:type="dxa"/>
              <w:right w:w="108" w:type="dxa"/>
            </w:tcMar>
          </w:tcPr>
          <w:p w14:paraId="46C378FF" w14:textId="77777777" w:rsidR="00422EFE" w:rsidRPr="00261B7A" w:rsidRDefault="00422EFE" w:rsidP="00943F5B">
            <w:pPr>
              <w:pStyle w:val="TableTextBold"/>
              <w:spacing w:before="40" w:after="40"/>
              <w:rPr>
                <w:noProof w:val="0"/>
              </w:rPr>
            </w:pPr>
          </w:p>
        </w:tc>
      </w:tr>
      <w:tr w:rsidR="00422EFE" w:rsidRPr="00261B7A" w14:paraId="148D0989" w14:textId="77777777" w:rsidTr="00D41492">
        <w:tc>
          <w:tcPr>
            <w:tcW w:w="0" w:type="auto"/>
            <w:shd w:val="clear" w:color="auto" w:fill="FFFFFF"/>
            <w:tcMar>
              <w:top w:w="0" w:type="dxa"/>
              <w:left w:w="108" w:type="dxa"/>
              <w:bottom w:w="0" w:type="dxa"/>
              <w:right w:w="108" w:type="dxa"/>
            </w:tcMar>
          </w:tcPr>
          <w:p w14:paraId="75E6DB77" w14:textId="77777777" w:rsidR="00422EFE" w:rsidRPr="00261B7A" w:rsidRDefault="00422EFE" w:rsidP="0054663C">
            <w:pPr>
              <w:pStyle w:val="TableText"/>
              <w:spacing w:before="40" w:after="40"/>
            </w:pPr>
            <w:r w:rsidRPr="00261B7A">
              <w:rPr>
                <w:rFonts w:eastAsia="Calibri"/>
                <w:color w:val="000000"/>
              </w:rPr>
              <w:t>k-value (by waste type and rainfall)</w:t>
            </w:r>
          </w:p>
        </w:tc>
        <w:tc>
          <w:tcPr>
            <w:tcW w:w="0" w:type="auto"/>
            <w:shd w:val="clear" w:color="auto" w:fill="FFFFFF"/>
            <w:tcMar>
              <w:top w:w="0" w:type="dxa"/>
              <w:left w:w="108" w:type="dxa"/>
              <w:bottom w:w="0" w:type="dxa"/>
              <w:right w:w="108" w:type="dxa"/>
            </w:tcMar>
          </w:tcPr>
          <w:p w14:paraId="347E6A34" w14:textId="77777777" w:rsidR="00422EFE" w:rsidRPr="00261B7A" w:rsidRDefault="00422EFE" w:rsidP="0054663C">
            <w:pPr>
              <w:pStyle w:val="TableText"/>
              <w:spacing w:before="40" w:after="40"/>
            </w:pPr>
            <w:r w:rsidRPr="00261B7A">
              <w:rPr>
                <w:rFonts w:eastAsia="Calibri"/>
                <w:color w:val="000000"/>
              </w:rPr>
              <w:t>0.046–0.694</w:t>
            </w:r>
          </w:p>
        </w:tc>
        <w:tc>
          <w:tcPr>
            <w:tcW w:w="0" w:type="auto"/>
            <w:shd w:val="clear" w:color="auto" w:fill="FFFFFF"/>
            <w:tcMar>
              <w:top w:w="0" w:type="dxa"/>
              <w:left w:w="108" w:type="dxa"/>
              <w:bottom w:w="0" w:type="dxa"/>
              <w:right w:w="108" w:type="dxa"/>
            </w:tcMar>
          </w:tcPr>
          <w:p w14:paraId="70BD1E09" w14:textId="77777777" w:rsidR="00422EFE" w:rsidRPr="00261B7A" w:rsidRDefault="00422EFE" w:rsidP="0054663C">
            <w:pPr>
              <w:pStyle w:val="TableText"/>
              <w:spacing w:before="40" w:after="40"/>
            </w:pPr>
            <w:r w:rsidRPr="00261B7A">
              <w:rPr>
                <w:rFonts w:eastAsia="Calibri"/>
                <w:color w:val="000000"/>
              </w:rPr>
              <w:t>Country specific</w:t>
            </w:r>
          </w:p>
        </w:tc>
        <w:tc>
          <w:tcPr>
            <w:tcW w:w="0" w:type="auto"/>
            <w:shd w:val="clear" w:color="auto" w:fill="FFFFFF"/>
            <w:tcMar>
              <w:top w:w="0" w:type="dxa"/>
              <w:left w:w="108" w:type="dxa"/>
              <w:bottom w:w="0" w:type="dxa"/>
              <w:right w:w="108" w:type="dxa"/>
            </w:tcMar>
          </w:tcPr>
          <w:p w14:paraId="2236349C" w14:textId="77777777" w:rsidR="00422EFE" w:rsidRPr="00261B7A" w:rsidRDefault="00422EFE" w:rsidP="0054663C">
            <w:pPr>
              <w:pStyle w:val="TableText"/>
              <w:spacing w:before="40" w:after="40"/>
            </w:pPr>
            <w:r w:rsidRPr="00261B7A">
              <w:rPr>
                <w:rFonts w:eastAsia="Calibri"/>
                <w:color w:val="000000"/>
              </w:rPr>
              <w:t>Eunomia (unpublished(a)), IPCC (2006a)</w:t>
            </w:r>
          </w:p>
        </w:tc>
      </w:tr>
      <w:tr w:rsidR="00422EFE" w:rsidRPr="00261B7A" w14:paraId="5A0CB2C6" w14:textId="77777777" w:rsidTr="00D41492">
        <w:tc>
          <w:tcPr>
            <w:tcW w:w="0" w:type="auto"/>
            <w:shd w:val="clear" w:color="auto" w:fill="FFFFFF"/>
            <w:tcMar>
              <w:top w:w="0" w:type="dxa"/>
              <w:left w:w="108" w:type="dxa"/>
              <w:bottom w:w="0" w:type="dxa"/>
              <w:right w:w="108" w:type="dxa"/>
            </w:tcMar>
          </w:tcPr>
          <w:p w14:paraId="01B37D7A" w14:textId="77777777" w:rsidR="00422EFE" w:rsidRPr="00261B7A" w:rsidRDefault="00422EFE" w:rsidP="0054663C">
            <w:pPr>
              <w:pStyle w:val="TableText"/>
              <w:spacing w:before="40" w:after="40"/>
            </w:pPr>
            <w:r w:rsidRPr="00261B7A">
              <w:rPr>
                <w:rFonts w:eastAsia="Calibri"/>
                <w:color w:val="000000"/>
              </w:rPr>
              <w:t>Methane correction factor</w:t>
            </w:r>
          </w:p>
        </w:tc>
        <w:tc>
          <w:tcPr>
            <w:tcW w:w="0" w:type="auto"/>
            <w:shd w:val="clear" w:color="auto" w:fill="FFFFFF"/>
            <w:tcMar>
              <w:top w:w="0" w:type="dxa"/>
              <w:left w:w="108" w:type="dxa"/>
              <w:bottom w:w="0" w:type="dxa"/>
              <w:right w:w="108" w:type="dxa"/>
            </w:tcMar>
          </w:tcPr>
          <w:p w14:paraId="5DE16758" w14:textId="77777777" w:rsidR="00422EFE" w:rsidRPr="00261B7A" w:rsidRDefault="00422EFE" w:rsidP="0054663C">
            <w:pPr>
              <w:pStyle w:val="TableText"/>
              <w:spacing w:before="40" w:after="40"/>
            </w:pPr>
            <w:r w:rsidRPr="00261B7A">
              <w:rPr>
                <w:rFonts w:eastAsia="Calibri"/>
                <w:color w:val="000000"/>
              </w:rPr>
              <w:t>1</w:t>
            </w:r>
          </w:p>
        </w:tc>
        <w:tc>
          <w:tcPr>
            <w:tcW w:w="0" w:type="auto"/>
            <w:shd w:val="clear" w:color="auto" w:fill="FFFFFF"/>
            <w:tcMar>
              <w:top w:w="0" w:type="dxa"/>
              <w:left w:w="108" w:type="dxa"/>
              <w:bottom w:w="0" w:type="dxa"/>
              <w:right w:w="108" w:type="dxa"/>
            </w:tcMar>
          </w:tcPr>
          <w:p w14:paraId="2B467363" w14:textId="77777777" w:rsidR="00422EFE" w:rsidRPr="00261B7A" w:rsidRDefault="00422EFE" w:rsidP="0054663C">
            <w:pPr>
              <w:pStyle w:val="TableText"/>
              <w:spacing w:before="40" w:after="40"/>
            </w:pPr>
            <w:r w:rsidRPr="00261B7A">
              <w:rPr>
                <w:rFonts w:eastAsia="Calibri"/>
                <w:color w:val="000000"/>
              </w:rPr>
              <w:t>IPCC default</w:t>
            </w:r>
          </w:p>
        </w:tc>
        <w:tc>
          <w:tcPr>
            <w:tcW w:w="0" w:type="auto"/>
            <w:shd w:val="clear" w:color="auto" w:fill="FFFFFF"/>
            <w:tcMar>
              <w:top w:w="0" w:type="dxa"/>
              <w:left w:w="108" w:type="dxa"/>
              <w:bottom w:w="0" w:type="dxa"/>
              <w:right w:w="108" w:type="dxa"/>
            </w:tcMar>
          </w:tcPr>
          <w:p w14:paraId="48C57455" w14:textId="77777777" w:rsidR="00422EFE" w:rsidRPr="00261B7A" w:rsidRDefault="00422EFE" w:rsidP="0054663C">
            <w:pPr>
              <w:pStyle w:val="TableText"/>
              <w:spacing w:before="40" w:after="40"/>
            </w:pPr>
            <w:r w:rsidRPr="00261B7A">
              <w:rPr>
                <w:rFonts w:eastAsia="Calibri"/>
                <w:color w:val="000000"/>
              </w:rPr>
              <w:t>IPCC (2006a)</w:t>
            </w:r>
          </w:p>
        </w:tc>
      </w:tr>
      <w:tr w:rsidR="00422EFE" w:rsidRPr="00261B7A" w14:paraId="3AFC3D44" w14:textId="77777777" w:rsidTr="00D41492">
        <w:tc>
          <w:tcPr>
            <w:tcW w:w="0" w:type="auto"/>
            <w:shd w:val="clear" w:color="auto" w:fill="FFFFFF"/>
            <w:tcMar>
              <w:top w:w="0" w:type="dxa"/>
              <w:left w:w="108" w:type="dxa"/>
              <w:bottom w:w="0" w:type="dxa"/>
              <w:right w:w="108" w:type="dxa"/>
            </w:tcMar>
          </w:tcPr>
          <w:p w14:paraId="3433443A" w14:textId="77777777" w:rsidR="00422EFE" w:rsidRPr="00261B7A" w:rsidRDefault="00422EFE" w:rsidP="0054663C">
            <w:pPr>
              <w:pStyle w:val="TableText"/>
              <w:spacing w:before="40" w:after="40"/>
            </w:pPr>
            <w:r w:rsidRPr="00261B7A">
              <w:rPr>
                <w:rFonts w:eastAsia="Calibri"/>
                <w:color w:val="000000"/>
              </w:rPr>
              <w:t>Oxidation factor</w:t>
            </w:r>
          </w:p>
        </w:tc>
        <w:tc>
          <w:tcPr>
            <w:tcW w:w="0" w:type="auto"/>
            <w:shd w:val="clear" w:color="auto" w:fill="FFFFFF"/>
            <w:tcMar>
              <w:top w:w="0" w:type="dxa"/>
              <w:left w:w="108" w:type="dxa"/>
              <w:bottom w:w="0" w:type="dxa"/>
              <w:right w:w="108" w:type="dxa"/>
            </w:tcMar>
          </w:tcPr>
          <w:p w14:paraId="2DCD26EF" w14:textId="77777777" w:rsidR="00422EFE" w:rsidRPr="00261B7A" w:rsidRDefault="00422EFE" w:rsidP="0054663C">
            <w:pPr>
              <w:pStyle w:val="TableText"/>
              <w:spacing w:before="40" w:after="40"/>
            </w:pPr>
            <w:r w:rsidRPr="00261B7A">
              <w:rPr>
                <w:rFonts w:eastAsia="Calibri"/>
                <w:color w:val="000000"/>
              </w:rPr>
              <w:t>10 per cent</w:t>
            </w:r>
          </w:p>
        </w:tc>
        <w:tc>
          <w:tcPr>
            <w:tcW w:w="0" w:type="auto"/>
            <w:shd w:val="clear" w:color="auto" w:fill="FFFFFF"/>
            <w:tcMar>
              <w:top w:w="0" w:type="dxa"/>
              <w:left w:w="108" w:type="dxa"/>
              <w:bottom w:w="0" w:type="dxa"/>
              <w:right w:w="108" w:type="dxa"/>
            </w:tcMar>
          </w:tcPr>
          <w:p w14:paraId="325B6BB4" w14:textId="77777777" w:rsidR="00422EFE" w:rsidRPr="00261B7A" w:rsidRDefault="00422EFE" w:rsidP="0054663C">
            <w:pPr>
              <w:pStyle w:val="TableText"/>
              <w:spacing w:before="40" w:after="40"/>
            </w:pPr>
            <w:r w:rsidRPr="00261B7A">
              <w:rPr>
                <w:rFonts w:eastAsia="Calibri"/>
                <w:color w:val="000000"/>
              </w:rPr>
              <w:t>IPCC default</w:t>
            </w:r>
          </w:p>
        </w:tc>
        <w:tc>
          <w:tcPr>
            <w:tcW w:w="0" w:type="auto"/>
            <w:shd w:val="clear" w:color="auto" w:fill="FFFFFF"/>
            <w:tcMar>
              <w:top w:w="0" w:type="dxa"/>
              <w:left w:w="108" w:type="dxa"/>
              <w:bottom w:w="0" w:type="dxa"/>
              <w:right w:w="108" w:type="dxa"/>
            </w:tcMar>
          </w:tcPr>
          <w:p w14:paraId="783F99CD" w14:textId="77777777" w:rsidR="00422EFE" w:rsidRPr="00261B7A" w:rsidRDefault="00422EFE" w:rsidP="0054663C">
            <w:pPr>
              <w:pStyle w:val="TableText"/>
              <w:spacing w:before="40" w:after="40"/>
            </w:pPr>
            <w:r w:rsidRPr="00261B7A">
              <w:rPr>
                <w:rFonts w:eastAsia="Calibri"/>
                <w:color w:val="000000"/>
              </w:rPr>
              <w:t>IPCC (2006a)</w:t>
            </w:r>
          </w:p>
        </w:tc>
      </w:tr>
      <w:tr w:rsidR="00422EFE" w:rsidRPr="00261B7A" w14:paraId="67A2816F" w14:textId="77777777" w:rsidTr="00D41492">
        <w:tc>
          <w:tcPr>
            <w:tcW w:w="0" w:type="auto"/>
            <w:shd w:val="clear" w:color="auto" w:fill="FFFFFF"/>
            <w:tcMar>
              <w:top w:w="0" w:type="dxa"/>
              <w:left w:w="108" w:type="dxa"/>
              <w:bottom w:w="0" w:type="dxa"/>
              <w:right w:w="108" w:type="dxa"/>
            </w:tcMar>
          </w:tcPr>
          <w:p w14:paraId="79C733D7" w14:textId="77777777" w:rsidR="00422EFE" w:rsidRPr="00261B7A" w:rsidRDefault="00422EFE" w:rsidP="0054663C">
            <w:pPr>
              <w:pStyle w:val="TableText"/>
              <w:spacing w:before="40" w:after="40"/>
            </w:pPr>
            <w:r w:rsidRPr="00261B7A">
              <w:rPr>
                <w:rFonts w:eastAsia="Calibri"/>
                <w:color w:val="000000"/>
              </w:rPr>
              <w:t>Recovery efficiency</w:t>
            </w:r>
          </w:p>
        </w:tc>
        <w:tc>
          <w:tcPr>
            <w:tcW w:w="0" w:type="auto"/>
            <w:shd w:val="clear" w:color="auto" w:fill="FFFFFF"/>
            <w:tcMar>
              <w:top w:w="0" w:type="dxa"/>
              <w:left w:w="108" w:type="dxa"/>
              <w:bottom w:w="0" w:type="dxa"/>
              <w:right w:w="108" w:type="dxa"/>
            </w:tcMar>
          </w:tcPr>
          <w:p w14:paraId="6A1CACA6" w14:textId="77777777" w:rsidR="00422EFE" w:rsidRPr="00261B7A" w:rsidRDefault="00422EFE" w:rsidP="0054663C">
            <w:pPr>
              <w:pStyle w:val="TableText"/>
              <w:spacing w:before="40" w:after="40"/>
            </w:pPr>
            <w:r w:rsidRPr="00261B7A">
              <w:rPr>
                <w:rFonts w:eastAsia="Calibri"/>
                <w:color w:val="000000"/>
              </w:rPr>
              <w:t xml:space="preserve">52 per cent (closed) </w:t>
            </w:r>
            <w:r w:rsidRPr="00261B7A">
              <w:rPr>
                <w:rFonts w:eastAsia="Calibri"/>
                <w:color w:val="000000"/>
              </w:rPr>
              <w:br/>
              <w:t xml:space="preserve">68 per cent (open) </w:t>
            </w:r>
            <w:r w:rsidRPr="00261B7A">
              <w:rPr>
                <w:rFonts w:eastAsia="Calibri"/>
                <w:color w:val="000000"/>
              </w:rPr>
              <w:br/>
              <w:t>0 per cent (no recovery)</w:t>
            </w:r>
          </w:p>
        </w:tc>
        <w:tc>
          <w:tcPr>
            <w:tcW w:w="0" w:type="auto"/>
            <w:shd w:val="clear" w:color="auto" w:fill="FFFFFF"/>
            <w:tcMar>
              <w:top w:w="0" w:type="dxa"/>
              <w:left w:w="108" w:type="dxa"/>
              <w:bottom w:w="0" w:type="dxa"/>
              <w:right w:w="108" w:type="dxa"/>
            </w:tcMar>
          </w:tcPr>
          <w:p w14:paraId="69184BB9" w14:textId="77777777" w:rsidR="00422EFE" w:rsidRPr="00261B7A" w:rsidRDefault="00422EFE" w:rsidP="0054663C">
            <w:pPr>
              <w:pStyle w:val="TableText"/>
              <w:spacing w:before="40" w:after="40"/>
            </w:pPr>
            <w:r w:rsidRPr="00261B7A">
              <w:rPr>
                <w:rFonts w:eastAsia="Calibri"/>
                <w:color w:val="000000"/>
              </w:rPr>
              <w:t>Site specific</w:t>
            </w:r>
          </w:p>
        </w:tc>
        <w:tc>
          <w:tcPr>
            <w:tcW w:w="0" w:type="auto"/>
            <w:shd w:val="clear" w:color="auto" w:fill="FFFFFF"/>
            <w:tcMar>
              <w:top w:w="0" w:type="dxa"/>
              <w:left w:w="108" w:type="dxa"/>
              <w:bottom w:w="0" w:type="dxa"/>
              <w:right w:w="108" w:type="dxa"/>
            </w:tcMar>
          </w:tcPr>
          <w:p w14:paraId="641DD5DE" w14:textId="77777777" w:rsidR="00422EFE" w:rsidRPr="00261B7A" w:rsidRDefault="00422EFE" w:rsidP="0054663C">
            <w:pPr>
              <w:pStyle w:val="TableText"/>
              <w:spacing w:before="40" w:after="40"/>
            </w:pPr>
            <w:r w:rsidRPr="00261B7A">
              <w:rPr>
                <w:rFonts w:eastAsia="Calibri"/>
                <w:color w:val="000000"/>
              </w:rPr>
              <w:t>Eunomia (unpublished(a))</w:t>
            </w:r>
          </w:p>
        </w:tc>
      </w:tr>
      <w:tr w:rsidR="00422EFE" w:rsidRPr="00261B7A" w14:paraId="62CA5309" w14:textId="77777777" w:rsidTr="00D41492">
        <w:tc>
          <w:tcPr>
            <w:tcW w:w="0" w:type="auto"/>
            <w:shd w:val="clear" w:color="auto" w:fill="FFFFFF"/>
            <w:tcMar>
              <w:top w:w="0" w:type="dxa"/>
              <w:left w:w="108" w:type="dxa"/>
              <w:bottom w:w="0" w:type="dxa"/>
              <w:right w:w="108" w:type="dxa"/>
            </w:tcMar>
          </w:tcPr>
          <w:p w14:paraId="604C6CB8" w14:textId="77777777" w:rsidR="00422EFE" w:rsidRPr="00261B7A" w:rsidRDefault="00422EFE" w:rsidP="0054663C">
            <w:pPr>
              <w:pStyle w:val="TableText"/>
              <w:spacing w:before="40" w:after="40"/>
            </w:pPr>
            <w:r w:rsidRPr="00261B7A">
              <w:rPr>
                <w:rFonts w:eastAsia="Calibri"/>
                <w:color w:val="000000"/>
              </w:rPr>
              <w:t>DDOC (kt C/kt waste) </w:t>
            </w:r>
          </w:p>
        </w:tc>
        <w:tc>
          <w:tcPr>
            <w:tcW w:w="0" w:type="auto"/>
            <w:shd w:val="clear" w:color="auto" w:fill="FFFFFF"/>
            <w:tcMar>
              <w:top w:w="0" w:type="dxa"/>
              <w:left w:w="108" w:type="dxa"/>
              <w:bottom w:w="0" w:type="dxa"/>
              <w:right w:w="108" w:type="dxa"/>
            </w:tcMar>
          </w:tcPr>
          <w:p w14:paraId="6EF3B02C" w14:textId="77777777" w:rsidR="00422EFE" w:rsidRPr="00261B7A" w:rsidRDefault="00422EFE" w:rsidP="0054663C">
            <w:pPr>
              <w:pStyle w:val="TableText"/>
              <w:spacing w:before="40" w:after="40"/>
            </w:pPr>
            <w:r w:rsidRPr="00261B7A">
              <w:rPr>
                <w:rFonts w:eastAsia="Calibri"/>
                <w:color w:val="000000"/>
              </w:rPr>
              <w:t>0.025–0.20</w:t>
            </w:r>
          </w:p>
        </w:tc>
        <w:tc>
          <w:tcPr>
            <w:tcW w:w="0" w:type="auto"/>
            <w:shd w:val="clear" w:color="auto" w:fill="FFFFFF"/>
            <w:tcMar>
              <w:top w:w="0" w:type="dxa"/>
              <w:left w:w="108" w:type="dxa"/>
              <w:bottom w:w="0" w:type="dxa"/>
              <w:right w:w="108" w:type="dxa"/>
            </w:tcMar>
          </w:tcPr>
          <w:p w14:paraId="15BA8651" w14:textId="77777777" w:rsidR="00422EFE" w:rsidRPr="00261B7A" w:rsidRDefault="00422EFE" w:rsidP="0054663C">
            <w:pPr>
              <w:pStyle w:val="TableText"/>
              <w:spacing w:before="40" w:after="40"/>
            </w:pPr>
            <w:r w:rsidRPr="00261B7A">
              <w:rPr>
                <w:rFonts w:eastAsia="Calibri"/>
                <w:color w:val="000000"/>
              </w:rPr>
              <w:t>Country specific</w:t>
            </w:r>
          </w:p>
        </w:tc>
        <w:tc>
          <w:tcPr>
            <w:tcW w:w="0" w:type="auto"/>
            <w:shd w:val="clear" w:color="auto" w:fill="FFFFFF"/>
            <w:tcMar>
              <w:top w:w="0" w:type="dxa"/>
              <w:left w:w="108" w:type="dxa"/>
              <w:bottom w:w="0" w:type="dxa"/>
              <w:right w:w="108" w:type="dxa"/>
            </w:tcMar>
          </w:tcPr>
          <w:p w14:paraId="2FBF8E7E" w14:textId="77777777" w:rsidR="00422EFE" w:rsidRPr="00261B7A" w:rsidRDefault="00422EFE" w:rsidP="0054663C">
            <w:pPr>
              <w:pStyle w:val="TableText"/>
              <w:spacing w:before="40" w:after="40"/>
            </w:pPr>
            <w:r w:rsidRPr="00261B7A">
              <w:rPr>
                <w:rFonts w:eastAsia="Calibri"/>
                <w:color w:val="000000"/>
              </w:rPr>
              <w:t>Eunomia (unpublished(a)), IPCC (2006a)</w:t>
            </w:r>
          </w:p>
        </w:tc>
      </w:tr>
      <w:tr w:rsidR="00422EFE" w:rsidRPr="00261B7A" w14:paraId="1BE5C694" w14:textId="77777777" w:rsidTr="00D41492">
        <w:tc>
          <w:tcPr>
            <w:tcW w:w="0" w:type="auto"/>
            <w:shd w:val="clear" w:color="auto" w:fill="FFFFFF"/>
            <w:tcMar>
              <w:top w:w="0" w:type="dxa"/>
              <w:left w:w="108" w:type="dxa"/>
              <w:bottom w:w="0" w:type="dxa"/>
              <w:right w:w="108" w:type="dxa"/>
            </w:tcMar>
          </w:tcPr>
          <w:p w14:paraId="06E06341" w14:textId="77777777" w:rsidR="00422EFE" w:rsidRPr="00261B7A" w:rsidRDefault="00422EFE" w:rsidP="0054663C">
            <w:pPr>
              <w:pStyle w:val="TableText"/>
              <w:spacing w:before="40" w:after="40"/>
            </w:pPr>
            <w:r w:rsidRPr="00261B7A">
              <w:rPr>
                <w:rFonts w:eastAsia="Calibri"/>
                <w:color w:val="000000"/>
              </w:rPr>
              <w:t>DOCf that decomposes</w:t>
            </w:r>
          </w:p>
        </w:tc>
        <w:tc>
          <w:tcPr>
            <w:tcW w:w="0" w:type="auto"/>
            <w:shd w:val="clear" w:color="auto" w:fill="FFFFFF"/>
            <w:tcMar>
              <w:top w:w="0" w:type="dxa"/>
              <w:left w:w="108" w:type="dxa"/>
              <w:bottom w:w="0" w:type="dxa"/>
              <w:right w:w="108" w:type="dxa"/>
            </w:tcMar>
          </w:tcPr>
          <w:p w14:paraId="694C6610" w14:textId="77777777" w:rsidR="00422EFE" w:rsidRPr="00261B7A" w:rsidRDefault="00422EFE" w:rsidP="0054663C">
            <w:pPr>
              <w:pStyle w:val="TableText"/>
              <w:spacing w:before="40" w:after="40"/>
            </w:pPr>
            <w:r w:rsidRPr="00261B7A">
              <w:rPr>
                <w:rFonts w:eastAsia="Calibri"/>
                <w:color w:val="000000"/>
              </w:rPr>
              <w:t>0.14–0.7</w:t>
            </w:r>
          </w:p>
        </w:tc>
        <w:tc>
          <w:tcPr>
            <w:tcW w:w="0" w:type="auto"/>
            <w:shd w:val="clear" w:color="auto" w:fill="FFFFFF"/>
            <w:tcMar>
              <w:top w:w="0" w:type="dxa"/>
              <w:left w:w="108" w:type="dxa"/>
              <w:bottom w:w="0" w:type="dxa"/>
              <w:right w:w="108" w:type="dxa"/>
            </w:tcMar>
          </w:tcPr>
          <w:p w14:paraId="32F46F85" w14:textId="77777777" w:rsidR="00422EFE" w:rsidRPr="00261B7A" w:rsidRDefault="00422EFE" w:rsidP="0054663C">
            <w:pPr>
              <w:pStyle w:val="TableText"/>
              <w:spacing w:before="40" w:after="40"/>
            </w:pPr>
            <w:r w:rsidRPr="00261B7A">
              <w:rPr>
                <w:rFonts w:eastAsia="Calibri"/>
                <w:color w:val="000000"/>
              </w:rPr>
              <w:t>Country specific</w:t>
            </w:r>
          </w:p>
        </w:tc>
        <w:tc>
          <w:tcPr>
            <w:tcW w:w="0" w:type="auto"/>
            <w:shd w:val="clear" w:color="auto" w:fill="FFFFFF"/>
            <w:tcMar>
              <w:top w:w="0" w:type="dxa"/>
              <w:left w:w="108" w:type="dxa"/>
              <w:bottom w:w="0" w:type="dxa"/>
              <w:right w:w="108" w:type="dxa"/>
            </w:tcMar>
          </w:tcPr>
          <w:p w14:paraId="666716E2" w14:textId="77777777" w:rsidR="00422EFE" w:rsidRPr="00261B7A" w:rsidRDefault="00422EFE" w:rsidP="0054663C">
            <w:pPr>
              <w:pStyle w:val="TableText"/>
              <w:spacing w:before="40" w:after="40"/>
            </w:pPr>
            <w:r w:rsidRPr="00261B7A">
              <w:rPr>
                <w:rFonts w:eastAsia="Calibri"/>
                <w:color w:val="000000"/>
              </w:rPr>
              <w:t>Eunomia (unpublished(a)), IPCC (2006a)</w:t>
            </w:r>
          </w:p>
        </w:tc>
      </w:tr>
      <w:tr w:rsidR="00422EFE" w:rsidRPr="00261B7A" w14:paraId="061E666D" w14:textId="77777777" w:rsidTr="00D41492">
        <w:tc>
          <w:tcPr>
            <w:tcW w:w="0" w:type="auto"/>
            <w:shd w:val="clear" w:color="auto" w:fill="FFFFFF"/>
            <w:tcMar>
              <w:top w:w="0" w:type="dxa"/>
              <w:left w:w="108" w:type="dxa"/>
              <w:bottom w:w="0" w:type="dxa"/>
              <w:right w:w="108" w:type="dxa"/>
            </w:tcMar>
          </w:tcPr>
          <w:p w14:paraId="58FFD383" w14:textId="77777777" w:rsidR="00422EFE" w:rsidRPr="00261B7A" w:rsidRDefault="00422EFE" w:rsidP="0054663C">
            <w:pPr>
              <w:pStyle w:val="TableText"/>
              <w:spacing w:before="40" w:after="40"/>
            </w:pPr>
            <w:r w:rsidRPr="00261B7A">
              <w:rPr>
                <w:rFonts w:eastAsia="Calibri"/>
                <w:color w:val="000000"/>
              </w:rPr>
              <w:t>Fraction of methane in landfill gas (F)</w:t>
            </w:r>
          </w:p>
        </w:tc>
        <w:tc>
          <w:tcPr>
            <w:tcW w:w="0" w:type="auto"/>
            <w:shd w:val="clear" w:color="auto" w:fill="FFFFFF"/>
            <w:tcMar>
              <w:top w:w="0" w:type="dxa"/>
              <w:left w:w="108" w:type="dxa"/>
              <w:bottom w:w="0" w:type="dxa"/>
              <w:right w:w="108" w:type="dxa"/>
            </w:tcMar>
          </w:tcPr>
          <w:p w14:paraId="696227D2" w14:textId="77777777" w:rsidR="00422EFE" w:rsidRPr="00261B7A" w:rsidRDefault="00422EFE" w:rsidP="0054663C">
            <w:pPr>
              <w:pStyle w:val="TableText"/>
              <w:spacing w:before="40" w:after="40"/>
            </w:pPr>
            <w:r w:rsidRPr="00261B7A">
              <w:rPr>
                <w:rFonts w:eastAsia="Calibri"/>
                <w:color w:val="000000"/>
              </w:rPr>
              <w:t>0.57</w:t>
            </w:r>
          </w:p>
        </w:tc>
        <w:tc>
          <w:tcPr>
            <w:tcW w:w="0" w:type="auto"/>
            <w:shd w:val="clear" w:color="auto" w:fill="FFFFFF"/>
            <w:tcMar>
              <w:top w:w="0" w:type="dxa"/>
              <w:left w:w="108" w:type="dxa"/>
              <w:bottom w:w="0" w:type="dxa"/>
              <w:right w:w="108" w:type="dxa"/>
            </w:tcMar>
          </w:tcPr>
          <w:p w14:paraId="759E9E52" w14:textId="77777777" w:rsidR="00422EFE" w:rsidRPr="00261B7A" w:rsidRDefault="00422EFE" w:rsidP="0054663C">
            <w:pPr>
              <w:pStyle w:val="TableText"/>
              <w:spacing w:before="40" w:after="40"/>
            </w:pPr>
            <w:r w:rsidRPr="00261B7A">
              <w:rPr>
                <w:rFonts w:eastAsia="Calibri"/>
                <w:color w:val="000000"/>
              </w:rPr>
              <w:t>Country specific</w:t>
            </w:r>
          </w:p>
        </w:tc>
        <w:tc>
          <w:tcPr>
            <w:tcW w:w="0" w:type="auto"/>
            <w:shd w:val="clear" w:color="auto" w:fill="FFFFFF"/>
            <w:tcMar>
              <w:top w:w="0" w:type="dxa"/>
              <w:left w:w="108" w:type="dxa"/>
              <w:bottom w:w="0" w:type="dxa"/>
              <w:right w:w="108" w:type="dxa"/>
            </w:tcMar>
          </w:tcPr>
          <w:p w14:paraId="612C935E" w14:textId="77777777" w:rsidR="00422EFE" w:rsidRPr="00261B7A" w:rsidRDefault="00422EFE" w:rsidP="0054663C">
            <w:pPr>
              <w:pStyle w:val="TableText"/>
              <w:spacing w:before="40" w:after="40"/>
            </w:pPr>
            <w:r w:rsidRPr="00261B7A">
              <w:rPr>
                <w:rFonts w:eastAsia="Calibri"/>
                <w:color w:val="000000"/>
              </w:rPr>
              <w:t>Eunomia (unpublished(a))</w:t>
            </w:r>
          </w:p>
        </w:tc>
      </w:tr>
      <w:tr w:rsidR="00422EFE" w:rsidRPr="00261B7A" w14:paraId="6E941FF4" w14:textId="77777777" w:rsidTr="00D41492">
        <w:tc>
          <w:tcPr>
            <w:tcW w:w="0" w:type="auto"/>
            <w:shd w:val="clear" w:color="auto" w:fill="FFFFFF"/>
            <w:tcMar>
              <w:top w:w="0" w:type="dxa"/>
              <w:left w:w="108" w:type="dxa"/>
              <w:bottom w:w="0" w:type="dxa"/>
              <w:right w:w="108" w:type="dxa"/>
            </w:tcMar>
          </w:tcPr>
          <w:p w14:paraId="574C1EF1" w14:textId="77777777" w:rsidR="00422EFE" w:rsidRPr="00261B7A" w:rsidRDefault="00422EFE" w:rsidP="00943F5B">
            <w:pPr>
              <w:pStyle w:val="TableTextBold"/>
              <w:spacing w:before="40" w:after="40"/>
              <w:rPr>
                <w:noProof w:val="0"/>
              </w:rPr>
            </w:pPr>
            <w:r w:rsidRPr="00261B7A">
              <w:rPr>
                <w:rFonts w:eastAsia="Calibri"/>
                <w:noProof w:val="0"/>
              </w:rPr>
              <w:t>Uncategorised landfills</w:t>
            </w:r>
          </w:p>
        </w:tc>
        <w:tc>
          <w:tcPr>
            <w:tcW w:w="0" w:type="auto"/>
            <w:shd w:val="clear" w:color="auto" w:fill="FFFFFF"/>
            <w:tcMar>
              <w:top w:w="0" w:type="dxa"/>
              <w:left w:w="108" w:type="dxa"/>
              <w:bottom w:w="0" w:type="dxa"/>
              <w:right w:w="108" w:type="dxa"/>
            </w:tcMar>
          </w:tcPr>
          <w:p w14:paraId="1E4BD7FF" w14:textId="77777777" w:rsidR="00422EFE" w:rsidRPr="00261B7A" w:rsidRDefault="00422EFE" w:rsidP="00943F5B">
            <w:pPr>
              <w:pStyle w:val="TableTextBold"/>
              <w:spacing w:before="40" w:after="40"/>
              <w:rPr>
                <w:noProof w:val="0"/>
              </w:rPr>
            </w:pPr>
          </w:p>
        </w:tc>
        <w:tc>
          <w:tcPr>
            <w:tcW w:w="0" w:type="auto"/>
            <w:shd w:val="clear" w:color="auto" w:fill="FFFFFF"/>
            <w:tcMar>
              <w:top w:w="0" w:type="dxa"/>
              <w:left w:w="108" w:type="dxa"/>
              <w:bottom w:w="0" w:type="dxa"/>
              <w:right w:w="108" w:type="dxa"/>
            </w:tcMar>
          </w:tcPr>
          <w:p w14:paraId="5EAA204F" w14:textId="77777777" w:rsidR="00422EFE" w:rsidRPr="00261B7A" w:rsidRDefault="00422EFE" w:rsidP="00943F5B">
            <w:pPr>
              <w:pStyle w:val="TableTextBold"/>
              <w:spacing w:before="40" w:after="40"/>
              <w:rPr>
                <w:noProof w:val="0"/>
              </w:rPr>
            </w:pPr>
          </w:p>
        </w:tc>
        <w:tc>
          <w:tcPr>
            <w:tcW w:w="0" w:type="auto"/>
            <w:shd w:val="clear" w:color="auto" w:fill="FFFFFF"/>
            <w:tcMar>
              <w:top w:w="0" w:type="dxa"/>
              <w:left w:w="108" w:type="dxa"/>
              <w:bottom w:w="0" w:type="dxa"/>
              <w:right w:w="108" w:type="dxa"/>
            </w:tcMar>
          </w:tcPr>
          <w:p w14:paraId="3FA66C43" w14:textId="77777777" w:rsidR="00422EFE" w:rsidRPr="00261B7A" w:rsidRDefault="00422EFE" w:rsidP="00943F5B">
            <w:pPr>
              <w:pStyle w:val="TableTextBold"/>
              <w:spacing w:before="40" w:after="40"/>
              <w:rPr>
                <w:noProof w:val="0"/>
              </w:rPr>
            </w:pPr>
          </w:p>
        </w:tc>
      </w:tr>
      <w:tr w:rsidR="00422EFE" w:rsidRPr="00261B7A" w14:paraId="3B7D0F13" w14:textId="77777777" w:rsidTr="00D41492">
        <w:tc>
          <w:tcPr>
            <w:tcW w:w="0" w:type="auto"/>
            <w:shd w:val="clear" w:color="auto" w:fill="FFFFFF"/>
            <w:tcMar>
              <w:top w:w="0" w:type="dxa"/>
              <w:left w:w="108" w:type="dxa"/>
              <w:bottom w:w="0" w:type="dxa"/>
              <w:right w:w="108" w:type="dxa"/>
            </w:tcMar>
          </w:tcPr>
          <w:p w14:paraId="439AB6C5" w14:textId="77777777" w:rsidR="00422EFE" w:rsidRPr="00261B7A" w:rsidRDefault="00422EFE" w:rsidP="0054663C">
            <w:pPr>
              <w:pStyle w:val="TableText"/>
              <w:spacing w:before="40" w:after="40"/>
            </w:pPr>
            <w:r w:rsidRPr="00261B7A">
              <w:rPr>
                <w:rFonts w:eastAsia="Calibri"/>
                <w:color w:val="000000"/>
              </w:rPr>
              <w:t>k-value (multi-phase by waste type)</w:t>
            </w:r>
          </w:p>
        </w:tc>
        <w:tc>
          <w:tcPr>
            <w:tcW w:w="0" w:type="auto"/>
            <w:shd w:val="clear" w:color="auto" w:fill="FFFFFF"/>
            <w:tcMar>
              <w:top w:w="0" w:type="dxa"/>
              <w:left w:w="108" w:type="dxa"/>
              <w:bottom w:w="0" w:type="dxa"/>
              <w:right w:w="108" w:type="dxa"/>
            </w:tcMar>
          </w:tcPr>
          <w:p w14:paraId="21628965" w14:textId="77777777" w:rsidR="00422EFE" w:rsidRPr="00261B7A" w:rsidRDefault="00422EFE" w:rsidP="0054663C">
            <w:pPr>
              <w:pStyle w:val="TableText"/>
              <w:spacing w:before="40" w:after="40"/>
            </w:pPr>
            <w:r w:rsidRPr="00261B7A">
              <w:rPr>
                <w:rFonts w:eastAsia="Calibri"/>
                <w:color w:val="000000"/>
              </w:rPr>
              <w:t>0.030–0.185</w:t>
            </w:r>
          </w:p>
        </w:tc>
        <w:tc>
          <w:tcPr>
            <w:tcW w:w="0" w:type="auto"/>
            <w:shd w:val="clear" w:color="auto" w:fill="FFFFFF"/>
            <w:tcMar>
              <w:top w:w="0" w:type="dxa"/>
              <w:left w:w="108" w:type="dxa"/>
              <w:bottom w:w="0" w:type="dxa"/>
              <w:right w:w="108" w:type="dxa"/>
            </w:tcMar>
          </w:tcPr>
          <w:p w14:paraId="5C3DBBC2" w14:textId="77777777" w:rsidR="00422EFE" w:rsidRPr="00261B7A" w:rsidRDefault="00422EFE" w:rsidP="0054663C">
            <w:pPr>
              <w:pStyle w:val="TableText"/>
              <w:spacing w:before="40" w:after="40"/>
            </w:pPr>
            <w:r w:rsidRPr="00261B7A">
              <w:rPr>
                <w:rFonts w:eastAsia="Calibri"/>
                <w:color w:val="000000"/>
              </w:rPr>
              <w:t>IPCC default</w:t>
            </w:r>
          </w:p>
        </w:tc>
        <w:tc>
          <w:tcPr>
            <w:tcW w:w="0" w:type="auto"/>
            <w:shd w:val="clear" w:color="auto" w:fill="FFFFFF"/>
            <w:tcMar>
              <w:top w:w="0" w:type="dxa"/>
              <w:left w:w="108" w:type="dxa"/>
              <w:bottom w:w="0" w:type="dxa"/>
              <w:right w:w="108" w:type="dxa"/>
            </w:tcMar>
          </w:tcPr>
          <w:p w14:paraId="4758FA09" w14:textId="77777777" w:rsidR="00422EFE" w:rsidRPr="00261B7A" w:rsidRDefault="00422EFE" w:rsidP="0054663C">
            <w:pPr>
              <w:pStyle w:val="TableText"/>
              <w:spacing w:before="40" w:after="40"/>
            </w:pPr>
            <w:r w:rsidRPr="00261B7A">
              <w:rPr>
                <w:rFonts w:eastAsia="Calibri"/>
                <w:color w:val="000000"/>
              </w:rPr>
              <w:t>IPCC (2006a)</w:t>
            </w:r>
          </w:p>
        </w:tc>
      </w:tr>
      <w:tr w:rsidR="00422EFE" w:rsidRPr="00261B7A" w14:paraId="7205E25A" w14:textId="77777777" w:rsidTr="00D41492">
        <w:tc>
          <w:tcPr>
            <w:tcW w:w="0" w:type="auto"/>
            <w:shd w:val="clear" w:color="auto" w:fill="FFFFFF"/>
            <w:tcMar>
              <w:top w:w="0" w:type="dxa"/>
              <w:left w:w="108" w:type="dxa"/>
              <w:bottom w:w="0" w:type="dxa"/>
              <w:right w:w="108" w:type="dxa"/>
            </w:tcMar>
          </w:tcPr>
          <w:p w14:paraId="47B823A5" w14:textId="77777777" w:rsidR="00422EFE" w:rsidRPr="00261B7A" w:rsidRDefault="00422EFE" w:rsidP="0054663C">
            <w:pPr>
              <w:pStyle w:val="TableText"/>
              <w:spacing w:before="40" w:after="40"/>
            </w:pPr>
            <w:r w:rsidRPr="00261B7A">
              <w:rPr>
                <w:rFonts w:eastAsia="Calibri"/>
                <w:color w:val="000000"/>
              </w:rPr>
              <w:t>Methane correction factor</w:t>
            </w:r>
          </w:p>
        </w:tc>
        <w:tc>
          <w:tcPr>
            <w:tcW w:w="0" w:type="auto"/>
            <w:shd w:val="clear" w:color="auto" w:fill="FFFFFF"/>
            <w:tcMar>
              <w:top w:w="0" w:type="dxa"/>
              <w:left w:w="108" w:type="dxa"/>
              <w:bottom w:w="0" w:type="dxa"/>
              <w:right w:w="108" w:type="dxa"/>
            </w:tcMar>
          </w:tcPr>
          <w:p w14:paraId="7E3C3F50" w14:textId="77777777" w:rsidR="00422EFE" w:rsidRPr="00261B7A" w:rsidRDefault="00422EFE" w:rsidP="0054663C">
            <w:pPr>
              <w:pStyle w:val="TableText"/>
              <w:spacing w:before="40" w:after="40"/>
            </w:pPr>
            <w:r w:rsidRPr="00261B7A">
              <w:rPr>
                <w:rFonts w:eastAsia="Calibri"/>
                <w:color w:val="000000"/>
              </w:rPr>
              <w:t>0.6</w:t>
            </w:r>
          </w:p>
        </w:tc>
        <w:tc>
          <w:tcPr>
            <w:tcW w:w="0" w:type="auto"/>
            <w:shd w:val="clear" w:color="auto" w:fill="FFFFFF"/>
            <w:tcMar>
              <w:top w:w="0" w:type="dxa"/>
              <w:left w:w="108" w:type="dxa"/>
              <w:bottom w:w="0" w:type="dxa"/>
              <w:right w:w="108" w:type="dxa"/>
            </w:tcMar>
          </w:tcPr>
          <w:p w14:paraId="6855E01D" w14:textId="77777777" w:rsidR="00422EFE" w:rsidRPr="00261B7A" w:rsidRDefault="00422EFE" w:rsidP="0054663C">
            <w:pPr>
              <w:pStyle w:val="TableText"/>
              <w:spacing w:before="40" w:after="40"/>
            </w:pPr>
            <w:r w:rsidRPr="00261B7A">
              <w:rPr>
                <w:rFonts w:eastAsia="Calibri"/>
                <w:color w:val="000000"/>
              </w:rPr>
              <w:t>IPCC default</w:t>
            </w:r>
          </w:p>
        </w:tc>
        <w:tc>
          <w:tcPr>
            <w:tcW w:w="0" w:type="auto"/>
            <w:shd w:val="clear" w:color="auto" w:fill="FFFFFF"/>
            <w:tcMar>
              <w:top w:w="0" w:type="dxa"/>
              <w:left w:w="108" w:type="dxa"/>
              <w:bottom w:w="0" w:type="dxa"/>
              <w:right w:w="108" w:type="dxa"/>
            </w:tcMar>
          </w:tcPr>
          <w:p w14:paraId="4183A2B5" w14:textId="77777777" w:rsidR="00422EFE" w:rsidRPr="00261B7A" w:rsidRDefault="00422EFE" w:rsidP="0054663C">
            <w:pPr>
              <w:pStyle w:val="TableText"/>
              <w:spacing w:before="40" w:after="40"/>
            </w:pPr>
            <w:r w:rsidRPr="00261B7A">
              <w:rPr>
                <w:rFonts w:eastAsia="Calibri"/>
                <w:color w:val="000000"/>
              </w:rPr>
              <w:t>IPCC (2006a)</w:t>
            </w:r>
          </w:p>
        </w:tc>
      </w:tr>
      <w:tr w:rsidR="00422EFE" w:rsidRPr="00261B7A" w14:paraId="5772457E" w14:textId="77777777" w:rsidTr="00D41492">
        <w:tc>
          <w:tcPr>
            <w:tcW w:w="0" w:type="auto"/>
            <w:shd w:val="clear" w:color="auto" w:fill="FFFFFF"/>
            <w:tcMar>
              <w:top w:w="0" w:type="dxa"/>
              <w:left w:w="108" w:type="dxa"/>
              <w:bottom w:w="0" w:type="dxa"/>
              <w:right w:w="108" w:type="dxa"/>
            </w:tcMar>
          </w:tcPr>
          <w:p w14:paraId="66C98669" w14:textId="77777777" w:rsidR="00422EFE" w:rsidRPr="00261B7A" w:rsidRDefault="00422EFE" w:rsidP="0054663C">
            <w:pPr>
              <w:pStyle w:val="TableText"/>
              <w:spacing w:before="40" w:after="40"/>
            </w:pPr>
            <w:r w:rsidRPr="00261B7A">
              <w:rPr>
                <w:rFonts w:eastAsia="Calibri"/>
                <w:color w:val="000000"/>
              </w:rPr>
              <w:t>Oxidation factor</w:t>
            </w:r>
          </w:p>
        </w:tc>
        <w:tc>
          <w:tcPr>
            <w:tcW w:w="0" w:type="auto"/>
            <w:shd w:val="clear" w:color="auto" w:fill="FFFFFF"/>
            <w:tcMar>
              <w:top w:w="0" w:type="dxa"/>
              <w:left w:w="108" w:type="dxa"/>
              <w:bottom w:w="0" w:type="dxa"/>
              <w:right w:w="108" w:type="dxa"/>
            </w:tcMar>
          </w:tcPr>
          <w:p w14:paraId="5C3663C0" w14:textId="77777777" w:rsidR="00422EFE" w:rsidRPr="00261B7A" w:rsidRDefault="00422EFE" w:rsidP="0054663C">
            <w:pPr>
              <w:pStyle w:val="TableText"/>
              <w:spacing w:before="40" w:after="40"/>
            </w:pPr>
            <w:r w:rsidRPr="00261B7A">
              <w:rPr>
                <w:rFonts w:eastAsia="Calibri"/>
                <w:color w:val="000000"/>
              </w:rPr>
              <w:t>0</w:t>
            </w:r>
          </w:p>
        </w:tc>
        <w:tc>
          <w:tcPr>
            <w:tcW w:w="0" w:type="auto"/>
            <w:shd w:val="clear" w:color="auto" w:fill="FFFFFF"/>
            <w:tcMar>
              <w:top w:w="0" w:type="dxa"/>
              <w:left w:w="108" w:type="dxa"/>
              <w:bottom w:w="0" w:type="dxa"/>
              <w:right w:w="108" w:type="dxa"/>
            </w:tcMar>
          </w:tcPr>
          <w:p w14:paraId="2D9DB563" w14:textId="77777777" w:rsidR="00422EFE" w:rsidRPr="00261B7A" w:rsidRDefault="00422EFE" w:rsidP="0054663C">
            <w:pPr>
              <w:pStyle w:val="TableText"/>
              <w:spacing w:before="40" w:after="40"/>
            </w:pPr>
            <w:r w:rsidRPr="00261B7A">
              <w:rPr>
                <w:rFonts w:eastAsia="Calibri"/>
                <w:color w:val="000000"/>
              </w:rPr>
              <w:t>IPCC default</w:t>
            </w:r>
          </w:p>
        </w:tc>
        <w:tc>
          <w:tcPr>
            <w:tcW w:w="0" w:type="auto"/>
            <w:shd w:val="clear" w:color="auto" w:fill="FFFFFF"/>
            <w:tcMar>
              <w:top w:w="0" w:type="dxa"/>
              <w:left w:w="108" w:type="dxa"/>
              <w:bottom w:w="0" w:type="dxa"/>
              <w:right w:w="108" w:type="dxa"/>
            </w:tcMar>
          </w:tcPr>
          <w:p w14:paraId="16445B61" w14:textId="77777777" w:rsidR="00422EFE" w:rsidRPr="00261B7A" w:rsidRDefault="00422EFE" w:rsidP="0054663C">
            <w:pPr>
              <w:pStyle w:val="TableText"/>
              <w:spacing w:before="40" w:after="40"/>
            </w:pPr>
            <w:r w:rsidRPr="00261B7A">
              <w:rPr>
                <w:rFonts w:eastAsia="Calibri"/>
                <w:color w:val="000000"/>
              </w:rPr>
              <w:t>IPCC (2006a)</w:t>
            </w:r>
          </w:p>
        </w:tc>
      </w:tr>
      <w:tr w:rsidR="00422EFE" w:rsidRPr="00261B7A" w14:paraId="3600C030" w14:textId="77777777" w:rsidTr="00D41492">
        <w:tc>
          <w:tcPr>
            <w:tcW w:w="0" w:type="auto"/>
            <w:shd w:val="clear" w:color="auto" w:fill="FFFFFF"/>
            <w:tcMar>
              <w:top w:w="0" w:type="dxa"/>
              <w:left w:w="108" w:type="dxa"/>
              <w:bottom w:w="0" w:type="dxa"/>
              <w:right w:w="108" w:type="dxa"/>
            </w:tcMar>
          </w:tcPr>
          <w:p w14:paraId="55E0E7E3" w14:textId="77777777" w:rsidR="00422EFE" w:rsidRPr="00261B7A" w:rsidRDefault="00422EFE" w:rsidP="0054663C">
            <w:pPr>
              <w:pStyle w:val="TableText"/>
              <w:spacing w:before="40" w:after="40"/>
            </w:pPr>
            <w:r w:rsidRPr="00261B7A">
              <w:rPr>
                <w:rFonts w:eastAsia="Calibri"/>
                <w:color w:val="000000"/>
              </w:rPr>
              <w:t>DOC (kt C/kt waste) (by waste type)</w:t>
            </w:r>
          </w:p>
        </w:tc>
        <w:tc>
          <w:tcPr>
            <w:tcW w:w="0" w:type="auto"/>
            <w:shd w:val="clear" w:color="auto" w:fill="FFFFFF"/>
            <w:tcMar>
              <w:top w:w="0" w:type="dxa"/>
              <w:left w:w="108" w:type="dxa"/>
              <w:bottom w:w="0" w:type="dxa"/>
              <w:right w:w="108" w:type="dxa"/>
            </w:tcMar>
          </w:tcPr>
          <w:p w14:paraId="302CC5A2" w14:textId="77777777" w:rsidR="00422EFE" w:rsidRPr="00261B7A" w:rsidRDefault="00422EFE" w:rsidP="0054663C">
            <w:pPr>
              <w:pStyle w:val="TableText"/>
              <w:spacing w:before="40" w:after="40"/>
            </w:pPr>
            <w:r w:rsidRPr="00261B7A">
              <w:rPr>
                <w:rFonts w:eastAsia="Calibri"/>
                <w:color w:val="000000"/>
              </w:rPr>
              <w:t>0.15–0.43</w:t>
            </w:r>
          </w:p>
        </w:tc>
        <w:tc>
          <w:tcPr>
            <w:tcW w:w="0" w:type="auto"/>
            <w:shd w:val="clear" w:color="auto" w:fill="FFFFFF"/>
            <w:tcMar>
              <w:top w:w="0" w:type="dxa"/>
              <w:left w:w="108" w:type="dxa"/>
              <w:bottom w:w="0" w:type="dxa"/>
              <w:right w:w="108" w:type="dxa"/>
            </w:tcMar>
          </w:tcPr>
          <w:p w14:paraId="40A6AD58" w14:textId="77777777" w:rsidR="00422EFE" w:rsidRPr="00261B7A" w:rsidRDefault="00422EFE" w:rsidP="0054663C">
            <w:pPr>
              <w:pStyle w:val="TableText"/>
              <w:spacing w:before="40" w:after="40"/>
            </w:pPr>
            <w:r w:rsidRPr="00261B7A">
              <w:rPr>
                <w:rFonts w:eastAsia="Calibri"/>
                <w:color w:val="000000"/>
              </w:rPr>
              <w:t>IPCC default</w:t>
            </w:r>
          </w:p>
        </w:tc>
        <w:tc>
          <w:tcPr>
            <w:tcW w:w="0" w:type="auto"/>
            <w:shd w:val="clear" w:color="auto" w:fill="FFFFFF"/>
            <w:tcMar>
              <w:top w:w="0" w:type="dxa"/>
              <w:left w:w="108" w:type="dxa"/>
              <w:bottom w:w="0" w:type="dxa"/>
              <w:right w:w="108" w:type="dxa"/>
            </w:tcMar>
          </w:tcPr>
          <w:p w14:paraId="5554EC79" w14:textId="77777777" w:rsidR="00422EFE" w:rsidRPr="00261B7A" w:rsidRDefault="00422EFE" w:rsidP="0054663C">
            <w:pPr>
              <w:pStyle w:val="TableText"/>
              <w:spacing w:before="40" w:after="40"/>
            </w:pPr>
            <w:r w:rsidRPr="00261B7A">
              <w:rPr>
                <w:rFonts w:eastAsia="Calibri"/>
                <w:color w:val="000000"/>
              </w:rPr>
              <w:t>IPCC (2006a)</w:t>
            </w:r>
          </w:p>
        </w:tc>
      </w:tr>
      <w:tr w:rsidR="00422EFE" w:rsidRPr="00261B7A" w14:paraId="48653276" w14:textId="77777777" w:rsidTr="00D41492">
        <w:tc>
          <w:tcPr>
            <w:tcW w:w="0" w:type="auto"/>
            <w:shd w:val="clear" w:color="auto" w:fill="FFFFFF"/>
            <w:tcMar>
              <w:top w:w="0" w:type="dxa"/>
              <w:left w:w="108" w:type="dxa"/>
              <w:bottom w:w="0" w:type="dxa"/>
              <w:right w:w="108" w:type="dxa"/>
            </w:tcMar>
          </w:tcPr>
          <w:p w14:paraId="55D9D04C" w14:textId="77777777" w:rsidR="00422EFE" w:rsidRPr="00261B7A" w:rsidRDefault="00422EFE" w:rsidP="0054663C">
            <w:pPr>
              <w:pStyle w:val="TableText"/>
              <w:spacing w:before="40" w:after="40"/>
            </w:pPr>
            <w:r w:rsidRPr="00261B7A">
              <w:rPr>
                <w:rFonts w:eastAsia="Calibri"/>
                <w:color w:val="000000"/>
              </w:rPr>
              <w:t>DOCf that decomposes</w:t>
            </w:r>
          </w:p>
        </w:tc>
        <w:tc>
          <w:tcPr>
            <w:tcW w:w="0" w:type="auto"/>
            <w:shd w:val="clear" w:color="auto" w:fill="FFFFFF"/>
            <w:tcMar>
              <w:top w:w="0" w:type="dxa"/>
              <w:left w:w="108" w:type="dxa"/>
              <w:bottom w:w="0" w:type="dxa"/>
              <w:right w:w="108" w:type="dxa"/>
            </w:tcMar>
          </w:tcPr>
          <w:p w14:paraId="2018CBCD" w14:textId="77777777" w:rsidR="00422EFE" w:rsidRPr="00261B7A" w:rsidRDefault="00422EFE" w:rsidP="0054663C">
            <w:pPr>
              <w:pStyle w:val="TableText"/>
              <w:spacing w:before="40" w:after="40"/>
            </w:pPr>
            <w:r w:rsidRPr="00261B7A">
              <w:rPr>
                <w:rFonts w:eastAsia="Calibri"/>
                <w:color w:val="000000"/>
              </w:rPr>
              <w:t>0.5</w:t>
            </w:r>
          </w:p>
        </w:tc>
        <w:tc>
          <w:tcPr>
            <w:tcW w:w="0" w:type="auto"/>
            <w:shd w:val="clear" w:color="auto" w:fill="FFFFFF"/>
            <w:tcMar>
              <w:top w:w="0" w:type="dxa"/>
              <w:left w:w="108" w:type="dxa"/>
              <w:bottom w:w="0" w:type="dxa"/>
              <w:right w:w="108" w:type="dxa"/>
            </w:tcMar>
          </w:tcPr>
          <w:p w14:paraId="724F494B" w14:textId="77777777" w:rsidR="00422EFE" w:rsidRPr="00261B7A" w:rsidRDefault="00422EFE" w:rsidP="0054663C">
            <w:pPr>
              <w:pStyle w:val="TableText"/>
              <w:spacing w:before="40" w:after="40"/>
            </w:pPr>
            <w:r w:rsidRPr="00261B7A">
              <w:rPr>
                <w:rFonts w:eastAsia="Calibri"/>
                <w:color w:val="000000"/>
              </w:rPr>
              <w:t>IPCC default</w:t>
            </w:r>
          </w:p>
        </w:tc>
        <w:tc>
          <w:tcPr>
            <w:tcW w:w="0" w:type="auto"/>
            <w:shd w:val="clear" w:color="auto" w:fill="FFFFFF"/>
            <w:tcMar>
              <w:top w:w="0" w:type="dxa"/>
              <w:left w:w="108" w:type="dxa"/>
              <w:bottom w:w="0" w:type="dxa"/>
              <w:right w:w="108" w:type="dxa"/>
            </w:tcMar>
          </w:tcPr>
          <w:p w14:paraId="66BBA992" w14:textId="77777777" w:rsidR="00422EFE" w:rsidRPr="00261B7A" w:rsidRDefault="00422EFE" w:rsidP="0054663C">
            <w:pPr>
              <w:pStyle w:val="TableText"/>
              <w:spacing w:before="40" w:after="40"/>
            </w:pPr>
            <w:r w:rsidRPr="00261B7A">
              <w:rPr>
                <w:rFonts w:eastAsia="Calibri"/>
                <w:color w:val="000000"/>
              </w:rPr>
              <w:t>IPCC (2006a)</w:t>
            </w:r>
          </w:p>
        </w:tc>
      </w:tr>
      <w:tr w:rsidR="00422EFE" w:rsidRPr="00261B7A" w14:paraId="03A8EEFF" w14:textId="77777777" w:rsidTr="00D41492">
        <w:tc>
          <w:tcPr>
            <w:tcW w:w="0" w:type="auto"/>
            <w:shd w:val="clear" w:color="auto" w:fill="FFFFFF"/>
            <w:tcMar>
              <w:top w:w="0" w:type="dxa"/>
              <w:left w:w="108" w:type="dxa"/>
              <w:bottom w:w="0" w:type="dxa"/>
              <w:right w:w="108" w:type="dxa"/>
            </w:tcMar>
          </w:tcPr>
          <w:p w14:paraId="6D4DAC56" w14:textId="77777777" w:rsidR="00422EFE" w:rsidRPr="00261B7A" w:rsidRDefault="00422EFE" w:rsidP="0054663C">
            <w:pPr>
              <w:pStyle w:val="TableText"/>
              <w:spacing w:before="40" w:after="40"/>
            </w:pPr>
            <w:r w:rsidRPr="00261B7A">
              <w:rPr>
                <w:rFonts w:eastAsia="Calibri"/>
                <w:color w:val="000000"/>
              </w:rPr>
              <w:t>Fraction of methane in landfill gas (F)</w:t>
            </w:r>
          </w:p>
        </w:tc>
        <w:tc>
          <w:tcPr>
            <w:tcW w:w="0" w:type="auto"/>
            <w:shd w:val="clear" w:color="auto" w:fill="FFFFFF"/>
            <w:tcMar>
              <w:top w:w="0" w:type="dxa"/>
              <w:left w:w="108" w:type="dxa"/>
              <w:bottom w:w="0" w:type="dxa"/>
              <w:right w:w="108" w:type="dxa"/>
            </w:tcMar>
          </w:tcPr>
          <w:p w14:paraId="57D9466B" w14:textId="77777777" w:rsidR="00422EFE" w:rsidRPr="00261B7A" w:rsidRDefault="00422EFE" w:rsidP="0054663C">
            <w:pPr>
              <w:pStyle w:val="TableText"/>
              <w:spacing w:before="40" w:after="40"/>
            </w:pPr>
            <w:r w:rsidRPr="00261B7A">
              <w:rPr>
                <w:rFonts w:eastAsia="Calibri"/>
                <w:color w:val="000000"/>
              </w:rPr>
              <w:t>0.5</w:t>
            </w:r>
          </w:p>
        </w:tc>
        <w:tc>
          <w:tcPr>
            <w:tcW w:w="0" w:type="auto"/>
            <w:shd w:val="clear" w:color="auto" w:fill="FFFFFF"/>
            <w:tcMar>
              <w:top w:w="0" w:type="dxa"/>
              <w:left w:w="108" w:type="dxa"/>
              <w:bottom w:w="0" w:type="dxa"/>
              <w:right w:w="108" w:type="dxa"/>
            </w:tcMar>
          </w:tcPr>
          <w:p w14:paraId="456F555B" w14:textId="77777777" w:rsidR="00422EFE" w:rsidRPr="00261B7A" w:rsidRDefault="00422EFE" w:rsidP="0054663C">
            <w:pPr>
              <w:pStyle w:val="TableText"/>
              <w:spacing w:before="40" w:after="40"/>
            </w:pPr>
            <w:r w:rsidRPr="00261B7A">
              <w:rPr>
                <w:rFonts w:eastAsia="Calibri"/>
                <w:color w:val="000000"/>
              </w:rPr>
              <w:t>IPCC default</w:t>
            </w:r>
          </w:p>
        </w:tc>
        <w:tc>
          <w:tcPr>
            <w:tcW w:w="0" w:type="auto"/>
            <w:shd w:val="clear" w:color="auto" w:fill="FFFFFF"/>
            <w:tcMar>
              <w:top w:w="0" w:type="dxa"/>
              <w:left w:w="108" w:type="dxa"/>
              <w:bottom w:w="0" w:type="dxa"/>
              <w:right w:w="108" w:type="dxa"/>
            </w:tcMar>
          </w:tcPr>
          <w:p w14:paraId="5B2A5FC5" w14:textId="77777777" w:rsidR="00422EFE" w:rsidRPr="00261B7A" w:rsidRDefault="00422EFE" w:rsidP="0054663C">
            <w:pPr>
              <w:pStyle w:val="TableText"/>
              <w:spacing w:before="40" w:after="40"/>
            </w:pPr>
            <w:r w:rsidRPr="00261B7A">
              <w:rPr>
                <w:rFonts w:eastAsia="Calibri"/>
                <w:color w:val="000000"/>
              </w:rPr>
              <w:t>IPCC (2006a)</w:t>
            </w:r>
          </w:p>
        </w:tc>
      </w:tr>
      <w:tr w:rsidR="00422EFE" w:rsidRPr="00261B7A" w14:paraId="18385004" w14:textId="77777777" w:rsidTr="00D41492">
        <w:tc>
          <w:tcPr>
            <w:tcW w:w="0" w:type="auto"/>
            <w:shd w:val="clear" w:color="auto" w:fill="FFFFFF"/>
            <w:tcMar>
              <w:top w:w="0" w:type="dxa"/>
              <w:left w:w="108" w:type="dxa"/>
              <w:bottom w:w="0" w:type="dxa"/>
              <w:right w:w="108" w:type="dxa"/>
            </w:tcMar>
          </w:tcPr>
          <w:p w14:paraId="02E56BBB" w14:textId="77777777" w:rsidR="00422EFE" w:rsidRPr="00261B7A" w:rsidRDefault="00422EFE" w:rsidP="00943F5B">
            <w:pPr>
              <w:pStyle w:val="TableTextBold"/>
              <w:spacing w:before="40" w:after="40"/>
              <w:rPr>
                <w:noProof w:val="0"/>
              </w:rPr>
            </w:pPr>
            <w:r w:rsidRPr="00261B7A">
              <w:rPr>
                <w:rFonts w:eastAsia="Calibri"/>
                <w:noProof w:val="0"/>
              </w:rPr>
              <w:t>All landfill sites</w:t>
            </w:r>
          </w:p>
        </w:tc>
        <w:tc>
          <w:tcPr>
            <w:tcW w:w="0" w:type="auto"/>
            <w:shd w:val="clear" w:color="auto" w:fill="FFFFFF"/>
            <w:tcMar>
              <w:top w:w="0" w:type="dxa"/>
              <w:left w:w="108" w:type="dxa"/>
              <w:bottom w:w="0" w:type="dxa"/>
              <w:right w:w="108" w:type="dxa"/>
            </w:tcMar>
          </w:tcPr>
          <w:p w14:paraId="3662962A" w14:textId="77777777" w:rsidR="00422EFE" w:rsidRPr="00261B7A" w:rsidRDefault="00422EFE" w:rsidP="00943F5B">
            <w:pPr>
              <w:pStyle w:val="TableTextBold"/>
              <w:spacing w:before="40" w:after="40"/>
              <w:rPr>
                <w:noProof w:val="0"/>
              </w:rPr>
            </w:pPr>
          </w:p>
        </w:tc>
        <w:tc>
          <w:tcPr>
            <w:tcW w:w="0" w:type="auto"/>
            <w:shd w:val="clear" w:color="auto" w:fill="FFFFFF"/>
            <w:tcMar>
              <w:top w:w="0" w:type="dxa"/>
              <w:left w:w="108" w:type="dxa"/>
              <w:bottom w:w="0" w:type="dxa"/>
              <w:right w:w="108" w:type="dxa"/>
            </w:tcMar>
          </w:tcPr>
          <w:p w14:paraId="7F2789B2" w14:textId="77777777" w:rsidR="00422EFE" w:rsidRPr="00261B7A" w:rsidRDefault="00422EFE" w:rsidP="00943F5B">
            <w:pPr>
              <w:pStyle w:val="TableTextBold"/>
              <w:spacing w:before="40" w:after="40"/>
              <w:rPr>
                <w:noProof w:val="0"/>
              </w:rPr>
            </w:pPr>
          </w:p>
        </w:tc>
        <w:tc>
          <w:tcPr>
            <w:tcW w:w="0" w:type="auto"/>
            <w:shd w:val="clear" w:color="auto" w:fill="FFFFFF"/>
            <w:tcMar>
              <w:top w:w="0" w:type="dxa"/>
              <w:left w:w="108" w:type="dxa"/>
              <w:bottom w:w="0" w:type="dxa"/>
              <w:right w:w="108" w:type="dxa"/>
            </w:tcMar>
          </w:tcPr>
          <w:p w14:paraId="2ADA6A9A" w14:textId="77777777" w:rsidR="00422EFE" w:rsidRPr="00261B7A" w:rsidRDefault="00422EFE" w:rsidP="00943F5B">
            <w:pPr>
              <w:pStyle w:val="TableTextBold"/>
              <w:spacing w:before="40" w:after="40"/>
              <w:rPr>
                <w:noProof w:val="0"/>
              </w:rPr>
            </w:pPr>
          </w:p>
        </w:tc>
      </w:tr>
      <w:tr w:rsidR="00422EFE" w:rsidRPr="00261B7A" w14:paraId="55F23DD4" w14:textId="77777777" w:rsidTr="00D41492">
        <w:tc>
          <w:tcPr>
            <w:tcW w:w="0" w:type="auto"/>
            <w:shd w:val="clear" w:color="auto" w:fill="FFFFFF"/>
            <w:tcMar>
              <w:top w:w="0" w:type="dxa"/>
              <w:left w:w="108" w:type="dxa"/>
              <w:bottom w:w="0" w:type="dxa"/>
              <w:right w:w="108" w:type="dxa"/>
            </w:tcMar>
          </w:tcPr>
          <w:p w14:paraId="43627A87" w14:textId="77777777" w:rsidR="00422EFE" w:rsidRPr="00261B7A" w:rsidRDefault="00422EFE" w:rsidP="0054663C">
            <w:pPr>
              <w:pStyle w:val="TableText"/>
              <w:spacing w:before="40" w:after="40"/>
            </w:pPr>
            <w:r w:rsidRPr="00261B7A">
              <w:rPr>
                <w:rFonts w:eastAsia="Calibri"/>
                <w:color w:val="000000"/>
              </w:rPr>
              <w:t>Starting year</w:t>
            </w:r>
          </w:p>
        </w:tc>
        <w:tc>
          <w:tcPr>
            <w:tcW w:w="0" w:type="auto"/>
            <w:shd w:val="clear" w:color="auto" w:fill="FFFFFF"/>
            <w:tcMar>
              <w:top w:w="0" w:type="dxa"/>
              <w:left w:w="108" w:type="dxa"/>
              <w:bottom w:w="0" w:type="dxa"/>
              <w:right w:w="108" w:type="dxa"/>
            </w:tcMar>
          </w:tcPr>
          <w:p w14:paraId="3403550D" w14:textId="77777777" w:rsidR="00422EFE" w:rsidRPr="00261B7A" w:rsidRDefault="00422EFE" w:rsidP="0054663C">
            <w:pPr>
              <w:pStyle w:val="TableText"/>
              <w:spacing w:before="40" w:after="40"/>
            </w:pPr>
            <w:r w:rsidRPr="00261B7A">
              <w:rPr>
                <w:rFonts w:eastAsia="Calibri"/>
                <w:color w:val="000000"/>
              </w:rPr>
              <w:t>1950</w:t>
            </w:r>
          </w:p>
        </w:tc>
        <w:tc>
          <w:tcPr>
            <w:tcW w:w="0" w:type="auto"/>
            <w:shd w:val="clear" w:color="auto" w:fill="FFFFFF"/>
            <w:tcMar>
              <w:top w:w="0" w:type="dxa"/>
              <w:left w:w="108" w:type="dxa"/>
              <w:bottom w:w="0" w:type="dxa"/>
              <w:right w:w="108" w:type="dxa"/>
            </w:tcMar>
          </w:tcPr>
          <w:p w14:paraId="7EE29C8D" w14:textId="77777777" w:rsidR="00422EFE" w:rsidRPr="00261B7A" w:rsidRDefault="00422EFE" w:rsidP="0054663C">
            <w:pPr>
              <w:pStyle w:val="TableText"/>
              <w:spacing w:before="40" w:after="40"/>
            </w:pPr>
            <w:r w:rsidRPr="00261B7A">
              <w:rPr>
                <w:rFonts w:eastAsia="Calibri"/>
                <w:color w:val="000000"/>
              </w:rPr>
              <w:t>IPCC default</w:t>
            </w:r>
          </w:p>
        </w:tc>
        <w:tc>
          <w:tcPr>
            <w:tcW w:w="0" w:type="auto"/>
            <w:shd w:val="clear" w:color="auto" w:fill="FFFFFF"/>
            <w:tcMar>
              <w:top w:w="0" w:type="dxa"/>
              <w:left w:w="108" w:type="dxa"/>
              <w:bottom w:w="0" w:type="dxa"/>
              <w:right w:w="108" w:type="dxa"/>
            </w:tcMar>
          </w:tcPr>
          <w:p w14:paraId="569CBC57" w14:textId="77777777" w:rsidR="00422EFE" w:rsidRPr="00261B7A" w:rsidRDefault="00422EFE" w:rsidP="0054663C">
            <w:pPr>
              <w:pStyle w:val="TableText"/>
              <w:spacing w:before="40" w:after="40"/>
            </w:pPr>
            <w:r w:rsidRPr="00261B7A">
              <w:rPr>
                <w:rFonts w:eastAsia="Calibri"/>
                <w:color w:val="000000"/>
              </w:rPr>
              <w:t>IPCC (2006a)</w:t>
            </w:r>
          </w:p>
        </w:tc>
      </w:tr>
      <w:tr w:rsidR="00422EFE" w:rsidRPr="00261B7A" w14:paraId="4797C795" w14:textId="77777777" w:rsidTr="00D41492">
        <w:tc>
          <w:tcPr>
            <w:tcW w:w="0" w:type="auto"/>
            <w:shd w:val="clear" w:color="auto" w:fill="FFFFFF"/>
            <w:tcMar>
              <w:top w:w="0" w:type="dxa"/>
              <w:left w:w="108" w:type="dxa"/>
              <w:bottom w:w="0" w:type="dxa"/>
              <w:right w:w="108" w:type="dxa"/>
            </w:tcMar>
          </w:tcPr>
          <w:p w14:paraId="493AE141" w14:textId="77777777" w:rsidR="00422EFE" w:rsidRPr="00261B7A" w:rsidRDefault="00422EFE" w:rsidP="0054663C">
            <w:pPr>
              <w:pStyle w:val="TableText"/>
              <w:spacing w:before="40" w:after="40"/>
            </w:pPr>
            <w:r w:rsidRPr="00261B7A">
              <w:rPr>
                <w:rFonts w:eastAsia="Calibri"/>
                <w:color w:val="000000"/>
              </w:rPr>
              <w:t>Delay time</w:t>
            </w:r>
          </w:p>
        </w:tc>
        <w:tc>
          <w:tcPr>
            <w:tcW w:w="0" w:type="auto"/>
            <w:shd w:val="clear" w:color="auto" w:fill="FFFFFF"/>
            <w:tcMar>
              <w:top w:w="0" w:type="dxa"/>
              <w:left w:w="108" w:type="dxa"/>
              <w:bottom w:w="0" w:type="dxa"/>
              <w:right w:w="108" w:type="dxa"/>
            </w:tcMar>
          </w:tcPr>
          <w:p w14:paraId="72E06263" w14:textId="77777777" w:rsidR="00422EFE" w:rsidRPr="00261B7A" w:rsidRDefault="00422EFE" w:rsidP="0054663C">
            <w:pPr>
              <w:pStyle w:val="TableText"/>
              <w:spacing w:before="40" w:after="40"/>
            </w:pPr>
            <w:r w:rsidRPr="00261B7A">
              <w:rPr>
                <w:rFonts w:eastAsia="Calibri"/>
                <w:color w:val="000000"/>
              </w:rPr>
              <w:t>6 months</w:t>
            </w:r>
          </w:p>
        </w:tc>
        <w:tc>
          <w:tcPr>
            <w:tcW w:w="0" w:type="auto"/>
            <w:shd w:val="clear" w:color="auto" w:fill="FFFFFF"/>
            <w:tcMar>
              <w:top w:w="0" w:type="dxa"/>
              <w:left w:w="108" w:type="dxa"/>
              <w:bottom w:w="0" w:type="dxa"/>
              <w:right w:w="108" w:type="dxa"/>
            </w:tcMar>
          </w:tcPr>
          <w:p w14:paraId="252B5FC3" w14:textId="77777777" w:rsidR="00422EFE" w:rsidRPr="00261B7A" w:rsidRDefault="00422EFE" w:rsidP="0054663C">
            <w:pPr>
              <w:pStyle w:val="TableText"/>
              <w:spacing w:before="40" w:after="40"/>
            </w:pPr>
            <w:r w:rsidRPr="00261B7A">
              <w:rPr>
                <w:rFonts w:eastAsia="Calibri"/>
                <w:color w:val="000000"/>
              </w:rPr>
              <w:t>IPCC default</w:t>
            </w:r>
          </w:p>
        </w:tc>
        <w:tc>
          <w:tcPr>
            <w:tcW w:w="0" w:type="auto"/>
            <w:shd w:val="clear" w:color="auto" w:fill="FFFFFF"/>
            <w:tcMar>
              <w:top w:w="0" w:type="dxa"/>
              <w:left w:w="108" w:type="dxa"/>
              <w:bottom w:w="0" w:type="dxa"/>
              <w:right w:w="108" w:type="dxa"/>
            </w:tcMar>
          </w:tcPr>
          <w:p w14:paraId="0C056F9E" w14:textId="77777777" w:rsidR="00422EFE" w:rsidRPr="00261B7A" w:rsidRDefault="00422EFE" w:rsidP="0054663C">
            <w:pPr>
              <w:pStyle w:val="TableText"/>
              <w:spacing w:before="40" w:after="40"/>
            </w:pPr>
            <w:r w:rsidRPr="00261B7A">
              <w:rPr>
                <w:rFonts w:eastAsia="Calibri"/>
                <w:color w:val="000000"/>
              </w:rPr>
              <w:t>IPCC (2006a)</w:t>
            </w:r>
          </w:p>
        </w:tc>
      </w:tr>
    </w:tbl>
    <w:p w14:paraId="24D06809" w14:textId="77777777" w:rsidR="00422EFE" w:rsidRPr="00261B7A" w:rsidRDefault="00422EFE" w:rsidP="00422EFE">
      <w:pPr>
        <w:pStyle w:val="Noteundertable"/>
      </w:pPr>
      <w:r w:rsidRPr="00261B7A">
        <w:rPr>
          <w:b/>
          <w:bCs/>
        </w:rPr>
        <w:t>Note:</w:t>
      </w:r>
      <w:r w:rsidRPr="00261B7A">
        <w:t xml:space="preserve"> </w:t>
      </w:r>
      <w:r w:rsidRPr="00261B7A">
        <w:tab/>
        <w:t>DDOC = decomposable degradable organic carbon; DOC =degradable organic carbon; DOCf = DOC fraction; IPCC = Intergovernmental Panel on Climate Change.</w:t>
      </w:r>
    </w:p>
    <w:p w14:paraId="6A33F0FE" w14:textId="77777777" w:rsidR="00422EFE" w:rsidRPr="00261B7A" w:rsidRDefault="00422EFE" w:rsidP="00422EFE">
      <w:pPr>
        <w:pStyle w:val="Heading5"/>
      </w:pPr>
      <w:bookmarkStart w:id="2479" w:name="X60b6e25d43b75b4fc56e9238df3dc1e0e335de8"/>
      <w:bookmarkEnd w:id="2467"/>
      <w:bookmarkEnd w:id="2476"/>
      <w:r w:rsidRPr="00261B7A">
        <w:t>Non-municipal landfills and farm fills (5.A.2)</w:t>
      </w:r>
    </w:p>
    <w:p w14:paraId="65B1244D" w14:textId="77777777" w:rsidR="00422EFE" w:rsidRPr="00261B7A" w:rsidRDefault="00422EFE" w:rsidP="00CE2D16">
      <w:pPr>
        <w:pStyle w:val="Heading6"/>
      </w:pPr>
      <w:bookmarkStart w:id="2480" w:name="waste-composition-1"/>
      <w:r w:rsidRPr="00261B7A">
        <w:t>Waste composition</w:t>
      </w:r>
    </w:p>
    <w:p w14:paraId="57CA8A9E" w14:textId="77777777" w:rsidR="00422EFE" w:rsidRPr="00261B7A" w:rsidRDefault="00422EFE" w:rsidP="00422EFE">
      <w:pPr>
        <w:pStyle w:val="BodyText"/>
      </w:pPr>
      <w:r w:rsidRPr="00261B7A">
        <w:t>The main waste types disposed to non-municipal landfills are described in survey data as cleanfill, construction and demolition waste, green waste and wood. Most sites provided data on which types of waste are accepted, but only a few could quantify the amounts. To fill this data gap, an assumption is made that the quantities of each waste type produced in each region could be determined from the general proportion of waste types reported for each region (Tonkin and Taylor Ltd, unpublished(b)). Updated site data on waste composition from non-municipal landfills have been included from the 2016 year (MWH, 2017). These were mapped to the IPCC waste types (IPCC, 2006a), and the IPCC default DOC values were applied, except for wood waste, which uses a custom DDOC value. Wood waste contains a significant proportion of wood processing waste, which studies show has a higher lignin content that breaks down more slowly and less completely (Eunomia, unpublished(a)) and therefore generates less methane.</w:t>
      </w:r>
    </w:p>
    <w:p w14:paraId="1034B7C7" w14:textId="77777777" w:rsidR="00422EFE" w:rsidRPr="00261B7A" w:rsidRDefault="00422EFE" w:rsidP="00422EFE">
      <w:pPr>
        <w:pStyle w:val="BodyText"/>
      </w:pPr>
      <w:r w:rsidRPr="00261B7A">
        <w:t>For farm fills, the DOC for bulk municipal solid waste is adopted for some farm waste based on results from the non-natural rural wastes survey (GHD, 2013). This is because it is expected to comprise a mixture of domestic refuse, inert wastes (e.g., scrap metal and glass) and wastes associated with the particular farming activity. This is similar to the kinds of waste in municipal solid waste, therefore, applying the DOC for bulk municipal solid waste is appropriate (Tonkin and Taylor Ltd, unpublished(b)).</w:t>
      </w:r>
    </w:p>
    <w:p w14:paraId="517B01BE" w14:textId="77777777" w:rsidR="00422EFE" w:rsidRPr="00261B7A" w:rsidRDefault="00422EFE" w:rsidP="00CE2D16">
      <w:pPr>
        <w:pStyle w:val="Heading6"/>
      </w:pPr>
      <w:bookmarkStart w:id="2481" w:name="other-parameters"/>
      <w:bookmarkEnd w:id="2480"/>
      <w:r w:rsidRPr="00261B7A">
        <w:t>Other parameters</w:t>
      </w:r>
    </w:p>
    <w:p w14:paraId="76FEB58E" w14:textId="77777777" w:rsidR="00422EFE" w:rsidRPr="00261B7A" w:rsidRDefault="00422EFE" w:rsidP="00422EFE">
      <w:pPr>
        <w:pStyle w:val="BodyText"/>
      </w:pPr>
      <w:r w:rsidRPr="00261B7A">
        <w:t>Most non-municipal landfills and farm fills are shallow, with less than 5 metres depth of waste. These are estimated to account for 90 per cent of the waste disposed with a CH</w:t>
      </w:r>
      <w:r w:rsidRPr="00261B7A">
        <w:rPr>
          <w:vertAlign w:val="subscript"/>
        </w:rPr>
        <w:t>4</w:t>
      </w:r>
      <w:r w:rsidRPr="00261B7A">
        <w:t xml:space="preserve"> correction factor value of 0.4. The other 10 per cent (approximately) goes to fills that are assumed to be:</w:t>
      </w:r>
    </w:p>
    <w:p w14:paraId="2487F921" w14:textId="77777777" w:rsidR="00422EFE" w:rsidRPr="00261B7A" w:rsidRDefault="00422EFE" w:rsidP="00422EFE">
      <w:pPr>
        <w:pStyle w:val="Bullet"/>
      </w:pPr>
      <w:r w:rsidRPr="00261B7A">
        <w:t>for non-municipal landfills, an unknown mix that would have an average CH</w:t>
      </w:r>
      <w:r w:rsidRPr="00261B7A">
        <w:rPr>
          <w:vertAlign w:val="subscript"/>
        </w:rPr>
        <w:t>4</w:t>
      </w:r>
      <w:r w:rsidRPr="00261B7A">
        <w:t xml:space="preserve"> correction factor value of 0.6; this gives an overall average of 0.42 for these sites</w:t>
      </w:r>
    </w:p>
    <w:p w14:paraId="0F6D3A3D" w14:textId="77777777" w:rsidR="00422EFE" w:rsidRPr="00261B7A" w:rsidRDefault="00422EFE" w:rsidP="00422EFE">
      <w:pPr>
        <w:pStyle w:val="Bullet"/>
      </w:pPr>
      <w:r w:rsidRPr="00261B7A">
        <w:t>for farm fills with deeper pits that have an average depth greater than 5 metres, the CH</w:t>
      </w:r>
      <w:r w:rsidRPr="00261B7A">
        <w:rPr>
          <w:vertAlign w:val="subscript"/>
        </w:rPr>
        <w:t>4</w:t>
      </w:r>
      <w:r w:rsidRPr="00261B7A">
        <w:t xml:space="preserve"> correction factor value is 0.8 and the average for all farm fills is 0.44.</w:t>
      </w:r>
    </w:p>
    <w:p w14:paraId="6C5FE211" w14:textId="77777777" w:rsidR="00422EFE" w:rsidRPr="00261B7A" w:rsidRDefault="00422EFE" w:rsidP="00422EFE">
      <w:pPr>
        <w:pStyle w:val="BodyText"/>
      </w:pPr>
      <w:r w:rsidRPr="00261B7A">
        <w:t>Default k-values for a wet temperate climate are used. No oxidation is assumed to occur in the cover for these unmanaged sites.</w:t>
      </w:r>
    </w:p>
    <w:p w14:paraId="357090F3" w14:textId="77777777" w:rsidR="00422EFE" w:rsidRPr="00261B7A" w:rsidRDefault="00422EFE" w:rsidP="00CE2D16">
      <w:pPr>
        <w:pStyle w:val="Heading6"/>
      </w:pPr>
      <w:bookmarkStart w:id="2482" w:name="summary-of-parameters-used-1"/>
      <w:bookmarkEnd w:id="2481"/>
      <w:r w:rsidRPr="00261B7A">
        <w:t>Summary of parameters used</w:t>
      </w:r>
    </w:p>
    <w:p w14:paraId="3A758DF9" w14:textId="77777777" w:rsidR="00422EFE" w:rsidRPr="00261B7A" w:rsidRDefault="00422EFE" w:rsidP="00422EFE">
      <w:pPr>
        <w:pStyle w:val="BodyText"/>
      </w:pPr>
      <w:r w:rsidRPr="00261B7A">
        <w:t>Table 7.2.8 gives a summary of the parameter values that have been applied for estimating CH</w:t>
      </w:r>
      <w:r w:rsidRPr="00261B7A">
        <w:rPr>
          <w:vertAlign w:val="subscript"/>
        </w:rPr>
        <w:t>4</w:t>
      </w:r>
      <w:r w:rsidRPr="00261B7A">
        <w:t xml:space="preserve"> emissions for solid waste disposed to non-municipal landfills and farm fills.</w:t>
      </w:r>
    </w:p>
    <w:p w14:paraId="4AD45F2D" w14:textId="77777777" w:rsidR="00422EFE" w:rsidRPr="00261B7A" w:rsidRDefault="00422EFE" w:rsidP="00422EFE">
      <w:pPr>
        <w:pStyle w:val="Table"/>
      </w:pPr>
      <w:bookmarkStart w:id="2483" w:name="_Toc128383669"/>
      <w:bookmarkStart w:id="2484" w:name="_Toc131591442"/>
      <w:r w:rsidRPr="00261B7A">
        <w:t xml:space="preserve">Table 7.2.8 </w:t>
      </w:r>
      <w:r w:rsidRPr="00261B7A">
        <w:tab/>
        <w:t>Summary of parameters for non-municipal landfills and farm fills</w:t>
      </w:r>
      <w:bookmarkEnd w:id="2483"/>
      <w:bookmarkEnd w:id="2484"/>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127"/>
        <w:gridCol w:w="1085"/>
        <w:gridCol w:w="1466"/>
        <w:gridCol w:w="3827"/>
      </w:tblGrid>
      <w:tr w:rsidR="00422EFE" w:rsidRPr="00261B7A" w14:paraId="58975282" w14:textId="77777777" w:rsidTr="00D41492">
        <w:trPr>
          <w:tblHeader/>
        </w:trPr>
        <w:tc>
          <w:tcPr>
            <w:tcW w:w="2127" w:type="dxa"/>
            <w:shd w:val="clear" w:color="auto" w:fill="1B556B"/>
            <w:tcMar>
              <w:top w:w="0" w:type="dxa"/>
              <w:left w:w="108" w:type="dxa"/>
              <w:bottom w:w="0" w:type="dxa"/>
              <w:right w:w="108" w:type="dxa"/>
            </w:tcMar>
          </w:tcPr>
          <w:p w14:paraId="50541365"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Parameter</w:t>
            </w:r>
          </w:p>
        </w:tc>
        <w:tc>
          <w:tcPr>
            <w:tcW w:w="1085" w:type="dxa"/>
            <w:shd w:val="clear" w:color="auto" w:fill="1B556B"/>
            <w:tcMar>
              <w:top w:w="0" w:type="dxa"/>
              <w:left w:w="108" w:type="dxa"/>
              <w:bottom w:w="0" w:type="dxa"/>
              <w:right w:w="108" w:type="dxa"/>
            </w:tcMar>
          </w:tcPr>
          <w:p w14:paraId="4478DF8F"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Values</w:t>
            </w:r>
          </w:p>
        </w:tc>
        <w:tc>
          <w:tcPr>
            <w:tcW w:w="1466" w:type="dxa"/>
            <w:shd w:val="clear" w:color="auto" w:fill="1B556B"/>
            <w:tcMar>
              <w:top w:w="0" w:type="dxa"/>
              <w:left w:w="108" w:type="dxa"/>
              <w:bottom w:w="0" w:type="dxa"/>
              <w:right w:w="108" w:type="dxa"/>
            </w:tcMar>
          </w:tcPr>
          <w:p w14:paraId="6C2550EE"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Source</w:t>
            </w:r>
          </w:p>
        </w:tc>
        <w:tc>
          <w:tcPr>
            <w:tcW w:w="3827" w:type="dxa"/>
            <w:shd w:val="clear" w:color="auto" w:fill="1B556B"/>
            <w:tcMar>
              <w:top w:w="0" w:type="dxa"/>
              <w:left w:w="108" w:type="dxa"/>
              <w:bottom w:w="0" w:type="dxa"/>
              <w:right w:w="108" w:type="dxa"/>
            </w:tcMar>
          </w:tcPr>
          <w:p w14:paraId="6E9EAE73"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Reference</w:t>
            </w:r>
          </w:p>
        </w:tc>
      </w:tr>
      <w:tr w:rsidR="00422EFE" w:rsidRPr="00261B7A" w14:paraId="0BB9E10B" w14:textId="77777777" w:rsidTr="00D41492">
        <w:tc>
          <w:tcPr>
            <w:tcW w:w="2127" w:type="dxa"/>
            <w:shd w:val="clear" w:color="auto" w:fill="FFFFFF"/>
            <w:tcMar>
              <w:top w:w="0" w:type="dxa"/>
              <w:left w:w="108" w:type="dxa"/>
              <w:bottom w:w="0" w:type="dxa"/>
              <w:right w:w="108" w:type="dxa"/>
            </w:tcMar>
          </w:tcPr>
          <w:p w14:paraId="4045323F" w14:textId="77777777" w:rsidR="00422EFE" w:rsidRPr="00261B7A" w:rsidRDefault="00422EFE" w:rsidP="006E1E67">
            <w:pPr>
              <w:pStyle w:val="TableTextBold"/>
              <w:spacing w:before="40" w:after="40"/>
              <w:rPr>
                <w:noProof w:val="0"/>
              </w:rPr>
            </w:pPr>
            <w:r w:rsidRPr="00261B7A">
              <w:rPr>
                <w:rFonts w:eastAsia="Calibri"/>
                <w:noProof w:val="0"/>
              </w:rPr>
              <w:t>Non-municipal landfills</w:t>
            </w:r>
          </w:p>
        </w:tc>
        <w:tc>
          <w:tcPr>
            <w:tcW w:w="1085" w:type="dxa"/>
            <w:shd w:val="clear" w:color="auto" w:fill="FFFFFF"/>
            <w:tcMar>
              <w:top w:w="0" w:type="dxa"/>
              <w:left w:w="108" w:type="dxa"/>
              <w:bottom w:w="0" w:type="dxa"/>
              <w:right w:w="108" w:type="dxa"/>
            </w:tcMar>
          </w:tcPr>
          <w:p w14:paraId="39A57FBE" w14:textId="77777777" w:rsidR="00422EFE" w:rsidRPr="00261B7A" w:rsidRDefault="00422EFE" w:rsidP="006E1E67">
            <w:pPr>
              <w:pStyle w:val="TableTextBold"/>
              <w:spacing w:before="40" w:after="40"/>
              <w:rPr>
                <w:noProof w:val="0"/>
              </w:rPr>
            </w:pPr>
          </w:p>
        </w:tc>
        <w:tc>
          <w:tcPr>
            <w:tcW w:w="1466" w:type="dxa"/>
            <w:shd w:val="clear" w:color="auto" w:fill="FFFFFF"/>
            <w:tcMar>
              <w:top w:w="0" w:type="dxa"/>
              <w:left w:w="108" w:type="dxa"/>
              <w:bottom w:w="0" w:type="dxa"/>
              <w:right w:w="108" w:type="dxa"/>
            </w:tcMar>
          </w:tcPr>
          <w:p w14:paraId="1D22623C" w14:textId="77777777" w:rsidR="00422EFE" w:rsidRPr="00261B7A" w:rsidRDefault="00422EFE" w:rsidP="006E1E67">
            <w:pPr>
              <w:pStyle w:val="TableTextBold"/>
              <w:spacing w:before="40" w:after="40"/>
              <w:rPr>
                <w:noProof w:val="0"/>
              </w:rPr>
            </w:pPr>
          </w:p>
        </w:tc>
        <w:tc>
          <w:tcPr>
            <w:tcW w:w="3827" w:type="dxa"/>
            <w:shd w:val="clear" w:color="auto" w:fill="FFFFFF"/>
            <w:tcMar>
              <w:top w:w="0" w:type="dxa"/>
              <w:left w:w="108" w:type="dxa"/>
              <w:bottom w:w="0" w:type="dxa"/>
              <w:right w:w="108" w:type="dxa"/>
            </w:tcMar>
          </w:tcPr>
          <w:p w14:paraId="4B1F52D7" w14:textId="77777777" w:rsidR="00422EFE" w:rsidRPr="00261B7A" w:rsidRDefault="00422EFE" w:rsidP="006E1E67">
            <w:pPr>
              <w:pStyle w:val="TableTextBold"/>
              <w:spacing w:before="40" w:after="40"/>
              <w:rPr>
                <w:noProof w:val="0"/>
              </w:rPr>
            </w:pPr>
          </w:p>
        </w:tc>
      </w:tr>
      <w:tr w:rsidR="00422EFE" w:rsidRPr="00261B7A" w14:paraId="4FDE7B92" w14:textId="77777777" w:rsidTr="00D41492">
        <w:tc>
          <w:tcPr>
            <w:tcW w:w="2127" w:type="dxa"/>
            <w:shd w:val="clear" w:color="auto" w:fill="FFFFFF"/>
            <w:tcMar>
              <w:top w:w="0" w:type="dxa"/>
              <w:left w:w="108" w:type="dxa"/>
              <w:bottom w:w="0" w:type="dxa"/>
              <w:right w:w="108" w:type="dxa"/>
            </w:tcMar>
          </w:tcPr>
          <w:p w14:paraId="74FB1BCA" w14:textId="77777777" w:rsidR="00422EFE" w:rsidRPr="00261B7A" w:rsidRDefault="00422EFE" w:rsidP="0054663C">
            <w:pPr>
              <w:pStyle w:val="TableText"/>
              <w:spacing w:before="40" w:after="40"/>
            </w:pPr>
            <w:r w:rsidRPr="00261B7A">
              <w:rPr>
                <w:rFonts w:eastAsia="Calibri"/>
                <w:color w:val="000000"/>
              </w:rPr>
              <w:t>k-value</w:t>
            </w:r>
          </w:p>
        </w:tc>
        <w:tc>
          <w:tcPr>
            <w:tcW w:w="1085" w:type="dxa"/>
            <w:shd w:val="clear" w:color="auto" w:fill="FFFFFF"/>
            <w:tcMar>
              <w:top w:w="0" w:type="dxa"/>
              <w:left w:w="108" w:type="dxa"/>
              <w:bottom w:w="0" w:type="dxa"/>
              <w:right w:w="108" w:type="dxa"/>
            </w:tcMar>
          </w:tcPr>
          <w:p w14:paraId="60660872" w14:textId="77777777" w:rsidR="00422EFE" w:rsidRPr="00261B7A" w:rsidRDefault="00422EFE" w:rsidP="0054663C">
            <w:pPr>
              <w:pStyle w:val="TableText"/>
              <w:spacing w:before="40" w:after="40"/>
            </w:pPr>
            <w:r w:rsidRPr="00261B7A">
              <w:rPr>
                <w:rFonts w:eastAsia="Calibri"/>
                <w:color w:val="000000"/>
              </w:rPr>
              <w:t>0.030–0.185</w:t>
            </w:r>
          </w:p>
        </w:tc>
        <w:tc>
          <w:tcPr>
            <w:tcW w:w="1466" w:type="dxa"/>
            <w:shd w:val="clear" w:color="auto" w:fill="FFFFFF"/>
            <w:tcMar>
              <w:top w:w="0" w:type="dxa"/>
              <w:left w:w="108" w:type="dxa"/>
              <w:bottom w:w="0" w:type="dxa"/>
              <w:right w:w="108" w:type="dxa"/>
            </w:tcMar>
          </w:tcPr>
          <w:p w14:paraId="455EE531" w14:textId="77777777" w:rsidR="00422EFE" w:rsidRPr="00261B7A" w:rsidRDefault="00422EFE" w:rsidP="0054663C">
            <w:pPr>
              <w:pStyle w:val="TableText"/>
              <w:spacing w:before="40" w:after="40"/>
            </w:pPr>
            <w:r w:rsidRPr="00261B7A">
              <w:rPr>
                <w:rFonts w:eastAsia="Calibri"/>
                <w:color w:val="000000"/>
              </w:rPr>
              <w:t>IPCC default</w:t>
            </w:r>
          </w:p>
        </w:tc>
        <w:tc>
          <w:tcPr>
            <w:tcW w:w="3827" w:type="dxa"/>
            <w:shd w:val="clear" w:color="auto" w:fill="FFFFFF"/>
            <w:tcMar>
              <w:top w:w="0" w:type="dxa"/>
              <w:left w:w="108" w:type="dxa"/>
              <w:bottom w:w="0" w:type="dxa"/>
              <w:right w:w="108" w:type="dxa"/>
            </w:tcMar>
          </w:tcPr>
          <w:p w14:paraId="648B523B" w14:textId="77777777" w:rsidR="00422EFE" w:rsidRPr="00261B7A" w:rsidRDefault="00422EFE" w:rsidP="0054663C">
            <w:pPr>
              <w:pStyle w:val="TableText"/>
              <w:spacing w:before="40" w:after="40"/>
            </w:pPr>
            <w:r w:rsidRPr="00261B7A">
              <w:rPr>
                <w:rFonts w:eastAsia="Calibri"/>
                <w:color w:val="000000"/>
              </w:rPr>
              <w:t>IPCC (2006a)</w:t>
            </w:r>
          </w:p>
        </w:tc>
      </w:tr>
      <w:tr w:rsidR="00422EFE" w:rsidRPr="00261B7A" w14:paraId="6208886F" w14:textId="77777777" w:rsidTr="00D41492">
        <w:tc>
          <w:tcPr>
            <w:tcW w:w="2127" w:type="dxa"/>
            <w:shd w:val="clear" w:color="auto" w:fill="FFFFFF"/>
            <w:tcMar>
              <w:top w:w="0" w:type="dxa"/>
              <w:left w:w="108" w:type="dxa"/>
              <w:bottom w:w="0" w:type="dxa"/>
              <w:right w:w="108" w:type="dxa"/>
            </w:tcMar>
          </w:tcPr>
          <w:p w14:paraId="25377D96" w14:textId="77777777" w:rsidR="00422EFE" w:rsidRPr="00261B7A" w:rsidRDefault="00422EFE" w:rsidP="0054663C">
            <w:pPr>
              <w:pStyle w:val="TableText"/>
              <w:spacing w:before="40" w:after="40"/>
            </w:pPr>
            <w:r w:rsidRPr="00261B7A">
              <w:rPr>
                <w:rFonts w:eastAsia="Calibri"/>
                <w:color w:val="000000"/>
              </w:rPr>
              <w:t>Methane correction factor</w:t>
            </w:r>
          </w:p>
        </w:tc>
        <w:tc>
          <w:tcPr>
            <w:tcW w:w="1085" w:type="dxa"/>
            <w:shd w:val="clear" w:color="auto" w:fill="FFFFFF"/>
            <w:tcMar>
              <w:top w:w="0" w:type="dxa"/>
              <w:left w:w="108" w:type="dxa"/>
              <w:bottom w:w="0" w:type="dxa"/>
              <w:right w:w="108" w:type="dxa"/>
            </w:tcMar>
          </w:tcPr>
          <w:p w14:paraId="5CD9AC65" w14:textId="77777777" w:rsidR="00422EFE" w:rsidRPr="00261B7A" w:rsidRDefault="00422EFE" w:rsidP="0054663C">
            <w:pPr>
              <w:pStyle w:val="TableText"/>
              <w:spacing w:before="40" w:after="40"/>
            </w:pPr>
            <w:r w:rsidRPr="00261B7A">
              <w:rPr>
                <w:rFonts w:eastAsia="Calibri"/>
                <w:color w:val="000000"/>
              </w:rPr>
              <w:t>0.42</w:t>
            </w:r>
          </w:p>
        </w:tc>
        <w:tc>
          <w:tcPr>
            <w:tcW w:w="1466" w:type="dxa"/>
            <w:shd w:val="clear" w:color="auto" w:fill="FFFFFF"/>
            <w:tcMar>
              <w:top w:w="0" w:type="dxa"/>
              <w:left w:w="108" w:type="dxa"/>
              <w:bottom w:w="0" w:type="dxa"/>
              <w:right w:w="108" w:type="dxa"/>
            </w:tcMar>
          </w:tcPr>
          <w:p w14:paraId="25B794C8" w14:textId="77777777" w:rsidR="00422EFE" w:rsidRPr="00261B7A" w:rsidRDefault="00422EFE" w:rsidP="0054663C">
            <w:pPr>
              <w:pStyle w:val="TableText"/>
              <w:spacing w:before="40" w:after="40"/>
            </w:pPr>
            <w:r w:rsidRPr="00261B7A">
              <w:rPr>
                <w:rFonts w:eastAsia="Calibri"/>
                <w:color w:val="000000"/>
              </w:rPr>
              <w:t>Country specific</w:t>
            </w:r>
          </w:p>
        </w:tc>
        <w:tc>
          <w:tcPr>
            <w:tcW w:w="3827" w:type="dxa"/>
            <w:shd w:val="clear" w:color="auto" w:fill="FFFFFF"/>
            <w:tcMar>
              <w:top w:w="0" w:type="dxa"/>
              <w:left w:w="108" w:type="dxa"/>
              <w:bottom w:w="0" w:type="dxa"/>
              <w:right w:w="108" w:type="dxa"/>
            </w:tcMar>
          </w:tcPr>
          <w:p w14:paraId="0ED37A53" w14:textId="77777777" w:rsidR="00422EFE" w:rsidRPr="00261B7A" w:rsidRDefault="00422EFE" w:rsidP="0054663C">
            <w:pPr>
              <w:pStyle w:val="TableText"/>
              <w:spacing w:before="40" w:after="40"/>
            </w:pPr>
            <w:r w:rsidRPr="00261B7A">
              <w:rPr>
                <w:rFonts w:eastAsia="Calibri"/>
                <w:color w:val="000000"/>
              </w:rPr>
              <w:t>Tonkin and Taylor Ltd (unpublished(b))</w:t>
            </w:r>
          </w:p>
        </w:tc>
      </w:tr>
      <w:tr w:rsidR="00422EFE" w:rsidRPr="00261B7A" w14:paraId="2644B093" w14:textId="77777777" w:rsidTr="00D41492">
        <w:tc>
          <w:tcPr>
            <w:tcW w:w="2127" w:type="dxa"/>
            <w:shd w:val="clear" w:color="auto" w:fill="FFFFFF"/>
            <w:tcMar>
              <w:top w:w="0" w:type="dxa"/>
              <w:left w:w="108" w:type="dxa"/>
              <w:bottom w:w="0" w:type="dxa"/>
              <w:right w:w="108" w:type="dxa"/>
            </w:tcMar>
          </w:tcPr>
          <w:p w14:paraId="7C66F2B2" w14:textId="77777777" w:rsidR="00422EFE" w:rsidRPr="00261B7A" w:rsidRDefault="00422EFE" w:rsidP="0054663C">
            <w:pPr>
              <w:pStyle w:val="TableText"/>
              <w:spacing w:before="40" w:after="40"/>
            </w:pPr>
            <w:r w:rsidRPr="00261B7A">
              <w:rPr>
                <w:rFonts w:eastAsia="Calibri"/>
                <w:color w:val="000000"/>
              </w:rPr>
              <w:t>DOC (kt C/kt waste)</w:t>
            </w:r>
          </w:p>
        </w:tc>
        <w:tc>
          <w:tcPr>
            <w:tcW w:w="1085" w:type="dxa"/>
            <w:shd w:val="clear" w:color="auto" w:fill="FFFFFF"/>
            <w:tcMar>
              <w:top w:w="0" w:type="dxa"/>
              <w:left w:w="108" w:type="dxa"/>
              <w:bottom w:w="0" w:type="dxa"/>
              <w:right w:w="108" w:type="dxa"/>
            </w:tcMar>
          </w:tcPr>
          <w:p w14:paraId="147997D8" w14:textId="77777777" w:rsidR="00422EFE" w:rsidRPr="00261B7A" w:rsidRDefault="00422EFE" w:rsidP="0054663C">
            <w:pPr>
              <w:pStyle w:val="TableText"/>
              <w:spacing w:before="40" w:after="40"/>
            </w:pPr>
            <w:r w:rsidRPr="00261B7A">
              <w:rPr>
                <w:rFonts w:eastAsia="Calibri"/>
                <w:color w:val="000000"/>
              </w:rPr>
              <w:t>0.040–0.34</w:t>
            </w:r>
          </w:p>
        </w:tc>
        <w:tc>
          <w:tcPr>
            <w:tcW w:w="1466" w:type="dxa"/>
            <w:shd w:val="clear" w:color="auto" w:fill="FFFFFF"/>
            <w:tcMar>
              <w:top w:w="0" w:type="dxa"/>
              <w:left w:w="108" w:type="dxa"/>
              <w:bottom w:w="0" w:type="dxa"/>
              <w:right w:w="108" w:type="dxa"/>
            </w:tcMar>
          </w:tcPr>
          <w:p w14:paraId="17C2F2A4" w14:textId="77777777" w:rsidR="00422EFE" w:rsidRPr="00261B7A" w:rsidRDefault="00422EFE" w:rsidP="0054663C">
            <w:pPr>
              <w:pStyle w:val="TableText"/>
              <w:spacing w:before="40" w:after="40"/>
            </w:pPr>
            <w:r w:rsidRPr="00261B7A">
              <w:rPr>
                <w:rFonts w:eastAsia="Calibri"/>
                <w:color w:val="000000"/>
              </w:rPr>
              <w:t>Country specific</w:t>
            </w:r>
          </w:p>
        </w:tc>
        <w:tc>
          <w:tcPr>
            <w:tcW w:w="3827" w:type="dxa"/>
            <w:shd w:val="clear" w:color="auto" w:fill="FFFFFF"/>
            <w:tcMar>
              <w:top w:w="0" w:type="dxa"/>
              <w:left w:w="108" w:type="dxa"/>
              <w:bottom w:w="0" w:type="dxa"/>
              <w:right w:w="108" w:type="dxa"/>
            </w:tcMar>
          </w:tcPr>
          <w:p w14:paraId="2CE347C2" w14:textId="77777777" w:rsidR="00422EFE" w:rsidRPr="00261B7A" w:rsidRDefault="00422EFE" w:rsidP="0054663C">
            <w:pPr>
              <w:pStyle w:val="TableText"/>
              <w:spacing w:before="40" w:after="40"/>
            </w:pPr>
            <w:r w:rsidRPr="00261B7A">
              <w:rPr>
                <w:rFonts w:eastAsia="Calibri"/>
                <w:color w:val="000000"/>
              </w:rPr>
              <w:t>Waste Not Consulting (unpublished(b)), Eunomia (unpublished(a))</w:t>
            </w:r>
          </w:p>
        </w:tc>
      </w:tr>
      <w:tr w:rsidR="00422EFE" w:rsidRPr="00261B7A" w14:paraId="77B3A17C" w14:textId="77777777" w:rsidTr="00D41492">
        <w:tc>
          <w:tcPr>
            <w:tcW w:w="2127" w:type="dxa"/>
            <w:shd w:val="clear" w:color="auto" w:fill="FFFFFF"/>
            <w:tcMar>
              <w:top w:w="0" w:type="dxa"/>
              <w:left w:w="108" w:type="dxa"/>
              <w:bottom w:w="0" w:type="dxa"/>
              <w:right w:w="108" w:type="dxa"/>
            </w:tcMar>
          </w:tcPr>
          <w:p w14:paraId="3436BBBD" w14:textId="77777777" w:rsidR="00422EFE" w:rsidRPr="00261B7A" w:rsidRDefault="00422EFE" w:rsidP="006E1E67">
            <w:pPr>
              <w:pStyle w:val="TableTextBold"/>
              <w:spacing w:before="40" w:after="40"/>
              <w:rPr>
                <w:noProof w:val="0"/>
              </w:rPr>
            </w:pPr>
            <w:r w:rsidRPr="00261B7A">
              <w:rPr>
                <w:rFonts w:eastAsia="Calibri"/>
                <w:noProof w:val="0"/>
              </w:rPr>
              <w:t>Farm fills</w:t>
            </w:r>
          </w:p>
        </w:tc>
        <w:tc>
          <w:tcPr>
            <w:tcW w:w="1085" w:type="dxa"/>
            <w:shd w:val="clear" w:color="auto" w:fill="FFFFFF"/>
            <w:tcMar>
              <w:top w:w="0" w:type="dxa"/>
              <w:left w:w="108" w:type="dxa"/>
              <w:bottom w:w="0" w:type="dxa"/>
              <w:right w:w="108" w:type="dxa"/>
            </w:tcMar>
          </w:tcPr>
          <w:p w14:paraId="32CD0E50" w14:textId="77777777" w:rsidR="00422EFE" w:rsidRPr="00261B7A" w:rsidRDefault="00422EFE" w:rsidP="006E1E67">
            <w:pPr>
              <w:pStyle w:val="TableTextBold"/>
              <w:spacing w:before="40" w:after="40"/>
              <w:rPr>
                <w:noProof w:val="0"/>
              </w:rPr>
            </w:pPr>
          </w:p>
        </w:tc>
        <w:tc>
          <w:tcPr>
            <w:tcW w:w="1466" w:type="dxa"/>
            <w:shd w:val="clear" w:color="auto" w:fill="FFFFFF"/>
            <w:tcMar>
              <w:top w:w="0" w:type="dxa"/>
              <w:left w:w="108" w:type="dxa"/>
              <w:bottom w:w="0" w:type="dxa"/>
              <w:right w:w="108" w:type="dxa"/>
            </w:tcMar>
          </w:tcPr>
          <w:p w14:paraId="7FAAE5EE" w14:textId="77777777" w:rsidR="00422EFE" w:rsidRPr="00261B7A" w:rsidRDefault="00422EFE" w:rsidP="006E1E67">
            <w:pPr>
              <w:pStyle w:val="TableTextBold"/>
              <w:spacing w:before="40" w:after="40"/>
              <w:rPr>
                <w:noProof w:val="0"/>
              </w:rPr>
            </w:pPr>
          </w:p>
        </w:tc>
        <w:tc>
          <w:tcPr>
            <w:tcW w:w="3827" w:type="dxa"/>
            <w:shd w:val="clear" w:color="auto" w:fill="FFFFFF"/>
            <w:tcMar>
              <w:top w:w="0" w:type="dxa"/>
              <w:left w:w="108" w:type="dxa"/>
              <w:bottom w:w="0" w:type="dxa"/>
              <w:right w:w="108" w:type="dxa"/>
            </w:tcMar>
          </w:tcPr>
          <w:p w14:paraId="5A43D79E" w14:textId="77777777" w:rsidR="00422EFE" w:rsidRPr="00261B7A" w:rsidRDefault="00422EFE" w:rsidP="006E1E67">
            <w:pPr>
              <w:pStyle w:val="TableTextBold"/>
              <w:spacing w:before="40" w:after="40"/>
              <w:rPr>
                <w:noProof w:val="0"/>
              </w:rPr>
            </w:pPr>
          </w:p>
        </w:tc>
      </w:tr>
      <w:tr w:rsidR="00422EFE" w:rsidRPr="00261B7A" w14:paraId="0845567E" w14:textId="77777777" w:rsidTr="00D41492">
        <w:tc>
          <w:tcPr>
            <w:tcW w:w="2127" w:type="dxa"/>
            <w:shd w:val="clear" w:color="auto" w:fill="FFFFFF"/>
            <w:tcMar>
              <w:top w:w="0" w:type="dxa"/>
              <w:left w:w="108" w:type="dxa"/>
              <w:bottom w:w="0" w:type="dxa"/>
              <w:right w:w="108" w:type="dxa"/>
            </w:tcMar>
          </w:tcPr>
          <w:p w14:paraId="41471120" w14:textId="77777777" w:rsidR="00422EFE" w:rsidRPr="00261B7A" w:rsidRDefault="00422EFE" w:rsidP="0054663C">
            <w:pPr>
              <w:pStyle w:val="TableText"/>
              <w:spacing w:before="40" w:after="40"/>
            </w:pPr>
            <w:r w:rsidRPr="00261B7A">
              <w:rPr>
                <w:rFonts w:eastAsia="Calibri"/>
                <w:color w:val="000000"/>
              </w:rPr>
              <w:t>k-value</w:t>
            </w:r>
          </w:p>
        </w:tc>
        <w:tc>
          <w:tcPr>
            <w:tcW w:w="1085" w:type="dxa"/>
            <w:shd w:val="clear" w:color="auto" w:fill="FFFFFF"/>
            <w:tcMar>
              <w:top w:w="0" w:type="dxa"/>
              <w:left w:w="108" w:type="dxa"/>
              <w:bottom w:w="0" w:type="dxa"/>
              <w:right w:w="108" w:type="dxa"/>
            </w:tcMar>
          </w:tcPr>
          <w:p w14:paraId="5E68D4DC" w14:textId="77777777" w:rsidR="00422EFE" w:rsidRPr="00261B7A" w:rsidRDefault="00422EFE" w:rsidP="0054663C">
            <w:pPr>
              <w:pStyle w:val="TableText"/>
              <w:spacing w:before="40" w:after="40"/>
            </w:pPr>
            <w:r w:rsidRPr="00261B7A">
              <w:rPr>
                <w:rFonts w:eastAsia="Calibri"/>
                <w:color w:val="000000"/>
              </w:rPr>
              <w:t>0.09</w:t>
            </w:r>
          </w:p>
        </w:tc>
        <w:tc>
          <w:tcPr>
            <w:tcW w:w="1466" w:type="dxa"/>
            <w:shd w:val="clear" w:color="auto" w:fill="FFFFFF"/>
            <w:tcMar>
              <w:top w:w="0" w:type="dxa"/>
              <w:left w:w="108" w:type="dxa"/>
              <w:bottom w:w="0" w:type="dxa"/>
              <w:right w:w="108" w:type="dxa"/>
            </w:tcMar>
          </w:tcPr>
          <w:p w14:paraId="76BAECC3" w14:textId="77777777" w:rsidR="00422EFE" w:rsidRPr="00261B7A" w:rsidRDefault="00422EFE" w:rsidP="0054663C">
            <w:pPr>
              <w:pStyle w:val="TableText"/>
              <w:spacing w:before="40" w:after="40"/>
            </w:pPr>
            <w:r w:rsidRPr="00261B7A">
              <w:rPr>
                <w:rFonts w:eastAsia="Calibri"/>
                <w:color w:val="000000"/>
              </w:rPr>
              <w:t>IPCC default</w:t>
            </w:r>
          </w:p>
        </w:tc>
        <w:tc>
          <w:tcPr>
            <w:tcW w:w="3827" w:type="dxa"/>
            <w:shd w:val="clear" w:color="auto" w:fill="FFFFFF"/>
            <w:tcMar>
              <w:top w:w="0" w:type="dxa"/>
              <w:left w:w="108" w:type="dxa"/>
              <w:bottom w:w="0" w:type="dxa"/>
              <w:right w:w="108" w:type="dxa"/>
            </w:tcMar>
          </w:tcPr>
          <w:p w14:paraId="7C19E3CE" w14:textId="77777777" w:rsidR="00422EFE" w:rsidRPr="00261B7A" w:rsidRDefault="00422EFE" w:rsidP="0054663C">
            <w:pPr>
              <w:pStyle w:val="TableText"/>
              <w:spacing w:before="40" w:after="40"/>
            </w:pPr>
            <w:r w:rsidRPr="00261B7A">
              <w:rPr>
                <w:rFonts w:eastAsia="Calibri"/>
                <w:color w:val="000000"/>
              </w:rPr>
              <w:t>IPCC (2006a)</w:t>
            </w:r>
          </w:p>
        </w:tc>
      </w:tr>
      <w:tr w:rsidR="00422EFE" w:rsidRPr="00261B7A" w14:paraId="2E913CF1" w14:textId="77777777" w:rsidTr="00D41492">
        <w:tc>
          <w:tcPr>
            <w:tcW w:w="2127" w:type="dxa"/>
            <w:shd w:val="clear" w:color="auto" w:fill="FFFFFF"/>
            <w:tcMar>
              <w:top w:w="0" w:type="dxa"/>
              <w:left w:w="108" w:type="dxa"/>
              <w:bottom w:w="0" w:type="dxa"/>
              <w:right w:w="108" w:type="dxa"/>
            </w:tcMar>
          </w:tcPr>
          <w:p w14:paraId="6713CE9A" w14:textId="77777777" w:rsidR="00422EFE" w:rsidRPr="00261B7A" w:rsidRDefault="00422EFE" w:rsidP="0054663C">
            <w:pPr>
              <w:pStyle w:val="TableText"/>
              <w:spacing w:before="40" w:after="40"/>
            </w:pPr>
            <w:r w:rsidRPr="00261B7A">
              <w:rPr>
                <w:rFonts w:eastAsia="Calibri"/>
                <w:color w:val="000000"/>
              </w:rPr>
              <w:t>Methane correction factor</w:t>
            </w:r>
          </w:p>
        </w:tc>
        <w:tc>
          <w:tcPr>
            <w:tcW w:w="1085" w:type="dxa"/>
            <w:shd w:val="clear" w:color="auto" w:fill="FFFFFF"/>
            <w:tcMar>
              <w:top w:w="0" w:type="dxa"/>
              <w:left w:w="108" w:type="dxa"/>
              <w:bottom w:w="0" w:type="dxa"/>
              <w:right w:w="108" w:type="dxa"/>
            </w:tcMar>
          </w:tcPr>
          <w:p w14:paraId="7DE9D7F0" w14:textId="77777777" w:rsidR="00422EFE" w:rsidRPr="00261B7A" w:rsidRDefault="00422EFE" w:rsidP="0054663C">
            <w:pPr>
              <w:pStyle w:val="TableText"/>
              <w:spacing w:before="40" w:after="40"/>
            </w:pPr>
            <w:r w:rsidRPr="00261B7A">
              <w:rPr>
                <w:rFonts w:eastAsia="Calibri"/>
                <w:color w:val="000000"/>
              </w:rPr>
              <w:t>0.44</w:t>
            </w:r>
          </w:p>
        </w:tc>
        <w:tc>
          <w:tcPr>
            <w:tcW w:w="1466" w:type="dxa"/>
            <w:shd w:val="clear" w:color="auto" w:fill="FFFFFF"/>
            <w:tcMar>
              <w:top w:w="0" w:type="dxa"/>
              <w:left w:w="108" w:type="dxa"/>
              <w:bottom w:w="0" w:type="dxa"/>
              <w:right w:w="108" w:type="dxa"/>
            </w:tcMar>
          </w:tcPr>
          <w:p w14:paraId="0F0E04E8" w14:textId="77777777" w:rsidR="00422EFE" w:rsidRPr="00261B7A" w:rsidRDefault="00422EFE" w:rsidP="0054663C">
            <w:pPr>
              <w:pStyle w:val="TableText"/>
              <w:spacing w:before="40" w:after="40"/>
            </w:pPr>
            <w:r w:rsidRPr="00261B7A">
              <w:rPr>
                <w:rFonts w:eastAsia="Calibri"/>
                <w:color w:val="000000"/>
              </w:rPr>
              <w:t>Country specific</w:t>
            </w:r>
          </w:p>
        </w:tc>
        <w:tc>
          <w:tcPr>
            <w:tcW w:w="3827" w:type="dxa"/>
            <w:shd w:val="clear" w:color="auto" w:fill="FFFFFF"/>
            <w:tcMar>
              <w:top w:w="0" w:type="dxa"/>
              <w:left w:w="108" w:type="dxa"/>
              <w:bottom w:w="0" w:type="dxa"/>
              <w:right w:w="108" w:type="dxa"/>
            </w:tcMar>
          </w:tcPr>
          <w:p w14:paraId="27DEEF5B" w14:textId="77777777" w:rsidR="00422EFE" w:rsidRPr="00261B7A" w:rsidRDefault="00422EFE" w:rsidP="0054663C">
            <w:pPr>
              <w:pStyle w:val="TableText"/>
              <w:spacing w:before="40" w:after="40"/>
            </w:pPr>
            <w:r w:rsidRPr="00261B7A">
              <w:rPr>
                <w:rFonts w:eastAsia="Calibri"/>
                <w:color w:val="000000"/>
              </w:rPr>
              <w:t>Tonkin and Taylor Ltd (unpublished(b))</w:t>
            </w:r>
          </w:p>
        </w:tc>
      </w:tr>
      <w:tr w:rsidR="00422EFE" w:rsidRPr="00261B7A" w14:paraId="57D3B59B" w14:textId="77777777" w:rsidTr="00D41492">
        <w:tc>
          <w:tcPr>
            <w:tcW w:w="2127" w:type="dxa"/>
            <w:shd w:val="clear" w:color="auto" w:fill="FFFFFF"/>
            <w:tcMar>
              <w:top w:w="0" w:type="dxa"/>
              <w:left w:w="108" w:type="dxa"/>
              <w:bottom w:w="0" w:type="dxa"/>
              <w:right w:w="108" w:type="dxa"/>
            </w:tcMar>
          </w:tcPr>
          <w:p w14:paraId="14DBBCF3" w14:textId="77777777" w:rsidR="00422EFE" w:rsidRPr="00261B7A" w:rsidRDefault="00422EFE" w:rsidP="0054663C">
            <w:pPr>
              <w:pStyle w:val="TableText"/>
              <w:spacing w:before="40" w:after="40"/>
            </w:pPr>
            <w:r w:rsidRPr="00261B7A">
              <w:rPr>
                <w:rFonts w:eastAsia="Calibri"/>
                <w:color w:val="000000"/>
              </w:rPr>
              <w:t>DOC (kt C/kt waste)</w:t>
            </w:r>
          </w:p>
        </w:tc>
        <w:tc>
          <w:tcPr>
            <w:tcW w:w="1085" w:type="dxa"/>
            <w:shd w:val="clear" w:color="auto" w:fill="FFFFFF"/>
            <w:tcMar>
              <w:top w:w="0" w:type="dxa"/>
              <w:left w:w="108" w:type="dxa"/>
              <w:bottom w:w="0" w:type="dxa"/>
              <w:right w:w="108" w:type="dxa"/>
            </w:tcMar>
          </w:tcPr>
          <w:p w14:paraId="4CEC701F" w14:textId="77777777" w:rsidR="00422EFE" w:rsidRPr="00261B7A" w:rsidRDefault="00422EFE" w:rsidP="0054663C">
            <w:pPr>
              <w:pStyle w:val="TableText"/>
              <w:spacing w:before="40" w:after="40"/>
            </w:pPr>
            <w:r w:rsidRPr="00261B7A">
              <w:rPr>
                <w:rFonts w:eastAsia="Calibri"/>
                <w:color w:val="000000"/>
              </w:rPr>
              <w:t>0.184-0.331</w:t>
            </w:r>
          </w:p>
        </w:tc>
        <w:tc>
          <w:tcPr>
            <w:tcW w:w="1466" w:type="dxa"/>
            <w:shd w:val="clear" w:color="auto" w:fill="FFFFFF"/>
            <w:tcMar>
              <w:top w:w="0" w:type="dxa"/>
              <w:left w:w="108" w:type="dxa"/>
              <w:bottom w:w="0" w:type="dxa"/>
              <w:right w:w="108" w:type="dxa"/>
            </w:tcMar>
          </w:tcPr>
          <w:p w14:paraId="259637CB" w14:textId="77777777" w:rsidR="00422EFE" w:rsidRPr="00261B7A" w:rsidRDefault="00422EFE" w:rsidP="0054663C">
            <w:pPr>
              <w:pStyle w:val="TableText"/>
              <w:spacing w:before="40" w:after="40"/>
            </w:pPr>
            <w:r w:rsidRPr="00261B7A">
              <w:rPr>
                <w:rFonts w:eastAsia="Calibri"/>
                <w:color w:val="000000"/>
              </w:rPr>
              <w:t>Country specific</w:t>
            </w:r>
          </w:p>
        </w:tc>
        <w:tc>
          <w:tcPr>
            <w:tcW w:w="3827" w:type="dxa"/>
            <w:shd w:val="clear" w:color="auto" w:fill="FFFFFF"/>
            <w:tcMar>
              <w:top w:w="0" w:type="dxa"/>
              <w:left w:w="108" w:type="dxa"/>
              <w:bottom w:w="0" w:type="dxa"/>
              <w:right w:w="108" w:type="dxa"/>
            </w:tcMar>
          </w:tcPr>
          <w:p w14:paraId="0EE73B1E" w14:textId="77777777" w:rsidR="00422EFE" w:rsidRPr="00261B7A" w:rsidRDefault="00422EFE" w:rsidP="0054663C">
            <w:pPr>
              <w:pStyle w:val="TableText"/>
              <w:spacing w:before="40" w:after="40"/>
            </w:pPr>
            <w:r w:rsidRPr="00261B7A">
              <w:rPr>
                <w:rFonts w:eastAsia="Calibri"/>
                <w:color w:val="000000"/>
              </w:rPr>
              <w:t>GHD (2013, 2014)</w:t>
            </w:r>
          </w:p>
        </w:tc>
      </w:tr>
      <w:tr w:rsidR="00422EFE" w:rsidRPr="00261B7A" w14:paraId="702BD582" w14:textId="77777777" w:rsidTr="00D41492">
        <w:tc>
          <w:tcPr>
            <w:tcW w:w="2127" w:type="dxa"/>
            <w:shd w:val="clear" w:color="auto" w:fill="FFFFFF"/>
            <w:tcMar>
              <w:top w:w="0" w:type="dxa"/>
              <w:left w:w="108" w:type="dxa"/>
              <w:bottom w:w="0" w:type="dxa"/>
              <w:right w:w="108" w:type="dxa"/>
            </w:tcMar>
          </w:tcPr>
          <w:p w14:paraId="6FEACEA0" w14:textId="77777777" w:rsidR="00422EFE" w:rsidRPr="00261B7A" w:rsidRDefault="00422EFE" w:rsidP="006E1E67">
            <w:pPr>
              <w:pStyle w:val="TableTextBold"/>
              <w:spacing w:before="40" w:after="40"/>
              <w:rPr>
                <w:noProof w:val="0"/>
              </w:rPr>
            </w:pPr>
            <w:r w:rsidRPr="00261B7A">
              <w:rPr>
                <w:rFonts w:eastAsia="Calibri"/>
                <w:noProof w:val="0"/>
              </w:rPr>
              <w:t>All sites</w:t>
            </w:r>
          </w:p>
        </w:tc>
        <w:tc>
          <w:tcPr>
            <w:tcW w:w="1085" w:type="dxa"/>
            <w:shd w:val="clear" w:color="auto" w:fill="FFFFFF"/>
            <w:tcMar>
              <w:top w:w="0" w:type="dxa"/>
              <w:left w:w="108" w:type="dxa"/>
              <w:bottom w:w="0" w:type="dxa"/>
              <w:right w:w="108" w:type="dxa"/>
            </w:tcMar>
          </w:tcPr>
          <w:p w14:paraId="1E05CFBB" w14:textId="77777777" w:rsidR="00422EFE" w:rsidRPr="00261B7A" w:rsidRDefault="00422EFE" w:rsidP="006E1E67">
            <w:pPr>
              <w:pStyle w:val="TableTextBold"/>
              <w:spacing w:before="40" w:after="40"/>
              <w:rPr>
                <w:noProof w:val="0"/>
              </w:rPr>
            </w:pPr>
          </w:p>
        </w:tc>
        <w:tc>
          <w:tcPr>
            <w:tcW w:w="1466" w:type="dxa"/>
            <w:shd w:val="clear" w:color="auto" w:fill="FFFFFF"/>
            <w:tcMar>
              <w:top w:w="0" w:type="dxa"/>
              <w:left w:w="108" w:type="dxa"/>
              <w:bottom w:w="0" w:type="dxa"/>
              <w:right w:w="108" w:type="dxa"/>
            </w:tcMar>
          </w:tcPr>
          <w:p w14:paraId="5FFEF94C" w14:textId="77777777" w:rsidR="00422EFE" w:rsidRPr="00261B7A" w:rsidRDefault="00422EFE" w:rsidP="006E1E67">
            <w:pPr>
              <w:pStyle w:val="TableTextBold"/>
              <w:spacing w:before="40" w:after="40"/>
              <w:rPr>
                <w:noProof w:val="0"/>
              </w:rPr>
            </w:pPr>
          </w:p>
        </w:tc>
        <w:tc>
          <w:tcPr>
            <w:tcW w:w="3827" w:type="dxa"/>
            <w:shd w:val="clear" w:color="auto" w:fill="FFFFFF"/>
            <w:tcMar>
              <w:top w:w="0" w:type="dxa"/>
              <w:left w:w="108" w:type="dxa"/>
              <w:bottom w:w="0" w:type="dxa"/>
              <w:right w:w="108" w:type="dxa"/>
            </w:tcMar>
          </w:tcPr>
          <w:p w14:paraId="53AEB392" w14:textId="77777777" w:rsidR="00422EFE" w:rsidRPr="00261B7A" w:rsidRDefault="00422EFE" w:rsidP="006E1E67">
            <w:pPr>
              <w:pStyle w:val="TableTextBold"/>
              <w:spacing w:before="40" w:after="40"/>
              <w:rPr>
                <w:noProof w:val="0"/>
              </w:rPr>
            </w:pPr>
          </w:p>
        </w:tc>
      </w:tr>
      <w:tr w:rsidR="00422EFE" w:rsidRPr="00261B7A" w14:paraId="58D627DE" w14:textId="77777777" w:rsidTr="00D41492">
        <w:tc>
          <w:tcPr>
            <w:tcW w:w="2127" w:type="dxa"/>
            <w:shd w:val="clear" w:color="auto" w:fill="FFFFFF"/>
            <w:tcMar>
              <w:top w:w="0" w:type="dxa"/>
              <w:left w:w="108" w:type="dxa"/>
              <w:bottom w:w="0" w:type="dxa"/>
              <w:right w:w="108" w:type="dxa"/>
            </w:tcMar>
          </w:tcPr>
          <w:p w14:paraId="5CAAC486" w14:textId="77777777" w:rsidR="00422EFE" w:rsidRPr="00261B7A" w:rsidRDefault="00422EFE" w:rsidP="0054663C">
            <w:pPr>
              <w:pStyle w:val="TableText"/>
              <w:spacing w:before="40" w:after="40"/>
            </w:pPr>
            <w:r w:rsidRPr="00261B7A">
              <w:rPr>
                <w:rFonts w:eastAsia="Calibri"/>
                <w:color w:val="000000"/>
              </w:rPr>
              <w:t>Oxidation factor</w:t>
            </w:r>
          </w:p>
        </w:tc>
        <w:tc>
          <w:tcPr>
            <w:tcW w:w="1085" w:type="dxa"/>
            <w:shd w:val="clear" w:color="auto" w:fill="FFFFFF"/>
            <w:tcMar>
              <w:top w:w="0" w:type="dxa"/>
              <w:left w:w="108" w:type="dxa"/>
              <w:bottom w:w="0" w:type="dxa"/>
              <w:right w:w="108" w:type="dxa"/>
            </w:tcMar>
          </w:tcPr>
          <w:p w14:paraId="1E4242E4" w14:textId="77777777" w:rsidR="00422EFE" w:rsidRPr="00261B7A" w:rsidRDefault="00422EFE" w:rsidP="0054663C">
            <w:pPr>
              <w:pStyle w:val="TableText"/>
              <w:spacing w:before="40" w:after="40"/>
            </w:pPr>
            <w:r w:rsidRPr="00261B7A">
              <w:rPr>
                <w:rFonts w:eastAsia="Calibri"/>
                <w:color w:val="000000"/>
              </w:rPr>
              <w:t>0</w:t>
            </w:r>
          </w:p>
        </w:tc>
        <w:tc>
          <w:tcPr>
            <w:tcW w:w="1466" w:type="dxa"/>
            <w:shd w:val="clear" w:color="auto" w:fill="FFFFFF"/>
            <w:tcMar>
              <w:top w:w="0" w:type="dxa"/>
              <w:left w:w="108" w:type="dxa"/>
              <w:bottom w:w="0" w:type="dxa"/>
              <w:right w:w="108" w:type="dxa"/>
            </w:tcMar>
          </w:tcPr>
          <w:p w14:paraId="6F0CE21E" w14:textId="77777777" w:rsidR="00422EFE" w:rsidRPr="00261B7A" w:rsidRDefault="00422EFE" w:rsidP="0054663C">
            <w:pPr>
              <w:pStyle w:val="TableText"/>
              <w:spacing w:before="40" w:after="40"/>
            </w:pPr>
            <w:r w:rsidRPr="00261B7A">
              <w:rPr>
                <w:rFonts w:eastAsia="Calibri"/>
                <w:color w:val="000000"/>
              </w:rPr>
              <w:t>IPCC default</w:t>
            </w:r>
          </w:p>
        </w:tc>
        <w:tc>
          <w:tcPr>
            <w:tcW w:w="3827" w:type="dxa"/>
            <w:shd w:val="clear" w:color="auto" w:fill="FFFFFF"/>
            <w:tcMar>
              <w:top w:w="0" w:type="dxa"/>
              <w:left w:w="108" w:type="dxa"/>
              <w:bottom w:w="0" w:type="dxa"/>
              <w:right w:w="108" w:type="dxa"/>
            </w:tcMar>
          </w:tcPr>
          <w:p w14:paraId="5C4B8911" w14:textId="77777777" w:rsidR="00422EFE" w:rsidRPr="00261B7A" w:rsidRDefault="00422EFE" w:rsidP="0054663C">
            <w:pPr>
              <w:pStyle w:val="TableText"/>
              <w:spacing w:before="40" w:after="40"/>
            </w:pPr>
            <w:r w:rsidRPr="00261B7A">
              <w:rPr>
                <w:rFonts w:eastAsia="Calibri"/>
                <w:color w:val="000000"/>
              </w:rPr>
              <w:t>IPCC (2006a)</w:t>
            </w:r>
          </w:p>
        </w:tc>
      </w:tr>
      <w:tr w:rsidR="00422EFE" w:rsidRPr="00261B7A" w14:paraId="4329BDB6" w14:textId="77777777" w:rsidTr="00D41492">
        <w:tc>
          <w:tcPr>
            <w:tcW w:w="2127" w:type="dxa"/>
            <w:shd w:val="clear" w:color="auto" w:fill="FFFFFF"/>
            <w:tcMar>
              <w:top w:w="0" w:type="dxa"/>
              <w:left w:w="108" w:type="dxa"/>
              <w:bottom w:w="0" w:type="dxa"/>
              <w:right w:w="108" w:type="dxa"/>
            </w:tcMar>
          </w:tcPr>
          <w:p w14:paraId="2AC44F8F" w14:textId="77777777" w:rsidR="00422EFE" w:rsidRPr="00261B7A" w:rsidRDefault="00422EFE" w:rsidP="0054663C">
            <w:pPr>
              <w:pStyle w:val="TableText"/>
              <w:spacing w:before="40" w:after="40"/>
            </w:pPr>
            <w:r w:rsidRPr="00261B7A">
              <w:rPr>
                <w:rFonts w:eastAsia="Calibri"/>
                <w:color w:val="000000"/>
              </w:rPr>
              <w:t>Starting year</w:t>
            </w:r>
          </w:p>
        </w:tc>
        <w:tc>
          <w:tcPr>
            <w:tcW w:w="1085" w:type="dxa"/>
            <w:shd w:val="clear" w:color="auto" w:fill="FFFFFF"/>
            <w:tcMar>
              <w:top w:w="0" w:type="dxa"/>
              <w:left w:w="108" w:type="dxa"/>
              <w:bottom w:w="0" w:type="dxa"/>
              <w:right w:w="108" w:type="dxa"/>
            </w:tcMar>
          </w:tcPr>
          <w:p w14:paraId="482CE79B" w14:textId="77777777" w:rsidR="00422EFE" w:rsidRPr="00261B7A" w:rsidRDefault="00422EFE" w:rsidP="0054663C">
            <w:pPr>
              <w:pStyle w:val="TableText"/>
              <w:spacing w:before="40" w:after="40"/>
            </w:pPr>
            <w:r w:rsidRPr="00261B7A">
              <w:rPr>
                <w:rFonts w:eastAsia="Calibri"/>
                <w:color w:val="000000"/>
              </w:rPr>
              <w:t>1950</w:t>
            </w:r>
          </w:p>
        </w:tc>
        <w:tc>
          <w:tcPr>
            <w:tcW w:w="1466" w:type="dxa"/>
            <w:shd w:val="clear" w:color="auto" w:fill="FFFFFF"/>
            <w:tcMar>
              <w:top w:w="0" w:type="dxa"/>
              <w:left w:w="108" w:type="dxa"/>
              <w:bottom w:w="0" w:type="dxa"/>
              <w:right w:w="108" w:type="dxa"/>
            </w:tcMar>
          </w:tcPr>
          <w:p w14:paraId="7DBE0A29" w14:textId="77777777" w:rsidR="00422EFE" w:rsidRPr="00261B7A" w:rsidRDefault="00422EFE" w:rsidP="0054663C">
            <w:pPr>
              <w:pStyle w:val="TableText"/>
              <w:spacing w:before="40" w:after="40"/>
            </w:pPr>
            <w:r w:rsidRPr="00261B7A">
              <w:rPr>
                <w:rFonts w:eastAsia="Calibri"/>
                <w:color w:val="000000"/>
              </w:rPr>
              <w:t>IPCC default</w:t>
            </w:r>
          </w:p>
        </w:tc>
        <w:tc>
          <w:tcPr>
            <w:tcW w:w="3827" w:type="dxa"/>
            <w:shd w:val="clear" w:color="auto" w:fill="FFFFFF"/>
            <w:tcMar>
              <w:top w:w="0" w:type="dxa"/>
              <w:left w:w="108" w:type="dxa"/>
              <w:bottom w:w="0" w:type="dxa"/>
              <w:right w:w="108" w:type="dxa"/>
            </w:tcMar>
          </w:tcPr>
          <w:p w14:paraId="7E98B376" w14:textId="77777777" w:rsidR="00422EFE" w:rsidRPr="00261B7A" w:rsidRDefault="00422EFE" w:rsidP="0054663C">
            <w:pPr>
              <w:pStyle w:val="TableText"/>
              <w:spacing w:before="40" w:after="40"/>
            </w:pPr>
            <w:r w:rsidRPr="00261B7A">
              <w:rPr>
                <w:rFonts w:eastAsia="Calibri"/>
                <w:color w:val="000000"/>
              </w:rPr>
              <w:t>IPCC (2006a)</w:t>
            </w:r>
          </w:p>
        </w:tc>
      </w:tr>
      <w:tr w:rsidR="00422EFE" w:rsidRPr="00261B7A" w14:paraId="5E4D1B5D" w14:textId="77777777" w:rsidTr="00D41492">
        <w:tc>
          <w:tcPr>
            <w:tcW w:w="2127" w:type="dxa"/>
            <w:shd w:val="clear" w:color="auto" w:fill="FFFFFF"/>
            <w:tcMar>
              <w:top w:w="0" w:type="dxa"/>
              <w:left w:w="108" w:type="dxa"/>
              <w:bottom w:w="0" w:type="dxa"/>
              <w:right w:w="108" w:type="dxa"/>
            </w:tcMar>
          </w:tcPr>
          <w:p w14:paraId="335FD518" w14:textId="77777777" w:rsidR="00422EFE" w:rsidRPr="00261B7A" w:rsidRDefault="00422EFE" w:rsidP="0054663C">
            <w:pPr>
              <w:pStyle w:val="TableText"/>
              <w:spacing w:before="40" w:after="40"/>
            </w:pPr>
            <w:r w:rsidRPr="00261B7A">
              <w:rPr>
                <w:rFonts w:eastAsia="Calibri"/>
                <w:color w:val="000000"/>
              </w:rPr>
              <w:t>Delay time</w:t>
            </w:r>
          </w:p>
        </w:tc>
        <w:tc>
          <w:tcPr>
            <w:tcW w:w="1085" w:type="dxa"/>
            <w:shd w:val="clear" w:color="auto" w:fill="FFFFFF"/>
            <w:tcMar>
              <w:top w:w="0" w:type="dxa"/>
              <w:left w:w="108" w:type="dxa"/>
              <w:bottom w:w="0" w:type="dxa"/>
              <w:right w:w="108" w:type="dxa"/>
            </w:tcMar>
          </w:tcPr>
          <w:p w14:paraId="7E7EDBB9" w14:textId="77777777" w:rsidR="00422EFE" w:rsidRPr="00261B7A" w:rsidRDefault="00422EFE" w:rsidP="0054663C">
            <w:pPr>
              <w:pStyle w:val="TableText"/>
              <w:spacing w:before="40" w:after="40"/>
            </w:pPr>
            <w:r w:rsidRPr="00261B7A">
              <w:rPr>
                <w:rFonts w:eastAsia="Calibri"/>
                <w:color w:val="000000"/>
              </w:rPr>
              <w:t>6 months</w:t>
            </w:r>
          </w:p>
        </w:tc>
        <w:tc>
          <w:tcPr>
            <w:tcW w:w="1466" w:type="dxa"/>
            <w:shd w:val="clear" w:color="auto" w:fill="FFFFFF"/>
            <w:tcMar>
              <w:top w:w="0" w:type="dxa"/>
              <w:left w:w="108" w:type="dxa"/>
              <w:bottom w:w="0" w:type="dxa"/>
              <w:right w:w="108" w:type="dxa"/>
            </w:tcMar>
          </w:tcPr>
          <w:p w14:paraId="63C03886" w14:textId="77777777" w:rsidR="00422EFE" w:rsidRPr="00261B7A" w:rsidRDefault="00422EFE" w:rsidP="0054663C">
            <w:pPr>
              <w:pStyle w:val="TableText"/>
              <w:spacing w:before="40" w:after="40"/>
            </w:pPr>
            <w:r w:rsidRPr="00261B7A">
              <w:rPr>
                <w:rFonts w:eastAsia="Calibri"/>
                <w:color w:val="000000"/>
              </w:rPr>
              <w:t>IPCC default</w:t>
            </w:r>
          </w:p>
        </w:tc>
        <w:tc>
          <w:tcPr>
            <w:tcW w:w="3827" w:type="dxa"/>
            <w:shd w:val="clear" w:color="auto" w:fill="FFFFFF"/>
            <w:tcMar>
              <w:top w:w="0" w:type="dxa"/>
              <w:left w:w="108" w:type="dxa"/>
              <w:bottom w:w="0" w:type="dxa"/>
              <w:right w:w="108" w:type="dxa"/>
            </w:tcMar>
          </w:tcPr>
          <w:p w14:paraId="6045514F" w14:textId="77777777" w:rsidR="00422EFE" w:rsidRPr="00261B7A" w:rsidRDefault="00422EFE" w:rsidP="0054663C">
            <w:pPr>
              <w:pStyle w:val="TableText"/>
              <w:spacing w:before="40" w:after="40"/>
            </w:pPr>
            <w:r w:rsidRPr="00261B7A">
              <w:rPr>
                <w:rFonts w:eastAsia="Calibri"/>
                <w:color w:val="000000"/>
              </w:rPr>
              <w:t>IPCC (2006a)</w:t>
            </w:r>
          </w:p>
        </w:tc>
      </w:tr>
      <w:tr w:rsidR="00422EFE" w:rsidRPr="00261B7A" w14:paraId="36A8117A" w14:textId="77777777" w:rsidTr="00D41492">
        <w:tc>
          <w:tcPr>
            <w:tcW w:w="2127" w:type="dxa"/>
            <w:shd w:val="clear" w:color="auto" w:fill="FFFFFF"/>
            <w:tcMar>
              <w:top w:w="0" w:type="dxa"/>
              <w:left w:w="108" w:type="dxa"/>
              <w:bottom w:w="0" w:type="dxa"/>
              <w:right w:w="108" w:type="dxa"/>
            </w:tcMar>
          </w:tcPr>
          <w:p w14:paraId="4F1FAC8E" w14:textId="77777777" w:rsidR="00422EFE" w:rsidRPr="00261B7A" w:rsidRDefault="00422EFE" w:rsidP="0054663C">
            <w:pPr>
              <w:pStyle w:val="TableText"/>
              <w:spacing w:before="40" w:after="40"/>
            </w:pPr>
            <w:r w:rsidRPr="00261B7A">
              <w:rPr>
                <w:rFonts w:eastAsia="Calibri"/>
                <w:color w:val="000000"/>
              </w:rPr>
              <w:t>Fraction of DOC that decomposes</w:t>
            </w:r>
          </w:p>
        </w:tc>
        <w:tc>
          <w:tcPr>
            <w:tcW w:w="1085" w:type="dxa"/>
            <w:shd w:val="clear" w:color="auto" w:fill="FFFFFF"/>
            <w:tcMar>
              <w:top w:w="0" w:type="dxa"/>
              <w:left w:w="108" w:type="dxa"/>
              <w:bottom w:w="0" w:type="dxa"/>
              <w:right w:w="108" w:type="dxa"/>
            </w:tcMar>
          </w:tcPr>
          <w:p w14:paraId="0D2BA166" w14:textId="77777777" w:rsidR="00422EFE" w:rsidRPr="00261B7A" w:rsidRDefault="00422EFE" w:rsidP="0054663C">
            <w:pPr>
              <w:pStyle w:val="TableText"/>
              <w:spacing w:before="40" w:after="40"/>
            </w:pPr>
            <w:r w:rsidRPr="00261B7A">
              <w:rPr>
                <w:rFonts w:eastAsia="Calibri"/>
                <w:color w:val="000000"/>
              </w:rPr>
              <w:t>0.5</w:t>
            </w:r>
          </w:p>
        </w:tc>
        <w:tc>
          <w:tcPr>
            <w:tcW w:w="1466" w:type="dxa"/>
            <w:shd w:val="clear" w:color="auto" w:fill="FFFFFF"/>
            <w:tcMar>
              <w:top w:w="0" w:type="dxa"/>
              <w:left w:w="108" w:type="dxa"/>
              <w:bottom w:w="0" w:type="dxa"/>
              <w:right w:w="108" w:type="dxa"/>
            </w:tcMar>
          </w:tcPr>
          <w:p w14:paraId="5DDB896A" w14:textId="77777777" w:rsidR="00422EFE" w:rsidRPr="00261B7A" w:rsidRDefault="00422EFE" w:rsidP="0054663C">
            <w:pPr>
              <w:pStyle w:val="TableText"/>
              <w:spacing w:before="40" w:after="40"/>
            </w:pPr>
            <w:r w:rsidRPr="00261B7A">
              <w:rPr>
                <w:rFonts w:eastAsia="Calibri"/>
                <w:color w:val="000000"/>
              </w:rPr>
              <w:t>IPCC default</w:t>
            </w:r>
          </w:p>
        </w:tc>
        <w:tc>
          <w:tcPr>
            <w:tcW w:w="3827" w:type="dxa"/>
            <w:shd w:val="clear" w:color="auto" w:fill="FFFFFF"/>
            <w:tcMar>
              <w:top w:w="0" w:type="dxa"/>
              <w:left w:w="108" w:type="dxa"/>
              <w:bottom w:w="0" w:type="dxa"/>
              <w:right w:w="108" w:type="dxa"/>
            </w:tcMar>
          </w:tcPr>
          <w:p w14:paraId="4A338CA9" w14:textId="77777777" w:rsidR="00422EFE" w:rsidRPr="00261B7A" w:rsidRDefault="00422EFE" w:rsidP="0054663C">
            <w:pPr>
              <w:pStyle w:val="TableText"/>
              <w:spacing w:before="40" w:after="40"/>
            </w:pPr>
            <w:r w:rsidRPr="00261B7A">
              <w:rPr>
                <w:rFonts w:eastAsia="Calibri"/>
                <w:color w:val="000000"/>
              </w:rPr>
              <w:t>IPCC (2006a)</w:t>
            </w:r>
          </w:p>
        </w:tc>
      </w:tr>
      <w:tr w:rsidR="00422EFE" w:rsidRPr="00261B7A" w14:paraId="7C6D5142" w14:textId="77777777" w:rsidTr="00D41492">
        <w:tc>
          <w:tcPr>
            <w:tcW w:w="2127" w:type="dxa"/>
            <w:shd w:val="clear" w:color="auto" w:fill="FFFFFF"/>
            <w:tcMar>
              <w:top w:w="0" w:type="dxa"/>
              <w:left w:w="108" w:type="dxa"/>
              <w:bottom w:w="0" w:type="dxa"/>
              <w:right w:w="108" w:type="dxa"/>
            </w:tcMar>
          </w:tcPr>
          <w:p w14:paraId="68B3463E" w14:textId="77777777" w:rsidR="00422EFE" w:rsidRPr="00261B7A" w:rsidRDefault="00422EFE" w:rsidP="0054663C">
            <w:pPr>
              <w:pStyle w:val="TableText"/>
              <w:spacing w:before="40" w:after="40"/>
            </w:pPr>
            <w:r w:rsidRPr="00261B7A">
              <w:rPr>
                <w:rFonts w:eastAsia="Calibri"/>
                <w:color w:val="000000"/>
              </w:rPr>
              <w:t>Fraction of CH₄ in gas</w:t>
            </w:r>
          </w:p>
        </w:tc>
        <w:tc>
          <w:tcPr>
            <w:tcW w:w="1085" w:type="dxa"/>
            <w:shd w:val="clear" w:color="auto" w:fill="FFFFFF"/>
            <w:tcMar>
              <w:top w:w="0" w:type="dxa"/>
              <w:left w:w="108" w:type="dxa"/>
              <w:bottom w:w="0" w:type="dxa"/>
              <w:right w:w="108" w:type="dxa"/>
            </w:tcMar>
          </w:tcPr>
          <w:p w14:paraId="409A98F5" w14:textId="77777777" w:rsidR="00422EFE" w:rsidRPr="00261B7A" w:rsidRDefault="00422EFE" w:rsidP="0054663C">
            <w:pPr>
              <w:pStyle w:val="TableText"/>
              <w:spacing w:before="40" w:after="40"/>
            </w:pPr>
            <w:r w:rsidRPr="00261B7A">
              <w:rPr>
                <w:rFonts w:eastAsia="Calibri"/>
                <w:color w:val="000000"/>
              </w:rPr>
              <w:t>0.5</w:t>
            </w:r>
          </w:p>
        </w:tc>
        <w:tc>
          <w:tcPr>
            <w:tcW w:w="1466" w:type="dxa"/>
            <w:shd w:val="clear" w:color="auto" w:fill="FFFFFF"/>
            <w:tcMar>
              <w:top w:w="0" w:type="dxa"/>
              <w:left w:w="108" w:type="dxa"/>
              <w:bottom w:w="0" w:type="dxa"/>
              <w:right w:w="108" w:type="dxa"/>
            </w:tcMar>
          </w:tcPr>
          <w:p w14:paraId="05EAC015" w14:textId="77777777" w:rsidR="00422EFE" w:rsidRPr="00261B7A" w:rsidRDefault="00422EFE" w:rsidP="0054663C">
            <w:pPr>
              <w:pStyle w:val="TableText"/>
              <w:spacing w:before="40" w:after="40"/>
            </w:pPr>
            <w:r w:rsidRPr="00261B7A">
              <w:rPr>
                <w:rFonts w:eastAsia="Calibri"/>
                <w:color w:val="000000"/>
              </w:rPr>
              <w:t>IPCC default</w:t>
            </w:r>
          </w:p>
        </w:tc>
        <w:tc>
          <w:tcPr>
            <w:tcW w:w="3827" w:type="dxa"/>
            <w:shd w:val="clear" w:color="auto" w:fill="FFFFFF"/>
            <w:tcMar>
              <w:top w:w="0" w:type="dxa"/>
              <w:left w:w="108" w:type="dxa"/>
              <w:bottom w:w="0" w:type="dxa"/>
              <w:right w:w="108" w:type="dxa"/>
            </w:tcMar>
          </w:tcPr>
          <w:p w14:paraId="19D78746" w14:textId="77777777" w:rsidR="00422EFE" w:rsidRPr="00261B7A" w:rsidRDefault="00422EFE" w:rsidP="0054663C">
            <w:pPr>
              <w:pStyle w:val="TableText"/>
              <w:spacing w:before="40" w:after="40"/>
            </w:pPr>
            <w:r w:rsidRPr="00261B7A">
              <w:rPr>
                <w:rFonts w:eastAsia="Calibri"/>
                <w:color w:val="000000"/>
              </w:rPr>
              <w:t>IPCC (2006a)</w:t>
            </w:r>
          </w:p>
        </w:tc>
      </w:tr>
    </w:tbl>
    <w:p w14:paraId="08D34019" w14:textId="77777777" w:rsidR="00422EFE" w:rsidRPr="00261B7A" w:rsidRDefault="00422EFE" w:rsidP="00422EFE">
      <w:pPr>
        <w:pStyle w:val="Noteundertable"/>
      </w:pPr>
      <w:r w:rsidRPr="00261B7A">
        <w:rPr>
          <w:b/>
          <w:bCs/>
        </w:rPr>
        <w:t>Note:</w:t>
      </w:r>
      <w:r w:rsidRPr="00261B7A">
        <w:t xml:space="preserve"> </w:t>
      </w:r>
      <w:r w:rsidRPr="00261B7A">
        <w:tab/>
        <w:t>DOC = degradable organic carbon.</w:t>
      </w:r>
    </w:p>
    <w:p w14:paraId="2B4EC0F2" w14:textId="77777777" w:rsidR="00422EFE" w:rsidRPr="00261B7A" w:rsidRDefault="00422EFE" w:rsidP="00422EFE">
      <w:pPr>
        <w:pStyle w:val="Heading3"/>
      </w:pPr>
      <w:bookmarkStart w:id="2485" w:name="X6635123360185df853d6a54f453c915df67c336"/>
      <w:bookmarkEnd w:id="2453"/>
      <w:bookmarkEnd w:id="2466"/>
      <w:bookmarkEnd w:id="2479"/>
      <w:bookmarkEnd w:id="2482"/>
      <w:r w:rsidRPr="00261B7A">
        <w:t xml:space="preserve">7.2.3 </w:t>
      </w:r>
      <w:r w:rsidRPr="00261B7A">
        <w:tab/>
        <w:t>Uncertainties and time-series consistency</w:t>
      </w:r>
    </w:p>
    <w:p w14:paraId="074CD0CB" w14:textId="77777777" w:rsidR="00422EFE" w:rsidRPr="00261B7A" w:rsidRDefault="00422EFE" w:rsidP="00422EFE">
      <w:pPr>
        <w:pStyle w:val="Heading4"/>
      </w:pPr>
      <w:bookmarkStart w:id="2486" w:name="uncertainties-1"/>
      <w:r w:rsidRPr="00261B7A">
        <w:t>Uncertainties</w:t>
      </w:r>
    </w:p>
    <w:p w14:paraId="28F2BD29" w14:textId="77777777" w:rsidR="00422EFE" w:rsidRPr="00261B7A" w:rsidRDefault="00422EFE" w:rsidP="00422EFE">
      <w:pPr>
        <w:pStyle w:val="BodyText"/>
      </w:pPr>
      <w:r w:rsidRPr="00261B7A">
        <w:t xml:space="preserve">For emission factors and activity data used for most of the </w:t>
      </w:r>
      <w:r w:rsidRPr="00261B7A">
        <w:rPr>
          <w:i/>
          <w:iCs/>
        </w:rPr>
        <w:t>Solid waste disposal</w:t>
      </w:r>
      <w:r w:rsidRPr="00261B7A">
        <w:t xml:space="preserve"> category, the uncertainty estimate is ±40 per cent (see table 7.2.9). This is consistent with the estimates provided in the 2006 IPCC Guidelines (IPCC, 2006a).</w:t>
      </w:r>
    </w:p>
    <w:p w14:paraId="034F9754" w14:textId="77777777" w:rsidR="00422EFE" w:rsidRPr="00261B7A" w:rsidRDefault="00422EFE" w:rsidP="00422EFE">
      <w:pPr>
        <w:pStyle w:val="BodyText"/>
      </w:pPr>
      <w:r w:rsidRPr="00261B7A">
        <w:t>For managed municipal landfills, the emission factor uncertainty is set at this level because, while better-quality parameters are used in this category, most of the parameters are based on international data and are not site-specific.</w:t>
      </w:r>
    </w:p>
    <w:p w14:paraId="1F6D254B" w14:textId="77777777" w:rsidR="00422EFE" w:rsidRPr="00261B7A" w:rsidRDefault="00422EFE" w:rsidP="00422EFE">
      <w:pPr>
        <w:pStyle w:val="BodyText"/>
      </w:pPr>
      <w:r w:rsidRPr="00261B7A">
        <w:t>For non-municipal landfills and farm fills, the uncertainty in activity data is estimated to be ±140 per cent. Information on the amount of waste placed in these sites is very limited, given the nature of the management of such fills.</w:t>
      </w:r>
    </w:p>
    <w:p w14:paraId="393C756E" w14:textId="77777777" w:rsidR="00422EFE" w:rsidRPr="00261B7A" w:rsidRDefault="00422EFE" w:rsidP="00422EFE">
      <w:pPr>
        <w:pStyle w:val="BodyText"/>
      </w:pPr>
      <w:r w:rsidRPr="00261B7A">
        <w:t>The overall uncertainty in activity data for solid waste disposal is calculated using Approach 1 for adding uncertainties together. The overall uncertainty in emission factor is set the same as the uncertainty for the underlying categories because they are consistent.</w:t>
      </w:r>
    </w:p>
    <w:p w14:paraId="5F71DCDE" w14:textId="77777777" w:rsidR="00422EFE" w:rsidRPr="00261B7A" w:rsidRDefault="00422EFE" w:rsidP="00422EFE">
      <w:pPr>
        <w:pStyle w:val="Table"/>
      </w:pPr>
      <w:bookmarkStart w:id="2487" w:name="_Toc128383670"/>
      <w:bookmarkStart w:id="2488" w:name="_Toc131591443"/>
      <w:r w:rsidRPr="00261B7A">
        <w:t xml:space="preserve">Table 7.2.9 </w:t>
      </w:r>
      <w:r w:rsidRPr="00261B7A">
        <w:tab/>
        <w:t xml:space="preserve">Uncertainty in emissions from </w:t>
      </w:r>
      <w:r w:rsidRPr="00261B7A">
        <w:rPr>
          <w:i/>
          <w:iCs/>
        </w:rPr>
        <w:t>Solid waste disposal</w:t>
      </w:r>
      <w:bookmarkEnd w:id="2487"/>
      <w:bookmarkEnd w:id="2488"/>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964"/>
        <w:gridCol w:w="2620"/>
        <w:gridCol w:w="2921"/>
      </w:tblGrid>
      <w:tr w:rsidR="00422EFE" w:rsidRPr="00261B7A" w14:paraId="6AB54C06" w14:textId="77777777" w:rsidTr="00D41492">
        <w:trPr>
          <w:tblHeader/>
        </w:trPr>
        <w:tc>
          <w:tcPr>
            <w:tcW w:w="0" w:type="auto"/>
            <w:shd w:val="clear" w:color="auto" w:fill="1B556B"/>
            <w:tcMar>
              <w:top w:w="0" w:type="dxa"/>
              <w:left w:w="108" w:type="dxa"/>
              <w:bottom w:w="0" w:type="dxa"/>
              <w:right w:w="108" w:type="dxa"/>
            </w:tcMar>
          </w:tcPr>
          <w:p w14:paraId="2E331DAC"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Emissions category</w:t>
            </w:r>
          </w:p>
        </w:tc>
        <w:tc>
          <w:tcPr>
            <w:tcW w:w="0" w:type="auto"/>
            <w:shd w:val="clear" w:color="auto" w:fill="1B556B"/>
            <w:tcMar>
              <w:top w:w="0" w:type="dxa"/>
              <w:left w:w="108" w:type="dxa"/>
              <w:bottom w:w="0" w:type="dxa"/>
              <w:right w:w="108" w:type="dxa"/>
            </w:tcMar>
          </w:tcPr>
          <w:p w14:paraId="7A060DF9"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Uncertainty in activity data (%)</w:t>
            </w:r>
          </w:p>
        </w:tc>
        <w:tc>
          <w:tcPr>
            <w:tcW w:w="0" w:type="auto"/>
            <w:shd w:val="clear" w:color="auto" w:fill="1B556B"/>
            <w:tcMar>
              <w:top w:w="0" w:type="dxa"/>
              <w:left w:w="108" w:type="dxa"/>
              <w:bottom w:w="0" w:type="dxa"/>
              <w:right w:w="108" w:type="dxa"/>
            </w:tcMar>
          </w:tcPr>
          <w:p w14:paraId="5552F607" w14:textId="77777777" w:rsidR="00422EFE" w:rsidRPr="00261B7A" w:rsidRDefault="00422EFE" w:rsidP="0054663C">
            <w:pPr>
              <w:pStyle w:val="TableText"/>
              <w:spacing w:before="40" w:after="40"/>
              <w:rPr>
                <w:b/>
                <w:bCs/>
                <w:color w:val="FFFFFF" w:themeColor="background1"/>
              </w:rPr>
            </w:pPr>
            <w:r w:rsidRPr="00261B7A">
              <w:rPr>
                <w:rFonts w:eastAsia="Calibri"/>
                <w:b/>
                <w:bCs/>
                <w:color w:val="FFFFFF" w:themeColor="background1"/>
              </w:rPr>
              <w:t>Uncertainty in emission factors (%)</w:t>
            </w:r>
          </w:p>
        </w:tc>
      </w:tr>
      <w:tr w:rsidR="00422EFE" w:rsidRPr="00261B7A" w14:paraId="3E2A6058" w14:textId="77777777" w:rsidTr="00D41492">
        <w:tc>
          <w:tcPr>
            <w:tcW w:w="0" w:type="auto"/>
            <w:shd w:val="clear" w:color="auto" w:fill="FFFFFF"/>
            <w:tcMar>
              <w:top w:w="0" w:type="dxa"/>
              <w:left w:w="108" w:type="dxa"/>
              <w:bottom w:w="0" w:type="dxa"/>
              <w:right w:w="108" w:type="dxa"/>
            </w:tcMar>
          </w:tcPr>
          <w:p w14:paraId="48326815" w14:textId="77777777" w:rsidR="00422EFE" w:rsidRPr="00261B7A" w:rsidRDefault="00422EFE" w:rsidP="0054663C">
            <w:pPr>
              <w:pStyle w:val="TableText"/>
              <w:spacing w:before="40" w:after="40"/>
            </w:pPr>
            <w:r w:rsidRPr="00261B7A">
              <w:rPr>
                <w:rFonts w:eastAsia="Calibri"/>
                <w:color w:val="000000"/>
              </w:rPr>
              <w:t>Managed landfills</w:t>
            </w:r>
          </w:p>
        </w:tc>
        <w:tc>
          <w:tcPr>
            <w:tcW w:w="0" w:type="auto"/>
            <w:shd w:val="clear" w:color="auto" w:fill="FFFFFF"/>
            <w:tcMar>
              <w:top w:w="0" w:type="dxa"/>
              <w:left w:w="108" w:type="dxa"/>
              <w:bottom w:w="0" w:type="dxa"/>
              <w:right w:w="108" w:type="dxa"/>
            </w:tcMar>
          </w:tcPr>
          <w:p w14:paraId="50CFC8AB" w14:textId="77777777" w:rsidR="00422EFE" w:rsidRPr="00261B7A" w:rsidRDefault="00422EFE" w:rsidP="0054663C">
            <w:pPr>
              <w:pStyle w:val="TableText"/>
              <w:spacing w:before="40" w:after="40"/>
            </w:pPr>
            <w:r w:rsidRPr="00261B7A">
              <w:rPr>
                <w:rFonts w:eastAsia="Calibri"/>
                <w:color w:val="000000"/>
              </w:rPr>
              <w:t>±40</w:t>
            </w:r>
          </w:p>
        </w:tc>
        <w:tc>
          <w:tcPr>
            <w:tcW w:w="0" w:type="auto"/>
            <w:shd w:val="clear" w:color="auto" w:fill="FFFFFF"/>
            <w:tcMar>
              <w:top w:w="0" w:type="dxa"/>
              <w:left w:w="108" w:type="dxa"/>
              <w:bottom w:w="0" w:type="dxa"/>
              <w:right w:w="108" w:type="dxa"/>
            </w:tcMar>
          </w:tcPr>
          <w:p w14:paraId="4E521632" w14:textId="77777777" w:rsidR="00422EFE" w:rsidRPr="00261B7A" w:rsidRDefault="00422EFE" w:rsidP="0054663C">
            <w:pPr>
              <w:pStyle w:val="TableText"/>
              <w:spacing w:before="40" w:after="40"/>
            </w:pPr>
            <w:r w:rsidRPr="00261B7A">
              <w:rPr>
                <w:rFonts w:eastAsia="Calibri"/>
                <w:color w:val="000000"/>
              </w:rPr>
              <w:t>±40</w:t>
            </w:r>
          </w:p>
        </w:tc>
      </w:tr>
      <w:tr w:rsidR="00422EFE" w:rsidRPr="00261B7A" w14:paraId="54D5E54E" w14:textId="77777777" w:rsidTr="00D41492">
        <w:tc>
          <w:tcPr>
            <w:tcW w:w="0" w:type="auto"/>
            <w:shd w:val="clear" w:color="auto" w:fill="FFFFFF"/>
            <w:tcMar>
              <w:top w:w="0" w:type="dxa"/>
              <w:left w:w="108" w:type="dxa"/>
              <w:bottom w:w="0" w:type="dxa"/>
              <w:right w:w="108" w:type="dxa"/>
            </w:tcMar>
          </w:tcPr>
          <w:p w14:paraId="7ABEE42F" w14:textId="77777777" w:rsidR="00422EFE" w:rsidRPr="00261B7A" w:rsidRDefault="00422EFE" w:rsidP="0054663C">
            <w:pPr>
              <w:pStyle w:val="TableText"/>
              <w:spacing w:before="40" w:after="40"/>
            </w:pPr>
            <w:r w:rsidRPr="00261B7A">
              <w:rPr>
                <w:rFonts w:eastAsia="Calibri"/>
                <w:color w:val="000000"/>
              </w:rPr>
              <w:t>Unmanaged landfills</w:t>
            </w:r>
          </w:p>
        </w:tc>
        <w:tc>
          <w:tcPr>
            <w:tcW w:w="0" w:type="auto"/>
            <w:shd w:val="clear" w:color="auto" w:fill="FFFFFF"/>
            <w:tcMar>
              <w:top w:w="0" w:type="dxa"/>
              <w:left w:w="108" w:type="dxa"/>
              <w:bottom w:w="0" w:type="dxa"/>
              <w:right w:w="108" w:type="dxa"/>
            </w:tcMar>
          </w:tcPr>
          <w:p w14:paraId="0844E593" w14:textId="77777777" w:rsidR="00422EFE" w:rsidRPr="00261B7A" w:rsidRDefault="00422EFE" w:rsidP="0054663C">
            <w:pPr>
              <w:pStyle w:val="TableText"/>
              <w:spacing w:before="40" w:after="40"/>
            </w:pPr>
            <w:r w:rsidRPr="00261B7A">
              <w:rPr>
                <w:rFonts w:eastAsia="Calibri"/>
                <w:color w:val="000000"/>
              </w:rPr>
              <w:t>±140</w:t>
            </w:r>
          </w:p>
        </w:tc>
        <w:tc>
          <w:tcPr>
            <w:tcW w:w="0" w:type="auto"/>
            <w:shd w:val="clear" w:color="auto" w:fill="FFFFFF"/>
            <w:tcMar>
              <w:top w:w="0" w:type="dxa"/>
              <w:left w:w="108" w:type="dxa"/>
              <w:bottom w:w="0" w:type="dxa"/>
              <w:right w:w="108" w:type="dxa"/>
            </w:tcMar>
          </w:tcPr>
          <w:p w14:paraId="5627EDAD" w14:textId="77777777" w:rsidR="00422EFE" w:rsidRPr="00261B7A" w:rsidRDefault="00422EFE" w:rsidP="0054663C">
            <w:pPr>
              <w:pStyle w:val="TableText"/>
              <w:spacing w:before="40" w:after="40"/>
            </w:pPr>
            <w:r w:rsidRPr="00261B7A">
              <w:rPr>
                <w:rFonts w:eastAsia="Calibri"/>
                <w:color w:val="000000"/>
              </w:rPr>
              <w:t>±40</w:t>
            </w:r>
          </w:p>
        </w:tc>
      </w:tr>
      <w:tr w:rsidR="00422EFE" w:rsidRPr="00261B7A" w14:paraId="2F0ED623" w14:textId="77777777" w:rsidTr="00D41492">
        <w:tc>
          <w:tcPr>
            <w:tcW w:w="0" w:type="auto"/>
            <w:shd w:val="clear" w:color="auto" w:fill="FFFFFF"/>
            <w:tcMar>
              <w:top w:w="0" w:type="dxa"/>
              <w:left w:w="108" w:type="dxa"/>
              <w:bottom w:w="0" w:type="dxa"/>
              <w:right w:w="108" w:type="dxa"/>
            </w:tcMar>
          </w:tcPr>
          <w:p w14:paraId="2CCACAE9" w14:textId="77777777" w:rsidR="00422EFE" w:rsidRPr="00261B7A" w:rsidRDefault="00422EFE" w:rsidP="0054663C">
            <w:pPr>
              <w:pStyle w:val="TableText"/>
              <w:spacing w:before="40" w:after="40"/>
            </w:pPr>
            <w:r w:rsidRPr="00261B7A">
              <w:rPr>
                <w:rFonts w:eastAsia="Calibri"/>
                <w:color w:val="000000"/>
              </w:rPr>
              <w:t>Uncategorised landfills</w:t>
            </w:r>
          </w:p>
        </w:tc>
        <w:tc>
          <w:tcPr>
            <w:tcW w:w="0" w:type="auto"/>
            <w:shd w:val="clear" w:color="auto" w:fill="FFFFFF"/>
            <w:tcMar>
              <w:top w:w="0" w:type="dxa"/>
              <w:left w:w="108" w:type="dxa"/>
              <w:bottom w:w="0" w:type="dxa"/>
              <w:right w:w="108" w:type="dxa"/>
            </w:tcMar>
          </w:tcPr>
          <w:p w14:paraId="7AD723DC" w14:textId="77777777" w:rsidR="00422EFE" w:rsidRPr="00261B7A" w:rsidRDefault="00422EFE" w:rsidP="0054663C">
            <w:pPr>
              <w:pStyle w:val="TableText"/>
              <w:spacing w:before="40" w:after="40"/>
            </w:pPr>
            <w:r w:rsidRPr="00261B7A">
              <w:rPr>
                <w:rFonts w:eastAsia="Calibri"/>
                <w:color w:val="000000"/>
              </w:rPr>
              <w:t>±40</w:t>
            </w:r>
          </w:p>
        </w:tc>
        <w:tc>
          <w:tcPr>
            <w:tcW w:w="0" w:type="auto"/>
            <w:shd w:val="clear" w:color="auto" w:fill="FFFFFF"/>
            <w:tcMar>
              <w:top w:w="0" w:type="dxa"/>
              <w:left w:w="108" w:type="dxa"/>
              <w:bottom w:w="0" w:type="dxa"/>
              <w:right w:w="108" w:type="dxa"/>
            </w:tcMar>
          </w:tcPr>
          <w:p w14:paraId="2A87993F" w14:textId="77777777" w:rsidR="00422EFE" w:rsidRPr="00261B7A" w:rsidRDefault="00422EFE" w:rsidP="0054663C">
            <w:pPr>
              <w:pStyle w:val="TableText"/>
              <w:spacing w:before="40" w:after="40"/>
            </w:pPr>
            <w:r w:rsidRPr="00261B7A">
              <w:rPr>
                <w:rFonts w:eastAsia="Calibri"/>
                <w:color w:val="000000"/>
              </w:rPr>
              <w:t>±40</w:t>
            </w:r>
          </w:p>
        </w:tc>
      </w:tr>
      <w:tr w:rsidR="00422EFE" w:rsidRPr="00261B7A" w14:paraId="7B511C51" w14:textId="77777777" w:rsidTr="00D41492">
        <w:tc>
          <w:tcPr>
            <w:tcW w:w="0" w:type="auto"/>
            <w:shd w:val="clear" w:color="auto" w:fill="FFFFFF"/>
            <w:tcMar>
              <w:top w:w="0" w:type="dxa"/>
              <w:left w:w="108" w:type="dxa"/>
              <w:bottom w:w="0" w:type="dxa"/>
              <w:right w:w="108" w:type="dxa"/>
            </w:tcMar>
          </w:tcPr>
          <w:p w14:paraId="6739C4CB" w14:textId="77777777" w:rsidR="00422EFE" w:rsidRPr="00261B7A" w:rsidRDefault="00422EFE" w:rsidP="00B81845">
            <w:pPr>
              <w:pStyle w:val="TableText"/>
              <w:spacing w:before="40" w:after="40"/>
            </w:pPr>
            <w:r w:rsidRPr="00261B7A">
              <w:rPr>
                <w:rFonts w:eastAsia="Calibri"/>
              </w:rPr>
              <w:t>Overall uncertainty in CH₄ emissions</w:t>
            </w:r>
          </w:p>
        </w:tc>
        <w:tc>
          <w:tcPr>
            <w:tcW w:w="0" w:type="auto"/>
            <w:shd w:val="clear" w:color="auto" w:fill="FFFFFF"/>
            <w:tcMar>
              <w:top w:w="0" w:type="dxa"/>
              <w:left w:w="108" w:type="dxa"/>
              <w:bottom w:w="0" w:type="dxa"/>
              <w:right w:w="108" w:type="dxa"/>
            </w:tcMar>
          </w:tcPr>
          <w:p w14:paraId="2E3F95E9" w14:textId="77777777" w:rsidR="00422EFE" w:rsidRPr="00261B7A" w:rsidRDefault="00422EFE" w:rsidP="00B81845">
            <w:pPr>
              <w:pStyle w:val="TableText"/>
              <w:spacing w:before="40" w:after="40"/>
            </w:pPr>
            <w:r w:rsidRPr="00261B7A">
              <w:rPr>
                <w:rFonts w:eastAsia="Calibri"/>
              </w:rPr>
              <w:t>±87</w:t>
            </w:r>
          </w:p>
        </w:tc>
        <w:tc>
          <w:tcPr>
            <w:tcW w:w="0" w:type="auto"/>
            <w:shd w:val="clear" w:color="auto" w:fill="FFFFFF"/>
            <w:tcMar>
              <w:top w:w="0" w:type="dxa"/>
              <w:left w:w="108" w:type="dxa"/>
              <w:bottom w:w="0" w:type="dxa"/>
              <w:right w:w="108" w:type="dxa"/>
            </w:tcMar>
          </w:tcPr>
          <w:p w14:paraId="5866D047" w14:textId="77777777" w:rsidR="00422EFE" w:rsidRPr="00261B7A" w:rsidRDefault="00422EFE" w:rsidP="00B81845">
            <w:pPr>
              <w:pStyle w:val="TableText"/>
              <w:spacing w:before="40" w:after="40"/>
            </w:pPr>
            <w:r w:rsidRPr="00261B7A">
              <w:rPr>
                <w:rFonts w:eastAsia="Calibri"/>
              </w:rPr>
              <w:t>±40</w:t>
            </w:r>
          </w:p>
        </w:tc>
      </w:tr>
    </w:tbl>
    <w:p w14:paraId="71B8382C" w14:textId="77777777" w:rsidR="00422EFE" w:rsidRPr="00261B7A" w:rsidRDefault="00422EFE" w:rsidP="00422EFE">
      <w:pPr>
        <w:pStyle w:val="Heading4"/>
      </w:pPr>
      <w:bookmarkStart w:id="2489" w:name="time-series-consistency"/>
      <w:bookmarkEnd w:id="2486"/>
      <w:r w:rsidRPr="00261B7A">
        <w:t>Time-series consistency</w:t>
      </w:r>
    </w:p>
    <w:p w14:paraId="434FEDCA" w14:textId="77777777" w:rsidR="00422EFE" w:rsidRPr="00261B7A" w:rsidRDefault="00422EFE" w:rsidP="00422EFE">
      <w:pPr>
        <w:pStyle w:val="BodyText"/>
      </w:pPr>
      <w:r w:rsidRPr="00261B7A">
        <w:t xml:space="preserve">As a result of substantial changes in waste disposal practices over time, the basis for calculating emissions has changed significantly. Notable changes include closure of the majority of landfill sites that were operating in 1990, the move to waste levy and NZ ETS reporting, and the ongoing improvement in the quality and completeness of activity data for </w:t>
      </w:r>
      <w:r w:rsidRPr="00261B7A">
        <w:rPr>
          <w:i/>
          <w:iCs/>
        </w:rPr>
        <w:t>Solid waste disposal</w:t>
      </w:r>
      <w:r w:rsidRPr="00261B7A">
        <w:t>. These changes have occurred gradually and affect CH</w:t>
      </w:r>
      <w:r w:rsidRPr="00261B7A">
        <w:rPr>
          <w:vertAlign w:val="subscript"/>
        </w:rPr>
        <w:t>4</w:t>
      </w:r>
      <w:r w:rsidRPr="00261B7A">
        <w:t xml:space="preserve"> emissions over a long period of time. Therefore, there is little effect on the apparent consistency of data or the implied emission factors.</w:t>
      </w:r>
    </w:p>
    <w:p w14:paraId="6C623752" w14:textId="77777777" w:rsidR="00422EFE" w:rsidRPr="00261B7A" w:rsidRDefault="00422EFE" w:rsidP="0054663C">
      <w:pPr>
        <w:pStyle w:val="Heading3"/>
        <w:spacing w:before="320"/>
      </w:pPr>
      <w:bookmarkStart w:id="2490" w:name="source-specific-qaqc-verification"/>
      <w:bookmarkEnd w:id="2485"/>
      <w:bookmarkEnd w:id="2489"/>
      <w:r w:rsidRPr="00261B7A">
        <w:t xml:space="preserve">7.2.4 </w:t>
      </w:r>
      <w:r w:rsidRPr="00261B7A">
        <w:tab/>
        <w:t>Source-specific QA/QC verification</w:t>
      </w:r>
    </w:p>
    <w:p w14:paraId="0EF135EF" w14:textId="77777777" w:rsidR="00422EFE" w:rsidRPr="00261B7A" w:rsidRDefault="00422EFE" w:rsidP="00422EFE">
      <w:pPr>
        <w:pStyle w:val="BodyText"/>
      </w:pPr>
      <w:r w:rsidRPr="00261B7A">
        <w:rPr>
          <w:i/>
          <w:iCs/>
        </w:rPr>
        <w:t>Solid waste disposal</w:t>
      </w:r>
      <w:r w:rsidRPr="00261B7A">
        <w:t xml:space="preserve"> is a key category. In the preparation of this submission, the data for this category underwent Tier 1 quality checks.</w:t>
      </w:r>
    </w:p>
    <w:p w14:paraId="56AED017" w14:textId="77777777" w:rsidR="00422EFE" w:rsidRPr="00261B7A" w:rsidRDefault="00422EFE" w:rsidP="00422EFE">
      <w:pPr>
        <w:pStyle w:val="Heading3"/>
      </w:pPr>
      <w:bookmarkStart w:id="2491" w:name="source-specific-recalculations"/>
      <w:bookmarkEnd w:id="2490"/>
      <w:r w:rsidRPr="00261B7A">
        <w:t xml:space="preserve">7.2.5 </w:t>
      </w:r>
      <w:r w:rsidRPr="00261B7A">
        <w:tab/>
        <w:t>Source-specific recalculations</w:t>
      </w:r>
    </w:p>
    <w:p w14:paraId="0B71DA06" w14:textId="77777777" w:rsidR="00422EFE" w:rsidRPr="00261B7A" w:rsidRDefault="00422EFE" w:rsidP="00A65BBE">
      <w:pPr>
        <w:pStyle w:val="BodyText"/>
        <w:spacing w:after="100"/>
      </w:pPr>
      <w:r w:rsidRPr="00261B7A">
        <w:t xml:space="preserve">Minor recalculations are included for the 2022 submission. There are minor updates to activity data for </w:t>
      </w:r>
      <w:r w:rsidRPr="00261B7A">
        <w:rPr>
          <w:i/>
          <w:iCs/>
        </w:rPr>
        <w:t>Managed waste disposal sites</w:t>
      </w:r>
      <w:r w:rsidRPr="00261B7A">
        <w:t>.</w:t>
      </w:r>
    </w:p>
    <w:p w14:paraId="29C5DF97" w14:textId="77777777" w:rsidR="00422EFE" w:rsidRPr="00261B7A" w:rsidRDefault="00422EFE" w:rsidP="00A65BBE">
      <w:pPr>
        <w:pStyle w:val="Bullet"/>
        <w:spacing w:after="100"/>
      </w:pPr>
      <w:r w:rsidRPr="00261B7A">
        <w:t xml:space="preserve">Activity data for </w:t>
      </w:r>
      <w:r w:rsidRPr="00261B7A">
        <w:rPr>
          <w:i/>
          <w:iCs/>
        </w:rPr>
        <w:t>Managed waste disposal sites</w:t>
      </w:r>
      <w:r w:rsidRPr="00261B7A">
        <w:t xml:space="preserve"> were revised for 2018, 2019 and 2020 to </w:t>
      </w:r>
      <w:r w:rsidRPr="00261B7A">
        <w:rPr>
          <w:spacing w:val="-2"/>
        </w:rPr>
        <w:t>remove small amounts of cover material that should not be included in the waste tonnage</w:t>
      </w:r>
      <w:r w:rsidRPr="00261B7A">
        <w:t>.</w:t>
      </w:r>
    </w:p>
    <w:p w14:paraId="271F5B4E" w14:textId="77777777" w:rsidR="00422EFE" w:rsidRPr="00261B7A" w:rsidRDefault="00422EFE" w:rsidP="00A65BBE">
      <w:pPr>
        <w:pStyle w:val="Bullet"/>
        <w:spacing w:after="100"/>
      </w:pPr>
      <w:r w:rsidRPr="00261B7A">
        <w:t xml:space="preserve">The Coulson Road landfill within the </w:t>
      </w:r>
      <w:r w:rsidRPr="00261B7A">
        <w:rPr>
          <w:i/>
          <w:iCs/>
        </w:rPr>
        <w:t>Managed waste disposal sites</w:t>
      </w:r>
      <w:r w:rsidRPr="00261B7A">
        <w:t xml:space="preserve"> category stopped receiving waste in 2019, and, as a result, the landfill gas capture rate was revised for the entire duration of gas capture beginning in 2018 from 68 per cent to 52 per cent, which is the value for closed sites. Further, the Victoria Flats landfill had a gas capture system installed during 2021, and the estimate for 2021 reflects this.</w:t>
      </w:r>
    </w:p>
    <w:p w14:paraId="78FE82B1" w14:textId="77777777" w:rsidR="00422EFE" w:rsidRPr="00261B7A" w:rsidRDefault="00422EFE" w:rsidP="00422EFE">
      <w:pPr>
        <w:pStyle w:val="BodyText"/>
      </w:pPr>
      <w:r w:rsidRPr="00261B7A">
        <w:t>Combined, these changes have reduced emissions in 1990 by 0.0 kt CO</w:t>
      </w:r>
      <w:r w:rsidRPr="00261B7A">
        <w:rPr>
          <w:vertAlign w:val="subscript"/>
        </w:rPr>
        <w:t>2</w:t>
      </w:r>
      <w:r w:rsidRPr="00261B7A">
        <w:t>-e and reduced emissions by 1.5 kt CO</w:t>
      </w:r>
      <w:r w:rsidRPr="00261B7A">
        <w:rPr>
          <w:vertAlign w:val="subscript"/>
        </w:rPr>
        <w:t>2</w:t>
      </w:r>
      <w:r w:rsidRPr="00261B7A">
        <w:t>-e in 2020. Recalculations are described in greater detail in chapter 10.</w:t>
      </w:r>
    </w:p>
    <w:p w14:paraId="56E8CBD1" w14:textId="77777777" w:rsidR="00422EFE" w:rsidRPr="00261B7A" w:rsidRDefault="00422EFE" w:rsidP="00422EFE">
      <w:pPr>
        <w:pStyle w:val="Heading3"/>
      </w:pPr>
      <w:bookmarkStart w:id="2492" w:name="source-specific-planned-improvements"/>
      <w:bookmarkEnd w:id="2491"/>
      <w:r w:rsidRPr="00261B7A">
        <w:t xml:space="preserve">7.2.6 </w:t>
      </w:r>
      <w:r w:rsidRPr="00261B7A">
        <w:tab/>
        <w:t>Source-specific planned improvements</w:t>
      </w:r>
    </w:p>
    <w:p w14:paraId="3BDFF328" w14:textId="77777777" w:rsidR="00422EFE" w:rsidRPr="00261B7A" w:rsidRDefault="00422EFE" w:rsidP="00A65BBE">
      <w:pPr>
        <w:pStyle w:val="BodyText"/>
        <w:spacing w:before="100"/>
      </w:pPr>
      <w:r w:rsidRPr="00261B7A">
        <w:t>No improvements are planned in this category, which is the largest source of emissions in the Waste sector.</w:t>
      </w:r>
    </w:p>
    <w:p w14:paraId="19802465" w14:textId="77777777" w:rsidR="00422EFE" w:rsidRPr="00261B7A" w:rsidRDefault="00422EFE" w:rsidP="00A65BBE">
      <w:pPr>
        <w:pStyle w:val="BodyText"/>
        <w:spacing w:before="100"/>
      </w:pPr>
      <w:r w:rsidRPr="00261B7A">
        <w:t xml:space="preserve">Several areas in the </w:t>
      </w:r>
      <w:r w:rsidRPr="00261B7A">
        <w:rPr>
          <w:i/>
          <w:iCs/>
        </w:rPr>
        <w:t>Solid waste disposal</w:t>
      </w:r>
      <w:r w:rsidRPr="00261B7A">
        <w:t xml:space="preserve"> category are being considered for future improvements, particularly for </w:t>
      </w:r>
      <w:r w:rsidRPr="00261B7A">
        <w:rPr>
          <w:i/>
          <w:iCs/>
        </w:rPr>
        <w:t>Unmanaged waste disposal sites</w:t>
      </w:r>
      <w:r w:rsidRPr="00261B7A">
        <w:t xml:space="preserve"> (non-municipal landfills and farm fills), depending on the availability of budget, resourcing and data. As and when better activity data become available, they will be used to improve the estimates of waste disposal on farms.</w:t>
      </w:r>
    </w:p>
    <w:p w14:paraId="6400E884" w14:textId="77777777" w:rsidR="00422EFE" w:rsidRPr="00261B7A" w:rsidRDefault="00422EFE" w:rsidP="00A65BBE">
      <w:pPr>
        <w:pStyle w:val="BodyText"/>
        <w:spacing w:before="100"/>
      </w:pPr>
      <w:r w:rsidRPr="00261B7A">
        <w:t>Emissions of carbon monoxide, oxides of nitrogen and non-methane volatile organic compounds for landfills have not been estimated for this submission. These emissions are considered likely to be immaterial, but the inventory agency will consider estimating them for future submissions.</w:t>
      </w:r>
    </w:p>
    <w:p w14:paraId="11E50824" w14:textId="77777777" w:rsidR="00422EFE" w:rsidRPr="00261B7A" w:rsidRDefault="00422EFE" w:rsidP="00A638DC">
      <w:pPr>
        <w:pStyle w:val="Heading2"/>
      </w:pPr>
      <w:bookmarkStart w:id="2493" w:name="_Toc131591262"/>
      <w:bookmarkStart w:id="2494" w:name="biological-treatment-of-solid-waste-5.b"/>
      <w:bookmarkEnd w:id="2449"/>
      <w:bookmarkEnd w:id="2492"/>
      <w:r w:rsidRPr="00261B7A">
        <w:t xml:space="preserve">7.3 </w:t>
      </w:r>
      <w:r w:rsidRPr="00261B7A">
        <w:tab/>
        <w:t>Biological treatment of solid waste (5.B)</w:t>
      </w:r>
      <w:bookmarkEnd w:id="2493"/>
    </w:p>
    <w:p w14:paraId="1A760E0B" w14:textId="77777777" w:rsidR="00422EFE" w:rsidRPr="00261B7A" w:rsidRDefault="00422EFE" w:rsidP="00A65BBE">
      <w:pPr>
        <w:pStyle w:val="Heading3"/>
        <w:spacing w:before="240"/>
      </w:pPr>
      <w:bookmarkStart w:id="2495" w:name="description-1"/>
      <w:r w:rsidRPr="00261B7A">
        <w:t xml:space="preserve">7.3.1 </w:t>
      </w:r>
      <w:r w:rsidRPr="00261B7A">
        <w:tab/>
        <w:t>Description</w:t>
      </w:r>
    </w:p>
    <w:p w14:paraId="3E0581FB" w14:textId="77777777" w:rsidR="00422EFE" w:rsidRPr="00261B7A" w:rsidRDefault="00422EFE" w:rsidP="00A65BBE">
      <w:pPr>
        <w:pStyle w:val="BodyText"/>
        <w:spacing w:before="100"/>
      </w:pPr>
      <w:r w:rsidRPr="00261B7A">
        <w:t>New Zealand has seen an increase in the use of commercial-scale composting of solid waste in recent years, in addition to ongoing household-scale composting of solid waste. Emissions from composting were reported for the first time in the 2019 submission in 5.B.1. An anaerobic digestion plant is under development; however, its operation has not yet started. No other biological treatment of solid waste occurs in New Zealand.</w:t>
      </w:r>
    </w:p>
    <w:p w14:paraId="745846AF" w14:textId="77777777" w:rsidR="00422EFE" w:rsidRPr="00261B7A" w:rsidRDefault="00422EFE" w:rsidP="00A65BBE">
      <w:pPr>
        <w:pStyle w:val="BodyText"/>
        <w:spacing w:before="100"/>
      </w:pPr>
      <w:r w:rsidRPr="00261B7A">
        <w:t xml:space="preserve">In 2021, </w:t>
      </w:r>
      <w:r w:rsidRPr="00261B7A">
        <w:rPr>
          <w:i/>
          <w:iCs/>
        </w:rPr>
        <w:t>Biological treatment of solid waste</w:t>
      </w:r>
      <w:r w:rsidRPr="00261B7A">
        <w:t xml:space="preserve"> accounted for 72.1 kt CO</w:t>
      </w:r>
      <w:r w:rsidRPr="00261B7A">
        <w:rPr>
          <w:vertAlign w:val="subscript"/>
        </w:rPr>
        <w:t>2</w:t>
      </w:r>
      <w:r w:rsidRPr="00261B7A">
        <w:t>-e (2.2 per cent) of Waste sector emissions. This was an increase of 67.4 kt CO</w:t>
      </w:r>
      <w:r w:rsidRPr="00261B7A">
        <w:rPr>
          <w:vertAlign w:val="subscript"/>
        </w:rPr>
        <w:t>2</w:t>
      </w:r>
      <w:r w:rsidRPr="00261B7A">
        <w:t>-e (1,435.0 per cent) above the 1990 level of 4.7 kt CO</w:t>
      </w:r>
      <w:r w:rsidRPr="00261B7A">
        <w:rPr>
          <w:vertAlign w:val="subscript"/>
        </w:rPr>
        <w:t>2</w:t>
      </w:r>
      <w:r w:rsidRPr="00261B7A">
        <w:t>-e, and an increase of 2.8 kt CO</w:t>
      </w:r>
      <w:r w:rsidRPr="00261B7A">
        <w:rPr>
          <w:vertAlign w:val="subscript"/>
        </w:rPr>
        <w:t>2</w:t>
      </w:r>
      <w:r w:rsidRPr="00261B7A">
        <w:t>-e (4.0 per cent) from 2020.</w:t>
      </w:r>
    </w:p>
    <w:p w14:paraId="799C92DE" w14:textId="77777777" w:rsidR="00422EFE" w:rsidRPr="00261B7A" w:rsidRDefault="00422EFE" w:rsidP="00422EFE">
      <w:pPr>
        <w:pStyle w:val="Heading3"/>
      </w:pPr>
      <w:bookmarkStart w:id="2496" w:name="methodological-issues-1"/>
      <w:bookmarkEnd w:id="2495"/>
      <w:r w:rsidRPr="00261B7A">
        <w:t xml:space="preserve">7.3.2 </w:t>
      </w:r>
      <w:r w:rsidRPr="00261B7A">
        <w:tab/>
        <w:t>Methodological issues</w:t>
      </w:r>
    </w:p>
    <w:p w14:paraId="06BB530D" w14:textId="77777777" w:rsidR="00422EFE" w:rsidRPr="00261B7A" w:rsidRDefault="00422EFE" w:rsidP="00422EFE">
      <w:pPr>
        <w:pStyle w:val="Heading4"/>
      </w:pPr>
      <w:bookmarkStart w:id="2497" w:name="choice-of-activity-data-1"/>
      <w:r w:rsidRPr="00261B7A">
        <w:t>Choice of activity data</w:t>
      </w:r>
    </w:p>
    <w:p w14:paraId="5B6DCBB3" w14:textId="77777777" w:rsidR="00422EFE" w:rsidRPr="00261B7A" w:rsidRDefault="00422EFE" w:rsidP="00422EFE">
      <w:pPr>
        <w:pStyle w:val="BodyText"/>
      </w:pPr>
      <w:r w:rsidRPr="00261B7A">
        <w:t>Activity data have been estimated based on expert judgement, in part using evidence of large</w:t>
      </w:r>
      <w:r w:rsidRPr="00261B7A">
        <w:rPr>
          <w:rFonts w:ascii="Cambria Math" w:hAnsi="Cambria Math" w:cs="Cambria Math"/>
        </w:rPr>
        <w:t>‑</w:t>
      </w:r>
      <w:r w:rsidRPr="00261B7A">
        <w:t>scale commercial composting operating around New Zealand. In 1990, it is estimated that an equivalent of 1 per cent of total municipal solid waste was composted (see the total solid waste reported in table 7.2.3). Between 1991 and 2008, this amount was assumed to grow by 2 per cent per annum. Between 2009 and 2018, this amount is estimated to have grown much faster (between 10 per cent and 40 per cent per annum), to align to reported volumes for 2019 (Eunomia, unpublished(b)). This reflects the increase in commercial-scale composting estimated since 2009. Policy actions taking effect from 2020 are also included. Activity data for composting can be derived from table 7.2.3 using this description.</w:t>
      </w:r>
    </w:p>
    <w:p w14:paraId="1E2C71CA" w14:textId="77777777" w:rsidR="00422EFE" w:rsidRPr="00261B7A" w:rsidRDefault="00422EFE" w:rsidP="00422EFE">
      <w:pPr>
        <w:pStyle w:val="BodyText"/>
      </w:pPr>
      <w:r w:rsidRPr="00261B7A">
        <w:t>Note that the proportion of food and garden waste disposed to managed landfills has decreased between 2012 and 2018 (see table 7.2.5). While this has not been demonstrated to be a direct result, it is consistent with the trend towards composting.</w:t>
      </w:r>
    </w:p>
    <w:p w14:paraId="2A160B1B" w14:textId="77777777" w:rsidR="00422EFE" w:rsidRPr="00261B7A" w:rsidRDefault="00422EFE" w:rsidP="00422EFE">
      <w:pPr>
        <w:pStyle w:val="Heading4"/>
      </w:pPr>
      <w:bookmarkStart w:id="2498" w:name="choice-of-methods-1"/>
      <w:bookmarkEnd w:id="2497"/>
      <w:r w:rsidRPr="00261B7A">
        <w:t>Choice of methods</w:t>
      </w:r>
    </w:p>
    <w:p w14:paraId="2AB4D18B" w14:textId="77777777" w:rsidR="00422EFE" w:rsidRPr="00261B7A" w:rsidRDefault="00422EFE" w:rsidP="00422EFE">
      <w:pPr>
        <w:pStyle w:val="BodyText"/>
      </w:pPr>
      <w:r w:rsidRPr="00261B7A">
        <w:t>Estimates of direct emissions from the composting of solid waste are made using the default Tier 1 methodology (IPCC, 2006a).</w:t>
      </w:r>
    </w:p>
    <w:p w14:paraId="75D786F4" w14:textId="77777777" w:rsidR="00422EFE" w:rsidRPr="00261B7A" w:rsidRDefault="00422EFE" w:rsidP="00422EFE">
      <w:pPr>
        <w:pStyle w:val="Heading4"/>
      </w:pPr>
      <w:bookmarkStart w:id="2499" w:name="choice-of-emission-factors"/>
      <w:bookmarkEnd w:id="2498"/>
      <w:r w:rsidRPr="00261B7A">
        <w:t>Choice of emission factors</w:t>
      </w:r>
    </w:p>
    <w:p w14:paraId="68612717" w14:textId="77777777" w:rsidR="00422EFE" w:rsidRPr="00261B7A" w:rsidRDefault="00422EFE" w:rsidP="00422EFE">
      <w:pPr>
        <w:pStyle w:val="BodyText"/>
      </w:pPr>
      <w:r w:rsidRPr="00261B7A">
        <w:t>IPCC default parameters are used, as detailed in table 7.3.1.</w:t>
      </w:r>
    </w:p>
    <w:p w14:paraId="72257F49" w14:textId="77777777" w:rsidR="00422EFE" w:rsidRPr="00261B7A" w:rsidRDefault="00422EFE" w:rsidP="00422EFE">
      <w:pPr>
        <w:pStyle w:val="Table"/>
      </w:pPr>
      <w:bookmarkStart w:id="2500" w:name="_Toc128383671"/>
      <w:bookmarkStart w:id="2501" w:name="_Toc131591444"/>
      <w:r w:rsidRPr="00261B7A">
        <w:t xml:space="preserve">Table 7.3.1 </w:t>
      </w:r>
      <w:r w:rsidRPr="00261B7A">
        <w:tab/>
        <w:t>Emission factors applied to estimate emissions from composting</w:t>
      </w:r>
      <w:bookmarkEnd w:id="2500"/>
      <w:bookmarkEnd w:id="2501"/>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880"/>
        <w:gridCol w:w="2844"/>
        <w:gridCol w:w="1781"/>
      </w:tblGrid>
      <w:tr w:rsidR="00422EFE" w:rsidRPr="00261B7A" w14:paraId="3B876C27" w14:textId="77777777" w:rsidTr="00D41492">
        <w:trPr>
          <w:tblHeader/>
        </w:trPr>
        <w:tc>
          <w:tcPr>
            <w:tcW w:w="0" w:type="auto"/>
            <w:shd w:val="clear" w:color="auto" w:fill="1B556B"/>
            <w:tcMar>
              <w:top w:w="0" w:type="dxa"/>
              <w:left w:w="108" w:type="dxa"/>
              <w:bottom w:w="0" w:type="dxa"/>
              <w:right w:w="108" w:type="dxa"/>
            </w:tcMar>
          </w:tcPr>
          <w:p w14:paraId="2390FCDF" w14:textId="77777777" w:rsidR="00422EFE" w:rsidRPr="00261B7A" w:rsidRDefault="00422EFE" w:rsidP="00B81845">
            <w:pPr>
              <w:pStyle w:val="TableText"/>
              <w:spacing w:before="40" w:after="40"/>
              <w:rPr>
                <w:b/>
                <w:bCs/>
                <w:color w:val="FFFFFF" w:themeColor="background1"/>
              </w:rPr>
            </w:pPr>
            <w:r w:rsidRPr="00261B7A">
              <w:rPr>
                <w:rFonts w:eastAsia="Calibri"/>
                <w:b/>
                <w:bCs/>
                <w:color w:val="FFFFFF" w:themeColor="background1"/>
              </w:rPr>
              <w:t>Emission factor for composting</w:t>
            </w:r>
          </w:p>
        </w:tc>
        <w:tc>
          <w:tcPr>
            <w:tcW w:w="0" w:type="auto"/>
            <w:shd w:val="clear" w:color="auto" w:fill="1B556B"/>
            <w:tcMar>
              <w:top w:w="0" w:type="dxa"/>
              <w:left w:w="108" w:type="dxa"/>
              <w:bottom w:w="0" w:type="dxa"/>
              <w:right w:w="108" w:type="dxa"/>
            </w:tcMar>
          </w:tcPr>
          <w:p w14:paraId="0C41B97A" w14:textId="77777777" w:rsidR="00422EFE" w:rsidRPr="00261B7A" w:rsidRDefault="00422EFE" w:rsidP="00B81845">
            <w:pPr>
              <w:pStyle w:val="TableText"/>
              <w:spacing w:before="40" w:after="40"/>
              <w:rPr>
                <w:b/>
                <w:bCs/>
                <w:color w:val="FFFFFF" w:themeColor="background1"/>
              </w:rPr>
            </w:pPr>
            <w:r w:rsidRPr="00261B7A">
              <w:rPr>
                <w:rFonts w:eastAsia="Calibri"/>
                <w:b/>
                <w:bCs/>
                <w:color w:val="FFFFFF" w:themeColor="background1"/>
              </w:rPr>
              <w:t>Emission factor (g/kg)</w:t>
            </w:r>
          </w:p>
        </w:tc>
        <w:tc>
          <w:tcPr>
            <w:tcW w:w="0" w:type="auto"/>
            <w:shd w:val="clear" w:color="auto" w:fill="1B556B"/>
            <w:tcMar>
              <w:top w:w="0" w:type="dxa"/>
              <w:left w:w="108" w:type="dxa"/>
              <w:bottom w:w="0" w:type="dxa"/>
              <w:right w:w="108" w:type="dxa"/>
            </w:tcMar>
          </w:tcPr>
          <w:p w14:paraId="50753537" w14:textId="77777777" w:rsidR="00422EFE" w:rsidRPr="00261B7A" w:rsidRDefault="00422EFE" w:rsidP="00B81845">
            <w:pPr>
              <w:pStyle w:val="TableText"/>
              <w:spacing w:before="40" w:after="40"/>
              <w:rPr>
                <w:b/>
                <w:bCs/>
                <w:color w:val="FFFFFF" w:themeColor="background1"/>
              </w:rPr>
            </w:pPr>
            <w:r w:rsidRPr="00261B7A">
              <w:rPr>
                <w:rFonts w:eastAsia="Calibri"/>
                <w:b/>
                <w:bCs/>
                <w:color w:val="FFFFFF" w:themeColor="background1"/>
              </w:rPr>
              <w:t>Source</w:t>
            </w:r>
          </w:p>
        </w:tc>
      </w:tr>
      <w:tr w:rsidR="00422EFE" w:rsidRPr="00261B7A" w14:paraId="0FE95D59" w14:textId="77777777" w:rsidTr="00D41492">
        <w:tc>
          <w:tcPr>
            <w:tcW w:w="0" w:type="auto"/>
            <w:shd w:val="clear" w:color="auto" w:fill="FFFFFF"/>
            <w:tcMar>
              <w:top w:w="0" w:type="dxa"/>
              <w:left w:w="108" w:type="dxa"/>
              <w:bottom w:w="0" w:type="dxa"/>
              <w:right w:w="108" w:type="dxa"/>
            </w:tcMar>
          </w:tcPr>
          <w:p w14:paraId="554CE098" w14:textId="77777777" w:rsidR="00422EFE" w:rsidRPr="00261B7A" w:rsidRDefault="00422EFE" w:rsidP="00B81845">
            <w:pPr>
              <w:pStyle w:val="TableText"/>
              <w:spacing w:before="40" w:after="40"/>
            </w:pPr>
            <w:r w:rsidRPr="00261B7A">
              <w:rPr>
                <w:rFonts w:eastAsia="Calibri"/>
                <w:color w:val="000000"/>
              </w:rPr>
              <w:t>Methane</w:t>
            </w:r>
          </w:p>
        </w:tc>
        <w:tc>
          <w:tcPr>
            <w:tcW w:w="0" w:type="auto"/>
            <w:shd w:val="clear" w:color="auto" w:fill="FFFFFF"/>
            <w:tcMar>
              <w:top w:w="0" w:type="dxa"/>
              <w:left w:w="108" w:type="dxa"/>
              <w:bottom w:w="0" w:type="dxa"/>
              <w:right w:w="108" w:type="dxa"/>
            </w:tcMar>
          </w:tcPr>
          <w:p w14:paraId="01510B8D" w14:textId="77777777" w:rsidR="00422EFE" w:rsidRPr="00261B7A" w:rsidRDefault="00422EFE" w:rsidP="00B81845">
            <w:pPr>
              <w:pStyle w:val="TableText"/>
              <w:spacing w:before="40" w:after="40"/>
            </w:pPr>
            <w:r w:rsidRPr="00261B7A">
              <w:rPr>
                <w:rFonts w:eastAsia="Calibri"/>
                <w:color w:val="000000"/>
              </w:rPr>
              <w:t>4</w:t>
            </w:r>
          </w:p>
        </w:tc>
        <w:tc>
          <w:tcPr>
            <w:tcW w:w="0" w:type="auto"/>
            <w:shd w:val="clear" w:color="auto" w:fill="FFFFFF"/>
            <w:tcMar>
              <w:top w:w="0" w:type="dxa"/>
              <w:left w:w="108" w:type="dxa"/>
              <w:bottom w:w="0" w:type="dxa"/>
              <w:right w:w="108" w:type="dxa"/>
            </w:tcMar>
          </w:tcPr>
          <w:p w14:paraId="1D34DC05" w14:textId="77777777" w:rsidR="00422EFE" w:rsidRPr="00261B7A" w:rsidRDefault="00422EFE" w:rsidP="00B81845">
            <w:pPr>
              <w:pStyle w:val="TableText"/>
              <w:spacing w:before="40" w:after="40"/>
            </w:pPr>
            <w:r w:rsidRPr="00261B7A">
              <w:rPr>
                <w:rFonts w:eastAsia="Calibri"/>
                <w:color w:val="000000"/>
              </w:rPr>
              <w:t>IPCC (2006a)</w:t>
            </w:r>
          </w:p>
        </w:tc>
      </w:tr>
      <w:tr w:rsidR="00422EFE" w:rsidRPr="00261B7A" w14:paraId="27FE7F80" w14:textId="77777777" w:rsidTr="00D41492">
        <w:tc>
          <w:tcPr>
            <w:tcW w:w="0" w:type="auto"/>
            <w:shd w:val="clear" w:color="auto" w:fill="FFFFFF"/>
            <w:tcMar>
              <w:top w:w="0" w:type="dxa"/>
              <w:left w:w="108" w:type="dxa"/>
              <w:bottom w:w="0" w:type="dxa"/>
              <w:right w:w="108" w:type="dxa"/>
            </w:tcMar>
          </w:tcPr>
          <w:p w14:paraId="06AEE0C9" w14:textId="77777777" w:rsidR="00422EFE" w:rsidRPr="00261B7A" w:rsidRDefault="00422EFE" w:rsidP="00B81845">
            <w:pPr>
              <w:pStyle w:val="TableText"/>
              <w:spacing w:before="40" w:after="40"/>
            </w:pPr>
            <w:r w:rsidRPr="00261B7A">
              <w:rPr>
                <w:rFonts w:eastAsia="Calibri"/>
                <w:color w:val="000000"/>
              </w:rPr>
              <w:t>Nitrous oxide</w:t>
            </w:r>
          </w:p>
        </w:tc>
        <w:tc>
          <w:tcPr>
            <w:tcW w:w="0" w:type="auto"/>
            <w:shd w:val="clear" w:color="auto" w:fill="FFFFFF"/>
            <w:tcMar>
              <w:top w:w="0" w:type="dxa"/>
              <w:left w:w="108" w:type="dxa"/>
              <w:bottom w:w="0" w:type="dxa"/>
              <w:right w:w="108" w:type="dxa"/>
            </w:tcMar>
          </w:tcPr>
          <w:p w14:paraId="7DF238C0" w14:textId="77777777" w:rsidR="00422EFE" w:rsidRPr="00261B7A" w:rsidRDefault="00422EFE" w:rsidP="00B81845">
            <w:pPr>
              <w:pStyle w:val="TableText"/>
              <w:spacing w:before="40" w:after="40"/>
            </w:pPr>
            <w:r w:rsidRPr="00261B7A">
              <w:rPr>
                <w:rFonts w:eastAsia="Calibri"/>
                <w:color w:val="000000"/>
              </w:rPr>
              <w:t>0.24</w:t>
            </w:r>
          </w:p>
        </w:tc>
        <w:tc>
          <w:tcPr>
            <w:tcW w:w="0" w:type="auto"/>
            <w:shd w:val="clear" w:color="auto" w:fill="FFFFFF"/>
            <w:tcMar>
              <w:top w:w="0" w:type="dxa"/>
              <w:left w:w="108" w:type="dxa"/>
              <w:bottom w:w="0" w:type="dxa"/>
              <w:right w:w="108" w:type="dxa"/>
            </w:tcMar>
          </w:tcPr>
          <w:p w14:paraId="50780902" w14:textId="77777777" w:rsidR="00422EFE" w:rsidRPr="00261B7A" w:rsidRDefault="00422EFE" w:rsidP="00B81845">
            <w:pPr>
              <w:pStyle w:val="TableText"/>
              <w:spacing w:before="40" w:after="40"/>
            </w:pPr>
            <w:r w:rsidRPr="00261B7A">
              <w:rPr>
                <w:rFonts w:eastAsia="Calibri"/>
                <w:color w:val="000000"/>
              </w:rPr>
              <w:t>IPCC (2006a)</w:t>
            </w:r>
          </w:p>
        </w:tc>
      </w:tr>
    </w:tbl>
    <w:p w14:paraId="696E08F2" w14:textId="77777777" w:rsidR="00422EFE" w:rsidRPr="00261B7A" w:rsidRDefault="00422EFE" w:rsidP="00422EFE">
      <w:pPr>
        <w:pStyle w:val="BodyText"/>
        <w:spacing w:before="240"/>
      </w:pPr>
      <w:r w:rsidRPr="00261B7A">
        <w:t>The emission factors are sourced from table 4.1 of volume 5, chapter 4 of the 2006 IPCC Guidelines (IPCC, 2006a).</w:t>
      </w:r>
    </w:p>
    <w:p w14:paraId="3D5A15A3" w14:textId="77777777" w:rsidR="00422EFE" w:rsidRPr="00261B7A" w:rsidRDefault="00422EFE" w:rsidP="00422EFE">
      <w:pPr>
        <w:pStyle w:val="Heading3"/>
      </w:pPr>
      <w:bookmarkStart w:id="2502" w:name="X17dcbd51fdf6369c323ef6d315d8366f6c0ea9d"/>
      <w:bookmarkEnd w:id="2496"/>
      <w:bookmarkEnd w:id="2499"/>
      <w:r w:rsidRPr="00261B7A">
        <w:t xml:space="preserve">7.3.3 </w:t>
      </w:r>
      <w:r w:rsidRPr="00261B7A">
        <w:tab/>
        <w:t>Uncertainties and time-series consistency</w:t>
      </w:r>
    </w:p>
    <w:p w14:paraId="43FCF35E" w14:textId="77777777" w:rsidR="00422EFE" w:rsidRPr="00261B7A" w:rsidRDefault="00422EFE" w:rsidP="00422EFE">
      <w:pPr>
        <w:pStyle w:val="Heading4"/>
        <w:spacing w:before="160"/>
      </w:pPr>
      <w:bookmarkStart w:id="2503" w:name="uncertainties-2"/>
      <w:r w:rsidRPr="00261B7A">
        <w:t>Uncertainties</w:t>
      </w:r>
    </w:p>
    <w:p w14:paraId="5A113F3A" w14:textId="77777777" w:rsidR="00422EFE" w:rsidRPr="00261B7A" w:rsidRDefault="00422EFE" w:rsidP="00422EFE">
      <w:pPr>
        <w:pStyle w:val="BodyText"/>
      </w:pPr>
      <w:r w:rsidRPr="00261B7A">
        <w:t>As per the IPCC recommendation for uncertainties relating to activity data (IPCC, 2006a), when data quality is poor it can vary by more than a factor of two, or ±&gt;100 per cent. In this case, ±100 per cent is applied because, while data quality is poor, some data are available.</w:t>
      </w:r>
    </w:p>
    <w:p w14:paraId="62B38B5B" w14:textId="77777777" w:rsidR="00422EFE" w:rsidRPr="00261B7A" w:rsidRDefault="00422EFE" w:rsidP="00422EFE">
      <w:pPr>
        <w:pStyle w:val="BodyText"/>
      </w:pPr>
      <w:r w:rsidRPr="00261B7A">
        <w:t>Uncertainties in emission factors are based on the range of the emission factors relative to the default (IPCC, 2006a), and the uncertainty for the default CH</w:t>
      </w:r>
      <w:r w:rsidRPr="00261B7A">
        <w:rPr>
          <w:vertAlign w:val="subscript"/>
        </w:rPr>
        <w:t>4</w:t>
      </w:r>
      <w:r w:rsidRPr="00261B7A">
        <w:t xml:space="preserve"> emission factor is about ±100 per cent. The range for the N</w:t>
      </w:r>
      <w:r w:rsidRPr="00261B7A">
        <w:rPr>
          <w:vertAlign w:val="subscript"/>
        </w:rPr>
        <w:t>2</w:t>
      </w:r>
      <w:r w:rsidRPr="00261B7A">
        <w:t>O emission factor is +150 per cent and –75 per cent, so the uncertainty is given as ±150 per cent. Table 7.3.2 presents uncertainties for composting.</w:t>
      </w:r>
    </w:p>
    <w:p w14:paraId="1CF6027E" w14:textId="77777777" w:rsidR="00422EFE" w:rsidRPr="00261B7A" w:rsidRDefault="00422EFE" w:rsidP="00422EFE">
      <w:pPr>
        <w:pStyle w:val="Table"/>
      </w:pPr>
      <w:bookmarkStart w:id="2504" w:name="_Toc128383672"/>
      <w:bookmarkStart w:id="2505" w:name="_Toc131591445"/>
      <w:r w:rsidRPr="00261B7A">
        <w:t xml:space="preserve">Table 7.3.2 </w:t>
      </w:r>
      <w:r w:rsidRPr="00261B7A">
        <w:tab/>
        <w:t>Uncertainty in emissions from composting</w:t>
      </w:r>
      <w:bookmarkEnd w:id="2504"/>
      <w:bookmarkEnd w:id="2505"/>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000"/>
        <w:gridCol w:w="3075"/>
        <w:gridCol w:w="3430"/>
      </w:tblGrid>
      <w:tr w:rsidR="00422EFE" w:rsidRPr="00261B7A" w14:paraId="048A87F2" w14:textId="77777777" w:rsidTr="00D41492">
        <w:trPr>
          <w:tblHeader/>
        </w:trPr>
        <w:tc>
          <w:tcPr>
            <w:tcW w:w="0" w:type="auto"/>
            <w:shd w:val="clear" w:color="auto" w:fill="1B556B"/>
            <w:tcMar>
              <w:top w:w="0" w:type="dxa"/>
              <w:left w:w="108" w:type="dxa"/>
              <w:bottom w:w="0" w:type="dxa"/>
              <w:right w:w="108" w:type="dxa"/>
            </w:tcMar>
          </w:tcPr>
          <w:p w14:paraId="24CA6CD9"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Emissions category</w:t>
            </w:r>
          </w:p>
        </w:tc>
        <w:tc>
          <w:tcPr>
            <w:tcW w:w="0" w:type="auto"/>
            <w:shd w:val="clear" w:color="auto" w:fill="1B556B"/>
            <w:tcMar>
              <w:top w:w="0" w:type="dxa"/>
              <w:left w:w="108" w:type="dxa"/>
              <w:bottom w:w="0" w:type="dxa"/>
              <w:right w:w="108" w:type="dxa"/>
            </w:tcMar>
          </w:tcPr>
          <w:p w14:paraId="04BE88D8"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Uncertainty in activity data (%)</w:t>
            </w:r>
          </w:p>
        </w:tc>
        <w:tc>
          <w:tcPr>
            <w:tcW w:w="0" w:type="auto"/>
            <w:shd w:val="clear" w:color="auto" w:fill="1B556B"/>
            <w:tcMar>
              <w:top w:w="0" w:type="dxa"/>
              <w:left w:w="108" w:type="dxa"/>
              <w:bottom w:w="0" w:type="dxa"/>
              <w:right w:w="108" w:type="dxa"/>
            </w:tcMar>
          </w:tcPr>
          <w:p w14:paraId="1C9468F0"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Uncertainty in emission factors (%)</w:t>
            </w:r>
          </w:p>
        </w:tc>
      </w:tr>
      <w:tr w:rsidR="00422EFE" w:rsidRPr="00261B7A" w14:paraId="7E2D3E47" w14:textId="77777777" w:rsidTr="00D41492">
        <w:tc>
          <w:tcPr>
            <w:tcW w:w="0" w:type="auto"/>
            <w:shd w:val="clear" w:color="auto" w:fill="FFFFFF"/>
            <w:tcMar>
              <w:top w:w="0" w:type="dxa"/>
              <w:left w:w="108" w:type="dxa"/>
              <w:bottom w:w="0" w:type="dxa"/>
              <w:right w:w="108" w:type="dxa"/>
            </w:tcMar>
          </w:tcPr>
          <w:p w14:paraId="518E10B3" w14:textId="77777777" w:rsidR="00422EFE" w:rsidRPr="00261B7A" w:rsidRDefault="00422EFE" w:rsidP="00D41492">
            <w:pPr>
              <w:pStyle w:val="TableText"/>
              <w:spacing w:before="40" w:after="40"/>
            </w:pPr>
            <w:r w:rsidRPr="00261B7A">
              <w:rPr>
                <w:rFonts w:eastAsia="Calibri"/>
                <w:color w:val="000000"/>
              </w:rPr>
              <w:t>Compost (CH₄)</w:t>
            </w:r>
          </w:p>
        </w:tc>
        <w:tc>
          <w:tcPr>
            <w:tcW w:w="0" w:type="auto"/>
            <w:shd w:val="clear" w:color="auto" w:fill="FFFFFF"/>
            <w:tcMar>
              <w:top w:w="0" w:type="dxa"/>
              <w:left w:w="108" w:type="dxa"/>
              <w:bottom w:w="0" w:type="dxa"/>
              <w:right w:w="108" w:type="dxa"/>
            </w:tcMar>
          </w:tcPr>
          <w:p w14:paraId="52238F4C" w14:textId="77777777" w:rsidR="00422EFE" w:rsidRPr="00261B7A" w:rsidRDefault="00422EFE" w:rsidP="00D41492">
            <w:pPr>
              <w:pStyle w:val="TableText"/>
              <w:spacing w:before="40" w:after="40"/>
            </w:pPr>
            <w:r w:rsidRPr="00261B7A">
              <w:rPr>
                <w:rFonts w:eastAsia="Calibri"/>
                <w:color w:val="000000"/>
              </w:rPr>
              <w:t>±100</w:t>
            </w:r>
          </w:p>
        </w:tc>
        <w:tc>
          <w:tcPr>
            <w:tcW w:w="0" w:type="auto"/>
            <w:shd w:val="clear" w:color="auto" w:fill="FFFFFF"/>
            <w:tcMar>
              <w:top w:w="0" w:type="dxa"/>
              <w:left w:w="108" w:type="dxa"/>
              <w:bottom w:w="0" w:type="dxa"/>
              <w:right w:w="108" w:type="dxa"/>
            </w:tcMar>
          </w:tcPr>
          <w:p w14:paraId="393D4282" w14:textId="77777777" w:rsidR="00422EFE" w:rsidRPr="00261B7A" w:rsidRDefault="00422EFE" w:rsidP="00D41492">
            <w:pPr>
              <w:pStyle w:val="TableText"/>
              <w:spacing w:before="40" w:after="40"/>
            </w:pPr>
            <w:r w:rsidRPr="00261B7A">
              <w:rPr>
                <w:rFonts w:eastAsia="Calibri"/>
                <w:color w:val="000000"/>
              </w:rPr>
              <w:t>±100</w:t>
            </w:r>
          </w:p>
        </w:tc>
      </w:tr>
      <w:tr w:rsidR="00422EFE" w:rsidRPr="00261B7A" w14:paraId="709213B3" w14:textId="77777777" w:rsidTr="00D41492">
        <w:tc>
          <w:tcPr>
            <w:tcW w:w="0" w:type="auto"/>
            <w:shd w:val="clear" w:color="auto" w:fill="FFFFFF"/>
            <w:tcMar>
              <w:top w:w="0" w:type="dxa"/>
              <w:left w:w="108" w:type="dxa"/>
              <w:bottom w:w="0" w:type="dxa"/>
              <w:right w:w="108" w:type="dxa"/>
            </w:tcMar>
          </w:tcPr>
          <w:p w14:paraId="28BB2DD2" w14:textId="77777777" w:rsidR="00422EFE" w:rsidRPr="00261B7A" w:rsidRDefault="00422EFE" w:rsidP="00D41492">
            <w:pPr>
              <w:pStyle w:val="TableText"/>
              <w:spacing w:before="40" w:after="40"/>
            </w:pPr>
            <w:r w:rsidRPr="00261B7A">
              <w:rPr>
                <w:rFonts w:eastAsia="Calibri"/>
                <w:color w:val="000000"/>
              </w:rPr>
              <w:t>Compost (N₂O)</w:t>
            </w:r>
          </w:p>
        </w:tc>
        <w:tc>
          <w:tcPr>
            <w:tcW w:w="0" w:type="auto"/>
            <w:shd w:val="clear" w:color="auto" w:fill="FFFFFF"/>
            <w:tcMar>
              <w:top w:w="0" w:type="dxa"/>
              <w:left w:w="108" w:type="dxa"/>
              <w:bottom w:w="0" w:type="dxa"/>
              <w:right w:w="108" w:type="dxa"/>
            </w:tcMar>
          </w:tcPr>
          <w:p w14:paraId="2FD986DD" w14:textId="77777777" w:rsidR="00422EFE" w:rsidRPr="00261B7A" w:rsidRDefault="00422EFE" w:rsidP="00D41492">
            <w:pPr>
              <w:pStyle w:val="TableText"/>
              <w:spacing w:before="40" w:after="40"/>
            </w:pPr>
            <w:r w:rsidRPr="00261B7A">
              <w:rPr>
                <w:rFonts w:eastAsia="Calibri"/>
                <w:color w:val="000000"/>
              </w:rPr>
              <w:t>±100</w:t>
            </w:r>
          </w:p>
        </w:tc>
        <w:tc>
          <w:tcPr>
            <w:tcW w:w="0" w:type="auto"/>
            <w:shd w:val="clear" w:color="auto" w:fill="FFFFFF"/>
            <w:tcMar>
              <w:top w:w="0" w:type="dxa"/>
              <w:left w:w="108" w:type="dxa"/>
              <w:bottom w:w="0" w:type="dxa"/>
              <w:right w:w="108" w:type="dxa"/>
            </w:tcMar>
          </w:tcPr>
          <w:p w14:paraId="4717A141" w14:textId="77777777" w:rsidR="00422EFE" w:rsidRPr="00261B7A" w:rsidRDefault="00422EFE" w:rsidP="00D41492">
            <w:pPr>
              <w:pStyle w:val="TableText"/>
              <w:spacing w:before="40" w:after="40"/>
            </w:pPr>
            <w:r w:rsidRPr="00261B7A">
              <w:rPr>
                <w:rFonts w:eastAsia="Calibri"/>
                <w:color w:val="000000"/>
              </w:rPr>
              <w:t>±150</w:t>
            </w:r>
          </w:p>
        </w:tc>
      </w:tr>
    </w:tbl>
    <w:p w14:paraId="2F0AB91B" w14:textId="77777777" w:rsidR="00422EFE" w:rsidRPr="00261B7A" w:rsidRDefault="00422EFE" w:rsidP="00422EFE">
      <w:pPr>
        <w:pStyle w:val="Heading4"/>
        <w:spacing w:before="360"/>
      </w:pPr>
      <w:bookmarkStart w:id="2506" w:name="time-series-consistency-1"/>
      <w:bookmarkEnd w:id="2503"/>
      <w:r w:rsidRPr="00261B7A">
        <w:t>Time-series consistency</w:t>
      </w:r>
    </w:p>
    <w:p w14:paraId="496C1D0C" w14:textId="77777777" w:rsidR="00422EFE" w:rsidRPr="00261B7A" w:rsidRDefault="00422EFE" w:rsidP="00422EFE">
      <w:pPr>
        <w:pStyle w:val="BodyText"/>
      </w:pPr>
      <w:r w:rsidRPr="00261B7A">
        <w:t>Time-series consistency is ensured by the use of consistent models and parameters across the period.</w:t>
      </w:r>
    </w:p>
    <w:p w14:paraId="53A31FD6" w14:textId="77777777" w:rsidR="00422EFE" w:rsidRPr="00261B7A" w:rsidRDefault="00422EFE" w:rsidP="00422EFE">
      <w:pPr>
        <w:pStyle w:val="Heading3"/>
        <w:spacing w:before="320"/>
      </w:pPr>
      <w:bookmarkStart w:id="2507" w:name="source-specific-qaqc-and-verification"/>
      <w:bookmarkEnd w:id="2502"/>
      <w:bookmarkEnd w:id="2506"/>
      <w:r w:rsidRPr="00261B7A">
        <w:t xml:space="preserve">7.3.4 </w:t>
      </w:r>
      <w:r w:rsidRPr="00261B7A">
        <w:tab/>
        <w:t>Source-specific QA/QC and verification</w:t>
      </w:r>
    </w:p>
    <w:p w14:paraId="340943B6" w14:textId="77777777" w:rsidR="00422EFE" w:rsidRPr="00261B7A" w:rsidRDefault="00422EFE" w:rsidP="00422EFE">
      <w:pPr>
        <w:pStyle w:val="BodyText"/>
      </w:pPr>
      <w:r w:rsidRPr="00261B7A">
        <w:t xml:space="preserve">These emissions are very small, and basic quality-assurance and quality-control checks are carried out where possible. Detailed quality-assurance and quality-control efforts for the Waste sector focus on the </w:t>
      </w:r>
      <w:r w:rsidRPr="00261B7A">
        <w:rPr>
          <w:i/>
          <w:iCs/>
        </w:rPr>
        <w:t>Solid waste disposal</w:t>
      </w:r>
      <w:r w:rsidRPr="00261B7A">
        <w:t xml:space="preserve"> to land and </w:t>
      </w:r>
      <w:r w:rsidRPr="00261B7A">
        <w:rPr>
          <w:i/>
          <w:iCs/>
        </w:rPr>
        <w:t>Wastewater treatment and discharge</w:t>
      </w:r>
      <w:r w:rsidRPr="00261B7A">
        <w:t> categories.</w:t>
      </w:r>
    </w:p>
    <w:p w14:paraId="62777754" w14:textId="77777777" w:rsidR="00422EFE" w:rsidRPr="00261B7A" w:rsidRDefault="00422EFE" w:rsidP="003143A6">
      <w:pPr>
        <w:pStyle w:val="Heading3"/>
        <w:spacing w:before="280"/>
      </w:pPr>
      <w:bookmarkStart w:id="2508" w:name="source-specific-recalculations-1"/>
      <w:bookmarkEnd w:id="2507"/>
      <w:r w:rsidRPr="00261B7A">
        <w:t xml:space="preserve">7.3.5 </w:t>
      </w:r>
      <w:r w:rsidRPr="00261B7A">
        <w:tab/>
        <w:t>Source-specific recalculations</w:t>
      </w:r>
    </w:p>
    <w:p w14:paraId="1C29C608" w14:textId="77777777" w:rsidR="00422EFE" w:rsidRPr="00261B7A" w:rsidRDefault="00422EFE" w:rsidP="00422EFE">
      <w:pPr>
        <w:pStyle w:val="BodyText"/>
      </w:pPr>
      <w:r w:rsidRPr="00261B7A">
        <w:t xml:space="preserve">Emissions from </w:t>
      </w:r>
      <w:r w:rsidRPr="00261B7A">
        <w:rPr>
          <w:i/>
          <w:iCs/>
        </w:rPr>
        <w:t>Composting</w:t>
      </w:r>
      <w:r w:rsidRPr="00261B7A">
        <w:t xml:space="preserve"> (5.B.1.a) have not changed in 1990, and increased by 0.8 kt CO</w:t>
      </w:r>
      <w:r w:rsidRPr="00261B7A">
        <w:rPr>
          <w:vertAlign w:val="subscript"/>
        </w:rPr>
        <w:t>2</w:t>
      </w:r>
      <w:r w:rsidRPr="00261B7A">
        <w:t>-e (1.2 per cent) in 2020 compared with the previous submission due to accounting for the effects of policy actions starting in 2020.</w:t>
      </w:r>
    </w:p>
    <w:p w14:paraId="099EE5B2" w14:textId="77777777" w:rsidR="00422EFE" w:rsidRPr="00261B7A" w:rsidRDefault="00422EFE" w:rsidP="003143A6">
      <w:pPr>
        <w:pStyle w:val="Heading3"/>
        <w:spacing w:before="280"/>
      </w:pPr>
      <w:bookmarkStart w:id="2509" w:name="source-specific-planned-improvements-1"/>
      <w:bookmarkEnd w:id="2508"/>
      <w:r w:rsidRPr="00261B7A">
        <w:t xml:space="preserve">7.3.6 </w:t>
      </w:r>
      <w:r w:rsidRPr="00261B7A">
        <w:tab/>
        <w:t>Source-specific planned improvements</w:t>
      </w:r>
    </w:p>
    <w:p w14:paraId="2FDE8767" w14:textId="77777777" w:rsidR="00422EFE" w:rsidRPr="00261B7A" w:rsidRDefault="00422EFE" w:rsidP="00422EFE">
      <w:pPr>
        <w:pStyle w:val="BodyText"/>
      </w:pPr>
      <w:r w:rsidRPr="00261B7A">
        <w:t>No specific improvements are planned for this category. Over time, better activity data will be applied to the inventory if and when they become available.</w:t>
      </w:r>
    </w:p>
    <w:p w14:paraId="06FD3491" w14:textId="77777777" w:rsidR="00422EFE" w:rsidRPr="00261B7A" w:rsidRDefault="00422EFE" w:rsidP="00A638DC">
      <w:pPr>
        <w:pStyle w:val="Heading2"/>
      </w:pPr>
      <w:bookmarkStart w:id="2510" w:name="_Toc131591263"/>
      <w:bookmarkStart w:id="2511" w:name="X4f2eb840ef6efa4b4133eb3374d048d378818bb"/>
      <w:bookmarkEnd w:id="2494"/>
      <w:bookmarkEnd w:id="2509"/>
      <w:r w:rsidRPr="00261B7A">
        <w:t xml:space="preserve">7.4 </w:t>
      </w:r>
      <w:r w:rsidRPr="00261B7A">
        <w:tab/>
        <w:t>Incineration and open burning of waste (5.C)</w:t>
      </w:r>
      <w:bookmarkEnd w:id="2510"/>
    </w:p>
    <w:p w14:paraId="3AD6505B" w14:textId="77777777" w:rsidR="00422EFE" w:rsidRPr="00261B7A" w:rsidRDefault="00422EFE" w:rsidP="00422EFE">
      <w:pPr>
        <w:pStyle w:val="Heading3"/>
        <w:spacing w:before="240"/>
      </w:pPr>
      <w:bookmarkStart w:id="2512" w:name="description-2"/>
      <w:r w:rsidRPr="00261B7A">
        <w:t xml:space="preserve">7.4.1 </w:t>
      </w:r>
      <w:r w:rsidRPr="00261B7A">
        <w:tab/>
        <w:t>Description</w:t>
      </w:r>
    </w:p>
    <w:p w14:paraId="4AD576F1" w14:textId="77777777" w:rsidR="00422EFE" w:rsidRPr="00261B7A" w:rsidRDefault="00422EFE" w:rsidP="00422EFE">
      <w:pPr>
        <w:pStyle w:val="BodyText"/>
      </w:pPr>
      <w:r w:rsidRPr="00261B7A">
        <w:t>There is no incineration of municipal waste in New Zealand for energy production or otherwise. Incineration is used on a small scale for disposal of clinical wastes, hazardous wastes and sewage sludge. The practice of incinerating clinical wastes has declined through the time series, due to more stringent environmental regulation and the use of alternative technologies such as sterilisation. In the context of New Zealand’s greenhouse gas inventory, the term ‘clinical wastes’ refers to a combination of clinical, medical and quarantine wastes.</w:t>
      </w:r>
    </w:p>
    <w:p w14:paraId="7A40EB1E" w14:textId="77777777" w:rsidR="00422EFE" w:rsidRPr="00261B7A" w:rsidRDefault="00422EFE" w:rsidP="00422EFE">
      <w:pPr>
        <w:pStyle w:val="BodyText"/>
      </w:pPr>
      <w:r w:rsidRPr="00261B7A">
        <w:t>Waste incineration is regulated under the Resource Management Act 1991. In addition, in 2004, a national environmental standard was introduced that required consents for all existing low-temperature incinerators, such as those historically used in schools and sometimes in hospitals.</w:t>
      </w:r>
    </w:p>
    <w:p w14:paraId="2788C97F" w14:textId="77777777" w:rsidR="00422EFE" w:rsidRPr="00261B7A" w:rsidRDefault="00422EFE" w:rsidP="00422EFE">
      <w:pPr>
        <w:pStyle w:val="BodyText"/>
      </w:pPr>
      <w:r w:rsidRPr="00261B7A">
        <w:t>There is no open burning of waste at municipal or non-municipal landfill facilities in New Zealand. It is common for farms to practise open burning of rural waste (GHD, 2014) and, while limited information is available on the extent of the practice, emissions from open burning are reported. It is assumed that an equal amount of farm waste that is buried (see table 7.2.4) is burned, which is additional to the amount buried.</w:t>
      </w:r>
    </w:p>
    <w:p w14:paraId="45A6E0AF" w14:textId="77777777" w:rsidR="00422EFE" w:rsidRPr="00261B7A" w:rsidRDefault="00422EFE" w:rsidP="00422EFE">
      <w:pPr>
        <w:pStyle w:val="BodyText"/>
      </w:pPr>
      <w:r w:rsidRPr="00261B7A">
        <w:t>On its website, the Ministry of Education indicates that waste incineration is still practised in a small number of primary schools located in remote rural areas. Although information is not available on the exact number of schools practising waste incineration, it is estimated that around 10 per cent of the total number of schools in New Zealand still incinerate their waste production (P Guiney, Ministry of Education, pers. comm., 4 December 2019). Emissions from this source are not estimated for this submission and are reported as not estimated (NE). See annex 6.2 for more information.</w:t>
      </w:r>
    </w:p>
    <w:p w14:paraId="2E06615B" w14:textId="77777777" w:rsidR="00422EFE" w:rsidRPr="00261B7A" w:rsidRDefault="00422EFE" w:rsidP="00422EFE">
      <w:pPr>
        <w:pStyle w:val="BodyText"/>
      </w:pPr>
      <w:r w:rsidRPr="00261B7A">
        <w:t xml:space="preserve">Where data are available, the burning of waste materials, including waste oil, wood chips and tyres for fuelling boilers and/or a cement kiln, is reported under the Energy sector in the </w:t>
      </w:r>
      <w:r w:rsidRPr="00261B7A">
        <w:rPr>
          <w:i/>
          <w:iCs/>
        </w:rPr>
        <w:t>Manufacturing industries and construction</w:t>
      </w:r>
      <w:r w:rsidRPr="00261B7A">
        <w:t xml:space="preserve"> category. In 2021, </w:t>
      </w:r>
      <w:r w:rsidRPr="00261B7A">
        <w:rPr>
          <w:i/>
          <w:iCs/>
        </w:rPr>
        <w:t>Incineration and open burning of waste</w:t>
      </w:r>
      <w:r w:rsidRPr="00261B7A">
        <w:t xml:space="preserve"> accounted for 187.1 kt CO</w:t>
      </w:r>
      <w:r w:rsidRPr="00261B7A">
        <w:rPr>
          <w:vertAlign w:val="subscript"/>
        </w:rPr>
        <w:t>2</w:t>
      </w:r>
      <w:r w:rsidRPr="00261B7A">
        <w:t>-e (5.8 per cent) of Waste sector emissions (see table 7.4.1). This was a decrease of 128.6 kt CO</w:t>
      </w:r>
      <w:r w:rsidRPr="00261B7A">
        <w:rPr>
          <w:vertAlign w:val="subscript"/>
        </w:rPr>
        <w:t>2</w:t>
      </w:r>
      <w:r w:rsidRPr="00261B7A">
        <w:t>-e below the 1990 level of 315.7 kt CO</w:t>
      </w:r>
      <w:r w:rsidRPr="00261B7A">
        <w:rPr>
          <w:vertAlign w:val="subscript"/>
        </w:rPr>
        <w:t>2</w:t>
      </w:r>
      <w:r w:rsidRPr="00261B7A">
        <w:t>-e, and a decrease of 1.7 kt CO</w:t>
      </w:r>
      <w:r w:rsidRPr="00261B7A">
        <w:rPr>
          <w:vertAlign w:val="subscript"/>
        </w:rPr>
        <w:t>2</w:t>
      </w:r>
      <w:r w:rsidRPr="00261B7A">
        <w:t>-e (0.9 per cent) from 2020.</w:t>
      </w:r>
    </w:p>
    <w:p w14:paraId="45D1BA59" w14:textId="77777777" w:rsidR="00422EFE" w:rsidRPr="00261B7A" w:rsidRDefault="00422EFE" w:rsidP="00422EFE">
      <w:pPr>
        <w:pStyle w:val="Table"/>
      </w:pPr>
      <w:bookmarkStart w:id="2513" w:name="_Toc128383673"/>
      <w:bookmarkStart w:id="2514" w:name="_Toc131591446"/>
      <w:r w:rsidRPr="00261B7A">
        <w:t xml:space="preserve">Table 7.4.1 </w:t>
      </w:r>
      <w:r w:rsidRPr="00261B7A">
        <w:tab/>
        <w:t>Emissions from Incineration and open burning of waste (5.C)</w:t>
      </w:r>
      <w:bookmarkEnd w:id="2513"/>
      <w:bookmarkEnd w:id="2514"/>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61"/>
        <w:gridCol w:w="992"/>
        <w:gridCol w:w="958"/>
        <w:gridCol w:w="1961"/>
        <w:gridCol w:w="1333"/>
      </w:tblGrid>
      <w:tr w:rsidR="00422EFE" w:rsidRPr="00261B7A" w14:paraId="77C3885F" w14:textId="77777777" w:rsidTr="00D41492">
        <w:trPr>
          <w:tblHeader/>
        </w:trPr>
        <w:tc>
          <w:tcPr>
            <w:tcW w:w="3261" w:type="dxa"/>
            <w:shd w:val="clear" w:color="auto" w:fill="1B556B"/>
            <w:tcMar>
              <w:top w:w="0" w:type="dxa"/>
              <w:left w:w="108" w:type="dxa"/>
              <w:bottom w:w="0" w:type="dxa"/>
              <w:right w:w="108" w:type="dxa"/>
            </w:tcMar>
          </w:tcPr>
          <w:p w14:paraId="19E6BD74" w14:textId="77777777" w:rsidR="00422EFE" w:rsidRPr="00261B7A" w:rsidRDefault="00422EFE" w:rsidP="00D41492">
            <w:pPr>
              <w:pStyle w:val="TableText"/>
              <w:rPr>
                <w:b/>
                <w:bCs/>
                <w:color w:val="FFFFFF" w:themeColor="background1"/>
              </w:rPr>
            </w:pPr>
            <w:r w:rsidRPr="00261B7A">
              <w:rPr>
                <w:rFonts w:eastAsia="Calibri"/>
                <w:b/>
                <w:bCs/>
                <w:color w:val="FFFFFF" w:themeColor="background1"/>
              </w:rPr>
              <w:t xml:space="preserve"> </w:t>
            </w:r>
          </w:p>
        </w:tc>
        <w:tc>
          <w:tcPr>
            <w:tcW w:w="1950" w:type="dxa"/>
            <w:gridSpan w:val="2"/>
            <w:shd w:val="clear" w:color="auto" w:fill="1B556B"/>
            <w:tcMar>
              <w:top w:w="0" w:type="dxa"/>
              <w:left w:w="108" w:type="dxa"/>
              <w:bottom w:w="0" w:type="dxa"/>
              <w:right w:w="108" w:type="dxa"/>
            </w:tcMar>
          </w:tcPr>
          <w:p w14:paraId="43FECBCE" w14:textId="77777777" w:rsidR="00422EFE" w:rsidRPr="00261B7A" w:rsidRDefault="00422EFE" w:rsidP="00D41492">
            <w:pPr>
              <w:pStyle w:val="TableText"/>
              <w:jc w:val="right"/>
              <w:rPr>
                <w:b/>
                <w:bCs/>
                <w:color w:val="FFFFFF" w:themeColor="background1"/>
              </w:rPr>
            </w:pPr>
            <w:r w:rsidRPr="00261B7A">
              <w:rPr>
                <w:rFonts w:eastAsia="Calibri"/>
                <w:b/>
                <w:bCs/>
                <w:color w:val="FFFFFF" w:themeColor="background1"/>
              </w:rPr>
              <w:t>Emissions (kt CO₂-e)</w:t>
            </w:r>
          </w:p>
        </w:tc>
        <w:tc>
          <w:tcPr>
            <w:tcW w:w="1961" w:type="dxa"/>
            <w:shd w:val="clear" w:color="auto" w:fill="1B556B"/>
            <w:tcMar>
              <w:top w:w="0" w:type="dxa"/>
              <w:left w:w="108" w:type="dxa"/>
              <w:bottom w:w="0" w:type="dxa"/>
              <w:right w:w="108" w:type="dxa"/>
            </w:tcMar>
          </w:tcPr>
          <w:p w14:paraId="20DD6E50" w14:textId="77777777" w:rsidR="00422EFE" w:rsidRPr="00261B7A" w:rsidRDefault="00422EFE" w:rsidP="00D41492">
            <w:pPr>
              <w:pStyle w:val="TableText"/>
              <w:jc w:val="right"/>
              <w:rPr>
                <w:b/>
                <w:bCs/>
                <w:color w:val="FFFFFF" w:themeColor="background1"/>
              </w:rPr>
            </w:pPr>
            <w:r w:rsidRPr="00261B7A">
              <w:rPr>
                <w:rFonts w:eastAsia="Calibri"/>
                <w:b/>
                <w:bCs/>
                <w:color w:val="FFFFFF" w:themeColor="background1"/>
              </w:rPr>
              <w:t>Difference (kt CO₂-e)</w:t>
            </w:r>
          </w:p>
        </w:tc>
        <w:tc>
          <w:tcPr>
            <w:tcW w:w="0" w:type="auto"/>
            <w:shd w:val="clear" w:color="auto" w:fill="1B556B"/>
            <w:tcMar>
              <w:top w:w="0" w:type="dxa"/>
              <w:left w:w="108" w:type="dxa"/>
              <w:bottom w:w="0" w:type="dxa"/>
              <w:right w:w="108" w:type="dxa"/>
            </w:tcMar>
          </w:tcPr>
          <w:p w14:paraId="69DDA9AF" w14:textId="77777777" w:rsidR="00422EFE" w:rsidRPr="00261B7A" w:rsidRDefault="00422EFE" w:rsidP="00D41492">
            <w:pPr>
              <w:pStyle w:val="TableText"/>
              <w:jc w:val="right"/>
              <w:rPr>
                <w:b/>
                <w:bCs/>
                <w:color w:val="FFFFFF" w:themeColor="background1"/>
              </w:rPr>
            </w:pPr>
            <w:r w:rsidRPr="00261B7A">
              <w:rPr>
                <w:rFonts w:eastAsia="Calibri"/>
                <w:b/>
                <w:bCs/>
                <w:color w:val="FFFFFF" w:themeColor="background1"/>
              </w:rPr>
              <w:t>Change (%)</w:t>
            </w:r>
          </w:p>
        </w:tc>
      </w:tr>
      <w:tr w:rsidR="00422EFE" w:rsidRPr="00261B7A" w14:paraId="25B6A2DE" w14:textId="77777777" w:rsidTr="00D41492">
        <w:tc>
          <w:tcPr>
            <w:tcW w:w="3261" w:type="dxa"/>
            <w:shd w:val="clear" w:color="auto" w:fill="FFFFFF"/>
            <w:tcMar>
              <w:top w:w="0" w:type="dxa"/>
              <w:left w:w="108" w:type="dxa"/>
              <w:bottom w:w="0" w:type="dxa"/>
              <w:right w:w="108" w:type="dxa"/>
            </w:tcMar>
          </w:tcPr>
          <w:p w14:paraId="235390A3" w14:textId="77777777" w:rsidR="00422EFE" w:rsidRPr="00261B7A" w:rsidRDefault="00422EFE" w:rsidP="00B81845">
            <w:pPr>
              <w:pStyle w:val="TableTextBold"/>
              <w:spacing w:before="40" w:after="40"/>
              <w:rPr>
                <w:noProof w:val="0"/>
              </w:rPr>
            </w:pPr>
            <w:r w:rsidRPr="00261B7A">
              <w:rPr>
                <w:rFonts w:eastAsia="Calibri"/>
                <w:noProof w:val="0"/>
              </w:rPr>
              <w:t>Source category</w:t>
            </w:r>
          </w:p>
        </w:tc>
        <w:tc>
          <w:tcPr>
            <w:tcW w:w="992" w:type="dxa"/>
            <w:shd w:val="clear" w:color="auto" w:fill="FFFFFF"/>
            <w:tcMar>
              <w:top w:w="0" w:type="dxa"/>
              <w:left w:w="108" w:type="dxa"/>
              <w:bottom w:w="0" w:type="dxa"/>
              <w:right w:w="108" w:type="dxa"/>
            </w:tcMar>
          </w:tcPr>
          <w:p w14:paraId="57E074E3" w14:textId="77777777" w:rsidR="00422EFE" w:rsidRPr="00261B7A" w:rsidRDefault="00422EFE" w:rsidP="00B81845">
            <w:pPr>
              <w:pStyle w:val="TableTextBold"/>
              <w:spacing w:before="40" w:after="40"/>
              <w:jc w:val="right"/>
              <w:rPr>
                <w:noProof w:val="0"/>
              </w:rPr>
            </w:pPr>
            <w:r w:rsidRPr="00261B7A">
              <w:rPr>
                <w:rFonts w:eastAsia="Calibri"/>
                <w:noProof w:val="0"/>
              </w:rPr>
              <w:t>1990</w:t>
            </w:r>
          </w:p>
        </w:tc>
        <w:tc>
          <w:tcPr>
            <w:tcW w:w="958" w:type="dxa"/>
            <w:shd w:val="clear" w:color="auto" w:fill="FFFFFF"/>
            <w:tcMar>
              <w:top w:w="0" w:type="dxa"/>
              <w:left w:w="108" w:type="dxa"/>
              <w:bottom w:w="0" w:type="dxa"/>
              <w:right w:w="108" w:type="dxa"/>
            </w:tcMar>
          </w:tcPr>
          <w:p w14:paraId="58F100BB" w14:textId="77777777" w:rsidR="00422EFE" w:rsidRPr="00261B7A" w:rsidRDefault="00422EFE" w:rsidP="00B81845">
            <w:pPr>
              <w:pStyle w:val="TableTextBold"/>
              <w:spacing w:before="40" w:after="40"/>
              <w:jc w:val="right"/>
              <w:rPr>
                <w:noProof w:val="0"/>
              </w:rPr>
            </w:pPr>
            <w:r w:rsidRPr="00261B7A">
              <w:rPr>
                <w:rFonts w:eastAsia="Calibri"/>
                <w:noProof w:val="0"/>
              </w:rPr>
              <w:t>2021</w:t>
            </w:r>
          </w:p>
        </w:tc>
        <w:tc>
          <w:tcPr>
            <w:tcW w:w="1961" w:type="dxa"/>
            <w:shd w:val="clear" w:color="auto" w:fill="FFFFFF"/>
            <w:tcMar>
              <w:top w:w="0" w:type="dxa"/>
              <w:left w:w="108" w:type="dxa"/>
              <w:bottom w:w="0" w:type="dxa"/>
              <w:right w:w="108" w:type="dxa"/>
            </w:tcMar>
          </w:tcPr>
          <w:p w14:paraId="30B5DEBA" w14:textId="77777777" w:rsidR="00422EFE" w:rsidRPr="00261B7A" w:rsidRDefault="00422EFE" w:rsidP="00B81845">
            <w:pPr>
              <w:pStyle w:val="TableTextBold"/>
              <w:spacing w:before="40" w:after="40"/>
              <w:jc w:val="right"/>
              <w:rPr>
                <w:noProof w:val="0"/>
              </w:rPr>
            </w:pPr>
            <w:r w:rsidRPr="00261B7A">
              <w:rPr>
                <w:rFonts w:eastAsia="Calibri"/>
                <w:noProof w:val="0"/>
              </w:rPr>
              <w:t>1990–2021</w:t>
            </w:r>
          </w:p>
        </w:tc>
        <w:tc>
          <w:tcPr>
            <w:tcW w:w="0" w:type="auto"/>
            <w:shd w:val="clear" w:color="auto" w:fill="FFFFFF"/>
            <w:tcMar>
              <w:top w:w="0" w:type="dxa"/>
              <w:left w:w="108" w:type="dxa"/>
              <w:bottom w:w="0" w:type="dxa"/>
              <w:right w:w="108" w:type="dxa"/>
            </w:tcMar>
          </w:tcPr>
          <w:p w14:paraId="4C2E4269" w14:textId="77777777" w:rsidR="00422EFE" w:rsidRPr="00261B7A" w:rsidRDefault="00422EFE" w:rsidP="00B81845">
            <w:pPr>
              <w:pStyle w:val="TableTextBold"/>
              <w:spacing w:before="40" w:after="40"/>
              <w:jc w:val="right"/>
              <w:rPr>
                <w:noProof w:val="0"/>
              </w:rPr>
            </w:pPr>
            <w:r w:rsidRPr="00261B7A">
              <w:rPr>
                <w:rFonts w:eastAsia="Calibri"/>
                <w:noProof w:val="0"/>
              </w:rPr>
              <w:t>1990–2021</w:t>
            </w:r>
          </w:p>
        </w:tc>
      </w:tr>
      <w:tr w:rsidR="00422EFE" w:rsidRPr="00261B7A" w14:paraId="75FFDEA6" w14:textId="77777777" w:rsidTr="00D41492">
        <w:tc>
          <w:tcPr>
            <w:tcW w:w="3261" w:type="dxa"/>
            <w:shd w:val="clear" w:color="auto" w:fill="FFFFFF"/>
            <w:tcMar>
              <w:top w:w="0" w:type="dxa"/>
              <w:left w:w="108" w:type="dxa"/>
              <w:bottom w:w="0" w:type="dxa"/>
              <w:right w:w="108" w:type="dxa"/>
            </w:tcMar>
          </w:tcPr>
          <w:p w14:paraId="6A92E7A0" w14:textId="77777777" w:rsidR="00422EFE" w:rsidRPr="00261B7A" w:rsidRDefault="00422EFE" w:rsidP="00B81845">
            <w:pPr>
              <w:pStyle w:val="TableText"/>
              <w:spacing w:before="40" w:after="40"/>
            </w:pPr>
            <w:r w:rsidRPr="00261B7A">
              <w:rPr>
                <w:rFonts w:eastAsia="Calibri"/>
                <w:color w:val="000000"/>
              </w:rPr>
              <w:t>Incineration (5.C.1)</w:t>
            </w:r>
          </w:p>
        </w:tc>
        <w:tc>
          <w:tcPr>
            <w:tcW w:w="992" w:type="dxa"/>
            <w:shd w:val="clear" w:color="auto" w:fill="FFFFFF"/>
            <w:tcMar>
              <w:top w:w="0" w:type="dxa"/>
              <w:left w:w="108" w:type="dxa"/>
              <w:bottom w:w="0" w:type="dxa"/>
              <w:right w:w="108" w:type="dxa"/>
            </w:tcMar>
          </w:tcPr>
          <w:p w14:paraId="20CCE22F" w14:textId="77777777" w:rsidR="00422EFE" w:rsidRPr="00261B7A" w:rsidRDefault="00422EFE" w:rsidP="00B81845">
            <w:pPr>
              <w:pStyle w:val="TableText"/>
              <w:spacing w:before="40" w:after="40"/>
              <w:jc w:val="right"/>
            </w:pPr>
            <w:r w:rsidRPr="00261B7A">
              <w:rPr>
                <w:rFonts w:eastAsia="Calibri"/>
                <w:color w:val="000000"/>
              </w:rPr>
              <w:t>14.8</w:t>
            </w:r>
          </w:p>
        </w:tc>
        <w:tc>
          <w:tcPr>
            <w:tcW w:w="958" w:type="dxa"/>
            <w:shd w:val="clear" w:color="auto" w:fill="FFFFFF"/>
            <w:tcMar>
              <w:top w:w="0" w:type="dxa"/>
              <w:left w:w="108" w:type="dxa"/>
              <w:bottom w:w="0" w:type="dxa"/>
              <w:right w:w="108" w:type="dxa"/>
            </w:tcMar>
          </w:tcPr>
          <w:p w14:paraId="6F0DDE9E" w14:textId="77777777" w:rsidR="00422EFE" w:rsidRPr="00261B7A" w:rsidRDefault="00422EFE" w:rsidP="00B81845">
            <w:pPr>
              <w:pStyle w:val="TableText"/>
              <w:spacing w:before="40" w:after="40"/>
              <w:jc w:val="right"/>
            </w:pPr>
            <w:r w:rsidRPr="00261B7A">
              <w:rPr>
                <w:rFonts w:eastAsia="Calibri"/>
                <w:color w:val="000000"/>
              </w:rPr>
              <w:t>2.4</w:t>
            </w:r>
          </w:p>
        </w:tc>
        <w:tc>
          <w:tcPr>
            <w:tcW w:w="1961" w:type="dxa"/>
            <w:shd w:val="clear" w:color="auto" w:fill="FFFFFF"/>
            <w:tcMar>
              <w:top w:w="0" w:type="dxa"/>
              <w:left w:w="108" w:type="dxa"/>
              <w:bottom w:w="0" w:type="dxa"/>
              <w:right w:w="108" w:type="dxa"/>
            </w:tcMar>
          </w:tcPr>
          <w:p w14:paraId="0222406C" w14:textId="77777777" w:rsidR="00422EFE" w:rsidRPr="00261B7A" w:rsidRDefault="00422EFE" w:rsidP="00B81845">
            <w:pPr>
              <w:pStyle w:val="TableText"/>
              <w:spacing w:before="40" w:after="40"/>
              <w:jc w:val="right"/>
            </w:pPr>
            <w:r w:rsidRPr="00261B7A">
              <w:rPr>
                <w:rFonts w:eastAsia="Calibri"/>
                <w:color w:val="000000"/>
              </w:rPr>
              <w:t>–12.3</w:t>
            </w:r>
          </w:p>
        </w:tc>
        <w:tc>
          <w:tcPr>
            <w:tcW w:w="0" w:type="auto"/>
            <w:shd w:val="clear" w:color="auto" w:fill="FFFFFF"/>
            <w:tcMar>
              <w:top w:w="0" w:type="dxa"/>
              <w:left w:w="108" w:type="dxa"/>
              <w:bottom w:w="0" w:type="dxa"/>
              <w:right w:w="108" w:type="dxa"/>
            </w:tcMar>
          </w:tcPr>
          <w:p w14:paraId="770E2DCC" w14:textId="77777777" w:rsidR="00422EFE" w:rsidRPr="00261B7A" w:rsidRDefault="00422EFE" w:rsidP="00B81845">
            <w:pPr>
              <w:pStyle w:val="TableText"/>
              <w:spacing w:before="40" w:after="40"/>
              <w:jc w:val="right"/>
            </w:pPr>
            <w:r w:rsidRPr="00261B7A">
              <w:rPr>
                <w:rFonts w:eastAsia="Calibri"/>
                <w:color w:val="000000"/>
              </w:rPr>
              <w:t>–83.5</w:t>
            </w:r>
          </w:p>
        </w:tc>
      </w:tr>
      <w:tr w:rsidR="00422EFE" w:rsidRPr="00261B7A" w14:paraId="05D4CFB7" w14:textId="77777777" w:rsidTr="00D41492">
        <w:tc>
          <w:tcPr>
            <w:tcW w:w="3261" w:type="dxa"/>
            <w:shd w:val="clear" w:color="auto" w:fill="FFFFFF"/>
            <w:tcMar>
              <w:top w:w="0" w:type="dxa"/>
              <w:left w:w="108" w:type="dxa"/>
              <w:bottom w:w="0" w:type="dxa"/>
              <w:right w:w="108" w:type="dxa"/>
            </w:tcMar>
          </w:tcPr>
          <w:p w14:paraId="740D7AAA" w14:textId="77777777" w:rsidR="00422EFE" w:rsidRPr="00261B7A" w:rsidRDefault="00422EFE" w:rsidP="00B81845">
            <w:pPr>
              <w:pStyle w:val="TableText"/>
              <w:spacing w:before="40" w:after="40"/>
            </w:pPr>
            <w:r w:rsidRPr="00261B7A">
              <w:rPr>
                <w:rFonts w:eastAsia="Calibri"/>
                <w:color w:val="000000"/>
              </w:rPr>
              <w:t>Open burning (5.C.2)</w:t>
            </w:r>
          </w:p>
        </w:tc>
        <w:tc>
          <w:tcPr>
            <w:tcW w:w="992" w:type="dxa"/>
            <w:shd w:val="clear" w:color="auto" w:fill="FFFFFF"/>
            <w:tcMar>
              <w:top w:w="0" w:type="dxa"/>
              <w:left w:w="108" w:type="dxa"/>
              <w:bottom w:w="0" w:type="dxa"/>
              <w:right w:w="108" w:type="dxa"/>
            </w:tcMar>
          </w:tcPr>
          <w:p w14:paraId="4427CF68" w14:textId="2D2793E3" w:rsidR="00422EFE" w:rsidRPr="00261B7A" w:rsidRDefault="00422EFE" w:rsidP="00B81845">
            <w:pPr>
              <w:pStyle w:val="TableText"/>
              <w:spacing w:before="40" w:after="40"/>
              <w:jc w:val="right"/>
            </w:pPr>
            <w:r w:rsidRPr="00261B7A">
              <w:rPr>
                <w:rFonts w:eastAsia="Calibri"/>
                <w:color w:val="000000"/>
              </w:rPr>
              <w:t>301</w:t>
            </w:r>
            <w:r w:rsidR="004F4A1B" w:rsidRPr="00261B7A">
              <w:rPr>
                <w:rFonts w:eastAsia="Calibri"/>
                <w:color w:val="000000"/>
              </w:rPr>
              <w:t>.0</w:t>
            </w:r>
          </w:p>
        </w:tc>
        <w:tc>
          <w:tcPr>
            <w:tcW w:w="958" w:type="dxa"/>
            <w:shd w:val="clear" w:color="auto" w:fill="FFFFFF"/>
            <w:tcMar>
              <w:top w:w="0" w:type="dxa"/>
              <w:left w:w="108" w:type="dxa"/>
              <w:bottom w:w="0" w:type="dxa"/>
              <w:right w:w="108" w:type="dxa"/>
            </w:tcMar>
          </w:tcPr>
          <w:p w14:paraId="464CA82A" w14:textId="77777777" w:rsidR="00422EFE" w:rsidRPr="00261B7A" w:rsidRDefault="00422EFE" w:rsidP="00B81845">
            <w:pPr>
              <w:pStyle w:val="TableText"/>
              <w:spacing w:before="40" w:after="40"/>
              <w:jc w:val="right"/>
            </w:pPr>
            <w:r w:rsidRPr="00261B7A">
              <w:rPr>
                <w:rFonts w:eastAsia="Calibri"/>
                <w:color w:val="000000"/>
              </w:rPr>
              <w:t>184.7</w:t>
            </w:r>
          </w:p>
        </w:tc>
        <w:tc>
          <w:tcPr>
            <w:tcW w:w="1961" w:type="dxa"/>
            <w:shd w:val="clear" w:color="auto" w:fill="FFFFFF"/>
            <w:tcMar>
              <w:top w:w="0" w:type="dxa"/>
              <w:left w:w="108" w:type="dxa"/>
              <w:bottom w:w="0" w:type="dxa"/>
              <w:right w:w="108" w:type="dxa"/>
            </w:tcMar>
          </w:tcPr>
          <w:p w14:paraId="05DC35DE" w14:textId="77777777" w:rsidR="00422EFE" w:rsidRPr="00261B7A" w:rsidRDefault="00422EFE" w:rsidP="00B81845">
            <w:pPr>
              <w:pStyle w:val="TableText"/>
              <w:spacing w:before="40" w:after="40"/>
              <w:jc w:val="right"/>
            </w:pPr>
            <w:r w:rsidRPr="00261B7A">
              <w:rPr>
                <w:rFonts w:eastAsia="Calibri"/>
                <w:color w:val="000000"/>
              </w:rPr>
              <w:t>–116.3</w:t>
            </w:r>
          </w:p>
        </w:tc>
        <w:tc>
          <w:tcPr>
            <w:tcW w:w="0" w:type="auto"/>
            <w:shd w:val="clear" w:color="auto" w:fill="FFFFFF"/>
            <w:tcMar>
              <w:top w:w="0" w:type="dxa"/>
              <w:left w:w="108" w:type="dxa"/>
              <w:bottom w:w="0" w:type="dxa"/>
              <w:right w:w="108" w:type="dxa"/>
            </w:tcMar>
          </w:tcPr>
          <w:p w14:paraId="6C0B3A9F" w14:textId="77777777" w:rsidR="00422EFE" w:rsidRPr="00261B7A" w:rsidRDefault="00422EFE" w:rsidP="00B81845">
            <w:pPr>
              <w:pStyle w:val="TableText"/>
              <w:spacing w:before="40" w:after="40"/>
              <w:jc w:val="right"/>
            </w:pPr>
            <w:r w:rsidRPr="00261B7A">
              <w:rPr>
                <w:rFonts w:eastAsia="Calibri"/>
                <w:color w:val="000000"/>
              </w:rPr>
              <w:t>–38.6</w:t>
            </w:r>
          </w:p>
        </w:tc>
      </w:tr>
      <w:tr w:rsidR="00422EFE" w:rsidRPr="00261B7A" w14:paraId="4B82C54E" w14:textId="77777777" w:rsidTr="00D41492">
        <w:tc>
          <w:tcPr>
            <w:tcW w:w="3261" w:type="dxa"/>
            <w:shd w:val="clear" w:color="auto" w:fill="FFFFFF"/>
            <w:tcMar>
              <w:top w:w="0" w:type="dxa"/>
              <w:left w:w="108" w:type="dxa"/>
              <w:bottom w:w="0" w:type="dxa"/>
              <w:right w:w="108" w:type="dxa"/>
            </w:tcMar>
          </w:tcPr>
          <w:p w14:paraId="50314CF6" w14:textId="77777777" w:rsidR="00422EFE" w:rsidRPr="00261B7A" w:rsidRDefault="00422EFE" w:rsidP="00B81845">
            <w:pPr>
              <w:pStyle w:val="Tableboldblue"/>
              <w:spacing w:before="40" w:after="40"/>
            </w:pPr>
            <w:r w:rsidRPr="00261B7A">
              <w:rPr>
                <w:rFonts w:eastAsia="Calibri"/>
              </w:rPr>
              <w:t>Total (5.C)</w:t>
            </w:r>
          </w:p>
        </w:tc>
        <w:tc>
          <w:tcPr>
            <w:tcW w:w="992" w:type="dxa"/>
            <w:shd w:val="clear" w:color="auto" w:fill="FFFFFF"/>
            <w:tcMar>
              <w:top w:w="0" w:type="dxa"/>
              <w:left w:w="108" w:type="dxa"/>
              <w:bottom w:w="0" w:type="dxa"/>
              <w:right w:w="108" w:type="dxa"/>
            </w:tcMar>
          </w:tcPr>
          <w:p w14:paraId="0E625D06" w14:textId="77777777" w:rsidR="00422EFE" w:rsidRPr="00261B7A" w:rsidRDefault="00422EFE" w:rsidP="00B81845">
            <w:pPr>
              <w:pStyle w:val="Tableboldblue"/>
              <w:spacing w:before="40" w:after="40"/>
              <w:jc w:val="right"/>
            </w:pPr>
            <w:r w:rsidRPr="00261B7A">
              <w:rPr>
                <w:rFonts w:eastAsia="Calibri"/>
              </w:rPr>
              <w:t>315.7</w:t>
            </w:r>
          </w:p>
        </w:tc>
        <w:tc>
          <w:tcPr>
            <w:tcW w:w="958" w:type="dxa"/>
            <w:shd w:val="clear" w:color="auto" w:fill="FFFFFF"/>
            <w:tcMar>
              <w:top w:w="0" w:type="dxa"/>
              <w:left w:w="108" w:type="dxa"/>
              <w:bottom w:w="0" w:type="dxa"/>
              <w:right w:w="108" w:type="dxa"/>
            </w:tcMar>
          </w:tcPr>
          <w:p w14:paraId="6E9778FB" w14:textId="77777777" w:rsidR="00422EFE" w:rsidRPr="00261B7A" w:rsidRDefault="00422EFE" w:rsidP="00B81845">
            <w:pPr>
              <w:pStyle w:val="Tableboldblue"/>
              <w:spacing w:before="40" w:after="40"/>
              <w:jc w:val="right"/>
            </w:pPr>
            <w:r w:rsidRPr="00261B7A">
              <w:rPr>
                <w:rFonts w:eastAsia="Calibri"/>
              </w:rPr>
              <w:t>187.1</w:t>
            </w:r>
          </w:p>
        </w:tc>
        <w:tc>
          <w:tcPr>
            <w:tcW w:w="1961" w:type="dxa"/>
            <w:shd w:val="clear" w:color="auto" w:fill="FFFFFF"/>
            <w:tcMar>
              <w:top w:w="0" w:type="dxa"/>
              <w:left w:w="108" w:type="dxa"/>
              <w:bottom w:w="0" w:type="dxa"/>
              <w:right w:w="108" w:type="dxa"/>
            </w:tcMar>
          </w:tcPr>
          <w:p w14:paraId="4409322A" w14:textId="77777777" w:rsidR="00422EFE" w:rsidRPr="00261B7A" w:rsidRDefault="00422EFE" w:rsidP="00B81845">
            <w:pPr>
              <w:pStyle w:val="Tableboldblue"/>
              <w:spacing w:before="40" w:after="40"/>
              <w:jc w:val="right"/>
            </w:pPr>
            <w:r w:rsidRPr="00261B7A">
              <w:rPr>
                <w:rFonts w:eastAsia="Calibri"/>
              </w:rPr>
              <w:t>–128.6</w:t>
            </w:r>
          </w:p>
        </w:tc>
        <w:tc>
          <w:tcPr>
            <w:tcW w:w="0" w:type="auto"/>
            <w:shd w:val="clear" w:color="auto" w:fill="FFFFFF"/>
            <w:tcMar>
              <w:top w:w="0" w:type="dxa"/>
              <w:left w:w="108" w:type="dxa"/>
              <w:bottom w:w="0" w:type="dxa"/>
              <w:right w:w="108" w:type="dxa"/>
            </w:tcMar>
          </w:tcPr>
          <w:p w14:paraId="2FD64E33" w14:textId="77777777" w:rsidR="00422EFE" w:rsidRPr="00261B7A" w:rsidRDefault="00422EFE" w:rsidP="00B81845">
            <w:pPr>
              <w:pStyle w:val="Tableboldblue"/>
              <w:spacing w:before="40" w:after="40"/>
              <w:jc w:val="right"/>
            </w:pPr>
            <w:r w:rsidRPr="00261B7A">
              <w:rPr>
                <w:rFonts w:eastAsia="Calibri"/>
              </w:rPr>
              <w:t>–40.7</w:t>
            </w:r>
          </w:p>
        </w:tc>
      </w:tr>
    </w:tbl>
    <w:p w14:paraId="72D825D0" w14:textId="77777777" w:rsidR="00422EFE" w:rsidRPr="00261B7A" w:rsidRDefault="00422EFE" w:rsidP="00422EFE">
      <w:pPr>
        <w:pStyle w:val="Noteundertable"/>
      </w:pPr>
      <w:r w:rsidRPr="00261B7A">
        <w:rPr>
          <w:b/>
          <w:bCs/>
        </w:rPr>
        <w:t>Note:</w:t>
      </w:r>
      <w:r w:rsidRPr="00261B7A">
        <w:t xml:space="preserve"> </w:t>
      </w:r>
      <w:r w:rsidRPr="00261B7A">
        <w:tab/>
        <w:t>Percentages presented are calculated from unrounded values.</w:t>
      </w:r>
    </w:p>
    <w:p w14:paraId="692F8CA7" w14:textId="77777777" w:rsidR="00422EFE" w:rsidRPr="00261B7A" w:rsidRDefault="00422EFE" w:rsidP="00422EFE">
      <w:pPr>
        <w:pStyle w:val="BodyText"/>
      </w:pPr>
      <w:r w:rsidRPr="00261B7A">
        <w:t xml:space="preserve">Carbon dioxide emissions from the </w:t>
      </w:r>
      <w:r w:rsidRPr="00261B7A">
        <w:rPr>
          <w:i/>
          <w:iCs/>
        </w:rPr>
        <w:t>Incineration and open burning of waste</w:t>
      </w:r>
      <w:r w:rsidRPr="00261B7A">
        <w:t xml:space="preserve"> source category were identified as a key category in the 2021 trend assessment.</w:t>
      </w:r>
    </w:p>
    <w:p w14:paraId="6033D8AE" w14:textId="77777777" w:rsidR="00422EFE" w:rsidRPr="00261B7A" w:rsidRDefault="00422EFE" w:rsidP="00422EFE">
      <w:pPr>
        <w:pStyle w:val="Heading3"/>
      </w:pPr>
      <w:bookmarkStart w:id="2515" w:name="methodological-issues-2"/>
      <w:bookmarkEnd w:id="2512"/>
      <w:r w:rsidRPr="00261B7A">
        <w:t xml:space="preserve">7.4.2 </w:t>
      </w:r>
      <w:r w:rsidRPr="00261B7A">
        <w:tab/>
        <w:t>Methodological issues</w:t>
      </w:r>
    </w:p>
    <w:p w14:paraId="400C6846" w14:textId="77777777" w:rsidR="00422EFE" w:rsidRPr="00261B7A" w:rsidRDefault="00422EFE" w:rsidP="00422EFE">
      <w:pPr>
        <w:pStyle w:val="Heading4"/>
      </w:pPr>
      <w:bookmarkStart w:id="2516" w:name="choice-of-activity-data-2"/>
      <w:r w:rsidRPr="00261B7A">
        <w:t>Choice of activity data</w:t>
      </w:r>
    </w:p>
    <w:p w14:paraId="37090FD6" w14:textId="77777777" w:rsidR="00422EFE" w:rsidRPr="00261B7A" w:rsidRDefault="00422EFE" w:rsidP="00422EFE">
      <w:pPr>
        <w:pStyle w:val="Heading5"/>
        <w:spacing w:before="160"/>
      </w:pPr>
      <w:bookmarkStart w:id="2517" w:name="incineration-5.c.1"/>
      <w:r w:rsidRPr="00261B7A">
        <w:t>Incineration (5.C.1)</w:t>
      </w:r>
    </w:p>
    <w:p w14:paraId="71B14660" w14:textId="77777777" w:rsidR="00422EFE" w:rsidRPr="00261B7A" w:rsidRDefault="00422EFE" w:rsidP="00422EFE">
      <w:pPr>
        <w:pStyle w:val="BodyText"/>
      </w:pPr>
      <w:r w:rsidRPr="00261B7A">
        <w:t>Limited information was available from individual site operators on the amount of waste burned between 1990 and 2008. For most sites, these activity data needed to be inferred because the only evidence available was the capacity of equipment and the amounts allowed by consent conditions. For the years after 2008, it has generally been assumed that facilities are continuing in operation at the same rates, in the absence of better information.</w:t>
      </w:r>
    </w:p>
    <w:p w14:paraId="38E5D593" w14:textId="77777777" w:rsidR="00422EFE" w:rsidRPr="00261B7A" w:rsidRDefault="00422EFE" w:rsidP="00422EFE">
      <w:pPr>
        <w:pStyle w:val="BodyText"/>
        <w:keepNext/>
      </w:pPr>
      <w:r w:rsidRPr="00261B7A">
        <w:t>Table 7.4.2 presents activity data for incineration.</w:t>
      </w:r>
    </w:p>
    <w:p w14:paraId="643F3640" w14:textId="77777777" w:rsidR="00422EFE" w:rsidRPr="00261B7A" w:rsidRDefault="00422EFE" w:rsidP="00422EFE">
      <w:pPr>
        <w:pStyle w:val="Table"/>
      </w:pPr>
      <w:bookmarkStart w:id="2518" w:name="_Toc128383674"/>
      <w:bookmarkStart w:id="2519" w:name="_Toc131591447"/>
      <w:r w:rsidRPr="00261B7A">
        <w:t xml:space="preserve">Table 7.4.2 </w:t>
      </w:r>
      <w:r w:rsidRPr="00261B7A">
        <w:tab/>
        <w:t xml:space="preserve">Amounts of waste incinerated from </w:t>
      </w:r>
      <w:r w:rsidRPr="00261B7A">
        <w:rPr>
          <w:bCs/>
        </w:rPr>
        <w:t>1990</w:t>
      </w:r>
      <w:r w:rsidRPr="00261B7A">
        <w:t> to </w:t>
      </w:r>
      <w:r w:rsidRPr="00261B7A">
        <w:rPr>
          <w:bCs/>
        </w:rPr>
        <w:t>2021</w:t>
      </w:r>
      <w:bookmarkEnd w:id="2518"/>
      <w:bookmarkEnd w:id="2519"/>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605"/>
        <w:gridCol w:w="1722"/>
        <w:gridCol w:w="2000"/>
        <w:gridCol w:w="1910"/>
        <w:gridCol w:w="2268"/>
      </w:tblGrid>
      <w:tr w:rsidR="00B81845" w:rsidRPr="00261B7A" w14:paraId="4110C7BD" w14:textId="77777777" w:rsidTr="00D41492">
        <w:trPr>
          <w:tblHeader/>
        </w:trPr>
        <w:tc>
          <w:tcPr>
            <w:tcW w:w="0" w:type="auto"/>
            <w:shd w:val="clear" w:color="auto" w:fill="1B556B"/>
            <w:tcMar>
              <w:top w:w="0" w:type="dxa"/>
              <w:left w:w="85" w:type="dxa"/>
              <w:bottom w:w="0" w:type="dxa"/>
              <w:right w:w="85" w:type="dxa"/>
            </w:tcMar>
          </w:tcPr>
          <w:p w14:paraId="68112AE3"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Year</w:t>
            </w:r>
          </w:p>
        </w:tc>
        <w:tc>
          <w:tcPr>
            <w:tcW w:w="0" w:type="auto"/>
            <w:shd w:val="clear" w:color="auto" w:fill="1B556B"/>
            <w:tcMar>
              <w:top w:w="0" w:type="dxa"/>
              <w:left w:w="85" w:type="dxa"/>
              <w:bottom w:w="0" w:type="dxa"/>
              <w:right w:w="85" w:type="dxa"/>
            </w:tcMar>
          </w:tcPr>
          <w:p w14:paraId="75A7270B" w14:textId="77777777" w:rsidR="00422EFE" w:rsidRPr="00261B7A" w:rsidRDefault="00422EFE" w:rsidP="00D41492">
            <w:pPr>
              <w:pStyle w:val="TableText"/>
              <w:spacing w:before="40" w:after="40"/>
              <w:jc w:val="right"/>
              <w:rPr>
                <w:b/>
                <w:bCs/>
                <w:color w:val="FFFFFF" w:themeColor="background1"/>
              </w:rPr>
            </w:pPr>
            <w:r w:rsidRPr="00261B7A">
              <w:rPr>
                <w:rFonts w:eastAsia="Calibri"/>
                <w:b/>
                <w:bCs/>
                <w:color w:val="FFFFFF" w:themeColor="background1"/>
              </w:rPr>
              <w:t>Clinical wastes (kt)</w:t>
            </w:r>
          </w:p>
        </w:tc>
        <w:tc>
          <w:tcPr>
            <w:tcW w:w="0" w:type="auto"/>
            <w:shd w:val="clear" w:color="auto" w:fill="1B556B"/>
            <w:tcMar>
              <w:top w:w="0" w:type="dxa"/>
              <w:left w:w="85" w:type="dxa"/>
              <w:bottom w:w="0" w:type="dxa"/>
              <w:right w:w="85" w:type="dxa"/>
            </w:tcMar>
          </w:tcPr>
          <w:p w14:paraId="2891D65F" w14:textId="77777777" w:rsidR="00422EFE" w:rsidRPr="00261B7A" w:rsidRDefault="00422EFE" w:rsidP="00D41492">
            <w:pPr>
              <w:pStyle w:val="TableText"/>
              <w:spacing w:before="40" w:after="40"/>
              <w:jc w:val="right"/>
              <w:rPr>
                <w:b/>
                <w:bCs/>
                <w:color w:val="FFFFFF" w:themeColor="background1"/>
              </w:rPr>
            </w:pPr>
            <w:r w:rsidRPr="00261B7A">
              <w:rPr>
                <w:rFonts w:eastAsia="Calibri"/>
                <w:b/>
                <w:bCs/>
                <w:color w:val="FFFFFF" w:themeColor="background1"/>
              </w:rPr>
              <w:t>Hazardous wastes (kt)</w:t>
            </w:r>
          </w:p>
        </w:tc>
        <w:tc>
          <w:tcPr>
            <w:tcW w:w="1910" w:type="dxa"/>
            <w:shd w:val="clear" w:color="auto" w:fill="1B556B"/>
            <w:tcMar>
              <w:top w:w="0" w:type="dxa"/>
              <w:left w:w="85" w:type="dxa"/>
              <w:bottom w:w="0" w:type="dxa"/>
              <w:right w:w="85" w:type="dxa"/>
            </w:tcMar>
          </w:tcPr>
          <w:p w14:paraId="7DD9BA46" w14:textId="77777777" w:rsidR="00422EFE" w:rsidRPr="00261B7A" w:rsidRDefault="00422EFE" w:rsidP="00D41492">
            <w:pPr>
              <w:pStyle w:val="TableText"/>
              <w:spacing w:before="40" w:after="40"/>
              <w:jc w:val="right"/>
              <w:rPr>
                <w:b/>
                <w:bCs/>
                <w:color w:val="FFFFFF" w:themeColor="background1"/>
              </w:rPr>
            </w:pPr>
            <w:r w:rsidRPr="00261B7A">
              <w:rPr>
                <w:rFonts w:eastAsia="Calibri"/>
                <w:b/>
                <w:bCs/>
                <w:color w:val="FFFFFF" w:themeColor="background1"/>
              </w:rPr>
              <w:t>Sewage sludge (kt)</w:t>
            </w:r>
          </w:p>
        </w:tc>
        <w:tc>
          <w:tcPr>
            <w:tcW w:w="2268" w:type="dxa"/>
            <w:shd w:val="clear" w:color="auto" w:fill="1B556B"/>
            <w:tcMar>
              <w:top w:w="0" w:type="dxa"/>
              <w:left w:w="85" w:type="dxa"/>
              <w:bottom w:w="0" w:type="dxa"/>
              <w:right w:w="85" w:type="dxa"/>
            </w:tcMar>
          </w:tcPr>
          <w:p w14:paraId="24CBFF60" w14:textId="77777777" w:rsidR="00422EFE" w:rsidRPr="00261B7A" w:rsidRDefault="00422EFE" w:rsidP="00D41492">
            <w:pPr>
              <w:pStyle w:val="TableText"/>
              <w:spacing w:before="40" w:after="40"/>
              <w:jc w:val="right"/>
              <w:rPr>
                <w:b/>
                <w:bCs/>
                <w:color w:val="FFFFFF" w:themeColor="background1"/>
              </w:rPr>
            </w:pPr>
            <w:r w:rsidRPr="00261B7A">
              <w:rPr>
                <w:rFonts w:eastAsia="Calibri"/>
                <w:b/>
                <w:bCs/>
                <w:color w:val="FFFFFF" w:themeColor="background1"/>
              </w:rPr>
              <w:t>Total waste incinerated (kt)</w:t>
            </w:r>
          </w:p>
        </w:tc>
      </w:tr>
      <w:tr w:rsidR="00422EFE" w:rsidRPr="00261B7A" w14:paraId="70605FB0" w14:textId="77777777" w:rsidTr="00D41492">
        <w:tc>
          <w:tcPr>
            <w:tcW w:w="0" w:type="auto"/>
            <w:shd w:val="clear" w:color="auto" w:fill="FFFFFF"/>
            <w:tcMar>
              <w:top w:w="0" w:type="dxa"/>
              <w:left w:w="85" w:type="dxa"/>
              <w:bottom w:w="0" w:type="dxa"/>
              <w:right w:w="85" w:type="dxa"/>
            </w:tcMar>
          </w:tcPr>
          <w:p w14:paraId="3BCB6A8A" w14:textId="77777777" w:rsidR="00422EFE" w:rsidRPr="00261B7A" w:rsidRDefault="00422EFE" w:rsidP="00D41492">
            <w:pPr>
              <w:pStyle w:val="TableText"/>
              <w:spacing w:before="40" w:after="40"/>
            </w:pPr>
            <w:r w:rsidRPr="00261B7A">
              <w:rPr>
                <w:rFonts w:eastAsia="Calibri"/>
              </w:rPr>
              <w:t>1990</w:t>
            </w:r>
          </w:p>
        </w:tc>
        <w:tc>
          <w:tcPr>
            <w:tcW w:w="0" w:type="auto"/>
            <w:shd w:val="clear" w:color="auto" w:fill="FFFFFF"/>
            <w:tcMar>
              <w:top w:w="0" w:type="dxa"/>
              <w:left w:w="85" w:type="dxa"/>
              <w:bottom w:w="0" w:type="dxa"/>
              <w:right w:w="85" w:type="dxa"/>
            </w:tcMar>
          </w:tcPr>
          <w:p w14:paraId="05C2F18D" w14:textId="77777777" w:rsidR="00422EFE" w:rsidRPr="00261B7A" w:rsidRDefault="00422EFE" w:rsidP="00D41492">
            <w:pPr>
              <w:pStyle w:val="TableText"/>
              <w:spacing w:before="40" w:after="40"/>
              <w:jc w:val="right"/>
            </w:pPr>
            <w:r w:rsidRPr="00261B7A">
              <w:rPr>
                <w:rFonts w:eastAsia="Calibri"/>
                <w:color w:val="000000"/>
              </w:rPr>
              <w:t>21.5</w:t>
            </w:r>
          </w:p>
        </w:tc>
        <w:tc>
          <w:tcPr>
            <w:tcW w:w="0" w:type="auto"/>
            <w:shd w:val="clear" w:color="auto" w:fill="FFFFFF"/>
            <w:tcMar>
              <w:top w:w="0" w:type="dxa"/>
              <w:left w:w="85" w:type="dxa"/>
              <w:bottom w:w="0" w:type="dxa"/>
              <w:right w:w="85" w:type="dxa"/>
            </w:tcMar>
          </w:tcPr>
          <w:p w14:paraId="22B9514B"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3A705E06"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03D3D35E" w14:textId="77777777" w:rsidR="00422EFE" w:rsidRPr="00261B7A" w:rsidRDefault="00422EFE" w:rsidP="00D41492">
            <w:pPr>
              <w:pStyle w:val="TableText"/>
              <w:spacing w:before="40" w:after="40"/>
              <w:jc w:val="right"/>
            </w:pPr>
            <w:r w:rsidRPr="00261B7A">
              <w:rPr>
                <w:rFonts w:eastAsia="Calibri"/>
                <w:color w:val="000000"/>
              </w:rPr>
              <w:t>26.2</w:t>
            </w:r>
          </w:p>
        </w:tc>
      </w:tr>
      <w:tr w:rsidR="00422EFE" w:rsidRPr="00261B7A" w14:paraId="5B8E64F6" w14:textId="77777777" w:rsidTr="00D41492">
        <w:tc>
          <w:tcPr>
            <w:tcW w:w="0" w:type="auto"/>
            <w:shd w:val="clear" w:color="auto" w:fill="FFFFFF"/>
            <w:tcMar>
              <w:top w:w="0" w:type="dxa"/>
              <w:left w:w="85" w:type="dxa"/>
              <w:bottom w:w="0" w:type="dxa"/>
              <w:right w:w="85" w:type="dxa"/>
            </w:tcMar>
          </w:tcPr>
          <w:p w14:paraId="3C43D906" w14:textId="77777777" w:rsidR="00422EFE" w:rsidRPr="00261B7A" w:rsidRDefault="00422EFE" w:rsidP="00D41492">
            <w:pPr>
              <w:pStyle w:val="TableText"/>
              <w:spacing w:before="40" w:after="40"/>
            </w:pPr>
            <w:r w:rsidRPr="00261B7A">
              <w:rPr>
                <w:rFonts w:eastAsia="Calibri"/>
              </w:rPr>
              <w:t>1991</w:t>
            </w:r>
          </w:p>
        </w:tc>
        <w:tc>
          <w:tcPr>
            <w:tcW w:w="0" w:type="auto"/>
            <w:shd w:val="clear" w:color="auto" w:fill="FFFFFF"/>
            <w:tcMar>
              <w:top w:w="0" w:type="dxa"/>
              <w:left w:w="85" w:type="dxa"/>
              <w:bottom w:w="0" w:type="dxa"/>
              <w:right w:w="85" w:type="dxa"/>
            </w:tcMar>
          </w:tcPr>
          <w:p w14:paraId="11E99F36" w14:textId="77777777" w:rsidR="00422EFE" w:rsidRPr="00261B7A" w:rsidRDefault="00422EFE" w:rsidP="00D41492">
            <w:pPr>
              <w:pStyle w:val="TableText"/>
              <w:spacing w:before="40" w:after="40"/>
              <w:jc w:val="right"/>
            </w:pPr>
            <w:r w:rsidRPr="00261B7A">
              <w:rPr>
                <w:rFonts w:eastAsia="Calibri"/>
                <w:color w:val="000000"/>
              </w:rPr>
              <w:t>21.5</w:t>
            </w:r>
          </w:p>
        </w:tc>
        <w:tc>
          <w:tcPr>
            <w:tcW w:w="0" w:type="auto"/>
            <w:shd w:val="clear" w:color="auto" w:fill="FFFFFF"/>
            <w:tcMar>
              <w:top w:w="0" w:type="dxa"/>
              <w:left w:w="85" w:type="dxa"/>
              <w:bottom w:w="0" w:type="dxa"/>
              <w:right w:w="85" w:type="dxa"/>
            </w:tcMar>
          </w:tcPr>
          <w:p w14:paraId="4A8DA0E6"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36627FEE"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7BD2A845" w14:textId="77777777" w:rsidR="00422EFE" w:rsidRPr="00261B7A" w:rsidRDefault="00422EFE" w:rsidP="00D41492">
            <w:pPr>
              <w:pStyle w:val="TableText"/>
              <w:spacing w:before="40" w:after="40"/>
              <w:jc w:val="right"/>
            </w:pPr>
            <w:r w:rsidRPr="00261B7A">
              <w:rPr>
                <w:rFonts w:eastAsia="Calibri"/>
                <w:color w:val="000000"/>
              </w:rPr>
              <w:t>26.2</w:t>
            </w:r>
          </w:p>
        </w:tc>
      </w:tr>
      <w:tr w:rsidR="00422EFE" w:rsidRPr="00261B7A" w14:paraId="5C2CD1AE" w14:textId="77777777" w:rsidTr="00D41492">
        <w:tc>
          <w:tcPr>
            <w:tcW w:w="0" w:type="auto"/>
            <w:shd w:val="clear" w:color="auto" w:fill="FFFFFF"/>
            <w:tcMar>
              <w:top w:w="0" w:type="dxa"/>
              <w:left w:w="85" w:type="dxa"/>
              <w:bottom w:w="0" w:type="dxa"/>
              <w:right w:w="85" w:type="dxa"/>
            </w:tcMar>
          </w:tcPr>
          <w:p w14:paraId="00C421FD" w14:textId="77777777" w:rsidR="00422EFE" w:rsidRPr="00261B7A" w:rsidRDefault="00422EFE" w:rsidP="00D41492">
            <w:pPr>
              <w:pStyle w:val="TableText"/>
              <w:spacing w:before="40" w:after="40"/>
            </w:pPr>
            <w:r w:rsidRPr="00261B7A">
              <w:rPr>
                <w:rFonts w:eastAsia="Calibri"/>
              </w:rPr>
              <w:t>1992</w:t>
            </w:r>
          </w:p>
        </w:tc>
        <w:tc>
          <w:tcPr>
            <w:tcW w:w="0" w:type="auto"/>
            <w:shd w:val="clear" w:color="auto" w:fill="FFFFFF"/>
            <w:tcMar>
              <w:top w:w="0" w:type="dxa"/>
              <w:left w:w="85" w:type="dxa"/>
              <w:bottom w:w="0" w:type="dxa"/>
              <w:right w:w="85" w:type="dxa"/>
            </w:tcMar>
          </w:tcPr>
          <w:p w14:paraId="7F589A9B" w14:textId="77777777" w:rsidR="00422EFE" w:rsidRPr="00261B7A" w:rsidRDefault="00422EFE" w:rsidP="00D41492">
            <w:pPr>
              <w:pStyle w:val="TableText"/>
              <w:spacing w:before="40" w:after="40"/>
              <w:jc w:val="right"/>
            </w:pPr>
            <w:r w:rsidRPr="00261B7A">
              <w:rPr>
                <w:rFonts w:eastAsia="Calibri"/>
                <w:color w:val="000000"/>
              </w:rPr>
              <w:t>21.5</w:t>
            </w:r>
          </w:p>
        </w:tc>
        <w:tc>
          <w:tcPr>
            <w:tcW w:w="0" w:type="auto"/>
            <w:shd w:val="clear" w:color="auto" w:fill="FFFFFF"/>
            <w:tcMar>
              <w:top w:w="0" w:type="dxa"/>
              <w:left w:w="85" w:type="dxa"/>
              <w:bottom w:w="0" w:type="dxa"/>
              <w:right w:w="85" w:type="dxa"/>
            </w:tcMar>
          </w:tcPr>
          <w:p w14:paraId="05303941"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261124E4"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7AC11418" w14:textId="77777777" w:rsidR="00422EFE" w:rsidRPr="00261B7A" w:rsidRDefault="00422EFE" w:rsidP="00D41492">
            <w:pPr>
              <w:pStyle w:val="TableText"/>
              <w:spacing w:before="40" w:after="40"/>
              <w:jc w:val="right"/>
            </w:pPr>
            <w:r w:rsidRPr="00261B7A">
              <w:rPr>
                <w:rFonts w:eastAsia="Calibri"/>
                <w:color w:val="000000"/>
              </w:rPr>
              <w:t>26.2</w:t>
            </w:r>
          </w:p>
        </w:tc>
      </w:tr>
      <w:tr w:rsidR="00422EFE" w:rsidRPr="00261B7A" w14:paraId="208E0708" w14:textId="77777777" w:rsidTr="00D41492">
        <w:tc>
          <w:tcPr>
            <w:tcW w:w="0" w:type="auto"/>
            <w:shd w:val="clear" w:color="auto" w:fill="FFFFFF"/>
            <w:tcMar>
              <w:top w:w="0" w:type="dxa"/>
              <w:left w:w="85" w:type="dxa"/>
              <w:bottom w:w="0" w:type="dxa"/>
              <w:right w:w="85" w:type="dxa"/>
            </w:tcMar>
          </w:tcPr>
          <w:p w14:paraId="3E74EEE1" w14:textId="77777777" w:rsidR="00422EFE" w:rsidRPr="00261B7A" w:rsidRDefault="00422EFE" w:rsidP="00D41492">
            <w:pPr>
              <w:pStyle w:val="TableText"/>
              <w:spacing w:before="40" w:after="40"/>
            </w:pPr>
            <w:r w:rsidRPr="00261B7A">
              <w:rPr>
                <w:rFonts w:eastAsia="Calibri"/>
              </w:rPr>
              <w:t>1993</w:t>
            </w:r>
          </w:p>
        </w:tc>
        <w:tc>
          <w:tcPr>
            <w:tcW w:w="0" w:type="auto"/>
            <w:shd w:val="clear" w:color="auto" w:fill="FFFFFF"/>
            <w:tcMar>
              <w:top w:w="0" w:type="dxa"/>
              <w:left w:w="85" w:type="dxa"/>
              <w:bottom w:w="0" w:type="dxa"/>
              <w:right w:w="85" w:type="dxa"/>
            </w:tcMar>
          </w:tcPr>
          <w:p w14:paraId="26FD1272" w14:textId="77777777" w:rsidR="00422EFE" w:rsidRPr="00261B7A" w:rsidRDefault="00422EFE" w:rsidP="00D41492">
            <w:pPr>
              <w:pStyle w:val="TableText"/>
              <w:spacing w:before="40" w:after="40"/>
              <w:jc w:val="right"/>
            </w:pPr>
            <w:r w:rsidRPr="00261B7A">
              <w:rPr>
                <w:rFonts w:eastAsia="Calibri"/>
                <w:color w:val="000000"/>
              </w:rPr>
              <w:t>21.3</w:t>
            </w:r>
          </w:p>
        </w:tc>
        <w:tc>
          <w:tcPr>
            <w:tcW w:w="0" w:type="auto"/>
            <w:shd w:val="clear" w:color="auto" w:fill="FFFFFF"/>
            <w:tcMar>
              <w:top w:w="0" w:type="dxa"/>
              <w:left w:w="85" w:type="dxa"/>
              <w:bottom w:w="0" w:type="dxa"/>
              <w:right w:w="85" w:type="dxa"/>
            </w:tcMar>
          </w:tcPr>
          <w:p w14:paraId="55B957AF"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4265BE39"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543F6EE4" w14:textId="77777777" w:rsidR="00422EFE" w:rsidRPr="00261B7A" w:rsidRDefault="00422EFE" w:rsidP="00D41492">
            <w:pPr>
              <w:pStyle w:val="TableText"/>
              <w:spacing w:before="40" w:after="40"/>
              <w:jc w:val="right"/>
            </w:pPr>
            <w:r w:rsidRPr="00261B7A">
              <w:rPr>
                <w:rFonts w:eastAsia="Calibri"/>
                <w:color w:val="000000"/>
              </w:rPr>
              <w:t>26.0</w:t>
            </w:r>
          </w:p>
        </w:tc>
      </w:tr>
      <w:tr w:rsidR="00422EFE" w:rsidRPr="00261B7A" w14:paraId="08924C6F" w14:textId="77777777" w:rsidTr="00D41492">
        <w:tc>
          <w:tcPr>
            <w:tcW w:w="0" w:type="auto"/>
            <w:shd w:val="clear" w:color="auto" w:fill="FFFFFF"/>
            <w:tcMar>
              <w:top w:w="0" w:type="dxa"/>
              <w:left w:w="85" w:type="dxa"/>
              <w:bottom w:w="0" w:type="dxa"/>
              <w:right w:w="85" w:type="dxa"/>
            </w:tcMar>
          </w:tcPr>
          <w:p w14:paraId="03B08E75" w14:textId="77777777" w:rsidR="00422EFE" w:rsidRPr="00261B7A" w:rsidRDefault="00422EFE" w:rsidP="00D41492">
            <w:pPr>
              <w:pStyle w:val="TableText"/>
              <w:spacing w:before="40" w:after="40"/>
            </w:pPr>
            <w:r w:rsidRPr="00261B7A">
              <w:rPr>
                <w:rFonts w:eastAsia="Calibri"/>
              </w:rPr>
              <w:t>1994</w:t>
            </w:r>
          </w:p>
        </w:tc>
        <w:tc>
          <w:tcPr>
            <w:tcW w:w="0" w:type="auto"/>
            <w:shd w:val="clear" w:color="auto" w:fill="FFFFFF"/>
            <w:tcMar>
              <w:top w:w="0" w:type="dxa"/>
              <w:left w:w="85" w:type="dxa"/>
              <w:bottom w:w="0" w:type="dxa"/>
              <w:right w:w="85" w:type="dxa"/>
            </w:tcMar>
          </w:tcPr>
          <w:p w14:paraId="2755DC19" w14:textId="77777777" w:rsidR="00422EFE" w:rsidRPr="00261B7A" w:rsidRDefault="00422EFE" w:rsidP="00D41492">
            <w:pPr>
              <w:pStyle w:val="TableText"/>
              <w:spacing w:before="40" w:after="40"/>
              <w:jc w:val="right"/>
            </w:pPr>
            <w:r w:rsidRPr="00261B7A">
              <w:rPr>
                <w:rFonts w:eastAsia="Calibri"/>
                <w:color w:val="000000"/>
              </w:rPr>
              <w:t>21.3</w:t>
            </w:r>
          </w:p>
        </w:tc>
        <w:tc>
          <w:tcPr>
            <w:tcW w:w="0" w:type="auto"/>
            <w:shd w:val="clear" w:color="auto" w:fill="FFFFFF"/>
            <w:tcMar>
              <w:top w:w="0" w:type="dxa"/>
              <w:left w:w="85" w:type="dxa"/>
              <w:bottom w:w="0" w:type="dxa"/>
              <w:right w:w="85" w:type="dxa"/>
            </w:tcMar>
          </w:tcPr>
          <w:p w14:paraId="23E96A66"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4CA39130"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3A05B8E0" w14:textId="77777777" w:rsidR="00422EFE" w:rsidRPr="00261B7A" w:rsidRDefault="00422EFE" w:rsidP="00D41492">
            <w:pPr>
              <w:pStyle w:val="TableText"/>
              <w:spacing w:before="40" w:after="40"/>
              <w:jc w:val="right"/>
            </w:pPr>
            <w:r w:rsidRPr="00261B7A">
              <w:rPr>
                <w:rFonts w:eastAsia="Calibri"/>
                <w:color w:val="000000"/>
              </w:rPr>
              <w:t>26.0</w:t>
            </w:r>
          </w:p>
        </w:tc>
      </w:tr>
      <w:tr w:rsidR="00422EFE" w:rsidRPr="00261B7A" w14:paraId="3B439B9E" w14:textId="77777777" w:rsidTr="00D41492">
        <w:tc>
          <w:tcPr>
            <w:tcW w:w="0" w:type="auto"/>
            <w:shd w:val="clear" w:color="auto" w:fill="FFFFFF"/>
            <w:tcMar>
              <w:top w:w="0" w:type="dxa"/>
              <w:left w:w="85" w:type="dxa"/>
              <w:bottom w:w="0" w:type="dxa"/>
              <w:right w:w="85" w:type="dxa"/>
            </w:tcMar>
          </w:tcPr>
          <w:p w14:paraId="6F8AF6BE" w14:textId="77777777" w:rsidR="00422EFE" w:rsidRPr="00261B7A" w:rsidRDefault="00422EFE" w:rsidP="00D41492">
            <w:pPr>
              <w:pStyle w:val="TableText"/>
              <w:spacing w:before="40" w:after="40"/>
            </w:pPr>
            <w:r w:rsidRPr="00261B7A">
              <w:rPr>
                <w:rFonts w:eastAsia="Calibri"/>
              </w:rPr>
              <w:t>1995</w:t>
            </w:r>
          </w:p>
        </w:tc>
        <w:tc>
          <w:tcPr>
            <w:tcW w:w="0" w:type="auto"/>
            <w:shd w:val="clear" w:color="auto" w:fill="FFFFFF"/>
            <w:tcMar>
              <w:top w:w="0" w:type="dxa"/>
              <w:left w:w="85" w:type="dxa"/>
              <w:bottom w:w="0" w:type="dxa"/>
              <w:right w:w="85" w:type="dxa"/>
            </w:tcMar>
          </w:tcPr>
          <w:p w14:paraId="4128CE9C" w14:textId="77777777" w:rsidR="00422EFE" w:rsidRPr="00261B7A" w:rsidRDefault="00422EFE" w:rsidP="00D41492">
            <w:pPr>
              <w:pStyle w:val="TableText"/>
              <w:spacing w:before="40" w:after="40"/>
              <w:jc w:val="right"/>
            </w:pPr>
            <w:r w:rsidRPr="00261B7A">
              <w:rPr>
                <w:rFonts w:eastAsia="Calibri"/>
                <w:color w:val="000000"/>
              </w:rPr>
              <w:t>21.0</w:t>
            </w:r>
          </w:p>
        </w:tc>
        <w:tc>
          <w:tcPr>
            <w:tcW w:w="0" w:type="auto"/>
            <w:shd w:val="clear" w:color="auto" w:fill="FFFFFF"/>
            <w:tcMar>
              <w:top w:w="0" w:type="dxa"/>
              <w:left w:w="85" w:type="dxa"/>
              <w:bottom w:w="0" w:type="dxa"/>
              <w:right w:w="85" w:type="dxa"/>
            </w:tcMar>
          </w:tcPr>
          <w:p w14:paraId="558B0C9D"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526FC9FC"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25A4B86B" w14:textId="77777777" w:rsidR="00422EFE" w:rsidRPr="00261B7A" w:rsidRDefault="00422EFE" w:rsidP="00D41492">
            <w:pPr>
              <w:pStyle w:val="TableText"/>
              <w:spacing w:before="40" w:after="40"/>
              <w:jc w:val="right"/>
            </w:pPr>
            <w:r w:rsidRPr="00261B7A">
              <w:rPr>
                <w:rFonts w:eastAsia="Calibri"/>
                <w:color w:val="000000"/>
              </w:rPr>
              <w:t>25.7</w:t>
            </w:r>
          </w:p>
        </w:tc>
      </w:tr>
      <w:tr w:rsidR="00422EFE" w:rsidRPr="00261B7A" w14:paraId="6D57EDAE" w14:textId="77777777" w:rsidTr="00D41492">
        <w:tc>
          <w:tcPr>
            <w:tcW w:w="0" w:type="auto"/>
            <w:shd w:val="clear" w:color="auto" w:fill="FFFFFF"/>
            <w:tcMar>
              <w:top w:w="0" w:type="dxa"/>
              <w:left w:w="85" w:type="dxa"/>
              <w:bottom w:w="0" w:type="dxa"/>
              <w:right w:w="85" w:type="dxa"/>
            </w:tcMar>
          </w:tcPr>
          <w:p w14:paraId="2BB5BF76" w14:textId="77777777" w:rsidR="00422EFE" w:rsidRPr="00261B7A" w:rsidRDefault="00422EFE" w:rsidP="00D41492">
            <w:pPr>
              <w:pStyle w:val="TableText"/>
              <w:spacing w:before="40" w:after="40"/>
            </w:pPr>
            <w:r w:rsidRPr="00261B7A">
              <w:rPr>
                <w:rFonts w:eastAsia="Calibri"/>
              </w:rPr>
              <w:t>1996</w:t>
            </w:r>
          </w:p>
        </w:tc>
        <w:tc>
          <w:tcPr>
            <w:tcW w:w="0" w:type="auto"/>
            <w:shd w:val="clear" w:color="auto" w:fill="FFFFFF"/>
            <w:tcMar>
              <w:top w:w="0" w:type="dxa"/>
              <w:left w:w="85" w:type="dxa"/>
              <w:bottom w:w="0" w:type="dxa"/>
              <w:right w:w="85" w:type="dxa"/>
            </w:tcMar>
          </w:tcPr>
          <w:p w14:paraId="767EDB25" w14:textId="77777777" w:rsidR="00422EFE" w:rsidRPr="00261B7A" w:rsidRDefault="00422EFE" w:rsidP="00D41492">
            <w:pPr>
              <w:pStyle w:val="TableText"/>
              <w:spacing w:before="40" w:after="40"/>
              <w:jc w:val="right"/>
            </w:pPr>
            <w:r w:rsidRPr="00261B7A">
              <w:rPr>
                <w:rFonts w:eastAsia="Calibri"/>
                <w:color w:val="000000"/>
              </w:rPr>
              <w:t>20.3</w:t>
            </w:r>
          </w:p>
        </w:tc>
        <w:tc>
          <w:tcPr>
            <w:tcW w:w="0" w:type="auto"/>
            <w:shd w:val="clear" w:color="auto" w:fill="FFFFFF"/>
            <w:tcMar>
              <w:top w:w="0" w:type="dxa"/>
              <w:left w:w="85" w:type="dxa"/>
              <w:bottom w:w="0" w:type="dxa"/>
              <w:right w:w="85" w:type="dxa"/>
            </w:tcMar>
          </w:tcPr>
          <w:p w14:paraId="7BAA0D01"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45C1D53A"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381DE145" w14:textId="77777777" w:rsidR="00422EFE" w:rsidRPr="00261B7A" w:rsidRDefault="00422EFE" w:rsidP="00D41492">
            <w:pPr>
              <w:pStyle w:val="TableText"/>
              <w:spacing w:before="40" w:after="40"/>
              <w:jc w:val="right"/>
            </w:pPr>
            <w:r w:rsidRPr="00261B7A">
              <w:rPr>
                <w:rFonts w:eastAsia="Calibri"/>
                <w:color w:val="000000"/>
              </w:rPr>
              <w:t>25.0</w:t>
            </w:r>
          </w:p>
        </w:tc>
      </w:tr>
      <w:tr w:rsidR="00422EFE" w:rsidRPr="00261B7A" w14:paraId="59A05ACE" w14:textId="77777777" w:rsidTr="00D41492">
        <w:tc>
          <w:tcPr>
            <w:tcW w:w="0" w:type="auto"/>
            <w:shd w:val="clear" w:color="auto" w:fill="FFFFFF"/>
            <w:tcMar>
              <w:top w:w="0" w:type="dxa"/>
              <w:left w:w="85" w:type="dxa"/>
              <w:bottom w:w="0" w:type="dxa"/>
              <w:right w:w="85" w:type="dxa"/>
            </w:tcMar>
          </w:tcPr>
          <w:p w14:paraId="61460F57" w14:textId="77777777" w:rsidR="00422EFE" w:rsidRPr="00261B7A" w:rsidRDefault="00422EFE" w:rsidP="00D41492">
            <w:pPr>
              <w:pStyle w:val="TableText"/>
              <w:spacing w:before="40" w:after="40"/>
            </w:pPr>
            <w:r w:rsidRPr="00261B7A">
              <w:rPr>
                <w:rFonts w:eastAsia="Calibri"/>
              </w:rPr>
              <w:t>1997</w:t>
            </w:r>
          </w:p>
        </w:tc>
        <w:tc>
          <w:tcPr>
            <w:tcW w:w="0" w:type="auto"/>
            <w:shd w:val="clear" w:color="auto" w:fill="FFFFFF"/>
            <w:tcMar>
              <w:top w:w="0" w:type="dxa"/>
              <w:left w:w="85" w:type="dxa"/>
              <w:bottom w:w="0" w:type="dxa"/>
              <w:right w:w="85" w:type="dxa"/>
            </w:tcMar>
          </w:tcPr>
          <w:p w14:paraId="57C7626F" w14:textId="77777777" w:rsidR="00422EFE" w:rsidRPr="00261B7A" w:rsidRDefault="00422EFE" w:rsidP="00D41492">
            <w:pPr>
              <w:pStyle w:val="TableText"/>
              <w:spacing w:before="40" w:after="40"/>
              <w:jc w:val="right"/>
            </w:pPr>
            <w:r w:rsidRPr="00261B7A">
              <w:rPr>
                <w:rFonts w:eastAsia="Calibri"/>
                <w:color w:val="000000"/>
              </w:rPr>
              <w:t>20.3</w:t>
            </w:r>
          </w:p>
        </w:tc>
        <w:tc>
          <w:tcPr>
            <w:tcW w:w="0" w:type="auto"/>
            <w:shd w:val="clear" w:color="auto" w:fill="FFFFFF"/>
            <w:tcMar>
              <w:top w:w="0" w:type="dxa"/>
              <w:left w:w="85" w:type="dxa"/>
              <w:bottom w:w="0" w:type="dxa"/>
              <w:right w:w="85" w:type="dxa"/>
            </w:tcMar>
          </w:tcPr>
          <w:p w14:paraId="17181066"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1139C4E4"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70431C44" w14:textId="77777777" w:rsidR="00422EFE" w:rsidRPr="00261B7A" w:rsidRDefault="00422EFE" w:rsidP="00D41492">
            <w:pPr>
              <w:pStyle w:val="TableText"/>
              <w:spacing w:before="40" w:after="40"/>
              <w:jc w:val="right"/>
            </w:pPr>
            <w:r w:rsidRPr="00261B7A">
              <w:rPr>
                <w:rFonts w:eastAsia="Calibri"/>
                <w:color w:val="000000"/>
              </w:rPr>
              <w:t>25.0</w:t>
            </w:r>
          </w:p>
        </w:tc>
      </w:tr>
      <w:tr w:rsidR="00422EFE" w:rsidRPr="00261B7A" w14:paraId="353A79F7" w14:textId="77777777" w:rsidTr="00D41492">
        <w:tc>
          <w:tcPr>
            <w:tcW w:w="0" w:type="auto"/>
            <w:shd w:val="clear" w:color="auto" w:fill="FFFFFF"/>
            <w:tcMar>
              <w:top w:w="0" w:type="dxa"/>
              <w:left w:w="85" w:type="dxa"/>
              <w:bottom w:w="0" w:type="dxa"/>
              <w:right w:w="85" w:type="dxa"/>
            </w:tcMar>
          </w:tcPr>
          <w:p w14:paraId="77C885A5" w14:textId="77777777" w:rsidR="00422EFE" w:rsidRPr="00261B7A" w:rsidRDefault="00422EFE" w:rsidP="00D41492">
            <w:pPr>
              <w:pStyle w:val="TableText"/>
              <w:spacing w:before="40" w:after="40"/>
            </w:pPr>
            <w:r w:rsidRPr="00261B7A">
              <w:rPr>
                <w:rFonts w:eastAsia="Calibri"/>
              </w:rPr>
              <w:t>1998</w:t>
            </w:r>
          </w:p>
        </w:tc>
        <w:tc>
          <w:tcPr>
            <w:tcW w:w="0" w:type="auto"/>
            <w:shd w:val="clear" w:color="auto" w:fill="FFFFFF"/>
            <w:tcMar>
              <w:top w:w="0" w:type="dxa"/>
              <w:left w:w="85" w:type="dxa"/>
              <w:bottom w:w="0" w:type="dxa"/>
              <w:right w:w="85" w:type="dxa"/>
            </w:tcMar>
          </w:tcPr>
          <w:p w14:paraId="62BC11F6" w14:textId="77777777" w:rsidR="00422EFE" w:rsidRPr="00261B7A" w:rsidRDefault="00422EFE" w:rsidP="00D41492">
            <w:pPr>
              <w:pStyle w:val="TableText"/>
              <w:spacing w:before="40" w:after="40"/>
              <w:jc w:val="right"/>
            </w:pPr>
            <w:r w:rsidRPr="00261B7A">
              <w:rPr>
                <w:rFonts w:eastAsia="Calibri"/>
                <w:color w:val="000000"/>
              </w:rPr>
              <w:t>20.0</w:t>
            </w:r>
          </w:p>
        </w:tc>
        <w:tc>
          <w:tcPr>
            <w:tcW w:w="0" w:type="auto"/>
            <w:shd w:val="clear" w:color="auto" w:fill="FFFFFF"/>
            <w:tcMar>
              <w:top w:w="0" w:type="dxa"/>
              <w:left w:w="85" w:type="dxa"/>
              <w:bottom w:w="0" w:type="dxa"/>
              <w:right w:w="85" w:type="dxa"/>
            </w:tcMar>
          </w:tcPr>
          <w:p w14:paraId="6409F07E"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6C5C01B7"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20BAB18F" w14:textId="77777777" w:rsidR="00422EFE" w:rsidRPr="00261B7A" w:rsidRDefault="00422EFE" w:rsidP="00D41492">
            <w:pPr>
              <w:pStyle w:val="TableText"/>
              <w:spacing w:before="40" w:after="40"/>
              <w:jc w:val="right"/>
            </w:pPr>
            <w:r w:rsidRPr="00261B7A">
              <w:rPr>
                <w:rFonts w:eastAsia="Calibri"/>
                <w:color w:val="000000"/>
              </w:rPr>
              <w:t>24.7</w:t>
            </w:r>
          </w:p>
        </w:tc>
      </w:tr>
      <w:tr w:rsidR="00422EFE" w:rsidRPr="00261B7A" w14:paraId="1D5CF8AE" w14:textId="77777777" w:rsidTr="00D41492">
        <w:tc>
          <w:tcPr>
            <w:tcW w:w="0" w:type="auto"/>
            <w:shd w:val="clear" w:color="auto" w:fill="FFFFFF"/>
            <w:tcMar>
              <w:top w:w="0" w:type="dxa"/>
              <w:left w:w="85" w:type="dxa"/>
              <w:bottom w:w="0" w:type="dxa"/>
              <w:right w:w="85" w:type="dxa"/>
            </w:tcMar>
          </w:tcPr>
          <w:p w14:paraId="1F65C95B" w14:textId="77777777" w:rsidR="00422EFE" w:rsidRPr="00261B7A" w:rsidRDefault="00422EFE" w:rsidP="00D41492">
            <w:pPr>
              <w:pStyle w:val="TableText"/>
              <w:spacing w:before="40" w:after="40"/>
            </w:pPr>
            <w:r w:rsidRPr="00261B7A">
              <w:rPr>
                <w:rFonts w:eastAsia="Calibri"/>
              </w:rPr>
              <w:t>1999</w:t>
            </w:r>
          </w:p>
        </w:tc>
        <w:tc>
          <w:tcPr>
            <w:tcW w:w="0" w:type="auto"/>
            <w:shd w:val="clear" w:color="auto" w:fill="FFFFFF"/>
            <w:tcMar>
              <w:top w:w="0" w:type="dxa"/>
              <w:left w:w="85" w:type="dxa"/>
              <w:bottom w:w="0" w:type="dxa"/>
              <w:right w:w="85" w:type="dxa"/>
            </w:tcMar>
          </w:tcPr>
          <w:p w14:paraId="1EEA6C9F" w14:textId="77777777" w:rsidR="00422EFE" w:rsidRPr="00261B7A" w:rsidRDefault="00422EFE" w:rsidP="00D41492">
            <w:pPr>
              <w:pStyle w:val="TableText"/>
              <w:spacing w:before="40" w:after="40"/>
              <w:jc w:val="right"/>
            </w:pPr>
            <w:r w:rsidRPr="00261B7A">
              <w:rPr>
                <w:rFonts w:eastAsia="Calibri"/>
                <w:color w:val="000000"/>
              </w:rPr>
              <w:t>18.9</w:t>
            </w:r>
          </w:p>
        </w:tc>
        <w:tc>
          <w:tcPr>
            <w:tcW w:w="0" w:type="auto"/>
            <w:shd w:val="clear" w:color="auto" w:fill="FFFFFF"/>
            <w:tcMar>
              <w:top w:w="0" w:type="dxa"/>
              <w:left w:w="85" w:type="dxa"/>
              <w:bottom w:w="0" w:type="dxa"/>
              <w:right w:w="85" w:type="dxa"/>
            </w:tcMar>
          </w:tcPr>
          <w:p w14:paraId="2255CAF5"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5057DF83"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56267B81" w14:textId="77777777" w:rsidR="00422EFE" w:rsidRPr="00261B7A" w:rsidRDefault="00422EFE" w:rsidP="00D41492">
            <w:pPr>
              <w:pStyle w:val="TableText"/>
              <w:spacing w:before="40" w:after="40"/>
              <w:jc w:val="right"/>
            </w:pPr>
            <w:r w:rsidRPr="00261B7A">
              <w:rPr>
                <w:rFonts w:eastAsia="Calibri"/>
                <w:color w:val="000000"/>
              </w:rPr>
              <w:t>23.6</w:t>
            </w:r>
          </w:p>
        </w:tc>
      </w:tr>
      <w:tr w:rsidR="00422EFE" w:rsidRPr="00261B7A" w14:paraId="31B9266E" w14:textId="77777777" w:rsidTr="00D41492">
        <w:tc>
          <w:tcPr>
            <w:tcW w:w="0" w:type="auto"/>
            <w:shd w:val="clear" w:color="auto" w:fill="FFFFFF"/>
            <w:tcMar>
              <w:top w:w="0" w:type="dxa"/>
              <w:left w:w="85" w:type="dxa"/>
              <w:bottom w:w="0" w:type="dxa"/>
              <w:right w:w="85" w:type="dxa"/>
            </w:tcMar>
          </w:tcPr>
          <w:p w14:paraId="12BCE582" w14:textId="77777777" w:rsidR="00422EFE" w:rsidRPr="00261B7A" w:rsidRDefault="00422EFE" w:rsidP="00D41492">
            <w:pPr>
              <w:pStyle w:val="TableText"/>
              <w:spacing w:before="40" w:after="40"/>
            </w:pPr>
            <w:r w:rsidRPr="00261B7A">
              <w:rPr>
                <w:rFonts w:eastAsia="Calibri"/>
              </w:rPr>
              <w:t>2000</w:t>
            </w:r>
          </w:p>
        </w:tc>
        <w:tc>
          <w:tcPr>
            <w:tcW w:w="0" w:type="auto"/>
            <w:shd w:val="clear" w:color="auto" w:fill="FFFFFF"/>
            <w:tcMar>
              <w:top w:w="0" w:type="dxa"/>
              <w:left w:w="85" w:type="dxa"/>
              <w:bottom w:w="0" w:type="dxa"/>
              <w:right w:w="85" w:type="dxa"/>
            </w:tcMar>
          </w:tcPr>
          <w:p w14:paraId="73BD6BD6" w14:textId="77777777" w:rsidR="00422EFE" w:rsidRPr="00261B7A" w:rsidRDefault="00422EFE" w:rsidP="00D41492">
            <w:pPr>
              <w:pStyle w:val="TableText"/>
              <w:spacing w:before="40" w:after="40"/>
              <w:jc w:val="right"/>
            </w:pPr>
            <w:r w:rsidRPr="00261B7A">
              <w:rPr>
                <w:rFonts w:eastAsia="Calibri"/>
                <w:color w:val="000000"/>
              </w:rPr>
              <w:t>17.8</w:t>
            </w:r>
          </w:p>
        </w:tc>
        <w:tc>
          <w:tcPr>
            <w:tcW w:w="0" w:type="auto"/>
            <w:shd w:val="clear" w:color="auto" w:fill="FFFFFF"/>
            <w:tcMar>
              <w:top w:w="0" w:type="dxa"/>
              <w:left w:w="85" w:type="dxa"/>
              <w:bottom w:w="0" w:type="dxa"/>
              <w:right w:w="85" w:type="dxa"/>
            </w:tcMar>
          </w:tcPr>
          <w:p w14:paraId="44DEF91D"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3907977D"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734B7AF6" w14:textId="77777777" w:rsidR="00422EFE" w:rsidRPr="00261B7A" w:rsidRDefault="00422EFE" w:rsidP="00D41492">
            <w:pPr>
              <w:pStyle w:val="TableText"/>
              <w:spacing w:before="40" w:after="40"/>
              <w:jc w:val="right"/>
            </w:pPr>
            <w:r w:rsidRPr="00261B7A">
              <w:rPr>
                <w:rFonts w:eastAsia="Calibri"/>
                <w:color w:val="000000"/>
              </w:rPr>
              <w:t>22.4</w:t>
            </w:r>
          </w:p>
        </w:tc>
      </w:tr>
      <w:tr w:rsidR="00422EFE" w:rsidRPr="00261B7A" w14:paraId="2CEBFD92" w14:textId="77777777" w:rsidTr="00D41492">
        <w:tc>
          <w:tcPr>
            <w:tcW w:w="0" w:type="auto"/>
            <w:shd w:val="clear" w:color="auto" w:fill="FFFFFF"/>
            <w:tcMar>
              <w:top w:w="0" w:type="dxa"/>
              <w:left w:w="85" w:type="dxa"/>
              <w:bottom w:w="0" w:type="dxa"/>
              <w:right w:w="85" w:type="dxa"/>
            </w:tcMar>
          </w:tcPr>
          <w:p w14:paraId="27041591" w14:textId="77777777" w:rsidR="00422EFE" w:rsidRPr="00261B7A" w:rsidRDefault="00422EFE" w:rsidP="00D41492">
            <w:pPr>
              <w:pStyle w:val="TableText"/>
              <w:spacing w:before="40" w:after="40"/>
            </w:pPr>
            <w:r w:rsidRPr="00261B7A">
              <w:rPr>
                <w:rFonts w:eastAsia="Calibri"/>
              </w:rPr>
              <w:t>2001</w:t>
            </w:r>
          </w:p>
        </w:tc>
        <w:tc>
          <w:tcPr>
            <w:tcW w:w="0" w:type="auto"/>
            <w:shd w:val="clear" w:color="auto" w:fill="FFFFFF"/>
            <w:tcMar>
              <w:top w:w="0" w:type="dxa"/>
              <w:left w:w="85" w:type="dxa"/>
              <w:bottom w:w="0" w:type="dxa"/>
              <w:right w:w="85" w:type="dxa"/>
            </w:tcMar>
          </w:tcPr>
          <w:p w14:paraId="62BC19B7" w14:textId="77777777" w:rsidR="00422EFE" w:rsidRPr="00261B7A" w:rsidRDefault="00422EFE" w:rsidP="00D41492">
            <w:pPr>
              <w:pStyle w:val="TableText"/>
              <w:spacing w:before="40" w:after="40"/>
              <w:jc w:val="right"/>
            </w:pPr>
            <w:r w:rsidRPr="00261B7A">
              <w:rPr>
                <w:rFonts w:eastAsia="Calibri"/>
                <w:color w:val="000000"/>
              </w:rPr>
              <w:t>9.3</w:t>
            </w:r>
          </w:p>
        </w:tc>
        <w:tc>
          <w:tcPr>
            <w:tcW w:w="0" w:type="auto"/>
            <w:shd w:val="clear" w:color="auto" w:fill="FFFFFF"/>
            <w:tcMar>
              <w:top w:w="0" w:type="dxa"/>
              <w:left w:w="85" w:type="dxa"/>
              <w:bottom w:w="0" w:type="dxa"/>
              <w:right w:w="85" w:type="dxa"/>
            </w:tcMar>
          </w:tcPr>
          <w:p w14:paraId="65336A9A"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008D9015"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51DD2BF3" w14:textId="77777777" w:rsidR="00422EFE" w:rsidRPr="00261B7A" w:rsidRDefault="00422EFE" w:rsidP="00D41492">
            <w:pPr>
              <w:pStyle w:val="TableText"/>
              <w:spacing w:before="40" w:after="40"/>
              <w:jc w:val="right"/>
            </w:pPr>
            <w:r w:rsidRPr="00261B7A">
              <w:rPr>
                <w:rFonts w:eastAsia="Calibri"/>
                <w:color w:val="000000"/>
              </w:rPr>
              <w:t>13.9</w:t>
            </w:r>
          </w:p>
        </w:tc>
      </w:tr>
      <w:tr w:rsidR="00422EFE" w:rsidRPr="00261B7A" w14:paraId="1E01D997" w14:textId="77777777" w:rsidTr="00D41492">
        <w:tc>
          <w:tcPr>
            <w:tcW w:w="0" w:type="auto"/>
            <w:shd w:val="clear" w:color="auto" w:fill="FFFFFF"/>
            <w:tcMar>
              <w:top w:w="0" w:type="dxa"/>
              <w:left w:w="85" w:type="dxa"/>
              <w:bottom w:w="0" w:type="dxa"/>
              <w:right w:w="85" w:type="dxa"/>
            </w:tcMar>
          </w:tcPr>
          <w:p w14:paraId="746B8561" w14:textId="77777777" w:rsidR="00422EFE" w:rsidRPr="00261B7A" w:rsidRDefault="00422EFE" w:rsidP="00D41492">
            <w:pPr>
              <w:pStyle w:val="TableText"/>
              <w:spacing w:before="40" w:after="40"/>
            </w:pPr>
            <w:r w:rsidRPr="00261B7A">
              <w:rPr>
                <w:rFonts w:eastAsia="Calibri"/>
              </w:rPr>
              <w:t>2002</w:t>
            </w:r>
          </w:p>
        </w:tc>
        <w:tc>
          <w:tcPr>
            <w:tcW w:w="0" w:type="auto"/>
            <w:shd w:val="clear" w:color="auto" w:fill="FFFFFF"/>
            <w:tcMar>
              <w:top w:w="0" w:type="dxa"/>
              <w:left w:w="85" w:type="dxa"/>
              <w:bottom w:w="0" w:type="dxa"/>
              <w:right w:w="85" w:type="dxa"/>
            </w:tcMar>
          </w:tcPr>
          <w:p w14:paraId="5BE8D50B" w14:textId="77777777" w:rsidR="00422EFE" w:rsidRPr="00261B7A" w:rsidRDefault="00422EFE" w:rsidP="00D41492">
            <w:pPr>
              <w:pStyle w:val="TableText"/>
              <w:spacing w:before="40" w:after="40"/>
              <w:jc w:val="right"/>
            </w:pPr>
            <w:r w:rsidRPr="00261B7A">
              <w:rPr>
                <w:rFonts w:eastAsia="Calibri"/>
                <w:color w:val="000000"/>
              </w:rPr>
              <w:t>8.2</w:t>
            </w:r>
          </w:p>
        </w:tc>
        <w:tc>
          <w:tcPr>
            <w:tcW w:w="0" w:type="auto"/>
            <w:shd w:val="clear" w:color="auto" w:fill="FFFFFF"/>
            <w:tcMar>
              <w:top w:w="0" w:type="dxa"/>
              <w:left w:w="85" w:type="dxa"/>
              <w:bottom w:w="0" w:type="dxa"/>
              <w:right w:w="85" w:type="dxa"/>
            </w:tcMar>
          </w:tcPr>
          <w:p w14:paraId="0E41FC1D"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14719458"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6454A319" w14:textId="77777777" w:rsidR="00422EFE" w:rsidRPr="00261B7A" w:rsidRDefault="00422EFE" w:rsidP="00D41492">
            <w:pPr>
              <w:pStyle w:val="TableText"/>
              <w:spacing w:before="40" w:after="40"/>
              <w:jc w:val="right"/>
            </w:pPr>
            <w:r w:rsidRPr="00261B7A">
              <w:rPr>
                <w:rFonts w:eastAsia="Calibri"/>
                <w:color w:val="000000"/>
              </w:rPr>
              <w:t>12.9</w:t>
            </w:r>
          </w:p>
        </w:tc>
      </w:tr>
      <w:tr w:rsidR="00422EFE" w:rsidRPr="00261B7A" w14:paraId="2E00EA38" w14:textId="77777777" w:rsidTr="00D41492">
        <w:tc>
          <w:tcPr>
            <w:tcW w:w="0" w:type="auto"/>
            <w:shd w:val="clear" w:color="auto" w:fill="FFFFFF"/>
            <w:tcMar>
              <w:top w:w="0" w:type="dxa"/>
              <w:left w:w="85" w:type="dxa"/>
              <w:bottom w:w="0" w:type="dxa"/>
              <w:right w:w="85" w:type="dxa"/>
            </w:tcMar>
          </w:tcPr>
          <w:p w14:paraId="480531B9" w14:textId="77777777" w:rsidR="00422EFE" w:rsidRPr="00261B7A" w:rsidRDefault="00422EFE" w:rsidP="00D41492">
            <w:pPr>
              <w:pStyle w:val="TableText"/>
              <w:spacing w:before="40" w:after="40"/>
            </w:pPr>
            <w:r w:rsidRPr="00261B7A">
              <w:rPr>
                <w:rFonts w:eastAsia="Calibri"/>
              </w:rPr>
              <w:t>2003</w:t>
            </w:r>
          </w:p>
        </w:tc>
        <w:tc>
          <w:tcPr>
            <w:tcW w:w="0" w:type="auto"/>
            <w:shd w:val="clear" w:color="auto" w:fill="FFFFFF"/>
            <w:tcMar>
              <w:top w:w="0" w:type="dxa"/>
              <w:left w:w="85" w:type="dxa"/>
              <w:bottom w:w="0" w:type="dxa"/>
              <w:right w:w="85" w:type="dxa"/>
            </w:tcMar>
          </w:tcPr>
          <w:p w14:paraId="0A516512" w14:textId="77777777" w:rsidR="00422EFE" w:rsidRPr="00261B7A" w:rsidRDefault="00422EFE" w:rsidP="00D41492">
            <w:pPr>
              <w:pStyle w:val="TableText"/>
              <w:spacing w:before="40" w:after="40"/>
              <w:jc w:val="right"/>
            </w:pPr>
            <w:r w:rsidRPr="00261B7A">
              <w:rPr>
                <w:rFonts w:eastAsia="Calibri"/>
                <w:color w:val="000000"/>
              </w:rPr>
              <w:t>7.3</w:t>
            </w:r>
          </w:p>
        </w:tc>
        <w:tc>
          <w:tcPr>
            <w:tcW w:w="0" w:type="auto"/>
            <w:shd w:val="clear" w:color="auto" w:fill="FFFFFF"/>
            <w:tcMar>
              <w:top w:w="0" w:type="dxa"/>
              <w:left w:w="85" w:type="dxa"/>
              <w:bottom w:w="0" w:type="dxa"/>
              <w:right w:w="85" w:type="dxa"/>
            </w:tcMar>
          </w:tcPr>
          <w:p w14:paraId="6F9F155D"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450388F8"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33AA796C" w14:textId="77777777" w:rsidR="00422EFE" w:rsidRPr="00261B7A" w:rsidRDefault="00422EFE" w:rsidP="00D41492">
            <w:pPr>
              <w:pStyle w:val="TableText"/>
              <w:spacing w:before="40" w:after="40"/>
              <w:jc w:val="right"/>
            </w:pPr>
            <w:r w:rsidRPr="00261B7A">
              <w:rPr>
                <w:rFonts w:eastAsia="Calibri"/>
                <w:color w:val="000000"/>
              </w:rPr>
              <w:t>12.0</w:t>
            </w:r>
          </w:p>
        </w:tc>
      </w:tr>
      <w:tr w:rsidR="00422EFE" w:rsidRPr="00261B7A" w14:paraId="2205C910" w14:textId="77777777" w:rsidTr="00D41492">
        <w:tc>
          <w:tcPr>
            <w:tcW w:w="0" w:type="auto"/>
            <w:shd w:val="clear" w:color="auto" w:fill="FFFFFF"/>
            <w:tcMar>
              <w:top w:w="0" w:type="dxa"/>
              <w:left w:w="85" w:type="dxa"/>
              <w:bottom w:w="0" w:type="dxa"/>
              <w:right w:w="85" w:type="dxa"/>
            </w:tcMar>
          </w:tcPr>
          <w:p w14:paraId="742632D8" w14:textId="77777777" w:rsidR="00422EFE" w:rsidRPr="00261B7A" w:rsidRDefault="00422EFE" w:rsidP="00D41492">
            <w:pPr>
              <w:pStyle w:val="TableText"/>
              <w:spacing w:before="40" w:after="40"/>
            </w:pPr>
            <w:r w:rsidRPr="00261B7A">
              <w:rPr>
                <w:rFonts w:eastAsia="Calibri"/>
              </w:rPr>
              <w:t>2004</w:t>
            </w:r>
          </w:p>
        </w:tc>
        <w:tc>
          <w:tcPr>
            <w:tcW w:w="0" w:type="auto"/>
            <w:shd w:val="clear" w:color="auto" w:fill="FFFFFF"/>
            <w:tcMar>
              <w:top w:w="0" w:type="dxa"/>
              <w:left w:w="85" w:type="dxa"/>
              <w:bottom w:w="0" w:type="dxa"/>
              <w:right w:w="85" w:type="dxa"/>
            </w:tcMar>
          </w:tcPr>
          <w:p w14:paraId="787973C3" w14:textId="77777777" w:rsidR="00422EFE" w:rsidRPr="00261B7A" w:rsidRDefault="00422EFE" w:rsidP="00D41492">
            <w:pPr>
              <w:pStyle w:val="TableText"/>
              <w:spacing w:before="40" w:after="40"/>
              <w:jc w:val="right"/>
            </w:pPr>
            <w:r w:rsidRPr="00261B7A">
              <w:rPr>
                <w:rFonts w:eastAsia="Calibri"/>
                <w:color w:val="000000"/>
              </w:rPr>
              <w:t>7.2</w:t>
            </w:r>
          </w:p>
        </w:tc>
        <w:tc>
          <w:tcPr>
            <w:tcW w:w="0" w:type="auto"/>
            <w:shd w:val="clear" w:color="auto" w:fill="FFFFFF"/>
            <w:tcMar>
              <w:top w:w="0" w:type="dxa"/>
              <w:left w:w="85" w:type="dxa"/>
              <w:bottom w:w="0" w:type="dxa"/>
              <w:right w:w="85" w:type="dxa"/>
            </w:tcMar>
          </w:tcPr>
          <w:p w14:paraId="665B043C"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4CBE7080"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40EEBE42" w14:textId="77777777" w:rsidR="00422EFE" w:rsidRPr="00261B7A" w:rsidRDefault="00422EFE" w:rsidP="00D41492">
            <w:pPr>
              <w:pStyle w:val="TableText"/>
              <w:spacing w:before="40" w:after="40"/>
              <w:jc w:val="right"/>
            </w:pPr>
            <w:r w:rsidRPr="00261B7A">
              <w:rPr>
                <w:rFonts w:eastAsia="Calibri"/>
                <w:color w:val="000000"/>
              </w:rPr>
              <w:t>11.9</w:t>
            </w:r>
          </w:p>
        </w:tc>
      </w:tr>
      <w:tr w:rsidR="00422EFE" w:rsidRPr="00261B7A" w14:paraId="1CBE8278" w14:textId="77777777" w:rsidTr="00D41492">
        <w:tc>
          <w:tcPr>
            <w:tcW w:w="0" w:type="auto"/>
            <w:shd w:val="clear" w:color="auto" w:fill="FFFFFF"/>
            <w:tcMar>
              <w:top w:w="0" w:type="dxa"/>
              <w:left w:w="85" w:type="dxa"/>
              <w:bottom w:w="0" w:type="dxa"/>
              <w:right w:w="85" w:type="dxa"/>
            </w:tcMar>
          </w:tcPr>
          <w:p w14:paraId="52FF318B" w14:textId="77777777" w:rsidR="00422EFE" w:rsidRPr="00261B7A" w:rsidRDefault="00422EFE" w:rsidP="00D41492">
            <w:pPr>
              <w:pStyle w:val="TableText"/>
              <w:spacing w:before="40" w:after="40"/>
            </w:pPr>
            <w:r w:rsidRPr="00261B7A">
              <w:rPr>
                <w:rFonts w:eastAsia="Calibri"/>
              </w:rPr>
              <w:t>2005</w:t>
            </w:r>
          </w:p>
        </w:tc>
        <w:tc>
          <w:tcPr>
            <w:tcW w:w="0" w:type="auto"/>
            <w:shd w:val="clear" w:color="auto" w:fill="FFFFFF"/>
            <w:tcMar>
              <w:top w:w="0" w:type="dxa"/>
              <w:left w:w="85" w:type="dxa"/>
              <w:bottom w:w="0" w:type="dxa"/>
              <w:right w:w="85" w:type="dxa"/>
            </w:tcMar>
          </w:tcPr>
          <w:p w14:paraId="231C8D52" w14:textId="77777777" w:rsidR="00422EFE" w:rsidRPr="00261B7A" w:rsidRDefault="00422EFE" w:rsidP="00D41492">
            <w:pPr>
              <w:pStyle w:val="TableText"/>
              <w:spacing w:before="40" w:after="40"/>
              <w:jc w:val="right"/>
            </w:pPr>
            <w:r w:rsidRPr="00261B7A">
              <w:rPr>
                <w:rFonts w:eastAsia="Calibri"/>
                <w:color w:val="000000"/>
              </w:rPr>
              <w:t>5.3</w:t>
            </w:r>
          </w:p>
        </w:tc>
        <w:tc>
          <w:tcPr>
            <w:tcW w:w="0" w:type="auto"/>
            <w:shd w:val="clear" w:color="auto" w:fill="FFFFFF"/>
            <w:tcMar>
              <w:top w:w="0" w:type="dxa"/>
              <w:left w:w="85" w:type="dxa"/>
              <w:bottom w:w="0" w:type="dxa"/>
              <w:right w:w="85" w:type="dxa"/>
            </w:tcMar>
          </w:tcPr>
          <w:p w14:paraId="196644E1"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036D2729"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0D8404F2" w14:textId="77777777" w:rsidR="00422EFE" w:rsidRPr="00261B7A" w:rsidRDefault="00422EFE" w:rsidP="00D41492">
            <w:pPr>
              <w:pStyle w:val="TableText"/>
              <w:spacing w:before="40" w:after="40"/>
              <w:jc w:val="right"/>
            </w:pPr>
            <w:r w:rsidRPr="00261B7A">
              <w:rPr>
                <w:rFonts w:eastAsia="Calibri"/>
                <w:color w:val="000000"/>
              </w:rPr>
              <w:t>10.0</w:t>
            </w:r>
          </w:p>
        </w:tc>
      </w:tr>
      <w:tr w:rsidR="00422EFE" w:rsidRPr="00261B7A" w14:paraId="4197F496" w14:textId="77777777" w:rsidTr="00D41492">
        <w:tc>
          <w:tcPr>
            <w:tcW w:w="0" w:type="auto"/>
            <w:shd w:val="clear" w:color="auto" w:fill="FFFFFF"/>
            <w:tcMar>
              <w:top w:w="0" w:type="dxa"/>
              <w:left w:w="85" w:type="dxa"/>
              <w:bottom w:w="0" w:type="dxa"/>
              <w:right w:w="85" w:type="dxa"/>
            </w:tcMar>
          </w:tcPr>
          <w:p w14:paraId="53A0052B" w14:textId="77777777" w:rsidR="00422EFE" w:rsidRPr="00261B7A" w:rsidRDefault="00422EFE" w:rsidP="00D41492">
            <w:pPr>
              <w:pStyle w:val="TableText"/>
              <w:spacing w:before="40" w:after="40"/>
            </w:pPr>
            <w:r w:rsidRPr="00261B7A">
              <w:rPr>
                <w:rFonts w:eastAsia="Calibri"/>
              </w:rPr>
              <w:t>2006</w:t>
            </w:r>
          </w:p>
        </w:tc>
        <w:tc>
          <w:tcPr>
            <w:tcW w:w="0" w:type="auto"/>
            <w:shd w:val="clear" w:color="auto" w:fill="FFFFFF"/>
            <w:tcMar>
              <w:top w:w="0" w:type="dxa"/>
              <w:left w:w="85" w:type="dxa"/>
              <w:bottom w:w="0" w:type="dxa"/>
              <w:right w:w="85" w:type="dxa"/>
            </w:tcMar>
          </w:tcPr>
          <w:p w14:paraId="3CF318B7" w14:textId="77777777" w:rsidR="00422EFE" w:rsidRPr="00261B7A" w:rsidRDefault="00422EFE" w:rsidP="00D41492">
            <w:pPr>
              <w:pStyle w:val="TableText"/>
              <w:spacing w:before="40" w:after="40"/>
              <w:jc w:val="right"/>
            </w:pPr>
            <w:r w:rsidRPr="00261B7A">
              <w:rPr>
                <w:rFonts w:eastAsia="Calibri"/>
                <w:color w:val="000000"/>
              </w:rPr>
              <w:t>3.2</w:t>
            </w:r>
          </w:p>
        </w:tc>
        <w:tc>
          <w:tcPr>
            <w:tcW w:w="0" w:type="auto"/>
            <w:shd w:val="clear" w:color="auto" w:fill="FFFFFF"/>
            <w:tcMar>
              <w:top w:w="0" w:type="dxa"/>
              <w:left w:w="85" w:type="dxa"/>
              <w:bottom w:w="0" w:type="dxa"/>
              <w:right w:w="85" w:type="dxa"/>
            </w:tcMar>
          </w:tcPr>
          <w:p w14:paraId="5507F301"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2D0254FE"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4D834FC4" w14:textId="77777777" w:rsidR="00422EFE" w:rsidRPr="00261B7A" w:rsidRDefault="00422EFE" w:rsidP="00D41492">
            <w:pPr>
              <w:pStyle w:val="TableText"/>
              <w:spacing w:before="40" w:after="40"/>
              <w:jc w:val="right"/>
            </w:pPr>
            <w:r w:rsidRPr="00261B7A">
              <w:rPr>
                <w:rFonts w:eastAsia="Calibri"/>
                <w:color w:val="000000"/>
              </w:rPr>
              <w:t>7.9</w:t>
            </w:r>
          </w:p>
        </w:tc>
      </w:tr>
      <w:tr w:rsidR="00422EFE" w:rsidRPr="00261B7A" w14:paraId="29F95106" w14:textId="77777777" w:rsidTr="00D41492">
        <w:tc>
          <w:tcPr>
            <w:tcW w:w="0" w:type="auto"/>
            <w:shd w:val="clear" w:color="auto" w:fill="FFFFFF"/>
            <w:tcMar>
              <w:top w:w="0" w:type="dxa"/>
              <w:left w:w="85" w:type="dxa"/>
              <w:bottom w:w="0" w:type="dxa"/>
              <w:right w:w="85" w:type="dxa"/>
            </w:tcMar>
          </w:tcPr>
          <w:p w14:paraId="7D8EE4EC" w14:textId="77777777" w:rsidR="00422EFE" w:rsidRPr="00261B7A" w:rsidRDefault="00422EFE" w:rsidP="00D41492">
            <w:pPr>
              <w:pStyle w:val="TableText"/>
              <w:spacing w:before="40" w:after="40"/>
            </w:pPr>
            <w:r w:rsidRPr="00261B7A">
              <w:rPr>
                <w:rFonts w:eastAsia="Calibri"/>
              </w:rPr>
              <w:t>2007</w:t>
            </w:r>
          </w:p>
        </w:tc>
        <w:tc>
          <w:tcPr>
            <w:tcW w:w="0" w:type="auto"/>
            <w:shd w:val="clear" w:color="auto" w:fill="FFFFFF"/>
            <w:tcMar>
              <w:top w:w="0" w:type="dxa"/>
              <w:left w:w="85" w:type="dxa"/>
              <w:bottom w:w="0" w:type="dxa"/>
              <w:right w:w="85" w:type="dxa"/>
            </w:tcMar>
          </w:tcPr>
          <w:p w14:paraId="6DF1280B" w14:textId="77777777" w:rsidR="00422EFE" w:rsidRPr="00261B7A" w:rsidRDefault="00422EFE" w:rsidP="00D41492">
            <w:pPr>
              <w:pStyle w:val="TableText"/>
              <w:spacing w:before="40" w:after="40"/>
              <w:jc w:val="right"/>
            </w:pPr>
            <w:r w:rsidRPr="00261B7A">
              <w:rPr>
                <w:rFonts w:eastAsia="Calibri"/>
                <w:color w:val="000000"/>
              </w:rPr>
              <w:t>0.6</w:t>
            </w:r>
          </w:p>
        </w:tc>
        <w:tc>
          <w:tcPr>
            <w:tcW w:w="0" w:type="auto"/>
            <w:shd w:val="clear" w:color="auto" w:fill="FFFFFF"/>
            <w:tcMar>
              <w:top w:w="0" w:type="dxa"/>
              <w:left w:w="85" w:type="dxa"/>
              <w:bottom w:w="0" w:type="dxa"/>
              <w:right w:w="85" w:type="dxa"/>
            </w:tcMar>
          </w:tcPr>
          <w:p w14:paraId="579A2701"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4FD738B0" w14:textId="77777777" w:rsidR="00422EFE" w:rsidRPr="00261B7A" w:rsidRDefault="00422EFE" w:rsidP="00D41492">
            <w:pPr>
              <w:pStyle w:val="TableText"/>
              <w:spacing w:before="40" w:after="40"/>
              <w:jc w:val="right"/>
            </w:pPr>
            <w:r w:rsidRPr="00261B7A">
              <w:rPr>
                <w:rFonts w:eastAsia="Calibri"/>
                <w:color w:val="000000"/>
              </w:rPr>
              <w:t>4.4</w:t>
            </w:r>
          </w:p>
        </w:tc>
        <w:tc>
          <w:tcPr>
            <w:tcW w:w="2268" w:type="dxa"/>
            <w:shd w:val="clear" w:color="auto" w:fill="FFFFFF"/>
            <w:tcMar>
              <w:top w:w="0" w:type="dxa"/>
              <w:left w:w="85" w:type="dxa"/>
              <w:bottom w:w="0" w:type="dxa"/>
              <w:right w:w="85" w:type="dxa"/>
            </w:tcMar>
          </w:tcPr>
          <w:p w14:paraId="0EA6A44A" w14:textId="77777777" w:rsidR="00422EFE" w:rsidRPr="00261B7A" w:rsidRDefault="00422EFE" w:rsidP="00D41492">
            <w:pPr>
              <w:pStyle w:val="TableText"/>
              <w:spacing w:before="40" w:after="40"/>
              <w:jc w:val="right"/>
            </w:pPr>
            <w:r w:rsidRPr="00261B7A">
              <w:rPr>
                <w:rFonts w:eastAsia="Calibri"/>
                <w:color w:val="000000"/>
              </w:rPr>
              <w:t>5.3</w:t>
            </w:r>
          </w:p>
        </w:tc>
      </w:tr>
      <w:tr w:rsidR="00422EFE" w:rsidRPr="00261B7A" w14:paraId="7FC33784" w14:textId="77777777" w:rsidTr="00D41492">
        <w:tc>
          <w:tcPr>
            <w:tcW w:w="0" w:type="auto"/>
            <w:shd w:val="clear" w:color="auto" w:fill="FFFFFF"/>
            <w:tcMar>
              <w:top w:w="0" w:type="dxa"/>
              <w:left w:w="85" w:type="dxa"/>
              <w:bottom w:w="0" w:type="dxa"/>
              <w:right w:w="85" w:type="dxa"/>
            </w:tcMar>
          </w:tcPr>
          <w:p w14:paraId="5CA6181D" w14:textId="77777777" w:rsidR="00422EFE" w:rsidRPr="00261B7A" w:rsidRDefault="00422EFE" w:rsidP="00D41492">
            <w:pPr>
              <w:pStyle w:val="TableText"/>
              <w:spacing w:before="40" w:after="40"/>
            </w:pPr>
            <w:r w:rsidRPr="00261B7A">
              <w:rPr>
                <w:rFonts w:eastAsia="Calibri"/>
              </w:rPr>
              <w:t>2008</w:t>
            </w:r>
          </w:p>
        </w:tc>
        <w:tc>
          <w:tcPr>
            <w:tcW w:w="0" w:type="auto"/>
            <w:shd w:val="clear" w:color="auto" w:fill="FFFFFF"/>
            <w:tcMar>
              <w:top w:w="0" w:type="dxa"/>
              <w:left w:w="85" w:type="dxa"/>
              <w:bottom w:w="0" w:type="dxa"/>
              <w:right w:w="85" w:type="dxa"/>
            </w:tcMar>
          </w:tcPr>
          <w:p w14:paraId="6AF7EE91" w14:textId="77777777" w:rsidR="00422EFE" w:rsidRPr="00261B7A" w:rsidRDefault="00422EFE" w:rsidP="00D41492">
            <w:pPr>
              <w:pStyle w:val="TableText"/>
              <w:spacing w:before="40" w:after="40"/>
              <w:jc w:val="right"/>
            </w:pPr>
            <w:r w:rsidRPr="00261B7A">
              <w:rPr>
                <w:rFonts w:eastAsia="Calibri"/>
                <w:color w:val="000000"/>
              </w:rPr>
              <w:t>0.6</w:t>
            </w:r>
          </w:p>
        </w:tc>
        <w:tc>
          <w:tcPr>
            <w:tcW w:w="0" w:type="auto"/>
            <w:shd w:val="clear" w:color="auto" w:fill="FFFFFF"/>
            <w:tcMar>
              <w:top w:w="0" w:type="dxa"/>
              <w:left w:w="85" w:type="dxa"/>
              <w:bottom w:w="0" w:type="dxa"/>
              <w:right w:w="85" w:type="dxa"/>
            </w:tcMar>
          </w:tcPr>
          <w:p w14:paraId="44882F4E"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378B9C47" w14:textId="77777777" w:rsidR="00422EFE" w:rsidRPr="00261B7A" w:rsidRDefault="00422EFE" w:rsidP="00D41492">
            <w:pPr>
              <w:pStyle w:val="TableText"/>
              <w:spacing w:before="40" w:after="40"/>
              <w:jc w:val="right"/>
            </w:pPr>
            <w:r w:rsidRPr="00261B7A">
              <w:rPr>
                <w:rFonts w:eastAsia="Calibri"/>
                <w:color w:val="000000"/>
              </w:rPr>
              <w:t>4.5</w:t>
            </w:r>
          </w:p>
        </w:tc>
        <w:tc>
          <w:tcPr>
            <w:tcW w:w="2268" w:type="dxa"/>
            <w:shd w:val="clear" w:color="auto" w:fill="FFFFFF"/>
            <w:tcMar>
              <w:top w:w="0" w:type="dxa"/>
              <w:left w:w="85" w:type="dxa"/>
              <w:bottom w:w="0" w:type="dxa"/>
              <w:right w:w="85" w:type="dxa"/>
            </w:tcMar>
          </w:tcPr>
          <w:p w14:paraId="01F71A93" w14:textId="77777777" w:rsidR="00422EFE" w:rsidRPr="00261B7A" w:rsidRDefault="00422EFE" w:rsidP="00D41492">
            <w:pPr>
              <w:pStyle w:val="TableText"/>
              <w:spacing w:before="40" w:after="40"/>
              <w:jc w:val="right"/>
            </w:pPr>
            <w:r w:rsidRPr="00261B7A">
              <w:rPr>
                <w:rFonts w:eastAsia="Calibri"/>
                <w:color w:val="000000"/>
              </w:rPr>
              <w:t>5.4</w:t>
            </w:r>
          </w:p>
        </w:tc>
      </w:tr>
      <w:tr w:rsidR="00422EFE" w:rsidRPr="00261B7A" w14:paraId="19903E15" w14:textId="77777777" w:rsidTr="00D41492">
        <w:tc>
          <w:tcPr>
            <w:tcW w:w="0" w:type="auto"/>
            <w:shd w:val="clear" w:color="auto" w:fill="FFFFFF"/>
            <w:tcMar>
              <w:top w:w="0" w:type="dxa"/>
              <w:left w:w="85" w:type="dxa"/>
              <w:bottom w:w="0" w:type="dxa"/>
              <w:right w:w="85" w:type="dxa"/>
            </w:tcMar>
          </w:tcPr>
          <w:p w14:paraId="7F35B30B" w14:textId="77777777" w:rsidR="00422EFE" w:rsidRPr="00261B7A" w:rsidRDefault="00422EFE" w:rsidP="00D41492">
            <w:pPr>
              <w:pStyle w:val="TableText"/>
              <w:spacing w:before="40" w:after="40"/>
            </w:pPr>
            <w:r w:rsidRPr="00261B7A">
              <w:rPr>
                <w:rFonts w:eastAsia="Calibri"/>
              </w:rPr>
              <w:t>2009</w:t>
            </w:r>
          </w:p>
        </w:tc>
        <w:tc>
          <w:tcPr>
            <w:tcW w:w="0" w:type="auto"/>
            <w:shd w:val="clear" w:color="auto" w:fill="FFFFFF"/>
            <w:tcMar>
              <w:top w:w="0" w:type="dxa"/>
              <w:left w:w="85" w:type="dxa"/>
              <w:bottom w:w="0" w:type="dxa"/>
              <w:right w:w="85" w:type="dxa"/>
            </w:tcMar>
          </w:tcPr>
          <w:p w14:paraId="4A22BA16" w14:textId="77777777" w:rsidR="00422EFE" w:rsidRPr="00261B7A" w:rsidRDefault="00422EFE" w:rsidP="00D41492">
            <w:pPr>
              <w:pStyle w:val="TableText"/>
              <w:spacing w:before="40" w:after="40"/>
              <w:jc w:val="right"/>
            </w:pPr>
            <w:r w:rsidRPr="00261B7A">
              <w:rPr>
                <w:rFonts w:eastAsia="Calibri"/>
                <w:color w:val="000000"/>
              </w:rPr>
              <w:t>0.6</w:t>
            </w:r>
          </w:p>
        </w:tc>
        <w:tc>
          <w:tcPr>
            <w:tcW w:w="0" w:type="auto"/>
            <w:shd w:val="clear" w:color="auto" w:fill="FFFFFF"/>
            <w:tcMar>
              <w:top w:w="0" w:type="dxa"/>
              <w:left w:w="85" w:type="dxa"/>
              <w:bottom w:w="0" w:type="dxa"/>
              <w:right w:w="85" w:type="dxa"/>
            </w:tcMar>
          </w:tcPr>
          <w:p w14:paraId="3149B908"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744C35FB" w14:textId="77777777" w:rsidR="00422EFE" w:rsidRPr="00261B7A" w:rsidRDefault="00422EFE" w:rsidP="00D41492">
            <w:pPr>
              <w:pStyle w:val="TableText"/>
              <w:spacing w:before="40" w:after="40"/>
              <w:jc w:val="right"/>
            </w:pPr>
            <w:r w:rsidRPr="00261B7A">
              <w:rPr>
                <w:rFonts w:eastAsia="Calibri"/>
                <w:color w:val="000000"/>
              </w:rPr>
              <w:t>4.5</w:t>
            </w:r>
          </w:p>
        </w:tc>
        <w:tc>
          <w:tcPr>
            <w:tcW w:w="2268" w:type="dxa"/>
            <w:shd w:val="clear" w:color="auto" w:fill="FFFFFF"/>
            <w:tcMar>
              <w:top w:w="0" w:type="dxa"/>
              <w:left w:w="85" w:type="dxa"/>
              <w:bottom w:w="0" w:type="dxa"/>
              <w:right w:w="85" w:type="dxa"/>
            </w:tcMar>
          </w:tcPr>
          <w:p w14:paraId="2ABFC25D" w14:textId="77777777" w:rsidR="00422EFE" w:rsidRPr="00261B7A" w:rsidRDefault="00422EFE" w:rsidP="00D41492">
            <w:pPr>
              <w:pStyle w:val="TableText"/>
              <w:spacing w:before="40" w:after="40"/>
              <w:jc w:val="right"/>
            </w:pPr>
            <w:r w:rsidRPr="00261B7A">
              <w:rPr>
                <w:rFonts w:eastAsia="Calibri"/>
                <w:color w:val="000000"/>
              </w:rPr>
              <w:t>5.4</w:t>
            </w:r>
          </w:p>
        </w:tc>
      </w:tr>
      <w:tr w:rsidR="00422EFE" w:rsidRPr="00261B7A" w14:paraId="6FFC1770" w14:textId="77777777" w:rsidTr="00D41492">
        <w:tc>
          <w:tcPr>
            <w:tcW w:w="0" w:type="auto"/>
            <w:shd w:val="clear" w:color="auto" w:fill="FFFFFF"/>
            <w:tcMar>
              <w:top w:w="0" w:type="dxa"/>
              <w:left w:w="85" w:type="dxa"/>
              <w:bottom w:w="0" w:type="dxa"/>
              <w:right w:w="85" w:type="dxa"/>
            </w:tcMar>
          </w:tcPr>
          <w:p w14:paraId="4DAA6C5E" w14:textId="77777777" w:rsidR="00422EFE" w:rsidRPr="00261B7A" w:rsidRDefault="00422EFE" w:rsidP="00D41492">
            <w:pPr>
              <w:pStyle w:val="TableText"/>
              <w:spacing w:before="40" w:after="40"/>
            </w:pPr>
            <w:r w:rsidRPr="00261B7A">
              <w:rPr>
                <w:rFonts w:eastAsia="Calibri"/>
              </w:rPr>
              <w:t>2010</w:t>
            </w:r>
          </w:p>
        </w:tc>
        <w:tc>
          <w:tcPr>
            <w:tcW w:w="0" w:type="auto"/>
            <w:shd w:val="clear" w:color="auto" w:fill="FFFFFF"/>
            <w:tcMar>
              <w:top w:w="0" w:type="dxa"/>
              <w:left w:w="85" w:type="dxa"/>
              <w:bottom w:w="0" w:type="dxa"/>
              <w:right w:w="85" w:type="dxa"/>
            </w:tcMar>
          </w:tcPr>
          <w:p w14:paraId="1E0C2998" w14:textId="77777777" w:rsidR="00422EFE" w:rsidRPr="00261B7A" w:rsidRDefault="00422EFE" w:rsidP="00D41492">
            <w:pPr>
              <w:pStyle w:val="TableText"/>
              <w:spacing w:before="40" w:after="40"/>
              <w:jc w:val="right"/>
            </w:pPr>
            <w:r w:rsidRPr="00261B7A">
              <w:rPr>
                <w:rFonts w:eastAsia="Calibri"/>
                <w:color w:val="000000"/>
              </w:rPr>
              <w:t>0.6</w:t>
            </w:r>
          </w:p>
        </w:tc>
        <w:tc>
          <w:tcPr>
            <w:tcW w:w="0" w:type="auto"/>
            <w:shd w:val="clear" w:color="auto" w:fill="FFFFFF"/>
            <w:tcMar>
              <w:top w:w="0" w:type="dxa"/>
              <w:left w:w="85" w:type="dxa"/>
              <w:bottom w:w="0" w:type="dxa"/>
              <w:right w:w="85" w:type="dxa"/>
            </w:tcMar>
          </w:tcPr>
          <w:p w14:paraId="53A45EB8"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63D2A304" w14:textId="77777777" w:rsidR="00422EFE" w:rsidRPr="00261B7A" w:rsidRDefault="00422EFE" w:rsidP="00D41492">
            <w:pPr>
              <w:pStyle w:val="TableText"/>
              <w:spacing w:before="40" w:after="40"/>
              <w:jc w:val="right"/>
            </w:pPr>
            <w:r w:rsidRPr="00261B7A">
              <w:rPr>
                <w:rFonts w:eastAsia="Calibri"/>
                <w:color w:val="000000"/>
              </w:rPr>
              <w:t>4.5</w:t>
            </w:r>
          </w:p>
        </w:tc>
        <w:tc>
          <w:tcPr>
            <w:tcW w:w="2268" w:type="dxa"/>
            <w:shd w:val="clear" w:color="auto" w:fill="FFFFFF"/>
            <w:tcMar>
              <w:top w:w="0" w:type="dxa"/>
              <w:left w:w="85" w:type="dxa"/>
              <w:bottom w:w="0" w:type="dxa"/>
              <w:right w:w="85" w:type="dxa"/>
            </w:tcMar>
          </w:tcPr>
          <w:p w14:paraId="22C4B90E" w14:textId="77777777" w:rsidR="00422EFE" w:rsidRPr="00261B7A" w:rsidRDefault="00422EFE" w:rsidP="00D41492">
            <w:pPr>
              <w:pStyle w:val="TableText"/>
              <w:spacing w:before="40" w:after="40"/>
              <w:jc w:val="right"/>
            </w:pPr>
            <w:r w:rsidRPr="00261B7A">
              <w:rPr>
                <w:rFonts w:eastAsia="Calibri"/>
                <w:color w:val="000000"/>
              </w:rPr>
              <w:t>5.4</w:t>
            </w:r>
          </w:p>
        </w:tc>
      </w:tr>
      <w:tr w:rsidR="00422EFE" w:rsidRPr="00261B7A" w14:paraId="5D710B25" w14:textId="77777777" w:rsidTr="00D41492">
        <w:tc>
          <w:tcPr>
            <w:tcW w:w="0" w:type="auto"/>
            <w:shd w:val="clear" w:color="auto" w:fill="FFFFFF"/>
            <w:tcMar>
              <w:top w:w="0" w:type="dxa"/>
              <w:left w:w="85" w:type="dxa"/>
              <w:bottom w:w="0" w:type="dxa"/>
              <w:right w:w="85" w:type="dxa"/>
            </w:tcMar>
          </w:tcPr>
          <w:p w14:paraId="351C1D39" w14:textId="77777777" w:rsidR="00422EFE" w:rsidRPr="00261B7A" w:rsidRDefault="00422EFE" w:rsidP="00D41492">
            <w:pPr>
              <w:pStyle w:val="TableText"/>
              <w:spacing w:before="40" w:after="40"/>
            </w:pPr>
            <w:r w:rsidRPr="00261B7A">
              <w:rPr>
                <w:rFonts w:eastAsia="Calibri"/>
              </w:rPr>
              <w:t>2011</w:t>
            </w:r>
          </w:p>
        </w:tc>
        <w:tc>
          <w:tcPr>
            <w:tcW w:w="0" w:type="auto"/>
            <w:shd w:val="clear" w:color="auto" w:fill="FFFFFF"/>
            <w:tcMar>
              <w:top w:w="0" w:type="dxa"/>
              <w:left w:w="85" w:type="dxa"/>
              <w:bottom w:w="0" w:type="dxa"/>
              <w:right w:w="85" w:type="dxa"/>
            </w:tcMar>
          </w:tcPr>
          <w:p w14:paraId="1299DF2A" w14:textId="77777777" w:rsidR="00422EFE" w:rsidRPr="00261B7A" w:rsidRDefault="00422EFE" w:rsidP="00D41492">
            <w:pPr>
              <w:pStyle w:val="TableText"/>
              <w:spacing w:before="40" w:after="40"/>
              <w:jc w:val="right"/>
            </w:pPr>
            <w:r w:rsidRPr="00261B7A">
              <w:rPr>
                <w:rFonts w:eastAsia="Calibri"/>
                <w:color w:val="000000"/>
              </w:rPr>
              <w:t>0.6</w:t>
            </w:r>
          </w:p>
        </w:tc>
        <w:tc>
          <w:tcPr>
            <w:tcW w:w="0" w:type="auto"/>
            <w:shd w:val="clear" w:color="auto" w:fill="FFFFFF"/>
            <w:tcMar>
              <w:top w:w="0" w:type="dxa"/>
              <w:left w:w="85" w:type="dxa"/>
              <w:bottom w:w="0" w:type="dxa"/>
              <w:right w:w="85" w:type="dxa"/>
            </w:tcMar>
          </w:tcPr>
          <w:p w14:paraId="3412FE5D"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57B500CA" w14:textId="77777777" w:rsidR="00422EFE" w:rsidRPr="00261B7A" w:rsidRDefault="00422EFE" w:rsidP="00D41492">
            <w:pPr>
              <w:pStyle w:val="TableText"/>
              <w:spacing w:before="40" w:after="40"/>
              <w:jc w:val="right"/>
            </w:pPr>
            <w:r w:rsidRPr="00261B7A">
              <w:rPr>
                <w:rFonts w:eastAsia="Calibri"/>
                <w:color w:val="000000"/>
              </w:rPr>
              <w:t>4.5</w:t>
            </w:r>
          </w:p>
        </w:tc>
        <w:tc>
          <w:tcPr>
            <w:tcW w:w="2268" w:type="dxa"/>
            <w:shd w:val="clear" w:color="auto" w:fill="FFFFFF"/>
            <w:tcMar>
              <w:top w:w="0" w:type="dxa"/>
              <w:left w:w="85" w:type="dxa"/>
              <w:bottom w:w="0" w:type="dxa"/>
              <w:right w:w="85" w:type="dxa"/>
            </w:tcMar>
          </w:tcPr>
          <w:p w14:paraId="55EC1867" w14:textId="77777777" w:rsidR="00422EFE" w:rsidRPr="00261B7A" w:rsidRDefault="00422EFE" w:rsidP="00D41492">
            <w:pPr>
              <w:pStyle w:val="TableText"/>
              <w:spacing w:before="40" w:after="40"/>
              <w:jc w:val="right"/>
            </w:pPr>
            <w:r w:rsidRPr="00261B7A">
              <w:rPr>
                <w:rFonts w:eastAsia="Calibri"/>
                <w:color w:val="000000"/>
              </w:rPr>
              <w:t>5.4</w:t>
            </w:r>
          </w:p>
        </w:tc>
      </w:tr>
      <w:tr w:rsidR="00422EFE" w:rsidRPr="00261B7A" w14:paraId="52DEDC14" w14:textId="77777777" w:rsidTr="00D41492">
        <w:tc>
          <w:tcPr>
            <w:tcW w:w="0" w:type="auto"/>
            <w:shd w:val="clear" w:color="auto" w:fill="FFFFFF"/>
            <w:tcMar>
              <w:top w:w="0" w:type="dxa"/>
              <w:left w:w="85" w:type="dxa"/>
              <w:bottom w:w="0" w:type="dxa"/>
              <w:right w:w="85" w:type="dxa"/>
            </w:tcMar>
          </w:tcPr>
          <w:p w14:paraId="54C58194" w14:textId="77777777" w:rsidR="00422EFE" w:rsidRPr="00261B7A" w:rsidRDefault="00422EFE" w:rsidP="00D41492">
            <w:pPr>
              <w:pStyle w:val="TableText"/>
              <w:spacing w:before="40" w:after="40"/>
            </w:pPr>
            <w:r w:rsidRPr="00261B7A">
              <w:rPr>
                <w:rFonts w:eastAsia="Calibri"/>
              </w:rPr>
              <w:t>2012</w:t>
            </w:r>
          </w:p>
        </w:tc>
        <w:tc>
          <w:tcPr>
            <w:tcW w:w="0" w:type="auto"/>
            <w:shd w:val="clear" w:color="auto" w:fill="FFFFFF"/>
            <w:tcMar>
              <w:top w:w="0" w:type="dxa"/>
              <w:left w:w="85" w:type="dxa"/>
              <w:bottom w:w="0" w:type="dxa"/>
              <w:right w:w="85" w:type="dxa"/>
            </w:tcMar>
          </w:tcPr>
          <w:p w14:paraId="3808DD43" w14:textId="77777777" w:rsidR="00422EFE" w:rsidRPr="00261B7A" w:rsidRDefault="00422EFE" w:rsidP="00D41492">
            <w:pPr>
              <w:pStyle w:val="TableText"/>
              <w:spacing w:before="40" w:after="40"/>
              <w:jc w:val="right"/>
            </w:pPr>
            <w:r w:rsidRPr="00261B7A">
              <w:rPr>
                <w:rFonts w:eastAsia="Calibri"/>
                <w:color w:val="000000"/>
              </w:rPr>
              <w:t>0.6</w:t>
            </w:r>
          </w:p>
        </w:tc>
        <w:tc>
          <w:tcPr>
            <w:tcW w:w="0" w:type="auto"/>
            <w:shd w:val="clear" w:color="auto" w:fill="FFFFFF"/>
            <w:tcMar>
              <w:top w:w="0" w:type="dxa"/>
              <w:left w:w="85" w:type="dxa"/>
              <w:bottom w:w="0" w:type="dxa"/>
              <w:right w:w="85" w:type="dxa"/>
            </w:tcMar>
          </w:tcPr>
          <w:p w14:paraId="471D2CA7"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4546F04A" w14:textId="77777777" w:rsidR="00422EFE" w:rsidRPr="00261B7A" w:rsidRDefault="00422EFE" w:rsidP="00D41492">
            <w:pPr>
              <w:pStyle w:val="TableText"/>
              <w:spacing w:before="40" w:after="40"/>
              <w:jc w:val="right"/>
            </w:pPr>
            <w:r w:rsidRPr="00261B7A">
              <w:rPr>
                <w:rFonts w:eastAsia="Calibri"/>
                <w:color w:val="000000"/>
              </w:rPr>
              <w:t>4.5</w:t>
            </w:r>
          </w:p>
        </w:tc>
        <w:tc>
          <w:tcPr>
            <w:tcW w:w="2268" w:type="dxa"/>
            <w:shd w:val="clear" w:color="auto" w:fill="FFFFFF"/>
            <w:tcMar>
              <w:top w:w="0" w:type="dxa"/>
              <w:left w:w="85" w:type="dxa"/>
              <w:bottom w:w="0" w:type="dxa"/>
              <w:right w:w="85" w:type="dxa"/>
            </w:tcMar>
          </w:tcPr>
          <w:p w14:paraId="4D7D16C2" w14:textId="77777777" w:rsidR="00422EFE" w:rsidRPr="00261B7A" w:rsidRDefault="00422EFE" w:rsidP="00D41492">
            <w:pPr>
              <w:pStyle w:val="TableText"/>
              <w:spacing w:before="40" w:after="40"/>
              <w:jc w:val="right"/>
            </w:pPr>
            <w:r w:rsidRPr="00261B7A">
              <w:rPr>
                <w:rFonts w:eastAsia="Calibri"/>
                <w:color w:val="000000"/>
              </w:rPr>
              <w:t>5.4</w:t>
            </w:r>
          </w:p>
        </w:tc>
      </w:tr>
      <w:tr w:rsidR="00422EFE" w:rsidRPr="00261B7A" w14:paraId="50A81CCF" w14:textId="77777777" w:rsidTr="00D41492">
        <w:tc>
          <w:tcPr>
            <w:tcW w:w="0" w:type="auto"/>
            <w:shd w:val="clear" w:color="auto" w:fill="FFFFFF"/>
            <w:tcMar>
              <w:top w:w="0" w:type="dxa"/>
              <w:left w:w="85" w:type="dxa"/>
              <w:bottom w:w="0" w:type="dxa"/>
              <w:right w:w="85" w:type="dxa"/>
            </w:tcMar>
          </w:tcPr>
          <w:p w14:paraId="4AADCFAB" w14:textId="77777777" w:rsidR="00422EFE" w:rsidRPr="00261B7A" w:rsidRDefault="00422EFE" w:rsidP="00D41492">
            <w:pPr>
              <w:pStyle w:val="TableText"/>
              <w:spacing w:before="40" w:after="40"/>
            </w:pPr>
            <w:r w:rsidRPr="00261B7A">
              <w:rPr>
                <w:rFonts w:eastAsia="Calibri"/>
              </w:rPr>
              <w:t>2013</w:t>
            </w:r>
          </w:p>
        </w:tc>
        <w:tc>
          <w:tcPr>
            <w:tcW w:w="0" w:type="auto"/>
            <w:shd w:val="clear" w:color="auto" w:fill="FFFFFF"/>
            <w:tcMar>
              <w:top w:w="0" w:type="dxa"/>
              <w:left w:w="85" w:type="dxa"/>
              <w:bottom w:w="0" w:type="dxa"/>
              <w:right w:w="85" w:type="dxa"/>
            </w:tcMar>
          </w:tcPr>
          <w:p w14:paraId="0904BC40" w14:textId="77777777" w:rsidR="00422EFE" w:rsidRPr="00261B7A" w:rsidRDefault="00422EFE" w:rsidP="00D41492">
            <w:pPr>
              <w:pStyle w:val="TableText"/>
              <w:spacing w:before="40" w:after="40"/>
              <w:jc w:val="right"/>
            </w:pPr>
            <w:r w:rsidRPr="00261B7A">
              <w:rPr>
                <w:rFonts w:eastAsia="Calibri"/>
                <w:color w:val="000000"/>
              </w:rPr>
              <w:t>0.6</w:t>
            </w:r>
          </w:p>
        </w:tc>
        <w:tc>
          <w:tcPr>
            <w:tcW w:w="0" w:type="auto"/>
            <w:shd w:val="clear" w:color="auto" w:fill="FFFFFF"/>
            <w:tcMar>
              <w:top w:w="0" w:type="dxa"/>
              <w:left w:w="85" w:type="dxa"/>
              <w:bottom w:w="0" w:type="dxa"/>
              <w:right w:w="85" w:type="dxa"/>
            </w:tcMar>
          </w:tcPr>
          <w:p w14:paraId="15B690A9"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17D859B8" w14:textId="77777777" w:rsidR="00422EFE" w:rsidRPr="00261B7A" w:rsidRDefault="00422EFE" w:rsidP="00D41492">
            <w:pPr>
              <w:pStyle w:val="TableText"/>
              <w:spacing w:before="40" w:after="40"/>
              <w:jc w:val="right"/>
            </w:pPr>
            <w:r w:rsidRPr="00261B7A">
              <w:rPr>
                <w:rFonts w:eastAsia="Calibri"/>
                <w:color w:val="000000"/>
              </w:rPr>
              <w:t>4.5</w:t>
            </w:r>
          </w:p>
        </w:tc>
        <w:tc>
          <w:tcPr>
            <w:tcW w:w="2268" w:type="dxa"/>
            <w:shd w:val="clear" w:color="auto" w:fill="FFFFFF"/>
            <w:tcMar>
              <w:top w:w="0" w:type="dxa"/>
              <w:left w:w="85" w:type="dxa"/>
              <w:bottom w:w="0" w:type="dxa"/>
              <w:right w:w="85" w:type="dxa"/>
            </w:tcMar>
          </w:tcPr>
          <w:p w14:paraId="61F6B5C4" w14:textId="77777777" w:rsidR="00422EFE" w:rsidRPr="00261B7A" w:rsidRDefault="00422EFE" w:rsidP="00D41492">
            <w:pPr>
              <w:pStyle w:val="TableText"/>
              <w:spacing w:before="40" w:after="40"/>
              <w:jc w:val="right"/>
            </w:pPr>
            <w:r w:rsidRPr="00261B7A">
              <w:rPr>
                <w:rFonts w:eastAsia="Calibri"/>
                <w:color w:val="000000"/>
              </w:rPr>
              <w:t>5.4</w:t>
            </w:r>
          </w:p>
        </w:tc>
      </w:tr>
      <w:tr w:rsidR="00422EFE" w:rsidRPr="00261B7A" w14:paraId="48B6AAFD" w14:textId="77777777" w:rsidTr="00D41492">
        <w:tc>
          <w:tcPr>
            <w:tcW w:w="0" w:type="auto"/>
            <w:shd w:val="clear" w:color="auto" w:fill="FFFFFF"/>
            <w:tcMar>
              <w:top w:w="0" w:type="dxa"/>
              <w:left w:w="85" w:type="dxa"/>
              <w:bottom w:w="0" w:type="dxa"/>
              <w:right w:w="85" w:type="dxa"/>
            </w:tcMar>
          </w:tcPr>
          <w:p w14:paraId="5C660DA9" w14:textId="77777777" w:rsidR="00422EFE" w:rsidRPr="00261B7A" w:rsidRDefault="00422EFE" w:rsidP="00D41492">
            <w:pPr>
              <w:pStyle w:val="TableText"/>
              <w:spacing w:before="40" w:after="40"/>
            </w:pPr>
            <w:r w:rsidRPr="00261B7A">
              <w:rPr>
                <w:rFonts w:eastAsia="Calibri"/>
              </w:rPr>
              <w:t>2014</w:t>
            </w:r>
          </w:p>
        </w:tc>
        <w:tc>
          <w:tcPr>
            <w:tcW w:w="0" w:type="auto"/>
            <w:shd w:val="clear" w:color="auto" w:fill="FFFFFF"/>
            <w:tcMar>
              <w:top w:w="0" w:type="dxa"/>
              <w:left w:w="85" w:type="dxa"/>
              <w:bottom w:w="0" w:type="dxa"/>
              <w:right w:w="85" w:type="dxa"/>
            </w:tcMar>
          </w:tcPr>
          <w:p w14:paraId="5226EBC7" w14:textId="77777777" w:rsidR="00422EFE" w:rsidRPr="00261B7A" w:rsidRDefault="00422EFE" w:rsidP="00D41492">
            <w:pPr>
              <w:pStyle w:val="TableText"/>
              <w:spacing w:before="40" w:after="40"/>
              <w:jc w:val="right"/>
            </w:pPr>
            <w:r w:rsidRPr="00261B7A">
              <w:rPr>
                <w:rFonts w:eastAsia="Calibri"/>
                <w:color w:val="000000"/>
              </w:rPr>
              <w:t>0.6</w:t>
            </w:r>
          </w:p>
        </w:tc>
        <w:tc>
          <w:tcPr>
            <w:tcW w:w="0" w:type="auto"/>
            <w:shd w:val="clear" w:color="auto" w:fill="FFFFFF"/>
            <w:tcMar>
              <w:top w:w="0" w:type="dxa"/>
              <w:left w:w="85" w:type="dxa"/>
              <w:bottom w:w="0" w:type="dxa"/>
              <w:right w:w="85" w:type="dxa"/>
            </w:tcMar>
          </w:tcPr>
          <w:p w14:paraId="3A3013E6"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617839E4" w14:textId="77777777" w:rsidR="00422EFE" w:rsidRPr="00261B7A" w:rsidRDefault="00422EFE" w:rsidP="00D41492">
            <w:pPr>
              <w:pStyle w:val="TableText"/>
              <w:spacing w:before="40" w:after="40"/>
              <w:jc w:val="right"/>
            </w:pPr>
            <w:r w:rsidRPr="00261B7A">
              <w:rPr>
                <w:rFonts w:eastAsia="Calibri"/>
                <w:color w:val="000000"/>
              </w:rPr>
              <w:t>4.5</w:t>
            </w:r>
          </w:p>
        </w:tc>
        <w:tc>
          <w:tcPr>
            <w:tcW w:w="2268" w:type="dxa"/>
            <w:shd w:val="clear" w:color="auto" w:fill="FFFFFF"/>
            <w:tcMar>
              <w:top w:w="0" w:type="dxa"/>
              <w:left w:w="85" w:type="dxa"/>
              <w:bottom w:w="0" w:type="dxa"/>
              <w:right w:w="85" w:type="dxa"/>
            </w:tcMar>
          </w:tcPr>
          <w:p w14:paraId="5C51C9C6" w14:textId="77777777" w:rsidR="00422EFE" w:rsidRPr="00261B7A" w:rsidRDefault="00422EFE" w:rsidP="00D41492">
            <w:pPr>
              <w:pStyle w:val="TableText"/>
              <w:spacing w:before="40" w:after="40"/>
              <w:jc w:val="right"/>
            </w:pPr>
            <w:r w:rsidRPr="00261B7A">
              <w:rPr>
                <w:rFonts w:eastAsia="Calibri"/>
                <w:color w:val="000000"/>
              </w:rPr>
              <w:t>5.4</w:t>
            </w:r>
          </w:p>
        </w:tc>
      </w:tr>
      <w:tr w:rsidR="00422EFE" w:rsidRPr="00261B7A" w14:paraId="679A67E6" w14:textId="77777777" w:rsidTr="00D41492">
        <w:tc>
          <w:tcPr>
            <w:tcW w:w="0" w:type="auto"/>
            <w:shd w:val="clear" w:color="auto" w:fill="FFFFFF"/>
            <w:tcMar>
              <w:top w:w="0" w:type="dxa"/>
              <w:left w:w="85" w:type="dxa"/>
              <w:bottom w:w="0" w:type="dxa"/>
              <w:right w:w="85" w:type="dxa"/>
            </w:tcMar>
          </w:tcPr>
          <w:p w14:paraId="22CA81A1" w14:textId="77777777" w:rsidR="00422EFE" w:rsidRPr="00261B7A" w:rsidRDefault="00422EFE" w:rsidP="00D41492">
            <w:pPr>
              <w:pStyle w:val="TableText"/>
              <w:spacing w:before="40" w:after="40"/>
            </w:pPr>
            <w:r w:rsidRPr="00261B7A">
              <w:rPr>
                <w:rFonts w:eastAsia="Calibri"/>
              </w:rPr>
              <w:t>2015</w:t>
            </w:r>
          </w:p>
        </w:tc>
        <w:tc>
          <w:tcPr>
            <w:tcW w:w="0" w:type="auto"/>
            <w:shd w:val="clear" w:color="auto" w:fill="FFFFFF"/>
            <w:tcMar>
              <w:top w:w="0" w:type="dxa"/>
              <w:left w:w="85" w:type="dxa"/>
              <w:bottom w:w="0" w:type="dxa"/>
              <w:right w:w="85" w:type="dxa"/>
            </w:tcMar>
          </w:tcPr>
          <w:p w14:paraId="4DDBCF89" w14:textId="77777777" w:rsidR="00422EFE" w:rsidRPr="00261B7A" w:rsidRDefault="00422EFE" w:rsidP="00D41492">
            <w:pPr>
              <w:pStyle w:val="TableText"/>
              <w:spacing w:before="40" w:after="40"/>
              <w:jc w:val="right"/>
            </w:pPr>
            <w:r w:rsidRPr="00261B7A">
              <w:rPr>
                <w:rFonts w:eastAsia="Calibri"/>
                <w:color w:val="000000"/>
              </w:rPr>
              <w:t>0.6</w:t>
            </w:r>
          </w:p>
        </w:tc>
        <w:tc>
          <w:tcPr>
            <w:tcW w:w="0" w:type="auto"/>
            <w:shd w:val="clear" w:color="auto" w:fill="FFFFFF"/>
            <w:tcMar>
              <w:top w:w="0" w:type="dxa"/>
              <w:left w:w="85" w:type="dxa"/>
              <w:bottom w:w="0" w:type="dxa"/>
              <w:right w:w="85" w:type="dxa"/>
            </w:tcMar>
          </w:tcPr>
          <w:p w14:paraId="04B590A4"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447A9D33" w14:textId="77777777" w:rsidR="00422EFE" w:rsidRPr="00261B7A" w:rsidRDefault="00422EFE" w:rsidP="00D41492">
            <w:pPr>
              <w:pStyle w:val="TableText"/>
              <w:spacing w:before="40" w:after="40"/>
              <w:jc w:val="right"/>
            </w:pPr>
            <w:r w:rsidRPr="00261B7A">
              <w:rPr>
                <w:rFonts w:eastAsia="Calibri"/>
                <w:color w:val="000000"/>
              </w:rPr>
              <w:t>4.5</w:t>
            </w:r>
          </w:p>
        </w:tc>
        <w:tc>
          <w:tcPr>
            <w:tcW w:w="2268" w:type="dxa"/>
            <w:shd w:val="clear" w:color="auto" w:fill="FFFFFF"/>
            <w:tcMar>
              <w:top w:w="0" w:type="dxa"/>
              <w:left w:w="85" w:type="dxa"/>
              <w:bottom w:w="0" w:type="dxa"/>
              <w:right w:w="85" w:type="dxa"/>
            </w:tcMar>
          </w:tcPr>
          <w:p w14:paraId="2EED7B28" w14:textId="77777777" w:rsidR="00422EFE" w:rsidRPr="00261B7A" w:rsidRDefault="00422EFE" w:rsidP="00D41492">
            <w:pPr>
              <w:pStyle w:val="TableText"/>
              <w:spacing w:before="40" w:after="40"/>
              <w:jc w:val="right"/>
            </w:pPr>
            <w:r w:rsidRPr="00261B7A">
              <w:rPr>
                <w:rFonts w:eastAsia="Calibri"/>
                <w:color w:val="000000"/>
              </w:rPr>
              <w:t>5.4</w:t>
            </w:r>
          </w:p>
        </w:tc>
      </w:tr>
      <w:tr w:rsidR="00422EFE" w:rsidRPr="00261B7A" w14:paraId="72372FA6" w14:textId="77777777" w:rsidTr="00D41492">
        <w:tc>
          <w:tcPr>
            <w:tcW w:w="0" w:type="auto"/>
            <w:shd w:val="clear" w:color="auto" w:fill="FFFFFF"/>
            <w:tcMar>
              <w:top w:w="0" w:type="dxa"/>
              <w:left w:w="85" w:type="dxa"/>
              <w:bottom w:w="0" w:type="dxa"/>
              <w:right w:w="85" w:type="dxa"/>
            </w:tcMar>
          </w:tcPr>
          <w:p w14:paraId="2990CF81" w14:textId="77777777" w:rsidR="00422EFE" w:rsidRPr="00261B7A" w:rsidRDefault="00422EFE" w:rsidP="00D41492">
            <w:pPr>
              <w:pStyle w:val="TableText"/>
              <w:spacing w:before="40" w:after="40"/>
            </w:pPr>
            <w:r w:rsidRPr="00261B7A">
              <w:rPr>
                <w:rFonts w:eastAsia="Calibri"/>
              </w:rPr>
              <w:t>2016</w:t>
            </w:r>
          </w:p>
        </w:tc>
        <w:tc>
          <w:tcPr>
            <w:tcW w:w="0" w:type="auto"/>
            <w:shd w:val="clear" w:color="auto" w:fill="FFFFFF"/>
            <w:tcMar>
              <w:top w:w="0" w:type="dxa"/>
              <w:left w:w="85" w:type="dxa"/>
              <w:bottom w:w="0" w:type="dxa"/>
              <w:right w:w="85" w:type="dxa"/>
            </w:tcMar>
          </w:tcPr>
          <w:p w14:paraId="33753F63" w14:textId="77777777" w:rsidR="00422EFE" w:rsidRPr="00261B7A" w:rsidRDefault="00422EFE" w:rsidP="00D41492">
            <w:pPr>
              <w:pStyle w:val="TableText"/>
              <w:spacing w:before="40" w:after="40"/>
              <w:jc w:val="right"/>
            </w:pPr>
            <w:r w:rsidRPr="00261B7A">
              <w:rPr>
                <w:rFonts w:eastAsia="Calibri"/>
                <w:color w:val="000000"/>
              </w:rPr>
              <w:t>0.6</w:t>
            </w:r>
          </w:p>
        </w:tc>
        <w:tc>
          <w:tcPr>
            <w:tcW w:w="0" w:type="auto"/>
            <w:shd w:val="clear" w:color="auto" w:fill="FFFFFF"/>
            <w:tcMar>
              <w:top w:w="0" w:type="dxa"/>
              <w:left w:w="85" w:type="dxa"/>
              <w:bottom w:w="0" w:type="dxa"/>
              <w:right w:w="85" w:type="dxa"/>
            </w:tcMar>
          </w:tcPr>
          <w:p w14:paraId="340D834B"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0572B548" w14:textId="77777777" w:rsidR="00422EFE" w:rsidRPr="00261B7A" w:rsidRDefault="00422EFE" w:rsidP="00D41492">
            <w:pPr>
              <w:pStyle w:val="TableText"/>
              <w:spacing w:before="40" w:after="40"/>
              <w:jc w:val="right"/>
            </w:pPr>
            <w:r w:rsidRPr="00261B7A">
              <w:rPr>
                <w:rFonts w:eastAsia="Calibri"/>
                <w:color w:val="000000"/>
              </w:rPr>
              <w:t>4.5</w:t>
            </w:r>
          </w:p>
        </w:tc>
        <w:tc>
          <w:tcPr>
            <w:tcW w:w="2268" w:type="dxa"/>
            <w:shd w:val="clear" w:color="auto" w:fill="FFFFFF"/>
            <w:tcMar>
              <w:top w:w="0" w:type="dxa"/>
              <w:left w:w="85" w:type="dxa"/>
              <w:bottom w:w="0" w:type="dxa"/>
              <w:right w:w="85" w:type="dxa"/>
            </w:tcMar>
          </w:tcPr>
          <w:p w14:paraId="1CA14740" w14:textId="77777777" w:rsidR="00422EFE" w:rsidRPr="00261B7A" w:rsidRDefault="00422EFE" w:rsidP="00D41492">
            <w:pPr>
              <w:pStyle w:val="TableText"/>
              <w:spacing w:before="40" w:after="40"/>
              <w:jc w:val="right"/>
            </w:pPr>
            <w:r w:rsidRPr="00261B7A">
              <w:rPr>
                <w:rFonts w:eastAsia="Calibri"/>
                <w:color w:val="000000"/>
              </w:rPr>
              <w:t>5.4</w:t>
            </w:r>
          </w:p>
        </w:tc>
      </w:tr>
      <w:tr w:rsidR="00422EFE" w:rsidRPr="00261B7A" w14:paraId="7088FCDA" w14:textId="77777777" w:rsidTr="00D41492">
        <w:tc>
          <w:tcPr>
            <w:tcW w:w="0" w:type="auto"/>
            <w:shd w:val="clear" w:color="auto" w:fill="FFFFFF"/>
            <w:tcMar>
              <w:top w:w="0" w:type="dxa"/>
              <w:left w:w="85" w:type="dxa"/>
              <w:bottom w:w="0" w:type="dxa"/>
              <w:right w:w="85" w:type="dxa"/>
            </w:tcMar>
          </w:tcPr>
          <w:p w14:paraId="4A2BE57F" w14:textId="77777777" w:rsidR="00422EFE" w:rsidRPr="00261B7A" w:rsidRDefault="00422EFE" w:rsidP="00D41492">
            <w:pPr>
              <w:pStyle w:val="TableText"/>
              <w:spacing w:before="40" w:after="40"/>
            </w:pPr>
            <w:r w:rsidRPr="00261B7A">
              <w:rPr>
                <w:rFonts w:eastAsia="Calibri"/>
              </w:rPr>
              <w:t>2017</w:t>
            </w:r>
          </w:p>
        </w:tc>
        <w:tc>
          <w:tcPr>
            <w:tcW w:w="0" w:type="auto"/>
            <w:shd w:val="clear" w:color="auto" w:fill="FFFFFF"/>
            <w:tcMar>
              <w:top w:w="0" w:type="dxa"/>
              <w:left w:w="85" w:type="dxa"/>
              <w:bottom w:w="0" w:type="dxa"/>
              <w:right w:w="85" w:type="dxa"/>
            </w:tcMar>
          </w:tcPr>
          <w:p w14:paraId="11100C16" w14:textId="77777777" w:rsidR="00422EFE" w:rsidRPr="00261B7A" w:rsidRDefault="00422EFE" w:rsidP="00D41492">
            <w:pPr>
              <w:pStyle w:val="TableText"/>
              <w:spacing w:before="40" w:after="40"/>
              <w:jc w:val="right"/>
            </w:pPr>
            <w:r w:rsidRPr="00261B7A">
              <w:rPr>
                <w:rFonts w:eastAsia="Calibri"/>
                <w:color w:val="000000"/>
              </w:rPr>
              <w:t>0.6</w:t>
            </w:r>
          </w:p>
        </w:tc>
        <w:tc>
          <w:tcPr>
            <w:tcW w:w="0" w:type="auto"/>
            <w:shd w:val="clear" w:color="auto" w:fill="FFFFFF"/>
            <w:tcMar>
              <w:top w:w="0" w:type="dxa"/>
              <w:left w:w="85" w:type="dxa"/>
              <w:bottom w:w="0" w:type="dxa"/>
              <w:right w:w="85" w:type="dxa"/>
            </w:tcMar>
          </w:tcPr>
          <w:p w14:paraId="2FAC5E64"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02ADF73A" w14:textId="77777777" w:rsidR="00422EFE" w:rsidRPr="00261B7A" w:rsidRDefault="00422EFE" w:rsidP="00D41492">
            <w:pPr>
              <w:pStyle w:val="TableText"/>
              <w:spacing w:before="40" w:after="40"/>
              <w:jc w:val="right"/>
            </w:pPr>
            <w:r w:rsidRPr="00261B7A">
              <w:rPr>
                <w:rFonts w:eastAsia="Calibri"/>
                <w:color w:val="000000"/>
              </w:rPr>
              <w:t>4.5</w:t>
            </w:r>
          </w:p>
        </w:tc>
        <w:tc>
          <w:tcPr>
            <w:tcW w:w="2268" w:type="dxa"/>
            <w:shd w:val="clear" w:color="auto" w:fill="FFFFFF"/>
            <w:tcMar>
              <w:top w:w="0" w:type="dxa"/>
              <w:left w:w="85" w:type="dxa"/>
              <w:bottom w:w="0" w:type="dxa"/>
              <w:right w:w="85" w:type="dxa"/>
            </w:tcMar>
          </w:tcPr>
          <w:p w14:paraId="66F217D4" w14:textId="77777777" w:rsidR="00422EFE" w:rsidRPr="00261B7A" w:rsidRDefault="00422EFE" w:rsidP="00D41492">
            <w:pPr>
              <w:pStyle w:val="TableText"/>
              <w:spacing w:before="40" w:after="40"/>
              <w:jc w:val="right"/>
            </w:pPr>
            <w:r w:rsidRPr="00261B7A">
              <w:rPr>
                <w:rFonts w:eastAsia="Calibri"/>
                <w:color w:val="000000"/>
              </w:rPr>
              <w:t>5.4</w:t>
            </w:r>
          </w:p>
        </w:tc>
      </w:tr>
      <w:tr w:rsidR="00422EFE" w:rsidRPr="00261B7A" w14:paraId="5B7D8F75" w14:textId="77777777" w:rsidTr="00D41492">
        <w:tc>
          <w:tcPr>
            <w:tcW w:w="0" w:type="auto"/>
            <w:shd w:val="clear" w:color="auto" w:fill="FFFFFF"/>
            <w:tcMar>
              <w:top w:w="0" w:type="dxa"/>
              <w:left w:w="85" w:type="dxa"/>
              <w:bottom w:w="0" w:type="dxa"/>
              <w:right w:w="85" w:type="dxa"/>
            </w:tcMar>
          </w:tcPr>
          <w:p w14:paraId="52592A0F" w14:textId="77777777" w:rsidR="00422EFE" w:rsidRPr="00261B7A" w:rsidRDefault="00422EFE" w:rsidP="00D41492">
            <w:pPr>
              <w:pStyle w:val="TableText"/>
              <w:spacing w:before="40" w:after="40"/>
            </w:pPr>
            <w:r w:rsidRPr="00261B7A">
              <w:rPr>
                <w:rFonts w:eastAsia="Calibri"/>
              </w:rPr>
              <w:t>2018</w:t>
            </w:r>
          </w:p>
        </w:tc>
        <w:tc>
          <w:tcPr>
            <w:tcW w:w="0" w:type="auto"/>
            <w:shd w:val="clear" w:color="auto" w:fill="FFFFFF"/>
            <w:tcMar>
              <w:top w:w="0" w:type="dxa"/>
              <w:left w:w="85" w:type="dxa"/>
              <w:bottom w:w="0" w:type="dxa"/>
              <w:right w:w="85" w:type="dxa"/>
            </w:tcMar>
          </w:tcPr>
          <w:p w14:paraId="41AF6CD2" w14:textId="77777777" w:rsidR="00422EFE" w:rsidRPr="00261B7A" w:rsidRDefault="00422EFE" w:rsidP="00D41492">
            <w:pPr>
              <w:pStyle w:val="TableText"/>
              <w:spacing w:before="40" w:after="40"/>
              <w:jc w:val="right"/>
            </w:pPr>
            <w:r w:rsidRPr="00261B7A">
              <w:rPr>
                <w:rFonts w:eastAsia="Calibri"/>
                <w:color w:val="000000"/>
              </w:rPr>
              <w:t>0.6</w:t>
            </w:r>
          </w:p>
        </w:tc>
        <w:tc>
          <w:tcPr>
            <w:tcW w:w="0" w:type="auto"/>
            <w:shd w:val="clear" w:color="auto" w:fill="FFFFFF"/>
            <w:tcMar>
              <w:top w:w="0" w:type="dxa"/>
              <w:left w:w="85" w:type="dxa"/>
              <w:bottom w:w="0" w:type="dxa"/>
              <w:right w:w="85" w:type="dxa"/>
            </w:tcMar>
          </w:tcPr>
          <w:p w14:paraId="01EE994C"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397BA664" w14:textId="77777777" w:rsidR="00422EFE" w:rsidRPr="00261B7A" w:rsidRDefault="00422EFE" w:rsidP="00D41492">
            <w:pPr>
              <w:pStyle w:val="TableText"/>
              <w:spacing w:before="40" w:after="40"/>
              <w:jc w:val="right"/>
            </w:pPr>
            <w:r w:rsidRPr="00261B7A">
              <w:rPr>
                <w:rFonts w:eastAsia="Calibri"/>
                <w:color w:val="000000"/>
              </w:rPr>
              <w:t>4.5</w:t>
            </w:r>
          </w:p>
        </w:tc>
        <w:tc>
          <w:tcPr>
            <w:tcW w:w="2268" w:type="dxa"/>
            <w:shd w:val="clear" w:color="auto" w:fill="FFFFFF"/>
            <w:tcMar>
              <w:top w:w="0" w:type="dxa"/>
              <w:left w:w="85" w:type="dxa"/>
              <w:bottom w:w="0" w:type="dxa"/>
              <w:right w:w="85" w:type="dxa"/>
            </w:tcMar>
          </w:tcPr>
          <w:p w14:paraId="57AB237E" w14:textId="77777777" w:rsidR="00422EFE" w:rsidRPr="00261B7A" w:rsidRDefault="00422EFE" w:rsidP="00D41492">
            <w:pPr>
              <w:pStyle w:val="TableText"/>
              <w:spacing w:before="40" w:after="40"/>
              <w:jc w:val="right"/>
            </w:pPr>
            <w:r w:rsidRPr="00261B7A">
              <w:rPr>
                <w:rFonts w:eastAsia="Calibri"/>
                <w:color w:val="000000"/>
              </w:rPr>
              <w:t>5.4</w:t>
            </w:r>
          </w:p>
        </w:tc>
      </w:tr>
      <w:tr w:rsidR="00422EFE" w:rsidRPr="00261B7A" w14:paraId="50916573" w14:textId="77777777" w:rsidTr="00D41492">
        <w:tc>
          <w:tcPr>
            <w:tcW w:w="0" w:type="auto"/>
            <w:shd w:val="clear" w:color="auto" w:fill="FFFFFF"/>
            <w:tcMar>
              <w:top w:w="0" w:type="dxa"/>
              <w:left w:w="85" w:type="dxa"/>
              <w:bottom w:w="0" w:type="dxa"/>
              <w:right w:w="85" w:type="dxa"/>
            </w:tcMar>
          </w:tcPr>
          <w:p w14:paraId="7AF570EA" w14:textId="77777777" w:rsidR="00422EFE" w:rsidRPr="00261B7A" w:rsidRDefault="00422EFE" w:rsidP="00D41492">
            <w:pPr>
              <w:pStyle w:val="TableText"/>
              <w:spacing w:before="40" w:after="40"/>
            </w:pPr>
            <w:r w:rsidRPr="00261B7A">
              <w:rPr>
                <w:rFonts w:eastAsia="Calibri"/>
              </w:rPr>
              <w:t>2019</w:t>
            </w:r>
          </w:p>
        </w:tc>
        <w:tc>
          <w:tcPr>
            <w:tcW w:w="0" w:type="auto"/>
            <w:shd w:val="clear" w:color="auto" w:fill="FFFFFF"/>
            <w:tcMar>
              <w:top w:w="0" w:type="dxa"/>
              <w:left w:w="85" w:type="dxa"/>
              <w:bottom w:w="0" w:type="dxa"/>
              <w:right w:w="85" w:type="dxa"/>
            </w:tcMar>
          </w:tcPr>
          <w:p w14:paraId="34F9B30D" w14:textId="77777777" w:rsidR="00422EFE" w:rsidRPr="00261B7A" w:rsidRDefault="00422EFE" w:rsidP="00D41492">
            <w:pPr>
              <w:pStyle w:val="TableText"/>
              <w:spacing w:before="40" w:after="40"/>
              <w:jc w:val="right"/>
            </w:pPr>
            <w:r w:rsidRPr="00261B7A">
              <w:rPr>
                <w:rFonts w:eastAsia="Calibri"/>
                <w:color w:val="000000"/>
              </w:rPr>
              <w:t>0.6</w:t>
            </w:r>
          </w:p>
        </w:tc>
        <w:tc>
          <w:tcPr>
            <w:tcW w:w="0" w:type="auto"/>
            <w:shd w:val="clear" w:color="auto" w:fill="FFFFFF"/>
            <w:tcMar>
              <w:top w:w="0" w:type="dxa"/>
              <w:left w:w="85" w:type="dxa"/>
              <w:bottom w:w="0" w:type="dxa"/>
              <w:right w:w="85" w:type="dxa"/>
            </w:tcMar>
          </w:tcPr>
          <w:p w14:paraId="6A56BEE1"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1CE5B0AE" w14:textId="77777777" w:rsidR="00422EFE" w:rsidRPr="00261B7A" w:rsidRDefault="00422EFE" w:rsidP="00D41492">
            <w:pPr>
              <w:pStyle w:val="TableText"/>
              <w:spacing w:before="40" w:after="40"/>
              <w:jc w:val="right"/>
            </w:pPr>
            <w:r w:rsidRPr="00261B7A">
              <w:rPr>
                <w:rFonts w:eastAsia="Calibri"/>
                <w:color w:val="000000"/>
              </w:rPr>
              <w:t>4.5</w:t>
            </w:r>
          </w:p>
        </w:tc>
        <w:tc>
          <w:tcPr>
            <w:tcW w:w="2268" w:type="dxa"/>
            <w:shd w:val="clear" w:color="auto" w:fill="FFFFFF"/>
            <w:tcMar>
              <w:top w:w="0" w:type="dxa"/>
              <w:left w:w="85" w:type="dxa"/>
              <w:bottom w:w="0" w:type="dxa"/>
              <w:right w:w="85" w:type="dxa"/>
            </w:tcMar>
          </w:tcPr>
          <w:p w14:paraId="32B7CF1D" w14:textId="77777777" w:rsidR="00422EFE" w:rsidRPr="00261B7A" w:rsidRDefault="00422EFE" w:rsidP="00D41492">
            <w:pPr>
              <w:pStyle w:val="TableText"/>
              <w:spacing w:before="40" w:after="40"/>
              <w:jc w:val="right"/>
            </w:pPr>
            <w:r w:rsidRPr="00261B7A">
              <w:rPr>
                <w:rFonts w:eastAsia="Calibri"/>
                <w:color w:val="000000"/>
              </w:rPr>
              <w:t>5.4</w:t>
            </w:r>
          </w:p>
        </w:tc>
      </w:tr>
      <w:tr w:rsidR="00422EFE" w:rsidRPr="00261B7A" w14:paraId="58F14F2E" w14:textId="77777777" w:rsidTr="00D41492">
        <w:tc>
          <w:tcPr>
            <w:tcW w:w="0" w:type="auto"/>
            <w:shd w:val="clear" w:color="auto" w:fill="FFFFFF"/>
            <w:tcMar>
              <w:top w:w="0" w:type="dxa"/>
              <w:left w:w="85" w:type="dxa"/>
              <w:bottom w:w="0" w:type="dxa"/>
              <w:right w:w="85" w:type="dxa"/>
            </w:tcMar>
          </w:tcPr>
          <w:p w14:paraId="74EDC56A" w14:textId="77777777" w:rsidR="00422EFE" w:rsidRPr="00261B7A" w:rsidRDefault="00422EFE" w:rsidP="00D41492">
            <w:pPr>
              <w:pStyle w:val="TableText"/>
              <w:spacing w:before="40" w:after="40"/>
            </w:pPr>
            <w:r w:rsidRPr="00261B7A">
              <w:rPr>
                <w:rFonts w:eastAsia="Calibri"/>
              </w:rPr>
              <w:t>2020</w:t>
            </w:r>
          </w:p>
        </w:tc>
        <w:tc>
          <w:tcPr>
            <w:tcW w:w="0" w:type="auto"/>
            <w:shd w:val="clear" w:color="auto" w:fill="FFFFFF"/>
            <w:tcMar>
              <w:top w:w="0" w:type="dxa"/>
              <w:left w:w="85" w:type="dxa"/>
              <w:bottom w:w="0" w:type="dxa"/>
              <w:right w:w="85" w:type="dxa"/>
            </w:tcMar>
          </w:tcPr>
          <w:p w14:paraId="60BB6F23" w14:textId="77777777" w:rsidR="00422EFE" w:rsidRPr="00261B7A" w:rsidRDefault="00422EFE" w:rsidP="00D41492">
            <w:pPr>
              <w:pStyle w:val="TableText"/>
              <w:spacing w:before="40" w:after="40"/>
              <w:jc w:val="right"/>
            </w:pPr>
            <w:r w:rsidRPr="00261B7A">
              <w:rPr>
                <w:rFonts w:eastAsia="Calibri"/>
                <w:color w:val="000000"/>
              </w:rPr>
              <w:t>0.6</w:t>
            </w:r>
          </w:p>
        </w:tc>
        <w:tc>
          <w:tcPr>
            <w:tcW w:w="0" w:type="auto"/>
            <w:shd w:val="clear" w:color="auto" w:fill="FFFFFF"/>
            <w:tcMar>
              <w:top w:w="0" w:type="dxa"/>
              <w:left w:w="85" w:type="dxa"/>
              <w:bottom w:w="0" w:type="dxa"/>
              <w:right w:w="85" w:type="dxa"/>
            </w:tcMar>
          </w:tcPr>
          <w:p w14:paraId="11A386D5"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4978492F" w14:textId="77777777" w:rsidR="00422EFE" w:rsidRPr="00261B7A" w:rsidRDefault="00422EFE" w:rsidP="00D41492">
            <w:pPr>
              <w:pStyle w:val="TableText"/>
              <w:spacing w:before="40" w:after="40"/>
              <w:jc w:val="right"/>
            </w:pPr>
            <w:r w:rsidRPr="00261B7A">
              <w:rPr>
                <w:rFonts w:eastAsia="Calibri"/>
                <w:color w:val="000000"/>
              </w:rPr>
              <w:t>4.5</w:t>
            </w:r>
          </w:p>
        </w:tc>
        <w:tc>
          <w:tcPr>
            <w:tcW w:w="2268" w:type="dxa"/>
            <w:shd w:val="clear" w:color="auto" w:fill="FFFFFF"/>
            <w:tcMar>
              <w:top w:w="0" w:type="dxa"/>
              <w:left w:w="85" w:type="dxa"/>
              <w:bottom w:w="0" w:type="dxa"/>
              <w:right w:w="85" w:type="dxa"/>
            </w:tcMar>
          </w:tcPr>
          <w:p w14:paraId="269C6592" w14:textId="77777777" w:rsidR="00422EFE" w:rsidRPr="00261B7A" w:rsidRDefault="00422EFE" w:rsidP="00D41492">
            <w:pPr>
              <w:pStyle w:val="TableText"/>
              <w:spacing w:before="40" w:after="40"/>
              <w:jc w:val="right"/>
            </w:pPr>
            <w:r w:rsidRPr="00261B7A">
              <w:rPr>
                <w:rFonts w:eastAsia="Calibri"/>
                <w:color w:val="000000"/>
              </w:rPr>
              <w:t>5.4</w:t>
            </w:r>
          </w:p>
        </w:tc>
      </w:tr>
      <w:tr w:rsidR="00422EFE" w:rsidRPr="00261B7A" w14:paraId="36E6E623" w14:textId="77777777" w:rsidTr="00D41492">
        <w:tc>
          <w:tcPr>
            <w:tcW w:w="0" w:type="auto"/>
            <w:shd w:val="clear" w:color="auto" w:fill="FFFFFF"/>
            <w:tcMar>
              <w:top w:w="0" w:type="dxa"/>
              <w:left w:w="85" w:type="dxa"/>
              <w:bottom w:w="0" w:type="dxa"/>
              <w:right w:w="85" w:type="dxa"/>
            </w:tcMar>
          </w:tcPr>
          <w:p w14:paraId="3C7779F1" w14:textId="77777777" w:rsidR="00422EFE" w:rsidRPr="00261B7A" w:rsidRDefault="00422EFE" w:rsidP="00D41492">
            <w:pPr>
              <w:pStyle w:val="TableText"/>
              <w:spacing w:before="40" w:after="40"/>
            </w:pPr>
            <w:r w:rsidRPr="00261B7A">
              <w:rPr>
                <w:rFonts w:eastAsia="Calibri"/>
              </w:rPr>
              <w:t>2021</w:t>
            </w:r>
          </w:p>
        </w:tc>
        <w:tc>
          <w:tcPr>
            <w:tcW w:w="0" w:type="auto"/>
            <w:shd w:val="clear" w:color="auto" w:fill="FFFFFF"/>
            <w:tcMar>
              <w:top w:w="0" w:type="dxa"/>
              <w:left w:w="85" w:type="dxa"/>
              <w:bottom w:w="0" w:type="dxa"/>
              <w:right w:w="85" w:type="dxa"/>
            </w:tcMar>
          </w:tcPr>
          <w:p w14:paraId="4E8DF169" w14:textId="77777777" w:rsidR="00422EFE" w:rsidRPr="00261B7A" w:rsidRDefault="00422EFE" w:rsidP="00D41492">
            <w:pPr>
              <w:pStyle w:val="TableText"/>
              <w:spacing w:before="40" w:after="40"/>
              <w:jc w:val="right"/>
            </w:pPr>
            <w:r w:rsidRPr="00261B7A">
              <w:rPr>
                <w:rFonts w:eastAsia="Calibri"/>
                <w:color w:val="000000"/>
              </w:rPr>
              <w:t>0.6</w:t>
            </w:r>
          </w:p>
        </w:tc>
        <w:tc>
          <w:tcPr>
            <w:tcW w:w="0" w:type="auto"/>
            <w:shd w:val="clear" w:color="auto" w:fill="FFFFFF"/>
            <w:tcMar>
              <w:top w:w="0" w:type="dxa"/>
              <w:left w:w="85" w:type="dxa"/>
              <w:bottom w:w="0" w:type="dxa"/>
              <w:right w:w="85" w:type="dxa"/>
            </w:tcMar>
          </w:tcPr>
          <w:p w14:paraId="36732156" w14:textId="77777777" w:rsidR="00422EFE" w:rsidRPr="00261B7A" w:rsidRDefault="00422EFE" w:rsidP="00D41492">
            <w:pPr>
              <w:pStyle w:val="TableText"/>
              <w:spacing w:before="40" w:after="40"/>
              <w:jc w:val="right"/>
            </w:pPr>
            <w:r w:rsidRPr="00261B7A">
              <w:rPr>
                <w:rFonts w:eastAsia="Calibri"/>
                <w:color w:val="000000"/>
              </w:rPr>
              <w:t>0.3</w:t>
            </w:r>
          </w:p>
        </w:tc>
        <w:tc>
          <w:tcPr>
            <w:tcW w:w="1910" w:type="dxa"/>
            <w:shd w:val="clear" w:color="auto" w:fill="FFFFFF"/>
            <w:tcMar>
              <w:top w:w="0" w:type="dxa"/>
              <w:left w:w="85" w:type="dxa"/>
              <w:bottom w:w="0" w:type="dxa"/>
              <w:right w:w="85" w:type="dxa"/>
            </w:tcMar>
          </w:tcPr>
          <w:p w14:paraId="79D2B210" w14:textId="77777777" w:rsidR="00422EFE" w:rsidRPr="00261B7A" w:rsidRDefault="00422EFE" w:rsidP="00D41492">
            <w:pPr>
              <w:pStyle w:val="TableText"/>
              <w:spacing w:before="40" w:after="40"/>
              <w:jc w:val="right"/>
            </w:pPr>
            <w:r w:rsidRPr="00261B7A">
              <w:rPr>
                <w:rFonts w:eastAsia="Calibri"/>
                <w:color w:val="000000"/>
              </w:rPr>
              <w:t>4.5</w:t>
            </w:r>
          </w:p>
        </w:tc>
        <w:tc>
          <w:tcPr>
            <w:tcW w:w="2268" w:type="dxa"/>
            <w:shd w:val="clear" w:color="auto" w:fill="FFFFFF"/>
            <w:tcMar>
              <w:top w:w="0" w:type="dxa"/>
              <w:left w:w="85" w:type="dxa"/>
              <w:bottom w:w="0" w:type="dxa"/>
              <w:right w:w="85" w:type="dxa"/>
            </w:tcMar>
          </w:tcPr>
          <w:p w14:paraId="2305F724" w14:textId="77777777" w:rsidR="00422EFE" w:rsidRPr="00261B7A" w:rsidRDefault="00422EFE" w:rsidP="00D41492">
            <w:pPr>
              <w:pStyle w:val="TableText"/>
              <w:spacing w:before="40" w:after="40"/>
              <w:jc w:val="right"/>
            </w:pPr>
            <w:r w:rsidRPr="00261B7A">
              <w:rPr>
                <w:rFonts w:eastAsia="Calibri"/>
                <w:color w:val="000000"/>
              </w:rPr>
              <w:t>5.4</w:t>
            </w:r>
          </w:p>
        </w:tc>
      </w:tr>
    </w:tbl>
    <w:p w14:paraId="5317A02F" w14:textId="77777777" w:rsidR="00422EFE" w:rsidRPr="00261B7A" w:rsidRDefault="00422EFE" w:rsidP="00422EFE">
      <w:pPr>
        <w:pStyle w:val="Noteundertable"/>
      </w:pPr>
      <w:r w:rsidRPr="00261B7A">
        <w:rPr>
          <w:b/>
          <w:bCs/>
        </w:rPr>
        <w:t>Note:</w:t>
      </w:r>
      <w:r w:rsidRPr="00261B7A">
        <w:t xml:space="preserve"> </w:t>
      </w:r>
      <w:r w:rsidRPr="00261B7A">
        <w:tab/>
        <w:t>Columns may not total due to rounding.</w:t>
      </w:r>
    </w:p>
    <w:p w14:paraId="4C691240" w14:textId="77777777" w:rsidR="00422EFE" w:rsidRPr="00261B7A" w:rsidRDefault="00422EFE" w:rsidP="00422EFE">
      <w:pPr>
        <w:pStyle w:val="Heading5"/>
      </w:pPr>
      <w:bookmarkStart w:id="2520" w:name="open-burning-5.c.2"/>
      <w:bookmarkEnd w:id="2517"/>
      <w:r w:rsidRPr="00261B7A">
        <w:t>Open burning (5.C.2)</w:t>
      </w:r>
    </w:p>
    <w:p w14:paraId="75EDFFA8" w14:textId="77777777" w:rsidR="00422EFE" w:rsidRPr="00261B7A" w:rsidRDefault="00422EFE" w:rsidP="00422EFE">
      <w:pPr>
        <w:pStyle w:val="BodyText"/>
      </w:pPr>
      <w:r w:rsidRPr="00261B7A">
        <w:t>Little information is available on the quantities of farm wastes burned. A change introduced in the 2021 submission is that the methods of disposal of farm waste are evenly split between disposal to land in farm fills and disposal by open burning, at 47 per cent farm fills, 47 per cent open burning and 6 per cent other.</w:t>
      </w:r>
    </w:p>
    <w:p w14:paraId="4675CB23" w14:textId="77777777" w:rsidR="00422EFE" w:rsidRPr="00261B7A" w:rsidRDefault="00422EFE" w:rsidP="00422EFE">
      <w:pPr>
        <w:pStyle w:val="BodyText"/>
      </w:pPr>
      <w:r w:rsidRPr="00261B7A">
        <w:t>Refer to section 7.2.2 for a discussion on farm waste landfilling and open burning. In summary, because open burning is a significant and common practice (GHD, 2013, 2014) it is being considered to be equal in volume. The amount of waste disposed to farm fills reported in table 7.2.4 is additional and equal to the amount that is disposed by open burning.</w:t>
      </w:r>
    </w:p>
    <w:p w14:paraId="2FFEE857" w14:textId="77777777" w:rsidR="00422EFE" w:rsidRPr="00261B7A" w:rsidRDefault="00422EFE" w:rsidP="00422EFE">
      <w:pPr>
        <w:pStyle w:val="Heading4"/>
      </w:pPr>
      <w:bookmarkStart w:id="2521" w:name="choice-of-methods-2"/>
      <w:bookmarkEnd w:id="2516"/>
      <w:bookmarkEnd w:id="2520"/>
      <w:r w:rsidRPr="00261B7A">
        <w:t>Choice of methods</w:t>
      </w:r>
    </w:p>
    <w:p w14:paraId="61241749" w14:textId="77777777" w:rsidR="00422EFE" w:rsidRPr="00261B7A" w:rsidRDefault="00422EFE" w:rsidP="00422EFE">
      <w:pPr>
        <w:pStyle w:val="Heading5"/>
        <w:spacing w:before="180"/>
      </w:pPr>
      <w:bookmarkStart w:id="2522" w:name="incineration-5.c.1-1"/>
      <w:r w:rsidRPr="00261B7A">
        <w:t>Incineration (5.C.1)</w:t>
      </w:r>
    </w:p>
    <w:p w14:paraId="409E48E0" w14:textId="77777777" w:rsidR="00422EFE" w:rsidRPr="00261B7A" w:rsidRDefault="00422EFE" w:rsidP="00422EFE">
      <w:pPr>
        <w:pStyle w:val="BodyText"/>
        <w:spacing w:before="80" w:after="100"/>
      </w:pPr>
      <w:r w:rsidRPr="00261B7A">
        <w:t>Estimates of direct emissions from the incineration of waste are made using the default Tier 1 methodology (IPCC, 2006a). The data used were collected and collated in 2007, and the sources used included information previously collected for purposes of air quality regulation and consent data from regional councils and site operators (SKM, unpublished(a)).</w:t>
      </w:r>
    </w:p>
    <w:p w14:paraId="135E8ECC" w14:textId="77777777" w:rsidR="00422EFE" w:rsidRPr="00261B7A" w:rsidRDefault="00422EFE" w:rsidP="00422EFE">
      <w:pPr>
        <w:pStyle w:val="Heading5"/>
      </w:pPr>
      <w:bookmarkStart w:id="2523" w:name="open-burning-5.c.2-1"/>
      <w:bookmarkEnd w:id="2522"/>
      <w:r w:rsidRPr="00261B7A">
        <w:t>Open burning (5.C.2)</w:t>
      </w:r>
    </w:p>
    <w:p w14:paraId="2D98DE49" w14:textId="77777777" w:rsidR="00422EFE" w:rsidRPr="00261B7A" w:rsidRDefault="00422EFE" w:rsidP="00422EFE">
      <w:pPr>
        <w:pStyle w:val="BodyText"/>
        <w:spacing w:before="80" w:after="100"/>
      </w:pPr>
      <w:r w:rsidRPr="00261B7A">
        <w:t>Estimates of direct emissions from the open burning of rural waste are made using the default Tier 1 methodology (IPCC, 2006a). Farm waste comprises a mix of household and other wastes, which have a composition and diversity similar to general municipal solid waste (Tonkin and Taylor Ltd, unpublished(b)). Therefore, emissions from CH</w:t>
      </w:r>
      <w:r w:rsidRPr="00261B7A">
        <w:rPr>
          <w:vertAlign w:val="subscript"/>
        </w:rPr>
        <w:t>4</w:t>
      </w:r>
      <w:r w:rsidRPr="00261B7A">
        <w:t xml:space="preserve"> and N</w:t>
      </w:r>
      <w:r w:rsidRPr="00261B7A">
        <w:rPr>
          <w:vertAlign w:val="subscript"/>
        </w:rPr>
        <w:t>2</w:t>
      </w:r>
      <w:r w:rsidRPr="00261B7A">
        <w:t>O were estimated using default emission factors for bulk municipal solid waste.</w:t>
      </w:r>
    </w:p>
    <w:p w14:paraId="5C945682" w14:textId="77777777" w:rsidR="00422EFE" w:rsidRPr="00261B7A" w:rsidRDefault="00422EFE" w:rsidP="00422EFE">
      <w:pPr>
        <w:pStyle w:val="BodyText"/>
        <w:spacing w:before="100" w:after="100"/>
      </w:pPr>
      <w:r w:rsidRPr="00261B7A">
        <w:t>Emissions of CO</w:t>
      </w:r>
      <w:r w:rsidRPr="00261B7A">
        <w:rPr>
          <w:vertAlign w:val="subscript"/>
        </w:rPr>
        <w:t>2</w:t>
      </w:r>
      <w:r w:rsidRPr="00261B7A">
        <w:t xml:space="preserve"> were calculated using the same composition of farm waste as is landfilled, for consistency. Table 7.4.3 shows the parameters that determine dry-matter content, total carbon content and fossil carbon content (IPCC defaults), which are then weighted against composition.</w:t>
      </w:r>
    </w:p>
    <w:p w14:paraId="41C797B6" w14:textId="77777777" w:rsidR="00422EFE" w:rsidRPr="00261B7A" w:rsidRDefault="00422EFE" w:rsidP="00422EFE">
      <w:pPr>
        <w:pStyle w:val="Table"/>
      </w:pPr>
      <w:bookmarkStart w:id="2524" w:name="_Toc128383675"/>
      <w:bookmarkStart w:id="2525" w:name="_Toc131591448"/>
      <w:r w:rsidRPr="00261B7A">
        <w:t xml:space="preserve">Table 7.4.3 </w:t>
      </w:r>
      <w:r w:rsidRPr="00261B7A">
        <w:tab/>
        <w:t>Values applied to estimate carbon dioxide emissions from open burning of rural waste</w:t>
      </w:r>
      <w:bookmarkEnd w:id="2524"/>
      <w:bookmarkEnd w:id="2525"/>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813"/>
        <w:gridCol w:w="1344"/>
        <w:gridCol w:w="1754"/>
        <w:gridCol w:w="1695"/>
        <w:gridCol w:w="1899"/>
      </w:tblGrid>
      <w:tr w:rsidR="00422EFE" w:rsidRPr="00261B7A" w14:paraId="02A9BE7C" w14:textId="77777777" w:rsidTr="00D41492">
        <w:trPr>
          <w:tblHeader/>
        </w:trPr>
        <w:tc>
          <w:tcPr>
            <w:tcW w:w="1813" w:type="dxa"/>
            <w:shd w:val="clear" w:color="auto" w:fill="1B556B"/>
            <w:tcMar>
              <w:top w:w="0" w:type="dxa"/>
              <w:left w:w="108" w:type="dxa"/>
              <w:bottom w:w="0" w:type="dxa"/>
              <w:right w:w="108" w:type="dxa"/>
            </w:tcMar>
            <w:vAlign w:val="bottom"/>
          </w:tcPr>
          <w:p w14:paraId="2113FCD5"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Waste type</w:t>
            </w:r>
          </w:p>
        </w:tc>
        <w:tc>
          <w:tcPr>
            <w:tcW w:w="1344" w:type="dxa"/>
            <w:shd w:val="clear" w:color="auto" w:fill="1B556B"/>
            <w:tcMar>
              <w:top w:w="0" w:type="dxa"/>
              <w:left w:w="108" w:type="dxa"/>
              <w:bottom w:w="0" w:type="dxa"/>
              <w:right w:w="108" w:type="dxa"/>
            </w:tcMar>
            <w:vAlign w:val="bottom"/>
          </w:tcPr>
          <w:p w14:paraId="16D73772" w14:textId="77777777" w:rsidR="00422EFE" w:rsidRPr="00261B7A" w:rsidRDefault="00422EFE" w:rsidP="00D41492">
            <w:pPr>
              <w:pStyle w:val="TableText"/>
              <w:spacing w:before="40" w:after="40"/>
              <w:jc w:val="right"/>
              <w:rPr>
                <w:b/>
                <w:bCs/>
                <w:color w:val="FFFFFF" w:themeColor="background1"/>
              </w:rPr>
            </w:pPr>
            <w:r w:rsidRPr="00261B7A">
              <w:rPr>
                <w:rFonts w:eastAsia="Calibri"/>
                <w:b/>
                <w:bCs/>
                <w:color w:val="FFFFFF" w:themeColor="background1"/>
              </w:rPr>
              <w:t>Composition (%)</w:t>
            </w:r>
          </w:p>
        </w:tc>
        <w:tc>
          <w:tcPr>
            <w:tcW w:w="1754" w:type="dxa"/>
            <w:shd w:val="clear" w:color="auto" w:fill="1B556B"/>
            <w:tcMar>
              <w:top w:w="0" w:type="dxa"/>
              <w:left w:w="108" w:type="dxa"/>
              <w:bottom w:w="0" w:type="dxa"/>
              <w:right w:w="108" w:type="dxa"/>
            </w:tcMar>
            <w:vAlign w:val="bottom"/>
          </w:tcPr>
          <w:p w14:paraId="5976CF81" w14:textId="77777777" w:rsidR="00422EFE" w:rsidRPr="00261B7A" w:rsidRDefault="00422EFE" w:rsidP="00D41492">
            <w:pPr>
              <w:pStyle w:val="TableText"/>
              <w:spacing w:before="40" w:after="40"/>
              <w:jc w:val="right"/>
              <w:rPr>
                <w:b/>
                <w:bCs/>
                <w:color w:val="FFFFFF" w:themeColor="background1"/>
              </w:rPr>
            </w:pPr>
            <w:r w:rsidRPr="00261B7A">
              <w:rPr>
                <w:rFonts w:eastAsia="Calibri"/>
                <w:b/>
                <w:bCs/>
                <w:color w:val="FFFFFF" w:themeColor="background1"/>
              </w:rPr>
              <w:t>Dry matter content (%)</w:t>
            </w:r>
          </w:p>
        </w:tc>
        <w:tc>
          <w:tcPr>
            <w:tcW w:w="1695" w:type="dxa"/>
            <w:shd w:val="clear" w:color="auto" w:fill="1B556B"/>
            <w:tcMar>
              <w:top w:w="0" w:type="dxa"/>
              <w:left w:w="108" w:type="dxa"/>
              <w:bottom w:w="0" w:type="dxa"/>
              <w:right w:w="108" w:type="dxa"/>
            </w:tcMar>
            <w:vAlign w:val="bottom"/>
          </w:tcPr>
          <w:p w14:paraId="3E035F74" w14:textId="77777777" w:rsidR="00422EFE" w:rsidRPr="00261B7A" w:rsidRDefault="00422EFE" w:rsidP="00D41492">
            <w:pPr>
              <w:pStyle w:val="TableText"/>
              <w:spacing w:before="40" w:after="40"/>
              <w:jc w:val="right"/>
              <w:rPr>
                <w:b/>
                <w:bCs/>
                <w:color w:val="FFFFFF" w:themeColor="background1"/>
              </w:rPr>
            </w:pPr>
            <w:r w:rsidRPr="00261B7A">
              <w:rPr>
                <w:rFonts w:eastAsia="Calibri"/>
                <w:b/>
                <w:bCs/>
                <w:color w:val="FFFFFF" w:themeColor="background1"/>
              </w:rPr>
              <w:t>Total carbon content (%)</w:t>
            </w:r>
          </w:p>
        </w:tc>
        <w:tc>
          <w:tcPr>
            <w:tcW w:w="1899" w:type="dxa"/>
            <w:shd w:val="clear" w:color="auto" w:fill="1B556B"/>
            <w:tcMar>
              <w:top w:w="0" w:type="dxa"/>
              <w:left w:w="108" w:type="dxa"/>
              <w:bottom w:w="0" w:type="dxa"/>
              <w:right w:w="108" w:type="dxa"/>
            </w:tcMar>
            <w:vAlign w:val="bottom"/>
          </w:tcPr>
          <w:p w14:paraId="2271CBF2" w14:textId="77777777" w:rsidR="00422EFE" w:rsidRPr="00261B7A" w:rsidRDefault="00422EFE" w:rsidP="00D41492">
            <w:pPr>
              <w:pStyle w:val="TableText"/>
              <w:spacing w:before="40" w:after="40"/>
              <w:jc w:val="right"/>
              <w:rPr>
                <w:b/>
                <w:bCs/>
                <w:color w:val="FFFFFF" w:themeColor="background1"/>
              </w:rPr>
            </w:pPr>
            <w:r w:rsidRPr="00261B7A">
              <w:rPr>
                <w:rFonts w:eastAsia="Calibri"/>
                <w:b/>
                <w:bCs/>
                <w:color w:val="FFFFFF" w:themeColor="background1"/>
              </w:rPr>
              <w:t>Fossil carbon content of total carbon (%)</w:t>
            </w:r>
          </w:p>
        </w:tc>
      </w:tr>
      <w:tr w:rsidR="00422EFE" w:rsidRPr="00261B7A" w14:paraId="25D056F2" w14:textId="77777777" w:rsidTr="00D41492">
        <w:tc>
          <w:tcPr>
            <w:tcW w:w="1813" w:type="dxa"/>
            <w:shd w:val="clear" w:color="auto" w:fill="FFFFFF"/>
            <w:tcMar>
              <w:top w:w="0" w:type="dxa"/>
              <w:left w:w="108" w:type="dxa"/>
              <w:bottom w:w="0" w:type="dxa"/>
              <w:right w:w="108" w:type="dxa"/>
            </w:tcMar>
          </w:tcPr>
          <w:p w14:paraId="44FD5E08" w14:textId="77777777" w:rsidR="00422EFE" w:rsidRPr="00261B7A" w:rsidRDefault="00422EFE" w:rsidP="00D41492">
            <w:pPr>
              <w:pStyle w:val="TableText"/>
              <w:spacing w:before="40" w:after="40"/>
            </w:pPr>
            <w:r w:rsidRPr="00261B7A">
              <w:rPr>
                <w:rFonts w:eastAsia="Calibri"/>
                <w:color w:val="000000"/>
              </w:rPr>
              <w:t>Paper/card</w:t>
            </w:r>
          </w:p>
        </w:tc>
        <w:tc>
          <w:tcPr>
            <w:tcW w:w="1344" w:type="dxa"/>
            <w:shd w:val="clear" w:color="auto" w:fill="FFFFFF"/>
            <w:tcMar>
              <w:top w:w="0" w:type="dxa"/>
              <w:left w:w="108" w:type="dxa"/>
              <w:bottom w:w="0" w:type="dxa"/>
              <w:right w:w="108" w:type="dxa"/>
            </w:tcMar>
          </w:tcPr>
          <w:p w14:paraId="470D4195" w14:textId="77777777" w:rsidR="00422EFE" w:rsidRPr="00261B7A" w:rsidRDefault="00422EFE" w:rsidP="00D41492">
            <w:pPr>
              <w:pStyle w:val="TableText"/>
              <w:spacing w:before="40" w:after="40"/>
              <w:jc w:val="right"/>
            </w:pPr>
            <w:r w:rsidRPr="00261B7A">
              <w:rPr>
                <w:rFonts w:eastAsia="Calibri"/>
                <w:color w:val="000000"/>
              </w:rPr>
              <w:t>1.1</w:t>
            </w:r>
          </w:p>
        </w:tc>
        <w:tc>
          <w:tcPr>
            <w:tcW w:w="1754" w:type="dxa"/>
            <w:shd w:val="clear" w:color="auto" w:fill="FFFFFF"/>
            <w:tcMar>
              <w:top w:w="0" w:type="dxa"/>
              <w:left w:w="108" w:type="dxa"/>
              <w:bottom w:w="0" w:type="dxa"/>
              <w:right w:w="108" w:type="dxa"/>
            </w:tcMar>
          </w:tcPr>
          <w:p w14:paraId="6299D874" w14:textId="77777777" w:rsidR="00422EFE" w:rsidRPr="00261B7A" w:rsidRDefault="00422EFE" w:rsidP="00D41492">
            <w:pPr>
              <w:pStyle w:val="TableText"/>
              <w:spacing w:before="40" w:after="40"/>
              <w:jc w:val="right"/>
            </w:pPr>
            <w:r w:rsidRPr="00261B7A">
              <w:rPr>
                <w:rFonts w:eastAsia="Calibri"/>
                <w:color w:val="000000"/>
              </w:rPr>
              <w:t>90</w:t>
            </w:r>
          </w:p>
        </w:tc>
        <w:tc>
          <w:tcPr>
            <w:tcW w:w="1695" w:type="dxa"/>
            <w:shd w:val="clear" w:color="auto" w:fill="FFFFFF"/>
            <w:tcMar>
              <w:top w:w="0" w:type="dxa"/>
              <w:left w:w="108" w:type="dxa"/>
              <w:bottom w:w="0" w:type="dxa"/>
              <w:right w:w="108" w:type="dxa"/>
            </w:tcMar>
          </w:tcPr>
          <w:p w14:paraId="4311C67D" w14:textId="77777777" w:rsidR="00422EFE" w:rsidRPr="00261B7A" w:rsidRDefault="00422EFE" w:rsidP="00D41492">
            <w:pPr>
              <w:pStyle w:val="TableText"/>
              <w:spacing w:before="40" w:after="40"/>
              <w:jc w:val="right"/>
            </w:pPr>
            <w:r w:rsidRPr="00261B7A">
              <w:rPr>
                <w:rFonts w:eastAsia="Calibri"/>
                <w:color w:val="000000"/>
              </w:rPr>
              <w:t>46</w:t>
            </w:r>
          </w:p>
        </w:tc>
        <w:tc>
          <w:tcPr>
            <w:tcW w:w="1899" w:type="dxa"/>
            <w:shd w:val="clear" w:color="auto" w:fill="FFFFFF"/>
            <w:tcMar>
              <w:top w:w="0" w:type="dxa"/>
              <w:left w:w="108" w:type="dxa"/>
              <w:bottom w:w="0" w:type="dxa"/>
              <w:right w:w="108" w:type="dxa"/>
            </w:tcMar>
          </w:tcPr>
          <w:p w14:paraId="1BF875EA" w14:textId="77777777" w:rsidR="00422EFE" w:rsidRPr="00261B7A" w:rsidRDefault="00422EFE" w:rsidP="00D41492">
            <w:pPr>
              <w:pStyle w:val="TableText"/>
              <w:spacing w:before="40" w:after="40"/>
              <w:jc w:val="right"/>
            </w:pPr>
            <w:r w:rsidRPr="00261B7A">
              <w:rPr>
                <w:rFonts w:eastAsia="Calibri"/>
                <w:color w:val="000000"/>
              </w:rPr>
              <w:t>1</w:t>
            </w:r>
          </w:p>
        </w:tc>
      </w:tr>
      <w:tr w:rsidR="00422EFE" w:rsidRPr="00261B7A" w14:paraId="7333DF3B" w14:textId="77777777" w:rsidTr="00D41492">
        <w:tc>
          <w:tcPr>
            <w:tcW w:w="1813" w:type="dxa"/>
            <w:shd w:val="clear" w:color="auto" w:fill="FFFFFF"/>
            <w:tcMar>
              <w:top w:w="0" w:type="dxa"/>
              <w:left w:w="108" w:type="dxa"/>
              <w:bottom w:w="0" w:type="dxa"/>
              <w:right w:w="108" w:type="dxa"/>
            </w:tcMar>
          </w:tcPr>
          <w:p w14:paraId="44A43996" w14:textId="77777777" w:rsidR="00422EFE" w:rsidRPr="00261B7A" w:rsidRDefault="00422EFE" w:rsidP="00D41492">
            <w:pPr>
              <w:pStyle w:val="TableText"/>
              <w:spacing w:before="40" w:after="40"/>
            </w:pPr>
            <w:r w:rsidRPr="00261B7A">
              <w:rPr>
                <w:rFonts w:eastAsia="Calibri"/>
                <w:color w:val="000000"/>
              </w:rPr>
              <w:t>Textiles</w:t>
            </w:r>
          </w:p>
        </w:tc>
        <w:tc>
          <w:tcPr>
            <w:tcW w:w="1344" w:type="dxa"/>
            <w:shd w:val="clear" w:color="auto" w:fill="FFFFFF"/>
            <w:tcMar>
              <w:top w:w="0" w:type="dxa"/>
              <w:left w:w="108" w:type="dxa"/>
              <w:bottom w:w="0" w:type="dxa"/>
              <w:right w:w="108" w:type="dxa"/>
            </w:tcMar>
          </w:tcPr>
          <w:p w14:paraId="6B4207C1" w14:textId="77777777" w:rsidR="00422EFE" w:rsidRPr="00261B7A" w:rsidRDefault="00422EFE" w:rsidP="00D41492">
            <w:pPr>
              <w:pStyle w:val="TableText"/>
              <w:spacing w:before="40" w:after="40"/>
              <w:jc w:val="right"/>
            </w:pPr>
            <w:r w:rsidRPr="00261B7A">
              <w:rPr>
                <w:rFonts w:eastAsia="Calibri"/>
                <w:color w:val="000000"/>
              </w:rPr>
              <w:t>19.5</w:t>
            </w:r>
          </w:p>
        </w:tc>
        <w:tc>
          <w:tcPr>
            <w:tcW w:w="1754" w:type="dxa"/>
            <w:shd w:val="clear" w:color="auto" w:fill="FFFFFF"/>
            <w:tcMar>
              <w:top w:w="0" w:type="dxa"/>
              <w:left w:w="108" w:type="dxa"/>
              <w:bottom w:w="0" w:type="dxa"/>
              <w:right w:w="108" w:type="dxa"/>
            </w:tcMar>
          </w:tcPr>
          <w:p w14:paraId="5F307644" w14:textId="77777777" w:rsidR="00422EFE" w:rsidRPr="00261B7A" w:rsidRDefault="00422EFE" w:rsidP="00D41492">
            <w:pPr>
              <w:pStyle w:val="TableText"/>
              <w:spacing w:before="40" w:after="40"/>
              <w:jc w:val="right"/>
            </w:pPr>
            <w:r w:rsidRPr="00261B7A">
              <w:rPr>
                <w:rFonts w:eastAsia="Calibri"/>
                <w:color w:val="000000"/>
              </w:rPr>
              <w:t>80</w:t>
            </w:r>
          </w:p>
        </w:tc>
        <w:tc>
          <w:tcPr>
            <w:tcW w:w="1695" w:type="dxa"/>
            <w:shd w:val="clear" w:color="auto" w:fill="FFFFFF"/>
            <w:tcMar>
              <w:top w:w="0" w:type="dxa"/>
              <w:left w:w="108" w:type="dxa"/>
              <w:bottom w:w="0" w:type="dxa"/>
              <w:right w:w="108" w:type="dxa"/>
            </w:tcMar>
          </w:tcPr>
          <w:p w14:paraId="6135F1FB" w14:textId="77777777" w:rsidR="00422EFE" w:rsidRPr="00261B7A" w:rsidRDefault="00422EFE" w:rsidP="00D41492">
            <w:pPr>
              <w:pStyle w:val="TableText"/>
              <w:spacing w:before="40" w:after="40"/>
              <w:jc w:val="right"/>
            </w:pPr>
            <w:r w:rsidRPr="00261B7A">
              <w:rPr>
                <w:rFonts w:eastAsia="Calibri"/>
                <w:color w:val="000000"/>
              </w:rPr>
              <w:t>50</w:t>
            </w:r>
          </w:p>
        </w:tc>
        <w:tc>
          <w:tcPr>
            <w:tcW w:w="1899" w:type="dxa"/>
            <w:shd w:val="clear" w:color="auto" w:fill="FFFFFF"/>
            <w:tcMar>
              <w:top w:w="0" w:type="dxa"/>
              <w:left w:w="108" w:type="dxa"/>
              <w:bottom w:w="0" w:type="dxa"/>
              <w:right w:w="108" w:type="dxa"/>
            </w:tcMar>
          </w:tcPr>
          <w:p w14:paraId="6D911DDF" w14:textId="77777777" w:rsidR="00422EFE" w:rsidRPr="00261B7A" w:rsidRDefault="00422EFE" w:rsidP="00D41492">
            <w:pPr>
              <w:pStyle w:val="TableText"/>
              <w:spacing w:before="40" w:after="40"/>
              <w:jc w:val="right"/>
            </w:pPr>
            <w:r w:rsidRPr="00261B7A">
              <w:rPr>
                <w:rFonts w:eastAsia="Calibri"/>
                <w:color w:val="000000"/>
              </w:rPr>
              <w:t>20</w:t>
            </w:r>
          </w:p>
        </w:tc>
      </w:tr>
      <w:tr w:rsidR="00422EFE" w:rsidRPr="00261B7A" w14:paraId="073A80A6" w14:textId="77777777" w:rsidTr="00D41492">
        <w:tc>
          <w:tcPr>
            <w:tcW w:w="1813" w:type="dxa"/>
            <w:shd w:val="clear" w:color="auto" w:fill="FFFFFF"/>
            <w:tcMar>
              <w:top w:w="0" w:type="dxa"/>
              <w:left w:w="108" w:type="dxa"/>
              <w:bottom w:w="0" w:type="dxa"/>
              <w:right w:w="108" w:type="dxa"/>
            </w:tcMar>
          </w:tcPr>
          <w:p w14:paraId="2807D7F1" w14:textId="77777777" w:rsidR="00422EFE" w:rsidRPr="00261B7A" w:rsidRDefault="00422EFE" w:rsidP="00D41492">
            <w:pPr>
              <w:pStyle w:val="TableText"/>
              <w:spacing w:before="40" w:after="40"/>
            </w:pPr>
            <w:r w:rsidRPr="00261B7A">
              <w:rPr>
                <w:rFonts w:eastAsia="Calibri"/>
                <w:color w:val="000000"/>
              </w:rPr>
              <w:t>Food waste</w:t>
            </w:r>
          </w:p>
        </w:tc>
        <w:tc>
          <w:tcPr>
            <w:tcW w:w="1344" w:type="dxa"/>
            <w:shd w:val="clear" w:color="auto" w:fill="FFFFFF"/>
            <w:tcMar>
              <w:top w:w="0" w:type="dxa"/>
              <w:left w:w="108" w:type="dxa"/>
              <w:bottom w:w="0" w:type="dxa"/>
              <w:right w:w="108" w:type="dxa"/>
            </w:tcMar>
          </w:tcPr>
          <w:p w14:paraId="4FF3F59E" w14:textId="77777777" w:rsidR="00422EFE" w:rsidRPr="00261B7A" w:rsidRDefault="00422EFE" w:rsidP="00D41492">
            <w:pPr>
              <w:pStyle w:val="TableText"/>
              <w:spacing w:before="40" w:after="40"/>
              <w:jc w:val="right"/>
            </w:pPr>
            <w:r w:rsidRPr="00261B7A">
              <w:rPr>
                <w:rFonts w:eastAsia="Calibri"/>
                <w:color w:val="000000"/>
              </w:rPr>
              <w:t>15.6</w:t>
            </w:r>
          </w:p>
        </w:tc>
        <w:tc>
          <w:tcPr>
            <w:tcW w:w="1754" w:type="dxa"/>
            <w:shd w:val="clear" w:color="auto" w:fill="FFFFFF"/>
            <w:tcMar>
              <w:top w:w="0" w:type="dxa"/>
              <w:left w:w="108" w:type="dxa"/>
              <w:bottom w:w="0" w:type="dxa"/>
              <w:right w:w="108" w:type="dxa"/>
            </w:tcMar>
          </w:tcPr>
          <w:p w14:paraId="5D2289A9" w14:textId="77777777" w:rsidR="00422EFE" w:rsidRPr="00261B7A" w:rsidRDefault="00422EFE" w:rsidP="00D41492">
            <w:pPr>
              <w:pStyle w:val="TableText"/>
              <w:spacing w:before="40" w:after="40"/>
              <w:jc w:val="right"/>
            </w:pPr>
            <w:r w:rsidRPr="00261B7A">
              <w:rPr>
                <w:rFonts w:eastAsia="Calibri"/>
                <w:color w:val="000000"/>
              </w:rPr>
              <w:t>40</w:t>
            </w:r>
          </w:p>
        </w:tc>
        <w:tc>
          <w:tcPr>
            <w:tcW w:w="1695" w:type="dxa"/>
            <w:shd w:val="clear" w:color="auto" w:fill="FFFFFF"/>
            <w:tcMar>
              <w:top w:w="0" w:type="dxa"/>
              <w:left w:w="108" w:type="dxa"/>
              <w:bottom w:w="0" w:type="dxa"/>
              <w:right w:w="108" w:type="dxa"/>
            </w:tcMar>
          </w:tcPr>
          <w:p w14:paraId="1107FB61" w14:textId="77777777" w:rsidR="00422EFE" w:rsidRPr="00261B7A" w:rsidRDefault="00422EFE" w:rsidP="00D41492">
            <w:pPr>
              <w:pStyle w:val="TableText"/>
              <w:spacing w:before="40" w:after="40"/>
              <w:jc w:val="right"/>
            </w:pPr>
            <w:r w:rsidRPr="00261B7A">
              <w:rPr>
                <w:rFonts w:eastAsia="Calibri"/>
                <w:color w:val="000000"/>
              </w:rPr>
              <w:t>38</w:t>
            </w:r>
          </w:p>
        </w:tc>
        <w:tc>
          <w:tcPr>
            <w:tcW w:w="1899" w:type="dxa"/>
            <w:shd w:val="clear" w:color="auto" w:fill="FFFFFF"/>
            <w:tcMar>
              <w:top w:w="0" w:type="dxa"/>
              <w:left w:w="108" w:type="dxa"/>
              <w:bottom w:w="0" w:type="dxa"/>
              <w:right w:w="108" w:type="dxa"/>
            </w:tcMar>
          </w:tcPr>
          <w:p w14:paraId="7A4369B0" w14:textId="77777777" w:rsidR="00422EFE" w:rsidRPr="00261B7A" w:rsidRDefault="00422EFE" w:rsidP="00D41492">
            <w:pPr>
              <w:pStyle w:val="TableText"/>
              <w:spacing w:before="40" w:after="40"/>
              <w:jc w:val="right"/>
            </w:pPr>
            <w:r w:rsidRPr="00261B7A">
              <w:rPr>
                <w:rFonts w:eastAsia="Calibri"/>
                <w:color w:val="000000"/>
              </w:rPr>
              <w:t>0</w:t>
            </w:r>
          </w:p>
        </w:tc>
      </w:tr>
      <w:tr w:rsidR="00422EFE" w:rsidRPr="00261B7A" w14:paraId="37F48267" w14:textId="77777777" w:rsidTr="00D41492">
        <w:tc>
          <w:tcPr>
            <w:tcW w:w="1813" w:type="dxa"/>
            <w:shd w:val="clear" w:color="auto" w:fill="FFFFFF"/>
            <w:tcMar>
              <w:top w:w="0" w:type="dxa"/>
              <w:left w:w="108" w:type="dxa"/>
              <w:bottom w:w="0" w:type="dxa"/>
              <w:right w:w="108" w:type="dxa"/>
            </w:tcMar>
          </w:tcPr>
          <w:p w14:paraId="6A660F95" w14:textId="77777777" w:rsidR="00422EFE" w:rsidRPr="00261B7A" w:rsidRDefault="00422EFE" w:rsidP="00D41492">
            <w:pPr>
              <w:pStyle w:val="TableText"/>
              <w:spacing w:before="40" w:after="40"/>
            </w:pPr>
            <w:r w:rsidRPr="00261B7A">
              <w:rPr>
                <w:rFonts w:eastAsia="Calibri"/>
                <w:color w:val="000000"/>
              </w:rPr>
              <w:t>Wood</w:t>
            </w:r>
          </w:p>
        </w:tc>
        <w:tc>
          <w:tcPr>
            <w:tcW w:w="1344" w:type="dxa"/>
            <w:shd w:val="clear" w:color="auto" w:fill="FFFFFF"/>
            <w:tcMar>
              <w:top w:w="0" w:type="dxa"/>
              <w:left w:w="108" w:type="dxa"/>
              <w:bottom w:w="0" w:type="dxa"/>
              <w:right w:w="108" w:type="dxa"/>
            </w:tcMar>
          </w:tcPr>
          <w:p w14:paraId="6870B891" w14:textId="77777777" w:rsidR="00422EFE" w:rsidRPr="00261B7A" w:rsidRDefault="00422EFE" w:rsidP="00D41492">
            <w:pPr>
              <w:pStyle w:val="TableText"/>
              <w:spacing w:before="40" w:after="40"/>
              <w:jc w:val="right"/>
            </w:pPr>
            <w:r w:rsidRPr="00261B7A">
              <w:rPr>
                <w:rFonts w:eastAsia="Calibri"/>
                <w:color w:val="000000"/>
              </w:rPr>
              <w:t>40.2</w:t>
            </w:r>
          </w:p>
        </w:tc>
        <w:tc>
          <w:tcPr>
            <w:tcW w:w="1754" w:type="dxa"/>
            <w:shd w:val="clear" w:color="auto" w:fill="FFFFFF"/>
            <w:tcMar>
              <w:top w:w="0" w:type="dxa"/>
              <w:left w:w="108" w:type="dxa"/>
              <w:bottom w:w="0" w:type="dxa"/>
              <w:right w:w="108" w:type="dxa"/>
            </w:tcMar>
          </w:tcPr>
          <w:p w14:paraId="47659307" w14:textId="77777777" w:rsidR="00422EFE" w:rsidRPr="00261B7A" w:rsidRDefault="00422EFE" w:rsidP="00D41492">
            <w:pPr>
              <w:pStyle w:val="TableText"/>
              <w:spacing w:before="40" w:after="40"/>
              <w:jc w:val="right"/>
            </w:pPr>
            <w:r w:rsidRPr="00261B7A">
              <w:rPr>
                <w:rFonts w:eastAsia="Calibri"/>
                <w:color w:val="000000"/>
              </w:rPr>
              <w:t>85</w:t>
            </w:r>
          </w:p>
        </w:tc>
        <w:tc>
          <w:tcPr>
            <w:tcW w:w="1695" w:type="dxa"/>
            <w:shd w:val="clear" w:color="auto" w:fill="FFFFFF"/>
            <w:tcMar>
              <w:top w:w="0" w:type="dxa"/>
              <w:left w:w="108" w:type="dxa"/>
              <w:bottom w:w="0" w:type="dxa"/>
              <w:right w:w="108" w:type="dxa"/>
            </w:tcMar>
          </w:tcPr>
          <w:p w14:paraId="1EC65327" w14:textId="77777777" w:rsidR="00422EFE" w:rsidRPr="00261B7A" w:rsidRDefault="00422EFE" w:rsidP="00D41492">
            <w:pPr>
              <w:pStyle w:val="TableText"/>
              <w:spacing w:before="40" w:after="40"/>
              <w:jc w:val="right"/>
            </w:pPr>
            <w:r w:rsidRPr="00261B7A">
              <w:rPr>
                <w:rFonts w:eastAsia="Calibri"/>
                <w:color w:val="000000"/>
              </w:rPr>
              <w:t>50</w:t>
            </w:r>
          </w:p>
        </w:tc>
        <w:tc>
          <w:tcPr>
            <w:tcW w:w="1899" w:type="dxa"/>
            <w:shd w:val="clear" w:color="auto" w:fill="FFFFFF"/>
            <w:tcMar>
              <w:top w:w="0" w:type="dxa"/>
              <w:left w:w="108" w:type="dxa"/>
              <w:bottom w:w="0" w:type="dxa"/>
              <w:right w:w="108" w:type="dxa"/>
            </w:tcMar>
          </w:tcPr>
          <w:p w14:paraId="3970D051" w14:textId="77777777" w:rsidR="00422EFE" w:rsidRPr="00261B7A" w:rsidRDefault="00422EFE" w:rsidP="00D41492">
            <w:pPr>
              <w:pStyle w:val="TableText"/>
              <w:spacing w:before="40" w:after="40"/>
              <w:jc w:val="right"/>
            </w:pPr>
            <w:r w:rsidRPr="00261B7A">
              <w:rPr>
                <w:rFonts w:eastAsia="Calibri"/>
                <w:color w:val="000000"/>
              </w:rPr>
              <w:t>0</w:t>
            </w:r>
          </w:p>
        </w:tc>
      </w:tr>
      <w:tr w:rsidR="00422EFE" w:rsidRPr="00261B7A" w14:paraId="330F3D7E" w14:textId="77777777" w:rsidTr="00D41492">
        <w:tc>
          <w:tcPr>
            <w:tcW w:w="1813" w:type="dxa"/>
            <w:shd w:val="clear" w:color="auto" w:fill="FFFFFF"/>
            <w:tcMar>
              <w:top w:w="0" w:type="dxa"/>
              <w:left w:w="108" w:type="dxa"/>
              <w:bottom w:w="0" w:type="dxa"/>
              <w:right w:w="108" w:type="dxa"/>
            </w:tcMar>
          </w:tcPr>
          <w:p w14:paraId="3A3B6E21" w14:textId="77777777" w:rsidR="00422EFE" w:rsidRPr="00261B7A" w:rsidRDefault="00422EFE" w:rsidP="00D41492">
            <w:pPr>
              <w:pStyle w:val="TableText"/>
              <w:spacing w:before="40" w:after="40"/>
            </w:pPr>
            <w:r w:rsidRPr="00261B7A">
              <w:rPr>
                <w:rFonts w:eastAsia="Calibri"/>
                <w:color w:val="000000"/>
              </w:rPr>
              <w:t>Garden and park waste</w:t>
            </w:r>
          </w:p>
        </w:tc>
        <w:tc>
          <w:tcPr>
            <w:tcW w:w="1344" w:type="dxa"/>
            <w:shd w:val="clear" w:color="auto" w:fill="FFFFFF"/>
            <w:tcMar>
              <w:top w:w="0" w:type="dxa"/>
              <w:left w:w="108" w:type="dxa"/>
              <w:bottom w:w="0" w:type="dxa"/>
              <w:right w:w="108" w:type="dxa"/>
            </w:tcMar>
          </w:tcPr>
          <w:p w14:paraId="14FCB11F" w14:textId="77777777" w:rsidR="00422EFE" w:rsidRPr="00261B7A" w:rsidRDefault="00422EFE" w:rsidP="00D41492">
            <w:pPr>
              <w:pStyle w:val="TableText"/>
              <w:spacing w:before="40" w:after="40"/>
              <w:jc w:val="right"/>
            </w:pPr>
            <w:r w:rsidRPr="00261B7A">
              <w:rPr>
                <w:rFonts w:eastAsia="Calibri"/>
                <w:color w:val="000000"/>
              </w:rPr>
              <w:t>NA</w:t>
            </w:r>
          </w:p>
        </w:tc>
        <w:tc>
          <w:tcPr>
            <w:tcW w:w="1754" w:type="dxa"/>
            <w:shd w:val="clear" w:color="auto" w:fill="FFFFFF"/>
            <w:tcMar>
              <w:top w:w="0" w:type="dxa"/>
              <w:left w:w="108" w:type="dxa"/>
              <w:bottom w:w="0" w:type="dxa"/>
              <w:right w:w="108" w:type="dxa"/>
            </w:tcMar>
          </w:tcPr>
          <w:p w14:paraId="3D23B087" w14:textId="77777777" w:rsidR="00422EFE" w:rsidRPr="00261B7A" w:rsidRDefault="00422EFE" w:rsidP="00D41492">
            <w:pPr>
              <w:pStyle w:val="TableText"/>
              <w:spacing w:before="40" w:after="40"/>
              <w:jc w:val="right"/>
            </w:pPr>
            <w:r w:rsidRPr="00261B7A">
              <w:rPr>
                <w:rFonts w:eastAsia="Calibri"/>
                <w:color w:val="000000"/>
              </w:rPr>
              <w:t>40</w:t>
            </w:r>
          </w:p>
        </w:tc>
        <w:tc>
          <w:tcPr>
            <w:tcW w:w="1695" w:type="dxa"/>
            <w:shd w:val="clear" w:color="auto" w:fill="FFFFFF"/>
            <w:tcMar>
              <w:top w:w="0" w:type="dxa"/>
              <w:left w:w="108" w:type="dxa"/>
              <w:bottom w:w="0" w:type="dxa"/>
              <w:right w:w="108" w:type="dxa"/>
            </w:tcMar>
          </w:tcPr>
          <w:p w14:paraId="1D3802B6" w14:textId="77777777" w:rsidR="00422EFE" w:rsidRPr="00261B7A" w:rsidRDefault="00422EFE" w:rsidP="00D41492">
            <w:pPr>
              <w:pStyle w:val="TableText"/>
              <w:spacing w:before="40" w:after="40"/>
              <w:jc w:val="right"/>
            </w:pPr>
            <w:r w:rsidRPr="00261B7A">
              <w:rPr>
                <w:rFonts w:eastAsia="Calibri"/>
                <w:color w:val="000000"/>
              </w:rPr>
              <w:t>49</w:t>
            </w:r>
          </w:p>
        </w:tc>
        <w:tc>
          <w:tcPr>
            <w:tcW w:w="1899" w:type="dxa"/>
            <w:shd w:val="clear" w:color="auto" w:fill="FFFFFF"/>
            <w:tcMar>
              <w:top w:w="0" w:type="dxa"/>
              <w:left w:w="108" w:type="dxa"/>
              <w:bottom w:w="0" w:type="dxa"/>
              <w:right w:w="108" w:type="dxa"/>
            </w:tcMar>
          </w:tcPr>
          <w:p w14:paraId="08CCC787" w14:textId="77777777" w:rsidR="00422EFE" w:rsidRPr="00261B7A" w:rsidRDefault="00422EFE" w:rsidP="00D41492">
            <w:pPr>
              <w:pStyle w:val="TableText"/>
              <w:spacing w:before="40" w:after="40"/>
              <w:jc w:val="right"/>
            </w:pPr>
            <w:r w:rsidRPr="00261B7A">
              <w:rPr>
                <w:rFonts w:eastAsia="Calibri"/>
                <w:color w:val="000000"/>
              </w:rPr>
              <w:t>0</w:t>
            </w:r>
          </w:p>
        </w:tc>
      </w:tr>
      <w:tr w:rsidR="00422EFE" w:rsidRPr="00261B7A" w14:paraId="63E2F6B7" w14:textId="77777777" w:rsidTr="00D41492">
        <w:tc>
          <w:tcPr>
            <w:tcW w:w="1813" w:type="dxa"/>
            <w:shd w:val="clear" w:color="auto" w:fill="FFFFFF"/>
            <w:tcMar>
              <w:top w:w="0" w:type="dxa"/>
              <w:left w:w="108" w:type="dxa"/>
              <w:bottom w:w="0" w:type="dxa"/>
              <w:right w:w="108" w:type="dxa"/>
            </w:tcMar>
          </w:tcPr>
          <w:p w14:paraId="6AB6CE22" w14:textId="77777777" w:rsidR="00422EFE" w:rsidRPr="00261B7A" w:rsidRDefault="00422EFE" w:rsidP="00D41492">
            <w:pPr>
              <w:pStyle w:val="TableText"/>
              <w:spacing w:before="40" w:after="40"/>
            </w:pPr>
            <w:r w:rsidRPr="00261B7A">
              <w:rPr>
                <w:rFonts w:eastAsia="Calibri"/>
                <w:color w:val="000000"/>
              </w:rPr>
              <w:t>Nappies</w:t>
            </w:r>
          </w:p>
        </w:tc>
        <w:tc>
          <w:tcPr>
            <w:tcW w:w="1344" w:type="dxa"/>
            <w:shd w:val="clear" w:color="auto" w:fill="FFFFFF"/>
            <w:tcMar>
              <w:top w:w="0" w:type="dxa"/>
              <w:left w:w="108" w:type="dxa"/>
              <w:bottom w:w="0" w:type="dxa"/>
              <w:right w:w="108" w:type="dxa"/>
            </w:tcMar>
          </w:tcPr>
          <w:p w14:paraId="020ED382" w14:textId="77777777" w:rsidR="00422EFE" w:rsidRPr="00261B7A" w:rsidRDefault="00422EFE" w:rsidP="00D41492">
            <w:pPr>
              <w:pStyle w:val="TableText"/>
              <w:spacing w:before="40" w:after="40"/>
              <w:jc w:val="right"/>
            </w:pPr>
            <w:r w:rsidRPr="00261B7A">
              <w:rPr>
                <w:rFonts w:eastAsia="Calibri"/>
                <w:color w:val="000000"/>
              </w:rPr>
              <w:t>NA</w:t>
            </w:r>
          </w:p>
        </w:tc>
        <w:tc>
          <w:tcPr>
            <w:tcW w:w="1754" w:type="dxa"/>
            <w:shd w:val="clear" w:color="auto" w:fill="FFFFFF"/>
            <w:tcMar>
              <w:top w:w="0" w:type="dxa"/>
              <w:left w:w="108" w:type="dxa"/>
              <w:bottom w:w="0" w:type="dxa"/>
              <w:right w:w="108" w:type="dxa"/>
            </w:tcMar>
          </w:tcPr>
          <w:p w14:paraId="0DD4DDF3" w14:textId="77777777" w:rsidR="00422EFE" w:rsidRPr="00261B7A" w:rsidRDefault="00422EFE" w:rsidP="00D41492">
            <w:pPr>
              <w:pStyle w:val="TableText"/>
              <w:spacing w:before="40" w:after="40"/>
              <w:jc w:val="right"/>
            </w:pPr>
            <w:r w:rsidRPr="00261B7A">
              <w:rPr>
                <w:rFonts w:eastAsia="Calibri"/>
                <w:color w:val="000000"/>
              </w:rPr>
              <w:t>40</w:t>
            </w:r>
          </w:p>
        </w:tc>
        <w:tc>
          <w:tcPr>
            <w:tcW w:w="1695" w:type="dxa"/>
            <w:shd w:val="clear" w:color="auto" w:fill="FFFFFF"/>
            <w:tcMar>
              <w:top w:w="0" w:type="dxa"/>
              <w:left w:w="108" w:type="dxa"/>
              <w:bottom w:w="0" w:type="dxa"/>
              <w:right w:w="108" w:type="dxa"/>
            </w:tcMar>
          </w:tcPr>
          <w:p w14:paraId="3A535DD7" w14:textId="77777777" w:rsidR="00422EFE" w:rsidRPr="00261B7A" w:rsidRDefault="00422EFE" w:rsidP="00D41492">
            <w:pPr>
              <w:pStyle w:val="TableText"/>
              <w:spacing w:before="40" w:after="40"/>
              <w:jc w:val="right"/>
            </w:pPr>
            <w:r w:rsidRPr="00261B7A">
              <w:rPr>
                <w:rFonts w:eastAsia="Calibri"/>
                <w:color w:val="000000"/>
              </w:rPr>
              <w:t>70</w:t>
            </w:r>
          </w:p>
        </w:tc>
        <w:tc>
          <w:tcPr>
            <w:tcW w:w="1899" w:type="dxa"/>
            <w:shd w:val="clear" w:color="auto" w:fill="FFFFFF"/>
            <w:tcMar>
              <w:top w:w="0" w:type="dxa"/>
              <w:left w:w="108" w:type="dxa"/>
              <w:bottom w:w="0" w:type="dxa"/>
              <w:right w:w="108" w:type="dxa"/>
            </w:tcMar>
          </w:tcPr>
          <w:p w14:paraId="2B43D22E" w14:textId="77777777" w:rsidR="00422EFE" w:rsidRPr="00261B7A" w:rsidRDefault="00422EFE" w:rsidP="00D41492">
            <w:pPr>
              <w:pStyle w:val="TableText"/>
              <w:spacing w:before="40" w:after="40"/>
              <w:jc w:val="right"/>
            </w:pPr>
            <w:r w:rsidRPr="00261B7A">
              <w:rPr>
                <w:rFonts w:eastAsia="Calibri"/>
                <w:color w:val="000000"/>
              </w:rPr>
              <w:t>10</w:t>
            </w:r>
          </w:p>
        </w:tc>
      </w:tr>
      <w:tr w:rsidR="00422EFE" w:rsidRPr="00261B7A" w14:paraId="20749D30" w14:textId="77777777" w:rsidTr="00D41492">
        <w:tc>
          <w:tcPr>
            <w:tcW w:w="1813" w:type="dxa"/>
            <w:shd w:val="clear" w:color="auto" w:fill="FFFFFF"/>
            <w:tcMar>
              <w:top w:w="0" w:type="dxa"/>
              <w:left w:w="108" w:type="dxa"/>
              <w:bottom w:w="0" w:type="dxa"/>
              <w:right w:w="108" w:type="dxa"/>
            </w:tcMar>
          </w:tcPr>
          <w:p w14:paraId="151FB9AD" w14:textId="77777777" w:rsidR="00422EFE" w:rsidRPr="00261B7A" w:rsidRDefault="00422EFE" w:rsidP="00D41492">
            <w:pPr>
              <w:pStyle w:val="TableText"/>
              <w:spacing w:before="40" w:after="40"/>
            </w:pPr>
            <w:r w:rsidRPr="00261B7A">
              <w:rPr>
                <w:rFonts w:eastAsia="Calibri"/>
                <w:color w:val="000000"/>
              </w:rPr>
              <w:t>Rubber and leather</w:t>
            </w:r>
          </w:p>
        </w:tc>
        <w:tc>
          <w:tcPr>
            <w:tcW w:w="1344" w:type="dxa"/>
            <w:shd w:val="clear" w:color="auto" w:fill="FFFFFF"/>
            <w:tcMar>
              <w:top w:w="0" w:type="dxa"/>
              <w:left w:w="108" w:type="dxa"/>
              <w:bottom w:w="0" w:type="dxa"/>
              <w:right w:w="108" w:type="dxa"/>
            </w:tcMar>
          </w:tcPr>
          <w:p w14:paraId="7D22EA9A" w14:textId="77777777" w:rsidR="00422EFE" w:rsidRPr="00261B7A" w:rsidRDefault="00422EFE" w:rsidP="00D41492">
            <w:pPr>
              <w:pStyle w:val="TableText"/>
              <w:spacing w:before="40" w:after="40"/>
              <w:jc w:val="right"/>
            </w:pPr>
            <w:r w:rsidRPr="00261B7A">
              <w:rPr>
                <w:rFonts w:eastAsia="Calibri"/>
                <w:color w:val="000000"/>
              </w:rPr>
              <w:t>0.3</w:t>
            </w:r>
          </w:p>
        </w:tc>
        <w:tc>
          <w:tcPr>
            <w:tcW w:w="1754" w:type="dxa"/>
            <w:shd w:val="clear" w:color="auto" w:fill="FFFFFF"/>
            <w:tcMar>
              <w:top w:w="0" w:type="dxa"/>
              <w:left w:w="108" w:type="dxa"/>
              <w:bottom w:w="0" w:type="dxa"/>
              <w:right w:w="108" w:type="dxa"/>
            </w:tcMar>
          </w:tcPr>
          <w:p w14:paraId="3F8EFE19" w14:textId="77777777" w:rsidR="00422EFE" w:rsidRPr="00261B7A" w:rsidRDefault="00422EFE" w:rsidP="00D41492">
            <w:pPr>
              <w:pStyle w:val="TableText"/>
              <w:spacing w:before="40" w:after="40"/>
              <w:jc w:val="right"/>
            </w:pPr>
            <w:r w:rsidRPr="00261B7A">
              <w:rPr>
                <w:rFonts w:eastAsia="Calibri"/>
                <w:color w:val="000000"/>
              </w:rPr>
              <w:t>84</w:t>
            </w:r>
          </w:p>
        </w:tc>
        <w:tc>
          <w:tcPr>
            <w:tcW w:w="1695" w:type="dxa"/>
            <w:shd w:val="clear" w:color="auto" w:fill="FFFFFF"/>
            <w:tcMar>
              <w:top w:w="0" w:type="dxa"/>
              <w:left w:w="108" w:type="dxa"/>
              <w:bottom w:w="0" w:type="dxa"/>
              <w:right w:w="108" w:type="dxa"/>
            </w:tcMar>
          </w:tcPr>
          <w:p w14:paraId="6BB6CB23" w14:textId="77777777" w:rsidR="00422EFE" w:rsidRPr="00261B7A" w:rsidRDefault="00422EFE" w:rsidP="00D41492">
            <w:pPr>
              <w:pStyle w:val="TableText"/>
              <w:spacing w:before="40" w:after="40"/>
              <w:jc w:val="right"/>
            </w:pPr>
            <w:r w:rsidRPr="00261B7A">
              <w:rPr>
                <w:rFonts w:eastAsia="Calibri"/>
                <w:color w:val="000000"/>
              </w:rPr>
              <w:t>67</w:t>
            </w:r>
          </w:p>
        </w:tc>
        <w:tc>
          <w:tcPr>
            <w:tcW w:w="1899" w:type="dxa"/>
            <w:shd w:val="clear" w:color="auto" w:fill="FFFFFF"/>
            <w:tcMar>
              <w:top w:w="0" w:type="dxa"/>
              <w:left w:w="108" w:type="dxa"/>
              <w:bottom w:w="0" w:type="dxa"/>
              <w:right w:w="108" w:type="dxa"/>
            </w:tcMar>
          </w:tcPr>
          <w:p w14:paraId="5E9BF78C" w14:textId="77777777" w:rsidR="00422EFE" w:rsidRPr="00261B7A" w:rsidRDefault="00422EFE" w:rsidP="00D41492">
            <w:pPr>
              <w:pStyle w:val="TableText"/>
              <w:spacing w:before="40" w:after="40"/>
              <w:jc w:val="right"/>
            </w:pPr>
            <w:r w:rsidRPr="00261B7A">
              <w:rPr>
                <w:rFonts w:eastAsia="Calibri"/>
                <w:color w:val="000000"/>
              </w:rPr>
              <w:t>20</w:t>
            </w:r>
          </w:p>
        </w:tc>
      </w:tr>
      <w:tr w:rsidR="00422EFE" w:rsidRPr="00261B7A" w14:paraId="628C9C87" w14:textId="77777777" w:rsidTr="00D41492">
        <w:tc>
          <w:tcPr>
            <w:tcW w:w="1813" w:type="dxa"/>
            <w:shd w:val="clear" w:color="auto" w:fill="FFFFFF"/>
            <w:tcMar>
              <w:top w:w="0" w:type="dxa"/>
              <w:left w:w="108" w:type="dxa"/>
              <w:bottom w:w="0" w:type="dxa"/>
              <w:right w:w="108" w:type="dxa"/>
            </w:tcMar>
          </w:tcPr>
          <w:p w14:paraId="34BF006C" w14:textId="77777777" w:rsidR="00422EFE" w:rsidRPr="00261B7A" w:rsidRDefault="00422EFE" w:rsidP="00D41492">
            <w:pPr>
              <w:pStyle w:val="TableText"/>
              <w:spacing w:before="40" w:after="40"/>
            </w:pPr>
            <w:r w:rsidRPr="00261B7A">
              <w:rPr>
                <w:rFonts w:eastAsia="Calibri"/>
                <w:color w:val="000000"/>
              </w:rPr>
              <w:t>Plastics</w:t>
            </w:r>
          </w:p>
        </w:tc>
        <w:tc>
          <w:tcPr>
            <w:tcW w:w="1344" w:type="dxa"/>
            <w:shd w:val="clear" w:color="auto" w:fill="FFFFFF"/>
            <w:tcMar>
              <w:top w:w="0" w:type="dxa"/>
              <w:left w:w="108" w:type="dxa"/>
              <w:bottom w:w="0" w:type="dxa"/>
              <w:right w:w="108" w:type="dxa"/>
            </w:tcMar>
          </w:tcPr>
          <w:p w14:paraId="1E7FFBBD" w14:textId="77777777" w:rsidR="00422EFE" w:rsidRPr="00261B7A" w:rsidRDefault="00422EFE" w:rsidP="00D41492">
            <w:pPr>
              <w:pStyle w:val="TableText"/>
              <w:spacing w:before="40" w:after="40"/>
              <w:jc w:val="right"/>
            </w:pPr>
            <w:r w:rsidRPr="00261B7A">
              <w:rPr>
                <w:rFonts w:eastAsia="Calibri"/>
                <w:color w:val="000000"/>
              </w:rPr>
              <w:t>10.9</w:t>
            </w:r>
          </w:p>
        </w:tc>
        <w:tc>
          <w:tcPr>
            <w:tcW w:w="1754" w:type="dxa"/>
            <w:shd w:val="clear" w:color="auto" w:fill="FFFFFF"/>
            <w:tcMar>
              <w:top w:w="0" w:type="dxa"/>
              <w:left w:w="108" w:type="dxa"/>
              <w:bottom w:w="0" w:type="dxa"/>
              <w:right w:w="108" w:type="dxa"/>
            </w:tcMar>
          </w:tcPr>
          <w:p w14:paraId="2EE94698" w14:textId="77777777" w:rsidR="00422EFE" w:rsidRPr="00261B7A" w:rsidRDefault="00422EFE" w:rsidP="00D41492">
            <w:pPr>
              <w:pStyle w:val="TableText"/>
              <w:spacing w:before="40" w:after="40"/>
              <w:jc w:val="right"/>
            </w:pPr>
            <w:r w:rsidRPr="00261B7A">
              <w:rPr>
                <w:rFonts w:eastAsia="Calibri"/>
                <w:color w:val="000000"/>
              </w:rPr>
              <w:t>100</w:t>
            </w:r>
          </w:p>
        </w:tc>
        <w:tc>
          <w:tcPr>
            <w:tcW w:w="1695" w:type="dxa"/>
            <w:shd w:val="clear" w:color="auto" w:fill="FFFFFF"/>
            <w:tcMar>
              <w:top w:w="0" w:type="dxa"/>
              <w:left w:w="108" w:type="dxa"/>
              <w:bottom w:w="0" w:type="dxa"/>
              <w:right w:w="108" w:type="dxa"/>
            </w:tcMar>
          </w:tcPr>
          <w:p w14:paraId="46461341" w14:textId="77777777" w:rsidR="00422EFE" w:rsidRPr="00261B7A" w:rsidRDefault="00422EFE" w:rsidP="00D41492">
            <w:pPr>
              <w:pStyle w:val="TableText"/>
              <w:spacing w:before="40" w:after="40"/>
              <w:jc w:val="right"/>
            </w:pPr>
            <w:r w:rsidRPr="00261B7A">
              <w:rPr>
                <w:rFonts w:eastAsia="Calibri"/>
                <w:color w:val="000000"/>
              </w:rPr>
              <w:t>75</w:t>
            </w:r>
          </w:p>
        </w:tc>
        <w:tc>
          <w:tcPr>
            <w:tcW w:w="1899" w:type="dxa"/>
            <w:shd w:val="clear" w:color="auto" w:fill="FFFFFF"/>
            <w:tcMar>
              <w:top w:w="0" w:type="dxa"/>
              <w:left w:w="108" w:type="dxa"/>
              <w:bottom w:w="0" w:type="dxa"/>
              <w:right w:w="108" w:type="dxa"/>
            </w:tcMar>
          </w:tcPr>
          <w:p w14:paraId="095D7CE2" w14:textId="77777777" w:rsidR="00422EFE" w:rsidRPr="00261B7A" w:rsidRDefault="00422EFE" w:rsidP="00D41492">
            <w:pPr>
              <w:pStyle w:val="TableText"/>
              <w:spacing w:before="40" w:after="40"/>
              <w:jc w:val="right"/>
            </w:pPr>
            <w:r w:rsidRPr="00261B7A">
              <w:rPr>
                <w:rFonts w:eastAsia="Calibri"/>
                <w:color w:val="000000"/>
              </w:rPr>
              <w:t>100</w:t>
            </w:r>
          </w:p>
        </w:tc>
      </w:tr>
      <w:tr w:rsidR="00422EFE" w:rsidRPr="00261B7A" w14:paraId="7AE4FD50" w14:textId="77777777" w:rsidTr="00D41492">
        <w:tc>
          <w:tcPr>
            <w:tcW w:w="1813" w:type="dxa"/>
            <w:shd w:val="clear" w:color="auto" w:fill="FFFFFF"/>
            <w:tcMar>
              <w:top w:w="0" w:type="dxa"/>
              <w:left w:w="108" w:type="dxa"/>
              <w:bottom w:w="0" w:type="dxa"/>
              <w:right w:w="108" w:type="dxa"/>
            </w:tcMar>
          </w:tcPr>
          <w:p w14:paraId="475DCA3F" w14:textId="77777777" w:rsidR="00422EFE" w:rsidRPr="00261B7A" w:rsidRDefault="00422EFE" w:rsidP="00D41492">
            <w:pPr>
              <w:pStyle w:val="TableText"/>
              <w:spacing w:before="40" w:after="40"/>
            </w:pPr>
            <w:r w:rsidRPr="00261B7A">
              <w:rPr>
                <w:rFonts w:eastAsia="Calibri"/>
                <w:color w:val="000000"/>
              </w:rPr>
              <w:t>Metal</w:t>
            </w:r>
          </w:p>
        </w:tc>
        <w:tc>
          <w:tcPr>
            <w:tcW w:w="1344" w:type="dxa"/>
            <w:shd w:val="clear" w:color="auto" w:fill="FFFFFF"/>
            <w:tcMar>
              <w:top w:w="0" w:type="dxa"/>
              <w:left w:w="108" w:type="dxa"/>
              <w:bottom w:w="0" w:type="dxa"/>
              <w:right w:w="108" w:type="dxa"/>
            </w:tcMar>
          </w:tcPr>
          <w:p w14:paraId="7424BF9B" w14:textId="77777777" w:rsidR="00422EFE" w:rsidRPr="00261B7A" w:rsidRDefault="00422EFE" w:rsidP="00D41492">
            <w:pPr>
              <w:pStyle w:val="TableText"/>
              <w:spacing w:before="40" w:after="40"/>
              <w:jc w:val="right"/>
            </w:pPr>
            <w:r w:rsidRPr="00261B7A">
              <w:rPr>
                <w:rFonts w:eastAsia="Calibri"/>
                <w:color w:val="000000"/>
              </w:rPr>
              <w:t>2.5</w:t>
            </w:r>
          </w:p>
        </w:tc>
        <w:tc>
          <w:tcPr>
            <w:tcW w:w="1754" w:type="dxa"/>
            <w:shd w:val="clear" w:color="auto" w:fill="FFFFFF"/>
            <w:tcMar>
              <w:top w:w="0" w:type="dxa"/>
              <w:left w:w="108" w:type="dxa"/>
              <w:bottom w:w="0" w:type="dxa"/>
              <w:right w:w="108" w:type="dxa"/>
            </w:tcMar>
          </w:tcPr>
          <w:p w14:paraId="40D78CA7" w14:textId="77777777" w:rsidR="00422EFE" w:rsidRPr="00261B7A" w:rsidRDefault="00422EFE" w:rsidP="00D41492">
            <w:pPr>
              <w:pStyle w:val="TableText"/>
              <w:spacing w:before="40" w:after="40"/>
              <w:jc w:val="right"/>
            </w:pPr>
            <w:r w:rsidRPr="00261B7A">
              <w:rPr>
                <w:rFonts w:eastAsia="Calibri"/>
                <w:color w:val="000000"/>
              </w:rPr>
              <w:t>100</w:t>
            </w:r>
          </w:p>
        </w:tc>
        <w:tc>
          <w:tcPr>
            <w:tcW w:w="1695" w:type="dxa"/>
            <w:shd w:val="clear" w:color="auto" w:fill="FFFFFF"/>
            <w:tcMar>
              <w:top w:w="0" w:type="dxa"/>
              <w:left w:w="108" w:type="dxa"/>
              <w:bottom w:w="0" w:type="dxa"/>
              <w:right w:w="108" w:type="dxa"/>
            </w:tcMar>
          </w:tcPr>
          <w:p w14:paraId="283BB983" w14:textId="77777777" w:rsidR="00422EFE" w:rsidRPr="00261B7A" w:rsidRDefault="00422EFE" w:rsidP="00D41492">
            <w:pPr>
              <w:pStyle w:val="TableText"/>
              <w:spacing w:before="40" w:after="40"/>
              <w:jc w:val="right"/>
            </w:pPr>
            <w:r w:rsidRPr="00261B7A">
              <w:rPr>
                <w:rFonts w:eastAsia="Calibri"/>
                <w:color w:val="000000"/>
              </w:rPr>
              <w:t>–</w:t>
            </w:r>
          </w:p>
        </w:tc>
        <w:tc>
          <w:tcPr>
            <w:tcW w:w="1899" w:type="dxa"/>
            <w:shd w:val="clear" w:color="auto" w:fill="FFFFFF"/>
            <w:tcMar>
              <w:top w:w="0" w:type="dxa"/>
              <w:left w:w="108" w:type="dxa"/>
              <w:bottom w:w="0" w:type="dxa"/>
              <w:right w:w="108" w:type="dxa"/>
            </w:tcMar>
          </w:tcPr>
          <w:p w14:paraId="16489E13" w14:textId="77777777" w:rsidR="00422EFE" w:rsidRPr="00261B7A" w:rsidRDefault="00422EFE" w:rsidP="00D41492">
            <w:pPr>
              <w:pStyle w:val="TableText"/>
              <w:spacing w:before="40" w:after="40"/>
              <w:jc w:val="right"/>
            </w:pPr>
            <w:r w:rsidRPr="00261B7A">
              <w:rPr>
                <w:rFonts w:eastAsia="Calibri"/>
                <w:color w:val="000000"/>
              </w:rPr>
              <w:t>–</w:t>
            </w:r>
          </w:p>
        </w:tc>
      </w:tr>
      <w:tr w:rsidR="00422EFE" w:rsidRPr="00261B7A" w14:paraId="77E4EE32" w14:textId="77777777" w:rsidTr="00D41492">
        <w:tc>
          <w:tcPr>
            <w:tcW w:w="1813" w:type="dxa"/>
            <w:shd w:val="clear" w:color="auto" w:fill="FFFFFF"/>
            <w:tcMar>
              <w:top w:w="0" w:type="dxa"/>
              <w:left w:w="108" w:type="dxa"/>
              <w:bottom w:w="0" w:type="dxa"/>
              <w:right w:w="108" w:type="dxa"/>
            </w:tcMar>
          </w:tcPr>
          <w:p w14:paraId="3DD6F207" w14:textId="77777777" w:rsidR="00422EFE" w:rsidRPr="00261B7A" w:rsidRDefault="00422EFE" w:rsidP="00D41492">
            <w:pPr>
              <w:pStyle w:val="TableText"/>
              <w:spacing w:before="40" w:after="40"/>
            </w:pPr>
            <w:r w:rsidRPr="00261B7A">
              <w:rPr>
                <w:rFonts w:eastAsia="Calibri"/>
                <w:color w:val="000000"/>
              </w:rPr>
              <w:t>Glass</w:t>
            </w:r>
          </w:p>
        </w:tc>
        <w:tc>
          <w:tcPr>
            <w:tcW w:w="1344" w:type="dxa"/>
            <w:shd w:val="clear" w:color="auto" w:fill="FFFFFF"/>
            <w:tcMar>
              <w:top w:w="0" w:type="dxa"/>
              <w:left w:w="108" w:type="dxa"/>
              <w:bottom w:w="0" w:type="dxa"/>
              <w:right w:w="108" w:type="dxa"/>
            </w:tcMar>
          </w:tcPr>
          <w:p w14:paraId="7A0FDC11" w14:textId="77777777" w:rsidR="00422EFE" w:rsidRPr="00261B7A" w:rsidRDefault="00422EFE" w:rsidP="00D41492">
            <w:pPr>
              <w:pStyle w:val="TableText"/>
              <w:spacing w:before="40" w:after="40"/>
              <w:jc w:val="right"/>
            </w:pPr>
            <w:r w:rsidRPr="00261B7A">
              <w:rPr>
                <w:rFonts w:eastAsia="Calibri"/>
                <w:color w:val="000000"/>
              </w:rPr>
              <w:t>0.4</w:t>
            </w:r>
          </w:p>
        </w:tc>
        <w:tc>
          <w:tcPr>
            <w:tcW w:w="1754" w:type="dxa"/>
            <w:shd w:val="clear" w:color="auto" w:fill="FFFFFF"/>
            <w:tcMar>
              <w:top w:w="0" w:type="dxa"/>
              <w:left w:w="108" w:type="dxa"/>
              <w:bottom w:w="0" w:type="dxa"/>
              <w:right w:w="108" w:type="dxa"/>
            </w:tcMar>
          </w:tcPr>
          <w:p w14:paraId="4D7A7D19" w14:textId="77777777" w:rsidR="00422EFE" w:rsidRPr="00261B7A" w:rsidRDefault="00422EFE" w:rsidP="00D41492">
            <w:pPr>
              <w:pStyle w:val="TableText"/>
              <w:spacing w:before="40" w:after="40"/>
              <w:jc w:val="right"/>
            </w:pPr>
            <w:r w:rsidRPr="00261B7A">
              <w:rPr>
                <w:rFonts w:eastAsia="Calibri"/>
                <w:color w:val="000000"/>
              </w:rPr>
              <w:t>100</w:t>
            </w:r>
          </w:p>
        </w:tc>
        <w:tc>
          <w:tcPr>
            <w:tcW w:w="1695" w:type="dxa"/>
            <w:shd w:val="clear" w:color="auto" w:fill="FFFFFF"/>
            <w:tcMar>
              <w:top w:w="0" w:type="dxa"/>
              <w:left w:w="108" w:type="dxa"/>
              <w:bottom w:w="0" w:type="dxa"/>
              <w:right w:w="108" w:type="dxa"/>
            </w:tcMar>
          </w:tcPr>
          <w:p w14:paraId="6F1E0AE9" w14:textId="77777777" w:rsidR="00422EFE" w:rsidRPr="00261B7A" w:rsidRDefault="00422EFE" w:rsidP="00D41492">
            <w:pPr>
              <w:pStyle w:val="TableText"/>
              <w:spacing w:before="40" w:after="40"/>
              <w:jc w:val="right"/>
            </w:pPr>
            <w:r w:rsidRPr="00261B7A">
              <w:rPr>
                <w:rFonts w:eastAsia="Calibri"/>
                <w:color w:val="000000"/>
              </w:rPr>
              <w:t>–</w:t>
            </w:r>
          </w:p>
        </w:tc>
        <w:tc>
          <w:tcPr>
            <w:tcW w:w="1899" w:type="dxa"/>
            <w:shd w:val="clear" w:color="auto" w:fill="FFFFFF"/>
            <w:tcMar>
              <w:top w:w="0" w:type="dxa"/>
              <w:left w:w="108" w:type="dxa"/>
              <w:bottom w:w="0" w:type="dxa"/>
              <w:right w:w="108" w:type="dxa"/>
            </w:tcMar>
          </w:tcPr>
          <w:p w14:paraId="6E957CE2" w14:textId="77777777" w:rsidR="00422EFE" w:rsidRPr="00261B7A" w:rsidRDefault="00422EFE" w:rsidP="00D41492">
            <w:pPr>
              <w:pStyle w:val="TableText"/>
              <w:spacing w:before="40" w:after="40"/>
              <w:jc w:val="right"/>
            </w:pPr>
            <w:r w:rsidRPr="00261B7A">
              <w:rPr>
                <w:rFonts w:eastAsia="Calibri"/>
                <w:color w:val="000000"/>
              </w:rPr>
              <w:t>–</w:t>
            </w:r>
          </w:p>
        </w:tc>
      </w:tr>
      <w:tr w:rsidR="00422EFE" w:rsidRPr="00261B7A" w14:paraId="11516C2C" w14:textId="77777777" w:rsidTr="00D41492">
        <w:tc>
          <w:tcPr>
            <w:tcW w:w="1813" w:type="dxa"/>
            <w:shd w:val="clear" w:color="auto" w:fill="FFFFFF"/>
            <w:tcMar>
              <w:top w:w="0" w:type="dxa"/>
              <w:left w:w="108" w:type="dxa"/>
              <w:bottom w:w="0" w:type="dxa"/>
              <w:right w:w="108" w:type="dxa"/>
            </w:tcMar>
          </w:tcPr>
          <w:p w14:paraId="2492FD5C" w14:textId="77777777" w:rsidR="00422EFE" w:rsidRPr="00261B7A" w:rsidRDefault="00422EFE" w:rsidP="00D41492">
            <w:pPr>
              <w:pStyle w:val="TableText"/>
              <w:spacing w:before="40" w:after="40"/>
            </w:pPr>
            <w:r w:rsidRPr="00261B7A">
              <w:rPr>
                <w:rFonts w:eastAsia="Calibri"/>
                <w:color w:val="000000"/>
              </w:rPr>
              <w:t>Other, inert</w:t>
            </w:r>
          </w:p>
        </w:tc>
        <w:tc>
          <w:tcPr>
            <w:tcW w:w="1344" w:type="dxa"/>
            <w:shd w:val="clear" w:color="auto" w:fill="FFFFFF"/>
            <w:tcMar>
              <w:top w:w="0" w:type="dxa"/>
              <w:left w:w="108" w:type="dxa"/>
              <w:bottom w:w="0" w:type="dxa"/>
              <w:right w:w="108" w:type="dxa"/>
            </w:tcMar>
          </w:tcPr>
          <w:p w14:paraId="360E7C61" w14:textId="77777777" w:rsidR="00422EFE" w:rsidRPr="00261B7A" w:rsidRDefault="00422EFE" w:rsidP="00D41492">
            <w:pPr>
              <w:pStyle w:val="TableText"/>
              <w:spacing w:before="40" w:after="40"/>
              <w:jc w:val="right"/>
            </w:pPr>
            <w:r w:rsidRPr="00261B7A">
              <w:rPr>
                <w:rFonts w:eastAsia="Calibri"/>
                <w:color w:val="000000"/>
              </w:rPr>
              <w:t>9.6</w:t>
            </w:r>
          </w:p>
        </w:tc>
        <w:tc>
          <w:tcPr>
            <w:tcW w:w="1754" w:type="dxa"/>
            <w:shd w:val="clear" w:color="auto" w:fill="FFFFFF"/>
            <w:tcMar>
              <w:top w:w="0" w:type="dxa"/>
              <w:left w:w="108" w:type="dxa"/>
              <w:bottom w:w="0" w:type="dxa"/>
              <w:right w:w="108" w:type="dxa"/>
            </w:tcMar>
          </w:tcPr>
          <w:p w14:paraId="64C6536D" w14:textId="77777777" w:rsidR="00422EFE" w:rsidRPr="00261B7A" w:rsidRDefault="00422EFE" w:rsidP="00D41492">
            <w:pPr>
              <w:pStyle w:val="TableText"/>
              <w:spacing w:before="40" w:after="40"/>
              <w:jc w:val="right"/>
            </w:pPr>
            <w:r w:rsidRPr="00261B7A">
              <w:rPr>
                <w:rFonts w:eastAsia="Calibri"/>
                <w:color w:val="000000"/>
              </w:rPr>
              <w:t>90</w:t>
            </w:r>
          </w:p>
        </w:tc>
        <w:tc>
          <w:tcPr>
            <w:tcW w:w="1695" w:type="dxa"/>
            <w:shd w:val="clear" w:color="auto" w:fill="FFFFFF"/>
            <w:tcMar>
              <w:top w:w="0" w:type="dxa"/>
              <w:left w:w="108" w:type="dxa"/>
              <w:bottom w:w="0" w:type="dxa"/>
              <w:right w:w="108" w:type="dxa"/>
            </w:tcMar>
          </w:tcPr>
          <w:p w14:paraId="277B73A9" w14:textId="77777777" w:rsidR="00422EFE" w:rsidRPr="00261B7A" w:rsidRDefault="00422EFE" w:rsidP="00D41492">
            <w:pPr>
              <w:pStyle w:val="TableText"/>
              <w:spacing w:before="40" w:after="40"/>
              <w:jc w:val="right"/>
            </w:pPr>
            <w:r w:rsidRPr="00261B7A">
              <w:rPr>
                <w:rFonts w:eastAsia="Calibri"/>
                <w:color w:val="000000"/>
              </w:rPr>
              <w:t>3</w:t>
            </w:r>
          </w:p>
        </w:tc>
        <w:tc>
          <w:tcPr>
            <w:tcW w:w="1899" w:type="dxa"/>
            <w:shd w:val="clear" w:color="auto" w:fill="FFFFFF"/>
            <w:tcMar>
              <w:top w:w="0" w:type="dxa"/>
              <w:left w:w="108" w:type="dxa"/>
              <w:bottom w:w="0" w:type="dxa"/>
              <w:right w:w="108" w:type="dxa"/>
            </w:tcMar>
          </w:tcPr>
          <w:p w14:paraId="4610E5EC" w14:textId="77777777" w:rsidR="00422EFE" w:rsidRPr="00261B7A" w:rsidRDefault="00422EFE" w:rsidP="00D41492">
            <w:pPr>
              <w:pStyle w:val="TableText"/>
              <w:spacing w:before="40" w:after="40"/>
              <w:jc w:val="right"/>
            </w:pPr>
            <w:r w:rsidRPr="00261B7A">
              <w:rPr>
                <w:rFonts w:eastAsia="Calibri"/>
                <w:color w:val="000000"/>
              </w:rPr>
              <w:t>100</w:t>
            </w:r>
          </w:p>
        </w:tc>
      </w:tr>
      <w:tr w:rsidR="00422EFE" w:rsidRPr="00261B7A" w14:paraId="114D0639" w14:textId="77777777" w:rsidTr="00D41492">
        <w:tc>
          <w:tcPr>
            <w:tcW w:w="1813" w:type="dxa"/>
            <w:shd w:val="clear" w:color="auto" w:fill="FFFFFF"/>
            <w:tcMar>
              <w:top w:w="0" w:type="dxa"/>
              <w:left w:w="108" w:type="dxa"/>
              <w:bottom w:w="0" w:type="dxa"/>
              <w:right w:w="108" w:type="dxa"/>
            </w:tcMar>
          </w:tcPr>
          <w:p w14:paraId="7BAF9ADD" w14:textId="77777777" w:rsidR="00422EFE" w:rsidRPr="00261B7A" w:rsidRDefault="00422EFE" w:rsidP="00B81845">
            <w:pPr>
              <w:pStyle w:val="TableText"/>
              <w:spacing w:before="40" w:after="40"/>
              <w:rPr>
                <w:b/>
                <w:bCs/>
              </w:rPr>
            </w:pPr>
            <w:r w:rsidRPr="00261B7A">
              <w:rPr>
                <w:rFonts w:eastAsia="Calibri"/>
                <w:b/>
                <w:bCs/>
              </w:rPr>
              <w:t>Weighted average</w:t>
            </w:r>
          </w:p>
        </w:tc>
        <w:tc>
          <w:tcPr>
            <w:tcW w:w="1344" w:type="dxa"/>
            <w:shd w:val="clear" w:color="auto" w:fill="FFFFFF"/>
            <w:tcMar>
              <w:top w:w="0" w:type="dxa"/>
              <w:left w:w="108" w:type="dxa"/>
              <w:bottom w:w="0" w:type="dxa"/>
              <w:right w:w="108" w:type="dxa"/>
            </w:tcMar>
          </w:tcPr>
          <w:p w14:paraId="1AD50A0C" w14:textId="77777777" w:rsidR="00422EFE" w:rsidRPr="00261B7A" w:rsidRDefault="00422EFE" w:rsidP="00B81845">
            <w:pPr>
              <w:pStyle w:val="TableText"/>
              <w:spacing w:before="40" w:after="40"/>
              <w:jc w:val="right"/>
              <w:rPr>
                <w:b/>
                <w:bCs/>
              </w:rPr>
            </w:pPr>
            <w:r w:rsidRPr="00261B7A">
              <w:rPr>
                <w:rFonts w:eastAsia="Calibri"/>
                <w:b/>
                <w:bCs/>
              </w:rPr>
              <w:t>–</w:t>
            </w:r>
          </w:p>
        </w:tc>
        <w:tc>
          <w:tcPr>
            <w:tcW w:w="1754" w:type="dxa"/>
            <w:shd w:val="clear" w:color="auto" w:fill="FFFFFF"/>
            <w:tcMar>
              <w:top w:w="0" w:type="dxa"/>
              <w:left w:w="108" w:type="dxa"/>
              <w:bottom w:w="0" w:type="dxa"/>
              <w:right w:w="108" w:type="dxa"/>
            </w:tcMar>
          </w:tcPr>
          <w:p w14:paraId="79EF2847" w14:textId="77777777" w:rsidR="00422EFE" w:rsidRPr="00261B7A" w:rsidRDefault="00422EFE" w:rsidP="00B81845">
            <w:pPr>
              <w:pStyle w:val="TableText"/>
              <w:spacing w:before="40" w:after="40"/>
              <w:jc w:val="right"/>
              <w:rPr>
                <w:b/>
                <w:bCs/>
              </w:rPr>
            </w:pPr>
            <w:r w:rsidRPr="00261B7A">
              <w:rPr>
                <w:rFonts w:eastAsia="Calibri"/>
                <w:b/>
                <w:bCs/>
              </w:rPr>
              <w:t>79.6</w:t>
            </w:r>
          </w:p>
        </w:tc>
        <w:tc>
          <w:tcPr>
            <w:tcW w:w="1695" w:type="dxa"/>
            <w:shd w:val="clear" w:color="auto" w:fill="FFFFFF"/>
            <w:tcMar>
              <w:top w:w="0" w:type="dxa"/>
              <w:left w:w="108" w:type="dxa"/>
              <w:bottom w:w="0" w:type="dxa"/>
              <w:right w:w="108" w:type="dxa"/>
            </w:tcMar>
          </w:tcPr>
          <w:p w14:paraId="66E9154A" w14:textId="77777777" w:rsidR="00422EFE" w:rsidRPr="00261B7A" w:rsidRDefault="00422EFE" w:rsidP="00B81845">
            <w:pPr>
              <w:pStyle w:val="TableText"/>
              <w:spacing w:before="40" w:after="40"/>
              <w:jc w:val="right"/>
              <w:rPr>
                <w:b/>
                <w:bCs/>
              </w:rPr>
            </w:pPr>
            <w:r w:rsidRPr="00261B7A">
              <w:rPr>
                <w:rFonts w:eastAsia="Calibri"/>
                <w:b/>
                <w:bCs/>
              </w:rPr>
              <w:t>44.9</w:t>
            </w:r>
          </w:p>
        </w:tc>
        <w:tc>
          <w:tcPr>
            <w:tcW w:w="1899" w:type="dxa"/>
            <w:shd w:val="clear" w:color="auto" w:fill="FFFFFF"/>
            <w:tcMar>
              <w:top w:w="0" w:type="dxa"/>
              <w:left w:w="108" w:type="dxa"/>
              <w:bottom w:w="0" w:type="dxa"/>
              <w:right w:w="108" w:type="dxa"/>
            </w:tcMar>
          </w:tcPr>
          <w:p w14:paraId="16E2AE7F" w14:textId="77777777" w:rsidR="00422EFE" w:rsidRPr="00261B7A" w:rsidRDefault="00422EFE" w:rsidP="00B81845">
            <w:pPr>
              <w:pStyle w:val="TableText"/>
              <w:spacing w:before="40" w:after="40"/>
              <w:jc w:val="right"/>
              <w:rPr>
                <w:b/>
                <w:bCs/>
              </w:rPr>
            </w:pPr>
            <w:r w:rsidRPr="00261B7A">
              <w:rPr>
                <w:rFonts w:eastAsia="Calibri"/>
                <w:b/>
                <w:bCs/>
              </w:rPr>
              <w:t>24.4</w:t>
            </w:r>
          </w:p>
        </w:tc>
      </w:tr>
    </w:tbl>
    <w:p w14:paraId="52F46224" w14:textId="7B942DC9" w:rsidR="00422EFE" w:rsidRPr="00261B7A" w:rsidRDefault="00422EFE" w:rsidP="00B81845">
      <w:pPr>
        <w:pStyle w:val="Source"/>
        <w:ind w:left="680" w:hanging="680"/>
        <w:rPr>
          <w:sz w:val="18"/>
          <w:szCs w:val="18"/>
        </w:rPr>
      </w:pPr>
      <w:r w:rsidRPr="00261B7A">
        <w:rPr>
          <w:b/>
          <w:bCs/>
          <w:sz w:val="18"/>
          <w:szCs w:val="18"/>
        </w:rPr>
        <w:t>Source</w:t>
      </w:r>
      <w:r w:rsidRPr="00261B7A">
        <w:rPr>
          <w:sz w:val="18"/>
          <w:szCs w:val="18"/>
        </w:rPr>
        <w:t xml:space="preserve">: </w:t>
      </w:r>
      <w:r w:rsidRPr="00261B7A">
        <w:rPr>
          <w:sz w:val="18"/>
          <w:szCs w:val="18"/>
        </w:rPr>
        <w:tab/>
        <w:t>Dry-matter content, total carbon content and fossil carbon content values are from table 2.4 (IPCC,</w:t>
      </w:r>
      <w:r w:rsidR="00B81845" w:rsidRPr="00261B7A">
        <w:rPr>
          <w:sz w:val="18"/>
          <w:szCs w:val="18"/>
        </w:rPr>
        <w:t> </w:t>
      </w:r>
      <w:r w:rsidRPr="00261B7A">
        <w:rPr>
          <w:sz w:val="18"/>
          <w:szCs w:val="18"/>
        </w:rPr>
        <w:t>2006a).</w:t>
      </w:r>
    </w:p>
    <w:p w14:paraId="0465EA14" w14:textId="77777777" w:rsidR="00422EFE" w:rsidRPr="00261B7A" w:rsidRDefault="00422EFE" w:rsidP="00422EFE">
      <w:pPr>
        <w:pStyle w:val="Noteundertable"/>
        <w:spacing w:before="60"/>
      </w:pPr>
      <w:r w:rsidRPr="00261B7A">
        <w:rPr>
          <w:b/>
          <w:bCs/>
        </w:rPr>
        <w:t>Note:</w:t>
      </w:r>
      <w:r w:rsidRPr="00261B7A">
        <w:t xml:space="preserve"> </w:t>
      </w:r>
      <w:r w:rsidRPr="00261B7A">
        <w:tab/>
        <w:t>NA = not applicable.</w:t>
      </w:r>
    </w:p>
    <w:p w14:paraId="54D1C36D" w14:textId="77777777" w:rsidR="00422EFE" w:rsidRPr="00261B7A" w:rsidRDefault="00422EFE" w:rsidP="00422EFE">
      <w:pPr>
        <w:pStyle w:val="Heading4"/>
      </w:pPr>
      <w:bookmarkStart w:id="2526" w:name="choice-of-emission-factors-1"/>
      <w:bookmarkEnd w:id="2521"/>
      <w:bookmarkEnd w:id="2523"/>
      <w:r w:rsidRPr="00261B7A">
        <w:t>Choice of emission factors</w:t>
      </w:r>
    </w:p>
    <w:p w14:paraId="0E43155A" w14:textId="77777777" w:rsidR="00422EFE" w:rsidRPr="00261B7A" w:rsidRDefault="00422EFE" w:rsidP="00422EFE">
      <w:pPr>
        <w:pStyle w:val="Heading5"/>
        <w:spacing w:before="180"/>
      </w:pPr>
      <w:bookmarkStart w:id="2527" w:name="incineration-5.c.1-2"/>
      <w:r w:rsidRPr="00261B7A">
        <w:t>Incineration (5.C.1)</w:t>
      </w:r>
    </w:p>
    <w:p w14:paraId="3E96CEA0" w14:textId="77777777" w:rsidR="00422EFE" w:rsidRPr="00261B7A" w:rsidRDefault="00422EFE" w:rsidP="00422EFE">
      <w:pPr>
        <w:pStyle w:val="BodyText"/>
        <w:spacing w:before="100" w:after="100"/>
      </w:pPr>
      <w:r w:rsidRPr="00261B7A">
        <w:t>The parameters used to calculate emissions from incineration are detailed in table 7.4.4.</w:t>
      </w:r>
    </w:p>
    <w:p w14:paraId="3A819B0E" w14:textId="77777777" w:rsidR="00422EFE" w:rsidRPr="00261B7A" w:rsidRDefault="00422EFE" w:rsidP="00422EFE">
      <w:pPr>
        <w:pStyle w:val="Table"/>
      </w:pPr>
      <w:bookmarkStart w:id="2528" w:name="_Toc128383676"/>
      <w:bookmarkStart w:id="2529" w:name="_Toc131591449"/>
      <w:r w:rsidRPr="00261B7A">
        <w:t xml:space="preserve">Table 7.4.4 </w:t>
      </w:r>
      <w:r w:rsidRPr="00261B7A">
        <w:tab/>
        <w:t>Parameter values applied to estimate emissions from incineration</w:t>
      </w:r>
      <w:bookmarkEnd w:id="2528"/>
      <w:bookmarkEnd w:id="2529"/>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843"/>
        <w:gridCol w:w="1559"/>
        <w:gridCol w:w="1701"/>
        <w:gridCol w:w="1386"/>
        <w:gridCol w:w="2016"/>
      </w:tblGrid>
      <w:tr w:rsidR="00422EFE" w:rsidRPr="00261B7A" w14:paraId="30C6F2A2" w14:textId="77777777" w:rsidTr="00D41492">
        <w:trPr>
          <w:tblHeader/>
        </w:trPr>
        <w:tc>
          <w:tcPr>
            <w:tcW w:w="1843" w:type="dxa"/>
            <w:shd w:val="clear" w:color="auto" w:fill="1B556B"/>
            <w:tcMar>
              <w:top w:w="0" w:type="dxa"/>
              <w:left w:w="108" w:type="dxa"/>
              <w:bottom w:w="0" w:type="dxa"/>
              <w:right w:w="108" w:type="dxa"/>
            </w:tcMar>
          </w:tcPr>
          <w:p w14:paraId="19263424"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Parameter</w:t>
            </w:r>
          </w:p>
        </w:tc>
        <w:tc>
          <w:tcPr>
            <w:tcW w:w="1559" w:type="dxa"/>
            <w:shd w:val="clear" w:color="auto" w:fill="1B556B"/>
            <w:tcMar>
              <w:top w:w="0" w:type="dxa"/>
              <w:left w:w="108" w:type="dxa"/>
              <w:bottom w:w="0" w:type="dxa"/>
              <w:right w:w="108" w:type="dxa"/>
            </w:tcMar>
          </w:tcPr>
          <w:p w14:paraId="69AB0A90" w14:textId="77777777" w:rsidR="00422EFE" w:rsidRPr="00261B7A" w:rsidRDefault="00422EFE" w:rsidP="00D41492">
            <w:pPr>
              <w:pStyle w:val="TableText"/>
              <w:spacing w:before="40" w:after="40"/>
              <w:jc w:val="center"/>
              <w:rPr>
                <w:b/>
                <w:bCs/>
                <w:color w:val="FFFFFF" w:themeColor="background1"/>
              </w:rPr>
            </w:pPr>
            <w:r w:rsidRPr="00261B7A">
              <w:rPr>
                <w:rFonts w:eastAsia="Calibri"/>
                <w:b/>
                <w:bCs/>
                <w:color w:val="FFFFFF" w:themeColor="background1"/>
              </w:rPr>
              <w:t>Hazardous waste</w:t>
            </w:r>
          </w:p>
        </w:tc>
        <w:tc>
          <w:tcPr>
            <w:tcW w:w="1701" w:type="dxa"/>
            <w:shd w:val="clear" w:color="auto" w:fill="1B556B"/>
            <w:tcMar>
              <w:top w:w="0" w:type="dxa"/>
              <w:left w:w="108" w:type="dxa"/>
              <w:bottom w:w="0" w:type="dxa"/>
              <w:right w:w="108" w:type="dxa"/>
            </w:tcMar>
          </w:tcPr>
          <w:p w14:paraId="61C12D12" w14:textId="77777777" w:rsidR="00422EFE" w:rsidRPr="00261B7A" w:rsidRDefault="00422EFE" w:rsidP="00D41492">
            <w:pPr>
              <w:pStyle w:val="TableText"/>
              <w:spacing w:before="40" w:after="40"/>
              <w:jc w:val="center"/>
              <w:rPr>
                <w:b/>
                <w:bCs/>
                <w:color w:val="FFFFFF" w:themeColor="background1"/>
              </w:rPr>
            </w:pPr>
            <w:r w:rsidRPr="00261B7A">
              <w:rPr>
                <w:rFonts w:eastAsia="Calibri"/>
                <w:b/>
                <w:bCs/>
                <w:color w:val="FFFFFF" w:themeColor="background1"/>
              </w:rPr>
              <w:t>Clinical wastes</w:t>
            </w:r>
          </w:p>
        </w:tc>
        <w:tc>
          <w:tcPr>
            <w:tcW w:w="1386" w:type="dxa"/>
            <w:shd w:val="clear" w:color="auto" w:fill="1B556B"/>
            <w:tcMar>
              <w:top w:w="0" w:type="dxa"/>
              <w:left w:w="108" w:type="dxa"/>
              <w:bottom w:w="0" w:type="dxa"/>
              <w:right w:w="108" w:type="dxa"/>
            </w:tcMar>
          </w:tcPr>
          <w:p w14:paraId="4AEB07EB" w14:textId="77777777" w:rsidR="00422EFE" w:rsidRPr="00261B7A" w:rsidRDefault="00422EFE" w:rsidP="00D41492">
            <w:pPr>
              <w:pStyle w:val="TableText"/>
              <w:spacing w:before="40" w:after="40"/>
              <w:jc w:val="center"/>
              <w:rPr>
                <w:b/>
                <w:bCs/>
                <w:color w:val="FFFFFF" w:themeColor="background1"/>
              </w:rPr>
            </w:pPr>
            <w:r w:rsidRPr="00261B7A">
              <w:rPr>
                <w:rFonts w:eastAsia="Calibri"/>
                <w:b/>
                <w:bCs/>
                <w:color w:val="FFFFFF" w:themeColor="background1"/>
              </w:rPr>
              <w:t>Sewage sludge</w:t>
            </w:r>
          </w:p>
        </w:tc>
        <w:tc>
          <w:tcPr>
            <w:tcW w:w="2016" w:type="dxa"/>
            <w:shd w:val="clear" w:color="auto" w:fill="1B556B"/>
            <w:tcMar>
              <w:top w:w="0" w:type="dxa"/>
              <w:left w:w="108" w:type="dxa"/>
              <w:bottom w:w="0" w:type="dxa"/>
              <w:right w:w="108" w:type="dxa"/>
            </w:tcMar>
          </w:tcPr>
          <w:p w14:paraId="359BB04B"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Source</w:t>
            </w:r>
          </w:p>
        </w:tc>
      </w:tr>
      <w:tr w:rsidR="00422EFE" w:rsidRPr="00261B7A" w14:paraId="1A51AF4E" w14:textId="77777777" w:rsidTr="00D41492">
        <w:tc>
          <w:tcPr>
            <w:tcW w:w="1843" w:type="dxa"/>
            <w:shd w:val="clear" w:color="auto" w:fill="FFFFFF"/>
            <w:tcMar>
              <w:top w:w="0" w:type="dxa"/>
              <w:left w:w="108" w:type="dxa"/>
              <w:bottom w:w="0" w:type="dxa"/>
              <w:right w:w="108" w:type="dxa"/>
            </w:tcMar>
          </w:tcPr>
          <w:p w14:paraId="5B56EBF8" w14:textId="77777777" w:rsidR="00422EFE" w:rsidRPr="00261B7A" w:rsidRDefault="00422EFE" w:rsidP="00D41492">
            <w:pPr>
              <w:pStyle w:val="TableText"/>
              <w:spacing w:before="40" w:after="40"/>
            </w:pPr>
            <w:r w:rsidRPr="00261B7A">
              <w:rPr>
                <w:rFonts w:eastAsia="Calibri"/>
                <w:color w:val="000000"/>
              </w:rPr>
              <w:t>Dry-matter content in waste (%)</w:t>
            </w:r>
          </w:p>
        </w:tc>
        <w:tc>
          <w:tcPr>
            <w:tcW w:w="1559" w:type="dxa"/>
            <w:shd w:val="clear" w:color="auto" w:fill="FFFFFF"/>
            <w:tcMar>
              <w:top w:w="0" w:type="dxa"/>
              <w:left w:w="108" w:type="dxa"/>
              <w:bottom w:w="0" w:type="dxa"/>
              <w:right w:w="108" w:type="dxa"/>
            </w:tcMar>
          </w:tcPr>
          <w:p w14:paraId="30A76EFF" w14:textId="77777777" w:rsidR="00422EFE" w:rsidRPr="00261B7A" w:rsidRDefault="00422EFE" w:rsidP="00D41492">
            <w:pPr>
              <w:pStyle w:val="TableText"/>
              <w:spacing w:before="40" w:after="40"/>
              <w:jc w:val="center"/>
            </w:pPr>
            <w:r w:rsidRPr="00261B7A">
              <w:rPr>
                <w:rFonts w:eastAsia="Calibri"/>
                <w:color w:val="000000"/>
              </w:rPr>
              <w:t xml:space="preserve">50 </w:t>
            </w:r>
            <w:r w:rsidRPr="00261B7A">
              <w:rPr>
                <w:rFonts w:eastAsia="Calibri"/>
                <w:color w:val="000000"/>
              </w:rPr>
              <w:br/>
              <w:t>(table 2.6)</w:t>
            </w:r>
          </w:p>
        </w:tc>
        <w:tc>
          <w:tcPr>
            <w:tcW w:w="1701" w:type="dxa"/>
            <w:shd w:val="clear" w:color="auto" w:fill="FFFFFF"/>
            <w:tcMar>
              <w:top w:w="0" w:type="dxa"/>
              <w:left w:w="108" w:type="dxa"/>
              <w:bottom w:w="0" w:type="dxa"/>
              <w:right w:w="108" w:type="dxa"/>
            </w:tcMar>
          </w:tcPr>
          <w:p w14:paraId="225A07AD" w14:textId="77777777" w:rsidR="00422EFE" w:rsidRPr="00261B7A" w:rsidRDefault="00422EFE" w:rsidP="00D41492">
            <w:pPr>
              <w:pStyle w:val="TableText"/>
              <w:spacing w:before="40" w:after="40"/>
              <w:jc w:val="center"/>
            </w:pPr>
            <w:r w:rsidRPr="00261B7A">
              <w:rPr>
                <w:rFonts w:eastAsia="Calibri"/>
                <w:color w:val="000000"/>
              </w:rPr>
              <w:t xml:space="preserve">65 </w:t>
            </w:r>
            <w:r w:rsidRPr="00261B7A">
              <w:rPr>
                <w:rFonts w:eastAsia="Calibri"/>
                <w:color w:val="000000"/>
              </w:rPr>
              <w:br/>
              <w:t>(table 2.6)</w:t>
            </w:r>
          </w:p>
        </w:tc>
        <w:tc>
          <w:tcPr>
            <w:tcW w:w="1386" w:type="dxa"/>
            <w:shd w:val="clear" w:color="auto" w:fill="FFFFFF"/>
            <w:tcMar>
              <w:top w:w="0" w:type="dxa"/>
              <w:left w:w="108" w:type="dxa"/>
              <w:bottom w:w="0" w:type="dxa"/>
              <w:right w:w="108" w:type="dxa"/>
            </w:tcMar>
          </w:tcPr>
          <w:p w14:paraId="72E545EC" w14:textId="77777777" w:rsidR="00422EFE" w:rsidRPr="00261B7A" w:rsidRDefault="00422EFE" w:rsidP="00D41492">
            <w:pPr>
              <w:pStyle w:val="TableText"/>
              <w:spacing w:before="40" w:after="40"/>
              <w:jc w:val="center"/>
            </w:pPr>
            <w:r w:rsidRPr="00261B7A">
              <w:rPr>
                <w:rFonts w:eastAsia="Calibri"/>
                <w:color w:val="000000"/>
              </w:rPr>
              <w:t xml:space="preserve">10 </w:t>
            </w:r>
            <w:r w:rsidRPr="00261B7A">
              <w:rPr>
                <w:rFonts w:eastAsia="Calibri"/>
                <w:color w:val="000000"/>
              </w:rPr>
              <w:br/>
              <w:t>(section 2.3.2)</w:t>
            </w:r>
          </w:p>
        </w:tc>
        <w:tc>
          <w:tcPr>
            <w:tcW w:w="2016" w:type="dxa"/>
            <w:shd w:val="clear" w:color="auto" w:fill="FFFFFF"/>
            <w:tcMar>
              <w:top w:w="0" w:type="dxa"/>
              <w:left w:w="108" w:type="dxa"/>
              <w:bottom w:w="0" w:type="dxa"/>
              <w:right w:w="108" w:type="dxa"/>
            </w:tcMar>
          </w:tcPr>
          <w:p w14:paraId="60B852E9" w14:textId="77777777" w:rsidR="00422EFE" w:rsidRPr="00261B7A" w:rsidRDefault="00422EFE" w:rsidP="00D41492">
            <w:pPr>
              <w:pStyle w:val="TableText"/>
              <w:spacing w:before="40" w:after="40"/>
            </w:pPr>
            <w:r w:rsidRPr="00261B7A">
              <w:rPr>
                <w:rFonts w:eastAsia="Calibri"/>
                <w:color w:val="000000"/>
              </w:rPr>
              <w:t>IPCC (2006a)</w:t>
            </w:r>
          </w:p>
        </w:tc>
      </w:tr>
      <w:tr w:rsidR="00422EFE" w:rsidRPr="00261B7A" w14:paraId="6D7E55F3" w14:textId="77777777" w:rsidTr="00D41492">
        <w:tc>
          <w:tcPr>
            <w:tcW w:w="1843" w:type="dxa"/>
            <w:shd w:val="clear" w:color="auto" w:fill="FFFFFF"/>
            <w:tcMar>
              <w:top w:w="0" w:type="dxa"/>
              <w:left w:w="108" w:type="dxa"/>
              <w:bottom w:w="0" w:type="dxa"/>
              <w:right w:w="108" w:type="dxa"/>
            </w:tcMar>
          </w:tcPr>
          <w:p w14:paraId="4ABF0413" w14:textId="77777777" w:rsidR="00422EFE" w:rsidRPr="00261B7A" w:rsidRDefault="00422EFE" w:rsidP="00D41492">
            <w:pPr>
              <w:pStyle w:val="TableText"/>
              <w:spacing w:before="40" w:after="40"/>
            </w:pPr>
            <w:r w:rsidRPr="00261B7A">
              <w:rPr>
                <w:rFonts w:eastAsia="Calibri"/>
                <w:color w:val="000000"/>
              </w:rPr>
              <w:t>Fraction of carbon</w:t>
            </w:r>
          </w:p>
        </w:tc>
        <w:tc>
          <w:tcPr>
            <w:tcW w:w="1559" w:type="dxa"/>
            <w:shd w:val="clear" w:color="auto" w:fill="FFFFFF"/>
            <w:tcMar>
              <w:top w:w="0" w:type="dxa"/>
              <w:left w:w="108" w:type="dxa"/>
              <w:bottom w:w="0" w:type="dxa"/>
              <w:right w:w="108" w:type="dxa"/>
            </w:tcMar>
          </w:tcPr>
          <w:p w14:paraId="1D0C2459" w14:textId="77777777" w:rsidR="00422EFE" w:rsidRPr="00261B7A" w:rsidRDefault="00422EFE" w:rsidP="00D41492">
            <w:pPr>
              <w:pStyle w:val="TableText"/>
              <w:spacing w:before="40" w:after="40"/>
              <w:jc w:val="center"/>
            </w:pPr>
            <w:r w:rsidRPr="00261B7A">
              <w:rPr>
                <w:rFonts w:eastAsia="Calibri"/>
                <w:color w:val="000000"/>
              </w:rPr>
              <w:t xml:space="preserve">0.275 (wet) </w:t>
            </w:r>
            <w:r w:rsidRPr="00261B7A">
              <w:rPr>
                <w:rFonts w:eastAsia="Calibri"/>
                <w:color w:val="000000"/>
              </w:rPr>
              <w:br/>
              <w:t>(table 2.6)</w:t>
            </w:r>
          </w:p>
        </w:tc>
        <w:tc>
          <w:tcPr>
            <w:tcW w:w="1701" w:type="dxa"/>
            <w:shd w:val="clear" w:color="auto" w:fill="FFFFFF"/>
            <w:tcMar>
              <w:top w:w="0" w:type="dxa"/>
              <w:left w:w="108" w:type="dxa"/>
              <w:bottom w:w="0" w:type="dxa"/>
              <w:right w:w="108" w:type="dxa"/>
            </w:tcMar>
          </w:tcPr>
          <w:p w14:paraId="75DB1CD5" w14:textId="77777777" w:rsidR="00422EFE" w:rsidRPr="00261B7A" w:rsidRDefault="00422EFE" w:rsidP="00D41492">
            <w:pPr>
              <w:pStyle w:val="TableText"/>
              <w:spacing w:before="40" w:after="40"/>
              <w:jc w:val="center"/>
            </w:pPr>
            <w:r w:rsidRPr="00261B7A">
              <w:rPr>
                <w:rFonts w:eastAsia="Calibri"/>
                <w:color w:val="000000"/>
              </w:rPr>
              <w:t xml:space="preserve">0.6 (dry) </w:t>
            </w:r>
            <w:r w:rsidRPr="00261B7A">
              <w:rPr>
                <w:rFonts w:eastAsia="Calibri"/>
                <w:color w:val="000000"/>
              </w:rPr>
              <w:br/>
              <w:t>(table 5.2)</w:t>
            </w:r>
          </w:p>
        </w:tc>
        <w:tc>
          <w:tcPr>
            <w:tcW w:w="1386" w:type="dxa"/>
            <w:shd w:val="clear" w:color="auto" w:fill="FFFFFF"/>
            <w:tcMar>
              <w:top w:w="0" w:type="dxa"/>
              <w:left w:w="108" w:type="dxa"/>
              <w:bottom w:w="0" w:type="dxa"/>
              <w:right w:w="108" w:type="dxa"/>
            </w:tcMar>
          </w:tcPr>
          <w:p w14:paraId="71EE018D" w14:textId="77777777" w:rsidR="00422EFE" w:rsidRPr="00261B7A" w:rsidRDefault="00422EFE" w:rsidP="00D41492">
            <w:pPr>
              <w:pStyle w:val="TableText"/>
              <w:spacing w:before="40" w:after="40"/>
              <w:jc w:val="center"/>
            </w:pPr>
            <w:r w:rsidRPr="00261B7A">
              <w:rPr>
                <w:rFonts w:eastAsia="Calibri"/>
                <w:color w:val="000000"/>
              </w:rPr>
              <w:t xml:space="preserve">0.45 (dry) </w:t>
            </w:r>
            <w:r w:rsidRPr="00261B7A">
              <w:rPr>
                <w:rFonts w:eastAsia="Calibri"/>
                <w:color w:val="000000"/>
              </w:rPr>
              <w:br/>
              <w:t>(table 5.2)</w:t>
            </w:r>
          </w:p>
        </w:tc>
        <w:tc>
          <w:tcPr>
            <w:tcW w:w="2016" w:type="dxa"/>
            <w:shd w:val="clear" w:color="auto" w:fill="FFFFFF"/>
            <w:tcMar>
              <w:top w:w="0" w:type="dxa"/>
              <w:left w:w="108" w:type="dxa"/>
              <w:bottom w:w="0" w:type="dxa"/>
              <w:right w:w="108" w:type="dxa"/>
            </w:tcMar>
          </w:tcPr>
          <w:p w14:paraId="52BE66E6" w14:textId="77777777" w:rsidR="00422EFE" w:rsidRPr="00261B7A" w:rsidRDefault="00422EFE" w:rsidP="00D41492">
            <w:pPr>
              <w:pStyle w:val="TableText"/>
              <w:spacing w:before="40" w:after="40"/>
            </w:pPr>
            <w:r w:rsidRPr="00261B7A">
              <w:rPr>
                <w:rFonts w:eastAsia="Calibri"/>
                <w:color w:val="000000"/>
              </w:rPr>
              <w:t>IPCC (2006a)</w:t>
            </w:r>
          </w:p>
        </w:tc>
      </w:tr>
      <w:tr w:rsidR="00422EFE" w:rsidRPr="00261B7A" w14:paraId="5E7E894C" w14:textId="77777777" w:rsidTr="00D41492">
        <w:tc>
          <w:tcPr>
            <w:tcW w:w="1843" w:type="dxa"/>
            <w:shd w:val="clear" w:color="auto" w:fill="FFFFFF"/>
            <w:tcMar>
              <w:top w:w="0" w:type="dxa"/>
              <w:left w:w="108" w:type="dxa"/>
              <w:bottom w:w="0" w:type="dxa"/>
              <w:right w:w="108" w:type="dxa"/>
            </w:tcMar>
          </w:tcPr>
          <w:p w14:paraId="22B447A9" w14:textId="77777777" w:rsidR="00422EFE" w:rsidRPr="00261B7A" w:rsidRDefault="00422EFE" w:rsidP="00D41492">
            <w:pPr>
              <w:pStyle w:val="TableText"/>
              <w:spacing w:before="40" w:after="40"/>
            </w:pPr>
            <w:r w:rsidRPr="00261B7A">
              <w:rPr>
                <w:rFonts w:eastAsia="Calibri"/>
                <w:color w:val="000000"/>
              </w:rPr>
              <w:t>Fraction of fossil carbon in total carbon</w:t>
            </w:r>
          </w:p>
        </w:tc>
        <w:tc>
          <w:tcPr>
            <w:tcW w:w="1559" w:type="dxa"/>
            <w:shd w:val="clear" w:color="auto" w:fill="FFFFFF"/>
            <w:tcMar>
              <w:top w:w="0" w:type="dxa"/>
              <w:left w:w="108" w:type="dxa"/>
              <w:bottom w:w="0" w:type="dxa"/>
              <w:right w:w="108" w:type="dxa"/>
            </w:tcMar>
          </w:tcPr>
          <w:p w14:paraId="792DE5F3" w14:textId="77777777" w:rsidR="00422EFE" w:rsidRPr="00261B7A" w:rsidRDefault="00422EFE" w:rsidP="00D41492">
            <w:pPr>
              <w:pStyle w:val="TableText"/>
              <w:spacing w:before="40" w:after="40"/>
              <w:jc w:val="center"/>
            </w:pPr>
            <w:r w:rsidRPr="00261B7A">
              <w:rPr>
                <w:rFonts w:eastAsia="Calibri"/>
                <w:color w:val="000000"/>
              </w:rPr>
              <w:t xml:space="preserve">1 </w:t>
            </w:r>
            <w:r w:rsidRPr="00261B7A">
              <w:rPr>
                <w:rFonts w:eastAsia="Calibri"/>
                <w:color w:val="000000"/>
              </w:rPr>
              <w:br/>
              <w:t>(table 2.6)</w:t>
            </w:r>
          </w:p>
        </w:tc>
        <w:tc>
          <w:tcPr>
            <w:tcW w:w="1701" w:type="dxa"/>
            <w:shd w:val="clear" w:color="auto" w:fill="FFFFFF"/>
            <w:tcMar>
              <w:top w:w="0" w:type="dxa"/>
              <w:left w:w="108" w:type="dxa"/>
              <w:bottom w:w="0" w:type="dxa"/>
              <w:right w:w="108" w:type="dxa"/>
            </w:tcMar>
          </w:tcPr>
          <w:p w14:paraId="70DB8706" w14:textId="77777777" w:rsidR="00422EFE" w:rsidRPr="00261B7A" w:rsidRDefault="00422EFE" w:rsidP="00D41492">
            <w:pPr>
              <w:pStyle w:val="TableText"/>
              <w:spacing w:before="40" w:after="40"/>
              <w:jc w:val="center"/>
            </w:pPr>
            <w:r w:rsidRPr="00261B7A">
              <w:rPr>
                <w:rFonts w:eastAsia="Calibri"/>
                <w:color w:val="000000"/>
              </w:rPr>
              <w:t xml:space="preserve">0.4 </w:t>
            </w:r>
            <w:r w:rsidRPr="00261B7A">
              <w:rPr>
                <w:rFonts w:eastAsia="Calibri"/>
                <w:color w:val="000000"/>
              </w:rPr>
              <w:br/>
              <w:t>(table 5.2)</w:t>
            </w:r>
          </w:p>
        </w:tc>
        <w:tc>
          <w:tcPr>
            <w:tcW w:w="1386" w:type="dxa"/>
            <w:shd w:val="clear" w:color="auto" w:fill="FFFFFF"/>
            <w:tcMar>
              <w:top w:w="0" w:type="dxa"/>
              <w:left w:w="108" w:type="dxa"/>
              <w:bottom w:w="0" w:type="dxa"/>
              <w:right w:w="108" w:type="dxa"/>
            </w:tcMar>
          </w:tcPr>
          <w:p w14:paraId="30D7D2D0" w14:textId="77777777" w:rsidR="00422EFE" w:rsidRPr="00261B7A" w:rsidRDefault="00422EFE" w:rsidP="00D41492">
            <w:pPr>
              <w:pStyle w:val="TableText"/>
              <w:spacing w:before="40" w:after="40"/>
              <w:jc w:val="center"/>
            </w:pPr>
            <w:r w:rsidRPr="00261B7A">
              <w:rPr>
                <w:rFonts w:eastAsia="Calibri"/>
                <w:color w:val="000000"/>
              </w:rPr>
              <w:t xml:space="preserve">0 </w:t>
            </w:r>
            <w:r w:rsidRPr="00261B7A">
              <w:rPr>
                <w:rFonts w:eastAsia="Calibri"/>
                <w:color w:val="000000"/>
              </w:rPr>
              <w:br/>
              <w:t>(table 5.2)</w:t>
            </w:r>
          </w:p>
        </w:tc>
        <w:tc>
          <w:tcPr>
            <w:tcW w:w="2016" w:type="dxa"/>
            <w:shd w:val="clear" w:color="auto" w:fill="FFFFFF"/>
            <w:tcMar>
              <w:top w:w="0" w:type="dxa"/>
              <w:left w:w="108" w:type="dxa"/>
              <w:bottom w:w="0" w:type="dxa"/>
              <w:right w:w="108" w:type="dxa"/>
            </w:tcMar>
          </w:tcPr>
          <w:p w14:paraId="62BF431D" w14:textId="77777777" w:rsidR="00422EFE" w:rsidRPr="00261B7A" w:rsidRDefault="00422EFE" w:rsidP="00D41492">
            <w:pPr>
              <w:pStyle w:val="TableText"/>
              <w:spacing w:before="40" w:after="40"/>
            </w:pPr>
            <w:r w:rsidRPr="00261B7A">
              <w:rPr>
                <w:rFonts w:eastAsia="Calibri"/>
                <w:color w:val="000000"/>
              </w:rPr>
              <w:t>IPCC (2006a)</w:t>
            </w:r>
          </w:p>
        </w:tc>
      </w:tr>
      <w:tr w:rsidR="00422EFE" w:rsidRPr="00261B7A" w14:paraId="1997B278" w14:textId="77777777" w:rsidTr="00D41492">
        <w:tc>
          <w:tcPr>
            <w:tcW w:w="1843" w:type="dxa"/>
            <w:shd w:val="clear" w:color="auto" w:fill="FFFFFF"/>
            <w:tcMar>
              <w:top w:w="0" w:type="dxa"/>
              <w:left w:w="108" w:type="dxa"/>
              <w:bottom w:w="0" w:type="dxa"/>
              <w:right w:w="108" w:type="dxa"/>
            </w:tcMar>
          </w:tcPr>
          <w:p w14:paraId="376619AD" w14:textId="77777777" w:rsidR="00422EFE" w:rsidRPr="00261B7A" w:rsidRDefault="00422EFE" w:rsidP="00D41492">
            <w:pPr>
              <w:pStyle w:val="TableText"/>
              <w:spacing w:before="40" w:after="40"/>
            </w:pPr>
            <w:r w:rsidRPr="00261B7A">
              <w:rPr>
                <w:rFonts w:eastAsia="Calibri"/>
                <w:color w:val="000000"/>
              </w:rPr>
              <w:t>Oxidation factor</w:t>
            </w:r>
          </w:p>
        </w:tc>
        <w:tc>
          <w:tcPr>
            <w:tcW w:w="1559" w:type="dxa"/>
            <w:shd w:val="clear" w:color="auto" w:fill="FFFFFF"/>
            <w:tcMar>
              <w:top w:w="0" w:type="dxa"/>
              <w:left w:w="108" w:type="dxa"/>
              <w:bottom w:w="0" w:type="dxa"/>
              <w:right w:w="108" w:type="dxa"/>
            </w:tcMar>
          </w:tcPr>
          <w:p w14:paraId="62F3DF5B" w14:textId="77777777" w:rsidR="00422EFE" w:rsidRPr="00261B7A" w:rsidRDefault="00422EFE" w:rsidP="00D41492">
            <w:pPr>
              <w:pStyle w:val="TableText"/>
              <w:spacing w:before="40" w:after="40"/>
              <w:jc w:val="center"/>
            </w:pPr>
            <w:r w:rsidRPr="00261B7A">
              <w:rPr>
                <w:rFonts w:eastAsia="Calibri"/>
                <w:color w:val="000000"/>
              </w:rPr>
              <w:t>1</w:t>
            </w:r>
          </w:p>
        </w:tc>
        <w:tc>
          <w:tcPr>
            <w:tcW w:w="1701" w:type="dxa"/>
            <w:shd w:val="clear" w:color="auto" w:fill="FFFFFF"/>
            <w:tcMar>
              <w:top w:w="0" w:type="dxa"/>
              <w:left w:w="108" w:type="dxa"/>
              <w:bottom w:w="0" w:type="dxa"/>
              <w:right w:w="108" w:type="dxa"/>
            </w:tcMar>
          </w:tcPr>
          <w:p w14:paraId="40CC9A46" w14:textId="77777777" w:rsidR="00422EFE" w:rsidRPr="00261B7A" w:rsidRDefault="00422EFE" w:rsidP="00D41492">
            <w:pPr>
              <w:pStyle w:val="TableText"/>
              <w:spacing w:before="40" w:after="40"/>
              <w:jc w:val="center"/>
            </w:pPr>
            <w:r w:rsidRPr="00261B7A">
              <w:rPr>
                <w:rFonts w:eastAsia="Calibri"/>
                <w:color w:val="000000"/>
              </w:rPr>
              <w:t>1</w:t>
            </w:r>
          </w:p>
        </w:tc>
        <w:tc>
          <w:tcPr>
            <w:tcW w:w="1386" w:type="dxa"/>
            <w:shd w:val="clear" w:color="auto" w:fill="FFFFFF"/>
            <w:tcMar>
              <w:top w:w="0" w:type="dxa"/>
              <w:left w:w="108" w:type="dxa"/>
              <w:bottom w:w="0" w:type="dxa"/>
              <w:right w:w="108" w:type="dxa"/>
            </w:tcMar>
          </w:tcPr>
          <w:p w14:paraId="04473EB5" w14:textId="77777777" w:rsidR="00422EFE" w:rsidRPr="00261B7A" w:rsidRDefault="00422EFE" w:rsidP="00D41492">
            <w:pPr>
              <w:pStyle w:val="TableText"/>
              <w:spacing w:before="40" w:after="40"/>
              <w:jc w:val="center"/>
            </w:pPr>
            <w:r w:rsidRPr="00261B7A">
              <w:rPr>
                <w:rFonts w:eastAsia="Calibri"/>
                <w:color w:val="000000"/>
              </w:rPr>
              <w:t>1</w:t>
            </w:r>
          </w:p>
        </w:tc>
        <w:tc>
          <w:tcPr>
            <w:tcW w:w="2016" w:type="dxa"/>
            <w:shd w:val="clear" w:color="auto" w:fill="FFFFFF"/>
            <w:tcMar>
              <w:top w:w="0" w:type="dxa"/>
              <w:left w:w="108" w:type="dxa"/>
              <w:bottom w:w="0" w:type="dxa"/>
              <w:right w:w="108" w:type="dxa"/>
            </w:tcMar>
          </w:tcPr>
          <w:p w14:paraId="3C3D5FF9" w14:textId="77777777" w:rsidR="00422EFE" w:rsidRPr="00261B7A" w:rsidRDefault="00422EFE" w:rsidP="00D41492">
            <w:pPr>
              <w:pStyle w:val="TableText"/>
              <w:spacing w:before="40" w:after="40"/>
            </w:pPr>
            <w:r w:rsidRPr="00261B7A">
              <w:rPr>
                <w:rFonts w:eastAsia="Calibri"/>
                <w:color w:val="000000"/>
              </w:rPr>
              <w:t>IPCC (2006a), table 5.2</w:t>
            </w:r>
          </w:p>
        </w:tc>
      </w:tr>
      <w:tr w:rsidR="00422EFE" w:rsidRPr="00261B7A" w14:paraId="341D1FBB" w14:textId="77777777" w:rsidTr="00D41492">
        <w:tc>
          <w:tcPr>
            <w:tcW w:w="1843" w:type="dxa"/>
            <w:shd w:val="clear" w:color="auto" w:fill="FFFFFF"/>
            <w:tcMar>
              <w:top w:w="0" w:type="dxa"/>
              <w:left w:w="108" w:type="dxa"/>
              <w:bottom w:w="0" w:type="dxa"/>
              <w:right w:w="108" w:type="dxa"/>
            </w:tcMar>
          </w:tcPr>
          <w:p w14:paraId="6BA6655B" w14:textId="77777777" w:rsidR="00422EFE" w:rsidRPr="00261B7A" w:rsidRDefault="00422EFE" w:rsidP="00D41492">
            <w:pPr>
              <w:pStyle w:val="TableText"/>
              <w:spacing w:before="40" w:after="40"/>
            </w:pPr>
            <w:r w:rsidRPr="00261B7A">
              <w:rPr>
                <w:rFonts w:eastAsia="Calibri"/>
                <w:color w:val="000000"/>
              </w:rPr>
              <w:t>Molar ratio to convert from carbon to carbon dioxide</w:t>
            </w:r>
          </w:p>
        </w:tc>
        <w:tc>
          <w:tcPr>
            <w:tcW w:w="1559" w:type="dxa"/>
            <w:shd w:val="clear" w:color="auto" w:fill="FFFFFF"/>
            <w:tcMar>
              <w:top w:w="0" w:type="dxa"/>
              <w:left w:w="108" w:type="dxa"/>
              <w:bottom w:w="0" w:type="dxa"/>
              <w:right w:w="108" w:type="dxa"/>
            </w:tcMar>
          </w:tcPr>
          <w:p w14:paraId="698B4400" w14:textId="77777777" w:rsidR="00422EFE" w:rsidRPr="00261B7A" w:rsidRDefault="00422EFE" w:rsidP="00D41492">
            <w:pPr>
              <w:pStyle w:val="TableText"/>
              <w:spacing w:before="40" w:after="40"/>
              <w:jc w:val="center"/>
            </w:pPr>
            <w:r w:rsidRPr="00261B7A">
              <w:rPr>
                <w:rFonts w:eastAsia="Calibri"/>
                <w:color w:val="000000"/>
              </w:rPr>
              <w:t>44/12</w:t>
            </w:r>
          </w:p>
        </w:tc>
        <w:tc>
          <w:tcPr>
            <w:tcW w:w="1701" w:type="dxa"/>
            <w:shd w:val="clear" w:color="auto" w:fill="FFFFFF"/>
            <w:tcMar>
              <w:top w:w="0" w:type="dxa"/>
              <w:left w:w="108" w:type="dxa"/>
              <w:bottom w:w="0" w:type="dxa"/>
              <w:right w:w="108" w:type="dxa"/>
            </w:tcMar>
          </w:tcPr>
          <w:p w14:paraId="1EBC9C3A" w14:textId="77777777" w:rsidR="00422EFE" w:rsidRPr="00261B7A" w:rsidRDefault="00422EFE" w:rsidP="00D41492">
            <w:pPr>
              <w:pStyle w:val="TableText"/>
              <w:spacing w:before="40" w:after="40"/>
              <w:jc w:val="center"/>
            </w:pPr>
            <w:r w:rsidRPr="00261B7A">
              <w:rPr>
                <w:rFonts w:eastAsia="Calibri"/>
                <w:color w:val="000000"/>
              </w:rPr>
              <w:t>44/12</w:t>
            </w:r>
          </w:p>
        </w:tc>
        <w:tc>
          <w:tcPr>
            <w:tcW w:w="1386" w:type="dxa"/>
            <w:shd w:val="clear" w:color="auto" w:fill="FFFFFF"/>
            <w:tcMar>
              <w:top w:w="0" w:type="dxa"/>
              <w:left w:w="108" w:type="dxa"/>
              <w:bottom w:w="0" w:type="dxa"/>
              <w:right w:w="108" w:type="dxa"/>
            </w:tcMar>
          </w:tcPr>
          <w:p w14:paraId="44C229F2" w14:textId="77777777" w:rsidR="00422EFE" w:rsidRPr="00261B7A" w:rsidRDefault="00422EFE" w:rsidP="00D41492">
            <w:pPr>
              <w:pStyle w:val="TableText"/>
              <w:spacing w:before="40" w:after="40"/>
              <w:jc w:val="center"/>
            </w:pPr>
            <w:r w:rsidRPr="00261B7A">
              <w:rPr>
                <w:rFonts w:eastAsia="Calibri"/>
                <w:color w:val="000000"/>
              </w:rPr>
              <w:t>44/12</w:t>
            </w:r>
          </w:p>
        </w:tc>
        <w:tc>
          <w:tcPr>
            <w:tcW w:w="2016" w:type="dxa"/>
            <w:shd w:val="clear" w:color="auto" w:fill="FFFFFF"/>
            <w:tcMar>
              <w:top w:w="0" w:type="dxa"/>
              <w:left w:w="108" w:type="dxa"/>
              <w:bottom w:w="0" w:type="dxa"/>
              <w:right w:w="108" w:type="dxa"/>
            </w:tcMar>
          </w:tcPr>
          <w:p w14:paraId="67D010B0" w14:textId="77777777" w:rsidR="00422EFE" w:rsidRPr="00261B7A" w:rsidRDefault="00422EFE" w:rsidP="00D41492">
            <w:pPr>
              <w:pStyle w:val="TableText"/>
              <w:spacing w:before="40" w:after="40"/>
            </w:pPr>
          </w:p>
        </w:tc>
      </w:tr>
      <w:tr w:rsidR="00422EFE" w:rsidRPr="00261B7A" w14:paraId="61BD99EF" w14:textId="77777777" w:rsidTr="00D41492">
        <w:tc>
          <w:tcPr>
            <w:tcW w:w="1843" w:type="dxa"/>
            <w:shd w:val="clear" w:color="auto" w:fill="FFFFFF"/>
            <w:tcMar>
              <w:top w:w="0" w:type="dxa"/>
              <w:left w:w="108" w:type="dxa"/>
              <w:bottom w:w="0" w:type="dxa"/>
              <w:right w:w="108" w:type="dxa"/>
            </w:tcMar>
          </w:tcPr>
          <w:p w14:paraId="5C572312" w14:textId="77777777" w:rsidR="00422EFE" w:rsidRPr="00261B7A" w:rsidRDefault="00422EFE" w:rsidP="00D41492">
            <w:pPr>
              <w:pStyle w:val="TableText"/>
              <w:spacing w:before="40" w:after="40"/>
            </w:pPr>
            <w:r w:rsidRPr="00261B7A">
              <w:rPr>
                <w:rFonts w:eastAsia="Calibri"/>
                <w:color w:val="000000"/>
              </w:rPr>
              <w:t>Overall carbon dioxide emission factor (kg/kt)</w:t>
            </w:r>
          </w:p>
        </w:tc>
        <w:tc>
          <w:tcPr>
            <w:tcW w:w="1559" w:type="dxa"/>
            <w:shd w:val="clear" w:color="auto" w:fill="FFFFFF"/>
            <w:tcMar>
              <w:top w:w="0" w:type="dxa"/>
              <w:left w:w="108" w:type="dxa"/>
              <w:bottom w:w="0" w:type="dxa"/>
              <w:right w:w="108" w:type="dxa"/>
            </w:tcMar>
          </w:tcPr>
          <w:p w14:paraId="15E95716" w14:textId="77777777" w:rsidR="00422EFE" w:rsidRPr="00261B7A" w:rsidRDefault="00422EFE" w:rsidP="00D41492">
            <w:pPr>
              <w:pStyle w:val="TableText"/>
              <w:spacing w:before="40" w:after="40"/>
              <w:jc w:val="center"/>
            </w:pPr>
            <w:r w:rsidRPr="00261B7A">
              <w:rPr>
                <w:rFonts w:eastAsia="Calibri"/>
                <w:color w:val="000000"/>
              </w:rPr>
              <w:t>0.5</w:t>
            </w:r>
          </w:p>
        </w:tc>
        <w:tc>
          <w:tcPr>
            <w:tcW w:w="1701" w:type="dxa"/>
            <w:shd w:val="clear" w:color="auto" w:fill="FFFFFF"/>
            <w:tcMar>
              <w:top w:w="0" w:type="dxa"/>
              <w:left w:w="108" w:type="dxa"/>
              <w:bottom w:w="0" w:type="dxa"/>
              <w:right w:w="108" w:type="dxa"/>
            </w:tcMar>
          </w:tcPr>
          <w:p w14:paraId="33BEAFE6" w14:textId="77777777" w:rsidR="00422EFE" w:rsidRPr="00261B7A" w:rsidRDefault="00422EFE" w:rsidP="00D41492">
            <w:pPr>
              <w:pStyle w:val="TableText"/>
              <w:spacing w:before="40" w:after="40"/>
              <w:jc w:val="center"/>
            </w:pPr>
            <w:r w:rsidRPr="00261B7A">
              <w:rPr>
                <w:rFonts w:eastAsia="Calibri"/>
                <w:color w:val="000000"/>
              </w:rPr>
              <w:t>0.57</w:t>
            </w:r>
          </w:p>
        </w:tc>
        <w:tc>
          <w:tcPr>
            <w:tcW w:w="1386" w:type="dxa"/>
            <w:shd w:val="clear" w:color="auto" w:fill="FFFFFF"/>
            <w:tcMar>
              <w:top w:w="0" w:type="dxa"/>
              <w:left w:w="108" w:type="dxa"/>
              <w:bottom w:w="0" w:type="dxa"/>
              <w:right w:w="108" w:type="dxa"/>
            </w:tcMar>
          </w:tcPr>
          <w:p w14:paraId="356EDA48" w14:textId="04B15CC8" w:rsidR="00422EFE" w:rsidRPr="00261B7A" w:rsidRDefault="00422EFE" w:rsidP="00D41492">
            <w:pPr>
              <w:pStyle w:val="TableText"/>
              <w:spacing w:before="40" w:after="40"/>
              <w:jc w:val="center"/>
            </w:pPr>
            <w:r w:rsidRPr="00261B7A">
              <w:rPr>
                <w:rFonts w:eastAsia="Calibri"/>
                <w:color w:val="000000"/>
              </w:rPr>
              <w:t>0.1</w:t>
            </w:r>
            <w:r w:rsidR="005E011F">
              <w:rPr>
                <w:rFonts w:eastAsia="Calibri"/>
                <w:color w:val="000000"/>
              </w:rPr>
              <w:t>7</w:t>
            </w:r>
          </w:p>
        </w:tc>
        <w:tc>
          <w:tcPr>
            <w:tcW w:w="2016" w:type="dxa"/>
            <w:shd w:val="clear" w:color="auto" w:fill="FFFFFF"/>
            <w:tcMar>
              <w:top w:w="0" w:type="dxa"/>
              <w:left w:w="108" w:type="dxa"/>
              <w:bottom w:w="0" w:type="dxa"/>
              <w:right w:w="108" w:type="dxa"/>
            </w:tcMar>
          </w:tcPr>
          <w:p w14:paraId="78B8B9D2" w14:textId="77777777" w:rsidR="00422EFE" w:rsidRPr="00261B7A" w:rsidRDefault="00422EFE" w:rsidP="00D41492">
            <w:pPr>
              <w:pStyle w:val="TableText"/>
              <w:spacing w:before="40" w:after="40"/>
            </w:pPr>
          </w:p>
        </w:tc>
      </w:tr>
      <w:tr w:rsidR="00422EFE" w:rsidRPr="00261B7A" w14:paraId="7369F70C" w14:textId="77777777" w:rsidTr="00D41492">
        <w:tc>
          <w:tcPr>
            <w:tcW w:w="1843" w:type="dxa"/>
            <w:shd w:val="clear" w:color="auto" w:fill="FFFFFF"/>
            <w:tcMar>
              <w:top w:w="0" w:type="dxa"/>
              <w:left w:w="108" w:type="dxa"/>
              <w:bottom w:w="0" w:type="dxa"/>
              <w:right w:w="108" w:type="dxa"/>
            </w:tcMar>
          </w:tcPr>
          <w:p w14:paraId="41C74E59" w14:textId="77777777" w:rsidR="00422EFE" w:rsidRPr="00261B7A" w:rsidRDefault="00422EFE" w:rsidP="00D41492">
            <w:pPr>
              <w:pStyle w:val="TableText"/>
              <w:spacing w:before="40" w:after="40"/>
            </w:pPr>
            <w:r w:rsidRPr="00261B7A">
              <w:rPr>
                <w:rFonts w:eastAsia="Calibri"/>
                <w:color w:val="000000"/>
              </w:rPr>
              <w:t>Methane emission factor (kg/kt) as directly referenced</w:t>
            </w:r>
          </w:p>
        </w:tc>
        <w:tc>
          <w:tcPr>
            <w:tcW w:w="1559" w:type="dxa"/>
            <w:shd w:val="clear" w:color="auto" w:fill="FFFFFF"/>
            <w:tcMar>
              <w:top w:w="0" w:type="dxa"/>
              <w:left w:w="108" w:type="dxa"/>
              <w:bottom w:w="0" w:type="dxa"/>
              <w:right w:w="108" w:type="dxa"/>
            </w:tcMar>
          </w:tcPr>
          <w:p w14:paraId="16159516" w14:textId="77777777" w:rsidR="00422EFE" w:rsidRPr="00261B7A" w:rsidRDefault="00422EFE" w:rsidP="00D41492">
            <w:pPr>
              <w:pStyle w:val="TableText"/>
              <w:spacing w:before="40" w:after="40"/>
              <w:jc w:val="center"/>
            </w:pPr>
            <w:r w:rsidRPr="00261B7A">
              <w:rPr>
                <w:rFonts w:eastAsia="Calibri"/>
                <w:color w:val="000000"/>
              </w:rPr>
              <w:t>NA</w:t>
            </w:r>
          </w:p>
        </w:tc>
        <w:tc>
          <w:tcPr>
            <w:tcW w:w="1701" w:type="dxa"/>
            <w:shd w:val="clear" w:color="auto" w:fill="FFFFFF"/>
            <w:tcMar>
              <w:top w:w="0" w:type="dxa"/>
              <w:left w:w="108" w:type="dxa"/>
              <w:bottom w:w="0" w:type="dxa"/>
              <w:right w:w="108" w:type="dxa"/>
            </w:tcMar>
          </w:tcPr>
          <w:p w14:paraId="55051DEB" w14:textId="77777777" w:rsidR="00422EFE" w:rsidRPr="00261B7A" w:rsidRDefault="00422EFE" w:rsidP="00D41492">
            <w:pPr>
              <w:pStyle w:val="TableText"/>
              <w:spacing w:before="40" w:after="40"/>
              <w:jc w:val="center"/>
            </w:pPr>
            <w:r w:rsidRPr="00261B7A">
              <w:rPr>
                <w:rFonts w:eastAsia="Calibri"/>
                <w:color w:val="000000"/>
              </w:rPr>
              <w:t>NA</w:t>
            </w:r>
          </w:p>
        </w:tc>
        <w:tc>
          <w:tcPr>
            <w:tcW w:w="1386" w:type="dxa"/>
            <w:shd w:val="clear" w:color="auto" w:fill="FFFFFF"/>
            <w:tcMar>
              <w:top w:w="0" w:type="dxa"/>
              <w:left w:w="108" w:type="dxa"/>
              <w:bottom w:w="0" w:type="dxa"/>
              <w:right w:w="108" w:type="dxa"/>
            </w:tcMar>
          </w:tcPr>
          <w:p w14:paraId="4059B1AA" w14:textId="77777777" w:rsidR="00422EFE" w:rsidRPr="00261B7A" w:rsidRDefault="00422EFE" w:rsidP="00D41492">
            <w:pPr>
              <w:pStyle w:val="TableText"/>
              <w:spacing w:before="40" w:after="40"/>
              <w:jc w:val="center"/>
            </w:pPr>
            <w:r w:rsidRPr="00261B7A">
              <w:rPr>
                <w:rFonts w:eastAsia="Calibri"/>
                <w:color w:val="000000"/>
              </w:rPr>
              <w:t xml:space="preserve">9.7 </w:t>
            </w:r>
            <w:r w:rsidRPr="00261B7A">
              <w:rPr>
                <w:rFonts w:eastAsia="Calibri"/>
                <w:color w:val="000000"/>
              </w:rPr>
              <w:br/>
              <w:t>(section 5.4.2)</w:t>
            </w:r>
          </w:p>
        </w:tc>
        <w:tc>
          <w:tcPr>
            <w:tcW w:w="2016" w:type="dxa"/>
            <w:shd w:val="clear" w:color="auto" w:fill="FFFFFF"/>
            <w:tcMar>
              <w:top w:w="0" w:type="dxa"/>
              <w:left w:w="108" w:type="dxa"/>
              <w:bottom w:w="0" w:type="dxa"/>
              <w:right w:w="108" w:type="dxa"/>
            </w:tcMar>
          </w:tcPr>
          <w:p w14:paraId="4C0192CF" w14:textId="77777777" w:rsidR="00422EFE" w:rsidRPr="00261B7A" w:rsidRDefault="00422EFE" w:rsidP="00D41492">
            <w:pPr>
              <w:pStyle w:val="TableText"/>
              <w:spacing w:before="40" w:after="40"/>
            </w:pPr>
            <w:r w:rsidRPr="00261B7A">
              <w:rPr>
                <w:rFonts w:eastAsia="Calibri"/>
                <w:color w:val="000000"/>
              </w:rPr>
              <w:t>IPCC (2006a)</w:t>
            </w:r>
          </w:p>
        </w:tc>
      </w:tr>
      <w:tr w:rsidR="00422EFE" w:rsidRPr="00261B7A" w14:paraId="777E1E79" w14:textId="77777777" w:rsidTr="00D41492">
        <w:tc>
          <w:tcPr>
            <w:tcW w:w="1843" w:type="dxa"/>
            <w:shd w:val="clear" w:color="auto" w:fill="FFFFFF"/>
            <w:tcMar>
              <w:top w:w="0" w:type="dxa"/>
              <w:left w:w="108" w:type="dxa"/>
              <w:bottom w:w="0" w:type="dxa"/>
              <w:right w:w="108" w:type="dxa"/>
            </w:tcMar>
          </w:tcPr>
          <w:p w14:paraId="43377E1F" w14:textId="77777777" w:rsidR="00422EFE" w:rsidRPr="00261B7A" w:rsidRDefault="00422EFE" w:rsidP="00D41492">
            <w:pPr>
              <w:pStyle w:val="TableText"/>
              <w:spacing w:before="40" w:after="40"/>
            </w:pPr>
            <w:r w:rsidRPr="00261B7A">
              <w:rPr>
                <w:rFonts w:eastAsia="Calibri"/>
                <w:color w:val="000000"/>
              </w:rPr>
              <w:t>Methane energy factor (kg gas/TJ)</w:t>
            </w:r>
          </w:p>
        </w:tc>
        <w:tc>
          <w:tcPr>
            <w:tcW w:w="1559" w:type="dxa"/>
            <w:shd w:val="clear" w:color="auto" w:fill="FFFFFF"/>
            <w:tcMar>
              <w:top w:w="0" w:type="dxa"/>
              <w:left w:w="108" w:type="dxa"/>
              <w:bottom w:w="0" w:type="dxa"/>
              <w:right w:w="108" w:type="dxa"/>
            </w:tcMar>
          </w:tcPr>
          <w:p w14:paraId="42EE415B" w14:textId="77777777" w:rsidR="00422EFE" w:rsidRPr="00261B7A" w:rsidRDefault="00422EFE" w:rsidP="00D41492">
            <w:pPr>
              <w:pStyle w:val="TableText"/>
              <w:spacing w:before="40" w:after="40"/>
              <w:jc w:val="center"/>
            </w:pPr>
            <w:r w:rsidRPr="00261B7A">
              <w:rPr>
                <w:rFonts w:eastAsia="Calibri"/>
                <w:color w:val="000000"/>
              </w:rPr>
              <w:t xml:space="preserve">30 </w:t>
            </w:r>
            <w:r w:rsidRPr="00261B7A">
              <w:rPr>
                <w:rFonts w:eastAsia="Calibri"/>
                <w:color w:val="000000"/>
              </w:rPr>
              <w:br/>
              <w:t>(table 2.3, Industrial wastes)</w:t>
            </w:r>
          </w:p>
        </w:tc>
        <w:tc>
          <w:tcPr>
            <w:tcW w:w="1701" w:type="dxa"/>
            <w:shd w:val="clear" w:color="auto" w:fill="FFFFFF"/>
            <w:tcMar>
              <w:top w:w="0" w:type="dxa"/>
              <w:left w:w="108" w:type="dxa"/>
              <w:bottom w:w="0" w:type="dxa"/>
              <w:right w:w="108" w:type="dxa"/>
            </w:tcMar>
          </w:tcPr>
          <w:p w14:paraId="494E0E95" w14:textId="77777777" w:rsidR="00422EFE" w:rsidRPr="00261B7A" w:rsidRDefault="00422EFE" w:rsidP="00D41492">
            <w:pPr>
              <w:pStyle w:val="TableText"/>
              <w:spacing w:before="40" w:after="40"/>
              <w:jc w:val="center"/>
            </w:pPr>
            <w:r w:rsidRPr="00261B7A">
              <w:rPr>
                <w:rFonts w:eastAsia="Calibri"/>
                <w:color w:val="000000"/>
              </w:rPr>
              <w:t xml:space="preserve">300 </w:t>
            </w:r>
            <w:r w:rsidRPr="00261B7A">
              <w:rPr>
                <w:rFonts w:eastAsia="Calibri"/>
                <w:color w:val="000000"/>
              </w:rPr>
              <w:br/>
              <w:t>(table 2.4, Municipal/ Industrial wastes)</w:t>
            </w:r>
          </w:p>
        </w:tc>
        <w:tc>
          <w:tcPr>
            <w:tcW w:w="1386" w:type="dxa"/>
            <w:shd w:val="clear" w:color="auto" w:fill="FFFFFF"/>
            <w:tcMar>
              <w:top w:w="0" w:type="dxa"/>
              <w:left w:w="108" w:type="dxa"/>
              <w:bottom w:w="0" w:type="dxa"/>
              <w:right w:w="108" w:type="dxa"/>
            </w:tcMar>
          </w:tcPr>
          <w:p w14:paraId="529251C1" w14:textId="77777777" w:rsidR="00422EFE" w:rsidRPr="00261B7A" w:rsidRDefault="00422EFE" w:rsidP="00D41492">
            <w:pPr>
              <w:pStyle w:val="TableText"/>
              <w:spacing w:before="40" w:after="40"/>
              <w:jc w:val="center"/>
            </w:pPr>
            <w:r w:rsidRPr="00261B7A">
              <w:rPr>
                <w:rFonts w:eastAsia="Calibri"/>
                <w:color w:val="000000"/>
              </w:rPr>
              <w:t>NA</w:t>
            </w:r>
          </w:p>
        </w:tc>
        <w:tc>
          <w:tcPr>
            <w:tcW w:w="2016" w:type="dxa"/>
            <w:shd w:val="clear" w:color="auto" w:fill="FFFFFF"/>
            <w:tcMar>
              <w:top w:w="0" w:type="dxa"/>
              <w:left w:w="108" w:type="dxa"/>
              <w:bottom w:w="0" w:type="dxa"/>
              <w:right w:w="108" w:type="dxa"/>
            </w:tcMar>
          </w:tcPr>
          <w:p w14:paraId="52573AF8" w14:textId="77777777" w:rsidR="00422EFE" w:rsidRPr="00261B7A" w:rsidRDefault="00422EFE" w:rsidP="00D41492">
            <w:pPr>
              <w:pStyle w:val="TableText"/>
              <w:spacing w:before="40" w:after="40"/>
            </w:pPr>
            <w:r w:rsidRPr="00261B7A">
              <w:rPr>
                <w:rFonts w:eastAsia="Calibri"/>
                <w:color w:val="000000"/>
              </w:rPr>
              <w:t>IPCC (2006b)</w:t>
            </w:r>
          </w:p>
        </w:tc>
      </w:tr>
      <w:tr w:rsidR="00422EFE" w:rsidRPr="00261B7A" w14:paraId="7160CE23" w14:textId="77777777" w:rsidTr="00D41492">
        <w:tc>
          <w:tcPr>
            <w:tcW w:w="1843" w:type="dxa"/>
            <w:shd w:val="clear" w:color="auto" w:fill="FFFFFF"/>
            <w:tcMar>
              <w:top w:w="0" w:type="dxa"/>
              <w:left w:w="108" w:type="dxa"/>
              <w:bottom w:w="0" w:type="dxa"/>
              <w:right w:w="108" w:type="dxa"/>
            </w:tcMar>
          </w:tcPr>
          <w:p w14:paraId="3C63F4C1" w14:textId="77777777" w:rsidR="00422EFE" w:rsidRPr="00261B7A" w:rsidRDefault="00422EFE" w:rsidP="00D41492">
            <w:pPr>
              <w:pStyle w:val="TableText"/>
              <w:spacing w:before="40" w:after="40"/>
            </w:pPr>
            <w:r w:rsidRPr="00261B7A">
              <w:rPr>
                <w:rFonts w:eastAsia="Calibri"/>
                <w:color w:val="000000"/>
              </w:rPr>
              <w:t>Methane (MJ/kg waste)</w:t>
            </w:r>
          </w:p>
        </w:tc>
        <w:tc>
          <w:tcPr>
            <w:tcW w:w="1559" w:type="dxa"/>
            <w:shd w:val="clear" w:color="auto" w:fill="FFFFFF"/>
            <w:tcMar>
              <w:top w:w="0" w:type="dxa"/>
              <w:left w:w="108" w:type="dxa"/>
              <w:bottom w:w="0" w:type="dxa"/>
              <w:right w:w="108" w:type="dxa"/>
            </w:tcMar>
          </w:tcPr>
          <w:p w14:paraId="61B1600F" w14:textId="77777777" w:rsidR="00422EFE" w:rsidRPr="00261B7A" w:rsidRDefault="00422EFE" w:rsidP="00D41492">
            <w:pPr>
              <w:pStyle w:val="TableText"/>
              <w:spacing w:before="40" w:after="40"/>
              <w:jc w:val="center"/>
            </w:pPr>
            <w:r w:rsidRPr="00261B7A">
              <w:rPr>
                <w:rFonts w:eastAsia="Calibri"/>
                <w:color w:val="000000"/>
              </w:rPr>
              <w:t>12.8</w:t>
            </w:r>
          </w:p>
        </w:tc>
        <w:tc>
          <w:tcPr>
            <w:tcW w:w="1701" w:type="dxa"/>
            <w:shd w:val="clear" w:color="auto" w:fill="FFFFFF"/>
            <w:tcMar>
              <w:top w:w="0" w:type="dxa"/>
              <w:left w:w="108" w:type="dxa"/>
              <w:bottom w:w="0" w:type="dxa"/>
              <w:right w:w="108" w:type="dxa"/>
            </w:tcMar>
          </w:tcPr>
          <w:p w14:paraId="6CBF1862" w14:textId="77777777" w:rsidR="00422EFE" w:rsidRPr="00261B7A" w:rsidRDefault="00422EFE" w:rsidP="00D41492">
            <w:pPr>
              <w:pStyle w:val="TableText"/>
              <w:spacing w:before="40" w:after="40"/>
              <w:jc w:val="center"/>
            </w:pPr>
            <w:r w:rsidRPr="00261B7A">
              <w:rPr>
                <w:rFonts w:eastAsia="Calibri"/>
                <w:color w:val="000000"/>
              </w:rPr>
              <w:t>16.8</w:t>
            </w:r>
          </w:p>
        </w:tc>
        <w:tc>
          <w:tcPr>
            <w:tcW w:w="1386" w:type="dxa"/>
            <w:shd w:val="clear" w:color="auto" w:fill="FFFFFF"/>
            <w:tcMar>
              <w:top w:w="0" w:type="dxa"/>
              <w:left w:w="108" w:type="dxa"/>
              <w:bottom w:w="0" w:type="dxa"/>
              <w:right w:w="108" w:type="dxa"/>
            </w:tcMar>
          </w:tcPr>
          <w:p w14:paraId="7A1747E2" w14:textId="77777777" w:rsidR="00422EFE" w:rsidRPr="00261B7A" w:rsidRDefault="00422EFE" w:rsidP="00D41492">
            <w:pPr>
              <w:pStyle w:val="TableText"/>
              <w:spacing w:before="40" w:after="40"/>
              <w:jc w:val="center"/>
            </w:pPr>
            <w:r w:rsidRPr="00261B7A">
              <w:rPr>
                <w:rFonts w:eastAsia="Calibri"/>
                <w:color w:val="000000"/>
              </w:rPr>
              <w:t>NA</w:t>
            </w:r>
          </w:p>
        </w:tc>
        <w:tc>
          <w:tcPr>
            <w:tcW w:w="2016" w:type="dxa"/>
            <w:shd w:val="clear" w:color="auto" w:fill="FFFFFF"/>
            <w:tcMar>
              <w:top w:w="0" w:type="dxa"/>
              <w:left w:w="108" w:type="dxa"/>
              <w:bottom w:w="0" w:type="dxa"/>
              <w:right w:w="108" w:type="dxa"/>
            </w:tcMar>
          </w:tcPr>
          <w:p w14:paraId="6A2D92AC" w14:textId="77777777" w:rsidR="00422EFE" w:rsidRPr="00261B7A" w:rsidRDefault="00422EFE" w:rsidP="00D41492">
            <w:pPr>
              <w:pStyle w:val="TableText"/>
              <w:spacing w:before="40" w:after="40"/>
            </w:pPr>
            <w:r w:rsidRPr="00261B7A">
              <w:rPr>
                <w:rFonts w:eastAsia="Calibri"/>
                <w:color w:val="000000"/>
              </w:rPr>
              <w:t>Ministry of Commerce (1993)</w:t>
            </w:r>
          </w:p>
        </w:tc>
      </w:tr>
      <w:tr w:rsidR="00422EFE" w:rsidRPr="00261B7A" w14:paraId="3A84EFAF" w14:textId="77777777" w:rsidTr="00D41492">
        <w:tc>
          <w:tcPr>
            <w:tcW w:w="1843" w:type="dxa"/>
            <w:shd w:val="clear" w:color="auto" w:fill="FFFFFF"/>
            <w:tcMar>
              <w:top w:w="0" w:type="dxa"/>
              <w:left w:w="108" w:type="dxa"/>
              <w:bottom w:w="0" w:type="dxa"/>
              <w:right w:w="108" w:type="dxa"/>
            </w:tcMar>
          </w:tcPr>
          <w:p w14:paraId="29D10602" w14:textId="77777777" w:rsidR="00422EFE" w:rsidRPr="00261B7A" w:rsidRDefault="00422EFE" w:rsidP="00D41492">
            <w:pPr>
              <w:pStyle w:val="TableText"/>
              <w:spacing w:before="40" w:after="40"/>
            </w:pPr>
            <w:r w:rsidRPr="00261B7A">
              <w:rPr>
                <w:rFonts w:eastAsia="Calibri"/>
                <w:color w:val="000000"/>
              </w:rPr>
              <w:t>Methane emission factor (kg/kt) calculated as a quotient of the above parameters</w:t>
            </w:r>
          </w:p>
        </w:tc>
        <w:tc>
          <w:tcPr>
            <w:tcW w:w="1559" w:type="dxa"/>
            <w:shd w:val="clear" w:color="auto" w:fill="FFFFFF"/>
            <w:tcMar>
              <w:top w:w="0" w:type="dxa"/>
              <w:left w:w="108" w:type="dxa"/>
              <w:bottom w:w="0" w:type="dxa"/>
              <w:right w:w="108" w:type="dxa"/>
            </w:tcMar>
          </w:tcPr>
          <w:p w14:paraId="52E046C7" w14:textId="77777777" w:rsidR="00422EFE" w:rsidRPr="00261B7A" w:rsidRDefault="00422EFE" w:rsidP="00D41492">
            <w:pPr>
              <w:pStyle w:val="TableText"/>
              <w:spacing w:before="40" w:after="40"/>
              <w:jc w:val="center"/>
            </w:pPr>
            <w:r w:rsidRPr="00261B7A">
              <w:rPr>
                <w:rFonts w:eastAsia="Calibri"/>
                <w:color w:val="000000"/>
              </w:rPr>
              <w:t>2.34</w:t>
            </w:r>
          </w:p>
        </w:tc>
        <w:tc>
          <w:tcPr>
            <w:tcW w:w="1701" w:type="dxa"/>
            <w:shd w:val="clear" w:color="auto" w:fill="FFFFFF"/>
            <w:tcMar>
              <w:top w:w="0" w:type="dxa"/>
              <w:left w:w="108" w:type="dxa"/>
              <w:bottom w:w="0" w:type="dxa"/>
              <w:right w:w="108" w:type="dxa"/>
            </w:tcMar>
          </w:tcPr>
          <w:p w14:paraId="01082826" w14:textId="77777777" w:rsidR="00422EFE" w:rsidRPr="00261B7A" w:rsidRDefault="00422EFE" w:rsidP="00D41492">
            <w:pPr>
              <w:pStyle w:val="TableText"/>
              <w:spacing w:before="40" w:after="40"/>
              <w:jc w:val="center"/>
            </w:pPr>
            <w:r w:rsidRPr="00261B7A">
              <w:rPr>
                <w:rFonts w:eastAsia="Calibri"/>
                <w:color w:val="000000"/>
              </w:rPr>
              <w:t>17.86</w:t>
            </w:r>
          </w:p>
        </w:tc>
        <w:tc>
          <w:tcPr>
            <w:tcW w:w="1386" w:type="dxa"/>
            <w:shd w:val="clear" w:color="auto" w:fill="FFFFFF"/>
            <w:tcMar>
              <w:top w:w="0" w:type="dxa"/>
              <w:left w:w="108" w:type="dxa"/>
              <w:bottom w:w="0" w:type="dxa"/>
              <w:right w:w="108" w:type="dxa"/>
            </w:tcMar>
          </w:tcPr>
          <w:p w14:paraId="30F8E3D7" w14:textId="77777777" w:rsidR="00422EFE" w:rsidRPr="00261B7A" w:rsidRDefault="00422EFE" w:rsidP="00D41492">
            <w:pPr>
              <w:pStyle w:val="TableText"/>
              <w:spacing w:before="40" w:after="40"/>
              <w:jc w:val="center"/>
            </w:pPr>
            <w:r w:rsidRPr="00261B7A">
              <w:rPr>
                <w:rFonts w:eastAsia="Calibri"/>
                <w:color w:val="000000"/>
              </w:rPr>
              <w:t>NA</w:t>
            </w:r>
          </w:p>
        </w:tc>
        <w:tc>
          <w:tcPr>
            <w:tcW w:w="2016" w:type="dxa"/>
            <w:shd w:val="clear" w:color="auto" w:fill="FFFFFF"/>
            <w:tcMar>
              <w:top w:w="0" w:type="dxa"/>
              <w:left w:w="108" w:type="dxa"/>
              <w:bottom w:w="0" w:type="dxa"/>
              <w:right w:w="108" w:type="dxa"/>
            </w:tcMar>
          </w:tcPr>
          <w:p w14:paraId="57498520" w14:textId="77777777" w:rsidR="00422EFE" w:rsidRPr="00261B7A" w:rsidRDefault="00422EFE" w:rsidP="00D41492">
            <w:pPr>
              <w:pStyle w:val="TableText"/>
              <w:spacing w:before="40" w:after="40"/>
            </w:pPr>
          </w:p>
        </w:tc>
      </w:tr>
      <w:tr w:rsidR="00422EFE" w:rsidRPr="00261B7A" w14:paraId="6C3FFD57" w14:textId="77777777" w:rsidTr="00D41492">
        <w:tc>
          <w:tcPr>
            <w:tcW w:w="1843" w:type="dxa"/>
            <w:shd w:val="clear" w:color="auto" w:fill="FFFFFF"/>
            <w:tcMar>
              <w:top w:w="0" w:type="dxa"/>
              <w:left w:w="108" w:type="dxa"/>
              <w:bottom w:w="0" w:type="dxa"/>
              <w:right w:w="108" w:type="dxa"/>
            </w:tcMar>
          </w:tcPr>
          <w:p w14:paraId="18EBE0A5" w14:textId="77777777" w:rsidR="00422EFE" w:rsidRPr="00261B7A" w:rsidRDefault="00422EFE" w:rsidP="00D41492">
            <w:pPr>
              <w:pStyle w:val="TableText"/>
              <w:spacing w:before="40" w:after="40"/>
            </w:pPr>
            <w:r w:rsidRPr="00261B7A">
              <w:rPr>
                <w:rFonts w:eastAsia="Calibri"/>
                <w:color w:val="000000"/>
              </w:rPr>
              <w:t>Nitrous oxide emission factor (kg/kt)</w:t>
            </w:r>
          </w:p>
        </w:tc>
        <w:tc>
          <w:tcPr>
            <w:tcW w:w="1559" w:type="dxa"/>
            <w:shd w:val="clear" w:color="auto" w:fill="FFFFFF"/>
            <w:tcMar>
              <w:top w:w="0" w:type="dxa"/>
              <w:left w:w="108" w:type="dxa"/>
              <w:bottom w:w="0" w:type="dxa"/>
              <w:right w:w="108" w:type="dxa"/>
            </w:tcMar>
          </w:tcPr>
          <w:p w14:paraId="2C15EC24" w14:textId="77777777" w:rsidR="00422EFE" w:rsidRPr="00261B7A" w:rsidRDefault="00422EFE" w:rsidP="00D41492">
            <w:pPr>
              <w:pStyle w:val="TableText"/>
              <w:spacing w:before="40" w:after="40"/>
              <w:jc w:val="center"/>
            </w:pPr>
            <w:r w:rsidRPr="00261B7A">
              <w:rPr>
                <w:rFonts w:eastAsia="Calibri"/>
                <w:color w:val="000000"/>
              </w:rPr>
              <w:t>100</w:t>
            </w:r>
          </w:p>
        </w:tc>
        <w:tc>
          <w:tcPr>
            <w:tcW w:w="1701" w:type="dxa"/>
            <w:shd w:val="clear" w:color="auto" w:fill="FFFFFF"/>
            <w:tcMar>
              <w:top w:w="0" w:type="dxa"/>
              <w:left w:w="108" w:type="dxa"/>
              <w:bottom w:w="0" w:type="dxa"/>
              <w:right w:w="108" w:type="dxa"/>
            </w:tcMar>
          </w:tcPr>
          <w:p w14:paraId="6010DE85" w14:textId="77777777" w:rsidR="00422EFE" w:rsidRPr="00261B7A" w:rsidRDefault="00422EFE" w:rsidP="00D41492">
            <w:pPr>
              <w:pStyle w:val="TableText"/>
              <w:spacing w:before="40" w:after="40"/>
              <w:jc w:val="center"/>
            </w:pPr>
            <w:r w:rsidRPr="00261B7A">
              <w:rPr>
                <w:rFonts w:eastAsia="Calibri"/>
                <w:color w:val="000000"/>
              </w:rPr>
              <w:t>60</w:t>
            </w:r>
          </w:p>
        </w:tc>
        <w:tc>
          <w:tcPr>
            <w:tcW w:w="1386" w:type="dxa"/>
            <w:shd w:val="clear" w:color="auto" w:fill="FFFFFF"/>
            <w:tcMar>
              <w:top w:w="0" w:type="dxa"/>
              <w:left w:w="108" w:type="dxa"/>
              <w:bottom w:w="0" w:type="dxa"/>
              <w:right w:w="108" w:type="dxa"/>
            </w:tcMar>
          </w:tcPr>
          <w:p w14:paraId="02356C10" w14:textId="77777777" w:rsidR="00422EFE" w:rsidRPr="00261B7A" w:rsidRDefault="00422EFE" w:rsidP="00D41492">
            <w:pPr>
              <w:pStyle w:val="TableText"/>
              <w:spacing w:before="40" w:after="40"/>
              <w:jc w:val="center"/>
            </w:pPr>
            <w:r w:rsidRPr="00261B7A">
              <w:rPr>
                <w:rFonts w:eastAsia="Calibri"/>
                <w:color w:val="000000"/>
              </w:rPr>
              <w:t>900</w:t>
            </w:r>
          </w:p>
        </w:tc>
        <w:tc>
          <w:tcPr>
            <w:tcW w:w="2016" w:type="dxa"/>
            <w:shd w:val="clear" w:color="auto" w:fill="FFFFFF"/>
            <w:tcMar>
              <w:top w:w="0" w:type="dxa"/>
              <w:left w:w="108" w:type="dxa"/>
              <w:bottom w:w="0" w:type="dxa"/>
              <w:right w:w="108" w:type="dxa"/>
            </w:tcMar>
          </w:tcPr>
          <w:p w14:paraId="567F49D3" w14:textId="77777777" w:rsidR="00422EFE" w:rsidRPr="00261B7A" w:rsidRDefault="00422EFE" w:rsidP="00D41492">
            <w:pPr>
              <w:pStyle w:val="TableText"/>
              <w:spacing w:before="40" w:after="40"/>
            </w:pPr>
            <w:r w:rsidRPr="00261B7A">
              <w:rPr>
                <w:rFonts w:eastAsia="Calibri"/>
                <w:color w:val="000000"/>
              </w:rPr>
              <w:t>IPCC (2006b), table 5.6</w:t>
            </w:r>
          </w:p>
        </w:tc>
      </w:tr>
    </w:tbl>
    <w:p w14:paraId="6DE6F3B4" w14:textId="77777777" w:rsidR="00422EFE" w:rsidRPr="00261B7A" w:rsidRDefault="00422EFE" w:rsidP="00422EFE">
      <w:pPr>
        <w:pStyle w:val="Noteundertable"/>
      </w:pPr>
      <w:r w:rsidRPr="00261B7A">
        <w:rPr>
          <w:b/>
          <w:bCs/>
        </w:rPr>
        <w:t>Note:</w:t>
      </w:r>
      <w:r w:rsidRPr="00261B7A">
        <w:t xml:space="preserve"> </w:t>
      </w:r>
      <w:r w:rsidRPr="00261B7A">
        <w:tab/>
        <w:t>NA = Not applicable.</w:t>
      </w:r>
    </w:p>
    <w:p w14:paraId="50203F65" w14:textId="77777777" w:rsidR="00422EFE" w:rsidRPr="00261B7A" w:rsidRDefault="00422EFE" w:rsidP="00422EFE">
      <w:pPr>
        <w:pStyle w:val="BodyText"/>
      </w:pPr>
      <w:r w:rsidRPr="00261B7A">
        <w:t>These parameters are as given in the 2006 IPCC Guidelines (IPCC, 2006a, 2006b), noting that:</w:t>
      </w:r>
    </w:p>
    <w:p w14:paraId="002CDB0A" w14:textId="77777777" w:rsidR="00422EFE" w:rsidRPr="00261B7A" w:rsidRDefault="00422EFE" w:rsidP="00422EFE">
      <w:pPr>
        <w:pStyle w:val="Bullet"/>
      </w:pPr>
      <w:r w:rsidRPr="00261B7A">
        <w:t>some parameters have been chosen as the closest available to the specific type of waste</w:t>
      </w:r>
    </w:p>
    <w:p w14:paraId="53DBBDD6" w14:textId="77777777" w:rsidR="00422EFE" w:rsidRPr="00261B7A" w:rsidRDefault="00422EFE" w:rsidP="00422EFE">
      <w:pPr>
        <w:pStyle w:val="Bullet"/>
      </w:pPr>
      <w:r w:rsidRPr="00261B7A">
        <w:t>where a range is given, the mid-point is used</w:t>
      </w:r>
    </w:p>
    <w:p w14:paraId="300EA538" w14:textId="77777777" w:rsidR="00422EFE" w:rsidRPr="00261B7A" w:rsidRDefault="00422EFE" w:rsidP="00422EFE">
      <w:pPr>
        <w:pStyle w:val="Bullet"/>
      </w:pPr>
      <w:r w:rsidRPr="00261B7A">
        <w:t xml:space="preserve">methane emission factors for hazardous and clinical waste (IPCC, 2006b) have been converted from a terajoule (TJ) basis to a kt basis using factors from the </w:t>
      </w:r>
      <w:r w:rsidRPr="00261B7A">
        <w:rPr>
          <w:i/>
          <w:iCs/>
        </w:rPr>
        <w:t>New Zealand Energy Information Handbook</w:t>
      </w:r>
      <w:r w:rsidRPr="00261B7A">
        <w:t xml:space="preserve"> (Ministry of Commerce, 1993), which only had gross calorific values.</w:t>
      </w:r>
    </w:p>
    <w:p w14:paraId="3CE51B7A" w14:textId="77777777" w:rsidR="00422EFE" w:rsidRPr="00261B7A" w:rsidRDefault="00422EFE" w:rsidP="00422EFE">
      <w:pPr>
        <w:pStyle w:val="BodyText"/>
      </w:pPr>
      <w:r w:rsidRPr="00261B7A">
        <w:t>Clinical wastes are a significant proportion of the material incinerated in New Zealand. There is no IPCC default category that specifies medical or quarantine waste. The composition of medical and quarantine wastes is closest to clinical waste, so the emission factors for clinical waste have been used and the activity data for these waste types are combined into the category for clinical wastes.</w:t>
      </w:r>
    </w:p>
    <w:p w14:paraId="3C5BF1C2" w14:textId="77777777" w:rsidR="00422EFE" w:rsidRPr="00261B7A" w:rsidRDefault="00422EFE" w:rsidP="00422EFE">
      <w:pPr>
        <w:pStyle w:val="Heading5"/>
      </w:pPr>
      <w:bookmarkStart w:id="2530" w:name="open-burning-5.c.2-2"/>
      <w:bookmarkEnd w:id="2527"/>
      <w:r w:rsidRPr="00261B7A">
        <w:t>Open burning (5.C.2)</w:t>
      </w:r>
    </w:p>
    <w:p w14:paraId="2E568288" w14:textId="77777777" w:rsidR="00422EFE" w:rsidRPr="00261B7A" w:rsidRDefault="00422EFE" w:rsidP="00422EFE">
      <w:pPr>
        <w:pStyle w:val="BodyText"/>
      </w:pPr>
      <w:r w:rsidRPr="00261B7A">
        <w:t>Parameters are used as detailed in table 7.4.5.</w:t>
      </w:r>
    </w:p>
    <w:p w14:paraId="47DA7A31" w14:textId="77777777" w:rsidR="00422EFE" w:rsidRPr="00261B7A" w:rsidRDefault="00422EFE" w:rsidP="00422EFE">
      <w:pPr>
        <w:pStyle w:val="Table"/>
      </w:pPr>
      <w:bookmarkStart w:id="2531" w:name="_Toc128383677"/>
      <w:bookmarkStart w:id="2532" w:name="_Toc131591450"/>
      <w:r w:rsidRPr="00261B7A">
        <w:t xml:space="preserve">Table 7.4.5 </w:t>
      </w:r>
      <w:r w:rsidRPr="00261B7A">
        <w:tab/>
        <w:t>Parameters used to estimate emissions from open burning</w:t>
      </w:r>
      <w:bookmarkEnd w:id="2531"/>
      <w:bookmarkEnd w:id="2532"/>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747"/>
        <w:gridCol w:w="877"/>
        <w:gridCol w:w="2881"/>
      </w:tblGrid>
      <w:tr w:rsidR="00422EFE" w:rsidRPr="00261B7A" w14:paraId="13B1E67D" w14:textId="77777777" w:rsidTr="00D41492">
        <w:trPr>
          <w:tblHeader/>
        </w:trPr>
        <w:tc>
          <w:tcPr>
            <w:tcW w:w="0" w:type="auto"/>
            <w:shd w:val="clear" w:color="auto" w:fill="1B556B"/>
            <w:tcMar>
              <w:top w:w="0" w:type="dxa"/>
              <w:left w:w="108" w:type="dxa"/>
              <w:bottom w:w="0" w:type="dxa"/>
              <w:right w:w="108" w:type="dxa"/>
            </w:tcMar>
          </w:tcPr>
          <w:p w14:paraId="238E7B06"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Parameter</w:t>
            </w:r>
          </w:p>
        </w:tc>
        <w:tc>
          <w:tcPr>
            <w:tcW w:w="0" w:type="auto"/>
            <w:shd w:val="clear" w:color="auto" w:fill="1B556B"/>
            <w:tcMar>
              <w:top w:w="0" w:type="dxa"/>
              <w:left w:w="108" w:type="dxa"/>
              <w:bottom w:w="0" w:type="dxa"/>
              <w:right w:w="108" w:type="dxa"/>
            </w:tcMar>
          </w:tcPr>
          <w:p w14:paraId="2C126B20"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Value</w:t>
            </w:r>
          </w:p>
        </w:tc>
        <w:tc>
          <w:tcPr>
            <w:tcW w:w="0" w:type="auto"/>
            <w:shd w:val="clear" w:color="auto" w:fill="1B556B"/>
            <w:tcMar>
              <w:top w:w="0" w:type="dxa"/>
              <w:left w:w="108" w:type="dxa"/>
              <w:bottom w:w="0" w:type="dxa"/>
              <w:right w:w="108" w:type="dxa"/>
            </w:tcMar>
          </w:tcPr>
          <w:p w14:paraId="59A46B36"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Source</w:t>
            </w:r>
          </w:p>
        </w:tc>
      </w:tr>
      <w:tr w:rsidR="00422EFE" w:rsidRPr="00261B7A" w14:paraId="1D35E7B4" w14:textId="77777777" w:rsidTr="00D41492">
        <w:tc>
          <w:tcPr>
            <w:tcW w:w="0" w:type="auto"/>
            <w:shd w:val="clear" w:color="auto" w:fill="FFFFFF"/>
            <w:tcMar>
              <w:top w:w="0" w:type="dxa"/>
              <w:left w:w="108" w:type="dxa"/>
              <w:bottom w:w="0" w:type="dxa"/>
              <w:right w:w="108" w:type="dxa"/>
            </w:tcMar>
          </w:tcPr>
          <w:p w14:paraId="2AE40428" w14:textId="77777777" w:rsidR="00422EFE" w:rsidRPr="00261B7A" w:rsidRDefault="00422EFE" w:rsidP="00B81845">
            <w:pPr>
              <w:pStyle w:val="TableTextBold"/>
              <w:spacing w:before="40" w:after="40"/>
              <w:rPr>
                <w:noProof w:val="0"/>
              </w:rPr>
            </w:pPr>
            <w:r w:rsidRPr="00261B7A">
              <w:rPr>
                <w:rFonts w:eastAsia="Calibri"/>
                <w:noProof w:val="0"/>
              </w:rPr>
              <w:t>Carbon dioxide</w:t>
            </w:r>
          </w:p>
        </w:tc>
        <w:tc>
          <w:tcPr>
            <w:tcW w:w="0" w:type="auto"/>
            <w:shd w:val="clear" w:color="auto" w:fill="FFFFFF"/>
            <w:tcMar>
              <w:top w:w="0" w:type="dxa"/>
              <w:left w:w="108" w:type="dxa"/>
              <w:bottom w:w="0" w:type="dxa"/>
              <w:right w:w="108" w:type="dxa"/>
            </w:tcMar>
          </w:tcPr>
          <w:p w14:paraId="08803599" w14:textId="77777777" w:rsidR="00422EFE" w:rsidRPr="00261B7A" w:rsidRDefault="00422EFE" w:rsidP="00B81845">
            <w:pPr>
              <w:pStyle w:val="TableTextBold"/>
              <w:spacing w:before="40" w:after="40"/>
              <w:rPr>
                <w:noProof w:val="0"/>
              </w:rPr>
            </w:pPr>
          </w:p>
        </w:tc>
        <w:tc>
          <w:tcPr>
            <w:tcW w:w="0" w:type="auto"/>
            <w:shd w:val="clear" w:color="auto" w:fill="FFFFFF"/>
            <w:tcMar>
              <w:top w:w="0" w:type="dxa"/>
              <w:left w:w="108" w:type="dxa"/>
              <w:bottom w:w="0" w:type="dxa"/>
              <w:right w:w="108" w:type="dxa"/>
            </w:tcMar>
          </w:tcPr>
          <w:p w14:paraId="3994D180" w14:textId="77777777" w:rsidR="00422EFE" w:rsidRPr="00261B7A" w:rsidRDefault="00422EFE" w:rsidP="00B81845">
            <w:pPr>
              <w:pStyle w:val="TableTextBold"/>
              <w:spacing w:before="40" w:after="40"/>
              <w:rPr>
                <w:noProof w:val="0"/>
              </w:rPr>
            </w:pPr>
          </w:p>
        </w:tc>
      </w:tr>
      <w:tr w:rsidR="00422EFE" w:rsidRPr="00261B7A" w14:paraId="771E7EB7" w14:textId="77777777" w:rsidTr="00D41492">
        <w:tc>
          <w:tcPr>
            <w:tcW w:w="0" w:type="auto"/>
            <w:shd w:val="clear" w:color="auto" w:fill="FFFFFF"/>
            <w:tcMar>
              <w:top w:w="0" w:type="dxa"/>
              <w:left w:w="108" w:type="dxa"/>
              <w:bottom w:w="0" w:type="dxa"/>
              <w:right w:w="108" w:type="dxa"/>
            </w:tcMar>
          </w:tcPr>
          <w:p w14:paraId="3806B3D1" w14:textId="77777777" w:rsidR="00422EFE" w:rsidRPr="00261B7A" w:rsidRDefault="00422EFE" w:rsidP="00D41492">
            <w:pPr>
              <w:pStyle w:val="TableText"/>
              <w:spacing w:before="40" w:after="40"/>
            </w:pPr>
            <w:r w:rsidRPr="00261B7A">
              <w:rPr>
                <w:rFonts w:eastAsia="Calibri"/>
                <w:color w:val="000000"/>
              </w:rPr>
              <w:t>Dry-matter content (%)</w:t>
            </w:r>
          </w:p>
        </w:tc>
        <w:tc>
          <w:tcPr>
            <w:tcW w:w="0" w:type="auto"/>
            <w:shd w:val="clear" w:color="auto" w:fill="FFFFFF"/>
            <w:tcMar>
              <w:top w:w="0" w:type="dxa"/>
              <w:left w:w="108" w:type="dxa"/>
              <w:bottom w:w="0" w:type="dxa"/>
              <w:right w:w="108" w:type="dxa"/>
            </w:tcMar>
          </w:tcPr>
          <w:p w14:paraId="742D2114" w14:textId="77777777" w:rsidR="00422EFE" w:rsidRPr="00261B7A" w:rsidRDefault="00422EFE" w:rsidP="00D41492">
            <w:pPr>
              <w:pStyle w:val="TableText"/>
              <w:spacing w:before="40" w:after="40"/>
            </w:pPr>
            <w:r w:rsidRPr="00261B7A">
              <w:rPr>
                <w:rFonts w:eastAsia="Calibri"/>
                <w:color w:val="000000"/>
              </w:rPr>
              <w:t>79.6</w:t>
            </w:r>
          </w:p>
        </w:tc>
        <w:tc>
          <w:tcPr>
            <w:tcW w:w="0" w:type="auto"/>
            <w:shd w:val="clear" w:color="auto" w:fill="FFFFFF"/>
            <w:tcMar>
              <w:top w:w="0" w:type="dxa"/>
              <w:left w:w="108" w:type="dxa"/>
              <w:bottom w:w="0" w:type="dxa"/>
              <w:right w:w="108" w:type="dxa"/>
            </w:tcMar>
          </w:tcPr>
          <w:p w14:paraId="025AF966" w14:textId="77777777" w:rsidR="00422EFE" w:rsidRPr="00261B7A" w:rsidRDefault="00422EFE" w:rsidP="00D41492">
            <w:pPr>
              <w:pStyle w:val="TableText"/>
              <w:spacing w:before="40" w:after="40"/>
            </w:pPr>
            <w:r w:rsidRPr="00261B7A">
              <w:rPr>
                <w:rFonts w:eastAsia="Calibri"/>
                <w:color w:val="000000"/>
              </w:rPr>
              <w:t>Calculated (see table 7.4.3)</w:t>
            </w:r>
          </w:p>
        </w:tc>
      </w:tr>
      <w:tr w:rsidR="00422EFE" w:rsidRPr="00261B7A" w14:paraId="10282E00" w14:textId="77777777" w:rsidTr="00D41492">
        <w:tc>
          <w:tcPr>
            <w:tcW w:w="0" w:type="auto"/>
            <w:shd w:val="clear" w:color="auto" w:fill="FFFFFF"/>
            <w:tcMar>
              <w:top w:w="0" w:type="dxa"/>
              <w:left w:w="108" w:type="dxa"/>
              <w:bottom w:w="0" w:type="dxa"/>
              <w:right w:w="108" w:type="dxa"/>
            </w:tcMar>
          </w:tcPr>
          <w:p w14:paraId="67F02951" w14:textId="77777777" w:rsidR="00422EFE" w:rsidRPr="00261B7A" w:rsidRDefault="00422EFE" w:rsidP="00D41492">
            <w:pPr>
              <w:pStyle w:val="TableText"/>
              <w:spacing w:before="40" w:after="40"/>
            </w:pPr>
            <w:r w:rsidRPr="00261B7A">
              <w:rPr>
                <w:rFonts w:eastAsia="Calibri"/>
                <w:color w:val="000000"/>
              </w:rPr>
              <w:t>Total carbon content (%)</w:t>
            </w:r>
          </w:p>
        </w:tc>
        <w:tc>
          <w:tcPr>
            <w:tcW w:w="0" w:type="auto"/>
            <w:shd w:val="clear" w:color="auto" w:fill="FFFFFF"/>
            <w:tcMar>
              <w:top w:w="0" w:type="dxa"/>
              <w:left w:w="108" w:type="dxa"/>
              <w:bottom w:w="0" w:type="dxa"/>
              <w:right w:w="108" w:type="dxa"/>
            </w:tcMar>
          </w:tcPr>
          <w:p w14:paraId="036DFC7E" w14:textId="77777777" w:rsidR="00422EFE" w:rsidRPr="00261B7A" w:rsidRDefault="00422EFE" w:rsidP="00D41492">
            <w:pPr>
              <w:pStyle w:val="TableText"/>
              <w:spacing w:before="40" w:after="40"/>
            </w:pPr>
            <w:r w:rsidRPr="00261B7A">
              <w:rPr>
                <w:rFonts w:eastAsia="Calibri"/>
                <w:color w:val="000000"/>
              </w:rPr>
              <w:t>44.9</w:t>
            </w:r>
          </w:p>
        </w:tc>
        <w:tc>
          <w:tcPr>
            <w:tcW w:w="0" w:type="auto"/>
            <w:shd w:val="clear" w:color="auto" w:fill="FFFFFF"/>
            <w:tcMar>
              <w:top w:w="0" w:type="dxa"/>
              <w:left w:w="108" w:type="dxa"/>
              <w:bottom w:w="0" w:type="dxa"/>
              <w:right w:w="108" w:type="dxa"/>
            </w:tcMar>
          </w:tcPr>
          <w:p w14:paraId="2D7C2F1D" w14:textId="77777777" w:rsidR="00422EFE" w:rsidRPr="00261B7A" w:rsidRDefault="00422EFE" w:rsidP="00D41492">
            <w:pPr>
              <w:pStyle w:val="TableText"/>
              <w:spacing w:before="40" w:after="40"/>
            </w:pPr>
            <w:r w:rsidRPr="00261B7A">
              <w:rPr>
                <w:rFonts w:eastAsia="Calibri"/>
                <w:color w:val="000000"/>
              </w:rPr>
              <w:t>Calculated (see table 7.4.3)</w:t>
            </w:r>
          </w:p>
        </w:tc>
      </w:tr>
      <w:tr w:rsidR="00422EFE" w:rsidRPr="00261B7A" w14:paraId="4D1AF6E4" w14:textId="77777777" w:rsidTr="00D41492">
        <w:tc>
          <w:tcPr>
            <w:tcW w:w="0" w:type="auto"/>
            <w:shd w:val="clear" w:color="auto" w:fill="FFFFFF"/>
            <w:tcMar>
              <w:top w:w="0" w:type="dxa"/>
              <w:left w:w="108" w:type="dxa"/>
              <w:bottom w:w="0" w:type="dxa"/>
              <w:right w:w="108" w:type="dxa"/>
            </w:tcMar>
          </w:tcPr>
          <w:p w14:paraId="70796DE5" w14:textId="77777777" w:rsidR="00422EFE" w:rsidRPr="00261B7A" w:rsidRDefault="00422EFE" w:rsidP="00D41492">
            <w:pPr>
              <w:pStyle w:val="TableText"/>
              <w:spacing w:before="40" w:after="40"/>
            </w:pPr>
            <w:r w:rsidRPr="00261B7A">
              <w:rPr>
                <w:rFonts w:eastAsia="Calibri"/>
                <w:color w:val="000000"/>
              </w:rPr>
              <w:t>Fossil carbon content (%)</w:t>
            </w:r>
          </w:p>
        </w:tc>
        <w:tc>
          <w:tcPr>
            <w:tcW w:w="0" w:type="auto"/>
            <w:shd w:val="clear" w:color="auto" w:fill="FFFFFF"/>
            <w:tcMar>
              <w:top w:w="0" w:type="dxa"/>
              <w:left w:w="108" w:type="dxa"/>
              <w:bottom w:w="0" w:type="dxa"/>
              <w:right w:w="108" w:type="dxa"/>
            </w:tcMar>
          </w:tcPr>
          <w:p w14:paraId="7D79D75C" w14:textId="77777777" w:rsidR="00422EFE" w:rsidRPr="00261B7A" w:rsidRDefault="00422EFE" w:rsidP="00D41492">
            <w:pPr>
              <w:pStyle w:val="TableText"/>
              <w:spacing w:before="40" w:after="40"/>
            </w:pPr>
            <w:r w:rsidRPr="00261B7A">
              <w:rPr>
                <w:rFonts w:eastAsia="Calibri"/>
                <w:color w:val="000000"/>
              </w:rPr>
              <w:t>24.4</w:t>
            </w:r>
          </w:p>
        </w:tc>
        <w:tc>
          <w:tcPr>
            <w:tcW w:w="0" w:type="auto"/>
            <w:shd w:val="clear" w:color="auto" w:fill="FFFFFF"/>
            <w:tcMar>
              <w:top w:w="0" w:type="dxa"/>
              <w:left w:w="108" w:type="dxa"/>
              <w:bottom w:w="0" w:type="dxa"/>
              <w:right w:w="108" w:type="dxa"/>
            </w:tcMar>
          </w:tcPr>
          <w:p w14:paraId="4647D749" w14:textId="77777777" w:rsidR="00422EFE" w:rsidRPr="00261B7A" w:rsidRDefault="00422EFE" w:rsidP="00D41492">
            <w:pPr>
              <w:pStyle w:val="TableText"/>
              <w:spacing w:before="40" w:after="40"/>
            </w:pPr>
            <w:r w:rsidRPr="00261B7A">
              <w:rPr>
                <w:rFonts w:eastAsia="Calibri"/>
                <w:color w:val="000000"/>
              </w:rPr>
              <w:t>Calculated (see table 7.4.3)</w:t>
            </w:r>
          </w:p>
        </w:tc>
      </w:tr>
      <w:tr w:rsidR="00422EFE" w:rsidRPr="00261B7A" w14:paraId="6E166F4D" w14:textId="77777777" w:rsidTr="00D41492">
        <w:tc>
          <w:tcPr>
            <w:tcW w:w="0" w:type="auto"/>
            <w:shd w:val="clear" w:color="auto" w:fill="FFFFFF"/>
            <w:tcMar>
              <w:top w:w="0" w:type="dxa"/>
              <w:left w:w="108" w:type="dxa"/>
              <w:bottom w:w="0" w:type="dxa"/>
              <w:right w:w="108" w:type="dxa"/>
            </w:tcMar>
          </w:tcPr>
          <w:p w14:paraId="1E7E6DD5" w14:textId="77777777" w:rsidR="00422EFE" w:rsidRPr="00261B7A" w:rsidRDefault="00422EFE" w:rsidP="00D41492">
            <w:pPr>
              <w:pStyle w:val="TableText"/>
              <w:spacing w:before="40" w:after="40"/>
            </w:pPr>
            <w:r w:rsidRPr="00261B7A">
              <w:rPr>
                <w:rFonts w:eastAsia="Calibri"/>
                <w:color w:val="000000"/>
              </w:rPr>
              <w:t>Oxidation factor (%)</w:t>
            </w:r>
          </w:p>
        </w:tc>
        <w:tc>
          <w:tcPr>
            <w:tcW w:w="0" w:type="auto"/>
            <w:shd w:val="clear" w:color="auto" w:fill="FFFFFF"/>
            <w:tcMar>
              <w:top w:w="0" w:type="dxa"/>
              <w:left w:w="108" w:type="dxa"/>
              <w:bottom w:w="0" w:type="dxa"/>
              <w:right w:w="108" w:type="dxa"/>
            </w:tcMar>
          </w:tcPr>
          <w:p w14:paraId="73485885" w14:textId="77777777" w:rsidR="00422EFE" w:rsidRPr="00261B7A" w:rsidRDefault="00422EFE" w:rsidP="00D41492">
            <w:pPr>
              <w:pStyle w:val="TableText"/>
              <w:spacing w:before="40" w:after="40"/>
            </w:pPr>
            <w:r w:rsidRPr="00261B7A">
              <w:rPr>
                <w:rFonts w:eastAsia="Calibri"/>
                <w:color w:val="000000"/>
              </w:rPr>
              <w:t>58</w:t>
            </w:r>
          </w:p>
        </w:tc>
        <w:tc>
          <w:tcPr>
            <w:tcW w:w="0" w:type="auto"/>
            <w:shd w:val="clear" w:color="auto" w:fill="FFFFFF"/>
            <w:tcMar>
              <w:top w:w="0" w:type="dxa"/>
              <w:left w:w="108" w:type="dxa"/>
              <w:bottom w:w="0" w:type="dxa"/>
              <w:right w:w="108" w:type="dxa"/>
            </w:tcMar>
          </w:tcPr>
          <w:p w14:paraId="3978E5D8" w14:textId="77777777" w:rsidR="00422EFE" w:rsidRPr="00261B7A" w:rsidRDefault="00422EFE" w:rsidP="00D41492">
            <w:pPr>
              <w:pStyle w:val="TableText"/>
              <w:spacing w:before="40" w:after="40"/>
            </w:pPr>
            <w:r w:rsidRPr="00261B7A">
              <w:rPr>
                <w:rFonts w:eastAsia="Calibri"/>
                <w:color w:val="000000"/>
              </w:rPr>
              <w:t>IPCC default</w:t>
            </w:r>
          </w:p>
        </w:tc>
      </w:tr>
      <w:tr w:rsidR="00422EFE" w:rsidRPr="00261B7A" w14:paraId="2D32125E" w14:textId="77777777" w:rsidTr="00D41492">
        <w:tc>
          <w:tcPr>
            <w:tcW w:w="0" w:type="auto"/>
            <w:shd w:val="clear" w:color="auto" w:fill="FFFFFF"/>
            <w:tcMar>
              <w:top w:w="0" w:type="dxa"/>
              <w:left w:w="108" w:type="dxa"/>
              <w:bottom w:w="0" w:type="dxa"/>
              <w:right w:w="108" w:type="dxa"/>
            </w:tcMar>
          </w:tcPr>
          <w:p w14:paraId="6DB8C306" w14:textId="77777777" w:rsidR="00422EFE" w:rsidRPr="00261B7A" w:rsidRDefault="00422EFE" w:rsidP="00D41492">
            <w:pPr>
              <w:pStyle w:val="TableText"/>
              <w:spacing w:before="40" w:after="40"/>
            </w:pPr>
            <w:r w:rsidRPr="00261B7A">
              <w:rPr>
                <w:rFonts w:eastAsia="Calibri"/>
                <w:color w:val="000000"/>
              </w:rPr>
              <w:t>Conversion factor</w:t>
            </w:r>
          </w:p>
        </w:tc>
        <w:tc>
          <w:tcPr>
            <w:tcW w:w="0" w:type="auto"/>
            <w:shd w:val="clear" w:color="auto" w:fill="FFFFFF"/>
            <w:tcMar>
              <w:top w:w="0" w:type="dxa"/>
              <w:left w:w="108" w:type="dxa"/>
              <w:bottom w:w="0" w:type="dxa"/>
              <w:right w:w="108" w:type="dxa"/>
            </w:tcMar>
          </w:tcPr>
          <w:p w14:paraId="641EA64D" w14:textId="77777777" w:rsidR="00422EFE" w:rsidRPr="00261B7A" w:rsidRDefault="00422EFE" w:rsidP="00D41492">
            <w:pPr>
              <w:pStyle w:val="TableText"/>
              <w:spacing w:before="40" w:after="40"/>
            </w:pPr>
            <w:r w:rsidRPr="00261B7A">
              <w:rPr>
                <w:rFonts w:eastAsia="Calibri"/>
                <w:color w:val="000000"/>
              </w:rPr>
              <w:t>44/12</w:t>
            </w:r>
          </w:p>
        </w:tc>
        <w:tc>
          <w:tcPr>
            <w:tcW w:w="0" w:type="auto"/>
            <w:shd w:val="clear" w:color="auto" w:fill="FFFFFF"/>
            <w:tcMar>
              <w:top w:w="0" w:type="dxa"/>
              <w:left w:w="108" w:type="dxa"/>
              <w:bottom w:w="0" w:type="dxa"/>
              <w:right w:w="108" w:type="dxa"/>
            </w:tcMar>
          </w:tcPr>
          <w:p w14:paraId="06DED22F" w14:textId="77777777" w:rsidR="00422EFE" w:rsidRPr="00261B7A" w:rsidRDefault="00422EFE" w:rsidP="00D41492">
            <w:pPr>
              <w:pStyle w:val="TableText"/>
              <w:spacing w:before="40" w:after="40"/>
            </w:pPr>
          </w:p>
        </w:tc>
      </w:tr>
      <w:tr w:rsidR="00422EFE" w:rsidRPr="00261B7A" w14:paraId="1C0C3A27" w14:textId="77777777" w:rsidTr="00D41492">
        <w:tc>
          <w:tcPr>
            <w:tcW w:w="0" w:type="auto"/>
            <w:shd w:val="clear" w:color="auto" w:fill="FFFFFF"/>
            <w:tcMar>
              <w:top w:w="0" w:type="dxa"/>
              <w:left w:w="108" w:type="dxa"/>
              <w:bottom w:w="0" w:type="dxa"/>
              <w:right w:w="108" w:type="dxa"/>
            </w:tcMar>
          </w:tcPr>
          <w:p w14:paraId="74F769F3" w14:textId="77777777" w:rsidR="00422EFE" w:rsidRPr="00261B7A" w:rsidRDefault="00422EFE" w:rsidP="00B81845">
            <w:pPr>
              <w:pStyle w:val="TableTextBold"/>
              <w:spacing w:before="40" w:after="40"/>
              <w:rPr>
                <w:noProof w:val="0"/>
              </w:rPr>
            </w:pPr>
            <w:r w:rsidRPr="00261B7A">
              <w:rPr>
                <w:rFonts w:eastAsia="Calibri"/>
                <w:noProof w:val="0"/>
              </w:rPr>
              <w:t>Other gases</w:t>
            </w:r>
          </w:p>
        </w:tc>
        <w:tc>
          <w:tcPr>
            <w:tcW w:w="0" w:type="auto"/>
            <w:shd w:val="clear" w:color="auto" w:fill="FFFFFF"/>
            <w:tcMar>
              <w:top w:w="0" w:type="dxa"/>
              <w:left w:w="108" w:type="dxa"/>
              <w:bottom w:w="0" w:type="dxa"/>
              <w:right w:w="108" w:type="dxa"/>
            </w:tcMar>
          </w:tcPr>
          <w:p w14:paraId="52A88C42" w14:textId="77777777" w:rsidR="00422EFE" w:rsidRPr="00261B7A" w:rsidRDefault="00422EFE" w:rsidP="00B81845">
            <w:pPr>
              <w:pStyle w:val="TableTextBold"/>
              <w:spacing w:before="40" w:after="40"/>
              <w:rPr>
                <w:noProof w:val="0"/>
              </w:rPr>
            </w:pPr>
          </w:p>
        </w:tc>
        <w:tc>
          <w:tcPr>
            <w:tcW w:w="0" w:type="auto"/>
            <w:shd w:val="clear" w:color="auto" w:fill="FFFFFF"/>
            <w:tcMar>
              <w:top w:w="0" w:type="dxa"/>
              <w:left w:w="108" w:type="dxa"/>
              <w:bottom w:w="0" w:type="dxa"/>
              <w:right w:w="108" w:type="dxa"/>
            </w:tcMar>
          </w:tcPr>
          <w:p w14:paraId="271998EB" w14:textId="77777777" w:rsidR="00422EFE" w:rsidRPr="00261B7A" w:rsidRDefault="00422EFE" w:rsidP="00B81845">
            <w:pPr>
              <w:pStyle w:val="TableTextBold"/>
              <w:spacing w:before="40" w:after="40"/>
              <w:rPr>
                <w:noProof w:val="0"/>
              </w:rPr>
            </w:pPr>
          </w:p>
        </w:tc>
      </w:tr>
      <w:tr w:rsidR="00422EFE" w:rsidRPr="00261B7A" w14:paraId="1547B49E" w14:textId="77777777" w:rsidTr="00D41492">
        <w:tc>
          <w:tcPr>
            <w:tcW w:w="0" w:type="auto"/>
            <w:shd w:val="clear" w:color="auto" w:fill="FFFFFF"/>
            <w:tcMar>
              <w:top w:w="0" w:type="dxa"/>
              <w:left w:w="108" w:type="dxa"/>
              <w:bottom w:w="0" w:type="dxa"/>
              <w:right w:w="108" w:type="dxa"/>
            </w:tcMar>
          </w:tcPr>
          <w:p w14:paraId="1C1FA849" w14:textId="77777777" w:rsidR="00422EFE" w:rsidRPr="00261B7A" w:rsidRDefault="00422EFE" w:rsidP="00D41492">
            <w:pPr>
              <w:pStyle w:val="TableText"/>
              <w:spacing w:before="40" w:after="40"/>
            </w:pPr>
            <w:r w:rsidRPr="00261B7A">
              <w:rPr>
                <w:rFonts w:eastAsia="Calibri"/>
                <w:color w:val="000000"/>
              </w:rPr>
              <w:t>Methane emission factor (kg/kt wet waste)</w:t>
            </w:r>
          </w:p>
        </w:tc>
        <w:tc>
          <w:tcPr>
            <w:tcW w:w="0" w:type="auto"/>
            <w:shd w:val="clear" w:color="auto" w:fill="FFFFFF"/>
            <w:tcMar>
              <w:top w:w="0" w:type="dxa"/>
              <w:left w:w="108" w:type="dxa"/>
              <w:bottom w:w="0" w:type="dxa"/>
              <w:right w:w="108" w:type="dxa"/>
            </w:tcMar>
          </w:tcPr>
          <w:p w14:paraId="0587C241" w14:textId="77777777" w:rsidR="00422EFE" w:rsidRPr="00261B7A" w:rsidRDefault="00422EFE" w:rsidP="00D41492">
            <w:pPr>
              <w:pStyle w:val="TableText"/>
              <w:spacing w:before="40" w:after="40"/>
            </w:pPr>
            <w:r w:rsidRPr="00261B7A">
              <w:rPr>
                <w:rFonts w:eastAsia="Calibri"/>
                <w:color w:val="000000"/>
              </w:rPr>
              <w:t>6500</w:t>
            </w:r>
          </w:p>
        </w:tc>
        <w:tc>
          <w:tcPr>
            <w:tcW w:w="0" w:type="auto"/>
            <w:shd w:val="clear" w:color="auto" w:fill="FFFFFF"/>
            <w:tcMar>
              <w:top w:w="0" w:type="dxa"/>
              <w:left w:w="108" w:type="dxa"/>
              <w:bottom w:w="0" w:type="dxa"/>
              <w:right w:w="108" w:type="dxa"/>
            </w:tcMar>
          </w:tcPr>
          <w:p w14:paraId="4433E0E6" w14:textId="77777777" w:rsidR="00422EFE" w:rsidRPr="00261B7A" w:rsidRDefault="00422EFE" w:rsidP="00D41492">
            <w:pPr>
              <w:pStyle w:val="TableText"/>
              <w:spacing w:before="40" w:after="40"/>
            </w:pPr>
            <w:r w:rsidRPr="00261B7A">
              <w:rPr>
                <w:rFonts w:eastAsia="Calibri"/>
                <w:color w:val="000000"/>
              </w:rPr>
              <w:t>IPCC default</w:t>
            </w:r>
          </w:p>
        </w:tc>
      </w:tr>
      <w:tr w:rsidR="00422EFE" w:rsidRPr="00261B7A" w14:paraId="4C5FF205" w14:textId="77777777" w:rsidTr="00D41492">
        <w:tc>
          <w:tcPr>
            <w:tcW w:w="0" w:type="auto"/>
            <w:shd w:val="clear" w:color="auto" w:fill="FFFFFF"/>
            <w:tcMar>
              <w:top w:w="0" w:type="dxa"/>
              <w:left w:w="108" w:type="dxa"/>
              <w:bottom w:w="0" w:type="dxa"/>
              <w:right w:w="108" w:type="dxa"/>
            </w:tcMar>
          </w:tcPr>
          <w:p w14:paraId="7AE8DBCD" w14:textId="77777777" w:rsidR="00422EFE" w:rsidRPr="00261B7A" w:rsidRDefault="00422EFE" w:rsidP="00D41492">
            <w:pPr>
              <w:pStyle w:val="TableText"/>
              <w:spacing w:before="40" w:after="40"/>
            </w:pPr>
            <w:r w:rsidRPr="00261B7A">
              <w:rPr>
                <w:rFonts w:eastAsia="Calibri"/>
                <w:color w:val="000000"/>
              </w:rPr>
              <w:t>Nitrous oxide emission factor (kg/kt dry waste)</w:t>
            </w:r>
          </w:p>
        </w:tc>
        <w:tc>
          <w:tcPr>
            <w:tcW w:w="0" w:type="auto"/>
            <w:shd w:val="clear" w:color="auto" w:fill="FFFFFF"/>
            <w:tcMar>
              <w:top w:w="0" w:type="dxa"/>
              <w:left w:w="108" w:type="dxa"/>
              <w:bottom w:w="0" w:type="dxa"/>
              <w:right w:w="108" w:type="dxa"/>
            </w:tcMar>
          </w:tcPr>
          <w:p w14:paraId="52452F79" w14:textId="77777777" w:rsidR="00422EFE" w:rsidRPr="00261B7A" w:rsidRDefault="00422EFE" w:rsidP="00D41492">
            <w:pPr>
              <w:pStyle w:val="TableText"/>
              <w:spacing w:before="40" w:after="40"/>
            </w:pPr>
            <w:r w:rsidRPr="00261B7A">
              <w:rPr>
                <w:rFonts w:eastAsia="Calibri"/>
                <w:color w:val="000000"/>
              </w:rPr>
              <w:t>150</w:t>
            </w:r>
          </w:p>
        </w:tc>
        <w:tc>
          <w:tcPr>
            <w:tcW w:w="0" w:type="auto"/>
            <w:shd w:val="clear" w:color="auto" w:fill="FFFFFF"/>
            <w:tcMar>
              <w:top w:w="0" w:type="dxa"/>
              <w:left w:w="108" w:type="dxa"/>
              <w:bottom w:w="0" w:type="dxa"/>
              <w:right w:w="108" w:type="dxa"/>
            </w:tcMar>
          </w:tcPr>
          <w:p w14:paraId="433B134B" w14:textId="77777777" w:rsidR="00422EFE" w:rsidRPr="00261B7A" w:rsidRDefault="00422EFE" w:rsidP="00D41492">
            <w:pPr>
              <w:pStyle w:val="TableText"/>
              <w:spacing w:before="40" w:after="40"/>
            </w:pPr>
            <w:r w:rsidRPr="00261B7A">
              <w:rPr>
                <w:rFonts w:eastAsia="Calibri"/>
                <w:color w:val="000000"/>
              </w:rPr>
              <w:t>IPCC default</w:t>
            </w:r>
          </w:p>
        </w:tc>
      </w:tr>
    </w:tbl>
    <w:p w14:paraId="17D4987D" w14:textId="77777777" w:rsidR="00422EFE" w:rsidRPr="00261B7A" w:rsidRDefault="00422EFE" w:rsidP="00422EFE">
      <w:pPr>
        <w:pStyle w:val="BodyText"/>
      </w:pPr>
      <w:r w:rsidRPr="00261B7A">
        <w:t>To calculate N</w:t>
      </w:r>
      <w:r w:rsidRPr="00261B7A">
        <w:rPr>
          <w:vertAlign w:val="subscript"/>
        </w:rPr>
        <w:t>2</w:t>
      </w:r>
      <w:r w:rsidRPr="00261B7A">
        <w:t>O emissions, the activity data are converted using the weighted average dry‑matter content in table 7.4.3 because the default emission factor is presented in terms of dry waste.</w:t>
      </w:r>
    </w:p>
    <w:p w14:paraId="51EAB1C0" w14:textId="77777777" w:rsidR="00422EFE" w:rsidRPr="00261B7A" w:rsidRDefault="00422EFE" w:rsidP="00422EFE">
      <w:pPr>
        <w:pStyle w:val="Heading3"/>
      </w:pPr>
      <w:bookmarkStart w:id="2533" w:name="X6b3d5bc9eacf0af99227be606b079e85f3ac245"/>
      <w:bookmarkEnd w:id="2515"/>
      <w:bookmarkEnd w:id="2526"/>
      <w:bookmarkEnd w:id="2530"/>
      <w:r w:rsidRPr="00261B7A">
        <w:t xml:space="preserve">7.4.3 </w:t>
      </w:r>
      <w:r w:rsidRPr="00261B7A">
        <w:tab/>
        <w:t>Uncertainties and time-series consistency</w:t>
      </w:r>
    </w:p>
    <w:p w14:paraId="33B1F163" w14:textId="77777777" w:rsidR="00422EFE" w:rsidRPr="00261B7A" w:rsidRDefault="00422EFE" w:rsidP="00422EFE">
      <w:pPr>
        <w:pStyle w:val="Heading4"/>
      </w:pPr>
      <w:bookmarkStart w:id="2534" w:name="uncertainties-3"/>
      <w:r w:rsidRPr="00261B7A">
        <w:t>Uncertainties</w:t>
      </w:r>
    </w:p>
    <w:p w14:paraId="4C862640" w14:textId="77777777" w:rsidR="00422EFE" w:rsidRPr="00261B7A" w:rsidRDefault="00422EFE" w:rsidP="00422EFE">
      <w:pPr>
        <w:pStyle w:val="BodyText"/>
      </w:pPr>
      <w:r w:rsidRPr="00261B7A">
        <w:t>Consistent with the IPCC recommendation for uncertainties relating to activity data (IPCC, 2006a), estimated uncertainty for the amount of wet waste incinerated ranges from ±10 per cent to ±50 per cent, and uncertainty of ±50 per cent is applied (see table 7.4.6).</w:t>
      </w:r>
    </w:p>
    <w:p w14:paraId="5176436F" w14:textId="77777777" w:rsidR="00422EFE" w:rsidRPr="00261B7A" w:rsidRDefault="00422EFE" w:rsidP="00422EFE">
      <w:pPr>
        <w:pStyle w:val="BodyText"/>
      </w:pPr>
      <w:r w:rsidRPr="00261B7A">
        <w:t>The data collected for the composition of waste are not detailed. Therefore, following the recommendation for uncertainties relating to emission factors (IPCC, 2006a), the estimated uncertainty for default CO</w:t>
      </w:r>
      <w:r w:rsidRPr="00261B7A">
        <w:rPr>
          <w:vertAlign w:val="subscript"/>
        </w:rPr>
        <w:t>2</w:t>
      </w:r>
      <w:r w:rsidRPr="00261B7A">
        <w:t xml:space="preserve"> factors is ±40 per cent. Default factors used in the calculation of CH</w:t>
      </w:r>
      <w:r w:rsidRPr="00261B7A">
        <w:rPr>
          <w:vertAlign w:val="subscript"/>
        </w:rPr>
        <w:t>4</w:t>
      </w:r>
      <w:r w:rsidRPr="00261B7A">
        <w:t xml:space="preserve"> and N</w:t>
      </w:r>
      <w:r w:rsidRPr="00261B7A">
        <w:rPr>
          <w:vertAlign w:val="subscript"/>
        </w:rPr>
        <w:t>2</w:t>
      </w:r>
      <w:r w:rsidRPr="00261B7A">
        <w:t>O emissions have a much higher uncertainty (IPCC, 2006a); for this reason, the estimated uncertainty for default CH</w:t>
      </w:r>
      <w:r w:rsidRPr="00261B7A">
        <w:rPr>
          <w:vertAlign w:val="subscript"/>
        </w:rPr>
        <w:t>4</w:t>
      </w:r>
      <w:r w:rsidRPr="00261B7A">
        <w:t xml:space="preserve"> and N</w:t>
      </w:r>
      <w:r w:rsidRPr="00261B7A">
        <w:rPr>
          <w:vertAlign w:val="subscript"/>
        </w:rPr>
        <w:t>2</w:t>
      </w:r>
      <w:r w:rsidRPr="00261B7A">
        <w:t>O factors is ±100 per cent.</w:t>
      </w:r>
    </w:p>
    <w:p w14:paraId="4105DF87" w14:textId="77777777" w:rsidR="00422EFE" w:rsidRPr="00261B7A" w:rsidRDefault="00422EFE" w:rsidP="00422EFE">
      <w:pPr>
        <w:pStyle w:val="Table"/>
      </w:pPr>
      <w:bookmarkStart w:id="2535" w:name="_Toc128383678"/>
      <w:bookmarkStart w:id="2536" w:name="_Toc131591451"/>
      <w:r w:rsidRPr="00261B7A">
        <w:t xml:space="preserve">Table 7.4.6 </w:t>
      </w:r>
      <w:r w:rsidRPr="00261B7A">
        <w:tab/>
        <w:t xml:space="preserve">Uncertainty in emissions from </w:t>
      </w:r>
      <w:r w:rsidRPr="00261B7A">
        <w:rPr>
          <w:i/>
          <w:iCs/>
        </w:rPr>
        <w:t>Incineration and open burning of waste</w:t>
      </w:r>
      <w:bookmarkEnd w:id="2535"/>
      <w:bookmarkEnd w:id="2536"/>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89"/>
        <w:gridCol w:w="2466"/>
        <w:gridCol w:w="2750"/>
      </w:tblGrid>
      <w:tr w:rsidR="00422EFE" w:rsidRPr="00261B7A" w14:paraId="3DF669DF" w14:textId="77777777" w:rsidTr="00D41492">
        <w:trPr>
          <w:tblHeader/>
        </w:trPr>
        <w:tc>
          <w:tcPr>
            <w:tcW w:w="0" w:type="auto"/>
            <w:shd w:val="clear" w:color="auto" w:fill="1B556B"/>
            <w:tcMar>
              <w:top w:w="0" w:type="dxa"/>
              <w:left w:w="108" w:type="dxa"/>
              <w:bottom w:w="0" w:type="dxa"/>
              <w:right w:w="108" w:type="dxa"/>
            </w:tcMar>
          </w:tcPr>
          <w:p w14:paraId="195D0E98"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Emissions category</w:t>
            </w:r>
          </w:p>
        </w:tc>
        <w:tc>
          <w:tcPr>
            <w:tcW w:w="0" w:type="auto"/>
            <w:shd w:val="clear" w:color="auto" w:fill="1B556B"/>
            <w:tcMar>
              <w:top w:w="0" w:type="dxa"/>
              <w:left w:w="108" w:type="dxa"/>
              <w:bottom w:w="0" w:type="dxa"/>
              <w:right w:w="108" w:type="dxa"/>
            </w:tcMar>
          </w:tcPr>
          <w:p w14:paraId="22059AD0"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Uncertainty in activity data (%)</w:t>
            </w:r>
          </w:p>
        </w:tc>
        <w:tc>
          <w:tcPr>
            <w:tcW w:w="0" w:type="auto"/>
            <w:shd w:val="clear" w:color="auto" w:fill="1B556B"/>
            <w:tcMar>
              <w:top w:w="0" w:type="dxa"/>
              <w:left w:w="108" w:type="dxa"/>
              <w:bottom w:w="0" w:type="dxa"/>
              <w:right w:w="108" w:type="dxa"/>
            </w:tcMar>
          </w:tcPr>
          <w:p w14:paraId="4C10DCE0"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Uncertainty in emission factors (%)</w:t>
            </w:r>
          </w:p>
        </w:tc>
      </w:tr>
      <w:tr w:rsidR="00422EFE" w:rsidRPr="00261B7A" w14:paraId="705A1E7A" w14:textId="77777777" w:rsidTr="00D41492">
        <w:tc>
          <w:tcPr>
            <w:tcW w:w="0" w:type="auto"/>
            <w:shd w:val="clear" w:color="auto" w:fill="FFFFFF"/>
            <w:tcMar>
              <w:top w:w="0" w:type="dxa"/>
              <w:left w:w="108" w:type="dxa"/>
              <w:bottom w:w="0" w:type="dxa"/>
              <w:right w:w="108" w:type="dxa"/>
            </w:tcMar>
          </w:tcPr>
          <w:p w14:paraId="31486A74" w14:textId="77777777" w:rsidR="00422EFE" w:rsidRPr="00261B7A" w:rsidRDefault="00422EFE" w:rsidP="00D41492">
            <w:pPr>
              <w:pStyle w:val="TableText"/>
              <w:spacing w:before="40" w:after="40"/>
            </w:pPr>
            <w:r w:rsidRPr="00261B7A">
              <w:rPr>
                <w:rFonts w:eastAsia="Calibri"/>
                <w:color w:val="000000"/>
              </w:rPr>
              <w:t>Waste incineration and open burning (CO₂)</w:t>
            </w:r>
          </w:p>
        </w:tc>
        <w:tc>
          <w:tcPr>
            <w:tcW w:w="0" w:type="auto"/>
            <w:shd w:val="clear" w:color="auto" w:fill="FFFFFF"/>
            <w:tcMar>
              <w:top w:w="0" w:type="dxa"/>
              <w:left w:w="108" w:type="dxa"/>
              <w:bottom w:w="0" w:type="dxa"/>
              <w:right w:w="108" w:type="dxa"/>
            </w:tcMar>
          </w:tcPr>
          <w:p w14:paraId="4228A0D5" w14:textId="77777777" w:rsidR="00422EFE" w:rsidRPr="00261B7A" w:rsidRDefault="00422EFE" w:rsidP="00D41492">
            <w:pPr>
              <w:pStyle w:val="TableText"/>
              <w:spacing w:before="40" w:after="40"/>
            </w:pPr>
            <w:r w:rsidRPr="00261B7A">
              <w:rPr>
                <w:rFonts w:eastAsia="Calibri"/>
                <w:color w:val="000000"/>
              </w:rPr>
              <w:t>±50</w:t>
            </w:r>
          </w:p>
        </w:tc>
        <w:tc>
          <w:tcPr>
            <w:tcW w:w="0" w:type="auto"/>
            <w:shd w:val="clear" w:color="auto" w:fill="FFFFFF"/>
            <w:tcMar>
              <w:top w:w="0" w:type="dxa"/>
              <w:left w:w="108" w:type="dxa"/>
              <w:bottom w:w="0" w:type="dxa"/>
              <w:right w:w="108" w:type="dxa"/>
            </w:tcMar>
          </w:tcPr>
          <w:p w14:paraId="2BAEEA2A" w14:textId="77777777" w:rsidR="00422EFE" w:rsidRPr="00261B7A" w:rsidRDefault="00422EFE" w:rsidP="00D41492">
            <w:pPr>
              <w:pStyle w:val="TableText"/>
              <w:spacing w:before="40" w:after="40"/>
            </w:pPr>
            <w:r w:rsidRPr="00261B7A">
              <w:rPr>
                <w:rFonts w:eastAsia="Calibri"/>
                <w:color w:val="000000"/>
              </w:rPr>
              <w:t>±40</w:t>
            </w:r>
          </w:p>
        </w:tc>
      </w:tr>
      <w:tr w:rsidR="00422EFE" w:rsidRPr="00261B7A" w14:paraId="5B4EF390" w14:textId="77777777" w:rsidTr="00D41492">
        <w:tc>
          <w:tcPr>
            <w:tcW w:w="0" w:type="auto"/>
            <w:shd w:val="clear" w:color="auto" w:fill="FFFFFF"/>
            <w:tcMar>
              <w:top w:w="0" w:type="dxa"/>
              <w:left w:w="108" w:type="dxa"/>
              <w:bottom w:w="0" w:type="dxa"/>
              <w:right w:w="108" w:type="dxa"/>
            </w:tcMar>
          </w:tcPr>
          <w:p w14:paraId="4C502AA0" w14:textId="77777777" w:rsidR="00422EFE" w:rsidRPr="00261B7A" w:rsidRDefault="00422EFE" w:rsidP="00D41492">
            <w:pPr>
              <w:pStyle w:val="TableText"/>
              <w:spacing w:before="40" w:after="40"/>
            </w:pPr>
            <w:r w:rsidRPr="00261B7A">
              <w:rPr>
                <w:rFonts w:eastAsia="Calibri"/>
                <w:color w:val="000000"/>
              </w:rPr>
              <w:t>Waste incineration and open burning (CH₄)</w:t>
            </w:r>
          </w:p>
        </w:tc>
        <w:tc>
          <w:tcPr>
            <w:tcW w:w="0" w:type="auto"/>
            <w:shd w:val="clear" w:color="auto" w:fill="FFFFFF"/>
            <w:tcMar>
              <w:top w:w="0" w:type="dxa"/>
              <w:left w:w="108" w:type="dxa"/>
              <w:bottom w:w="0" w:type="dxa"/>
              <w:right w:w="108" w:type="dxa"/>
            </w:tcMar>
          </w:tcPr>
          <w:p w14:paraId="3A802327" w14:textId="77777777" w:rsidR="00422EFE" w:rsidRPr="00261B7A" w:rsidRDefault="00422EFE" w:rsidP="00D41492">
            <w:pPr>
              <w:pStyle w:val="TableText"/>
              <w:spacing w:before="40" w:after="40"/>
            </w:pPr>
            <w:r w:rsidRPr="00261B7A">
              <w:rPr>
                <w:rFonts w:eastAsia="Calibri"/>
                <w:color w:val="000000"/>
              </w:rPr>
              <w:t>±50</w:t>
            </w:r>
          </w:p>
        </w:tc>
        <w:tc>
          <w:tcPr>
            <w:tcW w:w="0" w:type="auto"/>
            <w:shd w:val="clear" w:color="auto" w:fill="FFFFFF"/>
            <w:tcMar>
              <w:top w:w="0" w:type="dxa"/>
              <w:left w:w="108" w:type="dxa"/>
              <w:bottom w:w="0" w:type="dxa"/>
              <w:right w:w="108" w:type="dxa"/>
            </w:tcMar>
          </w:tcPr>
          <w:p w14:paraId="60D15FA4" w14:textId="77777777" w:rsidR="00422EFE" w:rsidRPr="00261B7A" w:rsidRDefault="00422EFE" w:rsidP="00D41492">
            <w:pPr>
              <w:pStyle w:val="TableText"/>
              <w:spacing w:before="40" w:after="40"/>
            </w:pPr>
            <w:r w:rsidRPr="00261B7A">
              <w:rPr>
                <w:rFonts w:eastAsia="Calibri"/>
                <w:color w:val="000000"/>
              </w:rPr>
              <w:t>±100</w:t>
            </w:r>
          </w:p>
        </w:tc>
      </w:tr>
      <w:tr w:rsidR="00422EFE" w:rsidRPr="00261B7A" w14:paraId="4FC7D86C" w14:textId="77777777" w:rsidTr="00D41492">
        <w:tc>
          <w:tcPr>
            <w:tcW w:w="0" w:type="auto"/>
            <w:shd w:val="clear" w:color="auto" w:fill="FFFFFF"/>
            <w:tcMar>
              <w:top w:w="0" w:type="dxa"/>
              <w:left w:w="108" w:type="dxa"/>
              <w:bottom w:w="0" w:type="dxa"/>
              <w:right w:w="108" w:type="dxa"/>
            </w:tcMar>
          </w:tcPr>
          <w:p w14:paraId="7EE2C51C" w14:textId="77777777" w:rsidR="00422EFE" w:rsidRPr="00261B7A" w:rsidRDefault="00422EFE" w:rsidP="00D41492">
            <w:pPr>
              <w:pStyle w:val="TableText"/>
              <w:spacing w:before="40" w:after="40"/>
            </w:pPr>
            <w:r w:rsidRPr="00261B7A">
              <w:rPr>
                <w:rFonts w:eastAsia="Calibri"/>
                <w:color w:val="000000"/>
              </w:rPr>
              <w:t>Waste incineration and open burning (N₂O)</w:t>
            </w:r>
          </w:p>
        </w:tc>
        <w:tc>
          <w:tcPr>
            <w:tcW w:w="0" w:type="auto"/>
            <w:shd w:val="clear" w:color="auto" w:fill="FFFFFF"/>
            <w:tcMar>
              <w:top w:w="0" w:type="dxa"/>
              <w:left w:w="108" w:type="dxa"/>
              <w:bottom w:w="0" w:type="dxa"/>
              <w:right w:w="108" w:type="dxa"/>
            </w:tcMar>
          </w:tcPr>
          <w:p w14:paraId="5CB0AF4B" w14:textId="77777777" w:rsidR="00422EFE" w:rsidRPr="00261B7A" w:rsidRDefault="00422EFE" w:rsidP="00D41492">
            <w:pPr>
              <w:pStyle w:val="TableText"/>
              <w:spacing w:before="40" w:after="40"/>
            </w:pPr>
            <w:r w:rsidRPr="00261B7A">
              <w:rPr>
                <w:rFonts w:eastAsia="Calibri"/>
                <w:color w:val="000000"/>
              </w:rPr>
              <w:t>±50</w:t>
            </w:r>
          </w:p>
        </w:tc>
        <w:tc>
          <w:tcPr>
            <w:tcW w:w="0" w:type="auto"/>
            <w:shd w:val="clear" w:color="auto" w:fill="FFFFFF"/>
            <w:tcMar>
              <w:top w:w="0" w:type="dxa"/>
              <w:left w:w="108" w:type="dxa"/>
              <w:bottom w:w="0" w:type="dxa"/>
              <w:right w:w="108" w:type="dxa"/>
            </w:tcMar>
          </w:tcPr>
          <w:p w14:paraId="0141AE49" w14:textId="77777777" w:rsidR="00422EFE" w:rsidRPr="00261B7A" w:rsidRDefault="00422EFE" w:rsidP="00D41492">
            <w:pPr>
              <w:pStyle w:val="TableText"/>
              <w:spacing w:before="40" w:after="40"/>
            </w:pPr>
            <w:r w:rsidRPr="00261B7A">
              <w:rPr>
                <w:rFonts w:eastAsia="Calibri"/>
                <w:color w:val="000000"/>
              </w:rPr>
              <w:t>±100</w:t>
            </w:r>
          </w:p>
        </w:tc>
      </w:tr>
    </w:tbl>
    <w:p w14:paraId="40C68007" w14:textId="77777777" w:rsidR="00422EFE" w:rsidRPr="00261B7A" w:rsidRDefault="00422EFE" w:rsidP="00422EFE">
      <w:pPr>
        <w:pStyle w:val="Heading4"/>
        <w:spacing w:before="360"/>
      </w:pPr>
      <w:bookmarkStart w:id="2537" w:name="time-series-consistency-2"/>
      <w:bookmarkEnd w:id="2534"/>
      <w:r w:rsidRPr="00261B7A">
        <w:t>Time-series consistency</w:t>
      </w:r>
    </w:p>
    <w:p w14:paraId="1A2A54DA" w14:textId="77777777" w:rsidR="00422EFE" w:rsidRPr="00261B7A" w:rsidRDefault="00422EFE" w:rsidP="00422EFE">
      <w:pPr>
        <w:pStyle w:val="BodyText"/>
      </w:pPr>
      <w:r w:rsidRPr="00261B7A">
        <w:t>Time-series consistency is ensured by the use of consistent models and parameters across the period. Where changes to methodologies or emission factors have occurred, a full time-series recalculation is conducted.</w:t>
      </w:r>
    </w:p>
    <w:p w14:paraId="6505ED89" w14:textId="77777777" w:rsidR="00422EFE" w:rsidRPr="00261B7A" w:rsidRDefault="00422EFE" w:rsidP="00A65BBE">
      <w:pPr>
        <w:pStyle w:val="Heading3"/>
      </w:pPr>
      <w:bookmarkStart w:id="2538" w:name="source-specific-qaqc-and-verification-1"/>
      <w:bookmarkEnd w:id="2533"/>
      <w:bookmarkEnd w:id="2537"/>
      <w:r w:rsidRPr="00261B7A">
        <w:t xml:space="preserve">7.4.4 </w:t>
      </w:r>
      <w:r w:rsidRPr="00261B7A">
        <w:tab/>
        <w:t>Source-specific QA/QC and verification</w:t>
      </w:r>
    </w:p>
    <w:p w14:paraId="2F767F68" w14:textId="77777777" w:rsidR="00422EFE" w:rsidRPr="00261B7A" w:rsidRDefault="00422EFE" w:rsidP="00422EFE">
      <w:pPr>
        <w:pStyle w:val="BodyText"/>
      </w:pPr>
      <w:r w:rsidRPr="00261B7A">
        <w:t xml:space="preserve">Quality-assurance and quality-control checks are carried out where possible. Detailed quality-assurance and quality-control efforts for the Waste sector focus on the </w:t>
      </w:r>
      <w:r w:rsidRPr="00261B7A">
        <w:rPr>
          <w:i/>
          <w:iCs/>
        </w:rPr>
        <w:t>Solid waste disposal</w:t>
      </w:r>
      <w:r w:rsidRPr="00261B7A">
        <w:t xml:space="preserve"> to land and </w:t>
      </w:r>
      <w:r w:rsidRPr="00261B7A">
        <w:rPr>
          <w:i/>
          <w:iCs/>
        </w:rPr>
        <w:t>Wastewater treatment and discharge</w:t>
      </w:r>
      <w:r w:rsidRPr="00261B7A">
        <w:t xml:space="preserve"> categories. Activity data for open burning are derived from the landfill data.</w:t>
      </w:r>
    </w:p>
    <w:p w14:paraId="70027C10" w14:textId="77777777" w:rsidR="00422EFE" w:rsidRPr="00261B7A" w:rsidRDefault="00422EFE" w:rsidP="00A65BBE">
      <w:pPr>
        <w:pStyle w:val="Heading3"/>
      </w:pPr>
      <w:bookmarkStart w:id="2539" w:name="source-specific-recalculations-2"/>
      <w:bookmarkEnd w:id="2538"/>
      <w:r w:rsidRPr="00261B7A">
        <w:t xml:space="preserve">7.4.5 </w:t>
      </w:r>
      <w:r w:rsidRPr="00261B7A">
        <w:tab/>
        <w:t>Source-specific recalculations</w:t>
      </w:r>
    </w:p>
    <w:p w14:paraId="2A5E765D" w14:textId="77777777" w:rsidR="00422EFE" w:rsidRPr="00261B7A" w:rsidRDefault="00422EFE" w:rsidP="00422EFE">
      <w:pPr>
        <w:pStyle w:val="BodyText"/>
      </w:pPr>
      <w:r w:rsidRPr="00261B7A">
        <w:t xml:space="preserve">No recalculations have been made for </w:t>
      </w:r>
      <w:r w:rsidRPr="00261B7A">
        <w:rPr>
          <w:i/>
          <w:iCs/>
        </w:rPr>
        <w:t>Incineration and open burning of waste</w:t>
      </w:r>
      <w:r w:rsidRPr="00261B7A">
        <w:t>.</w:t>
      </w:r>
    </w:p>
    <w:p w14:paraId="04EF8DB4" w14:textId="77777777" w:rsidR="00422EFE" w:rsidRPr="00261B7A" w:rsidRDefault="00422EFE" w:rsidP="00A65BBE">
      <w:pPr>
        <w:pStyle w:val="Heading3"/>
      </w:pPr>
      <w:bookmarkStart w:id="2540" w:name="source-specific-planned-improvements-2"/>
      <w:bookmarkEnd w:id="2539"/>
      <w:r w:rsidRPr="00261B7A">
        <w:t xml:space="preserve">7.4.6 </w:t>
      </w:r>
      <w:r w:rsidRPr="00261B7A">
        <w:tab/>
        <w:t>Source-specific planned improvements</w:t>
      </w:r>
    </w:p>
    <w:p w14:paraId="751BE38A" w14:textId="77777777" w:rsidR="00422EFE" w:rsidRPr="00261B7A" w:rsidRDefault="00422EFE" w:rsidP="00422EFE">
      <w:pPr>
        <w:pStyle w:val="BodyText"/>
      </w:pPr>
      <w:r w:rsidRPr="00261B7A">
        <w:t xml:space="preserve">No specific improvements are planned for this category. Over time, surveys by local authorities on disposal of waste in the farm sector may provide a better understanding of open burning in the farm sector. Further work is needed to understand the ratio of farm waste disposed to open burning or landfills (also see section 7.2.6). Anecdotal evidence suggests that incineration may be occurring at lower volumes than is assumed. Changes will be made when evidence </w:t>
      </w:r>
      <w:r w:rsidRPr="00261B7A">
        <w:rPr>
          <w:spacing w:val="-2"/>
        </w:rPr>
        <w:t>becomes available to confirm this, noting that emissions from incineration are under 1 per cent</w:t>
      </w:r>
      <w:r w:rsidRPr="00261B7A">
        <w:t xml:space="preserve"> of the Waste sector, and that there are other incineration sources (eg, rural schools) currently not estimated.</w:t>
      </w:r>
    </w:p>
    <w:p w14:paraId="49F52B54" w14:textId="77777777" w:rsidR="00422EFE" w:rsidRPr="00261B7A" w:rsidRDefault="00422EFE" w:rsidP="00A638DC">
      <w:pPr>
        <w:pStyle w:val="Heading2"/>
      </w:pPr>
      <w:bookmarkStart w:id="2541" w:name="_Toc131591264"/>
      <w:bookmarkStart w:id="2542" w:name="wastewater-treatment-and-discharge-5.d"/>
      <w:bookmarkEnd w:id="2511"/>
      <w:bookmarkEnd w:id="2540"/>
      <w:r w:rsidRPr="00261B7A">
        <w:t xml:space="preserve">7.5 </w:t>
      </w:r>
      <w:r w:rsidRPr="00261B7A">
        <w:tab/>
        <w:t>Wastewater treatment and discharge (5.D)</w:t>
      </w:r>
      <w:bookmarkEnd w:id="2541"/>
    </w:p>
    <w:p w14:paraId="5D8C1BA4" w14:textId="77777777" w:rsidR="00422EFE" w:rsidRPr="00261B7A" w:rsidRDefault="00422EFE" w:rsidP="00A65BBE">
      <w:pPr>
        <w:pStyle w:val="Heading3"/>
        <w:spacing w:before="240"/>
      </w:pPr>
      <w:bookmarkStart w:id="2543" w:name="description-3"/>
      <w:r w:rsidRPr="00261B7A">
        <w:t xml:space="preserve">7.5.1 </w:t>
      </w:r>
      <w:r w:rsidRPr="00261B7A">
        <w:tab/>
        <w:t>Description</w:t>
      </w:r>
    </w:p>
    <w:p w14:paraId="630D5285" w14:textId="77777777" w:rsidR="00422EFE" w:rsidRPr="00261B7A" w:rsidRDefault="00422EFE" w:rsidP="00422EFE">
      <w:pPr>
        <w:pStyle w:val="BodyText"/>
      </w:pPr>
      <w:r w:rsidRPr="00261B7A">
        <w:t xml:space="preserve">In 2021, </w:t>
      </w:r>
      <w:r w:rsidRPr="00261B7A">
        <w:rPr>
          <w:i/>
          <w:iCs/>
        </w:rPr>
        <w:t>Wastewater treatment and discharge</w:t>
      </w:r>
      <w:r w:rsidRPr="00261B7A">
        <w:t xml:space="preserve"> contributed 377.6 kt CO</w:t>
      </w:r>
      <w:r w:rsidRPr="00261B7A">
        <w:rPr>
          <w:vertAlign w:val="subscript"/>
        </w:rPr>
        <w:t>2</w:t>
      </w:r>
      <w:r w:rsidRPr="00261B7A">
        <w:t>-e (11.7 per cent) of emissions from the Waste sector. This was an increase of 71.6 kt CO</w:t>
      </w:r>
      <w:r w:rsidRPr="00261B7A">
        <w:rPr>
          <w:vertAlign w:val="subscript"/>
        </w:rPr>
        <w:t>2</w:t>
      </w:r>
      <w:r w:rsidRPr="00261B7A">
        <w:t>-e (23.4 per cent) from the 1990 level of 306.0 kt CO</w:t>
      </w:r>
      <w:r w:rsidRPr="00261B7A">
        <w:rPr>
          <w:vertAlign w:val="subscript"/>
        </w:rPr>
        <w:t>2</w:t>
      </w:r>
      <w:r w:rsidRPr="00261B7A">
        <w:t>-e and is due to increases in the volume of industrial and domestic wastewater handled over this period.</w:t>
      </w:r>
    </w:p>
    <w:p w14:paraId="1123A065" w14:textId="77777777" w:rsidR="00422EFE" w:rsidRPr="00261B7A" w:rsidRDefault="00422EFE" w:rsidP="00422EFE">
      <w:pPr>
        <w:pStyle w:val="BodyText"/>
      </w:pPr>
      <w:r w:rsidRPr="00261B7A">
        <w:t xml:space="preserve">Small amounts of industrial wastewater are applied as organic amendments to agricultural soils, as well as an extremely small amount of sewage sludge (van der Weerden et al., 2014). Any emissions from this practice are likely to be insignificant and are reported as ‘not estimated’ under the Agriculture sector (see chapter 5, section 5.5.2). Table 7.5.1 presents emissions from </w:t>
      </w:r>
      <w:r w:rsidRPr="00261B7A">
        <w:rPr>
          <w:i/>
          <w:iCs/>
        </w:rPr>
        <w:t>Wastewater treatment and discharge</w:t>
      </w:r>
      <w:r w:rsidRPr="00261B7A">
        <w:t>.</w:t>
      </w:r>
    </w:p>
    <w:p w14:paraId="1ECD01A2" w14:textId="77777777" w:rsidR="00422EFE" w:rsidRPr="00261B7A" w:rsidRDefault="00422EFE" w:rsidP="00422EFE">
      <w:pPr>
        <w:pStyle w:val="BodyText"/>
      </w:pPr>
      <w:r w:rsidRPr="00261B7A">
        <w:t xml:space="preserve">Sludge amounts are reported as included elsewhere (IE) for domestic and industrial wastewater because most of the sludge is sent to landfills, and activity data and emissions from its disposal are reported in the </w:t>
      </w:r>
      <w:r w:rsidRPr="00261B7A">
        <w:rPr>
          <w:i/>
          <w:iCs/>
        </w:rPr>
        <w:t>Solid waste</w:t>
      </w:r>
      <w:r w:rsidRPr="00261B7A">
        <w:t xml:space="preserve"> </w:t>
      </w:r>
      <w:r w:rsidRPr="00261B7A">
        <w:rPr>
          <w:i/>
          <w:iCs/>
        </w:rPr>
        <w:t>disposal</w:t>
      </w:r>
      <w:r w:rsidRPr="00261B7A">
        <w:t xml:space="preserve"> source category (Tonkin and Taylor Ltd, unpublished(a)).</w:t>
      </w:r>
    </w:p>
    <w:p w14:paraId="39C46D82" w14:textId="77777777" w:rsidR="00422EFE" w:rsidRPr="00261B7A" w:rsidRDefault="00422EFE" w:rsidP="00422EFE">
      <w:pPr>
        <w:pStyle w:val="Table"/>
      </w:pPr>
      <w:bookmarkStart w:id="2544" w:name="_Toc128383679"/>
      <w:bookmarkStart w:id="2545" w:name="_Toc131591452"/>
      <w:r w:rsidRPr="00261B7A">
        <w:t xml:space="preserve">Table 7.5.1 </w:t>
      </w:r>
      <w:r w:rsidRPr="00261B7A">
        <w:tab/>
        <w:t xml:space="preserve">Emissions from </w:t>
      </w:r>
      <w:r w:rsidRPr="00261B7A">
        <w:rPr>
          <w:i/>
          <w:iCs/>
        </w:rPr>
        <w:t>Wastewater treatment and discharge</w:t>
      </w:r>
      <w:r w:rsidRPr="00261B7A">
        <w:t xml:space="preserve"> (5.D)</w:t>
      </w:r>
      <w:bookmarkEnd w:id="2544"/>
      <w:bookmarkEnd w:id="2545"/>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890"/>
        <w:gridCol w:w="1060"/>
        <w:gridCol w:w="1060"/>
        <w:gridCol w:w="1936"/>
        <w:gridCol w:w="1559"/>
      </w:tblGrid>
      <w:tr w:rsidR="00422EFE" w:rsidRPr="00261B7A" w14:paraId="6D97DA13" w14:textId="77777777" w:rsidTr="00D41492">
        <w:trPr>
          <w:tblHeader/>
        </w:trPr>
        <w:tc>
          <w:tcPr>
            <w:tcW w:w="0" w:type="auto"/>
            <w:shd w:val="clear" w:color="auto" w:fill="1B556B"/>
            <w:tcMar>
              <w:top w:w="0" w:type="dxa"/>
              <w:left w:w="108" w:type="dxa"/>
              <w:bottom w:w="0" w:type="dxa"/>
              <w:right w:w="108" w:type="dxa"/>
            </w:tcMar>
          </w:tcPr>
          <w:p w14:paraId="3FA9DCE8" w14:textId="77777777" w:rsidR="00422EFE" w:rsidRPr="00261B7A" w:rsidRDefault="00422EFE" w:rsidP="00F82FBB">
            <w:pPr>
              <w:pStyle w:val="TableText"/>
              <w:spacing w:before="40" w:after="40"/>
              <w:rPr>
                <w:b/>
                <w:bCs/>
                <w:color w:val="FFFFFF" w:themeColor="background1"/>
              </w:rPr>
            </w:pPr>
            <w:r w:rsidRPr="00261B7A">
              <w:rPr>
                <w:rFonts w:eastAsia="Calibri"/>
                <w:b/>
                <w:bCs/>
                <w:color w:val="FFFFFF" w:themeColor="background1"/>
              </w:rPr>
              <w:t xml:space="preserve"> </w:t>
            </w:r>
          </w:p>
        </w:tc>
        <w:tc>
          <w:tcPr>
            <w:tcW w:w="0" w:type="auto"/>
            <w:gridSpan w:val="2"/>
            <w:shd w:val="clear" w:color="auto" w:fill="1B556B"/>
            <w:tcMar>
              <w:top w:w="0" w:type="dxa"/>
              <w:left w:w="108" w:type="dxa"/>
              <w:bottom w:w="0" w:type="dxa"/>
              <w:right w:w="108" w:type="dxa"/>
            </w:tcMar>
          </w:tcPr>
          <w:p w14:paraId="728C9176" w14:textId="77777777" w:rsidR="00422EFE" w:rsidRPr="00261B7A" w:rsidRDefault="00422EFE" w:rsidP="00797D34">
            <w:pPr>
              <w:pStyle w:val="TableText"/>
              <w:spacing w:before="40" w:after="40"/>
              <w:jc w:val="right"/>
              <w:rPr>
                <w:b/>
                <w:bCs/>
                <w:color w:val="FFFFFF" w:themeColor="background1"/>
              </w:rPr>
            </w:pPr>
            <w:r w:rsidRPr="00261B7A">
              <w:rPr>
                <w:rFonts w:eastAsia="Calibri"/>
                <w:b/>
                <w:bCs/>
                <w:color w:val="FFFFFF" w:themeColor="background1"/>
              </w:rPr>
              <w:t>Emissions (kt CO₂-e)</w:t>
            </w:r>
          </w:p>
        </w:tc>
        <w:tc>
          <w:tcPr>
            <w:tcW w:w="1936" w:type="dxa"/>
            <w:shd w:val="clear" w:color="auto" w:fill="1B556B"/>
            <w:tcMar>
              <w:top w:w="0" w:type="dxa"/>
              <w:left w:w="108" w:type="dxa"/>
              <w:bottom w:w="0" w:type="dxa"/>
              <w:right w:w="108" w:type="dxa"/>
            </w:tcMar>
          </w:tcPr>
          <w:p w14:paraId="15B54C43" w14:textId="77777777" w:rsidR="00422EFE" w:rsidRPr="00261B7A" w:rsidRDefault="00422EFE" w:rsidP="00797D34">
            <w:pPr>
              <w:pStyle w:val="TableText"/>
              <w:spacing w:before="40" w:after="40"/>
              <w:jc w:val="right"/>
              <w:rPr>
                <w:b/>
                <w:bCs/>
                <w:color w:val="FFFFFF" w:themeColor="background1"/>
              </w:rPr>
            </w:pPr>
            <w:r w:rsidRPr="00261B7A">
              <w:rPr>
                <w:rFonts w:eastAsia="Calibri"/>
                <w:b/>
                <w:bCs/>
                <w:color w:val="FFFFFF" w:themeColor="background1"/>
              </w:rPr>
              <w:t>Difference (kt CO₂-e)</w:t>
            </w:r>
          </w:p>
        </w:tc>
        <w:tc>
          <w:tcPr>
            <w:tcW w:w="1559" w:type="dxa"/>
            <w:shd w:val="clear" w:color="auto" w:fill="1B556B"/>
            <w:tcMar>
              <w:top w:w="0" w:type="dxa"/>
              <w:left w:w="108" w:type="dxa"/>
              <w:bottom w:w="0" w:type="dxa"/>
              <w:right w:w="108" w:type="dxa"/>
            </w:tcMar>
          </w:tcPr>
          <w:p w14:paraId="673B6B7F" w14:textId="77777777" w:rsidR="00422EFE" w:rsidRPr="00261B7A" w:rsidRDefault="00422EFE" w:rsidP="00797D34">
            <w:pPr>
              <w:pStyle w:val="TableText"/>
              <w:spacing w:before="40" w:after="40"/>
              <w:jc w:val="right"/>
              <w:rPr>
                <w:b/>
                <w:bCs/>
                <w:color w:val="FFFFFF" w:themeColor="background1"/>
              </w:rPr>
            </w:pPr>
            <w:r w:rsidRPr="00261B7A">
              <w:rPr>
                <w:rFonts w:eastAsia="Calibri"/>
                <w:b/>
                <w:bCs/>
                <w:color w:val="FFFFFF" w:themeColor="background1"/>
              </w:rPr>
              <w:t>Change (%)</w:t>
            </w:r>
          </w:p>
        </w:tc>
      </w:tr>
      <w:tr w:rsidR="00422EFE" w:rsidRPr="00261B7A" w14:paraId="40669BFA" w14:textId="77777777" w:rsidTr="00D41492">
        <w:tc>
          <w:tcPr>
            <w:tcW w:w="0" w:type="auto"/>
            <w:shd w:val="clear" w:color="auto" w:fill="FFFFFF"/>
            <w:tcMar>
              <w:top w:w="0" w:type="dxa"/>
              <w:left w:w="108" w:type="dxa"/>
              <w:bottom w:w="0" w:type="dxa"/>
              <w:right w:w="108" w:type="dxa"/>
            </w:tcMar>
          </w:tcPr>
          <w:p w14:paraId="7595FD2A" w14:textId="77777777" w:rsidR="00422EFE" w:rsidRPr="00261B7A" w:rsidRDefault="00422EFE" w:rsidP="00F82FBB">
            <w:pPr>
              <w:pStyle w:val="TableText"/>
              <w:spacing w:before="40" w:after="40"/>
            </w:pPr>
            <w:r w:rsidRPr="00261B7A">
              <w:rPr>
                <w:rFonts w:eastAsia="Calibri"/>
              </w:rPr>
              <w:t>Source category</w:t>
            </w:r>
          </w:p>
        </w:tc>
        <w:tc>
          <w:tcPr>
            <w:tcW w:w="0" w:type="auto"/>
            <w:shd w:val="clear" w:color="auto" w:fill="FFFFFF"/>
            <w:tcMar>
              <w:top w:w="0" w:type="dxa"/>
              <w:left w:w="108" w:type="dxa"/>
              <w:bottom w:w="0" w:type="dxa"/>
              <w:right w:w="108" w:type="dxa"/>
            </w:tcMar>
          </w:tcPr>
          <w:p w14:paraId="161E349D" w14:textId="77777777" w:rsidR="00422EFE" w:rsidRPr="00261B7A" w:rsidRDefault="00422EFE" w:rsidP="00797D34">
            <w:pPr>
              <w:pStyle w:val="TableText"/>
              <w:spacing w:before="40" w:after="40"/>
              <w:jc w:val="right"/>
            </w:pPr>
            <w:r w:rsidRPr="00261B7A">
              <w:rPr>
                <w:rFonts w:eastAsia="Calibri"/>
              </w:rPr>
              <w:t>1990</w:t>
            </w:r>
          </w:p>
        </w:tc>
        <w:tc>
          <w:tcPr>
            <w:tcW w:w="0" w:type="auto"/>
            <w:shd w:val="clear" w:color="auto" w:fill="FFFFFF"/>
            <w:tcMar>
              <w:top w:w="0" w:type="dxa"/>
              <w:left w:w="108" w:type="dxa"/>
              <w:bottom w:w="0" w:type="dxa"/>
              <w:right w:w="108" w:type="dxa"/>
            </w:tcMar>
          </w:tcPr>
          <w:p w14:paraId="1FD5245C" w14:textId="77777777" w:rsidR="00422EFE" w:rsidRPr="00261B7A" w:rsidRDefault="00422EFE" w:rsidP="00797D34">
            <w:pPr>
              <w:pStyle w:val="TableText"/>
              <w:spacing w:before="40" w:after="40"/>
              <w:jc w:val="right"/>
            </w:pPr>
            <w:r w:rsidRPr="00261B7A">
              <w:rPr>
                <w:rFonts w:eastAsia="Calibri"/>
              </w:rPr>
              <w:t>2021</w:t>
            </w:r>
          </w:p>
        </w:tc>
        <w:tc>
          <w:tcPr>
            <w:tcW w:w="1936" w:type="dxa"/>
            <w:shd w:val="clear" w:color="auto" w:fill="FFFFFF"/>
            <w:tcMar>
              <w:top w:w="0" w:type="dxa"/>
              <w:left w:w="108" w:type="dxa"/>
              <w:bottom w:w="0" w:type="dxa"/>
              <w:right w:w="108" w:type="dxa"/>
            </w:tcMar>
          </w:tcPr>
          <w:p w14:paraId="4EE08F2C" w14:textId="77777777" w:rsidR="00422EFE" w:rsidRPr="00261B7A" w:rsidRDefault="00422EFE" w:rsidP="00797D34">
            <w:pPr>
              <w:pStyle w:val="TableText"/>
              <w:spacing w:before="40" w:after="40"/>
              <w:jc w:val="right"/>
            </w:pPr>
            <w:r w:rsidRPr="00261B7A">
              <w:rPr>
                <w:rFonts w:eastAsia="Calibri"/>
              </w:rPr>
              <w:t>1990–2021</w:t>
            </w:r>
          </w:p>
        </w:tc>
        <w:tc>
          <w:tcPr>
            <w:tcW w:w="1559" w:type="dxa"/>
            <w:shd w:val="clear" w:color="auto" w:fill="FFFFFF"/>
            <w:tcMar>
              <w:top w:w="0" w:type="dxa"/>
              <w:left w:w="108" w:type="dxa"/>
              <w:bottom w:w="0" w:type="dxa"/>
              <w:right w:w="108" w:type="dxa"/>
            </w:tcMar>
          </w:tcPr>
          <w:p w14:paraId="17E17C34" w14:textId="77777777" w:rsidR="00422EFE" w:rsidRPr="00261B7A" w:rsidRDefault="00422EFE" w:rsidP="00797D34">
            <w:pPr>
              <w:pStyle w:val="TableText"/>
              <w:spacing w:before="40" w:after="40"/>
              <w:jc w:val="right"/>
            </w:pPr>
            <w:r w:rsidRPr="00261B7A">
              <w:rPr>
                <w:rFonts w:eastAsia="Calibri"/>
              </w:rPr>
              <w:t>1990–2021</w:t>
            </w:r>
          </w:p>
        </w:tc>
      </w:tr>
      <w:tr w:rsidR="00422EFE" w:rsidRPr="00261B7A" w14:paraId="0D254FBA" w14:textId="77777777" w:rsidTr="00D41492">
        <w:tc>
          <w:tcPr>
            <w:tcW w:w="0" w:type="auto"/>
            <w:shd w:val="clear" w:color="auto" w:fill="FFFFFF"/>
            <w:tcMar>
              <w:top w:w="0" w:type="dxa"/>
              <w:left w:w="108" w:type="dxa"/>
              <w:bottom w:w="0" w:type="dxa"/>
              <w:right w:w="108" w:type="dxa"/>
            </w:tcMar>
          </w:tcPr>
          <w:p w14:paraId="3B7A8B6E" w14:textId="77777777" w:rsidR="00422EFE" w:rsidRPr="00261B7A" w:rsidRDefault="00422EFE" w:rsidP="00F82FBB">
            <w:pPr>
              <w:pStyle w:val="TableText"/>
              <w:spacing w:before="40" w:after="40"/>
            </w:pPr>
            <w:r w:rsidRPr="00261B7A">
              <w:rPr>
                <w:rFonts w:eastAsia="Calibri"/>
              </w:rPr>
              <w:t>Domestic wastewater (5.D.1)</w:t>
            </w:r>
          </w:p>
        </w:tc>
        <w:tc>
          <w:tcPr>
            <w:tcW w:w="0" w:type="auto"/>
            <w:shd w:val="clear" w:color="auto" w:fill="FFFFFF"/>
            <w:tcMar>
              <w:top w:w="0" w:type="dxa"/>
              <w:left w:w="108" w:type="dxa"/>
              <w:bottom w:w="0" w:type="dxa"/>
              <w:right w:w="108" w:type="dxa"/>
            </w:tcMar>
          </w:tcPr>
          <w:p w14:paraId="6743CAFB" w14:textId="77777777" w:rsidR="00422EFE" w:rsidRPr="00261B7A" w:rsidRDefault="00422EFE" w:rsidP="00797D34">
            <w:pPr>
              <w:pStyle w:val="TableText"/>
              <w:spacing w:before="40" w:after="40"/>
              <w:jc w:val="right"/>
            </w:pPr>
            <w:r w:rsidRPr="00261B7A">
              <w:rPr>
                <w:rFonts w:eastAsia="Calibri"/>
              </w:rPr>
              <w:t>212.7</w:t>
            </w:r>
          </w:p>
        </w:tc>
        <w:tc>
          <w:tcPr>
            <w:tcW w:w="0" w:type="auto"/>
            <w:shd w:val="clear" w:color="auto" w:fill="FFFFFF"/>
            <w:tcMar>
              <w:top w:w="0" w:type="dxa"/>
              <w:left w:w="108" w:type="dxa"/>
              <w:bottom w:w="0" w:type="dxa"/>
              <w:right w:w="108" w:type="dxa"/>
            </w:tcMar>
          </w:tcPr>
          <w:p w14:paraId="2ECEFF16" w14:textId="77777777" w:rsidR="00422EFE" w:rsidRPr="00261B7A" w:rsidRDefault="00422EFE" w:rsidP="00797D34">
            <w:pPr>
              <w:pStyle w:val="TableText"/>
              <w:spacing w:before="40" w:after="40"/>
              <w:jc w:val="right"/>
            </w:pPr>
            <w:r w:rsidRPr="00261B7A">
              <w:rPr>
                <w:rFonts w:eastAsia="Calibri"/>
              </w:rPr>
              <w:t>276.2</w:t>
            </w:r>
          </w:p>
        </w:tc>
        <w:tc>
          <w:tcPr>
            <w:tcW w:w="1936" w:type="dxa"/>
            <w:shd w:val="clear" w:color="auto" w:fill="FFFFFF"/>
            <w:tcMar>
              <w:top w:w="0" w:type="dxa"/>
              <w:left w:w="108" w:type="dxa"/>
              <w:bottom w:w="0" w:type="dxa"/>
              <w:right w:w="108" w:type="dxa"/>
            </w:tcMar>
          </w:tcPr>
          <w:p w14:paraId="561CCB27" w14:textId="77777777" w:rsidR="00422EFE" w:rsidRPr="00261B7A" w:rsidRDefault="00422EFE" w:rsidP="00797D34">
            <w:pPr>
              <w:pStyle w:val="TableText"/>
              <w:spacing w:before="40" w:after="40"/>
              <w:jc w:val="right"/>
            </w:pPr>
            <w:r w:rsidRPr="00261B7A">
              <w:rPr>
                <w:rFonts w:eastAsia="Calibri"/>
              </w:rPr>
              <w:t>63.5</w:t>
            </w:r>
          </w:p>
        </w:tc>
        <w:tc>
          <w:tcPr>
            <w:tcW w:w="1559" w:type="dxa"/>
            <w:shd w:val="clear" w:color="auto" w:fill="FFFFFF"/>
            <w:tcMar>
              <w:top w:w="0" w:type="dxa"/>
              <w:left w:w="108" w:type="dxa"/>
              <w:bottom w:w="0" w:type="dxa"/>
              <w:right w:w="108" w:type="dxa"/>
            </w:tcMar>
          </w:tcPr>
          <w:p w14:paraId="29AA810B" w14:textId="77777777" w:rsidR="00422EFE" w:rsidRPr="00261B7A" w:rsidRDefault="00422EFE" w:rsidP="00797D34">
            <w:pPr>
              <w:pStyle w:val="TableText"/>
              <w:spacing w:before="40" w:after="40"/>
              <w:jc w:val="right"/>
            </w:pPr>
            <w:r w:rsidRPr="00261B7A">
              <w:rPr>
                <w:rFonts w:eastAsia="Calibri"/>
              </w:rPr>
              <w:t>29.9</w:t>
            </w:r>
          </w:p>
        </w:tc>
      </w:tr>
      <w:tr w:rsidR="00422EFE" w:rsidRPr="00261B7A" w14:paraId="767E3E97" w14:textId="77777777" w:rsidTr="00D41492">
        <w:tc>
          <w:tcPr>
            <w:tcW w:w="0" w:type="auto"/>
            <w:shd w:val="clear" w:color="auto" w:fill="FFFFFF"/>
            <w:tcMar>
              <w:top w:w="0" w:type="dxa"/>
              <w:left w:w="108" w:type="dxa"/>
              <w:bottom w:w="0" w:type="dxa"/>
              <w:right w:w="108" w:type="dxa"/>
            </w:tcMar>
          </w:tcPr>
          <w:p w14:paraId="6B70460B" w14:textId="77777777" w:rsidR="00422EFE" w:rsidRPr="00261B7A" w:rsidRDefault="00422EFE" w:rsidP="00F82FBB">
            <w:pPr>
              <w:pStyle w:val="TableText"/>
              <w:spacing w:before="40" w:after="40"/>
            </w:pPr>
            <w:r w:rsidRPr="00261B7A">
              <w:rPr>
                <w:rFonts w:eastAsia="Calibri"/>
              </w:rPr>
              <w:t>Industrial wastewater (5.D.2)</w:t>
            </w:r>
          </w:p>
        </w:tc>
        <w:tc>
          <w:tcPr>
            <w:tcW w:w="0" w:type="auto"/>
            <w:shd w:val="clear" w:color="auto" w:fill="FFFFFF"/>
            <w:tcMar>
              <w:top w:w="0" w:type="dxa"/>
              <w:left w:w="108" w:type="dxa"/>
              <w:bottom w:w="0" w:type="dxa"/>
              <w:right w:w="108" w:type="dxa"/>
            </w:tcMar>
          </w:tcPr>
          <w:p w14:paraId="4D3C0C08" w14:textId="77777777" w:rsidR="00422EFE" w:rsidRPr="00261B7A" w:rsidRDefault="00422EFE" w:rsidP="00797D34">
            <w:pPr>
              <w:pStyle w:val="TableText"/>
              <w:spacing w:before="40" w:after="40"/>
              <w:jc w:val="right"/>
            </w:pPr>
            <w:r w:rsidRPr="00261B7A">
              <w:rPr>
                <w:rFonts w:eastAsia="Calibri"/>
              </w:rPr>
              <w:t>93.3</w:t>
            </w:r>
          </w:p>
        </w:tc>
        <w:tc>
          <w:tcPr>
            <w:tcW w:w="0" w:type="auto"/>
            <w:shd w:val="clear" w:color="auto" w:fill="FFFFFF"/>
            <w:tcMar>
              <w:top w:w="0" w:type="dxa"/>
              <w:left w:w="108" w:type="dxa"/>
              <w:bottom w:w="0" w:type="dxa"/>
              <w:right w:w="108" w:type="dxa"/>
            </w:tcMar>
          </w:tcPr>
          <w:p w14:paraId="13A66873" w14:textId="77777777" w:rsidR="00422EFE" w:rsidRPr="00261B7A" w:rsidRDefault="00422EFE" w:rsidP="00797D34">
            <w:pPr>
              <w:pStyle w:val="TableText"/>
              <w:spacing w:before="40" w:after="40"/>
              <w:jc w:val="right"/>
            </w:pPr>
            <w:r w:rsidRPr="00261B7A">
              <w:rPr>
                <w:rFonts w:eastAsia="Calibri"/>
              </w:rPr>
              <w:t>101.4</w:t>
            </w:r>
          </w:p>
        </w:tc>
        <w:tc>
          <w:tcPr>
            <w:tcW w:w="1936" w:type="dxa"/>
            <w:shd w:val="clear" w:color="auto" w:fill="FFFFFF"/>
            <w:tcMar>
              <w:top w:w="0" w:type="dxa"/>
              <w:left w:w="108" w:type="dxa"/>
              <w:bottom w:w="0" w:type="dxa"/>
              <w:right w:w="108" w:type="dxa"/>
            </w:tcMar>
          </w:tcPr>
          <w:p w14:paraId="7201B993" w14:textId="77777777" w:rsidR="00422EFE" w:rsidRPr="00261B7A" w:rsidRDefault="00422EFE" w:rsidP="00797D34">
            <w:pPr>
              <w:pStyle w:val="TableText"/>
              <w:spacing w:before="40" w:after="40"/>
              <w:jc w:val="right"/>
            </w:pPr>
            <w:r w:rsidRPr="00261B7A">
              <w:rPr>
                <w:rFonts w:eastAsia="Calibri"/>
              </w:rPr>
              <w:t>8.1</w:t>
            </w:r>
          </w:p>
        </w:tc>
        <w:tc>
          <w:tcPr>
            <w:tcW w:w="1559" w:type="dxa"/>
            <w:shd w:val="clear" w:color="auto" w:fill="FFFFFF"/>
            <w:tcMar>
              <w:top w:w="0" w:type="dxa"/>
              <w:left w:w="108" w:type="dxa"/>
              <w:bottom w:w="0" w:type="dxa"/>
              <w:right w:w="108" w:type="dxa"/>
            </w:tcMar>
          </w:tcPr>
          <w:p w14:paraId="47392647" w14:textId="77777777" w:rsidR="00422EFE" w:rsidRPr="00261B7A" w:rsidRDefault="00422EFE" w:rsidP="00797D34">
            <w:pPr>
              <w:pStyle w:val="TableText"/>
              <w:spacing w:before="40" w:after="40"/>
              <w:jc w:val="right"/>
            </w:pPr>
            <w:r w:rsidRPr="00261B7A">
              <w:rPr>
                <w:rFonts w:eastAsia="Calibri"/>
              </w:rPr>
              <w:t>8.6</w:t>
            </w:r>
          </w:p>
        </w:tc>
      </w:tr>
      <w:tr w:rsidR="00422EFE" w:rsidRPr="00261B7A" w14:paraId="16AB8732" w14:textId="77777777" w:rsidTr="00D41492">
        <w:tc>
          <w:tcPr>
            <w:tcW w:w="0" w:type="auto"/>
            <w:shd w:val="clear" w:color="auto" w:fill="FFFFFF"/>
            <w:tcMar>
              <w:top w:w="0" w:type="dxa"/>
              <w:left w:w="108" w:type="dxa"/>
              <w:bottom w:w="0" w:type="dxa"/>
              <w:right w:w="108" w:type="dxa"/>
            </w:tcMar>
          </w:tcPr>
          <w:p w14:paraId="64342E06" w14:textId="77777777" w:rsidR="00422EFE" w:rsidRPr="00261B7A" w:rsidRDefault="00422EFE" w:rsidP="00F82FBB">
            <w:pPr>
              <w:pStyle w:val="TableText"/>
              <w:spacing w:before="40" w:after="40"/>
            </w:pPr>
            <w:r w:rsidRPr="00261B7A">
              <w:rPr>
                <w:rFonts w:eastAsia="Calibri"/>
              </w:rPr>
              <w:t>Total (5.D)</w:t>
            </w:r>
          </w:p>
        </w:tc>
        <w:tc>
          <w:tcPr>
            <w:tcW w:w="0" w:type="auto"/>
            <w:shd w:val="clear" w:color="auto" w:fill="FFFFFF"/>
            <w:tcMar>
              <w:top w:w="0" w:type="dxa"/>
              <w:left w:w="108" w:type="dxa"/>
              <w:bottom w:w="0" w:type="dxa"/>
              <w:right w:w="108" w:type="dxa"/>
            </w:tcMar>
          </w:tcPr>
          <w:p w14:paraId="40D69018" w14:textId="470CAEC8" w:rsidR="00422EFE" w:rsidRPr="00261B7A" w:rsidRDefault="00422EFE" w:rsidP="00797D34">
            <w:pPr>
              <w:pStyle w:val="TableText"/>
              <w:spacing w:before="40" w:after="40"/>
              <w:jc w:val="right"/>
            </w:pPr>
            <w:r w:rsidRPr="00261B7A">
              <w:rPr>
                <w:rFonts w:eastAsia="Calibri"/>
              </w:rPr>
              <w:t>306</w:t>
            </w:r>
            <w:r w:rsidR="009C517C" w:rsidRPr="00261B7A">
              <w:rPr>
                <w:rFonts w:eastAsia="Calibri"/>
              </w:rPr>
              <w:t>.0</w:t>
            </w:r>
          </w:p>
        </w:tc>
        <w:tc>
          <w:tcPr>
            <w:tcW w:w="0" w:type="auto"/>
            <w:shd w:val="clear" w:color="auto" w:fill="FFFFFF"/>
            <w:tcMar>
              <w:top w:w="0" w:type="dxa"/>
              <w:left w:w="108" w:type="dxa"/>
              <w:bottom w:w="0" w:type="dxa"/>
              <w:right w:w="108" w:type="dxa"/>
            </w:tcMar>
          </w:tcPr>
          <w:p w14:paraId="0262C27D" w14:textId="77777777" w:rsidR="00422EFE" w:rsidRPr="00261B7A" w:rsidRDefault="00422EFE" w:rsidP="00797D34">
            <w:pPr>
              <w:pStyle w:val="TableText"/>
              <w:spacing w:before="40" w:after="40"/>
              <w:jc w:val="right"/>
            </w:pPr>
            <w:r w:rsidRPr="00261B7A">
              <w:rPr>
                <w:rFonts w:eastAsia="Calibri"/>
              </w:rPr>
              <w:t>377.6</w:t>
            </w:r>
          </w:p>
        </w:tc>
        <w:tc>
          <w:tcPr>
            <w:tcW w:w="1936" w:type="dxa"/>
            <w:shd w:val="clear" w:color="auto" w:fill="FFFFFF"/>
            <w:tcMar>
              <w:top w:w="0" w:type="dxa"/>
              <w:left w:w="108" w:type="dxa"/>
              <w:bottom w:w="0" w:type="dxa"/>
              <w:right w:w="108" w:type="dxa"/>
            </w:tcMar>
          </w:tcPr>
          <w:p w14:paraId="21CBD9C1" w14:textId="77777777" w:rsidR="00422EFE" w:rsidRPr="00261B7A" w:rsidRDefault="00422EFE" w:rsidP="00797D34">
            <w:pPr>
              <w:pStyle w:val="TableText"/>
              <w:spacing w:before="40" w:after="40"/>
              <w:jc w:val="right"/>
            </w:pPr>
            <w:r w:rsidRPr="00261B7A">
              <w:rPr>
                <w:rFonts w:eastAsia="Calibri"/>
              </w:rPr>
              <w:t>71.6</w:t>
            </w:r>
          </w:p>
        </w:tc>
        <w:tc>
          <w:tcPr>
            <w:tcW w:w="1559" w:type="dxa"/>
            <w:shd w:val="clear" w:color="auto" w:fill="FFFFFF"/>
            <w:tcMar>
              <w:top w:w="0" w:type="dxa"/>
              <w:left w:w="108" w:type="dxa"/>
              <w:bottom w:w="0" w:type="dxa"/>
              <w:right w:w="108" w:type="dxa"/>
            </w:tcMar>
          </w:tcPr>
          <w:p w14:paraId="246D7844" w14:textId="77777777" w:rsidR="00422EFE" w:rsidRPr="00261B7A" w:rsidRDefault="00422EFE" w:rsidP="00797D34">
            <w:pPr>
              <w:pStyle w:val="TableText"/>
              <w:spacing w:before="40" w:after="40"/>
              <w:jc w:val="right"/>
            </w:pPr>
            <w:r w:rsidRPr="00261B7A">
              <w:rPr>
                <w:rFonts w:eastAsia="Calibri"/>
              </w:rPr>
              <w:t>23.4</w:t>
            </w:r>
          </w:p>
        </w:tc>
      </w:tr>
    </w:tbl>
    <w:p w14:paraId="4D6E4F5F" w14:textId="77777777" w:rsidR="00422EFE" w:rsidRPr="00261B7A" w:rsidRDefault="00422EFE" w:rsidP="00422EFE">
      <w:pPr>
        <w:pStyle w:val="Noteundertable"/>
      </w:pPr>
      <w:r w:rsidRPr="00261B7A">
        <w:rPr>
          <w:b/>
          <w:bCs/>
        </w:rPr>
        <w:t>Note:</w:t>
      </w:r>
      <w:r w:rsidRPr="00261B7A">
        <w:t xml:space="preserve"> </w:t>
      </w:r>
      <w:r w:rsidRPr="00261B7A">
        <w:tab/>
        <w:t>Percentages presented are calculated from unrounded values.</w:t>
      </w:r>
    </w:p>
    <w:p w14:paraId="1BE7D0EC" w14:textId="77777777" w:rsidR="00422EFE" w:rsidRPr="00261B7A" w:rsidRDefault="00422EFE" w:rsidP="00422EFE">
      <w:pPr>
        <w:pStyle w:val="BodyText"/>
      </w:pPr>
      <w:r w:rsidRPr="00261B7A">
        <w:t xml:space="preserve">Methane emissions from the </w:t>
      </w:r>
      <w:r w:rsidRPr="00261B7A">
        <w:rPr>
          <w:i/>
          <w:iCs/>
        </w:rPr>
        <w:t>Wastewater treatment and discharge</w:t>
      </w:r>
      <w:r w:rsidRPr="00261B7A">
        <w:t xml:space="preserve"> source category were identified as a key category in the 2021 level assessment.</w:t>
      </w:r>
    </w:p>
    <w:p w14:paraId="2746A64F" w14:textId="77777777" w:rsidR="00422EFE" w:rsidRPr="00261B7A" w:rsidRDefault="00422EFE" w:rsidP="00422EFE">
      <w:pPr>
        <w:pStyle w:val="Heading4"/>
      </w:pPr>
      <w:bookmarkStart w:id="2546" w:name="domestic-wastewater-5.d.1"/>
      <w:r w:rsidRPr="00261B7A">
        <w:t>Domestic wastewater (5.D.1)</w:t>
      </w:r>
    </w:p>
    <w:p w14:paraId="5C66DD7E" w14:textId="77777777" w:rsidR="00422EFE" w:rsidRPr="00261B7A" w:rsidRDefault="00422EFE" w:rsidP="00422EFE">
      <w:pPr>
        <w:pStyle w:val="BodyText"/>
      </w:pPr>
      <w:r w:rsidRPr="00261B7A">
        <w:t xml:space="preserve">Wastewater from almost every town in New Zealand with a population over 1,000 is collected </w:t>
      </w:r>
      <w:r w:rsidRPr="00261B7A">
        <w:rPr>
          <w:spacing w:val="-2"/>
        </w:rPr>
        <w:t>and treated in community wastewater treatment plants. There are approximately 317 municipal</w:t>
      </w:r>
      <w:r w:rsidRPr="00261B7A">
        <w:t xml:space="preserve"> wastewater treatment plants in New Zealand and around a further 50 government or privately owned treatment plants serving populations of more than 100 people (SCS Wetherill Environmental, unpublished).</w:t>
      </w:r>
    </w:p>
    <w:p w14:paraId="714C1ED6" w14:textId="77777777" w:rsidR="00422EFE" w:rsidRPr="00261B7A" w:rsidRDefault="00422EFE" w:rsidP="00422EFE">
      <w:pPr>
        <w:pStyle w:val="BodyText"/>
      </w:pPr>
      <w:r w:rsidRPr="00261B7A">
        <w:t>Although most of the wastewater treatment processes are aerobic, a significant number of wastewater treatment plants use partially anaerobic processes, such as oxidation ponds or septic tanks. Small communities and individual rural dwellings are served mainly by simple septic tanks. While the part of the population using septic tanks is small compared with the national population, this treatment type produces the most CH</w:t>
      </w:r>
      <w:r w:rsidRPr="00261B7A">
        <w:rPr>
          <w:vertAlign w:val="subscript"/>
        </w:rPr>
        <w:t>4</w:t>
      </w:r>
      <w:r w:rsidRPr="00261B7A">
        <w:t xml:space="preserve"> emissions from domestic wastewater. This is because emissions from other treatment types are small or the CH</w:t>
      </w:r>
      <w:r w:rsidRPr="00261B7A">
        <w:rPr>
          <w:vertAlign w:val="subscript"/>
        </w:rPr>
        <w:t>4</w:t>
      </w:r>
      <w:r w:rsidRPr="00261B7A">
        <w:t xml:space="preserve"> is destroyed.</w:t>
      </w:r>
    </w:p>
    <w:p w14:paraId="1047DF72" w14:textId="77777777" w:rsidR="00422EFE" w:rsidRPr="00261B7A" w:rsidRDefault="00422EFE" w:rsidP="006E4498">
      <w:pPr>
        <w:pStyle w:val="Heading4"/>
        <w:spacing w:before="180"/>
      </w:pPr>
      <w:bookmarkStart w:id="2547" w:name="industrial-wastewater-5.d.2"/>
      <w:bookmarkEnd w:id="2546"/>
      <w:r w:rsidRPr="00261B7A">
        <w:t>Industrial wastewater (5.D.2)</w:t>
      </w:r>
    </w:p>
    <w:p w14:paraId="3053DAE0" w14:textId="77777777" w:rsidR="00422EFE" w:rsidRPr="00261B7A" w:rsidRDefault="00422EFE" w:rsidP="00422EFE">
      <w:pPr>
        <w:pStyle w:val="BodyText"/>
      </w:pPr>
      <w:r w:rsidRPr="00261B7A">
        <w:t>The major sources of industrial wastewater in New Zealand are the meat and the pulp and paper industries. Most of the industrial wastewater treatment is aerobic, and most of the CH</w:t>
      </w:r>
      <w:r w:rsidRPr="00261B7A">
        <w:rPr>
          <w:vertAlign w:val="subscript"/>
        </w:rPr>
        <w:t>4</w:t>
      </w:r>
      <w:r w:rsidRPr="00261B7A">
        <w:t> generated from anaerobic treatment is flared.</w:t>
      </w:r>
    </w:p>
    <w:p w14:paraId="1C00A1A3" w14:textId="77777777" w:rsidR="00422EFE" w:rsidRPr="00261B7A" w:rsidRDefault="00422EFE" w:rsidP="00422EFE">
      <w:pPr>
        <w:pStyle w:val="BodyText"/>
      </w:pPr>
      <w:r w:rsidRPr="00261B7A">
        <w:t>In June 2015, the methodologies and input data used to calculate the industrial wastewater emissions were reviewed, to capture any changes in industry activity and ensure current best practice and knowledge were reflected (Cardno, unpublished). This is discussed further under section 7.5.2.</w:t>
      </w:r>
    </w:p>
    <w:p w14:paraId="5F45B105" w14:textId="77777777" w:rsidR="00422EFE" w:rsidRPr="00261B7A" w:rsidRDefault="00422EFE" w:rsidP="000F0447">
      <w:pPr>
        <w:pStyle w:val="Heading3"/>
        <w:spacing w:before="240"/>
      </w:pPr>
      <w:bookmarkStart w:id="2548" w:name="methodological-issues-3"/>
      <w:bookmarkEnd w:id="2543"/>
      <w:bookmarkEnd w:id="2547"/>
      <w:r w:rsidRPr="00261B7A">
        <w:t xml:space="preserve">7.5.2 </w:t>
      </w:r>
      <w:r w:rsidRPr="00261B7A">
        <w:tab/>
        <w:t>Methodological issues</w:t>
      </w:r>
    </w:p>
    <w:p w14:paraId="0FA4FF9C" w14:textId="77777777" w:rsidR="00422EFE" w:rsidRPr="00261B7A" w:rsidRDefault="00422EFE" w:rsidP="006E4498">
      <w:pPr>
        <w:pStyle w:val="Heading4"/>
        <w:spacing w:before="180"/>
      </w:pPr>
      <w:bookmarkStart w:id="2549" w:name="choice-of-activity-data-3"/>
      <w:r w:rsidRPr="00261B7A">
        <w:t>Choice of activity data</w:t>
      </w:r>
    </w:p>
    <w:p w14:paraId="47EEC1A3" w14:textId="77777777" w:rsidR="00422EFE" w:rsidRPr="00261B7A" w:rsidRDefault="00422EFE" w:rsidP="00422EFE">
      <w:pPr>
        <w:pStyle w:val="Heading5"/>
        <w:spacing w:before="180"/>
      </w:pPr>
      <w:bookmarkStart w:id="2550" w:name="domestic-wastewater-5.d.1-1"/>
      <w:r w:rsidRPr="00261B7A">
        <w:t>Domestic wastewater (5.D.1)</w:t>
      </w:r>
    </w:p>
    <w:p w14:paraId="2D876C5F" w14:textId="77777777" w:rsidR="00422EFE" w:rsidRPr="00261B7A" w:rsidRDefault="00422EFE" w:rsidP="00422EFE">
      <w:pPr>
        <w:pStyle w:val="BodyText"/>
      </w:pPr>
      <w:r w:rsidRPr="00261B7A">
        <w:t>Estimates for CH</w:t>
      </w:r>
      <w:r w:rsidRPr="00261B7A">
        <w:rPr>
          <w:vertAlign w:val="subscript"/>
        </w:rPr>
        <w:t>4</w:t>
      </w:r>
      <w:r w:rsidRPr="00261B7A">
        <w:t xml:space="preserve"> emissions are derived from combining the population connected to each treatment plant in New Zealand with the treatment methods for each plant (Beca Infrastructure Ltd, unpublished).</w:t>
      </w:r>
    </w:p>
    <w:p w14:paraId="3F555067" w14:textId="77777777" w:rsidR="00422EFE" w:rsidRPr="00261B7A" w:rsidRDefault="00422EFE" w:rsidP="00422EFE">
      <w:pPr>
        <w:pStyle w:val="BodyText"/>
      </w:pPr>
      <w:r w:rsidRPr="00261B7A">
        <w:t xml:space="preserve">The population using each municipal treatment plant and an estimation of the population using septic tanks were determined (Beca Infrastructure Ltd, unpublished; SCS Wetherill Environmental, unpublished). Emissions from the wastewater treatment plants are calculated for 1997, 2001, 2006 and every year from 2013 onward. Emissions from the years before 1997 are calculated based on a fixed aggregate </w:t>
      </w:r>
      <w:r w:rsidRPr="00261B7A">
        <w:rPr>
          <w:i/>
          <w:iCs/>
        </w:rPr>
        <w:t>methane correction factor</w:t>
      </w:r>
      <w:r w:rsidRPr="00261B7A">
        <w:t xml:space="preserve"> from 1997. Emissions from the remaining years are interpolated.</w:t>
      </w:r>
    </w:p>
    <w:p w14:paraId="46FA5BBB" w14:textId="77777777" w:rsidR="00422EFE" w:rsidRPr="00261B7A" w:rsidRDefault="00422EFE" w:rsidP="00422EFE">
      <w:pPr>
        <w:pStyle w:val="BodyText"/>
      </w:pPr>
      <w:r w:rsidRPr="00261B7A">
        <w:t xml:space="preserve">Emissions are proportional to the population treated by each plant, and population data are updated based on the population growth rate of the district in which the plant is located, using the latest population data. This information is obtained from Stats NZ. For intermediate years, data are interpolated. Years before 1997 are driven by national population growth using the </w:t>
      </w:r>
      <w:r w:rsidRPr="00261B7A">
        <w:rPr>
          <w:i/>
          <w:iCs/>
        </w:rPr>
        <w:t>methane correction factor</w:t>
      </w:r>
      <w:r w:rsidRPr="00261B7A">
        <w:t xml:space="preserve"> from 1997.</w:t>
      </w:r>
    </w:p>
    <w:p w14:paraId="0D9DE662" w14:textId="77777777" w:rsidR="00422EFE" w:rsidRPr="00261B7A" w:rsidRDefault="00422EFE" w:rsidP="00422EFE">
      <w:pPr>
        <w:pStyle w:val="BodyText"/>
      </w:pPr>
      <w:r w:rsidRPr="00261B7A">
        <w:t>In 2021, the population connected to treatment plants was estimated to be about 4.1 million. The connected population excludes people connected to rural septic tanks, estimated at 497,000 people in 2021, and approximately 55,000 people using other aerobic plants. The total population of New Zealand was 5.1 million, therefore a remaining population of 448,000 people is not accounted for. This is a result of incomplete data on the wastewater treatment plants in New Zealand and the populations connected to each of these plants being estimated. To account for emissions from the remaining population, CH</w:t>
      </w:r>
      <w:r w:rsidRPr="00261B7A">
        <w:rPr>
          <w:vertAlign w:val="subscript"/>
        </w:rPr>
        <w:t>4</w:t>
      </w:r>
      <w:r w:rsidRPr="00261B7A">
        <w:t xml:space="preserve"> emissions for the </w:t>
      </w:r>
      <w:r w:rsidRPr="00261B7A">
        <w:rPr>
          <w:i/>
          <w:iCs/>
        </w:rPr>
        <w:t>Domestic wastewater</w:t>
      </w:r>
      <w:r w:rsidRPr="00261B7A">
        <w:t xml:space="preserve"> source category were scaled up proportionately based on the population for which emissions are known. An assumption is made to apply the average emission factor for wastewater treatment for this otherwise unaccounted-for population.</w:t>
      </w:r>
    </w:p>
    <w:p w14:paraId="7D9C0215" w14:textId="77777777" w:rsidR="00422EFE" w:rsidRPr="00261B7A" w:rsidRDefault="00422EFE" w:rsidP="00422EFE">
      <w:pPr>
        <w:pStyle w:val="BodyText"/>
      </w:pPr>
      <w:r w:rsidRPr="00261B7A">
        <w:t>Indirect N</w:t>
      </w:r>
      <w:r w:rsidRPr="00261B7A">
        <w:rPr>
          <w:vertAlign w:val="subscript"/>
        </w:rPr>
        <w:t>2</w:t>
      </w:r>
      <w:r w:rsidRPr="00261B7A">
        <w:t>O emissions from the disposal of treated domestic wastewater are estimated using per capita protein consumption and national population estimates, less the population using septic tanks because there is no liquid effluent from septic tanks. Activity data for domestic wastewater are reported in table 7.5.2. Also included in table 7.5.2 is an aggregate CH</w:t>
      </w:r>
      <w:r w:rsidRPr="00261B7A">
        <w:rPr>
          <w:vertAlign w:val="subscript"/>
        </w:rPr>
        <w:t>4</w:t>
      </w:r>
      <w:r w:rsidRPr="00261B7A">
        <w:t xml:space="preserve"> correction factor that is determined by the sum of the CH</w:t>
      </w:r>
      <w:r w:rsidRPr="00261B7A">
        <w:rPr>
          <w:vertAlign w:val="subscript"/>
        </w:rPr>
        <w:t>4</w:t>
      </w:r>
      <w:r w:rsidRPr="00261B7A">
        <w:t xml:space="preserve"> correction factor for various treatment types, weighted by the population served by each type.</w:t>
      </w:r>
    </w:p>
    <w:p w14:paraId="6508E094" w14:textId="77777777" w:rsidR="00422EFE" w:rsidRPr="00261B7A" w:rsidRDefault="00422EFE" w:rsidP="00422EFE">
      <w:pPr>
        <w:pStyle w:val="Table"/>
      </w:pPr>
      <w:bookmarkStart w:id="2551" w:name="_Toc128383680"/>
      <w:bookmarkStart w:id="2552" w:name="_Toc131591453"/>
      <w:r w:rsidRPr="00261B7A">
        <w:t xml:space="preserve">Table 7.5.2 </w:t>
      </w:r>
      <w:r w:rsidRPr="00261B7A">
        <w:tab/>
        <w:t>Activity data and key factors for domestic wastewater from 1990 to 2021</w:t>
      </w:r>
      <w:bookmarkEnd w:id="2551"/>
      <w:bookmarkEnd w:id="2552"/>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566"/>
        <w:gridCol w:w="1620"/>
        <w:gridCol w:w="2796"/>
        <w:gridCol w:w="3523"/>
      </w:tblGrid>
      <w:tr w:rsidR="00422EFE" w:rsidRPr="00261B7A" w14:paraId="7D590DA0" w14:textId="77777777" w:rsidTr="00D41492">
        <w:trPr>
          <w:tblHeader/>
        </w:trPr>
        <w:tc>
          <w:tcPr>
            <w:tcW w:w="0" w:type="auto"/>
            <w:shd w:val="clear" w:color="auto" w:fill="1B556B"/>
            <w:tcMar>
              <w:top w:w="0" w:type="dxa"/>
              <w:left w:w="108" w:type="dxa"/>
              <w:bottom w:w="0" w:type="dxa"/>
              <w:right w:w="108" w:type="dxa"/>
            </w:tcMar>
          </w:tcPr>
          <w:p w14:paraId="209C7ED6" w14:textId="77777777" w:rsidR="00422EFE" w:rsidRPr="00261B7A" w:rsidRDefault="00422EFE" w:rsidP="0058311A">
            <w:pPr>
              <w:pStyle w:val="TableText"/>
              <w:spacing w:before="40" w:after="40"/>
              <w:rPr>
                <w:b/>
                <w:bCs/>
                <w:color w:val="FFFFFF" w:themeColor="background1"/>
              </w:rPr>
            </w:pPr>
            <w:r w:rsidRPr="00261B7A">
              <w:rPr>
                <w:rFonts w:eastAsia="Calibri"/>
                <w:b/>
                <w:bCs/>
                <w:color w:val="FFFFFF" w:themeColor="background1"/>
              </w:rPr>
              <w:t>Year</w:t>
            </w:r>
          </w:p>
        </w:tc>
        <w:tc>
          <w:tcPr>
            <w:tcW w:w="0" w:type="auto"/>
            <w:shd w:val="clear" w:color="auto" w:fill="1B556B"/>
            <w:tcMar>
              <w:top w:w="0" w:type="dxa"/>
              <w:left w:w="108" w:type="dxa"/>
              <w:bottom w:w="0" w:type="dxa"/>
              <w:right w:w="108" w:type="dxa"/>
            </w:tcMar>
          </w:tcPr>
          <w:p w14:paraId="2EBA8EE4" w14:textId="77777777" w:rsidR="00422EFE" w:rsidRPr="00261B7A" w:rsidRDefault="00422EFE" w:rsidP="0058311A">
            <w:pPr>
              <w:pStyle w:val="TableText"/>
              <w:spacing w:before="40" w:after="40"/>
              <w:jc w:val="center"/>
              <w:rPr>
                <w:b/>
                <w:bCs/>
                <w:color w:val="FFFFFF" w:themeColor="background1"/>
              </w:rPr>
            </w:pPr>
            <w:r w:rsidRPr="00261B7A">
              <w:rPr>
                <w:rFonts w:eastAsia="Calibri"/>
                <w:b/>
                <w:bCs/>
                <w:color w:val="FFFFFF" w:themeColor="background1"/>
              </w:rPr>
              <w:t>National population</w:t>
            </w:r>
          </w:p>
        </w:tc>
        <w:tc>
          <w:tcPr>
            <w:tcW w:w="0" w:type="auto"/>
            <w:shd w:val="clear" w:color="auto" w:fill="1B556B"/>
            <w:tcMar>
              <w:top w:w="0" w:type="dxa"/>
              <w:left w:w="108" w:type="dxa"/>
              <w:bottom w:w="0" w:type="dxa"/>
              <w:right w:w="108" w:type="dxa"/>
            </w:tcMar>
          </w:tcPr>
          <w:p w14:paraId="46088EAE" w14:textId="77777777" w:rsidR="00422EFE" w:rsidRPr="00261B7A" w:rsidRDefault="00422EFE" w:rsidP="0058311A">
            <w:pPr>
              <w:pStyle w:val="TableText"/>
              <w:spacing w:before="40" w:after="40"/>
              <w:jc w:val="center"/>
              <w:rPr>
                <w:b/>
                <w:bCs/>
                <w:color w:val="FFFFFF" w:themeColor="background1"/>
              </w:rPr>
            </w:pPr>
            <w:r w:rsidRPr="00261B7A">
              <w:rPr>
                <w:rFonts w:eastAsia="Calibri"/>
                <w:b/>
                <w:bCs/>
                <w:color w:val="FFFFFF" w:themeColor="background1"/>
              </w:rPr>
              <w:t>Aggregate methane correction factor</w:t>
            </w:r>
          </w:p>
        </w:tc>
        <w:tc>
          <w:tcPr>
            <w:tcW w:w="0" w:type="auto"/>
            <w:shd w:val="clear" w:color="auto" w:fill="1B556B"/>
            <w:tcMar>
              <w:top w:w="0" w:type="dxa"/>
              <w:left w:w="108" w:type="dxa"/>
              <w:bottom w:w="0" w:type="dxa"/>
              <w:right w:w="108" w:type="dxa"/>
            </w:tcMar>
          </w:tcPr>
          <w:p w14:paraId="5156787C" w14:textId="77777777" w:rsidR="00422EFE" w:rsidRPr="00261B7A" w:rsidRDefault="00422EFE" w:rsidP="0058311A">
            <w:pPr>
              <w:pStyle w:val="TableText"/>
              <w:spacing w:before="40" w:after="40"/>
              <w:jc w:val="center"/>
              <w:rPr>
                <w:b/>
                <w:bCs/>
                <w:color w:val="FFFFFF" w:themeColor="background1"/>
              </w:rPr>
            </w:pPr>
            <w:r w:rsidRPr="00261B7A">
              <w:rPr>
                <w:rFonts w:eastAsia="Calibri"/>
                <w:b/>
                <w:bCs/>
                <w:color w:val="FFFFFF" w:themeColor="background1"/>
              </w:rPr>
              <w:t>Domestic wastewater total organic product (kt)</w:t>
            </w:r>
          </w:p>
        </w:tc>
      </w:tr>
      <w:tr w:rsidR="00422EFE" w:rsidRPr="00261B7A" w14:paraId="0F138EBD" w14:textId="77777777" w:rsidTr="00D41492">
        <w:tc>
          <w:tcPr>
            <w:tcW w:w="0" w:type="auto"/>
            <w:shd w:val="clear" w:color="auto" w:fill="FFFFFF"/>
            <w:tcMar>
              <w:top w:w="0" w:type="dxa"/>
              <w:left w:w="108" w:type="dxa"/>
              <w:bottom w:w="0" w:type="dxa"/>
              <w:right w:w="108" w:type="dxa"/>
            </w:tcMar>
          </w:tcPr>
          <w:p w14:paraId="5C6CB87F" w14:textId="77777777" w:rsidR="00422EFE" w:rsidRPr="00261B7A" w:rsidRDefault="00422EFE" w:rsidP="0058311A">
            <w:pPr>
              <w:pStyle w:val="TableText"/>
              <w:spacing w:before="40" w:after="40"/>
            </w:pPr>
            <w:r w:rsidRPr="00261B7A">
              <w:rPr>
                <w:rFonts w:eastAsia="Calibri"/>
              </w:rPr>
              <w:t>1990</w:t>
            </w:r>
          </w:p>
        </w:tc>
        <w:tc>
          <w:tcPr>
            <w:tcW w:w="0" w:type="auto"/>
            <w:shd w:val="clear" w:color="auto" w:fill="FFFFFF"/>
            <w:tcMar>
              <w:top w:w="0" w:type="dxa"/>
              <w:left w:w="108" w:type="dxa"/>
              <w:bottom w:w="0" w:type="dxa"/>
              <w:right w:w="108" w:type="dxa"/>
            </w:tcMar>
          </w:tcPr>
          <w:p w14:paraId="51EEC643" w14:textId="77777777" w:rsidR="00422EFE" w:rsidRPr="00261B7A" w:rsidRDefault="00422EFE" w:rsidP="0058311A">
            <w:pPr>
              <w:pStyle w:val="TableText"/>
              <w:spacing w:before="40" w:after="40"/>
              <w:jc w:val="center"/>
            </w:pPr>
            <w:r w:rsidRPr="00261B7A">
              <w:rPr>
                <w:rFonts w:eastAsia="Calibri"/>
                <w:color w:val="000000"/>
              </w:rPr>
              <w:t>3,410,400</w:t>
            </w:r>
          </w:p>
        </w:tc>
        <w:tc>
          <w:tcPr>
            <w:tcW w:w="0" w:type="auto"/>
            <w:shd w:val="clear" w:color="auto" w:fill="FFFFFF"/>
            <w:tcMar>
              <w:top w:w="0" w:type="dxa"/>
              <w:left w:w="108" w:type="dxa"/>
              <w:bottom w:w="0" w:type="dxa"/>
              <w:right w:w="108" w:type="dxa"/>
            </w:tcMar>
          </w:tcPr>
          <w:p w14:paraId="5038E848" w14:textId="77777777" w:rsidR="00422EFE" w:rsidRPr="00261B7A" w:rsidRDefault="00422EFE" w:rsidP="0058311A">
            <w:pPr>
              <w:pStyle w:val="TableText"/>
              <w:spacing w:before="40" w:after="40"/>
              <w:jc w:val="center"/>
            </w:pPr>
            <w:r w:rsidRPr="00261B7A">
              <w:rPr>
                <w:rFonts w:eastAsia="Calibri"/>
                <w:color w:val="000000"/>
              </w:rPr>
              <w:t>Same as 1997</w:t>
            </w:r>
          </w:p>
        </w:tc>
        <w:tc>
          <w:tcPr>
            <w:tcW w:w="0" w:type="auto"/>
            <w:shd w:val="clear" w:color="auto" w:fill="FFFFFF"/>
            <w:tcMar>
              <w:top w:w="0" w:type="dxa"/>
              <w:left w:w="108" w:type="dxa"/>
              <w:bottom w:w="0" w:type="dxa"/>
              <w:right w:w="108" w:type="dxa"/>
            </w:tcMar>
          </w:tcPr>
          <w:p w14:paraId="3233FA3C" w14:textId="77777777" w:rsidR="00422EFE" w:rsidRPr="00261B7A" w:rsidRDefault="00422EFE" w:rsidP="0058311A">
            <w:pPr>
              <w:pStyle w:val="TableText"/>
              <w:spacing w:before="40" w:after="40"/>
              <w:jc w:val="center"/>
            </w:pPr>
            <w:r w:rsidRPr="00261B7A">
              <w:rPr>
                <w:rFonts w:eastAsia="Calibri"/>
                <w:color w:val="000000"/>
              </w:rPr>
              <w:t>137.6</w:t>
            </w:r>
          </w:p>
        </w:tc>
      </w:tr>
      <w:tr w:rsidR="00422EFE" w:rsidRPr="00261B7A" w14:paraId="4812B547" w14:textId="77777777" w:rsidTr="00D41492">
        <w:tc>
          <w:tcPr>
            <w:tcW w:w="0" w:type="auto"/>
            <w:shd w:val="clear" w:color="auto" w:fill="FFFFFF"/>
            <w:tcMar>
              <w:top w:w="0" w:type="dxa"/>
              <w:left w:w="108" w:type="dxa"/>
              <w:bottom w:w="0" w:type="dxa"/>
              <w:right w:w="108" w:type="dxa"/>
            </w:tcMar>
          </w:tcPr>
          <w:p w14:paraId="7C57B250" w14:textId="77777777" w:rsidR="00422EFE" w:rsidRPr="00261B7A" w:rsidRDefault="00422EFE" w:rsidP="0058311A">
            <w:pPr>
              <w:pStyle w:val="TableText"/>
              <w:spacing w:before="40" w:after="40"/>
            </w:pPr>
            <w:r w:rsidRPr="00261B7A">
              <w:rPr>
                <w:rFonts w:eastAsia="Calibri"/>
              </w:rPr>
              <w:t>1991</w:t>
            </w:r>
          </w:p>
        </w:tc>
        <w:tc>
          <w:tcPr>
            <w:tcW w:w="0" w:type="auto"/>
            <w:shd w:val="clear" w:color="auto" w:fill="FFFFFF"/>
            <w:tcMar>
              <w:top w:w="0" w:type="dxa"/>
              <w:left w:w="108" w:type="dxa"/>
              <w:bottom w:w="0" w:type="dxa"/>
              <w:right w:w="108" w:type="dxa"/>
            </w:tcMar>
          </w:tcPr>
          <w:p w14:paraId="4B60961B" w14:textId="77777777" w:rsidR="00422EFE" w:rsidRPr="00261B7A" w:rsidRDefault="00422EFE" w:rsidP="0058311A">
            <w:pPr>
              <w:pStyle w:val="TableText"/>
              <w:spacing w:before="40" w:after="40"/>
              <w:jc w:val="center"/>
            </w:pPr>
            <w:r w:rsidRPr="00261B7A">
              <w:rPr>
                <w:rFonts w:eastAsia="Calibri"/>
                <w:color w:val="000000"/>
              </w:rPr>
              <w:t>3,516,000</w:t>
            </w:r>
          </w:p>
        </w:tc>
        <w:tc>
          <w:tcPr>
            <w:tcW w:w="0" w:type="auto"/>
            <w:shd w:val="clear" w:color="auto" w:fill="FFFFFF"/>
            <w:tcMar>
              <w:top w:w="0" w:type="dxa"/>
              <w:left w:w="108" w:type="dxa"/>
              <w:bottom w:w="0" w:type="dxa"/>
              <w:right w:w="108" w:type="dxa"/>
            </w:tcMar>
          </w:tcPr>
          <w:p w14:paraId="536B6B24" w14:textId="77777777" w:rsidR="00422EFE" w:rsidRPr="00261B7A" w:rsidRDefault="00422EFE" w:rsidP="0058311A">
            <w:pPr>
              <w:pStyle w:val="TableText"/>
              <w:spacing w:before="40" w:after="40"/>
              <w:jc w:val="center"/>
            </w:pPr>
            <w:r w:rsidRPr="00261B7A">
              <w:rPr>
                <w:rFonts w:eastAsia="Calibri"/>
                <w:color w:val="000000"/>
              </w:rPr>
              <w:t>Same as 1997</w:t>
            </w:r>
          </w:p>
        </w:tc>
        <w:tc>
          <w:tcPr>
            <w:tcW w:w="0" w:type="auto"/>
            <w:shd w:val="clear" w:color="auto" w:fill="FFFFFF"/>
            <w:tcMar>
              <w:top w:w="0" w:type="dxa"/>
              <w:left w:w="108" w:type="dxa"/>
              <w:bottom w:w="0" w:type="dxa"/>
              <w:right w:w="108" w:type="dxa"/>
            </w:tcMar>
          </w:tcPr>
          <w:p w14:paraId="5AFA1C0B" w14:textId="77777777" w:rsidR="00422EFE" w:rsidRPr="00261B7A" w:rsidRDefault="00422EFE" w:rsidP="0058311A">
            <w:pPr>
              <w:pStyle w:val="TableText"/>
              <w:spacing w:before="40" w:after="40"/>
              <w:jc w:val="center"/>
            </w:pPr>
            <w:r w:rsidRPr="00261B7A">
              <w:rPr>
                <w:rFonts w:eastAsia="Calibri"/>
                <w:color w:val="000000"/>
              </w:rPr>
              <w:t>142.1</w:t>
            </w:r>
          </w:p>
        </w:tc>
      </w:tr>
      <w:tr w:rsidR="00422EFE" w:rsidRPr="00261B7A" w14:paraId="109F2056" w14:textId="77777777" w:rsidTr="00D41492">
        <w:tc>
          <w:tcPr>
            <w:tcW w:w="0" w:type="auto"/>
            <w:shd w:val="clear" w:color="auto" w:fill="FFFFFF"/>
            <w:tcMar>
              <w:top w:w="0" w:type="dxa"/>
              <w:left w:w="108" w:type="dxa"/>
              <w:bottom w:w="0" w:type="dxa"/>
              <w:right w:w="108" w:type="dxa"/>
            </w:tcMar>
          </w:tcPr>
          <w:p w14:paraId="10C1321F" w14:textId="77777777" w:rsidR="00422EFE" w:rsidRPr="00261B7A" w:rsidRDefault="00422EFE" w:rsidP="0058311A">
            <w:pPr>
              <w:pStyle w:val="TableText"/>
              <w:spacing w:before="40" w:after="40"/>
            </w:pPr>
            <w:r w:rsidRPr="00261B7A">
              <w:rPr>
                <w:rFonts w:eastAsia="Calibri"/>
              </w:rPr>
              <w:t>1992</w:t>
            </w:r>
          </w:p>
        </w:tc>
        <w:tc>
          <w:tcPr>
            <w:tcW w:w="0" w:type="auto"/>
            <w:shd w:val="clear" w:color="auto" w:fill="FFFFFF"/>
            <w:tcMar>
              <w:top w:w="0" w:type="dxa"/>
              <w:left w:w="108" w:type="dxa"/>
              <w:bottom w:w="0" w:type="dxa"/>
              <w:right w:w="108" w:type="dxa"/>
            </w:tcMar>
          </w:tcPr>
          <w:p w14:paraId="5EAC941F" w14:textId="77777777" w:rsidR="00422EFE" w:rsidRPr="00261B7A" w:rsidRDefault="00422EFE" w:rsidP="0058311A">
            <w:pPr>
              <w:pStyle w:val="TableText"/>
              <w:spacing w:before="40" w:after="40"/>
              <w:jc w:val="center"/>
            </w:pPr>
            <w:r w:rsidRPr="00261B7A">
              <w:rPr>
                <w:rFonts w:eastAsia="Calibri"/>
                <w:color w:val="000000"/>
              </w:rPr>
              <w:t>3,552,200</w:t>
            </w:r>
          </w:p>
        </w:tc>
        <w:tc>
          <w:tcPr>
            <w:tcW w:w="0" w:type="auto"/>
            <w:shd w:val="clear" w:color="auto" w:fill="FFFFFF"/>
            <w:tcMar>
              <w:top w:w="0" w:type="dxa"/>
              <w:left w:w="108" w:type="dxa"/>
              <w:bottom w:w="0" w:type="dxa"/>
              <w:right w:w="108" w:type="dxa"/>
            </w:tcMar>
          </w:tcPr>
          <w:p w14:paraId="1DBB4055" w14:textId="77777777" w:rsidR="00422EFE" w:rsidRPr="00261B7A" w:rsidRDefault="00422EFE" w:rsidP="0058311A">
            <w:pPr>
              <w:pStyle w:val="TableText"/>
              <w:spacing w:before="40" w:after="40"/>
              <w:jc w:val="center"/>
            </w:pPr>
            <w:r w:rsidRPr="00261B7A">
              <w:rPr>
                <w:rFonts w:eastAsia="Calibri"/>
                <w:color w:val="000000"/>
              </w:rPr>
              <w:t>Same as 1997</w:t>
            </w:r>
          </w:p>
        </w:tc>
        <w:tc>
          <w:tcPr>
            <w:tcW w:w="0" w:type="auto"/>
            <w:shd w:val="clear" w:color="auto" w:fill="FFFFFF"/>
            <w:tcMar>
              <w:top w:w="0" w:type="dxa"/>
              <w:left w:w="108" w:type="dxa"/>
              <w:bottom w:w="0" w:type="dxa"/>
              <w:right w:w="108" w:type="dxa"/>
            </w:tcMar>
          </w:tcPr>
          <w:p w14:paraId="339FB2E7" w14:textId="77777777" w:rsidR="00422EFE" w:rsidRPr="00261B7A" w:rsidRDefault="00422EFE" w:rsidP="0058311A">
            <w:pPr>
              <w:pStyle w:val="TableText"/>
              <w:spacing w:before="40" w:after="40"/>
              <w:jc w:val="center"/>
            </w:pPr>
            <w:r w:rsidRPr="00261B7A">
              <w:rPr>
                <w:rFonts w:eastAsia="Calibri"/>
                <w:color w:val="000000"/>
              </w:rPr>
              <w:t>143.9</w:t>
            </w:r>
          </w:p>
        </w:tc>
      </w:tr>
      <w:tr w:rsidR="00422EFE" w:rsidRPr="00261B7A" w14:paraId="71BDB662" w14:textId="77777777" w:rsidTr="00D41492">
        <w:tc>
          <w:tcPr>
            <w:tcW w:w="0" w:type="auto"/>
            <w:shd w:val="clear" w:color="auto" w:fill="FFFFFF"/>
            <w:tcMar>
              <w:top w:w="0" w:type="dxa"/>
              <w:left w:w="108" w:type="dxa"/>
              <w:bottom w:w="0" w:type="dxa"/>
              <w:right w:w="108" w:type="dxa"/>
            </w:tcMar>
          </w:tcPr>
          <w:p w14:paraId="43A8439B" w14:textId="77777777" w:rsidR="00422EFE" w:rsidRPr="00261B7A" w:rsidRDefault="00422EFE" w:rsidP="0058311A">
            <w:pPr>
              <w:pStyle w:val="TableText"/>
              <w:spacing w:before="40" w:after="40"/>
            </w:pPr>
            <w:r w:rsidRPr="00261B7A">
              <w:rPr>
                <w:rFonts w:eastAsia="Calibri"/>
              </w:rPr>
              <w:t>1993</w:t>
            </w:r>
          </w:p>
        </w:tc>
        <w:tc>
          <w:tcPr>
            <w:tcW w:w="0" w:type="auto"/>
            <w:shd w:val="clear" w:color="auto" w:fill="FFFFFF"/>
            <w:tcMar>
              <w:top w:w="0" w:type="dxa"/>
              <w:left w:w="108" w:type="dxa"/>
              <w:bottom w:w="0" w:type="dxa"/>
              <w:right w:w="108" w:type="dxa"/>
            </w:tcMar>
          </w:tcPr>
          <w:p w14:paraId="29366C46" w14:textId="77777777" w:rsidR="00422EFE" w:rsidRPr="00261B7A" w:rsidRDefault="00422EFE" w:rsidP="0058311A">
            <w:pPr>
              <w:pStyle w:val="TableText"/>
              <w:spacing w:before="40" w:after="40"/>
              <w:jc w:val="center"/>
            </w:pPr>
            <w:r w:rsidRPr="00261B7A">
              <w:rPr>
                <w:rFonts w:eastAsia="Calibri"/>
                <w:color w:val="000000"/>
              </w:rPr>
              <w:t>3,597,800</w:t>
            </w:r>
          </w:p>
        </w:tc>
        <w:tc>
          <w:tcPr>
            <w:tcW w:w="0" w:type="auto"/>
            <w:shd w:val="clear" w:color="auto" w:fill="FFFFFF"/>
            <w:tcMar>
              <w:top w:w="0" w:type="dxa"/>
              <w:left w:w="108" w:type="dxa"/>
              <w:bottom w:w="0" w:type="dxa"/>
              <w:right w:w="108" w:type="dxa"/>
            </w:tcMar>
          </w:tcPr>
          <w:p w14:paraId="27E4808A" w14:textId="77777777" w:rsidR="00422EFE" w:rsidRPr="00261B7A" w:rsidRDefault="00422EFE" w:rsidP="0058311A">
            <w:pPr>
              <w:pStyle w:val="TableText"/>
              <w:spacing w:before="40" w:after="40"/>
              <w:jc w:val="center"/>
            </w:pPr>
            <w:r w:rsidRPr="00261B7A">
              <w:rPr>
                <w:rFonts w:eastAsia="Calibri"/>
                <w:color w:val="000000"/>
              </w:rPr>
              <w:t>Same as 1997</w:t>
            </w:r>
          </w:p>
        </w:tc>
        <w:tc>
          <w:tcPr>
            <w:tcW w:w="0" w:type="auto"/>
            <w:shd w:val="clear" w:color="auto" w:fill="FFFFFF"/>
            <w:tcMar>
              <w:top w:w="0" w:type="dxa"/>
              <w:left w:w="108" w:type="dxa"/>
              <w:bottom w:w="0" w:type="dxa"/>
              <w:right w:w="108" w:type="dxa"/>
            </w:tcMar>
          </w:tcPr>
          <w:p w14:paraId="0423F013" w14:textId="77777777" w:rsidR="00422EFE" w:rsidRPr="00261B7A" w:rsidRDefault="00422EFE" w:rsidP="0058311A">
            <w:pPr>
              <w:pStyle w:val="TableText"/>
              <w:spacing w:before="40" w:after="40"/>
              <w:jc w:val="center"/>
            </w:pPr>
            <w:r w:rsidRPr="00261B7A">
              <w:rPr>
                <w:rFonts w:eastAsia="Calibri"/>
                <w:color w:val="000000"/>
              </w:rPr>
              <w:t>146.1</w:t>
            </w:r>
          </w:p>
        </w:tc>
      </w:tr>
      <w:tr w:rsidR="00422EFE" w:rsidRPr="00261B7A" w14:paraId="11EC4EB3" w14:textId="77777777" w:rsidTr="00D41492">
        <w:tc>
          <w:tcPr>
            <w:tcW w:w="0" w:type="auto"/>
            <w:shd w:val="clear" w:color="auto" w:fill="FFFFFF"/>
            <w:tcMar>
              <w:top w:w="0" w:type="dxa"/>
              <w:left w:w="108" w:type="dxa"/>
              <w:bottom w:w="0" w:type="dxa"/>
              <w:right w:w="108" w:type="dxa"/>
            </w:tcMar>
          </w:tcPr>
          <w:p w14:paraId="160AB142" w14:textId="77777777" w:rsidR="00422EFE" w:rsidRPr="00261B7A" w:rsidRDefault="00422EFE" w:rsidP="0058311A">
            <w:pPr>
              <w:pStyle w:val="TableText"/>
              <w:spacing w:before="40" w:after="40"/>
            </w:pPr>
            <w:r w:rsidRPr="00261B7A">
              <w:rPr>
                <w:rFonts w:eastAsia="Calibri"/>
              </w:rPr>
              <w:t>1994</w:t>
            </w:r>
          </w:p>
        </w:tc>
        <w:tc>
          <w:tcPr>
            <w:tcW w:w="0" w:type="auto"/>
            <w:shd w:val="clear" w:color="auto" w:fill="FFFFFF"/>
            <w:tcMar>
              <w:top w:w="0" w:type="dxa"/>
              <w:left w:w="108" w:type="dxa"/>
              <w:bottom w:w="0" w:type="dxa"/>
              <w:right w:w="108" w:type="dxa"/>
            </w:tcMar>
          </w:tcPr>
          <w:p w14:paraId="333EFAEF" w14:textId="77777777" w:rsidR="00422EFE" w:rsidRPr="00261B7A" w:rsidRDefault="00422EFE" w:rsidP="0058311A">
            <w:pPr>
              <w:pStyle w:val="TableText"/>
              <w:spacing w:before="40" w:after="40"/>
              <w:jc w:val="center"/>
            </w:pPr>
            <w:r w:rsidRPr="00261B7A">
              <w:rPr>
                <w:rFonts w:eastAsia="Calibri"/>
                <w:color w:val="000000"/>
              </w:rPr>
              <w:t>3,648,300</w:t>
            </w:r>
          </w:p>
        </w:tc>
        <w:tc>
          <w:tcPr>
            <w:tcW w:w="0" w:type="auto"/>
            <w:shd w:val="clear" w:color="auto" w:fill="FFFFFF"/>
            <w:tcMar>
              <w:top w:w="0" w:type="dxa"/>
              <w:left w:w="108" w:type="dxa"/>
              <w:bottom w:w="0" w:type="dxa"/>
              <w:right w:w="108" w:type="dxa"/>
            </w:tcMar>
          </w:tcPr>
          <w:p w14:paraId="122D6105" w14:textId="77777777" w:rsidR="00422EFE" w:rsidRPr="00261B7A" w:rsidRDefault="00422EFE" w:rsidP="0058311A">
            <w:pPr>
              <w:pStyle w:val="TableText"/>
              <w:spacing w:before="40" w:after="40"/>
              <w:jc w:val="center"/>
            </w:pPr>
            <w:r w:rsidRPr="00261B7A">
              <w:rPr>
                <w:rFonts w:eastAsia="Calibri"/>
                <w:color w:val="000000"/>
              </w:rPr>
              <w:t>Same as 1997</w:t>
            </w:r>
          </w:p>
        </w:tc>
        <w:tc>
          <w:tcPr>
            <w:tcW w:w="0" w:type="auto"/>
            <w:shd w:val="clear" w:color="auto" w:fill="FFFFFF"/>
            <w:tcMar>
              <w:top w:w="0" w:type="dxa"/>
              <w:left w:w="108" w:type="dxa"/>
              <w:bottom w:w="0" w:type="dxa"/>
              <w:right w:w="108" w:type="dxa"/>
            </w:tcMar>
          </w:tcPr>
          <w:p w14:paraId="71EFA726" w14:textId="77777777" w:rsidR="00422EFE" w:rsidRPr="00261B7A" w:rsidRDefault="00422EFE" w:rsidP="0058311A">
            <w:pPr>
              <w:pStyle w:val="TableText"/>
              <w:spacing w:before="40" w:after="40"/>
              <w:jc w:val="center"/>
            </w:pPr>
            <w:r w:rsidRPr="00261B7A">
              <w:rPr>
                <w:rFonts w:eastAsia="Calibri"/>
                <w:color w:val="000000"/>
              </w:rPr>
              <w:t>148.5</w:t>
            </w:r>
          </w:p>
        </w:tc>
      </w:tr>
      <w:tr w:rsidR="00422EFE" w:rsidRPr="00261B7A" w14:paraId="3E8B9CBA" w14:textId="77777777" w:rsidTr="00D41492">
        <w:tc>
          <w:tcPr>
            <w:tcW w:w="0" w:type="auto"/>
            <w:shd w:val="clear" w:color="auto" w:fill="FFFFFF"/>
            <w:tcMar>
              <w:top w:w="0" w:type="dxa"/>
              <w:left w:w="108" w:type="dxa"/>
              <w:bottom w:w="0" w:type="dxa"/>
              <w:right w:w="108" w:type="dxa"/>
            </w:tcMar>
          </w:tcPr>
          <w:p w14:paraId="3193E01A" w14:textId="77777777" w:rsidR="00422EFE" w:rsidRPr="00261B7A" w:rsidRDefault="00422EFE" w:rsidP="0058311A">
            <w:pPr>
              <w:pStyle w:val="TableText"/>
              <w:spacing w:before="40" w:after="40"/>
            </w:pPr>
            <w:r w:rsidRPr="00261B7A">
              <w:rPr>
                <w:rFonts w:eastAsia="Calibri"/>
              </w:rPr>
              <w:t>1995</w:t>
            </w:r>
          </w:p>
        </w:tc>
        <w:tc>
          <w:tcPr>
            <w:tcW w:w="0" w:type="auto"/>
            <w:shd w:val="clear" w:color="auto" w:fill="FFFFFF"/>
            <w:tcMar>
              <w:top w:w="0" w:type="dxa"/>
              <w:left w:w="108" w:type="dxa"/>
              <w:bottom w:w="0" w:type="dxa"/>
              <w:right w:w="108" w:type="dxa"/>
            </w:tcMar>
          </w:tcPr>
          <w:p w14:paraId="11090C55" w14:textId="77777777" w:rsidR="00422EFE" w:rsidRPr="00261B7A" w:rsidRDefault="00422EFE" w:rsidP="0058311A">
            <w:pPr>
              <w:pStyle w:val="TableText"/>
              <w:spacing w:before="40" w:after="40"/>
              <w:jc w:val="center"/>
            </w:pPr>
            <w:r w:rsidRPr="00261B7A">
              <w:rPr>
                <w:rFonts w:eastAsia="Calibri"/>
                <w:color w:val="000000"/>
              </w:rPr>
              <w:t>3,706,700</w:t>
            </w:r>
          </w:p>
        </w:tc>
        <w:tc>
          <w:tcPr>
            <w:tcW w:w="0" w:type="auto"/>
            <w:shd w:val="clear" w:color="auto" w:fill="FFFFFF"/>
            <w:tcMar>
              <w:top w:w="0" w:type="dxa"/>
              <w:left w:w="108" w:type="dxa"/>
              <w:bottom w:w="0" w:type="dxa"/>
              <w:right w:w="108" w:type="dxa"/>
            </w:tcMar>
          </w:tcPr>
          <w:p w14:paraId="232AC5EA" w14:textId="77777777" w:rsidR="00422EFE" w:rsidRPr="00261B7A" w:rsidRDefault="00422EFE" w:rsidP="0058311A">
            <w:pPr>
              <w:pStyle w:val="TableText"/>
              <w:spacing w:before="40" w:after="40"/>
              <w:jc w:val="center"/>
            </w:pPr>
            <w:r w:rsidRPr="00261B7A">
              <w:rPr>
                <w:rFonts w:eastAsia="Calibri"/>
                <w:color w:val="000000"/>
              </w:rPr>
              <w:t>Same as 1997</w:t>
            </w:r>
          </w:p>
        </w:tc>
        <w:tc>
          <w:tcPr>
            <w:tcW w:w="0" w:type="auto"/>
            <w:shd w:val="clear" w:color="auto" w:fill="FFFFFF"/>
            <w:tcMar>
              <w:top w:w="0" w:type="dxa"/>
              <w:left w:w="108" w:type="dxa"/>
              <w:bottom w:w="0" w:type="dxa"/>
              <w:right w:w="108" w:type="dxa"/>
            </w:tcMar>
          </w:tcPr>
          <w:p w14:paraId="3AF75BDA" w14:textId="77777777" w:rsidR="00422EFE" w:rsidRPr="00261B7A" w:rsidRDefault="00422EFE" w:rsidP="0058311A">
            <w:pPr>
              <w:pStyle w:val="TableText"/>
              <w:spacing w:before="40" w:after="40"/>
              <w:jc w:val="center"/>
            </w:pPr>
            <w:r w:rsidRPr="00261B7A">
              <w:rPr>
                <w:rFonts w:eastAsia="Calibri"/>
                <w:color w:val="000000"/>
              </w:rPr>
              <w:t>151.2</w:t>
            </w:r>
          </w:p>
        </w:tc>
      </w:tr>
      <w:tr w:rsidR="00422EFE" w:rsidRPr="00261B7A" w14:paraId="7ABEEE7B" w14:textId="77777777" w:rsidTr="00D41492">
        <w:tc>
          <w:tcPr>
            <w:tcW w:w="0" w:type="auto"/>
            <w:shd w:val="clear" w:color="auto" w:fill="FFFFFF"/>
            <w:tcMar>
              <w:top w:w="0" w:type="dxa"/>
              <w:left w:w="108" w:type="dxa"/>
              <w:bottom w:w="0" w:type="dxa"/>
              <w:right w:w="108" w:type="dxa"/>
            </w:tcMar>
          </w:tcPr>
          <w:p w14:paraId="0D085FF1" w14:textId="77777777" w:rsidR="00422EFE" w:rsidRPr="00261B7A" w:rsidRDefault="00422EFE" w:rsidP="0058311A">
            <w:pPr>
              <w:pStyle w:val="TableText"/>
              <w:spacing w:before="40" w:after="40"/>
            </w:pPr>
            <w:r w:rsidRPr="00261B7A">
              <w:rPr>
                <w:rFonts w:eastAsia="Calibri"/>
              </w:rPr>
              <w:t>1996</w:t>
            </w:r>
          </w:p>
        </w:tc>
        <w:tc>
          <w:tcPr>
            <w:tcW w:w="0" w:type="auto"/>
            <w:shd w:val="clear" w:color="auto" w:fill="FFFFFF"/>
            <w:tcMar>
              <w:top w:w="0" w:type="dxa"/>
              <w:left w:w="108" w:type="dxa"/>
              <w:bottom w:w="0" w:type="dxa"/>
              <w:right w:w="108" w:type="dxa"/>
            </w:tcMar>
          </w:tcPr>
          <w:p w14:paraId="15556843" w14:textId="77777777" w:rsidR="00422EFE" w:rsidRPr="00261B7A" w:rsidRDefault="00422EFE" w:rsidP="0058311A">
            <w:pPr>
              <w:pStyle w:val="TableText"/>
              <w:spacing w:before="40" w:after="40"/>
              <w:jc w:val="center"/>
            </w:pPr>
            <w:r w:rsidRPr="00261B7A">
              <w:rPr>
                <w:rFonts w:eastAsia="Calibri"/>
                <w:color w:val="000000"/>
              </w:rPr>
              <w:t>3,762,300</w:t>
            </w:r>
          </w:p>
        </w:tc>
        <w:tc>
          <w:tcPr>
            <w:tcW w:w="0" w:type="auto"/>
            <w:shd w:val="clear" w:color="auto" w:fill="FFFFFF"/>
            <w:tcMar>
              <w:top w:w="0" w:type="dxa"/>
              <w:left w:w="108" w:type="dxa"/>
              <w:bottom w:w="0" w:type="dxa"/>
              <w:right w:w="108" w:type="dxa"/>
            </w:tcMar>
          </w:tcPr>
          <w:p w14:paraId="088D7F4D" w14:textId="77777777" w:rsidR="00422EFE" w:rsidRPr="00261B7A" w:rsidRDefault="00422EFE" w:rsidP="0058311A">
            <w:pPr>
              <w:pStyle w:val="TableText"/>
              <w:spacing w:before="40" w:after="40"/>
              <w:jc w:val="center"/>
            </w:pPr>
            <w:r w:rsidRPr="00261B7A">
              <w:rPr>
                <w:rFonts w:eastAsia="Calibri"/>
                <w:color w:val="000000"/>
              </w:rPr>
              <w:t>Same as 1997</w:t>
            </w:r>
          </w:p>
        </w:tc>
        <w:tc>
          <w:tcPr>
            <w:tcW w:w="0" w:type="auto"/>
            <w:shd w:val="clear" w:color="auto" w:fill="FFFFFF"/>
            <w:tcMar>
              <w:top w:w="0" w:type="dxa"/>
              <w:left w:w="108" w:type="dxa"/>
              <w:bottom w:w="0" w:type="dxa"/>
              <w:right w:w="108" w:type="dxa"/>
            </w:tcMar>
          </w:tcPr>
          <w:p w14:paraId="37595FDA" w14:textId="77777777" w:rsidR="00422EFE" w:rsidRPr="00261B7A" w:rsidRDefault="00422EFE" w:rsidP="0058311A">
            <w:pPr>
              <w:pStyle w:val="TableText"/>
              <w:spacing w:before="40" w:after="40"/>
              <w:jc w:val="center"/>
            </w:pPr>
            <w:r w:rsidRPr="00261B7A">
              <w:rPr>
                <w:rFonts w:eastAsia="Calibri"/>
                <w:color w:val="000000"/>
              </w:rPr>
              <w:t>153.8</w:t>
            </w:r>
          </w:p>
        </w:tc>
      </w:tr>
      <w:tr w:rsidR="00422EFE" w:rsidRPr="00261B7A" w14:paraId="1C503272" w14:textId="77777777" w:rsidTr="00D41492">
        <w:tc>
          <w:tcPr>
            <w:tcW w:w="0" w:type="auto"/>
            <w:shd w:val="clear" w:color="auto" w:fill="FFFFFF"/>
            <w:tcMar>
              <w:top w:w="0" w:type="dxa"/>
              <w:left w:w="108" w:type="dxa"/>
              <w:bottom w:w="0" w:type="dxa"/>
              <w:right w:w="108" w:type="dxa"/>
            </w:tcMar>
          </w:tcPr>
          <w:p w14:paraId="09CFDF0C" w14:textId="77777777" w:rsidR="00422EFE" w:rsidRPr="00261B7A" w:rsidRDefault="00422EFE" w:rsidP="0058311A">
            <w:pPr>
              <w:pStyle w:val="TableText"/>
              <w:spacing w:before="40" w:after="40"/>
            </w:pPr>
            <w:r w:rsidRPr="00261B7A">
              <w:rPr>
                <w:rFonts w:eastAsia="Calibri"/>
              </w:rPr>
              <w:t>1997</w:t>
            </w:r>
          </w:p>
        </w:tc>
        <w:tc>
          <w:tcPr>
            <w:tcW w:w="0" w:type="auto"/>
            <w:shd w:val="clear" w:color="auto" w:fill="FFFFFF"/>
            <w:tcMar>
              <w:top w:w="0" w:type="dxa"/>
              <w:left w:w="108" w:type="dxa"/>
              <w:bottom w:w="0" w:type="dxa"/>
              <w:right w:w="108" w:type="dxa"/>
            </w:tcMar>
          </w:tcPr>
          <w:p w14:paraId="06AC744E" w14:textId="77777777" w:rsidR="00422EFE" w:rsidRPr="00261B7A" w:rsidRDefault="00422EFE" w:rsidP="0058311A">
            <w:pPr>
              <w:pStyle w:val="TableText"/>
              <w:spacing w:before="40" w:after="40"/>
              <w:jc w:val="center"/>
            </w:pPr>
            <w:r w:rsidRPr="00261B7A">
              <w:rPr>
                <w:rFonts w:eastAsia="Calibri"/>
                <w:color w:val="000000"/>
              </w:rPr>
              <w:t>3,802,700</w:t>
            </w:r>
          </w:p>
        </w:tc>
        <w:tc>
          <w:tcPr>
            <w:tcW w:w="0" w:type="auto"/>
            <w:shd w:val="clear" w:color="auto" w:fill="FFFFFF"/>
            <w:tcMar>
              <w:top w:w="0" w:type="dxa"/>
              <w:left w:w="108" w:type="dxa"/>
              <w:bottom w:w="0" w:type="dxa"/>
              <w:right w:w="108" w:type="dxa"/>
            </w:tcMar>
          </w:tcPr>
          <w:p w14:paraId="20F67681" w14:textId="77777777" w:rsidR="00422EFE" w:rsidRPr="00261B7A" w:rsidRDefault="00422EFE" w:rsidP="0058311A">
            <w:pPr>
              <w:pStyle w:val="TableText"/>
              <w:spacing w:before="40" w:after="40"/>
              <w:jc w:val="center"/>
            </w:pPr>
            <w:r w:rsidRPr="00261B7A">
              <w:rPr>
                <w:rFonts w:eastAsia="Calibri"/>
                <w:color w:val="000000"/>
              </w:rPr>
              <w:t>0.0425</w:t>
            </w:r>
          </w:p>
        </w:tc>
        <w:tc>
          <w:tcPr>
            <w:tcW w:w="0" w:type="auto"/>
            <w:shd w:val="clear" w:color="auto" w:fill="FFFFFF"/>
            <w:tcMar>
              <w:top w:w="0" w:type="dxa"/>
              <w:left w:w="108" w:type="dxa"/>
              <w:bottom w:w="0" w:type="dxa"/>
              <w:right w:w="108" w:type="dxa"/>
            </w:tcMar>
          </w:tcPr>
          <w:p w14:paraId="2A2D061C" w14:textId="77777777" w:rsidR="00422EFE" w:rsidRPr="00261B7A" w:rsidRDefault="00422EFE" w:rsidP="0058311A">
            <w:pPr>
              <w:pStyle w:val="TableText"/>
              <w:spacing w:before="40" w:after="40"/>
              <w:jc w:val="center"/>
            </w:pPr>
            <w:r w:rsidRPr="00261B7A">
              <w:rPr>
                <w:rFonts w:eastAsia="Calibri"/>
                <w:color w:val="000000"/>
              </w:rPr>
              <w:t>155.8</w:t>
            </w:r>
          </w:p>
        </w:tc>
      </w:tr>
      <w:tr w:rsidR="00422EFE" w:rsidRPr="00261B7A" w14:paraId="1EED783C" w14:textId="77777777" w:rsidTr="00D41492">
        <w:tc>
          <w:tcPr>
            <w:tcW w:w="0" w:type="auto"/>
            <w:shd w:val="clear" w:color="auto" w:fill="FFFFFF"/>
            <w:tcMar>
              <w:top w:w="0" w:type="dxa"/>
              <w:left w:w="108" w:type="dxa"/>
              <w:bottom w:w="0" w:type="dxa"/>
              <w:right w:w="108" w:type="dxa"/>
            </w:tcMar>
          </w:tcPr>
          <w:p w14:paraId="4BAC03D3" w14:textId="77777777" w:rsidR="00422EFE" w:rsidRPr="00261B7A" w:rsidRDefault="00422EFE" w:rsidP="0058311A">
            <w:pPr>
              <w:pStyle w:val="TableText"/>
              <w:spacing w:before="40" w:after="40"/>
            </w:pPr>
            <w:r w:rsidRPr="00261B7A">
              <w:rPr>
                <w:rFonts w:eastAsia="Calibri"/>
              </w:rPr>
              <w:t>1998</w:t>
            </w:r>
          </w:p>
        </w:tc>
        <w:tc>
          <w:tcPr>
            <w:tcW w:w="0" w:type="auto"/>
            <w:shd w:val="clear" w:color="auto" w:fill="FFFFFF"/>
            <w:tcMar>
              <w:top w:w="0" w:type="dxa"/>
              <w:left w:w="108" w:type="dxa"/>
              <w:bottom w:w="0" w:type="dxa"/>
              <w:right w:w="108" w:type="dxa"/>
            </w:tcMar>
          </w:tcPr>
          <w:p w14:paraId="211B8946" w14:textId="77777777" w:rsidR="00422EFE" w:rsidRPr="00261B7A" w:rsidRDefault="00422EFE" w:rsidP="0058311A">
            <w:pPr>
              <w:pStyle w:val="TableText"/>
              <w:spacing w:before="40" w:after="40"/>
              <w:jc w:val="center"/>
            </w:pPr>
            <w:r w:rsidRPr="00261B7A">
              <w:rPr>
                <w:rFonts w:eastAsia="Calibri"/>
                <w:color w:val="000000"/>
              </w:rPr>
              <w:t>3,829,200</w:t>
            </w:r>
          </w:p>
        </w:tc>
        <w:tc>
          <w:tcPr>
            <w:tcW w:w="0" w:type="auto"/>
            <w:shd w:val="clear" w:color="auto" w:fill="FFFFFF"/>
            <w:tcMar>
              <w:top w:w="0" w:type="dxa"/>
              <w:left w:w="108" w:type="dxa"/>
              <w:bottom w:w="0" w:type="dxa"/>
              <w:right w:w="108" w:type="dxa"/>
            </w:tcMar>
          </w:tcPr>
          <w:p w14:paraId="386E112E" w14:textId="77777777" w:rsidR="00422EFE" w:rsidRPr="00261B7A" w:rsidRDefault="00422EFE" w:rsidP="0058311A">
            <w:pPr>
              <w:pStyle w:val="TableText"/>
              <w:spacing w:before="40" w:after="40"/>
              <w:jc w:val="center"/>
            </w:pPr>
            <w:r w:rsidRPr="00261B7A">
              <w:rPr>
                <w:rFonts w:eastAsia="Calibri"/>
                <w:color w:val="000000"/>
              </w:rPr>
              <w:t>Interpolated</w:t>
            </w:r>
          </w:p>
        </w:tc>
        <w:tc>
          <w:tcPr>
            <w:tcW w:w="0" w:type="auto"/>
            <w:shd w:val="clear" w:color="auto" w:fill="FFFFFF"/>
            <w:tcMar>
              <w:top w:w="0" w:type="dxa"/>
              <w:left w:w="108" w:type="dxa"/>
              <w:bottom w:w="0" w:type="dxa"/>
              <w:right w:w="108" w:type="dxa"/>
            </w:tcMar>
          </w:tcPr>
          <w:p w14:paraId="7195E7E0" w14:textId="77777777" w:rsidR="00422EFE" w:rsidRPr="00261B7A" w:rsidRDefault="00422EFE" w:rsidP="0058311A">
            <w:pPr>
              <w:pStyle w:val="TableText"/>
              <w:spacing w:before="40" w:after="40"/>
              <w:jc w:val="center"/>
            </w:pPr>
            <w:r w:rsidRPr="00261B7A">
              <w:rPr>
                <w:rFonts w:eastAsia="Calibri"/>
                <w:color w:val="000000"/>
              </w:rPr>
              <w:t>154.8</w:t>
            </w:r>
          </w:p>
        </w:tc>
      </w:tr>
      <w:tr w:rsidR="00422EFE" w:rsidRPr="00261B7A" w14:paraId="46C2A8D1" w14:textId="77777777" w:rsidTr="00D41492">
        <w:tc>
          <w:tcPr>
            <w:tcW w:w="0" w:type="auto"/>
            <w:shd w:val="clear" w:color="auto" w:fill="FFFFFF"/>
            <w:tcMar>
              <w:top w:w="0" w:type="dxa"/>
              <w:left w:w="108" w:type="dxa"/>
              <w:bottom w:w="0" w:type="dxa"/>
              <w:right w:w="108" w:type="dxa"/>
            </w:tcMar>
          </w:tcPr>
          <w:p w14:paraId="172A5304" w14:textId="77777777" w:rsidR="00422EFE" w:rsidRPr="00261B7A" w:rsidRDefault="00422EFE" w:rsidP="0058311A">
            <w:pPr>
              <w:pStyle w:val="TableText"/>
              <w:spacing w:before="40" w:after="40"/>
            </w:pPr>
            <w:r w:rsidRPr="00261B7A">
              <w:rPr>
                <w:rFonts w:eastAsia="Calibri"/>
              </w:rPr>
              <w:t>1999</w:t>
            </w:r>
          </w:p>
        </w:tc>
        <w:tc>
          <w:tcPr>
            <w:tcW w:w="0" w:type="auto"/>
            <w:shd w:val="clear" w:color="auto" w:fill="FFFFFF"/>
            <w:tcMar>
              <w:top w:w="0" w:type="dxa"/>
              <w:left w:w="108" w:type="dxa"/>
              <w:bottom w:w="0" w:type="dxa"/>
              <w:right w:w="108" w:type="dxa"/>
            </w:tcMar>
          </w:tcPr>
          <w:p w14:paraId="4DBF834A" w14:textId="77777777" w:rsidR="00422EFE" w:rsidRPr="00261B7A" w:rsidRDefault="00422EFE" w:rsidP="0058311A">
            <w:pPr>
              <w:pStyle w:val="TableText"/>
              <w:spacing w:before="40" w:after="40"/>
              <w:jc w:val="center"/>
            </w:pPr>
            <w:r w:rsidRPr="00261B7A">
              <w:rPr>
                <w:rFonts w:eastAsia="Calibri"/>
                <w:color w:val="000000"/>
              </w:rPr>
              <w:t>3,851,100</w:t>
            </w:r>
          </w:p>
        </w:tc>
        <w:tc>
          <w:tcPr>
            <w:tcW w:w="0" w:type="auto"/>
            <w:shd w:val="clear" w:color="auto" w:fill="FFFFFF"/>
            <w:tcMar>
              <w:top w:w="0" w:type="dxa"/>
              <w:left w:w="108" w:type="dxa"/>
              <w:bottom w:w="0" w:type="dxa"/>
              <w:right w:w="108" w:type="dxa"/>
            </w:tcMar>
          </w:tcPr>
          <w:p w14:paraId="471C889F" w14:textId="77777777" w:rsidR="00422EFE" w:rsidRPr="00261B7A" w:rsidRDefault="00422EFE" w:rsidP="0058311A">
            <w:pPr>
              <w:pStyle w:val="TableText"/>
              <w:spacing w:before="40" w:after="40"/>
              <w:jc w:val="center"/>
            </w:pPr>
            <w:r w:rsidRPr="00261B7A">
              <w:rPr>
                <w:rFonts w:eastAsia="Calibri"/>
                <w:color w:val="000000"/>
              </w:rPr>
              <w:t>Interpolated</w:t>
            </w:r>
          </w:p>
        </w:tc>
        <w:tc>
          <w:tcPr>
            <w:tcW w:w="0" w:type="auto"/>
            <w:shd w:val="clear" w:color="auto" w:fill="FFFFFF"/>
            <w:tcMar>
              <w:top w:w="0" w:type="dxa"/>
              <w:left w:w="108" w:type="dxa"/>
              <w:bottom w:w="0" w:type="dxa"/>
              <w:right w:w="108" w:type="dxa"/>
            </w:tcMar>
          </w:tcPr>
          <w:p w14:paraId="2CB21454" w14:textId="77777777" w:rsidR="00422EFE" w:rsidRPr="00261B7A" w:rsidRDefault="00422EFE" w:rsidP="0058311A">
            <w:pPr>
              <w:pStyle w:val="TableText"/>
              <w:spacing w:before="40" w:after="40"/>
              <w:jc w:val="center"/>
            </w:pPr>
            <w:r w:rsidRPr="00261B7A">
              <w:rPr>
                <w:rFonts w:eastAsia="Calibri"/>
                <w:color w:val="000000"/>
              </w:rPr>
              <w:t>153.9</w:t>
            </w:r>
          </w:p>
        </w:tc>
      </w:tr>
      <w:tr w:rsidR="00422EFE" w:rsidRPr="00261B7A" w14:paraId="7F6581A8" w14:textId="77777777" w:rsidTr="00D41492">
        <w:tc>
          <w:tcPr>
            <w:tcW w:w="0" w:type="auto"/>
            <w:shd w:val="clear" w:color="auto" w:fill="FFFFFF"/>
            <w:tcMar>
              <w:top w:w="0" w:type="dxa"/>
              <w:left w:w="108" w:type="dxa"/>
              <w:bottom w:w="0" w:type="dxa"/>
              <w:right w:w="108" w:type="dxa"/>
            </w:tcMar>
          </w:tcPr>
          <w:p w14:paraId="34D32CA6" w14:textId="77777777" w:rsidR="00422EFE" w:rsidRPr="00261B7A" w:rsidRDefault="00422EFE" w:rsidP="0058311A">
            <w:pPr>
              <w:pStyle w:val="TableText"/>
              <w:spacing w:before="40" w:after="40"/>
            </w:pPr>
            <w:r w:rsidRPr="00261B7A">
              <w:rPr>
                <w:rFonts w:eastAsia="Calibri"/>
              </w:rPr>
              <w:t>2000</w:t>
            </w:r>
          </w:p>
        </w:tc>
        <w:tc>
          <w:tcPr>
            <w:tcW w:w="0" w:type="auto"/>
            <w:shd w:val="clear" w:color="auto" w:fill="FFFFFF"/>
            <w:tcMar>
              <w:top w:w="0" w:type="dxa"/>
              <w:left w:w="108" w:type="dxa"/>
              <w:bottom w:w="0" w:type="dxa"/>
              <w:right w:w="108" w:type="dxa"/>
            </w:tcMar>
          </w:tcPr>
          <w:p w14:paraId="2464A42A" w14:textId="77777777" w:rsidR="00422EFE" w:rsidRPr="00261B7A" w:rsidRDefault="00422EFE" w:rsidP="0058311A">
            <w:pPr>
              <w:pStyle w:val="TableText"/>
              <w:spacing w:before="40" w:after="40"/>
              <w:jc w:val="center"/>
            </w:pPr>
            <w:r w:rsidRPr="00261B7A">
              <w:rPr>
                <w:rFonts w:eastAsia="Calibri"/>
                <w:color w:val="000000"/>
              </w:rPr>
              <w:t>3,873,100</w:t>
            </w:r>
          </w:p>
        </w:tc>
        <w:tc>
          <w:tcPr>
            <w:tcW w:w="0" w:type="auto"/>
            <w:shd w:val="clear" w:color="auto" w:fill="FFFFFF"/>
            <w:tcMar>
              <w:top w:w="0" w:type="dxa"/>
              <w:left w:w="108" w:type="dxa"/>
              <w:bottom w:w="0" w:type="dxa"/>
              <w:right w:w="108" w:type="dxa"/>
            </w:tcMar>
          </w:tcPr>
          <w:p w14:paraId="43FA9A27" w14:textId="77777777" w:rsidR="00422EFE" w:rsidRPr="00261B7A" w:rsidRDefault="00422EFE" w:rsidP="0058311A">
            <w:pPr>
              <w:pStyle w:val="TableText"/>
              <w:spacing w:before="40" w:after="40"/>
              <w:jc w:val="center"/>
            </w:pPr>
            <w:r w:rsidRPr="00261B7A">
              <w:rPr>
                <w:rFonts w:eastAsia="Calibri"/>
                <w:color w:val="000000"/>
              </w:rPr>
              <w:t>Interpolated</w:t>
            </w:r>
          </w:p>
        </w:tc>
        <w:tc>
          <w:tcPr>
            <w:tcW w:w="0" w:type="auto"/>
            <w:shd w:val="clear" w:color="auto" w:fill="FFFFFF"/>
            <w:tcMar>
              <w:top w:w="0" w:type="dxa"/>
              <w:left w:w="108" w:type="dxa"/>
              <w:bottom w:w="0" w:type="dxa"/>
              <w:right w:w="108" w:type="dxa"/>
            </w:tcMar>
          </w:tcPr>
          <w:p w14:paraId="7FF89B29" w14:textId="77777777" w:rsidR="00422EFE" w:rsidRPr="00261B7A" w:rsidRDefault="00422EFE" w:rsidP="0058311A">
            <w:pPr>
              <w:pStyle w:val="TableText"/>
              <w:spacing w:before="40" w:after="40"/>
              <w:jc w:val="center"/>
            </w:pPr>
            <w:r w:rsidRPr="00261B7A">
              <w:rPr>
                <w:rFonts w:eastAsia="Calibri"/>
                <w:color w:val="000000"/>
              </w:rPr>
              <w:t>152.9</w:t>
            </w:r>
          </w:p>
        </w:tc>
      </w:tr>
      <w:tr w:rsidR="00422EFE" w:rsidRPr="00261B7A" w14:paraId="3368D44F" w14:textId="77777777" w:rsidTr="00D41492">
        <w:tc>
          <w:tcPr>
            <w:tcW w:w="0" w:type="auto"/>
            <w:shd w:val="clear" w:color="auto" w:fill="FFFFFF"/>
            <w:tcMar>
              <w:top w:w="0" w:type="dxa"/>
              <w:left w:w="108" w:type="dxa"/>
              <w:bottom w:w="0" w:type="dxa"/>
              <w:right w:w="108" w:type="dxa"/>
            </w:tcMar>
          </w:tcPr>
          <w:p w14:paraId="742BFD58" w14:textId="77777777" w:rsidR="00422EFE" w:rsidRPr="00261B7A" w:rsidRDefault="00422EFE" w:rsidP="0058311A">
            <w:pPr>
              <w:pStyle w:val="TableText"/>
              <w:spacing w:before="40" w:after="40"/>
            </w:pPr>
            <w:r w:rsidRPr="00261B7A">
              <w:rPr>
                <w:rFonts w:eastAsia="Calibri"/>
              </w:rPr>
              <w:t>2001</w:t>
            </w:r>
          </w:p>
        </w:tc>
        <w:tc>
          <w:tcPr>
            <w:tcW w:w="0" w:type="auto"/>
            <w:shd w:val="clear" w:color="auto" w:fill="FFFFFF"/>
            <w:tcMar>
              <w:top w:w="0" w:type="dxa"/>
              <w:left w:w="108" w:type="dxa"/>
              <w:bottom w:w="0" w:type="dxa"/>
              <w:right w:w="108" w:type="dxa"/>
            </w:tcMar>
          </w:tcPr>
          <w:p w14:paraId="56A307C9" w14:textId="77777777" w:rsidR="00422EFE" w:rsidRPr="00261B7A" w:rsidRDefault="00422EFE" w:rsidP="0058311A">
            <w:pPr>
              <w:pStyle w:val="TableText"/>
              <w:spacing w:before="40" w:after="40"/>
              <w:jc w:val="center"/>
            </w:pPr>
            <w:r w:rsidRPr="00261B7A">
              <w:rPr>
                <w:rFonts w:eastAsia="Calibri"/>
                <w:color w:val="000000"/>
              </w:rPr>
              <w:t>3,916,200</w:t>
            </w:r>
          </w:p>
        </w:tc>
        <w:tc>
          <w:tcPr>
            <w:tcW w:w="0" w:type="auto"/>
            <w:shd w:val="clear" w:color="auto" w:fill="FFFFFF"/>
            <w:tcMar>
              <w:top w:w="0" w:type="dxa"/>
              <w:left w:w="108" w:type="dxa"/>
              <w:bottom w:w="0" w:type="dxa"/>
              <w:right w:w="108" w:type="dxa"/>
            </w:tcMar>
          </w:tcPr>
          <w:p w14:paraId="476E9CBC" w14:textId="77777777" w:rsidR="00422EFE" w:rsidRPr="00261B7A" w:rsidRDefault="00422EFE" w:rsidP="0058311A">
            <w:pPr>
              <w:pStyle w:val="TableText"/>
              <w:spacing w:before="40" w:after="40"/>
              <w:jc w:val="center"/>
            </w:pPr>
            <w:r w:rsidRPr="00261B7A">
              <w:rPr>
                <w:rFonts w:eastAsia="Calibri"/>
                <w:color w:val="000000"/>
              </w:rPr>
              <w:t>0.0378</w:t>
            </w:r>
          </w:p>
        </w:tc>
        <w:tc>
          <w:tcPr>
            <w:tcW w:w="0" w:type="auto"/>
            <w:shd w:val="clear" w:color="auto" w:fill="FFFFFF"/>
            <w:tcMar>
              <w:top w:w="0" w:type="dxa"/>
              <w:left w:w="108" w:type="dxa"/>
              <w:bottom w:w="0" w:type="dxa"/>
              <w:right w:w="108" w:type="dxa"/>
            </w:tcMar>
          </w:tcPr>
          <w:p w14:paraId="797FB5A8" w14:textId="77777777" w:rsidR="00422EFE" w:rsidRPr="00261B7A" w:rsidRDefault="00422EFE" w:rsidP="0058311A">
            <w:pPr>
              <w:pStyle w:val="TableText"/>
              <w:spacing w:before="40" w:after="40"/>
              <w:jc w:val="center"/>
            </w:pPr>
            <w:r w:rsidRPr="00261B7A">
              <w:rPr>
                <w:rFonts w:eastAsia="Calibri"/>
                <w:color w:val="000000"/>
              </w:rPr>
              <w:t>151.9</w:t>
            </w:r>
          </w:p>
        </w:tc>
      </w:tr>
      <w:tr w:rsidR="00422EFE" w:rsidRPr="00261B7A" w14:paraId="59A6FC71" w14:textId="77777777" w:rsidTr="00D41492">
        <w:tc>
          <w:tcPr>
            <w:tcW w:w="0" w:type="auto"/>
            <w:shd w:val="clear" w:color="auto" w:fill="FFFFFF"/>
            <w:tcMar>
              <w:top w:w="0" w:type="dxa"/>
              <w:left w:w="108" w:type="dxa"/>
              <w:bottom w:w="0" w:type="dxa"/>
              <w:right w:w="108" w:type="dxa"/>
            </w:tcMar>
          </w:tcPr>
          <w:p w14:paraId="57A5B24A" w14:textId="77777777" w:rsidR="00422EFE" w:rsidRPr="00261B7A" w:rsidRDefault="00422EFE" w:rsidP="0058311A">
            <w:pPr>
              <w:pStyle w:val="TableText"/>
              <w:spacing w:before="40" w:after="40"/>
            </w:pPr>
            <w:r w:rsidRPr="00261B7A">
              <w:rPr>
                <w:rFonts w:eastAsia="Calibri"/>
              </w:rPr>
              <w:t>2002</w:t>
            </w:r>
          </w:p>
        </w:tc>
        <w:tc>
          <w:tcPr>
            <w:tcW w:w="0" w:type="auto"/>
            <w:shd w:val="clear" w:color="auto" w:fill="FFFFFF"/>
            <w:tcMar>
              <w:top w:w="0" w:type="dxa"/>
              <w:left w:w="108" w:type="dxa"/>
              <w:bottom w:w="0" w:type="dxa"/>
              <w:right w:w="108" w:type="dxa"/>
            </w:tcMar>
          </w:tcPr>
          <w:p w14:paraId="0AB5A7B0" w14:textId="77777777" w:rsidR="00422EFE" w:rsidRPr="00261B7A" w:rsidRDefault="00422EFE" w:rsidP="0058311A">
            <w:pPr>
              <w:pStyle w:val="TableText"/>
              <w:spacing w:before="40" w:after="40"/>
              <w:jc w:val="center"/>
            </w:pPr>
            <w:r w:rsidRPr="00261B7A">
              <w:rPr>
                <w:rFonts w:eastAsia="Calibri"/>
                <w:color w:val="000000"/>
              </w:rPr>
              <w:t>3,989,500</w:t>
            </w:r>
          </w:p>
        </w:tc>
        <w:tc>
          <w:tcPr>
            <w:tcW w:w="0" w:type="auto"/>
            <w:shd w:val="clear" w:color="auto" w:fill="FFFFFF"/>
            <w:tcMar>
              <w:top w:w="0" w:type="dxa"/>
              <w:left w:w="108" w:type="dxa"/>
              <w:bottom w:w="0" w:type="dxa"/>
              <w:right w:w="108" w:type="dxa"/>
            </w:tcMar>
          </w:tcPr>
          <w:p w14:paraId="75EEC681" w14:textId="77777777" w:rsidR="00422EFE" w:rsidRPr="00261B7A" w:rsidRDefault="00422EFE" w:rsidP="0058311A">
            <w:pPr>
              <w:pStyle w:val="TableText"/>
              <w:spacing w:before="40" w:after="40"/>
              <w:jc w:val="center"/>
            </w:pPr>
            <w:r w:rsidRPr="00261B7A">
              <w:rPr>
                <w:rFonts w:eastAsia="Calibri"/>
                <w:color w:val="000000"/>
              </w:rPr>
              <w:t>Interpolated</w:t>
            </w:r>
          </w:p>
        </w:tc>
        <w:tc>
          <w:tcPr>
            <w:tcW w:w="0" w:type="auto"/>
            <w:shd w:val="clear" w:color="auto" w:fill="FFFFFF"/>
            <w:tcMar>
              <w:top w:w="0" w:type="dxa"/>
              <w:left w:w="108" w:type="dxa"/>
              <w:bottom w:w="0" w:type="dxa"/>
              <w:right w:w="108" w:type="dxa"/>
            </w:tcMar>
          </w:tcPr>
          <w:p w14:paraId="64422C36" w14:textId="77777777" w:rsidR="00422EFE" w:rsidRPr="00261B7A" w:rsidRDefault="00422EFE" w:rsidP="0058311A">
            <w:pPr>
              <w:pStyle w:val="TableText"/>
              <w:spacing w:before="40" w:after="40"/>
              <w:jc w:val="center"/>
            </w:pPr>
            <w:r w:rsidRPr="00261B7A">
              <w:rPr>
                <w:rFonts w:eastAsia="Calibri"/>
                <w:color w:val="000000"/>
              </w:rPr>
              <w:t>155.2</w:t>
            </w:r>
          </w:p>
        </w:tc>
      </w:tr>
      <w:tr w:rsidR="00422EFE" w:rsidRPr="00261B7A" w14:paraId="0BF86581" w14:textId="77777777" w:rsidTr="00D41492">
        <w:tc>
          <w:tcPr>
            <w:tcW w:w="0" w:type="auto"/>
            <w:shd w:val="clear" w:color="auto" w:fill="FFFFFF"/>
            <w:tcMar>
              <w:top w:w="0" w:type="dxa"/>
              <w:left w:w="108" w:type="dxa"/>
              <w:bottom w:w="0" w:type="dxa"/>
              <w:right w:w="108" w:type="dxa"/>
            </w:tcMar>
          </w:tcPr>
          <w:p w14:paraId="762F594F" w14:textId="77777777" w:rsidR="00422EFE" w:rsidRPr="00261B7A" w:rsidRDefault="00422EFE" w:rsidP="0058311A">
            <w:pPr>
              <w:pStyle w:val="TableText"/>
              <w:spacing w:before="40" w:after="40"/>
            </w:pPr>
            <w:r w:rsidRPr="00261B7A">
              <w:rPr>
                <w:rFonts w:eastAsia="Calibri"/>
              </w:rPr>
              <w:t>2003</w:t>
            </w:r>
          </w:p>
        </w:tc>
        <w:tc>
          <w:tcPr>
            <w:tcW w:w="0" w:type="auto"/>
            <w:shd w:val="clear" w:color="auto" w:fill="FFFFFF"/>
            <w:tcMar>
              <w:top w:w="0" w:type="dxa"/>
              <w:left w:w="108" w:type="dxa"/>
              <w:bottom w:w="0" w:type="dxa"/>
              <w:right w:w="108" w:type="dxa"/>
            </w:tcMar>
          </w:tcPr>
          <w:p w14:paraId="118218DF" w14:textId="77777777" w:rsidR="00422EFE" w:rsidRPr="00261B7A" w:rsidRDefault="00422EFE" w:rsidP="0058311A">
            <w:pPr>
              <w:pStyle w:val="TableText"/>
              <w:spacing w:before="40" w:after="40"/>
              <w:jc w:val="center"/>
            </w:pPr>
            <w:r w:rsidRPr="00261B7A">
              <w:rPr>
                <w:rFonts w:eastAsia="Calibri"/>
                <w:color w:val="000000"/>
              </w:rPr>
              <w:t>4,061,600</w:t>
            </w:r>
          </w:p>
        </w:tc>
        <w:tc>
          <w:tcPr>
            <w:tcW w:w="0" w:type="auto"/>
            <w:shd w:val="clear" w:color="auto" w:fill="FFFFFF"/>
            <w:tcMar>
              <w:top w:w="0" w:type="dxa"/>
              <w:left w:w="108" w:type="dxa"/>
              <w:bottom w:w="0" w:type="dxa"/>
              <w:right w:w="108" w:type="dxa"/>
            </w:tcMar>
          </w:tcPr>
          <w:p w14:paraId="4700EF83" w14:textId="77777777" w:rsidR="00422EFE" w:rsidRPr="00261B7A" w:rsidRDefault="00422EFE" w:rsidP="0058311A">
            <w:pPr>
              <w:pStyle w:val="TableText"/>
              <w:spacing w:before="40" w:after="40"/>
              <w:jc w:val="center"/>
            </w:pPr>
            <w:r w:rsidRPr="00261B7A">
              <w:rPr>
                <w:rFonts w:eastAsia="Calibri"/>
                <w:color w:val="000000"/>
              </w:rPr>
              <w:t>Interpolated</w:t>
            </w:r>
          </w:p>
        </w:tc>
        <w:tc>
          <w:tcPr>
            <w:tcW w:w="0" w:type="auto"/>
            <w:shd w:val="clear" w:color="auto" w:fill="FFFFFF"/>
            <w:tcMar>
              <w:top w:w="0" w:type="dxa"/>
              <w:left w:w="108" w:type="dxa"/>
              <w:bottom w:w="0" w:type="dxa"/>
              <w:right w:w="108" w:type="dxa"/>
            </w:tcMar>
          </w:tcPr>
          <w:p w14:paraId="09F15FE4" w14:textId="77777777" w:rsidR="00422EFE" w:rsidRPr="00261B7A" w:rsidRDefault="00422EFE" w:rsidP="0058311A">
            <w:pPr>
              <w:pStyle w:val="TableText"/>
              <w:spacing w:before="40" w:after="40"/>
              <w:jc w:val="center"/>
            </w:pPr>
            <w:r w:rsidRPr="00261B7A">
              <w:rPr>
                <w:rFonts w:eastAsia="Calibri"/>
                <w:color w:val="000000"/>
              </w:rPr>
              <w:t>158.6</w:t>
            </w:r>
          </w:p>
        </w:tc>
      </w:tr>
      <w:tr w:rsidR="00422EFE" w:rsidRPr="00261B7A" w14:paraId="2125F4FA" w14:textId="77777777" w:rsidTr="00D41492">
        <w:tc>
          <w:tcPr>
            <w:tcW w:w="0" w:type="auto"/>
            <w:shd w:val="clear" w:color="auto" w:fill="FFFFFF"/>
            <w:tcMar>
              <w:top w:w="0" w:type="dxa"/>
              <w:left w:w="108" w:type="dxa"/>
              <w:bottom w:w="0" w:type="dxa"/>
              <w:right w:w="108" w:type="dxa"/>
            </w:tcMar>
          </w:tcPr>
          <w:p w14:paraId="535AB7C4" w14:textId="77777777" w:rsidR="00422EFE" w:rsidRPr="00261B7A" w:rsidRDefault="00422EFE" w:rsidP="0058311A">
            <w:pPr>
              <w:pStyle w:val="TableText"/>
              <w:spacing w:before="40" w:after="40"/>
            </w:pPr>
            <w:r w:rsidRPr="00261B7A">
              <w:rPr>
                <w:rFonts w:eastAsia="Calibri"/>
              </w:rPr>
              <w:t>2004</w:t>
            </w:r>
          </w:p>
        </w:tc>
        <w:tc>
          <w:tcPr>
            <w:tcW w:w="0" w:type="auto"/>
            <w:shd w:val="clear" w:color="auto" w:fill="FFFFFF"/>
            <w:tcMar>
              <w:top w:w="0" w:type="dxa"/>
              <w:left w:w="108" w:type="dxa"/>
              <w:bottom w:w="0" w:type="dxa"/>
              <w:right w:w="108" w:type="dxa"/>
            </w:tcMar>
          </w:tcPr>
          <w:p w14:paraId="5A48B2FE" w14:textId="77777777" w:rsidR="00422EFE" w:rsidRPr="00261B7A" w:rsidRDefault="00422EFE" w:rsidP="0058311A">
            <w:pPr>
              <w:pStyle w:val="TableText"/>
              <w:spacing w:before="40" w:after="40"/>
              <w:jc w:val="center"/>
            </w:pPr>
            <w:r w:rsidRPr="00261B7A">
              <w:rPr>
                <w:rFonts w:eastAsia="Calibri"/>
                <w:color w:val="000000"/>
              </w:rPr>
              <w:t>4,114,300</w:t>
            </w:r>
          </w:p>
        </w:tc>
        <w:tc>
          <w:tcPr>
            <w:tcW w:w="0" w:type="auto"/>
            <w:shd w:val="clear" w:color="auto" w:fill="FFFFFF"/>
            <w:tcMar>
              <w:top w:w="0" w:type="dxa"/>
              <w:left w:w="108" w:type="dxa"/>
              <w:bottom w:w="0" w:type="dxa"/>
              <w:right w:w="108" w:type="dxa"/>
            </w:tcMar>
          </w:tcPr>
          <w:p w14:paraId="32079D7B" w14:textId="77777777" w:rsidR="00422EFE" w:rsidRPr="00261B7A" w:rsidRDefault="00422EFE" w:rsidP="0058311A">
            <w:pPr>
              <w:pStyle w:val="TableText"/>
              <w:spacing w:before="40" w:after="40"/>
              <w:jc w:val="center"/>
            </w:pPr>
            <w:r w:rsidRPr="00261B7A">
              <w:rPr>
                <w:rFonts w:eastAsia="Calibri"/>
                <w:color w:val="000000"/>
              </w:rPr>
              <w:t>Interpolated</w:t>
            </w:r>
          </w:p>
        </w:tc>
        <w:tc>
          <w:tcPr>
            <w:tcW w:w="0" w:type="auto"/>
            <w:shd w:val="clear" w:color="auto" w:fill="FFFFFF"/>
            <w:tcMar>
              <w:top w:w="0" w:type="dxa"/>
              <w:left w:w="108" w:type="dxa"/>
              <w:bottom w:w="0" w:type="dxa"/>
              <w:right w:w="108" w:type="dxa"/>
            </w:tcMar>
          </w:tcPr>
          <w:p w14:paraId="69313E0A" w14:textId="77777777" w:rsidR="00422EFE" w:rsidRPr="00261B7A" w:rsidRDefault="00422EFE" w:rsidP="0058311A">
            <w:pPr>
              <w:pStyle w:val="TableText"/>
              <w:spacing w:before="40" w:after="40"/>
              <w:jc w:val="center"/>
            </w:pPr>
            <w:r w:rsidRPr="00261B7A">
              <w:rPr>
                <w:rFonts w:eastAsia="Calibri"/>
                <w:color w:val="000000"/>
              </w:rPr>
              <w:t>161.9</w:t>
            </w:r>
          </w:p>
        </w:tc>
      </w:tr>
      <w:tr w:rsidR="00422EFE" w:rsidRPr="00261B7A" w14:paraId="256BB62D" w14:textId="77777777" w:rsidTr="00D41492">
        <w:tc>
          <w:tcPr>
            <w:tcW w:w="0" w:type="auto"/>
            <w:shd w:val="clear" w:color="auto" w:fill="FFFFFF"/>
            <w:tcMar>
              <w:top w:w="0" w:type="dxa"/>
              <w:left w:w="108" w:type="dxa"/>
              <w:bottom w:w="0" w:type="dxa"/>
              <w:right w:w="108" w:type="dxa"/>
            </w:tcMar>
          </w:tcPr>
          <w:p w14:paraId="4833F183" w14:textId="77777777" w:rsidR="00422EFE" w:rsidRPr="00261B7A" w:rsidRDefault="00422EFE" w:rsidP="0058311A">
            <w:pPr>
              <w:pStyle w:val="TableText"/>
              <w:spacing w:before="40" w:after="40"/>
            </w:pPr>
            <w:r w:rsidRPr="00261B7A">
              <w:rPr>
                <w:rFonts w:eastAsia="Calibri"/>
              </w:rPr>
              <w:t>2005</w:t>
            </w:r>
          </w:p>
        </w:tc>
        <w:tc>
          <w:tcPr>
            <w:tcW w:w="0" w:type="auto"/>
            <w:shd w:val="clear" w:color="auto" w:fill="FFFFFF"/>
            <w:tcMar>
              <w:top w:w="0" w:type="dxa"/>
              <w:left w:w="108" w:type="dxa"/>
              <w:bottom w:w="0" w:type="dxa"/>
              <w:right w:w="108" w:type="dxa"/>
            </w:tcMar>
          </w:tcPr>
          <w:p w14:paraId="0BC50E80" w14:textId="77777777" w:rsidR="00422EFE" w:rsidRPr="00261B7A" w:rsidRDefault="00422EFE" w:rsidP="0058311A">
            <w:pPr>
              <w:pStyle w:val="TableText"/>
              <w:spacing w:before="40" w:after="40"/>
              <w:jc w:val="center"/>
            </w:pPr>
            <w:r w:rsidRPr="00261B7A">
              <w:rPr>
                <w:rFonts w:eastAsia="Calibri"/>
                <w:color w:val="000000"/>
              </w:rPr>
              <w:t>4,161,000</w:t>
            </w:r>
          </w:p>
        </w:tc>
        <w:tc>
          <w:tcPr>
            <w:tcW w:w="0" w:type="auto"/>
            <w:shd w:val="clear" w:color="auto" w:fill="FFFFFF"/>
            <w:tcMar>
              <w:top w:w="0" w:type="dxa"/>
              <w:left w:w="108" w:type="dxa"/>
              <w:bottom w:w="0" w:type="dxa"/>
              <w:right w:w="108" w:type="dxa"/>
            </w:tcMar>
          </w:tcPr>
          <w:p w14:paraId="21CA0B29" w14:textId="77777777" w:rsidR="00422EFE" w:rsidRPr="00261B7A" w:rsidRDefault="00422EFE" w:rsidP="0058311A">
            <w:pPr>
              <w:pStyle w:val="TableText"/>
              <w:spacing w:before="40" w:after="40"/>
              <w:jc w:val="center"/>
            </w:pPr>
            <w:r w:rsidRPr="00261B7A">
              <w:rPr>
                <w:rFonts w:eastAsia="Calibri"/>
                <w:color w:val="000000"/>
              </w:rPr>
              <w:t>Interpolated</w:t>
            </w:r>
          </w:p>
        </w:tc>
        <w:tc>
          <w:tcPr>
            <w:tcW w:w="0" w:type="auto"/>
            <w:shd w:val="clear" w:color="auto" w:fill="FFFFFF"/>
            <w:tcMar>
              <w:top w:w="0" w:type="dxa"/>
              <w:left w:w="108" w:type="dxa"/>
              <w:bottom w:w="0" w:type="dxa"/>
              <w:right w:w="108" w:type="dxa"/>
            </w:tcMar>
          </w:tcPr>
          <w:p w14:paraId="5F1AE262" w14:textId="77777777" w:rsidR="00422EFE" w:rsidRPr="00261B7A" w:rsidRDefault="00422EFE" w:rsidP="0058311A">
            <w:pPr>
              <w:pStyle w:val="TableText"/>
              <w:spacing w:before="40" w:after="40"/>
              <w:jc w:val="center"/>
            </w:pPr>
            <w:r w:rsidRPr="00261B7A">
              <w:rPr>
                <w:rFonts w:eastAsia="Calibri"/>
                <w:color w:val="000000"/>
              </w:rPr>
              <w:t>165.4</w:t>
            </w:r>
          </w:p>
        </w:tc>
      </w:tr>
      <w:tr w:rsidR="00422EFE" w:rsidRPr="00261B7A" w14:paraId="09B4973B" w14:textId="77777777" w:rsidTr="00D41492">
        <w:tc>
          <w:tcPr>
            <w:tcW w:w="0" w:type="auto"/>
            <w:shd w:val="clear" w:color="auto" w:fill="FFFFFF"/>
            <w:tcMar>
              <w:top w:w="0" w:type="dxa"/>
              <w:left w:w="108" w:type="dxa"/>
              <w:bottom w:w="0" w:type="dxa"/>
              <w:right w:w="108" w:type="dxa"/>
            </w:tcMar>
          </w:tcPr>
          <w:p w14:paraId="30389764" w14:textId="77777777" w:rsidR="00422EFE" w:rsidRPr="00261B7A" w:rsidRDefault="00422EFE" w:rsidP="0058311A">
            <w:pPr>
              <w:pStyle w:val="TableText"/>
              <w:spacing w:before="40" w:after="40"/>
            </w:pPr>
            <w:r w:rsidRPr="00261B7A">
              <w:rPr>
                <w:rFonts w:eastAsia="Calibri"/>
              </w:rPr>
              <w:t>2006</w:t>
            </w:r>
          </w:p>
        </w:tc>
        <w:tc>
          <w:tcPr>
            <w:tcW w:w="0" w:type="auto"/>
            <w:shd w:val="clear" w:color="auto" w:fill="FFFFFF"/>
            <w:tcMar>
              <w:top w:w="0" w:type="dxa"/>
              <w:left w:w="108" w:type="dxa"/>
              <w:bottom w:w="0" w:type="dxa"/>
              <w:right w:w="108" w:type="dxa"/>
            </w:tcMar>
          </w:tcPr>
          <w:p w14:paraId="0614B644" w14:textId="77777777" w:rsidR="00422EFE" w:rsidRPr="00261B7A" w:rsidRDefault="00422EFE" w:rsidP="0058311A">
            <w:pPr>
              <w:pStyle w:val="TableText"/>
              <w:spacing w:before="40" w:after="40"/>
              <w:jc w:val="center"/>
            </w:pPr>
            <w:r w:rsidRPr="00261B7A">
              <w:rPr>
                <w:rFonts w:eastAsia="Calibri"/>
                <w:color w:val="000000"/>
              </w:rPr>
              <w:t>4,209,100</w:t>
            </w:r>
          </w:p>
        </w:tc>
        <w:tc>
          <w:tcPr>
            <w:tcW w:w="0" w:type="auto"/>
            <w:shd w:val="clear" w:color="auto" w:fill="FFFFFF"/>
            <w:tcMar>
              <w:top w:w="0" w:type="dxa"/>
              <w:left w:w="108" w:type="dxa"/>
              <w:bottom w:w="0" w:type="dxa"/>
              <w:right w:w="108" w:type="dxa"/>
            </w:tcMar>
          </w:tcPr>
          <w:p w14:paraId="63A1077F" w14:textId="77777777" w:rsidR="00422EFE" w:rsidRPr="00261B7A" w:rsidRDefault="00422EFE" w:rsidP="0058311A">
            <w:pPr>
              <w:pStyle w:val="TableText"/>
              <w:spacing w:before="40" w:after="40"/>
              <w:jc w:val="center"/>
            </w:pPr>
            <w:r w:rsidRPr="00261B7A">
              <w:rPr>
                <w:rFonts w:eastAsia="Calibri"/>
                <w:color w:val="000000"/>
              </w:rPr>
              <w:t>0.032</w:t>
            </w:r>
          </w:p>
        </w:tc>
        <w:tc>
          <w:tcPr>
            <w:tcW w:w="0" w:type="auto"/>
            <w:shd w:val="clear" w:color="auto" w:fill="FFFFFF"/>
            <w:tcMar>
              <w:top w:w="0" w:type="dxa"/>
              <w:left w:w="108" w:type="dxa"/>
              <w:bottom w:w="0" w:type="dxa"/>
              <w:right w:w="108" w:type="dxa"/>
            </w:tcMar>
          </w:tcPr>
          <w:p w14:paraId="33A98734" w14:textId="4A800EF6" w:rsidR="00422EFE" w:rsidRPr="00261B7A" w:rsidRDefault="00422EFE" w:rsidP="0058311A">
            <w:pPr>
              <w:pStyle w:val="TableText"/>
              <w:spacing w:before="40" w:after="40"/>
              <w:jc w:val="center"/>
            </w:pPr>
            <w:r w:rsidRPr="00261B7A">
              <w:rPr>
                <w:rFonts w:eastAsia="Calibri"/>
                <w:color w:val="000000"/>
              </w:rPr>
              <w:t>168</w:t>
            </w:r>
            <w:r w:rsidR="00503B2C" w:rsidRPr="00261B7A">
              <w:rPr>
                <w:rFonts w:eastAsia="Calibri"/>
                <w:color w:val="000000"/>
              </w:rPr>
              <w:t>.0</w:t>
            </w:r>
          </w:p>
        </w:tc>
      </w:tr>
      <w:tr w:rsidR="00422EFE" w:rsidRPr="00261B7A" w14:paraId="58B75680" w14:textId="77777777" w:rsidTr="00D41492">
        <w:tc>
          <w:tcPr>
            <w:tcW w:w="0" w:type="auto"/>
            <w:shd w:val="clear" w:color="auto" w:fill="FFFFFF"/>
            <w:tcMar>
              <w:top w:w="0" w:type="dxa"/>
              <w:left w:w="108" w:type="dxa"/>
              <w:bottom w:w="0" w:type="dxa"/>
              <w:right w:w="108" w:type="dxa"/>
            </w:tcMar>
          </w:tcPr>
          <w:p w14:paraId="701A74E4" w14:textId="77777777" w:rsidR="00422EFE" w:rsidRPr="00261B7A" w:rsidRDefault="00422EFE" w:rsidP="0058311A">
            <w:pPr>
              <w:pStyle w:val="TableText"/>
              <w:spacing w:before="40" w:after="40"/>
            </w:pPr>
            <w:r w:rsidRPr="00261B7A">
              <w:rPr>
                <w:rFonts w:eastAsia="Calibri"/>
              </w:rPr>
              <w:t>2007</w:t>
            </w:r>
          </w:p>
        </w:tc>
        <w:tc>
          <w:tcPr>
            <w:tcW w:w="0" w:type="auto"/>
            <w:shd w:val="clear" w:color="auto" w:fill="FFFFFF"/>
            <w:tcMar>
              <w:top w:w="0" w:type="dxa"/>
              <w:left w:w="108" w:type="dxa"/>
              <w:bottom w:w="0" w:type="dxa"/>
              <w:right w:w="108" w:type="dxa"/>
            </w:tcMar>
          </w:tcPr>
          <w:p w14:paraId="42035374" w14:textId="77777777" w:rsidR="00422EFE" w:rsidRPr="00261B7A" w:rsidRDefault="00422EFE" w:rsidP="0058311A">
            <w:pPr>
              <w:pStyle w:val="TableText"/>
              <w:spacing w:before="40" w:after="40"/>
              <w:jc w:val="center"/>
            </w:pPr>
            <w:r w:rsidRPr="00261B7A">
              <w:rPr>
                <w:rFonts w:eastAsia="Calibri"/>
                <w:color w:val="000000"/>
              </w:rPr>
              <w:t>4,245,700</w:t>
            </w:r>
          </w:p>
        </w:tc>
        <w:tc>
          <w:tcPr>
            <w:tcW w:w="0" w:type="auto"/>
            <w:shd w:val="clear" w:color="auto" w:fill="FFFFFF"/>
            <w:tcMar>
              <w:top w:w="0" w:type="dxa"/>
              <w:left w:w="108" w:type="dxa"/>
              <w:bottom w:w="0" w:type="dxa"/>
              <w:right w:w="108" w:type="dxa"/>
            </w:tcMar>
          </w:tcPr>
          <w:p w14:paraId="14A5501A" w14:textId="77777777" w:rsidR="00422EFE" w:rsidRPr="00261B7A" w:rsidRDefault="00422EFE" w:rsidP="0058311A">
            <w:pPr>
              <w:pStyle w:val="TableText"/>
              <w:spacing w:before="40" w:after="40"/>
              <w:jc w:val="center"/>
            </w:pPr>
            <w:r w:rsidRPr="00261B7A">
              <w:rPr>
                <w:rFonts w:eastAsia="Calibri"/>
                <w:color w:val="000000"/>
              </w:rPr>
              <w:t>Interpolated</w:t>
            </w:r>
          </w:p>
        </w:tc>
        <w:tc>
          <w:tcPr>
            <w:tcW w:w="0" w:type="auto"/>
            <w:shd w:val="clear" w:color="auto" w:fill="FFFFFF"/>
            <w:tcMar>
              <w:top w:w="0" w:type="dxa"/>
              <w:left w:w="108" w:type="dxa"/>
              <w:bottom w:w="0" w:type="dxa"/>
              <w:right w:w="108" w:type="dxa"/>
            </w:tcMar>
          </w:tcPr>
          <w:p w14:paraId="24FEA973" w14:textId="77777777" w:rsidR="00422EFE" w:rsidRPr="00261B7A" w:rsidRDefault="00422EFE" w:rsidP="0058311A">
            <w:pPr>
              <w:pStyle w:val="TableText"/>
              <w:spacing w:before="40" w:after="40"/>
              <w:jc w:val="center"/>
            </w:pPr>
            <w:r w:rsidRPr="00261B7A">
              <w:rPr>
                <w:rFonts w:eastAsia="Calibri"/>
                <w:color w:val="000000"/>
              </w:rPr>
              <w:t>170.6</w:t>
            </w:r>
          </w:p>
        </w:tc>
      </w:tr>
      <w:tr w:rsidR="00422EFE" w:rsidRPr="00261B7A" w14:paraId="621E885F" w14:textId="77777777" w:rsidTr="00D41492">
        <w:tc>
          <w:tcPr>
            <w:tcW w:w="0" w:type="auto"/>
            <w:shd w:val="clear" w:color="auto" w:fill="FFFFFF"/>
            <w:tcMar>
              <w:top w:w="0" w:type="dxa"/>
              <w:left w:w="108" w:type="dxa"/>
              <w:bottom w:w="0" w:type="dxa"/>
              <w:right w:w="108" w:type="dxa"/>
            </w:tcMar>
          </w:tcPr>
          <w:p w14:paraId="0C7E4F69" w14:textId="77777777" w:rsidR="00422EFE" w:rsidRPr="00261B7A" w:rsidRDefault="00422EFE" w:rsidP="0058311A">
            <w:pPr>
              <w:pStyle w:val="TableText"/>
              <w:spacing w:before="40" w:after="40"/>
            </w:pPr>
            <w:r w:rsidRPr="00261B7A">
              <w:rPr>
                <w:rFonts w:eastAsia="Calibri"/>
              </w:rPr>
              <w:t>2008</w:t>
            </w:r>
          </w:p>
        </w:tc>
        <w:tc>
          <w:tcPr>
            <w:tcW w:w="0" w:type="auto"/>
            <w:shd w:val="clear" w:color="auto" w:fill="FFFFFF"/>
            <w:tcMar>
              <w:top w:w="0" w:type="dxa"/>
              <w:left w:w="108" w:type="dxa"/>
              <w:bottom w:w="0" w:type="dxa"/>
              <w:right w:w="108" w:type="dxa"/>
            </w:tcMar>
          </w:tcPr>
          <w:p w14:paraId="64B919A1" w14:textId="77777777" w:rsidR="00422EFE" w:rsidRPr="00261B7A" w:rsidRDefault="00422EFE" w:rsidP="0058311A">
            <w:pPr>
              <w:pStyle w:val="TableText"/>
              <w:spacing w:before="40" w:after="40"/>
              <w:jc w:val="center"/>
            </w:pPr>
            <w:r w:rsidRPr="00261B7A">
              <w:rPr>
                <w:rFonts w:eastAsia="Calibri"/>
                <w:color w:val="000000"/>
              </w:rPr>
              <w:t>4,280,300</w:t>
            </w:r>
          </w:p>
        </w:tc>
        <w:tc>
          <w:tcPr>
            <w:tcW w:w="0" w:type="auto"/>
            <w:shd w:val="clear" w:color="auto" w:fill="FFFFFF"/>
            <w:tcMar>
              <w:top w:w="0" w:type="dxa"/>
              <w:left w:w="108" w:type="dxa"/>
              <w:bottom w:w="0" w:type="dxa"/>
              <w:right w:w="108" w:type="dxa"/>
            </w:tcMar>
          </w:tcPr>
          <w:p w14:paraId="2C190EF4" w14:textId="77777777" w:rsidR="00422EFE" w:rsidRPr="00261B7A" w:rsidRDefault="00422EFE" w:rsidP="0058311A">
            <w:pPr>
              <w:pStyle w:val="TableText"/>
              <w:spacing w:before="40" w:after="40"/>
              <w:jc w:val="center"/>
            </w:pPr>
            <w:r w:rsidRPr="00261B7A">
              <w:rPr>
                <w:rFonts w:eastAsia="Calibri"/>
                <w:color w:val="000000"/>
              </w:rPr>
              <w:t>Interpolated</w:t>
            </w:r>
          </w:p>
        </w:tc>
        <w:tc>
          <w:tcPr>
            <w:tcW w:w="0" w:type="auto"/>
            <w:shd w:val="clear" w:color="auto" w:fill="FFFFFF"/>
            <w:tcMar>
              <w:top w:w="0" w:type="dxa"/>
              <w:left w:w="108" w:type="dxa"/>
              <w:bottom w:w="0" w:type="dxa"/>
              <w:right w:w="108" w:type="dxa"/>
            </w:tcMar>
          </w:tcPr>
          <w:p w14:paraId="585F7BD5" w14:textId="77777777" w:rsidR="00422EFE" w:rsidRPr="00261B7A" w:rsidRDefault="00422EFE" w:rsidP="0058311A">
            <w:pPr>
              <w:pStyle w:val="TableText"/>
              <w:spacing w:before="40" w:after="40"/>
              <w:jc w:val="center"/>
            </w:pPr>
            <w:r w:rsidRPr="00261B7A">
              <w:rPr>
                <w:rFonts w:eastAsia="Calibri"/>
                <w:color w:val="000000"/>
              </w:rPr>
              <w:t>172.4</w:t>
            </w:r>
          </w:p>
        </w:tc>
      </w:tr>
      <w:tr w:rsidR="00422EFE" w:rsidRPr="00261B7A" w14:paraId="5A6AFAAE" w14:textId="77777777" w:rsidTr="00D41492">
        <w:tc>
          <w:tcPr>
            <w:tcW w:w="0" w:type="auto"/>
            <w:shd w:val="clear" w:color="auto" w:fill="FFFFFF"/>
            <w:tcMar>
              <w:top w:w="0" w:type="dxa"/>
              <w:left w:w="108" w:type="dxa"/>
              <w:bottom w:w="0" w:type="dxa"/>
              <w:right w:w="108" w:type="dxa"/>
            </w:tcMar>
          </w:tcPr>
          <w:p w14:paraId="4862973A" w14:textId="77777777" w:rsidR="00422EFE" w:rsidRPr="00261B7A" w:rsidRDefault="00422EFE" w:rsidP="0058311A">
            <w:pPr>
              <w:pStyle w:val="TableText"/>
              <w:spacing w:before="40" w:after="40"/>
            </w:pPr>
            <w:r w:rsidRPr="00261B7A">
              <w:rPr>
                <w:rFonts w:eastAsia="Calibri"/>
              </w:rPr>
              <w:t>2009</w:t>
            </w:r>
          </w:p>
        </w:tc>
        <w:tc>
          <w:tcPr>
            <w:tcW w:w="0" w:type="auto"/>
            <w:shd w:val="clear" w:color="auto" w:fill="FFFFFF"/>
            <w:tcMar>
              <w:top w:w="0" w:type="dxa"/>
              <w:left w:w="108" w:type="dxa"/>
              <w:bottom w:w="0" w:type="dxa"/>
              <w:right w:w="108" w:type="dxa"/>
            </w:tcMar>
          </w:tcPr>
          <w:p w14:paraId="0950696F" w14:textId="77777777" w:rsidR="00422EFE" w:rsidRPr="00261B7A" w:rsidRDefault="00422EFE" w:rsidP="0058311A">
            <w:pPr>
              <w:pStyle w:val="TableText"/>
              <w:spacing w:before="40" w:after="40"/>
              <w:jc w:val="center"/>
            </w:pPr>
            <w:r w:rsidRPr="00261B7A">
              <w:rPr>
                <w:rFonts w:eastAsia="Calibri"/>
                <w:color w:val="000000"/>
              </w:rPr>
              <w:t>4,332,100</w:t>
            </w:r>
          </w:p>
        </w:tc>
        <w:tc>
          <w:tcPr>
            <w:tcW w:w="0" w:type="auto"/>
            <w:shd w:val="clear" w:color="auto" w:fill="FFFFFF"/>
            <w:tcMar>
              <w:top w:w="0" w:type="dxa"/>
              <w:left w:w="108" w:type="dxa"/>
              <w:bottom w:w="0" w:type="dxa"/>
              <w:right w:w="108" w:type="dxa"/>
            </w:tcMar>
          </w:tcPr>
          <w:p w14:paraId="6CE9873C" w14:textId="77777777" w:rsidR="00422EFE" w:rsidRPr="00261B7A" w:rsidRDefault="00422EFE" w:rsidP="0058311A">
            <w:pPr>
              <w:pStyle w:val="TableText"/>
              <w:spacing w:before="40" w:after="40"/>
              <w:jc w:val="center"/>
            </w:pPr>
            <w:r w:rsidRPr="00261B7A">
              <w:rPr>
                <w:rFonts w:eastAsia="Calibri"/>
                <w:color w:val="000000"/>
              </w:rPr>
              <w:t>Interpolated</w:t>
            </w:r>
          </w:p>
        </w:tc>
        <w:tc>
          <w:tcPr>
            <w:tcW w:w="0" w:type="auto"/>
            <w:shd w:val="clear" w:color="auto" w:fill="FFFFFF"/>
            <w:tcMar>
              <w:top w:w="0" w:type="dxa"/>
              <w:left w:w="108" w:type="dxa"/>
              <w:bottom w:w="0" w:type="dxa"/>
              <w:right w:w="108" w:type="dxa"/>
            </w:tcMar>
          </w:tcPr>
          <w:p w14:paraId="55F606AD" w14:textId="77777777" w:rsidR="00422EFE" w:rsidRPr="00261B7A" w:rsidRDefault="00422EFE" w:rsidP="0058311A">
            <w:pPr>
              <w:pStyle w:val="TableText"/>
              <w:spacing w:before="40" w:after="40"/>
              <w:jc w:val="center"/>
            </w:pPr>
            <w:r w:rsidRPr="00261B7A">
              <w:rPr>
                <w:rFonts w:eastAsia="Calibri"/>
                <w:color w:val="000000"/>
              </w:rPr>
              <w:t>174.2</w:t>
            </w:r>
          </w:p>
        </w:tc>
      </w:tr>
      <w:tr w:rsidR="00422EFE" w:rsidRPr="00261B7A" w14:paraId="3DA6A475" w14:textId="77777777" w:rsidTr="00D41492">
        <w:tc>
          <w:tcPr>
            <w:tcW w:w="0" w:type="auto"/>
            <w:shd w:val="clear" w:color="auto" w:fill="FFFFFF"/>
            <w:tcMar>
              <w:top w:w="0" w:type="dxa"/>
              <w:left w:w="108" w:type="dxa"/>
              <w:bottom w:w="0" w:type="dxa"/>
              <w:right w:w="108" w:type="dxa"/>
            </w:tcMar>
          </w:tcPr>
          <w:p w14:paraId="551FCB43" w14:textId="77777777" w:rsidR="00422EFE" w:rsidRPr="00261B7A" w:rsidRDefault="00422EFE" w:rsidP="0058311A">
            <w:pPr>
              <w:pStyle w:val="TableText"/>
              <w:spacing w:before="40" w:after="40"/>
            </w:pPr>
            <w:r w:rsidRPr="00261B7A">
              <w:rPr>
                <w:rFonts w:eastAsia="Calibri"/>
              </w:rPr>
              <w:t>2010</w:t>
            </w:r>
          </w:p>
        </w:tc>
        <w:tc>
          <w:tcPr>
            <w:tcW w:w="0" w:type="auto"/>
            <w:shd w:val="clear" w:color="auto" w:fill="FFFFFF"/>
            <w:tcMar>
              <w:top w:w="0" w:type="dxa"/>
              <w:left w:w="108" w:type="dxa"/>
              <w:bottom w:w="0" w:type="dxa"/>
              <w:right w:w="108" w:type="dxa"/>
            </w:tcMar>
          </w:tcPr>
          <w:p w14:paraId="3FC5B251" w14:textId="77777777" w:rsidR="00422EFE" w:rsidRPr="00261B7A" w:rsidRDefault="00422EFE" w:rsidP="0058311A">
            <w:pPr>
              <w:pStyle w:val="TableText"/>
              <w:spacing w:before="40" w:after="40"/>
              <w:jc w:val="center"/>
            </w:pPr>
            <w:r w:rsidRPr="00261B7A">
              <w:rPr>
                <w:rFonts w:eastAsia="Calibri"/>
                <w:color w:val="000000"/>
              </w:rPr>
              <w:t>4,373,900</w:t>
            </w:r>
          </w:p>
        </w:tc>
        <w:tc>
          <w:tcPr>
            <w:tcW w:w="0" w:type="auto"/>
            <w:shd w:val="clear" w:color="auto" w:fill="FFFFFF"/>
            <w:tcMar>
              <w:top w:w="0" w:type="dxa"/>
              <w:left w:w="108" w:type="dxa"/>
              <w:bottom w:w="0" w:type="dxa"/>
              <w:right w:w="108" w:type="dxa"/>
            </w:tcMar>
          </w:tcPr>
          <w:p w14:paraId="1E569343" w14:textId="77777777" w:rsidR="00422EFE" w:rsidRPr="00261B7A" w:rsidRDefault="00422EFE" w:rsidP="0058311A">
            <w:pPr>
              <w:pStyle w:val="TableText"/>
              <w:spacing w:before="40" w:after="40"/>
              <w:jc w:val="center"/>
            </w:pPr>
            <w:r w:rsidRPr="00261B7A">
              <w:rPr>
                <w:rFonts w:eastAsia="Calibri"/>
                <w:color w:val="000000"/>
              </w:rPr>
              <w:t>Interpolated</w:t>
            </w:r>
          </w:p>
        </w:tc>
        <w:tc>
          <w:tcPr>
            <w:tcW w:w="0" w:type="auto"/>
            <w:shd w:val="clear" w:color="auto" w:fill="FFFFFF"/>
            <w:tcMar>
              <w:top w:w="0" w:type="dxa"/>
              <w:left w:w="108" w:type="dxa"/>
              <w:bottom w:w="0" w:type="dxa"/>
              <w:right w:w="108" w:type="dxa"/>
            </w:tcMar>
          </w:tcPr>
          <w:p w14:paraId="7A5C2FE7" w14:textId="0478D13E" w:rsidR="00422EFE" w:rsidRPr="00261B7A" w:rsidRDefault="00422EFE" w:rsidP="0058311A">
            <w:pPr>
              <w:pStyle w:val="TableText"/>
              <w:spacing w:before="40" w:after="40"/>
              <w:jc w:val="center"/>
            </w:pPr>
            <w:r w:rsidRPr="00261B7A">
              <w:rPr>
                <w:rFonts w:eastAsia="Calibri"/>
                <w:color w:val="000000"/>
              </w:rPr>
              <w:t>176</w:t>
            </w:r>
            <w:r w:rsidR="00DE0840" w:rsidRPr="00261B7A">
              <w:rPr>
                <w:rFonts w:eastAsia="Calibri"/>
                <w:color w:val="000000"/>
              </w:rPr>
              <w:t>.0</w:t>
            </w:r>
          </w:p>
        </w:tc>
      </w:tr>
      <w:tr w:rsidR="00422EFE" w:rsidRPr="00261B7A" w14:paraId="5E923640" w14:textId="77777777" w:rsidTr="00D41492">
        <w:tc>
          <w:tcPr>
            <w:tcW w:w="0" w:type="auto"/>
            <w:shd w:val="clear" w:color="auto" w:fill="FFFFFF"/>
            <w:tcMar>
              <w:top w:w="0" w:type="dxa"/>
              <w:left w:w="108" w:type="dxa"/>
              <w:bottom w:w="0" w:type="dxa"/>
              <w:right w:w="108" w:type="dxa"/>
            </w:tcMar>
          </w:tcPr>
          <w:p w14:paraId="3CFFF9F1" w14:textId="77777777" w:rsidR="00422EFE" w:rsidRPr="00261B7A" w:rsidRDefault="00422EFE" w:rsidP="0058311A">
            <w:pPr>
              <w:pStyle w:val="TableText"/>
              <w:spacing w:before="40" w:after="40"/>
            </w:pPr>
            <w:r w:rsidRPr="00261B7A">
              <w:rPr>
                <w:rFonts w:eastAsia="Calibri"/>
              </w:rPr>
              <w:t>2011</w:t>
            </w:r>
          </w:p>
        </w:tc>
        <w:tc>
          <w:tcPr>
            <w:tcW w:w="0" w:type="auto"/>
            <w:shd w:val="clear" w:color="auto" w:fill="FFFFFF"/>
            <w:tcMar>
              <w:top w:w="0" w:type="dxa"/>
              <w:left w:w="108" w:type="dxa"/>
              <w:bottom w:w="0" w:type="dxa"/>
              <w:right w:w="108" w:type="dxa"/>
            </w:tcMar>
          </w:tcPr>
          <w:p w14:paraId="4324596F" w14:textId="77777777" w:rsidR="00422EFE" w:rsidRPr="00261B7A" w:rsidRDefault="00422EFE" w:rsidP="0058311A">
            <w:pPr>
              <w:pStyle w:val="TableText"/>
              <w:spacing w:before="40" w:after="40"/>
              <w:jc w:val="center"/>
            </w:pPr>
            <w:r w:rsidRPr="00261B7A">
              <w:rPr>
                <w:rFonts w:eastAsia="Calibri"/>
                <w:color w:val="000000"/>
              </w:rPr>
              <w:t>4,399,400</w:t>
            </w:r>
          </w:p>
        </w:tc>
        <w:tc>
          <w:tcPr>
            <w:tcW w:w="0" w:type="auto"/>
            <w:shd w:val="clear" w:color="auto" w:fill="FFFFFF"/>
            <w:tcMar>
              <w:top w:w="0" w:type="dxa"/>
              <w:left w:w="108" w:type="dxa"/>
              <w:bottom w:w="0" w:type="dxa"/>
              <w:right w:w="108" w:type="dxa"/>
            </w:tcMar>
          </w:tcPr>
          <w:p w14:paraId="6487CAB8" w14:textId="77777777" w:rsidR="00422EFE" w:rsidRPr="00261B7A" w:rsidRDefault="00422EFE" w:rsidP="0058311A">
            <w:pPr>
              <w:pStyle w:val="TableText"/>
              <w:spacing w:before="40" w:after="40"/>
              <w:jc w:val="center"/>
            </w:pPr>
            <w:r w:rsidRPr="00261B7A">
              <w:rPr>
                <w:rFonts w:eastAsia="Calibri"/>
                <w:color w:val="000000"/>
              </w:rPr>
              <w:t>Interpolated</w:t>
            </w:r>
          </w:p>
        </w:tc>
        <w:tc>
          <w:tcPr>
            <w:tcW w:w="0" w:type="auto"/>
            <w:shd w:val="clear" w:color="auto" w:fill="FFFFFF"/>
            <w:tcMar>
              <w:top w:w="0" w:type="dxa"/>
              <w:left w:w="108" w:type="dxa"/>
              <w:bottom w:w="0" w:type="dxa"/>
              <w:right w:w="108" w:type="dxa"/>
            </w:tcMar>
          </w:tcPr>
          <w:p w14:paraId="4878D50D" w14:textId="77777777" w:rsidR="00422EFE" w:rsidRPr="00261B7A" w:rsidRDefault="00422EFE" w:rsidP="0058311A">
            <w:pPr>
              <w:pStyle w:val="TableText"/>
              <w:spacing w:before="40" w:after="40"/>
              <w:jc w:val="center"/>
            </w:pPr>
            <w:r w:rsidRPr="00261B7A">
              <w:rPr>
                <w:rFonts w:eastAsia="Calibri"/>
                <w:color w:val="000000"/>
              </w:rPr>
              <w:t>177.8</w:t>
            </w:r>
          </w:p>
        </w:tc>
      </w:tr>
      <w:tr w:rsidR="00422EFE" w:rsidRPr="00261B7A" w14:paraId="1A5C3478" w14:textId="77777777" w:rsidTr="00D41492">
        <w:tc>
          <w:tcPr>
            <w:tcW w:w="0" w:type="auto"/>
            <w:shd w:val="clear" w:color="auto" w:fill="FFFFFF"/>
            <w:tcMar>
              <w:top w:w="0" w:type="dxa"/>
              <w:left w:w="108" w:type="dxa"/>
              <w:bottom w:w="0" w:type="dxa"/>
              <w:right w:w="108" w:type="dxa"/>
            </w:tcMar>
          </w:tcPr>
          <w:p w14:paraId="2A382FFC" w14:textId="77777777" w:rsidR="00422EFE" w:rsidRPr="00261B7A" w:rsidRDefault="00422EFE" w:rsidP="0058311A">
            <w:pPr>
              <w:pStyle w:val="TableText"/>
              <w:spacing w:before="40" w:after="40"/>
            </w:pPr>
            <w:r w:rsidRPr="00261B7A">
              <w:rPr>
                <w:rFonts w:eastAsia="Calibri"/>
              </w:rPr>
              <w:t>2012</w:t>
            </w:r>
          </w:p>
        </w:tc>
        <w:tc>
          <w:tcPr>
            <w:tcW w:w="0" w:type="auto"/>
            <w:shd w:val="clear" w:color="auto" w:fill="FFFFFF"/>
            <w:tcMar>
              <w:top w:w="0" w:type="dxa"/>
              <w:left w:w="108" w:type="dxa"/>
              <w:bottom w:w="0" w:type="dxa"/>
              <w:right w:w="108" w:type="dxa"/>
            </w:tcMar>
          </w:tcPr>
          <w:p w14:paraId="48959E41" w14:textId="77777777" w:rsidR="00422EFE" w:rsidRPr="00261B7A" w:rsidRDefault="00422EFE" w:rsidP="0058311A">
            <w:pPr>
              <w:pStyle w:val="TableText"/>
              <w:spacing w:before="40" w:after="40"/>
              <w:jc w:val="center"/>
            </w:pPr>
            <w:r w:rsidRPr="00261B7A">
              <w:rPr>
                <w:rFonts w:eastAsia="Calibri"/>
                <w:color w:val="000000"/>
              </w:rPr>
              <w:t>4,425,900</w:t>
            </w:r>
          </w:p>
        </w:tc>
        <w:tc>
          <w:tcPr>
            <w:tcW w:w="0" w:type="auto"/>
            <w:shd w:val="clear" w:color="auto" w:fill="FFFFFF"/>
            <w:tcMar>
              <w:top w:w="0" w:type="dxa"/>
              <w:left w:w="108" w:type="dxa"/>
              <w:bottom w:w="0" w:type="dxa"/>
              <w:right w:w="108" w:type="dxa"/>
            </w:tcMar>
          </w:tcPr>
          <w:p w14:paraId="2EE4F6EF" w14:textId="77777777" w:rsidR="00422EFE" w:rsidRPr="00261B7A" w:rsidRDefault="00422EFE" w:rsidP="0058311A">
            <w:pPr>
              <w:pStyle w:val="TableText"/>
              <w:spacing w:before="40" w:after="40"/>
              <w:jc w:val="center"/>
            </w:pPr>
            <w:r w:rsidRPr="00261B7A">
              <w:rPr>
                <w:rFonts w:eastAsia="Calibri"/>
                <w:color w:val="000000"/>
              </w:rPr>
              <w:t>Interpolated</w:t>
            </w:r>
          </w:p>
        </w:tc>
        <w:tc>
          <w:tcPr>
            <w:tcW w:w="0" w:type="auto"/>
            <w:shd w:val="clear" w:color="auto" w:fill="FFFFFF"/>
            <w:tcMar>
              <w:top w:w="0" w:type="dxa"/>
              <w:left w:w="108" w:type="dxa"/>
              <w:bottom w:w="0" w:type="dxa"/>
              <w:right w:w="108" w:type="dxa"/>
            </w:tcMar>
          </w:tcPr>
          <w:p w14:paraId="20E20811" w14:textId="77777777" w:rsidR="00422EFE" w:rsidRPr="00261B7A" w:rsidRDefault="00422EFE" w:rsidP="0058311A">
            <w:pPr>
              <w:pStyle w:val="TableText"/>
              <w:spacing w:before="40" w:after="40"/>
              <w:jc w:val="center"/>
            </w:pPr>
            <w:r w:rsidRPr="00261B7A">
              <w:rPr>
                <w:rFonts w:eastAsia="Calibri"/>
                <w:color w:val="000000"/>
              </w:rPr>
              <w:t>179.7</w:t>
            </w:r>
          </w:p>
        </w:tc>
      </w:tr>
      <w:tr w:rsidR="00422EFE" w:rsidRPr="00261B7A" w14:paraId="289BFF9D" w14:textId="77777777" w:rsidTr="00D41492">
        <w:tc>
          <w:tcPr>
            <w:tcW w:w="0" w:type="auto"/>
            <w:shd w:val="clear" w:color="auto" w:fill="FFFFFF"/>
            <w:tcMar>
              <w:top w:w="0" w:type="dxa"/>
              <w:left w:w="108" w:type="dxa"/>
              <w:bottom w:w="0" w:type="dxa"/>
              <w:right w:w="108" w:type="dxa"/>
            </w:tcMar>
          </w:tcPr>
          <w:p w14:paraId="5E558D39" w14:textId="77777777" w:rsidR="00422EFE" w:rsidRPr="00261B7A" w:rsidRDefault="00422EFE" w:rsidP="0058311A">
            <w:pPr>
              <w:pStyle w:val="TableText"/>
              <w:spacing w:before="40" w:after="40"/>
            </w:pPr>
            <w:r w:rsidRPr="00261B7A">
              <w:rPr>
                <w:rFonts w:eastAsia="Calibri"/>
              </w:rPr>
              <w:t>2013</w:t>
            </w:r>
          </w:p>
        </w:tc>
        <w:tc>
          <w:tcPr>
            <w:tcW w:w="0" w:type="auto"/>
            <w:shd w:val="clear" w:color="auto" w:fill="FFFFFF"/>
            <w:tcMar>
              <w:top w:w="0" w:type="dxa"/>
              <w:left w:w="108" w:type="dxa"/>
              <w:bottom w:w="0" w:type="dxa"/>
              <w:right w:w="108" w:type="dxa"/>
            </w:tcMar>
          </w:tcPr>
          <w:p w14:paraId="1317B54D" w14:textId="77777777" w:rsidR="00422EFE" w:rsidRPr="00261B7A" w:rsidRDefault="00422EFE" w:rsidP="0058311A">
            <w:pPr>
              <w:pStyle w:val="TableText"/>
              <w:spacing w:before="40" w:after="40"/>
              <w:jc w:val="center"/>
            </w:pPr>
            <w:r w:rsidRPr="00261B7A">
              <w:rPr>
                <w:rFonts w:eastAsia="Calibri"/>
                <w:color w:val="000000"/>
              </w:rPr>
              <w:t>4,477,400</w:t>
            </w:r>
          </w:p>
        </w:tc>
        <w:tc>
          <w:tcPr>
            <w:tcW w:w="0" w:type="auto"/>
            <w:shd w:val="clear" w:color="auto" w:fill="FFFFFF"/>
            <w:tcMar>
              <w:top w:w="0" w:type="dxa"/>
              <w:left w:w="108" w:type="dxa"/>
              <w:bottom w:w="0" w:type="dxa"/>
              <w:right w:w="108" w:type="dxa"/>
            </w:tcMar>
          </w:tcPr>
          <w:p w14:paraId="0F930C8A" w14:textId="77777777" w:rsidR="00422EFE" w:rsidRPr="00261B7A" w:rsidRDefault="00422EFE" w:rsidP="0058311A">
            <w:pPr>
              <w:pStyle w:val="TableText"/>
              <w:spacing w:before="40" w:after="40"/>
              <w:jc w:val="center"/>
            </w:pPr>
            <w:r w:rsidRPr="00261B7A">
              <w:rPr>
                <w:rFonts w:eastAsia="Calibri"/>
                <w:color w:val="000000"/>
              </w:rPr>
              <w:t>0.0316</w:t>
            </w:r>
          </w:p>
        </w:tc>
        <w:tc>
          <w:tcPr>
            <w:tcW w:w="0" w:type="auto"/>
            <w:shd w:val="clear" w:color="auto" w:fill="FFFFFF"/>
            <w:tcMar>
              <w:top w:w="0" w:type="dxa"/>
              <w:left w:w="108" w:type="dxa"/>
              <w:bottom w:w="0" w:type="dxa"/>
              <w:right w:w="108" w:type="dxa"/>
            </w:tcMar>
          </w:tcPr>
          <w:p w14:paraId="1754BB24" w14:textId="77777777" w:rsidR="00422EFE" w:rsidRPr="00261B7A" w:rsidRDefault="00422EFE" w:rsidP="0058311A">
            <w:pPr>
              <w:pStyle w:val="TableText"/>
              <w:spacing w:before="40" w:after="40"/>
              <w:jc w:val="center"/>
            </w:pPr>
            <w:r w:rsidRPr="00261B7A">
              <w:rPr>
                <w:rFonts w:eastAsia="Calibri"/>
                <w:color w:val="000000"/>
              </w:rPr>
              <w:t>181.7</w:t>
            </w:r>
          </w:p>
        </w:tc>
      </w:tr>
      <w:tr w:rsidR="00422EFE" w:rsidRPr="00261B7A" w14:paraId="41878762" w14:textId="77777777" w:rsidTr="00D41492">
        <w:tc>
          <w:tcPr>
            <w:tcW w:w="0" w:type="auto"/>
            <w:shd w:val="clear" w:color="auto" w:fill="FFFFFF"/>
            <w:tcMar>
              <w:top w:w="0" w:type="dxa"/>
              <w:left w:w="108" w:type="dxa"/>
              <w:bottom w:w="0" w:type="dxa"/>
              <w:right w:w="108" w:type="dxa"/>
            </w:tcMar>
          </w:tcPr>
          <w:p w14:paraId="03A9F1F8" w14:textId="77777777" w:rsidR="00422EFE" w:rsidRPr="00261B7A" w:rsidRDefault="00422EFE" w:rsidP="0058311A">
            <w:pPr>
              <w:pStyle w:val="TableText"/>
              <w:spacing w:before="40" w:after="40"/>
            </w:pPr>
            <w:r w:rsidRPr="00261B7A">
              <w:rPr>
                <w:rFonts w:eastAsia="Calibri"/>
              </w:rPr>
              <w:t>2014</w:t>
            </w:r>
          </w:p>
        </w:tc>
        <w:tc>
          <w:tcPr>
            <w:tcW w:w="0" w:type="auto"/>
            <w:shd w:val="clear" w:color="auto" w:fill="FFFFFF"/>
            <w:tcMar>
              <w:top w:w="0" w:type="dxa"/>
              <w:left w:w="108" w:type="dxa"/>
              <w:bottom w:w="0" w:type="dxa"/>
              <w:right w:w="108" w:type="dxa"/>
            </w:tcMar>
          </w:tcPr>
          <w:p w14:paraId="29B478F5" w14:textId="77777777" w:rsidR="00422EFE" w:rsidRPr="00261B7A" w:rsidRDefault="00422EFE" w:rsidP="0058311A">
            <w:pPr>
              <w:pStyle w:val="TableText"/>
              <w:spacing w:before="40" w:after="40"/>
              <w:jc w:val="center"/>
            </w:pPr>
            <w:r w:rsidRPr="00261B7A">
              <w:rPr>
                <w:rFonts w:eastAsia="Calibri"/>
                <w:color w:val="000000"/>
              </w:rPr>
              <w:t>4,564,400</w:t>
            </w:r>
          </w:p>
        </w:tc>
        <w:tc>
          <w:tcPr>
            <w:tcW w:w="0" w:type="auto"/>
            <w:shd w:val="clear" w:color="auto" w:fill="FFFFFF"/>
            <w:tcMar>
              <w:top w:w="0" w:type="dxa"/>
              <w:left w:w="108" w:type="dxa"/>
              <w:bottom w:w="0" w:type="dxa"/>
              <w:right w:w="108" w:type="dxa"/>
            </w:tcMar>
          </w:tcPr>
          <w:p w14:paraId="0B911BE2" w14:textId="77777777" w:rsidR="00422EFE" w:rsidRPr="00261B7A" w:rsidRDefault="00422EFE" w:rsidP="0058311A">
            <w:pPr>
              <w:pStyle w:val="TableText"/>
              <w:spacing w:before="40" w:after="40"/>
              <w:jc w:val="center"/>
            </w:pPr>
            <w:r w:rsidRPr="00261B7A">
              <w:rPr>
                <w:rFonts w:eastAsia="Calibri"/>
                <w:color w:val="000000"/>
              </w:rPr>
              <w:t>0.0316</w:t>
            </w:r>
          </w:p>
        </w:tc>
        <w:tc>
          <w:tcPr>
            <w:tcW w:w="0" w:type="auto"/>
            <w:shd w:val="clear" w:color="auto" w:fill="FFFFFF"/>
            <w:tcMar>
              <w:top w:w="0" w:type="dxa"/>
              <w:left w:w="108" w:type="dxa"/>
              <w:bottom w:w="0" w:type="dxa"/>
              <w:right w:w="108" w:type="dxa"/>
            </w:tcMar>
          </w:tcPr>
          <w:p w14:paraId="58E76E83" w14:textId="77777777" w:rsidR="00422EFE" w:rsidRPr="00261B7A" w:rsidRDefault="00422EFE" w:rsidP="0058311A">
            <w:pPr>
              <w:pStyle w:val="TableText"/>
              <w:spacing w:before="40" w:after="40"/>
              <w:jc w:val="center"/>
            </w:pPr>
            <w:r w:rsidRPr="00261B7A">
              <w:rPr>
                <w:rFonts w:eastAsia="Calibri"/>
                <w:color w:val="000000"/>
              </w:rPr>
              <w:t>185.2</w:t>
            </w:r>
          </w:p>
        </w:tc>
      </w:tr>
      <w:tr w:rsidR="00422EFE" w:rsidRPr="00261B7A" w14:paraId="62DB536D" w14:textId="77777777" w:rsidTr="00D41492">
        <w:tc>
          <w:tcPr>
            <w:tcW w:w="0" w:type="auto"/>
            <w:shd w:val="clear" w:color="auto" w:fill="FFFFFF"/>
            <w:tcMar>
              <w:top w:w="0" w:type="dxa"/>
              <w:left w:w="108" w:type="dxa"/>
              <w:bottom w:w="0" w:type="dxa"/>
              <w:right w:w="108" w:type="dxa"/>
            </w:tcMar>
          </w:tcPr>
          <w:p w14:paraId="076194BE" w14:textId="77777777" w:rsidR="00422EFE" w:rsidRPr="00261B7A" w:rsidRDefault="00422EFE" w:rsidP="0058311A">
            <w:pPr>
              <w:pStyle w:val="TableText"/>
              <w:spacing w:before="40" w:after="40"/>
            </w:pPr>
            <w:r w:rsidRPr="00261B7A">
              <w:rPr>
                <w:rFonts w:eastAsia="Calibri"/>
              </w:rPr>
              <w:t>2015</w:t>
            </w:r>
          </w:p>
        </w:tc>
        <w:tc>
          <w:tcPr>
            <w:tcW w:w="0" w:type="auto"/>
            <w:shd w:val="clear" w:color="auto" w:fill="FFFFFF"/>
            <w:tcMar>
              <w:top w:w="0" w:type="dxa"/>
              <w:left w:w="108" w:type="dxa"/>
              <w:bottom w:w="0" w:type="dxa"/>
              <w:right w:w="108" w:type="dxa"/>
            </w:tcMar>
          </w:tcPr>
          <w:p w14:paraId="45940435" w14:textId="77777777" w:rsidR="00422EFE" w:rsidRPr="00261B7A" w:rsidRDefault="00422EFE" w:rsidP="0058311A">
            <w:pPr>
              <w:pStyle w:val="TableText"/>
              <w:spacing w:before="40" w:after="40"/>
              <w:jc w:val="center"/>
            </w:pPr>
            <w:r w:rsidRPr="00261B7A">
              <w:rPr>
                <w:rFonts w:eastAsia="Calibri"/>
                <w:color w:val="000000"/>
              </w:rPr>
              <w:t>4,663,700</w:t>
            </w:r>
          </w:p>
        </w:tc>
        <w:tc>
          <w:tcPr>
            <w:tcW w:w="0" w:type="auto"/>
            <w:shd w:val="clear" w:color="auto" w:fill="FFFFFF"/>
            <w:tcMar>
              <w:top w:w="0" w:type="dxa"/>
              <w:left w:w="108" w:type="dxa"/>
              <w:bottom w:w="0" w:type="dxa"/>
              <w:right w:w="108" w:type="dxa"/>
            </w:tcMar>
          </w:tcPr>
          <w:p w14:paraId="5A722E28" w14:textId="77777777" w:rsidR="00422EFE" w:rsidRPr="00261B7A" w:rsidRDefault="00422EFE" w:rsidP="0058311A">
            <w:pPr>
              <w:pStyle w:val="TableText"/>
              <w:spacing w:before="40" w:after="40"/>
              <w:jc w:val="center"/>
            </w:pPr>
            <w:r w:rsidRPr="00261B7A">
              <w:rPr>
                <w:rFonts w:eastAsia="Calibri"/>
                <w:color w:val="000000"/>
              </w:rPr>
              <w:t>0.0318</w:t>
            </w:r>
          </w:p>
        </w:tc>
        <w:tc>
          <w:tcPr>
            <w:tcW w:w="0" w:type="auto"/>
            <w:shd w:val="clear" w:color="auto" w:fill="FFFFFF"/>
            <w:tcMar>
              <w:top w:w="0" w:type="dxa"/>
              <w:left w:w="108" w:type="dxa"/>
              <w:bottom w:w="0" w:type="dxa"/>
              <w:right w:w="108" w:type="dxa"/>
            </w:tcMar>
          </w:tcPr>
          <w:p w14:paraId="6961AA9E" w14:textId="77777777" w:rsidR="00422EFE" w:rsidRPr="00261B7A" w:rsidRDefault="00422EFE" w:rsidP="0058311A">
            <w:pPr>
              <w:pStyle w:val="TableText"/>
              <w:spacing w:before="40" w:after="40"/>
              <w:jc w:val="center"/>
            </w:pPr>
            <w:r w:rsidRPr="00261B7A">
              <w:rPr>
                <w:rFonts w:eastAsia="Calibri"/>
                <w:color w:val="000000"/>
              </w:rPr>
              <w:t>189.2</w:t>
            </w:r>
          </w:p>
        </w:tc>
      </w:tr>
      <w:tr w:rsidR="00422EFE" w:rsidRPr="00261B7A" w14:paraId="26F119C1" w14:textId="77777777" w:rsidTr="00D41492">
        <w:tc>
          <w:tcPr>
            <w:tcW w:w="0" w:type="auto"/>
            <w:shd w:val="clear" w:color="auto" w:fill="FFFFFF"/>
            <w:tcMar>
              <w:top w:w="0" w:type="dxa"/>
              <w:left w:w="108" w:type="dxa"/>
              <w:bottom w:w="0" w:type="dxa"/>
              <w:right w:w="108" w:type="dxa"/>
            </w:tcMar>
          </w:tcPr>
          <w:p w14:paraId="131C693F" w14:textId="77777777" w:rsidR="00422EFE" w:rsidRPr="00261B7A" w:rsidRDefault="00422EFE" w:rsidP="0058311A">
            <w:pPr>
              <w:pStyle w:val="TableText"/>
              <w:spacing w:before="40" w:after="40"/>
            </w:pPr>
            <w:r w:rsidRPr="00261B7A">
              <w:rPr>
                <w:rFonts w:eastAsia="Calibri"/>
              </w:rPr>
              <w:t>2016</w:t>
            </w:r>
          </w:p>
        </w:tc>
        <w:tc>
          <w:tcPr>
            <w:tcW w:w="0" w:type="auto"/>
            <w:shd w:val="clear" w:color="auto" w:fill="FFFFFF"/>
            <w:tcMar>
              <w:top w:w="0" w:type="dxa"/>
              <w:left w:w="108" w:type="dxa"/>
              <w:bottom w:w="0" w:type="dxa"/>
              <w:right w:w="108" w:type="dxa"/>
            </w:tcMar>
          </w:tcPr>
          <w:p w14:paraId="43FE57E6" w14:textId="77777777" w:rsidR="00422EFE" w:rsidRPr="00261B7A" w:rsidRDefault="00422EFE" w:rsidP="0058311A">
            <w:pPr>
              <w:pStyle w:val="TableText"/>
              <w:spacing w:before="40" w:after="40"/>
              <w:jc w:val="center"/>
            </w:pPr>
            <w:r w:rsidRPr="00261B7A">
              <w:rPr>
                <w:rFonts w:eastAsia="Calibri"/>
                <w:color w:val="000000"/>
              </w:rPr>
              <w:t>4,767,600</w:t>
            </w:r>
          </w:p>
        </w:tc>
        <w:tc>
          <w:tcPr>
            <w:tcW w:w="0" w:type="auto"/>
            <w:shd w:val="clear" w:color="auto" w:fill="FFFFFF"/>
            <w:tcMar>
              <w:top w:w="0" w:type="dxa"/>
              <w:left w:w="108" w:type="dxa"/>
              <w:bottom w:w="0" w:type="dxa"/>
              <w:right w:w="108" w:type="dxa"/>
            </w:tcMar>
          </w:tcPr>
          <w:p w14:paraId="0F7EED5F" w14:textId="77777777" w:rsidR="00422EFE" w:rsidRPr="00261B7A" w:rsidRDefault="00422EFE" w:rsidP="0058311A">
            <w:pPr>
              <w:pStyle w:val="TableText"/>
              <w:spacing w:before="40" w:after="40"/>
              <w:jc w:val="center"/>
            </w:pPr>
            <w:r w:rsidRPr="00261B7A">
              <w:rPr>
                <w:rFonts w:eastAsia="Calibri"/>
                <w:color w:val="000000"/>
              </w:rPr>
              <w:t>0.0317</w:t>
            </w:r>
          </w:p>
        </w:tc>
        <w:tc>
          <w:tcPr>
            <w:tcW w:w="0" w:type="auto"/>
            <w:shd w:val="clear" w:color="auto" w:fill="FFFFFF"/>
            <w:tcMar>
              <w:top w:w="0" w:type="dxa"/>
              <w:left w:w="108" w:type="dxa"/>
              <w:bottom w:w="0" w:type="dxa"/>
              <w:right w:w="108" w:type="dxa"/>
            </w:tcMar>
          </w:tcPr>
          <w:p w14:paraId="13650EAF" w14:textId="77777777" w:rsidR="00422EFE" w:rsidRPr="00261B7A" w:rsidRDefault="00422EFE" w:rsidP="0058311A">
            <w:pPr>
              <w:pStyle w:val="TableText"/>
              <w:spacing w:before="40" w:after="40"/>
              <w:jc w:val="center"/>
            </w:pPr>
            <w:r w:rsidRPr="00261B7A">
              <w:rPr>
                <w:rFonts w:eastAsia="Calibri"/>
                <w:color w:val="000000"/>
              </w:rPr>
              <w:t>193.3</w:t>
            </w:r>
          </w:p>
        </w:tc>
      </w:tr>
      <w:tr w:rsidR="00422EFE" w:rsidRPr="00261B7A" w14:paraId="799884B0" w14:textId="77777777" w:rsidTr="00D41492">
        <w:tc>
          <w:tcPr>
            <w:tcW w:w="0" w:type="auto"/>
            <w:shd w:val="clear" w:color="auto" w:fill="FFFFFF"/>
            <w:tcMar>
              <w:top w:w="0" w:type="dxa"/>
              <w:left w:w="108" w:type="dxa"/>
              <w:bottom w:w="0" w:type="dxa"/>
              <w:right w:w="108" w:type="dxa"/>
            </w:tcMar>
          </w:tcPr>
          <w:p w14:paraId="0A75D436" w14:textId="77777777" w:rsidR="00422EFE" w:rsidRPr="00261B7A" w:rsidRDefault="00422EFE" w:rsidP="0058311A">
            <w:pPr>
              <w:pStyle w:val="TableText"/>
              <w:spacing w:before="40" w:after="40"/>
            </w:pPr>
            <w:r w:rsidRPr="00261B7A">
              <w:rPr>
                <w:rFonts w:eastAsia="Calibri"/>
              </w:rPr>
              <w:t>2017</w:t>
            </w:r>
          </w:p>
        </w:tc>
        <w:tc>
          <w:tcPr>
            <w:tcW w:w="0" w:type="auto"/>
            <w:shd w:val="clear" w:color="auto" w:fill="FFFFFF"/>
            <w:tcMar>
              <w:top w:w="0" w:type="dxa"/>
              <w:left w:w="108" w:type="dxa"/>
              <w:bottom w:w="0" w:type="dxa"/>
              <w:right w:w="108" w:type="dxa"/>
            </w:tcMar>
          </w:tcPr>
          <w:p w14:paraId="655ADFF3" w14:textId="77777777" w:rsidR="00422EFE" w:rsidRPr="00261B7A" w:rsidRDefault="00422EFE" w:rsidP="0058311A">
            <w:pPr>
              <w:pStyle w:val="TableText"/>
              <w:spacing w:before="40" w:after="40"/>
              <w:jc w:val="center"/>
            </w:pPr>
            <w:r w:rsidRPr="00261B7A">
              <w:rPr>
                <w:rFonts w:eastAsia="Calibri"/>
                <w:color w:val="000000"/>
              </w:rPr>
              <w:t>4,859,500</w:t>
            </w:r>
          </w:p>
        </w:tc>
        <w:tc>
          <w:tcPr>
            <w:tcW w:w="0" w:type="auto"/>
            <w:shd w:val="clear" w:color="auto" w:fill="FFFFFF"/>
            <w:tcMar>
              <w:top w:w="0" w:type="dxa"/>
              <w:left w:w="108" w:type="dxa"/>
              <w:bottom w:w="0" w:type="dxa"/>
              <w:right w:w="108" w:type="dxa"/>
            </w:tcMar>
          </w:tcPr>
          <w:p w14:paraId="6A4E604A" w14:textId="77777777" w:rsidR="00422EFE" w:rsidRPr="00261B7A" w:rsidRDefault="00422EFE" w:rsidP="0058311A">
            <w:pPr>
              <w:pStyle w:val="TableText"/>
              <w:spacing w:before="40" w:after="40"/>
              <w:jc w:val="center"/>
            </w:pPr>
            <w:r w:rsidRPr="00261B7A">
              <w:rPr>
                <w:rFonts w:eastAsia="Calibri"/>
                <w:color w:val="000000"/>
              </w:rPr>
              <w:t>0.0318</w:t>
            </w:r>
          </w:p>
        </w:tc>
        <w:tc>
          <w:tcPr>
            <w:tcW w:w="0" w:type="auto"/>
            <w:shd w:val="clear" w:color="auto" w:fill="FFFFFF"/>
            <w:tcMar>
              <w:top w:w="0" w:type="dxa"/>
              <w:left w:w="108" w:type="dxa"/>
              <w:bottom w:w="0" w:type="dxa"/>
              <w:right w:w="108" w:type="dxa"/>
            </w:tcMar>
          </w:tcPr>
          <w:p w14:paraId="5BD0F01E" w14:textId="77777777" w:rsidR="00422EFE" w:rsidRPr="00261B7A" w:rsidRDefault="00422EFE" w:rsidP="0058311A">
            <w:pPr>
              <w:pStyle w:val="TableText"/>
              <w:spacing w:before="40" w:after="40"/>
              <w:jc w:val="center"/>
            </w:pPr>
            <w:r w:rsidRPr="00261B7A">
              <w:rPr>
                <w:rFonts w:eastAsia="Calibri"/>
                <w:color w:val="000000"/>
              </w:rPr>
              <w:t>196.8</w:t>
            </w:r>
          </w:p>
        </w:tc>
      </w:tr>
      <w:tr w:rsidR="00422EFE" w:rsidRPr="00261B7A" w14:paraId="0A27A4EC" w14:textId="77777777" w:rsidTr="00D41492">
        <w:tc>
          <w:tcPr>
            <w:tcW w:w="0" w:type="auto"/>
            <w:shd w:val="clear" w:color="auto" w:fill="FFFFFF"/>
            <w:tcMar>
              <w:top w:w="0" w:type="dxa"/>
              <w:left w:w="108" w:type="dxa"/>
              <w:bottom w:w="0" w:type="dxa"/>
              <w:right w:w="108" w:type="dxa"/>
            </w:tcMar>
          </w:tcPr>
          <w:p w14:paraId="6B275350" w14:textId="77777777" w:rsidR="00422EFE" w:rsidRPr="00261B7A" w:rsidRDefault="00422EFE" w:rsidP="0058311A">
            <w:pPr>
              <w:pStyle w:val="TableText"/>
              <w:spacing w:before="40" w:after="40"/>
            </w:pPr>
            <w:r w:rsidRPr="00261B7A">
              <w:rPr>
                <w:rFonts w:eastAsia="Calibri"/>
              </w:rPr>
              <w:t>2018</w:t>
            </w:r>
          </w:p>
        </w:tc>
        <w:tc>
          <w:tcPr>
            <w:tcW w:w="0" w:type="auto"/>
            <w:shd w:val="clear" w:color="auto" w:fill="FFFFFF"/>
            <w:tcMar>
              <w:top w:w="0" w:type="dxa"/>
              <w:left w:w="108" w:type="dxa"/>
              <w:bottom w:w="0" w:type="dxa"/>
              <w:right w:w="108" w:type="dxa"/>
            </w:tcMar>
          </w:tcPr>
          <w:p w14:paraId="5EB41C2C" w14:textId="77777777" w:rsidR="00422EFE" w:rsidRPr="00261B7A" w:rsidRDefault="00422EFE" w:rsidP="0058311A">
            <w:pPr>
              <w:pStyle w:val="TableText"/>
              <w:spacing w:before="40" w:after="40"/>
              <w:jc w:val="center"/>
            </w:pPr>
            <w:r w:rsidRPr="00261B7A">
              <w:rPr>
                <w:rFonts w:eastAsia="Calibri"/>
                <w:color w:val="000000"/>
              </w:rPr>
              <w:t>4,941,200</w:t>
            </w:r>
          </w:p>
        </w:tc>
        <w:tc>
          <w:tcPr>
            <w:tcW w:w="0" w:type="auto"/>
            <w:shd w:val="clear" w:color="auto" w:fill="FFFFFF"/>
            <w:tcMar>
              <w:top w:w="0" w:type="dxa"/>
              <w:left w:w="108" w:type="dxa"/>
              <w:bottom w:w="0" w:type="dxa"/>
              <w:right w:w="108" w:type="dxa"/>
            </w:tcMar>
          </w:tcPr>
          <w:p w14:paraId="3EA9A46B" w14:textId="77777777" w:rsidR="00422EFE" w:rsidRPr="00261B7A" w:rsidRDefault="00422EFE" w:rsidP="0058311A">
            <w:pPr>
              <w:pStyle w:val="TableText"/>
              <w:spacing w:before="40" w:after="40"/>
              <w:jc w:val="center"/>
            </w:pPr>
            <w:r w:rsidRPr="00261B7A">
              <w:rPr>
                <w:rFonts w:eastAsia="Calibri"/>
                <w:color w:val="000000"/>
              </w:rPr>
              <w:t>0.0319</w:t>
            </w:r>
          </w:p>
        </w:tc>
        <w:tc>
          <w:tcPr>
            <w:tcW w:w="0" w:type="auto"/>
            <w:shd w:val="clear" w:color="auto" w:fill="FFFFFF"/>
            <w:tcMar>
              <w:top w:w="0" w:type="dxa"/>
              <w:left w:w="108" w:type="dxa"/>
              <w:bottom w:w="0" w:type="dxa"/>
              <w:right w:w="108" w:type="dxa"/>
            </w:tcMar>
          </w:tcPr>
          <w:p w14:paraId="0D156DF2" w14:textId="41E8A27B" w:rsidR="00422EFE" w:rsidRPr="00261B7A" w:rsidRDefault="00422EFE" w:rsidP="0058311A">
            <w:pPr>
              <w:pStyle w:val="TableText"/>
              <w:spacing w:before="40" w:after="40"/>
              <w:jc w:val="center"/>
            </w:pPr>
            <w:r w:rsidRPr="00261B7A">
              <w:rPr>
                <w:rFonts w:eastAsia="Calibri"/>
                <w:color w:val="000000"/>
              </w:rPr>
              <w:t>200.0</w:t>
            </w:r>
          </w:p>
        </w:tc>
      </w:tr>
      <w:tr w:rsidR="00422EFE" w:rsidRPr="00261B7A" w14:paraId="5771ADF2" w14:textId="77777777" w:rsidTr="00D41492">
        <w:tc>
          <w:tcPr>
            <w:tcW w:w="0" w:type="auto"/>
            <w:shd w:val="clear" w:color="auto" w:fill="FFFFFF"/>
            <w:tcMar>
              <w:top w:w="0" w:type="dxa"/>
              <w:left w:w="108" w:type="dxa"/>
              <w:bottom w:w="0" w:type="dxa"/>
              <w:right w:w="108" w:type="dxa"/>
            </w:tcMar>
          </w:tcPr>
          <w:p w14:paraId="2DEEBA91" w14:textId="77777777" w:rsidR="00422EFE" w:rsidRPr="00261B7A" w:rsidRDefault="00422EFE" w:rsidP="0058311A">
            <w:pPr>
              <w:pStyle w:val="TableText"/>
              <w:spacing w:before="40" w:after="40"/>
            </w:pPr>
            <w:r w:rsidRPr="00261B7A">
              <w:rPr>
                <w:rFonts w:eastAsia="Calibri"/>
              </w:rPr>
              <w:t>2019</w:t>
            </w:r>
          </w:p>
        </w:tc>
        <w:tc>
          <w:tcPr>
            <w:tcW w:w="0" w:type="auto"/>
            <w:shd w:val="clear" w:color="auto" w:fill="FFFFFF"/>
            <w:tcMar>
              <w:top w:w="0" w:type="dxa"/>
              <w:left w:w="108" w:type="dxa"/>
              <w:bottom w:w="0" w:type="dxa"/>
              <w:right w:w="108" w:type="dxa"/>
            </w:tcMar>
          </w:tcPr>
          <w:p w14:paraId="3A78156F" w14:textId="77777777" w:rsidR="00422EFE" w:rsidRPr="00261B7A" w:rsidRDefault="00422EFE" w:rsidP="0058311A">
            <w:pPr>
              <w:pStyle w:val="TableText"/>
              <w:spacing w:before="40" w:after="40"/>
              <w:jc w:val="center"/>
            </w:pPr>
            <w:r w:rsidRPr="00261B7A">
              <w:rPr>
                <w:rFonts w:eastAsia="Calibri"/>
                <w:color w:val="000000"/>
              </w:rPr>
              <w:t>5,040,400</w:t>
            </w:r>
          </w:p>
        </w:tc>
        <w:tc>
          <w:tcPr>
            <w:tcW w:w="0" w:type="auto"/>
            <w:shd w:val="clear" w:color="auto" w:fill="FFFFFF"/>
            <w:tcMar>
              <w:top w:w="0" w:type="dxa"/>
              <w:left w:w="108" w:type="dxa"/>
              <w:bottom w:w="0" w:type="dxa"/>
              <w:right w:w="108" w:type="dxa"/>
            </w:tcMar>
          </w:tcPr>
          <w:p w14:paraId="2BDB051D" w14:textId="77777777" w:rsidR="00422EFE" w:rsidRPr="00261B7A" w:rsidRDefault="00422EFE" w:rsidP="0058311A">
            <w:pPr>
              <w:pStyle w:val="TableText"/>
              <w:spacing w:before="40" w:after="40"/>
              <w:jc w:val="center"/>
            </w:pPr>
            <w:r w:rsidRPr="00261B7A">
              <w:rPr>
                <w:rFonts w:eastAsia="Calibri"/>
                <w:color w:val="000000"/>
              </w:rPr>
              <w:t>0.032</w:t>
            </w:r>
          </w:p>
        </w:tc>
        <w:tc>
          <w:tcPr>
            <w:tcW w:w="0" w:type="auto"/>
            <w:shd w:val="clear" w:color="auto" w:fill="FFFFFF"/>
            <w:tcMar>
              <w:top w:w="0" w:type="dxa"/>
              <w:left w:w="108" w:type="dxa"/>
              <w:bottom w:w="0" w:type="dxa"/>
              <w:right w:w="108" w:type="dxa"/>
            </w:tcMar>
          </w:tcPr>
          <w:p w14:paraId="0C5FEF72" w14:textId="77777777" w:rsidR="00422EFE" w:rsidRPr="00261B7A" w:rsidRDefault="00422EFE" w:rsidP="0058311A">
            <w:pPr>
              <w:pStyle w:val="TableText"/>
              <w:spacing w:before="40" w:after="40"/>
              <w:jc w:val="center"/>
            </w:pPr>
            <w:r w:rsidRPr="00261B7A">
              <w:rPr>
                <w:rFonts w:eastAsia="Calibri"/>
                <w:color w:val="000000"/>
              </w:rPr>
              <w:t>203.9</w:t>
            </w:r>
          </w:p>
        </w:tc>
      </w:tr>
      <w:tr w:rsidR="00422EFE" w:rsidRPr="00261B7A" w14:paraId="41449368" w14:textId="77777777" w:rsidTr="00D41492">
        <w:tc>
          <w:tcPr>
            <w:tcW w:w="0" w:type="auto"/>
            <w:shd w:val="clear" w:color="auto" w:fill="FFFFFF"/>
            <w:tcMar>
              <w:top w:w="0" w:type="dxa"/>
              <w:left w:w="108" w:type="dxa"/>
              <w:bottom w:w="0" w:type="dxa"/>
              <w:right w:w="108" w:type="dxa"/>
            </w:tcMar>
          </w:tcPr>
          <w:p w14:paraId="3F2B0C55" w14:textId="77777777" w:rsidR="00422EFE" w:rsidRPr="00261B7A" w:rsidRDefault="00422EFE" w:rsidP="0058311A">
            <w:pPr>
              <w:pStyle w:val="TableText"/>
              <w:spacing w:before="40" w:after="40"/>
            </w:pPr>
            <w:r w:rsidRPr="00261B7A">
              <w:rPr>
                <w:rFonts w:eastAsia="Calibri"/>
              </w:rPr>
              <w:t>2020</w:t>
            </w:r>
          </w:p>
        </w:tc>
        <w:tc>
          <w:tcPr>
            <w:tcW w:w="0" w:type="auto"/>
            <w:shd w:val="clear" w:color="auto" w:fill="FFFFFF"/>
            <w:tcMar>
              <w:top w:w="0" w:type="dxa"/>
              <w:left w:w="108" w:type="dxa"/>
              <w:bottom w:w="0" w:type="dxa"/>
              <w:right w:w="108" w:type="dxa"/>
            </w:tcMar>
          </w:tcPr>
          <w:p w14:paraId="7184F689" w14:textId="77777777" w:rsidR="00422EFE" w:rsidRPr="00261B7A" w:rsidRDefault="00422EFE" w:rsidP="0058311A">
            <w:pPr>
              <w:pStyle w:val="TableText"/>
              <w:spacing w:before="40" w:after="40"/>
              <w:jc w:val="center"/>
            </w:pPr>
            <w:r w:rsidRPr="00261B7A">
              <w:rPr>
                <w:rFonts w:eastAsia="Calibri"/>
                <w:color w:val="000000"/>
              </w:rPr>
              <w:t>5,103,700</w:t>
            </w:r>
          </w:p>
        </w:tc>
        <w:tc>
          <w:tcPr>
            <w:tcW w:w="0" w:type="auto"/>
            <w:shd w:val="clear" w:color="auto" w:fill="FFFFFF"/>
            <w:tcMar>
              <w:top w:w="0" w:type="dxa"/>
              <w:left w:w="108" w:type="dxa"/>
              <w:bottom w:w="0" w:type="dxa"/>
              <w:right w:w="108" w:type="dxa"/>
            </w:tcMar>
          </w:tcPr>
          <w:p w14:paraId="14F2E7EC" w14:textId="77777777" w:rsidR="00422EFE" w:rsidRPr="00261B7A" w:rsidRDefault="00422EFE" w:rsidP="0058311A">
            <w:pPr>
              <w:pStyle w:val="TableText"/>
              <w:spacing w:before="40" w:after="40"/>
              <w:jc w:val="center"/>
            </w:pPr>
            <w:r w:rsidRPr="00261B7A">
              <w:rPr>
                <w:rFonts w:eastAsia="Calibri"/>
                <w:color w:val="000000"/>
              </w:rPr>
              <w:t>0.0321</w:t>
            </w:r>
          </w:p>
        </w:tc>
        <w:tc>
          <w:tcPr>
            <w:tcW w:w="0" w:type="auto"/>
            <w:shd w:val="clear" w:color="auto" w:fill="FFFFFF"/>
            <w:tcMar>
              <w:top w:w="0" w:type="dxa"/>
              <w:left w:w="108" w:type="dxa"/>
              <w:bottom w:w="0" w:type="dxa"/>
              <w:right w:w="108" w:type="dxa"/>
            </w:tcMar>
          </w:tcPr>
          <w:p w14:paraId="45B80FD7" w14:textId="77777777" w:rsidR="00422EFE" w:rsidRPr="00261B7A" w:rsidRDefault="00422EFE" w:rsidP="0058311A">
            <w:pPr>
              <w:pStyle w:val="TableText"/>
              <w:spacing w:before="40" w:after="40"/>
              <w:jc w:val="center"/>
            </w:pPr>
            <w:r w:rsidRPr="00261B7A">
              <w:rPr>
                <w:rFonts w:eastAsia="Calibri"/>
                <w:color w:val="000000"/>
              </w:rPr>
              <w:t>206.8</w:t>
            </w:r>
          </w:p>
        </w:tc>
      </w:tr>
      <w:tr w:rsidR="00422EFE" w:rsidRPr="00261B7A" w14:paraId="5B8E05C4" w14:textId="77777777" w:rsidTr="00D41492">
        <w:tc>
          <w:tcPr>
            <w:tcW w:w="0" w:type="auto"/>
            <w:shd w:val="clear" w:color="auto" w:fill="FFFFFF"/>
            <w:tcMar>
              <w:top w:w="0" w:type="dxa"/>
              <w:left w:w="108" w:type="dxa"/>
              <w:bottom w:w="0" w:type="dxa"/>
              <w:right w:w="108" w:type="dxa"/>
            </w:tcMar>
          </w:tcPr>
          <w:p w14:paraId="7ED7D09F" w14:textId="77777777" w:rsidR="00422EFE" w:rsidRPr="00261B7A" w:rsidRDefault="00422EFE" w:rsidP="0058311A">
            <w:pPr>
              <w:pStyle w:val="TableText"/>
              <w:spacing w:before="40" w:after="40"/>
            </w:pPr>
            <w:r w:rsidRPr="00261B7A">
              <w:rPr>
                <w:rFonts w:eastAsia="Calibri"/>
              </w:rPr>
              <w:t>2021</w:t>
            </w:r>
          </w:p>
        </w:tc>
        <w:tc>
          <w:tcPr>
            <w:tcW w:w="0" w:type="auto"/>
            <w:shd w:val="clear" w:color="auto" w:fill="FFFFFF"/>
            <w:tcMar>
              <w:top w:w="0" w:type="dxa"/>
              <w:left w:w="108" w:type="dxa"/>
              <w:bottom w:w="0" w:type="dxa"/>
              <w:right w:w="108" w:type="dxa"/>
            </w:tcMar>
          </w:tcPr>
          <w:p w14:paraId="386B6DC8" w14:textId="77777777" w:rsidR="00422EFE" w:rsidRPr="00261B7A" w:rsidRDefault="00422EFE" w:rsidP="0058311A">
            <w:pPr>
              <w:pStyle w:val="TableText"/>
              <w:spacing w:before="40" w:after="40"/>
              <w:jc w:val="center"/>
            </w:pPr>
            <w:r w:rsidRPr="00261B7A">
              <w:rPr>
                <w:rFonts w:eastAsia="Calibri"/>
                <w:color w:val="000000"/>
              </w:rPr>
              <w:t>5,122,300</w:t>
            </w:r>
          </w:p>
        </w:tc>
        <w:tc>
          <w:tcPr>
            <w:tcW w:w="0" w:type="auto"/>
            <w:shd w:val="clear" w:color="auto" w:fill="FFFFFF"/>
            <w:tcMar>
              <w:top w:w="0" w:type="dxa"/>
              <w:left w:w="108" w:type="dxa"/>
              <w:bottom w:w="0" w:type="dxa"/>
              <w:right w:w="108" w:type="dxa"/>
            </w:tcMar>
          </w:tcPr>
          <w:p w14:paraId="0C5F5B9D" w14:textId="77777777" w:rsidR="00422EFE" w:rsidRPr="00261B7A" w:rsidRDefault="00422EFE" w:rsidP="0058311A">
            <w:pPr>
              <w:pStyle w:val="TableText"/>
              <w:spacing w:before="40" w:after="40"/>
              <w:jc w:val="center"/>
            </w:pPr>
            <w:r w:rsidRPr="00261B7A">
              <w:rPr>
                <w:rFonts w:eastAsia="Calibri"/>
                <w:color w:val="000000"/>
              </w:rPr>
              <w:t>0.0324</w:t>
            </w:r>
          </w:p>
        </w:tc>
        <w:tc>
          <w:tcPr>
            <w:tcW w:w="0" w:type="auto"/>
            <w:shd w:val="clear" w:color="auto" w:fill="FFFFFF"/>
            <w:tcMar>
              <w:top w:w="0" w:type="dxa"/>
              <w:left w:w="108" w:type="dxa"/>
              <w:bottom w:w="0" w:type="dxa"/>
              <w:right w:w="108" w:type="dxa"/>
            </w:tcMar>
          </w:tcPr>
          <w:p w14:paraId="414A543A" w14:textId="77777777" w:rsidR="00422EFE" w:rsidRPr="00261B7A" w:rsidRDefault="00422EFE" w:rsidP="0058311A">
            <w:pPr>
              <w:pStyle w:val="TableText"/>
              <w:spacing w:before="40" w:after="40"/>
              <w:jc w:val="center"/>
            </w:pPr>
            <w:r w:rsidRPr="00261B7A">
              <w:rPr>
                <w:rFonts w:eastAsia="Calibri"/>
                <w:color w:val="000000"/>
              </w:rPr>
              <w:t>207.5</w:t>
            </w:r>
          </w:p>
        </w:tc>
      </w:tr>
    </w:tbl>
    <w:p w14:paraId="72802217" w14:textId="77777777" w:rsidR="00422EFE" w:rsidRPr="00261B7A" w:rsidRDefault="00422EFE" w:rsidP="00422EFE">
      <w:pPr>
        <w:pStyle w:val="Heading5"/>
        <w:spacing w:before="360"/>
      </w:pPr>
      <w:bookmarkStart w:id="2553" w:name="industrial-wastewater-5.d.2-1"/>
      <w:bookmarkEnd w:id="2550"/>
      <w:r w:rsidRPr="00261B7A">
        <w:t>Industrial wastewater (5.D.2)</w:t>
      </w:r>
    </w:p>
    <w:p w14:paraId="38A8D028" w14:textId="77777777" w:rsidR="00422EFE" w:rsidRPr="00261B7A" w:rsidRDefault="00422EFE" w:rsidP="00422EFE">
      <w:pPr>
        <w:pStyle w:val="BodyText"/>
      </w:pPr>
      <w:r w:rsidRPr="00261B7A">
        <w:t>The following industries are identified as having organic-rich wastewaters that are treated anaerobically (in order of significance): meat processing, pulp and paper, and other industries described below. Table 7.5.3 reports the activity data for the amount of total organic product in wastewater (TOW) across the main industries.</w:t>
      </w:r>
    </w:p>
    <w:p w14:paraId="3F46557D" w14:textId="77777777" w:rsidR="00422EFE" w:rsidRPr="00261B7A" w:rsidRDefault="00422EFE" w:rsidP="00422EFE">
      <w:pPr>
        <w:pStyle w:val="Table"/>
      </w:pPr>
      <w:bookmarkStart w:id="2554" w:name="_Toc128383681"/>
      <w:bookmarkStart w:id="2555" w:name="_Toc131591454"/>
      <w:r w:rsidRPr="00261B7A">
        <w:t xml:space="preserve">Table 7.5.3 </w:t>
      </w:r>
      <w:r w:rsidRPr="00261B7A">
        <w:tab/>
        <w:t>Total organic product producing methane from industrial wastewater from 1990 to 2021</w:t>
      </w:r>
      <w:bookmarkEnd w:id="2554"/>
      <w:bookmarkEnd w:id="2555"/>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664"/>
        <w:gridCol w:w="2051"/>
        <w:gridCol w:w="1990"/>
        <w:gridCol w:w="1990"/>
        <w:gridCol w:w="1810"/>
      </w:tblGrid>
      <w:tr w:rsidR="00422EFE" w:rsidRPr="00261B7A" w14:paraId="536E4299" w14:textId="77777777" w:rsidTr="00D41492">
        <w:trPr>
          <w:tblHeader/>
        </w:trPr>
        <w:tc>
          <w:tcPr>
            <w:tcW w:w="624" w:type="dxa"/>
            <w:shd w:val="clear" w:color="auto" w:fill="1B556B"/>
            <w:tcMar>
              <w:top w:w="0" w:type="dxa"/>
              <w:left w:w="85" w:type="dxa"/>
              <w:bottom w:w="0" w:type="dxa"/>
              <w:right w:w="85" w:type="dxa"/>
            </w:tcMar>
            <w:vAlign w:val="bottom"/>
          </w:tcPr>
          <w:p w14:paraId="084A76C7" w14:textId="77777777" w:rsidR="00422EFE" w:rsidRPr="00261B7A" w:rsidRDefault="00422EFE" w:rsidP="0058311A">
            <w:pPr>
              <w:pStyle w:val="TableTextBold"/>
              <w:spacing w:before="40" w:after="40"/>
              <w:rPr>
                <w:noProof w:val="0"/>
                <w:color w:val="FFFFFF" w:themeColor="background1"/>
              </w:rPr>
            </w:pPr>
            <w:r w:rsidRPr="00261B7A">
              <w:rPr>
                <w:rFonts w:eastAsia="Calibri"/>
                <w:noProof w:val="0"/>
                <w:color w:val="FFFFFF" w:themeColor="background1"/>
              </w:rPr>
              <w:t>Year</w:t>
            </w:r>
          </w:p>
        </w:tc>
        <w:tc>
          <w:tcPr>
            <w:tcW w:w="1928" w:type="dxa"/>
            <w:shd w:val="clear" w:color="auto" w:fill="1B556B"/>
            <w:tcMar>
              <w:top w:w="0" w:type="dxa"/>
              <w:left w:w="85" w:type="dxa"/>
              <w:bottom w:w="0" w:type="dxa"/>
              <w:right w:w="85" w:type="dxa"/>
            </w:tcMar>
            <w:vAlign w:val="bottom"/>
          </w:tcPr>
          <w:p w14:paraId="2BBB6605" w14:textId="77777777" w:rsidR="00422EFE" w:rsidRPr="00261B7A" w:rsidRDefault="00422EFE" w:rsidP="0058311A">
            <w:pPr>
              <w:pStyle w:val="TableText"/>
              <w:spacing w:before="40" w:after="40"/>
              <w:jc w:val="right"/>
              <w:rPr>
                <w:b/>
                <w:bCs/>
                <w:color w:val="FFFFFF" w:themeColor="background1"/>
              </w:rPr>
            </w:pPr>
            <w:r w:rsidRPr="00261B7A">
              <w:rPr>
                <w:rFonts w:eastAsia="Calibri"/>
                <w:b/>
                <w:bCs/>
                <w:color w:val="FFFFFF" w:themeColor="background1"/>
              </w:rPr>
              <w:t>Meat industries TOW (kt)</w:t>
            </w:r>
          </w:p>
        </w:tc>
        <w:tc>
          <w:tcPr>
            <w:tcW w:w="1871" w:type="dxa"/>
            <w:shd w:val="clear" w:color="auto" w:fill="1B556B"/>
            <w:tcMar>
              <w:top w:w="0" w:type="dxa"/>
              <w:left w:w="85" w:type="dxa"/>
              <w:bottom w:w="0" w:type="dxa"/>
              <w:right w:w="85" w:type="dxa"/>
            </w:tcMar>
            <w:vAlign w:val="bottom"/>
          </w:tcPr>
          <w:p w14:paraId="4F458A5C" w14:textId="77777777" w:rsidR="00422EFE" w:rsidRPr="00261B7A" w:rsidRDefault="00422EFE" w:rsidP="0058311A">
            <w:pPr>
              <w:pStyle w:val="TableText"/>
              <w:spacing w:before="40" w:after="40"/>
              <w:jc w:val="right"/>
              <w:rPr>
                <w:b/>
                <w:bCs/>
                <w:color w:val="FFFFFF" w:themeColor="background1"/>
              </w:rPr>
            </w:pPr>
            <w:r w:rsidRPr="00261B7A">
              <w:rPr>
                <w:rFonts w:eastAsia="Calibri"/>
                <w:b/>
                <w:bCs/>
                <w:color w:val="FFFFFF" w:themeColor="background1"/>
              </w:rPr>
              <w:t>Pulp and paper industry TOW (kt)</w:t>
            </w:r>
          </w:p>
        </w:tc>
        <w:tc>
          <w:tcPr>
            <w:tcW w:w="1871" w:type="dxa"/>
            <w:shd w:val="clear" w:color="auto" w:fill="1B556B"/>
            <w:tcMar>
              <w:top w:w="0" w:type="dxa"/>
              <w:left w:w="85" w:type="dxa"/>
              <w:bottom w:w="0" w:type="dxa"/>
              <w:right w:w="85" w:type="dxa"/>
            </w:tcMar>
            <w:vAlign w:val="bottom"/>
          </w:tcPr>
          <w:p w14:paraId="39D9BC45" w14:textId="77777777" w:rsidR="00422EFE" w:rsidRPr="00261B7A" w:rsidRDefault="00422EFE" w:rsidP="0058311A">
            <w:pPr>
              <w:pStyle w:val="TableText"/>
              <w:spacing w:before="40" w:after="40"/>
              <w:jc w:val="right"/>
              <w:rPr>
                <w:b/>
                <w:bCs/>
                <w:color w:val="FFFFFF" w:themeColor="background1"/>
              </w:rPr>
            </w:pPr>
            <w:r w:rsidRPr="00261B7A">
              <w:rPr>
                <w:rFonts w:eastAsia="Calibri"/>
                <w:b/>
                <w:bCs/>
                <w:color w:val="FFFFFF" w:themeColor="background1"/>
              </w:rPr>
              <w:t>All other industries TOW (kt)</w:t>
            </w:r>
          </w:p>
        </w:tc>
        <w:tc>
          <w:tcPr>
            <w:tcW w:w="1701" w:type="dxa"/>
            <w:shd w:val="clear" w:color="auto" w:fill="1B556B"/>
            <w:tcMar>
              <w:top w:w="0" w:type="dxa"/>
              <w:left w:w="85" w:type="dxa"/>
              <w:bottom w:w="0" w:type="dxa"/>
              <w:right w:w="85" w:type="dxa"/>
            </w:tcMar>
            <w:vAlign w:val="bottom"/>
          </w:tcPr>
          <w:p w14:paraId="71187C87" w14:textId="77777777" w:rsidR="00422EFE" w:rsidRPr="00261B7A" w:rsidRDefault="00422EFE" w:rsidP="0058311A">
            <w:pPr>
              <w:pStyle w:val="TableText"/>
              <w:spacing w:before="40" w:after="40"/>
              <w:jc w:val="right"/>
              <w:rPr>
                <w:b/>
                <w:bCs/>
                <w:color w:val="FFFFFF" w:themeColor="background1"/>
              </w:rPr>
            </w:pPr>
            <w:r w:rsidRPr="00261B7A">
              <w:rPr>
                <w:rFonts w:eastAsia="Calibri"/>
                <w:b/>
                <w:bCs/>
                <w:color w:val="FFFFFF" w:themeColor="background1"/>
              </w:rPr>
              <w:t>Total industrial TOW (kt)</w:t>
            </w:r>
          </w:p>
        </w:tc>
      </w:tr>
      <w:tr w:rsidR="00422EFE" w:rsidRPr="00261B7A" w14:paraId="0ADF3091" w14:textId="77777777" w:rsidTr="00D41492">
        <w:tc>
          <w:tcPr>
            <w:tcW w:w="624" w:type="dxa"/>
            <w:shd w:val="clear" w:color="auto" w:fill="FFFFFF"/>
            <w:tcMar>
              <w:top w:w="0" w:type="dxa"/>
              <w:left w:w="85" w:type="dxa"/>
              <w:bottom w:w="0" w:type="dxa"/>
              <w:right w:w="85" w:type="dxa"/>
            </w:tcMar>
          </w:tcPr>
          <w:p w14:paraId="47FDD5A7" w14:textId="77777777" w:rsidR="00422EFE" w:rsidRPr="00261B7A" w:rsidRDefault="00422EFE" w:rsidP="0058311A">
            <w:pPr>
              <w:pStyle w:val="TableText"/>
              <w:spacing w:before="40" w:after="40"/>
            </w:pPr>
            <w:r w:rsidRPr="00261B7A">
              <w:rPr>
                <w:rFonts w:eastAsia="Calibri"/>
              </w:rPr>
              <w:t>1990</w:t>
            </w:r>
          </w:p>
        </w:tc>
        <w:tc>
          <w:tcPr>
            <w:tcW w:w="1928" w:type="dxa"/>
            <w:shd w:val="clear" w:color="auto" w:fill="FFFFFF"/>
            <w:tcMar>
              <w:top w:w="0" w:type="dxa"/>
              <w:left w:w="85" w:type="dxa"/>
              <w:bottom w:w="0" w:type="dxa"/>
              <w:right w:w="85" w:type="dxa"/>
            </w:tcMar>
          </w:tcPr>
          <w:p w14:paraId="6FFA3AFC" w14:textId="77777777" w:rsidR="00422EFE" w:rsidRPr="00261B7A" w:rsidRDefault="00422EFE" w:rsidP="0058311A">
            <w:pPr>
              <w:pStyle w:val="TableText"/>
              <w:spacing w:before="40" w:after="40"/>
              <w:jc w:val="right"/>
            </w:pPr>
            <w:r w:rsidRPr="00261B7A">
              <w:rPr>
                <w:rFonts w:eastAsia="Calibri"/>
                <w:color w:val="000000"/>
              </w:rPr>
              <w:t>55.6</w:t>
            </w:r>
          </w:p>
        </w:tc>
        <w:tc>
          <w:tcPr>
            <w:tcW w:w="1871" w:type="dxa"/>
            <w:shd w:val="clear" w:color="auto" w:fill="FFFFFF"/>
            <w:tcMar>
              <w:top w:w="0" w:type="dxa"/>
              <w:left w:w="85" w:type="dxa"/>
              <w:bottom w:w="0" w:type="dxa"/>
              <w:right w:w="85" w:type="dxa"/>
            </w:tcMar>
          </w:tcPr>
          <w:p w14:paraId="6DB5D526" w14:textId="77777777" w:rsidR="00422EFE" w:rsidRPr="00261B7A" w:rsidRDefault="00422EFE" w:rsidP="0058311A">
            <w:pPr>
              <w:pStyle w:val="TableText"/>
              <w:spacing w:before="40" w:after="40"/>
              <w:jc w:val="right"/>
            </w:pPr>
            <w:r w:rsidRPr="00261B7A">
              <w:rPr>
                <w:rFonts w:eastAsia="Calibri"/>
                <w:color w:val="000000"/>
              </w:rPr>
              <w:t>76.7</w:t>
            </w:r>
          </w:p>
        </w:tc>
        <w:tc>
          <w:tcPr>
            <w:tcW w:w="1871" w:type="dxa"/>
            <w:shd w:val="clear" w:color="auto" w:fill="FFFFFF"/>
            <w:tcMar>
              <w:top w:w="0" w:type="dxa"/>
              <w:left w:w="85" w:type="dxa"/>
              <w:bottom w:w="0" w:type="dxa"/>
              <w:right w:w="85" w:type="dxa"/>
            </w:tcMar>
          </w:tcPr>
          <w:p w14:paraId="73BEF987" w14:textId="77777777" w:rsidR="00422EFE" w:rsidRPr="00261B7A" w:rsidRDefault="00422EFE" w:rsidP="0058311A">
            <w:pPr>
              <w:pStyle w:val="TableText"/>
              <w:spacing w:before="40" w:after="40"/>
              <w:jc w:val="right"/>
            </w:pPr>
            <w:r w:rsidRPr="00261B7A">
              <w:rPr>
                <w:rFonts w:eastAsia="Calibri"/>
                <w:color w:val="000000"/>
              </w:rPr>
              <w:t>20.2</w:t>
            </w:r>
          </w:p>
        </w:tc>
        <w:tc>
          <w:tcPr>
            <w:tcW w:w="1701" w:type="dxa"/>
            <w:shd w:val="clear" w:color="auto" w:fill="FFFFFF"/>
            <w:tcMar>
              <w:top w:w="0" w:type="dxa"/>
              <w:left w:w="85" w:type="dxa"/>
              <w:bottom w:w="0" w:type="dxa"/>
              <w:right w:w="85" w:type="dxa"/>
            </w:tcMar>
          </w:tcPr>
          <w:p w14:paraId="0077B173" w14:textId="77777777" w:rsidR="00422EFE" w:rsidRPr="00261B7A" w:rsidRDefault="00422EFE" w:rsidP="0058311A">
            <w:pPr>
              <w:pStyle w:val="TableText"/>
              <w:spacing w:before="40" w:after="40"/>
              <w:jc w:val="right"/>
            </w:pPr>
            <w:r w:rsidRPr="00261B7A">
              <w:rPr>
                <w:rFonts w:eastAsia="Calibri"/>
                <w:color w:val="000000"/>
              </w:rPr>
              <w:t>152.5</w:t>
            </w:r>
          </w:p>
        </w:tc>
      </w:tr>
      <w:tr w:rsidR="00422EFE" w:rsidRPr="00261B7A" w14:paraId="2F25C5A4" w14:textId="77777777" w:rsidTr="00D41492">
        <w:tc>
          <w:tcPr>
            <w:tcW w:w="624" w:type="dxa"/>
            <w:shd w:val="clear" w:color="auto" w:fill="FFFFFF"/>
            <w:tcMar>
              <w:top w:w="0" w:type="dxa"/>
              <w:left w:w="85" w:type="dxa"/>
              <w:bottom w:w="0" w:type="dxa"/>
              <w:right w:w="85" w:type="dxa"/>
            </w:tcMar>
          </w:tcPr>
          <w:p w14:paraId="2F56EF76" w14:textId="77777777" w:rsidR="00422EFE" w:rsidRPr="00261B7A" w:rsidRDefault="00422EFE" w:rsidP="0058311A">
            <w:pPr>
              <w:pStyle w:val="TableText"/>
              <w:spacing w:before="40" w:after="40"/>
            </w:pPr>
            <w:r w:rsidRPr="00261B7A">
              <w:rPr>
                <w:rFonts w:eastAsia="Calibri"/>
              </w:rPr>
              <w:t>1991</w:t>
            </w:r>
          </w:p>
        </w:tc>
        <w:tc>
          <w:tcPr>
            <w:tcW w:w="1928" w:type="dxa"/>
            <w:shd w:val="clear" w:color="auto" w:fill="FFFFFF"/>
            <w:tcMar>
              <w:top w:w="0" w:type="dxa"/>
              <w:left w:w="85" w:type="dxa"/>
              <w:bottom w:w="0" w:type="dxa"/>
              <w:right w:w="85" w:type="dxa"/>
            </w:tcMar>
          </w:tcPr>
          <w:p w14:paraId="352D5D78" w14:textId="77777777" w:rsidR="00422EFE" w:rsidRPr="00261B7A" w:rsidRDefault="00422EFE" w:rsidP="0058311A">
            <w:pPr>
              <w:pStyle w:val="TableText"/>
              <w:spacing w:before="40" w:after="40"/>
              <w:jc w:val="right"/>
            </w:pPr>
            <w:r w:rsidRPr="00261B7A">
              <w:rPr>
                <w:rFonts w:eastAsia="Calibri"/>
                <w:color w:val="000000"/>
              </w:rPr>
              <w:t>59.2</w:t>
            </w:r>
          </w:p>
        </w:tc>
        <w:tc>
          <w:tcPr>
            <w:tcW w:w="1871" w:type="dxa"/>
            <w:shd w:val="clear" w:color="auto" w:fill="FFFFFF"/>
            <w:tcMar>
              <w:top w:w="0" w:type="dxa"/>
              <w:left w:w="85" w:type="dxa"/>
              <w:bottom w:w="0" w:type="dxa"/>
              <w:right w:w="85" w:type="dxa"/>
            </w:tcMar>
          </w:tcPr>
          <w:p w14:paraId="28678D63" w14:textId="77777777" w:rsidR="00422EFE" w:rsidRPr="00261B7A" w:rsidRDefault="00422EFE" w:rsidP="0058311A">
            <w:pPr>
              <w:pStyle w:val="TableText"/>
              <w:spacing w:before="40" w:after="40"/>
              <w:jc w:val="right"/>
            </w:pPr>
            <w:r w:rsidRPr="00261B7A">
              <w:rPr>
                <w:rFonts w:eastAsia="Calibri"/>
                <w:color w:val="000000"/>
              </w:rPr>
              <w:t>76.3</w:t>
            </w:r>
          </w:p>
        </w:tc>
        <w:tc>
          <w:tcPr>
            <w:tcW w:w="1871" w:type="dxa"/>
            <w:shd w:val="clear" w:color="auto" w:fill="FFFFFF"/>
            <w:tcMar>
              <w:top w:w="0" w:type="dxa"/>
              <w:left w:w="85" w:type="dxa"/>
              <w:bottom w:w="0" w:type="dxa"/>
              <w:right w:w="85" w:type="dxa"/>
            </w:tcMar>
          </w:tcPr>
          <w:p w14:paraId="27A7E76B" w14:textId="77777777" w:rsidR="00422EFE" w:rsidRPr="00261B7A" w:rsidRDefault="00422EFE" w:rsidP="0058311A">
            <w:pPr>
              <w:pStyle w:val="TableText"/>
              <w:spacing w:before="40" w:after="40"/>
              <w:jc w:val="right"/>
            </w:pPr>
            <w:r w:rsidRPr="00261B7A">
              <w:rPr>
                <w:rFonts w:eastAsia="Calibri"/>
                <w:color w:val="000000"/>
              </w:rPr>
              <w:t>18.8</w:t>
            </w:r>
          </w:p>
        </w:tc>
        <w:tc>
          <w:tcPr>
            <w:tcW w:w="1701" w:type="dxa"/>
            <w:shd w:val="clear" w:color="auto" w:fill="FFFFFF"/>
            <w:tcMar>
              <w:top w:w="0" w:type="dxa"/>
              <w:left w:w="85" w:type="dxa"/>
              <w:bottom w:w="0" w:type="dxa"/>
              <w:right w:w="85" w:type="dxa"/>
            </w:tcMar>
          </w:tcPr>
          <w:p w14:paraId="6F65CAE6" w14:textId="77777777" w:rsidR="00422EFE" w:rsidRPr="00261B7A" w:rsidRDefault="00422EFE" w:rsidP="0058311A">
            <w:pPr>
              <w:pStyle w:val="TableText"/>
              <w:spacing w:before="40" w:after="40"/>
              <w:jc w:val="right"/>
            </w:pPr>
            <w:r w:rsidRPr="00261B7A">
              <w:rPr>
                <w:rFonts w:eastAsia="Calibri"/>
                <w:color w:val="000000"/>
              </w:rPr>
              <w:t>154.2</w:t>
            </w:r>
          </w:p>
        </w:tc>
      </w:tr>
      <w:tr w:rsidR="00422EFE" w:rsidRPr="00261B7A" w14:paraId="1692C728" w14:textId="77777777" w:rsidTr="00D41492">
        <w:tc>
          <w:tcPr>
            <w:tcW w:w="624" w:type="dxa"/>
            <w:shd w:val="clear" w:color="auto" w:fill="FFFFFF"/>
            <w:tcMar>
              <w:top w:w="0" w:type="dxa"/>
              <w:left w:w="85" w:type="dxa"/>
              <w:bottom w:w="0" w:type="dxa"/>
              <w:right w:w="85" w:type="dxa"/>
            </w:tcMar>
          </w:tcPr>
          <w:p w14:paraId="571BEBFC" w14:textId="77777777" w:rsidR="00422EFE" w:rsidRPr="00261B7A" w:rsidRDefault="00422EFE" w:rsidP="0058311A">
            <w:pPr>
              <w:pStyle w:val="TableText"/>
              <w:spacing w:before="40" w:after="40"/>
            </w:pPr>
            <w:r w:rsidRPr="00261B7A">
              <w:rPr>
                <w:rFonts w:eastAsia="Calibri"/>
              </w:rPr>
              <w:t>1992</w:t>
            </w:r>
          </w:p>
        </w:tc>
        <w:tc>
          <w:tcPr>
            <w:tcW w:w="1928" w:type="dxa"/>
            <w:shd w:val="clear" w:color="auto" w:fill="FFFFFF"/>
            <w:tcMar>
              <w:top w:w="0" w:type="dxa"/>
              <w:left w:w="85" w:type="dxa"/>
              <w:bottom w:w="0" w:type="dxa"/>
              <w:right w:w="85" w:type="dxa"/>
            </w:tcMar>
          </w:tcPr>
          <w:p w14:paraId="6539005B" w14:textId="77777777" w:rsidR="00422EFE" w:rsidRPr="00261B7A" w:rsidRDefault="00422EFE" w:rsidP="0058311A">
            <w:pPr>
              <w:pStyle w:val="TableText"/>
              <w:spacing w:before="40" w:after="40"/>
              <w:jc w:val="right"/>
            </w:pPr>
            <w:r w:rsidRPr="00261B7A">
              <w:rPr>
                <w:rFonts w:eastAsia="Calibri"/>
                <w:color w:val="000000"/>
              </w:rPr>
              <w:t>64.1</w:t>
            </w:r>
          </w:p>
        </w:tc>
        <w:tc>
          <w:tcPr>
            <w:tcW w:w="1871" w:type="dxa"/>
            <w:shd w:val="clear" w:color="auto" w:fill="FFFFFF"/>
            <w:tcMar>
              <w:top w:w="0" w:type="dxa"/>
              <w:left w:w="85" w:type="dxa"/>
              <w:bottom w:w="0" w:type="dxa"/>
              <w:right w:w="85" w:type="dxa"/>
            </w:tcMar>
          </w:tcPr>
          <w:p w14:paraId="56CF8CC8" w14:textId="77777777" w:rsidR="00422EFE" w:rsidRPr="00261B7A" w:rsidRDefault="00422EFE" w:rsidP="0058311A">
            <w:pPr>
              <w:pStyle w:val="TableText"/>
              <w:spacing w:before="40" w:after="40"/>
              <w:jc w:val="right"/>
            </w:pPr>
            <w:r w:rsidRPr="00261B7A">
              <w:rPr>
                <w:rFonts w:eastAsia="Calibri"/>
                <w:color w:val="000000"/>
              </w:rPr>
              <w:t>72.7</w:t>
            </w:r>
          </w:p>
        </w:tc>
        <w:tc>
          <w:tcPr>
            <w:tcW w:w="1871" w:type="dxa"/>
            <w:shd w:val="clear" w:color="auto" w:fill="FFFFFF"/>
            <w:tcMar>
              <w:top w:w="0" w:type="dxa"/>
              <w:left w:w="85" w:type="dxa"/>
              <w:bottom w:w="0" w:type="dxa"/>
              <w:right w:w="85" w:type="dxa"/>
            </w:tcMar>
          </w:tcPr>
          <w:p w14:paraId="7358B9CE" w14:textId="77777777" w:rsidR="00422EFE" w:rsidRPr="00261B7A" w:rsidRDefault="00422EFE" w:rsidP="0058311A">
            <w:pPr>
              <w:pStyle w:val="TableText"/>
              <w:spacing w:before="40" w:after="40"/>
              <w:jc w:val="right"/>
            </w:pPr>
            <w:r w:rsidRPr="00261B7A">
              <w:rPr>
                <w:rFonts w:eastAsia="Calibri"/>
                <w:color w:val="000000"/>
              </w:rPr>
              <w:t>17.2</w:t>
            </w:r>
          </w:p>
        </w:tc>
        <w:tc>
          <w:tcPr>
            <w:tcW w:w="1701" w:type="dxa"/>
            <w:shd w:val="clear" w:color="auto" w:fill="FFFFFF"/>
            <w:tcMar>
              <w:top w:w="0" w:type="dxa"/>
              <w:left w:w="85" w:type="dxa"/>
              <w:bottom w:w="0" w:type="dxa"/>
              <w:right w:w="85" w:type="dxa"/>
            </w:tcMar>
          </w:tcPr>
          <w:p w14:paraId="2DDD1C48" w14:textId="77777777" w:rsidR="00422EFE" w:rsidRPr="00261B7A" w:rsidRDefault="00422EFE" w:rsidP="0058311A">
            <w:pPr>
              <w:pStyle w:val="TableText"/>
              <w:spacing w:before="40" w:after="40"/>
              <w:jc w:val="right"/>
            </w:pPr>
            <w:r w:rsidRPr="00261B7A">
              <w:rPr>
                <w:rFonts w:eastAsia="Calibri"/>
                <w:color w:val="000000"/>
              </w:rPr>
              <w:t>154.1</w:t>
            </w:r>
          </w:p>
        </w:tc>
      </w:tr>
      <w:tr w:rsidR="00422EFE" w:rsidRPr="00261B7A" w14:paraId="3112F5EC" w14:textId="77777777" w:rsidTr="00D41492">
        <w:tc>
          <w:tcPr>
            <w:tcW w:w="624" w:type="dxa"/>
            <w:shd w:val="clear" w:color="auto" w:fill="FFFFFF"/>
            <w:tcMar>
              <w:top w:w="0" w:type="dxa"/>
              <w:left w:w="85" w:type="dxa"/>
              <w:bottom w:w="0" w:type="dxa"/>
              <w:right w:w="85" w:type="dxa"/>
            </w:tcMar>
          </w:tcPr>
          <w:p w14:paraId="17EF0A92" w14:textId="77777777" w:rsidR="00422EFE" w:rsidRPr="00261B7A" w:rsidRDefault="00422EFE" w:rsidP="0058311A">
            <w:pPr>
              <w:pStyle w:val="TableText"/>
              <w:spacing w:before="40" w:after="40"/>
            </w:pPr>
            <w:r w:rsidRPr="00261B7A">
              <w:rPr>
                <w:rFonts w:eastAsia="Calibri"/>
              </w:rPr>
              <w:t>1993</w:t>
            </w:r>
          </w:p>
        </w:tc>
        <w:tc>
          <w:tcPr>
            <w:tcW w:w="1928" w:type="dxa"/>
            <w:shd w:val="clear" w:color="auto" w:fill="FFFFFF"/>
            <w:tcMar>
              <w:top w:w="0" w:type="dxa"/>
              <w:left w:w="85" w:type="dxa"/>
              <w:bottom w:w="0" w:type="dxa"/>
              <w:right w:w="85" w:type="dxa"/>
            </w:tcMar>
          </w:tcPr>
          <w:p w14:paraId="48754FFD" w14:textId="77777777" w:rsidR="00422EFE" w:rsidRPr="00261B7A" w:rsidRDefault="00422EFE" w:rsidP="0058311A">
            <w:pPr>
              <w:pStyle w:val="TableText"/>
              <w:spacing w:before="40" w:after="40"/>
              <w:jc w:val="right"/>
            </w:pPr>
            <w:r w:rsidRPr="00261B7A">
              <w:rPr>
                <w:rFonts w:eastAsia="Calibri"/>
                <w:color w:val="000000"/>
              </w:rPr>
              <w:t>59.3</w:t>
            </w:r>
          </w:p>
        </w:tc>
        <w:tc>
          <w:tcPr>
            <w:tcW w:w="1871" w:type="dxa"/>
            <w:shd w:val="clear" w:color="auto" w:fill="FFFFFF"/>
            <w:tcMar>
              <w:top w:w="0" w:type="dxa"/>
              <w:left w:w="85" w:type="dxa"/>
              <w:bottom w:w="0" w:type="dxa"/>
              <w:right w:w="85" w:type="dxa"/>
            </w:tcMar>
          </w:tcPr>
          <w:p w14:paraId="578A8BA7" w14:textId="77777777" w:rsidR="00422EFE" w:rsidRPr="00261B7A" w:rsidRDefault="00422EFE" w:rsidP="0058311A">
            <w:pPr>
              <w:pStyle w:val="TableText"/>
              <w:spacing w:before="40" w:after="40"/>
              <w:jc w:val="right"/>
            </w:pPr>
            <w:r w:rsidRPr="00261B7A">
              <w:rPr>
                <w:rFonts w:eastAsia="Calibri"/>
                <w:color w:val="000000"/>
              </w:rPr>
              <w:t>79.3</w:t>
            </w:r>
          </w:p>
        </w:tc>
        <w:tc>
          <w:tcPr>
            <w:tcW w:w="1871" w:type="dxa"/>
            <w:shd w:val="clear" w:color="auto" w:fill="FFFFFF"/>
            <w:tcMar>
              <w:top w:w="0" w:type="dxa"/>
              <w:left w:w="85" w:type="dxa"/>
              <w:bottom w:w="0" w:type="dxa"/>
              <w:right w:w="85" w:type="dxa"/>
            </w:tcMar>
          </w:tcPr>
          <w:p w14:paraId="791C7156" w14:textId="77777777" w:rsidR="00422EFE" w:rsidRPr="00261B7A" w:rsidRDefault="00422EFE" w:rsidP="0058311A">
            <w:pPr>
              <w:pStyle w:val="TableText"/>
              <w:spacing w:before="40" w:after="40"/>
              <w:jc w:val="right"/>
            </w:pPr>
            <w:r w:rsidRPr="00261B7A">
              <w:rPr>
                <w:rFonts w:eastAsia="Calibri"/>
                <w:color w:val="000000"/>
              </w:rPr>
              <w:t>15.7</w:t>
            </w:r>
          </w:p>
        </w:tc>
        <w:tc>
          <w:tcPr>
            <w:tcW w:w="1701" w:type="dxa"/>
            <w:shd w:val="clear" w:color="auto" w:fill="FFFFFF"/>
            <w:tcMar>
              <w:top w:w="0" w:type="dxa"/>
              <w:left w:w="85" w:type="dxa"/>
              <w:bottom w:w="0" w:type="dxa"/>
              <w:right w:w="85" w:type="dxa"/>
            </w:tcMar>
          </w:tcPr>
          <w:p w14:paraId="5334F11E" w14:textId="77777777" w:rsidR="00422EFE" w:rsidRPr="00261B7A" w:rsidRDefault="00422EFE" w:rsidP="0058311A">
            <w:pPr>
              <w:pStyle w:val="TableText"/>
              <w:spacing w:before="40" w:after="40"/>
              <w:jc w:val="right"/>
            </w:pPr>
            <w:r w:rsidRPr="00261B7A">
              <w:rPr>
                <w:rFonts w:eastAsia="Calibri"/>
                <w:color w:val="000000"/>
              </w:rPr>
              <w:t>154.3</w:t>
            </w:r>
          </w:p>
        </w:tc>
      </w:tr>
      <w:tr w:rsidR="00422EFE" w:rsidRPr="00261B7A" w14:paraId="22082911" w14:textId="77777777" w:rsidTr="00D41492">
        <w:tc>
          <w:tcPr>
            <w:tcW w:w="624" w:type="dxa"/>
            <w:shd w:val="clear" w:color="auto" w:fill="FFFFFF"/>
            <w:tcMar>
              <w:top w:w="0" w:type="dxa"/>
              <w:left w:w="85" w:type="dxa"/>
              <w:bottom w:w="0" w:type="dxa"/>
              <w:right w:w="85" w:type="dxa"/>
            </w:tcMar>
          </w:tcPr>
          <w:p w14:paraId="3F713966" w14:textId="77777777" w:rsidR="00422EFE" w:rsidRPr="00261B7A" w:rsidRDefault="00422EFE" w:rsidP="0058311A">
            <w:pPr>
              <w:pStyle w:val="TableText"/>
              <w:spacing w:before="40" w:after="40"/>
            </w:pPr>
            <w:r w:rsidRPr="00261B7A">
              <w:rPr>
                <w:rFonts w:eastAsia="Calibri"/>
              </w:rPr>
              <w:t>1994</w:t>
            </w:r>
          </w:p>
        </w:tc>
        <w:tc>
          <w:tcPr>
            <w:tcW w:w="1928" w:type="dxa"/>
            <w:shd w:val="clear" w:color="auto" w:fill="FFFFFF"/>
            <w:tcMar>
              <w:top w:w="0" w:type="dxa"/>
              <w:left w:w="85" w:type="dxa"/>
              <w:bottom w:w="0" w:type="dxa"/>
              <w:right w:w="85" w:type="dxa"/>
            </w:tcMar>
          </w:tcPr>
          <w:p w14:paraId="75B3CFA6" w14:textId="77777777" w:rsidR="00422EFE" w:rsidRPr="00261B7A" w:rsidRDefault="00422EFE" w:rsidP="0058311A">
            <w:pPr>
              <w:pStyle w:val="TableText"/>
              <w:spacing w:before="40" w:after="40"/>
              <w:jc w:val="right"/>
            </w:pPr>
            <w:r w:rsidRPr="00261B7A">
              <w:rPr>
                <w:rFonts w:eastAsia="Calibri"/>
                <w:color w:val="000000"/>
              </w:rPr>
              <w:t>62.1</w:t>
            </w:r>
          </w:p>
        </w:tc>
        <w:tc>
          <w:tcPr>
            <w:tcW w:w="1871" w:type="dxa"/>
            <w:shd w:val="clear" w:color="auto" w:fill="FFFFFF"/>
            <w:tcMar>
              <w:top w:w="0" w:type="dxa"/>
              <w:left w:w="85" w:type="dxa"/>
              <w:bottom w:w="0" w:type="dxa"/>
              <w:right w:w="85" w:type="dxa"/>
            </w:tcMar>
          </w:tcPr>
          <w:p w14:paraId="0E320C18" w14:textId="77777777" w:rsidR="00422EFE" w:rsidRPr="00261B7A" w:rsidRDefault="00422EFE" w:rsidP="0058311A">
            <w:pPr>
              <w:pStyle w:val="TableText"/>
              <w:spacing w:before="40" w:after="40"/>
              <w:jc w:val="right"/>
            </w:pPr>
            <w:r w:rsidRPr="00261B7A">
              <w:rPr>
                <w:rFonts w:eastAsia="Calibri"/>
                <w:color w:val="000000"/>
              </w:rPr>
              <w:t>80.0</w:t>
            </w:r>
          </w:p>
        </w:tc>
        <w:tc>
          <w:tcPr>
            <w:tcW w:w="1871" w:type="dxa"/>
            <w:shd w:val="clear" w:color="auto" w:fill="FFFFFF"/>
            <w:tcMar>
              <w:top w:w="0" w:type="dxa"/>
              <w:left w:w="85" w:type="dxa"/>
              <w:bottom w:w="0" w:type="dxa"/>
              <w:right w:w="85" w:type="dxa"/>
            </w:tcMar>
          </w:tcPr>
          <w:p w14:paraId="3106A0B4" w14:textId="77777777" w:rsidR="00422EFE" w:rsidRPr="00261B7A" w:rsidRDefault="00422EFE" w:rsidP="0058311A">
            <w:pPr>
              <w:pStyle w:val="TableText"/>
              <w:spacing w:before="40" w:after="40"/>
              <w:jc w:val="right"/>
            </w:pPr>
            <w:r w:rsidRPr="00261B7A">
              <w:rPr>
                <w:rFonts w:eastAsia="Calibri"/>
                <w:color w:val="000000"/>
              </w:rPr>
              <w:t>14.4</w:t>
            </w:r>
          </w:p>
        </w:tc>
        <w:tc>
          <w:tcPr>
            <w:tcW w:w="1701" w:type="dxa"/>
            <w:shd w:val="clear" w:color="auto" w:fill="FFFFFF"/>
            <w:tcMar>
              <w:top w:w="0" w:type="dxa"/>
              <w:left w:w="85" w:type="dxa"/>
              <w:bottom w:w="0" w:type="dxa"/>
              <w:right w:w="85" w:type="dxa"/>
            </w:tcMar>
          </w:tcPr>
          <w:p w14:paraId="664FE4C4" w14:textId="77777777" w:rsidR="00422EFE" w:rsidRPr="00261B7A" w:rsidRDefault="00422EFE" w:rsidP="0058311A">
            <w:pPr>
              <w:pStyle w:val="TableText"/>
              <w:spacing w:before="40" w:after="40"/>
              <w:jc w:val="right"/>
            </w:pPr>
            <w:r w:rsidRPr="00261B7A">
              <w:rPr>
                <w:rFonts w:eastAsia="Calibri"/>
                <w:color w:val="000000"/>
              </w:rPr>
              <w:t>156.5</w:t>
            </w:r>
          </w:p>
        </w:tc>
      </w:tr>
      <w:tr w:rsidR="00422EFE" w:rsidRPr="00261B7A" w14:paraId="643CF816" w14:textId="77777777" w:rsidTr="00D41492">
        <w:tc>
          <w:tcPr>
            <w:tcW w:w="624" w:type="dxa"/>
            <w:shd w:val="clear" w:color="auto" w:fill="FFFFFF"/>
            <w:tcMar>
              <w:top w:w="0" w:type="dxa"/>
              <w:left w:w="85" w:type="dxa"/>
              <w:bottom w:w="0" w:type="dxa"/>
              <w:right w:w="85" w:type="dxa"/>
            </w:tcMar>
          </w:tcPr>
          <w:p w14:paraId="2E1C404D" w14:textId="77777777" w:rsidR="00422EFE" w:rsidRPr="00261B7A" w:rsidRDefault="00422EFE" w:rsidP="0058311A">
            <w:pPr>
              <w:pStyle w:val="TableText"/>
              <w:spacing w:before="40" w:after="40"/>
            </w:pPr>
            <w:r w:rsidRPr="00261B7A">
              <w:rPr>
                <w:rFonts w:eastAsia="Calibri"/>
              </w:rPr>
              <w:t>1995</w:t>
            </w:r>
          </w:p>
        </w:tc>
        <w:tc>
          <w:tcPr>
            <w:tcW w:w="1928" w:type="dxa"/>
            <w:shd w:val="clear" w:color="auto" w:fill="FFFFFF"/>
            <w:tcMar>
              <w:top w:w="0" w:type="dxa"/>
              <w:left w:w="85" w:type="dxa"/>
              <w:bottom w:w="0" w:type="dxa"/>
              <w:right w:w="85" w:type="dxa"/>
            </w:tcMar>
          </w:tcPr>
          <w:p w14:paraId="0CDB9C9F" w14:textId="77777777" w:rsidR="00422EFE" w:rsidRPr="00261B7A" w:rsidRDefault="00422EFE" w:rsidP="0058311A">
            <w:pPr>
              <w:pStyle w:val="TableText"/>
              <w:spacing w:before="40" w:after="40"/>
              <w:jc w:val="right"/>
            </w:pPr>
            <w:r w:rsidRPr="00261B7A">
              <w:rPr>
                <w:rFonts w:eastAsia="Calibri"/>
                <w:color w:val="000000"/>
              </w:rPr>
              <w:t>64.5</w:t>
            </w:r>
          </w:p>
        </w:tc>
        <w:tc>
          <w:tcPr>
            <w:tcW w:w="1871" w:type="dxa"/>
            <w:shd w:val="clear" w:color="auto" w:fill="FFFFFF"/>
            <w:tcMar>
              <w:top w:w="0" w:type="dxa"/>
              <w:left w:w="85" w:type="dxa"/>
              <w:bottom w:w="0" w:type="dxa"/>
              <w:right w:w="85" w:type="dxa"/>
            </w:tcMar>
          </w:tcPr>
          <w:p w14:paraId="601440A6" w14:textId="77777777" w:rsidR="00422EFE" w:rsidRPr="00261B7A" w:rsidRDefault="00422EFE" w:rsidP="0058311A">
            <w:pPr>
              <w:pStyle w:val="TableText"/>
              <w:spacing w:before="40" w:after="40"/>
              <w:jc w:val="right"/>
            </w:pPr>
            <w:r w:rsidRPr="00261B7A">
              <w:rPr>
                <w:rFonts w:eastAsia="Calibri"/>
                <w:color w:val="000000"/>
              </w:rPr>
              <w:t>83.3</w:t>
            </w:r>
          </w:p>
        </w:tc>
        <w:tc>
          <w:tcPr>
            <w:tcW w:w="1871" w:type="dxa"/>
            <w:shd w:val="clear" w:color="auto" w:fill="FFFFFF"/>
            <w:tcMar>
              <w:top w:w="0" w:type="dxa"/>
              <w:left w:w="85" w:type="dxa"/>
              <w:bottom w:w="0" w:type="dxa"/>
              <w:right w:w="85" w:type="dxa"/>
            </w:tcMar>
          </w:tcPr>
          <w:p w14:paraId="040105B0" w14:textId="77777777" w:rsidR="00422EFE" w:rsidRPr="00261B7A" w:rsidRDefault="00422EFE" w:rsidP="0058311A">
            <w:pPr>
              <w:pStyle w:val="TableText"/>
              <w:spacing w:before="40" w:after="40"/>
              <w:jc w:val="right"/>
            </w:pPr>
            <w:r w:rsidRPr="00261B7A">
              <w:rPr>
                <w:rFonts w:eastAsia="Calibri"/>
                <w:color w:val="000000"/>
              </w:rPr>
              <w:t>13.3</w:t>
            </w:r>
          </w:p>
        </w:tc>
        <w:tc>
          <w:tcPr>
            <w:tcW w:w="1701" w:type="dxa"/>
            <w:shd w:val="clear" w:color="auto" w:fill="FFFFFF"/>
            <w:tcMar>
              <w:top w:w="0" w:type="dxa"/>
              <w:left w:w="85" w:type="dxa"/>
              <w:bottom w:w="0" w:type="dxa"/>
              <w:right w:w="85" w:type="dxa"/>
            </w:tcMar>
          </w:tcPr>
          <w:p w14:paraId="3643DB33" w14:textId="77777777" w:rsidR="00422EFE" w:rsidRPr="00261B7A" w:rsidRDefault="00422EFE" w:rsidP="0058311A">
            <w:pPr>
              <w:pStyle w:val="TableText"/>
              <w:spacing w:before="40" w:after="40"/>
              <w:jc w:val="right"/>
            </w:pPr>
            <w:r w:rsidRPr="00261B7A">
              <w:rPr>
                <w:rFonts w:eastAsia="Calibri"/>
                <w:color w:val="000000"/>
              </w:rPr>
              <w:t>161.1</w:t>
            </w:r>
          </w:p>
        </w:tc>
      </w:tr>
      <w:tr w:rsidR="00422EFE" w:rsidRPr="00261B7A" w14:paraId="5F768A8F" w14:textId="77777777" w:rsidTr="00D41492">
        <w:tc>
          <w:tcPr>
            <w:tcW w:w="624" w:type="dxa"/>
            <w:shd w:val="clear" w:color="auto" w:fill="FFFFFF"/>
            <w:tcMar>
              <w:top w:w="0" w:type="dxa"/>
              <w:left w:w="85" w:type="dxa"/>
              <w:bottom w:w="0" w:type="dxa"/>
              <w:right w:w="85" w:type="dxa"/>
            </w:tcMar>
          </w:tcPr>
          <w:p w14:paraId="1206458D" w14:textId="77777777" w:rsidR="00422EFE" w:rsidRPr="00261B7A" w:rsidRDefault="00422EFE" w:rsidP="0058311A">
            <w:pPr>
              <w:pStyle w:val="TableText"/>
              <w:spacing w:before="40" w:after="40"/>
            </w:pPr>
            <w:r w:rsidRPr="00261B7A">
              <w:rPr>
                <w:rFonts w:eastAsia="Calibri"/>
              </w:rPr>
              <w:t>1996</w:t>
            </w:r>
          </w:p>
        </w:tc>
        <w:tc>
          <w:tcPr>
            <w:tcW w:w="1928" w:type="dxa"/>
            <w:shd w:val="clear" w:color="auto" w:fill="FFFFFF"/>
            <w:tcMar>
              <w:top w:w="0" w:type="dxa"/>
              <w:left w:w="85" w:type="dxa"/>
              <w:bottom w:w="0" w:type="dxa"/>
              <w:right w:w="85" w:type="dxa"/>
            </w:tcMar>
          </w:tcPr>
          <w:p w14:paraId="15A6F8BC" w14:textId="77777777" w:rsidR="00422EFE" w:rsidRPr="00261B7A" w:rsidRDefault="00422EFE" w:rsidP="0058311A">
            <w:pPr>
              <w:pStyle w:val="TableText"/>
              <w:spacing w:before="40" w:after="40"/>
              <w:jc w:val="right"/>
            </w:pPr>
            <w:r w:rsidRPr="00261B7A">
              <w:rPr>
                <w:rFonts w:eastAsia="Calibri"/>
                <w:color w:val="000000"/>
              </w:rPr>
              <w:t>65.7</w:t>
            </w:r>
          </w:p>
        </w:tc>
        <w:tc>
          <w:tcPr>
            <w:tcW w:w="1871" w:type="dxa"/>
            <w:shd w:val="clear" w:color="auto" w:fill="FFFFFF"/>
            <w:tcMar>
              <w:top w:w="0" w:type="dxa"/>
              <w:left w:w="85" w:type="dxa"/>
              <w:bottom w:w="0" w:type="dxa"/>
              <w:right w:w="85" w:type="dxa"/>
            </w:tcMar>
          </w:tcPr>
          <w:p w14:paraId="41A0F4DA" w14:textId="77777777" w:rsidR="00422EFE" w:rsidRPr="00261B7A" w:rsidRDefault="00422EFE" w:rsidP="0058311A">
            <w:pPr>
              <w:pStyle w:val="TableText"/>
              <w:spacing w:before="40" w:after="40"/>
              <w:jc w:val="right"/>
            </w:pPr>
            <w:r w:rsidRPr="00261B7A">
              <w:rPr>
                <w:rFonts w:eastAsia="Calibri"/>
                <w:color w:val="000000"/>
              </w:rPr>
              <w:t>79.9</w:t>
            </w:r>
          </w:p>
        </w:tc>
        <w:tc>
          <w:tcPr>
            <w:tcW w:w="1871" w:type="dxa"/>
            <w:shd w:val="clear" w:color="auto" w:fill="FFFFFF"/>
            <w:tcMar>
              <w:top w:w="0" w:type="dxa"/>
              <w:left w:w="85" w:type="dxa"/>
              <w:bottom w:w="0" w:type="dxa"/>
              <w:right w:w="85" w:type="dxa"/>
            </w:tcMar>
          </w:tcPr>
          <w:p w14:paraId="56DE1DA5" w14:textId="77777777" w:rsidR="00422EFE" w:rsidRPr="00261B7A" w:rsidRDefault="00422EFE" w:rsidP="0058311A">
            <w:pPr>
              <w:pStyle w:val="TableText"/>
              <w:spacing w:before="40" w:after="40"/>
              <w:jc w:val="right"/>
            </w:pPr>
            <w:r w:rsidRPr="00261B7A">
              <w:rPr>
                <w:rFonts w:eastAsia="Calibri"/>
                <w:color w:val="000000"/>
              </w:rPr>
              <w:t>11.9</w:t>
            </w:r>
          </w:p>
        </w:tc>
        <w:tc>
          <w:tcPr>
            <w:tcW w:w="1701" w:type="dxa"/>
            <w:shd w:val="clear" w:color="auto" w:fill="FFFFFF"/>
            <w:tcMar>
              <w:top w:w="0" w:type="dxa"/>
              <w:left w:w="85" w:type="dxa"/>
              <w:bottom w:w="0" w:type="dxa"/>
              <w:right w:w="85" w:type="dxa"/>
            </w:tcMar>
          </w:tcPr>
          <w:p w14:paraId="2224239A" w14:textId="77777777" w:rsidR="00422EFE" w:rsidRPr="00261B7A" w:rsidRDefault="00422EFE" w:rsidP="0058311A">
            <w:pPr>
              <w:pStyle w:val="TableText"/>
              <w:spacing w:before="40" w:after="40"/>
              <w:jc w:val="right"/>
            </w:pPr>
            <w:r w:rsidRPr="00261B7A">
              <w:rPr>
                <w:rFonts w:eastAsia="Calibri"/>
                <w:color w:val="000000"/>
              </w:rPr>
              <w:t>157.6</w:t>
            </w:r>
          </w:p>
        </w:tc>
      </w:tr>
      <w:tr w:rsidR="00422EFE" w:rsidRPr="00261B7A" w14:paraId="42E78D99" w14:textId="77777777" w:rsidTr="00D41492">
        <w:tc>
          <w:tcPr>
            <w:tcW w:w="624" w:type="dxa"/>
            <w:shd w:val="clear" w:color="auto" w:fill="FFFFFF"/>
            <w:tcMar>
              <w:top w:w="0" w:type="dxa"/>
              <w:left w:w="85" w:type="dxa"/>
              <w:bottom w:w="0" w:type="dxa"/>
              <w:right w:w="85" w:type="dxa"/>
            </w:tcMar>
          </w:tcPr>
          <w:p w14:paraId="61AE71F4" w14:textId="77777777" w:rsidR="00422EFE" w:rsidRPr="00261B7A" w:rsidRDefault="00422EFE" w:rsidP="0058311A">
            <w:pPr>
              <w:pStyle w:val="TableText"/>
              <w:spacing w:before="40" w:after="40"/>
            </w:pPr>
            <w:r w:rsidRPr="00261B7A">
              <w:rPr>
                <w:rFonts w:eastAsia="Calibri"/>
              </w:rPr>
              <w:t>1997</w:t>
            </w:r>
          </w:p>
        </w:tc>
        <w:tc>
          <w:tcPr>
            <w:tcW w:w="1928" w:type="dxa"/>
            <w:shd w:val="clear" w:color="auto" w:fill="FFFFFF"/>
            <w:tcMar>
              <w:top w:w="0" w:type="dxa"/>
              <w:left w:w="85" w:type="dxa"/>
              <w:bottom w:w="0" w:type="dxa"/>
              <w:right w:w="85" w:type="dxa"/>
            </w:tcMar>
          </w:tcPr>
          <w:p w14:paraId="7C568DF4" w14:textId="77777777" w:rsidR="00422EFE" w:rsidRPr="00261B7A" w:rsidRDefault="00422EFE" w:rsidP="0058311A">
            <w:pPr>
              <w:pStyle w:val="TableText"/>
              <w:spacing w:before="40" w:after="40"/>
              <w:jc w:val="right"/>
            </w:pPr>
            <w:r w:rsidRPr="00261B7A">
              <w:rPr>
                <w:rFonts w:eastAsia="Calibri"/>
                <w:color w:val="000000"/>
              </w:rPr>
              <w:t>66.6</w:t>
            </w:r>
          </w:p>
        </w:tc>
        <w:tc>
          <w:tcPr>
            <w:tcW w:w="1871" w:type="dxa"/>
            <w:shd w:val="clear" w:color="auto" w:fill="FFFFFF"/>
            <w:tcMar>
              <w:top w:w="0" w:type="dxa"/>
              <w:left w:w="85" w:type="dxa"/>
              <w:bottom w:w="0" w:type="dxa"/>
              <w:right w:w="85" w:type="dxa"/>
            </w:tcMar>
          </w:tcPr>
          <w:p w14:paraId="1F90D48F" w14:textId="77777777" w:rsidR="00422EFE" w:rsidRPr="00261B7A" w:rsidRDefault="00422EFE" w:rsidP="0058311A">
            <w:pPr>
              <w:pStyle w:val="TableText"/>
              <w:spacing w:before="40" w:after="40"/>
              <w:jc w:val="right"/>
            </w:pPr>
            <w:r w:rsidRPr="00261B7A">
              <w:rPr>
                <w:rFonts w:eastAsia="Calibri"/>
                <w:color w:val="000000"/>
              </w:rPr>
              <w:t>82.7</w:t>
            </w:r>
          </w:p>
        </w:tc>
        <w:tc>
          <w:tcPr>
            <w:tcW w:w="1871" w:type="dxa"/>
            <w:shd w:val="clear" w:color="auto" w:fill="FFFFFF"/>
            <w:tcMar>
              <w:top w:w="0" w:type="dxa"/>
              <w:left w:w="85" w:type="dxa"/>
              <w:bottom w:w="0" w:type="dxa"/>
              <w:right w:w="85" w:type="dxa"/>
            </w:tcMar>
          </w:tcPr>
          <w:p w14:paraId="123742CD" w14:textId="77777777" w:rsidR="00422EFE" w:rsidRPr="00261B7A" w:rsidRDefault="00422EFE" w:rsidP="0058311A">
            <w:pPr>
              <w:pStyle w:val="TableText"/>
              <w:spacing w:before="40" w:after="40"/>
              <w:jc w:val="right"/>
            </w:pPr>
            <w:r w:rsidRPr="00261B7A">
              <w:rPr>
                <w:rFonts w:eastAsia="Calibri"/>
                <w:color w:val="000000"/>
              </w:rPr>
              <w:t>10.3</w:t>
            </w:r>
          </w:p>
        </w:tc>
        <w:tc>
          <w:tcPr>
            <w:tcW w:w="1701" w:type="dxa"/>
            <w:shd w:val="clear" w:color="auto" w:fill="FFFFFF"/>
            <w:tcMar>
              <w:top w:w="0" w:type="dxa"/>
              <w:left w:w="85" w:type="dxa"/>
              <w:bottom w:w="0" w:type="dxa"/>
              <w:right w:w="85" w:type="dxa"/>
            </w:tcMar>
          </w:tcPr>
          <w:p w14:paraId="6D0A6592" w14:textId="77777777" w:rsidR="00422EFE" w:rsidRPr="00261B7A" w:rsidRDefault="00422EFE" w:rsidP="0058311A">
            <w:pPr>
              <w:pStyle w:val="TableText"/>
              <w:spacing w:before="40" w:after="40"/>
              <w:jc w:val="right"/>
            </w:pPr>
            <w:r w:rsidRPr="00261B7A">
              <w:rPr>
                <w:rFonts w:eastAsia="Calibri"/>
                <w:color w:val="000000"/>
              </w:rPr>
              <w:t>159.7</w:t>
            </w:r>
          </w:p>
        </w:tc>
      </w:tr>
      <w:tr w:rsidR="00422EFE" w:rsidRPr="00261B7A" w14:paraId="251ED386" w14:textId="77777777" w:rsidTr="00D41492">
        <w:tc>
          <w:tcPr>
            <w:tcW w:w="624" w:type="dxa"/>
            <w:shd w:val="clear" w:color="auto" w:fill="FFFFFF"/>
            <w:tcMar>
              <w:top w:w="0" w:type="dxa"/>
              <w:left w:w="85" w:type="dxa"/>
              <w:bottom w:w="0" w:type="dxa"/>
              <w:right w:w="85" w:type="dxa"/>
            </w:tcMar>
          </w:tcPr>
          <w:p w14:paraId="482FEE4A" w14:textId="77777777" w:rsidR="00422EFE" w:rsidRPr="00261B7A" w:rsidRDefault="00422EFE" w:rsidP="0058311A">
            <w:pPr>
              <w:pStyle w:val="TableText"/>
              <w:spacing w:before="40" w:after="40"/>
            </w:pPr>
            <w:r w:rsidRPr="00261B7A">
              <w:rPr>
                <w:rFonts w:eastAsia="Calibri"/>
              </w:rPr>
              <w:t>1998</w:t>
            </w:r>
          </w:p>
        </w:tc>
        <w:tc>
          <w:tcPr>
            <w:tcW w:w="1928" w:type="dxa"/>
            <w:shd w:val="clear" w:color="auto" w:fill="FFFFFF"/>
            <w:tcMar>
              <w:top w:w="0" w:type="dxa"/>
              <w:left w:w="85" w:type="dxa"/>
              <w:bottom w:w="0" w:type="dxa"/>
              <w:right w:w="85" w:type="dxa"/>
            </w:tcMar>
          </w:tcPr>
          <w:p w14:paraId="71D56033" w14:textId="77777777" w:rsidR="00422EFE" w:rsidRPr="00261B7A" w:rsidRDefault="00422EFE" w:rsidP="0058311A">
            <w:pPr>
              <w:pStyle w:val="TableText"/>
              <w:spacing w:before="40" w:after="40"/>
              <w:jc w:val="right"/>
            </w:pPr>
            <w:r w:rsidRPr="00261B7A">
              <w:rPr>
                <w:rFonts w:eastAsia="Calibri"/>
                <w:color w:val="000000"/>
              </w:rPr>
              <w:t>68.7</w:t>
            </w:r>
          </w:p>
        </w:tc>
        <w:tc>
          <w:tcPr>
            <w:tcW w:w="1871" w:type="dxa"/>
            <w:shd w:val="clear" w:color="auto" w:fill="FFFFFF"/>
            <w:tcMar>
              <w:top w:w="0" w:type="dxa"/>
              <w:left w:w="85" w:type="dxa"/>
              <w:bottom w:w="0" w:type="dxa"/>
              <w:right w:w="85" w:type="dxa"/>
            </w:tcMar>
          </w:tcPr>
          <w:p w14:paraId="21D88422" w14:textId="77777777" w:rsidR="00422EFE" w:rsidRPr="00261B7A" w:rsidRDefault="00422EFE" w:rsidP="0058311A">
            <w:pPr>
              <w:pStyle w:val="TableText"/>
              <w:spacing w:before="40" w:after="40"/>
              <w:jc w:val="right"/>
            </w:pPr>
            <w:r w:rsidRPr="00261B7A">
              <w:rPr>
                <w:rFonts w:eastAsia="Calibri"/>
                <w:color w:val="000000"/>
              </w:rPr>
              <w:t>81.1</w:t>
            </w:r>
          </w:p>
        </w:tc>
        <w:tc>
          <w:tcPr>
            <w:tcW w:w="1871" w:type="dxa"/>
            <w:shd w:val="clear" w:color="auto" w:fill="FFFFFF"/>
            <w:tcMar>
              <w:top w:w="0" w:type="dxa"/>
              <w:left w:w="85" w:type="dxa"/>
              <w:bottom w:w="0" w:type="dxa"/>
              <w:right w:w="85" w:type="dxa"/>
            </w:tcMar>
          </w:tcPr>
          <w:p w14:paraId="0A51CCB8" w14:textId="77777777" w:rsidR="00422EFE" w:rsidRPr="00261B7A" w:rsidRDefault="00422EFE" w:rsidP="0058311A">
            <w:pPr>
              <w:pStyle w:val="TableText"/>
              <w:spacing w:before="40" w:after="40"/>
              <w:jc w:val="right"/>
            </w:pPr>
            <w:r w:rsidRPr="00261B7A">
              <w:rPr>
                <w:rFonts w:eastAsia="Calibri"/>
                <w:color w:val="000000"/>
              </w:rPr>
              <w:t>9.2</w:t>
            </w:r>
          </w:p>
        </w:tc>
        <w:tc>
          <w:tcPr>
            <w:tcW w:w="1701" w:type="dxa"/>
            <w:shd w:val="clear" w:color="auto" w:fill="FFFFFF"/>
            <w:tcMar>
              <w:top w:w="0" w:type="dxa"/>
              <w:left w:w="85" w:type="dxa"/>
              <w:bottom w:w="0" w:type="dxa"/>
              <w:right w:w="85" w:type="dxa"/>
            </w:tcMar>
          </w:tcPr>
          <w:p w14:paraId="7F276371" w14:textId="77777777" w:rsidR="00422EFE" w:rsidRPr="00261B7A" w:rsidRDefault="00422EFE" w:rsidP="0058311A">
            <w:pPr>
              <w:pStyle w:val="TableText"/>
              <w:spacing w:before="40" w:after="40"/>
              <w:jc w:val="right"/>
            </w:pPr>
            <w:r w:rsidRPr="00261B7A">
              <w:rPr>
                <w:rFonts w:eastAsia="Calibri"/>
                <w:color w:val="000000"/>
              </w:rPr>
              <w:t>158.9</w:t>
            </w:r>
          </w:p>
        </w:tc>
      </w:tr>
      <w:tr w:rsidR="00422EFE" w:rsidRPr="00261B7A" w14:paraId="68D3F0E2" w14:textId="77777777" w:rsidTr="00D41492">
        <w:tc>
          <w:tcPr>
            <w:tcW w:w="624" w:type="dxa"/>
            <w:shd w:val="clear" w:color="auto" w:fill="FFFFFF"/>
            <w:tcMar>
              <w:top w:w="0" w:type="dxa"/>
              <w:left w:w="85" w:type="dxa"/>
              <w:bottom w:w="0" w:type="dxa"/>
              <w:right w:w="85" w:type="dxa"/>
            </w:tcMar>
          </w:tcPr>
          <w:p w14:paraId="2AA57DB1" w14:textId="77777777" w:rsidR="00422EFE" w:rsidRPr="00261B7A" w:rsidRDefault="00422EFE" w:rsidP="0058311A">
            <w:pPr>
              <w:pStyle w:val="TableText"/>
              <w:spacing w:before="40" w:after="40"/>
            </w:pPr>
            <w:r w:rsidRPr="00261B7A">
              <w:rPr>
                <w:rFonts w:eastAsia="Calibri"/>
              </w:rPr>
              <w:t>1999</w:t>
            </w:r>
          </w:p>
        </w:tc>
        <w:tc>
          <w:tcPr>
            <w:tcW w:w="1928" w:type="dxa"/>
            <w:shd w:val="clear" w:color="auto" w:fill="FFFFFF"/>
            <w:tcMar>
              <w:top w:w="0" w:type="dxa"/>
              <w:left w:w="85" w:type="dxa"/>
              <w:bottom w:w="0" w:type="dxa"/>
              <w:right w:w="85" w:type="dxa"/>
            </w:tcMar>
          </w:tcPr>
          <w:p w14:paraId="29D3CA1E" w14:textId="77777777" w:rsidR="00422EFE" w:rsidRPr="00261B7A" w:rsidRDefault="00422EFE" w:rsidP="0058311A">
            <w:pPr>
              <w:pStyle w:val="TableText"/>
              <w:spacing w:before="40" w:after="40"/>
              <w:jc w:val="right"/>
            </w:pPr>
            <w:r w:rsidRPr="00261B7A">
              <w:rPr>
                <w:rFonts w:eastAsia="Calibri"/>
                <w:color w:val="000000"/>
              </w:rPr>
              <w:t>61.4</w:t>
            </w:r>
          </w:p>
        </w:tc>
        <w:tc>
          <w:tcPr>
            <w:tcW w:w="1871" w:type="dxa"/>
            <w:shd w:val="clear" w:color="auto" w:fill="FFFFFF"/>
            <w:tcMar>
              <w:top w:w="0" w:type="dxa"/>
              <w:left w:w="85" w:type="dxa"/>
              <w:bottom w:w="0" w:type="dxa"/>
              <w:right w:w="85" w:type="dxa"/>
            </w:tcMar>
          </w:tcPr>
          <w:p w14:paraId="3CFD9A12" w14:textId="77777777" w:rsidR="00422EFE" w:rsidRPr="00261B7A" w:rsidRDefault="00422EFE" w:rsidP="0058311A">
            <w:pPr>
              <w:pStyle w:val="TableText"/>
              <w:spacing w:before="40" w:after="40"/>
              <w:jc w:val="right"/>
            </w:pPr>
            <w:r w:rsidRPr="00261B7A">
              <w:rPr>
                <w:rFonts w:eastAsia="Calibri"/>
                <w:color w:val="000000"/>
              </w:rPr>
              <w:t>81.9</w:t>
            </w:r>
          </w:p>
        </w:tc>
        <w:tc>
          <w:tcPr>
            <w:tcW w:w="1871" w:type="dxa"/>
            <w:shd w:val="clear" w:color="auto" w:fill="FFFFFF"/>
            <w:tcMar>
              <w:top w:w="0" w:type="dxa"/>
              <w:left w:w="85" w:type="dxa"/>
              <w:bottom w:w="0" w:type="dxa"/>
              <w:right w:w="85" w:type="dxa"/>
            </w:tcMar>
          </w:tcPr>
          <w:p w14:paraId="680C6EB7" w14:textId="77777777" w:rsidR="00422EFE" w:rsidRPr="00261B7A" w:rsidRDefault="00422EFE" w:rsidP="0058311A">
            <w:pPr>
              <w:pStyle w:val="TableText"/>
              <w:spacing w:before="40" w:after="40"/>
              <w:jc w:val="right"/>
            </w:pPr>
            <w:r w:rsidRPr="00261B7A">
              <w:rPr>
                <w:rFonts w:eastAsia="Calibri"/>
                <w:color w:val="000000"/>
              </w:rPr>
              <w:t>7.8</w:t>
            </w:r>
          </w:p>
        </w:tc>
        <w:tc>
          <w:tcPr>
            <w:tcW w:w="1701" w:type="dxa"/>
            <w:shd w:val="clear" w:color="auto" w:fill="FFFFFF"/>
            <w:tcMar>
              <w:top w:w="0" w:type="dxa"/>
              <w:left w:w="85" w:type="dxa"/>
              <w:bottom w:w="0" w:type="dxa"/>
              <w:right w:w="85" w:type="dxa"/>
            </w:tcMar>
          </w:tcPr>
          <w:p w14:paraId="40005BF1" w14:textId="77777777" w:rsidR="00422EFE" w:rsidRPr="00261B7A" w:rsidRDefault="00422EFE" w:rsidP="0058311A">
            <w:pPr>
              <w:pStyle w:val="TableText"/>
              <w:spacing w:before="40" w:after="40"/>
              <w:jc w:val="right"/>
            </w:pPr>
            <w:r w:rsidRPr="00261B7A">
              <w:rPr>
                <w:rFonts w:eastAsia="Calibri"/>
                <w:color w:val="000000"/>
              </w:rPr>
              <w:t>151.1</w:t>
            </w:r>
          </w:p>
        </w:tc>
      </w:tr>
      <w:tr w:rsidR="00422EFE" w:rsidRPr="00261B7A" w14:paraId="33697BC2" w14:textId="77777777" w:rsidTr="00D41492">
        <w:tc>
          <w:tcPr>
            <w:tcW w:w="624" w:type="dxa"/>
            <w:shd w:val="clear" w:color="auto" w:fill="FFFFFF"/>
            <w:tcMar>
              <w:top w:w="0" w:type="dxa"/>
              <w:left w:w="85" w:type="dxa"/>
              <w:bottom w:w="0" w:type="dxa"/>
              <w:right w:w="85" w:type="dxa"/>
            </w:tcMar>
          </w:tcPr>
          <w:p w14:paraId="25CD011E" w14:textId="77777777" w:rsidR="00422EFE" w:rsidRPr="00261B7A" w:rsidRDefault="00422EFE" w:rsidP="0058311A">
            <w:pPr>
              <w:pStyle w:val="TableText"/>
              <w:spacing w:before="40" w:after="40"/>
            </w:pPr>
            <w:r w:rsidRPr="00261B7A">
              <w:rPr>
                <w:rFonts w:eastAsia="Calibri"/>
              </w:rPr>
              <w:t>2000</w:t>
            </w:r>
          </w:p>
        </w:tc>
        <w:tc>
          <w:tcPr>
            <w:tcW w:w="1928" w:type="dxa"/>
            <w:shd w:val="clear" w:color="auto" w:fill="FFFFFF"/>
            <w:tcMar>
              <w:top w:w="0" w:type="dxa"/>
              <w:left w:w="85" w:type="dxa"/>
              <w:bottom w:w="0" w:type="dxa"/>
              <w:right w:w="85" w:type="dxa"/>
            </w:tcMar>
          </w:tcPr>
          <w:p w14:paraId="44B0AEC5" w14:textId="77777777" w:rsidR="00422EFE" w:rsidRPr="00261B7A" w:rsidRDefault="00422EFE" w:rsidP="0058311A">
            <w:pPr>
              <w:pStyle w:val="TableText"/>
              <w:spacing w:before="40" w:after="40"/>
              <w:jc w:val="right"/>
            </w:pPr>
            <w:r w:rsidRPr="00261B7A">
              <w:rPr>
                <w:rFonts w:eastAsia="Calibri"/>
                <w:color w:val="000000"/>
              </w:rPr>
              <w:t>65.8</w:t>
            </w:r>
          </w:p>
        </w:tc>
        <w:tc>
          <w:tcPr>
            <w:tcW w:w="1871" w:type="dxa"/>
            <w:shd w:val="clear" w:color="auto" w:fill="FFFFFF"/>
            <w:tcMar>
              <w:top w:w="0" w:type="dxa"/>
              <w:left w:w="85" w:type="dxa"/>
              <w:bottom w:w="0" w:type="dxa"/>
              <w:right w:w="85" w:type="dxa"/>
            </w:tcMar>
          </w:tcPr>
          <w:p w14:paraId="492D915C" w14:textId="77777777" w:rsidR="00422EFE" w:rsidRPr="00261B7A" w:rsidRDefault="00422EFE" w:rsidP="0058311A">
            <w:pPr>
              <w:pStyle w:val="TableText"/>
              <w:spacing w:before="40" w:after="40"/>
              <w:jc w:val="right"/>
            </w:pPr>
            <w:r w:rsidRPr="00261B7A">
              <w:rPr>
                <w:rFonts w:eastAsia="Calibri"/>
                <w:color w:val="000000"/>
              </w:rPr>
              <w:t>89.4</w:t>
            </w:r>
          </w:p>
        </w:tc>
        <w:tc>
          <w:tcPr>
            <w:tcW w:w="1871" w:type="dxa"/>
            <w:shd w:val="clear" w:color="auto" w:fill="FFFFFF"/>
            <w:tcMar>
              <w:top w:w="0" w:type="dxa"/>
              <w:left w:w="85" w:type="dxa"/>
              <w:bottom w:w="0" w:type="dxa"/>
              <w:right w:w="85" w:type="dxa"/>
            </w:tcMar>
          </w:tcPr>
          <w:p w14:paraId="742E4F6F" w14:textId="77777777" w:rsidR="00422EFE" w:rsidRPr="00261B7A" w:rsidRDefault="00422EFE" w:rsidP="0058311A">
            <w:pPr>
              <w:pStyle w:val="TableText"/>
              <w:spacing w:before="40" w:after="40"/>
              <w:jc w:val="right"/>
            </w:pPr>
            <w:r w:rsidRPr="00261B7A">
              <w:rPr>
                <w:rFonts w:eastAsia="Calibri"/>
                <w:color w:val="000000"/>
              </w:rPr>
              <w:t>6.4</w:t>
            </w:r>
          </w:p>
        </w:tc>
        <w:tc>
          <w:tcPr>
            <w:tcW w:w="1701" w:type="dxa"/>
            <w:shd w:val="clear" w:color="auto" w:fill="FFFFFF"/>
            <w:tcMar>
              <w:top w:w="0" w:type="dxa"/>
              <w:left w:w="85" w:type="dxa"/>
              <w:bottom w:w="0" w:type="dxa"/>
              <w:right w:w="85" w:type="dxa"/>
            </w:tcMar>
          </w:tcPr>
          <w:p w14:paraId="2FAA4D70" w14:textId="77777777" w:rsidR="00422EFE" w:rsidRPr="00261B7A" w:rsidRDefault="00422EFE" w:rsidP="0058311A">
            <w:pPr>
              <w:pStyle w:val="TableText"/>
              <w:spacing w:before="40" w:after="40"/>
              <w:jc w:val="right"/>
            </w:pPr>
            <w:r w:rsidRPr="00261B7A">
              <w:rPr>
                <w:rFonts w:eastAsia="Calibri"/>
                <w:color w:val="000000"/>
              </w:rPr>
              <w:t>161.6</w:t>
            </w:r>
          </w:p>
        </w:tc>
      </w:tr>
      <w:tr w:rsidR="00422EFE" w:rsidRPr="00261B7A" w14:paraId="0991F738" w14:textId="77777777" w:rsidTr="00D41492">
        <w:tc>
          <w:tcPr>
            <w:tcW w:w="624" w:type="dxa"/>
            <w:shd w:val="clear" w:color="auto" w:fill="FFFFFF"/>
            <w:tcMar>
              <w:top w:w="0" w:type="dxa"/>
              <w:left w:w="85" w:type="dxa"/>
              <w:bottom w:w="0" w:type="dxa"/>
              <w:right w:w="85" w:type="dxa"/>
            </w:tcMar>
          </w:tcPr>
          <w:p w14:paraId="70BD928C" w14:textId="77777777" w:rsidR="00422EFE" w:rsidRPr="00261B7A" w:rsidRDefault="00422EFE" w:rsidP="0058311A">
            <w:pPr>
              <w:pStyle w:val="TableText"/>
              <w:spacing w:before="40" w:after="40"/>
            </w:pPr>
            <w:r w:rsidRPr="00261B7A">
              <w:rPr>
                <w:rFonts w:eastAsia="Calibri"/>
              </w:rPr>
              <w:t>2001</w:t>
            </w:r>
          </w:p>
        </w:tc>
        <w:tc>
          <w:tcPr>
            <w:tcW w:w="1928" w:type="dxa"/>
            <w:shd w:val="clear" w:color="auto" w:fill="FFFFFF"/>
            <w:tcMar>
              <w:top w:w="0" w:type="dxa"/>
              <w:left w:w="85" w:type="dxa"/>
              <w:bottom w:w="0" w:type="dxa"/>
              <w:right w:w="85" w:type="dxa"/>
            </w:tcMar>
          </w:tcPr>
          <w:p w14:paraId="33ABF33B" w14:textId="77777777" w:rsidR="00422EFE" w:rsidRPr="00261B7A" w:rsidRDefault="00422EFE" w:rsidP="0058311A">
            <w:pPr>
              <w:pStyle w:val="TableText"/>
              <w:spacing w:before="40" w:after="40"/>
              <w:jc w:val="right"/>
            </w:pPr>
            <w:r w:rsidRPr="00261B7A">
              <w:rPr>
                <w:rFonts w:eastAsia="Calibri"/>
                <w:color w:val="000000"/>
              </w:rPr>
              <w:t>67.7</w:t>
            </w:r>
          </w:p>
        </w:tc>
        <w:tc>
          <w:tcPr>
            <w:tcW w:w="1871" w:type="dxa"/>
            <w:shd w:val="clear" w:color="auto" w:fill="FFFFFF"/>
            <w:tcMar>
              <w:top w:w="0" w:type="dxa"/>
              <w:left w:w="85" w:type="dxa"/>
              <w:bottom w:w="0" w:type="dxa"/>
              <w:right w:w="85" w:type="dxa"/>
            </w:tcMar>
          </w:tcPr>
          <w:p w14:paraId="669EE756" w14:textId="77777777" w:rsidR="00422EFE" w:rsidRPr="00261B7A" w:rsidRDefault="00422EFE" w:rsidP="0058311A">
            <w:pPr>
              <w:pStyle w:val="TableText"/>
              <w:spacing w:before="40" w:after="40"/>
              <w:jc w:val="right"/>
            </w:pPr>
            <w:r w:rsidRPr="00261B7A">
              <w:rPr>
                <w:rFonts w:eastAsia="Calibri"/>
                <w:color w:val="000000"/>
              </w:rPr>
              <w:t>84.2</w:t>
            </w:r>
          </w:p>
        </w:tc>
        <w:tc>
          <w:tcPr>
            <w:tcW w:w="1871" w:type="dxa"/>
            <w:shd w:val="clear" w:color="auto" w:fill="FFFFFF"/>
            <w:tcMar>
              <w:top w:w="0" w:type="dxa"/>
              <w:left w:w="85" w:type="dxa"/>
              <w:bottom w:w="0" w:type="dxa"/>
              <w:right w:w="85" w:type="dxa"/>
            </w:tcMar>
          </w:tcPr>
          <w:p w14:paraId="791DC453" w14:textId="77777777" w:rsidR="00422EFE" w:rsidRPr="00261B7A" w:rsidRDefault="00422EFE" w:rsidP="0058311A">
            <w:pPr>
              <w:pStyle w:val="TableText"/>
              <w:spacing w:before="40" w:after="40"/>
              <w:jc w:val="right"/>
            </w:pPr>
            <w:r w:rsidRPr="00261B7A">
              <w:rPr>
                <w:rFonts w:eastAsia="Calibri"/>
                <w:color w:val="000000"/>
              </w:rPr>
              <w:t>4.9</w:t>
            </w:r>
          </w:p>
        </w:tc>
        <w:tc>
          <w:tcPr>
            <w:tcW w:w="1701" w:type="dxa"/>
            <w:shd w:val="clear" w:color="auto" w:fill="FFFFFF"/>
            <w:tcMar>
              <w:top w:w="0" w:type="dxa"/>
              <w:left w:w="85" w:type="dxa"/>
              <w:bottom w:w="0" w:type="dxa"/>
              <w:right w:w="85" w:type="dxa"/>
            </w:tcMar>
          </w:tcPr>
          <w:p w14:paraId="0601AE8C" w14:textId="77777777" w:rsidR="00422EFE" w:rsidRPr="00261B7A" w:rsidRDefault="00422EFE" w:rsidP="0058311A">
            <w:pPr>
              <w:pStyle w:val="TableText"/>
              <w:spacing w:before="40" w:after="40"/>
              <w:jc w:val="right"/>
            </w:pPr>
            <w:r w:rsidRPr="00261B7A">
              <w:rPr>
                <w:rFonts w:eastAsia="Calibri"/>
                <w:color w:val="000000"/>
              </w:rPr>
              <w:t>156.8</w:t>
            </w:r>
          </w:p>
        </w:tc>
      </w:tr>
      <w:tr w:rsidR="00422EFE" w:rsidRPr="00261B7A" w14:paraId="75B63B83" w14:textId="77777777" w:rsidTr="00D41492">
        <w:tc>
          <w:tcPr>
            <w:tcW w:w="624" w:type="dxa"/>
            <w:shd w:val="clear" w:color="auto" w:fill="FFFFFF"/>
            <w:tcMar>
              <w:top w:w="0" w:type="dxa"/>
              <w:left w:w="85" w:type="dxa"/>
              <w:bottom w:w="0" w:type="dxa"/>
              <w:right w:w="85" w:type="dxa"/>
            </w:tcMar>
          </w:tcPr>
          <w:p w14:paraId="3FC5E853" w14:textId="77777777" w:rsidR="00422EFE" w:rsidRPr="00261B7A" w:rsidRDefault="00422EFE" w:rsidP="0058311A">
            <w:pPr>
              <w:pStyle w:val="TableText"/>
              <w:spacing w:before="40" w:after="40"/>
            </w:pPr>
            <w:r w:rsidRPr="00261B7A">
              <w:rPr>
                <w:rFonts w:eastAsia="Calibri"/>
              </w:rPr>
              <w:t>2002</w:t>
            </w:r>
          </w:p>
        </w:tc>
        <w:tc>
          <w:tcPr>
            <w:tcW w:w="1928" w:type="dxa"/>
            <w:shd w:val="clear" w:color="auto" w:fill="FFFFFF"/>
            <w:tcMar>
              <w:top w:w="0" w:type="dxa"/>
              <w:left w:w="85" w:type="dxa"/>
              <w:bottom w:w="0" w:type="dxa"/>
              <w:right w:w="85" w:type="dxa"/>
            </w:tcMar>
          </w:tcPr>
          <w:p w14:paraId="266E8ED9" w14:textId="77777777" w:rsidR="00422EFE" w:rsidRPr="00261B7A" w:rsidRDefault="00422EFE" w:rsidP="0058311A">
            <w:pPr>
              <w:pStyle w:val="TableText"/>
              <w:spacing w:before="40" w:after="40"/>
              <w:jc w:val="right"/>
            </w:pPr>
            <w:r w:rsidRPr="00261B7A">
              <w:rPr>
                <w:rFonts w:eastAsia="Calibri"/>
                <w:color w:val="000000"/>
              </w:rPr>
              <w:t>65.0</w:t>
            </w:r>
          </w:p>
        </w:tc>
        <w:tc>
          <w:tcPr>
            <w:tcW w:w="1871" w:type="dxa"/>
            <w:shd w:val="clear" w:color="auto" w:fill="FFFFFF"/>
            <w:tcMar>
              <w:top w:w="0" w:type="dxa"/>
              <w:left w:w="85" w:type="dxa"/>
              <w:bottom w:w="0" w:type="dxa"/>
              <w:right w:w="85" w:type="dxa"/>
            </w:tcMar>
          </w:tcPr>
          <w:p w14:paraId="7A6AD460" w14:textId="77777777" w:rsidR="00422EFE" w:rsidRPr="00261B7A" w:rsidRDefault="00422EFE" w:rsidP="0058311A">
            <w:pPr>
              <w:pStyle w:val="TableText"/>
              <w:spacing w:before="40" w:after="40"/>
              <w:jc w:val="right"/>
            </w:pPr>
            <w:r w:rsidRPr="00261B7A">
              <w:rPr>
                <w:rFonts w:eastAsia="Calibri"/>
                <w:color w:val="000000"/>
              </w:rPr>
              <w:t>87.1</w:t>
            </w:r>
          </w:p>
        </w:tc>
        <w:tc>
          <w:tcPr>
            <w:tcW w:w="1871" w:type="dxa"/>
            <w:shd w:val="clear" w:color="auto" w:fill="FFFFFF"/>
            <w:tcMar>
              <w:top w:w="0" w:type="dxa"/>
              <w:left w:w="85" w:type="dxa"/>
              <w:bottom w:w="0" w:type="dxa"/>
              <w:right w:w="85" w:type="dxa"/>
            </w:tcMar>
          </w:tcPr>
          <w:p w14:paraId="6F6253E5" w14:textId="77777777" w:rsidR="00422EFE" w:rsidRPr="00261B7A" w:rsidRDefault="00422EFE" w:rsidP="0058311A">
            <w:pPr>
              <w:pStyle w:val="TableText"/>
              <w:spacing w:before="40" w:after="40"/>
              <w:jc w:val="right"/>
            </w:pPr>
            <w:r w:rsidRPr="00261B7A">
              <w:rPr>
                <w:rFonts w:eastAsia="Calibri"/>
                <w:color w:val="000000"/>
              </w:rPr>
              <w:t>5.5</w:t>
            </w:r>
          </w:p>
        </w:tc>
        <w:tc>
          <w:tcPr>
            <w:tcW w:w="1701" w:type="dxa"/>
            <w:shd w:val="clear" w:color="auto" w:fill="FFFFFF"/>
            <w:tcMar>
              <w:top w:w="0" w:type="dxa"/>
              <w:left w:w="85" w:type="dxa"/>
              <w:bottom w:w="0" w:type="dxa"/>
              <w:right w:w="85" w:type="dxa"/>
            </w:tcMar>
          </w:tcPr>
          <w:p w14:paraId="2A395D1F" w14:textId="77777777" w:rsidR="00422EFE" w:rsidRPr="00261B7A" w:rsidRDefault="00422EFE" w:rsidP="0058311A">
            <w:pPr>
              <w:pStyle w:val="TableText"/>
              <w:spacing w:before="40" w:after="40"/>
              <w:jc w:val="right"/>
            </w:pPr>
            <w:r w:rsidRPr="00261B7A">
              <w:rPr>
                <w:rFonts w:eastAsia="Calibri"/>
                <w:color w:val="000000"/>
              </w:rPr>
              <w:t>157.6</w:t>
            </w:r>
          </w:p>
        </w:tc>
      </w:tr>
      <w:tr w:rsidR="00422EFE" w:rsidRPr="00261B7A" w14:paraId="3DA717C7" w14:textId="77777777" w:rsidTr="00D41492">
        <w:tc>
          <w:tcPr>
            <w:tcW w:w="624" w:type="dxa"/>
            <w:shd w:val="clear" w:color="auto" w:fill="FFFFFF"/>
            <w:tcMar>
              <w:top w:w="0" w:type="dxa"/>
              <w:left w:w="85" w:type="dxa"/>
              <w:bottom w:w="0" w:type="dxa"/>
              <w:right w:w="85" w:type="dxa"/>
            </w:tcMar>
          </w:tcPr>
          <w:p w14:paraId="6B15F4D7" w14:textId="77777777" w:rsidR="00422EFE" w:rsidRPr="00261B7A" w:rsidRDefault="00422EFE" w:rsidP="0058311A">
            <w:pPr>
              <w:pStyle w:val="TableText"/>
              <w:spacing w:before="40" w:after="40"/>
            </w:pPr>
            <w:r w:rsidRPr="00261B7A">
              <w:rPr>
                <w:rFonts w:eastAsia="Calibri"/>
              </w:rPr>
              <w:t>2003</w:t>
            </w:r>
          </w:p>
        </w:tc>
        <w:tc>
          <w:tcPr>
            <w:tcW w:w="1928" w:type="dxa"/>
            <w:shd w:val="clear" w:color="auto" w:fill="FFFFFF"/>
            <w:tcMar>
              <w:top w:w="0" w:type="dxa"/>
              <w:left w:w="85" w:type="dxa"/>
              <w:bottom w:w="0" w:type="dxa"/>
              <w:right w:w="85" w:type="dxa"/>
            </w:tcMar>
          </w:tcPr>
          <w:p w14:paraId="445EDDCE" w14:textId="77777777" w:rsidR="00422EFE" w:rsidRPr="00261B7A" w:rsidRDefault="00422EFE" w:rsidP="0058311A">
            <w:pPr>
              <w:pStyle w:val="TableText"/>
              <w:spacing w:before="40" w:after="40"/>
              <w:jc w:val="right"/>
            </w:pPr>
            <w:r w:rsidRPr="00261B7A">
              <w:rPr>
                <w:rFonts w:eastAsia="Calibri"/>
                <w:color w:val="000000"/>
              </w:rPr>
              <w:t>70.1</w:t>
            </w:r>
          </w:p>
        </w:tc>
        <w:tc>
          <w:tcPr>
            <w:tcW w:w="1871" w:type="dxa"/>
            <w:shd w:val="clear" w:color="auto" w:fill="FFFFFF"/>
            <w:tcMar>
              <w:top w:w="0" w:type="dxa"/>
              <w:left w:w="85" w:type="dxa"/>
              <w:bottom w:w="0" w:type="dxa"/>
              <w:right w:w="85" w:type="dxa"/>
            </w:tcMar>
          </w:tcPr>
          <w:p w14:paraId="067011DD" w14:textId="77777777" w:rsidR="00422EFE" w:rsidRPr="00261B7A" w:rsidRDefault="00422EFE" w:rsidP="0058311A">
            <w:pPr>
              <w:pStyle w:val="TableText"/>
              <w:spacing w:before="40" w:after="40"/>
              <w:jc w:val="right"/>
            </w:pPr>
            <w:r w:rsidRPr="00261B7A">
              <w:rPr>
                <w:rFonts w:eastAsia="Calibri"/>
                <w:color w:val="000000"/>
              </w:rPr>
              <w:t>80.2</w:t>
            </w:r>
          </w:p>
        </w:tc>
        <w:tc>
          <w:tcPr>
            <w:tcW w:w="1871" w:type="dxa"/>
            <w:shd w:val="clear" w:color="auto" w:fill="FFFFFF"/>
            <w:tcMar>
              <w:top w:w="0" w:type="dxa"/>
              <w:left w:w="85" w:type="dxa"/>
              <w:bottom w:w="0" w:type="dxa"/>
              <w:right w:w="85" w:type="dxa"/>
            </w:tcMar>
          </w:tcPr>
          <w:p w14:paraId="1469FF97" w14:textId="77777777" w:rsidR="00422EFE" w:rsidRPr="00261B7A" w:rsidRDefault="00422EFE" w:rsidP="0058311A">
            <w:pPr>
              <w:pStyle w:val="TableText"/>
              <w:spacing w:before="40" w:after="40"/>
              <w:jc w:val="right"/>
            </w:pPr>
            <w:r w:rsidRPr="00261B7A">
              <w:rPr>
                <w:rFonts w:eastAsia="Calibri"/>
                <w:color w:val="000000"/>
              </w:rPr>
              <w:t>5.0</w:t>
            </w:r>
          </w:p>
        </w:tc>
        <w:tc>
          <w:tcPr>
            <w:tcW w:w="1701" w:type="dxa"/>
            <w:shd w:val="clear" w:color="auto" w:fill="FFFFFF"/>
            <w:tcMar>
              <w:top w:w="0" w:type="dxa"/>
              <w:left w:w="85" w:type="dxa"/>
              <w:bottom w:w="0" w:type="dxa"/>
              <w:right w:w="85" w:type="dxa"/>
            </w:tcMar>
          </w:tcPr>
          <w:p w14:paraId="417EEF17" w14:textId="77777777" w:rsidR="00422EFE" w:rsidRPr="00261B7A" w:rsidRDefault="00422EFE" w:rsidP="0058311A">
            <w:pPr>
              <w:pStyle w:val="TableText"/>
              <w:spacing w:before="40" w:after="40"/>
              <w:jc w:val="right"/>
            </w:pPr>
            <w:r w:rsidRPr="00261B7A">
              <w:rPr>
                <w:rFonts w:eastAsia="Calibri"/>
                <w:color w:val="000000"/>
              </w:rPr>
              <w:t>155.3</w:t>
            </w:r>
          </w:p>
        </w:tc>
      </w:tr>
      <w:tr w:rsidR="00422EFE" w:rsidRPr="00261B7A" w14:paraId="6E7164D6" w14:textId="77777777" w:rsidTr="00D41492">
        <w:tc>
          <w:tcPr>
            <w:tcW w:w="624" w:type="dxa"/>
            <w:shd w:val="clear" w:color="auto" w:fill="FFFFFF"/>
            <w:tcMar>
              <w:top w:w="0" w:type="dxa"/>
              <w:left w:w="85" w:type="dxa"/>
              <w:bottom w:w="0" w:type="dxa"/>
              <w:right w:w="85" w:type="dxa"/>
            </w:tcMar>
          </w:tcPr>
          <w:p w14:paraId="4E47FFA3" w14:textId="77777777" w:rsidR="00422EFE" w:rsidRPr="00261B7A" w:rsidRDefault="00422EFE" w:rsidP="0058311A">
            <w:pPr>
              <w:pStyle w:val="TableText"/>
              <w:spacing w:before="40" w:after="40"/>
            </w:pPr>
            <w:r w:rsidRPr="00261B7A">
              <w:rPr>
                <w:rFonts w:eastAsia="Calibri"/>
              </w:rPr>
              <w:t>2004</w:t>
            </w:r>
          </w:p>
        </w:tc>
        <w:tc>
          <w:tcPr>
            <w:tcW w:w="1928" w:type="dxa"/>
            <w:shd w:val="clear" w:color="auto" w:fill="FFFFFF"/>
            <w:tcMar>
              <w:top w:w="0" w:type="dxa"/>
              <w:left w:w="85" w:type="dxa"/>
              <w:bottom w:w="0" w:type="dxa"/>
              <w:right w:w="85" w:type="dxa"/>
            </w:tcMar>
          </w:tcPr>
          <w:p w14:paraId="3B2701F5" w14:textId="77777777" w:rsidR="00422EFE" w:rsidRPr="00261B7A" w:rsidRDefault="00422EFE" w:rsidP="0058311A">
            <w:pPr>
              <w:pStyle w:val="TableText"/>
              <w:spacing w:before="40" w:after="40"/>
              <w:jc w:val="right"/>
            </w:pPr>
            <w:r w:rsidRPr="00261B7A">
              <w:rPr>
                <w:rFonts w:eastAsia="Calibri"/>
                <w:color w:val="000000"/>
              </w:rPr>
              <w:t>73.8</w:t>
            </w:r>
          </w:p>
        </w:tc>
        <w:tc>
          <w:tcPr>
            <w:tcW w:w="1871" w:type="dxa"/>
            <w:shd w:val="clear" w:color="auto" w:fill="FFFFFF"/>
            <w:tcMar>
              <w:top w:w="0" w:type="dxa"/>
              <w:left w:w="85" w:type="dxa"/>
              <w:bottom w:w="0" w:type="dxa"/>
              <w:right w:w="85" w:type="dxa"/>
            </w:tcMar>
          </w:tcPr>
          <w:p w14:paraId="6282E380" w14:textId="77777777" w:rsidR="00422EFE" w:rsidRPr="00261B7A" w:rsidRDefault="00422EFE" w:rsidP="0058311A">
            <w:pPr>
              <w:pStyle w:val="TableText"/>
              <w:spacing w:before="40" w:after="40"/>
              <w:jc w:val="right"/>
            </w:pPr>
            <w:r w:rsidRPr="00261B7A">
              <w:rPr>
                <w:rFonts w:eastAsia="Calibri"/>
                <w:color w:val="000000"/>
              </w:rPr>
              <w:t>90.5</w:t>
            </w:r>
          </w:p>
        </w:tc>
        <w:tc>
          <w:tcPr>
            <w:tcW w:w="1871" w:type="dxa"/>
            <w:shd w:val="clear" w:color="auto" w:fill="FFFFFF"/>
            <w:tcMar>
              <w:top w:w="0" w:type="dxa"/>
              <w:left w:w="85" w:type="dxa"/>
              <w:bottom w:w="0" w:type="dxa"/>
              <w:right w:w="85" w:type="dxa"/>
            </w:tcMar>
          </w:tcPr>
          <w:p w14:paraId="525E9AFD" w14:textId="77777777" w:rsidR="00422EFE" w:rsidRPr="00261B7A" w:rsidRDefault="00422EFE" w:rsidP="0058311A">
            <w:pPr>
              <w:pStyle w:val="TableText"/>
              <w:spacing w:before="40" w:after="40"/>
              <w:jc w:val="right"/>
            </w:pPr>
            <w:r w:rsidRPr="00261B7A">
              <w:rPr>
                <w:rFonts w:eastAsia="Calibri"/>
                <w:color w:val="000000"/>
              </w:rPr>
              <w:t>6.1</w:t>
            </w:r>
          </w:p>
        </w:tc>
        <w:tc>
          <w:tcPr>
            <w:tcW w:w="1701" w:type="dxa"/>
            <w:shd w:val="clear" w:color="auto" w:fill="FFFFFF"/>
            <w:tcMar>
              <w:top w:w="0" w:type="dxa"/>
              <w:left w:w="85" w:type="dxa"/>
              <w:bottom w:w="0" w:type="dxa"/>
              <w:right w:w="85" w:type="dxa"/>
            </w:tcMar>
          </w:tcPr>
          <w:p w14:paraId="126CAE8F" w14:textId="77777777" w:rsidR="00422EFE" w:rsidRPr="00261B7A" w:rsidRDefault="00422EFE" w:rsidP="0058311A">
            <w:pPr>
              <w:pStyle w:val="TableText"/>
              <w:spacing w:before="40" w:after="40"/>
              <w:jc w:val="right"/>
            </w:pPr>
            <w:r w:rsidRPr="00261B7A">
              <w:rPr>
                <w:rFonts w:eastAsia="Calibri"/>
                <w:color w:val="000000"/>
              </w:rPr>
              <w:t>170.5</w:t>
            </w:r>
          </w:p>
        </w:tc>
      </w:tr>
      <w:tr w:rsidR="00422EFE" w:rsidRPr="00261B7A" w14:paraId="69B154E8" w14:textId="77777777" w:rsidTr="00D41492">
        <w:tc>
          <w:tcPr>
            <w:tcW w:w="624" w:type="dxa"/>
            <w:shd w:val="clear" w:color="auto" w:fill="FFFFFF"/>
            <w:tcMar>
              <w:top w:w="0" w:type="dxa"/>
              <w:left w:w="85" w:type="dxa"/>
              <w:bottom w:w="0" w:type="dxa"/>
              <w:right w:w="85" w:type="dxa"/>
            </w:tcMar>
          </w:tcPr>
          <w:p w14:paraId="0F364B20" w14:textId="77777777" w:rsidR="00422EFE" w:rsidRPr="00261B7A" w:rsidRDefault="00422EFE" w:rsidP="0058311A">
            <w:pPr>
              <w:pStyle w:val="TableText"/>
              <w:spacing w:before="40" w:after="40"/>
            </w:pPr>
            <w:r w:rsidRPr="00261B7A">
              <w:rPr>
                <w:rFonts w:eastAsia="Calibri"/>
              </w:rPr>
              <w:t>2005</w:t>
            </w:r>
          </w:p>
        </w:tc>
        <w:tc>
          <w:tcPr>
            <w:tcW w:w="1928" w:type="dxa"/>
            <w:shd w:val="clear" w:color="auto" w:fill="FFFFFF"/>
            <w:tcMar>
              <w:top w:w="0" w:type="dxa"/>
              <w:left w:w="85" w:type="dxa"/>
              <w:bottom w:w="0" w:type="dxa"/>
              <w:right w:w="85" w:type="dxa"/>
            </w:tcMar>
          </w:tcPr>
          <w:p w14:paraId="30ECB4F6" w14:textId="77777777" w:rsidR="00422EFE" w:rsidRPr="00261B7A" w:rsidRDefault="00422EFE" w:rsidP="0058311A">
            <w:pPr>
              <w:pStyle w:val="TableText"/>
              <w:spacing w:before="40" w:after="40"/>
              <w:jc w:val="right"/>
            </w:pPr>
            <w:r w:rsidRPr="00261B7A">
              <w:rPr>
                <w:rFonts w:eastAsia="Calibri"/>
                <w:color w:val="000000"/>
              </w:rPr>
              <w:t>72.6</w:t>
            </w:r>
          </w:p>
        </w:tc>
        <w:tc>
          <w:tcPr>
            <w:tcW w:w="1871" w:type="dxa"/>
            <w:shd w:val="clear" w:color="auto" w:fill="FFFFFF"/>
            <w:tcMar>
              <w:top w:w="0" w:type="dxa"/>
              <w:left w:w="85" w:type="dxa"/>
              <w:bottom w:w="0" w:type="dxa"/>
              <w:right w:w="85" w:type="dxa"/>
            </w:tcMar>
          </w:tcPr>
          <w:p w14:paraId="03E70CE6" w14:textId="77777777" w:rsidR="00422EFE" w:rsidRPr="00261B7A" w:rsidRDefault="00422EFE" w:rsidP="0058311A">
            <w:pPr>
              <w:pStyle w:val="TableText"/>
              <w:spacing w:before="40" w:after="40"/>
              <w:jc w:val="right"/>
            </w:pPr>
            <w:r w:rsidRPr="00261B7A">
              <w:rPr>
                <w:rFonts w:eastAsia="Calibri"/>
                <w:color w:val="000000"/>
              </w:rPr>
              <w:t>91.9</w:t>
            </w:r>
          </w:p>
        </w:tc>
        <w:tc>
          <w:tcPr>
            <w:tcW w:w="1871" w:type="dxa"/>
            <w:shd w:val="clear" w:color="auto" w:fill="FFFFFF"/>
            <w:tcMar>
              <w:top w:w="0" w:type="dxa"/>
              <w:left w:w="85" w:type="dxa"/>
              <w:bottom w:w="0" w:type="dxa"/>
              <w:right w:w="85" w:type="dxa"/>
            </w:tcMar>
          </w:tcPr>
          <w:p w14:paraId="51E68AA0" w14:textId="77777777" w:rsidR="00422EFE" w:rsidRPr="00261B7A" w:rsidRDefault="00422EFE" w:rsidP="0058311A">
            <w:pPr>
              <w:pStyle w:val="TableText"/>
              <w:spacing w:before="40" w:after="40"/>
              <w:jc w:val="right"/>
            </w:pPr>
            <w:r w:rsidRPr="00261B7A">
              <w:rPr>
                <w:rFonts w:eastAsia="Calibri"/>
                <w:color w:val="000000"/>
              </w:rPr>
              <w:t>5.9</w:t>
            </w:r>
          </w:p>
        </w:tc>
        <w:tc>
          <w:tcPr>
            <w:tcW w:w="1701" w:type="dxa"/>
            <w:shd w:val="clear" w:color="auto" w:fill="FFFFFF"/>
            <w:tcMar>
              <w:top w:w="0" w:type="dxa"/>
              <w:left w:w="85" w:type="dxa"/>
              <w:bottom w:w="0" w:type="dxa"/>
              <w:right w:w="85" w:type="dxa"/>
            </w:tcMar>
          </w:tcPr>
          <w:p w14:paraId="14610960" w14:textId="77777777" w:rsidR="00422EFE" w:rsidRPr="00261B7A" w:rsidRDefault="00422EFE" w:rsidP="0058311A">
            <w:pPr>
              <w:pStyle w:val="TableText"/>
              <w:spacing w:before="40" w:after="40"/>
              <w:jc w:val="right"/>
            </w:pPr>
            <w:r w:rsidRPr="00261B7A">
              <w:rPr>
                <w:rFonts w:eastAsia="Calibri"/>
                <w:color w:val="000000"/>
              </w:rPr>
              <w:t>170.4</w:t>
            </w:r>
          </w:p>
        </w:tc>
      </w:tr>
      <w:tr w:rsidR="00422EFE" w:rsidRPr="00261B7A" w14:paraId="6D2786C0" w14:textId="77777777" w:rsidTr="00D41492">
        <w:tc>
          <w:tcPr>
            <w:tcW w:w="624" w:type="dxa"/>
            <w:shd w:val="clear" w:color="auto" w:fill="FFFFFF"/>
            <w:tcMar>
              <w:top w:w="0" w:type="dxa"/>
              <w:left w:w="85" w:type="dxa"/>
              <w:bottom w:w="0" w:type="dxa"/>
              <w:right w:w="85" w:type="dxa"/>
            </w:tcMar>
          </w:tcPr>
          <w:p w14:paraId="5313287D" w14:textId="77777777" w:rsidR="00422EFE" w:rsidRPr="00261B7A" w:rsidRDefault="00422EFE" w:rsidP="0058311A">
            <w:pPr>
              <w:pStyle w:val="TableText"/>
              <w:spacing w:before="40" w:after="40"/>
            </w:pPr>
            <w:r w:rsidRPr="00261B7A">
              <w:rPr>
                <w:rFonts w:eastAsia="Calibri"/>
              </w:rPr>
              <w:t>2006</w:t>
            </w:r>
          </w:p>
        </w:tc>
        <w:tc>
          <w:tcPr>
            <w:tcW w:w="1928" w:type="dxa"/>
            <w:shd w:val="clear" w:color="auto" w:fill="FFFFFF"/>
            <w:tcMar>
              <w:top w:w="0" w:type="dxa"/>
              <w:left w:w="85" w:type="dxa"/>
              <w:bottom w:w="0" w:type="dxa"/>
              <w:right w:w="85" w:type="dxa"/>
            </w:tcMar>
          </w:tcPr>
          <w:p w14:paraId="210525F1" w14:textId="77777777" w:rsidR="00422EFE" w:rsidRPr="00261B7A" w:rsidRDefault="00422EFE" w:rsidP="0058311A">
            <w:pPr>
              <w:pStyle w:val="TableText"/>
              <w:spacing w:before="40" w:after="40"/>
              <w:jc w:val="right"/>
            </w:pPr>
            <w:r w:rsidRPr="00261B7A">
              <w:rPr>
                <w:rFonts w:eastAsia="Calibri"/>
                <w:color w:val="000000"/>
              </w:rPr>
              <w:t>71.3</w:t>
            </w:r>
          </w:p>
        </w:tc>
        <w:tc>
          <w:tcPr>
            <w:tcW w:w="1871" w:type="dxa"/>
            <w:shd w:val="clear" w:color="auto" w:fill="FFFFFF"/>
            <w:tcMar>
              <w:top w:w="0" w:type="dxa"/>
              <w:left w:w="85" w:type="dxa"/>
              <w:bottom w:w="0" w:type="dxa"/>
              <w:right w:w="85" w:type="dxa"/>
            </w:tcMar>
          </w:tcPr>
          <w:p w14:paraId="5D8D62EB" w14:textId="77777777" w:rsidR="00422EFE" w:rsidRPr="00261B7A" w:rsidRDefault="00422EFE" w:rsidP="0058311A">
            <w:pPr>
              <w:pStyle w:val="TableText"/>
              <w:spacing w:before="40" w:after="40"/>
              <w:jc w:val="right"/>
            </w:pPr>
            <w:r w:rsidRPr="00261B7A">
              <w:rPr>
                <w:rFonts w:eastAsia="Calibri"/>
                <w:color w:val="000000"/>
              </w:rPr>
              <w:t>86.5</w:t>
            </w:r>
          </w:p>
        </w:tc>
        <w:tc>
          <w:tcPr>
            <w:tcW w:w="1871" w:type="dxa"/>
            <w:shd w:val="clear" w:color="auto" w:fill="FFFFFF"/>
            <w:tcMar>
              <w:top w:w="0" w:type="dxa"/>
              <w:left w:w="85" w:type="dxa"/>
              <w:bottom w:w="0" w:type="dxa"/>
              <w:right w:w="85" w:type="dxa"/>
            </w:tcMar>
          </w:tcPr>
          <w:p w14:paraId="1418BF72" w14:textId="77777777" w:rsidR="00422EFE" w:rsidRPr="00261B7A" w:rsidRDefault="00422EFE" w:rsidP="0058311A">
            <w:pPr>
              <w:pStyle w:val="TableText"/>
              <w:spacing w:before="40" w:after="40"/>
              <w:jc w:val="right"/>
            </w:pPr>
            <w:r w:rsidRPr="00261B7A">
              <w:rPr>
                <w:rFonts w:eastAsia="Calibri"/>
                <w:color w:val="000000"/>
              </w:rPr>
              <w:t>6.4</w:t>
            </w:r>
          </w:p>
        </w:tc>
        <w:tc>
          <w:tcPr>
            <w:tcW w:w="1701" w:type="dxa"/>
            <w:shd w:val="clear" w:color="auto" w:fill="FFFFFF"/>
            <w:tcMar>
              <w:top w:w="0" w:type="dxa"/>
              <w:left w:w="85" w:type="dxa"/>
              <w:bottom w:w="0" w:type="dxa"/>
              <w:right w:w="85" w:type="dxa"/>
            </w:tcMar>
          </w:tcPr>
          <w:p w14:paraId="14752560" w14:textId="77777777" w:rsidR="00422EFE" w:rsidRPr="00261B7A" w:rsidRDefault="00422EFE" w:rsidP="0058311A">
            <w:pPr>
              <w:pStyle w:val="TableText"/>
              <w:spacing w:before="40" w:after="40"/>
              <w:jc w:val="right"/>
            </w:pPr>
            <w:r w:rsidRPr="00261B7A">
              <w:rPr>
                <w:rFonts w:eastAsia="Calibri"/>
                <w:color w:val="000000"/>
              </w:rPr>
              <w:t>164.3</w:t>
            </w:r>
          </w:p>
        </w:tc>
      </w:tr>
      <w:tr w:rsidR="00422EFE" w:rsidRPr="00261B7A" w14:paraId="31060D8A" w14:textId="77777777" w:rsidTr="00D41492">
        <w:tc>
          <w:tcPr>
            <w:tcW w:w="624" w:type="dxa"/>
            <w:shd w:val="clear" w:color="auto" w:fill="FFFFFF"/>
            <w:tcMar>
              <w:top w:w="0" w:type="dxa"/>
              <w:left w:w="85" w:type="dxa"/>
              <w:bottom w:w="0" w:type="dxa"/>
              <w:right w:w="85" w:type="dxa"/>
            </w:tcMar>
          </w:tcPr>
          <w:p w14:paraId="20695A67" w14:textId="77777777" w:rsidR="00422EFE" w:rsidRPr="00261B7A" w:rsidRDefault="00422EFE" w:rsidP="0058311A">
            <w:pPr>
              <w:pStyle w:val="TableText"/>
              <w:spacing w:before="40" w:after="40"/>
            </w:pPr>
            <w:r w:rsidRPr="00261B7A">
              <w:rPr>
                <w:rFonts w:eastAsia="Calibri"/>
              </w:rPr>
              <w:t>2007</w:t>
            </w:r>
          </w:p>
        </w:tc>
        <w:tc>
          <w:tcPr>
            <w:tcW w:w="1928" w:type="dxa"/>
            <w:shd w:val="clear" w:color="auto" w:fill="FFFFFF"/>
            <w:tcMar>
              <w:top w:w="0" w:type="dxa"/>
              <w:left w:w="85" w:type="dxa"/>
              <w:bottom w:w="0" w:type="dxa"/>
              <w:right w:w="85" w:type="dxa"/>
            </w:tcMar>
          </w:tcPr>
          <w:p w14:paraId="04BDF591" w14:textId="77777777" w:rsidR="00422EFE" w:rsidRPr="00261B7A" w:rsidRDefault="00422EFE" w:rsidP="0058311A">
            <w:pPr>
              <w:pStyle w:val="TableText"/>
              <w:spacing w:before="40" w:after="40"/>
              <w:jc w:val="right"/>
            </w:pPr>
            <w:r w:rsidRPr="00261B7A">
              <w:rPr>
                <w:rFonts w:eastAsia="Calibri"/>
                <w:color w:val="000000"/>
              </w:rPr>
              <w:t>72.5</w:t>
            </w:r>
          </w:p>
        </w:tc>
        <w:tc>
          <w:tcPr>
            <w:tcW w:w="1871" w:type="dxa"/>
            <w:shd w:val="clear" w:color="auto" w:fill="FFFFFF"/>
            <w:tcMar>
              <w:top w:w="0" w:type="dxa"/>
              <w:left w:w="85" w:type="dxa"/>
              <w:bottom w:w="0" w:type="dxa"/>
              <w:right w:w="85" w:type="dxa"/>
            </w:tcMar>
          </w:tcPr>
          <w:p w14:paraId="06826E7B" w14:textId="77777777" w:rsidR="00422EFE" w:rsidRPr="00261B7A" w:rsidRDefault="00422EFE" w:rsidP="0058311A">
            <w:pPr>
              <w:pStyle w:val="TableText"/>
              <w:spacing w:before="40" w:after="40"/>
              <w:jc w:val="right"/>
            </w:pPr>
            <w:r w:rsidRPr="00261B7A">
              <w:rPr>
                <w:rFonts w:eastAsia="Calibri"/>
                <w:color w:val="000000"/>
              </w:rPr>
              <w:t>86.7</w:t>
            </w:r>
          </w:p>
        </w:tc>
        <w:tc>
          <w:tcPr>
            <w:tcW w:w="1871" w:type="dxa"/>
            <w:shd w:val="clear" w:color="auto" w:fill="FFFFFF"/>
            <w:tcMar>
              <w:top w:w="0" w:type="dxa"/>
              <w:left w:w="85" w:type="dxa"/>
              <w:bottom w:w="0" w:type="dxa"/>
              <w:right w:w="85" w:type="dxa"/>
            </w:tcMar>
          </w:tcPr>
          <w:p w14:paraId="54D51E01" w14:textId="77777777" w:rsidR="00422EFE" w:rsidRPr="00261B7A" w:rsidRDefault="00422EFE" w:rsidP="0058311A">
            <w:pPr>
              <w:pStyle w:val="TableText"/>
              <w:spacing w:before="40" w:after="40"/>
              <w:jc w:val="right"/>
            </w:pPr>
            <w:r w:rsidRPr="00261B7A">
              <w:rPr>
                <w:rFonts w:eastAsia="Calibri"/>
                <w:color w:val="000000"/>
              </w:rPr>
              <w:t>6.7</w:t>
            </w:r>
          </w:p>
        </w:tc>
        <w:tc>
          <w:tcPr>
            <w:tcW w:w="1701" w:type="dxa"/>
            <w:shd w:val="clear" w:color="auto" w:fill="FFFFFF"/>
            <w:tcMar>
              <w:top w:w="0" w:type="dxa"/>
              <w:left w:w="85" w:type="dxa"/>
              <w:bottom w:w="0" w:type="dxa"/>
              <w:right w:w="85" w:type="dxa"/>
            </w:tcMar>
          </w:tcPr>
          <w:p w14:paraId="0EECE47B" w14:textId="77777777" w:rsidR="00422EFE" w:rsidRPr="00261B7A" w:rsidRDefault="00422EFE" w:rsidP="0058311A">
            <w:pPr>
              <w:pStyle w:val="TableText"/>
              <w:spacing w:before="40" w:after="40"/>
              <w:jc w:val="right"/>
            </w:pPr>
            <w:r w:rsidRPr="00261B7A">
              <w:rPr>
                <w:rFonts w:eastAsia="Calibri"/>
                <w:color w:val="000000"/>
              </w:rPr>
              <w:t>166.0</w:t>
            </w:r>
          </w:p>
        </w:tc>
      </w:tr>
      <w:tr w:rsidR="00422EFE" w:rsidRPr="00261B7A" w14:paraId="5E009270" w14:textId="77777777" w:rsidTr="00D41492">
        <w:tc>
          <w:tcPr>
            <w:tcW w:w="624" w:type="dxa"/>
            <w:shd w:val="clear" w:color="auto" w:fill="FFFFFF"/>
            <w:tcMar>
              <w:top w:w="0" w:type="dxa"/>
              <w:left w:w="85" w:type="dxa"/>
              <w:bottom w:w="0" w:type="dxa"/>
              <w:right w:w="85" w:type="dxa"/>
            </w:tcMar>
          </w:tcPr>
          <w:p w14:paraId="50422C37" w14:textId="77777777" w:rsidR="00422EFE" w:rsidRPr="00261B7A" w:rsidRDefault="00422EFE" w:rsidP="0058311A">
            <w:pPr>
              <w:pStyle w:val="TableText"/>
              <w:spacing w:before="40" w:after="40"/>
            </w:pPr>
            <w:r w:rsidRPr="00261B7A">
              <w:rPr>
                <w:rFonts w:eastAsia="Calibri"/>
              </w:rPr>
              <w:t>2008</w:t>
            </w:r>
          </w:p>
        </w:tc>
        <w:tc>
          <w:tcPr>
            <w:tcW w:w="1928" w:type="dxa"/>
            <w:shd w:val="clear" w:color="auto" w:fill="FFFFFF"/>
            <w:tcMar>
              <w:top w:w="0" w:type="dxa"/>
              <w:left w:w="85" w:type="dxa"/>
              <w:bottom w:w="0" w:type="dxa"/>
              <w:right w:w="85" w:type="dxa"/>
            </w:tcMar>
          </w:tcPr>
          <w:p w14:paraId="15A725F4" w14:textId="77777777" w:rsidR="00422EFE" w:rsidRPr="00261B7A" w:rsidRDefault="00422EFE" w:rsidP="0058311A">
            <w:pPr>
              <w:pStyle w:val="TableText"/>
              <w:spacing w:before="40" w:after="40"/>
              <w:jc w:val="right"/>
            </w:pPr>
            <w:r w:rsidRPr="00261B7A">
              <w:rPr>
                <w:rFonts w:eastAsia="Calibri"/>
                <w:color w:val="000000"/>
              </w:rPr>
              <w:t>72.8</w:t>
            </w:r>
          </w:p>
        </w:tc>
        <w:tc>
          <w:tcPr>
            <w:tcW w:w="1871" w:type="dxa"/>
            <w:shd w:val="clear" w:color="auto" w:fill="FFFFFF"/>
            <w:tcMar>
              <w:top w:w="0" w:type="dxa"/>
              <w:left w:w="85" w:type="dxa"/>
              <w:bottom w:w="0" w:type="dxa"/>
              <w:right w:w="85" w:type="dxa"/>
            </w:tcMar>
          </w:tcPr>
          <w:p w14:paraId="4867D1AA" w14:textId="77777777" w:rsidR="00422EFE" w:rsidRPr="00261B7A" w:rsidRDefault="00422EFE" w:rsidP="0058311A">
            <w:pPr>
              <w:pStyle w:val="TableText"/>
              <w:spacing w:before="40" w:after="40"/>
              <w:jc w:val="right"/>
            </w:pPr>
            <w:r w:rsidRPr="00261B7A">
              <w:rPr>
                <w:rFonts w:eastAsia="Calibri"/>
                <w:color w:val="000000"/>
              </w:rPr>
              <w:t>85.8</w:t>
            </w:r>
          </w:p>
        </w:tc>
        <w:tc>
          <w:tcPr>
            <w:tcW w:w="1871" w:type="dxa"/>
            <w:shd w:val="clear" w:color="auto" w:fill="FFFFFF"/>
            <w:tcMar>
              <w:top w:w="0" w:type="dxa"/>
              <w:left w:w="85" w:type="dxa"/>
              <w:bottom w:w="0" w:type="dxa"/>
              <w:right w:w="85" w:type="dxa"/>
            </w:tcMar>
          </w:tcPr>
          <w:p w14:paraId="51E3404C" w14:textId="77777777" w:rsidR="00422EFE" w:rsidRPr="00261B7A" w:rsidRDefault="00422EFE" w:rsidP="0058311A">
            <w:pPr>
              <w:pStyle w:val="TableText"/>
              <w:spacing w:before="40" w:after="40"/>
              <w:jc w:val="right"/>
            </w:pPr>
            <w:r w:rsidRPr="00261B7A">
              <w:rPr>
                <w:rFonts w:eastAsia="Calibri"/>
                <w:color w:val="000000"/>
              </w:rPr>
              <w:t>7.7</w:t>
            </w:r>
          </w:p>
        </w:tc>
        <w:tc>
          <w:tcPr>
            <w:tcW w:w="1701" w:type="dxa"/>
            <w:shd w:val="clear" w:color="auto" w:fill="FFFFFF"/>
            <w:tcMar>
              <w:top w:w="0" w:type="dxa"/>
              <w:left w:w="85" w:type="dxa"/>
              <w:bottom w:w="0" w:type="dxa"/>
              <w:right w:w="85" w:type="dxa"/>
            </w:tcMar>
          </w:tcPr>
          <w:p w14:paraId="16267FC6" w14:textId="77777777" w:rsidR="00422EFE" w:rsidRPr="00261B7A" w:rsidRDefault="00422EFE" w:rsidP="0058311A">
            <w:pPr>
              <w:pStyle w:val="TableText"/>
              <w:spacing w:before="40" w:after="40"/>
              <w:jc w:val="right"/>
            </w:pPr>
            <w:r w:rsidRPr="00261B7A">
              <w:rPr>
                <w:rFonts w:eastAsia="Calibri"/>
                <w:color w:val="000000"/>
              </w:rPr>
              <w:t>166.2</w:t>
            </w:r>
          </w:p>
        </w:tc>
      </w:tr>
      <w:tr w:rsidR="00422EFE" w:rsidRPr="00261B7A" w14:paraId="4734E575" w14:textId="77777777" w:rsidTr="00D41492">
        <w:tc>
          <w:tcPr>
            <w:tcW w:w="624" w:type="dxa"/>
            <w:shd w:val="clear" w:color="auto" w:fill="FFFFFF"/>
            <w:tcMar>
              <w:top w:w="0" w:type="dxa"/>
              <w:left w:w="85" w:type="dxa"/>
              <w:bottom w:w="0" w:type="dxa"/>
              <w:right w:w="85" w:type="dxa"/>
            </w:tcMar>
          </w:tcPr>
          <w:p w14:paraId="56FEC5C7" w14:textId="77777777" w:rsidR="00422EFE" w:rsidRPr="00261B7A" w:rsidRDefault="00422EFE" w:rsidP="0058311A">
            <w:pPr>
              <w:pStyle w:val="TableText"/>
              <w:spacing w:before="40" w:after="40"/>
            </w:pPr>
            <w:r w:rsidRPr="00261B7A">
              <w:rPr>
                <w:rFonts w:eastAsia="Calibri"/>
              </w:rPr>
              <w:t>2009</w:t>
            </w:r>
          </w:p>
        </w:tc>
        <w:tc>
          <w:tcPr>
            <w:tcW w:w="1928" w:type="dxa"/>
            <w:shd w:val="clear" w:color="auto" w:fill="FFFFFF"/>
            <w:tcMar>
              <w:top w:w="0" w:type="dxa"/>
              <w:left w:w="85" w:type="dxa"/>
              <w:bottom w:w="0" w:type="dxa"/>
              <w:right w:w="85" w:type="dxa"/>
            </w:tcMar>
          </w:tcPr>
          <w:p w14:paraId="06F63D23" w14:textId="77777777" w:rsidR="00422EFE" w:rsidRPr="00261B7A" w:rsidRDefault="00422EFE" w:rsidP="0058311A">
            <w:pPr>
              <w:pStyle w:val="TableText"/>
              <w:spacing w:before="40" w:after="40"/>
              <w:jc w:val="right"/>
            </w:pPr>
            <w:r w:rsidRPr="00261B7A">
              <w:rPr>
                <w:rFonts w:eastAsia="Calibri"/>
                <w:color w:val="000000"/>
              </w:rPr>
              <w:t>68.3</w:t>
            </w:r>
          </w:p>
        </w:tc>
        <w:tc>
          <w:tcPr>
            <w:tcW w:w="1871" w:type="dxa"/>
            <w:shd w:val="clear" w:color="auto" w:fill="FFFFFF"/>
            <w:tcMar>
              <w:top w:w="0" w:type="dxa"/>
              <w:left w:w="85" w:type="dxa"/>
              <w:bottom w:w="0" w:type="dxa"/>
              <w:right w:w="85" w:type="dxa"/>
            </w:tcMar>
          </w:tcPr>
          <w:p w14:paraId="2F941306" w14:textId="77777777" w:rsidR="00422EFE" w:rsidRPr="00261B7A" w:rsidRDefault="00422EFE" w:rsidP="0058311A">
            <w:pPr>
              <w:pStyle w:val="TableText"/>
              <w:spacing w:before="40" w:after="40"/>
              <w:jc w:val="right"/>
            </w:pPr>
            <w:r w:rsidRPr="00261B7A">
              <w:rPr>
                <w:rFonts w:eastAsia="Calibri"/>
                <w:color w:val="000000"/>
              </w:rPr>
              <w:t>87.0</w:t>
            </w:r>
          </w:p>
        </w:tc>
        <w:tc>
          <w:tcPr>
            <w:tcW w:w="1871" w:type="dxa"/>
            <w:shd w:val="clear" w:color="auto" w:fill="FFFFFF"/>
            <w:tcMar>
              <w:top w:w="0" w:type="dxa"/>
              <w:left w:w="85" w:type="dxa"/>
              <w:bottom w:w="0" w:type="dxa"/>
              <w:right w:w="85" w:type="dxa"/>
            </w:tcMar>
          </w:tcPr>
          <w:p w14:paraId="5EAAA691" w14:textId="77777777" w:rsidR="00422EFE" w:rsidRPr="00261B7A" w:rsidRDefault="00422EFE" w:rsidP="0058311A">
            <w:pPr>
              <w:pStyle w:val="TableText"/>
              <w:spacing w:before="40" w:after="40"/>
              <w:jc w:val="right"/>
            </w:pPr>
            <w:r w:rsidRPr="00261B7A">
              <w:rPr>
                <w:rFonts w:eastAsia="Calibri"/>
                <w:color w:val="000000"/>
              </w:rPr>
              <w:t>7.7</w:t>
            </w:r>
          </w:p>
        </w:tc>
        <w:tc>
          <w:tcPr>
            <w:tcW w:w="1701" w:type="dxa"/>
            <w:shd w:val="clear" w:color="auto" w:fill="FFFFFF"/>
            <w:tcMar>
              <w:top w:w="0" w:type="dxa"/>
              <w:left w:w="85" w:type="dxa"/>
              <w:bottom w:w="0" w:type="dxa"/>
              <w:right w:w="85" w:type="dxa"/>
            </w:tcMar>
          </w:tcPr>
          <w:p w14:paraId="53C4FD43" w14:textId="77777777" w:rsidR="00422EFE" w:rsidRPr="00261B7A" w:rsidRDefault="00422EFE" w:rsidP="0058311A">
            <w:pPr>
              <w:pStyle w:val="TableText"/>
              <w:spacing w:before="40" w:after="40"/>
              <w:jc w:val="right"/>
            </w:pPr>
            <w:r w:rsidRPr="00261B7A">
              <w:rPr>
                <w:rFonts w:eastAsia="Calibri"/>
                <w:color w:val="000000"/>
              </w:rPr>
              <w:t>163.0</w:t>
            </w:r>
          </w:p>
        </w:tc>
      </w:tr>
      <w:tr w:rsidR="00422EFE" w:rsidRPr="00261B7A" w14:paraId="0DDC83BB" w14:textId="77777777" w:rsidTr="00D41492">
        <w:tc>
          <w:tcPr>
            <w:tcW w:w="624" w:type="dxa"/>
            <w:shd w:val="clear" w:color="auto" w:fill="FFFFFF"/>
            <w:tcMar>
              <w:top w:w="0" w:type="dxa"/>
              <w:left w:w="85" w:type="dxa"/>
              <w:bottom w:w="0" w:type="dxa"/>
              <w:right w:w="85" w:type="dxa"/>
            </w:tcMar>
          </w:tcPr>
          <w:p w14:paraId="5353857B" w14:textId="77777777" w:rsidR="00422EFE" w:rsidRPr="00261B7A" w:rsidRDefault="00422EFE" w:rsidP="0058311A">
            <w:pPr>
              <w:pStyle w:val="TableText"/>
              <w:spacing w:before="40" w:after="40"/>
            </w:pPr>
            <w:r w:rsidRPr="00261B7A">
              <w:rPr>
                <w:rFonts w:eastAsia="Calibri"/>
              </w:rPr>
              <w:t>2010</w:t>
            </w:r>
          </w:p>
        </w:tc>
        <w:tc>
          <w:tcPr>
            <w:tcW w:w="1928" w:type="dxa"/>
            <w:shd w:val="clear" w:color="auto" w:fill="FFFFFF"/>
            <w:tcMar>
              <w:top w:w="0" w:type="dxa"/>
              <w:left w:w="85" w:type="dxa"/>
              <w:bottom w:w="0" w:type="dxa"/>
              <w:right w:w="85" w:type="dxa"/>
            </w:tcMar>
          </w:tcPr>
          <w:p w14:paraId="4634A091" w14:textId="77777777" w:rsidR="00422EFE" w:rsidRPr="00261B7A" w:rsidRDefault="00422EFE" w:rsidP="0058311A">
            <w:pPr>
              <w:pStyle w:val="TableText"/>
              <w:spacing w:before="40" w:after="40"/>
              <w:jc w:val="right"/>
            </w:pPr>
            <w:r w:rsidRPr="00261B7A">
              <w:rPr>
                <w:rFonts w:eastAsia="Calibri"/>
                <w:color w:val="000000"/>
              </w:rPr>
              <w:t>66.6</w:t>
            </w:r>
          </w:p>
        </w:tc>
        <w:tc>
          <w:tcPr>
            <w:tcW w:w="1871" w:type="dxa"/>
            <w:shd w:val="clear" w:color="auto" w:fill="FFFFFF"/>
            <w:tcMar>
              <w:top w:w="0" w:type="dxa"/>
              <w:left w:w="85" w:type="dxa"/>
              <w:bottom w:w="0" w:type="dxa"/>
              <w:right w:w="85" w:type="dxa"/>
            </w:tcMar>
          </w:tcPr>
          <w:p w14:paraId="6C00AF31" w14:textId="77777777" w:rsidR="00422EFE" w:rsidRPr="00261B7A" w:rsidRDefault="00422EFE" w:rsidP="0058311A">
            <w:pPr>
              <w:pStyle w:val="TableText"/>
              <w:spacing w:before="40" w:after="40"/>
              <w:jc w:val="right"/>
            </w:pPr>
            <w:r w:rsidRPr="00261B7A">
              <w:rPr>
                <w:rFonts w:eastAsia="Calibri"/>
                <w:color w:val="000000"/>
              </w:rPr>
              <w:t>91.2</w:t>
            </w:r>
          </w:p>
        </w:tc>
        <w:tc>
          <w:tcPr>
            <w:tcW w:w="1871" w:type="dxa"/>
            <w:shd w:val="clear" w:color="auto" w:fill="FFFFFF"/>
            <w:tcMar>
              <w:top w:w="0" w:type="dxa"/>
              <w:left w:w="85" w:type="dxa"/>
              <w:bottom w:w="0" w:type="dxa"/>
              <w:right w:w="85" w:type="dxa"/>
            </w:tcMar>
          </w:tcPr>
          <w:p w14:paraId="714DE6CE" w14:textId="77777777" w:rsidR="00422EFE" w:rsidRPr="00261B7A" w:rsidRDefault="00422EFE" w:rsidP="0058311A">
            <w:pPr>
              <w:pStyle w:val="TableText"/>
              <w:spacing w:before="40" w:after="40"/>
              <w:jc w:val="right"/>
            </w:pPr>
            <w:r w:rsidRPr="00261B7A">
              <w:rPr>
                <w:rFonts w:eastAsia="Calibri"/>
                <w:color w:val="000000"/>
              </w:rPr>
              <w:t>7.5</w:t>
            </w:r>
          </w:p>
        </w:tc>
        <w:tc>
          <w:tcPr>
            <w:tcW w:w="1701" w:type="dxa"/>
            <w:shd w:val="clear" w:color="auto" w:fill="FFFFFF"/>
            <w:tcMar>
              <w:top w:w="0" w:type="dxa"/>
              <w:left w:w="85" w:type="dxa"/>
              <w:bottom w:w="0" w:type="dxa"/>
              <w:right w:w="85" w:type="dxa"/>
            </w:tcMar>
          </w:tcPr>
          <w:p w14:paraId="549C5E5A" w14:textId="77777777" w:rsidR="00422EFE" w:rsidRPr="00261B7A" w:rsidRDefault="00422EFE" w:rsidP="0058311A">
            <w:pPr>
              <w:pStyle w:val="TableText"/>
              <w:spacing w:before="40" w:after="40"/>
              <w:jc w:val="right"/>
            </w:pPr>
            <w:r w:rsidRPr="00261B7A">
              <w:rPr>
                <w:rFonts w:eastAsia="Calibri"/>
                <w:color w:val="000000"/>
              </w:rPr>
              <w:t>165.3</w:t>
            </w:r>
          </w:p>
        </w:tc>
      </w:tr>
      <w:tr w:rsidR="00422EFE" w:rsidRPr="00261B7A" w14:paraId="327F9074" w14:textId="77777777" w:rsidTr="00D41492">
        <w:tc>
          <w:tcPr>
            <w:tcW w:w="624" w:type="dxa"/>
            <w:shd w:val="clear" w:color="auto" w:fill="FFFFFF"/>
            <w:tcMar>
              <w:top w:w="0" w:type="dxa"/>
              <w:left w:w="85" w:type="dxa"/>
              <w:bottom w:w="0" w:type="dxa"/>
              <w:right w:w="85" w:type="dxa"/>
            </w:tcMar>
          </w:tcPr>
          <w:p w14:paraId="5FB65906" w14:textId="77777777" w:rsidR="00422EFE" w:rsidRPr="00261B7A" w:rsidRDefault="00422EFE" w:rsidP="0058311A">
            <w:pPr>
              <w:pStyle w:val="TableText"/>
              <w:spacing w:before="40" w:after="40"/>
            </w:pPr>
            <w:r w:rsidRPr="00261B7A">
              <w:rPr>
                <w:rFonts w:eastAsia="Calibri"/>
              </w:rPr>
              <w:t>2011</w:t>
            </w:r>
          </w:p>
        </w:tc>
        <w:tc>
          <w:tcPr>
            <w:tcW w:w="1928" w:type="dxa"/>
            <w:shd w:val="clear" w:color="auto" w:fill="FFFFFF"/>
            <w:tcMar>
              <w:top w:w="0" w:type="dxa"/>
              <w:left w:w="85" w:type="dxa"/>
              <w:bottom w:w="0" w:type="dxa"/>
              <w:right w:w="85" w:type="dxa"/>
            </w:tcMar>
          </w:tcPr>
          <w:p w14:paraId="71822EF1" w14:textId="77777777" w:rsidR="00422EFE" w:rsidRPr="00261B7A" w:rsidRDefault="00422EFE" w:rsidP="0058311A">
            <w:pPr>
              <w:pStyle w:val="TableText"/>
              <w:spacing w:before="40" w:after="40"/>
              <w:jc w:val="right"/>
            </w:pPr>
            <w:r w:rsidRPr="00261B7A">
              <w:rPr>
                <w:rFonts w:eastAsia="Calibri"/>
                <w:color w:val="000000"/>
              </w:rPr>
              <w:t>65.6</w:t>
            </w:r>
          </w:p>
        </w:tc>
        <w:tc>
          <w:tcPr>
            <w:tcW w:w="1871" w:type="dxa"/>
            <w:shd w:val="clear" w:color="auto" w:fill="FFFFFF"/>
            <w:tcMar>
              <w:top w:w="0" w:type="dxa"/>
              <w:left w:w="85" w:type="dxa"/>
              <w:bottom w:w="0" w:type="dxa"/>
              <w:right w:w="85" w:type="dxa"/>
            </w:tcMar>
          </w:tcPr>
          <w:p w14:paraId="2A4FC5BE" w14:textId="77777777" w:rsidR="00422EFE" w:rsidRPr="00261B7A" w:rsidRDefault="00422EFE" w:rsidP="0058311A">
            <w:pPr>
              <w:pStyle w:val="TableText"/>
              <w:spacing w:before="40" w:after="40"/>
              <w:jc w:val="right"/>
            </w:pPr>
            <w:r w:rsidRPr="00261B7A">
              <w:rPr>
                <w:rFonts w:eastAsia="Calibri"/>
                <w:color w:val="000000"/>
              </w:rPr>
              <w:t>87.9</w:t>
            </w:r>
          </w:p>
        </w:tc>
        <w:tc>
          <w:tcPr>
            <w:tcW w:w="1871" w:type="dxa"/>
            <w:shd w:val="clear" w:color="auto" w:fill="FFFFFF"/>
            <w:tcMar>
              <w:top w:w="0" w:type="dxa"/>
              <w:left w:w="85" w:type="dxa"/>
              <w:bottom w:w="0" w:type="dxa"/>
              <w:right w:w="85" w:type="dxa"/>
            </w:tcMar>
          </w:tcPr>
          <w:p w14:paraId="5161DCF8" w14:textId="77777777" w:rsidR="00422EFE" w:rsidRPr="00261B7A" w:rsidRDefault="00422EFE" w:rsidP="0058311A">
            <w:pPr>
              <w:pStyle w:val="TableText"/>
              <w:spacing w:before="40" w:after="40"/>
              <w:jc w:val="right"/>
            </w:pPr>
            <w:r w:rsidRPr="00261B7A">
              <w:rPr>
                <w:rFonts w:eastAsia="Calibri"/>
                <w:color w:val="000000"/>
              </w:rPr>
              <w:t>4.1</w:t>
            </w:r>
          </w:p>
        </w:tc>
        <w:tc>
          <w:tcPr>
            <w:tcW w:w="1701" w:type="dxa"/>
            <w:shd w:val="clear" w:color="auto" w:fill="FFFFFF"/>
            <w:tcMar>
              <w:top w:w="0" w:type="dxa"/>
              <w:left w:w="85" w:type="dxa"/>
              <w:bottom w:w="0" w:type="dxa"/>
              <w:right w:w="85" w:type="dxa"/>
            </w:tcMar>
          </w:tcPr>
          <w:p w14:paraId="3266F2DB" w14:textId="77777777" w:rsidR="00422EFE" w:rsidRPr="00261B7A" w:rsidRDefault="00422EFE" w:rsidP="0058311A">
            <w:pPr>
              <w:pStyle w:val="TableText"/>
              <w:spacing w:before="40" w:after="40"/>
              <w:jc w:val="right"/>
            </w:pPr>
            <w:r w:rsidRPr="00261B7A">
              <w:rPr>
                <w:rFonts w:eastAsia="Calibri"/>
                <w:color w:val="000000"/>
              </w:rPr>
              <w:t>157.6</w:t>
            </w:r>
          </w:p>
        </w:tc>
      </w:tr>
      <w:tr w:rsidR="00422EFE" w:rsidRPr="00261B7A" w14:paraId="6E4FF503" w14:textId="77777777" w:rsidTr="00D41492">
        <w:tc>
          <w:tcPr>
            <w:tcW w:w="624" w:type="dxa"/>
            <w:shd w:val="clear" w:color="auto" w:fill="FFFFFF"/>
            <w:tcMar>
              <w:top w:w="0" w:type="dxa"/>
              <w:left w:w="85" w:type="dxa"/>
              <w:bottom w:w="0" w:type="dxa"/>
              <w:right w:w="85" w:type="dxa"/>
            </w:tcMar>
          </w:tcPr>
          <w:p w14:paraId="62D58443" w14:textId="77777777" w:rsidR="00422EFE" w:rsidRPr="00261B7A" w:rsidRDefault="00422EFE" w:rsidP="0058311A">
            <w:pPr>
              <w:pStyle w:val="TableText"/>
              <w:spacing w:before="40" w:after="40"/>
            </w:pPr>
            <w:r w:rsidRPr="00261B7A">
              <w:rPr>
                <w:rFonts w:eastAsia="Calibri"/>
              </w:rPr>
              <w:t>2012</w:t>
            </w:r>
          </w:p>
        </w:tc>
        <w:tc>
          <w:tcPr>
            <w:tcW w:w="1928" w:type="dxa"/>
            <w:shd w:val="clear" w:color="auto" w:fill="FFFFFF"/>
            <w:tcMar>
              <w:top w:w="0" w:type="dxa"/>
              <w:left w:w="85" w:type="dxa"/>
              <w:bottom w:w="0" w:type="dxa"/>
              <w:right w:w="85" w:type="dxa"/>
            </w:tcMar>
          </w:tcPr>
          <w:p w14:paraId="343FDB2D" w14:textId="77777777" w:rsidR="00422EFE" w:rsidRPr="00261B7A" w:rsidRDefault="00422EFE" w:rsidP="0058311A">
            <w:pPr>
              <w:pStyle w:val="TableText"/>
              <w:spacing w:before="40" w:after="40"/>
              <w:jc w:val="right"/>
            </w:pPr>
            <w:r w:rsidRPr="00261B7A">
              <w:rPr>
                <w:rFonts w:eastAsia="Calibri"/>
                <w:color w:val="000000"/>
              </w:rPr>
              <w:t>65.7</w:t>
            </w:r>
          </w:p>
        </w:tc>
        <w:tc>
          <w:tcPr>
            <w:tcW w:w="1871" w:type="dxa"/>
            <w:shd w:val="clear" w:color="auto" w:fill="FFFFFF"/>
            <w:tcMar>
              <w:top w:w="0" w:type="dxa"/>
              <w:left w:w="85" w:type="dxa"/>
              <w:bottom w:w="0" w:type="dxa"/>
              <w:right w:w="85" w:type="dxa"/>
            </w:tcMar>
          </w:tcPr>
          <w:p w14:paraId="10C82937" w14:textId="77777777" w:rsidR="00422EFE" w:rsidRPr="00261B7A" w:rsidRDefault="00422EFE" w:rsidP="0058311A">
            <w:pPr>
              <w:pStyle w:val="TableText"/>
              <w:spacing w:before="40" w:after="40"/>
              <w:jc w:val="right"/>
            </w:pPr>
            <w:r w:rsidRPr="00261B7A">
              <w:rPr>
                <w:rFonts w:eastAsia="Calibri"/>
                <w:color w:val="000000"/>
              </w:rPr>
              <w:t>84.9</w:t>
            </w:r>
          </w:p>
        </w:tc>
        <w:tc>
          <w:tcPr>
            <w:tcW w:w="1871" w:type="dxa"/>
            <w:shd w:val="clear" w:color="auto" w:fill="FFFFFF"/>
            <w:tcMar>
              <w:top w:w="0" w:type="dxa"/>
              <w:left w:w="85" w:type="dxa"/>
              <w:bottom w:w="0" w:type="dxa"/>
              <w:right w:w="85" w:type="dxa"/>
            </w:tcMar>
          </w:tcPr>
          <w:p w14:paraId="69E1CA9E" w14:textId="77777777" w:rsidR="00422EFE" w:rsidRPr="00261B7A" w:rsidRDefault="00422EFE" w:rsidP="0058311A">
            <w:pPr>
              <w:pStyle w:val="TableText"/>
              <w:spacing w:before="40" w:after="40"/>
              <w:jc w:val="right"/>
            </w:pPr>
            <w:r w:rsidRPr="00261B7A">
              <w:rPr>
                <w:rFonts w:eastAsia="Calibri"/>
                <w:color w:val="000000"/>
              </w:rPr>
              <w:t>3.3</w:t>
            </w:r>
          </w:p>
        </w:tc>
        <w:tc>
          <w:tcPr>
            <w:tcW w:w="1701" w:type="dxa"/>
            <w:shd w:val="clear" w:color="auto" w:fill="FFFFFF"/>
            <w:tcMar>
              <w:top w:w="0" w:type="dxa"/>
              <w:left w:w="85" w:type="dxa"/>
              <w:bottom w:w="0" w:type="dxa"/>
              <w:right w:w="85" w:type="dxa"/>
            </w:tcMar>
          </w:tcPr>
          <w:p w14:paraId="1626EC9D" w14:textId="77777777" w:rsidR="00422EFE" w:rsidRPr="00261B7A" w:rsidRDefault="00422EFE" w:rsidP="0058311A">
            <w:pPr>
              <w:pStyle w:val="TableText"/>
              <w:spacing w:before="40" w:after="40"/>
              <w:jc w:val="right"/>
            </w:pPr>
            <w:r w:rsidRPr="00261B7A">
              <w:rPr>
                <w:rFonts w:eastAsia="Calibri"/>
                <w:color w:val="000000"/>
              </w:rPr>
              <w:t>153.9</w:t>
            </w:r>
          </w:p>
        </w:tc>
      </w:tr>
      <w:tr w:rsidR="00422EFE" w:rsidRPr="00261B7A" w14:paraId="4F9E36B0" w14:textId="77777777" w:rsidTr="00D41492">
        <w:tc>
          <w:tcPr>
            <w:tcW w:w="624" w:type="dxa"/>
            <w:shd w:val="clear" w:color="auto" w:fill="FFFFFF"/>
            <w:tcMar>
              <w:top w:w="0" w:type="dxa"/>
              <w:left w:w="85" w:type="dxa"/>
              <w:bottom w:w="0" w:type="dxa"/>
              <w:right w:w="85" w:type="dxa"/>
            </w:tcMar>
          </w:tcPr>
          <w:p w14:paraId="0C7753DA" w14:textId="77777777" w:rsidR="00422EFE" w:rsidRPr="00261B7A" w:rsidRDefault="00422EFE" w:rsidP="0058311A">
            <w:pPr>
              <w:pStyle w:val="TableText"/>
              <w:spacing w:before="40" w:after="40"/>
            </w:pPr>
            <w:r w:rsidRPr="00261B7A">
              <w:rPr>
                <w:rFonts w:eastAsia="Calibri"/>
              </w:rPr>
              <w:t>2013</w:t>
            </w:r>
          </w:p>
        </w:tc>
        <w:tc>
          <w:tcPr>
            <w:tcW w:w="1928" w:type="dxa"/>
            <w:shd w:val="clear" w:color="auto" w:fill="FFFFFF"/>
            <w:tcMar>
              <w:top w:w="0" w:type="dxa"/>
              <w:left w:w="85" w:type="dxa"/>
              <w:bottom w:w="0" w:type="dxa"/>
              <w:right w:w="85" w:type="dxa"/>
            </w:tcMar>
          </w:tcPr>
          <w:p w14:paraId="58D88B11" w14:textId="77777777" w:rsidR="00422EFE" w:rsidRPr="00261B7A" w:rsidRDefault="00422EFE" w:rsidP="0058311A">
            <w:pPr>
              <w:pStyle w:val="TableText"/>
              <w:spacing w:before="40" w:after="40"/>
              <w:jc w:val="right"/>
            </w:pPr>
            <w:r w:rsidRPr="00261B7A">
              <w:rPr>
                <w:rFonts w:eastAsia="Calibri"/>
                <w:color w:val="000000"/>
              </w:rPr>
              <w:t>67.9</w:t>
            </w:r>
          </w:p>
        </w:tc>
        <w:tc>
          <w:tcPr>
            <w:tcW w:w="1871" w:type="dxa"/>
            <w:shd w:val="clear" w:color="auto" w:fill="FFFFFF"/>
            <w:tcMar>
              <w:top w:w="0" w:type="dxa"/>
              <w:left w:w="85" w:type="dxa"/>
              <w:bottom w:w="0" w:type="dxa"/>
              <w:right w:w="85" w:type="dxa"/>
            </w:tcMar>
          </w:tcPr>
          <w:p w14:paraId="065BDFD9" w14:textId="77777777" w:rsidR="00422EFE" w:rsidRPr="00261B7A" w:rsidRDefault="00422EFE" w:rsidP="0058311A">
            <w:pPr>
              <w:pStyle w:val="TableText"/>
              <w:spacing w:before="40" w:after="40"/>
              <w:jc w:val="right"/>
            </w:pPr>
            <w:r w:rsidRPr="00261B7A">
              <w:rPr>
                <w:rFonts w:eastAsia="Calibri"/>
                <w:color w:val="000000"/>
              </w:rPr>
              <w:t>79.1</w:t>
            </w:r>
          </w:p>
        </w:tc>
        <w:tc>
          <w:tcPr>
            <w:tcW w:w="1871" w:type="dxa"/>
            <w:shd w:val="clear" w:color="auto" w:fill="FFFFFF"/>
            <w:tcMar>
              <w:top w:w="0" w:type="dxa"/>
              <w:left w:w="85" w:type="dxa"/>
              <w:bottom w:w="0" w:type="dxa"/>
              <w:right w:w="85" w:type="dxa"/>
            </w:tcMar>
          </w:tcPr>
          <w:p w14:paraId="0DA7450D" w14:textId="77777777" w:rsidR="00422EFE" w:rsidRPr="00261B7A" w:rsidRDefault="00422EFE" w:rsidP="0058311A">
            <w:pPr>
              <w:pStyle w:val="TableText"/>
              <w:spacing w:before="40" w:after="40"/>
              <w:jc w:val="right"/>
            </w:pPr>
            <w:r w:rsidRPr="00261B7A">
              <w:rPr>
                <w:rFonts w:eastAsia="Calibri"/>
                <w:color w:val="000000"/>
              </w:rPr>
              <w:t>4.3</w:t>
            </w:r>
          </w:p>
        </w:tc>
        <w:tc>
          <w:tcPr>
            <w:tcW w:w="1701" w:type="dxa"/>
            <w:shd w:val="clear" w:color="auto" w:fill="FFFFFF"/>
            <w:tcMar>
              <w:top w:w="0" w:type="dxa"/>
              <w:left w:w="85" w:type="dxa"/>
              <w:bottom w:w="0" w:type="dxa"/>
              <w:right w:w="85" w:type="dxa"/>
            </w:tcMar>
          </w:tcPr>
          <w:p w14:paraId="6510C68F" w14:textId="77777777" w:rsidR="00422EFE" w:rsidRPr="00261B7A" w:rsidRDefault="00422EFE" w:rsidP="0058311A">
            <w:pPr>
              <w:pStyle w:val="TableText"/>
              <w:spacing w:before="40" w:after="40"/>
              <w:jc w:val="right"/>
            </w:pPr>
            <w:r w:rsidRPr="00261B7A">
              <w:rPr>
                <w:rFonts w:eastAsia="Calibri"/>
                <w:color w:val="000000"/>
              </w:rPr>
              <w:t>151.3</w:t>
            </w:r>
          </w:p>
        </w:tc>
      </w:tr>
      <w:tr w:rsidR="00422EFE" w:rsidRPr="00261B7A" w14:paraId="2CE84AB3" w14:textId="77777777" w:rsidTr="00D41492">
        <w:tc>
          <w:tcPr>
            <w:tcW w:w="624" w:type="dxa"/>
            <w:shd w:val="clear" w:color="auto" w:fill="FFFFFF"/>
            <w:tcMar>
              <w:top w:w="0" w:type="dxa"/>
              <w:left w:w="85" w:type="dxa"/>
              <w:bottom w:w="0" w:type="dxa"/>
              <w:right w:w="85" w:type="dxa"/>
            </w:tcMar>
          </w:tcPr>
          <w:p w14:paraId="03A4D682" w14:textId="77777777" w:rsidR="00422EFE" w:rsidRPr="00261B7A" w:rsidRDefault="00422EFE" w:rsidP="0058311A">
            <w:pPr>
              <w:pStyle w:val="TableText"/>
              <w:spacing w:before="40" w:after="40"/>
            </w:pPr>
            <w:r w:rsidRPr="00261B7A">
              <w:rPr>
                <w:rFonts w:eastAsia="Calibri"/>
              </w:rPr>
              <w:t>2014</w:t>
            </w:r>
          </w:p>
        </w:tc>
        <w:tc>
          <w:tcPr>
            <w:tcW w:w="1928" w:type="dxa"/>
            <w:shd w:val="clear" w:color="auto" w:fill="FFFFFF"/>
            <w:tcMar>
              <w:top w:w="0" w:type="dxa"/>
              <w:left w:w="85" w:type="dxa"/>
              <w:bottom w:w="0" w:type="dxa"/>
              <w:right w:w="85" w:type="dxa"/>
            </w:tcMar>
          </w:tcPr>
          <w:p w14:paraId="65C5E129" w14:textId="77777777" w:rsidR="00422EFE" w:rsidRPr="00261B7A" w:rsidRDefault="00422EFE" w:rsidP="0058311A">
            <w:pPr>
              <w:pStyle w:val="TableText"/>
              <w:spacing w:before="40" w:after="40"/>
              <w:jc w:val="right"/>
            </w:pPr>
            <w:r w:rsidRPr="00261B7A">
              <w:rPr>
                <w:rFonts w:eastAsia="Calibri"/>
                <w:color w:val="000000"/>
              </w:rPr>
              <w:t>68.7</w:t>
            </w:r>
          </w:p>
        </w:tc>
        <w:tc>
          <w:tcPr>
            <w:tcW w:w="1871" w:type="dxa"/>
            <w:shd w:val="clear" w:color="auto" w:fill="FFFFFF"/>
            <w:tcMar>
              <w:top w:w="0" w:type="dxa"/>
              <w:left w:w="85" w:type="dxa"/>
              <w:bottom w:w="0" w:type="dxa"/>
              <w:right w:w="85" w:type="dxa"/>
            </w:tcMar>
          </w:tcPr>
          <w:p w14:paraId="735BDAFA" w14:textId="77777777" w:rsidR="00422EFE" w:rsidRPr="00261B7A" w:rsidRDefault="00422EFE" w:rsidP="0058311A">
            <w:pPr>
              <w:pStyle w:val="TableText"/>
              <w:spacing w:before="40" w:after="40"/>
              <w:jc w:val="right"/>
            </w:pPr>
            <w:r w:rsidRPr="00261B7A">
              <w:rPr>
                <w:rFonts w:eastAsia="Calibri"/>
                <w:color w:val="000000"/>
              </w:rPr>
              <w:t>77.5</w:t>
            </w:r>
          </w:p>
        </w:tc>
        <w:tc>
          <w:tcPr>
            <w:tcW w:w="1871" w:type="dxa"/>
            <w:shd w:val="clear" w:color="auto" w:fill="FFFFFF"/>
            <w:tcMar>
              <w:top w:w="0" w:type="dxa"/>
              <w:left w:w="85" w:type="dxa"/>
              <w:bottom w:w="0" w:type="dxa"/>
              <w:right w:w="85" w:type="dxa"/>
            </w:tcMar>
          </w:tcPr>
          <w:p w14:paraId="25EC970B" w14:textId="77777777" w:rsidR="00422EFE" w:rsidRPr="00261B7A" w:rsidRDefault="00422EFE" w:rsidP="0058311A">
            <w:pPr>
              <w:pStyle w:val="TableText"/>
              <w:spacing w:before="40" w:after="40"/>
              <w:jc w:val="right"/>
            </w:pPr>
            <w:r w:rsidRPr="00261B7A">
              <w:rPr>
                <w:rFonts w:eastAsia="Calibri"/>
                <w:color w:val="000000"/>
              </w:rPr>
              <w:t>5.5</w:t>
            </w:r>
          </w:p>
        </w:tc>
        <w:tc>
          <w:tcPr>
            <w:tcW w:w="1701" w:type="dxa"/>
            <w:shd w:val="clear" w:color="auto" w:fill="FFFFFF"/>
            <w:tcMar>
              <w:top w:w="0" w:type="dxa"/>
              <w:left w:w="85" w:type="dxa"/>
              <w:bottom w:w="0" w:type="dxa"/>
              <w:right w:w="85" w:type="dxa"/>
            </w:tcMar>
          </w:tcPr>
          <w:p w14:paraId="006B3BF8" w14:textId="77777777" w:rsidR="00422EFE" w:rsidRPr="00261B7A" w:rsidRDefault="00422EFE" w:rsidP="0058311A">
            <w:pPr>
              <w:pStyle w:val="TableText"/>
              <w:spacing w:before="40" w:after="40"/>
              <w:jc w:val="right"/>
            </w:pPr>
            <w:r w:rsidRPr="00261B7A">
              <w:rPr>
                <w:rFonts w:eastAsia="Calibri"/>
                <w:color w:val="000000"/>
              </w:rPr>
              <w:t>151.8</w:t>
            </w:r>
          </w:p>
        </w:tc>
      </w:tr>
      <w:tr w:rsidR="00422EFE" w:rsidRPr="00261B7A" w14:paraId="1F5759AF" w14:textId="77777777" w:rsidTr="00D41492">
        <w:tc>
          <w:tcPr>
            <w:tcW w:w="624" w:type="dxa"/>
            <w:shd w:val="clear" w:color="auto" w:fill="FFFFFF"/>
            <w:tcMar>
              <w:top w:w="0" w:type="dxa"/>
              <w:left w:w="85" w:type="dxa"/>
              <w:bottom w:w="0" w:type="dxa"/>
              <w:right w:w="85" w:type="dxa"/>
            </w:tcMar>
          </w:tcPr>
          <w:p w14:paraId="668671F1" w14:textId="77777777" w:rsidR="00422EFE" w:rsidRPr="00261B7A" w:rsidRDefault="00422EFE" w:rsidP="0058311A">
            <w:pPr>
              <w:pStyle w:val="TableText"/>
              <w:spacing w:before="40" w:after="40"/>
            </w:pPr>
            <w:r w:rsidRPr="00261B7A">
              <w:rPr>
                <w:rFonts w:eastAsia="Calibri"/>
              </w:rPr>
              <w:t>2015</w:t>
            </w:r>
          </w:p>
        </w:tc>
        <w:tc>
          <w:tcPr>
            <w:tcW w:w="1928" w:type="dxa"/>
            <w:shd w:val="clear" w:color="auto" w:fill="FFFFFF"/>
            <w:tcMar>
              <w:top w:w="0" w:type="dxa"/>
              <w:left w:w="85" w:type="dxa"/>
              <w:bottom w:w="0" w:type="dxa"/>
              <w:right w:w="85" w:type="dxa"/>
            </w:tcMar>
          </w:tcPr>
          <w:p w14:paraId="4ECE29BE" w14:textId="77777777" w:rsidR="00422EFE" w:rsidRPr="00261B7A" w:rsidRDefault="00422EFE" w:rsidP="0058311A">
            <w:pPr>
              <w:pStyle w:val="TableText"/>
              <w:spacing w:before="40" w:after="40"/>
              <w:jc w:val="right"/>
            </w:pPr>
            <w:r w:rsidRPr="00261B7A">
              <w:rPr>
                <w:rFonts w:eastAsia="Calibri"/>
                <w:color w:val="000000"/>
              </w:rPr>
              <w:t>71.7</w:t>
            </w:r>
          </w:p>
        </w:tc>
        <w:tc>
          <w:tcPr>
            <w:tcW w:w="1871" w:type="dxa"/>
            <w:shd w:val="clear" w:color="auto" w:fill="FFFFFF"/>
            <w:tcMar>
              <w:top w:w="0" w:type="dxa"/>
              <w:left w:w="85" w:type="dxa"/>
              <w:bottom w:w="0" w:type="dxa"/>
              <w:right w:w="85" w:type="dxa"/>
            </w:tcMar>
          </w:tcPr>
          <w:p w14:paraId="5624317E" w14:textId="77777777" w:rsidR="00422EFE" w:rsidRPr="00261B7A" w:rsidRDefault="00422EFE" w:rsidP="0058311A">
            <w:pPr>
              <w:pStyle w:val="TableText"/>
              <w:spacing w:before="40" w:after="40"/>
              <w:jc w:val="right"/>
            </w:pPr>
            <w:r w:rsidRPr="00261B7A">
              <w:rPr>
                <w:rFonts w:eastAsia="Calibri"/>
                <w:color w:val="000000"/>
              </w:rPr>
              <w:t>78.6</w:t>
            </w:r>
          </w:p>
        </w:tc>
        <w:tc>
          <w:tcPr>
            <w:tcW w:w="1871" w:type="dxa"/>
            <w:shd w:val="clear" w:color="auto" w:fill="FFFFFF"/>
            <w:tcMar>
              <w:top w:w="0" w:type="dxa"/>
              <w:left w:w="85" w:type="dxa"/>
              <w:bottom w:w="0" w:type="dxa"/>
              <w:right w:w="85" w:type="dxa"/>
            </w:tcMar>
          </w:tcPr>
          <w:p w14:paraId="458B95F3" w14:textId="77777777" w:rsidR="00422EFE" w:rsidRPr="00261B7A" w:rsidRDefault="00422EFE" w:rsidP="0058311A">
            <w:pPr>
              <w:pStyle w:val="TableText"/>
              <w:spacing w:before="40" w:after="40"/>
              <w:jc w:val="right"/>
            </w:pPr>
            <w:r w:rsidRPr="00261B7A">
              <w:rPr>
                <w:rFonts w:eastAsia="Calibri"/>
                <w:color w:val="000000"/>
              </w:rPr>
              <w:t>4.0</w:t>
            </w:r>
          </w:p>
        </w:tc>
        <w:tc>
          <w:tcPr>
            <w:tcW w:w="1701" w:type="dxa"/>
            <w:shd w:val="clear" w:color="auto" w:fill="FFFFFF"/>
            <w:tcMar>
              <w:top w:w="0" w:type="dxa"/>
              <w:left w:w="85" w:type="dxa"/>
              <w:bottom w:w="0" w:type="dxa"/>
              <w:right w:w="85" w:type="dxa"/>
            </w:tcMar>
          </w:tcPr>
          <w:p w14:paraId="170469B1" w14:textId="77777777" w:rsidR="00422EFE" w:rsidRPr="00261B7A" w:rsidRDefault="00422EFE" w:rsidP="0058311A">
            <w:pPr>
              <w:pStyle w:val="TableText"/>
              <w:spacing w:before="40" w:after="40"/>
              <w:jc w:val="right"/>
            </w:pPr>
            <w:r w:rsidRPr="00261B7A">
              <w:rPr>
                <w:rFonts w:eastAsia="Calibri"/>
                <w:color w:val="000000"/>
              </w:rPr>
              <w:t>154.4</w:t>
            </w:r>
          </w:p>
        </w:tc>
      </w:tr>
      <w:tr w:rsidR="00422EFE" w:rsidRPr="00261B7A" w14:paraId="5B893F74" w14:textId="77777777" w:rsidTr="00D41492">
        <w:tc>
          <w:tcPr>
            <w:tcW w:w="624" w:type="dxa"/>
            <w:shd w:val="clear" w:color="auto" w:fill="FFFFFF"/>
            <w:tcMar>
              <w:top w:w="0" w:type="dxa"/>
              <w:left w:w="85" w:type="dxa"/>
              <w:bottom w:w="0" w:type="dxa"/>
              <w:right w:w="85" w:type="dxa"/>
            </w:tcMar>
          </w:tcPr>
          <w:p w14:paraId="751852C2" w14:textId="77777777" w:rsidR="00422EFE" w:rsidRPr="00261B7A" w:rsidRDefault="00422EFE" w:rsidP="0058311A">
            <w:pPr>
              <w:pStyle w:val="TableText"/>
              <w:spacing w:before="40" w:after="40"/>
            </w:pPr>
            <w:r w:rsidRPr="00261B7A">
              <w:rPr>
                <w:rFonts w:eastAsia="Calibri"/>
              </w:rPr>
              <w:t>2016</w:t>
            </w:r>
          </w:p>
        </w:tc>
        <w:tc>
          <w:tcPr>
            <w:tcW w:w="1928" w:type="dxa"/>
            <w:shd w:val="clear" w:color="auto" w:fill="FFFFFF"/>
            <w:tcMar>
              <w:top w:w="0" w:type="dxa"/>
              <w:left w:w="85" w:type="dxa"/>
              <w:bottom w:w="0" w:type="dxa"/>
              <w:right w:w="85" w:type="dxa"/>
            </w:tcMar>
          </w:tcPr>
          <w:p w14:paraId="412BC18E" w14:textId="77777777" w:rsidR="00422EFE" w:rsidRPr="00261B7A" w:rsidRDefault="00422EFE" w:rsidP="0058311A">
            <w:pPr>
              <w:pStyle w:val="TableText"/>
              <w:spacing w:before="40" w:after="40"/>
              <w:jc w:val="right"/>
            </w:pPr>
            <w:r w:rsidRPr="00261B7A">
              <w:rPr>
                <w:rFonts w:eastAsia="Calibri"/>
                <w:color w:val="000000"/>
              </w:rPr>
              <w:t>69.2</w:t>
            </w:r>
          </w:p>
        </w:tc>
        <w:tc>
          <w:tcPr>
            <w:tcW w:w="1871" w:type="dxa"/>
            <w:shd w:val="clear" w:color="auto" w:fill="FFFFFF"/>
            <w:tcMar>
              <w:top w:w="0" w:type="dxa"/>
              <w:left w:w="85" w:type="dxa"/>
              <w:bottom w:w="0" w:type="dxa"/>
              <w:right w:w="85" w:type="dxa"/>
            </w:tcMar>
          </w:tcPr>
          <w:p w14:paraId="46AD3FC6" w14:textId="77777777" w:rsidR="00422EFE" w:rsidRPr="00261B7A" w:rsidRDefault="00422EFE" w:rsidP="0058311A">
            <w:pPr>
              <w:pStyle w:val="TableText"/>
              <w:spacing w:before="40" w:after="40"/>
              <w:jc w:val="right"/>
            </w:pPr>
            <w:r w:rsidRPr="00261B7A">
              <w:rPr>
                <w:rFonts w:eastAsia="Calibri"/>
                <w:color w:val="000000"/>
              </w:rPr>
              <w:t>78.4</w:t>
            </w:r>
          </w:p>
        </w:tc>
        <w:tc>
          <w:tcPr>
            <w:tcW w:w="1871" w:type="dxa"/>
            <w:shd w:val="clear" w:color="auto" w:fill="FFFFFF"/>
            <w:tcMar>
              <w:top w:w="0" w:type="dxa"/>
              <w:left w:w="85" w:type="dxa"/>
              <w:bottom w:w="0" w:type="dxa"/>
              <w:right w:w="85" w:type="dxa"/>
            </w:tcMar>
          </w:tcPr>
          <w:p w14:paraId="7F746AF0" w14:textId="77777777" w:rsidR="00422EFE" w:rsidRPr="00261B7A" w:rsidRDefault="00422EFE" w:rsidP="0058311A">
            <w:pPr>
              <w:pStyle w:val="TableText"/>
              <w:spacing w:before="40" w:after="40"/>
              <w:jc w:val="right"/>
            </w:pPr>
            <w:r w:rsidRPr="00261B7A">
              <w:rPr>
                <w:rFonts w:eastAsia="Calibri"/>
                <w:color w:val="000000"/>
              </w:rPr>
              <w:t>5.4</w:t>
            </w:r>
          </w:p>
        </w:tc>
        <w:tc>
          <w:tcPr>
            <w:tcW w:w="1701" w:type="dxa"/>
            <w:shd w:val="clear" w:color="auto" w:fill="FFFFFF"/>
            <w:tcMar>
              <w:top w:w="0" w:type="dxa"/>
              <w:left w:w="85" w:type="dxa"/>
              <w:bottom w:w="0" w:type="dxa"/>
              <w:right w:w="85" w:type="dxa"/>
            </w:tcMar>
          </w:tcPr>
          <w:p w14:paraId="30377B7D" w14:textId="77777777" w:rsidR="00422EFE" w:rsidRPr="00261B7A" w:rsidRDefault="00422EFE" w:rsidP="0058311A">
            <w:pPr>
              <w:pStyle w:val="TableText"/>
              <w:spacing w:before="40" w:after="40"/>
              <w:jc w:val="right"/>
            </w:pPr>
            <w:r w:rsidRPr="00261B7A">
              <w:rPr>
                <w:rFonts w:eastAsia="Calibri"/>
                <w:color w:val="000000"/>
              </w:rPr>
              <w:t>153.0</w:t>
            </w:r>
          </w:p>
        </w:tc>
      </w:tr>
      <w:tr w:rsidR="00422EFE" w:rsidRPr="00261B7A" w14:paraId="53BEA89C" w14:textId="77777777" w:rsidTr="00D41492">
        <w:tc>
          <w:tcPr>
            <w:tcW w:w="624" w:type="dxa"/>
            <w:shd w:val="clear" w:color="auto" w:fill="FFFFFF"/>
            <w:tcMar>
              <w:top w:w="0" w:type="dxa"/>
              <w:left w:w="85" w:type="dxa"/>
              <w:bottom w:w="0" w:type="dxa"/>
              <w:right w:w="85" w:type="dxa"/>
            </w:tcMar>
          </w:tcPr>
          <w:p w14:paraId="3B542533" w14:textId="77777777" w:rsidR="00422EFE" w:rsidRPr="00261B7A" w:rsidRDefault="00422EFE" w:rsidP="0058311A">
            <w:pPr>
              <w:pStyle w:val="TableText"/>
              <w:spacing w:before="40" w:after="40"/>
            </w:pPr>
            <w:r w:rsidRPr="00261B7A">
              <w:rPr>
                <w:rFonts w:eastAsia="Calibri"/>
              </w:rPr>
              <w:t>2017</w:t>
            </w:r>
          </w:p>
        </w:tc>
        <w:tc>
          <w:tcPr>
            <w:tcW w:w="1928" w:type="dxa"/>
            <w:shd w:val="clear" w:color="auto" w:fill="FFFFFF"/>
            <w:tcMar>
              <w:top w:w="0" w:type="dxa"/>
              <w:left w:w="85" w:type="dxa"/>
              <w:bottom w:w="0" w:type="dxa"/>
              <w:right w:w="85" w:type="dxa"/>
            </w:tcMar>
          </w:tcPr>
          <w:p w14:paraId="2623EA20" w14:textId="77777777" w:rsidR="00422EFE" w:rsidRPr="00261B7A" w:rsidRDefault="00422EFE" w:rsidP="0058311A">
            <w:pPr>
              <w:pStyle w:val="TableText"/>
              <w:spacing w:before="40" w:after="40"/>
              <w:jc w:val="right"/>
            </w:pPr>
            <w:r w:rsidRPr="00261B7A">
              <w:rPr>
                <w:rFonts w:eastAsia="Calibri"/>
                <w:color w:val="000000"/>
              </w:rPr>
              <w:t>71.2</w:t>
            </w:r>
          </w:p>
        </w:tc>
        <w:tc>
          <w:tcPr>
            <w:tcW w:w="1871" w:type="dxa"/>
            <w:shd w:val="clear" w:color="auto" w:fill="FFFFFF"/>
            <w:tcMar>
              <w:top w:w="0" w:type="dxa"/>
              <w:left w:w="85" w:type="dxa"/>
              <w:bottom w:w="0" w:type="dxa"/>
              <w:right w:w="85" w:type="dxa"/>
            </w:tcMar>
          </w:tcPr>
          <w:p w14:paraId="4AD983DF" w14:textId="77777777" w:rsidR="00422EFE" w:rsidRPr="00261B7A" w:rsidRDefault="00422EFE" w:rsidP="0058311A">
            <w:pPr>
              <w:pStyle w:val="TableText"/>
              <w:spacing w:before="40" w:after="40"/>
              <w:jc w:val="right"/>
            </w:pPr>
            <w:r w:rsidRPr="00261B7A">
              <w:rPr>
                <w:rFonts w:eastAsia="Calibri"/>
                <w:color w:val="000000"/>
              </w:rPr>
              <w:t>78.6</w:t>
            </w:r>
          </w:p>
        </w:tc>
        <w:tc>
          <w:tcPr>
            <w:tcW w:w="1871" w:type="dxa"/>
            <w:shd w:val="clear" w:color="auto" w:fill="FFFFFF"/>
            <w:tcMar>
              <w:top w:w="0" w:type="dxa"/>
              <w:left w:w="85" w:type="dxa"/>
              <w:bottom w:w="0" w:type="dxa"/>
              <w:right w:w="85" w:type="dxa"/>
            </w:tcMar>
          </w:tcPr>
          <w:p w14:paraId="15A4EF56" w14:textId="77777777" w:rsidR="00422EFE" w:rsidRPr="00261B7A" w:rsidRDefault="00422EFE" w:rsidP="0058311A">
            <w:pPr>
              <w:pStyle w:val="TableText"/>
              <w:spacing w:before="40" w:after="40"/>
              <w:jc w:val="right"/>
            </w:pPr>
            <w:r w:rsidRPr="00261B7A">
              <w:rPr>
                <w:rFonts w:eastAsia="Calibri"/>
                <w:color w:val="000000"/>
              </w:rPr>
              <w:t>4.9</w:t>
            </w:r>
          </w:p>
        </w:tc>
        <w:tc>
          <w:tcPr>
            <w:tcW w:w="1701" w:type="dxa"/>
            <w:shd w:val="clear" w:color="auto" w:fill="FFFFFF"/>
            <w:tcMar>
              <w:top w:w="0" w:type="dxa"/>
              <w:left w:w="85" w:type="dxa"/>
              <w:bottom w:w="0" w:type="dxa"/>
              <w:right w:w="85" w:type="dxa"/>
            </w:tcMar>
          </w:tcPr>
          <w:p w14:paraId="737E6A3D" w14:textId="77777777" w:rsidR="00422EFE" w:rsidRPr="00261B7A" w:rsidRDefault="00422EFE" w:rsidP="0058311A">
            <w:pPr>
              <w:pStyle w:val="TableText"/>
              <w:spacing w:before="40" w:after="40"/>
              <w:jc w:val="right"/>
            </w:pPr>
            <w:r w:rsidRPr="00261B7A">
              <w:rPr>
                <w:rFonts w:eastAsia="Calibri"/>
                <w:color w:val="000000"/>
              </w:rPr>
              <w:t>154.7</w:t>
            </w:r>
          </w:p>
        </w:tc>
      </w:tr>
      <w:tr w:rsidR="00422EFE" w:rsidRPr="00261B7A" w14:paraId="7FC29EDD" w14:textId="77777777" w:rsidTr="00D41492">
        <w:tc>
          <w:tcPr>
            <w:tcW w:w="624" w:type="dxa"/>
            <w:shd w:val="clear" w:color="auto" w:fill="FFFFFF"/>
            <w:tcMar>
              <w:top w:w="0" w:type="dxa"/>
              <w:left w:w="85" w:type="dxa"/>
              <w:bottom w:w="0" w:type="dxa"/>
              <w:right w:w="85" w:type="dxa"/>
            </w:tcMar>
          </w:tcPr>
          <w:p w14:paraId="54574BA7" w14:textId="77777777" w:rsidR="00422EFE" w:rsidRPr="00261B7A" w:rsidRDefault="00422EFE" w:rsidP="0058311A">
            <w:pPr>
              <w:pStyle w:val="TableText"/>
              <w:spacing w:before="40" w:after="40"/>
            </w:pPr>
            <w:r w:rsidRPr="00261B7A">
              <w:rPr>
                <w:rFonts w:eastAsia="Calibri"/>
              </w:rPr>
              <w:t>2018</w:t>
            </w:r>
          </w:p>
        </w:tc>
        <w:tc>
          <w:tcPr>
            <w:tcW w:w="1928" w:type="dxa"/>
            <w:shd w:val="clear" w:color="auto" w:fill="FFFFFF"/>
            <w:tcMar>
              <w:top w:w="0" w:type="dxa"/>
              <w:left w:w="85" w:type="dxa"/>
              <w:bottom w:w="0" w:type="dxa"/>
              <w:right w:w="85" w:type="dxa"/>
            </w:tcMar>
          </w:tcPr>
          <w:p w14:paraId="33FE1D7C" w14:textId="77777777" w:rsidR="00422EFE" w:rsidRPr="00261B7A" w:rsidRDefault="00422EFE" w:rsidP="0058311A">
            <w:pPr>
              <w:pStyle w:val="TableText"/>
              <w:spacing w:before="40" w:after="40"/>
              <w:jc w:val="right"/>
            </w:pPr>
            <w:r w:rsidRPr="00261B7A">
              <w:rPr>
                <w:rFonts w:eastAsia="Calibri"/>
                <w:color w:val="000000"/>
              </w:rPr>
              <w:t>72.7</w:t>
            </w:r>
          </w:p>
        </w:tc>
        <w:tc>
          <w:tcPr>
            <w:tcW w:w="1871" w:type="dxa"/>
            <w:shd w:val="clear" w:color="auto" w:fill="FFFFFF"/>
            <w:tcMar>
              <w:top w:w="0" w:type="dxa"/>
              <w:left w:w="85" w:type="dxa"/>
              <w:bottom w:w="0" w:type="dxa"/>
              <w:right w:w="85" w:type="dxa"/>
            </w:tcMar>
          </w:tcPr>
          <w:p w14:paraId="36BDF364" w14:textId="77777777" w:rsidR="00422EFE" w:rsidRPr="00261B7A" w:rsidRDefault="00422EFE" w:rsidP="0058311A">
            <w:pPr>
              <w:pStyle w:val="TableText"/>
              <w:spacing w:before="40" w:after="40"/>
              <w:jc w:val="right"/>
            </w:pPr>
            <w:r w:rsidRPr="00261B7A">
              <w:rPr>
                <w:rFonts w:eastAsia="Calibri"/>
                <w:color w:val="000000"/>
              </w:rPr>
              <w:t>77.2</w:t>
            </w:r>
          </w:p>
        </w:tc>
        <w:tc>
          <w:tcPr>
            <w:tcW w:w="1871" w:type="dxa"/>
            <w:shd w:val="clear" w:color="auto" w:fill="FFFFFF"/>
            <w:tcMar>
              <w:top w:w="0" w:type="dxa"/>
              <w:left w:w="85" w:type="dxa"/>
              <w:bottom w:w="0" w:type="dxa"/>
              <w:right w:w="85" w:type="dxa"/>
            </w:tcMar>
          </w:tcPr>
          <w:p w14:paraId="302F18E6" w14:textId="77777777" w:rsidR="00422EFE" w:rsidRPr="00261B7A" w:rsidRDefault="00422EFE" w:rsidP="0058311A">
            <w:pPr>
              <w:pStyle w:val="TableText"/>
              <w:spacing w:before="40" w:after="40"/>
              <w:jc w:val="right"/>
            </w:pPr>
            <w:r w:rsidRPr="00261B7A">
              <w:rPr>
                <w:rFonts w:eastAsia="Calibri"/>
                <w:color w:val="000000"/>
              </w:rPr>
              <w:t>5.2</w:t>
            </w:r>
          </w:p>
        </w:tc>
        <w:tc>
          <w:tcPr>
            <w:tcW w:w="1701" w:type="dxa"/>
            <w:shd w:val="clear" w:color="auto" w:fill="FFFFFF"/>
            <w:tcMar>
              <w:top w:w="0" w:type="dxa"/>
              <w:left w:w="85" w:type="dxa"/>
              <w:bottom w:w="0" w:type="dxa"/>
              <w:right w:w="85" w:type="dxa"/>
            </w:tcMar>
          </w:tcPr>
          <w:p w14:paraId="19DAF3AB" w14:textId="77777777" w:rsidR="00422EFE" w:rsidRPr="00261B7A" w:rsidRDefault="00422EFE" w:rsidP="0058311A">
            <w:pPr>
              <w:pStyle w:val="TableText"/>
              <w:spacing w:before="40" w:after="40"/>
              <w:jc w:val="right"/>
            </w:pPr>
            <w:r w:rsidRPr="00261B7A">
              <w:rPr>
                <w:rFonts w:eastAsia="Calibri"/>
                <w:color w:val="000000"/>
              </w:rPr>
              <w:t>155.2</w:t>
            </w:r>
          </w:p>
        </w:tc>
      </w:tr>
      <w:tr w:rsidR="00422EFE" w:rsidRPr="00261B7A" w14:paraId="6F2D115C" w14:textId="77777777" w:rsidTr="00D41492">
        <w:tc>
          <w:tcPr>
            <w:tcW w:w="624" w:type="dxa"/>
            <w:shd w:val="clear" w:color="auto" w:fill="FFFFFF"/>
            <w:tcMar>
              <w:top w:w="0" w:type="dxa"/>
              <w:left w:w="85" w:type="dxa"/>
              <w:bottom w:w="0" w:type="dxa"/>
              <w:right w:w="85" w:type="dxa"/>
            </w:tcMar>
          </w:tcPr>
          <w:p w14:paraId="685589E1" w14:textId="77777777" w:rsidR="00422EFE" w:rsidRPr="00261B7A" w:rsidRDefault="00422EFE" w:rsidP="0058311A">
            <w:pPr>
              <w:pStyle w:val="TableText"/>
              <w:spacing w:before="40" w:after="40"/>
            </w:pPr>
            <w:r w:rsidRPr="00261B7A">
              <w:rPr>
                <w:rFonts w:eastAsia="Calibri"/>
              </w:rPr>
              <w:t>2019</w:t>
            </w:r>
          </w:p>
        </w:tc>
        <w:tc>
          <w:tcPr>
            <w:tcW w:w="1928" w:type="dxa"/>
            <w:shd w:val="clear" w:color="auto" w:fill="FFFFFF"/>
            <w:tcMar>
              <w:top w:w="0" w:type="dxa"/>
              <w:left w:w="85" w:type="dxa"/>
              <w:bottom w:w="0" w:type="dxa"/>
              <w:right w:w="85" w:type="dxa"/>
            </w:tcMar>
          </w:tcPr>
          <w:p w14:paraId="349777D9" w14:textId="77777777" w:rsidR="00422EFE" w:rsidRPr="00261B7A" w:rsidRDefault="00422EFE" w:rsidP="0058311A">
            <w:pPr>
              <w:pStyle w:val="TableText"/>
              <w:spacing w:before="40" w:after="40"/>
              <w:jc w:val="right"/>
            </w:pPr>
            <w:r w:rsidRPr="00261B7A">
              <w:rPr>
                <w:rFonts w:eastAsia="Calibri"/>
                <w:color w:val="000000"/>
              </w:rPr>
              <w:t>73.0</w:t>
            </w:r>
          </w:p>
        </w:tc>
        <w:tc>
          <w:tcPr>
            <w:tcW w:w="1871" w:type="dxa"/>
            <w:shd w:val="clear" w:color="auto" w:fill="FFFFFF"/>
            <w:tcMar>
              <w:top w:w="0" w:type="dxa"/>
              <w:left w:w="85" w:type="dxa"/>
              <w:bottom w:w="0" w:type="dxa"/>
              <w:right w:w="85" w:type="dxa"/>
            </w:tcMar>
          </w:tcPr>
          <w:p w14:paraId="31DD8405" w14:textId="77777777" w:rsidR="00422EFE" w:rsidRPr="00261B7A" w:rsidRDefault="00422EFE" w:rsidP="0058311A">
            <w:pPr>
              <w:pStyle w:val="TableText"/>
              <w:spacing w:before="40" w:after="40"/>
              <w:jc w:val="right"/>
            </w:pPr>
            <w:r w:rsidRPr="00261B7A">
              <w:rPr>
                <w:rFonts w:eastAsia="Calibri"/>
                <w:color w:val="000000"/>
              </w:rPr>
              <w:t>77.7</w:t>
            </w:r>
          </w:p>
        </w:tc>
        <w:tc>
          <w:tcPr>
            <w:tcW w:w="1871" w:type="dxa"/>
            <w:shd w:val="clear" w:color="auto" w:fill="FFFFFF"/>
            <w:tcMar>
              <w:top w:w="0" w:type="dxa"/>
              <w:left w:w="85" w:type="dxa"/>
              <w:bottom w:w="0" w:type="dxa"/>
              <w:right w:w="85" w:type="dxa"/>
            </w:tcMar>
          </w:tcPr>
          <w:p w14:paraId="1A1E7289" w14:textId="77777777" w:rsidR="00422EFE" w:rsidRPr="00261B7A" w:rsidRDefault="00422EFE" w:rsidP="0058311A">
            <w:pPr>
              <w:pStyle w:val="TableText"/>
              <w:spacing w:before="40" w:after="40"/>
              <w:jc w:val="right"/>
            </w:pPr>
            <w:r w:rsidRPr="00261B7A">
              <w:rPr>
                <w:rFonts w:eastAsia="Calibri"/>
                <w:color w:val="000000"/>
              </w:rPr>
              <w:t>5.1</w:t>
            </w:r>
          </w:p>
        </w:tc>
        <w:tc>
          <w:tcPr>
            <w:tcW w:w="1701" w:type="dxa"/>
            <w:shd w:val="clear" w:color="auto" w:fill="FFFFFF"/>
            <w:tcMar>
              <w:top w:w="0" w:type="dxa"/>
              <w:left w:w="85" w:type="dxa"/>
              <w:bottom w:w="0" w:type="dxa"/>
              <w:right w:w="85" w:type="dxa"/>
            </w:tcMar>
          </w:tcPr>
          <w:p w14:paraId="1D1CA686" w14:textId="77777777" w:rsidR="00422EFE" w:rsidRPr="00261B7A" w:rsidRDefault="00422EFE" w:rsidP="0058311A">
            <w:pPr>
              <w:pStyle w:val="TableText"/>
              <w:spacing w:before="40" w:after="40"/>
              <w:jc w:val="right"/>
            </w:pPr>
            <w:r w:rsidRPr="00261B7A">
              <w:rPr>
                <w:rFonts w:eastAsia="Calibri"/>
                <w:color w:val="000000"/>
              </w:rPr>
              <w:t>155.8</w:t>
            </w:r>
          </w:p>
        </w:tc>
      </w:tr>
      <w:tr w:rsidR="00422EFE" w:rsidRPr="00261B7A" w14:paraId="54145701" w14:textId="77777777" w:rsidTr="00D41492">
        <w:tc>
          <w:tcPr>
            <w:tcW w:w="624" w:type="dxa"/>
            <w:shd w:val="clear" w:color="auto" w:fill="FFFFFF"/>
            <w:tcMar>
              <w:top w:w="0" w:type="dxa"/>
              <w:left w:w="85" w:type="dxa"/>
              <w:bottom w:w="0" w:type="dxa"/>
              <w:right w:w="85" w:type="dxa"/>
            </w:tcMar>
          </w:tcPr>
          <w:p w14:paraId="2EFFD67B" w14:textId="77777777" w:rsidR="00422EFE" w:rsidRPr="00261B7A" w:rsidRDefault="00422EFE" w:rsidP="0058311A">
            <w:pPr>
              <w:pStyle w:val="TableText"/>
              <w:spacing w:before="40" w:after="40"/>
            </w:pPr>
            <w:r w:rsidRPr="00261B7A">
              <w:rPr>
                <w:rFonts w:eastAsia="Calibri"/>
              </w:rPr>
              <w:t>2020</w:t>
            </w:r>
          </w:p>
        </w:tc>
        <w:tc>
          <w:tcPr>
            <w:tcW w:w="1928" w:type="dxa"/>
            <w:shd w:val="clear" w:color="auto" w:fill="FFFFFF"/>
            <w:tcMar>
              <w:top w:w="0" w:type="dxa"/>
              <w:left w:w="85" w:type="dxa"/>
              <w:bottom w:w="0" w:type="dxa"/>
              <w:right w:w="85" w:type="dxa"/>
            </w:tcMar>
          </w:tcPr>
          <w:p w14:paraId="27D4016E" w14:textId="77777777" w:rsidR="00422EFE" w:rsidRPr="00261B7A" w:rsidRDefault="00422EFE" w:rsidP="0058311A">
            <w:pPr>
              <w:pStyle w:val="TableText"/>
              <w:spacing w:before="40" w:after="40"/>
              <w:jc w:val="right"/>
            </w:pPr>
            <w:r w:rsidRPr="00261B7A">
              <w:rPr>
                <w:rFonts w:eastAsia="Calibri"/>
                <w:color w:val="000000"/>
              </w:rPr>
              <w:t>73.8</w:t>
            </w:r>
          </w:p>
        </w:tc>
        <w:tc>
          <w:tcPr>
            <w:tcW w:w="1871" w:type="dxa"/>
            <w:shd w:val="clear" w:color="auto" w:fill="FFFFFF"/>
            <w:tcMar>
              <w:top w:w="0" w:type="dxa"/>
              <w:left w:w="85" w:type="dxa"/>
              <w:bottom w:w="0" w:type="dxa"/>
              <w:right w:w="85" w:type="dxa"/>
            </w:tcMar>
          </w:tcPr>
          <w:p w14:paraId="0B479D26" w14:textId="77777777" w:rsidR="00422EFE" w:rsidRPr="00261B7A" w:rsidRDefault="00422EFE" w:rsidP="0058311A">
            <w:pPr>
              <w:pStyle w:val="TableText"/>
              <w:spacing w:before="40" w:after="40"/>
              <w:jc w:val="right"/>
            </w:pPr>
            <w:r w:rsidRPr="00261B7A">
              <w:rPr>
                <w:rFonts w:eastAsia="Calibri"/>
                <w:color w:val="000000"/>
              </w:rPr>
              <w:t>71.8</w:t>
            </w:r>
          </w:p>
        </w:tc>
        <w:tc>
          <w:tcPr>
            <w:tcW w:w="1871" w:type="dxa"/>
            <w:shd w:val="clear" w:color="auto" w:fill="FFFFFF"/>
            <w:tcMar>
              <w:top w:w="0" w:type="dxa"/>
              <w:left w:w="85" w:type="dxa"/>
              <w:bottom w:w="0" w:type="dxa"/>
              <w:right w:w="85" w:type="dxa"/>
            </w:tcMar>
          </w:tcPr>
          <w:p w14:paraId="55647985" w14:textId="77777777" w:rsidR="00422EFE" w:rsidRPr="00261B7A" w:rsidRDefault="00422EFE" w:rsidP="0058311A">
            <w:pPr>
              <w:pStyle w:val="TableText"/>
              <w:spacing w:before="40" w:after="40"/>
              <w:jc w:val="right"/>
            </w:pPr>
            <w:r w:rsidRPr="00261B7A">
              <w:rPr>
                <w:rFonts w:eastAsia="Calibri"/>
                <w:color w:val="000000"/>
              </w:rPr>
              <w:t>5.7</w:t>
            </w:r>
          </w:p>
        </w:tc>
        <w:tc>
          <w:tcPr>
            <w:tcW w:w="1701" w:type="dxa"/>
            <w:shd w:val="clear" w:color="auto" w:fill="FFFFFF"/>
            <w:tcMar>
              <w:top w:w="0" w:type="dxa"/>
              <w:left w:w="85" w:type="dxa"/>
              <w:bottom w:w="0" w:type="dxa"/>
              <w:right w:w="85" w:type="dxa"/>
            </w:tcMar>
          </w:tcPr>
          <w:p w14:paraId="0A96BE6F" w14:textId="77777777" w:rsidR="00422EFE" w:rsidRPr="00261B7A" w:rsidRDefault="00422EFE" w:rsidP="0058311A">
            <w:pPr>
              <w:pStyle w:val="TableText"/>
              <w:spacing w:before="40" w:after="40"/>
              <w:jc w:val="right"/>
            </w:pPr>
            <w:r w:rsidRPr="00261B7A">
              <w:rPr>
                <w:rFonts w:eastAsia="Calibri"/>
                <w:color w:val="000000"/>
              </w:rPr>
              <w:t>151.2</w:t>
            </w:r>
          </w:p>
        </w:tc>
      </w:tr>
      <w:tr w:rsidR="00422EFE" w:rsidRPr="00261B7A" w14:paraId="34B78561" w14:textId="77777777" w:rsidTr="00D41492">
        <w:tc>
          <w:tcPr>
            <w:tcW w:w="624" w:type="dxa"/>
            <w:shd w:val="clear" w:color="auto" w:fill="FFFFFF"/>
            <w:tcMar>
              <w:top w:w="0" w:type="dxa"/>
              <w:left w:w="85" w:type="dxa"/>
              <w:bottom w:w="0" w:type="dxa"/>
              <w:right w:w="85" w:type="dxa"/>
            </w:tcMar>
          </w:tcPr>
          <w:p w14:paraId="2B5AA16C" w14:textId="77777777" w:rsidR="00422EFE" w:rsidRPr="00261B7A" w:rsidRDefault="00422EFE" w:rsidP="0058311A">
            <w:pPr>
              <w:pStyle w:val="TableText"/>
              <w:spacing w:before="40" w:after="40"/>
            </w:pPr>
            <w:r w:rsidRPr="00261B7A">
              <w:rPr>
                <w:rFonts w:eastAsia="Calibri"/>
              </w:rPr>
              <w:t>2021</w:t>
            </w:r>
          </w:p>
        </w:tc>
        <w:tc>
          <w:tcPr>
            <w:tcW w:w="1928" w:type="dxa"/>
            <w:shd w:val="clear" w:color="auto" w:fill="FFFFFF"/>
            <w:tcMar>
              <w:top w:w="0" w:type="dxa"/>
              <w:left w:w="85" w:type="dxa"/>
              <w:bottom w:w="0" w:type="dxa"/>
              <w:right w:w="85" w:type="dxa"/>
            </w:tcMar>
          </w:tcPr>
          <w:p w14:paraId="4EEF80D4" w14:textId="77777777" w:rsidR="00422EFE" w:rsidRPr="00261B7A" w:rsidRDefault="00422EFE" w:rsidP="0058311A">
            <w:pPr>
              <w:pStyle w:val="TableText"/>
              <w:spacing w:before="40" w:after="40"/>
              <w:jc w:val="right"/>
            </w:pPr>
            <w:r w:rsidRPr="00261B7A">
              <w:rPr>
                <w:rFonts w:eastAsia="Calibri"/>
                <w:color w:val="000000"/>
              </w:rPr>
              <w:t>74.6</w:t>
            </w:r>
          </w:p>
        </w:tc>
        <w:tc>
          <w:tcPr>
            <w:tcW w:w="1871" w:type="dxa"/>
            <w:shd w:val="clear" w:color="auto" w:fill="FFFFFF"/>
            <w:tcMar>
              <w:top w:w="0" w:type="dxa"/>
              <w:left w:w="85" w:type="dxa"/>
              <w:bottom w:w="0" w:type="dxa"/>
              <w:right w:w="85" w:type="dxa"/>
            </w:tcMar>
          </w:tcPr>
          <w:p w14:paraId="552E21A0" w14:textId="77777777" w:rsidR="00422EFE" w:rsidRPr="00261B7A" w:rsidRDefault="00422EFE" w:rsidP="0058311A">
            <w:pPr>
              <w:pStyle w:val="TableText"/>
              <w:spacing w:before="40" w:after="40"/>
              <w:jc w:val="right"/>
            </w:pPr>
            <w:r w:rsidRPr="00261B7A">
              <w:rPr>
                <w:rFonts w:eastAsia="Calibri"/>
                <w:color w:val="000000"/>
              </w:rPr>
              <w:t>68.2</w:t>
            </w:r>
          </w:p>
        </w:tc>
        <w:tc>
          <w:tcPr>
            <w:tcW w:w="1871" w:type="dxa"/>
            <w:shd w:val="clear" w:color="auto" w:fill="FFFFFF"/>
            <w:tcMar>
              <w:top w:w="0" w:type="dxa"/>
              <w:left w:w="85" w:type="dxa"/>
              <w:bottom w:w="0" w:type="dxa"/>
              <w:right w:w="85" w:type="dxa"/>
            </w:tcMar>
          </w:tcPr>
          <w:p w14:paraId="65CCE472" w14:textId="77777777" w:rsidR="00422EFE" w:rsidRPr="00261B7A" w:rsidRDefault="00422EFE" w:rsidP="0058311A">
            <w:pPr>
              <w:pStyle w:val="TableText"/>
              <w:spacing w:before="40" w:after="40"/>
              <w:jc w:val="right"/>
            </w:pPr>
            <w:r w:rsidRPr="00261B7A">
              <w:rPr>
                <w:rFonts w:eastAsia="Calibri"/>
                <w:color w:val="000000"/>
              </w:rPr>
              <w:t>4.6</w:t>
            </w:r>
          </w:p>
        </w:tc>
        <w:tc>
          <w:tcPr>
            <w:tcW w:w="1701" w:type="dxa"/>
            <w:shd w:val="clear" w:color="auto" w:fill="FFFFFF"/>
            <w:tcMar>
              <w:top w:w="0" w:type="dxa"/>
              <w:left w:w="85" w:type="dxa"/>
              <w:bottom w:w="0" w:type="dxa"/>
              <w:right w:w="85" w:type="dxa"/>
            </w:tcMar>
          </w:tcPr>
          <w:p w14:paraId="0064C3C8" w14:textId="77777777" w:rsidR="00422EFE" w:rsidRPr="00261B7A" w:rsidRDefault="00422EFE" w:rsidP="0058311A">
            <w:pPr>
              <w:pStyle w:val="TableText"/>
              <w:spacing w:before="40" w:after="40"/>
              <w:jc w:val="right"/>
            </w:pPr>
            <w:r w:rsidRPr="00261B7A">
              <w:rPr>
                <w:rFonts w:eastAsia="Calibri"/>
                <w:color w:val="000000"/>
              </w:rPr>
              <w:t>147.4</w:t>
            </w:r>
          </w:p>
        </w:tc>
      </w:tr>
    </w:tbl>
    <w:p w14:paraId="7F84BD24" w14:textId="77777777" w:rsidR="00422EFE" w:rsidRPr="00261B7A" w:rsidRDefault="00422EFE" w:rsidP="00422EFE">
      <w:pPr>
        <w:pStyle w:val="Noteundertable"/>
      </w:pPr>
      <w:r w:rsidRPr="00261B7A">
        <w:rPr>
          <w:b/>
          <w:bCs/>
        </w:rPr>
        <w:t>Note:</w:t>
      </w:r>
      <w:r w:rsidRPr="00261B7A">
        <w:t xml:space="preserve"> </w:t>
      </w:r>
      <w:r w:rsidRPr="00261B7A">
        <w:tab/>
        <w:t>TOW = total organic product in wastewater. Columns may not total due to rounding.</w:t>
      </w:r>
    </w:p>
    <w:p w14:paraId="225913AD" w14:textId="77777777" w:rsidR="00422EFE" w:rsidRPr="00261B7A" w:rsidRDefault="00422EFE" w:rsidP="00422EFE">
      <w:pPr>
        <w:pStyle w:val="BodyText"/>
      </w:pPr>
      <w:r w:rsidRPr="00261B7A">
        <w:t>Table 7.5.4 reports the activity data for the total nitrogen in effluent from industrial wastewater.</w:t>
      </w:r>
    </w:p>
    <w:p w14:paraId="4E54A897" w14:textId="77777777" w:rsidR="00422EFE" w:rsidRPr="00261B7A" w:rsidRDefault="00422EFE" w:rsidP="00422EFE">
      <w:pPr>
        <w:pStyle w:val="Table"/>
      </w:pPr>
      <w:bookmarkStart w:id="2556" w:name="_Toc128383682"/>
      <w:bookmarkStart w:id="2557" w:name="_Toc131591455"/>
      <w:r w:rsidRPr="00261B7A">
        <w:t xml:space="preserve">Table 7.5.4 </w:t>
      </w:r>
      <w:r w:rsidRPr="00261B7A">
        <w:tab/>
        <w:t>Nitrogen (N) in effluent from industrial wastewater from 1990 to 2021</w:t>
      </w:r>
      <w:bookmarkEnd w:id="2556"/>
      <w:bookmarkEnd w:id="2557"/>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542"/>
        <w:gridCol w:w="2016"/>
        <w:gridCol w:w="1255"/>
        <w:gridCol w:w="1633"/>
        <w:gridCol w:w="1506"/>
        <w:gridCol w:w="1553"/>
      </w:tblGrid>
      <w:tr w:rsidR="00422EFE" w:rsidRPr="00261B7A" w14:paraId="00578DD1" w14:textId="77777777" w:rsidTr="00D41492">
        <w:trPr>
          <w:tblHeader/>
        </w:trPr>
        <w:tc>
          <w:tcPr>
            <w:tcW w:w="0" w:type="auto"/>
            <w:shd w:val="clear" w:color="auto" w:fill="1B556B"/>
            <w:tcMar>
              <w:top w:w="0" w:type="dxa"/>
              <w:left w:w="108" w:type="dxa"/>
              <w:bottom w:w="0" w:type="dxa"/>
              <w:right w:w="108" w:type="dxa"/>
            </w:tcMar>
            <w:vAlign w:val="bottom"/>
          </w:tcPr>
          <w:p w14:paraId="20D49368" w14:textId="77777777" w:rsidR="00422EFE" w:rsidRPr="00261B7A" w:rsidRDefault="00422EFE" w:rsidP="00D53B36">
            <w:pPr>
              <w:pStyle w:val="TableText"/>
              <w:spacing w:before="50" w:after="50"/>
              <w:rPr>
                <w:b/>
                <w:bCs/>
                <w:color w:val="FFFFFF" w:themeColor="background1"/>
              </w:rPr>
            </w:pPr>
            <w:r w:rsidRPr="00261B7A">
              <w:rPr>
                <w:rFonts w:eastAsia="Calibri"/>
                <w:b/>
                <w:bCs/>
                <w:color w:val="FFFFFF" w:themeColor="background1"/>
              </w:rPr>
              <w:t>Year</w:t>
            </w:r>
          </w:p>
        </w:tc>
        <w:tc>
          <w:tcPr>
            <w:tcW w:w="0" w:type="auto"/>
            <w:shd w:val="clear" w:color="auto" w:fill="1B556B"/>
            <w:tcMar>
              <w:top w:w="0" w:type="dxa"/>
              <w:left w:w="108" w:type="dxa"/>
              <w:bottom w:w="0" w:type="dxa"/>
              <w:right w:w="108" w:type="dxa"/>
            </w:tcMar>
            <w:vAlign w:val="bottom"/>
          </w:tcPr>
          <w:p w14:paraId="1627BB80" w14:textId="77777777" w:rsidR="00422EFE" w:rsidRPr="00261B7A" w:rsidRDefault="00422EFE" w:rsidP="00D53B36">
            <w:pPr>
              <w:pStyle w:val="TableText"/>
              <w:spacing w:before="50" w:after="50"/>
              <w:jc w:val="right"/>
              <w:rPr>
                <w:b/>
                <w:bCs/>
                <w:color w:val="FFFFFF" w:themeColor="background1"/>
              </w:rPr>
            </w:pPr>
            <w:r w:rsidRPr="00261B7A">
              <w:rPr>
                <w:rFonts w:eastAsia="Calibri"/>
                <w:b/>
                <w:bCs/>
                <w:color w:val="FFFFFF" w:themeColor="background1"/>
              </w:rPr>
              <w:t>Meat industries (excl poultry) N in effluent (kt)</w:t>
            </w:r>
          </w:p>
        </w:tc>
        <w:tc>
          <w:tcPr>
            <w:tcW w:w="0" w:type="auto"/>
            <w:shd w:val="clear" w:color="auto" w:fill="1B556B"/>
            <w:tcMar>
              <w:top w:w="0" w:type="dxa"/>
              <w:left w:w="108" w:type="dxa"/>
              <w:bottom w:w="0" w:type="dxa"/>
              <w:right w:w="108" w:type="dxa"/>
            </w:tcMar>
            <w:vAlign w:val="bottom"/>
          </w:tcPr>
          <w:p w14:paraId="0D50D241" w14:textId="77777777" w:rsidR="00422EFE" w:rsidRPr="00261B7A" w:rsidRDefault="00422EFE" w:rsidP="00D53B36">
            <w:pPr>
              <w:pStyle w:val="TableText"/>
              <w:spacing w:before="50" w:after="50"/>
              <w:jc w:val="right"/>
              <w:rPr>
                <w:b/>
                <w:bCs/>
                <w:color w:val="FFFFFF" w:themeColor="background1"/>
              </w:rPr>
            </w:pPr>
            <w:r w:rsidRPr="00261B7A">
              <w:rPr>
                <w:rFonts w:eastAsia="Calibri"/>
                <w:b/>
                <w:bCs/>
                <w:color w:val="FFFFFF" w:themeColor="background1"/>
              </w:rPr>
              <w:t>Poultry N in effluent (kt)</w:t>
            </w:r>
          </w:p>
        </w:tc>
        <w:tc>
          <w:tcPr>
            <w:tcW w:w="0" w:type="auto"/>
            <w:shd w:val="clear" w:color="auto" w:fill="1B556B"/>
            <w:tcMar>
              <w:top w:w="0" w:type="dxa"/>
              <w:left w:w="108" w:type="dxa"/>
              <w:bottom w:w="0" w:type="dxa"/>
              <w:right w:w="108" w:type="dxa"/>
            </w:tcMar>
            <w:vAlign w:val="bottom"/>
          </w:tcPr>
          <w:p w14:paraId="709EB64A" w14:textId="77777777" w:rsidR="00422EFE" w:rsidRPr="00261B7A" w:rsidRDefault="00422EFE" w:rsidP="00D53B36">
            <w:pPr>
              <w:pStyle w:val="TableText"/>
              <w:spacing w:before="50" w:after="50"/>
              <w:jc w:val="right"/>
              <w:rPr>
                <w:b/>
                <w:bCs/>
                <w:color w:val="FFFFFF" w:themeColor="background1"/>
              </w:rPr>
            </w:pPr>
            <w:r w:rsidRPr="00261B7A">
              <w:rPr>
                <w:rFonts w:eastAsia="Calibri"/>
                <w:b/>
                <w:bCs/>
                <w:color w:val="FFFFFF" w:themeColor="background1"/>
              </w:rPr>
              <w:t>Dairy processing N in effluent (kt)</w:t>
            </w:r>
          </w:p>
        </w:tc>
        <w:tc>
          <w:tcPr>
            <w:tcW w:w="0" w:type="auto"/>
            <w:shd w:val="clear" w:color="auto" w:fill="1B556B"/>
            <w:tcMar>
              <w:top w:w="0" w:type="dxa"/>
              <w:left w:w="108" w:type="dxa"/>
              <w:bottom w:w="0" w:type="dxa"/>
              <w:right w:w="108" w:type="dxa"/>
            </w:tcMar>
            <w:vAlign w:val="bottom"/>
          </w:tcPr>
          <w:p w14:paraId="13C43B4F" w14:textId="77777777" w:rsidR="00422EFE" w:rsidRPr="00261B7A" w:rsidRDefault="00422EFE" w:rsidP="00D53B36">
            <w:pPr>
              <w:pStyle w:val="TableText"/>
              <w:spacing w:before="50" w:after="50"/>
              <w:jc w:val="right"/>
              <w:rPr>
                <w:b/>
                <w:bCs/>
                <w:color w:val="FFFFFF" w:themeColor="background1"/>
              </w:rPr>
            </w:pPr>
            <w:r w:rsidRPr="00261B7A">
              <w:rPr>
                <w:rFonts w:eastAsia="Calibri"/>
                <w:b/>
                <w:bCs/>
                <w:color w:val="FFFFFF" w:themeColor="background1"/>
              </w:rPr>
              <w:t>Leather &amp; skins N in effluent (kt)</w:t>
            </w:r>
          </w:p>
        </w:tc>
        <w:tc>
          <w:tcPr>
            <w:tcW w:w="0" w:type="auto"/>
            <w:shd w:val="clear" w:color="auto" w:fill="1B556B"/>
            <w:tcMar>
              <w:top w:w="0" w:type="dxa"/>
              <w:left w:w="108" w:type="dxa"/>
              <w:bottom w:w="0" w:type="dxa"/>
              <w:right w:w="108" w:type="dxa"/>
            </w:tcMar>
            <w:vAlign w:val="bottom"/>
          </w:tcPr>
          <w:p w14:paraId="6A23F414" w14:textId="77777777" w:rsidR="00422EFE" w:rsidRPr="00261B7A" w:rsidRDefault="00422EFE" w:rsidP="00D53B36">
            <w:pPr>
              <w:pStyle w:val="TableText"/>
              <w:spacing w:before="50" w:after="50"/>
              <w:jc w:val="right"/>
              <w:rPr>
                <w:b/>
                <w:bCs/>
                <w:color w:val="FFFFFF" w:themeColor="background1"/>
              </w:rPr>
            </w:pPr>
            <w:r w:rsidRPr="00261B7A">
              <w:rPr>
                <w:rFonts w:eastAsia="Calibri"/>
                <w:b/>
                <w:bCs/>
                <w:color w:val="FFFFFF" w:themeColor="background1"/>
              </w:rPr>
              <w:t>Total industrial N in effluent (kt)</w:t>
            </w:r>
          </w:p>
        </w:tc>
      </w:tr>
      <w:tr w:rsidR="00422EFE" w:rsidRPr="00261B7A" w14:paraId="790EC219" w14:textId="77777777" w:rsidTr="00D41492">
        <w:tc>
          <w:tcPr>
            <w:tcW w:w="0" w:type="auto"/>
            <w:shd w:val="clear" w:color="auto" w:fill="FFFFFF"/>
            <w:tcMar>
              <w:top w:w="0" w:type="dxa"/>
              <w:left w:w="108" w:type="dxa"/>
              <w:bottom w:w="0" w:type="dxa"/>
              <w:right w:w="108" w:type="dxa"/>
            </w:tcMar>
          </w:tcPr>
          <w:p w14:paraId="39E849A4" w14:textId="77777777" w:rsidR="00422EFE" w:rsidRPr="00261B7A" w:rsidRDefault="00422EFE" w:rsidP="0058311A">
            <w:pPr>
              <w:pStyle w:val="TableText"/>
              <w:spacing w:before="40" w:after="40"/>
            </w:pPr>
            <w:r w:rsidRPr="00261B7A">
              <w:rPr>
                <w:rFonts w:eastAsia="Calibri"/>
              </w:rPr>
              <w:t>1990</w:t>
            </w:r>
          </w:p>
        </w:tc>
        <w:tc>
          <w:tcPr>
            <w:tcW w:w="0" w:type="auto"/>
            <w:shd w:val="clear" w:color="auto" w:fill="FFFFFF"/>
            <w:tcMar>
              <w:top w:w="0" w:type="dxa"/>
              <w:left w:w="108" w:type="dxa"/>
              <w:bottom w:w="0" w:type="dxa"/>
              <w:right w:w="108" w:type="dxa"/>
            </w:tcMar>
          </w:tcPr>
          <w:p w14:paraId="1F5DF3B2" w14:textId="77777777" w:rsidR="00422EFE" w:rsidRPr="00261B7A" w:rsidRDefault="00422EFE" w:rsidP="00D53B36">
            <w:pPr>
              <w:pStyle w:val="TableText"/>
              <w:spacing w:before="50" w:after="50"/>
              <w:jc w:val="right"/>
            </w:pPr>
            <w:r w:rsidRPr="00261B7A">
              <w:rPr>
                <w:rFonts w:eastAsia="Calibri"/>
                <w:color w:val="000000"/>
              </w:rPr>
              <w:t>1.4</w:t>
            </w:r>
          </w:p>
        </w:tc>
        <w:tc>
          <w:tcPr>
            <w:tcW w:w="0" w:type="auto"/>
            <w:shd w:val="clear" w:color="auto" w:fill="FFFFFF"/>
            <w:tcMar>
              <w:top w:w="0" w:type="dxa"/>
              <w:left w:w="108" w:type="dxa"/>
              <w:bottom w:w="0" w:type="dxa"/>
              <w:right w:w="108" w:type="dxa"/>
            </w:tcMar>
          </w:tcPr>
          <w:p w14:paraId="725AB0BA" w14:textId="77777777" w:rsidR="00422EFE" w:rsidRPr="00261B7A" w:rsidRDefault="00422EFE" w:rsidP="00D53B36">
            <w:pPr>
              <w:pStyle w:val="TableText"/>
              <w:spacing w:before="50" w:after="50"/>
              <w:jc w:val="right"/>
            </w:pPr>
            <w:r w:rsidRPr="00261B7A">
              <w:rPr>
                <w:rFonts w:eastAsia="Calibri"/>
                <w:color w:val="000000"/>
              </w:rPr>
              <w:t>0.1</w:t>
            </w:r>
          </w:p>
        </w:tc>
        <w:tc>
          <w:tcPr>
            <w:tcW w:w="0" w:type="auto"/>
            <w:shd w:val="clear" w:color="auto" w:fill="FFFFFF"/>
            <w:tcMar>
              <w:top w:w="0" w:type="dxa"/>
              <w:left w:w="108" w:type="dxa"/>
              <w:bottom w:w="0" w:type="dxa"/>
              <w:right w:w="108" w:type="dxa"/>
            </w:tcMar>
          </w:tcPr>
          <w:p w14:paraId="1C3AD133"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17784E4C" w14:textId="77777777" w:rsidR="00422EFE" w:rsidRPr="00261B7A" w:rsidRDefault="00422EFE" w:rsidP="00D53B36">
            <w:pPr>
              <w:pStyle w:val="TableText"/>
              <w:spacing w:before="50" w:after="50"/>
              <w:jc w:val="right"/>
            </w:pPr>
            <w:r w:rsidRPr="00261B7A">
              <w:rPr>
                <w:rFonts w:eastAsia="Calibri"/>
                <w:color w:val="000000"/>
              </w:rPr>
              <w:t>1.2</w:t>
            </w:r>
          </w:p>
        </w:tc>
        <w:tc>
          <w:tcPr>
            <w:tcW w:w="0" w:type="auto"/>
            <w:shd w:val="clear" w:color="auto" w:fill="FFFFFF"/>
            <w:tcMar>
              <w:top w:w="0" w:type="dxa"/>
              <w:left w:w="108" w:type="dxa"/>
              <w:bottom w:w="0" w:type="dxa"/>
              <w:right w:w="108" w:type="dxa"/>
            </w:tcMar>
          </w:tcPr>
          <w:p w14:paraId="7D6078FF" w14:textId="77777777" w:rsidR="00422EFE" w:rsidRPr="00261B7A" w:rsidRDefault="00422EFE" w:rsidP="00D53B36">
            <w:pPr>
              <w:pStyle w:val="TableText"/>
              <w:spacing w:before="50" w:after="50"/>
              <w:jc w:val="right"/>
            </w:pPr>
            <w:r w:rsidRPr="00261B7A">
              <w:rPr>
                <w:rFonts w:eastAsia="Calibri"/>
                <w:color w:val="000000"/>
              </w:rPr>
              <w:t>2.8</w:t>
            </w:r>
          </w:p>
        </w:tc>
      </w:tr>
      <w:tr w:rsidR="00422EFE" w:rsidRPr="00261B7A" w14:paraId="1F8DAC41" w14:textId="77777777" w:rsidTr="00D41492">
        <w:tc>
          <w:tcPr>
            <w:tcW w:w="0" w:type="auto"/>
            <w:shd w:val="clear" w:color="auto" w:fill="FFFFFF"/>
            <w:tcMar>
              <w:top w:w="0" w:type="dxa"/>
              <w:left w:w="108" w:type="dxa"/>
              <w:bottom w:w="0" w:type="dxa"/>
              <w:right w:w="108" w:type="dxa"/>
            </w:tcMar>
          </w:tcPr>
          <w:p w14:paraId="463935D6" w14:textId="77777777" w:rsidR="00422EFE" w:rsidRPr="00261B7A" w:rsidRDefault="00422EFE" w:rsidP="0058311A">
            <w:pPr>
              <w:pStyle w:val="TableText"/>
              <w:spacing w:before="40" w:after="40"/>
            </w:pPr>
            <w:r w:rsidRPr="00261B7A">
              <w:rPr>
                <w:rFonts w:eastAsia="Calibri"/>
              </w:rPr>
              <w:t>1991</w:t>
            </w:r>
          </w:p>
        </w:tc>
        <w:tc>
          <w:tcPr>
            <w:tcW w:w="0" w:type="auto"/>
            <w:shd w:val="clear" w:color="auto" w:fill="FFFFFF"/>
            <w:tcMar>
              <w:top w:w="0" w:type="dxa"/>
              <w:left w:w="108" w:type="dxa"/>
              <w:bottom w:w="0" w:type="dxa"/>
              <w:right w:w="108" w:type="dxa"/>
            </w:tcMar>
          </w:tcPr>
          <w:p w14:paraId="1BD33D38" w14:textId="77777777" w:rsidR="00422EFE" w:rsidRPr="00261B7A" w:rsidRDefault="00422EFE" w:rsidP="00D53B36">
            <w:pPr>
              <w:pStyle w:val="TableText"/>
              <w:spacing w:before="50" w:after="50"/>
              <w:jc w:val="right"/>
            </w:pPr>
            <w:r w:rsidRPr="00261B7A">
              <w:rPr>
                <w:rFonts w:eastAsia="Calibri"/>
                <w:color w:val="000000"/>
              </w:rPr>
              <w:t>1.5</w:t>
            </w:r>
          </w:p>
        </w:tc>
        <w:tc>
          <w:tcPr>
            <w:tcW w:w="0" w:type="auto"/>
            <w:shd w:val="clear" w:color="auto" w:fill="FFFFFF"/>
            <w:tcMar>
              <w:top w:w="0" w:type="dxa"/>
              <w:left w:w="108" w:type="dxa"/>
              <w:bottom w:w="0" w:type="dxa"/>
              <w:right w:w="108" w:type="dxa"/>
            </w:tcMar>
          </w:tcPr>
          <w:p w14:paraId="11E04518" w14:textId="77777777" w:rsidR="00422EFE" w:rsidRPr="00261B7A" w:rsidRDefault="00422EFE" w:rsidP="00D53B36">
            <w:pPr>
              <w:pStyle w:val="TableText"/>
              <w:spacing w:before="50" w:after="50"/>
              <w:jc w:val="right"/>
            </w:pPr>
            <w:r w:rsidRPr="00261B7A">
              <w:rPr>
                <w:rFonts w:eastAsia="Calibri"/>
                <w:color w:val="000000"/>
              </w:rPr>
              <w:t>0.1</w:t>
            </w:r>
          </w:p>
        </w:tc>
        <w:tc>
          <w:tcPr>
            <w:tcW w:w="0" w:type="auto"/>
            <w:shd w:val="clear" w:color="auto" w:fill="FFFFFF"/>
            <w:tcMar>
              <w:top w:w="0" w:type="dxa"/>
              <w:left w:w="108" w:type="dxa"/>
              <w:bottom w:w="0" w:type="dxa"/>
              <w:right w:w="108" w:type="dxa"/>
            </w:tcMar>
          </w:tcPr>
          <w:p w14:paraId="63C76296"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731E0F86" w14:textId="77777777" w:rsidR="00422EFE" w:rsidRPr="00261B7A" w:rsidRDefault="00422EFE" w:rsidP="00D53B36">
            <w:pPr>
              <w:pStyle w:val="TableText"/>
              <w:spacing w:before="50" w:after="50"/>
              <w:jc w:val="right"/>
            </w:pPr>
            <w:r w:rsidRPr="00261B7A">
              <w:rPr>
                <w:rFonts w:eastAsia="Calibri"/>
                <w:color w:val="000000"/>
              </w:rPr>
              <w:t>1.2</w:t>
            </w:r>
          </w:p>
        </w:tc>
        <w:tc>
          <w:tcPr>
            <w:tcW w:w="0" w:type="auto"/>
            <w:shd w:val="clear" w:color="auto" w:fill="FFFFFF"/>
            <w:tcMar>
              <w:top w:w="0" w:type="dxa"/>
              <w:left w:w="108" w:type="dxa"/>
              <w:bottom w:w="0" w:type="dxa"/>
              <w:right w:w="108" w:type="dxa"/>
            </w:tcMar>
          </w:tcPr>
          <w:p w14:paraId="63466B42" w14:textId="77777777" w:rsidR="00422EFE" w:rsidRPr="00261B7A" w:rsidRDefault="00422EFE" w:rsidP="00D53B36">
            <w:pPr>
              <w:pStyle w:val="TableText"/>
              <w:spacing w:before="50" w:after="50"/>
              <w:jc w:val="right"/>
            </w:pPr>
            <w:r w:rsidRPr="00261B7A">
              <w:rPr>
                <w:rFonts w:eastAsia="Calibri"/>
                <w:color w:val="000000"/>
              </w:rPr>
              <w:t>2.9</w:t>
            </w:r>
          </w:p>
        </w:tc>
      </w:tr>
      <w:tr w:rsidR="00422EFE" w:rsidRPr="00261B7A" w14:paraId="72A85030" w14:textId="77777777" w:rsidTr="00D41492">
        <w:tc>
          <w:tcPr>
            <w:tcW w:w="0" w:type="auto"/>
            <w:shd w:val="clear" w:color="auto" w:fill="FFFFFF"/>
            <w:tcMar>
              <w:top w:w="0" w:type="dxa"/>
              <w:left w:w="108" w:type="dxa"/>
              <w:bottom w:w="0" w:type="dxa"/>
              <w:right w:w="108" w:type="dxa"/>
            </w:tcMar>
          </w:tcPr>
          <w:p w14:paraId="1915F4F6" w14:textId="77777777" w:rsidR="00422EFE" w:rsidRPr="00261B7A" w:rsidRDefault="00422EFE" w:rsidP="0058311A">
            <w:pPr>
              <w:pStyle w:val="TableText"/>
              <w:spacing w:before="40" w:after="40"/>
            </w:pPr>
            <w:r w:rsidRPr="00261B7A">
              <w:rPr>
                <w:rFonts w:eastAsia="Calibri"/>
              </w:rPr>
              <w:t>1992</w:t>
            </w:r>
          </w:p>
        </w:tc>
        <w:tc>
          <w:tcPr>
            <w:tcW w:w="0" w:type="auto"/>
            <w:shd w:val="clear" w:color="auto" w:fill="FFFFFF"/>
            <w:tcMar>
              <w:top w:w="0" w:type="dxa"/>
              <w:left w:w="108" w:type="dxa"/>
              <w:bottom w:w="0" w:type="dxa"/>
              <w:right w:w="108" w:type="dxa"/>
            </w:tcMar>
          </w:tcPr>
          <w:p w14:paraId="7A632F72" w14:textId="77777777" w:rsidR="00422EFE" w:rsidRPr="00261B7A" w:rsidRDefault="00422EFE" w:rsidP="00D53B36">
            <w:pPr>
              <w:pStyle w:val="TableText"/>
              <w:spacing w:before="50" w:after="50"/>
              <w:jc w:val="right"/>
            </w:pPr>
            <w:r w:rsidRPr="00261B7A">
              <w:rPr>
                <w:rFonts w:eastAsia="Calibri"/>
                <w:color w:val="000000"/>
              </w:rPr>
              <w:t>1.6</w:t>
            </w:r>
          </w:p>
        </w:tc>
        <w:tc>
          <w:tcPr>
            <w:tcW w:w="0" w:type="auto"/>
            <w:shd w:val="clear" w:color="auto" w:fill="FFFFFF"/>
            <w:tcMar>
              <w:top w:w="0" w:type="dxa"/>
              <w:left w:w="108" w:type="dxa"/>
              <w:bottom w:w="0" w:type="dxa"/>
              <w:right w:w="108" w:type="dxa"/>
            </w:tcMar>
          </w:tcPr>
          <w:p w14:paraId="4A201D74" w14:textId="77777777" w:rsidR="00422EFE" w:rsidRPr="00261B7A" w:rsidRDefault="00422EFE" w:rsidP="00D53B36">
            <w:pPr>
              <w:pStyle w:val="TableText"/>
              <w:spacing w:before="50" w:after="50"/>
              <w:jc w:val="right"/>
            </w:pPr>
            <w:r w:rsidRPr="00261B7A">
              <w:rPr>
                <w:rFonts w:eastAsia="Calibri"/>
                <w:color w:val="000000"/>
              </w:rPr>
              <w:t>0.1</w:t>
            </w:r>
          </w:p>
        </w:tc>
        <w:tc>
          <w:tcPr>
            <w:tcW w:w="0" w:type="auto"/>
            <w:shd w:val="clear" w:color="auto" w:fill="FFFFFF"/>
            <w:tcMar>
              <w:top w:w="0" w:type="dxa"/>
              <w:left w:w="108" w:type="dxa"/>
              <w:bottom w:w="0" w:type="dxa"/>
              <w:right w:w="108" w:type="dxa"/>
            </w:tcMar>
          </w:tcPr>
          <w:p w14:paraId="4D16BA7D"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7BFD34F5" w14:textId="77777777" w:rsidR="00422EFE" w:rsidRPr="00261B7A" w:rsidRDefault="00422EFE" w:rsidP="00D53B36">
            <w:pPr>
              <w:pStyle w:val="TableText"/>
              <w:spacing w:before="50" w:after="50"/>
              <w:jc w:val="right"/>
            </w:pPr>
            <w:r w:rsidRPr="00261B7A">
              <w:rPr>
                <w:rFonts w:eastAsia="Calibri"/>
                <w:color w:val="000000"/>
              </w:rPr>
              <w:t>1.2</w:t>
            </w:r>
          </w:p>
        </w:tc>
        <w:tc>
          <w:tcPr>
            <w:tcW w:w="0" w:type="auto"/>
            <w:shd w:val="clear" w:color="auto" w:fill="FFFFFF"/>
            <w:tcMar>
              <w:top w:w="0" w:type="dxa"/>
              <w:left w:w="108" w:type="dxa"/>
              <w:bottom w:w="0" w:type="dxa"/>
              <w:right w:w="108" w:type="dxa"/>
            </w:tcMar>
          </w:tcPr>
          <w:p w14:paraId="3BE59C41" w14:textId="77777777" w:rsidR="00422EFE" w:rsidRPr="00261B7A" w:rsidRDefault="00422EFE" w:rsidP="00D53B36">
            <w:pPr>
              <w:pStyle w:val="TableText"/>
              <w:spacing w:before="50" w:after="50"/>
              <w:jc w:val="right"/>
            </w:pPr>
            <w:r w:rsidRPr="00261B7A">
              <w:rPr>
                <w:rFonts w:eastAsia="Calibri"/>
                <w:color w:val="000000"/>
              </w:rPr>
              <w:t>3.1</w:t>
            </w:r>
          </w:p>
        </w:tc>
      </w:tr>
      <w:tr w:rsidR="00422EFE" w:rsidRPr="00261B7A" w14:paraId="54F756EC" w14:textId="77777777" w:rsidTr="00D41492">
        <w:tc>
          <w:tcPr>
            <w:tcW w:w="0" w:type="auto"/>
            <w:shd w:val="clear" w:color="auto" w:fill="FFFFFF"/>
            <w:tcMar>
              <w:top w:w="0" w:type="dxa"/>
              <w:left w:w="108" w:type="dxa"/>
              <w:bottom w:w="0" w:type="dxa"/>
              <w:right w:w="108" w:type="dxa"/>
            </w:tcMar>
          </w:tcPr>
          <w:p w14:paraId="3E1934D4" w14:textId="77777777" w:rsidR="00422EFE" w:rsidRPr="00261B7A" w:rsidRDefault="00422EFE" w:rsidP="0058311A">
            <w:pPr>
              <w:pStyle w:val="TableText"/>
              <w:spacing w:before="40" w:after="40"/>
            </w:pPr>
            <w:r w:rsidRPr="00261B7A">
              <w:rPr>
                <w:rFonts w:eastAsia="Calibri"/>
              </w:rPr>
              <w:t>1993</w:t>
            </w:r>
          </w:p>
        </w:tc>
        <w:tc>
          <w:tcPr>
            <w:tcW w:w="0" w:type="auto"/>
            <w:shd w:val="clear" w:color="auto" w:fill="FFFFFF"/>
            <w:tcMar>
              <w:top w:w="0" w:type="dxa"/>
              <w:left w:w="108" w:type="dxa"/>
              <w:bottom w:w="0" w:type="dxa"/>
              <w:right w:w="108" w:type="dxa"/>
            </w:tcMar>
          </w:tcPr>
          <w:p w14:paraId="680C785D" w14:textId="77777777" w:rsidR="00422EFE" w:rsidRPr="00261B7A" w:rsidRDefault="00422EFE" w:rsidP="00D53B36">
            <w:pPr>
              <w:pStyle w:val="TableText"/>
              <w:spacing w:before="50" w:after="50"/>
              <w:jc w:val="right"/>
            </w:pPr>
            <w:r w:rsidRPr="00261B7A">
              <w:rPr>
                <w:rFonts w:eastAsia="Calibri"/>
                <w:color w:val="000000"/>
              </w:rPr>
              <w:t>1.4</w:t>
            </w:r>
          </w:p>
        </w:tc>
        <w:tc>
          <w:tcPr>
            <w:tcW w:w="0" w:type="auto"/>
            <w:shd w:val="clear" w:color="auto" w:fill="FFFFFF"/>
            <w:tcMar>
              <w:top w:w="0" w:type="dxa"/>
              <w:left w:w="108" w:type="dxa"/>
              <w:bottom w:w="0" w:type="dxa"/>
              <w:right w:w="108" w:type="dxa"/>
            </w:tcMar>
          </w:tcPr>
          <w:p w14:paraId="41726F56" w14:textId="77777777" w:rsidR="00422EFE" w:rsidRPr="00261B7A" w:rsidRDefault="00422EFE" w:rsidP="00D53B36">
            <w:pPr>
              <w:pStyle w:val="TableText"/>
              <w:spacing w:before="50" w:after="50"/>
              <w:jc w:val="right"/>
            </w:pPr>
            <w:r w:rsidRPr="00261B7A">
              <w:rPr>
                <w:rFonts w:eastAsia="Calibri"/>
                <w:color w:val="000000"/>
              </w:rPr>
              <w:t>0.1</w:t>
            </w:r>
          </w:p>
        </w:tc>
        <w:tc>
          <w:tcPr>
            <w:tcW w:w="0" w:type="auto"/>
            <w:shd w:val="clear" w:color="auto" w:fill="FFFFFF"/>
            <w:tcMar>
              <w:top w:w="0" w:type="dxa"/>
              <w:left w:w="108" w:type="dxa"/>
              <w:bottom w:w="0" w:type="dxa"/>
              <w:right w:w="108" w:type="dxa"/>
            </w:tcMar>
          </w:tcPr>
          <w:p w14:paraId="5E261121"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756C057D" w14:textId="77777777" w:rsidR="00422EFE" w:rsidRPr="00261B7A" w:rsidRDefault="00422EFE" w:rsidP="00D53B36">
            <w:pPr>
              <w:pStyle w:val="TableText"/>
              <w:spacing w:before="50" w:after="50"/>
              <w:jc w:val="right"/>
            </w:pPr>
            <w:r w:rsidRPr="00261B7A">
              <w:rPr>
                <w:rFonts w:eastAsia="Calibri"/>
                <w:color w:val="000000"/>
              </w:rPr>
              <w:t>1.2</w:t>
            </w:r>
          </w:p>
        </w:tc>
        <w:tc>
          <w:tcPr>
            <w:tcW w:w="0" w:type="auto"/>
            <w:shd w:val="clear" w:color="auto" w:fill="FFFFFF"/>
            <w:tcMar>
              <w:top w:w="0" w:type="dxa"/>
              <w:left w:w="108" w:type="dxa"/>
              <w:bottom w:w="0" w:type="dxa"/>
              <w:right w:w="108" w:type="dxa"/>
            </w:tcMar>
          </w:tcPr>
          <w:p w14:paraId="4C1B78D5" w14:textId="77777777" w:rsidR="00422EFE" w:rsidRPr="00261B7A" w:rsidRDefault="00422EFE" w:rsidP="00D53B36">
            <w:pPr>
              <w:pStyle w:val="TableText"/>
              <w:spacing w:before="50" w:after="50"/>
              <w:jc w:val="right"/>
            </w:pPr>
            <w:r w:rsidRPr="00261B7A">
              <w:rPr>
                <w:rFonts w:eastAsia="Calibri"/>
                <w:color w:val="000000"/>
              </w:rPr>
              <w:t>2.9</w:t>
            </w:r>
          </w:p>
        </w:tc>
      </w:tr>
      <w:tr w:rsidR="00422EFE" w:rsidRPr="00261B7A" w14:paraId="1ADA5D76" w14:textId="77777777" w:rsidTr="00D41492">
        <w:tc>
          <w:tcPr>
            <w:tcW w:w="0" w:type="auto"/>
            <w:shd w:val="clear" w:color="auto" w:fill="FFFFFF"/>
            <w:tcMar>
              <w:top w:w="0" w:type="dxa"/>
              <w:left w:w="108" w:type="dxa"/>
              <w:bottom w:w="0" w:type="dxa"/>
              <w:right w:w="108" w:type="dxa"/>
            </w:tcMar>
          </w:tcPr>
          <w:p w14:paraId="2FCE89E1" w14:textId="77777777" w:rsidR="00422EFE" w:rsidRPr="00261B7A" w:rsidRDefault="00422EFE" w:rsidP="0058311A">
            <w:pPr>
              <w:pStyle w:val="TableText"/>
              <w:spacing w:before="40" w:after="40"/>
            </w:pPr>
            <w:r w:rsidRPr="00261B7A">
              <w:rPr>
                <w:rFonts w:eastAsia="Calibri"/>
              </w:rPr>
              <w:t>1994</w:t>
            </w:r>
          </w:p>
        </w:tc>
        <w:tc>
          <w:tcPr>
            <w:tcW w:w="0" w:type="auto"/>
            <w:shd w:val="clear" w:color="auto" w:fill="FFFFFF"/>
            <w:tcMar>
              <w:top w:w="0" w:type="dxa"/>
              <w:left w:w="108" w:type="dxa"/>
              <w:bottom w:w="0" w:type="dxa"/>
              <w:right w:w="108" w:type="dxa"/>
            </w:tcMar>
          </w:tcPr>
          <w:p w14:paraId="218C5707" w14:textId="77777777" w:rsidR="00422EFE" w:rsidRPr="00261B7A" w:rsidRDefault="00422EFE" w:rsidP="00D53B36">
            <w:pPr>
              <w:pStyle w:val="TableText"/>
              <w:spacing w:before="50" w:after="50"/>
              <w:jc w:val="right"/>
            </w:pPr>
            <w:r w:rsidRPr="00261B7A">
              <w:rPr>
                <w:rFonts w:eastAsia="Calibri"/>
                <w:color w:val="000000"/>
              </w:rPr>
              <w:t>1.5</w:t>
            </w:r>
          </w:p>
        </w:tc>
        <w:tc>
          <w:tcPr>
            <w:tcW w:w="0" w:type="auto"/>
            <w:shd w:val="clear" w:color="auto" w:fill="FFFFFF"/>
            <w:tcMar>
              <w:top w:w="0" w:type="dxa"/>
              <w:left w:w="108" w:type="dxa"/>
              <w:bottom w:w="0" w:type="dxa"/>
              <w:right w:w="108" w:type="dxa"/>
            </w:tcMar>
          </w:tcPr>
          <w:p w14:paraId="1FF37CAA" w14:textId="77777777" w:rsidR="00422EFE" w:rsidRPr="00261B7A" w:rsidRDefault="00422EFE" w:rsidP="00D53B36">
            <w:pPr>
              <w:pStyle w:val="TableText"/>
              <w:spacing w:before="50" w:after="50"/>
              <w:jc w:val="right"/>
            </w:pPr>
            <w:r w:rsidRPr="00261B7A">
              <w:rPr>
                <w:rFonts w:eastAsia="Calibri"/>
                <w:color w:val="000000"/>
              </w:rPr>
              <w:t>0.1</w:t>
            </w:r>
          </w:p>
        </w:tc>
        <w:tc>
          <w:tcPr>
            <w:tcW w:w="0" w:type="auto"/>
            <w:shd w:val="clear" w:color="auto" w:fill="FFFFFF"/>
            <w:tcMar>
              <w:top w:w="0" w:type="dxa"/>
              <w:left w:w="108" w:type="dxa"/>
              <w:bottom w:w="0" w:type="dxa"/>
              <w:right w:w="108" w:type="dxa"/>
            </w:tcMar>
          </w:tcPr>
          <w:p w14:paraId="5B02466B"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01546DB6" w14:textId="77777777" w:rsidR="00422EFE" w:rsidRPr="00261B7A" w:rsidRDefault="00422EFE" w:rsidP="00D53B36">
            <w:pPr>
              <w:pStyle w:val="TableText"/>
              <w:spacing w:before="50" w:after="50"/>
              <w:jc w:val="right"/>
            </w:pPr>
            <w:r w:rsidRPr="00261B7A">
              <w:rPr>
                <w:rFonts w:eastAsia="Calibri"/>
                <w:color w:val="000000"/>
              </w:rPr>
              <w:t>1.2</w:t>
            </w:r>
          </w:p>
        </w:tc>
        <w:tc>
          <w:tcPr>
            <w:tcW w:w="0" w:type="auto"/>
            <w:shd w:val="clear" w:color="auto" w:fill="FFFFFF"/>
            <w:tcMar>
              <w:top w:w="0" w:type="dxa"/>
              <w:left w:w="108" w:type="dxa"/>
              <w:bottom w:w="0" w:type="dxa"/>
              <w:right w:w="108" w:type="dxa"/>
            </w:tcMar>
          </w:tcPr>
          <w:p w14:paraId="1F0195BE" w14:textId="77777777" w:rsidR="00422EFE" w:rsidRPr="00261B7A" w:rsidRDefault="00422EFE" w:rsidP="00D53B36">
            <w:pPr>
              <w:pStyle w:val="TableText"/>
              <w:spacing w:before="50" w:after="50"/>
              <w:jc w:val="right"/>
            </w:pPr>
            <w:r w:rsidRPr="00261B7A">
              <w:rPr>
                <w:rFonts w:eastAsia="Calibri"/>
                <w:color w:val="000000"/>
              </w:rPr>
              <w:t>3.0</w:t>
            </w:r>
          </w:p>
        </w:tc>
      </w:tr>
      <w:tr w:rsidR="00422EFE" w:rsidRPr="00261B7A" w14:paraId="696EB58D" w14:textId="77777777" w:rsidTr="00D41492">
        <w:tc>
          <w:tcPr>
            <w:tcW w:w="0" w:type="auto"/>
            <w:shd w:val="clear" w:color="auto" w:fill="FFFFFF"/>
            <w:tcMar>
              <w:top w:w="0" w:type="dxa"/>
              <w:left w:w="108" w:type="dxa"/>
              <w:bottom w:w="0" w:type="dxa"/>
              <w:right w:w="108" w:type="dxa"/>
            </w:tcMar>
          </w:tcPr>
          <w:p w14:paraId="46404920" w14:textId="77777777" w:rsidR="00422EFE" w:rsidRPr="00261B7A" w:rsidRDefault="00422EFE" w:rsidP="0058311A">
            <w:pPr>
              <w:pStyle w:val="TableText"/>
              <w:spacing w:before="40" w:after="40"/>
            </w:pPr>
            <w:r w:rsidRPr="00261B7A">
              <w:rPr>
                <w:rFonts w:eastAsia="Calibri"/>
              </w:rPr>
              <w:t>1995</w:t>
            </w:r>
          </w:p>
        </w:tc>
        <w:tc>
          <w:tcPr>
            <w:tcW w:w="0" w:type="auto"/>
            <w:shd w:val="clear" w:color="auto" w:fill="FFFFFF"/>
            <w:tcMar>
              <w:top w:w="0" w:type="dxa"/>
              <w:left w:w="108" w:type="dxa"/>
              <w:bottom w:w="0" w:type="dxa"/>
              <w:right w:w="108" w:type="dxa"/>
            </w:tcMar>
          </w:tcPr>
          <w:p w14:paraId="2B423D3C" w14:textId="77777777" w:rsidR="00422EFE" w:rsidRPr="00261B7A" w:rsidRDefault="00422EFE" w:rsidP="00D53B36">
            <w:pPr>
              <w:pStyle w:val="TableText"/>
              <w:spacing w:before="50" w:after="50"/>
              <w:jc w:val="right"/>
            </w:pPr>
            <w:r w:rsidRPr="00261B7A">
              <w:rPr>
                <w:rFonts w:eastAsia="Calibri"/>
                <w:color w:val="000000"/>
              </w:rPr>
              <w:t>1.6</w:t>
            </w:r>
          </w:p>
        </w:tc>
        <w:tc>
          <w:tcPr>
            <w:tcW w:w="0" w:type="auto"/>
            <w:shd w:val="clear" w:color="auto" w:fill="FFFFFF"/>
            <w:tcMar>
              <w:top w:w="0" w:type="dxa"/>
              <w:left w:w="108" w:type="dxa"/>
              <w:bottom w:w="0" w:type="dxa"/>
              <w:right w:w="108" w:type="dxa"/>
            </w:tcMar>
          </w:tcPr>
          <w:p w14:paraId="2733F878" w14:textId="77777777" w:rsidR="00422EFE" w:rsidRPr="00261B7A" w:rsidRDefault="00422EFE" w:rsidP="00D53B36">
            <w:pPr>
              <w:pStyle w:val="TableText"/>
              <w:spacing w:before="50" w:after="50"/>
              <w:jc w:val="right"/>
            </w:pPr>
            <w:r w:rsidRPr="00261B7A">
              <w:rPr>
                <w:rFonts w:eastAsia="Calibri"/>
                <w:color w:val="000000"/>
              </w:rPr>
              <w:t>0.1</w:t>
            </w:r>
          </w:p>
        </w:tc>
        <w:tc>
          <w:tcPr>
            <w:tcW w:w="0" w:type="auto"/>
            <w:shd w:val="clear" w:color="auto" w:fill="FFFFFF"/>
            <w:tcMar>
              <w:top w:w="0" w:type="dxa"/>
              <w:left w:w="108" w:type="dxa"/>
              <w:bottom w:w="0" w:type="dxa"/>
              <w:right w:w="108" w:type="dxa"/>
            </w:tcMar>
          </w:tcPr>
          <w:p w14:paraId="0FCFECFD"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36C34DC6" w14:textId="77777777" w:rsidR="00422EFE" w:rsidRPr="00261B7A" w:rsidRDefault="00422EFE" w:rsidP="00D53B36">
            <w:pPr>
              <w:pStyle w:val="TableText"/>
              <w:spacing w:before="50" w:after="50"/>
              <w:jc w:val="right"/>
            </w:pPr>
            <w:r w:rsidRPr="00261B7A">
              <w:rPr>
                <w:rFonts w:eastAsia="Calibri"/>
                <w:color w:val="000000"/>
              </w:rPr>
              <w:t>1.2</w:t>
            </w:r>
          </w:p>
        </w:tc>
        <w:tc>
          <w:tcPr>
            <w:tcW w:w="0" w:type="auto"/>
            <w:shd w:val="clear" w:color="auto" w:fill="FFFFFF"/>
            <w:tcMar>
              <w:top w:w="0" w:type="dxa"/>
              <w:left w:w="108" w:type="dxa"/>
              <w:bottom w:w="0" w:type="dxa"/>
              <w:right w:w="108" w:type="dxa"/>
            </w:tcMar>
          </w:tcPr>
          <w:p w14:paraId="7D8B70AE" w14:textId="77777777" w:rsidR="00422EFE" w:rsidRPr="00261B7A" w:rsidRDefault="00422EFE" w:rsidP="00D53B36">
            <w:pPr>
              <w:pStyle w:val="TableText"/>
              <w:spacing w:before="50" w:after="50"/>
              <w:jc w:val="right"/>
            </w:pPr>
            <w:r w:rsidRPr="00261B7A">
              <w:rPr>
                <w:rFonts w:eastAsia="Calibri"/>
                <w:color w:val="000000"/>
              </w:rPr>
              <w:t>3.1</w:t>
            </w:r>
          </w:p>
        </w:tc>
      </w:tr>
      <w:tr w:rsidR="00422EFE" w:rsidRPr="00261B7A" w14:paraId="152974A4" w14:textId="77777777" w:rsidTr="00D41492">
        <w:tc>
          <w:tcPr>
            <w:tcW w:w="0" w:type="auto"/>
            <w:shd w:val="clear" w:color="auto" w:fill="FFFFFF"/>
            <w:tcMar>
              <w:top w:w="0" w:type="dxa"/>
              <w:left w:w="108" w:type="dxa"/>
              <w:bottom w:w="0" w:type="dxa"/>
              <w:right w:w="108" w:type="dxa"/>
            </w:tcMar>
          </w:tcPr>
          <w:p w14:paraId="5737C341" w14:textId="77777777" w:rsidR="00422EFE" w:rsidRPr="00261B7A" w:rsidRDefault="00422EFE" w:rsidP="0058311A">
            <w:pPr>
              <w:pStyle w:val="TableText"/>
              <w:spacing w:before="40" w:after="40"/>
            </w:pPr>
            <w:r w:rsidRPr="00261B7A">
              <w:rPr>
                <w:rFonts w:eastAsia="Calibri"/>
              </w:rPr>
              <w:t>1996</w:t>
            </w:r>
          </w:p>
        </w:tc>
        <w:tc>
          <w:tcPr>
            <w:tcW w:w="0" w:type="auto"/>
            <w:shd w:val="clear" w:color="auto" w:fill="FFFFFF"/>
            <w:tcMar>
              <w:top w:w="0" w:type="dxa"/>
              <w:left w:w="108" w:type="dxa"/>
              <w:bottom w:w="0" w:type="dxa"/>
              <w:right w:w="108" w:type="dxa"/>
            </w:tcMar>
          </w:tcPr>
          <w:p w14:paraId="114A7712" w14:textId="77777777" w:rsidR="00422EFE" w:rsidRPr="00261B7A" w:rsidRDefault="00422EFE" w:rsidP="00D53B36">
            <w:pPr>
              <w:pStyle w:val="TableText"/>
              <w:spacing w:before="50" w:after="50"/>
              <w:jc w:val="right"/>
            </w:pPr>
            <w:r w:rsidRPr="00261B7A">
              <w:rPr>
                <w:rFonts w:eastAsia="Calibri"/>
                <w:color w:val="000000"/>
              </w:rPr>
              <w:t>1.6</w:t>
            </w:r>
          </w:p>
        </w:tc>
        <w:tc>
          <w:tcPr>
            <w:tcW w:w="0" w:type="auto"/>
            <w:shd w:val="clear" w:color="auto" w:fill="FFFFFF"/>
            <w:tcMar>
              <w:top w:w="0" w:type="dxa"/>
              <w:left w:w="108" w:type="dxa"/>
              <w:bottom w:w="0" w:type="dxa"/>
              <w:right w:w="108" w:type="dxa"/>
            </w:tcMar>
          </w:tcPr>
          <w:p w14:paraId="70C6BAF0" w14:textId="77777777" w:rsidR="00422EFE" w:rsidRPr="00261B7A" w:rsidRDefault="00422EFE" w:rsidP="00D53B36">
            <w:pPr>
              <w:pStyle w:val="TableText"/>
              <w:spacing w:before="50" w:after="50"/>
              <w:jc w:val="right"/>
            </w:pPr>
            <w:r w:rsidRPr="00261B7A">
              <w:rPr>
                <w:rFonts w:eastAsia="Calibri"/>
                <w:color w:val="000000"/>
              </w:rPr>
              <w:t>0.1</w:t>
            </w:r>
          </w:p>
        </w:tc>
        <w:tc>
          <w:tcPr>
            <w:tcW w:w="0" w:type="auto"/>
            <w:shd w:val="clear" w:color="auto" w:fill="FFFFFF"/>
            <w:tcMar>
              <w:top w:w="0" w:type="dxa"/>
              <w:left w:w="108" w:type="dxa"/>
              <w:bottom w:w="0" w:type="dxa"/>
              <w:right w:w="108" w:type="dxa"/>
            </w:tcMar>
          </w:tcPr>
          <w:p w14:paraId="12FE7B62"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47D00B2F" w14:textId="77777777" w:rsidR="00422EFE" w:rsidRPr="00261B7A" w:rsidRDefault="00422EFE" w:rsidP="00D53B36">
            <w:pPr>
              <w:pStyle w:val="TableText"/>
              <w:spacing w:before="50" w:after="50"/>
              <w:jc w:val="right"/>
            </w:pPr>
            <w:r w:rsidRPr="00261B7A">
              <w:rPr>
                <w:rFonts w:eastAsia="Calibri"/>
                <w:color w:val="000000"/>
              </w:rPr>
              <w:t>1.2</w:t>
            </w:r>
          </w:p>
        </w:tc>
        <w:tc>
          <w:tcPr>
            <w:tcW w:w="0" w:type="auto"/>
            <w:shd w:val="clear" w:color="auto" w:fill="FFFFFF"/>
            <w:tcMar>
              <w:top w:w="0" w:type="dxa"/>
              <w:left w:w="108" w:type="dxa"/>
              <w:bottom w:w="0" w:type="dxa"/>
              <w:right w:w="108" w:type="dxa"/>
            </w:tcMar>
          </w:tcPr>
          <w:p w14:paraId="1349E6D7" w14:textId="77777777" w:rsidR="00422EFE" w:rsidRPr="00261B7A" w:rsidRDefault="00422EFE" w:rsidP="00D53B36">
            <w:pPr>
              <w:pStyle w:val="TableText"/>
              <w:spacing w:before="50" w:after="50"/>
              <w:jc w:val="right"/>
            </w:pPr>
            <w:r w:rsidRPr="00261B7A">
              <w:rPr>
                <w:rFonts w:eastAsia="Calibri"/>
                <w:color w:val="000000"/>
              </w:rPr>
              <w:t>3.2</w:t>
            </w:r>
          </w:p>
        </w:tc>
      </w:tr>
      <w:tr w:rsidR="00422EFE" w:rsidRPr="00261B7A" w14:paraId="137F37DB" w14:textId="77777777" w:rsidTr="00D41492">
        <w:tc>
          <w:tcPr>
            <w:tcW w:w="0" w:type="auto"/>
            <w:shd w:val="clear" w:color="auto" w:fill="FFFFFF"/>
            <w:tcMar>
              <w:top w:w="0" w:type="dxa"/>
              <w:left w:w="108" w:type="dxa"/>
              <w:bottom w:w="0" w:type="dxa"/>
              <w:right w:w="108" w:type="dxa"/>
            </w:tcMar>
          </w:tcPr>
          <w:p w14:paraId="726C6355" w14:textId="77777777" w:rsidR="00422EFE" w:rsidRPr="00261B7A" w:rsidRDefault="00422EFE" w:rsidP="0058311A">
            <w:pPr>
              <w:pStyle w:val="TableText"/>
              <w:spacing w:before="40" w:after="40"/>
            </w:pPr>
            <w:r w:rsidRPr="00261B7A">
              <w:rPr>
                <w:rFonts w:eastAsia="Calibri"/>
              </w:rPr>
              <w:t>1997</w:t>
            </w:r>
          </w:p>
        </w:tc>
        <w:tc>
          <w:tcPr>
            <w:tcW w:w="0" w:type="auto"/>
            <w:shd w:val="clear" w:color="auto" w:fill="FFFFFF"/>
            <w:tcMar>
              <w:top w:w="0" w:type="dxa"/>
              <w:left w:w="108" w:type="dxa"/>
              <w:bottom w:w="0" w:type="dxa"/>
              <w:right w:w="108" w:type="dxa"/>
            </w:tcMar>
          </w:tcPr>
          <w:p w14:paraId="432BB714" w14:textId="77777777" w:rsidR="00422EFE" w:rsidRPr="00261B7A" w:rsidRDefault="00422EFE" w:rsidP="00D53B36">
            <w:pPr>
              <w:pStyle w:val="TableText"/>
              <w:spacing w:before="50" w:after="50"/>
              <w:jc w:val="right"/>
            </w:pPr>
            <w:r w:rsidRPr="00261B7A">
              <w:rPr>
                <w:rFonts w:eastAsia="Calibri"/>
                <w:color w:val="000000"/>
              </w:rPr>
              <w:t>1.6</w:t>
            </w:r>
          </w:p>
        </w:tc>
        <w:tc>
          <w:tcPr>
            <w:tcW w:w="0" w:type="auto"/>
            <w:shd w:val="clear" w:color="auto" w:fill="FFFFFF"/>
            <w:tcMar>
              <w:top w:w="0" w:type="dxa"/>
              <w:left w:w="108" w:type="dxa"/>
              <w:bottom w:w="0" w:type="dxa"/>
              <w:right w:w="108" w:type="dxa"/>
            </w:tcMar>
          </w:tcPr>
          <w:p w14:paraId="7F1B5633" w14:textId="77777777" w:rsidR="00422EFE" w:rsidRPr="00261B7A" w:rsidRDefault="00422EFE" w:rsidP="00D53B36">
            <w:pPr>
              <w:pStyle w:val="TableText"/>
              <w:spacing w:before="50" w:after="50"/>
              <w:jc w:val="right"/>
            </w:pPr>
            <w:r w:rsidRPr="00261B7A">
              <w:rPr>
                <w:rFonts w:eastAsia="Calibri"/>
                <w:color w:val="000000"/>
              </w:rPr>
              <w:t>0.1</w:t>
            </w:r>
          </w:p>
        </w:tc>
        <w:tc>
          <w:tcPr>
            <w:tcW w:w="0" w:type="auto"/>
            <w:shd w:val="clear" w:color="auto" w:fill="FFFFFF"/>
            <w:tcMar>
              <w:top w:w="0" w:type="dxa"/>
              <w:left w:w="108" w:type="dxa"/>
              <w:bottom w:w="0" w:type="dxa"/>
              <w:right w:w="108" w:type="dxa"/>
            </w:tcMar>
          </w:tcPr>
          <w:p w14:paraId="56C6DDDC"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263A1A2A" w14:textId="77777777" w:rsidR="00422EFE" w:rsidRPr="00261B7A" w:rsidRDefault="00422EFE" w:rsidP="00D53B36">
            <w:pPr>
              <w:pStyle w:val="TableText"/>
              <w:spacing w:before="50" w:after="50"/>
              <w:jc w:val="right"/>
            </w:pPr>
            <w:r w:rsidRPr="00261B7A">
              <w:rPr>
                <w:rFonts w:eastAsia="Calibri"/>
                <w:color w:val="000000"/>
              </w:rPr>
              <w:t>1.2</w:t>
            </w:r>
          </w:p>
        </w:tc>
        <w:tc>
          <w:tcPr>
            <w:tcW w:w="0" w:type="auto"/>
            <w:shd w:val="clear" w:color="auto" w:fill="FFFFFF"/>
            <w:tcMar>
              <w:top w:w="0" w:type="dxa"/>
              <w:left w:w="108" w:type="dxa"/>
              <w:bottom w:w="0" w:type="dxa"/>
              <w:right w:w="108" w:type="dxa"/>
            </w:tcMar>
          </w:tcPr>
          <w:p w14:paraId="1E0A7D8C" w14:textId="77777777" w:rsidR="00422EFE" w:rsidRPr="00261B7A" w:rsidRDefault="00422EFE" w:rsidP="00D53B36">
            <w:pPr>
              <w:pStyle w:val="TableText"/>
              <w:spacing w:before="50" w:after="50"/>
              <w:jc w:val="right"/>
            </w:pPr>
            <w:r w:rsidRPr="00261B7A">
              <w:rPr>
                <w:rFonts w:eastAsia="Calibri"/>
                <w:color w:val="000000"/>
              </w:rPr>
              <w:t>3.2</w:t>
            </w:r>
          </w:p>
        </w:tc>
      </w:tr>
      <w:tr w:rsidR="00422EFE" w:rsidRPr="00261B7A" w14:paraId="5D23CA16" w14:textId="77777777" w:rsidTr="00D41492">
        <w:tc>
          <w:tcPr>
            <w:tcW w:w="0" w:type="auto"/>
            <w:shd w:val="clear" w:color="auto" w:fill="FFFFFF"/>
            <w:tcMar>
              <w:top w:w="0" w:type="dxa"/>
              <w:left w:w="108" w:type="dxa"/>
              <w:bottom w:w="0" w:type="dxa"/>
              <w:right w:w="108" w:type="dxa"/>
            </w:tcMar>
          </w:tcPr>
          <w:p w14:paraId="128E97CA" w14:textId="77777777" w:rsidR="00422EFE" w:rsidRPr="00261B7A" w:rsidRDefault="00422EFE" w:rsidP="0058311A">
            <w:pPr>
              <w:pStyle w:val="TableText"/>
              <w:spacing w:before="40" w:after="40"/>
            </w:pPr>
            <w:r w:rsidRPr="00261B7A">
              <w:rPr>
                <w:rFonts w:eastAsia="Calibri"/>
              </w:rPr>
              <w:t>1998</w:t>
            </w:r>
          </w:p>
        </w:tc>
        <w:tc>
          <w:tcPr>
            <w:tcW w:w="0" w:type="auto"/>
            <w:shd w:val="clear" w:color="auto" w:fill="FFFFFF"/>
            <w:tcMar>
              <w:top w:w="0" w:type="dxa"/>
              <w:left w:w="108" w:type="dxa"/>
              <w:bottom w:w="0" w:type="dxa"/>
              <w:right w:w="108" w:type="dxa"/>
            </w:tcMar>
          </w:tcPr>
          <w:p w14:paraId="0361E1F3" w14:textId="77777777" w:rsidR="00422EFE" w:rsidRPr="00261B7A" w:rsidRDefault="00422EFE" w:rsidP="00D53B36">
            <w:pPr>
              <w:pStyle w:val="TableText"/>
              <w:spacing w:before="50" w:after="50"/>
              <w:jc w:val="right"/>
            </w:pPr>
            <w:r w:rsidRPr="00261B7A">
              <w:rPr>
                <w:rFonts w:eastAsia="Calibri"/>
                <w:color w:val="000000"/>
              </w:rPr>
              <w:t>1.7</w:t>
            </w:r>
          </w:p>
        </w:tc>
        <w:tc>
          <w:tcPr>
            <w:tcW w:w="0" w:type="auto"/>
            <w:shd w:val="clear" w:color="auto" w:fill="FFFFFF"/>
            <w:tcMar>
              <w:top w:w="0" w:type="dxa"/>
              <w:left w:w="108" w:type="dxa"/>
              <w:bottom w:w="0" w:type="dxa"/>
              <w:right w:w="108" w:type="dxa"/>
            </w:tcMar>
          </w:tcPr>
          <w:p w14:paraId="5D25D847" w14:textId="77777777" w:rsidR="00422EFE" w:rsidRPr="00261B7A" w:rsidRDefault="00422EFE" w:rsidP="00D53B36">
            <w:pPr>
              <w:pStyle w:val="TableText"/>
              <w:spacing w:before="50" w:after="50"/>
              <w:jc w:val="right"/>
            </w:pPr>
            <w:r w:rsidRPr="00261B7A">
              <w:rPr>
                <w:rFonts w:eastAsia="Calibri"/>
                <w:color w:val="000000"/>
              </w:rPr>
              <w:t>0.1</w:t>
            </w:r>
          </w:p>
        </w:tc>
        <w:tc>
          <w:tcPr>
            <w:tcW w:w="0" w:type="auto"/>
            <w:shd w:val="clear" w:color="auto" w:fill="FFFFFF"/>
            <w:tcMar>
              <w:top w:w="0" w:type="dxa"/>
              <w:left w:w="108" w:type="dxa"/>
              <w:bottom w:w="0" w:type="dxa"/>
              <w:right w:w="108" w:type="dxa"/>
            </w:tcMar>
          </w:tcPr>
          <w:p w14:paraId="0FE7140E"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2EF92505" w14:textId="77777777" w:rsidR="00422EFE" w:rsidRPr="00261B7A" w:rsidRDefault="00422EFE" w:rsidP="00D53B36">
            <w:pPr>
              <w:pStyle w:val="TableText"/>
              <w:spacing w:before="50" w:after="50"/>
              <w:jc w:val="right"/>
            </w:pPr>
            <w:r w:rsidRPr="00261B7A">
              <w:rPr>
                <w:rFonts w:eastAsia="Calibri"/>
                <w:color w:val="000000"/>
              </w:rPr>
              <w:t>1.2</w:t>
            </w:r>
          </w:p>
        </w:tc>
        <w:tc>
          <w:tcPr>
            <w:tcW w:w="0" w:type="auto"/>
            <w:shd w:val="clear" w:color="auto" w:fill="FFFFFF"/>
            <w:tcMar>
              <w:top w:w="0" w:type="dxa"/>
              <w:left w:w="108" w:type="dxa"/>
              <w:bottom w:w="0" w:type="dxa"/>
              <w:right w:w="108" w:type="dxa"/>
            </w:tcMar>
          </w:tcPr>
          <w:p w14:paraId="270DF2AE" w14:textId="77777777" w:rsidR="00422EFE" w:rsidRPr="00261B7A" w:rsidRDefault="00422EFE" w:rsidP="00D53B36">
            <w:pPr>
              <w:pStyle w:val="TableText"/>
              <w:spacing w:before="50" w:after="50"/>
              <w:jc w:val="right"/>
            </w:pPr>
            <w:r w:rsidRPr="00261B7A">
              <w:rPr>
                <w:rFonts w:eastAsia="Calibri"/>
                <w:color w:val="000000"/>
              </w:rPr>
              <w:t>3.2</w:t>
            </w:r>
          </w:p>
        </w:tc>
      </w:tr>
      <w:tr w:rsidR="00422EFE" w:rsidRPr="00261B7A" w14:paraId="6F25F8C6" w14:textId="77777777" w:rsidTr="00D41492">
        <w:tc>
          <w:tcPr>
            <w:tcW w:w="0" w:type="auto"/>
            <w:shd w:val="clear" w:color="auto" w:fill="FFFFFF"/>
            <w:tcMar>
              <w:top w:w="0" w:type="dxa"/>
              <w:left w:w="108" w:type="dxa"/>
              <w:bottom w:w="0" w:type="dxa"/>
              <w:right w:w="108" w:type="dxa"/>
            </w:tcMar>
          </w:tcPr>
          <w:p w14:paraId="410C95C5" w14:textId="77777777" w:rsidR="00422EFE" w:rsidRPr="00261B7A" w:rsidRDefault="00422EFE" w:rsidP="0058311A">
            <w:pPr>
              <w:pStyle w:val="TableText"/>
              <w:spacing w:before="40" w:after="40"/>
            </w:pPr>
            <w:r w:rsidRPr="00261B7A">
              <w:rPr>
                <w:rFonts w:eastAsia="Calibri"/>
              </w:rPr>
              <w:t>1999</w:t>
            </w:r>
          </w:p>
        </w:tc>
        <w:tc>
          <w:tcPr>
            <w:tcW w:w="0" w:type="auto"/>
            <w:shd w:val="clear" w:color="auto" w:fill="FFFFFF"/>
            <w:tcMar>
              <w:top w:w="0" w:type="dxa"/>
              <w:left w:w="108" w:type="dxa"/>
              <w:bottom w:w="0" w:type="dxa"/>
              <w:right w:w="108" w:type="dxa"/>
            </w:tcMar>
          </w:tcPr>
          <w:p w14:paraId="1ADA7000" w14:textId="77777777" w:rsidR="00422EFE" w:rsidRPr="00261B7A" w:rsidRDefault="00422EFE" w:rsidP="00D53B36">
            <w:pPr>
              <w:pStyle w:val="TableText"/>
              <w:spacing w:before="50" w:after="50"/>
              <w:jc w:val="right"/>
            </w:pPr>
            <w:r w:rsidRPr="00261B7A">
              <w:rPr>
                <w:rFonts w:eastAsia="Calibri"/>
                <w:color w:val="000000"/>
              </w:rPr>
              <w:t>1.5</w:t>
            </w:r>
          </w:p>
        </w:tc>
        <w:tc>
          <w:tcPr>
            <w:tcW w:w="0" w:type="auto"/>
            <w:shd w:val="clear" w:color="auto" w:fill="FFFFFF"/>
            <w:tcMar>
              <w:top w:w="0" w:type="dxa"/>
              <w:left w:w="108" w:type="dxa"/>
              <w:bottom w:w="0" w:type="dxa"/>
              <w:right w:w="108" w:type="dxa"/>
            </w:tcMar>
          </w:tcPr>
          <w:p w14:paraId="490763C6" w14:textId="77777777" w:rsidR="00422EFE" w:rsidRPr="00261B7A" w:rsidRDefault="00422EFE" w:rsidP="00D53B36">
            <w:pPr>
              <w:pStyle w:val="TableText"/>
              <w:spacing w:before="50" w:after="50"/>
              <w:jc w:val="right"/>
            </w:pPr>
            <w:r w:rsidRPr="00261B7A">
              <w:rPr>
                <w:rFonts w:eastAsia="Calibri"/>
                <w:color w:val="000000"/>
              </w:rPr>
              <w:t>0.1</w:t>
            </w:r>
          </w:p>
        </w:tc>
        <w:tc>
          <w:tcPr>
            <w:tcW w:w="0" w:type="auto"/>
            <w:shd w:val="clear" w:color="auto" w:fill="FFFFFF"/>
            <w:tcMar>
              <w:top w:w="0" w:type="dxa"/>
              <w:left w:w="108" w:type="dxa"/>
              <w:bottom w:w="0" w:type="dxa"/>
              <w:right w:w="108" w:type="dxa"/>
            </w:tcMar>
          </w:tcPr>
          <w:p w14:paraId="3B8B907A" w14:textId="77777777" w:rsidR="00422EFE" w:rsidRPr="00261B7A" w:rsidRDefault="00422EFE" w:rsidP="00D53B36">
            <w:pPr>
              <w:pStyle w:val="TableText"/>
              <w:spacing w:before="50" w:after="50"/>
              <w:jc w:val="right"/>
            </w:pPr>
            <w:r w:rsidRPr="00261B7A">
              <w:rPr>
                <w:rFonts w:eastAsia="Calibri"/>
                <w:color w:val="000000"/>
              </w:rPr>
              <w:t>0.3</w:t>
            </w:r>
          </w:p>
        </w:tc>
        <w:tc>
          <w:tcPr>
            <w:tcW w:w="0" w:type="auto"/>
            <w:shd w:val="clear" w:color="auto" w:fill="FFFFFF"/>
            <w:tcMar>
              <w:top w:w="0" w:type="dxa"/>
              <w:left w:w="108" w:type="dxa"/>
              <w:bottom w:w="0" w:type="dxa"/>
              <w:right w:w="108" w:type="dxa"/>
            </w:tcMar>
          </w:tcPr>
          <w:p w14:paraId="74326139" w14:textId="77777777" w:rsidR="00422EFE" w:rsidRPr="00261B7A" w:rsidRDefault="00422EFE" w:rsidP="00D53B36">
            <w:pPr>
              <w:pStyle w:val="TableText"/>
              <w:spacing w:before="50" w:after="50"/>
              <w:jc w:val="right"/>
            </w:pPr>
            <w:r w:rsidRPr="00261B7A">
              <w:rPr>
                <w:rFonts w:eastAsia="Calibri"/>
                <w:color w:val="000000"/>
              </w:rPr>
              <w:t>1.2</w:t>
            </w:r>
          </w:p>
        </w:tc>
        <w:tc>
          <w:tcPr>
            <w:tcW w:w="0" w:type="auto"/>
            <w:shd w:val="clear" w:color="auto" w:fill="FFFFFF"/>
            <w:tcMar>
              <w:top w:w="0" w:type="dxa"/>
              <w:left w:w="108" w:type="dxa"/>
              <w:bottom w:w="0" w:type="dxa"/>
              <w:right w:w="108" w:type="dxa"/>
            </w:tcMar>
          </w:tcPr>
          <w:p w14:paraId="4BC8BDCB" w14:textId="77777777" w:rsidR="00422EFE" w:rsidRPr="00261B7A" w:rsidRDefault="00422EFE" w:rsidP="00D53B36">
            <w:pPr>
              <w:pStyle w:val="TableText"/>
              <w:spacing w:before="50" w:after="50"/>
              <w:jc w:val="right"/>
            </w:pPr>
            <w:r w:rsidRPr="00261B7A">
              <w:rPr>
                <w:rFonts w:eastAsia="Calibri"/>
                <w:color w:val="000000"/>
              </w:rPr>
              <w:t>3.1</w:t>
            </w:r>
          </w:p>
        </w:tc>
      </w:tr>
      <w:tr w:rsidR="00422EFE" w:rsidRPr="00261B7A" w14:paraId="6ECD6D10" w14:textId="77777777" w:rsidTr="00D41492">
        <w:tc>
          <w:tcPr>
            <w:tcW w:w="0" w:type="auto"/>
            <w:shd w:val="clear" w:color="auto" w:fill="FFFFFF"/>
            <w:tcMar>
              <w:top w:w="0" w:type="dxa"/>
              <w:left w:w="108" w:type="dxa"/>
              <w:bottom w:w="0" w:type="dxa"/>
              <w:right w:w="108" w:type="dxa"/>
            </w:tcMar>
          </w:tcPr>
          <w:p w14:paraId="1EC5B094" w14:textId="77777777" w:rsidR="00422EFE" w:rsidRPr="00261B7A" w:rsidRDefault="00422EFE" w:rsidP="0058311A">
            <w:pPr>
              <w:pStyle w:val="TableText"/>
              <w:spacing w:before="40" w:after="40"/>
            </w:pPr>
            <w:r w:rsidRPr="00261B7A">
              <w:rPr>
                <w:rFonts w:eastAsia="Calibri"/>
              </w:rPr>
              <w:t>2000</w:t>
            </w:r>
          </w:p>
        </w:tc>
        <w:tc>
          <w:tcPr>
            <w:tcW w:w="0" w:type="auto"/>
            <w:shd w:val="clear" w:color="auto" w:fill="FFFFFF"/>
            <w:tcMar>
              <w:top w:w="0" w:type="dxa"/>
              <w:left w:w="108" w:type="dxa"/>
              <w:bottom w:w="0" w:type="dxa"/>
              <w:right w:w="108" w:type="dxa"/>
            </w:tcMar>
          </w:tcPr>
          <w:p w14:paraId="2113DFEE" w14:textId="77777777" w:rsidR="00422EFE" w:rsidRPr="00261B7A" w:rsidRDefault="00422EFE" w:rsidP="00D53B36">
            <w:pPr>
              <w:pStyle w:val="TableText"/>
              <w:spacing w:before="50" w:after="50"/>
              <w:jc w:val="right"/>
            </w:pPr>
            <w:r w:rsidRPr="00261B7A">
              <w:rPr>
                <w:rFonts w:eastAsia="Calibri"/>
                <w:color w:val="000000"/>
              </w:rPr>
              <w:t>1.6</w:t>
            </w:r>
          </w:p>
        </w:tc>
        <w:tc>
          <w:tcPr>
            <w:tcW w:w="0" w:type="auto"/>
            <w:shd w:val="clear" w:color="auto" w:fill="FFFFFF"/>
            <w:tcMar>
              <w:top w:w="0" w:type="dxa"/>
              <w:left w:w="108" w:type="dxa"/>
              <w:bottom w:w="0" w:type="dxa"/>
              <w:right w:w="108" w:type="dxa"/>
            </w:tcMar>
          </w:tcPr>
          <w:p w14:paraId="12826FDA" w14:textId="77777777" w:rsidR="00422EFE" w:rsidRPr="00261B7A" w:rsidRDefault="00422EFE" w:rsidP="00D53B36">
            <w:pPr>
              <w:pStyle w:val="TableText"/>
              <w:spacing w:before="50" w:after="50"/>
              <w:jc w:val="right"/>
            </w:pPr>
            <w:r w:rsidRPr="00261B7A">
              <w:rPr>
                <w:rFonts w:eastAsia="Calibri"/>
                <w:color w:val="000000"/>
              </w:rPr>
              <w:t>0.1</w:t>
            </w:r>
          </w:p>
        </w:tc>
        <w:tc>
          <w:tcPr>
            <w:tcW w:w="0" w:type="auto"/>
            <w:shd w:val="clear" w:color="auto" w:fill="FFFFFF"/>
            <w:tcMar>
              <w:top w:w="0" w:type="dxa"/>
              <w:left w:w="108" w:type="dxa"/>
              <w:bottom w:w="0" w:type="dxa"/>
              <w:right w:w="108" w:type="dxa"/>
            </w:tcMar>
          </w:tcPr>
          <w:p w14:paraId="3109AF20" w14:textId="77777777" w:rsidR="00422EFE" w:rsidRPr="00261B7A" w:rsidRDefault="00422EFE" w:rsidP="00D53B36">
            <w:pPr>
              <w:pStyle w:val="TableText"/>
              <w:spacing w:before="50" w:after="50"/>
              <w:jc w:val="right"/>
            </w:pPr>
            <w:r w:rsidRPr="00261B7A">
              <w:rPr>
                <w:rFonts w:eastAsia="Calibri"/>
                <w:color w:val="000000"/>
              </w:rPr>
              <w:t>0.3</w:t>
            </w:r>
          </w:p>
        </w:tc>
        <w:tc>
          <w:tcPr>
            <w:tcW w:w="0" w:type="auto"/>
            <w:shd w:val="clear" w:color="auto" w:fill="FFFFFF"/>
            <w:tcMar>
              <w:top w:w="0" w:type="dxa"/>
              <w:left w:w="108" w:type="dxa"/>
              <w:bottom w:w="0" w:type="dxa"/>
              <w:right w:w="108" w:type="dxa"/>
            </w:tcMar>
          </w:tcPr>
          <w:p w14:paraId="5B90298D" w14:textId="77777777" w:rsidR="00422EFE" w:rsidRPr="00261B7A" w:rsidRDefault="00422EFE" w:rsidP="00D53B36">
            <w:pPr>
              <w:pStyle w:val="TableText"/>
              <w:spacing w:before="50" w:after="50"/>
              <w:jc w:val="right"/>
            </w:pPr>
            <w:r w:rsidRPr="00261B7A">
              <w:rPr>
                <w:rFonts w:eastAsia="Calibri"/>
                <w:color w:val="000000"/>
              </w:rPr>
              <w:t>1.2</w:t>
            </w:r>
          </w:p>
        </w:tc>
        <w:tc>
          <w:tcPr>
            <w:tcW w:w="0" w:type="auto"/>
            <w:shd w:val="clear" w:color="auto" w:fill="FFFFFF"/>
            <w:tcMar>
              <w:top w:w="0" w:type="dxa"/>
              <w:left w:w="108" w:type="dxa"/>
              <w:bottom w:w="0" w:type="dxa"/>
              <w:right w:w="108" w:type="dxa"/>
            </w:tcMar>
          </w:tcPr>
          <w:p w14:paraId="4496F8A3" w14:textId="77777777" w:rsidR="00422EFE" w:rsidRPr="00261B7A" w:rsidRDefault="00422EFE" w:rsidP="00D53B36">
            <w:pPr>
              <w:pStyle w:val="TableText"/>
              <w:spacing w:before="50" w:after="50"/>
              <w:jc w:val="right"/>
            </w:pPr>
            <w:r w:rsidRPr="00261B7A">
              <w:rPr>
                <w:rFonts w:eastAsia="Calibri"/>
                <w:color w:val="000000"/>
              </w:rPr>
              <w:t>3.2</w:t>
            </w:r>
          </w:p>
        </w:tc>
      </w:tr>
      <w:tr w:rsidR="00422EFE" w:rsidRPr="00261B7A" w14:paraId="32F7DF15" w14:textId="77777777" w:rsidTr="00D41492">
        <w:tc>
          <w:tcPr>
            <w:tcW w:w="0" w:type="auto"/>
            <w:shd w:val="clear" w:color="auto" w:fill="FFFFFF"/>
            <w:tcMar>
              <w:top w:w="0" w:type="dxa"/>
              <w:left w:w="108" w:type="dxa"/>
              <w:bottom w:w="0" w:type="dxa"/>
              <w:right w:w="108" w:type="dxa"/>
            </w:tcMar>
          </w:tcPr>
          <w:p w14:paraId="59DDF593" w14:textId="77777777" w:rsidR="00422EFE" w:rsidRPr="00261B7A" w:rsidRDefault="00422EFE" w:rsidP="0058311A">
            <w:pPr>
              <w:pStyle w:val="TableText"/>
              <w:spacing w:before="40" w:after="40"/>
            </w:pPr>
            <w:r w:rsidRPr="00261B7A">
              <w:rPr>
                <w:rFonts w:eastAsia="Calibri"/>
              </w:rPr>
              <w:t>2001</w:t>
            </w:r>
          </w:p>
        </w:tc>
        <w:tc>
          <w:tcPr>
            <w:tcW w:w="0" w:type="auto"/>
            <w:shd w:val="clear" w:color="auto" w:fill="FFFFFF"/>
            <w:tcMar>
              <w:top w:w="0" w:type="dxa"/>
              <w:left w:w="108" w:type="dxa"/>
              <w:bottom w:w="0" w:type="dxa"/>
              <w:right w:w="108" w:type="dxa"/>
            </w:tcMar>
          </w:tcPr>
          <w:p w14:paraId="3322DE7F" w14:textId="77777777" w:rsidR="00422EFE" w:rsidRPr="00261B7A" w:rsidRDefault="00422EFE" w:rsidP="00D53B36">
            <w:pPr>
              <w:pStyle w:val="TableText"/>
              <w:spacing w:before="50" w:after="50"/>
              <w:jc w:val="right"/>
            </w:pPr>
            <w:r w:rsidRPr="00261B7A">
              <w:rPr>
                <w:rFonts w:eastAsia="Calibri"/>
                <w:color w:val="000000"/>
              </w:rPr>
              <w:t>1.6</w:t>
            </w:r>
          </w:p>
        </w:tc>
        <w:tc>
          <w:tcPr>
            <w:tcW w:w="0" w:type="auto"/>
            <w:shd w:val="clear" w:color="auto" w:fill="FFFFFF"/>
            <w:tcMar>
              <w:top w:w="0" w:type="dxa"/>
              <w:left w:w="108" w:type="dxa"/>
              <w:bottom w:w="0" w:type="dxa"/>
              <w:right w:w="108" w:type="dxa"/>
            </w:tcMar>
          </w:tcPr>
          <w:p w14:paraId="5BBE7CA9" w14:textId="77777777" w:rsidR="00422EFE" w:rsidRPr="00261B7A" w:rsidRDefault="00422EFE" w:rsidP="00D53B36">
            <w:pPr>
              <w:pStyle w:val="TableText"/>
              <w:spacing w:before="50" w:after="50"/>
              <w:jc w:val="right"/>
            </w:pPr>
            <w:r w:rsidRPr="00261B7A">
              <w:rPr>
                <w:rFonts w:eastAsia="Calibri"/>
                <w:color w:val="000000"/>
              </w:rPr>
              <w:t>0.1</w:t>
            </w:r>
          </w:p>
        </w:tc>
        <w:tc>
          <w:tcPr>
            <w:tcW w:w="0" w:type="auto"/>
            <w:shd w:val="clear" w:color="auto" w:fill="FFFFFF"/>
            <w:tcMar>
              <w:top w:w="0" w:type="dxa"/>
              <w:left w:w="108" w:type="dxa"/>
              <w:bottom w:w="0" w:type="dxa"/>
              <w:right w:w="108" w:type="dxa"/>
            </w:tcMar>
          </w:tcPr>
          <w:p w14:paraId="35C14705" w14:textId="77777777" w:rsidR="00422EFE" w:rsidRPr="00261B7A" w:rsidRDefault="00422EFE" w:rsidP="00D53B36">
            <w:pPr>
              <w:pStyle w:val="TableText"/>
              <w:spacing w:before="50" w:after="50"/>
              <w:jc w:val="right"/>
            </w:pPr>
            <w:r w:rsidRPr="00261B7A">
              <w:rPr>
                <w:rFonts w:eastAsia="Calibri"/>
                <w:color w:val="000000"/>
              </w:rPr>
              <w:t>0.3</w:t>
            </w:r>
          </w:p>
        </w:tc>
        <w:tc>
          <w:tcPr>
            <w:tcW w:w="0" w:type="auto"/>
            <w:shd w:val="clear" w:color="auto" w:fill="FFFFFF"/>
            <w:tcMar>
              <w:top w:w="0" w:type="dxa"/>
              <w:left w:w="108" w:type="dxa"/>
              <w:bottom w:w="0" w:type="dxa"/>
              <w:right w:w="108" w:type="dxa"/>
            </w:tcMar>
          </w:tcPr>
          <w:p w14:paraId="52CE6CAC" w14:textId="77777777" w:rsidR="00422EFE" w:rsidRPr="00261B7A" w:rsidRDefault="00422EFE" w:rsidP="00D53B36">
            <w:pPr>
              <w:pStyle w:val="TableText"/>
              <w:spacing w:before="50" w:after="50"/>
              <w:jc w:val="right"/>
            </w:pPr>
            <w:r w:rsidRPr="00261B7A">
              <w:rPr>
                <w:rFonts w:eastAsia="Calibri"/>
                <w:color w:val="000000"/>
              </w:rPr>
              <w:t>1.2</w:t>
            </w:r>
          </w:p>
        </w:tc>
        <w:tc>
          <w:tcPr>
            <w:tcW w:w="0" w:type="auto"/>
            <w:shd w:val="clear" w:color="auto" w:fill="FFFFFF"/>
            <w:tcMar>
              <w:top w:w="0" w:type="dxa"/>
              <w:left w:w="108" w:type="dxa"/>
              <w:bottom w:w="0" w:type="dxa"/>
              <w:right w:w="108" w:type="dxa"/>
            </w:tcMar>
          </w:tcPr>
          <w:p w14:paraId="542BE4DD" w14:textId="77777777" w:rsidR="00422EFE" w:rsidRPr="00261B7A" w:rsidRDefault="00422EFE" w:rsidP="00D53B36">
            <w:pPr>
              <w:pStyle w:val="TableText"/>
              <w:spacing w:before="50" w:after="50"/>
              <w:jc w:val="right"/>
            </w:pPr>
            <w:r w:rsidRPr="00261B7A">
              <w:rPr>
                <w:rFonts w:eastAsia="Calibri"/>
                <w:color w:val="000000"/>
              </w:rPr>
              <w:t>3.3</w:t>
            </w:r>
          </w:p>
        </w:tc>
      </w:tr>
      <w:tr w:rsidR="00422EFE" w:rsidRPr="00261B7A" w14:paraId="5EBFB1B9" w14:textId="77777777" w:rsidTr="00D41492">
        <w:tc>
          <w:tcPr>
            <w:tcW w:w="0" w:type="auto"/>
            <w:shd w:val="clear" w:color="auto" w:fill="FFFFFF"/>
            <w:tcMar>
              <w:top w:w="0" w:type="dxa"/>
              <w:left w:w="108" w:type="dxa"/>
              <w:bottom w:w="0" w:type="dxa"/>
              <w:right w:w="108" w:type="dxa"/>
            </w:tcMar>
          </w:tcPr>
          <w:p w14:paraId="6A35F893" w14:textId="77777777" w:rsidR="00422EFE" w:rsidRPr="00261B7A" w:rsidRDefault="00422EFE" w:rsidP="0058311A">
            <w:pPr>
              <w:pStyle w:val="TableText"/>
              <w:spacing w:before="40" w:after="40"/>
            </w:pPr>
            <w:r w:rsidRPr="00261B7A">
              <w:rPr>
                <w:rFonts w:eastAsia="Calibri"/>
              </w:rPr>
              <w:t>2002</w:t>
            </w:r>
          </w:p>
        </w:tc>
        <w:tc>
          <w:tcPr>
            <w:tcW w:w="0" w:type="auto"/>
            <w:shd w:val="clear" w:color="auto" w:fill="FFFFFF"/>
            <w:tcMar>
              <w:top w:w="0" w:type="dxa"/>
              <w:left w:w="108" w:type="dxa"/>
              <w:bottom w:w="0" w:type="dxa"/>
              <w:right w:w="108" w:type="dxa"/>
            </w:tcMar>
          </w:tcPr>
          <w:p w14:paraId="338E1856" w14:textId="77777777" w:rsidR="00422EFE" w:rsidRPr="00261B7A" w:rsidRDefault="00422EFE" w:rsidP="00D53B36">
            <w:pPr>
              <w:pStyle w:val="TableText"/>
              <w:spacing w:before="50" w:after="50"/>
              <w:jc w:val="right"/>
            </w:pPr>
            <w:r w:rsidRPr="00261B7A">
              <w:rPr>
                <w:rFonts w:eastAsia="Calibri"/>
                <w:color w:val="000000"/>
              </w:rPr>
              <w:t>1.5</w:t>
            </w:r>
          </w:p>
        </w:tc>
        <w:tc>
          <w:tcPr>
            <w:tcW w:w="0" w:type="auto"/>
            <w:shd w:val="clear" w:color="auto" w:fill="FFFFFF"/>
            <w:tcMar>
              <w:top w:w="0" w:type="dxa"/>
              <w:left w:w="108" w:type="dxa"/>
              <w:bottom w:w="0" w:type="dxa"/>
              <w:right w:w="108" w:type="dxa"/>
            </w:tcMar>
          </w:tcPr>
          <w:p w14:paraId="6D487B86"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10B7AD2F" w14:textId="77777777" w:rsidR="00422EFE" w:rsidRPr="00261B7A" w:rsidRDefault="00422EFE" w:rsidP="00D53B36">
            <w:pPr>
              <w:pStyle w:val="TableText"/>
              <w:spacing w:before="50" w:after="50"/>
              <w:jc w:val="right"/>
            </w:pPr>
            <w:r w:rsidRPr="00261B7A">
              <w:rPr>
                <w:rFonts w:eastAsia="Calibri"/>
                <w:color w:val="000000"/>
              </w:rPr>
              <w:t>0.3</w:t>
            </w:r>
          </w:p>
        </w:tc>
        <w:tc>
          <w:tcPr>
            <w:tcW w:w="0" w:type="auto"/>
            <w:shd w:val="clear" w:color="auto" w:fill="FFFFFF"/>
            <w:tcMar>
              <w:top w:w="0" w:type="dxa"/>
              <w:left w:w="108" w:type="dxa"/>
              <w:bottom w:w="0" w:type="dxa"/>
              <w:right w:w="108" w:type="dxa"/>
            </w:tcMar>
          </w:tcPr>
          <w:p w14:paraId="717B8DF5" w14:textId="77777777" w:rsidR="00422EFE" w:rsidRPr="00261B7A" w:rsidRDefault="00422EFE" w:rsidP="00D53B36">
            <w:pPr>
              <w:pStyle w:val="TableText"/>
              <w:spacing w:before="50" w:after="50"/>
              <w:jc w:val="right"/>
            </w:pPr>
            <w:r w:rsidRPr="00261B7A">
              <w:rPr>
                <w:rFonts w:eastAsia="Calibri"/>
                <w:color w:val="000000"/>
              </w:rPr>
              <w:t>0.6</w:t>
            </w:r>
          </w:p>
        </w:tc>
        <w:tc>
          <w:tcPr>
            <w:tcW w:w="0" w:type="auto"/>
            <w:shd w:val="clear" w:color="auto" w:fill="FFFFFF"/>
            <w:tcMar>
              <w:top w:w="0" w:type="dxa"/>
              <w:left w:w="108" w:type="dxa"/>
              <w:bottom w:w="0" w:type="dxa"/>
              <w:right w:w="108" w:type="dxa"/>
            </w:tcMar>
          </w:tcPr>
          <w:p w14:paraId="2C01DE73" w14:textId="77777777" w:rsidR="00422EFE" w:rsidRPr="00261B7A" w:rsidRDefault="00422EFE" w:rsidP="00D53B36">
            <w:pPr>
              <w:pStyle w:val="TableText"/>
              <w:spacing w:before="50" w:after="50"/>
              <w:jc w:val="right"/>
            </w:pPr>
            <w:r w:rsidRPr="00261B7A">
              <w:rPr>
                <w:rFonts w:eastAsia="Calibri"/>
                <w:color w:val="000000"/>
              </w:rPr>
              <w:t>2.6</w:t>
            </w:r>
          </w:p>
        </w:tc>
      </w:tr>
      <w:tr w:rsidR="00422EFE" w:rsidRPr="00261B7A" w14:paraId="3D685117" w14:textId="77777777" w:rsidTr="00D41492">
        <w:tc>
          <w:tcPr>
            <w:tcW w:w="0" w:type="auto"/>
            <w:shd w:val="clear" w:color="auto" w:fill="FFFFFF"/>
            <w:tcMar>
              <w:top w:w="0" w:type="dxa"/>
              <w:left w:w="108" w:type="dxa"/>
              <w:bottom w:w="0" w:type="dxa"/>
              <w:right w:w="108" w:type="dxa"/>
            </w:tcMar>
          </w:tcPr>
          <w:p w14:paraId="7B11FF23" w14:textId="77777777" w:rsidR="00422EFE" w:rsidRPr="00261B7A" w:rsidRDefault="00422EFE" w:rsidP="0058311A">
            <w:pPr>
              <w:pStyle w:val="TableText"/>
              <w:spacing w:before="40" w:after="40"/>
            </w:pPr>
            <w:r w:rsidRPr="00261B7A">
              <w:rPr>
                <w:rFonts w:eastAsia="Calibri"/>
              </w:rPr>
              <w:t>2003</w:t>
            </w:r>
          </w:p>
        </w:tc>
        <w:tc>
          <w:tcPr>
            <w:tcW w:w="0" w:type="auto"/>
            <w:shd w:val="clear" w:color="auto" w:fill="FFFFFF"/>
            <w:tcMar>
              <w:top w:w="0" w:type="dxa"/>
              <w:left w:w="108" w:type="dxa"/>
              <w:bottom w:w="0" w:type="dxa"/>
              <w:right w:w="108" w:type="dxa"/>
            </w:tcMar>
          </w:tcPr>
          <w:p w14:paraId="7C75E85C" w14:textId="77777777" w:rsidR="00422EFE" w:rsidRPr="00261B7A" w:rsidRDefault="00422EFE" w:rsidP="00D53B36">
            <w:pPr>
              <w:pStyle w:val="TableText"/>
              <w:spacing w:before="50" w:after="50"/>
              <w:jc w:val="right"/>
            </w:pPr>
            <w:r w:rsidRPr="00261B7A">
              <w:rPr>
                <w:rFonts w:eastAsia="Calibri"/>
                <w:color w:val="000000"/>
              </w:rPr>
              <w:t>1.6</w:t>
            </w:r>
          </w:p>
        </w:tc>
        <w:tc>
          <w:tcPr>
            <w:tcW w:w="0" w:type="auto"/>
            <w:shd w:val="clear" w:color="auto" w:fill="FFFFFF"/>
            <w:tcMar>
              <w:top w:w="0" w:type="dxa"/>
              <w:left w:w="108" w:type="dxa"/>
              <w:bottom w:w="0" w:type="dxa"/>
              <w:right w:w="108" w:type="dxa"/>
            </w:tcMar>
          </w:tcPr>
          <w:p w14:paraId="525FFAFF"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472CDFEE" w14:textId="77777777" w:rsidR="00422EFE" w:rsidRPr="00261B7A" w:rsidRDefault="00422EFE" w:rsidP="00D53B36">
            <w:pPr>
              <w:pStyle w:val="TableText"/>
              <w:spacing w:before="50" w:after="50"/>
              <w:jc w:val="right"/>
            </w:pPr>
            <w:r w:rsidRPr="00261B7A">
              <w:rPr>
                <w:rFonts w:eastAsia="Calibri"/>
                <w:color w:val="000000"/>
              </w:rPr>
              <w:t>0.3</w:t>
            </w:r>
          </w:p>
        </w:tc>
        <w:tc>
          <w:tcPr>
            <w:tcW w:w="0" w:type="auto"/>
            <w:shd w:val="clear" w:color="auto" w:fill="FFFFFF"/>
            <w:tcMar>
              <w:top w:w="0" w:type="dxa"/>
              <w:left w:w="108" w:type="dxa"/>
              <w:bottom w:w="0" w:type="dxa"/>
              <w:right w:w="108" w:type="dxa"/>
            </w:tcMar>
          </w:tcPr>
          <w:p w14:paraId="1F977864" w14:textId="77777777" w:rsidR="00422EFE" w:rsidRPr="00261B7A" w:rsidRDefault="00422EFE" w:rsidP="00D53B36">
            <w:pPr>
              <w:pStyle w:val="TableText"/>
              <w:spacing w:before="50" w:after="50"/>
              <w:jc w:val="right"/>
            </w:pPr>
            <w:r w:rsidRPr="00261B7A">
              <w:rPr>
                <w:rFonts w:eastAsia="Calibri"/>
                <w:color w:val="000000"/>
              </w:rPr>
              <w:t>0.6</w:t>
            </w:r>
          </w:p>
        </w:tc>
        <w:tc>
          <w:tcPr>
            <w:tcW w:w="0" w:type="auto"/>
            <w:shd w:val="clear" w:color="auto" w:fill="FFFFFF"/>
            <w:tcMar>
              <w:top w:w="0" w:type="dxa"/>
              <w:left w:w="108" w:type="dxa"/>
              <w:bottom w:w="0" w:type="dxa"/>
              <w:right w:w="108" w:type="dxa"/>
            </w:tcMar>
          </w:tcPr>
          <w:p w14:paraId="10F26062" w14:textId="77777777" w:rsidR="00422EFE" w:rsidRPr="00261B7A" w:rsidRDefault="00422EFE" w:rsidP="00D53B36">
            <w:pPr>
              <w:pStyle w:val="TableText"/>
              <w:spacing w:before="50" w:after="50"/>
              <w:jc w:val="right"/>
            </w:pPr>
            <w:r w:rsidRPr="00261B7A">
              <w:rPr>
                <w:rFonts w:eastAsia="Calibri"/>
                <w:color w:val="000000"/>
              </w:rPr>
              <w:t>2.7</w:t>
            </w:r>
          </w:p>
        </w:tc>
      </w:tr>
      <w:tr w:rsidR="00422EFE" w:rsidRPr="00261B7A" w14:paraId="22A42AAB" w14:textId="77777777" w:rsidTr="00D41492">
        <w:tc>
          <w:tcPr>
            <w:tcW w:w="0" w:type="auto"/>
            <w:shd w:val="clear" w:color="auto" w:fill="FFFFFF"/>
            <w:tcMar>
              <w:top w:w="0" w:type="dxa"/>
              <w:left w:w="108" w:type="dxa"/>
              <w:bottom w:w="0" w:type="dxa"/>
              <w:right w:w="108" w:type="dxa"/>
            </w:tcMar>
          </w:tcPr>
          <w:p w14:paraId="65FBAFC0" w14:textId="77777777" w:rsidR="00422EFE" w:rsidRPr="00261B7A" w:rsidRDefault="00422EFE" w:rsidP="0058311A">
            <w:pPr>
              <w:pStyle w:val="TableText"/>
              <w:spacing w:before="40" w:after="40"/>
            </w:pPr>
            <w:r w:rsidRPr="00261B7A">
              <w:rPr>
                <w:rFonts w:eastAsia="Calibri"/>
              </w:rPr>
              <w:t>2004</w:t>
            </w:r>
          </w:p>
        </w:tc>
        <w:tc>
          <w:tcPr>
            <w:tcW w:w="0" w:type="auto"/>
            <w:shd w:val="clear" w:color="auto" w:fill="FFFFFF"/>
            <w:tcMar>
              <w:top w:w="0" w:type="dxa"/>
              <w:left w:w="108" w:type="dxa"/>
              <w:bottom w:w="0" w:type="dxa"/>
              <w:right w:w="108" w:type="dxa"/>
            </w:tcMar>
          </w:tcPr>
          <w:p w14:paraId="03925523" w14:textId="77777777" w:rsidR="00422EFE" w:rsidRPr="00261B7A" w:rsidRDefault="00422EFE" w:rsidP="00D53B36">
            <w:pPr>
              <w:pStyle w:val="TableText"/>
              <w:spacing w:before="50" w:after="50"/>
              <w:jc w:val="right"/>
            </w:pPr>
            <w:r w:rsidRPr="00261B7A">
              <w:rPr>
                <w:rFonts w:eastAsia="Calibri"/>
                <w:color w:val="000000"/>
              </w:rPr>
              <w:t>1.7</w:t>
            </w:r>
          </w:p>
        </w:tc>
        <w:tc>
          <w:tcPr>
            <w:tcW w:w="0" w:type="auto"/>
            <w:shd w:val="clear" w:color="auto" w:fill="FFFFFF"/>
            <w:tcMar>
              <w:top w:w="0" w:type="dxa"/>
              <w:left w:w="108" w:type="dxa"/>
              <w:bottom w:w="0" w:type="dxa"/>
              <w:right w:w="108" w:type="dxa"/>
            </w:tcMar>
          </w:tcPr>
          <w:p w14:paraId="1FD8C0E9"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596D7007" w14:textId="77777777" w:rsidR="00422EFE" w:rsidRPr="00261B7A" w:rsidRDefault="00422EFE" w:rsidP="00D53B36">
            <w:pPr>
              <w:pStyle w:val="TableText"/>
              <w:spacing w:before="50" w:after="50"/>
              <w:jc w:val="right"/>
            </w:pPr>
            <w:r w:rsidRPr="00261B7A">
              <w:rPr>
                <w:rFonts w:eastAsia="Calibri"/>
                <w:color w:val="000000"/>
              </w:rPr>
              <w:t>0.3</w:t>
            </w:r>
          </w:p>
        </w:tc>
        <w:tc>
          <w:tcPr>
            <w:tcW w:w="0" w:type="auto"/>
            <w:shd w:val="clear" w:color="auto" w:fill="FFFFFF"/>
            <w:tcMar>
              <w:top w:w="0" w:type="dxa"/>
              <w:left w:w="108" w:type="dxa"/>
              <w:bottom w:w="0" w:type="dxa"/>
              <w:right w:w="108" w:type="dxa"/>
            </w:tcMar>
          </w:tcPr>
          <w:p w14:paraId="566F9E06" w14:textId="77777777" w:rsidR="00422EFE" w:rsidRPr="00261B7A" w:rsidRDefault="00422EFE" w:rsidP="00D53B36">
            <w:pPr>
              <w:pStyle w:val="TableText"/>
              <w:spacing w:before="50" w:after="50"/>
              <w:jc w:val="right"/>
            </w:pPr>
            <w:r w:rsidRPr="00261B7A">
              <w:rPr>
                <w:rFonts w:eastAsia="Calibri"/>
                <w:color w:val="000000"/>
              </w:rPr>
              <w:t>0.6</w:t>
            </w:r>
          </w:p>
        </w:tc>
        <w:tc>
          <w:tcPr>
            <w:tcW w:w="0" w:type="auto"/>
            <w:shd w:val="clear" w:color="auto" w:fill="FFFFFF"/>
            <w:tcMar>
              <w:top w:w="0" w:type="dxa"/>
              <w:left w:w="108" w:type="dxa"/>
              <w:bottom w:w="0" w:type="dxa"/>
              <w:right w:w="108" w:type="dxa"/>
            </w:tcMar>
          </w:tcPr>
          <w:p w14:paraId="130E3216" w14:textId="77777777" w:rsidR="00422EFE" w:rsidRPr="00261B7A" w:rsidRDefault="00422EFE" w:rsidP="00D53B36">
            <w:pPr>
              <w:pStyle w:val="TableText"/>
              <w:spacing w:before="50" w:after="50"/>
              <w:jc w:val="right"/>
            </w:pPr>
            <w:r w:rsidRPr="00261B7A">
              <w:rPr>
                <w:rFonts w:eastAsia="Calibri"/>
                <w:color w:val="000000"/>
              </w:rPr>
              <w:t>2.8</w:t>
            </w:r>
          </w:p>
        </w:tc>
      </w:tr>
      <w:tr w:rsidR="00422EFE" w:rsidRPr="00261B7A" w14:paraId="7F2E6B04" w14:textId="77777777" w:rsidTr="00D41492">
        <w:tc>
          <w:tcPr>
            <w:tcW w:w="0" w:type="auto"/>
            <w:shd w:val="clear" w:color="auto" w:fill="FFFFFF"/>
            <w:tcMar>
              <w:top w:w="0" w:type="dxa"/>
              <w:left w:w="108" w:type="dxa"/>
              <w:bottom w:w="0" w:type="dxa"/>
              <w:right w:w="108" w:type="dxa"/>
            </w:tcMar>
          </w:tcPr>
          <w:p w14:paraId="0F05B033" w14:textId="77777777" w:rsidR="00422EFE" w:rsidRPr="00261B7A" w:rsidRDefault="00422EFE" w:rsidP="0058311A">
            <w:pPr>
              <w:pStyle w:val="TableText"/>
              <w:spacing w:before="40" w:after="40"/>
            </w:pPr>
            <w:r w:rsidRPr="00261B7A">
              <w:rPr>
                <w:rFonts w:eastAsia="Calibri"/>
              </w:rPr>
              <w:t>2005</w:t>
            </w:r>
          </w:p>
        </w:tc>
        <w:tc>
          <w:tcPr>
            <w:tcW w:w="0" w:type="auto"/>
            <w:shd w:val="clear" w:color="auto" w:fill="FFFFFF"/>
            <w:tcMar>
              <w:top w:w="0" w:type="dxa"/>
              <w:left w:w="108" w:type="dxa"/>
              <w:bottom w:w="0" w:type="dxa"/>
              <w:right w:w="108" w:type="dxa"/>
            </w:tcMar>
          </w:tcPr>
          <w:p w14:paraId="68455257" w14:textId="77777777" w:rsidR="00422EFE" w:rsidRPr="00261B7A" w:rsidRDefault="00422EFE" w:rsidP="00D53B36">
            <w:pPr>
              <w:pStyle w:val="TableText"/>
              <w:spacing w:before="50" w:after="50"/>
              <w:jc w:val="right"/>
            </w:pPr>
            <w:r w:rsidRPr="00261B7A">
              <w:rPr>
                <w:rFonts w:eastAsia="Calibri"/>
                <w:color w:val="000000"/>
              </w:rPr>
              <w:t>1.7</w:t>
            </w:r>
          </w:p>
        </w:tc>
        <w:tc>
          <w:tcPr>
            <w:tcW w:w="0" w:type="auto"/>
            <w:shd w:val="clear" w:color="auto" w:fill="FFFFFF"/>
            <w:tcMar>
              <w:top w:w="0" w:type="dxa"/>
              <w:left w:w="108" w:type="dxa"/>
              <w:bottom w:w="0" w:type="dxa"/>
              <w:right w:w="108" w:type="dxa"/>
            </w:tcMar>
          </w:tcPr>
          <w:p w14:paraId="4674CE30"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0A16E793" w14:textId="77777777" w:rsidR="00422EFE" w:rsidRPr="00261B7A" w:rsidRDefault="00422EFE" w:rsidP="00D53B36">
            <w:pPr>
              <w:pStyle w:val="TableText"/>
              <w:spacing w:before="50" w:after="50"/>
              <w:jc w:val="right"/>
            </w:pPr>
            <w:r w:rsidRPr="00261B7A">
              <w:rPr>
                <w:rFonts w:eastAsia="Calibri"/>
                <w:color w:val="000000"/>
              </w:rPr>
              <w:t>0.3</w:t>
            </w:r>
          </w:p>
        </w:tc>
        <w:tc>
          <w:tcPr>
            <w:tcW w:w="0" w:type="auto"/>
            <w:shd w:val="clear" w:color="auto" w:fill="FFFFFF"/>
            <w:tcMar>
              <w:top w:w="0" w:type="dxa"/>
              <w:left w:w="108" w:type="dxa"/>
              <w:bottom w:w="0" w:type="dxa"/>
              <w:right w:w="108" w:type="dxa"/>
            </w:tcMar>
          </w:tcPr>
          <w:p w14:paraId="2BBEA79A" w14:textId="77777777" w:rsidR="00422EFE" w:rsidRPr="00261B7A" w:rsidRDefault="00422EFE" w:rsidP="00D53B36">
            <w:pPr>
              <w:pStyle w:val="TableText"/>
              <w:spacing w:before="50" w:after="50"/>
              <w:jc w:val="right"/>
            </w:pPr>
            <w:r w:rsidRPr="00261B7A">
              <w:rPr>
                <w:rFonts w:eastAsia="Calibri"/>
                <w:color w:val="000000"/>
              </w:rPr>
              <w:t>0.6</w:t>
            </w:r>
          </w:p>
        </w:tc>
        <w:tc>
          <w:tcPr>
            <w:tcW w:w="0" w:type="auto"/>
            <w:shd w:val="clear" w:color="auto" w:fill="FFFFFF"/>
            <w:tcMar>
              <w:top w:w="0" w:type="dxa"/>
              <w:left w:w="108" w:type="dxa"/>
              <w:bottom w:w="0" w:type="dxa"/>
              <w:right w:w="108" w:type="dxa"/>
            </w:tcMar>
          </w:tcPr>
          <w:p w14:paraId="4C30976F" w14:textId="77777777" w:rsidR="00422EFE" w:rsidRPr="00261B7A" w:rsidRDefault="00422EFE" w:rsidP="00D53B36">
            <w:pPr>
              <w:pStyle w:val="TableText"/>
              <w:spacing w:before="50" w:after="50"/>
              <w:jc w:val="right"/>
            </w:pPr>
            <w:r w:rsidRPr="00261B7A">
              <w:rPr>
                <w:rFonts w:eastAsia="Calibri"/>
                <w:color w:val="000000"/>
              </w:rPr>
              <w:t>2.8</w:t>
            </w:r>
          </w:p>
        </w:tc>
      </w:tr>
      <w:tr w:rsidR="00422EFE" w:rsidRPr="00261B7A" w14:paraId="60438D61" w14:textId="77777777" w:rsidTr="00D41492">
        <w:tc>
          <w:tcPr>
            <w:tcW w:w="0" w:type="auto"/>
            <w:shd w:val="clear" w:color="auto" w:fill="FFFFFF"/>
            <w:tcMar>
              <w:top w:w="0" w:type="dxa"/>
              <w:left w:w="108" w:type="dxa"/>
              <w:bottom w:w="0" w:type="dxa"/>
              <w:right w:w="108" w:type="dxa"/>
            </w:tcMar>
          </w:tcPr>
          <w:p w14:paraId="32CC75A9" w14:textId="77777777" w:rsidR="00422EFE" w:rsidRPr="00261B7A" w:rsidRDefault="00422EFE" w:rsidP="0058311A">
            <w:pPr>
              <w:pStyle w:val="TableText"/>
              <w:spacing w:before="40" w:after="40"/>
            </w:pPr>
            <w:r w:rsidRPr="00261B7A">
              <w:rPr>
                <w:rFonts w:eastAsia="Calibri"/>
              </w:rPr>
              <w:t>2006</w:t>
            </w:r>
          </w:p>
        </w:tc>
        <w:tc>
          <w:tcPr>
            <w:tcW w:w="0" w:type="auto"/>
            <w:shd w:val="clear" w:color="auto" w:fill="FFFFFF"/>
            <w:tcMar>
              <w:top w:w="0" w:type="dxa"/>
              <w:left w:w="108" w:type="dxa"/>
              <w:bottom w:w="0" w:type="dxa"/>
              <w:right w:w="108" w:type="dxa"/>
            </w:tcMar>
          </w:tcPr>
          <w:p w14:paraId="68CA9BF3" w14:textId="77777777" w:rsidR="00422EFE" w:rsidRPr="00261B7A" w:rsidRDefault="00422EFE" w:rsidP="00D53B36">
            <w:pPr>
              <w:pStyle w:val="TableText"/>
              <w:spacing w:before="50" w:after="50"/>
              <w:jc w:val="right"/>
            </w:pPr>
            <w:r w:rsidRPr="00261B7A">
              <w:rPr>
                <w:rFonts w:eastAsia="Calibri"/>
                <w:color w:val="000000"/>
              </w:rPr>
              <w:t>1.7</w:t>
            </w:r>
          </w:p>
        </w:tc>
        <w:tc>
          <w:tcPr>
            <w:tcW w:w="0" w:type="auto"/>
            <w:shd w:val="clear" w:color="auto" w:fill="FFFFFF"/>
            <w:tcMar>
              <w:top w:w="0" w:type="dxa"/>
              <w:left w:w="108" w:type="dxa"/>
              <w:bottom w:w="0" w:type="dxa"/>
              <w:right w:w="108" w:type="dxa"/>
            </w:tcMar>
          </w:tcPr>
          <w:p w14:paraId="3FCDA506"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4F40B8A9" w14:textId="77777777" w:rsidR="00422EFE" w:rsidRPr="00261B7A" w:rsidRDefault="00422EFE" w:rsidP="00D53B36">
            <w:pPr>
              <w:pStyle w:val="TableText"/>
              <w:spacing w:before="50" w:after="50"/>
              <w:jc w:val="right"/>
            </w:pPr>
            <w:r w:rsidRPr="00261B7A">
              <w:rPr>
                <w:rFonts w:eastAsia="Calibri"/>
                <w:color w:val="000000"/>
              </w:rPr>
              <w:t>0.3</w:t>
            </w:r>
          </w:p>
        </w:tc>
        <w:tc>
          <w:tcPr>
            <w:tcW w:w="0" w:type="auto"/>
            <w:shd w:val="clear" w:color="auto" w:fill="FFFFFF"/>
            <w:tcMar>
              <w:top w:w="0" w:type="dxa"/>
              <w:left w:w="108" w:type="dxa"/>
              <w:bottom w:w="0" w:type="dxa"/>
              <w:right w:w="108" w:type="dxa"/>
            </w:tcMar>
          </w:tcPr>
          <w:p w14:paraId="00F9114D" w14:textId="77777777" w:rsidR="00422EFE" w:rsidRPr="00261B7A" w:rsidRDefault="00422EFE" w:rsidP="00D53B36">
            <w:pPr>
              <w:pStyle w:val="TableText"/>
              <w:spacing w:before="50" w:after="50"/>
              <w:jc w:val="right"/>
            </w:pPr>
            <w:r w:rsidRPr="00261B7A">
              <w:rPr>
                <w:rFonts w:eastAsia="Calibri"/>
                <w:color w:val="000000"/>
              </w:rPr>
              <w:t>0.6</w:t>
            </w:r>
          </w:p>
        </w:tc>
        <w:tc>
          <w:tcPr>
            <w:tcW w:w="0" w:type="auto"/>
            <w:shd w:val="clear" w:color="auto" w:fill="FFFFFF"/>
            <w:tcMar>
              <w:top w:w="0" w:type="dxa"/>
              <w:left w:w="108" w:type="dxa"/>
              <w:bottom w:w="0" w:type="dxa"/>
              <w:right w:w="108" w:type="dxa"/>
            </w:tcMar>
          </w:tcPr>
          <w:p w14:paraId="6E196BA5" w14:textId="77777777" w:rsidR="00422EFE" w:rsidRPr="00261B7A" w:rsidRDefault="00422EFE" w:rsidP="00D53B36">
            <w:pPr>
              <w:pStyle w:val="TableText"/>
              <w:spacing w:before="50" w:after="50"/>
              <w:jc w:val="right"/>
            </w:pPr>
            <w:r w:rsidRPr="00261B7A">
              <w:rPr>
                <w:rFonts w:eastAsia="Calibri"/>
                <w:color w:val="000000"/>
              </w:rPr>
              <w:t>2.8</w:t>
            </w:r>
          </w:p>
        </w:tc>
      </w:tr>
      <w:tr w:rsidR="00422EFE" w:rsidRPr="00261B7A" w14:paraId="1D1CB34D" w14:textId="77777777" w:rsidTr="00D41492">
        <w:tc>
          <w:tcPr>
            <w:tcW w:w="0" w:type="auto"/>
            <w:shd w:val="clear" w:color="auto" w:fill="FFFFFF"/>
            <w:tcMar>
              <w:top w:w="0" w:type="dxa"/>
              <w:left w:w="108" w:type="dxa"/>
              <w:bottom w:w="0" w:type="dxa"/>
              <w:right w:w="108" w:type="dxa"/>
            </w:tcMar>
          </w:tcPr>
          <w:p w14:paraId="1A93B1F5" w14:textId="77777777" w:rsidR="00422EFE" w:rsidRPr="00261B7A" w:rsidRDefault="00422EFE" w:rsidP="0058311A">
            <w:pPr>
              <w:pStyle w:val="TableText"/>
              <w:spacing w:before="40" w:after="40"/>
            </w:pPr>
            <w:r w:rsidRPr="00261B7A">
              <w:rPr>
                <w:rFonts w:eastAsia="Calibri"/>
              </w:rPr>
              <w:t>2007</w:t>
            </w:r>
          </w:p>
        </w:tc>
        <w:tc>
          <w:tcPr>
            <w:tcW w:w="0" w:type="auto"/>
            <w:shd w:val="clear" w:color="auto" w:fill="FFFFFF"/>
            <w:tcMar>
              <w:top w:w="0" w:type="dxa"/>
              <w:left w:w="108" w:type="dxa"/>
              <w:bottom w:w="0" w:type="dxa"/>
              <w:right w:w="108" w:type="dxa"/>
            </w:tcMar>
          </w:tcPr>
          <w:p w14:paraId="2F1ED72D" w14:textId="77777777" w:rsidR="00422EFE" w:rsidRPr="00261B7A" w:rsidRDefault="00422EFE" w:rsidP="00D53B36">
            <w:pPr>
              <w:pStyle w:val="TableText"/>
              <w:spacing w:before="50" w:after="50"/>
              <w:jc w:val="right"/>
            </w:pPr>
            <w:r w:rsidRPr="00261B7A">
              <w:rPr>
                <w:rFonts w:eastAsia="Calibri"/>
                <w:color w:val="000000"/>
              </w:rPr>
              <w:t>1.7</w:t>
            </w:r>
          </w:p>
        </w:tc>
        <w:tc>
          <w:tcPr>
            <w:tcW w:w="0" w:type="auto"/>
            <w:shd w:val="clear" w:color="auto" w:fill="FFFFFF"/>
            <w:tcMar>
              <w:top w:w="0" w:type="dxa"/>
              <w:left w:w="108" w:type="dxa"/>
              <w:bottom w:w="0" w:type="dxa"/>
              <w:right w:w="108" w:type="dxa"/>
            </w:tcMar>
          </w:tcPr>
          <w:p w14:paraId="4D31A4A6"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04866334" w14:textId="77777777" w:rsidR="00422EFE" w:rsidRPr="00261B7A" w:rsidRDefault="00422EFE" w:rsidP="00D53B36">
            <w:pPr>
              <w:pStyle w:val="TableText"/>
              <w:spacing w:before="50" w:after="50"/>
              <w:jc w:val="right"/>
            </w:pPr>
            <w:r w:rsidRPr="00261B7A">
              <w:rPr>
                <w:rFonts w:eastAsia="Calibri"/>
                <w:color w:val="000000"/>
              </w:rPr>
              <w:t>0.3</w:t>
            </w:r>
          </w:p>
        </w:tc>
        <w:tc>
          <w:tcPr>
            <w:tcW w:w="0" w:type="auto"/>
            <w:shd w:val="clear" w:color="auto" w:fill="FFFFFF"/>
            <w:tcMar>
              <w:top w:w="0" w:type="dxa"/>
              <w:left w:w="108" w:type="dxa"/>
              <w:bottom w:w="0" w:type="dxa"/>
              <w:right w:w="108" w:type="dxa"/>
            </w:tcMar>
          </w:tcPr>
          <w:p w14:paraId="32986EC6" w14:textId="77777777" w:rsidR="00422EFE" w:rsidRPr="00261B7A" w:rsidRDefault="00422EFE" w:rsidP="00D53B36">
            <w:pPr>
              <w:pStyle w:val="TableText"/>
              <w:spacing w:before="50" w:after="50"/>
              <w:jc w:val="right"/>
            </w:pPr>
            <w:r w:rsidRPr="00261B7A">
              <w:rPr>
                <w:rFonts w:eastAsia="Calibri"/>
                <w:color w:val="000000"/>
              </w:rPr>
              <w:t>0.6</w:t>
            </w:r>
          </w:p>
        </w:tc>
        <w:tc>
          <w:tcPr>
            <w:tcW w:w="0" w:type="auto"/>
            <w:shd w:val="clear" w:color="auto" w:fill="FFFFFF"/>
            <w:tcMar>
              <w:top w:w="0" w:type="dxa"/>
              <w:left w:w="108" w:type="dxa"/>
              <w:bottom w:w="0" w:type="dxa"/>
              <w:right w:w="108" w:type="dxa"/>
            </w:tcMar>
          </w:tcPr>
          <w:p w14:paraId="1CDE7434" w14:textId="77777777" w:rsidR="00422EFE" w:rsidRPr="00261B7A" w:rsidRDefault="00422EFE" w:rsidP="00D53B36">
            <w:pPr>
              <w:pStyle w:val="TableText"/>
              <w:spacing w:before="50" w:after="50"/>
              <w:jc w:val="right"/>
            </w:pPr>
            <w:r w:rsidRPr="00261B7A">
              <w:rPr>
                <w:rFonts w:eastAsia="Calibri"/>
                <w:color w:val="000000"/>
              </w:rPr>
              <w:t>2.8</w:t>
            </w:r>
          </w:p>
        </w:tc>
      </w:tr>
      <w:tr w:rsidR="00422EFE" w:rsidRPr="00261B7A" w14:paraId="7768D4E3" w14:textId="77777777" w:rsidTr="00D41492">
        <w:tc>
          <w:tcPr>
            <w:tcW w:w="0" w:type="auto"/>
            <w:shd w:val="clear" w:color="auto" w:fill="FFFFFF"/>
            <w:tcMar>
              <w:top w:w="0" w:type="dxa"/>
              <w:left w:w="108" w:type="dxa"/>
              <w:bottom w:w="0" w:type="dxa"/>
              <w:right w:w="108" w:type="dxa"/>
            </w:tcMar>
          </w:tcPr>
          <w:p w14:paraId="71176497" w14:textId="77777777" w:rsidR="00422EFE" w:rsidRPr="00261B7A" w:rsidRDefault="00422EFE" w:rsidP="0058311A">
            <w:pPr>
              <w:pStyle w:val="TableText"/>
              <w:spacing w:before="40" w:after="40"/>
            </w:pPr>
            <w:r w:rsidRPr="00261B7A">
              <w:rPr>
                <w:rFonts w:eastAsia="Calibri"/>
              </w:rPr>
              <w:t>2008</w:t>
            </w:r>
          </w:p>
        </w:tc>
        <w:tc>
          <w:tcPr>
            <w:tcW w:w="0" w:type="auto"/>
            <w:shd w:val="clear" w:color="auto" w:fill="FFFFFF"/>
            <w:tcMar>
              <w:top w:w="0" w:type="dxa"/>
              <w:left w:w="108" w:type="dxa"/>
              <w:bottom w:w="0" w:type="dxa"/>
              <w:right w:w="108" w:type="dxa"/>
            </w:tcMar>
          </w:tcPr>
          <w:p w14:paraId="297AE9F8" w14:textId="77777777" w:rsidR="00422EFE" w:rsidRPr="00261B7A" w:rsidRDefault="00422EFE" w:rsidP="00D53B36">
            <w:pPr>
              <w:pStyle w:val="TableText"/>
              <w:spacing w:before="50" w:after="50"/>
              <w:jc w:val="right"/>
            </w:pPr>
            <w:r w:rsidRPr="00261B7A">
              <w:rPr>
                <w:rFonts w:eastAsia="Calibri"/>
                <w:color w:val="000000"/>
              </w:rPr>
              <w:t>1.7</w:t>
            </w:r>
          </w:p>
        </w:tc>
        <w:tc>
          <w:tcPr>
            <w:tcW w:w="0" w:type="auto"/>
            <w:shd w:val="clear" w:color="auto" w:fill="FFFFFF"/>
            <w:tcMar>
              <w:top w:w="0" w:type="dxa"/>
              <w:left w:w="108" w:type="dxa"/>
              <w:bottom w:w="0" w:type="dxa"/>
              <w:right w:w="108" w:type="dxa"/>
            </w:tcMar>
          </w:tcPr>
          <w:p w14:paraId="6B6EA555"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0EC9B0B5" w14:textId="77777777" w:rsidR="00422EFE" w:rsidRPr="00261B7A" w:rsidRDefault="00422EFE" w:rsidP="00D53B36">
            <w:pPr>
              <w:pStyle w:val="TableText"/>
              <w:spacing w:before="50" w:after="50"/>
              <w:jc w:val="right"/>
            </w:pPr>
            <w:r w:rsidRPr="00261B7A">
              <w:rPr>
                <w:rFonts w:eastAsia="Calibri"/>
                <w:color w:val="000000"/>
              </w:rPr>
              <w:t>0.4</w:t>
            </w:r>
          </w:p>
        </w:tc>
        <w:tc>
          <w:tcPr>
            <w:tcW w:w="0" w:type="auto"/>
            <w:shd w:val="clear" w:color="auto" w:fill="FFFFFF"/>
            <w:tcMar>
              <w:top w:w="0" w:type="dxa"/>
              <w:left w:w="108" w:type="dxa"/>
              <w:bottom w:w="0" w:type="dxa"/>
              <w:right w:w="108" w:type="dxa"/>
            </w:tcMar>
          </w:tcPr>
          <w:p w14:paraId="6A8CC8EC" w14:textId="77777777" w:rsidR="00422EFE" w:rsidRPr="00261B7A" w:rsidRDefault="00422EFE" w:rsidP="00D53B36">
            <w:pPr>
              <w:pStyle w:val="TableText"/>
              <w:spacing w:before="50" w:after="50"/>
              <w:jc w:val="right"/>
            </w:pPr>
            <w:r w:rsidRPr="00261B7A">
              <w:rPr>
                <w:rFonts w:eastAsia="Calibri"/>
                <w:color w:val="000000"/>
              </w:rPr>
              <w:t>0.6</w:t>
            </w:r>
          </w:p>
        </w:tc>
        <w:tc>
          <w:tcPr>
            <w:tcW w:w="0" w:type="auto"/>
            <w:shd w:val="clear" w:color="auto" w:fill="FFFFFF"/>
            <w:tcMar>
              <w:top w:w="0" w:type="dxa"/>
              <w:left w:w="108" w:type="dxa"/>
              <w:bottom w:w="0" w:type="dxa"/>
              <w:right w:w="108" w:type="dxa"/>
            </w:tcMar>
          </w:tcPr>
          <w:p w14:paraId="3604F647" w14:textId="77777777" w:rsidR="00422EFE" w:rsidRPr="00261B7A" w:rsidRDefault="00422EFE" w:rsidP="00D53B36">
            <w:pPr>
              <w:pStyle w:val="TableText"/>
              <w:spacing w:before="50" w:after="50"/>
              <w:jc w:val="right"/>
            </w:pPr>
            <w:r w:rsidRPr="00261B7A">
              <w:rPr>
                <w:rFonts w:eastAsia="Calibri"/>
                <w:color w:val="000000"/>
              </w:rPr>
              <w:t>2.8</w:t>
            </w:r>
          </w:p>
        </w:tc>
      </w:tr>
      <w:tr w:rsidR="00422EFE" w:rsidRPr="00261B7A" w14:paraId="60CE649D" w14:textId="77777777" w:rsidTr="00D41492">
        <w:tc>
          <w:tcPr>
            <w:tcW w:w="0" w:type="auto"/>
            <w:shd w:val="clear" w:color="auto" w:fill="FFFFFF"/>
            <w:tcMar>
              <w:top w:w="0" w:type="dxa"/>
              <w:left w:w="108" w:type="dxa"/>
              <w:bottom w:w="0" w:type="dxa"/>
              <w:right w:w="108" w:type="dxa"/>
            </w:tcMar>
          </w:tcPr>
          <w:p w14:paraId="0BBBF32B" w14:textId="77777777" w:rsidR="00422EFE" w:rsidRPr="00261B7A" w:rsidRDefault="00422EFE" w:rsidP="0058311A">
            <w:pPr>
              <w:pStyle w:val="TableText"/>
              <w:spacing w:before="40" w:after="40"/>
            </w:pPr>
            <w:r w:rsidRPr="00261B7A">
              <w:rPr>
                <w:rFonts w:eastAsia="Calibri"/>
              </w:rPr>
              <w:t>2009</w:t>
            </w:r>
          </w:p>
        </w:tc>
        <w:tc>
          <w:tcPr>
            <w:tcW w:w="0" w:type="auto"/>
            <w:shd w:val="clear" w:color="auto" w:fill="FFFFFF"/>
            <w:tcMar>
              <w:top w:w="0" w:type="dxa"/>
              <w:left w:w="108" w:type="dxa"/>
              <w:bottom w:w="0" w:type="dxa"/>
              <w:right w:w="108" w:type="dxa"/>
            </w:tcMar>
          </w:tcPr>
          <w:p w14:paraId="446C5EE9" w14:textId="77777777" w:rsidR="00422EFE" w:rsidRPr="00261B7A" w:rsidRDefault="00422EFE" w:rsidP="00D53B36">
            <w:pPr>
              <w:pStyle w:val="TableText"/>
              <w:spacing w:before="50" w:after="50"/>
              <w:jc w:val="right"/>
            </w:pPr>
            <w:r w:rsidRPr="00261B7A">
              <w:rPr>
                <w:rFonts w:eastAsia="Calibri"/>
                <w:color w:val="000000"/>
              </w:rPr>
              <w:t>1.6</w:t>
            </w:r>
          </w:p>
        </w:tc>
        <w:tc>
          <w:tcPr>
            <w:tcW w:w="0" w:type="auto"/>
            <w:shd w:val="clear" w:color="auto" w:fill="FFFFFF"/>
            <w:tcMar>
              <w:top w:w="0" w:type="dxa"/>
              <w:left w:w="108" w:type="dxa"/>
              <w:bottom w:w="0" w:type="dxa"/>
              <w:right w:w="108" w:type="dxa"/>
            </w:tcMar>
          </w:tcPr>
          <w:p w14:paraId="0C81E385"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6E0214BE" w14:textId="77777777" w:rsidR="00422EFE" w:rsidRPr="00261B7A" w:rsidRDefault="00422EFE" w:rsidP="00D53B36">
            <w:pPr>
              <w:pStyle w:val="TableText"/>
              <w:spacing w:before="50" w:after="50"/>
              <w:jc w:val="right"/>
            </w:pPr>
            <w:r w:rsidRPr="00261B7A">
              <w:rPr>
                <w:rFonts w:eastAsia="Calibri"/>
                <w:color w:val="000000"/>
              </w:rPr>
              <w:t>0.4</w:t>
            </w:r>
          </w:p>
        </w:tc>
        <w:tc>
          <w:tcPr>
            <w:tcW w:w="0" w:type="auto"/>
            <w:shd w:val="clear" w:color="auto" w:fill="FFFFFF"/>
            <w:tcMar>
              <w:top w:w="0" w:type="dxa"/>
              <w:left w:w="108" w:type="dxa"/>
              <w:bottom w:w="0" w:type="dxa"/>
              <w:right w:w="108" w:type="dxa"/>
            </w:tcMar>
          </w:tcPr>
          <w:p w14:paraId="60E2BC66" w14:textId="77777777" w:rsidR="00422EFE" w:rsidRPr="00261B7A" w:rsidRDefault="00422EFE" w:rsidP="00D53B36">
            <w:pPr>
              <w:pStyle w:val="TableText"/>
              <w:spacing w:before="50" w:after="50"/>
              <w:jc w:val="right"/>
            </w:pPr>
            <w:r w:rsidRPr="00261B7A">
              <w:rPr>
                <w:rFonts w:eastAsia="Calibri"/>
                <w:color w:val="000000"/>
              </w:rPr>
              <w:t>0.6</w:t>
            </w:r>
          </w:p>
        </w:tc>
        <w:tc>
          <w:tcPr>
            <w:tcW w:w="0" w:type="auto"/>
            <w:shd w:val="clear" w:color="auto" w:fill="FFFFFF"/>
            <w:tcMar>
              <w:top w:w="0" w:type="dxa"/>
              <w:left w:w="108" w:type="dxa"/>
              <w:bottom w:w="0" w:type="dxa"/>
              <w:right w:w="108" w:type="dxa"/>
            </w:tcMar>
          </w:tcPr>
          <w:p w14:paraId="75628D29" w14:textId="77777777" w:rsidR="00422EFE" w:rsidRPr="00261B7A" w:rsidRDefault="00422EFE" w:rsidP="00D53B36">
            <w:pPr>
              <w:pStyle w:val="TableText"/>
              <w:spacing w:before="50" w:after="50"/>
              <w:jc w:val="right"/>
            </w:pPr>
            <w:r w:rsidRPr="00261B7A">
              <w:rPr>
                <w:rFonts w:eastAsia="Calibri"/>
                <w:color w:val="000000"/>
              </w:rPr>
              <w:t>2.7</w:t>
            </w:r>
          </w:p>
        </w:tc>
      </w:tr>
      <w:tr w:rsidR="00422EFE" w:rsidRPr="00261B7A" w14:paraId="7FE4E139" w14:textId="77777777" w:rsidTr="00D41492">
        <w:tc>
          <w:tcPr>
            <w:tcW w:w="0" w:type="auto"/>
            <w:shd w:val="clear" w:color="auto" w:fill="FFFFFF"/>
            <w:tcMar>
              <w:top w:w="0" w:type="dxa"/>
              <w:left w:w="108" w:type="dxa"/>
              <w:bottom w:w="0" w:type="dxa"/>
              <w:right w:w="108" w:type="dxa"/>
            </w:tcMar>
          </w:tcPr>
          <w:p w14:paraId="68F6CBA6" w14:textId="77777777" w:rsidR="00422EFE" w:rsidRPr="00261B7A" w:rsidRDefault="00422EFE" w:rsidP="0058311A">
            <w:pPr>
              <w:pStyle w:val="TableText"/>
              <w:spacing w:before="40" w:after="40"/>
            </w:pPr>
            <w:r w:rsidRPr="00261B7A">
              <w:rPr>
                <w:rFonts w:eastAsia="Calibri"/>
              </w:rPr>
              <w:t>2010</w:t>
            </w:r>
          </w:p>
        </w:tc>
        <w:tc>
          <w:tcPr>
            <w:tcW w:w="0" w:type="auto"/>
            <w:shd w:val="clear" w:color="auto" w:fill="FFFFFF"/>
            <w:tcMar>
              <w:top w:w="0" w:type="dxa"/>
              <w:left w:w="108" w:type="dxa"/>
              <w:bottom w:w="0" w:type="dxa"/>
              <w:right w:w="108" w:type="dxa"/>
            </w:tcMar>
          </w:tcPr>
          <w:p w14:paraId="5EEF9FBB" w14:textId="77777777" w:rsidR="00422EFE" w:rsidRPr="00261B7A" w:rsidRDefault="00422EFE" w:rsidP="00D53B36">
            <w:pPr>
              <w:pStyle w:val="TableText"/>
              <w:spacing w:before="50" w:after="50"/>
              <w:jc w:val="right"/>
            </w:pPr>
            <w:r w:rsidRPr="00261B7A">
              <w:rPr>
                <w:rFonts w:eastAsia="Calibri"/>
                <w:color w:val="000000"/>
              </w:rPr>
              <w:t>1.5</w:t>
            </w:r>
          </w:p>
        </w:tc>
        <w:tc>
          <w:tcPr>
            <w:tcW w:w="0" w:type="auto"/>
            <w:shd w:val="clear" w:color="auto" w:fill="FFFFFF"/>
            <w:tcMar>
              <w:top w:w="0" w:type="dxa"/>
              <w:left w:w="108" w:type="dxa"/>
              <w:bottom w:w="0" w:type="dxa"/>
              <w:right w:w="108" w:type="dxa"/>
            </w:tcMar>
          </w:tcPr>
          <w:p w14:paraId="29CFAF83"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1F8D019E" w14:textId="77777777" w:rsidR="00422EFE" w:rsidRPr="00261B7A" w:rsidRDefault="00422EFE" w:rsidP="00D53B36">
            <w:pPr>
              <w:pStyle w:val="TableText"/>
              <w:spacing w:before="50" w:after="50"/>
              <w:jc w:val="right"/>
            </w:pPr>
            <w:r w:rsidRPr="00261B7A">
              <w:rPr>
                <w:rFonts w:eastAsia="Calibri"/>
                <w:color w:val="000000"/>
              </w:rPr>
              <w:t>0.4</w:t>
            </w:r>
          </w:p>
        </w:tc>
        <w:tc>
          <w:tcPr>
            <w:tcW w:w="0" w:type="auto"/>
            <w:shd w:val="clear" w:color="auto" w:fill="FFFFFF"/>
            <w:tcMar>
              <w:top w:w="0" w:type="dxa"/>
              <w:left w:w="108" w:type="dxa"/>
              <w:bottom w:w="0" w:type="dxa"/>
              <w:right w:w="108" w:type="dxa"/>
            </w:tcMar>
          </w:tcPr>
          <w:p w14:paraId="7F83D9BE" w14:textId="77777777" w:rsidR="00422EFE" w:rsidRPr="00261B7A" w:rsidRDefault="00422EFE" w:rsidP="00D53B36">
            <w:pPr>
              <w:pStyle w:val="TableText"/>
              <w:spacing w:before="50" w:after="50"/>
              <w:jc w:val="right"/>
            </w:pPr>
            <w:r w:rsidRPr="00261B7A">
              <w:rPr>
                <w:rFonts w:eastAsia="Calibri"/>
                <w:color w:val="000000"/>
              </w:rPr>
              <w:t>0.6</w:t>
            </w:r>
          </w:p>
        </w:tc>
        <w:tc>
          <w:tcPr>
            <w:tcW w:w="0" w:type="auto"/>
            <w:shd w:val="clear" w:color="auto" w:fill="FFFFFF"/>
            <w:tcMar>
              <w:top w:w="0" w:type="dxa"/>
              <w:left w:w="108" w:type="dxa"/>
              <w:bottom w:w="0" w:type="dxa"/>
              <w:right w:w="108" w:type="dxa"/>
            </w:tcMar>
          </w:tcPr>
          <w:p w14:paraId="00455BF1" w14:textId="77777777" w:rsidR="00422EFE" w:rsidRPr="00261B7A" w:rsidRDefault="00422EFE" w:rsidP="00D53B36">
            <w:pPr>
              <w:pStyle w:val="TableText"/>
              <w:spacing w:before="50" w:after="50"/>
              <w:jc w:val="right"/>
            </w:pPr>
            <w:r w:rsidRPr="00261B7A">
              <w:rPr>
                <w:rFonts w:eastAsia="Calibri"/>
                <w:color w:val="000000"/>
              </w:rPr>
              <w:t>2.7</w:t>
            </w:r>
          </w:p>
        </w:tc>
      </w:tr>
      <w:tr w:rsidR="00422EFE" w:rsidRPr="00261B7A" w14:paraId="190B7388" w14:textId="77777777" w:rsidTr="00D41492">
        <w:tc>
          <w:tcPr>
            <w:tcW w:w="0" w:type="auto"/>
            <w:shd w:val="clear" w:color="auto" w:fill="FFFFFF"/>
            <w:tcMar>
              <w:top w:w="0" w:type="dxa"/>
              <w:left w:w="108" w:type="dxa"/>
              <w:bottom w:w="0" w:type="dxa"/>
              <w:right w:w="108" w:type="dxa"/>
            </w:tcMar>
          </w:tcPr>
          <w:p w14:paraId="0AA13C27" w14:textId="77777777" w:rsidR="00422EFE" w:rsidRPr="00261B7A" w:rsidRDefault="00422EFE" w:rsidP="0058311A">
            <w:pPr>
              <w:pStyle w:val="TableText"/>
              <w:spacing w:before="40" w:after="40"/>
            </w:pPr>
            <w:r w:rsidRPr="00261B7A">
              <w:rPr>
                <w:rFonts w:eastAsia="Calibri"/>
              </w:rPr>
              <w:t>2011</w:t>
            </w:r>
          </w:p>
        </w:tc>
        <w:tc>
          <w:tcPr>
            <w:tcW w:w="0" w:type="auto"/>
            <w:shd w:val="clear" w:color="auto" w:fill="FFFFFF"/>
            <w:tcMar>
              <w:top w:w="0" w:type="dxa"/>
              <w:left w:w="108" w:type="dxa"/>
              <w:bottom w:w="0" w:type="dxa"/>
              <w:right w:w="108" w:type="dxa"/>
            </w:tcMar>
          </w:tcPr>
          <w:p w14:paraId="668D4A01" w14:textId="77777777" w:rsidR="00422EFE" w:rsidRPr="00261B7A" w:rsidRDefault="00422EFE" w:rsidP="00D53B36">
            <w:pPr>
              <w:pStyle w:val="TableText"/>
              <w:spacing w:before="50" w:after="50"/>
              <w:jc w:val="right"/>
            </w:pPr>
            <w:r w:rsidRPr="00261B7A">
              <w:rPr>
                <w:rFonts w:eastAsia="Calibri"/>
                <w:color w:val="000000"/>
              </w:rPr>
              <w:t>1.5</w:t>
            </w:r>
          </w:p>
        </w:tc>
        <w:tc>
          <w:tcPr>
            <w:tcW w:w="0" w:type="auto"/>
            <w:shd w:val="clear" w:color="auto" w:fill="FFFFFF"/>
            <w:tcMar>
              <w:top w:w="0" w:type="dxa"/>
              <w:left w:w="108" w:type="dxa"/>
              <w:bottom w:w="0" w:type="dxa"/>
              <w:right w:w="108" w:type="dxa"/>
            </w:tcMar>
          </w:tcPr>
          <w:p w14:paraId="555CFE26"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6B8EE652" w14:textId="77777777" w:rsidR="00422EFE" w:rsidRPr="00261B7A" w:rsidRDefault="00422EFE" w:rsidP="00D53B36">
            <w:pPr>
              <w:pStyle w:val="TableText"/>
              <w:spacing w:before="50" w:after="50"/>
              <w:jc w:val="right"/>
            </w:pPr>
            <w:r w:rsidRPr="00261B7A">
              <w:rPr>
                <w:rFonts w:eastAsia="Calibri"/>
                <w:color w:val="000000"/>
              </w:rPr>
              <w:t>0.4</w:t>
            </w:r>
          </w:p>
        </w:tc>
        <w:tc>
          <w:tcPr>
            <w:tcW w:w="0" w:type="auto"/>
            <w:shd w:val="clear" w:color="auto" w:fill="FFFFFF"/>
            <w:tcMar>
              <w:top w:w="0" w:type="dxa"/>
              <w:left w:w="108" w:type="dxa"/>
              <w:bottom w:w="0" w:type="dxa"/>
              <w:right w:w="108" w:type="dxa"/>
            </w:tcMar>
          </w:tcPr>
          <w:p w14:paraId="6426D4EB" w14:textId="77777777" w:rsidR="00422EFE" w:rsidRPr="00261B7A" w:rsidRDefault="00422EFE" w:rsidP="00D53B36">
            <w:pPr>
              <w:pStyle w:val="TableText"/>
              <w:spacing w:before="50" w:after="50"/>
              <w:jc w:val="right"/>
            </w:pPr>
            <w:r w:rsidRPr="00261B7A">
              <w:rPr>
                <w:rFonts w:eastAsia="Calibri"/>
                <w:color w:val="000000"/>
              </w:rPr>
              <w:t>0.6</w:t>
            </w:r>
          </w:p>
        </w:tc>
        <w:tc>
          <w:tcPr>
            <w:tcW w:w="0" w:type="auto"/>
            <w:shd w:val="clear" w:color="auto" w:fill="FFFFFF"/>
            <w:tcMar>
              <w:top w:w="0" w:type="dxa"/>
              <w:left w:w="108" w:type="dxa"/>
              <w:bottom w:w="0" w:type="dxa"/>
              <w:right w:w="108" w:type="dxa"/>
            </w:tcMar>
          </w:tcPr>
          <w:p w14:paraId="40C32266" w14:textId="77777777" w:rsidR="00422EFE" w:rsidRPr="00261B7A" w:rsidRDefault="00422EFE" w:rsidP="00D53B36">
            <w:pPr>
              <w:pStyle w:val="TableText"/>
              <w:spacing w:before="50" w:after="50"/>
              <w:jc w:val="right"/>
            </w:pPr>
            <w:r w:rsidRPr="00261B7A">
              <w:rPr>
                <w:rFonts w:eastAsia="Calibri"/>
                <w:color w:val="000000"/>
              </w:rPr>
              <w:t>2.7</w:t>
            </w:r>
          </w:p>
        </w:tc>
      </w:tr>
      <w:tr w:rsidR="00422EFE" w:rsidRPr="00261B7A" w14:paraId="6C4787AC" w14:textId="77777777" w:rsidTr="00D41492">
        <w:tc>
          <w:tcPr>
            <w:tcW w:w="0" w:type="auto"/>
            <w:shd w:val="clear" w:color="auto" w:fill="FFFFFF"/>
            <w:tcMar>
              <w:top w:w="0" w:type="dxa"/>
              <w:left w:w="108" w:type="dxa"/>
              <w:bottom w:w="0" w:type="dxa"/>
              <w:right w:w="108" w:type="dxa"/>
            </w:tcMar>
          </w:tcPr>
          <w:p w14:paraId="675BDF07" w14:textId="77777777" w:rsidR="00422EFE" w:rsidRPr="00261B7A" w:rsidRDefault="00422EFE" w:rsidP="0058311A">
            <w:pPr>
              <w:pStyle w:val="TableText"/>
              <w:spacing w:before="40" w:after="40"/>
            </w:pPr>
            <w:r w:rsidRPr="00261B7A">
              <w:rPr>
                <w:rFonts w:eastAsia="Calibri"/>
              </w:rPr>
              <w:t>2012</w:t>
            </w:r>
          </w:p>
        </w:tc>
        <w:tc>
          <w:tcPr>
            <w:tcW w:w="0" w:type="auto"/>
            <w:shd w:val="clear" w:color="auto" w:fill="FFFFFF"/>
            <w:tcMar>
              <w:top w:w="0" w:type="dxa"/>
              <w:left w:w="108" w:type="dxa"/>
              <w:bottom w:w="0" w:type="dxa"/>
              <w:right w:w="108" w:type="dxa"/>
            </w:tcMar>
          </w:tcPr>
          <w:p w14:paraId="4A87F957" w14:textId="77777777" w:rsidR="00422EFE" w:rsidRPr="00261B7A" w:rsidRDefault="00422EFE" w:rsidP="00D53B36">
            <w:pPr>
              <w:pStyle w:val="TableText"/>
              <w:spacing w:before="50" w:after="50"/>
              <w:jc w:val="right"/>
            </w:pPr>
            <w:r w:rsidRPr="00261B7A">
              <w:rPr>
                <w:rFonts w:eastAsia="Calibri"/>
                <w:color w:val="000000"/>
              </w:rPr>
              <w:t>1.5</w:t>
            </w:r>
          </w:p>
        </w:tc>
        <w:tc>
          <w:tcPr>
            <w:tcW w:w="0" w:type="auto"/>
            <w:shd w:val="clear" w:color="auto" w:fill="FFFFFF"/>
            <w:tcMar>
              <w:top w:w="0" w:type="dxa"/>
              <w:left w:w="108" w:type="dxa"/>
              <w:bottom w:w="0" w:type="dxa"/>
              <w:right w:w="108" w:type="dxa"/>
            </w:tcMar>
          </w:tcPr>
          <w:p w14:paraId="5D756ABA" w14:textId="77777777" w:rsidR="00422EFE" w:rsidRPr="00261B7A" w:rsidRDefault="00422EFE" w:rsidP="00D53B36">
            <w:pPr>
              <w:pStyle w:val="TableText"/>
              <w:spacing w:before="50" w:after="50"/>
              <w:jc w:val="right"/>
            </w:pPr>
            <w:r w:rsidRPr="00261B7A">
              <w:rPr>
                <w:rFonts w:eastAsia="Calibri"/>
                <w:color w:val="000000"/>
              </w:rPr>
              <w:t>0.2</w:t>
            </w:r>
          </w:p>
        </w:tc>
        <w:tc>
          <w:tcPr>
            <w:tcW w:w="0" w:type="auto"/>
            <w:shd w:val="clear" w:color="auto" w:fill="FFFFFF"/>
            <w:tcMar>
              <w:top w:w="0" w:type="dxa"/>
              <w:left w:w="108" w:type="dxa"/>
              <w:bottom w:w="0" w:type="dxa"/>
              <w:right w:w="108" w:type="dxa"/>
            </w:tcMar>
          </w:tcPr>
          <w:p w14:paraId="7C8C3F87" w14:textId="77777777" w:rsidR="00422EFE" w:rsidRPr="00261B7A" w:rsidRDefault="00422EFE" w:rsidP="00D53B36">
            <w:pPr>
              <w:pStyle w:val="TableText"/>
              <w:spacing w:before="50" w:after="50"/>
              <w:jc w:val="right"/>
            </w:pPr>
            <w:r w:rsidRPr="00261B7A">
              <w:rPr>
                <w:rFonts w:eastAsia="Calibri"/>
                <w:color w:val="000000"/>
              </w:rPr>
              <w:t>0.4</w:t>
            </w:r>
          </w:p>
        </w:tc>
        <w:tc>
          <w:tcPr>
            <w:tcW w:w="0" w:type="auto"/>
            <w:shd w:val="clear" w:color="auto" w:fill="FFFFFF"/>
            <w:tcMar>
              <w:top w:w="0" w:type="dxa"/>
              <w:left w:w="108" w:type="dxa"/>
              <w:bottom w:w="0" w:type="dxa"/>
              <w:right w:w="108" w:type="dxa"/>
            </w:tcMar>
          </w:tcPr>
          <w:p w14:paraId="2B6E15B4" w14:textId="77777777" w:rsidR="00422EFE" w:rsidRPr="00261B7A" w:rsidRDefault="00422EFE" w:rsidP="00D53B36">
            <w:pPr>
              <w:pStyle w:val="TableText"/>
              <w:spacing w:before="50" w:after="50"/>
              <w:jc w:val="right"/>
            </w:pPr>
            <w:r w:rsidRPr="00261B7A">
              <w:rPr>
                <w:rFonts w:eastAsia="Calibri"/>
                <w:color w:val="000000"/>
              </w:rPr>
              <w:t>0.6</w:t>
            </w:r>
          </w:p>
        </w:tc>
        <w:tc>
          <w:tcPr>
            <w:tcW w:w="0" w:type="auto"/>
            <w:shd w:val="clear" w:color="auto" w:fill="FFFFFF"/>
            <w:tcMar>
              <w:top w:w="0" w:type="dxa"/>
              <w:left w:w="108" w:type="dxa"/>
              <w:bottom w:w="0" w:type="dxa"/>
              <w:right w:w="108" w:type="dxa"/>
            </w:tcMar>
          </w:tcPr>
          <w:p w14:paraId="39437761" w14:textId="77777777" w:rsidR="00422EFE" w:rsidRPr="00261B7A" w:rsidRDefault="00422EFE" w:rsidP="00D53B36">
            <w:pPr>
              <w:pStyle w:val="TableText"/>
              <w:spacing w:before="50" w:after="50"/>
              <w:jc w:val="right"/>
            </w:pPr>
            <w:r w:rsidRPr="00261B7A">
              <w:rPr>
                <w:rFonts w:eastAsia="Calibri"/>
                <w:color w:val="000000"/>
              </w:rPr>
              <w:t>2.7</w:t>
            </w:r>
          </w:p>
        </w:tc>
      </w:tr>
      <w:tr w:rsidR="00422EFE" w:rsidRPr="00261B7A" w14:paraId="30AF9BF2" w14:textId="77777777" w:rsidTr="00D41492">
        <w:tc>
          <w:tcPr>
            <w:tcW w:w="0" w:type="auto"/>
            <w:shd w:val="clear" w:color="auto" w:fill="FFFFFF"/>
            <w:tcMar>
              <w:top w:w="0" w:type="dxa"/>
              <w:left w:w="108" w:type="dxa"/>
              <w:bottom w:w="0" w:type="dxa"/>
              <w:right w:w="108" w:type="dxa"/>
            </w:tcMar>
          </w:tcPr>
          <w:p w14:paraId="0F2CBD9C" w14:textId="77777777" w:rsidR="00422EFE" w:rsidRPr="00261B7A" w:rsidRDefault="00422EFE" w:rsidP="0058311A">
            <w:pPr>
              <w:pStyle w:val="TableText"/>
              <w:spacing w:before="40" w:after="40"/>
            </w:pPr>
            <w:r w:rsidRPr="00261B7A">
              <w:rPr>
                <w:rFonts w:eastAsia="Calibri"/>
              </w:rPr>
              <w:t>2013</w:t>
            </w:r>
          </w:p>
        </w:tc>
        <w:tc>
          <w:tcPr>
            <w:tcW w:w="0" w:type="auto"/>
            <w:shd w:val="clear" w:color="auto" w:fill="FFFFFF"/>
            <w:tcMar>
              <w:top w:w="0" w:type="dxa"/>
              <w:left w:w="108" w:type="dxa"/>
              <w:bottom w:w="0" w:type="dxa"/>
              <w:right w:w="108" w:type="dxa"/>
            </w:tcMar>
          </w:tcPr>
          <w:p w14:paraId="4272C158" w14:textId="77777777" w:rsidR="00422EFE" w:rsidRPr="00261B7A" w:rsidRDefault="00422EFE" w:rsidP="0058311A">
            <w:pPr>
              <w:pStyle w:val="TableText"/>
              <w:spacing w:before="40" w:after="40"/>
              <w:jc w:val="right"/>
              <w:rPr>
                <w:szCs w:val="16"/>
              </w:rPr>
            </w:pPr>
            <w:r w:rsidRPr="00261B7A">
              <w:rPr>
                <w:rFonts w:eastAsia="Calibri"/>
                <w:color w:val="000000"/>
                <w:szCs w:val="16"/>
              </w:rPr>
              <w:t>1.5</w:t>
            </w:r>
          </w:p>
        </w:tc>
        <w:tc>
          <w:tcPr>
            <w:tcW w:w="0" w:type="auto"/>
            <w:shd w:val="clear" w:color="auto" w:fill="FFFFFF"/>
            <w:tcMar>
              <w:top w:w="0" w:type="dxa"/>
              <w:left w:w="108" w:type="dxa"/>
              <w:bottom w:w="0" w:type="dxa"/>
              <w:right w:w="108" w:type="dxa"/>
            </w:tcMar>
          </w:tcPr>
          <w:p w14:paraId="4770253C" w14:textId="77777777" w:rsidR="00422EFE" w:rsidRPr="00261B7A" w:rsidRDefault="00422EFE" w:rsidP="0058311A">
            <w:pPr>
              <w:pStyle w:val="TableText"/>
              <w:spacing w:before="40" w:after="40"/>
              <w:jc w:val="right"/>
              <w:rPr>
                <w:szCs w:val="16"/>
              </w:rPr>
            </w:pPr>
            <w:r w:rsidRPr="00261B7A">
              <w:rPr>
                <w:rFonts w:eastAsia="Calibri"/>
                <w:color w:val="000000"/>
                <w:szCs w:val="16"/>
              </w:rPr>
              <w:t>0.2</w:t>
            </w:r>
          </w:p>
        </w:tc>
        <w:tc>
          <w:tcPr>
            <w:tcW w:w="0" w:type="auto"/>
            <w:shd w:val="clear" w:color="auto" w:fill="FFFFFF"/>
            <w:tcMar>
              <w:top w:w="0" w:type="dxa"/>
              <w:left w:w="108" w:type="dxa"/>
              <w:bottom w:w="0" w:type="dxa"/>
              <w:right w:w="108" w:type="dxa"/>
            </w:tcMar>
          </w:tcPr>
          <w:p w14:paraId="34514797" w14:textId="77777777" w:rsidR="00422EFE" w:rsidRPr="00261B7A" w:rsidRDefault="00422EFE" w:rsidP="0058311A">
            <w:pPr>
              <w:pStyle w:val="TableText"/>
              <w:spacing w:before="40" w:after="40"/>
              <w:jc w:val="right"/>
              <w:rPr>
                <w:szCs w:val="16"/>
              </w:rPr>
            </w:pPr>
            <w:r w:rsidRPr="00261B7A">
              <w:rPr>
                <w:rFonts w:eastAsia="Calibri"/>
                <w:color w:val="000000"/>
                <w:szCs w:val="16"/>
              </w:rPr>
              <w:t>0.5</w:t>
            </w:r>
          </w:p>
        </w:tc>
        <w:tc>
          <w:tcPr>
            <w:tcW w:w="0" w:type="auto"/>
            <w:shd w:val="clear" w:color="auto" w:fill="FFFFFF"/>
            <w:tcMar>
              <w:top w:w="0" w:type="dxa"/>
              <w:left w:w="108" w:type="dxa"/>
              <w:bottom w:w="0" w:type="dxa"/>
              <w:right w:w="108" w:type="dxa"/>
            </w:tcMar>
          </w:tcPr>
          <w:p w14:paraId="2D3428B3" w14:textId="77777777" w:rsidR="00422EFE" w:rsidRPr="00261B7A" w:rsidRDefault="00422EFE" w:rsidP="0058311A">
            <w:pPr>
              <w:pStyle w:val="TableText"/>
              <w:spacing w:before="40" w:after="40"/>
              <w:jc w:val="right"/>
              <w:rPr>
                <w:szCs w:val="16"/>
              </w:rPr>
            </w:pPr>
            <w:r w:rsidRPr="00261B7A">
              <w:rPr>
                <w:rFonts w:eastAsia="Calibri"/>
                <w:color w:val="000000"/>
                <w:szCs w:val="16"/>
              </w:rPr>
              <w:t>0.6</w:t>
            </w:r>
          </w:p>
        </w:tc>
        <w:tc>
          <w:tcPr>
            <w:tcW w:w="0" w:type="auto"/>
            <w:shd w:val="clear" w:color="auto" w:fill="FFFFFF"/>
            <w:tcMar>
              <w:top w:w="0" w:type="dxa"/>
              <w:left w:w="108" w:type="dxa"/>
              <w:bottom w:w="0" w:type="dxa"/>
              <w:right w:w="108" w:type="dxa"/>
            </w:tcMar>
          </w:tcPr>
          <w:p w14:paraId="450A2163" w14:textId="77777777" w:rsidR="00422EFE" w:rsidRPr="00261B7A" w:rsidRDefault="00422EFE" w:rsidP="0058311A">
            <w:pPr>
              <w:pStyle w:val="TableText"/>
              <w:spacing w:before="40" w:after="40"/>
              <w:jc w:val="right"/>
              <w:rPr>
                <w:szCs w:val="16"/>
              </w:rPr>
            </w:pPr>
            <w:r w:rsidRPr="00261B7A">
              <w:rPr>
                <w:rFonts w:eastAsia="Calibri"/>
                <w:color w:val="000000"/>
                <w:szCs w:val="16"/>
              </w:rPr>
              <w:t>2.8</w:t>
            </w:r>
          </w:p>
        </w:tc>
      </w:tr>
      <w:tr w:rsidR="00422EFE" w:rsidRPr="00261B7A" w14:paraId="7AE5F09A" w14:textId="77777777" w:rsidTr="00D41492">
        <w:tc>
          <w:tcPr>
            <w:tcW w:w="0" w:type="auto"/>
            <w:shd w:val="clear" w:color="auto" w:fill="FFFFFF"/>
            <w:tcMar>
              <w:top w:w="0" w:type="dxa"/>
              <w:left w:w="108" w:type="dxa"/>
              <w:bottom w:w="0" w:type="dxa"/>
              <w:right w:w="108" w:type="dxa"/>
            </w:tcMar>
          </w:tcPr>
          <w:p w14:paraId="5BFE699B" w14:textId="77777777" w:rsidR="00422EFE" w:rsidRPr="00261B7A" w:rsidRDefault="00422EFE" w:rsidP="0058311A">
            <w:pPr>
              <w:pStyle w:val="TableText"/>
              <w:spacing w:before="40" w:after="40"/>
              <w:rPr>
                <w:szCs w:val="16"/>
              </w:rPr>
            </w:pPr>
            <w:r w:rsidRPr="00261B7A">
              <w:rPr>
                <w:rFonts w:eastAsia="Calibri"/>
                <w:szCs w:val="16"/>
              </w:rPr>
              <w:t>2014</w:t>
            </w:r>
          </w:p>
        </w:tc>
        <w:tc>
          <w:tcPr>
            <w:tcW w:w="0" w:type="auto"/>
            <w:shd w:val="clear" w:color="auto" w:fill="FFFFFF"/>
            <w:tcMar>
              <w:top w:w="0" w:type="dxa"/>
              <w:left w:w="108" w:type="dxa"/>
              <w:bottom w:w="0" w:type="dxa"/>
              <w:right w:w="108" w:type="dxa"/>
            </w:tcMar>
          </w:tcPr>
          <w:p w14:paraId="4A263F37" w14:textId="77777777" w:rsidR="00422EFE" w:rsidRPr="00261B7A" w:rsidRDefault="00422EFE" w:rsidP="0058311A">
            <w:pPr>
              <w:pStyle w:val="TableText"/>
              <w:spacing w:before="40" w:after="40"/>
              <w:jc w:val="right"/>
              <w:rPr>
                <w:szCs w:val="16"/>
              </w:rPr>
            </w:pPr>
            <w:r w:rsidRPr="00261B7A">
              <w:rPr>
                <w:rFonts w:eastAsia="Calibri"/>
                <w:color w:val="000000"/>
                <w:szCs w:val="16"/>
              </w:rPr>
              <w:t>1.5</w:t>
            </w:r>
          </w:p>
        </w:tc>
        <w:tc>
          <w:tcPr>
            <w:tcW w:w="0" w:type="auto"/>
            <w:shd w:val="clear" w:color="auto" w:fill="FFFFFF"/>
            <w:tcMar>
              <w:top w:w="0" w:type="dxa"/>
              <w:left w:w="108" w:type="dxa"/>
              <w:bottom w:w="0" w:type="dxa"/>
              <w:right w:w="108" w:type="dxa"/>
            </w:tcMar>
          </w:tcPr>
          <w:p w14:paraId="38540E00" w14:textId="77777777" w:rsidR="00422EFE" w:rsidRPr="00261B7A" w:rsidRDefault="00422EFE" w:rsidP="0058311A">
            <w:pPr>
              <w:pStyle w:val="TableText"/>
              <w:spacing w:before="40" w:after="40"/>
              <w:jc w:val="right"/>
              <w:rPr>
                <w:szCs w:val="16"/>
              </w:rPr>
            </w:pPr>
            <w:r w:rsidRPr="00261B7A">
              <w:rPr>
                <w:rFonts w:eastAsia="Calibri"/>
                <w:color w:val="000000"/>
                <w:szCs w:val="16"/>
              </w:rPr>
              <w:t>0.2</w:t>
            </w:r>
          </w:p>
        </w:tc>
        <w:tc>
          <w:tcPr>
            <w:tcW w:w="0" w:type="auto"/>
            <w:shd w:val="clear" w:color="auto" w:fill="FFFFFF"/>
            <w:tcMar>
              <w:top w:w="0" w:type="dxa"/>
              <w:left w:w="108" w:type="dxa"/>
              <w:bottom w:w="0" w:type="dxa"/>
              <w:right w:w="108" w:type="dxa"/>
            </w:tcMar>
          </w:tcPr>
          <w:p w14:paraId="0BA9FADB" w14:textId="77777777" w:rsidR="00422EFE" w:rsidRPr="00261B7A" w:rsidRDefault="00422EFE" w:rsidP="0058311A">
            <w:pPr>
              <w:pStyle w:val="TableText"/>
              <w:spacing w:before="40" w:after="40"/>
              <w:jc w:val="right"/>
              <w:rPr>
                <w:szCs w:val="16"/>
              </w:rPr>
            </w:pPr>
            <w:r w:rsidRPr="00261B7A">
              <w:rPr>
                <w:rFonts w:eastAsia="Calibri"/>
                <w:color w:val="000000"/>
                <w:szCs w:val="16"/>
              </w:rPr>
              <w:t>0.5</w:t>
            </w:r>
          </w:p>
        </w:tc>
        <w:tc>
          <w:tcPr>
            <w:tcW w:w="0" w:type="auto"/>
            <w:shd w:val="clear" w:color="auto" w:fill="FFFFFF"/>
            <w:tcMar>
              <w:top w:w="0" w:type="dxa"/>
              <w:left w:w="108" w:type="dxa"/>
              <w:bottom w:w="0" w:type="dxa"/>
              <w:right w:w="108" w:type="dxa"/>
            </w:tcMar>
          </w:tcPr>
          <w:p w14:paraId="130969C5" w14:textId="77777777" w:rsidR="00422EFE" w:rsidRPr="00261B7A" w:rsidRDefault="00422EFE" w:rsidP="0058311A">
            <w:pPr>
              <w:pStyle w:val="TableText"/>
              <w:spacing w:before="40" w:after="40"/>
              <w:jc w:val="right"/>
              <w:rPr>
                <w:szCs w:val="16"/>
              </w:rPr>
            </w:pPr>
            <w:r w:rsidRPr="00261B7A">
              <w:rPr>
                <w:rFonts w:eastAsia="Calibri"/>
                <w:color w:val="000000"/>
                <w:szCs w:val="16"/>
              </w:rPr>
              <w:t>0.6</w:t>
            </w:r>
          </w:p>
        </w:tc>
        <w:tc>
          <w:tcPr>
            <w:tcW w:w="0" w:type="auto"/>
            <w:shd w:val="clear" w:color="auto" w:fill="FFFFFF"/>
            <w:tcMar>
              <w:top w:w="0" w:type="dxa"/>
              <w:left w:w="108" w:type="dxa"/>
              <w:bottom w:w="0" w:type="dxa"/>
              <w:right w:w="108" w:type="dxa"/>
            </w:tcMar>
          </w:tcPr>
          <w:p w14:paraId="6B2B659C" w14:textId="77777777" w:rsidR="00422EFE" w:rsidRPr="00261B7A" w:rsidRDefault="00422EFE" w:rsidP="0058311A">
            <w:pPr>
              <w:pStyle w:val="TableText"/>
              <w:spacing w:before="40" w:after="40"/>
              <w:jc w:val="right"/>
              <w:rPr>
                <w:szCs w:val="16"/>
              </w:rPr>
            </w:pPr>
            <w:r w:rsidRPr="00261B7A">
              <w:rPr>
                <w:rFonts w:eastAsia="Calibri"/>
                <w:color w:val="000000"/>
                <w:szCs w:val="16"/>
              </w:rPr>
              <w:t>2.9</w:t>
            </w:r>
          </w:p>
        </w:tc>
      </w:tr>
      <w:tr w:rsidR="00422EFE" w:rsidRPr="00261B7A" w14:paraId="40E547E0" w14:textId="77777777" w:rsidTr="00D41492">
        <w:tc>
          <w:tcPr>
            <w:tcW w:w="0" w:type="auto"/>
            <w:shd w:val="clear" w:color="auto" w:fill="FFFFFF"/>
            <w:tcMar>
              <w:top w:w="0" w:type="dxa"/>
              <w:left w:w="108" w:type="dxa"/>
              <w:bottom w:w="0" w:type="dxa"/>
              <w:right w:w="108" w:type="dxa"/>
            </w:tcMar>
          </w:tcPr>
          <w:p w14:paraId="624C498A" w14:textId="77777777" w:rsidR="00422EFE" w:rsidRPr="00261B7A" w:rsidRDefault="00422EFE" w:rsidP="0058311A">
            <w:pPr>
              <w:pStyle w:val="TableText"/>
              <w:spacing w:before="40" w:after="40"/>
              <w:rPr>
                <w:szCs w:val="16"/>
              </w:rPr>
            </w:pPr>
            <w:r w:rsidRPr="00261B7A">
              <w:rPr>
                <w:rFonts w:eastAsia="Calibri"/>
                <w:szCs w:val="16"/>
              </w:rPr>
              <w:t>2015</w:t>
            </w:r>
          </w:p>
        </w:tc>
        <w:tc>
          <w:tcPr>
            <w:tcW w:w="0" w:type="auto"/>
            <w:shd w:val="clear" w:color="auto" w:fill="FFFFFF"/>
            <w:tcMar>
              <w:top w:w="0" w:type="dxa"/>
              <w:left w:w="108" w:type="dxa"/>
              <w:bottom w:w="0" w:type="dxa"/>
              <w:right w:w="108" w:type="dxa"/>
            </w:tcMar>
          </w:tcPr>
          <w:p w14:paraId="23AE2E3E" w14:textId="77777777" w:rsidR="00422EFE" w:rsidRPr="00261B7A" w:rsidRDefault="00422EFE" w:rsidP="0058311A">
            <w:pPr>
              <w:pStyle w:val="TableText"/>
              <w:spacing w:before="40" w:after="40"/>
              <w:jc w:val="right"/>
              <w:rPr>
                <w:szCs w:val="16"/>
              </w:rPr>
            </w:pPr>
            <w:r w:rsidRPr="00261B7A">
              <w:rPr>
                <w:rFonts w:eastAsia="Calibri"/>
                <w:color w:val="000000"/>
                <w:szCs w:val="16"/>
              </w:rPr>
              <w:t>1.6</w:t>
            </w:r>
          </w:p>
        </w:tc>
        <w:tc>
          <w:tcPr>
            <w:tcW w:w="0" w:type="auto"/>
            <w:shd w:val="clear" w:color="auto" w:fill="FFFFFF"/>
            <w:tcMar>
              <w:top w:w="0" w:type="dxa"/>
              <w:left w:w="108" w:type="dxa"/>
              <w:bottom w:w="0" w:type="dxa"/>
              <w:right w:w="108" w:type="dxa"/>
            </w:tcMar>
          </w:tcPr>
          <w:p w14:paraId="6C30C4B5" w14:textId="77777777" w:rsidR="00422EFE" w:rsidRPr="00261B7A" w:rsidRDefault="00422EFE" w:rsidP="0058311A">
            <w:pPr>
              <w:pStyle w:val="TableText"/>
              <w:spacing w:before="40" w:after="40"/>
              <w:jc w:val="right"/>
              <w:rPr>
                <w:szCs w:val="16"/>
              </w:rPr>
            </w:pPr>
            <w:r w:rsidRPr="00261B7A">
              <w:rPr>
                <w:rFonts w:eastAsia="Calibri"/>
                <w:color w:val="000000"/>
                <w:szCs w:val="16"/>
              </w:rPr>
              <w:t>0.2</w:t>
            </w:r>
          </w:p>
        </w:tc>
        <w:tc>
          <w:tcPr>
            <w:tcW w:w="0" w:type="auto"/>
            <w:shd w:val="clear" w:color="auto" w:fill="FFFFFF"/>
            <w:tcMar>
              <w:top w:w="0" w:type="dxa"/>
              <w:left w:w="108" w:type="dxa"/>
              <w:bottom w:w="0" w:type="dxa"/>
              <w:right w:w="108" w:type="dxa"/>
            </w:tcMar>
          </w:tcPr>
          <w:p w14:paraId="25F738D6" w14:textId="77777777" w:rsidR="00422EFE" w:rsidRPr="00261B7A" w:rsidRDefault="00422EFE" w:rsidP="0058311A">
            <w:pPr>
              <w:pStyle w:val="TableText"/>
              <w:spacing w:before="40" w:after="40"/>
              <w:jc w:val="right"/>
              <w:rPr>
                <w:szCs w:val="16"/>
              </w:rPr>
            </w:pPr>
            <w:r w:rsidRPr="00261B7A">
              <w:rPr>
                <w:rFonts w:eastAsia="Calibri"/>
                <w:color w:val="000000"/>
                <w:szCs w:val="16"/>
              </w:rPr>
              <w:t>0.5</w:t>
            </w:r>
          </w:p>
        </w:tc>
        <w:tc>
          <w:tcPr>
            <w:tcW w:w="0" w:type="auto"/>
            <w:shd w:val="clear" w:color="auto" w:fill="FFFFFF"/>
            <w:tcMar>
              <w:top w:w="0" w:type="dxa"/>
              <w:left w:w="108" w:type="dxa"/>
              <w:bottom w:w="0" w:type="dxa"/>
              <w:right w:w="108" w:type="dxa"/>
            </w:tcMar>
          </w:tcPr>
          <w:p w14:paraId="184C1E92" w14:textId="77777777" w:rsidR="00422EFE" w:rsidRPr="00261B7A" w:rsidRDefault="00422EFE" w:rsidP="0058311A">
            <w:pPr>
              <w:pStyle w:val="TableText"/>
              <w:spacing w:before="40" w:after="40"/>
              <w:jc w:val="right"/>
              <w:rPr>
                <w:szCs w:val="16"/>
              </w:rPr>
            </w:pPr>
            <w:r w:rsidRPr="00261B7A">
              <w:rPr>
                <w:rFonts w:eastAsia="Calibri"/>
                <w:color w:val="000000"/>
                <w:szCs w:val="16"/>
              </w:rPr>
              <w:t>0.6</w:t>
            </w:r>
          </w:p>
        </w:tc>
        <w:tc>
          <w:tcPr>
            <w:tcW w:w="0" w:type="auto"/>
            <w:shd w:val="clear" w:color="auto" w:fill="FFFFFF"/>
            <w:tcMar>
              <w:top w:w="0" w:type="dxa"/>
              <w:left w:w="108" w:type="dxa"/>
              <w:bottom w:w="0" w:type="dxa"/>
              <w:right w:w="108" w:type="dxa"/>
            </w:tcMar>
          </w:tcPr>
          <w:p w14:paraId="3B3D7CB0" w14:textId="77777777" w:rsidR="00422EFE" w:rsidRPr="00261B7A" w:rsidRDefault="00422EFE" w:rsidP="0058311A">
            <w:pPr>
              <w:pStyle w:val="TableText"/>
              <w:spacing w:before="40" w:after="40"/>
              <w:jc w:val="right"/>
              <w:rPr>
                <w:szCs w:val="16"/>
              </w:rPr>
            </w:pPr>
            <w:r w:rsidRPr="00261B7A">
              <w:rPr>
                <w:rFonts w:eastAsia="Calibri"/>
                <w:color w:val="000000"/>
                <w:szCs w:val="16"/>
              </w:rPr>
              <w:t>2.9</w:t>
            </w:r>
          </w:p>
        </w:tc>
      </w:tr>
      <w:tr w:rsidR="00422EFE" w:rsidRPr="00261B7A" w14:paraId="53C4A377" w14:textId="77777777" w:rsidTr="00D41492">
        <w:tc>
          <w:tcPr>
            <w:tcW w:w="0" w:type="auto"/>
            <w:shd w:val="clear" w:color="auto" w:fill="FFFFFF"/>
            <w:tcMar>
              <w:top w:w="0" w:type="dxa"/>
              <w:left w:w="108" w:type="dxa"/>
              <w:bottom w:w="0" w:type="dxa"/>
              <w:right w:w="108" w:type="dxa"/>
            </w:tcMar>
          </w:tcPr>
          <w:p w14:paraId="37033158" w14:textId="77777777" w:rsidR="00422EFE" w:rsidRPr="00261B7A" w:rsidRDefault="00422EFE" w:rsidP="0058311A">
            <w:pPr>
              <w:pStyle w:val="TableText"/>
              <w:spacing w:before="40" w:after="40"/>
              <w:rPr>
                <w:szCs w:val="16"/>
              </w:rPr>
            </w:pPr>
            <w:r w:rsidRPr="00261B7A">
              <w:rPr>
                <w:rFonts w:eastAsia="Calibri"/>
                <w:szCs w:val="16"/>
              </w:rPr>
              <w:t>2016</w:t>
            </w:r>
          </w:p>
        </w:tc>
        <w:tc>
          <w:tcPr>
            <w:tcW w:w="0" w:type="auto"/>
            <w:shd w:val="clear" w:color="auto" w:fill="FFFFFF"/>
            <w:tcMar>
              <w:top w:w="0" w:type="dxa"/>
              <w:left w:w="108" w:type="dxa"/>
              <w:bottom w:w="0" w:type="dxa"/>
              <w:right w:w="108" w:type="dxa"/>
            </w:tcMar>
          </w:tcPr>
          <w:p w14:paraId="1088D610" w14:textId="77777777" w:rsidR="00422EFE" w:rsidRPr="00261B7A" w:rsidRDefault="00422EFE" w:rsidP="0058311A">
            <w:pPr>
              <w:pStyle w:val="TableText"/>
              <w:spacing w:before="40" w:after="40"/>
              <w:jc w:val="right"/>
              <w:rPr>
                <w:szCs w:val="16"/>
              </w:rPr>
            </w:pPr>
            <w:r w:rsidRPr="00261B7A">
              <w:rPr>
                <w:rFonts w:eastAsia="Calibri"/>
                <w:color w:val="000000"/>
                <w:szCs w:val="16"/>
              </w:rPr>
              <w:t>1.5</w:t>
            </w:r>
          </w:p>
        </w:tc>
        <w:tc>
          <w:tcPr>
            <w:tcW w:w="0" w:type="auto"/>
            <w:shd w:val="clear" w:color="auto" w:fill="FFFFFF"/>
            <w:tcMar>
              <w:top w:w="0" w:type="dxa"/>
              <w:left w:w="108" w:type="dxa"/>
              <w:bottom w:w="0" w:type="dxa"/>
              <w:right w:w="108" w:type="dxa"/>
            </w:tcMar>
          </w:tcPr>
          <w:p w14:paraId="6C88D629" w14:textId="77777777" w:rsidR="00422EFE" w:rsidRPr="00261B7A" w:rsidRDefault="00422EFE" w:rsidP="0058311A">
            <w:pPr>
              <w:pStyle w:val="TableText"/>
              <w:spacing w:before="40" w:after="40"/>
              <w:jc w:val="right"/>
              <w:rPr>
                <w:szCs w:val="16"/>
              </w:rPr>
            </w:pPr>
            <w:r w:rsidRPr="00261B7A">
              <w:rPr>
                <w:rFonts w:eastAsia="Calibri"/>
                <w:color w:val="000000"/>
                <w:szCs w:val="16"/>
              </w:rPr>
              <w:t>0.3</w:t>
            </w:r>
          </w:p>
        </w:tc>
        <w:tc>
          <w:tcPr>
            <w:tcW w:w="0" w:type="auto"/>
            <w:shd w:val="clear" w:color="auto" w:fill="FFFFFF"/>
            <w:tcMar>
              <w:top w:w="0" w:type="dxa"/>
              <w:left w:w="108" w:type="dxa"/>
              <w:bottom w:w="0" w:type="dxa"/>
              <w:right w:w="108" w:type="dxa"/>
            </w:tcMar>
          </w:tcPr>
          <w:p w14:paraId="588CE57E" w14:textId="77777777" w:rsidR="00422EFE" w:rsidRPr="00261B7A" w:rsidRDefault="00422EFE" w:rsidP="0058311A">
            <w:pPr>
              <w:pStyle w:val="TableText"/>
              <w:spacing w:before="40" w:after="40"/>
              <w:jc w:val="right"/>
              <w:rPr>
                <w:szCs w:val="16"/>
              </w:rPr>
            </w:pPr>
            <w:r w:rsidRPr="00261B7A">
              <w:rPr>
                <w:rFonts w:eastAsia="Calibri"/>
                <w:color w:val="000000"/>
                <w:szCs w:val="16"/>
              </w:rPr>
              <w:t>0.5</w:t>
            </w:r>
          </w:p>
        </w:tc>
        <w:tc>
          <w:tcPr>
            <w:tcW w:w="0" w:type="auto"/>
            <w:shd w:val="clear" w:color="auto" w:fill="FFFFFF"/>
            <w:tcMar>
              <w:top w:w="0" w:type="dxa"/>
              <w:left w:w="108" w:type="dxa"/>
              <w:bottom w:w="0" w:type="dxa"/>
              <w:right w:w="108" w:type="dxa"/>
            </w:tcMar>
          </w:tcPr>
          <w:p w14:paraId="304D03B1" w14:textId="77777777" w:rsidR="00422EFE" w:rsidRPr="00261B7A" w:rsidRDefault="00422EFE" w:rsidP="0058311A">
            <w:pPr>
              <w:pStyle w:val="TableText"/>
              <w:spacing w:before="40" w:after="40"/>
              <w:jc w:val="right"/>
              <w:rPr>
                <w:szCs w:val="16"/>
              </w:rPr>
            </w:pPr>
            <w:r w:rsidRPr="00261B7A">
              <w:rPr>
                <w:rFonts w:eastAsia="Calibri"/>
                <w:color w:val="000000"/>
                <w:szCs w:val="16"/>
              </w:rPr>
              <w:t>0.6</w:t>
            </w:r>
          </w:p>
        </w:tc>
        <w:tc>
          <w:tcPr>
            <w:tcW w:w="0" w:type="auto"/>
            <w:shd w:val="clear" w:color="auto" w:fill="FFFFFF"/>
            <w:tcMar>
              <w:top w:w="0" w:type="dxa"/>
              <w:left w:w="108" w:type="dxa"/>
              <w:bottom w:w="0" w:type="dxa"/>
              <w:right w:w="108" w:type="dxa"/>
            </w:tcMar>
          </w:tcPr>
          <w:p w14:paraId="15936CE1" w14:textId="77777777" w:rsidR="00422EFE" w:rsidRPr="00261B7A" w:rsidRDefault="00422EFE" w:rsidP="0058311A">
            <w:pPr>
              <w:pStyle w:val="TableText"/>
              <w:spacing w:before="40" w:after="40"/>
              <w:jc w:val="right"/>
              <w:rPr>
                <w:szCs w:val="16"/>
              </w:rPr>
            </w:pPr>
            <w:r w:rsidRPr="00261B7A">
              <w:rPr>
                <w:rFonts w:eastAsia="Calibri"/>
                <w:color w:val="000000"/>
                <w:szCs w:val="16"/>
              </w:rPr>
              <w:t>2.9</w:t>
            </w:r>
          </w:p>
        </w:tc>
      </w:tr>
      <w:tr w:rsidR="00422EFE" w:rsidRPr="00261B7A" w14:paraId="2A1C2EC4" w14:textId="77777777" w:rsidTr="00D41492">
        <w:tc>
          <w:tcPr>
            <w:tcW w:w="0" w:type="auto"/>
            <w:shd w:val="clear" w:color="auto" w:fill="FFFFFF"/>
            <w:tcMar>
              <w:top w:w="0" w:type="dxa"/>
              <w:left w:w="108" w:type="dxa"/>
              <w:bottom w:w="0" w:type="dxa"/>
              <w:right w:w="108" w:type="dxa"/>
            </w:tcMar>
          </w:tcPr>
          <w:p w14:paraId="39C0011F" w14:textId="77777777" w:rsidR="00422EFE" w:rsidRPr="00261B7A" w:rsidRDefault="00422EFE" w:rsidP="0058311A">
            <w:pPr>
              <w:pStyle w:val="TableText"/>
              <w:spacing w:before="40" w:after="40"/>
              <w:rPr>
                <w:szCs w:val="16"/>
              </w:rPr>
            </w:pPr>
            <w:r w:rsidRPr="00261B7A">
              <w:rPr>
                <w:rFonts w:eastAsia="Calibri"/>
                <w:szCs w:val="16"/>
              </w:rPr>
              <w:t>2017</w:t>
            </w:r>
          </w:p>
        </w:tc>
        <w:tc>
          <w:tcPr>
            <w:tcW w:w="0" w:type="auto"/>
            <w:shd w:val="clear" w:color="auto" w:fill="FFFFFF"/>
            <w:tcMar>
              <w:top w:w="0" w:type="dxa"/>
              <w:left w:w="108" w:type="dxa"/>
              <w:bottom w:w="0" w:type="dxa"/>
              <w:right w:w="108" w:type="dxa"/>
            </w:tcMar>
          </w:tcPr>
          <w:p w14:paraId="15F7C387" w14:textId="77777777" w:rsidR="00422EFE" w:rsidRPr="00261B7A" w:rsidRDefault="00422EFE" w:rsidP="0058311A">
            <w:pPr>
              <w:pStyle w:val="TableText"/>
              <w:spacing w:before="40" w:after="40"/>
              <w:jc w:val="right"/>
              <w:rPr>
                <w:szCs w:val="16"/>
              </w:rPr>
            </w:pPr>
            <w:r w:rsidRPr="00261B7A">
              <w:rPr>
                <w:rFonts w:eastAsia="Calibri"/>
                <w:color w:val="000000"/>
                <w:szCs w:val="16"/>
              </w:rPr>
              <w:t>1.5</w:t>
            </w:r>
          </w:p>
        </w:tc>
        <w:tc>
          <w:tcPr>
            <w:tcW w:w="0" w:type="auto"/>
            <w:shd w:val="clear" w:color="auto" w:fill="FFFFFF"/>
            <w:tcMar>
              <w:top w:w="0" w:type="dxa"/>
              <w:left w:w="108" w:type="dxa"/>
              <w:bottom w:w="0" w:type="dxa"/>
              <w:right w:w="108" w:type="dxa"/>
            </w:tcMar>
          </w:tcPr>
          <w:p w14:paraId="5D14CD89" w14:textId="77777777" w:rsidR="00422EFE" w:rsidRPr="00261B7A" w:rsidRDefault="00422EFE" w:rsidP="0058311A">
            <w:pPr>
              <w:pStyle w:val="TableText"/>
              <w:spacing w:before="40" w:after="40"/>
              <w:jc w:val="right"/>
              <w:rPr>
                <w:szCs w:val="16"/>
              </w:rPr>
            </w:pPr>
            <w:r w:rsidRPr="00261B7A">
              <w:rPr>
                <w:rFonts w:eastAsia="Calibri"/>
                <w:color w:val="000000"/>
                <w:szCs w:val="16"/>
              </w:rPr>
              <w:t>0.3</w:t>
            </w:r>
          </w:p>
        </w:tc>
        <w:tc>
          <w:tcPr>
            <w:tcW w:w="0" w:type="auto"/>
            <w:shd w:val="clear" w:color="auto" w:fill="FFFFFF"/>
            <w:tcMar>
              <w:top w:w="0" w:type="dxa"/>
              <w:left w:w="108" w:type="dxa"/>
              <w:bottom w:w="0" w:type="dxa"/>
              <w:right w:w="108" w:type="dxa"/>
            </w:tcMar>
          </w:tcPr>
          <w:p w14:paraId="021DE328" w14:textId="77777777" w:rsidR="00422EFE" w:rsidRPr="00261B7A" w:rsidRDefault="00422EFE" w:rsidP="0058311A">
            <w:pPr>
              <w:pStyle w:val="TableText"/>
              <w:spacing w:before="40" w:after="40"/>
              <w:jc w:val="right"/>
              <w:rPr>
                <w:szCs w:val="16"/>
              </w:rPr>
            </w:pPr>
            <w:r w:rsidRPr="00261B7A">
              <w:rPr>
                <w:rFonts w:eastAsia="Calibri"/>
                <w:color w:val="000000"/>
                <w:szCs w:val="16"/>
              </w:rPr>
              <w:t>0.5</w:t>
            </w:r>
          </w:p>
        </w:tc>
        <w:tc>
          <w:tcPr>
            <w:tcW w:w="0" w:type="auto"/>
            <w:shd w:val="clear" w:color="auto" w:fill="FFFFFF"/>
            <w:tcMar>
              <w:top w:w="0" w:type="dxa"/>
              <w:left w:w="108" w:type="dxa"/>
              <w:bottom w:w="0" w:type="dxa"/>
              <w:right w:w="108" w:type="dxa"/>
            </w:tcMar>
          </w:tcPr>
          <w:p w14:paraId="4FA0159A" w14:textId="77777777" w:rsidR="00422EFE" w:rsidRPr="00261B7A" w:rsidRDefault="00422EFE" w:rsidP="0058311A">
            <w:pPr>
              <w:pStyle w:val="TableText"/>
              <w:spacing w:before="40" w:after="40"/>
              <w:jc w:val="right"/>
              <w:rPr>
                <w:szCs w:val="16"/>
              </w:rPr>
            </w:pPr>
            <w:r w:rsidRPr="00261B7A">
              <w:rPr>
                <w:rFonts w:eastAsia="Calibri"/>
                <w:color w:val="000000"/>
                <w:szCs w:val="16"/>
              </w:rPr>
              <w:t>0.6</w:t>
            </w:r>
          </w:p>
        </w:tc>
        <w:tc>
          <w:tcPr>
            <w:tcW w:w="0" w:type="auto"/>
            <w:shd w:val="clear" w:color="auto" w:fill="FFFFFF"/>
            <w:tcMar>
              <w:top w:w="0" w:type="dxa"/>
              <w:left w:w="108" w:type="dxa"/>
              <w:bottom w:w="0" w:type="dxa"/>
              <w:right w:w="108" w:type="dxa"/>
            </w:tcMar>
          </w:tcPr>
          <w:p w14:paraId="4B6984E5" w14:textId="77777777" w:rsidR="00422EFE" w:rsidRPr="00261B7A" w:rsidRDefault="00422EFE" w:rsidP="0058311A">
            <w:pPr>
              <w:pStyle w:val="TableText"/>
              <w:spacing w:before="40" w:after="40"/>
              <w:jc w:val="right"/>
              <w:rPr>
                <w:szCs w:val="16"/>
              </w:rPr>
            </w:pPr>
            <w:r w:rsidRPr="00261B7A">
              <w:rPr>
                <w:rFonts w:eastAsia="Calibri"/>
                <w:color w:val="000000"/>
                <w:szCs w:val="16"/>
              </w:rPr>
              <w:t>2.9</w:t>
            </w:r>
          </w:p>
        </w:tc>
      </w:tr>
      <w:tr w:rsidR="00422EFE" w:rsidRPr="00261B7A" w14:paraId="6146AB51" w14:textId="77777777" w:rsidTr="00D41492">
        <w:tc>
          <w:tcPr>
            <w:tcW w:w="0" w:type="auto"/>
            <w:shd w:val="clear" w:color="auto" w:fill="FFFFFF"/>
            <w:tcMar>
              <w:top w:w="0" w:type="dxa"/>
              <w:left w:w="108" w:type="dxa"/>
              <w:bottom w:w="0" w:type="dxa"/>
              <w:right w:w="108" w:type="dxa"/>
            </w:tcMar>
          </w:tcPr>
          <w:p w14:paraId="163AEC6C" w14:textId="77777777" w:rsidR="00422EFE" w:rsidRPr="00261B7A" w:rsidRDefault="00422EFE" w:rsidP="0058311A">
            <w:pPr>
              <w:pStyle w:val="TableText"/>
              <w:spacing w:before="40" w:after="40"/>
              <w:rPr>
                <w:szCs w:val="16"/>
              </w:rPr>
            </w:pPr>
            <w:r w:rsidRPr="00261B7A">
              <w:rPr>
                <w:rFonts w:eastAsia="Calibri"/>
                <w:szCs w:val="16"/>
              </w:rPr>
              <w:t>2018</w:t>
            </w:r>
          </w:p>
        </w:tc>
        <w:tc>
          <w:tcPr>
            <w:tcW w:w="0" w:type="auto"/>
            <w:shd w:val="clear" w:color="auto" w:fill="FFFFFF"/>
            <w:tcMar>
              <w:top w:w="0" w:type="dxa"/>
              <w:left w:w="108" w:type="dxa"/>
              <w:bottom w:w="0" w:type="dxa"/>
              <w:right w:w="108" w:type="dxa"/>
            </w:tcMar>
          </w:tcPr>
          <w:p w14:paraId="6D8CAF31" w14:textId="77777777" w:rsidR="00422EFE" w:rsidRPr="00261B7A" w:rsidRDefault="00422EFE" w:rsidP="0058311A">
            <w:pPr>
              <w:pStyle w:val="TableText"/>
              <w:spacing w:before="40" w:after="40"/>
              <w:jc w:val="right"/>
              <w:rPr>
                <w:szCs w:val="16"/>
              </w:rPr>
            </w:pPr>
            <w:r w:rsidRPr="00261B7A">
              <w:rPr>
                <w:rFonts w:eastAsia="Calibri"/>
                <w:color w:val="000000"/>
                <w:szCs w:val="16"/>
              </w:rPr>
              <w:t>1.6</w:t>
            </w:r>
          </w:p>
        </w:tc>
        <w:tc>
          <w:tcPr>
            <w:tcW w:w="0" w:type="auto"/>
            <w:shd w:val="clear" w:color="auto" w:fill="FFFFFF"/>
            <w:tcMar>
              <w:top w:w="0" w:type="dxa"/>
              <w:left w:w="108" w:type="dxa"/>
              <w:bottom w:w="0" w:type="dxa"/>
              <w:right w:w="108" w:type="dxa"/>
            </w:tcMar>
          </w:tcPr>
          <w:p w14:paraId="4929E156" w14:textId="77777777" w:rsidR="00422EFE" w:rsidRPr="00261B7A" w:rsidRDefault="00422EFE" w:rsidP="0058311A">
            <w:pPr>
              <w:pStyle w:val="TableText"/>
              <w:spacing w:before="40" w:after="40"/>
              <w:jc w:val="right"/>
              <w:rPr>
                <w:szCs w:val="16"/>
              </w:rPr>
            </w:pPr>
            <w:r w:rsidRPr="00261B7A">
              <w:rPr>
                <w:rFonts w:eastAsia="Calibri"/>
                <w:color w:val="000000"/>
                <w:szCs w:val="16"/>
              </w:rPr>
              <w:t>0.3</w:t>
            </w:r>
          </w:p>
        </w:tc>
        <w:tc>
          <w:tcPr>
            <w:tcW w:w="0" w:type="auto"/>
            <w:shd w:val="clear" w:color="auto" w:fill="FFFFFF"/>
            <w:tcMar>
              <w:top w:w="0" w:type="dxa"/>
              <w:left w:w="108" w:type="dxa"/>
              <w:bottom w:w="0" w:type="dxa"/>
              <w:right w:w="108" w:type="dxa"/>
            </w:tcMar>
          </w:tcPr>
          <w:p w14:paraId="66B687DE" w14:textId="77777777" w:rsidR="00422EFE" w:rsidRPr="00261B7A" w:rsidRDefault="00422EFE" w:rsidP="0058311A">
            <w:pPr>
              <w:pStyle w:val="TableText"/>
              <w:spacing w:before="40" w:after="40"/>
              <w:jc w:val="right"/>
              <w:rPr>
                <w:szCs w:val="16"/>
              </w:rPr>
            </w:pPr>
            <w:r w:rsidRPr="00261B7A">
              <w:rPr>
                <w:rFonts w:eastAsia="Calibri"/>
                <w:color w:val="000000"/>
                <w:szCs w:val="16"/>
              </w:rPr>
              <w:t>0.5</w:t>
            </w:r>
          </w:p>
        </w:tc>
        <w:tc>
          <w:tcPr>
            <w:tcW w:w="0" w:type="auto"/>
            <w:shd w:val="clear" w:color="auto" w:fill="FFFFFF"/>
            <w:tcMar>
              <w:top w:w="0" w:type="dxa"/>
              <w:left w:w="108" w:type="dxa"/>
              <w:bottom w:w="0" w:type="dxa"/>
              <w:right w:w="108" w:type="dxa"/>
            </w:tcMar>
          </w:tcPr>
          <w:p w14:paraId="03873182" w14:textId="77777777" w:rsidR="00422EFE" w:rsidRPr="00261B7A" w:rsidRDefault="00422EFE" w:rsidP="0058311A">
            <w:pPr>
              <w:pStyle w:val="TableText"/>
              <w:spacing w:before="40" w:after="40"/>
              <w:jc w:val="right"/>
              <w:rPr>
                <w:szCs w:val="16"/>
              </w:rPr>
            </w:pPr>
            <w:r w:rsidRPr="00261B7A">
              <w:rPr>
                <w:rFonts w:eastAsia="Calibri"/>
                <w:color w:val="000000"/>
                <w:szCs w:val="16"/>
              </w:rPr>
              <w:t>0.6</w:t>
            </w:r>
          </w:p>
        </w:tc>
        <w:tc>
          <w:tcPr>
            <w:tcW w:w="0" w:type="auto"/>
            <w:shd w:val="clear" w:color="auto" w:fill="FFFFFF"/>
            <w:tcMar>
              <w:top w:w="0" w:type="dxa"/>
              <w:left w:w="108" w:type="dxa"/>
              <w:bottom w:w="0" w:type="dxa"/>
              <w:right w:w="108" w:type="dxa"/>
            </w:tcMar>
          </w:tcPr>
          <w:p w14:paraId="7483043E" w14:textId="77777777" w:rsidR="00422EFE" w:rsidRPr="00261B7A" w:rsidRDefault="00422EFE" w:rsidP="0058311A">
            <w:pPr>
              <w:pStyle w:val="TableText"/>
              <w:spacing w:before="40" w:after="40"/>
              <w:jc w:val="right"/>
              <w:rPr>
                <w:szCs w:val="16"/>
              </w:rPr>
            </w:pPr>
            <w:r w:rsidRPr="00261B7A">
              <w:rPr>
                <w:rFonts w:eastAsia="Calibri"/>
                <w:color w:val="000000"/>
                <w:szCs w:val="16"/>
              </w:rPr>
              <w:t>3.0</w:t>
            </w:r>
          </w:p>
        </w:tc>
      </w:tr>
      <w:tr w:rsidR="00422EFE" w:rsidRPr="00261B7A" w14:paraId="6D01D430" w14:textId="77777777" w:rsidTr="00D41492">
        <w:tc>
          <w:tcPr>
            <w:tcW w:w="0" w:type="auto"/>
            <w:shd w:val="clear" w:color="auto" w:fill="FFFFFF"/>
            <w:tcMar>
              <w:top w:w="0" w:type="dxa"/>
              <w:left w:w="108" w:type="dxa"/>
              <w:bottom w:w="0" w:type="dxa"/>
              <w:right w:w="108" w:type="dxa"/>
            </w:tcMar>
          </w:tcPr>
          <w:p w14:paraId="6F2738BC" w14:textId="77777777" w:rsidR="00422EFE" w:rsidRPr="00261B7A" w:rsidRDefault="00422EFE" w:rsidP="0058311A">
            <w:pPr>
              <w:pStyle w:val="TableText"/>
              <w:spacing w:before="40" w:after="40"/>
              <w:rPr>
                <w:szCs w:val="16"/>
              </w:rPr>
            </w:pPr>
            <w:r w:rsidRPr="00261B7A">
              <w:rPr>
                <w:rFonts w:eastAsia="Calibri"/>
                <w:szCs w:val="16"/>
              </w:rPr>
              <w:t>2019</w:t>
            </w:r>
          </w:p>
        </w:tc>
        <w:tc>
          <w:tcPr>
            <w:tcW w:w="0" w:type="auto"/>
            <w:shd w:val="clear" w:color="auto" w:fill="FFFFFF"/>
            <w:tcMar>
              <w:top w:w="0" w:type="dxa"/>
              <w:left w:w="108" w:type="dxa"/>
              <w:bottom w:w="0" w:type="dxa"/>
              <w:right w:w="108" w:type="dxa"/>
            </w:tcMar>
          </w:tcPr>
          <w:p w14:paraId="4EB87D3B" w14:textId="77777777" w:rsidR="00422EFE" w:rsidRPr="00261B7A" w:rsidRDefault="00422EFE" w:rsidP="0058311A">
            <w:pPr>
              <w:pStyle w:val="TableText"/>
              <w:spacing w:before="40" w:after="40"/>
              <w:jc w:val="right"/>
              <w:rPr>
                <w:szCs w:val="16"/>
              </w:rPr>
            </w:pPr>
            <w:r w:rsidRPr="00261B7A">
              <w:rPr>
                <w:rFonts w:eastAsia="Calibri"/>
                <w:color w:val="000000"/>
                <w:szCs w:val="16"/>
              </w:rPr>
              <w:t>1.6</w:t>
            </w:r>
          </w:p>
        </w:tc>
        <w:tc>
          <w:tcPr>
            <w:tcW w:w="0" w:type="auto"/>
            <w:shd w:val="clear" w:color="auto" w:fill="FFFFFF"/>
            <w:tcMar>
              <w:top w:w="0" w:type="dxa"/>
              <w:left w:w="108" w:type="dxa"/>
              <w:bottom w:w="0" w:type="dxa"/>
              <w:right w:w="108" w:type="dxa"/>
            </w:tcMar>
          </w:tcPr>
          <w:p w14:paraId="16A920DF" w14:textId="77777777" w:rsidR="00422EFE" w:rsidRPr="00261B7A" w:rsidRDefault="00422EFE" w:rsidP="0058311A">
            <w:pPr>
              <w:pStyle w:val="TableText"/>
              <w:spacing w:before="40" w:after="40"/>
              <w:jc w:val="right"/>
              <w:rPr>
                <w:szCs w:val="16"/>
              </w:rPr>
            </w:pPr>
            <w:r w:rsidRPr="00261B7A">
              <w:rPr>
                <w:rFonts w:eastAsia="Calibri"/>
                <w:color w:val="000000"/>
                <w:szCs w:val="16"/>
              </w:rPr>
              <w:t>0.3</w:t>
            </w:r>
          </w:p>
        </w:tc>
        <w:tc>
          <w:tcPr>
            <w:tcW w:w="0" w:type="auto"/>
            <w:shd w:val="clear" w:color="auto" w:fill="FFFFFF"/>
            <w:tcMar>
              <w:top w:w="0" w:type="dxa"/>
              <w:left w:w="108" w:type="dxa"/>
              <w:bottom w:w="0" w:type="dxa"/>
              <w:right w:w="108" w:type="dxa"/>
            </w:tcMar>
          </w:tcPr>
          <w:p w14:paraId="715EB5B8" w14:textId="77777777" w:rsidR="00422EFE" w:rsidRPr="00261B7A" w:rsidRDefault="00422EFE" w:rsidP="0058311A">
            <w:pPr>
              <w:pStyle w:val="TableText"/>
              <w:spacing w:before="40" w:after="40"/>
              <w:jc w:val="right"/>
              <w:rPr>
                <w:szCs w:val="16"/>
              </w:rPr>
            </w:pPr>
            <w:r w:rsidRPr="00261B7A">
              <w:rPr>
                <w:rFonts w:eastAsia="Calibri"/>
                <w:color w:val="000000"/>
                <w:szCs w:val="16"/>
              </w:rPr>
              <w:t>0.5</w:t>
            </w:r>
          </w:p>
        </w:tc>
        <w:tc>
          <w:tcPr>
            <w:tcW w:w="0" w:type="auto"/>
            <w:shd w:val="clear" w:color="auto" w:fill="FFFFFF"/>
            <w:tcMar>
              <w:top w:w="0" w:type="dxa"/>
              <w:left w:w="108" w:type="dxa"/>
              <w:bottom w:w="0" w:type="dxa"/>
              <w:right w:w="108" w:type="dxa"/>
            </w:tcMar>
          </w:tcPr>
          <w:p w14:paraId="596E4236" w14:textId="77777777" w:rsidR="00422EFE" w:rsidRPr="00261B7A" w:rsidRDefault="00422EFE" w:rsidP="0058311A">
            <w:pPr>
              <w:pStyle w:val="TableText"/>
              <w:spacing w:before="40" w:after="40"/>
              <w:jc w:val="right"/>
              <w:rPr>
                <w:szCs w:val="16"/>
              </w:rPr>
            </w:pPr>
            <w:r w:rsidRPr="00261B7A">
              <w:rPr>
                <w:rFonts w:eastAsia="Calibri"/>
                <w:color w:val="000000"/>
                <w:szCs w:val="16"/>
              </w:rPr>
              <w:t>0.6</w:t>
            </w:r>
          </w:p>
        </w:tc>
        <w:tc>
          <w:tcPr>
            <w:tcW w:w="0" w:type="auto"/>
            <w:shd w:val="clear" w:color="auto" w:fill="FFFFFF"/>
            <w:tcMar>
              <w:top w:w="0" w:type="dxa"/>
              <w:left w:w="108" w:type="dxa"/>
              <w:bottom w:w="0" w:type="dxa"/>
              <w:right w:w="108" w:type="dxa"/>
            </w:tcMar>
          </w:tcPr>
          <w:p w14:paraId="75EF00E2" w14:textId="77777777" w:rsidR="00422EFE" w:rsidRPr="00261B7A" w:rsidRDefault="00422EFE" w:rsidP="0058311A">
            <w:pPr>
              <w:pStyle w:val="TableText"/>
              <w:spacing w:before="40" w:after="40"/>
              <w:jc w:val="right"/>
              <w:rPr>
                <w:szCs w:val="16"/>
              </w:rPr>
            </w:pPr>
            <w:r w:rsidRPr="00261B7A">
              <w:rPr>
                <w:rFonts w:eastAsia="Calibri"/>
                <w:color w:val="000000"/>
                <w:szCs w:val="16"/>
              </w:rPr>
              <w:t>3.0</w:t>
            </w:r>
          </w:p>
        </w:tc>
      </w:tr>
      <w:tr w:rsidR="00422EFE" w:rsidRPr="00261B7A" w14:paraId="3D746576" w14:textId="77777777" w:rsidTr="00D41492">
        <w:tc>
          <w:tcPr>
            <w:tcW w:w="0" w:type="auto"/>
            <w:shd w:val="clear" w:color="auto" w:fill="FFFFFF"/>
            <w:tcMar>
              <w:top w:w="0" w:type="dxa"/>
              <w:left w:w="108" w:type="dxa"/>
              <w:bottom w:w="0" w:type="dxa"/>
              <w:right w:w="108" w:type="dxa"/>
            </w:tcMar>
          </w:tcPr>
          <w:p w14:paraId="7A361977" w14:textId="77777777" w:rsidR="00422EFE" w:rsidRPr="00261B7A" w:rsidRDefault="00422EFE" w:rsidP="0058311A">
            <w:pPr>
              <w:pStyle w:val="TableText"/>
              <w:spacing w:before="40" w:after="40"/>
              <w:rPr>
                <w:szCs w:val="16"/>
              </w:rPr>
            </w:pPr>
            <w:r w:rsidRPr="00261B7A">
              <w:rPr>
                <w:rFonts w:eastAsia="Calibri"/>
                <w:szCs w:val="16"/>
              </w:rPr>
              <w:t>2020</w:t>
            </w:r>
          </w:p>
        </w:tc>
        <w:tc>
          <w:tcPr>
            <w:tcW w:w="0" w:type="auto"/>
            <w:shd w:val="clear" w:color="auto" w:fill="FFFFFF"/>
            <w:tcMar>
              <w:top w:w="0" w:type="dxa"/>
              <w:left w:w="108" w:type="dxa"/>
              <w:bottom w:w="0" w:type="dxa"/>
              <w:right w:w="108" w:type="dxa"/>
            </w:tcMar>
          </w:tcPr>
          <w:p w14:paraId="087BD6F5" w14:textId="77777777" w:rsidR="00422EFE" w:rsidRPr="00261B7A" w:rsidRDefault="00422EFE" w:rsidP="0058311A">
            <w:pPr>
              <w:pStyle w:val="TableText"/>
              <w:spacing w:before="40" w:after="40"/>
              <w:jc w:val="right"/>
              <w:rPr>
                <w:szCs w:val="16"/>
              </w:rPr>
            </w:pPr>
            <w:r w:rsidRPr="00261B7A">
              <w:rPr>
                <w:rFonts w:eastAsia="Calibri"/>
                <w:color w:val="000000"/>
                <w:szCs w:val="16"/>
              </w:rPr>
              <w:t>1.6</w:t>
            </w:r>
          </w:p>
        </w:tc>
        <w:tc>
          <w:tcPr>
            <w:tcW w:w="0" w:type="auto"/>
            <w:shd w:val="clear" w:color="auto" w:fill="FFFFFF"/>
            <w:tcMar>
              <w:top w:w="0" w:type="dxa"/>
              <w:left w:w="108" w:type="dxa"/>
              <w:bottom w:w="0" w:type="dxa"/>
              <w:right w:w="108" w:type="dxa"/>
            </w:tcMar>
          </w:tcPr>
          <w:p w14:paraId="11F217B3" w14:textId="77777777" w:rsidR="00422EFE" w:rsidRPr="00261B7A" w:rsidRDefault="00422EFE" w:rsidP="0058311A">
            <w:pPr>
              <w:pStyle w:val="TableText"/>
              <w:spacing w:before="40" w:after="40"/>
              <w:jc w:val="right"/>
              <w:rPr>
                <w:szCs w:val="16"/>
              </w:rPr>
            </w:pPr>
            <w:r w:rsidRPr="00261B7A">
              <w:rPr>
                <w:rFonts w:eastAsia="Calibri"/>
                <w:color w:val="000000"/>
                <w:szCs w:val="16"/>
              </w:rPr>
              <w:t>0.3</w:t>
            </w:r>
          </w:p>
        </w:tc>
        <w:tc>
          <w:tcPr>
            <w:tcW w:w="0" w:type="auto"/>
            <w:shd w:val="clear" w:color="auto" w:fill="FFFFFF"/>
            <w:tcMar>
              <w:top w:w="0" w:type="dxa"/>
              <w:left w:w="108" w:type="dxa"/>
              <w:bottom w:w="0" w:type="dxa"/>
              <w:right w:w="108" w:type="dxa"/>
            </w:tcMar>
          </w:tcPr>
          <w:p w14:paraId="0F83E554" w14:textId="77777777" w:rsidR="00422EFE" w:rsidRPr="00261B7A" w:rsidRDefault="00422EFE" w:rsidP="0058311A">
            <w:pPr>
              <w:pStyle w:val="TableText"/>
              <w:spacing w:before="40" w:after="40"/>
              <w:jc w:val="right"/>
              <w:rPr>
                <w:szCs w:val="16"/>
              </w:rPr>
            </w:pPr>
            <w:r w:rsidRPr="00261B7A">
              <w:rPr>
                <w:rFonts w:eastAsia="Calibri"/>
                <w:color w:val="000000"/>
                <w:szCs w:val="16"/>
              </w:rPr>
              <w:t>0.5</w:t>
            </w:r>
          </w:p>
        </w:tc>
        <w:tc>
          <w:tcPr>
            <w:tcW w:w="0" w:type="auto"/>
            <w:shd w:val="clear" w:color="auto" w:fill="FFFFFF"/>
            <w:tcMar>
              <w:top w:w="0" w:type="dxa"/>
              <w:left w:w="108" w:type="dxa"/>
              <w:bottom w:w="0" w:type="dxa"/>
              <w:right w:w="108" w:type="dxa"/>
            </w:tcMar>
          </w:tcPr>
          <w:p w14:paraId="52017CF0" w14:textId="77777777" w:rsidR="00422EFE" w:rsidRPr="00261B7A" w:rsidRDefault="00422EFE" w:rsidP="0058311A">
            <w:pPr>
              <w:pStyle w:val="TableText"/>
              <w:spacing w:before="40" w:after="40"/>
              <w:jc w:val="right"/>
              <w:rPr>
                <w:szCs w:val="16"/>
              </w:rPr>
            </w:pPr>
            <w:r w:rsidRPr="00261B7A">
              <w:rPr>
                <w:rFonts w:eastAsia="Calibri"/>
                <w:color w:val="000000"/>
                <w:szCs w:val="16"/>
              </w:rPr>
              <w:t>0.6</w:t>
            </w:r>
          </w:p>
        </w:tc>
        <w:tc>
          <w:tcPr>
            <w:tcW w:w="0" w:type="auto"/>
            <w:shd w:val="clear" w:color="auto" w:fill="FFFFFF"/>
            <w:tcMar>
              <w:top w:w="0" w:type="dxa"/>
              <w:left w:w="108" w:type="dxa"/>
              <w:bottom w:w="0" w:type="dxa"/>
              <w:right w:w="108" w:type="dxa"/>
            </w:tcMar>
          </w:tcPr>
          <w:p w14:paraId="1E22F096" w14:textId="77777777" w:rsidR="00422EFE" w:rsidRPr="00261B7A" w:rsidRDefault="00422EFE" w:rsidP="0058311A">
            <w:pPr>
              <w:pStyle w:val="TableText"/>
              <w:spacing w:before="40" w:after="40"/>
              <w:jc w:val="right"/>
              <w:rPr>
                <w:szCs w:val="16"/>
              </w:rPr>
            </w:pPr>
            <w:r w:rsidRPr="00261B7A">
              <w:rPr>
                <w:rFonts w:eastAsia="Calibri"/>
                <w:color w:val="000000"/>
                <w:szCs w:val="16"/>
              </w:rPr>
              <w:t>3.0</w:t>
            </w:r>
          </w:p>
        </w:tc>
      </w:tr>
      <w:tr w:rsidR="00422EFE" w:rsidRPr="00261B7A" w14:paraId="539AF70F" w14:textId="77777777" w:rsidTr="00D41492">
        <w:tc>
          <w:tcPr>
            <w:tcW w:w="0" w:type="auto"/>
            <w:shd w:val="clear" w:color="auto" w:fill="FFFFFF"/>
            <w:tcMar>
              <w:top w:w="0" w:type="dxa"/>
              <w:left w:w="108" w:type="dxa"/>
              <w:bottom w:w="0" w:type="dxa"/>
              <w:right w:w="108" w:type="dxa"/>
            </w:tcMar>
          </w:tcPr>
          <w:p w14:paraId="356537D5" w14:textId="77777777" w:rsidR="00422EFE" w:rsidRPr="00261B7A" w:rsidRDefault="00422EFE" w:rsidP="0058311A">
            <w:pPr>
              <w:pStyle w:val="TableText"/>
              <w:spacing w:before="40" w:after="40"/>
              <w:rPr>
                <w:szCs w:val="16"/>
              </w:rPr>
            </w:pPr>
            <w:r w:rsidRPr="00261B7A">
              <w:rPr>
                <w:rFonts w:eastAsia="Calibri"/>
                <w:szCs w:val="16"/>
              </w:rPr>
              <w:t>2021</w:t>
            </w:r>
          </w:p>
        </w:tc>
        <w:tc>
          <w:tcPr>
            <w:tcW w:w="0" w:type="auto"/>
            <w:shd w:val="clear" w:color="auto" w:fill="FFFFFF"/>
            <w:tcMar>
              <w:top w:w="0" w:type="dxa"/>
              <w:left w:w="108" w:type="dxa"/>
              <w:bottom w:w="0" w:type="dxa"/>
              <w:right w:w="108" w:type="dxa"/>
            </w:tcMar>
          </w:tcPr>
          <w:p w14:paraId="071BC9AA" w14:textId="77777777" w:rsidR="00422EFE" w:rsidRPr="00261B7A" w:rsidRDefault="00422EFE" w:rsidP="0058311A">
            <w:pPr>
              <w:pStyle w:val="TableText"/>
              <w:spacing w:before="40" w:after="40"/>
              <w:jc w:val="right"/>
              <w:rPr>
                <w:szCs w:val="16"/>
              </w:rPr>
            </w:pPr>
            <w:r w:rsidRPr="00261B7A">
              <w:rPr>
                <w:rFonts w:eastAsia="Calibri"/>
                <w:color w:val="000000"/>
                <w:szCs w:val="16"/>
              </w:rPr>
              <w:t>1.6</w:t>
            </w:r>
          </w:p>
        </w:tc>
        <w:tc>
          <w:tcPr>
            <w:tcW w:w="0" w:type="auto"/>
            <w:shd w:val="clear" w:color="auto" w:fill="FFFFFF"/>
            <w:tcMar>
              <w:top w:w="0" w:type="dxa"/>
              <w:left w:w="108" w:type="dxa"/>
              <w:bottom w:w="0" w:type="dxa"/>
              <w:right w:w="108" w:type="dxa"/>
            </w:tcMar>
          </w:tcPr>
          <w:p w14:paraId="501425B8" w14:textId="77777777" w:rsidR="00422EFE" w:rsidRPr="00261B7A" w:rsidRDefault="00422EFE" w:rsidP="0058311A">
            <w:pPr>
              <w:pStyle w:val="TableText"/>
              <w:spacing w:before="40" w:after="40"/>
              <w:jc w:val="right"/>
              <w:rPr>
                <w:szCs w:val="16"/>
              </w:rPr>
            </w:pPr>
            <w:r w:rsidRPr="00261B7A">
              <w:rPr>
                <w:rFonts w:eastAsia="Calibri"/>
                <w:color w:val="000000"/>
                <w:szCs w:val="16"/>
              </w:rPr>
              <w:t>0.3</w:t>
            </w:r>
          </w:p>
        </w:tc>
        <w:tc>
          <w:tcPr>
            <w:tcW w:w="0" w:type="auto"/>
            <w:shd w:val="clear" w:color="auto" w:fill="FFFFFF"/>
            <w:tcMar>
              <w:top w:w="0" w:type="dxa"/>
              <w:left w:w="108" w:type="dxa"/>
              <w:bottom w:w="0" w:type="dxa"/>
              <w:right w:w="108" w:type="dxa"/>
            </w:tcMar>
          </w:tcPr>
          <w:p w14:paraId="2FF7EF11" w14:textId="77777777" w:rsidR="00422EFE" w:rsidRPr="00261B7A" w:rsidRDefault="00422EFE" w:rsidP="0058311A">
            <w:pPr>
              <w:pStyle w:val="TableText"/>
              <w:spacing w:before="40" w:after="40"/>
              <w:jc w:val="right"/>
              <w:rPr>
                <w:szCs w:val="16"/>
              </w:rPr>
            </w:pPr>
            <w:r w:rsidRPr="00261B7A">
              <w:rPr>
                <w:rFonts w:eastAsia="Calibri"/>
                <w:color w:val="000000"/>
                <w:szCs w:val="16"/>
              </w:rPr>
              <w:t>0.5</w:t>
            </w:r>
          </w:p>
        </w:tc>
        <w:tc>
          <w:tcPr>
            <w:tcW w:w="0" w:type="auto"/>
            <w:shd w:val="clear" w:color="auto" w:fill="FFFFFF"/>
            <w:tcMar>
              <w:top w:w="0" w:type="dxa"/>
              <w:left w:w="108" w:type="dxa"/>
              <w:bottom w:w="0" w:type="dxa"/>
              <w:right w:w="108" w:type="dxa"/>
            </w:tcMar>
          </w:tcPr>
          <w:p w14:paraId="559B363E" w14:textId="77777777" w:rsidR="00422EFE" w:rsidRPr="00261B7A" w:rsidRDefault="00422EFE" w:rsidP="0058311A">
            <w:pPr>
              <w:pStyle w:val="TableText"/>
              <w:spacing w:before="40" w:after="40"/>
              <w:jc w:val="right"/>
              <w:rPr>
                <w:szCs w:val="16"/>
              </w:rPr>
            </w:pPr>
            <w:r w:rsidRPr="00261B7A">
              <w:rPr>
                <w:rFonts w:eastAsia="Calibri"/>
                <w:color w:val="000000"/>
                <w:szCs w:val="16"/>
              </w:rPr>
              <w:t>0.6</w:t>
            </w:r>
          </w:p>
        </w:tc>
        <w:tc>
          <w:tcPr>
            <w:tcW w:w="0" w:type="auto"/>
            <w:shd w:val="clear" w:color="auto" w:fill="FFFFFF"/>
            <w:tcMar>
              <w:top w:w="0" w:type="dxa"/>
              <w:left w:w="108" w:type="dxa"/>
              <w:bottom w:w="0" w:type="dxa"/>
              <w:right w:w="108" w:type="dxa"/>
            </w:tcMar>
          </w:tcPr>
          <w:p w14:paraId="3E7CC4E9" w14:textId="77777777" w:rsidR="00422EFE" w:rsidRPr="00261B7A" w:rsidRDefault="00422EFE" w:rsidP="0058311A">
            <w:pPr>
              <w:pStyle w:val="TableText"/>
              <w:spacing w:before="40" w:after="40"/>
              <w:jc w:val="right"/>
              <w:rPr>
                <w:szCs w:val="16"/>
              </w:rPr>
            </w:pPr>
            <w:r w:rsidRPr="00261B7A">
              <w:rPr>
                <w:rFonts w:eastAsia="Calibri"/>
                <w:color w:val="000000"/>
                <w:szCs w:val="16"/>
              </w:rPr>
              <w:t>3.0</w:t>
            </w:r>
          </w:p>
        </w:tc>
      </w:tr>
    </w:tbl>
    <w:p w14:paraId="7B04E12C" w14:textId="77777777" w:rsidR="00422EFE" w:rsidRPr="00261B7A" w:rsidRDefault="00422EFE" w:rsidP="00D53B36">
      <w:pPr>
        <w:pStyle w:val="Noteundertable"/>
        <w:spacing w:after="60"/>
      </w:pPr>
      <w:r w:rsidRPr="00261B7A">
        <w:rPr>
          <w:b/>
          <w:bCs/>
        </w:rPr>
        <w:t>Note:</w:t>
      </w:r>
      <w:r w:rsidRPr="00261B7A">
        <w:t xml:space="preserve"> </w:t>
      </w:r>
      <w:r w:rsidRPr="00261B7A">
        <w:tab/>
        <w:t>Columns may not total due to rounding.</w:t>
      </w:r>
    </w:p>
    <w:p w14:paraId="053F5651" w14:textId="77777777" w:rsidR="00422EFE" w:rsidRPr="00261B7A" w:rsidRDefault="00422EFE" w:rsidP="00422EFE">
      <w:pPr>
        <w:pStyle w:val="Heading5"/>
      </w:pPr>
      <w:bookmarkStart w:id="2558" w:name="meat-industry"/>
      <w:bookmarkEnd w:id="2553"/>
      <w:r w:rsidRPr="00261B7A">
        <w:t>Meat industry</w:t>
      </w:r>
    </w:p>
    <w:p w14:paraId="69DF0251" w14:textId="77777777" w:rsidR="00422EFE" w:rsidRPr="00261B7A" w:rsidRDefault="00422EFE" w:rsidP="00D53B36">
      <w:pPr>
        <w:pStyle w:val="BodyText"/>
        <w:spacing w:before="100" w:after="100"/>
      </w:pPr>
      <w:r w:rsidRPr="00261B7A">
        <w:t>Methane emissions from the meat industry are calculated from an estimate of the wastewater output from meat processing. This estimate is based on the total production (kills) from the different producers in the meat industry and uses data that are as consistent as possible with the data for kills used in the Agriculture sector.</w:t>
      </w:r>
    </w:p>
    <w:p w14:paraId="2B68D3AA" w14:textId="77777777" w:rsidR="00422EFE" w:rsidRPr="00261B7A" w:rsidRDefault="00422EFE" w:rsidP="00D53B36">
      <w:pPr>
        <w:pStyle w:val="BodyText"/>
        <w:spacing w:before="100" w:after="100"/>
      </w:pPr>
      <w:r w:rsidRPr="00261B7A">
        <w:t>Poultry processing is calculated separately from other meat processing because its fraction of waste treated in anaerobic ponds, and the unit chemical oxygen demand (COD) load, are higher than for other meat processing (Cardno, unpublished).</w:t>
      </w:r>
    </w:p>
    <w:p w14:paraId="6F8CEC5C" w14:textId="70766B7A" w:rsidR="00422EFE" w:rsidRPr="00261B7A" w:rsidRDefault="00422EFE" w:rsidP="00D53B36">
      <w:pPr>
        <w:pStyle w:val="BodyText"/>
        <w:spacing w:before="100" w:after="100"/>
      </w:pPr>
      <w:r w:rsidRPr="00261B7A">
        <w:t>Rendering loads are not separated out to simplify the inventory calculations because there are</w:t>
      </w:r>
      <w:r w:rsidR="00434575" w:rsidRPr="00261B7A">
        <w:t> </w:t>
      </w:r>
      <w:r w:rsidRPr="00261B7A">
        <w:t>only a few standalone rendering plants in New Zealand, and the rest are combined with</w:t>
      </w:r>
      <w:r w:rsidR="001E1E1C" w:rsidRPr="00261B7A">
        <w:t xml:space="preserve"> </w:t>
      </w:r>
      <w:r w:rsidRPr="00261B7A">
        <w:t>meat processing plants. Therefore, the unit COD load only includes rendering operations (Cardno, unpublished).</w:t>
      </w:r>
    </w:p>
    <w:p w14:paraId="0C5469D4" w14:textId="77777777" w:rsidR="00422EFE" w:rsidRPr="00261B7A" w:rsidRDefault="00422EFE" w:rsidP="00D53B36">
      <w:pPr>
        <w:pStyle w:val="BodyText"/>
        <w:spacing w:before="100" w:after="100"/>
      </w:pPr>
      <w:r w:rsidRPr="00261B7A">
        <w:t>Nitrous oxide emissions from the meat industry are calculated using the same activity data as for CH</w:t>
      </w:r>
      <w:r w:rsidRPr="00261B7A">
        <w:rPr>
          <w:vertAlign w:val="subscript"/>
        </w:rPr>
        <w:t>4</w:t>
      </w:r>
      <w:r w:rsidRPr="00261B7A">
        <w:t xml:space="preserve"> emissions.</w:t>
      </w:r>
    </w:p>
    <w:p w14:paraId="1D6CACC7" w14:textId="77777777" w:rsidR="00422EFE" w:rsidRPr="00261B7A" w:rsidRDefault="00422EFE" w:rsidP="00422EFE">
      <w:pPr>
        <w:pStyle w:val="Heading5"/>
      </w:pPr>
      <w:bookmarkStart w:id="2559" w:name="pulp-and-paper-industry"/>
      <w:bookmarkEnd w:id="2558"/>
      <w:r w:rsidRPr="00261B7A">
        <w:t>Pulp and paper industry</w:t>
      </w:r>
    </w:p>
    <w:p w14:paraId="6D2D220F" w14:textId="77777777" w:rsidR="00422EFE" w:rsidRPr="00261B7A" w:rsidRDefault="00422EFE" w:rsidP="00D53B36">
      <w:pPr>
        <w:pStyle w:val="BodyText"/>
        <w:spacing w:before="100" w:after="100"/>
      </w:pPr>
      <w:r w:rsidRPr="00261B7A">
        <w:t>Estimated pulp and paper wastewater output is based on paper, paperboard and pulp production. This information is obtained from the Ministry for Primary Industries.</w:t>
      </w:r>
    </w:p>
    <w:p w14:paraId="77809C7F" w14:textId="77777777" w:rsidR="00422EFE" w:rsidRPr="00261B7A" w:rsidRDefault="00422EFE" w:rsidP="00422EFE">
      <w:pPr>
        <w:pStyle w:val="Heading5"/>
      </w:pPr>
      <w:bookmarkStart w:id="2560" w:name="wine-industry"/>
      <w:bookmarkEnd w:id="2559"/>
      <w:r w:rsidRPr="00261B7A">
        <w:t>Wine industry</w:t>
      </w:r>
    </w:p>
    <w:p w14:paraId="1C00A881" w14:textId="77777777" w:rsidR="00422EFE" w:rsidRPr="00261B7A" w:rsidRDefault="00422EFE" w:rsidP="00D53B36">
      <w:pPr>
        <w:pStyle w:val="BodyText"/>
        <w:spacing w:before="100" w:after="100"/>
      </w:pPr>
      <w:r w:rsidRPr="00261B7A">
        <w:t>Methane emissions from wastewater for the wine industry are based on the outputs obtained from New Zealand Wine, which reports on the grape and wine sector. For the purpose of this assessment, an average industry wastewater discharge metric of 2.7 cubic metres of water per tonne of grapes processed is assumed. This value is derived from national data. Note that this value is significantly lower than IPCC default values (Beca Ltd, unpublished).</w:t>
      </w:r>
    </w:p>
    <w:p w14:paraId="604D13C9" w14:textId="77777777" w:rsidR="00422EFE" w:rsidRPr="00261B7A" w:rsidRDefault="00422EFE" w:rsidP="00422EFE">
      <w:pPr>
        <w:pStyle w:val="Heading5"/>
      </w:pPr>
      <w:bookmarkStart w:id="2561" w:name="wool-scouring-industry"/>
      <w:bookmarkEnd w:id="2560"/>
      <w:r w:rsidRPr="00261B7A">
        <w:t>Wool scouring industry</w:t>
      </w:r>
    </w:p>
    <w:p w14:paraId="07FCE555" w14:textId="77777777" w:rsidR="00422EFE" w:rsidRPr="00261B7A" w:rsidRDefault="00422EFE" w:rsidP="00D53B36">
      <w:pPr>
        <w:pStyle w:val="BodyText"/>
        <w:spacing w:before="100" w:after="100"/>
      </w:pPr>
      <w:r w:rsidRPr="00261B7A">
        <w:t>Methane emissions from wastewater for the wool scouring industry are based on the outputs obtained by SCS Wetherill Environmental (unpublished) for the years up to 2000. From 2001 to 2012, the SCS estimates have been prorated against the industry’s output data and applied to the output data for these years. After 2012, the wool scouring industry used only aerobic treatment of wastewater and, consequently, no emissions are reported for 2013 onwards (Beca Ltd, unpublished).</w:t>
      </w:r>
    </w:p>
    <w:p w14:paraId="0BF6A328" w14:textId="77777777" w:rsidR="00422EFE" w:rsidRPr="00261B7A" w:rsidRDefault="00422EFE" w:rsidP="00422EFE">
      <w:pPr>
        <w:pStyle w:val="Heading5"/>
      </w:pPr>
      <w:bookmarkStart w:id="2562" w:name="dairy-processing-industry"/>
      <w:bookmarkEnd w:id="2561"/>
      <w:r w:rsidRPr="00261B7A">
        <w:t>Dairy processing industry</w:t>
      </w:r>
    </w:p>
    <w:p w14:paraId="0FDDEEA1" w14:textId="32D5677E" w:rsidR="00422EFE" w:rsidRPr="00261B7A" w:rsidRDefault="00422EFE" w:rsidP="00422EFE">
      <w:pPr>
        <w:pStyle w:val="BodyText"/>
      </w:pPr>
      <w:r w:rsidRPr="00261B7A">
        <w:t>The dairy processing industry predominantly uses aerobic treatment. Only one factory uses anaerobic treatment. The emissions from the wastewater treatment process are recovered and most of the captured biogas (consisting of 55 per cent CH</w:t>
      </w:r>
      <w:r w:rsidRPr="00261B7A">
        <w:rPr>
          <w:vertAlign w:val="subscript"/>
        </w:rPr>
        <w:t>4</w:t>
      </w:r>
      <w:r w:rsidRPr="00261B7A">
        <w:t>) is used in boilers. The remainder is flared (Beca Infrastructure Ltd, unpublished). Emissions from the biogas recovered from the Tirau dairy processing plant (</w:t>
      </w:r>
      <w:r w:rsidRPr="00261B7A">
        <w:rPr>
          <w:i/>
          <w:iCs/>
        </w:rPr>
        <w:t>Industrial wastewater</w:t>
      </w:r>
      <w:r w:rsidRPr="00261B7A">
        <w:t>) for energy recovery</w:t>
      </w:r>
      <w:r w:rsidR="0058311A" w:rsidRPr="00261B7A">
        <w:t> </w:t>
      </w:r>
      <w:r w:rsidRPr="00261B7A">
        <w:t>are reported as ‘IE’ under the Waste sector, and actual emissions are reported in</w:t>
      </w:r>
      <w:r w:rsidR="0058311A" w:rsidRPr="00261B7A">
        <w:t> </w:t>
      </w:r>
      <w:r w:rsidRPr="00261B7A">
        <w:rPr>
          <w:i/>
          <w:iCs/>
        </w:rPr>
        <w:t>1.A.2.e – Biomass</w:t>
      </w:r>
      <w:r w:rsidRPr="00261B7A">
        <w:t xml:space="preserve"> under the Energy sector.</w:t>
      </w:r>
    </w:p>
    <w:p w14:paraId="501859B3" w14:textId="77777777" w:rsidR="00422EFE" w:rsidRPr="00261B7A" w:rsidRDefault="00422EFE" w:rsidP="00422EFE">
      <w:pPr>
        <w:pStyle w:val="BodyText"/>
      </w:pPr>
      <w:r w:rsidRPr="00261B7A">
        <w:t>Nitrous oxide emissions from dairy industry wastewater are included, based on the review of methods for industrial wastewater by Cardno (unpublished). Emission estimates are based on the total litres of milk processed, consistent with data reported under the Agriculture sector. The production data are then converted from litres to kilograms by multiplying by 1.031 (the weight of 1 litre of milk) for the activity data used in the emissions calculations.</w:t>
      </w:r>
    </w:p>
    <w:p w14:paraId="5135FF3E" w14:textId="77777777" w:rsidR="00422EFE" w:rsidRPr="00261B7A" w:rsidRDefault="00422EFE" w:rsidP="00422EFE">
      <w:pPr>
        <w:pStyle w:val="Heading5"/>
      </w:pPr>
      <w:bookmarkStart w:id="2563" w:name="leather-and-skins-industry"/>
      <w:bookmarkEnd w:id="2562"/>
      <w:r w:rsidRPr="00261B7A">
        <w:t>Leather and skins industry</w:t>
      </w:r>
    </w:p>
    <w:p w14:paraId="1F8DD7D9" w14:textId="23184EDE" w:rsidR="00422EFE" w:rsidRPr="00261B7A" w:rsidRDefault="00422EFE" w:rsidP="00422EFE">
      <w:pPr>
        <w:pStyle w:val="BodyText"/>
      </w:pPr>
      <w:r w:rsidRPr="00261B7A">
        <w:t>Methane emissions from wastewater for the leather and skins industry, also known as tanneries</w:t>
      </w:r>
      <w:r w:rsidR="0016581A" w:rsidRPr="00261B7A">
        <w:t xml:space="preserve"> </w:t>
      </w:r>
      <w:r w:rsidRPr="00261B7A">
        <w:t>and fellmongers, are based on the outputs obtained by SCS Wetherill Environmental (unpublished) for the years up to 2001. From 2002, all wastewater from the tanneries is accounted for in domestic wastewater because all tanneries now discharge to the municipal</w:t>
      </w:r>
      <w:r w:rsidR="00AE7416" w:rsidRPr="00261B7A">
        <w:t xml:space="preserve"> </w:t>
      </w:r>
      <w:r w:rsidRPr="00261B7A">
        <w:t>wastewater system; however, some fellmongers still use aerobic treatment (Cardno,</w:t>
      </w:r>
      <w:r w:rsidR="00AE7416" w:rsidRPr="00261B7A">
        <w:t xml:space="preserve"> </w:t>
      </w:r>
      <w:r w:rsidRPr="00261B7A">
        <w:t>unpublished).</w:t>
      </w:r>
    </w:p>
    <w:p w14:paraId="1F9E7002" w14:textId="77777777" w:rsidR="00422EFE" w:rsidRPr="00261B7A" w:rsidRDefault="00422EFE" w:rsidP="00422EFE">
      <w:pPr>
        <w:pStyle w:val="BodyText"/>
      </w:pPr>
      <w:r w:rsidRPr="00261B7A">
        <w:t>Nitrous oxide emissions from wastewater for the leather and skins industry are based on the outputs obtained by SCS Wetherill Environmental (unpublished). Emissions reduced in 2002 to account for the tanneries that discharge entirely to the domestic system.</w:t>
      </w:r>
    </w:p>
    <w:p w14:paraId="1C3BBDD7" w14:textId="77777777" w:rsidR="00422EFE" w:rsidRPr="00261B7A" w:rsidRDefault="00422EFE" w:rsidP="00422EFE">
      <w:pPr>
        <w:pStyle w:val="Heading4"/>
      </w:pPr>
      <w:bookmarkStart w:id="2564" w:name="choice-of-methods-3"/>
      <w:bookmarkEnd w:id="2549"/>
      <w:bookmarkEnd w:id="2563"/>
      <w:r w:rsidRPr="00261B7A">
        <w:t>Choice of methods</w:t>
      </w:r>
    </w:p>
    <w:p w14:paraId="3AEEB507" w14:textId="77777777" w:rsidR="00422EFE" w:rsidRPr="00261B7A" w:rsidRDefault="00422EFE" w:rsidP="00422EFE">
      <w:pPr>
        <w:pStyle w:val="BodyText"/>
      </w:pPr>
      <w:r w:rsidRPr="00261B7A">
        <w:t>Methods used to calculate emissions from wastewater handling are summarised in table 7.5.5. For domestic wastewater, the TOW is estimated for each individual treatment plant based on the population in the district served by the plant.</w:t>
      </w:r>
    </w:p>
    <w:p w14:paraId="72A391CD" w14:textId="77777777" w:rsidR="00422EFE" w:rsidRPr="00261B7A" w:rsidRDefault="00422EFE" w:rsidP="00422EFE">
      <w:pPr>
        <w:pStyle w:val="Table"/>
      </w:pPr>
      <w:bookmarkStart w:id="2565" w:name="_Toc128383683"/>
      <w:bookmarkStart w:id="2566" w:name="_Toc131591456"/>
      <w:r w:rsidRPr="00261B7A">
        <w:t xml:space="preserve">Table 7.5.5 </w:t>
      </w:r>
      <w:r w:rsidRPr="00261B7A">
        <w:tab/>
        <w:t>Methods used for calculating emissions from wastewater treatment</w:t>
      </w:r>
      <w:bookmarkEnd w:id="2565"/>
      <w:bookmarkEnd w:id="2566"/>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689"/>
        <w:gridCol w:w="560"/>
        <w:gridCol w:w="2157"/>
        <w:gridCol w:w="750"/>
        <w:gridCol w:w="2338"/>
      </w:tblGrid>
      <w:tr w:rsidR="00422EFE" w:rsidRPr="00261B7A" w14:paraId="79A18311" w14:textId="77777777" w:rsidTr="00D53B36">
        <w:trPr>
          <w:tblHeader/>
        </w:trPr>
        <w:tc>
          <w:tcPr>
            <w:tcW w:w="2835" w:type="dxa"/>
            <w:shd w:val="clear" w:color="auto" w:fill="1B556B"/>
            <w:tcMar>
              <w:top w:w="0" w:type="dxa"/>
              <w:left w:w="108" w:type="dxa"/>
              <w:bottom w:w="0" w:type="dxa"/>
              <w:right w:w="108" w:type="dxa"/>
            </w:tcMar>
          </w:tcPr>
          <w:p w14:paraId="081D5186" w14:textId="77777777" w:rsidR="00422EFE" w:rsidRPr="00261B7A" w:rsidRDefault="00422EFE" w:rsidP="00D53B36">
            <w:pPr>
              <w:pStyle w:val="TableText"/>
              <w:spacing w:before="50" w:after="50"/>
              <w:rPr>
                <w:b/>
                <w:bCs/>
                <w:color w:val="FFFFFF" w:themeColor="background1"/>
              </w:rPr>
            </w:pPr>
            <w:r w:rsidRPr="00261B7A">
              <w:rPr>
                <w:rFonts w:eastAsia="Calibri"/>
                <w:b/>
                <w:bCs/>
                <w:color w:val="FFFFFF" w:themeColor="background1"/>
              </w:rPr>
              <w:t>Emissions category</w:t>
            </w:r>
          </w:p>
        </w:tc>
        <w:tc>
          <w:tcPr>
            <w:tcW w:w="567" w:type="dxa"/>
            <w:shd w:val="clear" w:color="auto" w:fill="1B556B"/>
            <w:tcMar>
              <w:top w:w="0" w:type="dxa"/>
              <w:left w:w="108" w:type="dxa"/>
              <w:bottom w:w="0" w:type="dxa"/>
              <w:right w:w="108" w:type="dxa"/>
            </w:tcMar>
          </w:tcPr>
          <w:p w14:paraId="67CD3275" w14:textId="77777777" w:rsidR="00422EFE" w:rsidRPr="00261B7A" w:rsidRDefault="00422EFE" w:rsidP="00D53B36">
            <w:pPr>
              <w:pStyle w:val="TableText"/>
              <w:spacing w:before="50" w:after="50"/>
              <w:rPr>
                <w:b/>
                <w:bCs/>
                <w:color w:val="FFFFFF" w:themeColor="background1"/>
              </w:rPr>
            </w:pPr>
            <w:r w:rsidRPr="00261B7A">
              <w:rPr>
                <w:rFonts w:eastAsia="Calibri"/>
                <w:b/>
                <w:bCs/>
                <w:color w:val="FFFFFF" w:themeColor="background1"/>
              </w:rPr>
              <w:t>Gas</w:t>
            </w:r>
          </w:p>
        </w:tc>
        <w:tc>
          <w:tcPr>
            <w:tcW w:w="2268" w:type="dxa"/>
            <w:shd w:val="clear" w:color="auto" w:fill="1B556B"/>
            <w:tcMar>
              <w:top w:w="0" w:type="dxa"/>
              <w:left w:w="108" w:type="dxa"/>
              <w:bottom w:w="0" w:type="dxa"/>
              <w:right w:w="108" w:type="dxa"/>
            </w:tcMar>
          </w:tcPr>
          <w:p w14:paraId="461595DC" w14:textId="77777777" w:rsidR="00422EFE" w:rsidRPr="00261B7A" w:rsidRDefault="00422EFE" w:rsidP="00D53B36">
            <w:pPr>
              <w:pStyle w:val="TableText"/>
              <w:spacing w:before="50" w:after="50"/>
              <w:rPr>
                <w:b/>
                <w:bCs/>
                <w:color w:val="FFFFFF" w:themeColor="background1"/>
              </w:rPr>
            </w:pPr>
            <w:r w:rsidRPr="00261B7A">
              <w:rPr>
                <w:rFonts w:eastAsia="Calibri"/>
                <w:b/>
                <w:bCs/>
                <w:color w:val="FFFFFF" w:themeColor="background1"/>
              </w:rPr>
              <w:t>Comment</w:t>
            </w:r>
          </w:p>
        </w:tc>
        <w:tc>
          <w:tcPr>
            <w:tcW w:w="567" w:type="dxa"/>
            <w:shd w:val="clear" w:color="auto" w:fill="1B556B"/>
            <w:tcMar>
              <w:top w:w="0" w:type="dxa"/>
              <w:left w:w="108" w:type="dxa"/>
              <w:bottom w:w="0" w:type="dxa"/>
              <w:right w:w="108" w:type="dxa"/>
            </w:tcMar>
          </w:tcPr>
          <w:p w14:paraId="4522ED37" w14:textId="77777777" w:rsidR="00422EFE" w:rsidRPr="00261B7A" w:rsidRDefault="00422EFE" w:rsidP="00D53B36">
            <w:pPr>
              <w:pStyle w:val="TableText"/>
              <w:spacing w:before="50" w:after="50"/>
              <w:rPr>
                <w:b/>
                <w:bCs/>
                <w:color w:val="FFFFFF" w:themeColor="background1"/>
              </w:rPr>
            </w:pPr>
            <w:r w:rsidRPr="00261B7A">
              <w:rPr>
                <w:rFonts w:eastAsia="Calibri"/>
                <w:b/>
                <w:bCs/>
                <w:color w:val="FFFFFF" w:themeColor="background1"/>
              </w:rPr>
              <w:t>Method</w:t>
            </w:r>
          </w:p>
        </w:tc>
        <w:tc>
          <w:tcPr>
            <w:tcW w:w="2438" w:type="dxa"/>
            <w:shd w:val="clear" w:color="auto" w:fill="1B556B"/>
            <w:tcMar>
              <w:top w:w="0" w:type="dxa"/>
              <w:left w:w="108" w:type="dxa"/>
              <w:bottom w:w="0" w:type="dxa"/>
              <w:right w:w="108" w:type="dxa"/>
            </w:tcMar>
          </w:tcPr>
          <w:p w14:paraId="67F33E14" w14:textId="77777777" w:rsidR="00422EFE" w:rsidRPr="00261B7A" w:rsidRDefault="00422EFE" w:rsidP="00D53B36">
            <w:pPr>
              <w:pStyle w:val="TableText"/>
              <w:spacing w:before="50" w:after="50"/>
              <w:rPr>
                <w:b/>
                <w:bCs/>
                <w:color w:val="FFFFFF" w:themeColor="background1"/>
              </w:rPr>
            </w:pPr>
            <w:r w:rsidRPr="00261B7A">
              <w:rPr>
                <w:rFonts w:eastAsia="Calibri"/>
                <w:b/>
                <w:bCs/>
                <w:color w:val="FFFFFF" w:themeColor="background1"/>
              </w:rPr>
              <w:t>Source</w:t>
            </w:r>
          </w:p>
        </w:tc>
      </w:tr>
      <w:tr w:rsidR="00422EFE" w:rsidRPr="00261B7A" w14:paraId="6B0C3AC2" w14:textId="77777777" w:rsidTr="00D53B36">
        <w:tc>
          <w:tcPr>
            <w:tcW w:w="2835" w:type="dxa"/>
            <w:shd w:val="clear" w:color="auto" w:fill="FFFFFF"/>
            <w:tcMar>
              <w:top w:w="0" w:type="dxa"/>
              <w:left w:w="108" w:type="dxa"/>
              <w:bottom w:w="0" w:type="dxa"/>
              <w:right w:w="108" w:type="dxa"/>
            </w:tcMar>
          </w:tcPr>
          <w:p w14:paraId="442E2267" w14:textId="77777777" w:rsidR="00422EFE" w:rsidRPr="00261B7A" w:rsidRDefault="00422EFE" w:rsidP="00D53B36">
            <w:pPr>
              <w:pStyle w:val="TableText"/>
              <w:spacing w:before="50" w:after="50"/>
            </w:pPr>
            <w:r w:rsidRPr="00261B7A">
              <w:rPr>
                <w:rFonts w:eastAsia="Calibri"/>
                <w:color w:val="000000"/>
              </w:rPr>
              <w:t>Domestic wastewater (5.D.1)</w:t>
            </w:r>
          </w:p>
        </w:tc>
        <w:tc>
          <w:tcPr>
            <w:tcW w:w="567" w:type="dxa"/>
            <w:shd w:val="clear" w:color="auto" w:fill="FFFFFF"/>
            <w:tcMar>
              <w:top w:w="0" w:type="dxa"/>
              <w:left w:w="108" w:type="dxa"/>
              <w:bottom w:w="0" w:type="dxa"/>
              <w:right w:w="108" w:type="dxa"/>
            </w:tcMar>
          </w:tcPr>
          <w:p w14:paraId="38EAB3BE" w14:textId="77777777" w:rsidR="00422EFE" w:rsidRPr="00261B7A" w:rsidRDefault="00422EFE" w:rsidP="00D53B36">
            <w:pPr>
              <w:pStyle w:val="TableText"/>
              <w:spacing w:before="50" w:after="50"/>
            </w:pPr>
            <w:r w:rsidRPr="00261B7A">
              <w:rPr>
                <w:rFonts w:eastAsia="Calibri"/>
                <w:color w:val="000000"/>
              </w:rPr>
              <w:t>CH₄</w:t>
            </w:r>
          </w:p>
        </w:tc>
        <w:tc>
          <w:tcPr>
            <w:tcW w:w="2268" w:type="dxa"/>
            <w:shd w:val="clear" w:color="auto" w:fill="FFFFFF"/>
            <w:tcMar>
              <w:top w:w="0" w:type="dxa"/>
              <w:left w:w="108" w:type="dxa"/>
              <w:bottom w:w="0" w:type="dxa"/>
              <w:right w:w="108" w:type="dxa"/>
            </w:tcMar>
          </w:tcPr>
          <w:p w14:paraId="1EFE5033" w14:textId="77777777" w:rsidR="00422EFE" w:rsidRPr="00261B7A" w:rsidRDefault="00422EFE" w:rsidP="00D53B36">
            <w:pPr>
              <w:pStyle w:val="TableText"/>
              <w:spacing w:before="50" w:after="50"/>
            </w:pPr>
          </w:p>
        </w:tc>
        <w:tc>
          <w:tcPr>
            <w:tcW w:w="567" w:type="dxa"/>
            <w:shd w:val="clear" w:color="auto" w:fill="FFFFFF"/>
            <w:tcMar>
              <w:top w:w="0" w:type="dxa"/>
              <w:left w:w="108" w:type="dxa"/>
              <w:bottom w:w="0" w:type="dxa"/>
              <w:right w:w="108" w:type="dxa"/>
            </w:tcMar>
          </w:tcPr>
          <w:p w14:paraId="1D5775A4" w14:textId="77777777" w:rsidR="00422EFE" w:rsidRPr="00261B7A" w:rsidRDefault="00422EFE" w:rsidP="00D53B36">
            <w:pPr>
              <w:pStyle w:val="TableText"/>
              <w:spacing w:before="50" w:after="50"/>
            </w:pPr>
            <w:r w:rsidRPr="00261B7A">
              <w:rPr>
                <w:rFonts w:eastAsia="Calibri"/>
                <w:color w:val="000000"/>
              </w:rPr>
              <w:t>Tier 2</w:t>
            </w:r>
          </w:p>
        </w:tc>
        <w:tc>
          <w:tcPr>
            <w:tcW w:w="2438" w:type="dxa"/>
            <w:shd w:val="clear" w:color="auto" w:fill="FFFFFF"/>
            <w:tcMar>
              <w:top w:w="0" w:type="dxa"/>
              <w:left w:w="108" w:type="dxa"/>
              <w:bottom w:w="0" w:type="dxa"/>
              <w:right w:w="108" w:type="dxa"/>
            </w:tcMar>
          </w:tcPr>
          <w:p w14:paraId="3F48E880" w14:textId="77777777" w:rsidR="00422EFE" w:rsidRPr="00261B7A" w:rsidRDefault="00422EFE" w:rsidP="00D53B36">
            <w:pPr>
              <w:pStyle w:val="TableText"/>
              <w:spacing w:before="50" w:after="50"/>
            </w:pPr>
            <w:r w:rsidRPr="00261B7A">
              <w:rPr>
                <w:rFonts w:eastAsia="Calibri"/>
                <w:color w:val="000000"/>
              </w:rPr>
              <w:t>SCS Wetherill Environmental (unpublished), Beca Infrastructure Ltd (unpublished)</w:t>
            </w:r>
          </w:p>
        </w:tc>
      </w:tr>
      <w:tr w:rsidR="00422EFE" w:rsidRPr="00261B7A" w14:paraId="486A12FF" w14:textId="77777777" w:rsidTr="00D53B36">
        <w:tc>
          <w:tcPr>
            <w:tcW w:w="2835" w:type="dxa"/>
            <w:shd w:val="clear" w:color="auto" w:fill="FFFFFF"/>
            <w:tcMar>
              <w:top w:w="0" w:type="dxa"/>
              <w:left w:w="108" w:type="dxa"/>
              <w:bottom w:w="0" w:type="dxa"/>
              <w:right w:w="108" w:type="dxa"/>
            </w:tcMar>
          </w:tcPr>
          <w:p w14:paraId="4F371086" w14:textId="77777777" w:rsidR="00422EFE" w:rsidRPr="00261B7A" w:rsidRDefault="00422EFE" w:rsidP="00D53B36">
            <w:pPr>
              <w:pStyle w:val="TableText"/>
              <w:spacing w:before="50" w:after="50"/>
            </w:pPr>
            <w:r w:rsidRPr="00261B7A">
              <w:rPr>
                <w:rFonts w:eastAsia="Calibri"/>
                <w:color w:val="000000"/>
              </w:rPr>
              <w:t>Domestic wastewater (5.D.1)</w:t>
            </w:r>
          </w:p>
        </w:tc>
        <w:tc>
          <w:tcPr>
            <w:tcW w:w="567" w:type="dxa"/>
            <w:shd w:val="clear" w:color="auto" w:fill="FFFFFF"/>
            <w:tcMar>
              <w:top w:w="0" w:type="dxa"/>
              <w:left w:w="108" w:type="dxa"/>
              <w:bottom w:w="0" w:type="dxa"/>
              <w:right w:w="108" w:type="dxa"/>
            </w:tcMar>
          </w:tcPr>
          <w:p w14:paraId="0E81BBD3" w14:textId="77777777" w:rsidR="00422EFE" w:rsidRPr="00261B7A" w:rsidRDefault="00422EFE" w:rsidP="00D53B36">
            <w:pPr>
              <w:pStyle w:val="TableText"/>
              <w:spacing w:before="50" w:after="50"/>
            </w:pPr>
            <w:r w:rsidRPr="00261B7A">
              <w:rPr>
                <w:rFonts w:eastAsia="Calibri"/>
                <w:color w:val="000000"/>
              </w:rPr>
              <w:t>N₂O</w:t>
            </w:r>
          </w:p>
        </w:tc>
        <w:tc>
          <w:tcPr>
            <w:tcW w:w="2268" w:type="dxa"/>
            <w:shd w:val="clear" w:color="auto" w:fill="FFFFFF"/>
            <w:tcMar>
              <w:top w:w="0" w:type="dxa"/>
              <w:left w:w="108" w:type="dxa"/>
              <w:bottom w:w="0" w:type="dxa"/>
              <w:right w:w="108" w:type="dxa"/>
            </w:tcMar>
          </w:tcPr>
          <w:p w14:paraId="220F4AA5" w14:textId="77777777" w:rsidR="00422EFE" w:rsidRPr="00261B7A" w:rsidRDefault="00422EFE" w:rsidP="00D53B36">
            <w:pPr>
              <w:pStyle w:val="TableText"/>
              <w:spacing w:before="50" w:after="50"/>
            </w:pPr>
            <w:r w:rsidRPr="00261B7A">
              <w:rPr>
                <w:rFonts w:eastAsia="Calibri"/>
                <w:color w:val="000000"/>
              </w:rPr>
              <w:t>Based on average per-capita protein intake</w:t>
            </w:r>
          </w:p>
        </w:tc>
        <w:tc>
          <w:tcPr>
            <w:tcW w:w="567" w:type="dxa"/>
            <w:shd w:val="clear" w:color="auto" w:fill="FFFFFF"/>
            <w:tcMar>
              <w:top w:w="0" w:type="dxa"/>
              <w:left w:w="108" w:type="dxa"/>
              <w:bottom w:w="0" w:type="dxa"/>
              <w:right w:w="108" w:type="dxa"/>
            </w:tcMar>
          </w:tcPr>
          <w:p w14:paraId="3FAF703C" w14:textId="77777777" w:rsidR="00422EFE" w:rsidRPr="00261B7A" w:rsidRDefault="00422EFE" w:rsidP="00D53B36">
            <w:pPr>
              <w:pStyle w:val="TableText"/>
              <w:spacing w:before="50" w:after="50"/>
            </w:pPr>
            <w:r w:rsidRPr="00261B7A">
              <w:rPr>
                <w:rFonts w:eastAsia="Calibri"/>
                <w:color w:val="000000"/>
              </w:rPr>
              <w:t>Tier 1</w:t>
            </w:r>
          </w:p>
        </w:tc>
        <w:tc>
          <w:tcPr>
            <w:tcW w:w="2438" w:type="dxa"/>
            <w:shd w:val="clear" w:color="auto" w:fill="FFFFFF"/>
            <w:tcMar>
              <w:top w:w="0" w:type="dxa"/>
              <w:left w:w="108" w:type="dxa"/>
              <w:bottom w:w="0" w:type="dxa"/>
              <w:right w:w="108" w:type="dxa"/>
            </w:tcMar>
          </w:tcPr>
          <w:p w14:paraId="487194E6" w14:textId="77777777" w:rsidR="00422EFE" w:rsidRPr="00261B7A" w:rsidRDefault="00422EFE" w:rsidP="00D53B36">
            <w:pPr>
              <w:pStyle w:val="TableText"/>
              <w:spacing w:before="50" w:after="50"/>
            </w:pPr>
            <w:r w:rsidRPr="00261B7A">
              <w:rPr>
                <w:rFonts w:eastAsia="Calibri"/>
                <w:color w:val="000000"/>
              </w:rPr>
              <w:t>IPCC (2006a)</w:t>
            </w:r>
          </w:p>
        </w:tc>
      </w:tr>
      <w:tr w:rsidR="00422EFE" w:rsidRPr="00261B7A" w14:paraId="26722A51" w14:textId="77777777" w:rsidTr="00D53B36">
        <w:tc>
          <w:tcPr>
            <w:tcW w:w="2835" w:type="dxa"/>
            <w:shd w:val="clear" w:color="auto" w:fill="FFFFFF"/>
            <w:tcMar>
              <w:top w:w="0" w:type="dxa"/>
              <w:left w:w="108" w:type="dxa"/>
              <w:bottom w:w="0" w:type="dxa"/>
              <w:right w:w="108" w:type="dxa"/>
            </w:tcMar>
          </w:tcPr>
          <w:p w14:paraId="28679981" w14:textId="77777777" w:rsidR="00422EFE" w:rsidRPr="00261B7A" w:rsidRDefault="00422EFE" w:rsidP="00D53B36">
            <w:pPr>
              <w:pStyle w:val="TableText"/>
              <w:spacing w:before="50" w:after="50"/>
            </w:pPr>
            <w:r w:rsidRPr="00261B7A">
              <w:rPr>
                <w:rFonts w:eastAsia="Calibri"/>
                <w:color w:val="000000"/>
              </w:rPr>
              <w:t>Industrial wastewater (5.D.2) – Meat industry</w:t>
            </w:r>
          </w:p>
        </w:tc>
        <w:tc>
          <w:tcPr>
            <w:tcW w:w="567" w:type="dxa"/>
            <w:shd w:val="clear" w:color="auto" w:fill="FFFFFF"/>
            <w:tcMar>
              <w:top w:w="0" w:type="dxa"/>
              <w:left w:w="108" w:type="dxa"/>
              <w:bottom w:w="0" w:type="dxa"/>
              <w:right w:w="108" w:type="dxa"/>
            </w:tcMar>
          </w:tcPr>
          <w:p w14:paraId="2978ADAD" w14:textId="77777777" w:rsidR="00422EFE" w:rsidRPr="00261B7A" w:rsidRDefault="00422EFE" w:rsidP="00D53B36">
            <w:pPr>
              <w:pStyle w:val="TableText"/>
              <w:spacing w:before="50" w:after="50"/>
            </w:pPr>
            <w:r w:rsidRPr="00261B7A">
              <w:rPr>
                <w:rFonts w:eastAsia="Calibri"/>
                <w:color w:val="000000"/>
              </w:rPr>
              <w:t>CH₄</w:t>
            </w:r>
          </w:p>
        </w:tc>
        <w:tc>
          <w:tcPr>
            <w:tcW w:w="2268" w:type="dxa"/>
            <w:shd w:val="clear" w:color="auto" w:fill="FFFFFF"/>
            <w:tcMar>
              <w:top w:w="0" w:type="dxa"/>
              <w:left w:w="108" w:type="dxa"/>
              <w:bottom w:w="0" w:type="dxa"/>
              <w:right w:w="108" w:type="dxa"/>
            </w:tcMar>
          </w:tcPr>
          <w:p w14:paraId="15AB8816" w14:textId="77777777" w:rsidR="00422EFE" w:rsidRPr="00261B7A" w:rsidRDefault="00422EFE" w:rsidP="00D53B36">
            <w:pPr>
              <w:pStyle w:val="TableText"/>
              <w:spacing w:before="50" w:after="50"/>
            </w:pPr>
          </w:p>
        </w:tc>
        <w:tc>
          <w:tcPr>
            <w:tcW w:w="567" w:type="dxa"/>
            <w:shd w:val="clear" w:color="auto" w:fill="FFFFFF"/>
            <w:tcMar>
              <w:top w:w="0" w:type="dxa"/>
              <w:left w:w="108" w:type="dxa"/>
              <w:bottom w:w="0" w:type="dxa"/>
              <w:right w:w="108" w:type="dxa"/>
            </w:tcMar>
          </w:tcPr>
          <w:p w14:paraId="70907D58" w14:textId="77777777" w:rsidR="00422EFE" w:rsidRPr="00261B7A" w:rsidRDefault="00422EFE" w:rsidP="00D53B36">
            <w:pPr>
              <w:pStyle w:val="TableText"/>
              <w:spacing w:before="50" w:after="50"/>
            </w:pPr>
            <w:r w:rsidRPr="00261B7A">
              <w:rPr>
                <w:rFonts w:eastAsia="Calibri"/>
                <w:color w:val="000000"/>
              </w:rPr>
              <w:t>Tier 1</w:t>
            </w:r>
          </w:p>
        </w:tc>
        <w:tc>
          <w:tcPr>
            <w:tcW w:w="2438" w:type="dxa"/>
            <w:shd w:val="clear" w:color="auto" w:fill="FFFFFF"/>
            <w:tcMar>
              <w:top w:w="0" w:type="dxa"/>
              <w:left w:w="108" w:type="dxa"/>
              <w:bottom w:w="0" w:type="dxa"/>
              <w:right w:w="108" w:type="dxa"/>
            </w:tcMar>
          </w:tcPr>
          <w:p w14:paraId="72259280" w14:textId="77777777" w:rsidR="00422EFE" w:rsidRPr="00261B7A" w:rsidRDefault="00422EFE" w:rsidP="00D53B36">
            <w:pPr>
              <w:pStyle w:val="TableText"/>
              <w:spacing w:before="50" w:after="50"/>
            </w:pPr>
            <w:r w:rsidRPr="00261B7A">
              <w:rPr>
                <w:rFonts w:eastAsia="Calibri"/>
                <w:color w:val="000000"/>
              </w:rPr>
              <w:t>IPCC (2006a)</w:t>
            </w:r>
          </w:p>
        </w:tc>
      </w:tr>
      <w:tr w:rsidR="00422EFE" w:rsidRPr="00261B7A" w14:paraId="07B040D7" w14:textId="77777777" w:rsidTr="00D53B36">
        <w:tc>
          <w:tcPr>
            <w:tcW w:w="2835" w:type="dxa"/>
            <w:shd w:val="clear" w:color="auto" w:fill="FFFFFF"/>
            <w:tcMar>
              <w:top w:w="0" w:type="dxa"/>
              <w:left w:w="108" w:type="dxa"/>
              <w:bottom w:w="0" w:type="dxa"/>
              <w:right w:w="108" w:type="dxa"/>
            </w:tcMar>
          </w:tcPr>
          <w:p w14:paraId="04CE3BF9" w14:textId="77777777" w:rsidR="00422EFE" w:rsidRPr="00261B7A" w:rsidRDefault="00422EFE" w:rsidP="00D53B36">
            <w:pPr>
              <w:pStyle w:val="TableText"/>
              <w:spacing w:before="50" w:after="50"/>
            </w:pPr>
            <w:r w:rsidRPr="00261B7A">
              <w:rPr>
                <w:rFonts w:eastAsia="Calibri"/>
                <w:color w:val="000000"/>
              </w:rPr>
              <w:t>Industrial wastewater (5.D.2) – Pulp and paper industry</w:t>
            </w:r>
          </w:p>
        </w:tc>
        <w:tc>
          <w:tcPr>
            <w:tcW w:w="567" w:type="dxa"/>
            <w:shd w:val="clear" w:color="auto" w:fill="FFFFFF"/>
            <w:tcMar>
              <w:top w:w="0" w:type="dxa"/>
              <w:left w:w="108" w:type="dxa"/>
              <w:bottom w:w="0" w:type="dxa"/>
              <w:right w:w="108" w:type="dxa"/>
            </w:tcMar>
          </w:tcPr>
          <w:p w14:paraId="76DF6B10" w14:textId="77777777" w:rsidR="00422EFE" w:rsidRPr="00261B7A" w:rsidRDefault="00422EFE" w:rsidP="00D53B36">
            <w:pPr>
              <w:pStyle w:val="TableText"/>
              <w:spacing w:before="50" w:after="50"/>
            </w:pPr>
            <w:r w:rsidRPr="00261B7A">
              <w:rPr>
                <w:rFonts w:eastAsia="Calibri"/>
                <w:color w:val="000000"/>
              </w:rPr>
              <w:t>CH₄</w:t>
            </w:r>
          </w:p>
        </w:tc>
        <w:tc>
          <w:tcPr>
            <w:tcW w:w="2268" w:type="dxa"/>
            <w:shd w:val="clear" w:color="auto" w:fill="FFFFFF"/>
            <w:tcMar>
              <w:top w:w="0" w:type="dxa"/>
              <w:left w:w="108" w:type="dxa"/>
              <w:bottom w:w="0" w:type="dxa"/>
              <w:right w:w="108" w:type="dxa"/>
            </w:tcMar>
          </w:tcPr>
          <w:p w14:paraId="741B3A13" w14:textId="77777777" w:rsidR="00422EFE" w:rsidRPr="00261B7A" w:rsidRDefault="00422EFE" w:rsidP="00D53B36">
            <w:pPr>
              <w:pStyle w:val="TableText"/>
              <w:spacing w:before="50" w:after="50"/>
            </w:pPr>
          </w:p>
        </w:tc>
        <w:tc>
          <w:tcPr>
            <w:tcW w:w="567" w:type="dxa"/>
            <w:shd w:val="clear" w:color="auto" w:fill="FFFFFF"/>
            <w:tcMar>
              <w:top w:w="0" w:type="dxa"/>
              <w:left w:w="108" w:type="dxa"/>
              <w:bottom w:w="0" w:type="dxa"/>
              <w:right w:w="108" w:type="dxa"/>
            </w:tcMar>
          </w:tcPr>
          <w:p w14:paraId="538FCF15" w14:textId="77777777" w:rsidR="00422EFE" w:rsidRPr="00261B7A" w:rsidRDefault="00422EFE" w:rsidP="00D53B36">
            <w:pPr>
              <w:pStyle w:val="TableText"/>
              <w:spacing w:before="50" w:after="50"/>
            </w:pPr>
            <w:r w:rsidRPr="00261B7A">
              <w:rPr>
                <w:rFonts w:eastAsia="Calibri"/>
                <w:color w:val="000000"/>
              </w:rPr>
              <w:t>Tier 1</w:t>
            </w:r>
          </w:p>
        </w:tc>
        <w:tc>
          <w:tcPr>
            <w:tcW w:w="2438" w:type="dxa"/>
            <w:shd w:val="clear" w:color="auto" w:fill="FFFFFF"/>
            <w:tcMar>
              <w:top w:w="0" w:type="dxa"/>
              <w:left w:w="108" w:type="dxa"/>
              <w:bottom w:w="0" w:type="dxa"/>
              <w:right w:w="108" w:type="dxa"/>
            </w:tcMar>
          </w:tcPr>
          <w:p w14:paraId="4F082CEC" w14:textId="77777777" w:rsidR="00422EFE" w:rsidRPr="00261B7A" w:rsidRDefault="00422EFE" w:rsidP="00D53B36">
            <w:pPr>
              <w:pStyle w:val="TableText"/>
              <w:spacing w:before="50" w:after="50"/>
            </w:pPr>
            <w:r w:rsidRPr="00261B7A">
              <w:rPr>
                <w:rFonts w:eastAsia="Calibri"/>
                <w:color w:val="000000"/>
              </w:rPr>
              <w:t>IPCC (2006a)</w:t>
            </w:r>
          </w:p>
        </w:tc>
      </w:tr>
      <w:tr w:rsidR="00422EFE" w:rsidRPr="00261B7A" w14:paraId="1EA75CF1" w14:textId="77777777" w:rsidTr="00D53B36">
        <w:tc>
          <w:tcPr>
            <w:tcW w:w="2835" w:type="dxa"/>
            <w:shd w:val="clear" w:color="auto" w:fill="FFFFFF"/>
            <w:tcMar>
              <w:top w:w="0" w:type="dxa"/>
              <w:left w:w="108" w:type="dxa"/>
              <w:bottom w:w="0" w:type="dxa"/>
              <w:right w:w="108" w:type="dxa"/>
            </w:tcMar>
          </w:tcPr>
          <w:p w14:paraId="0FB42930" w14:textId="77777777" w:rsidR="00422EFE" w:rsidRPr="00261B7A" w:rsidRDefault="00422EFE" w:rsidP="00D53B36">
            <w:pPr>
              <w:pStyle w:val="TableText"/>
              <w:spacing w:before="50" w:after="50"/>
            </w:pPr>
            <w:r w:rsidRPr="00261B7A">
              <w:rPr>
                <w:rFonts w:eastAsia="Calibri"/>
                <w:color w:val="000000"/>
              </w:rPr>
              <w:t>Industrial wastewater (5.D.2) – Wine industry</w:t>
            </w:r>
          </w:p>
        </w:tc>
        <w:tc>
          <w:tcPr>
            <w:tcW w:w="567" w:type="dxa"/>
            <w:shd w:val="clear" w:color="auto" w:fill="FFFFFF"/>
            <w:tcMar>
              <w:top w:w="0" w:type="dxa"/>
              <w:left w:w="108" w:type="dxa"/>
              <w:bottom w:w="0" w:type="dxa"/>
              <w:right w:w="108" w:type="dxa"/>
            </w:tcMar>
          </w:tcPr>
          <w:p w14:paraId="0D9CC8F1" w14:textId="77777777" w:rsidR="00422EFE" w:rsidRPr="00261B7A" w:rsidRDefault="00422EFE" w:rsidP="00D53B36">
            <w:pPr>
              <w:pStyle w:val="TableText"/>
              <w:spacing w:before="50" w:after="50"/>
            </w:pPr>
            <w:r w:rsidRPr="00261B7A">
              <w:rPr>
                <w:rFonts w:eastAsia="Calibri"/>
                <w:color w:val="000000"/>
              </w:rPr>
              <w:t>CH₄</w:t>
            </w:r>
          </w:p>
        </w:tc>
        <w:tc>
          <w:tcPr>
            <w:tcW w:w="2268" w:type="dxa"/>
            <w:shd w:val="clear" w:color="auto" w:fill="FFFFFF"/>
            <w:tcMar>
              <w:top w:w="0" w:type="dxa"/>
              <w:left w:w="108" w:type="dxa"/>
              <w:bottom w:w="0" w:type="dxa"/>
              <w:right w:w="108" w:type="dxa"/>
            </w:tcMar>
          </w:tcPr>
          <w:p w14:paraId="52D5895C" w14:textId="77777777" w:rsidR="00422EFE" w:rsidRPr="00261B7A" w:rsidRDefault="00422EFE" w:rsidP="00D53B36">
            <w:pPr>
              <w:pStyle w:val="TableText"/>
              <w:spacing w:before="50" w:after="50"/>
            </w:pPr>
          </w:p>
        </w:tc>
        <w:tc>
          <w:tcPr>
            <w:tcW w:w="567" w:type="dxa"/>
            <w:shd w:val="clear" w:color="auto" w:fill="FFFFFF"/>
            <w:tcMar>
              <w:top w:w="0" w:type="dxa"/>
              <w:left w:w="108" w:type="dxa"/>
              <w:bottom w:w="0" w:type="dxa"/>
              <w:right w:w="108" w:type="dxa"/>
            </w:tcMar>
          </w:tcPr>
          <w:p w14:paraId="65037705" w14:textId="77777777" w:rsidR="00422EFE" w:rsidRPr="00261B7A" w:rsidRDefault="00422EFE" w:rsidP="00D53B36">
            <w:pPr>
              <w:pStyle w:val="TableText"/>
              <w:spacing w:before="50" w:after="50"/>
            </w:pPr>
            <w:r w:rsidRPr="00261B7A">
              <w:rPr>
                <w:rFonts w:eastAsia="Calibri"/>
                <w:color w:val="000000"/>
              </w:rPr>
              <w:t>Tier 2</w:t>
            </w:r>
          </w:p>
        </w:tc>
        <w:tc>
          <w:tcPr>
            <w:tcW w:w="2438" w:type="dxa"/>
            <w:shd w:val="clear" w:color="auto" w:fill="FFFFFF"/>
            <w:tcMar>
              <w:top w:w="0" w:type="dxa"/>
              <w:left w:w="108" w:type="dxa"/>
              <w:bottom w:w="0" w:type="dxa"/>
              <w:right w:w="108" w:type="dxa"/>
            </w:tcMar>
          </w:tcPr>
          <w:p w14:paraId="50F9EA89" w14:textId="77777777" w:rsidR="00422EFE" w:rsidRPr="00261B7A" w:rsidRDefault="00422EFE" w:rsidP="00D53B36">
            <w:pPr>
              <w:pStyle w:val="TableText"/>
              <w:spacing w:before="50" w:after="50"/>
            </w:pPr>
            <w:r w:rsidRPr="00261B7A">
              <w:rPr>
                <w:rFonts w:eastAsia="Calibri"/>
                <w:color w:val="000000"/>
              </w:rPr>
              <w:t>Beca Ltd (unpublished)</w:t>
            </w:r>
          </w:p>
        </w:tc>
      </w:tr>
      <w:tr w:rsidR="00422EFE" w:rsidRPr="00261B7A" w14:paraId="74650CE6" w14:textId="77777777" w:rsidTr="00D53B36">
        <w:tc>
          <w:tcPr>
            <w:tcW w:w="2835" w:type="dxa"/>
            <w:shd w:val="clear" w:color="auto" w:fill="FFFFFF"/>
            <w:tcMar>
              <w:top w:w="0" w:type="dxa"/>
              <w:left w:w="108" w:type="dxa"/>
              <w:bottom w:w="0" w:type="dxa"/>
              <w:right w:w="108" w:type="dxa"/>
            </w:tcMar>
          </w:tcPr>
          <w:p w14:paraId="15A554DB" w14:textId="77777777" w:rsidR="00422EFE" w:rsidRPr="00261B7A" w:rsidRDefault="00422EFE" w:rsidP="00D53B36">
            <w:pPr>
              <w:pStyle w:val="TableText"/>
              <w:spacing w:before="50" w:after="50"/>
            </w:pPr>
            <w:r w:rsidRPr="00261B7A">
              <w:rPr>
                <w:rFonts w:eastAsia="Calibri"/>
                <w:color w:val="000000"/>
              </w:rPr>
              <w:t>Industrial wastewater (5.D.2) – Wool scouring industry</w:t>
            </w:r>
          </w:p>
        </w:tc>
        <w:tc>
          <w:tcPr>
            <w:tcW w:w="567" w:type="dxa"/>
            <w:shd w:val="clear" w:color="auto" w:fill="FFFFFF"/>
            <w:tcMar>
              <w:top w:w="0" w:type="dxa"/>
              <w:left w:w="108" w:type="dxa"/>
              <w:bottom w:w="0" w:type="dxa"/>
              <w:right w:w="108" w:type="dxa"/>
            </w:tcMar>
          </w:tcPr>
          <w:p w14:paraId="02B51E18" w14:textId="77777777" w:rsidR="00422EFE" w:rsidRPr="00261B7A" w:rsidRDefault="00422EFE" w:rsidP="00D53B36">
            <w:pPr>
              <w:pStyle w:val="TableText"/>
              <w:spacing w:before="50" w:after="50"/>
            </w:pPr>
            <w:r w:rsidRPr="00261B7A">
              <w:rPr>
                <w:rFonts w:eastAsia="Calibri"/>
                <w:color w:val="000000"/>
              </w:rPr>
              <w:t>CH₄</w:t>
            </w:r>
          </w:p>
        </w:tc>
        <w:tc>
          <w:tcPr>
            <w:tcW w:w="2268" w:type="dxa"/>
            <w:shd w:val="clear" w:color="auto" w:fill="FFFFFF"/>
            <w:tcMar>
              <w:top w:w="0" w:type="dxa"/>
              <w:left w:w="108" w:type="dxa"/>
              <w:bottom w:w="0" w:type="dxa"/>
              <w:right w:w="108" w:type="dxa"/>
            </w:tcMar>
          </w:tcPr>
          <w:p w14:paraId="79502B99" w14:textId="77777777" w:rsidR="00422EFE" w:rsidRPr="00261B7A" w:rsidRDefault="00422EFE" w:rsidP="00D53B36">
            <w:pPr>
              <w:pStyle w:val="TableText"/>
              <w:spacing w:before="50" w:after="50"/>
            </w:pPr>
          </w:p>
        </w:tc>
        <w:tc>
          <w:tcPr>
            <w:tcW w:w="567" w:type="dxa"/>
            <w:shd w:val="clear" w:color="auto" w:fill="FFFFFF"/>
            <w:tcMar>
              <w:top w:w="0" w:type="dxa"/>
              <w:left w:w="108" w:type="dxa"/>
              <w:bottom w:w="0" w:type="dxa"/>
              <w:right w:w="108" w:type="dxa"/>
            </w:tcMar>
          </w:tcPr>
          <w:p w14:paraId="13A58539" w14:textId="77777777" w:rsidR="00422EFE" w:rsidRPr="00261B7A" w:rsidRDefault="00422EFE" w:rsidP="00D53B36">
            <w:pPr>
              <w:pStyle w:val="TableText"/>
              <w:spacing w:before="50" w:after="50"/>
            </w:pPr>
            <w:r w:rsidRPr="00261B7A">
              <w:rPr>
                <w:rFonts w:eastAsia="Calibri"/>
                <w:color w:val="000000"/>
              </w:rPr>
              <w:t>Tier 1</w:t>
            </w:r>
          </w:p>
        </w:tc>
        <w:tc>
          <w:tcPr>
            <w:tcW w:w="2438" w:type="dxa"/>
            <w:shd w:val="clear" w:color="auto" w:fill="FFFFFF"/>
            <w:tcMar>
              <w:top w:w="0" w:type="dxa"/>
              <w:left w:w="108" w:type="dxa"/>
              <w:bottom w:w="0" w:type="dxa"/>
              <w:right w:w="108" w:type="dxa"/>
            </w:tcMar>
          </w:tcPr>
          <w:p w14:paraId="4FF490D5" w14:textId="77777777" w:rsidR="00422EFE" w:rsidRPr="00261B7A" w:rsidRDefault="00422EFE" w:rsidP="00D53B36">
            <w:pPr>
              <w:pStyle w:val="TableText"/>
              <w:spacing w:before="50" w:after="50"/>
            </w:pPr>
            <w:r w:rsidRPr="00261B7A">
              <w:rPr>
                <w:rFonts w:eastAsia="Calibri"/>
                <w:color w:val="000000"/>
              </w:rPr>
              <w:t>IPCC (2006a)</w:t>
            </w:r>
          </w:p>
        </w:tc>
      </w:tr>
      <w:tr w:rsidR="00422EFE" w:rsidRPr="00261B7A" w14:paraId="5635F4B8" w14:textId="77777777" w:rsidTr="00D53B36">
        <w:tc>
          <w:tcPr>
            <w:tcW w:w="2835" w:type="dxa"/>
            <w:shd w:val="clear" w:color="auto" w:fill="FFFFFF"/>
            <w:tcMar>
              <w:top w:w="0" w:type="dxa"/>
              <w:left w:w="108" w:type="dxa"/>
              <w:bottom w:w="0" w:type="dxa"/>
              <w:right w:w="108" w:type="dxa"/>
            </w:tcMar>
          </w:tcPr>
          <w:p w14:paraId="63ACC55E" w14:textId="77777777" w:rsidR="00422EFE" w:rsidRPr="00261B7A" w:rsidRDefault="00422EFE" w:rsidP="00D53B36">
            <w:pPr>
              <w:pStyle w:val="TableText"/>
              <w:spacing w:before="50" w:after="50"/>
            </w:pPr>
            <w:r w:rsidRPr="00261B7A">
              <w:rPr>
                <w:rFonts w:eastAsia="Calibri"/>
                <w:color w:val="000000"/>
              </w:rPr>
              <w:t>Industrial wastewater (5.D.2)</w:t>
            </w:r>
          </w:p>
        </w:tc>
        <w:tc>
          <w:tcPr>
            <w:tcW w:w="567" w:type="dxa"/>
            <w:shd w:val="clear" w:color="auto" w:fill="FFFFFF"/>
            <w:tcMar>
              <w:top w:w="0" w:type="dxa"/>
              <w:left w:w="108" w:type="dxa"/>
              <w:bottom w:w="0" w:type="dxa"/>
              <w:right w:w="108" w:type="dxa"/>
            </w:tcMar>
          </w:tcPr>
          <w:p w14:paraId="761CA40D" w14:textId="77777777" w:rsidR="00422EFE" w:rsidRPr="00261B7A" w:rsidRDefault="00422EFE" w:rsidP="00D53B36">
            <w:pPr>
              <w:pStyle w:val="TableText"/>
              <w:spacing w:before="50" w:after="50"/>
            </w:pPr>
            <w:r w:rsidRPr="00261B7A">
              <w:rPr>
                <w:rFonts w:eastAsia="Calibri"/>
                <w:color w:val="000000"/>
              </w:rPr>
              <w:t>N₂O</w:t>
            </w:r>
          </w:p>
        </w:tc>
        <w:tc>
          <w:tcPr>
            <w:tcW w:w="2268" w:type="dxa"/>
            <w:shd w:val="clear" w:color="auto" w:fill="FFFFFF"/>
            <w:tcMar>
              <w:top w:w="0" w:type="dxa"/>
              <w:left w:w="108" w:type="dxa"/>
              <w:bottom w:w="0" w:type="dxa"/>
              <w:right w:w="108" w:type="dxa"/>
            </w:tcMar>
          </w:tcPr>
          <w:p w14:paraId="43CE7F0F" w14:textId="77777777" w:rsidR="00422EFE" w:rsidRPr="00261B7A" w:rsidRDefault="00422EFE" w:rsidP="00D53B36">
            <w:pPr>
              <w:pStyle w:val="TableText"/>
              <w:spacing w:before="50" w:after="50"/>
            </w:pPr>
            <w:r w:rsidRPr="00261B7A">
              <w:rPr>
                <w:rFonts w:eastAsia="Calibri"/>
                <w:color w:val="000000"/>
              </w:rPr>
              <w:t>Based on chemical oxygen demand from CH</w:t>
            </w:r>
            <w:r w:rsidRPr="00261B7A">
              <w:rPr>
                <w:rFonts w:eastAsia="Calibri"/>
                <w:color w:val="000000"/>
                <w:vertAlign w:val="subscript"/>
              </w:rPr>
              <w:t>4</w:t>
            </w:r>
            <w:r w:rsidRPr="00261B7A">
              <w:rPr>
                <w:rFonts w:eastAsia="Calibri"/>
                <w:color w:val="000000"/>
              </w:rPr>
              <w:t xml:space="preserve"> emissions</w:t>
            </w:r>
          </w:p>
        </w:tc>
        <w:tc>
          <w:tcPr>
            <w:tcW w:w="567" w:type="dxa"/>
            <w:shd w:val="clear" w:color="auto" w:fill="FFFFFF"/>
            <w:tcMar>
              <w:top w:w="0" w:type="dxa"/>
              <w:left w:w="108" w:type="dxa"/>
              <w:bottom w:w="0" w:type="dxa"/>
              <w:right w:w="108" w:type="dxa"/>
            </w:tcMar>
          </w:tcPr>
          <w:p w14:paraId="63ED317F" w14:textId="77777777" w:rsidR="00422EFE" w:rsidRPr="00261B7A" w:rsidRDefault="00422EFE" w:rsidP="00D53B36">
            <w:pPr>
              <w:pStyle w:val="TableText"/>
              <w:spacing w:before="50" w:after="50"/>
            </w:pPr>
            <w:r w:rsidRPr="00261B7A">
              <w:rPr>
                <w:rFonts w:eastAsia="Calibri"/>
                <w:color w:val="000000"/>
              </w:rPr>
              <w:t>Tier 2</w:t>
            </w:r>
          </w:p>
        </w:tc>
        <w:tc>
          <w:tcPr>
            <w:tcW w:w="2438" w:type="dxa"/>
            <w:shd w:val="clear" w:color="auto" w:fill="FFFFFF"/>
            <w:tcMar>
              <w:top w:w="0" w:type="dxa"/>
              <w:left w:w="108" w:type="dxa"/>
              <w:bottom w:w="0" w:type="dxa"/>
              <w:right w:w="108" w:type="dxa"/>
            </w:tcMar>
          </w:tcPr>
          <w:p w14:paraId="1D90C72E" w14:textId="77777777" w:rsidR="00422EFE" w:rsidRPr="00261B7A" w:rsidRDefault="00422EFE" w:rsidP="00D53B36">
            <w:pPr>
              <w:pStyle w:val="TableText"/>
              <w:spacing w:before="50" w:after="50"/>
            </w:pPr>
            <w:r w:rsidRPr="00261B7A">
              <w:rPr>
                <w:rFonts w:eastAsia="Calibri"/>
                <w:color w:val="000000"/>
              </w:rPr>
              <w:t>Cardno (unpublished)</w:t>
            </w:r>
          </w:p>
        </w:tc>
      </w:tr>
    </w:tbl>
    <w:p w14:paraId="6EFA1BD8" w14:textId="77777777" w:rsidR="00422EFE" w:rsidRPr="00261B7A" w:rsidRDefault="00422EFE" w:rsidP="00422EFE">
      <w:pPr>
        <w:pStyle w:val="Heading5"/>
        <w:spacing w:before="360"/>
      </w:pPr>
      <w:bookmarkStart w:id="2567" w:name="wine-industry-1"/>
      <w:r w:rsidRPr="00261B7A">
        <w:t>Wine industry</w:t>
      </w:r>
    </w:p>
    <w:p w14:paraId="0C0B27FB" w14:textId="77777777" w:rsidR="00422EFE" w:rsidRPr="00261B7A" w:rsidRDefault="00422EFE" w:rsidP="00422EFE">
      <w:pPr>
        <w:pStyle w:val="BodyText"/>
      </w:pPr>
      <w:r w:rsidRPr="00261B7A">
        <w:t>A Tier 2 approach is used to estimate emissions from the wine industry. Information on the wastewater treatment practices of the industry was obtained from a survey (Beca Ltd, unpublished). Default values from the 2006 IPCC Guidelines (IPCC, 2006a) are used where New Zealand-specific information is not available.</w:t>
      </w:r>
    </w:p>
    <w:p w14:paraId="23097B10" w14:textId="77777777" w:rsidR="00422EFE" w:rsidRPr="00261B7A" w:rsidRDefault="00422EFE" w:rsidP="00422EFE">
      <w:pPr>
        <w:pStyle w:val="Heading5"/>
      </w:pPr>
      <w:bookmarkStart w:id="2568" w:name="nitrous-oxide-emissions"/>
      <w:bookmarkEnd w:id="2567"/>
      <w:r w:rsidRPr="00261B7A">
        <w:t>Nitrous oxide emissions</w:t>
      </w:r>
    </w:p>
    <w:p w14:paraId="3DC2D51A" w14:textId="77777777" w:rsidR="00422EFE" w:rsidRPr="00261B7A" w:rsidRDefault="00422EFE" w:rsidP="00434575">
      <w:pPr>
        <w:pStyle w:val="BodyText"/>
        <w:spacing w:before="80" w:after="100"/>
      </w:pPr>
      <w:r w:rsidRPr="00261B7A">
        <w:t>Direct emissions of N</w:t>
      </w:r>
      <w:r w:rsidRPr="00261B7A">
        <w:rPr>
          <w:vertAlign w:val="subscript"/>
        </w:rPr>
        <w:t>2</w:t>
      </w:r>
      <w:r w:rsidRPr="00261B7A">
        <w:t>O from domestic wastewater plants are typically minor and only occur in advanced centralised treatment plants. Good practice guidelines (IPCC, 2006a) advise that the estimation of direct N</w:t>
      </w:r>
      <w:r w:rsidRPr="00261B7A">
        <w:rPr>
          <w:vertAlign w:val="subscript"/>
        </w:rPr>
        <w:t>2</w:t>
      </w:r>
      <w:r w:rsidRPr="00261B7A">
        <w:t>O emissions is only necessary where advanced centralised treatment plants account for a major proportion of wastewater treatment. Although one wastewater treatment plant in Auckland serves about a million people, direct N</w:t>
      </w:r>
      <w:r w:rsidRPr="00261B7A">
        <w:rPr>
          <w:vertAlign w:val="subscript"/>
        </w:rPr>
        <w:t>2</w:t>
      </w:r>
      <w:r w:rsidRPr="00261B7A">
        <w:t>O emissions are not estimated because they are likely to be small.</w:t>
      </w:r>
    </w:p>
    <w:p w14:paraId="76761A70" w14:textId="77777777" w:rsidR="00422EFE" w:rsidRPr="00261B7A" w:rsidRDefault="00422EFE" w:rsidP="00AC36B0">
      <w:pPr>
        <w:pStyle w:val="BodyText"/>
        <w:spacing w:before="100" w:after="100"/>
      </w:pPr>
      <w:r w:rsidRPr="00261B7A">
        <w:t>However, indirect emissions of N</w:t>
      </w:r>
      <w:r w:rsidRPr="00261B7A">
        <w:rPr>
          <w:vertAlign w:val="subscript"/>
        </w:rPr>
        <w:t>2</w:t>
      </w:r>
      <w:r w:rsidRPr="00261B7A">
        <w:t>O may occur after disposal of effluent into waterways, lakes or the ocean. New Zealand reports indirect emissions of N</w:t>
      </w:r>
      <w:r w:rsidRPr="00261B7A">
        <w:rPr>
          <w:vertAlign w:val="subscript"/>
        </w:rPr>
        <w:t>2</w:t>
      </w:r>
      <w:r w:rsidRPr="00261B7A">
        <w:t>O from domestic wastewater.</w:t>
      </w:r>
    </w:p>
    <w:p w14:paraId="2BE12C48" w14:textId="77777777" w:rsidR="00422EFE" w:rsidRPr="00261B7A" w:rsidRDefault="00422EFE" w:rsidP="00AC36B0">
      <w:pPr>
        <w:pStyle w:val="BodyText"/>
        <w:spacing w:before="100" w:after="100"/>
      </w:pPr>
      <w:r w:rsidRPr="00261B7A">
        <w:t>The 2006 IPCC Guidelines (IPCC, 2006a) indicate that, compared with domestic wastewater, the N</w:t>
      </w:r>
      <w:r w:rsidRPr="00261B7A">
        <w:rPr>
          <w:vertAlign w:val="subscript"/>
        </w:rPr>
        <w:t>2</w:t>
      </w:r>
      <w:r w:rsidRPr="00261B7A">
        <w:t>O emissions from industrial wastewater are believed to be insignificant. Yet in New Zealand these emissions have greater significance, because the meat and dairy processing industries produce nitrogen-rich wastewaters.</w:t>
      </w:r>
    </w:p>
    <w:p w14:paraId="786C87B7" w14:textId="77777777" w:rsidR="00422EFE" w:rsidRPr="00261B7A" w:rsidRDefault="00422EFE" w:rsidP="00AC36B0">
      <w:pPr>
        <w:pStyle w:val="BodyText"/>
        <w:spacing w:before="100" w:after="100"/>
      </w:pPr>
      <w:r w:rsidRPr="00261B7A">
        <w:t>The IPCC does not provide a method for calculating N</w:t>
      </w:r>
      <w:r w:rsidRPr="00261B7A">
        <w:rPr>
          <w:vertAlign w:val="subscript"/>
        </w:rPr>
        <w:t>2</w:t>
      </w:r>
      <w:r w:rsidRPr="00261B7A">
        <w:t>O emissions from industrial wastewater and, consequently, a New Zealand-derived method has been applied. The total nitrogen load is calculated by adopting the COD load as determined in calculating CH</w:t>
      </w:r>
      <w:r w:rsidRPr="00261B7A">
        <w:rPr>
          <w:vertAlign w:val="subscript"/>
        </w:rPr>
        <w:t>4</w:t>
      </w:r>
      <w:r w:rsidRPr="00261B7A">
        <w:t xml:space="preserve"> emissions from the same wastewater, and using an estimated ratio of COD to nitrogen in the wastewater for each of the different producers in the meat, dairy processing and leather and skins industries.</w:t>
      </w:r>
    </w:p>
    <w:p w14:paraId="769F7535" w14:textId="77777777" w:rsidR="00422EFE" w:rsidRPr="00261B7A" w:rsidRDefault="00422EFE" w:rsidP="00422EFE">
      <w:pPr>
        <w:pStyle w:val="Heading4"/>
      </w:pPr>
      <w:bookmarkStart w:id="2569" w:name="choice-of-emission-factors-2"/>
      <w:bookmarkEnd w:id="2564"/>
      <w:bookmarkEnd w:id="2568"/>
      <w:r w:rsidRPr="00261B7A">
        <w:t>Choice of emission factors</w:t>
      </w:r>
    </w:p>
    <w:p w14:paraId="5E606AAA" w14:textId="77777777" w:rsidR="00422EFE" w:rsidRPr="00261B7A" w:rsidRDefault="00422EFE" w:rsidP="00AC36B0">
      <w:pPr>
        <w:pStyle w:val="Heading5"/>
        <w:spacing w:before="120"/>
      </w:pPr>
      <w:bookmarkStart w:id="2570" w:name="domestic-wastewater-5.d.1-2"/>
      <w:r w:rsidRPr="00261B7A">
        <w:t>Domestic wastewater (5.D.1)</w:t>
      </w:r>
    </w:p>
    <w:p w14:paraId="33E8D1B4" w14:textId="77777777" w:rsidR="00422EFE" w:rsidRPr="00261B7A" w:rsidRDefault="00422EFE" w:rsidP="00CE2D16">
      <w:pPr>
        <w:pStyle w:val="Heading6"/>
      </w:pPr>
      <w:bookmarkStart w:id="2571" w:name="Xd5583ba6d1cbf8baf7c106a7a0a3d02cb92bd05"/>
      <w:r w:rsidRPr="00261B7A">
        <w:t>Methane emissions from domestic wastewater treatment</w:t>
      </w:r>
    </w:p>
    <w:p w14:paraId="05C1A6FC" w14:textId="77777777" w:rsidR="00422EFE" w:rsidRPr="00261B7A" w:rsidRDefault="00422EFE" w:rsidP="00422EFE">
      <w:pPr>
        <w:pStyle w:val="BodyText"/>
      </w:pPr>
      <w:r w:rsidRPr="00261B7A">
        <w:t>Table 7.5.6 summarises the parameter values applied for estimating CH</w:t>
      </w:r>
      <w:r w:rsidRPr="00261B7A">
        <w:rPr>
          <w:vertAlign w:val="subscript"/>
        </w:rPr>
        <w:t>4</w:t>
      </w:r>
      <w:r w:rsidRPr="00261B7A">
        <w:t xml:space="preserve"> emissions from domestic wastewater treatment.</w:t>
      </w:r>
    </w:p>
    <w:p w14:paraId="712FB4B0" w14:textId="77777777" w:rsidR="00422EFE" w:rsidRPr="00261B7A" w:rsidRDefault="00422EFE" w:rsidP="00422EFE">
      <w:pPr>
        <w:pStyle w:val="Table"/>
      </w:pPr>
      <w:bookmarkStart w:id="2572" w:name="_Toc128383684"/>
      <w:bookmarkStart w:id="2573" w:name="_Toc131591457"/>
      <w:r w:rsidRPr="00261B7A">
        <w:t xml:space="preserve">Table 7.5.6 </w:t>
      </w:r>
      <w:r w:rsidRPr="00261B7A">
        <w:tab/>
        <w:t>Parameter values applied by New Zealand for estimating methane emissions for domestic wastewater treatment</w:t>
      </w:r>
      <w:bookmarkEnd w:id="2572"/>
      <w:bookmarkEnd w:id="2573"/>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977"/>
        <w:gridCol w:w="1661"/>
        <w:gridCol w:w="1599"/>
        <w:gridCol w:w="2268"/>
      </w:tblGrid>
      <w:tr w:rsidR="00422EFE" w:rsidRPr="00261B7A" w14:paraId="0444C9F6" w14:textId="77777777" w:rsidTr="00D41492">
        <w:trPr>
          <w:tblHeader/>
        </w:trPr>
        <w:tc>
          <w:tcPr>
            <w:tcW w:w="2977" w:type="dxa"/>
            <w:shd w:val="clear" w:color="auto" w:fill="1B556B"/>
            <w:tcMar>
              <w:top w:w="0" w:type="dxa"/>
              <w:left w:w="108" w:type="dxa"/>
              <w:bottom w:w="0" w:type="dxa"/>
              <w:right w:w="108" w:type="dxa"/>
            </w:tcMar>
          </w:tcPr>
          <w:p w14:paraId="4E33A50B"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Parameter</w:t>
            </w:r>
          </w:p>
        </w:tc>
        <w:tc>
          <w:tcPr>
            <w:tcW w:w="1661" w:type="dxa"/>
            <w:shd w:val="clear" w:color="auto" w:fill="1B556B"/>
            <w:tcMar>
              <w:top w:w="0" w:type="dxa"/>
              <w:left w:w="108" w:type="dxa"/>
              <w:bottom w:w="0" w:type="dxa"/>
              <w:right w:w="108" w:type="dxa"/>
            </w:tcMar>
          </w:tcPr>
          <w:p w14:paraId="2E4F806C"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Value</w:t>
            </w:r>
          </w:p>
        </w:tc>
        <w:tc>
          <w:tcPr>
            <w:tcW w:w="1599" w:type="dxa"/>
            <w:shd w:val="clear" w:color="auto" w:fill="1B556B"/>
            <w:tcMar>
              <w:top w:w="0" w:type="dxa"/>
              <w:left w:w="108" w:type="dxa"/>
              <w:bottom w:w="0" w:type="dxa"/>
              <w:right w:w="108" w:type="dxa"/>
            </w:tcMar>
          </w:tcPr>
          <w:p w14:paraId="3AFE7884"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Source</w:t>
            </w:r>
          </w:p>
        </w:tc>
        <w:tc>
          <w:tcPr>
            <w:tcW w:w="2268" w:type="dxa"/>
            <w:shd w:val="clear" w:color="auto" w:fill="1B556B"/>
            <w:tcMar>
              <w:top w:w="0" w:type="dxa"/>
              <w:left w:w="108" w:type="dxa"/>
              <w:bottom w:w="0" w:type="dxa"/>
              <w:right w:w="108" w:type="dxa"/>
            </w:tcMar>
          </w:tcPr>
          <w:p w14:paraId="4F622C28"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Reference</w:t>
            </w:r>
          </w:p>
        </w:tc>
      </w:tr>
      <w:tr w:rsidR="00422EFE" w:rsidRPr="00261B7A" w14:paraId="0518E0D5" w14:textId="77777777" w:rsidTr="00D41492">
        <w:tc>
          <w:tcPr>
            <w:tcW w:w="2977" w:type="dxa"/>
            <w:shd w:val="clear" w:color="auto" w:fill="FFFFFF"/>
            <w:tcMar>
              <w:top w:w="0" w:type="dxa"/>
              <w:left w:w="108" w:type="dxa"/>
              <w:bottom w:w="0" w:type="dxa"/>
              <w:right w:w="108" w:type="dxa"/>
            </w:tcMar>
          </w:tcPr>
          <w:p w14:paraId="5E048429" w14:textId="77777777" w:rsidR="00422EFE" w:rsidRPr="00261B7A" w:rsidRDefault="00422EFE" w:rsidP="00D41492">
            <w:pPr>
              <w:pStyle w:val="TableText"/>
              <w:spacing w:before="40" w:after="40"/>
            </w:pPr>
            <w:r w:rsidRPr="00261B7A">
              <w:rPr>
                <w:rFonts w:eastAsia="Calibri"/>
                <w:color w:val="000000"/>
              </w:rPr>
              <w:t>Methane correction factors</w:t>
            </w:r>
          </w:p>
        </w:tc>
        <w:tc>
          <w:tcPr>
            <w:tcW w:w="1661" w:type="dxa"/>
            <w:shd w:val="clear" w:color="auto" w:fill="FFFFFF"/>
            <w:tcMar>
              <w:top w:w="0" w:type="dxa"/>
              <w:left w:w="108" w:type="dxa"/>
              <w:bottom w:w="0" w:type="dxa"/>
              <w:right w:w="108" w:type="dxa"/>
            </w:tcMar>
          </w:tcPr>
          <w:p w14:paraId="6E4EEFA9" w14:textId="77777777" w:rsidR="00422EFE" w:rsidRPr="00261B7A" w:rsidRDefault="00422EFE" w:rsidP="00D41492">
            <w:pPr>
              <w:pStyle w:val="TableText"/>
              <w:spacing w:before="40" w:after="40"/>
            </w:pPr>
          </w:p>
        </w:tc>
        <w:tc>
          <w:tcPr>
            <w:tcW w:w="1599" w:type="dxa"/>
            <w:shd w:val="clear" w:color="auto" w:fill="FFFFFF"/>
            <w:tcMar>
              <w:top w:w="0" w:type="dxa"/>
              <w:left w:w="108" w:type="dxa"/>
              <w:bottom w:w="0" w:type="dxa"/>
              <w:right w:w="108" w:type="dxa"/>
            </w:tcMar>
          </w:tcPr>
          <w:p w14:paraId="654D0D45" w14:textId="77777777" w:rsidR="00422EFE" w:rsidRPr="00261B7A" w:rsidRDefault="00422EFE" w:rsidP="00D41492">
            <w:pPr>
              <w:pStyle w:val="TableText"/>
              <w:spacing w:before="40" w:after="40"/>
            </w:pPr>
          </w:p>
        </w:tc>
        <w:tc>
          <w:tcPr>
            <w:tcW w:w="2268" w:type="dxa"/>
            <w:shd w:val="clear" w:color="auto" w:fill="FFFFFF"/>
            <w:tcMar>
              <w:top w:w="0" w:type="dxa"/>
              <w:left w:w="108" w:type="dxa"/>
              <w:bottom w:w="0" w:type="dxa"/>
              <w:right w:w="108" w:type="dxa"/>
            </w:tcMar>
          </w:tcPr>
          <w:p w14:paraId="5802F90A" w14:textId="77777777" w:rsidR="00422EFE" w:rsidRPr="00261B7A" w:rsidRDefault="00422EFE" w:rsidP="00D41492">
            <w:pPr>
              <w:pStyle w:val="TableText"/>
              <w:spacing w:before="40" w:after="40"/>
            </w:pPr>
          </w:p>
        </w:tc>
      </w:tr>
      <w:tr w:rsidR="00422EFE" w:rsidRPr="00261B7A" w14:paraId="260FFF1B" w14:textId="77777777" w:rsidTr="00D41492">
        <w:tc>
          <w:tcPr>
            <w:tcW w:w="2977" w:type="dxa"/>
            <w:shd w:val="clear" w:color="auto" w:fill="FFFFFF"/>
            <w:tcMar>
              <w:top w:w="0" w:type="dxa"/>
              <w:left w:w="108" w:type="dxa"/>
              <w:bottom w:w="0" w:type="dxa"/>
              <w:right w:w="108" w:type="dxa"/>
            </w:tcMar>
          </w:tcPr>
          <w:p w14:paraId="267609F2" w14:textId="77777777" w:rsidR="00422EFE" w:rsidRPr="00261B7A" w:rsidRDefault="00422EFE" w:rsidP="00D41492">
            <w:pPr>
              <w:pStyle w:val="TableText"/>
              <w:spacing w:before="40" w:after="40"/>
            </w:pPr>
            <w:r w:rsidRPr="00261B7A">
              <w:rPr>
                <w:rFonts w:eastAsia="Calibri"/>
                <w:color w:val="000000"/>
              </w:rPr>
              <w:t>Handling systems methane correction factor</w:t>
            </w:r>
          </w:p>
        </w:tc>
        <w:tc>
          <w:tcPr>
            <w:tcW w:w="1661" w:type="dxa"/>
            <w:shd w:val="clear" w:color="auto" w:fill="FFFFFF"/>
            <w:tcMar>
              <w:top w:w="0" w:type="dxa"/>
              <w:left w:w="108" w:type="dxa"/>
              <w:bottom w:w="0" w:type="dxa"/>
              <w:right w:w="108" w:type="dxa"/>
            </w:tcMar>
          </w:tcPr>
          <w:p w14:paraId="19685618" w14:textId="77777777" w:rsidR="00422EFE" w:rsidRPr="00261B7A" w:rsidRDefault="00422EFE" w:rsidP="00D41492">
            <w:pPr>
              <w:pStyle w:val="TableText"/>
              <w:spacing w:before="40" w:after="40"/>
            </w:pPr>
            <w:r w:rsidRPr="00261B7A">
              <w:rPr>
                <w:rFonts w:eastAsia="Calibri"/>
                <w:color w:val="000000"/>
              </w:rPr>
              <w:t>Range of 0–0.65</w:t>
            </w:r>
          </w:p>
        </w:tc>
        <w:tc>
          <w:tcPr>
            <w:tcW w:w="1599" w:type="dxa"/>
            <w:shd w:val="clear" w:color="auto" w:fill="FFFFFF"/>
            <w:tcMar>
              <w:top w:w="0" w:type="dxa"/>
              <w:left w:w="108" w:type="dxa"/>
              <w:bottom w:w="0" w:type="dxa"/>
              <w:right w:w="108" w:type="dxa"/>
            </w:tcMar>
          </w:tcPr>
          <w:p w14:paraId="52BB8DA4" w14:textId="77777777" w:rsidR="00422EFE" w:rsidRPr="00261B7A" w:rsidRDefault="00422EFE" w:rsidP="00D41492">
            <w:pPr>
              <w:pStyle w:val="TableText"/>
              <w:spacing w:before="40" w:after="40"/>
            </w:pPr>
            <w:r w:rsidRPr="00261B7A">
              <w:rPr>
                <w:rFonts w:eastAsia="Calibri"/>
                <w:color w:val="000000"/>
              </w:rPr>
              <w:t>New Zealand specific</w:t>
            </w:r>
          </w:p>
        </w:tc>
        <w:tc>
          <w:tcPr>
            <w:tcW w:w="2268" w:type="dxa"/>
            <w:shd w:val="clear" w:color="auto" w:fill="FFFFFF"/>
            <w:tcMar>
              <w:top w:w="0" w:type="dxa"/>
              <w:left w:w="108" w:type="dxa"/>
              <w:bottom w:w="0" w:type="dxa"/>
              <w:right w:w="108" w:type="dxa"/>
            </w:tcMar>
          </w:tcPr>
          <w:p w14:paraId="0035ABE4" w14:textId="77777777" w:rsidR="00422EFE" w:rsidRPr="00261B7A" w:rsidRDefault="00422EFE" w:rsidP="00D41492">
            <w:pPr>
              <w:pStyle w:val="TableText"/>
              <w:spacing w:before="40" w:after="40"/>
            </w:pPr>
            <w:r w:rsidRPr="00261B7A">
              <w:rPr>
                <w:rFonts w:eastAsia="Calibri"/>
                <w:color w:val="000000"/>
              </w:rPr>
              <w:t>SCS Wetherill Environmental (unpublished)</w:t>
            </w:r>
          </w:p>
        </w:tc>
      </w:tr>
      <w:tr w:rsidR="00422EFE" w:rsidRPr="00261B7A" w14:paraId="14052AE8" w14:textId="77777777" w:rsidTr="00D41492">
        <w:tc>
          <w:tcPr>
            <w:tcW w:w="2977" w:type="dxa"/>
            <w:shd w:val="clear" w:color="auto" w:fill="FFFFFF"/>
            <w:tcMar>
              <w:top w:w="0" w:type="dxa"/>
              <w:left w:w="108" w:type="dxa"/>
              <w:bottom w:w="0" w:type="dxa"/>
              <w:right w:w="108" w:type="dxa"/>
            </w:tcMar>
          </w:tcPr>
          <w:p w14:paraId="4EBA67E8" w14:textId="77777777" w:rsidR="00422EFE" w:rsidRPr="00261B7A" w:rsidRDefault="00422EFE" w:rsidP="00D41492">
            <w:pPr>
              <w:pStyle w:val="TableText"/>
              <w:spacing w:before="40" w:after="40"/>
            </w:pPr>
            <w:r w:rsidRPr="00261B7A">
              <w:rPr>
                <w:rFonts w:eastAsia="Calibri"/>
                <w:color w:val="000000"/>
              </w:rPr>
              <w:t>Aggregated methane correction factor</w:t>
            </w:r>
          </w:p>
        </w:tc>
        <w:tc>
          <w:tcPr>
            <w:tcW w:w="1661" w:type="dxa"/>
            <w:shd w:val="clear" w:color="auto" w:fill="FFFFFF"/>
            <w:tcMar>
              <w:top w:w="0" w:type="dxa"/>
              <w:left w:w="108" w:type="dxa"/>
              <w:bottom w:w="0" w:type="dxa"/>
              <w:right w:w="108" w:type="dxa"/>
            </w:tcMar>
          </w:tcPr>
          <w:p w14:paraId="603100E0" w14:textId="77777777" w:rsidR="00422EFE" w:rsidRPr="00261B7A" w:rsidRDefault="00422EFE" w:rsidP="00D41492">
            <w:pPr>
              <w:pStyle w:val="TableText"/>
              <w:spacing w:before="40" w:after="40"/>
            </w:pPr>
            <w:r w:rsidRPr="00261B7A">
              <w:rPr>
                <w:rFonts w:eastAsia="Calibri"/>
                <w:color w:val="000000"/>
              </w:rPr>
              <w:t>Range of 0.032–0.043</w:t>
            </w:r>
          </w:p>
        </w:tc>
        <w:tc>
          <w:tcPr>
            <w:tcW w:w="1599" w:type="dxa"/>
            <w:shd w:val="clear" w:color="auto" w:fill="FFFFFF"/>
            <w:tcMar>
              <w:top w:w="0" w:type="dxa"/>
              <w:left w:w="108" w:type="dxa"/>
              <w:bottom w:w="0" w:type="dxa"/>
              <w:right w:w="108" w:type="dxa"/>
            </w:tcMar>
          </w:tcPr>
          <w:p w14:paraId="52FB8A29" w14:textId="77777777" w:rsidR="00422EFE" w:rsidRPr="00261B7A" w:rsidRDefault="00422EFE" w:rsidP="00D41492">
            <w:pPr>
              <w:pStyle w:val="TableText"/>
              <w:spacing w:before="40" w:after="40"/>
            </w:pPr>
            <w:r w:rsidRPr="00261B7A">
              <w:rPr>
                <w:rFonts w:eastAsia="Calibri"/>
                <w:color w:val="000000"/>
              </w:rPr>
              <w:t>New Zealand specific</w:t>
            </w:r>
          </w:p>
        </w:tc>
        <w:tc>
          <w:tcPr>
            <w:tcW w:w="2268" w:type="dxa"/>
            <w:shd w:val="clear" w:color="auto" w:fill="FFFFFF"/>
            <w:tcMar>
              <w:top w:w="0" w:type="dxa"/>
              <w:left w:w="108" w:type="dxa"/>
              <w:bottom w:w="0" w:type="dxa"/>
              <w:right w:w="108" w:type="dxa"/>
            </w:tcMar>
          </w:tcPr>
          <w:p w14:paraId="16F0193E" w14:textId="77777777" w:rsidR="00422EFE" w:rsidRPr="00261B7A" w:rsidRDefault="00422EFE" w:rsidP="00D41492">
            <w:pPr>
              <w:pStyle w:val="TableText"/>
              <w:spacing w:before="40" w:after="40"/>
            </w:pPr>
            <w:r w:rsidRPr="00261B7A">
              <w:rPr>
                <w:rFonts w:eastAsia="Calibri"/>
                <w:color w:val="000000"/>
              </w:rPr>
              <w:t>SCS Wetherill Environmental (unpublished)</w:t>
            </w:r>
          </w:p>
        </w:tc>
      </w:tr>
      <w:tr w:rsidR="00422EFE" w:rsidRPr="00261B7A" w14:paraId="416FEB4F" w14:textId="77777777" w:rsidTr="00D41492">
        <w:tc>
          <w:tcPr>
            <w:tcW w:w="2977" w:type="dxa"/>
            <w:shd w:val="clear" w:color="auto" w:fill="FFFFFF"/>
            <w:tcMar>
              <w:top w:w="0" w:type="dxa"/>
              <w:left w:w="108" w:type="dxa"/>
              <w:bottom w:w="0" w:type="dxa"/>
              <w:right w:w="108" w:type="dxa"/>
            </w:tcMar>
          </w:tcPr>
          <w:p w14:paraId="254BAF6B" w14:textId="77777777" w:rsidR="00422EFE" w:rsidRPr="00261B7A" w:rsidRDefault="00422EFE" w:rsidP="00D41492">
            <w:pPr>
              <w:pStyle w:val="TableText"/>
              <w:spacing w:before="40" w:after="40"/>
            </w:pPr>
            <w:r w:rsidRPr="00261B7A">
              <w:rPr>
                <w:rFonts w:eastAsia="Calibri"/>
                <w:color w:val="000000"/>
              </w:rPr>
              <w:t>BOD (kg BOD/person/year)</w:t>
            </w:r>
          </w:p>
        </w:tc>
        <w:tc>
          <w:tcPr>
            <w:tcW w:w="1661" w:type="dxa"/>
            <w:shd w:val="clear" w:color="auto" w:fill="FFFFFF"/>
            <w:tcMar>
              <w:top w:w="0" w:type="dxa"/>
              <w:left w:w="108" w:type="dxa"/>
              <w:bottom w:w="0" w:type="dxa"/>
              <w:right w:w="108" w:type="dxa"/>
            </w:tcMar>
          </w:tcPr>
          <w:p w14:paraId="63956AFE" w14:textId="77777777" w:rsidR="00422EFE" w:rsidRPr="00261B7A" w:rsidRDefault="00422EFE" w:rsidP="00D41492">
            <w:pPr>
              <w:pStyle w:val="TableText"/>
              <w:spacing w:before="40" w:after="40"/>
            </w:pPr>
            <w:r w:rsidRPr="00261B7A">
              <w:rPr>
                <w:rFonts w:eastAsia="Calibri"/>
                <w:color w:val="000000"/>
              </w:rPr>
              <w:t>26</w:t>
            </w:r>
          </w:p>
        </w:tc>
        <w:tc>
          <w:tcPr>
            <w:tcW w:w="1599" w:type="dxa"/>
            <w:shd w:val="clear" w:color="auto" w:fill="FFFFFF"/>
            <w:tcMar>
              <w:top w:w="0" w:type="dxa"/>
              <w:left w:w="108" w:type="dxa"/>
              <w:bottom w:w="0" w:type="dxa"/>
              <w:right w:w="108" w:type="dxa"/>
            </w:tcMar>
          </w:tcPr>
          <w:p w14:paraId="76368B48" w14:textId="77777777" w:rsidR="00422EFE" w:rsidRPr="00261B7A" w:rsidRDefault="00422EFE" w:rsidP="00D41492">
            <w:pPr>
              <w:pStyle w:val="TableText"/>
              <w:spacing w:before="40" w:after="40"/>
            </w:pPr>
            <w:r w:rsidRPr="00261B7A">
              <w:rPr>
                <w:rFonts w:eastAsia="Calibri"/>
                <w:color w:val="000000"/>
              </w:rPr>
              <w:t>New Zealand specific</w:t>
            </w:r>
          </w:p>
        </w:tc>
        <w:tc>
          <w:tcPr>
            <w:tcW w:w="2268" w:type="dxa"/>
            <w:shd w:val="clear" w:color="auto" w:fill="FFFFFF"/>
            <w:tcMar>
              <w:top w:w="0" w:type="dxa"/>
              <w:left w:w="108" w:type="dxa"/>
              <w:bottom w:w="0" w:type="dxa"/>
              <w:right w:w="108" w:type="dxa"/>
            </w:tcMar>
          </w:tcPr>
          <w:p w14:paraId="258A3069" w14:textId="77777777" w:rsidR="00422EFE" w:rsidRPr="00261B7A" w:rsidRDefault="00422EFE" w:rsidP="00D41492">
            <w:pPr>
              <w:pStyle w:val="TableText"/>
              <w:spacing w:before="40" w:after="40"/>
            </w:pPr>
            <w:r w:rsidRPr="00261B7A">
              <w:rPr>
                <w:rFonts w:eastAsia="Calibri"/>
                <w:color w:val="000000"/>
              </w:rPr>
              <w:t>Beca Infrastructure Ltd (unpublished)</w:t>
            </w:r>
          </w:p>
        </w:tc>
      </w:tr>
      <w:tr w:rsidR="00422EFE" w:rsidRPr="00261B7A" w14:paraId="03D2CE60" w14:textId="77777777" w:rsidTr="00D41492">
        <w:tc>
          <w:tcPr>
            <w:tcW w:w="2977" w:type="dxa"/>
            <w:shd w:val="clear" w:color="auto" w:fill="FFFFFF"/>
            <w:tcMar>
              <w:top w:w="0" w:type="dxa"/>
              <w:left w:w="108" w:type="dxa"/>
              <w:bottom w:w="0" w:type="dxa"/>
              <w:right w:w="108" w:type="dxa"/>
            </w:tcMar>
          </w:tcPr>
          <w:p w14:paraId="7DA31441" w14:textId="77777777" w:rsidR="00422EFE" w:rsidRPr="00261B7A" w:rsidRDefault="00422EFE" w:rsidP="00D41492">
            <w:pPr>
              <w:pStyle w:val="TableText"/>
              <w:spacing w:before="40" w:after="40"/>
            </w:pPr>
            <w:r w:rsidRPr="00261B7A">
              <w:rPr>
                <w:rFonts w:eastAsia="Calibri"/>
                <w:color w:val="000000"/>
              </w:rPr>
              <w:t>Correction factor for BOD</w:t>
            </w:r>
          </w:p>
        </w:tc>
        <w:tc>
          <w:tcPr>
            <w:tcW w:w="1661" w:type="dxa"/>
            <w:shd w:val="clear" w:color="auto" w:fill="FFFFFF"/>
            <w:tcMar>
              <w:top w:w="0" w:type="dxa"/>
              <w:left w:w="108" w:type="dxa"/>
              <w:bottom w:w="0" w:type="dxa"/>
              <w:right w:w="108" w:type="dxa"/>
            </w:tcMar>
          </w:tcPr>
          <w:p w14:paraId="744D0AA7" w14:textId="77777777" w:rsidR="00422EFE" w:rsidRPr="00261B7A" w:rsidRDefault="00422EFE" w:rsidP="00D41492">
            <w:pPr>
              <w:pStyle w:val="TableText"/>
              <w:spacing w:before="40" w:after="40"/>
            </w:pPr>
            <w:r w:rsidRPr="00261B7A">
              <w:rPr>
                <w:rFonts w:eastAsia="Calibri"/>
                <w:color w:val="000000"/>
              </w:rPr>
              <w:t>Range of 1.0–14.9</w:t>
            </w:r>
          </w:p>
        </w:tc>
        <w:tc>
          <w:tcPr>
            <w:tcW w:w="1599" w:type="dxa"/>
            <w:shd w:val="clear" w:color="auto" w:fill="FFFFFF"/>
            <w:tcMar>
              <w:top w:w="0" w:type="dxa"/>
              <w:left w:w="108" w:type="dxa"/>
              <w:bottom w:w="0" w:type="dxa"/>
              <w:right w:w="108" w:type="dxa"/>
            </w:tcMar>
          </w:tcPr>
          <w:p w14:paraId="4A9EB169" w14:textId="77777777" w:rsidR="00422EFE" w:rsidRPr="00261B7A" w:rsidRDefault="00422EFE" w:rsidP="00D41492">
            <w:pPr>
              <w:pStyle w:val="TableText"/>
              <w:spacing w:before="40" w:after="40"/>
            </w:pPr>
            <w:r w:rsidRPr="00261B7A">
              <w:rPr>
                <w:rFonts w:eastAsia="Calibri"/>
                <w:color w:val="000000"/>
              </w:rPr>
              <w:t>New Zealand specific</w:t>
            </w:r>
          </w:p>
        </w:tc>
        <w:tc>
          <w:tcPr>
            <w:tcW w:w="2268" w:type="dxa"/>
            <w:shd w:val="clear" w:color="auto" w:fill="FFFFFF"/>
            <w:tcMar>
              <w:top w:w="0" w:type="dxa"/>
              <w:left w:w="108" w:type="dxa"/>
              <w:bottom w:w="0" w:type="dxa"/>
              <w:right w:w="108" w:type="dxa"/>
            </w:tcMar>
          </w:tcPr>
          <w:p w14:paraId="4508F604" w14:textId="77777777" w:rsidR="00422EFE" w:rsidRPr="00261B7A" w:rsidRDefault="00422EFE" w:rsidP="00D41492">
            <w:pPr>
              <w:pStyle w:val="TableText"/>
              <w:spacing w:before="40" w:after="40"/>
            </w:pPr>
            <w:r w:rsidRPr="00261B7A">
              <w:rPr>
                <w:rFonts w:eastAsia="Calibri"/>
                <w:color w:val="000000"/>
              </w:rPr>
              <w:t>Beca Infrastructure Ltd (unpublished)</w:t>
            </w:r>
          </w:p>
        </w:tc>
      </w:tr>
      <w:tr w:rsidR="00422EFE" w:rsidRPr="00261B7A" w14:paraId="7DA09A15" w14:textId="77777777" w:rsidTr="00D41492">
        <w:tc>
          <w:tcPr>
            <w:tcW w:w="2977" w:type="dxa"/>
            <w:shd w:val="clear" w:color="auto" w:fill="FFFFFF"/>
            <w:tcMar>
              <w:top w:w="0" w:type="dxa"/>
              <w:left w:w="108" w:type="dxa"/>
              <w:bottom w:w="0" w:type="dxa"/>
              <w:right w:w="108" w:type="dxa"/>
            </w:tcMar>
          </w:tcPr>
          <w:p w14:paraId="4943E0F6" w14:textId="77777777" w:rsidR="00422EFE" w:rsidRPr="00261B7A" w:rsidRDefault="00422EFE" w:rsidP="00D41492">
            <w:pPr>
              <w:pStyle w:val="TableText"/>
              <w:spacing w:before="40" w:after="40"/>
            </w:pPr>
            <w:r w:rsidRPr="00261B7A">
              <w:rPr>
                <w:rFonts w:eastAsia="Calibri"/>
                <w:color w:val="000000"/>
              </w:rPr>
              <w:t>Maximum methane-producing capacity (kg CH₄/kg BOD)</w:t>
            </w:r>
          </w:p>
        </w:tc>
        <w:tc>
          <w:tcPr>
            <w:tcW w:w="1661" w:type="dxa"/>
            <w:shd w:val="clear" w:color="auto" w:fill="FFFFFF"/>
            <w:tcMar>
              <w:top w:w="0" w:type="dxa"/>
              <w:left w:w="108" w:type="dxa"/>
              <w:bottom w:w="0" w:type="dxa"/>
              <w:right w:w="108" w:type="dxa"/>
            </w:tcMar>
          </w:tcPr>
          <w:p w14:paraId="4C1A1E06" w14:textId="77777777" w:rsidR="00422EFE" w:rsidRPr="00261B7A" w:rsidRDefault="00422EFE" w:rsidP="00D41492">
            <w:pPr>
              <w:pStyle w:val="TableText"/>
              <w:spacing w:before="40" w:after="40"/>
            </w:pPr>
            <w:r w:rsidRPr="00261B7A">
              <w:rPr>
                <w:rFonts w:eastAsia="Calibri"/>
                <w:color w:val="000000"/>
              </w:rPr>
              <w:t>0.625</w:t>
            </w:r>
          </w:p>
        </w:tc>
        <w:tc>
          <w:tcPr>
            <w:tcW w:w="1599" w:type="dxa"/>
            <w:shd w:val="clear" w:color="auto" w:fill="FFFFFF"/>
            <w:tcMar>
              <w:top w:w="0" w:type="dxa"/>
              <w:left w:w="108" w:type="dxa"/>
              <w:bottom w:w="0" w:type="dxa"/>
              <w:right w:w="108" w:type="dxa"/>
            </w:tcMar>
          </w:tcPr>
          <w:p w14:paraId="20FEB229" w14:textId="77777777" w:rsidR="00422EFE" w:rsidRPr="00261B7A" w:rsidRDefault="00422EFE" w:rsidP="00D41492">
            <w:pPr>
              <w:pStyle w:val="TableText"/>
              <w:spacing w:before="40" w:after="40"/>
            </w:pPr>
            <w:r w:rsidRPr="00261B7A">
              <w:rPr>
                <w:rFonts w:eastAsia="Calibri"/>
                <w:color w:val="000000"/>
              </w:rPr>
              <w:t>New Zealand specific</w:t>
            </w:r>
          </w:p>
        </w:tc>
        <w:tc>
          <w:tcPr>
            <w:tcW w:w="2268" w:type="dxa"/>
            <w:shd w:val="clear" w:color="auto" w:fill="FFFFFF"/>
            <w:tcMar>
              <w:top w:w="0" w:type="dxa"/>
              <w:left w:w="108" w:type="dxa"/>
              <w:bottom w:w="0" w:type="dxa"/>
              <w:right w:w="108" w:type="dxa"/>
            </w:tcMar>
          </w:tcPr>
          <w:p w14:paraId="66058A89" w14:textId="77777777" w:rsidR="00422EFE" w:rsidRPr="00261B7A" w:rsidRDefault="00422EFE" w:rsidP="00D41492">
            <w:pPr>
              <w:pStyle w:val="TableText"/>
              <w:spacing w:before="40" w:after="40"/>
            </w:pPr>
            <w:r w:rsidRPr="00261B7A">
              <w:rPr>
                <w:rFonts w:eastAsia="Calibri"/>
                <w:color w:val="000000"/>
              </w:rPr>
              <w:t>SCS Wetherill Environmental (unpublished)</w:t>
            </w:r>
          </w:p>
        </w:tc>
      </w:tr>
    </w:tbl>
    <w:p w14:paraId="1544228D" w14:textId="77777777" w:rsidR="00422EFE" w:rsidRPr="00261B7A" w:rsidRDefault="00422EFE" w:rsidP="00422EFE">
      <w:pPr>
        <w:pStyle w:val="Noteundertable"/>
      </w:pPr>
      <w:r w:rsidRPr="00261B7A">
        <w:rPr>
          <w:b/>
          <w:bCs/>
        </w:rPr>
        <w:t>Note:</w:t>
      </w:r>
      <w:r w:rsidRPr="00261B7A">
        <w:t xml:space="preserve"> </w:t>
      </w:r>
      <w:r w:rsidRPr="00261B7A">
        <w:tab/>
        <w:t>BOD = biochemical oxygen demand.</w:t>
      </w:r>
    </w:p>
    <w:p w14:paraId="71EE25B4" w14:textId="77777777" w:rsidR="00422EFE" w:rsidRPr="00261B7A" w:rsidRDefault="00422EFE" w:rsidP="00CE2D16">
      <w:pPr>
        <w:pStyle w:val="Heading6"/>
      </w:pPr>
      <w:bookmarkStart w:id="2574" w:name="X698e3d1972339c976269d4c73c660df246dc4e1"/>
      <w:bookmarkEnd w:id="2571"/>
      <w:r w:rsidRPr="00261B7A">
        <w:t>Methane correction factors for handling systems</w:t>
      </w:r>
    </w:p>
    <w:p w14:paraId="58296A38" w14:textId="77777777" w:rsidR="00422EFE" w:rsidRPr="00261B7A" w:rsidRDefault="00422EFE" w:rsidP="00434575">
      <w:pPr>
        <w:pStyle w:val="BodyText"/>
        <w:spacing w:before="80" w:after="100"/>
      </w:pPr>
      <w:r w:rsidRPr="00261B7A">
        <w:t>Methane correction factors for the different handling systems in New Zealand were estimated by SCS Wetherill Environmental (unpublished). These factors range from zero up to 0.65 for the different types of anaerobic treatment. The different treatment types are added together, weighted by the population for each type of treatment, to give an aggregated CH</w:t>
      </w:r>
      <w:r w:rsidRPr="00261B7A">
        <w:rPr>
          <w:vertAlign w:val="subscript"/>
        </w:rPr>
        <w:t>4</w:t>
      </w:r>
      <w:r w:rsidRPr="00261B7A">
        <w:t xml:space="preserve"> correction factor ranging between 0.032 and 0.043. Table 7.5.2 shows the aggregate CH</w:t>
      </w:r>
      <w:r w:rsidRPr="00261B7A">
        <w:rPr>
          <w:vertAlign w:val="subscript"/>
        </w:rPr>
        <w:t>4</w:t>
      </w:r>
      <w:r w:rsidRPr="00261B7A">
        <w:t xml:space="preserve"> correction factor applied across the time series.</w:t>
      </w:r>
    </w:p>
    <w:p w14:paraId="47DCBBB0" w14:textId="77777777" w:rsidR="00422EFE" w:rsidRPr="00261B7A" w:rsidRDefault="00422EFE" w:rsidP="00CE2D16">
      <w:pPr>
        <w:pStyle w:val="Heading6"/>
      </w:pPr>
      <w:bookmarkStart w:id="2575" w:name="adjustments-to-biochemical-oxygen-demand"/>
      <w:bookmarkEnd w:id="2574"/>
      <w:r w:rsidRPr="00261B7A">
        <w:t>Adjustments to biochemical oxygen demand</w:t>
      </w:r>
    </w:p>
    <w:p w14:paraId="7A192481" w14:textId="191D26CA" w:rsidR="00422EFE" w:rsidRPr="00261B7A" w:rsidRDefault="00422EFE" w:rsidP="00422EFE">
      <w:pPr>
        <w:pStyle w:val="BodyText"/>
        <w:spacing w:before="100" w:after="100"/>
      </w:pPr>
      <w:r w:rsidRPr="00261B7A">
        <w:t>New Zealand uses a value of 26 kilograms biochemical oxygen demand (BOD) per person per year. This is equivalent to the IPCC high-range default value for the Oceania region of about 70 grams per person per day (IPCC, 2006a). This value has been determined as a typical value</w:t>
      </w:r>
      <w:r w:rsidR="00AC36B0" w:rsidRPr="00261B7A">
        <w:t> </w:t>
      </w:r>
      <w:r w:rsidRPr="00261B7A">
        <w:t>for wastewater treatment methods adopted in New Zealand (Beca Infrastructure Ltd, unpublished).</w:t>
      </w:r>
    </w:p>
    <w:p w14:paraId="319A5356" w14:textId="77777777" w:rsidR="00422EFE" w:rsidRPr="00261B7A" w:rsidRDefault="00422EFE" w:rsidP="00422EFE">
      <w:pPr>
        <w:pStyle w:val="BodyText"/>
        <w:spacing w:before="100" w:after="100"/>
      </w:pPr>
      <w:r w:rsidRPr="00261B7A">
        <w:t>This value has been increased by 25 per cent for most treatment plants, to allow for the additional wastewater that they take from commercial and industrial activity within the municipal area. Ten of the treatment plants have been identified as accepting much larger amounts of industrial and/or commercial wastewater. The correction factor for BOD for these plants ranges from 77 per cent to 1,390 per cent above the amount of domestic wastewater (Beca Infrastructure Ltd, unpublished). No adjustment to the BOD is made for septic tanks.</w:t>
      </w:r>
    </w:p>
    <w:p w14:paraId="087BE86E" w14:textId="77777777" w:rsidR="00422EFE" w:rsidRPr="00261B7A" w:rsidRDefault="00422EFE" w:rsidP="00CE2D16">
      <w:pPr>
        <w:pStyle w:val="Heading6"/>
      </w:pPr>
      <w:bookmarkStart w:id="2576" w:name="recovery"/>
      <w:bookmarkEnd w:id="2575"/>
      <w:r w:rsidRPr="00261B7A">
        <w:t>Recovery</w:t>
      </w:r>
    </w:p>
    <w:p w14:paraId="149083CE" w14:textId="77777777" w:rsidR="00422EFE" w:rsidRPr="00261B7A" w:rsidRDefault="00422EFE" w:rsidP="00422EFE">
      <w:pPr>
        <w:pStyle w:val="BodyText"/>
        <w:spacing w:before="100" w:after="100"/>
      </w:pPr>
      <w:r w:rsidRPr="00261B7A">
        <w:t>Methane removal via flaring or for energy production is known to occur at eight plants in New Zealand. All CH</w:t>
      </w:r>
      <w:r w:rsidRPr="00261B7A">
        <w:rPr>
          <w:vertAlign w:val="subscript"/>
        </w:rPr>
        <w:t>4</w:t>
      </w:r>
      <w:r w:rsidRPr="00261B7A">
        <w:t xml:space="preserve"> generated at these plants is flared or used for energy production and, consequently, there are no reported CH</w:t>
      </w:r>
      <w:r w:rsidRPr="00261B7A">
        <w:rPr>
          <w:vertAlign w:val="subscript"/>
        </w:rPr>
        <w:t>4</w:t>
      </w:r>
      <w:r w:rsidRPr="00261B7A">
        <w:t xml:space="preserve"> emissions for those plants (Beca Infrastructure Ltd, unpublished).</w:t>
      </w:r>
    </w:p>
    <w:p w14:paraId="071D2006" w14:textId="77777777" w:rsidR="00422EFE" w:rsidRPr="00261B7A" w:rsidRDefault="00422EFE" w:rsidP="00422EFE">
      <w:pPr>
        <w:pStyle w:val="Heading5"/>
      </w:pPr>
      <w:bookmarkStart w:id="2577" w:name="X6df5e7359f7d9ea7bbeae025ed840ba1935ac6e"/>
      <w:bookmarkEnd w:id="2570"/>
      <w:bookmarkEnd w:id="2576"/>
      <w:r w:rsidRPr="00261B7A">
        <w:t>Nitrous oxide emissions from domestic wastewater</w:t>
      </w:r>
    </w:p>
    <w:p w14:paraId="036243C6" w14:textId="77777777" w:rsidR="00422EFE" w:rsidRPr="00261B7A" w:rsidRDefault="00422EFE" w:rsidP="00422EFE">
      <w:pPr>
        <w:pStyle w:val="BodyText"/>
      </w:pPr>
      <w:r w:rsidRPr="00261B7A">
        <w:t>Table 7.5.7 summarises the parameter values applied for estimating N</w:t>
      </w:r>
      <w:r w:rsidRPr="00261B7A">
        <w:rPr>
          <w:vertAlign w:val="subscript"/>
        </w:rPr>
        <w:t>2</w:t>
      </w:r>
      <w:r w:rsidRPr="00261B7A">
        <w:t>O emissions from domestic and commercial wastewater treatment.</w:t>
      </w:r>
    </w:p>
    <w:p w14:paraId="6BCEC23E" w14:textId="77777777" w:rsidR="00422EFE" w:rsidRPr="00261B7A" w:rsidRDefault="00422EFE" w:rsidP="00422EFE">
      <w:pPr>
        <w:pStyle w:val="Table"/>
      </w:pPr>
      <w:bookmarkStart w:id="2578" w:name="_Toc128383685"/>
      <w:bookmarkStart w:id="2579" w:name="_Toc131591458"/>
      <w:r w:rsidRPr="00261B7A">
        <w:t xml:space="preserve">Table 7.5.7 </w:t>
      </w:r>
      <w:r w:rsidRPr="00261B7A">
        <w:tab/>
        <w:t>Parameter values applied by New Zealand for estimating nitrous oxide emissions from domestic and commercial wastewater treatment</w:t>
      </w:r>
      <w:bookmarkEnd w:id="2578"/>
      <w:bookmarkEnd w:id="2579"/>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111"/>
        <w:gridCol w:w="851"/>
        <w:gridCol w:w="1701"/>
        <w:gridCol w:w="1842"/>
      </w:tblGrid>
      <w:tr w:rsidR="00422EFE" w:rsidRPr="00261B7A" w14:paraId="79C2E864" w14:textId="77777777" w:rsidTr="00D41492">
        <w:trPr>
          <w:tblHeader/>
        </w:trPr>
        <w:tc>
          <w:tcPr>
            <w:tcW w:w="4111" w:type="dxa"/>
            <w:shd w:val="clear" w:color="auto" w:fill="1B556B"/>
            <w:tcMar>
              <w:top w:w="0" w:type="dxa"/>
              <w:left w:w="108" w:type="dxa"/>
              <w:bottom w:w="0" w:type="dxa"/>
              <w:right w:w="108" w:type="dxa"/>
            </w:tcMar>
          </w:tcPr>
          <w:p w14:paraId="75FEB104"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Parameter</w:t>
            </w:r>
          </w:p>
        </w:tc>
        <w:tc>
          <w:tcPr>
            <w:tcW w:w="851" w:type="dxa"/>
            <w:shd w:val="clear" w:color="auto" w:fill="1B556B"/>
            <w:tcMar>
              <w:top w:w="0" w:type="dxa"/>
              <w:left w:w="108" w:type="dxa"/>
              <w:bottom w:w="0" w:type="dxa"/>
              <w:right w:w="108" w:type="dxa"/>
            </w:tcMar>
          </w:tcPr>
          <w:p w14:paraId="46D9E741"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Value</w:t>
            </w:r>
          </w:p>
        </w:tc>
        <w:tc>
          <w:tcPr>
            <w:tcW w:w="1701" w:type="dxa"/>
            <w:shd w:val="clear" w:color="auto" w:fill="1B556B"/>
            <w:tcMar>
              <w:top w:w="0" w:type="dxa"/>
              <w:left w:w="108" w:type="dxa"/>
              <w:bottom w:w="0" w:type="dxa"/>
              <w:right w:w="108" w:type="dxa"/>
            </w:tcMar>
          </w:tcPr>
          <w:p w14:paraId="30898BBF"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Source</w:t>
            </w:r>
          </w:p>
        </w:tc>
        <w:tc>
          <w:tcPr>
            <w:tcW w:w="1842" w:type="dxa"/>
            <w:shd w:val="clear" w:color="auto" w:fill="1B556B"/>
            <w:tcMar>
              <w:top w:w="0" w:type="dxa"/>
              <w:left w:w="108" w:type="dxa"/>
              <w:bottom w:w="0" w:type="dxa"/>
              <w:right w:w="108" w:type="dxa"/>
            </w:tcMar>
          </w:tcPr>
          <w:p w14:paraId="27C2DDC7"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Reference</w:t>
            </w:r>
          </w:p>
        </w:tc>
      </w:tr>
      <w:tr w:rsidR="00422EFE" w:rsidRPr="00261B7A" w14:paraId="6E116F75" w14:textId="77777777" w:rsidTr="00D41492">
        <w:tc>
          <w:tcPr>
            <w:tcW w:w="4111" w:type="dxa"/>
            <w:shd w:val="clear" w:color="auto" w:fill="FFFFFF"/>
            <w:tcMar>
              <w:top w:w="0" w:type="dxa"/>
              <w:left w:w="108" w:type="dxa"/>
              <w:bottom w:w="0" w:type="dxa"/>
              <w:right w:w="108" w:type="dxa"/>
            </w:tcMar>
          </w:tcPr>
          <w:p w14:paraId="455A4102" w14:textId="77777777" w:rsidR="00422EFE" w:rsidRPr="00261B7A" w:rsidRDefault="00422EFE" w:rsidP="00D41492">
            <w:pPr>
              <w:pStyle w:val="TableText"/>
              <w:spacing w:before="40" w:after="40"/>
            </w:pPr>
            <w:r w:rsidRPr="00261B7A">
              <w:rPr>
                <w:rFonts w:eastAsia="Calibri"/>
                <w:color w:val="000000"/>
              </w:rPr>
              <w:t>Per capita protein consumption (kg/person/year)</w:t>
            </w:r>
          </w:p>
        </w:tc>
        <w:tc>
          <w:tcPr>
            <w:tcW w:w="851" w:type="dxa"/>
            <w:shd w:val="clear" w:color="auto" w:fill="FFFFFF"/>
            <w:tcMar>
              <w:top w:w="0" w:type="dxa"/>
              <w:left w:w="108" w:type="dxa"/>
              <w:bottom w:w="0" w:type="dxa"/>
              <w:right w:w="108" w:type="dxa"/>
            </w:tcMar>
          </w:tcPr>
          <w:p w14:paraId="327CCD28" w14:textId="77777777" w:rsidR="00422EFE" w:rsidRPr="00261B7A" w:rsidRDefault="00422EFE" w:rsidP="00D41492">
            <w:pPr>
              <w:pStyle w:val="TableText"/>
              <w:spacing w:before="40" w:after="40"/>
            </w:pPr>
            <w:r w:rsidRPr="00261B7A">
              <w:rPr>
                <w:rFonts w:eastAsia="Calibri"/>
                <w:color w:val="000000"/>
              </w:rPr>
              <w:t>36.135</w:t>
            </w:r>
          </w:p>
        </w:tc>
        <w:tc>
          <w:tcPr>
            <w:tcW w:w="1701" w:type="dxa"/>
            <w:shd w:val="clear" w:color="auto" w:fill="FFFFFF"/>
            <w:tcMar>
              <w:top w:w="0" w:type="dxa"/>
              <w:left w:w="108" w:type="dxa"/>
              <w:bottom w:w="0" w:type="dxa"/>
              <w:right w:w="108" w:type="dxa"/>
            </w:tcMar>
          </w:tcPr>
          <w:p w14:paraId="78D752CA" w14:textId="77777777" w:rsidR="00422EFE" w:rsidRPr="00261B7A" w:rsidRDefault="00422EFE" w:rsidP="00D41492">
            <w:pPr>
              <w:pStyle w:val="TableText"/>
              <w:spacing w:before="40" w:after="40"/>
            </w:pPr>
            <w:r w:rsidRPr="00261B7A">
              <w:rPr>
                <w:rFonts w:eastAsia="Calibri"/>
                <w:color w:val="000000"/>
              </w:rPr>
              <w:t>New Zealand specific</w:t>
            </w:r>
          </w:p>
        </w:tc>
        <w:tc>
          <w:tcPr>
            <w:tcW w:w="1842" w:type="dxa"/>
            <w:shd w:val="clear" w:color="auto" w:fill="FFFFFF"/>
            <w:tcMar>
              <w:top w:w="0" w:type="dxa"/>
              <w:left w:w="108" w:type="dxa"/>
              <w:bottom w:w="0" w:type="dxa"/>
              <w:right w:w="108" w:type="dxa"/>
            </w:tcMar>
          </w:tcPr>
          <w:p w14:paraId="779018B9" w14:textId="77777777" w:rsidR="00422EFE" w:rsidRPr="00261B7A" w:rsidRDefault="00422EFE" w:rsidP="00D41492">
            <w:pPr>
              <w:pStyle w:val="TableText"/>
              <w:spacing w:before="40" w:after="40"/>
            </w:pPr>
            <w:r w:rsidRPr="00261B7A">
              <w:rPr>
                <w:rFonts w:eastAsia="Calibri"/>
                <w:color w:val="000000"/>
              </w:rPr>
              <w:t>Beca Infrastructure Ltd (unpublished)</w:t>
            </w:r>
          </w:p>
        </w:tc>
      </w:tr>
      <w:tr w:rsidR="00422EFE" w:rsidRPr="00261B7A" w14:paraId="00B36B38" w14:textId="77777777" w:rsidTr="00D41492">
        <w:tc>
          <w:tcPr>
            <w:tcW w:w="4111" w:type="dxa"/>
            <w:shd w:val="clear" w:color="auto" w:fill="FFFFFF"/>
            <w:tcMar>
              <w:top w:w="0" w:type="dxa"/>
              <w:left w:w="108" w:type="dxa"/>
              <w:bottom w:w="0" w:type="dxa"/>
              <w:right w:w="108" w:type="dxa"/>
            </w:tcMar>
          </w:tcPr>
          <w:p w14:paraId="2DEDDE41" w14:textId="77777777" w:rsidR="00422EFE" w:rsidRPr="00261B7A" w:rsidRDefault="00422EFE" w:rsidP="00D41492">
            <w:pPr>
              <w:pStyle w:val="TableText"/>
              <w:spacing w:before="40" w:after="40"/>
            </w:pPr>
            <w:r w:rsidRPr="00261B7A">
              <w:rPr>
                <w:rFonts w:eastAsia="Calibri"/>
                <w:color w:val="000000"/>
              </w:rPr>
              <w:t>Fraction of nitrogen in protein</w:t>
            </w:r>
          </w:p>
        </w:tc>
        <w:tc>
          <w:tcPr>
            <w:tcW w:w="851" w:type="dxa"/>
            <w:shd w:val="clear" w:color="auto" w:fill="FFFFFF"/>
            <w:tcMar>
              <w:top w:w="0" w:type="dxa"/>
              <w:left w:w="108" w:type="dxa"/>
              <w:bottom w:w="0" w:type="dxa"/>
              <w:right w:w="108" w:type="dxa"/>
            </w:tcMar>
          </w:tcPr>
          <w:p w14:paraId="19743C1B" w14:textId="77777777" w:rsidR="00422EFE" w:rsidRPr="00261B7A" w:rsidRDefault="00422EFE" w:rsidP="00D41492">
            <w:pPr>
              <w:pStyle w:val="TableText"/>
              <w:spacing w:before="40" w:after="40"/>
            </w:pPr>
            <w:r w:rsidRPr="00261B7A">
              <w:rPr>
                <w:rFonts w:eastAsia="Calibri"/>
                <w:color w:val="000000"/>
              </w:rPr>
              <w:t>0.16</w:t>
            </w:r>
          </w:p>
        </w:tc>
        <w:tc>
          <w:tcPr>
            <w:tcW w:w="1701" w:type="dxa"/>
            <w:shd w:val="clear" w:color="auto" w:fill="FFFFFF"/>
            <w:tcMar>
              <w:top w:w="0" w:type="dxa"/>
              <w:left w:w="108" w:type="dxa"/>
              <w:bottom w:w="0" w:type="dxa"/>
              <w:right w:w="108" w:type="dxa"/>
            </w:tcMar>
          </w:tcPr>
          <w:p w14:paraId="1B329F25" w14:textId="77777777" w:rsidR="00422EFE" w:rsidRPr="00261B7A" w:rsidRDefault="00422EFE" w:rsidP="00D41492">
            <w:pPr>
              <w:pStyle w:val="TableText"/>
              <w:spacing w:before="40" w:after="40"/>
            </w:pPr>
            <w:r w:rsidRPr="00261B7A">
              <w:rPr>
                <w:rFonts w:eastAsia="Calibri"/>
                <w:color w:val="000000"/>
              </w:rPr>
              <w:t>IPCC default</w:t>
            </w:r>
          </w:p>
        </w:tc>
        <w:tc>
          <w:tcPr>
            <w:tcW w:w="1842" w:type="dxa"/>
            <w:shd w:val="clear" w:color="auto" w:fill="FFFFFF"/>
            <w:tcMar>
              <w:top w:w="0" w:type="dxa"/>
              <w:left w:w="108" w:type="dxa"/>
              <w:bottom w:w="0" w:type="dxa"/>
              <w:right w:w="108" w:type="dxa"/>
            </w:tcMar>
          </w:tcPr>
          <w:p w14:paraId="000FFEED" w14:textId="77777777" w:rsidR="00422EFE" w:rsidRPr="00261B7A" w:rsidRDefault="00422EFE" w:rsidP="00D41492">
            <w:pPr>
              <w:pStyle w:val="TableText"/>
              <w:spacing w:before="40" w:after="40"/>
            </w:pPr>
            <w:r w:rsidRPr="00261B7A">
              <w:rPr>
                <w:rFonts w:eastAsia="Calibri"/>
                <w:color w:val="000000"/>
              </w:rPr>
              <w:t>IPCC (2006a)</w:t>
            </w:r>
          </w:p>
        </w:tc>
      </w:tr>
      <w:tr w:rsidR="00422EFE" w:rsidRPr="00261B7A" w14:paraId="45AF7A92" w14:textId="77777777" w:rsidTr="00D41492">
        <w:tc>
          <w:tcPr>
            <w:tcW w:w="4111" w:type="dxa"/>
            <w:shd w:val="clear" w:color="auto" w:fill="FFFFFF"/>
            <w:tcMar>
              <w:top w:w="0" w:type="dxa"/>
              <w:left w:w="108" w:type="dxa"/>
              <w:bottom w:w="0" w:type="dxa"/>
              <w:right w:w="108" w:type="dxa"/>
            </w:tcMar>
          </w:tcPr>
          <w:p w14:paraId="7E2501C2" w14:textId="77777777" w:rsidR="00422EFE" w:rsidRPr="00261B7A" w:rsidRDefault="00422EFE" w:rsidP="00D41492">
            <w:pPr>
              <w:pStyle w:val="TableText"/>
              <w:spacing w:before="40" w:after="40"/>
            </w:pPr>
            <w:r w:rsidRPr="00261B7A">
              <w:rPr>
                <w:rFonts w:eastAsia="Calibri"/>
                <w:color w:val="000000"/>
              </w:rPr>
              <w:t>Fraction of non-consumed protein</w:t>
            </w:r>
          </w:p>
        </w:tc>
        <w:tc>
          <w:tcPr>
            <w:tcW w:w="851" w:type="dxa"/>
            <w:shd w:val="clear" w:color="auto" w:fill="FFFFFF"/>
            <w:tcMar>
              <w:top w:w="0" w:type="dxa"/>
              <w:left w:w="108" w:type="dxa"/>
              <w:bottom w:w="0" w:type="dxa"/>
              <w:right w:w="108" w:type="dxa"/>
            </w:tcMar>
          </w:tcPr>
          <w:p w14:paraId="6CC162BB" w14:textId="77777777" w:rsidR="00422EFE" w:rsidRPr="00261B7A" w:rsidRDefault="00422EFE" w:rsidP="00D41492">
            <w:pPr>
              <w:pStyle w:val="TableText"/>
              <w:spacing w:before="40" w:after="40"/>
            </w:pPr>
            <w:r w:rsidRPr="00261B7A">
              <w:rPr>
                <w:rFonts w:eastAsia="Calibri"/>
                <w:color w:val="000000"/>
              </w:rPr>
              <w:t>1.4</w:t>
            </w:r>
          </w:p>
        </w:tc>
        <w:tc>
          <w:tcPr>
            <w:tcW w:w="1701" w:type="dxa"/>
            <w:shd w:val="clear" w:color="auto" w:fill="FFFFFF"/>
            <w:tcMar>
              <w:top w:w="0" w:type="dxa"/>
              <w:left w:w="108" w:type="dxa"/>
              <w:bottom w:w="0" w:type="dxa"/>
              <w:right w:w="108" w:type="dxa"/>
            </w:tcMar>
          </w:tcPr>
          <w:p w14:paraId="51F5A096" w14:textId="77777777" w:rsidR="00422EFE" w:rsidRPr="00261B7A" w:rsidRDefault="00422EFE" w:rsidP="00D41492">
            <w:pPr>
              <w:pStyle w:val="TableText"/>
              <w:spacing w:before="40" w:after="40"/>
            </w:pPr>
            <w:r w:rsidRPr="00261B7A">
              <w:rPr>
                <w:rFonts w:eastAsia="Calibri"/>
                <w:color w:val="000000"/>
              </w:rPr>
              <w:t>IPCC default</w:t>
            </w:r>
          </w:p>
        </w:tc>
        <w:tc>
          <w:tcPr>
            <w:tcW w:w="1842" w:type="dxa"/>
            <w:shd w:val="clear" w:color="auto" w:fill="FFFFFF"/>
            <w:tcMar>
              <w:top w:w="0" w:type="dxa"/>
              <w:left w:w="108" w:type="dxa"/>
              <w:bottom w:w="0" w:type="dxa"/>
              <w:right w:w="108" w:type="dxa"/>
            </w:tcMar>
          </w:tcPr>
          <w:p w14:paraId="571E6FAF" w14:textId="77777777" w:rsidR="00422EFE" w:rsidRPr="00261B7A" w:rsidRDefault="00422EFE" w:rsidP="00D41492">
            <w:pPr>
              <w:pStyle w:val="TableText"/>
              <w:spacing w:before="40" w:after="40"/>
            </w:pPr>
            <w:r w:rsidRPr="00261B7A">
              <w:rPr>
                <w:rFonts w:eastAsia="Calibri"/>
                <w:color w:val="000000"/>
              </w:rPr>
              <w:t>IPCC (2006a)</w:t>
            </w:r>
          </w:p>
        </w:tc>
      </w:tr>
      <w:tr w:rsidR="00422EFE" w:rsidRPr="00261B7A" w14:paraId="2600BEC1" w14:textId="77777777" w:rsidTr="00D41492">
        <w:tc>
          <w:tcPr>
            <w:tcW w:w="4111" w:type="dxa"/>
            <w:shd w:val="clear" w:color="auto" w:fill="FFFFFF"/>
            <w:tcMar>
              <w:top w:w="0" w:type="dxa"/>
              <w:left w:w="108" w:type="dxa"/>
              <w:bottom w:w="0" w:type="dxa"/>
              <w:right w:w="108" w:type="dxa"/>
            </w:tcMar>
          </w:tcPr>
          <w:p w14:paraId="77FDFF63" w14:textId="77777777" w:rsidR="00422EFE" w:rsidRPr="00261B7A" w:rsidRDefault="00422EFE" w:rsidP="00D41492">
            <w:pPr>
              <w:pStyle w:val="TableText"/>
              <w:spacing w:before="40" w:after="40"/>
            </w:pPr>
            <w:r w:rsidRPr="00261B7A">
              <w:rPr>
                <w:rFonts w:eastAsia="Calibri"/>
                <w:color w:val="000000"/>
              </w:rPr>
              <w:t>Fraction of industrial and commercial co</w:t>
            </w:r>
            <w:r w:rsidRPr="00261B7A">
              <w:rPr>
                <w:rFonts w:ascii="Cambria Math" w:eastAsia="Calibri" w:hAnsi="Cambria Math" w:cs="Cambria Math"/>
                <w:color w:val="000000"/>
              </w:rPr>
              <w:t>‑</w:t>
            </w:r>
            <w:r w:rsidRPr="00261B7A">
              <w:rPr>
                <w:rFonts w:eastAsia="Calibri"/>
                <w:color w:val="000000"/>
              </w:rPr>
              <w:t>discharged protein</w:t>
            </w:r>
          </w:p>
        </w:tc>
        <w:tc>
          <w:tcPr>
            <w:tcW w:w="851" w:type="dxa"/>
            <w:shd w:val="clear" w:color="auto" w:fill="FFFFFF"/>
            <w:tcMar>
              <w:top w:w="0" w:type="dxa"/>
              <w:left w:w="108" w:type="dxa"/>
              <w:bottom w:w="0" w:type="dxa"/>
              <w:right w:w="108" w:type="dxa"/>
            </w:tcMar>
          </w:tcPr>
          <w:p w14:paraId="663B7CB0" w14:textId="77777777" w:rsidR="00422EFE" w:rsidRPr="00261B7A" w:rsidRDefault="00422EFE" w:rsidP="00D41492">
            <w:pPr>
              <w:pStyle w:val="TableText"/>
              <w:spacing w:before="40" w:after="40"/>
            </w:pPr>
            <w:r w:rsidRPr="00261B7A">
              <w:rPr>
                <w:rFonts w:eastAsia="Calibri"/>
                <w:color w:val="000000"/>
              </w:rPr>
              <w:t>1.25</w:t>
            </w:r>
          </w:p>
        </w:tc>
        <w:tc>
          <w:tcPr>
            <w:tcW w:w="1701" w:type="dxa"/>
            <w:shd w:val="clear" w:color="auto" w:fill="FFFFFF"/>
            <w:tcMar>
              <w:top w:w="0" w:type="dxa"/>
              <w:left w:w="108" w:type="dxa"/>
              <w:bottom w:w="0" w:type="dxa"/>
              <w:right w:w="108" w:type="dxa"/>
            </w:tcMar>
          </w:tcPr>
          <w:p w14:paraId="132B525E" w14:textId="77777777" w:rsidR="00422EFE" w:rsidRPr="00261B7A" w:rsidRDefault="00422EFE" w:rsidP="00D41492">
            <w:pPr>
              <w:pStyle w:val="TableText"/>
              <w:spacing w:before="40" w:after="40"/>
            </w:pPr>
            <w:r w:rsidRPr="00261B7A">
              <w:rPr>
                <w:rFonts w:eastAsia="Calibri"/>
                <w:color w:val="000000"/>
              </w:rPr>
              <w:t>IPCC default</w:t>
            </w:r>
          </w:p>
        </w:tc>
        <w:tc>
          <w:tcPr>
            <w:tcW w:w="1842" w:type="dxa"/>
            <w:shd w:val="clear" w:color="auto" w:fill="FFFFFF"/>
            <w:tcMar>
              <w:top w:w="0" w:type="dxa"/>
              <w:left w:w="108" w:type="dxa"/>
              <w:bottom w:w="0" w:type="dxa"/>
              <w:right w:w="108" w:type="dxa"/>
            </w:tcMar>
          </w:tcPr>
          <w:p w14:paraId="00039F3E" w14:textId="77777777" w:rsidR="00422EFE" w:rsidRPr="00261B7A" w:rsidRDefault="00422EFE" w:rsidP="00D41492">
            <w:pPr>
              <w:pStyle w:val="TableText"/>
              <w:spacing w:before="40" w:after="40"/>
            </w:pPr>
            <w:r w:rsidRPr="00261B7A">
              <w:rPr>
                <w:rFonts w:eastAsia="Calibri"/>
                <w:color w:val="000000"/>
              </w:rPr>
              <w:t>IPCC (2006a)</w:t>
            </w:r>
          </w:p>
        </w:tc>
      </w:tr>
      <w:tr w:rsidR="00422EFE" w:rsidRPr="00261B7A" w14:paraId="6C500828" w14:textId="77777777" w:rsidTr="00D41492">
        <w:tc>
          <w:tcPr>
            <w:tcW w:w="4111" w:type="dxa"/>
            <w:shd w:val="clear" w:color="auto" w:fill="FFFFFF"/>
            <w:tcMar>
              <w:top w:w="0" w:type="dxa"/>
              <w:left w:w="108" w:type="dxa"/>
              <w:bottom w:w="0" w:type="dxa"/>
              <w:right w:w="108" w:type="dxa"/>
            </w:tcMar>
          </w:tcPr>
          <w:p w14:paraId="05A2B28F" w14:textId="77777777" w:rsidR="00422EFE" w:rsidRPr="00261B7A" w:rsidRDefault="00422EFE" w:rsidP="00D41492">
            <w:pPr>
              <w:pStyle w:val="TableText"/>
              <w:spacing w:before="40" w:after="40"/>
            </w:pPr>
            <w:r w:rsidRPr="00261B7A">
              <w:rPr>
                <w:rFonts w:eastAsia="Calibri"/>
                <w:color w:val="000000"/>
              </w:rPr>
              <w:t>Nitrogen removed with sludge (kg)</w:t>
            </w:r>
          </w:p>
        </w:tc>
        <w:tc>
          <w:tcPr>
            <w:tcW w:w="851" w:type="dxa"/>
            <w:shd w:val="clear" w:color="auto" w:fill="FFFFFF"/>
            <w:tcMar>
              <w:top w:w="0" w:type="dxa"/>
              <w:left w:w="108" w:type="dxa"/>
              <w:bottom w:w="0" w:type="dxa"/>
              <w:right w:w="108" w:type="dxa"/>
            </w:tcMar>
          </w:tcPr>
          <w:p w14:paraId="4DA8BAFA" w14:textId="77777777" w:rsidR="00422EFE" w:rsidRPr="00261B7A" w:rsidRDefault="00422EFE" w:rsidP="00D41492">
            <w:pPr>
              <w:pStyle w:val="TableText"/>
              <w:spacing w:before="40" w:after="40"/>
            </w:pPr>
            <w:r w:rsidRPr="00261B7A">
              <w:rPr>
                <w:rFonts w:eastAsia="Calibri"/>
                <w:color w:val="000000"/>
              </w:rPr>
              <w:t>0</w:t>
            </w:r>
          </w:p>
        </w:tc>
        <w:tc>
          <w:tcPr>
            <w:tcW w:w="1701" w:type="dxa"/>
            <w:shd w:val="clear" w:color="auto" w:fill="FFFFFF"/>
            <w:tcMar>
              <w:top w:w="0" w:type="dxa"/>
              <w:left w:w="108" w:type="dxa"/>
              <w:bottom w:w="0" w:type="dxa"/>
              <w:right w:w="108" w:type="dxa"/>
            </w:tcMar>
          </w:tcPr>
          <w:p w14:paraId="5D19F2A8" w14:textId="77777777" w:rsidR="00422EFE" w:rsidRPr="00261B7A" w:rsidRDefault="00422EFE" w:rsidP="00D41492">
            <w:pPr>
              <w:pStyle w:val="TableText"/>
              <w:spacing w:before="40" w:after="40"/>
            </w:pPr>
            <w:r w:rsidRPr="00261B7A">
              <w:rPr>
                <w:rFonts w:eastAsia="Calibri"/>
                <w:color w:val="000000"/>
              </w:rPr>
              <w:t>IPCC default</w:t>
            </w:r>
          </w:p>
        </w:tc>
        <w:tc>
          <w:tcPr>
            <w:tcW w:w="1842" w:type="dxa"/>
            <w:shd w:val="clear" w:color="auto" w:fill="FFFFFF"/>
            <w:tcMar>
              <w:top w:w="0" w:type="dxa"/>
              <w:left w:w="108" w:type="dxa"/>
              <w:bottom w:w="0" w:type="dxa"/>
              <w:right w:w="108" w:type="dxa"/>
            </w:tcMar>
          </w:tcPr>
          <w:p w14:paraId="477EF37E" w14:textId="77777777" w:rsidR="00422EFE" w:rsidRPr="00261B7A" w:rsidRDefault="00422EFE" w:rsidP="00D41492">
            <w:pPr>
              <w:pStyle w:val="TableText"/>
              <w:spacing w:before="40" w:after="40"/>
            </w:pPr>
            <w:r w:rsidRPr="00261B7A">
              <w:rPr>
                <w:rFonts w:eastAsia="Calibri"/>
                <w:color w:val="000000"/>
              </w:rPr>
              <w:t>IPCC (2006a)</w:t>
            </w:r>
          </w:p>
        </w:tc>
      </w:tr>
      <w:tr w:rsidR="00422EFE" w:rsidRPr="00261B7A" w14:paraId="769F0380" w14:textId="77777777" w:rsidTr="00D41492">
        <w:tc>
          <w:tcPr>
            <w:tcW w:w="4111" w:type="dxa"/>
            <w:shd w:val="clear" w:color="auto" w:fill="FFFFFF"/>
            <w:tcMar>
              <w:top w:w="0" w:type="dxa"/>
              <w:left w:w="108" w:type="dxa"/>
              <w:bottom w:w="0" w:type="dxa"/>
              <w:right w:w="108" w:type="dxa"/>
            </w:tcMar>
          </w:tcPr>
          <w:p w14:paraId="5555C923" w14:textId="77777777" w:rsidR="00422EFE" w:rsidRPr="00261B7A" w:rsidRDefault="00422EFE" w:rsidP="00D41492">
            <w:pPr>
              <w:pStyle w:val="TableText"/>
              <w:spacing w:before="40" w:after="40"/>
            </w:pPr>
            <w:r w:rsidRPr="00261B7A">
              <w:rPr>
                <w:rFonts w:eastAsia="Calibri"/>
                <w:color w:val="000000"/>
              </w:rPr>
              <w:t>Emission factor</w:t>
            </w:r>
          </w:p>
        </w:tc>
        <w:tc>
          <w:tcPr>
            <w:tcW w:w="851" w:type="dxa"/>
            <w:shd w:val="clear" w:color="auto" w:fill="FFFFFF"/>
            <w:tcMar>
              <w:top w:w="0" w:type="dxa"/>
              <w:left w:w="108" w:type="dxa"/>
              <w:bottom w:w="0" w:type="dxa"/>
              <w:right w:w="108" w:type="dxa"/>
            </w:tcMar>
          </w:tcPr>
          <w:p w14:paraId="57121F0D" w14:textId="77777777" w:rsidR="00422EFE" w:rsidRPr="00261B7A" w:rsidRDefault="00422EFE" w:rsidP="00D41492">
            <w:pPr>
              <w:pStyle w:val="TableText"/>
              <w:spacing w:before="40" w:after="40"/>
            </w:pPr>
            <w:r w:rsidRPr="00261B7A">
              <w:rPr>
                <w:rFonts w:eastAsia="Calibri"/>
                <w:color w:val="000000"/>
              </w:rPr>
              <w:t>0.005</w:t>
            </w:r>
          </w:p>
        </w:tc>
        <w:tc>
          <w:tcPr>
            <w:tcW w:w="1701" w:type="dxa"/>
            <w:shd w:val="clear" w:color="auto" w:fill="FFFFFF"/>
            <w:tcMar>
              <w:top w:w="0" w:type="dxa"/>
              <w:left w:w="108" w:type="dxa"/>
              <w:bottom w:w="0" w:type="dxa"/>
              <w:right w:w="108" w:type="dxa"/>
            </w:tcMar>
          </w:tcPr>
          <w:p w14:paraId="6D3E1FAB" w14:textId="77777777" w:rsidR="00422EFE" w:rsidRPr="00261B7A" w:rsidRDefault="00422EFE" w:rsidP="00D41492">
            <w:pPr>
              <w:pStyle w:val="TableText"/>
              <w:spacing w:before="40" w:after="40"/>
            </w:pPr>
            <w:r w:rsidRPr="00261B7A">
              <w:rPr>
                <w:rFonts w:eastAsia="Calibri"/>
                <w:color w:val="000000"/>
              </w:rPr>
              <w:t>IPCC default</w:t>
            </w:r>
          </w:p>
        </w:tc>
        <w:tc>
          <w:tcPr>
            <w:tcW w:w="1842" w:type="dxa"/>
            <w:shd w:val="clear" w:color="auto" w:fill="FFFFFF"/>
            <w:tcMar>
              <w:top w:w="0" w:type="dxa"/>
              <w:left w:w="108" w:type="dxa"/>
              <w:bottom w:w="0" w:type="dxa"/>
              <w:right w:w="108" w:type="dxa"/>
            </w:tcMar>
          </w:tcPr>
          <w:p w14:paraId="0351DD2F" w14:textId="77777777" w:rsidR="00422EFE" w:rsidRPr="00261B7A" w:rsidRDefault="00422EFE" w:rsidP="00D41492">
            <w:pPr>
              <w:pStyle w:val="TableText"/>
              <w:spacing w:before="40" w:after="40"/>
            </w:pPr>
            <w:r w:rsidRPr="00261B7A">
              <w:rPr>
                <w:rFonts w:eastAsia="Calibri"/>
                <w:color w:val="000000"/>
              </w:rPr>
              <w:t>IPCC (2006a)</w:t>
            </w:r>
          </w:p>
        </w:tc>
      </w:tr>
      <w:tr w:rsidR="00422EFE" w:rsidRPr="00261B7A" w14:paraId="1935EB8C" w14:textId="77777777" w:rsidTr="00D41492">
        <w:tc>
          <w:tcPr>
            <w:tcW w:w="4111" w:type="dxa"/>
            <w:shd w:val="clear" w:color="auto" w:fill="FFFFFF"/>
            <w:tcMar>
              <w:top w:w="0" w:type="dxa"/>
              <w:left w:w="108" w:type="dxa"/>
              <w:bottom w:w="0" w:type="dxa"/>
              <w:right w:w="108" w:type="dxa"/>
            </w:tcMar>
          </w:tcPr>
          <w:p w14:paraId="4D5644E1" w14:textId="77777777" w:rsidR="00422EFE" w:rsidRPr="00261B7A" w:rsidRDefault="00422EFE" w:rsidP="00D41492">
            <w:pPr>
              <w:pStyle w:val="TableText"/>
              <w:spacing w:before="40" w:after="40"/>
            </w:pPr>
            <w:r w:rsidRPr="00261B7A">
              <w:rPr>
                <w:rFonts w:eastAsia="Calibri"/>
                <w:color w:val="000000"/>
              </w:rPr>
              <w:t>Direct N</w:t>
            </w:r>
            <w:r w:rsidRPr="00261B7A">
              <w:rPr>
                <w:rFonts w:eastAsia="Calibri"/>
                <w:color w:val="000000"/>
                <w:vertAlign w:val="subscript"/>
              </w:rPr>
              <w:t>2</w:t>
            </w:r>
            <w:r w:rsidRPr="00261B7A">
              <w:rPr>
                <w:rFonts w:eastAsia="Calibri"/>
                <w:color w:val="000000"/>
              </w:rPr>
              <w:t>O emissions from wastewater treatment plants</w:t>
            </w:r>
          </w:p>
        </w:tc>
        <w:tc>
          <w:tcPr>
            <w:tcW w:w="851" w:type="dxa"/>
            <w:shd w:val="clear" w:color="auto" w:fill="FFFFFF"/>
            <w:tcMar>
              <w:top w:w="0" w:type="dxa"/>
              <w:left w:w="108" w:type="dxa"/>
              <w:bottom w:w="0" w:type="dxa"/>
              <w:right w:w="108" w:type="dxa"/>
            </w:tcMar>
          </w:tcPr>
          <w:p w14:paraId="019D5491" w14:textId="77777777" w:rsidR="00422EFE" w:rsidRPr="00261B7A" w:rsidRDefault="00422EFE" w:rsidP="00D41492">
            <w:pPr>
              <w:pStyle w:val="TableText"/>
              <w:spacing w:before="40" w:after="40"/>
            </w:pPr>
            <w:r w:rsidRPr="00261B7A">
              <w:rPr>
                <w:rFonts w:eastAsia="Calibri"/>
                <w:color w:val="000000"/>
              </w:rPr>
              <w:t>0</w:t>
            </w:r>
          </w:p>
        </w:tc>
        <w:tc>
          <w:tcPr>
            <w:tcW w:w="1701" w:type="dxa"/>
            <w:shd w:val="clear" w:color="auto" w:fill="FFFFFF"/>
            <w:tcMar>
              <w:top w:w="0" w:type="dxa"/>
              <w:left w:w="108" w:type="dxa"/>
              <w:bottom w:w="0" w:type="dxa"/>
              <w:right w:w="108" w:type="dxa"/>
            </w:tcMar>
          </w:tcPr>
          <w:p w14:paraId="0BC1F693" w14:textId="77777777" w:rsidR="00422EFE" w:rsidRPr="00261B7A" w:rsidRDefault="00422EFE" w:rsidP="00D41492">
            <w:pPr>
              <w:pStyle w:val="TableText"/>
              <w:spacing w:before="40" w:after="40"/>
            </w:pPr>
            <w:r w:rsidRPr="00261B7A">
              <w:rPr>
                <w:rFonts w:eastAsia="Calibri"/>
                <w:color w:val="000000"/>
              </w:rPr>
              <w:t>IPCC default</w:t>
            </w:r>
          </w:p>
        </w:tc>
        <w:tc>
          <w:tcPr>
            <w:tcW w:w="1842" w:type="dxa"/>
            <w:shd w:val="clear" w:color="auto" w:fill="FFFFFF"/>
            <w:tcMar>
              <w:top w:w="0" w:type="dxa"/>
              <w:left w:w="108" w:type="dxa"/>
              <w:bottom w:w="0" w:type="dxa"/>
              <w:right w:w="108" w:type="dxa"/>
            </w:tcMar>
          </w:tcPr>
          <w:p w14:paraId="2B1D2C36" w14:textId="77777777" w:rsidR="00422EFE" w:rsidRPr="00261B7A" w:rsidRDefault="00422EFE" w:rsidP="00D41492">
            <w:pPr>
              <w:pStyle w:val="TableText"/>
              <w:spacing w:before="40" w:after="40"/>
            </w:pPr>
            <w:r w:rsidRPr="00261B7A">
              <w:rPr>
                <w:rFonts w:eastAsia="Calibri"/>
                <w:color w:val="000000"/>
              </w:rPr>
              <w:t>IPCC (2006a)</w:t>
            </w:r>
          </w:p>
        </w:tc>
      </w:tr>
    </w:tbl>
    <w:p w14:paraId="449A2679" w14:textId="77777777" w:rsidR="00422EFE" w:rsidRPr="00261B7A" w:rsidRDefault="00422EFE" w:rsidP="00422EFE">
      <w:pPr>
        <w:pStyle w:val="BodyText"/>
        <w:spacing w:before="240"/>
      </w:pPr>
      <w:r w:rsidRPr="00261B7A">
        <w:t>A value of 36.135 kilograms of protein per person per year is used. This figure was the maximum value reported by New Zealand to the Food and Agriculture Organization.</w:t>
      </w:r>
    </w:p>
    <w:p w14:paraId="68C2D286" w14:textId="77777777" w:rsidR="00422EFE" w:rsidRPr="00261B7A" w:rsidRDefault="00422EFE" w:rsidP="00CE2D16">
      <w:pPr>
        <w:pStyle w:val="Heading6"/>
      </w:pPr>
      <w:bookmarkStart w:id="2580" w:name="recovery-1"/>
      <w:r w:rsidRPr="00261B7A">
        <w:t>Recovery</w:t>
      </w:r>
    </w:p>
    <w:p w14:paraId="151349AE" w14:textId="77777777" w:rsidR="00422EFE" w:rsidRPr="00261B7A" w:rsidRDefault="00422EFE" w:rsidP="00422EFE">
      <w:pPr>
        <w:pStyle w:val="BodyText"/>
      </w:pPr>
      <w:r w:rsidRPr="00261B7A">
        <w:t>There is no recovery of emissions reported for this source.</w:t>
      </w:r>
    </w:p>
    <w:p w14:paraId="1FFE5A60" w14:textId="77777777" w:rsidR="00422EFE" w:rsidRPr="00261B7A" w:rsidRDefault="00422EFE" w:rsidP="00422EFE">
      <w:pPr>
        <w:pStyle w:val="Heading4"/>
      </w:pPr>
      <w:bookmarkStart w:id="2581" w:name="industrial-wastewater-5.d.2-2"/>
      <w:bookmarkEnd w:id="2569"/>
      <w:bookmarkEnd w:id="2577"/>
      <w:bookmarkEnd w:id="2580"/>
      <w:r w:rsidRPr="00261B7A">
        <w:t>Industrial wastewater (5.D.2)</w:t>
      </w:r>
    </w:p>
    <w:p w14:paraId="7BDDD742" w14:textId="77777777" w:rsidR="00422EFE" w:rsidRPr="00261B7A" w:rsidRDefault="00422EFE" w:rsidP="00422EFE">
      <w:pPr>
        <w:pStyle w:val="Heading5"/>
        <w:spacing w:before="180"/>
      </w:pPr>
      <w:bookmarkStart w:id="2582" w:name="Xb027ccc27a0528429fadaa4c67f957225579be4"/>
      <w:r w:rsidRPr="00261B7A">
        <w:t>Methane emissions from industrial wastewater treatment – Meat industry</w:t>
      </w:r>
    </w:p>
    <w:p w14:paraId="0897FCA3" w14:textId="77777777" w:rsidR="00422EFE" w:rsidRPr="00261B7A" w:rsidRDefault="00422EFE" w:rsidP="00422EFE">
      <w:pPr>
        <w:pStyle w:val="BodyText"/>
      </w:pPr>
      <w:r w:rsidRPr="00261B7A">
        <w:t>Table 7.5.8 summarises the parameter values applied for estimating CH</w:t>
      </w:r>
      <w:r w:rsidRPr="00261B7A">
        <w:rPr>
          <w:vertAlign w:val="subscript"/>
        </w:rPr>
        <w:t>4</w:t>
      </w:r>
      <w:r w:rsidRPr="00261B7A">
        <w:t xml:space="preserve"> emissions from wastewater treatment by the meat industry.</w:t>
      </w:r>
    </w:p>
    <w:p w14:paraId="49C39DDB" w14:textId="77777777" w:rsidR="00422EFE" w:rsidRPr="00261B7A" w:rsidRDefault="00422EFE" w:rsidP="00422EFE">
      <w:pPr>
        <w:pStyle w:val="Table"/>
      </w:pPr>
      <w:bookmarkStart w:id="2583" w:name="_Toc128383686"/>
      <w:bookmarkStart w:id="2584" w:name="_Toc131591459"/>
      <w:r w:rsidRPr="00261B7A">
        <w:t xml:space="preserve">Table 7.5.8 </w:t>
      </w:r>
      <w:r w:rsidRPr="00261B7A">
        <w:tab/>
        <w:t>Parameter values applied by New Zealand for estimating methane emissions from wastewater treatment by the meat industry</w:t>
      </w:r>
      <w:bookmarkEnd w:id="2583"/>
      <w:bookmarkEnd w:id="2584"/>
    </w:p>
    <w:tbl>
      <w:tblPr>
        <w:tblW w:w="8562"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268"/>
        <w:gridCol w:w="2268"/>
        <w:gridCol w:w="1644"/>
        <w:gridCol w:w="2382"/>
      </w:tblGrid>
      <w:tr w:rsidR="00422EFE" w:rsidRPr="00261B7A" w14:paraId="1AD17B49" w14:textId="77777777" w:rsidTr="000A0ABE">
        <w:trPr>
          <w:tblHeader/>
        </w:trPr>
        <w:tc>
          <w:tcPr>
            <w:tcW w:w="2268" w:type="dxa"/>
            <w:shd w:val="clear" w:color="auto" w:fill="1B556B"/>
            <w:tcMar>
              <w:top w:w="0" w:type="dxa"/>
              <w:left w:w="108" w:type="dxa"/>
              <w:bottom w:w="0" w:type="dxa"/>
              <w:right w:w="108" w:type="dxa"/>
            </w:tcMar>
          </w:tcPr>
          <w:p w14:paraId="708BAD94" w14:textId="77777777" w:rsidR="00422EFE" w:rsidRPr="00261B7A" w:rsidRDefault="00422EFE" w:rsidP="00B02DB8">
            <w:pPr>
              <w:pStyle w:val="TableText"/>
              <w:spacing w:before="30" w:after="30"/>
              <w:rPr>
                <w:b/>
                <w:bCs/>
                <w:color w:val="FFFFFF" w:themeColor="background1"/>
              </w:rPr>
            </w:pPr>
            <w:r w:rsidRPr="00261B7A">
              <w:rPr>
                <w:rFonts w:eastAsia="Calibri"/>
                <w:b/>
                <w:bCs/>
                <w:color w:val="FFFFFF" w:themeColor="background1"/>
              </w:rPr>
              <w:t>Parameter</w:t>
            </w:r>
          </w:p>
        </w:tc>
        <w:tc>
          <w:tcPr>
            <w:tcW w:w="2268" w:type="dxa"/>
            <w:shd w:val="clear" w:color="auto" w:fill="1B556B"/>
            <w:tcMar>
              <w:top w:w="0" w:type="dxa"/>
              <w:left w:w="108" w:type="dxa"/>
              <w:bottom w:w="0" w:type="dxa"/>
              <w:right w:w="108" w:type="dxa"/>
            </w:tcMar>
          </w:tcPr>
          <w:p w14:paraId="398EEA7F" w14:textId="77777777" w:rsidR="00422EFE" w:rsidRPr="00261B7A" w:rsidRDefault="00422EFE" w:rsidP="00B02DB8">
            <w:pPr>
              <w:pStyle w:val="TableText"/>
              <w:spacing w:before="30" w:after="30"/>
              <w:rPr>
                <w:b/>
                <w:bCs/>
                <w:color w:val="FFFFFF" w:themeColor="background1"/>
              </w:rPr>
            </w:pPr>
            <w:r w:rsidRPr="00261B7A">
              <w:rPr>
                <w:rFonts w:eastAsia="Calibri"/>
                <w:b/>
                <w:bCs/>
                <w:color w:val="FFFFFF" w:themeColor="background1"/>
              </w:rPr>
              <w:t>Value</w:t>
            </w:r>
          </w:p>
        </w:tc>
        <w:tc>
          <w:tcPr>
            <w:tcW w:w="1644" w:type="dxa"/>
            <w:shd w:val="clear" w:color="auto" w:fill="1B556B"/>
            <w:tcMar>
              <w:top w:w="0" w:type="dxa"/>
              <w:left w:w="108" w:type="dxa"/>
              <w:bottom w:w="0" w:type="dxa"/>
              <w:right w:w="108" w:type="dxa"/>
            </w:tcMar>
          </w:tcPr>
          <w:p w14:paraId="3AC6DAFC" w14:textId="77777777" w:rsidR="00422EFE" w:rsidRPr="00261B7A" w:rsidRDefault="00422EFE" w:rsidP="00B02DB8">
            <w:pPr>
              <w:pStyle w:val="TableText"/>
              <w:spacing w:before="30" w:after="30"/>
              <w:rPr>
                <w:b/>
                <w:bCs/>
                <w:color w:val="FFFFFF" w:themeColor="background1"/>
              </w:rPr>
            </w:pPr>
            <w:r w:rsidRPr="00261B7A">
              <w:rPr>
                <w:rFonts w:eastAsia="Calibri"/>
                <w:b/>
                <w:bCs/>
                <w:color w:val="FFFFFF" w:themeColor="background1"/>
              </w:rPr>
              <w:t>Source</w:t>
            </w:r>
          </w:p>
        </w:tc>
        <w:tc>
          <w:tcPr>
            <w:tcW w:w="0" w:type="auto"/>
            <w:shd w:val="clear" w:color="auto" w:fill="1B556B"/>
            <w:tcMar>
              <w:top w:w="0" w:type="dxa"/>
              <w:left w:w="108" w:type="dxa"/>
              <w:bottom w:w="0" w:type="dxa"/>
              <w:right w:w="108" w:type="dxa"/>
            </w:tcMar>
          </w:tcPr>
          <w:p w14:paraId="79CBCF02" w14:textId="77777777" w:rsidR="00422EFE" w:rsidRPr="00261B7A" w:rsidRDefault="00422EFE" w:rsidP="00B02DB8">
            <w:pPr>
              <w:pStyle w:val="TableText"/>
              <w:spacing w:before="30" w:after="30"/>
              <w:rPr>
                <w:b/>
                <w:bCs/>
                <w:color w:val="FFFFFF" w:themeColor="background1"/>
              </w:rPr>
            </w:pPr>
            <w:r w:rsidRPr="00261B7A">
              <w:rPr>
                <w:rFonts w:eastAsia="Calibri"/>
                <w:b/>
                <w:bCs/>
                <w:color w:val="FFFFFF" w:themeColor="background1"/>
              </w:rPr>
              <w:t>Reference</w:t>
            </w:r>
          </w:p>
        </w:tc>
      </w:tr>
      <w:tr w:rsidR="00422EFE" w:rsidRPr="00261B7A" w14:paraId="6AE5AF61" w14:textId="77777777" w:rsidTr="000A0ABE">
        <w:tc>
          <w:tcPr>
            <w:tcW w:w="2268" w:type="dxa"/>
            <w:shd w:val="clear" w:color="auto" w:fill="FFFFFF"/>
            <w:tcMar>
              <w:top w:w="0" w:type="dxa"/>
              <w:left w:w="108" w:type="dxa"/>
              <w:bottom w:w="0" w:type="dxa"/>
              <w:right w:w="108" w:type="dxa"/>
            </w:tcMar>
          </w:tcPr>
          <w:p w14:paraId="71736739" w14:textId="77777777" w:rsidR="00422EFE" w:rsidRPr="00261B7A" w:rsidRDefault="00422EFE" w:rsidP="00B02DB8">
            <w:pPr>
              <w:pStyle w:val="TableText"/>
              <w:spacing w:before="30" w:after="30"/>
            </w:pPr>
            <w:r w:rsidRPr="00261B7A">
              <w:rPr>
                <w:rFonts w:eastAsia="Calibri"/>
                <w:color w:val="000000"/>
              </w:rPr>
              <w:t>Degradable organic component (kg COD/tonne of product)</w:t>
            </w:r>
          </w:p>
        </w:tc>
        <w:tc>
          <w:tcPr>
            <w:tcW w:w="2268" w:type="dxa"/>
            <w:shd w:val="clear" w:color="auto" w:fill="FFFFFF"/>
            <w:tcMar>
              <w:top w:w="0" w:type="dxa"/>
              <w:left w:w="108" w:type="dxa"/>
              <w:bottom w:w="0" w:type="dxa"/>
              <w:right w:w="108" w:type="dxa"/>
            </w:tcMar>
          </w:tcPr>
          <w:p w14:paraId="734BEF63" w14:textId="77777777" w:rsidR="00422EFE" w:rsidRPr="00261B7A" w:rsidRDefault="00422EFE" w:rsidP="00B02DB8">
            <w:pPr>
              <w:pStyle w:val="TableText"/>
              <w:spacing w:before="30" w:after="30"/>
            </w:pPr>
            <w:r w:rsidRPr="00261B7A">
              <w:rPr>
                <w:rFonts w:eastAsia="Calibri"/>
                <w:color w:val="000000"/>
              </w:rPr>
              <w:t>50</w:t>
            </w:r>
          </w:p>
        </w:tc>
        <w:tc>
          <w:tcPr>
            <w:tcW w:w="1644" w:type="dxa"/>
            <w:shd w:val="clear" w:color="auto" w:fill="FFFFFF"/>
            <w:tcMar>
              <w:top w:w="0" w:type="dxa"/>
              <w:left w:w="108" w:type="dxa"/>
              <w:bottom w:w="0" w:type="dxa"/>
              <w:right w:w="108" w:type="dxa"/>
            </w:tcMar>
          </w:tcPr>
          <w:p w14:paraId="432BA891" w14:textId="77777777" w:rsidR="00422EFE" w:rsidRPr="00261B7A" w:rsidRDefault="00422EFE" w:rsidP="00B02DB8">
            <w:pPr>
              <w:pStyle w:val="TableText"/>
              <w:spacing w:before="30" w:after="30"/>
            </w:pPr>
            <w:r w:rsidRPr="00261B7A">
              <w:rPr>
                <w:rFonts w:eastAsia="Calibri"/>
                <w:color w:val="000000"/>
              </w:rPr>
              <w:t>New Zealand specific</w:t>
            </w:r>
          </w:p>
        </w:tc>
        <w:tc>
          <w:tcPr>
            <w:tcW w:w="0" w:type="auto"/>
            <w:shd w:val="clear" w:color="auto" w:fill="FFFFFF"/>
            <w:tcMar>
              <w:top w:w="0" w:type="dxa"/>
              <w:left w:w="108" w:type="dxa"/>
              <w:bottom w:w="0" w:type="dxa"/>
              <w:right w:w="108" w:type="dxa"/>
            </w:tcMar>
          </w:tcPr>
          <w:p w14:paraId="7CEEA966" w14:textId="77777777" w:rsidR="00422EFE" w:rsidRPr="00261B7A" w:rsidRDefault="00422EFE" w:rsidP="00B02DB8">
            <w:pPr>
              <w:pStyle w:val="TableText"/>
              <w:spacing w:before="30" w:after="30"/>
            </w:pPr>
            <w:r w:rsidRPr="00261B7A">
              <w:rPr>
                <w:rFonts w:eastAsia="Calibri"/>
                <w:color w:val="000000"/>
              </w:rPr>
              <w:t>SCS Wetherill Environmental (unpublished)</w:t>
            </w:r>
          </w:p>
        </w:tc>
      </w:tr>
      <w:tr w:rsidR="00422EFE" w:rsidRPr="00261B7A" w14:paraId="015EAAA6" w14:textId="77777777" w:rsidTr="000A0ABE">
        <w:tc>
          <w:tcPr>
            <w:tcW w:w="2268" w:type="dxa"/>
            <w:shd w:val="clear" w:color="auto" w:fill="FFFFFF"/>
            <w:tcMar>
              <w:top w:w="0" w:type="dxa"/>
              <w:left w:w="108" w:type="dxa"/>
              <w:bottom w:w="0" w:type="dxa"/>
              <w:right w:w="108" w:type="dxa"/>
            </w:tcMar>
          </w:tcPr>
          <w:p w14:paraId="088609DD" w14:textId="77777777" w:rsidR="00422EFE" w:rsidRPr="00261B7A" w:rsidRDefault="00422EFE" w:rsidP="00B02DB8">
            <w:pPr>
              <w:pStyle w:val="TableText"/>
              <w:spacing w:before="30" w:after="30"/>
            </w:pPr>
            <w:r w:rsidRPr="00261B7A">
              <w:rPr>
                <w:rFonts w:eastAsia="Calibri"/>
                <w:color w:val="000000"/>
              </w:rPr>
              <w:t>Methane correction factor</w:t>
            </w:r>
          </w:p>
        </w:tc>
        <w:tc>
          <w:tcPr>
            <w:tcW w:w="2268" w:type="dxa"/>
            <w:shd w:val="clear" w:color="auto" w:fill="FFFFFF"/>
            <w:tcMar>
              <w:top w:w="0" w:type="dxa"/>
              <w:left w:w="108" w:type="dxa"/>
              <w:bottom w:w="0" w:type="dxa"/>
              <w:right w:w="108" w:type="dxa"/>
            </w:tcMar>
          </w:tcPr>
          <w:p w14:paraId="19350CE0" w14:textId="77777777" w:rsidR="00422EFE" w:rsidRPr="00261B7A" w:rsidRDefault="00422EFE" w:rsidP="00B02DB8">
            <w:pPr>
              <w:pStyle w:val="TableText"/>
              <w:spacing w:before="30" w:after="30"/>
            </w:pPr>
            <w:r w:rsidRPr="00261B7A">
              <w:rPr>
                <w:rFonts w:eastAsia="Calibri"/>
                <w:color w:val="000000"/>
              </w:rPr>
              <w:t>Range of 0–0.55</w:t>
            </w:r>
          </w:p>
        </w:tc>
        <w:tc>
          <w:tcPr>
            <w:tcW w:w="1644" w:type="dxa"/>
            <w:shd w:val="clear" w:color="auto" w:fill="FFFFFF"/>
            <w:tcMar>
              <w:top w:w="0" w:type="dxa"/>
              <w:left w:w="108" w:type="dxa"/>
              <w:bottom w:w="0" w:type="dxa"/>
              <w:right w:w="108" w:type="dxa"/>
            </w:tcMar>
          </w:tcPr>
          <w:p w14:paraId="233B9996" w14:textId="77777777" w:rsidR="00422EFE" w:rsidRPr="00261B7A" w:rsidRDefault="00422EFE" w:rsidP="00B02DB8">
            <w:pPr>
              <w:pStyle w:val="TableText"/>
              <w:spacing w:before="30" w:after="30"/>
            </w:pPr>
            <w:r w:rsidRPr="00261B7A">
              <w:rPr>
                <w:rFonts w:eastAsia="Calibri"/>
                <w:color w:val="000000"/>
              </w:rPr>
              <w:t>New Zealand specific</w:t>
            </w:r>
          </w:p>
        </w:tc>
        <w:tc>
          <w:tcPr>
            <w:tcW w:w="0" w:type="auto"/>
            <w:shd w:val="clear" w:color="auto" w:fill="FFFFFF"/>
            <w:tcMar>
              <w:top w:w="0" w:type="dxa"/>
              <w:left w:w="108" w:type="dxa"/>
              <w:bottom w:w="0" w:type="dxa"/>
              <w:right w:w="108" w:type="dxa"/>
            </w:tcMar>
          </w:tcPr>
          <w:p w14:paraId="407FC969" w14:textId="77777777" w:rsidR="00422EFE" w:rsidRPr="00261B7A" w:rsidRDefault="00422EFE" w:rsidP="00B02DB8">
            <w:pPr>
              <w:pStyle w:val="TableText"/>
              <w:spacing w:before="30" w:after="30"/>
            </w:pPr>
            <w:r w:rsidRPr="00261B7A">
              <w:rPr>
                <w:rFonts w:eastAsia="Calibri"/>
                <w:color w:val="000000"/>
              </w:rPr>
              <w:t>SCS Wetherill Environmental (unpublished)</w:t>
            </w:r>
          </w:p>
        </w:tc>
      </w:tr>
      <w:tr w:rsidR="00422EFE" w:rsidRPr="00261B7A" w14:paraId="29C10DE7" w14:textId="77777777" w:rsidTr="000A0ABE">
        <w:tc>
          <w:tcPr>
            <w:tcW w:w="2268" w:type="dxa"/>
            <w:shd w:val="clear" w:color="auto" w:fill="FFFFFF"/>
            <w:tcMar>
              <w:top w:w="0" w:type="dxa"/>
              <w:left w:w="108" w:type="dxa"/>
              <w:bottom w:w="0" w:type="dxa"/>
              <w:right w:w="108" w:type="dxa"/>
            </w:tcMar>
          </w:tcPr>
          <w:p w14:paraId="27C54C31" w14:textId="77777777" w:rsidR="00422EFE" w:rsidRPr="00261B7A" w:rsidRDefault="00422EFE" w:rsidP="00B02DB8">
            <w:pPr>
              <w:pStyle w:val="TableText"/>
              <w:spacing w:before="30" w:after="30"/>
            </w:pPr>
            <w:r w:rsidRPr="00261B7A">
              <w:rPr>
                <w:rFonts w:eastAsia="Calibri"/>
                <w:color w:val="000000"/>
              </w:rPr>
              <w:t>Maximum methane-producing capacity (kg CH₄/kg COD)</w:t>
            </w:r>
          </w:p>
        </w:tc>
        <w:tc>
          <w:tcPr>
            <w:tcW w:w="2268" w:type="dxa"/>
            <w:shd w:val="clear" w:color="auto" w:fill="FFFFFF"/>
            <w:tcMar>
              <w:top w:w="0" w:type="dxa"/>
              <w:left w:w="108" w:type="dxa"/>
              <w:bottom w:w="0" w:type="dxa"/>
              <w:right w:w="108" w:type="dxa"/>
            </w:tcMar>
          </w:tcPr>
          <w:p w14:paraId="5708BBE2" w14:textId="77777777" w:rsidR="00422EFE" w:rsidRPr="00261B7A" w:rsidRDefault="00422EFE" w:rsidP="00B02DB8">
            <w:pPr>
              <w:pStyle w:val="TableText"/>
              <w:spacing w:before="30" w:after="30"/>
            </w:pPr>
            <w:r w:rsidRPr="00261B7A">
              <w:rPr>
                <w:rFonts w:eastAsia="Calibri"/>
                <w:color w:val="000000"/>
              </w:rPr>
              <w:t>0.25</w:t>
            </w:r>
          </w:p>
        </w:tc>
        <w:tc>
          <w:tcPr>
            <w:tcW w:w="1644" w:type="dxa"/>
            <w:shd w:val="clear" w:color="auto" w:fill="FFFFFF"/>
            <w:tcMar>
              <w:top w:w="0" w:type="dxa"/>
              <w:left w:w="108" w:type="dxa"/>
              <w:bottom w:w="0" w:type="dxa"/>
              <w:right w:w="108" w:type="dxa"/>
            </w:tcMar>
          </w:tcPr>
          <w:p w14:paraId="051CA868" w14:textId="77777777" w:rsidR="00422EFE" w:rsidRPr="00261B7A" w:rsidRDefault="00422EFE" w:rsidP="00B02DB8">
            <w:pPr>
              <w:pStyle w:val="TableText"/>
              <w:spacing w:before="30" w:after="30"/>
            </w:pPr>
            <w:r w:rsidRPr="00261B7A">
              <w:rPr>
                <w:rFonts w:eastAsia="Calibri"/>
                <w:color w:val="000000"/>
              </w:rPr>
              <w:t>IPCC default</w:t>
            </w:r>
          </w:p>
        </w:tc>
        <w:tc>
          <w:tcPr>
            <w:tcW w:w="0" w:type="auto"/>
            <w:shd w:val="clear" w:color="auto" w:fill="FFFFFF"/>
            <w:tcMar>
              <w:top w:w="0" w:type="dxa"/>
              <w:left w:w="108" w:type="dxa"/>
              <w:bottom w:w="0" w:type="dxa"/>
              <w:right w:w="108" w:type="dxa"/>
            </w:tcMar>
          </w:tcPr>
          <w:p w14:paraId="37754ABD" w14:textId="77777777" w:rsidR="00422EFE" w:rsidRPr="00261B7A" w:rsidRDefault="00422EFE" w:rsidP="00B02DB8">
            <w:pPr>
              <w:pStyle w:val="TableText"/>
              <w:spacing w:before="30" w:after="30"/>
            </w:pPr>
            <w:r w:rsidRPr="00261B7A">
              <w:rPr>
                <w:rFonts w:eastAsia="Calibri"/>
                <w:color w:val="000000"/>
              </w:rPr>
              <w:t>IPCC (2006a)</w:t>
            </w:r>
          </w:p>
        </w:tc>
      </w:tr>
      <w:tr w:rsidR="00422EFE" w:rsidRPr="00261B7A" w14:paraId="51D0B425" w14:textId="77777777" w:rsidTr="000A0ABE">
        <w:tc>
          <w:tcPr>
            <w:tcW w:w="2268" w:type="dxa"/>
            <w:shd w:val="clear" w:color="auto" w:fill="FFFFFF"/>
            <w:tcMar>
              <w:top w:w="0" w:type="dxa"/>
              <w:left w:w="108" w:type="dxa"/>
              <w:bottom w:w="0" w:type="dxa"/>
              <w:right w:w="108" w:type="dxa"/>
            </w:tcMar>
          </w:tcPr>
          <w:p w14:paraId="6E3F1734" w14:textId="77777777" w:rsidR="00422EFE" w:rsidRPr="00261B7A" w:rsidRDefault="00422EFE" w:rsidP="00B02DB8">
            <w:pPr>
              <w:pStyle w:val="TableText"/>
              <w:spacing w:before="30" w:after="30"/>
            </w:pPr>
            <w:r w:rsidRPr="00261B7A">
              <w:rPr>
                <w:rFonts w:eastAsia="Calibri"/>
                <w:color w:val="000000"/>
              </w:rPr>
              <w:t>Overall emission factor</w:t>
            </w:r>
          </w:p>
        </w:tc>
        <w:tc>
          <w:tcPr>
            <w:tcW w:w="2268" w:type="dxa"/>
            <w:shd w:val="clear" w:color="auto" w:fill="FFFFFF"/>
            <w:tcMar>
              <w:top w:w="0" w:type="dxa"/>
              <w:left w:w="108" w:type="dxa"/>
              <w:bottom w:w="0" w:type="dxa"/>
              <w:right w:w="108" w:type="dxa"/>
            </w:tcMar>
          </w:tcPr>
          <w:p w14:paraId="056A2041" w14:textId="77777777" w:rsidR="00422EFE" w:rsidRPr="00261B7A" w:rsidRDefault="00422EFE" w:rsidP="00B02DB8">
            <w:pPr>
              <w:pStyle w:val="TableText"/>
              <w:spacing w:before="30" w:after="30"/>
            </w:pPr>
            <w:r w:rsidRPr="00261B7A">
              <w:rPr>
                <w:rFonts w:eastAsia="Calibri"/>
                <w:color w:val="000000"/>
              </w:rPr>
              <w:t xml:space="preserve">0.036 (meat excluding poultry) </w:t>
            </w:r>
            <w:r w:rsidRPr="00261B7A">
              <w:rPr>
                <w:rFonts w:eastAsia="Calibri"/>
                <w:color w:val="000000"/>
              </w:rPr>
              <w:br/>
              <w:t>0.0344 (poultry)</w:t>
            </w:r>
          </w:p>
        </w:tc>
        <w:tc>
          <w:tcPr>
            <w:tcW w:w="1644" w:type="dxa"/>
            <w:shd w:val="clear" w:color="auto" w:fill="FFFFFF"/>
            <w:tcMar>
              <w:top w:w="0" w:type="dxa"/>
              <w:left w:w="108" w:type="dxa"/>
              <w:bottom w:w="0" w:type="dxa"/>
              <w:right w:w="108" w:type="dxa"/>
            </w:tcMar>
          </w:tcPr>
          <w:p w14:paraId="5364028D" w14:textId="77777777" w:rsidR="00422EFE" w:rsidRPr="00261B7A" w:rsidRDefault="00422EFE" w:rsidP="00B02DB8">
            <w:pPr>
              <w:pStyle w:val="TableText"/>
              <w:spacing w:before="30" w:after="30"/>
            </w:pPr>
            <w:r w:rsidRPr="00261B7A">
              <w:rPr>
                <w:rFonts w:eastAsia="Calibri"/>
                <w:color w:val="000000"/>
              </w:rPr>
              <w:t>New Zealand specific</w:t>
            </w:r>
          </w:p>
        </w:tc>
        <w:tc>
          <w:tcPr>
            <w:tcW w:w="0" w:type="auto"/>
            <w:shd w:val="clear" w:color="auto" w:fill="FFFFFF"/>
            <w:tcMar>
              <w:top w:w="0" w:type="dxa"/>
              <w:left w:w="108" w:type="dxa"/>
              <w:bottom w:w="0" w:type="dxa"/>
              <w:right w:w="108" w:type="dxa"/>
            </w:tcMar>
          </w:tcPr>
          <w:p w14:paraId="3EC2CA1E" w14:textId="77777777" w:rsidR="00422EFE" w:rsidRPr="00261B7A" w:rsidRDefault="00422EFE" w:rsidP="00B02DB8">
            <w:pPr>
              <w:pStyle w:val="TableText"/>
              <w:spacing w:before="30" w:after="30"/>
            </w:pPr>
            <w:r w:rsidRPr="00261B7A">
              <w:rPr>
                <w:rFonts w:eastAsia="Calibri"/>
                <w:color w:val="000000"/>
              </w:rPr>
              <w:t>Cardno (unpublished)</w:t>
            </w:r>
          </w:p>
        </w:tc>
      </w:tr>
    </w:tbl>
    <w:p w14:paraId="4E9BC1B6" w14:textId="77777777" w:rsidR="00422EFE" w:rsidRPr="00261B7A" w:rsidRDefault="00422EFE" w:rsidP="00422EFE">
      <w:pPr>
        <w:pStyle w:val="Noteundertable"/>
      </w:pPr>
      <w:r w:rsidRPr="00261B7A">
        <w:rPr>
          <w:b/>
          <w:bCs/>
        </w:rPr>
        <w:t>Note:</w:t>
      </w:r>
      <w:r w:rsidRPr="00261B7A">
        <w:t xml:space="preserve"> </w:t>
      </w:r>
      <w:r w:rsidRPr="00261B7A">
        <w:tab/>
        <w:t>COD = chemical oxygen demand.</w:t>
      </w:r>
    </w:p>
    <w:p w14:paraId="48634DE4" w14:textId="77777777" w:rsidR="00422EFE" w:rsidRPr="00261B7A" w:rsidRDefault="00422EFE" w:rsidP="00CE2D16">
      <w:pPr>
        <w:pStyle w:val="Heading6"/>
      </w:pPr>
      <w:bookmarkStart w:id="2585" w:name="recovery-2"/>
      <w:r w:rsidRPr="00261B7A">
        <w:t>Recovery</w:t>
      </w:r>
    </w:p>
    <w:p w14:paraId="24AFF773" w14:textId="77777777" w:rsidR="00422EFE" w:rsidRPr="00261B7A" w:rsidRDefault="00422EFE" w:rsidP="00B02DB8">
      <w:pPr>
        <w:pStyle w:val="BodyText"/>
        <w:spacing w:before="80" w:after="100"/>
      </w:pPr>
      <w:r w:rsidRPr="00261B7A">
        <w:t>There is no recovery of emissions reported for this source.</w:t>
      </w:r>
    </w:p>
    <w:p w14:paraId="0DB4C588" w14:textId="77777777" w:rsidR="00422EFE" w:rsidRPr="00261B7A" w:rsidRDefault="00422EFE" w:rsidP="00495AAB">
      <w:pPr>
        <w:pStyle w:val="Heading5"/>
        <w:spacing w:before="180"/>
      </w:pPr>
      <w:bookmarkStart w:id="2586" w:name="Xb0f87ab327284949166e160373d79028699348d"/>
      <w:bookmarkEnd w:id="2582"/>
      <w:bookmarkEnd w:id="2585"/>
      <w:r w:rsidRPr="00261B7A">
        <w:t>Methane emissions from industrial wastewater treatment – Pulp and paper industry</w:t>
      </w:r>
    </w:p>
    <w:p w14:paraId="6B0AA235" w14:textId="77777777" w:rsidR="00422EFE" w:rsidRPr="00261B7A" w:rsidRDefault="00422EFE" w:rsidP="00AC36B0">
      <w:pPr>
        <w:pStyle w:val="BodyText"/>
        <w:spacing w:before="100"/>
      </w:pPr>
      <w:r w:rsidRPr="00261B7A">
        <w:t>Table 7.5.9 summarises the parameter values applied for estimating CH</w:t>
      </w:r>
      <w:r w:rsidRPr="00261B7A">
        <w:rPr>
          <w:vertAlign w:val="subscript"/>
        </w:rPr>
        <w:t>4</w:t>
      </w:r>
      <w:r w:rsidRPr="00261B7A">
        <w:t xml:space="preserve"> emissions from wastewater treatment by the pulp and paper industry.</w:t>
      </w:r>
    </w:p>
    <w:p w14:paraId="11FDC71D" w14:textId="77777777" w:rsidR="00422EFE" w:rsidRPr="00261B7A" w:rsidRDefault="00422EFE" w:rsidP="00422EFE">
      <w:pPr>
        <w:pStyle w:val="Table"/>
      </w:pPr>
      <w:bookmarkStart w:id="2587" w:name="_Toc128383687"/>
      <w:bookmarkStart w:id="2588" w:name="_Toc131591460"/>
      <w:r w:rsidRPr="00261B7A">
        <w:t xml:space="preserve">Table 7.5.9 </w:t>
      </w:r>
      <w:r w:rsidRPr="00261B7A">
        <w:tab/>
        <w:t>Parameter values applied by New Zealand for estimating methane emissions for wastewater treatment by the pulp and paper industry</w:t>
      </w:r>
      <w:bookmarkEnd w:id="2587"/>
      <w:bookmarkEnd w:id="2588"/>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835"/>
        <w:gridCol w:w="1276"/>
        <w:gridCol w:w="1701"/>
        <w:gridCol w:w="2693"/>
      </w:tblGrid>
      <w:tr w:rsidR="00422EFE" w:rsidRPr="00261B7A" w14:paraId="04B9CAFE" w14:textId="77777777" w:rsidTr="000815CF">
        <w:trPr>
          <w:tblHeader/>
        </w:trPr>
        <w:tc>
          <w:tcPr>
            <w:tcW w:w="2835" w:type="dxa"/>
            <w:shd w:val="clear" w:color="auto" w:fill="1B556B"/>
            <w:tcMar>
              <w:top w:w="0" w:type="dxa"/>
              <w:left w:w="108" w:type="dxa"/>
              <w:bottom w:w="0" w:type="dxa"/>
              <w:right w:w="108" w:type="dxa"/>
            </w:tcMar>
          </w:tcPr>
          <w:p w14:paraId="4FCC60C0" w14:textId="77777777" w:rsidR="00422EFE" w:rsidRPr="00261B7A" w:rsidRDefault="00422EFE" w:rsidP="00495AAB">
            <w:pPr>
              <w:pStyle w:val="TableText"/>
              <w:spacing w:before="30" w:after="30"/>
              <w:rPr>
                <w:b/>
                <w:bCs/>
                <w:color w:val="FFFFFF" w:themeColor="background1"/>
              </w:rPr>
            </w:pPr>
            <w:r w:rsidRPr="00261B7A">
              <w:rPr>
                <w:rFonts w:eastAsia="Calibri"/>
                <w:b/>
                <w:bCs/>
                <w:color w:val="FFFFFF" w:themeColor="background1"/>
              </w:rPr>
              <w:t>Parameter</w:t>
            </w:r>
          </w:p>
        </w:tc>
        <w:tc>
          <w:tcPr>
            <w:tcW w:w="1276" w:type="dxa"/>
            <w:shd w:val="clear" w:color="auto" w:fill="1B556B"/>
            <w:tcMar>
              <w:top w:w="0" w:type="dxa"/>
              <w:left w:w="108" w:type="dxa"/>
              <w:bottom w:w="0" w:type="dxa"/>
              <w:right w:w="108" w:type="dxa"/>
            </w:tcMar>
          </w:tcPr>
          <w:p w14:paraId="6EA88EF2" w14:textId="77777777" w:rsidR="00422EFE" w:rsidRPr="00261B7A" w:rsidRDefault="00422EFE" w:rsidP="00495AAB">
            <w:pPr>
              <w:pStyle w:val="TableText"/>
              <w:spacing w:before="30" w:after="30"/>
              <w:rPr>
                <w:b/>
                <w:bCs/>
                <w:color w:val="FFFFFF" w:themeColor="background1"/>
              </w:rPr>
            </w:pPr>
            <w:r w:rsidRPr="00261B7A">
              <w:rPr>
                <w:rFonts w:eastAsia="Calibri"/>
                <w:b/>
                <w:bCs/>
                <w:color w:val="FFFFFF" w:themeColor="background1"/>
              </w:rPr>
              <w:t>Value</w:t>
            </w:r>
          </w:p>
        </w:tc>
        <w:tc>
          <w:tcPr>
            <w:tcW w:w="1701" w:type="dxa"/>
            <w:shd w:val="clear" w:color="auto" w:fill="1B556B"/>
            <w:tcMar>
              <w:top w:w="0" w:type="dxa"/>
              <w:left w:w="108" w:type="dxa"/>
              <w:bottom w:w="0" w:type="dxa"/>
              <w:right w:w="108" w:type="dxa"/>
            </w:tcMar>
          </w:tcPr>
          <w:p w14:paraId="5380DB04" w14:textId="77777777" w:rsidR="00422EFE" w:rsidRPr="00261B7A" w:rsidRDefault="00422EFE" w:rsidP="00495AAB">
            <w:pPr>
              <w:pStyle w:val="TableText"/>
              <w:spacing w:before="30" w:after="30"/>
              <w:rPr>
                <w:b/>
                <w:bCs/>
                <w:color w:val="FFFFFF" w:themeColor="background1"/>
              </w:rPr>
            </w:pPr>
            <w:r w:rsidRPr="00261B7A">
              <w:rPr>
                <w:rFonts w:eastAsia="Calibri"/>
                <w:b/>
                <w:bCs/>
                <w:color w:val="FFFFFF" w:themeColor="background1"/>
              </w:rPr>
              <w:t>Source</w:t>
            </w:r>
          </w:p>
        </w:tc>
        <w:tc>
          <w:tcPr>
            <w:tcW w:w="2693" w:type="dxa"/>
            <w:shd w:val="clear" w:color="auto" w:fill="1B556B"/>
            <w:tcMar>
              <w:top w:w="0" w:type="dxa"/>
              <w:left w:w="108" w:type="dxa"/>
              <w:bottom w:w="0" w:type="dxa"/>
              <w:right w:w="108" w:type="dxa"/>
            </w:tcMar>
          </w:tcPr>
          <w:p w14:paraId="115F0119" w14:textId="77777777" w:rsidR="00422EFE" w:rsidRPr="00261B7A" w:rsidRDefault="00422EFE" w:rsidP="00495AAB">
            <w:pPr>
              <w:pStyle w:val="TableText"/>
              <w:spacing w:before="30" w:after="30"/>
              <w:rPr>
                <w:b/>
                <w:bCs/>
                <w:color w:val="FFFFFF" w:themeColor="background1"/>
              </w:rPr>
            </w:pPr>
            <w:r w:rsidRPr="00261B7A">
              <w:rPr>
                <w:rFonts w:eastAsia="Calibri"/>
                <w:b/>
                <w:bCs/>
                <w:color w:val="FFFFFF" w:themeColor="background1"/>
              </w:rPr>
              <w:t>Reference</w:t>
            </w:r>
          </w:p>
        </w:tc>
      </w:tr>
      <w:tr w:rsidR="00422EFE" w:rsidRPr="00261B7A" w14:paraId="53A22F19" w14:textId="77777777" w:rsidTr="000815CF">
        <w:tc>
          <w:tcPr>
            <w:tcW w:w="2835" w:type="dxa"/>
            <w:shd w:val="clear" w:color="auto" w:fill="FFFFFF"/>
            <w:tcMar>
              <w:top w:w="0" w:type="dxa"/>
              <w:left w:w="108" w:type="dxa"/>
              <w:bottom w:w="0" w:type="dxa"/>
              <w:right w:w="108" w:type="dxa"/>
            </w:tcMar>
          </w:tcPr>
          <w:p w14:paraId="66AD1A82" w14:textId="77777777" w:rsidR="00422EFE" w:rsidRPr="00261B7A" w:rsidRDefault="00422EFE" w:rsidP="00495AAB">
            <w:pPr>
              <w:pStyle w:val="TableText"/>
              <w:spacing w:before="30" w:after="30"/>
            </w:pPr>
            <w:r w:rsidRPr="00261B7A">
              <w:rPr>
                <w:rFonts w:eastAsia="Calibri"/>
                <w:color w:val="000000"/>
              </w:rPr>
              <w:t>Degradable organic component (kg COD/tonne of product)</w:t>
            </w:r>
          </w:p>
        </w:tc>
        <w:tc>
          <w:tcPr>
            <w:tcW w:w="1276" w:type="dxa"/>
            <w:shd w:val="clear" w:color="auto" w:fill="FFFFFF"/>
            <w:tcMar>
              <w:top w:w="0" w:type="dxa"/>
              <w:left w:w="108" w:type="dxa"/>
              <w:bottom w:w="0" w:type="dxa"/>
              <w:right w:w="108" w:type="dxa"/>
            </w:tcMar>
          </w:tcPr>
          <w:p w14:paraId="19DEDBD3" w14:textId="77777777" w:rsidR="00422EFE" w:rsidRPr="00261B7A" w:rsidRDefault="00422EFE" w:rsidP="00495AAB">
            <w:pPr>
              <w:pStyle w:val="TableText"/>
              <w:spacing w:before="30" w:after="30"/>
            </w:pPr>
            <w:r w:rsidRPr="00261B7A">
              <w:rPr>
                <w:rFonts w:eastAsia="Calibri"/>
                <w:color w:val="000000"/>
              </w:rPr>
              <w:t>36</w:t>
            </w:r>
          </w:p>
        </w:tc>
        <w:tc>
          <w:tcPr>
            <w:tcW w:w="1701" w:type="dxa"/>
            <w:shd w:val="clear" w:color="auto" w:fill="FFFFFF"/>
            <w:tcMar>
              <w:top w:w="0" w:type="dxa"/>
              <w:left w:w="108" w:type="dxa"/>
              <w:bottom w:w="0" w:type="dxa"/>
              <w:right w:w="108" w:type="dxa"/>
            </w:tcMar>
          </w:tcPr>
          <w:p w14:paraId="15A3E507" w14:textId="77777777" w:rsidR="00422EFE" w:rsidRPr="00261B7A" w:rsidRDefault="00422EFE" w:rsidP="00495AAB">
            <w:pPr>
              <w:pStyle w:val="TableText"/>
              <w:spacing w:before="30" w:after="30"/>
            </w:pPr>
            <w:r w:rsidRPr="00261B7A">
              <w:rPr>
                <w:rFonts w:eastAsia="Calibri"/>
                <w:color w:val="000000"/>
              </w:rPr>
              <w:t>New Zealand specific</w:t>
            </w:r>
          </w:p>
        </w:tc>
        <w:tc>
          <w:tcPr>
            <w:tcW w:w="2693" w:type="dxa"/>
            <w:shd w:val="clear" w:color="auto" w:fill="FFFFFF"/>
            <w:tcMar>
              <w:top w:w="0" w:type="dxa"/>
              <w:left w:w="108" w:type="dxa"/>
              <w:bottom w:w="0" w:type="dxa"/>
              <w:right w:w="108" w:type="dxa"/>
            </w:tcMar>
          </w:tcPr>
          <w:p w14:paraId="4B95F9EF" w14:textId="77777777" w:rsidR="00422EFE" w:rsidRPr="00261B7A" w:rsidRDefault="00422EFE" w:rsidP="00495AAB">
            <w:pPr>
              <w:pStyle w:val="TableText"/>
              <w:spacing w:before="30" w:after="30"/>
            </w:pPr>
            <w:r w:rsidRPr="00261B7A">
              <w:rPr>
                <w:rFonts w:eastAsia="Calibri"/>
                <w:color w:val="000000"/>
              </w:rPr>
              <w:t>Beca Infrastructure Ltd (unpublished)</w:t>
            </w:r>
          </w:p>
        </w:tc>
      </w:tr>
      <w:tr w:rsidR="00422EFE" w:rsidRPr="00261B7A" w14:paraId="4B89F41D" w14:textId="77777777" w:rsidTr="000815CF">
        <w:tc>
          <w:tcPr>
            <w:tcW w:w="2835" w:type="dxa"/>
            <w:shd w:val="clear" w:color="auto" w:fill="FFFFFF"/>
            <w:tcMar>
              <w:top w:w="0" w:type="dxa"/>
              <w:left w:w="108" w:type="dxa"/>
              <w:bottom w:w="0" w:type="dxa"/>
              <w:right w:w="108" w:type="dxa"/>
            </w:tcMar>
          </w:tcPr>
          <w:p w14:paraId="0FF5B3CB" w14:textId="77777777" w:rsidR="00422EFE" w:rsidRPr="00261B7A" w:rsidRDefault="00422EFE" w:rsidP="00495AAB">
            <w:pPr>
              <w:pStyle w:val="TableText"/>
              <w:spacing w:before="30" w:after="30"/>
            </w:pPr>
            <w:r w:rsidRPr="00261B7A">
              <w:rPr>
                <w:rFonts w:eastAsia="Calibri"/>
                <w:color w:val="000000"/>
              </w:rPr>
              <w:t>Methane correction factor</w:t>
            </w:r>
          </w:p>
        </w:tc>
        <w:tc>
          <w:tcPr>
            <w:tcW w:w="1276" w:type="dxa"/>
            <w:shd w:val="clear" w:color="auto" w:fill="FFFFFF"/>
            <w:tcMar>
              <w:top w:w="0" w:type="dxa"/>
              <w:left w:w="108" w:type="dxa"/>
              <w:bottom w:w="0" w:type="dxa"/>
              <w:right w:w="108" w:type="dxa"/>
            </w:tcMar>
          </w:tcPr>
          <w:p w14:paraId="5FFF20D3" w14:textId="77777777" w:rsidR="00422EFE" w:rsidRPr="00261B7A" w:rsidRDefault="00422EFE" w:rsidP="00495AAB">
            <w:pPr>
              <w:pStyle w:val="TableText"/>
              <w:spacing w:before="30" w:after="30"/>
            </w:pPr>
            <w:r w:rsidRPr="00261B7A">
              <w:rPr>
                <w:rFonts w:eastAsia="Calibri"/>
                <w:color w:val="000000"/>
              </w:rPr>
              <w:t>Range of 0–0.8</w:t>
            </w:r>
          </w:p>
        </w:tc>
        <w:tc>
          <w:tcPr>
            <w:tcW w:w="1701" w:type="dxa"/>
            <w:shd w:val="clear" w:color="auto" w:fill="FFFFFF"/>
            <w:tcMar>
              <w:top w:w="0" w:type="dxa"/>
              <w:left w:w="108" w:type="dxa"/>
              <w:bottom w:w="0" w:type="dxa"/>
              <w:right w:w="108" w:type="dxa"/>
            </w:tcMar>
          </w:tcPr>
          <w:p w14:paraId="599B33B0" w14:textId="77777777" w:rsidR="00422EFE" w:rsidRPr="00261B7A" w:rsidRDefault="00422EFE" w:rsidP="00495AAB">
            <w:pPr>
              <w:pStyle w:val="TableText"/>
              <w:spacing w:before="30" w:after="30"/>
            </w:pPr>
            <w:r w:rsidRPr="00261B7A">
              <w:rPr>
                <w:rFonts w:eastAsia="Calibri"/>
                <w:color w:val="000000"/>
              </w:rPr>
              <w:t>New Zealand specific</w:t>
            </w:r>
          </w:p>
        </w:tc>
        <w:tc>
          <w:tcPr>
            <w:tcW w:w="2693" w:type="dxa"/>
            <w:shd w:val="clear" w:color="auto" w:fill="FFFFFF"/>
            <w:tcMar>
              <w:top w:w="0" w:type="dxa"/>
              <w:left w:w="108" w:type="dxa"/>
              <w:bottom w:w="0" w:type="dxa"/>
              <w:right w:w="108" w:type="dxa"/>
            </w:tcMar>
          </w:tcPr>
          <w:p w14:paraId="321ADC80" w14:textId="77777777" w:rsidR="00422EFE" w:rsidRPr="00261B7A" w:rsidRDefault="00422EFE" w:rsidP="00495AAB">
            <w:pPr>
              <w:pStyle w:val="TableText"/>
              <w:spacing w:before="30" w:after="30"/>
            </w:pPr>
            <w:r w:rsidRPr="00261B7A">
              <w:rPr>
                <w:rFonts w:eastAsia="Calibri"/>
                <w:color w:val="000000"/>
              </w:rPr>
              <w:t>Beca Infrastructure Ltd (unpublished)</w:t>
            </w:r>
          </w:p>
        </w:tc>
      </w:tr>
      <w:tr w:rsidR="00422EFE" w:rsidRPr="00261B7A" w14:paraId="6C7244D3" w14:textId="77777777" w:rsidTr="000815CF">
        <w:tc>
          <w:tcPr>
            <w:tcW w:w="2835" w:type="dxa"/>
            <w:shd w:val="clear" w:color="auto" w:fill="FFFFFF"/>
            <w:tcMar>
              <w:top w:w="0" w:type="dxa"/>
              <w:left w:w="108" w:type="dxa"/>
              <w:bottom w:w="0" w:type="dxa"/>
              <w:right w:w="108" w:type="dxa"/>
            </w:tcMar>
          </w:tcPr>
          <w:p w14:paraId="0666DFAB" w14:textId="77777777" w:rsidR="00422EFE" w:rsidRPr="00261B7A" w:rsidRDefault="00422EFE" w:rsidP="00495AAB">
            <w:pPr>
              <w:pStyle w:val="TableText"/>
              <w:spacing w:before="30" w:after="30"/>
            </w:pPr>
            <w:r w:rsidRPr="00261B7A">
              <w:rPr>
                <w:rFonts w:eastAsia="Calibri"/>
                <w:color w:val="000000"/>
              </w:rPr>
              <w:t>Maximum methane-producing capacity (kg CH₄/kg COD)</w:t>
            </w:r>
          </w:p>
        </w:tc>
        <w:tc>
          <w:tcPr>
            <w:tcW w:w="1276" w:type="dxa"/>
            <w:shd w:val="clear" w:color="auto" w:fill="FFFFFF"/>
            <w:tcMar>
              <w:top w:w="0" w:type="dxa"/>
              <w:left w:w="108" w:type="dxa"/>
              <w:bottom w:w="0" w:type="dxa"/>
              <w:right w:w="108" w:type="dxa"/>
            </w:tcMar>
          </w:tcPr>
          <w:p w14:paraId="339F6283" w14:textId="77777777" w:rsidR="00422EFE" w:rsidRPr="00261B7A" w:rsidRDefault="00422EFE" w:rsidP="00495AAB">
            <w:pPr>
              <w:pStyle w:val="TableText"/>
              <w:spacing w:before="30" w:after="30"/>
            </w:pPr>
            <w:r w:rsidRPr="00261B7A">
              <w:rPr>
                <w:rFonts w:eastAsia="Calibri"/>
                <w:color w:val="000000"/>
              </w:rPr>
              <w:t>0.25</w:t>
            </w:r>
          </w:p>
        </w:tc>
        <w:tc>
          <w:tcPr>
            <w:tcW w:w="1701" w:type="dxa"/>
            <w:shd w:val="clear" w:color="auto" w:fill="FFFFFF"/>
            <w:tcMar>
              <w:top w:w="0" w:type="dxa"/>
              <w:left w:w="108" w:type="dxa"/>
              <w:bottom w:w="0" w:type="dxa"/>
              <w:right w:w="108" w:type="dxa"/>
            </w:tcMar>
          </w:tcPr>
          <w:p w14:paraId="049308B2" w14:textId="77777777" w:rsidR="00422EFE" w:rsidRPr="00261B7A" w:rsidRDefault="00422EFE" w:rsidP="00495AAB">
            <w:pPr>
              <w:pStyle w:val="TableText"/>
              <w:spacing w:before="30" w:after="30"/>
            </w:pPr>
            <w:r w:rsidRPr="00261B7A">
              <w:rPr>
                <w:rFonts w:eastAsia="Calibri"/>
                <w:color w:val="000000"/>
              </w:rPr>
              <w:t>IPCC default</w:t>
            </w:r>
          </w:p>
        </w:tc>
        <w:tc>
          <w:tcPr>
            <w:tcW w:w="2693" w:type="dxa"/>
            <w:shd w:val="clear" w:color="auto" w:fill="FFFFFF"/>
            <w:tcMar>
              <w:top w:w="0" w:type="dxa"/>
              <w:left w:w="108" w:type="dxa"/>
              <w:bottom w:w="0" w:type="dxa"/>
              <w:right w:w="108" w:type="dxa"/>
            </w:tcMar>
          </w:tcPr>
          <w:p w14:paraId="17C1449F" w14:textId="77777777" w:rsidR="00422EFE" w:rsidRPr="00261B7A" w:rsidRDefault="00422EFE" w:rsidP="00495AAB">
            <w:pPr>
              <w:pStyle w:val="TableText"/>
              <w:spacing w:before="30" w:after="30"/>
            </w:pPr>
            <w:r w:rsidRPr="00261B7A">
              <w:rPr>
                <w:rFonts w:eastAsia="Calibri"/>
                <w:color w:val="000000"/>
              </w:rPr>
              <w:t>IPCC (2006a)</w:t>
            </w:r>
          </w:p>
        </w:tc>
      </w:tr>
      <w:tr w:rsidR="00422EFE" w:rsidRPr="00261B7A" w14:paraId="0F1416CD" w14:textId="77777777" w:rsidTr="000815CF">
        <w:tc>
          <w:tcPr>
            <w:tcW w:w="2835" w:type="dxa"/>
            <w:shd w:val="clear" w:color="auto" w:fill="FFFFFF"/>
            <w:tcMar>
              <w:top w:w="0" w:type="dxa"/>
              <w:left w:w="108" w:type="dxa"/>
              <w:bottom w:w="0" w:type="dxa"/>
              <w:right w:w="108" w:type="dxa"/>
            </w:tcMar>
          </w:tcPr>
          <w:p w14:paraId="76C75446" w14:textId="77777777" w:rsidR="00422EFE" w:rsidRPr="00261B7A" w:rsidRDefault="00422EFE" w:rsidP="00495AAB">
            <w:pPr>
              <w:pStyle w:val="TableText"/>
              <w:spacing w:before="30" w:after="30"/>
            </w:pPr>
            <w:r w:rsidRPr="00261B7A">
              <w:rPr>
                <w:rFonts w:eastAsia="Calibri"/>
                <w:color w:val="000000"/>
              </w:rPr>
              <w:t>Overall emission factor</w:t>
            </w:r>
          </w:p>
        </w:tc>
        <w:tc>
          <w:tcPr>
            <w:tcW w:w="1276" w:type="dxa"/>
            <w:shd w:val="clear" w:color="auto" w:fill="FFFFFF"/>
            <w:tcMar>
              <w:top w:w="0" w:type="dxa"/>
              <w:left w:w="108" w:type="dxa"/>
              <w:bottom w:w="0" w:type="dxa"/>
              <w:right w:w="108" w:type="dxa"/>
            </w:tcMar>
          </w:tcPr>
          <w:p w14:paraId="57F90AEC" w14:textId="77777777" w:rsidR="00422EFE" w:rsidRPr="00261B7A" w:rsidRDefault="00422EFE" w:rsidP="00495AAB">
            <w:pPr>
              <w:pStyle w:val="TableText"/>
              <w:spacing w:before="30" w:after="30"/>
            </w:pPr>
            <w:r w:rsidRPr="00261B7A">
              <w:rPr>
                <w:rFonts w:eastAsia="Calibri"/>
                <w:color w:val="000000"/>
              </w:rPr>
              <w:t>0.0117</w:t>
            </w:r>
          </w:p>
        </w:tc>
        <w:tc>
          <w:tcPr>
            <w:tcW w:w="1701" w:type="dxa"/>
            <w:shd w:val="clear" w:color="auto" w:fill="FFFFFF"/>
            <w:tcMar>
              <w:top w:w="0" w:type="dxa"/>
              <w:left w:w="108" w:type="dxa"/>
              <w:bottom w:w="0" w:type="dxa"/>
              <w:right w:w="108" w:type="dxa"/>
            </w:tcMar>
          </w:tcPr>
          <w:p w14:paraId="0824E591" w14:textId="77777777" w:rsidR="00422EFE" w:rsidRPr="00261B7A" w:rsidRDefault="00422EFE" w:rsidP="00495AAB">
            <w:pPr>
              <w:pStyle w:val="TableText"/>
              <w:spacing w:before="30" w:after="30"/>
            </w:pPr>
            <w:r w:rsidRPr="00261B7A">
              <w:rPr>
                <w:rFonts w:eastAsia="Calibri"/>
                <w:color w:val="000000"/>
              </w:rPr>
              <w:t>New Zealand specific</w:t>
            </w:r>
          </w:p>
        </w:tc>
        <w:tc>
          <w:tcPr>
            <w:tcW w:w="2693" w:type="dxa"/>
            <w:shd w:val="clear" w:color="auto" w:fill="FFFFFF"/>
            <w:tcMar>
              <w:top w:w="0" w:type="dxa"/>
              <w:left w:w="108" w:type="dxa"/>
              <w:bottom w:w="0" w:type="dxa"/>
              <w:right w:w="108" w:type="dxa"/>
            </w:tcMar>
          </w:tcPr>
          <w:p w14:paraId="0A879963" w14:textId="77777777" w:rsidR="00422EFE" w:rsidRPr="00261B7A" w:rsidRDefault="00422EFE" w:rsidP="00495AAB">
            <w:pPr>
              <w:pStyle w:val="TableText"/>
              <w:spacing w:before="30" w:after="30"/>
            </w:pPr>
            <w:r w:rsidRPr="00261B7A">
              <w:rPr>
                <w:rFonts w:eastAsia="Calibri"/>
                <w:color w:val="000000"/>
              </w:rPr>
              <w:t>Cardno (unpublished)</w:t>
            </w:r>
          </w:p>
        </w:tc>
      </w:tr>
    </w:tbl>
    <w:p w14:paraId="10BB73EB" w14:textId="77777777" w:rsidR="00422EFE" w:rsidRPr="00261B7A" w:rsidRDefault="00422EFE" w:rsidP="00422EFE">
      <w:pPr>
        <w:pStyle w:val="Noteundertable"/>
      </w:pPr>
      <w:r w:rsidRPr="00261B7A">
        <w:rPr>
          <w:b/>
          <w:bCs/>
        </w:rPr>
        <w:t>Note:</w:t>
      </w:r>
      <w:r w:rsidRPr="00261B7A">
        <w:t xml:space="preserve"> </w:t>
      </w:r>
      <w:r w:rsidRPr="00261B7A">
        <w:tab/>
        <w:t>COD = chemical oxygen demand.</w:t>
      </w:r>
    </w:p>
    <w:p w14:paraId="025AAFC1" w14:textId="77777777" w:rsidR="00422EFE" w:rsidRPr="00261B7A" w:rsidRDefault="00422EFE" w:rsidP="00CE2D16">
      <w:pPr>
        <w:pStyle w:val="Heading6"/>
      </w:pPr>
      <w:bookmarkStart w:id="2589" w:name="recovery-3"/>
      <w:r w:rsidRPr="00261B7A">
        <w:t>Recovery</w:t>
      </w:r>
    </w:p>
    <w:p w14:paraId="6C15271F" w14:textId="77777777" w:rsidR="00422EFE" w:rsidRPr="00261B7A" w:rsidRDefault="00422EFE" w:rsidP="00AC36B0">
      <w:pPr>
        <w:pStyle w:val="BodyText"/>
        <w:spacing w:before="100" w:after="100"/>
      </w:pPr>
      <w:r w:rsidRPr="00261B7A">
        <w:t>There is no recovery of emissions reported for this source.</w:t>
      </w:r>
    </w:p>
    <w:p w14:paraId="028AD052" w14:textId="77777777" w:rsidR="00422EFE" w:rsidRPr="00261B7A" w:rsidRDefault="00422EFE" w:rsidP="00422EFE">
      <w:pPr>
        <w:pStyle w:val="Heading5"/>
      </w:pPr>
      <w:bookmarkStart w:id="2590" w:name="X5488992b1bcc26c67c2161f3c767fe6715fed57"/>
      <w:bookmarkEnd w:id="2586"/>
      <w:bookmarkEnd w:id="2589"/>
      <w:r w:rsidRPr="00261B7A">
        <w:t>Methane emissions from industrial wastewater treatment – Wine industry</w:t>
      </w:r>
    </w:p>
    <w:p w14:paraId="22668E2B" w14:textId="77777777" w:rsidR="00422EFE" w:rsidRPr="00261B7A" w:rsidRDefault="00422EFE" w:rsidP="00AC36B0">
      <w:pPr>
        <w:pStyle w:val="BodyText"/>
        <w:spacing w:before="100" w:after="100"/>
      </w:pPr>
      <w:r w:rsidRPr="00261B7A">
        <w:t>Table 7.5.10 summarises the parameter values applied for estimating CH</w:t>
      </w:r>
      <w:r w:rsidRPr="00261B7A">
        <w:rPr>
          <w:vertAlign w:val="subscript"/>
        </w:rPr>
        <w:t>4</w:t>
      </w:r>
      <w:r w:rsidRPr="00261B7A">
        <w:t xml:space="preserve"> emissions from wastewater treatment by the wine industry.</w:t>
      </w:r>
    </w:p>
    <w:p w14:paraId="5368B9D3" w14:textId="77777777" w:rsidR="00422EFE" w:rsidRPr="00261B7A" w:rsidRDefault="00422EFE" w:rsidP="00422EFE">
      <w:pPr>
        <w:pStyle w:val="Table"/>
      </w:pPr>
      <w:bookmarkStart w:id="2591" w:name="_Toc128383688"/>
      <w:bookmarkStart w:id="2592" w:name="_Toc131591461"/>
      <w:r w:rsidRPr="00261B7A">
        <w:t xml:space="preserve">Table 7.5.10 </w:t>
      </w:r>
      <w:r w:rsidRPr="00261B7A">
        <w:tab/>
        <w:t>Parameter values applied by New Zealand for estimating methane emissions for wastewater treatment by the wine industry</w:t>
      </w:r>
      <w:bookmarkEnd w:id="2591"/>
      <w:bookmarkEnd w:id="2592"/>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552"/>
        <w:gridCol w:w="1385"/>
        <w:gridCol w:w="1701"/>
        <w:gridCol w:w="2867"/>
      </w:tblGrid>
      <w:tr w:rsidR="00422EFE" w:rsidRPr="00261B7A" w14:paraId="1513C5EA" w14:textId="77777777" w:rsidTr="000815CF">
        <w:trPr>
          <w:tblHeader/>
        </w:trPr>
        <w:tc>
          <w:tcPr>
            <w:tcW w:w="2552" w:type="dxa"/>
            <w:shd w:val="clear" w:color="auto" w:fill="1B556B"/>
            <w:tcMar>
              <w:top w:w="0" w:type="dxa"/>
              <w:left w:w="108" w:type="dxa"/>
              <w:bottom w:w="0" w:type="dxa"/>
              <w:right w:w="108" w:type="dxa"/>
            </w:tcMar>
          </w:tcPr>
          <w:p w14:paraId="73ADB8F4" w14:textId="77777777" w:rsidR="00422EFE" w:rsidRPr="00261B7A" w:rsidRDefault="00422EFE" w:rsidP="00495AAB">
            <w:pPr>
              <w:pStyle w:val="TableText"/>
              <w:keepNext/>
              <w:spacing w:before="30" w:after="30"/>
              <w:rPr>
                <w:b/>
                <w:bCs/>
                <w:color w:val="FFFFFF" w:themeColor="background1"/>
              </w:rPr>
            </w:pPr>
            <w:r w:rsidRPr="00261B7A">
              <w:rPr>
                <w:rFonts w:eastAsia="Calibri"/>
                <w:b/>
                <w:bCs/>
                <w:color w:val="FFFFFF" w:themeColor="background1"/>
              </w:rPr>
              <w:t>Parameter</w:t>
            </w:r>
          </w:p>
        </w:tc>
        <w:tc>
          <w:tcPr>
            <w:tcW w:w="1385" w:type="dxa"/>
            <w:shd w:val="clear" w:color="auto" w:fill="1B556B"/>
            <w:tcMar>
              <w:top w:w="0" w:type="dxa"/>
              <w:left w:w="108" w:type="dxa"/>
              <w:bottom w:w="0" w:type="dxa"/>
              <w:right w:w="108" w:type="dxa"/>
            </w:tcMar>
          </w:tcPr>
          <w:p w14:paraId="6A9D58A8" w14:textId="77777777" w:rsidR="00422EFE" w:rsidRPr="00261B7A" w:rsidRDefault="00422EFE" w:rsidP="00495AAB">
            <w:pPr>
              <w:pStyle w:val="TableText"/>
              <w:keepNext/>
              <w:spacing w:before="30" w:after="30"/>
              <w:rPr>
                <w:b/>
                <w:bCs/>
                <w:color w:val="FFFFFF" w:themeColor="background1"/>
              </w:rPr>
            </w:pPr>
            <w:r w:rsidRPr="00261B7A">
              <w:rPr>
                <w:rFonts w:eastAsia="Calibri"/>
                <w:b/>
                <w:bCs/>
                <w:color w:val="FFFFFF" w:themeColor="background1"/>
              </w:rPr>
              <w:t>Value</w:t>
            </w:r>
          </w:p>
        </w:tc>
        <w:tc>
          <w:tcPr>
            <w:tcW w:w="1701" w:type="dxa"/>
            <w:shd w:val="clear" w:color="auto" w:fill="1B556B"/>
            <w:tcMar>
              <w:top w:w="0" w:type="dxa"/>
              <w:left w:w="108" w:type="dxa"/>
              <w:bottom w:w="0" w:type="dxa"/>
              <w:right w:w="108" w:type="dxa"/>
            </w:tcMar>
          </w:tcPr>
          <w:p w14:paraId="315F1427" w14:textId="77777777" w:rsidR="00422EFE" w:rsidRPr="00261B7A" w:rsidRDefault="00422EFE" w:rsidP="00495AAB">
            <w:pPr>
              <w:pStyle w:val="TableText"/>
              <w:keepNext/>
              <w:spacing w:before="30" w:after="30"/>
              <w:rPr>
                <w:b/>
                <w:bCs/>
                <w:color w:val="FFFFFF" w:themeColor="background1"/>
              </w:rPr>
            </w:pPr>
            <w:r w:rsidRPr="00261B7A">
              <w:rPr>
                <w:rFonts w:eastAsia="Calibri"/>
                <w:b/>
                <w:bCs/>
                <w:color w:val="FFFFFF" w:themeColor="background1"/>
              </w:rPr>
              <w:t>Source</w:t>
            </w:r>
          </w:p>
        </w:tc>
        <w:tc>
          <w:tcPr>
            <w:tcW w:w="2867" w:type="dxa"/>
            <w:shd w:val="clear" w:color="auto" w:fill="1B556B"/>
            <w:tcMar>
              <w:top w:w="0" w:type="dxa"/>
              <w:left w:w="108" w:type="dxa"/>
              <w:bottom w:w="0" w:type="dxa"/>
              <w:right w:w="108" w:type="dxa"/>
            </w:tcMar>
          </w:tcPr>
          <w:p w14:paraId="2794DDF5" w14:textId="77777777" w:rsidR="00422EFE" w:rsidRPr="00261B7A" w:rsidRDefault="00422EFE" w:rsidP="00495AAB">
            <w:pPr>
              <w:pStyle w:val="TableText"/>
              <w:keepNext/>
              <w:spacing w:before="30" w:after="30"/>
              <w:rPr>
                <w:b/>
                <w:bCs/>
                <w:color w:val="FFFFFF" w:themeColor="background1"/>
              </w:rPr>
            </w:pPr>
            <w:r w:rsidRPr="00261B7A">
              <w:rPr>
                <w:rFonts w:eastAsia="Calibri"/>
                <w:b/>
                <w:bCs/>
                <w:color w:val="FFFFFF" w:themeColor="background1"/>
              </w:rPr>
              <w:t>Reference</w:t>
            </w:r>
          </w:p>
        </w:tc>
      </w:tr>
      <w:tr w:rsidR="00422EFE" w:rsidRPr="00261B7A" w14:paraId="2345BCDD" w14:textId="77777777" w:rsidTr="000815CF">
        <w:tc>
          <w:tcPr>
            <w:tcW w:w="2552" w:type="dxa"/>
            <w:shd w:val="clear" w:color="auto" w:fill="FFFFFF"/>
            <w:tcMar>
              <w:top w:w="0" w:type="dxa"/>
              <w:left w:w="108" w:type="dxa"/>
              <w:bottom w:w="0" w:type="dxa"/>
              <w:right w:w="108" w:type="dxa"/>
            </w:tcMar>
          </w:tcPr>
          <w:p w14:paraId="329C678B" w14:textId="77777777" w:rsidR="00422EFE" w:rsidRPr="00261B7A" w:rsidRDefault="00422EFE" w:rsidP="00495AAB">
            <w:pPr>
              <w:pStyle w:val="TableText"/>
              <w:keepNext/>
              <w:spacing w:before="30" w:after="30"/>
            </w:pPr>
            <w:r w:rsidRPr="00261B7A">
              <w:rPr>
                <w:rFonts w:eastAsia="Calibri"/>
                <w:color w:val="000000"/>
              </w:rPr>
              <w:t>Degradable organic component (kg COD/tonne of product)</w:t>
            </w:r>
          </w:p>
        </w:tc>
        <w:tc>
          <w:tcPr>
            <w:tcW w:w="1385" w:type="dxa"/>
            <w:shd w:val="clear" w:color="auto" w:fill="FFFFFF"/>
            <w:tcMar>
              <w:top w:w="0" w:type="dxa"/>
              <w:left w:w="108" w:type="dxa"/>
              <w:bottom w:w="0" w:type="dxa"/>
              <w:right w:w="108" w:type="dxa"/>
            </w:tcMar>
          </w:tcPr>
          <w:p w14:paraId="353D088D" w14:textId="77777777" w:rsidR="00422EFE" w:rsidRPr="00261B7A" w:rsidRDefault="00422EFE" w:rsidP="00495AAB">
            <w:pPr>
              <w:pStyle w:val="TableText"/>
              <w:keepNext/>
              <w:spacing w:before="30" w:after="30"/>
            </w:pPr>
            <w:r w:rsidRPr="00261B7A">
              <w:rPr>
                <w:rFonts w:eastAsia="Calibri"/>
                <w:color w:val="000000"/>
              </w:rPr>
              <w:t>12.42</w:t>
            </w:r>
          </w:p>
        </w:tc>
        <w:tc>
          <w:tcPr>
            <w:tcW w:w="1701" w:type="dxa"/>
            <w:shd w:val="clear" w:color="auto" w:fill="FFFFFF"/>
            <w:tcMar>
              <w:top w:w="0" w:type="dxa"/>
              <w:left w:w="108" w:type="dxa"/>
              <w:bottom w:w="0" w:type="dxa"/>
              <w:right w:w="108" w:type="dxa"/>
            </w:tcMar>
          </w:tcPr>
          <w:p w14:paraId="017DE6E3" w14:textId="77777777" w:rsidR="00422EFE" w:rsidRPr="00261B7A" w:rsidRDefault="00422EFE" w:rsidP="00495AAB">
            <w:pPr>
              <w:pStyle w:val="TableText"/>
              <w:keepNext/>
              <w:spacing w:before="30" w:after="30"/>
            </w:pPr>
            <w:r w:rsidRPr="00261B7A">
              <w:rPr>
                <w:rFonts w:eastAsia="Calibri"/>
                <w:color w:val="000000"/>
              </w:rPr>
              <w:t>New Zealand specific</w:t>
            </w:r>
          </w:p>
        </w:tc>
        <w:tc>
          <w:tcPr>
            <w:tcW w:w="2867" w:type="dxa"/>
            <w:shd w:val="clear" w:color="auto" w:fill="FFFFFF"/>
            <w:tcMar>
              <w:top w:w="0" w:type="dxa"/>
              <w:left w:w="108" w:type="dxa"/>
              <w:bottom w:w="0" w:type="dxa"/>
              <w:right w:w="108" w:type="dxa"/>
            </w:tcMar>
          </w:tcPr>
          <w:p w14:paraId="560F47E3" w14:textId="77777777" w:rsidR="00422EFE" w:rsidRPr="00261B7A" w:rsidRDefault="00422EFE" w:rsidP="00495AAB">
            <w:pPr>
              <w:pStyle w:val="TableText"/>
              <w:keepNext/>
              <w:spacing w:before="30" w:after="30"/>
            </w:pPr>
            <w:r w:rsidRPr="00261B7A">
              <w:rPr>
                <w:rFonts w:eastAsia="Calibri"/>
                <w:color w:val="000000"/>
              </w:rPr>
              <w:t>Beca Infrastructure Ltd (unpublished)</w:t>
            </w:r>
          </w:p>
        </w:tc>
      </w:tr>
      <w:tr w:rsidR="00422EFE" w:rsidRPr="00261B7A" w14:paraId="5495E854" w14:textId="77777777" w:rsidTr="000815CF">
        <w:tc>
          <w:tcPr>
            <w:tcW w:w="2552" w:type="dxa"/>
            <w:shd w:val="clear" w:color="auto" w:fill="FFFFFF"/>
            <w:tcMar>
              <w:top w:w="0" w:type="dxa"/>
              <w:left w:w="108" w:type="dxa"/>
              <w:bottom w:w="0" w:type="dxa"/>
              <w:right w:w="108" w:type="dxa"/>
            </w:tcMar>
          </w:tcPr>
          <w:p w14:paraId="456B30B8" w14:textId="77777777" w:rsidR="00422EFE" w:rsidRPr="00261B7A" w:rsidRDefault="00422EFE" w:rsidP="00495AAB">
            <w:pPr>
              <w:pStyle w:val="TableText"/>
              <w:keepNext/>
              <w:spacing w:before="30" w:after="30"/>
            </w:pPr>
            <w:r w:rsidRPr="00261B7A">
              <w:rPr>
                <w:rFonts w:eastAsia="Calibri"/>
                <w:color w:val="000000"/>
              </w:rPr>
              <w:t>Methane correction factor</w:t>
            </w:r>
          </w:p>
        </w:tc>
        <w:tc>
          <w:tcPr>
            <w:tcW w:w="1385" w:type="dxa"/>
            <w:shd w:val="clear" w:color="auto" w:fill="FFFFFF"/>
            <w:tcMar>
              <w:top w:w="0" w:type="dxa"/>
              <w:left w:w="108" w:type="dxa"/>
              <w:bottom w:w="0" w:type="dxa"/>
              <w:right w:w="108" w:type="dxa"/>
            </w:tcMar>
          </w:tcPr>
          <w:p w14:paraId="3C38D2CB" w14:textId="77777777" w:rsidR="00422EFE" w:rsidRPr="00261B7A" w:rsidRDefault="00422EFE" w:rsidP="00495AAB">
            <w:pPr>
              <w:pStyle w:val="TableText"/>
              <w:keepNext/>
              <w:spacing w:before="30" w:after="30"/>
            </w:pPr>
            <w:r w:rsidRPr="00261B7A">
              <w:rPr>
                <w:rFonts w:eastAsia="Calibri"/>
                <w:color w:val="000000"/>
              </w:rPr>
              <w:t>Range of 0–0.5</w:t>
            </w:r>
          </w:p>
        </w:tc>
        <w:tc>
          <w:tcPr>
            <w:tcW w:w="1701" w:type="dxa"/>
            <w:shd w:val="clear" w:color="auto" w:fill="FFFFFF"/>
            <w:tcMar>
              <w:top w:w="0" w:type="dxa"/>
              <w:left w:w="108" w:type="dxa"/>
              <w:bottom w:w="0" w:type="dxa"/>
              <w:right w:w="108" w:type="dxa"/>
            </w:tcMar>
          </w:tcPr>
          <w:p w14:paraId="6AFB8851" w14:textId="77777777" w:rsidR="00422EFE" w:rsidRPr="00261B7A" w:rsidRDefault="00422EFE" w:rsidP="00495AAB">
            <w:pPr>
              <w:pStyle w:val="TableText"/>
              <w:keepNext/>
              <w:spacing w:before="30" w:after="30"/>
            </w:pPr>
            <w:r w:rsidRPr="00261B7A">
              <w:rPr>
                <w:rFonts w:eastAsia="Calibri"/>
                <w:color w:val="000000"/>
              </w:rPr>
              <w:t>New Zealand specific</w:t>
            </w:r>
          </w:p>
        </w:tc>
        <w:tc>
          <w:tcPr>
            <w:tcW w:w="2867" w:type="dxa"/>
            <w:shd w:val="clear" w:color="auto" w:fill="FFFFFF"/>
            <w:tcMar>
              <w:top w:w="0" w:type="dxa"/>
              <w:left w:w="108" w:type="dxa"/>
              <w:bottom w:w="0" w:type="dxa"/>
              <w:right w:w="108" w:type="dxa"/>
            </w:tcMar>
          </w:tcPr>
          <w:p w14:paraId="4EA96BB5" w14:textId="77777777" w:rsidR="00422EFE" w:rsidRPr="00261B7A" w:rsidRDefault="00422EFE" w:rsidP="00495AAB">
            <w:pPr>
              <w:pStyle w:val="TableText"/>
              <w:keepNext/>
              <w:spacing w:before="30" w:after="30"/>
            </w:pPr>
            <w:r w:rsidRPr="00261B7A">
              <w:rPr>
                <w:rFonts w:eastAsia="Calibri"/>
                <w:color w:val="000000"/>
              </w:rPr>
              <w:t>Beca Infrastructure Ltd (unpublished)</w:t>
            </w:r>
          </w:p>
        </w:tc>
      </w:tr>
      <w:tr w:rsidR="00422EFE" w:rsidRPr="00261B7A" w14:paraId="6A57FC13" w14:textId="77777777" w:rsidTr="000815CF">
        <w:tc>
          <w:tcPr>
            <w:tcW w:w="2552" w:type="dxa"/>
            <w:shd w:val="clear" w:color="auto" w:fill="FFFFFF"/>
            <w:tcMar>
              <w:top w:w="0" w:type="dxa"/>
              <w:left w:w="108" w:type="dxa"/>
              <w:bottom w:w="0" w:type="dxa"/>
              <w:right w:w="108" w:type="dxa"/>
            </w:tcMar>
          </w:tcPr>
          <w:p w14:paraId="15FEB5BC" w14:textId="77777777" w:rsidR="00422EFE" w:rsidRPr="00261B7A" w:rsidRDefault="00422EFE" w:rsidP="00495AAB">
            <w:pPr>
              <w:pStyle w:val="TableText"/>
              <w:spacing w:before="30" w:after="30"/>
            </w:pPr>
            <w:r w:rsidRPr="00261B7A">
              <w:rPr>
                <w:rFonts w:eastAsia="Calibri"/>
                <w:color w:val="000000"/>
              </w:rPr>
              <w:t>Maximum methane-producing capacity (kg CH₄/kg COD)</w:t>
            </w:r>
          </w:p>
        </w:tc>
        <w:tc>
          <w:tcPr>
            <w:tcW w:w="1385" w:type="dxa"/>
            <w:shd w:val="clear" w:color="auto" w:fill="FFFFFF"/>
            <w:tcMar>
              <w:top w:w="0" w:type="dxa"/>
              <w:left w:w="108" w:type="dxa"/>
              <w:bottom w:w="0" w:type="dxa"/>
              <w:right w:w="108" w:type="dxa"/>
            </w:tcMar>
          </w:tcPr>
          <w:p w14:paraId="678EB141" w14:textId="77777777" w:rsidR="00422EFE" w:rsidRPr="00261B7A" w:rsidRDefault="00422EFE" w:rsidP="00495AAB">
            <w:pPr>
              <w:pStyle w:val="TableText"/>
              <w:spacing w:before="30" w:after="30"/>
            </w:pPr>
            <w:r w:rsidRPr="00261B7A">
              <w:rPr>
                <w:rFonts w:eastAsia="Calibri"/>
                <w:color w:val="000000"/>
              </w:rPr>
              <w:t>0.25</w:t>
            </w:r>
          </w:p>
        </w:tc>
        <w:tc>
          <w:tcPr>
            <w:tcW w:w="1701" w:type="dxa"/>
            <w:shd w:val="clear" w:color="auto" w:fill="FFFFFF"/>
            <w:tcMar>
              <w:top w:w="0" w:type="dxa"/>
              <w:left w:w="108" w:type="dxa"/>
              <w:bottom w:w="0" w:type="dxa"/>
              <w:right w:w="108" w:type="dxa"/>
            </w:tcMar>
          </w:tcPr>
          <w:p w14:paraId="68330126" w14:textId="77777777" w:rsidR="00422EFE" w:rsidRPr="00261B7A" w:rsidRDefault="00422EFE" w:rsidP="00495AAB">
            <w:pPr>
              <w:pStyle w:val="TableText"/>
              <w:spacing w:before="30" w:after="30"/>
            </w:pPr>
            <w:r w:rsidRPr="00261B7A">
              <w:rPr>
                <w:rFonts w:eastAsia="Calibri"/>
                <w:color w:val="000000"/>
              </w:rPr>
              <w:t>IPCC default</w:t>
            </w:r>
          </w:p>
        </w:tc>
        <w:tc>
          <w:tcPr>
            <w:tcW w:w="2867" w:type="dxa"/>
            <w:shd w:val="clear" w:color="auto" w:fill="FFFFFF"/>
            <w:tcMar>
              <w:top w:w="0" w:type="dxa"/>
              <w:left w:w="108" w:type="dxa"/>
              <w:bottom w:w="0" w:type="dxa"/>
              <w:right w:w="108" w:type="dxa"/>
            </w:tcMar>
          </w:tcPr>
          <w:p w14:paraId="07BFF649" w14:textId="77777777" w:rsidR="00422EFE" w:rsidRPr="00261B7A" w:rsidRDefault="00422EFE" w:rsidP="00495AAB">
            <w:pPr>
              <w:pStyle w:val="TableText"/>
              <w:spacing w:before="30" w:after="30"/>
            </w:pPr>
            <w:r w:rsidRPr="00261B7A">
              <w:rPr>
                <w:rFonts w:eastAsia="Calibri"/>
                <w:color w:val="000000"/>
              </w:rPr>
              <w:t>IPCC (2006a)</w:t>
            </w:r>
          </w:p>
        </w:tc>
      </w:tr>
      <w:tr w:rsidR="00422EFE" w:rsidRPr="00261B7A" w14:paraId="35106C79" w14:textId="77777777" w:rsidTr="000815CF">
        <w:tc>
          <w:tcPr>
            <w:tcW w:w="2552" w:type="dxa"/>
            <w:shd w:val="clear" w:color="auto" w:fill="FFFFFF"/>
            <w:tcMar>
              <w:top w:w="0" w:type="dxa"/>
              <w:left w:w="108" w:type="dxa"/>
              <w:bottom w:w="0" w:type="dxa"/>
              <w:right w:w="108" w:type="dxa"/>
            </w:tcMar>
          </w:tcPr>
          <w:p w14:paraId="4C6E4F86" w14:textId="77777777" w:rsidR="00422EFE" w:rsidRPr="00261B7A" w:rsidRDefault="00422EFE" w:rsidP="00495AAB">
            <w:pPr>
              <w:pStyle w:val="TableText"/>
              <w:spacing w:before="30" w:after="30"/>
            </w:pPr>
            <w:r w:rsidRPr="00261B7A">
              <w:rPr>
                <w:rFonts w:eastAsia="Calibri"/>
                <w:color w:val="000000"/>
              </w:rPr>
              <w:t>Overall emission factor</w:t>
            </w:r>
          </w:p>
        </w:tc>
        <w:tc>
          <w:tcPr>
            <w:tcW w:w="1385" w:type="dxa"/>
            <w:shd w:val="clear" w:color="auto" w:fill="FFFFFF"/>
            <w:tcMar>
              <w:top w:w="0" w:type="dxa"/>
              <w:left w:w="108" w:type="dxa"/>
              <w:bottom w:w="0" w:type="dxa"/>
              <w:right w:w="108" w:type="dxa"/>
            </w:tcMar>
          </w:tcPr>
          <w:p w14:paraId="3EEDB3BA" w14:textId="77777777" w:rsidR="00422EFE" w:rsidRPr="00261B7A" w:rsidRDefault="00422EFE" w:rsidP="00495AAB">
            <w:pPr>
              <w:pStyle w:val="TableText"/>
              <w:spacing w:before="30" w:after="30"/>
            </w:pPr>
            <w:r w:rsidRPr="00261B7A">
              <w:rPr>
                <w:rFonts w:eastAsia="Calibri"/>
                <w:color w:val="000000"/>
              </w:rPr>
              <w:t>0.0167</w:t>
            </w:r>
          </w:p>
        </w:tc>
        <w:tc>
          <w:tcPr>
            <w:tcW w:w="1701" w:type="dxa"/>
            <w:shd w:val="clear" w:color="auto" w:fill="FFFFFF"/>
            <w:tcMar>
              <w:top w:w="0" w:type="dxa"/>
              <w:left w:w="108" w:type="dxa"/>
              <w:bottom w:w="0" w:type="dxa"/>
              <w:right w:w="108" w:type="dxa"/>
            </w:tcMar>
          </w:tcPr>
          <w:p w14:paraId="4014BD90" w14:textId="77777777" w:rsidR="00422EFE" w:rsidRPr="00261B7A" w:rsidRDefault="00422EFE" w:rsidP="00495AAB">
            <w:pPr>
              <w:pStyle w:val="TableText"/>
              <w:spacing w:before="30" w:after="30"/>
            </w:pPr>
            <w:r w:rsidRPr="00261B7A">
              <w:rPr>
                <w:rFonts w:eastAsia="Calibri"/>
                <w:color w:val="000000"/>
              </w:rPr>
              <w:t>New Zealand specific</w:t>
            </w:r>
          </w:p>
        </w:tc>
        <w:tc>
          <w:tcPr>
            <w:tcW w:w="2867" w:type="dxa"/>
            <w:shd w:val="clear" w:color="auto" w:fill="FFFFFF"/>
            <w:tcMar>
              <w:top w:w="0" w:type="dxa"/>
              <w:left w:w="108" w:type="dxa"/>
              <w:bottom w:w="0" w:type="dxa"/>
              <w:right w:w="108" w:type="dxa"/>
            </w:tcMar>
          </w:tcPr>
          <w:p w14:paraId="76B912BA" w14:textId="77777777" w:rsidR="00422EFE" w:rsidRPr="00261B7A" w:rsidRDefault="00422EFE" w:rsidP="00495AAB">
            <w:pPr>
              <w:pStyle w:val="TableText"/>
              <w:spacing w:before="30" w:after="30"/>
            </w:pPr>
            <w:r w:rsidRPr="00261B7A">
              <w:rPr>
                <w:rFonts w:eastAsia="Calibri"/>
                <w:color w:val="000000"/>
              </w:rPr>
              <w:t>Cardno (unpublished)</w:t>
            </w:r>
          </w:p>
        </w:tc>
      </w:tr>
    </w:tbl>
    <w:p w14:paraId="521E1E05" w14:textId="77777777" w:rsidR="00422EFE" w:rsidRPr="00261B7A" w:rsidRDefault="00422EFE" w:rsidP="00422EFE">
      <w:pPr>
        <w:pStyle w:val="Noteundertable"/>
      </w:pPr>
      <w:r w:rsidRPr="00261B7A">
        <w:rPr>
          <w:b/>
          <w:bCs/>
        </w:rPr>
        <w:t>Note:</w:t>
      </w:r>
      <w:r w:rsidRPr="00261B7A">
        <w:t xml:space="preserve"> </w:t>
      </w:r>
      <w:r w:rsidRPr="00261B7A">
        <w:tab/>
        <w:t>COD = chemical oxygen demand.</w:t>
      </w:r>
    </w:p>
    <w:p w14:paraId="68728B44" w14:textId="77777777" w:rsidR="00422EFE" w:rsidRPr="00261B7A" w:rsidRDefault="00422EFE" w:rsidP="00CE2D16">
      <w:pPr>
        <w:pStyle w:val="Heading6"/>
      </w:pPr>
      <w:bookmarkStart w:id="2593" w:name="recovery-4"/>
      <w:r w:rsidRPr="00261B7A">
        <w:t>Recovery</w:t>
      </w:r>
    </w:p>
    <w:p w14:paraId="0D55ADA9" w14:textId="77777777" w:rsidR="00422EFE" w:rsidRPr="00261B7A" w:rsidRDefault="00422EFE" w:rsidP="00B02DB8">
      <w:pPr>
        <w:pStyle w:val="BodyText"/>
        <w:spacing w:before="80" w:after="100"/>
      </w:pPr>
      <w:r w:rsidRPr="00261B7A">
        <w:t>There is no recovery of emissions reported for this source.</w:t>
      </w:r>
    </w:p>
    <w:p w14:paraId="2AF3ECD6" w14:textId="77777777" w:rsidR="00422EFE" w:rsidRPr="00261B7A" w:rsidRDefault="00422EFE" w:rsidP="00422EFE">
      <w:pPr>
        <w:pStyle w:val="Heading5"/>
      </w:pPr>
      <w:bookmarkStart w:id="2594" w:name="X5a52bbb68da2cb296e8b721fd30922a71eebd28"/>
      <w:bookmarkEnd w:id="2590"/>
      <w:bookmarkEnd w:id="2593"/>
      <w:r w:rsidRPr="00261B7A">
        <w:t>Methane emissions from industrial wastewater treatment – Wool scouring industry</w:t>
      </w:r>
    </w:p>
    <w:p w14:paraId="6AD1894F" w14:textId="77777777" w:rsidR="00422EFE" w:rsidRPr="00261B7A" w:rsidRDefault="00422EFE" w:rsidP="00422EFE">
      <w:pPr>
        <w:pStyle w:val="BodyText"/>
      </w:pPr>
      <w:r w:rsidRPr="00261B7A">
        <w:t>Table 7.5.11 summarises the parameter values applied for estimating CH</w:t>
      </w:r>
      <w:r w:rsidRPr="00261B7A">
        <w:rPr>
          <w:vertAlign w:val="subscript"/>
        </w:rPr>
        <w:t>4</w:t>
      </w:r>
      <w:r w:rsidRPr="00261B7A">
        <w:t xml:space="preserve"> emissions from wastewater treatment by the wool scouring industry.</w:t>
      </w:r>
    </w:p>
    <w:p w14:paraId="038D850D" w14:textId="77777777" w:rsidR="00422EFE" w:rsidRPr="00261B7A" w:rsidRDefault="00422EFE" w:rsidP="00422EFE">
      <w:pPr>
        <w:pStyle w:val="Table"/>
      </w:pPr>
      <w:bookmarkStart w:id="2595" w:name="_Toc128383689"/>
      <w:bookmarkStart w:id="2596" w:name="_Toc131591462"/>
      <w:r w:rsidRPr="00261B7A">
        <w:t xml:space="preserve">Table 7.5.11 </w:t>
      </w:r>
      <w:r w:rsidRPr="00261B7A">
        <w:tab/>
        <w:t>Parameter values applied by New Zealand for estimating methane emissions for wastewater treatment by the wool scouring industry</w:t>
      </w:r>
      <w:bookmarkEnd w:id="2595"/>
      <w:bookmarkEnd w:id="2596"/>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552"/>
        <w:gridCol w:w="709"/>
        <w:gridCol w:w="1701"/>
        <w:gridCol w:w="3543"/>
      </w:tblGrid>
      <w:tr w:rsidR="00422EFE" w:rsidRPr="00261B7A" w14:paraId="0F60E623" w14:textId="77777777" w:rsidTr="000A0ABE">
        <w:trPr>
          <w:tblHeader/>
        </w:trPr>
        <w:tc>
          <w:tcPr>
            <w:tcW w:w="2552" w:type="dxa"/>
            <w:shd w:val="clear" w:color="auto" w:fill="1B556B"/>
            <w:tcMar>
              <w:top w:w="0" w:type="dxa"/>
              <w:left w:w="108" w:type="dxa"/>
              <w:bottom w:w="0" w:type="dxa"/>
              <w:right w:w="108" w:type="dxa"/>
            </w:tcMar>
          </w:tcPr>
          <w:p w14:paraId="6736062F"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Parameter</w:t>
            </w:r>
          </w:p>
        </w:tc>
        <w:tc>
          <w:tcPr>
            <w:tcW w:w="709" w:type="dxa"/>
            <w:shd w:val="clear" w:color="auto" w:fill="1B556B"/>
            <w:tcMar>
              <w:top w:w="0" w:type="dxa"/>
              <w:left w:w="108" w:type="dxa"/>
              <w:bottom w:w="0" w:type="dxa"/>
              <w:right w:w="108" w:type="dxa"/>
            </w:tcMar>
          </w:tcPr>
          <w:p w14:paraId="1E981756"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Value</w:t>
            </w:r>
          </w:p>
        </w:tc>
        <w:tc>
          <w:tcPr>
            <w:tcW w:w="1701" w:type="dxa"/>
            <w:shd w:val="clear" w:color="auto" w:fill="1B556B"/>
            <w:tcMar>
              <w:top w:w="0" w:type="dxa"/>
              <w:left w:w="108" w:type="dxa"/>
              <w:bottom w:w="0" w:type="dxa"/>
              <w:right w:w="108" w:type="dxa"/>
            </w:tcMar>
          </w:tcPr>
          <w:p w14:paraId="4BC4050D"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Source</w:t>
            </w:r>
          </w:p>
        </w:tc>
        <w:tc>
          <w:tcPr>
            <w:tcW w:w="3543" w:type="dxa"/>
            <w:shd w:val="clear" w:color="auto" w:fill="1B556B"/>
            <w:tcMar>
              <w:top w:w="0" w:type="dxa"/>
              <w:left w:w="108" w:type="dxa"/>
              <w:bottom w:w="0" w:type="dxa"/>
              <w:right w:w="108" w:type="dxa"/>
            </w:tcMar>
          </w:tcPr>
          <w:p w14:paraId="3A029026"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Reference</w:t>
            </w:r>
          </w:p>
        </w:tc>
      </w:tr>
      <w:tr w:rsidR="00422EFE" w:rsidRPr="00261B7A" w14:paraId="02670FAA" w14:textId="77777777" w:rsidTr="000A0ABE">
        <w:tc>
          <w:tcPr>
            <w:tcW w:w="2552" w:type="dxa"/>
            <w:shd w:val="clear" w:color="auto" w:fill="FFFFFF"/>
            <w:tcMar>
              <w:top w:w="0" w:type="dxa"/>
              <w:left w:w="108" w:type="dxa"/>
              <w:bottom w:w="0" w:type="dxa"/>
              <w:right w:w="108" w:type="dxa"/>
            </w:tcMar>
          </w:tcPr>
          <w:p w14:paraId="13698883" w14:textId="77777777" w:rsidR="00422EFE" w:rsidRPr="00261B7A" w:rsidRDefault="00422EFE" w:rsidP="00D41492">
            <w:pPr>
              <w:pStyle w:val="TableText"/>
              <w:spacing w:before="40" w:after="40"/>
            </w:pPr>
            <w:r w:rsidRPr="00261B7A">
              <w:rPr>
                <w:rFonts w:eastAsia="Calibri"/>
                <w:color w:val="000000"/>
              </w:rPr>
              <w:t>Degradable organic component (kg COD/tonne of product)</w:t>
            </w:r>
          </w:p>
        </w:tc>
        <w:tc>
          <w:tcPr>
            <w:tcW w:w="709" w:type="dxa"/>
            <w:shd w:val="clear" w:color="auto" w:fill="FFFFFF"/>
            <w:tcMar>
              <w:top w:w="0" w:type="dxa"/>
              <w:left w:w="108" w:type="dxa"/>
              <w:bottom w:w="0" w:type="dxa"/>
              <w:right w:w="108" w:type="dxa"/>
            </w:tcMar>
          </w:tcPr>
          <w:p w14:paraId="52A6BB1E" w14:textId="77777777" w:rsidR="00422EFE" w:rsidRPr="00261B7A" w:rsidRDefault="00422EFE" w:rsidP="00D41492">
            <w:pPr>
              <w:pStyle w:val="TableText"/>
              <w:spacing w:before="40" w:after="40"/>
            </w:pPr>
            <w:r w:rsidRPr="00261B7A">
              <w:rPr>
                <w:rFonts w:eastAsia="Calibri"/>
                <w:color w:val="000000"/>
              </w:rPr>
              <w:t>22</w:t>
            </w:r>
          </w:p>
        </w:tc>
        <w:tc>
          <w:tcPr>
            <w:tcW w:w="1701" w:type="dxa"/>
            <w:shd w:val="clear" w:color="auto" w:fill="FFFFFF"/>
            <w:tcMar>
              <w:top w:w="0" w:type="dxa"/>
              <w:left w:w="108" w:type="dxa"/>
              <w:bottom w:w="0" w:type="dxa"/>
              <w:right w:w="108" w:type="dxa"/>
            </w:tcMar>
          </w:tcPr>
          <w:p w14:paraId="61654A35" w14:textId="77777777" w:rsidR="00422EFE" w:rsidRPr="00261B7A" w:rsidRDefault="00422EFE" w:rsidP="00D41492">
            <w:pPr>
              <w:pStyle w:val="TableText"/>
              <w:spacing w:before="40" w:after="40"/>
            </w:pPr>
            <w:r w:rsidRPr="00261B7A">
              <w:rPr>
                <w:rFonts w:eastAsia="Calibri"/>
                <w:color w:val="000000"/>
              </w:rPr>
              <w:t>New Zealand specific</w:t>
            </w:r>
          </w:p>
        </w:tc>
        <w:tc>
          <w:tcPr>
            <w:tcW w:w="3543" w:type="dxa"/>
            <w:shd w:val="clear" w:color="auto" w:fill="FFFFFF"/>
            <w:tcMar>
              <w:top w:w="0" w:type="dxa"/>
              <w:left w:w="108" w:type="dxa"/>
              <w:bottom w:w="0" w:type="dxa"/>
              <w:right w:w="108" w:type="dxa"/>
            </w:tcMar>
          </w:tcPr>
          <w:p w14:paraId="05DCCB11" w14:textId="77777777" w:rsidR="00422EFE" w:rsidRPr="00261B7A" w:rsidRDefault="00422EFE" w:rsidP="00D41492">
            <w:pPr>
              <w:pStyle w:val="TableText"/>
              <w:spacing w:before="40" w:after="40"/>
            </w:pPr>
            <w:r w:rsidRPr="00261B7A">
              <w:rPr>
                <w:rFonts w:eastAsia="Calibri"/>
                <w:color w:val="000000"/>
              </w:rPr>
              <w:t>SCS Wetherill Environmental (unpublished)</w:t>
            </w:r>
          </w:p>
        </w:tc>
      </w:tr>
      <w:tr w:rsidR="00422EFE" w:rsidRPr="00261B7A" w14:paraId="2758A9E2" w14:textId="77777777" w:rsidTr="000A0ABE">
        <w:tc>
          <w:tcPr>
            <w:tcW w:w="2552" w:type="dxa"/>
            <w:shd w:val="clear" w:color="auto" w:fill="FFFFFF"/>
            <w:tcMar>
              <w:top w:w="0" w:type="dxa"/>
              <w:left w:w="108" w:type="dxa"/>
              <w:bottom w:w="0" w:type="dxa"/>
              <w:right w:w="108" w:type="dxa"/>
            </w:tcMar>
          </w:tcPr>
          <w:p w14:paraId="46D0A0FC" w14:textId="77777777" w:rsidR="00422EFE" w:rsidRPr="00261B7A" w:rsidRDefault="00422EFE" w:rsidP="00D41492">
            <w:pPr>
              <w:pStyle w:val="TableText"/>
              <w:spacing w:before="40" w:after="40"/>
            </w:pPr>
            <w:r w:rsidRPr="00261B7A">
              <w:rPr>
                <w:rFonts w:eastAsia="Calibri"/>
                <w:color w:val="000000"/>
              </w:rPr>
              <w:t>Methane correction factor</w:t>
            </w:r>
          </w:p>
        </w:tc>
        <w:tc>
          <w:tcPr>
            <w:tcW w:w="709" w:type="dxa"/>
            <w:shd w:val="clear" w:color="auto" w:fill="FFFFFF"/>
            <w:tcMar>
              <w:top w:w="0" w:type="dxa"/>
              <w:left w:w="108" w:type="dxa"/>
              <w:bottom w:w="0" w:type="dxa"/>
              <w:right w:w="108" w:type="dxa"/>
            </w:tcMar>
          </w:tcPr>
          <w:p w14:paraId="4CBCAE2D" w14:textId="77777777" w:rsidR="00422EFE" w:rsidRPr="00261B7A" w:rsidRDefault="00422EFE" w:rsidP="00D41492">
            <w:pPr>
              <w:pStyle w:val="TableText"/>
              <w:spacing w:before="40" w:after="40"/>
            </w:pPr>
            <w:r w:rsidRPr="00261B7A">
              <w:rPr>
                <w:rFonts w:eastAsia="Calibri"/>
                <w:color w:val="000000"/>
              </w:rPr>
              <w:t>0.29</w:t>
            </w:r>
          </w:p>
        </w:tc>
        <w:tc>
          <w:tcPr>
            <w:tcW w:w="1701" w:type="dxa"/>
            <w:shd w:val="clear" w:color="auto" w:fill="FFFFFF"/>
            <w:tcMar>
              <w:top w:w="0" w:type="dxa"/>
              <w:left w:w="108" w:type="dxa"/>
              <w:bottom w:w="0" w:type="dxa"/>
              <w:right w:w="108" w:type="dxa"/>
            </w:tcMar>
          </w:tcPr>
          <w:p w14:paraId="7D72E1E4" w14:textId="77777777" w:rsidR="00422EFE" w:rsidRPr="00261B7A" w:rsidRDefault="00422EFE" w:rsidP="00D41492">
            <w:pPr>
              <w:pStyle w:val="TableText"/>
              <w:spacing w:before="40" w:after="40"/>
            </w:pPr>
            <w:r w:rsidRPr="00261B7A">
              <w:rPr>
                <w:rFonts w:eastAsia="Calibri"/>
                <w:color w:val="000000"/>
              </w:rPr>
              <w:t>New Zealand specific</w:t>
            </w:r>
          </w:p>
        </w:tc>
        <w:tc>
          <w:tcPr>
            <w:tcW w:w="3543" w:type="dxa"/>
            <w:shd w:val="clear" w:color="auto" w:fill="FFFFFF"/>
            <w:tcMar>
              <w:top w:w="0" w:type="dxa"/>
              <w:left w:w="108" w:type="dxa"/>
              <w:bottom w:w="0" w:type="dxa"/>
              <w:right w:w="108" w:type="dxa"/>
            </w:tcMar>
          </w:tcPr>
          <w:p w14:paraId="3B50D719" w14:textId="77777777" w:rsidR="00422EFE" w:rsidRPr="00261B7A" w:rsidRDefault="00422EFE" w:rsidP="00D41492">
            <w:pPr>
              <w:pStyle w:val="TableText"/>
              <w:spacing w:before="40" w:after="40"/>
            </w:pPr>
            <w:r w:rsidRPr="00261B7A">
              <w:rPr>
                <w:rFonts w:eastAsia="Calibri"/>
                <w:color w:val="000000"/>
              </w:rPr>
              <w:t>SCS Wetherill Environmental (unpublished)</w:t>
            </w:r>
          </w:p>
        </w:tc>
      </w:tr>
      <w:tr w:rsidR="00422EFE" w:rsidRPr="00261B7A" w14:paraId="3F7CD107" w14:textId="77777777" w:rsidTr="000A0ABE">
        <w:tc>
          <w:tcPr>
            <w:tcW w:w="2552" w:type="dxa"/>
            <w:shd w:val="clear" w:color="auto" w:fill="FFFFFF"/>
            <w:tcMar>
              <w:top w:w="0" w:type="dxa"/>
              <w:left w:w="108" w:type="dxa"/>
              <w:bottom w:w="0" w:type="dxa"/>
              <w:right w:w="108" w:type="dxa"/>
            </w:tcMar>
          </w:tcPr>
          <w:p w14:paraId="0F7A07BD" w14:textId="77777777" w:rsidR="00422EFE" w:rsidRPr="00261B7A" w:rsidRDefault="00422EFE" w:rsidP="00D41492">
            <w:pPr>
              <w:pStyle w:val="TableText"/>
              <w:spacing w:before="40" w:after="40"/>
            </w:pPr>
            <w:r w:rsidRPr="00261B7A">
              <w:rPr>
                <w:rFonts w:eastAsia="Calibri"/>
                <w:color w:val="000000"/>
              </w:rPr>
              <w:t>Maximum methane-producing capacity (kg CH₄/kg COD)</w:t>
            </w:r>
          </w:p>
        </w:tc>
        <w:tc>
          <w:tcPr>
            <w:tcW w:w="709" w:type="dxa"/>
            <w:shd w:val="clear" w:color="auto" w:fill="FFFFFF"/>
            <w:tcMar>
              <w:top w:w="0" w:type="dxa"/>
              <w:left w:w="108" w:type="dxa"/>
              <w:bottom w:w="0" w:type="dxa"/>
              <w:right w:w="108" w:type="dxa"/>
            </w:tcMar>
          </w:tcPr>
          <w:p w14:paraId="57879FD2" w14:textId="77777777" w:rsidR="00422EFE" w:rsidRPr="00261B7A" w:rsidRDefault="00422EFE" w:rsidP="00D41492">
            <w:pPr>
              <w:pStyle w:val="TableText"/>
              <w:spacing w:before="40" w:after="40"/>
            </w:pPr>
            <w:r w:rsidRPr="00261B7A">
              <w:rPr>
                <w:rFonts w:eastAsia="Calibri"/>
                <w:color w:val="000000"/>
              </w:rPr>
              <w:t>0.25</w:t>
            </w:r>
          </w:p>
        </w:tc>
        <w:tc>
          <w:tcPr>
            <w:tcW w:w="1701" w:type="dxa"/>
            <w:shd w:val="clear" w:color="auto" w:fill="FFFFFF"/>
            <w:tcMar>
              <w:top w:w="0" w:type="dxa"/>
              <w:left w:w="108" w:type="dxa"/>
              <w:bottom w:w="0" w:type="dxa"/>
              <w:right w:w="108" w:type="dxa"/>
            </w:tcMar>
          </w:tcPr>
          <w:p w14:paraId="090B240B" w14:textId="77777777" w:rsidR="00422EFE" w:rsidRPr="00261B7A" w:rsidRDefault="00422EFE" w:rsidP="00D41492">
            <w:pPr>
              <w:pStyle w:val="TableText"/>
              <w:spacing w:before="40" w:after="40"/>
            </w:pPr>
            <w:r w:rsidRPr="00261B7A">
              <w:rPr>
                <w:rFonts w:eastAsia="Calibri"/>
                <w:color w:val="000000"/>
              </w:rPr>
              <w:t>IPCC default</w:t>
            </w:r>
          </w:p>
        </w:tc>
        <w:tc>
          <w:tcPr>
            <w:tcW w:w="3543" w:type="dxa"/>
            <w:shd w:val="clear" w:color="auto" w:fill="FFFFFF"/>
            <w:tcMar>
              <w:top w:w="0" w:type="dxa"/>
              <w:left w:w="108" w:type="dxa"/>
              <w:bottom w:w="0" w:type="dxa"/>
              <w:right w:w="108" w:type="dxa"/>
            </w:tcMar>
          </w:tcPr>
          <w:p w14:paraId="0B726AEE" w14:textId="77777777" w:rsidR="00422EFE" w:rsidRPr="00261B7A" w:rsidRDefault="00422EFE" w:rsidP="00D41492">
            <w:pPr>
              <w:pStyle w:val="TableText"/>
              <w:spacing w:before="40" w:after="40"/>
            </w:pPr>
            <w:r w:rsidRPr="00261B7A">
              <w:rPr>
                <w:rFonts w:eastAsia="Calibri"/>
                <w:color w:val="000000"/>
              </w:rPr>
              <w:t>IPCC (2006a)</w:t>
            </w:r>
          </w:p>
        </w:tc>
      </w:tr>
      <w:tr w:rsidR="00422EFE" w:rsidRPr="00261B7A" w14:paraId="361063AF" w14:textId="77777777" w:rsidTr="000A0ABE">
        <w:tc>
          <w:tcPr>
            <w:tcW w:w="2552" w:type="dxa"/>
            <w:shd w:val="clear" w:color="auto" w:fill="FFFFFF"/>
            <w:tcMar>
              <w:top w:w="0" w:type="dxa"/>
              <w:left w:w="108" w:type="dxa"/>
              <w:bottom w:w="0" w:type="dxa"/>
              <w:right w:w="108" w:type="dxa"/>
            </w:tcMar>
          </w:tcPr>
          <w:p w14:paraId="326BC599" w14:textId="77777777" w:rsidR="00422EFE" w:rsidRPr="00261B7A" w:rsidRDefault="00422EFE" w:rsidP="00D41492">
            <w:pPr>
              <w:pStyle w:val="TableText"/>
              <w:spacing w:before="40" w:after="40"/>
            </w:pPr>
            <w:r w:rsidRPr="00261B7A">
              <w:rPr>
                <w:rFonts w:eastAsia="Calibri"/>
                <w:color w:val="000000"/>
              </w:rPr>
              <w:t>Overall emission factor</w:t>
            </w:r>
          </w:p>
        </w:tc>
        <w:tc>
          <w:tcPr>
            <w:tcW w:w="709" w:type="dxa"/>
            <w:shd w:val="clear" w:color="auto" w:fill="FFFFFF"/>
            <w:tcMar>
              <w:top w:w="0" w:type="dxa"/>
              <w:left w:w="108" w:type="dxa"/>
              <w:bottom w:w="0" w:type="dxa"/>
              <w:right w:w="108" w:type="dxa"/>
            </w:tcMar>
          </w:tcPr>
          <w:p w14:paraId="6B884011" w14:textId="77777777" w:rsidR="00422EFE" w:rsidRPr="00261B7A" w:rsidRDefault="00422EFE" w:rsidP="00D41492">
            <w:pPr>
              <w:pStyle w:val="TableText"/>
              <w:spacing w:before="40" w:after="40"/>
            </w:pPr>
            <w:r w:rsidRPr="00261B7A">
              <w:rPr>
                <w:rFonts w:eastAsia="Calibri"/>
                <w:color w:val="000000"/>
              </w:rPr>
              <w:t>0.0065</w:t>
            </w:r>
          </w:p>
        </w:tc>
        <w:tc>
          <w:tcPr>
            <w:tcW w:w="1701" w:type="dxa"/>
            <w:shd w:val="clear" w:color="auto" w:fill="FFFFFF"/>
            <w:tcMar>
              <w:top w:w="0" w:type="dxa"/>
              <w:left w:w="108" w:type="dxa"/>
              <w:bottom w:w="0" w:type="dxa"/>
              <w:right w:w="108" w:type="dxa"/>
            </w:tcMar>
          </w:tcPr>
          <w:p w14:paraId="650EC2EF" w14:textId="77777777" w:rsidR="00422EFE" w:rsidRPr="00261B7A" w:rsidRDefault="00422EFE" w:rsidP="00D41492">
            <w:pPr>
              <w:pStyle w:val="TableText"/>
              <w:spacing w:before="40" w:after="40"/>
            </w:pPr>
            <w:r w:rsidRPr="00261B7A">
              <w:rPr>
                <w:rFonts w:eastAsia="Calibri"/>
                <w:color w:val="000000"/>
              </w:rPr>
              <w:t>New Zealand specific</w:t>
            </w:r>
          </w:p>
        </w:tc>
        <w:tc>
          <w:tcPr>
            <w:tcW w:w="3543" w:type="dxa"/>
            <w:shd w:val="clear" w:color="auto" w:fill="FFFFFF"/>
            <w:tcMar>
              <w:top w:w="0" w:type="dxa"/>
              <w:left w:w="108" w:type="dxa"/>
              <w:bottom w:w="0" w:type="dxa"/>
              <w:right w:w="108" w:type="dxa"/>
            </w:tcMar>
          </w:tcPr>
          <w:p w14:paraId="02594749" w14:textId="77777777" w:rsidR="00422EFE" w:rsidRPr="00261B7A" w:rsidRDefault="00422EFE" w:rsidP="00D41492">
            <w:pPr>
              <w:pStyle w:val="TableText"/>
              <w:spacing w:before="40" w:after="40"/>
            </w:pPr>
            <w:r w:rsidRPr="00261B7A">
              <w:rPr>
                <w:rFonts w:eastAsia="Calibri"/>
                <w:color w:val="000000"/>
              </w:rPr>
              <w:t>SCS Wetherill Environmental (unpublished)</w:t>
            </w:r>
          </w:p>
        </w:tc>
      </w:tr>
    </w:tbl>
    <w:p w14:paraId="2DCCF1D7" w14:textId="77777777" w:rsidR="00422EFE" w:rsidRPr="00261B7A" w:rsidRDefault="00422EFE" w:rsidP="00422EFE">
      <w:pPr>
        <w:pStyle w:val="Noteundertable"/>
      </w:pPr>
      <w:r w:rsidRPr="00261B7A">
        <w:rPr>
          <w:b/>
          <w:bCs/>
        </w:rPr>
        <w:t>Note:</w:t>
      </w:r>
      <w:r w:rsidRPr="00261B7A">
        <w:t xml:space="preserve"> </w:t>
      </w:r>
      <w:r w:rsidRPr="00261B7A">
        <w:tab/>
        <w:t>COD = chemical oxygen demand.</w:t>
      </w:r>
    </w:p>
    <w:p w14:paraId="2A66979A" w14:textId="77777777" w:rsidR="00422EFE" w:rsidRPr="00261B7A" w:rsidRDefault="00422EFE" w:rsidP="00CE2D16">
      <w:pPr>
        <w:pStyle w:val="Heading6"/>
      </w:pPr>
      <w:bookmarkStart w:id="2597" w:name="recovery-5"/>
      <w:r w:rsidRPr="00261B7A">
        <w:t>Recovery</w:t>
      </w:r>
    </w:p>
    <w:p w14:paraId="3CD2C843" w14:textId="77777777" w:rsidR="00422EFE" w:rsidRPr="00261B7A" w:rsidRDefault="00422EFE" w:rsidP="00422EFE">
      <w:pPr>
        <w:pStyle w:val="BodyText"/>
      </w:pPr>
      <w:r w:rsidRPr="00261B7A">
        <w:t>There is no recovery of emissions reported for this source.</w:t>
      </w:r>
    </w:p>
    <w:p w14:paraId="7D597998" w14:textId="77777777" w:rsidR="00422EFE" w:rsidRPr="00261B7A" w:rsidRDefault="00422EFE" w:rsidP="00422EFE">
      <w:pPr>
        <w:pStyle w:val="Heading5"/>
      </w:pPr>
      <w:bookmarkStart w:id="2598" w:name="Xc1a340efd67d5eccc23ff934f22dc8335d4080f"/>
      <w:bookmarkEnd w:id="2594"/>
      <w:bookmarkEnd w:id="2597"/>
      <w:r w:rsidRPr="00261B7A">
        <w:t>Methane emissions from industrial wastewater treatment – Leather and skins industry</w:t>
      </w:r>
    </w:p>
    <w:p w14:paraId="6C9AB274" w14:textId="77777777" w:rsidR="00422EFE" w:rsidRPr="00261B7A" w:rsidRDefault="00422EFE" w:rsidP="00422EFE">
      <w:pPr>
        <w:pStyle w:val="BodyText"/>
      </w:pPr>
      <w:r w:rsidRPr="00261B7A">
        <w:t>Table 7.5.12 summarises the parameter values applied for estimating CH</w:t>
      </w:r>
      <w:r w:rsidRPr="00261B7A">
        <w:rPr>
          <w:vertAlign w:val="subscript"/>
        </w:rPr>
        <w:t>4</w:t>
      </w:r>
      <w:r w:rsidRPr="00261B7A">
        <w:t xml:space="preserve"> emissions from wastewater treatment by the leather and skins industry.</w:t>
      </w:r>
    </w:p>
    <w:p w14:paraId="05BCFE43" w14:textId="77777777" w:rsidR="00422EFE" w:rsidRPr="00261B7A" w:rsidRDefault="00422EFE" w:rsidP="00422EFE">
      <w:pPr>
        <w:pStyle w:val="Table"/>
      </w:pPr>
      <w:bookmarkStart w:id="2599" w:name="_Toc128383690"/>
      <w:bookmarkStart w:id="2600" w:name="_Toc131591463"/>
      <w:r w:rsidRPr="00261B7A">
        <w:t xml:space="preserve">Table 7.5.12 </w:t>
      </w:r>
      <w:r w:rsidRPr="00261B7A">
        <w:tab/>
        <w:t>Parameter values applied by New Zealand for estimating methane emissions for wastewater treatment by the leather and skins industry</w:t>
      </w:r>
      <w:bookmarkEnd w:id="2599"/>
      <w:bookmarkEnd w:id="2600"/>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410"/>
        <w:gridCol w:w="1278"/>
        <w:gridCol w:w="1701"/>
        <w:gridCol w:w="3116"/>
      </w:tblGrid>
      <w:tr w:rsidR="00422EFE" w:rsidRPr="00261B7A" w14:paraId="19C8B76F" w14:textId="77777777" w:rsidTr="000A0ABE">
        <w:trPr>
          <w:tblHeader/>
        </w:trPr>
        <w:tc>
          <w:tcPr>
            <w:tcW w:w="2410" w:type="dxa"/>
            <w:shd w:val="clear" w:color="auto" w:fill="1B556B"/>
            <w:tcMar>
              <w:top w:w="0" w:type="dxa"/>
              <w:left w:w="108" w:type="dxa"/>
              <w:bottom w:w="0" w:type="dxa"/>
              <w:right w:w="108" w:type="dxa"/>
            </w:tcMar>
          </w:tcPr>
          <w:p w14:paraId="3E72F607"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Parameter</w:t>
            </w:r>
          </w:p>
        </w:tc>
        <w:tc>
          <w:tcPr>
            <w:tcW w:w="1278" w:type="dxa"/>
            <w:shd w:val="clear" w:color="auto" w:fill="1B556B"/>
            <w:tcMar>
              <w:top w:w="0" w:type="dxa"/>
              <w:left w:w="108" w:type="dxa"/>
              <w:bottom w:w="0" w:type="dxa"/>
              <w:right w:w="108" w:type="dxa"/>
            </w:tcMar>
          </w:tcPr>
          <w:p w14:paraId="5B555264"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Value</w:t>
            </w:r>
          </w:p>
        </w:tc>
        <w:tc>
          <w:tcPr>
            <w:tcW w:w="1701" w:type="dxa"/>
            <w:shd w:val="clear" w:color="auto" w:fill="1B556B"/>
            <w:tcMar>
              <w:top w:w="0" w:type="dxa"/>
              <w:left w:w="108" w:type="dxa"/>
              <w:bottom w:w="0" w:type="dxa"/>
              <w:right w:w="108" w:type="dxa"/>
            </w:tcMar>
          </w:tcPr>
          <w:p w14:paraId="7346BD16"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Source</w:t>
            </w:r>
          </w:p>
        </w:tc>
        <w:tc>
          <w:tcPr>
            <w:tcW w:w="3116" w:type="dxa"/>
            <w:shd w:val="clear" w:color="auto" w:fill="1B556B"/>
            <w:tcMar>
              <w:top w:w="0" w:type="dxa"/>
              <w:left w:w="108" w:type="dxa"/>
              <w:bottom w:w="0" w:type="dxa"/>
              <w:right w:w="108" w:type="dxa"/>
            </w:tcMar>
          </w:tcPr>
          <w:p w14:paraId="7BD0F15F"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Reference</w:t>
            </w:r>
          </w:p>
        </w:tc>
      </w:tr>
      <w:tr w:rsidR="00422EFE" w:rsidRPr="00261B7A" w14:paraId="46EC299F" w14:textId="77777777" w:rsidTr="000A0ABE">
        <w:tc>
          <w:tcPr>
            <w:tcW w:w="2410" w:type="dxa"/>
            <w:shd w:val="clear" w:color="auto" w:fill="FFFFFF"/>
            <w:tcMar>
              <w:top w:w="0" w:type="dxa"/>
              <w:left w:w="108" w:type="dxa"/>
              <w:bottom w:w="0" w:type="dxa"/>
              <w:right w:w="108" w:type="dxa"/>
            </w:tcMar>
          </w:tcPr>
          <w:p w14:paraId="4431E2C8" w14:textId="77777777" w:rsidR="00422EFE" w:rsidRPr="00261B7A" w:rsidRDefault="00422EFE" w:rsidP="00D41492">
            <w:pPr>
              <w:pStyle w:val="TableText"/>
              <w:spacing w:before="40" w:after="40"/>
            </w:pPr>
            <w:r w:rsidRPr="00261B7A">
              <w:rPr>
                <w:rFonts w:eastAsia="Calibri"/>
                <w:color w:val="000000"/>
              </w:rPr>
              <w:t>Degradable organic component (kg COD/tonne of product)</w:t>
            </w:r>
          </w:p>
        </w:tc>
        <w:tc>
          <w:tcPr>
            <w:tcW w:w="1278" w:type="dxa"/>
            <w:shd w:val="clear" w:color="auto" w:fill="FFFFFF"/>
            <w:tcMar>
              <w:top w:w="0" w:type="dxa"/>
              <w:left w:w="108" w:type="dxa"/>
              <w:bottom w:w="0" w:type="dxa"/>
              <w:right w:w="108" w:type="dxa"/>
            </w:tcMar>
          </w:tcPr>
          <w:p w14:paraId="48D5FB1B" w14:textId="77777777" w:rsidR="00422EFE" w:rsidRPr="00261B7A" w:rsidRDefault="00422EFE" w:rsidP="00D41492">
            <w:pPr>
              <w:pStyle w:val="TableText"/>
              <w:spacing w:before="40" w:after="40"/>
            </w:pPr>
            <w:r w:rsidRPr="00261B7A">
              <w:rPr>
                <w:rFonts w:eastAsia="Calibri"/>
                <w:color w:val="000000"/>
              </w:rPr>
              <w:t>180</w:t>
            </w:r>
          </w:p>
        </w:tc>
        <w:tc>
          <w:tcPr>
            <w:tcW w:w="1701" w:type="dxa"/>
            <w:shd w:val="clear" w:color="auto" w:fill="FFFFFF"/>
            <w:tcMar>
              <w:top w:w="0" w:type="dxa"/>
              <w:left w:w="108" w:type="dxa"/>
              <w:bottom w:w="0" w:type="dxa"/>
              <w:right w:w="108" w:type="dxa"/>
            </w:tcMar>
          </w:tcPr>
          <w:p w14:paraId="540F1C97" w14:textId="77777777" w:rsidR="00422EFE" w:rsidRPr="00261B7A" w:rsidRDefault="00422EFE" w:rsidP="00D41492">
            <w:pPr>
              <w:pStyle w:val="TableText"/>
              <w:spacing w:before="40" w:after="40"/>
            </w:pPr>
            <w:r w:rsidRPr="00261B7A">
              <w:rPr>
                <w:rFonts w:eastAsia="Calibri"/>
                <w:color w:val="000000"/>
              </w:rPr>
              <w:t>New Zealand specific</w:t>
            </w:r>
          </w:p>
        </w:tc>
        <w:tc>
          <w:tcPr>
            <w:tcW w:w="3116" w:type="dxa"/>
            <w:shd w:val="clear" w:color="auto" w:fill="FFFFFF"/>
            <w:tcMar>
              <w:top w:w="0" w:type="dxa"/>
              <w:left w:w="108" w:type="dxa"/>
              <w:bottom w:w="0" w:type="dxa"/>
              <w:right w:w="108" w:type="dxa"/>
            </w:tcMar>
          </w:tcPr>
          <w:p w14:paraId="62C8A844" w14:textId="77777777" w:rsidR="00422EFE" w:rsidRPr="00261B7A" w:rsidRDefault="00422EFE" w:rsidP="00D41492">
            <w:pPr>
              <w:pStyle w:val="TableText"/>
              <w:spacing w:before="40" w:after="40"/>
            </w:pPr>
            <w:r w:rsidRPr="00261B7A">
              <w:rPr>
                <w:rFonts w:eastAsia="Calibri"/>
                <w:color w:val="000000"/>
              </w:rPr>
              <w:t>SCS Wetherill Environmental (unpublished)</w:t>
            </w:r>
          </w:p>
        </w:tc>
      </w:tr>
      <w:tr w:rsidR="00422EFE" w:rsidRPr="00261B7A" w14:paraId="52501CC3" w14:textId="77777777" w:rsidTr="000A0ABE">
        <w:tc>
          <w:tcPr>
            <w:tcW w:w="2410" w:type="dxa"/>
            <w:shd w:val="clear" w:color="auto" w:fill="FFFFFF"/>
            <w:tcMar>
              <w:top w:w="0" w:type="dxa"/>
              <w:left w:w="108" w:type="dxa"/>
              <w:bottom w:w="0" w:type="dxa"/>
              <w:right w:w="108" w:type="dxa"/>
            </w:tcMar>
          </w:tcPr>
          <w:p w14:paraId="6D058855" w14:textId="77777777" w:rsidR="00422EFE" w:rsidRPr="00261B7A" w:rsidRDefault="00422EFE" w:rsidP="00D41492">
            <w:pPr>
              <w:pStyle w:val="TableText"/>
              <w:spacing w:before="40" w:after="40"/>
            </w:pPr>
            <w:r w:rsidRPr="00261B7A">
              <w:rPr>
                <w:rFonts w:eastAsia="Calibri"/>
                <w:color w:val="000000"/>
              </w:rPr>
              <w:t>Methane correction factor</w:t>
            </w:r>
          </w:p>
        </w:tc>
        <w:tc>
          <w:tcPr>
            <w:tcW w:w="1278" w:type="dxa"/>
            <w:shd w:val="clear" w:color="auto" w:fill="FFFFFF"/>
            <w:tcMar>
              <w:top w:w="0" w:type="dxa"/>
              <w:left w:w="108" w:type="dxa"/>
              <w:bottom w:w="0" w:type="dxa"/>
              <w:right w:w="108" w:type="dxa"/>
            </w:tcMar>
          </w:tcPr>
          <w:p w14:paraId="084C2157" w14:textId="77777777" w:rsidR="00422EFE" w:rsidRPr="00261B7A" w:rsidRDefault="00422EFE" w:rsidP="00D41492">
            <w:pPr>
              <w:pStyle w:val="TableText"/>
              <w:spacing w:before="40" w:after="40"/>
            </w:pPr>
            <w:r w:rsidRPr="00261B7A">
              <w:rPr>
                <w:rFonts w:eastAsia="Calibri"/>
                <w:color w:val="000000"/>
              </w:rPr>
              <w:t>Range of 0–0.55</w:t>
            </w:r>
          </w:p>
        </w:tc>
        <w:tc>
          <w:tcPr>
            <w:tcW w:w="1701" w:type="dxa"/>
            <w:shd w:val="clear" w:color="auto" w:fill="FFFFFF"/>
            <w:tcMar>
              <w:top w:w="0" w:type="dxa"/>
              <w:left w:w="108" w:type="dxa"/>
              <w:bottom w:w="0" w:type="dxa"/>
              <w:right w:w="108" w:type="dxa"/>
            </w:tcMar>
          </w:tcPr>
          <w:p w14:paraId="6BA7AED7" w14:textId="77777777" w:rsidR="00422EFE" w:rsidRPr="00261B7A" w:rsidRDefault="00422EFE" w:rsidP="00D41492">
            <w:pPr>
              <w:pStyle w:val="TableText"/>
              <w:spacing w:before="40" w:after="40"/>
            </w:pPr>
            <w:r w:rsidRPr="00261B7A">
              <w:rPr>
                <w:rFonts w:eastAsia="Calibri"/>
                <w:color w:val="000000"/>
              </w:rPr>
              <w:t>New Zealand specific</w:t>
            </w:r>
          </w:p>
        </w:tc>
        <w:tc>
          <w:tcPr>
            <w:tcW w:w="3116" w:type="dxa"/>
            <w:shd w:val="clear" w:color="auto" w:fill="FFFFFF"/>
            <w:tcMar>
              <w:top w:w="0" w:type="dxa"/>
              <w:left w:w="108" w:type="dxa"/>
              <w:bottom w:w="0" w:type="dxa"/>
              <w:right w:w="108" w:type="dxa"/>
            </w:tcMar>
          </w:tcPr>
          <w:p w14:paraId="1AEB5CB4" w14:textId="77777777" w:rsidR="00422EFE" w:rsidRPr="00261B7A" w:rsidRDefault="00422EFE" w:rsidP="00D41492">
            <w:pPr>
              <w:pStyle w:val="TableText"/>
              <w:spacing w:before="40" w:after="40"/>
            </w:pPr>
            <w:r w:rsidRPr="00261B7A">
              <w:rPr>
                <w:rFonts w:eastAsia="Calibri"/>
                <w:color w:val="000000"/>
              </w:rPr>
              <w:t>SCS Wetherill Environmental (unpublished)</w:t>
            </w:r>
          </w:p>
        </w:tc>
      </w:tr>
      <w:tr w:rsidR="00422EFE" w:rsidRPr="00261B7A" w14:paraId="5D6F99A9" w14:textId="77777777" w:rsidTr="000A0ABE">
        <w:tc>
          <w:tcPr>
            <w:tcW w:w="2410" w:type="dxa"/>
            <w:shd w:val="clear" w:color="auto" w:fill="FFFFFF"/>
            <w:tcMar>
              <w:top w:w="0" w:type="dxa"/>
              <w:left w:w="108" w:type="dxa"/>
              <w:bottom w:w="0" w:type="dxa"/>
              <w:right w:w="108" w:type="dxa"/>
            </w:tcMar>
          </w:tcPr>
          <w:p w14:paraId="666C4798" w14:textId="77777777" w:rsidR="00422EFE" w:rsidRPr="00261B7A" w:rsidRDefault="00422EFE" w:rsidP="00D41492">
            <w:pPr>
              <w:pStyle w:val="TableText"/>
              <w:spacing w:before="40" w:after="40"/>
            </w:pPr>
            <w:r w:rsidRPr="00261B7A">
              <w:rPr>
                <w:rFonts w:eastAsia="Calibri"/>
                <w:color w:val="000000"/>
              </w:rPr>
              <w:t>Maximum methane-producing capacity (kg CH₄/kg COD)</w:t>
            </w:r>
          </w:p>
        </w:tc>
        <w:tc>
          <w:tcPr>
            <w:tcW w:w="1278" w:type="dxa"/>
            <w:shd w:val="clear" w:color="auto" w:fill="FFFFFF"/>
            <w:tcMar>
              <w:top w:w="0" w:type="dxa"/>
              <w:left w:w="108" w:type="dxa"/>
              <w:bottom w:w="0" w:type="dxa"/>
              <w:right w:w="108" w:type="dxa"/>
            </w:tcMar>
          </w:tcPr>
          <w:p w14:paraId="63037B7E" w14:textId="77777777" w:rsidR="00422EFE" w:rsidRPr="00261B7A" w:rsidRDefault="00422EFE" w:rsidP="00D41492">
            <w:pPr>
              <w:pStyle w:val="TableText"/>
              <w:spacing w:before="40" w:after="40"/>
            </w:pPr>
            <w:r w:rsidRPr="00261B7A">
              <w:rPr>
                <w:rFonts w:eastAsia="Calibri"/>
                <w:color w:val="000000"/>
              </w:rPr>
              <w:t>0.25</w:t>
            </w:r>
          </w:p>
        </w:tc>
        <w:tc>
          <w:tcPr>
            <w:tcW w:w="1701" w:type="dxa"/>
            <w:shd w:val="clear" w:color="auto" w:fill="FFFFFF"/>
            <w:tcMar>
              <w:top w:w="0" w:type="dxa"/>
              <w:left w:w="108" w:type="dxa"/>
              <w:bottom w:w="0" w:type="dxa"/>
              <w:right w:w="108" w:type="dxa"/>
            </w:tcMar>
          </w:tcPr>
          <w:p w14:paraId="17A5727C" w14:textId="77777777" w:rsidR="00422EFE" w:rsidRPr="00261B7A" w:rsidRDefault="00422EFE" w:rsidP="00D41492">
            <w:pPr>
              <w:pStyle w:val="TableText"/>
              <w:spacing w:before="40" w:after="40"/>
            </w:pPr>
            <w:r w:rsidRPr="00261B7A">
              <w:rPr>
                <w:rFonts w:eastAsia="Calibri"/>
                <w:color w:val="000000"/>
              </w:rPr>
              <w:t>IPCC default</w:t>
            </w:r>
          </w:p>
        </w:tc>
        <w:tc>
          <w:tcPr>
            <w:tcW w:w="3116" w:type="dxa"/>
            <w:shd w:val="clear" w:color="auto" w:fill="FFFFFF"/>
            <w:tcMar>
              <w:top w:w="0" w:type="dxa"/>
              <w:left w:w="108" w:type="dxa"/>
              <w:bottom w:w="0" w:type="dxa"/>
              <w:right w:w="108" w:type="dxa"/>
            </w:tcMar>
          </w:tcPr>
          <w:p w14:paraId="4125AD21" w14:textId="77777777" w:rsidR="00422EFE" w:rsidRPr="00261B7A" w:rsidRDefault="00422EFE" w:rsidP="00D41492">
            <w:pPr>
              <w:pStyle w:val="TableText"/>
              <w:spacing w:before="40" w:after="40"/>
            </w:pPr>
            <w:r w:rsidRPr="00261B7A">
              <w:rPr>
                <w:rFonts w:eastAsia="Calibri"/>
                <w:color w:val="000000"/>
              </w:rPr>
              <w:t>IPCC (2006a)</w:t>
            </w:r>
          </w:p>
        </w:tc>
      </w:tr>
      <w:tr w:rsidR="00422EFE" w:rsidRPr="00261B7A" w14:paraId="13564C37" w14:textId="77777777" w:rsidTr="000A0ABE">
        <w:tc>
          <w:tcPr>
            <w:tcW w:w="2410" w:type="dxa"/>
            <w:shd w:val="clear" w:color="auto" w:fill="FFFFFF"/>
            <w:tcMar>
              <w:top w:w="0" w:type="dxa"/>
              <w:left w:w="108" w:type="dxa"/>
              <w:bottom w:w="0" w:type="dxa"/>
              <w:right w:w="108" w:type="dxa"/>
            </w:tcMar>
          </w:tcPr>
          <w:p w14:paraId="1D66DDF6" w14:textId="77777777" w:rsidR="00422EFE" w:rsidRPr="00261B7A" w:rsidRDefault="00422EFE" w:rsidP="00D41492">
            <w:pPr>
              <w:pStyle w:val="TableText"/>
              <w:spacing w:before="40" w:after="40"/>
            </w:pPr>
            <w:r w:rsidRPr="00261B7A">
              <w:rPr>
                <w:rFonts w:eastAsia="Calibri"/>
                <w:color w:val="000000"/>
              </w:rPr>
              <w:t>Overall emission factor</w:t>
            </w:r>
          </w:p>
        </w:tc>
        <w:tc>
          <w:tcPr>
            <w:tcW w:w="1278" w:type="dxa"/>
            <w:shd w:val="clear" w:color="auto" w:fill="FFFFFF"/>
            <w:tcMar>
              <w:top w:w="0" w:type="dxa"/>
              <w:left w:w="108" w:type="dxa"/>
              <w:bottom w:w="0" w:type="dxa"/>
              <w:right w:w="108" w:type="dxa"/>
            </w:tcMar>
          </w:tcPr>
          <w:p w14:paraId="0E5DD99F" w14:textId="77777777" w:rsidR="00422EFE" w:rsidRPr="00261B7A" w:rsidRDefault="00422EFE" w:rsidP="00D41492">
            <w:pPr>
              <w:pStyle w:val="TableText"/>
              <w:spacing w:before="40" w:after="40"/>
            </w:pPr>
            <w:r w:rsidRPr="00261B7A">
              <w:rPr>
                <w:rFonts w:eastAsia="Calibri"/>
                <w:color w:val="000000"/>
              </w:rPr>
              <w:t>0.0124</w:t>
            </w:r>
          </w:p>
        </w:tc>
        <w:tc>
          <w:tcPr>
            <w:tcW w:w="1701" w:type="dxa"/>
            <w:shd w:val="clear" w:color="auto" w:fill="FFFFFF"/>
            <w:tcMar>
              <w:top w:w="0" w:type="dxa"/>
              <w:left w:w="108" w:type="dxa"/>
              <w:bottom w:w="0" w:type="dxa"/>
              <w:right w:w="108" w:type="dxa"/>
            </w:tcMar>
          </w:tcPr>
          <w:p w14:paraId="41726587" w14:textId="77777777" w:rsidR="00422EFE" w:rsidRPr="00261B7A" w:rsidRDefault="00422EFE" w:rsidP="00D41492">
            <w:pPr>
              <w:pStyle w:val="TableText"/>
              <w:spacing w:before="40" w:after="40"/>
            </w:pPr>
            <w:r w:rsidRPr="00261B7A">
              <w:rPr>
                <w:rFonts w:eastAsia="Calibri"/>
                <w:color w:val="000000"/>
              </w:rPr>
              <w:t>New Zealand specific</w:t>
            </w:r>
          </w:p>
        </w:tc>
        <w:tc>
          <w:tcPr>
            <w:tcW w:w="3116" w:type="dxa"/>
            <w:shd w:val="clear" w:color="auto" w:fill="FFFFFF"/>
            <w:tcMar>
              <w:top w:w="0" w:type="dxa"/>
              <w:left w:w="108" w:type="dxa"/>
              <w:bottom w:w="0" w:type="dxa"/>
              <w:right w:w="108" w:type="dxa"/>
            </w:tcMar>
          </w:tcPr>
          <w:p w14:paraId="5CADD1CB" w14:textId="77777777" w:rsidR="00422EFE" w:rsidRPr="00261B7A" w:rsidRDefault="00422EFE" w:rsidP="00D41492">
            <w:pPr>
              <w:pStyle w:val="TableText"/>
              <w:spacing w:before="40" w:after="40"/>
            </w:pPr>
            <w:r w:rsidRPr="00261B7A">
              <w:rPr>
                <w:rFonts w:eastAsia="Calibri"/>
                <w:color w:val="000000"/>
              </w:rPr>
              <w:t>SCS Wetherill Environmental (unpublished)</w:t>
            </w:r>
          </w:p>
        </w:tc>
      </w:tr>
    </w:tbl>
    <w:p w14:paraId="70B689EF" w14:textId="77777777" w:rsidR="00422EFE" w:rsidRPr="00261B7A" w:rsidRDefault="00422EFE" w:rsidP="00422EFE">
      <w:pPr>
        <w:pStyle w:val="Noteundertable"/>
      </w:pPr>
      <w:r w:rsidRPr="00261B7A">
        <w:rPr>
          <w:b/>
          <w:bCs/>
        </w:rPr>
        <w:t>Note:</w:t>
      </w:r>
      <w:r w:rsidRPr="00261B7A">
        <w:t xml:space="preserve"> </w:t>
      </w:r>
      <w:r w:rsidRPr="00261B7A">
        <w:tab/>
        <w:t>COD = chemical oxygen demand.</w:t>
      </w:r>
    </w:p>
    <w:p w14:paraId="25D67942" w14:textId="77777777" w:rsidR="00422EFE" w:rsidRPr="00261B7A" w:rsidRDefault="00422EFE" w:rsidP="00CE2D16">
      <w:pPr>
        <w:pStyle w:val="Heading6"/>
      </w:pPr>
      <w:bookmarkStart w:id="2601" w:name="recovery-6"/>
      <w:r w:rsidRPr="00261B7A">
        <w:t>Recovery</w:t>
      </w:r>
    </w:p>
    <w:p w14:paraId="2FF68DF4" w14:textId="77777777" w:rsidR="00422EFE" w:rsidRPr="00261B7A" w:rsidRDefault="00422EFE" w:rsidP="000A0ABE">
      <w:pPr>
        <w:pStyle w:val="BodyText"/>
        <w:spacing w:before="80" w:after="100"/>
      </w:pPr>
      <w:r w:rsidRPr="00261B7A">
        <w:t>There is no recovery of emissions reported for this source.</w:t>
      </w:r>
    </w:p>
    <w:p w14:paraId="20B08D3A" w14:textId="77777777" w:rsidR="00422EFE" w:rsidRPr="00261B7A" w:rsidRDefault="00422EFE" w:rsidP="00422EFE">
      <w:pPr>
        <w:pStyle w:val="Heading5"/>
      </w:pPr>
      <w:bookmarkStart w:id="2602" w:name="Xe49511f11d376eec0be6644f93ad4abce330135"/>
      <w:bookmarkEnd w:id="2598"/>
      <w:bookmarkEnd w:id="2601"/>
      <w:r w:rsidRPr="00261B7A">
        <w:t>Nitrous oxide emissions from industrial wastewater treatment – Meat industry</w:t>
      </w:r>
    </w:p>
    <w:p w14:paraId="3026BDC4" w14:textId="77777777" w:rsidR="00422EFE" w:rsidRPr="00261B7A" w:rsidRDefault="00422EFE" w:rsidP="000A0ABE">
      <w:pPr>
        <w:pStyle w:val="BodyText"/>
        <w:spacing w:before="80"/>
      </w:pPr>
      <w:r w:rsidRPr="00261B7A">
        <w:t>Table 7.5.13 summarises the parameter values applied for estimating N</w:t>
      </w:r>
      <w:r w:rsidRPr="00261B7A">
        <w:rPr>
          <w:vertAlign w:val="subscript"/>
        </w:rPr>
        <w:t>2</w:t>
      </w:r>
      <w:r w:rsidRPr="00261B7A">
        <w:t>O emissions from wastewater treatment by the meat industry.</w:t>
      </w:r>
    </w:p>
    <w:p w14:paraId="594ADDEB" w14:textId="77777777" w:rsidR="00422EFE" w:rsidRPr="00261B7A" w:rsidRDefault="00422EFE" w:rsidP="00422EFE">
      <w:pPr>
        <w:pStyle w:val="Table"/>
      </w:pPr>
      <w:bookmarkStart w:id="2603" w:name="_Toc128383691"/>
      <w:bookmarkStart w:id="2604" w:name="_Toc131591464"/>
      <w:r w:rsidRPr="00261B7A">
        <w:t xml:space="preserve">Table 7.5.13 </w:t>
      </w:r>
      <w:r w:rsidRPr="00261B7A">
        <w:tab/>
        <w:t>Parameter values applied by New Zealand for estimating nitrous oxide emissions for wastewater treatment for the meat industry</w:t>
      </w:r>
      <w:bookmarkEnd w:id="2603"/>
      <w:bookmarkEnd w:id="2604"/>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268"/>
        <w:gridCol w:w="1860"/>
        <w:gridCol w:w="1684"/>
        <w:gridCol w:w="2693"/>
      </w:tblGrid>
      <w:tr w:rsidR="00422EFE" w:rsidRPr="00261B7A" w14:paraId="6630ED55" w14:textId="77777777" w:rsidTr="000A0ABE">
        <w:trPr>
          <w:tblHeader/>
        </w:trPr>
        <w:tc>
          <w:tcPr>
            <w:tcW w:w="2268" w:type="dxa"/>
            <w:shd w:val="clear" w:color="auto" w:fill="1B556B"/>
            <w:tcMar>
              <w:top w:w="0" w:type="dxa"/>
              <w:left w:w="108" w:type="dxa"/>
              <w:bottom w:w="0" w:type="dxa"/>
              <w:right w:w="108" w:type="dxa"/>
            </w:tcMar>
          </w:tcPr>
          <w:p w14:paraId="283078C8" w14:textId="77777777" w:rsidR="00422EFE" w:rsidRPr="00261B7A" w:rsidRDefault="00422EFE" w:rsidP="000A0ABE">
            <w:pPr>
              <w:pStyle w:val="TableText"/>
              <w:spacing w:before="40" w:after="40"/>
              <w:rPr>
                <w:b/>
                <w:bCs/>
                <w:color w:val="FFFFFF" w:themeColor="background1"/>
              </w:rPr>
            </w:pPr>
            <w:r w:rsidRPr="00261B7A">
              <w:rPr>
                <w:rFonts w:eastAsia="Calibri"/>
                <w:b/>
                <w:bCs/>
                <w:color w:val="FFFFFF" w:themeColor="background1"/>
              </w:rPr>
              <w:t>Parameter</w:t>
            </w:r>
          </w:p>
        </w:tc>
        <w:tc>
          <w:tcPr>
            <w:tcW w:w="1860" w:type="dxa"/>
            <w:shd w:val="clear" w:color="auto" w:fill="1B556B"/>
            <w:tcMar>
              <w:top w:w="0" w:type="dxa"/>
              <w:left w:w="108" w:type="dxa"/>
              <w:bottom w:w="0" w:type="dxa"/>
              <w:right w:w="108" w:type="dxa"/>
            </w:tcMar>
          </w:tcPr>
          <w:p w14:paraId="66966686" w14:textId="77777777" w:rsidR="00422EFE" w:rsidRPr="00261B7A" w:rsidRDefault="00422EFE" w:rsidP="000A0ABE">
            <w:pPr>
              <w:pStyle w:val="TableText"/>
              <w:spacing w:before="40" w:after="40"/>
              <w:rPr>
                <w:b/>
                <w:bCs/>
                <w:color w:val="FFFFFF" w:themeColor="background1"/>
              </w:rPr>
            </w:pPr>
            <w:r w:rsidRPr="00261B7A">
              <w:rPr>
                <w:rFonts w:eastAsia="Calibri"/>
                <w:b/>
                <w:bCs/>
                <w:color w:val="FFFFFF" w:themeColor="background1"/>
              </w:rPr>
              <w:t>Value</w:t>
            </w:r>
          </w:p>
        </w:tc>
        <w:tc>
          <w:tcPr>
            <w:tcW w:w="1684" w:type="dxa"/>
            <w:shd w:val="clear" w:color="auto" w:fill="1B556B"/>
            <w:tcMar>
              <w:top w:w="0" w:type="dxa"/>
              <w:left w:w="108" w:type="dxa"/>
              <w:bottom w:w="0" w:type="dxa"/>
              <w:right w:w="108" w:type="dxa"/>
            </w:tcMar>
          </w:tcPr>
          <w:p w14:paraId="32E802AA" w14:textId="77777777" w:rsidR="00422EFE" w:rsidRPr="00261B7A" w:rsidRDefault="00422EFE" w:rsidP="000A0ABE">
            <w:pPr>
              <w:pStyle w:val="TableText"/>
              <w:spacing w:before="40" w:after="40"/>
              <w:rPr>
                <w:b/>
                <w:bCs/>
                <w:color w:val="FFFFFF" w:themeColor="background1"/>
              </w:rPr>
            </w:pPr>
            <w:r w:rsidRPr="00261B7A">
              <w:rPr>
                <w:rFonts w:eastAsia="Calibri"/>
                <w:b/>
                <w:bCs/>
                <w:color w:val="FFFFFF" w:themeColor="background1"/>
              </w:rPr>
              <w:t>Source</w:t>
            </w:r>
          </w:p>
        </w:tc>
        <w:tc>
          <w:tcPr>
            <w:tcW w:w="2693" w:type="dxa"/>
            <w:shd w:val="clear" w:color="auto" w:fill="1B556B"/>
            <w:tcMar>
              <w:top w:w="0" w:type="dxa"/>
              <w:left w:w="108" w:type="dxa"/>
              <w:bottom w:w="0" w:type="dxa"/>
              <w:right w:w="108" w:type="dxa"/>
            </w:tcMar>
          </w:tcPr>
          <w:p w14:paraId="09BB0163" w14:textId="77777777" w:rsidR="00422EFE" w:rsidRPr="00261B7A" w:rsidRDefault="00422EFE" w:rsidP="000A0ABE">
            <w:pPr>
              <w:pStyle w:val="TableText"/>
              <w:spacing w:before="40" w:after="40"/>
              <w:rPr>
                <w:b/>
                <w:bCs/>
                <w:color w:val="FFFFFF" w:themeColor="background1"/>
              </w:rPr>
            </w:pPr>
            <w:r w:rsidRPr="00261B7A">
              <w:rPr>
                <w:rFonts w:eastAsia="Calibri"/>
                <w:b/>
                <w:bCs/>
                <w:color w:val="FFFFFF" w:themeColor="background1"/>
              </w:rPr>
              <w:t>Reference</w:t>
            </w:r>
          </w:p>
        </w:tc>
      </w:tr>
      <w:tr w:rsidR="00422EFE" w:rsidRPr="00261B7A" w14:paraId="26B39CD9" w14:textId="77777777" w:rsidTr="000A0ABE">
        <w:tc>
          <w:tcPr>
            <w:tcW w:w="2268" w:type="dxa"/>
            <w:shd w:val="clear" w:color="auto" w:fill="FFFFFF"/>
            <w:tcMar>
              <w:top w:w="0" w:type="dxa"/>
              <w:left w:w="108" w:type="dxa"/>
              <w:bottom w:w="0" w:type="dxa"/>
              <w:right w:w="108" w:type="dxa"/>
            </w:tcMar>
          </w:tcPr>
          <w:p w14:paraId="7E0DC2D2" w14:textId="77777777" w:rsidR="00422EFE" w:rsidRPr="00261B7A" w:rsidRDefault="00422EFE" w:rsidP="000A0ABE">
            <w:pPr>
              <w:pStyle w:val="TableText"/>
              <w:spacing w:before="40" w:after="40"/>
            </w:pPr>
            <w:r w:rsidRPr="00261B7A">
              <w:rPr>
                <w:rFonts w:eastAsia="Calibri"/>
                <w:color w:val="000000"/>
              </w:rPr>
              <w:t>Degradable organic component (kg COD/tonne of product)</w:t>
            </w:r>
          </w:p>
        </w:tc>
        <w:tc>
          <w:tcPr>
            <w:tcW w:w="1860" w:type="dxa"/>
            <w:shd w:val="clear" w:color="auto" w:fill="FFFFFF"/>
            <w:tcMar>
              <w:top w:w="0" w:type="dxa"/>
              <w:left w:w="108" w:type="dxa"/>
              <w:bottom w:w="0" w:type="dxa"/>
              <w:right w:w="108" w:type="dxa"/>
            </w:tcMar>
          </w:tcPr>
          <w:p w14:paraId="70F7F689" w14:textId="77777777" w:rsidR="00422EFE" w:rsidRPr="00261B7A" w:rsidRDefault="00422EFE" w:rsidP="000A0ABE">
            <w:pPr>
              <w:pStyle w:val="TableText"/>
              <w:spacing w:before="40" w:after="40"/>
            </w:pPr>
            <w:r w:rsidRPr="00261B7A">
              <w:rPr>
                <w:rFonts w:eastAsia="Calibri"/>
                <w:color w:val="000000"/>
              </w:rPr>
              <w:t>50</w:t>
            </w:r>
          </w:p>
        </w:tc>
        <w:tc>
          <w:tcPr>
            <w:tcW w:w="1684" w:type="dxa"/>
            <w:shd w:val="clear" w:color="auto" w:fill="FFFFFF"/>
            <w:tcMar>
              <w:top w:w="0" w:type="dxa"/>
              <w:left w:w="108" w:type="dxa"/>
              <w:bottom w:w="0" w:type="dxa"/>
              <w:right w:w="108" w:type="dxa"/>
            </w:tcMar>
          </w:tcPr>
          <w:p w14:paraId="73B9D689" w14:textId="77777777" w:rsidR="00422EFE" w:rsidRPr="00261B7A" w:rsidRDefault="00422EFE" w:rsidP="000A0ABE">
            <w:pPr>
              <w:pStyle w:val="TableText"/>
              <w:spacing w:before="40" w:after="40"/>
            </w:pPr>
            <w:r w:rsidRPr="00261B7A">
              <w:rPr>
                <w:rFonts w:eastAsia="Calibri"/>
                <w:color w:val="000000"/>
              </w:rPr>
              <w:t>New Zealand specific</w:t>
            </w:r>
          </w:p>
        </w:tc>
        <w:tc>
          <w:tcPr>
            <w:tcW w:w="2693" w:type="dxa"/>
            <w:shd w:val="clear" w:color="auto" w:fill="FFFFFF"/>
            <w:tcMar>
              <w:top w:w="0" w:type="dxa"/>
              <w:left w:w="108" w:type="dxa"/>
              <w:bottom w:w="0" w:type="dxa"/>
              <w:right w:w="108" w:type="dxa"/>
            </w:tcMar>
          </w:tcPr>
          <w:p w14:paraId="3B682DD8" w14:textId="77777777" w:rsidR="00422EFE" w:rsidRPr="00261B7A" w:rsidRDefault="00422EFE" w:rsidP="000A0ABE">
            <w:pPr>
              <w:pStyle w:val="TableText"/>
              <w:spacing w:before="40" w:after="40"/>
            </w:pPr>
            <w:r w:rsidRPr="00261B7A">
              <w:rPr>
                <w:rFonts w:eastAsia="Calibri"/>
                <w:color w:val="000000"/>
              </w:rPr>
              <w:t>SCS Wetherill Environmental (unpublished)</w:t>
            </w:r>
          </w:p>
        </w:tc>
      </w:tr>
      <w:tr w:rsidR="00422EFE" w:rsidRPr="00261B7A" w14:paraId="7085BEBB" w14:textId="77777777" w:rsidTr="000A0ABE">
        <w:tc>
          <w:tcPr>
            <w:tcW w:w="2268" w:type="dxa"/>
            <w:shd w:val="clear" w:color="auto" w:fill="FFFFFF"/>
            <w:tcMar>
              <w:top w:w="0" w:type="dxa"/>
              <w:left w:w="108" w:type="dxa"/>
              <w:bottom w:w="0" w:type="dxa"/>
              <w:right w:w="108" w:type="dxa"/>
            </w:tcMar>
          </w:tcPr>
          <w:p w14:paraId="53950174" w14:textId="77777777" w:rsidR="00422EFE" w:rsidRPr="00261B7A" w:rsidRDefault="00422EFE" w:rsidP="000A0ABE">
            <w:pPr>
              <w:pStyle w:val="TableText"/>
              <w:spacing w:before="40" w:after="40"/>
            </w:pPr>
            <w:r w:rsidRPr="00261B7A">
              <w:rPr>
                <w:rFonts w:eastAsia="Calibri"/>
                <w:color w:val="000000"/>
              </w:rPr>
              <w:t>Ratio of total nitrogen to biodegradable COD (TN:COD</w:t>
            </w:r>
            <w:r w:rsidRPr="00261B7A">
              <w:rPr>
                <w:rFonts w:eastAsia="Calibri"/>
                <w:color w:val="000000"/>
                <w:vertAlign w:val="subscript"/>
              </w:rPr>
              <w:t>b</w:t>
            </w:r>
            <w:r w:rsidRPr="00261B7A">
              <w:rPr>
                <w:rFonts w:eastAsia="Calibri"/>
                <w:color w:val="000000"/>
              </w:rPr>
              <w:t>)</w:t>
            </w:r>
          </w:p>
        </w:tc>
        <w:tc>
          <w:tcPr>
            <w:tcW w:w="1860" w:type="dxa"/>
            <w:shd w:val="clear" w:color="auto" w:fill="FFFFFF"/>
            <w:tcMar>
              <w:top w:w="0" w:type="dxa"/>
              <w:left w:w="108" w:type="dxa"/>
              <w:bottom w:w="0" w:type="dxa"/>
              <w:right w:w="108" w:type="dxa"/>
            </w:tcMar>
          </w:tcPr>
          <w:p w14:paraId="1665AA11" w14:textId="77777777" w:rsidR="00422EFE" w:rsidRPr="00261B7A" w:rsidRDefault="00422EFE" w:rsidP="000A0ABE">
            <w:pPr>
              <w:pStyle w:val="TableText"/>
              <w:spacing w:before="40" w:after="40"/>
            </w:pPr>
            <w:r w:rsidRPr="00261B7A">
              <w:rPr>
                <w:rFonts w:eastAsia="Calibri"/>
                <w:color w:val="000000"/>
              </w:rPr>
              <w:t>0.09</w:t>
            </w:r>
          </w:p>
        </w:tc>
        <w:tc>
          <w:tcPr>
            <w:tcW w:w="1684" w:type="dxa"/>
            <w:shd w:val="clear" w:color="auto" w:fill="FFFFFF"/>
            <w:tcMar>
              <w:top w:w="0" w:type="dxa"/>
              <w:left w:w="108" w:type="dxa"/>
              <w:bottom w:w="0" w:type="dxa"/>
              <w:right w:w="108" w:type="dxa"/>
            </w:tcMar>
          </w:tcPr>
          <w:p w14:paraId="553A095E" w14:textId="77777777" w:rsidR="00422EFE" w:rsidRPr="00261B7A" w:rsidRDefault="00422EFE" w:rsidP="000A0ABE">
            <w:pPr>
              <w:pStyle w:val="TableText"/>
              <w:spacing w:before="40" w:after="40"/>
            </w:pPr>
            <w:r w:rsidRPr="00261B7A">
              <w:rPr>
                <w:rFonts w:eastAsia="Calibri"/>
                <w:color w:val="000000"/>
              </w:rPr>
              <w:t>New Zealand specific</w:t>
            </w:r>
          </w:p>
        </w:tc>
        <w:tc>
          <w:tcPr>
            <w:tcW w:w="2693" w:type="dxa"/>
            <w:shd w:val="clear" w:color="auto" w:fill="FFFFFF"/>
            <w:tcMar>
              <w:top w:w="0" w:type="dxa"/>
              <w:left w:w="108" w:type="dxa"/>
              <w:bottom w:w="0" w:type="dxa"/>
              <w:right w:w="108" w:type="dxa"/>
            </w:tcMar>
          </w:tcPr>
          <w:p w14:paraId="2E864805" w14:textId="77777777" w:rsidR="00422EFE" w:rsidRPr="00261B7A" w:rsidRDefault="00422EFE" w:rsidP="000A0ABE">
            <w:pPr>
              <w:pStyle w:val="TableText"/>
              <w:spacing w:before="40" w:after="40"/>
            </w:pPr>
            <w:r w:rsidRPr="00261B7A">
              <w:rPr>
                <w:rFonts w:eastAsia="Calibri"/>
                <w:color w:val="000000"/>
              </w:rPr>
              <w:t>Cardno (unpublished)</w:t>
            </w:r>
          </w:p>
        </w:tc>
      </w:tr>
      <w:tr w:rsidR="00422EFE" w:rsidRPr="00261B7A" w14:paraId="074FBC64" w14:textId="77777777" w:rsidTr="000A0ABE">
        <w:tc>
          <w:tcPr>
            <w:tcW w:w="2268" w:type="dxa"/>
            <w:shd w:val="clear" w:color="auto" w:fill="FFFFFF"/>
            <w:tcMar>
              <w:top w:w="0" w:type="dxa"/>
              <w:left w:w="108" w:type="dxa"/>
              <w:bottom w:w="0" w:type="dxa"/>
              <w:right w:w="108" w:type="dxa"/>
            </w:tcMar>
          </w:tcPr>
          <w:p w14:paraId="55F300BF" w14:textId="77777777" w:rsidR="00422EFE" w:rsidRPr="00261B7A" w:rsidRDefault="00422EFE" w:rsidP="000A0ABE">
            <w:pPr>
              <w:pStyle w:val="TableText"/>
              <w:spacing w:before="40" w:after="40"/>
            </w:pPr>
            <w:r w:rsidRPr="00261B7A">
              <w:rPr>
                <w:rFonts w:eastAsia="Calibri"/>
                <w:color w:val="000000"/>
              </w:rPr>
              <w:t>Overall emission factor</w:t>
            </w:r>
          </w:p>
        </w:tc>
        <w:tc>
          <w:tcPr>
            <w:tcW w:w="1860" w:type="dxa"/>
            <w:shd w:val="clear" w:color="auto" w:fill="FFFFFF"/>
            <w:tcMar>
              <w:top w:w="0" w:type="dxa"/>
              <w:left w:w="108" w:type="dxa"/>
              <w:bottom w:w="0" w:type="dxa"/>
              <w:right w:w="108" w:type="dxa"/>
            </w:tcMar>
          </w:tcPr>
          <w:p w14:paraId="6670801E" w14:textId="77777777" w:rsidR="00422EFE" w:rsidRPr="00261B7A" w:rsidRDefault="00422EFE" w:rsidP="000A0ABE">
            <w:pPr>
              <w:pStyle w:val="TableText"/>
              <w:spacing w:before="40" w:after="40"/>
            </w:pPr>
            <w:r w:rsidRPr="00261B7A">
              <w:rPr>
                <w:rFonts w:eastAsia="Calibri"/>
                <w:color w:val="000000"/>
              </w:rPr>
              <w:t>Range of 0.0013–0.0019</w:t>
            </w:r>
          </w:p>
        </w:tc>
        <w:tc>
          <w:tcPr>
            <w:tcW w:w="1684" w:type="dxa"/>
            <w:shd w:val="clear" w:color="auto" w:fill="FFFFFF"/>
            <w:tcMar>
              <w:top w:w="0" w:type="dxa"/>
              <w:left w:w="108" w:type="dxa"/>
              <w:bottom w:w="0" w:type="dxa"/>
              <w:right w:w="108" w:type="dxa"/>
            </w:tcMar>
          </w:tcPr>
          <w:p w14:paraId="04EFEBD9" w14:textId="77777777" w:rsidR="00422EFE" w:rsidRPr="00261B7A" w:rsidRDefault="00422EFE" w:rsidP="000A0ABE">
            <w:pPr>
              <w:pStyle w:val="TableText"/>
              <w:spacing w:before="40" w:after="40"/>
            </w:pPr>
            <w:r w:rsidRPr="00261B7A">
              <w:rPr>
                <w:rFonts w:eastAsia="Calibri"/>
                <w:color w:val="000000"/>
              </w:rPr>
              <w:t>New Zealand specific</w:t>
            </w:r>
          </w:p>
        </w:tc>
        <w:tc>
          <w:tcPr>
            <w:tcW w:w="2693" w:type="dxa"/>
            <w:shd w:val="clear" w:color="auto" w:fill="FFFFFF"/>
            <w:tcMar>
              <w:top w:w="0" w:type="dxa"/>
              <w:left w:w="108" w:type="dxa"/>
              <w:bottom w:w="0" w:type="dxa"/>
              <w:right w:w="108" w:type="dxa"/>
            </w:tcMar>
          </w:tcPr>
          <w:p w14:paraId="03379B5C" w14:textId="77777777" w:rsidR="00422EFE" w:rsidRPr="00261B7A" w:rsidRDefault="00422EFE" w:rsidP="000A0ABE">
            <w:pPr>
              <w:pStyle w:val="TableText"/>
              <w:spacing w:before="40" w:after="40"/>
            </w:pPr>
            <w:r w:rsidRPr="00261B7A">
              <w:rPr>
                <w:rFonts w:eastAsia="Calibri"/>
                <w:color w:val="000000"/>
              </w:rPr>
              <w:t>Cardno (unpublished)</w:t>
            </w:r>
          </w:p>
        </w:tc>
      </w:tr>
    </w:tbl>
    <w:p w14:paraId="18FB0301" w14:textId="77777777" w:rsidR="00422EFE" w:rsidRPr="00261B7A" w:rsidRDefault="00422EFE" w:rsidP="00422EFE">
      <w:pPr>
        <w:pStyle w:val="Noteundertable"/>
      </w:pPr>
      <w:r w:rsidRPr="00261B7A">
        <w:rPr>
          <w:b/>
          <w:bCs/>
        </w:rPr>
        <w:t>Note:</w:t>
      </w:r>
      <w:r w:rsidRPr="00261B7A">
        <w:t xml:space="preserve"> </w:t>
      </w:r>
      <w:r w:rsidRPr="00261B7A">
        <w:tab/>
        <w:t>COD = chemical oxygen demand; TN = total nitrogen.</w:t>
      </w:r>
    </w:p>
    <w:p w14:paraId="70AEEA15" w14:textId="77777777" w:rsidR="00422EFE" w:rsidRPr="00261B7A" w:rsidRDefault="00422EFE" w:rsidP="00CE2D16">
      <w:pPr>
        <w:pStyle w:val="Heading6"/>
      </w:pPr>
      <w:bookmarkStart w:id="2605" w:name="recovery-7"/>
      <w:r w:rsidRPr="00261B7A">
        <w:t>Recovery</w:t>
      </w:r>
    </w:p>
    <w:p w14:paraId="01572972" w14:textId="77777777" w:rsidR="00422EFE" w:rsidRPr="00261B7A" w:rsidRDefault="00422EFE" w:rsidP="000A0ABE">
      <w:pPr>
        <w:pStyle w:val="BodyText"/>
        <w:spacing w:before="80" w:after="100"/>
      </w:pPr>
      <w:r w:rsidRPr="00261B7A">
        <w:t>There is no recovery of emissions reported for this source.</w:t>
      </w:r>
    </w:p>
    <w:p w14:paraId="07DDB563" w14:textId="77777777" w:rsidR="00422EFE" w:rsidRPr="00261B7A" w:rsidRDefault="00422EFE" w:rsidP="00422EFE">
      <w:pPr>
        <w:pStyle w:val="Heading5"/>
      </w:pPr>
      <w:bookmarkStart w:id="2606" w:name="X5d86673037b98ba8b78ea95af024b5ec0c9825a"/>
      <w:bookmarkEnd w:id="2602"/>
      <w:bookmarkEnd w:id="2605"/>
      <w:r w:rsidRPr="00261B7A">
        <w:t>Nitrous oxide emissions from industrial wastewater treatment – Dairy processing industry</w:t>
      </w:r>
    </w:p>
    <w:p w14:paraId="5F844891" w14:textId="77777777" w:rsidR="00422EFE" w:rsidRPr="00261B7A" w:rsidRDefault="00422EFE" w:rsidP="000A0ABE">
      <w:pPr>
        <w:pStyle w:val="BodyText"/>
        <w:spacing w:before="80"/>
      </w:pPr>
      <w:r w:rsidRPr="00261B7A">
        <w:t>Table 7.5.14 summarises the parameter values applied for estimating N</w:t>
      </w:r>
      <w:r w:rsidRPr="00261B7A">
        <w:rPr>
          <w:vertAlign w:val="subscript"/>
        </w:rPr>
        <w:t>2</w:t>
      </w:r>
      <w:r w:rsidRPr="00261B7A">
        <w:t>O emissions from wastewater treatment by the dairy processing industry.</w:t>
      </w:r>
    </w:p>
    <w:p w14:paraId="70E0D174" w14:textId="77777777" w:rsidR="00422EFE" w:rsidRPr="00261B7A" w:rsidRDefault="00422EFE" w:rsidP="00422EFE">
      <w:pPr>
        <w:pStyle w:val="Table"/>
      </w:pPr>
      <w:bookmarkStart w:id="2607" w:name="_Toc128383692"/>
      <w:bookmarkStart w:id="2608" w:name="_Toc131591465"/>
      <w:r w:rsidRPr="00261B7A">
        <w:t xml:space="preserve">Table 7.5.14 </w:t>
      </w:r>
      <w:r w:rsidRPr="00261B7A">
        <w:tab/>
        <w:t>Parameter values applied by New Zealand for estimating nitrous oxide emissions for wastewater treatment for the dairy processing industry</w:t>
      </w:r>
      <w:bookmarkEnd w:id="2607"/>
      <w:bookmarkEnd w:id="2608"/>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345"/>
        <w:gridCol w:w="712"/>
        <w:gridCol w:w="1702"/>
        <w:gridCol w:w="1746"/>
      </w:tblGrid>
      <w:tr w:rsidR="00422EFE" w:rsidRPr="00261B7A" w14:paraId="0AD06424" w14:textId="77777777" w:rsidTr="00D41492">
        <w:trPr>
          <w:tblHeader/>
        </w:trPr>
        <w:tc>
          <w:tcPr>
            <w:tcW w:w="0" w:type="auto"/>
            <w:shd w:val="clear" w:color="auto" w:fill="1B556B"/>
            <w:tcMar>
              <w:top w:w="0" w:type="dxa"/>
              <w:left w:w="108" w:type="dxa"/>
              <w:bottom w:w="0" w:type="dxa"/>
              <w:right w:w="108" w:type="dxa"/>
            </w:tcMar>
          </w:tcPr>
          <w:p w14:paraId="7BD05183"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Parameter</w:t>
            </w:r>
          </w:p>
        </w:tc>
        <w:tc>
          <w:tcPr>
            <w:tcW w:w="0" w:type="auto"/>
            <w:shd w:val="clear" w:color="auto" w:fill="1B556B"/>
            <w:tcMar>
              <w:top w:w="0" w:type="dxa"/>
              <w:left w:w="108" w:type="dxa"/>
              <w:bottom w:w="0" w:type="dxa"/>
              <w:right w:w="108" w:type="dxa"/>
            </w:tcMar>
          </w:tcPr>
          <w:p w14:paraId="01D410E5"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Value</w:t>
            </w:r>
          </w:p>
        </w:tc>
        <w:tc>
          <w:tcPr>
            <w:tcW w:w="0" w:type="auto"/>
            <w:shd w:val="clear" w:color="auto" w:fill="1B556B"/>
            <w:tcMar>
              <w:top w:w="0" w:type="dxa"/>
              <w:left w:w="108" w:type="dxa"/>
              <w:bottom w:w="0" w:type="dxa"/>
              <w:right w:w="108" w:type="dxa"/>
            </w:tcMar>
          </w:tcPr>
          <w:p w14:paraId="3F98CFDF"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Source</w:t>
            </w:r>
          </w:p>
        </w:tc>
        <w:tc>
          <w:tcPr>
            <w:tcW w:w="0" w:type="auto"/>
            <w:shd w:val="clear" w:color="auto" w:fill="1B556B"/>
            <w:tcMar>
              <w:top w:w="0" w:type="dxa"/>
              <w:left w:w="108" w:type="dxa"/>
              <w:bottom w:w="0" w:type="dxa"/>
              <w:right w:w="108" w:type="dxa"/>
            </w:tcMar>
          </w:tcPr>
          <w:p w14:paraId="646B7E12"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Reference</w:t>
            </w:r>
          </w:p>
        </w:tc>
      </w:tr>
      <w:tr w:rsidR="00422EFE" w:rsidRPr="00261B7A" w14:paraId="5EDE3969" w14:textId="77777777" w:rsidTr="00D41492">
        <w:tc>
          <w:tcPr>
            <w:tcW w:w="0" w:type="auto"/>
            <w:shd w:val="clear" w:color="auto" w:fill="FFFFFF"/>
            <w:tcMar>
              <w:top w:w="0" w:type="dxa"/>
              <w:left w:w="108" w:type="dxa"/>
              <w:bottom w:w="0" w:type="dxa"/>
              <w:right w:w="108" w:type="dxa"/>
            </w:tcMar>
          </w:tcPr>
          <w:p w14:paraId="779E6642" w14:textId="77777777" w:rsidR="00422EFE" w:rsidRPr="00261B7A" w:rsidRDefault="00422EFE" w:rsidP="00D41492">
            <w:pPr>
              <w:pStyle w:val="TableText"/>
              <w:spacing w:before="40" w:after="40"/>
            </w:pPr>
            <w:r w:rsidRPr="00261B7A">
              <w:rPr>
                <w:rFonts w:eastAsia="Calibri"/>
                <w:color w:val="000000"/>
              </w:rPr>
              <w:t>Degradable organic component (kg COD/tonne of product)</w:t>
            </w:r>
          </w:p>
        </w:tc>
        <w:tc>
          <w:tcPr>
            <w:tcW w:w="0" w:type="auto"/>
            <w:shd w:val="clear" w:color="auto" w:fill="FFFFFF"/>
            <w:tcMar>
              <w:top w:w="0" w:type="dxa"/>
              <w:left w:w="108" w:type="dxa"/>
              <w:bottom w:w="0" w:type="dxa"/>
              <w:right w:w="108" w:type="dxa"/>
            </w:tcMar>
          </w:tcPr>
          <w:p w14:paraId="12C5E020" w14:textId="77777777" w:rsidR="00422EFE" w:rsidRPr="00261B7A" w:rsidRDefault="00422EFE" w:rsidP="00D41492">
            <w:pPr>
              <w:pStyle w:val="TableText"/>
              <w:spacing w:before="40" w:after="40"/>
            </w:pPr>
            <w:r w:rsidRPr="00261B7A">
              <w:rPr>
                <w:rFonts w:eastAsia="Calibri"/>
                <w:color w:val="000000"/>
              </w:rPr>
              <w:t>2</w:t>
            </w:r>
          </w:p>
        </w:tc>
        <w:tc>
          <w:tcPr>
            <w:tcW w:w="0" w:type="auto"/>
            <w:shd w:val="clear" w:color="auto" w:fill="FFFFFF"/>
            <w:tcMar>
              <w:top w:w="0" w:type="dxa"/>
              <w:left w:w="108" w:type="dxa"/>
              <w:bottom w:w="0" w:type="dxa"/>
              <w:right w:w="108" w:type="dxa"/>
            </w:tcMar>
          </w:tcPr>
          <w:p w14:paraId="4C33DFB3" w14:textId="77777777" w:rsidR="00422EFE" w:rsidRPr="00261B7A" w:rsidRDefault="00422EFE" w:rsidP="00D41492">
            <w:pPr>
              <w:pStyle w:val="TableText"/>
              <w:spacing w:before="40" w:after="40"/>
            </w:pPr>
            <w:r w:rsidRPr="00261B7A">
              <w:rPr>
                <w:rFonts w:eastAsia="Calibri"/>
                <w:color w:val="000000"/>
              </w:rPr>
              <w:t>New Zealand specific</w:t>
            </w:r>
          </w:p>
        </w:tc>
        <w:tc>
          <w:tcPr>
            <w:tcW w:w="0" w:type="auto"/>
            <w:shd w:val="clear" w:color="auto" w:fill="FFFFFF"/>
            <w:tcMar>
              <w:top w:w="0" w:type="dxa"/>
              <w:left w:w="108" w:type="dxa"/>
              <w:bottom w:w="0" w:type="dxa"/>
              <w:right w:w="108" w:type="dxa"/>
            </w:tcMar>
          </w:tcPr>
          <w:p w14:paraId="7D19B914" w14:textId="77777777" w:rsidR="00422EFE" w:rsidRPr="00261B7A" w:rsidRDefault="00422EFE" w:rsidP="00D41492">
            <w:pPr>
              <w:pStyle w:val="TableText"/>
              <w:spacing w:before="40" w:after="40"/>
            </w:pPr>
            <w:r w:rsidRPr="00261B7A">
              <w:rPr>
                <w:rFonts w:eastAsia="Calibri"/>
                <w:color w:val="000000"/>
              </w:rPr>
              <w:t>Cardno (unpublished)</w:t>
            </w:r>
          </w:p>
        </w:tc>
      </w:tr>
      <w:tr w:rsidR="00422EFE" w:rsidRPr="00261B7A" w14:paraId="3228BF72" w14:textId="77777777" w:rsidTr="00D41492">
        <w:tc>
          <w:tcPr>
            <w:tcW w:w="0" w:type="auto"/>
            <w:shd w:val="clear" w:color="auto" w:fill="FFFFFF"/>
            <w:tcMar>
              <w:top w:w="0" w:type="dxa"/>
              <w:left w:w="108" w:type="dxa"/>
              <w:bottom w:w="0" w:type="dxa"/>
              <w:right w:w="108" w:type="dxa"/>
            </w:tcMar>
          </w:tcPr>
          <w:p w14:paraId="0E4D68CF" w14:textId="77777777" w:rsidR="00422EFE" w:rsidRPr="00261B7A" w:rsidRDefault="00422EFE" w:rsidP="00D41492">
            <w:pPr>
              <w:pStyle w:val="TableText"/>
              <w:spacing w:before="40" w:after="40"/>
            </w:pPr>
            <w:r w:rsidRPr="00261B7A">
              <w:rPr>
                <w:rFonts w:eastAsia="Calibri"/>
                <w:color w:val="000000"/>
              </w:rPr>
              <w:t>Ratio of total nitrogen to biodegradable COD (TN:COD</w:t>
            </w:r>
            <w:r w:rsidRPr="00261B7A">
              <w:rPr>
                <w:rFonts w:eastAsia="Calibri"/>
                <w:color w:val="000000"/>
                <w:vertAlign w:val="subscript"/>
              </w:rPr>
              <w:t>b</w:t>
            </w:r>
            <w:r w:rsidRPr="00261B7A">
              <w:rPr>
                <w:rFonts w:eastAsia="Calibri"/>
                <w:color w:val="000000"/>
              </w:rPr>
              <w:t>)</w:t>
            </w:r>
          </w:p>
        </w:tc>
        <w:tc>
          <w:tcPr>
            <w:tcW w:w="0" w:type="auto"/>
            <w:shd w:val="clear" w:color="auto" w:fill="FFFFFF"/>
            <w:tcMar>
              <w:top w:w="0" w:type="dxa"/>
              <w:left w:w="108" w:type="dxa"/>
              <w:bottom w:w="0" w:type="dxa"/>
              <w:right w:w="108" w:type="dxa"/>
            </w:tcMar>
          </w:tcPr>
          <w:p w14:paraId="4ABA83BF" w14:textId="77777777" w:rsidR="00422EFE" w:rsidRPr="00261B7A" w:rsidRDefault="00422EFE" w:rsidP="00D41492">
            <w:pPr>
              <w:pStyle w:val="TableText"/>
              <w:spacing w:before="40" w:after="40"/>
            </w:pPr>
            <w:r w:rsidRPr="00261B7A">
              <w:rPr>
                <w:rFonts w:eastAsia="Calibri"/>
                <w:color w:val="000000"/>
              </w:rPr>
              <w:t>0.044</w:t>
            </w:r>
          </w:p>
        </w:tc>
        <w:tc>
          <w:tcPr>
            <w:tcW w:w="0" w:type="auto"/>
            <w:shd w:val="clear" w:color="auto" w:fill="FFFFFF"/>
            <w:tcMar>
              <w:top w:w="0" w:type="dxa"/>
              <w:left w:w="108" w:type="dxa"/>
              <w:bottom w:w="0" w:type="dxa"/>
              <w:right w:w="108" w:type="dxa"/>
            </w:tcMar>
          </w:tcPr>
          <w:p w14:paraId="705D1937" w14:textId="77777777" w:rsidR="00422EFE" w:rsidRPr="00261B7A" w:rsidRDefault="00422EFE" w:rsidP="00D41492">
            <w:pPr>
              <w:pStyle w:val="TableText"/>
              <w:spacing w:before="40" w:after="40"/>
            </w:pPr>
            <w:r w:rsidRPr="00261B7A">
              <w:rPr>
                <w:rFonts w:eastAsia="Calibri"/>
                <w:color w:val="000000"/>
              </w:rPr>
              <w:t>New Zealand specific</w:t>
            </w:r>
          </w:p>
        </w:tc>
        <w:tc>
          <w:tcPr>
            <w:tcW w:w="0" w:type="auto"/>
            <w:shd w:val="clear" w:color="auto" w:fill="FFFFFF"/>
            <w:tcMar>
              <w:top w:w="0" w:type="dxa"/>
              <w:left w:w="108" w:type="dxa"/>
              <w:bottom w:w="0" w:type="dxa"/>
              <w:right w:w="108" w:type="dxa"/>
            </w:tcMar>
          </w:tcPr>
          <w:p w14:paraId="3E9D4339" w14:textId="77777777" w:rsidR="00422EFE" w:rsidRPr="00261B7A" w:rsidRDefault="00422EFE" w:rsidP="00D41492">
            <w:pPr>
              <w:pStyle w:val="TableText"/>
              <w:spacing w:before="40" w:after="40"/>
            </w:pPr>
            <w:r w:rsidRPr="00261B7A">
              <w:rPr>
                <w:rFonts w:eastAsia="Calibri"/>
                <w:color w:val="000000"/>
              </w:rPr>
              <w:t>Cardno (unpublished)</w:t>
            </w:r>
          </w:p>
        </w:tc>
      </w:tr>
      <w:tr w:rsidR="00422EFE" w:rsidRPr="00261B7A" w14:paraId="70B9FCD2" w14:textId="77777777" w:rsidTr="00D41492">
        <w:tc>
          <w:tcPr>
            <w:tcW w:w="0" w:type="auto"/>
            <w:shd w:val="clear" w:color="auto" w:fill="FFFFFF"/>
            <w:tcMar>
              <w:top w:w="0" w:type="dxa"/>
              <w:left w:w="108" w:type="dxa"/>
              <w:bottom w:w="0" w:type="dxa"/>
              <w:right w:w="108" w:type="dxa"/>
            </w:tcMar>
          </w:tcPr>
          <w:p w14:paraId="604534CE" w14:textId="77777777" w:rsidR="00422EFE" w:rsidRPr="00261B7A" w:rsidRDefault="00422EFE" w:rsidP="00D41492">
            <w:pPr>
              <w:pStyle w:val="TableText"/>
              <w:spacing w:before="40" w:after="40"/>
            </w:pPr>
            <w:r w:rsidRPr="00261B7A">
              <w:rPr>
                <w:rFonts w:eastAsia="Calibri"/>
                <w:color w:val="000000"/>
              </w:rPr>
              <w:t>Overall emission factor</w:t>
            </w:r>
          </w:p>
        </w:tc>
        <w:tc>
          <w:tcPr>
            <w:tcW w:w="0" w:type="auto"/>
            <w:shd w:val="clear" w:color="auto" w:fill="FFFFFF"/>
            <w:tcMar>
              <w:top w:w="0" w:type="dxa"/>
              <w:left w:w="108" w:type="dxa"/>
              <w:bottom w:w="0" w:type="dxa"/>
              <w:right w:w="108" w:type="dxa"/>
            </w:tcMar>
          </w:tcPr>
          <w:p w14:paraId="5A07AC1C" w14:textId="77777777" w:rsidR="00422EFE" w:rsidRPr="00261B7A" w:rsidRDefault="00422EFE" w:rsidP="00D41492">
            <w:pPr>
              <w:pStyle w:val="TableText"/>
              <w:spacing w:before="40" w:after="40"/>
            </w:pPr>
            <w:r w:rsidRPr="00261B7A">
              <w:rPr>
                <w:rFonts w:eastAsia="Calibri"/>
                <w:color w:val="000000"/>
              </w:rPr>
              <w:t>0.0028</w:t>
            </w:r>
          </w:p>
        </w:tc>
        <w:tc>
          <w:tcPr>
            <w:tcW w:w="0" w:type="auto"/>
            <w:shd w:val="clear" w:color="auto" w:fill="FFFFFF"/>
            <w:tcMar>
              <w:top w:w="0" w:type="dxa"/>
              <w:left w:w="108" w:type="dxa"/>
              <w:bottom w:w="0" w:type="dxa"/>
              <w:right w:w="108" w:type="dxa"/>
            </w:tcMar>
          </w:tcPr>
          <w:p w14:paraId="73628FE0" w14:textId="77777777" w:rsidR="00422EFE" w:rsidRPr="00261B7A" w:rsidRDefault="00422EFE" w:rsidP="00D41492">
            <w:pPr>
              <w:pStyle w:val="TableText"/>
              <w:spacing w:before="40" w:after="40"/>
            </w:pPr>
            <w:r w:rsidRPr="00261B7A">
              <w:rPr>
                <w:rFonts w:eastAsia="Calibri"/>
                <w:color w:val="000000"/>
              </w:rPr>
              <w:t>New Zealand specific</w:t>
            </w:r>
          </w:p>
        </w:tc>
        <w:tc>
          <w:tcPr>
            <w:tcW w:w="0" w:type="auto"/>
            <w:shd w:val="clear" w:color="auto" w:fill="FFFFFF"/>
            <w:tcMar>
              <w:top w:w="0" w:type="dxa"/>
              <w:left w:w="108" w:type="dxa"/>
              <w:bottom w:w="0" w:type="dxa"/>
              <w:right w:w="108" w:type="dxa"/>
            </w:tcMar>
          </w:tcPr>
          <w:p w14:paraId="27367F2F" w14:textId="77777777" w:rsidR="00422EFE" w:rsidRPr="00261B7A" w:rsidRDefault="00422EFE" w:rsidP="00D41492">
            <w:pPr>
              <w:pStyle w:val="TableText"/>
              <w:spacing w:before="40" w:after="40"/>
            </w:pPr>
            <w:r w:rsidRPr="00261B7A">
              <w:rPr>
                <w:rFonts w:eastAsia="Calibri"/>
                <w:color w:val="000000"/>
              </w:rPr>
              <w:t>Cardno (unpublished)</w:t>
            </w:r>
          </w:p>
        </w:tc>
      </w:tr>
    </w:tbl>
    <w:p w14:paraId="2A2500D2" w14:textId="77777777" w:rsidR="00422EFE" w:rsidRPr="00261B7A" w:rsidRDefault="00422EFE" w:rsidP="00422EFE">
      <w:pPr>
        <w:pStyle w:val="Noteundertable"/>
      </w:pPr>
      <w:r w:rsidRPr="00261B7A">
        <w:rPr>
          <w:b/>
          <w:bCs/>
        </w:rPr>
        <w:t>Note:</w:t>
      </w:r>
      <w:r w:rsidRPr="00261B7A">
        <w:t xml:space="preserve"> </w:t>
      </w:r>
      <w:r w:rsidRPr="00261B7A">
        <w:tab/>
        <w:t>COD = chemical oxygen demand; TN = total nitrogen.</w:t>
      </w:r>
    </w:p>
    <w:p w14:paraId="689D4DEE" w14:textId="77777777" w:rsidR="00422EFE" w:rsidRPr="00261B7A" w:rsidRDefault="00422EFE" w:rsidP="00CE2D16">
      <w:pPr>
        <w:pStyle w:val="Heading6"/>
      </w:pPr>
      <w:bookmarkStart w:id="2609" w:name="recovery-8"/>
      <w:r w:rsidRPr="00261B7A">
        <w:t>Recovery</w:t>
      </w:r>
    </w:p>
    <w:p w14:paraId="75C394E6" w14:textId="77777777" w:rsidR="00422EFE" w:rsidRPr="00261B7A" w:rsidRDefault="00422EFE" w:rsidP="000A0ABE">
      <w:pPr>
        <w:pStyle w:val="BodyText"/>
        <w:spacing w:before="80" w:after="100"/>
      </w:pPr>
      <w:r w:rsidRPr="00261B7A">
        <w:t>There is no recovery of emissions reported for this source.</w:t>
      </w:r>
    </w:p>
    <w:p w14:paraId="6B343BE8" w14:textId="77777777" w:rsidR="00422EFE" w:rsidRPr="00261B7A" w:rsidRDefault="00422EFE" w:rsidP="00422EFE">
      <w:pPr>
        <w:pStyle w:val="Heading5"/>
      </w:pPr>
      <w:bookmarkStart w:id="2610" w:name="X8304ebedd37f21741b77165175d750c1cbc201b"/>
      <w:bookmarkEnd w:id="2606"/>
      <w:bookmarkEnd w:id="2609"/>
      <w:r w:rsidRPr="00261B7A">
        <w:t>Nitrous oxide emissions from industrial wastewater treatment – Leather and skins industry</w:t>
      </w:r>
    </w:p>
    <w:p w14:paraId="4DEB12F7" w14:textId="77777777" w:rsidR="00422EFE" w:rsidRPr="00261B7A" w:rsidRDefault="00422EFE" w:rsidP="00422EFE">
      <w:pPr>
        <w:pStyle w:val="BodyText"/>
        <w:spacing w:before="100" w:after="100"/>
      </w:pPr>
      <w:r w:rsidRPr="00261B7A">
        <w:t>Table 7.5.15 summarises the parameter values applied for estimating N</w:t>
      </w:r>
      <w:r w:rsidRPr="00261B7A">
        <w:rPr>
          <w:vertAlign w:val="subscript"/>
        </w:rPr>
        <w:t>2</w:t>
      </w:r>
      <w:r w:rsidRPr="00261B7A">
        <w:t>O emissions from wastewater treatment by the leather and skins industry.</w:t>
      </w:r>
    </w:p>
    <w:p w14:paraId="4E4365EC" w14:textId="77777777" w:rsidR="00422EFE" w:rsidRPr="00261B7A" w:rsidRDefault="00422EFE" w:rsidP="00422EFE">
      <w:pPr>
        <w:pStyle w:val="Table"/>
      </w:pPr>
      <w:bookmarkStart w:id="2611" w:name="_Toc128383693"/>
      <w:bookmarkStart w:id="2612" w:name="_Toc131591466"/>
      <w:r w:rsidRPr="00261B7A">
        <w:t xml:space="preserve">Table 7.5.15 </w:t>
      </w:r>
      <w:r w:rsidRPr="00261B7A">
        <w:tab/>
        <w:t>Parameter values applied by New Zealand for estimating nitrous oxide emissions for wastewater treatment for the leather and skins industry</w:t>
      </w:r>
      <w:bookmarkEnd w:id="2611"/>
      <w:bookmarkEnd w:id="2612"/>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146"/>
        <w:gridCol w:w="641"/>
        <w:gridCol w:w="1631"/>
        <w:gridCol w:w="3087"/>
      </w:tblGrid>
      <w:tr w:rsidR="00422EFE" w:rsidRPr="00261B7A" w14:paraId="10444F4E" w14:textId="77777777" w:rsidTr="008B09CC">
        <w:trPr>
          <w:tblHeader/>
        </w:trPr>
        <w:tc>
          <w:tcPr>
            <w:tcW w:w="3062" w:type="dxa"/>
            <w:shd w:val="clear" w:color="auto" w:fill="1B556B"/>
            <w:tcMar>
              <w:top w:w="0" w:type="dxa"/>
              <w:left w:w="108" w:type="dxa"/>
              <w:bottom w:w="0" w:type="dxa"/>
              <w:right w:w="108" w:type="dxa"/>
            </w:tcMar>
          </w:tcPr>
          <w:p w14:paraId="0AA9E08F"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Parameter</w:t>
            </w:r>
          </w:p>
        </w:tc>
        <w:tc>
          <w:tcPr>
            <w:tcW w:w="624" w:type="dxa"/>
            <w:shd w:val="clear" w:color="auto" w:fill="1B556B"/>
            <w:tcMar>
              <w:top w:w="0" w:type="dxa"/>
              <w:left w:w="108" w:type="dxa"/>
              <w:bottom w:w="0" w:type="dxa"/>
              <w:right w:w="108" w:type="dxa"/>
            </w:tcMar>
          </w:tcPr>
          <w:p w14:paraId="32188EEA"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Value</w:t>
            </w:r>
          </w:p>
        </w:tc>
        <w:tc>
          <w:tcPr>
            <w:tcW w:w="1588" w:type="dxa"/>
            <w:shd w:val="clear" w:color="auto" w:fill="1B556B"/>
            <w:tcMar>
              <w:top w:w="0" w:type="dxa"/>
              <w:left w:w="108" w:type="dxa"/>
              <w:bottom w:w="0" w:type="dxa"/>
              <w:right w:w="108" w:type="dxa"/>
            </w:tcMar>
          </w:tcPr>
          <w:p w14:paraId="732F6CFD"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Source</w:t>
            </w:r>
          </w:p>
        </w:tc>
        <w:tc>
          <w:tcPr>
            <w:tcW w:w="3005" w:type="dxa"/>
            <w:shd w:val="clear" w:color="auto" w:fill="1B556B"/>
            <w:tcMar>
              <w:top w:w="0" w:type="dxa"/>
              <w:left w:w="108" w:type="dxa"/>
              <w:bottom w:w="0" w:type="dxa"/>
              <w:right w:w="108" w:type="dxa"/>
            </w:tcMar>
          </w:tcPr>
          <w:p w14:paraId="7D7518C6"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Reference</w:t>
            </w:r>
          </w:p>
        </w:tc>
      </w:tr>
      <w:tr w:rsidR="00422EFE" w:rsidRPr="00261B7A" w14:paraId="3EE5CFDC" w14:textId="77777777" w:rsidTr="008B09CC">
        <w:tc>
          <w:tcPr>
            <w:tcW w:w="3062" w:type="dxa"/>
            <w:shd w:val="clear" w:color="auto" w:fill="FFFFFF"/>
            <w:tcMar>
              <w:top w:w="0" w:type="dxa"/>
              <w:left w:w="108" w:type="dxa"/>
              <w:bottom w:w="0" w:type="dxa"/>
              <w:right w:w="108" w:type="dxa"/>
            </w:tcMar>
          </w:tcPr>
          <w:p w14:paraId="27A3220D" w14:textId="77777777" w:rsidR="00422EFE" w:rsidRPr="00261B7A" w:rsidRDefault="00422EFE" w:rsidP="00D41492">
            <w:pPr>
              <w:pStyle w:val="TableText"/>
              <w:spacing w:before="40" w:after="40"/>
            </w:pPr>
            <w:r w:rsidRPr="00261B7A">
              <w:rPr>
                <w:rFonts w:eastAsia="Calibri"/>
                <w:color w:val="000000"/>
              </w:rPr>
              <w:t>Degradable organic component (kg COD/tonne of product)</w:t>
            </w:r>
          </w:p>
        </w:tc>
        <w:tc>
          <w:tcPr>
            <w:tcW w:w="624" w:type="dxa"/>
            <w:shd w:val="clear" w:color="auto" w:fill="FFFFFF"/>
            <w:tcMar>
              <w:top w:w="0" w:type="dxa"/>
              <w:left w:w="108" w:type="dxa"/>
              <w:bottom w:w="0" w:type="dxa"/>
              <w:right w:w="108" w:type="dxa"/>
            </w:tcMar>
          </w:tcPr>
          <w:p w14:paraId="385E27D6" w14:textId="77777777" w:rsidR="00422EFE" w:rsidRPr="00261B7A" w:rsidRDefault="00422EFE" w:rsidP="00D41492">
            <w:pPr>
              <w:pStyle w:val="TableText"/>
              <w:spacing w:before="40" w:after="40"/>
            </w:pPr>
            <w:r w:rsidRPr="00261B7A">
              <w:rPr>
                <w:rFonts w:eastAsia="Calibri"/>
                <w:color w:val="000000"/>
              </w:rPr>
              <w:t>180</w:t>
            </w:r>
          </w:p>
        </w:tc>
        <w:tc>
          <w:tcPr>
            <w:tcW w:w="1588" w:type="dxa"/>
            <w:shd w:val="clear" w:color="auto" w:fill="FFFFFF"/>
            <w:tcMar>
              <w:top w:w="0" w:type="dxa"/>
              <w:left w:w="108" w:type="dxa"/>
              <w:bottom w:w="0" w:type="dxa"/>
              <w:right w:w="108" w:type="dxa"/>
            </w:tcMar>
          </w:tcPr>
          <w:p w14:paraId="0F2B11CA" w14:textId="77777777" w:rsidR="00422EFE" w:rsidRPr="00261B7A" w:rsidRDefault="00422EFE" w:rsidP="00D41492">
            <w:pPr>
              <w:pStyle w:val="TableText"/>
              <w:spacing w:before="40" w:after="40"/>
            </w:pPr>
            <w:r w:rsidRPr="00261B7A">
              <w:rPr>
                <w:rFonts w:eastAsia="Calibri"/>
                <w:color w:val="000000"/>
              </w:rPr>
              <w:t>New Zealand specific</w:t>
            </w:r>
          </w:p>
        </w:tc>
        <w:tc>
          <w:tcPr>
            <w:tcW w:w="3005" w:type="dxa"/>
            <w:shd w:val="clear" w:color="auto" w:fill="FFFFFF"/>
            <w:tcMar>
              <w:top w:w="0" w:type="dxa"/>
              <w:left w:w="108" w:type="dxa"/>
              <w:bottom w:w="0" w:type="dxa"/>
              <w:right w:w="108" w:type="dxa"/>
            </w:tcMar>
          </w:tcPr>
          <w:p w14:paraId="02562C15" w14:textId="77777777" w:rsidR="00422EFE" w:rsidRPr="00261B7A" w:rsidRDefault="00422EFE" w:rsidP="00D41492">
            <w:pPr>
              <w:pStyle w:val="TableText"/>
              <w:spacing w:before="40" w:after="40"/>
            </w:pPr>
            <w:r w:rsidRPr="00261B7A">
              <w:rPr>
                <w:rFonts w:eastAsia="Calibri"/>
                <w:color w:val="000000"/>
              </w:rPr>
              <w:t>SCS Wetherill Environmental (unpublished)</w:t>
            </w:r>
          </w:p>
        </w:tc>
      </w:tr>
      <w:tr w:rsidR="00422EFE" w:rsidRPr="00261B7A" w14:paraId="3C89F5CD" w14:textId="77777777" w:rsidTr="008B09CC">
        <w:tc>
          <w:tcPr>
            <w:tcW w:w="3062" w:type="dxa"/>
            <w:shd w:val="clear" w:color="auto" w:fill="FFFFFF"/>
            <w:tcMar>
              <w:top w:w="0" w:type="dxa"/>
              <w:left w:w="108" w:type="dxa"/>
              <w:bottom w:w="0" w:type="dxa"/>
              <w:right w:w="108" w:type="dxa"/>
            </w:tcMar>
          </w:tcPr>
          <w:p w14:paraId="1164078A" w14:textId="77777777" w:rsidR="00422EFE" w:rsidRPr="00261B7A" w:rsidRDefault="00422EFE" w:rsidP="00D41492">
            <w:pPr>
              <w:pStyle w:val="TableText"/>
              <w:spacing w:before="40" w:after="40"/>
            </w:pPr>
            <w:r w:rsidRPr="00261B7A">
              <w:rPr>
                <w:rFonts w:eastAsia="Calibri"/>
                <w:color w:val="000000"/>
              </w:rPr>
              <w:t>Ratio of total nitrogen to biodegradable COD (TN:COD</w:t>
            </w:r>
            <w:r w:rsidRPr="00261B7A">
              <w:rPr>
                <w:rFonts w:eastAsia="Calibri"/>
                <w:color w:val="000000"/>
                <w:vertAlign w:val="subscript"/>
              </w:rPr>
              <w:t>b</w:t>
            </w:r>
            <w:r w:rsidRPr="00261B7A">
              <w:rPr>
                <w:rFonts w:eastAsia="Calibri"/>
                <w:color w:val="000000"/>
              </w:rPr>
              <w:t>)</w:t>
            </w:r>
          </w:p>
        </w:tc>
        <w:tc>
          <w:tcPr>
            <w:tcW w:w="624" w:type="dxa"/>
            <w:shd w:val="clear" w:color="auto" w:fill="FFFFFF"/>
            <w:tcMar>
              <w:top w:w="0" w:type="dxa"/>
              <w:left w:w="108" w:type="dxa"/>
              <w:bottom w:w="0" w:type="dxa"/>
              <w:right w:w="108" w:type="dxa"/>
            </w:tcMar>
          </w:tcPr>
          <w:p w14:paraId="4581F0BB" w14:textId="77777777" w:rsidR="00422EFE" w:rsidRPr="00261B7A" w:rsidRDefault="00422EFE" w:rsidP="00D41492">
            <w:pPr>
              <w:pStyle w:val="TableText"/>
              <w:spacing w:before="40" w:after="40"/>
            </w:pPr>
            <w:r w:rsidRPr="00261B7A">
              <w:rPr>
                <w:rFonts w:eastAsia="Calibri"/>
                <w:color w:val="000000"/>
              </w:rPr>
              <w:t>0.08</w:t>
            </w:r>
          </w:p>
        </w:tc>
        <w:tc>
          <w:tcPr>
            <w:tcW w:w="1588" w:type="dxa"/>
            <w:shd w:val="clear" w:color="auto" w:fill="FFFFFF"/>
            <w:tcMar>
              <w:top w:w="0" w:type="dxa"/>
              <w:left w:w="108" w:type="dxa"/>
              <w:bottom w:w="0" w:type="dxa"/>
              <w:right w:w="108" w:type="dxa"/>
            </w:tcMar>
          </w:tcPr>
          <w:p w14:paraId="24FD073C" w14:textId="77777777" w:rsidR="00422EFE" w:rsidRPr="00261B7A" w:rsidRDefault="00422EFE" w:rsidP="00D41492">
            <w:pPr>
              <w:pStyle w:val="TableText"/>
              <w:spacing w:before="40" w:after="40"/>
            </w:pPr>
            <w:r w:rsidRPr="00261B7A">
              <w:rPr>
                <w:rFonts w:eastAsia="Calibri"/>
                <w:color w:val="000000"/>
              </w:rPr>
              <w:t>New Zealand specific</w:t>
            </w:r>
          </w:p>
        </w:tc>
        <w:tc>
          <w:tcPr>
            <w:tcW w:w="3005" w:type="dxa"/>
            <w:shd w:val="clear" w:color="auto" w:fill="FFFFFF"/>
            <w:tcMar>
              <w:top w:w="0" w:type="dxa"/>
              <w:left w:w="108" w:type="dxa"/>
              <w:bottom w:w="0" w:type="dxa"/>
              <w:right w:w="108" w:type="dxa"/>
            </w:tcMar>
          </w:tcPr>
          <w:p w14:paraId="1A0B3F59" w14:textId="77777777" w:rsidR="00422EFE" w:rsidRPr="00261B7A" w:rsidRDefault="00422EFE" w:rsidP="00D41492">
            <w:pPr>
              <w:pStyle w:val="TableText"/>
              <w:spacing w:before="40" w:after="40"/>
            </w:pPr>
            <w:r w:rsidRPr="00261B7A">
              <w:rPr>
                <w:rFonts w:eastAsia="Calibri"/>
                <w:color w:val="000000"/>
              </w:rPr>
              <w:t>SCS Wetherill Environmental (unpublished)</w:t>
            </w:r>
          </w:p>
        </w:tc>
      </w:tr>
      <w:tr w:rsidR="00422EFE" w:rsidRPr="00261B7A" w14:paraId="2695916B" w14:textId="77777777" w:rsidTr="008B09CC">
        <w:tc>
          <w:tcPr>
            <w:tcW w:w="3062" w:type="dxa"/>
            <w:shd w:val="clear" w:color="auto" w:fill="FFFFFF"/>
            <w:tcMar>
              <w:top w:w="0" w:type="dxa"/>
              <w:left w:w="108" w:type="dxa"/>
              <w:bottom w:w="0" w:type="dxa"/>
              <w:right w:w="108" w:type="dxa"/>
            </w:tcMar>
          </w:tcPr>
          <w:p w14:paraId="13A7835B" w14:textId="77777777" w:rsidR="00422EFE" w:rsidRPr="00261B7A" w:rsidRDefault="00422EFE" w:rsidP="00D41492">
            <w:pPr>
              <w:pStyle w:val="TableText"/>
              <w:spacing w:before="40" w:after="40"/>
            </w:pPr>
            <w:r w:rsidRPr="00261B7A">
              <w:rPr>
                <w:rFonts w:eastAsia="Calibri"/>
                <w:color w:val="000000"/>
              </w:rPr>
              <w:t>Overall emission factor</w:t>
            </w:r>
          </w:p>
        </w:tc>
        <w:tc>
          <w:tcPr>
            <w:tcW w:w="624" w:type="dxa"/>
            <w:shd w:val="clear" w:color="auto" w:fill="FFFFFF"/>
            <w:tcMar>
              <w:top w:w="0" w:type="dxa"/>
              <w:left w:w="108" w:type="dxa"/>
              <w:bottom w:w="0" w:type="dxa"/>
              <w:right w:w="108" w:type="dxa"/>
            </w:tcMar>
          </w:tcPr>
          <w:p w14:paraId="1C66F149" w14:textId="77777777" w:rsidR="00422EFE" w:rsidRPr="00261B7A" w:rsidRDefault="00422EFE" w:rsidP="00D41492">
            <w:pPr>
              <w:pStyle w:val="TableText"/>
              <w:spacing w:before="40" w:after="40"/>
            </w:pPr>
            <w:r w:rsidRPr="00261B7A">
              <w:rPr>
                <w:rFonts w:eastAsia="Calibri"/>
                <w:color w:val="000000"/>
              </w:rPr>
              <w:t>0.02</w:t>
            </w:r>
          </w:p>
        </w:tc>
        <w:tc>
          <w:tcPr>
            <w:tcW w:w="1588" w:type="dxa"/>
            <w:shd w:val="clear" w:color="auto" w:fill="FFFFFF"/>
            <w:tcMar>
              <w:top w:w="0" w:type="dxa"/>
              <w:left w:w="108" w:type="dxa"/>
              <w:bottom w:w="0" w:type="dxa"/>
              <w:right w:w="108" w:type="dxa"/>
            </w:tcMar>
          </w:tcPr>
          <w:p w14:paraId="34432BFA" w14:textId="77777777" w:rsidR="00422EFE" w:rsidRPr="00261B7A" w:rsidRDefault="00422EFE" w:rsidP="00D41492">
            <w:pPr>
              <w:pStyle w:val="TableText"/>
              <w:spacing w:before="40" w:after="40"/>
            </w:pPr>
            <w:r w:rsidRPr="00261B7A">
              <w:rPr>
                <w:rFonts w:eastAsia="Calibri"/>
                <w:color w:val="000000"/>
              </w:rPr>
              <w:t>New Zealand specific</w:t>
            </w:r>
          </w:p>
        </w:tc>
        <w:tc>
          <w:tcPr>
            <w:tcW w:w="3005" w:type="dxa"/>
            <w:shd w:val="clear" w:color="auto" w:fill="FFFFFF"/>
            <w:tcMar>
              <w:top w:w="0" w:type="dxa"/>
              <w:left w:w="108" w:type="dxa"/>
              <w:bottom w:w="0" w:type="dxa"/>
              <w:right w:w="108" w:type="dxa"/>
            </w:tcMar>
          </w:tcPr>
          <w:p w14:paraId="0FFAE0FA" w14:textId="77777777" w:rsidR="00422EFE" w:rsidRPr="00261B7A" w:rsidRDefault="00422EFE" w:rsidP="00D41492">
            <w:pPr>
              <w:pStyle w:val="TableText"/>
              <w:spacing w:before="40" w:after="40"/>
            </w:pPr>
            <w:r w:rsidRPr="00261B7A">
              <w:rPr>
                <w:rFonts w:eastAsia="Calibri"/>
                <w:color w:val="000000"/>
              </w:rPr>
              <w:t>SCS Wetherill Environmental (unpublished)</w:t>
            </w:r>
          </w:p>
        </w:tc>
      </w:tr>
    </w:tbl>
    <w:p w14:paraId="52F86AFF" w14:textId="77777777" w:rsidR="00422EFE" w:rsidRPr="00261B7A" w:rsidRDefault="00422EFE" w:rsidP="00422EFE">
      <w:pPr>
        <w:pStyle w:val="Noteundertable"/>
      </w:pPr>
      <w:r w:rsidRPr="00261B7A">
        <w:rPr>
          <w:b/>
          <w:bCs/>
        </w:rPr>
        <w:t>Note:</w:t>
      </w:r>
      <w:r w:rsidRPr="00261B7A">
        <w:t xml:space="preserve"> </w:t>
      </w:r>
      <w:r w:rsidRPr="00261B7A">
        <w:tab/>
        <w:t>COD = chemical oxygen demand; TN = total nitrogen.</w:t>
      </w:r>
    </w:p>
    <w:p w14:paraId="1F2D8A29" w14:textId="77777777" w:rsidR="00422EFE" w:rsidRPr="00261B7A" w:rsidRDefault="00422EFE" w:rsidP="00CE2D16">
      <w:pPr>
        <w:pStyle w:val="Heading6"/>
      </w:pPr>
      <w:bookmarkStart w:id="2613" w:name="recovery-9"/>
      <w:r w:rsidRPr="00261B7A">
        <w:t>Recovery</w:t>
      </w:r>
    </w:p>
    <w:p w14:paraId="311A1259" w14:textId="77777777" w:rsidR="00422EFE" w:rsidRPr="00261B7A" w:rsidRDefault="00422EFE" w:rsidP="00422EFE">
      <w:pPr>
        <w:pStyle w:val="BodyText"/>
        <w:spacing w:before="100" w:after="100"/>
      </w:pPr>
      <w:r w:rsidRPr="00261B7A">
        <w:t>There is no recovery of emissions reported for this source.</w:t>
      </w:r>
    </w:p>
    <w:p w14:paraId="503EB6CC" w14:textId="77777777" w:rsidR="00422EFE" w:rsidRPr="00261B7A" w:rsidRDefault="00422EFE" w:rsidP="00422EFE">
      <w:pPr>
        <w:pStyle w:val="Heading3"/>
      </w:pPr>
      <w:bookmarkStart w:id="2614" w:name="X6505d2f8ce2b5e37d67ba3699a05ded481a459a"/>
      <w:bookmarkEnd w:id="2548"/>
      <w:bookmarkEnd w:id="2581"/>
      <w:bookmarkEnd w:id="2610"/>
      <w:bookmarkEnd w:id="2613"/>
      <w:r w:rsidRPr="00261B7A">
        <w:t xml:space="preserve">7.5.3 </w:t>
      </w:r>
      <w:r w:rsidRPr="00261B7A">
        <w:tab/>
        <w:t>Uncertainties and time-series consistency</w:t>
      </w:r>
    </w:p>
    <w:p w14:paraId="10F7A17B" w14:textId="77777777" w:rsidR="00422EFE" w:rsidRPr="00261B7A" w:rsidRDefault="00422EFE" w:rsidP="00422EFE">
      <w:pPr>
        <w:pStyle w:val="Heading4"/>
        <w:spacing w:before="180"/>
      </w:pPr>
      <w:bookmarkStart w:id="2615" w:name="uncertainties-4"/>
      <w:r w:rsidRPr="00261B7A">
        <w:t>Uncertainties</w:t>
      </w:r>
    </w:p>
    <w:p w14:paraId="06FA9858" w14:textId="77777777" w:rsidR="00422EFE" w:rsidRPr="00261B7A" w:rsidRDefault="00422EFE" w:rsidP="00422EFE">
      <w:pPr>
        <w:pStyle w:val="Table"/>
      </w:pPr>
      <w:bookmarkStart w:id="2616" w:name="_Toc128383694"/>
      <w:bookmarkStart w:id="2617" w:name="_Toc131591467"/>
      <w:r w:rsidRPr="00261B7A">
        <w:t xml:space="preserve">Table 7.5.16 </w:t>
      </w:r>
      <w:r w:rsidRPr="00261B7A">
        <w:tab/>
        <w:t>Uncertainty in emissions from wastewater</w:t>
      </w:r>
      <w:bookmarkEnd w:id="2616"/>
      <w:bookmarkEnd w:id="2617"/>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36"/>
        <w:gridCol w:w="2491"/>
        <w:gridCol w:w="2778"/>
      </w:tblGrid>
      <w:tr w:rsidR="00422EFE" w:rsidRPr="00261B7A" w14:paraId="1F6D2F98" w14:textId="77777777" w:rsidTr="00D41492">
        <w:trPr>
          <w:tblHeader/>
        </w:trPr>
        <w:tc>
          <w:tcPr>
            <w:tcW w:w="0" w:type="auto"/>
            <w:shd w:val="clear" w:color="auto" w:fill="1B556B"/>
            <w:tcMar>
              <w:top w:w="0" w:type="dxa"/>
              <w:left w:w="108" w:type="dxa"/>
              <w:bottom w:w="0" w:type="dxa"/>
              <w:right w:w="108" w:type="dxa"/>
            </w:tcMar>
          </w:tcPr>
          <w:p w14:paraId="56B32555"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Emissions category</w:t>
            </w:r>
          </w:p>
        </w:tc>
        <w:tc>
          <w:tcPr>
            <w:tcW w:w="0" w:type="auto"/>
            <w:shd w:val="clear" w:color="auto" w:fill="1B556B"/>
            <w:tcMar>
              <w:top w:w="0" w:type="dxa"/>
              <w:left w:w="108" w:type="dxa"/>
              <w:bottom w:w="0" w:type="dxa"/>
              <w:right w:w="108" w:type="dxa"/>
            </w:tcMar>
          </w:tcPr>
          <w:p w14:paraId="31AC2504"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Uncertainty in activity data (%)</w:t>
            </w:r>
          </w:p>
        </w:tc>
        <w:tc>
          <w:tcPr>
            <w:tcW w:w="0" w:type="auto"/>
            <w:shd w:val="clear" w:color="auto" w:fill="1B556B"/>
            <w:tcMar>
              <w:top w:w="0" w:type="dxa"/>
              <w:left w:w="108" w:type="dxa"/>
              <w:bottom w:w="0" w:type="dxa"/>
              <w:right w:w="108" w:type="dxa"/>
            </w:tcMar>
          </w:tcPr>
          <w:p w14:paraId="3414DCF3" w14:textId="77777777" w:rsidR="00422EFE" w:rsidRPr="00261B7A" w:rsidRDefault="00422EFE" w:rsidP="00D41492">
            <w:pPr>
              <w:pStyle w:val="TableText"/>
              <w:spacing w:before="40" w:after="40"/>
              <w:rPr>
                <w:b/>
                <w:bCs/>
                <w:color w:val="FFFFFF" w:themeColor="background1"/>
              </w:rPr>
            </w:pPr>
            <w:r w:rsidRPr="00261B7A">
              <w:rPr>
                <w:rFonts w:eastAsia="Calibri"/>
                <w:b/>
                <w:bCs/>
                <w:color w:val="FFFFFF" w:themeColor="background1"/>
              </w:rPr>
              <w:t>Uncertainty in emission factors (%)</w:t>
            </w:r>
          </w:p>
        </w:tc>
      </w:tr>
      <w:tr w:rsidR="00422EFE" w:rsidRPr="00261B7A" w14:paraId="6B2EC59B" w14:textId="77777777" w:rsidTr="00D41492">
        <w:tc>
          <w:tcPr>
            <w:tcW w:w="0" w:type="auto"/>
            <w:shd w:val="clear" w:color="auto" w:fill="FFFFFF"/>
            <w:tcMar>
              <w:top w:w="0" w:type="dxa"/>
              <w:left w:w="108" w:type="dxa"/>
              <w:bottom w:w="0" w:type="dxa"/>
              <w:right w:w="108" w:type="dxa"/>
            </w:tcMar>
          </w:tcPr>
          <w:p w14:paraId="3AC7A17A" w14:textId="77777777" w:rsidR="00422EFE" w:rsidRPr="00261B7A" w:rsidRDefault="00422EFE" w:rsidP="00D41492">
            <w:pPr>
              <w:pStyle w:val="TableText"/>
              <w:spacing w:before="40" w:after="40"/>
            </w:pPr>
            <w:r w:rsidRPr="00261B7A">
              <w:rPr>
                <w:rFonts w:eastAsia="Calibri"/>
                <w:color w:val="000000"/>
              </w:rPr>
              <w:t>Domestic and industrial wastewater (CH₄)</w:t>
            </w:r>
          </w:p>
        </w:tc>
        <w:tc>
          <w:tcPr>
            <w:tcW w:w="0" w:type="auto"/>
            <w:shd w:val="clear" w:color="auto" w:fill="FFFFFF"/>
            <w:tcMar>
              <w:top w:w="0" w:type="dxa"/>
              <w:left w:w="108" w:type="dxa"/>
              <w:bottom w:w="0" w:type="dxa"/>
              <w:right w:w="108" w:type="dxa"/>
            </w:tcMar>
          </w:tcPr>
          <w:p w14:paraId="178A9532" w14:textId="77777777" w:rsidR="00422EFE" w:rsidRPr="00261B7A" w:rsidRDefault="00422EFE" w:rsidP="00D41492">
            <w:pPr>
              <w:pStyle w:val="TableText"/>
              <w:spacing w:before="40" w:after="40"/>
            </w:pPr>
            <w:r w:rsidRPr="00261B7A">
              <w:rPr>
                <w:rFonts w:eastAsia="Calibri"/>
                <w:color w:val="000000"/>
              </w:rPr>
              <w:t>±10</w:t>
            </w:r>
          </w:p>
        </w:tc>
        <w:tc>
          <w:tcPr>
            <w:tcW w:w="0" w:type="auto"/>
            <w:shd w:val="clear" w:color="auto" w:fill="FFFFFF"/>
            <w:tcMar>
              <w:top w:w="0" w:type="dxa"/>
              <w:left w:w="108" w:type="dxa"/>
              <w:bottom w:w="0" w:type="dxa"/>
              <w:right w:w="108" w:type="dxa"/>
            </w:tcMar>
          </w:tcPr>
          <w:p w14:paraId="3A8A6AC4" w14:textId="77777777" w:rsidR="00422EFE" w:rsidRPr="00261B7A" w:rsidRDefault="00422EFE" w:rsidP="00D41492">
            <w:pPr>
              <w:pStyle w:val="TableText"/>
              <w:spacing w:before="40" w:after="40"/>
            </w:pPr>
            <w:r w:rsidRPr="00261B7A">
              <w:rPr>
                <w:rFonts w:eastAsia="Calibri"/>
                <w:color w:val="000000"/>
              </w:rPr>
              <w:t>±40</w:t>
            </w:r>
          </w:p>
        </w:tc>
      </w:tr>
      <w:tr w:rsidR="00422EFE" w:rsidRPr="00261B7A" w14:paraId="727C588A" w14:textId="77777777" w:rsidTr="00D41492">
        <w:tc>
          <w:tcPr>
            <w:tcW w:w="0" w:type="auto"/>
            <w:shd w:val="clear" w:color="auto" w:fill="FFFFFF"/>
            <w:tcMar>
              <w:top w:w="0" w:type="dxa"/>
              <w:left w:w="108" w:type="dxa"/>
              <w:bottom w:w="0" w:type="dxa"/>
              <w:right w:w="108" w:type="dxa"/>
            </w:tcMar>
          </w:tcPr>
          <w:p w14:paraId="7C5FB46E" w14:textId="77777777" w:rsidR="00422EFE" w:rsidRPr="00261B7A" w:rsidRDefault="00422EFE" w:rsidP="00D41492">
            <w:pPr>
              <w:pStyle w:val="TableText"/>
              <w:spacing w:before="40" w:after="40"/>
            </w:pPr>
            <w:r w:rsidRPr="00261B7A">
              <w:rPr>
                <w:rFonts w:eastAsia="Calibri"/>
                <w:color w:val="000000"/>
              </w:rPr>
              <w:t>Domestic and industrial wastewater (N₂O)</w:t>
            </w:r>
          </w:p>
        </w:tc>
        <w:tc>
          <w:tcPr>
            <w:tcW w:w="0" w:type="auto"/>
            <w:shd w:val="clear" w:color="auto" w:fill="FFFFFF"/>
            <w:tcMar>
              <w:top w:w="0" w:type="dxa"/>
              <w:left w:w="108" w:type="dxa"/>
              <w:bottom w:w="0" w:type="dxa"/>
              <w:right w:w="108" w:type="dxa"/>
            </w:tcMar>
          </w:tcPr>
          <w:p w14:paraId="7E99DA2A" w14:textId="77777777" w:rsidR="00422EFE" w:rsidRPr="00261B7A" w:rsidRDefault="00422EFE" w:rsidP="00D41492">
            <w:pPr>
              <w:pStyle w:val="TableText"/>
              <w:spacing w:before="40" w:after="40"/>
            </w:pPr>
            <w:r w:rsidRPr="00261B7A">
              <w:rPr>
                <w:rFonts w:eastAsia="Calibri"/>
                <w:color w:val="000000"/>
              </w:rPr>
              <w:t>±10</w:t>
            </w:r>
          </w:p>
        </w:tc>
        <w:tc>
          <w:tcPr>
            <w:tcW w:w="0" w:type="auto"/>
            <w:shd w:val="clear" w:color="auto" w:fill="FFFFFF"/>
            <w:tcMar>
              <w:top w:w="0" w:type="dxa"/>
              <w:left w:w="108" w:type="dxa"/>
              <w:bottom w:w="0" w:type="dxa"/>
              <w:right w:w="108" w:type="dxa"/>
            </w:tcMar>
          </w:tcPr>
          <w:p w14:paraId="6F538759" w14:textId="77777777" w:rsidR="00422EFE" w:rsidRPr="00261B7A" w:rsidRDefault="00422EFE" w:rsidP="00D41492">
            <w:pPr>
              <w:pStyle w:val="TableText"/>
              <w:spacing w:before="40" w:after="40"/>
            </w:pPr>
            <w:r w:rsidRPr="00261B7A">
              <w:rPr>
                <w:rFonts w:eastAsia="Calibri"/>
                <w:color w:val="000000"/>
              </w:rPr>
              <w:t>±90</w:t>
            </w:r>
          </w:p>
        </w:tc>
      </w:tr>
    </w:tbl>
    <w:p w14:paraId="275DA60A" w14:textId="77777777" w:rsidR="00422EFE" w:rsidRPr="00261B7A" w:rsidRDefault="00422EFE" w:rsidP="00422EFE">
      <w:pPr>
        <w:pStyle w:val="Heading5"/>
        <w:spacing w:before="320"/>
      </w:pPr>
      <w:bookmarkStart w:id="2618" w:name="methane-emissions"/>
      <w:r w:rsidRPr="00261B7A">
        <w:t>Methane emissions</w:t>
      </w:r>
    </w:p>
    <w:p w14:paraId="4EB78381" w14:textId="77777777" w:rsidR="00422EFE" w:rsidRPr="00261B7A" w:rsidRDefault="00422EFE" w:rsidP="00C750A9">
      <w:pPr>
        <w:pStyle w:val="BodyText"/>
        <w:spacing w:before="80" w:after="100"/>
      </w:pPr>
      <w:r w:rsidRPr="00261B7A">
        <w:t>The parameters used to estimate CH</w:t>
      </w:r>
      <w:r w:rsidRPr="00261B7A">
        <w:rPr>
          <w:vertAlign w:val="subscript"/>
        </w:rPr>
        <w:t>4</w:t>
      </w:r>
      <w:r w:rsidRPr="00261B7A">
        <w:t xml:space="preserve"> emissions from domestic and industrial wastewater (see table 7.5.16) have an estimated uncertainty of ±40 per cent (SCS Wetherill Environmental, unpublished). This uncertainty stems from uncertainties in:</w:t>
      </w:r>
    </w:p>
    <w:p w14:paraId="713CDCB4" w14:textId="77777777" w:rsidR="00422EFE" w:rsidRPr="00261B7A" w:rsidRDefault="00422EFE" w:rsidP="00422EFE">
      <w:pPr>
        <w:pStyle w:val="Bullet"/>
        <w:spacing w:after="100"/>
      </w:pPr>
      <w:r w:rsidRPr="00261B7A">
        <w:rPr>
          <w:spacing w:val="-2"/>
        </w:rPr>
        <w:t>the factors used to calculate emissions from the different wastewater treatment processe</w:t>
      </w:r>
      <w:r w:rsidRPr="00261B7A">
        <w:t>s</w:t>
      </w:r>
    </w:p>
    <w:p w14:paraId="46EBD45C" w14:textId="77777777" w:rsidR="00422EFE" w:rsidRPr="00261B7A" w:rsidRDefault="00422EFE" w:rsidP="00422EFE">
      <w:pPr>
        <w:pStyle w:val="Bullet"/>
        <w:spacing w:after="100"/>
      </w:pPr>
      <w:r w:rsidRPr="00261B7A">
        <w:t>the quantities of wastewater handled by the different wastewater treatment plants</w:t>
      </w:r>
    </w:p>
    <w:p w14:paraId="603EA7B5" w14:textId="77777777" w:rsidR="00422EFE" w:rsidRPr="00261B7A" w:rsidRDefault="00422EFE" w:rsidP="00422EFE">
      <w:pPr>
        <w:pStyle w:val="Bullet"/>
        <w:spacing w:after="100"/>
      </w:pPr>
      <w:r w:rsidRPr="00261B7A">
        <w:t>the accuracy and completeness of the data relating to each plant</w:t>
      </w:r>
    </w:p>
    <w:p w14:paraId="5EB4C63C" w14:textId="77777777" w:rsidR="00422EFE" w:rsidRPr="00261B7A" w:rsidRDefault="00422EFE" w:rsidP="00422EFE">
      <w:pPr>
        <w:pStyle w:val="Bullet"/>
        <w:spacing w:after="100"/>
      </w:pPr>
      <w:r w:rsidRPr="00261B7A">
        <w:t>the factors used to calculate the degradable organic content in the wastewater</w:t>
      </w:r>
    </w:p>
    <w:p w14:paraId="5825D2D2" w14:textId="77777777" w:rsidR="00422EFE" w:rsidRPr="00261B7A" w:rsidRDefault="00422EFE" w:rsidP="00422EFE">
      <w:pPr>
        <w:pStyle w:val="Bullet"/>
      </w:pPr>
      <w:r w:rsidRPr="00261B7A">
        <w:t>the wastewater treatment methods.</w:t>
      </w:r>
    </w:p>
    <w:p w14:paraId="3E15B920" w14:textId="77777777" w:rsidR="00422EFE" w:rsidRPr="00261B7A" w:rsidRDefault="00422EFE" w:rsidP="00111AFC">
      <w:pPr>
        <w:pStyle w:val="Heading5"/>
        <w:spacing w:before="180"/>
      </w:pPr>
      <w:bookmarkStart w:id="2619" w:name="nitrous-oxide-emissions-1"/>
      <w:bookmarkEnd w:id="2618"/>
      <w:r w:rsidRPr="00261B7A">
        <w:t>Nitrous oxide emissions</w:t>
      </w:r>
    </w:p>
    <w:p w14:paraId="626BDD9C" w14:textId="77777777" w:rsidR="00422EFE" w:rsidRPr="00261B7A" w:rsidRDefault="00422EFE" w:rsidP="00C750A9">
      <w:pPr>
        <w:pStyle w:val="BodyText"/>
        <w:spacing w:before="80"/>
      </w:pPr>
      <w:r w:rsidRPr="00261B7A">
        <w:t>Large uncertainties are associated with the IPCC default emission factors for N</w:t>
      </w:r>
      <w:r w:rsidRPr="00261B7A">
        <w:rPr>
          <w:vertAlign w:val="subscript"/>
        </w:rPr>
        <w:t>2</w:t>
      </w:r>
      <w:r w:rsidRPr="00261B7A">
        <w:t>O emissions from wastewater treatment effluent (IPCC, 2006a). The uncertainty is estimated to be ±90 per cent based on the ranges experienced in collecting and applying similar data internationally, and expert judgement on the application of this experience to New Zealand (Law et al., 2012).</w:t>
      </w:r>
    </w:p>
    <w:p w14:paraId="5F219378" w14:textId="77777777" w:rsidR="00422EFE" w:rsidRPr="00261B7A" w:rsidRDefault="00422EFE" w:rsidP="00422EFE">
      <w:pPr>
        <w:pStyle w:val="Heading4"/>
      </w:pPr>
      <w:bookmarkStart w:id="2620" w:name="time-series-consistency-3"/>
      <w:bookmarkEnd w:id="2615"/>
      <w:bookmarkEnd w:id="2619"/>
      <w:r w:rsidRPr="00261B7A">
        <w:t>Time-series consistency</w:t>
      </w:r>
    </w:p>
    <w:p w14:paraId="26234EB8" w14:textId="77777777" w:rsidR="00422EFE" w:rsidRPr="00261B7A" w:rsidRDefault="00422EFE" w:rsidP="00C750A9">
      <w:pPr>
        <w:pStyle w:val="BodyText"/>
        <w:spacing w:before="80"/>
      </w:pPr>
      <w:r w:rsidRPr="00261B7A">
        <w:t>Time-series consistency is ensured by the use of consistent models and parameters across the period. Where changes to methodologies or emission factors have occurred, the entire time series has been recalculated.</w:t>
      </w:r>
    </w:p>
    <w:p w14:paraId="338FA071" w14:textId="77777777" w:rsidR="00422EFE" w:rsidRPr="00261B7A" w:rsidRDefault="00422EFE" w:rsidP="00422EFE">
      <w:pPr>
        <w:pStyle w:val="Heading3"/>
      </w:pPr>
      <w:bookmarkStart w:id="2621" w:name="source-specific-qaqc-and-verification-2"/>
      <w:bookmarkEnd w:id="2614"/>
      <w:bookmarkEnd w:id="2620"/>
      <w:r w:rsidRPr="00261B7A">
        <w:t xml:space="preserve">7.5.4 </w:t>
      </w:r>
      <w:r w:rsidRPr="00261B7A">
        <w:tab/>
        <w:t>Source-specific QA/QC and verification</w:t>
      </w:r>
    </w:p>
    <w:p w14:paraId="280AE05A" w14:textId="77777777" w:rsidR="00422EFE" w:rsidRPr="00261B7A" w:rsidRDefault="00422EFE" w:rsidP="00C750A9">
      <w:pPr>
        <w:pStyle w:val="BodyText"/>
        <w:spacing w:before="80"/>
      </w:pPr>
      <w:r w:rsidRPr="00261B7A">
        <w:t xml:space="preserve">In the preparation for this inventory submission, the data for the </w:t>
      </w:r>
      <w:r w:rsidRPr="00261B7A">
        <w:rPr>
          <w:i/>
          <w:iCs/>
        </w:rPr>
        <w:t>Wastewater treatment and discharge</w:t>
      </w:r>
      <w:r w:rsidRPr="00261B7A">
        <w:t xml:space="preserve"> category underwent Tier 1 quality checks.</w:t>
      </w:r>
    </w:p>
    <w:p w14:paraId="444D933E" w14:textId="77777777" w:rsidR="00422EFE" w:rsidRPr="00261B7A" w:rsidRDefault="00422EFE" w:rsidP="001109B2">
      <w:pPr>
        <w:pStyle w:val="Heading3"/>
        <w:spacing w:before="320"/>
      </w:pPr>
      <w:bookmarkStart w:id="2622" w:name="source-specific-recalculations-3"/>
      <w:bookmarkEnd w:id="2621"/>
      <w:r w:rsidRPr="00261B7A">
        <w:t xml:space="preserve">7.5.5 </w:t>
      </w:r>
      <w:r w:rsidRPr="00261B7A">
        <w:tab/>
        <w:t>Source-specific recalculations</w:t>
      </w:r>
    </w:p>
    <w:p w14:paraId="6F16945A" w14:textId="77777777" w:rsidR="00422EFE" w:rsidRPr="00261B7A" w:rsidRDefault="00422EFE" w:rsidP="00422EFE">
      <w:pPr>
        <w:pStyle w:val="Heading4"/>
      </w:pPr>
      <w:bookmarkStart w:id="2623" w:name="X5c9c54e7058d7078b7a5b4d3a53718bf553c884"/>
      <w:r w:rsidRPr="00261B7A">
        <w:t>Emissions from domestic and industrial wastewater treatment</w:t>
      </w:r>
    </w:p>
    <w:p w14:paraId="504630F0" w14:textId="77777777" w:rsidR="00422EFE" w:rsidRPr="00261B7A" w:rsidRDefault="00422EFE" w:rsidP="00C750A9">
      <w:pPr>
        <w:pStyle w:val="BodyText"/>
        <w:spacing w:before="80"/>
      </w:pPr>
      <w:r w:rsidRPr="00261B7A">
        <w:t xml:space="preserve">Emissions from </w:t>
      </w:r>
      <w:r w:rsidRPr="00261B7A">
        <w:rPr>
          <w:i/>
          <w:iCs/>
        </w:rPr>
        <w:t>Domestic wastewater</w:t>
      </w:r>
      <w:r w:rsidRPr="00261B7A">
        <w:t xml:space="preserve"> have increased by 0.1 kt CO</w:t>
      </w:r>
      <w:r w:rsidRPr="00261B7A">
        <w:rPr>
          <w:vertAlign w:val="subscript"/>
        </w:rPr>
        <w:t>2</w:t>
      </w:r>
      <w:r w:rsidRPr="00261B7A">
        <w:t>-e in 1990 and decreased by 0.1 kt CO</w:t>
      </w:r>
      <w:r w:rsidRPr="00261B7A">
        <w:rPr>
          <w:vertAlign w:val="subscript"/>
        </w:rPr>
        <w:t>2</w:t>
      </w:r>
      <w:r w:rsidRPr="00261B7A">
        <w:t xml:space="preserve">-e in 2020. This is the result of revising population data using the latest estimates </w:t>
      </w:r>
      <w:r w:rsidRPr="00261B7A">
        <w:rPr>
          <w:spacing w:val="-2"/>
        </w:rPr>
        <w:t>available and applying these consistently across the time series where possible. A minor change</w:t>
      </w:r>
      <w:r w:rsidRPr="00261B7A">
        <w:t xml:space="preserve"> to activity data for the paper and paperboard and the wood pulp industries in </w:t>
      </w:r>
      <w:r w:rsidRPr="00261B7A">
        <w:rPr>
          <w:i/>
          <w:iCs/>
        </w:rPr>
        <w:t>Industrial wastewater</w:t>
      </w:r>
      <w:r w:rsidRPr="00261B7A">
        <w:t xml:space="preserve"> led to an increase of 1.5 kt CO</w:t>
      </w:r>
      <w:r w:rsidRPr="00261B7A">
        <w:rPr>
          <w:vertAlign w:val="subscript"/>
        </w:rPr>
        <w:t>2</w:t>
      </w:r>
      <w:r w:rsidRPr="00261B7A">
        <w:t>-e in 1990 and a decrease of 1.6 kt CO</w:t>
      </w:r>
      <w:r w:rsidRPr="00261B7A">
        <w:rPr>
          <w:vertAlign w:val="subscript"/>
        </w:rPr>
        <w:t>2</w:t>
      </w:r>
      <w:r w:rsidRPr="00261B7A">
        <w:t>-e in 2020. More details on recalculations are provided in chapter 10.</w:t>
      </w:r>
    </w:p>
    <w:p w14:paraId="2FD044ED" w14:textId="77777777" w:rsidR="00422EFE" w:rsidRPr="00261B7A" w:rsidRDefault="00422EFE" w:rsidP="001109B2">
      <w:pPr>
        <w:pStyle w:val="Heading3"/>
        <w:spacing w:before="320"/>
      </w:pPr>
      <w:bookmarkStart w:id="2624" w:name="source-specific-planned-improvements-3"/>
      <w:bookmarkEnd w:id="2622"/>
      <w:bookmarkEnd w:id="2623"/>
      <w:r w:rsidRPr="00261B7A">
        <w:t xml:space="preserve">7.5.6 </w:t>
      </w:r>
      <w:r w:rsidRPr="00261B7A">
        <w:tab/>
        <w:t>Source-specific planned improvements</w:t>
      </w:r>
    </w:p>
    <w:p w14:paraId="4A8BDFF1" w14:textId="77777777" w:rsidR="00495AAB" w:rsidRPr="00261B7A" w:rsidRDefault="00422EFE" w:rsidP="00C750A9">
      <w:pPr>
        <w:pStyle w:val="BodyText"/>
        <w:spacing w:before="80"/>
      </w:pPr>
      <w:r w:rsidRPr="00261B7A">
        <w:t>No specific improvements are planned for this source category.</w:t>
      </w:r>
      <w:bookmarkStart w:id="2625" w:name="chapter-7-references"/>
      <w:bookmarkEnd w:id="2542"/>
      <w:bookmarkEnd w:id="2624"/>
      <w:r w:rsidR="00111AFC" w:rsidRPr="00261B7A">
        <w:t xml:space="preserve"> </w:t>
      </w:r>
    </w:p>
    <w:p w14:paraId="2DE048B0" w14:textId="0D6082F0" w:rsidR="00422EFE" w:rsidRPr="00261B7A" w:rsidRDefault="00422EFE" w:rsidP="00C750A9">
      <w:pPr>
        <w:pStyle w:val="BodyText"/>
        <w:spacing w:before="80"/>
      </w:pPr>
      <w:r w:rsidRPr="00261B7A">
        <w:br w:type="page"/>
      </w:r>
    </w:p>
    <w:p w14:paraId="10514349" w14:textId="77777777" w:rsidR="00422EFE" w:rsidRPr="00261B7A" w:rsidRDefault="00422EFE" w:rsidP="003143A6">
      <w:pPr>
        <w:pStyle w:val="Heading2"/>
        <w:spacing w:before="0" w:after="480"/>
      </w:pPr>
      <w:bookmarkStart w:id="2626" w:name="_Toc131591265"/>
      <w:r w:rsidRPr="00261B7A">
        <w:t>Chapter 7: References</w:t>
      </w:r>
      <w:bookmarkEnd w:id="2626"/>
    </w:p>
    <w:p w14:paraId="188EF59A" w14:textId="77777777" w:rsidR="00422EFE" w:rsidRPr="00261B7A" w:rsidRDefault="00422EFE" w:rsidP="00422EFE">
      <w:pPr>
        <w:pStyle w:val="References"/>
      </w:pPr>
      <w:r w:rsidRPr="00261B7A">
        <w:t>Beca Infrastructure Ltd. Unpublished. National Greenhouse Gas Inventory from Wastewater Treatment and Discharge. Report commissioned by the Ministry for the Environment in 2007.</w:t>
      </w:r>
    </w:p>
    <w:p w14:paraId="3F70E39F" w14:textId="77777777" w:rsidR="00422EFE" w:rsidRPr="00261B7A" w:rsidRDefault="00422EFE" w:rsidP="00422EFE">
      <w:pPr>
        <w:pStyle w:val="References"/>
      </w:pPr>
      <w:r w:rsidRPr="00261B7A">
        <w:t>Beca Ltd. Unpublished. Industrial Wastewater Greenhouse Gas (GHG) Estimates from the Pulp and Paper, Wool Scouring and Wine Industries for New Zealand’s GHG Inventory. Report commissioned by the Ministry for the Environment in 2013.</w:t>
      </w:r>
    </w:p>
    <w:p w14:paraId="68D919F5" w14:textId="77777777" w:rsidR="00422EFE" w:rsidRPr="00261B7A" w:rsidRDefault="00422EFE" w:rsidP="00422EFE">
      <w:pPr>
        <w:pStyle w:val="References"/>
      </w:pPr>
      <w:r w:rsidRPr="00261B7A">
        <w:t>Cardno. Unpublished. Greenhouse Gas Emissions from Industrial Wastewater Treatment. Report commissioned by the Ministry for the Environment in 2015.</w:t>
      </w:r>
    </w:p>
    <w:p w14:paraId="6BC5CBFB" w14:textId="77777777" w:rsidR="00422EFE" w:rsidRPr="00261B7A" w:rsidRDefault="00422EFE" w:rsidP="00422EFE">
      <w:pPr>
        <w:pStyle w:val="References"/>
      </w:pPr>
      <w:r w:rsidRPr="00261B7A">
        <w:t>Eunomia Research and Waste Not Consulting. Unpublished. Incorporating Waste Minimisation Act Data into New Zealand’s Greenhouse Gas Estimates. Report commissioned by the Ministry for the Environment in 2014.</w:t>
      </w:r>
    </w:p>
    <w:p w14:paraId="1E2F3F51" w14:textId="77777777" w:rsidR="00422EFE" w:rsidRPr="00261B7A" w:rsidRDefault="00422EFE" w:rsidP="00422EFE">
      <w:pPr>
        <w:pStyle w:val="References"/>
      </w:pPr>
      <w:r w:rsidRPr="00261B7A">
        <w:t>Eunomia. Unpublished(a). Improvements to Estimates of Greenhouse Gas Emissions from Landfills. Report commissioned by the Ministry for the Environment in 2020.</w:t>
      </w:r>
    </w:p>
    <w:p w14:paraId="159CC5E5" w14:textId="77777777" w:rsidR="00422EFE" w:rsidRPr="00261B7A" w:rsidRDefault="00422EFE" w:rsidP="00422EFE">
      <w:pPr>
        <w:pStyle w:val="References"/>
      </w:pPr>
      <w:r w:rsidRPr="00261B7A">
        <w:t>Eunomia. Unpublished(b). Data updated from National Resource Recovery Project situational analysis report (2019). Commissioned by the Ministry for the Environment in 2020.</w:t>
      </w:r>
    </w:p>
    <w:p w14:paraId="3A608FE6" w14:textId="77777777" w:rsidR="00422EFE" w:rsidRPr="00261B7A" w:rsidRDefault="00422EFE" w:rsidP="00422EFE">
      <w:pPr>
        <w:pStyle w:val="References"/>
      </w:pPr>
      <w:r w:rsidRPr="00261B7A">
        <w:t>Eunomia. Unpublished(c). Waste Data Improvements for Non-Municipal Landfills and Farm Waste. Report commissioned by the Ministry for the Environment in 2022.</w:t>
      </w:r>
    </w:p>
    <w:p w14:paraId="257D3CC1" w14:textId="77777777" w:rsidR="00422EFE" w:rsidRPr="00261B7A" w:rsidRDefault="00422EFE" w:rsidP="00422EFE">
      <w:pPr>
        <w:pStyle w:val="References"/>
      </w:pPr>
      <w:r w:rsidRPr="00261B7A">
        <w:t xml:space="preserve">GHD. 2013. </w:t>
      </w:r>
      <w:r w:rsidRPr="00261B7A">
        <w:rPr>
          <w:i/>
          <w:iCs/>
        </w:rPr>
        <w:t>Non-natural Rural Wastes: Site survey analysis</w:t>
      </w:r>
      <w:r w:rsidRPr="00261B7A">
        <w:t xml:space="preserve">. GHD Ltd for the Canterbury Regional Council, published as Canterbury Regional Council Report No R13/52. Retrieved from </w:t>
      </w:r>
      <w:hyperlink r:id="rId240">
        <w:r w:rsidRPr="00261B7A">
          <w:rPr>
            <w:rStyle w:val="Hyperlink"/>
          </w:rPr>
          <w:t>https://ecan.govt.nz/document/download?uri=1851763</w:t>
        </w:r>
      </w:hyperlink>
      <w:r w:rsidRPr="00261B7A">
        <w:t xml:space="preserve"> (accessed 9 November 2017).</w:t>
      </w:r>
    </w:p>
    <w:p w14:paraId="5090758E" w14:textId="1803F955" w:rsidR="00422EFE" w:rsidRPr="00261B7A" w:rsidRDefault="00422EFE" w:rsidP="00422EFE">
      <w:pPr>
        <w:pStyle w:val="References"/>
      </w:pPr>
      <w:r w:rsidRPr="00261B7A">
        <w:t xml:space="preserve">GHD. 2014. </w:t>
      </w:r>
      <w:r w:rsidRPr="00261B7A">
        <w:rPr>
          <w:i/>
          <w:iCs/>
        </w:rPr>
        <w:t>Rural Waste Surveys Data Analysis: Waikato and Bay of Plenty</w:t>
      </w:r>
      <w:r w:rsidRPr="00261B7A">
        <w:t>. GHD Ltd for the Waikato Regional Council, published as Waikato Regional Council Report No 3114554. Retrieved from</w:t>
      </w:r>
      <w:r w:rsidR="0032769F" w:rsidRPr="00261B7A">
        <w:t xml:space="preserve"> </w:t>
      </w:r>
      <w:hyperlink r:id="rId241" w:history="1">
        <w:r w:rsidR="00E3021B" w:rsidRPr="00261B7A">
          <w:rPr>
            <w:rStyle w:val="Hyperlink"/>
          </w:rPr>
          <w:t>www.waikatoregion.govt.nz/assets/WRC/WRC-2019/TR201455.pdf</w:t>
        </w:r>
      </w:hyperlink>
      <w:r w:rsidR="000774BF" w:rsidRPr="00261B7A">
        <w:t xml:space="preserve"> </w:t>
      </w:r>
      <w:r w:rsidRPr="00261B7A">
        <w:t xml:space="preserve">(accessed </w:t>
      </w:r>
      <w:r w:rsidR="00E3021B" w:rsidRPr="00261B7A">
        <w:t>30 March</w:t>
      </w:r>
      <w:r w:rsidRPr="00261B7A">
        <w:t xml:space="preserve"> </w:t>
      </w:r>
      <w:r w:rsidR="00E3021B" w:rsidRPr="00261B7A">
        <w:t>2023</w:t>
      </w:r>
      <w:r w:rsidRPr="00261B7A">
        <w:t>).</w:t>
      </w:r>
    </w:p>
    <w:p w14:paraId="50FAA054" w14:textId="77777777" w:rsidR="00422EFE" w:rsidRPr="00261B7A" w:rsidRDefault="00422EFE" w:rsidP="00422EFE">
      <w:pPr>
        <w:pStyle w:val="References"/>
      </w:pPr>
      <w:r w:rsidRPr="00261B7A">
        <w:t xml:space="preserve">IPCC. 2006a. Eggleston HS, Buendia L, Miwa K, Ngara T, Tanabe K (eds). </w:t>
      </w:r>
      <w:r w:rsidRPr="00261B7A">
        <w:rPr>
          <w:i/>
          <w:iCs/>
        </w:rPr>
        <w:t>2006 IPCC Guidelines for National Greenhouse Gas Inventories. Volume 5. Waste</w:t>
      </w:r>
      <w:r w:rsidRPr="00261B7A">
        <w:t>. IPCC National Greenhouse Gas Inventories Programme. Japan: Institute for Global Environmental Strategies for IPCC.</w:t>
      </w:r>
    </w:p>
    <w:p w14:paraId="39E584E4" w14:textId="77777777" w:rsidR="00422EFE" w:rsidRPr="00261B7A" w:rsidRDefault="00422EFE" w:rsidP="00422EFE">
      <w:pPr>
        <w:pStyle w:val="References"/>
      </w:pPr>
      <w:r w:rsidRPr="00261B7A">
        <w:t xml:space="preserve">IPCC. 2006b. Eggleston HS, Buendia L, Miwa K, Ngara T, Tanabe K (eds). </w:t>
      </w:r>
      <w:r w:rsidRPr="00261B7A">
        <w:rPr>
          <w:i/>
          <w:iCs/>
        </w:rPr>
        <w:t>2006 IPCC Guidelines for National Greenhouse Gas Inventories. Volume 2. Energy</w:t>
      </w:r>
      <w:r w:rsidRPr="00261B7A">
        <w:t>. IPCC National Greenhouse Gas Inventories Programme. Japan: Institute for Global Environmental Strategies for IPCC.</w:t>
      </w:r>
    </w:p>
    <w:p w14:paraId="3527F885" w14:textId="77777777" w:rsidR="00422EFE" w:rsidRPr="00261B7A" w:rsidRDefault="00422EFE" w:rsidP="00422EFE">
      <w:pPr>
        <w:pStyle w:val="References"/>
      </w:pPr>
      <w:r w:rsidRPr="00261B7A">
        <w:t xml:space="preserve">IPCC. 2019. Calvo Buendia E, Tanabe K, Kranjc A, Baasansuren J, Fukuda M, Ngarize S, Osako A, Pyrozhenko Y, Shermanau P, Federici S (eds). </w:t>
      </w:r>
      <w:r w:rsidRPr="00261B7A">
        <w:rPr>
          <w:i/>
          <w:iCs/>
        </w:rPr>
        <w:t>2019 Refinement to the 2006 IPCC Guidelines for National Greenhouse Gas Inventories. Volume 5. Waste</w:t>
      </w:r>
      <w:r w:rsidRPr="00261B7A">
        <w:t>. IPCC National Greenhouse Gas Inventories Programme. Switzerland: Intergovernmental Panel on Climate Change.</w:t>
      </w:r>
    </w:p>
    <w:p w14:paraId="5975CA0D" w14:textId="77777777" w:rsidR="00422EFE" w:rsidRPr="00261B7A" w:rsidRDefault="00422EFE" w:rsidP="00422EFE">
      <w:pPr>
        <w:pStyle w:val="References"/>
      </w:pPr>
      <w:r w:rsidRPr="00261B7A">
        <w:t xml:space="preserve">Law Y, Ye L, Pan Y, Yuan Z. 2012. Nitrous oxide emissions from wastewater treatment processes. </w:t>
      </w:r>
      <w:r w:rsidRPr="00261B7A">
        <w:rPr>
          <w:i/>
          <w:iCs/>
        </w:rPr>
        <w:t>Philosophical Transactions of the Royal Society ‘B’</w:t>
      </w:r>
      <w:r w:rsidRPr="00261B7A">
        <w:t xml:space="preserve"> 367(1593): 1265–1277.</w:t>
      </w:r>
    </w:p>
    <w:p w14:paraId="16D5365B" w14:textId="77777777" w:rsidR="00422EFE" w:rsidRPr="00261B7A" w:rsidRDefault="00422EFE" w:rsidP="00422EFE">
      <w:pPr>
        <w:pStyle w:val="References"/>
      </w:pPr>
      <w:r w:rsidRPr="00261B7A">
        <w:t xml:space="preserve">Ministry for the Environment. 1997. </w:t>
      </w:r>
      <w:r w:rsidRPr="00261B7A">
        <w:rPr>
          <w:i/>
          <w:iCs/>
        </w:rPr>
        <w:t>National Waste Data Report</w:t>
      </w:r>
      <w:r w:rsidRPr="00261B7A">
        <w:t>. Wellington: Ministry for the Environment.</w:t>
      </w:r>
    </w:p>
    <w:p w14:paraId="0C930E8A" w14:textId="77777777" w:rsidR="00422EFE" w:rsidRPr="00261B7A" w:rsidRDefault="00422EFE" w:rsidP="00422EFE">
      <w:pPr>
        <w:pStyle w:val="References"/>
      </w:pPr>
      <w:r w:rsidRPr="00261B7A">
        <w:t xml:space="preserve">Ministry for the Environment. 2002a. </w:t>
      </w:r>
      <w:r w:rsidRPr="00261B7A">
        <w:rPr>
          <w:i/>
          <w:iCs/>
        </w:rPr>
        <w:t>The New Zealand Waste Strategy</w:t>
      </w:r>
      <w:r w:rsidRPr="00261B7A">
        <w:t>. Wellington: Ministry for the Environment.</w:t>
      </w:r>
    </w:p>
    <w:p w14:paraId="00A17092" w14:textId="77777777" w:rsidR="00422EFE" w:rsidRPr="00261B7A" w:rsidRDefault="00422EFE" w:rsidP="00422EFE">
      <w:pPr>
        <w:pStyle w:val="References"/>
      </w:pPr>
      <w:r w:rsidRPr="00261B7A">
        <w:t xml:space="preserve">Ministry for the Environment. 2002b. </w:t>
      </w:r>
      <w:r w:rsidRPr="00261B7A">
        <w:rPr>
          <w:i/>
          <w:iCs/>
        </w:rPr>
        <w:t>Solid Waste Analysis Protocol</w:t>
      </w:r>
      <w:r w:rsidRPr="00261B7A">
        <w:t>. Wellington: Ministry for the Environment.</w:t>
      </w:r>
    </w:p>
    <w:p w14:paraId="4C683980" w14:textId="77777777" w:rsidR="00422EFE" w:rsidRPr="00261B7A" w:rsidRDefault="00422EFE" w:rsidP="00422EFE">
      <w:pPr>
        <w:pStyle w:val="References"/>
      </w:pPr>
      <w:r w:rsidRPr="00261B7A">
        <w:t xml:space="preserve">Ministry for the Environment. 2010. </w:t>
      </w:r>
      <w:r w:rsidRPr="00261B7A">
        <w:rPr>
          <w:i/>
          <w:iCs/>
        </w:rPr>
        <w:t>The New Zealand Waste Strategy: Reducing Harm, Improving Efficiency</w:t>
      </w:r>
      <w:r w:rsidRPr="00261B7A">
        <w:t>. Wellington: Ministry for the Environment.</w:t>
      </w:r>
    </w:p>
    <w:p w14:paraId="5572C0A3" w14:textId="77777777" w:rsidR="00422EFE" w:rsidRPr="00261B7A" w:rsidRDefault="00422EFE" w:rsidP="00422EFE">
      <w:pPr>
        <w:pStyle w:val="References"/>
      </w:pPr>
      <w:r w:rsidRPr="00261B7A">
        <w:t xml:space="preserve">Ministry of Commerce. 1993. </w:t>
      </w:r>
      <w:r w:rsidRPr="00261B7A">
        <w:rPr>
          <w:i/>
          <w:iCs/>
        </w:rPr>
        <w:t>New Zealand Energy Information Handbook: Energy Data, Conversion Factors, Definitions</w:t>
      </w:r>
      <w:r w:rsidRPr="00261B7A">
        <w:t>. Taylor Baines and Associates.</w:t>
      </w:r>
    </w:p>
    <w:p w14:paraId="2E550A0D" w14:textId="77777777" w:rsidR="00422EFE" w:rsidRPr="00261B7A" w:rsidRDefault="00422EFE" w:rsidP="00422EFE">
      <w:pPr>
        <w:pStyle w:val="References"/>
      </w:pPr>
      <w:r w:rsidRPr="00261B7A">
        <w:t xml:space="preserve">MWH. 2017. </w:t>
      </w:r>
      <w:r w:rsidRPr="00261B7A">
        <w:rPr>
          <w:i/>
          <w:iCs/>
        </w:rPr>
        <w:t>National Waste Disposal Survey. Final Report.</w:t>
      </w:r>
      <w:r w:rsidRPr="00261B7A">
        <w:t xml:space="preserve"> MWH for the Ministry for the Environment, published as National Waste Disposal Survey Final Report 2017 No CR275. Retrieved from </w:t>
      </w:r>
      <w:hyperlink r:id="rId242">
        <w:r w:rsidRPr="00261B7A">
          <w:rPr>
            <w:rStyle w:val="Hyperlink"/>
          </w:rPr>
          <w:t>environment.govt.nz/publications/new-zealand-non-municipal-landfill-database-report</w:t>
        </w:r>
      </w:hyperlink>
      <w:r w:rsidRPr="00261B7A">
        <w:t xml:space="preserve"> (accessed 9 November 2017).</w:t>
      </w:r>
    </w:p>
    <w:p w14:paraId="0F6F7097" w14:textId="77777777" w:rsidR="00422EFE" w:rsidRPr="00261B7A" w:rsidRDefault="00422EFE" w:rsidP="00422EFE">
      <w:pPr>
        <w:pStyle w:val="References"/>
      </w:pPr>
      <w:r w:rsidRPr="00261B7A">
        <w:t>SCS Wetherill Environmental. Unpublished. National Greenhouse Gas Inventory from the Waste Sector 1990–2020. Report commissioned by the Ministry for the Environment in 2002.</w:t>
      </w:r>
    </w:p>
    <w:p w14:paraId="413EF87E" w14:textId="77777777" w:rsidR="00422EFE" w:rsidRPr="00261B7A" w:rsidRDefault="00422EFE" w:rsidP="00422EFE">
      <w:pPr>
        <w:pStyle w:val="References"/>
      </w:pPr>
      <w:r w:rsidRPr="00261B7A">
        <w:t>SKM. Unpublished(a). Greenhouse Gases from the Waste Incineration Sector. Report commissioned by the Ministry for the Environment in 2007.</w:t>
      </w:r>
    </w:p>
    <w:p w14:paraId="27CFD6FC" w14:textId="77777777" w:rsidR="00422EFE" w:rsidRPr="00261B7A" w:rsidRDefault="00422EFE" w:rsidP="00422EFE">
      <w:pPr>
        <w:pStyle w:val="References"/>
      </w:pPr>
      <w:r w:rsidRPr="00261B7A">
        <w:t>SKM. Unpublished(b). Estimates of Landfill Methane Recovered in New Zealand 1990–2012. Report commissioned by the Ministry for the Environment in 2009.</w:t>
      </w:r>
    </w:p>
    <w:p w14:paraId="6B7759E3" w14:textId="77777777" w:rsidR="00422EFE" w:rsidRPr="00261B7A" w:rsidRDefault="00422EFE" w:rsidP="00422EFE">
      <w:pPr>
        <w:pStyle w:val="References"/>
      </w:pPr>
      <w:r w:rsidRPr="00261B7A">
        <w:t>Tonkin and Taylor Ltd. Unpublished(a). National Greenhouse Gas Emissions from Wastewater Sludge. Report commissioned by the Ministry for the Environment in 2011.</w:t>
      </w:r>
    </w:p>
    <w:p w14:paraId="5CC03939" w14:textId="77777777" w:rsidR="00422EFE" w:rsidRPr="00261B7A" w:rsidRDefault="00422EFE" w:rsidP="00422EFE">
      <w:pPr>
        <w:pStyle w:val="References"/>
      </w:pPr>
      <w:r w:rsidRPr="00261B7A">
        <w:t>Tonkin and Taylor Ltd. Unpublished(b). GHG Estimates from Non-municipal Landfills New Zealand. Report commissioned by the Ministry for the Environment in 2014.</w:t>
      </w:r>
    </w:p>
    <w:p w14:paraId="55601EF1" w14:textId="77777777" w:rsidR="00422EFE" w:rsidRPr="00261B7A" w:rsidRDefault="00422EFE" w:rsidP="00422EFE">
      <w:pPr>
        <w:pStyle w:val="References"/>
      </w:pPr>
      <w:r w:rsidRPr="00261B7A">
        <w:t xml:space="preserve">van der Weerden A, de Klein C, Kelliher R, Rollo M. 2014. </w:t>
      </w:r>
      <w:r w:rsidRPr="00261B7A">
        <w:rPr>
          <w:i/>
          <w:iCs/>
        </w:rPr>
        <w:t>Reporting to 2006 IPCC Guidelines for N</w:t>
      </w:r>
      <w:r w:rsidRPr="00261B7A">
        <w:rPr>
          <w:i/>
          <w:iCs/>
          <w:vertAlign w:val="subscript"/>
        </w:rPr>
        <w:t>2</w:t>
      </w:r>
      <w:r w:rsidRPr="00261B7A">
        <w:rPr>
          <w:i/>
          <w:iCs/>
        </w:rPr>
        <w:t>O Emissions from Additional Sources of Organic N: Final report</w:t>
      </w:r>
      <w:r w:rsidRPr="00261B7A">
        <w:t>. Wellington: Ministry for Primary Industries.</w:t>
      </w:r>
    </w:p>
    <w:p w14:paraId="638FD838" w14:textId="77777777" w:rsidR="00422EFE" w:rsidRPr="00261B7A" w:rsidRDefault="00422EFE" w:rsidP="00422EFE">
      <w:pPr>
        <w:pStyle w:val="References"/>
      </w:pPr>
      <w:r w:rsidRPr="00261B7A">
        <w:t>Waste Not Consulting. Unpublished(a). Waste Composition and Construction Waste Data. Report commissioned by the Ministry for the Environment in 2006.</w:t>
      </w:r>
    </w:p>
    <w:p w14:paraId="2066BFED" w14:textId="77777777" w:rsidR="00422EFE" w:rsidRPr="00261B7A" w:rsidRDefault="00422EFE" w:rsidP="00422EFE">
      <w:pPr>
        <w:pStyle w:val="References"/>
      </w:pPr>
      <w:r w:rsidRPr="00261B7A">
        <w:t>Waste Not Consulting. Unpublished(b). Reviewing the 2008 National Waste Composition Estimate and Producing a 2012 Estimate. Report commissioned by the Ministry for the Environment in 2013.</w:t>
      </w:r>
    </w:p>
    <w:p w14:paraId="20DDA9F0" w14:textId="77777777" w:rsidR="00422EFE" w:rsidRPr="00261B7A" w:rsidRDefault="00422EFE" w:rsidP="00422EFE">
      <w:pPr>
        <w:pStyle w:val="References"/>
      </w:pPr>
      <w:r w:rsidRPr="00261B7A">
        <w:t>Waste Not Consulting. Unpublished(c). Update of National Average Waste Composition for Class 1 Landfills. Report commissioned by the Ministry for the Environment in 2020.</w:t>
      </w:r>
      <w:bookmarkEnd w:id="2422"/>
      <w:bookmarkEnd w:id="2625"/>
    </w:p>
    <w:p w14:paraId="7A8CFB7B" w14:textId="77777777" w:rsidR="00032A4F" w:rsidRPr="00261B7A" w:rsidRDefault="00032A4F" w:rsidP="009F5DA6"/>
    <w:p w14:paraId="31735AB0" w14:textId="77777777" w:rsidR="00E37E3A" w:rsidRPr="00261B7A" w:rsidRDefault="00E37E3A" w:rsidP="009F5DA6">
      <w:pPr>
        <w:sectPr w:rsidR="00E37E3A" w:rsidRPr="00261B7A" w:rsidSect="0019356D">
          <w:footerReference w:type="even" r:id="rId243"/>
          <w:footerReference w:type="default" r:id="rId244"/>
          <w:pgSz w:w="11907" w:h="16840" w:code="9"/>
          <w:pgMar w:top="1418" w:right="1701" w:bottom="1418" w:left="1701" w:header="567" w:footer="567" w:gutter="0"/>
          <w:cols w:space="720"/>
        </w:sectPr>
      </w:pPr>
    </w:p>
    <w:p w14:paraId="19E38CED" w14:textId="77777777" w:rsidR="001B6E40" w:rsidRPr="00261B7A" w:rsidRDefault="001B6E40" w:rsidP="001B6E40">
      <w:pPr>
        <w:pStyle w:val="Heading1"/>
      </w:pPr>
      <w:bookmarkStart w:id="2627" w:name="_Toc5269392"/>
      <w:bookmarkStart w:id="2628" w:name="_Toc36224432"/>
      <w:bookmarkStart w:id="2629" w:name="_Toc68786352"/>
      <w:bookmarkStart w:id="2630" w:name="_Toc131591266"/>
      <w:r w:rsidRPr="00261B7A">
        <w:t>Chapter 8: Tokelau</w:t>
      </w:r>
      <w:bookmarkEnd w:id="2627"/>
      <w:r w:rsidRPr="00261B7A">
        <w:t xml:space="preserve"> (other) sector</w:t>
      </w:r>
      <w:bookmarkEnd w:id="2628"/>
      <w:bookmarkEnd w:id="2629"/>
      <w:bookmarkEnd w:id="2630"/>
    </w:p>
    <w:p w14:paraId="49A21F90" w14:textId="77777777" w:rsidR="001B6E40" w:rsidRPr="00261B7A" w:rsidRDefault="001B6E40" w:rsidP="001B6E40">
      <w:pPr>
        <w:pStyle w:val="BodyText"/>
      </w:pPr>
      <w:r w:rsidRPr="00261B7A">
        <w:t xml:space="preserve">New Zealand ratified the United Nations Framework Convention on Climate Change (the Convention) on 16 September 1993 and the Paris Agreement on 4 October 2016. The extension to Tokelau (as of 13 November 2017) of New Zealand’s ratification of the Convention and of the Paris Agreement requires New Zealand to include Tokelau in the obligatory climate change reporting managed by the Ministry for the Environment. Delivering on this obligation, among other things, means that New Zealand’s national greenhouse gas (GHG) inventory shall include the GHG estimates from Tokelau. </w:t>
      </w:r>
    </w:p>
    <w:p w14:paraId="6BA1AB61" w14:textId="77777777" w:rsidR="001B6E40" w:rsidRPr="00261B7A" w:rsidRDefault="001B6E40" w:rsidP="001B6E40">
      <w:pPr>
        <w:pStyle w:val="BodyText"/>
        <w:spacing w:before="100" w:after="100"/>
      </w:pPr>
      <w:r w:rsidRPr="00261B7A">
        <w:t>Roles and responsibilities in relation to GHG inventory reporting from Tokelau are outlined in section 8.1.3. The information on quality assurance and quality control planning for Tokelau is included in annex 6.</w:t>
      </w:r>
    </w:p>
    <w:p w14:paraId="3438A0CD" w14:textId="77777777" w:rsidR="001B6E40" w:rsidRPr="00261B7A" w:rsidRDefault="001B6E40" w:rsidP="001B6E40">
      <w:pPr>
        <w:pStyle w:val="BodyText"/>
        <w:spacing w:before="100" w:after="100"/>
      </w:pPr>
      <w:r w:rsidRPr="00261B7A">
        <w:t>To maintain transparency of the inventory and visibility of the GHG data from Tokelau, common reporting format (CRF) sector 6 (Other) is used to present emissions from Tokelau by sector in the CRF. This chapter provides an overview of Tokelau’s economy and industry. It includes information on emissions trends and methodological notes in regard to the GHG emissions from Tokelau.</w:t>
      </w:r>
    </w:p>
    <w:p w14:paraId="7B7D95FC" w14:textId="77777777" w:rsidR="001B6E40" w:rsidRPr="00261B7A" w:rsidRDefault="001B6E40" w:rsidP="00A638DC">
      <w:pPr>
        <w:pStyle w:val="Heading2"/>
      </w:pPr>
      <w:bookmarkStart w:id="2631" w:name="_Toc5269393"/>
      <w:bookmarkStart w:id="2632" w:name="_Toc36224433"/>
      <w:bookmarkStart w:id="2633" w:name="_Toc68786353"/>
      <w:bookmarkStart w:id="2634" w:name="_Toc131591267"/>
      <w:r w:rsidRPr="00261B7A">
        <w:t xml:space="preserve">8.1 </w:t>
      </w:r>
      <w:r w:rsidRPr="00261B7A">
        <w:tab/>
        <w:t>Tokelau overview</w:t>
      </w:r>
      <w:bookmarkEnd w:id="2631"/>
      <w:bookmarkEnd w:id="2632"/>
      <w:bookmarkEnd w:id="2633"/>
      <w:bookmarkEnd w:id="2634"/>
    </w:p>
    <w:p w14:paraId="1BEFE99F" w14:textId="77777777" w:rsidR="001B6E40" w:rsidRPr="00261B7A" w:rsidRDefault="001B6E40" w:rsidP="001B6E40">
      <w:pPr>
        <w:pStyle w:val="Heading3"/>
        <w:spacing w:before="160"/>
      </w:pPr>
      <w:r w:rsidRPr="00261B7A">
        <w:t xml:space="preserve">8.1.1 </w:t>
      </w:r>
      <w:r w:rsidRPr="00261B7A">
        <w:tab/>
        <w:t>Geography</w:t>
      </w:r>
    </w:p>
    <w:p w14:paraId="5DE24304" w14:textId="77777777" w:rsidR="001B6E40" w:rsidRPr="00261B7A" w:rsidRDefault="001B6E40" w:rsidP="001B6E40">
      <w:pPr>
        <w:pStyle w:val="BodyText"/>
        <w:spacing w:before="100" w:after="100"/>
      </w:pPr>
      <w:r w:rsidRPr="00261B7A">
        <w:t>Tokelau is a non-self-governing territory</w:t>
      </w:r>
      <w:r w:rsidRPr="00261B7A">
        <w:rPr>
          <w:rStyle w:val="FootnoteReference"/>
        </w:rPr>
        <w:footnoteReference w:id="69"/>
      </w:r>
      <w:r w:rsidRPr="00261B7A">
        <w:t xml:space="preserve"> of New Zealand and is made up of three small coral atolls: Atafu, Nukunonu and Fakaofo. The total land area is 12 square kilometres within an Exclusive Economic Zone (EEZ) covering 318,990 square kilometres. Atafu, the northern atoll, has a surface area of 3.5 square kilometres; Nukunonu, the central atoll, is 4.7 square kilometres and Fakaofo, the southern atoll, is 4 square kilometres (figure 8.1.1).</w:t>
      </w:r>
    </w:p>
    <w:p w14:paraId="4C31CA84" w14:textId="77777777" w:rsidR="001B6E40" w:rsidRPr="00261B7A" w:rsidRDefault="001B6E40" w:rsidP="001B6E40">
      <w:pPr>
        <w:pStyle w:val="Figure"/>
        <w:spacing w:after="80"/>
      </w:pPr>
      <w:bookmarkStart w:id="2635" w:name="_Toc5269721"/>
      <w:bookmarkStart w:id="2636" w:name="_Toc36292824"/>
      <w:bookmarkStart w:id="2637" w:name="_Toc64972931"/>
      <w:bookmarkStart w:id="2638" w:name="_Toc68786688"/>
      <w:bookmarkStart w:id="2639" w:name="_Toc130211296"/>
      <w:bookmarkStart w:id="2640" w:name="_Toc131591581"/>
      <w:r w:rsidRPr="00261B7A">
        <w:t xml:space="preserve">Figure 8.1.1 </w:t>
      </w:r>
      <w:r w:rsidRPr="00261B7A">
        <w:tab/>
        <w:t>Map of Tokelau</w:t>
      </w:r>
      <w:bookmarkEnd w:id="2635"/>
      <w:bookmarkEnd w:id="2636"/>
      <w:bookmarkEnd w:id="2637"/>
      <w:bookmarkEnd w:id="2638"/>
      <w:bookmarkEnd w:id="2639"/>
      <w:bookmarkEnd w:id="2640"/>
    </w:p>
    <w:p w14:paraId="2D331088" w14:textId="77777777" w:rsidR="001B6E40" w:rsidRPr="00261B7A" w:rsidRDefault="001B6E40" w:rsidP="001B6E40">
      <w:pPr>
        <w:pStyle w:val="BodyText"/>
        <w:jc w:val="center"/>
      </w:pPr>
      <w:r w:rsidRPr="00261B7A">
        <w:rPr>
          <w:noProof/>
        </w:rPr>
        <w:drawing>
          <wp:inline distT="0" distB="0" distL="0" distR="0" wp14:anchorId="5BD8DFCF" wp14:editId="2A0F021C">
            <wp:extent cx="3967480" cy="2019935"/>
            <wp:effectExtent l="0" t="0" r="0" b="0"/>
            <wp:docPr id="799649258" name="Picture 799649258" title="Graphical user interfac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9649258"/>
                    <pic:cNvPicPr/>
                  </pic:nvPicPr>
                  <pic:blipFill>
                    <a:blip r:embed="rId245">
                      <a:extLst>
                        <a:ext uri="{28A0092B-C50C-407E-A947-70E740481C1C}">
                          <a14:useLocalDpi xmlns:a14="http://schemas.microsoft.com/office/drawing/2010/main" val="0"/>
                        </a:ext>
                      </a:extLst>
                    </a:blip>
                    <a:srcRect l="6991" t="43109" r="47674" b="13998"/>
                    <a:stretch>
                      <a:fillRect/>
                    </a:stretch>
                  </pic:blipFill>
                  <pic:spPr>
                    <a:xfrm>
                      <a:off x="0" y="0"/>
                      <a:ext cx="3967480" cy="2019935"/>
                    </a:xfrm>
                    <a:prstGeom prst="rect">
                      <a:avLst/>
                    </a:prstGeom>
                  </pic:spPr>
                </pic:pic>
              </a:graphicData>
            </a:graphic>
          </wp:inline>
        </w:drawing>
      </w:r>
    </w:p>
    <w:p w14:paraId="1B0DFE6F" w14:textId="77777777" w:rsidR="001B6E40" w:rsidRPr="00261B7A" w:rsidRDefault="001B6E40" w:rsidP="001B6E40">
      <w:pPr>
        <w:pStyle w:val="BodyText"/>
        <w:rPr>
          <w:spacing w:val="-2"/>
        </w:rPr>
      </w:pPr>
      <w:r w:rsidRPr="00261B7A">
        <w:rPr>
          <w:spacing w:val="-2"/>
        </w:rPr>
        <w:t>From Atafu in the north to Fakaofo in the south, Tokelau extends for less than 200 kilometres. The atolls are about 3 to 5 metres above sea level. The maximum width of any island (motu) on the atolls’ rims is 200 metres. Tokelau is therefore particularly vulnerable to natural hazards.</w:t>
      </w:r>
    </w:p>
    <w:p w14:paraId="02E6B7AD" w14:textId="77777777" w:rsidR="001B6E40" w:rsidRPr="00261B7A" w:rsidRDefault="001B6E40" w:rsidP="001B6E40">
      <w:pPr>
        <w:pStyle w:val="Heading3"/>
      </w:pPr>
      <w:r w:rsidRPr="00261B7A">
        <w:t xml:space="preserve">8.1.2 </w:t>
      </w:r>
      <w:r w:rsidRPr="00261B7A">
        <w:tab/>
        <w:t>Censuses of dwellings and population</w:t>
      </w:r>
    </w:p>
    <w:p w14:paraId="68212908" w14:textId="77777777" w:rsidR="001B6E40" w:rsidRPr="00261B7A" w:rsidRDefault="001B6E40" w:rsidP="001B6E40">
      <w:pPr>
        <w:pStyle w:val="BodyText"/>
        <w:spacing w:before="100"/>
      </w:pPr>
      <w:r w:rsidRPr="00261B7A">
        <w:t xml:space="preserve">Tokelauans have New Zealand citizenship. </w:t>
      </w:r>
    </w:p>
    <w:p w14:paraId="5B301929" w14:textId="77777777" w:rsidR="001B6E40" w:rsidRPr="00261B7A" w:rsidRDefault="001B6E40" w:rsidP="001B6E40">
      <w:pPr>
        <w:pStyle w:val="BodyText"/>
        <w:rPr>
          <w:rFonts w:eastAsia="Calibri"/>
        </w:rPr>
      </w:pPr>
      <w:r w:rsidRPr="00261B7A">
        <w:rPr>
          <w:rFonts w:eastAsia="Calibri"/>
        </w:rPr>
        <w:t>Tokelau has carried out independent censuses of population and dwellings five yearly; detailed data are available on the number of inhabitants, livestock, housing, and some appliances. Only the past four censuses in Tokelau (2006, 2011, 2016 and the 2019 mini census) have used a precise definition of who is a ‘</w:t>
      </w:r>
      <w:r w:rsidRPr="00261B7A">
        <w:rPr>
          <w:rFonts w:eastAsia="Calibri"/>
          <w:i/>
        </w:rPr>
        <w:t>de jure</w:t>
      </w:r>
      <w:r w:rsidRPr="00261B7A">
        <w:rPr>
          <w:rFonts w:eastAsia="Calibri"/>
        </w:rPr>
        <w:t xml:space="preserve"> Tokelauan’</w:t>
      </w:r>
      <w:r w:rsidRPr="00261B7A">
        <w:rPr>
          <w:rStyle w:val="FootnoteReference"/>
          <w:rFonts w:eastAsia="Calibri"/>
        </w:rPr>
        <w:footnoteReference w:id="70"/>
      </w:r>
      <w:r w:rsidRPr="00261B7A">
        <w:rPr>
          <w:rFonts w:eastAsia="Calibri"/>
        </w:rPr>
        <w:t xml:space="preserve"> and the people who actually lived in Tokelau during the census night (‘</w:t>
      </w:r>
      <w:r w:rsidRPr="00261B7A">
        <w:rPr>
          <w:rFonts w:eastAsia="Calibri"/>
          <w:i/>
        </w:rPr>
        <w:t>de facto</w:t>
      </w:r>
      <w:r w:rsidRPr="00261B7A">
        <w:rPr>
          <w:rFonts w:eastAsia="Calibri"/>
          <w:iCs/>
        </w:rPr>
        <w:t xml:space="preserve">’ </w:t>
      </w:r>
      <w:r w:rsidRPr="00261B7A">
        <w:rPr>
          <w:rFonts w:eastAsia="Calibri"/>
        </w:rPr>
        <w:t xml:space="preserve">population). The </w:t>
      </w:r>
      <w:r w:rsidRPr="00261B7A">
        <w:rPr>
          <w:rFonts w:eastAsia="Calibri"/>
          <w:i/>
        </w:rPr>
        <w:t>de facto</w:t>
      </w:r>
      <w:r w:rsidRPr="00261B7A">
        <w:rPr>
          <w:rFonts w:eastAsia="Calibri"/>
          <w:iCs/>
        </w:rPr>
        <w:t xml:space="preserve"> </w:t>
      </w:r>
      <w:r w:rsidRPr="00261B7A">
        <w:rPr>
          <w:rFonts w:eastAsia="Calibri"/>
        </w:rPr>
        <w:t xml:space="preserve">population has been used for the purposes of estimating emissions, which was 1,295 people in 2019. From 1990 to 2019, the population was fluctuating but generally declined for both </w:t>
      </w:r>
      <w:r w:rsidRPr="00261B7A">
        <w:rPr>
          <w:rFonts w:eastAsia="Calibri"/>
          <w:i/>
        </w:rPr>
        <w:t>de facto</w:t>
      </w:r>
      <w:r w:rsidRPr="00261B7A">
        <w:rPr>
          <w:rFonts w:eastAsia="Calibri"/>
        </w:rPr>
        <w:t xml:space="preserve"> and </w:t>
      </w:r>
      <w:r w:rsidRPr="00261B7A">
        <w:rPr>
          <w:rFonts w:eastAsia="Calibri"/>
          <w:i/>
        </w:rPr>
        <w:t>de jure</w:t>
      </w:r>
      <w:r w:rsidRPr="00261B7A">
        <w:rPr>
          <w:rFonts w:eastAsia="Calibri"/>
        </w:rPr>
        <w:t xml:space="preserve"> measures. Around</w:t>
      </w:r>
      <w:r w:rsidRPr="00261B7A" w:rsidDel="0035685E">
        <w:rPr>
          <w:rFonts w:eastAsia="Calibri"/>
        </w:rPr>
        <w:t xml:space="preserve"> </w:t>
      </w:r>
      <w:r w:rsidRPr="00261B7A">
        <w:rPr>
          <w:rFonts w:eastAsia="Calibri"/>
        </w:rPr>
        <w:t>15,000 of the people who identify as Tokelauan live overseas, most of whom live in New Zealand.</w:t>
      </w:r>
    </w:p>
    <w:p w14:paraId="5F421109" w14:textId="77777777" w:rsidR="001B6E40" w:rsidRPr="00261B7A" w:rsidRDefault="001B6E40" w:rsidP="001B6E40">
      <w:pPr>
        <w:pStyle w:val="BodyText"/>
        <w:rPr>
          <w:rFonts w:eastAsia="Calibri"/>
        </w:rPr>
      </w:pPr>
      <w:r w:rsidRPr="00261B7A">
        <w:rPr>
          <w:rFonts w:eastAsia="Calibri"/>
        </w:rPr>
        <w:t xml:space="preserve">Tokelau has a subsistence economy in which the sharing (inati) of essential resources plays an important and significant role. The inhabitants are dependent on local natural resources, particularly fishing in the lagoon and deep sea, growing coconuts and breadfruit, and keeping domesticated pigs and chickens. </w:t>
      </w:r>
    </w:p>
    <w:p w14:paraId="049469A1" w14:textId="77777777" w:rsidR="001B6E40" w:rsidRPr="00261B7A" w:rsidRDefault="001B6E40" w:rsidP="001B6E40">
      <w:pPr>
        <w:pStyle w:val="BodyText"/>
        <w:rPr>
          <w:rFonts w:eastAsia="Calibri"/>
        </w:rPr>
      </w:pPr>
      <w:r w:rsidRPr="00261B7A">
        <w:rPr>
          <w:rFonts w:eastAsia="Calibri"/>
        </w:rPr>
        <w:t>The coral atolls provide a subsistence lifestyle within a fragile environment. Tokelau imports most of its foodstuffs from Samoa. The Tokelau economy is dependent on two major financial resources: economic and administrative assistance from New Zealand, and income from fisheries. New Zealand provides general budget support to help the delivery of essential services, consistent with its constitutional and United Nations Charter obligations.</w:t>
      </w:r>
    </w:p>
    <w:p w14:paraId="4CA4F36B" w14:textId="77777777" w:rsidR="001B6E40" w:rsidRPr="00261B7A" w:rsidRDefault="001B6E40" w:rsidP="001B6E40">
      <w:pPr>
        <w:pStyle w:val="Heading4"/>
      </w:pPr>
      <w:r w:rsidRPr="00261B7A">
        <w:t>Reporting arrangements</w:t>
      </w:r>
    </w:p>
    <w:p w14:paraId="6F1B36F8" w14:textId="77777777" w:rsidR="001B6E40" w:rsidRPr="00261B7A" w:rsidRDefault="001B6E40" w:rsidP="001B6E40">
      <w:pPr>
        <w:pStyle w:val="BodyText"/>
      </w:pPr>
      <w:r w:rsidRPr="00261B7A">
        <w:t xml:space="preserve">Including Tokelau in New Zealand’s inventory reporting is a gradual process. This requires building the expert capacity and establishing connections with the various organisations and businesses in Tokelau that participate in data collection and processing. Estimates include emissions from the largest Tokelau contributors, which are the Energy, Industrial Processes and Product Use (IPPU), Agriculture and Waste sectors, using Intergovernmental Panel on Climate Change (IPCC) Tier 1 methodologies with default emission factors for all reported categories (IPCC, 2006a). The Land Use, Land-Use Change and Forestry (LULUCF) sector is not estimated because Tokelau has no planted or managed forests, and any emissions are expected to be negligible. </w:t>
      </w:r>
    </w:p>
    <w:p w14:paraId="0218C5E7" w14:textId="77777777" w:rsidR="001B6E40" w:rsidRPr="00261B7A" w:rsidRDefault="001B6E40" w:rsidP="001B6E40">
      <w:pPr>
        <w:pStyle w:val="BodyText"/>
      </w:pPr>
      <w:r w:rsidRPr="00261B7A">
        <w:t>New Zealand and Tokelau signed a Memorandum of Understanding (MoU) on 18 January 2018 to establish the relationship between Tokelau and New Zealand regarding the governance of international climate change reporting relating to the inclusion of Tokelau in New Zealand’s national inventory system. According to the MoU, both New Zealand’s central inventory agency (the Ministry for the Environment) and Tokelau’s Ministry of Climate, Oceans and Resilience, formerly known as the Climate Change Division within the Office of the Council for the Ongoing Government of Tokelau, have roles in inventory reporting.</w:t>
      </w:r>
    </w:p>
    <w:p w14:paraId="0B6CE180" w14:textId="77777777" w:rsidR="001B6E40" w:rsidRPr="00261B7A" w:rsidRDefault="001B6E40" w:rsidP="001B6E40">
      <w:pPr>
        <w:pStyle w:val="BodyText"/>
        <w:keepNext/>
      </w:pPr>
      <w:r w:rsidRPr="00261B7A">
        <w:t>New Zealand’s Ministry for the Environment will take responsibility for the following:</w:t>
      </w:r>
    </w:p>
    <w:p w14:paraId="6B138FEA" w14:textId="77777777" w:rsidR="001B6E40" w:rsidRPr="00261B7A" w:rsidRDefault="001B6E40" w:rsidP="001B6E40">
      <w:pPr>
        <w:pStyle w:val="Bullet"/>
      </w:pPr>
      <w:r w:rsidRPr="00261B7A">
        <w:t>coordination of communications between New Zealand and Tokelau officials, as well as communications with project consultants in New Zealand and overseas</w:t>
      </w:r>
    </w:p>
    <w:p w14:paraId="6884FF7A" w14:textId="77777777" w:rsidR="001B6E40" w:rsidRPr="00261B7A" w:rsidRDefault="001B6E40" w:rsidP="001B6E40">
      <w:pPr>
        <w:pStyle w:val="Bullet"/>
      </w:pPr>
      <w:r w:rsidRPr="00261B7A">
        <w:t>coordination with other New Zealand government agencies participating in the inventory production, should their consulting or advice be required for the project</w:t>
      </w:r>
    </w:p>
    <w:p w14:paraId="5149E993" w14:textId="77777777" w:rsidR="001B6E40" w:rsidRPr="00261B7A" w:rsidRDefault="001B6E40" w:rsidP="001B6E40">
      <w:pPr>
        <w:pStyle w:val="Bullet"/>
      </w:pPr>
      <w:r w:rsidRPr="00261B7A">
        <w:t>initial consultation on developing a national GHG inventory system for Tokelau, together with the relevant instructive materials, principles, protocols and procedures of Tier 1 statistics, and methodological guidance for the inventory</w:t>
      </w:r>
    </w:p>
    <w:p w14:paraId="1B9288B7" w14:textId="77777777" w:rsidR="001B6E40" w:rsidRPr="00261B7A" w:rsidRDefault="001B6E40" w:rsidP="001B6E40">
      <w:pPr>
        <w:pStyle w:val="Bullet"/>
      </w:pPr>
      <w:r w:rsidRPr="00261B7A">
        <w:t>technical advice on various aspects of the project regarding the subject matter, the legal background (the Convention reporting guidance), software issues, and the quality</w:t>
      </w:r>
      <w:r w:rsidRPr="00261B7A">
        <w:noBreakHyphen/>
        <w:t>assurance and quality-control issues associated with changes in the national inventory system</w:t>
      </w:r>
    </w:p>
    <w:p w14:paraId="5F93A5ED" w14:textId="77777777" w:rsidR="001B6E40" w:rsidRPr="00261B7A" w:rsidRDefault="001B6E40" w:rsidP="001B6E40">
      <w:pPr>
        <w:pStyle w:val="Bullet"/>
      </w:pPr>
      <w:r w:rsidRPr="00261B7A">
        <w:t>production of the complete set of the data tables in agreed formats</w:t>
      </w:r>
    </w:p>
    <w:p w14:paraId="3E515FF2" w14:textId="77777777" w:rsidR="001B6E40" w:rsidRPr="00261B7A" w:rsidRDefault="001B6E40" w:rsidP="001B6E40">
      <w:pPr>
        <w:pStyle w:val="Bullet"/>
      </w:pPr>
      <w:r w:rsidRPr="00261B7A">
        <w:t>final integration of the Tokelau GHG inventory component into the joint inventory submission to the Convention</w:t>
      </w:r>
    </w:p>
    <w:p w14:paraId="52DAA180" w14:textId="77777777" w:rsidR="001B6E40" w:rsidRPr="00261B7A" w:rsidRDefault="001B6E40" w:rsidP="001B6E40">
      <w:pPr>
        <w:pStyle w:val="Bullet"/>
      </w:pPr>
      <w:r w:rsidRPr="00261B7A">
        <w:t>submitting the joint inventory to the Convention and coordinating communication with the Convention associated with the inventory submission and review</w:t>
      </w:r>
    </w:p>
    <w:p w14:paraId="28729C7E" w14:textId="77777777" w:rsidR="001B6E40" w:rsidRPr="00261B7A" w:rsidRDefault="001B6E40" w:rsidP="001B6E40">
      <w:pPr>
        <w:pStyle w:val="Bullet"/>
      </w:pPr>
      <w:r w:rsidRPr="00261B7A">
        <w:t>publication of the joint inventory report and the CRF tables online, as well as all supplementary materials.</w:t>
      </w:r>
    </w:p>
    <w:p w14:paraId="4FEA6451" w14:textId="77777777" w:rsidR="001B6E40" w:rsidRPr="00261B7A" w:rsidRDefault="001B6E40" w:rsidP="001B6E40">
      <w:pPr>
        <w:pStyle w:val="BodyText"/>
      </w:pPr>
      <w:r w:rsidRPr="00261B7A">
        <w:t>Tokelau’s Ministry of Climate, Oceans and Resilience will take responsibility for the following:</w:t>
      </w:r>
    </w:p>
    <w:p w14:paraId="6E174965" w14:textId="77777777" w:rsidR="001B6E40" w:rsidRPr="00261B7A" w:rsidRDefault="001B6E40" w:rsidP="001B6E40">
      <w:pPr>
        <w:pStyle w:val="Bullet"/>
      </w:pPr>
      <w:r w:rsidRPr="00261B7A">
        <w:t>coordinating the project implementation in Tokelau by communicating with the relevant agencies, organisations and individuals involved in Tokelau’s GHG inventory; coordinating their efforts and delegating responsibilities, to ensure sufficient information and support are provided to those agencies, organisations and individuals to enable the GHG inventory production</w:t>
      </w:r>
    </w:p>
    <w:p w14:paraId="0E679CF5" w14:textId="77777777" w:rsidR="001B6E40" w:rsidRPr="00261B7A" w:rsidRDefault="001B6E40" w:rsidP="001B6E40">
      <w:pPr>
        <w:pStyle w:val="Bullet"/>
      </w:pPr>
      <w:r w:rsidRPr="00261B7A">
        <w:t>providing timely advice on all cultural aspects of the project and helping to resolve any matters associated with potential cultural issues</w:t>
      </w:r>
    </w:p>
    <w:p w14:paraId="37FD20D2" w14:textId="77777777" w:rsidR="001B6E40" w:rsidRPr="00261B7A" w:rsidRDefault="001B6E40" w:rsidP="001B6E40">
      <w:pPr>
        <w:pStyle w:val="Bullet"/>
      </w:pPr>
      <w:r w:rsidRPr="00261B7A">
        <w:t>ensuring that the agreed project schedule is fully complied with, and the relevant timeframes are met, which includes submission of Tokelau’s GHG data and information to New Zealand’s national inventory compiler within the agreed timeframe</w:t>
      </w:r>
    </w:p>
    <w:p w14:paraId="04E0EC83" w14:textId="77777777" w:rsidR="001B6E40" w:rsidRPr="00261B7A" w:rsidRDefault="001B6E40" w:rsidP="001B6E40">
      <w:pPr>
        <w:pStyle w:val="Bullet"/>
      </w:pPr>
      <w:r w:rsidRPr="00261B7A">
        <w:t xml:space="preserve">coordinating Tokelau’s efforts in activity data collection for the inventory reporting and data processing </w:t>
      </w:r>
    </w:p>
    <w:p w14:paraId="43DE175C" w14:textId="77777777" w:rsidR="001B6E40" w:rsidRPr="00261B7A" w:rsidRDefault="001B6E40" w:rsidP="001B6E40">
      <w:pPr>
        <w:pStyle w:val="Bullet"/>
      </w:pPr>
      <w:r w:rsidRPr="00261B7A">
        <w:t xml:space="preserve">producing a peer-reviewed draft of the Tokelau chapter based on the </w:t>
      </w:r>
      <w:r w:rsidRPr="00261B7A">
        <w:rPr>
          <w:i/>
        </w:rPr>
        <w:t>2006 IPCC Guidelines</w:t>
      </w:r>
      <w:r w:rsidRPr="00261B7A">
        <w:t xml:space="preserve"> </w:t>
      </w:r>
      <w:r w:rsidRPr="00261B7A">
        <w:rPr>
          <w:i/>
          <w:iCs/>
        </w:rPr>
        <w:t xml:space="preserve">for National Greenhouse Gas Inventories </w:t>
      </w:r>
      <w:r w:rsidRPr="00261B7A">
        <w:t xml:space="preserve">(IPCC, 2006a) and the United Nations Framework Convention on Climate Change (UNFCCC) reporting guidelines for GHG inventories (UNFCCC, 2014) and in compliance with the Convention inventory quality principles and good practices. </w:t>
      </w:r>
    </w:p>
    <w:p w14:paraId="3A32FFFC" w14:textId="77777777" w:rsidR="001B6E40" w:rsidRPr="00261B7A" w:rsidRDefault="001B6E40" w:rsidP="001B6E40">
      <w:pPr>
        <w:pStyle w:val="BodyText"/>
      </w:pPr>
      <w:r w:rsidRPr="00261B7A">
        <w:t>Both the Ministry for the Environment and Ministry of Climate, Oceans and Resilience are responsible for adhering to the principles and protocols for producers of Tier 1 statistics (Stats NZ).</w:t>
      </w:r>
    </w:p>
    <w:p w14:paraId="51933F09" w14:textId="77777777" w:rsidR="001B6E40" w:rsidRPr="00261B7A" w:rsidRDefault="001B6E40" w:rsidP="001B6E40">
      <w:pPr>
        <w:pStyle w:val="Heading4"/>
      </w:pPr>
      <w:r w:rsidRPr="00261B7A">
        <w:t>Methodological issues</w:t>
      </w:r>
    </w:p>
    <w:p w14:paraId="18E629F8" w14:textId="77777777" w:rsidR="001B6E40" w:rsidRPr="00261B7A" w:rsidRDefault="001B6E40" w:rsidP="001B6E40">
      <w:pPr>
        <w:pStyle w:val="Heading5"/>
        <w:spacing w:before="120"/>
      </w:pPr>
      <w:r w:rsidRPr="00261B7A">
        <w:t>Methods and emission factors</w:t>
      </w:r>
    </w:p>
    <w:p w14:paraId="50E4BF92" w14:textId="77777777" w:rsidR="001B6E40" w:rsidRPr="00261B7A" w:rsidRDefault="001B6E40" w:rsidP="001B6E40">
      <w:pPr>
        <w:pStyle w:val="BodyText"/>
      </w:pPr>
      <w:r w:rsidRPr="00261B7A">
        <w:t xml:space="preserve">Tokelau is making its second steps in GHG inventory reporting. Consequently, Tier 1 methodological approaches with default emission factors were used for estimating emissions from all Tokelau source categories. </w:t>
      </w:r>
    </w:p>
    <w:p w14:paraId="729631E2" w14:textId="77777777" w:rsidR="001B6E40" w:rsidRPr="00261B7A" w:rsidRDefault="001B6E40" w:rsidP="001B6E40">
      <w:pPr>
        <w:pStyle w:val="BodyText"/>
        <w:spacing w:before="100" w:after="100"/>
      </w:pPr>
      <w:r w:rsidRPr="00261B7A">
        <w:t xml:space="preserve">Tokelau is in a different climate zone from New Zealand and has a different lifestyle and different technologies. There are also differences in the scale of operations, especially in the Agriculture sector, which do not allow applying New Zealand’s definition of a farm to Tokelau. For estimating emissions from Tokelau, the 2006 IPCC default emission factors for Oceania with a warm climate are used, whereas New Zealand uses default emission factors associated with a temperate climate. </w:t>
      </w:r>
    </w:p>
    <w:p w14:paraId="07048FE2" w14:textId="77777777" w:rsidR="001B6E40" w:rsidRPr="00261B7A" w:rsidRDefault="001B6E40" w:rsidP="001B6E40">
      <w:pPr>
        <w:pStyle w:val="BodyText"/>
        <w:spacing w:before="100" w:after="100"/>
      </w:pPr>
      <w:r w:rsidRPr="00261B7A">
        <w:t>The calorific values for fuels used for Tokelau are also different from those used for New Zealand because those fuels are coming from different sources. Relevant emission factors used for estimating emissions and references to the methods are included in sections 8.2 to 8.5 dedicated to the inventory sectors reported by Tokelau.</w:t>
      </w:r>
    </w:p>
    <w:p w14:paraId="5510906A" w14:textId="77777777" w:rsidR="001B6E40" w:rsidRPr="00261B7A" w:rsidRDefault="001B6E40" w:rsidP="001B6E40">
      <w:pPr>
        <w:pStyle w:val="Heading5"/>
      </w:pPr>
      <w:r w:rsidRPr="00261B7A">
        <w:t>Activity data</w:t>
      </w:r>
    </w:p>
    <w:p w14:paraId="77811F00" w14:textId="7D510FBC" w:rsidR="001B6E40" w:rsidRPr="00261B7A" w:rsidRDefault="001B6E40" w:rsidP="001B6E40">
      <w:pPr>
        <w:pStyle w:val="BodyText"/>
        <w:spacing w:before="100" w:after="100"/>
      </w:pPr>
      <w:r w:rsidRPr="00261B7A">
        <w:t>The Tokelau National Statistics Office collects and processes activity data from Tokelau for inventory preparation. Table 8.1.</w:t>
      </w:r>
      <w:r w:rsidR="005F4ADC" w:rsidRPr="00261B7A">
        <w:t>1</w:t>
      </w:r>
      <w:r w:rsidRPr="00261B7A">
        <w:t xml:space="preserve"> contains the key sources of the activity data from Tokelau used in Tokelau’s GHG inventory.</w:t>
      </w:r>
    </w:p>
    <w:p w14:paraId="2F8F43CE" w14:textId="77777777" w:rsidR="001B6E40" w:rsidRPr="00261B7A" w:rsidRDefault="001B6E40" w:rsidP="001B6E40">
      <w:pPr>
        <w:pStyle w:val="Table"/>
      </w:pPr>
      <w:bookmarkStart w:id="2641" w:name="_Toc130211267"/>
      <w:bookmarkStart w:id="2642" w:name="_Toc131591468"/>
      <w:r w:rsidRPr="00261B7A">
        <w:t>Table 8.1.1</w:t>
      </w:r>
      <w:r w:rsidRPr="00261B7A">
        <w:tab/>
        <w:t>Key sources for activity data in Tokelau</w:t>
      </w:r>
      <w:bookmarkEnd w:id="2641"/>
      <w:bookmarkEnd w:id="2642"/>
    </w:p>
    <w:tbl>
      <w:tblPr>
        <w:tblW w:w="8505" w:type="dxa"/>
        <w:tblBorders>
          <w:top w:val="single" w:sz="4" w:space="0" w:color="365F91"/>
          <w:bottom w:val="single" w:sz="4" w:space="0" w:color="365F91"/>
          <w:insideH w:val="single" w:sz="4" w:space="0" w:color="365F91"/>
        </w:tblBorders>
        <w:tblLayout w:type="fixed"/>
        <w:tblCellMar>
          <w:left w:w="85" w:type="dxa"/>
          <w:right w:w="85" w:type="dxa"/>
        </w:tblCellMar>
        <w:tblLook w:val="04A0" w:firstRow="1" w:lastRow="0" w:firstColumn="1" w:lastColumn="0" w:noHBand="0" w:noVBand="1"/>
      </w:tblPr>
      <w:tblGrid>
        <w:gridCol w:w="567"/>
        <w:gridCol w:w="1521"/>
        <w:gridCol w:w="2709"/>
        <w:gridCol w:w="3708"/>
      </w:tblGrid>
      <w:tr w:rsidR="001B6E40" w:rsidRPr="00261B7A" w14:paraId="45824AC4" w14:textId="77777777" w:rsidTr="00DB5EA9">
        <w:trPr>
          <w:tblHeader/>
        </w:trPr>
        <w:tc>
          <w:tcPr>
            <w:tcW w:w="567" w:type="dxa"/>
            <w:tcBorders>
              <w:top w:val="single" w:sz="4" w:space="0" w:color="1B556B"/>
              <w:bottom w:val="single" w:sz="4" w:space="0" w:color="1B556B"/>
            </w:tcBorders>
            <w:shd w:val="clear" w:color="auto" w:fill="1B556B"/>
            <w:vAlign w:val="bottom"/>
          </w:tcPr>
          <w:p w14:paraId="2628F29B" w14:textId="77777777" w:rsidR="001B6E40" w:rsidRPr="00261B7A" w:rsidRDefault="001B6E40" w:rsidP="003E20AD">
            <w:pPr>
              <w:pStyle w:val="TableTextBold"/>
              <w:keepNext/>
              <w:rPr>
                <w:rFonts w:eastAsia="Calibri" w:cs="Calibri"/>
                <w:bCs/>
                <w:noProof w:val="0"/>
                <w:color w:val="FFFFFF"/>
                <w:szCs w:val="16"/>
              </w:rPr>
            </w:pPr>
            <w:r w:rsidRPr="00261B7A">
              <w:rPr>
                <w:rFonts w:eastAsia="Calibri" w:cs="Calibri"/>
                <w:bCs/>
                <w:noProof w:val="0"/>
                <w:color w:val="FFFFFF"/>
                <w:szCs w:val="16"/>
              </w:rPr>
              <w:t>Item</w:t>
            </w:r>
          </w:p>
        </w:tc>
        <w:tc>
          <w:tcPr>
            <w:tcW w:w="1521" w:type="dxa"/>
            <w:tcBorders>
              <w:top w:val="single" w:sz="4" w:space="0" w:color="1B556B"/>
              <w:bottom w:val="single" w:sz="4" w:space="0" w:color="1B556B"/>
            </w:tcBorders>
            <w:shd w:val="clear" w:color="auto" w:fill="1B556B"/>
            <w:vAlign w:val="bottom"/>
          </w:tcPr>
          <w:p w14:paraId="0BEFE3B4" w14:textId="77777777" w:rsidR="001B6E40" w:rsidRPr="00261B7A" w:rsidRDefault="001B6E40" w:rsidP="003E20AD">
            <w:pPr>
              <w:pStyle w:val="TableTextBold"/>
              <w:keepNext/>
              <w:rPr>
                <w:rFonts w:eastAsia="Calibri" w:cs="Calibri"/>
                <w:bCs/>
                <w:noProof w:val="0"/>
                <w:color w:val="FFFFFF"/>
                <w:szCs w:val="16"/>
              </w:rPr>
            </w:pPr>
            <w:r w:rsidRPr="00261B7A">
              <w:rPr>
                <w:rFonts w:eastAsia="Calibri" w:cs="Calibri"/>
                <w:bCs/>
                <w:noProof w:val="0"/>
                <w:color w:val="FFFFFF"/>
                <w:szCs w:val="16"/>
              </w:rPr>
              <w:t>Name/abbreviation</w:t>
            </w:r>
          </w:p>
        </w:tc>
        <w:tc>
          <w:tcPr>
            <w:tcW w:w="2709" w:type="dxa"/>
            <w:tcBorders>
              <w:top w:val="single" w:sz="4" w:space="0" w:color="1B556B"/>
              <w:bottom w:val="single" w:sz="4" w:space="0" w:color="1B556B"/>
            </w:tcBorders>
            <w:shd w:val="clear" w:color="auto" w:fill="1B556B"/>
            <w:vAlign w:val="bottom"/>
          </w:tcPr>
          <w:p w14:paraId="0CFF1722" w14:textId="77777777" w:rsidR="001B6E40" w:rsidRPr="00261B7A" w:rsidRDefault="001B6E40" w:rsidP="003E20AD">
            <w:pPr>
              <w:pStyle w:val="TableTextBold"/>
              <w:keepNext/>
              <w:rPr>
                <w:rFonts w:eastAsia="Calibri" w:cs="Calibri"/>
                <w:bCs/>
                <w:noProof w:val="0"/>
                <w:color w:val="FFFFFF"/>
                <w:szCs w:val="16"/>
              </w:rPr>
            </w:pPr>
            <w:r w:rsidRPr="00261B7A">
              <w:rPr>
                <w:rFonts w:eastAsia="Calibri" w:cs="Calibri"/>
                <w:bCs/>
                <w:noProof w:val="0"/>
                <w:color w:val="FFFFFF"/>
                <w:szCs w:val="16"/>
              </w:rPr>
              <w:t>Explanation</w:t>
            </w:r>
          </w:p>
        </w:tc>
        <w:tc>
          <w:tcPr>
            <w:tcW w:w="3708" w:type="dxa"/>
            <w:tcBorders>
              <w:top w:val="single" w:sz="4" w:space="0" w:color="1B556B"/>
              <w:bottom w:val="single" w:sz="4" w:space="0" w:color="1B556B"/>
            </w:tcBorders>
            <w:shd w:val="clear" w:color="auto" w:fill="1B556B"/>
            <w:vAlign w:val="bottom"/>
          </w:tcPr>
          <w:p w14:paraId="3127234F" w14:textId="77777777" w:rsidR="001B6E40" w:rsidRPr="00261B7A" w:rsidRDefault="001B6E40" w:rsidP="003E20AD">
            <w:pPr>
              <w:pStyle w:val="TableTextBold"/>
              <w:keepNext/>
              <w:rPr>
                <w:rFonts w:eastAsia="Calibri" w:cs="Calibri"/>
                <w:bCs/>
                <w:noProof w:val="0"/>
                <w:color w:val="FFFFFF"/>
                <w:szCs w:val="16"/>
              </w:rPr>
            </w:pPr>
            <w:r w:rsidRPr="00261B7A">
              <w:rPr>
                <w:rFonts w:eastAsia="Calibri" w:cs="Calibri"/>
                <w:bCs/>
                <w:noProof w:val="0"/>
                <w:color w:val="FFFFFF"/>
                <w:szCs w:val="16"/>
              </w:rPr>
              <w:t>Used where</w:t>
            </w:r>
          </w:p>
        </w:tc>
      </w:tr>
      <w:tr w:rsidR="001B6E40" w:rsidRPr="00261B7A" w14:paraId="0D43E949" w14:textId="77777777" w:rsidTr="00DB5EA9">
        <w:tc>
          <w:tcPr>
            <w:tcW w:w="567" w:type="dxa"/>
            <w:tcBorders>
              <w:top w:val="single" w:sz="4" w:space="0" w:color="1B556B"/>
              <w:bottom w:val="single" w:sz="4" w:space="0" w:color="1B556B"/>
            </w:tcBorders>
            <w:shd w:val="clear" w:color="auto" w:fill="FFFFFF" w:themeFill="background1"/>
          </w:tcPr>
          <w:p w14:paraId="327B1C78" w14:textId="77777777" w:rsidR="001B6E40" w:rsidRPr="00261B7A" w:rsidRDefault="001B6E40" w:rsidP="003E20AD">
            <w:pPr>
              <w:pStyle w:val="TableText"/>
              <w:spacing w:before="50"/>
              <w:rPr>
                <w:rFonts w:eastAsia="Calibri" w:cs="Calibri"/>
                <w:b/>
                <w:bCs/>
                <w:szCs w:val="16"/>
              </w:rPr>
            </w:pPr>
            <w:r w:rsidRPr="00261B7A">
              <w:rPr>
                <w:rFonts w:eastAsia="Calibri" w:cs="Calibri"/>
                <w:b/>
                <w:bCs/>
                <w:szCs w:val="16"/>
              </w:rPr>
              <w:t>1</w:t>
            </w:r>
          </w:p>
        </w:tc>
        <w:tc>
          <w:tcPr>
            <w:tcW w:w="1521" w:type="dxa"/>
            <w:tcBorders>
              <w:top w:val="single" w:sz="4" w:space="0" w:color="1B556B"/>
              <w:bottom w:val="single" w:sz="4" w:space="0" w:color="1B556B"/>
            </w:tcBorders>
            <w:shd w:val="clear" w:color="auto" w:fill="auto"/>
          </w:tcPr>
          <w:p w14:paraId="37FFE436" w14:textId="77777777" w:rsidR="001B6E40" w:rsidRPr="00261B7A" w:rsidRDefault="001B6E40" w:rsidP="003E20AD">
            <w:pPr>
              <w:pStyle w:val="TableText"/>
              <w:spacing w:before="50"/>
              <w:rPr>
                <w:rFonts w:eastAsia="Calibri" w:cs="Calibri"/>
                <w:szCs w:val="16"/>
              </w:rPr>
            </w:pPr>
            <w:r w:rsidRPr="00261B7A">
              <w:rPr>
                <w:rFonts w:eastAsia="Calibri" w:cs="Calibri"/>
                <w:szCs w:val="16"/>
              </w:rPr>
              <w:t>Census</w:t>
            </w:r>
          </w:p>
        </w:tc>
        <w:tc>
          <w:tcPr>
            <w:tcW w:w="2709" w:type="dxa"/>
            <w:tcBorders>
              <w:top w:val="single" w:sz="4" w:space="0" w:color="1B556B"/>
              <w:bottom w:val="single" w:sz="4" w:space="0" w:color="1B556B"/>
            </w:tcBorders>
            <w:shd w:val="clear" w:color="auto" w:fill="auto"/>
          </w:tcPr>
          <w:p w14:paraId="6EE2C36E" w14:textId="77777777" w:rsidR="001B6E40" w:rsidRPr="00261B7A" w:rsidRDefault="001B6E40" w:rsidP="003E20AD">
            <w:pPr>
              <w:pStyle w:val="TableText"/>
              <w:spacing w:before="50" w:after="0"/>
              <w:rPr>
                <w:rFonts w:eastAsia="Calibri" w:cs="Calibri"/>
              </w:rPr>
            </w:pPr>
            <w:r w:rsidRPr="00261B7A">
              <w:rPr>
                <w:rFonts w:eastAsia="Calibri" w:cs="Calibri"/>
              </w:rPr>
              <w:t>Tokelau Census of Population and Dwellings 2006, 2011, 2016, 2019 (mini census).</w:t>
            </w:r>
          </w:p>
          <w:p w14:paraId="0C704EAC" w14:textId="77777777" w:rsidR="001B6E40" w:rsidRPr="00261B7A" w:rsidRDefault="007E17B8" w:rsidP="003E20AD">
            <w:pPr>
              <w:pStyle w:val="TableText"/>
              <w:spacing w:before="0"/>
              <w:rPr>
                <w:rFonts w:eastAsia="Calibri" w:cs="Calibri"/>
                <w:szCs w:val="16"/>
              </w:rPr>
            </w:pPr>
            <w:hyperlink r:id="rId246" w:history="1">
              <w:r w:rsidR="001B6E40" w:rsidRPr="00261B7A">
                <w:rPr>
                  <w:rStyle w:val="Hyperlink"/>
                  <w:rFonts w:eastAsia="Calibri" w:cs="Calibri"/>
                  <w:szCs w:val="16"/>
                </w:rPr>
                <w:t>www.tinyurl.com/TokelauCensus</w:t>
              </w:r>
            </w:hyperlink>
          </w:p>
        </w:tc>
        <w:tc>
          <w:tcPr>
            <w:tcW w:w="3708" w:type="dxa"/>
            <w:tcBorders>
              <w:top w:val="single" w:sz="4" w:space="0" w:color="1B556B"/>
              <w:bottom w:val="single" w:sz="4" w:space="0" w:color="1B556B"/>
            </w:tcBorders>
            <w:shd w:val="clear" w:color="auto" w:fill="auto"/>
          </w:tcPr>
          <w:p w14:paraId="4B86CBC4" w14:textId="77777777" w:rsidR="001B6E40" w:rsidRPr="00261B7A" w:rsidRDefault="001B6E40" w:rsidP="003E20AD">
            <w:pPr>
              <w:pStyle w:val="TableText"/>
              <w:spacing w:before="50"/>
              <w:rPr>
                <w:rFonts w:eastAsia="Calibri" w:cs="Calibri"/>
                <w:szCs w:val="16"/>
              </w:rPr>
            </w:pPr>
            <w:r w:rsidRPr="00261B7A">
              <w:rPr>
                <w:rFonts w:eastAsia="Calibri" w:cs="Calibri"/>
                <w:szCs w:val="16"/>
              </w:rPr>
              <w:t>Census data; interpolations for populations of people and livestock; solid and water waste disposal (flush toilets), number of private aluminium boats and outboard motors, home appliances</w:t>
            </w:r>
          </w:p>
        </w:tc>
      </w:tr>
      <w:tr w:rsidR="001B6E40" w:rsidRPr="00261B7A" w14:paraId="3CF0FAD5" w14:textId="77777777" w:rsidTr="00DB5EA9">
        <w:tc>
          <w:tcPr>
            <w:tcW w:w="567" w:type="dxa"/>
            <w:tcBorders>
              <w:top w:val="single" w:sz="4" w:space="0" w:color="1B556B"/>
              <w:bottom w:val="single" w:sz="4" w:space="0" w:color="1B556B"/>
            </w:tcBorders>
            <w:shd w:val="clear" w:color="auto" w:fill="FFFFFF" w:themeFill="background1"/>
          </w:tcPr>
          <w:p w14:paraId="01594926" w14:textId="77777777" w:rsidR="001B6E40" w:rsidRPr="00261B7A" w:rsidRDefault="001B6E40" w:rsidP="003E20AD">
            <w:pPr>
              <w:pStyle w:val="TableText"/>
              <w:spacing w:before="50" w:after="50"/>
              <w:rPr>
                <w:rFonts w:eastAsia="Calibri" w:cs="Calibri"/>
                <w:b/>
                <w:bCs/>
                <w:szCs w:val="16"/>
              </w:rPr>
            </w:pPr>
            <w:r w:rsidRPr="00261B7A">
              <w:rPr>
                <w:rFonts w:eastAsia="Calibri" w:cs="Calibri"/>
                <w:b/>
                <w:bCs/>
                <w:szCs w:val="16"/>
              </w:rPr>
              <w:t>2</w:t>
            </w:r>
          </w:p>
        </w:tc>
        <w:tc>
          <w:tcPr>
            <w:tcW w:w="1521" w:type="dxa"/>
            <w:tcBorders>
              <w:top w:val="single" w:sz="4" w:space="0" w:color="1B556B"/>
              <w:bottom w:val="single" w:sz="4" w:space="0" w:color="1B556B"/>
            </w:tcBorders>
            <w:shd w:val="clear" w:color="auto" w:fill="auto"/>
          </w:tcPr>
          <w:p w14:paraId="5957F00C"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Archives NZ</w:t>
            </w:r>
          </w:p>
        </w:tc>
        <w:tc>
          <w:tcPr>
            <w:tcW w:w="2709" w:type="dxa"/>
            <w:tcBorders>
              <w:top w:val="single" w:sz="4" w:space="0" w:color="1B556B"/>
              <w:bottom w:val="single" w:sz="4" w:space="0" w:color="1B556B"/>
            </w:tcBorders>
            <w:shd w:val="clear" w:color="auto" w:fill="auto"/>
          </w:tcPr>
          <w:p w14:paraId="1DA0F3E0"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Archives New Zealand, Wellington</w:t>
            </w:r>
          </w:p>
        </w:tc>
        <w:tc>
          <w:tcPr>
            <w:tcW w:w="3708" w:type="dxa"/>
            <w:tcBorders>
              <w:top w:val="single" w:sz="4" w:space="0" w:color="1B556B"/>
              <w:bottom w:val="single" w:sz="4" w:space="0" w:color="1B556B"/>
            </w:tcBorders>
            <w:shd w:val="clear" w:color="auto" w:fill="auto"/>
          </w:tcPr>
          <w:p w14:paraId="42B88C73"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Historic Census records going back to 1951, at five-year intervals (Tokelau National Statistics Office collation and analysis)</w:t>
            </w:r>
          </w:p>
        </w:tc>
      </w:tr>
      <w:tr w:rsidR="001B6E40" w:rsidRPr="00261B7A" w14:paraId="75B953AC" w14:textId="77777777" w:rsidTr="00DB5EA9">
        <w:tc>
          <w:tcPr>
            <w:tcW w:w="567" w:type="dxa"/>
            <w:tcBorders>
              <w:top w:val="single" w:sz="4" w:space="0" w:color="1B556B"/>
              <w:bottom w:val="single" w:sz="4" w:space="0" w:color="1B556B"/>
            </w:tcBorders>
            <w:shd w:val="clear" w:color="auto" w:fill="FFFFFF" w:themeFill="background1"/>
          </w:tcPr>
          <w:p w14:paraId="03D39C2B" w14:textId="77777777" w:rsidR="001B6E40" w:rsidRPr="00261B7A" w:rsidRDefault="001B6E40" w:rsidP="003E20AD">
            <w:pPr>
              <w:pStyle w:val="TableText"/>
              <w:spacing w:before="50" w:after="50"/>
              <w:rPr>
                <w:rFonts w:eastAsia="Calibri" w:cs="Calibri"/>
                <w:b/>
                <w:bCs/>
                <w:szCs w:val="16"/>
              </w:rPr>
            </w:pPr>
            <w:r w:rsidRPr="00261B7A">
              <w:rPr>
                <w:rFonts w:eastAsia="Calibri" w:cs="Calibri"/>
                <w:b/>
                <w:bCs/>
                <w:szCs w:val="16"/>
              </w:rPr>
              <w:t>3</w:t>
            </w:r>
          </w:p>
        </w:tc>
        <w:tc>
          <w:tcPr>
            <w:tcW w:w="1521" w:type="dxa"/>
            <w:tcBorders>
              <w:top w:val="single" w:sz="4" w:space="0" w:color="1B556B"/>
              <w:bottom w:val="single" w:sz="4" w:space="0" w:color="1B556B"/>
            </w:tcBorders>
            <w:shd w:val="clear" w:color="auto" w:fill="auto"/>
          </w:tcPr>
          <w:p w14:paraId="681AC87A"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HIES</w:t>
            </w:r>
          </w:p>
        </w:tc>
        <w:tc>
          <w:tcPr>
            <w:tcW w:w="2709" w:type="dxa"/>
            <w:tcBorders>
              <w:top w:val="single" w:sz="4" w:space="0" w:color="1B556B"/>
              <w:bottom w:val="single" w:sz="4" w:space="0" w:color="1B556B"/>
            </w:tcBorders>
            <w:shd w:val="clear" w:color="auto" w:fill="auto"/>
          </w:tcPr>
          <w:p w14:paraId="6689ECA0" w14:textId="77777777" w:rsidR="001B6E40" w:rsidRPr="00261B7A" w:rsidRDefault="001B6E40" w:rsidP="003E20AD">
            <w:pPr>
              <w:pStyle w:val="TableText"/>
              <w:spacing w:before="50" w:after="0"/>
              <w:rPr>
                <w:rFonts w:eastAsia="Calibri" w:cs="Calibri"/>
                <w:szCs w:val="16"/>
              </w:rPr>
            </w:pPr>
            <w:r w:rsidRPr="00261B7A">
              <w:rPr>
                <w:rFonts w:eastAsia="Calibri" w:cs="Calibri"/>
                <w:szCs w:val="16"/>
              </w:rPr>
              <w:t>Tokelau Household Income and Expenditure Survey 2015/16</w:t>
            </w:r>
          </w:p>
          <w:p w14:paraId="54479D13" w14:textId="77777777" w:rsidR="001B6E40" w:rsidRPr="00261B7A" w:rsidRDefault="007E17B8" w:rsidP="003E20AD">
            <w:pPr>
              <w:pStyle w:val="TableText"/>
              <w:spacing w:before="0" w:after="50"/>
              <w:rPr>
                <w:rFonts w:eastAsia="Calibri" w:cs="Calibri"/>
                <w:szCs w:val="16"/>
              </w:rPr>
            </w:pPr>
            <w:hyperlink r:id="rId247" w:history="1">
              <w:r w:rsidR="001B6E40" w:rsidRPr="00261B7A">
                <w:rPr>
                  <w:rStyle w:val="Hyperlink"/>
                  <w:rFonts w:eastAsia="Calibri" w:cs="Calibri"/>
                  <w:szCs w:val="16"/>
                </w:rPr>
                <w:t>www.tinyurl.com/TokelauHIES</w:t>
              </w:r>
            </w:hyperlink>
          </w:p>
        </w:tc>
        <w:tc>
          <w:tcPr>
            <w:tcW w:w="3708" w:type="dxa"/>
            <w:tcBorders>
              <w:top w:val="single" w:sz="4" w:space="0" w:color="1B556B"/>
              <w:bottom w:val="single" w:sz="4" w:space="0" w:color="1B556B"/>
            </w:tcBorders>
            <w:shd w:val="clear" w:color="auto" w:fill="auto"/>
          </w:tcPr>
          <w:p w14:paraId="5A61D1C5"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Population and dwellings data supplementary to Census, in partnership with Pacific Community (SPC)</w:t>
            </w:r>
          </w:p>
        </w:tc>
      </w:tr>
      <w:tr w:rsidR="001B6E40" w:rsidRPr="00261B7A" w14:paraId="7485B323" w14:textId="77777777" w:rsidTr="00DB5EA9">
        <w:tc>
          <w:tcPr>
            <w:tcW w:w="567" w:type="dxa"/>
            <w:tcBorders>
              <w:top w:val="single" w:sz="4" w:space="0" w:color="1B556B"/>
              <w:bottom w:val="single" w:sz="4" w:space="0" w:color="1B556B"/>
            </w:tcBorders>
            <w:shd w:val="clear" w:color="auto" w:fill="FFFFFF" w:themeFill="background1"/>
          </w:tcPr>
          <w:p w14:paraId="61CBD6E8" w14:textId="77777777" w:rsidR="001B6E40" w:rsidRPr="00261B7A" w:rsidRDefault="001B6E40" w:rsidP="003E20AD">
            <w:pPr>
              <w:pStyle w:val="TableText"/>
              <w:spacing w:before="50" w:after="50"/>
              <w:rPr>
                <w:rFonts w:eastAsia="Calibri" w:cs="Calibri"/>
                <w:b/>
                <w:bCs/>
                <w:szCs w:val="16"/>
              </w:rPr>
            </w:pPr>
            <w:r w:rsidRPr="00261B7A">
              <w:rPr>
                <w:rFonts w:eastAsia="Calibri" w:cs="Calibri"/>
                <w:b/>
                <w:bCs/>
                <w:szCs w:val="16"/>
              </w:rPr>
              <w:t>4</w:t>
            </w:r>
          </w:p>
        </w:tc>
        <w:tc>
          <w:tcPr>
            <w:tcW w:w="1521" w:type="dxa"/>
            <w:tcBorders>
              <w:top w:val="single" w:sz="4" w:space="0" w:color="1B556B"/>
              <w:bottom w:val="single" w:sz="4" w:space="0" w:color="1B556B"/>
            </w:tcBorders>
            <w:shd w:val="clear" w:color="auto" w:fill="auto"/>
          </w:tcPr>
          <w:p w14:paraId="640071FF"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SNZ, Stats NZ</w:t>
            </w:r>
          </w:p>
        </w:tc>
        <w:tc>
          <w:tcPr>
            <w:tcW w:w="2709" w:type="dxa"/>
            <w:tcBorders>
              <w:top w:val="single" w:sz="4" w:space="0" w:color="1B556B"/>
              <w:bottom w:val="single" w:sz="4" w:space="0" w:color="1B556B"/>
            </w:tcBorders>
            <w:shd w:val="clear" w:color="auto" w:fill="auto"/>
          </w:tcPr>
          <w:p w14:paraId="00223D2D" w14:textId="77777777" w:rsidR="001B6E40" w:rsidRPr="00261B7A" w:rsidRDefault="001B6E40" w:rsidP="003E20AD">
            <w:pPr>
              <w:pStyle w:val="TableText"/>
              <w:spacing w:before="50" w:after="0"/>
              <w:rPr>
                <w:rFonts w:eastAsia="Calibri" w:cs="Calibri"/>
                <w:szCs w:val="16"/>
              </w:rPr>
            </w:pPr>
            <w:r w:rsidRPr="00261B7A">
              <w:rPr>
                <w:rFonts w:eastAsia="Calibri" w:cs="Calibri"/>
                <w:szCs w:val="16"/>
              </w:rPr>
              <w:t>Stats NZ, Wellington</w:t>
            </w:r>
          </w:p>
          <w:p w14:paraId="3C918C4A" w14:textId="77777777" w:rsidR="001B6E40" w:rsidRPr="00261B7A" w:rsidRDefault="007E17B8" w:rsidP="003E20AD">
            <w:pPr>
              <w:pStyle w:val="TableText"/>
              <w:spacing w:before="0" w:after="50"/>
              <w:rPr>
                <w:rFonts w:eastAsia="Calibri" w:cs="Calibri"/>
                <w:szCs w:val="16"/>
              </w:rPr>
            </w:pPr>
            <w:hyperlink r:id="rId248" w:history="1">
              <w:r w:rsidR="001B6E40" w:rsidRPr="00261B7A">
                <w:rPr>
                  <w:rStyle w:val="Hyperlink"/>
                  <w:rFonts w:eastAsia="Calibri" w:cs="Calibri"/>
                  <w:szCs w:val="16"/>
                </w:rPr>
                <w:t>www.stats.govt.nz</w:t>
              </w:r>
            </w:hyperlink>
          </w:p>
        </w:tc>
        <w:tc>
          <w:tcPr>
            <w:tcW w:w="3708" w:type="dxa"/>
            <w:tcBorders>
              <w:top w:val="single" w:sz="4" w:space="0" w:color="1B556B"/>
              <w:bottom w:val="single" w:sz="4" w:space="0" w:color="1B556B"/>
            </w:tcBorders>
            <w:shd w:val="clear" w:color="auto" w:fill="auto"/>
          </w:tcPr>
          <w:p w14:paraId="36BFBB6A"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Major partner in collection, analysis and publication of Tokelau Census data</w:t>
            </w:r>
          </w:p>
        </w:tc>
      </w:tr>
      <w:tr w:rsidR="001B6E40" w:rsidRPr="00261B7A" w14:paraId="2705D2BE" w14:textId="77777777" w:rsidTr="00DB5EA9">
        <w:tc>
          <w:tcPr>
            <w:tcW w:w="567" w:type="dxa"/>
            <w:tcBorders>
              <w:top w:val="single" w:sz="4" w:space="0" w:color="1B556B"/>
              <w:bottom w:val="single" w:sz="4" w:space="0" w:color="1B556B"/>
            </w:tcBorders>
            <w:shd w:val="clear" w:color="auto" w:fill="FFFFFF" w:themeFill="background1"/>
          </w:tcPr>
          <w:p w14:paraId="4836398E" w14:textId="77777777" w:rsidR="001B6E40" w:rsidRPr="00261B7A" w:rsidRDefault="001B6E40" w:rsidP="003E20AD">
            <w:pPr>
              <w:pStyle w:val="TableText"/>
              <w:spacing w:before="50" w:after="50"/>
              <w:rPr>
                <w:rFonts w:eastAsia="Calibri" w:cs="Calibri"/>
                <w:b/>
                <w:bCs/>
                <w:szCs w:val="16"/>
              </w:rPr>
            </w:pPr>
            <w:r w:rsidRPr="00261B7A">
              <w:rPr>
                <w:rFonts w:eastAsia="Calibri" w:cs="Calibri"/>
                <w:b/>
                <w:bCs/>
                <w:szCs w:val="16"/>
              </w:rPr>
              <w:t>5</w:t>
            </w:r>
          </w:p>
        </w:tc>
        <w:tc>
          <w:tcPr>
            <w:tcW w:w="1521" w:type="dxa"/>
            <w:tcBorders>
              <w:top w:val="single" w:sz="4" w:space="0" w:color="1B556B"/>
              <w:bottom w:val="single" w:sz="4" w:space="0" w:color="1B556B"/>
            </w:tcBorders>
            <w:shd w:val="clear" w:color="auto" w:fill="auto"/>
          </w:tcPr>
          <w:p w14:paraId="634ACF88"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TNSO</w:t>
            </w:r>
          </w:p>
        </w:tc>
        <w:tc>
          <w:tcPr>
            <w:tcW w:w="2709" w:type="dxa"/>
            <w:tcBorders>
              <w:top w:val="single" w:sz="4" w:space="0" w:color="1B556B"/>
              <w:bottom w:val="single" w:sz="4" w:space="0" w:color="1B556B"/>
            </w:tcBorders>
            <w:shd w:val="clear" w:color="auto" w:fill="auto"/>
          </w:tcPr>
          <w:p w14:paraId="4808712B" w14:textId="77777777" w:rsidR="001B6E40" w:rsidRPr="00261B7A" w:rsidRDefault="001B6E40" w:rsidP="003E20AD">
            <w:pPr>
              <w:pStyle w:val="TableText"/>
              <w:spacing w:before="50" w:after="0"/>
              <w:rPr>
                <w:rFonts w:eastAsia="Calibri" w:cs="Calibri"/>
                <w:szCs w:val="16"/>
              </w:rPr>
            </w:pPr>
            <w:r w:rsidRPr="00261B7A">
              <w:rPr>
                <w:rFonts w:eastAsia="Calibri" w:cs="Calibri"/>
                <w:szCs w:val="16"/>
              </w:rPr>
              <w:t>Tokelau National Statistics Office, Apia</w:t>
            </w:r>
          </w:p>
          <w:p w14:paraId="06EA5385" w14:textId="77777777" w:rsidR="001B6E40" w:rsidRPr="00261B7A" w:rsidRDefault="007E17B8" w:rsidP="003E20AD">
            <w:pPr>
              <w:pStyle w:val="TableText"/>
              <w:spacing w:before="0" w:after="50"/>
              <w:rPr>
                <w:rFonts w:eastAsia="Calibri" w:cs="Calibri"/>
                <w:szCs w:val="16"/>
              </w:rPr>
            </w:pPr>
            <w:hyperlink r:id="rId249" w:history="1">
              <w:r w:rsidR="001B6E40" w:rsidRPr="00261B7A">
                <w:rPr>
                  <w:rStyle w:val="Hyperlink"/>
                  <w:rFonts w:eastAsia="Calibri" w:cs="Calibri"/>
                  <w:szCs w:val="16"/>
                </w:rPr>
                <w:t>www.tokelau.org.nz/Stats.html</w:t>
              </w:r>
            </w:hyperlink>
          </w:p>
        </w:tc>
        <w:tc>
          <w:tcPr>
            <w:tcW w:w="3708" w:type="dxa"/>
            <w:tcBorders>
              <w:top w:val="single" w:sz="4" w:space="0" w:color="1B556B"/>
              <w:bottom w:val="single" w:sz="4" w:space="0" w:color="1B556B"/>
            </w:tcBorders>
            <w:shd w:val="clear" w:color="auto" w:fill="auto"/>
          </w:tcPr>
          <w:p w14:paraId="6692C113"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 xml:space="preserve">Joint collection, analysis and publication of Tokelau Census data </w:t>
            </w:r>
          </w:p>
        </w:tc>
      </w:tr>
      <w:tr w:rsidR="001B6E40" w:rsidRPr="00261B7A" w14:paraId="036B442A" w14:textId="77777777" w:rsidTr="00DB5EA9">
        <w:tc>
          <w:tcPr>
            <w:tcW w:w="567" w:type="dxa"/>
            <w:tcBorders>
              <w:top w:val="single" w:sz="4" w:space="0" w:color="1B556B"/>
              <w:bottom w:val="single" w:sz="4" w:space="0" w:color="1B556B"/>
            </w:tcBorders>
            <w:shd w:val="clear" w:color="auto" w:fill="FFFFFF" w:themeFill="background1"/>
          </w:tcPr>
          <w:p w14:paraId="25727886" w14:textId="77777777" w:rsidR="001B6E40" w:rsidRPr="00261B7A" w:rsidRDefault="001B6E40" w:rsidP="003E20AD">
            <w:pPr>
              <w:pStyle w:val="TableText"/>
              <w:spacing w:before="50" w:after="50"/>
              <w:rPr>
                <w:rFonts w:eastAsia="Calibri" w:cs="Calibri"/>
                <w:b/>
                <w:bCs/>
                <w:szCs w:val="16"/>
              </w:rPr>
            </w:pPr>
            <w:r w:rsidRPr="00261B7A">
              <w:rPr>
                <w:rFonts w:eastAsia="Calibri" w:cs="Calibri"/>
                <w:b/>
                <w:bCs/>
                <w:szCs w:val="16"/>
              </w:rPr>
              <w:t>6</w:t>
            </w:r>
          </w:p>
        </w:tc>
        <w:tc>
          <w:tcPr>
            <w:tcW w:w="1521" w:type="dxa"/>
            <w:tcBorders>
              <w:top w:val="single" w:sz="4" w:space="0" w:color="1B556B"/>
              <w:bottom w:val="single" w:sz="4" w:space="0" w:color="1B556B"/>
            </w:tcBorders>
            <w:shd w:val="clear" w:color="auto" w:fill="auto"/>
          </w:tcPr>
          <w:p w14:paraId="33867AAE"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DoE</w:t>
            </w:r>
          </w:p>
        </w:tc>
        <w:tc>
          <w:tcPr>
            <w:tcW w:w="2709" w:type="dxa"/>
            <w:tcBorders>
              <w:top w:val="single" w:sz="4" w:space="0" w:color="1B556B"/>
              <w:bottom w:val="single" w:sz="4" w:space="0" w:color="1B556B"/>
            </w:tcBorders>
            <w:shd w:val="clear" w:color="auto" w:fill="auto"/>
          </w:tcPr>
          <w:p w14:paraId="491D426C"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Tokelau Department of Energy</w:t>
            </w:r>
          </w:p>
        </w:tc>
        <w:tc>
          <w:tcPr>
            <w:tcW w:w="3708" w:type="dxa"/>
            <w:tcBorders>
              <w:top w:val="single" w:sz="4" w:space="0" w:color="1B556B"/>
              <w:bottom w:val="single" w:sz="4" w:space="0" w:color="1B556B"/>
            </w:tcBorders>
            <w:shd w:val="clear" w:color="auto" w:fill="auto"/>
          </w:tcPr>
          <w:p w14:paraId="028A0194"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Estimate of diesel use for 24/7 power generation in 2004, plus before and after installation of solar panels in July–September 2012 (personal communication Mr Robin Pene, DoE director)</w:t>
            </w:r>
          </w:p>
        </w:tc>
      </w:tr>
      <w:tr w:rsidR="001B6E40" w:rsidRPr="00261B7A" w14:paraId="27CCFE9B" w14:textId="77777777" w:rsidTr="00DB5EA9">
        <w:tc>
          <w:tcPr>
            <w:tcW w:w="567" w:type="dxa"/>
            <w:tcBorders>
              <w:top w:val="single" w:sz="4" w:space="0" w:color="1B556B"/>
              <w:bottom w:val="single" w:sz="4" w:space="0" w:color="1B556B"/>
            </w:tcBorders>
            <w:shd w:val="clear" w:color="auto" w:fill="FFFFFF" w:themeFill="background1"/>
          </w:tcPr>
          <w:p w14:paraId="4522B7FB" w14:textId="77777777" w:rsidR="001B6E40" w:rsidRPr="00261B7A" w:rsidRDefault="001B6E40" w:rsidP="003E20AD">
            <w:pPr>
              <w:pStyle w:val="TableText"/>
              <w:spacing w:before="50" w:after="50"/>
              <w:rPr>
                <w:rFonts w:eastAsia="Calibri" w:cs="Calibri"/>
                <w:b/>
                <w:bCs/>
                <w:szCs w:val="16"/>
              </w:rPr>
            </w:pPr>
            <w:r w:rsidRPr="00261B7A">
              <w:rPr>
                <w:rFonts w:eastAsia="Calibri" w:cs="Calibri"/>
                <w:b/>
                <w:bCs/>
                <w:szCs w:val="16"/>
              </w:rPr>
              <w:t>7</w:t>
            </w:r>
          </w:p>
        </w:tc>
        <w:tc>
          <w:tcPr>
            <w:tcW w:w="1521" w:type="dxa"/>
            <w:tcBorders>
              <w:top w:val="single" w:sz="4" w:space="0" w:color="1B556B"/>
              <w:bottom w:val="single" w:sz="4" w:space="0" w:color="1B556B"/>
            </w:tcBorders>
            <w:shd w:val="clear" w:color="auto" w:fill="auto"/>
          </w:tcPr>
          <w:p w14:paraId="5FF8F5E8"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PPS</w:t>
            </w:r>
          </w:p>
        </w:tc>
        <w:tc>
          <w:tcPr>
            <w:tcW w:w="2709" w:type="dxa"/>
            <w:tcBorders>
              <w:top w:val="single" w:sz="4" w:space="0" w:color="1B556B"/>
              <w:bottom w:val="single" w:sz="4" w:space="0" w:color="1B556B"/>
            </w:tcBorders>
            <w:shd w:val="clear" w:color="auto" w:fill="auto"/>
          </w:tcPr>
          <w:p w14:paraId="6CFEBF1D"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Petroleum Product Supplies Ltd Apia</w:t>
            </w:r>
          </w:p>
        </w:tc>
        <w:tc>
          <w:tcPr>
            <w:tcW w:w="3708" w:type="dxa"/>
            <w:tcBorders>
              <w:top w:val="single" w:sz="4" w:space="0" w:color="1B556B"/>
              <w:bottom w:val="single" w:sz="4" w:space="0" w:color="1B556B"/>
            </w:tcBorders>
            <w:shd w:val="clear" w:color="auto" w:fill="auto"/>
          </w:tcPr>
          <w:p w14:paraId="03F6A2B7"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Fuel prices and volumes supplied for shipping and on-atoll use of diesel, petrol, kerosene and lubricant oil</w:t>
            </w:r>
          </w:p>
        </w:tc>
      </w:tr>
      <w:tr w:rsidR="001B6E40" w:rsidRPr="00261B7A" w14:paraId="4E3FE6E9" w14:textId="77777777" w:rsidTr="00DB5EA9">
        <w:tc>
          <w:tcPr>
            <w:tcW w:w="567" w:type="dxa"/>
            <w:tcBorders>
              <w:top w:val="single" w:sz="4" w:space="0" w:color="1B556B"/>
              <w:bottom w:val="single" w:sz="4" w:space="0" w:color="1B556B"/>
            </w:tcBorders>
            <w:shd w:val="clear" w:color="auto" w:fill="FFFFFF" w:themeFill="background1"/>
          </w:tcPr>
          <w:p w14:paraId="7E5035A7" w14:textId="77777777" w:rsidR="001B6E40" w:rsidRPr="00261B7A" w:rsidRDefault="001B6E40" w:rsidP="003E20AD">
            <w:pPr>
              <w:pStyle w:val="TableText"/>
              <w:spacing w:before="50" w:after="50"/>
              <w:rPr>
                <w:rFonts w:eastAsia="Calibri" w:cs="Calibri"/>
                <w:b/>
                <w:bCs/>
                <w:szCs w:val="16"/>
              </w:rPr>
            </w:pPr>
            <w:r w:rsidRPr="00261B7A">
              <w:rPr>
                <w:rFonts w:eastAsia="Calibri" w:cs="Calibri"/>
                <w:b/>
                <w:bCs/>
                <w:szCs w:val="16"/>
              </w:rPr>
              <w:t>8</w:t>
            </w:r>
          </w:p>
        </w:tc>
        <w:tc>
          <w:tcPr>
            <w:tcW w:w="1521" w:type="dxa"/>
            <w:tcBorders>
              <w:top w:val="single" w:sz="4" w:space="0" w:color="1B556B"/>
              <w:bottom w:val="single" w:sz="4" w:space="0" w:color="1B556B"/>
            </w:tcBorders>
            <w:shd w:val="clear" w:color="auto" w:fill="auto"/>
          </w:tcPr>
          <w:p w14:paraId="66275475"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DoF</w:t>
            </w:r>
          </w:p>
        </w:tc>
        <w:tc>
          <w:tcPr>
            <w:tcW w:w="2709" w:type="dxa"/>
            <w:tcBorders>
              <w:top w:val="single" w:sz="4" w:space="0" w:color="1B556B"/>
              <w:bottom w:val="single" w:sz="4" w:space="0" w:color="1B556B"/>
            </w:tcBorders>
            <w:shd w:val="clear" w:color="auto" w:fill="auto"/>
          </w:tcPr>
          <w:p w14:paraId="0DDFF209"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Tokelau Department of Finance</w:t>
            </w:r>
          </w:p>
        </w:tc>
        <w:tc>
          <w:tcPr>
            <w:tcW w:w="3708" w:type="dxa"/>
            <w:tcBorders>
              <w:top w:val="single" w:sz="4" w:space="0" w:color="1B556B"/>
              <w:bottom w:val="single" w:sz="4" w:space="0" w:color="1B556B"/>
            </w:tcBorders>
            <w:shd w:val="clear" w:color="auto" w:fill="auto"/>
          </w:tcPr>
          <w:p w14:paraId="6354FB77"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Paid invoices and payment records to PPS, Origin and on-atoll stores</w:t>
            </w:r>
          </w:p>
        </w:tc>
      </w:tr>
      <w:tr w:rsidR="001B6E40" w:rsidRPr="00261B7A" w14:paraId="16F09AA2" w14:textId="77777777" w:rsidTr="00DB5EA9">
        <w:tc>
          <w:tcPr>
            <w:tcW w:w="567" w:type="dxa"/>
            <w:tcBorders>
              <w:top w:val="single" w:sz="4" w:space="0" w:color="1B556B"/>
              <w:bottom w:val="single" w:sz="4" w:space="0" w:color="1B556B"/>
            </w:tcBorders>
            <w:shd w:val="clear" w:color="auto" w:fill="FFFFFF" w:themeFill="background1"/>
          </w:tcPr>
          <w:p w14:paraId="048A5AF4" w14:textId="77777777" w:rsidR="001B6E40" w:rsidRPr="00261B7A" w:rsidRDefault="001B6E40" w:rsidP="003E20AD">
            <w:pPr>
              <w:pStyle w:val="TableText"/>
              <w:spacing w:before="50" w:after="50"/>
              <w:rPr>
                <w:rFonts w:eastAsia="Calibri" w:cs="Calibri"/>
                <w:b/>
                <w:bCs/>
                <w:szCs w:val="16"/>
              </w:rPr>
            </w:pPr>
            <w:r w:rsidRPr="00261B7A">
              <w:rPr>
                <w:rFonts w:eastAsia="Calibri" w:cs="Calibri"/>
                <w:b/>
                <w:bCs/>
                <w:szCs w:val="16"/>
              </w:rPr>
              <w:t>9</w:t>
            </w:r>
          </w:p>
        </w:tc>
        <w:tc>
          <w:tcPr>
            <w:tcW w:w="1521" w:type="dxa"/>
            <w:tcBorders>
              <w:top w:val="single" w:sz="4" w:space="0" w:color="1B556B"/>
              <w:bottom w:val="single" w:sz="4" w:space="0" w:color="1B556B"/>
            </w:tcBorders>
            <w:shd w:val="clear" w:color="auto" w:fill="auto"/>
          </w:tcPr>
          <w:p w14:paraId="4AD0021B"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2018 vehicle survey</w:t>
            </w:r>
          </w:p>
        </w:tc>
        <w:tc>
          <w:tcPr>
            <w:tcW w:w="2709" w:type="dxa"/>
            <w:tcBorders>
              <w:top w:val="single" w:sz="4" w:space="0" w:color="1B556B"/>
              <w:bottom w:val="single" w:sz="4" w:space="0" w:color="1B556B"/>
            </w:tcBorders>
            <w:shd w:val="clear" w:color="auto" w:fill="auto"/>
          </w:tcPr>
          <w:p w14:paraId="28ED99E1"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Photo survey of Tokelau motorised vehicles on-atoll, August–December 2018</w:t>
            </w:r>
          </w:p>
        </w:tc>
        <w:tc>
          <w:tcPr>
            <w:tcW w:w="3708" w:type="dxa"/>
            <w:tcBorders>
              <w:top w:val="single" w:sz="4" w:space="0" w:color="1B556B"/>
              <w:bottom w:val="single" w:sz="4" w:space="0" w:color="1B556B"/>
            </w:tcBorders>
            <w:shd w:val="clear" w:color="auto" w:fill="auto"/>
          </w:tcPr>
          <w:p w14:paraId="3E351EEF"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Personal communication JA Jasperse, TNSO</w:t>
            </w:r>
          </w:p>
        </w:tc>
      </w:tr>
      <w:tr w:rsidR="001B6E40" w:rsidRPr="00261B7A" w14:paraId="5EFE5CD0" w14:textId="77777777" w:rsidTr="00DB5EA9">
        <w:tc>
          <w:tcPr>
            <w:tcW w:w="567" w:type="dxa"/>
            <w:tcBorders>
              <w:top w:val="single" w:sz="4" w:space="0" w:color="1B556B"/>
              <w:bottom w:val="single" w:sz="4" w:space="0" w:color="1B556B"/>
            </w:tcBorders>
            <w:shd w:val="clear" w:color="auto" w:fill="FFFFFF" w:themeFill="background1"/>
          </w:tcPr>
          <w:p w14:paraId="2768EA3B" w14:textId="77777777" w:rsidR="001B6E40" w:rsidRPr="00261B7A" w:rsidRDefault="001B6E40" w:rsidP="003E20AD">
            <w:pPr>
              <w:pStyle w:val="TableText"/>
              <w:spacing w:before="50" w:after="50"/>
              <w:rPr>
                <w:rFonts w:eastAsia="Calibri" w:cs="Calibri"/>
                <w:b/>
                <w:bCs/>
                <w:szCs w:val="16"/>
              </w:rPr>
            </w:pPr>
            <w:r w:rsidRPr="00261B7A">
              <w:rPr>
                <w:rFonts w:eastAsia="Calibri" w:cs="Calibri"/>
                <w:b/>
                <w:bCs/>
                <w:szCs w:val="16"/>
              </w:rPr>
              <w:t>10</w:t>
            </w:r>
          </w:p>
        </w:tc>
        <w:tc>
          <w:tcPr>
            <w:tcW w:w="1521" w:type="dxa"/>
            <w:tcBorders>
              <w:top w:val="single" w:sz="4" w:space="0" w:color="1B556B"/>
              <w:bottom w:val="single" w:sz="4" w:space="0" w:color="1B556B"/>
            </w:tcBorders>
            <w:shd w:val="clear" w:color="auto" w:fill="auto"/>
          </w:tcPr>
          <w:p w14:paraId="7EEEA7CE"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Origin</w:t>
            </w:r>
          </w:p>
        </w:tc>
        <w:tc>
          <w:tcPr>
            <w:tcW w:w="2709" w:type="dxa"/>
            <w:tcBorders>
              <w:top w:val="single" w:sz="4" w:space="0" w:color="1B556B"/>
              <w:bottom w:val="single" w:sz="4" w:space="0" w:color="1B556B"/>
            </w:tcBorders>
            <w:shd w:val="clear" w:color="auto" w:fill="auto"/>
          </w:tcPr>
          <w:p w14:paraId="24A889E4"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Origin Energy Samoa Ltd, Apia</w:t>
            </w:r>
          </w:p>
        </w:tc>
        <w:tc>
          <w:tcPr>
            <w:tcW w:w="3708" w:type="dxa"/>
            <w:tcBorders>
              <w:top w:val="single" w:sz="4" w:space="0" w:color="1B556B"/>
              <w:bottom w:val="single" w:sz="4" w:space="0" w:color="1B556B"/>
            </w:tcBorders>
            <w:shd w:val="clear" w:color="auto" w:fill="auto"/>
          </w:tcPr>
          <w:p w14:paraId="70BEB3A3"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Prices and volumes supplied for on-atoll use of propane for cooking</w:t>
            </w:r>
          </w:p>
        </w:tc>
      </w:tr>
      <w:tr w:rsidR="001B6E40" w:rsidRPr="00261B7A" w14:paraId="6251FC88" w14:textId="77777777" w:rsidTr="00DB5EA9">
        <w:tc>
          <w:tcPr>
            <w:tcW w:w="567" w:type="dxa"/>
            <w:tcBorders>
              <w:top w:val="single" w:sz="4" w:space="0" w:color="1B556B"/>
              <w:bottom w:val="single" w:sz="4" w:space="0" w:color="1B556B"/>
            </w:tcBorders>
            <w:shd w:val="clear" w:color="auto" w:fill="FFFFFF" w:themeFill="background1"/>
          </w:tcPr>
          <w:p w14:paraId="5F3B8747" w14:textId="77777777" w:rsidR="001B6E40" w:rsidRPr="00261B7A" w:rsidRDefault="001B6E40" w:rsidP="003E20AD">
            <w:pPr>
              <w:pStyle w:val="TableText"/>
              <w:keepNext/>
              <w:spacing w:before="50" w:after="50"/>
              <w:rPr>
                <w:rFonts w:eastAsia="Calibri" w:cs="Calibri"/>
                <w:b/>
                <w:bCs/>
                <w:szCs w:val="16"/>
              </w:rPr>
            </w:pPr>
            <w:r w:rsidRPr="00261B7A">
              <w:rPr>
                <w:rFonts w:eastAsia="Calibri" w:cs="Calibri"/>
                <w:b/>
                <w:bCs/>
                <w:szCs w:val="16"/>
              </w:rPr>
              <w:t>11</w:t>
            </w:r>
          </w:p>
        </w:tc>
        <w:tc>
          <w:tcPr>
            <w:tcW w:w="1521" w:type="dxa"/>
            <w:tcBorders>
              <w:top w:val="single" w:sz="4" w:space="0" w:color="1B556B"/>
              <w:bottom w:val="single" w:sz="4" w:space="0" w:color="1B556B"/>
            </w:tcBorders>
            <w:shd w:val="clear" w:color="auto" w:fill="auto"/>
          </w:tcPr>
          <w:p w14:paraId="09C1A855"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PCTrade-Green</w:t>
            </w:r>
          </w:p>
        </w:tc>
        <w:tc>
          <w:tcPr>
            <w:tcW w:w="2709" w:type="dxa"/>
            <w:tcBorders>
              <w:top w:val="single" w:sz="4" w:space="0" w:color="1B556B"/>
              <w:bottom w:val="single" w:sz="4" w:space="0" w:color="1B556B"/>
            </w:tcBorders>
            <w:shd w:val="clear" w:color="auto" w:fill="auto"/>
          </w:tcPr>
          <w:p w14:paraId="656369D1"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Excel version of PCTrade package developed by Stats NZ, Christchurch</w:t>
            </w:r>
          </w:p>
        </w:tc>
        <w:tc>
          <w:tcPr>
            <w:tcW w:w="3708" w:type="dxa"/>
            <w:tcBorders>
              <w:top w:val="single" w:sz="4" w:space="0" w:color="1B556B"/>
              <w:bottom w:val="single" w:sz="4" w:space="0" w:color="1B556B"/>
            </w:tcBorders>
            <w:shd w:val="clear" w:color="auto" w:fill="auto"/>
          </w:tcPr>
          <w:p w14:paraId="31DF65D2"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Used for analysing cargo shipping manifests, providing number of return voyages Apia–Tokelau over time, imports of goods, and exports of recyclables to date (2014 – June 2019 data available)</w:t>
            </w:r>
          </w:p>
        </w:tc>
      </w:tr>
      <w:tr w:rsidR="001B6E40" w:rsidRPr="00261B7A" w14:paraId="2A2280AE" w14:textId="77777777" w:rsidTr="00DB5EA9">
        <w:tc>
          <w:tcPr>
            <w:tcW w:w="567" w:type="dxa"/>
            <w:tcBorders>
              <w:top w:val="single" w:sz="4" w:space="0" w:color="1B556B"/>
              <w:bottom w:val="single" w:sz="4" w:space="0" w:color="1B556B"/>
            </w:tcBorders>
            <w:shd w:val="clear" w:color="auto" w:fill="FFFFFF" w:themeFill="background1"/>
          </w:tcPr>
          <w:p w14:paraId="7E51E60A" w14:textId="77777777" w:rsidR="001B6E40" w:rsidRPr="00261B7A" w:rsidRDefault="001B6E40" w:rsidP="003E20AD">
            <w:pPr>
              <w:pStyle w:val="TableText"/>
              <w:spacing w:before="50" w:after="50"/>
              <w:rPr>
                <w:rFonts w:eastAsia="Calibri" w:cs="Calibri"/>
                <w:b/>
                <w:bCs/>
                <w:szCs w:val="16"/>
              </w:rPr>
            </w:pPr>
            <w:r w:rsidRPr="00261B7A">
              <w:rPr>
                <w:rFonts w:eastAsia="Calibri" w:cs="Calibri"/>
                <w:b/>
                <w:bCs/>
                <w:szCs w:val="16"/>
              </w:rPr>
              <w:t>12</w:t>
            </w:r>
          </w:p>
        </w:tc>
        <w:tc>
          <w:tcPr>
            <w:tcW w:w="1521" w:type="dxa"/>
            <w:tcBorders>
              <w:top w:val="single" w:sz="4" w:space="0" w:color="1B556B"/>
              <w:bottom w:val="single" w:sz="4" w:space="0" w:color="1B556B"/>
            </w:tcBorders>
            <w:shd w:val="clear" w:color="auto" w:fill="auto"/>
          </w:tcPr>
          <w:p w14:paraId="26F2F868"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DoH</w:t>
            </w:r>
          </w:p>
        </w:tc>
        <w:tc>
          <w:tcPr>
            <w:tcW w:w="2709" w:type="dxa"/>
            <w:tcBorders>
              <w:top w:val="single" w:sz="4" w:space="0" w:color="1B556B"/>
              <w:bottom w:val="single" w:sz="4" w:space="0" w:color="1B556B"/>
            </w:tcBorders>
            <w:shd w:val="clear" w:color="auto" w:fill="auto"/>
          </w:tcPr>
          <w:p w14:paraId="5230817A"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Tokelau Department of Health</w:t>
            </w:r>
          </w:p>
        </w:tc>
        <w:tc>
          <w:tcPr>
            <w:tcW w:w="3708" w:type="dxa"/>
            <w:tcBorders>
              <w:top w:val="single" w:sz="4" w:space="0" w:color="1B556B"/>
              <w:bottom w:val="single" w:sz="4" w:space="0" w:color="1B556B"/>
            </w:tcBorders>
            <w:shd w:val="clear" w:color="auto" w:fill="auto"/>
          </w:tcPr>
          <w:p w14:paraId="29E3FB0A"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Anecdotal information on inhalers, laser gas, fire extinguishers</w:t>
            </w:r>
          </w:p>
        </w:tc>
      </w:tr>
      <w:tr w:rsidR="001B6E40" w:rsidRPr="00261B7A" w14:paraId="4D3FFAD4" w14:textId="77777777" w:rsidTr="00DB5EA9">
        <w:tc>
          <w:tcPr>
            <w:tcW w:w="567" w:type="dxa"/>
            <w:tcBorders>
              <w:top w:val="single" w:sz="4" w:space="0" w:color="1B556B"/>
              <w:bottom w:val="single" w:sz="4" w:space="0" w:color="1B556B"/>
            </w:tcBorders>
            <w:shd w:val="clear" w:color="auto" w:fill="FFFFFF" w:themeFill="background1"/>
          </w:tcPr>
          <w:p w14:paraId="08AF6915" w14:textId="77777777" w:rsidR="001B6E40" w:rsidRPr="00261B7A" w:rsidRDefault="001B6E40" w:rsidP="003E20AD">
            <w:pPr>
              <w:pStyle w:val="TableText"/>
              <w:spacing w:before="50" w:after="50"/>
              <w:rPr>
                <w:rFonts w:eastAsia="Calibri" w:cs="Calibri"/>
                <w:b/>
                <w:bCs/>
                <w:szCs w:val="16"/>
              </w:rPr>
            </w:pPr>
            <w:r w:rsidRPr="00261B7A">
              <w:rPr>
                <w:rFonts w:eastAsia="Calibri" w:cs="Calibri"/>
                <w:b/>
                <w:bCs/>
                <w:szCs w:val="16"/>
              </w:rPr>
              <w:t>13</w:t>
            </w:r>
          </w:p>
        </w:tc>
        <w:tc>
          <w:tcPr>
            <w:tcW w:w="1521" w:type="dxa"/>
            <w:tcBorders>
              <w:top w:val="single" w:sz="4" w:space="0" w:color="1B556B"/>
              <w:bottom w:val="single" w:sz="4" w:space="0" w:color="1B556B"/>
            </w:tcBorders>
            <w:shd w:val="clear" w:color="auto" w:fill="auto"/>
          </w:tcPr>
          <w:p w14:paraId="4C5F0440"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TSS</w:t>
            </w:r>
          </w:p>
        </w:tc>
        <w:tc>
          <w:tcPr>
            <w:tcW w:w="2709" w:type="dxa"/>
            <w:tcBorders>
              <w:top w:val="single" w:sz="4" w:space="0" w:color="1B556B"/>
              <w:bottom w:val="single" w:sz="4" w:space="0" w:color="1B556B"/>
            </w:tcBorders>
            <w:shd w:val="clear" w:color="auto" w:fill="auto"/>
          </w:tcPr>
          <w:p w14:paraId="7432D8DF"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Tokelau Department of Transport and Support Services, Apia</w:t>
            </w:r>
          </w:p>
        </w:tc>
        <w:tc>
          <w:tcPr>
            <w:tcW w:w="3708" w:type="dxa"/>
            <w:tcBorders>
              <w:top w:val="single" w:sz="4" w:space="0" w:color="1B556B"/>
              <w:bottom w:val="single" w:sz="4" w:space="0" w:color="1B556B"/>
            </w:tcBorders>
            <w:shd w:val="clear" w:color="auto" w:fill="auto"/>
          </w:tcPr>
          <w:p w14:paraId="5DB6EA1B" w14:textId="77777777" w:rsidR="001B6E40" w:rsidRPr="00261B7A" w:rsidRDefault="001B6E40" w:rsidP="003E20AD">
            <w:pPr>
              <w:pStyle w:val="TableText"/>
              <w:spacing w:before="50" w:after="50"/>
              <w:rPr>
                <w:rFonts w:eastAsia="Calibri" w:cs="Calibri"/>
                <w:szCs w:val="16"/>
              </w:rPr>
            </w:pPr>
            <w:r w:rsidRPr="00261B7A">
              <w:rPr>
                <w:rFonts w:eastAsia="Calibri" w:cs="Calibri"/>
                <w:szCs w:val="16"/>
              </w:rPr>
              <w:t>Cargo shipping manifests for analysis of imports of all goods, and export of recyclables</w:t>
            </w:r>
          </w:p>
        </w:tc>
      </w:tr>
      <w:tr w:rsidR="001B6E40" w:rsidRPr="00261B7A" w14:paraId="5945AEFF" w14:textId="77777777" w:rsidTr="00DB5EA9">
        <w:tc>
          <w:tcPr>
            <w:tcW w:w="567" w:type="dxa"/>
            <w:tcBorders>
              <w:top w:val="single" w:sz="4" w:space="0" w:color="1B556B"/>
              <w:bottom w:val="single" w:sz="4" w:space="0" w:color="1B556B"/>
            </w:tcBorders>
            <w:shd w:val="clear" w:color="auto" w:fill="FFFFFF" w:themeFill="background1"/>
          </w:tcPr>
          <w:p w14:paraId="2A867BDF" w14:textId="77777777" w:rsidR="001B6E40" w:rsidRPr="00261B7A" w:rsidRDefault="001B6E40" w:rsidP="003E20AD">
            <w:pPr>
              <w:pStyle w:val="TableTextBold"/>
              <w:keepNext/>
              <w:spacing w:before="50"/>
              <w:rPr>
                <w:rFonts w:eastAsia="Calibri"/>
                <w:noProof w:val="0"/>
              </w:rPr>
            </w:pPr>
            <w:r w:rsidRPr="00261B7A">
              <w:rPr>
                <w:rFonts w:eastAsia="Calibri"/>
                <w:noProof w:val="0"/>
              </w:rPr>
              <w:t>14</w:t>
            </w:r>
          </w:p>
        </w:tc>
        <w:tc>
          <w:tcPr>
            <w:tcW w:w="1521" w:type="dxa"/>
            <w:tcBorders>
              <w:top w:val="single" w:sz="4" w:space="0" w:color="1B556B"/>
              <w:bottom w:val="single" w:sz="4" w:space="0" w:color="1B556B"/>
            </w:tcBorders>
            <w:shd w:val="clear" w:color="auto" w:fill="auto"/>
          </w:tcPr>
          <w:p w14:paraId="044AE039" w14:textId="77777777" w:rsidR="001B6E40" w:rsidRPr="00261B7A" w:rsidRDefault="001B6E40" w:rsidP="003E20AD">
            <w:pPr>
              <w:pStyle w:val="TableText"/>
              <w:keepNext/>
              <w:spacing w:before="50"/>
              <w:rPr>
                <w:rFonts w:eastAsia="Calibri" w:cs="Calibri"/>
                <w:szCs w:val="16"/>
              </w:rPr>
            </w:pPr>
            <w:r w:rsidRPr="00261B7A">
              <w:rPr>
                <w:rFonts w:eastAsia="Calibri" w:cs="Calibri"/>
                <w:szCs w:val="16"/>
              </w:rPr>
              <w:t>2014 Imports study</w:t>
            </w:r>
          </w:p>
        </w:tc>
        <w:tc>
          <w:tcPr>
            <w:tcW w:w="2709" w:type="dxa"/>
            <w:tcBorders>
              <w:top w:val="single" w:sz="4" w:space="0" w:color="1B556B"/>
              <w:bottom w:val="single" w:sz="4" w:space="0" w:color="1B556B"/>
            </w:tcBorders>
            <w:shd w:val="clear" w:color="auto" w:fill="auto"/>
          </w:tcPr>
          <w:p w14:paraId="4788A5C0" w14:textId="77777777" w:rsidR="001B6E40" w:rsidRPr="00261B7A" w:rsidRDefault="001B6E40" w:rsidP="003E20AD">
            <w:pPr>
              <w:pStyle w:val="TableText"/>
              <w:keepNext/>
              <w:spacing w:before="50"/>
              <w:rPr>
                <w:rFonts w:eastAsia="Calibri" w:cs="Calibri"/>
                <w:szCs w:val="16"/>
              </w:rPr>
            </w:pPr>
            <w:r w:rsidRPr="00261B7A">
              <w:rPr>
                <w:rFonts w:eastAsia="Calibri" w:cs="Calibri"/>
                <w:szCs w:val="16"/>
              </w:rPr>
              <w:t>Jasperse</w:t>
            </w:r>
            <w:r w:rsidRPr="00261B7A">
              <w:rPr>
                <w:rFonts w:eastAsia="Calibri" w:cs="Calibri"/>
                <w:i/>
                <w:iCs/>
                <w:szCs w:val="16"/>
              </w:rPr>
              <w:t xml:space="preserve"> </w:t>
            </w:r>
            <w:r w:rsidRPr="00261B7A">
              <w:rPr>
                <w:rFonts w:eastAsia="Calibri" w:cs="Calibri"/>
                <w:szCs w:val="16"/>
              </w:rPr>
              <w:t xml:space="preserve">JA. 2016. </w:t>
            </w:r>
            <w:r w:rsidRPr="00261B7A">
              <w:rPr>
                <w:rFonts w:eastAsia="Calibri" w:cs="Calibri"/>
                <w:i/>
                <w:iCs/>
                <w:szCs w:val="16"/>
              </w:rPr>
              <w:t>Analysis of 2014 imports into Tokelau from Samoa, Part 2: Stores’ invoices reconciled with cargo manifests, and quality of life implications</w:t>
            </w:r>
            <w:r w:rsidRPr="00261B7A">
              <w:rPr>
                <w:rFonts w:eastAsia="Calibri" w:cs="Calibri"/>
                <w:szCs w:val="16"/>
              </w:rPr>
              <w:t xml:space="preserve">, Tokelau National Statistics Office </w:t>
            </w:r>
          </w:p>
        </w:tc>
        <w:tc>
          <w:tcPr>
            <w:tcW w:w="3708" w:type="dxa"/>
            <w:tcBorders>
              <w:top w:val="single" w:sz="4" w:space="0" w:color="1B556B"/>
              <w:bottom w:val="single" w:sz="4" w:space="0" w:color="1B556B"/>
            </w:tcBorders>
            <w:shd w:val="clear" w:color="auto" w:fill="auto"/>
          </w:tcPr>
          <w:p w14:paraId="604B95AF" w14:textId="77777777" w:rsidR="001B6E40" w:rsidRPr="00261B7A" w:rsidRDefault="001B6E40" w:rsidP="003E20AD">
            <w:pPr>
              <w:pStyle w:val="TableText"/>
              <w:keepNext/>
              <w:spacing w:before="50" w:after="0"/>
              <w:rPr>
                <w:rFonts w:eastAsia="Calibri" w:cs="Calibri"/>
                <w:szCs w:val="16"/>
              </w:rPr>
            </w:pPr>
            <w:r w:rsidRPr="00261B7A">
              <w:rPr>
                <w:rFonts w:eastAsia="Calibri" w:cs="Calibri"/>
                <w:szCs w:val="16"/>
              </w:rPr>
              <w:t>Various Energy and Waste sector data, for example, calculation of per capita protein consumption</w:t>
            </w:r>
          </w:p>
          <w:p w14:paraId="4EBA39BC" w14:textId="77777777" w:rsidR="001B6E40" w:rsidRPr="00261B7A" w:rsidRDefault="007E17B8" w:rsidP="003E20AD">
            <w:pPr>
              <w:pStyle w:val="TableText"/>
              <w:keepNext/>
              <w:spacing w:before="0"/>
              <w:rPr>
                <w:rFonts w:eastAsia="Calibri" w:cs="Calibri"/>
                <w:szCs w:val="16"/>
              </w:rPr>
            </w:pPr>
            <w:hyperlink r:id="rId250" w:history="1">
              <w:r w:rsidR="001B6E40" w:rsidRPr="00261B7A">
                <w:rPr>
                  <w:rStyle w:val="Hyperlink"/>
                  <w:rFonts w:eastAsia="Calibri" w:cs="Calibri"/>
                  <w:szCs w:val="16"/>
                </w:rPr>
                <w:t>www.tokelau.org.nz/Bulletin/September+2016/2014+imports+final.html</w:t>
              </w:r>
            </w:hyperlink>
          </w:p>
        </w:tc>
      </w:tr>
      <w:tr w:rsidR="001B6E40" w:rsidRPr="00261B7A" w14:paraId="7C71514D" w14:textId="77777777" w:rsidTr="00DB5EA9">
        <w:tc>
          <w:tcPr>
            <w:tcW w:w="567" w:type="dxa"/>
            <w:tcBorders>
              <w:top w:val="single" w:sz="4" w:space="0" w:color="1B556B"/>
              <w:bottom w:val="single" w:sz="4" w:space="0" w:color="1B556B"/>
            </w:tcBorders>
            <w:shd w:val="clear" w:color="auto" w:fill="FFFFFF" w:themeFill="background1"/>
          </w:tcPr>
          <w:p w14:paraId="61575456" w14:textId="77777777" w:rsidR="001B6E40" w:rsidRPr="00261B7A" w:rsidRDefault="001B6E40" w:rsidP="003E20AD">
            <w:pPr>
              <w:pStyle w:val="TableText"/>
              <w:spacing w:before="50"/>
              <w:rPr>
                <w:rFonts w:eastAsia="Calibri" w:cs="Calibri"/>
                <w:b/>
                <w:bCs/>
                <w:szCs w:val="16"/>
              </w:rPr>
            </w:pPr>
            <w:r w:rsidRPr="00261B7A">
              <w:rPr>
                <w:rFonts w:eastAsia="Calibri" w:cs="Calibri"/>
                <w:b/>
                <w:bCs/>
                <w:szCs w:val="16"/>
              </w:rPr>
              <w:t>15</w:t>
            </w:r>
          </w:p>
        </w:tc>
        <w:tc>
          <w:tcPr>
            <w:tcW w:w="1521" w:type="dxa"/>
            <w:tcBorders>
              <w:top w:val="single" w:sz="4" w:space="0" w:color="1B556B"/>
              <w:bottom w:val="single" w:sz="4" w:space="0" w:color="1B556B"/>
            </w:tcBorders>
            <w:shd w:val="clear" w:color="auto" w:fill="auto"/>
          </w:tcPr>
          <w:p w14:paraId="6E4B5010" w14:textId="77777777" w:rsidR="001B6E40" w:rsidRPr="00261B7A" w:rsidRDefault="001B6E40" w:rsidP="003E20AD">
            <w:pPr>
              <w:pStyle w:val="TableText"/>
              <w:spacing w:before="50"/>
              <w:rPr>
                <w:rFonts w:eastAsia="Calibri" w:cs="Calibri"/>
                <w:szCs w:val="16"/>
              </w:rPr>
            </w:pPr>
            <w:r w:rsidRPr="00261B7A">
              <w:rPr>
                <w:rFonts w:eastAsia="Calibri" w:cs="Calibri"/>
                <w:szCs w:val="16"/>
              </w:rPr>
              <w:t>EDNRE</w:t>
            </w:r>
          </w:p>
        </w:tc>
        <w:tc>
          <w:tcPr>
            <w:tcW w:w="2709" w:type="dxa"/>
            <w:tcBorders>
              <w:top w:val="single" w:sz="4" w:space="0" w:color="1B556B"/>
              <w:bottom w:val="single" w:sz="4" w:space="0" w:color="1B556B"/>
            </w:tcBorders>
            <w:shd w:val="clear" w:color="auto" w:fill="auto"/>
          </w:tcPr>
          <w:p w14:paraId="5A4B7A6F" w14:textId="77777777" w:rsidR="001B6E40" w:rsidRPr="00261B7A" w:rsidRDefault="001B6E40" w:rsidP="003E20AD">
            <w:pPr>
              <w:pStyle w:val="TableText"/>
              <w:spacing w:before="50"/>
              <w:rPr>
                <w:rFonts w:eastAsia="Calibri" w:cs="Calibri"/>
                <w:szCs w:val="16"/>
              </w:rPr>
            </w:pPr>
            <w:r w:rsidRPr="00261B7A">
              <w:rPr>
                <w:rFonts w:eastAsia="Calibri" w:cs="Calibri"/>
                <w:szCs w:val="16"/>
              </w:rPr>
              <w:t>Tokelau Department of Economic Development, Natural Resources and Environment</w:t>
            </w:r>
          </w:p>
        </w:tc>
        <w:tc>
          <w:tcPr>
            <w:tcW w:w="3708" w:type="dxa"/>
            <w:tcBorders>
              <w:top w:val="single" w:sz="4" w:space="0" w:color="1B556B"/>
              <w:bottom w:val="single" w:sz="4" w:space="0" w:color="1B556B"/>
            </w:tcBorders>
            <w:shd w:val="clear" w:color="auto" w:fill="auto"/>
          </w:tcPr>
          <w:p w14:paraId="1CA4E1A6" w14:textId="77777777" w:rsidR="001B6E40" w:rsidRPr="00261B7A" w:rsidRDefault="001B6E40" w:rsidP="003E20AD">
            <w:pPr>
              <w:pStyle w:val="TableText"/>
              <w:spacing w:before="50"/>
              <w:rPr>
                <w:rFonts w:eastAsia="Calibri" w:cs="Calibri"/>
                <w:szCs w:val="16"/>
              </w:rPr>
            </w:pPr>
            <w:r w:rsidRPr="00261B7A">
              <w:rPr>
                <w:rFonts w:eastAsia="Calibri" w:cs="Calibri"/>
                <w:szCs w:val="16"/>
              </w:rPr>
              <w:t>Anecdotal information on waste disposal and export</w:t>
            </w:r>
          </w:p>
        </w:tc>
      </w:tr>
      <w:tr w:rsidR="001B6E40" w:rsidRPr="00261B7A" w14:paraId="779EC2B5" w14:textId="77777777" w:rsidTr="00DB5EA9">
        <w:tc>
          <w:tcPr>
            <w:tcW w:w="567" w:type="dxa"/>
            <w:tcBorders>
              <w:top w:val="single" w:sz="4" w:space="0" w:color="1B556B"/>
              <w:bottom w:val="single" w:sz="4" w:space="0" w:color="1B556B"/>
            </w:tcBorders>
            <w:shd w:val="clear" w:color="auto" w:fill="FFFFFF" w:themeFill="background1"/>
          </w:tcPr>
          <w:p w14:paraId="2248F96D" w14:textId="77777777" w:rsidR="001B6E40" w:rsidRPr="00261B7A" w:rsidRDefault="001B6E40" w:rsidP="003E20AD">
            <w:pPr>
              <w:pStyle w:val="TableText"/>
              <w:spacing w:before="50"/>
              <w:rPr>
                <w:rFonts w:eastAsia="Calibri" w:cs="Calibri"/>
                <w:b/>
                <w:bCs/>
                <w:szCs w:val="16"/>
              </w:rPr>
            </w:pPr>
            <w:r w:rsidRPr="00261B7A">
              <w:rPr>
                <w:rFonts w:eastAsia="Calibri" w:cs="Calibri"/>
                <w:b/>
                <w:bCs/>
                <w:szCs w:val="16"/>
              </w:rPr>
              <w:t>16</w:t>
            </w:r>
          </w:p>
        </w:tc>
        <w:tc>
          <w:tcPr>
            <w:tcW w:w="1521" w:type="dxa"/>
            <w:tcBorders>
              <w:top w:val="single" w:sz="4" w:space="0" w:color="1B556B"/>
              <w:bottom w:val="single" w:sz="4" w:space="0" w:color="1B556B"/>
            </w:tcBorders>
            <w:shd w:val="clear" w:color="auto" w:fill="auto"/>
          </w:tcPr>
          <w:p w14:paraId="64958736" w14:textId="77777777" w:rsidR="001B6E40" w:rsidRPr="00261B7A" w:rsidRDefault="001B6E40" w:rsidP="003E20AD">
            <w:pPr>
              <w:pStyle w:val="TableText"/>
              <w:spacing w:before="50"/>
              <w:rPr>
                <w:rFonts w:eastAsia="Calibri" w:cs="Calibri"/>
                <w:szCs w:val="16"/>
              </w:rPr>
            </w:pPr>
            <w:r w:rsidRPr="00261B7A">
              <w:rPr>
                <w:rFonts w:eastAsia="Calibri" w:cs="Calibri"/>
                <w:szCs w:val="16"/>
              </w:rPr>
              <w:t>PCRAFI</w:t>
            </w:r>
          </w:p>
        </w:tc>
        <w:tc>
          <w:tcPr>
            <w:tcW w:w="2709" w:type="dxa"/>
            <w:tcBorders>
              <w:top w:val="single" w:sz="4" w:space="0" w:color="1B556B"/>
              <w:bottom w:val="single" w:sz="4" w:space="0" w:color="1B556B"/>
            </w:tcBorders>
            <w:shd w:val="clear" w:color="auto" w:fill="auto"/>
          </w:tcPr>
          <w:p w14:paraId="577120CC" w14:textId="77777777" w:rsidR="001B6E40" w:rsidRPr="00261B7A" w:rsidRDefault="001B6E40" w:rsidP="003E20AD">
            <w:pPr>
              <w:pStyle w:val="TableText"/>
              <w:spacing w:before="50"/>
              <w:rPr>
                <w:rFonts w:eastAsia="Calibri" w:cs="Calibri"/>
                <w:szCs w:val="16"/>
              </w:rPr>
            </w:pPr>
            <w:r w:rsidRPr="00261B7A">
              <w:rPr>
                <w:rFonts w:eastAsia="Calibri" w:cs="Calibri"/>
                <w:szCs w:val="16"/>
              </w:rPr>
              <w:t>Koroisamanunu Iva,</w:t>
            </w:r>
            <w:r w:rsidRPr="00261B7A" w:rsidDel="006A47B0">
              <w:rPr>
                <w:rFonts w:eastAsia="Calibri" w:cs="Calibri"/>
                <w:szCs w:val="16"/>
              </w:rPr>
              <w:t xml:space="preserve"> </w:t>
            </w:r>
            <w:r w:rsidRPr="00261B7A">
              <w:rPr>
                <w:rFonts w:eastAsia="Calibri" w:cs="Calibri"/>
                <w:szCs w:val="16"/>
              </w:rPr>
              <w:t>Papao J,</w:t>
            </w:r>
            <w:r w:rsidRPr="00261B7A" w:rsidDel="00496114">
              <w:rPr>
                <w:rFonts w:eastAsia="Calibri" w:cs="Calibri"/>
                <w:szCs w:val="16"/>
              </w:rPr>
              <w:t xml:space="preserve"> </w:t>
            </w:r>
            <w:r w:rsidRPr="00261B7A">
              <w:rPr>
                <w:rFonts w:eastAsia="Calibri" w:cs="Calibri"/>
                <w:szCs w:val="16"/>
              </w:rPr>
              <w:t>Ketewai M,</w:t>
            </w:r>
            <w:r w:rsidRPr="00261B7A" w:rsidDel="00496114">
              <w:rPr>
                <w:rFonts w:eastAsia="Calibri" w:cs="Calibri"/>
                <w:szCs w:val="16"/>
              </w:rPr>
              <w:t xml:space="preserve"> </w:t>
            </w:r>
            <w:r w:rsidRPr="00261B7A">
              <w:rPr>
                <w:rFonts w:eastAsia="Calibri" w:cs="Calibri"/>
                <w:szCs w:val="16"/>
              </w:rPr>
              <w:t xml:space="preserve">Sokota A. 2014. </w:t>
            </w:r>
            <w:r w:rsidRPr="00261B7A">
              <w:rPr>
                <w:rFonts w:eastAsia="Calibri" w:cs="Calibri"/>
                <w:i/>
                <w:iCs/>
                <w:szCs w:val="16"/>
              </w:rPr>
              <w:t>Tokelau Mission Preliminary Report (Fieldwork undertaken from 8 August – 2 September 2013). SOPAC technical note (PR193)</w:t>
            </w:r>
            <w:r w:rsidRPr="00261B7A">
              <w:rPr>
                <w:rFonts w:eastAsia="Calibri" w:cs="Calibri"/>
                <w:szCs w:val="16"/>
              </w:rPr>
              <w:t>. Water and Sanitation Programme and Disaster Reduction Programme. Applied Geoscience and Technology Division (SOPAC), Suva, Fiji Islands</w:t>
            </w:r>
          </w:p>
        </w:tc>
        <w:tc>
          <w:tcPr>
            <w:tcW w:w="3708" w:type="dxa"/>
            <w:tcBorders>
              <w:top w:val="single" w:sz="4" w:space="0" w:color="1B556B"/>
              <w:bottom w:val="single" w:sz="4" w:space="0" w:color="1B556B"/>
            </w:tcBorders>
            <w:shd w:val="clear" w:color="auto" w:fill="auto"/>
          </w:tcPr>
          <w:p w14:paraId="2A040774" w14:textId="77777777" w:rsidR="001B6E40" w:rsidRPr="00261B7A" w:rsidRDefault="001B6E40" w:rsidP="003E20AD">
            <w:pPr>
              <w:pStyle w:val="TableText"/>
              <w:spacing w:before="50"/>
              <w:rPr>
                <w:rFonts w:eastAsia="Calibri" w:cs="Calibri"/>
                <w:szCs w:val="16"/>
              </w:rPr>
            </w:pPr>
            <w:r w:rsidRPr="00261B7A">
              <w:rPr>
                <w:rFonts w:eastAsia="Calibri" w:cs="Calibri"/>
                <w:szCs w:val="16"/>
              </w:rPr>
              <w:t>Information on drinking water, wastewater and sanitation</w:t>
            </w:r>
          </w:p>
        </w:tc>
      </w:tr>
      <w:tr w:rsidR="001B6E40" w:rsidRPr="00261B7A" w14:paraId="139BE9EA" w14:textId="77777777" w:rsidTr="00DB5EA9">
        <w:tc>
          <w:tcPr>
            <w:tcW w:w="567" w:type="dxa"/>
            <w:tcBorders>
              <w:top w:val="single" w:sz="4" w:space="0" w:color="1B556B"/>
              <w:bottom w:val="single" w:sz="4" w:space="0" w:color="1B556B"/>
            </w:tcBorders>
            <w:shd w:val="clear" w:color="auto" w:fill="FFFFFF" w:themeFill="background1"/>
          </w:tcPr>
          <w:p w14:paraId="20A0843B" w14:textId="77777777" w:rsidR="001B6E40" w:rsidRPr="00261B7A" w:rsidRDefault="001B6E40" w:rsidP="003E20AD">
            <w:pPr>
              <w:pStyle w:val="TableText"/>
              <w:spacing w:before="50"/>
              <w:rPr>
                <w:rFonts w:eastAsia="Calibri" w:cs="Calibri"/>
                <w:b/>
                <w:bCs/>
                <w:szCs w:val="16"/>
              </w:rPr>
            </w:pPr>
            <w:r w:rsidRPr="00261B7A">
              <w:rPr>
                <w:rFonts w:eastAsia="Calibri" w:cs="Calibri"/>
                <w:b/>
                <w:bCs/>
                <w:szCs w:val="16"/>
              </w:rPr>
              <w:t>17</w:t>
            </w:r>
          </w:p>
        </w:tc>
        <w:tc>
          <w:tcPr>
            <w:tcW w:w="1521" w:type="dxa"/>
            <w:tcBorders>
              <w:top w:val="single" w:sz="4" w:space="0" w:color="1B556B"/>
              <w:bottom w:val="single" w:sz="4" w:space="0" w:color="1B556B"/>
            </w:tcBorders>
            <w:shd w:val="clear" w:color="auto" w:fill="auto"/>
          </w:tcPr>
          <w:p w14:paraId="48FD8341" w14:textId="77777777" w:rsidR="001B6E40" w:rsidRPr="00261B7A" w:rsidRDefault="001B6E40" w:rsidP="003E20AD">
            <w:pPr>
              <w:pStyle w:val="TableText"/>
              <w:spacing w:before="50"/>
              <w:rPr>
                <w:rFonts w:eastAsia="Calibri" w:cs="Calibri"/>
                <w:szCs w:val="16"/>
              </w:rPr>
            </w:pPr>
            <w:r w:rsidRPr="00261B7A">
              <w:rPr>
                <w:rFonts w:eastAsia="Calibri" w:cs="Calibri"/>
                <w:szCs w:val="16"/>
              </w:rPr>
              <w:t>MiCORE</w:t>
            </w:r>
          </w:p>
        </w:tc>
        <w:tc>
          <w:tcPr>
            <w:tcW w:w="2709" w:type="dxa"/>
            <w:tcBorders>
              <w:top w:val="single" w:sz="4" w:space="0" w:color="1B556B"/>
              <w:bottom w:val="single" w:sz="4" w:space="0" w:color="1B556B"/>
            </w:tcBorders>
            <w:shd w:val="clear" w:color="auto" w:fill="auto"/>
          </w:tcPr>
          <w:p w14:paraId="40A13AD1" w14:textId="77777777" w:rsidR="001B6E40" w:rsidRPr="00261B7A" w:rsidRDefault="001B6E40" w:rsidP="003E20AD">
            <w:pPr>
              <w:pStyle w:val="TableText"/>
              <w:spacing w:before="50"/>
              <w:rPr>
                <w:rFonts w:eastAsia="Calibri" w:cs="Calibri"/>
                <w:szCs w:val="16"/>
              </w:rPr>
            </w:pPr>
            <w:r w:rsidRPr="00261B7A">
              <w:rPr>
                <w:rFonts w:eastAsia="Calibri" w:cs="Calibri"/>
                <w:szCs w:val="16"/>
              </w:rPr>
              <w:t>Tokelau Ministry of Climate, Oceans and Resilience</w:t>
            </w:r>
          </w:p>
        </w:tc>
        <w:tc>
          <w:tcPr>
            <w:tcW w:w="3708" w:type="dxa"/>
            <w:tcBorders>
              <w:top w:val="single" w:sz="4" w:space="0" w:color="1B556B"/>
              <w:bottom w:val="single" w:sz="4" w:space="0" w:color="1B556B"/>
            </w:tcBorders>
            <w:shd w:val="clear" w:color="auto" w:fill="auto"/>
          </w:tcPr>
          <w:p w14:paraId="045A347A" w14:textId="77777777" w:rsidR="001B6E40" w:rsidRPr="00261B7A" w:rsidRDefault="001B6E40" w:rsidP="003E20AD">
            <w:pPr>
              <w:pStyle w:val="TableText"/>
              <w:spacing w:before="50"/>
              <w:rPr>
                <w:rFonts w:eastAsia="Calibri" w:cs="Calibri"/>
                <w:szCs w:val="16"/>
              </w:rPr>
            </w:pPr>
            <w:r w:rsidRPr="00261B7A">
              <w:rPr>
                <w:rFonts w:eastAsia="Calibri" w:cs="Calibri"/>
                <w:szCs w:val="16"/>
              </w:rPr>
              <w:t>Partner to Memorandum of Understanding with New Zealand Ministry for the Environment leading to the present inventory</w:t>
            </w:r>
          </w:p>
        </w:tc>
      </w:tr>
    </w:tbl>
    <w:p w14:paraId="5F697552" w14:textId="77777777" w:rsidR="001B6E40" w:rsidRPr="00261B7A" w:rsidRDefault="001B6E40" w:rsidP="001B6E40">
      <w:pPr>
        <w:pStyle w:val="Heading5"/>
        <w:spacing w:before="360"/>
      </w:pPr>
      <w:r w:rsidRPr="00261B7A">
        <w:t>Tokelau’s data and information in the Common Reporting Format Reporter</w:t>
      </w:r>
    </w:p>
    <w:p w14:paraId="6BC6B748" w14:textId="77777777" w:rsidR="001B6E40" w:rsidRPr="00261B7A" w:rsidRDefault="001B6E40" w:rsidP="001B6E40">
      <w:pPr>
        <w:pStyle w:val="BodyText"/>
      </w:pPr>
      <w:r w:rsidRPr="00261B7A">
        <w:t xml:space="preserve">The methodologies for estimating emissions in Tokelau and New Zealand differ, so adding Tokelau and New Zealand’s activity data at a category level and estimating combined emissions within each category is currently not possible. Due to limitations of the CRF software, including specific categories for Tokelau consistently across all inventory sectors is also not possible. </w:t>
      </w:r>
    </w:p>
    <w:p w14:paraId="417245F5" w14:textId="77777777" w:rsidR="001B6E40" w:rsidRPr="00261B7A" w:rsidRDefault="001B6E40" w:rsidP="001B6E40">
      <w:pPr>
        <w:pStyle w:val="BodyText"/>
      </w:pPr>
      <w:r w:rsidRPr="00261B7A">
        <w:t xml:space="preserve">Tokelau requested New Zealand’s inventory team to maintain visibility of the data from Tokelau in the CRF, so that Tokelau officials could use them for other reporting and policy purposes. Reporting Tokelau as a different inventory sector provides this visibility. </w:t>
      </w:r>
    </w:p>
    <w:p w14:paraId="57F2AB22" w14:textId="77777777" w:rsidR="001B6E40" w:rsidRPr="00261B7A" w:rsidRDefault="001B6E40" w:rsidP="001B6E40">
      <w:pPr>
        <w:pStyle w:val="BodyText"/>
      </w:pPr>
      <w:r w:rsidRPr="00261B7A">
        <w:t xml:space="preserve">To maintain transparency of the inventory and visibility of the GHG data from Tokelau, CRF sector 6 (Other) was used to present emissions from Tokelau by sector in the CRF. Currently, the CRF Reporter does not allow the creation of lower-level categories in sector 6. To avoid double counting in the CRF, the data and information are aggregated for each of the Energy, IPPU, Agriculture and Waste sectors. In addition, annex 7 includes detailed tables with time series from 1990 to 2020 for each category reported for Tokelau. For comparability reasons, these tables are in the same format as the CRF entry tables, and the table names follow the CRF naming convention for emission categories. The executive summary and chapter 2 of the National Inventory Report include comparisons between Tokelau and New Zealand’s emissions. </w:t>
      </w:r>
    </w:p>
    <w:p w14:paraId="139C1D1B" w14:textId="77777777" w:rsidR="001B6E40" w:rsidRPr="00261B7A" w:rsidRDefault="001B6E40" w:rsidP="001B6E40">
      <w:pPr>
        <w:pStyle w:val="Heading3"/>
      </w:pPr>
      <w:r w:rsidRPr="00261B7A">
        <w:t xml:space="preserve">8.1.3 </w:t>
      </w:r>
      <w:r w:rsidRPr="00261B7A">
        <w:tab/>
        <w:t xml:space="preserve">Emissions reporting </w:t>
      </w:r>
    </w:p>
    <w:p w14:paraId="671561E8" w14:textId="77777777" w:rsidR="001B6E40" w:rsidRPr="00261B7A" w:rsidRDefault="001B6E40" w:rsidP="001B6E40">
      <w:pPr>
        <w:pStyle w:val="BodyText"/>
      </w:pPr>
      <w:r w:rsidRPr="00261B7A">
        <w:t>Due to the small land size area, small population and absence of industry, Tokelau has a very low impact on the environment and emits very small amounts of GHGs. The total amount of all GHGs from all sources in Tokelau in 2021 was 3.78 kilotonnes carbon dioxide equivalent (kt CO</w:t>
      </w:r>
      <w:r w:rsidRPr="00261B7A">
        <w:rPr>
          <w:vertAlign w:val="subscript"/>
        </w:rPr>
        <w:t>2</w:t>
      </w:r>
      <w:r w:rsidRPr="00261B7A">
        <w:t>-e), contributing around 0.005 per cent to New Zealand’s gross emissions. This is below the significance threshold as defined in paragraph 37(b) of the UNFCCC reporting guidelines for GHG inventories (UNFCCC, 2014). The emissions in Tokelau are limited to:</w:t>
      </w:r>
    </w:p>
    <w:p w14:paraId="3A59FDF6" w14:textId="77777777" w:rsidR="001B6E40" w:rsidRPr="00261B7A" w:rsidRDefault="001B6E40" w:rsidP="001B6E40">
      <w:pPr>
        <w:pStyle w:val="Bullet"/>
      </w:pPr>
      <w:r w:rsidRPr="00261B7A">
        <w:t>carbon dioxide (CO</w:t>
      </w:r>
      <w:r w:rsidRPr="00261B7A">
        <w:rPr>
          <w:vertAlign w:val="subscript"/>
        </w:rPr>
        <w:t>2</w:t>
      </w:r>
      <w:r w:rsidRPr="00261B7A">
        <w:t>) from boat engines and vehicles</w:t>
      </w:r>
    </w:p>
    <w:p w14:paraId="2970A9CC" w14:textId="77777777" w:rsidR="001B6E40" w:rsidRPr="00261B7A" w:rsidRDefault="001B6E40" w:rsidP="001B6E40">
      <w:pPr>
        <w:pStyle w:val="Bullet"/>
      </w:pPr>
      <w:r w:rsidRPr="00261B7A">
        <w:t>CO</w:t>
      </w:r>
      <w:r w:rsidRPr="00261B7A">
        <w:rPr>
          <w:vertAlign w:val="subscript"/>
        </w:rPr>
        <w:t>2</w:t>
      </w:r>
      <w:r w:rsidRPr="00261B7A">
        <w:t xml:space="preserve"> from back-up power generators</w:t>
      </w:r>
    </w:p>
    <w:p w14:paraId="622ED25F" w14:textId="77777777" w:rsidR="001B6E40" w:rsidRPr="00261B7A" w:rsidRDefault="001B6E40" w:rsidP="001B6E40">
      <w:pPr>
        <w:pStyle w:val="Bullet"/>
      </w:pPr>
      <w:r w:rsidRPr="00261B7A">
        <w:t>fluorinated gases from the use of refrigerants</w:t>
      </w:r>
    </w:p>
    <w:p w14:paraId="3949697E" w14:textId="77777777" w:rsidR="001B6E40" w:rsidRPr="00261B7A" w:rsidRDefault="001B6E40" w:rsidP="001B6E40">
      <w:pPr>
        <w:pStyle w:val="Bullet"/>
      </w:pPr>
      <w:r w:rsidRPr="00261B7A">
        <w:t>methane (CH</w:t>
      </w:r>
      <w:r w:rsidRPr="00261B7A">
        <w:rPr>
          <w:vertAlign w:val="subscript"/>
        </w:rPr>
        <w:t>4</w:t>
      </w:r>
      <w:r w:rsidRPr="00261B7A">
        <w:t>) and nitrous oxide (N</w:t>
      </w:r>
      <w:r w:rsidRPr="00261B7A">
        <w:rPr>
          <w:vertAlign w:val="subscript"/>
        </w:rPr>
        <w:t>2</w:t>
      </w:r>
      <w:r w:rsidRPr="00261B7A">
        <w:t>O) from livestock (pigs and poultry)</w:t>
      </w:r>
    </w:p>
    <w:p w14:paraId="5060DE97" w14:textId="77777777" w:rsidR="001B6E40" w:rsidRPr="00261B7A" w:rsidRDefault="001B6E40" w:rsidP="001B6E40">
      <w:pPr>
        <w:pStyle w:val="Bullet"/>
      </w:pPr>
      <w:r w:rsidRPr="00261B7A">
        <w:t>CH</w:t>
      </w:r>
      <w:r w:rsidRPr="00261B7A">
        <w:rPr>
          <w:vertAlign w:val="subscript"/>
        </w:rPr>
        <w:t>4</w:t>
      </w:r>
      <w:r w:rsidRPr="00261B7A">
        <w:t>, CO</w:t>
      </w:r>
      <w:r w:rsidRPr="00261B7A">
        <w:rPr>
          <w:vertAlign w:val="subscript"/>
        </w:rPr>
        <w:t>2</w:t>
      </w:r>
      <w:r w:rsidRPr="00261B7A">
        <w:t xml:space="preserve"> and N</w:t>
      </w:r>
      <w:r w:rsidRPr="00261B7A">
        <w:rPr>
          <w:vertAlign w:val="subscript"/>
        </w:rPr>
        <w:t>2</w:t>
      </w:r>
      <w:r w:rsidRPr="00261B7A">
        <w:t>O from waste.</w:t>
      </w:r>
    </w:p>
    <w:p w14:paraId="2F481C33" w14:textId="77777777" w:rsidR="001B6E40" w:rsidRPr="00261B7A" w:rsidRDefault="001B6E40" w:rsidP="001B6E40">
      <w:pPr>
        <w:pStyle w:val="Heading5"/>
      </w:pPr>
      <w:r w:rsidRPr="00261B7A">
        <w:t>2021</w:t>
      </w:r>
    </w:p>
    <w:p w14:paraId="7C6EA618" w14:textId="77777777" w:rsidR="001B6E40" w:rsidRPr="00261B7A" w:rsidRDefault="001B6E40" w:rsidP="001B6E40">
      <w:pPr>
        <w:pStyle w:val="BodyText"/>
      </w:pPr>
      <w:r w:rsidRPr="00261B7A">
        <w:t>In 2021, emissions from the Tokelau sector contributed 3.78 kt CO</w:t>
      </w:r>
      <w:r w:rsidRPr="00261B7A">
        <w:rPr>
          <w:vertAlign w:val="subscript"/>
        </w:rPr>
        <w:t>2</w:t>
      </w:r>
      <w:r w:rsidRPr="00261B7A">
        <w:t xml:space="preserve">-e (0.005 per cent) of New Zealand’s gross GHG emissions. The largest source category is </w:t>
      </w:r>
      <w:r w:rsidRPr="00261B7A">
        <w:rPr>
          <w:i/>
        </w:rPr>
        <w:t>Domestic navigation</w:t>
      </w:r>
      <w:r w:rsidRPr="00261B7A">
        <w:rPr>
          <w:iCs/>
        </w:rPr>
        <w:t>, which</w:t>
      </w:r>
      <w:r w:rsidRPr="00261B7A">
        <w:t> contributed 1.38</w:t>
      </w:r>
      <w:r w:rsidRPr="00261B7A" w:rsidDel="008F05EE">
        <w:t xml:space="preserve"> </w:t>
      </w:r>
      <w:r w:rsidRPr="00261B7A">
        <w:t>kt CO</w:t>
      </w:r>
      <w:r w:rsidRPr="00261B7A">
        <w:rPr>
          <w:vertAlign w:val="subscript"/>
        </w:rPr>
        <w:t>2</w:t>
      </w:r>
      <w:r w:rsidRPr="00261B7A">
        <w:t>-e (69.0 per cent of all energy emissions and 36.6 per cent of gross emissions from Tokelau).</w:t>
      </w:r>
    </w:p>
    <w:p w14:paraId="3BE6D131" w14:textId="77777777" w:rsidR="001B6E40" w:rsidRPr="00261B7A" w:rsidRDefault="001B6E40" w:rsidP="001B6E40">
      <w:pPr>
        <w:pStyle w:val="BodyText"/>
      </w:pPr>
      <w:r w:rsidRPr="00261B7A">
        <w:t>Carbon dioxide dominated emissions from Tokelau, contributing 53.6 per cent (2.03 kt CO</w:t>
      </w:r>
      <w:r w:rsidRPr="00261B7A">
        <w:rPr>
          <w:vertAlign w:val="subscript"/>
        </w:rPr>
        <w:t>2</w:t>
      </w:r>
      <w:r w:rsidRPr="00261B7A">
        <w:t>-e) of its total emissions in 2021. At 1.99 kt CO</w:t>
      </w:r>
      <w:r w:rsidRPr="00261B7A">
        <w:rPr>
          <w:vertAlign w:val="subscript"/>
        </w:rPr>
        <w:t>2</w:t>
      </w:r>
      <w:r w:rsidRPr="00261B7A">
        <w:t>, the Energy sector contributed 98.1 per cent of total CO</w:t>
      </w:r>
      <w:r w:rsidRPr="00261B7A">
        <w:rPr>
          <w:vertAlign w:val="subscript"/>
        </w:rPr>
        <w:t>2</w:t>
      </w:r>
      <w:r w:rsidRPr="00261B7A">
        <w:t xml:space="preserve"> emissions, mostly from </w:t>
      </w:r>
      <w:r w:rsidRPr="00261B7A">
        <w:rPr>
          <w:i/>
          <w:iCs/>
        </w:rPr>
        <w:t>Domestic navigation</w:t>
      </w:r>
      <w:r w:rsidRPr="00261B7A">
        <w:t>; with the remaining 1.9 per cent (0.04 kt CO</w:t>
      </w:r>
      <w:r w:rsidRPr="00261B7A">
        <w:rPr>
          <w:vertAlign w:val="subscript"/>
        </w:rPr>
        <w:t>2</w:t>
      </w:r>
      <w:r w:rsidRPr="00261B7A">
        <w:t xml:space="preserve">) coming from </w:t>
      </w:r>
      <w:r w:rsidRPr="00261B7A">
        <w:rPr>
          <w:i/>
          <w:iCs/>
        </w:rPr>
        <w:t>Open burning of waste</w:t>
      </w:r>
      <w:r w:rsidRPr="00261B7A">
        <w:t xml:space="preserve"> in the Waste sector. </w:t>
      </w:r>
    </w:p>
    <w:p w14:paraId="20F422FD" w14:textId="77777777" w:rsidR="001B6E40" w:rsidRPr="00261B7A" w:rsidRDefault="001B6E40" w:rsidP="001B6E40">
      <w:pPr>
        <w:pStyle w:val="BodyText"/>
      </w:pPr>
      <w:r w:rsidRPr="00261B7A">
        <w:t>Methane emissions contributed 39.1 per cent (1.48 kt CO</w:t>
      </w:r>
      <w:r w:rsidRPr="00261B7A">
        <w:rPr>
          <w:vertAlign w:val="subscript"/>
        </w:rPr>
        <w:t>2</w:t>
      </w:r>
      <w:r w:rsidRPr="00261B7A">
        <w:t>-e) to the total emissions from Tokelau. The Agriculture sector in Tokelau contributed 55.8 per cent of CH</w:t>
      </w:r>
      <w:r w:rsidRPr="00261B7A">
        <w:rPr>
          <w:vertAlign w:val="subscript"/>
        </w:rPr>
        <w:t>4</w:t>
      </w:r>
      <w:r w:rsidRPr="00261B7A">
        <w:t xml:space="preserve"> emissions (0.82 kt CO</w:t>
      </w:r>
      <w:r w:rsidRPr="00261B7A">
        <w:rPr>
          <w:vertAlign w:val="subscript"/>
        </w:rPr>
        <w:t>2</w:t>
      </w:r>
      <w:r w:rsidRPr="00261B7A">
        <w:t xml:space="preserve">-e), which mostly came from </w:t>
      </w:r>
      <w:r w:rsidRPr="00261B7A">
        <w:rPr>
          <w:i/>
          <w:iCs/>
        </w:rPr>
        <w:t>Manure management</w:t>
      </w:r>
      <w:r w:rsidRPr="00261B7A">
        <w:t>. A significant portion of CH</w:t>
      </w:r>
      <w:r w:rsidRPr="00261B7A">
        <w:rPr>
          <w:vertAlign w:val="subscript"/>
        </w:rPr>
        <w:t>4</w:t>
      </w:r>
      <w:r w:rsidRPr="00261B7A">
        <w:t> emissions, 43.8 per cent (0.65 kt CO</w:t>
      </w:r>
      <w:r w:rsidRPr="00261B7A">
        <w:rPr>
          <w:vertAlign w:val="subscript"/>
        </w:rPr>
        <w:t>2</w:t>
      </w:r>
      <w:r w:rsidRPr="00261B7A">
        <w:t xml:space="preserve">-e), came from the Waste sector, largely from </w:t>
      </w:r>
      <w:r w:rsidRPr="00261B7A">
        <w:rPr>
          <w:i/>
          <w:iCs/>
        </w:rPr>
        <w:t>Solid waste disposal</w:t>
      </w:r>
      <w:r w:rsidRPr="00261B7A">
        <w:t>. The Energy sector contributed the remaining 0.4 per cent of CH</w:t>
      </w:r>
      <w:r w:rsidRPr="00261B7A">
        <w:rPr>
          <w:vertAlign w:val="subscript"/>
        </w:rPr>
        <w:t>4</w:t>
      </w:r>
      <w:r w:rsidRPr="00261B7A">
        <w:t xml:space="preserve"> emissions (0.01 kt CO</w:t>
      </w:r>
      <w:r w:rsidRPr="00261B7A">
        <w:rPr>
          <w:vertAlign w:val="subscript"/>
        </w:rPr>
        <w:t>2</w:t>
      </w:r>
      <w:r w:rsidRPr="00261B7A">
        <w:t xml:space="preserve">-e), which mostly came from </w:t>
      </w:r>
      <w:r w:rsidRPr="00261B7A">
        <w:rPr>
          <w:i/>
          <w:iCs/>
        </w:rPr>
        <w:t>Domestic navigation</w:t>
      </w:r>
      <w:r w:rsidRPr="00261B7A">
        <w:t>.</w:t>
      </w:r>
    </w:p>
    <w:p w14:paraId="50EF03C0" w14:textId="77777777" w:rsidR="001B6E40" w:rsidRPr="00261B7A" w:rsidRDefault="001B6E40" w:rsidP="001B6E40">
      <w:pPr>
        <w:pStyle w:val="BodyText"/>
      </w:pPr>
      <w:r w:rsidRPr="00261B7A">
        <w:t>Nitrous oxide emissions contributed 1.2 per cent (0.05 kt CO</w:t>
      </w:r>
      <w:r w:rsidRPr="00261B7A">
        <w:rPr>
          <w:vertAlign w:val="subscript"/>
        </w:rPr>
        <w:t>2</w:t>
      </w:r>
      <w:r w:rsidRPr="00261B7A">
        <w:t>-e) to the total emissions from Tokelau. The IPPU sector contributed the largest amount of N</w:t>
      </w:r>
      <w:r w:rsidRPr="00261B7A">
        <w:rPr>
          <w:vertAlign w:val="subscript"/>
        </w:rPr>
        <w:t>2</w:t>
      </w:r>
      <w:r w:rsidRPr="00261B7A">
        <w:t>O, 47.9 per cent (0.02 kt CO</w:t>
      </w:r>
      <w:r w:rsidRPr="00261B7A">
        <w:rPr>
          <w:vertAlign w:val="subscript"/>
        </w:rPr>
        <w:t>2</w:t>
      </w:r>
      <w:r w:rsidRPr="00261B7A">
        <w:t>-e) of the total N</w:t>
      </w:r>
      <w:r w:rsidRPr="00261B7A">
        <w:rPr>
          <w:vertAlign w:val="subscript"/>
        </w:rPr>
        <w:t>2</w:t>
      </w:r>
      <w:r w:rsidRPr="00261B7A">
        <w:t xml:space="preserve">O, from </w:t>
      </w:r>
      <w:r w:rsidRPr="00261B7A">
        <w:rPr>
          <w:i/>
        </w:rPr>
        <w:t>Medical applications.</w:t>
      </w:r>
      <w:r w:rsidRPr="00261B7A">
        <w:t xml:space="preserve"> The Energy sector contributed a further</w:t>
      </w:r>
      <w:r w:rsidRPr="00261B7A" w:rsidDel="007B238F">
        <w:t xml:space="preserve"> </w:t>
      </w:r>
      <w:r w:rsidRPr="00261B7A">
        <w:t>27.</w:t>
      </w:r>
      <w:r w:rsidRPr="00261B7A" w:rsidDel="00D04B1B">
        <w:t>3</w:t>
      </w:r>
      <w:r w:rsidRPr="00261B7A">
        <w:t xml:space="preserve"> per cent (0.01 kt CO</w:t>
      </w:r>
      <w:r w:rsidRPr="00261B7A">
        <w:rPr>
          <w:vertAlign w:val="subscript"/>
        </w:rPr>
        <w:t>2</w:t>
      </w:r>
      <w:r w:rsidRPr="00261B7A">
        <w:t>-e), which comes largely from </w:t>
      </w:r>
      <w:r w:rsidRPr="00261B7A">
        <w:rPr>
          <w:i/>
        </w:rPr>
        <w:t>Domestic navigation</w:t>
      </w:r>
      <w:r w:rsidRPr="00261B7A">
        <w:t>. The Waste sector contributed the remaining 24.7 per cent of N</w:t>
      </w:r>
      <w:r w:rsidRPr="00261B7A">
        <w:rPr>
          <w:vertAlign w:val="subscript"/>
        </w:rPr>
        <w:t>2</w:t>
      </w:r>
      <w:r w:rsidRPr="00261B7A">
        <w:t>O (0.01 kt CO</w:t>
      </w:r>
      <w:r w:rsidRPr="00261B7A">
        <w:rPr>
          <w:vertAlign w:val="subscript"/>
        </w:rPr>
        <w:t>2</w:t>
      </w:r>
      <w:r w:rsidRPr="00261B7A">
        <w:t xml:space="preserve">-e) from </w:t>
      </w:r>
      <w:r w:rsidRPr="00261B7A">
        <w:rPr>
          <w:i/>
        </w:rPr>
        <w:t>Open burning</w:t>
      </w:r>
      <w:r w:rsidRPr="00261B7A">
        <w:t>.</w:t>
      </w:r>
    </w:p>
    <w:p w14:paraId="7C6FAD4B" w14:textId="77777777" w:rsidR="001B6E40" w:rsidRPr="00261B7A" w:rsidRDefault="001B6E40" w:rsidP="001B6E40">
      <w:pPr>
        <w:pStyle w:val="BodyText"/>
      </w:pPr>
      <w:r w:rsidRPr="00261B7A">
        <w:t>Emissions of fluorinated gases from Tokelau consisted of hydrofluorocarbon (HFC) emissions only, contributing 6.2 per cent (0.23 kt CO</w:t>
      </w:r>
      <w:r w:rsidRPr="00261B7A">
        <w:rPr>
          <w:vertAlign w:val="subscript"/>
        </w:rPr>
        <w:t>2</w:t>
      </w:r>
      <w:r w:rsidRPr="00261B7A">
        <w:t xml:space="preserve">-e) to the total emissions from Tokelau. These emissions largely came from the use of </w:t>
      </w:r>
      <w:r w:rsidRPr="00261B7A">
        <w:rPr>
          <w:i/>
        </w:rPr>
        <w:t>Air conditioning</w:t>
      </w:r>
      <w:r w:rsidRPr="00261B7A">
        <w:t xml:space="preserve">. Emissions of perfluorocarbons (PFCs), nitrogen trifluoride and sulphur hexafluoride are not occurring in Tokelau. </w:t>
      </w:r>
    </w:p>
    <w:p w14:paraId="63582090" w14:textId="77777777" w:rsidR="001B6E40" w:rsidRPr="00261B7A" w:rsidRDefault="001B6E40" w:rsidP="001B6E40">
      <w:pPr>
        <w:pStyle w:val="BodyText"/>
      </w:pPr>
      <w:r w:rsidRPr="00261B7A">
        <w:t xml:space="preserve">Figures 8.1.2 and 8.1.3 show emissions from Tokelau by gas and by sector. </w:t>
      </w:r>
    </w:p>
    <w:p w14:paraId="46E61A24" w14:textId="77777777" w:rsidR="001B6E40" w:rsidRPr="00261B7A" w:rsidRDefault="001B6E40" w:rsidP="00375E6D">
      <w:pPr>
        <w:pStyle w:val="Figure"/>
        <w:spacing w:after="80"/>
      </w:pPr>
      <w:bookmarkStart w:id="2643" w:name="_Toc5269722"/>
      <w:bookmarkStart w:id="2644" w:name="_Toc36292825"/>
      <w:bookmarkStart w:id="2645" w:name="_Toc64972932"/>
      <w:bookmarkStart w:id="2646" w:name="_Toc68786689"/>
      <w:bookmarkStart w:id="2647" w:name="_Toc130211297"/>
      <w:bookmarkStart w:id="2648" w:name="_Toc131591582"/>
      <w:r w:rsidRPr="00261B7A">
        <w:t xml:space="preserve">Figure 8.1.2 </w:t>
      </w:r>
      <w:r w:rsidRPr="00261B7A">
        <w:tab/>
        <w:t xml:space="preserve">Tokelau’s emissions by gas in </w:t>
      </w:r>
      <w:bookmarkEnd w:id="2643"/>
      <w:bookmarkEnd w:id="2644"/>
      <w:bookmarkEnd w:id="2645"/>
      <w:bookmarkEnd w:id="2646"/>
      <w:r w:rsidRPr="00261B7A">
        <w:t>2021</w:t>
      </w:r>
      <w:bookmarkEnd w:id="2647"/>
      <w:bookmarkEnd w:id="2648"/>
    </w:p>
    <w:p w14:paraId="0485AB27" w14:textId="77777777" w:rsidR="001B6E40" w:rsidRPr="00261B7A" w:rsidRDefault="001B6E40" w:rsidP="001B6E40">
      <w:pPr>
        <w:pStyle w:val="BodyText"/>
      </w:pPr>
      <w:bookmarkStart w:id="2649" w:name="_Toc5269723"/>
      <w:r w:rsidRPr="00261B7A">
        <w:rPr>
          <w:noProof/>
        </w:rPr>
        <w:drawing>
          <wp:inline distT="0" distB="0" distL="0" distR="0" wp14:anchorId="1CD0B3F5" wp14:editId="0D9471EF">
            <wp:extent cx="4716740" cy="232457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51">
                      <a:extLst>
                        <a:ext uri="{28A0092B-C50C-407E-A947-70E740481C1C}">
                          <a14:useLocalDpi xmlns:a14="http://schemas.microsoft.com/office/drawing/2010/main" val="0"/>
                        </a:ext>
                      </a:extLst>
                    </a:blip>
                    <a:srcRect t="17633"/>
                    <a:stretch>
                      <a:fillRect/>
                    </a:stretch>
                  </pic:blipFill>
                  <pic:spPr>
                    <a:xfrm>
                      <a:off x="0" y="0"/>
                      <a:ext cx="4716740" cy="2324574"/>
                    </a:xfrm>
                    <a:prstGeom prst="rect">
                      <a:avLst/>
                    </a:prstGeom>
                  </pic:spPr>
                </pic:pic>
              </a:graphicData>
            </a:graphic>
          </wp:inline>
        </w:drawing>
      </w:r>
    </w:p>
    <w:p w14:paraId="1703A301" w14:textId="77777777" w:rsidR="001B6E40" w:rsidRPr="00261B7A" w:rsidRDefault="001B6E40" w:rsidP="001B6E40">
      <w:pPr>
        <w:pStyle w:val="BodyText"/>
        <w:spacing w:before="0" w:after="0"/>
      </w:pPr>
    </w:p>
    <w:p w14:paraId="01911ACF" w14:textId="77777777" w:rsidR="001B6E40" w:rsidRPr="00261B7A" w:rsidRDefault="001B6E40" w:rsidP="001B6E40">
      <w:pPr>
        <w:pStyle w:val="Figure"/>
      </w:pPr>
      <w:bookmarkStart w:id="2650" w:name="_Toc36292826"/>
      <w:bookmarkStart w:id="2651" w:name="_Toc64972933"/>
      <w:bookmarkStart w:id="2652" w:name="_Toc68786690"/>
      <w:bookmarkStart w:id="2653" w:name="_Toc130211298"/>
      <w:bookmarkStart w:id="2654" w:name="_Toc131591583"/>
      <w:r w:rsidRPr="00261B7A">
        <w:t xml:space="preserve">Figure 8.1.3 </w:t>
      </w:r>
      <w:r w:rsidRPr="00261B7A">
        <w:tab/>
        <w:t xml:space="preserve">Tokelau’s emissions by sector in </w:t>
      </w:r>
      <w:bookmarkEnd w:id="2649"/>
      <w:bookmarkEnd w:id="2650"/>
      <w:bookmarkEnd w:id="2651"/>
      <w:bookmarkEnd w:id="2652"/>
      <w:r w:rsidRPr="00261B7A">
        <w:t>2021</w:t>
      </w:r>
      <w:bookmarkEnd w:id="2653"/>
      <w:bookmarkEnd w:id="2654"/>
    </w:p>
    <w:p w14:paraId="36BE2894" w14:textId="77777777" w:rsidR="001B6E40" w:rsidRPr="00261B7A" w:rsidRDefault="001B6E40" w:rsidP="001B6E40">
      <w:pPr>
        <w:pStyle w:val="BodyText"/>
      </w:pPr>
      <w:r w:rsidRPr="00261B7A">
        <w:rPr>
          <w:noProof/>
        </w:rPr>
        <w:drawing>
          <wp:inline distT="0" distB="0" distL="0" distR="0" wp14:anchorId="12E38C95" wp14:editId="3E94F0CB">
            <wp:extent cx="4944564" cy="163799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52">
                      <a:extLst>
                        <a:ext uri="{28A0092B-C50C-407E-A947-70E740481C1C}">
                          <a14:useLocalDpi xmlns:a14="http://schemas.microsoft.com/office/drawing/2010/main" val="0"/>
                        </a:ext>
                      </a:extLst>
                    </a:blip>
                    <a:srcRect t="28710"/>
                    <a:stretch>
                      <a:fillRect/>
                    </a:stretch>
                  </pic:blipFill>
                  <pic:spPr>
                    <a:xfrm>
                      <a:off x="0" y="0"/>
                      <a:ext cx="4944564" cy="1637994"/>
                    </a:xfrm>
                    <a:prstGeom prst="rect">
                      <a:avLst/>
                    </a:prstGeom>
                  </pic:spPr>
                </pic:pic>
              </a:graphicData>
            </a:graphic>
          </wp:inline>
        </w:drawing>
      </w:r>
    </w:p>
    <w:p w14:paraId="38278425" w14:textId="77777777" w:rsidR="001B6E40" w:rsidRPr="00261B7A" w:rsidRDefault="001B6E40" w:rsidP="001B6E40">
      <w:pPr>
        <w:pStyle w:val="Heading5"/>
      </w:pPr>
      <w:r w:rsidRPr="00261B7A">
        <w:t>1990–2021</w:t>
      </w:r>
    </w:p>
    <w:p w14:paraId="5F053E3B" w14:textId="33EE737D" w:rsidR="001B6E40" w:rsidRPr="00261B7A" w:rsidRDefault="001B6E40" w:rsidP="00372436">
      <w:pPr>
        <w:pStyle w:val="BodyText"/>
      </w:pPr>
      <w:r w:rsidRPr="00261B7A">
        <w:t>In 1990, the total emissions from Tokelau were 3.17 kt CO</w:t>
      </w:r>
      <w:r w:rsidRPr="00261B7A">
        <w:rPr>
          <w:vertAlign w:val="subscript"/>
        </w:rPr>
        <w:t>2</w:t>
      </w:r>
      <w:r w:rsidRPr="00261B7A">
        <w:t>-e. Between 1990 and 2021, the</w:t>
      </w:r>
      <w:r w:rsidR="00372436">
        <w:t> </w:t>
      </w:r>
      <w:r w:rsidRPr="00261B7A">
        <w:t>total emissions increased by 19.4 per cent (0.61 kt CO</w:t>
      </w:r>
      <w:r w:rsidRPr="00261B7A">
        <w:rPr>
          <w:vertAlign w:val="subscript"/>
        </w:rPr>
        <w:t>2</w:t>
      </w:r>
      <w:r w:rsidRPr="00261B7A">
        <w:t>-e) to 3.78 kt CO</w:t>
      </w:r>
      <w:r w:rsidRPr="00261B7A">
        <w:rPr>
          <w:vertAlign w:val="subscript"/>
        </w:rPr>
        <w:t>2</w:t>
      </w:r>
      <w:r w:rsidRPr="00261B7A">
        <w:t>-e (table 8.1.</w:t>
      </w:r>
      <w:r w:rsidR="00B07E95" w:rsidRPr="00261B7A">
        <w:t>2</w:t>
      </w:r>
      <w:r w:rsidR="003B4DC2" w:rsidRPr="003B4DC2">
        <w:t xml:space="preserve"> and</w:t>
      </w:r>
      <w:r w:rsidR="00372436">
        <w:t> </w:t>
      </w:r>
      <w:r w:rsidR="003B4DC2" w:rsidRPr="003B4DC2">
        <w:t>figure 8.1.4</w:t>
      </w:r>
      <w:r w:rsidRPr="00261B7A">
        <w:t>). From 1990 to 2021, the average annual increase in gross emissions was 0.75</w:t>
      </w:r>
      <w:r w:rsidR="00372436">
        <w:t> </w:t>
      </w:r>
      <w:r w:rsidRPr="00261B7A">
        <w:t>per</w:t>
      </w:r>
      <w:r w:rsidR="00372436">
        <w:t> </w:t>
      </w:r>
      <w:r w:rsidRPr="00261B7A">
        <w:t>cent.</w:t>
      </w:r>
    </w:p>
    <w:p w14:paraId="67313F83" w14:textId="77777777" w:rsidR="001B6E40" w:rsidRPr="00261B7A" w:rsidRDefault="001B6E40" w:rsidP="001B6E40">
      <w:pPr>
        <w:pStyle w:val="BodyText"/>
      </w:pPr>
      <w:r w:rsidRPr="00261B7A">
        <w:t xml:space="preserve">The emission categories that contributed the most to this change were </w:t>
      </w:r>
      <w:r w:rsidRPr="00261B7A">
        <w:rPr>
          <w:i/>
        </w:rPr>
        <w:t>Domestic navigation</w:t>
      </w:r>
      <w:r w:rsidRPr="00261B7A">
        <w:t xml:space="preserve"> and </w:t>
      </w:r>
      <w:r w:rsidRPr="00261B7A">
        <w:rPr>
          <w:i/>
        </w:rPr>
        <w:t>Electricity generation</w:t>
      </w:r>
      <w:r w:rsidRPr="00261B7A">
        <w:t xml:space="preserve">. </w:t>
      </w:r>
    </w:p>
    <w:p w14:paraId="675E7BE0" w14:textId="77777777" w:rsidR="001B6E40" w:rsidRPr="00261B7A" w:rsidRDefault="001B6E40" w:rsidP="001B6E40">
      <w:pPr>
        <w:pStyle w:val="BodyText"/>
      </w:pPr>
      <w:r w:rsidRPr="00261B7A">
        <w:t xml:space="preserve">The changes in </w:t>
      </w:r>
      <w:r w:rsidRPr="00261B7A">
        <w:rPr>
          <w:i/>
          <w:iCs/>
        </w:rPr>
        <w:t>Domestic navigation</w:t>
      </w:r>
      <w:r w:rsidRPr="00261B7A">
        <w:t xml:space="preserve"> are a result of Tokelau gaining ownership and use of the ferry </w:t>
      </w:r>
      <w:r w:rsidRPr="00261B7A">
        <w:rPr>
          <w:i/>
          <w:iCs/>
        </w:rPr>
        <w:t>Mataliki</w:t>
      </w:r>
      <w:r w:rsidRPr="00261B7A">
        <w:t xml:space="preserve"> in 2016, cargo vessel </w:t>
      </w:r>
      <w:r w:rsidRPr="00261B7A">
        <w:rPr>
          <w:i/>
          <w:iCs/>
        </w:rPr>
        <w:t>Kalopaga</w:t>
      </w:r>
      <w:r w:rsidRPr="00261B7A">
        <w:t xml:space="preserve"> in 2018 and </w:t>
      </w:r>
      <w:r w:rsidRPr="00261B7A">
        <w:rPr>
          <w:i/>
          <w:iCs/>
        </w:rPr>
        <w:t>Fetu o te Moana</w:t>
      </w:r>
      <w:r w:rsidRPr="00261B7A">
        <w:t xml:space="preserve"> in 2019 leading to an increasing number of sea voyages between the atolls, which increased transport emissions. Emissions from Tokelau’s IPPU sector have also increased mainly due to the introduction of air conditioning after 2006. Further changes in Tokelau’s Energy sector emissions are a significant rise and then drop (by nearly 400 per cent and 82.5 per cent respectively) in consumption of imported petroleum products used for electricity production in Tokelau. Emissions from Tokelau’s Agriculture sector decreased slightly as a result of a reduced population of pigs.</w:t>
      </w:r>
    </w:p>
    <w:p w14:paraId="2EC320CF" w14:textId="77777777" w:rsidR="001B6E40" w:rsidRPr="00261B7A" w:rsidRDefault="001B6E40" w:rsidP="001B6E40">
      <w:pPr>
        <w:pStyle w:val="Table"/>
      </w:pPr>
      <w:bookmarkStart w:id="2655" w:name="_Toc36224675"/>
      <w:bookmarkStart w:id="2656" w:name="_Toc68786561"/>
      <w:bookmarkStart w:id="2657" w:name="_Toc130211268"/>
      <w:bookmarkStart w:id="2658" w:name="_Toc131591469"/>
      <w:bookmarkStart w:id="2659" w:name="_Toc5269724"/>
      <w:r w:rsidRPr="00261B7A">
        <w:t>Table 8.1.2</w:t>
      </w:r>
      <w:r w:rsidRPr="00261B7A">
        <w:tab/>
        <w:t>Gross emissions from Tokelau by gas in 1990 and </w:t>
      </w:r>
      <w:bookmarkEnd w:id="2655"/>
      <w:bookmarkEnd w:id="2656"/>
      <w:r w:rsidRPr="00261B7A">
        <w:t>2021</w:t>
      </w:r>
      <w:bookmarkEnd w:id="2657"/>
      <w:bookmarkEnd w:id="2658"/>
    </w:p>
    <w:tbl>
      <w:tblPr>
        <w:tblW w:w="8505" w:type="dxa"/>
        <w:tblBorders>
          <w:bottom w:val="single" w:sz="8" w:space="0" w:color="365F91"/>
          <w:insideH w:val="single" w:sz="8" w:space="0" w:color="365F91"/>
        </w:tblBorders>
        <w:tblLook w:val="01E0" w:firstRow="1" w:lastRow="1" w:firstColumn="1" w:lastColumn="1" w:noHBand="0" w:noVBand="0"/>
      </w:tblPr>
      <w:tblGrid>
        <w:gridCol w:w="2764"/>
        <w:gridCol w:w="1454"/>
        <w:gridCol w:w="1309"/>
        <w:gridCol w:w="1599"/>
        <w:gridCol w:w="1379"/>
      </w:tblGrid>
      <w:tr w:rsidR="001B6E40" w:rsidRPr="00261B7A" w14:paraId="1AC49DC4" w14:textId="77777777" w:rsidTr="00375E6D">
        <w:tc>
          <w:tcPr>
            <w:tcW w:w="2764" w:type="dxa"/>
            <w:vMerge w:val="restart"/>
            <w:tcBorders>
              <w:top w:val="single" w:sz="4" w:space="0" w:color="1B556B"/>
              <w:left w:val="nil"/>
              <w:bottom w:val="nil"/>
              <w:right w:val="nil"/>
              <w:tl2br w:val="nil"/>
              <w:tr2bl w:val="nil"/>
            </w:tcBorders>
            <w:shd w:val="clear" w:color="auto" w:fill="1B556B"/>
            <w:vAlign w:val="bottom"/>
          </w:tcPr>
          <w:p w14:paraId="0ECE7646" w14:textId="77777777" w:rsidR="001B6E40" w:rsidRPr="00261B7A" w:rsidRDefault="001B6E40" w:rsidP="003E20AD">
            <w:pPr>
              <w:pStyle w:val="TableTextBold"/>
              <w:keepNext/>
              <w:rPr>
                <w:noProof w:val="0"/>
                <w:color w:val="FFFFFF"/>
              </w:rPr>
            </w:pPr>
            <w:r w:rsidRPr="00261B7A">
              <w:rPr>
                <w:noProof w:val="0"/>
                <w:color w:val="FFFFFF"/>
              </w:rPr>
              <w:t>Direct greenhouse gas emissions</w:t>
            </w:r>
          </w:p>
        </w:tc>
        <w:tc>
          <w:tcPr>
            <w:tcW w:w="2763" w:type="dxa"/>
            <w:gridSpan w:val="2"/>
            <w:tcBorders>
              <w:top w:val="single" w:sz="4" w:space="0" w:color="1B556B"/>
              <w:left w:val="nil"/>
              <w:bottom w:val="nil"/>
              <w:right w:val="nil"/>
              <w:tl2br w:val="nil"/>
              <w:tr2bl w:val="nil"/>
            </w:tcBorders>
            <w:shd w:val="clear" w:color="auto" w:fill="1B556B"/>
            <w:vAlign w:val="bottom"/>
          </w:tcPr>
          <w:p w14:paraId="219C2370" w14:textId="77777777" w:rsidR="001B6E40" w:rsidRPr="00261B7A" w:rsidRDefault="001B6E40" w:rsidP="003E20AD">
            <w:pPr>
              <w:pStyle w:val="TableTextBold"/>
              <w:keepNext/>
              <w:spacing w:after="0"/>
              <w:jc w:val="center"/>
              <w:rPr>
                <w:noProof w:val="0"/>
                <w:color w:val="FFFFFF"/>
              </w:rPr>
            </w:pPr>
            <w:r w:rsidRPr="00261B7A">
              <w:rPr>
                <w:noProof w:val="0"/>
                <w:color w:val="FFFFFF"/>
              </w:rPr>
              <w:t>kt CO</w:t>
            </w:r>
            <w:r w:rsidRPr="00261B7A">
              <w:rPr>
                <w:noProof w:val="0"/>
                <w:color w:val="FFFFFF"/>
                <w:vertAlign w:val="subscript"/>
              </w:rPr>
              <w:t>2</w:t>
            </w:r>
            <w:r w:rsidRPr="00261B7A">
              <w:rPr>
                <w:noProof w:val="0"/>
                <w:color w:val="FFFFFF"/>
              </w:rPr>
              <w:t>-e</w:t>
            </w:r>
          </w:p>
        </w:tc>
        <w:tc>
          <w:tcPr>
            <w:tcW w:w="1599" w:type="dxa"/>
            <w:vMerge w:val="restart"/>
            <w:tcBorders>
              <w:top w:val="single" w:sz="4" w:space="0" w:color="1B556B"/>
              <w:left w:val="nil"/>
              <w:bottom w:val="nil"/>
              <w:right w:val="nil"/>
              <w:tl2br w:val="nil"/>
              <w:tr2bl w:val="nil"/>
            </w:tcBorders>
            <w:shd w:val="clear" w:color="auto" w:fill="1B556B"/>
            <w:vAlign w:val="bottom"/>
          </w:tcPr>
          <w:p w14:paraId="7E084884" w14:textId="77777777" w:rsidR="001B6E40" w:rsidRPr="00261B7A" w:rsidRDefault="001B6E40" w:rsidP="003E20AD">
            <w:pPr>
              <w:pStyle w:val="TableTextBold"/>
              <w:keepNext/>
              <w:jc w:val="center"/>
              <w:rPr>
                <w:noProof w:val="0"/>
                <w:color w:val="FFFFFF"/>
              </w:rPr>
            </w:pPr>
            <w:r w:rsidRPr="00261B7A">
              <w:rPr>
                <w:noProof w:val="0"/>
                <w:color w:val="FFFFFF"/>
              </w:rPr>
              <w:t>Change from 1990 (kt CO</w:t>
            </w:r>
            <w:r w:rsidRPr="00261B7A">
              <w:rPr>
                <w:noProof w:val="0"/>
                <w:color w:val="FFFFFF"/>
                <w:vertAlign w:val="subscript"/>
              </w:rPr>
              <w:t>2</w:t>
            </w:r>
            <w:r w:rsidRPr="00261B7A">
              <w:rPr>
                <w:noProof w:val="0"/>
                <w:color w:val="FFFFFF"/>
              </w:rPr>
              <w:t>-e)</w:t>
            </w:r>
          </w:p>
        </w:tc>
        <w:tc>
          <w:tcPr>
            <w:tcW w:w="1379" w:type="dxa"/>
            <w:vMerge w:val="restart"/>
            <w:tcBorders>
              <w:top w:val="single" w:sz="4" w:space="0" w:color="1B556B"/>
              <w:left w:val="nil"/>
              <w:bottom w:val="nil"/>
              <w:right w:val="nil"/>
              <w:tl2br w:val="nil"/>
              <w:tr2bl w:val="nil"/>
            </w:tcBorders>
            <w:shd w:val="clear" w:color="auto" w:fill="1B556B"/>
            <w:vAlign w:val="bottom"/>
          </w:tcPr>
          <w:p w14:paraId="1ED2DF13" w14:textId="77777777" w:rsidR="001B6E40" w:rsidRPr="00261B7A" w:rsidRDefault="001B6E40" w:rsidP="003E20AD">
            <w:pPr>
              <w:pStyle w:val="TableTextBold"/>
              <w:keepNext/>
              <w:jc w:val="center"/>
              <w:rPr>
                <w:noProof w:val="0"/>
                <w:color w:val="FFFFFF"/>
              </w:rPr>
            </w:pPr>
            <w:r w:rsidRPr="00261B7A">
              <w:rPr>
                <w:noProof w:val="0"/>
                <w:color w:val="FFFFFF"/>
              </w:rPr>
              <w:t>Change from 1990 (%)</w:t>
            </w:r>
          </w:p>
        </w:tc>
      </w:tr>
      <w:tr w:rsidR="001B6E40" w:rsidRPr="00261B7A" w14:paraId="1678F660" w14:textId="77777777" w:rsidTr="00375E6D">
        <w:tc>
          <w:tcPr>
            <w:tcW w:w="2764" w:type="dxa"/>
            <w:vMerge/>
            <w:tcBorders>
              <w:bottom w:val="single" w:sz="4" w:space="0" w:color="1B556B"/>
            </w:tcBorders>
            <w:shd w:val="clear" w:color="auto" w:fill="1B556B"/>
            <w:vAlign w:val="bottom"/>
          </w:tcPr>
          <w:p w14:paraId="03E53515" w14:textId="77777777" w:rsidR="001B6E40" w:rsidRPr="00261B7A" w:rsidRDefault="001B6E40" w:rsidP="003E20AD">
            <w:pPr>
              <w:pStyle w:val="TableTextBold"/>
              <w:keepNext/>
              <w:spacing w:before="40" w:after="40"/>
              <w:rPr>
                <w:rFonts w:ascii="Arial" w:hAnsi="Arial"/>
                <w:noProof w:val="0"/>
                <w:color w:val="FFFFFF"/>
              </w:rPr>
            </w:pPr>
          </w:p>
        </w:tc>
        <w:tc>
          <w:tcPr>
            <w:tcW w:w="1454" w:type="dxa"/>
            <w:tcBorders>
              <w:top w:val="nil"/>
              <w:bottom w:val="single" w:sz="4" w:space="0" w:color="1B556B"/>
            </w:tcBorders>
            <w:shd w:val="clear" w:color="auto" w:fill="1B556B"/>
            <w:vAlign w:val="bottom"/>
          </w:tcPr>
          <w:p w14:paraId="0B32280B" w14:textId="77777777" w:rsidR="001B6E40" w:rsidRPr="00261B7A" w:rsidRDefault="001B6E40" w:rsidP="003E20AD">
            <w:pPr>
              <w:pStyle w:val="TableTextBold"/>
              <w:keepNext/>
              <w:spacing w:before="40"/>
              <w:jc w:val="center"/>
              <w:rPr>
                <w:noProof w:val="0"/>
                <w:color w:val="FFFFFF"/>
              </w:rPr>
            </w:pPr>
            <w:r w:rsidRPr="00261B7A">
              <w:rPr>
                <w:noProof w:val="0"/>
                <w:color w:val="FFFFFF"/>
              </w:rPr>
              <w:t>1990</w:t>
            </w:r>
          </w:p>
        </w:tc>
        <w:tc>
          <w:tcPr>
            <w:tcW w:w="1309" w:type="dxa"/>
            <w:tcBorders>
              <w:top w:val="nil"/>
              <w:bottom w:val="single" w:sz="4" w:space="0" w:color="1B556B"/>
            </w:tcBorders>
            <w:shd w:val="clear" w:color="auto" w:fill="1B556B"/>
            <w:vAlign w:val="bottom"/>
          </w:tcPr>
          <w:p w14:paraId="1E36F76E" w14:textId="77777777" w:rsidR="001B6E40" w:rsidRPr="00261B7A" w:rsidRDefault="001B6E40" w:rsidP="003E20AD">
            <w:pPr>
              <w:pStyle w:val="TableTextBold"/>
              <w:keepNext/>
              <w:spacing w:before="40"/>
              <w:jc w:val="center"/>
              <w:rPr>
                <w:noProof w:val="0"/>
                <w:color w:val="FFFFFF"/>
              </w:rPr>
            </w:pPr>
            <w:r w:rsidRPr="00261B7A">
              <w:rPr>
                <w:noProof w:val="0"/>
                <w:color w:val="FFFFFF"/>
              </w:rPr>
              <w:t>2021</w:t>
            </w:r>
          </w:p>
        </w:tc>
        <w:tc>
          <w:tcPr>
            <w:tcW w:w="1599" w:type="dxa"/>
            <w:vMerge/>
            <w:tcBorders>
              <w:bottom w:val="single" w:sz="4" w:space="0" w:color="1B556B"/>
            </w:tcBorders>
            <w:shd w:val="clear" w:color="auto" w:fill="1B556B"/>
            <w:vAlign w:val="bottom"/>
          </w:tcPr>
          <w:p w14:paraId="3DBEEABD" w14:textId="77777777" w:rsidR="001B6E40" w:rsidRPr="00261B7A" w:rsidRDefault="001B6E40" w:rsidP="003E20AD">
            <w:pPr>
              <w:pStyle w:val="TableTextBold"/>
              <w:keepNext/>
              <w:spacing w:before="40" w:after="40"/>
              <w:jc w:val="center"/>
              <w:rPr>
                <w:rFonts w:ascii="Arial" w:hAnsi="Arial"/>
                <w:noProof w:val="0"/>
                <w:color w:val="FFFFFF"/>
              </w:rPr>
            </w:pPr>
          </w:p>
        </w:tc>
        <w:tc>
          <w:tcPr>
            <w:tcW w:w="1379" w:type="dxa"/>
            <w:vMerge/>
            <w:tcBorders>
              <w:bottom w:val="single" w:sz="4" w:space="0" w:color="1B556B"/>
            </w:tcBorders>
            <w:shd w:val="clear" w:color="auto" w:fill="1B556B"/>
            <w:vAlign w:val="bottom"/>
          </w:tcPr>
          <w:p w14:paraId="60401BD7" w14:textId="77777777" w:rsidR="001B6E40" w:rsidRPr="00261B7A" w:rsidRDefault="001B6E40" w:rsidP="003E20AD">
            <w:pPr>
              <w:pStyle w:val="TableTextBold"/>
              <w:keepNext/>
              <w:spacing w:before="40" w:after="40"/>
              <w:jc w:val="center"/>
              <w:rPr>
                <w:rFonts w:ascii="Arial" w:hAnsi="Arial"/>
                <w:noProof w:val="0"/>
                <w:color w:val="FFFFFF"/>
              </w:rPr>
            </w:pPr>
          </w:p>
        </w:tc>
      </w:tr>
      <w:tr w:rsidR="001B6E40" w:rsidRPr="00261B7A" w14:paraId="27DB1FD6" w14:textId="77777777" w:rsidTr="00375E6D">
        <w:tc>
          <w:tcPr>
            <w:tcW w:w="2764" w:type="dxa"/>
            <w:tcBorders>
              <w:top w:val="single" w:sz="4" w:space="0" w:color="1B556B"/>
              <w:bottom w:val="single" w:sz="4" w:space="0" w:color="1B556B"/>
            </w:tcBorders>
            <w:shd w:val="clear" w:color="auto" w:fill="auto"/>
          </w:tcPr>
          <w:p w14:paraId="39909099" w14:textId="77777777" w:rsidR="001B6E40" w:rsidRPr="00261B7A" w:rsidRDefault="001B6E40" w:rsidP="003E20AD">
            <w:pPr>
              <w:pStyle w:val="TableText"/>
              <w:keepNext/>
              <w:spacing w:before="40" w:after="40"/>
            </w:pPr>
            <w:r w:rsidRPr="00261B7A">
              <w:t>CO</w:t>
            </w:r>
            <w:r w:rsidRPr="00261B7A">
              <w:rPr>
                <w:vertAlign w:val="subscript"/>
              </w:rPr>
              <w:t xml:space="preserve">2 </w:t>
            </w:r>
          </w:p>
        </w:tc>
        <w:tc>
          <w:tcPr>
            <w:tcW w:w="1454" w:type="dxa"/>
            <w:tcBorders>
              <w:top w:val="single" w:sz="4" w:space="0" w:color="1B556B"/>
              <w:bottom w:val="single" w:sz="4" w:space="0" w:color="1B556B"/>
            </w:tcBorders>
            <w:shd w:val="clear" w:color="auto" w:fill="auto"/>
            <w:vAlign w:val="bottom"/>
          </w:tcPr>
          <w:p w14:paraId="7A08219C" w14:textId="77777777" w:rsidR="001B6E40" w:rsidRPr="00261B7A" w:rsidRDefault="001B6E40" w:rsidP="003E20AD">
            <w:pPr>
              <w:pStyle w:val="TableText"/>
              <w:keepNext/>
              <w:spacing w:before="40" w:after="40"/>
              <w:jc w:val="center"/>
            </w:pPr>
            <w:r w:rsidRPr="00261B7A">
              <w:t>1.30</w:t>
            </w:r>
          </w:p>
        </w:tc>
        <w:tc>
          <w:tcPr>
            <w:tcW w:w="1309" w:type="dxa"/>
            <w:tcBorders>
              <w:top w:val="single" w:sz="4" w:space="0" w:color="1B556B"/>
              <w:bottom w:val="single" w:sz="4" w:space="0" w:color="1B556B"/>
            </w:tcBorders>
            <w:shd w:val="clear" w:color="auto" w:fill="auto"/>
            <w:vAlign w:val="bottom"/>
          </w:tcPr>
          <w:p w14:paraId="24FE4A52" w14:textId="77777777" w:rsidR="001B6E40" w:rsidRPr="00261B7A" w:rsidRDefault="001B6E40" w:rsidP="003E20AD">
            <w:pPr>
              <w:pStyle w:val="TableText"/>
              <w:keepNext/>
              <w:spacing w:before="40" w:after="40"/>
              <w:jc w:val="center"/>
            </w:pPr>
            <w:r w:rsidRPr="00261B7A">
              <w:t>2.03</w:t>
            </w:r>
          </w:p>
        </w:tc>
        <w:tc>
          <w:tcPr>
            <w:tcW w:w="1599" w:type="dxa"/>
            <w:tcBorders>
              <w:top w:val="single" w:sz="4" w:space="0" w:color="1B556B"/>
              <w:bottom w:val="single" w:sz="4" w:space="0" w:color="1B556B"/>
            </w:tcBorders>
            <w:shd w:val="clear" w:color="auto" w:fill="auto"/>
            <w:vAlign w:val="bottom"/>
          </w:tcPr>
          <w:p w14:paraId="4A75EDF3" w14:textId="77777777" w:rsidR="001B6E40" w:rsidRPr="00261B7A" w:rsidRDefault="001B6E40" w:rsidP="003E20AD">
            <w:pPr>
              <w:pStyle w:val="TableText"/>
              <w:keepNext/>
              <w:spacing w:before="40" w:after="40"/>
              <w:jc w:val="center"/>
            </w:pPr>
            <w:r w:rsidRPr="00261B7A">
              <w:t>0.73</w:t>
            </w:r>
          </w:p>
        </w:tc>
        <w:tc>
          <w:tcPr>
            <w:tcW w:w="1379" w:type="dxa"/>
            <w:tcBorders>
              <w:top w:val="single" w:sz="4" w:space="0" w:color="1B556B"/>
              <w:bottom w:val="single" w:sz="4" w:space="0" w:color="1B556B"/>
            </w:tcBorders>
            <w:shd w:val="clear" w:color="auto" w:fill="auto"/>
            <w:vAlign w:val="bottom"/>
          </w:tcPr>
          <w:p w14:paraId="29366C07" w14:textId="77777777" w:rsidR="001B6E40" w:rsidRPr="00261B7A" w:rsidRDefault="001B6E40" w:rsidP="003E20AD">
            <w:pPr>
              <w:pStyle w:val="TableText"/>
              <w:keepNext/>
              <w:spacing w:before="40" w:after="40"/>
              <w:jc w:val="center"/>
            </w:pPr>
            <w:r w:rsidRPr="00261B7A">
              <w:t>56.1</w:t>
            </w:r>
          </w:p>
        </w:tc>
      </w:tr>
      <w:tr w:rsidR="001B6E40" w:rsidRPr="00261B7A" w14:paraId="38517E91" w14:textId="77777777" w:rsidTr="00375E6D">
        <w:tc>
          <w:tcPr>
            <w:tcW w:w="2764" w:type="dxa"/>
            <w:tcBorders>
              <w:top w:val="single" w:sz="4" w:space="0" w:color="1B556B"/>
              <w:bottom w:val="single" w:sz="4" w:space="0" w:color="1B556B"/>
            </w:tcBorders>
            <w:shd w:val="clear" w:color="auto" w:fill="auto"/>
          </w:tcPr>
          <w:p w14:paraId="1C611FAC" w14:textId="77777777" w:rsidR="001B6E40" w:rsidRPr="00261B7A" w:rsidRDefault="001B6E40" w:rsidP="003E20AD">
            <w:pPr>
              <w:pStyle w:val="TableText"/>
              <w:spacing w:before="40" w:after="40"/>
            </w:pPr>
            <w:r w:rsidRPr="00261B7A">
              <w:t>CH</w:t>
            </w:r>
            <w:r w:rsidRPr="00261B7A">
              <w:rPr>
                <w:vertAlign w:val="subscript"/>
              </w:rPr>
              <w:t xml:space="preserve">4 </w:t>
            </w:r>
          </w:p>
        </w:tc>
        <w:tc>
          <w:tcPr>
            <w:tcW w:w="1454" w:type="dxa"/>
            <w:tcBorders>
              <w:top w:val="single" w:sz="4" w:space="0" w:color="1B556B"/>
              <w:bottom w:val="single" w:sz="4" w:space="0" w:color="1B556B"/>
            </w:tcBorders>
            <w:shd w:val="clear" w:color="auto" w:fill="auto"/>
            <w:vAlign w:val="bottom"/>
          </w:tcPr>
          <w:p w14:paraId="5508D589" w14:textId="77777777" w:rsidR="001B6E40" w:rsidRPr="00261B7A" w:rsidRDefault="001B6E40" w:rsidP="003E20AD">
            <w:pPr>
              <w:pStyle w:val="TableText"/>
              <w:spacing w:before="40" w:after="40"/>
              <w:jc w:val="center"/>
            </w:pPr>
            <w:r w:rsidRPr="00261B7A">
              <w:t>1.78</w:t>
            </w:r>
          </w:p>
        </w:tc>
        <w:tc>
          <w:tcPr>
            <w:tcW w:w="1309" w:type="dxa"/>
            <w:tcBorders>
              <w:top w:val="single" w:sz="4" w:space="0" w:color="1B556B"/>
              <w:bottom w:val="single" w:sz="4" w:space="0" w:color="1B556B"/>
            </w:tcBorders>
            <w:shd w:val="clear" w:color="auto" w:fill="auto"/>
            <w:vAlign w:val="bottom"/>
          </w:tcPr>
          <w:p w14:paraId="4EF4D09F" w14:textId="77777777" w:rsidR="001B6E40" w:rsidRPr="00261B7A" w:rsidRDefault="001B6E40" w:rsidP="003E20AD">
            <w:pPr>
              <w:pStyle w:val="TableText"/>
              <w:spacing w:before="40" w:after="40"/>
              <w:jc w:val="center"/>
            </w:pPr>
            <w:r w:rsidRPr="00261B7A">
              <w:t>1.48</w:t>
            </w:r>
          </w:p>
        </w:tc>
        <w:tc>
          <w:tcPr>
            <w:tcW w:w="1599" w:type="dxa"/>
            <w:tcBorders>
              <w:top w:val="single" w:sz="4" w:space="0" w:color="1B556B"/>
              <w:bottom w:val="single" w:sz="4" w:space="0" w:color="1B556B"/>
            </w:tcBorders>
            <w:shd w:val="clear" w:color="auto" w:fill="auto"/>
            <w:vAlign w:val="bottom"/>
          </w:tcPr>
          <w:p w14:paraId="20F43429" w14:textId="77777777" w:rsidR="001B6E40" w:rsidRPr="00261B7A" w:rsidRDefault="001B6E40" w:rsidP="003E20AD">
            <w:pPr>
              <w:pStyle w:val="TableText"/>
              <w:spacing w:before="40" w:after="40"/>
              <w:jc w:val="center"/>
            </w:pPr>
            <w:r w:rsidRPr="00261B7A">
              <w:t>–0.31</w:t>
            </w:r>
          </w:p>
        </w:tc>
        <w:tc>
          <w:tcPr>
            <w:tcW w:w="1379" w:type="dxa"/>
            <w:tcBorders>
              <w:top w:val="single" w:sz="4" w:space="0" w:color="1B556B"/>
              <w:bottom w:val="single" w:sz="4" w:space="0" w:color="1B556B"/>
            </w:tcBorders>
            <w:shd w:val="clear" w:color="auto" w:fill="auto"/>
            <w:vAlign w:val="bottom"/>
          </w:tcPr>
          <w:p w14:paraId="5381DEE9" w14:textId="77777777" w:rsidR="001B6E40" w:rsidRPr="00261B7A" w:rsidRDefault="001B6E40" w:rsidP="003E20AD">
            <w:pPr>
              <w:pStyle w:val="TableText"/>
              <w:spacing w:before="40" w:after="40"/>
              <w:jc w:val="center"/>
            </w:pPr>
            <w:r w:rsidRPr="00261B7A">
              <w:t>–17.2</w:t>
            </w:r>
          </w:p>
        </w:tc>
      </w:tr>
      <w:tr w:rsidR="001B6E40" w:rsidRPr="00261B7A" w14:paraId="4E7057E6" w14:textId="77777777" w:rsidTr="00375E6D">
        <w:tc>
          <w:tcPr>
            <w:tcW w:w="2764" w:type="dxa"/>
            <w:tcBorders>
              <w:top w:val="single" w:sz="4" w:space="0" w:color="1B556B"/>
              <w:bottom w:val="single" w:sz="4" w:space="0" w:color="1B556B"/>
            </w:tcBorders>
            <w:shd w:val="clear" w:color="auto" w:fill="auto"/>
          </w:tcPr>
          <w:p w14:paraId="29714610" w14:textId="77777777" w:rsidR="001B6E40" w:rsidRPr="00261B7A" w:rsidRDefault="001B6E40" w:rsidP="003E20AD">
            <w:pPr>
              <w:pStyle w:val="TableText"/>
              <w:spacing w:before="40" w:after="40"/>
            </w:pPr>
            <w:r w:rsidRPr="00261B7A">
              <w:t>N</w:t>
            </w:r>
            <w:r w:rsidRPr="00261B7A">
              <w:rPr>
                <w:vertAlign w:val="subscript"/>
              </w:rPr>
              <w:t>2</w:t>
            </w:r>
            <w:r w:rsidRPr="00261B7A">
              <w:t xml:space="preserve">O </w:t>
            </w:r>
          </w:p>
        </w:tc>
        <w:tc>
          <w:tcPr>
            <w:tcW w:w="1454" w:type="dxa"/>
            <w:tcBorders>
              <w:top w:val="single" w:sz="4" w:space="0" w:color="1B556B"/>
              <w:bottom w:val="single" w:sz="4" w:space="0" w:color="1B556B"/>
            </w:tcBorders>
            <w:shd w:val="clear" w:color="auto" w:fill="auto"/>
            <w:vAlign w:val="bottom"/>
          </w:tcPr>
          <w:p w14:paraId="79998EEE" w14:textId="77777777" w:rsidR="001B6E40" w:rsidRPr="00261B7A" w:rsidRDefault="001B6E40" w:rsidP="003E20AD">
            <w:pPr>
              <w:pStyle w:val="TableText"/>
              <w:spacing w:before="40" w:after="40"/>
              <w:jc w:val="center"/>
            </w:pPr>
            <w:r w:rsidRPr="00261B7A">
              <w:t>0.09</w:t>
            </w:r>
          </w:p>
        </w:tc>
        <w:tc>
          <w:tcPr>
            <w:tcW w:w="1309" w:type="dxa"/>
            <w:tcBorders>
              <w:top w:val="single" w:sz="4" w:space="0" w:color="1B556B"/>
              <w:bottom w:val="single" w:sz="4" w:space="0" w:color="1B556B"/>
            </w:tcBorders>
            <w:shd w:val="clear" w:color="auto" w:fill="auto"/>
            <w:vAlign w:val="bottom"/>
          </w:tcPr>
          <w:p w14:paraId="130D265E" w14:textId="77777777" w:rsidR="001B6E40" w:rsidRPr="00261B7A" w:rsidRDefault="001B6E40" w:rsidP="003E20AD">
            <w:pPr>
              <w:pStyle w:val="TableText"/>
              <w:spacing w:before="40" w:after="40"/>
              <w:jc w:val="center"/>
            </w:pPr>
            <w:r w:rsidRPr="00261B7A">
              <w:t>0.05</w:t>
            </w:r>
          </w:p>
        </w:tc>
        <w:tc>
          <w:tcPr>
            <w:tcW w:w="1599" w:type="dxa"/>
            <w:tcBorders>
              <w:top w:val="single" w:sz="4" w:space="0" w:color="1B556B"/>
              <w:bottom w:val="single" w:sz="4" w:space="0" w:color="1B556B"/>
            </w:tcBorders>
            <w:shd w:val="clear" w:color="auto" w:fill="auto"/>
            <w:vAlign w:val="bottom"/>
          </w:tcPr>
          <w:p w14:paraId="7A8598D2" w14:textId="77777777" w:rsidR="001B6E40" w:rsidRPr="00261B7A" w:rsidRDefault="001B6E40" w:rsidP="003E20AD">
            <w:pPr>
              <w:pStyle w:val="TableText"/>
              <w:spacing w:before="40" w:after="40"/>
              <w:jc w:val="center"/>
            </w:pPr>
            <w:r w:rsidRPr="00261B7A">
              <w:t>–0.04</w:t>
            </w:r>
          </w:p>
        </w:tc>
        <w:tc>
          <w:tcPr>
            <w:tcW w:w="1379" w:type="dxa"/>
            <w:tcBorders>
              <w:top w:val="single" w:sz="4" w:space="0" w:color="1B556B"/>
              <w:bottom w:val="single" w:sz="4" w:space="0" w:color="1B556B"/>
            </w:tcBorders>
            <w:shd w:val="clear" w:color="auto" w:fill="auto"/>
            <w:vAlign w:val="bottom"/>
          </w:tcPr>
          <w:p w14:paraId="7244A4BA" w14:textId="77777777" w:rsidR="001B6E40" w:rsidRPr="00261B7A" w:rsidRDefault="001B6E40" w:rsidP="003E20AD">
            <w:pPr>
              <w:pStyle w:val="TableText"/>
              <w:spacing w:before="40" w:after="40"/>
              <w:jc w:val="center"/>
            </w:pPr>
            <w:r w:rsidRPr="00261B7A">
              <w:t>–41.5</w:t>
            </w:r>
          </w:p>
        </w:tc>
      </w:tr>
      <w:tr w:rsidR="001B6E40" w:rsidRPr="00261B7A" w14:paraId="7D42A9EB" w14:textId="77777777" w:rsidTr="00375E6D">
        <w:tc>
          <w:tcPr>
            <w:tcW w:w="2764" w:type="dxa"/>
            <w:tcBorders>
              <w:top w:val="single" w:sz="4" w:space="0" w:color="1B556B"/>
              <w:bottom w:val="single" w:sz="4" w:space="0" w:color="1B556B"/>
            </w:tcBorders>
            <w:shd w:val="clear" w:color="auto" w:fill="auto"/>
          </w:tcPr>
          <w:p w14:paraId="46E8F4C9" w14:textId="77777777" w:rsidR="001B6E40" w:rsidRPr="00261B7A" w:rsidRDefault="001B6E40" w:rsidP="003E20AD">
            <w:pPr>
              <w:pStyle w:val="TableText"/>
              <w:spacing w:before="40" w:after="40"/>
            </w:pPr>
            <w:r w:rsidRPr="00261B7A">
              <w:t>HFCs</w:t>
            </w:r>
          </w:p>
        </w:tc>
        <w:tc>
          <w:tcPr>
            <w:tcW w:w="1454" w:type="dxa"/>
            <w:tcBorders>
              <w:top w:val="single" w:sz="4" w:space="0" w:color="1B556B"/>
              <w:bottom w:val="single" w:sz="4" w:space="0" w:color="1B556B"/>
            </w:tcBorders>
            <w:shd w:val="clear" w:color="auto" w:fill="auto"/>
            <w:vAlign w:val="bottom"/>
          </w:tcPr>
          <w:p w14:paraId="7203A1E0" w14:textId="77777777" w:rsidR="001B6E40" w:rsidRPr="00261B7A" w:rsidRDefault="001B6E40" w:rsidP="003E20AD">
            <w:pPr>
              <w:pStyle w:val="TableText"/>
              <w:spacing w:before="40" w:after="40"/>
              <w:jc w:val="center"/>
            </w:pPr>
            <w:r w:rsidRPr="00261B7A">
              <w:t>NO</w:t>
            </w:r>
          </w:p>
        </w:tc>
        <w:tc>
          <w:tcPr>
            <w:tcW w:w="1309" w:type="dxa"/>
            <w:tcBorders>
              <w:top w:val="single" w:sz="4" w:space="0" w:color="1B556B"/>
              <w:bottom w:val="single" w:sz="4" w:space="0" w:color="1B556B"/>
            </w:tcBorders>
            <w:shd w:val="clear" w:color="auto" w:fill="auto"/>
            <w:vAlign w:val="bottom"/>
          </w:tcPr>
          <w:p w14:paraId="10660CEF" w14:textId="77777777" w:rsidR="001B6E40" w:rsidRPr="00261B7A" w:rsidRDefault="001B6E40" w:rsidP="003E20AD">
            <w:pPr>
              <w:pStyle w:val="TableText"/>
              <w:spacing w:before="40" w:after="40"/>
              <w:jc w:val="center"/>
            </w:pPr>
            <w:r w:rsidRPr="00261B7A">
              <w:t>0.23</w:t>
            </w:r>
          </w:p>
        </w:tc>
        <w:tc>
          <w:tcPr>
            <w:tcW w:w="1599" w:type="dxa"/>
            <w:tcBorders>
              <w:top w:val="single" w:sz="4" w:space="0" w:color="1B556B"/>
              <w:bottom w:val="single" w:sz="4" w:space="0" w:color="1B556B"/>
            </w:tcBorders>
            <w:shd w:val="clear" w:color="auto" w:fill="auto"/>
            <w:vAlign w:val="bottom"/>
          </w:tcPr>
          <w:p w14:paraId="360AD85C" w14:textId="77777777" w:rsidR="001B6E40" w:rsidRPr="00261B7A" w:rsidRDefault="001B6E40" w:rsidP="003E20AD">
            <w:pPr>
              <w:pStyle w:val="TableText"/>
              <w:spacing w:before="40" w:after="40"/>
              <w:jc w:val="center"/>
            </w:pPr>
            <w:r w:rsidRPr="00261B7A">
              <w:t>0.23</w:t>
            </w:r>
          </w:p>
        </w:tc>
        <w:tc>
          <w:tcPr>
            <w:tcW w:w="1379" w:type="dxa"/>
            <w:tcBorders>
              <w:top w:val="single" w:sz="4" w:space="0" w:color="1B556B"/>
              <w:bottom w:val="single" w:sz="4" w:space="0" w:color="1B556B"/>
            </w:tcBorders>
            <w:shd w:val="clear" w:color="auto" w:fill="auto"/>
            <w:vAlign w:val="center"/>
          </w:tcPr>
          <w:p w14:paraId="591B095A" w14:textId="77777777" w:rsidR="001B6E40" w:rsidRPr="00261B7A" w:rsidRDefault="001B6E40" w:rsidP="003E20AD">
            <w:pPr>
              <w:pStyle w:val="TableText"/>
              <w:spacing w:before="40" w:after="40"/>
              <w:jc w:val="center"/>
            </w:pPr>
            <w:r w:rsidRPr="00261B7A">
              <w:t>NA</w:t>
            </w:r>
          </w:p>
        </w:tc>
      </w:tr>
      <w:tr w:rsidR="001B6E40" w:rsidRPr="00261B7A" w14:paraId="44C79E4A" w14:textId="77777777" w:rsidTr="00375E6D">
        <w:tc>
          <w:tcPr>
            <w:tcW w:w="2764" w:type="dxa"/>
            <w:tcBorders>
              <w:top w:val="single" w:sz="4" w:space="0" w:color="1B556B"/>
              <w:bottom w:val="single" w:sz="4" w:space="0" w:color="1B556B"/>
            </w:tcBorders>
            <w:shd w:val="clear" w:color="auto" w:fill="auto"/>
          </w:tcPr>
          <w:p w14:paraId="017D8F9D" w14:textId="77777777" w:rsidR="001B6E40" w:rsidRPr="00261B7A" w:rsidRDefault="001B6E40" w:rsidP="003E20AD">
            <w:pPr>
              <w:pStyle w:val="TableText"/>
              <w:spacing w:before="40" w:after="40"/>
            </w:pPr>
            <w:r w:rsidRPr="00261B7A">
              <w:t>PFCs</w:t>
            </w:r>
          </w:p>
        </w:tc>
        <w:tc>
          <w:tcPr>
            <w:tcW w:w="1454" w:type="dxa"/>
            <w:tcBorders>
              <w:top w:val="single" w:sz="4" w:space="0" w:color="1B556B"/>
              <w:bottom w:val="single" w:sz="4" w:space="0" w:color="1B556B"/>
            </w:tcBorders>
            <w:shd w:val="clear" w:color="auto" w:fill="auto"/>
            <w:vAlign w:val="bottom"/>
          </w:tcPr>
          <w:p w14:paraId="48FB3B99" w14:textId="77777777" w:rsidR="001B6E40" w:rsidRPr="00261B7A" w:rsidRDefault="001B6E40" w:rsidP="003E20AD">
            <w:pPr>
              <w:pStyle w:val="TableText"/>
              <w:spacing w:before="40" w:after="40"/>
              <w:jc w:val="center"/>
            </w:pPr>
            <w:r w:rsidRPr="00261B7A">
              <w:t>NO</w:t>
            </w:r>
          </w:p>
        </w:tc>
        <w:tc>
          <w:tcPr>
            <w:tcW w:w="1309" w:type="dxa"/>
            <w:tcBorders>
              <w:top w:val="single" w:sz="4" w:space="0" w:color="1B556B"/>
              <w:bottom w:val="single" w:sz="4" w:space="0" w:color="1B556B"/>
            </w:tcBorders>
            <w:shd w:val="clear" w:color="auto" w:fill="auto"/>
            <w:vAlign w:val="bottom"/>
          </w:tcPr>
          <w:p w14:paraId="692A33F3" w14:textId="77777777" w:rsidR="001B6E40" w:rsidRPr="00261B7A" w:rsidRDefault="001B6E40" w:rsidP="003E20AD">
            <w:pPr>
              <w:pStyle w:val="TableText"/>
              <w:spacing w:before="40" w:after="40"/>
              <w:jc w:val="center"/>
            </w:pPr>
            <w:r w:rsidRPr="00261B7A">
              <w:t>NO</w:t>
            </w:r>
          </w:p>
        </w:tc>
        <w:tc>
          <w:tcPr>
            <w:tcW w:w="1599" w:type="dxa"/>
            <w:tcBorders>
              <w:top w:val="single" w:sz="4" w:space="0" w:color="1B556B"/>
              <w:bottom w:val="single" w:sz="4" w:space="0" w:color="1B556B"/>
            </w:tcBorders>
            <w:shd w:val="clear" w:color="auto" w:fill="auto"/>
            <w:vAlign w:val="center"/>
          </w:tcPr>
          <w:p w14:paraId="1317CEA4" w14:textId="77777777" w:rsidR="001B6E40" w:rsidRPr="00261B7A" w:rsidRDefault="001B6E40" w:rsidP="003E20AD">
            <w:pPr>
              <w:pStyle w:val="TableText"/>
              <w:spacing w:before="40" w:after="40"/>
              <w:jc w:val="center"/>
            </w:pPr>
            <w:r w:rsidRPr="00261B7A">
              <w:t>NA</w:t>
            </w:r>
          </w:p>
        </w:tc>
        <w:tc>
          <w:tcPr>
            <w:tcW w:w="1379" w:type="dxa"/>
            <w:tcBorders>
              <w:top w:val="single" w:sz="4" w:space="0" w:color="1B556B"/>
              <w:bottom w:val="single" w:sz="4" w:space="0" w:color="1B556B"/>
            </w:tcBorders>
            <w:shd w:val="clear" w:color="auto" w:fill="auto"/>
            <w:vAlign w:val="center"/>
          </w:tcPr>
          <w:p w14:paraId="135F297F" w14:textId="77777777" w:rsidR="001B6E40" w:rsidRPr="00261B7A" w:rsidRDefault="001B6E40" w:rsidP="003E20AD">
            <w:pPr>
              <w:pStyle w:val="TableText"/>
              <w:spacing w:before="40" w:after="40"/>
              <w:jc w:val="center"/>
            </w:pPr>
            <w:r w:rsidRPr="00261B7A">
              <w:t>NA</w:t>
            </w:r>
          </w:p>
        </w:tc>
      </w:tr>
      <w:tr w:rsidR="001B6E40" w:rsidRPr="00261B7A" w14:paraId="3BDF02CA" w14:textId="77777777" w:rsidTr="00375E6D">
        <w:tc>
          <w:tcPr>
            <w:tcW w:w="2764" w:type="dxa"/>
            <w:tcBorders>
              <w:top w:val="single" w:sz="4" w:space="0" w:color="1B556B"/>
              <w:bottom w:val="single" w:sz="4" w:space="0" w:color="1B556B"/>
            </w:tcBorders>
            <w:shd w:val="clear" w:color="auto" w:fill="auto"/>
          </w:tcPr>
          <w:p w14:paraId="39105CB8" w14:textId="77777777" w:rsidR="001B6E40" w:rsidRPr="00261B7A" w:rsidRDefault="001B6E40" w:rsidP="003E20AD">
            <w:pPr>
              <w:pStyle w:val="TableText"/>
              <w:spacing w:before="40" w:after="40"/>
            </w:pPr>
            <w:r w:rsidRPr="00261B7A">
              <w:t>SF</w:t>
            </w:r>
            <w:r w:rsidRPr="00261B7A">
              <w:rPr>
                <w:vertAlign w:val="subscript"/>
              </w:rPr>
              <w:t>6</w:t>
            </w:r>
          </w:p>
        </w:tc>
        <w:tc>
          <w:tcPr>
            <w:tcW w:w="1454" w:type="dxa"/>
            <w:tcBorders>
              <w:top w:val="single" w:sz="4" w:space="0" w:color="1B556B"/>
              <w:bottom w:val="single" w:sz="4" w:space="0" w:color="1B556B"/>
            </w:tcBorders>
            <w:shd w:val="clear" w:color="auto" w:fill="auto"/>
            <w:vAlign w:val="bottom"/>
          </w:tcPr>
          <w:p w14:paraId="43C1BE88" w14:textId="77777777" w:rsidR="001B6E40" w:rsidRPr="00261B7A" w:rsidRDefault="001B6E40" w:rsidP="003E20AD">
            <w:pPr>
              <w:pStyle w:val="TableText"/>
              <w:spacing w:before="40" w:after="40"/>
              <w:jc w:val="center"/>
            </w:pPr>
            <w:r w:rsidRPr="00261B7A">
              <w:t>NO</w:t>
            </w:r>
          </w:p>
        </w:tc>
        <w:tc>
          <w:tcPr>
            <w:tcW w:w="1309" w:type="dxa"/>
            <w:tcBorders>
              <w:top w:val="single" w:sz="4" w:space="0" w:color="1B556B"/>
              <w:bottom w:val="single" w:sz="4" w:space="0" w:color="1B556B"/>
            </w:tcBorders>
            <w:shd w:val="clear" w:color="auto" w:fill="auto"/>
            <w:vAlign w:val="bottom"/>
          </w:tcPr>
          <w:p w14:paraId="7AB75061" w14:textId="77777777" w:rsidR="001B6E40" w:rsidRPr="00261B7A" w:rsidRDefault="001B6E40" w:rsidP="003E20AD">
            <w:pPr>
              <w:pStyle w:val="TableText"/>
              <w:spacing w:before="40" w:after="40"/>
              <w:jc w:val="center"/>
            </w:pPr>
            <w:r w:rsidRPr="00261B7A">
              <w:t>NO</w:t>
            </w:r>
          </w:p>
        </w:tc>
        <w:tc>
          <w:tcPr>
            <w:tcW w:w="1599" w:type="dxa"/>
            <w:tcBorders>
              <w:top w:val="single" w:sz="4" w:space="0" w:color="1B556B"/>
              <w:bottom w:val="single" w:sz="4" w:space="0" w:color="1B556B"/>
            </w:tcBorders>
            <w:shd w:val="clear" w:color="auto" w:fill="auto"/>
            <w:vAlign w:val="center"/>
          </w:tcPr>
          <w:p w14:paraId="6593856F" w14:textId="77777777" w:rsidR="001B6E40" w:rsidRPr="00261B7A" w:rsidRDefault="001B6E40" w:rsidP="003E20AD">
            <w:pPr>
              <w:pStyle w:val="TableText"/>
              <w:spacing w:before="40" w:after="40"/>
              <w:jc w:val="center"/>
            </w:pPr>
            <w:r w:rsidRPr="00261B7A">
              <w:t>NA</w:t>
            </w:r>
          </w:p>
        </w:tc>
        <w:tc>
          <w:tcPr>
            <w:tcW w:w="1379" w:type="dxa"/>
            <w:tcBorders>
              <w:top w:val="single" w:sz="4" w:space="0" w:color="1B556B"/>
              <w:bottom w:val="single" w:sz="4" w:space="0" w:color="1B556B"/>
            </w:tcBorders>
            <w:shd w:val="clear" w:color="auto" w:fill="auto"/>
            <w:vAlign w:val="center"/>
          </w:tcPr>
          <w:p w14:paraId="6772D840" w14:textId="77777777" w:rsidR="001B6E40" w:rsidRPr="00261B7A" w:rsidRDefault="001B6E40" w:rsidP="003E20AD">
            <w:pPr>
              <w:pStyle w:val="TableText"/>
              <w:spacing w:before="40" w:after="40"/>
              <w:jc w:val="center"/>
            </w:pPr>
            <w:r w:rsidRPr="00261B7A">
              <w:t>NA</w:t>
            </w:r>
          </w:p>
        </w:tc>
      </w:tr>
      <w:tr w:rsidR="001B6E40" w:rsidRPr="00261B7A" w14:paraId="77BAF078" w14:textId="77777777" w:rsidTr="00375E6D">
        <w:tc>
          <w:tcPr>
            <w:tcW w:w="2764" w:type="dxa"/>
            <w:tcBorders>
              <w:top w:val="single" w:sz="4" w:space="0" w:color="1B556B"/>
              <w:bottom w:val="single" w:sz="4" w:space="0" w:color="1B556B"/>
            </w:tcBorders>
            <w:shd w:val="clear" w:color="auto" w:fill="auto"/>
          </w:tcPr>
          <w:p w14:paraId="757ADCAA" w14:textId="77777777" w:rsidR="001B6E40" w:rsidRPr="00261B7A" w:rsidRDefault="001B6E40" w:rsidP="003E20AD">
            <w:pPr>
              <w:pStyle w:val="TableText"/>
              <w:spacing w:before="40" w:after="40"/>
            </w:pPr>
            <w:r w:rsidRPr="00261B7A">
              <w:t>NF</w:t>
            </w:r>
            <w:r w:rsidRPr="00261B7A">
              <w:rPr>
                <w:vertAlign w:val="subscript"/>
              </w:rPr>
              <w:t>3</w:t>
            </w:r>
          </w:p>
        </w:tc>
        <w:tc>
          <w:tcPr>
            <w:tcW w:w="1454" w:type="dxa"/>
            <w:tcBorders>
              <w:top w:val="single" w:sz="4" w:space="0" w:color="1B556B"/>
              <w:bottom w:val="single" w:sz="4" w:space="0" w:color="1B556B"/>
            </w:tcBorders>
            <w:shd w:val="clear" w:color="auto" w:fill="auto"/>
            <w:vAlign w:val="bottom"/>
          </w:tcPr>
          <w:p w14:paraId="05706B6F" w14:textId="77777777" w:rsidR="001B6E40" w:rsidRPr="00261B7A" w:rsidRDefault="001B6E40" w:rsidP="003E20AD">
            <w:pPr>
              <w:pStyle w:val="TableText"/>
              <w:spacing w:before="40" w:after="40"/>
              <w:jc w:val="center"/>
            </w:pPr>
            <w:r w:rsidRPr="00261B7A">
              <w:t>NO</w:t>
            </w:r>
          </w:p>
        </w:tc>
        <w:tc>
          <w:tcPr>
            <w:tcW w:w="1309" w:type="dxa"/>
            <w:tcBorders>
              <w:top w:val="single" w:sz="4" w:space="0" w:color="1B556B"/>
              <w:bottom w:val="single" w:sz="4" w:space="0" w:color="1B556B"/>
            </w:tcBorders>
            <w:shd w:val="clear" w:color="auto" w:fill="auto"/>
            <w:vAlign w:val="bottom"/>
          </w:tcPr>
          <w:p w14:paraId="44D63699" w14:textId="77777777" w:rsidR="001B6E40" w:rsidRPr="00261B7A" w:rsidRDefault="001B6E40" w:rsidP="003E20AD">
            <w:pPr>
              <w:pStyle w:val="TableText"/>
              <w:spacing w:before="40" w:after="40"/>
              <w:jc w:val="center"/>
            </w:pPr>
            <w:r w:rsidRPr="00261B7A">
              <w:t>NO</w:t>
            </w:r>
          </w:p>
        </w:tc>
        <w:tc>
          <w:tcPr>
            <w:tcW w:w="1599" w:type="dxa"/>
            <w:tcBorders>
              <w:top w:val="single" w:sz="4" w:space="0" w:color="1B556B"/>
              <w:bottom w:val="single" w:sz="4" w:space="0" w:color="1B556B"/>
            </w:tcBorders>
            <w:shd w:val="clear" w:color="auto" w:fill="auto"/>
            <w:vAlign w:val="center"/>
          </w:tcPr>
          <w:p w14:paraId="68F96B0A" w14:textId="77777777" w:rsidR="001B6E40" w:rsidRPr="00261B7A" w:rsidRDefault="001B6E40" w:rsidP="003E20AD">
            <w:pPr>
              <w:pStyle w:val="TableText"/>
              <w:spacing w:before="40" w:after="40"/>
              <w:jc w:val="center"/>
            </w:pPr>
            <w:r w:rsidRPr="00261B7A">
              <w:t>NA</w:t>
            </w:r>
          </w:p>
        </w:tc>
        <w:tc>
          <w:tcPr>
            <w:tcW w:w="1379" w:type="dxa"/>
            <w:tcBorders>
              <w:top w:val="single" w:sz="4" w:space="0" w:color="1B556B"/>
              <w:bottom w:val="single" w:sz="4" w:space="0" w:color="1B556B"/>
            </w:tcBorders>
            <w:shd w:val="clear" w:color="auto" w:fill="auto"/>
            <w:vAlign w:val="center"/>
          </w:tcPr>
          <w:p w14:paraId="438C4835" w14:textId="77777777" w:rsidR="001B6E40" w:rsidRPr="00261B7A" w:rsidRDefault="001B6E40" w:rsidP="003E20AD">
            <w:pPr>
              <w:pStyle w:val="TableText"/>
              <w:spacing w:before="40" w:after="40"/>
              <w:jc w:val="center"/>
            </w:pPr>
            <w:r w:rsidRPr="00261B7A">
              <w:t>NA</w:t>
            </w:r>
          </w:p>
        </w:tc>
      </w:tr>
      <w:tr w:rsidR="001B6E40" w:rsidRPr="00261B7A" w14:paraId="60DAD78D" w14:textId="77777777" w:rsidTr="00375E6D">
        <w:tc>
          <w:tcPr>
            <w:tcW w:w="2764" w:type="dxa"/>
            <w:tcBorders>
              <w:top w:val="single" w:sz="4" w:space="0" w:color="1B556B"/>
              <w:bottom w:val="single" w:sz="4" w:space="0" w:color="1B556B"/>
            </w:tcBorders>
            <w:shd w:val="clear" w:color="auto" w:fill="auto"/>
          </w:tcPr>
          <w:p w14:paraId="59A815EA" w14:textId="77777777" w:rsidR="001B6E40" w:rsidRPr="00261B7A" w:rsidRDefault="001B6E40" w:rsidP="003E20AD">
            <w:pPr>
              <w:pStyle w:val="TableTextBold"/>
              <w:spacing w:before="40" w:after="40"/>
              <w:rPr>
                <w:noProof w:val="0"/>
                <w:color w:val="1B556B"/>
              </w:rPr>
            </w:pPr>
            <w:r w:rsidRPr="00261B7A">
              <w:rPr>
                <w:noProof w:val="0"/>
                <w:color w:val="1B556B"/>
              </w:rPr>
              <w:t>Gross, all gases</w:t>
            </w:r>
          </w:p>
        </w:tc>
        <w:tc>
          <w:tcPr>
            <w:tcW w:w="1454" w:type="dxa"/>
            <w:tcBorders>
              <w:top w:val="single" w:sz="4" w:space="0" w:color="1B556B"/>
              <w:bottom w:val="single" w:sz="4" w:space="0" w:color="1B556B"/>
            </w:tcBorders>
            <w:shd w:val="clear" w:color="auto" w:fill="auto"/>
            <w:vAlign w:val="center"/>
          </w:tcPr>
          <w:p w14:paraId="205DA89F" w14:textId="77777777" w:rsidR="001B6E40" w:rsidRPr="00261B7A" w:rsidRDefault="001B6E40" w:rsidP="003E20AD">
            <w:pPr>
              <w:pStyle w:val="TableTextBold"/>
              <w:spacing w:before="40" w:after="40"/>
              <w:jc w:val="center"/>
              <w:rPr>
                <w:noProof w:val="0"/>
                <w:color w:val="1B556B"/>
              </w:rPr>
            </w:pPr>
            <w:r w:rsidRPr="00261B7A">
              <w:rPr>
                <w:noProof w:val="0"/>
                <w:color w:val="1B556B"/>
              </w:rPr>
              <w:t>3.17</w:t>
            </w:r>
          </w:p>
        </w:tc>
        <w:tc>
          <w:tcPr>
            <w:tcW w:w="1309" w:type="dxa"/>
            <w:tcBorders>
              <w:top w:val="single" w:sz="4" w:space="0" w:color="1B556B"/>
              <w:bottom w:val="single" w:sz="4" w:space="0" w:color="1B556B"/>
            </w:tcBorders>
            <w:shd w:val="clear" w:color="auto" w:fill="auto"/>
            <w:vAlign w:val="center"/>
          </w:tcPr>
          <w:p w14:paraId="441AA3D8" w14:textId="77777777" w:rsidR="001B6E40" w:rsidRPr="00261B7A" w:rsidRDefault="001B6E40" w:rsidP="003E20AD">
            <w:pPr>
              <w:pStyle w:val="TableTextBold"/>
              <w:spacing w:before="40" w:after="40"/>
              <w:jc w:val="center"/>
              <w:rPr>
                <w:noProof w:val="0"/>
                <w:color w:val="1B556B"/>
              </w:rPr>
            </w:pPr>
            <w:r w:rsidRPr="00261B7A">
              <w:rPr>
                <w:noProof w:val="0"/>
                <w:color w:val="1B556B"/>
              </w:rPr>
              <w:t>3.78</w:t>
            </w:r>
          </w:p>
        </w:tc>
        <w:tc>
          <w:tcPr>
            <w:tcW w:w="1599" w:type="dxa"/>
            <w:tcBorders>
              <w:top w:val="single" w:sz="4" w:space="0" w:color="1B556B"/>
              <w:bottom w:val="single" w:sz="4" w:space="0" w:color="1B556B"/>
            </w:tcBorders>
            <w:shd w:val="clear" w:color="auto" w:fill="auto"/>
            <w:vAlign w:val="center"/>
          </w:tcPr>
          <w:p w14:paraId="4D0C6544" w14:textId="77777777" w:rsidR="001B6E40" w:rsidRPr="00261B7A" w:rsidRDefault="001B6E40" w:rsidP="003E20AD">
            <w:pPr>
              <w:pStyle w:val="TableTextBold"/>
              <w:spacing w:before="40" w:after="40"/>
              <w:jc w:val="center"/>
              <w:rPr>
                <w:noProof w:val="0"/>
                <w:color w:val="1B556B"/>
              </w:rPr>
            </w:pPr>
            <w:r w:rsidRPr="00261B7A">
              <w:rPr>
                <w:noProof w:val="0"/>
                <w:color w:val="1B556B"/>
              </w:rPr>
              <w:t>0.61</w:t>
            </w:r>
          </w:p>
        </w:tc>
        <w:tc>
          <w:tcPr>
            <w:tcW w:w="1379" w:type="dxa"/>
            <w:tcBorders>
              <w:top w:val="single" w:sz="4" w:space="0" w:color="1B556B"/>
              <w:bottom w:val="single" w:sz="4" w:space="0" w:color="1B556B"/>
            </w:tcBorders>
            <w:shd w:val="clear" w:color="auto" w:fill="auto"/>
            <w:vAlign w:val="center"/>
          </w:tcPr>
          <w:p w14:paraId="6F95CCB3" w14:textId="77777777" w:rsidR="001B6E40" w:rsidRPr="00261B7A" w:rsidRDefault="001B6E40" w:rsidP="003E20AD">
            <w:pPr>
              <w:pStyle w:val="TableTextBold"/>
              <w:spacing w:before="40" w:after="40"/>
              <w:jc w:val="center"/>
              <w:rPr>
                <w:noProof w:val="0"/>
                <w:color w:val="1B556B"/>
              </w:rPr>
            </w:pPr>
            <w:r w:rsidRPr="00261B7A">
              <w:rPr>
                <w:noProof w:val="0"/>
                <w:color w:val="1B556B"/>
              </w:rPr>
              <w:t>19.4</w:t>
            </w:r>
          </w:p>
        </w:tc>
      </w:tr>
    </w:tbl>
    <w:p w14:paraId="468C250C" w14:textId="77777777" w:rsidR="001B6E40" w:rsidRPr="00261B7A" w:rsidRDefault="001B6E40" w:rsidP="001B6E40">
      <w:pPr>
        <w:pStyle w:val="Noteundertable"/>
      </w:pPr>
      <w:r w:rsidRPr="00261B7A">
        <w:rPr>
          <w:b/>
        </w:rPr>
        <w:t xml:space="preserve">Note: </w:t>
      </w:r>
      <w:r w:rsidRPr="00261B7A">
        <w:rPr>
          <w:b/>
        </w:rPr>
        <w:tab/>
      </w:r>
      <w:r w:rsidRPr="00261B7A">
        <w:t>Emissions from the Land Use, Land-Use Change and Forestry sector are not estimated for Tokelau.</w:t>
      </w:r>
      <w:r w:rsidRPr="00261B7A">
        <w:rPr>
          <w:b/>
        </w:rPr>
        <w:t xml:space="preserve"> </w:t>
      </w:r>
      <w:r w:rsidRPr="00261B7A">
        <w:t>The percentage change for hydrofluorocarbons (HFCs) is not applicable (NA) because HFC production or use was not occurring (NO) in 1990. Columns may not total due to rounding. Presented percentages are calculated from unrounded values.</w:t>
      </w:r>
    </w:p>
    <w:p w14:paraId="09761B9F" w14:textId="77777777" w:rsidR="001B6E40" w:rsidRPr="00261B7A" w:rsidRDefault="001B6E40" w:rsidP="001B6E40">
      <w:pPr>
        <w:pStyle w:val="Figure"/>
        <w:rPr>
          <w:rFonts w:eastAsia="Calibri"/>
        </w:rPr>
      </w:pPr>
      <w:bookmarkStart w:id="2660" w:name="_Toc36292827"/>
      <w:bookmarkStart w:id="2661" w:name="_Toc64972934"/>
      <w:bookmarkStart w:id="2662" w:name="_Toc68786691"/>
      <w:bookmarkStart w:id="2663" w:name="_Toc130211299"/>
      <w:bookmarkStart w:id="2664" w:name="_Toc131591584"/>
      <w:bookmarkEnd w:id="2659"/>
      <w:r w:rsidRPr="00261B7A">
        <w:rPr>
          <w:rFonts w:eastAsia="Calibri"/>
        </w:rPr>
        <w:t xml:space="preserve">Figure 8.1.4 </w:t>
      </w:r>
      <w:r w:rsidRPr="00261B7A">
        <w:rPr>
          <w:rFonts w:eastAsia="Calibri"/>
        </w:rPr>
        <w:tab/>
        <w:t>Emissions by sector for Tokelau (kt CO</w:t>
      </w:r>
      <w:r w:rsidRPr="00261B7A">
        <w:rPr>
          <w:rFonts w:eastAsia="Calibri"/>
          <w:vertAlign w:val="subscript"/>
        </w:rPr>
        <w:t>2</w:t>
      </w:r>
      <w:r w:rsidRPr="00261B7A">
        <w:rPr>
          <w:rFonts w:eastAsia="Calibri"/>
        </w:rPr>
        <w:t xml:space="preserve">-e) from 1990 to </w:t>
      </w:r>
      <w:bookmarkEnd w:id="2660"/>
      <w:bookmarkEnd w:id="2661"/>
      <w:bookmarkEnd w:id="2662"/>
      <w:r w:rsidRPr="00261B7A">
        <w:rPr>
          <w:rFonts w:eastAsia="Calibri"/>
        </w:rPr>
        <w:t>2021</w:t>
      </w:r>
      <w:bookmarkEnd w:id="2663"/>
      <w:bookmarkEnd w:id="2664"/>
    </w:p>
    <w:p w14:paraId="130E6992" w14:textId="77777777" w:rsidR="001B6E40" w:rsidRPr="00261B7A" w:rsidRDefault="001B6E40" w:rsidP="001B6E40">
      <w:pPr>
        <w:pStyle w:val="BodyText"/>
        <w:spacing w:before="80" w:after="60"/>
        <w:rPr>
          <w:rFonts w:eastAsia="Calibri"/>
        </w:rPr>
      </w:pPr>
      <w:r w:rsidRPr="00261B7A">
        <w:rPr>
          <w:rFonts w:eastAsia="Calibri"/>
          <w:noProof/>
        </w:rPr>
        <w:drawing>
          <wp:inline distT="0" distB="0" distL="0" distR="0" wp14:anchorId="72E66C37" wp14:editId="0CD27D55">
            <wp:extent cx="5057030" cy="256658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073752" cy="2575069"/>
                    </a:xfrm>
                    <a:prstGeom prst="rect">
                      <a:avLst/>
                    </a:prstGeom>
                    <a:noFill/>
                  </pic:spPr>
                </pic:pic>
              </a:graphicData>
            </a:graphic>
          </wp:inline>
        </w:drawing>
      </w:r>
    </w:p>
    <w:p w14:paraId="2AF4D278" w14:textId="77777777" w:rsidR="001B6E40" w:rsidRPr="00261B7A" w:rsidRDefault="001B6E40" w:rsidP="001B6E40">
      <w:pPr>
        <w:pStyle w:val="Heading5"/>
        <w:spacing w:before="120"/>
      </w:pPr>
      <w:r w:rsidRPr="00261B7A">
        <w:t>2020–2021</w:t>
      </w:r>
    </w:p>
    <w:p w14:paraId="0D3B0390" w14:textId="77777777" w:rsidR="001B6E40" w:rsidRPr="00261B7A" w:rsidRDefault="001B6E40" w:rsidP="001B6E40">
      <w:pPr>
        <w:pStyle w:val="BodyText"/>
      </w:pPr>
      <w:r w:rsidRPr="00261B7A">
        <w:t>Total Tokelau emissions in 2021 were 0.40 kt CO</w:t>
      </w:r>
      <w:r w:rsidRPr="00261B7A">
        <w:rPr>
          <w:vertAlign w:val="subscript"/>
        </w:rPr>
        <w:t>2</w:t>
      </w:r>
      <w:r w:rsidRPr="00261B7A">
        <w:t>-e (9.5 per cent) lower than emissions in 2020. The lower emissions are largely the result of decreases in CO</w:t>
      </w:r>
      <w:r w:rsidRPr="00261B7A">
        <w:rPr>
          <w:vertAlign w:val="subscript"/>
        </w:rPr>
        <w:t>2</w:t>
      </w:r>
      <w:r w:rsidRPr="00261B7A">
        <w:t xml:space="preserve"> emissions in the </w:t>
      </w:r>
      <w:r w:rsidRPr="00261B7A">
        <w:rPr>
          <w:i/>
          <w:iCs/>
        </w:rPr>
        <w:t>Domestic navigation</w:t>
      </w:r>
      <w:r w:rsidRPr="00261B7A">
        <w:t xml:space="preserve"> category. </w:t>
      </w:r>
    </w:p>
    <w:p w14:paraId="2C04671B" w14:textId="77777777" w:rsidR="001B6E40" w:rsidRPr="00261B7A" w:rsidRDefault="001B6E40" w:rsidP="001B6E40">
      <w:pPr>
        <w:pStyle w:val="Heading5"/>
      </w:pPr>
      <w:r w:rsidRPr="00261B7A">
        <w:t>Key categories</w:t>
      </w:r>
    </w:p>
    <w:p w14:paraId="3FF44EB3" w14:textId="77777777" w:rsidR="001B6E40" w:rsidRPr="00261B7A" w:rsidRDefault="001B6E40" w:rsidP="001B6E40">
      <w:pPr>
        <w:pStyle w:val="BodyText"/>
        <w:rPr>
          <w:b/>
        </w:rPr>
      </w:pPr>
      <w:r w:rsidRPr="00261B7A">
        <w:t>Emission categories from Tokelau have been included in the key category analysis, along with all categories reported in New Zealand’s inventory. None of the emission categories from Tokelau are key categories (either level or trend) in the 2023 submission.</w:t>
      </w:r>
    </w:p>
    <w:p w14:paraId="1A7C0557" w14:textId="77777777" w:rsidR="001B6E40" w:rsidRPr="00261B7A" w:rsidRDefault="001B6E40" w:rsidP="001B6E40">
      <w:pPr>
        <w:pStyle w:val="Heading3"/>
      </w:pPr>
      <w:r w:rsidRPr="00261B7A">
        <w:t>8.1.4</w:t>
      </w:r>
      <w:r w:rsidRPr="00261B7A">
        <w:tab/>
        <w:t>Recalculation and improvements</w:t>
      </w:r>
    </w:p>
    <w:p w14:paraId="22E5AC0E" w14:textId="77777777" w:rsidR="001B6E40" w:rsidRPr="00261B7A" w:rsidRDefault="001B6E40" w:rsidP="001B6E40">
      <w:pPr>
        <w:pStyle w:val="BodyText"/>
        <w:rPr>
          <w:lang w:eastAsia="en-GB"/>
        </w:rPr>
      </w:pPr>
      <w:r w:rsidRPr="00261B7A">
        <w:rPr>
          <w:lang w:eastAsia="en-GB"/>
        </w:rPr>
        <w:t>Recalculations made to emission estimates in Tokelau have resulted in no change for 1990 and a 0.004 per cent (0.0002 kt CO</w:t>
      </w:r>
      <w:r w:rsidRPr="00261B7A">
        <w:rPr>
          <w:vertAlign w:val="subscript"/>
          <w:lang w:eastAsia="en-GB"/>
        </w:rPr>
        <w:t>2</w:t>
      </w:r>
      <w:r w:rsidRPr="00261B7A">
        <w:rPr>
          <w:lang w:eastAsia="en-GB"/>
        </w:rPr>
        <w:t xml:space="preserve">-e) increase in emissions in 2020. </w:t>
      </w:r>
      <w:r w:rsidRPr="00261B7A">
        <w:t>This increase in 2020 is the result of more accurate activity data.</w:t>
      </w:r>
    </w:p>
    <w:p w14:paraId="60065992" w14:textId="77777777" w:rsidR="001B6E40" w:rsidRPr="00261B7A" w:rsidRDefault="001B6E40" w:rsidP="00A638DC">
      <w:pPr>
        <w:pStyle w:val="Heading2"/>
      </w:pPr>
      <w:bookmarkStart w:id="2665" w:name="_Toc5269394"/>
      <w:bookmarkStart w:id="2666" w:name="_Toc36224434"/>
      <w:bookmarkStart w:id="2667" w:name="_Toc68786354"/>
      <w:bookmarkStart w:id="2668" w:name="_Toc131591268"/>
      <w:r w:rsidRPr="00261B7A">
        <w:t xml:space="preserve">8.2 </w:t>
      </w:r>
      <w:r w:rsidRPr="00261B7A">
        <w:tab/>
        <w:t>Energy emissions from Tokelau (CRF 6. Tokelau_1)</w:t>
      </w:r>
      <w:bookmarkEnd w:id="2665"/>
      <w:bookmarkEnd w:id="2666"/>
      <w:bookmarkEnd w:id="2667"/>
      <w:bookmarkEnd w:id="2668"/>
    </w:p>
    <w:p w14:paraId="6EA710A0" w14:textId="77777777" w:rsidR="001B6E40" w:rsidRPr="00261B7A" w:rsidRDefault="001B6E40" w:rsidP="001B6E40">
      <w:pPr>
        <w:pStyle w:val="BodyText"/>
      </w:pPr>
      <w:r w:rsidRPr="00261B7A">
        <w:t>The total amount of all energy emissions in Tokelau in 2021 was 2.01 kt CO</w:t>
      </w:r>
      <w:r w:rsidRPr="00261B7A">
        <w:rPr>
          <w:vertAlign w:val="subscript"/>
        </w:rPr>
        <w:t>2</w:t>
      </w:r>
      <w:r w:rsidRPr="00261B7A">
        <w:t xml:space="preserve">-e. This contributed 53.0 per cent to the total emissions from Tokelau and 0.0026 per cent to New Zealand’s gross emissions including Tokelau. The categories that contributed to the energy emissions were </w:t>
      </w:r>
      <w:r w:rsidRPr="00261B7A">
        <w:rPr>
          <w:i/>
        </w:rPr>
        <w:t>Domestic navigation</w:t>
      </w:r>
      <w:r w:rsidRPr="00261B7A">
        <w:t>,</w:t>
      </w:r>
      <w:r w:rsidRPr="00261B7A">
        <w:rPr>
          <w:i/>
        </w:rPr>
        <w:t xml:space="preserve"> Public electricity and heat production </w:t>
      </w:r>
      <w:r w:rsidRPr="00261B7A">
        <w:t>and </w:t>
      </w:r>
      <w:r w:rsidRPr="00261B7A">
        <w:rPr>
          <w:i/>
        </w:rPr>
        <w:t>Other – Residential</w:t>
      </w:r>
      <w:r w:rsidRPr="00261B7A">
        <w:t xml:space="preserve">. </w:t>
      </w:r>
    </w:p>
    <w:p w14:paraId="1A35BB1F" w14:textId="77777777" w:rsidR="001B6E40" w:rsidRPr="00261B7A" w:rsidRDefault="001B6E40" w:rsidP="001B6E40">
      <w:pPr>
        <w:pStyle w:val="BodyText"/>
      </w:pPr>
      <w:r w:rsidRPr="00261B7A">
        <w:t xml:space="preserve">For all energy categories, emissions were estimated using the IPCC Tier 1 methodological approach with default emission factors (2006 IPCC Guidelines). Default uncertainty values from the 2006 IPCC Guidelines were used for all estimates (IPCC, 2006a). </w:t>
      </w:r>
    </w:p>
    <w:p w14:paraId="1A584471" w14:textId="77777777" w:rsidR="001B6E40" w:rsidRPr="00261B7A" w:rsidRDefault="001B6E40" w:rsidP="001B6E40">
      <w:pPr>
        <w:pStyle w:val="BodyText"/>
      </w:pPr>
      <w:r w:rsidRPr="00261B7A">
        <w:rPr>
          <w:lang w:eastAsia="en-GB"/>
        </w:rPr>
        <w:t xml:space="preserve">Tokelau predominately uses diesel oil and petrol (for back-up generators and transport) and liquefied petroleum gas (LPG) (for cooking purposes). Solid fuels are not used in Tokelau, other than on a small scale, and are not estimated, for instance the husks of </w:t>
      </w:r>
      <w:r w:rsidRPr="00261B7A">
        <w:t>locally</w:t>
      </w:r>
      <w:r w:rsidRPr="00261B7A">
        <w:rPr>
          <w:lang w:eastAsia="en-GB"/>
        </w:rPr>
        <w:t xml:space="preserve"> grown coconuts. </w:t>
      </w:r>
    </w:p>
    <w:p w14:paraId="47467506" w14:textId="77777777" w:rsidR="001B6E40" w:rsidRPr="00261B7A" w:rsidRDefault="001B6E40" w:rsidP="001B6E40">
      <w:pPr>
        <w:pStyle w:val="BodyText"/>
        <w:rPr>
          <w:lang w:eastAsia="en-GB"/>
        </w:rPr>
      </w:pPr>
      <w:r w:rsidRPr="00261B7A">
        <w:rPr>
          <w:lang w:eastAsia="en-GB"/>
        </w:rPr>
        <w:t xml:space="preserve">Small amounts of other fossil fuels are imported by Tokelau, which are assumed to be combusted. These include gasoline, other kerosene and lubricants: their combustion is accounted for under </w:t>
      </w:r>
      <w:r w:rsidRPr="00261B7A">
        <w:rPr>
          <w:i/>
          <w:lang w:eastAsia="en-GB"/>
        </w:rPr>
        <w:t>Gas/diesel oil</w:t>
      </w:r>
      <w:r w:rsidRPr="00261B7A">
        <w:rPr>
          <w:lang w:eastAsia="en-GB"/>
        </w:rPr>
        <w:t xml:space="preserve">. Around 40 drums (205-litre capacity per drum) of oil are imported annually, the bulk of which is presumably mixed with petrol and used for ‘outboard’ engines and combusted, with only a few drums used to lubricate cars and other engines. </w:t>
      </w:r>
      <w:r w:rsidRPr="00261B7A" w:rsidDel="00A20A6F">
        <w:rPr>
          <w:lang w:eastAsia="en-GB"/>
        </w:rPr>
        <w:t xml:space="preserve">Because </w:t>
      </w:r>
      <w:r w:rsidRPr="00261B7A">
        <w:rPr>
          <w:lang w:eastAsia="en-GB"/>
        </w:rPr>
        <w:t xml:space="preserve">none of those are recycled, combustion is the most likely outcome. Oil changes carried out in Apia during servicing of the ferries </w:t>
      </w:r>
      <w:r w:rsidRPr="00261B7A">
        <w:rPr>
          <w:i/>
          <w:lang w:eastAsia="en-GB"/>
        </w:rPr>
        <w:t>Mataliki</w:t>
      </w:r>
      <w:r w:rsidRPr="00261B7A">
        <w:rPr>
          <w:lang w:eastAsia="en-GB"/>
        </w:rPr>
        <w:t xml:space="preserve"> and </w:t>
      </w:r>
      <w:r w:rsidRPr="00261B7A">
        <w:rPr>
          <w:i/>
          <w:lang w:eastAsia="en-GB"/>
        </w:rPr>
        <w:t>Kalopaga</w:t>
      </w:r>
      <w:r w:rsidRPr="00261B7A">
        <w:rPr>
          <w:lang w:eastAsia="en-GB"/>
        </w:rPr>
        <w:t xml:space="preserve">, after every five roundtrips, has the more significant amount of waste oil remaining in Samoa not Tokelau. </w:t>
      </w:r>
    </w:p>
    <w:p w14:paraId="75043614" w14:textId="77777777" w:rsidR="001B6E40" w:rsidRPr="00261B7A" w:rsidRDefault="001B6E40" w:rsidP="001B6E40">
      <w:pPr>
        <w:pStyle w:val="BodyText"/>
        <w:rPr>
          <w:lang w:eastAsia="en-GB"/>
        </w:rPr>
      </w:pPr>
      <w:r w:rsidRPr="00261B7A">
        <w:rPr>
          <w:lang w:eastAsia="en-GB"/>
        </w:rPr>
        <w:t>For consistency with New Zealand’s Energy sector, gross calorific values were used for Energy sector estimates from Tokelau. The relevant default IPCC emission factors were adjusted accordingly by multiplying them by 0.95 and 0.90 for liquid and gaseous fuels respectively.</w:t>
      </w:r>
    </w:p>
    <w:p w14:paraId="3D9B815F" w14:textId="77777777" w:rsidR="001B6E40" w:rsidRPr="00261B7A" w:rsidRDefault="001B6E40" w:rsidP="001B6E40">
      <w:pPr>
        <w:pStyle w:val="Heading3"/>
        <w:spacing w:before="280"/>
      </w:pPr>
      <w:r w:rsidRPr="00261B7A">
        <w:t xml:space="preserve">8.2.1 </w:t>
      </w:r>
      <w:r w:rsidRPr="00261B7A">
        <w:tab/>
        <w:t>Reference approach</w:t>
      </w:r>
    </w:p>
    <w:p w14:paraId="11BEE6C4" w14:textId="77777777" w:rsidR="001B6E40" w:rsidRPr="00261B7A" w:rsidRDefault="001B6E40" w:rsidP="001B6E40">
      <w:pPr>
        <w:pStyle w:val="BodyText"/>
        <w:rPr>
          <w:lang w:eastAsia="en-GB"/>
        </w:rPr>
      </w:pPr>
      <w:r w:rsidRPr="00261B7A">
        <w:rPr>
          <w:lang w:eastAsia="en-GB"/>
        </w:rPr>
        <w:t xml:space="preserve">The reference approach calculations were performed according to the methods described in the 2006 IPCC Guidelines. Equations 6.1 to 6.4 from chapter 6 in the 2006 IPCC Guidelines were used for calculating consumption and estimating emissions (IPCC, 2006a). Gross calorific values were used for all calculations. </w:t>
      </w:r>
    </w:p>
    <w:p w14:paraId="63A7AB18" w14:textId="77777777" w:rsidR="001B6E40" w:rsidRPr="00261B7A" w:rsidRDefault="001B6E40" w:rsidP="001B6E40">
      <w:pPr>
        <w:pStyle w:val="BodyText"/>
        <w:rPr>
          <w:lang w:eastAsia="en-GB"/>
        </w:rPr>
      </w:pPr>
      <w:r w:rsidRPr="00261B7A">
        <w:rPr>
          <w:lang w:eastAsia="en-GB"/>
        </w:rPr>
        <w:t>In 2021, total CO</w:t>
      </w:r>
      <w:r w:rsidRPr="00261B7A">
        <w:rPr>
          <w:vertAlign w:val="subscript"/>
          <w:lang w:eastAsia="en-GB"/>
        </w:rPr>
        <w:t>2</w:t>
      </w:r>
      <w:r w:rsidRPr="00261B7A">
        <w:rPr>
          <w:lang w:eastAsia="en-GB"/>
        </w:rPr>
        <w:t xml:space="preserve"> emissions from the reference approach in Tokelau were 1.99 kt, which differs from the sectoral approach by 2.3 per cent. The average variation of differences between the sectoral and reference approach across the time series was 2.2 per cent. </w:t>
      </w:r>
    </w:p>
    <w:p w14:paraId="325B92E8" w14:textId="77777777" w:rsidR="001B6E40" w:rsidRPr="00261B7A" w:rsidRDefault="001B6E40" w:rsidP="001B6E40">
      <w:pPr>
        <w:pStyle w:val="Heading3"/>
        <w:spacing w:before="280"/>
      </w:pPr>
      <w:r w:rsidRPr="00261B7A">
        <w:rPr>
          <w:lang w:eastAsia="en-GB"/>
        </w:rPr>
        <w:t>8.2.2</w:t>
      </w:r>
      <w:r w:rsidRPr="00261B7A">
        <w:rPr>
          <w:lang w:eastAsia="en-GB"/>
        </w:rPr>
        <w:tab/>
        <w:t>International bunker fuels</w:t>
      </w:r>
    </w:p>
    <w:p w14:paraId="7E1FAA4A" w14:textId="77777777" w:rsidR="001B6E40" w:rsidRPr="00261B7A" w:rsidRDefault="001B6E40" w:rsidP="001B6E40">
      <w:pPr>
        <w:pStyle w:val="BodyText"/>
        <w:rPr>
          <w:lang w:eastAsia="en-GB"/>
        </w:rPr>
      </w:pPr>
      <w:r w:rsidRPr="00261B7A">
        <w:rPr>
          <w:lang w:eastAsia="en-GB"/>
        </w:rPr>
        <w:t>No fuel is used for international navigation in Tokelau, because only domestic voyages are made by Tokelau’s vessels. All international voyages use the fuel loaded in Samoa and no refuelling is done in Tokelau for the international routes.</w:t>
      </w:r>
    </w:p>
    <w:p w14:paraId="1FD4DB2F" w14:textId="77777777" w:rsidR="001B6E40" w:rsidRPr="00261B7A" w:rsidRDefault="001B6E40" w:rsidP="001B6E40">
      <w:pPr>
        <w:pStyle w:val="BodyText"/>
      </w:pPr>
      <w:r w:rsidRPr="00261B7A">
        <w:rPr>
          <w:lang w:eastAsia="en-GB"/>
        </w:rPr>
        <w:t xml:space="preserve">Tokelau has no domestic or international aviation transportation. </w:t>
      </w:r>
    </w:p>
    <w:p w14:paraId="43E96F1E" w14:textId="77777777" w:rsidR="001B6E40" w:rsidRPr="00261B7A" w:rsidRDefault="001B6E40" w:rsidP="001B6E40">
      <w:pPr>
        <w:pStyle w:val="Heading3"/>
        <w:spacing w:before="280"/>
      </w:pPr>
      <w:r w:rsidRPr="00261B7A">
        <w:t xml:space="preserve">8.2.3 </w:t>
      </w:r>
      <w:r w:rsidRPr="00261B7A">
        <w:tab/>
        <w:t xml:space="preserve">Stationary combustion: </w:t>
      </w:r>
      <w:r w:rsidRPr="00261B7A">
        <w:rPr>
          <w:iCs/>
        </w:rPr>
        <w:t>Public electricity and heat production</w:t>
      </w:r>
    </w:p>
    <w:p w14:paraId="6D58B1F4" w14:textId="77777777" w:rsidR="001B6E40" w:rsidRPr="00261B7A" w:rsidRDefault="001B6E40" w:rsidP="001B6E40">
      <w:pPr>
        <w:pStyle w:val="Heading4"/>
      </w:pPr>
      <w:r w:rsidRPr="00261B7A">
        <w:t>Description</w:t>
      </w:r>
    </w:p>
    <w:p w14:paraId="7EAFD898" w14:textId="77777777" w:rsidR="001B6E40" w:rsidRPr="00261B7A" w:rsidRDefault="001B6E40" w:rsidP="001B6E40">
      <w:pPr>
        <w:pStyle w:val="BodyText"/>
        <w:spacing w:before="100" w:after="100"/>
      </w:pPr>
      <w:r w:rsidRPr="00261B7A">
        <w:t xml:space="preserve">The main source of emissions from this category in Tokelau includes electricity production from back-up generators. Tokelau uses liquid fossil fuels for these purposes; therefore, only liquid fossil fuels are reported under the </w:t>
      </w:r>
      <w:r w:rsidRPr="00261B7A">
        <w:rPr>
          <w:i/>
        </w:rPr>
        <w:t>Energy industries</w:t>
      </w:r>
      <w:r w:rsidRPr="00261B7A">
        <w:t xml:space="preserve"> category.</w:t>
      </w:r>
    </w:p>
    <w:p w14:paraId="3B154245" w14:textId="77777777" w:rsidR="001B6E40" w:rsidRPr="00261B7A" w:rsidRDefault="001B6E40" w:rsidP="001B6E40">
      <w:pPr>
        <w:pStyle w:val="BodyText"/>
        <w:spacing w:before="100" w:after="100"/>
      </w:pPr>
      <w:r w:rsidRPr="00261B7A">
        <w:t>Like most small Pacific Island nations and territories, Tokelau has been heavily reliant on the importation of fossil fuels for energy generation. Imports increased significantly in 2004, when electric power became available for households 24 hours a day, 7 days a week. Before that, electricity was generated between 6 pm and 10 pm daily, and annual diesel consumption was about 20 per cent of the value in 2011.</w:t>
      </w:r>
    </w:p>
    <w:p w14:paraId="399C1F11" w14:textId="77777777" w:rsidR="001B6E40" w:rsidRPr="00261B7A" w:rsidRDefault="001B6E40" w:rsidP="001B6E40">
      <w:pPr>
        <w:pStyle w:val="BodyText"/>
      </w:pPr>
      <w:r w:rsidRPr="00261B7A">
        <w:t xml:space="preserve">In 2012, the installation of 4,000 solar photovoltaics (PV) systems across the three atolls was completed (figure 8.2.1). Each of the three Tokelau atolls now has a significant array of solar PV systems that cater for almost all local electric power requirements. </w:t>
      </w:r>
    </w:p>
    <w:p w14:paraId="3560AC63" w14:textId="77777777" w:rsidR="001B6E40" w:rsidRPr="00261B7A" w:rsidRDefault="001B6E40" w:rsidP="001B6E40">
      <w:pPr>
        <w:pStyle w:val="Figure"/>
      </w:pPr>
      <w:bookmarkStart w:id="2669" w:name="_Toc5269725"/>
      <w:bookmarkStart w:id="2670" w:name="_Toc36292828"/>
      <w:bookmarkStart w:id="2671" w:name="_Toc64972935"/>
      <w:bookmarkStart w:id="2672" w:name="_Toc68786692"/>
      <w:bookmarkStart w:id="2673" w:name="_Toc130211300"/>
      <w:bookmarkStart w:id="2674" w:name="_Toc131591585"/>
      <w:r w:rsidRPr="00261B7A">
        <w:t xml:space="preserve">Figure 8.2.1 </w:t>
      </w:r>
      <w:r w:rsidRPr="00261B7A">
        <w:tab/>
        <w:t>Cluster block diagram for Tokelau’s solar project</w:t>
      </w:r>
      <w:bookmarkEnd w:id="2669"/>
      <w:bookmarkEnd w:id="2670"/>
      <w:bookmarkEnd w:id="2671"/>
      <w:bookmarkEnd w:id="2672"/>
      <w:bookmarkEnd w:id="2673"/>
      <w:bookmarkEnd w:id="2674"/>
    </w:p>
    <w:p w14:paraId="58C22A4E" w14:textId="77777777" w:rsidR="001B6E40" w:rsidRPr="00261B7A" w:rsidRDefault="001B6E40" w:rsidP="001B6E40">
      <w:pPr>
        <w:pStyle w:val="BodyText"/>
      </w:pPr>
      <w:r w:rsidRPr="00261B7A">
        <w:rPr>
          <w:noProof/>
        </w:rPr>
        <w:drawing>
          <wp:anchor distT="0" distB="0" distL="114300" distR="114300" simplePos="0" relativeHeight="251661312" behindDoc="0" locked="0" layoutInCell="1" allowOverlap="1" wp14:anchorId="021EE965" wp14:editId="76EC6E0D">
            <wp:simplePos x="0" y="0"/>
            <wp:positionH relativeFrom="column">
              <wp:posOffset>2902585</wp:posOffset>
            </wp:positionH>
            <wp:positionV relativeFrom="paragraph">
              <wp:posOffset>1948815</wp:posOffset>
            </wp:positionV>
            <wp:extent cx="1630680" cy="1002030"/>
            <wp:effectExtent l="0" t="0" r="0" b="0"/>
            <wp:wrapNone/>
            <wp:docPr id="23" name="Picture 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ical user interface, application&#10;&#10;Description automatically generated"/>
                    <pic:cNvPicPr>
                      <a:picLocks noChangeAspect="1" noChangeArrowheads="1"/>
                    </pic:cNvPicPr>
                  </pic:nvPicPr>
                  <pic:blipFill>
                    <a:blip r:embed="rId254" cstate="print">
                      <a:extLst>
                        <a:ext uri="{28A0092B-C50C-407E-A947-70E740481C1C}">
                          <a14:useLocalDpi xmlns:a14="http://schemas.microsoft.com/office/drawing/2010/main" val="0"/>
                        </a:ext>
                      </a:extLst>
                    </a:blip>
                    <a:srcRect l="21301" t="41788" r="39508" b="12994"/>
                    <a:stretch>
                      <a:fillRect/>
                    </a:stretch>
                  </pic:blipFill>
                  <pic:spPr bwMode="auto">
                    <a:xfrm>
                      <a:off x="0" y="0"/>
                      <a:ext cx="1630680" cy="1002030"/>
                    </a:xfrm>
                    <a:prstGeom prst="rect">
                      <a:avLst/>
                    </a:prstGeom>
                    <a:noFill/>
                  </pic:spPr>
                </pic:pic>
              </a:graphicData>
            </a:graphic>
            <wp14:sizeRelH relativeFrom="page">
              <wp14:pctWidth>0</wp14:pctWidth>
            </wp14:sizeRelH>
            <wp14:sizeRelV relativeFrom="page">
              <wp14:pctHeight>0</wp14:pctHeight>
            </wp14:sizeRelV>
          </wp:anchor>
        </w:drawing>
      </w:r>
      <w:r w:rsidRPr="00261B7A">
        <w:rPr>
          <w:noProof/>
        </w:rPr>
        <w:drawing>
          <wp:inline distT="0" distB="0" distL="0" distR="0" wp14:anchorId="6746E8ED" wp14:editId="2662B4C6">
            <wp:extent cx="4850130" cy="2743200"/>
            <wp:effectExtent l="0" t="0" r="0" b="0"/>
            <wp:docPr id="25" name="Picture 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Graphical user interface&#10;&#10;Description automatically generated"/>
                    <pic:cNvPicPr>
                      <a:picLocks noChangeAspect="1" noChangeArrowheads="1"/>
                    </pic:cNvPicPr>
                  </pic:nvPicPr>
                  <pic:blipFill>
                    <a:blip r:embed="rId255">
                      <a:extLst>
                        <a:ext uri="{28A0092B-C50C-407E-A947-70E740481C1C}">
                          <a14:useLocalDpi xmlns:a14="http://schemas.microsoft.com/office/drawing/2010/main" val="0"/>
                        </a:ext>
                      </a:extLst>
                    </a:blip>
                    <a:srcRect l="32317" t="31769" r="32909" b="32118"/>
                    <a:stretch>
                      <a:fillRect/>
                    </a:stretch>
                  </pic:blipFill>
                  <pic:spPr bwMode="auto">
                    <a:xfrm>
                      <a:off x="0" y="0"/>
                      <a:ext cx="4850130" cy="2743200"/>
                    </a:xfrm>
                    <a:prstGeom prst="rect">
                      <a:avLst/>
                    </a:prstGeom>
                    <a:noFill/>
                    <a:ln>
                      <a:noFill/>
                    </a:ln>
                  </pic:spPr>
                </pic:pic>
              </a:graphicData>
            </a:graphic>
          </wp:inline>
        </w:drawing>
      </w:r>
    </w:p>
    <w:p w14:paraId="2BDDD219" w14:textId="77777777" w:rsidR="001B6E40" w:rsidRPr="00261B7A" w:rsidRDefault="001B6E40" w:rsidP="001B6E40">
      <w:pPr>
        <w:pStyle w:val="Source"/>
        <w:spacing w:before="240" w:after="120"/>
        <w:rPr>
          <w:sz w:val="18"/>
          <w:szCs w:val="24"/>
        </w:rPr>
      </w:pPr>
      <w:r w:rsidRPr="00261B7A">
        <w:rPr>
          <w:b/>
          <w:sz w:val="18"/>
          <w:szCs w:val="24"/>
        </w:rPr>
        <w:t>Source:</w:t>
      </w:r>
      <w:r w:rsidRPr="00261B7A">
        <w:rPr>
          <w:sz w:val="18"/>
          <w:szCs w:val="24"/>
        </w:rPr>
        <w:tab/>
        <w:t xml:space="preserve">SMA </w:t>
      </w:r>
    </w:p>
    <w:p w14:paraId="77D1C1CD" w14:textId="3753FEA8" w:rsidR="001B6E40" w:rsidRPr="00261B7A" w:rsidRDefault="001B6E40" w:rsidP="001B6E40">
      <w:pPr>
        <w:pStyle w:val="BodyText"/>
      </w:pPr>
      <w:r w:rsidRPr="00261B7A">
        <w:t>Tokelau received wide media coverage for its installation of solar PV units.</w:t>
      </w:r>
      <w:r w:rsidRPr="00261B7A">
        <w:rPr>
          <w:vertAlign w:val="superscript"/>
        </w:rPr>
        <w:footnoteReference w:id="71"/>
      </w:r>
      <w:r w:rsidRPr="00261B7A">
        <w:t xml:space="preserve"> The change resulted in a significant drop in liquid fossil fuels consumption for electricity production in Tokelau (by around 82.5 per cent) and a decrease in the total energy emissions by 36.4 per cent between 2011 and 2013. However, some power generation using diesel remains necessary as a back up, during the failure of solar PV units, prolonged cloudy spells, and to</w:t>
      </w:r>
      <w:r w:rsidR="00C25027" w:rsidRPr="00261B7A">
        <w:t> </w:t>
      </w:r>
      <w:r w:rsidRPr="00261B7A">
        <w:t>meet the steadily increasing demand from households and the public sector.</w:t>
      </w:r>
    </w:p>
    <w:p w14:paraId="4504C291" w14:textId="77777777" w:rsidR="001B6E40" w:rsidRPr="00261B7A" w:rsidRDefault="001B6E40" w:rsidP="001B6E40">
      <w:pPr>
        <w:pStyle w:val="Heading5"/>
      </w:pPr>
      <w:r w:rsidRPr="00261B7A">
        <w:t>Energy emission trends</w:t>
      </w:r>
    </w:p>
    <w:p w14:paraId="62A9207F" w14:textId="77777777" w:rsidR="001B6E40" w:rsidRPr="00261B7A" w:rsidRDefault="001B6E40" w:rsidP="001B6E40">
      <w:pPr>
        <w:pStyle w:val="BodyText"/>
        <w:rPr>
          <w:lang w:eastAsia="en-GB"/>
        </w:rPr>
      </w:pPr>
      <w:r w:rsidRPr="00261B7A">
        <w:rPr>
          <w:lang w:eastAsia="en-GB"/>
        </w:rPr>
        <w:t xml:space="preserve">For Tokelau, the </w:t>
      </w:r>
      <w:r w:rsidRPr="00261B7A">
        <w:rPr>
          <w:i/>
          <w:lang w:eastAsia="en-GB"/>
        </w:rPr>
        <w:t>Public electricity and heat production</w:t>
      </w:r>
      <w:r w:rsidRPr="00261B7A">
        <w:rPr>
          <w:lang w:eastAsia="en-GB"/>
        </w:rPr>
        <w:t xml:space="preserve"> category accounted for </w:t>
      </w:r>
      <w:r w:rsidRPr="00261B7A">
        <w:t>100 per cent</w:t>
      </w:r>
      <w:r w:rsidRPr="00261B7A">
        <w:rPr>
          <w:lang w:eastAsia="en-GB"/>
        </w:rPr>
        <w:t xml:space="preserve"> of the emissions from the </w:t>
      </w:r>
      <w:r w:rsidRPr="00261B7A">
        <w:rPr>
          <w:i/>
          <w:lang w:eastAsia="en-GB"/>
        </w:rPr>
        <w:t>Energy industries</w:t>
      </w:r>
      <w:r w:rsidRPr="00261B7A">
        <w:rPr>
          <w:lang w:eastAsia="en-GB"/>
        </w:rPr>
        <w:t xml:space="preserve"> category for the entire time series. In </w:t>
      </w:r>
      <w:r w:rsidRPr="00261B7A">
        <w:t>2021</w:t>
      </w:r>
      <w:r w:rsidRPr="00261B7A">
        <w:rPr>
          <w:lang w:eastAsia="en-GB"/>
        </w:rPr>
        <w:t xml:space="preserve">, emissions from the </w:t>
      </w:r>
      <w:r w:rsidRPr="00261B7A">
        <w:rPr>
          <w:i/>
          <w:lang w:eastAsia="en-GB"/>
        </w:rPr>
        <w:t>Energy industries</w:t>
      </w:r>
      <w:r w:rsidRPr="00261B7A">
        <w:rPr>
          <w:lang w:eastAsia="en-GB"/>
        </w:rPr>
        <w:t xml:space="preserve"> category totalled </w:t>
      </w:r>
      <w:r w:rsidRPr="00261B7A">
        <w:t xml:space="preserve">0.52 </w:t>
      </w:r>
      <w:r w:rsidRPr="00261B7A">
        <w:rPr>
          <w:lang w:eastAsia="en-GB"/>
        </w:rPr>
        <w:t>kt CO</w:t>
      </w:r>
      <w:r w:rsidRPr="00261B7A">
        <w:rPr>
          <w:vertAlign w:val="subscript"/>
          <w:lang w:eastAsia="en-GB"/>
        </w:rPr>
        <w:t>2</w:t>
      </w:r>
      <w:r w:rsidRPr="00261B7A">
        <w:rPr>
          <w:lang w:eastAsia="en-GB"/>
        </w:rPr>
        <w:t>-e (</w:t>
      </w:r>
      <w:r w:rsidRPr="00261B7A">
        <w:t>26.1 per cent</w:t>
      </w:r>
      <w:r w:rsidRPr="00261B7A">
        <w:rPr>
          <w:lang w:eastAsia="en-GB"/>
        </w:rPr>
        <w:t xml:space="preserve"> of all energy emissions from Tokelau). Emissions from energy industries have </w:t>
      </w:r>
      <w:r w:rsidRPr="00261B7A">
        <w:t>increased by 0.29 </w:t>
      </w:r>
      <w:r w:rsidRPr="00261B7A">
        <w:rPr>
          <w:lang w:eastAsia="en-GB"/>
        </w:rPr>
        <w:t>kt CO</w:t>
      </w:r>
      <w:r w:rsidRPr="00261B7A">
        <w:rPr>
          <w:vertAlign w:val="subscript"/>
          <w:lang w:eastAsia="en-GB"/>
        </w:rPr>
        <w:t>2</w:t>
      </w:r>
      <w:r w:rsidRPr="00261B7A">
        <w:rPr>
          <w:lang w:eastAsia="en-GB"/>
        </w:rPr>
        <w:t>-e (127.1</w:t>
      </w:r>
      <w:r w:rsidRPr="00261B7A">
        <w:t xml:space="preserve"> per cent</w:t>
      </w:r>
      <w:r w:rsidRPr="00261B7A">
        <w:rPr>
          <w:lang w:eastAsia="en-GB"/>
        </w:rPr>
        <w:t xml:space="preserve">) since the 1990 level of </w:t>
      </w:r>
      <w:r w:rsidRPr="00261B7A">
        <w:t xml:space="preserve">0.23 </w:t>
      </w:r>
      <w:r w:rsidRPr="00261B7A">
        <w:rPr>
          <w:lang w:eastAsia="en-GB"/>
        </w:rPr>
        <w:t>kt CO</w:t>
      </w:r>
      <w:r w:rsidRPr="00261B7A">
        <w:rPr>
          <w:vertAlign w:val="subscript"/>
          <w:lang w:eastAsia="en-GB"/>
        </w:rPr>
        <w:t>2</w:t>
      </w:r>
      <w:r w:rsidRPr="00261B7A">
        <w:rPr>
          <w:lang w:eastAsia="en-GB"/>
        </w:rPr>
        <w:t xml:space="preserve">-e. </w:t>
      </w:r>
    </w:p>
    <w:p w14:paraId="0D509097" w14:textId="77777777" w:rsidR="001B6E40" w:rsidRPr="00261B7A" w:rsidRDefault="001B6E40" w:rsidP="001B6E40">
      <w:pPr>
        <w:pStyle w:val="BodyText"/>
        <w:rPr>
          <w:lang w:eastAsia="en-GB"/>
        </w:rPr>
      </w:pPr>
      <w:r w:rsidRPr="00261B7A">
        <w:rPr>
          <w:lang w:eastAsia="en-GB"/>
        </w:rPr>
        <w:t>Effectively, the increase in emissions due to continuously generating electricity from fossil fuels in 2004 was offset by the decrease due to installing the solar PV units in 2012 and solar energy dominating the electricity production sources in Tokelau since then.</w:t>
      </w:r>
      <w:r w:rsidRPr="00261B7A">
        <w:t xml:space="preserve"> Figure 8.2.2 shows emission trends in the Energy sector by category for Tokelau.</w:t>
      </w:r>
    </w:p>
    <w:p w14:paraId="66C7AC46" w14:textId="77777777" w:rsidR="001B6E40" w:rsidRPr="00261B7A" w:rsidRDefault="001B6E40" w:rsidP="001B6E40">
      <w:pPr>
        <w:pStyle w:val="Figure"/>
        <w:rPr>
          <w:rFonts w:eastAsia="Calibri"/>
        </w:rPr>
      </w:pPr>
      <w:bookmarkStart w:id="2675" w:name="_Toc36292829"/>
      <w:bookmarkStart w:id="2676" w:name="_Toc64972936"/>
      <w:bookmarkStart w:id="2677" w:name="_Toc68786693"/>
      <w:bookmarkStart w:id="2678" w:name="_Toc130211301"/>
      <w:bookmarkStart w:id="2679" w:name="_Toc131591586"/>
      <w:r w:rsidRPr="00261B7A">
        <w:rPr>
          <w:rFonts w:eastAsia="Calibri"/>
        </w:rPr>
        <w:t xml:space="preserve">Figure 8.2.2 </w:t>
      </w:r>
      <w:r w:rsidRPr="00261B7A">
        <w:rPr>
          <w:rFonts w:eastAsia="Calibri"/>
        </w:rPr>
        <w:tab/>
        <w:t>Energy emissions by category for Tokelau (kt CO</w:t>
      </w:r>
      <w:r w:rsidRPr="00261B7A">
        <w:rPr>
          <w:rFonts w:eastAsia="Calibri"/>
          <w:vertAlign w:val="subscript"/>
        </w:rPr>
        <w:t>2</w:t>
      </w:r>
      <w:r w:rsidRPr="00261B7A">
        <w:rPr>
          <w:rFonts w:eastAsia="Calibri"/>
        </w:rPr>
        <w:t xml:space="preserve">-e) from 1990 to </w:t>
      </w:r>
      <w:bookmarkEnd w:id="2675"/>
      <w:bookmarkEnd w:id="2676"/>
      <w:bookmarkEnd w:id="2677"/>
      <w:r w:rsidRPr="00261B7A">
        <w:rPr>
          <w:rFonts w:eastAsia="Calibri"/>
        </w:rPr>
        <w:t>2021</w:t>
      </w:r>
      <w:bookmarkEnd w:id="2678"/>
      <w:bookmarkEnd w:id="2679"/>
    </w:p>
    <w:p w14:paraId="1528D4D8" w14:textId="77777777" w:rsidR="001B6E40" w:rsidRPr="00261B7A" w:rsidRDefault="001B6E40" w:rsidP="001B6E40">
      <w:pPr>
        <w:pStyle w:val="BodyText"/>
        <w:spacing w:before="60" w:after="0"/>
        <w:rPr>
          <w:lang w:eastAsia="en-GB"/>
        </w:rPr>
      </w:pPr>
      <w:r w:rsidRPr="00261B7A">
        <w:rPr>
          <w:noProof/>
        </w:rPr>
        <w:drawing>
          <wp:inline distT="0" distB="0" distL="0" distR="0" wp14:anchorId="33BDE041" wp14:editId="60BD232D">
            <wp:extent cx="5175250" cy="2673642"/>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rotWithShape="1">
                    <a:blip r:embed="rId256">
                      <a:extLst>
                        <a:ext uri="{28A0092B-C50C-407E-A947-70E740481C1C}">
                          <a14:useLocalDpi xmlns:a14="http://schemas.microsoft.com/office/drawing/2010/main" val="0"/>
                        </a:ext>
                      </a:extLst>
                    </a:blip>
                    <a:srcRect t="2222" b="2509"/>
                    <a:stretch/>
                  </pic:blipFill>
                  <pic:spPr bwMode="auto">
                    <a:xfrm>
                      <a:off x="0" y="0"/>
                      <a:ext cx="5175993" cy="2674026"/>
                    </a:xfrm>
                    <a:prstGeom prst="rect">
                      <a:avLst/>
                    </a:prstGeom>
                    <a:ln>
                      <a:noFill/>
                    </a:ln>
                    <a:extLst>
                      <a:ext uri="{53640926-AAD7-44D8-BBD7-CCE9431645EC}">
                        <a14:shadowObscured xmlns:a14="http://schemas.microsoft.com/office/drawing/2010/main"/>
                      </a:ext>
                    </a:extLst>
                  </pic:spPr>
                </pic:pic>
              </a:graphicData>
            </a:graphic>
          </wp:inline>
        </w:drawing>
      </w:r>
    </w:p>
    <w:p w14:paraId="5A7A2D05" w14:textId="77777777" w:rsidR="001B6E40" w:rsidRPr="00261B7A" w:rsidRDefault="001B6E40" w:rsidP="00C25027">
      <w:pPr>
        <w:pStyle w:val="Heading4"/>
        <w:spacing w:before="320"/>
      </w:pPr>
      <w:r w:rsidRPr="00261B7A">
        <w:t>Methodological issues</w:t>
      </w:r>
    </w:p>
    <w:p w14:paraId="1C1E0EC2" w14:textId="77777777" w:rsidR="001B6E40" w:rsidRPr="00261B7A" w:rsidRDefault="001B6E40" w:rsidP="001B6E40">
      <w:pPr>
        <w:pStyle w:val="Heading5"/>
        <w:spacing w:before="120"/>
      </w:pPr>
      <w:r w:rsidRPr="00261B7A">
        <w:t>Activity data</w:t>
      </w:r>
    </w:p>
    <w:p w14:paraId="4828D835" w14:textId="77777777" w:rsidR="001B6E40" w:rsidRPr="00261B7A" w:rsidRDefault="001B6E40" w:rsidP="001B6E40">
      <w:pPr>
        <w:pStyle w:val="BodyText"/>
        <w:rPr>
          <w:lang w:eastAsia="en-GB"/>
        </w:rPr>
      </w:pPr>
      <w:r w:rsidRPr="00261B7A">
        <w:rPr>
          <w:lang w:eastAsia="en-GB"/>
        </w:rPr>
        <w:t xml:space="preserve">The sources of activity data for the </w:t>
      </w:r>
      <w:r w:rsidRPr="00261B7A">
        <w:rPr>
          <w:i/>
          <w:lang w:eastAsia="en-GB"/>
        </w:rPr>
        <w:t>Energy industries</w:t>
      </w:r>
      <w:r w:rsidRPr="00261B7A">
        <w:rPr>
          <w:lang w:eastAsia="en-GB"/>
        </w:rPr>
        <w:t xml:space="preserve"> category are included in table 8.1.2. Key sources for the energy supply and consumption data are the Tokelau Department of Energy and Petroleum Product Supplies Ltd (Apia, Samoa). The Tokelau Department of Energy</w:t>
      </w:r>
      <w:r w:rsidRPr="00261B7A" w:rsidDel="003F6449">
        <w:rPr>
          <w:lang w:eastAsia="en-GB"/>
        </w:rPr>
        <w:t xml:space="preserve"> </w:t>
      </w:r>
      <w:r w:rsidRPr="00261B7A">
        <w:rPr>
          <w:lang w:eastAsia="en-GB"/>
        </w:rPr>
        <w:t xml:space="preserve">provided background data for estimates of diesel use for power generation around the time that electricity changed to 24 hours a day, 7 days a week in Tokelau in 2004 (item 6 in table 8.1.2). Based on purchase information, the Department of Finance provided the data on fuel prices and volumes supplied by Petroleum Product Supplies Ltd for shipping and on-atoll use of diesel, petrol, kerosene and lubricant oil (item 7 in table 8.1.2). Only liquid fossil fuels (i.e., gas and diesel oil) are used in the </w:t>
      </w:r>
      <w:r w:rsidRPr="00261B7A">
        <w:rPr>
          <w:i/>
          <w:lang w:eastAsia="en-GB"/>
        </w:rPr>
        <w:t>Energy industries</w:t>
      </w:r>
      <w:r w:rsidRPr="00261B7A">
        <w:rPr>
          <w:lang w:eastAsia="en-GB"/>
        </w:rPr>
        <w:t xml:space="preserve"> category. All fossil fuels in Tokelau are imported, activity data are mostly obtained from analysis of invoices from main suppliers and shipping manifests.</w:t>
      </w:r>
    </w:p>
    <w:p w14:paraId="61FB37C7" w14:textId="77777777" w:rsidR="001B6E40" w:rsidRPr="00261B7A" w:rsidRDefault="001B6E40" w:rsidP="001B6E40">
      <w:pPr>
        <w:pStyle w:val="BodyText"/>
        <w:spacing w:before="100" w:after="100"/>
        <w:rPr>
          <w:lang w:eastAsia="en-GB"/>
        </w:rPr>
      </w:pPr>
      <w:r w:rsidRPr="00261B7A">
        <w:rPr>
          <w:lang w:eastAsia="en-GB"/>
        </w:rPr>
        <w:t>In the course of the analysis of available data, discrepancies were discovered between the fuel imports shown on shipping manifests and the more reliable financial fuel purchase data that were audited. Detailed data were not available for each year from 1990</w:t>
      </w:r>
      <w:r w:rsidRPr="00261B7A">
        <w:rPr>
          <w:color w:val="000000"/>
        </w:rPr>
        <w:t xml:space="preserve"> to </w:t>
      </w:r>
      <w:r w:rsidRPr="00261B7A">
        <w:rPr>
          <w:lang w:eastAsia="en-GB"/>
        </w:rPr>
        <w:t xml:space="preserve">2020 (or data reliability was not high), so a trade-off was made between data granularity and data quality. The biggest and most reliably recorded data variations are reflected in the time series. </w:t>
      </w:r>
    </w:p>
    <w:p w14:paraId="7D97B4EA" w14:textId="77777777" w:rsidR="001B6E40" w:rsidRPr="00261B7A" w:rsidRDefault="001B6E40" w:rsidP="001B6E40">
      <w:pPr>
        <w:pStyle w:val="BodyText"/>
        <w:spacing w:before="100" w:after="100"/>
        <w:rPr>
          <w:lang w:eastAsia="en-GB"/>
        </w:rPr>
      </w:pPr>
      <w:r w:rsidRPr="00261B7A">
        <w:rPr>
          <w:lang w:eastAsia="en-GB"/>
        </w:rPr>
        <w:t>For electricity generation, there were two important events: first, the changeover to 24 hour, 7 days a week electricity in 2004 (from 6 pm to 10 pm before that, at an estimated 20 per cent of the 24 hour, 7 days a week</w:t>
      </w:r>
      <w:r w:rsidRPr="00261B7A" w:rsidDel="005C0F9A">
        <w:rPr>
          <w:lang w:eastAsia="en-GB"/>
        </w:rPr>
        <w:t xml:space="preserve"> </w:t>
      </w:r>
      <w:r w:rsidRPr="00261B7A">
        <w:rPr>
          <w:lang w:eastAsia="en-GB"/>
        </w:rPr>
        <w:t>value in 2011); and second the introduction of solar PV-powered plants in 2012. The change during 2012, due to the installation of solar PV-powered plants, was reasonably well documented and, therefore, reflected in the time series. For the years 1990</w:t>
      </w:r>
      <w:r w:rsidRPr="00261B7A">
        <w:rPr>
          <w:color w:val="000000"/>
        </w:rPr>
        <w:t xml:space="preserve"> to </w:t>
      </w:r>
      <w:r w:rsidRPr="00261B7A">
        <w:rPr>
          <w:lang w:eastAsia="en-GB"/>
        </w:rPr>
        <w:t>2003, 2005</w:t>
      </w:r>
      <w:r w:rsidRPr="00261B7A">
        <w:rPr>
          <w:color w:val="000000"/>
        </w:rPr>
        <w:t xml:space="preserve"> to 20</w:t>
      </w:r>
      <w:r w:rsidRPr="00261B7A">
        <w:rPr>
          <w:lang w:eastAsia="en-GB"/>
        </w:rPr>
        <w:t>11 and 2013</w:t>
      </w:r>
      <w:r w:rsidRPr="00261B7A">
        <w:rPr>
          <w:color w:val="000000"/>
        </w:rPr>
        <w:t xml:space="preserve"> to 20</w:t>
      </w:r>
      <w:r w:rsidRPr="00261B7A">
        <w:rPr>
          <w:lang w:eastAsia="en-GB"/>
        </w:rPr>
        <w:t xml:space="preserve">15, the activity data (and corresponding emissions) are shown as constant. </w:t>
      </w:r>
    </w:p>
    <w:p w14:paraId="40047D3A" w14:textId="77777777" w:rsidR="001B6E40" w:rsidRPr="00261B7A" w:rsidRDefault="001B6E40" w:rsidP="001B6E40">
      <w:pPr>
        <w:pStyle w:val="BodyText"/>
        <w:spacing w:before="100" w:after="100"/>
        <w:rPr>
          <w:lang w:eastAsia="en-GB"/>
        </w:rPr>
      </w:pPr>
      <w:r w:rsidRPr="00261B7A">
        <w:rPr>
          <w:lang w:eastAsia="en-GB"/>
        </w:rPr>
        <w:t>The diesel data for 2013</w:t>
      </w:r>
      <w:r w:rsidRPr="00261B7A">
        <w:rPr>
          <w:color w:val="000000"/>
        </w:rPr>
        <w:t xml:space="preserve"> to 20</w:t>
      </w:r>
      <w:r w:rsidRPr="00261B7A">
        <w:rPr>
          <w:lang w:eastAsia="en-GB"/>
        </w:rPr>
        <w:t>15 were entirely based on analysis during 2018 of fuel purchases, when, for the first time, Tokelau’s analysts could clearly separate out the diesel used on</w:t>
      </w:r>
      <w:r w:rsidRPr="00261B7A">
        <w:rPr>
          <w:lang w:eastAsia="en-GB"/>
        </w:rPr>
        <w:noBreakHyphen/>
        <w:t xml:space="preserve">atoll and for shipping. The methodology for such analyses that was put in place for the 2019 inventory submission was refined in each subsequent submission. </w:t>
      </w:r>
    </w:p>
    <w:p w14:paraId="0744FC9B" w14:textId="77777777" w:rsidR="001B6E40" w:rsidRPr="00261B7A" w:rsidRDefault="001B6E40" w:rsidP="001B6E40">
      <w:pPr>
        <w:pStyle w:val="BodyText"/>
        <w:spacing w:before="100" w:after="100"/>
        <w:rPr>
          <w:lang w:eastAsia="en-GB"/>
        </w:rPr>
      </w:pPr>
      <w:r w:rsidRPr="00261B7A">
        <w:rPr>
          <w:lang w:eastAsia="en-GB"/>
        </w:rPr>
        <w:t>Diesel is delivered on ‘dangerous goods sailings’ to Tokelau in the ships’ fuel bunkers. On arrival, it is pumped into drums on a barge, for shipping to shore and transport to the generator sites.</w:t>
      </w:r>
    </w:p>
    <w:p w14:paraId="7C9B7450" w14:textId="77777777" w:rsidR="001B6E40" w:rsidRPr="00261B7A" w:rsidRDefault="001B6E40" w:rsidP="001B6E40">
      <w:pPr>
        <w:pStyle w:val="Heading5"/>
        <w:spacing w:before="200"/>
      </w:pPr>
      <w:r w:rsidRPr="00261B7A">
        <w:t>Methods and emission factors</w:t>
      </w:r>
    </w:p>
    <w:p w14:paraId="72CA0F21" w14:textId="77777777" w:rsidR="001B6E40" w:rsidRPr="00261B7A" w:rsidRDefault="001B6E40" w:rsidP="001B6E40">
      <w:pPr>
        <w:pStyle w:val="BodyText"/>
        <w:spacing w:before="100" w:after="100"/>
        <w:rPr>
          <w:lang w:eastAsia="en-GB"/>
        </w:rPr>
      </w:pPr>
      <w:r w:rsidRPr="00261B7A">
        <w:rPr>
          <w:lang w:eastAsia="en-GB"/>
        </w:rPr>
        <w:t xml:space="preserve">A Tier 1 method was applied for estimating emissions from the </w:t>
      </w:r>
      <w:r w:rsidRPr="00261B7A">
        <w:rPr>
          <w:i/>
          <w:lang w:eastAsia="en-GB"/>
        </w:rPr>
        <w:t>Public electricity and heat production</w:t>
      </w:r>
      <w:r w:rsidRPr="00261B7A" w:rsidDel="00194BA4">
        <w:rPr>
          <w:i/>
          <w:lang w:eastAsia="en-GB"/>
        </w:rPr>
        <w:t xml:space="preserve"> </w:t>
      </w:r>
      <w:r w:rsidRPr="00261B7A">
        <w:rPr>
          <w:lang w:eastAsia="en-GB"/>
        </w:rPr>
        <w:t>category. The method required the data on the amount of LPG combusted in the source category and a default emission factor from table 2.2, section 2.3.2.1, volume 2 of the 2006 IPCC Guidelines. Default emission factors from the 2006 IPCC Guidelines were converted from net calorific values to gross calorific values using the Organisation for Economic Co</w:t>
      </w:r>
      <w:r w:rsidRPr="00261B7A">
        <w:rPr>
          <w:lang w:eastAsia="en-GB"/>
        </w:rPr>
        <w:noBreakHyphen/>
        <w:t>operation and Development (OECD) and International Energy Agency (IEA) assumptions to make these conversions:</w:t>
      </w:r>
    </w:p>
    <w:p w14:paraId="4CB35EBF" w14:textId="77777777" w:rsidR="001B6E40" w:rsidRPr="00261B7A" w:rsidRDefault="001B6E40" w:rsidP="001B6E40">
      <w:pPr>
        <w:pStyle w:val="BodyText"/>
        <w:spacing w:before="100" w:after="100"/>
        <w:jc w:val="center"/>
        <w:rPr>
          <w:rFonts w:ascii="Cambria Math" w:hAnsi="Cambria Math"/>
          <w:sz w:val="24"/>
          <w:szCs w:val="24"/>
          <w:lang w:eastAsia="en-GB"/>
        </w:rPr>
      </w:pPr>
      <w:r w:rsidRPr="00261B7A">
        <w:rPr>
          <w:rFonts w:ascii="Cambria Math" w:hAnsi="Cambria Math"/>
          <w:sz w:val="24"/>
          <w:szCs w:val="24"/>
          <w:lang w:eastAsia="en-GB"/>
        </w:rPr>
        <w:t>Gross Emission Factor (liquid fuels) = 0.95 x Net Emission Factor</w:t>
      </w:r>
    </w:p>
    <w:p w14:paraId="1846A5AC" w14:textId="77777777" w:rsidR="001B6E40" w:rsidRPr="00261B7A" w:rsidRDefault="001B6E40" w:rsidP="001B6E40">
      <w:pPr>
        <w:pStyle w:val="BodyText"/>
        <w:spacing w:before="100" w:after="100"/>
        <w:rPr>
          <w:lang w:eastAsia="en-GB"/>
        </w:rPr>
      </w:pPr>
      <w:r w:rsidRPr="00261B7A">
        <w:rPr>
          <w:lang w:eastAsia="en-GB"/>
        </w:rPr>
        <w:t xml:space="preserve">Equations 2.1 and 2.2 from section 2.3.1.1 in the 2006 IPCC Guidelines were used for estimating emissions (IPCC, 2006a). </w:t>
      </w:r>
    </w:p>
    <w:p w14:paraId="694E7A9E" w14:textId="77777777" w:rsidR="001B6E40" w:rsidRPr="00261B7A" w:rsidRDefault="001B6E40" w:rsidP="001B6E40">
      <w:pPr>
        <w:pStyle w:val="Heading4"/>
      </w:pPr>
      <w:r w:rsidRPr="00261B7A">
        <w:t>Uncertainties</w:t>
      </w:r>
    </w:p>
    <w:p w14:paraId="02C2F604" w14:textId="77777777" w:rsidR="001B6E40" w:rsidRPr="00261B7A" w:rsidRDefault="001B6E40" w:rsidP="001B6E40">
      <w:pPr>
        <w:pStyle w:val="BodyText"/>
        <w:spacing w:before="100" w:after="100"/>
        <w:rPr>
          <w:lang w:eastAsia="en-GB"/>
        </w:rPr>
      </w:pPr>
      <w:r w:rsidRPr="00261B7A">
        <w:rPr>
          <w:lang w:eastAsia="en-GB"/>
        </w:rPr>
        <w:t>For this submission, it was not possible to develop Tokelau-specific uncertainty values, so, for emission factors, default uncertainty values provided in the 2006 IPCC Guidelines were used for CO</w:t>
      </w:r>
      <w:r w:rsidRPr="00261B7A">
        <w:rPr>
          <w:vertAlign w:val="subscript"/>
          <w:lang w:eastAsia="en-GB"/>
        </w:rPr>
        <w:t>2</w:t>
      </w:r>
      <w:r w:rsidRPr="00261B7A">
        <w:rPr>
          <w:lang w:eastAsia="en-GB"/>
        </w:rPr>
        <w:t xml:space="preserve"> and CH</w:t>
      </w:r>
      <w:r w:rsidRPr="00261B7A">
        <w:rPr>
          <w:vertAlign w:val="subscript"/>
          <w:lang w:eastAsia="en-GB"/>
        </w:rPr>
        <w:t>4</w:t>
      </w:r>
      <w:r w:rsidRPr="00261B7A">
        <w:rPr>
          <w:lang w:eastAsia="en-GB"/>
        </w:rPr>
        <w:t xml:space="preserve"> (for public power, co-generation and district heating) (IPCC, 2006a). Because no quantified default emission factor is provided for N</w:t>
      </w:r>
      <w:r w:rsidRPr="00261B7A">
        <w:rPr>
          <w:vertAlign w:val="subscript"/>
          <w:lang w:eastAsia="en-GB"/>
        </w:rPr>
        <w:t>2</w:t>
      </w:r>
      <w:r w:rsidRPr="00261B7A">
        <w:rPr>
          <w:lang w:eastAsia="en-GB"/>
        </w:rPr>
        <w:t>O, New Zealand’s emission factor uncertainty across the Energy sector for N</w:t>
      </w:r>
      <w:r w:rsidRPr="00261B7A">
        <w:rPr>
          <w:vertAlign w:val="subscript"/>
          <w:lang w:eastAsia="en-GB"/>
        </w:rPr>
        <w:t>2</w:t>
      </w:r>
      <w:r w:rsidRPr="00261B7A">
        <w:rPr>
          <w:lang w:eastAsia="en-GB"/>
        </w:rPr>
        <w:t xml:space="preserve">O was used for this category. </w:t>
      </w:r>
    </w:p>
    <w:p w14:paraId="0C64992D" w14:textId="77777777" w:rsidR="001B6E40" w:rsidRPr="00261B7A" w:rsidRDefault="001B6E40" w:rsidP="001B6E40">
      <w:pPr>
        <w:pStyle w:val="BodyText"/>
        <w:spacing w:before="100" w:after="100"/>
        <w:rPr>
          <w:lang w:eastAsia="en-GB"/>
        </w:rPr>
      </w:pPr>
      <w:r w:rsidRPr="00261B7A">
        <w:rPr>
          <w:lang w:eastAsia="en-GB"/>
        </w:rPr>
        <w:t xml:space="preserve">For activity data, due to the lack of detailed pre-2018 fuel data, an upper level of the default uncertainty range for the main activity electricity and heat production associated with data extrapolation from the 2006 IPCC Guidelines was applied (IPCC, 2006a). Table 8.2.1 shows the use of uncertainties for the </w:t>
      </w:r>
      <w:r w:rsidRPr="00261B7A">
        <w:rPr>
          <w:i/>
          <w:lang w:eastAsia="en-GB"/>
        </w:rPr>
        <w:t xml:space="preserve">Energy industries </w:t>
      </w:r>
      <w:r w:rsidRPr="00261B7A">
        <w:rPr>
          <w:lang w:eastAsia="en-GB"/>
        </w:rPr>
        <w:t>category.</w:t>
      </w:r>
    </w:p>
    <w:p w14:paraId="0A54FCCA" w14:textId="77777777" w:rsidR="001B6E40" w:rsidRPr="00261B7A" w:rsidRDefault="001B6E40" w:rsidP="001B6E40">
      <w:pPr>
        <w:pStyle w:val="Table"/>
      </w:pPr>
      <w:bookmarkStart w:id="2680" w:name="_Toc5269596"/>
      <w:bookmarkStart w:id="2681" w:name="_Toc36224677"/>
      <w:bookmarkStart w:id="2682" w:name="_Toc68786563"/>
      <w:bookmarkStart w:id="2683" w:name="_Toc130211269"/>
      <w:bookmarkStart w:id="2684" w:name="_Toc131591470"/>
      <w:r w:rsidRPr="00261B7A">
        <w:t>Table 8.2.1</w:t>
      </w:r>
      <w:r w:rsidRPr="00261B7A">
        <w:tab/>
        <w:t xml:space="preserve">Uncertainties for the </w:t>
      </w:r>
      <w:r w:rsidRPr="00261B7A">
        <w:rPr>
          <w:i/>
        </w:rPr>
        <w:t>Energy industries</w:t>
      </w:r>
      <w:r w:rsidRPr="00261B7A">
        <w:t xml:space="preserve"> category</w:t>
      </w:r>
      <w:bookmarkEnd w:id="2680"/>
      <w:bookmarkEnd w:id="2681"/>
      <w:bookmarkEnd w:id="2682"/>
      <w:bookmarkEnd w:id="2683"/>
      <w:bookmarkEnd w:id="2684"/>
    </w:p>
    <w:tbl>
      <w:tblPr>
        <w:tblW w:w="8505"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566"/>
        <w:gridCol w:w="983"/>
        <w:gridCol w:w="1407"/>
        <w:gridCol w:w="1691"/>
        <w:gridCol w:w="3858"/>
      </w:tblGrid>
      <w:tr w:rsidR="001B6E40" w:rsidRPr="00261B7A" w14:paraId="03B9DC60" w14:textId="77777777" w:rsidTr="00C25027">
        <w:trPr>
          <w:tblHeader/>
        </w:trPr>
        <w:tc>
          <w:tcPr>
            <w:tcW w:w="333" w:type="pct"/>
            <w:shd w:val="clear" w:color="auto" w:fill="1B556B"/>
            <w:noWrap/>
            <w:vAlign w:val="bottom"/>
            <w:hideMark/>
          </w:tcPr>
          <w:p w14:paraId="797286A5" w14:textId="77777777" w:rsidR="001B6E40" w:rsidRPr="00261B7A" w:rsidRDefault="001B6E40" w:rsidP="003E20AD">
            <w:pPr>
              <w:pStyle w:val="TableTextBold"/>
              <w:keepNext/>
              <w:spacing w:before="40" w:after="40"/>
              <w:rPr>
                <w:noProof w:val="0"/>
                <w:color w:val="FFFFFF"/>
                <w:szCs w:val="16"/>
              </w:rPr>
            </w:pPr>
            <w:r w:rsidRPr="00261B7A">
              <w:rPr>
                <w:noProof w:val="0"/>
                <w:color w:val="FFFFFF"/>
                <w:szCs w:val="16"/>
              </w:rPr>
              <w:t>Gas</w:t>
            </w:r>
          </w:p>
        </w:tc>
        <w:tc>
          <w:tcPr>
            <w:tcW w:w="578" w:type="pct"/>
            <w:shd w:val="clear" w:color="auto" w:fill="1B556B"/>
            <w:noWrap/>
            <w:vAlign w:val="bottom"/>
            <w:hideMark/>
          </w:tcPr>
          <w:p w14:paraId="39A45E82" w14:textId="77777777" w:rsidR="001B6E40" w:rsidRPr="00261B7A" w:rsidRDefault="001B6E40" w:rsidP="003E20AD">
            <w:pPr>
              <w:pStyle w:val="TableTextBold"/>
              <w:keepNext/>
              <w:spacing w:before="40" w:after="40"/>
              <w:rPr>
                <w:noProof w:val="0"/>
                <w:color w:val="FFFFFF"/>
                <w:szCs w:val="16"/>
              </w:rPr>
            </w:pPr>
            <w:r w:rsidRPr="00261B7A">
              <w:rPr>
                <w:noProof w:val="0"/>
                <w:color w:val="FFFFFF"/>
                <w:szCs w:val="16"/>
              </w:rPr>
              <w:t>Fuel type</w:t>
            </w:r>
          </w:p>
        </w:tc>
        <w:tc>
          <w:tcPr>
            <w:tcW w:w="827" w:type="pct"/>
            <w:shd w:val="clear" w:color="auto" w:fill="1B556B"/>
            <w:vAlign w:val="bottom"/>
            <w:hideMark/>
          </w:tcPr>
          <w:p w14:paraId="71CA69D4" w14:textId="77777777" w:rsidR="001B6E40" w:rsidRPr="00261B7A" w:rsidRDefault="001B6E40" w:rsidP="003E20AD">
            <w:pPr>
              <w:pStyle w:val="TableTextBold"/>
              <w:keepNext/>
              <w:spacing w:before="40" w:after="40"/>
              <w:jc w:val="center"/>
              <w:rPr>
                <w:noProof w:val="0"/>
                <w:color w:val="FFFFFF"/>
                <w:szCs w:val="16"/>
              </w:rPr>
            </w:pPr>
            <w:r w:rsidRPr="00261B7A">
              <w:rPr>
                <w:noProof w:val="0"/>
                <w:color w:val="FFFFFF"/>
                <w:szCs w:val="16"/>
              </w:rPr>
              <w:t>Activity data (AD) uncertainty (%)</w:t>
            </w:r>
          </w:p>
        </w:tc>
        <w:tc>
          <w:tcPr>
            <w:tcW w:w="994" w:type="pct"/>
            <w:shd w:val="clear" w:color="auto" w:fill="1B556B"/>
            <w:vAlign w:val="bottom"/>
            <w:hideMark/>
          </w:tcPr>
          <w:p w14:paraId="7D4AEA97" w14:textId="77777777" w:rsidR="001B6E40" w:rsidRPr="00261B7A" w:rsidRDefault="001B6E40" w:rsidP="003E20AD">
            <w:pPr>
              <w:pStyle w:val="TableTextBold"/>
              <w:keepNext/>
              <w:spacing w:before="40" w:after="40"/>
              <w:jc w:val="center"/>
              <w:rPr>
                <w:noProof w:val="0"/>
                <w:color w:val="FFFFFF"/>
                <w:szCs w:val="16"/>
              </w:rPr>
            </w:pPr>
            <w:r w:rsidRPr="00261B7A">
              <w:rPr>
                <w:noProof w:val="0"/>
                <w:color w:val="FFFFFF"/>
                <w:szCs w:val="16"/>
              </w:rPr>
              <w:t>Emission factor (EF) uncertainty (%)</w:t>
            </w:r>
          </w:p>
        </w:tc>
        <w:tc>
          <w:tcPr>
            <w:tcW w:w="2268" w:type="pct"/>
            <w:shd w:val="clear" w:color="auto" w:fill="1B556B"/>
            <w:vAlign w:val="bottom"/>
          </w:tcPr>
          <w:p w14:paraId="3E16975F" w14:textId="77777777" w:rsidR="001B6E40" w:rsidRPr="00261B7A" w:rsidRDefault="001B6E40" w:rsidP="003E20AD">
            <w:pPr>
              <w:pStyle w:val="TableTextBold"/>
              <w:keepNext/>
              <w:spacing w:before="40" w:after="40"/>
              <w:jc w:val="center"/>
              <w:rPr>
                <w:noProof w:val="0"/>
                <w:color w:val="FFFFFF"/>
                <w:szCs w:val="16"/>
              </w:rPr>
            </w:pPr>
            <w:r w:rsidRPr="00261B7A">
              <w:rPr>
                <w:noProof w:val="0"/>
                <w:color w:val="FFFFFF"/>
                <w:szCs w:val="16"/>
              </w:rPr>
              <w:t>Source</w:t>
            </w:r>
          </w:p>
        </w:tc>
      </w:tr>
      <w:tr w:rsidR="001B6E40" w:rsidRPr="00261B7A" w14:paraId="07869D53" w14:textId="77777777" w:rsidTr="00C25027">
        <w:tc>
          <w:tcPr>
            <w:tcW w:w="333" w:type="pct"/>
            <w:shd w:val="clear" w:color="auto" w:fill="auto"/>
            <w:noWrap/>
            <w:hideMark/>
          </w:tcPr>
          <w:p w14:paraId="0C47FF95" w14:textId="77777777" w:rsidR="001B6E40" w:rsidRPr="00261B7A" w:rsidRDefault="001B6E40" w:rsidP="003E20AD">
            <w:pPr>
              <w:pStyle w:val="TableText"/>
              <w:rPr>
                <w:szCs w:val="16"/>
              </w:rPr>
            </w:pPr>
            <w:r w:rsidRPr="00261B7A">
              <w:rPr>
                <w:szCs w:val="16"/>
              </w:rPr>
              <w:t>CO</w:t>
            </w:r>
            <w:r w:rsidRPr="00261B7A">
              <w:rPr>
                <w:szCs w:val="16"/>
                <w:vertAlign w:val="subscript"/>
              </w:rPr>
              <w:t>2</w:t>
            </w:r>
          </w:p>
        </w:tc>
        <w:tc>
          <w:tcPr>
            <w:tcW w:w="578" w:type="pct"/>
            <w:shd w:val="clear" w:color="auto" w:fill="auto"/>
            <w:noWrap/>
            <w:hideMark/>
          </w:tcPr>
          <w:p w14:paraId="4124AD27" w14:textId="77777777" w:rsidR="001B6E40" w:rsidRPr="00261B7A" w:rsidRDefault="001B6E40" w:rsidP="003E20AD">
            <w:pPr>
              <w:pStyle w:val="TableText"/>
              <w:rPr>
                <w:szCs w:val="16"/>
              </w:rPr>
            </w:pPr>
            <w:r w:rsidRPr="00261B7A">
              <w:rPr>
                <w:szCs w:val="16"/>
              </w:rPr>
              <w:t>Liquid fuels</w:t>
            </w:r>
          </w:p>
        </w:tc>
        <w:tc>
          <w:tcPr>
            <w:tcW w:w="827" w:type="pct"/>
            <w:shd w:val="clear" w:color="auto" w:fill="auto"/>
            <w:noWrap/>
            <w:hideMark/>
          </w:tcPr>
          <w:p w14:paraId="37138996" w14:textId="77777777" w:rsidR="001B6E40" w:rsidRPr="00261B7A" w:rsidRDefault="001B6E40" w:rsidP="003E20AD">
            <w:pPr>
              <w:pStyle w:val="TableText"/>
              <w:jc w:val="center"/>
              <w:rPr>
                <w:szCs w:val="16"/>
              </w:rPr>
            </w:pPr>
            <w:r w:rsidRPr="00261B7A">
              <w:rPr>
                <w:szCs w:val="16"/>
              </w:rPr>
              <w:t>10</w:t>
            </w:r>
          </w:p>
        </w:tc>
        <w:tc>
          <w:tcPr>
            <w:tcW w:w="994" w:type="pct"/>
            <w:shd w:val="clear" w:color="auto" w:fill="auto"/>
            <w:noWrap/>
            <w:hideMark/>
          </w:tcPr>
          <w:p w14:paraId="0391FFDC" w14:textId="77777777" w:rsidR="001B6E40" w:rsidRPr="00261B7A" w:rsidRDefault="001B6E40" w:rsidP="003E20AD">
            <w:pPr>
              <w:pStyle w:val="TableText"/>
              <w:jc w:val="center"/>
              <w:rPr>
                <w:szCs w:val="16"/>
              </w:rPr>
            </w:pPr>
            <w:r w:rsidRPr="00261B7A">
              <w:rPr>
                <w:szCs w:val="16"/>
              </w:rPr>
              <w:t>±7</w:t>
            </w:r>
          </w:p>
        </w:tc>
        <w:tc>
          <w:tcPr>
            <w:tcW w:w="2268" w:type="pct"/>
          </w:tcPr>
          <w:p w14:paraId="13114F86" w14:textId="77777777" w:rsidR="001B6E40" w:rsidRPr="00261B7A" w:rsidRDefault="001B6E40" w:rsidP="003E20AD">
            <w:pPr>
              <w:pStyle w:val="TableText"/>
              <w:spacing w:after="20"/>
              <w:rPr>
                <w:szCs w:val="16"/>
              </w:rPr>
            </w:pPr>
            <w:r w:rsidRPr="00261B7A">
              <w:rPr>
                <w:szCs w:val="16"/>
              </w:rPr>
              <w:t>AD: page 2.41, IPCC, 2006a (table 2.15)</w:t>
            </w:r>
          </w:p>
          <w:p w14:paraId="1A248ECA" w14:textId="77777777" w:rsidR="001B6E40" w:rsidRPr="00261B7A" w:rsidRDefault="001B6E40" w:rsidP="003E20AD">
            <w:pPr>
              <w:pStyle w:val="TableText"/>
              <w:spacing w:before="0"/>
              <w:rPr>
                <w:szCs w:val="16"/>
              </w:rPr>
            </w:pPr>
            <w:r w:rsidRPr="00261B7A">
              <w:rPr>
                <w:szCs w:val="16"/>
              </w:rPr>
              <w:t xml:space="preserve">EF: page 2.38, IPCC, 2006a </w:t>
            </w:r>
          </w:p>
        </w:tc>
      </w:tr>
      <w:tr w:rsidR="001B6E40" w:rsidRPr="00261B7A" w14:paraId="3EE1279D" w14:textId="77777777" w:rsidTr="00C25027">
        <w:tc>
          <w:tcPr>
            <w:tcW w:w="333" w:type="pct"/>
            <w:shd w:val="clear" w:color="auto" w:fill="auto"/>
            <w:noWrap/>
            <w:hideMark/>
          </w:tcPr>
          <w:p w14:paraId="524E26A2" w14:textId="77777777" w:rsidR="001B6E40" w:rsidRPr="00261B7A" w:rsidRDefault="001B6E40" w:rsidP="003E20AD">
            <w:pPr>
              <w:pStyle w:val="TableText"/>
              <w:rPr>
                <w:szCs w:val="16"/>
              </w:rPr>
            </w:pPr>
            <w:r w:rsidRPr="00261B7A">
              <w:rPr>
                <w:szCs w:val="16"/>
              </w:rPr>
              <w:t>CH</w:t>
            </w:r>
            <w:r w:rsidRPr="00261B7A">
              <w:rPr>
                <w:szCs w:val="16"/>
                <w:vertAlign w:val="subscript"/>
              </w:rPr>
              <w:t>4</w:t>
            </w:r>
          </w:p>
        </w:tc>
        <w:tc>
          <w:tcPr>
            <w:tcW w:w="578" w:type="pct"/>
            <w:shd w:val="clear" w:color="auto" w:fill="auto"/>
            <w:noWrap/>
            <w:hideMark/>
          </w:tcPr>
          <w:p w14:paraId="1B2CF882" w14:textId="77777777" w:rsidR="001B6E40" w:rsidRPr="00261B7A" w:rsidRDefault="001B6E40" w:rsidP="003E20AD">
            <w:pPr>
              <w:pStyle w:val="TableText"/>
              <w:rPr>
                <w:szCs w:val="16"/>
              </w:rPr>
            </w:pPr>
            <w:r w:rsidRPr="00261B7A">
              <w:rPr>
                <w:szCs w:val="16"/>
              </w:rPr>
              <w:t>Liquid fuels</w:t>
            </w:r>
          </w:p>
        </w:tc>
        <w:tc>
          <w:tcPr>
            <w:tcW w:w="827" w:type="pct"/>
            <w:shd w:val="clear" w:color="auto" w:fill="auto"/>
            <w:noWrap/>
            <w:hideMark/>
          </w:tcPr>
          <w:p w14:paraId="27465D08" w14:textId="77777777" w:rsidR="001B6E40" w:rsidRPr="00261B7A" w:rsidRDefault="001B6E40" w:rsidP="003E20AD">
            <w:pPr>
              <w:pStyle w:val="TableText"/>
              <w:jc w:val="center"/>
              <w:rPr>
                <w:szCs w:val="16"/>
              </w:rPr>
            </w:pPr>
            <w:r w:rsidRPr="00261B7A">
              <w:rPr>
                <w:szCs w:val="16"/>
              </w:rPr>
              <w:t>10</w:t>
            </w:r>
          </w:p>
        </w:tc>
        <w:tc>
          <w:tcPr>
            <w:tcW w:w="994" w:type="pct"/>
            <w:shd w:val="clear" w:color="auto" w:fill="auto"/>
            <w:noWrap/>
            <w:hideMark/>
          </w:tcPr>
          <w:p w14:paraId="516BD286" w14:textId="77777777" w:rsidR="001B6E40" w:rsidRPr="00261B7A" w:rsidRDefault="001B6E40" w:rsidP="003E20AD">
            <w:pPr>
              <w:pStyle w:val="TableText"/>
              <w:jc w:val="center"/>
              <w:rPr>
                <w:szCs w:val="16"/>
              </w:rPr>
            </w:pPr>
            <w:r w:rsidRPr="00261B7A">
              <w:rPr>
                <w:szCs w:val="16"/>
              </w:rPr>
              <w:t>±50.0</w:t>
            </w:r>
          </w:p>
        </w:tc>
        <w:tc>
          <w:tcPr>
            <w:tcW w:w="2268" w:type="pct"/>
          </w:tcPr>
          <w:p w14:paraId="3078379F" w14:textId="77777777" w:rsidR="001B6E40" w:rsidRPr="00261B7A" w:rsidRDefault="001B6E40" w:rsidP="003E20AD">
            <w:pPr>
              <w:pStyle w:val="TableText"/>
              <w:spacing w:after="20"/>
              <w:rPr>
                <w:szCs w:val="16"/>
              </w:rPr>
            </w:pPr>
            <w:r w:rsidRPr="00261B7A">
              <w:rPr>
                <w:szCs w:val="16"/>
              </w:rPr>
              <w:t>AD: page 2.41, IPCC, 2006a (table 2.15)</w:t>
            </w:r>
          </w:p>
          <w:p w14:paraId="0EFA998B" w14:textId="77777777" w:rsidR="001B6E40" w:rsidRPr="00261B7A" w:rsidRDefault="001B6E40" w:rsidP="003E20AD">
            <w:pPr>
              <w:pStyle w:val="TableText"/>
              <w:spacing w:before="0"/>
              <w:rPr>
                <w:szCs w:val="16"/>
              </w:rPr>
            </w:pPr>
            <w:r w:rsidRPr="00261B7A">
              <w:rPr>
                <w:szCs w:val="16"/>
              </w:rPr>
              <w:t>EF: page 2.38, IPCC, 2006a (table 2.12)</w:t>
            </w:r>
          </w:p>
        </w:tc>
      </w:tr>
      <w:tr w:rsidR="001B6E40" w:rsidRPr="00261B7A" w14:paraId="7A8A4FFC" w14:textId="77777777" w:rsidTr="00C25027">
        <w:tc>
          <w:tcPr>
            <w:tcW w:w="333" w:type="pct"/>
            <w:shd w:val="clear" w:color="auto" w:fill="auto"/>
            <w:noWrap/>
            <w:hideMark/>
          </w:tcPr>
          <w:p w14:paraId="5EB97BC3" w14:textId="77777777" w:rsidR="001B6E40" w:rsidRPr="00261B7A" w:rsidRDefault="001B6E40" w:rsidP="003E20AD">
            <w:pPr>
              <w:pStyle w:val="TableText"/>
              <w:rPr>
                <w:szCs w:val="16"/>
              </w:rPr>
            </w:pPr>
            <w:r w:rsidRPr="00261B7A">
              <w:rPr>
                <w:szCs w:val="16"/>
              </w:rPr>
              <w:t>N</w:t>
            </w:r>
            <w:r w:rsidRPr="00261B7A">
              <w:rPr>
                <w:szCs w:val="16"/>
                <w:vertAlign w:val="subscript"/>
              </w:rPr>
              <w:t>2</w:t>
            </w:r>
            <w:r w:rsidRPr="00261B7A">
              <w:rPr>
                <w:szCs w:val="16"/>
              </w:rPr>
              <w:t>O</w:t>
            </w:r>
          </w:p>
        </w:tc>
        <w:tc>
          <w:tcPr>
            <w:tcW w:w="578" w:type="pct"/>
            <w:shd w:val="clear" w:color="auto" w:fill="auto"/>
            <w:noWrap/>
            <w:hideMark/>
          </w:tcPr>
          <w:p w14:paraId="0CCDDDDB" w14:textId="77777777" w:rsidR="001B6E40" w:rsidRPr="00261B7A" w:rsidRDefault="001B6E40" w:rsidP="003E20AD">
            <w:pPr>
              <w:pStyle w:val="TableText"/>
              <w:rPr>
                <w:szCs w:val="16"/>
              </w:rPr>
            </w:pPr>
            <w:r w:rsidRPr="00261B7A">
              <w:rPr>
                <w:szCs w:val="16"/>
              </w:rPr>
              <w:t>Liquid fuels</w:t>
            </w:r>
          </w:p>
        </w:tc>
        <w:tc>
          <w:tcPr>
            <w:tcW w:w="827" w:type="pct"/>
            <w:shd w:val="clear" w:color="auto" w:fill="auto"/>
            <w:noWrap/>
            <w:hideMark/>
          </w:tcPr>
          <w:p w14:paraId="50C4D141" w14:textId="77777777" w:rsidR="001B6E40" w:rsidRPr="00261B7A" w:rsidRDefault="001B6E40" w:rsidP="003E20AD">
            <w:pPr>
              <w:pStyle w:val="TableText"/>
              <w:jc w:val="center"/>
              <w:rPr>
                <w:szCs w:val="16"/>
              </w:rPr>
            </w:pPr>
            <w:r w:rsidRPr="00261B7A">
              <w:rPr>
                <w:szCs w:val="16"/>
              </w:rPr>
              <w:t>10</w:t>
            </w:r>
          </w:p>
        </w:tc>
        <w:tc>
          <w:tcPr>
            <w:tcW w:w="994" w:type="pct"/>
            <w:shd w:val="clear" w:color="auto" w:fill="auto"/>
            <w:noWrap/>
            <w:hideMark/>
          </w:tcPr>
          <w:p w14:paraId="299C9B62" w14:textId="77777777" w:rsidR="001B6E40" w:rsidRPr="00261B7A" w:rsidRDefault="001B6E40" w:rsidP="003E20AD">
            <w:pPr>
              <w:pStyle w:val="TableText"/>
              <w:jc w:val="center"/>
              <w:rPr>
                <w:szCs w:val="16"/>
              </w:rPr>
            </w:pPr>
            <w:r w:rsidRPr="00261B7A">
              <w:rPr>
                <w:szCs w:val="16"/>
              </w:rPr>
              <w:t>±50.0</w:t>
            </w:r>
          </w:p>
        </w:tc>
        <w:tc>
          <w:tcPr>
            <w:tcW w:w="2268" w:type="pct"/>
          </w:tcPr>
          <w:p w14:paraId="7801C03C" w14:textId="77777777" w:rsidR="001B6E40" w:rsidRPr="00261B7A" w:rsidRDefault="001B6E40" w:rsidP="003E20AD">
            <w:pPr>
              <w:pStyle w:val="TableText"/>
              <w:spacing w:after="20"/>
              <w:rPr>
                <w:szCs w:val="16"/>
              </w:rPr>
            </w:pPr>
            <w:r w:rsidRPr="00261B7A">
              <w:rPr>
                <w:szCs w:val="16"/>
              </w:rPr>
              <w:t>AD: page 2.41, IPCC, 2006a (table 2.15)</w:t>
            </w:r>
          </w:p>
          <w:p w14:paraId="7638C27E" w14:textId="77777777" w:rsidR="001B6E40" w:rsidRPr="00261B7A" w:rsidRDefault="001B6E40" w:rsidP="003E20AD">
            <w:pPr>
              <w:pStyle w:val="TableText"/>
              <w:spacing w:before="0"/>
              <w:rPr>
                <w:szCs w:val="16"/>
              </w:rPr>
            </w:pPr>
            <w:r w:rsidRPr="00261B7A">
              <w:rPr>
                <w:szCs w:val="16"/>
              </w:rPr>
              <w:t>EF: New Zealand’s value is used (table 3.3.1, chapter 3)</w:t>
            </w:r>
          </w:p>
        </w:tc>
      </w:tr>
    </w:tbl>
    <w:p w14:paraId="272B6C43" w14:textId="77777777" w:rsidR="001B6E40" w:rsidRPr="00261B7A" w:rsidRDefault="001B6E40" w:rsidP="001B6E40">
      <w:pPr>
        <w:pStyle w:val="Heading4"/>
      </w:pPr>
      <w:r w:rsidRPr="00261B7A">
        <w:t>Source-specific planned improvements</w:t>
      </w:r>
    </w:p>
    <w:p w14:paraId="47E5079A" w14:textId="77777777" w:rsidR="001B6E40" w:rsidRPr="00261B7A" w:rsidRDefault="001B6E40" w:rsidP="001B6E40">
      <w:pPr>
        <w:pStyle w:val="BodyText"/>
      </w:pPr>
      <w:r w:rsidRPr="00261B7A">
        <w:t>No improvements are planned for energy industries. Some areas identified for possible improvements are better monitoring of diesel fuel landing on-atoll at the power sites, and clearly separating fuel used for power generation from heavy machinery and diesel</w:t>
      </w:r>
      <w:r w:rsidRPr="00261B7A">
        <w:noBreakHyphen/>
        <w:t>powered vehicles. Data on gross electricity production from oil were acquired in late 2019 from the International Renewable Energy Agency; these could provide additional detail and verification of energy use back to their base year 2000. Future imports of coolants (ethylene glycol) for the solar PV-powered plants may also be considered in future.</w:t>
      </w:r>
    </w:p>
    <w:p w14:paraId="386180CD" w14:textId="77777777" w:rsidR="001B6E40" w:rsidRPr="00261B7A" w:rsidRDefault="001B6E40" w:rsidP="007751E5">
      <w:pPr>
        <w:pStyle w:val="Heading3"/>
        <w:rPr>
          <w:iCs/>
        </w:rPr>
      </w:pPr>
      <w:r w:rsidRPr="00261B7A">
        <w:t xml:space="preserve">8.2.4 </w:t>
      </w:r>
      <w:r w:rsidRPr="00261B7A">
        <w:tab/>
        <w:t xml:space="preserve">Stationary combustion: </w:t>
      </w:r>
      <w:r w:rsidRPr="00261B7A">
        <w:rPr>
          <w:iCs/>
        </w:rPr>
        <w:t>Other sectors – Residential</w:t>
      </w:r>
    </w:p>
    <w:p w14:paraId="0F971ADB" w14:textId="77777777" w:rsidR="001B6E40" w:rsidRPr="00261B7A" w:rsidRDefault="001B6E40" w:rsidP="001B6E40">
      <w:pPr>
        <w:pStyle w:val="Heading4"/>
      </w:pPr>
      <w:r w:rsidRPr="00261B7A">
        <w:t>Description</w:t>
      </w:r>
    </w:p>
    <w:p w14:paraId="32EE09FE" w14:textId="77777777" w:rsidR="001B6E40" w:rsidRPr="00261B7A" w:rsidRDefault="001B6E40" w:rsidP="001B6E40">
      <w:pPr>
        <w:pStyle w:val="BodyText"/>
      </w:pPr>
      <w:r w:rsidRPr="00261B7A">
        <w:t xml:space="preserve">Tokelau has no significant industry. All energy is used by domestic and fishing activities and community–government activities (for example, meeting halls and offices, village freezers, building projects, stevedoring). Therefore, emissions associated with energy consumption in Tokelau (except fishing) are included in the category </w:t>
      </w:r>
      <w:r w:rsidRPr="00261B7A">
        <w:rPr>
          <w:i/>
        </w:rPr>
        <w:t>Other sectors – Residential</w:t>
      </w:r>
      <w:r w:rsidRPr="00261B7A">
        <w:t xml:space="preserve">. The small amount of emissions associated with communal activities are not easily distinguishable from those coming from residential activities and are therefore included under the </w:t>
      </w:r>
      <w:r w:rsidRPr="00261B7A">
        <w:rPr>
          <w:i/>
        </w:rPr>
        <w:t>Other sectors – Residential</w:t>
      </w:r>
      <w:r w:rsidRPr="00261B7A">
        <w:t xml:space="preserve"> category. Emissions from fishing are included under </w:t>
      </w:r>
      <w:r w:rsidRPr="00261B7A">
        <w:rPr>
          <w:i/>
        </w:rPr>
        <w:t>Domestic navigation</w:t>
      </w:r>
      <w:r w:rsidRPr="00261B7A">
        <w:t xml:space="preserve">. This is because it is difficult to distinguish fuel use for fishing from fuel use for domestic navigation in Tokelau, because families use the same boats for both purposes. </w:t>
      </w:r>
    </w:p>
    <w:p w14:paraId="71022538" w14:textId="77777777" w:rsidR="001B6E40" w:rsidRPr="00261B7A" w:rsidRDefault="001B6E40" w:rsidP="001B6E40">
      <w:pPr>
        <w:pStyle w:val="BodyText"/>
      </w:pPr>
      <w:r w:rsidRPr="00261B7A">
        <w:t>According to the 2016 Tokelau Census, every household has a fridge and a freezer, and some households now have air conditioning. Most households (over 60 per cent) also own a washing machine, a computer and a television. The United Nations Development Programme, under the Tokelau Energy Sector Support Project, has in the past funded a programme of replacing old inefficient fridges and freezers with new ones. Home appliances in Tokelau mainly use the power provided by solar PV-powered plants, supplemented as needed by back-up diesel</w:t>
      </w:r>
      <w:r w:rsidRPr="00261B7A">
        <w:noBreakHyphen/>
        <w:t xml:space="preserve">powered generators. Emissions associated with the use of diesel-powered back-up generators are included under the </w:t>
      </w:r>
      <w:r w:rsidRPr="00261B7A">
        <w:rPr>
          <w:i/>
        </w:rPr>
        <w:t xml:space="preserve">Energy industries </w:t>
      </w:r>
      <w:r w:rsidRPr="00261B7A">
        <w:t xml:space="preserve">category. </w:t>
      </w:r>
    </w:p>
    <w:p w14:paraId="7A5ACE46" w14:textId="77777777" w:rsidR="001B6E40" w:rsidRPr="00261B7A" w:rsidRDefault="001B6E40" w:rsidP="001B6E40">
      <w:pPr>
        <w:pStyle w:val="BodyText"/>
      </w:pPr>
      <w:r w:rsidRPr="00261B7A">
        <w:t xml:space="preserve">Gas cooking using imported natural gas (LPG) is the preferred method used by about 72.0 per cent of households, replacing kerosene stoves. For the past decade, the use of kerosene stoves dropped from 56.6 per cent of households in 2006 to 23.6 per cent in 2016 (2016 Tokelau Census). Associated activity data and emissions are included under </w:t>
      </w:r>
      <w:r w:rsidRPr="00261B7A">
        <w:rPr>
          <w:i/>
        </w:rPr>
        <w:t>Other sectors – Residential</w:t>
      </w:r>
      <w:r w:rsidRPr="00261B7A">
        <w:t xml:space="preserve"> category.</w:t>
      </w:r>
    </w:p>
    <w:p w14:paraId="08A85A3B" w14:textId="77777777" w:rsidR="001B6E40" w:rsidRPr="00261B7A" w:rsidRDefault="001B6E40" w:rsidP="001B6E40">
      <w:pPr>
        <w:pStyle w:val="BodyText"/>
      </w:pPr>
      <w:r w:rsidRPr="00261B7A">
        <w:t xml:space="preserve">In 2021, emissions from the </w:t>
      </w:r>
      <w:r w:rsidRPr="00261B7A">
        <w:rPr>
          <w:i/>
          <w:iCs/>
        </w:rPr>
        <w:t>Other sectors – Residential</w:t>
      </w:r>
      <w:r w:rsidRPr="00261B7A">
        <w:t xml:space="preserve"> category</w:t>
      </w:r>
      <w:r w:rsidRPr="00261B7A">
        <w:rPr>
          <w:lang w:eastAsia="en-GB"/>
        </w:rPr>
        <w:t xml:space="preserve"> </w:t>
      </w:r>
      <w:r w:rsidRPr="00261B7A">
        <w:t>were 0.10 kt CO</w:t>
      </w:r>
      <w:r w:rsidRPr="00261B7A">
        <w:rPr>
          <w:vertAlign w:val="subscript"/>
        </w:rPr>
        <w:t>2</w:t>
      </w:r>
      <w:r w:rsidRPr="00261B7A">
        <w:t>-e (4.8 per cent of all energy emissions from Tokelau).</w:t>
      </w:r>
    </w:p>
    <w:p w14:paraId="3D9A3438" w14:textId="77777777" w:rsidR="001B6E40" w:rsidRPr="00261B7A" w:rsidRDefault="001B6E40" w:rsidP="001B6E40">
      <w:pPr>
        <w:pStyle w:val="Heading4"/>
      </w:pPr>
      <w:r w:rsidRPr="00261B7A">
        <w:t>Methodological issues</w:t>
      </w:r>
    </w:p>
    <w:p w14:paraId="5FD21751" w14:textId="77777777" w:rsidR="001B6E40" w:rsidRPr="00261B7A" w:rsidRDefault="001B6E40" w:rsidP="001B6E40">
      <w:pPr>
        <w:pStyle w:val="Heading5"/>
        <w:spacing w:before="120"/>
        <w:rPr>
          <w:lang w:eastAsia="en-GB"/>
        </w:rPr>
      </w:pPr>
      <w:r w:rsidRPr="00261B7A">
        <w:rPr>
          <w:lang w:eastAsia="en-GB"/>
        </w:rPr>
        <w:t>Activity data</w:t>
      </w:r>
    </w:p>
    <w:p w14:paraId="19D56980" w14:textId="77777777" w:rsidR="001B6E40" w:rsidRPr="00261B7A" w:rsidRDefault="001B6E40" w:rsidP="001B6E40">
      <w:pPr>
        <w:pStyle w:val="BodyText"/>
      </w:pPr>
      <w:r w:rsidRPr="00261B7A">
        <w:rPr>
          <w:lang w:eastAsia="en-GB"/>
        </w:rPr>
        <w:t xml:space="preserve">The sources of activity data for the </w:t>
      </w:r>
      <w:r w:rsidRPr="00261B7A">
        <w:rPr>
          <w:i/>
          <w:lang w:eastAsia="en-GB"/>
        </w:rPr>
        <w:t>Other sectors – Residential</w:t>
      </w:r>
      <w:r w:rsidRPr="00261B7A">
        <w:rPr>
          <w:lang w:eastAsia="en-GB"/>
        </w:rPr>
        <w:t xml:space="preserve"> category are included in table 8.1.2. The key data source for the category is paid invoices from Origin Energy Samoa Ltd (Apia, Samoa) providing prices and volumes of propane supplied on-atoll for cooking.</w:t>
      </w:r>
    </w:p>
    <w:p w14:paraId="2B3D1CA2" w14:textId="77777777" w:rsidR="001B6E40" w:rsidRPr="00261B7A" w:rsidRDefault="001B6E40" w:rsidP="001B6E40">
      <w:pPr>
        <w:pStyle w:val="Heading5"/>
        <w:rPr>
          <w:lang w:eastAsia="en-GB"/>
        </w:rPr>
      </w:pPr>
      <w:r w:rsidRPr="00261B7A">
        <w:rPr>
          <w:lang w:eastAsia="en-GB"/>
        </w:rPr>
        <w:t>Methods and emission factors</w:t>
      </w:r>
    </w:p>
    <w:p w14:paraId="6280311D" w14:textId="06E752C1" w:rsidR="001B6E40" w:rsidRPr="00261B7A" w:rsidRDefault="001B6E40" w:rsidP="001B6E40">
      <w:pPr>
        <w:pStyle w:val="BodyText"/>
        <w:spacing w:before="100" w:after="100"/>
        <w:rPr>
          <w:lang w:eastAsia="en-GB"/>
        </w:rPr>
      </w:pPr>
      <w:r w:rsidRPr="00261B7A">
        <w:rPr>
          <w:spacing w:val="-2"/>
          <w:lang w:eastAsia="en-GB"/>
        </w:rPr>
        <w:t xml:space="preserve">An IPCC Tier 1 method was applied for estimating emissions from the </w:t>
      </w:r>
      <w:r w:rsidRPr="00261B7A">
        <w:rPr>
          <w:i/>
          <w:spacing w:val="-2"/>
          <w:lang w:eastAsia="en-GB"/>
        </w:rPr>
        <w:t>Other sectors – Residential</w:t>
      </w:r>
      <w:r w:rsidRPr="00261B7A">
        <w:rPr>
          <w:lang w:eastAsia="en-GB"/>
        </w:rPr>
        <w:t xml:space="preserve"> category. The method required the data on the amount of LPG combusted in the source category and a default emission factor from table 2.2, section 2.3.2.1, volume 2 of the 2006</w:t>
      </w:r>
      <w:r w:rsidR="007751E5" w:rsidRPr="00261B7A">
        <w:rPr>
          <w:lang w:eastAsia="en-GB"/>
        </w:rPr>
        <w:t xml:space="preserve"> </w:t>
      </w:r>
      <w:r w:rsidRPr="00261B7A">
        <w:rPr>
          <w:lang w:eastAsia="en-GB"/>
        </w:rPr>
        <w:t>IPCC Guidelines. Default emission factors from the 2006 IPCC Guidelines were converted</w:t>
      </w:r>
      <w:r w:rsidR="00CE605F" w:rsidRPr="00261B7A">
        <w:rPr>
          <w:lang w:eastAsia="en-GB"/>
        </w:rPr>
        <w:t xml:space="preserve"> </w:t>
      </w:r>
      <w:r w:rsidRPr="00261B7A">
        <w:rPr>
          <w:lang w:eastAsia="en-GB"/>
        </w:rPr>
        <w:t>from</w:t>
      </w:r>
      <w:r w:rsidR="00CE605F" w:rsidRPr="00261B7A">
        <w:rPr>
          <w:lang w:eastAsia="en-GB"/>
        </w:rPr>
        <w:t xml:space="preserve"> </w:t>
      </w:r>
      <w:r w:rsidRPr="00261B7A">
        <w:rPr>
          <w:lang w:eastAsia="en-GB"/>
        </w:rPr>
        <w:t>net calorific values to gross calorific values using the OECD and IEA assumptions to make</w:t>
      </w:r>
      <w:r w:rsidR="00CE605F" w:rsidRPr="00261B7A">
        <w:rPr>
          <w:lang w:eastAsia="en-GB"/>
        </w:rPr>
        <w:t xml:space="preserve"> </w:t>
      </w:r>
      <w:r w:rsidRPr="00261B7A">
        <w:rPr>
          <w:lang w:eastAsia="en-GB"/>
        </w:rPr>
        <w:t>these</w:t>
      </w:r>
      <w:r w:rsidR="00CE605F" w:rsidRPr="00261B7A">
        <w:rPr>
          <w:lang w:eastAsia="en-GB"/>
        </w:rPr>
        <w:t> </w:t>
      </w:r>
      <w:r w:rsidRPr="00261B7A">
        <w:rPr>
          <w:lang w:eastAsia="en-GB"/>
        </w:rPr>
        <w:t>conversions:</w:t>
      </w:r>
    </w:p>
    <w:p w14:paraId="6AE92390" w14:textId="77777777" w:rsidR="001B6E40" w:rsidRPr="00261B7A" w:rsidRDefault="001B6E40" w:rsidP="001B6E40">
      <w:pPr>
        <w:pStyle w:val="BodyText"/>
        <w:spacing w:before="80" w:after="80"/>
        <w:jc w:val="center"/>
        <w:rPr>
          <w:rFonts w:ascii="Cambria Math" w:hAnsi="Cambria Math"/>
          <w:sz w:val="24"/>
          <w:szCs w:val="24"/>
          <w:lang w:eastAsia="en-GB"/>
        </w:rPr>
      </w:pPr>
      <w:r w:rsidRPr="00261B7A">
        <w:rPr>
          <w:rFonts w:ascii="Cambria Math" w:hAnsi="Cambria Math"/>
          <w:sz w:val="24"/>
          <w:szCs w:val="24"/>
          <w:lang w:eastAsia="en-GB"/>
        </w:rPr>
        <w:t>Gross Emission Factor (gaseous fuels) = 0.90 x Net Emission Factor</w:t>
      </w:r>
    </w:p>
    <w:p w14:paraId="0D063916" w14:textId="77777777" w:rsidR="001B6E40" w:rsidRPr="00261B7A" w:rsidRDefault="001B6E40" w:rsidP="001B6E40">
      <w:pPr>
        <w:pStyle w:val="BodyText"/>
        <w:spacing w:before="100" w:after="100"/>
        <w:rPr>
          <w:lang w:eastAsia="en-GB"/>
        </w:rPr>
      </w:pPr>
      <w:r w:rsidRPr="00261B7A">
        <w:rPr>
          <w:lang w:eastAsia="en-GB"/>
        </w:rPr>
        <w:t xml:space="preserve">Equations 2.1 and 2.2 from section 2.3.1.1 in the 2006 IPCC Guidelines were used for estimating emissions (IPCC, 2006a). </w:t>
      </w:r>
    </w:p>
    <w:p w14:paraId="42C8B884" w14:textId="77777777" w:rsidR="001B6E40" w:rsidRPr="00261B7A" w:rsidRDefault="001B6E40" w:rsidP="001B6E40">
      <w:pPr>
        <w:pStyle w:val="Heading4"/>
      </w:pPr>
      <w:r w:rsidRPr="00261B7A">
        <w:t>Uncertainties</w:t>
      </w:r>
    </w:p>
    <w:p w14:paraId="295B6A49" w14:textId="77777777" w:rsidR="001B6E40" w:rsidRPr="00261B7A" w:rsidRDefault="001B6E40" w:rsidP="001B6E40">
      <w:pPr>
        <w:pStyle w:val="BodyText"/>
        <w:spacing w:before="80" w:after="100"/>
        <w:rPr>
          <w:lang w:eastAsia="en-GB"/>
        </w:rPr>
      </w:pPr>
      <w:r w:rsidRPr="00261B7A">
        <w:rPr>
          <w:lang w:eastAsia="en-GB"/>
        </w:rPr>
        <w:t>For this submission, it was not possible to develop Tokelau-specific uncertainty values, so for emission factors, default uncertainty values provided in the 2006 IPCC Guidelines were used for CO</w:t>
      </w:r>
      <w:r w:rsidRPr="00261B7A">
        <w:rPr>
          <w:vertAlign w:val="subscript"/>
          <w:lang w:eastAsia="en-GB"/>
        </w:rPr>
        <w:t xml:space="preserve">2 </w:t>
      </w:r>
      <w:r w:rsidRPr="00261B7A">
        <w:rPr>
          <w:lang w:eastAsia="en-GB"/>
        </w:rPr>
        <w:t>and CH</w:t>
      </w:r>
      <w:r w:rsidRPr="00261B7A">
        <w:rPr>
          <w:vertAlign w:val="subscript"/>
          <w:lang w:eastAsia="en-GB"/>
        </w:rPr>
        <w:t>4</w:t>
      </w:r>
      <w:r w:rsidRPr="00261B7A">
        <w:rPr>
          <w:lang w:eastAsia="en-GB"/>
        </w:rPr>
        <w:t xml:space="preserve"> (for commercial, institutional and residential combustion) (IPCC, 2006a). Because no quantified default emission factor is provided for N</w:t>
      </w:r>
      <w:r w:rsidRPr="00261B7A">
        <w:rPr>
          <w:vertAlign w:val="subscript"/>
          <w:lang w:eastAsia="en-GB"/>
        </w:rPr>
        <w:t>2</w:t>
      </w:r>
      <w:r w:rsidRPr="00261B7A">
        <w:rPr>
          <w:lang w:eastAsia="en-GB"/>
        </w:rPr>
        <w:t>O, New Zealand’s emission factor uncertainty across the Energy sector for N</w:t>
      </w:r>
      <w:r w:rsidRPr="00261B7A">
        <w:rPr>
          <w:vertAlign w:val="subscript"/>
          <w:lang w:eastAsia="en-GB"/>
        </w:rPr>
        <w:t>2</w:t>
      </w:r>
      <w:r w:rsidRPr="00261B7A">
        <w:rPr>
          <w:lang w:eastAsia="en-GB"/>
        </w:rPr>
        <w:t xml:space="preserve">O was used for this category. </w:t>
      </w:r>
    </w:p>
    <w:p w14:paraId="33092D31" w14:textId="77777777" w:rsidR="001B6E40" w:rsidRPr="00261B7A" w:rsidRDefault="001B6E40" w:rsidP="001B6E40">
      <w:pPr>
        <w:pStyle w:val="BodyText"/>
        <w:spacing w:before="100" w:after="100"/>
        <w:rPr>
          <w:lang w:eastAsia="en-GB"/>
        </w:rPr>
      </w:pPr>
      <w:r w:rsidRPr="00261B7A">
        <w:rPr>
          <w:lang w:eastAsia="en-GB"/>
        </w:rPr>
        <w:t xml:space="preserve">For activity data, a mid-range level of default uncertainty range associated with data extrapolation from the 2006 IPCC Guidelines was applied (IPCC, 2006a). Table 8.2.2 shows the use of uncertainties for the </w:t>
      </w:r>
      <w:r w:rsidRPr="00261B7A">
        <w:rPr>
          <w:i/>
          <w:lang w:eastAsia="en-GB"/>
        </w:rPr>
        <w:t xml:space="preserve">Other sectors – Residential </w:t>
      </w:r>
      <w:r w:rsidRPr="00261B7A">
        <w:rPr>
          <w:lang w:eastAsia="en-GB"/>
        </w:rPr>
        <w:t>category.</w:t>
      </w:r>
    </w:p>
    <w:p w14:paraId="02176CE6" w14:textId="77777777" w:rsidR="001B6E40" w:rsidRPr="00261B7A" w:rsidRDefault="001B6E40" w:rsidP="001B6E40">
      <w:pPr>
        <w:pStyle w:val="Table"/>
      </w:pPr>
      <w:bookmarkStart w:id="2685" w:name="_Toc5269597"/>
      <w:bookmarkStart w:id="2686" w:name="_Toc36224678"/>
      <w:bookmarkStart w:id="2687" w:name="_Toc68786564"/>
      <w:bookmarkStart w:id="2688" w:name="_Toc130211270"/>
      <w:bookmarkStart w:id="2689" w:name="_Toc131591471"/>
      <w:r w:rsidRPr="00261B7A">
        <w:t>Table 8.2.2</w:t>
      </w:r>
      <w:r w:rsidRPr="00261B7A">
        <w:tab/>
        <w:t xml:space="preserve">Uncertainties for the </w:t>
      </w:r>
      <w:r w:rsidRPr="00261B7A">
        <w:rPr>
          <w:i/>
        </w:rPr>
        <w:t xml:space="preserve">Other sectors – Residential </w:t>
      </w:r>
      <w:r w:rsidRPr="00261B7A">
        <w:t>category</w:t>
      </w:r>
      <w:bookmarkEnd w:id="2685"/>
      <w:bookmarkEnd w:id="2686"/>
      <w:bookmarkEnd w:id="2687"/>
      <w:bookmarkEnd w:id="2688"/>
      <w:bookmarkEnd w:id="2689"/>
    </w:p>
    <w:tbl>
      <w:tblPr>
        <w:tblW w:w="8505"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567"/>
        <w:gridCol w:w="1119"/>
        <w:gridCol w:w="1575"/>
        <w:gridCol w:w="1701"/>
        <w:gridCol w:w="3543"/>
      </w:tblGrid>
      <w:tr w:rsidR="001B6E40" w:rsidRPr="00261B7A" w14:paraId="29DBD6F9" w14:textId="77777777" w:rsidTr="00CE605F">
        <w:trPr>
          <w:tblHeader/>
        </w:trPr>
        <w:tc>
          <w:tcPr>
            <w:tcW w:w="333" w:type="pct"/>
            <w:shd w:val="clear" w:color="auto" w:fill="1B556B"/>
            <w:noWrap/>
            <w:vAlign w:val="bottom"/>
            <w:hideMark/>
          </w:tcPr>
          <w:p w14:paraId="57B95A97" w14:textId="77777777" w:rsidR="001B6E40" w:rsidRPr="00261B7A" w:rsidRDefault="001B6E40" w:rsidP="003E20AD">
            <w:pPr>
              <w:pStyle w:val="TableTextBold"/>
              <w:spacing w:before="40" w:after="40"/>
              <w:rPr>
                <w:noProof w:val="0"/>
                <w:color w:val="FFFFFF"/>
                <w:szCs w:val="16"/>
              </w:rPr>
            </w:pPr>
            <w:r w:rsidRPr="00261B7A">
              <w:rPr>
                <w:noProof w:val="0"/>
                <w:color w:val="FFFFFF"/>
                <w:szCs w:val="16"/>
              </w:rPr>
              <w:t>Gas</w:t>
            </w:r>
          </w:p>
        </w:tc>
        <w:tc>
          <w:tcPr>
            <w:tcW w:w="658" w:type="pct"/>
            <w:shd w:val="clear" w:color="auto" w:fill="1B556B"/>
            <w:noWrap/>
            <w:vAlign w:val="bottom"/>
            <w:hideMark/>
          </w:tcPr>
          <w:p w14:paraId="7CD5450C" w14:textId="77777777" w:rsidR="001B6E40" w:rsidRPr="00261B7A" w:rsidRDefault="001B6E40" w:rsidP="003E20AD">
            <w:pPr>
              <w:pStyle w:val="TableTextBold"/>
              <w:spacing w:before="40" w:after="40"/>
              <w:rPr>
                <w:noProof w:val="0"/>
                <w:color w:val="FFFFFF"/>
                <w:szCs w:val="16"/>
              </w:rPr>
            </w:pPr>
            <w:r w:rsidRPr="00261B7A">
              <w:rPr>
                <w:noProof w:val="0"/>
                <w:color w:val="FFFFFF"/>
                <w:szCs w:val="16"/>
              </w:rPr>
              <w:t>Fuel type</w:t>
            </w:r>
          </w:p>
        </w:tc>
        <w:tc>
          <w:tcPr>
            <w:tcW w:w="926" w:type="pct"/>
            <w:shd w:val="clear" w:color="auto" w:fill="1B556B"/>
            <w:vAlign w:val="bottom"/>
            <w:hideMark/>
          </w:tcPr>
          <w:p w14:paraId="1CC6C74F" w14:textId="77777777" w:rsidR="001B6E40" w:rsidRPr="00261B7A" w:rsidRDefault="001B6E40" w:rsidP="003E20AD">
            <w:pPr>
              <w:pStyle w:val="TableTextBold"/>
              <w:spacing w:before="40" w:after="40"/>
              <w:jc w:val="center"/>
              <w:rPr>
                <w:noProof w:val="0"/>
                <w:color w:val="FFFFFF"/>
                <w:szCs w:val="16"/>
              </w:rPr>
            </w:pPr>
            <w:r w:rsidRPr="00261B7A">
              <w:rPr>
                <w:noProof w:val="0"/>
                <w:color w:val="FFFFFF"/>
                <w:szCs w:val="16"/>
              </w:rPr>
              <w:t>Activity data (AD) uncertainty (%)</w:t>
            </w:r>
          </w:p>
        </w:tc>
        <w:tc>
          <w:tcPr>
            <w:tcW w:w="1000" w:type="pct"/>
            <w:shd w:val="clear" w:color="auto" w:fill="1B556B"/>
            <w:vAlign w:val="bottom"/>
            <w:hideMark/>
          </w:tcPr>
          <w:p w14:paraId="10D8F58C" w14:textId="77777777" w:rsidR="001B6E40" w:rsidRPr="00261B7A" w:rsidRDefault="001B6E40" w:rsidP="003E20AD">
            <w:pPr>
              <w:pStyle w:val="TableTextBold"/>
              <w:spacing w:before="40" w:after="40"/>
              <w:jc w:val="center"/>
              <w:rPr>
                <w:noProof w:val="0"/>
                <w:color w:val="FFFFFF"/>
                <w:szCs w:val="16"/>
              </w:rPr>
            </w:pPr>
            <w:r w:rsidRPr="00261B7A">
              <w:rPr>
                <w:noProof w:val="0"/>
                <w:color w:val="FFFFFF"/>
                <w:szCs w:val="16"/>
              </w:rPr>
              <w:t>Emission factor (EF) uncertainty (%)</w:t>
            </w:r>
          </w:p>
        </w:tc>
        <w:tc>
          <w:tcPr>
            <w:tcW w:w="2083" w:type="pct"/>
            <w:shd w:val="clear" w:color="auto" w:fill="1B556B"/>
            <w:vAlign w:val="bottom"/>
          </w:tcPr>
          <w:p w14:paraId="6E50B926" w14:textId="77777777" w:rsidR="001B6E40" w:rsidRPr="00261B7A" w:rsidRDefault="001B6E40" w:rsidP="003E20AD">
            <w:pPr>
              <w:pStyle w:val="TableTextBold"/>
              <w:spacing w:before="40" w:after="40"/>
              <w:jc w:val="center"/>
              <w:rPr>
                <w:noProof w:val="0"/>
                <w:color w:val="FFFFFF"/>
                <w:szCs w:val="16"/>
              </w:rPr>
            </w:pPr>
            <w:r w:rsidRPr="00261B7A">
              <w:rPr>
                <w:noProof w:val="0"/>
                <w:color w:val="FFFFFF"/>
                <w:szCs w:val="16"/>
              </w:rPr>
              <w:t>Source</w:t>
            </w:r>
          </w:p>
        </w:tc>
      </w:tr>
      <w:tr w:rsidR="001B6E40" w:rsidRPr="00261B7A" w14:paraId="343DF12E" w14:textId="77777777" w:rsidTr="00CE605F">
        <w:tc>
          <w:tcPr>
            <w:tcW w:w="333" w:type="pct"/>
            <w:shd w:val="clear" w:color="auto" w:fill="auto"/>
            <w:noWrap/>
            <w:hideMark/>
          </w:tcPr>
          <w:p w14:paraId="71D2E525" w14:textId="77777777" w:rsidR="001B6E40" w:rsidRPr="00261B7A" w:rsidRDefault="001B6E40" w:rsidP="003E20AD">
            <w:pPr>
              <w:pStyle w:val="TableText"/>
              <w:rPr>
                <w:szCs w:val="16"/>
              </w:rPr>
            </w:pPr>
            <w:r w:rsidRPr="00261B7A">
              <w:rPr>
                <w:szCs w:val="16"/>
              </w:rPr>
              <w:t>CO</w:t>
            </w:r>
            <w:r w:rsidRPr="00261B7A">
              <w:rPr>
                <w:szCs w:val="16"/>
                <w:vertAlign w:val="subscript"/>
              </w:rPr>
              <w:t>2</w:t>
            </w:r>
          </w:p>
        </w:tc>
        <w:tc>
          <w:tcPr>
            <w:tcW w:w="658" w:type="pct"/>
            <w:shd w:val="clear" w:color="auto" w:fill="auto"/>
            <w:noWrap/>
            <w:hideMark/>
          </w:tcPr>
          <w:p w14:paraId="42ADC2B7" w14:textId="77777777" w:rsidR="001B6E40" w:rsidRPr="00261B7A" w:rsidRDefault="001B6E40" w:rsidP="003E20AD">
            <w:pPr>
              <w:pStyle w:val="TableText"/>
              <w:spacing w:before="40"/>
              <w:rPr>
                <w:szCs w:val="16"/>
              </w:rPr>
            </w:pPr>
            <w:r w:rsidRPr="00261B7A">
              <w:rPr>
                <w:szCs w:val="16"/>
              </w:rPr>
              <w:t>Liquid fuels</w:t>
            </w:r>
          </w:p>
        </w:tc>
        <w:tc>
          <w:tcPr>
            <w:tcW w:w="926" w:type="pct"/>
            <w:shd w:val="clear" w:color="auto" w:fill="auto"/>
            <w:noWrap/>
            <w:hideMark/>
          </w:tcPr>
          <w:p w14:paraId="1F13AD24" w14:textId="77777777" w:rsidR="001B6E40" w:rsidRPr="00261B7A" w:rsidRDefault="001B6E40" w:rsidP="003E20AD">
            <w:pPr>
              <w:pStyle w:val="TableText"/>
              <w:spacing w:before="40"/>
              <w:jc w:val="center"/>
              <w:rPr>
                <w:szCs w:val="16"/>
              </w:rPr>
            </w:pPr>
            <w:r w:rsidRPr="00261B7A">
              <w:rPr>
                <w:szCs w:val="16"/>
              </w:rPr>
              <w:t>20</w:t>
            </w:r>
          </w:p>
        </w:tc>
        <w:tc>
          <w:tcPr>
            <w:tcW w:w="1000" w:type="pct"/>
            <w:shd w:val="clear" w:color="auto" w:fill="auto"/>
            <w:noWrap/>
            <w:hideMark/>
          </w:tcPr>
          <w:p w14:paraId="50E5FC91" w14:textId="77777777" w:rsidR="001B6E40" w:rsidRPr="00261B7A" w:rsidRDefault="001B6E40" w:rsidP="003E20AD">
            <w:pPr>
              <w:pStyle w:val="TableText"/>
              <w:spacing w:before="40"/>
              <w:jc w:val="center"/>
              <w:rPr>
                <w:szCs w:val="16"/>
              </w:rPr>
            </w:pPr>
            <w:r w:rsidRPr="00261B7A">
              <w:rPr>
                <w:szCs w:val="16"/>
              </w:rPr>
              <w:t>±7</w:t>
            </w:r>
          </w:p>
        </w:tc>
        <w:tc>
          <w:tcPr>
            <w:tcW w:w="2083" w:type="pct"/>
          </w:tcPr>
          <w:p w14:paraId="22173340" w14:textId="77777777" w:rsidR="001B6E40" w:rsidRPr="00261B7A" w:rsidRDefault="001B6E40" w:rsidP="003E20AD">
            <w:pPr>
              <w:pStyle w:val="TableText"/>
              <w:spacing w:before="40" w:after="40"/>
              <w:rPr>
                <w:szCs w:val="16"/>
              </w:rPr>
            </w:pPr>
            <w:r w:rsidRPr="00261B7A">
              <w:rPr>
                <w:szCs w:val="16"/>
              </w:rPr>
              <w:t>AD: page 2.41, IPCC, 2006a (table 2.15)</w:t>
            </w:r>
          </w:p>
          <w:p w14:paraId="6F15D94A" w14:textId="77777777" w:rsidR="001B6E40" w:rsidRPr="00261B7A" w:rsidRDefault="001B6E40" w:rsidP="003E20AD">
            <w:pPr>
              <w:pStyle w:val="TableText"/>
              <w:spacing w:before="0"/>
              <w:rPr>
                <w:szCs w:val="16"/>
              </w:rPr>
            </w:pPr>
            <w:r w:rsidRPr="00261B7A">
              <w:rPr>
                <w:szCs w:val="16"/>
              </w:rPr>
              <w:t>EF: page 2.38, IPCC, 2006a</w:t>
            </w:r>
            <w:r w:rsidRPr="00261B7A" w:rsidDel="00AE346E">
              <w:rPr>
                <w:szCs w:val="16"/>
              </w:rPr>
              <w:t xml:space="preserve"> </w:t>
            </w:r>
          </w:p>
        </w:tc>
      </w:tr>
      <w:tr w:rsidR="001B6E40" w:rsidRPr="00261B7A" w14:paraId="3E6A5457" w14:textId="77777777" w:rsidTr="00CE605F">
        <w:tc>
          <w:tcPr>
            <w:tcW w:w="333" w:type="pct"/>
            <w:shd w:val="clear" w:color="auto" w:fill="auto"/>
            <w:noWrap/>
            <w:hideMark/>
          </w:tcPr>
          <w:p w14:paraId="475A50F2" w14:textId="77777777" w:rsidR="001B6E40" w:rsidRPr="00261B7A" w:rsidRDefault="001B6E40" w:rsidP="003E20AD">
            <w:pPr>
              <w:pStyle w:val="TableText"/>
              <w:spacing w:before="40"/>
              <w:rPr>
                <w:szCs w:val="16"/>
              </w:rPr>
            </w:pPr>
            <w:r w:rsidRPr="00261B7A">
              <w:rPr>
                <w:szCs w:val="16"/>
              </w:rPr>
              <w:t>CH</w:t>
            </w:r>
            <w:r w:rsidRPr="00261B7A">
              <w:rPr>
                <w:szCs w:val="16"/>
                <w:vertAlign w:val="subscript"/>
              </w:rPr>
              <w:t>4</w:t>
            </w:r>
          </w:p>
        </w:tc>
        <w:tc>
          <w:tcPr>
            <w:tcW w:w="658" w:type="pct"/>
            <w:shd w:val="clear" w:color="auto" w:fill="auto"/>
            <w:noWrap/>
            <w:hideMark/>
          </w:tcPr>
          <w:p w14:paraId="6EE02895" w14:textId="77777777" w:rsidR="001B6E40" w:rsidRPr="00261B7A" w:rsidRDefault="001B6E40" w:rsidP="003E20AD">
            <w:pPr>
              <w:pStyle w:val="TableText"/>
              <w:spacing w:before="40"/>
              <w:rPr>
                <w:szCs w:val="16"/>
              </w:rPr>
            </w:pPr>
            <w:r w:rsidRPr="00261B7A">
              <w:rPr>
                <w:szCs w:val="16"/>
              </w:rPr>
              <w:t>Liquid fuels</w:t>
            </w:r>
          </w:p>
        </w:tc>
        <w:tc>
          <w:tcPr>
            <w:tcW w:w="926" w:type="pct"/>
            <w:shd w:val="clear" w:color="auto" w:fill="auto"/>
            <w:noWrap/>
            <w:hideMark/>
          </w:tcPr>
          <w:p w14:paraId="2881BFB6" w14:textId="77777777" w:rsidR="001B6E40" w:rsidRPr="00261B7A" w:rsidRDefault="001B6E40" w:rsidP="003E20AD">
            <w:pPr>
              <w:pStyle w:val="TableText"/>
              <w:spacing w:before="40"/>
              <w:jc w:val="center"/>
              <w:rPr>
                <w:szCs w:val="16"/>
              </w:rPr>
            </w:pPr>
            <w:r w:rsidRPr="00261B7A">
              <w:rPr>
                <w:szCs w:val="16"/>
              </w:rPr>
              <w:t>20</w:t>
            </w:r>
          </w:p>
        </w:tc>
        <w:tc>
          <w:tcPr>
            <w:tcW w:w="1000" w:type="pct"/>
            <w:shd w:val="clear" w:color="auto" w:fill="auto"/>
            <w:noWrap/>
            <w:hideMark/>
          </w:tcPr>
          <w:p w14:paraId="14A46C08" w14:textId="77777777" w:rsidR="001B6E40" w:rsidRPr="00261B7A" w:rsidRDefault="001B6E40" w:rsidP="003E20AD">
            <w:pPr>
              <w:pStyle w:val="TableText"/>
              <w:spacing w:before="40"/>
              <w:jc w:val="center"/>
              <w:rPr>
                <w:szCs w:val="16"/>
              </w:rPr>
            </w:pPr>
            <w:r w:rsidRPr="00261B7A">
              <w:rPr>
                <w:szCs w:val="16"/>
              </w:rPr>
              <w:t>±50.0</w:t>
            </w:r>
          </w:p>
        </w:tc>
        <w:tc>
          <w:tcPr>
            <w:tcW w:w="2083" w:type="pct"/>
          </w:tcPr>
          <w:p w14:paraId="02D12A41" w14:textId="77777777" w:rsidR="001B6E40" w:rsidRPr="00261B7A" w:rsidRDefault="001B6E40" w:rsidP="003E20AD">
            <w:pPr>
              <w:pStyle w:val="TableText"/>
              <w:spacing w:before="40" w:after="40"/>
              <w:rPr>
                <w:szCs w:val="16"/>
              </w:rPr>
            </w:pPr>
            <w:r w:rsidRPr="00261B7A">
              <w:rPr>
                <w:szCs w:val="16"/>
              </w:rPr>
              <w:t>AD: page 2.41, IPCC, 2006a (table 2.15)</w:t>
            </w:r>
          </w:p>
          <w:p w14:paraId="2D4EADB2" w14:textId="77777777" w:rsidR="001B6E40" w:rsidRPr="00261B7A" w:rsidRDefault="001B6E40" w:rsidP="003E20AD">
            <w:pPr>
              <w:pStyle w:val="TableText"/>
              <w:spacing w:before="0"/>
              <w:rPr>
                <w:szCs w:val="16"/>
              </w:rPr>
            </w:pPr>
            <w:r w:rsidRPr="00261B7A">
              <w:rPr>
                <w:szCs w:val="16"/>
              </w:rPr>
              <w:t>EF: page 2.38, IPCC, 2006a (table 2.12)</w:t>
            </w:r>
          </w:p>
        </w:tc>
      </w:tr>
      <w:tr w:rsidR="001B6E40" w:rsidRPr="00261B7A" w14:paraId="25FE3C45" w14:textId="77777777" w:rsidTr="00CE605F">
        <w:tc>
          <w:tcPr>
            <w:tcW w:w="333" w:type="pct"/>
            <w:shd w:val="clear" w:color="auto" w:fill="auto"/>
            <w:noWrap/>
            <w:hideMark/>
          </w:tcPr>
          <w:p w14:paraId="103273D0" w14:textId="77777777" w:rsidR="001B6E40" w:rsidRPr="00261B7A" w:rsidRDefault="001B6E40" w:rsidP="003E20AD">
            <w:pPr>
              <w:pStyle w:val="TableText"/>
              <w:spacing w:before="40"/>
              <w:rPr>
                <w:szCs w:val="16"/>
              </w:rPr>
            </w:pPr>
            <w:r w:rsidRPr="00261B7A">
              <w:rPr>
                <w:szCs w:val="16"/>
              </w:rPr>
              <w:t>N</w:t>
            </w:r>
            <w:r w:rsidRPr="00261B7A">
              <w:rPr>
                <w:szCs w:val="16"/>
                <w:vertAlign w:val="subscript"/>
              </w:rPr>
              <w:t>2</w:t>
            </w:r>
            <w:r w:rsidRPr="00261B7A">
              <w:rPr>
                <w:szCs w:val="16"/>
              </w:rPr>
              <w:t>O</w:t>
            </w:r>
          </w:p>
        </w:tc>
        <w:tc>
          <w:tcPr>
            <w:tcW w:w="658" w:type="pct"/>
            <w:shd w:val="clear" w:color="auto" w:fill="auto"/>
            <w:noWrap/>
            <w:hideMark/>
          </w:tcPr>
          <w:p w14:paraId="7A919CBE" w14:textId="77777777" w:rsidR="001B6E40" w:rsidRPr="00261B7A" w:rsidRDefault="001B6E40" w:rsidP="003E20AD">
            <w:pPr>
              <w:pStyle w:val="TableText"/>
              <w:spacing w:before="40"/>
              <w:rPr>
                <w:szCs w:val="16"/>
              </w:rPr>
            </w:pPr>
            <w:r w:rsidRPr="00261B7A">
              <w:rPr>
                <w:szCs w:val="16"/>
              </w:rPr>
              <w:t>Liquid fuels</w:t>
            </w:r>
          </w:p>
        </w:tc>
        <w:tc>
          <w:tcPr>
            <w:tcW w:w="926" w:type="pct"/>
            <w:shd w:val="clear" w:color="auto" w:fill="auto"/>
            <w:noWrap/>
            <w:hideMark/>
          </w:tcPr>
          <w:p w14:paraId="3F372F57" w14:textId="77777777" w:rsidR="001B6E40" w:rsidRPr="00261B7A" w:rsidRDefault="001B6E40" w:rsidP="003E20AD">
            <w:pPr>
              <w:pStyle w:val="TableText"/>
              <w:spacing w:before="40"/>
              <w:jc w:val="center"/>
              <w:rPr>
                <w:szCs w:val="16"/>
              </w:rPr>
            </w:pPr>
            <w:r w:rsidRPr="00261B7A">
              <w:rPr>
                <w:szCs w:val="16"/>
              </w:rPr>
              <w:t>20</w:t>
            </w:r>
          </w:p>
        </w:tc>
        <w:tc>
          <w:tcPr>
            <w:tcW w:w="1000" w:type="pct"/>
            <w:shd w:val="clear" w:color="auto" w:fill="auto"/>
            <w:noWrap/>
            <w:hideMark/>
          </w:tcPr>
          <w:p w14:paraId="4320026F" w14:textId="77777777" w:rsidR="001B6E40" w:rsidRPr="00261B7A" w:rsidRDefault="001B6E40" w:rsidP="003E20AD">
            <w:pPr>
              <w:pStyle w:val="TableText"/>
              <w:spacing w:before="40"/>
              <w:jc w:val="center"/>
              <w:rPr>
                <w:szCs w:val="16"/>
              </w:rPr>
            </w:pPr>
            <w:r w:rsidRPr="00261B7A">
              <w:rPr>
                <w:szCs w:val="16"/>
              </w:rPr>
              <w:t>±50.0</w:t>
            </w:r>
          </w:p>
        </w:tc>
        <w:tc>
          <w:tcPr>
            <w:tcW w:w="2083" w:type="pct"/>
          </w:tcPr>
          <w:p w14:paraId="3E0A3065" w14:textId="77777777" w:rsidR="001B6E40" w:rsidRPr="00261B7A" w:rsidRDefault="001B6E40" w:rsidP="003E20AD">
            <w:pPr>
              <w:pStyle w:val="TableText"/>
              <w:spacing w:before="40" w:after="40"/>
              <w:rPr>
                <w:szCs w:val="16"/>
              </w:rPr>
            </w:pPr>
            <w:r w:rsidRPr="00261B7A">
              <w:rPr>
                <w:szCs w:val="16"/>
              </w:rPr>
              <w:t>AD: page 2.41, IPCC, 2006a (table 2.15)</w:t>
            </w:r>
          </w:p>
          <w:p w14:paraId="27EF64E4" w14:textId="77777777" w:rsidR="001B6E40" w:rsidRPr="00261B7A" w:rsidRDefault="001B6E40" w:rsidP="003E20AD">
            <w:pPr>
              <w:pStyle w:val="TableText"/>
              <w:spacing w:before="0"/>
              <w:rPr>
                <w:szCs w:val="16"/>
              </w:rPr>
            </w:pPr>
            <w:r w:rsidRPr="00261B7A">
              <w:rPr>
                <w:szCs w:val="16"/>
              </w:rPr>
              <w:t>EF: New Zealand’s value (table 3.3.1, chapter 3)</w:t>
            </w:r>
          </w:p>
        </w:tc>
      </w:tr>
    </w:tbl>
    <w:p w14:paraId="255AFACF" w14:textId="77777777" w:rsidR="001B6E40" w:rsidRPr="00261B7A" w:rsidRDefault="001B6E40" w:rsidP="00CE605F">
      <w:pPr>
        <w:pStyle w:val="Heading4"/>
        <w:spacing w:before="320"/>
      </w:pPr>
      <w:r w:rsidRPr="00261B7A">
        <w:t>Source-specific planned improvements</w:t>
      </w:r>
    </w:p>
    <w:p w14:paraId="2E54A593" w14:textId="77777777" w:rsidR="001B6E40" w:rsidRPr="00261B7A" w:rsidRDefault="001B6E40" w:rsidP="001B6E40">
      <w:pPr>
        <w:pStyle w:val="BodyText"/>
        <w:spacing w:before="80" w:after="100"/>
        <w:rPr>
          <w:lang w:eastAsia="en-GB"/>
        </w:rPr>
      </w:pPr>
      <w:r w:rsidRPr="00261B7A">
        <w:rPr>
          <w:lang w:eastAsia="en-GB"/>
        </w:rPr>
        <w:t xml:space="preserve">No improvements are planned for the </w:t>
      </w:r>
      <w:r w:rsidRPr="00261B7A">
        <w:rPr>
          <w:i/>
          <w:lang w:eastAsia="en-GB"/>
        </w:rPr>
        <w:t>Other sectors – Residential</w:t>
      </w:r>
      <w:r w:rsidRPr="00261B7A">
        <w:rPr>
          <w:lang w:eastAsia="en-GB"/>
        </w:rPr>
        <w:t xml:space="preserve"> category. One area identified </w:t>
      </w:r>
      <w:r w:rsidRPr="00261B7A">
        <w:rPr>
          <w:spacing w:val="-2"/>
          <w:lang w:eastAsia="en-GB"/>
        </w:rPr>
        <w:t>for possible future improvement is to consider additional LPG imports purchased from Aute Gas</w:t>
      </w:r>
      <w:r w:rsidRPr="00261B7A">
        <w:rPr>
          <w:lang w:eastAsia="en-GB"/>
        </w:rPr>
        <w:t xml:space="preserve"> (Apia, Samoa), for Nukunonu. However, the difference is likely to be small, compared with the current approach (where Nukunonu is taken as the average between the fuel purchases from Origin, by Atafu and Fakaofo). For future submissions, further analysis of activity data from Tokelau, to reflect year-to-year variations, will be considered as far as resources will allow. </w:t>
      </w:r>
    </w:p>
    <w:p w14:paraId="0060D219" w14:textId="77777777" w:rsidR="001B6E40" w:rsidRPr="00261B7A" w:rsidRDefault="001B6E40" w:rsidP="001B6E40">
      <w:pPr>
        <w:pStyle w:val="Heading3"/>
        <w:spacing w:before="240"/>
      </w:pPr>
      <w:r w:rsidRPr="00261B7A">
        <w:t xml:space="preserve">8.2.5 </w:t>
      </w:r>
      <w:r w:rsidRPr="00261B7A">
        <w:tab/>
        <w:t xml:space="preserve">Mobile combustion: </w:t>
      </w:r>
      <w:r w:rsidRPr="00261B7A">
        <w:rPr>
          <w:iCs/>
        </w:rPr>
        <w:t>Domestic navigation</w:t>
      </w:r>
    </w:p>
    <w:p w14:paraId="1D68A675" w14:textId="77777777" w:rsidR="001B6E40" w:rsidRPr="00261B7A" w:rsidRDefault="001B6E40" w:rsidP="001B6E40">
      <w:pPr>
        <w:pStyle w:val="Heading4"/>
      </w:pPr>
      <w:r w:rsidRPr="00261B7A">
        <w:t>Description</w:t>
      </w:r>
    </w:p>
    <w:p w14:paraId="52C691C6" w14:textId="77777777" w:rsidR="001B6E40" w:rsidRPr="00261B7A" w:rsidRDefault="001B6E40" w:rsidP="001B6E40">
      <w:pPr>
        <w:pStyle w:val="BodyText"/>
        <w:spacing w:before="80"/>
      </w:pPr>
      <w:r w:rsidRPr="00261B7A">
        <w:rPr>
          <w:spacing w:val="-2"/>
        </w:rPr>
        <w:t>The only means of transport to and from Tokelau is by sea because there is no air transportation</w:t>
      </w:r>
      <w:r w:rsidRPr="00261B7A">
        <w:t xml:space="preserve">. </w:t>
      </w:r>
      <w:r w:rsidRPr="00261B7A">
        <w:rPr>
          <w:spacing w:val="-2"/>
        </w:rPr>
        <w:t>All travel and supplies to Tokelau originate and terminate in Samoa, Tokelau’s closest neighbour</w:t>
      </w:r>
      <w:r w:rsidRPr="00261B7A">
        <w:t>. A direct trip from any of the three atolls to the nearest port, Apia, usually takes between 26 hours and 40 hours. There are no ports and terminals in Tokelau, and no offshore anchorage is available: barges that can enter the fringe reef are used for loading and offloading ships.</w:t>
      </w:r>
    </w:p>
    <w:p w14:paraId="26D334CB" w14:textId="77777777" w:rsidR="001B6E40" w:rsidRPr="00261B7A" w:rsidRDefault="001B6E40" w:rsidP="001B6E40">
      <w:pPr>
        <w:pStyle w:val="BodyText"/>
      </w:pPr>
      <w:r w:rsidRPr="00261B7A">
        <w:t xml:space="preserve">The passenger ferries and cargo ships arriving from Apia (distance around 500 kilometres) generally visit the three atolls in succession: they are 60 kilometres and 90 kilometres apart, respectively. A round trip is about 1,300 kilometres using diesel from Apia. Up until 2018, the fraction (300/1300) is used to estimate </w:t>
      </w:r>
      <w:r w:rsidRPr="00261B7A">
        <w:rPr>
          <w:i/>
        </w:rPr>
        <w:t>Domestic navigation</w:t>
      </w:r>
      <w:r w:rsidRPr="00261B7A">
        <w:t xml:space="preserve"> within Tokelau. For 2020, actual data on the number of inter-atoll trips was used. </w:t>
      </w:r>
    </w:p>
    <w:p w14:paraId="0F9D1DC0" w14:textId="77777777" w:rsidR="001B6E40" w:rsidRPr="00261B7A" w:rsidRDefault="001B6E40" w:rsidP="001B6E40">
      <w:pPr>
        <w:pStyle w:val="BodyText"/>
      </w:pPr>
      <w:r w:rsidRPr="00261B7A">
        <w:t>Until recently, the main forms of road transport on the atolls were trucks, pick-ups, motorbikes and a range of golf carts. Some vehicles are electric, fuelled by solar PV energy. Solar-powered streetlights ensure safety on the roadways. The private importation of other vehicles has increased recently.</w:t>
      </w:r>
    </w:p>
    <w:p w14:paraId="198B059A" w14:textId="77777777" w:rsidR="001B6E40" w:rsidRPr="00261B7A" w:rsidRDefault="001B6E40" w:rsidP="001B6E40">
      <w:pPr>
        <w:pStyle w:val="BodyText"/>
      </w:pPr>
      <w:r w:rsidRPr="00261B7A">
        <w:t xml:space="preserve">The number of petrol cars has been very small in Tokelau. In 2020 there were only about 40 cars (in addition to the vehicles above) and 30 motorbikes, with the entire network of unsealed roads being about 10 kilometres. Census 2001 and prior record only four registered cars. Aluminium boats with an outboard motor are widely used by families. Emissions from fuels used for road transport are orders of magnitude lower than from boats, and it was not possible to distinguish the small amounts of fuels used by cars from the total amount used by boats and cars. That is why emissions from road transport are included under the </w:t>
      </w:r>
      <w:r w:rsidRPr="00261B7A">
        <w:rPr>
          <w:i/>
        </w:rPr>
        <w:t>Domestic navigation</w:t>
      </w:r>
      <w:r w:rsidRPr="00261B7A">
        <w:t xml:space="preserve"> category. </w:t>
      </w:r>
    </w:p>
    <w:p w14:paraId="056296ED" w14:textId="77777777" w:rsidR="001B6E40" w:rsidRPr="00261B7A" w:rsidRDefault="001B6E40" w:rsidP="001B6E40">
      <w:pPr>
        <w:pStyle w:val="BodyText"/>
      </w:pPr>
      <w:r w:rsidRPr="00261B7A">
        <w:t xml:space="preserve">According to its 2016 census, Tokelau has 176 aluminium boats with 160 outboard motors, which use most of the imported petrol to travel within and outside the large lagoons. Most of the diesel use is by the ferries travelling to and from Samoa. </w:t>
      </w:r>
      <w:r w:rsidRPr="00261B7A">
        <w:rPr>
          <w:i/>
          <w:iCs/>
        </w:rPr>
        <w:t>Fetu o te Moana</w:t>
      </w:r>
      <w:r w:rsidRPr="00261B7A">
        <w:t xml:space="preserve"> is a new search and rescue vessel delivered in 2019 that also provides general inter-atoll transport. </w:t>
      </w:r>
    </w:p>
    <w:p w14:paraId="3244BB7E" w14:textId="77777777" w:rsidR="001B6E40" w:rsidRPr="00261B7A" w:rsidRDefault="001B6E40" w:rsidP="001B6E40">
      <w:pPr>
        <w:pStyle w:val="BodyText"/>
      </w:pPr>
      <w:r w:rsidRPr="00261B7A">
        <w:t xml:space="preserve">For Tokelau, the category </w:t>
      </w:r>
      <w:r w:rsidRPr="00261B7A">
        <w:rPr>
          <w:i/>
          <w:iCs/>
        </w:rPr>
        <w:t>Domestic navigation</w:t>
      </w:r>
      <w:r w:rsidRPr="00261B7A">
        <w:t xml:space="preserve"> accounted for 100 per cent of the emissions from the </w:t>
      </w:r>
      <w:r w:rsidRPr="00261B7A">
        <w:rPr>
          <w:i/>
          <w:iCs/>
        </w:rPr>
        <w:t>Transport</w:t>
      </w:r>
      <w:r w:rsidRPr="00261B7A">
        <w:t xml:space="preserve"> category for the entire time series. In 2021, emissions from the </w:t>
      </w:r>
      <w:r w:rsidRPr="00261B7A">
        <w:rPr>
          <w:i/>
        </w:rPr>
        <w:t>Domestic navigation</w:t>
      </w:r>
      <w:r w:rsidRPr="00261B7A">
        <w:t xml:space="preserve"> category totalled 1.38 kt CO</w:t>
      </w:r>
      <w:r w:rsidRPr="00261B7A">
        <w:rPr>
          <w:vertAlign w:val="subscript"/>
        </w:rPr>
        <w:t>2</w:t>
      </w:r>
      <w:r w:rsidRPr="00261B7A">
        <w:t>-e (69.0 per cent of all energy emissions from Tokelau).</w:t>
      </w:r>
    </w:p>
    <w:p w14:paraId="11D9AFDC" w14:textId="77777777" w:rsidR="001B6E40" w:rsidRPr="00261B7A" w:rsidRDefault="001B6E40" w:rsidP="001B6E40">
      <w:pPr>
        <w:pStyle w:val="Heading4"/>
      </w:pPr>
      <w:r w:rsidRPr="00261B7A">
        <w:t>Methodological issues</w:t>
      </w:r>
    </w:p>
    <w:p w14:paraId="673C51A7" w14:textId="77777777" w:rsidR="001B6E40" w:rsidRPr="00261B7A" w:rsidRDefault="001B6E40" w:rsidP="001B6E40">
      <w:pPr>
        <w:pStyle w:val="Heading5"/>
        <w:spacing w:before="120"/>
      </w:pPr>
      <w:r w:rsidRPr="00261B7A">
        <w:t>Activity data</w:t>
      </w:r>
    </w:p>
    <w:p w14:paraId="10155F7E" w14:textId="77777777" w:rsidR="001B6E40" w:rsidRPr="00261B7A" w:rsidRDefault="001B6E40" w:rsidP="001B6E40">
      <w:pPr>
        <w:pStyle w:val="BodyText"/>
        <w:rPr>
          <w:lang w:eastAsia="en-GB"/>
        </w:rPr>
      </w:pPr>
      <w:r w:rsidRPr="00261B7A">
        <w:rPr>
          <w:lang w:eastAsia="en-GB"/>
        </w:rPr>
        <w:t xml:space="preserve">The sources of activity data for the </w:t>
      </w:r>
      <w:r w:rsidRPr="00261B7A">
        <w:rPr>
          <w:i/>
          <w:lang w:eastAsia="en-GB"/>
        </w:rPr>
        <w:t>Transport</w:t>
      </w:r>
      <w:r w:rsidRPr="00261B7A">
        <w:rPr>
          <w:lang w:eastAsia="en-GB"/>
        </w:rPr>
        <w:t xml:space="preserve"> category are included in table 8.1.2. Activity data sources for the category are: </w:t>
      </w:r>
    </w:p>
    <w:p w14:paraId="1EFD26DD" w14:textId="77777777" w:rsidR="001B6E40" w:rsidRPr="00261B7A" w:rsidRDefault="001B6E40" w:rsidP="00CE605F">
      <w:pPr>
        <w:pStyle w:val="Bullet"/>
        <w:rPr>
          <w:lang w:eastAsia="en-GB"/>
        </w:rPr>
      </w:pPr>
      <w:r w:rsidRPr="00261B7A">
        <w:rPr>
          <w:lang w:eastAsia="en-GB"/>
        </w:rPr>
        <w:t xml:space="preserve">paid </w:t>
      </w:r>
      <w:r w:rsidRPr="00261B7A">
        <w:t>invoices</w:t>
      </w:r>
      <w:r w:rsidRPr="00261B7A">
        <w:rPr>
          <w:lang w:eastAsia="en-GB"/>
        </w:rPr>
        <w:t xml:space="preserve"> from Petroleum Product Supplies Ltd (Apia, Samoa) with data on fuel prices and volumes supplied </w:t>
      </w:r>
      <w:r w:rsidRPr="00261B7A">
        <w:t>for</w:t>
      </w:r>
      <w:r w:rsidRPr="00261B7A">
        <w:rPr>
          <w:lang w:eastAsia="en-GB"/>
        </w:rPr>
        <w:t xml:space="preserve"> shipping and on-atoll use: diesel, petrol, kerosene and lubricant oil (item 7 in table 8.1.2) </w:t>
      </w:r>
    </w:p>
    <w:p w14:paraId="70C8A7B3" w14:textId="77777777" w:rsidR="001B6E40" w:rsidRPr="00261B7A" w:rsidRDefault="001B6E40" w:rsidP="001B6E40">
      <w:pPr>
        <w:pStyle w:val="Bullet"/>
        <w:rPr>
          <w:lang w:eastAsia="en-GB"/>
        </w:rPr>
      </w:pPr>
      <w:r w:rsidRPr="00261B7A">
        <w:rPr>
          <w:lang w:eastAsia="en-GB"/>
        </w:rPr>
        <w:t xml:space="preserve">the Tokelau Department of Finance’s invoices and payment records to Petroleum Product Supplies Ltd, Origin and on-atoll stores </w:t>
      </w:r>
    </w:p>
    <w:p w14:paraId="5CD67FCD" w14:textId="77777777" w:rsidR="001B6E40" w:rsidRPr="00261B7A" w:rsidRDefault="001B6E40" w:rsidP="001B6E40">
      <w:pPr>
        <w:pStyle w:val="Bullet"/>
        <w:rPr>
          <w:lang w:eastAsia="en-GB"/>
        </w:rPr>
      </w:pPr>
      <w:r w:rsidRPr="00261B7A">
        <w:rPr>
          <w:lang w:eastAsia="en-GB"/>
        </w:rPr>
        <w:t xml:space="preserve">a photo survey of Tokelau motorised vehicles </w:t>
      </w:r>
      <w:r w:rsidRPr="00261B7A">
        <w:t>on</w:t>
      </w:r>
      <w:r w:rsidRPr="00261B7A">
        <w:rPr>
          <w:lang w:eastAsia="en-GB"/>
        </w:rPr>
        <w:t xml:space="preserve">-atoll, August–December 2018. </w:t>
      </w:r>
    </w:p>
    <w:p w14:paraId="2BF1CC64" w14:textId="77777777" w:rsidR="001B6E40" w:rsidRPr="00261B7A" w:rsidRDefault="001B6E40" w:rsidP="00CE605F">
      <w:pPr>
        <w:pStyle w:val="BodyText"/>
      </w:pPr>
      <w:r w:rsidRPr="00261B7A">
        <w:rPr>
          <w:lang w:eastAsia="en-GB"/>
        </w:rPr>
        <w:t>Additional energy data related to cargo manifests were obtained from an Analysis of 2014 Imports into Tokelau from Samoa, Part 2: Stores’ invoices reconciled with cargo manifests, and quality of life implications (</w:t>
      </w:r>
      <w:r w:rsidRPr="00261B7A">
        <w:t>Jasperse</w:t>
      </w:r>
      <w:r w:rsidRPr="00261B7A">
        <w:rPr>
          <w:lang w:eastAsia="en-GB"/>
        </w:rPr>
        <w:t>, 2016). Only liquid fossil fuels (gas and diesel oil) are used for fuelling Tokelau’s transport.</w:t>
      </w:r>
    </w:p>
    <w:p w14:paraId="763AE7E6" w14:textId="77777777" w:rsidR="001B6E40" w:rsidRPr="00261B7A" w:rsidRDefault="001B6E40" w:rsidP="00CE605F">
      <w:pPr>
        <w:pStyle w:val="BodyText"/>
        <w:rPr>
          <w:lang w:eastAsia="en-GB"/>
        </w:rPr>
      </w:pPr>
      <w:r w:rsidRPr="00261B7A">
        <w:rPr>
          <w:lang w:eastAsia="en-GB"/>
        </w:rPr>
        <w:t xml:space="preserve">Due to large discrepancies between different sources of raw data, reliable statistics on fuel consumption across the period 1990 to 2021 are not available. Some anecdotal transport data exist for the number of roundtrips Apia–Tokelau during the </w:t>
      </w:r>
      <w:r w:rsidRPr="00261B7A">
        <w:t>years</w:t>
      </w:r>
      <w:r w:rsidRPr="00261B7A">
        <w:rPr>
          <w:lang w:eastAsia="en-GB"/>
        </w:rPr>
        <w:t xml:space="preserve"> 1990 to 2014; after this period actual records are available. </w:t>
      </w:r>
    </w:p>
    <w:p w14:paraId="4CDF5F03" w14:textId="77777777" w:rsidR="001B6E40" w:rsidRPr="00261B7A" w:rsidRDefault="001B6E40" w:rsidP="001B6E40">
      <w:pPr>
        <w:pStyle w:val="Heading5"/>
        <w:spacing w:before="120"/>
        <w:rPr>
          <w:lang w:eastAsia="en-GB"/>
        </w:rPr>
      </w:pPr>
      <w:r w:rsidRPr="00261B7A">
        <w:rPr>
          <w:lang w:eastAsia="en-GB"/>
        </w:rPr>
        <w:t>Methods and emission factors</w:t>
      </w:r>
    </w:p>
    <w:p w14:paraId="304CC4B1" w14:textId="77777777" w:rsidR="001B6E40" w:rsidRPr="00261B7A" w:rsidRDefault="001B6E40" w:rsidP="001B6E40">
      <w:pPr>
        <w:pStyle w:val="BodyText"/>
        <w:spacing w:before="100" w:after="100"/>
        <w:rPr>
          <w:lang w:eastAsia="en-GB"/>
        </w:rPr>
      </w:pPr>
      <w:r w:rsidRPr="00261B7A">
        <w:rPr>
          <w:lang w:eastAsia="en-GB"/>
        </w:rPr>
        <w:t xml:space="preserve">A Tier 1 method was applied for estimating emissions from the </w:t>
      </w:r>
      <w:r w:rsidRPr="00261B7A">
        <w:rPr>
          <w:i/>
          <w:lang w:eastAsia="en-GB"/>
        </w:rPr>
        <w:t>Domestic navigation</w:t>
      </w:r>
      <w:r w:rsidRPr="00261B7A">
        <w:rPr>
          <w:lang w:eastAsia="en-GB"/>
        </w:rPr>
        <w:t xml:space="preserve"> category. The method required the data on the amount of fuel combusted in the source category and a default emission factor from tables 3.5.2 (for CO</w:t>
      </w:r>
      <w:r w:rsidRPr="00261B7A">
        <w:rPr>
          <w:vertAlign w:val="subscript"/>
          <w:lang w:eastAsia="en-GB"/>
        </w:rPr>
        <w:t>2</w:t>
      </w:r>
      <w:r w:rsidRPr="00261B7A">
        <w:rPr>
          <w:lang w:eastAsia="en-GB"/>
        </w:rPr>
        <w:t>) and 3.5.3 (for non-CO</w:t>
      </w:r>
      <w:r w:rsidRPr="00261B7A">
        <w:rPr>
          <w:vertAlign w:val="subscript"/>
          <w:lang w:eastAsia="en-GB"/>
        </w:rPr>
        <w:t>2</w:t>
      </w:r>
      <w:r w:rsidRPr="00261B7A">
        <w:rPr>
          <w:lang w:eastAsia="en-GB"/>
        </w:rPr>
        <w:t xml:space="preserve"> gases), section 3.5.1.2, volume 2 of the 2006 IPCC Guidelines. Default emission factors from the 2006 IPCC Guidelines were converted from net calorific values to gross calorific values using the OECD and IEA assumptions to make these conversions:</w:t>
      </w:r>
    </w:p>
    <w:p w14:paraId="0C228289" w14:textId="77777777" w:rsidR="001B6E40" w:rsidRPr="00261B7A" w:rsidRDefault="001B6E40" w:rsidP="001B6E40">
      <w:pPr>
        <w:pStyle w:val="BodyText"/>
        <w:spacing w:before="100" w:after="100"/>
        <w:jc w:val="center"/>
        <w:rPr>
          <w:rFonts w:ascii="Cambria Math" w:hAnsi="Cambria Math"/>
          <w:lang w:eastAsia="en-GB"/>
        </w:rPr>
      </w:pPr>
      <w:r w:rsidRPr="00261B7A">
        <w:rPr>
          <w:rFonts w:ascii="Cambria Math" w:hAnsi="Cambria Math"/>
          <w:lang w:eastAsia="en-GB"/>
        </w:rPr>
        <w:t>Gross Emission Factor (liquid fuels) = 0.95 x Net Emission Factor</w:t>
      </w:r>
    </w:p>
    <w:p w14:paraId="22F67925" w14:textId="77777777" w:rsidR="001B6E40" w:rsidRPr="00261B7A" w:rsidRDefault="001B6E40" w:rsidP="001B6E40">
      <w:pPr>
        <w:pStyle w:val="BodyText"/>
        <w:spacing w:before="100" w:after="100"/>
        <w:rPr>
          <w:lang w:eastAsia="en-GB"/>
        </w:rPr>
      </w:pPr>
      <w:r w:rsidRPr="00261B7A">
        <w:rPr>
          <w:lang w:eastAsia="en-GB"/>
        </w:rPr>
        <w:t xml:space="preserve">Equation 3.5.1 in section 3.5.1.1 in the 2006 IPCC Guidelines was used for estimating emissions (IPCC, 2006a). </w:t>
      </w:r>
    </w:p>
    <w:p w14:paraId="64923CD5" w14:textId="77777777" w:rsidR="001B6E40" w:rsidRPr="00261B7A" w:rsidRDefault="001B6E40" w:rsidP="001B6E40">
      <w:pPr>
        <w:pStyle w:val="Heading4"/>
      </w:pPr>
      <w:r w:rsidRPr="00261B7A">
        <w:t>Uncertainties</w:t>
      </w:r>
    </w:p>
    <w:p w14:paraId="5934A0A7" w14:textId="77777777" w:rsidR="001B6E40" w:rsidRPr="00261B7A" w:rsidRDefault="001B6E40" w:rsidP="001B6E40">
      <w:pPr>
        <w:pStyle w:val="BodyText"/>
        <w:spacing w:before="80" w:after="80"/>
        <w:rPr>
          <w:lang w:eastAsia="en-GB"/>
        </w:rPr>
      </w:pPr>
      <w:r w:rsidRPr="00261B7A">
        <w:rPr>
          <w:lang w:eastAsia="en-GB"/>
        </w:rPr>
        <w:t>For this submission, it was not possible to develop Tokelau-specific uncertainty values, so for emission factors, default uncertainty values provided in the 2006 IPCC Guidelines were used for CO</w:t>
      </w:r>
      <w:r w:rsidRPr="00261B7A">
        <w:rPr>
          <w:vertAlign w:val="subscript"/>
          <w:lang w:eastAsia="en-GB"/>
        </w:rPr>
        <w:t>2</w:t>
      </w:r>
      <w:r w:rsidRPr="00261B7A">
        <w:rPr>
          <w:lang w:eastAsia="en-GB"/>
        </w:rPr>
        <w:t xml:space="preserve"> (for diesel) and CH</w:t>
      </w:r>
      <w:r w:rsidRPr="00261B7A">
        <w:rPr>
          <w:vertAlign w:val="subscript"/>
          <w:lang w:eastAsia="en-GB"/>
        </w:rPr>
        <w:t>4</w:t>
      </w:r>
      <w:r w:rsidRPr="00261B7A">
        <w:rPr>
          <w:lang w:eastAsia="en-GB"/>
        </w:rPr>
        <w:t xml:space="preserve"> (upper value) (IPCC, 2006a). For N</w:t>
      </w:r>
      <w:r w:rsidRPr="00261B7A">
        <w:rPr>
          <w:vertAlign w:val="subscript"/>
          <w:lang w:eastAsia="en-GB"/>
        </w:rPr>
        <w:t>2</w:t>
      </w:r>
      <w:r w:rsidRPr="00261B7A">
        <w:rPr>
          <w:lang w:eastAsia="en-GB"/>
        </w:rPr>
        <w:t xml:space="preserve">O, New Zealand’s emission factor uncertainty across the Energy sector was used for this category, which is within the default uncertainty range. </w:t>
      </w:r>
    </w:p>
    <w:p w14:paraId="53040860" w14:textId="77777777" w:rsidR="001B6E40" w:rsidRPr="00261B7A" w:rsidRDefault="001B6E40" w:rsidP="001B6E40">
      <w:pPr>
        <w:pStyle w:val="BodyText"/>
        <w:spacing w:before="80" w:after="80"/>
        <w:rPr>
          <w:lang w:eastAsia="en-GB"/>
        </w:rPr>
      </w:pPr>
      <w:r w:rsidRPr="00261B7A">
        <w:rPr>
          <w:lang w:eastAsia="en-GB"/>
        </w:rPr>
        <w:t xml:space="preserve">For activity data, due to discrepancies between different data sources, an upper level of default uncertainty range associated with incomplete surveys from the 2006 IPCC Guidelines was applied (IPCC, 2006a). Table 8.2.3 shows the use of uncertainties for </w:t>
      </w:r>
      <w:r w:rsidRPr="00261B7A">
        <w:rPr>
          <w:i/>
          <w:lang w:eastAsia="en-GB"/>
        </w:rPr>
        <w:t>Domestic navigation</w:t>
      </w:r>
      <w:r w:rsidRPr="00261B7A">
        <w:rPr>
          <w:lang w:eastAsia="en-GB"/>
        </w:rPr>
        <w:t xml:space="preserve"> (diesel).</w:t>
      </w:r>
    </w:p>
    <w:p w14:paraId="5CC21F51" w14:textId="77777777" w:rsidR="001B6E40" w:rsidRPr="00261B7A" w:rsidRDefault="001B6E40" w:rsidP="001B6E40">
      <w:pPr>
        <w:pStyle w:val="Table"/>
      </w:pPr>
      <w:bookmarkStart w:id="2690" w:name="_Toc5269598"/>
      <w:bookmarkStart w:id="2691" w:name="_Toc36224679"/>
      <w:bookmarkStart w:id="2692" w:name="_Toc68786565"/>
      <w:bookmarkStart w:id="2693" w:name="_Toc130211271"/>
      <w:bookmarkStart w:id="2694" w:name="_Toc131591472"/>
      <w:r w:rsidRPr="00261B7A">
        <w:t>Table 8.2.3</w:t>
      </w:r>
      <w:r w:rsidRPr="00261B7A">
        <w:tab/>
        <w:t xml:space="preserve">Uncertainties for the </w:t>
      </w:r>
      <w:r w:rsidRPr="00261B7A">
        <w:rPr>
          <w:i/>
          <w:lang w:eastAsia="en-GB"/>
        </w:rPr>
        <w:t xml:space="preserve">Domestic navigation </w:t>
      </w:r>
      <w:r w:rsidRPr="00261B7A">
        <w:rPr>
          <w:lang w:eastAsia="en-GB"/>
        </w:rPr>
        <w:t xml:space="preserve">(diesel) </w:t>
      </w:r>
      <w:r w:rsidRPr="00261B7A">
        <w:t>category</w:t>
      </w:r>
      <w:bookmarkEnd w:id="2690"/>
      <w:bookmarkEnd w:id="2691"/>
      <w:bookmarkEnd w:id="2692"/>
      <w:bookmarkEnd w:id="2693"/>
      <w:bookmarkEnd w:id="2694"/>
    </w:p>
    <w:tbl>
      <w:tblPr>
        <w:tblW w:w="8505"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567"/>
        <w:gridCol w:w="1119"/>
        <w:gridCol w:w="1716"/>
        <w:gridCol w:w="1842"/>
        <w:gridCol w:w="3261"/>
      </w:tblGrid>
      <w:tr w:rsidR="001B6E40" w:rsidRPr="00261B7A" w14:paraId="41DA42FF" w14:textId="77777777" w:rsidTr="00CE605F">
        <w:trPr>
          <w:tblHeader/>
        </w:trPr>
        <w:tc>
          <w:tcPr>
            <w:tcW w:w="333" w:type="pct"/>
            <w:shd w:val="clear" w:color="auto" w:fill="1B556B"/>
            <w:noWrap/>
            <w:vAlign w:val="bottom"/>
            <w:hideMark/>
          </w:tcPr>
          <w:p w14:paraId="1E385B77" w14:textId="77777777" w:rsidR="001B6E40" w:rsidRPr="00261B7A" w:rsidRDefault="001B6E40" w:rsidP="003E20AD">
            <w:pPr>
              <w:pStyle w:val="TableTextBold"/>
              <w:spacing w:before="40" w:after="40"/>
              <w:rPr>
                <w:noProof w:val="0"/>
                <w:color w:val="FFFFFF"/>
                <w:szCs w:val="16"/>
              </w:rPr>
            </w:pPr>
            <w:r w:rsidRPr="00261B7A">
              <w:rPr>
                <w:noProof w:val="0"/>
                <w:color w:val="FFFFFF"/>
                <w:szCs w:val="16"/>
              </w:rPr>
              <w:t>Gas</w:t>
            </w:r>
          </w:p>
        </w:tc>
        <w:tc>
          <w:tcPr>
            <w:tcW w:w="658" w:type="pct"/>
            <w:shd w:val="clear" w:color="auto" w:fill="1B556B"/>
            <w:noWrap/>
            <w:vAlign w:val="bottom"/>
            <w:hideMark/>
          </w:tcPr>
          <w:p w14:paraId="7319B36D" w14:textId="77777777" w:rsidR="001B6E40" w:rsidRPr="00261B7A" w:rsidRDefault="001B6E40" w:rsidP="003E20AD">
            <w:pPr>
              <w:pStyle w:val="TableTextBold"/>
              <w:spacing w:before="40" w:after="40"/>
              <w:rPr>
                <w:noProof w:val="0"/>
                <w:color w:val="FFFFFF"/>
                <w:szCs w:val="16"/>
              </w:rPr>
            </w:pPr>
            <w:r w:rsidRPr="00261B7A">
              <w:rPr>
                <w:noProof w:val="0"/>
                <w:color w:val="FFFFFF"/>
                <w:szCs w:val="16"/>
              </w:rPr>
              <w:t>Fuel type</w:t>
            </w:r>
          </w:p>
        </w:tc>
        <w:tc>
          <w:tcPr>
            <w:tcW w:w="1009" w:type="pct"/>
            <w:shd w:val="clear" w:color="auto" w:fill="1B556B"/>
            <w:vAlign w:val="bottom"/>
            <w:hideMark/>
          </w:tcPr>
          <w:p w14:paraId="3C055C93" w14:textId="77777777" w:rsidR="001B6E40" w:rsidRPr="00261B7A" w:rsidRDefault="001B6E40" w:rsidP="003E20AD">
            <w:pPr>
              <w:pStyle w:val="TableTextBold"/>
              <w:spacing w:before="40" w:after="40"/>
              <w:jc w:val="center"/>
              <w:rPr>
                <w:noProof w:val="0"/>
                <w:color w:val="FFFFFF"/>
                <w:szCs w:val="16"/>
              </w:rPr>
            </w:pPr>
            <w:r w:rsidRPr="00261B7A">
              <w:rPr>
                <w:noProof w:val="0"/>
                <w:color w:val="FFFFFF"/>
                <w:szCs w:val="16"/>
              </w:rPr>
              <w:t>Activity data (AD) uncertainty (%)</w:t>
            </w:r>
          </w:p>
        </w:tc>
        <w:tc>
          <w:tcPr>
            <w:tcW w:w="1083" w:type="pct"/>
            <w:shd w:val="clear" w:color="auto" w:fill="1B556B"/>
            <w:vAlign w:val="bottom"/>
            <w:hideMark/>
          </w:tcPr>
          <w:p w14:paraId="34BD5689" w14:textId="77777777" w:rsidR="001B6E40" w:rsidRPr="00261B7A" w:rsidRDefault="001B6E40" w:rsidP="003E20AD">
            <w:pPr>
              <w:pStyle w:val="TableTextBold"/>
              <w:spacing w:before="40" w:after="40"/>
              <w:jc w:val="center"/>
              <w:rPr>
                <w:noProof w:val="0"/>
                <w:color w:val="FFFFFF"/>
                <w:szCs w:val="16"/>
              </w:rPr>
            </w:pPr>
            <w:r w:rsidRPr="00261B7A">
              <w:rPr>
                <w:noProof w:val="0"/>
                <w:color w:val="FFFFFF"/>
                <w:szCs w:val="16"/>
              </w:rPr>
              <w:t>Emission factor (EF) uncertainty (%)</w:t>
            </w:r>
          </w:p>
        </w:tc>
        <w:tc>
          <w:tcPr>
            <w:tcW w:w="1917" w:type="pct"/>
            <w:shd w:val="clear" w:color="auto" w:fill="1B556B"/>
            <w:vAlign w:val="bottom"/>
          </w:tcPr>
          <w:p w14:paraId="5EAD8528" w14:textId="77777777" w:rsidR="001B6E40" w:rsidRPr="00261B7A" w:rsidRDefault="001B6E40" w:rsidP="003E20AD">
            <w:pPr>
              <w:pStyle w:val="TableTextBold"/>
              <w:spacing w:before="40" w:after="40"/>
              <w:jc w:val="center"/>
              <w:rPr>
                <w:noProof w:val="0"/>
                <w:color w:val="FFFFFF"/>
                <w:szCs w:val="16"/>
              </w:rPr>
            </w:pPr>
            <w:r w:rsidRPr="00261B7A">
              <w:rPr>
                <w:noProof w:val="0"/>
                <w:color w:val="FFFFFF"/>
                <w:szCs w:val="16"/>
              </w:rPr>
              <w:t>Source</w:t>
            </w:r>
          </w:p>
        </w:tc>
      </w:tr>
      <w:tr w:rsidR="001B6E40" w:rsidRPr="00261B7A" w14:paraId="7F1E478C" w14:textId="77777777" w:rsidTr="00CE605F">
        <w:tc>
          <w:tcPr>
            <w:tcW w:w="333" w:type="pct"/>
            <w:shd w:val="clear" w:color="auto" w:fill="auto"/>
            <w:noWrap/>
            <w:hideMark/>
          </w:tcPr>
          <w:p w14:paraId="6D4906F4" w14:textId="77777777" w:rsidR="001B6E40" w:rsidRPr="00261B7A" w:rsidRDefault="001B6E40" w:rsidP="003E20AD">
            <w:pPr>
              <w:pStyle w:val="TableText"/>
              <w:spacing w:before="40" w:after="40"/>
              <w:rPr>
                <w:szCs w:val="16"/>
              </w:rPr>
            </w:pPr>
            <w:r w:rsidRPr="00261B7A">
              <w:rPr>
                <w:szCs w:val="16"/>
              </w:rPr>
              <w:t>CO</w:t>
            </w:r>
            <w:r w:rsidRPr="00261B7A">
              <w:rPr>
                <w:szCs w:val="16"/>
                <w:vertAlign w:val="subscript"/>
              </w:rPr>
              <w:t>2</w:t>
            </w:r>
          </w:p>
        </w:tc>
        <w:tc>
          <w:tcPr>
            <w:tcW w:w="658" w:type="pct"/>
            <w:shd w:val="clear" w:color="auto" w:fill="auto"/>
            <w:noWrap/>
            <w:hideMark/>
          </w:tcPr>
          <w:p w14:paraId="259CA213" w14:textId="77777777" w:rsidR="001B6E40" w:rsidRPr="00261B7A" w:rsidRDefault="001B6E40" w:rsidP="003E20AD">
            <w:pPr>
              <w:pStyle w:val="TableText"/>
              <w:spacing w:before="40" w:after="40"/>
              <w:rPr>
                <w:szCs w:val="16"/>
              </w:rPr>
            </w:pPr>
            <w:r w:rsidRPr="00261B7A">
              <w:rPr>
                <w:szCs w:val="16"/>
              </w:rPr>
              <w:t>Liquid fuels</w:t>
            </w:r>
          </w:p>
        </w:tc>
        <w:tc>
          <w:tcPr>
            <w:tcW w:w="1009" w:type="pct"/>
            <w:shd w:val="clear" w:color="auto" w:fill="auto"/>
            <w:noWrap/>
            <w:hideMark/>
          </w:tcPr>
          <w:p w14:paraId="050267E1" w14:textId="77777777" w:rsidR="001B6E40" w:rsidRPr="00261B7A" w:rsidRDefault="001B6E40" w:rsidP="003E20AD">
            <w:pPr>
              <w:pStyle w:val="TableText"/>
              <w:spacing w:before="40" w:after="40"/>
              <w:jc w:val="center"/>
              <w:rPr>
                <w:szCs w:val="16"/>
              </w:rPr>
            </w:pPr>
            <w:r w:rsidRPr="00261B7A">
              <w:rPr>
                <w:szCs w:val="16"/>
              </w:rPr>
              <w:t>±50</w:t>
            </w:r>
          </w:p>
        </w:tc>
        <w:tc>
          <w:tcPr>
            <w:tcW w:w="1083" w:type="pct"/>
            <w:shd w:val="clear" w:color="auto" w:fill="auto"/>
            <w:noWrap/>
            <w:hideMark/>
          </w:tcPr>
          <w:p w14:paraId="4857E653" w14:textId="77777777" w:rsidR="001B6E40" w:rsidRPr="00261B7A" w:rsidRDefault="001B6E40" w:rsidP="003E20AD">
            <w:pPr>
              <w:pStyle w:val="TableText"/>
              <w:spacing w:before="40" w:after="40"/>
              <w:jc w:val="center"/>
              <w:rPr>
                <w:szCs w:val="16"/>
              </w:rPr>
            </w:pPr>
            <w:r w:rsidRPr="00261B7A">
              <w:rPr>
                <w:szCs w:val="16"/>
              </w:rPr>
              <w:t>±1.5</w:t>
            </w:r>
          </w:p>
        </w:tc>
        <w:tc>
          <w:tcPr>
            <w:tcW w:w="1917" w:type="pct"/>
          </w:tcPr>
          <w:p w14:paraId="6F2BD1D8" w14:textId="77777777" w:rsidR="001B6E40" w:rsidRPr="00261B7A" w:rsidRDefault="001B6E40" w:rsidP="003E20AD">
            <w:pPr>
              <w:pStyle w:val="TableText"/>
              <w:spacing w:before="40" w:after="40"/>
              <w:rPr>
                <w:szCs w:val="16"/>
              </w:rPr>
            </w:pPr>
            <w:r w:rsidRPr="00261B7A">
              <w:rPr>
                <w:szCs w:val="16"/>
              </w:rPr>
              <w:t>Section 3.5.1.7, IPCC, 2006a</w:t>
            </w:r>
          </w:p>
        </w:tc>
      </w:tr>
      <w:tr w:rsidR="001B6E40" w:rsidRPr="00261B7A" w14:paraId="28CBBAEB" w14:textId="77777777" w:rsidTr="00CE605F">
        <w:tc>
          <w:tcPr>
            <w:tcW w:w="333" w:type="pct"/>
            <w:shd w:val="clear" w:color="auto" w:fill="auto"/>
            <w:noWrap/>
            <w:hideMark/>
          </w:tcPr>
          <w:p w14:paraId="47ABBE45" w14:textId="77777777" w:rsidR="001B6E40" w:rsidRPr="00261B7A" w:rsidRDefault="001B6E40" w:rsidP="003E20AD">
            <w:pPr>
              <w:pStyle w:val="TableText"/>
              <w:spacing w:before="40" w:after="40"/>
              <w:rPr>
                <w:szCs w:val="16"/>
              </w:rPr>
            </w:pPr>
            <w:r w:rsidRPr="00261B7A">
              <w:rPr>
                <w:szCs w:val="16"/>
              </w:rPr>
              <w:t>CH</w:t>
            </w:r>
            <w:r w:rsidRPr="00261B7A">
              <w:rPr>
                <w:szCs w:val="16"/>
                <w:vertAlign w:val="subscript"/>
              </w:rPr>
              <w:t>4</w:t>
            </w:r>
          </w:p>
        </w:tc>
        <w:tc>
          <w:tcPr>
            <w:tcW w:w="658" w:type="pct"/>
            <w:shd w:val="clear" w:color="auto" w:fill="auto"/>
            <w:noWrap/>
            <w:hideMark/>
          </w:tcPr>
          <w:p w14:paraId="22AF3303" w14:textId="77777777" w:rsidR="001B6E40" w:rsidRPr="00261B7A" w:rsidRDefault="001B6E40" w:rsidP="003E20AD">
            <w:pPr>
              <w:pStyle w:val="TableText"/>
              <w:spacing w:before="40" w:after="40"/>
              <w:rPr>
                <w:szCs w:val="16"/>
              </w:rPr>
            </w:pPr>
            <w:r w:rsidRPr="00261B7A">
              <w:rPr>
                <w:szCs w:val="16"/>
              </w:rPr>
              <w:t>Liquid fuels</w:t>
            </w:r>
          </w:p>
        </w:tc>
        <w:tc>
          <w:tcPr>
            <w:tcW w:w="1009" w:type="pct"/>
            <w:shd w:val="clear" w:color="auto" w:fill="auto"/>
            <w:noWrap/>
            <w:hideMark/>
          </w:tcPr>
          <w:p w14:paraId="3644BAAE" w14:textId="77777777" w:rsidR="001B6E40" w:rsidRPr="00261B7A" w:rsidRDefault="001B6E40" w:rsidP="003E20AD">
            <w:pPr>
              <w:pStyle w:val="TableText"/>
              <w:spacing w:before="40" w:after="40"/>
              <w:jc w:val="center"/>
              <w:rPr>
                <w:szCs w:val="16"/>
              </w:rPr>
            </w:pPr>
            <w:r w:rsidRPr="00261B7A">
              <w:rPr>
                <w:szCs w:val="16"/>
              </w:rPr>
              <w:t>±50</w:t>
            </w:r>
          </w:p>
        </w:tc>
        <w:tc>
          <w:tcPr>
            <w:tcW w:w="1083" w:type="pct"/>
            <w:shd w:val="clear" w:color="auto" w:fill="auto"/>
            <w:noWrap/>
            <w:hideMark/>
          </w:tcPr>
          <w:p w14:paraId="05BA6EB8" w14:textId="77777777" w:rsidR="001B6E40" w:rsidRPr="00261B7A" w:rsidRDefault="001B6E40" w:rsidP="003E20AD">
            <w:pPr>
              <w:pStyle w:val="TableText"/>
              <w:spacing w:before="40" w:after="40"/>
              <w:jc w:val="center"/>
              <w:rPr>
                <w:szCs w:val="16"/>
              </w:rPr>
            </w:pPr>
            <w:r w:rsidRPr="00261B7A">
              <w:rPr>
                <w:szCs w:val="16"/>
              </w:rPr>
              <w:t>±50.0</w:t>
            </w:r>
          </w:p>
        </w:tc>
        <w:tc>
          <w:tcPr>
            <w:tcW w:w="1917" w:type="pct"/>
          </w:tcPr>
          <w:p w14:paraId="5C364396" w14:textId="77777777" w:rsidR="001B6E40" w:rsidRPr="00261B7A" w:rsidRDefault="001B6E40" w:rsidP="003E20AD">
            <w:pPr>
              <w:pStyle w:val="TableText"/>
              <w:spacing w:before="40" w:after="40"/>
              <w:rPr>
                <w:szCs w:val="16"/>
              </w:rPr>
            </w:pPr>
            <w:r w:rsidRPr="00261B7A">
              <w:rPr>
                <w:szCs w:val="16"/>
              </w:rPr>
              <w:t>Section 3.5.1.7, IPCC, 2006a</w:t>
            </w:r>
          </w:p>
        </w:tc>
      </w:tr>
      <w:tr w:rsidR="001B6E40" w:rsidRPr="00261B7A" w14:paraId="62F0F3AC" w14:textId="77777777" w:rsidTr="00CE605F">
        <w:tc>
          <w:tcPr>
            <w:tcW w:w="333" w:type="pct"/>
            <w:shd w:val="clear" w:color="auto" w:fill="auto"/>
            <w:noWrap/>
            <w:hideMark/>
          </w:tcPr>
          <w:p w14:paraId="2ACE92A7" w14:textId="77777777" w:rsidR="001B6E40" w:rsidRPr="00261B7A" w:rsidRDefault="001B6E40" w:rsidP="003E20AD">
            <w:pPr>
              <w:pStyle w:val="TableText"/>
              <w:spacing w:before="40" w:after="40"/>
              <w:rPr>
                <w:szCs w:val="16"/>
              </w:rPr>
            </w:pPr>
            <w:r w:rsidRPr="00261B7A">
              <w:rPr>
                <w:szCs w:val="16"/>
              </w:rPr>
              <w:t>N</w:t>
            </w:r>
            <w:r w:rsidRPr="00261B7A">
              <w:rPr>
                <w:szCs w:val="16"/>
                <w:vertAlign w:val="subscript"/>
              </w:rPr>
              <w:t>2</w:t>
            </w:r>
            <w:r w:rsidRPr="00261B7A">
              <w:rPr>
                <w:szCs w:val="16"/>
              </w:rPr>
              <w:t>O</w:t>
            </w:r>
          </w:p>
        </w:tc>
        <w:tc>
          <w:tcPr>
            <w:tcW w:w="658" w:type="pct"/>
            <w:shd w:val="clear" w:color="auto" w:fill="auto"/>
            <w:noWrap/>
            <w:hideMark/>
          </w:tcPr>
          <w:p w14:paraId="51DCDCDF" w14:textId="77777777" w:rsidR="001B6E40" w:rsidRPr="00261B7A" w:rsidRDefault="001B6E40" w:rsidP="003E20AD">
            <w:pPr>
              <w:pStyle w:val="TableText"/>
              <w:spacing w:before="40" w:after="40"/>
              <w:rPr>
                <w:szCs w:val="16"/>
              </w:rPr>
            </w:pPr>
            <w:r w:rsidRPr="00261B7A">
              <w:rPr>
                <w:szCs w:val="16"/>
              </w:rPr>
              <w:t>Liquid fuels</w:t>
            </w:r>
          </w:p>
        </w:tc>
        <w:tc>
          <w:tcPr>
            <w:tcW w:w="1009" w:type="pct"/>
            <w:shd w:val="clear" w:color="auto" w:fill="auto"/>
            <w:noWrap/>
            <w:hideMark/>
          </w:tcPr>
          <w:p w14:paraId="21122670" w14:textId="77777777" w:rsidR="001B6E40" w:rsidRPr="00261B7A" w:rsidRDefault="001B6E40" w:rsidP="003E20AD">
            <w:pPr>
              <w:pStyle w:val="TableText"/>
              <w:spacing w:before="40" w:after="40"/>
              <w:jc w:val="center"/>
              <w:rPr>
                <w:szCs w:val="16"/>
              </w:rPr>
            </w:pPr>
            <w:r w:rsidRPr="00261B7A">
              <w:rPr>
                <w:szCs w:val="16"/>
              </w:rPr>
              <w:t>±50</w:t>
            </w:r>
          </w:p>
        </w:tc>
        <w:tc>
          <w:tcPr>
            <w:tcW w:w="1083" w:type="pct"/>
            <w:shd w:val="clear" w:color="auto" w:fill="auto"/>
            <w:noWrap/>
            <w:hideMark/>
          </w:tcPr>
          <w:p w14:paraId="50595ED8" w14:textId="77777777" w:rsidR="001B6E40" w:rsidRPr="00261B7A" w:rsidRDefault="001B6E40" w:rsidP="003E20AD">
            <w:pPr>
              <w:pStyle w:val="TableText"/>
              <w:spacing w:before="40" w:after="40"/>
              <w:jc w:val="center"/>
              <w:rPr>
                <w:szCs w:val="16"/>
              </w:rPr>
            </w:pPr>
            <w:r w:rsidRPr="00261B7A">
              <w:rPr>
                <w:szCs w:val="16"/>
              </w:rPr>
              <w:t>±50.0</w:t>
            </w:r>
          </w:p>
        </w:tc>
        <w:tc>
          <w:tcPr>
            <w:tcW w:w="1917" w:type="pct"/>
          </w:tcPr>
          <w:p w14:paraId="0F985B3D" w14:textId="77777777" w:rsidR="001B6E40" w:rsidRPr="00261B7A" w:rsidRDefault="001B6E40" w:rsidP="003E20AD">
            <w:pPr>
              <w:pStyle w:val="TableText"/>
              <w:spacing w:before="40" w:after="40"/>
              <w:rPr>
                <w:szCs w:val="16"/>
              </w:rPr>
            </w:pPr>
            <w:r w:rsidRPr="00261B7A">
              <w:rPr>
                <w:szCs w:val="16"/>
              </w:rPr>
              <w:t>New Zealand’s value is used (table 3.3.1, chapter 3), section 3.5.1.7, IPCC, 2006a</w:t>
            </w:r>
          </w:p>
        </w:tc>
      </w:tr>
    </w:tbl>
    <w:p w14:paraId="50C0F662" w14:textId="77777777" w:rsidR="001B6E40" w:rsidRPr="00261B7A" w:rsidRDefault="001B6E40" w:rsidP="001B6E40">
      <w:pPr>
        <w:pStyle w:val="Heading4"/>
        <w:spacing w:before="360"/>
      </w:pPr>
      <w:r w:rsidRPr="00261B7A">
        <w:t>Source-specific planned improvements</w:t>
      </w:r>
    </w:p>
    <w:p w14:paraId="15B8F2D5" w14:textId="77777777" w:rsidR="001B6E40" w:rsidRPr="00261B7A" w:rsidRDefault="001B6E40" w:rsidP="001B6E40">
      <w:pPr>
        <w:pStyle w:val="BodyText"/>
        <w:rPr>
          <w:lang w:eastAsia="en-GB"/>
        </w:rPr>
      </w:pPr>
      <w:r w:rsidRPr="00261B7A">
        <w:rPr>
          <w:lang w:eastAsia="en-GB"/>
        </w:rPr>
        <w:t xml:space="preserve">No improvements are planned for </w:t>
      </w:r>
      <w:r w:rsidRPr="00261B7A">
        <w:rPr>
          <w:i/>
          <w:lang w:eastAsia="en-GB"/>
        </w:rPr>
        <w:t>Transport</w:t>
      </w:r>
      <w:r w:rsidRPr="00261B7A">
        <w:rPr>
          <w:lang w:eastAsia="en-GB"/>
        </w:rPr>
        <w:t xml:space="preserve">. For future submissions, further analysis of activity data to reflect year-to-year variations will be considered as far as resources allow. </w:t>
      </w:r>
    </w:p>
    <w:p w14:paraId="73489810" w14:textId="77777777" w:rsidR="001B6E40" w:rsidRPr="00261B7A" w:rsidRDefault="001B6E40" w:rsidP="00A638DC">
      <w:pPr>
        <w:pStyle w:val="Heading2"/>
      </w:pPr>
      <w:bookmarkStart w:id="2695" w:name="_Toc5269395"/>
      <w:bookmarkStart w:id="2696" w:name="_Toc36224435"/>
      <w:bookmarkStart w:id="2697" w:name="_Toc68786355"/>
      <w:bookmarkStart w:id="2698" w:name="_Toc131591269"/>
      <w:r w:rsidRPr="00261B7A">
        <w:t>8.3</w:t>
      </w:r>
      <w:r w:rsidRPr="00261B7A">
        <w:tab/>
        <w:t>Emissions from Industrial Processes and Product Use in Tokelau (CRF 6. Tokelau_2)</w:t>
      </w:r>
      <w:bookmarkEnd w:id="2695"/>
      <w:bookmarkEnd w:id="2696"/>
      <w:bookmarkEnd w:id="2697"/>
      <w:bookmarkEnd w:id="2698"/>
    </w:p>
    <w:p w14:paraId="42FE90FA" w14:textId="77777777" w:rsidR="001B6E40" w:rsidRPr="00261B7A" w:rsidRDefault="001B6E40" w:rsidP="001B6E40">
      <w:pPr>
        <w:pStyle w:val="BodyText"/>
      </w:pPr>
      <w:r w:rsidRPr="00261B7A">
        <w:t>Tokelau has no significant industry. The emissions associated with the IPPU sector are coming from the following activities:</w:t>
      </w:r>
    </w:p>
    <w:p w14:paraId="3B0CA7B4" w14:textId="77777777" w:rsidR="001B6E40" w:rsidRPr="00261B7A" w:rsidRDefault="001B6E40" w:rsidP="001B6E40">
      <w:pPr>
        <w:pStyle w:val="Bullet"/>
      </w:pPr>
      <w:r w:rsidRPr="00261B7A">
        <w:t>use of refrigeration and air conditioning – HFCs</w:t>
      </w:r>
    </w:p>
    <w:p w14:paraId="6F8A78E8" w14:textId="77777777" w:rsidR="001B6E40" w:rsidRPr="00261B7A" w:rsidRDefault="001B6E40" w:rsidP="001B6E40">
      <w:pPr>
        <w:pStyle w:val="Bullet"/>
      </w:pPr>
      <w:r w:rsidRPr="00261B7A">
        <w:t xml:space="preserve">use of metered dose inhalers – HFC-134a and HFC-227ea </w:t>
      </w:r>
    </w:p>
    <w:p w14:paraId="2E4D584A" w14:textId="77777777" w:rsidR="001B6E40" w:rsidRPr="00261B7A" w:rsidRDefault="001B6E40" w:rsidP="001B6E40">
      <w:pPr>
        <w:pStyle w:val="Bullet"/>
      </w:pPr>
      <w:r w:rsidRPr="00261B7A">
        <w:t>medical applications of N</w:t>
      </w:r>
      <w:r w:rsidRPr="00261B7A">
        <w:rPr>
          <w:vertAlign w:val="subscript"/>
        </w:rPr>
        <w:t>2</w:t>
      </w:r>
      <w:r w:rsidRPr="00261B7A">
        <w:t>O.</w:t>
      </w:r>
    </w:p>
    <w:p w14:paraId="6840DA09" w14:textId="77777777" w:rsidR="001B6E40" w:rsidRPr="00261B7A" w:rsidRDefault="001B6E40" w:rsidP="001B6E40">
      <w:pPr>
        <w:pStyle w:val="BodyText"/>
      </w:pPr>
      <w:r w:rsidRPr="00261B7A">
        <w:t xml:space="preserve">Thus, the source categories included in this report are </w:t>
      </w:r>
      <w:r w:rsidRPr="00261B7A">
        <w:rPr>
          <w:i/>
        </w:rPr>
        <w:t>Refrigeration and air conditioning</w:t>
      </w:r>
      <w:r w:rsidRPr="00261B7A">
        <w:t xml:space="preserve"> (2.F.1), </w:t>
      </w:r>
      <w:r w:rsidRPr="00261B7A">
        <w:rPr>
          <w:i/>
        </w:rPr>
        <w:t>Metered dose inhalers</w:t>
      </w:r>
      <w:r w:rsidRPr="00261B7A">
        <w:t xml:space="preserve"> (2.F.4) and </w:t>
      </w:r>
      <w:r w:rsidRPr="00261B7A">
        <w:rPr>
          <w:i/>
        </w:rPr>
        <w:t xml:space="preserve">Medical applications </w:t>
      </w:r>
      <w:r w:rsidRPr="00261B7A">
        <w:t>(2.G.3).</w:t>
      </w:r>
    </w:p>
    <w:p w14:paraId="1AF96C3B" w14:textId="77777777" w:rsidR="001B6E40" w:rsidRPr="00261B7A" w:rsidRDefault="001B6E40" w:rsidP="001B6E40">
      <w:pPr>
        <w:pStyle w:val="BodyText"/>
      </w:pPr>
      <w:r w:rsidRPr="00261B7A">
        <w:t>The total amount of all IPPU emissions in Tokelau in 2021 was 0.26 kt CO</w:t>
      </w:r>
      <w:r w:rsidRPr="00261B7A">
        <w:rPr>
          <w:vertAlign w:val="subscript"/>
        </w:rPr>
        <w:t>2</w:t>
      </w:r>
      <w:r w:rsidRPr="00261B7A">
        <w:t xml:space="preserve">-e. They contributed 6.7 per cent to the total emissions from Tokelau and 0.0003 per cent to New Zealand’s gross emissions including Tokelau. The biggest contributor to the total IPPU HFC emissions is </w:t>
      </w:r>
      <w:r w:rsidRPr="00261B7A">
        <w:rPr>
          <w:i/>
        </w:rPr>
        <w:t>Stationary air conditioning</w:t>
      </w:r>
      <w:r w:rsidRPr="00261B7A">
        <w:t xml:space="preserve"> followed by </w:t>
      </w:r>
      <w:r w:rsidRPr="00261B7A">
        <w:rPr>
          <w:i/>
        </w:rPr>
        <w:t>Domestic refrigeration</w:t>
      </w:r>
      <w:r w:rsidRPr="00261B7A">
        <w:t>, with 66.8 per cent and 17.5 per cent of IPPU emissions from Tokelau, respectively. Figure 8.3.1 shows emission trends in the IPPU sector by category for Tokelau.</w:t>
      </w:r>
    </w:p>
    <w:p w14:paraId="6DB9C88E" w14:textId="77777777" w:rsidR="001B6E40" w:rsidRPr="00261B7A" w:rsidRDefault="001B6E40" w:rsidP="001B6E40">
      <w:pPr>
        <w:pStyle w:val="Figure"/>
        <w:spacing w:after="0"/>
        <w:rPr>
          <w:rFonts w:eastAsia="Calibri"/>
        </w:rPr>
      </w:pPr>
      <w:bookmarkStart w:id="2699" w:name="_Toc36292830"/>
      <w:bookmarkStart w:id="2700" w:name="_Toc64972937"/>
      <w:bookmarkStart w:id="2701" w:name="_Toc68786694"/>
      <w:bookmarkStart w:id="2702" w:name="_Toc130211302"/>
      <w:bookmarkStart w:id="2703" w:name="_Toc131591587"/>
      <w:r w:rsidRPr="00261B7A">
        <w:rPr>
          <w:rFonts w:eastAsia="Calibri"/>
        </w:rPr>
        <w:t xml:space="preserve">Figure 8.3.1 </w:t>
      </w:r>
      <w:r w:rsidRPr="00261B7A">
        <w:tab/>
      </w:r>
      <w:r w:rsidRPr="00261B7A">
        <w:rPr>
          <w:rFonts w:eastAsia="Calibri"/>
        </w:rPr>
        <w:t>IPPU emissions by category for Tokelau (kt CO</w:t>
      </w:r>
      <w:r w:rsidRPr="00261B7A">
        <w:rPr>
          <w:rFonts w:eastAsia="Calibri"/>
          <w:vertAlign w:val="subscript"/>
        </w:rPr>
        <w:t>2</w:t>
      </w:r>
      <w:r w:rsidRPr="00261B7A">
        <w:rPr>
          <w:rFonts w:eastAsia="Calibri"/>
        </w:rPr>
        <w:t xml:space="preserve">-e) from 1990 to </w:t>
      </w:r>
      <w:bookmarkEnd w:id="2699"/>
      <w:bookmarkEnd w:id="2700"/>
      <w:bookmarkEnd w:id="2701"/>
      <w:r w:rsidRPr="00261B7A">
        <w:rPr>
          <w:rFonts w:eastAsia="Calibri"/>
        </w:rPr>
        <w:t>2021</w:t>
      </w:r>
      <w:bookmarkEnd w:id="2702"/>
      <w:bookmarkEnd w:id="2703"/>
    </w:p>
    <w:p w14:paraId="0B4FE77A" w14:textId="77777777" w:rsidR="001B6E40" w:rsidRPr="00261B7A" w:rsidRDefault="001B6E40" w:rsidP="001B6E40">
      <w:pPr>
        <w:pStyle w:val="BodyText"/>
        <w:spacing w:before="80" w:after="0"/>
        <w:rPr>
          <w:rFonts w:eastAsia="Calibri"/>
        </w:rPr>
      </w:pPr>
      <w:r w:rsidRPr="00261B7A">
        <w:rPr>
          <w:rFonts w:eastAsia="Calibri"/>
          <w:noProof/>
        </w:rPr>
        <w:drawing>
          <wp:inline distT="0" distB="0" distL="0" distR="0" wp14:anchorId="39940170" wp14:editId="7E07EAB1">
            <wp:extent cx="5114925" cy="29997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114925" cy="2999740"/>
                    </a:xfrm>
                    <a:prstGeom prst="rect">
                      <a:avLst/>
                    </a:prstGeom>
                    <a:noFill/>
                  </pic:spPr>
                </pic:pic>
              </a:graphicData>
            </a:graphic>
          </wp:inline>
        </w:drawing>
      </w:r>
    </w:p>
    <w:p w14:paraId="136FD86A" w14:textId="77777777" w:rsidR="001B6E40" w:rsidRPr="00261B7A" w:rsidRDefault="001B6E40" w:rsidP="00CC1DB8">
      <w:pPr>
        <w:pStyle w:val="Heading3"/>
        <w:spacing w:line="320" w:lineRule="atLeast"/>
      </w:pPr>
      <w:r w:rsidRPr="00261B7A">
        <w:t>8.3.1</w:t>
      </w:r>
      <w:r w:rsidRPr="00261B7A">
        <w:tab/>
        <w:t xml:space="preserve">Emissions from Refrigeration and air conditioning in Tokelau </w:t>
      </w:r>
    </w:p>
    <w:p w14:paraId="44CE0A9D" w14:textId="77777777" w:rsidR="001B6E40" w:rsidRPr="00261B7A" w:rsidRDefault="001B6E40" w:rsidP="001B6E40">
      <w:pPr>
        <w:pStyle w:val="BodyText"/>
      </w:pPr>
      <w:r w:rsidRPr="00261B7A">
        <w:t xml:space="preserve">Due to a very small number of air-conditioned vehicles in Tokelau, all emissions from this category are reported under </w:t>
      </w:r>
      <w:r w:rsidRPr="00261B7A">
        <w:rPr>
          <w:i/>
        </w:rPr>
        <w:t>Stationary air conditioning</w:t>
      </w:r>
      <w:r w:rsidRPr="00261B7A">
        <w:t xml:space="preserve"> (2.F.1.f). </w:t>
      </w:r>
    </w:p>
    <w:p w14:paraId="2F79F40A" w14:textId="77777777" w:rsidR="001B6E40" w:rsidRPr="00261B7A" w:rsidRDefault="001B6E40" w:rsidP="001B6E40">
      <w:pPr>
        <w:pStyle w:val="BodyText"/>
      </w:pPr>
      <w:r w:rsidRPr="00261B7A">
        <w:t xml:space="preserve">Because most fridge and freezer appliances are installed in households, the emissions associated with refrigeration are reported under </w:t>
      </w:r>
      <w:r w:rsidRPr="00261B7A">
        <w:rPr>
          <w:i/>
        </w:rPr>
        <w:t>Domestic refrigeration</w:t>
      </w:r>
      <w:r w:rsidRPr="00261B7A">
        <w:t xml:space="preserve"> (2.F.1.b). Emissions from fridge and freezer appliances are based on the number of those appliances, however, no HFCs were used before 1994. To account for the phase-in of HFCs, it has been assumed that the proportion of appliances using HFCs increased 10 per cent per year, starting at 10 per cent of appliances in 1994 and reaching 100 per cent of appliances in 2003. This phase</w:t>
      </w:r>
      <w:r w:rsidRPr="00261B7A">
        <w:noBreakHyphen/>
        <w:t>in is reflected in figure 8.3.1. Emissions continue to change after 2003 due to changes in the overall number of appliances.</w:t>
      </w:r>
    </w:p>
    <w:p w14:paraId="7493F6A7" w14:textId="77777777" w:rsidR="001B6E40" w:rsidRPr="00261B7A" w:rsidRDefault="001B6E40" w:rsidP="001B6E40">
      <w:pPr>
        <w:pStyle w:val="Heading4"/>
      </w:pPr>
      <w:r w:rsidRPr="00261B7A">
        <w:t>Source-specific planned improvements</w:t>
      </w:r>
    </w:p>
    <w:p w14:paraId="6B6A4865" w14:textId="77777777" w:rsidR="001B6E40" w:rsidRPr="00261B7A" w:rsidRDefault="001B6E40" w:rsidP="001B6E40">
      <w:pPr>
        <w:pStyle w:val="BodyText"/>
      </w:pPr>
      <w:r w:rsidRPr="00261B7A">
        <w:t xml:space="preserve">Due to resource constraints, improvements were prioritised according to the amount of emissions contributed by each sector to the total emissions from Tokelau. Because the IPPU sector contributes only a very small amount of emissions, no improvements, except ongoing data refinement as far as resources allow, are planned for the next inventory submission. </w:t>
      </w:r>
    </w:p>
    <w:p w14:paraId="676841E6" w14:textId="77777777" w:rsidR="001B6E40" w:rsidRPr="00261B7A" w:rsidRDefault="001B6E40" w:rsidP="001B6E40">
      <w:pPr>
        <w:pStyle w:val="Heading4"/>
      </w:pPr>
      <w:r w:rsidRPr="00261B7A">
        <w:t>Methodological issues</w:t>
      </w:r>
    </w:p>
    <w:p w14:paraId="25B51476" w14:textId="77777777" w:rsidR="001B6E40" w:rsidRPr="00261B7A" w:rsidRDefault="001B6E40" w:rsidP="001B6E40">
      <w:pPr>
        <w:pStyle w:val="Heading5"/>
        <w:spacing w:before="160"/>
      </w:pPr>
      <w:r w:rsidRPr="00261B7A">
        <w:t>Activity data</w:t>
      </w:r>
    </w:p>
    <w:p w14:paraId="2EDEA8AB" w14:textId="77777777" w:rsidR="001B6E40" w:rsidRPr="00261B7A" w:rsidRDefault="001B6E40" w:rsidP="001B6E40">
      <w:pPr>
        <w:pStyle w:val="BodyText"/>
        <w:spacing w:after="100"/>
      </w:pPr>
      <w:r w:rsidRPr="00261B7A">
        <w:t>The data for the number of appliances are sourced from:</w:t>
      </w:r>
    </w:p>
    <w:p w14:paraId="2EF96BA2" w14:textId="77777777" w:rsidR="001B6E40" w:rsidRPr="00261B7A" w:rsidRDefault="001B6E40" w:rsidP="001B6E40">
      <w:pPr>
        <w:pStyle w:val="Bullet"/>
        <w:spacing w:after="100"/>
      </w:pPr>
      <w:r w:rsidRPr="00261B7A">
        <w:t xml:space="preserve">Tokelau Census of Population and Dwellings (2006, 2011, 2016) (item 1 in table 8.1.2) for 2006 to 2016 data points </w:t>
      </w:r>
    </w:p>
    <w:p w14:paraId="31A2F294" w14:textId="77777777" w:rsidR="001B6E40" w:rsidRPr="00261B7A" w:rsidRDefault="001B6E40" w:rsidP="001B6E40">
      <w:pPr>
        <w:pStyle w:val="Bullet"/>
        <w:spacing w:after="100"/>
      </w:pPr>
      <w:r w:rsidRPr="00261B7A">
        <w:t xml:space="preserve">Archives New Zealand (Wellington, New Zealand) for historic Census records going back to 1950, mostly at five-year intervals </w:t>
      </w:r>
    </w:p>
    <w:p w14:paraId="5340F19B" w14:textId="77777777" w:rsidR="001B6E40" w:rsidRPr="00261B7A" w:rsidRDefault="001B6E40" w:rsidP="001B6E40">
      <w:pPr>
        <w:pStyle w:val="Bullet"/>
        <w:spacing w:after="100"/>
      </w:pPr>
      <w:r w:rsidRPr="00261B7A">
        <w:t xml:space="preserve">Tokelau Household Income and Expenditure Survey 2015/16 for population and dwellings data supplementary to the Census </w:t>
      </w:r>
    </w:p>
    <w:p w14:paraId="7D8198FA" w14:textId="77777777" w:rsidR="001B6E40" w:rsidRPr="00261B7A" w:rsidRDefault="001B6E40" w:rsidP="001B6E40">
      <w:pPr>
        <w:pStyle w:val="Bullet"/>
        <w:spacing w:after="100"/>
      </w:pPr>
      <w:r w:rsidRPr="00261B7A">
        <w:t>Tokelau Department of Health for anecdotal information on inhalers, the laser gas, and fire extinguishers</w:t>
      </w:r>
    </w:p>
    <w:p w14:paraId="6FD6AE92" w14:textId="77777777" w:rsidR="001B6E40" w:rsidRPr="00261B7A" w:rsidRDefault="001B6E40" w:rsidP="001B6E40">
      <w:pPr>
        <w:pStyle w:val="Bullet"/>
        <w:spacing w:after="100"/>
      </w:pPr>
      <w:r w:rsidRPr="00261B7A">
        <w:t>Tokelau Department of Transport and Support Services (Apia, Samoa) for cargo shipping manifests for analysis of imports of all goods</w:t>
      </w:r>
    </w:p>
    <w:p w14:paraId="19F40BB4" w14:textId="77777777" w:rsidR="001B6E40" w:rsidRPr="00261B7A" w:rsidRDefault="001B6E40" w:rsidP="001B6E40">
      <w:pPr>
        <w:pStyle w:val="Bullet"/>
        <w:spacing w:after="100"/>
      </w:pPr>
      <w:r w:rsidRPr="00261B7A">
        <w:t>Stats NZ (Wellington, New Zealand), which helped in the collection, analysis and publication of Tokelau Census data</w:t>
      </w:r>
    </w:p>
    <w:p w14:paraId="4271CB30" w14:textId="77777777" w:rsidR="001B6E40" w:rsidRPr="00261B7A" w:rsidRDefault="001B6E40" w:rsidP="001B6E40">
      <w:pPr>
        <w:pStyle w:val="Bullet"/>
        <w:spacing w:after="100"/>
      </w:pPr>
      <w:r w:rsidRPr="00261B7A">
        <w:t>Tokelau National Statistics Office, which performed collection, analysis and publication of Tokelau Census data with subsequent data collation and analyses.</w:t>
      </w:r>
    </w:p>
    <w:p w14:paraId="228CBF44" w14:textId="77777777" w:rsidR="001B6E40" w:rsidRPr="00261B7A" w:rsidRDefault="001B6E40" w:rsidP="001B6E40">
      <w:pPr>
        <w:pStyle w:val="BodyText"/>
        <w:rPr>
          <w:highlight w:val="yellow"/>
        </w:rPr>
      </w:pPr>
      <w:r w:rsidRPr="00261B7A">
        <w:t xml:space="preserve">The raw data on the number of appliances used in Tokelau obtained from the Census have been further analysed and cross-referenced through other sources (for example, see those listed in table 8.1.2); available data points are increased by equal increments between the data collection years. </w:t>
      </w:r>
    </w:p>
    <w:p w14:paraId="0C924A7B" w14:textId="77777777" w:rsidR="001B6E40" w:rsidRPr="00261B7A" w:rsidRDefault="001B6E40" w:rsidP="001B6E40">
      <w:pPr>
        <w:pStyle w:val="Heading5"/>
      </w:pPr>
      <w:r w:rsidRPr="00261B7A">
        <w:t>Method and emission factors</w:t>
      </w:r>
    </w:p>
    <w:p w14:paraId="633FFBB1" w14:textId="77777777" w:rsidR="001B6E40" w:rsidRPr="00261B7A" w:rsidRDefault="001B6E40" w:rsidP="001B6E40">
      <w:pPr>
        <w:pStyle w:val="BodyText"/>
        <w:spacing w:before="100" w:after="100"/>
      </w:pPr>
      <w:r w:rsidRPr="00261B7A">
        <w:t xml:space="preserve">For both air conditioning and domestic refrigeration, the following assumptions were made: </w:t>
      </w:r>
    </w:p>
    <w:p w14:paraId="28A7992F" w14:textId="77777777" w:rsidR="001B6E40" w:rsidRPr="00261B7A" w:rsidRDefault="001B6E40" w:rsidP="001B6E40">
      <w:pPr>
        <w:pStyle w:val="Bullet"/>
        <w:spacing w:after="100"/>
      </w:pPr>
      <w:r w:rsidRPr="00261B7A">
        <w:t>no chemicals are imported or exported, except as a component of each sort of equipment; emissions are assumed to be derived from current equipment only</w:t>
      </w:r>
    </w:p>
    <w:p w14:paraId="40AC586C" w14:textId="77777777" w:rsidR="001B6E40" w:rsidRPr="00261B7A" w:rsidRDefault="001B6E40" w:rsidP="001B6E40">
      <w:pPr>
        <w:pStyle w:val="Bullet"/>
        <w:spacing w:after="100"/>
      </w:pPr>
      <w:r w:rsidRPr="00261B7A">
        <w:t>HFCs and PFCs are neither produced nor exported or disposed of in Tokelau. Therefore, the net consumption is essentially equal to imports</w:t>
      </w:r>
    </w:p>
    <w:p w14:paraId="2EC8F17D" w14:textId="77777777" w:rsidR="001B6E40" w:rsidRPr="00261B7A" w:rsidRDefault="001B6E40" w:rsidP="001B6E40">
      <w:pPr>
        <w:pStyle w:val="Bullet"/>
        <w:spacing w:after="100"/>
      </w:pPr>
      <w:r w:rsidRPr="00261B7A">
        <w:t>a composite default emission factor of 15 per cent can be used for estimating emissions for both domestic refrigeration and stationary air conditioning</w:t>
      </w:r>
    </w:p>
    <w:p w14:paraId="6DE52279" w14:textId="77777777" w:rsidR="001B6E40" w:rsidRPr="00261B7A" w:rsidRDefault="001B6E40" w:rsidP="001B6E40">
      <w:pPr>
        <w:pStyle w:val="Bullet"/>
        <w:spacing w:after="100"/>
      </w:pPr>
      <w:r w:rsidRPr="00261B7A">
        <w:t>assumed percentage of new equipment exported (0 per cent for Tokelau)</w:t>
      </w:r>
    </w:p>
    <w:p w14:paraId="0A68628A" w14:textId="77777777" w:rsidR="001B6E40" w:rsidRPr="00261B7A" w:rsidRDefault="001B6E40" w:rsidP="001B6E40">
      <w:pPr>
        <w:pStyle w:val="Bullet"/>
        <w:spacing w:after="100"/>
      </w:pPr>
      <w:r w:rsidRPr="00261B7A">
        <w:t>assumed percentage of new equipment imported (100 per cent for Tokelau)</w:t>
      </w:r>
    </w:p>
    <w:p w14:paraId="6198EEDE" w14:textId="77777777" w:rsidR="001B6E40" w:rsidRPr="00261B7A" w:rsidRDefault="001B6E40" w:rsidP="001B6E40">
      <w:pPr>
        <w:pStyle w:val="Bullet"/>
        <w:spacing w:after="100"/>
      </w:pPr>
      <w:r w:rsidRPr="00261B7A">
        <w:t xml:space="preserve">the HFC emissions from stationary air conditioning did not occur until 2006 </w:t>
      </w:r>
    </w:p>
    <w:p w14:paraId="4310B754" w14:textId="77777777" w:rsidR="001B6E40" w:rsidRPr="00261B7A" w:rsidRDefault="001B6E40" w:rsidP="001B6E40">
      <w:pPr>
        <w:pStyle w:val="Bullet"/>
        <w:spacing w:after="100"/>
      </w:pPr>
      <w:r w:rsidRPr="00261B7A">
        <w:t>the HFC emissions from domestic refrigeration did not occur until 1994 (the same as for New Zealand)</w:t>
      </w:r>
    </w:p>
    <w:p w14:paraId="7355F4F1" w14:textId="77777777" w:rsidR="001B6E40" w:rsidRPr="00261B7A" w:rsidRDefault="001B6E40" w:rsidP="001B6E40">
      <w:pPr>
        <w:pStyle w:val="Bullet"/>
        <w:spacing w:after="100"/>
      </w:pPr>
      <w:r w:rsidRPr="00261B7A">
        <w:t>the average charge for fridges and freezers has the upper limit of the mass of gas of 0.5 kilograms (from table 7.9 from volume 3 of the 2006 IPCC Guidelines (IPCC, 2006b))</w:t>
      </w:r>
    </w:p>
    <w:p w14:paraId="43A2C32D" w14:textId="77777777" w:rsidR="001B6E40" w:rsidRPr="00261B7A" w:rsidRDefault="001B6E40" w:rsidP="001B6E40">
      <w:pPr>
        <w:pStyle w:val="Bullet"/>
        <w:spacing w:after="100"/>
      </w:pPr>
      <w:r w:rsidRPr="00261B7A">
        <w:t>the average charge for an air conditioning unit is 10 kilograms (default value from the 2006 IPCC Guidelines (IPCC, 2006a))</w:t>
      </w:r>
    </w:p>
    <w:p w14:paraId="5626787A" w14:textId="77777777" w:rsidR="001B6E40" w:rsidRPr="00261B7A" w:rsidRDefault="001B6E40" w:rsidP="001B6E40">
      <w:pPr>
        <w:pStyle w:val="Bullet"/>
      </w:pPr>
      <w:r w:rsidRPr="00261B7A">
        <w:t>for air conditioning units and fridges and freezers, Tokelau reports the same set of HFCs as New Zealand. These are HFC-32, HFC-125 and HFC-134a for air conditioning units, and HFC-134a for refrigeration.</w:t>
      </w:r>
    </w:p>
    <w:p w14:paraId="1CE8C613" w14:textId="77777777" w:rsidR="001B6E40" w:rsidRPr="00261B7A" w:rsidRDefault="001B6E40" w:rsidP="001B6E40">
      <w:pPr>
        <w:pStyle w:val="BodyText"/>
      </w:pPr>
      <w:r w:rsidRPr="00261B7A">
        <w:t xml:space="preserve">The Tier 1a method from the 2006 IPCC Guidelines is used for estimating emissions from category 2.F.1 in Tokelau (IPCC, 2006b). In this method, activity data are represented by a net consumption value (equation 7.1 from volume 3 of the 2006 IPCC Guidelines), while the emission factor is a value that represents a weighted average of several parameters, as shown below in table 7.9 from volume 3 of the 2006 IPCC Guidelines (IPCC, 2006b). </w:t>
      </w:r>
    </w:p>
    <w:p w14:paraId="29039401" w14:textId="77777777" w:rsidR="001B6E40" w:rsidRPr="00261B7A" w:rsidRDefault="001B6E40" w:rsidP="001B6E40">
      <w:pPr>
        <w:pStyle w:val="BodyText"/>
        <w:keepNext/>
      </w:pPr>
      <w:r w:rsidRPr="00261B7A">
        <w:t>The calculation formula for net consumption within the Tier 1a method is as follows.</w:t>
      </w:r>
    </w:p>
    <w:p w14:paraId="0951C0AF" w14:textId="77777777" w:rsidR="001B6E40" w:rsidRPr="00261B7A" w:rsidRDefault="001B6E40" w:rsidP="001B6E40">
      <w:pPr>
        <w:pStyle w:val="BodyText"/>
        <w:pBdr>
          <w:top w:val="single" w:sz="2" w:space="10" w:color="auto"/>
          <w:left w:val="single" w:sz="2" w:space="0" w:color="auto"/>
          <w:bottom w:val="single" w:sz="2" w:space="10" w:color="auto"/>
          <w:right w:val="single" w:sz="2" w:space="10" w:color="auto"/>
        </w:pBdr>
        <w:ind w:left="454" w:right="851"/>
        <w:jc w:val="center"/>
        <w:rPr>
          <w:rFonts w:ascii="Cambria Math" w:hAnsi="Cambria Math"/>
          <w:b/>
          <w:bCs/>
          <w:smallCaps/>
        </w:rPr>
      </w:pPr>
      <w:r w:rsidRPr="00261B7A">
        <w:rPr>
          <w:rFonts w:ascii="Cambria Math" w:hAnsi="Cambria Math"/>
          <w:b/>
          <w:bCs/>
          <w:smallCaps/>
        </w:rPr>
        <w:t>Equation 7.1</w:t>
      </w:r>
    </w:p>
    <w:p w14:paraId="2059B6A5" w14:textId="77777777" w:rsidR="001B6E40" w:rsidRPr="00261B7A" w:rsidRDefault="001B6E40" w:rsidP="001B6E40">
      <w:pPr>
        <w:pStyle w:val="BodyText"/>
        <w:pBdr>
          <w:top w:val="single" w:sz="2" w:space="10" w:color="auto"/>
          <w:left w:val="single" w:sz="2" w:space="0" w:color="auto"/>
          <w:bottom w:val="single" w:sz="2" w:space="10" w:color="auto"/>
          <w:right w:val="single" w:sz="2" w:space="10" w:color="auto"/>
        </w:pBdr>
        <w:spacing w:before="0" w:after="0"/>
        <w:ind w:left="454" w:right="851"/>
        <w:jc w:val="center"/>
        <w:rPr>
          <w:rFonts w:ascii="Cambria Math" w:hAnsi="Cambria Math"/>
          <w:b/>
          <w:bCs/>
          <w:smallCaps/>
        </w:rPr>
      </w:pPr>
      <w:r w:rsidRPr="00261B7A">
        <w:rPr>
          <w:rFonts w:ascii="Cambria Math" w:hAnsi="Cambria Math"/>
          <w:b/>
          <w:bCs/>
          <w:smallCaps/>
        </w:rPr>
        <w:t>Calculation of net consumption of a chemical in a specific application</w:t>
      </w:r>
    </w:p>
    <w:p w14:paraId="2CC08CD8" w14:textId="77777777" w:rsidR="001B6E40" w:rsidRPr="00261B7A" w:rsidRDefault="001B6E40" w:rsidP="001B6E40">
      <w:pPr>
        <w:pStyle w:val="BodyText"/>
        <w:pBdr>
          <w:top w:val="single" w:sz="2" w:space="10" w:color="auto"/>
          <w:left w:val="single" w:sz="2" w:space="0" w:color="auto"/>
          <w:bottom w:val="single" w:sz="2" w:space="10" w:color="auto"/>
          <w:right w:val="single" w:sz="2" w:space="10" w:color="auto"/>
        </w:pBdr>
        <w:ind w:left="454" w:right="851"/>
        <w:jc w:val="center"/>
        <w:rPr>
          <w:rFonts w:ascii="Cambria Math" w:hAnsi="Cambria Math"/>
          <w:i/>
          <w:iCs/>
        </w:rPr>
      </w:pPr>
      <w:r w:rsidRPr="00261B7A">
        <w:rPr>
          <w:rFonts w:ascii="Cambria Math" w:hAnsi="Cambria Math"/>
          <w:i/>
          <w:iCs/>
        </w:rPr>
        <w:t>Net Consumption = Production + Imports – Exports – Destruction</w:t>
      </w:r>
    </w:p>
    <w:p w14:paraId="71E7F715" w14:textId="77777777" w:rsidR="001B6E40" w:rsidRPr="00261B7A" w:rsidRDefault="001B6E40" w:rsidP="001B6E40">
      <w:pPr>
        <w:pStyle w:val="BodyText"/>
      </w:pPr>
      <w:r w:rsidRPr="00261B7A">
        <w:t>Net consumption values for each HFC are then used to calculate annual emissions for applications exhibiting prompt emissions as follows.</w:t>
      </w:r>
    </w:p>
    <w:p w14:paraId="6AFEDECE" w14:textId="77777777" w:rsidR="001B6E40" w:rsidRPr="00261B7A" w:rsidRDefault="001B6E40" w:rsidP="001B6E40">
      <w:pPr>
        <w:pStyle w:val="BodyText"/>
        <w:pBdr>
          <w:top w:val="single" w:sz="2" w:space="10" w:color="auto"/>
          <w:left w:val="single" w:sz="2" w:space="0" w:color="auto"/>
          <w:bottom w:val="single" w:sz="2" w:space="10" w:color="auto"/>
          <w:right w:val="single" w:sz="2" w:space="10" w:color="auto"/>
        </w:pBdr>
        <w:ind w:left="454" w:right="851"/>
        <w:jc w:val="center"/>
        <w:rPr>
          <w:rFonts w:ascii="Cambria Math" w:hAnsi="Cambria Math"/>
          <w:b/>
          <w:bCs/>
          <w:smallCaps/>
        </w:rPr>
      </w:pPr>
      <w:r w:rsidRPr="00261B7A">
        <w:rPr>
          <w:rFonts w:ascii="Cambria Math" w:hAnsi="Cambria Math"/>
          <w:b/>
          <w:bCs/>
          <w:smallCaps/>
        </w:rPr>
        <w:t>Equation 7.2A</w:t>
      </w:r>
    </w:p>
    <w:p w14:paraId="4EB6808B" w14:textId="77777777" w:rsidR="001B6E40" w:rsidRPr="00261B7A" w:rsidRDefault="001B6E40" w:rsidP="001B6E40">
      <w:pPr>
        <w:pStyle w:val="BodyText"/>
        <w:pBdr>
          <w:top w:val="single" w:sz="2" w:space="10" w:color="auto"/>
          <w:left w:val="single" w:sz="2" w:space="0" w:color="auto"/>
          <w:bottom w:val="single" w:sz="2" w:space="10" w:color="auto"/>
          <w:right w:val="single" w:sz="2" w:space="10" w:color="auto"/>
        </w:pBdr>
        <w:spacing w:before="0" w:after="0"/>
        <w:ind w:left="454" w:right="851"/>
        <w:jc w:val="center"/>
        <w:rPr>
          <w:rFonts w:ascii="Cambria Math" w:hAnsi="Cambria Math"/>
          <w:b/>
          <w:bCs/>
          <w:smallCaps/>
        </w:rPr>
      </w:pPr>
      <w:r w:rsidRPr="00261B7A">
        <w:rPr>
          <w:rFonts w:ascii="Cambria Math" w:hAnsi="Cambria Math"/>
          <w:b/>
          <w:bCs/>
          <w:smallCaps/>
        </w:rPr>
        <w:t>Calculation of emissions of a chemical from a specific application</w:t>
      </w:r>
    </w:p>
    <w:p w14:paraId="4A6E2A24" w14:textId="77777777" w:rsidR="001B6E40" w:rsidRPr="00261B7A" w:rsidRDefault="001B6E40" w:rsidP="00A94EC1">
      <w:pPr>
        <w:pStyle w:val="BodyText"/>
        <w:pBdr>
          <w:top w:val="single" w:sz="2" w:space="10" w:color="auto"/>
          <w:left w:val="single" w:sz="2" w:space="0" w:color="auto"/>
          <w:bottom w:val="single" w:sz="2" w:space="10" w:color="auto"/>
          <w:right w:val="single" w:sz="2" w:space="10" w:color="auto"/>
        </w:pBdr>
        <w:spacing w:after="0"/>
        <w:ind w:left="454" w:right="851"/>
        <w:jc w:val="center"/>
        <w:rPr>
          <w:rFonts w:ascii="Cambria Math" w:hAnsi="Cambria Math"/>
          <w:i/>
          <w:iCs/>
        </w:rPr>
      </w:pPr>
      <w:r w:rsidRPr="00261B7A">
        <w:rPr>
          <w:rFonts w:ascii="Cambria Math" w:hAnsi="Cambria Math"/>
          <w:i/>
          <w:iCs/>
        </w:rPr>
        <w:t xml:space="preserve">Annual Emissions = Net Consumption </w:t>
      </w:r>
      <w:r w:rsidRPr="00261B7A">
        <w:rPr>
          <w:rFonts w:ascii="Symbol" w:eastAsia="Symbol" w:hAnsi="Symbol" w:cs="Symbol"/>
          <w:i/>
        </w:rPr>
        <w:t>·</w:t>
      </w:r>
      <w:r w:rsidRPr="00261B7A">
        <w:rPr>
          <w:rFonts w:ascii="Cambria Math" w:hAnsi="Cambria Math"/>
          <w:i/>
          <w:iCs/>
        </w:rPr>
        <w:t xml:space="preserve"> Composite</w:t>
      </w:r>
      <w:r w:rsidRPr="00261B7A">
        <w:rPr>
          <w:rFonts w:ascii="Cambria Math" w:hAnsi="Cambria Math"/>
          <w:i/>
          <w:iCs/>
          <w:smallCaps/>
        </w:rPr>
        <w:t xml:space="preserve"> </w:t>
      </w:r>
      <w:r w:rsidRPr="00261B7A">
        <w:rPr>
          <w:rFonts w:ascii="Cambria Math" w:hAnsi="Cambria Math"/>
          <w:i/>
          <w:iCs/>
        </w:rPr>
        <w:t>EF</w:t>
      </w:r>
    </w:p>
    <w:p w14:paraId="7F537227" w14:textId="77777777" w:rsidR="001B6E40" w:rsidRPr="00261B7A" w:rsidRDefault="001B6E40" w:rsidP="001B6E40">
      <w:pPr>
        <w:pStyle w:val="Heading4"/>
        <w:spacing w:before="360"/>
      </w:pPr>
      <w:r w:rsidRPr="00261B7A">
        <w:t>Uncertainties</w:t>
      </w:r>
    </w:p>
    <w:p w14:paraId="3F4F4285" w14:textId="77777777" w:rsidR="001B6E40" w:rsidRPr="00261B7A" w:rsidRDefault="001B6E40" w:rsidP="001B6E40">
      <w:pPr>
        <w:pStyle w:val="BodyText"/>
      </w:pPr>
      <w:r w:rsidRPr="00261B7A">
        <w:t>Because a composite emission factor was used for both 2.F.1.b and 2.F.1.f categories, the uncertainty level for activity data is assumed at a level of ±</w:t>
      </w:r>
      <w:r w:rsidRPr="00261B7A" w:rsidDel="00793DD2">
        <w:t>32</w:t>
      </w:r>
      <w:r w:rsidRPr="00261B7A">
        <w:t xml:space="preserve"> per cent (see table 8.3.1). The 2006 IPCC Guidelines (IPCC, 2006b) do not provide a default value for the composite factors, so New Zealand’s value for uncertainties to describe refrigerant leakages was used for both categories.</w:t>
      </w:r>
    </w:p>
    <w:p w14:paraId="5EB7C800" w14:textId="77777777" w:rsidR="001B6E40" w:rsidRPr="00261B7A" w:rsidRDefault="001B6E40" w:rsidP="001B6E40">
      <w:pPr>
        <w:pStyle w:val="Table"/>
      </w:pPr>
      <w:bookmarkStart w:id="2704" w:name="_Toc5269599"/>
      <w:bookmarkStart w:id="2705" w:name="_Toc36224680"/>
      <w:bookmarkStart w:id="2706" w:name="_Toc68786566"/>
      <w:bookmarkStart w:id="2707" w:name="_Toc130211272"/>
      <w:bookmarkStart w:id="2708" w:name="_Toc131591473"/>
      <w:r w:rsidRPr="00261B7A">
        <w:t>Table 8.3.1</w:t>
      </w:r>
      <w:r w:rsidRPr="00261B7A">
        <w:tab/>
        <w:t xml:space="preserve">Uncertainties for </w:t>
      </w:r>
      <w:r w:rsidRPr="00261B7A">
        <w:rPr>
          <w:i/>
        </w:rPr>
        <w:t>Refrigeration and air conditioning</w:t>
      </w:r>
      <w:r w:rsidRPr="00261B7A">
        <w:t xml:space="preserve"> category</w:t>
      </w:r>
      <w:bookmarkEnd w:id="2704"/>
      <w:bookmarkEnd w:id="2705"/>
      <w:bookmarkEnd w:id="2706"/>
      <w:bookmarkEnd w:id="2707"/>
      <w:bookmarkEnd w:id="2708"/>
    </w:p>
    <w:tbl>
      <w:tblPr>
        <w:tblW w:w="8505"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686"/>
        <w:gridCol w:w="1158"/>
        <w:gridCol w:w="1313"/>
        <w:gridCol w:w="1665"/>
        <w:gridCol w:w="3683"/>
      </w:tblGrid>
      <w:tr w:rsidR="001B6E40" w:rsidRPr="00261B7A" w14:paraId="78A00A33" w14:textId="77777777" w:rsidTr="00A94EC1">
        <w:trPr>
          <w:tblHeader/>
        </w:trPr>
        <w:tc>
          <w:tcPr>
            <w:tcW w:w="403" w:type="pct"/>
            <w:shd w:val="clear" w:color="auto" w:fill="1B556B"/>
            <w:noWrap/>
            <w:vAlign w:val="bottom"/>
            <w:hideMark/>
          </w:tcPr>
          <w:p w14:paraId="4B80801E" w14:textId="77777777" w:rsidR="001B6E40" w:rsidRPr="00261B7A" w:rsidRDefault="001B6E40" w:rsidP="003E20AD">
            <w:pPr>
              <w:pStyle w:val="TableTextBold"/>
              <w:rPr>
                <w:noProof w:val="0"/>
                <w:color w:val="FFFFFF"/>
              </w:rPr>
            </w:pPr>
            <w:r w:rsidRPr="00261B7A">
              <w:rPr>
                <w:noProof w:val="0"/>
                <w:color w:val="FFFFFF"/>
              </w:rPr>
              <w:t>Gas</w:t>
            </w:r>
          </w:p>
        </w:tc>
        <w:tc>
          <w:tcPr>
            <w:tcW w:w="681" w:type="pct"/>
            <w:shd w:val="clear" w:color="auto" w:fill="1B556B"/>
            <w:noWrap/>
            <w:vAlign w:val="bottom"/>
            <w:hideMark/>
          </w:tcPr>
          <w:p w14:paraId="1BBFC9C1" w14:textId="77777777" w:rsidR="001B6E40" w:rsidRPr="00261B7A" w:rsidRDefault="001B6E40" w:rsidP="003E20AD">
            <w:pPr>
              <w:pStyle w:val="TableTextBold"/>
              <w:jc w:val="center"/>
              <w:rPr>
                <w:noProof w:val="0"/>
                <w:color w:val="FFFFFF"/>
              </w:rPr>
            </w:pPr>
            <w:r w:rsidRPr="00261B7A">
              <w:rPr>
                <w:noProof w:val="0"/>
                <w:color w:val="FFFFFF" w:themeColor="background1"/>
              </w:rPr>
              <w:t>CRF Category</w:t>
            </w:r>
          </w:p>
        </w:tc>
        <w:tc>
          <w:tcPr>
            <w:tcW w:w="772" w:type="pct"/>
            <w:shd w:val="clear" w:color="auto" w:fill="1B556B"/>
            <w:vAlign w:val="bottom"/>
            <w:hideMark/>
          </w:tcPr>
          <w:p w14:paraId="27ABB633" w14:textId="77777777" w:rsidR="001B6E40" w:rsidRPr="00261B7A" w:rsidRDefault="001B6E40" w:rsidP="003E20AD">
            <w:pPr>
              <w:pStyle w:val="TableTextBold"/>
              <w:jc w:val="center"/>
              <w:rPr>
                <w:noProof w:val="0"/>
                <w:color w:val="FFFFFF"/>
              </w:rPr>
            </w:pPr>
            <w:r w:rsidRPr="00261B7A">
              <w:rPr>
                <w:noProof w:val="0"/>
                <w:color w:val="FFFFFF"/>
              </w:rPr>
              <w:t>Activity data uncertainty (%)</w:t>
            </w:r>
          </w:p>
        </w:tc>
        <w:tc>
          <w:tcPr>
            <w:tcW w:w="979" w:type="pct"/>
            <w:shd w:val="clear" w:color="auto" w:fill="1B556B"/>
            <w:vAlign w:val="bottom"/>
            <w:hideMark/>
          </w:tcPr>
          <w:p w14:paraId="01798824" w14:textId="77777777" w:rsidR="001B6E40" w:rsidRPr="00261B7A" w:rsidRDefault="001B6E40" w:rsidP="003E20AD">
            <w:pPr>
              <w:pStyle w:val="TableTextBold"/>
              <w:jc w:val="center"/>
              <w:rPr>
                <w:noProof w:val="0"/>
                <w:color w:val="FFFFFF"/>
              </w:rPr>
            </w:pPr>
            <w:r w:rsidRPr="00261B7A">
              <w:rPr>
                <w:noProof w:val="0"/>
                <w:color w:val="FFFFFF"/>
              </w:rPr>
              <w:t>Emission factor uncertainty (%)</w:t>
            </w:r>
          </w:p>
        </w:tc>
        <w:tc>
          <w:tcPr>
            <w:tcW w:w="2166" w:type="pct"/>
            <w:shd w:val="clear" w:color="auto" w:fill="1B556B"/>
            <w:vAlign w:val="bottom"/>
          </w:tcPr>
          <w:p w14:paraId="2E6876BD" w14:textId="77777777" w:rsidR="001B6E40" w:rsidRPr="00261B7A" w:rsidRDefault="001B6E40" w:rsidP="003E20AD">
            <w:pPr>
              <w:pStyle w:val="TableTextBold"/>
              <w:rPr>
                <w:noProof w:val="0"/>
                <w:color w:val="FFFFFF"/>
              </w:rPr>
            </w:pPr>
            <w:r w:rsidRPr="00261B7A">
              <w:rPr>
                <w:noProof w:val="0"/>
                <w:color w:val="FFFFFF"/>
              </w:rPr>
              <w:t>Source</w:t>
            </w:r>
          </w:p>
        </w:tc>
      </w:tr>
      <w:tr w:rsidR="001B6E40" w:rsidRPr="00261B7A" w14:paraId="70CD77D2" w14:textId="77777777" w:rsidTr="00A94EC1">
        <w:tc>
          <w:tcPr>
            <w:tcW w:w="403" w:type="pct"/>
            <w:shd w:val="clear" w:color="auto" w:fill="auto"/>
            <w:noWrap/>
            <w:hideMark/>
          </w:tcPr>
          <w:p w14:paraId="2EB42E31" w14:textId="77777777" w:rsidR="001B6E40" w:rsidRPr="00261B7A" w:rsidRDefault="001B6E40" w:rsidP="003E20AD">
            <w:pPr>
              <w:pStyle w:val="TableText"/>
            </w:pPr>
            <w:r w:rsidRPr="00261B7A">
              <w:t>HFCs</w:t>
            </w:r>
          </w:p>
        </w:tc>
        <w:tc>
          <w:tcPr>
            <w:tcW w:w="681" w:type="pct"/>
            <w:shd w:val="clear" w:color="auto" w:fill="auto"/>
            <w:noWrap/>
            <w:hideMark/>
          </w:tcPr>
          <w:p w14:paraId="515CDFFF" w14:textId="77777777" w:rsidR="001B6E40" w:rsidRPr="00261B7A" w:rsidRDefault="001B6E40" w:rsidP="003E20AD">
            <w:pPr>
              <w:pStyle w:val="TableText"/>
              <w:jc w:val="center"/>
            </w:pPr>
            <w:r w:rsidRPr="00261B7A">
              <w:t>2.F.1</w:t>
            </w:r>
          </w:p>
        </w:tc>
        <w:tc>
          <w:tcPr>
            <w:tcW w:w="772" w:type="pct"/>
            <w:shd w:val="clear" w:color="auto" w:fill="auto"/>
            <w:noWrap/>
            <w:hideMark/>
          </w:tcPr>
          <w:p w14:paraId="730A1D70" w14:textId="77777777" w:rsidR="001B6E40" w:rsidRPr="00261B7A" w:rsidRDefault="001B6E40" w:rsidP="003E20AD">
            <w:pPr>
              <w:pStyle w:val="TableText"/>
              <w:jc w:val="center"/>
            </w:pPr>
            <w:r w:rsidRPr="00261B7A">
              <w:t>±32</w:t>
            </w:r>
          </w:p>
        </w:tc>
        <w:tc>
          <w:tcPr>
            <w:tcW w:w="979" w:type="pct"/>
            <w:shd w:val="clear" w:color="auto" w:fill="auto"/>
            <w:noWrap/>
            <w:hideMark/>
          </w:tcPr>
          <w:p w14:paraId="66184FCA" w14:textId="77777777" w:rsidR="001B6E40" w:rsidRPr="00261B7A" w:rsidRDefault="001B6E40" w:rsidP="003E20AD">
            <w:pPr>
              <w:pStyle w:val="TableText"/>
              <w:jc w:val="center"/>
            </w:pPr>
            <w:r w:rsidRPr="00261B7A">
              <w:t>NA</w:t>
            </w:r>
          </w:p>
        </w:tc>
        <w:tc>
          <w:tcPr>
            <w:tcW w:w="2166" w:type="pct"/>
          </w:tcPr>
          <w:p w14:paraId="4DB9ED32" w14:textId="77777777" w:rsidR="001B6E40" w:rsidRPr="00261B7A" w:rsidRDefault="001B6E40" w:rsidP="003E20AD">
            <w:pPr>
              <w:pStyle w:val="TableText"/>
            </w:pPr>
            <w:r w:rsidRPr="00261B7A">
              <w:t>New Zealand’s value is used (table 4.7.3, chapter 4)</w:t>
            </w:r>
          </w:p>
        </w:tc>
      </w:tr>
    </w:tbl>
    <w:p w14:paraId="157A9945" w14:textId="77777777" w:rsidR="001B6E40" w:rsidRPr="00261B7A" w:rsidRDefault="001B6E40" w:rsidP="001B6E40">
      <w:pPr>
        <w:pStyle w:val="Heading3"/>
        <w:spacing w:before="480"/>
      </w:pPr>
      <w:r w:rsidRPr="00261B7A">
        <w:t xml:space="preserve">8.3.2 </w:t>
      </w:r>
      <w:r w:rsidRPr="00261B7A">
        <w:tab/>
        <w:t xml:space="preserve">Emissions from Metered dose inhalers and </w:t>
      </w:r>
      <w:r w:rsidRPr="00261B7A">
        <w:br/>
        <w:t>Medical applications in Tokelau</w:t>
      </w:r>
    </w:p>
    <w:p w14:paraId="1B56A7C9" w14:textId="77777777" w:rsidR="001B6E40" w:rsidRPr="00261B7A" w:rsidRDefault="001B6E40" w:rsidP="001B6E40">
      <w:pPr>
        <w:pStyle w:val="BodyText"/>
      </w:pPr>
      <w:r w:rsidRPr="00261B7A">
        <w:t xml:space="preserve">The </w:t>
      </w:r>
      <w:r w:rsidRPr="00261B7A">
        <w:rPr>
          <w:i/>
        </w:rPr>
        <w:t>Metered dose inhalers</w:t>
      </w:r>
      <w:r w:rsidRPr="00261B7A">
        <w:t xml:space="preserve"> (2.F.4.a) and </w:t>
      </w:r>
      <w:r w:rsidRPr="00261B7A">
        <w:rPr>
          <w:i/>
        </w:rPr>
        <w:t xml:space="preserve">Medical applications </w:t>
      </w:r>
      <w:r w:rsidRPr="00261B7A">
        <w:t>categories (2.G.3.a) contribute negligible amounts of HFC (HFC-134a and HFC-227ea) and N</w:t>
      </w:r>
      <w:r w:rsidRPr="00261B7A">
        <w:rPr>
          <w:vertAlign w:val="subscript"/>
        </w:rPr>
        <w:t>2</w:t>
      </w:r>
      <w:r w:rsidRPr="00261B7A">
        <w:t xml:space="preserve">O emissions respectively to the total emissions from the IPPU sector in Tokelau. They are reported by scaling New Zealand’s emissions from the same category by Tokelau’s </w:t>
      </w:r>
      <w:r w:rsidRPr="00261B7A">
        <w:rPr>
          <w:i/>
        </w:rPr>
        <w:t>de facto</w:t>
      </w:r>
      <w:r w:rsidRPr="00261B7A">
        <w:t xml:space="preserve"> population.</w:t>
      </w:r>
    </w:p>
    <w:p w14:paraId="666F9AF1" w14:textId="77777777" w:rsidR="001B6E40" w:rsidRPr="00261B7A" w:rsidRDefault="001B6E40" w:rsidP="001B6E40">
      <w:pPr>
        <w:pStyle w:val="BodyText"/>
      </w:pPr>
      <w:r w:rsidRPr="00261B7A">
        <w:t xml:space="preserve">In 2021, the </w:t>
      </w:r>
      <w:r w:rsidRPr="00261B7A">
        <w:rPr>
          <w:i/>
          <w:iCs/>
        </w:rPr>
        <w:t xml:space="preserve">Metered dose inhalers </w:t>
      </w:r>
      <w:r w:rsidRPr="00261B7A">
        <w:t xml:space="preserve">category contributed 7.2 per cent to total IPPU emissions from Tokelau, and the category </w:t>
      </w:r>
      <w:r w:rsidRPr="00261B7A">
        <w:rPr>
          <w:i/>
          <w:iCs/>
        </w:rPr>
        <w:t>Medical applications</w:t>
      </w:r>
      <w:r w:rsidRPr="00261B7A">
        <w:t xml:space="preserve"> contributed 8.5 per cent to the sector, which amounted to 0.04 kt CO</w:t>
      </w:r>
      <w:r w:rsidRPr="00261B7A">
        <w:rPr>
          <w:vertAlign w:val="subscript"/>
        </w:rPr>
        <w:t>2</w:t>
      </w:r>
      <w:r w:rsidRPr="00261B7A">
        <w:t>-e from both categories.</w:t>
      </w:r>
    </w:p>
    <w:p w14:paraId="6297EFFB" w14:textId="77777777" w:rsidR="001B6E40" w:rsidRPr="00261B7A" w:rsidRDefault="001B6E40" w:rsidP="001B6E40">
      <w:pPr>
        <w:pStyle w:val="Heading4"/>
      </w:pPr>
      <w:r w:rsidRPr="00261B7A">
        <w:t>Methodological issues</w:t>
      </w:r>
    </w:p>
    <w:p w14:paraId="79DE679E" w14:textId="77777777" w:rsidR="001B6E40" w:rsidRPr="00261B7A" w:rsidRDefault="001B6E40" w:rsidP="001B6E40">
      <w:pPr>
        <w:pStyle w:val="Heading5"/>
        <w:spacing w:before="180"/>
      </w:pPr>
      <w:r w:rsidRPr="00261B7A">
        <w:t>Activity data</w:t>
      </w:r>
    </w:p>
    <w:p w14:paraId="643A06C4" w14:textId="77777777" w:rsidR="001B6E40" w:rsidRPr="00261B7A" w:rsidRDefault="001B6E40" w:rsidP="001B6E40">
      <w:pPr>
        <w:pStyle w:val="BodyText"/>
      </w:pPr>
      <w:r w:rsidRPr="00261B7A">
        <w:t xml:space="preserve">Only anecdotal evidence associated with the activity data for both categories is available from Tokelau’s Department of Health (see table 8.1.2). They are reported by scaling New Zealand’s emissions from the same category by Tokelau’s </w:t>
      </w:r>
      <w:r w:rsidRPr="00261B7A">
        <w:rPr>
          <w:i/>
        </w:rPr>
        <w:t>de facto</w:t>
      </w:r>
      <w:r w:rsidRPr="00261B7A">
        <w:t xml:space="preserve"> population for the entire time series to each gas. </w:t>
      </w:r>
    </w:p>
    <w:p w14:paraId="21227C79" w14:textId="77777777" w:rsidR="001B6E40" w:rsidRPr="00261B7A" w:rsidRDefault="001B6E40" w:rsidP="001B6E40">
      <w:pPr>
        <w:pStyle w:val="Heading5"/>
      </w:pPr>
      <w:r w:rsidRPr="00261B7A">
        <w:t>Method and emission factors</w:t>
      </w:r>
    </w:p>
    <w:p w14:paraId="430DFDAE" w14:textId="77777777" w:rsidR="001B6E40" w:rsidRPr="00261B7A" w:rsidRDefault="001B6E40" w:rsidP="001B6E40">
      <w:pPr>
        <w:pStyle w:val="BodyText"/>
      </w:pPr>
      <w:r w:rsidRPr="00261B7A">
        <w:t xml:space="preserve">For both categories, effectively a Tier 1a methodology was applied because New Zealand applied this methodology for estimating emissions from 2.F.4 and Tier 1 methodology for 2.G.3 (IPCC, 2006b). In addition, population ratios from population statistics of Tokelau and New Zealand have been calculated for each year of the time series except the years when the emissions were not occurring (until 1995 for HFC-134a and 2011 for HFC-227ea). </w:t>
      </w:r>
    </w:p>
    <w:p w14:paraId="0AC9E03E" w14:textId="77777777" w:rsidR="001B6E40" w:rsidRPr="00261B7A" w:rsidRDefault="001B6E40" w:rsidP="001B6E40">
      <w:pPr>
        <w:pStyle w:val="BodyText"/>
      </w:pPr>
      <w:r w:rsidRPr="00261B7A">
        <w:t>For 2.F.4.a, a product life factor of 100 per cent was used. For 2.G.3a, it was assumed that N</w:t>
      </w:r>
      <w:r w:rsidRPr="00261B7A">
        <w:rPr>
          <w:vertAlign w:val="subscript"/>
        </w:rPr>
        <w:t>2</w:t>
      </w:r>
      <w:r w:rsidRPr="00261B7A">
        <w:t>O is used as a propellant in pressurised and aerosol food products, none of the N</w:t>
      </w:r>
      <w:r w:rsidRPr="00261B7A">
        <w:rPr>
          <w:vertAlign w:val="subscript"/>
        </w:rPr>
        <w:t>2</w:t>
      </w:r>
      <w:r w:rsidRPr="00261B7A">
        <w:t>O is reacted during the process and all of the N</w:t>
      </w:r>
      <w:r w:rsidRPr="00261B7A">
        <w:rPr>
          <w:vertAlign w:val="subscript"/>
        </w:rPr>
        <w:t>2</w:t>
      </w:r>
      <w:r w:rsidRPr="00261B7A">
        <w:t>O is emitted to the atmosphere. Therefore, a default emission factor of 1.0 was used for this category.</w:t>
      </w:r>
    </w:p>
    <w:p w14:paraId="7DAC70CE" w14:textId="77777777" w:rsidR="001B6E40" w:rsidRPr="00261B7A" w:rsidRDefault="001B6E40" w:rsidP="001B6E40">
      <w:pPr>
        <w:pStyle w:val="Heading4"/>
      </w:pPr>
      <w:r w:rsidRPr="00261B7A">
        <w:t>Uncertainty</w:t>
      </w:r>
    </w:p>
    <w:p w14:paraId="5B707736" w14:textId="77777777" w:rsidR="001B6E40" w:rsidRPr="00261B7A" w:rsidRDefault="001B6E40" w:rsidP="001B6E40">
      <w:pPr>
        <w:pStyle w:val="BodyText"/>
      </w:pPr>
      <w:r w:rsidRPr="00261B7A">
        <w:t>For consistency of reporting, the same uncertainty values for categories 2.G.3.a were applied for Tokelau and New Zealand (see section 4.8.3 in chapter 4 and table 8.3.2). The same uncertainty for 2.F.1 has also been applied to 2.F.4 in the absence of further information.</w:t>
      </w:r>
    </w:p>
    <w:p w14:paraId="049A2D82" w14:textId="77777777" w:rsidR="001B6E40" w:rsidRPr="00261B7A" w:rsidRDefault="001B6E40" w:rsidP="001B6E40">
      <w:pPr>
        <w:pStyle w:val="Table"/>
      </w:pPr>
      <w:bookmarkStart w:id="2709" w:name="_Toc5269600"/>
      <w:bookmarkStart w:id="2710" w:name="_Toc36224681"/>
      <w:bookmarkStart w:id="2711" w:name="_Toc68786567"/>
      <w:bookmarkStart w:id="2712" w:name="_Toc130211273"/>
      <w:bookmarkStart w:id="2713" w:name="_Toc131591474"/>
      <w:r w:rsidRPr="00261B7A">
        <w:t>Table 8.3.2</w:t>
      </w:r>
      <w:r w:rsidRPr="00261B7A">
        <w:tab/>
        <w:t xml:space="preserve">Uncertainty in emissions from </w:t>
      </w:r>
      <w:r w:rsidRPr="00261B7A">
        <w:rPr>
          <w:i/>
        </w:rPr>
        <w:t>Other product manufacture and use</w:t>
      </w:r>
      <w:bookmarkEnd w:id="2709"/>
      <w:bookmarkEnd w:id="2710"/>
      <w:bookmarkEnd w:id="2711"/>
      <w:r w:rsidRPr="00261B7A">
        <w:t xml:space="preserve"> category</w:t>
      </w:r>
      <w:bookmarkEnd w:id="2712"/>
      <w:bookmarkEnd w:id="2713"/>
    </w:p>
    <w:tbl>
      <w:tblPr>
        <w:tblW w:w="8505" w:type="dxa"/>
        <w:tblBorders>
          <w:top w:val="single" w:sz="4" w:space="0" w:color="1B556B"/>
          <w:bottom w:val="single" w:sz="4" w:space="0" w:color="1B556B"/>
          <w:insideH w:val="single" w:sz="4" w:space="0" w:color="1B556B"/>
        </w:tblBorders>
        <w:tblCellMar>
          <w:left w:w="0" w:type="dxa"/>
          <w:right w:w="0" w:type="dxa"/>
        </w:tblCellMar>
        <w:tblLook w:val="04A0" w:firstRow="1" w:lastRow="0" w:firstColumn="1" w:lastColumn="0" w:noHBand="0" w:noVBand="1"/>
      </w:tblPr>
      <w:tblGrid>
        <w:gridCol w:w="2114"/>
        <w:gridCol w:w="3799"/>
        <w:gridCol w:w="2592"/>
      </w:tblGrid>
      <w:tr w:rsidR="001B6E40" w:rsidRPr="00261B7A" w14:paraId="08017463" w14:textId="77777777" w:rsidTr="00A94EC1">
        <w:tc>
          <w:tcPr>
            <w:tcW w:w="2127" w:type="dxa"/>
            <w:tcBorders>
              <w:right w:val="single" w:sz="4" w:space="0" w:color="1B556B"/>
            </w:tcBorders>
            <w:shd w:val="clear" w:color="auto" w:fill="1B556B"/>
            <w:tcMar>
              <w:top w:w="0" w:type="dxa"/>
              <w:left w:w="108" w:type="dxa"/>
              <w:bottom w:w="0" w:type="dxa"/>
              <w:right w:w="108" w:type="dxa"/>
            </w:tcMar>
            <w:vAlign w:val="bottom"/>
            <w:hideMark/>
          </w:tcPr>
          <w:p w14:paraId="29D0945E" w14:textId="77777777" w:rsidR="001B6E40" w:rsidRPr="00261B7A" w:rsidRDefault="001B6E40" w:rsidP="00CC1DB8">
            <w:pPr>
              <w:pStyle w:val="TableTextBold"/>
              <w:keepNext/>
              <w:spacing w:before="40" w:after="40"/>
              <w:rPr>
                <w:noProof w:val="0"/>
                <w:color w:val="FFFFFF"/>
              </w:rPr>
            </w:pPr>
            <w:r w:rsidRPr="00261B7A">
              <w:rPr>
                <w:noProof w:val="0"/>
                <w:color w:val="FFFFFF"/>
              </w:rPr>
              <w:t>Category</w:t>
            </w:r>
          </w:p>
        </w:tc>
        <w:tc>
          <w:tcPr>
            <w:tcW w:w="3827" w:type="dxa"/>
            <w:tcBorders>
              <w:left w:val="single" w:sz="4" w:space="0" w:color="1B556B"/>
              <w:right w:val="single" w:sz="4" w:space="0" w:color="1B556B"/>
            </w:tcBorders>
            <w:shd w:val="clear" w:color="auto" w:fill="1B556B"/>
            <w:tcMar>
              <w:top w:w="0" w:type="dxa"/>
              <w:left w:w="108" w:type="dxa"/>
              <w:bottom w:w="0" w:type="dxa"/>
              <w:right w:w="108" w:type="dxa"/>
            </w:tcMar>
            <w:vAlign w:val="bottom"/>
            <w:hideMark/>
          </w:tcPr>
          <w:p w14:paraId="41D8A035" w14:textId="77777777" w:rsidR="001B6E40" w:rsidRPr="00261B7A" w:rsidRDefault="001B6E40" w:rsidP="00CC1DB8">
            <w:pPr>
              <w:pStyle w:val="TableTextBold"/>
              <w:keepNext/>
              <w:spacing w:before="40" w:after="40"/>
              <w:rPr>
                <w:noProof w:val="0"/>
                <w:color w:val="FFFFFF"/>
              </w:rPr>
            </w:pPr>
            <w:r w:rsidRPr="00261B7A">
              <w:rPr>
                <w:noProof w:val="0"/>
                <w:color w:val="FFFFFF"/>
              </w:rPr>
              <w:t>Uncertainty in activity data (%)</w:t>
            </w:r>
          </w:p>
        </w:tc>
        <w:tc>
          <w:tcPr>
            <w:tcW w:w="2608" w:type="dxa"/>
            <w:tcBorders>
              <w:left w:val="single" w:sz="4" w:space="0" w:color="1B556B"/>
            </w:tcBorders>
            <w:shd w:val="clear" w:color="auto" w:fill="1B556B"/>
            <w:tcMar>
              <w:top w:w="0" w:type="dxa"/>
              <w:left w:w="108" w:type="dxa"/>
              <w:bottom w:w="0" w:type="dxa"/>
              <w:right w:w="108" w:type="dxa"/>
            </w:tcMar>
            <w:vAlign w:val="bottom"/>
            <w:hideMark/>
          </w:tcPr>
          <w:p w14:paraId="2E86E4BA" w14:textId="77777777" w:rsidR="001B6E40" w:rsidRPr="00261B7A" w:rsidRDefault="001B6E40" w:rsidP="00CC1DB8">
            <w:pPr>
              <w:pStyle w:val="TableTextBold"/>
              <w:keepNext/>
              <w:spacing w:before="40" w:after="40"/>
              <w:rPr>
                <w:noProof w:val="0"/>
                <w:color w:val="FFFFFF"/>
              </w:rPr>
            </w:pPr>
            <w:r w:rsidRPr="00261B7A">
              <w:rPr>
                <w:noProof w:val="0"/>
                <w:color w:val="FFFFFF"/>
              </w:rPr>
              <w:t>Uncertainty in emission factors</w:t>
            </w:r>
          </w:p>
        </w:tc>
      </w:tr>
      <w:tr w:rsidR="001B6E40" w:rsidRPr="00261B7A" w14:paraId="21E647B2" w14:textId="77777777" w:rsidTr="00A94EC1">
        <w:tc>
          <w:tcPr>
            <w:tcW w:w="2127" w:type="dxa"/>
            <w:tcBorders>
              <w:right w:val="single" w:sz="4" w:space="0" w:color="1B556B"/>
            </w:tcBorders>
            <w:shd w:val="clear" w:color="auto" w:fill="FFFFFF"/>
            <w:tcMar>
              <w:top w:w="0" w:type="dxa"/>
              <w:left w:w="108" w:type="dxa"/>
              <w:bottom w:w="0" w:type="dxa"/>
              <w:right w:w="108" w:type="dxa"/>
            </w:tcMar>
            <w:hideMark/>
          </w:tcPr>
          <w:p w14:paraId="3ADAB203" w14:textId="77777777" w:rsidR="001B6E40" w:rsidRPr="00261B7A" w:rsidRDefault="001B6E40" w:rsidP="00CC1DB8">
            <w:pPr>
              <w:pStyle w:val="TableText"/>
              <w:spacing w:before="40" w:after="40"/>
            </w:pPr>
            <w:r w:rsidRPr="00261B7A">
              <w:t>N</w:t>
            </w:r>
            <w:r w:rsidRPr="00261B7A">
              <w:rPr>
                <w:vertAlign w:val="subscript"/>
              </w:rPr>
              <w:t>2</w:t>
            </w:r>
            <w:r w:rsidRPr="00261B7A">
              <w:t>O from other product uses</w:t>
            </w:r>
          </w:p>
        </w:tc>
        <w:tc>
          <w:tcPr>
            <w:tcW w:w="3827" w:type="dxa"/>
            <w:tcBorders>
              <w:left w:val="single" w:sz="4" w:space="0" w:color="1B556B"/>
              <w:right w:val="single" w:sz="4" w:space="0" w:color="1B556B"/>
            </w:tcBorders>
            <w:shd w:val="clear" w:color="auto" w:fill="FFFFFF"/>
            <w:tcMar>
              <w:top w:w="0" w:type="dxa"/>
              <w:left w:w="108" w:type="dxa"/>
              <w:bottom w:w="0" w:type="dxa"/>
              <w:right w:w="108" w:type="dxa"/>
            </w:tcMar>
            <w:hideMark/>
          </w:tcPr>
          <w:p w14:paraId="72EBF1D5" w14:textId="77777777" w:rsidR="001B6E40" w:rsidRPr="00261B7A" w:rsidRDefault="001B6E40" w:rsidP="00CC1DB8">
            <w:pPr>
              <w:pStyle w:val="TableText"/>
              <w:spacing w:before="40" w:after="40"/>
            </w:pPr>
            <w:r w:rsidRPr="00261B7A">
              <w:t>±30 (2002–12)</w:t>
            </w:r>
          </w:p>
          <w:p w14:paraId="60A962ED" w14:textId="77777777" w:rsidR="001B6E40" w:rsidRPr="00261B7A" w:rsidRDefault="001B6E40" w:rsidP="00CC1DB8">
            <w:pPr>
              <w:pStyle w:val="TableText"/>
              <w:spacing w:before="40" w:after="40"/>
            </w:pPr>
            <w:r w:rsidRPr="00261B7A">
              <w:t xml:space="preserve">±5 (2013–18) </w:t>
            </w:r>
          </w:p>
          <w:p w14:paraId="5D450353" w14:textId="77777777" w:rsidR="001B6E40" w:rsidRPr="00261B7A" w:rsidRDefault="001B6E40" w:rsidP="00CC1DB8">
            <w:pPr>
              <w:pStyle w:val="TableText"/>
              <w:spacing w:before="40" w:after="40"/>
            </w:pPr>
            <w:r w:rsidRPr="00261B7A">
              <w:t>For simplicity, an average of 15% has been used</w:t>
            </w:r>
          </w:p>
        </w:tc>
        <w:tc>
          <w:tcPr>
            <w:tcW w:w="2608" w:type="dxa"/>
            <w:tcBorders>
              <w:left w:val="single" w:sz="4" w:space="0" w:color="1B556B"/>
            </w:tcBorders>
            <w:shd w:val="clear" w:color="auto" w:fill="FFFFFF"/>
            <w:tcMar>
              <w:top w:w="0" w:type="dxa"/>
              <w:left w:w="108" w:type="dxa"/>
              <w:bottom w:w="0" w:type="dxa"/>
              <w:right w:w="108" w:type="dxa"/>
            </w:tcMar>
            <w:hideMark/>
          </w:tcPr>
          <w:p w14:paraId="3B9D7034" w14:textId="77777777" w:rsidR="001B6E40" w:rsidRPr="00261B7A" w:rsidRDefault="001B6E40" w:rsidP="00CC1DB8">
            <w:pPr>
              <w:pStyle w:val="TableText"/>
              <w:spacing w:before="40" w:after="40"/>
            </w:pPr>
            <w:r w:rsidRPr="00261B7A">
              <w:t>NA</w:t>
            </w:r>
          </w:p>
        </w:tc>
      </w:tr>
    </w:tbl>
    <w:p w14:paraId="1A59321C" w14:textId="77777777" w:rsidR="001B6E40" w:rsidRPr="00261B7A" w:rsidRDefault="001B6E40" w:rsidP="00DC074D">
      <w:pPr>
        <w:pStyle w:val="Heading2"/>
        <w:spacing w:line="380" w:lineRule="atLeast"/>
      </w:pPr>
      <w:bookmarkStart w:id="2714" w:name="_Toc5269396"/>
      <w:bookmarkStart w:id="2715" w:name="_Toc36224436"/>
      <w:bookmarkStart w:id="2716" w:name="_Toc68786356"/>
      <w:bookmarkStart w:id="2717" w:name="_Toc131591270"/>
      <w:r w:rsidRPr="00261B7A">
        <w:t>8.4</w:t>
      </w:r>
      <w:r w:rsidRPr="00261B7A">
        <w:tab/>
        <w:t>Emissions from the Agriculture sector in Tokelau (CRF 6. Tokelau_3)</w:t>
      </w:r>
      <w:bookmarkEnd w:id="2714"/>
      <w:bookmarkEnd w:id="2715"/>
      <w:bookmarkEnd w:id="2716"/>
      <w:bookmarkEnd w:id="2717"/>
    </w:p>
    <w:p w14:paraId="6AE429B8" w14:textId="77777777" w:rsidR="001B6E40" w:rsidRPr="00261B7A" w:rsidRDefault="001B6E40" w:rsidP="001B6E40">
      <w:pPr>
        <w:pStyle w:val="BodyText"/>
      </w:pPr>
      <w:r w:rsidRPr="00261B7A">
        <w:t>Fish, rather than locally produced plants or animals, are the most important food source in Tokelau. The low fertility of the coral soil means few crops are supported. Food needs are not met by locally grown produce and are heavily supplemented by imports.</w:t>
      </w:r>
    </w:p>
    <w:p w14:paraId="4E2177F8" w14:textId="77777777" w:rsidR="001B6E40" w:rsidRPr="00261B7A" w:rsidRDefault="001B6E40" w:rsidP="001B6E40">
      <w:pPr>
        <w:pStyle w:val="BodyText"/>
      </w:pPr>
      <w:r w:rsidRPr="00261B7A">
        <w:t>Cultivated food crops are</w:t>
      </w:r>
      <w:r w:rsidRPr="00261B7A" w:rsidDel="00302D78">
        <w:t xml:space="preserve"> </w:t>
      </w:r>
      <w:r w:rsidRPr="00261B7A">
        <w:t>limited to breadfruit (</w:t>
      </w:r>
      <w:r w:rsidRPr="00261B7A">
        <w:rPr>
          <w:i/>
        </w:rPr>
        <w:t>Artocarpus altilis</w:t>
      </w:r>
      <w:r w:rsidRPr="00261B7A">
        <w:t>), giant swamp taro ‘pulaka’ (</w:t>
      </w:r>
      <w:r w:rsidRPr="00261B7A">
        <w:rPr>
          <w:i/>
        </w:rPr>
        <w:t>Cyrtosperma chamissonis</w:t>
      </w:r>
      <w:r w:rsidRPr="00261B7A">
        <w:t>), taro palagi (</w:t>
      </w:r>
      <w:r w:rsidRPr="00261B7A">
        <w:rPr>
          <w:i/>
        </w:rPr>
        <w:t>Xanthosoma sagittifolium</w:t>
      </w:r>
      <w:r w:rsidRPr="00261B7A">
        <w:t>), giant taro (</w:t>
      </w:r>
      <w:r w:rsidRPr="00261B7A">
        <w:rPr>
          <w:i/>
        </w:rPr>
        <w:t>Alocasia macrorrhizos</w:t>
      </w:r>
      <w:r w:rsidRPr="00261B7A">
        <w:t>), banana (</w:t>
      </w:r>
      <w:r w:rsidRPr="00261B7A">
        <w:rPr>
          <w:i/>
        </w:rPr>
        <w:t>Musa</w:t>
      </w:r>
      <w:r w:rsidRPr="00261B7A">
        <w:t xml:space="preserve"> sp. [2 varieties]), papaya (</w:t>
      </w:r>
      <w:r w:rsidRPr="00261B7A">
        <w:rPr>
          <w:i/>
        </w:rPr>
        <w:t>Carica papaya</w:t>
      </w:r>
      <w:r w:rsidRPr="00261B7A">
        <w:t>), pumpkin (</w:t>
      </w:r>
      <w:r w:rsidRPr="00261B7A">
        <w:rPr>
          <w:i/>
        </w:rPr>
        <w:t>Cucurbita</w:t>
      </w:r>
      <w:r w:rsidRPr="00261B7A">
        <w:t xml:space="preserve"> sp.) and coconut (</w:t>
      </w:r>
      <w:r w:rsidRPr="00261B7A">
        <w:rPr>
          <w:i/>
        </w:rPr>
        <w:t>Cocos nucifera</w:t>
      </w:r>
      <w:r w:rsidRPr="00261B7A">
        <w:t>).</w:t>
      </w:r>
    </w:p>
    <w:p w14:paraId="7504564F" w14:textId="77777777" w:rsidR="001B6E40" w:rsidRPr="00261B7A" w:rsidRDefault="001B6E40" w:rsidP="001B6E40">
      <w:pPr>
        <w:pStyle w:val="BodyText"/>
      </w:pPr>
      <w:r w:rsidRPr="00261B7A">
        <w:t>A small amount of subsistence agriculture occurs in Tokelau. Coconuts are used for human and livestock consumption. Fakaofo grows small amounts of swamp taro. The villages have breadfruit trees and some banana patches; the women’s committees run community gardens and grow pandanus ‘fala’ (</w:t>
      </w:r>
      <w:r w:rsidRPr="00261B7A">
        <w:rPr>
          <w:i/>
          <w:iCs/>
        </w:rPr>
        <w:t>Pandanus odoratissimus</w:t>
      </w:r>
      <w:r w:rsidRPr="00261B7A">
        <w:t>) for traditional crafts (e.g., mats, hats, fans). A previous United Nations Development Programme-sponsored project for the establishment of keyhole gardens</w:t>
      </w:r>
      <w:r w:rsidRPr="00261B7A">
        <w:rPr>
          <w:vertAlign w:val="superscript"/>
        </w:rPr>
        <w:footnoteReference w:id="72"/>
      </w:r>
      <w:r w:rsidRPr="00261B7A">
        <w:t xml:space="preserve"> by Tokelau youth has been abandoned. </w:t>
      </w:r>
    </w:p>
    <w:p w14:paraId="42700026" w14:textId="77777777" w:rsidR="001B6E40" w:rsidRPr="00261B7A" w:rsidRDefault="001B6E40" w:rsidP="001B6E40">
      <w:pPr>
        <w:pStyle w:val="BodyText"/>
        <w:spacing w:after="100"/>
      </w:pPr>
      <w:r w:rsidRPr="00261B7A">
        <w:t>No industrial-scale farming occurs in Tokelau. Tokelau atolls do not have any large agricultural and horticultural development that would fall under New Zealand’s definition of a farm. There are no cows, sheep or deer, with agricultural livestock represented by small numbers of pen-kept pigs and free</w:t>
      </w:r>
      <w:r w:rsidRPr="00261B7A">
        <w:noBreakHyphen/>
        <w:t>range chickens only.</w:t>
      </w:r>
    </w:p>
    <w:p w14:paraId="5DC27790" w14:textId="77777777" w:rsidR="001B6E40" w:rsidRPr="00261B7A" w:rsidRDefault="001B6E40" w:rsidP="001B6E40">
      <w:pPr>
        <w:pStyle w:val="BodyText"/>
      </w:pPr>
      <w:r w:rsidRPr="00261B7A">
        <w:t xml:space="preserve">Tokelau also has no pasture and no managed agricultural soils, therefore, emissions from the </w:t>
      </w:r>
      <w:r w:rsidRPr="00261B7A">
        <w:rPr>
          <w:i/>
        </w:rPr>
        <w:t>Direct N</w:t>
      </w:r>
      <w:r w:rsidRPr="00261B7A">
        <w:rPr>
          <w:i/>
          <w:vertAlign w:val="subscript"/>
        </w:rPr>
        <w:t>2</w:t>
      </w:r>
      <w:r w:rsidRPr="00261B7A">
        <w:rPr>
          <w:i/>
        </w:rPr>
        <w:t>O emissions from managed soils</w:t>
      </w:r>
      <w:r w:rsidRPr="00261B7A">
        <w:t xml:space="preserve"> and </w:t>
      </w:r>
      <w:r w:rsidRPr="00261B7A">
        <w:rPr>
          <w:i/>
        </w:rPr>
        <w:t>Indirect N</w:t>
      </w:r>
      <w:r w:rsidRPr="00261B7A">
        <w:rPr>
          <w:i/>
          <w:vertAlign w:val="subscript"/>
        </w:rPr>
        <w:t>2</w:t>
      </w:r>
      <w:r w:rsidRPr="00261B7A">
        <w:rPr>
          <w:i/>
        </w:rPr>
        <w:t>O emissions from managed soils</w:t>
      </w:r>
      <w:r w:rsidRPr="00261B7A">
        <w:t xml:space="preserve"> categories are discounted and reported as NO (not occurring).</w:t>
      </w:r>
    </w:p>
    <w:p w14:paraId="0871AD47" w14:textId="77777777" w:rsidR="001B6E40" w:rsidRPr="00261B7A" w:rsidRDefault="001B6E40" w:rsidP="001B6E40">
      <w:pPr>
        <w:pStyle w:val="BodyText"/>
      </w:pPr>
      <w:r w:rsidRPr="00261B7A">
        <w:t>This submission includes agricultural emissions from Tokelau associated with enteric fermentation and manure management from swine and poultry.</w:t>
      </w:r>
    </w:p>
    <w:p w14:paraId="0C1127BB" w14:textId="42875387" w:rsidR="001B6E40" w:rsidRPr="00261B7A" w:rsidRDefault="001B6E40" w:rsidP="001B6E40">
      <w:pPr>
        <w:pStyle w:val="BodyText"/>
      </w:pPr>
      <w:r w:rsidRPr="00261B7A">
        <w:t>Total emissions from the Agriculture sector in Tokelau amounted to 0.82 kt CO</w:t>
      </w:r>
      <w:r w:rsidRPr="00261B7A">
        <w:rPr>
          <w:vertAlign w:val="subscript"/>
        </w:rPr>
        <w:t>2</w:t>
      </w:r>
      <w:r w:rsidRPr="00261B7A">
        <w:t>-e in 2021, making this sector the second biggest emitter in Tokelau: 21.8 per cent of the total emissions from Tokelau and 0.001 per cent of New Zealand’s gross emissions. Figure 8.3.</w:t>
      </w:r>
      <w:r w:rsidR="00E30ED2">
        <w:t>2</w:t>
      </w:r>
      <w:r w:rsidRPr="00261B7A">
        <w:t xml:space="preserve"> shows emission trends in the Agriculture sector by category for Tokelau.</w:t>
      </w:r>
    </w:p>
    <w:p w14:paraId="092DE77C" w14:textId="77777777" w:rsidR="001B6E40" w:rsidRPr="00261B7A" w:rsidRDefault="001B6E40" w:rsidP="001B6E40">
      <w:pPr>
        <w:pStyle w:val="Figure"/>
        <w:spacing w:after="0"/>
        <w:rPr>
          <w:rFonts w:eastAsia="Calibri"/>
        </w:rPr>
      </w:pPr>
      <w:bookmarkStart w:id="2718" w:name="_Toc36292831"/>
      <w:bookmarkStart w:id="2719" w:name="_Toc64972938"/>
      <w:bookmarkStart w:id="2720" w:name="_Toc68786695"/>
      <w:bookmarkStart w:id="2721" w:name="_Toc130211303"/>
      <w:bookmarkStart w:id="2722" w:name="_Toc131591588"/>
      <w:r w:rsidRPr="00261B7A">
        <w:rPr>
          <w:rFonts w:eastAsia="Calibri"/>
        </w:rPr>
        <w:t xml:space="preserve">Figure 8.3.2 </w:t>
      </w:r>
      <w:r w:rsidRPr="00261B7A">
        <w:rPr>
          <w:rFonts w:eastAsia="Calibri"/>
        </w:rPr>
        <w:tab/>
        <w:t>Agriculture emissions by category for Tokelau (kt CO</w:t>
      </w:r>
      <w:r w:rsidRPr="00261B7A">
        <w:rPr>
          <w:rFonts w:eastAsia="Calibri"/>
          <w:vertAlign w:val="subscript"/>
        </w:rPr>
        <w:t>2</w:t>
      </w:r>
      <w:r w:rsidRPr="00261B7A">
        <w:rPr>
          <w:rFonts w:eastAsia="Calibri"/>
        </w:rPr>
        <w:t xml:space="preserve">-e) from 1990 to </w:t>
      </w:r>
      <w:bookmarkEnd w:id="2718"/>
      <w:bookmarkEnd w:id="2719"/>
      <w:bookmarkEnd w:id="2720"/>
      <w:r w:rsidRPr="00261B7A">
        <w:rPr>
          <w:rFonts w:eastAsia="Calibri"/>
        </w:rPr>
        <w:t>2021</w:t>
      </w:r>
      <w:bookmarkEnd w:id="2721"/>
      <w:bookmarkEnd w:id="2722"/>
    </w:p>
    <w:p w14:paraId="41163C84" w14:textId="77777777" w:rsidR="001B6E40" w:rsidRPr="00261B7A" w:rsidRDefault="001B6E40" w:rsidP="001B6E40">
      <w:pPr>
        <w:pStyle w:val="BodyText"/>
        <w:spacing w:after="0"/>
        <w:rPr>
          <w:rFonts w:eastAsia="Calibri"/>
        </w:rPr>
      </w:pPr>
      <w:r w:rsidRPr="00261B7A">
        <w:rPr>
          <w:noProof/>
        </w:rPr>
        <w:drawing>
          <wp:inline distT="0" distB="0" distL="0" distR="0" wp14:anchorId="10C393AC" wp14:editId="3A04DB44">
            <wp:extent cx="5041901" cy="30302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58">
                      <a:extLst>
                        <a:ext uri="{28A0092B-C50C-407E-A947-70E740481C1C}">
                          <a14:useLocalDpi xmlns:a14="http://schemas.microsoft.com/office/drawing/2010/main" val="0"/>
                        </a:ext>
                      </a:extLst>
                    </a:blip>
                    <a:stretch>
                      <a:fillRect/>
                    </a:stretch>
                  </pic:blipFill>
                  <pic:spPr>
                    <a:xfrm>
                      <a:off x="0" y="0"/>
                      <a:ext cx="5041901" cy="3030220"/>
                    </a:xfrm>
                    <a:prstGeom prst="rect">
                      <a:avLst/>
                    </a:prstGeom>
                  </pic:spPr>
                </pic:pic>
              </a:graphicData>
            </a:graphic>
          </wp:inline>
        </w:drawing>
      </w:r>
    </w:p>
    <w:p w14:paraId="0D1C5DD6" w14:textId="77777777" w:rsidR="001B6E40" w:rsidRPr="00261B7A" w:rsidRDefault="001B6E40" w:rsidP="001B6E40">
      <w:pPr>
        <w:pStyle w:val="Noteundertable"/>
        <w:rPr>
          <w:rFonts w:eastAsia="Calibri"/>
        </w:rPr>
      </w:pPr>
      <w:r w:rsidRPr="00261B7A">
        <w:rPr>
          <w:b/>
        </w:rPr>
        <w:t xml:space="preserve">Note: </w:t>
      </w:r>
      <w:r w:rsidRPr="00261B7A">
        <w:rPr>
          <w:b/>
        </w:rPr>
        <w:tab/>
      </w:r>
      <w:r w:rsidRPr="00261B7A">
        <w:t>The</w:t>
      </w:r>
      <w:r w:rsidRPr="00261B7A">
        <w:rPr>
          <w:b/>
        </w:rPr>
        <w:t xml:space="preserve"> </w:t>
      </w:r>
      <w:r w:rsidRPr="00261B7A">
        <w:t xml:space="preserve">emissions contribution from 3.B.1.4 </w:t>
      </w:r>
      <w:r w:rsidRPr="00261B7A">
        <w:rPr>
          <w:i/>
        </w:rPr>
        <w:t>Manure management poultry</w:t>
      </w:r>
      <w:r w:rsidRPr="00261B7A">
        <w:t xml:space="preserve"> is too small to be shown in the figure.</w:t>
      </w:r>
    </w:p>
    <w:p w14:paraId="144891F8" w14:textId="77777777" w:rsidR="001B6E40" w:rsidRPr="00261B7A" w:rsidRDefault="001B6E40" w:rsidP="001B6E40">
      <w:pPr>
        <w:pStyle w:val="Heading4"/>
      </w:pPr>
      <w:r w:rsidRPr="00261B7A">
        <w:t>Source-specific planned improvements</w:t>
      </w:r>
    </w:p>
    <w:p w14:paraId="3F14858D" w14:textId="77777777" w:rsidR="001B6E40" w:rsidRPr="00261B7A" w:rsidRDefault="001B6E40" w:rsidP="001B6E40">
      <w:pPr>
        <w:pStyle w:val="BodyText"/>
        <w:rPr>
          <w:spacing w:val="-2"/>
        </w:rPr>
      </w:pPr>
      <w:r w:rsidRPr="00261B7A">
        <w:rPr>
          <w:lang w:eastAsia="en-GB"/>
        </w:rPr>
        <w:t xml:space="preserve">No improvements are planned for agriculture. For future submissions, further analysis of historical activity data, to reflect year-to-year variations, will be considered as far as resources allow. </w:t>
      </w:r>
    </w:p>
    <w:p w14:paraId="11543D61" w14:textId="77777777" w:rsidR="001B6E40" w:rsidRPr="00261B7A" w:rsidRDefault="001B6E40" w:rsidP="001B6E40">
      <w:pPr>
        <w:pStyle w:val="Heading3"/>
      </w:pPr>
      <w:r w:rsidRPr="00261B7A">
        <w:t xml:space="preserve">8.4.1 </w:t>
      </w:r>
      <w:r w:rsidRPr="00261B7A">
        <w:tab/>
        <w:t>Emissions from Enteric fermentation in Tokelau</w:t>
      </w:r>
    </w:p>
    <w:p w14:paraId="67C36CD5" w14:textId="77777777" w:rsidR="001B6E40" w:rsidRPr="00261B7A" w:rsidRDefault="001B6E40" w:rsidP="001B6E40">
      <w:pPr>
        <w:pStyle w:val="BodyText"/>
      </w:pPr>
      <w:r w:rsidRPr="00261B7A">
        <w:t>The only domestic farm animals kept are pigs (in community pens) and chickens (free range) (table 8.4.1). There is potential to generate energy from the piggery waste and reduce the effluent pollution of the lagoon.</w:t>
      </w:r>
    </w:p>
    <w:p w14:paraId="4F3302DE" w14:textId="5F608D6F" w:rsidR="001B6E40" w:rsidRPr="00261B7A" w:rsidRDefault="001B6E40" w:rsidP="001B6E40">
      <w:pPr>
        <w:pStyle w:val="Table"/>
      </w:pPr>
      <w:bookmarkStart w:id="2723" w:name="_Toc5269601"/>
      <w:bookmarkStart w:id="2724" w:name="_Toc36224682"/>
      <w:bookmarkStart w:id="2725" w:name="_Toc68786568"/>
      <w:bookmarkStart w:id="2726" w:name="_Toc130211274"/>
      <w:bookmarkStart w:id="2727" w:name="_Toc131591475"/>
      <w:r w:rsidRPr="00261B7A">
        <w:t xml:space="preserve">Table 8.4.1 </w:t>
      </w:r>
      <w:r w:rsidRPr="00261B7A">
        <w:tab/>
        <w:t>Number of livestock in Tokelau (2016)</w:t>
      </w:r>
      <w:bookmarkEnd w:id="2723"/>
      <w:bookmarkEnd w:id="2724"/>
      <w:bookmarkEnd w:id="2725"/>
      <w:bookmarkEnd w:id="2726"/>
      <w:bookmarkEnd w:id="2727"/>
    </w:p>
    <w:tbl>
      <w:tblPr>
        <w:tblW w:w="8505" w:type="dxa"/>
        <w:tblLayout w:type="fixed"/>
        <w:tblLook w:val="04A0" w:firstRow="1" w:lastRow="0" w:firstColumn="1" w:lastColumn="0" w:noHBand="0" w:noVBand="1"/>
      </w:tblPr>
      <w:tblGrid>
        <w:gridCol w:w="1963"/>
        <w:gridCol w:w="2617"/>
        <w:gridCol w:w="2136"/>
        <w:gridCol w:w="1789"/>
      </w:tblGrid>
      <w:tr w:rsidR="001B6E40" w:rsidRPr="00261B7A" w14:paraId="57995FAE" w14:textId="77777777" w:rsidTr="00346F65">
        <w:tc>
          <w:tcPr>
            <w:tcW w:w="1963" w:type="dxa"/>
            <w:tcBorders>
              <w:top w:val="single" w:sz="4" w:space="0" w:color="1B556B"/>
              <w:left w:val="nil"/>
              <w:bottom w:val="single" w:sz="4" w:space="0" w:color="1B556B"/>
              <w:right w:val="nil"/>
            </w:tcBorders>
            <w:shd w:val="clear" w:color="auto" w:fill="1B556B"/>
            <w:hideMark/>
          </w:tcPr>
          <w:p w14:paraId="7301D02B" w14:textId="77777777" w:rsidR="001B6E40" w:rsidRPr="00261B7A" w:rsidRDefault="001B6E40" w:rsidP="000A682D">
            <w:pPr>
              <w:pStyle w:val="TableTextBold"/>
              <w:spacing w:before="40" w:after="40"/>
              <w:jc w:val="center"/>
              <w:rPr>
                <w:noProof w:val="0"/>
                <w:color w:val="FFFFFF"/>
                <w:szCs w:val="16"/>
              </w:rPr>
            </w:pPr>
            <w:r w:rsidRPr="00261B7A">
              <w:rPr>
                <w:noProof w:val="0"/>
                <w:color w:val="FFFFFF"/>
                <w:szCs w:val="16"/>
              </w:rPr>
              <w:t>Atoll</w:t>
            </w:r>
          </w:p>
        </w:tc>
        <w:tc>
          <w:tcPr>
            <w:tcW w:w="2617" w:type="dxa"/>
            <w:tcBorders>
              <w:top w:val="single" w:sz="4" w:space="0" w:color="1B556B"/>
              <w:left w:val="nil"/>
              <w:bottom w:val="single" w:sz="4" w:space="0" w:color="1B556B"/>
              <w:right w:val="nil"/>
            </w:tcBorders>
            <w:shd w:val="clear" w:color="auto" w:fill="1B556B"/>
            <w:hideMark/>
          </w:tcPr>
          <w:p w14:paraId="279BF370" w14:textId="77777777" w:rsidR="001B6E40" w:rsidRPr="00261B7A" w:rsidRDefault="001B6E40" w:rsidP="000A682D">
            <w:pPr>
              <w:pStyle w:val="TableTextBold"/>
              <w:spacing w:before="40" w:after="40"/>
              <w:jc w:val="center"/>
              <w:rPr>
                <w:noProof w:val="0"/>
                <w:color w:val="FFFFFF"/>
                <w:szCs w:val="16"/>
              </w:rPr>
            </w:pPr>
            <w:r w:rsidRPr="00261B7A">
              <w:rPr>
                <w:noProof w:val="0"/>
                <w:color w:val="FFFFFF"/>
                <w:szCs w:val="16"/>
              </w:rPr>
              <w:t>Households</w:t>
            </w:r>
          </w:p>
        </w:tc>
        <w:tc>
          <w:tcPr>
            <w:tcW w:w="2136" w:type="dxa"/>
            <w:tcBorders>
              <w:top w:val="single" w:sz="4" w:space="0" w:color="1B556B"/>
              <w:left w:val="nil"/>
              <w:bottom w:val="single" w:sz="4" w:space="0" w:color="1B556B"/>
              <w:right w:val="nil"/>
            </w:tcBorders>
            <w:shd w:val="clear" w:color="auto" w:fill="1B556B"/>
            <w:hideMark/>
          </w:tcPr>
          <w:p w14:paraId="24D6E63B" w14:textId="77777777" w:rsidR="001B6E40" w:rsidRPr="00261B7A" w:rsidRDefault="001B6E40" w:rsidP="000A682D">
            <w:pPr>
              <w:pStyle w:val="TableTextBold"/>
              <w:spacing w:before="40" w:after="40"/>
              <w:jc w:val="center"/>
              <w:rPr>
                <w:noProof w:val="0"/>
                <w:color w:val="FFFFFF"/>
                <w:szCs w:val="16"/>
              </w:rPr>
            </w:pPr>
            <w:r w:rsidRPr="00261B7A">
              <w:rPr>
                <w:noProof w:val="0"/>
                <w:color w:val="FFFFFF"/>
                <w:szCs w:val="16"/>
              </w:rPr>
              <w:t>Pigs</w:t>
            </w:r>
          </w:p>
        </w:tc>
        <w:tc>
          <w:tcPr>
            <w:tcW w:w="1789" w:type="dxa"/>
            <w:tcBorders>
              <w:top w:val="single" w:sz="4" w:space="0" w:color="1B556B"/>
              <w:left w:val="nil"/>
              <w:bottom w:val="single" w:sz="4" w:space="0" w:color="1B556B"/>
              <w:right w:val="nil"/>
            </w:tcBorders>
            <w:shd w:val="clear" w:color="auto" w:fill="1B556B"/>
            <w:hideMark/>
          </w:tcPr>
          <w:p w14:paraId="634B3767" w14:textId="77777777" w:rsidR="001B6E40" w:rsidRPr="00261B7A" w:rsidRDefault="001B6E40" w:rsidP="000A682D">
            <w:pPr>
              <w:pStyle w:val="TableTextBold"/>
              <w:spacing w:before="40" w:after="40"/>
              <w:jc w:val="center"/>
              <w:rPr>
                <w:noProof w:val="0"/>
                <w:color w:val="FFFFFF"/>
                <w:szCs w:val="16"/>
              </w:rPr>
            </w:pPr>
            <w:r w:rsidRPr="00261B7A">
              <w:rPr>
                <w:noProof w:val="0"/>
                <w:color w:val="FFFFFF"/>
                <w:szCs w:val="16"/>
              </w:rPr>
              <w:t>Chickens</w:t>
            </w:r>
          </w:p>
        </w:tc>
      </w:tr>
      <w:tr w:rsidR="001B6E40" w:rsidRPr="00261B7A" w14:paraId="2D7045DD" w14:textId="77777777" w:rsidTr="00346F65">
        <w:tc>
          <w:tcPr>
            <w:tcW w:w="1963" w:type="dxa"/>
            <w:tcBorders>
              <w:top w:val="single" w:sz="4" w:space="0" w:color="1B556B"/>
              <w:left w:val="nil"/>
              <w:bottom w:val="nil"/>
              <w:right w:val="nil"/>
            </w:tcBorders>
            <w:shd w:val="clear" w:color="auto" w:fill="auto"/>
            <w:hideMark/>
          </w:tcPr>
          <w:p w14:paraId="31F87A51" w14:textId="77777777" w:rsidR="001B6E40" w:rsidRPr="00261B7A" w:rsidRDefault="001B6E40" w:rsidP="000A682D">
            <w:pPr>
              <w:pStyle w:val="TableText"/>
              <w:spacing w:before="40" w:after="40"/>
              <w:rPr>
                <w:szCs w:val="16"/>
              </w:rPr>
            </w:pPr>
            <w:r w:rsidRPr="00261B7A">
              <w:rPr>
                <w:szCs w:val="16"/>
              </w:rPr>
              <w:t>Atafu</w:t>
            </w:r>
          </w:p>
        </w:tc>
        <w:tc>
          <w:tcPr>
            <w:tcW w:w="2617" w:type="dxa"/>
            <w:tcBorders>
              <w:top w:val="single" w:sz="4" w:space="0" w:color="1B556B"/>
              <w:left w:val="nil"/>
              <w:bottom w:val="nil"/>
              <w:right w:val="nil"/>
            </w:tcBorders>
            <w:shd w:val="clear" w:color="auto" w:fill="auto"/>
            <w:hideMark/>
          </w:tcPr>
          <w:p w14:paraId="247942AE" w14:textId="77777777" w:rsidR="001B6E40" w:rsidRPr="00261B7A" w:rsidRDefault="001B6E40" w:rsidP="000A682D">
            <w:pPr>
              <w:pStyle w:val="TableText"/>
              <w:spacing w:before="40" w:after="40"/>
              <w:jc w:val="center"/>
              <w:rPr>
                <w:szCs w:val="16"/>
              </w:rPr>
            </w:pPr>
            <w:r w:rsidRPr="00261B7A">
              <w:rPr>
                <w:szCs w:val="16"/>
              </w:rPr>
              <w:t>88</w:t>
            </w:r>
          </w:p>
        </w:tc>
        <w:tc>
          <w:tcPr>
            <w:tcW w:w="2136" w:type="dxa"/>
            <w:tcBorders>
              <w:top w:val="single" w:sz="4" w:space="0" w:color="1B556B"/>
              <w:left w:val="nil"/>
              <w:bottom w:val="nil"/>
              <w:right w:val="nil"/>
            </w:tcBorders>
            <w:shd w:val="clear" w:color="auto" w:fill="auto"/>
            <w:hideMark/>
          </w:tcPr>
          <w:p w14:paraId="5AFFCB1A" w14:textId="77777777" w:rsidR="001B6E40" w:rsidRPr="00261B7A" w:rsidRDefault="001B6E40" w:rsidP="000A682D">
            <w:pPr>
              <w:pStyle w:val="TableText"/>
              <w:spacing w:before="40" w:after="40"/>
              <w:jc w:val="center"/>
              <w:rPr>
                <w:szCs w:val="16"/>
              </w:rPr>
            </w:pPr>
            <w:r w:rsidRPr="00261B7A">
              <w:rPr>
                <w:szCs w:val="16"/>
              </w:rPr>
              <w:t>742</w:t>
            </w:r>
          </w:p>
        </w:tc>
        <w:tc>
          <w:tcPr>
            <w:tcW w:w="1789" w:type="dxa"/>
            <w:tcBorders>
              <w:top w:val="single" w:sz="4" w:space="0" w:color="1B556B"/>
              <w:left w:val="nil"/>
              <w:bottom w:val="nil"/>
              <w:right w:val="nil"/>
            </w:tcBorders>
            <w:shd w:val="clear" w:color="auto" w:fill="auto"/>
            <w:hideMark/>
          </w:tcPr>
          <w:p w14:paraId="221F7FA3" w14:textId="77777777" w:rsidR="001B6E40" w:rsidRPr="00261B7A" w:rsidRDefault="001B6E40" w:rsidP="000A682D">
            <w:pPr>
              <w:pStyle w:val="TableText"/>
              <w:spacing w:before="40" w:after="40"/>
              <w:jc w:val="center"/>
              <w:rPr>
                <w:szCs w:val="16"/>
              </w:rPr>
            </w:pPr>
            <w:r w:rsidRPr="00261B7A">
              <w:rPr>
                <w:szCs w:val="16"/>
              </w:rPr>
              <w:t>270</w:t>
            </w:r>
          </w:p>
        </w:tc>
      </w:tr>
      <w:tr w:rsidR="001B6E40" w:rsidRPr="00261B7A" w14:paraId="06E43029" w14:textId="77777777" w:rsidTr="00346F65">
        <w:tc>
          <w:tcPr>
            <w:tcW w:w="1963" w:type="dxa"/>
            <w:tcBorders>
              <w:top w:val="nil"/>
              <w:left w:val="nil"/>
              <w:bottom w:val="nil"/>
              <w:right w:val="nil"/>
            </w:tcBorders>
            <w:shd w:val="clear" w:color="auto" w:fill="auto"/>
            <w:hideMark/>
          </w:tcPr>
          <w:p w14:paraId="47350B39" w14:textId="77777777" w:rsidR="001B6E40" w:rsidRPr="00261B7A" w:rsidRDefault="001B6E40" w:rsidP="000A682D">
            <w:pPr>
              <w:pStyle w:val="TableText"/>
              <w:spacing w:before="40" w:after="40"/>
              <w:rPr>
                <w:szCs w:val="16"/>
              </w:rPr>
            </w:pPr>
            <w:r w:rsidRPr="00261B7A">
              <w:rPr>
                <w:szCs w:val="16"/>
              </w:rPr>
              <w:t>Fakaofo</w:t>
            </w:r>
          </w:p>
        </w:tc>
        <w:tc>
          <w:tcPr>
            <w:tcW w:w="2617" w:type="dxa"/>
            <w:tcBorders>
              <w:top w:val="nil"/>
              <w:left w:val="nil"/>
              <w:bottom w:val="nil"/>
              <w:right w:val="nil"/>
            </w:tcBorders>
            <w:shd w:val="clear" w:color="auto" w:fill="auto"/>
            <w:hideMark/>
          </w:tcPr>
          <w:p w14:paraId="58FC5EAD" w14:textId="77777777" w:rsidR="001B6E40" w:rsidRPr="00261B7A" w:rsidRDefault="001B6E40" w:rsidP="000A682D">
            <w:pPr>
              <w:pStyle w:val="TableText"/>
              <w:spacing w:before="40" w:after="40"/>
              <w:jc w:val="center"/>
              <w:rPr>
                <w:szCs w:val="16"/>
              </w:rPr>
            </w:pPr>
            <w:r w:rsidRPr="00261B7A">
              <w:rPr>
                <w:szCs w:val="16"/>
              </w:rPr>
              <w:t>85</w:t>
            </w:r>
          </w:p>
        </w:tc>
        <w:tc>
          <w:tcPr>
            <w:tcW w:w="2136" w:type="dxa"/>
            <w:tcBorders>
              <w:top w:val="nil"/>
              <w:left w:val="nil"/>
              <w:bottom w:val="nil"/>
              <w:right w:val="nil"/>
            </w:tcBorders>
            <w:shd w:val="clear" w:color="auto" w:fill="auto"/>
            <w:hideMark/>
          </w:tcPr>
          <w:p w14:paraId="64C8EBEF" w14:textId="77777777" w:rsidR="001B6E40" w:rsidRPr="00261B7A" w:rsidRDefault="001B6E40" w:rsidP="000A682D">
            <w:pPr>
              <w:pStyle w:val="TableText"/>
              <w:spacing w:before="40" w:after="40"/>
              <w:jc w:val="center"/>
              <w:rPr>
                <w:szCs w:val="16"/>
              </w:rPr>
            </w:pPr>
            <w:r w:rsidRPr="00261B7A">
              <w:rPr>
                <w:szCs w:val="16"/>
              </w:rPr>
              <w:t>419</w:t>
            </w:r>
          </w:p>
        </w:tc>
        <w:tc>
          <w:tcPr>
            <w:tcW w:w="1789" w:type="dxa"/>
            <w:tcBorders>
              <w:top w:val="nil"/>
              <w:left w:val="nil"/>
              <w:bottom w:val="nil"/>
              <w:right w:val="nil"/>
            </w:tcBorders>
            <w:shd w:val="clear" w:color="auto" w:fill="auto"/>
            <w:hideMark/>
          </w:tcPr>
          <w:p w14:paraId="0B102EE8" w14:textId="77777777" w:rsidR="001B6E40" w:rsidRPr="00261B7A" w:rsidRDefault="001B6E40" w:rsidP="000A682D">
            <w:pPr>
              <w:pStyle w:val="TableText"/>
              <w:spacing w:before="40" w:after="40"/>
              <w:jc w:val="center"/>
              <w:rPr>
                <w:szCs w:val="16"/>
              </w:rPr>
            </w:pPr>
            <w:r w:rsidRPr="00261B7A">
              <w:rPr>
                <w:szCs w:val="16"/>
              </w:rPr>
              <w:t>50</w:t>
            </w:r>
          </w:p>
        </w:tc>
      </w:tr>
      <w:tr w:rsidR="001B6E40" w:rsidRPr="00261B7A" w14:paraId="27227073" w14:textId="77777777" w:rsidTr="00346F65">
        <w:tc>
          <w:tcPr>
            <w:tcW w:w="1963" w:type="dxa"/>
            <w:tcBorders>
              <w:top w:val="nil"/>
              <w:left w:val="nil"/>
              <w:bottom w:val="single" w:sz="4" w:space="0" w:color="1B556B"/>
              <w:right w:val="nil"/>
            </w:tcBorders>
            <w:shd w:val="clear" w:color="auto" w:fill="auto"/>
            <w:hideMark/>
          </w:tcPr>
          <w:p w14:paraId="7B183902" w14:textId="77777777" w:rsidR="001B6E40" w:rsidRPr="00261B7A" w:rsidRDefault="001B6E40" w:rsidP="000A682D">
            <w:pPr>
              <w:pStyle w:val="TableText"/>
              <w:spacing w:before="40" w:after="40"/>
              <w:rPr>
                <w:szCs w:val="16"/>
              </w:rPr>
            </w:pPr>
            <w:r w:rsidRPr="00261B7A">
              <w:rPr>
                <w:szCs w:val="16"/>
              </w:rPr>
              <w:t>Nukunonu</w:t>
            </w:r>
          </w:p>
        </w:tc>
        <w:tc>
          <w:tcPr>
            <w:tcW w:w="2617" w:type="dxa"/>
            <w:tcBorders>
              <w:top w:val="nil"/>
              <w:left w:val="nil"/>
              <w:bottom w:val="single" w:sz="4" w:space="0" w:color="1B556B"/>
              <w:right w:val="nil"/>
            </w:tcBorders>
            <w:shd w:val="clear" w:color="auto" w:fill="auto"/>
            <w:hideMark/>
          </w:tcPr>
          <w:p w14:paraId="6B4FF0B1" w14:textId="77777777" w:rsidR="001B6E40" w:rsidRPr="00261B7A" w:rsidRDefault="001B6E40" w:rsidP="000A682D">
            <w:pPr>
              <w:pStyle w:val="TableText"/>
              <w:spacing w:before="40" w:after="40"/>
              <w:jc w:val="center"/>
              <w:rPr>
                <w:szCs w:val="16"/>
              </w:rPr>
            </w:pPr>
            <w:r w:rsidRPr="00261B7A">
              <w:rPr>
                <w:szCs w:val="16"/>
              </w:rPr>
              <w:t>83</w:t>
            </w:r>
          </w:p>
        </w:tc>
        <w:tc>
          <w:tcPr>
            <w:tcW w:w="2136" w:type="dxa"/>
            <w:tcBorders>
              <w:top w:val="nil"/>
              <w:left w:val="nil"/>
              <w:bottom w:val="single" w:sz="4" w:space="0" w:color="1B556B"/>
              <w:right w:val="nil"/>
            </w:tcBorders>
            <w:shd w:val="clear" w:color="auto" w:fill="auto"/>
            <w:hideMark/>
          </w:tcPr>
          <w:p w14:paraId="74D1B6F3" w14:textId="77777777" w:rsidR="001B6E40" w:rsidRPr="00261B7A" w:rsidRDefault="001B6E40" w:rsidP="000A682D">
            <w:pPr>
              <w:pStyle w:val="TableText"/>
              <w:spacing w:before="40" w:after="40"/>
              <w:jc w:val="center"/>
              <w:rPr>
                <w:szCs w:val="16"/>
              </w:rPr>
            </w:pPr>
            <w:r w:rsidRPr="00261B7A">
              <w:rPr>
                <w:szCs w:val="16"/>
              </w:rPr>
              <w:t>536</w:t>
            </w:r>
          </w:p>
        </w:tc>
        <w:tc>
          <w:tcPr>
            <w:tcW w:w="1789" w:type="dxa"/>
            <w:tcBorders>
              <w:top w:val="nil"/>
              <w:left w:val="nil"/>
              <w:bottom w:val="single" w:sz="4" w:space="0" w:color="1B556B"/>
              <w:right w:val="nil"/>
            </w:tcBorders>
            <w:shd w:val="clear" w:color="auto" w:fill="auto"/>
            <w:hideMark/>
          </w:tcPr>
          <w:p w14:paraId="2C6483D6" w14:textId="77777777" w:rsidR="001B6E40" w:rsidRPr="00261B7A" w:rsidRDefault="001B6E40" w:rsidP="000A682D">
            <w:pPr>
              <w:pStyle w:val="TableText"/>
              <w:spacing w:before="40" w:after="40"/>
              <w:jc w:val="center"/>
              <w:rPr>
                <w:szCs w:val="16"/>
              </w:rPr>
            </w:pPr>
            <w:r w:rsidRPr="00261B7A">
              <w:rPr>
                <w:szCs w:val="16"/>
              </w:rPr>
              <w:t>305</w:t>
            </w:r>
          </w:p>
        </w:tc>
      </w:tr>
      <w:tr w:rsidR="001B6E40" w:rsidRPr="00261B7A" w14:paraId="04156F7B" w14:textId="77777777" w:rsidTr="00346F65">
        <w:tc>
          <w:tcPr>
            <w:tcW w:w="1963" w:type="dxa"/>
            <w:tcBorders>
              <w:top w:val="single" w:sz="4" w:space="0" w:color="1B556B"/>
              <w:left w:val="nil"/>
              <w:bottom w:val="single" w:sz="4" w:space="0" w:color="1B556B"/>
              <w:right w:val="nil"/>
            </w:tcBorders>
            <w:shd w:val="clear" w:color="auto" w:fill="auto"/>
            <w:hideMark/>
          </w:tcPr>
          <w:p w14:paraId="6F40BF18" w14:textId="77777777" w:rsidR="001B6E40" w:rsidRPr="00261B7A" w:rsidRDefault="001B6E40" w:rsidP="000A682D">
            <w:pPr>
              <w:pStyle w:val="TableText"/>
              <w:spacing w:before="40" w:after="40"/>
              <w:rPr>
                <w:szCs w:val="16"/>
              </w:rPr>
            </w:pPr>
            <w:r w:rsidRPr="00261B7A">
              <w:rPr>
                <w:szCs w:val="16"/>
              </w:rPr>
              <w:t>Tokelau</w:t>
            </w:r>
          </w:p>
        </w:tc>
        <w:tc>
          <w:tcPr>
            <w:tcW w:w="2617" w:type="dxa"/>
            <w:tcBorders>
              <w:top w:val="single" w:sz="4" w:space="0" w:color="1B556B"/>
              <w:left w:val="nil"/>
              <w:bottom w:val="single" w:sz="4" w:space="0" w:color="1B556B"/>
              <w:right w:val="nil"/>
            </w:tcBorders>
            <w:shd w:val="clear" w:color="auto" w:fill="auto"/>
            <w:hideMark/>
          </w:tcPr>
          <w:p w14:paraId="21EFFB53" w14:textId="77777777" w:rsidR="001B6E40" w:rsidRPr="00261B7A" w:rsidRDefault="001B6E40" w:rsidP="000A682D">
            <w:pPr>
              <w:pStyle w:val="TableText"/>
              <w:spacing w:before="40" w:after="40"/>
              <w:jc w:val="center"/>
              <w:rPr>
                <w:szCs w:val="16"/>
              </w:rPr>
            </w:pPr>
            <w:r w:rsidRPr="00261B7A">
              <w:rPr>
                <w:szCs w:val="16"/>
              </w:rPr>
              <w:t>256</w:t>
            </w:r>
          </w:p>
        </w:tc>
        <w:tc>
          <w:tcPr>
            <w:tcW w:w="2136" w:type="dxa"/>
            <w:tcBorders>
              <w:top w:val="single" w:sz="4" w:space="0" w:color="1B556B"/>
              <w:left w:val="nil"/>
              <w:bottom w:val="single" w:sz="4" w:space="0" w:color="1B556B"/>
              <w:right w:val="nil"/>
            </w:tcBorders>
            <w:shd w:val="clear" w:color="auto" w:fill="auto"/>
            <w:hideMark/>
          </w:tcPr>
          <w:p w14:paraId="0E895F85" w14:textId="77777777" w:rsidR="001B6E40" w:rsidRPr="00261B7A" w:rsidRDefault="001B6E40" w:rsidP="000A682D">
            <w:pPr>
              <w:pStyle w:val="TableText"/>
              <w:spacing w:before="40" w:after="40"/>
              <w:jc w:val="center"/>
              <w:rPr>
                <w:szCs w:val="16"/>
              </w:rPr>
            </w:pPr>
            <w:r w:rsidRPr="00261B7A">
              <w:rPr>
                <w:szCs w:val="16"/>
              </w:rPr>
              <w:t>1,697</w:t>
            </w:r>
          </w:p>
        </w:tc>
        <w:tc>
          <w:tcPr>
            <w:tcW w:w="1789" w:type="dxa"/>
            <w:tcBorders>
              <w:top w:val="single" w:sz="4" w:space="0" w:color="1B556B"/>
              <w:left w:val="nil"/>
              <w:bottom w:val="single" w:sz="4" w:space="0" w:color="1B556B"/>
              <w:right w:val="nil"/>
            </w:tcBorders>
            <w:shd w:val="clear" w:color="auto" w:fill="auto"/>
            <w:hideMark/>
          </w:tcPr>
          <w:p w14:paraId="472225EA" w14:textId="77777777" w:rsidR="001B6E40" w:rsidRPr="00261B7A" w:rsidRDefault="001B6E40" w:rsidP="000A682D">
            <w:pPr>
              <w:pStyle w:val="TableText"/>
              <w:spacing w:before="40" w:after="40"/>
              <w:jc w:val="center"/>
              <w:rPr>
                <w:szCs w:val="16"/>
              </w:rPr>
            </w:pPr>
            <w:r w:rsidRPr="00261B7A">
              <w:rPr>
                <w:szCs w:val="16"/>
              </w:rPr>
              <w:t>625</w:t>
            </w:r>
          </w:p>
        </w:tc>
      </w:tr>
    </w:tbl>
    <w:p w14:paraId="4562839F" w14:textId="77777777" w:rsidR="001B6E40" w:rsidRPr="00261B7A" w:rsidRDefault="001B6E40" w:rsidP="001B6E40">
      <w:pPr>
        <w:pStyle w:val="BodyText"/>
        <w:spacing w:before="240" w:after="100"/>
        <w:rPr>
          <w:rFonts w:eastAsia="Calibri"/>
        </w:rPr>
      </w:pPr>
      <w:r w:rsidRPr="00261B7A">
        <w:rPr>
          <w:rFonts w:eastAsia="Calibri"/>
        </w:rPr>
        <w:t xml:space="preserve">Because the 2006 IPCC Guidelines do not provide a default emission factor for enteric fermentation for poultry, this category is reported as NE (not estimated) (paragraph 37(b), footnote 6 of the UNFCCC reporting guidelines) (UNFCCC, 2014). Therefore, only swine (pigs) are included under the </w:t>
      </w:r>
      <w:r w:rsidRPr="00261B7A">
        <w:rPr>
          <w:rFonts w:eastAsia="Calibri"/>
          <w:i/>
        </w:rPr>
        <w:t>Enteric fermentation</w:t>
      </w:r>
      <w:r w:rsidRPr="00261B7A">
        <w:rPr>
          <w:rFonts w:eastAsia="Calibri"/>
        </w:rPr>
        <w:t xml:space="preserve"> (3.A.3) category.</w:t>
      </w:r>
    </w:p>
    <w:p w14:paraId="6F603E9B" w14:textId="77777777" w:rsidR="001B6E40" w:rsidRPr="00261B7A" w:rsidRDefault="001B6E40" w:rsidP="001B6E40">
      <w:pPr>
        <w:pStyle w:val="BodyText"/>
        <w:spacing w:before="100" w:after="100"/>
      </w:pPr>
      <w:r w:rsidRPr="00261B7A">
        <w:t xml:space="preserve">The </w:t>
      </w:r>
      <w:r w:rsidRPr="00261B7A">
        <w:rPr>
          <w:i/>
          <w:iCs/>
        </w:rPr>
        <w:t xml:space="preserve">Enteric fermentation – Swine </w:t>
      </w:r>
      <w:r w:rsidRPr="00261B7A">
        <w:t>category contributed 7.5 per cent to the total Agriculture emissions in Tokelau in 2021, and amounted to 0.06 kt CO</w:t>
      </w:r>
      <w:r w:rsidRPr="00261B7A">
        <w:rPr>
          <w:vertAlign w:val="subscript"/>
        </w:rPr>
        <w:t>2</w:t>
      </w:r>
      <w:r w:rsidRPr="00261B7A">
        <w:t>-e.</w:t>
      </w:r>
    </w:p>
    <w:p w14:paraId="5A4EA3F6" w14:textId="77777777" w:rsidR="001B6E40" w:rsidRPr="00261B7A" w:rsidRDefault="001B6E40" w:rsidP="001B6E40">
      <w:pPr>
        <w:pStyle w:val="Heading4"/>
      </w:pPr>
      <w:r w:rsidRPr="00261B7A">
        <w:t>Methodological issues</w:t>
      </w:r>
    </w:p>
    <w:p w14:paraId="15F504B0" w14:textId="77777777" w:rsidR="001B6E40" w:rsidRPr="00261B7A" w:rsidRDefault="001B6E40" w:rsidP="001B6E40">
      <w:pPr>
        <w:pStyle w:val="Heading5"/>
        <w:spacing w:before="120"/>
      </w:pPr>
      <w:r w:rsidRPr="00261B7A">
        <w:t>Activity data</w:t>
      </w:r>
    </w:p>
    <w:p w14:paraId="73C19220" w14:textId="77777777" w:rsidR="001B6E40" w:rsidRPr="00261B7A" w:rsidRDefault="001B6E40" w:rsidP="001B6E40">
      <w:pPr>
        <w:pStyle w:val="BodyText"/>
        <w:spacing w:before="100"/>
      </w:pPr>
      <w:r w:rsidRPr="00261B7A">
        <w:t>Animal population figures were obtained from the Tokelau Census data (see table 8.1.2). The animal population between the census years is calculated by equal increments between the data collection points, to obtain the average animal population (AAP) per year.</w:t>
      </w:r>
    </w:p>
    <w:p w14:paraId="640FCCAF" w14:textId="77777777" w:rsidR="001B6E40" w:rsidRPr="00261B7A" w:rsidRDefault="001B6E40" w:rsidP="001B6E40">
      <w:pPr>
        <w:pStyle w:val="BodyText"/>
        <w:spacing w:before="100"/>
      </w:pPr>
      <w:r w:rsidRPr="00261B7A">
        <w:t>An average pig weight of 80 kilograms is used.</w:t>
      </w:r>
    </w:p>
    <w:p w14:paraId="4D2C478A" w14:textId="77777777" w:rsidR="001B6E40" w:rsidRPr="00261B7A" w:rsidRDefault="001B6E40" w:rsidP="001B6E40">
      <w:pPr>
        <w:pStyle w:val="Heading5"/>
      </w:pPr>
      <w:r w:rsidRPr="00261B7A">
        <w:t>Methods and emission factors</w:t>
      </w:r>
    </w:p>
    <w:p w14:paraId="36C15D8A" w14:textId="77777777" w:rsidR="001B6E40" w:rsidRPr="00261B7A" w:rsidRDefault="001B6E40" w:rsidP="001B6E40">
      <w:pPr>
        <w:pStyle w:val="BodyText"/>
        <w:spacing w:before="100"/>
      </w:pPr>
      <w:r w:rsidRPr="00261B7A">
        <w:t>Tier 1 methodology with a default emission factor of 1.5 kg CH</w:t>
      </w:r>
      <w:r w:rsidRPr="00261B7A">
        <w:rPr>
          <w:vertAlign w:val="subscript"/>
        </w:rPr>
        <w:t>4</w:t>
      </w:r>
      <w:r w:rsidRPr="00261B7A">
        <w:t>/head/year from table 10.10 in volume 4 of the 2006 IPCC Guidelines was used for calculating emissions from this category (IPCC, 2006c). Tokelau’s allocation by climate zone is 100 per cent to a warm climate.</w:t>
      </w:r>
    </w:p>
    <w:p w14:paraId="332E39E5" w14:textId="77777777" w:rsidR="001B6E40" w:rsidRPr="00261B7A" w:rsidRDefault="001B6E40" w:rsidP="001B6E40">
      <w:pPr>
        <w:pStyle w:val="BodyText"/>
        <w:spacing w:before="100"/>
      </w:pPr>
      <w:r w:rsidRPr="00261B7A">
        <w:t>The following equation was used for calculating emissions from swine.</w:t>
      </w:r>
    </w:p>
    <w:p w14:paraId="0F6FD9F7" w14:textId="77777777" w:rsidR="001B6E40" w:rsidRPr="00261B7A" w:rsidRDefault="001B6E40" w:rsidP="001B6E40">
      <w:pPr>
        <w:pStyle w:val="BodyText"/>
        <w:spacing w:after="0"/>
        <w:jc w:val="center"/>
        <w:rPr>
          <w:rFonts w:ascii="Cambria Math" w:hAnsi="Cambria Math"/>
        </w:rPr>
      </w:pPr>
      <w:r w:rsidRPr="00261B7A">
        <w:rPr>
          <w:rFonts w:ascii="Cambria Math" w:hAnsi="Cambria Math"/>
        </w:rPr>
        <w:t>Emissions (kt CH</w:t>
      </w:r>
      <w:r w:rsidRPr="00261B7A">
        <w:rPr>
          <w:rFonts w:ascii="Cambria Math" w:hAnsi="Cambria Math"/>
          <w:vertAlign w:val="subscript"/>
        </w:rPr>
        <w:t>4</w:t>
      </w:r>
      <w:r w:rsidRPr="00261B7A">
        <w:rPr>
          <w:rFonts w:ascii="Cambria Math" w:hAnsi="Cambria Math"/>
        </w:rPr>
        <w:t>) = AAP (Swine) 1.5 [kg CH</w:t>
      </w:r>
      <w:r w:rsidRPr="00261B7A">
        <w:rPr>
          <w:rFonts w:ascii="Cambria Math" w:hAnsi="Cambria Math"/>
          <w:vertAlign w:val="subscript"/>
        </w:rPr>
        <w:t>4</w:t>
      </w:r>
      <w:r w:rsidRPr="00261B7A">
        <w:rPr>
          <w:rFonts w:ascii="Cambria Math" w:hAnsi="Cambria Math"/>
        </w:rPr>
        <w:t xml:space="preserve"> head</w:t>
      </w:r>
      <w:r w:rsidRPr="00261B7A">
        <w:rPr>
          <w:rFonts w:ascii="Cambria Math" w:hAnsi="Cambria Math"/>
          <w:vertAlign w:val="superscript"/>
        </w:rPr>
        <w:t>–</w:t>
      </w:r>
      <w:r w:rsidRPr="00261B7A">
        <w:rPr>
          <w:rFonts w:ascii="Cambria Math" w:hAnsi="Cambria Math"/>
        </w:rPr>
        <w:t>1 year</w:t>
      </w:r>
      <w:r w:rsidRPr="00261B7A">
        <w:rPr>
          <w:rFonts w:ascii="Cambria Math" w:hAnsi="Cambria Math"/>
          <w:vertAlign w:val="superscript"/>
        </w:rPr>
        <w:t>–1</w:t>
      </w:r>
      <w:r w:rsidRPr="00261B7A">
        <w:rPr>
          <w:rFonts w:ascii="Cambria Math" w:hAnsi="Cambria Math"/>
        </w:rPr>
        <w:t>]/10</w:t>
      </w:r>
      <w:r w:rsidRPr="00261B7A">
        <w:rPr>
          <w:rFonts w:ascii="Cambria Math" w:hAnsi="Cambria Math"/>
          <w:vertAlign w:val="superscript"/>
        </w:rPr>
        <w:t>6</w:t>
      </w:r>
      <w:r w:rsidRPr="00261B7A">
        <w:rPr>
          <w:rFonts w:ascii="Cambria Math" w:hAnsi="Cambria Math"/>
        </w:rPr>
        <w:t>[kg/kt]</w:t>
      </w:r>
    </w:p>
    <w:p w14:paraId="51098F0E" w14:textId="77777777" w:rsidR="001B6E40" w:rsidRPr="00261B7A" w:rsidRDefault="001B6E40" w:rsidP="001B6E40">
      <w:pPr>
        <w:pStyle w:val="Heading4"/>
      </w:pPr>
      <w:r w:rsidRPr="00261B7A">
        <w:t>Uncertainty</w:t>
      </w:r>
    </w:p>
    <w:p w14:paraId="76C1DA02" w14:textId="77777777" w:rsidR="001B6E40" w:rsidRPr="00261B7A" w:rsidRDefault="001B6E40" w:rsidP="001B6E40">
      <w:pPr>
        <w:pStyle w:val="BodyText"/>
        <w:spacing w:before="100" w:after="100"/>
      </w:pPr>
      <w:r w:rsidRPr="00261B7A">
        <w:t>Section 10.2.3 (volume 4) of the 2006 IPCC Guidelines states that the uncertainty associated with animal populations will vary widely, depending on the source, but should be known within </w:t>
      </w:r>
      <w:r w:rsidRPr="00261B7A">
        <w:rPr>
          <w:u w:val="single"/>
        </w:rPr>
        <w:t>+</w:t>
      </w:r>
      <w:r w:rsidRPr="00261B7A">
        <w:t xml:space="preserve">20 per cent (IPCC, 2006c). The default emission factor uncertainty is </w:t>
      </w:r>
      <w:r w:rsidRPr="00261B7A">
        <w:rPr>
          <w:u w:val="single"/>
        </w:rPr>
        <w:t>+</w:t>
      </w:r>
      <w:r w:rsidRPr="00261B7A">
        <w:t xml:space="preserve">30 per cent to 50 per cent (default mid-range is </w:t>
      </w:r>
      <w:r w:rsidRPr="00261B7A">
        <w:rPr>
          <w:u w:val="single"/>
        </w:rPr>
        <w:t>+</w:t>
      </w:r>
      <w:r w:rsidRPr="00261B7A">
        <w:t>40 per cent).</w:t>
      </w:r>
    </w:p>
    <w:p w14:paraId="05D57B56" w14:textId="77777777" w:rsidR="001B6E40" w:rsidRPr="00261B7A" w:rsidRDefault="001B6E40" w:rsidP="001B6E40">
      <w:pPr>
        <w:pStyle w:val="BodyText"/>
        <w:spacing w:before="100" w:after="100"/>
      </w:pPr>
      <w:r w:rsidRPr="00261B7A">
        <w:t xml:space="preserve">For this category, the default uncertainty value of </w:t>
      </w:r>
      <w:r w:rsidRPr="00261B7A">
        <w:rPr>
          <w:u w:val="single"/>
        </w:rPr>
        <w:t>+</w:t>
      </w:r>
      <w:r w:rsidRPr="00261B7A">
        <w:t xml:space="preserve">20 per cent for activity data and an upper range default emission factor uncertainty of </w:t>
      </w:r>
      <w:r w:rsidRPr="00261B7A">
        <w:rPr>
          <w:u w:val="single"/>
        </w:rPr>
        <w:t>+</w:t>
      </w:r>
      <w:r w:rsidRPr="00261B7A">
        <w:t>50 per cent were used.</w:t>
      </w:r>
    </w:p>
    <w:p w14:paraId="69E9486A" w14:textId="77777777" w:rsidR="001B6E40" w:rsidRPr="00261B7A" w:rsidRDefault="001B6E40" w:rsidP="001B6E40">
      <w:pPr>
        <w:pStyle w:val="Heading3"/>
        <w:spacing w:before="320"/>
      </w:pPr>
      <w:r w:rsidRPr="00261B7A">
        <w:t xml:space="preserve">8.4.2 </w:t>
      </w:r>
      <w:r w:rsidRPr="00261B7A">
        <w:tab/>
        <w:t>Emissions from Manure management in Tokelau</w:t>
      </w:r>
    </w:p>
    <w:p w14:paraId="358BF0DC" w14:textId="77777777" w:rsidR="001B6E40" w:rsidRPr="00261B7A" w:rsidRDefault="001B6E40" w:rsidP="001100FF">
      <w:pPr>
        <w:pStyle w:val="BodyText"/>
        <w:spacing w:before="80" w:after="100"/>
      </w:pPr>
      <w:r w:rsidRPr="00261B7A">
        <w:t xml:space="preserve">The 2006 IPCC Guidelines provide default emission factors for </w:t>
      </w:r>
      <w:r w:rsidRPr="00261B7A">
        <w:rPr>
          <w:i/>
        </w:rPr>
        <w:t>Manure management</w:t>
      </w:r>
      <w:r w:rsidRPr="00261B7A">
        <w:t xml:space="preserve"> (3.B.1) for both swine and poultry, therefore, both animal types are included in reporting from this category (IPCC, 2006c).</w:t>
      </w:r>
    </w:p>
    <w:p w14:paraId="54A40668" w14:textId="77777777" w:rsidR="001B6E40" w:rsidRPr="00261B7A" w:rsidRDefault="001B6E40" w:rsidP="001B6E40">
      <w:pPr>
        <w:pStyle w:val="BodyText"/>
        <w:spacing w:before="100" w:after="100"/>
      </w:pPr>
      <w:r w:rsidRPr="00261B7A">
        <w:rPr>
          <w:i/>
        </w:rPr>
        <w:t>Manure management – Swine</w:t>
      </w:r>
      <w:r w:rsidRPr="00261B7A">
        <w:t xml:space="preserve"> contributed 92.4 per cent to the total agriculture emissions in Tokelau in 2021 and amounted to 0.76 kt CO</w:t>
      </w:r>
      <w:r w:rsidRPr="00261B7A">
        <w:rPr>
          <w:vertAlign w:val="subscript"/>
        </w:rPr>
        <w:t>2</w:t>
      </w:r>
      <w:r w:rsidRPr="00261B7A">
        <w:t xml:space="preserve">-e. </w:t>
      </w:r>
      <w:r w:rsidRPr="00261B7A">
        <w:rPr>
          <w:i/>
        </w:rPr>
        <w:t>Manure management</w:t>
      </w:r>
      <w:r w:rsidRPr="00261B7A">
        <w:t xml:space="preserve"> – </w:t>
      </w:r>
      <w:r w:rsidRPr="00261B7A">
        <w:rPr>
          <w:i/>
          <w:iCs/>
        </w:rPr>
        <w:t>Poultry</w:t>
      </w:r>
      <w:r w:rsidRPr="00261B7A">
        <w:t xml:space="preserve"> was negligible (0.0005 kt CO</w:t>
      </w:r>
      <w:r w:rsidRPr="00261B7A">
        <w:rPr>
          <w:vertAlign w:val="subscript"/>
        </w:rPr>
        <w:t>2</w:t>
      </w:r>
      <w:r w:rsidRPr="00261B7A">
        <w:t>-e).</w:t>
      </w:r>
    </w:p>
    <w:p w14:paraId="33969F7F" w14:textId="77777777" w:rsidR="001B6E40" w:rsidRPr="00261B7A" w:rsidRDefault="001B6E40" w:rsidP="001B6E40">
      <w:pPr>
        <w:pStyle w:val="Heading4"/>
      </w:pPr>
      <w:r w:rsidRPr="00261B7A">
        <w:t>Methodological issues</w:t>
      </w:r>
    </w:p>
    <w:p w14:paraId="34718B34" w14:textId="77777777" w:rsidR="001B6E40" w:rsidRPr="00261B7A" w:rsidRDefault="001B6E40" w:rsidP="001B6E40">
      <w:pPr>
        <w:pStyle w:val="Heading5"/>
        <w:spacing w:before="160"/>
      </w:pPr>
      <w:r w:rsidRPr="00261B7A">
        <w:t>Activity data</w:t>
      </w:r>
    </w:p>
    <w:p w14:paraId="02F608FC" w14:textId="77777777" w:rsidR="001B6E40" w:rsidRPr="00261B7A" w:rsidRDefault="001B6E40" w:rsidP="001100FF">
      <w:pPr>
        <w:pStyle w:val="BodyText"/>
        <w:spacing w:before="80" w:after="100"/>
      </w:pPr>
      <w:r w:rsidRPr="00261B7A">
        <w:t xml:space="preserve">The activity data entries for </w:t>
      </w:r>
      <w:r w:rsidRPr="00261B7A">
        <w:rPr>
          <w:i/>
        </w:rPr>
        <w:t>Manure management</w:t>
      </w:r>
      <w:r w:rsidRPr="00261B7A">
        <w:t xml:space="preserve"> are exactly the same as for </w:t>
      </w:r>
      <w:r w:rsidRPr="00261B7A">
        <w:rPr>
          <w:i/>
        </w:rPr>
        <w:t>Enteric fermentation</w:t>
      </w:r>
      <w:r w:rsidRPr="00261B7A">
        <w:t xml:space="preserve"> (see section 8.4.1).</w:t>
      </w:r>
    </w:p>
    <w:p w14:paraId="33C35CC7" w14:textId="77777777" w:rsidR="001B6E40" w:rsidRPr="00261B7A" w:rsidRDefault="001B6E40" w:rsidP="001100FF">
      <w:pPr>
        <w:pStyle w:val="BodyText"/>
        <w:spacing w:before="100" w:after="100"/>
      </w:pPr>
      <w:r w:rsidRPr="00261B7A">
        <w:t>The assumption is that all poultry are dry layers.</w:t>
      </w:r>
    </w:p>
    <w:p w14:paraId="68CAFEBB" w14:textId="77777777" w:rsidR="001B6E40" w:rsidRPr="00261B7A" w:rsidRDefault="001B6E40" w:rsidP="001B6E40">
      <w:pPr>
        <w:pStyle w:val="Heading5"/>
        <w:spacing w:before="160"/>
      </w:pPr>
      <w:r w:rsidRPr="00261B7A">
        <w:t>Methods and emission factors</w:t>
      </w:r>
    </w:p>
    <w:p w14:paraId="4E9B44DE" w14:textId="77777777" w:rsidR="001B6E40" w:rsidRPr="00261B7A" w:rsidRDefault="001B6E40" w:rsidP="001100FF">
      <w:pPr>
        <w:pStyle w:val="BodyText"/>
        <w:spacing w:before="80" w:after="100"/>
      </w:pPr>
      <w:r w:rsidRPr="00261B7A">
        <w:t xml:space="preserve">A Tier 1 methodology with default emission factors provided in table 10.15 in volume 4 of the 2006 IPCC Guidelines was used for estimating emissions from the </w:t>
      </w:r>
      <w:r w:rsidRPr="00261B7A">
        <w:rPr>
          <w:i/>
        </w:rPr>
        <w:t>Manure management</w:t>
      </w:r>
      <w:r w:rsidRPr="00261B7A">
        <w:t xml:space="preserve"> category. The Tier 1 method is based on animal population data and does not require distinguishing between different manure management systems. Equation 10.22 from volume 4 of the 2006 IPCC Guidelines was applied in conjunction with the default emission factors from table 10.14 in volume 4 of 2006 IPCC Guidelines for Oceania </w:t>
      </w:r>
      <w:r w:rsidRPr="00261B7A" w:rsidDel="008624E8">
        <w:t>w</w:t>
      </w:r>
      <w:r w:rsidRPr="00261B7A">
        <w:t xml:space="preserve">ith a warm climate. </w:t>
      </w:r>
      <w:r w:rsidRPr="00261B7A">
        <w:rPr>
          <w:spacing w:val="-2"/>
        </w:rPr>
        <w:t>These are 18.5 kg CH</w:t>
      </w:r>
      <w:r w:rsidRPr="00261B7A">
        <w:rPr>
          <w:spacing w:val="-2"/>
          <w:vertAlign w:val="subscript"/>
        </w:rPr>
        <w:t>4</w:t>
      </w:r>
      <w:r w:rsidRPr="00261B7A">
        <w:rPr>
          <w:spacing w:val="-2"/>
        </w:rPr>
        <w:t>/head/year for swine and 0.03 kg CH</w:t>
      </w:r>
      <w:r w:rsidRPr="00261B7A">
        <w:rPr>
          <w:spacing w:val="-2"/>
          <w:vertAlign w:val="subscript"/>
        </w:rPr>
        <w:t>4</w:t>
      </w:r>
      <w:r w:rsidRPr="00261B7A">
        <w:rPr>
          <w:spacing w:val="-2"/>
        </w:rPr>
        <w:t>/head/year for poultry (IPCC, 2006c)</w:t>
      </w:r>
      <w:r w:rsidRPr="00261B7A">
        <w:t>.</w:t>
      </w:r>
    </w:p>
    <w:p w14:paraId="35ADD8EF" w14:textId="77777777" w:rsidR="001B6E40" w:rsidRPr="00261B7A" w:rsidRDefault="001B6E40" w:rsidP="001B6E40">
      <w:pPr>
        <w:pStyle w:val="Heading4"/>
      </w:pPr>
      <w:r w:rsidRPr="00261B7A">
        <w:t>Uncertainty</w:t>
      </w:r>
    </w:p>
    <w:p w14:paraId="69680BF5" w14:textId="77777777" w:rsidR="001B6E40" w:rsidRPr="00261B7A" w:rsidRDefault="001B6E40" w:rsidP="001100FF">
      <w:pPr>
        <w:pStyle w:val="BodyText"/>
        <w:spacing w:before="80" w:after="100"/>
      </w:pPr>
      <w:r w:rsidRPr="00261B7A">
        <w:t xml:space="preserve">Default uncertainty values for activity data and emission factors were used for this category. Section 10.2.3 in volume 4 of the 2006 IPCC Guidelines states that the uncertainty associated with populations will vary widely, depending on the source, but should be known within </w:t>
      </w:r>
      <w:r w:rsidRPr="00261B7A">
        <w:rPr>
          <w:u w:val="single"/>
        </w:rPr>
        <w:t>+</w:t>
      </w:r>
      <w:r w:rsidRPr="00261B7A">
        <w:t xml:space="preserve">20 per cent (IPCC, 2006c). The default emission factor uncertainty for </w:t>
      </w:r>
      <w:r w:rsidRPr="00261B7A">
        <w:rPr>
          <w:i/>
        </w:rPr>
        <w:t>Manure management</w:t>
      </w:r>
      <w:r w:rsidRPr="00261B7A">
        <w:t xml:space="preserve"> is </w:t>
      </w:r>
      <w:r w:rsidRPr="00261B7A">
        <w:rPr>
          <w:u w:val="single"/>
        </w:rPr>
        <w:t>+</w:t>
      </w:r>
      <w:r w:rsidRPr="00261B7A">
        <w:t>30 per cent.</w:t>
      </w:r>
    </w:p>
    <w:p w14:paraId="579FAC9D" w14:textId="77777777" w:rsidR="001B6E40" w:rsidRPr="00261B7A" w:rsidRDefault="001B6E40" w:rsidP="00A638DC">
      <w:pPr>
        <w:pStyle w:val="Heading2"/>
      </w:pPr>
      <w:bookmarkStart w:id="2728" w:name="_Toc5269397"/>
      <w:bookmarkStart w:id="2729" w:name="_Toc36224437"/>
      <w:bookmarkStart w:id="2730" w:name="_Toc68786357"/>
      <w:bookmarkStart w:id="2731" w:name="_Toc131591271"/>
      <w:r w:rsidRPr="00261B7A">
        <w:t xml:space="preserve">8.5 </w:t>
      </w:r>
      <w:r w:rsidRPr="00261B7A">
        <w:tab/>
        <w:t>Emissions from the Waste sector in Tokelau (CRF 6 Tokelau_5)</w:t>
      </w:r>
      <w:bookmarkEnd w:id="2728"/>
      <w:bookmarkEnd w:id="2729"/>
      <w:bookmarkEnd w:id="2730"/>
      <w:bookmarkEnd w:id="2731"/>
    </w:p>
    <w:p w14:paraId="23ADF17B" w14:textId="77777777" w:rsidR="001B6E40" w:rsidRPr="00261B7A" w:rsidRDefault="001B6E40" w:rsidP="001100FF">
      <w:pPr>
        <w:pStyle w:val="BodyText"/>
        <w:spacing w:before="80" w:after="100"/>
      </w:pPr>
      <w:r w:rsidRPr="00261B7A">
        <w:t>The total amount of all Waste sector emissions in Tokelau in 2021 was 0.70 kt CO</w:t>
      </w:r>
      <w:r w:rsidRPr="00261B7A">
        <w:rPr>
          <w:vertAlign w:val="subscript"/>
        </w:rPr>
        <w:t>2</w:t>
      </w:r>
      <w:r w:rsidRPr="00261B7A">
        <w:t xml:space="preserve">-e, making the Waste sector the third-biggest emitter in Tokelau. The Waste sector contributed 18.4 per cent to the total emissions from Tokelau and 0.0009 per cent to New Zealand’s gross emissions including Tokelau. The sources of emissions in the Waste sector in Tokelau are from the categories </w:t>
      </w:r>
      <w:r w:rsidRPr="00261B7A">
        <w:rPr>
          <w:i/>
          <w:iCs/>
        </w:rPr>
        <w:t>Solid waste disposal</w:t>
      </w:r>
      <w:r w:rsidRPr="00261B7A">
        <w:t xml:space="preserve">, </w:t>
      </w:r>
      <w:r w:rsidRPr="00261B7A">
        <w:rPr>
          <w:i/>
          <w:iCs/>
        </w:rPr>
        <w:t xml:space="preserve">Wastewater treatment and discharge </w:t>
      </w:r>
      <w:r w:rsidRPr="00261B7A">
        <w:t xml:space="preserve">and </w:t>
      </w:r>
      <w:r w:rsidRPr="00261B7A">
        <w:rPr>
          <w:i/>
          <w:iCs/>
        </w:rPr>
        <w:t>Incineration and open burning of waste</w:t>
      </w:r>
      <w:r w:rsidRPr="00261B7A">
        <w:t>, which contributed 44.2 per cent, 38.2 per cent and 17.6 per cent, respectively, to the total emissions from the Waste sector in Tokelau.</w:t>
      </w:r>
    </w:p>
    <w:p w14:paraId="6315CB7B" w14:textId="77777777" w:rsidR="001B6E40" w:rsidRPr="00261B7A" w:rsidRDefault="001B6E40" w:rsidP="001100FF">
      <w:pPr>
        <w:pStyle w:val="BodyText"/>
        <w:spacing w:before="100" w:after="100"/>
      </w:pPr>
      <w:r w:rsidRPr="00261B7A">
        <w:t>The raw data related to the Waste sector were obtained from multiple sources (see items 1 to 5, 11, and 13 to 16 in table 8.1.2). The data were compiled, analysed and processed by the Tokelau National Statistics Office to produce activity data. The human population data are used as a driver for estimates in all of the Waste categories.</w:t>
      </w:r>
    </w:p>
    <w:p w14:paraId="562C18AE" w14:textId="77777777" w:rsidR="001B6E40" w:rsidRPr="00261B7A" w:rsidRDefault="001B6E40" w:rsidP="001100FF">
      <w:pPr>
        <w:pStyle w:val="BodyText"/>
        <w:spacing w:before="80" w:after="80"/>
      </w:pPr>
      <w:r w:rsidRPr="00261B7A">
        <w:t xml:space="preserve">Emissions from all categories reported in the Waste sector for Tokelau were estimated using a Tier 1 methodological approach (IPCC, 2006d). </w:t>
      </w:r>
    </w:p>
    <w:p w14:paraId="74BBB3BC" w14:textId="77777777" w:rsidR="001B6E40" w:rsidRPr="00261B7A" w:rsidRDefault="001B6E40" w:rsidP="001B6E40">
      <w:pPr>
        <w:pStyle w:val="BodyText"/>
      </w:pPr>
      <w:r w:rsidRPr="00261B7A">
        <w:t>Figure 8.5.1 shows emission trends in the Waste sector by category for Tokelau.</w:t>
      </w:r>
    </w:p>
    <w:p w14:paraId="5FEB1C0C" w14:textId="77777777" w:rsidR="001B6E40" w:rsidRPr="00261B7A" w:rsidRDefault="001B6E40" w:rsidP="001B6E40">
      <w:pPr>
        <w:pStyle w:val="Figure"/>
        <w:spacing w:after="80"/>
        <w:rPr>
          <w:rFonts w:eastAsia="Calibri"/>
        </w:rPr>
      </w:pPr>
      <w:bookmarkStart w:id="2732" w:name="_Toc36292832"/>
      <w:bookmarkStart w:id="2733" w:name="_Toc64972939"/>
      <w:bookmarkStart w:id="2734" w:name="_Toc68786696"/>
      <w:bookmarkStart w:id="2735" w:name="_Toc130211304"/>
      <w:bookmarkStart w:id="2736" w:name="_Toc131591589"/>
      <w:r w:rsidRPr="00261B7A">
        <w:rPr>
          <w:rFonts w:eastAsia="Calibri"/>
        </w:rPr>
        <w:t xml:space="preserve">Figure 8.5.1 </w:t>
      </w:r>
      <w:r w:rsidRPr="00261B7A">
        <w:rPr>
          <w:rFonts w:eastAsia="Calibri"/>
        </w:rPr>
        <w:tab/>
        <w:t>Waste sector emissions by category for Tokelau (kt CO</w:t>
      </w:r>
      <w:r w:rsidRPr="00261B7A">
        <w:rPr>
          <w:rFonts w:eastAsia="Calibri"/>
          <w:vertAlign w:val="subscript"/>
        </w:rPr>
        <w:t>2</w:t>
      </w:r>
      <w:r w:rsidRPr="00261B7A">
        <w:rPr>
          <w:rFonts w:eastAsia="Calibri"/>
        </w:rPr>
        <w:t xml:space="preserve">-e) from 1990 to </w:t>
      </w:r>
      <w:bookmarkEnd w:id="2732"/>
      <w:bookmarkEnd w:id="2733"/>
      <w:bookmarkEnd w:id="2734"/>
      <w:r w:rsidRPr="00261B7A">
        <w:rPr>
          <w:rFonts w:eastAsia="Calibri"/>
        </w:rPr>
        <w:t>2021</w:t>
      </w:r>
      <w:bookmarkEnd w:id="2735"/>
      <w:bookmarkEnd w:id="2736"/>
    </w:p>
    <w:p w14:paraId="599FCFCD" w14:textId="77777777" w:rsidR="001B6E40" w:rsidRPr="00261B7A" w:rsidRDefault="001B6E40" w:rsidP="001B6E40">
      <w:pPr>
        <w:pStyle w:val="BodyText"/>
        <w:rPr>
          <w:rFonts w:eastAsia="Calibri"/>
        </w:rPr>
      </w:pPr>
      <w:r w:rsidRPr="00261B7A">
        <w:rPr>
          <w:rFonts w:eastAsia="Calibri"/>
          <w:noProof/>
        </w:rPr>
        <w:drawing>
          <wp:inline distT="0" distB="0" distL="0" distR="0" wp14:anchorId="675C98DE" wp14:editId="66615C54">
            <wp:extent cx="5529371" cy="31811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59">
                      <a:extLst>
                        <a:ext uri="{28A0092B-C50C-407E-A947-70E740481C1C}">
                          <a14:useLocalDpi xmlns:a14="http://schemas.microsoft.com/office/drawing/2010/main" val="0"/>
                        </a:ext>
                      </a:extLst>
                    </a:blip>
                    <a:srcRect t="1853" b="2225"/>
                    <a:stretch/>
                  </pic:blipFill>
                  <pic:spPr bwMode="auto">
                    <a:xfrm>
                      <a:off x="0" y="0"/>
                      <a:ext cx="5529580" cy="3181310"/>
                    </a:xfrm>
                    <a:prstGeom prst="rect">
                      <a:avLst/>
                    </a:prstGeom>
                    <a:noFill/>
                    <a:ln>
                      <a:noFill/>
                    </a:ln>
                    <a:extLst>
                      <a:ext uri="{53640926-AAD7-44D8-BBD7-CCE9431645EC}">
                        <a14:shadowObscured xmlns:a14="http://schemas.microsoft.com/office/drawing/2010/main"/>
                      </a:ext>
                    </a:extLst>
                  </pic:spPr>
                </pic:pic>
              </a:graphicData>
            </a:graphic>
          </wp:inline>
        </w:drawing>
      </w:r>
    </w:p>
    <w:p w14:paraId="62F3C456" w14:textId="77777777" w:rsidR="001B6E40" w:rsidRPr="00261B7A" w:rsidRDefault="001B6E40" w:rsidP="001B6E40">
      <w:pPr>
        <w:pStyle w:val="Heading4"/>
      </w:pPr>
      <w:r w:rsidRPr="00261B7A">
        <w:t>Source-specific planned improvements</w:t>
      </w:r>
    </w:p>
    <w:p w14:paraId="3CC0016B" w14:textId="77777777" w:rsidR="001B6E40" w:rsidRPr="00261B7A" w:rsidRDefault="001B6E40" w:rsidP="001B6E40">
      <w:pPr>
        <w:pStyle w:val="BodyText"/>
      </w:pPr>
      <w:r w:rsidRPr="00261B7A">
        <w:t xml:space="preserve">No improvements are planned for the Waste sector. Possible improvements in the Waste sector will focus on ongoing data refinement as far as resources allow. </w:t>
      </w:r>
    </w:p>
    <w:p w14:paraId="2D03281C" w14:textId="77777777" w:rsidR="001B6E40" w:rsidRPr="00261B7A" w:rsidRDefault="001B6E40" w:rsidP="001B6E40">
      <w:pPr>
        <w:pStyle w:val="Heading3"/>
        <w:spacing w:before="240"/>
      </w:pPr>
      <w:r w:rsidRPr="00261B7A">
        <w:t xml:space="preserve">8.5.1 </w:t>
      </w:r>
      <w:r w:rsidRPr="00261B7A">
        <w:tab/>
        <w:t>Emissions from Solid waste disposal in Tokelau</w:t>
      </w:r>
    </w:p>
    <w:p w14:paraId="6D268386" w14:textId="77777777" w:rsidR="001B6E40" w:rsidRPr="00261B7A" w:rsidRDefault="001B6E40" w:rsidP="001B6E40">
      <w:pPr>
        <w:pStyle w:val="BodyText"/>
      </w:pPr>
      <w:r w:rsidRPr="00261B7A">
        <w:rPr>
          <w:spacing w:val="-2"/>
        </w:rPr>
        <w:t>According to the 2016 Tokelau Census, most household rubbish is collected by village workers. Fakaofo had the highest proportion of households where all rubbish was collected (72.9 per cent). Of all private occupied dwellings, 98.8 per cent had at least some of their household rubbish collected. Most of the collected rubbish is either burned on the reef or buried in centralised areas of the islands. Exceptions are the organic waste, which is fed daily to pigs, large beer bottles that are exported for recycling to Apia (Samoa) and metal waste that is collected and sold as scrap in Apia under an MoU with a Samoan company</w:t>
      </w:r>
      <w:r w:rsidRPr="00261B7A">
        <w:t>.</w:t>
      </w:r>
      <w:r w:rsidRPr="00261B7A">
        <w:rPr>
          <w:rStyle w:val="FootnoteReference"/>
        </w:rPr>
        <w:footnoteReference w:id="73"/>
      </w:r>
      <w:r w:rsidRPr="00261B7A">
        <w:t xml:space="preserve"> </w:t>
      </w:r>
    </w:p>
    <w:p w14:paraId="7990A536" w14:textId="77777777" w:rsidR="001B6E40" w:rsidRPr="00261B7A" w:rsidRDefault="001B6E40" w:rsidP="001B6E40">
      <w:pPr>
        <w:pStyle w:val="BodyText"/>
      </w:pPr>
      <w:r w:rsidRPr="00261B7A">
        <w:t>Where village workers do not collect household rubbish, households use alternative methods for disposal. The most common methods are burning, burial and disposing of in the garden. Tokelau has no dedicated categorised landfills, therefore, solid waste disposal is reported for uncategorised landfills only.</w:t>
      </w:r>
    </w:p>
    <w:p w14:paraId="3D1EFA6F" w14:textId="77777777" w:rsidR="001B6E40" w:rsidRPr="00261B7A" w:rsidRDefault="001B6E40" w:rsidP="001B6E40">
      <w:pPr>
        <w:pStyle w:val="BodyText"/>
      </w:pPr>
      <w:r w:rsidRPr="00261B7A">
        <w:t xml:space="preserve">The </w:t>
      </w:r>
      <w:r w:rsidRPr="00261B7A">
        <w:rPr>
          <w:i/>
        </w:rPr>
        <w:t xml:space="preserve">Solid waste disposal </w:t>
      </w:r>
      <w:r w:rsidRPr="00261B7A">
        <w:t>category contributed 44.2 per cent to the total Waste emissions in Tokelau in 2021, which amounted to 0.31 kt CO</w:t>
      </w:r>
      <w:r w:rsidRPr="00261B7A">
        <w:rPr>
          <w:vertAlign w:val="subscript"/>
        </w:rPr>
        <w:t>2</w:t>
      </w:r>
      <w:r w:rsidRPr="00261B7A">
        <w:t>-e.</w:t>
      </w:r>
    </w:p>
    <w:p w14:paraId="687A4ADD" w14:textId="77777777" w:rsidR="001B6E40" w:rsidRPr="00261B7A" w:rsidRDefault="001B6E40" w:rsidP="001B6E40">
      <w:pPr>
        <w:pStyle w:val="Heading4"/>
      </w:pPr>
      <w:r w:rsidRPr="00261B7A">
        <w:t>Methodological issues</w:t>
      </w:r>
    </w:p>
    <w:p w14:paraId="3696F89F" w14:textId="77777777" w:rsidR="001B6E40" w:rsidRPr="00261B7A" w:rsidRDefault="001B6E40" w:rsidP="001B6E40">
      <w:pPr>
        <w:pStyle w:val="Heading5"/>
        <w:spacing w:before="180"/>
      </w:pPr>
      <w:r w:rsidRPr="00261B7A">
        <w:t>Activity data</w:t>
      </w:r>
    </w:p>
    <w:p w14:paraId="58CCBAA9" w14:textId="77777777" w:rsidR="001B6E40" w:rsidRPr="00261B7A" w:rsidRDefault="001B6E40" w:rsidP="001B6E40">
      <w:pPr>
        <w:pStyle w:val="Bullet"/>
        <w:spacing w:before="120"/>
      </w:pPr>
      <w:r w:rsidRPr="00261B7A">
        <w:t>The total amount of solid waste is based on the 2006 IPCC default of 690 kg/person/year for Oceania (IPCC, 2006d). This is likely to be an overestimate, however, a country-specific value is not available.</w:t>
      </w:r>
    </w:p>
    <w:p w14:paraId="4121C980" w14:textId="77777777" w:rsidR="001B6E40" w:rsidRPr="00261B7A" w:rsidRDefault="001B6E40" w:rsidP="001B6E40">
      <w:pPr>
        <w:pStyle w:val="Bullet"/>
      </w:pPr>
      <w:r w:rsidRPr="00261B7A">
        <w:t>Solid waste is assumed to be half buried and the other half burned. As above, this does not account for exported solid waste or organic waste fed to pigs and will be an overestimate.</w:t>
      </w:r>
    </w:p>
    <w:p w14:paraId="483C00C0" w14:textId="77777777" w:rsidR="001B6E40" w:rsidRPr="00261B7A" w:rsidRDefault="001B6E40" w:rsidP="001B6E40">
      <w:pPr>
        <w:pStyle w:val="Bullet"/>
      </w:pPr>
      <w:r w:rsidRPr="00261B7A">
        <w:t>The composition of solid waste for the landfill calculations is based on the 2006 IPCC default (67.5 per cent food, 6 per cent paper/cardboard, 2.5 per cent wood, and the remaining 24 per cent is ‘inert’) (IPCC, 2006d). This does not take into account the food waste that is fed to animals or used for composting and gardens, nor data on waste composition, such as disposable nappies, and will likely be an overestimate overall.</w:t>
      </w:r>
    </w:p>
    <w:p w14:paraId="40F5AA01" w14:textId="77777777" w:rsidR="001B6E40" w:rsidRPr="00261B7A" w:rsidRDefault="001B6E40" w:rsidP="001B6E40">
      <w:pPr>
        <w:pStyle w:val="Heading5"/>
      </w:pPr>
      <w:r w:rsidRPr="00261B7A">
        <w:t>Methods and emission factors</w:t>
      </w:r>
    </w:p>
    <w:p w14:paraId="2B87C38D" w14:textId="77777777" w:rsidR="001B6E40" w:rsidRPr="00261B7A" w:rsidRDefault="001B6E40" w:rsidP="001B6E40">
      <w:pPr>
        <w:pStyle w:val="BodyText"/>
      </w:pPr>
      <w:r w:rsidRPr="00261B7A">
        <w:t>A Tier 1 methodology has been applied to estimate emissions from this category. The Tier 1 approach is to use all default values. It is assumed that 50 per cent of waste is buried (landfilled) and the other 50 per cent is burned. Any amounts of waste shipped offshore are additional and are not counted. Table 8.5.1 sums up the information about parameters used for calculating emissions from this category.</w:t>
      </w:r>
    </w:p>
    <w:p w14:paraId="1265D43D" w14:textId="77777777" w:rsidR="001B6E40" w:rsidRPr="00261B7A" w:rsidRDefault="001B6E40" w:rsidP="001B6E40">
      <w:pPr>
        <w:pStyle w:val="Table"/>
        <w:rPr>
          <w:rFonts w:eastAsia="Calibri"/>
        </w:rPr>
      </w:pPr>
      <w:bookmarkStart w:id="2737" w:name="_Toc5269602"/>
      <w:bookmarkStart w:id="2738" w:name="_Toc36224683"/>
      <w:bookmarkStart w:id="2739" w:name="_Toc68786569"/>
      <w:bookmarkStart w:id="2740" w:name="_Toc130211275"/>
      <w:bookmarkStart w:id="2741" w:name="_Toc131591476"/>
      <w:r w:rsidRPr="00261B7A">
        <w:rPr>
          <w:rFonts w:eastAsia="Calibri"/>
        </w:rPr>
        <w:t>Table 8.5.1</w:t>
      </w:r>
      <w:r w:rsidRPr="00261B7A">
        <w:rPr>
          <w:rFonts w:eastAsia="Calibri"/>
        </w:rPr>
        <w:tab/>
        <w:t>Summary of parameters for uncategorised landfills in Tokelau</w:t>
      </w:r>
      <w:bookmarkEnd w:id="2737"/>
      <w:bookmarkEnd w:id="2738"/>
      <w:bookmarkEnd w:id="2739"/>
      <w:bookmarkEnd w:id="2740"/>
      <w:bookmarkEnd w:id="2741"/>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694"/>
        <w:gridCol w:w="992"/>
        <w:gridCol w:w="1984"/>
        <w:gridCol w:w="2835"/>
      </w:tblGrid>
      <w:tr w:rsidR="001B6E40" w:rsidRPr="00261B7A" w14:paraId="365BA1FA" w14:textId="77777777" w:rsidTr="001100FF">
        <w:trPr>
          <w:tblHeader/>
        </w:trPr>
        <w:tc>
          <w:tcPr>
            <w:tcW w:w="2694" w:type="dxa"/>
            <w:shd w:val="clear" w:color="auto" w:fill="1B556B"/>
          </w:tcPr>
          <w:p w14:paraId="678BDDBB" w14:textId="77777777" w:rsidR="001B6E40" w:rsidRPr="00261B7A" w:rsidRDefault="001B6E40" w:rsidP="003E20AD">
            <w:pPr>
              <w:pStyle w:val="TableTextBold"/>
              <w:spacing w:before="40" w:after="40"/>
              <w:rPr>
                <w:rFonts w:cs="Calibri"/>
                <w:noProof w:val="0"/>
                <w:color w:val="FFFFFF"/>
                <w:szCs w:val="16"/>
              </w:rPr>
            </w:pPr>
            <w:r w:rsidRPr="00261B7A">
              <w:rPr>
                <w:rFonts w:cs="Calibri"/>
                <w:noProof w:val="0"/>
                <w:color w:val="FFFFFF"/>
                <w:szCs w:val="16"/>
              </w:rPr>
              <w:t xml:space="preserve">Parameter </w:t>
            </w:r>
          </w:p>
        </w:tc>
        <w:tc>
          <w:tcPr>
            <w:tcW w:w="992" w:type="dxa"/>
            <w:shd w:val="clear" w:color="auto" w:fill="1B556B"/>
          </w:tcPr>
          <w:p w14:paraId="7BC64A43" w14:textId="77777777" w:rsidR="001B6E40" w:rsidRPr="00261B7A" w:rsidRDefault="001B6E40" w:rsidP="003E20AD">
            <w:pPr>
              <w:pStyle w:val="TableTextBold"/>
              <w:spacing w:before="40" w:after="40"/>
              <w:rPr>
                <w:rFonts w:cs="Calibri"/>
                <w:noProof w:val="0"/>
                <w:color w:val="FFFFFF"/>
                <w:szCs w:val="16"/>
              </w:rPr>
            </w:pPr>
            <w:r w:rsidRPr="00261B7A">
              <w:rPr>
                <w:rFonts w:cs="Calibri"/>
                <w:noProof w:val="0"/>
                <w:color w:val="FFFFFF"/>
                <w:szCs w:val="16"/>
              </w:rPr>
              <w:t xml:space="preserve">Values </w:t>
            </w:r>
          </w:p>
        </w:tc>
        <w:tc>
          <w:tcPr>
            <w:tcW w:w="1984" w:type="dxa"/>
            <w:shd w:val="clear" w:color="auto" w:fill="1B556B"/>
          </w:tcPr>
          <w:p w14:paraId="011BEBCC" w14:textId="77777777" w:rsidR="001B6E40" w:rsidRPr="00261B7A" w:rsidRDefault="001B6E40" w:rsidP="003E20AD">
            <w:pPr>
              <w:pStyle w:val="TableTextBold"/>
              <w:spacing w:before="40" w:after="40"/>
              <w:rPr>
                <w:rFonts w:cs="Calibri"/>
                <w:noProof w:val="0"/>
                <w:color w:val="FFFFFF"/>
                <w:szCs w:val="16"/>
              </w:rPr>
            </w:pPr>
            <w:r w:rsidRPr="00261B7A">
              <w:rPr>
                <w:rFonts w:cs="Calibri"/>
                <w:noProof w:val="0"/>
                <w:color w:val="FFFFFF"/>
                <w:szCs w:val="16"/>
              </w:rPr>
              <w:t>Source</w:t>
            </w:r>
          </w:p>
        </w:tc>
        <w:tc>
          <w:tcPr>
            <w:tcW w:w="2835" w:type="dxa"/>
            <w:shd w:val="clear" w:color="auto" w:fill="1B556B"/>
          </w:tcPr>
          <w:p w14:paraId="2731A38A" w14:textId="77777777" w:rsidR="001B6E40" w:rsidRPr="00261B7A" w:rsidRDefault="001B6E40" w:rsidP="003E20AD">
            <w:pPr>
              <w:pStyle w:val="TableTextBold"/>
              <w:spacing w:before="40" w:after="40"/>
              <w:rPr>
                <w:rFonts w:cs="Calibri"/>
                <w:noProof w:val="0"/>
                <w:color w:val="FFFFFF"/>
                <w:szCs w:val="16"/>
              </w:rPr>
            </w:pPr>
            <w:r w:rsidRPr="00261B7A">
              <w:rPr>
                <w:rFonts w:cs="Calibri"/>
                <w:noProof w:val="0"/>
                <w:color w:val="FFFFFF"/>
                <w:szCs w:val="16"/>
              </w:rPr>
              <w:t>Reference</w:t>
            </w:r>
          </w:p>
        </w:tc>
      </w:tr>
      <w:tr w:rsidR="001B6E40" w:rsidRPr="00261B7A" w14:paraId="3BD597C1" w14:textId="77777777" w:rsidTr="001100FF">
        <w:tc>
          <w:tcPr>
            <w:tcW w:w="2694" w:type="dxa"/>
          </w:tcPr>
          <w:p w14:paraId="7461C5AD"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Bulk MSW DOC(kt C/kt waste)</w:t>
            </w:r>
          </w:p>
        </w:tc>
        <w:tc>
          <w:tcPr>
            <w:tcW w:w="992" w:type="dxa"/>
          </w:tcPr>
          <w:p w14:paraId="65E97BE0"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0.14</w:t>
            </w:r>
          </w:p>
        </w:tc>
        <w:tc>
          <w:tcPr>
            <w:tcW w:w="1984" w:type="dxa"/>
          </w:tcPr>
          <w:p w14:paraId="49422E4B"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IPCC default</w:t>
            </w:r>
          </w:p>
        </w:tc>
        <w:tc>
          <w:tcPr>
            <w:tcW w:w="2835" w:type="dxa"/>
          </w:tcPr>
          <w:p w14:paraId="0AF6DEFF"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IPCC, 2006d (worksheets for SWDS)</w:t>
            </w:r>
          </w:p>
        </w:tc>
      </w:tr>
      <w:tr w:rsidR="001B6E40" w:rsidRPr="00261B7A" w14:paraId="415C6B50" w14:textId="77777777" w:rsidTr="001100FF">
        <w:tc>
          <w:tcPr>
            <w:tcW w:w="2694" w:type="dxa"/>
          </w:tcPr>
          <w:p w14:paraId="0C2BAD05"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k-value</w:t>
            </w:r>
          </w:p>
        </w:tc>
        <w:tc>
          <w:tcPr>
            <w:tcW w:w="992" w:type="dxa"/>
          </w:tcPr>
          <w:p w14:paraId="02994D7F"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0.17</w:t>
            </w:r>
          </w:p>
        </w:tc>
        <w:tc>
          <w:tcPr>
            <w:tcW w:w="1984" w:type="dxa"/>
          </w:tcPr>
          <w:p w14:paraId="4E3EA8D9"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IPCC default</w:t>
            </w:r>
          </w:p>
        </w:tc>
        <w:tc>
          <w:tcPr>
            <w:tcW w:w="2835" w:type="dxa"/>
          </w:tcPr>
          <w:p w14:paraId="54E07103"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Table 3.2, IPCC, 2006d</w:t>
            </w:r>
          </w:p>
        </w:tc>
      </w:tr>
      <w:tr w:rsidR="001B6E40" w:rsidRPr="00261B7A" w14:paraId="5C56A0A2" w14:textId="77777777" w:rsidTr="001100FF">
        <w:tc>
          <w:tcPr>
            <w:tcW w:w="2694" w:type="dxa"/>
          </w:tcPr>
          <w:p w14:paraId="118DB322"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Methane correction factor</w:t>
            </w:r>
          </w:p>
        </w:tc>
        <w:tc>
          <w:tcPr>
            <w:tcW w:w="992" w:type="dxa"/>
          </w:tcPr>
          <w:p w14:paraId="041DD561"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0.6</w:t>
            </w:r>
          </w:p>
        </w:tc>
        <w:tc>
          <w:tcPr>
            <w:tcW w:w="1984" w:type="dxa"/>
          </w:tcPr>
          <w:p w14:paraId="078F9C4B"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IPCC default</w:t>
            </w:r>
          </w:p>
        </w:tc>
        <w:tc>
          <w:tcPr>
            <w:tcW w:w="2835" w:type="dxa"/>
          </w:tcPr>
          <w:p w14:paraId="2B6BA99C"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Table 3.1, IPCC, 2006d</w:t>
            </w:r>
          </w:p>
        </w:tc>
      </w:tr>
      <w:tr w:rsidR="001B6E40" w:rsidRPr="00261B7A" w14:paraId="662C392C" w14:textId="77777777" w:rsidTr="001100FF">
        <w:tc>
          <w:tcPr>
            <w:tcW w:w="2694" w:type="dxa"/>
          </w:tcPr>
          <w:p w14:paraId="025D5453"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Oxidation factor</w:t>
            </w:r>
          </w:p>
        </w:tc>
        <w:tc>
          <w:tcPr>
            <w:tcW w:w="992" w:type="dxa"/>
          </w:tcPr>
          <w:p w14:paraId="5178B617"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0 per cent</w:t>
            </w:r>
          </w:p>
        </w:tc>
        <w:tc>
          <w:tcPr>
            <w:tcW w:w="1984" w:type="dxa"/>
          </w:tcPr>
          <w:p w14:paraId="1EEE6434"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IPCC default</w:t>
            </w:r>
          </w:p>
        </w:tc>
        <w:tc>
          <w:tcPr>
            <w:tcW w:w="2835" w:type="dxa"/>
          </w:tcPr>
          <w:p w14:paraId="3A86F330"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Table 3.2, IPCC, 2006d</w:t>
            </w:r>
          </w:p>
        </w:tc>
      </w:tr>
      <w:tr w:rsidR="001B6E40" w:rsidRPr="00261B7A" w14:paraId="3640B714" w14:textId="77777777" w:rsidTr="001100FF">
        <w:tc>
          <w:tcPr>
            <w:tcW w:w="2694" w:type="dxa"/>
          </w:tcPr>
          <w:p w14:paraId="499A4ACA"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Starting year</w:t>
            </w:r>
          </w:p>
        </w:tc>
        <w:tc>
          <w:tcPr>
            <w:tcW w:w="992" w:type="dxa"/>
          </w:tcPr>
          <w:p w14:paraId="3F340040"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1950</w:t>
            </w:r>
          </w:p>
        </w:tc>
        <w:tc>
          <w:tcPr>
            <w:tcW w:w="1984" w:type="dxa"/>
          </w:tcPr>
          <w:p w14:paraId="48FA5B0F"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IPCC default</w:t>
            </w:r>
          </w:p>
        </w:tc>
        <w:tc>
          <w:tcPr>
            <w:tcW w:w="2835" w:type="dxa"/>
          </w:tcPr>
          <w:p w14:paraId="4784370D"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Section 3.6, p 3.24, IPCC, 2006d</w:t>
            </w:r>
          </w:p>
        </w:tc>
      </w:tr>
      <w:tr w:rsidR="001B6E40" w:rsidRPr="00261B7A" w14:paraId="14275FCB" w14:textId="77777777" w:rsidTr="001100FF">
        <w:tc>
          <w:tcPr>
            <w:tcW w:w="2694" w:type="dxa"/>
          </w:tcPr>
          <w:p w14:paraId="6BBC4D6F"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Delay time</w:t>
            </w:r>
          </w:p>
        </w:tc>
        <w:tc>
          <w:tcPr>
            <w:tcW w:w="992" w:type="dxa"/>
          </w:tcPr>
          <w:p w14:paraId="31F38CFE"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6 months</w:t>
            </w:r>
          </w:p>
        </w:tc>
        <w:tc>
          <w:tcPr>
            <w:tcW w:w="1984" w:type="dxa"/>
          </w:tcPr>
          <w:p w14:paraId="6774B4E0"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IPCC default</w:t>
            </w:r>
          </w:p>
        </w:tc>
        <w:tc>
          <w:tcPr>
            <w:tcW w:w="2835" w:type="dxa"/>
          </w:tcPr>
          <w:p w14:paraId="034BF5F5"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Section 3.2.3, p 3.19, IPCC, 2006d</w:t>
            </w:r>
          </w:p>
        </w:tc>
      </w:tr>
      <w:tr w:rsidR="001B6E40" w:rsidRPr="00261B7A" w14:paraId="179632B9" w14:textId="77777777" w:rsidTr="001100FF">
        <w:tc>
          <w:tcPr>
            <w:tcW w:w="2694" w:type="dxa"/>
          </w:tcPr>
          <w:p w14:paraId="4592B388"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Fraction of DOC that decomposes</w:t>
            </w:r>
          </w:p>
        </w:tc>
        <w:tc>
          <w:tcPr>
            <w:tcW w:w="992" w:type="dxa"/>
          </w:tcPr>
          <w:p w14:paraId="27FE4F82"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0.5</w:t>
            </w:r>
          </w:p>
        </w:tc>
        <w:tc>
          <w:tcPr>
            <w:tcW w:w="1984" w:type="dxa"/>
          </w:tcPr>
          <w:p w14:paraId="623D05AB"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IPCC default</w:t>
            </w:r>
          </w:p>
        </w:tc>
        <w:tc>
          <w:tcPr>
            <w:tcW w:w="2835" w:type="dxa"/>
          </w:tcPr>
          <w:p w14:paraId="5A0F49FC"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Section 3.2.3, p 3.13, IPCC, 2006d</w:t>
            </w:r>
          </w:p>
        </w:tc>
      </w:tr>
      <w:tr w:rsidR="001B6E40" w:rsidRPr="00261B7A" w14:paraId="0C3FE228" w14:textId="77777777" w:rsidTr="001100FF">
        <w:tc>
          <w:tcPr>
            <w:tcW w:w="2694" w:type="dxa"/>
          </w:tcPr>
          <w:p w14:paraId="7824A571"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Fraction of CH</w:t>
            </w:r>
            <w:r w:rsidRPr="00261B7A">
              <w:rPr>
                <w:rFonts w:eastAsia="Calibri" w:cs="Calibri"/>
                <w:szCs w:val="16"/>
                <w:vertAlign w:val="subscript"/>
              </w:rPr>
              <w:t>4</w:t>
            </w:r>
            <w:r w:rsidRPr="00261B7A">
              <w:rPr>
                <w:rFonts w:eastAsia="Calibri" w:cs="Calibri"/>
                <w:szCs w:val="16"/>
              </w:rPr>
              <w:t xml:space="preserve"> in gas</w:t>
            </w:r>
          </w:p>
        </w:tc>
        <w:tc>
          <w:tcPr>
            <w:tcW w:w="992" w:type="dxa"/>
          </w:tcPr>
          <w:p w14:paraId="30EBCFC5"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0.5</w:t>
            </w:r>
          </w:p>
        </w:tc>
        <w:tc>
          <w:tcPr>
            <w:tcW w:w="1984" w:type="dxa"/>
          </w:tcPr>
          <w:p w14:paraId="618E8BCF"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IPCC default</w:t>
            </w:r>
          </w:p>
        </w:tc>
        <w:tc>
          <w:tcPr>
            <w:tcW w:w="2835" w:type="dxa"/>
          </w:tcPr>
          <w:p w14:paraId="34967CD6"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Section 3.2.3, p 3.15, IPCC, 2006d</w:t>
            </w:r>
          </w:p>
        </w:tc>
      </w:tr>
      <w:tr w:rsidR="001B6E40" w:rsidRPr="00261B7A" w14:paraId="686CD6B4" w14:textId="77777777" w:rsidTr="001100FF">
        <w:tc>
          <w:tcPr>
            <w:tcW w:w="2694" w:type="dxa"/>
          </w:tcPr>
          <w:p w14:paraId="09D3C5CB"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Amount of waste per person per year</w:t>
            </w:r>
          </w:p>
        </w:tc>
        <w:tc>
          <w:tcPr>
            <w:tcW w:w="992" w:type="dxa"/>
          </w:tcPr>
          <w:p w14:paraId="1C57A523"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690 kg</w:t>
            </w:r>
          </w:p>
        </w:tc>
        <w:tc>
          <w:tcPr>
            <w:tcW w:w="1984" w:type="dxa"/>
          </w:tcPr>
          <w:p w14:paraId="6966DF84"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IPCC default for Oceania</w:t>
            </w:r>
          </w:p>
        </w:tc>
        <w:tc>
          <w:tcPr>
            <w:tcW w:w="2835" w:type="dxa"/>
          </w:tcPr>
          <w:p w14:paraId="2A99C6D0"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 xml:space="preserve">Annex 2A.1, IPCC, 2006d </w:t>
            </w:r>
          </w:p>
        </w:tc>
      </w:tr>
      <w:tr w:rsidR="001B6E40" w:rsidRPr="00261B7A" w14:paraId="52FCD632" w14:textId="77777777" w:rsidTr="001100FF">
        <w:tc>
          <w:tcPr>
            <w:tcW w:w="2694" w:type="dxa"/>
          </w:tcPr>
          <w:p w14:paraId="3275999F"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Amount of waste landfilled</w:t>
            </w:r>
          </w:p>
        </w:tc>
        <w:tc>
          <w:tcPr>
            <w:tcW w:w="992" w:type="dxa"/>
          </w:tcPr>
          <w:p w14:paraId="6493479E"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50 per cent</w:t>
            </w:r>
          </w:p>
        </w:tc>
        <w:tc>
          <w:tcPr>
            <w:tcW w:w="1984" w:type="dxa"/>
          </w:tcPr>
          <w:p w14:paraId="012F76F5" w14:textId="77777777" w:rsidR="001B6E40" w:rsidRPr="00261B7A" w:rsidRDefault="001B6E40" w:rsidP="003E20AD">
            <w:pPr>
              <w:pStyle w:val="TableText"/>
              <w:spacing w:before="40" w:after="40"/>
              <w:rPr>
                <w:rFonts w:eastAsia="Calibri" w:cs="Calibri"/>
                <w:szCs w:val="16"/>
              </w:rPr>
            </w:pPr>
            <w:r w:rsidRPr="00261B7A">
              <w:rPr>
                <w:rFonts w:eastAsia="Calibri" w:cs="Calibri"/>
                <w:szCs w:val="16"/>
              </w:rPr>
              <w:t>Assumption</w:t>
            </w:r>
          </w:p>
        </w:tc>
        <w:tc>
          <w:tcPr>
            <w:tcW w:w="2835" w:type="dxa"/>
          </w:tcPr>
          <w:p w14:paraId="14F34077" w14:textId="77777777" w:rsidR="001B6E40" w:rsidRPr="00261B7A" w:rsidRDefault="001B6E40" w:rsidP="003E20AD">
            <w:pPr>
              <w:pStyle w:val="TableText"/>
              <w:spacing w:before="40" w:after="40"/>
              <w:rPr>
                <w:rFonts w:eastAsia="Calibri" w:cs="Calibri"/>
                <w:szCs w:val="16"/>
              </w:rPr>
            </w:pPr>
          </w:p>
        </w:tc>
      </w:tr>
    </w:tbl>
    <w:p w14:paraId="48B20DA6" w14:textId="77777777" w:rsidR="001B6E40" w:rsidRPr="00261B7A" w:rsidRDefault="001B6E40" w:rsidP="001B6E40">
      <w:pPr>
        <w:pStyle w:val="Noteundertable"/>
      </w:pPr>
      <w:r w:rsidRPr="00261B7A">
        <w:rPr>
          <w:b/>
        </w:rPr>
        <w:t>Note:</w:t>
      </w:r>
      <w:r w:rsidRPr="00261B7A">
        <w:t xml:space="preserve"> </w:t>
      </w:r>
      <w:r w:rsidRPr="00261B7A">
        <w:tab/>
        <w:t xml:space="preserve">MSW = municipal waste disposal; </w:t>
      </w:r>
      <w:r w:rsidRPr="00261B7A">
        <w:rPr>
          <w:rFonts w:eastAsia="Calibri"/>
        </w:rPr>
        <w:t>DOC</w:t>
      </w:r>
      <w:r w:rsidRPr="00261B7A">
        <w:t xml:space="preserve"> = degradable organic carbon; SWDS = solid waste disposable sites.</w:t>
      </w:r>
    </w:p>
    <w:p w14:paraId="71C2746A" w14:textId="77777777" w:rsidR="001B6E40" w:rsidRPr="00261B7A" w:rsidRDefault="001B6E40" w:rsidP="001B6E40">
      <w:pPr>
        <w:pStyle w:val="Heading4"/>
      </w:pPr>
      <w:r w:rsidRPr="00261B7A">
        <w:t>Uncertainty</w:t>
      </w:r>
    </w:p>
    <w:p w14:paraId="4BF901EA" w14:textId="77777777" w:rsidR="001B6E40" w:rsidRPr="00261B7A" w:rsidRDefault="001B6E40" w:rsidP="001B6E40">
      <w:pPr>
        <w:pStyle w:val="BodyText"/>
      </w:pPr>
      <w:r w:rsidRPr="00261B7A">
        <w:t>The same uncertainty data for uncategorised landfills were used for Tokelau and New Zealand (see table 7.2.9, chapter 7; for methodological notes, refer to the uncertainties</w:t>
      </w:r>
      <w:r w:rsidRPr="00261B7A">
        <w:rPr>
          <w:i/>
        </w:rPr>
        <w:t xml:space="preserve"> </w:t>
      </w:r>
      <w:r w:rsidRPr="00261B7A">
        <w:t>for the</w:t>
      </w:r>
      <w:r w:rsidRPr="00261B7A">
        <w:rPr>
          <w:i/>
        </w:rPr>
        <w:t xml:space="preserve"> Solid waste</w:t>
      </w:r>
      <w:r w:rsidRPr="00261B7A">
        <w:t xml:space="preserve"> category, section 7.2.3, chapter 7, and table 8.5.2). </w:t>
      </w:r>
    </w:p>
    <w:p w14:paraId="2ACB4E24" w14:textId="77777777" w:rsidR="001B6E40" w:rsidRPr="00261B7A" w:rsidRDefault="001B6E40" w:rsidP="001B6E40">
      <w:pPr>
        <w:pStyle w:val="Table"/>
      </w:pPr>
      <w:bookmarkStart w:id="2742" w:name="_Toc5269603"/>
      <w:bookmarkStart w:id="2743" w:name="_Toc36224684"/>
      <w:bookmarkStart w:id="2744" w:name="_Toc68786570"/>
      <w:bookmarkStart w:id="2745" w:name="_Toc130211276"/>
      <w:bookmarkStart w:id="2746" w:name="_Toc131591477"/>
      <w:r w:rsidRPr="00261B7A">
        <w:t>Table 8.5.2</w:t>
      </w:r>
      <w:r w:rsidRPr="00261B7A">
        <w:tab/>
        <w:t xml:space="preserve">Uncertainty in emissions from the </w:t>
      </w:r>
      <w:r w:rsidRPr="00261B7A">
        <w:rPr>
          <w:i/>
        </w:rPr>
        <w:t>Solid waste disposal</w:t>
      </w:r>
      <w:r w:rsidRPr="00261B7A">
        <w:t xml:space="preserve"> category</w:t>
      </w:r>
      <w:bookmarkEnd w:id="2742"/>
      <w:bookmarkEnd w:id="2743"/>
      <w:bookmarkEnd w:id="2744"/>
      <w:bookmarkEnd w:id="2745"/>
      <w:bookmarkEnd w:id="2746"/>
    </w:p>
    <w:tbl>
      <w:tblPr>
        <w:tblW w:w="8505" w:type="dxa"/>
        <w:tblBorders>
          <w:top w:val="single" w:sz="4" w:space="0" w:color="1B556B"/>
          <w:bottom w:val="single" w:sz="4" w:space="0" w:color="1B556B"/>
          <w:insideH w:val="single" w:sz="4" w:space="0" w:color="1B556B"/>
        </w:tblBorders>
        <w:tblCellMar>
          <w:left w:w="0" w:type="dxa"/>
          <w:right w:w="0" w:type="dxa"/>
        </w:tblCellMar>
        <w:tblLook w:val="04A0" w:firstRow="1" w:lastRow="0" w:firstColumn="1" w:lastColumn="0" w:noHBand="0" w:noVBand="1"/>
      </w:tblPr>
      <w:tblGrid>
        <w:gridCol w:w="2835"/>
        <w:gridCol w:w="2694"/>
        <w:gridCol w:w="2976"/>
      </w:tblGrid>
      <w:tr w:rsidR="001B6E40" w:rsidRPr="00261B7A" w14:paraId="4698F0DB" w14:textId="77777777" w:rsidTr="001100FF">
        <w:trPr>
          <w:tblHeader/>
        </w:trPr>
        <w:tc>
          <w:tcPr>
            <w:tcW w:w="2835" w:type="dxa"/>
            <w:tcBorders>
              <w:right w:val="single" w:sz="4" w:space="0" w:color="1B556B"/>
            </w:tcBorders>
            <w:shd w:val="clear" w:color="auto" w:fill="1B556B"/>
            <w:tcMar>
              <w:top w:w="0" w:type="dxa"/>
              <w:left w:w="108" w:type="dxa"/>
              <w:bottom w:w="0" w:type="dxa"/>
              <w:right w:w="108" w:type="dxa"/>
            </w:tcMar>
            <w:vAlign w:val="bottom"/>
            <w:hideMark/>
          </w:tcPr>
          <w:p w14:paraId="548196A4" w14:textId="77777777" w:rsidR="001B6E40" w:rsidRPr="00261B7A" w:rsidRDefault="001B6E40" w:rsidP="003E20AD">
            <w:pPr>
              <w:pStyle w:val="TableTextBold"/>
              <w:keepNext/>
              <w:spacing w:before="40" w:after="40"/>
              <w:rPr>
                <w:noProof w:val="0"/>
                <w:color w:val="FFFFFF"/>
                <w:szCs w:val="16"/>
              </w:rPr>
            </w:pPr>
            <w:r w:rsidRPr="00261B7A">
              <w:rPr>
                <w:noProof w:val="0"/>
                <w:color w:val="FFFFFF"/>
                <w:szCs w:val="16"/>
              </w:rPr>
              <w:t>Emissions category</w:t>
            </w:r>
          </w:p>
        </w:tc>
        <w:tc>
          <w:tcPr>
            <w:tcW w:w="2694" w:type="dxa"/>
            <w:tcBorders>
              <w:left w:val="single" w:sz="4" w:space="0" w:color="1B556B"/>
              <w:right w:val="single" w:sz="4" w:space="0" w:color="1B556B"/>
            </w:tcBorders>
            <w:shd w:val="clear" w:color="auto" w:fill="1B556B"/>
            <w:tcMar>
              <w:top w:w="0" w:type="dxa"/>
              <w:left w:w="108" w:type="dxa"/>
              <w:bottom w:w="0" w:type="dxa"/>
              <w:right w:w="108" w:type="dxa"/>
            </w:tcMar>
            <w:vAlign w:val="bottom"/>
            <w:hideMark/>
          </w:tcPr>
          <w:p w14:paraId="0A7CEA12" w14:textId="77777777" w:rsidR="001B6E40" w:rsidRPr="00261B7A" w:rsidRDefault="001B6E40" w:rsidP="003E20AD">
            <w:pPr>
              <w:pStyle w:val="TableTextBold"/>
              <w:keepNext/>
              <w:spacing w:before="40" w:after="40"/>
              <w:jc w:val="center"/>
              <w:rPr>
                <w:noProof w:val="0"/>
                <w:color w:val="FFFFFF"/>
                <w:szCs w:val="16"/>
              </w:rPr>
            </w:pPr>
            <w:r w:rsidRPr="00261B7A">
              <w:rPr>
                <w:noProof w:val="0"/>
                <w:color w:val="FFFFFF"/>
                <w:szCs w:val="16"/>
              </w:rPr>
              <w:t>Uncertainty in activity data (%)</w:t>
            </w:r>
          </w:p>
        </w:tc>
        <w:tc>
          <w:tcPr>
            <w:tcW w:w="2976" w:type="dxa"/>
            <w:tcBorders>
              <w:left w:val="single" w:sz="4" w:space="0" w:color="1B556B"/>
            </w:tcBorders>
            <w:shd w:val="clear" w:color="auto" w:fill="1B556B"/>
            <w:tcMar>
              <w:top w:w="0" w:type="dxa"/>
              <w:left w:w="108" w:type="dxa"/>
              <w:bottom w:w="0" w:type="dxa"/>
              <w:right w:w="108" w:type="dxa"/>
            </w:tcMar>
            <w:vAlign w:val="bottom"/>
            <w:hideMark/>
          </w:tcPr>
          <w:p w14:paraId="752C7BDE" w14:textId="77777777" w:rsidR="001B6E40" w:rsidRPr="00261B7A" w:rsidRDefault="001B6E40" w:rsidP="003E20AD">
            <w:pPr>
              <w:pStyle w:val="TableTextBold"/>
              <w:keepNext/>
              <w:spacing w:before="40" w:after="40"/>
              <w:jc w:val="center"/>
              <w:rPr>
                <w:noProof w:val="0"/>
                <w:color w:val="FFFFFF"/>
                <w:szCs w:val="16"/>
              </w:rPr>
            </w:pPr>
            <w:r w:rsidRPr="00261B7A">
              <w:rPr>
                <w:noProof w:val="0"/>
                <w:color w:val="FFFFFF"/>
                <w:szCs w:val="16"/>
              </w:rPr>
              <w:t>Uncertainty in emission factors (%)</w:t>
            </w:r>
          </w:p>
        </w:tc>
      </w:tr>
      <w:tr w:rsidR="001B6E40" w:rsidRPr="00261B7A" w14:paraId="1FC082DC" w14:textId="77777777" w:rsidTr="001100FF">
        <w:tc>
          <w:tcPr>
            <w:tcW w:w="2835" w:type="dxa"/>
            <w:tcBorders>
              <w:right w:val="single" w:sz="4" w:space="0" w:color="1B556B"/>
            </w:tcBorders>
            <w:shd w:val="clear" w:color="auto" w:fill="FFFFFF"/>
            <w:tcMar>
              <w:top w:w="0" w:type="dxa"/>
              <w:left w:w="108" w:type="dxa"/>
              <w:bottom w:w="0" w:type="dxa"/>
              <w:right w:w="108" w:type="dxa"/>
            </w:tcMar>
            <w:hideMark/>
          </w:tcPr>
          <w:p w14:paraId="745CC91D" w14:textId="77777777" w:rsidR="001B6E40" w:rsidRPr="00261B7A" w:rsidRDefault="001B6E40" w:rsidP="003E20AD">
            <w:pPr>
              <w:pStyle w:val="TableText"/>
              <w:spacing w:before="40" w:after="40"/>
              <w:rPr>
                <w:szCs w:val="16"/>
              </w:rPr>
            </w:pPr>
            <w:r w:rsidRPr="00261B7A">
              <w:rPr>
                <w:szCs w:val="16"/>
              </w:rPr>
              <w:t>Uncategorised landfills</w:t>
            </w:r>
          </w:p>
        </w:tc>
        <w:tc>
          <w:tcPr>
            <w:tcW w:w="2694" w:type="dxa"/>
            <w:tcBorders>
              <w:left w:val="single" w:sz="4" w:space="0" w:color="1B556B"/>
              <w:right w:val="single" w:sz="4" w:space="0" w:color="1B556B"/>
            </w:tcBorders>
            <w:shd w:val="clear" w:color="auto" w:fill="FFFFFF"/>
            <w:tcMar>
              <w:top w:w="0" w:type="dxa"/>
              <w:left w:w="108" w:type="dxa"/>
              <w:bottom w:w="0" w:type="dxa"/>
              <w:right w:w="108" w:type="dxa"/>
            </w:tcMar>
            <w:hideMark/>
          </w:tcPr>
          <w:p w14:paraId="269C4949" w14:textId="77777777" w:rsidR="001B6E40" w:rsidRPr="00261B7A" w:rsidRDefault="001B6E40" w:rsidP="003E20AD">
            <w:pPr>
              <w:pStyle w:val="TableText"/>
              <w:spacing w:before="40" w:after="40"/>
              <w:jc w:val="center"/>
              <w:rPr>
                <w:szCs w:val="16"/>
              </w:rPr>
            </w:pPr>
            <w:r w:rsidRPr="00261B7A">
              <w:rPr>
                <w:szCs w:val="16"/>
              </w:rPr>
              <w:t>±140</w:t>
            </w:r>
          </w:p>
        </w:tc>
        <w:tc>
          <w:tcPr>
            <w:tcW w:w="2976" w:type="dxa"/>
            <w:tcBorders>
              <w:left w:val="single" w:sz="4" w:space="0" w:color="1B556B"/>
            </w:tcBorders>
            <w:shd w:val="clear" w:color="auto" w:fill="FFFFFF"/>
            <w:tcMar>
              <w:top w:w="0" w:type="dxa"/>
              <w:left w:w="108" w:type="dxa"/>
              <w:bottom w:w="0" w:type="dxa"/>
              <w:right w:w="108" w:type="dxa"/>
            </w:tcMar>
            <w:hideMark/>
          </w:tcPr>
          <w:p w14:paraId="54B430C9" w14:textId="77777777" w:rsidR="001B6E40" w:rsidRPr="00261B7A" w:rsidRDefault="001B6E40" w:rsidP="003E20AD">
            <w:pPr>
              <w:pStyle w:val="TableText"/>
              <w:spacing w:before="40" w:after="40"/>
              <w:jc w:val="center"/>
              <w:rPr>
                <w:szCs w:val="16"/>
              </w:rPr>
            </w:pPr>
            <w:r w:rsidRPr="00261B7A">
              <w:rPr>
                <w:szCs w:val="16"/>
              </w:rPr>
              <w:t>±40</w:t>
            </w:r>
          </w:p>
        </w:tc>
      </w:tr>
    </w:tbl>
    <w:p w14:paraId="376904B8" w14:textId="77777777" w:rsidR="001B6E40" w:rsidRPr="00261B7A" w:rsidRDefault="001B6E40" w:rsidP="001B6E40">
      <w:pPr>
        <w:pStyle w:val="Heading3"/>
        <w:spacing w:before="480"/>
      </w:pPr>
      <w:r w:rsidRPr="00261B7A">
        <w:t xml:space="preserve">8.5.2 </w:t>
      </w:r>
      <w:r w:rsidRPr="00261B7A">
        <w:tab/>
        <w:t>Emissions from Incineration and open burning in Tokelau</w:t>
      </w:r>
    </w:p>
    <w:p w14:paraId="52E6D5AB" w14:textId="77777777" w:rsidR="001B6E40" w:rsidRPr="00261B7A" w:rsidRDefault="001B6E40" w:rsidP="001B6E40">
      <w:pPr>
        <w:pStyle w:val="BodyText"/>
      </w:pPr>
      <w:r w:rsidRPr="00261B7A">
        <w:t xml:space="preserve">Because Tokelau has no major incineration facilities, all emissions associated with waste burning are reported under the </w:t>
      </w:r>
      <w:r w:rsidRPr="00261B7A">
        <w:rPr>
          <w:i/>
        </w:rPr>
        <w:t>Open burning</w:t>
      </w:r>
      <w:r w:rsidRPr="00261B7A">
        <w:t xml:space="preserve"> category. Carbon dioxide, CH</w:t>
      </w:r>
      <w:r w:rsidRPr="00261B7A">
        <w:rPr>
          <w:vertAlign w:val="subscript"/>
        </w:rPr>
        <w:t>4</w:t>
      </w:r>
      <w:r w:rsidRPr="00261B7A">
        <w:t xml:space="preserve"> and N</w:t>
      </w:r>
      <w:r w:rsidRPr="00261B7A">
        <w:rPr>
          <w:vertAlign w:val="subscript"/>
        </w:rPr>
        <w:t>2</w:t>
      </w:r>
      <w:r w:rsidRPr="00261B7A">
        <w:t>O are reported in this category.</w:t>
      </w:r>
    </w:p>
    <w:p w14:paraId="7C9FDE41" w14:textId="77777777" w:rsidR="001B6E40" w:rsidRPr="00261B7A" w:rsidRDefault="001B6E40" w:rsidP="001B6E40">
      <w:pPr>
        <w:pStyle w:val="BodyText"/>
      </w:pPr>
      <w:r w:rsidRPr="00261B7A">
        <w:t>The composition of solid waste for CO</w:t>
      </w:r>
      <w:r w:rsidRPr="00261B7A">
        <w:rPr>
          <w:vertAlign w:val="subscript"/>
        </w:rPr>
        <w:t>2</w:t>
      </w:r>
      <w:r w:rsidRPr="00261B7A">
        <w:t xml:space="preserve"> from open burning is the same as for landfills, except that the 24 per cent ‘inert’ is considered to be ‘other inert’ for open burning purposes (and not disaggregated into glass, metal, plastic and so on). Keeping the 24 per cent in ‘other inert’ is likely to result in an overestimate.</w:t>
      </w:r>
    </w:p>
    <w:p w14:paraId="1C1E5B5A" w14:textId="77777777" w:rsidR="001B6E40" w:rsidRPr="00261B7A" w:rsidRDefault="001B6E40" w:rsidP="001B6E40">
      <w:pPr>
        <w:pStyle w:val="BodyText"/>
      </w:pPr>
      <w:r w:rsidRPr="00261B7A">
        <w:t>The emission factors for open burning of solid waste for CH</w:t>
      </w:r>
      <w:r w:rsidRPr="00261B7A">
        <w:rPr>
          <w:vertAlign w:val="subscript"/>
        </w:rPr>
        <w:t>4</w:t>
      </w:r>
      <w:r w:rsidRPr="00261B7A">
        <w:t xml:space="preserve"> and N</w:t>
      </w:r>
      <w:r w:rsidRPr="00261B7A">
        <w:rPr>
          <w:vertAlign w:val="subscript"/>
        </w:rPr>
        <w:t>2</w:t>
      </w:r>
      <w:r w:rsidRPr="00261B7A">
        <w:t>O are the IPCC defaults for municipal solid waste and are based on a generic waste composition. It is not clear if this will over- or under-estimate emissions.</w:t>
      </w:r>
    </w:p>
    <w:p w14:paraId="53A3495C" w14:textId="77777777" w:rsidR="001B6E40" w:rsidRPr="00261B7A" w:rsidRDefault="001B6E40" w:rsidP="001B6E40">
      <w:pPr>
        <w:pStyle w:val="BodyText"/>
      </w:pPr>
      <w:r w:rsidRPr="00261B7A">
        <w:t xml:space="preserve">The category </w:t>
      </w:r>
      <w:r w:rsidRPr="00261B7A">
        <w:rPr>
          <w:i/>
        </w:rPr>
        <w:t>Incineration and open burning</w:t>
      </w:r>
      <w:r w:rsidRPr="00261B7A">
        <w:t xml:space="preserve"> contributed 17.6 per cent to the total Waste sector emissions in Tokelau in 2021, which amounted to 0.12 kt CO</w:t>
      </w:r>
      <w:r w:rsidRPr="00261B7A">
        <w:rPr>
          <w:vertAlign w:val="subscript"/>
        </w:rPr>
        <w:t>2</w:t>
      </w:r>
      <w:r w:rsidRPr="00261B7A">
        <w:t>-e.</w:t>
      </w:r>
    </w:p>
    <w:p w14:paraId="3A423B12" w14:textId="77777777" w:rsidR="001B6E40" w:rsidRPr="00261B7A" w:rsidRDefault="001B6E40" w:rsidP="001B6E40">
      <w:pPr>
        <w:pStyle w:val="Heading4"/>
      </w:pPr>
      <w:r w:rsidRPr="00261B7A">
        <w:t>Methodological issues</w:t>
      </w:r>
    </w:p>
    <w:p w14:paraId="19E0E38E" w14:textId="77777777" w:rsidR="001B6E40" w:rsidRPr="00261B7A" w:rsidRDefault="001B6E40" w:rsidP="001B6E40">
      <w:pPr>
        <w:pStyle w:val="Heading5"/>
        <w:spacing w:before="160"/>
      </w:pPr>
      <w:r w:rsidRPr="00261B7A">
        <w:t>Activity data</w:t>
      </w:r>
    </w:p>
    <w:p w14:paraId="63867309" w14:textId="77777777" w:rsidR="001B6E40" w:rsidRPr="00261B7A" w:rsidRDefault="001B6E40" w:rsidP="001B6E40">
      <w:pPr>
        <w:pStyle w:val="BodyText"/>
      </w:pPr>
      <w:r w:rsidRPr="00261B7A">
        <w:t>The calculations are based on Tokelau’s population data and assume that 50 per cent of the waste is landfilled and the other 50 per cent is burned. This information is reported as ‘non</w:t>
      </w:r>
      <w:r w:rsidRPr="00261B7A">
        <w:noBreakHyphen/>
        <w:t>biogenic’ open burning, because only fossil carbon is reported, and the emission factors for CH</w:t>
      </w:r>
      <w:r w:rsidRPr="00261B7A">
        <w:rPr>
          <w:vertAlign w:val="subscript"/>
        </w:rPr>
        <w:t>4</w:t>
      </w:r>
      <w:r w:rsidRPr="00261B7A">
        <w:t xml:space="preserve"> and N</w:t>
      </w:r>
      <w:r w:rsidRPr="00261B7A">
        <w:rPr>
          <w:vertAlign w:val="subscript"/>
        </w:rPr>
        <w:t>2</w:t>
      </w:r>
      <w:r w:rsidRPr="00261B7A">
        <w:t>O are for municipal solid waste, which does not distinguish biogenic and non</w:t>
      </w:r>
      <w:r w:rsidRPr="00261B7A">
        <w:noBreakHyphen/>
        <w:t xml:space="preserve">biogenic wastes. </w:t>
      </w:r>
    </w:p>
    <w:p w14:paraId="37F7FFCE" w14:textId="77777777" w:rsidR="001B6E40" w:rsidRPr="00261B7A" w:rsidRDefault="001B6E40" w:rsidP="001B6E40">
      <w:pPr>
        <w:pStyle w:val="Heading5"/>
      </w:pPr>
      <w:r w:rsidRPr="00261B7A">
        <w:t>Methods and emission factors</w:t>
      </w:r>
    </w:p>
    <w:p w14:paraId="401D4C04" w14:textId="77777777" w:rsidR="001B6E40" w:rsidRPr="00261B7A" w:rsidRDefault="001B6E40" w:rsidP="001B6E40">
      <w:pPr>
        <w:pStyle w:val="BodyText"/>
      </w:pPr>
      <w:r w:rsidRPr="00261B7A">
        <w:t>A Tier 1 methodology with default 2006 IPCC parameters was used for calculating emissions from this category.</w:t>
      </w:r>
    </w:p>
    <w:p w14:paraId="3EFA088D" w14:textId="77777777" w:rsidR="001B6E40" w:rsidRPr="00261B7A" w:rsidRDefault="001B6E40" w:rsidP="001B6E40">
      <w:pPr>
        <w:pStyle w:val="BodyText"/>
      </w:pPr>
      <w:r w:rsidRPr="00261B7A">
        <w:t>The emission factor for CO</w:t>
      </w:r>
      <w:r w:rsidRPr="00261B7A">
        <w:rPr>
          <w:vertAlign w:val="subscript"/>
        </w:rPr>
        <w:t>2</w:t>
      </w:r>
      <w:r w:rsidRPr="00261B7A">
        <w:t xml:space="preserve"> was the weighted average of calculated factors from table 8.5.3 and a 58 per cent oxidation factor for open burning. For other gases, the following 2006 IPCC </w:t>
      </w:r>
      <w:r w:rsidRPr="001F2096">
        <w:rPr>
          <w:spacing w:val="-2"/>
        </w:rPr>
        <w:t>default emission factors were used: for CH</w:t>
      </w:r>
      <w:r w:rsidRPr="001F2096">
        <w:rPr>
          <w:spacing w:val="-2"/>
          <w:vertAlign w:val="subscript"/>
        </w:rPr>
        <w:t>4</w:t>
      </w:r>
      <w:r w:rsidRPr="001F2096">
        <w:rPr>
          <w:spacing w:val="-2"/>
        </w:rPr>
        <w:t>, the default emission factor for municipal solid waste</w:t>
      </w:r>
      <w:r w:rsidRPr="00261B7A">
        <w:t xml:space="preserve"> in section 5.4.2 (6,500 kg CH</w:t>
      </w:r>
      <w:r w:rsidRPr="00261B7A">
        <w:rPr>
          <w:vertAlign w:val="subscript"/>
        </w:rPr>
        <w:t>4</w:t>
      </w:r>
      <w:r w:rsidRPr="00261B7A">
        <w:t>/gigagrams (Gg) wet waste); for N</w:t>
      </w:r>
      <w:r w:rsidRPr="00261B7A">
        <w:rPr>
          <w:vertAlign w:val="subscript"/>
        </w:rPr>
        <w:t>2</w:t>
      </w:r>
      <w:r w:rsidRPr="00261B7A">
        <w:t>O, the default emission factor for open burning of municipal solid waste from table 5.6 (150 kg N</w:t>
      </w:r>
      <w:r w:rsidRPr="00261B7A">
        <w:rPr>
          <w:vertAlign w:val="subscript"/>
        </w:rPr>
        <w:t>2</w:t>
      </w:r>
      <w:r w:rsidRPr="00261B7A">
        <w:t>O/Gg dry waste) (IPCC, 2006d). Converted waste volume to dry weight by using dry matter conversion was calculated for CO</w:t>
      </w:r>
      <w:r w:rsidRPr="00261B7A">
        <w:rPr>
          <w:vertAlign w:val="subscript"/>
        </w:rPr>
        <w:t>2</w:t>
      </w:r>
      <w:r w:rsidRPr="00261B7A">
        <w:t xml:space="preserve"> (56.1 per cent). Table 8.5.3 shows waste type and the composition data based on default 2006 IPCC parameters used in estimating emissions from </w:t>
      </w:r>
      <w:r w:rsidRPr="00261B7A">
        <w:rPr>
          <w:i/>
          <w:iCs/>
        </w:rPr>
        <w:t>Open burning of waste</w:t>
      </w:r>
      <w:r w:rsidRPr="00261B7A">
        <w:t>.</w:t>
      </w:r>
    </w:p>
    <w:p w14:paraId="1926CD8F" w14:textId="65EF867B" w:rsidR="001B6E40" w:rsidRPr="00261B7A" w:rsidRDefault="001B6E40" w:rsidP="001B6E40">
      <w:pPr>
        <w:pStyle w:val="Table"/>
        <w:rPr>
          <w:rFonts w:eastAsia="Calibri" w:cs="Arial"/>
          <w:szCs w:val="16"/>
        </w:rPr>
      </w:pPr>
      <w:bookmarkStart w:id="2747" w:name="_Toc5269604"/>
      <w:bookmarkStart w:id="2748" w:name="_Toc36224685"/>
      <w:bookmarkStart w:id="2749" w:name="_Toc68786571"/>
      <w:bookmarkStart w:id="2750" w:name="_Toc130211277"/>
      <w:bookmarkStart w:id="2751" w:name="_Toc131591478"/>
      <w:r w:rsidRPr="00261B7A">
        <w:rPr>
          <w:rFonts w:eastAsia="Calibri" w:cs="Arial"/>
          <w:szCs w:val="16"/>
        </w:rPr>
        <w:t>Table 8.5.3</w:t>
      </w:r>
      <w:r w:rsidRPr="00261B7A">
        <w:rPr>
          <w:rFonts w:eastAsia="Calibri" w:cs="Arial"/>
          <w:szCs w:val="16"/>
        </w:rPr>
        <w:tab/>
        <w:t xml:space="preserve">Composition data and carbon content used for estimating emissions from </w:t>
      </w:r>
      <w:r w:rsidRPr="00261B7A">
        <w:rPr>
          <w:rFonts w:eastAsia="Calibri" w:cs="Arial"/>
          <w:i/>
          <w:szCs w:val="16"/>
        </w:rPr>
        <w:t>Open</w:t>
      </w:r>
      <w:r w:rsidR="00336C54" w:rsidRPr="00261B7A">
        <w:rPr>
          <w:rFonts w:eastAsia="Calibri" w:cs="Arial"/>
          <w:i/>
          <w:szCs w:val="16"/>
        </w:rPr>
        <w:t> </w:t>
      </w:r>
      <w:r w:rsidRPr="00261B7A">
        <w:rPr>
          <w:rFonts w:eastAsia="Calibri" w:cs="Arial"/>
          <w:i/>
          <w:szCs w:val="16"/>
        </w:rPr>
        <w:t>burning of waste</w:t>
      </w:r>
      <w:bookmarkEnd w:id="2747"/>
      <w:bookmarkEnd w:id="2748"/>
      <w:bookmarkEnd w:id="2749"/>
      <w:bookmarkEnd w:id="2750"/>
      <w:bookmarkEnd w:id="2751"/>
    </w:p>
    <w:tbl>
      <w:tblPr>
        <w:tblW w:w="8505"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2019"/>
        <w:gridCol w:w="1587"/>
        <w:gridCol w:w="1497"/>
        <w:gridCol w:w="1134"/>
        <w:gridCol w:w="1276"/>
        <w:gridCol w:w="992"/>
      </w:tblGrid>
      <w:tr w:rsidR="001B6E40" w:rsidRPr="00261B7A" w14:paraId="543BCFE3" w14:textId="77777777" w:rsidTr="001100FF">
        <w:trPr>
          <w:tblHeader/>
        </w:trPr>
        <w:tc>
          <w:tcPr>
            <w:tcW w:w="2019" w:type="dxa"/>
            <w:shd w:val="clear" w:color="auto" w:fill="1B556B"/>
            <w:vAlign w:val="bottom"/>
          </w:tcPr>
          <w:p w14:paraId="00A8B39B" w14:textId="77777777" w:rsidR="001B6E40" w:rsidRPr="00261B7A" w:rsidRDefault="001B6E40" w:rsidP="003E20AD">
            <w:pPr>
              <w:pStyle w:val="TableTextBold"/>
              <w:spacing w:before="40" w:after="40"/>
              <w:rPr>
                <w:rFonts w:eastAsia="Calibri" w:cs="Calibri"/>
                <w:bCs/>
                <w:noProof w:val="0"/>
                <w:color w:val="FFFFFF"/>
                <w:szCs w:val="16"/>
              </w:rPr>
            </w:pPr>
            <w:r w:rsidRPr="00261B7A">
              <w:rPr>
                <w:rFonts w:eastAsia="Calibri" w:cs="Calibri"/>
                <w:bCs/>
                <w:noProof w:val="0"/>
                <w:color w:val="FFFFFF"/>
                <w:szCs w:val="16"/>
              </w:rPr>
              <w:t>Waste type</w:t>
            </w:r>
          </w:p>
        </w:tc>
        <w:tc>
          <w:tcPr>
            <w:tcW w:w="1587" w:type="dxa"/>
            <w:shd w:val="clear" w:color="auto" w:fill="1B556B"/>
            <w:vAlign w:val="bottom"/>
          </w:tcPr>
          <w:p w14:paraId="62FEEDD0" w14:textId="77777777" w:rsidR="001B6E40" w:rsidRPr="00261B7A" w:rsidRDefault="001B6E40" w:rsidP="003E20AD">
            <w:pPr>
              <w:pStyle w:val="TableTextBold"/>
              <w:spacing w:before="40" w:after="40"/>
              <w:jc w:val="center"/>
              <w:rPr>
                <w:rFonts w:eastAsia="Calibri" w:cs="Calibri"/>
                <w:bCs/>
                <w:noProof w:val="0"/>
                <w:color w:val="FFFFFF"/>
                <w:szCs w:val="16"/>
              </w:rPr>
            </w:pPr>
            <w:r w:rsidRPr="00261B7A">
              <w:rPr>
                <w:rFonts w:eastAsia="Calibri" w:cs="Calibri"/>
                <w:bCs/>
                <w:noProof w:val="0"/>
                <w:color w:val="FFFFFF"/>
                <w:szCs w:val="16"/>
              </w:rPr>
              <w:t>Landfill composition (%)</w:t>
            </w:r>
          </w:p>
        </w:tc>
        <w:tc>
          <w:tcPr>
            <w:tcW w:w="1497" w:type="dxa"/>
            <w:shd w:val="clear" w:color="auto" w:fill="1B556B"/>
            <w:vAlign w:val="bottom"/>
          </w:tcPr>
          <w:p w14:paraId="68F640B8" w14:textId="77777777" w:rsidR="001B6E40" w:rsidRPr="00261B7A" w:rsidRDefault="001B6E40" w:rsidP="003E20AD">
            <w:pPr>
              <w:pStyle w:val="TableTextBold"/>
              <w:spacing w:before="40" w:after="40"/>
              <w:jc w:val="center"/>
              <w:rPr>
                <w:rFonts w:eastAsia="Calibri" w:cs="Calibri"/>
                <w:bCs/>
                <w:noProof w:val="0"/>
                <w:color w:val="FFFFFF"/>
                <w:szCs w:val="16"/>
              </w:rPr>
            </w:pPr>
            <w:r w:rsidRPr="00261B7A">
              <w:rPr>
                <w:rFonts w:eastAsia="Calibri" w:cs="Calibri"/>
                <w:bCs/>
                <w:noProof w:val="0"/>
                <w:color w:val="FFFFFF"/>
                <w:szCs w:val="16"/>
              </w:rPr>
              <w:t>CO</w:t>
            </w:r>
            <w:r w:rsidRPr="00261B7A">
              <w:rPr>
                <w:rFonts w:eastAsia="Calibri" w:cs="Calibri"/>
                <w:bCs/>
                <w:noProof w:val="0"/>
                <w:color w:val="FFFFFF"/>
                <w:szCs w:val="16"/>
                <w:vertAlign w:val="subscript"/>
              </w:rPr>
              <w:t>2</w:t>
            </w:r>
            <w:r w:rsidRPr="00261B7A">
              <w:rPr>
                <w:rFonts w:eastAsia="Calibri" w:cs="Calibri"/>
                <w:bCs/>
                <w:noProof w:val="0"/>
                <w:color w:val="FFFFFF"/>
                <w:szCs w:val="16"/>
              </w:rPr>
              <w:t xml:space="preserve"> incineration composition (%)</w:t>
            </w:r>
          </w:p>
        </w:tc>
        <w:tc>
          <w:tcPr>
            <w:tcW w:w="1134" w:type="dxa"/>
            <w:shd w:val="clear" w:color="auto" w:fill="1B556B"/>
            <w:vAlign w:val="bottom"/>
          </w:tcPr>
          <w:p w14:paraId="4A1DB753" w14:textId="77777777" w:rsidR="001B6E40" w:rsidRPr="00261B7A" w:rsidRDefault="001B6E40" w:rsidP="003E20AD">
            <w:pPr>
              <w:pStyle w:val="TableTextBold"/>
              <w:spacing w:before="40" w:after="40"/>
              <w:jc w:val="center"/>
              <w:rPr>
                <w:rFonts w:eastAsia="Calibri" w:cs="Calibri"/>
                <w:bCs/>
                <w:noProof w:val="0"/>
                <w:color w:val="FFFFFF"/>
                <w:szCs w:val="16"/>
              </w:rPr>
            </w:pPr>
            <w:r w:rsidRPr="00261B7A">
              <w:rPr>
                <w:rFonts w:eastAsia="Calibri" w:cs="Calibri"/>
                <w:bCs/>
                <w:noProof w:val="0"/>
                <w:color w:val="FFFFFF"/>
                <w:szCs w:val="16"/>
              </w:rPr>
              <w:t>Dry matter (%)</w:t>
            </w:r>
          </w:p>
        </w:tc>
        <w:tc>
          <w:tcPr>
            <w:tcW w:w="1276" w:type="dxa"/>
            <w:shd w:val="clear" w:color="auto" w:fill="1B556B"/>
            <w:vAlign w:val="bottom"/>
          </w:tcPr>
          <w:p w14:paraId="710EB4E1" w14:textId="77777777" w:rsidR="001B6E40" w:rsidRPr="00261B7A" w:rsidRDefault="001B6E40" w:rsidP="003E20AD">
            <w:pPr>
              <w:pStyle w:val="TableTextBold"/>
              <w:spacing w:before="40" w:after="40"/>
              <w:jc w:val="center"/>
              <w:rPr>
                <w:rFonts w:eastAsia="Calibri" w:cs="Calibri"/>
                <w:bCs/>
                <w:noProof w:val="0"/>
                <w:color w:val="FFFFFF"/>
                <w:szCs w:val="16"/>
              </w:rPr>
            </w:pPr>
            <w:r w:rsidRPr="00261B7A">
              <w:rPr>
                <w:rFonts w:eastAsia="Calibri" w:cs="Calibri"/>
                <w:bCs/>
                <w:noProof w:val="0"/>
                <w:color w:val="FFFFFF"/>
                <w:szCs w:val="16"/>
              </w:rPr>
              <w:t>Total carbon (%)</w:t>
            </w:r>
          </w:p>
        </w:tc>
        <w:tc>
          <w:tcPr>
            <w:tcW w:w="992" w:type="dxa"/>
            <w:shd w:val="clear" w:color="auto" w:fill="1B556B"/>
            <w:vAlign w:val="bottom"/>
          </w:tcPr>
          <w:p w14:paraId="5C3E11C0" w14:textId="77777777" w:rsidR="001B6E40" w:rsidRPr="00261B7A" w:rsidRDefault="001B6E40" w:rsidP="003E20AD">
            <w:pPr>
              <w:pStyle w:val="TableTextBold"/>
              <w:spacing w:before="40" w:after="40"/>
              <w:jc w:val="center"/>
              <w:rPr>
                <w:rFonts w:eastAsia="Calibri" w:cs="Calibri"/>
                <w:bCs/>
                <w:noProof w:val="0"/>
                <w:color w:val="FFFFFF"/>
                <w:szCs w:val="16"/>
              </w:rPr>
            </w:pPr>
            <w:r w:rsidRPr="00261B7A">
              <w:rPr>
                <w:rFonts w:eastAsia="Calibri" w:cs="Calibri"/>
                <w:bCs/>
                <w:noProof w:val="0"/>
                <w:color w:val="FFFFFF"/>
                <w:szCs w:val="16"/>
              </w:rPr>
              <w:t>Fossil carbon (%)</w:t>
            </w:r>
          </w:p>
        </w:tc>
      </w:tr>
      <w:tr w:rsidR="001B6E40" w:rsidRPr="00261B7A" w14:paraId="41EB99A9" w14:textId="77777777" w:rsidTr="001100FF">
        <w:tc>
          <w:tcPr>
            <w:tcW w:w="2019" w:type="dxa"/>
            <w:shd w:val="clear" w:color="auto" w:fill="FFFFFF"/>
          </w:tcPr>
          <w:p w14:paraId="15A308D7" w14:textId="77777777" w:rsidR="001B6E40" w:rsidRPr="00261B7A" w:rsidRDefault="001B6E40" w:rsidP="003E20AD">
            <w:pPr>
              <w:pStyle w:val="TableText"/>
              <w:spacing w:before="40" w:after="40"/>
              <w:rPr>
                <w:rFonts w:eastAsia="Calibri" w:cs="Calibri"/>
                <w:bCs/>
                <w:szCs w:val="16"/>
              </w:rPr>
            </w:pPr>
            <w:r w:rsidRPr="00261B7A">
              <w:rPr>
                <w:rFonts w:eastAsia="Calibri" w:cs="Calibri"/>
                <w:bCs/>
                <w:szCs w:val="16"/>
              </w:rPr>
              <w:t>Paper/card</w:t>
            </w:r>
          </w:p>
        </w:tc>
        <w:tc>
          <w:tcPr>
            <w:tcW w:w="3084" w:type="dxa"/>
            <w:gridSpan w:val="2"/>
            <w:shd w:val="clear" w:color="auto" w:fill="auto"/>
          </w:tcPr>
          <w:p w14:paraId="2A96DDA0"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6.0</w:t>
            </w:r>
          </w:p>
        </w:tc>
        <w:tc>
          <w:tcPr>
            <w:tcW w:w="1134" w:type="dxa"/>
            <w:shd w:val="clear" w:color="auto" w:fill="auto"/>
          </w:tcPr>
          <w:p w14:paraId="78C0FB78"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90</w:t>
            </w:r>
          </w:p>
        </w:tc>
        <w:tc>
          <w:tcPr>
            <w:tcW w:w="1276" w:type="dxa"/>
            <w:shd w:val="clear" w:color="auto" w:fill="auto"/>
          </w:tcPr>
          <w:p w14:paraId="1E7C1B37"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43</w:t>
            </w:r>
          </w:p>
        </w:tc>
        <w:tc>
          <w:tcPr>
            <w:tcW w:w="992" w:type="dxa"/>
            <w:shd w:val="clear" w:color="auto" w:fill="auto"/>
          </w:tcPr>
          <w:p w14:paraId="1A2CC0C2"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1</w:t>
            </w:r>
          </w:p>
        </w:tc>
      </w:tr>
      <w:tr w:rsidR="001B6E40" w:rsidRPr="00261B7A" w14:paraId="61052F96" w14:textId="77777777" w:rsidTr="001100FF">
        <w:tc>
          <w:tcPr>
            <w:tcW w:w="2019" w:type="dxa"/>
            <w:shd w:val="clear" w:color="auto" w:fill="FFFFFF"/>
          </w:tcPr>
          <w:p w14:paraId="0672B14E" w14:textId="77777777" w:rsidR="001B6E40" w:rsidRPr="00261B7A" w:rsidRDefault="001B6E40" w:rsidP="003E20AD">
            <w:pPr>
              <w:pStyle w:val="TableText"/>
              <w:spacing w:before="40" w:after="40"/>
              <w:rPr>
                <w:rFonts w:eastAsia="Calibri" w:cs="Calibri"/>
                <w:bCs/>
                <w:szCs w:val="16"/>
              </w:rPr>
            </w:pPr>
            <w:r w:rsidRPr="00261B7A">
              <w:rPr>
                <w:rFonts w:eastAsia="Calibri" w:cs="Calibri"/>
                <w:bCs/>
                <w:szCs w:val="16"/>
              </w:rPr>
              <w:t>Textiles</w:t>
            </w:r>
          </w:p>
        </w:tc>
        <w:tc>
          <w:tcPr>
            <w:tcW w:w="3084" w:type="dxa"/>
            <w:gridSpan w:val="2"/>
            <w:shd w:val="clear" w:color="auto" w:fill="auto"/>
          </w:tcPr>
          <w:p w14:paraId="7908A6B1"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0</w:t>
            </w:r>
          </w:p>
        </w:tc>
        <w:tc>
          <w:tcPr>
            <w:tcW w:w="1134" w:type="dxa"/>
            <w:shd w:val="clear" w:color="auto" w:fill="auto"/>
          </w:tcPr>
          <w:p w14:paraId="5BEFDEB1"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80</w:t>
            </w:r>
          </w:p>
        </w:tc>
        <w:tc>
          <w:tcPr>
            <w:tcW w:w="1276" w:type="dxa"/>
            <w:shd w:val="clear" w:color="auto" w:fill="auto"/>
          </w:tcPr>
          <w:p w14:paraId="1C3F1906"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50</w:t>
            </w:r>
          </w:p>
        </w:tc>
        <w:tc>
          <w:tcPr>
            <w:tcW w:w="992" w:type="dxa"/>
            <w:shd w:val="clear" w:color="auto" w:fill="auto"/>
          </w:tcPr>
          <w:p w14:paraId="3BAFC429"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20</w:t>
            </w:r>
          </w:p>
        </w:tc>
      </w:tr>
      <w:tr w:rsidR="001B6E40" w:rsidRPr="00261B7A" w14:paraId="58D2361E" w14:textId="77777777" w:rsidTr="001100FF">
        <w:tc>
          <w:tcPr>
            <w:tcW w:w="2019" w:type="dxa"/>
            <w:shd w:val="clear" w:color="auto" w:fill="FFFFFF"/>
          </w:tcPr>
          <w:p w14:paraId="1EFF6D67" w14:textId="77777777" w:rsidR="001B6E40" w:rsidRPr="00261B7A" w:rsidRDefault="001B6E40" w:rsidP="003E20AD">
            <w:pPr>
              <w:pStyle w:val="TableText"/>
              <w:spacing w:before="40" w:after="40"/>
              <w:rPr>
                <w:rFonts w:eastAsia="Calibri" w:cs="Calibri"/>
                <w:bCs/>
                <w:szCs w:val="16"/>
              </w:rPr>
            </w:pPr>
            <w:r w:rsidRPr="00261B7A">
              <w:rPr>
                <w:rFonts w:eastAsia="Calibri" w:cs="Calibri"/>
                <w:bCs/>
                <w:szCs w:val="16"/>
              </w:rPr>
              <w:t>Food waste</w:t>
            </w:r>
          </w:p>
        </w:tc>
        <w:tc>
          <w:tcPr>
            <w:tcW w:w="3084" w:type="dxa"/>
            <w:gridSpan w:val="2"/>
            <w:shd w:val="clear" w:color="auto" w:fill="auto"/>
          </w:tcPr>
          <w:p w14:paraId="4814CF13"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67.5</w:t>
            </w:r>
          </w:p>
        </w:tc>
        <w:tc>
          <w:tcPr>
            <w:tcW w:w="1134" w:type="dxa"/>
            <w:shd w:val="clear" w:color="auto" w:fill="auto"/>
          </w:tcPr>
          <w:p w14:paraId="6158F0C1"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40</w:t>
            </w:r>
          </w:p>
        </w:tc>
        <w:tc>
          <w:tcPr>
            <w:tcW w:w="1276" w:type="dxa"/>
            <w:shd w:val="clear" w:color="auto" w:fill="auto"/>
          </w:tcPr>
          <w:p w14:paraId="2C1908B0"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38</w:t>
            </w:r>
          </w:p>
        </w:tc>
        <w:tc>
          <w:tcPr>
            <w:tcW w:w="992" w:type="dxa"/>
            <w:shd w:val="clear" w:color="auto" w:fill="auto"/>
          </w:tcPr>
          <w:p w14:paraId="576F02FB"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0</w:t>
            </w:r>
          </w:p>
        </w:tc>
      </w:tr>
      <w:tr w:rsidR="001B6E40" w:rsidRPr="00261B7A" w14:paraId="11CFBC56" w14:textId="77777777" w:rsidTr="001100FF">
        <w:tc>
          <w:tcPr>
            <w:tcW w:w="2019" w:type="dxa"/>
            <w:shd w:val="clear" w:color="auto" w:fill="FFFFFF"/>
          </w:tcPr>
          <w:p w14:paraId="1372FC0F" w14:textId="77777777" w:rsidR="001B6E40" w:rsidRPr="00261B7A" w:rsidRDefault="001B6E40" w:rsidP="003E20AD">
            <w:pPr>
              <w:pStyle w:val="TableText"/>
              <w:spacing w:before="40" w:after="40"/>
              <w:rPr>
                <w:rFonts w:eastAsia="Calibri" w:cs="Calibri"/>
                <w:bCs/>
                <w:szCs w:val="16"/>
              </w:rPr>
            </w:pPr>
            <w:r w:rsidRPr="00261B7A">
              <w:rPr>
                <w:rFonts w:eastAsia="Calibri" w:cs="Calibri"/>
                <w:bCs/>
                <w:szCs w:val="16"/>
              </w:rPr>
              <w:t>Wood</w:t>
            </w:r>
          </w:p>
        </w:tc>
        <w:tc>
          <w:tcPr>
            <w:tcW w:w="3084" w:type="dxa"/>
            <w:gridSpan w:val="2"/>
            <w:shd w:val="clear" w:color="auto" w:fill="auto"/>
          </w:tcPr>
          <w:p w14:paraId="3D3C9926"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2.5</w:t>
            </w:r>
          </w:p>
        </w:tc>
        <w:tc>
          <w:tcPr>
            <w:tcW w:w="1134" w:type="dxa"/>
            <w:shd w:val="clear" w:color="auto" w:fill="auto"/>
          </w:tcPr>
          <w:p w14:paraId="58CC2E81"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85</w:t>
            </w:r>
          </w:p>
        </w:tc>
        <w:tc>
          <w:tcPr>
            <w:tcW w:w="1276" w:type="dxa"/>
            <w:shd w:val="clear" w:color="auto" w:fill="auto"/>
          </w:tcPr>
          <w:p w14:paraId="2C20F3B1"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50</w:t>
            </w:r>
          </w:p>
        </w:tc>
        <w:tc>
          <w:tcPr>
            <w:tcW w:w="992" w:type="dxa"/>
            <w:shd w:val="clear" w:color="auto" w:fill="auto"/>
          </w:tcPr>
          <w:p w14:paraId="07318533"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0</w:t>
            </w:r>
          </w:p>
        </w:tc>
      </w:tr>
      <w:tr w:rsidR="001B6E40" w:rsidRPr="00261B7A" w14:paraId="46DA0131" w14:textId="77777777" w:rsidTr="001100FF">
        <w:tc>
          <w:tcPr>
            <w:tcW w:w="2019" w:type="dxa"/>
            <w:shd w:val="clear" w:color="auto" w:fill="FFFFFF"/>
          </w:tcPr>
          <w:p w14:paraId="6978FBAB" w14:textId="77777777" w:rsidR="001B6E40" w:rsidRPr="00261B7A" w:rsidRDefault="001B6E40" w:rsidP="003E20AD">
            <w:pPr>
              <w:pStyle w:val="TableText"/>
              <w:spacing w:before="40" w:after="40"/>
              <w:rPr>
                <w:rFonts w:eastAsia="Calibri" w:cs="Calibri"/>
                <w:bCs/>
                <w:szCs w:val="16"/>
              </w:rPr>
            </w:pPr>
            <w:r w:rsidRPr="00261B7A">
              <w:rPr>
                <w:rFonts w:eastAsia="Calibri" w:cs="Calibri"/>
                <w:bCs/>
                <w:szCs w:val="16"/>
              </w:rPr>
              <w:t>Garden and park waste</w:t>
            </w:r>
          </w:p>
        </w:tc>
        <w:tc>
          <w:tcPr>
            <w:tcW w:w="3084" w:type="dxa"/>
            <w:gridSpan w:val="2"/>
            <w:shd w:val="clear" w:color="auto" w:fill="auto"/>
          </w:tcPr>
          <w:p w14:paraId="615BB373"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0</w:t>
            </w:r>
          </w:p>
        </w:tc>
        <w:tc>
          <w:tcPr>
            <w:tcW w:w="1134" w:type="dxa"/>
            <w:shd w:val="clear" w:color="auto" w:fill="auto"/>
          </w:tcPr>
          <w:p w14:paraId="160024F0"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40</w:t>
            </w:r>
          </w:p>
        </w:tc>
        <w:tc>
          <w:tcPr>
            <w:tcW w:w="1276" w:type="dxa"/>
            <w:shd w:val="clear" w:color="auto" w:fill="auto"/>
          </w:tcPr>
          <w:p w14:paraId="1E95BCB8"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49</w:t>
            </w:r>
          </w:p>
        </w:tc>
        <w:tc>
          <w:tcPr>
            <w:tcW w:w="992" w:type="dxa"/>
            <w:shd w:val="clear" w:color="auto" w:fill="auto"/>
          </w:tcPr>
          <w:p w14:paraId="717594CA"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0</w:t>
            </w:r>
          </w:p>
        </w:tc>
      </w:tr>
      <w:tr w:rsidR="001B6E40" w:rsidRPr="00261B7A" w14:paraId="31280981" w14:textId="77777777" w:rsidTr="001100FF">
        <w:tc>
          <w:tcPr>
            <w:tcW w:w="2019" w:type="dxa"/>
            <w:shd w:val="clear" w:color="auto" w:fill="FFFFFF"/>
          </w:tcPr>
          <w:p w14:paraId="346C9FB9" w14:textId="77777777" w:rsidR="001B6E40" w:rsidRPr="00261B7A" w:rsidRDefault="001B6E40" w:rsidP="003E20AD">
            <w:pPr>
              <w:pStyle w:val="TableText"/>
              <w:spacing w:before="40" w:after="40"/>
              <w:rPr>
                <w:rFonts w:eastAsia="Calibri" w:cs="Calibri"/>
                <w:bCs/>
                <w:szCs w:val="16"/>
              </w:rPr>
            </w:pPr>
            <w:r w:rsidRPr="00261B7A">
              <w:rPr>
                <w:rFonts w:eastAsia="Calibri" w:cs="Calibri"/>
                <w:bCs/>
                <w:szCs w:val="16"/>
              </w:rPr>
              <w:t>Nappies</w:t>
            </w:r>
          </w:p>
        </w:tc>
        <w:tc>
          <w:tcPr>
            <w:tcW w:w="3084" w:type="dxa"/>
            <w:gridSpan w:val="2"/>
            <w:shd w:val="clear" w:color="auto" w:fill="auto"/>
          </w:tcPr>
          <w:p w14:paraId="46385DC3"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0</w:t>
            </w:r>
          </w:p>
        </w:tc>
        <w:tc>
          <w:tcPr>
            <w:tcW w:w="1134" w:type="dxa"/>
            <w:shd w:val="clear" w:color="auto" w:fill="auto"/>
          </w:tcPr>
          <w:p w14:paraId="7B71EEB5"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40</w:t>
            </w:r>
          </w:p>
        </w:tc>
        <w:tc>
          <w:tcPr>
            <w:tcW w:w="1276" w:type="dxa"/>
            <w:shd w:val="clear" w:color="auto" w:fill="auto"/>
          </w:tcPr>
          <w:p w14:paraId="5CDF9308"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70</w:t>
            </w:r>
          </w:p>
        </w:tc>
        <w:tc>
          <w:tcPr>
            <w:tcW w:w="992" w:type="dxa"/>
            <w:shd w:val="clear" w:color="auto" w:fill="auto"/>
          </w:tcPr>
          <w:p w14:paraId="08188EB9"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10</w:t>
            </w:r>
          </w:p>
        </w:tc>
      </w:tr>
      <w:tr w:rsidR="001B6E40" w:rsidRPr="00261B7A" w14:paraId="6354CC15" w14:textId="77777777" w:rsidTr="001100FF">
        <w:tc>
          <w:tcPr>
            <w:tcW w:w="2019" w:type="dxa"/>
            <w:shd w:val="clear" w:color="auto" w:fill="FFFFFF"/>
          </w:tcPr>
          <w:p w14:paraId="6801597A" w14:textId="77777777" w:rsidR="001B6E40" w:rsidRPr="00261B7A" w:rsidRDefault="001B6E40" w:rsidP="003E20AD">
            <w:pPr>
              <w:pStyle w:val="TableText"/>
              <w:spacing w:before="40" w:after="40"/>
              <w:rPr>
                <w:rFonts w:eastAsia="Calibri" w:cs="Calibri"/>
                <w:bCs/>
                <w:szCs w:val="16"/>
              </w:rPr>
            </w:pPr>
            <w:r w:rsidRPr="00261B7A">
              <w:rPr>
                <w:rFonts w:eastAsia="Calibri" w:cs="Calibri"/>
                <w:bCs/>
                <w:szCs w:val="16"/>
              </w:rPr>
              <w:t>Rubber and leather</w:t>
            </w:r>
          </w:p>
        </w:tc>
        <w:tc>
          <w:tcPr>
            <w:tcW w:w="1587" w:type="dxa"/>
            <w:vMerge w:val="restart"/>
            <w:shd w:val="clear" w:color="auto" w:fill="auto"/>
            <w:vAlign w:val="center"/>
          </w:tcPr>
          <w:p w14:paraId="16D27F54"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24.0</w:t>
            </w:r>
          </w:p>
          <w:p w14:paraId="246B8379"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(‘inert’)</w:t>
            </w:r>
          </w:p>
        </w:tc>
        <w:tc>
          <w:tcPr>
            <w:tcW w:w="1497" w:type="dxa"/>
            <w:shd w:val="clear" w:color="auto" w:fill="auto"/>
          </w:tcPr>
          <w:p w14:paraId="4B9F7726"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0</w:t>
            </w:r>
          </w:p>
        </w:tc>
        <w:tc>
          <w:tcPr>
            <w:tcW w:w="1134" w:type="dxa"/>
            <w:shd w:val="clear" w:color="auto" w:fill="auto"/>
          </w:tcPr>
          <w:p w14:paraId="3FAABD81"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84</w:t>
            </w:r>
          </w:p>
        </w:tc>
        <w:tc>
          <w:tcPr>
            <w:tcW w:w="1276" w:type="dxa"/>
            <w:shd w:val="clear" w:color="auto" w:fill="auto"/>
          </w:tcPr>
          <w:p w14:paraId="1434C965"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67</w:t>
            </w:r>
          </w:p>
        </w:tc>
        <w:tc>
          <w:tcPr>
            <w:tcW w:w="992" w:type="dxa"/>
            <w:shd w:val="clear" w:color="auto" w:fill="auto"/>
          </w:tcPr>
          <w:p w14:paraId="481EDEC3"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20</w:t>
            </w:r>
          </w:p>
        </w:tc>
      </w:tr>
      <w:tr w:rsidR="001B6E40" w:rsidRPr="00261B7A" w14:paraId="4ABCF8C3" w14:textId="77777777" w:rsidTr="001100FF">
        <w:tc>
          <w:tcPr>
            <w:tcW w:w="2019" w:type="dxa"/>
            <w:shd w:val="clear" w:color="auto" w:fill="FFFFFF"/>
          </w:tcPr>
          <w:p w14:paraId="47263B63" w14:textId="77777777" w:rsidR="001B6E40" w:rsidRPr="00261B7A" w:rsidRDefault="001B6E40" w:rsidP="003E20AD">
            <w:pPr>
              <w:pStyle w:val="TableText"/>
              <w:spacing w:before="40" w:after="40"/>
              <w:rPr>
                <w:rFonts w:eastAsia="Calibri" w:cs="Calibri"/>
                <w:bCs/>
                <w:szCs w:val="16"/>
              </w:rPr>
            </w:pPr>
            <w:r w:rsidRPr="00261B7A">
              <w:rPr>
                <w:rFonts w:eastAsia="Calibri" w:cs="Calibri"/>
                <w:bCs/>
                <w:szCs w:val="16"/>
              </w:rPr>
              <w:t>Plastics</w:t>
            </w:r>
          </w:p>
        </w:tc>
        <w:tc>
          <w:tcPr>
            <w:tcW w:w="1587" w:type="dxa"/>
            <w:vMerge/>
            <w:shd w:val="clear" w:color="auto" w:fill="auto"/>
          </w:tcPr>
          <w:p w14:paraId="20C1252D" w14:textId="77777777" w:rsidR="001B6E40" w:rsidRPr="00261B7A" w:rsidRDefault="001B6E40" w:rsidP="003E20AD">
            <w:pPr>
              <w:spacing w:before="40" w:after="40"/>
              <w:rPr>
                <w:rFonts w:eastAsia="Calibri" w:cs="Calibri"/>
                <w:sz w:val="16"/>
                <w:szCs w:val="16"/>
              </w:rPr>
            </w:pPr>
          </w:p>
        </w:tc>
        <w:tc>
          <w:tcPr>
            <w:tcW w:w="1497" w:type="dxa"/>
            <w:shd w:val="clear" w:color="auto" w:fill="auto"/>
          </w:tcPr>
          <w:p w14:paraId="2CBBEB84"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0</w:t>
            </w:r>
          </w:p>
        </w:tc>
        <w:tc>
          <w:tcPr>
            <w:tcW w:w="1134" w:type="dxa"/>
            <w:shd w:val="clear" w:color="auto" w:fill="auto"/>
          </w:tcPr>
          <w:p w14:paraId="4046FB53"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100</w:t>
            </w:r>
          </w:p>
        </w:tc>
        <w:tc>
          <w:tcPr>
            <w:tcW w:w="1276" w:type="dxa"/>
            <w:shd w:val="clear" w:color="auto" w:fill="auto"/>
          </w:tcPr>
          <w:p w14:paraId="7E2466DB"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75</w:t>
            </w:r>
          </w:p>
        </w:tc>
        <w:tc>
          <w:tcPr>
            <w:tcW w:w="992" w:type="dxa"/>
            <w:shd w:val="clear" w:color="auto" w:fill="auto"/>
          </w:tcPr>
          <w:p w14:paraId="558AD93E"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100</w:t>
            </w:r>
          </w:p>
        </w:tc>
      </w:tr>
      <w:tr w:rsidR="001B6E40" w:rsidRPr="00261B7A" w14:paraId="0766EDA7" w14:textId="77777777" w:rsidTr="001100FF">
        <w:tc>
          <w:tcPr>
            <w:tcW w:w="2019" w:type="dxa"/>
            <w:shd w:val="clear" w:color="auto" w:fill="FFFFFF"/>
          </w:tcPr>
          <w:p w14:paraId="4EA0377E" w14:textId="77777777" w:rsidR="001B6E40" w:rsidRPr="00261B7A" w:rsidRDefault="001B6E40" w:rsidP="003E20AD">
            <w:pPr>
              <w:pStyle w:val="TableText"/>
              <w:spacing w:before="40" w:after="40"/>
              <w:rPr>
                <w:rFonts w:eastAsia="Calibri" w:cs="Calibri"/>
                <w:bCs/>
                <w:szCs w:val="16"/>
              </w:rPr>
            </w:pPr>
            <w:r w:rsidRPr="00261B7A">
              <w:rPr>
                <w:rFonts w:eastAsia="Calibri" w:cs="Calibri"/>
                <w:bCs/>
                <w:szCs w:val="16"/>
              </w:rPr>
              <w:t>Metal</w:t>
            </w:r>
          </w:p>
        </w:tc>
        <w:tc>
          <w:tcPr>
            <w:tcW w:w="1587" w:type="dxa"/>
            <w:vMerge/>
            <w:shd w:val="clear" w:color="auto" w:fill="auto"/>
          </w:tcPr>
          <w:p w14:paraId="737DB0C4" w14:textId="77777777" w:rsidR="001B6E40" w:rsidRPr="00261B7A" w:rsidRDefault="001B6E40" w:rsidP="003E20AD">
            <w:pPr>
              <w:spacing w:before="40" w:after="40"/>
              <w:rPr>
                <w:rFonts w:eastAsia="Calibri" w:cs="Calibri"/>
                <w:sz w:val="16"/>
                <w:szCs w:val="16"/>
              </w:rPr>
            </w:pPr>
          </w:p>
        </w:tc>
        <w:tc>
          <w:tcPr>
            <w:tcW w:w="1497" w:type="dxa"/>
            <w:shd w:val="clear" w:color="auto" w:fill="auto"/>
          </w:tcPr>
          <w:p w14:paraId="37F340CC"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0</w:t>
            </w:r>
          </w:p>
        </w:tc>
        <w:tc>
          <w:tcPr>
            <w:tcW w:w="1134" w:type="dxa"/>
            <w:shd w:val="clear" w:color="auto" w:fill="auto"/>
          </w:tcPr>
          <w:p w14:paraId="0A0993AD"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100</w:t>
            </w:r>
          </w:p>
        </w:tc>
        <w:tc>
          <w:tcPr>
            <w:tcW w:w="1276" w:type="dxa"/>
            <w:shd w:val="clear" w:color="auto" w:fill="auto"/>
          </w:tcPr>
          <w:p w14:paraId="2C7304DA"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NA</w:t>
            </w:r>
          </w:p>
        </w:tc>
        <w:tc>
          <w:tcPr>
            <w:tcW w:w="992" w:type="dxa"/>
            <w:shd w:val="clear" w:color="auto" w:fill="auto"/>
          </w:tcPr>
          <w:p w14:paraId="538DF117"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NA</w:t>
            </w:r>
          </w:p>
        </w:tc>
      </w:tr>
      <w:tr w:rsidR="001B6E40" w:rsidRPr="00261B7A" w14:paraId="591DD483" w14:textId="77777777" w:rsidTr="001100FF">
        <w:tc>
          <w:tcPr>
            <w:tcW w:w="2019" w:type="dxa"/>
            <w:shd w:val="clear" w:color="auto" w:fill="FFFFFF"/>
          </w:tcPr>
          <w:p w14:paraId="12B7E188" w14:textId="77777777" w:rsidR="001B6E40" w:rsidRPr="00261B7A" w:rsidRDefault="001B6E40" w:rsidP="003E20AD">
            <w:pPr>
              <w:pStyle w:val="TableText"/>
              <w:spacing w:before="40" w:after="40"/>
              <w:rPr>
                <w:rFonts w:eastAsia="Calibri" w:cs="Calibri"/>
                <w:bCs/>
                <w:szCs w:val="16"/>
              </w:rPr>
            </w:pPr>
            <w:r w:rsidRPr="00261B7A">
              <w:rPr>
                <w:rFonts w:eastAsia="Calibri" w:cs="Calibri"/>
                <w:bCs/>
                <w:szCs w:val="16"/>
              </w:rPr>
              <w:t>Glass</w:t>
            </w:r>
          </w:p>
        </w:tc>
        <w:tc>
          <w:tcPr>
            <w:tcW w:w="1587" w:type="dxa"/>
            <w:vMerge/>
            <w:shd w:val="clear" w:color="auto" w:fill="auto"/>
          </w:tcPr>
          <w:p w14:paraId="3353EB49" w14:textId="77777777" w:rsidR="001B6E40" w:rsidRPr="00261B7A" w:rsidRDefault="001B6E40" w:rsidP="003E20AD">
            <w:pPr>
              <w:spacing w:before="40" w:after="40"/>
              <w:rPr>
                <w:rFonts w:eastAsia="Calibri" w:cs="Calibri"/>
                <w:sz w:val="16"/>
                <w:szCs w:val="16"/>
              </w:rPr>
            </w:pPr>
          </w:p>
        </w:tc>
        <w:tc>
          <w:tcPr>
            <w:tcW w:w="1497" w:type="dxa"/>
            <w:shd w:val="clear" w:color="auto" w:fill="auto"/>
          </w:tcPr>
          <w:p w14:paraId="357610EF"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0</w:t>
            </w:r>
          </w:p>
        </w:tc>
        <w:tc>
          <w:tcPr>
            <w:tcW w:w="1134" w:type="dxa"/>
            <w:shd w:val="clear" w:color="auto" w:fill="auto"/>
          </w:tcPr>
          <w:p w14:paraId="0D746A42"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100</w:t>
            </w:r>
          </w:p>
        </w:tc>
        <w:tc>
          <w:tcPr>
            <w:tcW w:w="1276" w:type="dxa"/>
            <w:shd w:val="clear" w:color="auto" w:fill="auto"/>
          </w:tcPr>
          <w:p w14:paraId="461D19C1"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NA</w:t>
            </w:r>
          </w:p>
        </w:tc>
        <w:tc>
          <w:tcPr>
            <w:tcW w:w="992" w:type="dxa"/>
            <w:shd w:val="clear" w:color="auto" w:fill="auto"/>
          </w:tcPr>
          <w:p w14:paraId="6571C84B"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NA</w:t>
            </w:r>
          </w:p>
        </w:tc>
      </w:tr>
      <w:tr w:rsidR="001B6E40" w:rsidRPr="00261B7A" w14:paraId="4A7474A0" w14:textId="77777777" w:rsidTr="001100FF">
        <w:tc>
          <w:tcPr>
            <w:tcW w:w="2019" w:type="dxa"/>
            <w:shd w:val="clear" w:color="auto" w:fill="FFFFFF"/>
          </w:tcPr>
          <w:p w14:paraId="686E9BAD" w14:textId="77777777" w:rsidR="001B6E40" w:rsidRPr="00261B7A" w:rsidRDefault="001B6E40" w:rsidP="003E20AD">
            <w:pPr>
              <w:pStyle w:val="TableText"/>
              <w:spacing w:before="40" w:after="40"/>
              <w:rPr>
                <w:rFonts w:eastAsia="Calibri" w:cs="Calibri"/>
                <w:bCs/>
                <w:szCs w:val="16"/>
              </w:rPr>
            </w:pPr>
            <w:r w:rsidRPr="00261B7A">
              <w:rPr>
                <w:rFonts w:eastAsia="Calibri" w:cs="Calibri"/>
                <w:bCs/>
                <w:szCs w:val="16"/>
              </w:rPr>
              <w:t>Other, inert</w:t>
            </w:r>
          </w:p>
        </w:tc>
        <w:tc>
          <w:tcPr>
            <w:tcW w:w="1587" w:type="dxa"/>
            <w:vMerge/>
            <w:shd w:val="clear" w:color="auto" w:fill="auto"/>
          </w:tcPr>
          <w:p w14:paraId="76571FE0" w14:textId="77777777" w:rsidR="001B6E40" w:rsidRPr="00261B7A" w:rsidRDefault="001B6E40" w:rsidP="003E20AD">
            <w:pPr>
              <w:spacing w:before="40" w:after="40"/>
              <w:rPr>
                <w:rFonts w:eastAsia="Calibri" w:cs="Calibri"/>
                <w:sz w:val="16"/>
                <w:szCs w:val="16"/>
              </w:rPr>
            </w:pPr>
          </w:p>
        </w:tc>
        <w:tc>
          <w:tcPr>
            <w:tcW w:w="1497" w:type="dxa"/>
            <w:shd w:val="clear" w:color="auto" w:fill="auto"/>
          </w:tcPr>
          <w:p w14:paraId="076EC106"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24.0</w:t>
            </w:r>
          </w:p>
        </w:tc>
        <w:tc>
          <w:tcPr>
            <w:tcW w:w="1134" w:type="dxa"/>
            <w:shd w:val="clear" w:color="auto" w:fill="auto"/>
          </w:tcPr>
          <w:p w14:paraId="3EEFC557"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90</w:t>
            </w:r>
          </w:p>
        </w:tc>
        <w:tc>
          <w:tcPr>
            <w:tcW w:w="1276" w:type="dxa"/>
            <w:shd w:val="clear" w:color="auto" w:fill="auto"/>
          </w:tcPr>
          <w:p w14:paraId="0F72835C"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3</w:t>
            </w:r>
          </w:p>
        </w:tc>
        <w:tc>
          <w:tcPr>
            <w:tcW w:w="992" w:type="dxa"/>
            <w:shd w:val="clear" w:color="auto" w:fill="auto"/>
          </w:tcPr>
          <w:p w14:paraId="3726115A" w14:textId="77777777" w:rsidR="001B6E40" w:rsidRPr="00261B7A" w:rsidRDefault="001B6E40" w:rsidP="003E20AD">
            <w:pPr>
              <w:pStyle w:val="TableText"/>
              <w:spacing w:before="40" w:after="40"/>
              <w:jc w:val="center"/>
              <w:rPr>
                <w:rFonts w:eastAsia="Calibri" w:cs="Calibri"/>
                <w:szCs w:val="16"/>
              </w:rPr>
            </w:pPr>
            <w:r w:rsidRPr="00261B7A">
              <w:rPr>
                <w:rFonts w:eastAsia="Calibri" w:cs="Calibri"/>
                <w:szCs w:val="16"/>
              </w:rPr>
              <w:t>100</w:t>
            </w:r>
          </w:p>
        </w:tc>
      </w:tr>
      <w:tr w:rsidR="001B6E40" w:rsidRPr="00261B7A" w14:paraId="20FF283D" w14:textId="77777777" w:rsidTr="001100FF">
        <w:tc>
          <w:tcPr>
            <w:tcW w:w="5103" w:type="dxa"/>
            <w:gridSpan w:val="3"/>
            <w:shd w:val="clear" w:color="auto" w:fill="FFFFFF"/>
          </w:tcPr>
          <w:p w14:paraId="70AAEA2D" w14:textId="77777777" w:rsidR="001B6E40" w:rsidRPr="00261B7A" w:rsidRDefault="001B6E40" w:rsidP="003E20AD">
            <w:pPr>
              <w:pStyle w:val="Tableboldblue"/>
              <w:spacing w:before="40" w:after="40"/>
              <w:jc w:val="right"/>
              <w:rPr>
                <w:rFonts w:eastAsia="Calibri"/>
                <w:color w:val="1B556B"/>
              </w:rPr>
            </w:pPr>
            <w:r w:rsidRPr="00261B7A">
              <w:rPr>
                <w:rFonts w:eastAsia="Calibri"/>
                <w:color w:val="1B556B"/>
              </w:rPr>
              <w:t>Calculated weighted average</w:t>
            </w:r>
          </w:p>
        </w:tc>
        <w:tc>
          <w:tcPr>
            <w:tcW w:w="1134" w:type="dxa"/>
            <w:shd w:val="clear" w:color="auto" w:fill="FFFFFF"/>
          </w:tcPr>
          <w:p w14:paraId="67E6A832" w14:textId="77777777" w:rsidR="001B6E40" w:rsidRPr="00261B7A" w:rsidRDefault="001B6E40" w:rsidP="003E20AD">
            <w:pPr>
              <w:pStyle w:val="Tableboldblue"/>
              <w:spacing w:before="40" w:after="40"/>
              <w:jc w:val="center"/>
              <w:rPr>
                <w:rFonts w:eastAsia="Calibri"/>
                <w:color w:val="1B556B"/>
              </w:rPr>
            </w:pPr>
            <w:r w:rsidRPr="00261B7A">
              <w:rPr>
                <w:rFonts w:eastAsia="Calibri"/>
                <w:color w:val="1B556B"/>
              </w:rPr>
              <w:t>56.13</w:t>
            </w:r>
          </w:p>
        </w:tc>
        <w:tc>
          <w:tcPr>
            <w:tcW w:w="1276" w:type="dxa"/>
            <w:shd w:val="clear" w:color="auto" w:fill="FFFFFF"/>
          </w:tcPr>
          <w:p w14:paraId="16CF7D14" w14:textId="77777777" w:rsidR="001B6E40" w:rsidRPr="00261B7A" w:rsidRDefault="001B6E40" w:rsidP="003E20AD">
            <w:pPr>
              <w:pStyle w:val="Tableboldblue"/>
              <w:spacing w:before="40" w:after="40"/>
              <w:jc w:val="center"/>
              <w:rPr>
                <w:rFonts w:eastAsia="Calibri"/>
                <w:color w:val="1B556B"/>
              </w:rPr>
            </w:pPr>
            <w:r w:rsidRPr="00261B7A">
              <w:rPr>
                <w:rFonts w:eastAsia="Calibri"/>
                <w:color w:val="1B556B"/>
              </w:rPr>
              <w:t>30.20</w:t>
            </w:r>
          </w:p>
        </w:tc>
        <w:tc>
          <w:tcPr>
            <w:tcW w:w="992" w:type="dxa"/>
            <w:shd w:val="clear" w:color="auto" w:fill="FFFFFF"/>
          </w:tcPr>
          <w:p w14:paraId="30FE25DC" w14:textId="77777777" w:rsidR="001B6E40" w:rsidRPr="00261B7A" w:rsidRDefault="001B6E40" w:rsidP="003E20AD">
            <w:pPr>
              <w:pStyle w:val="Tableboldblue"/>
              <w:spacing w:before="40" w:after="40"/>
              <w:jc w:val="center"/>
              <w:rPr>
                <w:rFonts w:eastAsia="Calibri"/>
                <w:color w:val="1B556B"/>
              </w:rPr>
            </w:pPr>
            <w:r w:rsidRPr="00261B7A">
              <w:rPr>
                <w:rFonts w:eastAsia="Calibri"/>
                <w:color w:val="1B556B"/>
              </w:rPr>
              <w:t>24.06</w:t>
            </w:r>
          </w:p>
        </w:tc>
      </w:tr>
    </w:tbl>
    <w:p w14:paraId="77B7724A" w14:textId="77777777" w:rsidR="001B6E40" w:rsidRPr="00261B7A" w:rsidRDefault="001B6E40" w:rsidP="009D1DBD">
      <w:pPr>
        <w:pStyle w:val="BodyText"/>
        <w:spacing w:before="240" w:after="100"/>
      </w:pPr>
      <w:r w:rsidRPr="00261B7A">
        <w:t xml:space="preserve">Percentages in table 8.5.3 are defaults from table 2.3 and table 2.4 in volume 5, 2006 IPCC Guidelines (IPCC, 2006d). </w:t>
      </w:r>
    </w:p>
    <w:p w14:paraId="53A881AF" w14:textId="77777777" w:rsidR="001B6E40" w:rsidRPr="00261B7A" w:rsidRDefault="001B6E40" w:rsidP="009D1DBD">
      <w:pPr>
        <w:pStyle w:val="BodyText"/>
        <w:spacing w:after="100"/>
      </w:pPr>
      <w:r w:rsidRPr="00261B7A">
        <w:t>An assumption was made that ‘inert’ waste for landfills is classified entirely as ‘other inert’ waste for incineration (the impact of this assumption is that emissions are slightly higher than distributing the 24 per cent over the various inert types due to the high fossil carbon percentage).</w:t>
      </w:r>
    </w:p>
    <w:p w14:paraId="0283F9B5" w14:textId="77777777" w:rsidR="001B6E40" w:rsidRPr="00261B7A" w:rsidRDefault="001B6E40" w:rsidP="001B6E40">
      <w:pPr>
        <w:pStyle w:val="Heading4"/>
      </w:pPr>
      <w:r w:rsidRPr="00261B7A">
        <w:t>Uncertainty</w:t>
      </w:r>
    </w:p>
    <w:p w14:paraId="1C0F5425" w14:textId="0C39C517" w:rsidR="001B6E40" w:rsidRPr="00261B7A" w:rsidRDefault="001B6E40" w:rsidP="001B6E40">
      <w:pPr>
        <w:pStyle w:val="BodyText"/>
      </w:pPr>
      <w:r w:rsidRPr="00261B7A">
        <w:t xml:space="preserve">The same uncertainty data for </w:t>
      </w:r>
      <w:r w:rsidRPr="00261B7A">
        <w:rPr>
          <w:i/>
          <w:iCs/>
        </w:rPr>
        <w:t>Open</w:t>
      </w:r>
      <w:r w:rsidRPr="00261B7A">
        <w:rPr>
          <w:i/>
        </w:rPr>
        <w:t xml:space="preserve"> burning of waste</w:t>
      </w:r>
      <w:r w:rsidRPr="00261B7A">
        <w:t xml:space="preserve"> were used for Tokelau </w:t>
      </w:r>
      <w:r w:rsidR="008F7D86">
        <w:t xml:space="preserve">(see table 8.5.4) </w:t>
      </w:r>
      <w:r w:rsidRPr="00261B7A">
        <w:t xml:space="preserve">and New Zealand (see table 7.4.6, chapter 7; for methodological notes, refer to uncertainties in emissions from </w:t>
      </w:r>
      <w:r w:rsidRPr="00261B7A">
        <w:rPr>
          <w:i/>
          <w:iCs/>
        </w:rPr>
        <w:t>Incineration</w:t>
      </w:r>
      <w:r w:rsidRPr="00261B7A">
        <w:rPr>
          <w:i/>
        </w:rPr>
        <w:t xml:space="preserve"> and open burning</w:t>
      </w:r>
      <w:r w:rsidRPr="00261B7A">
        <w:t xml:space="preserve">, section 7.4.3, chapter 7). </w:t>
      </w:r>
    </w:p>
    <w:p w14:paraId="131BDC8C" w14:textId="77777777" w:rsidR="001B6E40" w:rsidRPr="00261B7A" w:rsidRDefault="001B6E40" w:rsidP="001B6E40">
      <w:pPr>
        <w:pStyle w:val="Table"/>
      </w:pPr>
      <w:bookmarkStart w:id="2752" w:name="_Toc5269605"/>
      <w:bookmarkStart w:id="2753" w:name="_Toc36224686"/>
      <w:bookmarkStart w:id="2754" w:name="_Toc68786572"/>
      <w:bookmarkStart w:id="2755" w:name="_Toc130211278"/>
      <w:bookmarkStart w:id="2756" w:name="_Toc131591479"/>
      <w:r w:rsidRPr="00261B7A">
        <w:t>Table 8.5.4</w:t>
      </w:r>
      <w:r w:rsidRPr="00261B7A">
        <w:tab/>
        <w:t xml:space="preserve">Uncertainty in emissions from </w:t>
      </w:r>
      <w:r w:rsidRPr="00261B7A">
        <w:rPr>
          <w:i/>
        </w:rPr>
        <w:t>Open burning of waste</w:t>
      </w:r>
      <w:r w:rsidRPr="00261B7A">
        <w:t xml:space="preserve"> for Tokelau</w:t>
      </w:r>
      <w:bookmarkEnd w:id="2752"/>
      <w:bookmarkEnd w:id="2753"/>
      <w:bookmarkEnd w:id="2754"/>
      <w:bookmarkEnd w:id="2755"/>
      <w:bookmarkEnd w:id="2756"/>
    </w:p>
    <w:tbl>
      <w:tblPr>
        <w:tblW w:w="8505" w:type="dxa"/>
        <w:tblBorders>
          <w:top w:val="single" w:sz="4" w:space="0" w:color="1B556B"/>
          <w:bottom w:val="single" w:sz="4" w:space="0" w:color="1B556B"/>
          <w:insideH w:val="single" w:sz="4" w:space="0" w:color="1B556B"/>
        </w:tblBorders>
        <w:tblCellMar>
          <w:left w:w="0" w:type="dxa"/>
          <w:right w:w="0" w:type="dxa"/>
        </w:tblCellMar>
        <w:tblLook w:val="04A0" w:firstRow="1" w:lastRow="0" w:firstColumn="1" w:lastColumn="0" w:noHBand="0" w:noVBand="1"/>
      </w:tblPr>
      <w:tblGrid>
        <w:gridCol w:w="2620"/>
        <w:gridCol w:w="2787"/>
        <w:gridCol w:w="3098"/>
      </w:tblGrid>
      <w:tr w:rsidR="001B6E40" w:rsidRPr="00261B7A" w14:paraId="0FAEE401" w14:textId="77777777" w:rsidTr="0022665D">
        <w:tc>
          <w:tcPr>
            <w:tcW w:w="2620" w:type="dxa"/>
            <w:tcBorders>
              <w:right w:val="single" w:sz="4" w:space="0" w:color="1B556B"/>
            </w:tcBorders>
            <w:shd w:val="clear" w:color="auto" w:fill="1B556B"/>
            <w:tcMar>
              <w:top w:w="0" w:type="dxa"/>
              <w:left w:w="108" w:type="dxa"/>
              <w:bottom w:w="0" w:type="dxa"/>
              <w:right w:w="108" w:type="dxa"/>
            </w:tcMar>
            <w:vAlign w:val="bottom"/>
            <w:hideMark/>
          </w:tcPr>
          <w:p w14:paraId="2EE8ADD1" w14:textId="77777777" w:rsidR="001B6E40" w:rsidRPr="00261B7A" w:rsidRDefault="001B6E40" w:rsidP="009D1DBD">
            <w:pPr>
              <w:pStyle w:val="TableTextBold"/>
              <w:keepNext/>
              <w:spacing w:before="40" w:after="40"/>
              <w:rPr>
                <w:noProof w:val="0"/>
                <w:color w:val="FFFFFF"/>
                <w:szCs w:val="16"/>
              </w:rPr>
            </w:pPr>
            <w:r w:rsidRPr="00261B7A">
              <w:rPr>
                <w:noProof w:val="0"/>
                <w:color w:val="FFFFFF"/>
                <w:szCs w:val="16"/>
              </w:rPr>
              <w:t>Emissions category</w:t>
            </w:r>
          </w:p>
        </w:tc>
        <w:tc>
          <w:tcPr>
            <w:tcW w:w="2787" w:type="dxa"/>
            <w:tcBorders>
              <w:left w:val="single" w:sz="4" w:space="0" w:color="1B556B"/>
              <w:right w:val="single" w:sz="4" w:space="0" w:color="1B556B"/>
            </w:tcBorders>
            <w:shd w:val="clear" w:color="auto" w:fill="1B556B"/>
            <w:tcMar>
              <w:top w:w="0" w:type="dxa"/>
              <w:left w:w="108" w:type="dxa"/>
              <w:bottom w:w="0" w:type="dxa"/>
              <w:right w:w="108" w:type="dxa"/>
            </w:tcMar>
            <w:vAlign w:val="bottom"/>
            <w:hideMark/>
          </w:tcPr>
          <w:p w14:paraId="2F61054A" w14:textId="77777777" w:rsidR="001B6E40" w:rsidRPr="00261B7A" w:rsidRDefault="001B6E40" w:rsidP="009D1DBD">
            <w:pPr>
              <w:pStyle w:val="TableTextBold"/>
              <w:keepNext/>
              <w:spacing w:before="40" w:after="40"/>
              <w:jc w:val="center"/>
              <w:rPr>
                <w:noProof w:val="0"/>
                <w:color w:val="FFFFFF"/>
                <w:szCs w:val="16"/>
              </w:rPr>
            </w:pPr>
            <w:r w:rsidRPr="00261B7A">
              <w:rPr>
                <w:noProof w:val="0"/>
                <w:color w:val="FFFFFF"/>
                <w:szCs w:val="16"/>
              </w:rPr>
              <w:t>Uncertainty in activity data (%)</w:t>
            </w:r>
          </w:p>
        </w:tc>
        <w:tc>
          <w:tcPr>
            <w:tcW w:w="3098" w:type="dxa"/>
            <w:tcBorders>
              <w:left w:val="single" w:sz="4" w:space="0" w:color="1B556B"/>
            </w:tcBorders>
            <w:shd w:val="clear" w:color="auto" w:fill="1B556B"/>
            <w:tcMar>
              <w:top w:w="0" w:type="dxa"/>
              <w:left w:w="108" w:type="dxa"/>
              <w:bottom w:w="0" w:type="dxa"/>
              <w:right w:w="108" w:type="dxa"/>
            </w:tcMar>
            <w:vAlign w:val="bottom"/>
            <w:hideMark/>
          </w:tcPr>
          <w:p w14:paraId="3814C3F8" w14:textId="77777777" w:rsidR="001B6E40" w:rsidRPr="00261B7A" w:rsidRDefault="001B6E40" w:rsidP="009D1DBD">
            <w:pPr>
              <w:pStyle w:val="TableTextBold"/>
              <w:keepNext/>
              <w:spacing w:before="40" w:after="40"/>
              <w:jc w:val="center"/>
              <w:rPr>
                <w:noProof w:val="0"/>
                <w:color w:val="FFFFFF"/>
                <w:szCs w:val="16"/>
              </w:rPr>
            </w:pPr>
            <w:r w:rsidRPr="00261B7A">
              <w:rPr>
                <w:noProof w:val="0"/>
                <w:color w:val="FFFFFF"/>
                <w:szCs w:val="16"/>
              </w:rPr>
              <w:t>Uncertainty in emission factors (%)</w:t>
            </w:r>
          </w:p>
        </w:tc>
      </w:tr>
      <w:tr w:rsidR="001B6E40" w:rsidRPr="00261B7A" w14:paraId="27910078" w14:textId="77777777" w:rsidTr="0022665D">
        <w:trPr>
          <w:trHeight w:val="127"/>
        </w:trPr>
        <w:tc>
          <w:tcPr>
            <w:tcW w:w="2620" w:type="dxa"/>
            <w:tcBorders>
              <w:right w:val="single" w:sz="4" w:space="0" w:color="1B556B"/>
            </w:tcBorders>
            <w:shd w:val="clear" w:color="auto" w:fill="FFFFFF"/>
            <w:tcMar>
              <w:top w:w="0" w:type="dxa"/>
              <w:left w:w="108" w:type="dxa"/>
              <w:bottom w:w="0" w:type="dxa"/>
              <w:right w:w="108" w:type="dxa"/>
            </w:tcMar>
            <w:hideMark/>
          </w:tcPr>
          <w:p w14:paraId="436DA4D9" w14:textId="77777777" w:rsidR="001B6E40" w:rsidRPr="00261B7A" w:rsidRDefault="001B6E40" w:rsidP="009D1DBD">
            <w:pPr>
              <w:pStyle w:val="TableText"/>
              <w:spacing w:before="40" w:after="40"/>
              <w:rPr>
                <w:szCs w:val="16"/>
              </w:rPr>
            </w:pPr>
            <w:r w:rsidRPr="00261B7A">
              <w:rPr>
                <w:szCs w:val="16"/>
              </w:rPr>
              <w:t>Waste open burning (CO</w:t>
            </w:r>
            <w:r w:rsidRPr="00261B7A">
              <w:rPr>
                <w:szCs w:val="16"/>
                <w:vertAlign w:val="subscript"/>
              </w:rPr>
              <w:t>2</w:t>
            </w:r>
            <w:r w:rsidRPr="00261B7A">
              <w:rPr>
                <w:szCs w:val="16"/>
              </w:rPr>
              <w:t>)</w:t>
            </w:r>
          </w:p>
        </w:tc>
        <w:tc>
          <w:tcPr>
            <w:tcW w:w="2787" w:type="dxa"/>
            <w:tcBorders>
              <w:left w:val="single" w:sz="4" w:space="0" w:color="1B556B"/>
              <w:right w:val="single" w:sz="4" w:space="0" w:color="1B556B"/>
            </w:tcBorders>
            <w:shd w:val="clear" w:color="auto" w:fill="FFFFFF"/>
            <w:tcMar>
              <w:top w:w="0" w:type="dxa"/>
              <w:left w:w="108" w:type="dxa"/>
              <w:bottom w:w="0" w:type="dxa"/>
              <w:right w:w="108" w:type="dxa"/>
            </w:tcMar>
            <w:hideMark/>
          </w:tcPr>
          <w:p w14:paraId="6059F24B" w14:textId="77777777" w:rsidR="001B6E40" w:rsidRPr="00261B7A" w:rsidRDefault="001B6E40" w:rsidP="009D1DBD">
            <w:pPr>
              <w:pStyle w:val="TableText"/>
              <w:spacing w:before="40" w:after="40"/>
              <w:jc w:val="center"/>
              <w:rPr>
                <w:szCs w:val="16"/>
              </w:rPr>
            </w:pPr>
            <w:r w:rsidRPr="00261B7A">
              <w:rPr>
                <w:szCs w:val="16"/>
              </w:rPr>
              <w:t>±50</w:t>
            </w:r>
          </w:p>
        </w:tc>
        <w:tc>
          <w:tcPr>
            <w:tcW w:w="3098" w:type="dxa"/>
            <w:tcBorders>
              <w:left w:val="single" w:sz="4" w:space="0" w:color="1B556B"/>
            </w:tcBorders>
            <w:shd w:val="clear" w:color="auto" w:fill="FFFFFF"/>
            <w:tcMar>
              <w:top w:w="0" w:type="dxa"/>
              <w:left w:w="108" w:type="dxa"/>
              <w:bottom w:w="0" w:type="dxa"/>
              <w:right w:w="108" w:type="dxa"/>
            </w:tcMar>
            <w:hideMark/>
          </w:tcPr>
          <w:p w14:paraId="75B122CD" w14:textId="77777777" w:rsidR="001B6E40" w:rsidRPr="00261B7A" w:rsidRDefault="001B6E40" w:rsidP="009D1DBD">
            <w:pPr>
              <w:pStyle w:val="TableText"/>
              <w:spacing w:before="40" w:after="40"/>
              <w:jc w:val="center"/>
              <w:rPr>
                <w:szCs w:val="16"/>
              </w:rPr>
            </w:pPr>
            <w:r w:rsidRPr="00261B7A">
              <w:rPr>
                <w:szCs w:val="16"/>
              </w:rPr>
              <w:t>±40</w:t>
            </w:r>
          </w:p>
        </w:tc>
      </w:tr>
      <w:tr w:rsidR="001B6E40" w:rsidRPr="00261B7A" w14:paraId="65BBC5C5" w14:textId="77777777" w:rsidTr="0022665D">
        <w:trPr>
          <w:trHeight w:val="127"/>
        </w:trPr>
        <w:tc>
          <w:tcPr>
            <w:tcW w:w="2620" w:type="dxa"/>
            <w:tcBorders>
              <w:right w:val="single" w:sz="4" w:space="0" w:color="1B556B"/>
            </w:tcBorders>
            <w:shd w:val="clear" w:color="auto" w:fill="FFFFFF"/>
            <w:tcMar>
              <w:top w:w="0" w:type="dxa"/>
              <w:left w:w="108" w:type="dxa"/>
              <w:bottom w:w="0" w:type="dxa"/>
              <w:right w:w="108" w:type="dxa"/>
            </w:tcMar>
            <w:hideMark/>
          </w:tcPr>
          <w:p w14:paraId="00CBC7F3" w14:textId="77777777" w:rsidR="001B6E40" w:rsidRPr="00261B7A" w:rsidRDefault="001B6E40" w:rsidP="009D1DBD">
            <w:pPr>
              <w:pStyle w:val="TableText"/>
              <w:spacing w:before="40" w:after="40"/>
              <w:rPr>
                <w:szCs w:val="16"/>
              </w:rPr>
            </w:pPr>
            <w:r w:rsidRPr="00261B7A">
              <w:rPr>
                <w:szCs w:val="16"/>
              </w:rPr>
              <w:t>Waste open burning (CH</w:t>
            </w:r>
            <w:r w:rsidRPr="00261B7A">
              <w:rPr>
                <w:szCs w:val="16"/>
                <w:vertAlign w:val="subscript"/>
              </w:rPr>
              <w:t>4</w:t>
            </w:r>
            <w:r w:rsidRPr="00261B7A">
              <w:rPr>
                <w:szCs w:val="16"/>
              </w:rPr>
              <w:t>)</w:t>
            </w:r>
          </w:p>
        </w:tc>
        <w:tc>
          <w:tcPr>
            <w:tcW w:w="2787" w:type="dxa"/>
            <w:tcBorders>
              <w:left w:val="single" w:sz="4" w:space="0" w:color="1B556B"/>
              <w:right w:val="single" w:sz="4" w:space="0" w:color="1B556B"/>
            </w:tcBorders>
            <w:shd w:val="clear" w:color="auto" w:fill="FFFFFF"/>
            <w:tcMar>
              <w:top w:w="0" w:type="dxa"/>
              <w:left w:w="108" w:type="dxa"/>
              <w:bottom w:w="0" w:type="dxa"/>
              <w:right w:w="108" w:type="dxa"/>
            </w:tcMar>
            <w:hideMark/>
          </w:tcPr>
          <w:p w14:paraId="24C26C47" w14:textId="77777777" w:rsidR="001B6E40" w:rsidRPr="00261B7A" w:rsidRDefault="001B6E40" w:rsidP="009D1DBD">
            <w:pPr>
              <w:pStyle w:val="TableText"/>
              <w:spacing w:before="40" w:after="40"/>
              <w:jc w:val="center"/>
              <w:rPr>
                <w:szCs w:val="16"/>
              </w:rPr>
            </w:pPr>
            <w:r w:rsidRPr="00261B7A">
              <w:rPr>
                <w:szCs w:val="16"/>
              </w:rPr>
              <w:t>±50</w:t>
            </w:r>
          </w:p>
        </w:tc>
        <w:tc>
          <w:tcPr>
            <w:tcW w:w="3098" w:type="dxa"/>
            <w:tcBorders>
              <w:left w:val="single" w:sz="4" w:space="0" w:color="1B556B"/>
            </w:tcBorders>
            <w:shd w:val="clear" w:color="auto" w:fill="FFFFFF"/>
            <w:tcMar>
              <w:top w:w="0" w:type="dxa"/>
              <w:left w:w="108" w:type="dxa"/>
              <w:bottom w:w="0" w:type="dxa"/>
              <w:right w:w="108" w:type="dxa"/>
            </w:tcMar>
            <w:hideMark/>
          </w:tcPr>
          <w:p w14:paraId="51C09FB5" w14:textId="77777777" w:rsidR="001B6E40" w:rsidRPr="00261B7A" w:rsidRDefault="001B6E40" w:rsidP="009D1DBD">
            <w:pPr>
              <w:pStyle w:val="TableText"/>
              <w:spacing w:before="40" w:after="40"/>
              <w:jc w:val="center"/>
              <w:rPr>
                <w:szCs w:val="16"/>
              </w:rPr>
            </w:pPr>
            <w:r w:rsidRPr="00261B7A">
              <w:rPr>
                <w:szCs w:val="16"/>
              </w:rPr>
              <w:t>±100</w:t>
            </w:r>
          </w:p>
        </w:tc>
      </w:tr>
      <w:tr w:rsidR="001B6E40" w:rsidRPr="00261B7A" w14:paraId="40CE3543" w14:textId="77777777" w:rsidTr="0022665D">
        <w:trPr>
          <w:trHeight w:val="127"/>
        </w:trPr>
        <w:tc>
          <w:tcPr>
            <w:tcW w:w="2620" w:type="dxa"/>
            <w:tcBorders>
              <w:right w:val="single" w:sz="4" w:space="0" w:color="1B556B"/>
            </w:tcBorders>
            <w:shd w:val="clear" w:color="auto" w:fill="FFFFFF"/>
            <w:tcMar>
              <w:top w:w="0" w:type="dxa"/>
              <w:left w:w="108" w:type="dxa"/>
              <w:bottom w:w="0" w:type="dxa"/>
              <w:right w:w="108" w:type="dxa"/>
            </w:tcMar>
            <w:hideMark/>
          </w:tcPr>
          <w:p w14:paraId="6F9F0502" w14:textId="77777777" w:rsidR="001B6E40" w:rsidRPr="00261B7A" w:rsidRDefault="001B6E40" w:rsidP="009D1DBD">
            <w:pPr>
              <w:pStyle w:val="TableText"/>
              <w:spacing w:before="40" w:after="40"/>
              <w:rPr>
                <w:szCs w:val="16"/>
              </w:rPr>
            </w:pPr>
            <w:r w:rsidRPr="00261B7A">
              <w:rPr>
                <w:szCs w:val="16"/>
              </w:rPr>
              <w:t>Waste open burning (N</w:t>
            </w:r>
            <w:r w:rsidRPr="00261B7A">
              <w:rPr>
                <w:szCs w:val="16"/>
                <w:vertAlign w:val="subscript"/>
              </w:rPr>
              <w:t>2</w:t>
            </w:r>
            <w:r w:rsidRPr="00261B7A">
              <w:rPr>
                <w:szCs w:val="16"/>
              </w:rPr>
              <w:t>O)</w:t>
            </w:r>
          </w:p>
        </w:tc>
        <w:tc>
          <w:tcPr>
            <w:tcW w:w="2787" w:type="dxa"/>
            <w:tcBorders>
              <w:left w:val="single" w:sz="4" w:space="0" w:color="1B556B"/>
              <w:right w:val="single" w:sz="4" w:space="0" w:color="1B556B"/>
            </w:tcBorders>
            <w:shd w:val="clear" w:color="auto" w:fill="FFFFFF"/>
            <w:tcMar>
              <w:top w:w="0" w:type="dxa"/>
              <w:left w:w="108" w:type="dxa"/>
              <w:bottom w:w="0" w:type="dxa"/>
              <w:right w:w="108" w:type="dxa"/>
            </w:tcMar>
            <w:hideMark/>
          </w:tcPr>
          <w:p w14:paraId="429013E3" w14:textId="77777777" w:rsidR="001B6E40" w:rsidRPr="00261B7A" w:rsidRDefault="001B6E40" w:rsidP="009D1DBD">
            <w:pPr>
              <w:pStyle w:val="TableText"/>
              <w:spacing w:before="40" w:after="40"/>
              <w:jc w:val="center"/>
              <w:rPr>
                <w:szCs w:val="16"/>
              </w:rPr>
            </w:pPr>
            <w:r w:rsidRPr="00261B7A">
              <w:rPr>
                <w:szCs w:val="16"/>
              </w:rPr>
              <w:t>±50</w:t>
            </w:r>
          </w:p>
        </w:tc>
        <w:tc>
          <w:tcPr>
            <w:tcW w:w="3098" w:type="dxa"/>
            <w:tcBorders>
              <w:left w:val="single" w:sz="4" w:space="0" w:color="1B556B"/>
            </w:tcBorders>
            <w:shd w:val="clear" w:color="auto" w:fill="FFFFFF"/>
            <w:tcMar>
              <w:top w:w="0" w:type="dxa"/>
              <w:left w:w="108" w:type="dxa"/>
              <w:bottom w:w="0" w:type="dxa"/>
              <w:right w:w="108" w:type="dxa"/>
            </w:tcMar>
            <w:hideMark/>
          </w:tcPr>
          <w:p w14:paraId="2C57D68A" w14:textId="77777777" w:rsidR="001B6E40" w:rsidRPr="00261B7A" w:rsidRDefault="001B6E40" w:rsidP="009D1DBD">
            <w:pPr>
              <w:pStyle w:val="TableText"/>
              <w:spacing w:before="40" w:after="40"/>
              <w:jc w:val="center"/>
              <w:rPr>
                <w:szCs w:val="16"/>
              </w:rPr>
            </w:pPr>
            <w:r w:rsidRPr="00261B7A">
              <w:rPr>
                <w:szCs w:val="16"/>
              </w:rPr>
              <w:t>±100</w:t>
            </w:r>
          </w:p>
        </w:tc>
      </w:tr>
    </w:tbl>
    <w:p w14:paraId="41DE2FF8" w14:textId="77777777" w:rsidR="001B6E40" w:rsidRPr="00261B7A" w:rsidRDefault="001B6E40" w:rsidP="001B6E40">
      <w:pPr>
        <w:pStyle w:val="Heading3"/>
        <w:spacing w:before="480"/>
      </w:pPr>
      <w:r w:rsidRPr="00261B7A">
        <w:t xml:space="preserve">8.5.3 </w:t>
      </w:r>
      <w:r w:rsidRPr="00261B7A">
        <w:tab/>
        <w:t>Emissions from Wastewater treatment and discharge in Tokelau</w:t>
      </w:r>
    </w:p>
    <w:p w14:paraId="03E314C4" w14:textId="77777777" w:rsidR="001B6E40" w:rsidRPr="00261B7A" w:rsidRDefault="001B6E40" w:rsidP="001B6E40">
      <w:pPr>
        <w:pStyle w:val="BodyText"/>
      </w:pPr>
      <w:r w:rsidRPr="00261B7A">
        <w:t xml:space="preserve">In the absence of industrial plants in Tokelau, all emissions associated with wastewater treatment and discharge are reported under the </w:t>
      </w:r>
      <w:r w:rsidRPr="00261B7A">
        <w:rPr>
          <w:i/>
        </w:rPr>
        <w:t>Domestic wastewater</w:t>
      </w:r>
      <w:r w:rsidRPr="00261B7A">
        <w:t xml:space="preserve"> category (5.D.1). The category uses the same population values as in the </w:t>
      </w:r>
      <w:r w:rsidRPr="00261B7A">
        <w:rPr>
          <w:i/>
        </w:rPr>
        <w:t>Solid waste disposal</w:t>
      </w:r>
      <w:r w:rsidRPr="00261B7A">
        <w:t xml:space="preserve"> and </w:t>
      </w:r>
      <w:r w:rsidRPr="00261B7A">
        <w:rPr>
          <w:i/>
        </w:rPr>
        <w:t xml:space="preserve">Open burning of waste </w:t>
      </w:r>
      <w:r w:rsidRPr="00261B7A">
        <w:t>categories (see above). The category includes emissions of CH</w:t>
      </w:r>
      <w:r w:rsidRPr="00261B7A">
        <w:rPr>
          <w:vertAlign w:val="subscript"/>
        </w:rPr>
        <w:t>4</w:t>
      </w:r>
      <w:r w:rsidRPr="00261B7A">
        <w:t xml:space="preserve"> and N</w:t>
      </w:r>
      <w:r w:rsidRPr="00261B7A">
        <w:rPr>
          <w:vertAlign w:val="subscript"/>
        </w:rPr>
        <w:t>2</w:t>
      </w:r>
      <w:r w:rsidRPr="00261B7A">
        <w:t>O.</w:t>
      </w:r>
    </w:p>
    <w:p w14:paraId="39A0443F" w14:textId="77777777" w:rsidR="001B6E40" w:rsidRPr="00261B7A" w:rsidRDefault="001B6E40" w:rsidP="001B6E40">
      <w:pPr>
        <w:pStyle w:val="BodyText"/>
      </w:pPr>
      <w:r w:rsidRPr="00261B7A">
        <w:t xml:space="preserve">The </w:t>
      </w:r>
      <w:r w:rsidRPr="00261B7A">
        <w:rPr>
          <w:i/>
        </w:rPr>
        <w:t xml:space="preserve">Domestic wastewater </w:t>
      </w:r>
      <w:r w:rsidRPr="00261B7A">
        <w:t>category</w:t>
      </w:r>
      <w:r w:rsidRPr="00261B7A">
        <w:rPr>
          <w:i/>
        </w:rPr>
        <w:t xml:space="preserve"> </w:t>
      </w:r>
      <w:r w:rsidRPr="00261B7A">
        <w:t>contributed 38.2 per cent to the total of Waste sector emissions from Tokelau in 2021, which amounted to 0.27 kt CO</w:t>
      </w:r>
      <w:r w:rsidRPr="00261B7A">
        <w:rPr>
          <w:vertAlign w:val="subscript"/>
        </w:rPr>
        <w:t>2</w:t>
      </w:r>
      <w:r w:rsidRPr="00261B7A">
        <w:t>-e.</w:t>
      </w:r>
    </w:p>
    <w:p w14:paraId="546702B2" w14:textId="77777777" w:rsidR="001B6E40" w:rsidRPr="00261B7A" w:rsidRDefault="001B6E40" w:rsidP="001B6E40">
      <w:pPr>
        <w:pStyle w:val="Heading4"/>
      </w:pPr>
      <w:r w:rsidRPr="00261B7A">
        <w:t>Methodological issues</w:t>
      </w:r>
    </w:p>
    <w:p w14:paraId="0EDF5064" w14:textId="77777777" w:rsidR="001B6E40" w:rsidRPr="00261B7A" w:rsidRDefault="001B6E40" w:rsidP="001B6E40">
      <w:pPr>
        <w:pStyle w:val="BodyText"/>
        <w:spacing w:before="100" w:after="100"/>
      </w:pPr>
      <w:r w:rsidRPr="00261B7A">
        <w:t>A Tier 1 methodology with the 2006 IPCC default emission factors (except the protein consumption value) for all gases was applied for estimating emissions from this category.</w:t>
      </w:r>
    </w:p>
    <w:p w14:paraId="281BCB1F" w14:textId="77777777" w:rsidR="001B6E40" w:rsidRPr="00261B7A" w:rsidRDefault="001B6E40" w:rsidP="001B6E40">
      <w:pPr>
        <w:pStyle w:val="BodyText"/>
        <w:spacing w:before="100" w:after="100"/>
      </w:pPr>
      <w:r w:rsidRPr="00261B7A">
        <w:t>Assumptions for estimating CH</w:t>
      </w:r>
      <w:r w:rsidRPr="00261B7A">
        <w:rPr>
          <w:vertAlign w:val="subscript"/>
        </w:rPr>
        <w:t>4</w:t>
      </w:r>
      <w:r w:rsidRPr="00261B7A">
        <w:t xml:space="preserve"> emissions from wastewater:</w:t>
      </w:r>
    </w:p>
    <w:p w14:paraId="4D4C1FFB" w14:textId="77777777" w:rsidR="001B6E40" w:rsidRPr="00261B7A" w:rsidRDefault="001B6E40" w:rsidP="001B6E40">
      <w:pPr>
        <w:pStyle w:val="Bullet"/>
      </w:pPr>
      <w:r w:rsidRPr="00261B7A">
        <w:t>60 grams biochemical oxygen demand (BOD) per person per day (as for Canada, Europe, Russia and Oceania), which calculates as 21.9 kg/person/year</w:t>
      </w:r>
    </w:p>
    <w:p w14:paraId="7C73B11A" w14:textId="77777777" w:rsidR="001B6E40" w:rsidRPr="00261B7A" w:rsidRDefault="001B6E40" w:rsidP="001B6E40">
      <w:pPr>
        <w:pStyle w:val="Bullet"/>
      </w:pPr>
      <w:r w:rsidRPr="00261B7A">
        <w:t>for population, the same time series as in categories 5.A.3 and 5.C was used</w:t>
      </w:r>
    </w:p>
    <w:p w14:paraId="7D5E393D" w14:textId="77777777" w:rsidR="001B6E40" w:rsidRPr="00261B7A" w:rsidRDefault="001B6E40" w:rsidP="001B6E40">
      <w:pPr>
        <w:pStyle w:val="Bullet"/>
      </w:pPr>
      <w:r w:rsidRPr="00261B7A">
        <w:t xml:space="preserve">despite having no wastewater collection system, a correction factor for industrial BOD discharged in sewers of 1.25 is used (default for collected systems) to account for any industrial and commercial activity in Tokelau, such as fishing. No other estimates of industrial wastewater are made (effectively 5.D.2 </w:t>
      </w:r>
      <w:r w:rsidRPr="00261B7A">
        <w:rPr>
          <w:i/>
        </w:rPr>
        <w:t>Industrial wastewater</w:t>
      </w:r>
      <w:r w:rsidRPr="00261B7A">
        <w:t xml:space="preserve"> is ‘IE’ (included elsewhere) and included in 5.D.1 </w:t>
      </w:r>
      <w:r w:rsidRPr="00261B7A">
        <w:rPr>
          <w:i/>
        </w:rPr>
        <w:t>Domestic wastewater</w:t>
      </w:r>
      <w:r w:rsidRPr="00261B7A">
        <w:t>)</w:t>
      </w:r>
    </w:p>
    <w:p w14:paraId="22C6D0AC" w14:textId="77777777" w:rsidR="001B6E40" w:rsidRPr="00261B7A" w:rsidRDefault="001B6E40" w:rsidP="001B6E40">
      <w:pPr>
        <w:pStyle w:val="Bullet"/>
      </w:pPr>
      <w:r w:rsidRPr="00261B7A">
        <w:t>in 2016, most Tokelauans had access to a private toilet in their homes using septic tanks: 72.9 per cent of private occupied dwellings had an indoor flush toilet, and 21.6 per cent of dwellings had an outdoor flush toilet. Atafu had the highest proportion of dwellings with an indoor toilet (87.4 per cent), and Nukunonu had the highest proportion of households with an outdoor toilet (34.9 per cent) (Census 2016, similar to values for 2011 and 2006). The percentage of open water toilets gradually reduced from 65 per cent of dwellings in 1991 to nil by 2016.</w:t>
      </w:r>
    </w:p>
    <w:p w14:paraId="40402589" w14:textId="77777777" w:rsidR="001B6E40" w:rsidRPr="00261B7A" w:rsidRDefault="001B6E40" w:rsidP="001B6E40">
      <w:pPr>
        <w:pStyle w:val="BodyText"/>
      </w:pPr>
      <w:r w:rsidRPr="00261B7A">
        <w:t>Table 8.5.5 sums up default parameters used for estimating CH</w:t>
      </w:r>
      <w:r w:rsidRPr="00261B7A">
        <w:rPr>
          <w:vertAlign w:val="subscript"/>
        </w:rPr>
        <w:t>4</w:t>
      </w:r>
      <w:r w:rsidRPr="00261B7A">
        <w:t xml:space="preserve"> emissions for Tokelau wastewater treatment. The default BOD correction factor for collected systems is used to account for industrial and commercial water, because there is no separate estimate.</w:t>
      </w:r>
    </w:p>
    <w:p w14:paraId="77ECC472" w14:textId="77777777" w:rsidR="001B6E40" w:rsidRPr="00261B7A" w:rsidRDefault="001B6E40" w:rsidP="001B6E40">
      <w:pPr>
        <w:pStyle w:val="Table"/>
      </w:pPr>
      <w:bookmarkStart w:id="2757" w:name="_Toc5269606"/>
      <w:bookmarkStart w:id="2758" w:name="_Toc36224687"/>
      <w:bookmarkStart w:id="2759" w:name="_Toc68786573"/>
      <w:bookmarkStart w:id="2760" w:name="_Toc130211279"/>
      <w:bookmarkStart w:id="2761" w:name="_Toc131591480"/>
      <w:r w:rsidRPr="00261B7A">
        <w:t>Table 8.5.5</w:t>
      </w:r>
      <w:r w:rsidRPr="00261B7A">
        <w:tab/>
        <w:t>Parameters for estimating methane emissions for Tokelau wastewater treatment</w:t>
      </w:r>
      <w:bookmarkEnd w:id="2757"/>
      <w:bookmarkEnd w:id="2758"/>
      <w:bookmarkEnd w:id="2759"/>
      <w:bookmarkEnd w:id="2760"/>
      <w:bookmarkEnd w:id="2761"/>
      <w:r w:rsidRPr="00261B7A">
        <w:t xml:space="preserve"> </w:t>
      </w:r>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3311"/>
        <w:gridCol w:w="742"/>
        <w:gridCol w:w="1598"/>
        <w:gridCol w:w="2854"/>
      </w:tblGrid>
      <w:tr w:rsidR="001B6E40" w:rsidRPr="00261B7A" w14:paraId="201A6A50" w14:textId="77777777" w:rsidTr="0022665D">
        <w:tc>
          <w:tcPr>
            <w:tcW w:w="3289" w:type="dxa"/>
            <w:shd w:val="clear" w:color="auto" w:fill="1B556B"/>
          </w:tcPr>
          <w:p w14:paraId="513934C9" w14:textId="77777777" w:rsidR="001B6E40" w:rsidRPr="00261B7A" w:rsidRDefault="001B6E40" w:rsidP="009D1DBD">
            <w:pPr>
              <w:pStyle w:val="TableTextBold"/>
              <w:spacing w:before="40" w:after="40"/>
              <w:rPr>
                <w:noProof w:val="0"/>
                <w:color w:val="FFFFFF"/>
                <w:szCs w:val="16"/>
              </w:rPr>
            </w:pPr>
            <w:r w:rsidRPr="00261B7A">
              <w:rPr>
                <w:noProof w:val="0"/>
                <w:color w:val="FFFFFF"/>
                <w:szCs w:val="16"/>
              </w:rPr>
              <w:t>Parameter</w:t>
            </w:r>
          </w:p>
        </w:tc>
        <w:tc>
          <w:tcPr>
            <w:tcW w:w="737" w:type="dxa"/>
            <w:shd w:val="clear" w:color="auto" w:fill="1B556B"/>
          </w:tcPr>
          <w:p w14:paraId="1AAAE81A" w14:textId="77777777" w:rsidR="001B6E40" w:rsidRPr="00261B7A" w:rsidRDefault="001B6E40" w:rsidP="009D1DBD">
            <w:pPr>
              <w:pStyle w:val="TableTextBold"/>
              <w:spacing w:before="40" w:after="40"/>
              <w:rPr>
                <w:noProof w:val="0"/>
                <w:color w:val="FFFFFF"/>
                <w:szCs w:val="16"/>
              </w:rPr>
            </w:pPr>
            <w:r w:rsidRPr="00261B7A">
              <w:rPr>
                <w:noProof w:val="0"/>
                <w:color w:val="FFFFFF"/>
                <w:szCs w:val="16"/>
              </w:rPr>
              <w:t>Value</w:t>
            </w:r>
          </w:p>
        </w:tc>
        <w:tc>
          <w:tcPr>
            <w:tcW w:w="1587" w:type="dxa"/>
            <w:shd w:val="clear" w:color="auto" w:fill="1B556B"/>
          </w:tcPr>
          <w:p w14:paraId="2996E232" w14:textId="77777777" w:rsidR="001B6E40" w:rsidRPr="00261B7A" w:rsidRDefault="001B6E40" w:rsidP="009D1DBD">
            <w:pPr>
              <w:pStyle w:val="TableTextBold"/>
              <w:spacing w:before="40" w:after="40"/>
              <w:rPr>
                <w:noProof w:val="0"/>
                <w:color w:val="FFFFFF"/>
                <w:szCs w:val="16"/>
              </w:rPr>
            </w:pPr>
            <w:r w:rsidRPr="00261B7A">
              <w:rPr>
                <w:noProof w:val="0"/>
                <w:color w:val="FFFFFF"/>
                <w:szCs w:val="16"/>
              </w:rPr>
              <w:t>Source</w:t>
            </w:r>
          </w:p>
        </w:tc>
        <w:tc>
          <w:tcPr>
            <w:tcW w:w="2835" w:type="dxa"/>
            <w:shd w:val="clear" w:color="auto" w:fill="1B556B"/>
          </w:tcPr>
          <w:p w14:paraId="1C706D36" w14:textId="77777777" w:rsidR="001B6E40" w:rsidRPr="00261B7A" w:rsidRDefault="001B6E40" w:rsidP="009D1DBD">
            <w:pPr>
              <w:pStyle w:val="TableTextBold"/>
              <w:spacing w:before="40" w:after="40"/>
              <w:rPr>
                <w:noProof w:val="0"/>
                <w:color w:val="FFFFFF"/>
                <w:szCs w:val="16"/>
              </w:rPr>
            </w:pPr>
            <w:r w:rsidRPr="00261B7A">
              <w:rPr>
                <w:noProof w:val="0"/>
                <w:color w:val="FFFFFF"/>
                <w:szCs w:val="16"/>
              </w:rPr>
              <w:t>Reference</w:t>
            </w:r>
          </w:p>
        </w:tc>
      </w:tr>
      <w:tr w:rsidR="001B6E40" w:rsidRPr="00261B7A" w14:paraId="10C6D055" w14:textId="77777777" w:rsidTr="0022665D">
        <w:tc>
          <w:tcPr>
            <w:tcW w:w="3289" w:type="dxa"/>
          </w:tcPr>
          <w:p w14:paraId="306D53A8" w14:textId="77777777" w:rsidR="001B6E40" w:rsidRPr="00261B7A" w:rsidRDefault="001B6E40" w:rsidP="009D1DBD">
            <w:pPr>
              <w:pStyle w:val="TableText"/>
              <w:spacing w:before="40" w:after="40"/>
              <w:rPr>
                <w:szCs w:val="16"/>
              </w:rPr>
            </w:pPr>
            <w:r w:rsidRPr="00261B7A">
              <w:rPr>
                <w:szCs w:val="16"/>
              </w:rPr>
              <w:t>Methane correction factors</w:t>
            </w:r>
          </w:p>
        </w:tc>
        <w:tc>
          <w:tcPr>
            <w:tcW w:w="737" w:type="dxa"/>
          </w:tcPr>
          <w:p w14:paraId="6D2F30A4" w14:textId="77777777" w:rsidR="001B6E40" w:rsidRPr="00261B7A" w:rsidRDefault="001B6E40" w:rsidP="009D1DBD">
            <w:pPr>
              <w:pStyle w:val="TableText"/>
              <w:spacing w:before="40" w:after="40"/>
              <w:rPr>
                <w:szCs w:val="16"/>
              </w:rPr>
            </w:pPr>
          </w:p>
        </w:tc>
        <w:tc>
          <w:tcPr>
            <w:tcW w:w="1587" w:type="dxa"/>
          </w:tcPr>
          <w:p w14:paraId="4669F0E6" w14:textId="77777777" w:rsidR="001B6E40" w:rsidRPr="00261B7A" w:rsidRDefault="001B6E40" w:rsidP="009D1DBD">
            <w:pPr>
              <w:pStyle w:val="TableText"/>
              <w:spacing w:before="40" w:after="40"/>
              <w:rPr>
                <w:szCs w:val="16"/>
              </w:rPr>
            </w:pPr>
          </w:p>
        </w:tc>
        <w:tc>
          <w:tcPr>
            <w:tcW w:w="2835" w:type="dxa"/>
          </w:tcPr>
          <w:p w14:paraId="694B81FE" w14:textId="77777777" w:rsidR="001B6E40" w:rsidRPr="00261B7A" w:rsidRDefault="001B6E40" w:rsidP="009D1DBD">
            <w:pPr>
              <w:pStyle w:val="TableText"/>
              <w:spacing w:before="40" w:after="40"/>
              <w:rPr>
                <w:szCs w:val="16"/>
              </w:rPr>
            </w:pPr>
          </w:p>
        </w:tc>
      </w:tr>
      <w:tr w:rsidR="001B6E40" w:rsidRPr="00261B7A" w14:paraId="5B73BC58" w14:textId="77777777" w:rsidTr="0022665D">
        <w:tc>
          <w:tcPr>
            <w:tcW w:w="3289" w:type="dxa"/>
          </w:tcPr>
          <w:p w14:paraId="3633054D" w14:textId="77777777" w:rsidR="001B6E40" w:rsidRPr="00261B7A" w:rsidRDefault="001B6E40" w:rsidP="009D1DBD">
            <w:pPr>
              <w:pStyle w:val="TableText"/>
              <w:spacing w:before="40" w:after="40"/>
              <w:ind w:left="113"/>
              <w:rPr>
                <w:i/>
                <w:szCs w:val="16"/>
              </w:rPr>
            </w:pPr>
            <w:r w:rsidRPr="00261B7A">
              <w:rPr>
                <w:i/>
                <w:szCs w:val="16"/>
              </w:rPr>
              <w:t>Septic system</w:t>
            </w:r>
          </w:p>
        </w:tc>
        <w:tc>
          <w:tcPr>
            <w:tcW w:w="737" w:type="dxa"/>
          </w:tcPr>
          <w:p w14:paraId="5E5F2C32" w14:textId="77777777" w:rsidR="001B6E40" w:rsidRPr="00261B7A" w:rsidRDefault="001B6E40" w:rsidP="009D1DBD">
            <w:pPr>
              <w:pStyle w:val="TableText"/>
              <w:spacing w:before="40" w:after="40"/>
              <w:rPr>
                <w:szCs w:val="16"/>
              </w:rPr>
            </w:pPr>
            <w:r w:rsidRPr="00261B7A">
              <w:rPr>
                <w:szCs w:val="16"/>
              </w:rPr>
              <w:t>0.5</w:t>
            </w:r>
          </w:p>
        </w:tc>
        <w:tc>
          <w:tcPr>
            <w:tcW w:w="1587" w:type="dxa"/>
          </w:tcPr>
          <w:p w14:paraId="042F501C" w14:textId="77777777" w:rsidR="001B6E40" w:rsidRPr="00261B7A" w:rsidRDefault="001B6E40" w:rsidP="009D1DBD">
            <w:pPr>
              <w:pStyle w:val="TableText"/>
              <w:spacing w:before="40" w:after="40"/>
              <w:rPr>
                <w:szCs w:val="16"/>
              </w:rPr>
            </w:pPr>
            <w:r w:rsidRPr="00261B7A">
              <w:rPr>
                <w:szCs w:val="16"/>
              </w:rPr>
              <w:t>IPCC default</w:t>
            </w:r>
          </w:p>
        </w:tc>
        <w:tc>
          <w:tcPr>
            <w:tcW w:w="2835" w:type="dxa"/>
          </w:tcPr>
          <w:p w14:paraId="262102C3" w14:textId="77777777" w:rsidR="001B6E40" w:rsidRPr="00261B7A" w:rsidRDefault="001B6E40" w:rsidP="009D1DBD">
            <w:pPr>
              <w:pStyle w:val="TableText"/>
              <w:spacing w:before="40" w:after="40"/>
              <w:rPr>
                <w:szCs w:val="16"/>
              </w:rPr>
            </w:pPr>
            <w:r w:rsidRPr="00261B7A">
              <w:rPr>
                <w:szCs w:val="16"/>
              </w:rPr>
              <w:t>Table 6.3, section 6.2.2.2, IPCC, 2006d</w:t>
            </w:r>
          </w:p>
        </w:tc>
      </w:tr>
      <w:tr w:rsidR="001B6E40" w:rsidRPr="00261B7A" w14:paraId="3A81B8C9" w14:textId="77777777" w:rsidTr="0022665D">
        <w:tc>
          <w:tcPr>
            <w:tcW w:w="3289" w:type="dxa"/>
          </w:tcPr>
          <w:p w14:paraId="020D5D14" w14:textId="77777777" w:rsidR="001B6E40" w:rsidRPr="00261B7A" w:rsidRDefault="001B6E40" w:rsidP="009D1DBD">
            <w:pPr>
              <w:pStyle w:val="TableText"/>
              <w:spacing w:before="40" w:after="40"/>
              <w:ind w:left="113"/>
              <w:rPr>
                <w:i/>
                <w:szCs w:val="16"/>
              </w:rPr>
            </w:pPr>
            <w:r w:rsidRPr="00261B7A">
              <w:rPr>
                <w:i/>
                <w:szCs w:val="16"/>
              </w:rPr>
              <w:t>Sea, river and lake discharge</w:t>
            </w:r>
          </w:p>
        </w:tc>
        <w:tc>
          <w:tcPr>
            <w:tcW w:w="737" w:type="dxa"/>
          </w:tcPr>
          <w:p w14:paraId="55B88B53" w14:textId="77777777" w:rsidR="001B6E40" w:rsidRPr="00261B7A" w:rsidRDefault="001B6E40" w:rsidP="009D1DBD">
            <w:pPr>
              <w:pStyle w:val="TableText"/>
              <w:spacing w:before="40" w:after="40"/>
              <w:rPr>
                <w:szCs w:val="16"/>
              </w:rPr>
            </w:pPr>
            <w:r w:rsidRPr="00261B7A">
              <w:rPr>
                <w:szCs w:val="16"/>
              </w:rPr>
              <w:t>0.1</w:t>
            </w:r>
          </w:p>
        </w:tc>
        <w:tc>
          <w:tcPr>
            <w:tcW w:w="1587" w:type="dxa"/>
          </w:tcPr>
          <w:p w14:paraId="23C5DECD" w14:textId="77777777" w:rsidR="001B6E40" w:rsidRPr="00261B7A" w:rsidRDefault="001B6E40" w:rsidP="009D1DBD">
            <w:pPr>
              <w:pStyle w:val="TableText"/>
              <w:spacing w:before="40" w:after="40"/>
              <w:rPr>
                <w:szCs w:val="16"/>
              </w:rPr>
            </w:pPr>
            <w:r w:rsidRPr="00261B7A">
              <w:rPr>
                <w:szCs w:val="16"/>
              </w:rPr>
              <w:t>IPCC default</w:t>
            </w:r>
          </w:p>
        </w:tc>
        <w:tc>
          <w:tcPr>
            <w:tcW w:w="2835" w:type="dxa"/>
          </w:tcPr>
          <w:p w14:paraId="79011B50" w14:textId="77777777" w:rsidR="001B6E40" w:rsidRPr="00261B7A" w:rsidRDefault="001B6E40" w:rsidP="009D1DBD">
            <w:pPr>
              <w:pStyle w:val="TableText"/>
              <w:spacing w:before="40" w:after="40"/>
              <w:rPr>
                <w:szCs w:val="16"/>
              </w:rPr>
            </w:pPr>
            <w:r w:rsidRPr="00261B7A">
              <w:rPr>
                <w:szCs w:val="16"/>
              </w:rPr>
              <w:t xml:space="preserve">Table 6.3, section 6.2.2.2, IPCC, 2006d </w:t>
            </w:r>
          </w:p>
        </w:tc>
      </w:tr>
      <w:tr w:rsidR="001B6E40" w:rsidRPr="00261B7A" w14:paraId="7284E3A7" w14:textId="77777777" w:rsidTr="0022665D">
        <w:tc>
          <w:tcPr>
            <w:tcW w:w="3289" w:type="dxa"/>
          </w:tcPr>
          <w:p w14:paraId="1D9AC014" w14:textId="77777777" w:rsidR="001B6E40" w:rsidRPr="00261B7A" w:rsidRDefault="001B6E40" w:rsidP="009D1DBD">
            <w:pPr>
              <w:pStyle w:val="TableText"/>
              <w:spacing w:before="40" w:after="40"/>
              <w:ind w:left="113"/>
              <w:rPr>
                <w:i/>
                <w:szCs w:val="16"/>
              </w:rPr>
            </w:pPr>
            <w:r w:rsidRPr="00261B7A">
              <w:rPr>
                <w:i/>
                <w:szCs w:val="16"/>
              </w:rPr>
              <w:t>Weighted average methane correction factor</w:t>
            </w:r>
          </w:p>
        </w:tc>
        <w:tc>
          <w:tcPr>
            <w:tcW w:w="737" w:type="dxa"/>
          </w:tcPr>
          <w:p w14:paraId="54C77690" w14:textId="77777777" w:rsidR="001B6E40" w:rsidRPr="00261B7A" w:rsidRDefault="001B6E40" w:rsidP="009D1DBD">
            <w:pPr>
              <w:pStyle w:val="TableText"/>
              <w:spacing w:before="40" w:after="40"/>
              <w:rPr>
                <w:szCs w:val="16"/>
              </w:rPr>
            </w:pPr>
            <w:r w:rsidRPr="00261B7A">
              <w:rPr>
                <w:szCs w:val="16"/>
              </w:rPr>
              <w:t>0.233</w:t>
            </w:r>
          </w:p>
        </w:tc>
        <w:tc>
          <w:tcPr>
            <w:tcW w:w="1587" w:type="dxa"/>
          </w:tcPr>
          <w:p w14:paraId="031C4E1B" w14:textId="77777777" w:rsidR="001B6E40" w:rsidRPr="00261B7A" w:rsidRDefault="001B6E40" w:rsidP="009D1DBD">
            <w:pPr>
              <w:pStyle w:val="TableText"/>
              <w:spacing w:before="40" w:after="40"/>
              <w:rPr>
                <w:szCs w:val="16"/>
              </w:rPr>
            </w:pPr>
            <w:r w:rsidRPr="00261B7A">
              <w:rPr>
                <w:szCs w:val="16"/>
              </w:rPr>
              <w:t>Calculated</w:t>
            </w:r>
          </w:p>
        </w:tc>
        <w:tc>
          <w:tcPr>
            <w:tcW w:w="2835" w:type="dxa"/>
          </w:tcPr>
          <w:p w14:paraId="6FED027A" w14:textId="77777777" w:rsidR="001B6E40" w:rsidRPr="00261B7A" w:rsidRDefault="001B6E40" w:rsidP="009D1DBD">
            <w:pPr>
              <w:pStyle w:val="TableText"/>
              <w:spacing w:before="40" w:after="40"/>
              <w:rPr>
                <w:szCs w:val="16"/>
              </w:rPr>
            </w:pPr>
          </w:p>
        </w:tc>
      </w:tr>
      <w:tr w:rsidR="001B6E40" w:rsidRPr="00261B7A" w14:paraId="2D51E5DA" w14:textId="77777777" w:rsidTr="0022665D">
        <w:tc>
          <w:tcPr>
            <w:tcW w:w="3289" w:type="dxa"/>
          </w:tcPr>
          <w:p w14:paraId="6F1E6CA2" w14:textId="77777777" w:rsidR="001B6E40" w:rsidRPr="00261B7A" w:rsidRDefault="001B6E40" w:rsidP="009D1DBD">
            <w:pPr>
              <w:pStyle w:val="TableText"/>
              <w:spacing w:before="40" w:after="40"/>
              <w:rPr>
                <w:szCs w:val="16"/>
              </w:rPr>
            </w:pPr>
            <w:r w:rsidRPr="00261B7A">
              <w:rPr>
                <w:szCs w:val="16"/>
              </w:rPr>
              <w:t>Maximum methane producing capacity (kg CH</w:t>
            </w:r>
            <w:r w:rsidRPr="00261B7A">
              <w:rPr>
                <w:szCs w:val="16"/>
                <w:vertAlign w:val="subscript"/>
              </w:rPr>
              <w:t>4</w:t>
            </w:r>
            <w:r w:rsidRPr="00261B7A">
              <w:rPr>
                <w:szCs w:val="16"/>
              </w:rPr>
              <w:t>/kg BOD)</w:t>
            </w:r>
          </w:p>
        </w:tc>
        <w:tc>
          <w:tcPr>
            <w:tcW w:w="737" w:type="dxa"/>
          </w:tcPr>
          <w:p w14:paraId="7D3A8380" w14:textId="77777777" w:rsidR="001B6E40" w:rsidRPr="00261B7A" w:rsidRDefault="001B6E40" w:rsidP="009D1DBD">
            <w:pPr>
              <w:pStyle w:val="TableText"/>
              <w:spacing w:before="40" w:after="40"/>
              <w:rPr>
                <w:szCs w:val="16"/>
              </w:rPr>
            </w:pPr>
            <w:r w:rsidRPr="00261B7A">
              <w:rPr>
                <w:szCs w:val="16"/>
              </w:rPr>
              <w:t>0.6</w:t>
            </w:r>
          </w:p>
        </w:tc>
        <w:tc>
          <w:tcPr>
            <w:tcW w:w="1587" w:type="dxa"/>
          </w:tcPr>
          <w:p w14:paraId="48D3C10E" w14:textId="77777777" w:rsidR="001B6E40" w:rsidRPr="00261B7A" w:rsidRDefault="001B6E40" w:rsidP="009D1DBD">
            <w:pPr>
              <w:pStyle w:val="TableText"/>
              <w:spacing w:before="40" w:after="40"/>
              <w:rPr>
                <w:szCs w:val="16"/>
              </w:rPr>
            </w:pPr>
            <w:r w:rsidRPr="00261B7A">
              <w:rPr>
                <w:szCs w:val="16"/>
              </w:rPr>
              <w:t>IPCC default</w:t>
            </w:r>
          </w:p>
        </w:tc>
        <w:tc>
          <w:tcPr>
            <w:tcW w:w="2835" w:type="dxa"/>
          </w:tcPr>
          <w:p w14:paraId="7EA22427" w14:textId="77777777" w:rsidR="001B6E40" w:rsidRPr="00261B7A" w:rsidRDefault="001B6E40" w:rsidP="009D1DBD">
            <w:pPr>
              <w:pStyle w:val="TableText"/>
              <w:spacing w:before="40" w:after="40"/>
              <w:rPr>
                <w:szCs w:val="16"/>
              </w:rPr>
            </w:pPr>
            <w:r w:rsidRPr="00261B7A">
              <w:rPr>
                <w:szCs w:val="16"/>
              </w:rPr>
              <w:t>Table 6.2, section 6.2.2.2, IPCC, 2006d</w:t>
            </w:r>
          </w:p>
        </w:tc>
      </w:tr>
      <w:tr w:rsidR="001B6E40" w:rsidRPr="00261B7A" w14:paraId="289AD018" w14:textId="77777777" w:rsidTr="0022665D">
        <w:tc>
          <w:tcPr>
            <w:tcW w:w="3289" w:type="dxa"/>
          </w:tcPr>
          <w:p w14:paraId="39EBB570" w14:textId="77777777" w:rsidR="001B6E40" w:rsidRPr="00261B7A" w:rsidRDefault="001B6E40" w:rsidP="009D1DBD">
            <w:pPr>
              <w:pStyle w:val="TableText"/>
              <w:spacing w:before="40" w:after="40"/>
              <w:rPr>
                <w:szCs w:val="16"/>
              </w:rPr>
            </w:pPr>
            <w:r w:rsidRPr="00261B7A">
              <w:rPr>
                <w:szCs w:val="16"/>
              </w:rPr>
              <w:t>Biochemical oxygen demand (kg BOD/person/year)</w:t>
            </w:r>
          </w:p>
        </w:tc>
        <w:tc>
          <w:tcPr>
            <w:tcW w:w="737" w:type="dxa"/>
          </w:tcPr>
          <w:p w14:paraId="229C49FA" w14:textId="77777777" w:rsidR="001B6E40" w:rsidRPr="00261B7A" w:rsidRDefault="001B6E40" w:rsidP="009D1DBD">
            <w:pPr>
              <w:pStyle w:val="TableText"/>
              <w:spacing w:before="40" w:after="40"/>
              <w:rPr>
                <w:szCs w:val="16"/>
              </w:rPr>
            </w:pPr>
            <w:r w:rsidRPr="00261B7A">
              <w:rPr>
                <w:szCs w:val="16"/>
              </w:rPr>
              <w:t>21.9</w:t>
            </w:r>
          </w:p>
        </w:tc>
        <w:tc>
          <w:tcPr>
            <w:tcW w:w="1587" w:type="dxa"/>
          </w:tcPr>
          <w:p w14:paraId="60CECFD0" w14:textId="77777777" w:rsidR="001B6E40" w:rsidRPr="00261B7A" w:rsidRDefault="001B6E40" w:rsidP="009D1DBD">
            <w:pPr>
              <w:pStyle w:val="TableText"/>
              <w:spacing w:before="40" w:after="40"/>
              <w:rPr>
                <w:szCs w:val="16"/>
              </w:rPr>
            </w:pPr>
            <w:r w:rsidRPr="00261B7A">
              <w:rPr>
                <w:szCs w:val="16"/>
              </w:rPr>
              <w:t>IPCC default for Oceania</w:t>
            </w:r>
          </w:p>
        </w:tc>
        <w:tc>
          <w:tcPr>
            <w:tcW w:w="2835" w:type="dxa"/>
          </w:tcPr>
          <w:p w14:paraId="79075027" w14:textId="77777777" w:rsidR="001B6E40" w:rsidRPr="00261B7A" w:rsidRDefault="001B6E40" w:rsidP="009D1DBD">
            <w:pPr>
              <w:pStyle w:val="TableText"/>
              <w:spacing w:before="40" w:after="40"/>
              <w:rPr>
                <w:szCs w:val="16"/>
              </w:rPr>
            </w:pPr>
            <w:r w:rsidRPr="00261B7A">
              <w:rPr>
                <w:rFonts w:eastAsia="Calibri"/>
                <w:szCs w:val="16"/>
              </w:rPr>
              <w:t>IPCC</w:t>
            </w:r>
            <w:r w:rsidRPr="00261B7A">
              <w:rPr>
                <w:szCs w:val="16"/>
              </w:rPr>
              <w:t>, 2006d</w:t>
            </w:r>
            <w:r w:rsidRPr="00261B7A">
              <w:rPr>
                <w:rFonts w:eastAsia="Calibri"/>
                <w:szCs w:val="16"/>
              </w:rPr>
              <w:t xml:space="preserve"> (worksheets for SWDS)</w:t>
            </w:r>
          </w:p>
        </w:tc>
      </w:tr>
      <w:tr w:rsidR="001B6E40" w:rsidRPr="00261B7A" w14:paraId="2C3102A3" w14:textId="77777777" w:rsidTr="0022665D">
        <w:tc>
          <w:tcPr>
            <w:tcW w:w="3289" w:type="dxa"/>
          </w:tcPr>
          <w:p w14:paraId="562E0029" w14:textId="77777777" w:rsidR="001B6E40" w:rsidRPr="00261B7A" w:rsidRDefault="001B6E40" w:rsidP="009D1DBD">
            <w:pPr>
              <w:pStyle w:val="TableText"/>
              <w:spacing w:before="40" w:after="40"/>
              <w:rPr>
                <w:szCs w:val="16"/>
              </w:rPr>
            </w:pPr>
            <w:r w:rsidRPr="00261B7A">
              <w:rPr>
                <w:szCs w:val="16"/>
              </w:rPr>
              <w:t>Correction factor for BOD</w:t>
            </w:r>
          </w:p>
        </w:tc>
        <w:tc>
          <w:tcPr>
            <w:tcW w:w="737" w:type="dxa"/>
          </w:tcPr>
          <w:p w14:paraId="3DC8FDC3" w14:textId="77777777" w:rsidR="001B6E40" w:rsidRPr="00261B7A" w:rsidRDefault="001B6E40" w:rsidP="009D1DBD">
            <w:pPr>
              <w:pStyle w:val="TableText"/>
              <w:spacing w:before="40" w:after="40"/>
              <w:rPr>
                <w:szCs w:val="16"/>
              </w:rPr>
            </w:pPr>
            <w:r w:rsidRPr="00261B7A">
              <w:rPr>
                <w:szCs w:val="16"/>
              </w:rPr>
              <w:t>1.25</w:t>
            </w:r>
          </w:p>
        </w:tc>
        <w:tc>
          <w:tcPr>
            <w:tcW w:w="1587" w:type="dxa"/>
          </w:tcPr>
          <w:p w14:paraId="62BBE5A6" w14:textId="77777777" w:rsidR="001B6E40" w:rsidRPr="00261B7A" w:rsidRDefault="001B6E40" w:rsidP="009D1DBD">
            <w:pPr>
              <w:pStyle w:val="TableText"/>
              <w:spacing w:before="40" w:after="40"/>
              <w:rPr>
                <w:szCs w:val="16"/>
              </w:rPr>
            </w:pPr>
            <w:r w:rsidRPr="00261B7A">
              <w:rPr>
                <w:szCs w:val="16"/>
              </w:rPr>
              <w:t>IPCC default for collected systems</w:t>
            </w:r>
          </w:p>
        </w:tc>
        <w:tc>
          <w:tcPr>
            <w:tcW w:w="2835" w:type="dxa"/>
          </w:tcPr>
          <w:p w14:paraId="5D65F9E7" w14:textId="77777777" w:rsidR="001B6E40" w:rsidRPr="00261B7A" w:rsidRDefault="001B6E40" w:rsidP="009D1DBD">
            <w:pPr>
              <w:pStyle w:val="TableText"/>
              <w:spacing w:before="40" w:after="40"/>
              <w:rPr>
                <w:szCs w:val="16"/>
              </w:rPr>
            </w:pPr>
            <w:r w:rsidRPr="00261B7A">
              <w:rPr>
                <w:szCs w:val="16"/>
              </w:rPr>
              <w:t>Section 6.2.2.3, p 6.14, IPCC, 2006d</w:t>
            </w:r>
          </w:p>
        </w:tc>
      </w:tr>
    </w:tbl>
    <w:p w14:paraId="6F3EFA62" w14:textId="77777777" w:rsidR="001B6E40" w:rsidRPr="00261B7A" w:rsidRDefault="001B6E40" w:rsidP="001B6E40">
      <w:pPr>
        <w:pStyle w:val="Noteundertable"/>
      </w:pPr>
      <w:r w:rsidRPr="00261B7A">
        <w:rPr>
          <w:b/>
        </w:rPr>
        <w:t>Note:</w:t>
      </w:r>
      <w:r w:rsidRPr="00261B7A">
        <w:t xml:space="preserve"> </w:t>
      </w:r>
      <w:r w:rsidRPr="00261B7A">
        <w:tab/>
        <w:t>BOD = biochemical oxygen demand; SWDS = solid waste disposable sites.</w:t>
      </w:r>
    </w:p>
    <w:p w14:paraId="5E187344" w14:textId="77777777" w:rsidR="001B6E40" w:rsidRPr="00261B7A" w:rsidRDefault="001B6E40" w:rsidP="001B6E40">
      <w:pPr>
        <w:pStyle w:val="Heading4"/>
      </w:pPr>
      <w:r w:rsidRPr="00261B7A">
        <w:t>Assumptions for estimating nitrous oxide emissions from wastewater</w:t>
      </w:r>
    </w:p>
    <w:p w14:paraId="6B0AE6AB" w14:textId="77777777" w:rsidR="001B6E40" w:rsidRPr="00261B7A" w:rsidRDefault="001B6E40" w:rsidP="001B6E40">
      <w:pPr>
        <w:pStyle w:val="BodyText"/>
        <w:spacing w:before="100" w:after="100"/>
      </w:pPr>
      <w:r w:rsidRPr="00261B7A">
        <w:t>Table 8.5.6 shows the parameters used to calculate N</w:t>
      </w:r>
      <w:r w:rsidRPr="00261B7A">
        <w:rPr>
          <w:vertAlign w:val="subscript"/>
        </w:rPr>
        <w:t>2</w:t>
      </w:r>
      <w:r w:rsidRPr="00261B7A">
        <w:t>O emissions from wastewater. It is assumed that septic tanks do not discharge to the sea and that only the population using open water toilets contributes to the nitrogen in effluent calculation.</w:t>
      </w:r>
    </w:p>
    <w:p w14:paraId="1C402EB3" w14:textId="77777777" w:rsidR="001B6E40" w:rsidRPr="00261B7A" w:rsidRDefault="001B6E40" w:rsidP="001B6E40">
      <w:pPr>
        <w:pStyle w:val="BodyText"/>
        <w:spacing w:before="100"/>
      </w:pPr>
      <w:r w:rsidRPr="00261B7A">
        <w:t>Protein consumption of 32.45 kg/person/year has been calculated based on known consumption compiled by the Tokelau National Statistics Office. The fraction of industrial and commercial co-discharged protein accounts for any commercial and industrial activities because there is no separate estimate.</w:t>
      </w:r>
    </w:p>
    <w:p w14:paraId="654C572D" w14:textId="77777777" w:rsidR="001B6E40" w:rsidRPr="00261B7A" w:rsidRDefault="001B6E40" w:rsidP="001B6E40">
      <w:pPr>
        <w:pStyle w:val="Table"/>
      </w:pPr>
      <w:bookmarkStart w:id="2762" w:name="_Toc5269607"/>
      <w:bookmarkStart w:id="2763" w:name="_Toc36224688"/>
      <w:bookmarkStart w:id="2764" w:name="_Toc68786574"/>
      <w:bookmarkStart w:id="2765" w:name="_Toc130211280"/>
      <w:bookmarkStart w:id="2766" w:name="_Toc131591481"/>
      <w:r w:rsidRPr="00261B7A">
        <w:t>Table 8.5.6</w:t>
      </w:r>
      <w:r w:rsidRPr="00261B7A">
        <w:tab/>
        <w:t>Parameter values applied for estimating nitrous oxide emissions for</w:t>
      </w:r>
      <w:r w:rsidRPr="00261B7A">
        <w:br/>
        <w:t>Tokelau wastewater treatment</w:t>
      </w:r>
      <w:bookmarkEnd w:id="2762"/>
      <w:bookmarkEnd w:id="2763"/>
      <w:bookmarkEnd w:id="2764"/>
      <w:bookmarkEnd w:id="2765"/>
      <w:bookmarkEnd w:id="2766"/>
      <w:r w:rsidRPr="00261B7A">
        <w:t xml:space="preserve"> </w:t>
      </w:r>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3164"/>
        <w:gridCol w:w="596"/>
        <w:gridCol w:w="1584"/>
        <w:gridCol w:w="3161"/>
      </w:tblGrid>
      <w:tr w:rsidR="001B6E40" w:rsidRPr="00261B7A" w14:paraId="3041BF20" w14:textId="77777777" w:rsidTr="00CB2E06">
        <w:trPr>
          <w:tblHeader/>
        </w:trPr>
        <w:tc>
          <w:tcPr>
            <w:tcW w:w="3175" w:type="dxa"/>
            <w:shd w:val="clear" w:color="auto" w:fill="1B556B"/>
          </w:tcPr>
          <w:p w14:paraId="3CB9447F" w14:textId="77777777" w:rsidR="001B6E40" w:rsidRPr="00261B7A" w:rsidRDefault="001B6E40" w:rsidP="009D1DBD">
            <w:pPr>
              <w:pStyle w:val="TableTextBold"/>
              <w:spacing w:before="40" w:after="40"/>
              <w:rPr>
                <w:noProof w:val="0"/>
                <w:color w:val="FFFFFF"/>
                <w:szCs w:val="16"/>
              </w:rPr>
            </w:pPr>
            <w:r w:rsidRPr="00261B7A">
              <w:rPr>
                <w:noProof w:val="0"/>
                <w:color w:val="FFFFFF"/>
                <w:szCs w:val="16"/>
              </w:rPr>
              <w:t>Parameter</w:t>
            </w:r>
          </w:p>
        </w:tc>
        <w:tc>
          <w:tcPr>
            <w:tcW w:w="567" w:type="dxa"/>
            <w:shd w:val="clear" w:color="auto" w:fill="1B556B"/>
          </w:tcPr>
          <w:p w14:paraId="2A858C3D" w14:textId="77777777" w:rsidR="001B6E40" w:rsidRPr="00261B7A" w:rsidRDefault="001B6E40" w:rsidP="009D1DBD">
            <w:pPr>
              <w:pStyle w:val="TableTextBold"/>
              <w:spacing w:before="40" w:after="40"/>
              <w:rPr>
                <w:noProof w:val="0"/>
                <w:color w:val="FFFFFF"/>
                <w:szCs w:val="16"/>
              </w:rPr>
            </w:pPr>
            <w:r w:rsidRPr="00261B7A">
              <w:rPr>
                <w:noProof w:val="0"/>
                <w:color w:val="FFFFFF"/>
                <w:szCs w:val="16"/>
              </w:rPr>
              <w:t>Value</w:t>
            </w:r>
          </w:p>
        </w:tc>
        <w:tc>
          <w:tcPr>
            <w:tcW w:w="1588" w:type="dxa"/>
            <w:shd w:val="clear" w:color="auto" w:fill="1B556B"/>
          </w:tcPr>
          <w:p w14:paraId="6061BA4E" w14:textId="77777777" w:rsidR="001B6E40" w:rsidRPr="00261B7A" w:rsidRDefault="001B6E40" w:rsidP="009D1DBD">
            <w:pPr>
              <w:pStyle w:val="TableTextBold"/>
              <w:spacing w:before="40" w:after="40"/>
              <w:rPr>
                <w:noProof w:val="0"/>
                <w:color w:val="FFFFFF"/>
                <w:szCs w:val="16"/>
              </w:rPr>
            </w:pPr>
            <w:r w:rsidRPr="00261B7A">
              <w:rPr>
                <w:noProof w:val="0"/>
                <w:color w:val="FFFFFF"/>
                <w:szCs w:val="16"/>
              </w:rPr>
              <w:t>Source</w:t>
            </w:r>
          </w:p>
        </w:tc>
        <w:tc>
          <w:tcPr>
            <w:tcW w:w="3175" w:type="dxa"/>
            <w:shd w:val="clear" w:color="auto" w:fill="1B556B"/>
          </w:tcPr>
          <w:p w14:paraId="20351A61" w14:textId="77777777" w:rsidR="001B6E40" w:rsidRPr="00261B7A" w:rsidRDefault="001B6E40" w:rsidP="009D1DBD">
            <w:pPr>
              <w:pStyle w:val="TableTextBold"/>
              <w:spacing w:before="40" w:after="40"/>
              <w:rPr>
                <w:noProof w:val="0"/>
                <w:color w:val="FFFFFF"/>
                <w:szCs w:val="16"/>
              </w:rPr>
            </w:pPr>
            <w:r w:rsidRPr="00261B7A">
              <w:rPr>
                <w:noProof w:val="0"/>
                <w:color w:val="FFFFFF"/>
                <w:szCs w:val="16"/>
              </w:rPr>
              <w:t>Reference</w:t>
            </w:r>
          </w:p>
        </w:tc>
      </w:tr>
      <w:tr w:rsidR="001B6E40" w:rsidRPr="00261B7A" w14:paraId="6D5934E0" w14:textId="77777777" w:rsidTr="00CB2E06">
        <w:tc>
          <w:tcPr>
            <w:tcW w:w="3175" w:type="dxa"/>
          </w:tcPr>
          <w:p w14:paraId="654DF7D4" w14:textId="77777777" w:rsidR="001B6E40" w:rsidRPr="00261B7A" w:rsidRDefault="001B6E40" w:rsidP="009D1DBD">
            <w:pPr>
              <w:pStyle w:val="TableText"/>
              <w:spacing w:before="40" w:after="40"/>
              <w:rPr>
                <w:szCs w:val="16"/>
              </w:rPr>
            </w:pPr>
            <w:r w:rsidRPr="00261B7A">
              <w:rPr>
                <w:szCs w:val="16"/>
              </w:rPr>
              <w:t>Per capita protein consumption (kg/person/year)</w:t>
            </w:r>
          </w:p>
        </w:tc>
        <w:tc>
          <w:tcPr>
            <w:tcW w:w="567" w:type="dxa"/>
          </w:tcPr>
          <w:p w14:paraId="7B296B9C" w14:textId="77777777" w:rsidR="001B6E40" w:rsidRPr="00261B7A" w:rsidRDefault="001B6E40" w:rsidP="009D1DBD">
            <w:pPr>
              <w:pStyle w:val="TableText"/>
              <w:spacing w:before="40" w:after="40"/>
              <w:rPr>
                <w:szCs w:val="16"/>
              </w:rPr>
            </w:pPr>
            <w:r w:rsidRPr="00261B7A">
              <w:rPr>
                <w:szCs w:val="16"/>
              </w:rPr>
              <w:t>32.45</w:t>
            </w:r>
          </w:p>
        </w:tc>
        <w:tc>
          <w:tcPr>
            <w:tcW w:w="1588" w:type="dxa"/>
          </w:tcPr>
          <w:p w14:paraId="7F123994" w14:textId="77777777" w:rsidR="001B6E40" w:rsidRPr="00261B7A" w:rsidRDefault="001B6E40" w:rsidP="009D1DBD">
            <w:pPr>
              <w:pStyle w:val="TableText"/>
              <w:spacing w:before="40" w:after="40"/>
              <w:rPr>
                <w:szCs w:val="16"/>
              </w:rPr>
            </w:pPr>
            <w:r w:rsidRPr="00261B7A">
              <w:rPr>
                <w:szCs w:val="16"/>
              </w:rPr>
              <w:t>Tokelau specific</w:t>
            </w:r>
          </w:p>
        </w:tc>
        <w:tc>
          <w:tcPr>
            <w:tcW w:w="3175" w:type="dxa"/>
          </w:tcPr>
          <w:p w14:paraId="7937D0FB" w14:textId="77777777" w:rsidR="001B6E40" w:rsidRPr="00261B7A" w:rsidRDefault="001B6E40" w:rsidP="009D1DBD">
            <w:pPr>
              <w:pStyle w:val="TableText"/>
              <w:spacing w:before="40" w:after="40"/>
              <w:rPr>
                <w:szCs w:val="16"/>
              </w:rPr>
            </w:pPr>
            <w:r w:rsidRPr="00261B7A">
              <w:rPr>
                <w:szCs w:val="16"/>
              </w:rPr>
              <w:t>Developed by Tokelau’s National Statistics Office using imports data (see table 8.1.2)</w:t>
            </w:r>
          </w:p>
        </w:tc>
      </w:tr>
      <w:tr w:rsidR="001B6E40" w:rsidRPr="00261B7A" w14:paraId="6468F7DF" w14:textId="77777777" w:rsidTr="00CB2E06">
        <w:tc>
          <w:tcPr>
            <w:tcW w:w="3175" w:type="dxa"/>
          </w:tcPr>
          <w:p w14:paraId="124E73C8" w14:textId="77777777" w:rsidR="001B6E40" w:rsidRPr="00261B7A" w:rsidRDefault="001B6E40" w:rsidP="009D1DBD">
            <w:pPr>
              <w:pStyle w:val="TableText"/>
              <w:spacing w:before="40" w:after="40"/>
              <w:rPr>
                <w:szCs w:val="16"/>
              </w:rPr>
            </w:pPr>
            <w:r w:rsidRPr="00261B7A">
              <w:rPr>
                <w:szCs w:val="16"/>
              </w:rPr>
              <w:t xml:space="preserve">Fraction of nitrogen in protein </w:t>
            </w:r>
          </w:p>
        </w:tc>
        <w:tc>
          <w:tcPr>
            <w:tcW w:w="567" w:type="dxa"/>
          </w:tcPr>
          <w:p w14:paraId="66BC839D" w14:textId="77777777" w:rsidR="001B6E40" w:rsidRPr="00261B7A" w:rsidRDefault="001B6E40" w:rsidP="009D1DBD">
            <w:pPr>
              <w:pStyle w:val="TableText"/>
              <w:spacing w:before="40" w:after="40"/>
              <w:rPr>
                <w:szCs w:val="16"/>
              </w:rPr>
            </w:pPr>
            <w:r w:rsidRPr="00261B7A">
              <w:rPr>
                <w:szCs w:val="16"/>
              </w:rPr>
              <w:t>0.16</w:t>
            </w:r>
          </w:p>
        </w:tc>
        <w:tc>
          <w:tcPr>
            <w:tcW w:w="1588" w:type="dxa"/>
          </w:tcPr>
          <w:p w14:paraId="69121492" w14:textId="77777777" w:rsidR="001B6E40" w:rsidRPr="00261B7A" w:rsidRDefault="001B6E40" w:rsidP="009D1DBD">
            <w:pPr>
              <w:pStyle w:val="TableText"/>
              <w:spacing w:before="40" w:after="40"/>
              <w:rPr>
                <w:szCs w:val="16"/>
              </w:rPr>
            </w:pPr>
            <w:r w:rsidRPr="00261B7A">
              <w:rPr>
                <w:szCs w:val="16"/>
              </w:rPr>
              <w:t>IPCC default</w:t>
            </w:r>
          </w:p>
        </w:tc>
        <w:tc>
          <w:tcPr>
            <w:tcW w:w="3175" w:type="dxa"/>
          </w:tcPr>
          <w:p w14:paraId="75AC0C83" w14:textId="77777777" w:rsidR="001B6E40" w:rsidRPr="00261B7A" w:rsidRDefault="001B6E40" w:rsidP="009D1DBD">
            <w:pPr>
              <w:pStyle w:val="TableText"/>
              <w:spacing w:before="40" w:after="40"/>
              <w:rPr>
                <w:szCs w:val="16"/>
              </w:rPr>
            </w:pPr>
            <w:r w:rsidRPr="00261B7A">
              <w:rPr>
                <w:szCs w:val="16"/>
              </w:rPr>
              <w:t>Section 6.3.1.3, p 6.25, IPCC, 2006d</w:t>
            </w:r>
          </w:p>
        </w:tc>
      </w:tr>
      <w:tr w:rsidR="001B6E40" w:rsidRPr="00261B7A" w14:paraId="205E3834" w14:textId="77777777" w:rsidTr="00CB2E06">
        <w:tc>
          <w:tcPr>
            <w:tcW w:w="3175" w:type="dxa"/>
          </w:tcPr>
          <w:p w14:paraId="29FA10A3" w14:textId="77777777" w:rsidR="001B6E40" w:rsidRPr="00261B7A" w:rsidRDefault="001B6E40" w:rsidP="009D1DBD">
            <w:pPr>
              <w:pStyle w:val="TableText"/>
              <w:spacing w:before="40" w:after="40"/>
              <w:rPr>
                <w:szCs w:val="16"/>
              </w:rPr>
            </w:pPr>
            <w:r w:rsidRPr="00261B7A">
              <w:rPr>
                <w:szCs w:val="16"/>
              </w:rPr>
              <w:t>Fraction of non-consumed protein</w:t>
            </w:r>
          </w:p>
        </w:tc>
        <w:tc>
          <w:tcPr>
            <w:tcW w:w="567" w:type="dxa"/>
          </w:tcPr>
          <w:p w14:paraId="795D02E5" w14:textId="77777777" w:rsidR="001B6E40" w:rsidRPr="00261B7A" w:rsidRDefault="001B6E40" w:rsidP="009D1DBD">
            <w:pPr>
              <w:pStyle w:val="TableText"/>
              <w:spacing w:before="40" w:after="40"/>
              <w:rPr>
                <w:szCs w:val="16"/>
              </w:rPr>
            </w:pPr>
            <w:r w:rsidRPr="00261B7A">
              <w:rPr>
                <w:szCs w:val="16"/>
              </w:rPr>
              <w:t>1.1</w:t>
            </w:r>
          </w:p>
        </w:tc>
        <w:tc>
          <w:tcPr>
            <w:tcW w:w="1588" w:type="dxa"/>
          </w:tcPr>
          <w:p w14:paraId="0045088D" w14:textId="77777777" w:rsidR="001B6E40" w:rsidRPr="00261B7A" w:rsidRDefault="001B6E40" w:rsidP="009D1DBD">
            <w:pPr>
              <w:pStyle w:val="TableText"/>
              <w:spacing w:before="40" w:after="40"/>
              <w:rPr>
                <w:szCs w:val="16"/>
              </w:rPr>
            </w:pPr>
            <w:r w:rsidRPr="00261B7A">
              <w:rPr>
                <w:szCs w:val="16"/>
              </w:rPr>
              <w:t>IPCC default for developing countries</w:t>
            </w:r>
          </w:p>
        </w:tc>
        <w:tc>
          <w:tcPr>
            <w:tcW w:w="3175" w:type="dxa"/>
          </w:tcPr>
          <w:p w14:paraId="7365B85A" w14:textId="77777777" w:rsidR="001B6E40" w:rsidRPr="00261B7A" w:rsidRDefault="001B6E40" w:rsidP="009D1DBD">
            <w:pPr>
              <w:pStyle w:val="TableText"/>
              <w:spacing w:before="40" w:after="40"/>
              <w:rPr>
                <w:szCs w:val="16"/>
              </w:rPr>
            </w:pPr>
            <w:r w:rsidRPr="00261B7A">
              <w:rPr>
                <w:szCs w:val="16"/>
              </w:rPr>
              <w:t>Table 6.11, section 6.3.3, IPCC, 2006d</w:t>
            </w:r>
          </w:p>
        </w:tc>
      </w:tr>
      <w:tr w:rsidR="001B6E40" w:rsidRPr="00261B7A" w14:paraId="5D00E39D" w14:textId="77777777" w:rsidTr="00CB2E06">
        <w:tc>
          <w:tcPr>
            <w:tcW w:w="3175" w:type="dxa"/>
          </w:tcPr>
          <w:p w14:paraId="599EED25" w14:textId="77777777" w:rsidR="001B6E40" w:rsidRPr="00261B7A" w:rsidRDefault="001B6E40" w:rsidP="009D1DBD">
            <w:pPr>
              <w:pStyle w:val="TableText"/>
              <w:spacing w:before="40" w:after="40"/>
              <w:rPr>
                <w:szCs w:val="16"/>
              </w:rPr>
            </w:pPr>
            <w:r w:rsidRPr="00261B7A">
              <w:rPr>
                <w:szCs w:val="16"/>
              </w:rPr>
              <w:t>Fraction of industrial and commercial co</w:t>
            </w:r>
            <w:r w:rsidRPr="00261B7A">
              <w:rPr>
                <w:szCs w:val="16"/>
              </w:rPr>
              <w:noBreakHyphen/>
              <w:t>discharged protein</w:t>
            </w:r>
          </w:p>
        </w:tc>
        <w:tc>
          <w:tcPr>
            <w:tcW w:w="567" w:type="dxa"/>
          </w:tcPr>
          <w:p w14:paraId="40FC7E81" w14:textId="77777777" w:rsidR="001B6E40" w:rsidRPr="00261B7A" w:rsidRDefault="001B6E40" w:rsidP="009D1DBD">
            <w:pPr>
              <w:pStyle w:val="TableText"/>
              <w:spacing w:before="40" w:after="40"/>
              <w:rPr>
                <w:szCs w:val="16"/>
              </w:rPr>
            </w:pPr>
            <w:r w:rsidRPr="00261B7A">
              <w:rPr>
                <w:szCs w:val="16"/>
              </w:rPr>
              <w:t>1.25</w:t>
            </w:r>
          </w:p>
        </w:tc>
        <w:tc>
          <w:tcPr>
            <w:tcW w:w="1588" w:type="dxa"/>
          </w:tcPr>
          <w:p w14:paraId="318E0171" w14:textId="77777777" w:rsidR="001B6E40" w:rsidRPr="00261B7A" w:rsidRDefault="001B6E40" w:rsidP="009D1DBD">
            <w:pPr>
              <w:pStyle w:val="TableText"/>
              <w:spacing w:before="40" w:after="40"/>
              <w:rPr>
                <w:szCs w:val="16"/>
              </w:rPr>
            </w:pPr>
            <w:r w:rsidRPr="00261B7A">
              <w:rPr>
                <w:szCs w:val="16"/>
              </w:rPr>
              <w:t>IPCC default</w:t>
            </w:r>
          </w:p>
        </w:tc>
        <w:tc>
          <w:tcPr>
            <w:tcW w:w="3175" w:type="dxa"/>
          </w:tcPr>
          <w:p w14:paraId="2FDA1914" w14:textId="77777777" w:rsidR="001B6E40" w:rsidRPr="00261B7A" w:rsidRDefault="001B6E40" w:rsidP="009D1DBD">
            <w:pPr>
              <w:pStyle w:val="TableText"/>
              <w:spacing w:before="40" w:after="40"/>
              <w:rPr>
                <w:szCs w:val="16"/>
              </w:rPr>
            </w:pPr>
            <w:r w:rsidRPr="00261B7A">
              <w:rPr>
                <w:szCs w:val="16"/>
              </w:rPr>
              <w:t>Table 6.11, section 6.3.3, IPCC, 2006d</w:t>
            </w:r>
          </w:p>
        </w:tc>
      </w:tr>
      <w:tr w:rsidR="001B6E40" w:rsidRPr="00261B7A" w14:paraId="3F81A119" w14:textId="77777777" w:rsidTr="00CB2E06">
        <w:tc>
          <w:tcPr>
            <w:tcW w:w="3175" w:type="dxa"/>
          </w:tcPr>
          <w:p w14:paraId="0628E597" w14:textId="77777777" w:rsidR="001B6E40" w:rsidRPr="00261B7A" w:rsidRDefault="001B6E40" w:rsidP="009D1DBD">
            <w:pPr>
              <w:pStyle w:val="TableText"/>
              <w:spacing w:before="40" w:after="40"/>
              <w:rPr>
                <w:szCs w:val="16"/>
              </w:rPr>
            </w:pPr>
            <w:r w:rsidRPr="00261B7A">
              <w:rPr>
                <w:szCs w:val="16"/>
              </w:rPr>
              <w:t>Nitrogen removed with sludge (kg)</w:t>
            </w:r>
          </w:p>
        </w:tc>
        <w:tc>
          <w:tcPr>
            <w:tcW w:w="567" w:type="dxa"/>
          </w:tcPr>
          <w:p w14:paraId="69FC8661" w14:textId="77777777" w:rsidR="001B6E40" w:rsidRPr="00261B7A" w:rsidRDefault="001B6E40" w:rsidP="009D1DBD">
            <w:pPr>
              <w:pStyle w:val="TableText"/>
              <w:spacing w:before="40" w:after="40"/>
              <w:rPr>
                <w:szCs w:val="16"/>
              </w:rPr>
            </w:pPr>
            <w:r w:rsidRPr="00261B7A">
              <w:rPr>
                <w:szCs w:val="16"/>
              </w:rPr>
              <w:t>0</w:t>
            </w:r>
          </w:p>
        </w:tc>
        <w:tc>
          <w:tcPr>
            <w:tcW w:w="1588" w:type="dxa"/>
          </w:tcPr>
          <w:p w14:paraId="17BC1DBE" w14:textId="77777777" w:rsidR="001B6E40" w:rsidRPr="00261B7A" w:rsidRDefault="001B6E40" w:rsidP="009D1DBD">
            <w:pPr>
              <w:pStyle w:val="TableText"/>
              <w:spacing w:before="40" w:after="40"/>
              <w:rPr>
                <w:szCs w:val="16"/>
              </w:rPr>
            </w:pPr>
            <w:r w:rsidRPr="00261B7A">
              <w:rPr>
                <w:szCs w:val="16"/>
              </w:rPr>
              <w:t>IPCC default</w:t>
            </w:r>
          </w:p>
        </w:tc>
        <w:tc>
          <w:tcPr>
            <w:tcW w:w="3175" w:type="dxa"/>
          </w:tcPr>
          <w:p w14:paraId="26CDC815" w14:textId="77777777" w:rsidR="001B6E40" w:rsidRPr="00261B7A" w:rsidRDefault="001B6E40" w:rsidP="009D1DBD">
            <w:pPr>
              <w:pStyle w:val="TableText"/>
              <w:spacing w:before="40" w:after="40"/>
              <w:rPr>
                <w:szCs w:val="16"/>
              </w:rPr>
            </w:pPr>
            <w:r w:rsidRPr="00261B7A">
              <w:rPr>
                <w:szCs w:val="16"/>
              </w:rPr>
              <w:t>Section 6.3.1.3, p 6.25, IPCC, 2006d</w:t>
            </w:r>
          </w:p>
        </w:tc>
      </w:tr>
      <w:tr w:rsidR="001B6E40" w:rsidRPr="00261B7A" w14:paraId="20FBE834" w14:textId="77777777" w:rsidTr="00CB2E06">
        <w:tc>
          <w:tcPr>
            <w:tcW w:w="3175" w:type="dxa"/>
          </w:tcPr>
          <w:p w14:paraId="6B0E2342" w14:textId="77777777" w:rsidR="001B6E40" w:rsidRPr="00261B7A" w:rsidRDefault="001B6E40" w:rsidP="009D1DBD">
            <w:pPr>
              <w:pStyle w:val="TableText"/>
              <w:spacing w:before="40" w:after="40"/>
              <w:rPr>
                <w:szCs w:val="16"/>
              </w:rPr>
            </w:pPr>
            <w:r w:rsidRPr="00261B7A">
              <w:rPr>
                <w:szCs w:val="16"/>
              </w:rPr>
              <w:t>Emission factor</w:t>
            </w:r>
          </w:p>
        </w:tc>
        <w:tc>
          <w:tcPr>
            <w:tcW w:w="567" w:type="dxa"/>
          </w:tcPr>
          <w:p w14:paraId="186B7964" w14:textId="77777777" w:rsidR="001B6E40" w:rsidRPr="00261B7A" w:rsidRDefault="001B6E40" w:rsidP="009D1DBD">
            <w:pPr>
              <w:pStyle w:val="TableText"/>
              <w:spacing w:before="40" w:after="40"/>
              <w:rPr>
                <w:szCs w:val="16"/>
              </w:rPr>
            </w:pPr>
            <w:r w:rsidRPr="00261B7A">
              <w:rPr>
                <w:szCs w:val="16"/>
              </w:rPr>
              <w:t>0.005</w:t>
            </w:r>
          </w:p>
        </w:tc>
        <w:tc>
          <w:tcPr>
            <w:tcW w:w="1588" w:type="dxa"/>
          </w:tcPr>
          <w:p w14:paraId="6E1C9FB5" w14:textId="77777777" w:rsidR="001B6E40" w:rsidRPr="00261B7A" w:rsidRDefault="001B6E40" w:rsidP="009D1DBD">
            <w:pPr>
              <w:pStyle w:val="TableText"/>
              <w:spacing w:before="40" w:after="40"/>
              <w:rPr>
                <w:szCs w:val="16"/>
              </w:rPr>
            </w:pPr>
            <w:r w:rsidRPr="00261B7A">
              <w:rPr>
                <w:szCs w:val="16"/>
              </w:rPr>
              <w:t>IPCC default</w:t>
            </w:r>
          </w:p>
        </w:tc>
        <w:tc>
          <w:tcPr>
            <w:tcW w:w="3175" w:type="dxa"/>
          </w:tcPr>
          <w:p w14:paraId="5B27CD4D" w14:textId="77777777" w:rsidR="001B6E40" w:rsidRPr="00261B7A" w:rsidRDefault="001B6E40" w:rsidP="009D1DBD">
            <w:pPr>
              <w:pStyle w:val="TableText"/>
              <w:spacing w:before="40" w:after="40"/>
              <w:rPr>
                <w:szCs w:val="16"/>
              </w:rPr>
            </w:pPr>
            <w:r w:rsidRPr="00261B7A">
              <w:rPr>
                <w:szCs w:val="16"/>
              </w:rPr>
              <w:t>Table 6.11, section 6.3.3, IPCC, 2006d</w:t>
            </w:r>
          </w:p>
        </w:tc>
      </w:tr>
      <w:tr w:rsidR="001B6E40" w:rsidRPr="00261B7A" w14:paraId="2D11252F" w14:textId="77777777" w:rsidTr="00CB2E06">
        <w:tc>
          <w:tcPr>
            <w:tcW w:w="3175" w:type="dxa"/>
          </w:tcPr>
          <w:p w14:paraId="7B07D593" w14:textId="77777777" w:rsidR="001B6E40" w:rsidRPr="00261B7A" w:rsidRDefault="001B6E40" w:rsidP="009D1DBD">
            <w:pPr>
              <w:pStyle w:val="TableText"/>
              <w:spacing w:before="40" w:after="40"/>
              <w:rPr>
                <w:szCs w:val="16"/>
              </w:rPr>
            </w:pPr>
            <w:r w:rsidRPr="00261B7A">
              <w:rPr>
                <w:szCs w:val="16"/>
              </w:rPr>
              <w:t>Emissions from wastewater treatment plants</w:t>
            </w:r>
          </w:p>
        </w:tc>
        <w:tc>
          <w:tcPr>
            <w:tcW w:w="567" w:type="dxa"/>
          </w:tcPr>
          <w:p w14:paraId="76995B90" w14:textId="77777777" w:rsidR="001B6E40" w:rsidRPr="00261B7A" w:rsidRDefault="001B6E40" w:rsidP="009D1DBD">
            <w:pPr>
              <w:pStyle w:val="TableText"/>
              <w:spacing w:before="40" w:after="40"/>
              <w:rPr>
                <w:szCs w:val="16"/>
              </w:rPr>
            </w:pPr>
            <w:r w:rsidRPr="00261B7A">
              <w:rPr>
                <w:szCs w:val="16"/>
              </w:rPr>
              <w:t>0</w:t>
            </w:r>
          </w:p>
        </w:tc>
        <w:tc>
          <w:tcPr>
            <w:tcW w:w="1588" w:type="dxa"/>
          </w:tcPr>
          <w:p w14:paraId="745AAA8E" w14:textId="77777777" w:rsidR="001B6E40" w:rsidRPr="00261B7A" w:rsidRDefault="001B6E40" w:rsidP="009D1DBD">
            <w:pPr>
              <w:pStyle w:val="TableText"/>
              <w:spacing w:before="40" w:after="40"/>
              <w:rPr>
                <w:szCs w:val="16"/>
              </w:rPr>
            </w:pPr>
            <w:r w:rsidRPr="00261B7A">
              <w:rPr>
                <w:szCs w:val="16"/>
              </w:rPr>
              <w:t>IPCC default</w:t>
            </w:r>
          </w:p>
        </w:tc>
        <w:tc>
          <w:tcPr>
            <w:tcW w:w="3175" w:type="dxa"/>
          </w:tcPr>
          <w:p w14:paraId="554E048B" w14:textId="77777777" w:rsidR="001B6E40" w:rsidRPr="00261B7A" w:rsidRDefault="001B6E40" w:rsidP="009D1DBD">
            <w:pPr>
              <w:pStyle w:val="TableText"/>
              <w:spacing w:before="40" w:after="40"/>
              <w:rPr>
                <w:szCs w:val="16"/>
              </w:rPr>
            </w:pPr>
            <w:r w:rsidRPr="00261B7A">
              <w:rPr>
                <w:szCs w:val="16"/>
              </w:rPr>
              <w:t>IPCC (2006d)</w:t>
            </w:r>
          </w:p>
        </w:tc>
      </w:tr>
    </w:tbl>
    <w:p w14:paraId="05CC4A01" w14:textId="77777777" w:rsidR="001B6E40" w:rsidRPr="00261B7A" w:rsidRDefault="001B6E40" w:rsidP="001B6E40">
      <w:pPr>
        <w:pStyle w:val="Heading4"/>
      </w:pPr>
      <w:r w:rsidRPr="00261B7A">
        <w:t>Uncertainty</w:t>
      </w:r>
    </w:p>
    <w:p w14:paraId="093FB83F" w14:textId="77777777" w:rsidR="001B6E40" w:rsidRPr="00261B7A" w:rsidRDefault="001B6E40" w:rsidP="001B6E40">
      <w:pPr>
        <w:pStyle w:val="BodyText"/>
      </w:pPr>
      <w:r w:rsidRPr="00261B7A">
        <w:t xml:space="preserve">The same uncertainty data for </w:t>
      </w:r>
      <w:r w:rsidRPr="00261B7A">
        <w:rPr>
          <w:i/>
          <w:iCs/>
        </w:rPr>
        <w:t>Domestic</w:t>
      </w:r>
      <w:r w:rsidRPr="00261B7A">
        <w:rPr>
          <w:i/>
        </w:rPr>
        <w:t xml:space="preserve"> wastewater</w:t>
      </w:r>
      <w:r w:rsidRPr="00261B7A">
        <w:t xml:space="preserve"> were used for Tokelau and New Zealand (see table 7.5.16, chapter 7; for methodological notes, refer to uncertainties in emissions from </w:t>
      </w:r>
      <w:r w:rsidRPr="00261B7A">
        <w:rPr>
          <w:i/>
          <w:iCs/>
        </w:rPr>
        <w:t>D</w:t>
      </w:r>
      <w:r w:rsidRPr="00261B7A">
        <w:rPr>
          <w:i/>
        </w:rPr>
        <w:t>omestic wastewater</w:t>
      </w:r>
      <w:r w:rsidRPr="00261B7A">
        <w:t xml:space="preserve"> in section 7.5.3, chapter 7). Table 8.5.7 shows uncertainties for activity data and emission factors used by Tokelau for </w:t>
      </w:r>
      <w:r w:rsidRPr="00261B7A">
        <w:rPr>
          <w:i/>
          <w:iCs/>
        </w:rPr>
        <w:t>D</w:t>
      </w:r>
      <w:r w:rsidRPr="00261B7A">
        <w:rPr>
          <w:i/>
        </w:rPr>
        <w:t>omestic wastewater</w:t>
      </w:r>
      <w:r w:rsidRPr="00261B7A">
        <w:t>.</w:t>
      </w:r>
    </w:p>
    <w:p w14:paraId="6C8BFEFC" w14:textId="77777777" w:rsidR="001B6E40" w:rsidRPr="00261B7A" w:rsidRDefault="001B6E40" w:rsidP="001B6E40">
      <w:pPr>
        <w:pStyle w:val="Table"/>
        <w:rPr>
          <w:rFonts w:eastAsia="Calibri"/>
        </w:rPr>
      </w:pPr>
      <w:bookmarkStart w:id="2767" w:name="_Toc5269608"/>
      <w:bookmarkStart w:id="2768" w:name="_Toc36224689"/>
      <w:bookmarkStart w:id="2769" w:name="_Toc68786575"/>
      <w:bookmarkStart w:id="2770" w:name="_Toc130211281"/>
      <w:bookmarkStart w:id="2771" w:name="_Toc131591482"/>
      <w:r w:rsidRPr="00261B7A">
        <w:t>Table 8.5.7</w:t>
      </w:r>
      <w:r w:rsidRPr="00261B7A">
        <w:tab/>
        <w:t xml:space="preserve">Uncertainty in emissions from </w:t>
      </w:r>
      <w:r w:rsidRPr="00261B7A">
        <w:rPr>
          <w:i/>
          <w:iCs/>
        </w:rPr>
        <w:t>Domestic</w:t>
      </w:r>
      <w:r w:rsidRPr="00261B7A">
        <w:rPr>
          <w:i/>
        </w:rPr>
        <w:t xml:space="preserve"> wastewater</w:t>
      </w:r>
      <w:bookmarkEnd w:id="2767"/>
      <w:bookmarkEnd w:id="2768"/>
      <w:bookmarkEnd w:id="2769"/>
      <w:bookmarkEnd w:id="2770"/>
      <w:bookmarkEnd w:id="2771"/>
    </w:p>
    <w:tbl>
      <w:tblPr>
        <w:tblW w:w="8505" w:type="dxa"/>
        <w:tblBorders>
          <w:top w:val="single" w:sz="4" w:space="0" w:color="1B556B"/>
          <w:bottom w:val="single" w:sz="4" w:space="0" w:color="1B556B"/>
          <w:insideH w:val="single" w:sz="4" w:space="0" w:color="1B556B"/>
          <w:insideV w:val="single" w:sz="4" w:space="0" w:color="1B556B"/>
        </w:tblBorders>
        <w:tblCellMar>
          <w:left w:w="0" w:type="dxa"/>
          <w:right w:w="0" w:type="dxa"/>
        </w:tblCellMar>
        <w:tblLook w:val="04A0" w:firstRow="1" w:lastRow="0" w:firstColumn="1" w:lastColumn="0" w:noHBand="0" w:noVBand="1"/>
      </w:tblPr>
      <w:tblGrid>
        <w:gridCol w:w="3368"/>
        <w:gridCol w:w="2443"/>
        <w:gridCol w:w="2694"/>
      </w:tblGrid>
      <w:tr w:rsidR="001B6E40" w:rsidRPr="00261B7A" w14:paraId="598A9D6E" w14:textId="77777777" w:rsidTr="0022665D">
        <w:tc>
          <w:tcPr>
            <w:tcW w:w="3345" w:type="dxa"/>
            <w:shd w:val="clear" w:color="auto" w:fill="1B556B"/>
            <w:tcMar>
              <w:top w:w="0" w:type="dxa"/>
              <w:left w:w="108" w:type="dxa"/>
              <w:bottom w:w="0" w:type="dxa"/>
              <w:right w:w="108" w:type="dxa"/>
            </w:tcMar>
            <w:vAlign w:val="bottom"/>
            <w:hideMark/>
          </w:tcPr>
          <w:p w14:paraId="51C1E8EE" w14:textId="77777777" w:rsidR="001B6E40" w:rsidRPr="00261B7A" w:rsidRDefault="001B6E40" w:rsidP="003E20AD">
            <w:pPr>
              <w:pStyle w:val="TableTextBold"/>
              <w:keepNext/>
              <w:rPr>
                <w:noProof w:val="0"/>
                <w:color w:val="FFFFFF"/>
                <w:szCs w:val="16"/>
              </w:rPr>
            </w:pPr>
            <w:r w:rsidRPr="00261B7A">
              <w:rPr>
                <w:noProof w:val="0"/>
                <w:color w:val="FFFFFF"/>
                <w:szCs w:val="16"/>
              </w:rPr>
              <w:t>Emissions category</w:t>
            </w:r>
          </w:p>
        </w:tc>
        <w:tc>
          <w:tcPr>
            <w:tcW w:w="2427" w:type="dxa"/>
            <w:shd w:val="clear" w:color="auto" w:fill="1B556B"/>
            <w:tcMar>
              <w:top w:w="0" w:type="dxa"/>
              <w:left w:w="108" w:type="dxa"/>
              <w:bottom w:w="0" w:type="dxa"/>
              <w:right w:w="108" w:type="dxa"/>
            </w:tcMar>
            <w:vAlign w:val="bottom"/>
            <w:hideMark/>
          </w:tcPr>
          <w:p w14:paraId="1711D525" w14:textId="77777777" w:rsidR="001B6E40" w:rsidRPr="00261B7A" w:rsidRDefault="001B6E40" w:rsidP="003E20AD">
            <w:pPr>
              <w:pStyle w:val="TableTextBold"/>
              <w:jc w:val="center"/>
              <w:rPr>
                <w:noProof w:val="0"/>
                <w:color w:val="FFFFFF"/>
                <w:szCs w:val="16"/>
              </w:rPr>
            </w:pPr>
            <w:r w:rsidRPr="00261B7A">
              <w:rPr>
                <w:noProof w:val="0"/>
                <w:color w:val="FFFFFF"/>
                <w:szCs w:val="16"/>
              </w:rPr>
              <w:t>Uncertainty in activity data (%)</w:t>
            </w:r>
          </w:p>
        </w:tc>
        <w:tc>
          <w:tcPr>
            <w:tcW w:w="2676" w:type="dxa"/>
            <w:shd w:val="clear" w:color="auto" w:fill="1B556B"/>
            <w:tcMar>
              <w:top w:w="0" w:type="dxa"/>
              <w:left w:w="108" w:type="dxa"/>
              <w:bottom w:w="0" w:type="dxa"/>
              <w:right w:w="108" w:type="dxa"/>
            </w:tcMar>
            <w:vAlign w:val="bottom"/>
            <w:hideMark/>
          </w:tcPr>
          <w:p w14:paraId="222AA863" w14:textId="77777777" w:rsidR="001B6E40" w:rsidRPr="00261B7A" w:rsidRDefault="001B6E40" w:rsidP="003E20AD">
            <w:pPr>
              <w:pStyle w:val="TableTextBold"/>
              <w:jc w:val="center"/>
              <w:rPr>
                <w:noProof w:val="0"/>
                <w:szCs w:val="16"/>
              </w:rPr>
            </w:pPr>
            <w:r w:rsidRPr="00261B7A">
              <w:rPr>
                <w:noProof w:val="0"/>
                <w:color w:val="FFFFFF"/>
                <w:szCs w:val="16"/>
              </w:rPr>
              <w:t>Uncertainty in emission factors (%)</w:t>
            </w:r>
          </w:p>
        </w:tc>
      </w:tr>
      <w:tr w:rsidR="001B6E40" w:rsidRPr="00261B7A" w14:paraId="1E201DFE" w14:textId="77777777" w:rsidTr="0022665D">
        <w:trPr>
          <w:trHeight w:val="127"/>
        </w:trPr>
        <w:tc>
          <w:tcPr>
            <w:tcW w:w="3345" w:type="dxa"/>
            <w:shd w:val="clear" w:color="auto" w:fill="FFFFFF"/>
            <w:tcMar>
              <w:top w:w="0" w:type="dxa"/>
              <w:left w:w="108" w:type="dxa"/>
              <w:bottom w:w="0" w:type="dxa"/>
              <w:right w:w="108" w:type="dxa"/>
            </w:tcMar>
            <w:hideMark/>
          </w:tcPr>
          <w:p w14:paraId="35C65908" w14:textId="77777777" w:rsidR="001B6E40" w:rsidRPr="00261B7A" w:rsidRDefault="001B6E40" w:rsidP="003E20AD">
            <w:pPr>
              <w:pStyle w:val="TableText"/>
              <w:rPr>
                <w:szCs w:val="16"/>
              </w:rPr>
            </w:pPr>
            <w:r w:rsidRPr="00261B7A">
              <w:rPr>
                <w:szCs w:val="16"/>
              </w:rPr>
              <w:t>Domestic and industrial wastewater (CH</w:t>
            </w:r>
            <w:r w:rsidRPr="00261B7A">
              <w:rPr>
                <w:szCs w:val="16"/>
                <w:vertAlign w:val="subscript"/>
              </w:rPr>
              <w:t>4</w:t>
            </w:r>
            <w:r w:rsidRPr="00261B7A">
              <w:rPr>
                <w:szCs w:val="16"/>
              </w:rPr>
              <w:t>)</w:t>
            </w:r>
          </w:p>
        </w:tc>
        <w:tc>
          <w:tcPr>
            <w:tcW w:w="2427" w:type="dxa"/>
            <w:shd w:val="clear" w:color="auto" w:fill="FFFFFF"/>
            <w:tcMar>
              <w:top w:w="0" w:type="dxa"/>
              <w:left w:w="108" w:type="dxa"/>
              <w:bottom w:w="0" w:type="dxa"/>
              <w:right w:w="108" w:type="dxa"/>
            </w:tcMar>
            <w:hideMark/>
          </w:tcPr>
          <w:p w14:paraId="15525A1B" w14:textId="77777777" w:rsidR="001B6E40" w:rsidRPr="00261B7A" w:rsidRDefault="001B6E40" w:rsidP="003E20AD">
            <w:pPr>
              <w:pStyle w:val="TableText"/>
              <w:jc w:val="center"/>
              <w:rPr>
                <w:szCs w:val="16"/>
              </w:rPr>
            </w:pPr>
            <w:r w:rsidRPr="00261B7A">
              <w:rPr>
                <w:szCs w:val="16"/>
              </w:rPr>
              <w:t>±10</w:t>
            </w:r>
          </w:p>
        </w:tc>
        <w:tc>
          <w:tcPr>
            <w:tcW w:w="2676" w:type="dxa"/>
            <w:shd w:val="clear" w:color="auto" w:fill="FFFFFF"/>
            <w:tcMar>
              <w:top w:w="0" w:type="dxa"/>
              <w:left w:w="108" w:type="dxa"/>
              <w:bottom w:w="0" w:type="dxa"/>
              <w:right w:w="108" w:type="dxa"/>
            </w:tcMar>
            <w:hideMark/>
          </w:tcPr>
          <w:p w14:paraId="13577B41" w14:textId="77777777" w:rsidR="001B6E40" w:rsidRPr="00261B7A" w:rsidRDefault="001B6E40" w:rsidP="003E20AD">
            <w:pPr>
              <w:pStyle w:val="TableText"/>
              <w:jc w:val="center"/>
              <w:rPr>
                <w:szCs w:val="16"/>
              </w:rPr>
            </w:pPr>
            <w:r w:rsidRPr="00261B7A">
              <w:rPr>
                <w:szCs w:val="16"/>
              </w:rPr>
              <w:t>±40</w:t>
            </w:r>
          </w:p>
        </w:tc>
      </w:tr>
      <w:tr w:rsidR="001B6E40" w:rsidRPr="00261B7A" w14:paraId="22403425" w14:textId="77777777" w:rsidTr="0022665D">
        <w:tc>
          <w:tcPr>
            <w:tcW w:w="3345" w:type="dxa"/>
            <w:shd w:val="clear" w:color="auto" w:fill="FFFFFF"/>
            <w:tcMar>
              <w:top w:w="0" w:type="dxa"/>
              <w:left w:w="108" w:type="dxa"/>
              <w:bottom w:w="0" w:type="dxa"/>
              <w:right w:w="108" w:type="dxa"/>
            </w:tcMar>
            <w:hideMark/>
          </w:tcPr>
          <w:p w14:paraId="512B67A6" w14:textId="77777777" w:rsidR="001B6E40" w:rsidRPr="00261B7A" w:rsidRDefault="001B6E40" w:rsidP="003E20AD">
            <w:pPr>
              <w:pStyle w:val="TableText"/>
              <w:rPr>
                <w:szCs w:val="16"/>
              </w:rPr>
            </w:pPr>
            <w:r w:rsidRPr="00261B7A">
              <w:rPr>
                <w:szCs w:val="16"/>
              </w:rPr>
              <w:t>Domestic and industrial wastewater (N</w:t>
            </w:r>
            <w:r w:rsidRPr="00261B7A">
              <w:rPr>
                <w:szCs w:val="16"/>
                <w:vertAlign w:val="subscript"/>
              </w:rPr>
              <w:t>2</w:t>
            </w:r>
            <w:r w:rsidRPr="00261B7A">
              <w:rPr>
                <w:szCs w:val="16"/>
              </w:rPr>
              <w:t>O)</w:t>
            </w:r>
          </w:p>
        </w:tc>
        <w:tc>
          <w:tcPr>
            <w:tcW w:w="2427" w:type="dxa"/>
            <w:shd w:val="clear" w:color="auto" w:fill="FFFFFF"/>
            <w:tcMar>
              <w:top w:w="0" w:type="dxa"/>
              <w:left w:w="108" w:type="dxa"/>
              <w:bottom w:w="0" w:type="dxa"/>
              <w:right w:w="108" w:type="dxa"/>
            </w:tcMar>
            <w:hideMark/>
          </w:tcPr>
          <w:p w14:paraId="093424FF" w14:textId="77777777" w:rsidR="001B6E40" w:rsidRPr="00261B7A" w:rsidRDefault="001B6E40" w:rsidP="003E20AD">
            <w:pPr>
              <w:pStyle w:val="TableText"/>
              <w:jc w:val="center"/>
              <w:rPr>
                <w:szCs w:val="16"/>
              </w:rPr>
            </w:pPr>
            <w:r w:rsidRPr="00261B7A">
              <w:rPr>
                <w:szCs w:val="16"/>
              </w:rPr>
              <w:t>±10</w:t>
            </w:r>
          </w:p>
        </w:tc>
        <w:tc>
          <w:tcPr>
            <w:tcW w:w="2676" w:type="dxa"/>
            <w:shd w:val="clear" w:color="auto" w:fill="FFFFFF"/>
            <w:tcMar>
              <w:top w:w="0" w:type="dxa"/>
              <w:left w:w="108" w:type="dxa"/>
              <w:bottom w:w="0" w:type="dxa"/>
              <w:right w:w="108" w:type="dxa"/>
            </w:tcMar>
            <w:hideMark/>
          </w:tcPr>
          <w:p w14:paraId="307C0E60" w14:textId="77777777" w:rsidR="001B6E40" w:rsidRPr="00261B7A" w:rsidRDefault="001B6E40" w:rsidP="003E20AD">
            <w:pPr>
              <w:pStyle w:val="TableText"/>
              <w:jc w:val="center"/>
              <w:rPr>
                <w:szCs w:val="16"/>
              </w:rPr>
            </w:pPr>
            <w:r w:rsidRPr="00261B7A">
              <w:rPr>
                <w:szCs w:val="16"/>
              </w:rPr>
              <w:t>±90</w:t>
            </w:r>
          </w:p>
        </w:tc>
      </w:tr>
    </w:tbl>
    <w:p w14:paraId="40B6D62B" w14:textId="77777777" w:rsidR="001B6E40" w:rsidRPr="00261B7A" w:rsidRDefault="001B6E40" w:rsidP="001B6E40">
      <w:pPr>
        <w:pStyle w:val="BodyText"/>
      </w:pPr>
    </w:p>
    <w:p w14:paraId="4142FE72" w14:textId="77777777" w:rsidR="001B6E40" w:rsidRPr="00261B7A" w:rsidRDefault="001B6E40" w:rsidP="00DC074D">
      <w:pPr>
        <w:pStyle w:val="Heading2"/>
        <w:spacing w:before="0" w:after="480"/>
      </w:pPr>
      <w:r w:rsidRPr="00261B7A">
        <w:br w:type="page"/>
      </w:r>
      <w:bookmarkStart w:id="2772" w:name="_Toc5269398"/>
      <w:bookmarkStart w:id="2773" w:name="_Toc36224438"/>
      <w:bookmarkStart w:id="2774" w:name="_Toc68786358"/>
      <w:bookmarkStart w:id="2775" w:name="_Toc131591272"/>
      <w:r w:rsidRPr="00261B7A">
        <w:t>Chapter 8: References</w:t>
      </w:r>
      <w:bookmarkEnd w:id="2772"/>
      <w:bookmarkEnd w:id="2773"/>
      <w:bookmarkEnd w:id="2774"/>
      <w:bookmarkEnd w:id="2775"/>
    </w:p>
    <w:p w14:paraId="4228388D" w14:textId="77777777" w:rsidR="001B6E40" w:rsidRPr="00261B7A" w:rsidRDefault="001B6E40" w:rsidP="001B6E40">
      <w:pPr>
        <w:pStyle w:val="References"/>
      </w:pPr>
      <w:r w:rsidRPr="00261B7A">
        <w:t xml:space="preserve">Government of Tokelau. 2017. </w:t>
      </w:r>
      <w:r w:rsidRPr="00261B7A">
        <w:rPr>
          <w:i/>
        </w:rPr>
        <w:t>Solid Waste Management: MOU Signed between Tokelau EDNRE and Pacific Recycle Co. Ltd</w:t>
      </w:r>
      <w:r w:rsidRPr="00261B7A">
        <w:t>. Retrieved</w:t>
      </w:r>
      <w:r w:rsidRPr="00261B7A">
        <w:rPr>
          <w:sz w:val="19"/>
          <w:szCs w:val="19"/>
        </w:rPr>
        <w:t xml:space="preserve"> f</w:t>
      </w:r>
      <w:r w:rsidRPr="00261B7A">
        <w:t xml:space="preserve">rom </w:t>
      </w:r>
      <w:hyperlink r:id="rId260" w:history="1">
        <w:r w:rsidRPr="00261B7A">
          <w:rPr>
            <w:rStyle w:val="Hyperlink"/>
          </w:rPr>
          <w:t>www.tokelau.org.nz/Bulletin/December+2017/Solid+Waste+ Management+MOU+Signed+between+Tokelau+EDNRE+and+Pacific++Recycle+Co.+Ltd.html</w:t>
        </w:r>
      </w:hyperlink>
      <w:r w:rsidRPr="00261B7A">
        <w:t xml:space="preserve"> (9 March 2018).</w:t>
      </w:r>
    </w:p>
    <w:p w14:paraId="1C0E4A99" w14:textId="77777777" w:rsidR="001B6E40" w:rsidRPr="00261B7A" w:rsidRDefault="001B6E40" w:rsidP="001B6E40">
      <w:pPr>
        <w:pStyle w:val="References"/>
      </w:pPr>
      <w:r w:rsidRPr="00261B7A">
        <w:t xml:space="preserve">IPCC. 2006a. Eggleston HS, Buendia L, Miwa K, Ngara T, Tanabe K (eds). </w:t>
      </w:r>
      <w:r w:rsidRPr="00261B7A">
        <w:rPr>
          <w:i/>
          <w:iCs/>
        </w:rPr>
        <w:t>2006 IPCC Guidelines for National Greenhouse Gas Inventories. Volume 2. Energy</w:t>
      </w:r>
      <w:r w:rsidRPr="00261B7A">
        <w:t>. IPCC National Greenhouse Gas Inventories Programme. Japan: Institute for Global Environmental Strategies for IPCC.</w:t>
      </w:r>
    </w:p>
    <w:p w14:paraId="6B508D19" w14:textId="77777777" w:rsidR="001B6E40" w:rsidRPr="00261B7A" w:rsidRDefault="001B6E40" w:rsidP="001B6E40">
      <w:pPr>
        <w:pStyle w:val="References"/>
      </w:pPr>
      <w:r w:rsidRPr="00261B7A">
        <w:t xml:space="preserve">IPCC. 2006b. Eggleston HS, Buendia L, Miwa K, Ngara T, Tanabe K (eds). </w:t>
      </w:r>
      <w:r w:rsidRPr="00261B7A">
        <w:rPr>
          <w:i/>
        </w:rPr>
        <w:t>2006 IPCC</w:t>
      </w:r>
      <w:r w:rsidRPr="00261B7A">
        <w:t xml:space="preserve"> </w:t>
      </w:r>
      <w:r w:rsidRPr="00261B7A">
        <w:rPr>
          <w:i/>
        </w:rPr>
        <w:t>Guidelines for National Greenhouse Gas Inventories. Volume 3. Industrial Processes and Product Use</w:t>
      </w:r>
      <w:r w:rsidRPr="00261B7A">
        <w:t>. IPCC National Greenhouse Gas Inventories Programme. Japan: Published for the IPCC by the Institute for Global Environmental Strategies.</w:t>
      </w:r>
    </w:p>
    <w:p w14:paraId="0C41D6CB" w14:textId="77777777" w:rsidR="001B6E40" w:rsidRPr="00261B7A" w:rsidRDefault="001B6E40" w:rsidP="001B6E40">
      <w:pPr>
        <w:pStyle w:val="References"/>
      </w:pPr>
      <w:r w:rsidRPr="00261B7A">
        <w:t xml:space="preserve">IPCC. 2006c. Eggleston HS, Buendia L, Miwa K, Ngara T, Tanabe K (eds). </w:t>
      </w:r>
      <w:r w:rsidRPr="00261B7A">
        <w:rPr>
          <w:i/>
          <w:iCs/>
        </w:rPr>
        <w:t xml:space="preserve">2006 IPCC Guidelines for National Greenhouse Gas Inventories. Volume 4. Agriculture, Forestry and Other Land Use. </w:t>
      </w:r>
      <w:r w:rsidRPr="00261B7A">
        <w:t>IPCC National Greenhouse Gas Inventories Programme. Japan: Published for the IPCC by the Institute for Global Environmental Strategies.</w:t>
      </w:r>
    </w:p>
    <w:p w14:paraId="54D9F400" w14:textId="77777777" w:rsidR="001B6E40" w:rsidRPr="00261B7A" w:rsidRDefault="001B6E40" w:rsidP="001B6E40">
      <w:pPr>
        <w:pStyle w:val="References"/>
        <w:rPr>
          <w:spacing w:val="-2"/>
        </w:rPr>
      </w:pPr>
      <w:r w:rsidRPr="00261B7A">
        <w:rPr>
          <w:spacing w:val="-2"/>
        </w:rPr>
        <w:t xml:space="preserve">IPCC. 2006d. Eggleston HS, Buendia L, Miwa K, Ngara T, Tanabe K (eds). </w:t>
      </w:r>
      <w:r w:rsidRPr="00261B7A">
        <w:rPr>
          <w:i/>
          <w:spacing w:val="-2"/>
        </w:rPr>
        <w:t>2006 IPCC Guidelines for National Greenhouse Gas Inventories. Volume 5. Waste</w:t>
      </w:r>
      <w:r w:rsidRPr="00261B7A">
        <w:rPr>
          <w:spacing w:val="-2"/>
        </w:rPr>
        <w:t xml:space="preserve">. IPCC National Greenhouse Gas Inventories Programme. Japan: </w:t>
      </w:r>
      <w:r w:rsidRPr="00261B7A">
        <w:t xml:space="preserve">Published for the IPCC by the </w:t>
      </w:r>
      <w:r w:rsidRPr="00261B7A">
        <w:rPr>
          <w:spacing w:val="-2"/>
        </w:rPr>
        <w:t xml:space="preserve">Institute for Global Environmental Strategies. </w:t>
      </w:r>
    </w:p>
    <w:p w14:paraId="48727E10" w14:textId="77777777" w:rsidR="001B6E40" w:rsidRPr="00261B7A" w:rsidRDefault="001B6E40" w:rsidP="001B6E40">
      <w:pPr>
        <w:pStyle w:val="References"/>
      </w:pPr>
      <w:r w:rsidRPr="00261B7A">
        <w:t>Jasperse JA. 2016.</w:t>
      </w:r>
      <w:r w:rsidRPr="00261B7A">
        <w:rPr>
          <w:i/>
          <w:lang w:eastAsia="en-GB"/>
        </w:rPr>
        <w:t xml:space="preserve"> Analysis of 2014 imports into Tokelau from Samoa, Part 2: Stores’ invoices reconciled with cargo manifests, and quality of life implications</w:t>
      </w:r>
      <w:r w:rsidRPr="00261B7A">
        <w:rPr>
          <w:lang w:eastAsia="en-GB"/>
        </w:rPr>
        <w:t xml:space="preserve">. Apia, Samoa: </w:t>
      </w:r>
      <w:r w:rsidRPr="00261B7A">
        <w:t xml:space="preserve">Tokelau National Statistics Office. Retrieved from </w:t>
      </w:r>
      <w:hyperlink r:id="rId261" w:history="1">
        <w:r w:rsidRPr="00261B7A">
          <w:rPr>
            <w:rStyle w:val="Hyperlink"/>
          </w:rPr>
          <w:t>www.tokelau.org.nz/Bulletin/September+2016/2014+imports +final.html</w:t>
        </w:r>
      </w:hyperlink>
      <w:r w:rsidRPr="00261B7A">
        <w:rPr>
          <w:rStyle w:val="Hyperlink"/>
        </w:rPr>
        <w:t xml:space="preserve"> </w:t>
      </w:r>
      <w:r w:rsidRPr="00261B7A">
        <w:t>(28 February 2019).</w:t>
      </w:r>
    </w:p>
    <w:p w14:paraId="6B5B1263" w14:textId="77777777" w:rsidR="001B6E40" w:rsidRPr="00261B7A" w:rsidRDefault="001B6E40" w:rsidP="001B6E40">
      <w:pPr>
        <w:pStyle w:val="References"/>
        <w:rPr>
          <w:rFonts w:eastAsia="Calibri"/>
        </w:rPr>
      </w:pPr>
      <w:r w:rsidRPr="00261B7A">
        <w:rPr>
          <w:rFonts w:eastAsia="Calibri"/>
        </w:rPr>
        <w:t xml:space="preserve">Koroisamanunu I, Papao J, Ketewai M and Sokota A. 2014. </w:t>
      </w:r>
      <w:r w:rsidRPr="00261B7A">
        <w:rPr>
          <w:rFonts w:eastAsia="Calibri"/>
          <w:i/>
          <w:iCs/>
        </w:rPr>
        <w:t>Tokelau</w:t>
      </w:r>
      <w:r w:rsidRPr="00261B7A">
        <w:rPr>
          <w:rFonts w:eastAsia="Calibri"/>
        </w:rPr>
        <w:t xml:space="preserve"> </w:t>
      </w:r>
      <w:r w:rsidRPr="00261B7A">
        <w:rPr>
          <w:rFonts w:eastAsia="Calibri"/>
          <w:i/>
        </w:rPr>
        <w:t>Mission Preliminary Report (Fieldwork undertaken from 8 August – 2 September 2013). SOPAC technical note (PR193), May 2014</w:t>
      </w:r>
      <w:r w:rsidRPr="00261B7A">
        <w:rPr>
          <w:rFonts w:eastAsia="Calibri"/>
        </w:rPr>
        <w:t>. Suva, Fiji: Water and Sanitation Programme and Disaster Reduction Programme. Applied Geoscience and Technology Division (SOPAC).</w:t>
      </w:r>
    </w:p>
    <w:p w14:paraId="1FDD535B" w14:textId="77777777" w:rsidR="001B6E40" w:rsidRPr="00261B7A" w:rsidRDefault="001B6E40" w:rsidP="001B6E40">
      <w:pPr>
        <w:pStyle w:val="References"/>
      </w:pPr>
      <w:r w:rsidRPr="00261B7A">
        <w:t xml:space="preserve">Lui, K. 2020. </w:t>
      </w:r>
      <w:r w:rsidRPr="00261B7A">
        <w:rPr>
          <w:i/>
          <w:iCs/>
        </w:rPr>
        <w:t>2019 Tokelau Population Count</w:t>
      </w:r>
      <w:r w:rsidRPr="00261B7A">
        <w:t xml:space="preserve">. Retrieved from </w:t>
      </w:r>
      <w:hyperlink r:id="rId262" w:history="1">
        <w:r w:rsidRPr="00261B7A">
          <w:rPr>
            <w:rStyle w:val="Hyperlink"/>
          </w:rPr>
          <w:t>www.tokelau.org.nz/site/tokelau/2019%20Tokelau%20Population%20Count.pdf</w:t>
        </w:r>
      </w:hyperlink>
    </w:p>
    <w:p w14:paraId="08D39969" w14:textId="77777777" w:rsidR="001B6E40" w:rsidRPr="00261B7A" w:rsidRDefault="001B6E40" w:rsidP="001B6E40">
      <w:pPr>
        <w:pStyle w:val="References"/>
      </w:pPr>
      <w:r w:rsidRPr="00261B7A">
        <w:t>UNFCCC. 2014</w:t>
      </w:r>
      <w:r w:rsidRPr="00261B7A">
        <w:rPr>
          <w:i/>
        </w:rPr>
        <w:t xml:space="preserve">. </w:t>
      </w:r>
      <w:r w:rsidRPr="00261B7A">
        <w:t xml:space="preserve">FCCC/CP/2013/10/Add.3, Decision 24/CP.19. </w:t>
      </w:r>
      <w:r w:rsidRPr="00261B7A">
        <w:rPr>
          <w:i/>
        </w:rPr>
        <w:t>Report of the Conference of the Parties on its nineteenth session, held in Warsaw from 11 to 23 November 2013: Addendum. Part two: Action taken by the Conference of the Parties at its nineteenth session</w:t>
      </w:r>
      <w:r w:rsidRPr="00261B7A">
        <w:t xml:space="preserve">. </w:t>
      </w:r>
    </w:p>
    <w:p w14:paraId="38B11255" w14:textId="77777777" w:rsidR="001B6E40" w:rsidRPr="00261B7A" w:rsidRDefault="001B6E40" w:rsidP="001B6E40">
      <w:pPr>
        <w:pStyle w:val="References"/>
      </w:pPr>
      <w:r w:rsidRPr="00261B7A">
        <w:t>United Nations. 1945.</w:t>
      </w:r>
      <w:r w:rsidRPr="00261B7A">
        <w:rPr>
          <w:rFonts w:cs="Calibri"/>
          <w:color w:val="222222"/>
          <w:sz w:val="18"/>
          <w:szCs w:val="18"/>
          <w:shd w:val="clear" w:color="auto" w:fill="FFFFFF"/>
        </w:rPr>
        <w:t xml:space="preserve"> </w:t>
      </w:r>
      <w:r w:rsidRPr="00261B7A">
        <w:rPr>
          <w:bCs/>
          <w:i/>
        </w:rPr>
        <w:t xml:space="preserve">Charter of the United Nations, 1945. </w:t>
      </w:r>
      <w:r w:rsidRPr="00261B7A">
        <w:rPr>
          <w:bCs/>
        </w:rPr>
        <w:t xml:space="preserve">Retrieved from </w:t>
      </w:r>
      <w:hyperlink r:id="rId263" w:history="1">
        <w:r w:rsidRPr="00261B7A">
          <w:rPr>
            <w:rStyle w:val="Hyperlink"/>
            <w:bCs/>
          </w:rPr>
          <w:t>treaties.un.org/doc/publication/ctc/uncharter.pdf</w:t>
        </w:r>
      </w:hyperlink>
      <w:r w:rsidRPr="00261B7A">
        <w:rPr>
          <w:bCs/>
        </w:rPr>
        <w:t xml:space="preserve"> </w:t>
      </w:r>
      <w:r w:rsidRPr="00261B7A">
        <w:t>(20 December 2022).</w:t>
      </w:r>
    </w:p>
    <w:p w14:paraId="7C1921C3" w14:textId="77777777" w:rsidR="001B6E40" w:rsidRPr="00261B7A" w:rsidRDefault="001B6E40" w:rsidP="001B6E40"/>
    <w:p w14:paraId="5794BC4A" w14:textId="77777777" w:rsidR="00EC7C88" w:rsidRPr="00261B7A" w:rsidRDefault="00EC7C88" w:rsidP="001B6E40">
      <w:pPr>
        <w:sectPr w:rsidR="00EC7C88" w:rsidRPr="00261B7A" w:rsidSect="00B4687B">
          <w:footerReference w:type="even" r:id="rId264"/>
          <w:footerReference w:type="default" r:id="rId265"/>
          <w:pgSz w:w="11907" w:h="16840" w:code="9"/>
          <w:pgMar w:top="1418" w:right="1701" w:bottom="1418" w:left="1701" w:header="567" w:footer="567" w:gutter="0"/>
          <w:cols w:space="720"/>
        </w:sectPr>
      </w:pPr>
    </w:p>
    <w:p w14:paraId="7493E377" w14:textId="77777777" w:rsidR="00176CAD" w:rsidRPr="00261B7A" w:rsidRDefault="00176CAD" w:rsidP="00176CAD">
      <w:pPr>
        <w:pStyle w:val="Heading1"/>
      </w:pPr>
      <w:bookmarkStart w:id="2776" w:name="_Toc5269399"/>
      <w:bookmarkStart w:id="2777" w:name="_Toc36224439"/>
      <w:bookmarkStart w:id="2778" w:name="_Toc131591273"/>
      <w:r w:rsidRPr="00261B7A">
        <w:t>Chapter 9: Indirect carbon dioxide and nitrous oxide emissions</w:t>
      </w:r>
      <w:bookmarkEnd w:id="2776"/>
      <w:bookmarkEnd w:id="2777"/>
      <w:bookmarkEnd w:id="2778"/>
      <w:r w:rsidRPr="00261B7A">
        <w:t xml:space="preserve"> </w:t>
      </w:r>
    </w:p>
    <w:p w14:paraId="688A33B4" w14:textId="77777777" w:rsidR="00176CAD" w:rsidRPr="00261B7A" w:rsidRDefault="00176CAD" w:rsidP="00176CAD">
      <w:pPr>
        <w:pStyle w:val="BodyText"/>
      </w:pPr>
      <w:r w:rsidRPr="00261B7A">
        <w:t>New Zealand elected not to report indirect carbon dioxide emissions in its 2023 inventory submission. Indirect nitrous oxide emissions are reported in the Agriculture sector (chapter 5) and the Land Use, Land-Use Change and Forestry sector (chapter 6).</w:t>
      </w:r>
    </w:p>
    <w:p w14:paraId="18EE7AC0" w14:textId="77777777" w:rsidR="00176CAD" w:rsidRPr="00261B7A" w:rsidRDefault="00176CAD" w:rsidP="00176CAD"/>
    <w:p w14:paraId="09F4077A" w14:textId="77777777" w:rsidR="00CC1DF5" w:rsidRPr="00261B7A" w:rsidRDefault="00CC1DF5" w:rsidP="001B6E40">
      <w:pPr>
        <w:sectPr w:rsidR="00CC1DF5" w:rsidRPr="00261B7A" w:rsidSect="00176CAD">
          <w:footerReference w:type="even" r:id="rId266"/>
          <w:footerReference w:type="default" r:id="rId267"/>
          <w:pgSz w:w="11907" w:h="16840" w:code="9"/>
          <w:pgMar w:top="1418" w:right="1701" w:bottom="1418" w:left="1701" w:header="567" w:footer="567" w:gutter="0"/>
          <w:cols w:space="720"/>
        </w:sectPr>
      </w:pPr>
    </w:p>
    <w:p w14:paraId="1A1476E2" w14:textId="77777777" w:rsidR="00D140F7" w:rsidRPr="00261B7A" w:rsidRDefault="00D140F7" w:rsidP="00D140F7">
      <w:pPr>
        <w:pStyle w:val="Heading1"/>
      </w:pPr>
      <w:bookmarkStart w:id="2779" w:name="_Toc99659166"/>
      <w:bookmarkStart w:id="2780" w:name="_Toc131591274"/>
      <w:bookmarkStart w:id="2781" w:name="X15723e2af0975b848fa432e68188ad746a6b4f3"/>
      <w:r w:rsidRPr="00261B7A">
        <w:t>Chapter 10: Recalculations and improvements</w:t>
      </w:r>
      <w:bookmarkEnd w:id="2779"/>
      <w:bookmarkEnd w:id="2780"/>
    </w:p>
    <w:p w14:paraId="1E218349" w14:textId="77777777" w:rsidR="00D140F7" w:rsidRPr="00261B7A" w:rsidRDefault="00D140F7" w:rsidP="00D140F7">
      <w:pPr>
        <w:pStyle w:val="BodyText"/>
      </w:pPr>
      <w:r w:rsidRPr="00261B7A">
        <w:t>This chapter summarises the recalculations and improvements made to the inventory following the 2022 submission. Further details on the recalculations and improvements for each sector are provided in chapters 3 to 8 and 11.</w:t>
      </w:r>
    </w:p>
    <w:p w14:paraId="06B65BEE" w14:textId="77777777" w:rsidR="00D140F7" w:rsidRPr="00261B7A" w:rsidRDefault="00D140F7" w:rsidP="00D140F7">
      <w:pPr>
        <w:pStyle w:val="BodyText"/>
      </w:pPr>
      <w:r w:rsidRPr="00261B7A">
        <w:t>Recalculations of estimates reported in the previous submission of the inventory are due to improvements in:</w:t>
      </w:r>
    </w:p>
    <w:p w14:paraId="1CF17179" w14:textId="77777777" w:rsidR="00D140F7" w:rsidRPr="00261B7A" w:rsidRDefault="00D140F7" w:rsidP="00D140F7">
      <w:pPr>
        <w:pStyle w:val="Bullet"/>
      </w:pPr>
      <w:r w:rsidRPr="00261B7A">
        <w:t>activity data</w:t>
      </w:r>
    </w:p>
    <w:p w14:paraId="759AED08" w14:textId="77777777" w:rsidR="00D140F7" w:rsidRPr="00261B7A" w:rsidRDefault="00D140F7" w:rsidP="00D140F7">
      <w:pPr>
        <w:pStyle w:val="Bullet"/>
      </w:pPr>
      <w:r w:rsidRPr="00261B7A">
        <w:t>parameters for estimating emissions including emission factors</w:t>
      </w:r>
    </w:p>
    <w:p w14:paraId="53844BB2" w14:textId="77777777" w:rsidR="00D140F7" w:rsidRPr="00261B7A" w:rsidRDefault="00D140F7" w:rsidP="00D140F7">
      <w:pPr>
        <w:pStyle w:val="Bullet"/>
      </w:pPr>
      <w:r w:rsidRPr="00261B7A">
        <w:t>methodology, including correcting errors</w:t>
      </w:r>
    </w:p>
    <w:p w14:paraId="1558D098" w14:textId="77777777" w:rsidR="00D140F7" w:rsidRPr="00261B7A" w:rsidRDefault="00D140F7" w:rsidP="00D140F7">
      <w:pPr>
        <w:pStyle w:val="Bullet"/>
      </w:pPr>
      <w:r w:rsidRPr="00261B7A">
        <w:t>activity data and emission factors that became available for certain sources that were previously reported as ‘NE’ (not estimated) because of insufficient data.</w:t>
      </w:r>
    </w:p>
    <w:p w14:paraId="0B472466" w14:textId="77777777" w:rsidR="00D140F7" w:rsidRPr="00261B7A" w:rsidRDefault="00D140F7" w:rsidP="00D140F7">
      <w:pPr>
        <w:pStyle w:val="BodyText"/>
      </w:pPr>
      <w:r w:rsidRPr="00261B7A">
        <w:t xml:space="preserve">It is good practice to recalculate the whole time series from 1990 to the latest reporting year, to ensure consistency across the time series. This means some estimates of emissions and/or removals reported in this submission are different from estimates reported in the previous submission. There may be exceptions to recalculating the entire time series and, where this has occurred, explanations are provided. </w:t>
      </w:r>
    </w:p>
    <w:p w14:paraId="434C13FA" w14:textId="77777777" w:rsidR="00D140F7" w:rsidRPr="00261B7A" w:rsidRDefault="00D140F7" w:rsidP="00D140F7">
      <w:pPr>
        <w:pStyle w:val="BodyText"/>
      </w:pPr>
      <w:r w:rsidRPr="00261B7A">
        <w:t xml:space="preserve">Comparisons are made with the previous inventory’s estimates for 1990 and the previous reporting year, to quantify the impact. This provides transparency of the emissions impact that each improvement makes on the inventory. </w:t>
      </w:r>
    </w:p>
    <w:p w14:paraId="58A73D21" w14:textId="77777777" w:rsidR="00D140F7" w:rsidRPr="00261B7A" w:rsidRDefault="00D140F7" w:rsidP="00D140F7">
      <w:pPr>
        <w:pStyle w:val="Heading2"/>
      </w:pPr>
      <w:bookmarkStart w:id="2782" w:name="_Toc99659167"/>
      <w:bookmarkStart w:id="2783" w:name="_Toc131591275"/>
      <w:bookmarkStart w:id="2784" w:name="implications-and-justifications"/>
      <w:r w:rsidRPr="00261B7A">
        <w:t xml:space="preserve">10.1 </w:t>
      </w:r>
      <w:r w:rsidRPr="00261B7A">
        <w:tab/>
        <w:t>Implications and justifications</w:t>
      </w:r>
      <w:bookmarkEnd w:id="2782"/>
      <w:bookmarkEnd w:id="2783"/>
    </w:p>
    <w:p w14:paraId="22E0F6A1" w14:textId="77777777" w:rsidR="00D140F7" w:rsidRPr="00261B7A" w:rsidRDefault="00D140F7" w:rsidP="00D140F7">
      <w:pPr>
        <w:pStyle w:val="BodyText"/>
        <w:rPr>
          <w:highlight w:val="yellow"/>
        </w:rPr>
      </w:pPr>
      <w:r w:rsidRPr="00261B7A">
        <w:t>The effect of recalculations on New Zealand’s gross emissions estimates is shown in figure 10.1.1. There was a 0.7 per cent (476.9 kilotonnes carbon dioxide equivalent (kt CO</w:t>
      </w:r>
      <w:r w:rsidRPr="00261B7A">
        <w:rPr>
          <w:vertAlign w:val="subscript"/>
        </w:rPr>
        <w:t>2</w:t>
      </w:r>
      <w:r w:rsidRPr="00261B7A">
        <w:t>-e)) decrease in gross emissions in 1990 and a 1.8 per cent (1,447.7 kt CO</w:t>
      </w:r>
      <w:r w:rsidRPr="00261B7A">
        <w:rPr>
          <w:vertAlign w:val="subscript"/>
        </w:rPr>
        <w:t>2</w:t>
      </w:r>
      <w:r w:rsidRPr="00261B7A">
        <w:t xml:space="preserve">-e) decrease for the 2020 year. The greatest contribution to the decrease in gross emissions estimates across the time series came from improvements made in the Agriculture sector. This decrease is mainly the result of including the impact of the use of non-pasture feeds for </w:t>
      </w:r>
      <w:r w:rsidRPr="00261B7A">
        <w:rPr>
          <w:i/>
        </w:rPr>
        <w:t>Dairy cattle</w:t>
      </w:r>
      <w:r w:rsidRPr="00261B7A">
        <w:rPr>
          <w:iCs/>
        </w:rPr>
        <w:t xml:space="preserve">, </w:t>
      </w:r>
      <w:r w:rsidRPr="00261B7A">
        <w:rPr>
          <w:i/>
        </w:rPr>
        <w:t>Non-dairy</w:t>
      </w:r>
      <w:r w:rsidRPr="00261B7A">
        <w:rPr>
          <w:iCs/>
        </w:rPr>
        <w:t xml:space="preserve"> (beef)</w:t>
      </w:r>
      <w:r w:rsidRPr="00261B7A">
        <w:rPr>
          <w:i/>
        </w:rPr>
        <w:t xml:space="preserve"> cattle</w:t>
      </w:r>
      <w:r w:rsidRPr="00261B7A">
        <w:t xml:space="preserve"> and </w:t>
      </w:r>
      <w:r w:rsidRPr="00261B7A">
        <w:rPr>
          <w:i/>
        </w:rPr>
        <w:t>Sheep</w:t>
      </w:r>
      <w:r w:rsidRPr="00261B7A">
        <w:t xml:space="preserve"> and an improved dairy cattle population model.</w:t>
      </w:r>
      <w:r w:rsidRPr="00261B7A">
        <w:rPr>
          <w:highlight w:val="yellow"/>
        </w:rPr>
        <w:t xml:space="preserve"> </w:t>
      </w:r>
    </w:p>
    <w:p w14:paraId="2B623796" w14:textId="77777777" w:rsidR="00D140F7" w:rsidRPr="00261B7A" w:rsidRDefault="00D140F7" w:rsidP="00D140F7">
      <w:pPr>
        <w:pStyle w:val="Figure"/>
        <w:spacing w:after="60"/>
      </w:pPr>
      <w:bookmarkStart w:id="2785" w:name="_Toc99696068"/>
      <w:bookmarkStart w:id="2786" w:name="_Toc129781232"/>
      <w:bookmarkStart w:id="2787" w:name="_Toc130565766"/>
      <w:bookmarkStart w:id="2788" w:name="_Toc131591590"/>
      <w:r w:rsidRPr="00261B7A">
        <w:t>Figure 10.1.1</w:t>
      </w:r>
      <w:r w:rsidRPr="00261B7A">
        <w:tab/>
        <w:t>Effect of recalculations on New Zealand’s gross greenhouse gas emissions estimates</w:t>
      </w:r>
      <w:r w:rsidRPr="00261B7A">
        <w:br/>
        <w:t>from 1990 to 2020</w:t>
      </w:r>
      <w:bookmarkEnd w:id="2785"/>
      <w:bookmarkEnd w:id="2786"/>
      <w:bookmarkEnd w:id="2787"/>
      <w:bookmarkEnd w:id="2788"/>
    </w:p>
    <w:p w14:paraId="71FB38B3" w14:textId="77777777" w:rsidR="00D140F7" w:rsidRPr="00261B7A" w:rsidRDefault="00D140F7" w:rsidP="00D140F7">
      <w:pPr>
        <w:pStyle w:val="BodyText"/>
        <w:spacing w:after="80"/>
      </w:pPr>
      <w:r w:rsidRPr="00261B7A">
        <w:rPr>
          <w:noProof/>
        </w:rPr>
        <w:drawing>
          <wp:inline distT="0" distB="0" distL="0" distR="0" wp14:anchorId="484B621A" wp14:editId="0EFF6893">
            <wp:extent cx="5305245" cy="390880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rotWithShape="1">
                    <a:blip r:embed="rId268" cstate="print">
                      <a:extLst>
                        <a:ext uri="{28A0092B-C50C-407E-A947-70E740481C1C}">
                          <a14:useLocalDpi xmlns:a14="http://schemas.microsoft.com/office/drawing/2010/main" val="0"/>
                        </a:ext>
                      </a:extLst>
                    </a:blip>
                    <a:srcRect b="1762"/>
                    <a:stretch/>
                  </pic:blipFill>
                  <pic:spPr bwMode="auto">
                    <a:xfrm>
                      <a:off x="0" y="0"/>
                      <a:ext cx="5310142" cy="3912413"/>
                    </a:xfrm>
                    <a:prstGeom prst="rect">
                      <a:avLst/>
                    </a:prstGeom>
                    <a:ln>
                      <a:noFill/>
                    </a:ln>
                    <a:extLst>
                      <a:ext uri="{53640926-AAD7-44D8-BBD7-CCE9431645EC}">
                        <a14:shadowObscured xmlns:a14="http://schemas.microsoft.com/office/drawing/2010/main"/>
                      </a:ext>
                    </a:extLst>
                  </pic:spPr>
                </pic:pic>
              </a:graphicData>
            </a:graphic>
          </wp:inline>
        </w:drawing>
      </w:r>
    </w:p>
    <w:p w14:paraId="4DBB289B" w14:textId="6D2D178D" w:rsidR="00D140F7" w:rsidRPr="00261B7A" w:rsidRDefault="00D140F7" w:rsidP="00D140F7">
      <w:pPr>
        <w:pStyle w:val="BodyText"/>
      </w:pPr>
      <w:r w:rsidRPr="00261B7A">
        <w:t>The effect of recalculations on net emissions estimates, which include the Land Use, Land-Use Change and Forestry (LULUCF) sector, was an increase of 5.2 per cent (</w:t>
      </w:r>
      <w:r w:rsidR="00827E8E">
        <w:t>1,058.0</w:t>
      </w:r>
      <w:r w:rsidRPr="00261B7A">
        <w:t xml:space="preserve"> kt CO</w:t>
      </w:r>
      <w:r w:rsidRPr="00261B7A">
        <w:rPr>
          <w:vertAlign w:val="subscript"/>
        </w:rPr>
        <w:t>2</w:t>
      </w:r>
      <w:r w:rsidRPr="00261B7A">
        <w:t>-e) in net emissions in 1990 and an increase of 0.3 per cent (71.2 kt CO</w:t>
      </w:r>
      <w:r w:rsidRPr="00261B7A">
        <w:rPr>
          <w:vertAlign w:val="subscript"/>
        </w:rPr>
        <w:t>2</w:t>
      </w:r>
      <w:r w:rsidRPr="00261B7A">
        <w:t>-e) in net emissions in 2020. This is the combined effect of a number of changes made to gross emissions and changes in the LULUCF sector emissions. These are mainly due to a range of modelling procedures that have been improved to ensure consistency of treatment of harvesting and deforestation activities between pre-1990 and post-1989 planted forests.</w:t>
      </w:r>
    </w:p>
    <w:p w14:paraId="2011ACA2" w14:textId="77777777" w:rsidR="00D140F7" w:rsidRPr="00261B7A" w:rsidRDefault="00D140F7" w:rsidP="00D140F7">
      <w:pPr>
        <w:pStyle w:val="BodyText"/>
      </w:pPr>
      <w:r w:rsidRPr="00261B7A">
        <w:t>The following tables show for each sector the category that had the largest recalculations across the time series. Table 10.1.1 shows the recalculations that increased emissions estimates the most for each sector.</w:t>
      </w:r>
    </w:p>
    <w:p w14:paraId="61189306" w14:textId="77777777" w:rsidR="00D140F7" w:rsidRPr="00261B7A" w:rsidRDefault="00D140F7" w:rsidP="00D140F7">
      <w:pPr>
        <w:pStyle w:val="Table"/>
      </w:pPr>
      <w:bookmarkStart w:id="2789" w:name="_Toc99659371"/>
      <w:bookmarkStart w:id="2790" w:name="_Toc129781203"/>
      <w:bookmarkStart w:id="2791" w:name="_Toc130565738"/>
      <w:bookmarkStart w:id="2792" w:name="_Toc130565839"/>
      <w:bookmarkStart w:id="2793" w:name="_Toc131591483"/>
      <w:r w:rsidRPr="00261B7A">
        <w:t>Table 10.1.1</w:t>
      </w:r>
      <w:r w:rsidRPr="00261B7A">
        <w:tab/>
        <w:t>Recalculations that led to the greatest increase in emissions estimates in each sector</w:t>
      </w:r>
      <w:bookmarkEnd w:id="2789"/>
      <w:bookmarkEnd w:id="2790"/>
      <w:bookmarkEnd w:id="2791"/>
      <w:bookmarkEnd w:id="2792"/>
      <w:bookmarkEnd w:id="2793"/>
    </w:p>
    <w:tbl>
      <w:tblPr>
        <w:tblW w:w="8505" w:type="dxa"/>
        <w:tblLook w:val="0420" w:firstRow="1" w:lastRow="0" w:firstColumn="0" w:lastColumn="0" w:noHBand="0" w:noVBand="1"/>
      </w:tblPr>
      <w:tblGrid>
        <w:gridCol w:w="938"/>
        <w:gridCol w:w="3735"/>
        <w:gridCol w:w="2126"/>
        <w:gridCol w:w="1706"/>
      </w:tblGrid>
      <w:tr w:rsidR="00D140F7" w:rsidRPr="00261B7A" w14:paraId="49FD49F0" w14:textId="77777777" w:rsidTr="00257DB1">
        <w:trPr>
          <w:trHeight w:val="300"/>
          <w:tblHeader/>
        </w:trPr>
        <w:tc>
          <w:tcPr>
            <w:tcW w:w="938" w:type="dxa"/>
            <w:tcBorders>
              <w:top w:val="single" w:sz="4" w:space="0" w:color="1B556B"/>
              <w:left w:val="single" w:sz="4" w:space="0" w:color="FFFFFF" w:themeColor="background1"/>
              <w:bottom w:val="single" w:sz="4" w:space="0" w:color="1B556B"/>
            </w:tcBorders>
            <w:shd w:val="clear" w:color="auto" w:fill="1B556B"/>
            <w:vAlign w:val="bottom"/>
          </w:tcPr>
          <w:p w14:paraId="06CD34A9" w14:textId="77777777" w:rsidR="00D140F7" w:rsidRPr="00261B7A" w:rsidRDefault="00D140F7" w:rsidP="009C63CA">
            <w:pPr>
              <w:pStyle w:val="TableText"/>
              <w:rPr>
                <w:b/>
                <w:bCs/>
                <w:color w:val="FFFFFF"/>
                <w:szCs w:val="16"/>
              </w:rPr>
            </w:pPr>
            <w:r w:rsidRPr="00261B7A">
              <w:rPr>
                <w:rFonts w:eastAsia="Calibri"/>
                <w:b/>
                <w:bCs/>
                <w:color w:val="FFFFFF"/>
                <w:szCs w:val="16"/>
              </w:rPr>
              <w:t>Sector</w:t>
            </w:r>
          </w:p>
        </w:tc>
        <w:tc>
          <w:tcPr>
            <w:tcW w:w="3735" w:type="dxa"/>
            <w:tcBorders>
              <w:top w:val="single" w:sz="4" w:space="0" w:color="1B556B"/>
              <w:bottom w:val="single" w:sz="4" w:space="0" w:color="1B556B"/>
            </w:tcBorders>
            <w:shd w:val="clear" w:color="auto" w:fill="1B556B"/>
            <w:vAlign w:val="bottom"/>
          </w:tcPr>
          <w:p w14:paraId="0969E4F4" w14:textId="77777777" w:rsidR="00D140F7" w:rsidRPr="00261B7A" w:rsidRDefault="00D140F7" w:rsidP="009C63CA">
            <w:pPr>
              <w:pStyle w:val="TableText"/>
              <w:rPr>
                <w:b/>
                <w:bCs/>
                <w:color w:val="FFFFFF"/>
                <w:szCs w:val="16"/>
              </w:rPr>
            </w:pPr>
            <w:r w:rsidRPr="00261B7A">
              <w:rPr>
                <w:rFonts w:eastAsia="Calibri"/>
                <w:b/>
                <w:bCs/>
                <w:color w:val="FFFFFF"/>
                <w:szCs w:val="16"/>
              </w:rPr>
              <w:t>Category with the largest increase in estimated emissions across the entire time series</w:t>
            </w:r>
          </w:p>
        </w:tc>
        <w:tc>
          <w:tcPr>
            <w:tcW w:w="2126" w:type="dxa"/>
            <w:tcBorders>
              <w:top w:val="single" w:sz="4" w:space="0" w:color="1B556B"/>
              <w:bottom w:val="single" w:sz="4" w:space="0" w:color="1B556B"/>
            </w:tcBorders>
            <w:shd w:val="clear" w:color="auto" w:fill="1B556B"/>
            <w:vAlign w:val="bottom"/>
          </w:tcPr>
          <w:p w14:paraId="3E8128E7" w14:textId="77777777" w:rsidR="00D140F7" w:rsidRPr="00261B7A" w:rsidRDefault="00D140F7" w:rsidP="009C63CA">
            <w:pPr>
              <w:pStyle w:val="TableText"/>
              <w:jc w:val="right"/>
              <w:rPr>
                <w:b/>
                <w:bCs/>
                <w:color w:val="FFFFFF"/>
                <w:szCs w:val="16"/>
              </w:rPr>
            </w:pPr>
            <w:r w:rsidRPr="00261B7A">
              <w:rPr>
                <w:rFonts w:eastAsia="Calibri"/>
                <w:b/>
                <w:bCs/>
                <w:color w:val="FFFFFF"/>
                <w:szCs w:val="16"/>
              </w:rPr>
              <w:t>Largest single increase in emissions for the category (kt CO</w:t>
            </w:r>
            <w:r w:rsidRPr="00261B7A">
              <w:rPr>
                <w:rFonts w:eastAsia="Calibri"/>
                <w:b/>
                <w:bCs/>
                <w:color w:val="FFFFFF"/>
                <w:szCs w:val="16"/>
                <w:vertAlign w:val="subscript"/>
              </w:rPr>
              <w:t>2</w:t>
            </w:r>
            <w:r w:rsidRPr="00261B7A">
              <w:rPr>
                <w:rFonts w:eastAsia="Calibri"/>
                <w:b/>
                <w:bCs/>
                <w:color w:val="FFFFFF"/>
                <w:szCs w:val="16"/>
              </w:rPr>
              <w:t>-e)</w:t>
            </w:r>
          </w:p>
        </w:tc>
        <w:tc>
          <w:tcPr>
            <w:tcW w:w="1706" w:type="dxa"/>
            <w:tcBorders>
              <w:top w:val="single" w:sz="4" w:space="0" w:color="1B556B"/>
              <w:bottom w:val="single" w:sz="4" w:space="0" w:color="1B556B"/>
              <w:right w:val="single" w:sz="4" w:space="0" w:color="FFFFFF" w:themeColor="background1"/>
            </w:tcBorders>
            <w:shd w:val="clear" w:color="auto" w:fill="1B556B"/>
            <w:vAlign w:val="bottom"/>
          </w:tcPr>
          <w:p w14:paraId="7C0AEB99" w14:textId="18E5AF7A" w:rsidR="00D140F7" w:rsidRPr="00261B7A" w:rsidRDefault="00D140F7" w:rsidP="009C63CA">
            <w:pPr>
              <w:pStyle w:val="TableText"/>
              <w:jc w:val="right"/>
              <w:rPr>
                <w:b/>
                <w:bCs/>
                <w:color w:val="FFFFFF"/>
                <w:szCs w:val="16"/>
              </w:rPr>
            </w:pPr>
            <w:r w:rsidRPr="00261B7A">
              <w:rPr>
                <w:rFonts w:eastAsia="Calibri"/>
                <w:b/>
                <w:bCs/>
                <w:color w:val="FFFFFF"/>
                <w:szCs w:val="16"/>
              </w:rPr>
              <w:t xml:space="preserve">Year of the largest increase in </w:t>
            </w:r>
            <w:r w:rsidR="00257DB1">
              <w:rPr>
                <w:rFonts w:eastAsia="Calibri"/>
                <w:b/>
                <w:bCs/>
                <w:color w:val="FFFFFF"/>
                <w:szCs w:val="16"/>
              </w:rPr>
              <w:br/>
            </w:r>
            <w:r w:rsidRPr="00261B7A">
              <w:rPr>
                <w:rFonts w:eastAsia="Calibri"/>
                <w:b/>
                <w:bCs/>
                <w:color w:val="FFFFFF"/>
                <w:szCs w:val="16"/>
              </w:rPr>
              <w:t>estimated emissions</w:t>
            </w:r>
          </w:p>
        </w:tc>
      </w:tr>
      <w:tr w:rsidR="00D140F7" w:rsidRPr="00261B7A" w14:paraId="62509002" w14:textId="77777777" w:rsidTr="00257DB1">
        <w:trPr>
          <w:trHeight w:val="300"/>
        </w:trPr>
        <w:tc>
          <w:tcPr>
            <w:tcW w:w="938" w:type="dxa"/>
            <w:tcBorders>
              <w:top w:val="single" w:sz="4" w:space="0" w:color="1B556B"/>
              <w:left w:val="single" w:sz="4" w:space="0" w:color="FFFFFF" w:themeColor="background1"/>
              <w:bottom w:val="single" w:sz="4" w:space="0" w:color="1B556B"/>
            </w:tcBorders>
            <w:shd w:val="clear" w:color="auto" w:fill="FFFFFF" w:themeFill="background1"/>
            <w:vAlign w:val="center"/>
          </w:tcPr>
          <w:p w14:paraId="150A51AF" w14:textId="77777777" w:rsidR="00D140F7" w:rsidRPr="00261B7A" w:rsidRDefault="00D140F7" w:rsidP="009C63CA">
            <w:pPr>
              <w:pStyle w:val="TableText"/>
              <w:rPr>
                <w:szCs w:val="16"/>
              </w:rPr>
            </w:pPr>
            <w:r w:rsidRPr="00261B7A">
              <w:rPr>
                <w:rFonts w:eastAsia="Calibri"/>
                <w:szCs w:val="16"/>
              </w:rPr>
              <w:t>Energy</w:t>
            </w:r>
          </w:p>
        </w:tc>
        <w:tc>
          <w:tcPr>
            <w:tcW w:w="3735" w:type="dxa"/>
            <w:tcBorders>
              <w:top w:val="single" w:sz="4" w:space="0" w:color="1B556B"/>
              <w:bottom w:val="single" w:sz="4" w:space="0" w:color="1B556B"/>
            </w:tcBorders>
            <w:shd w:val="clear" w:color="auto" w:fill="FFFFFF" w:themeFill="background1"/>
            <w:vAlign w:val="center"/>
          </w:tcPr>
          <w:p w14:paraId="47EC63B7" w14:textId="77777777" w:rsidR="00D140F7" w:rsidRPr="00261B7A" w:rsidRDefault="00D140F7" w:rsidP="009C63CA">
            <w:pPr>
              <w:pStyle w:val="TableText"/>
              <w:rPr>
                <w:szCs w:val="16"/>
              </w:rPr>
            </w:pPr>
            <w:r w:rsidRPr="00261B7A">
              <w:rPr>
                <w:rFonts w:eastAsia="Calibri"/>
                <w:szCs w:val="16"/>
              </w:rPr>
              <w:t>1.A.3.b.ii Gasoline</w:t>
            </w:r>
            <w:r w:rsidRPr="00261B7A" w:rsidDel="00D42DD3">
              <w:rPr>
                <w:rFonts w:eastAsia="Calibri"/>
                <w:szCs w:val="16"/>
              </w:rPr>
              <w:t xml:space="preserve"> </w:t>
            </w:r>
          </w:p>
        </w:tc>
        <w:tc>
          <w:tcPr>
            <w:tcW w:w="2126" w:type="dxa"/>
            <w:tcBorders>
              <w:top w:val="single" w:sz="4" w:space="0" w:color="1B556B"/>
              <w:bottom w:val="single" w:sz="4" w:space="0" w:color="1B556B"/>
            </w:tcBorders>
            <w:shd w:val="clear" w:color="auto" w:fill="FFFFFF" w:themeFill="background1"/>
            <w:vAlign w:val="center"/>
          </w:tcPr>
          <w:p w14:paraId="52BA45B6" w14:textId="77777777" w:rsidR="00D140F7" w:rsidRPr="00261B7A" w:rsidRDefault="00D140F7" w:rsidP="009C63CA">
            <w:pPr>
              <w:pStyle w:val="TableText"/>
              <w:jc w:val="right"/>
              <w:rPr>
                <w:szCs w:val="16"/>
              </w:rPr>
            </w:pPr>
            <w:r w:rsidRPr="00261B7A">
              <w:rPr>
                <w:rFonts w:eastAsia="Calibri"/>
                <w:szCs w:val="16"/>
              </w:rPr>
              <w:t>70.7</w:t>
            </w:r>
          </w:p>
        </w:tc>
        <w:tc>
          <w:tcPr>
            <w:tcW w:w="1706" w:type="dxa"/>
            <w:tcBorders>
              <w:top w:val="single" w:sz="4" w:space="0" w:color="1B556B"/>
              <w:bottom w:val="single" w:sz="4" w:space="0" w:color="1B556B"/>
              <w:right w:val="single" w:sz="4" w:space="0" w:color="FFFFFF" w:themeColor="background1"/>
            </w:tcBorders>
            <w:shd w:val="clear" w:color="auto" w:fill="FFFFFF" w:themeFill="background1"/>
            <w:vAlign w:val="center"/>
          </w:tcPr>
          <w:p w14:paraId="4F1135FA" w14:textId="77777777" w:rsidR="00D140F7" w:rsidRPr="00261B7A" w:rsidRDefault="00D140F7" w:rsidP="009C63CA">
            <w:pPr>
              <w:pStyle w:val="TableText"/>
              <w:jc w:val="right"/>
              <w:rPr>
                <w:szCs w:val="16"/>
              </w:rPr>
            </w:pPr>
            <w:r w:rsidRPr="00261B7A">
              <w:rPr>
                <w:rFonts w:eastAsia="Calibri"/>
                <w:szCs w:val="16"/>
              </w:rPr>
              <w:t>2001</w:t>
            </w:r>
          </w:p>
        </w:tc>
      </w:tr>
      <w:tr w:rsidR="00D140F7" w:rsidRPr="00261B7A" w14:paraId="3DFF4186" w14:textId="77777777" w:rsidTr="00257DB1">
        <w:trPr>
          <w:trHeight w:val="300"/>
        </w:trPr>
        <w:tc>
          <w:tcPr>
            <w:tcW w:w="938" w:type="dxa"/>
            <w:tcBorders>
              <w:top w:val="single" w:sz="4" w:space="0" w:color="1B556B"/>
              <w:left w:val="single" w:sz="4" w:space="0" w:color="FFFFFF" w:themeColor="background1"/>
              <w:bottom w:val="single" w:sz="4" w:space="0" w:color="1B556B"/>
            </w:tcBorders>
            <w:shd w:val="clear" w:color="auto" w:fill="FFFFFF" w:themeFill="background1"/>
            <w:vAlign w:val="center"/>
          </w:tcPr>
          <w:p w14:paraId="47B194E9" w14:textId="77777777" w:rsidR="00D140F7" w:rsidRPr="00261B7A" w:rsidRDefault="00D140F7" w:rsidP="009C63CA">
            <w:pPr>
              <w:pStyle w:val="TableText"/>
              <w:rPr>
                <w:szCs w:val="16"/>
              </w:rPr>
            </w:pPr>
            <w:r w:rsidRPr="00261B7A">
              <w:rPr>
                <w:rFonts w:eastAsia="Calibri"/>
                <w:szCs w:val="16"/>
              </w:rPr>
              <w:t>IPPU</w:t>
            </w:r>
          </w:p>
        </w:tc>
        <w:tc>
          <w:tcPr>
            <w:tcW w:w="3735" w:type="dxa"/>
            <w:tcBorders>
              <w:top w:val="single" w:sz="4" w:space="0" w:color="1B556B"/>
              <w:bottom w:val="single" w:sz="4" w:space="0" w:color="1B556B"/>
            </w:tcBorders>
            <w:shd w:val="clear" w:color="auto" w:fill="FFFFFF" w:themeFill="background1"/>
            <w:vAlign w:val="center"/>
          </w:tcPr>
          <w:p w14:paraId="02AA95FA" w14:textId="77777777" w:rsidR="00D140F7" w:rsidRPr="00261B7A" w:rsidRDefault="00D140F7" w:rsidP="009C63CA">
            <w:pPr>
              <w:pStyle w:val="TableText"/>
              <w:rPr>
                <w:szCs w:val="16"/>
              </w:rPr>
            </w:pPr>
            <w:r w:rsidRPr="00261B7A">
              <w:rPr>
                <w:rFonts w:eastAsia="Calibri"/>
                <w:szCs w:val="16"/>
              </w:rPr>
              <w:t>2.F.1.a HFC-143a</w:t>
            </w:r>
          </w:p>
        </w:tc>
        <w:tc>
          <w:tcPr>
            <w:tcW w:w="2126" w:type="dxa"/>
            <w:tcBorders>
              <w:top w:val="single" w:sz="4" w:space="0" w:color="1B556B"/>
              <w:bottom w:val="single" w:sz="4" w:space="0" w:color="1B556B"/>
            </w:tcBorders>
            <w:shd w:val="clear" w:color="auto" w:fill="FFFFFF" w:themeFill="background1"/>
            <w:vAlign w:val="center"/>
          </w:tcPr>
          <w:p w14:paraId="65483770" w14:textId="77777777" w:rsidR="00D140F7" w:rsidRPr="00261B7A" w:rsidRDefault="00D140F7" w:rsidP="009C63CA">
            <w:pPr>
              <w:pStyle w:val="TableText"/>
              <w:jc w:val="right"/>
              <w:rPr>
                <w:szCs w:val="16"/>
              </w:rPr>
            </w:pPr>
            <w:r w:rsidRPr="00261B7A">
              <w:rPr>
                <w:rFonts w:eastAsia="Calibri"/>
                <w:szCs w:val="16"/>
              </w:rPr>
              <w:t>121.2</w:t>
            </w:r>
            <w:r w:rsidRPr="00261B7A" w:rsidDel="00DC1618">
              <w:rPr>
                <w:rFonts w:eastAsia="Calibri"/>
                <w:szCs w:val="16"/>
              </w:rPr>
              <w:t xml:space="preserve"> </w:t>
            </w:r>
          </w:p>
        </w:tc>
        <w:tc>
          <w:tcPr>
            <w:tcW w:w="1706" w:type="dxa"/>
            <w:tcBorders>
              <w:top w:val="single" w:sz="4" w:space="0" w:color="1B556B"/>
              <w:bottom w:val="single" w:sz="4" w:space="0" w:color="1B556B"/>
              <w:right w:val="single" w:sz="4" w:space="0" w:color="FFFFFF" w:themeColor="background1"/>
            </w:tcBorders>
            <w:shd w:val="clear" w:color="auto" w:fill="FFFFFF" w:themeFill="background1"/>
            <w:vAlign w:val="center"/>
          </w:tcPr>
          <w:p w14:paraId="1E83B68F" w14:textId="77777777" w:rsidR="00D140F7" w:rsidRPr="00261B7A" w:rsidRDefault="00D140F7" w:rsidP="009C63CA">
            <w:pPr>
              <w:pStyle w:val="TableText"/>
              <w:jc w:val="right"/>
              <w:rPr>
                <w:szCs w:val="16"/>
              </w:rPr>
            </w:pPr>
            <w:r w:rsidRPr="00261B7A">
              <w:rPr>
                <w:rFonts w:eastAsia="Calibri"/>
                <w:szCs w:val="16"/>
              </w:rPr>
              <w:t>2014</w:t>
            </w:r>
          </w:p>
        </w:tc>
      </w:tr>
      <w:tr w:rsidR="00D140F7" w:rsidRPr="00261B7A" w14:paraId="69830A4B" w14:textId="77777777" w:rsidTr="00257DB1">
        <w:trPr>
          <w:trHeight w:val="300"/>
        </w:trPr>
        <w:tc>
          <w:tcPr>
            <w:tcW w:w="938" w:type="dxa"/>
            <w:tcBorders>
              <w:top w:val="single" w:sz="4" w:space="0" w:color="1B556B"/>
              <w:left w:val="single" w:sz="4" w:space="0" w:color="FFFFFF" w:themeColor="background1"/>
              <w:bottom w:val="single" w:sz="4" w:space="0" w:color="1B556B"/>
            </w:tcBorders>
            <w:shd w:val="clear" w:color="auto" w:fill="FFFFFF" w:themeFill="background1"/>
            <w:vAlign w:val="center"/>
          </w:tcPr>
          <w:p w14:paraId="048186A7" w14:textId="77777777" w:rsidR="00D140F7" w:rsidRPr="00261B7A" w:rsidRDefault="00D140F7" w:rsidP="009C63CA">
            <w:pPr>
              <w:pStyle w:val="TableText"/>
              <w:rPr>
                <w:rFonts w:eastAsia="Calibri"/>
                <w:szCs w:val="16"/>
              </w:rPr>
            </w:pPr>
            <w:r w:rsidRPr="00261B7A">
              <w:rPr>
                <w:rFonts w:eastAsia="Calibri"/>
                <w:szCs w:val="16"/>
              </w:rPr>
              <w:t>Agriculture</w:t>
            </w:r>
          </w:p>
        </w:tc>
        <w:tc>
          <w:tcPr>
            <w:tcW w:w="3735" w:type="dxa"/>
            <w:tcBorders>
              <w:top w:val="single" w:sz="4" w:space="0" w:color="1B556B"/>
              <w:bottom w:val="single" w:sz="4" w:space="0" w:color="1B556B"/>
            </w:tcBorders>
            <w:shd w:val="clear" w:color="auto" w:fill="FFFFFF" w:themeFill="background1"/>
            <w:vAlign w:val="center"/>
          </w:tcPr>
          <w:p w14:paraId="78176764" w14:textId="77777777" w:rsidR="00D140F7" w:rsidRPr="00261B7A" w:rsidRDefault="00D140F7" w:rsidP="009C63CA">
            <w:pPr>
              <w:pStyle w:val="TableText"/>
              <w:rPr>
                <w:rFonts w:eastAsia="Calibri"/>
                <w:szCs w:val="16"/>
              </w:rPr>
            </w:pPr>
            <w:r w:rsidRPr="00261B7A">
              <w:rPr>
                <w:rFonts w:eastAsia="Calibri"/>
                <w:szCs w:val="16"/>
              </w:rPr>
              <w:t>3.D.2.2 Nitrogen Leaching and Run-off</w:t>
            </w:r>
          </w:p>
        </w:tc>
        <w:tc>
          <w:tcPr>
            <w:tcW w:w="2126" w:type="dxa"/>
            <w:tcBorders>
              <w:top w:val="single" w:sz="4" w:space="0" w:color="1B556B"/>
              <w:bottom w:val="single" w:sz="4" w:space="0" w:color="1B556B"/>
            </w:tcBorders>
            <w:shd w:val="clear" w:color="auto" w:fill="FFFFFF" w:themeFill="background1"/>
            <w:vAlign w:val="center"/>
          </w:tcPr>
          <w:p w14:paraId="34E66668" w14:textId="77777777" w:rsidR="00D140F7" w:rsidRPr="00261B7A" w:rsidRDefault="00D140F7" w:rsidP="009C63CA">
            <w:pPr>
              <w:pStyle w:val="TableText"/>
              <w:jc w:val="right"/>
              <w:rPr>
                <w:rFonts w:eastAsia="Calibri"/>
                <w:szCs w:val="16"/>
              </w:rPr>
            </w:pPr>
            <w:r w:rsidRPr="00261B7A">
              <w:rPr>
                <w:rFonts w:eastAsia="Calibri"/>
                <w:szCs w:val="16"/>
              </w:rPr>
              <w:t>54.8</w:t>
            </w:r>
          </w:p>
        </w:tc>
        <w:tc>
          <w:tcPr>
            <w:tcW w:w="1706" w:type="dxa"/>
            <w:tcBorders>
              <w:top w:val="single" w:sz="4" w:space="0" w:color="1B556B"/>
              <w:bottom w:val="single" w:sz="4" w:space="0" w:color="1B556B"/>
              <w:right w:val="single" w:sz="4" w:space="0" w:color="FFFFFF" w:themeColor="background1"/>
            </w:tcBorders>
            <w:shd w:val="clear" w:color="auto" w:fill="FFFFFF" w:themeFill="background1"/>
            <w:vAlign w:val="center"/>
          </w:tcPr>
          <w:p w14:paraId="05F38006" w14:textId="77777777" w:rsidR="00D140F7" w:rsidRPr="00261B7A" w:rsidRDefault="00D140F7" w:rsidP="009C63CA">
            <w:pPr>
              <w:pStyle w:val="TableText"/>
              <w:jc w:val="right"/>
              <w:rPr>
                <w:rFonts w:eastAsia="Calibri"/>
                <w:szCs w:val="16"/>
              </w:rPr>
            </w:pPr>
            <w:r w:rsidRPr="00261B7A">
              <w:rPr>
                <w:rFonts w:eastAsia="Calibri"/>
                <w:szCs w:val="16"/>
              </w:rPr>
              <w:t>2003</w:t>
            </w:r>
          </w:p>
        </w:tc>
      </w:tr>
      <w:tr w:rsidR="00D140F7" w:rsidRPr="00261B7A" w14:paraId="70DE81B6" w14:textId="77777777" w:rsidTr="00257DB1">
        <w:trPr>
          <w:trHeight w:val="300"/>
        </w:trPr>
        <w:tc>
          <w:tcPr>
            <w:tcW w:w="938" w:type="dxa"/>
            <w:tcBorders>
              <w:top w:val="single" w:sz="4" w:space="0" w:color="1B556B"/>
              <w:left w:val="single" w:sz="4" w:space="0" w:color="FFFFFF" w:themeColor="background1"/>
              <w:bottom w:val="single" w:sz="4" w:space="0" w:color="1B556B"/>
            </w:tcBorders>
            <w:shd w:val="clear" w:color="auto" w:fill="FFFFFF" w:themeFill="background1"/>
          </w:tcPr>
          <w:p w14:paraId="632ECE37" w14:textId="77777777" w:rsidR="00D140F7" w:rsidRPr="00261B7A" w:rsidRDefault="00D140F7" w:rsidP="009C63CA">
            <w:pPr>
              <w:pStyle w:val="TableText"/>
              <w:rPr>
                <w:szCs w:val="16"/>
              </w:rPr>
            </w:pPr>
            <w:r w:rsidRPr="00261B7A">
              <w:rPr>
                <w:rFonts w:eastAsia="Calibri"/>
                <w:szCs w:val="16"/>
              </w:rPr>
              <w:t>LULUCF</w:t>
            </w:r>
          </w:p>
        </w:tc>
        <w:tc>
          <w:tcPr>
            <w:tcW w:w="3735" w:type="dxa"/>
            <w:tcBorders>
              <w:top w:val="single" w:sz="4" w:space="0" w:color="1B556B"/>
              <w:bottom w:val="single" w:sz="4" w:space="0" w:color="1B556B"/>
            </w:tcBorders>
            <w:shd w:val="clear" w:color="auto" w:fill="FFFFFF" w:themeFill="background1"/>
          </w:tcPr>
          <w:p w14:paraId="15A9EE32" w14:textId="77777777" w:rsidR="00D140F7" w:rsidRPr="00261B7A" w:rsidRDefault="00D140F7" w:rsidP="009C63CA">
            <w:pPr>
              <w:pStyle w:val="TableText"/>
              <w:rPr>
                <w:szCs w:val="16"/>
              </w:rPr>
            </w:pPr>
            <w:r w:rsidRPr="00261B7A">
              <w:rPr>
                <w:rFonts w:eastAsia="Calibri"/>
                <w:szCs w:val="16"/>
              </w:rPr>
              <w:t xml:space="preserve">4.A.1.i </w:t>
            </w:r>
            <w:r w:rsidRPr="00261B7A">
              <w:rPr>
                <w:szCs w:val="16"/>
              </w:rPr>
              <w:t>Post-1989 Forest Remaining Post-1989 Forest</w:t>
            </w:r>
          </w:p>
        </w:tc>
        <w:tc>
          <w:tcPr>
            <w:tcW w:w="2126" w:type="dxa"/>
            <w:tcBorders>
              <w:top w:val="single" w:sz="4" w:space="0" w:color="1B556B"/>
              <w:bottom w:val="single" w:sz="4" w:space="0" w:color="1B556B"/>
            </w:tcBorders>
            <w:shd w:val="clear" w:color="auto" w:fill="FFFFFF" w:themeFill="background1"/>
          </w:tcPr>
          <w:p w14:paraId="3323C251" w14:textId="77777777" w:rsidR="00D140F7" w:rsidRPr="00261B7A" w:rsidRDefault="00D140F7" w:rsidP="009C63CA">
            <w:pPr>
              <w:pStyle w:val="TableText"/>
              <w:jc w:val="right"/>
              <w:rPr>
                <w:szCs w:val="16"/>
              </w:rPr>
            </w:pPr>
            <w:r w:rsidRPr="00261B7A">
              <w:rPr>
                <w:rFonts w:eastAsia="Calibri"/>
                <w:szCs w:val="16"/>
              </w:rPr>
              <w:t>2,926.6</w:t>
            </w:r>
          </w:p>
        </w:tc>
        <w:tc>
          <w:tcPr>
            <w:tcW w:w="1706" w:type="dxa"/>
            <w:tcBorders>
              <w:top w:val="single" w:sz="4" w:space="0" w:color="1B556B"/>
              <w:bottom w:val="single" w:sz="4" w:space="0" w:color="1B556B"/>
              <w:right w:val="single" w:sz="4" w:space="0" w:color="FFFFFF" w:themeColor="background1"/>
            </w:tcBorders>
            <w:shd w:val="clear" w:color="auto" w:fill="FFFFFF" w:themeFill="background1"/>
          </w:tcPr>
          <w:p w14:paraId="7DE26235" w14:textId="77777777" w:rsidR="00D140F7" w:rsidRPr="00261B7A" w:rsidRDefault="00D140F7" w:rsidP="009C63CA">
            <w:pPr>
              <w:pStyle w:val="TableText"/>
              <w:jc w:val="right"/>
              <w:rPr>
                <w:szCs w:val="16"/>
              </w:rPr>
            </w:pPr>
            <w:r w:rsidRPr="00261B7A">
              <w:rPr>
                <w:rFonts w:eastAsia="Calibri"/>
                <w:szCs w:val="16"/>
              </w:rPr>
              <w:t>2019</w:t>
            </w:r>
          </w:p>
        </w:tc>
      </w:tr>
      <w:tr w:rsidR="00D140F7" w:rsidRPr="00261B7A" w14:paraId="0E522A0F" w14:textId="77777777" w:rsidTr="00257DB1">
        <w:trPr>
          <w:trHeight w:val="300"/>
        </w:trPr>
        <w:tc>
          <w:tcPr>
            <w:tcW w:w="938" w:type="dxa"/>
            <w:tcBorders>
              <w:top w:val="single" w:sz="4" w:space="0" w:color="1B556B"/>
              <w:left w:val="single" w:sz="4" w:space="0" w:color="FFFFFF" w:themeColor="background1"/>
              <w:bottom w:val="single" w:sz="4" w:space="0" w:color="1B556B"/>
            </w:tcBorders>
            <w:shd w:val="clear" w:color="auto" w:fill="FFFFFF" w:themeFill="background1"/>
            <w:vAlign w:val="center"/>
          </w:tcPr>
          <w:p w14:paraId="23232A11" w14:textId="77777777" w:rsidR="00D140F7" w:rsidRPr="00261B7A" w:rsidRDefault="00D140F7" w:rsidP="009C63CA">
            <w:pPr>
              <w:pStyle w:val="TableText"/>
              <w:rPr>
                <w:szCs w:val="16"/>
              </w:rPr>
            </w:pPr>
            <w:r w:rsidRPr="00261B7A">
              <w:rPr>
                <w:rFonts w:eastAsia="Calibri"/>
                <w:szCs w:val="16"/>
              </w:rPr>
              <w:t>Waste</w:t>
            </w:r>
          </w:p>
        </w:tc>
        <w:tc>
          <w:tcPr>
            <w:tcW w:w="3735" w:type="dxa"/>
            <w:tcBorders>
              <w:top w:val="single" w:sz="4" w:space="0" w:color="1B556B"/>
              <w:bottom w:val="single" w:sz="4" w:space="0" w:color="1B556B"/>
            </w:tcBorders>
            <w:shd w:val="clear" w:color="auto" w:fill="FFFFFF" w:themeFill="background1"/>
            <w:vAlign w:val="center"/>
          </w:tcPr>
          <w:p w14:paraId="171186E6" w14:textId="77777777" w:rsidR="00D140F7" w:rsidRPr="00261B7A" w:rsidRDefault="00D140F7" w:rsidP="009C63CA">
            <w:pPr>
              <w:pStyle w:val="TableText"/>
              <w:rPr>
                <w:szCs w:val="16"/>
                <w:highlight w:val="yellow"/>
              </w:rPr>
            </w:pPr>
            <w:r w:rsidRPr="00261B7A">
              <w:rPr>
                <w:rFonts w:eastAsia="Calibri"/>
                <w:szCs w:val="16"/>
              </w:rPr>
              <w:t>5.D.2 Industrial Wastewater</w:t>
            </w:r>
          </w:p>
        </w:tc>
        <w:tc>
          <w:tcPr>
            <w:tcW w:w="2126" w:type="dxa"/>
            <w:tcBorders>
              <w:top w:val="single" w:sz="4" w:space="0" w:color="1B556B"/>
              <w:bottom w:val="single" w:sz="4" w:space="0" w:color="1B556B"/>
            </w:tcBorders>
            <w:shd w:val="clear" w:color="auto" w:fill="FFFFFF" w:themeFill="background1"/>
            <w:vAlign w:val="center"/>
          </w:tcPr>
          <w:p w14:paraId="1670EC4A" w14:textId="77777777" w:rsidR="00D140F7" w:rsidRPr="00261B7A" w:rsidRDefault="00D140F7" w:rsidP="009C63CA">
            <w:pPr>
              <w:pStyle w:val="TableText"/>
              <w:jc w:val="right"/>
              <w:rPr>
                <w:szCs w:val="16"/>
                <w:highlight w:val="yellow"/>
              </w:rPr>
            </w:pPr>
            <w:r w:rsidRPr="00261B7A">
              <w:rPr>
                <w:rFonts w:eastAsia="Calibri"/>
                <w:szCs w:val="16"/>
              </w:rPr>
              <w:t>2.2</w:t>
            </w:r>
          </w:p>
        </w:tc>
        <w:tc>
          <w:tcPr>
            <w:tcW w:w="1706" w:type="dxa"/>
            <w:tcBorders>
              <w:top w:val="single" w:sz="4" w:space="0" w:color="1B556B"/>
              <w:bottom w:val="single" w:sz="4" w:space="0" w:color="1B556B"/>
              <w:right w:val="single" w:sz="4" w:space="0" w:color="FFFFFF" w:themeColor="background1"/>
            </w:tcBorders>
            <w:shd w:val="clear" w:color="auto" w:fill="FFFFFF" w:themeFill="background1"/>
            <w:vAlign w:val="center"/>
          </w:tcPr>
          <w:p w14:paraId="05259858" w14:textId="77777777" w:rsidR="00D140F7" w:rsidRPr="00261B7A" w:rsidRDefault="00D140F7" w:rsidP="009C63CA">
            <w:pPr>
              <w:pStyle w:val="TableText"/>
              <w:jc w:val="right"/>
              <w:rPr>
                <w:szCs w:val="16"/>
                <w:highlight w:val="yellow"/>
              </w:rPr>
            </w:pPr>
            <w:r w:rsidRPr="00261B7A">
              <w:rPr>
                <w:rFonts w:eastAsia="Calibri"/>
                <w:szCs w:val="16"/>
              </w:rPr>
              <w:t>2004</w:t>
            </w:r>
          </w:p>
        </w:tc>
      </w:tr>
      <w:tr w:rsidR="00D140F7" w:rsidRPr="00261B7A" w14:paraId="2C9FD884" w14:textId="77777777" w:rsidTr="00257DB1">
        <w:trPr>
          <w:trHeight w:val="300"/>
        </w:trPr>
        <w:tc>
          <w:tcPr>
            <w:tcW w:w="938" w:type="dxa"/>
            <w:tcBorders>
              <w:top w:val="single" w:sz="4" w:space="0" w:color="1B556B"/>
              <w:left w:val="single" w:sz="4" w:space="0" w:color="FFFFFF" w:themeColor="background1"/>
              <w:bottom w:val="single" w:sz="4" w:space="0" w:color="1B556B"/>
            </w:tcBorders>
            <w:shd w:val="clear" w:color="auto" w:fill="FFFFFF" w:themeFill="background1"/>
            <w:vAlign w:val="center"/>
          </w:tcPr>
          <w:p w14:paraId="01243CDF" w14:textId="77777777" w:rsidR="00D140F7" w:rsidRPr="00261B7A" w:rsidRDefault="00D140F7" w:rsidP="009C63CA">
            <w:pPr>
              <w:pStyle w:val="TableText"/>
              <w:rPr>
                <w:szCs w:val="16"/>
              </w:rPr>
            </w:pPr>
            <w:r w:rsidRPr="00261B7A">
              <w:rPr>
                <w:rFonts w:eastAsia="Calibri"/>
                <w:szCs w:val="16"/>
              </w:rPr>
              <w:t>Tokelau</w:t>
            </w:r>
          </w:p>
        </w:tc>
        <w:tc>
          <w:tcPr>
            <w:tcW w:w="3735" w:type="dxa"/>
            <w:tcBorders>
              <w:top w:val="single" w:sz="4" w:space="0" w:color="1B556B"/>
              <w:bottom w:val="single" w:sz="4" w:space="0" w:color="1B556B"/>
            </w:tcBorders>
            <w:shd w:val="clear" w:color="auto" w:fill="FFFFFF" w:themeFill="background1"/>
            <w:vAlign w:val="center"/>
          </w:tcPr>
          <w:p w14:paraId="663FEC0F" w14:textId="77777777" w:rsidR="00D140F7" w:rsidRPr="00261B7A" w:rsidRDefault="00D140F7" w:rsidP="009C63CA">
            <w:pPr>
              <w:pStyle w:val="TableText"/>
              <w:rPr>
                <w:szCs w:val="16"/>
              </w:rPr>
            </w:pPr>
            <w:r w:rsidRPr="00261B7A">
              <w:rPr>
                <w:rFonts w:eastAsia="Calibri"/>
                <w:szCs w:val="16"/>
              </w:rPr>
              <w:t>6. Tokelau_5. Waste</w:t>
            </w:r>
          </w:p>
        </w:tc>
        <w:tc>
          <w:tcPr>
            <w:tcW w:w="2126" w:type="dxa"/>
            <w:tcBorders>
              <w:top w:val="single" w:sz="4" w:space="0" w:color="1B556B"/>
              <w:bottom w:val="single" w:sz="4" w:space="0" w:color="1B556B"/>
            </w:tcBorders>
            <w:shd w:val="clear" w:color="auto" w:fill="FFFFFF" w:themeFill="background1"/>
            <w:vAlign w:val="center"/>
          </w:tcPr>
          <w:p w14:paraId="3D4FEC5E" w14:textId="77777777" w:rsidR="00D140F7" w:rsidRPr="00261B7A" w:rsidRDefault="00D140F7" w:rsidP="009C63CA">
            <w:pPr>
              <w:pStyle w:val="TableText"/>
              <w:jc w:val="right"/>
              <w:rPr>
                <w:szCs w:val="16"/>
              </w:rPr>
            </w:pPr>
            <w:r w:rsidRPr="00261B7A">
              <w:rPr>
                <w:rFonts w:eastAsia="Calibri"/>
                <w:szCs w:val="16"/>
              </w:rPr>
              <w:t>0.001</w:t>
            </w:r>
          </w:p>
        </w:tc>
        <w:tc>
          <w:tcPr>
            <w:tcW w:w="1706" w:type="dxa"/>
            <w:tcBorders>
              <w:top w:val="single" w:sz="4" w:space="0" w:color="1B556B"/>
              <w:bottom w:val="single" w:sz="4" w:space="0" w:color="1B556B"/>
              <w:right w:val="single" w:sz="4" w:space="0" w:color="FFFFFF" w:themeColor="background1"/>
            </w:tcBorders>
            <w:shd w:val="clear" w:color="auto" w:fill="FFFFFF" w:themeFill="background1"/>
            <w:vAlign w:val="center"/>
          </w:tcPr>
          <w:p w14:paraId="3E2BAD30" w14:textId="77777777" w:rsidR="00D140F7" w:rsidRPr="00261B7A" w:rsidRDefault="00D140F7" w:rsidP="009C63CA">
            <w:pPr>
              <w:pStyle w:val="TableText"/>
              <w:jc w:val="right"/>
              <w:rPr>
                <w:szCs w:val="16"/>
              </w:rPr>
            </w:pPr>
            <w:r w:rsidRPr="00261B7A">
              <w:rPr>
                <w:rFonts w:eastAsia="Calibri"/>
                <w:szCs w:val="16"/>
              </w:rPr>
              <w:t>2018</w:t>
            </w:r>
          </w:p>
        </w:tc>
      </w:tr>
    </w:tbl>
    <w:p w14:paraId="0B41FDC6" w14:textId="77777777" w:rsidR="00D140F7" w:rsidRPr="00261B7A" w:rsidRDefault="00D140F7" w:rsidP="00D140F7">
      <w:pPr>
        <w:pStyle w:val="BodyText"/>
        <w:spacing w:before="240"/>
      </w:pPr>
      <w:r w:rsidRPr="00261B7A">
        <w:t>Table 10.1.2 shows the recalculations that reduced emissions estimates the most for each sector.</w:t>
      </w:r>
    </w:p>
    <w:p w14:paraId="7DB142C8" w14:textId="77777777" w:rsidR="00D140F7" w:rsidRPr="00261B7A" w:rsidRDefault="00D140F7" w:rsidP="00D140F7">
      <w:pPr>
        <w:pStyle w:val="Table"/>
      </w:pPr>
      <w:bookmarkStart w:id="2794" w:name="_Toc99659372"/>
      <w:bookmarkStart w:id="2795" w:name="_Toc129781204"/>
      <w:bookmarkStart w:id="2796" w:name="_Toc130565739"/>
      <w:bookmarkStart w:id="2797" w:name="_Toc130565840"/>
      <w:bookmarkStart w:id="2798" w:name="_Toc131591484"/>
      <w:r w:rsidRPr="00261B7A">
        <w:t>Table 10.1.2</w:t>
      </w:r>
      <w:r w:rsidRPr="00261B7A">
        <w:tab/>
        <w:t>Recalculations that led to the greatest decrease in emissions estimates in each sector</w:t>
      </w:r>
      <w:bookmarkEnd w:id="2794"/>
      <w:bookmarkEnd w:id="2795"/>
      <w:bookmarkEnd w:id="2796"/>
      <w:bookmarkEnd w:id="2797"/>
      <w:bookmarkEnd w:id="2798"/>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938"/>
        <w:gridCol w:w="3882"/>
        <w:gridCol w:w="1984"/>
        <w:gridCol w:w="1701"/>
      </w:tblGrid>
      <w:tr w:rsidR="00D140F7" w:rsidRPr="00261B7A" w14:paraId="57AF1381" w14:textId="77777777" w:rsidTr="009C63CA">
        <w:trPr>
          <w:cantSplit/>
          <w:tblHeader/>
        </w:trPr>
        <w:tc>
          <w:tcPr>
            <w:tcW w:w="0" w:type="auto"/>
            <w:shd w:val="clear" w:color="auto" w:fill="1B556B"/>
            <w:vAlign w:val="bottom"/>
          </w:tcPr>
          <w:p w14:paraId="145BF928" w14:textId="77777777" w:rsidR="00D140F7" w:rsidRPr="00261B7A" w:rsidRDefault="00D140F7" w:rsidP="009C63CA">
            <w:pPr>
              <w:pStyle w:val="TableTextBold"/>
              <w:rPr>
                <w:noProof w:val="0"/>
                <w:color w:val="FFFFFF"/>
              </w:rPr>
            </w:pPr>
            <w:r w:rsidRPr="00261B7A">
              <w:rPr>
                <w:rFonts w:eastAsia="Calibri"/>
                <w:noProof w:val="0"/>
                <w:color w:val="FFFFFF"/>
              </w:rPr>
              <w:t>Sector</w:t>
            </w:r>
          </w:p>
        </w:tc>
        <w:tc>
          <w:tcPr>
            <w:tcW w:w="3882" w:type="dxa"/>
            <w:shd w:val="clear" w:color="auto" w:fill="1B556B"/>
            <w:vAlign w:val="bottom"/>
          </w:tcPr>
          <w:p w14:paraId="277228CF" w14:textId="77777777" w:rsidR="00D140F7" w:rsidRPr="00261B7A" w:rsidRDefault="00D140F7" w:rsidP="009C63CA">
            <w:pPr>
              <w:pStyle w:val="TableTextBold"/>
              <w:rPr>
                <w:noProof w:val="0"/>
                <w:color w:val="FFFFFF"/>
              </w:rPr>
            </w:pPr>
            <w:r w:rsidRPr="00261B7A">
              <w:rPr>
                <w:rFonts w:eastAsia="Calibri"/>
                <w:noProof w:val="0"/>
                <w:color w:val="FFFFFF"/>
              </w:rPr>
              <w:t>Category with the largest reduction in estimated emissions across the entire time series</w:t>
            </w:r>
          </w:p>
        </w:tc>
        <w:tc>
          <w:tcPr>
            <w:tcW w:w="1984" w:type="dxa"/>
            <w:shd w:val="clear" w:color="auto" w:fill="1B556B"/>
            <w:vAlign w:val="bottom"/>
          </w:tcPr>
          <w:p w14:paraId="6194464B" w14:textId="77777777" w:rsidR="00D140F7" w:rsidRPr="00261B7A" w:rsidRDefault="00D140F7" w:rsidP="009C63CA">
            <w:pPr>
              <w:pStyle w:val="TableTextBold"/>
              <w:jc w:val="right"/>
              <w:rPr>
                <w:noProof w:val="0"/>
                <w:color w:val="FFFFFF"/>
              </w:rPr>
            </w:pPr>
            <w:r w:rsidRPr="00261B7A">
              <w:rPr>
                <w:rFonts w:eastAsia="Calibri"/>
                <w:noProof w:val="0"/>
                <w:color w:val="FFFFFF"/>
              </w:rPr>
              <w:t>Largest single decrease in emissions for the category (kt CO</w:t>
            </w:r>
            <w:r w:rsidRPr="00261B7A">
              <w:rPr>
                <w:rFonts w:eastAsia="Calibri"/>
                <w:noProof w:val="0"/>
                <w:color w:val="FFFFFF"/>
                <w:vertAlign w:val="subscript"/>
              </w:rPr>
              <w:t>2</w:t>
            </w:r>
            <w:r w:rsidRPr="00261B7A">
              <w:rPr>
                <w:rFonts w:eastAsia="Calibri"/>
                <w:noProof w:val="0"/>
                <w:color w:val="FFFFFF"/>
              </w:rPr>
              <w:t>-e)</w:t>
            </w:r>
          </w:p>
        </w:tc>
        <w:tc>
          <w:tcPr>
            <w:tcW w:w="1701" w:type="dxa"/>
            <w:shd w:val="clear" w:color="auto" w:fill="1B556B"/>
            <w:vAlign w:val="bottom"/>
          </w:tcPr>
          <w:p w14:paraId="105994D3" w14:textId="4AFFBE2D" w:rsidR="00D140F7" w:rsidRPr="00261B7A" w:rsidRDefault="00D140F7" w:rsidP="009C63CA">
            <w:pPr>
              <w:pStyle w:val="TableTextBold"/>
              <w:jc w:val="right"/>
              <w:rPr>
                <w:noProof w:val="0"/>
                <w:color w:val="FFFFFF"/>
              </w:rPr>
            </w:pPr>
            <w:r w:rsidRPr="00261B7A">
              <w:rPr>
                <w:rFonts w:eastAsia="Calibri"/>
                <w:noProof w:val="0"/>
                <w:color w:val="FFFFFF"/>
              </w:rPr>
              <w:t xml:space="preserve">Year of the largest decrease in </w:t>
            </w:r>
            <w:r w:rsidR="00257DB1">
              <w:rPr>
                <w:rFonts w:eastAsia="Calibri"/>
                <w:noProof w:val="0"/>
                <w:color w:val="FFFFFF"/>
              </w:rPr>
              <w:br/>
            </w:r>
            <w:r w:rsidRPr="00261B7A">
              <w:rPr>
                <w:rFonts w:eastAsia="Calibri"/>
                <w:noProof w:val="0"/>
                <w:color w:val="FFFFFF"/>
              </w:rPr>
              <w:t>estimated emissions</w:t>
            </w:r>
          </w:p>
        </w:tc>
      </w:tr>
      <w:tr w:rsidR="00D140F7" w:rsidRPr="00261B7A" w14:paraId="00B35B9E" w14:textId="77777777" w:rsidTr="009C63CA">
        <w:trPr>
          <w:cantSplit/>
          <w:trHeight w:val="283"/>
        </w:trPr>
        <w:tc>
          <w:tcPr>
            <w:tcW w:w="0" w:type="auto"/>
            <w:shd w:val="clear" w:color="auto" w:fill="FFFFFF" w:themeFill="background1"/>
            <w:vAlign w:val="center"/>
          </w:tcPr>
          <w:p w14:paraId="728C262F" w14:textId="77777777" w:rsidR="00D140F7" w:rsidRPr="00261B7A" w:rsidRDefault="00D140F7" w:rsidP="009C63CA">
            <w:pPr>
              <w:pStyle w:val="TableText"/>
            </w:pPr>
            <w:r w:rsidRPr="00261B7A">
              <w:rPr>
                <w:rFonts w:eastAsia="Calibri"/>
              </w:rPr>
              <w:t>Energy</w:t>
            </w:r>
          </w:p>
        </w:tc>
        <w:tc>
          <w:tcPr>
            <w:tcW w:w="3882" w:type="dxa"/>
            <w:shd w:val="clear" w:color="auto" w:fill="FFFFFF" w:themeFill="background1"/>
            <w:vAlign w:val="center"/>
          </w:tcPr>
          <w:p w14:paraId="05A1CF9D" w14:textId="77777777" w:rsidR="00D140F7" w:rsidRPr="00261B7A" w:rsidRDefault="00D140F7" w:rsidP="009C63CA">
            <w:pPr>
              <w:pStyle w:val="TableText"/>
            </w:pPr>
            <w:r w:rsidRPr="00261B7A">
              <w:rPr>
                <w:rFonts w:eastAsia="Calibri"/>
              </w:rPr>
              <w:t>1.A.2.e Solid Fuels</w:t>
            </w:r>
          </w:p>
        </w:tc>
        <w:tc>
          <w:tcPr>
            <w:tcW w:w="1984" w:type="dxa"/>
            <w:shd w:val="clear" w:color="auto" w:fill="FFFFFF" w:themeFill="background1"/>
            <w:vAlign w:val="center"/>
          </w:tcPr>
          <w:p w14:paraId="2BA67B4D" w14:textId="77777777" w:rsidR="00D140F7" w:rsidRPr="00261B7A" w:rsidRDefault="00D140F7" w:rsidP="009C63CA">
            <w:pPr>
              <w:pStyle w:val="TableText"/>
              <w:jc w:val="right"/>
            </w:pPr>
            <w:r w:rsidRPr="00261B7A">
              <w:rPr>
                <w:rFonts w:eastAsia="Calibri"/>
              </w:rPr>
              <w:t>–184.5</w:t>
            </w:r>
          </w:p>
        </w:tc>
        <w:tc>
          <w:tcPr>
            <w:tcW w:w="1701" w:type="dxa"/>
            <w:shd w:val="clear" w:color="auto" w:fill="FFFFFF" w:themeFill="background1"/>
            <w:vAlign w:val="center"/>
          </w:tcPr>
          <w:p w14:paraId="2CD4F478" w14:textId="77777777" w:rsidR="00D140F7" w:rsidRPr="00261B7A" w:rsidRDefault="00D140F7" w:rsidP="009C63CA">
            <w:pPr>
              <w:pStyle w:val="TableText"/>
              <w:jc w:val="right"/>
            </w:pPr>
            <w:r w:rsidRPr="00261B7A">
              <w:rPr>
                <w:rFonts w:eastAsia="Calibri"/>
              </w:rPr>
              <w:t>2019</w:t>
            </w:r>
          </w:p>
        </w:tc>
      </w:tr>
      <w:tr w:rsidR="00D140F7" w:rsidRPr="00261B7A" w14:paraId="3EC8FD0E" w14:textId="77777777" w:rsidTr="009C63CA">
        <w:trPr>
          <w:cantSplit/>
          <w:trHeight w:val="283"/>
        </w:trPr>
        <w:tc>
          <w:tcPr>
            <w:tcW w:w="0" w:type="auto"/>
            <w:shd w:val="clear" w:color="auto" w:fill="FFFFFF" w:themeFill="background1"/>
            <w:vAlign w:val="center"/>
          </w:tcPr>
          <w:p w14:paraId="7BCE5C77" w14:textId="77777777" w:rsidR="00D140F7" w:rsidRPr="00261B7A" w:rsidRDefault="00D140F7" w:rsidP="009C63CA">
            <w:pPr>
              <w:pStyle w:val="TableText"/>
            </w:pPr>
            <w:r w:rsidRPr="00261B7A">
              <w:rPr>
                <w:rFonts w:eastAsia="Calibri"/>
              </w:rPr>
              <w:t>IPPU</w:t>
            </w:r>
          </w:p>
        </w:tc>
        <w:tc>
          <w:tcPr>
            <w:tcW w:w="3882" w:type="dxa"/>
            <w:shd w:val="clear" w:color="auto" w:fill="FFFFFF" w:themeFill="background1"/>
            <w:vAlign w:val="center"/>
          </w:tcPr>
          <w:p w14:paraId="36BE378B" w14:textId="77777777" w:rsidR="00D140F7" w:rsidRPr="00261B7A" w:rsidRDefault="00D140F7" w:rsidP="009C63CA">
            <w:pPr>
              <w:pStyle w:val="TableText"/>
            </w:pPr>
            <w:r w:rsidRPr="00261B7A">
              <w:rPr>
                <w:rFonts w:eastAsia="Calibri"/>
              </w:rPr>
              <w:t>2.F.1.c HFC-134a</w:t>
            </w:r>
          </w:p>
        </w:tc>
        <w:tc>
          <w:tcPr>
            <w:tcW w:w="1984" w:type="dxa"/>
            <w:shd w:val="clear" w:color="auto" w:fill="FFFFFF" w:themeFill="background1"/>
            <w:vAlign w:val="center"/>
          </w:tcPr>
          <w:p w14:paraId="3A65ADAE" w14:textId="77777777" w:rsidR="00D140F7" w:rsidRPr="00261B7A" w:rsidRDefault="00D140F7" w:rsidP="009C63CA">
            <w:pPr>
              <w:pStyle w:val="TableText"/>
              <w:jc w:val="right"/>
            </w:pPr>
            <w:r w:rsidRPr="00261B7A">
              <w:rPr>
                <w:rFonts w:eastAsia="Calibri"/>
              </w:rPr>
              <w:t>–137.2</w:t>
            </w:r>
          </w:p>
        </w:tc>
        <w:tc>
          <w:tcPr>
            <w:tcW w:w="1701" w:type="dxa"/>
            <w:shd w:val="clear" w:color="auto" w:fill="FFFFFF" w:themeFill="background1"/>
            <w:vAlign w:val="center"/>
          </w:tcPr>
          <w:p w14:paraId="69C4D269" w14:textId="77777777" w:rsidR="00D140F7" w:rsidRPr="00261B7A" w:rsidRDefault="00D140F7" w:rsidP="009C63CA">
            <w:pPr>
              <w:pStyle w:val="TableText"/>
              <w:jc w:val="right"/>
            </w:pPr>
            <w:r w:rsidRPr="00261B7A">
              <w:rPr>
                <w:rFonts w:eastAsia="Calibri"/>
              </w:rPr>
              <w:t>2012</w:t>
            </w:r>
          </w:p>
        </w:tc>
      </w:tr>
      <w:tr w:rsidR="00D140F7" w:rsidRPr="00261B7A" w14:paraId="7615C913" w14:textId="77777777" w:rsidTr="009C63CA">
        <w:trPr>
          <w:cantSplit/>
          <w:trHeight w:val="283"/>
        </w:trPr>
        <w:tc>
          <w:tcPr>
            <w:tcW w:w="0" w:type="auto"/>
            <w:shd w:val="clear" w:color="auto" w:fill="FFFFFF" w:themeFill="background1"/>
            <w:vAlign w:val="center"/>
          </w:tcPr>
          <w:p w14:paraId="3FA0E60A" w14:textId="77777777" w:rsidR="00D140F7" w:rsidRPr="00261B7A" w:rsidRDefault="00D140F7" w:rsidP="009C63CA">
            <w:pPr>
              <w:pStyle w:val="TableText"/>
            </w:pPr>
            <w:r w:rsidRPr="00261B7A">
              <w:rPr>
                <w:rFonts w:eastAsia="Calibri"/>
              </w:rPr>
              <w:t>Agriculture</w:t>
            </w:r>
          </w:p>
        </w:tc>
        <w:tc>
          <w:tcPr>
            <w:tcW w:w="3882" w:type="dxa"/>
            <w:shd w:val="clear" w:color="auto" w:fill="FFFFFF" w:themeFill="background1"/>
            <w:vAlign w:val="center"/>
          </w:tcPr>
          <w:p w14:paraId="1AA5F350" w14:textId="77777777" w:rsidR="00D140F7" w:rsidRPr="00261B7A" w:rsidRDefault="00D140F7" w:rsidP="009C63CA">
            <w:pPr>
              <w:pStyle w:val="TableText"/>
            </w:pPr>
            <w:r w:rsidRPr="00261B7A">
              <w:rPr>
                <w:rFonts w:eastAsia="Calibri"/>
                <w:vertAlign w:val="subscript"/>
              </w:rPr>
              <w:t xml:space="preserve"> </w:t>
            </w:r>
            <w:r w:rsidRPr="00261B7A">
              <w:rPr>
                <w:rFonts w:eastAsia="Calibri"/>
              </w:rPr>
              <w:t>3.A.1 Dairy Cattle</w:t>
            </w:r>
          </w:p>
        </w:tc>
        <w:tc>
          <w:tcPr>
            <w:tcW w:w="1984" w:type="dxa"/>
            <w:shd w:val="clear" w:color="auto" w:fill="FFFFFF" w:themeFill="background1"/>
            <w:vAlign w:val="center"/>
          </w:tcPr>
          <w:p w14:paraId="6B740A31" w14:textId="77777777" w:rsidR="00D140F7" w:rsidRPr="00261B7A" w:rsidRDefault="00D140F7" w:rsidP="009C63CA">
            <w:pPr>
              <w:pStyle w:val="TableText"/>
              <w:jc w:val="right"/>
            </w:pPr>
            <w:r w:rsidRPr="00261B7A">
              <w:rPr>
                <w:rFonts w:eastAsia="Calibri"/>
              </w:rPr>
              <w:t>–532.8</w:t>
            </w:r>
          </w:p>
        </w:tc>
        <w:tc>
          <w:tcPr>
            <w:tcW w:w="1701" w:type="dxa"/>
            <w:shd w:val="clear" w:color="auto" w:fill="FFFFFF" w:themeFill="background1"/>
            <w:vAlign w:val="center"/>
          </w:tcPr>
          <w:p w14:paraId="5DB7FA9A" w14:textId="77777777" w:rsidR="00D140F7" w:rsidRPr="00261B7A" w:rsidRDefault="00D140F7" w:rsidP="009C63CA">
            <w:pPr>
              <w:pStyle w:val="TableText"/>
              <w:jc w:val="right"/>
            </w:pPr>
            <w:r w:rsidRPr="00261B7A">
              <w:rPr>
                <w:rFonts w:eastAsia="Calibri"/>
              </w:rPr>
              <w:t>2016</w:t>
            </w:r>
          </w:p>
        </w:tc>
      </w:tr>
      <w:tr w:rsidR="00D140F7" w:rsidRPr="00261B7A" w14:paraId="241526E5" w14:textId="77777777" w:rsidTr="009C63CA">
        <w:trPr>
          <w:cantSplit/>
          <w:trHeight w:val="283"/>
        </w:trPr>
        <w:tc>
          <w:tcPr>
            <w:tcW w:w="0" w:type="auto"/>
            <w:shd w:val="clear" w:color="auto" w:fill="FFFFFF" w:themeFill="background1"/>
          </w:tcPr>
          <w:p w14:paraId="3CCFC3A8" w14:textId="77777777" w:rsidR="00D140F7" w:rsidRPr="00261B7A" w:rsidRDefault="00D140F7" w:rsidP="009C63CA">
            <w:pPr>
              <w:pStyle w:val="TableText"/>
            </w:pPr>
            <w:r w:rsidRPr="00261B7A">
              <w:rPr>
                <w:rFonts w:eastAsia="Calibri"/>
              </w:rPr>
              <w:t>LULUCF</w:t>
            </w:r>
          </w:p>
        </w:tc>
        <w:tc>
          <w:tcPr>
            <w:tcW w:w="3882" w:type="dxa"/>
            <w:shd w:val="clear" w:color="auto" w:fill="FFFFFF" w:themeFill="background1"/>
          </w:tcPr>
          <w:p w14:paraId="0991D149" w14:textId="77777777" w:rsidR="00D140F7" w:rsidRPr="00261B7A" w:rsidRDefault="00D140F7" w:rsidP="009C63CA">
            <w:pPr>
              <w:pStyle w:val="TableText"/>
            </w:pPr>
            <w:r w:rsidRPr="00261B7A">
              <w:rPr>
                <w:rFonts w:eastAsia="Calibri"/>
              </w:rPr>
              <w:t>4.A.1.i Pre-1990 Planted Forest Remaining Pre-1990 Planted Forest</w:t>
            </w:r>
          </w:p>
        </w:tc>
        <w:tc>
          <w:tcPr>
            <w:tcW w:w="1984" w:type="dxa"/>
            <w:shd w:val="clear" w:color="auto" w:fill="FFFFFF" w:themeFill="background1"/>
          </w:tcPr>
          <w:p w14:paraId="3A169B69" w14:textId="77777777" w:rsidR="00D140F7" w:rsidRPr="00261B7A" w:rsidRDefault="00D140F7" w:rsidP="009C63CA">
            <w:pPr>
              <w:pStyle w:val="TableText"/>
              <w:jc w:val="right"/>
            </w:pPr>
            <w:r w:rsidRPr="00261B7A">
              <w:rPr>
                <w:rFonts w:eastAsia="Calibri"/>
              </w:rPr>
              <w:t>–3,777.0</w:t>
            </w:r>
          </w:p>
        </w:tc>
        <w:tc>
          <w:tcPr>
            <w:tcW w:w="1701" w:type="dxa"/>
            <w:shd w:val="clear" w:color="auto" w:fill="FFFFFF" w:themeFill="background1"/>
          </w:tcPr>
          <w:p w14:paraId="1054E656" w14:textId="77777777" w:rsidR="00D140F7" w:rsidRPr="00261B7A" w:rsidRDefault="00D140F7" w:rsidP="009C63CA">
            <w:pPr>
              <w:pStyle w:val="TableText"/>
              <w:jc w:val="right"/>
            </w:pPr>
            <w:r w:rsidRPr="00261B7A">
              <w:rPr>
                <w:rFonts w:eastAsia="Calibri"/>
              </w:rPr>
              <w:t>2019</w:t>
            </w:r>
          </w:p>
        </w:tc>
      </w:tr>
      <w:tr w:rsidR="00D140F7" w:rsidRPr="00261B7A" w14:paraId="2C8BA7A3" w14:textId="77777777" w:rsidTr="009C63CA">
        <w:trPr>
          <w:cantSplit/>
          <w:trHeight w:val="283"/>
        </w:trPr>
        <w:tc>
          <w:tcPr>
            <w:tcW w:w="0" w:type="auto"/>
            <w:shd w:val="clear" w:color="auto" w:fill="FFFFFF" w:themeFill="background1"/>
            <w:vAlign w:val="center"/>
          </w:tcPr>
          <w:p w14:paraId="5A81D4C4" w14:textId="77777777" w:rsidR="00D140F7" w:rsidRPr="00261B7A" w:rsidRDefault="00D140F7" w:rsidP="009C63CA">
            <w:pPr>
              <w:pStyle w:val="TableText"/>
            </w:pPr>
            <w:r w:rsidRPr="00261B7A">
              <w:rPr>
                <w:rFonts w:eastAsia="Calibri"/>
              </w:rPr>
              <w:t>Waste</w:t>
            </w:r>
          </w:p>
        </w:tc>
        <w:tc>
          <w:tcPr>
            <w:tcW w:w="3882" w:type="dxa"/>
            <w:shd w:val="clear" w:color="auto" w:fill="FFFFFF" w:themeFill="background1"/>
            <w:vAlign w:val="center"/>
          </w:tcPr>
          <w:p w14:paraId="41CC382C" w14:textId="77777777" w:rsidR="00D140F7" w:rsidRPr="00261B7A" w:rsidRDefault="00D140F7" w:rsidP="009C63CA">
            <w:pPr>
              <w:pStyle w:val="TableText"/>
            </w:pPr>
            <w:r w:rsidRPr="00261B7A">
              <w:rPr>
                <w:rFonts w:eastAsia="Calibri"/>
              </w:rPr>
              <w:t>5.D.2 Industrial Wastewater</w:t>
            </w:r>
          </w:p>
        </w:tc>
        <w:tc>
          <w:tcPr>
            <w:tcW w:w="1984" w:type="dxa"/>
            <w:shd w:val="clear" w:color="auto" w:fill="FFFFFF" w:themeFill="background1"/>
            <w:vAlign w:val="center"/>
          </w:tcPr>
          <w:p w14:paraId="5293C913" w14:textId="77777777" w:rsidR="00D140F7" w:rsidRPr="00261B7A" w:rsidRDefault="00D140F7" w:rsidP="009C63CA">
            <w:pPr>
              <w:pStyle w:val="TableText"/>
              <w:jc w:val="right"/>
            </w:pPr>
            <w:r w:rsidRPr="00261B7A">
              <w:rPr>
                <w:rFonts w:eastAsia="Calibri"/>
              </w:rPr>
              <w:t>–1.6</w:t>
            </w:r>
          </w:p>
        </w:tc>
        <w:tc>
          <w:tcPr>
            <w:tcW w:w="1701" w:type="dxa"/>
            <w:shd w:val="clear" w:color="auto" w:fill="FFFFFF" w:themeFill="background1"/>
            <w:vAlign w:val="center"/>
          </w:tcPr>
          <w:p w14:paraId="0A95B69F" w14:textId="77777777" w:rsidR="00D140F7" w:rsidRPr="00261B7A" w:rsidRDefault="00D140F7" w:rsidP="009C63CA">
            <w:pPr>
              <w:pStyle w:val="TableText"/>
              <w:jc w:val="right"/>
            </w:pPr>
            <w:r w:rsidRPr="00261B7A">
              <w:rPr>
                <w:rFonts w:eastAsia="Calibri"/>
              </w:rPr>
              <w:t>2020</w:t>
            </w:r>
          </w:p>
        </w:tc>
      </w:tr>
      <w:tr w:rsidR="00D140F7" w:rsidRPr="00261B7A" w14:paraId="013B177D" w14:textId="77777777" w:rsidTr="009C63CA">
        <w:trPr>
          <w:cantSplit/>
          <w:trHeight w:val="283"/>
        </w:trPr>
        <w:tc>
          <w:tcPr>
            <w:tcW w:w="0" w:type="auto"/>
            <w:shd w:val="clear" w:color="auto" w:fill="FFFFFF" w:themeFill="background1"/>
            <w:vAlign w:val="center"/>
          </w:tcPr>
          <w:p w14:paraId="04AAE2B3" w14:textId="77777777" w:rsidR="00D140F7" w:rsidRPr="00261B7A" w:rsidRDefault="00D140F7" w:rsidP="009C63CA">
            <w:pPr>
              <w:pStyle w:val="TableText"/>
            </w:pPr>
            <w:r w:rsidRPr="00261B7A">
              <w:rPr>
                <w:rFonts w:eastAsia="Calibri"/>
              </w:rPr>
              <w:t>Tokelau</w:t>
            </w:r>
          </w:p>
        </w:tc>
        <w:tc>
          <w:tcPr>
            <w:tcW w:w="3882" w:type="dxa"/>
            <w:shd w:val="clear" w:color="auto" w:fill="FFFFFF" w:themeFill="background1"/>
            <w:vAlign w:val="center"/>
          </w:tcPr>
          <w:p w14:paraId="2AC78F45" w14:textId="77777777" w:rsidR="00D140F7" w:rsidRPr="00261B7A" w:rsidRDefault="00D140F7" w:rsidP="009C63CA">
            <w:pPr>
              <w:pStyle w:val="TableText"/>
            </w:pPr>
            <w:r w:rsidRPr="00261B7A">
              <w:rPr>
                <w:rFonts w:eastAsia="Calibri"/>
              </w:rPr>
              <w:t>NA</w:t>
            </w:r>
          </w:p>
        </w:tc>
        <w:tc>
          <w:tcPr>
            <w:tcW w:w="1984" w:type="dxa"/>
            <w:shd w:val="clear" w:color="auto" w:fill="FFFFFF" w:themeFill="background1"/>
            <w:vAlign w:val="center"/>
          </w:tcPr>
          <w:p w14:paraId="44D02448" w14:textId="77777777" w:rsidR="00D140F7" w:rsidRPr="00261B7A" w:rsidRDefault="00D140F7" w:rsidP="009C63CA">
            <w:pPr>
              <w:pStyle w:val="TableText"/>
              <w:jc w:val="right"/>
            </w:pPr>
            <w:r w:rsidRPr="00261B7A">
              <w:rPr>
                <w:rFonts w:eastAsia="Calibri"/>
              </w:rPr>
              <w:t>NA</w:t>
            </w:r>
          </w:p>
        </w:tc>
        <w:tc>
          <w:tcPr>
            <w:tcW w:w="1701" w:type="dxa"/>
            <w:shd w:val="clear" w:color="auto" w:fill="FFFFFF" w:themeFill="background1"/>
            <w:vAlign w:val="center"/>
          </w:tcPr>
          <w:p w14:paraId="000CAC50" w14:textId="77777777" w:rsidR="00D140F7" w:rsidRPr="00261B7A" w:rsidRDefault="00D140F7" w:rsidP="009C63CA">
            <w:pPr>
              <w:pStyle w:val="TableText"/>
              <w:jc w:val="right"/>
            </w:pPr>
            <w:r w:rsidRPr="00261B7A">
              <w:rPr>
                <w:rFonts w:eastAsia="Calibri"/>
              </w:rPr>
              <w:t>NA</w:t>
            </w:r>
          </w:p>
        </w:tc>
      </w:tr>
    </w:tbl>
    <w:p w14:paraId="5300C025" w14:textId="77777777" w:rsidR="00D140F7" w:rsidRPr="00261B7A" w:rsidRDefault="00D140F7" w:rsidP="00D140F7">
      <w:pPr>
        <w:pStyle w:val="Noteundertable"/>
      </w:pPr>
      <w:bookmarkStart w:id="2799" w:name="energy"/>
      <w:r w:rsidRPr="00261B7A">
        <w:rPr>
          <w:b/>
          <w:bCs/>
        </w:rPr>
        <w:t>Note</w:t>
      </w:r>
      <w:r w:rsidRPr="00261B7A">
        <w:t>: NA = not available.</w:t>
      </w:r>
    </w:p>
    <w:p w14:paraId="5ED8399A" w14:textId="77777777" w:rsidR="00D140F7" w:rsidRPr="00261B7A" w:rsidRDefault="00D140F7" w:rsidP="00D140F7">
      <w:pPr>
        <w:pStyle w:val="BodyText"/>
      </w:pPr>
      <w:r w:rsidRPr="00261B7A">
        <w:t>The following sections detail the effect of and reasons for recalculations for each sector and summarise the improvements that resulted in the recalculations.</w:t>
      </w:r>
    </w:p>
    <w:p w14:paraId="2826B644" w14:textId="77777777" w:rsidR="00D140F7" w:rsidRPr="00261B7A" w:rsidRDefault="00D140F7" w:rsidP="00D140F7">
      <w:pPr>
        <w:pStyle w:val="Heading3"/>
      </w:pPr>
      <w:r w:rsidRPr="00261B7A">
        <w:t xml:space="preserve">10.1.1 </w:t>
      </w:r>
      <w:r w:rsidRPr="00261B7A">
        <w:tab/>
        <w:t>Energy</w:t>
      </w:r>
    </w:p>
    <w:p w14:paraId="702B2910" w14:textId="77777777" w:rsidR="00D140F7" w:rsidRPr="00261B7A" w:rsidRDefault="00D140F7" w:rsidP="00D140F7">
      <w:pPr>
        <w:pStyle w:val="BodyText"/>
      </w:pPr>
      <w:r w:rsidRPr="00261B7A">
        <w:t>Changes to activity data in the Energy sector have resulted in a 0.01 per cent (2.4 kt CO</w:t>
      </w:r>
      <w:r w:rsidRPr="00261B7A">
        <w:rPr>
          <w:vertAlign w:val="subscript"/>
        </w:rPr>
        <w:t>2</w:t>
      </w:r>
      <w:r w:rsidRPr="00261B7A">
        <w:t>-e) increase in energy emissions estimates in 1990 and a 1.1 per cent (344.5 kt CO</w:t>
      </w:r>
      <w:r w:rsidRPr="00261B7A">
        <w:rPr>
          <w:vertAlign w:val="subscript"/>
        </w:rPr>
        <w:t>2</w:t>
      </w:r>
      <w:r w:rsidRPr="00261B7A">
        <w:t>-e) decrease in energy emissions estimates in 2020 (figure 10.1.2). The only significant methodological change made to the Energy sector was the improved estimation of fugitive emissions from natural gas distribution networks. This resulted in no change to 1990 emissions and a 147.4 kt CO</w:t>
      </w:r>
      <w:r w:rsidRPr="00261B7A">
        <w:rPr>
          <w:vertAlign w:val="subscript"/>
        </w:rPr>
        <w:t>2</w:t>
      </w:r>
      <w:r w:rsidRPr="00261B7A">
        <w:t>-e decrease in 2020 emissions. Further changes in the level of emissions estimates have occurred due to small changes in the activity data, as detailed in table 10.1.3. Energy activity data for the years 1990 to 2020 have been updated according to the latest energy statistics published by the Ministry of Business, Innovation and Employment.</w:t>
      </w:r>
    </w:p>
    <w:p w14:paraId="42D34D43" w14:textId="77777777" w:rsidR="00D140F7" w:rsidRPr="00261B7A" w:rsidRDefault="00D140F7" w:rsidP="00D140F7">
      <w:pPr>
        <w:pStyle w:val="Table"/>
      </w:pPr>
      <w:bookmarkStart w:id="2800" w:name="_Toc99659373"/>
      <w:bookmarkStart w:id="2801" w:name="_Toc129781205"/>
      <w:bookmarkStart w:id="2802" w:name="_Toc130565740"/>
      <w:bookmarkStart w:id="2803" w:name="_Toc130565841"/>
      <w:bookmarkStart w:id="2804" w:name="_Toc131591485"/>
      <w:r w:rsidRPr="00261B7A">
        <w:t>Table 10.1.3</w:t>
      </w:r>
      <w:r w:rsidRPr="00261B7A">
        <w:tab/>
        <w:t>Explanations and justifications for recalculations in the Energy sector</w:t>
      </w:r>
      <w:bookmarkEnd w:id="2800"/>
      <w:bookmarkEnd w:id="2801"/>
      <w:bookmarkEnd w:id="2802"/>
      <w:bookmarkEnd w:id="2803"/>
      <w:bookmarkEnd w:id="2804"/>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5359"/>
        <w:gridCol w:w="1559"/>
        <w:gridCol w:w="1587"/>
      </w:tblGrid>
      <w:tr w:rsidR="00D140F7" w:rsidRPr="00261B7A" w14:paraId="3EA8B63D" w14:textId="77777777" w:rsidTr="009C63CA">
        <w:trPr>
          <w:tblHeader/>
        </w:trPr>
        <w:tc>
          <w:tcPr>
            <w:tcW w:w="5359" w:type="dxa"/>
            <w:shd w:val="clear" w:color="auto" w:fill="1B556B"/>
            <w:tcMar>
              <w:top w:w="0" w:type="dxa"/>
              <w:left w:w="85" w:type="dxa"/>
              <w:bottom w:w="0" w:type="dxa"/>
              <w:right w:w="85" w:type="dxa"/>
            </w:tcMar>
            <w:vAlign w:val="bottom"/>
          </w:tcPr>
          <w:p w14:paraId="3F47E652" w14:textId="77777777" w:rsidR="00D140F7" w:rsidRPr="00261B7A" w:rsidRDefault="00D140F7" w:rsidP="009C63CA">
            <w:pPr>
              <w:pStyle w:val="TableTextBold"/>
              <w:rPr>
                <w:noProof w:val="0"/>
                <w:color w:val="FFFFFF"/>
              </w:rPr>
            </w:pPr>
            <w:r w:rsidRPr="00261B7A">
              <w:rPr>
                <w:rFonts w:eastAsia="Calibri"/>
                <w:noProof w:val="0"/>
                <w:color w:val="FFFFFF"/>
              </w:rPr>
              <w:t>Explanation of recalculation</w:t>
            </w:r>
          </w:p>
        </w:tc>
        <w:tc>
          <w:tcPr>
            <w:tcW w:w="1559" w:type="dxa"/>
            <w:shd w:val="clear" w:color="auto" w:fill="1B556B"/>
            <w:tcMar>
              <w:top w:w="0" w:type="dxa"/>
              <w:left w:w="85" w:type="dxa"/>
              <w:bottom w:w="0" w:type="dxa"/>
              <w:right w:w="85" w:type="dxa"/>
            </w:tcMar>
            <w:vAlign w:val="bottom"/>
          </w:tcPr>
          <w:p w14:paraId="445BAF9B" w14:textId="77777777" w:rsidR="00D140F7" w:rsidRPr="00261B7A" w:rsidRDefault="00D140F7" w:rsidP="009C63CA">
            <w:pPr>
              <w:pStyle w:val="TableTextBold"/>
              <w:rPr>
                <w:noProof w:val="0"/>
                <w:color w:val="FFFFFF"/>
              </w:rPr>
            </w:pPr>
            <w:r w:rsidRPr="00261B7A">
              <w:rPr>
                <w:rFonts w:eastAsia="Calibri"/>
                <w:noProof w:val="0"/>
                <w:color w:val="FFFFFF"/>
              </w:rPr>
              <w:t>Underpinning IPCC principle</w:t>
            </w:r>
          </w:p>
        </w:tc>
        <w:tc>
          <w:tcPr>
            <w:tcW w:w="1587" w:type="dxa"/>
            <w:shd w:val="clear" w:color="auto" w:fill="1B556B"/>
            <w:tcMar>
              <w:top w:w="0" w:type="dxa"/>
              <w:left w:w="85" w:type="dxa"/>
              <w:bottom w:w="0" w:type="dxa"/>
              <w:right w:w="85" w:type="dxa"/>
            </w:tcMar>
            <w:vAlign w:val="bottom"/>
          </w:tcPr>
          <w:p w14:paraId="0C6CA2A8" w14:textId="77777777" w:rsidR="00D140F7" w:rsidRPr="00261B7A" w:rsidRDefault="00D140F7" w:rsidP="009C63CA">
            <w:pPr>
              <w:pStyle w:val="TableTextBold"/>
              <w:rPr>
                <w:noProof w:val="0"/>
                <w:color w:val="FFFFFF"/>
              </w:rPr>
            </w:pPr>
            <w:r w:rsidRPr="00261B7A">
              <w:rPr>
                <w:rFonts w:eastAsia="Calibri"/>
                <w:noProof w:val="0"/>
                <w:color w:val="FFFFFF"/>
              </w:rPr>
              <w:t>Additional justification</w:t>
            </w:r>
          </w:p>
        </w:tc>
      </w:tr>
      <w:tr w:rsidR="00D140F7" w:rsidRPr="00261B7A" w14:paraId="728EECCC" w14:textId="77777777" w:rsidTr="009C63CA">
        <w:tc>
          <w:tcPr>
            <w:tcW w:w="5359" w:type="dxa"/>
            <w:shd w:val="clear" w:color="auto" w:fill="FFFFFF" w:themeFill="background1"/>
            <w:tcMar>
              <w:top w:w="0" w:type="dxa"/>
              <w:left w:w="85" w:type="dxa"/>
              <w:bottom w:w="0" w:type="dxa"/>
              <w:right w:w="85" w:type="dxa"/>
            </w:tcMar>
          </w:tcPr>
          <w:p w14:paraId="69640645" w14:textId="77777777" w:rsidR="00D140F7" w:rsidRPr="00261B7A" w:rsidRDefault="00D140F7" w:rsidP="009C63CA">
            <w:pPr>
              <w:pStyle w:val="TableText"/>
            </w:pPr>
            <w:r w:rsidRPr="00261B7A">
              <w:rPr>
                <w:rFonts w:eastAsia="Calibri"/>
              </w:rPr>
              <w:t xml:space="preserve">Fugitive emissions estimates for natural gas distribution networks have been revised. The new methodology represents a Tier 3 approach and takes into account the infrastructure improvements occurring over time. </w:t>
            </w:r>
          </w:p>
        </w:tc>
        <w:tc>
          <w:tcPr>
            <w:tcW w:w="1559" w:type="dxa"/>
            <w:shd w:val="clear" w:color="auto" w:fill="FFFFFF" w:themeFill="background1"/>
            <w:tcMar>
              <w:top w:w="0" w:type="dxa"/>
              <w:left w:w="85" w:type="dxa"/>
              <w:bottom w:w="0" w:type="dxa"/>
              <w:right w:w="85" w:type="dxa"/>
            </w:tcMar>
          </w:tcPr>
          <w:p w14:paraId="3D51632D" w14:textId="77777777" w:rsidR="00D140F7" w:rsidRPr="00261B7A" w:rsidRDefault="00D140F7" w:rsidP="009C63CA">
            <w:pPr>
              <w:pStyle w:val="TableText"/>
            </w:pPr>
            <w:r w:rsidRPr="00261B7A">
              <w:rPr>
                <w:rFonts w:eastAsia="Calibri"/>
              </w:rPr>
              <w:t>Accuracy</w:t>
            </w:r>
          </w:p>
        </w:tc>
        <w:tc>
          <w:tcPr>
            <w:tcW w:w="1587" w:type="dxa"/>
            <w:shd w:val="clear" w:color="auto" w:fill="FFFFFF" w:themeFill="background1"/>
            <w:tcMar>
              <w:top w:w="0" w:type="dxa"/>
              <w:left w:w="85" w:type="dxa"/>
              <w:bottom w:w="0" w:type="dxa"/>
              <w:right w:w="85" w:type="dxa"/>
            </w:tcMar>
          </w:tcPr>
          <w:p w14:paraId="76569494" w14:textId="77777777" w:rsidR="00D140F7" w:rsidRPr="00261B7A" w:rsidRDefault="00D140F7" w:rsidP="009C63CA">
            <w:pPr>
              <w:pStyle w:val="TableText"/>
            </w:pPr>
            <w:r w:rsidRPr="00261B7A">
              <w:rPr>
                <w:rFonts w:eastAsia="Calibri"/>
              </w:rPr>
              <w:t>Consistency</w:t>
            </w:r>
          </w:p>
        </w:tc>
      </w:tr>
    </w:tbl>
    <w:p w14:paraId="701F31D6" w14:textId="77777777" w:rsidR="00D140F7" w:rsidRPr="00261B7A" w:rsidRDefault="00D140F7" w:rsidP="00D140F7">
      <w:pPr>
        <w:pStyle w:val="Figure"/>
        <w:spacing w:after="60"/>
      </w:pPr>
      <w:bookmarkStart w:id="2805" w:name="_Toc99696069"/>
      <w:bookmarkStart w:id="2806" w:name="_Toc129781233"/>
      <w:bookmarkStart w:id="2807" w:name="_Toc130565767"/>
      <w:bookmarkStart w:id="2808" w:name="_Toc131591591"/>
      <w:r w:rsidRPr="00261B7A">
        <w:rPr>
          <w:bCs/>
        </w:rPr>
        <w:t>Figure 10.1.2</w:t>
      </w:r>
      <w:r w:rsidRPr="00261B7A">
        <w:rPr>
          <w:bCs/>
        </w:rPr>
        <w:tab/>
        <w:t>Effect of changes to activity data on emissions estimates from New Zealand’s Energy sector from 1990 to 20</w:t>
      </w:r>
      <w:bookmarkEnd w:id="2805"/>
      <w:r w:rsidRPr="00261B7A">
        <w:t>20</w:t>
      </w:r>
      <w:bookmarkEnd w:id="2806"/>
      <w:bookmarkEnd w:id="2807"/>
      <w:bookmarkEnd w:id="2808"/>
    </w:p>
    <w:p w14:paraId="77C7D5F3" w14:textId="77777777" w:rsidR="00D140F7" w:rsidRPr="00261B7A" w:rsidRDefault="00D140F7" w:rsidP="00D140F7">
      <w:pPr>
        <w:pStyle w:val="BodyText"/>
        <w:jc w:val="center"/>
      </w:pPr>
      <w:r w:rsidRPr="00261B7A">
        <w:rPr>
          <w:noProof/>
        </w:rPr>
        <w:drawing>
          <wp:inline distT="0" distB="0" distL="0" distR="0" wp14:anchorId="775B7CCE" wp14:editId="0BCFEDE4">
            <wp:extent cx="4506164" cy="3297453"/>
            <wp:effectExtent l="0" t="0" r="8890" b="0"/>
            <wp:docPr id="55" name="Picture 5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rotWithShape="1">
                    <a:blip r:embed="rId269" cstate="print">
                      <a:extLst>
                        <a:ext uri="{28A0092B-C50C-407E-A947-70E740481C1C}">
                          <a14:useLocalDpi xmlns:a14="http://schemas.microsoft.com/office/drawing/2010/main" val="0"/>
                        </a:ext>
                      </a:extLst>
                    </a:blip>
                    <a:srcRect b="2431"/>
                    <a:stretch/>
                  </pic:blipFill>
                  <pic:spPr bwMode="auto">
                    <a:xfrm>
                      <a:off x="0" y="0"/>
                      <a:ext cx="4529216" cy="3314322"/>
                    </a:xfrm>
                    <a:prstGeom prst="rect">
                      <a:avLst/>
                    </a:prstGeom>
                    <a:ln>
                      <a:noFill/>
                    </a:ln>
                    <a:extLst>
                      <a:ext uri="{53640926-AAD7-44D8-BBD7-CCE9431645EC}">
                        <a14:shadowObscured xmlns:a14="http://schemas.microsoft.com/office/drawing/2010/main"/>
                      </a:ext>
                    </a:extLst>
                  </pic:spPr>
                </pic:pic>
              </a:graphicData>
            </a:graphic>
          </wp:inline>
        </w:drawing>
      </w:r>
    </w:p>
    <w:p w14:paraId="4867CB2E" w14:textId="77777777" w:rsidR="00D140F7" w:rsidRPr="00261B7A" w:rsidRDefault="00D140F7" w:rsidP="00D140F7">
      <w:pPr>
        <w:pStyle w:val="Heading3"/>
        <w:spacing w:before="240"/>
      </w:pPr>
      <w:bookmarkStart w:id="2809" w:name="industrial-processes-and-product-use"/>
      <w:bookmarkEnd w:id="2799"/>
      <w:r w:rsidRPr="00261B7A">
        <w:t xml:space="preserve">10.1.2 </w:t>
      </w:r>
      <w:r w:rsidRPr="00261B7A">
        <w:tab/>
        <w:t>Industrial Processes and Product Use</w:t>
      </w:r>
    </w:p>
    <w:p w14:paraId="50EA7FF2" w14:textId="77777777" w:rsidR="00D140F7" w:rsidRPr="00261B7A" w:rsidRDefault="00D140F7" w:rsidP="00D140F7">
      <w:pPr>
        <w:pStyle w:val="BodyText"/>
        <w:spacing w:before="100" w:after="100"/>
      </w:pPr>
      <w:r w:rsidRPr="00261B7A">
        <w:t>Improvements and recalculations made in the Industrial Processes and Product Use (IPPU) sector have resulted in no change for 1990 and a 0.8 per cent (35.5 kt CO</w:t>
      </w:r>
      <w:r w:rsidRPr="00261B7A">
        <w:rPr>
          <w:vertAlign w:val="subscript"/>
        </w:rPr>
        <w:t>2</w:t>
      </w:r>
      <w:r w:rsidRPr="00261B7A">
        <w:t>-e) decrease in emissions estimates for 2020 (figure 10.1.3).</w:t>
      </w:r>
    </w:p>
    <w:p w14:paraId="4F3B57C1" w14:textId="77777777" w:rsidR="00D140F7" w:rsidRPr="00261B7A" w:rsidRDefault="00D140F7" w:rsidP="00D140F7">
      <w:pPr>
        <w:pStyle w:val="BodyText"/>
        <w:spacing w:before="100" w:after="100"/>
      </w:pPr>
      <w:r w:rsidRPr="00261B7A">
        <w:t xml:space="preserve">The decrease in 2020 emissions estimates is due to a recalculation of emissions from </w:t>
      </w:r>
      <w:r w:rsidRPr="00261B7A">
        <w:rPr>
          <w:i/>
        </w:rPr>
        <w:t>Refrigeration and air conditioning</w:t>
      </w:r>
      <w:r w:rsidRPr="00261B7A">
        <w:rPr>
          <w:iCs/>
        </w:rPr>
        <w:t>, with no recalculation of emissions from any other</w:t>
      </w:r>
      <w:r w:rsidRPr="00261B7A">
        <w:t xml:space="preserve"> category. The decrease in reported emissions for 2020 (35.5 kt CO</w:t>
      </w:r>
      <w:r w:rsidRPr="00261B7A">
        <w:rPr>
          <w:vertAlign w:val="subscript"/>
        </w:rPr>
        <w:t>2</w:t>
      </w:r>
      <w:r w:rsidRPr="00261B7A">
        <w:t>-e) is the net effect of detailed re</w:t>
      </w:r>
      <w:r w:rsidRPr="00261B7A">
        <w:noBreakHyphen/>
        <w:t>estimations of import amounts, equipment retirements and emission factors in all sub</w:t>
      </w:r>
      <w:r w:rsidRPr="00261B7A">
        <w:noBreakHyphen/>
        <w:t>applications. These changes were enabled by improvements to stock models to distinguish recovery for reuse from recovery for disposal. These and other minor recalculations are detailed in table 10.1.4.</w:t>
      </w:r>
    </w:p>
    <w:p w14:paraId="32A27615" w14:textId="77777777" w:rsidR="00D140F7" w:rsidRPr="00261B7A" w:rsidRDefault="00D140F7" w:rsidP="00D140F7">
      <w:pPr>
        <w:pStyle w:val="Table"/>
      </w:pPr>
      <w:bookmarkStart w:id="2810" w:name="_Toc99659374"/>
      <w:bookmarkStart w:id="2811" w:name="_Toc129781206"/>
      <w:bookmarkStart w:id="2812" w:name="_Toc130565741"/>
      <w:bookmarkStart w:id="2813" w:name="_Toc130565842"/>
      <w:bookmarkStart w:id="2814" w:name="_Toc131591486"/>
      <w:r w:rsidRPr="00261B7A">
        <w:t>Table 10.1.4</w:t>
      </w:r>
      <w:r w:rsidRPr="00261B7A">
        <w:tab/>
        <w:t>Explanations and justifications for recalculations in the IPPU sector</w:t>
      </w:r>
      <w:bookmarkEnd w:id="2810"/>
      <w:bookmarkEnd w:id="2811"/>
      <w:bookmarkEnd w:id="2812"/>
      <w:bookmarkEnd w:id="2813"/>
      <w:bookmarkEnd w:id="2814"/>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5359"/>
        <w:gridCol w:w="1276"/>
        <w:gridCol w:w="1870"/>
      </w:tblGrid>
      <w:tr w:rsidR="00D140F7" w:rsidRPr="00261B7A" w14:paraId="1194DFF6" w14:textId="77777777" w:rsidTr="009C63CA">
        <w:trPr>
          <w:cantSplit/>
          <w:tblHeader/>
        </w:trPr>
        <w:tc>
          <w:tcPr>
            <w:tcW w:w="5359" w:type="dxa"/>
            <w:shd w:val="clear" w:color="auto" w:fill="1B556B"/>
            <w:tcMar>
              <w:top w:w="0" w:type="dxa"/>
              <w:left w:w="85" w:type="dxa"/>
              <w:bottom w:w="0" w:type="dxa"/>
              <w:right w:w="85" w:type="dxa"/>
            </w:tcMar>
            <w:vAlign w:val="bottom"/>
          </w:tcPr>
          <w:p w14:paraId="1D98DDD8" w14:textId="77777777" w:rsidR="00D140F7" w:rsidRPr="00261B7A" w:rsidRDefault="00D140F7" w:rsidP="009C63CA">
            <w:pPr>
              <w:pStyle w:val="TableTextBold"/>
              <w:spacing w:before="40" w:after="40"/>
              <w:rPr>
                <w:noProof w:val="0"/>
                <w:color w:val="FFFFFF"/>
              </w:rPr>
            </w:pPr>
            <w:r w:rsidRPr="00261B7A">
              <w:rPr>
                <w:rFonts w:eastAsia="Calibri"/>
                <w:noProof w:val="0"/>
                <w:color w:val="FFFFFF"/>
              </w:rPr>
              <w:t>Explanation of recalculation</w:t>
            </w:r>
          </w:p>
        </w:tc>
        <w:tc>
          <w:tcPr>
            <w:tcW w:w="1276" w:type="dxa"/>
            <w:shd w:val="clear" w:color="auto" w:fill="1B556B"/>
            <w:tcMar>
              <w:top w:w="0" w:type="dxa"/>
              <w:left w:w="85" w:type="dxa"/>
              <w:bottom w:w="0" w:type="dxa"/>
              <w:right w:w="85" w:type="dxa"/>
            </w:tcMar>
            <w:vAlign w:val="bottom"/>
          </w:tcPr>
          <w:p w14:paraId="0C83759F" w14:textId="77777777" w:rsidR="00D140F7" w:rsidRPr="00261B7A" w:rsidRDefault="00D140F7" w:rsidP="009C63CA">
            <w:pPr>
              <w:pStyle w:val="TableTextBold"/>
              <w:spacing w:before="40" w:after="40"/>
              <w:rPr>
                <w:noProof w:val="0"/>
                <w:color w:val="FFFFFF"/>
              </w:rPr>
            </w:pPr>
            <w:r w:rsidRPr="00261B7A">
              <w:rPr>
                <w:rFonts w:eastAsia="Calibri"/>
                <w:noProof w:val="0"/>
                <w:color w:val="FFFFFF"/>
              </w:rPr>
              <w:t>Underpinning IPCC principle</w:t>
            </w:r>
          </w:p>
        </w:tc>
        <w:tc>
          <w:tcPr>
            <w:tcW w:w="1870" w:type="dxa"/>
            <w:shd w:val="clear" w:color="auto" w:fill="1B556B"/>
            <w:tcMar>
              <w:top w:w="0" w:type="dxa"/>
              <w:left w:w="85" w:type="dxa"/>
              <w:bottom w:w="0" w:type="dxa"/>
              <w:right w:w="85" w:type="dxa"/>
            </w:tcMar>
            <w:vAlign w:val="bottom"/>
          </w:tcPr>
          <w:p w14:paraId="2A44198C" w14:textId="77777777" w:rsidR="00D140F7" w:rsidRPr="00261B7A" w:rsidRDefault="00D140F7" w:rsidP="009C63CA">
            <w:pPr>
              <w:pStyle w:val="TableTextBold"/>
              <w:spacing w:before="40" w:after="40"/>
              <w:rPr>
                <w:noProof w:val="0"/>
                <w:color w:val="FFFFFF"/>
              </w:rPr>
            </w:pPr>
            <w:r w:rsidRPr="00261B7A">
              <w:rPr>
                <w:rFonts w:eastAsia="Calibri"/>
                <w:noProof w:val="0"/>
                <w:color w:val="FFFFFF"/>
              </w:rPr>
              <w:t>Additional justification</w:t>
            </w:r>
          </w:p>
        </w:tc>
      </w:tr>
      <w:tr w:rsidR="00D140F7" w:rsidRPr="00261B7A" w14:paraId="5F20C103" w14:textId="77777777" w:rsidTr="009C63CA">
        <w:trPr>
          <w:cantSplit/>
          <w:trHeight w:val="283"/>
        </w:trPr>
        <w:tc>
          <w:tcPr>
            <w:tcW w:w="5359" w:type="dxa"/>
            <w:shd w:val="clear" w:color="auto" w:fill="FFFFFF"/>
            <w:tcMar>
              <w:top w:w="0" w:type="dxa"/>
              <w:left w:w="85" w:type="dxa"/>
              <w:bottom w:w="0" w:type="dxa"/>
              <w:right w:w="85" w:type="dxa"/>
            </w:tcMar>
          </w:tcPr>
          <w:p w14:paraId="17609A84" w14:textId="77777777" w:rsidR="00D140F7" w:rsidRPr="00261B7A" w:rsidRDefault="00D140F7" w:rsidP="009C63CA">
            <w:pPr>
              <w:pStyle w:val="TableText"/>
              <w:spacing w:before="40" w:after="40"/>
            </w:pPr>
            <w:r w:rsidRPr="00261B7A">
              <w:rPr>
                <w:rFonts w:eastAsia="Calibri"/>
              </w:rPr>
              <w:t>Rapidly increasing imports of refrigerants in stationary air conditioning equipment, and other changes indicated by survey results in 2022, have resulted in reassessments to earlier years. These allow better accounting for stocks held by importers and banks and, consequently, emissions.</w:t>
            </w:r>
          </w:p>
        </w:tc>
        <w:tc>
          <w:tcPr>
            <w:tcW w:w="1276" w:type="dxa"/>
            <w:shd w:val="clear" w:color="auto" w:fill="FFFFFF"/>
            <w:tcMar>
              <w:top w:w="0" w:type="dxa"/>
              <w:left w:w="85" w:type="dxa"/>
              <w:bottom w:w="0" w:type="dxa"/>
              <w:right w:w="85" w:type="dxa"/>
            </w:tcMar>
          </w:tcPr>
          <w:p w14:paraId="70146BA1" w14:textId="77777777" w:rsidR="00D140F7" w:rsidRPr="00261B7A" w:rsidRDefault="00D140F7" w:rsidP="009C63CA">
            <w:pPr>
              <w:pStyle w:val="TableText"/>
              <w:spacing w:before="40" w:after="40"/>
            </w:pPr>
            <w:r w:rsidRPr="00261B7A">
              <w:rPr>
                <w:rFonts w:eastAsia="Calibri"/>
              </w:rPr>
              <w:t>Accuracy</w:t>
            </w:r>
          </w:p>
        </w:tc>
        <w:tc>
          <w:tcPr>
            <w:tcW w:w="1870" w:type="dxa"/>
            <w:shd w:val="clear" w:color="auto" w:fill="FFFFFF"/>
            <w:tcMar>
              <w:top w:w="0" w:type="dxa"/>
              <w:left w:w="85" w:type="dxa"/>
              <w:bottom w:w="0" w:type="dxa"/>
              <w:right w:w="85" w:type="dxa"/>
            </w:tcMar>
          </w:tcPr>
          <w:p w14:paraId="5A71E9BC" w14:textId="77777777" w:rsidR="00D140F7" w:rsidRPr="00261B7A" w:rsidRDefault="00D140F7" w:rsidP="009C63CA">
            <w:pPr>
              <w:pStyle w:val="TableText"/>
              <w:spacing w:before="40" w:after="40"/>
            </w:pPr>
            <w:r w:rsidRPr="00261B7A">
              <w:rPr>
                <w:rFonts w:eastAsia="Calibri"/>
                <w:color w:val="000000"/>
              </w:rPr>
              <w:t>Improved data available</w:t>
            </w:r>
          </w:p>
        </w:tc>
      </w:tr>
      <w:tr w:rsidR="00D140F7" w:rsidRPr="00261B7A" w14:paraId="3C30C305" w14:textId="77777777" w:rsidTr="009C63CA">
        <w:trPr>
          <w:cantSplit/>
          <w:trHeight w:val="283"/>
        </w:trPr>
        <w:tc>
          <w:tcPr>
            <w:tcW w:w="5359" w:type="dxa"/>
            <w:shd w:val="clear" w:color="auto" w:fill="FFFFFF"/>
            <w:tcMar>
              <w:top w:w="0" w:type="dxa"/>
              <w:left w:w="85" w:type="dxa"/>
              <w:bottom w:w="0" w:type="dxa"/>
              <w:right w:w="85" w:type="dxa"/>
            </w:tcMar>
          </w:tcPr>
          <w:p w14:paraId="069989A1" w14:textId="77777777" w:rsidR="00D140F7" w:rsidRPr="00261B7A" w:rsidRDefault="00D140F7" w:rsidP="009C63CA">
            <w:pPr>
              <w:pStyle w:val="TableText"/>
              <w:spacing w:before="40" w:after="40"/>
              <w:rPr>
                <w:rFonts w:eastAsia="Calibri"/>
              </w:rPr>
            </w:pPr>
            <w:r w:rsidRPr="00261B7A">
              <w:rPr>
                <w:rFonts w:eastAsia="Calibri"/>
              </w:rPr>
              <w:t xml:space="preserve">Estimated amounts of imported refrigerant, which are not included in import levies and may represent illegal imports, have been reassessed. </w:t>
            </w:r>
          </w:p>
        </w:tc>
        <w:tc>
          <w:tcPr>
            <w:tcW w:w="1276" w:type="dxa"/>
            <w:shd w:val="clear" w:color="auto" w:fill="FFFFFF"/>
            <w:tcMar>
              <w:top w:w="0" w:type="dxa"/>
              <w:left w:w="85" w:type="dxa"/>
              <w:bottom w:w="0" w:type="dxa"/>
              <w:right w:w="85" w:type="dxa"/>
            </w:tcMar>
          </w:tcPr>
          <w:p w14:paraId="4B418A6D" w14:textId="77777777" w:rsidR="00D140F7" w:rsidRPr="00261B7A" w:rsidRDefault="00D140F7" w:rsidP="009C63CA">
            <w:pPr>
              <w:pStyle w:val="TableText"/>
              <w:spacing w:before="40" w:after="40"/>
              <w:rPr>
                <w:rFonts w:eastAsia="Calibri"/>
              </w:rPr>
            </w:pPr>
            <w:r w:rsidRPr="00261B7A">
              <w:rPr>
                <w:rFonts w:eastAsia="Calibri"/>
              </w:rPr>
              <w:t>Accuracy</w:t>
            </w:r>
          </w:p>
        </w:tc>
        <w:tc>
          <w:tcPr>
            <w:tcW w:w="1870" w:type="dxa"/>
            <w:shd w:val="clear" w:color="auto" w:fill="FFFFFF"/>
            <w:tcMar>
              <w:top w:w="0" w:type="dxa"/>
              <w:left w:w="85" w:type="dxa"/>
              <w:bottom w:w="0" w:type="dxa"/>
              <w:right w:w="85" w:type="dxa"/>
            </w:tcMar>
          </w:tcPr>
          <w:p w14:paraId="2C68667E" w14:textId="77777777" w:rsidR="00D140F7" w:rsidRPr="00261B7A" w:rsidRDefault="00D140F7" w:rsidP="009C63CA">
            <w:pPr>
              <w:pStyle w:val="TableText"/>
              <w:spacing w:before="40" w:after="40"/>
              <w:rPr>
                <w:rFonts w:eastAsia="Calibri"/>
              </w:rPr>
            </w:pPr>
            <w:r w:rsidRPr="00261B7A">
              <w:rPr>
                <w:rFonts w:eastAsia="Calibri"/>
                <w:color w:val="000000"/>
              </w:rPr>
              <w:t xml:space="preserve">Improved data available </w:t>
            </w:r>
          </w:p>
        </w:tc>
      </w:tr>
      <w:tr w:rsidR="00D140F7" w:rsidRPr="00261B7A" w14:paraId="581D0A67" w14:textId="77777777" w:rsidTr="009C63CA">
        <w:trPr>
          <w:cantSplit/>
          <w:trHeight w:val="283"/>
        </w:trPr>
        <w:tc>
          <w:tcPr>
            <w:tcW w:w="5359" w:type="dxa"/>
            <w:shd w:val="clear" w:color="auto" w:fill="FFFFFF"/>
            <w:tcMar>
              <w:top w:w="0" w:type="dxa"/>
              <w:left w:w="85" w:type="dxa"/>
              <w:bottom w:w="0" w:type="dxa"/>
              <w:right w:w="85" w:type="dxa"/>
            </w:tcMar>
          </w:tcPr>
          <w:p w14:paraId="35B66917" w14:textId="77777777" w:rsidR="00D140F7" w:rsidRPr="00261B7A" w:rsidRDefault="00D140F7" w:rsidP="009C63CA">
            <w:pPr>
              <w:pStyle w:val="TableText"/>
              <w:spacing w:before="40" w:after="40"/>
            </w:pPr>
            <w:r w:rsidRPr="00261B7A">
              <w:rPr>
                <w:rFonts w:eastAsia="Calibri"/>
                <w:color w:val="000000"/>
              </w:rPr>
              <w:t xml:space="preserve">The age range of domestic refrigerators has been reassessed, to reflect that they are disposed of after 10 to 24 years of use. </w:t>
            </w:r>
          </w:p>
        </w:tc>
        <w:tc>
          <w:tcPr>
            <w:tcW w:w="1276" w:type="dxa"/>
            <w:shd w:val="clear" w:color="auto" w:fill="FFFFFF"/>
            <w:tcMar>
              <w:top w:w="0" w:type="dxa"/>
              <w:left w:w="85" w:type="dxa"/>
              <w:bottom w:w="0" w:type="dxa"/>
              <w:right w:w="85" w:type="dxa"/>
            </w:tcMar>
          </w:tcPr>
          <w:p w14:paraId="31EA5BC4" w14:textId="77777777" w:rsidR="00D140F7" w:rsidRPr="00261B7A" w:rsidRDefault="00D140F7" w:rsidP="009C63CA">
            <w:pPr>
              <w:pStyle w:val="TableText"/>
              <w:spacing w:before="40" w:after="40"/>
            </w:pPr>
            <w:r w:rsidRPr="00261B7A">
              <w:rPr>
                <w:rFonts w:eastAsia="Calibri"/>
              </w:rPr>
              <w:t>Accuracy</w:t>
            </w:r>
          </w:p>
        </w:tc>
        <w:tc>
          <w:tcPr>
            <w:tcW w:w="1870" w:type="dxa"/>
            <w:shd w:val="clear" w:color="auto" w:fill="FFFFFF"/>
            <w:tcMar>
              <w:top w:w="0" w:type="dxa"/>
              <w:left w:w="85" w:type="dxa"/>
              <w:bottom w:w="0" w:type="dxa"/>
              <w:right w:w="85" w:type="dxa"/>
            </w:tcMar>
          </w:tcPr>
          <w:p w14:paraId="06CF41D4" w14:textId="77777777" w:rsidR="00D140F7" w:rsidRPr="00261B7A" w:rsidRDefault="00D140F7" w:rsidP="009C63CA">
            <w:pPr>
              <w:pStyle w:val="TableText"/>
              <w:spacing w:before="40" w:after="40"/>
            </w:pPr>
            <w:r w:rsidRPr="00261B7A">
              <w:rPr>
                <w:rFonts w:eastAsia="Calibri"/>
                <w:color w:val="000000"/>
              </w:rPr>
              <w:t>Improved data available</w:t>
            </w:r>
          </w:p>
        </w:tc>
      </w:tr>
      <w:tr w:rsidR="00D140F7" w:rsidRPr="00261B7A" w14:paraId="2D7EE9D3" w14:textId="77777777" w:rsidTr="009C63CA">
        <w:trPr>
          <w:cantSplit/>
          <w:trHeight w:val="283"/>
        </w:trPr>
        <w:tc>
          <w:tcPr>
            <w:tcW w:w="5359" w:type="dxa"/>
            <w:shd w:val="clear" w:color="auto" w:fill="FFFFFF"/>
            <w:tcMar>
              <w:top w:w="0" w:type="dxa"/>
              <w:left w:w="85" w:type="dxa"/>
              <w:bottom w:w="0" w:type="dxa"/>
              <w:right w:w="85" w:type="dxa"/>
            </w:tcMar>
          </w:tcPr>
          <w:p w14:paraId="6D24E795" w14:textId="77777777" w:rsidR="00D140F7" w:rsidRPr="00261B7A" w:rsidRDefault="00D140F7" w:rsidP="009C63CA">
            <w:pPr>
              <w:pStyle w:val="TableText"/>
              <w:spacing w:before="40" w:after="40"/>
            </w:pPr>
            <w:r w:rsidRPr="00261B7A">
              <w:rPr>
                <w:rFonts w:eastAsia="Calibri"/>
              </w:rPr>
              <w:t xml:space="preserve">Emission factors for the </w:t>
            </w:r>
            <w:r w:rsidRPr="00261B7A">
              <w:rPr>
                <w:rFonts w:eastAsia="Calibri"/>
                <w:i/>
                <w:iCs/>
              </w:rPr>
              <w:t>Transport refrigeration</w:t>
            </w:r>
            <w:r w:rsidRPr="00261B7A">
              <w:rPr>
                <w:rFonts w:eastAsia="Calibri"/>
              </w:rPr>
              <w:t xml:space="preserve"> and </w:t>
            </w:r>
            <w:r w:rsidRPr="00261B7A">
              <w:rPr>
                <w:rFonts w:eastAsia="Calibri"/>
                <w:i/>
                <w:iCs/>
              </w:rPr>
              <w:t>Stationary air conditioning</w:t>
            </w:r>
            <w:r w:rsidRPr="00261B7A">
              <w:rPr>
                <w:rFonts w:eastAsia="Calibri"/>
              </w:rPr>
              <w:t xml:space="preserve"> sub-applications have been adjusted. These changes affect only the attribution of emissions between sub-applications with no change in total emissions. </w:t>
            </w:r>
          </w:p>
        </w:tc>
        <w:tc>
          <w:tcPr>
            <w:tcW w:w="1276" w:type="dxa"/>
            <w:shd w:val="clear" w:color="auto" w:fill="FFFFFF"/>
            <w:tcMar>
              <w:top w:w="0" w:type="dxa"/>
              <w:left w:w="85" w:type="dxa"/>
              <w:bottom w:w="0" w:type="dxa"/>
              <w:right w:w="85" w:type="dxa"/>
            </w:tcMar>
          </w:tcPr>
          <w:p w14:paraId="3BD53AFC" w14:textId="77777777" w:rsidR="00D140F7" w:rsidRPr="00261B7A" w:rsidRDefault="00D140F7" w:rsidP="009C63CA">
            <w:pPr>
              <w:pStyle w:val="TableText"/>
              <w:spacing w:before="40" w:after="40"/>
            </w:pPr>
            <w:r w:rsidRPr="00261B7A">
              <w:rPr>
                <w:rFonts w:eastAsia="Calibri"/>
              </w:rPr>
              <w:t>Comparability</w:t>
            </w:r>
          </w:p>
        </w:tc>
        <w:tc>
          <w:tcPr>
            <w:tcW w:w="1870" w:type="dxa"/>
            <w:shd w:val="clear" w:color="auto" w:fill="FFFFFF"/>
            <w:tcMar>
              <w:top w:w="0" w:type="dxa"/>
              <w:left w:w="85" w:type="dxa"/>
              <w:bottom w:w="0" w:type="dxa"/>
              <w:right w:w="85" w:type="dxa"/>
            </w:tcMar>
          </w:tcPr>
          <w:p w14:paraId="7E44B920" w14:textId="77777777" w:rsidR="00D140F7" w:rsidRPr="00261B7A" w:rsidRDefault="00D140F7" w:rsidP="009C63CA">
            <w:pPr>
              <w:pStyle w:val="TableText"/>
              <w:spacing w:before="40" w:after="40"/>
            </w:pPr>
            <w:r w:rsidRPr="00261B7A">
              <w:rPr>
                <w:rFonts w:eastAsia="Calibri"/>
                <w:color w:val="000000"/>
              </w:rPr>
              <w:t>Improved data available</w:t>
            </w:r>
          </w:p>
        </w:tc>
      </w:tr>
      <w:tr w:rsidR="00D140F7" w:rsidRPr="00261B7A" w14:paraId="4FFCC13C" w14:textId="77777777" w:rsidTr="009C63CA">
        <w:trPr>
          <w:cantSplit/>
          <w:trHeight w:val="283"/>
        </w:trPr>
        <w:tc>
          <w:tcPr>
            <w:tcW w:w="5359" w:type="dxa"/>
            <w:shd w:val="clear" w:color="auto" w:fill="FFFFFF"/>
            <w:tcMar>
              <w:top w:w="0" w:type="dxa"/>
              <w:left w:w="85" w:type="dxa"/>
              <w:bottom w:w="0" w:type="dxa"/>
              <w:right w:w="85" w:type="dxa"/>
            </w:tcMar>
          </w:tcPr>
          <w:p w14:paraId="78DD1E63" w14:textId="77777777" w:rsidR="00D140F7" w:rsidRPr="00261B7A" w:rsidRDefault="00D140F7" w:rsidP="009C63CA">
            <w:pPr>
              <w:pStyle w:val="TableText"/>
              <w:spacing w:before="40" w:after="40"/>
            </w:pPr>
            <w:r w:rsidRPr="00261B7A">
              <w:rPr>
                <w:rFonts w:eastAsia="Calibri"/>
              </w:rPr>
              <w:t>The weighted average charge in metered dose inhalers has been reassessed to reflect changing sales.</w:t>
            </w:r>
          </w:p>
        </w:tc>
        <w:tc>
          <w:tcPr>
            <w:tcW w:w="1276" w:type="dxa"/>
            <w:shd w:val="clear" w:color="auto" w:fill="FFFFFF"/>
            <w:tcMar>
              <w:top w:w="0" w:type="dxa"/>
              <w:left w:w="85" w:type="dxa"/>
              <w:bottom w:w="0" w:type="dxa"/>
              <w:right w:w="85" w:type="dxa"/>
            </w:tcMar>
          </w:tcPr>
          <w:p w14:paraId="55E3BAE4" w14:textId="77777777" w:rsidR="00D140F7" w:rsidRPr="00261B7A" w:rsidRDefault="00D140F7" w:rsidP="009C63CA">
            <w:pPr>
              <w:pStyle w:val="TableText"/>
              <w:spacing w:before="40" w:after="40"/>
            </w:pPr>
            <w:r w:rsidRPr="00261B7A">
              <w:rPr>
                <w:rFonts w:eastAsia="Calibri"/>
              </w:rPr>
              <w:t>Accuracy</w:t>
            </w:r>
          </w:p>
        </w:tc>
        <w:tc>
          <w:tcPr>
            <w:tcW w:w="1870" w:type="dxa"/>
            <w:shd w:val="clear" w:color="auto" w:fill="FFFFFF"/>
            <w:tcMar>
              <w:top w:w="0" w:type="dxa"/>
              <w:left w:w="85" w:type="dxa"/>
              <w:bottom w:w="0" w:type="dxa"/>
              <w:right w:w="85" w:type="dxa"/>
            </w:tcMar>
          </w:tcPr>
          <w:p w14:paraId="1C85B1A5" w14:textId="77777777" w:rsidR="00D140F7" w:rsidRPr="00261B7A" w:rsidRDefault="00D140F7" w:rsidP="009C63CA">
            <w:pPr>
              <w:pStyle w:val="TableText"/>
              <w:spacing w:before="40" w:after="40"/>
            </w:pPr>
            <w:r w:rsidRPr="00261B7A">
              <w:rPr>
                <w:rFonts w:eastAsia="Calibri"/>
                <w:color w:val="000000"/>
              </w:rPr>
              <w:t>Improved data available</w:t>
            </w:r>
          </w:p>
        </w:tc>
      </w:tr>
      <w:tr w:rsidR="00D140F7" w:rsidRPr="00261B7A" w14:paraId="02B61BA3" w14:textId="77777777" w:rsidTr="009C63CA">
        <w:trPr>
          <w:cantSplit/>
          <w:trHeight w:val="283"/>
        </w:trPr>
        <w:tc>
          <w:tcPr>
            <w:tcW w:w="5359" w:type="dxa"/>
            <w:shd w:val="clear" w:color="auto" w:fill="FFFFFF"/>
            <w:tcMar>
              <w:top w:w="0" w:type="dxa"/>
              <w:left w:w="85" w:type="dxa"/>
              <w:bottom w:w="0" w:type="dxa"/>
              <w:right w:w="85" w:type="dxa"/>
            </w:tcMar>
          </w:tcPr>
          <w:p w14:paraId="2E8E00C7" w14:textId="77777777" w:rsidR="00D140F7" w:rsidRPr="00261B7A" w:rsidDel="00E30203" w:rsidRDefault="00D140F7" w:rsidP="009C63CA">
            <w:pPr>
              <w:pStyle w:val="TableText"/>
              <w:spacing w:before="40" w:after="40"/>
              <w:rPr>
                <w:rFonts w:eastAsia="Calibri"/>
              </w:rPr>
            </w:pPr>
            <w:r w:rsidRPr="00261B7A">
              <w:rPr>
                <w:rFonts w:eastAsia="Calibri"/>
              </w:rPr>
              <w:t xml:space="preserve">Minor errors in refrigerant imports shown by survey responses have been corrected. </w:t>
            </w:r>
          </w:p>
        </w:tc>
        <w:tc>
          <w:tcPr>
            <w:tcW w:w="1276" w:type="dxa"/>
            <w:shd w:val="clear" w:color="auto" w:fill="FFFFFF"/>
            <w:tcMar>
              <w:top w:w="0" w:type="dxa"/>
              <w:left w:w="85" w:type="dxa"/>
              <w:bottom w:w="0" w:type="dxa"/>
              <w:right w:w="85" w:type="dxa"/>
            </w:tcMar>
          </w:tcPr>
          <w:p w14:paraId="18C08DF0" w14:textId="77777777" w:rsidR="00D140F7" w:rsidRPr="00261B7A" w:rsidRDefault="00D140F7" w:rsidP="009C63CA">
            <w:pPr>
              <w:pStyle w:val="TableText"/>
              <w:spacing w:before="40" w:after="40"/>
              <w:rPr>
                <w:rFonts w:eastAsia="Calibri"/>
              </w:rPr>
            </w:pPr>
            <w:r w:rsidRPr="00261B7A">
              <w:rPr>
                <w:rFonts w:eastAsia="Calibri"/>
              </w:rPr>
              <w:t>Accuracy</w:t>
            </w:r>
          </w:p>
        </w:tc>
        <w:tc>
          <w:tcPr>
            <w:tcW w:w="1870" w:type="dxa"/>
            <w:shd w:val="clear" w:color="auto" w:fill="FFFFFF"/>
            <w:tcMar>
              <w:top w:w="0" w:type="dxa"/>
              <w:left w:w="85" w:type="dxa"/>
              <w:bottom w:w="0" w:type="dxa"/>
              <w:right w:w="85" w:type="dxa"/>
            </w:tcMar>
          </w:tcPr>
          <w:p w14:paraId="2E11FA25" w14:textId="77777777" w:rsidR="00D140F7" w:rsidRPr="00261B7A" w:rsidRDefault="00D140F7" w:rsidP="009C63CA">
            <w:pPr>
              <w:pStyle w:val="TableText"/>
              <w:spacing w:before="40" w:after="40"/>
              <w:rPr>
                <w:rFonts w:eastAsia="Calibri"/>
                <w:color w:val="000000"/>
              </w:rPr>
            </w:pPr>
            <w:r w:rsidRPr="00261B7A">
              <w:rPr>
                <w:rFonts w:eastAsia="Calibri"/>
                <w:color w:val="000000"/>
              </w:rPr>
              <w:t>Correction of an error</w:t>
            </w:r>
          </w:p>
        </w:tc>
      </w:tr>
    </w:tbl>
    <w:p w14:paraId="1F4EE68D" w14:textId="34932643" w:rsidR="00D140F7" w:rsidRPr="00261B7A" w:rsidRDefault="00D140F7" w:rsidP="00D140F7">
      <w:pPr>
        <w:pStyle w:val="Figure"/>
        <w:spacing w:before="240"/>
      </w:pPr>
      <w:bookmarkStart w:id="2815" w:name="_Toc99696070"/>
      <w:bookmarkStart w:id="2816" w:name="_Toc129781234"/>
      <w:bookmarkStart w:id="2817" w:name="_Toc130565768"/>
      <w:bookmarkStart w:id="2818" w:name="_Toc131591592"/>
      <w:r w:rsidRPr="00261B7A">
        <w:t>Figure 10.1.3</w:t>
      </w:r>
      <w:r w:rsidRPr="00261B7A">
        <w:tab/>
        <w:t>Effect of recalculations on emissions estimates from the IPPU sector from 1990</w:t>
      </w:r>
      <w:r w:rsidR="001B4E1F" w:rsidRPr="00261B7A">
        <w:t> </w:t>
      </w:r>
      <w:r w:rsidRPr="00261B7A">
        <w:t>to</w:t>
      </w:r>
      <w:r w:rsidR="001B4E1F" w:rsidRPr="00261B7A">
        <w:t> </w:t>
      </w:r>
      <w:r w:rsidRPr="00261B7A">
        <w:t>2020</w:t>
      </w:r>
      <w:bookmarkEnd w:id="2815"/>
      <w:bookmarkEnd w:id="2816"/>
      <w:bookmarkEnd w:id="2817"/>
      <w:bookmarkEnd w:id="2818"/>
    </w:p>
    <w:p w14:paraId="30EF7AC1" w14:textId="77777777" w:rsidR="00D140F7" w:rsidRPr="00261B7A" w:rsidRDefault="00D140F7" w:rsidP="00D140F7">
      <w:pPr>
        <w:pStyle w:val="BodyText"/>
        <w:spacing w:after="0"/>
        <w:jc w:val="center"/>
      </w:pPr>
      <w:r w:rsidRPr="00261B7A">
        <w:rPr>
          <w:noProof/>
        </w:rPr>
        <w:drawing>
          <wp:inline distT="0" distB="0" distL="0" distR="0" wp14:anchorId="42E5EB77" wp14:editId="09871172">
            <wp:extent cx="4520656" cy="3390492"/>
            <wp:effectExtent l="0" t="0" r="0" b="635"/>
            <wp:docPr id="56" name="Picture 5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4531546" cy="3398660"/>
                    </a:xfrm>
                    <a:prstGeom prst="rect">
                      <a:avLst/>
                    </a:prstGeom>
                  </pic:spPr>
                </pic:pic>
              </a:graphicData>
            </a:graphic>
          </wp:inline>
        </w:drawing>
      </w:r>
    </w:p>
    <w:p w14:paraId="6E450C30" w14:textId="77777777" w:rsidR="00D140F7" w:rsidRPr="00261B7A" w:rsidRDefault="00D140F7" w:rsidP="00D140F7">
      <w:pPr>
        <w:pStyle w:val="Heading3"/>
      </w:pPr>
      <w:bookmarkStart w:id="2819" w:name="agriculture"/>
      <w:bookmarkEnd w:id="2809"/>
      <w:r w:rsidRPr="00261B7A">
        <w:t xml:space="preserve">10.1.3 </w:t>
      </w:r>
      <w:r w:rsidRPr="00261B7A">
        <w:tab/>
        <w:t>Agriculture</w:t>
      </w:r>
    </w:p>
    <w:p w14:paraId="69F1719D" w14:textId="44C492DA" w:rsidR="00D140F7" w:rsidRPr="00261B7A" w:rsidRDefault="00D140F7" w:rsidP="00D140F7">
      <w:pPr>
        <w:pStyle w:val="BodyText"/>
      </w:pPr>
      <w:r w:rsidRPr="00261B7A">
        <w:t>Improvements and recalculations made to the Agriculture inventory in the 2023 submission have resulted in a 1.4 percent (480.8 kt CO</w:t>
      </w:r>
      <w:r w:rsidRPr="00261B7A">
        <w:rPr>
          <w:vertAlign w:val="subscript"/>
        </w:rPr>
        <w:t>2</w:t>
      </w:r>
      <w:r w:rsidRPr="00261B7A">
        <w:t>-e) decrease in estimated agricultural emissions in 1990 and a 2.</w:t>
      </w:r>
      <w:r w:rsidR="00DD6CB9">
        <w:t>7</w:t>
      </w:r>
      <w:r w:rsidRPr="00261B7A">
        <w:t xml:space="preserve"> percent (1,065.4 kt CO</w:t>
      </w:r>
      <w:r w:rsidRPr="00261B7A">
        <w:rPr>
          <w:vertAlign w:val="subscript"/>
        </w:rPr>
        <w:t>2</w:t>
      </w:r>
      <w:r w:rsidRPr="00261B7A">
        <w:t>-e) decrease in estimated agricultural emissions in 2020 (figure 10.1.4).</w:t>
      </w:r>
    </w:p>
    <w:p w14:paraId="6EA08EB1" w14:textId="77777777" w:rsidR="00D140F7" w:rsidRPr="00261B7A" w:rsidRDefault="00D140F7" w:rsidP="00D140F7">
      <w:pPr>
        <w:pStyle w:val="BodyText"/>
      </w:pPr>
      <w:r w:rsidRPr="00261B7A">
        <w:t>The improvements implemented for the Agriculture inventory in the 2023 submission are:</w:t>
      </w:r>
    </w:p>
    <w:p w14:paraId="208F0368" w14:textId="77777777" w:rsidR="00D140F7" w:rsidRPr="00261B7A" w:rsidRDefault="00D140F7" w:rsidP="00D140F7">
      <w:pPr>
        <w:pStyle w:val="Bullet"/>
        <w:rPr>
          <w:rFonts w:eastAsia="Calibri" w:cs="Calibri"/>
        </w:rPr>
      </w:pPr>
      <w:r w:rsidRPr="00261B7A">
        <w:rPr>
          <w:rFonts w:eastAsia="Calibri" w:cs="Calibri"/>
        </w:rPr>
        <w:t>the use of new Frac</w:t>
      </w:r>
      <w:r w:rsidRPr="00261B7A">
        <w:rPr>
          <w:rFonts w:eastAsia="Calibri" w:cs="Calibri"/>
          <w:vertAlign w:val="subscript"/>
        </w:rPr>
        <w:t>LEACH</w:t>
      </w:r>
      <w:r w:rsidRPr="00261B7A">
        <w:rPr>
          <w:rFonts w:eastAsia="Calibri" w:cs="Calibri"/>
        </w:rPr>
        <w:t xml:space="preserve"> values for grazing systems and synthetic nitrogen </w:t>
      </w:r>
    </w:p>
    <w:p w14:paraId="29825DDC" w14:textId="77777777" w:rsidR="00D140F7" w:rsidRPr="00261B7A" w:rsidRDefault="00D140F7" w:rsidP="00D140F7">
      <w:pPr>
        <w:pStyle w:val="Bullet"/>
        <w:tabs>
          <w:tab w:val="num" w:pos="567"/>
        </w:tabs>
        <w:rPr>
          <w:rFonts w:eastAsia="Calibri" w:cs="Calibri"/>
        </w:rPr>
      </w:pPr>
      <w:r w:rsidRPr="00261B7A">
        <w:rPr>
          <w:rFonts w:eastAsia="Calibri" w:cs="Calibri"/>
        </w:rPr>
        <w:t xml:space="preserve">improved estimates of within-year dairy cattle population change </w:t>
      </w:r>
    </w:p>
    <w:p w14:paraId="095799CA" w14:textId="77777777" w:rsidR="00D140F7" w:rsidRPr="00261B7A" w:rsidRDefault="00D140F7" w:rsidP="00D140F7">
      <w:pPr>
        <w:pStyle w:val="Bullet"/>
        <w:tabs>
          <w:tab w:val="num" w:pos="567"/>
        </w:tabs>
        <w:rPr>
          <w:rFonts w:eastAsia="Calibri" w:cs="Calibri"/>
        </w:rPr>
      </w:pPr>
      <w:r w:rsidRPr="00261B7A">
        <w:rPr>
          <w:rFonts w:eastAsia="Calibri" w:cs="Calibri"/>
        </w:rPr>
        <w:t>the use of new feed quality values for</w:t>
      </w:r>
      <w:r w:rsidRPr="00261B7A">
        <w:rPr>
          <w:rFonts w:eastAsia="Calibri" w:cs="Calibri"/>
          <w:i/>
          <w:iCs/>
        </w:rPr>
        <w:t xml:space="preserve"> </w:t>
      </w:r>
      <w:r w:rsidRPr="00261B7A">
        <w:rPr>
          <w:rFonts w:eastAsia="Calibri" w:cs="Calibri"/>
          <w:i/>
        </w:rPr>
        <w:t>Dairy cattle</w:t>
      </w:r>
      <w:r w:rsidRPr="00261B7A">
        <w:rPr>
          <w:rFonts w:eastAsia="Calibri" w:cs="Calibri"/>
          <w:iCs/>
        </w:rPr>
        <w:t xml:space="preserve">, </w:t>
      </w:r>
      <w:r w:rsidRPr="00261B7A">
        <w:rPr>
          <w:rFonts w:eastAsia="Calibri" w:cs="Calibri"/>
          <w:i/>
        </w:rPr>
        <w:t xml:space="preserve">Non-dairy </w:t>
      </w:r>
      <w:r w:rsidRPr="00261B7A">
        <w:rPr>
          <w:rFonts w:eastAsia="Calibri" w:cs="Calibri"/>
          <w:iCs/>
        </w:rPr>
        <w:t>(beef)</w:t>
      </w:r>
      <w:r w:rsidRPr="00261B7A">
        <w:rPr>
          <w:rFonts w:eastAsia="Calibri" w:cs="Calibri"/>
          <w:i/>
        </w:rPr>
        <w:t xml:space="preserve"> cattle</w:t>
      </w:r>
      <w:r w:rsidRPr="00261B7A">
        <w:rPr>
          <w:rFonts w:eastAsia="Calibri" w:cs="Calibri"/>
        </w:rPr>
        <w:t xml:space="preserve"> and </w:t>
      </w:r>
      <w:r w:rsidRPr="00261B7A">
        <w:rPr>
          <w:rFonts w:eastAsia="Calibri" w:cs="Calibri"/>
          <w:i/>
        </w:rPr>
        <w:t>Sheep</w:t>
      </w:r>
      <w:r w:rsidRPr="00261B7A">
        <w:rPr>
          <w:rFonts w:eastAsia="Calibri" w:cs="Calibri"/>
          <w:i/>
          <w:iCs/>
        </w:rPr>
        <w:t> </w:t>
      </w:r>
      <w:r w:rsidRPr="00261B7A">
        <w:rPr>
          <w:rFonts w:eastAsia="Calibri" w:cs="Calibri"/>
        </w:rPr>
        <w:t xml:space="preserve">to reflect pasture and non-pasture feed use </w:t>
      </w:r>
    </w:p>
    <w:p w14:paraId="00B39E32" w14:textId="77777777" w:rsidR="00D140F7" w:rsidRPr="00261B7A" w:rsidRDefault="00D140F7" w:rsidP="00D140F7">
      <w:pPr>
        <w:pStyle w:val="Bullet"/>
        <w:tabs>
          <w:tab w:val="num" w:pos="567"/>
        </w:tabs>
      </w:pPr>
      <w:r w:rsidRPr="00261B7A">
        <w:rPr>
          <w:rFonts w:eastAsia="Calibri" w:cs="Calibri"/>
        </w:rPr>
        <w:t>minor error corrections to the deer calculations</w:t>
      </w:r>
    </w:p>
    <w:p w14:paraId="05C8A668" w14:textId="77777777" w:rsidR="00D140F7" w:rsidRPr="00261B7A" w:rsidRDefault="00D140F7" w:rsidP="00D140F7">
      <w:pPr>
        <w:pStyle w:val="Bullet"/>
        <w:numPr>
          <w:ilvl w:val="0"/>
          <w:numId w:val="20"/>
        </w:numPr>
        <w:ind w:left="397" w:hanging="397"/>
      </w:pPr>
      <w:r w:rsidRPr="00261B7A">
        <w:t>revisions to agricultural statistics, using the latest available activity data from sources described in chapter 5, section 5.1.4.</w:t>
      </w:r>
    </w:p>
    <w:p w14:paraId="7DA486C5" w14:textId="77777777" w:rsidR="00D140F7" w:rsidRPr="00261B7A" w:rsidRDefault="00D140F7" w:rsidP="00D140F7">
      <w:pPr>
        <w:pStyle w:val="Heading5"/>
      </w:pPr>
      <w:bookmarkStart w:id="2820" w:name="X14c4b9e50e41f705a2c49afe09bb0dd79228236"/>
      <w:r w:rsidRPr="00261B7A">
        <w:t>Update to the Frac</w:t>
      </w:r>
      <w:r w:rsidRPr="00261B7A">
        <w:rPr>
          <w:vertAlign w:val="subscript"/>
        </w:rPr>
        <w:t>LEACH</w:t>
      </w:r>
      <w:r w:rsidRPr="00261B7A">
        <w:t xml:space="preserve"> parameter</w:t>
      </w:r>
    </w:p>
    <w:p w14:paraId="2BD33899" w14:textId="2578852A" w:rsidR="00D140F7" w:rsidRPr="00261B7A" w:rsidRDefault="00D140F7" w:rsidP="00D140F7">
      <w:pPr>
        <w:pStyle w:val="BodyText"/>
      </w:pPr>
      <w:r w:rsidRPr="00261B7A">
        <w:t>For the 2023 submission, the Frac</w:t>
      </w:r>
      <w:r w:rsidRPr="00261B7A">
        <w:rPr>
          <w:vertAlign w:val="subscript"/>
        </w:rPr>
        <w:t>LEACH</w:t>
      </w:r>
      <w:r w:rsidRPr="00261B7A">
        <w:t xml:space="preserve"> parameter has been disaggregated into three values. A</w:t>
      </w:r>
      <w:r w:rsidR="00C813FE">
        <w:t> </w:t>
      </w:r>
      <w:r w:rsidRPr="00261B7A">
        <w:t>value of 0.10 is used for cropping systems and 0.08 for grazing systems. Based on these values, a new Frac</w:t>
      </w:r>
      <w:r w:rsidRPr="00261B7A">
        <w:rPr>
          <w:vertAlign w:val="subscript"/>
        </w:rPr>
        <w:t xml:space="preserve">LEACH </w:t>
      </w:r>
      <w:r w:rsidRPr="00261B7A">
        <w:t>value for synthetic nitrogen (F</w:t>
      </w:r>
      <w:r w:rsidRPr="00261B7A">
        <w:rPr>
          <w:vertAlign w:val="subscript"/>
        </w:rPr>
        <w:t>SN</w:t>
      </w:r>
      <w:r w:rsidRPr="00261B7A">
        <w:t>) of 0.082 has been calculated.</w:t>
      </w:r>
    </w:p>
    <w:p w14:paraId="612F17ED" w14:textId="77777777" w:rsidR="00D140F7" w:rsidRPr="00261B7A" w:rsidRDefault="00D140F7" w:rsidP="00D140F7">
      <w:pPr>
        <w:pStyle w:val="BodyText"/>
        <w:rPr>
          <w:spacing w:val="-2"/>
        </w:rPr>
      </w:pPr>
      <w:r w:rsidRPr="00261B7A">
        <w:t xml:space="preserve">The value of 0.10 for cropping systems was derived by Welten et al. (2021), using measured and modelled values from OVERSEER® </w:t>
      </w:r>
      <w:r w:rsidRPr="00261B7A" w:rsidDel="0027237D">
        <w:t>(Wheeler et al., 2003)</w:t>
      </w:r>
      <w:r w:rsidRPr="00261B7A">
        <w:t xml:space="preserve"> to estimate nitrogen leaching for a variety of arable and vegetable cropping systems. Variables in their analysis included cropping rotation sequences, regions, soil types and rainfall. This investigation produced a recommendation for a Frac</w:t>
      </w:r>
      <w:r w:rsidRPr="00261B7A">
        <w:rPr>
          <w:vertAlign w:val="subscript"/>
        </w:rPr>
        <w:t>LEACH</w:t>
      </w:r>
      <w:r w:rsidRPr="00261B7A">
        <w:t xml:space="preserve"> value that is more representative of cropping systems in New Zealand than the value of 0.07 that has been applied across all agricultural systems in previous submissions. This change was recommended by the Agriculture Inventory Advisory </w:t>
      </w:r>
      <w:r w:rsidRPr="00261B7A">
        <w:rPr>
          <w:spacing w:val="-2"/>
        </w:rPr>
        <w:t>Panel (the Panel) at its meeting on 4 November 2021 and implemented in the 2022 submission.</w:t>
      </w:r>
    </w:p>
    <w:p w14:paraId="66B5D0D6" w14:textId="77777777" w:rsidR="00D140F7" w:rsidRPr="00261B7A" w:rsidRDefault="00D140F7" w:rsidP="00D140F7">
      <w:pPr>
        <w:pStyle w:val="BodyText"/>
      </w:pPr>
      <w:r w:rsidRPr="00261B7A">
        <w:t>Welten et al. (2021) also recommended adopting a Frac</w:t>
      </w:r>
      <w:r w:rsidRPr="00261B7A">
        <w:rPr>
          <w:vertAlign w:val="subscript"/>
        </w:rPr>
        <w:t>LEACH</w:t>
      </w:r>
      <w:r w:rsidRPr="00261B7A">
        <w:t xml:space="preserve"> value of 0.08 for grazing systems, which the Panel also recommended in principle in 2021, subject to further investigation as to whether the pasture nutrition data in OVERSEER® are representative of pasture nutrition data in the Agriculture inventory. Researchers confirmed that, while OVERSEER® does use pasture quality values that are not completely consistent with the Agriculture greenhouse gas inventory model, the impact of this is minor and does not affect the final recommendation. Following this confirmation, this change was recommended by the Panel at its meeting on 26 October 2022 and implemented in the 2023 submission. </w:t>
      </w:r>
    </w:p>
    <w:p w14:paraId="6819979A" w14:textId="67BF20FD" w:rsidR="00D140F7" w:rsidRPr="00261B7A" w:rsidRDefault="00D140F7" w:rsidP="00D140F7">
      <w:pPr>
        <w:pStyle w:val="BodyText"/>
      </w:pPr>
      <w:r w:rsidRPr="00261B7A">
        <w:t>Based on the new Frac</w:t>
      </w:r>
      <w:r w:rsidRPr="00261B7A">
        <w:rPr>
          <w:vertAlign w:val="subscript"/>
        </w:rPr>
        <w:t xml:space="preserve">LEACH </w:t>
      </w:r>
      <w:r w:rsidRPr="00261B7A">
        <w:t>values for cropping and grazing systems, a new leaching value for synthetic nitrogen (F</w:t>
      </w:r>
      <w:r w:rsidRPr="00261B7A">
        <w:rPr>
          <w:vertAlign w:val="subscript"/>
        </w:rPr>
        <w:t>SN</w:t>
      </w:r>
      <w:r w:rsidRPr="00261B7A">
        <w:t>) of 0.082 was calculated. This value is a weighted average based on the</w:t>
      </w:r>
      <w:r w:rsidR="00C813FE">
        <w:t> </w:t>
      </w:r>
      <w:r w:rsidRPr="00261B7A">
        <w:t>ratio of total nitrogen fertiliser applied to grazing and cropping systems (approximately 90:10 based on recent data from Stats NZ, which is also reasonably consistent across the entire reporting period). This approach was recommended by the Panel at its meeting on 26 October 2022 and has been implemented in the 2023 submission.</w:t>
      </w:r>
    </w:p>
    <w:p w14:paraId="38D9E46F" w14:textId="77777777" w:rsidR="00D140F7" w:rsidRPr="00261B7A" w:rsidRDefault="00D140F7" w:rsidP="00D140F7">
      <w:pPr>
        <w:pStyle w:val="BodyText"/>
      </w:pPr>
      <w:r w:rsidRPr="00261B7A" w:rsidDel="0027237D">
        <w:t>Previously, a uniform Frac</w:t>
      </w:r>
      <w:r w:rsidRPr="00261B7A" w:rsidDel="0027237D">
        <w:rPr>
          <w:vertAlign w:val="subscript"/>
        </w:rPr>
        <w:t>LEACH</w:t>
      </w:r>
      <w:r w:rsidRPr="00261B7A" w:rsidDel="0027237D">
        <w:t xml:space="preserve"> value of 0.07 was used for all nitrogen fertiliser applied to agricultural soil in New Zealand. This value was sourced from Thomas et al. (2005), who compared nitrogen leaching estimates for different farm systems based on Intergovernmental Panel on Climate Change (IPCC) methodology (a value of 0.30 kg N/kg of fertiliser or manure) with estimates from OVERSEER®. The IPCC-based estimates were found, on average, to be </w:t>
      </w:r>
      <w:r w:rsidRPr="00261B7A" w:rsidDel="0027237D">
        <w:rPr>
          <w:spacing w:val="-2"/>
        </w:rPr>
        <w:t>50</w:t>
      </w:r>
      <w:r w:rsidRPr="00261B7A">
        <w:rPr>
          <w:spacing w:val="-2"/>
        </w:rPr>
        <w:t> </w:t>
      </w:r>
      <w:r w:rsidRPr="00261B7A" w:rsidDel="0027237D">
        <w:rPr>
          <w:spacing w:val="-2"/>
        </w:rPr>
        <w:t>per cent higher than those based on the OVERSEER® nutrient budget model (using a Frac</w:t>
      </w:r>
      <w:r w:rsidRPr="00261B7A" w:rsidDel="0027237D">
        <w:rPr>
          <w:spacing w:val="-2"/>
          <w:vertAlign w:val="subscript"/>
        </w:rPr>
        <w:t>LEACH</w:t>
      </w:r>
      <w:r w:rsidRPr="00261B7A" w:rsidDel="0027237D">
        <w:t xml:space="preserve"> value of 0.15). However, the investigation by Welten et al. (2021) found that a Frac</w:t>
      </w:r>
      <w:r w:rsidRPr="00261B7A" w:rsidDel="0027237D">
        <w:rPr>
          <w:vertAlign w:val="subscript"/>
        </w:rPr>
        <w:t>LEACH</w:t>
      </w:r>
      <w:r w:rsidRPr="00261B7A" w:rsidDel="0027237D">
        <w:t xml:space="preserve"> of 0.07 was not representative of all agricultural system types (particularly cropping), resulting in the recommended disaggregation of the Frac</w:t>
      </w:r>
      <w:r w:rsidRPr="00261B7A" w:rsidDel="0027237D">
        <w:rPr>
          <w:vertAlign w:val="subscript"/>
        </w:rPr>
        <w:t>LEACH</w:t>
      </w:r>
      <w:r w:rsidRPr="00261B7A" w:rsidDel="0027237D">
        <w:t xml:space="preserve"> parameter for the 2022 submission.</w:t>
      </w:r>
    </w:p>
    <w:p w14:paraId="1A1D48F9" w14:textId="77777777" w:rsidR="00D140F7" w:rsidRPr="00261B7A" w:rsidRDefault="00D140F7" w:rsidP="00D140F7">
      <w:pPr>
        <w:pStyle w:val="BodyText"/>
      </w:pPr>
      <w:r w:rsidRPr="00261B7A">
        <w:t xml:space="preserve">The implementation of the 2023 changes increases estimated emissions from the </w:t>
      </w:r>
      <w:bookmarkStart w:id="2821" w:name="_Int_jGb2IS83"/>
      <w:r w:rsidRPr="00261B7A">
        <w:t>Agriculture</w:t>
      </w:r>
      <w:bookmarkEnd w:id="2821"/>
      <w:r w:rsidRPr="00261B7A">
        <w:t xml:space="preserve"> sector by 0.2 per cent (55.0 kt CO</w:t>
      </w:r>
      <w:r w:rsidRPr="00261B7A">
        <w:rPr>
          <w:vertAlign w:val="subscript"/>
        </w:rPr>
        <w:t>2</w:t>
      </w:r>
      <w:r w:rsidRPr="00261B7A">
        <w:t>-e) in 1990 and 0.2 per cent (73.1 kt CO</w:t>
      </w:r>
      <w:r w:rsidRPr="00261B7A">
        <w:rPr>
          <w:vertAlign w:val="subscript"/>
        </w:rPr>
        <w:t>2</w:t>
      </w:r>
      <w:r w:rsidRPr="00261B7A">
        <w:t>-e) in 2020 (see table 10.1.5).</w:t>
      </w:r>
    </w:p>
    <w:p w14:paraId="70853958" w14:textId="77777777" w:rsidR="00D140F7" w:rsidRPr="00261B7A" w:rsidRDefault="00D140F7" w:rsidP="00D140F7">
      <w:pPr>
        <w:pStyle w:val="Table"/>
      </w:pPr>
      <w:bookmarkStart w:id="2822" w:name="_Toc99659375"/>
      <w:bookmarkStart w:id="2823" w:name="_Toc129781207"/>
      <w:bookmarkStart w:id="2824" w:name="_Toc130565742"/>
      <w:bookmarkStart w:id="2825" w:name="_Toc130565843"/>
      <w:bookmarkStart w:id="2826" w:name="_Toc131591487"/>
      <w:r w:rsidRPr="00261B7A">
        <w:t>Table 10.1.5</w:t>
      </w:r>
      <w:r w:rsidRPr="00261B7A">
        <w:tab/>
        <w:t>Comparison of current and previous emissions estimates before and after change</w:t>
      </w:r>
      <w:r w:rsidRPr="00261B7A">
        <w:br/>
        <w:t xml:space="preserve">to the </w:t>
      </w:r>
      <w:bookmarkEnd w:id="2822"/>
      <w:r w:rsidRPr="00261B7A">
        <w:t>Frac</w:t>
      </w:r>
      <w:r w:rsidRPr="00261B7A">
        <w:rPr>
          <w:vertAlign w:val="subscript"/>
        </w:rPr>
        <w:t>LEACH</w:t>
      </w:r>
      <w:r w:rsidRPr="00261B7A">
        <w:t xml:space="preserve"> values</w:t>
      </w:r>
      <w:bookmarkEnd w:id="2823"/>
      <w:bookmarkEnd w:id="2824"/>
      <w:bookmarkEnd w:id="2825"/>
      <w:bookmarkEnd w:id="2826"/>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522"/>
        <w:gridCol w:w="2017"/>
        <w:gridCol w:w="851"/>
        <w:gridCol w:w="850"/>
        <w:gridCol w:w="1559"/>
        <w:gridCol w:w="1706"/>
      </w:tblGrid>
      <w:tr w:rsidR="00D140F7" w:rsidRPr="00261B7A" w14:paraId="304D74E6" w14:textId="77777777" w:rsidTr="009C63CA">
        <w:trPr>
          <w:cantSplit/>
          <w:tblHeader/>
        </w:trPr>
        <w:tc>
          <w:tcPr>
            <w:tcW w:w="0" w:type="auto"/>
            <w:shd w:val="clear" w:color="auto" w:fill="1B556B"/>
            <w:vAlign w:val="bottom"/>
          </w:tcPr>
          <w:p w14:paraId="41F5CA59" w14:textId="77777777" w:rsidR="00D140F7" w:rsidRPr="00261B7A" w:rsidRDefault="00D140F7" w:rsidP="009C63CA">
            <w:pPr>
              <w:pStyle w:val="TableTextBold"/>
              <w:rPr>
                <w:noProof w:val="0"/>
                <w:color w:val="FFFFFF"/>
              </w:rPr>
            </w:pPr>
          </w:p>
        </w:tc>
        <w:tc>
          <w:tcPr>
            <w:tcW w:w="2017" w:type="dxa"/>
            <w:shd w:val="clear" w:color="auto" w:fill="1B556B"/>
            <w:vAlign w:val="bottom"/>
          </w:tcPr>
          <w:p w14:paraId="0D608909" w14:textId="77777777" w:rsidR="00D140F7" w:rsidRPr="00261B7A" w:rsidRDefault="00D140F7" w:rsidP="009C63CA">
            <w:pPr>
              <w:pStyle w:val="TableTextBold"/>
              <w:rPr>
                <w:noProof w:val="0"/>
                <w:color w:val="FFFFFF"/>
              </w:rPr>
            </w:pPr>
          </w:p>
        </w:tc>
        <w:tc>
          <w:tcPr>
            <w:tcW w:w="851" w:type="dxa"/>
            <w:shd w:val="clear" w:color="auto" w:fill="1B556B"/>
            <w:vAlign w:val="bottom"/>
          </w:tcPr>
          <w:p w14:paraId="4B75C36F" w14:textId="77777777" w:rsidR="00D140F7" w:rsidRPr="00261B7A" w:rsidRDefault="00D140F7" w:rsidP="009C63CA">
            <w:pPr>
              <w:pStyle w:val="TableTextBold"/>
              <w:jc w:val="right"/>
              <w:rPr>
                <w:noProof w:val="0"/>
                <w:color w:val="FFFFFF"/>
              </w:rPr>
            </w:pPr>
            <w:r w:rsidRPr="00261B7A">
              <w:rPr>
                <w:rFonts w:eastAsia="Calibri"/>
                <w:noProof w:val="0"/>
                <w:color w:val="FFFFFF"/>
              </w:rPr>
              <w:t>1990</w:t>
            </w:r>
          </w:p>
        </w:tc>
        <w:tc>
          <w:tcPr>
            <w:tcW w:w="850" w:type="dxa"/>
            <w:shd w:val="clear" w:color="auto" w:fill="1B556B"/>
            <w:vAlign w:val="bottom"/>
          </w:tcPr>
          <w:p w14:paraId="7FD756C2" w14:textId="77777777" w:rsidR="00D140F7" w:rsidRPr="00261B7A" w:rsidRDefault="00D140F7" w:rsidP="009C63CA">
            <w:pPr>
              <w:pStyle w:val="TableTextBold"/>
              <w:jc w:val="right"/>
              <w:rPr>
                <w:noProof w:val="0"/>
                <w:color w:val="FFFFFF"/>
              </w:rPr>
            </w:pPr>
            <w:r w:rsidRPr="00261B7A">
              <w:rPr>
                <w:rFonts w:eastAsia="Calibri"/>
                <w:noProof w:val="0"/>
                <w:color w:val="FFFFFF" w:themeColor="background1"/>
              </w:rPr>
              <w:t>2020</w:t>
            </w:r>
          </w:p>
        </w:tc>
        <w:tc>
          <w:tcPr>
            <w:tcW w:w="1559" w:type="dxa"/>
            <w:shd w:val="clear" w:color="auto" w:fill="1B556B"/>
            <w:vAlign w:val="bottom"/>
          </w:tcPr>
          <w:p w14:paraId="03283DBA" w14:textId="77777777" w:rsidR="00D140F7" w:rsidRPr="00261B7A" w:rsidRDefault="00D140F7" w:rsidP="009C63CA">
            <w:pPr>
              <w:pStyle w:val="TableTextBold"/>
              <w:jc w:val="right"/>
              <w:rPr>
                <w:noProof w:val="0"/>
                <w:color w:val="FFFFFF"/>
              </w:rPr>
            </w:pPr>
            <w:r w:rsidRPr="00261B7A">
              <w:rPr>
                <w:rFonts w:eastAsia="Calibri"/>
                <w:noProof w:val="0"/>
                <w:color w:val="FFFFFF" w:themeColor="background1"/>
              </w:rPr>
              <w:t>Change in emission outputs between 1990 and 2020 (kt CO</w:t>
            </w:r>
            <w:r w:rsidRPr="00261B7A">
              <w:rPr>
                <w:rFonts w:eastAsia="Calibri"/>
                <w:noProof w:val="0"/>
                <w:color w:val="FFFFFF" w:themeColor="background1"/>
                <w:vertAlign w:val="subscript"/>
              </w:rPr>
              <w:t>2</w:t>
            </w:r>
            <w:r w:rsidRPr="00261B7A">
              <w:rPr>
                <w:rFonts w:eastAsia="Calibri"/>
                <w:noProof w:val="0"/>
                <w:color w:val="FFFFFF" w:themeColor="background1"/>
              </w:rPr>
              <w:t>-e)</w:t>
            </w:r>
          </w:p>
        </w:tc>
        <w:tc>
          <w:tcPr>
            <w:tcW w:w="1706" w:type="dxa"/>
            <w:shd w:val="clear" w:color="auto" w:fill="1B556B"/>
            <w:vAlign w:val="bottom"/>
          </w:tcPr>
          <w:p w14:paraId="39D4B5C1" w14:textId="77777777" w:rsidR="00D140F7" w:rsidRPr="00261B7A" w:rsidRDefault="00D140F7" w:rsidP="009C63CA">
            <w:pPr>
              <w:pStyle w:val="TableTextBold"/>
              <w:jc w:val="right"/>
              <w:rPr>
                <w:noProof w:val="0"/>
                <w:color w:val="FFFFFF"/>
              </w:rPr>
            </w:pPr>
            <w:r w:rsidRPr="00261B7A">
              <w:rPr>
                <w:rFonts w:eastAsia="Calibri"/>
                <w:noProof w:val="0"/>
                <w:color w:val="FFFFFF" w:themeColor="background1"/>
              </w:rPr>
              <w:t>Percentage change in emission outputs between 1990 and 2020 (%)</w:t>
            </w:r>
          </w:p>
        </w:tc>
      </w:tr>
      <w:tr w:rsidR="00D140F7" w:rsidRPr="00261B7A" w14:paraId="3B123073" w14:textId="77777777" w:rsidTr="009C63CA">
        <w:trPr>
          <w:cantSplit/>
        </w:trPr>
        <w:tc>
          <w:tcPr>
            <w:tcW w:w="0" w:type="auto"/>
            <w:vMerge w:val="restart"/>
            <w:shd w:val="clear" w:color="auto" w:fill="FFFFFF" w:themeFill="background1"/>
            <w:vAlign w:val="center"/>
          </w:tcPr>
          <w:p w14:paraId="268A667C" w14:textId="77777777" w:rsidR="00D140F7" w:rsidRPr="00261B7A" w:rsidRDefault="00D140F7" w:rsidP="009C63CA">
            <w:pPr>
              <w:pStyle w:val="TableText"/>
            </w:pPr>
            <w:r w:rsidRPr="00261B7A">
              <w:rPr>
                <w:rFonts w:eastAsia="Calibri"/>
              </w:rPr>
              <w:t>Total emissions from Agriculture sector (kt CO</w:t>
            </w:r>
            <w:r w:rsidRPr="00261B7A">
              <w:rPr>
                <w:rFonts w:eastAsia="Calibri"/>
                <w:vertAlign w:val="subscript"/>
              </w:rPr>
              <w:t>2</w:t>
            </w:r>
            <w:r w:rsidRPr="00261B7A">
              <w:rPr>
                <w:rFonts w:eastAsia="Calibri"/>
              </w:rPr>
              <w:t>-e)</w:t>
            </w:r>
          </w:p>
        </w:tc>
        <w:tc>
          <w:tcPr>
            <w:tcW w:w="2017" w:type="dxa"/>
            <w:shd w:val="clear" w:color="auto" w:fill="FFFFFF" w:themeFill="background1"/>
            <w:vAlign w:val="center"/>
          </w:tcPr>
          <w:p w14:paraId="268A6F1A" w14:textId="77777777" w:rsidR="00D140F7" w:rsidRPr="00261B7A" w:rsidRDefault="00D140F7" w:rsidP="009C63CA">
            <w:pPr>
              <w:pStyle w:val="TableText"/>
            </w:pPr>
            <w:r w:rsidRPr="00261B7A">
              <w:rPr>
                <w:rFonts w:eastAsia="Calibri"/>
              </w:rPr>
              <w:t>Emissions estimate using previous Frac</w:t>
            </w:r>
            <w:r w:rsidRPr="00261B7A">
              <w:rPr>
                <w:rFonts w:eastAsia="Calibri"/>
                <w:vertAlign w:val="subscript"/>
              </w:rPr>
              <w:t>LEACH</w:t>
            </w:r>
            <w:r w:rsidRPr="00261B7A">
              <w:rPr>
                <w:rFonts w:eastAsia="Calibri"/>
              </w:rPr>
              <w:t xml:space="preserve"> values</w:t>
            </w:r>
          </w:p>
        </w:tc>
        <w:tc>
          <w:tcPr>
            <w:tcW w:w="851" w:type="dxa"/>
            <w:shd w:val="clear" w:color="auto" w:fill="FFFFFF" w:themeFill="background1"/>
            <w:vAlign w:val="center"/>
          </w:tcPr>
          <w:p w14:paraId="27D4F9EF" w14:textId="77777777" w:rsidR="00D140F7" w:rsidRPr="00261B7A" w:rsidRDefault="00D140F7" w:rsidP="009C63CA">
            <w:pPr>
              <w:pStyle w:val="TableText"/>
              <w:jc w:val="right"/>
              <w:rPr>
                <w:rFonts w:eastAsia="Calibri"/>
              </w:rPr>
            </w:pPr>
            <w:r w:rsidRPr="00261B7A">
              <w:rPr>
                <w:rFonts w:eastAsia="Calibri"/>
              </w:rPr>
              <w:t>33,257.1</w:t>
            </w:r>
          </w:p>
        </w:tc>
        <w:tc>
          <w:tcPr>
            <w:tcW w:w="850" w:type="dxa"/>
            <w:shd w:val="clear" w:color="auto" w:fill="FFFFFF" w:themeFill="background1"/>
            <w:vAlign w:val="center"/>
          </w:tcPr>
          <w:p w14:paraId="30851639" w14:textId="77777777" w:rsidR="00D140F7" w:rsidRPr="00261B7A" w:rsidRDefault="00D140F7" w:rsidP="009C63CA">
            <w:pPr>
              <w:pStyle w:val="TableText"/>
              <w:jc w:val="right"/>
              <w:rPr>
                <w:rFonts w:eastAsia="Calibri"/>
              </w:rPr>
            </w:pPr>
            <w:r w:rsidRPr="00261B7A">
              <w:rPr>
                <w:rFonts w:eastAsia="Calibri"/>
              </w:rPr>
              <w:t>38,287.1</w:t>
            </w:r>
          </w:p>
        </w:tc>
        <w:tc>
          <w:tcPr>
            <w:tcW w:w="1559" w:type="dxa"/>
            <w:shd w:val="clear" w:color="auto" w:fill="FFFFFF" w:themeFill="background1"/>
            <w:vAlign w:val="center"/>
          </w:tcPr>
          <w:p w14:paraId="7CB25EB9" w14:textId="77777777" w:rsidR="00D140F7" w:rsidRPr="00261B7A" w:rsidRDefault="00D140F7" w:rsidP="009C63CA">
            <w:pPr>
              <w:pStyle w:val="TableText"/>
              <w:jc w:val="right"/>
              <w:rPr>
                <w:rFonts w:eastAsia="Calibri"/>
              </w:rPr>
            </w:pPr>
            <w:r w:rsidRPr="00261B7A">
              <w:rPr>
                <w:rFonts w:eastAsia="Calibri"/>
              </w:rPr>
              <w:t>5,030.1</w:t>
            </w:r>
          </w:p>
        </w:tc>
        <w:tc>
          <w:tcPr>
            <w:tcW w:w="1706" w:type="dxa"/>
            <w:shd w:val="clear" w:color="auto" w:fill="FFFFFF" w:themeFill="background1"/>
            <w:vAlign w:val="center"/>
          </w:tcPr>
          <w:p w14:paraId="61E8CD20" w14:textId="77777777" w:rsidR="00D140F7" w:rsidRPr="00261B7A" w:rsidRDefault="00D140F7" w:rsidP="009C63CA">
            <w:pPr>
              <w:pStyle w:val="TableText"/>
              <w:jc w:val="right"/>
              <w:rPr>
                <w:rFonts w:eastAsia="Calibri"/>
              </w:rPr>
            </w:pPr>
            <w:r w:rsidRPr="00261B7A">
              <w:rPr>
                <w:rFonts w:eastAsia="Calibri"/>
              </w:rPr>
              <w:t>15.1</w:t>
            </w:r>
          </w:p>
        </w:tc>
      </w:tr>
      <w:tr w:rsidR="00D140F7" w:rsidRPr="00261B7A" w14:paraId="614BED9A" w14:textId="77777777" w:rsidTr="009C63CA">
        <w:trPr>
          <w:cantSplit/>
        </w:trPr>
        <w:tc>
          <w:tcPr>
            <w:tcW w:w="0" w:type="auto"/>
            <w:vMerge/>
            <w:vAlign w:val="center"/>
          </w:tcPr>
          <w:p w14:paraId="43D96DDD" w14:textId="77777777" w:rsidR="00D140F7" w:rsidRPr="00261B7A" w:rsidRDefault="00D140F7" w:rsidP="009C63CA">
            <w:pPr>
              <w:ind w:left="102" w:right="102"/>
            </w:pPr>
          </w:p>
        </w:tc>
        <w:tc>
          <w:tcPr>
            <w:tcW w:w="2017" w:type="dxa"/>
            <w:shd w:val="clear" w:color="auto" w:fill="FFFFFF" w:themeFill="background1"/>
            <w:vAlign w:val="center"/>
          </w:tcPr>
          <w:p w14:paraId="07589912" w14:textId="77777777" w:rsidR="00D140F7" w:rsidRPr="00261B7A" w:rsidRDefault="00D140F7" w:rsidP="009C63CA">
            <w:pPr>
              <w:pStyle w:val="TableText"/>
            </w:pPr>
            <w:r w:rsidRPr="00261B7A">
              <w:rPr>
                <w:rFonts w:eastAsia="Calibri"/>
              </w:rPr>
              <w:t>Emissions estimate using new Frac</w:t>
            </w:r>
            <w:r w:rsidRPr="00261B7A">
              <w:rPr>
                <w:rFonts w:eastAsia="Calibri"/>
                <w:vertAlign w:val="subscript"/>
              </w:rPr>
              <w:t>LEACH</w:t>
            </w:r>
            <w:r w:rsidRPr="00261B7A">
              <w:rPr>
                <w:rFonts w:eastAsia="Calibri"/>
              </w:rPr>
              <w:t xml:space="preserve"> values</w:t>
            </w:r>
          </w:p>
        </w:tc>
        <w:tc>
          <w:tcPr>
            <w:tcW w:w="851" w:type="dxa"/>
            <w:shd w:val="clear" w:color="auto" w:fill="FFFFFF" w:themeFill="background1"/>
            <w:vAlign w:val="center"/>
          </w:tcPr>
          <w:p w14:paraId="6CF4FC96" w14:textId="77777777" w:rsidR="00D140F7" w:rsidRPr="00261B7A" w:rsidRDefault="00D140F7" w:rsidP="009C63CA">
            <w:pPr>
              <w:pStyle w:val="TableText"/>
              <w:jc w:val="right"/>
              <w:rPr>
                <w:rFonts w:eastAsia="Calibri"/>
              </w:rPr>
            </w:pPr>
            <w:r w:rsidRPr="00261B7A">
              <w:rPr>
                <w:rFonts w:eastAsia="Calibri"/>
              </w:rPr>
              <w:t>33,312.0</w:t>
            </w:r>
          </w:p>
        </w:tc>
        <w:tc>
          <w:tcPr>
            <w:tcW w:w="850" w:type="dxa"/>
            <w:shd w:val="clear" w:color="auto" w:fill="FFFFFF" w:themeFill="background1"/>
            <w:vAlign w:val="center"/>
          </w:tcPr>
          <w:p w14:paraId="0D8AF76A" w14:textId="77777777" w:rsidR="00D140F7" w:rsidRPr="00261B7A" w:rsidRDefault="00D140F7" w:rsidP="009C63CA">
            <w:pPr>
              <w:pStyle w:val="TableText"/>
              <w:jc w:val="right"/>
              <w:rPr>
                <w:rFonts w:eastAsia="Calibri"/>
              </w:rPr>
            </w:pPr>
            <w:r w:rsidRPr="00261B7A">
              <w:rPr>
                <w:rFonts w:eastAsia="Calibri"/>
              </w:rPr>
              <w:t>38,360.2</w:t>
            </w:r>
          </w:p>
        </w:tc>
        <w:tc>
          <w:tcPr>
            <w:tcW w:w="1559" w:type="dxa"/>
            <w:shd w:val="clear" w:color="auto" w:fill="FFFFFF" w:themeFill="background1"/>
            <w:vAlign w:val="center"/>
          </w:tcPr>
          <w:p w14:paraId="274246CC" w14:textId="77777777" w:rsidR="00D140F7" w:rsidRPr="00261B7A" w:rsidRDefault="00D140F7" w:rsidP="009C63CA">
            <w:pPr>
              <w:pStyle w:val="TableText"/>
              <w:jc w:val="right"/>
              <w:rPr>
                <w:rFonts w:eastAsia="Calibri"/>
              </w:rPr>
            </w:pPr>
            <w:r w:rsidRPr="00261B7A">
              <w:rPr>
                <w:rFonts w:eastAsia="Calibri"/>
              </w:rPr>
              <w:t>5,048.1</w:t>
            </w:r>
          </w:p>
        </w:tc>
        <w:tc>
          <w:tcPr>
            <w:tcW w:w="1706" w:type="dxa"/>
            <w:shd w:val="clear" w:color="auto" w:fill="FFFFFF" w:themeFill="background1"/>
            <w:vAlign w:val="center"/>
          </w:tcPr>
          <w:p w14:paraId="34A2B6CF" w14:textId="77777777" w:rsidR="00D140F7" w:rsidRPr="00261B7A" w:rsidRDefault="00D140F7" w:rsidP="009C63CA">
            <w:pPr>
              <w:pStyle w:val="TableText"/>
              <w:jc w:val="right"/>
              <w:rPr>
                <w:rFonts w:eastAsia="Calibri"/>
              </w:rPr>
            </w:pPr>
            <w:r w:rsidRPr="00261B7A">
              <w:rPr>
                <w:rFonts w:eastAsia="Calibri"/>
              </w:rPr>
              <w:t>15.2</w:t>
            </w:r>
          </w:p>
        </w:tc>
      </w:tr>
      <w:tr w:rsidR="00D140F7" w:rsidRPr="00261B7A" w14:paraId="6EEB48F5" w14:textId="77777777" w:rsidTr="009C63CA">
        <w:trPr>
          <w:cantSplit/>
        </w:trPr>
        <w:tc>
          <w:tcPr>
            <w:tcW w:w="0" w:type="auto"/>
            <w:vMerge/>
            <w:vAlign w:val="center"/>
          </w:tcPr>
          <w:p w14:paraId="38E714F2" w14:textId="77777777" w:rsidR="00D140F7" w:rsidRPr="00261B7A" w:rsidRDefault="00D140F7" w:rsidP="009C63CA">
            <w:pPr>
              <w:ind w:left="100" w:right="100"/>
            </w:pPr>
          </w:p>
        </w:tc>
        <w:tc>
          <w:tcPr>
            <w:tcW w:w="2017" w:type="dxa"/>
            <w:shd w:val="clear" w:color="auto" w:fill="FFFFFF" w:themeFill="background1"/>
            <w:vAlign w:val="center"/>
          </w:tcPr>
          <w:p w14:paraId="141B6640" w14:textId="77777777" w:rsidR="00D140F7" w:rsidRPr="00261B7A" w:rsidRDefault="00D140F7" w:rsidP="009C63CA">
            <w:pPr>
              <w:pStyle w:val="TableText"/>
            </w:pPr>
            <w:r w:rsidRPr="00261B7A">
              <w:rPr>
                <w:rFonts w:eastAsia="Calibri"/>
              </w:rPr>
              <w:t>Difference in emissions estimates compared with current inventory</w:t>
            </w:r>
          </w:p>
        </w:tc>
        <w:tc>
          <w:tcPr>
            <w:tcW w:w="851" w:type="dxa"/>
            <w:shd w:val="clear" w:color="auto" w:fill="FFFFFF" w:themeFill="background1"/>
            <w:vAlign w:val="center"/>
          </w:tcPr>
          <w:p w14:paraId="7A2E7306" w14:textId="77777777" w:rsidR="00D140F7" w:rsidRPr="00261B7A" w:rsidRDefault="00D140F7" w:rsidP="009C63CA">
            <w:pPr>
              <w:pStyle w:val="TableText"/>
              <w:jc w:val="right"/>
              <w:rPr>
                <w:rFonts w:eastAsia="Calibri"/>
              </w:rPr>
            </w:pPr>
            <w:r w:rsidRPr="00261B7A">
              <w:rPr>
                <w:rFonts w:eastAsia="Calibri"/>
              </w:rPr>
              <w:t>55.0</w:t>
            </w:r>
          </w:p>
        </w:tc>
        <w:tc>
          <w:tcPr>
            <w:tcW w:w="850" w:type="dxa"/>
            <w:shd w:val="clear" w:color="auto" w:fill="FFFFFF" w:themeFill="background1"/>
            <w:vAlign w:val="center"/>
          </w:tcPr>
          <w:p w14:paraId="62FF9BD9" w14:textId="77777777" w:rsidR="00D140F7" w:rsidRPr="00261B7A" w:rsidRDefault="00D140F7" w:rsidP="009C63CA">
            <w:pPr>
              <w:pStyle w:val="TableText"/>
              <w:jc w:val="right"/>
              <w:rPr>
                <w:rFonts w:eastAsia="Calibri"/>
              </w:rPr>
            </w:pPr>
            <w:r w:rsidRPr="00261B7A">
              <w:rPr>
                <w:rFonts w:eastAsia="Calibri"/>
              </w:rPr>
              <w:t>73.1</w:t>
            </w:r>
          </w:p>
        </w:tc>
        <w:tc>
          <w:tcPr>
            <w:tcW w:w="1559" w:type="dxa"/>
            <w:shd w:val="clear" w:color="auto" w:fill="FFFFFF" w:themeFill="background1"/>
            <w:vAlign w:val="center"/>
          </w:tcPr>
          <w:p w14:paraId="030AB89D" w14:textId="77777777" w:rsidR="00D140F7" w:rsidRPr="00261B7A" w:rsidRDefault="00D140F7" w:rsidP="009C63CA">
            <w:pPr>
              <w:pStyle w:val="TableText"/>
              <w:jc w:val="right"/>
              <w:rPr>
                <w:rFonts w:eastAsia="Calibri"/>
              </w:rPr>
            </w:pPr>
            <w:r w:rsidRPr="00261B7A">
              <w:rPr>
                <w:rFonts w:eastAsia="Calibri"/>
              </w:rPr>
              <w:t>18.1</w:t>
            </w:r>
          </w:p>
        </w:tc>
        <w:tc>
          <w:tcPr>
            <w:tcW w:w="1706" w:type="dxa"/>
            <w:shd w:val="clear" w:color="auto" w:fill="FFFFFF" w:themeFill="background1"/>
            <w:vAlign w:val="center"/>
          </w:tcPr>
          <w:p w14:paraId="4D591E46" w14:textId="77777777" w:rsidR="00D140F7" w:rsidRPr="00261B7A" w:rsidRDefault="00D140F7" w:rsidP="009C63CA">
            <w:pPr>
              <w:pStyle w:val="TableText"/>
              <w:jc w:val="right"/>
              <w:rPr>
                <w:rFonts w:eastAsia="Calibri"/>
              </w:rPr>
            </w:pPr>
            <w:r w:rsidRPr="00261B7A">
              <w:rPr>
                <w:rFonts w:eastAsia="Calibri"/>
              </w:rPr>
              <w:t>NA</w:t>
            </w:r>
          </w:p>
        </w:tc>
      </w:tr>
      <w:tr w:rsidR="00D140F7" w:rsidRPr="00261B7A" w14:paraId="5A7A9165" w14:textId="77777777" w:rsidTr="009C63CA">
        <w:trPr>
          <w:cantSplit/>
        </w:trPr>
        <w:tc>
          <w:tcPr>
            <w:tcW w:w="0" w:type="auto"/>
            <w:vMerge/>
            <w:vAlign w:val="center"/>
          </w:tcPr>
          <w:p w14:paraId="535AD491" w14:textId="77777777" w:rsidR="00D140F7" w:rsidRPr="00261B7A" w:rsidRDefault="00D140F7" w:rsidP="009C63CA">
            <w:pPr>
              <w:ind w:left="100" w:right="100"/>
            </w:pPr>
          </w:p>
        </w:tc>
        <w:tc>
          <w:tcPr>
            <w:tcW w:w="2017" w:type="dxa"/>
            <w:shd w:val="clear" w:color="auto" w:fill="FFFFFF" w:themeFill="background1"/>
            <w:vAlign w:val="center"/>
          </w:tcPr>
          <w:p w14:paraId="5E99985D" w14:textId="77777777" w:rsidR="00D140F7" w:rsidRPr="00261B7A" w:rsidRDefault="00D140F7" w:rsidP="009C63CA">
            <w:pPr>
              <w:pStyle w:val="TableText"/>
            </w:pPr>
            <w:r w:rsidRPr="00261B7A">
              <w:rPr>
                <w:rFonts w:eastAsia="Calibri"/>
              </w:rPr>
              <w:t>Percentage difference in emissions estimates</w:t>
            </w:r>
          </w:p>
        </w:tc>
        <w:tc>
          <w:tcPr>
            <w:tcW w:w="851" w:type="dxa"/>
            <w:shd w:val="clear" w:color="auto" w:fill="FFFFFF" w:themeFill="background1"/>
            <w:vAlign w:val="center"/>
          </w:tcPr>
          <w:p w14:paraId="457711E2" w14:textId="77777777" w:rsidR="00D140F7" w:rsidRPr="00261B7A" w:rsidRDefault="00D140F7" w:rsidP="009C63CA">
            <w:pPr>
              <w:pStyle w:val="TableText"/>
              <w:jc w:val="right"/>
              <w:rPr>
                <w:rFonts w:eastAsia="Calibri"/>
              </w:rPr>
            </w:pPr>
            <w:r w:rsidRPr="00261B7A">
              <w:rPr>
                <w:rFonts w:eastAsia="Calibri"/>
              </w:rPr>
              <w:t>0.2</w:t>
            </w:r>
          </w:p>
        </w:tc>
        <w:tc>
          <w:tcPr>
            <w:tcW w:w="850" w:type="dxa"/>
            <w:shd w:val="clear" w:color="auto" w:fill="FFFFFF" w:themeFill="background1"/>
            <w:vAlign w:val="center"/>
          </w:tcPr>
          <w:p w14:paraId="03F5ECBD" w14:textId="77777777" w:rsidR="00D140F7" w:rsidRPr="00261B7A" w:rsidRDefault="00D140F7" w:rsidP="009C63CA">
            <w:pPr>
              <w:pStyle w:val="TableText"/>
              <w:jc w:val="right"/>
              <w:rPr>
                <w:rFonts w:eastAsia="Calibri"/>
              </w:rPr>
            </w:pPr>
            <w:r w:rsidRPr="00261B7A">
              <w:rPr>
                <w:rFonts w:eastAsia="Calibri"/>
              </w:rPr>
              <w:t>0.2</w:t>
            </w:r>
          </w:p>
        </w:tc>
        <w:tc>
          <w:tcPr>
            <w:tcW w:w="1559" w:type="dxa"/>
            <w:shd w:val="clear" w:color="auto" w:fill="FFFFFF" w:themeFill="background1"/>
            <w:vAlign w:val="center"/>
          </w:tcPr>
          <w:p w14:paraId="0C87B5C7" w14:textId="77777777" w:rsidR="00D140F7" w:rsidRPr="00261B7A" w:rsidRDefault="00D140F7" w:rsidP="009C63CA">
            <w:pPr>
              <w:pStyle w:val="TableText"/>
              <w:jc w:val="right"/>
              <w:rPr>
                <w:rFonts w:eastAsia="Calibri"/>
              </w:rPr>
            </w:pPr>
            <w:r w:rsidRPr="00261B7A">
              <w:rPr>
                <w:rFonts w:eastAsia="Calibri"/>
              </w:rPr>
              <w:t>NA</w:t>
            </w:r>
          </w:p>
        </w:tc>
        <w:tc>
          <w:tcPr>
            <w:tcW w:w="1706" w:type="dxa"/>
            <w:shd w:val="clear" w:color="auto" w:fill="FFFFFF" w:themeFill="background1"/>
            <w:vAlign w:val="center"/>
          </w:tcPr>
          <w:p w14:paraId="4D553FBA" w14:textId="77777777" w:rsidR="00D140F7" w:rsidRPr="00261B7A" w:rsidRDefault="00D140F7" w:rsidP="009C63CA">
            <w:pPr>
              <w:pStyle w:val="TableText"/>
              <w:jc w:val="right"/>
              <w:rPr>
                <w:rFonts w:eastAsia="Calibri"/>
              </w:rPr>
            </w:pPr>
            <w:r w:rsidRPr="00261B7A">
              <w:rPr>
                <w:rFonts w:eastAsia="Calibri"/>
              </w:rPr>
              <w:t>NA</w:t>
            </w:r>
          </w:p>
        </w:tc>
      </w:tr>
    </w:tbl>
    <w:p w14:paraId="2B28ACD4" w14:textId="77777777" w:rsidR="00D140F7" w:rsidRPr="00261B7A" w:rsidRDefault="00D140F7" w:rsidP="00D140F7">
      <w:pPr>
        <w:pStyle w:val="Noteundertable"/>
      </w:pPr>
      <w:bookmarkStart w:id="2827" w:name="adoption-of-updated-pasture-quality-data"/>
      <w:bookmarkEnd w:id="2820"/>
      <w:r w:rsidRPr="00261B7A">
        <w:rPr>
          <w:b/>
          <w:bCs/>
        </w:rPr>
        <w:t>Note:</w:t>
      </w:r>
      <w:r w:rsidRPr="00261B7A">
        <w:tab/>
        <w:t>NA = not applicable.</w:t>
      </w:r>
    </w:p>
    <w:p w14:paraId="527B1263" w14:textId="77777777" w:rsidR="00D140F7" w:rsidRPr="00261B7A" w:rsidRDefault="00D140F7" w:rsidP="00D140F7">
      <w:pPr>
        <w:pStyle w:val="Heading5"/>
        <w:spacing w:before="360"/>
      </w:pPr>
      <w:r w:rsidRPr="00261B7A">
        <w:t>Improved estimates of within-year Dairy cattle population change</w:t>
      </w:r>
    </w:p>
    <w:p w14:paraId="567D43D8" w14:textId="77777777" w:rsidR="00D140F7" w:rsidRPr="00261B7A" w:rsidRDefault="00D140F7" w:rsidP="0085003D">
      <w:pPr>
        <w:pStyle w:val="BodyText"/>
        <w:spacing w:after="100"/>
      </w:pPr>
      <w:r w:rsidRPr="00261B7A">
        <w:t xml:space="preserve">Emissions estimates in all categories relating to </w:t>
      </w:r>
      <w:r w:rsidRPr="00261B7A">
        <w:rPr>
          <w:i/>
        </w:rPr>
        <w:t>Dairy cattle</w:t>
      </w:r>
      <w:r w:rsidRPr="00261B7A">
        <w:t xml:space="preserve"> since 1990 have been enhanced by a methodological update to estimates of within-year dairy cattle population change. </w:t>
      </w:r>
    </w:p>
    <w:p w14:paraId="1EA0942E" w14:textId="77777777" w:rsidR="00D140F7" w:rsidRPr="00261B7A" w:rsidRDefault="00D140F7" w:rsidP="0085003D">
      <w:pPr>
        <w:pStyle w:val="BodyText"/>
        <w:spacing w:after="100"/>
      </w:pPr>
      <w:r w:rsidRPr="00261B7A">
        <w:t xml:space="preserve">The Agriculture greenhouse gas inventory models the dairy cattle population of each production year (1 July to the following 30 June). Livestock population data derived from the Agricultural Production Survey for animals present on 30 June of each year for each region are used as a baseline. The number of animals present each month for the remainder of the production year (July to June) are then based on assumptions on timing and number of deaths (including culling and slaughter) as well as birth dates (with assumptions applied at a national level), along with the number present on 30 June the following year. Each of the four stock classes has a different set of methods and assumptions. </w:t>
      </w:r>
    </w:p>
    <w:p w14:paraId="116172F8" w14:textId="738F30E1" w:rsidR="00D140F7" w:rsidRPr="00261B7A" w:rsidRDefault="00D140F7" w:rsidP="0085003D">
      <w:pPr>
        <w:pStyle w:val="BodyText"/>
        <w:spacing w:after="100"/>
        <w:rPr>
          <w:rFonts w:eastAsiaTheme="minorEastAsia"/>
        </w:rPr>
      </w:pPr>
      <w:r w:rsidRPr="00261B7A">
        <w:rPr>
          <w:rFonts w:eastAsiaTheme="minorEastAsia"/>
        </w:rPr>
        <w:t>Recent research caried out by AgResearch</w:t>
      </w:r>
      <w:r w:rsidRPr="00261B7A">
        <w:rPr>
          <w:rStyle w:val="FootnoteReference"/>
          <w:rFonts w:eastAsiaTheme="minorEastAsia"/>
        </w:rPr>
        <w:footnoteReference w:id="74"/>
      </w:r>
      <w:r w:rsidRPr="00261B7A">
        <w:rPr>
          <w:rFonts w:eastAsiaTheme="minorEastAsia"/>
        </w:rPr>
        <w:t xml:space="preserve"> (Burggraaf et al., 2022) has used industry data to</w:t>
      </w:r>
      <w:r w:rsidR="00975417">
        <w:rPr>
          <w:rFonts w:eastAsiaTheme="minorEastAsia"/>
        </w:rPr>
        <w:t> </w:t>
      </w:r>
      <w:r w:rsidRPr="00261B7A">
        <w:rPr>
          <w:rFonts w:eastAsiaTheme="minorEastAsia"/>
        </w:rPr>
        <w:t>improve inventory population dynamics. A focus was placed on obtaining data sources from</w:t>
      </w:r>
      <w:r w:rsidR="00975417">
        <w:rPr>
          <w:rFonts w:eastAsiaTheme="minorEastAsia"/>
        </w:rPr>
        <w:t> </w:t>
      </w:r>
      <w:r w:rsidRPr="00261B7A">
        <w:rPr>
          <w:rFonts w:eastAsiaTheme="minorEastAsia"/>
        </w:rPr>
        <w:t xml:space="preserve">1990 to present, in line with the timeline required for national greenhouse gas reporting. The study recommended improvements to population dynamics based on long-term averages in birth, death and slaughter timing, combined with monthly data for each year for dairy heifer exports. </w:t>
      </w:r>
    </w:p>
    <w:p w14:paraId="628447CB" w14:textId="77777777" w:rsidR="00D140F7" w:rsidRPr="00261B7A" w:rsidRDefault="00D140F7" w:rsidP="0085003D">
      <w:pPr>
        <w:pStyle w:val="BodyText"/>
        <w:spacing w:after="100"/>
        <w:rPr>
          <w:rFonts w:eastAsiaTheme="minorEastAsia"/>
        </w:rPr>
      </w:pPr>
      <w:r w:rsidRPr="00261B7A">
        <w:rPr>
          <w:rFonts w:eastAsiaTheme="minorEastAsia"/>
        </w:rPr>
        <w:t>Specific recommendations were:</w:t>
      </w:r>
    </w:p>
    <w:p w14:paraId="07C31D54" w14:textId="77777777" w:rsidR="00D140F7" w:rsidRPr="00261B7A" w:rsidRDefault="00D140F7" w:rsidP="0085003D">
      <w:pPr>
        <w:pStyle w:val="Bullet"/>
        <w:spacing w:after="100"/>
        <w:rPr>
          <w:rFonts w:eastAsiaTheme="minorEastAsia"/>
        </w:rPr>
      </w:pPr>
      <w:r w:rsidRPr="00261B7A">
        <w:rPr>
          <w:rFonts w:eastAsiaTheme="minorEastAsia"/>
        </w:rPr>
        <w:t>changing the weighted average calving birth date from 1 August to 13</w:t>
      </w:r>
      <w:r w:rsidRPr="00261B7A">
        <w:rPr>
          <w:rFonts w:eastAsiaTheme="minorEastAsia"/>
          <w:vertAlign w:val="superscript"/>
        </w:rPr>
        <w:t xml:space="preserve"> </w:t>
      </w:r>
      <w:r w:rsidRPr="00261B7A">
        <w:rPr>
          <w:rFonts w:eastAsiaTheme="minorEastAsia"/>
        </w:rPr>
        <w:t>August</w:t>
      </w:r>
    </w:p>
    <w:p w14:paraId="6348C62D" w14:textId="77777777" w:rsidR="00D140F7" w:rsidRPr="00261B7A" w:rsidRDefault="00D140F7" w:rsidP="0085003D">
      <w:pPr>
        <w:pStyle w:val="Bullet"/>
        <w:spacing w:after="100"/>
        <w:rPr>
          <w:rFonts w:eastAsiaTheme="minorEastAsia"/>
        </w:rPr>
      </w:pPr>
      <w:r w:rsidRPr="00261B7A">
        <w:rPr>
          <w:rFonts w:eastAsiaTheme="minorEastAsia"/>
        </w:rPr>
        <w:t xml:space="preserve">adding 1 per cent to the growing heifers (0 to 1 year) population from birth (August) and then gradually losing these additional calves to then reach the Agricultural Production Survey value in June. Previously, the growing heifers (0 to 1 year) population was constant through the year </w:t>
      </w:r>
    </w:p>
    <w:p w14:paraId="79E7A20F" w14:textId="77777777" w:rsidR="00D140F7" w:rsidRPr="00261B7A" w:rsidRDefault="00D140F7" w:rsidP="0085003D">
      <w:pPr>
        <w:pStyle w:val="Bullet"/>
        <w:spacing w:after="100"/>
        <w:rPr>
          <w:rFonts w:eastAsiaTheme="minorEastAsia"/>
        </w:rPr>
      </w:pPr>
      <w:r w:rsidRPr="00261B7A">
        <w:rPr>
          <w:rFonts w:eastAsiaTheme="minorEastAsia"/>
        </w:rPr>
        <w:t>subtracting monthly dairy cattle exports from the growing heifers (1 to 2 years) population. Exports are assumed to come from the not-in calf and not-lactating heifers. Previously exports were not considered</w:t>
      </w:r>
    </w:p>
    <w:p w14:paraId="46410100" w14:textId="77777777" w:rsidR="00D140F7" w:rsidRPr="00261B7A" w:rsidRDefault="00D140F7" w:rsidP="0085003D">
      <w:pPr>
        <w:pStyle w:val="Bullet"/>
        <w:spacing w:after="100"/>
        <w:rPr>
          <w:rFonts w:eastAsiaTheme="minorEastAsia"/>
        </w:rPr>
      </w:pPr>
      <w:r w:rsidRPr="00261B7A">
        <w:rPr>
          <w:rFonts w:eastAsiaTheme="minorEastAsia"/>
        </w:rPr>
        <w:t xml:space="preserve">including a 1 per cent death rate for growing heifers (1 to 2 years) spread across the year </w:t>
      </w:r>
    </w:p>
    <w:p w14:paraId="46D0380A" w14:textId="77777777" w:rsidR="00D140F7" w:rsidRPr="00261B7A" w:rsidRDefault="00D140F7" w:rsidP="0085003D">
      <w:pPr>
        <w:pStyle w:val="Bullet"/>
        <w:spacing w:after="100"/>
        <w:rPr>
          <w:rFonts w:eastAsiaTheme="minorEastAsia"/>
        </w:rPr>
      </w:pPr>
      <w:r w:rsidRPr="00261B7A">
        <w:rPr>
          <w:rFonts w:eastAsiaTheme="minorEastAsia"/>
        </w:rPr>
        <w:t xml:space="preserve">retaining stock in the growing heifers (1 to 2 years) class until 1 July. Previously, stock were moved into the mature milking cow population in May </w:t>
      </w:r>
    </w:p>
    <w:p w14:paraId="3D02A5B5" w14:textId="77777777" w:rsidR="00D140F7" w:rsidRPr="00261B7A" w:rsidRDefault="00D140F7" w:rsidP="0085003D">
      <w:pPr>
        <w:pStyle w:val="Bullet"/>
        <w:spacing w:after="100"/>
        <w:rPr>
          <w:rFonts w:eastAsiaTheme="minorEastAsia"/>
        </w:rPr>
      </w:pPr>
      <w:r w:rsidRPr="00261B7A">
        <w:rPr>
          <w:rFonts w:eastAsiaTheme="minorEastAsia"/>
        </w:rPr>
        <w:t>using a 16.9 per cent annual mortality rate for the national mature dairy cow population including culling</w:t>
      </w:r>
    </w:p>
    <w:p w14:paraId="299BF4EF" w14:textId="77777777" w:rsidR="00D140F7" w:rsidRPr="00261B7A" w:rsidRDefault="00D140F7" w:rsidP="00D140F7">
      <w:pPr>
        <w:pStyle w:val="Bullet"/>
        <w:rPr>
          <w:rFonts w:eastAsiaTheme="minorEastAsia"/>
        </w:rPr>
      </w:pPr>
      <w:r w:rsidRPr="00261B7A">
        <w:rPr>
          <w:rFonts w:eastAsiaTheme="minorEastAsia"/>
        </w:rPr>
        <w:t xml:space="preserve">using the long-term average monthly cull distribution to determine the proportion of the starting population of mature cows still present each month. These data are shown in table 10.1.6. </w:t>
      </w:r>
    </w:p>
    <w:p w14:paraId="5F10490B" w14:textId="77777777" w:rsidR="00D140F7" w:rsidRPr="00261B7A" w:rsidRDefault="00D140F7" w:rsidP="00D140F7">
      <w:pPr>
        <w:pStyle w:val="Table"/>
      </w:pPr>
      <w:bookmarkStart w:id="2828" w:name="_Toc129781208"/>
      <w:bookmarkStart w:id="2829" w:name="_Toc130565743"/>
      <w:bookmarkStart w:id="2830" w:name="_Toc130565844"/>
      <w:bookmarkStart w:id="2831" w:name="_Toc131591488"/>
      <w:r w:rsidRPr="00261B7A">
        <w:t xml:space="preserve">Table 10.1.6 </w:t>
      </w:r>
      <w:r w:rsidRPr="00261B7A">
        <w:tab/>
        <w:t>Long-term average monthly distribution of slaughter for mature cows</w:t>
      </w:r>
      <w:bookmarkEnd w:id="2828"/>
      <w:bookmarkEnd w:id="2829"/>
      <w:bookmarkEnd w:id="2830"/>
      <w:bookmarkEnd w:id="2831"/>
      <w:r w:rsidRPr="00261B7A">
        <w:t xml:space="preserve"> </w:t>
      </w:r>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Look w:val="04A0" w:firstRow="1" w:lastRow="0" w:firstColumn="1" w:lastColumn="0" w:noHBand="0" w:noVBand="1"/>
      </w:tblPr>
      <w:tblGrid>
        <w:gridCol w:w="1484"/>
        <w:gridCol w:w="2700"/>
        <w:gridCol w:w="4321"/>
      </w:tblGrid>
      <w:tr w:rsidR="00D140F7" w:rsidRPr="00261B7A" w14:paraId="756BD4CF" w14:textId="77777777" w:rsidTr="009C63CA">
        <w:trPr>
          <w:tblHeader/>
        </w:trPr>
        <w:tc>
          <w:tcPr>
            <w:tcW w:w="1365" w:type="dxa"/>
            <w:shd w:val="clear" w:color="auto" w:fill="1B556B" w:themeFill="text2"/>
            <w:vAlign w:val="bottom"/>
          </w:tcPr>
          <w:p w14:paraId="0ECF0B22" w14:textId="77777777" w:rsidR="00D140F7" w:rsidRPr="00261B7A" w:rsidRDefault="00D140F7" w:rsidP="00844D13">
            <w:pPr>
              <w:pStyle w:val="TableTextBold"/>
              <w:spacing w:before="40" w:after="40"/>
              <w:rPr>
                <w:rFonts w:eastAsia="Calibri"/>
                <w:noProof w:val="0"/>
                <w:color w:val="FFFFFF" w:themeColor="background1"/>
              </w:rPr>
            </w:pPr>
            <w:r w:rsidRPr="00261B7A">
              <w:rPr>
                <w:rFonts w:eastAsia="Calibri"/>
                <w:noProof w:val="0"/>
                <w:color w:val="FFFFFF" w:themeColor="background1"/>
              </w:rPr>
              <w:t>Month</w:t>
            </w:r>
          </w:p>
        </w:tc>
        <w:tc>
          <w:tcPr>
            <w:tcW w:w="2484" w:type="dxa"/>
            <w:shd w:val="clear" w:color="auto" w:fill="1B556B" w:themeFill="text2"/>
            <w:vAlign w:val="bottom"/>
          </w:tcPr>
          <w:p w14:paraId="37EACC8D" w14:textId="77777777" w:rsidR="00D140F7" w:rsidRPr="00261B7A" w:rsidRDefault="00D140F7" w:rsidP="00844D13">
            <w:pPr>
              <w:pStyle w:val="TableTextBold"/>
              <w:spacing w:before="40" w:after="40"/>
              <w:jc w:val="right"/>
              <w:rPr>
                <w:rFonts w:eastAsia="Calibri"/>
                <w:noProof w:val="0"/>
                <w:color w:val="FFFFFF" w:themeColor="background1"/>
              </w:rPr>
            </w:pPr>
            <w:r w:rsidRPr="00261B7A">
              <w:rPr>
                <w:rFonts w:eastAsia="Calibri"/>
                <w:noProof w:val="0"/>
                <w:color w:val="FFFFFF" w:themeColor="background1"/>
              </w:rPr>
              <w:t>Per cent of annual slaughter deaths</w:t>
            </w:r>
          </w:p>
        </w:tc>
        <w:tc>
          <w:tcPr>
            <w:tcW w:w="3975" w:type="dxa"/>
            <w:shd w:val="clear" w:color="auto" w:fill="1B556B" w:themeFill="text2"/>
            <w:vAlign w:val="bottom"/>
          </w:tcPr>
          <w:p w14:paraId="45B615B7" w14:textId="77777777" w:rsidR="00D140F7" w:rsidRPr="00261B7A" w:rsidRDefault="00D140F7" w:rsidP="00844D13">
            <w:pPr>
              <w:pStyle w:val="TableTextBold"/>
              <w:spacing w:before="40" w:after="40"/>
              <w:jc w:val="right"/>
              <w:rPr>
                <w:rFonts w:eastAsia="Calibri"/>
                <w:noProof w:val="0"/>
                <w:color w:val="FFFFFF" w:themeColor="background1"/>
              </w:rPr>
            </w:pPr>
            <w:r w:rsidRPr="00261B7A">
              <w:rPr>
                <w:rFonts w:eastAsia="Calibri"/>
                <w:noProof w:val="0"/>
                <w:color w:val="FFFFFF" w:themeColor="background1"/>
              </w:rPr>
              <w:t xml:space="preserve">Per cent of the 1 July population remaining at the end of the month, using an annual loss of 16.9 per cent </w:t>
            </w:r>
          </w:p>
        </w:tc>
      </w:tr>
      <w:tr w:rsidR="00D140F7" w:rsidRPr="00261B7A" w14:paraId="33D4C48B" w14:textId="77777777" w:rsidTr="009C63CA">
        <w:tc>
          <w:tcPr>
            <w:tcW w:w="1365" w:type="dxa"/>
            <w:vAlign w:val="bottom"/>
          </w:tcPr>
          <w:p w14:paraId="44D00668" w14:textId="77777777" w:rsidR="00D140F7" w:rsidRPr="00261B7A" w:rsidRDefault="00D140F7" w:rsidP="00844D13">
            <w:pPr>
              <w:pStyle w:val="TableText"/>
              <w:spacing w:before="40" w:after="40"/>
              <w:rPr>
                <w:rFonts w:eastAsiaTheme="minorEastAsia"/>
              </w:rPr>
            </w:pPr>
            <w:r w:rsidRPr="00261B7A">
              <w:rPr>
                <w:rFonts w:eastAsiaTheme="minorEastAsia"/>
              </w:rPr>
              <w:t>Jul</w:t>
            </w:r>
          </w:p>
        </w:tc>
        <w:tc>
          <w:tcPr>
            <w:tcW w:w="2484" w:type="dxa"/>
            <w:vAlign w:val="bottom"/>
          </w:tcPr>
          <w:p w14:paraId="7B928B56" w14:textId="77777777" w:rsidR="00D140F7" w:rsidRPr="00261B7A" w:rsidRDefault="00D140F7" w:rsidP="00844D13">
            <w:pPr>
              <w:pStyle w:val="TableText"/>
              <w:spacing w:before="40" w:after="40"/>
              <w:jc w:val="right"/>
              <w:rPr>
                <w:rFonts w:eastAsiaTheme="minorEastAsia"/>
              </w:rPr>
            </w:pPr>
            <w:r w:rsidRPr="00261B7A">
              <w:rPr>
                <w:rFonts w:eastAsiaTheme="minorEastAsia"/>
              </w:rPr>
              <w:t>5.3</w:t>
            </w:r>
          </w:p>
        </w:tc>
        <w:tc>
          <w:tcPr>
            <w:tcW w:w="3975" w:type="dxa"/>
            <w:vAlign w:val="bottom"/>
          </w:tcPr>
          <w:p w14:paraId="3FF84DFD" w14:textId="77777777" w:rsidR="00D140F7" w:rsidRPr="00261B7A" w:rsidRDefault="00D140F7" w:rsidP="00844D13">
            <w:pPr>
              <w:pStyle w:val="TableText"/>
              <w:spacing w:before="40" w:after="40"/>
              <w:jc w:val="right"/>
              <w:rPr>
                <w:rFonts w:eastAsiaTheme="minorEastAsia"/>
              </w:rPr>
            </w:pPr>
            <w:r w:rsidRPr="00261B7A">
              <w:rPr>
                <w:rFonts w:eastAsiaTheme="minorEastAsia"/>
              </w:rPr>
              <w:t>99.1</w:t>
            </w:r>
          </w:p>
        </w:tc>
      </w:tr>
      <w:tr w:rsidR="00D140F7" w:rsidRPr="00261B7A" w14:paraId="324B25D3" w14:textId="77777777" w:rsidTr="009C63CA">
        <w:tc>
          <w:tcPr>
            <w:tcW w:w="1365" w:type="dxa"/>
            <w:vAlign w:val="bottom"/>
          </w:tcPr>
          <w:p w14:paraId="0484D5FA" w14:textId="77777777" w:rsidR="00D140F7" w:rsidRPr="00261B7A" w:rsidRDefault="00D140F7" w:rsidP="00844D13">
            <w:pPr>
              <w:pStyle w:val="TableText"/>
              <w:spacing w:before="40" w:after="40"/>
              <w:rPr>
                <w:rFonts w:eastAsiaTheme="minorEastAsia"/>
              </w:rPr>
            </w:pPr>
            <w:r w:rsidRPr="00261B7A">
              <w:rPr>
                <w:rFonts w:eastAsiaTheme="minorEastAsia"/>
              </w:rPr>
              <w:t>Aug</w:t>
            </w:r>
          </w:p>
        </w:tc>
        <w:tc>
          <w:tcPr>
            <w:tcW w:w="2484" w:type="dxa"/>
            <w:vAlign w:val="bottom"/>
          </w:tcPr>
          <w:p w14:paraId="77118440" w14:textId="77777777" w:rsidR="00D140F7" w:rsidRPr="00261B7A" w:rsidRDefault="00D140F7" w:rsidP="00844D13">
            <w:pPr>
              <w:pStyle w:val="TableText"/>
              <w:spacing w:before="40" w:after="40"/>
              <w:jc w:val="right"/>
              <w:rPr>
                <w:rFonts w:eastAsiaTheme="minorEastAsia"/>
              </w:rPr>
            </w:pPr>
            <w:r w:rsidRPr="00261B7A">
              <w:rPr>
                <w:rFonts w:eastAsiaTheme="minorEastAsia"/>
              </w:rPr>
              <w:t>5.3</w:t>
            </w:r>
          </w:p>
        </w:tc>
        <w:tc>
          <w:tcPr>
            <w:tcW w:w="3975" w:type="dxa"/>
            <w:vAlign w:val="bottom"/>
          </w:tcPr>
          <w:p w14:paraId="760B806F" w14:textId="77777777" w:rsidR="00D140F7" w:rsidRPr="00261B7A" w:rsidRDefault="00D140F7" w:rsidP="00844D13">
            <w:pPr>
              <w:pStyle w:val="TableText"/>
              <w:spacing w:before="40" w:after="40"/>
              <w:jc w:val="right"/>
              <w:rPr>
                <w:rFonts w:eastAsiaTheme="minorEastAsia"/>
              </w:rPr>
            </w:pPr>
            <w:r w:rsidRPr="00261B7A">
              <w:rPr>
                <w:rFonts w:eastAsiaTheme="minorEastAsia"/>
              </w:rPr>
              <w:t>98.2</w:t>
            </w:r>
          </w:p>
        </w:tc>
      </w:tr>
      <w:tr w:rsidR="00D140F7" w:rsidRPr="00261B7A" w14:paraId="4DE1245A" w14:textId="77777777" w:rsidTr="009C63CA">
        <w:tc>
          <w:tcPr>
            <w:tcW w:w="1365" w:type="dxa"/>
            <w:vAlign w:val="bottom"/>
          </w:tcPr>
          <w:p w14:paraId="07F6E11A" w14:textId="77777777" w:rsidR="00D140F7" w:rsidRPr="00261B7A" w:rsidRDefault="00D140F7" w:rsidP="00844D13">
            <w:pPr>
              <w:pStyle w:val="TableText"/>
              <w:spacing w:before="40" w:after="40"/>
              <w:rPr>
                <w:rFonts w:eastAsiaTheme="minorEastAsia"/>
              </w:rPr>
            </w:pPr>
            <w:r w:rsidRPr="00261B7A">
              <w:rPr>
                <w:rFonts w:eastAsiaTheme="minorEastAsia"/>
              </w:rPr>
              <w:t>Sep</w:t>
            </w:r>
          </w:p>
        </w:tc>
        <w:tc>
          <w:tcPr>
            <w:tcW w:w="2484" w:type="dxa"/>
            <w:vAlign w:val="bottom"/>
          </w:tcPr>
          <w:p w14:paraId="252666EF" w14:textId="77777777" w:rsidR="00D140F7" w:rsidRPr="00261B7A" w:rsidRDefault="00D140F7" w:rsidP="00844D13">
            <w:pPr>
              <w:pStyle w:val="TableText"/>
              <w:spacing w:before="40" w:after="40"/>
              <w:jc w:val="right"/>
              <w:rPr>
                <w:rFonts w:eastAsiaTheme="minorEastAsia"/>
              </w:rPr>
            </w:pPr>
            <w:r w:rsidRPr="00261B7A">
              <w:rPr>
                <w:rFonts w:eastAsiaTheme="minorEastAsia"/>
              </w:rPr>
              <w:t>5.4</w:t>
            </w:r>
          </w:p>
        </w:tc>
        <w:tc>
          <w:tcPr>
            <w:tcW w:w="3975" w:type="dxa"/>
            <w:vAlign w:val="bottom"/>
          </w:tcPr>
          <w:p w14:paraId="4D47930C" w14:textId="77777777" w:rsidR="00D140F7" w:rsidRPr="00261B7A" w:rsidRDefault="00D140F7" w:rsidP="00844D13">
            <w:pPr>
              <w:pStyle w:val="TableText"/>
              <w:spacing w:before="40" w:after="40"/>
              <w:jc w:val="right"/>
              <w:rPr>
                <w:rFonts w:eastAsiaTheme="minorEastAsia"/>
              </w:rPr>
            </w:pPr>
            <w:r w:rsidRPr="00261B7A">
              <w:rPr>
                <w:rFonts w:eastAsiaTheme="minorEastAsia"/>
              </w:rPr>
              <w:t>97.3</w:t>
            </w:r>
          </w:p>
        </w:tc>
      </w:tr>
      <w:tr w:rsidR="00D140F7" w:rsidRPr="00261B7A" w14:paraId="49638F5B" w14:textId="77777777" w:rsidTr="009C63CA">
        <w:tc>
          <w:tcPr>
            <w:tcW w:w="1365" w:type="dxa"/>
            <w:vAlign w:val="bottom"/>
          </w:tcPr>
          <w:p w14:paraId="513C673D" w14:textId="77777777" w:rsidR="00D140F7" w:rsidRPr="00261B7A" w:rsidRDefault="00D140F7" w:rsidP="00844D13">
            <w:pPr>
              <w:pStyle w:val="TableText"/>
              <w:spacing w:before="40" w:after="40"/>
              <w:rPr>
                <w:rFonts w:eastAsiaTheme="minorEastAsia"/>
              </w:rPr>
            </w:pPr>
            <w:r w:rsidRPr="00261B7A">
              <w:rPr>
                <w:rFonts w:eastAsiaTheme="minorEastAsia"/>
              </w:rPr>
              <w:t>Oct</w:t>
            </w:r>
          </w:p>
        </w:tc>
        <w:tc>
          <w:tcPr>
            <w:tcW w:w="2484" w:type="dxa"/>
            <w:vAlign w:val="bottom"/>
          </w:tcPr>
          <w:p w14:paraId="15516122" w14:textId="77777777" w:rsidR="00D140F7" w:rsidRPr="00261B7A" w:rsidRDefault="00D140F7" w:rsidP="00844D13">
            <w:pPr>
              <w:pStyle w:val="TableText"/>
              <w:spacing w:before="40" w:after="40"/>
              <w:jc w:val="right"/>
              <w:rPr>
                <w:rFonts w:eastAsiaTheme="minorEastAsia"/>
              </w:rPr>
            </w:pPr>
            <w:r w:rsidRPr="00261B7A">
              <w:rPr>
                <w:rFonts w:eastAsiaTheme="minorEastAsia"/>
              </w:rPr>
              <w:t>5</w:t>
            </w:r>
          </w:p>
        </w:tc>
        <w:tc>
          <w:tcPr>
            <w:tcW w:w="3975" w:type="dxa"/>
            <w:vAlign w:val="bottom"/>
          </w:tcPr>
          <w:p w14:paraId="6E082440" w14:textId="77777777" w:rsidR="00D140F7" w:rsidRPr="00261B7A" w:rsidRDefault="00D140F7" w:rsidP="00844D13">
            <w:pPr>
              <w:pStyle w:val="TableText"/>
              <w:spacing w:before="40" w:after="40"/>
              <w:jc w:val="right"/>
              <w:rPr>
                <w:rFonts w:eastAsiaTheme="minorEastAsia"/>
              </w:rPr>
            </w:pPr>
            <w:r w:rsidRPr="00261B7A">
              <w:rPr>
                <w:rFonts w:eastAsiaTheme="minorEastAsia"/>
              </w:rPr>
              <w:t>96.4</w:t>
            </w:r>
          </w:p>
        </w:tc>
      </w:tr>
      <w:tr w:rsidR="00D140F7" w:rsidRPr="00261B7A" w14:paraId="77937906" w14:textId="77777777" w:rsidTr="009C63CA">
        <w:tc>
          <w:tcPr>
            <w:tcW w:w="1365" w:type="dxa"/>
            <w:vAlign w:val="bottom"/>
          </w:tcPr>
          <w:p w14:paraId="0B7F6350" w14:textId="77777777" w:rsidR="00D140F7" w:rsidRPr="00261B7A" w:rsidRDefault="00D140F7" w:rsidP="00844D13">
            <w:pPr>
              <w:pStyle w:val="TableText"/>
              <w:spacing w:before="40" w:after="40"/>
              <w:rPr>
                <w:rFonts w:eastAsiaTheme="minorEastAsia"/>
              </w:rPr>
            </w:pPr>
            <w:r w:rsidRPr="00261B7A">
              <w:rPr>
                <w:rFonts w:eastAsiaTheme="minorEastAsia"/>
              </w:rPr>
              <w:t>Nov</w:t>
            </w:r>
          </w:p>
        </w:tc>
        <w:tc>
          <w:tcPr>
            <w:tcW w:w="2484" w:type="dxa"/>
            <w:vAlign w:val="bottom"/>
          </w:tcPr>
          <w:p w14:paraId="3111B1F4" w14:textId="77777777" w:rsidR="00D140F7" w:rsidRPr="00261B7A" w:rsidRDefault="00D140F7" w:rsidP="00844D13">
            <w:pPr>
              <w:pStyle w:val="TableText"/>
              <w:spacing w:before="40" w:after="40"/>
              <w:jc w:val="right"/>
              <w:rPr>
                <w:rFonts w:eastAsiaTheme="minorEastAsia"/>
              </w:rPr>
            </w:pPr>
            <w:r w:rsidRPr="00261B7A">
              <w:rPr>
                <w:rFonts w:eastAsiaTheme="minorEastAsia"/>
              </w:rPr>
              <w:t>3.9</w:t>
            </w:r>
          </w:p>
        </w:tc>
        <w:tc>
          <w:tcPr>
            <w:tcW w:w="3975" w:type="dxa"/>
            <w:vAlign w:val="bottom"/>
          </w:tcPr>
          <w:p w14:paraId="0EE4B8D5" w14:textId="77777777" w:rsidR="00D140F7" w:rsidRPr="00261B7A" w:rsidRDefault="00D140F7" w:rsidP="00844D13">
            <w:pPr>
              <w:pStyle w:val="TableText"/>
              <w:spacing w:before="40" w:after="40"/>
              <w:jc w:val="right"/>
              <w:rPr>
                <w:rFonts w:eastAsiaTheme="minorEastAsia"/>
              </w:rPr>
            </w:pPr>
            <w:r w:rsidRPr="00261B7A">
              <w:rPr>
                <w:rFonts w:eastAsiaTheme="minorEastAsia"/>
              </w:rPr>
              <w:t>95.8</w:t>
            </w:r>
          </w:p>
        </w:tc>
      </w:tr>
      <w:tr w:rsidR="00D140F7" w:rsidRPr="00261B7A" w14:paraId="13EC23F5" w14:textId="77777777" w:rsidTr="009C63CA">
        <w:tc>
          <w:tcPr>
            <w:tcW w:w="1365" w:type="dxa"/>
            <w:vAlign w:val="bottom"/>
          </w:tcPr>
          <w:p w14:paraId="6F96DD7A" w14:textId="77777777" w:rsidR="00D140F7" w:rsidRPr="00261B7A" w:rsidRDefault="00D140F7" w:rsidP="00844D13">
            <w:pPr>
              <w:pStyle w:val="TableText"/>
              <w:spacing w:before="40" w:after="40"/>
              <w:rPr>
                <w:rFonts w:eastAsiaTheme="minorEastAsia"/>
              </w:rPr>
            </w:pPr>
            <w:r w:rsidRPr="00261B7A">
              <w:rPr>
                <w:rFonts w:eastAsiaTheme="minorEastAsia"/>
              </w:rPr>
              <w:t>Dec</w:t>
            </w:r>
          </w:p>
        </w:tc>
        <w:tc>
          <w:tcPr>
            <w:tcW w:w="2484" w:type="dxa"/>
            <w:vAlign w:val="bottom"/>
          </w:tcPr>
          <w:p w14:paraId="09BB8CBB" w14:textId="77777777" w:rsidR="00D140F7" w:rsidRPr="00261B7A" w:rsidRDefault="00D140F7" w:rsidP="00844D13">
            <w:pPr>
              <w:pStyle w:val="TableText"/>
              <w:spacing w:before="40" w:after="40"/>
              <w:jc w:val="right"/>
              <w:rPr>
                <w:rFonts w:eastAsiaTheme="minorEastAsia"/>
              </w:rPr>
            </w:pPr>
            <w:r w:rsidRPr="00261B7A">
              <w:rPr>
                <w:rFonts w:eastAsiaTheme="minorEastAsia"/>
              </w:rPr>
              <w:t>4</w:t>
            </w:r>
          </w:p>
        </w:tc>
        <w:tc>
          <w:tcPr>
            <w:tcW w:w="3975" w:type="dxa"/>
            <w:vAlign w:val="bottom"/>
          </w:tcPr>
          <w:p w14:paraId="7B129BB3" w14:textId="77777777" w:rsidR="00D140F7" w:rsidRPr="00261B7A" w:rsidRDefault="00D140F7" w:rsidP="00844D13">
            <w:pPr>
              <w:pStyle w:val="TableText"/>
              <w:spacing w:before="40" w:after="40"/>
              <w:jc w:val="right"/>
              <w:rPr>
                <w:rFonts w:eastAsiaTheme="minorEastAsia"/>
              </w:rPr>
            </w:pPr>
            <w:r w:rsidRPr="00261B7A">
              <w:rPr>
                <w:rFonts w:eastAsiaTheme="minorEastAsia"/>
              </w:rPr>
              <w:t>95.1</w:t>
            </w:r>
          </w:p>
        </w:tc>
      </w:tr>
      <w:tr w:rsidR="00D140F7" w:rsidRPr="00261B7A" w14:paraId="71CDF7C1" w14:textId="77777777" w:rsidTr="009C63CA">
        <w:tc>
          <w:tcPr>
            <w:tcW w:w="1365" w:type="dxa"/>
            <w:vAlign w:val="bottom"/>
          </w:tcPr>
          <w:p w14:paraId="652C2047" w14:textId="77777777" w:rsidR="00D140F7" w:rsidRPr="00261B7A" w:rsidRDefault="00D140F7" w:rsidP="00844D13">
            <w:pPr>
              <w:pStyle w:val="TableText"/>
              <w:spacing w:before="40" w:after="40"/>
              <w:rPr>
                <w:rFonts w:eastAsiaTheme="minorEastAsia"/>
              </w:rPr>
            </w:pPr>
            <w:r w:rsidRPr="00261B7A">
              <w:rPr>
                <w:rFonts w:eastAsiaTheme="minorEastAsia"/>
              </w:rPr>
              <w:t>Jan</w:t>
            </w:r>
          </w:p>
        </w:tc>
        <w:tc>
          <w:tcPr>
            <w:tcW w:w="2484" w:type="dxa"/>
            <w:vAlign w:val="bottom"/>
          </w:tcPr>
          <w:p w14:paraId="68DF3F6C" w14:textId="77777777" w:rsidR="00D140F7" w:rsidRPr="00261B7A" w:rsidRDefault="00D140F7" w:rsidP="00844D13">
            <w:pPr>
              <w:pStyle w:val="TableText"/>
              <w:spacing w:before="40" w:after="40"/>
              <w:jc w:val="right"/>
              <w:rPr>
                <w:rFonts w:eastAsiaTheme="minorEastAsia"/>
              </w:rPr>
            </w:pPr>
            <w:r w:rsidRPr="00261B7A">
              <w:rPr>
                <w:rFonts w:eastAsiaTheme="minorEastAsia"/>
              </w:rPr>
              <w:t>5.1</w:t>
            </w:r>
          </w:p>
        </w:tc>
        <w:tc>
          <w:tcPr>
            <w:tcW w:w="3975" w:type="dxa"/>
            <w:vAlign w:val="bottom"/>
          </w:tcPr>
          <w:p w14:paraId="57910732" w14:textId="77777777" w:rsidR="00D140F7" w:rsidRPr="00261B7A" w:rsidRDefault="00D140F7" w:rsidP="00844D13">
            <w:pPr>
              <w:pStyle w:val="TableText"/>
              <w:spacing w:before="40" w:after="40"/>
              <w:jc w:val="right"/>
              <w:rPr>
                <w:rFonts w:eastAsiaTheme="minorEastAsia"/>
              </w:rPr>
            </w:pPr>
            <w:r w:rsidRPr="00261B7A">
              <w:rPr>
                <w:rFonts w:eastAsiaTheme="minorEastAsia"/>
              </w:rPr>
              <w:t>94.3</w:t>
            </w:r>
          </w:p>
        </w:tc>
      </w:tr>
      <w:tr w:rsidR="00D140F7" w:rsidRPr="00261B7A" w14:paraId="72AF7C9D" w14:textId="77777777" w:rsidTr="009C63CA">
        <w:tc>
          <w:tcPr>
            <w:tcW w:w="1365" w:type="dxa"/>
            <w:vAlign w:val="bottom"/>
          </w:tcPr>
          <w:p w14:paraId="05A6AB37" w14:textId="77777777" w:rsidR="00D140F7" w:rsidRPr="00261B7A" w:rsidRDefault="00D140F7" w:rsidP="00844D13">
            <w:pPr>
              <w:pStyle w:val="TableText"/>
              <w:spacing w:before="40" w:after="40"/>
              <w:rPr>
                <w:rFonts w:eastAsiaTheme="minorEastAsia"/>
              </w:rPr>
            </w:pPr>
            <w:r w:rsidRPr="00261B7A">
              <w:rPr>
                <w:rFonts w:eastAsiaTheme="minorEastAsia"/>
              </w:rPr>
              <w:t>Feb</w:t>
            </w:r>
          </w:p>
        </w:tc>
        <w:tc>
          <w:tcPr>
            <w:tcW w:w="2484" w:type="dxa"/>
            <w:vAlign w:val="bottom"/>
          </w:tcPr>
          <w:p w14:paraId="66031972" w14:textId="77777777" w:rsidR="00D140F7" w:rsidRPr="00261B7A" w:rsidRDefault="00D140F7" w:rsidP="00844D13">
            <w:pPr>
              <w:pStyle w:val="TableText"/>
              <w:spacing w:before="40" w:after="40"/>
              <w:jc w:val="right"/>
              <w:rPr>
                <w:rFonts w:eastAsiaTheme="minorEastAsia"/>
              </w:rPr>
            </w:pPr>
            <w:r w:rsidRPr="00261B7A">
              <w:rPr>
                <w:rFonts w:eastAsiaTheme="minorEastAsia"/>
              </w:rPr>
              <w:t>7.2</w:t>
            </w:r>
          </w:p>
        </w:tc>
        <w:tc>
          <w:tcPr>
            <w:tcW w:w="3975" w:type="dxa"/>
            <w:vAlign w:val="bottom"/>
          </w:tcPr>
          <w:p w14:paraId="1FF41AA9" w14:textId="77777777" w:rsidR="00D140F7" w:rsidRPr="00261B7A" w:rsidRDefault="00D140F7" w:rsidP="00844D13">
            <w:pPr>
              <w:pStyle w:val="TableText"/>
              <w:spacing w:before="40" w:after="40"/>
              <w:jc w:val="right"/>
              <w:rPr>
                <w:rFonts w:eastAsiaTheme="minorEastAsia"/>
              </w:rPr>
            </w:pPr>
            <w:r w:rsidRPr="00261B7A">
              <w:rPr>
                <w:rFonts w:eastAsiaTheme="minorEastAsia"/>
              </w:rPr>
              <w:t>93</w:t>
            </w:r>
          </w:p>
        </w:tc>
      </w:tr>
      <w:tr w:rsidR="00D140F7" w:rsidRPr="00261B7A" w14:paraId="1A01C636" w14:textId="77777777" w:rsidTr="009C63CA">
        <w:tc>
          <w:tcPr>
            <w:tcW w:w="1365" w:type="dxa"/>
            <w:vAlign w:val="bottom"/>
          </w:tcPr>
          <w:p w14:paraId="514C8E37" w14:textId="77777777" w:rsidR="00D140F7" w:rsidRPr="00261B7A" w:rsidRDefault="00D140F7" w:rsidP="00844D13">
            <w:pPr>
              <w:pStyle w:val="TableText"/>
              <w:spacing w:before="40" w:after="40"/>
              <w:rPr>
                <w:rFonts w:eastAsiaTheme="minorEastAsia"/>
              </w:rPr>
            </w:pPr>
            <w:r w:rsidRPr="00261B7A">
              <w:rPr>
                <w:rFonts w:eastAsiaTheme="minorEastAsia"/>
              </w:rPr>
              <w:t>Mar</w:t>
            </w:r>
          </w:p>
        </w:tc>
        <w:tc>
          <w:tcPr>
            <w:tcW w:w="2484" w:type="dxa"/>
            <w:vAlign w:val="bottom"/>
          </w:tcPr>
          <w:p w14:paraId="00F8C580" w14:textId="77777777" w:rsidR="00D140F7" w:rsidRPr="00261B7A" w:rsidRDefault="00D140F7" w:rsidP="00844D13">
            <w:pPr>
              <w:pStyle w:val="TableText"/>
              <w:spacing w:before="40" w:after="40"/>
              <w:jc w:val="right"/>
              <w:rPr>
                <w:rFonts w:eastAsiaTheme="minorEastAsia"/>
              </w:rPr>
            </w:pPr>
            <w:r w:rsidRPr="00261B7A">
              <w:rPr>
                <w:rFonts w:eastAsiaTheme="minorEastAsia"/>
              </w:rPr>
              <w:t>11.9</w:t>
            </w:r>
          </w:p>
        </w:tc>
        <w:tc>
          <w:tcPr>
            <w:tcW w:w="3975" w:type="dxa"/>
            <w:vAlign w:val="bottom"/>
          </w:tcPr>
          <w:p w14:paraId="62BD7A18" w14:textId="77777777" w:rsidR="00D140F7" w:rsidRPr="00261B7A" w:rsidRDefault="00D140F7" w:rsidP="00844D13">
            <w:pPr>
              <w:pStyle w:val="TableText"/>
              <w:spacing w:before="40" w:after="40"/>
              <w:jc w:val="right"/>
              <w:rPr>
                <w:rFonts w:eastAsiaTheme="minorEastAsia"/>
              </w:rPr>
            </w:pPr>
            <w:r w:rsidRPr="00261B7A">
              <w:rPr>
                <w:rFonts w:eastAsiaTheme="minorEastAsia"/>
              </w:rPr>
              <w:t>91</w:t>
            </w:r>
          </w:p>
        </w:tc>
      </w:tr>
      <w:tr w:rsidR="00D140F7" w:rsidRPr="00261B7A" w14:paraId="5DA9C1A9" w14:textId="77777777" w:rsidTr="009C63CA">
        <w:tc>
          <w:tcPr>
            <w:tcW w:w="1365" w:type="dxa"/>
            <w:vAlign w:val="bottom"/>
          </w:tcPr>
          <w:p w14:paraId="511DBC3D" w14:textId="77777777" w:rsidR="00D140F7" w:rsidRPr="00261B7A" w:rsidRDefault="00D140F7" w:rsidP="00844D13">
            <w:pPr>
              <w:pStyle w:val="TableText"/>
              <w:spacing w:before="40" w:after="40"/>
              <w:rPr>
                <w:rFonts w:eastAsiaTheme="minorEastAsia"/>
              </w:rPr>
            </w:pPr>
            <w:r w:rsidRPr="00261B7A">
              <w:rPr>
                <w:rFonts w:eastAsiaTheme="minorEastAsia"/>
              </w:rPr>
              <w:t>Apr</w:t>
            </w:r>
          </w:p>
        </w:tc>
        <w:tc>
          <w:tcPr>
            <w:tcW w:w="2484" w:type="dxa"/>
            <w:vAlign w:val="bottom"/>
          </w:tcPr>
          <w:p w14:paraId="7CCB59F5" w14:textId="77777777" w:rsidR="00D140F7" w:rsidRPr="00261B7A" w:rsidRDefault="00D140F7" w:rsidP="00844D13">
            <w:pPr>
              <w:pStyle w:val="TableText"/>
              <w:spacing w:before="40" w:after="40"/>
              <w:jc w:val="right"/>
              <w:rPr>
                <w:rFonts w:eastAsiaTheme="minorEastAsia"/>
              </w:rPr>
            </w:pPr>
            <w:r w:rsidRPr="00261B7A">
              <w:rPr>
                <w:rFonts w:eastAsiaTheme="minorEastAsia"/>
              </w:rPr>
              <w:t>14.9</w:t>
            </w:r>
          </w:p>
        </w:tc>
        <w:tc>
          <w:tcPr>
            <w:tcW w:w="3975" w:type="dxa"/>
            <w:vAlign w:val="bottom"/>
          </w:tcPr>
          <w:p w14:paraId="2046F821" w14:textId="77777777" w:rsidR="00D140F7" w:rsidRPr="00261B7A" w:rsidRDefault="00D140F7" w:rsidP="00844D13">
            <w:pPr>
              <w:pStyle w:val="TableText"/>
              <w:spacing w:before="40" w:after="40"/>
              <w:jc w:val="right"/>
              <w:rPr>
                <w:rFonts w:eastAsiaTheme="minorEastAsia"/>
              </w:rPr>
            </w:pPr>
            <w:r w:rsidRPr="00261B7A">
              <w:rPr>
                <w:rFonts w:eastAsiaTheme="minorEastAsia"/>
              </w:rPr>
              <w:t>88.5</w:t>
            </w:r>
          </w:p>
        </w:tc>
      </w:tr>
      <w:tr w:rsidR="00D140F7" w:rsidRPr="00261B7A" w14:paraId="68B1FA83" w14:textId="77777777" w:rsidTr="009C63CA">
        <w:tc>
          <w:tcPr>
            <w:tcW w:w="1365" w:type="dxa"/>
            <w:vAlign w:val="bottom"/>
          </w:tcPr>
          <w:p w14:paraId="547748A9" w14:textId="77777777" w:rsidR="00D140F7" w:rsidRPr="00261B7A" w:rsidRDefault="00D140F7" w:rsidP="00844D13">
            <w:pPr>
              <w:pStyle w:val="TableText"/>
              <w:spacing w:before="40" w:after="40"/>
              <w:rPr>
                <w:rFonts w:eastAsiaTheme="minorEastAsia"/>
              </w:rPr>
            </w:pPr>
            <w:r w:rsidRPr="00261B7A">
              <w:rPr>
                <w:rFonts w:eastAsiaTheme="minorEastAsia"/>
              </w:rPr>
              <w:t>May</w:t>
            </w:r>
          </w:p>
        </w:tc>
        <w:tc>
          <w:tcPr>
            <w:tcW w:w="2484" w:type="dxa"/>
            <w:vAlign w:val="bottom"/>
          </w:tcPr>
          <w:p w14:paraId="7F2B542E" w14:textId="77777777" w:rsidR="00D140F7" w:rsidRPr="00261B7A" w:rsidRDefault="00D140F7" w:rsidP="00844D13">
            <w:pPr>
              <w:pStyle w:val="TableText"/>
              <w:spacing w:before="40" w:after="40"/>
              <w:jc w:val="right"/>
              <w:rPr>
                <w:rFonts w:eastAsiaTheme="minorEastAsia"/>
              </w:rPr>
            </w:pPr>
            <w:r w:rsidRPr="00261B7A">
              <w:rPr>
                <w:rFonts w:eastAsiaTheme="minorEastAsia"/>
              </w:rPr>
              <w:t>21.4</w:t>
            </w:r>
          </w:p>
        </w:tc>
        <w:tc>
          <w:tcPr>
            <w:tcW w:w="3975" w:type="dxa"/>
            <w:vAlign w:val="bottom"/>
          </w:tcPr>
          <w:p w14:paraId="3C497248" w14:textId="77777777" w:rsidR="00D140F7" w:rsidRPr="00261B7A" w:rsidRDefault="00D140F7" w:rsidP="00844D13">
            <w:pPr>
              <w:pStyle w:val="TableText"/>
              <w:spacing w:before="40" w:after="40"/>
              <w:jc w:val="right"/>
              <w:rPr>
                <w:rFonts w:eastAsiaTheme="minorEastAsia"/>
              </w:rPr>
            </w:pPr>
            <w:r w:rsidRPr="00261B7A">
              <w:rPr>
                <w:rFonts w:eastAsiaTheme="minorEastAsia"/>
              </w:rPr>
              <w:t>84.9</w:t>
            </w:r>
          </w:p>
        </w:tc>
      </w:tr>
      <w:tr w:rsidR="00D140F7" w:rsidRPr="00261B7A" w14:paraId="295898F2" w14:textId="77777777" w:rsidTr="009C63CA">
        <w:tc>
          <w:tcPr>
            <w:tcW w:w="1365" w:type="dxa"/>
            <w:vAlign w:val="bottom"/>
          </w:tcPr>
          <w:p w14:paraId="0EE462F0" w14:textId="77777777" w:rsidR="00D140F7" w:rsidRPr="00261B7A" w:rsidRDefault="00D140F7" w:rsidP="00844D13">
            <w:pPr>
              <w:pStyle w:val="TableText"/>
              <w:spacing w:before="40" w:after="40"/>
              <w:rPr>
                <w:rFonts w:eastAsiaTheme="minorEastAsia"/>
              </w:rPr>
            </w:pPr>
            <w:r w:rsidRPr="00261B7A">
              <w:rPr>
                <w:rFonts w:eastAsiaTheme="minorEastAsia"/>
              </w:rPr>
              <w:t>Jun</w:t>
            </w:r>
          </w:p>
        </w:tc>
        <w:tc>
          <w:tcPr>
            <w:tcW w:w="2484" w:type="dxa"/>
            <w:vAlign w:val="bottom"/>
          </w:tcPr>
          <w:p w14:paraId="6AB44184" w14:textId="77777777" w:rsidR="00D140F7" w:rsidRPr="00261B7A" w:rsidRDefault="00D140F7" w:rsidP="00844D13">
            <w:pPr>
              <w:pStyle w:val="TableText"/>
              <w:spacing w:before="40" w:after="40"/>
              <w:jc w:val="right"/>
              <w:rPr>
                <w:rFonts w:eastAsiaTheme="minorEastAsia"/>
              </w:rPr>
            </w:pPr>
            <w:r w:rsidRPr="00261B7A">
              <w:rPr>
                <w:rFonts w:eastAsiaTheme="minorEastAsia"/>
              </w:rPr>
              <w:t>10.7</w:t>
            </w:r>
          </w:p>
        </w:tc>
        <w:tc>
          <w:tcPr>
            <w:tcW w:w="3975" w:type="dxa"/>
            <w:vAlign w:val="bottom"/>
          </w:tcPr>
          <w:p w14:paraId="204244DD" w14:textId="77777777" w:rsidR="00D140F7" w:rsidRPr="00261B7A" w:rsidRDefault="00D140F7" w:rsidP="00844D13">
            <w:pPr>
              <w:pStyle w:val="TableText"/>
              <w:spacing w:before="40" w:after="40"/>
              <w:jc w:val="right"/>
              <w:rPr>
                <w:rFonts w:eastAsiaTheme="minorEastAsia"/>
              </w:rPr>
            </w:pPr>
            <w:r w:rsidRPr="00261B7A">
              <w:rPr>
                <w:rFonts w:eastAsiaTheme="minorEastAsia"/>
              </w:rPr>
              <w:t>83.1</w:t>
            </w:r>
          </w:p>
        </w:tc>
      </w:tr>
    </w:tbl>
    <w:p w14:paraId="46F03A67" w14:textId="77777777" w:rsidR="00D140F7" w:rsidRPr="00261B7A" w:rsidRDefault="00D140F7" w:rsidP="0085003D">
      <w:pPr>
        <w:pStyle w:val="BodyText"/>
        <w:spacing w:before="240" w:after="100"/>
      </w:pPr>
      <w:r w:rsidRPr="00261B7A">
        <w:t>The above changes were recommended by the Panel at its meeting on 26 October 2022 and implemented in the 2023 submission.</w:t>
      </w:r>
    </w:p>
    <w:p w14:paraId="08FD6DFE" w14:textId="77777777" w:rsidR="00D140F7" w:rsidRPr="00261B7A" w:rsidRDefault="00D140F7" w:rsidP="0085003D">
      <w:pPr>
        <w:pStyle w:val="BodyText"/>
        <w:spacing w:after="100"/>
      </w:pPr>
      <w:r w:rsidRPr="00261B7A">
        <w:rPr>
          <w:rFonts w:eastAsia="Calibri"/>
        </w:rPr>
        <w:t xml:space="preserve">As part of the change to the growing heifer population, there has also been a change to the liveweight calculations for dairy cattle. </w:t>
      </w:r>
    </w:p>
    <w:p w14:paraId="7D716450" w14:textId="77777777" w:rsidR="00D140F7" w:rsidRPr="00261B7A" w:rsidRDefault="00D140F7" w:rsidP="0085003D">
      <w:pPr>
        <w:pStyle w:val="BodyText"/>
        <w:spacing w:after="100"/>
      </w:pPr>
      <w:r w:rsidRPr="00261B7A">
        <w:rPr>
          <w:rFonts w:eastAsia="Calibri"/>
        </w:rPr>
        <w:t>Previously, it was assumed that all dairy calves (growing heifers 0 to 1 year) are born on the first of August and have a birth weight equal to 9 per cent of an adult dairy cow weight. The weight of these animals was increased linearly until they were 638 days old, at which point their weight was assumed to be 90 per cent of the weight of an adult dairy cow. After 638 days, they joined the class of mature milking cows and made an instantaneous jump in weight to the full mature dairy cow weight.</w:t>
      </w:r>
    </w:p>
    <w:p w14:paraId="0222565D" w14:textId="77777777" w:rsidR="00D140F7" w:rsidRPr="00261B7A" w:rsidRDefault="00D140F7" w:rsidP="0085003D">
      <w:pPr>
        <w:pStyle w:val="BodyText"/>
        <w:spacing w:after="100"/>
        <w:rPr>
          <w:rFonts w:eastAsia="Calibri"/>
        </w:rPr>
      </w:pPr>
      <w:r w:rsidRPr="00261B7A">
        <w:rPr>
          <w:rFonts w:eastAsia="Calibri"/>
        </w:rPr>
        <w:t xml:space="preserve">In the improved calculation, it is assumed that all dairy calves (growing heifers 0 to 1 year) are born on 13 August and have a birth weight equal to 9 per cent of an adult dairy cow weight. The weight of these animals increases linearly until they are 730 days old, at which point their weight is assumed to be that of an adult dairy cow and they become </w:t>
      </w:r>
      <w:r w:rsidRPr="00261B7A">
        <w:rPr>
          <w:rFonts w:eastAsia="Calibri"/>
          <w:i/>
          <w:iCs/>
        </w:rPr>
        <w:t>Mature</w:t>
      </w:r>
      <w:r w:rsidRPr="00261B7A">
        <w:rPr>
          <w:rFonts w:eastAsia="Calibri"/>
          <w:i/>
        </w:rPr>
        <w:t xml:space="preserve"> milking cows</w:t>
      </w:r>
      <w:r w:rsidRPr="00261B7A">
        <w:rPr>
          <w:rFonts w:eastAsia="Calibri"/>
        </w:rPr>
        <w:t>.</w:t>
      </w:r>
    </w:p>
    <w:p w14:paraId="7A57E6A7" w14:textId="26CD68E5" w:rsidR="00D140F7" w:rsidRPr="00261B7A" w:rsidRDefault="00D140F7" w:rsidP="0085003D">
      <w:pPr>
        <w:pStyle w:val="BodyText"/>
        <w:spacing w:after="100"/>
        <w:rPr>
          <w:rFonts w:eastAsia="Calibri"/>
        </w:rPr>
      </w:pPr>
      <w:r w:rsidRPr="00261B7A">
        <w:rPr>
          <w:rFonts w:eastAsia="Calibri"/>
        </w:rPr>
        <w:t>The implementation of the 2023 improvements reduced emissions estimates from the Agriculture sector by 0.7 per cent (231.5 kt CO</w:t>
      </w:r>
      <w:r w:rsidRPr="00261B7A">
        <w:rPr>
          <w:rFonts w:eastAsia="Calibri"/>
          <w:sz w:val="17"/>
          <w:szCs w:val="17"/>
          <w:vertAlign w:val="subscript"/>
        </w:rPr>
        <w:t>2</w:t>
      </w:r>
      <w:r w:rsidRPr="00261B7A">
        <w:rPr>
          <w:rFonts w:eastAsia="Calibri"/>
        </w:rPr>
        <w:t>-e) in 1990 and 1.3 per cent (488.1.0 kt CO</w:t>
      </w:r>
      <w:r w:rsidRPr="00261B7A">
        <w:rPr>
          <w:rFonts w:eastAsia="Calibri"/>
          <w:sz w:val="17"/>
          <w:szCs w:val="17"/>
          <w:vertAlign w:val="subscript"/>
        </w:rPr>
        <w:t>2</w:t>
      </w:r>
      <w:r w:rsidRPr="00261B7A">
        <w:rPr>
          <w:rFonts w:eastAsia="Calibri"/>
        </w:rPr>
        <w:t>-e) in</w:t>
      </w:r>
      <w:r w:rsidR="005C712E">
        <w:rPr>
          <w:rFonts w:eastAsia="Calibri"/>
        </w:rPr>
        <w:t> </w:t>
      </w:r>
      <w:r w:rsidRPr="00261B7A">
        <w:rPr>
          <w:rFonts w:eastAsia="Calibri"/>
        </w:rPr>
        <w:t>2020 (see table 10.1.7).</w:t>
      </w:r>
    </w:p>
    <w:p w14:paraId="19388FB5" w14:textId="77777777" w:rsidR="00D140F7" w:rsidRPr="00261B7A" w:rsidRDefault="00D140F7" w:rsidP="00D140F7">
      <w:pPr>
        <w:pStyle w:val="Table"/>
      </w:pPr>
      <w:bookmarkStart w:id="2832" w:name="_Toc129781209"/>
      <w:bookmarkStart w:id="2833" w:name="_Toc130565744"/>
      <w:bookmarkStart w:id="2834" w:name="_Toc130565845"/>
      <w:bookmarkStart w:id="2835" w:name="_Toc131591489"/>
      <w:r w:rsidRPr="00261B7A">
        <w:t xml:space="preserve">Table 10.1.7 </w:t>
      </w:r>
      <w:r w:rsidRPr="00261B7A">
        <w:tab/>
        <w:t>Comparison of current and previous emissions estimates before and after the change to the dairy cattle population modelling</w:t>
      </w:r>
      <w:bookmarkEnd w:id="2832"/>
      <w:bookmarkEnd w:id="2833"/>
      <w:bookmarkEnd w:id="2834"/>
      <w:bookmarkEnd w:id="2835"/>
    </w:p>
    <w:tbl>
      <w:tblPr>
        <w:tblW w:w="0" w:type="auto"/>
        <w:tblBorders>
          <w:top w:val="single" w:sz="4" w:space="0" w:color="1B556B" w:themeColor="text2"/>
          <w:bottom w:val="single" w:sz="4" w:space="0" w:color="1B556B" w:themeColor="text2"/>
          <w:insideH w:val="single" w:sz="4" w:space="0" w:color="1B556B" w:themeColor="text2"/>
          <w:insideV w:val="single" w:sz="4" w:space="0" w:color="1B556B" w:themeColor="text2"/>
        </w:tblBorders>
        <w:tblCellMar>
          <w:right w:w="85" w:type="dxa"/>
        </w:tblCellMar>
        <w:tblLook w:val="0420" w:firstRow="1" w:lastRow="0" w:firstColumn="0" w:lastColumn="0" w:noHBand="0" w:noVBand="1"/>
      </w:tblPr>
      <w:tblGrid>
        <w:gridCol w:w="1418"/>
        <w:gridCol w:w="2125"/>
        <w:gridCol w:w="760"/>
        <w:gridCol w:w="760"/>
        <w:gridCol w:w="1474"/>
        <w:gridCol w:w="1531"/>
      </w:tblGrid>
      <w:tr w:rsidR="00D140F7" w:rsidRPr="00261B7A" w14:paraId="3E4F9C5C" w14:textId="77777777" w:rsidTr="0085003D">
        <w:trPr>
          <w:trHeight w:val="300"/>
        </w:trPr>
        <w:tc>
          <w:tcPr>
            <w:tcW w:w="1418" w:type="dxa"/>
            <w:tcBorders>
              <w:right w:val="nil"/>
            </w:tcBorders>
            <w:shd w:val="clear" w:color="auto" w:fill="1B556B" w:themeFill="text2"/>
            <w:vAlign w:val="bottom"/>
          </w:tcPr>
          <w:p w14:paraId="29EDC0B0" w14:textId="77777777" w:rsidR="00D140F7" w:rsidRPr="00261B7A" w:rsidRDefault="00D140F7" w:rsidP="00844D13">
            <w:pPr>
              <w:pStyle w:val="TableTextBold"/>
              <w:spacing w:before="40" w:after="40"/>
              <w:rPr>
                <w:noProof w:val="0"/>
                <w:color w:val="FFFFFF" w:themeColor="background1"/>
              </w:rPr>
            </w:pPr>
          </w:p>
        </w:tc>
        <w:tc>
          <w:tcPr>
            <w:tcW w:w="2125" w:type="dxa"/>
            <w:tcBorders>
              <w:left w:val="nil"/>
              <w:right w:val="nil"/>
            </w:tcBorders>
            <w:shd w:val="clear" w:color="auto" w:fill="1B556B" w:themeFill="text2"/>
            <w:vAlign w:val="bottom"/>
          </w:tcPr>
          <w:p w14:paraId="2105E0AE" w14:textId="77777777" w:rsidR="00D140F7" w:rsidRPr="00261B7A" w:rsidRDefault="00D140F7" w:rsidP="00844D13">
            <w:pPr>
              <w:pStyle w:val="TableTextBold"/>
              <w:spacing w:before="40" w:after="40"/>
              <w:rPr>
                <w:noProof w:val="0"/>
                <w:color w:val="FFFFFF" w:themeColor="background1"/>
              </w:rPr>
            </w:pPr>
          </w:p>
        </w:tc>
        <w:tc>
          <w:tcPr>
            <w:tcW w:w="680" w:type="dxa"/>
            <w:tcBorders>
              <w:left w:val="nil"/>
              <w:right w:val="nil"/>
            </w:tcBorders>
            <w:shd w:val="clear" w:color="auto" w:fill="1B556B" w:themeFill="text2"/>
            <w:vAlign w:val="bottom"/>
          </w:tcPr>
          <w:p w14:paraId="79892449" w14:textId="77777777" w:rsidR="00D140F7" w:rsidRPr="00261B7A" w:rsidRDefault="00D140F7" w:rsidP="00844D13">
            <w:pPr>
              <w:pStyle w:val="TableTextBold"/>
              <w:spacing w:before="40" w:after="40"/>
              <w:jc w:val="right"/>
              <w:rPr>
                <w:noProof w:val="0"/>
                <w:color w:val="FFFFFF" w:themeColor="background1"/>
              </w:rPr>
            </w:pPr>
            <w:r w:rsidRPr="00261B7A">
              <w:rPr>
                <w:rFonts w:eastAsia="Calibri"/>
                <w:noProof w:val="0"/>
                <w:color w:val="FFFFFF" w:themeColor="background1"/>
              </w:rPr>
              <w:t>1990</w:t>
            </w:r>
          </w:p>
        </w:tc>
        <w:tc>
          <w:tcPr>
            <w:tcW w:w="680" w:type="dxa"/>
            <w:tcBorders>
              <w:left w:val="nil"/>
              <w:right w:val="nil"/>
            </w:tcBorders>
            <w:shd w:val="clear" w:color="auto" w:fill="1B556B" w:themeFill="text2"/>
            <w:vAlign w:val="bottom"/>
          </w:tcPr>
          <w:p w14:paraId="1D4203C0" w14:textId="77777777" w:rsidR="00D140F7" w:rsidRPr="00261B7A" w:rsidRDefault="00D140F7" w:rsidP="00844D13">
            <w:pPr>
              <w:pStyle w:val="TableTextBold"/>
              <w:spacing w:before="40" w:after="40"/>
              <w:jc w:val="right"/>
              <w:rPr>
                <w:rFonts w:eastAsia="Calibri"/>
                <w:noProof w:val="0"/>
                <w:color w:val="FFFFFF" w:themeColor="background1"/>
              </w:rPr>
            </w:pPr>
            <w:r w:rsidRPr="00261B7A">
              <w:rPr>
                <w:rFonts w:eastAsia="Calibri"/>
                <w:noProof w:val="0"/>
                <w:color w:val="FFFFFF" w:themeColor="background1"/>
              </w:rPr>
              <w:t>2020</w:t>
            </w:r>
          </w:p>
        </w:tc>
        <w:tc>
          <w:tcPr>
            <w:tcW w:w="1474" w:type="dxa"/>
            <w:tcBorders>
              <w:left w:val="nil"/>
              <w:right w:val="nil"/>
            </w:tcBorders>
            <w:shd w:val="clear" w:color="auto" w:fill="1B556B" w:themeFill="text2"/>
            <w:vAlign w:val="bottom"/>
          </w:tcPr>
          <w:p w14:paraId="0896A0B7" w14:textId="77777777" w:rsidR="00D140F7" w:rsidRPr="00261B7A" w:rsidRDefault="00D140F7" w:rsidP="00844D13">
            <w:pPr>
              <w:pStyle w:val="TableTextBold"/>
              <w:spacing w:before="40" w:after="40"/>
              <w:jc w:val="right"/>
              <w:rPr>
                <w:noProof w:val="0"/>
                <w:color w:val="FFFFFF" w:themeColor="background1"/>
              </w:rPr>
            </w:pPr>
            <w:r w:rsidRPr="00261B7A">
              <w:rPr>
                <w:rFonts w:eastAsia="Calibri"/>
                <w:noProof w:val="0"/>
                <w:color w:val="FFFFFF" w:themeColor="background1"/>
              </w:rPr>
              <w:t>Change in emission outputs between 1990 and 2020 (kt CO</w:t>
            </w:r>
            <w:r w:rsidRPr="00261B7A">
              <w:rPr>
                <w:rFonts w:eastAsia="Calibri"/>
                <w:noProof w:val="0"/>
                <w:color w:val="FFFFFF" w:themeColor="background1"/>
                <w:vertAlign w:val="subscript"/>
              </w:rPr>
              <w:t>2</w:t>
            </w:r>
            <w:r w:rsidRPr="00261B7A">
              <w:rPr>
                <w:rFonts w:eastAsia="Calibri"/>
                <w:noProof w:val="0"/>
                <w:color w:val="FFFFFF" w:themeColor="background1"/>
              </w:rPr>
              <w:t>-e)</w:t>
            </w:r>
          </w:p>
        </w:tc>
        <w:tc>
          <w:tcPr>
            <w:tcW w:w="1531" w:type="dxa"/>
            <w:tcBorders>
              <w:left w:val="nil"/>
            </w:tcBorders>
            <w:shd w:val="clear" w:color="auto" w:fill="1B556B" w:themeFill="text2"/>
            <w:vAlign w:val="bottom"/>
          </w:tcPr>
          <w:p w14:paraId="15A0364B" w14:textId="613BAB9C" w:rsidR="00D140F7" w:rsidRPr="00261B7A" w:rsidRDefault="00D140F7" w:rsidP="00844D13">
            <w:pPr>
              <w:pStyle w:val="TableTextBold"/>
              <w:spacing w:before="40" w:after="40"/>
              <w:jc w:val="right"/>
              <w:rPr>
                <w:noProof w:val="0"/>
                <w:color w:val="FFFFFF" w:themeColor="background1"/>
              </w:rPr>
            </w:pPr>
            <w:r w:rsidRPr="00261B7A">
              <w:rPr>
                <w:rFonts w:eastAsia="Calibri"/>
                <w:noProof w:val="0"/>
                <w:color w:val="FFFFFF" w:themeColor="background1"/>
              </w:rPr>
              <w:t xml:space="preserve">Percentage change in emission outputs between </w:t>
            </w:r>
            <w:r w:rsidR="00265C88">
              <w:rPr>
                <w:rFonts w:eastAsia="Calibri"/>
                <w:noProof w:val="0"/>
                <w:color w:val="FFFFFF" w:themeColor="background1"/>
              </w:rPr>
              <w:br/>
            </w:r>
            <w:r w:rsidRPr="00261B7A">
              <w:rPr>
                <w:rFonts w:eastAsia="Calibri"/>
                <w:noProof w:val="0"/>
                <w:color w:val="FFFFFF" w:themeColor="background1"/>
              </w:rPr>
              <w:t>1990 and 2020 (%)</w:t>
            </w:r>
          </w:p>
        </w:tc>
      </w:tr>
      <w:tr w:rsidR="00D140F7" w:rsidRPr="00261B7A" w14:paraId="64BF8A11" w14:textId="77777777" w:rsidTr="0085003D">
        <w:trPr>
          <w:trHeight w:val="300"/>
        </w:trPr>
        <w:tc>
          <w:tcPr>
            <w:tcW w:w="1418" w:type="dxa"/>
            <w:vMerge w:val="restart"/>
            <w:shd w:val="clear" w:color="auto" w:fill="FFFFFF" w:themeFill="background1"/>
            <w:vAlign w:val="center"/>
          </w:tcPr>
          <w:p w14:paraId="0F2E4958" w14:textId="77777777" w:rsidR="00D140F7" w:rsidRPr="00261B7A" w:rsidRDefault="00D140F7" w:rsidP="00844D13">
            <w:pPr>
              <w:pStyle w:val="TableText"/>
              <w:spacing w:before="40" w:after="40"/>
              <w:rPr>
                <w:rFonts w:eastAsia="Calibri"/>
              </w:rPr>
            </w:pPr>
            <w:r w:rsidRPr="00261B7A">
              <w:rPr>
                <w:rFonts w:eastAsia="Calibri"/>
              </w:rPr>
              <w:t>Total emissions from Agriculture sector (kt CO</w:t>
            </w:r>
            <w:r w:rsidRPr="00261B7A">
              <w:rPr>
                <w:rFonts w:eastAsia="Calibri"/>
                <w:vertAlign w:val="subscript"/>
              </w:rPr>
              <w:t>2</w:t>
            </w:r>
            <w:r w:rsidRPr="00261B7A">
              <w:rPr>
                <w:rFonts w:eastAsia="Calibri"/>
              </w:rPr>
              <w:t>-e)</w:t>
            </w:r>
          </w:p>
        </w:tc>
        <w:tc>
          <w:tcPr>
            <w:tcW w:w="2125" w:type="dxa"/>
            <w:shd w:val="clear" w:color="auto" w:fill="FFFFFF" w:themeFill="background1"/>
            <w:vAlign w:val="center"/>
          </w:tcPr>
          <w:p w14:paraId="7DC0793A" w14:textId="77777777" w:rsidR="00D140F7" w:rsidRPr="00261B7A" w:rsidRDefault="00D140F7" w:rsidP="00844D13">
            <w:pPr>
              <w:pStyle w:val="TableText"/>
              <w:spacing w:before="40" w:after="40"/>
              <w:rPr>
                <w:rFonts w:eastAsia="Calibri"/>
              </w:rPr>
            </w:pPr>
            <w:r w:rsidRPr="00261B7A">
              <w:rPr>
                <w:rFonts w:eastAsia="Calibri"/>
              </w:rPr>
              <w:t>2023 (1990–2020) emissions estimate using previous population model</w:t>
            </w:r>
          </w:p>
        </w:tc>
        <w:tc>
          <w:tcPr>
            <w:tcW w:w="680" w:type="dxa"/>
            <w:shd w:val="clear" w:color="auto" w:fill="FFFFFF" w:themeFill="background1"/>
            <w:vAlign w:val="center"/>
          </w:tcPr>
          <w:p w14:paraId="5BF7921E" w14:textId="77777777" w:rsidR="00D140F7" w:rsidRPr="00261B7A" w:rsidRDefault="00D140F7" w:rsidP="00844D13">
            <w:pPr>
              <w:pStyle w:val="TableText"/>
              <w:spacing w:before="40" w:after="40"/>
              <w:jc w:val="right"/>
              <w:rPr>
                <w:rFonts w:eastAsia="Calibri"/>
              </w:rPr>
            </w:pPr>
            <w:r w:rsidRPr="00261B7A">
              <w:rPr>
                <w:rFonts w:eastAsia="Calibri"/>
              </w:rPr>
              <w:t>33,543.5</w:t>
            </w:r>
          </w:p>
        </w:tc>
        <w:tc>
          <w:tcPr>
            <w:tcW w:w="680" w:type="dxa"/>
            <w:shd w:val="clear" w:color="auto" w:fill="FFFFFF" w:themeFill="background1"/>
            <w:vAlign w:val="center"/>
          </w:tcPr>
          <w:p w14:paraId="43AD600A" w14:textId="77777777" w:rsidR="00D140F7" w:rsidRPr="00261B7A" w:rsidRDefault="00D140F7" w:rsidP="00844D13">
            <w:pPr>
              <w:pStyle w:val="TableText"/>
              <w:spacing w:before="40" w:after="40"/>
              <w:jc w:val="right"/>
              <w:rPr>
                <w:rFonts w:eastAsia="Calibri"/>
              </w:rPr>
            </w:pPr>
            <w:r w:rsidRPr="00261B7A">
              <w:rPr>
                <w:rFonts w:eastAsia="Calibri"/>
              </w:rPr>
              <w:t>38,848.3</w:t>
            </w:r>
          </w:p>
        </w:tc>
        <w:tc>
          <w:tcPr>
            <w:tcW w:w="1474" w:type="dxa"/>
            <w:shd w:val="clear" w:color="auto" w:fill="FFFFFF" w:themeFill="background1"/>
            <w:vAlign w:val="center"/>
          </w:tcPr>
          <w:p w14:paraId="6D4A42FC" w14:textId="77777777" w:rsidR="00D140F7" w:rsidRPr="00261B7A" w:rsidRDefault="00D140F7" w:rsidP="00844D13">
            <w:pPr>
              <w:pStyle w:val="TableText"/>
              <w:spacing w:before="40" w:after="40"/>
              <w:jc w:val="right"/>
              <w:rPr>
                <w:rFonts w:eastAsia="Calibri"/>
              </w:rPr>
            </w:pPr>
            <w:r w:rsidRPr="00261B7A">
              <w:rPr>
                <w:rFonts w:eastAsia="Calibri"/>
              </w:rPr>
              <w:t>5,304.7</w:t>
            </w:r>
          </w:p>
        </w:tc>
        <w:tc>
          <w:tcPr>
            <w:tcW w:w="1531" w:type="dxa"/>
            <w:shd w:val="clear" w:color="auto" w:fill="FFFFFF" w:themeFill="background1"/>
            <w:vAlign w:val="center"/>
          </w:tcPr>
          <w:p w14:paraId="54F8B834" w14:textId="77777777" w:rsidR="00D140F7" w:rsidRPr="00261B7A" w:rsidRDefault="00D140F7" w:rsidP="00844D13">
            <w:pPr>
              <w:pStyle w:val="TableText"/>
              <w:spacing w:before="40" w:after="40"/>
              <w:jc w:val="right"/>
              <w:rPr>
                <w:rFonts w:eastAsia="Calibri"/>
              </w:rPr>
            </w:pPr>
            <w:r w:rsidRPr="00261B7A">
              <w:rPr>
                <w:rFonts w:eastAsia="Calibri"/>
              </w:rPr>
              <w:t>15.8</w:t>
            </w:r>
          </w:p>
        </w:tc>
      </w:tr>
      <w:tr w:rsidR="00D140F7" w:rsidRPr="00261B7A" w14:paraId="36895A0F" w14:textId="77777777" w:rsidTr="0085003D">
        <w:trPr>
          <w:trHeight w:val="300"/>
        </w:trPr>
        <w:tc>
          <w:tcPr>
            <w:tcW w:w="1418" w:type="dxa"/>
            <w:vMerge/>
          </w:tcPr>
          <w:p w14:paraId="23208C96" w14:textId="77777777" w:rsidR="00D140F7" w:rsidRPr="00261B7A" w:rsidRDefault="00D140F7" w:rsidP="00844D13">
            <w:pPr>
              <w:pStyle w:val="TableText"/>
              <w:spacing w:before="40" w:after="40"/>
              <w:rPr>
                <w:rFonts w:eastAsia="Calibri"/>
              </w:rPr>
            </w:pPr>
          </w:p>
        </w:tc>
        <w:tc>
          <w:tcPr>
            <w:tcW w:w="2125" w:type="dxa"/>
            <w:shd w:val="clear" w:color="auto" w:fill="FFFFFF" w:themeFill="background1"/>
            <w:vAlign w:val="center"/>
          </w:tcPr>
          <w:p w14:paraId="32BE2B3D" w14:textId="77777777" w:rsidR="00D140F7" w:rsidRPr="00261B7A" w:rsidRDefault="00D140F7" w:rsidP="00844D13">
            <w:pPr>
              <w:pStyle w:val="TableText"/>
              <w:spacing w:before="40" w:after="40"/>
              <w:rPr>
                <w:rFonts w:eastAsia="Calibri"/>
              </w:rPr>
            </w:pPr>
            <w:r w:rsidRPr="00261B7A">
              <w:rPr>
                <w:rFonts w:eastAsia="Calibri"/>
              </w:rPr>
              <w:t>2023 (1990–2020) emissions estimate using new population model</w:t>
            </w:r>
          </w:p>
        </w:tc>
        <w:tc>
          <w:tcPr>
            <w:tcW w:w="680" w:type="dxa"/>
            <w:shd w:val="clear" w:color="auto" w:fill="FFFFFF" w:themeFill="background1"/>
            <w:vAlign w:val="center"/>
          </w:tcPr>
          <w:p w14:paraId="448D8758" w14:textId="77777777" w:rsidR="00D140F7" w:rsidRPr="00261B7A" w:rsidRDefault="00D140F7" w:rsidP="00844D13">
            <w:pPr>
              <w:pStyle w:val="TableText"/>
              <w:spacing w:before="40" w:after="40"/>
              <w:jc w:val="right"/>
              <w:rPr>
                <w:rFonts w:eastAsia="Calibri"/>
              </w:rPr>
            </w:pPr>
            <w:r w:rsidRPr="00261B7A">
              <w:rPr>
                <w:rFonts w:eastAsia="Calibri"/>
              </w:rPr>
              <w:t>33,312.0</w:t>
            </w:r>
          </w:p>
        </w:tc>
        <w:tc>
          <w:tcPr>
            <w:tcW w:w="680" w:type="dxa"/>
            <w:shd w:val="clear" w:color="auto" w:fill="FFFFFF" w:themeFill="background1"/>
            <w:vAlign w:val="center"/>
          </w:tcPr>
          <w:p w14:paraId="048E200D" w14:textId="77777777" w:rsidR="00D140F7" w:rsidRPr="00261B7A" w:rsidRDefault="00D140F7" w:rsidP="00844D13">
            <w:pPr>
              <w:pStyle w:val="TableText"/>
              <w:spacing w:before="40" w:after="40"/>
              <w:jc w:val="right"/>
              <w:rPr>
                <w:rFonts w:eastAsia="Calibri"/>
              </w:rPr>
            </w:pPr>
            <w:r w:rsidRPr="00261B7A">
              <w:rPr>
                <w:rFonts w:eastAsia="Calibri"/>
              </w:rPr>
              <w:t>38,360.2</w:t>
            </w:r>
          </w:p>
        </w:tc>
        <w:tc>
          <w:tcPr>
            <w:tcW w:w="1474" w:type="dxa"/>
            <w:shd w:val="clear" w:color="auto" w:fill="FFFFFF" w:themeFill="background1"/>
            <w:vAlign w:val="center"/>
          </w:tcPr>
          <w:p w14:paraId="5B704779" w14:textId="77777777" w:rsidR="00D140F7" w:rsidRPr="00261B7A" w:rsidRDefault="00D140F7" w:rsidP="00844D13">
            <w:pPr>
              <w:pStyle w:val="TableText"/>
              <w:spacing w:before="40" w:after="40"/>
              <w:jc w:val="right"/>
              <w:rPr>
                <w:rFonts w:eastAsia="Calibri"/>
              </w:rPr>
            </w:pPr>
            <w:r w:rsidRPr="00261B7A">
              <w:rPr>
                <w:rFonts w:eastAsia="Calibri"/>
              </w:rPr>
              <w:t>5,048.1</w:t>
            </w:r>
          </w:p>
        </w:tc>
        <w:tc>
          <w:tcPr>
            <w:tcW w:w="1531" w:type="dxa"/>
            <w:shd w:val="clear" w:color="auto" w:fill="FFFFFF" w:themeFill="background1"/>
            <w:vAlign w:val="center"/>
          </w:tcPr>
          <w:p w14:paraId="7D72C1FF" w14:textId="77777777" w:rsidR="00D140F7" w:rsidRPr="00261B7A" w:rsidRDefault="00D140F7" w:rsidP="00844D13">
            <w:pPr>
              <w:pStyle w:val="TableText"/>
              <w:spacing w:before="40" w:after="40"/>
              <w:jc w:val="right"/>
              <w:rPr>
                <w:rFonts w:eastAsia="Calibri"/>
              </w:rPr>
            </w:pPr>
            <w:r w:rsidRPr="00261B7A">
              <w:rPr>
                <w:rFonts w:eastAsia="Calibri"/>
              </w:rPr>
              <w:t>15.2</w:t>
            </w:r>
          </w:p>
        </w:tc>
      </w:tr>
      <w:tr w:rsidR="00D140F7" w:rsidRPr="00261B7A" w14:paraId="5AD1F7F8" w14:textId="77777777" w:rsidTr="0085003D">
        <w:trPr>
          <w:trHeight w:val="300"/>
        </w:trPr>
        <w:tc>
          <w:tcPr>
            <w:tcW w:w="1418" w:type="dxa"/>
            <w:vMerge/>
          </w:tcPr>
          <w:p w14:paraId="4E50C631" w14:textId="77777777" w:rsidR="00D140F7" w:rsidRPr="00261B7A" w:rsidRDefault="00D140F7" w:rsidP="00844D13">
            <w:pPr>
              <w:pStyle w:val="TableText"/>
              <w:spacing w:before="40" w:after="40"/>
              <w:rPr>
                <w:rFonts w:eastAsia="Calibri"/>
              </w:rPr>
            </w:pPr>
          </w:p>
        </w:tc>
        <w:tc>
          <w:tcPr>
            <w:tcW w:w="2125" w:type="dxa"/>
            <w:shd w:val="clear" w:color="auto" w:fill="FFFFFF" w:themeFill="background1"/>
            <w:vAlign w:val="center"/>
          </w:tcPr>
          <w:p w14:paraId="0BD0305A" w14:textId="77777777" w:rsidR="00D140F7" w:rsidRPr="00261B7A" w:rsidRDefault="00D140F7" w:rsidP="00844D13">
            <w:pPr>
              <w:pStyle w:val="TableText"/>
              <w:spacing w:before="40" w:after="40"/>
              <w:rPr>
                <w:rFonts w:eastAsia="Calibri"/>
              </w:rPr>
            </w:pPr>
            <w:r w:rsidRPr="00261B7A">
              <w:rPr>
                <w:rFonts w:eastAsia="Calibri"/>
              </w:rPr>
              <w:t>Difference in emissions estimates compared with current inventory</w:t>
            </w:r>
          </w:p>
        </w:tc>
        <w:tc>
          <w:tcPr>
            <w:tcW w:w="680" w:type="dxa"/>
            <w:shd w:val="clear" w:color="auto" w:fill="FFFFFF" w:themeFill="background1"/>
            <w:vAlign w:val="center"/>
          </w:tcPr>
          <w:p w14:paraId="4CDBAB69" w14:textId="77777777" w:rsidR="00D140F7" w:rsidRPr="00261B7A" w:rsidRDefault="00D140F7" w:rsidP="00844D13">
            <w:pPr>
              <w:pStyle w:val="TableText"/>
              <w:spacing w:before="40" w:after="40"/>
              <w:jc w:val="right"/>
              <w:rPr>
                <w:rFonts w:eastAsia="Calibri"/>
              </w:rPr>
            </w:pPr>
            <w:r w:rsidRPr="00261B7A">
              <w:rPr>
                <w:rFonts w:eastAsia="Calibri"/>
              </w:rPr>
              <w:t>–231.5</w:t>
            </w:r>
          </w:p>
        </w:tc>
        <w:tc>
          <w:tcPr>
            <w:tcW w:w="680" w:type="dxa"/>
            <w:shd w:val="clear" w:color="auto" w:fill="FFFFFF" w:themeFill="background1"/>
            <w:vAlign w:val="center"/>
          </w:tcPr>
          <w:p w14:paraId="224BB642" w14:textId="77777777" w:rsidR="00D140F7" w:rsidRPr="00261B7A" w:rsidRDefault="00D140F7" w:rsidP="00844D13">
            <w:pPr>
              <w:pStyle w:val="TableText"/>
              <w:spacing w:before="40" w:after="40"/>
              <w:jc w:val="right"/>
              <w:rPr>
                <w:rFonts w:eastAsia="Calibri"/>
              </w:rPr>
            </w:pPr>
            <w:r w:rsidRPr="00261B7A">
              <w:rPr>
                <w:rFonts w:eastAsia="Calibri"/>
              </w:rPr>
              <w:t>–488.1</w:t>
            </w:r>
          </w:p>
        </w:tc>
        <w:tc>
          <w:tcPr>
            <w:tcW w:w="1474" w:type="dxa"/>
            <w:shd w:val="clear" w:color="auto" w:fill="FFFFFF" w:themeFill="background1"/>
            <w:vAlign w:val="center"/>
          </w:tcPr>
          <w:p w14:paraId="4D9BD705" w14:textId="77777777" w:rsidR="00D140F7" w:rsidRPr="00261B7A" w:rsidRDefault="00D140F7" w:rsidP="00844D13">
            <w:pPr>
              <w:pStyle w:val="TableText"/>
              <w:spacing w:before="40" w:after="40"/>
              <w:jc w:val="right"/>
              <w:rPr>
                <w:rFonts w:eastAsia="Calibri"/>
              </w:rPr>
            </w:pPr>
            <w:r w:rsidRPr="00261B7A">
              <w:rPr>
                <w:rFonts w:eastAsia="Calibri"/>
              </w:rPr>
              <w:t>–256.6</w:t>
            </w:r>
          </w:p>
        </w:tc>
        <w:tc>
          <w:tcPr>
            <w:tcW w:w="1531" w:type="dxa"/>
            <w:shd w:val="clear" w:color="auto" w:fill="FFFFFF" w:themeFill="background1"/>
            <w:vAlign w:val="center"/>
          </w:tcPr>
          <w:p w14:paraId="6E94BADF" w14:textId="77777777" w:rsidR="00D140F7" w:rsidRPr="00261B7A" w:rsidRDefault="00D140F7" w:rsidP="00844D13">
            <w:pPr>
              <w:pStyle w:val="TableText"/>
              <w:spacing w:before="40" w:after="40"/>
              <w:jc w:val="right"/>
              <w:rPr>
                <w:rFonts w:eastAsia="Calibri"/>
              </w:rPr>
            </w:pPr>
            <w:r w:rsidRPr="00261B7A">
              <w:rPr>
                <w:rFonts w:eastAsia="Calibri"/>
              </w:rPr>
              <w:t>NA</w:t>
            </w:r>
          </w:p>
        </w:tc>
      </w:tr>
      <w:tr w:rsidR="00D140F7" w:rsidRPr="00261B7A" w14:paraId="56263763" w14:textId="77777777" w:rsidTr="0085003D">
        <w:trPr>
          <w:trHeight w:val="300"/>
        </w:trPr>
        <w:tc>
          <w:tcPr>
            <w:tcW w:w="1418" w:type="dxa"/>
            <w:vMerge/>
          </w:tcPr>
          <w:p w14:paraId="4422C1C8" w14:textId="77777777" w:rsidR="00D140F7" w:rsidRPr="00261B7A" w:rsidRDefault="00D140F7" w:rsidP="00844D13">
            <w:pPr>
              <w:pStyle w:val="TableText"/>
              <w:spacing w:before="40" w:after="40"/>
              <w:rPr>
                <w:rFonts w:eastAsia="Calibri"/>
              </w:rPr>
            </w:pPr>
          </w:p>
        </w:tc>
        <w:tc>
          <w:tcPr>
            <w:tcW w:w="2125" w:type="dxa"/>
            <w:shd w:val="clear" w:color="auto" w:fill="FFFFFF" w:themeFill="background1"/>
            <w:vAlign w:val="center"/>
          </w:tcPr>
          <w:p w14:paraId="0470E396" w14:textId="77777777" w:rsidR="00D140F7" w:rsidRPr="00261B7A" w:rsidRDefault="00D140F7" w:rsidP="00844D13">
            <w:pPr>
              <w:pStyle w:val="TableText"/>
              <w:spacing w:before="40" w:after="40"/>
              <w:rPr>
                <w:rFonts w:eastAsia="Calibri"/>
              </w:rPr>
            </w:pPr>
            <w:r w:rsidRPr="00261B7A">
              <w:rPr>
                <w:rFonts w:eastAsia="Calibri"/>
              </w:rPr>
              <w:t>Percentage difference in emissions estimates</w:t>
            </w:r>
          </w:p>
        </w:tc>
        <w:tc>
          <w:tcPr>
            <w:tcW w:w="680" w:type="dxa"/>
            <w:shd w:val="clear" w:color="auto" w:fill="FFFFFF" w:themeFill="background1"/>
            <w:vAlign w:val="center"/>
          </w:tcPr>
          <w:p w14:paraId="79D7A15E" w14:textId="77777777" w:rsidR="00D140F7" w:rsidRPr="00261B7A" w:rsidRDefault="00D140F7" w:rsidP="00844D13">
            <w:pPr>
              <w:pStyle w:val="TableText"/>
              <w:spacing w:before="40" w:after="40"/>
              <w:jc w:val="right"/>
              <w:rPr>
                <w:rFonts w:eastAsia="Calibri"/>
              </w:rPr>
            </w:pPr>
            <w:r w:rsidRPr="00261B7A">
              <w:rPr>
                <w:rFonts w:eastAsia="Calibri"/>
              </w:rPr>
              <w:t>–0.7</w:t>
            </w:r>
          </w:p>
        </w:tc>
        <w:tc>
          <w:tcPr>
            <w:tcW w:w="680" w:type="dxa"/>
            <w:shd w:val="clear" w:color="auto" w:fill="FFFFFF" w:themeFill="background1"/>
            <w:vAlign w:val="center"/>
          </w:tcPr>
          <w:p w14:paraId="605695F9" w14:textId="77777777" w:rsidR="00D140F7" w:rsidRPr="00261B7A" w:rsidRDefault="00D140F7" w:rsidP="00844D13">
            <w:pPr>
              <w:pStyle w:val="TableText"/>
              <w:spacing w:before="40" w:after="40"/>
              <w:jc w:val="right"/>
              <w:rPr>
                <w:rFonts w:eastAsia="Calibri"/>
              </w:rPr>
            </w:pPr>
            <w:r w:rsidRPr="00261B7A">
              <w:rPr>
                <w:rFonts w:eastAsia="Calibri"/>
              </w:rPr>
              <w:t>–1.3</w:t>
            </w:r>
          </w:p>
        </w:tc>
        <w:tc>
          <w:tcPr>
            <w:tcW w:w="1474" w:type="dxa"/>
            <w:shd w:val="clear" w:color="auto" w:fill="FFFFFF" w:themeFill="background1"/>
            <w:vAlign w:val="center"/>
          </w:tcPr>
          <w:p w14:paraId="74C450FD" w14:textId="77777777" w:rsidR="00D140F7" w:rsidRPr="00261B7A" w:rsidRDefault="00D140F7" w:rsidP="00844D13">
            <w:pPr>
              <w:pStyle w:val="TableText"/>
              <w:spacing w:before="40" w:after="40"/>
              <w:jc w:val="right"/>
              <w:rPr>
                <w:rFonts w:eastAsia="Calibri"/>
              </w:rPr>
            </w:pPr>
            <w:r w:rsidRPr="00261B7A">
              <w:rPr>
                <w:rFonts w:eastAsia="Calibri"/>
              </w:rPr>
              <w:t>NA</w:t>
            </w:r>
          </w:p>
        </w:tc>
        <w:tc>
          <w:tcPr>
            <w:tcW w:w="1531" w:type="dxa"/>
            <w:shd w:val="clear" w:color="auto" w:fill="FFFFFF" w:themeFill="background1"/>
            <w:vAlign w:val="center"/>
          </w:tcPr>
          <w:p w14:paraId="2A63EA74" w14:textId="77777777" w:rsidR="00D140F7" w:rsidRPr="00261B7A" w:rsidRDefault="00D140F7" w:rsidP="00844D13">
            <w:pPr>
              <w:pStyle w:val="TableText"/>
              <w:spacing w:before="40" w:after="40"/>
              <w:jc w:val="right"/>
              <w:rPr>
                <w:rFonts w:eastAsia="Calibri"/>
              </w:rPr>
            </w:pPr>
            <w:r w:rsidRPr="00261B7A">
              <w:rPr>
                <w:rFonts w:eastAsia="Calibri"/>
              </w:rPr>
              <w:t>NA</w:t>
            </w:r>
          </w:p>
        </w:tc>
      </w:tr>
    </w:tbl>
    <w:p w14:paraId="1327A33D" w14:textId="77777777" w:rsidR="00D140F7" w:rsidRPr="00261B7A" w:rsidRDefault="00D140F7" w:rsidP="0085003D">
      <w:pPr>
        <w:pStyle w:val="TableText"/>
        <w:spacing w:after="0"/>
        <w:rPr>
          <w:rFonts w:eastAsia="Calibri"/>
        </w:rPr>
      </w:pPr>
      <w:r w:rsidRPr="00261B7A">
        <w:rPr>
          <w:b/>
          <w:bCs/>
        </w:rPr>
        <w:t>Note</w:t>
      </w:r>
      <w:r w:rsidRPr="00261B7A">
        <w:t>: NA = not available.</w:t>
      </w:r>
    </w:p>
    <w:p w14:paraId="72AE1F91" w14:textId="77777777" w:rsidR="00D140F7" w:rsidRPr="00261B7A" w:rsidRDefault="00D140F7" w:rsidP="00D140F7">
      <w:pPr>
        <w:pStyle w:val="Heading5"/>
      </w:pPr>
      <w:r w:rsidRPr="00261B7A">
        <w:t>Use of non-pasture feed</w:t>
      </w:r>
    </w:p>
    <w:p w14:paraId="1CFDF7A9" w14:textId="77777777" w:rsidR="00D140F7" w:rsidRPr="00261B7A" w:rsidRDefault="00D140F7" w:rsidP="0085003D">
      <w:pPr>
        <w:pStyle w:val="BodyText"/>
        <w:spacing w:before="100" w:after="100"/>
      </w:pPr>
      <w:r w:rsidRPr="00261B7A">
        <w:t xml:space="preserve">Emissions estimates for </w:t>
      </w:r>
      <w:r w:rsidRPr="00261B7A">
        <w:rPr>
          <w:i/>
          <w:iCs/>
        </w:rPr>
        <w:t>Dairy cattle, Non-dairy</w:t>
      </w:r>
      <w:r w:rsidRPr="00261B7A">
        <w:t xml:space="preserve"> (beef)</w:t>
      </w:r>
      <w:r w:rsidRPr="00261B7A">
        <w:rPr>
          <w:i/>
          <w:iCs/>
        </w:rPr>
        <w:t xml:space="preserve"> cattle</w:t>
      </w:r>
      <w:r w:rsidRPr="00261B7A">
        <w:t xml:space="preserve"> and </w:t>
      </w:r>
      <w:r w:rsidRPr="00261B7A">
        <w:rPr>
          <w:i/>
          <w:iCs/>
        </w:rPr>
        <w:t>Sheep </w:t>
      </w:r>
      <w:r w:rsidRPr="00261B7A">
        <w:t xml:space="preserve">have been improved by </w:t>
      </w:r>
      <w:r w:rsidRPr="00261B7A">
        <w:rPr>
          <w:spacing w:val="-2"/>
        </w:rPr>
        <w:t>a methodological update to account for the use of non-pasture feed (Sangster, 2022). Previously</w:t>
      </w:r>
      <w:r w:rsidRPr="00261B7A">
        <w:t xml:space="preserve">, the inventory assumed that </w:t>
      </w:r>
      <w:r w:rsidRPr="00261B7A">
        <w:rPr>
          <w:i/>
          <w:iCs/>
        </w:rPr>
        <w:t xml:space="preserve">Dairy cattle, Non-dairy </w:t>
      </w:r>
      <w:r w:rsidRPr="00261B7A">
        <w:t xml:space="preserve">(beef) </w:t>
      </w:r>
      <w:r w:rsidRPr="00261B7A">
        <w:rPr>
          <w:i/>
          <w:iCs/>
        </w:rPr>
        <w:t>cattle</w:t>
      </w:r>
      <w:r w:rsidRPr="00261B7A">
        <w:t xml:space="preserve"> and </w:t>
      </w:r>
      <w:r w:rsidRPr="00261B7A">
        <w:rPr>
          <w:i/>
          <w:iCs/>
        </w:rPr>
        <w:t xml:space="preserve">Sheep </w:t>
      </w:r>
      <w:r w:rsidRPr="00261B7A">
        <w:t>consume only pasture to satisfy their energy requirements.</w:t>
      </w:r>
    </w:p>
    <w:p w14:paraId="5612DD25" w14:textId="77777777" w:rsidR="00D140F7" w:rsidRPr="00261B7A" w:rsidRDefault="00D140F7" w:rsidP="00D140F7">
      <w:pPr>
        <w:pStyle w:val="BodyText"/>
      </w:pPr>
      <w:r w:rsidRPr="00261B7A">
        <w:t>The use of non-pasture feed is accounted for by adjusting the current pasture feed quality values used in the inventory. Adjusted feed quality values are calculated using a weighted average dependent on the consumption of non-pasture feed by livestock.</w:t>
      </w:r>
      <w:r w:rsidRPr="00261B7A">
        <w:rPr>
          <w:rFonts w:eastAsia="Calibri" w:cs="Calibri"/>
        </w:rPr>
        <w:t xml:space="preserve"> This methodology does not account for changes to the amount of methane produced per unit of feed consumed (methane yield).</w:t>
      </w:r>
    </w:p>
    <w:p w14:paraId="2CBAAA9C" w14:textId="77777777" w:rsidR="00D140F7" w:rsidRPr="00261B7A" w:rsidRDefault="00D140F7" w:rsidP="00D140F7">
      <w:pPr>
        <w:pStyle w:val="BodyText"/>
        <w:rPr>
          <w:rFonts w:eastAsia="Calibri"/>
        </w:rPr>
      </w:pPr>
      <w:r w:rsidRPr="00261B7A">
        <w:rPr>
          <w:rFonts w:eastAsia="Calibri"/>
        </w:rPr>
        <w:t>The Agriculture inventory requires feed quality data to calculate methane and nitrous oxide emissions from dairy cattle, beef cattle, sheep and deer. For inventory purposes, there are three main components of feed quality:</w:t>
      </w:r>
    </w:p>
    <w:p w14:paraId="102FF82B" w14:textId="77777777" w:rsidR="00D140F7" w:rsidRPr="00F35F62" w:rsidRDefault="00D140F7" w:rsidP="00F35F62">
      <w:pPr>
        <w:pStyle w:val="Numberedparagraph"/>
        <w:numPr>
          <w:ilvl w:val="0"/>
          <w:numId w:val="37"/>
        </w:numPr>
        <w:rPr>
          <w:rFonts w:eastAsia="Calibri"/>
        </w:rPr>
      </w:pPr>
      <w:r w:rsidRPr="00F35F62">
        <w:rPr>
          <w:rFonts w:eastAsia="Calibri"/>
        </w:rPr>
        <w:t>metabolisable energy (ME), used to calculate dry-matter intake (DMI) and nitrogen intake</w:t>
      </w:r>
    </w:p>
    <w:p w14:paraId="1B5046C4" w14:textId="77777777" w:rsidR="00D140F7" w:rsidRPr="00261B7A" w:rsidRDefault="00D140F7" w:rsidP="00B85E7F">
      <w:pPr>
        <w:pStyle w:val="Numberedparagraph"/>
        <w:rPr>
          <w:rFonts w:eastAsia="Calibri"/>
        </w:rPr>
      </w:pPr>
      <w:r w:rsidRPr="00261B7A">
        <w:rPr>
          <w:rFonts w:eastAsia="Calibri"/>
        </w:rPr>
        <w:t>nitrogen (N%) content, used to calculate nitrogen intake and excretion</w:t>
      </w:r>
    </w:p>
    <w:p w14:paraId="71B78911" w14:textId="77777777" w:rsidR="00D140F7" w:rsidRPr="00261B7A" w:rsidRDefault="00D140F7" w:rsidP="00B85E7F">
      <w:pPr>
        <w:pStyle w:val="Numberedparagraph"/>
        <w:rPr>
          <w:rFonts w:eastAsia="Calibri"/>
        </w:rPr>
      </w:pPr>
      <w:r w:rsidRPr="00261B7A">
        <w:rPr>
          <w:rFonts w:eastAsia="Calibri"/>
        </w:rPr>
        <w:t>digestibility (DMD%), used to calculate faecal dry matter.</w:t>
      </w:r>
    </w:p>
    <w:p w14:paraId="29125666" w14:textId="77777777" w:rsidR="00D140F7" w:rsidRPr="00261B7A" w:rsidRDefault="00D140F7" w:rsidP="00D140F7">
      <w:pPr>
        <w:pStyle w:val="BodyText"/>
      </w:pPr>
      <w:r w:rsidRPr="00261B7A">
        <w:t>The feed quality values used for pasture are the values recommended by Giltrap and McNeill (2020). These pasture quality values were implemented in 2021, replacing values from research completed in the early 2000s (Litherland et al., 2002, and Ian Brooks (pers. comm.)). These are the same values used in the 2022 submission. The feed quality values used for non-pasture feed are recommended by Calvert (unpublished).</w:t>
      </w:r>
    </w:p>
    <w:p w14:paraId="3F895F65" w14:textId="77777777" w:rsidR="00D140F7" w:rsidRPr="00261B7A" w:rsidRDefault="00D140F7" w:rsidP="00D140F7">
      <w:pPr>
        <w:pStyle w:val="BodyText"/>
      </w:pPr>
      <w:r w:rsidRPr="00261B7A">
        <w:t xml:space="preserve">Activity data on the consumption of non-pasture feed by livestock are provided by DairyNZ (MPI, 2019) and AbacusBio (MPI, 2017, 2018b). </w:t>
      </w:r>
    </w:p>
    <w:p w14:paraId="141D8574" w14:textId="77777777" w:rsidR="00D140F7" w:rsidRPr="00261B7A" w:rsidRDefault="00D140F7" w:rsidP="00D140F7">
      <w:pPr>
        <w:pStyle w:val="BodyText"/>
      </w:pPr>
      <w:r w:rsidRPr="00261B7A">
        <w:t>The 10 most-used non-pasture feeds were included in the analysis. These accounted for 90 per cent of non-pasture feed consumed by dairy cattle in 2019. To reduce the complexity of the analysis, and in recognition of the uncertainty in the source data, less common feeds were aggregated and assumed to have the same feed quality as pasture. The above changes were recommended by the Panel at its meeting on 26 October 2022 and implemented in the 2023 submission.</w:t>
      </w:r>
    </w:p>
    <w:p w14:paraId="4B956BDC" w14:textId="77777777" w:rsidR="00D140F7" w:rsidRPr="00261B7A" w:rsidRDefault="00D140F7" w:rsidP="00D140F7">
      <w:pPr>
        <w:pStyle w:val="BodyText"/>
        <w:rPr>
          <w:rFonts w:eastAsia="Calibri"/>
        </w:rPr>
      </w:pPr>
      <w:r w:rsidRPr="00261B7A">
        <w:rPr>
          <w:rFonts w:eastAsia="Calibri"/>
        </w:rPr>
        <w:t xml:space="preserve">The </w:t>
      </w:r>
      <w:r w:rsidRPr="00261B7A">
        <w:t>implementation of the 2023 improvements reduced</w:t>
      </w:r>
      <w:r w:rsidRPr="00261B7A">
        <w:rPr>
          <w:rFonts w:eastAsia="Calibri"/>
        </w:rPr>
        <w:t xml:space="preserve"> emissions estimates from the Agriculture sector by 1.1 per cent (360.8 kt CO</w:t>
      </w:r>
      <w:r w:rsidRPr="00261B7A">
        <w:rPr>
          <w:rFonts w:eastAsia="Calibri"/>
          <w:sz w:val="17"/>
          <w:szCs w:val="17"/>
          <w:vertAlign w:val="subscript"/>
        </w:rPr>
        <w:t>2</w:t>
      </w:r>
      <w:r w:rsidRPr="00261B7A">
        <w:rPr>
          <w:rFonts w:eastAsia="Calibri"/>
        </w:rPr>
        <w:t>-e) in 1990 and 2.0 per cent (769.1 kt CO</w:t>
      </w:r>
      <w:r w:rsidRPr="00261B7A">
        <w:rPr>
          <w:rFonts w:eastAsia="Calibri"/>
          <w:sz w:val="17"/>
          <w:szCs w:val="17"/>
          <w:vertAlign w:val="subscript"/>
        </w:rPr>
        <w:t>2</w:t>
      </w:r>
      <w:r w:rsidRPr="00261B7A">
        <w:rPr>
          <w:rFonts w:eastAsia="Calibri"/>
        </w:rPr>
        <w:t>-e) in 2020 (see table 10.1.8).</w:t>
      </w:r>
    </w:p>
    <w:p w14:paraId="3E57C405" w14:textId="77777777" w:rsidR="00D140F7" w:rsidRPr="00261B7A" w:rsidRDefault="00D140F7" w:rsidP="00D140F7">
      <w:pPr>
        <w:pStyle w:val="Table"/>
      </w:pPr>
      <w:bookmarkStart w:id="2836" w:name="_Toc129781210"/>
      <w:bookmarkStart w:id="2837" w:name="_Toc130565745"/>
      <w:bookmarkStart w:id="2838" w:name="_Toc130565846"/>
      <w:bookmarkStart w:id="2839" w:name="_Toc131591490"/>
      <w:r w:rsidRPr="00261B7A">
        <w:t xml:space="preserve">Table 10.1.8 </w:t>
      </w:r>
      <w:r w:rsidRPr="00261B7A">
        <w:tab/>
        <w:t>Comparison of current and previous emissions estimates before and after the incorporation of supplementary feeds</w:t>
      </w:r>
      <w:bookmarkEnd w:id="2836"/>
      <w:bookmarkEnd w:id="2837"/>
      <w:bookmarkEnd w:id="2838"/>
      <w:bookmarkEnd w:id="2839"/>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ook w:val="0420" w:firstRow="1" w:lastRow="0" w:firstColumn="0" w:lastColumn="0" w:noHBand="0" w:noVBand="1"/>
      </w:tblPr>
      <w:tblGrid>
        <w:gridCol w:w="1417"/>
        <w:gridCol w:w="2334"/>
        <w:gridCol w:w="783"/>
        <w:gridCol w:w="837"/>
        <w:gridCol w:w="1600"/>
        <w:gridCol w:w="1534"/>
      </w:tblGrid>
      <w:tr w:rsidR="00D140F7" w:rsidRPr="00261B7A" w14:paraId="0136C3D9" w14:textId="77777777" w:rsidTr="00844D13">
        <w:trPr>
          <w:tblHeader/>
        </w:trPr>
        <w:tc>
          <w:tcPr>
            <w:tcW w:w="1437" w:type="dxa"/>
            <w:shd w:val="clear" w:color="auto" w:fill="1B556B" w:themeFill="text2"/>
            <w:vAlign w:val="bottom"/>
          </w:tcPr>
          <w:p w14:paraId="4807B946" w14:textId="77777777" w:rsidR="00D140F7" w:rsidRPr="00261B7A" w:rsidRDefault="00D140F7" w:rsidP="009C63CA">
            <w:pPr>
              <w:pStyle w:val="TableTextBold"/>
              <w:spacing w:before="40" w:after="40"/>
              <w:rPr>
                <w:noProof w:val="0"/>
                <w:color w:val="FFFFFF" w:themeColor="background1"/>
              </w:rPr>
            </w:pPr>
          </w:p>
        </w:tc>
        <w:tc>
          <w:tcPr>
            <w:tcW w:w="2391" w:type="dxa"/>
            <w:shd w:val="clear" w:color="auto" w:fill="1B556B" w:themeFill="text2"/>
            <w:vAlign w:val="bottom"/>
          </w:tcPr>
          <w:p w14:paraId="6B5B9AE1" w14:textId="77777777" w:rsidR="00D140F7" w:rsidRPr="00261B7A" w:rsidRDefault="00D140F7" w:rsidP="009C63CA">
            <w:pPr>
              <w:pStyle w:val="TableTextBold"/>
              <w:spacing w:before="40" w:after="40"/>
              <w:rPr>
                <w:noProof w:val="0"/>
                <w:color w:val="FFFFFF" w:themeColor="background1"/>
              </w:rPr>
            </w:pPr>
          </w:p>
        </w:tc>
        <w:tc>
          <w:tcPr>
            <w:tcW w:w="664" w:type="dxa"/>
            <w:shd w:val="clear" w:color="auto" w:fill="1B556B" w:themeFill="text2"/>
            <w:vAlign w:val="bottom"/>
          </w:tcPr>
          <w:p w14:paraId="34518B85" w14:textId="77777777" w:rsidR="00D140F7" w:rsidRPr="00261B7A" w:rsidRDefault="00D140F7" w:rsidP="009C63CA">
            <w:pPr>
              <w:pStyle w:val="TableTextBold"/>
              <w:spacing w:before="40" w:after="40"/>
              <w:jc w:val="right"/>
              <w:rPr>
                <w:noProof w:val="0"/>
                <w:color w:val="FFFFFF" w:themeColor="background1"/>
              </w:rPr>
            </w:pPr>
            <w:r w:rsidRPr="00261B7A">
              <w:rPr>
                <w:rFonts w:eastAsia="Calibri"/>
                <w:noProof w:val="0"/>
                <w:color w:val="FFFFFF" w:themeColor="background1"/>
              </w:rPr>
              <w:t>1990</w:t>
            </w:r>
          </w:p>
        </w:tc>
        <w:tc>
          <w:tcPr>
            <w:tcW w:w="839" w:type="dxa"/>
            <w:shd w:val="clear" w:color="auto" w:fill="1B556B" w:themeFill="text2"/>
            <w:vAlign w:val="bottom"/>
          </w:tcPr>
          <w:p w14:paraId="376248CE" w14:textId="77777777" w:rsidR="00D140F7" w:rsidRPr="00261B7A" w:rsidRDefault="00D140F7" w:rsidP="009C63CA">
            <w:pPr>
              <w:pStyle w:val="TableTextBold"/>
              <w:spacing w:before="40" w:after="40"/>
              <w:jc w:val="right"/>
              <w:rPr>
                <w:rFonts w:eastAsia="Calibri"/>
                <w:noProof w:val="0"/>
                <w:color w:val="FFFFFF" w:themeColor="background1"/>
              </w:rPr>
            </w:pPr>
            <w:r w:rsidRPr="00261B7A">
              <w:rPr>
                <w:rFonts w:eastAsia="Calibri"/>
                <w:noProof w:val="0"/>
                <w:color w:val="FFFFFF" w:themeColor="background1"/>
              </w:rPr>
              <w:t>2020</w:t>
            </w:r>
          </w:p>
        </w:tc>
        <w:tc>
          <w:tcPr>
            <w:tcW w:w="1617" w:type="dxa"/>
            <w:shd w:val="clear" w:color="auto" w:fill="1B556B" w:themeFill="text2"/>
            <w:vAlign w:val="bottom"/>
          </w:tcPr>
          <w:p w14:paraId="508FD85B" w14:textId="77777777" w:rsidR="00D140F7" w:rsidRPr="00261B7A" w:rsidRDefault="00D140F7" w:rsidP="009C63CA">
            <w:pPr>
              <w:pStyle w:val="TableTextBold"/>
              <w:spacing w:before="40" w:after="40"/>
              <w:jc w:val="right"/>
              <w:rPr>
                <w:noProof w:val="0"/>
                <w:color w:val="FFFFFF" w:themeColor="background1"/>
              </w:rPr>
            </w:pPr>
            <w:r w:rsidRPr="00261B7A">
              <w:rPr>
                <w:rFonts w:eastAsia="Calibri"/>
                <w:noProof w:val="0"/>
                <w:color w:val="FFFFFF" w:themeColor="background1"/>
              </w:rPr>
              <w:t>Change in emission outputs between 1990 and 2020 (kt CO</w:t>
            </w:r>
            <w:r w:rsidRPr="00261B7A">
              <w:rPr>
                <w:rFonts w:eastAsia="Calibri"/>
                <w:noProof w:val="0"/>
                <w:color w:val="FFFFFF" w:themeColor="background1"/>
                <w:vertAlign w:val="subscript"/>
              </w:rPr>
              <w:t>2</w:t>
            </w:r>
            <w:r w:rsidRPr="00261B7A">
              <w:rPr>
                <w:rFonts w:eastAsia="Calibri"/>
                <w:noProof w:val="0"/>
                <w:color w:val="FFFFFF" w:themeColor="background1"/>
              </w:rPr>
              <w:t>-e)</w:t>
            </w:r>
          </w:p>
        </w:tc>
        <w:tc>
          <w:tcPr>
            <w:tcW w:w="1557" w:type="dxa"/>
            <w:shd w:val="clear" w:color="auto" w:fill="1B556B" w:themeFill="text2"/>
            <w:vAlign w:val="bottom"/>
          </w:tcPr>
          <w:p w14:paraId="396C0CE0" w14:textId="20367836" w:rsidR="00D140F7" w:rsidRPr="00261B7A" w:rsidRDefault="00D140F7" w:rsidP="009C63CA">
            <w:pPr>
              <w:pStyle w:val="TableTextBold"/>
              <w:spacing w:before="40" w:after="40"/>
              <w:jc w:val="right"/>
              <w:rPr>
                <w:noProof w:val="0"/>
                <w:color w:val="FFFFFF" w:themeColor="background1"/>
              </w:rPr>
            </w:pPr>
            <w:r w:rsidRPr="00261B7A">
              <w:rPr>
                <w:rFonts w:eastAsia="Calibri"/>
                <w:noProof w:val="0"/>
                <w:color w:val="FFFFFF" w:themeColor="background1"/>
              </w:rPr>
              <w:t xml:space="preserve">Percentage change in emission outputs between </w:t>
            </w:r>
            <w:r w:rsidR="00844D13">
              <w:rPr>
                <w:rFonts w:eastAsia="Calibri"/>
                <w:noProof w:val="0"/>
                <w:color w:val="FFFFFF" w:themeColor="background1"/>
              </w:rPr>
              <w:br/>
            </w:r>
            <w:r w:rsidRPr="00261B7A">
              <w:rPr>
                <w:rFonts w:eastAsia="Calibri"/>
                <w:noProof w:val="0"/>
                <w:color w:val="FFFFFF" w:themeColor="background1"/>
              </w:rPr>
              <w:t>1990 and 2020 (%)</w:t>
            </w:r>
          </w:p>
        </w:tc>
      </w:tr>
      <w:tr w:rsidR="00D140F7" w:rsidRPr="00261B7A" w14:paraId="55F506A6" w14:textId="77777777" w:rsidTr="00844D13">
        <w:trPr>
          <w:trHeight w:val="300"/>
        </w:trPr>
        <w:tc>
          <w:tcPr>
            <w:tcW w:w="1437" w:type="dxa"/>
            <w:vMerge w:val="restart"/>
            <w:shd w:val="clear" w:color="auto" w:fill="FFFFFF" w:themeFill="background1"/>
            <w:vAlign w:val="center"/>
          </w:tcPr>
          <w:p w14:paraId="2D040079" w14:textId="77777777" w:rsidR="00D140F7" w:rsidRPr="00261B7A" w:rsidRDefault="00D140F7" w:rsidP="009C63CA">
            <w:pPr>
              <w:pStyle w:val="TableText"/>
              <w:spacing w:before="40" w:after="40"/>
            </w:pPr>
            <w:r w:rsidRPr="00261B7A">
              <w:rPr>
                <w:rFonts w:eastAsia="Calibri"/>
              </w:rPr>
              <w:t>Total emissions from Agriculture sector (kt CO</w:t>
            </w:r>
            <w:r w:rsidRPr="00261B7A">
              <w:rPr>
                <w:rFonts w:eastAsia="Calibri"/>
                <w:vertAlign w:val="subscript"/>
              </w:rPr>
              <w:t>2</w:t>
            </w:r>
            <w:r w:rsidRPr="00261B7A">
              <w:rPr>
                <w:rFonts w:eastAsia="Calibri"/>
              </w:rPr>
              <w:t>-e)</w:t>
            </w:r>
          </w:p>
        </w:tc>
        <w:tc>
          <w:tcPr>
            <w:tcW w:w="2391" w:type="dxa"/>
            <w:shd w:val="clear" w:color="auto" w:fill="FFFFFF" w:themeFill="background1"/>
            <w:vAlign w:val="center"/>
          </w:tcPr>
          <w:p w14:paraId="0D92F4FB" w14:textId="77777777" w:rsidR="00D140F7" w:rsidRPr="00261B7A" w:rsidRDefault="00D140F7" w:rsidP="009C63CA">
            <w:pPr>
              <w:pStyle w:val="TableText"/>
              <w:spacing w:before="40" w:after="40"/>
              <w:rPr>
                <w:rFonts w:eastAsiaTheme="minorEastAsia"/>
                <w:szCs w:val="16"/>
              </w:rPr>
            </w:pPr>
            <w:r w:rsidRPr="00261B7A">
              <w:rPr>
                <w:rFonts w:eastAsiaTheme="minorEastAsia"/>
                <w:szCs w:val="16"/>
              </w:rPr>
              <w:t>2023 (1990–2020) emissions estimate using pasture quality values</w:t>
            </w:r>
          </w:p>
        </w:tc>
        <w:tc>
          <w:tcPr>
            <w:tcW w:w="664" w:type="dxa"/>
            <w:shd w:val="clear" w:color="auto" w:fill="FFFFFF" w:themeFill="background1"/>
          </w:tcPr>
          <w:p w14:paraId="59CD0A0D" w14:textId="77777777" w:rsidR="00D140F7" w:rsidRPr="00261B7A" w:rsidRDefault="00D140F7" w:rsidP="00914759">
            <w:pPr>
              <w:pStyle w:val="TableText"/>
              <w:spacing w:before="40" w:after="40"/>
              <w:jc w:val="right"/>
              <w:rPr>
                <w:rFonts w:eastAsiaTheme="minorEastAsia"/>
                <w:color w:val="000000" w:themeColor="text1"/>
                <w:szCs w:val="16"/>
              </w:rPr>
            </w:pPr>
            <w:r w:rsidRPr="00261B7A">
              <w:rPr>
                <w:rFonts w:eastAsiaTheme="minorEastAsia"/>
                <w:color w:val="000000" w:themeColor="text1"/>
                <w:szCs w:val="16"/>
              </w:rPr>
              <w:t>33,672.8</w:t>
            </w:r>
          </w:p>
        </w:tc>
        <w:tc>
          <w:tcPr>
            <w:tcW w:w="839" w:type="dxa"/>
            <w:shd w:val="clear" w:color="auto" w:fill="FFFFFF" w:themeFill="background1"/>
          </w:tcPr>
          <w:p w14:paraId="2A077425" w14:textId="77777777" w:rsidR="00D140F7" w:rsidRPr="00261B7A" w:rsidRDefault="00D140F7" w:rsidP="00914759">
            <w:pPr>
              <w:pStyle w:val="TableText"/>
              <w:spacing w:before="40" w:after="40"/>
              <w:jc w:val="right"/>
              <w:rPr>
                <w:rFonts w:eastAsiaTheme="minorEastAsia"/>
                <w:color w:val="000000" w:themeColor="text1"/>
                <w:szCs w:val="16"/>
              </w:rPr>
            </w:pPr>
            <w:r w:rsidRPr="00261B7A">
              <w:rPr>
                <w:rFonts w:eastAsiaTheme="minorEastAsia"/>
                <w:color w:val="000000" w:themeColor="text1"/>
                <w:szCs w:val="16"/>
              </w:rPr>
              <w:t>39,129.3</w:t>
            </w:r>
          </w:p>
        </w:tc>
        <w:tc>
          <w:tcPr>
            <w:tcW w:w="1617" w:type="dxa"/>
            <w:shd w:val="clear" w:color="auto" w:fill="FFFFFF" w:themeFill="background1"/>
          </w:tcPr>
          <w:p w14:paraId="7AFF824F" w14:textId="77777777" w:rsidR="00D140F7" w:rsidRPr="00261B7A" w:rsidRDefault="00D140F7" w:rsidP="00914759">
            <w:pPr>
              <w:pStyle w:val="TableText"/>
              <w:spacing w:before="40" w:after="40"/>
              <w:jc w:val="right"/>
              <w:rPr>
                <w:rFonts w:eastAsiaTheme="minorEastAsia"/>
                <w:szCs w:val="16"/>
              </w:rPr>
            </w:pPr>
            <w:r w:rsidRPr="00261B7A">
              <w:rPr>
                <w:rFonts w:eastAsiaTheme="minorEastAsia"/>
                <w:szCs w:val="16"/>
              </w:rPr>
              <w:t>5,456.54,881.8</w:t>
            </w:r>
          </w:p>
        </w:tc>
        <w:tc>
          <w:tcPr>
            <w:tcW w:w="1557" w:type="dxa"/>
            <w:shd w:val="clear" w:color="auto" w:fill="FFFFFF" w:themeFill="background1"/>
          </w:tcPr>
          <w:p w14:paraId="37370CDB" w14:textId="77777777" w:rsidR="00D140F7" w:rsidRPr="00261B7A" w:rsidRDefault="00D140F7" w:rsidP="00914759">
            <w:pPr>
              <w:pStyle w:val="TableText"/>
              <w:spacing w:before="40" w:after="40"/>
              <w:jc w:val="right"/>
              <w:rPr>
                <w:rFonts w:eastAsiaTheme="minorEastAsia"/>
                <w:szCs w:val="16"/>
              </w:rPr>
            </w:pPr>
            <w:r w:rsidRPr="00261B7A">
              <w:rPr>
                <w:rFonts w:eastAsiaTheme="minorEastAsia"/>
                <w:szCs w:val="16"/>
              </w:rPr>
              <w:t>16.2</w:t>
            </w:r>
          </w:p>
        </w:tc>
      </w:tr>
      <w:tr w:rsidR="00D140F7" w:rsidRPr="00261B7A" w14:paraId="254E2206" w14:textId="77777777" w:rsidTr="00844D13">
        <w:trPr>
          <w:trHeight w:val="300"/>
        </w:trPr>
        <w:tc>
          <w:tcPr>
            <w:tcW w:w="1437" w:type="dxa"/>
            <w:vMerge/>
          </w:tcPr>
          <w:p w14:paraId="340CE705" w14:textId="77777777" w:rsidR="00D140F7" w:rsidRPr="00261B7A" w:rsidRDefault="00D140F7" w:rsidP="009C63CA">
            <w:pPr>
              <w:pStyle w:val="TableText"/>
              <w:spacing w:before="40" w:after="40"/>
            </w:pPr>
          </w:p>
        </w:tc>
        <w:tc>
          <w:tcPr>
            <w:tcW w:w="2391" w:type="dxa"/>
            <w:shd w:val="clear" w:color="auto" w:fill="FFFFFF" w:themeFill="background1"/>
            <w:vAlign w:val="center"/>
          </w:tcPr>
          <w:p w14:paraId="6E07870D" w14:textId="77777777" w:rsidR="00D140F7" w:rsidRPr="00261B7A" w:rsidRDefault="00D140F7" w:rsidP="009C63CA">
            <w:pPr>
              <w:pStyle w:val="TableText"/>
              <w:spacing w:before="40" w:after="40"/>
              <w:rPr>
                <w:rFonts w:eastAsiaTheme="minorEastAsia"/>
                <w:szCs w:val="16"/>
              </w:rPr>
            </w:pPr>
            <w:r w:rsidRPr="00261B7A">
              <w:rPr>
                <w:rFonts w:eastAsiaTheme="minorEastAsia"/>
                <w:szCs w:val="16"/>
              </w:rPr>
              <w:t>2023 (1990–2020) emissions estimate using adjusted feed quality values</w:t>
            </w:r>
          </w:p>
        </w:tc>
        <w:tc>
          <w:tcPr>
            <w:tcW w:w="664" w:type="dxa"/>
            <w:shd w:val="clear" w:color="auto" w:fill="FFFFFF" w:themeFill="background1"/>
          </w:tcPr>
          <w:p w14:paraId="31D4EE91" w14:textId="77777777" w:rsidR="00D140F7" w:rsidRPr="00261B7A" w:rsidRDefault="00D140F7" w:rsidP="00914759">
            <w:pPr>
              <w:pStyle w:val="TableText"/>
              <w:spacing w:before="40" w:after="40"/>
              <w:jc w:val="right"/>
              <w:rPr>
                <w:rFonts w:eastAsiaTheme="minorEastAsia"/>
                <w:color w:val="000000" w:themeColor="text1"/>
                <w:szCs w:val="16"/>
              </w:rPr>
            </w:pPr>
            <w:r w:rsidRPr="00261B7A">
              <w:rPr>
                <w:rFonts w:eastAsiaTheme="minorEastAsia"/>
                <w:color w:val="000000" w:themeColor="text1"/>
                <w:szCs w:val="16"/>
              </w:rPr>
              <w:t>33,312.0</w:t>
            </w:r>
          </w:p>
        </w:tc>
        <w:tc>
          <w:tcPr>
            <w:tcW w:w="839" w:type="dxa"/>
            <w:shd w:val="clear" w:color="auto" w:fill="FFFFFF" w:themeFill="background1"/>
          </w:tcPr>
          <w:p w14:paraId="50D0F96E" w14:textId="77777777" w:rsidR="00D140F7" w:rsidRPr="00261B7A" w:rsidRDefault="00D140F7" w:rsidP="00914759">
            <w:pPr>
              <w:pStyle w:val="TableText"/>
              <w:spacing w:before="40" w:after="40"/>
              <w:jc w:val="right"/>
              <w:rPr>
                <w:rFonts w:eastAsiaTheme="minorEastAsia"/>
                <w:color w:val="000000" w:themeColor="text1"/>
                <w:szCs w:val="16"/>
              </w:rPr>
            </w:pPr>
            <w:r w:rsidRPr="00261B7A">
              <w:rPr>
                <w:rFonts w:eastAsiaTheme="minorEastAsia"/>
                <w:color w:val="000000" w:themeColor="text1"/>
                <w:szCs w:val="16"/>
              </w:rPr>
              <w:t>38,360.2</w:t>
            </w:r>
          </w:p>
        </w:tc>
        <w:tc>
          <w:tcPr>
            <w:tcW w:w="1617" w:type="dxa"/>
            <w:shd w:val="clear" w:color="auto" w:fill="FFFFFF" w:themeFill="background1"/>
          </w:tcPr>
          <w:p w14:paraId="7BFDD91C" w14:textId="77777777" w:rsidR="00D140F7" w:rsidRPr="00261B7A" w:rsidRDefault="00D140F7" w:rsidP="00914759">
            <w:pPr>
              <w:pStyle w:val="TableText"/>
              <w:spacing w:before="40" w:after="40"/>
              <w:jc w:val="right"/>
              <w:rPr>
                <w:rFonts w:eastAsiaTheme="minorEastAsia"/>
                <w:szCs w:val="16"/>
              </w:rPr>
            </w:pPr>
            <w:r w:rsidRPr="00261B7A">
              <w:rPr>
                <w:rFonts w:eastAsiaTheme="minorEastAsia"/>
                <w:szCs w:val="16"/>
              </w:rPr>
              <w:t>5,048.1</w:t>
            </w:r>
          </w:p>
        </w:tc>
        <w:tc>
          <w:tcPr>
            <w:tcW w:w="1557" w:type="dxa"/>
            <w:shd w:val="clear" w:color="auto" w:fill="FFFFFF" w:themeFill="background1"/>
          </w:tcPr>
          <w:p w14:paraId="547EF371" w14:textId="77777777" w:rsidR="00D140F7" w:rsidRPr="00261B7A" w:rsidRDefault="00D140F7" w:rsidP="00914759">
            <w:pPr>
              <w:pStyle w:val="TableText"/>
              <w:spacing w:before="40" w:after="40"/>
              <w:jc w:val="right"/>
              <w:rPr>
                <w:rFonts w:eastAsiaTheme="minorEastAsia"/>
                <w:szCs w:val="16"/>
              </w:rPr>
            </w:pPr>
            <w:r w:rsidRPr="00261B7A">
              <w:rPr>
                <w:rFonts w:eastAsiaTheme="minorEastAsia"/>
                <w:szCs w:val="16"/>
              </w:rPr>
              <w:t>15.2</w:t>
            </w:r>
          </w:p>
        </w:tc>
      </w:tr>
      <w:tr w:rsidR="00D140F7" w:rsidRPr="00261B7A" w14:paraId="5956B864" w14:textId="77777777" w:rsidTr="00844D13">
        <w:trPr>
          <w:trHeight w:val="300"/>
        </w:trPr>
        <w:tc>
          <w:tcPr>
            <w:tcW w:w="1437" w:type="dxa"/>
            <w:vMerge/>
          </w:tcPr>
          <w:p w14:paraId="417C1034" w14:textId="77777777" w:rsidR="00D140F7" w:rsidRPr="00261B7A" w:rsidRDefault="00D140F7" w:rsidP="009C63CA">
            <w:pPr>
              <w:pStyle w:val="TableText"/>
              <w:spacing w:before="40" w:after="40"/>
            </w:pPr>
          </w:p>
        </w:tc>
        <w:tc>
          <w:tcPr>
            <w:tcW w:w="2391" w:type="dxa"/>
            <w:shd w:val="clear" w:color="auto" w:fill="FFFFFF" w:themeFill="background1"/>
            <w:vAlign w:val="center"/>
          </w:tcPr>
          <w:p w14:paraId="4F86746E" w14:textId="77777777" w:rsidR="00D140F7" w:rsidRPr="00261B7A" w:rsidRDefault="00D140F7" w:rsidP="009C63CA">
            <w:pPr>
              <w:pStyle w:val="TableText"/>
              <w:spacing w:before="40" w:after="40"/>
            </w:pPr>
            <w:r w:rsidRPr="00261B7A">
              <w:rPr>
                <w:rFonts w:eastAsia="Calibri"/>
              </w:rPr>
              <w:t>Difference in emissions estimates compared with current inventory</w:t>
            </w:r>
          </w:p>
        </w:tc>
        <w:tc>
          <w:tcPr>
            <w:tcW w:w="664" w:type="dxa"/>
            <w:shd w:val="clear" w:color="auto" w:fill="FFFFFF" w:themeFill="background1"/>
          </w:tcPr>
          <w:p w14:paraId="742D7C1F" w14:textId="77777777" w:rsidR="00D140F7" w:rsidRPr="00261B7A" w:rsidRDefault="00D140F7" w:rsidP="00914759">
            <w:pPr>
              <w:pStyle w:val="TableText"/>
              <w:spacing w:before="40" w:after="40"/>
              <w:jc w:val="right"/>
              <w:rPr>
                <w:rFonts w:eastAsiaTheme="minorEastAsia"/>
                <w:szCs w:val="16"/>
              </w:rPr>
            </w:pPr>
            <w:r w:rsidRPr="00261B7A">
              <w:rPr>
                <w:rFonts w:eastAsiaTheme="minorEastAsia"/>
                <w:szCs w:val="16"/>
              </w:rPr>
              <w:t>–360.8</w:t>
            </w:r>
          </w:p>
        </w:tc>
        <w:tc>
          <w:tcPr>
            <w:tcW w:w="839" w:type="dxa"/>
            <w:shd w:val="clear" w:color="auto" w:fill="FFFFFF" w:themeFill="background1"/>
          </w:tcPr>
          <w:p w14:paraId="0FFF9B23" w14:textId="77777777" w:rsidR="00D140F7" w:rsidRPr="00261B7A" w:rsidRDefault="00D140F7" w:rsidP="00914759">
            <w:pPr>
              <w:pStyle w:val="TableText"/>
              <w:spacing w:before="40" w:after="40"/>
              <w:jc w:val="right"/>
              <w:rPr>
                <w:rFonts w:eastAsiaTheme="minorEastAsia"/>
                <w:szCs w:val="16"/>
              </w:rPr>
            </w:pPr>
            <w:r w:rsidRPr="00261B7A">
              <w:rPr>
                <w:rFonts w:eastAsiaTheme="minorEastAsia"/>
                <w:szCs w:val="16"/>
              </w:rPr>
              <w:t>–769.1</w:t>
            </w:r>
          </w:p>
        </w:tc>
        <w:tc>
          <w:tcPr>
            <w:tcW w:w="1617" w:type="dxa"/>
            <w:shd w:val="clear" w:color="auto" w:fill="FFFFFF" w:themeFill="background1"/>
          </w:tcPr>
          <w:p w14:paraId="5BEF5A84" w14:textId="77777777" w:rsidR="00D140F7" w:rsidRPr="00261B7A" w:rsidRDefault="00D140F7" w:rsidP="00914759">
            <w:pPr>
              <w:pStyle w:val="TableText"/>
              <w:spacing w:before="40" w:after="40"/>
              <w:jc w:val="right"/>
              <w:rPr>
                <w:rFonts w:eastAsiaTheme="minorEastAsia"/>
                <w:szCs w:val="16"/>
              </w:rPr>
            </w:pPr>
            <w:r w:rsidRPr="00261B7A">
              <w:rPr>
                <w:rFonts w:eastAsiaTheme="minorEastAsia"/>
                <w:szCs w:val="16"/>
              </w:rPr>
              <w:t>–408.3</w:t>
            </w:r>
          </w:p>
        </w:tc>
        <w:tc>
          <w:tcPr>
            <w:tcW w:w="1557" w:type="dxa"/>
            <w:shd w:val="clear" w:color="auto" w:fill="FFFFFF" w:themeFill="background1"/>
          </w:tcPr>
          <w:p w14:paraId="08705AC4" w14:textId="77777777" w:rsidR="00D140F7" w:rsidRPr="00261B7A" w:rsidRDefault="00D140F7" w:rsidP="00914759">
            <w:pPr>
              <w:pStyle w:val="TableText"/>
              <w:spacing w:before="40" w:after="40"/>
              <w:jc w:val="right"/>
              <w:rPr>
                <w:rFonts w:asciiTheme="minorHAnsi" w:eastAsiaTheme="minorEastAsia" w:hAnsiTheme="minorHAnsi" w:cstheme="minorBidi"/>
              </w:rPr>
            </w:pPr>
            <w:r w:rsidRPr="00261B7A">
              <w:rPr>
                <w:rFonts w:asciiTheme="minorHAnsi" w:eastAsiaTheme="minorEastAsia" w:hAnsiTheme="minorHAnsi" w:cstheme="minorBidi"/>
              </w:rPr>
              <w:t>NA</w:t>
            </w:r>
          </w:p>
        </w:tc>
      </w:tr>
      <w:tr w:rsidR="00D140F7" w:rsidRPr="00261B7A" w14:paraId="1A58F188" w14:textId="77777777" w:rsidTr="00844D13">
        <w:trPr>
          <w:trHeight w:val="300"/>
        </w:trPr>
        <w:tc>
          <w:tcPr>
            <w:tcW w:w="1437" w:type="dxa"/>
            <w:vMerge/>
          </w:tcPr>
          <w:p w14:paraId="6EECAE17" w14:textId="77777777" w:rsidR="00D140F7" w:rsidRPr="00261B7A" w:rsidRDefault="00D140F7" w:rsidP="009C63CA">
            <w:pPr>
              <w:spacing w:before="40" w:after="40"/>
            </w:pPr>
          </w:p>
        </w:tc>
        <w:tc>
          <w:tcPr>
            <w:tcW w:w="2391" w:type="dxa"/>
            <w:shd w:val="clear" w:color="auto" w:fill="FFFFFF" w:themeFill="background1"/>
            <w:vAlign w:val="center"/>
          </w:tcPr>
          <w:p w14:paraId="08DF996D" w14:textId="77777777" w:rsidR="00D140F7" w:rsidRPr="00261B7A" w:rsidRDefault="00D140F7" w:rsidP="009C63CA">
            <w:pPr>
              <w:pStyle w:val="TableText"/>
              <w:spacing w:before="40" w:after="40"/>
            </w:pPr>
            <w:r w:rsidRPr="00261B7A">
              <w:rPr>
                <w:rFonts w:eastAsia="Calibri"/>
              </w:rPr>
              <w:t>Percentage difference in emissions estimates</w:t>
            </w:r>
          </w:p>
        </w:tc>
        <w:tc>
          <w:tcPr>
            <w:tcW w:w="664" w:type="dxa"/>
            <w:shd w:val="clear" w:color="auto" w:fill="FFFFFF" w:themeFill="background1"/>
          </w:tcPr>
          <w:p w14:paraId="050DA1D3" w14:textId="77777777" w:rsidR="00D140F7" w:rsidRPr="00261B7A" w:rsidRDefault="00D140F7" w:rsidP="00914759">
            <w:pPr>
              <w:pStyle w:val="TableText"/>
              <w:spacing w:before="40" w:after="40"/>
              <w:jc w:val="right"/>
              <w:rPr>
                <w:rFonts w:eastAsiaTheme="minorEastAsia"/>
                <w:szCs w:val="16"/>
              </w:rPr>
            </w:pPr>
            <w:r w:rsidRPr="00261B7A">
              <w:rPr>
                <w:rFonts w:eastAsiaTheme="minorEastAsia"/>
                <w:szCs w:val="16"/>
              </w:rPr>
              <w:t>–1.1</w:t>
            </w:r>
          </w:p>
        </w:tc>
        <w:tc>
          <w:tcPr>
            <w:tcW w:w="839" w:type="dxa"/>
            <w:shd w:val="clear" w:color="auto" w:fill="FFFFFF" w:themeFill="background1"/>
          </w:tcPr>
          <w:p w14:paraId="7705CA1B" w14:textId="77777777" w:rsidR="00D140F7" w:rsidRPr="00261B7A" w:rsidRDefault="00D140F7" w:rsidP="00914759">
            <w:pPr>
              <w:pStyle w:val="TableText"/>
              <w:spacing w:before="40" w:after="40"/>
              <w:jc w:val="right"/>
              <w:rPr>
                <w:rFonts w:eastAsiaTheme="minorEastAsia"/>
                <w:szCs w:val="16"/>
              </w:rPr>
            </w:pPr>
            <w:r w:rsidRPr="00261B7A">
              <w:rPr>
                <w:rFonts w:eastAsiaTheme="minorEastAsia"/>
                <w:szCs w:val="16"/>
              </w:rPr>
              <w:t>–2.0</w:t>
            </w:r>
          </w:p>
        </w:tc>
        <w:tc>
          <w:tcPr>
            <w:tcW w:w="1617" w:type="dxa"/>
            <w:shd w:val="clear" w:color="auto" w:fill="FFFFFF" w:themeFill="background1"/>
          </w:tcPr>
          <w:p w14:paraId="34275F53" w14:textId="77777777" w:rsidR="00D140F7" w:rsidRPr="00261B7A" w:rsidRDefault="00D140F7" w:rsidP="00914759">
            <w:pPr>
              <w:pStyle w:val="TableText"/>
              <w:spacing w:before="40" w:after="40"/>
              <w:jc w:val="right"/>
              <w:rPr>
                <w:rFonts w:asciiTheme="minorHAnsi" w:eastAsiaTheme="minorEastAsia" w:hAnsiTheme="minorHAnsi" w:cstheme="minorBidi"/>
              </w:rPr>
            </w:pPr>
            <w:r w:rsidRPr="00261B7A">
              <w:rPr>
                <w:rFonts w:asciiTheme="minorHAnsi" w:eastAsiaTheme="minorEastAsia" w:hAnsiTheme="minorHAnsi" w:cstheme="minorBidi"/>
              </w:rPr>
              <w:t>NA</w:t>
            </w:r>
          </w:p>
        </w:tc>
        <w:tc>
          <w:tcPr>
            <w:tcW w:w="1557" w:type="dxa"/>
            <w:shd w:val="clear" w:color="auto" w:fill="FFFFFF" w:themeFill="background1"/>
          </w:tcPr>
          <w:p w14:paraId="6580D42F" w14:textId="77777777" w:rsidR="00D140F7" w:rsidRPr="00261B7A" w:rsidRDefault="00D140F7" w:rsidP="00914759">
            <w:pPr>
              <w:pStyle w:val="TableText"/>
              <w:spacing w:before="40" w:after="40"/>
              <w:jc w:val="right"/>
              <w:rPr>
                <w:rFonts w:asciiTheme="minorHAnsi" w:eastAsiaTheme="minorEastAsia" w:hAnsiTheme="minorHAnsi" w:cstheme="minorBidi"/>
              </w:rPr>
            </w:pPr>
            <w:r w:rsidRPr="00261B7A">
              <w:rPr>
                <w:rFonts w:asciiTheme="minorHAnsi" w:eastAsiaTheme="minorEastAsia" w:hAnsiTheme="minorHAnsi" w:cstheme="minorBidi"/>
              </w:rPr>
              <w:t>NA</w:t>
            </w:r>
          </w:p>
        </w:tc>
      </w:tr>
    </w:tbl>
    <w:p w14:paraId="6136BBCE" w14:textId="77777777" w:rsidR="00D140F7" w:rsidRPr="00261B7A" w:rsidRDefault="00D140F7" w:rsidP="00D140F7">
      <w:pPr>
        <w:pStyle w:val="TableText"/>
        <w:rPr>
          <w:rFonts w:eastAsia="Calibri"/>
        </w:rPr>
      </w:pPr>
      <w:r w:rsidRPr="00261B7A">
        <w:rPr>
          <w:b/>
          <w:bCs/>
        </w:rPr>
        <w:t>Note</w:t>
      </w:r>
      <w:r w:rsidRPr="00261B7A">
        <w:t>: NA = not available.</w:t>
      </w:r>
    </w:p>
    <w:p w14:paraId="0BCFC008" w14:textId="77777777" w:rsidR="00D140F7" w:rsidRPr="00261B7A" w:rsidRDefault="00D140F7" w:rsidP="00D140F7">
      <w:pPr>
        <w:pStyle w:val="Heading5"/>
      </w:pPr>
      <w:r w:rsidRPr="00261B7A">
        <w:t>Minor error corrections to the Deer calculations and r</w:t>
      </w:r>
      <w:bookmarkStart w:id="2840" w:name="Xe81352e9f73ddbdd7915d3b0b385a342b64dea5"/>
      <w:bookmarkEnd w:id="2827"/>
      <w:r w:rsidRPr="00261B7A">
        <w:t>evision of agricultural statistics animal population estimates</w:t>
      </w:r>
    </w:p>
    <w:p w14:paraId="3C069F7D" w14:textId="77777777" w:rsidR="00D140F7" w:rsidRPr="00261B7A" w:rsidRDefault="00D140F7" w:rsidP="00D140F7">
      <w:pPr>
        <w:pStyle w:val="BodyText"/>
      </w:pPr>
      <w:r w:rsidRPr="00261B7A">
        <w:t xml:space="preserve">Emissions estimates for </w:t>
      </w:r>
      <w:r w:rsidRPr="00261B7A">
        <w:rPr>
          <w:i/>
        </w:rPr>
        <w:t xml:space="preserve">Deer </w:t>
      </w:r>
      <w:r w:rsidRPr="00261B7A">
        <w:t xml:space="preserve">have been improved through minor corrections to ensure the inventory calculations match the published methodology. </w:t>
      </w:r>
    </w:p>
    <w:p w14:paraId="65215B2B" w14:textId="77777777" w:rsidR="00D140F7" w:rsidRPr="00261B7A" w:rsidRDefault="00D140F7" w:rsidP="00D140F7">
      <w:pPr>
        <w:pStyle w:val="BodyText"/>
      </w:pPr>
      <w:r w:rsidRPr="00261B7A">
        <w:t>Revision and finalisation of agricultural animal population estimates data from Stats NZ can mean emissions estimates for the latest two years vary from the previous submission for certain source categories.</w:t>
      </w:r>
    </w:p>
    <w:p w14:paraId="4BB37BE1" w14:textId="77777777" w:rsidR="00D140F7" w:rsidRPr="00261B7A" w:rsidRDefault="00D140F7" w:rsidP="00D140F7">
      <w:pPr>
        <w:pStyle w:val="BodyText"/>
      </w:pPr>
      <w:r w:rsidRPr="00261B7A">
        <w:t>The calculation of emissions for the most recent year (2021) requires population estimates for 2022 that are only provisional at the time the inventory is compiled.</w:t>
      </w:r>
    </w:p>
    <w:p w14:paraId="3FA438DC" w14:textId="36358C29" w:rsidR="00D140F7" w:rsidRPr="00261B7A" w:rsidRDefault="00D140F7" w:rsidP="00D140F7">
      <w:pPr>
        <w:pStyle w:val="BodyText"/>
      </w:pPr>
      <w:r w:rsidRPr="00261B7A">
        <w:t>As part of Stats NZ’s work on the Agricultural Production Survey, the Ministry for Primary Industries (MPI) provides estimates in an ‘expectations report’ of what it expects the survey to</w:t>
      </w:r>
      <w:r w:rsidR="00C71589">
        <w:t> </w:t>
      </w:r>
      <w:r w:rsidRPr="00261B7A">
        <w:t>show. These estimates are based on a range of sources, including Beef + Lamb NZ and livestock slaughter statistics. The primary purpose of these data is to provide Stats NZ with a benchmark for its aggregated survey responses. These figures can change after receiving final animal numbers and data. The final figures will be taken into account in the 2024 (1990 to 2022) inventory submission.</w:t>
      </w:r>
    </w:p>
    <w:p w14:paraId="1A262CC3" w14:textId="77777777" w:rsidR="00D140F7" w:rsidRPr="00261B7A" w:rsidRDefault="00D140F7" w:rsidP="00D140F7">
      <w:pPr>
        <w:pStyle w:val="BodyText"/>
      </w:pPr>
      <w:r w:rsidRPr="00261B7A">
        <w:t xml:space="preserve">The 2021 to 2022 New Zealand Dairy Statistics from the Livestock Improvement Corporation </w:t>
      </w:r>
      <w:r w:rsidRPr="00261B7A">
        <w:rPr>
          <w:spacing w:val="-2"/>
        </w:rPr>
        <w:t>were not available in time to be used for the 2023 submission, therefore, values were estimated</w:t>
      </w:r>
      <w:r w:rsidRPr="00261B7A">
        <w:t xml:space="preserve"> from other sources and historical records. These values will be revised for the 2024 submission because the Livestock Improvement Corporation data will be available at the end of 2023. </w:t>
      </w:r>
    </w:p>
    <w:p w14:paraId="458FEA57" w14:textId="77777777" w:rsidR="00D140F7" w:rsidRPr="00261B7A" w:rsidRDefault="00D140F7" w:rsidP="00D140F7">
      <w:pPr>
        <w:pStyle w:val="Figure"/>
      </w:pPr>
      <w:bookmarkStart w:id="2841" w:name="_Toc99696071"/>
      <w:bookmarkStart w:id="2842" w:name="_Toc129781235"/>
      <w:bookmarkStart w:id="2843" w:name="_Toc130565769"/>
      <w:bookmarkStart w:id="2844" w:name="_Toc131591593"/>
      <w:r w:rsidRPr="00261B7A">
        <w:t>Figure 10.1.4</w:t>
      </w:r>
      <w:r w:rsidRPr="00261B7A">
        <w:tab/>
        <w:t>Effect of recalculations on emissions estimates from New Zealand’s Agriculture sector</w:t>
      </w:r>
      <w:r w:rsidRPr="00261B7A">
        <w:br/>
        <w:t>from 1990 to 2020</w:t>
      </w:r>
      <w:bookmarkEnd w:id="2841"/>
      <w:bookmarkEnd w:id="2842"/>
      <w:bookmarkEnd w:id="2843"/>
      <w:bookmarkEnd w:id="2844"/>
    </w:p>
    <w:p w14:paraId="3D1DD99B" w14:textId="77777777" w:rsidR="00D140F7" w:rsidRPr="00261B7A" w:rsidRDefault="00D140F7" w:rsidP="00D140F7">
      <w:pPr>
        <w:pStyle w:val="BodyText"/>
        <w:spacing w:before="80"/>
        <w:jc w:val="center"/>
      </w:pPr>
      <w:r w:rsidRPr="00261B7A">
        <w:rPr>
          <w:noProof/>
        </w:rPr>
        <w:drawing>
          <wp:inline distT="0" distB="0" distL="0" distR="0" wp14:anchorId="1DB4F465" wp14:editId="42108016">
            <wp:extent cx="4166235" cy="3387256"/>
            <wp:effectExtent l="0" t="0" r="5715" b="3810"/>
            <wp:docPr id="58" name="Picture 58"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35" name="Picture" descr="Chart, line chart&#10;&#10;Description automatically generated"/>
                    <pic:cNvPicPr>
                      <a:picLocks noChangeAspect="1" noChangeArrowheads="1"/>
                    </pic:cNvPicPr>
                  </pic:nvPicPr>
                  <pic:blipFill rotWithShape="1">
                    <a:blip r:embed="rId271"/>
                    <a:srcRect b="1807"/>
                    <a:stretch/>
                  </pic:blipFill>
                  <pic:spPr bwMode="auto">
                    <a:xfrm>
                      <a:off x="0" y="0"/>
                      <a:ext cx="4189671" cy="3406310"/>
                    </a:xfrm>
                    <a:prstGeom prst="rect">
                      <a:avLst/>
                    </a:prstGeom>
                    <a:noFill/>
                    <a:ln>
                      <a:noFill/>
                    </a:ln>
                    <a:extLst>
                      <a:ext uri="{53640926-AAD7-44D8-BBD7-CCE9431645EC}">
                        <a14:shadowObscured xmlns:a14="http://schemas.microsoft.com/office/drawing/2010/main"/>
                      </a:ext>
                    </a:extLst>
                  </pic:spPr>
                </pic:pic>
              </a:graphicData>
            </a:graphic>
          </wp:inline>
        </w:drawing>
      </w:r>
    </w:p>
    <w:p w14:paraId="3D31EC85" w14:textId="77777777" w:rsidR="00D140F7" w:rsidRPr="00261B7A" w:rsidRDefault="00D140F7" w:rsidP="00D140F7">
      <w:pPr>
        <w:pStyle w:val="Heading3"/>
      </w:pPr>
      <w:bookmarkStart w:id="2845" w:name="land-use-land-use-change-and-forestry"/>
      <w:bookmarkEnd w:id="2819"/>
      <w:bookmarkEnd w:id="2840"/>
      <w:r w:rsidRPr="00261B7A">
        <w:t xml:space="preserve">10.1.4 </w:t>
      </w:r>
      <w:r w:rsidRPr="00261B7A">
        <w:tab/>
        <w:t>Land Use, Land-Use Change and Forestry</w:t>
      </w:r>
    </w:p>
    <w:p w14:paraId="3F4B82A8" w14:textId="77036913" w:rsidR="00D140F7" w:rsidRPr="00261B7A" w:rsidRDefault="00D140F7" w:rsidP="00E54129">
      <w:pPr>
        <w:pStyle w:val="BodyText"/>
        <w:spacing w:before="80" w:after="100"/>
      </w:pPr>
      <w:r w:rsidRPr="00261B7A">
        <w:t>Improvements made to the LULUCF sector have resulted in a 5.</w:t>
      </w:r>
      <w:r w:rsidR="003548B1">
        <w:t>0</w:t>
      </w:r>
      <w:r w:rsidRPr="00261B7A">
        <w:t xml:space="preserve"> per cent (1,058.0 kt CO</w:t>
      </w:r>
      <w:r w:rsidRPr="00261B7A">
        <w:rPr>
          <w:vertAlign w:val="subscript"/>
        </w:rPr>
        <w:t>2</w:t>
      </w:r>
      <w:r w:rsidRPr="00261B7A">
        <w:rPr>
          <w:rFonts w:ascii="Cambria Math" w:hAnsi="Cambria Math" w:cs="Cambria Math"/>
        </w:rPr>
        <w:t>‑</w:t>
      </w:r>
      <w:r w:rsidRPr="00261B7A">
        <w:t>e) decrease in estimated net LULUCF removals in 1990 and a 0.3 per cent (71.2 kt CO</w:t>
      </w:r>
      <w:r w:rsidRPr="00261B7A">
        <w:rPr>
          <w:vertAlign w:val="subscript"/>
        </w:rPr>
        <w:t>2</w:t>
      </w:r>
      <w:r w:rsidRPr="00261B7A">
        <w:t>-e) decrease in estimated net LULUCF removals in 2020 (figure 10.1.5).</w:t>
      </w:r>
    </w:p>
    <w:p w14:paraId="4EE046CA" w14:textId="77777777" w:rsidR="00D140F7" w:rsidRPr="00261B7A" w:rsidRDefault="00D140F7" w:rsidP="00E54129">
      <w:pPr>
        <w:pStyle w:val="Figure"/>
        <w:spacing w:after="80"/>
      </w:pPr>
      <w:bookmarkStart w:id="2846" w:name="_Toc99696072"/>
      <w:bookmarkStart w:id="2847" w:name="_Toc129781236"/>
      <w:bookmarkStart w:id="2848" w:name="_Toc130565770"/>
      <w:bookmarkStart w:id="2849" w:name="_Toc131591594"/>
      <w:r w:rsidRPr="00261B7A">
        <w:rPr>
          <w:bCs/>
        </w:rPr>
        <w:t>Figure 10.1.5</w:t>
      </w:r>
      <w:r w:rsidRPr="00261B7A">
        <w:rPr>
          <w:bCs/>
        </w:rPr>
        <w:tab/>
        <w:t>Effect of recalculations on net emissions estimates from New Zealand’s LULUCF sector</w:t>
      </w:r>
      <w:r w:rsidRPr="00261B7A">
        <w:rPr>
          <w:bCs/>
        </w:rPr>
        <w:br/>
        <w:t>from 1990 to 2020</w:t>
      </w:r>
      <w:bookmarkEnd w:id="2846"/>
      <w:bookmarkEnd w:id="2847"/>
      <w:bookmarkEnd w:id="2848"/>
      <w:bookmarkEnd w:id="2849"/>
    </w:p>
    <w:p w14:paraId="0D089278" w14:textId="77777777" w:rsidR="00D140F7" w:rsidRPr="00261B7A" w:rsidRDefault="00D140F7" w:rsidP="00D140F7">
      <w:pPr>
        <w:pStyle w:val="BodyText"/>
        <w:jc w:val="center"/>
      </w:pPr>
      <w:r w:rsidRPr="00261B7A">
        <w:rPr>
          <w:noProof/>
        </w:rPr>
        <w:drawing>
          <wp:inline distT="0" distB="0" distL="0" distR="0" wp14:anchorId="0E0EAB14" wp14:editId="63C5E4FF">
            <wp:extent cx="4256545" cy="3124862"/>
            <wp:effectExtent l="0" t="0" r="0" b="0"/>
            <wp:docPr id="59" name="Picture 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rotWithShape="1">
                    <a:blip r:embed="rId272" cstate="print">
                      <a:extLst>
                        <a:ext uri="{28A0092B-C50C-407E-A947-70E740481C1C}">
                          <a14:useLocalDpi xmlns:a14="http://schemas.microsoft.com/office/drawing/2010/main" val="0"/>
                        </a:ext>
                      </a:extLst>
                    </a:blip>
                    <a:srcRect b="2116"/>
                    <a:stretch/>
                  </pic:blipFill>
                  <pic:spPr bwMode="auto">
                    <a:xfrm>
                      <a:off x="0" y="0"/>
                      <a:ext cx="4278790" cy="3141193"/>
                    </a:xfrm>
                    <a:prstGeom prst="rect">
                      <a:avLst/>
                    </a:prstGeom>
                    <a:ln>
                      <a:noFill/>
                    </a:ln>
                    <a:extLst>
                      <a:ext uri="{53640926-AAD7-44D8-BBD7-CCE9431645EC}">
                        <a14:shadowObscured xmlns:a14="http://schemas.microsoft.com/office/drawing/2010/main"/>
                      </a:ext>
                    </a:extLst>
                  </pic:spPr>
                </pic:pic>
              </a:graphicData>
            </a:graphic>
          </wp:inline>
        </w:drawing>
      </w:r>
    </w:p>
    <w:p w14:paraId="1CE7CC54" w14:textId="77777777" w:rsidR="00D140F7" w:rsidRPr="00261B7A" w:rsidRDefault="00D140F7" w:rsidP="00D140F7">
      <w:pPr>
        <w:pStyle w:val="Noteundertable"/>
      </w:pPr>
      <w:r w:rsidRPr="00261B7A">
        <w:rPr>
          <w:b/>
          <w:bCs/>
        </w:rPr>
        <w:t>Note:</w:t>
      </w:r>
      <w:r w:rsidRPr="00261B7A">
        <w:tab/>
        <w:t>Net emissions are expressed as a negative value to clarify that the value is a removal and not an emission.</w:t>
      </w:r>
    </w:p>
    <w:p w14:paraId="039677FA" w14:textId="098F1B1A" w:rsidR="00D140F7" w:rsidRPr="00261B7A" w:rsidRDefault="00D140F7" w:rsidP="00E54129">
      <w:pPr>
        <w:pStyle w:val="BodyText"/>
        <w:spacing w:before="80"/>
      </w:pPr>
      <w:r w:rsidRPr="00261B7A">
        <w:t>Significant improvements to the 2023 submission for the LULUCF sector are summarised in table 10.1.</w:t>
      </w:r>
      <w:r w:rsidR="00ED646C">
        <w:t>9</w:t>
      </w:r>
      <w:r w:rsidRPr="00261B7A">
        <w:t>. Further details on these changes are given in chapter 6.</w:t>
      </w:r>
    </w:p>
    <w:p w14:paraId="3E8573E8" w14:textId="77777777" w:rsidR="00D140F7" w:rsidRPr="00261B7A" w:rsidRDefault="00D140F7" w:rsidP="00D140F7">
      <w:pPr>
        <w:pStyle w:val="Table"/>
      </w:pPr>
      <w:bookmarkStart w:id="2850" w:name="_Toc99659377"/>
      <w:bookmarkStart w:id="2851" w:name="_Toc129781211"/>
      <w:bookmarkStart w:id="2852" w:name="_Toc130565746"/>
      <w:bookmarkStart w:id="2853" w:name="_Toc130565847"/>
      <w:bookmarkStart w:id="2854" w:name="_Toc131591491"/>
      <w:r w:rsidRPr="00261B7A">
        <w:t>Table 10.1.9</w:t>
      </w:r>
      <w:r w:rsidRPr="00261B7A">
        <w:tab/>
        <w:t>Explanations and justifications for recalculations in the LULUCF sector</w:t>
      </w:r>
      <w:bookmarkEnd w:id="2850"/>
      <w:bookmarkEnd w:id="2851"/>
      <w:bookmarkEnd w:id="2852"/>
      <w:bookmarkEnd w:id="2853"/>
      <w:bookmarkEnd w:id="2854"/>
    </w:p>
    <w:tbl>
      <w:tblPr>
        <w:tblW w:w="8505" w:type="dxa"/>
        <w:tblBorders>
          <w:top w:val="single" w:sz="4" w:space="0" w:color="1B556B"/>
          <w:bottom w:val="single" w:sz="4" w:space="0" w:color="1B556B"/>
          <w:insideH w:val="single" w:sz="4" w:space="0" w:color="1B556B"/>
        </w:tblBorders>
        <w:tblCellMar>
          <w:right w:w="85" w:type="dxa"/>
        </w:tblCellMar>
        <w:tblLook w:val="0420" w:firstRow="1" w:lastRow="0" w:firstColumn="0" w:lastColumn="0" w:noHBand="0" w:noVBand="1"/>
      </w:tblPr>
      <w:tblGrid>
        <w:gridCol w:w="5137"/>
        <w:gridCol w:w="1229"/>
        <w:gridCol w:w="2139"/>
      </w:tblGrid>
      <w:tr w:rsidR="00D140F7" w:rsidRPr="00261B7A" w14:paraId="5301A2C6" w14:textId="77777777" w:rsidTr="00E54129">
        <w:trPr>
          <w:tblHeader/>
        </w:trPr>
        <w:tc>
          <w:tcPr>
            <w:tcW w:w="0" w:type="auto"/>
            <w:shd w:val="clear" w:color="auto" w:fill="1B556B"/>
            <w:vAlign w:val="bottom"/>
          </w:tcPr>
          <w:p w14:paraId="20BC6D11" w14:textId="77777777" w:rsidR="00D140F7" w:rsidRPr="00261B7A" w:rsidRDefault="00D140F7" w:rsidP="00E54129">
            <w:pPr>
              <w:pStyle w:val="TableTextBold"/>
              <w:spacing w:before="40" w:after="40"/>
              <w:rPr>
                <w:noProof w:val="0"/>
                <w:color w:val="FFFFFF"/>
              </w:rPr>
            </w:pPr>
            <w:r w:rsidRPr="00261B7A">
              <w:rPr>
                <w:rFonts w:eastAsia="Calibri"/>
                <w:noProof w:val="0"/>
                <w:color w:val="FFFFFF"/>
              </w:rPr>
              <w:t>Explanation of recalculation</w:t>
            </w:r>
          </w:p>
        </w:tc>
        <w:tc>
          <w:tcPr>
            <w:tcW w:w="0" w:type="auto"/>
            <w:shd w:val="clear" w:color="auto" w:fill="1B556B"/>
            <w:vAlign w:val="bottom"/>
          </w:tcPr>
          <w:p w14:paraId="77B0DA39" w14:textId="77777777" w:rsidR="00D140F7" w:rsidRPr="00261B7A" w:rsidRDefault="00D140F7" w:rsidP="00E54129">
            <w:pPr>
              <w:pStyle w:val="TableTextBold"/>
              <w:spacing w:before="40" w:after="40"/>
              <w:rPr>
                <w:noProof w:val="0"/>
                <w:color w:val="FFFFFF"/>
              </w:rPr>
            </w:pPr>
            <w:r w:rsidRPr="00261B7A">
              <w:rPr>
                <w:rFonts w:eastAsia="Calibri"/>
                <w:noProof w:val="0"/>
                <w:color w:val="FFFFFF"/>
              </w:rPr>
              <w:t>Underpinning IPCC principle</w:t>
            </w:r>
          </w:p>
        </w:tc>
        <w:tc>
          <w:tcPr>
            <w:tcW w:w="0" w:type="auto"/>
            <w:shd w:val="clear" w:color="auto" w:fill="1B556B"/>
            <w:vAlign w:val="bottom"/>
          </w:tcPr>
          <w:p w14:paraId="56B0AD9F" w14:textId="77777777" w:rsidR="00D140F7" w:rsidRPr="00261B7A" w:rsidRDefault="00D140F7" w:rsidP="00E54129">
            <w:pPr>
              <w:pStyle w:val="TableTextBold"/>
              <w:spacing w:before="40" w:after="40"/>
              <w:rPr>
                <w:noProof w:val="0"/>
                <w:color w:val="FFFFFF"/>
              </w:rPr>
            </w:pPr>
            <w:r w:rsidRPr="00261B7A">
              <w:rPr>
                <w:rFonts w:eastAsia="Calibri"/>
                <w:noProof w:val="0"/>
                <w:color w:val="FFFFFF"/>
              </w:rPr>
              <w:t>Additional justification</w:t>
            </w:r>
          </w:p>
        </w:tc>
      </w:tr>
      <w:tr w:rsidR="00D140F7" w:rsidRPr="00261B7A" w14:paraId="4E3786AB" w14:textId="77777777" w:rsidTr="00E54129">
        <w:tc>
          <w:tcPr>
            <w:tcW w:w="0" w:type="auto"/>
            <w:shd w:val="clear" w:color="auto" w:fill="FFFFFF" w:themeFill="background1"/>
          </w:tcPr>
          <w:p w14:paraId="00CE62FF" w14:textId="77777777" w:rsidR="00D140F7" w:rsidRPr="00261B7A" w:rsidRDefault="00D140F7" w:rsidP="00E54129">
            <w:pPr>
              <w:pStyle w:val="TableText"/>
              <w:spacing w:before="40" w:after="40"/>
            </w:pPr>
            <w:r w:rsidRPr="00261B7A">
              <w:t>Improvements to the method used to estimate deforestation for unmapped years has led to an increase in the estimated deforestation area for 2020. The overall net impact of this change to the LULUCF sector is an increase of 209 kt CO</w:t>
            </w:r>
            <w:r w:rsidRPr="00261B7A">
              <w:rPr>
                <w:vertAlign w:val="subscript"/>
              </w:rPr>
              <w:t>2</w:t>
            </w:r>
            <w:r w:rsidRPr="00261B7A">
              <w:t xml:space="preserve">-e in 2020. This improvement is also largely responsible for the 41.2 per cent increase in emissions reported in the </w:t>
            </w:r>
            <w:r w:rsidRPr="00261B7A">
              <w:rPr>
                <w:i/>
              </w:rPr>
              <w:t>Grassland</w:t>
            </w:r>
            <w:r w:rsidRPr="00261B7A">
              <w:t xml:space="preserve"> category for 2020 (given most deforested land is converted to grassland) (further detail is provided in chapter 6, section 6.3.5).</w:t>
            </w:r>
          </w:p>
        </w:tc>
        <w:tc>
          <w:tcPr>
            <w:tcW w:w="0" w:type="auto"/>
            <w:shd w:val="clear" w:color="auto" w:fill="FFFFFF" w:themeFill="background1"/>
          </w:tcPr>
          <w:p w14:paraId="08B874AE" w14:textId="77777777" w:rsidR="00D140F7" w:rsidRPr="00261B7A" w:rsidRDefault="00D140F7" w:rsidP="00E54129">
            <w:pPr>
              <w:pStyle w:val="TableText"/>
              <w:spacing w:before="40" w:after="40"/>
            </w:pPr>
            <w:r w:rsidRPr="00261B7A">
              <w:rPr>
                <w:rFonts w:eastAsia="Calibri"/>
              </w:rPr>
              <w:t>Accuracy</w:t>
            </w:r>
          </w:p>
        </w:tc>
        <w:tc>
          <w:tcPr>
            <w:tcW w:w="0" w:type="auto"/>
            <w:shd w:val="clear" w:color="auto" w:fill="FFFFFF" w:themeFill="background1"/>
          </w:tcPr>
          <w:p w14:paraId="2760F8DA" w14:textId="77777777" w:rsidR="00D140F7" w:rsidRPr="00261B7A" w:rsidRDefault="00D140F7" w:rsidP="00E54129">
            <w:pPr>
              <w:pStyle w:val="TableText"/>
              <w:spacing w:before="40" w:after="40"/>
            </w:pPr>
            <w:r w:rsidRPr="00261B7A">
              <w:rPr>
                <w:rFonts w:eastAsia="Calibri"/>
              </w:rPr>
              <w:t>Additional data available; key category improvement (</w:t>
            </w:r>
            <w:r w:rsidRPr="00261B7A">
              <w:rPr>
                <w:rFonts w:eastAsia="Calibri"/>
                <w:i/>
              </w:rPr>
              <w:t>Land converted to grassland</w:t>
            </w:r>
            <w:r w:rsidRPr="00261B7A">
              <w:rPr>
                <w:rFonts w:eastAsia="Calibri"/>
              </w:rPr>
              <w:t>)</w:t>
            </w:r>
          </w:p>
        </w:tc>
      </w:tr>
      <w:tr w:rsidR="00D140F7" w:rsidRPr="00261B7A" w14:paraId="67DBCD74" w14:textId="77777777" w:rsidTr="00E54129">
        <w:tc>
          <w:tcPr>
            <w:tcW w:w="0" w:type="auto"/>
            <w:shd w:val="clear" w:color="auto" w:fill="FFFFFF" w:themeFill="background1"/>
          </w:tcPr>
          <w:p w14:paraId="43362A8C" w14:textId="77777777" w:rsidR="00D140F7" w:rsidRPr="00261B7A" w:rsidRDefault="00D140F7" w:rsidP="00E54129">
            <w:pPr>
              <w:pStyle w:val="TableText"/>
              <w:spacing w:before="40" w:after="40"/>
              <w:rPr>
                <w:lang w:eastAsia="en-US"/>
              </w:rPr>
            </w:pPr>
            <w:r w:rsidRPr="00261B7A">
              <w:t>A range of modelling procedures has been improved to ensure consistency of treatment of harvesting and deforestation activities between pre-1990 and post-1989 planted forests. Further detail is described in chapter 6, section 6.3.6. The overall net impact of this change to the LULUCF sector is a decrease of 106 kt CO</w:t>
            </w:r>
            <w:r w:rsidRPr="00261B7A">
              <w:rPr>
                <w:vertAlign w:val="subscript"/>
              </w:rPr>
              <w:t>2</w:t>
            </w:r>
            <w:r w:rsidRPr="00261B7A">
              <w:t>-e in 2020 emissions and a decrease of 987 kt CO</w:t>
            </w:r>
            <w:r w:rsidRPr="00261B7A">
              <w:rPr>
                <w:vertAlign w:val="subscript"/>
              </w:rPr>
              <w:t>2</w:t>
            </w:r>
            <w:r w:rsidRPr="00261B7A">
              <w:noBreakHyphen/>
              <w:t>e in 1990.</w:t>
            </w:r>
          </w:p>
        </w:tc>
        <w:tc>
          <w:tcPr>
            <w:tcW w:w="0" w:type="auto"/>
            <w:shd w:val="clear" w:color="auto" w:fill="FFFFFF" w:themeFill="background1"/>
          </w:tcPr>
          <w:p w14:paraId="100B058B" w14:textId="77777777" w:rsidR="00D140F7" w:rsidRPr="00261B7A" w:rsidRDefault="00D140F7" w:rsidP="00E54129">
            <w:pPr>
              <w:pStyle w:val="TableText"/>
              <w:spacing w:before="40" w:after="40"/>
            </w:pPr>
            <w:r w:rsidRPr="00261B7A">
              <w:rPr>
                <w:rFonts w:eastAsia="Calibri"/>
              </w:rPr>
              <w:t>Accuracy</w:t>
            </w:r>
          </w:p>
        </w:tc>
        <w:tc>
          <w:tcPr>
            <w:tcW w:w="0" w:type="auto"/>
            <w:shd w:val="clear" w:color="auto" w:fill="FFFFFF" w:themeFill="background1"/>
          </w:tcPr>
          <w:p w14:paraId="11E06051" w14:textId="77777777" w:rsidR="00D140F7" w:rsidRPr="00261B7A" w:rsidRDefault="00D140F7" w:rsidP="00E54129">
            <w:pPr>
              <w:pStyle w:val="TableText"/>
              <w:spacing w:before="40" w:after="40"/>
            </w:pPr>
            <w:r w:rsidRPr="00261B7A">
              <w:rPr>
                <w:rFonts w:eastAsia="Calibri"/>
              </w:rPr>
              <w:t>Consistency; key category improvement (</w:t>
            </w:r>
            <w:r w:rsidRPr="00261B7A">
              <w:rPr>
                <w:rFonts w:eastAsia="Calibri"/>
                <w:i/>
              </w:rPr>
              <w:t>Forest land remaining forest land</w:t>
            </w:r>
            <w:r w:rsidRPr="00261B7A">
              <w:rPr>
                <w:rFonts w:eastAsia="Calibri"/>
              </w:rPr>
              <w:t xml:space="preserve">, </w:t>
            </w:r>
            <w:r w:rsidRPr="00261B7A">
              <w:rPr>
                <w:rFonts w:eastAsia="Calibri"/>
                <w:i/>
              </w:rPr>
              <w:t>Land converted to forest land</w:t>
            </w:r>
            <w:r w:rsidRPr="00261B7A">
              <w:rPr>
                <w:rFonts w:eastAsia="Calibri"/>
              </w:rPr>
              <w:t xml:space="preserve">, </w:t>
            </w:r>
            <w:r w:rsidRPr="00261B7A">
              <w:rPr>
                <w:rFonts w:eastAsia="Calibri"/>
                <w:i/>
              </w:rPr>
              <w:t>Land converted to grassland</w:t>
            </w:r>
            <w:r w:rsidRPr="00261B7A">
              <w:rPr>
                <w:rFonts w:eastAsia="Calibri"/>
              </w:rPr>
              <w:t>)</w:t>
            </w:r>
          </w:p>
        </w:tc>
      </w:tr>
      <w:tr w:rsidR="00D140F7" w:rsidRPr="00261B7A" w14:paraId="14CE8C1A" w14:textId="77777777" w:rsidTr="00E54129">
        <w:tc>
          <w:tcPr>
            <w:tcW w:w="0" w:type="auto"/>
            <w:shd w:val="clear" w:color="auto" w:fill="FFFFFF" w:themeFill="background1"/>
          </w:tcPr>
          <w:p w14:paraId="7665C6A9" w14:textId="77777777" w:rsidR="00D140F7" w:rsidRPr="00261B7A" w:rsidRDefault="00D140F7" w:rsidP="00E54129">
            <w:pPr>
              <w:pStyle w:val="TableText"/>
              <w:spacing w:before="40" w:after="40"/>
            </w:pPr>
            <w:r w:rsidRPr="00261B7A">
              <w:rPr>
                <w:rFonts w:cs="Arial"/>
              </w:rPr>
              <w:t>Use of country-specific above- and below-ground biomass carbon stocks for vegetated wetlands (Easdale et al., unpublished). Above-ground biomass carbon stocks were estimated as 20.22 tC ha</w:t>
            </w:r>
            <w:r w:rsidRPr="00261B7A">
              <w:rPr>
                <w:rFonts w:cs="Arial"/>
                <w:vertAlign w:val="superscript"/>
              </w:rPr>
              <w:t>-1</w:t>
            </w:r>
            <w:r w:rsidRPr="00261B7A">
              <w:rPr>
                <w:rFonts w:cs="Arial"/>
              </w:rPr>
              <w:t xml:space="preserve"> (11.07 – 29.38, 95 per cent confidence interval) and below-ground estimated as 7.40 tC ha</w:t>
            </w:r>
            <w:r w:rsidRPr="00261B7A">
              <w:rPr>
                <w:rFonts w:cs="Arial"/>
                <w:vertAlign w:val="superscript"/>
              </w:rPr>
              <w:t>-1</w:t>
            </w:r>
            <w:r w:rsidRPr="00261B7A">
              <w:rPr>
                <w:rFonts w:cs="Arial"/>
              </w:rPr>
              <w:t xml:space="preserve"> (1.85 – 12.9, nominal error range). Previous submissions did not estimate the carbon stock and carbon stock change in vegetated wetlands, which meant any emissions and removals for land transitioning in to and out of this class were also not estimated (further detail is provided in chapter 6, section 6.6.5). </w:t>
            </w:r>
            <w:r w:rsidRPr="00261B7A">
              <w:t>The overall net impact of this change to the LULUCF sector is a decrease of 16 kt CO</w:t>
            </w:r>
            <w:r w:rsidRPr="00261B7A">
              <w:rPr>
                <w:vertAlign w:val="subscript"/>
              </w:rPr>
              <w:t>2</w:t>
            </w:r>
            <w:r w:rsidRPr="00261B7A">
              <w:t>-e in 2020 and a decrease of 39 kt CO</w:t>
            </w:r>
            <w:r w:rsidRPr="00261B7A">
              <w:rPr>
                <w:vertAlign w:val="subscript"/>
              </w:rPr>
              <w:t>2</w:t>
            </w:r>
            <w:r w:rsidRPr="00261B7A">
              <w:t>-e in 1990.</w:t>
            </w:r>
          </w:p>
        </w:tc>
        <w:tc>
          <w:tcPr>
            <w:tcW w:w="0" w:type="auto"/>
            <w:shd w:val="clear" w:color="auto" w:fill="FFFFFF" w:themeFill="background1"/>
          </w:tcPr>
          <w:p w14:paraId="39833456" w14:textId="77777777" w:rsidR="00D140F7" w:rsidRPr="00261B7A" w:rsidRDefault="00D140F7" w:rsidP="00E54129">
            <w:pPr>
              <w:pStyle w:val="TableText"/>
              <w:spacing w:before="40" w:after="40"/>
            </w:pPr>
            <w:r w:rsidRPr="00261B7A">
              <w:rPr>
                <w:rFonts w:eastAsia="Calibri"/>
              </w:rPr>
              <w:t>Accuracy</w:t>
            </w:r>
          </w:p>
        </w:tc>
        <w:tc>
          <w:tcPr>
            <w:tcW w:w="0" w:type="auto"/>
            <w:shd w:val="clear" w:color="auto" w:fill="FFFFFF" w:themeFill="background1"/>
          </w:tcPr>
          <w:p w14:paraId="797B934B" w14:textId="77777777" w:rsidR="00D140F7" w:rsidRPr="00261B7A" w:rsidRDefault="00D140F7" w:rsidP="00E54129">
            <w:pPr>
              <w:pStyle w:val="TableText"/>
              <w:spacing w:before="40" w:after="40"/>
            </w:pPr>
            <w:r w:rsidRPr="00261B7A">
              <w:rPr>
                <w:rFonts w:eastAsia="Calibri"/>
              </w:rPr>
              <w:t>Completeness</w:t>
            </w:r>
          </w:p>
        </w:tc>
      </w:tr>
    </w:tbl>
    <w:p w14:paraId="52E16BA1" w14:textId="77777777" w:rsidR="00D140F7" w:rsidRPr="00261B7A" w:rsidRDefault="00D140F7" w:rsidP="00D140F7">
      <w:pPr>
        <w:pStyle w:val="Heading3"/>
      </w:pPr>
      <w:bookmarkStart w:id="2855" w:name="waste"/>
      <w:bookmarkEnd w:id="2845"/>
      <w:r w:rsidRPr="00261B7A">
        <w:t xml:space="preserve">10.1.5 </w:t>
      </w:r>
      <w:r w:rsidRPr="00261B7A">
        <w:tab/>
        <w:t>Waste</w:t>
      </w:r>
    </w:p>
    <w:p w14:paraId="2CEAE372" w14:textId="77777777" w:rsidR="00D140F7" w:rsidRPr="00261B7A" w:rsidRDefault="00D140F7" w:rsidP="00D140F7">
      <w:pPr>
        <w:pStyle w:val="BodyText"/>
        <w:keepNext/>
      </w:pPr>
      <w:r w:rsidRPr="00261B7A">
        <w:t>Improvements and recalculations made to estimates in the Waste sector have resulted in a 0.04 per cent (1.5 kt CO</w:t>
      </w:r>
      <w:r w:rsidRPr="00261B7A">
        <w:rPr>
          <w:vertAlign w:val="subscript"/>
        </w:rPr>
        <w:t>2</w:t>
      </w:r>
      <w:r w:rsidRPr="00261B7A">
        <w:t>-e) increase in emissions estimates in 1990 and a 0.1 per cent (2.4 kt CO</w:t>
      </w:r>
      <w:r w:rsidRPr="00261B7A">
        <w:rPr>
          <w:vertAlign w:val="subscript"/>
        </w:rPr>
        <w:t>2</w:t>
      </w:r>
      <w:r w:rsidRPr="00261B7A">
        <w:t>-e) decrease in emissions estimates in 2020 (figure 10.1.6).</w:t>
      </w:r>
    </w:p>
    <w:p w14:paraId="4A244BBA" w14:textId="77777777" w:rsidR="00D140F7" w:rsidRPr="00261B7A" w:rsidRDefault="00D140F7" w:rsidP="00D140F7">
      <w:pPr>
        <w:pStyle w:val="Figure"/>
      </w:pPr>
      <w:bookmarkStart w:id="2856" w:name="_Toc99696073"/>
      <w:bookmarkStart w:id="2857" w:name="_Toc129781237"/>
      <w:bookmarkStart w:id="2858" w:name="_Toc130565771"/>
      <w:bookmarkStart w:id="2859" w:name="_Toc131591595"/>
      <w:r w:rsidRPr="00261B7A">
        <w:rPr>
          <w:bCs/>
        </w:rPr>
        <w:t>Figure 10.1.6</w:t>
      </w:r>
      <w:r w:rsidRPr="00261B7A">
        <w:rPr>
          <w:bCs/>
        </w:rPr>
        <w:tab/>
        <w:t>Effect of recalculations on emissions estimates from New Zealand’s Waste sector</w:t>
      </w:r>
      <w:r w:rsidRPr="00261B7A">
        <w:rPr>
          <w:bCs/>
        </w:rPr>
        <w:br/>
        <w:t>from 1990 to 2020</w:t>
      </w:r>
      <w:bookmarkEnd w:id="2856"/>
      <w:bookmarkEnd w:id="2857"/>
      <w:bookmarkEnd w:id="2858"/>
      <w:bookmarkEnd w:id="2859"/>
    </w:p>
    <w:p w14:paraId="6D7A0B10" w14:textId="77777777" w:rsidR="00D140F7" w:rsidRPr="00261B7A" w:rsidRDefault="00D140F7" w:rsidP="00D140F7">
      <w:pPr>
        <w:pStyle w:val="BodyText"/>
        <w:jc w:val="center"/>
      </w:pPr>
      <w:r w:rsidRPr="00261B7A">
        <w:rPr>
          <w:noProof/>
        </w:rPr>
        <w:drawing>
          <wp:inline distT="0" distB="0" distL="0" distR="0" wp14:anchorId="39EEF676" wp14:editId="1F71CEF5">
            <wp:extent cx="5191949" cy="3813847"/>
            <wp:effectExtent l="0" t="0" r="8890" b="0"/>
            <wp:docPr id="60" name="Picture 6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rotWithShape="1">
                    <a:blip r:embed="rId273" cstate="print">
                      <a:extLst>
                        <a:ext uri="{28A0092B-C50C-407E-A947-70E740481C1C}">
                          <a14:useLocalDpi xmlns:a14="http://schemas.microsoft.com/office/drawing/2010/main" val="0"/>
                        </a:ext>
                      </a:extLst>
                    </a:blip>
                    <a:srcRect b="2057"/>
                    <a:stretch/>
                  </pic:blipFill>
                  <pic:spPr bwMode="auto">
                    <a:xfrm>
                      <a:off x="0" y="0"/>
                      <a:ext cx="5191949" cy="3813847"/>
                    </a:xfrm>
                    <a:prstGeom prst="rect">
                      <a:avLst/>
                    </a:prstGeom>
                    <a:ln>
                      <a:noFill/>
                    </a:ln>
                    <a:extLst>
                      <a:ext uri="{53640926-AAD7-44D8-BBD7-CCE9431645EC}">
                        <a14:shadowObscured xmlns:a14="http://schemas.microsoft.com/office/drawing/2010/main"/>
                      </a:ext>
                    </a:extLst>
                  </pic:spPr>
                </pic:pic>
              </a:graphicData>
            </a:graphic>
          </wp:inline>
        </w:drawing>
      </w:r>
    </w:p>
    <w:p w14:paraId="7E07659C" w14:textId="77777777" w:rsidR="00D140F7" w:rsidRPr="00261B7A" w:rsidRDefault="00D140F7" w:rsidP="00D140F7">
      <w:pPr>
        <w:pStyle w:val="Noteundertable"/>
      </w:pPr>
      <w:r w:rsidRPr="00261B7A">
        <w:rPr>
          <w:b/>
          <w:bCs/>
        </w:rPr>
        <w:t>Note:</w:t>
      </w:r>
      <w:r w:rsidRPr="00261B7A">
        <w:rPr>
          <w:b/>
          <w:bCs/>
        </w:rPr>
        <w:tab/>
      </w:r>
      <w:r w:rsidRPr="00261B7A">
        <w:t>Due to the small size of the recalculation, the 2023 submission line is obscured by the 2022 submission line.</w:t>
      </w:r>
    </w:p>
    <w:p w14:paraId="7CD21B29" w14:textId="77777777" w:rsidR="00D140F7" w:rsidRPr="00261B7A" w:rsidRDefault="00D140F7" w:rsidP="00D140F7">
      <w:pPr>
        <w:pStyle w:val="BodyText"/>
      </w:pPr>
      <w:r w:rsidRPr="00261B7A">
        <w:t>Minor changes have been made that affect emissions as follows.</w:t>
      </w:r>
    </w:p>
    <w:p w14:paraId="23690016" w14:textId="77777777" w:rsidR="00D140F7" w:rsidRPr="00261B7A" w:rsidRDefault="00D140F7" w:rsidP="00D140F7">
      <w:pPr>
        <w:pStyle w:val="Bullet"/>
      </w:pPr>
      <w:r w:rsidRPr="00261B7A">
        <w:t xml:space="preserve">Activity data for </w:t>
      </w:r>
      <w:r w:rsidRPr="00261B7A">
        <w:rPr>
          <w:i/>
          <w:iCs/>
        </w:rPr>
        <w:t>Managed waste disposal sites</w:t>
      </w:r>
      <w:r w:rsidRPr="00261B7A">
        <w:t xml:space="preserve"> were revised for 2018, 2019 and 2020 to remove small amounts of cover material that should not be included in the waste tonnage.</w:t>
      </w:r>
    </w:p>
    <w:p w14:paraId="0E352024" w14:textId="77777777" w:rsidR="00D140F7" w:rsidRPr="00261B7A" w:rsidRDefault="00D140F7" w:rsidP="00D140F7">
      <w:pPr>
        <w:pStyle w:val="Bullet"/>
      </w:pPr>
      <w:r w:rsidRPr="00261B7A">
        <w:t xml:space="preserve">The Coulson Road landfill within the </w:t>
      </w:r>
      <w:r w:rsidRPr="00261B7A">
        <w:rPr>
          <w:i/>
          <w:iCs/>
        </w:rPr>
        <w:t>Managed waste disposal sites</w:t>
      </w:r>
      <w:r w:rsidRPr="00261B7A">
        <w:t xml:space="preserve"> category stopped accepting waste in 2019. As a result, the landfill gas capture rate was revised for the entire duration of gas capture, beginning in 2018, from 68 per cent to 52 per cent, which was the value for closed sites. Furthermore, the Victoria Flats landfill had a gas capture system installed during 2021, and the estimate for 2021 reflects this.</w:t>
      </w:r>
    </w:p>
    <w:p w14:paraId="271EB7E2" w14:textId="77777777" w:rsidR="00D140F7" w:rsidRPr="00261B7A" w:rsidRDefault="00D140F7" w:rsidP="00D140F7">
      <w:pPr>
        <w:pStyle w:val="Bullet"/>
      </w:pPr>
      <w:r w:rsidRPr="00261B7A">
        <w:t xml:space="preserve">Activity data for </w:t>
      </w:r>
      <w:r w:rsidRPr="00261B7A">
        <w:rPr>
          <w:i/>
          <w:iCs/>
        </w:rPr>
        <w:t>Composting</w:t>
      </w:r>
      <w:r w:rsidRPr="00261B7A">
        <w:t xml:space="preserve"> was revised upward, to account for the effects of policy actions beginning in 2020.</w:t>
      </w:r>
    </w:p>
    <w:p w14:paraId="6081126C" w14:textId="77777777" w:rsidR="00D140F7" w:rsidRPr="00261B7A" w:rsidRDefault="00D140F7" w:rsidP="00D140F7">
      <w:pPr>
        <w:pStyle w:val="Bullet"/>
      </w:pPr>
      <w:r w:rsidRPr="00261B7A">
        <w:t xml:space="preserve">Activity data for </w:t>
      </w:r>
      <w:r w:rsidRPr="00261B7A">
        <w:rPr>
          <w:i/>
          <w:iCs/>
        </w:rPr>
        <w:t>Industrial wastewater</w:t>
      </w:r>
      <w:r w:rsidRPr="00261B7A">
        <w:t xml:space="preserve"> was revised for the paper and paperboard and wood pulp industries, due to revised statistics.</w:t>
      </w:r>
    </w:p>
    <w:p w14:paraId="52AC9159" w14:textId="3357A1C2" w:rsidR="00D140F7" w:rsidRPr="00261B7A" w:rsidRDefault="00D140F7" w:rsidP="00D140F7">
      <w:pPr>
        <w:pStyle w:val="BodyText"/>
      </w:pPr>
      <w:r w:rsidRPr="00261B7A">
        <w:t>A full list of recalculations is provided in table 10.1.</w:t>
      </w:r>
      <w:r w:rsidR="002C65F9">
        <w:t>10</w:t>
      </w:r>
      <w:r w:rsidRPr="00261B7A">
        <w:t>.</w:t>
      </w:r>
    </w:p>
    <w:p w14:paraId="4150F48D" w14:textId="77777777" w:rsidR="00D140F7" w:rsidRPr="00261B7A" w:rsidRDefault="00D140F7" w:rsidP="00D140F7">
      <w:pPr>
        <w:pStyle w:val="Table"/>
      </w:pPr>
      <w:bookmarkStart w:id="2860" w:name="_Toc99659378"/>
      <w:bookmarkStart w:id="2861" w:name="_Toc129781212"/>
      <w:bookmarkStart w:id="2862" w:name="_Toc130565747"/>
      <w:bookmarkStart w:id="2863" w:name="_Toc130565848"/>
      <w:bookmarkStart w:id="2864" w:name="_Toc131591492"/>
      <w:r w:rsidRPr="00261B7A">
        <w:t>Table 10.1.10</w:t>
      </w:r>
      <w:r w:rsidRPr="00261B7A">
        <w:tab/>
        <w:t>Explanations and justifications for recalculations in the Waste sector</w:t>
      </w:r>
      <w:bookmarkEnd w:id="2860"/>
      <w:bookmarkEnd w:id="2861"/>
      <w:bookmarkEnd w:id="2862"/>
      <w:bookmarkEnd w:id="2863"/>
      <w:bookmarkEnd w:id="2864"/>
    </w:p>
    <w:tbl>
      <w:tblPr>
        <w:tblW w:w="8281"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111"/>
        <w:gridCol w:w="1418"/>
        <w:gridCol w:w="2752"/>
      </w:tblGrid>
      <w:tr w:rsidR="00D140F7" w:rsidRPr="00261B7A" w14:paraId="6BDC0EBE" w14:textId="77777777" w:rsidTr="009C63CA">
        <w:trPr>
          <w:trHeight w:val="19"/>
          <w:tblHeader/>
        </w:trPr>
        <w:tc>
          <w:tcPr>
            <w:tcW w:w="4111" w:type="dxa"/>
            <w:shd w:val="clear" w:color="auto" w:fill="1B556B"/>
            <w:vAlign w:val="bottom"/>
          </w:tcPr>
          <w:p w14:paraId="59C28A4E" w14:textId="77777777" w:rsidR="00D140F7" w:rsidRPr="00261B7A" w:rsidRDefault="00D140F7" w:rsidP="009C63CA">
            <w:pPr>
              <w:pStyle w:val="TableTextBold"/>
              <w:rPr>
                <w:noProof w:val="0"/>
                <w:color w:val="FFFFFF"/>
              </w:rPr>
            </w:pPr>
            <w:r w:rsidRPr="00261B7A">
              <w:rPr>
                <w:rFonts w:eastAsia="Calibri"/>
                <w:noProof w:val="0"/>
                <w:color w:val="FFFFFF"/>
              </w:rPr>
              <w:t>Explanation of recalculation</w:t>
            </w:r>
          </w:p>
        </w:tc>
        <w:tc>
          <w:tcPr>
            <w:tcW w:w="1418" w:type="dxa"/>
            <w:shd w:val="clear" w:color="auto" w:fill="1B556B"/>
            <w:vAlign w:val="bottom"/>
          </w:tcPr>
          <w:p w14:paraId="1740BE4F" w14:textId="77777777" w:rsidR="00D140F7" w:rsidRPr="00261B7A" w:rsidRDefault="00D140F7" w:rsidP="009C63CA">
            <w:pPr>
              <w:pStyle w:val="TableTextBold"/>
              <w:rPr>
                <w:noProof w:val="0"/>
                <w:color w:val="FFFFFF"/>
              </w:rPr>
            </w:pPr>
            <w:r w:rsidRPr="00261B7A">
              <w:rPr>
                <w:rFonts w:eastAsia="Calibri"/>
                <w:noProof w:val="0"/>
                <w:color w:val="FFFFFF"/>
              </w:rPr>
              <w:t>Underpinning IPCC principle</w:t>
            </w:r>
          </w:p>
        </w:tc>
        <w:tc>
          <w:tcPr>
            <w:tcW w:w="2752" w:type="dxa"/>
            <w:shd w:val="clear" w:color="auto" w:fill="1B556B"/>
            <w:vAlign w:val="bottom"/>
          </w:tcPr>
          <w:p w14:paraId="29D1ACB9" w14:textId="77777777" w:rsidR="00D140F7" w:rsidRPr="00261B7A" w:rsidRDefault="00D140F7" w:rsidP="009C63CA">
            <w:pPr>
              <w:pStyle w:val="TableTextBold"/>
              <w:rPr>
                <w:noProof w:val="0"/>
                <w:color w:val="FFFFFF"/>
              </w:rPr>
            </w:pPr>
            <w:r w:rsidRPr="00261B7A">
              <w:rPr>
                <w:rFonts w:eastAsia="Calibri"/>
                <w:noProof w:val="0"/>
                <w:color w:val="FFFFFF"/>
              </w:rPr>
              <w:t>Additional justification</w:t>
            </w:r>
          </w:p>
        </w:tc>
      </w:tr>
      <w:tr w:rsidR="00D140F7" w:rsidRPr="00261B7A" w14:paraId="0296C1AD" w14:textId="77777777" w:rsidTr="009C63CA">
        <w:trPr>
          <w:trHeight w:val="19"/>
        </w:trPr>
        <w:tc>
          <w:tcPr>
            <w:tcW w:w="4111" w:type="dxa"/>
            <w:shd w:val="clear" w:color="auto" w:fill="FFFFFF"/>
          </w:tcPr>
          <w:p w14:paraId="742E918C" w14:textId="77777777" w:rsidR="00D140F7" w:rsidRPr="00261B7A" w:rsidRDefault="00D140F7" w:rsidP="009C63CA">
            <w:pPr>
              <w:pStyle w:val="TableText"/>
            </w:pPr>
            <w:r w:rsidRPr="00261B7A">
              <w:rPr>
                <w:rFonts w:eastAsia="Calibri"/>
              </w:rPr>
              <w:t xml:space="preserve">Estimated emissions from </w:t>
            </w:r>
            <w:r w:rsidRPr="00261B7A">
              <w:rPr>
                <w:rFonts w:eastAsia="Calibri"/>
                <w:i/>
                <w:iCs/>
              </w:rPr>
              <w:t>Managed</w:t>
            </w:r>
            <w:r w:rsidRPr="00261B7A">
              <w:rPr>
                <w:rFonts w:eastAsia="Calibri"/>
                <w:i/>
              </w:rPr>
              <w:t xml:space="preserve"> waste disposal sites </w:t>
            </w:r>
            <w:r w:rsidRPr="00261B7A">
              <w:rPr>
                <w:rFonts w:eastAsia="Calibri"/>
              </w:rPr>
              <w:t>(5.A.1.a) have not changed in 1990 and have decreased by 1.0 kt CO</w:t>
            </w:r>
            <w:r w:rsidRPr="00261B7A">
              <w:rPr>
                <w:rFonts w:eastAsia="Calibri"/>
                <w:vertAlign w:val="subscript"/>
              </w:rPr>
              <w:t>2</w:t>
            </w:r>
            <w:r w:rsidRPr="00261B7A">
              <w:rPr>
                <w:rFonts w:eastAsia="Calibri"/>
              </w:rPr>
              <w:t>-e (0.1%) in 2020. This is due to minor updates to activity data for managed landfills, after revisions have been made to historical levy data, and updated the gas capture status for two landfills.</w:t>
            </w:r>
          </w:p>
        </w:tc>
        <w:tc>
          <w:tcPr>
            <w:tcW w:w="1418" w:type="dxa"/>
            <w:shd w:val="clear" w:color="auto" w:fill="FFFFFF"/>
          </w:tcPr>
          <w:p w14:paraId="399291E2" w14:textId="77777777" w:rsidR="00D140F7" w:rsidRPr="00261B7A" w:rsidRDefault="00D140F7" w:rsidP="009C63CA">
            <w:pPr>
              <w:pStyle w:val="TableText"/>
            </w:pPr>
            <w:r w:rsidRPr="00261B7A">
              <w:rPr>
                <w:rFonts w:eastAsia="Calibri"/>
              </w:rPr>
              <w:t>Accuracy</w:t>
            </w:r>
          </w:p>
        </w:tc>
        <w:tc>
          <w:tcPr>
            <w:tcW w:w="2752" w:type="dxa"/>
            <w:shd w:val="clear" w:color="auto" w:fill="FFFFFF"/>
          </w:tcPr>
          <w:p w14:paraId="46F365D7" w14:textId="77777777" w:rsidR="00D140F7" w:rsidRPr="00261B7A" w:rsidRDefault="00D140F7" w:rsidP="009C63CA">
            <w:pPr>
              <w:pStyle w:val="TableText"/>
            </w:pPr>
            <w:r w:rsidRPr="00261B7A">
              <w:rPr>
                <w:rFonts w:eastAsia="Calibri"/>
                <w:color w:val="000000"/>
              </w:rPr>
              <w:t>Key category improvement:</w:t>
            </w:r>
            <w:r w:rsidRPr="00261B7A">
              <w:rPr>
                <w:rFonts w:eastAsia="Calibri"/>
                <w:i/>
                <w:color w:val="000000"/>
              </w:rPr>
              <w:t xml:space="preserve"> Solid waste disposal</w:t>
            </w:r>
            <w:r w:rsidRPr="00261B7A">
              <w:rPr>
                <w:rFonts w:eastAsia="Calibri"/>
                <w:color w:val="000000"/>
              </w:rPr>
              <w:t xml:space="preserve"> </w:t>
            </w:r>
          </w:p>
        </w:tc>
      </w:tr>
      <w:tr w:rsidR="00D140F7" w:rsidRPr="00261B7A" w14:paraId="7FDFDF29" w14:textId="77777777" w:rsidTr="009C63CA">
        <w:trPr>
          <w:trHeight w:val="19"/>
        </w:trPr>
        <w:tc>
          <w:tcPr>
            <w:tcW w:w="4111" w:type="dxa"/>
            <w:shd w:val="clear" w:color="auto" w:fill="FFFFFF"/>
          </w:tcPr>
          <w:p w14:paraId="6C90B1C8" w14:textId="77777777" w:rsidR="00D140F7" w:rsidRPr="00261B7A" w:rsidRDefault="00D140F7" w:rsidP="009C63CA">
            <w:pPr>
              <w:pStyle w:val="TableText"/>
            </w:pPr>
            <w:r w:rsidRPr="00261B7A">
              <w:rPr>
                <w:rFonts w:eastAsia="Calibri"/>
              </w:rPr>
              <w:t xml:space="preserve">Estimated emissions from </w:t>
            </w:r>
            <w:r w:rsidRPr="00261B7A">
              <w:rPr>
                <w:rFonts w:eastAsia="Calibri"/>
                <w:i/>
                <w:iCs/>
              </w:rPr>
              <w:t xml:space="preserve">Composting </w:t>
            </w:r>
            <w:r w:rsidRPr="00261B7A">
              <w:rPr>
                <w:rFonts w:eastAsia="Calibri"/>
              </w:rPr>
              <w:t>(5.B.1) have not changed in 1990 and have increased by 0.8 kt CO</w:t>
            </w:r>
            <w:r w:rsidRPr="00261B7A">
              <w:rPr>
                <w:rFonts w:eastAsia="Calibri"/>
                <w:vertAlign w:val="subscript"/>
              </w:rPr>
              <w:t>2</w:t>
            </w:r>
            <w:r w:rsidRPr="00261B7A">
              <w:rPr>
                <w:rFonts w:eastAsia="Calibri"/>
              </w:rPr>
              <w:t>-e (1.2%) in 2020. This is due to the effect of policy actions beginning in 2020, which are now included in the activity data.</w:t>
            </w:r>
          </w:p>
        </w:tc>
        <w:tc>
          <w:tcPr>
            <w:tcW w:w="1418" w:type="dxa"/>
            <w:shd w:val="clear" w:color="auto" w:fill="FFFFFF"/>
          </w:tcPr>
          <w:p w14:paraId="06013EBF" w14:textId="77777777" w:rsidR="00D140F7" w:rsidRPr="00261B7A" w:rsidRDefault="00D140F7" w:rsidP="009C63CA">
            <w:pPr>
              <w:pStyle w:val="TableText"/>
            </w:pPr>
            <w:r w:rsidRPr="00261B7A">
              <w:rPr>
                <w:rFonts w:eastAsia="Calibri"/>
              </w:rPr>
              <w:t>Completeness</w:t>
            </w:r>
          </w:p>
        </w:tc>
        <w:tc>
          <w:tcPr>
            <w:tcW w:w="2752" w:type="dxa"/>
            <w:shd w:val="clear" w:color="auto" w:fill="FFFFFF"/>
          </w:tcPr>
          <w:p w14:paraId="78D0DDF4" w14:textId="77777777" w:rsidR="00D140F7" w:rsidRPr="00261B7A" w:rsidRDefault="00D140F7" w:rsidP="009C63CA">
            <w:pPr>
              <w:pStyle w:val="TableText"/>
            </w:pPr>
          </w:p>
        </w:tc>
      </w:tr>
      <w:tr w:rsidR="00D140F7" w:rsidRPr="00261B7A" w14:paraId="4935D589" w14:textId="77777777" w:rsidTr="009C63CA">
        <w:trPr>
          <w:trHeight w:val="19"/>
        </w:trPr>
        <w:tc>
          <w:tcPr>
            <w:tcW w:w="4111" w:type="dxa"/>
            <w:shd w:val="clear" w:color="auto" w:fill="FFFFFF"/>
          </w:tcPr>
          <w:p w14:paraId="4A811C1C" w14:textId="77777777" w:rsidR="00D140F7" w:rsidRPr="00261B7A" w:rsidRDefault="00D140F7" w:rsidP="009C63CA">
            <w:pPr>
              <w:pStyle w:val="TableText"/>
            </w:pPr>
            <w:r w:rsidRPr="00261B7A">
              <w:rPr>
                <w:rFonts w:eastAsia="Calibri"/>
              </w:rPr>
              <w:t xml:space="preserve">Estimated emissions from </w:t>
            </w:r>
            <w:r w:rsidRPr="00261B7A">
              <w:rPr>
                <w:rFonts w:eastAsia="Calibri"/>
                <w:i/>
              </w:rPr>
              <w:t>Industrial wastewater</w:t>
            </w:r>
            <w:r w:rsidRPr="00261B7A">
              <w:rPr>
                <w:rFonts w:eastAsia="Calibri"/>
              </w:rPr>
              <w:t xml:space="preserve"> (5.D.2) have increased by 1.5 kt CO</w:t>
            </w:r>
            <w:r w:rsidRPr="00261B7A">
              <w:rPr>
                <w:rFonts w:eastAsia="Calibri"/>
                <w:vertAlign w:val="subscript"/>
              </w:rPr>
              <w:t>2</w:t>
            </w:r>
            <w:r w:rsidRPr="00261B7A">
              <w:rPr>
                <w:rFonts w:eastAsia="Calibri"/>
              </w:rPr>
              <w:t>-e (1.6%) in 1990 and decreased by 1.6 kt CO</w:t>
            </w:r>
            <w:r w:rsidRPr="00261B7A">
              <w:rPr>
                <w:rFonts w:eastAsia="Calibri"/>
                <w:vertAlign w:val="subscript"/>
              </w:rPr>
              <w:t>2</w:t>
            </w:r>
            <w:r w:rsidRPr="00261B7A">
              <w:rPr>
                <w:rFonts w:eastAsia="Calibri"/>
              </w:rPr>
              <w:t>-e (1.6%) in 2020 due to revised statistics for the paper and paperboard industries.</w:t>
            </w:r>
          </w:p>
        </w:tc>
        <w:tc>
          <w:tcPr>
            <w:tcW w:w="1418" w:type="dxa"/>
            <w:shd w:val="clear" w:color="auto" w:fill="FFFFFF"/>
          </w:tcPr>
          <w:p w14:paraId="56202D85" w14:textId="77777777" w:rsidR="00D140F7" w:rsidRPr="00261B7A" w:rsidRDefault="00D140F7" w:rsidP="009C63CA">
            <w:pPr>
              <w:pStyle w:val="TableText"/>
            </w:pPr>
            <w:r w:rsidRPr="00261B7A">
              <w:rPr>
                <w:rFonts w:eastAsia="Calibri"/>
              </w:rPr>
              <w:t>Accuracy</w:t>
            </w:r>
          </w:p>
        </w:tc>
        <w:tc>
          <w:tcPr>
            <w:tcW w:w="2752" w:type="dxa"/>
            <w:shd w:val="clear" w:color="auto" w:fill="FFFFFF"/>
          </w:tcPr>
          <w:p w14:paraId="2B7F2EDE" w14:textId="77777777" w:rsidR="00D140F7" w:rsidRPr="00261B7A" w:rsidRDefault="00D140F7" w:rsidP="009C63CA">
            <w:pPr>
              <w:pStyle w:val="TableText"/>
            </w:pPr>
            <w:r w:rsidRPr="00261B7A">
              <w:rPr>
                <w:rFonts w:eastAsia="Calibri"/>
                <w:color w:val="000000"/>
              </w:rPr>
              <w:t xml:space="preserve">Key category improvement: </w:t>
            </w:r>
            <w:r w:rsidRPr="00261B7A">
              <w:rPr>
                <w:rFonts w:eastAsia="Calibri"/>
                <w:i/>
              </w:rPr>
              <w:t>Wastewater treatment and discharge</w:t>
            </w:r>
          </w:p>
        </w:tc>
      </w:tr>
    </w:tbl>
    <w:bookmarkEnd w:id="2855"/>
    <w:p w14:paraId="314DCF46" w14:textId="65BB372B" w:rsidR="00D140F7" w:rsidRPr="00261B7A" w:rsidRDefault="00D140F7" w:rsidP="00D140F7">
      <w:pPr>
        <w:pStyle w:val="Heading3"/>
        <w:spacing w:before="480"/>
      </w:pPr>
      <w:r w:rsidRPr="00261B7A">
        <w:t xml:space="preserve">10.1.6 </w:t>
      </w:r>
      <w:r w:rsidRPr="00261B7A">
        <w:tab/>
      </w:r>
      <w:r w:rsidR="00914759" w:rsidRPr="00261B7A">
        <w:tab/>
      </w:r>
      <w:r w:rsidRPr="00261B7A">
        <w:t>Other sector (Tokelau)</w:t>
      </w:r>
    </w:p>
    <w:p w14:paraId="1115767E" w14:textId="77777777" w:rsidR="00D140F7" w:rsidRPr="00261B7A" w:rsidRDefault="00D140F7" w:rsidP="00D140F7">
      <w:pPr>
        <w:pStyle w:val="BodyText"/>
      </w:pPr>
      <w:r w:rsidRPr="00261B7A">
        <w:rPr>
          <w:lang w:eastAsia="en-GB"/>
        </w:rPr>
        <w:t>Recalculations made to emission estimates in Tokelau have resulted in no change for 1990 and a 0.004 per cent (0.0002 kt CO</w:t>
      </w:r>
      <w:r w:rsidRPr="00261B7A">
        <w:rPr>
          <w:vertAlign w:val="subscript"/>
          <w:lang w:eastAsia="en-GB"/>
        </w:rPr>
        <w:t>2</w:t>
      </w:r>
      <w:r w:rsidRPr="00261B7A">
        <w:rPr>
          <w:lang w:eastAsia="en-GB"/>
        </w:rPr>
        <w:t xml:space="preserve">-e) increase in emissions in 2020 </w:t>
      </w:r>
      <w:r w:rsidRPr="00261B7A">
        <w:t xml:space="preserve">(figure 10.1.7). This increase in 2020 is the result of more accurate activity data. </w:t>
      </w:r>
    </w:p>
    <w:p w14:paraId="7F6F6CE0" w14:textId="1326C989" w:rsidR="00D140F7" w:rsidRPr="00261B7A" w:rsidRDefault="00D140F7" w:rsidP="00D140F7">
      <w:pPr>
        <w:pStyle w:val="Figure"/>
      </w:pPr>
      <w:bookmarkStart w:id="2865" w:name="_Toc99696074"/>
      <w:bookmarkStart w:id="2866" w:name="_Toc129781238"/>
      <w:bookmarkStart w:id="2867" w:name="_Toc130565772"/>
      <w:bookmarkStart w:id="2868" w:name="_Toc131591596"/>
      <w:r w:rsidRPr="00261B7A">
        <w:rPr>
          <w:bCs/>
        </w:rPr>
        <w:t>Figure 10.1.7</w:t>
      </w:r>
      <w:r w:rsidRPr="00261B7A">
        <w:rPr>
          <w:bCs/>
        </w:rPr>
        <w:tab/>
        <w:t>Effect of recalculations on emissions estimates from the Tokelau sector from 1990</w:t>
      </w:r>
      <w:r w:rsidR="001B4E1F" w:rsidRPr="00261B7A">
        <w:rPr>
          <w:bCs/>
        </w:rPr>
        <w:t> </w:t>
      </w:r>
      <w:r w:rsidRPr="00261B7A">
        <w:rPr>
          <w:bCs/>
        </w:rPr>
        <w:t>to</w:t>
      </w:r>
      <w:r w:rsidR="001B4E1F" w:rsidRPr="00261B7A">
        <w:rPr>
          <w:bCs/>
        </w:rPr>
        <w:t> </w:t>
      </w:r>
      <w:r w:rsidRPr="00261B7A">
        <w:rPr>
          <w:bCs/>
        </w:rPr>
        <w:t>2020</w:t>
      </w:r>
      <w:bookmarkEnd w:id="2865"/>
      <w:bookmarkEnd w:id="2866"/>
      <w:bookmarkEnd w:id="2867"/>
      <w:bookmarkEnd w:id="2868"/>
    </w:p>
    <w:p w14:paraId="70B0DAE9" w14:textId="77777777" w:rsidR="00D140F7" w:rsidRPr="00261B7A" w:rsidRDefault="00D140F7" w:rsidP="00D140F7">
      <w:pPr>
        <w:pStyle w:val="BodyText"/>
        <w:jc w:val="center"/>
      </w:pPr>
      <w:r w:rsidRPr="00261B7A">
        <w:rPr>
          <w:noProof/>
        </w:rPr>
        <w:drawing>
          <wp:inline distT="0" distB="0" distL="0" distR="0" wp14:anchorId="6C1D486B" wp14:editId="3A7032A6">
            <wp:extent cx="5080958" cy="3711073"/>
            <wp:effectExtent l="0" t="0" r="5715" b="3810"/>
            <wp:docPr id="48" name="Picture 4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rotWithShape="1">
                    <a:blip r:embed="rId274" cstate="print">
                      <a:extLst>
                        <a:ext uri="{28A0092B-C50C-407E-A947-70E740481C1C}">
                          <a14:useLocalDpi xmlns:a14="http://schemas.microsoft.com/office/drawing/2010/main" val="0"/>
                        </a:ext>
                      </a:extLst>
                    </a:blip>
                    <a:srcRect b="2615"/>
                    <a:stretch/>
                  </pic:blipFill>
                  <pic:spPr bwMode="auto">
                    <a:xfrm>
                      <a:off x="0" y="0"/>
                      <a:ext cx="5084188" cy="3713432"/>
                    </a:xfrm>
                    <a:prstGeom prst="rect">
                      <a:avLst/>
                    </a:prstGeom>
                    <a:ln>
                      <a:noFill/>
                    </a:ln>
                    <a:extLst>
                      <a:ext uri="{53640926-AAD7-44D8-BBD7-CCE9431645EC}">
                        <a14:shadowObscured xmlns:a14="http://schemas.microsoft.com/office/drawing/2010/main"/>
                      </a:ext>
                    </a:extLst>
                  </pic:spPr>
                </pic:pic>
              </a:graphicData>
            </a:graphic>
          </wp:inline>
        </w:drawing>
      </w:r>
    </w:p>
    <w:p w14:paraId="4BCB217E" w14:textId="77777777" w:rsidR="00D140F7" w:rsidRPr="00261B7A" w:rsidRDefault="00D140F7" w:rsidP="00D140F7">
      <w:pPr>
        <w:pStyle w:val="Noteundertable"/>
      </w:pPr>
      <w:r w:rsidRPr="00261B7A">
        <w:rPr>
          <w:b/>
          <w:bCs/>
        </w:rPr>
        <w:t>Note:</w:t>
      </w:r>
      <w:r w:rsidRPr="00261B7A">
        <w:rPr>
          <w:b/>
          <w:bCs/>
        </w:rPr>
        <w:tab/>
      </w:r>
      <w:r w:rsidRPr="00261B7A">
        <w:t>Due to the small size of the recalculation, the 2023 submission line is obscured by the 2022 submission line.</w:t>
      </w:r>
    </w:p>
    <w:p w14:paraId="4AD0BA8F" w14:textId="77777777" w:rsidR="00D140F7" w:rsidRPr="00261B7A" w:rsidRDefault="00D140F7" w:rsidP="00914759">
      <w:pPr>
        <w:pStyle w:val="Heading2"/>
        <w:tabs>
          <w:tab w:val="clear" w:pos="851"/>
          <w:tab w:val="left" w:pos="964"/>
        </w:tabs>
      </w:pPr>
      <w:bookmarkStart w:id="2869" w:name="_Toc99659168"/>
      <w:bookmarkStart w:id="2870" w:name="_Toc131591276"/>
      <w:bookmarkStart w:id="2871" w:name="X1fe50eee1613289d52dd00961fd4966d5e2d673"/>
      <w:bookmarkEnd w:id="2784"/>
      <w:r w:rsidRPr="00261B7A">
        <w:t xml:space="preserve">10.2 </w:t>
      </w:r>
      <w:r w:rsidRPr="00261B7A">
        <w:tab/>
        <w:t>Recalculations and planned improvements in response to the review process</w:t>
      </w:r>
      <w:bookmarkEnd w:id="2869"/>
      <w:bookmarkEnd w:id="2870"/>
    </w:p>
    <w:p w14:paraId="4491ED58" w14:textId="77777777" w:rsidR="00D140F7" w:rsidRPr="00261B7A" w:rsidRDefault="00D140F7" w:rsidP="00D140F7">
      <w:pPr>
        <w:pStyle w:val="BodyText"/>
      </w:pPr>
      <w:r w:rsidRPr="00261B7A">
        <w:t xml:space="preserve">New Zealand has made improvements to the inventory to take into account the findings from the reviews of previous submissions. </w:t>
      </w:r>
    </w:p>
    <w:p w14:paraId="2D4B2A4D" w14:textId="77777777" w:rsidR="00D140F7" w:rsidRPr="00261B7A" w:rsidRDefault="00D140F7" w:rsidP="00D140F7">
      <w:pPr>
        <w:pStyle w:val="BodyText"/>
      </w:pPr>
      <w:r w:rsidRPr="00261B7A">
        <w:rPr>
          <w:spacing w:val="-2"/>
        </w:rPr>
        <w:t>Tables 3 and 4 of the assessment and review report of New Zealand’s 2021 National Inventory Report (NIR) (UNFCCC, 2023) contain an assessment of progress in addressing recommendations</w:t>
      </w:r>
      <w:r w:rsidRPr="00261B7A">
        <w:t xml:space="preserve"> provided by the expert review teams (ERTs) during the reviews of the 2019 and earlier submissions. These recommendations are detailed in table 10.2.1 along with New Zealand’s latest responses to those recommendations.</w:t>
      </w:r>
    </w:p>
    <w:p w14:paraId="37A2A3F0" w14:textId="77777777" w:rsidR="00D140F7" w:rsidRPr="00261B7A" w:rsidRDefault="00D140F7" w:rsidP="00D140F7">
      <w:pPr>
        <w:pStyle w:val="Table"/>
      </w:pPr>
      <w:bookmarkStart w:id="2872" w:name="_Toc99659382"/>
      <w:bookmarkStart w:id="2873" w:name="_Toc129781213"/>
      <w:bookmarkStart w:id="2874" w:name="_Toc130565748"/>
      <w:bookmarkStart w:id="2875" w:name="_Toc130565849"/>
      <w:bookmarkStart w:id="2876" w:name="_Toc131591493"/>
      <w:r w:rsidRPr="00261B7A">
        <w:t>Table 10.2.1</w:t>
      </w:r>
      <w:r w:rsidRPr="00261B7A">
        <w:tab/>
        <w:t>New Zealand’s responses to recommendations in tables 3 and 4 of the 2021 assessment and review report that remain relevant as issues raised in earlier reviews</w:t>
      </w:r>
      <w:bookmarkEnd w:id="2872"/>
      <w:bookmarkEnd w:id="2873"/>
      <w:bookmarkEnd w:id="2874"/>
      <w:bookmarkEnd w:id="2875"/>
      <w:bookmarkEnd w:id="2876"/>
    </w:p>
    <w:tbl>
      <w:tblPr>
        <w:tblW w:w="8505" w:type="dxa"/>
        <w:tblBorders>
          <w:top w:val="single" w:sz="4" w:space="0" w:color="1B556B"/>
          <w:bottom w:val="single" w:sz="4" w:space="0" w:color="1B556B"/>
          <w:insideH w:val="single" w:sz="4" w:space="0" w:color="1B556B"/>
        </w:tblBorders>
        <w:tblCellMar>
          <w:left w:w="85" w:type="dxa"/>
          <w:right w:w="57" w:type="dxa"/>
        </w:tblCellMar>
        <w:tblLook w:val="0420" w:firstRow="1" w:lastRow="0" w:firstColumn="0" w:lastColumn="0" w:noHBand="0" w:noVBand="1"/>
      </w:tblPr>
      <w:tblGrid>
        <w:gridCol w:w="1913"/>
        <w:gridCol w:w="927"/>
        <w:gridCol w:w="2747"/>
        <w:gridCol w:w="2918"/>
      </w:tblGrid>
      <w:tr w:rsidR="00D140F7" w:rsidRPr="00261B7A" w14:paraId="4217ADE8" w14:textId="77777777" w:rsidTr="009C63CA">
        <w:trPr>
          <w:tblHeader/>
        </w:trPr>
        <w:tc>
          <w:tcPr>
            <w:tcW w:w="1896" w:type="dxa"/>
            <w:shd w:val="clear" w:color="auto" w:fill="1B556B"/>
          </w:tcPr>
          <w:p w14:paraId="75781177" w14:textId="77777777" w:rsidR="00D140F7" w:rsidRPr="00261B7A" w:rsidRDefault="00D140F7" w:rsidP="009C63CA">
            <w:pPr>
              <w:pStyle w:val="TableTextBold"/>
              <w:spacing w:before="40" w:after="40"/>
              <w:rPr>
                <w:rFonts w:cs="Calibri"/>
                <w:noProof w:val="0"/>
                <w:color w:val="FFFFFF"/>
                <w:szCs w:val="16"/>
              </w:rPr>
            </w:pPr>
            <w:r w:rsidRPr="00261B7A">
              <w:rPr>
                <w:rFonts w:eastAsia="Calibri" w:cs="Calibri"/>
                <w:noProof w:val="0"/>
                <w:color w:val="FFFFFF"/>
                <w:szCs w:val="16"/>
              </w:rPr>
              <w:t>Sector</w:t>
            </w:r>
          </w:p>
        </w:tc>
        <w:tc>
          <w:tcPr>
            <w:tcW w:w="919" w:type="dxa"/>
            <w:shd w:val="clear" w:color="auto" w:fill="1B556B"/>
          </w:tcPr>
          <w:p w14:paraId="1A42F5EC" w14:textId="77777777" w:rsidR="00D140F7" w:rsidRPr="00261B7A" w:rsidRDefault="00D140F7" w:rsidP="009C63CA">
            <w:pPr>
              <w:pStyle w:val="TableTextBold"/>
              <w:spacing w:before="40" w:after="40"/>
              <w:rPr>
                <w:rFonts w:cs="Calibri"/>
                <w:noProof w:val="0"/>
                <w:color w:val="FFFFFF"/>
                <w:szCs w:val="16"/>
              </w:rPr>
            </w:pPr>
            <w:r w:rsidRPr="00261B7A">
              <w:rPr>
                <w:rFonts w:eastAsia="Calibri" w:cs="Calibri"/>
                <w:noProof w:val="0"/>
                <w:color w:val="FFFFFF"/>
                <w:szCs w:val="16"/>
              </w:rPr>
              <w:t>ID number</w:t>
            </w:r>
          </w:p>
        </w:tc>
        <w:tc>
          <w:tcPr>
            <w:tcW w:w="2722" w:type="dxa"/>
            <w:shd w:val="clear" w:color="auto" w:fill="1B556B"/>
          </w:tcPr>
          <w:p w14:paraId="15E12399" w14:textId="77777777" w:rsidR="00D140F7" w:rsidRPr="00261B7A" w:rsidRDefault="00D140F7" w:rsidP="009C63CA">
            <w:pPr>
              <w:pStyle w:val="TableTextBold"/>
              <w:spacing w:before="40" w:after="40"/>
              <w:rPr>
                <w:rFonts w:cs="Calibri"/>
                <w:noProof w:val="0"/>
                <w:color w:val="FFFFFF"/>
                <w:szCs w:val="16"/>
              </w:rPr>
            </w:pPr>
            <w:r w:rsidRPr="00261B7A">
              <w:rPr>
                <w:rFonts w:eastAsia="Calibri" w:cs="Calibri"/>
                <w:noProof w:val="0"/>
                <w:color w:val="FFFFFF"/>
                <w:szCs w:val="16"/>
              </w:rPr>
              <w:t>Expert review team recommendation</w:t>
            </w:r>
          </w:p>
        </w:tc>
        <w:tc>
          <w:tcPr>
            <w:tcW w:w="2892" w:type="dxa"/>
            <w:shd w:val="clear" w:color="auto" w:fill="1B556B"/>
          </w:tcPr>
          <w:p w14:paraId="791F5548" w14:textId="77777777" w:rsidR="00D140F7" w:rsidRPr="00261B7A" w:rsidRDefault="00D140F7" w:rsidP="009C63CA">
            <w:pPr>
              <w:pStyle w:val="TableTextBold"/>
              <w:spacing w:before="40" w:after="40"/>
              <w:rPr>
                <w:rFonts w:cs="Calibri"/>
                <w:noProof w:val="0"/>
                <w:color w:val="FFFFFF"/>
                <w:szCs w:val="16"/>
              </w:rPr>
            </w:pPr>
            <w:r w:rsidRPr="00261B7A">
              <w:rPr>
                <w:rFonts w:eastAsia="Calibri" w:cs="Calibri"/>
                <w:noProof w:val="0"/>
                <w:color w:val="FFFFFF"/>
                <w:szCs w:val="16"/>
              </w:rPr>
              <w:t>New Zealand response</w:t>
            </w:r>
          </w:p>
        </w:tc>
      </w:tr>
      <w:tr w:rsidR="00D140F7" w:rsidRPr="00261B7A" w14:paraId="67DDC33C" w14:textId="77777777" w:rsidTr="009C63CA">
        <w:tc>
          <w:tcPr>
            <w:tcW w:w="1896" w:type="dxa"/>
            <w:shd w:val="clear" w:color="auto" w:fill="FFFFFF" w:themeFill="background1"/>
          </w:tcPr>
          <w:p w14:paraId="217775C6"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General – Article 3.14</w:t>
            </w:r>
            <w:r w:rsidRPr="00261B7A">
              <w:rPr>
                <w:rFonts w:eastAsia="Calibri" w:cs="Calibri"/>
                <w:szCs w:val="16"/>
              </w:rPr>
              <w:br/>
              <w:t>(G.3, 2019)</w:t>
            </w:r>
            <w:r w:rsidRPr="00261B7A">
              <w:rPr>
                <w:rFonts w:eastAsia="Calibri" w:cs="Calibri"/>
                <w:szCs w:val="16"/>
              </w:rPr>
              <w:br/>
              <w:t>KP reporting adherence</w:t>
            </w:r>
          </w:p>
        </w:tc>
        <w:tc>
          <w:tcPr>
            <w:tcW w:w="919" w:type="dxa"/>
            <w:shd w:val="clear" w:color="auto" w:fill="FFFFFF" w:themeFill="background1"/>
          </w:tcPr>
          <w:p w14:paraId="7EEDF442"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G.1, 2021</w:t>
            </w:r>
          </w:p>
        </w:tc>
        <w:tc>
          <w:tcPr>
            <w:tcW w:w="2722" w:type="dxa"/>
            <w:shd w:val="clear" w:color="auto" w:fill="FFFFFF" w:themeFill="background1"/>
          </w:tcPr>
          <w:p w14:paraId="09C0852F"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Report in the NIR information on changes in the reporting on the minimization of adverse impacts in accordance with Article 3, paragraph 14, of the Kyoto Protocol.</w:t>
            </w:r>
          </w:p>
        </w:tc>
        <w:tc>
          <w:tcPr>
            <w:tcW w:w="2892" w:type="dxa"/>
            <w:shd w:val="clear" w:color="auto" w:fill="FFFFFF" w:themeFill="background1"/>
          </w:tcPr>
          <w:p w14:paraId="39C223A2" w14:textId="77777777" w:rsidR="00D140F7" w:rsidRPr="00261B7A" w:rsidRDefault="00D140F7" w:rsidP="009C63CA">
            <w:pPr>
              <w:pStyle w:val="TableText"/>
              <w:spacing w:before="40" w:after="40"/>
              <w:rPr>
                <w:rFonts w:eastAsia="Calibri" w:cs="Calibri"/>
                <w:szCs w:val="16"/>
              </w:rPr>
            </w:pPr>
            <w:r w:rsidRPr="00261B7A">
              <w:rPr>
                <w:rFonts w:cs="Calibri"/>
                <w:b/>
                <w:bCs/>
                <w:szCs w:val="16"/>
              </w:rPr>
              <w:t>Resolved.</w:t>
            </w:r>
            <w:r w:rsidRPr="00261B7A">
              <w:rPr>
                <w:rFonts w:cs="Calibri"/>
                <w:szCs w:val="16"/>
              </w:rPr>
              <w:t xml:space="preserve"> New Zealand reported in its 2021 NIR (p. 503) on changes in its reporting on the minimisation of adverse impacts, in accordance with Article 3, paragraph 14, of the Kyoto Protocol.</w:t>
            </w:r>
          </w:p>
        </w:tc>
      </w:tr>
      <w:tr w:rsidR="00D140F7" w:rsidRPr="00261B7A" w14:paraId="46662648" w14:textId="77777777" w:rsidTr="009C63CA">
        <w:tc>
          <w:tcPr>
            <w:tcW w:w="1896" w:type="dxa"/>
            <w:shd w:val="clear" w:color="auto" w:fill="FFFFFF" w:themeFill="background1"/>
          </w:tcPr>
          <w:p w14:paraId="4197B647"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General – Uncertainty analysis</w:t>
            </w:r>
            <w:r w:rsidRPr="00261B7A">
              <w:rPr>
                <w:rFonts w:eastAsia="Calibri" w:cs="Calibri"/>
                <w:szCs w:val="16"/>
              </w:rPr>
              <w:br/>
              <w:t>(G.7, 2019)</w:t>
            </w:r>
            <w:r w:rsidRPr="00261B7A">
              <w:rPr>
                <w:rFonts w:eastAsia="Calibri" w:cs="Calibri"/>
                <w:szCs w:val="16"/>
              </w:rPr>
              <w:br/>
              <w:t>Convention reporting adherence</w:t>
            </w:r>
          </w:p>
        </w:tc>
        <w:tc>
          <w:tcPr>
            <w:tcW w:w="919" w:type="dxa"/>
            <w:shd w:val="clear" w:color="auto" w:fill="FFFFFF" w:themeFill="background1"/>
          </w:tcPr>
          <w:p w14:paraId="7438A7B1"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G.2, 2021</w:t>
            </w:r>
          </w:p>
        </w:tc>
        <w:tc>
          <w:tcPr>
            <w:tcW w:w="2722" w:type="dxa"/>
            <w:shd w:val="clear" w:color="auto" w:fill="FFFFFF" w:themeFill="background1"/>
          </w:tcPr>
          <w:p w14:paraId="3C8632B4" w14:textId="77777777" w:rsidR="00D140F7" w:rsidRPr="00261B7A" w:rsidRDefault="00D140F7" w:rsidP="009C63CA">
            <w:pPr>
              <w:pStyle w:val="TableText"/>
              <w:spacing w:before="40" w:after="40"/>
              <w:rPr>
                <w:rFonts w:eastAsia="Calibri" w:cs="Calibri"/>
                <w:szCs w:val="16"/>
              </w:rPr>
            </w:pPr>
            <w:r w:rsidRPr="00261B7A">
              <w:rPr>
                <w:rFonts w:cs="Calibri"/>
                <w:szCs w:val="16"/>
              </w:rPr>
              <w:t>Include in the NIR an uncertainty analysis for 1990 (the base year under the Convention).</w:t>
            </w:r>
          </w:p>
        </w:tc>
        <w:tc>
          <w:tcPr>
            <w:tcW w:w="2892" w:type="dxa"/>
            <w:shd w:val="clear" w:color="auto" w:fill="FFFFFF" w:themeFill="background1"/>
          </w:tcPr>
          <w:p w14:paraId="0353F18B" w14:textId="77777777" w:rsidR="00D140F7" w:rsidRPr="00261B7A" w:rsidRDefault="00D140F7" w:rsidP="009C63CA">
            <w:pPr>
              <w:pStyle w:val="TableText"/>
              <w:spacing w:before="40" w:after="40"/>
              <w:rPr>
                <w:rFonts w:eastAsia="Calibri" w:cs="Calibri"/>
                <w:b/>
                <w:szCs w:val="16"/>
              </w:rPr>
            </w:pPr>
            <w:r w:rsidRPr="00261B7A">
              <w:rPr>
                <w:rFonts w:cs="Calibri"/>
                <w:b/>
                <w:bCs/>
                <w:szCs w:val="16"/>
              </w:rPr>
              <w:t>Resolved.</w:t>
            </w:r>
            <w:r w:rsidRPr="00261B7A">
              <w:rPr>
                <w:rFonts w:cs="Calibri"/>
                <w:szCs w:val="16"/>
              </w:rPr>
              <w:t xml:space="preserve"> New Zealand included in its 2021 NIR (p. 50) and in the annex to its 2021 NIR (p. 27) an uncertainty analysis for 1990 (the base year under the Convention) using approach 1 from the 2006 IPCC Guidelines (IPCC, 2006a), consistent with paragraph 15 of the UNFCCC Annex I reporting guidelines.</w:t>
            </w:r>
          </w:p>
        </w:tc>
      </w:tr>
      <w:tr w:rsidR="00D140F7" w:rsidRPr="00261B7A" w14:paraId="445288E7" w14:textId="77777777" w:rsidTr="009C63CA">
        <w:tc>
          <w:tcPr>
            <w:tcW w:w="1896" w:type="dxa"/>
            <w:shd w:val="clear" w:color="auto" w:fill="FFFFFF" w:themeFill="background1"/>
          </w:tcPr>
          <w:p w14:paraId="57D76841"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 xml:space="preserve">Energy – </w:t>
            </w:r>
            <w:r w:rsidRPr="00261B7A">
              <w:rPr>
                <w:rFonts w:cs="Calibri"/>
                <w:szCs w:val="16"/>
              </w:rPr>
              <w:t>Fuel combustion – reference approach – liquid fuels – CO</w:t>
            </w:r>
            <w:r w:rsidRPr="00261B7A">
              <w:rPr>
                <w:rFonts w:cs="Calibri"/>
                <w:szCs w:val="16"/>
                <w:vertAlign w:val="subscript"/>
              </w:rPr>
              <w:t>2</w:t>
            </w:r>
            <w:r w:rsidRPr="00261B7A">
              <w:rPr>
                <w:rFonts w:cs="Calibri"/>
                <w:szCs w:val="16"/>
              </w:rPr>
              <w:br/>
              <w:t>(E.2, 2019) (E.1 and E.2, 2017) (E.1 and E.8, 2016) (E.6 and E.21, 2015) (24, 2014) (27, 2013)</w:t>
            </w:r>
            <w:r w:rsidRPr="00261B7A">
              <w:rPr>
                <w:rFonts w:cs="Calibri"/>
                <w:szCs w:val="16"/>
                <w:highlight w:val="lightGray"/>
                <w:lang w:eastAsia="en-US"/>
              </w:rPr>
              <w:t xml:space="preserve"> </w:t>
            </w:r>
            <w:r w:rsidRPr="00261B7A">
              <w:rPr>
                <w:rFonts w:cs="Calibri"/>
                <w:szCs w:val="16"/>
                <w:vertAlign w:val="subscript"/>
                <w:lang w:eastAsia="en-US"/>
              </w:rPr>
              <w:br/>
            </w:r>
            <w:r w:rsidRPr="00261B7A">
              <w:rPr>
                <w:rFonts w:cs="Calibri"/>
                <w:szCs w:val="16"/>
              </w:rPr>
              <w:t>Accuracy</w:t>
            </w:r>
          </w:p>
        </w:tc>
        <w:tc>
          <w:tcPr>
            <w:tcW w:w="919" w:type="dxa"/>
            <w:shd w:val="clear" w:color="auto" w:fill="FFFFFF" w:themeFill="background1"/>
          </w:tcPr>
          <w:p w14:paraId="7DC77D1F"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E.1, 2021</w:t>
            </w:r>
          </w:p>
        </w:tc>
        <w:tc>
          <w:tcPr>
            <w:tcW w:w="2722" w:type="dxa"/>
            <w:shd w:val="clear" w:color="auto" w:fill="FFFFFF" w:themeFill="background1"/>
          </w:tcPr>
          <w:p w14:paraId="69180399" w14:textId="77777777" w:rsidR="00D140F7" w:rsidRPr="00261B7A" w:rsidRDefault="00D140F7" w:rsidP="009C63CA">
            <w:pPr>
              <w:pStyle w:val="TableText"/>
              <w:spacing w:before="40" w:after="40"/>
              <w:rPr>
                <w:rFonts w:cs="Calibri"/>
                <w:szCs w:val="16"/>
              </w:rPr>
            </w:pPr>
            <w:r w:rsidRPr="00261B7A">
              <w:rPr>
                <w:rFonts w:cs="Calibri"/>
                <w:color w:val="000000"/>
                <w:szCs w:val="16"/>
              </w:rPr>
              <w:t>Endeavour to separate naphtha and crude oil with a view to improving the transparency of the reference approach as well as the accuracy of the reporting of NEU of fuels and feedstocks.</w:t>
            </w:r>
          </w:p>
        </w:tc>
        <w:tc>
          <w:tcPr>
            <w:tcW w:w="2892" w:type="dxa"/>
            <w:shd w:val="clear" w:color="auto" w:fill="FFFFFF" w:themeFill="background1"/>
          </w:tcPr>
          <w:p w14:paraId="594EEFCE" w14:textId="0F801A86"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New Zealand separated the reporting of naphtha and crude oil under the reference approach (CRF table 1.A(b)) across the time series. Previously, AD for these fuels were reported together under crude oil. The Party explained that such disaggregation was possible owing to the migration of its data system to a different programming language (2021 NIR, chapter 3, section 3.3.2, p. 93 and section 3.3.3, p.</w:t>
            </w:r>
            <w:r w:rsidR="00914759" w:rsidRPr="00261B7A">
              <w:rPr>
                <w:rFonts w:cs="Calibri"/>
                <w:szCs w:val="16"/>
              </w:rPr>
              <w:t> </w:t>
            </w:r>
            <w:r w:rsidRPr="00261B7A">
              <w:rPr>
                <w:rFonts w:cs="Calibri"/>
                <w:szCs w:val="16"/>
              </w:rPr>
              <w:t>94)</w:t>
            </w:r>
            <w:r w:rsidR="00914759" w:rsidRPr="00261B7A">
              <w:rPr>
                <w:rFonts w:cs="Calibri"/>
                <w:szCs w:val="16"/>
              </w:rPr>
              <w:t>.</w:t>
            </w:r>
          </w:p>
        </w:tc>
      </w:tr>
      <w:tr w:rsidR="00D140F7" w:rsidRPr="00261B7A" w14:paraId="2228A4A1" w14:textId="77777777" w:rsidTr="009C63CA">
        <w:tc>
          <w:tcPr>
            <w:tcW w:w="1896" w:type="dxa"/>
            <w:shd w:val="clear" w:color="auto" w:fill="FFFFFF" w:themeFill="background1"/>
          </w:tcPr>
          <w:p w14:paraId="2D5AE24E" w14:textId="77777777" w:rsidR="00D140F7" w:rsidRPr="00261B7A" w:rsidRDefault="00D140F7" w:rsidP="009C63CA">
            <w:pPr>
              <w:pStyle w:val="TableText"/>
              <w:spacing w:before="40" w:after="40"/>
              <w:rPr>
                <w:rFonts w:cs="Calibri"/>
                <w:szCs w:val="16"/>
              </w:rPr>
            </w:pPr>
            <w:r w:rsidRPr="00261B7A">
              <w:rPr>
                <w:rFonts w:cs="Calibri"/>
                <w:szCs w:val="16"/>
              </w:rPr>
              <w:t xml:space="preserve">Energy – Fuel combustion – reference approach – </w:t>
            </w:r>
            <w:r w:rsidRPr="00261B7A">
              <w:rPr>
                <w:rFonts w:cs="Calibri"/>
                <w:color w:val="000000"/>
                <w:szCs w:val="16"/>
              </w:rPr>
              <w:t>CO</w:t>
            </w:r>
            <w:r w:rsidRPr="00261B7A">
              <w:rPr>
                <w:rFonts w:cs="Calibri"/>
                <w:color w:val="000000"/>
                <w:szCs w:val="16"/>
                <w:vertAlign w:val="subscript"/>
              </w:rPr>
              <w:t>2</w:t>
            </w:r>
            <w:r w:rsidRPr="00261B7A">
              <w:rPr>
                <w:rFonts w:cs="Calibri"/>
                <w:color w:val="000000"/>
                <w:szCs w:val="16"/>
              </w:rPr>
              <w:br/>
              <w:t>(E.3, 2019) (E.3, 2017) (E.9, 2016) (E.7 and E.22, 2015) (24, 2014) (27, 2013)</w:t>
            </w:r>
            <w:r w:rsidRPr="00261B7A">
              <w:rPr>
                <w:rFonts w:cs="Calibri"/>
                <w:color w:val="000000"/>
                <w:szCs w:val="16"/>
              </w:rPr>
              <w:br/>
            </w:r>
            <w:sdt>
              <w:sdtPr>
                <w:rPr>
                  <w:rFonts w:cs="Calibri"/>
                  <w:szCs w:val="16"/>
                </w:rPr>
                <w:tag w:val="Issue type"/>
                <w:id w:val="40722366"/>
                <w:placeholder>
                  <w:docPart w:val="78ACF8155A3A45EB900AF04BE422D5B3"/>
                </w:placeholder>
                <w:comboBox>
                  <w:listItem w:value="Choose an item."/>
                  <w:listItem w:displayText="Transparency" w:value="Transparency"/>
                  <w:listItem w:displayText="Consistency" w:value="Consistency"/>
                  <w:listItem w:displayText="Comparability" w:value="Comparability"/>
                  <w:listItem w:displayText="Completeness" w:value="Completeness"/>
                  <w:listItem w:displayText="Accuracy" w:value="Accuracy"/>
                  <w:listItem w:displayText="Convention reporting adherence" w:value="Convention reporting adherence"/>
                </w:comboBox>
              </w:sdtPr>
              <w:sdtEndPr/>
              <w:sdtContent>
                <w:r w:rsidRPr="00261B7A">
                  <w:rPr>
                    <w:rFonts w:cs="Calibri"/>
                    <w:szCs w:val="16"/>
                  </w:rPr>
                  <w:t>Comparability</w:t>
                </w:r>
              </w:sdtContent>
            </w:sdt>
          </w:p>
        </w:tc>
        <w:tc>
          <w:tcPr>
            <w:tcW w:w="919" w:type="dxa"/>
            <w:shd w:val="clear" w:color="auto" w:fill="FFFFFF" w:themeFill="background1"/>
          </w:tcPr>
          <w:p w14:paraId="12A8A2C1" w14:textId="77777777" w:rsidR="00D140F7" w:rsidRPr="00261B7A" w:rsidRDefault="00D140F7" w:rsidP="009C63CA">
            <w:pPr>
              <w:pStyle w:val="TableText"/>
              <w:spacing w:before="40" w:after="40"/>
              <w:rPr>
                <w:rFonts w:cs="Calibri"/>
                <w:szCs w:val="16"/>
              </w:rPr>
            </w:pPr>
            <w:r w:rsidRPr="00261B7A">
              <w:rPr>
                <w:rFonts w:eastAsia="Calibri" w:cs="Calibri"/>
                <w:szCs w:val="16"/>
              </w:rPr>
              <w:t>E.2, 2021</w:t>
            </w:r>
          </w:p>
        </w:tc>
        <w:tc>
          <w:tcPr>
            <w:tcW w:w="2722" w:type="dxa"/>
            <w:shd w:val="clear" w:color="auto" w:fill="FFFFFF" w:themeFill="background1"/>
          </w:tcPr>
          <w:p w14:paraId="6A788679" w14:textId="77777777" w:rsidR="00D140F7" w:rsidRPr="00261B7A" w:rsidRDefault="00D140F7" w:rsidP="009C63CA">
            <w:pPr>
              <w:pStyle w:val="TableText"/>
              <w:spacing w:before="40" w:after="40"/>
              <w:rPr>
                <w:rFonts w:cs="Calibri"/>
                <w:szCs w:val="16"/>
              </w:rPr>
            </w:pPr>
            <w:r w:rsidRPr="00261B7A">
              <w:rPr>
                <w:rFonts w:cs="Calibri"/>
                <w:color w:val="000000"/>
                <w:szCs w:val="16"/>
              </w:rPr>
              <w:t>Endeavour to incorporate disaggregated data for lubricants, petroleum coke and bitumen in the submission or, if this is not possible, report on progress in addressing the recommendation.</w:t>
            </w:r>
          </w:p>
        </w:tc>
        <w:tc>
          <w:tcPr>
            <w:tcW w:w="2892" w:type="dxa"/>
            <w:shd w:val="clear" w:color="auto" w:fill="FFFFFF" w:themeFill="background1"/>
          </w:tcPr>
          <w:p w14:paraId="2CCBD149"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New Zealand reported disaggregated data for lubricants, petroleum coke and bitumen in CRF table 1.A(b) across the time series. Previously, AD for these fuels were reported together under bitumen. The Party explained that such disaggregation was possible owing to the migration of its data system to another programming language (2021 NIR, chapter 3, section 3.3.2, p. 93 and section 3.3.3, p. 94).</w:t>
            </w:r>
          </w:p>
        </w:tc>
      </w:tr>
      <w:tr w:rsidR="00D140F7" w:rsidRPr="00261B7A" w14:paraId="2C5FEE91" w14:textId="77777777" w:rsidTr="009C63CA">
        <w:tc>
          <w:tcPr>
            <w:tcW w:w="1896" w:type="dxa"/>
            <w:shd w:val="clear" w:color="auto" w:fill="FFFFFF" w:themeFill="background1"/>
          </w:tcPr>
          <w:p w14:paraId="0C40766E" w14:textId="77777777" w:rsidR="00D140F7" w:rsidRPr="00261B7A" w:rsidRDefault="00D140F7" w:rsidP="009C63CA">
            <w:pPr>
              <w:pStyle w:val="TableText"/>
              <w:spacing w:before="40" w:after="40"/>
              <w:rPr>
                <w:rFonts w:cs="Calibri"/>
                <w:szCs w:val="16"/>
              </w:rPr>
            </w:pPr>
            <w:r w:rsidRPr="00261B7A">
              <w:rPr>
                <w:rFonts w:cs="Calibri"/>
                <w:szCs w:val="16"/>
              </w:rPr>
              <w:t xml:space="preserve"> Energy – Fuel combustion – reference approach – </w:t>
            </w:r>
            <w:r w:rsidRPr="00261B7A">
              <w:rPr>
                <w:rFonts w:cs="Calibri"/>
                <w:color w:val="000000"/>
                <w:szCs w:val="16"/>
              </w:rPr>
              <w:t>all fuels – CO</w:t>
            </w:r>
            <w:r w:rsidRPr="00261B7A">
              <w:rPr>
                <w:rFonts w:cs="Calibri"/>
                <w:color w:val="000000"/>
                <w:szCs w:val="16"/>
                <w:vertAlign w:val="subscript"/>
              </w:rPr>
              <w:t>2</w:t>
            </w:r>
            <w:r w:rsidRPr="00261B7A">
              <w:rPr>
                <w:rFonts w:cs="Calibri"/>
                <w:color w:val="000000"/>
                <w:szCs w:val="16"/>
              </w:rPr>
              <w:br/>
              <w:t>(E.5, 2019) (E.24, 2017)</w:t>
            </w:r>
            <w:r w:rsidRPr="00261B7A">
              <w:rPr>
                <w:rFonts w:cs="Calibri"/>
                <w:szCs w:val="16"/>
                <w:lang w:eastAsia="en-US"/>
              </w:rPr>
              <w:br/>
            </w:r>
            <w:sdt>
              <w:sdtPr>
                <w:rPr>
                  <w:rFonts w:cs="Calibri"/>
                  <w:szCs w:val="16"/>
                </w:rPr>
                <w:tag w:val="Issue type"/>
                <w:id w:val="-1029798842"/>
                <w:placeholder>
                  <w:docPart w:val="02851C6F4D3A4F37A47F568A5ABA45DB"/>
                </w:placeholder>
                <w:comboBox>
                  <w:listItem w:value="Choose an item."/>
                  <w:listItem w:displayText="Transparency" w:value="Transparency"/>
                  <w:listItem w:displayText="Consistency" w:value="Consistency"/>
                  <w:listItem w:displayText="Comparability" w:value="Comparability"/>
                  <w:listItem w:displayText="Completeness" w:value="Completeness"/>
                  <w:listItem w:displayText="Accuracy" w:value="Accuracy"/>
                  <w:listItem w:displayText="Convention reporting adherence" w:value="Convention reporting adherence"/>
                </w:comboBox>
              </w:sdtPr>
              <w:sdtEndPr/>
              <w:sdtContent>
                <w:r w:rsidRPr="00261B7A">
                  <w:rPr>
                    <w:rFonts w:cs="Calibri"/>
                    <w:szCs w:val="16"/>
                  </w:rPr>
                  <w:t>Transparency</w:t>
                </w:r>
              </w:sdtContent>
            </w:sdt>
          </w:p>
        </w:tc>
        <w:tc>
          <w:tcPr>
            <w:tcW w:w="919" w:type="dxa"/>
            <w:shd w:val="clear" w:color="auto" w:fill="FFFFFF" w:themeFill="background1"/>
          </w:tcPr>
          <w:p w14:paraId="200C0772" w14:textId="77777777" w:rsidR="00D140F7" w:rsidRPr="00261B7A" w:rsidRDefault="00D140F7" w:rsidP="009C63CA">
            <w:pPr>
              <w:pStyle w:val="TableText"/>
              <w:spacing w:before="40" w:after="40"/>
              <w:rPr>
                <w:rFonts w:cs="Calibri"/>
                <w:szCs w:val="16"/>
              </w:rPr>
            </w:pPr>
            <w:r w:rsidRPr="00261B7A">
              <w:rPr>
                <w:rFonts w:eastAsia="Calibri" w:cs="Calibri"/>
                <w:szCs w:val="16"/>
              </w:rPr>
              <w:t>E.3, 2021</w:t>
            </w:r>
          </w:p>
        </w:tc>
        <w:tc>
          <w:tcPr>
            <w:tcW w:w="2722" w:type="dxa"/>
            <w:shd w:val="clear" w:color="auto" w:fill="FFFFFF" w:themeFill="background1"/>
          </w:tcPr>
          <w:p w14:paraId="08865DB6" w14:textId="77777777" w:rsidR="00D140F7" w:rsidRPr="00261B7A" w:rsidRDefault="00D140F7" w:rsidP="009C63CA">
            <w:pPr>
              <w:pStyle w:val="TableText"/>
              <w:spacing w:before="40" w:after="40"/>
              <w:rPr>
                <w:rFonts w:cs="Calibri"/>
                <w:szCs w:val="16"/>
              </w:rPr>
            </w:pPr>
            <w:r w:rsidRPr="00261B7A">
              <w:rPr>
                <w:rFonts w:cs="Calibri"/>
                <w:szCs w:val="16"/>
              </w:rPr>
              <w:t>Provide in the NIR a comparison of the allocation of fuel consumption data used in the inventory (CRF table 1.A(b)) and in the energy balance.</w:t>
            </w:r>
          </w:p>
        </w:tc>
        <w:tc>
          <w:tcPr>
            <w:tcW w:w="2892" w:type="dxa"/>
            <w:shd w:val="clear" w:color="auto" w:fill="FFFFFF" w:themeFill="background1"/>
          </w:tcPr>
          <w:p w14:paraId="25C5B28F"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New Zealand included information in its 2021 NIR, chapter 3, section 3.2.6 (p. 88) on the cases in which the structure of CRF table 1.A(b) does not align with that of its energy balance: (1) crude oil and refinery feedstock are combined in the energy balance, but reported separately in CRF table 1.A(b); (2) indigenous production of LPG, which is considered a primary fuel, is included in the national energy balance, but the CRF table does not allow entry of LPG production, so it is included under natural gas production and then allocated to LPG via stock change; and (3) the energy balance includes the production of synthetic gasoline from natural gas under energy transformation. The CRF table 1.A(b) does not allow entry of synthetic gasoline transformation, so it is included under natural gas production and then allocated to gasoline via stock change.</w:t>
            </w:r>
          </w:p>
        </w:tc>
      </w:tr>
      <w:tr w:rsidR="00D140F7" w:rsidRPr="00261B7A" w14:paraId="3C6ABBD1" w14:textId="77777777" w:rsidTr="009C63CA">
        <w:tc>
          <w:tcPr>
            <w:tcW w:w="1896" w:type="dxa"/>
            <w:shd w:val="clear" w:color="auto" w:fill="FFFFFF" w:themeFill="background1"/>
          </w:tcPr>
          <w:p w14:paraId="7750099D" w14:textId="77777777" w:rsidR="00D140F7" w:rsidRPr="00261B7A" w:rsidRDefault="00D140F7" w:rsidP="009C63CA">
            <w:pPr>
              <w:pStyle w:val="TableText"/>
              <w:spacing w:before="40" w:after="40"/>
              <w:rPr>
                <w:rFonts w:cs="Calibri"/>
                <w:szCs w:val="16"/>
              </w:rPr>
            </w:pPr>
            <w:r w:rsidRPr="00261B7A">
              <w:rPr>
                <w:rFonts w:cs="Calibri"/>
                <w:szCs w:val="16"/>
              </w:rPr>
              <w:t xml:space="preserve">Energy – 1.A.1.a Public electricity and heat production – </w:t>
            </w:r>
            <w:r w:rsidRPr="00261B7A">
              <w:rPr>
                <w:rFonts w:cs="Calibri"/>
                <w:szCs w:val="16"/>
                <w:lang w:eastAsia="en-US"/>
              </w:rPr>
              <w:t>liquid fuels – CO</w:t>
            </w:r>
            <w:r w:rsidRPr="00261B7A">
              <w:rPr>
                <w:rFonts w:cs="Calibri"/>
                <w:szCs w:val="16"/>
                <w:vertAlign w:val="subscript"/>
                <w:lang w:eastAsia="en-US"/>
              </w:rPr>
              <w:t>2</w:t>
            </w:r>
            <w:r w:rsidRPr="00261B7A">
              <w:rPr>
                <w:rFonts w:cs="Calibri"/>
                <w:szCs w:val="16"/>
                <w:lang w:eastAsia="en-US"/>
              </w:rPr>
              <w:t>, CH</w:t>
            </w:r>
            <w:r w:rsidRPr="00261B7A">
              <w:rPr>
                <w:rFonts w:cs="Calibri"/>
                <w:szCs w:val="16"/>
                <w:vertAlign w:val="subscript"/>
                <w:lang w:eastAsia="en-US"/>
              </w:rPr>
              <w:t>4</w:t>
            </w:r>
            <w:r w:rsidRPr="00261B7A">
              <w:rPr>
                <w:rFonts w:cs="Calibri"/>
                <w:szCs w:val="16"/>
                <w:lang w:eastAsia="en-US"/>
              </w:rPr>
              <w:t xml:space="preserve"> and N</w:t>
            </w:r>
            <w:r w:rsidRPr="00261B7A">
              <w:rPr>
                <w:rFonts w:cs="Calibri"/>
                <w:szCs w:val="16"/>
                <w:vertAlign w:val="subscript"/>
                <w:lang w:eastAsia="en-US"/>
              </w:rPr>
              <w:t>2</w:t>
            </w:r>
            <w:r w:rsidRPr="00261B7A">
              <w:rPr>
                <w:rFonts w:cs="Calibri"/>
                <w:szCs w:val="16"/>
                <w:lang w:eastAsia="en-US"/>
              </w:rPr>
              <w:t>O</w:t>
            </w:r>
            <w:r w:rsidRPr="00261B7A">
              <w:rPr>
                <w:rFonts w:cs="Calibri"/>
                <w:szCs w:val="16"/>
                <w:lang w:eastAsia="en-US"/>
              </w:rPr>
              <w:br/>
              <w:t>(E.23, 2019)</w:t>
            </w:r>
            <w:r w:rsidRPr="00261B7A">
              <w:rPr>
                <w:rFonts w:cs="Calibri"/>
                <w:szCs w:val="16"/>
                <w:lang w:eastAsia="en-US"/>
              </w:rPr>
              <w:br/>
            </w:r>
            <w:sdt>
              <w:sdtPr>
                <w:rPr>
                  <w:rFonts w:cs="Calibri"/>
                  <w:szCs w:val="16"/>
                </w:rPr>
                <w:tag w:val="Issue type"/>
                <w:id w:val="1811294073"/>
                <w:placeholder>
                  <w:docPart w:val="3D67B04C489C45D590C668478D86472E"/>
                </w:placeholder>
                <w:comboBox>
                  <w:listItem w:value="Choose an item."/>
                  <w:listItem w:displayText="Transparency" w:value="Transparency"/>
                  <w:listItem w:displayText="Consistency" w:value="Consistency"/>
                  <w:listItem w:displayText="Comparability" w:value="Comparability"/>
                  <w:listItem w:displayText="Completeness" w:value="Completeness"/>
                  <w:listItem w:displayText="Accuracy" w:value="Accuracy"/>
                  <w:listItem w:displayText="Convention reporting adherence" w:value="Convention reporting adherence"/>
                </w:comboBox>
              </w:sdtPr>
              <w:sdtEndPr/>
              <w:sdtContent>
                <w:r w:rsidRPr="00261B7A">
                  <w:rPr>
                    <w:rFonts w:cs="Calibri"/>
                    <w:szCs w:val="16"/>
                  </w:rPr>
                  <w:t>Transparency</w:t>
                </w:r>
              </w:sdtContent>
            </w:sdt>
          </w:p>
        </w:tc>
        <w:tc>
          <w:tcPr>
            <w:tcW w:w="919" w:type="dxa"/>
            <w:shd w:val="clear" w:color="auto" w:fill="FFFFFF" w:themeFill="background1"/>
          </w:tcPr>
          <w:p w14:paraId="548DBD2D"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E.4, 2021</w:t>
            </w:r>
          </w:p>
        </w:tc>
        <w:tc>
          <w:tcPr>
            <w:tcW w:w="2722" w:type="dxa"/>
            <w:shd w:val="clear" w:color="auto" w:fill="FFFFFF" w:themeFill="background1"/>
          </w:tcPr>
          <w:p w14:paraId="5C9F4BFA" w14:textId="77777777" w:rsidR="00D140F7" w:rsidRPr="00261B7A" w:rsidRDefault="00D140F7" w:rsidP="009C63CA">
            <w:pPr>
              <w:pStyle w:val="TableText"/>
              <w:spacing w:before="40" w:after="40"/>
              <w:rPr>
                <w:rFonts w:cs="Calibri"/>
                <w:szCs w:val="16"/>
              </w:rPr>
            </w:pPr>
            <w:r w:rsidRPr="00261B7A">
              <w:rPr>
                <w:rFonts w:cs="Calibri"/>
                <w:szCs w:val="16"/>
              </w:rPr>
              <w:t>Include information on trends in liquid fuel consumption, especially by explaining the values for 2001 (reported as “NO”) and 1992 and 2008 (where consumption and emissions were significantly higher than in other years since 1990).</w:t>
            </w:r>
          </w:p>
        </w:tc>
        <w:tc>
          <w:tcPr>
            <w:tcW w:w="2892" w:type="dxa"/>
            <w:shd w:val="clear" w:color="auto" w:fill="FFFFFF" w:themeFill="background1"/>
          </w:tcPr>
          <w:p w14:paraId="66328D7C" w14:textId="77777777" w:rsidR="00D140F7" w:rsidRPr="00261B7A" w:rsidRDefault="00D140F7" w:rsidP="009C63CA">
            <w:pPr>
              <w:pStyle w:val="TableText"/>
              <w:spacing w:before="40" w:after="40"/>
              <w:rPr>
                <w:rFonts w:cs="Calibri"/>
                <w:b/>
                <w:bCs/>
                <w:szCs w:val="16"/>
              </w:rPr>
            </w:pPr>
            <w:r w:rsidRPr="00261B7A">
              <w:rPr>
                <w:rFonts w:cs="Calibri"/>
                <w:b/>
                <w:bCs/>
                <w:szCs w:val="16"/>
              </w:rPr>
              <w:t>Resolved</w:t>
            </w:r>
            <w:r w:rsidRPr="00261B7A">
              <w:rPr>
                <w:rFonts w:cs="Calibri"/>
                <w:szCs w:val="16"/>
              </w:rPr>
              <w:t>. The Party explained in its 2021 NIR (p. 82) that the emissions from public electricity and heat production fluctuate considerably from year to year and that particularly dry meteorological conditions result in an increase in fossil electricity production to compensate for the shortfall in hydroelectric generation. In addition, because the storage capacity of hydro reservoirs is limited to around 10 per cent of New Zealand’s production, fossil fuel electricity generation is used to balance supply and demand. Information provided in the 2021 NIR (table 10.2.2) indicates that AD were checked with the data system manager at MBIE and found to be correct.</w:t>
            </w:r>
          </w:p>
        </w:tc>
      </w:tr>
      <w:tr w:rsidR="00D140F7" w:rsidRPr="00261B7A" w14:paraId="18EF9B46" w14:textId="77777777" w:rsidTr="009C63CA">
        <w:tc>
          <w:tcPr>
            <w:tcW w:w="1896" w:type="dxa"/>
            <w:shd w:val="clear" w:color="auto" w:fill="FFFFFF" w:themeFill="background1"/>
          </w:tcPr>
          <w:p w14:paraId="65B41EBC" w14:textId="77777777" w:rsidR="00D140F7" w:rsidRPr="00261B7A" w:rsidRDefault="00D140F7" w:rsidP="009C63CA">
            <w:pPr>
              <w:pStyle w:val="TableText"/>
              <w:spacing w:before="40" w:after="40"/>
              <w:rPr>
                <w:rFonts w:cs="Calibri"/>
                <w:szCs w:val="16"/>
              </w:rPr>
            </w:pPr>
            <w:r w:rsidRPr="00261B7A">
              <w:rPr>
                <w:rFonts w:cs="Calibri"/>
                <w:szCs w:val="16"/>
              </w:rPr>
              <w:t xml:space="preserve">Energy – 1.A.2 Manufacturing industries and construction – </w:t>
            </w:r>
            <w:r w:rsidRPr="00261B7A">
              <w:rPr>
                <w:rFonts w:cs="Calibri"/>
                <w:szCs w:val="16"/>
                <w:lang w:eastAsia="en-US"/>
              </w:rPr>
              <w:t>liquid fuels – CO</w:t>
            </w:r>
            <w:r w:rsidRPr="00261B7A">
              <w:rPr>
                <w:rFonts w:cs="Calibri"/>
                <w:szCs w:val="16"/>
                <w:vertAlign w:val="subscript"/>
                <w:lang w:eastAsia="en-US"/>
              </w:rPr>
              <w:t>2</w:t>
            </w:r>
            <w:r w:rsidRPr="00261B7A">
              <w:rPr>
                <w:rFonts w:cs="Calibri"/>
                <w:szCs w:val="16"/>
                <w:lang w:eastAsia="en-US"/>
              </w:rPr>
              <w:t>, CH</w:t>
            </w:r>
            <w:r w:rsidRPr="00261B7A">
              <w:rPr>
                <w:rFonts w:cs="Calibri"/>
                <w:szCs w:val="16"/>
                <w:vertAlign w:val="subscript"/>
                <w:lang w:eastAsia="en-US"/>
              </w:rPr>
              <w:t>4</w:t>
            </w:r>
            <w:r w:rsidRPr="00261B7A">
              <w:rPr>
                <w:rFonts w:cs="Calibri"/>
                <w:szCs w:val="16"/>
                <w:lang w:eastAsia="en-US"/>
              </w:rPr>
              <w:t xml:space="preserve"> and N</w:t>
            </w:r>
            <w:r w:rsidRPr="00261B7A">
              <w:rPr>
                <w:rFonts w:cs="Calibri"/>
                <w:szCs w:val="16"/>
                <w:vertAlign w:val="subscript"/>
                <w:lang w:eastAsia="en-US"/>
              </w:rPr>
              <w:t>2</w:t>
            </w:r>
            <w:r w:rsidRPr="00261B7A">
              <w:rPr>
                <w:rFonts w:cs="Calibri"/>
                <w:szCs w:val="16"/>
                <w:lang w:eastAsia="en-US"/>
              </w:rPr>
              <w:t xml:space="preserve">O </w:t>
            </w:r>
            <w:r w:rsidRPr="00261B7A">
              <w:rPr>
                <w:rFonts w:cs="Calibri"/>
                <w:szCs w:val="16"/>
                <w:lang w:eastAsia="en-US"/>
              </w:rPr>
              <w:br/>
              <w:t>(E.24, 2019)</w:t>
            </w:r>
            <w:r w:rsidRPr="00261B7A">
              <w:rPr>
                <w:rFonts w:cs="Calibri"/>
                <w:szCs w:val="16"/>
                <w:lang w:eastAsia="en-US"/>
              </w:rPr>
              <w:br/>
            </w:r>
            <w:sdt>
              <w:sdtPr>
                <w:rPr>
                  <w:rFonts w:cs="Calibri"/>
                  <w:szCs w:val="16"/>
                </w:rPr>
                <w:tag w:val="Issue type"/>
                <w:id w:val="-1649510405"/>
                <w:placeholder>
                  <w:docPart w:val="C476C562E7CD4BBF9732CEA3AE49FDFC"/>
                </w:placeholder>
                <w:comboBox>
                  <w:listItem w:value="Choose an item."/>
                  <w:listItem w:displayText="Transparency" w:value="Transparency"/>
                  <w:listItem w:displayText="Consistency" w:value="Consistency"/>
                  <w:listItem w:displayText="Comparability" w:value="Comparability"/>
                  <w:listItem w:displayText="Completeness" w:value="Completeness"/>
                  <w:listItem w:displayText="Accuracy" w:value="Accuracy"/>
                  <w:listItem w:displayText="Convention reporting adherence" w:value="Convention reporting adherence"/>
                </w:comboBox>
              </w:sdtPr>
              <w:sdtEndPr/>
              <w:sdtContent>
                <w:r w:rsidRPr="00261B7A">
                  <w:rPr>
                    <w:rFonts w:cs="Calibri"/>
                    <w:szCs w:val="16"/>
                  </w:rPr>
                  <w:t>Transparency</w:t>
                </w:r>
              </w:sdtContent>
            </w:sdt>
          </w:p>
        </w:tc>
        <w:tc>
          <w:tcPr>
            <w:tcW w:w="919" w:type="dxa"/>
            <w:shd w:val="clear" w:color="auto" w:fill="FFFFFF" w:themeFill="background1"/>
          </w:tcPr>
          <w:p w14:paraId="4A0BFC05"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E.5, 2021</w:t>
            </w:r>
          </w:p>
        </w:tc>
        <w:tc>
          <w:tcPr>
            <w:tcW w:w="2722" w:type="dxa"/>
            <w:shd w:val="clear" w:color="auto" w:fill="FFFFFF" w:themeFill="background1"/>
          </w:tcPr>
          <w:p w14:paraId="48D030F8" w14:textId="77777777" w:rsidR="00D140F7" w:rsidRPr="00261B7A" w:rsidRDefault="00D140F7" w:rsidP="009C63CA">
            <w:pPr>
              <w:pStyle w:val="TableText"/>
              <w:spacing w:before="40" w:after="40"/>
              <w:rPr>
                <w:rFonts w:cs="Calibri"/>
                <w:szCs w:val="16"/>
              </w:rPr>
            </w:pPr>
            <w:r w:rsidRPr="00261B7A">
              <w:rPr>
                <w:rFonts w:cs="Calibri"/>
                <w:szCs w:val="16"/>
              </w:rPr>
              <w:t>Include more detail on the method used for disaggregation of liquid fuels to the subcategories under manufacturing industries and construction (such as energy intensities in PJ per unit of GDP).</w:t>
            </w:r>
          </w:p>
        </w:tc>
        <w:tc>
          <w:tcPr>
            <w:tcW w:w="2892" w:type="dxa"/>
            <w:shd w:val="clear" w:color="auto" w:fill="FFFFFF" w:themeFill="background1"/>
          </w:tcPr>
          <w:p w14:paraId="75F37C2C" w14:textId="77777777" w:rsidR="00D140F7" w:rsidRPr="00261B7A" w:rsidRDefault="00D140F7" w:rsidP="009C63CA">
            <w:pPr>
              <w:pStyle w:val="TableText"/>
              <w:spacing w:before="40" w:after="40"/>
              <w:rPr>
                <w:rFonts w:cs="Calibri"/>
                <w:b/>
                <w:bCs/>
                <w:szCs w:val="16"/>
              </w:rPr>
            </w:pPr>
            <w:r w:rsidRPr="00261B7A">
              <w:rPr>
                <w:rFonts w:cs="Calibri"/>
                <w:b/>
                <w:bCs/>
                <w:szCs w:val="16"/>
              </w:rPr>
              <w:t xml:space="preserve">Resolved. </w:t>
            </w:r>
            <w:r w:rsidRPr="00261B7A">
              <w:rPr>
                <w:rFonts w:cs="Calibri"/>
                <w:szCs w:val="16"/>
              </w:rPr>
              <w:t>New Zealand included in its 2021 NIR (chapter 3, section 3.3.7, p. 104) a full explanation of how liquid fuels are disaggregated by type of industry (manufacturing industries and construction subcategories), as well as table 3.3.5, which shows the energy intensity values (GJ per GDP) used to disaggregate liquid fuel consumption by type of industry.</w:t>
            </w:r>
          </w:p>
        </w:tc>
      </w:tr>
      <w:tr w:rsidR="00D140F7" w:rsidRPr="00261B7A" w14:paraId="10E13295" w14:textId="77777777" w:rsidTr="009C63CA">
        <w:tc>
          <w:tcPr>
            <w:tcW w:w="1896" w:type="dxa"/>
            <w:shd w:val="clear" w:color="auto" w:fill="FFFFFF" w:themeFill="background1"/>
          </w:tcPr>
          <w:p w14:paraId="3B248680" w14:textId="77777777" w:rsidR="00D140F7" w:rsidRPr="00261B7A" w:rsidRDefault="00D140F7" w:rsidP="009C63CA">
            <w:pPr>
              <w:pStyle w:val="TableText"/>
              <w:spacing w:before="40" w:after="40"/>
              <w:rPr>
                <w:rFonts w:cs="Calibri"/>
                <w:szCs w:val="16"/>
              </w:rPr>
            </w:pPr>
            <w:r w:rsidRPr="00261B7A">
              <w:rPr>
                <w:rFonts w:cs="Calibri"/>
                <w:szCs w:val="16"/>
              </w:rPr>
              <w:t xml:space="preserve">Energy – 1.A.2 Manufacturing industries and construction </w:t>
            </w:r>
            <w:r w:rsidRPr="00261B7A">
              <w:rPr>
                <w:rFonts w:cs="Calibri"/>
                <w:szCs w:val="16"/>
              </w:rPr>
              <w:br/>
              <w:t xml:space="preserve"> – </w:t>
            </w:r>
            <w:r w:rsidRPr="00261B7A">
              <w:rPr>
                <w:rFonts w:cs="Calibri"/>
                <w:szCs w:val="16"/>
                <w:lang w:eastAsia="en-US"/>
              </w:rPr>
              <w:t>gaseous fuels – CO</w:t>
            </w:r>
            <w:r w:rsidRPr="00261B7A">
              <w:rPr>
                <w:rFonts w:cs="Calibri"/>
                <w:szCs w:val="16"/>
                <w:vertAlign w:val="subscript"/>
                <w:lang w:eastAsia="en-US"/>
              </w:rPr>
              <w:t>2</w:t>
            </w:r>
            <w:r w:rsidRPr="00261B7A">
              <w:rPr>
                <w:rFonts w:cs="Calibri"/>
                <w:szCs w:val="16"/>
                <w:lang w:eastAsia="en-US"/>
              </w:rPr>
              <w:t>, CH</w:t>
            </w:r>
            <w:r w:rsidRPr="00261B7A">
              <w:rPr>
                <w:rFonts w:cs="Calibri"/>
                <w:szCs w:val="16"/>
                <w:vertAlign w:val="subscript"/>
                <w:lang w:eastAsia="en-US"/>
              </w:rPr>
              <w:t>4</w:t>
            </w:r>
            <w:r w:rsidRPr="00261B7A">
              <w:rPr>
                <w:rFonts w:cs="Calibri"/>
                <w:szCs w:val="16"/>
                <w:lang w:eastAsia="en-US"/>
              </w:rPr>
              <w:t xml:space="preserve"> and N</w:t>
            </w:r>
            <w:r w:rsidRPr="00261B7A">
              <w:rPr>
                <w:rFonts w:cs="Calibri"/>
                <w:szCs w:val="16"/>
                <w:vertAlign w:val="subscript"/>
                <w:lang w:eastAsia="en-US"/>
              </w:rPr>
              <w:t>2</w:t>
            </w:r>
            <w:r w:rsidRPr="00261B7A">
              <w:rPr>
                <w:rFonts w:cs="Calibri"/>
                <w:szCs w:val="16"/>
                <w:lang w:eastAsia="en-US"/>
              </w:rPr>
              <w:t>O</w:t>
            </w:r>
            <w:r w:rsidRPr="00261B7A">
              <w:rPr>
                <w:rFonts w:cs="Calibri"/>
                <w:szCs w:val="16"/>
                <w:vertAlign w:val="subscript"/>
                <w:lang w:eastAsia="en-US"/>
              </w:rPr>
              <w:br/>
            </w:r>
            <w:r w:rsidRPr="00261B7A">
              <w:rPr>
                <w:rFonts w:cs="Calibri"/>
                <w:szCs w:val="16"/>
                <w:lang w:eastAsia="en-US"/>
              </w:rPr>
              <w:t>(E.28, 2019)</w:t>
            </w:r>
            <w:r w:rsidRPr="00261B7A">
              <w:rPr>
                <w:rFonts w:cs="Calibri"/>
                <w:szCs w:val="16"/>
                <w:lang w:eastAsia="en-US"/>
              </w:rPr>
              <w:br/>
            </w:r>
            <w:sdt>
              <w:sdtPr>
                <w:rPr>
                  <w:rFonts w:cs="Calibri"/>
                  <w:szCs w:val="16"/>
                </w:rPr>
                <w:tag w:val="Issue type"/>
                <w:id w:val="-163323651"/>
                <w:placeholder>
                  <w:docPart w:val="97899837E29441408729C618D3976E3A"/>
                </w:placeholder>
                <w:comboBox>
                  <w:listItem w:value="Choose an item."/>
                  <w:listItem w:displayText="Transparency" w:value="Transparency"/>
                  <w:listItem w:displayText="Consistency" w:value="Consistency"/>
                  <w:listItem w:displayText="Comparability" w:value="Comparability"/>
                  <w:listItem w:displayText="Completeness" w:value="Completeness"/>
                  <w:listItem w:displayText="Accuracy" w:value="Accuracy"/>
                  <w:listItem w:displayText="Convention reporting adherence" w:value="Convention reporting adherence"/>
                </w:comboBox>
              </w:sdtPr>
              <w:sdtEndPr/>
              <w:sdtContent>
                <w:r w:rsidRPr="00261B7A">
                  <w:rPr>
                    <w:rFonts w:cs="Calibri"/>
                    <w:szCs w:val="16"/>
                  </w:rPr>
                  <w:t>Comparability</w:t>
                </w:r>
              </w:sdtContent>
            </w:sdt>
          </w:p>
        </w:tc>
        <w:tc>
          <w:tcPr>
            <w:tcW w:w="919" w:type="dxa"/>
            <w:shd w:val="clear" w:color="auto" w:fill="FFFFFF" w:themeFill="background1"/>
          </w:tcPr>
          <w:p w14:paraId="0348AD94"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E.6, 2021</w:t>
            </w:r>
          </w:p>
        </w:tc>
        <w:tc>
          <w:tcPr>
            <w:tcW w:w="2722" w:type="dxa"/>
            <w:shd w:val="clear" w:color="auto" w:fill="FFFFFF" w:themeFill="background1"/>
          </w:tcPr>
          <w:p w14:paraId="1637A869" w14:textId="77777777" w:rsidR="00D140F7" w:rsidRPr="00261B7A" w:rsidRDefault="00D140F7" w:rsidP="009C63CA">
            <w:pPr>
              <w:pStyle w:val="TableText"/>
              <w:spacing w:before="40" w:after="40"/>
              <w:rPr>
                <w:rFonts w:cs="Calibri"/>
                <w:szCs w:val="16"/>
              </w:rPr>
            </w:pPr>
            <w:r w:rsidRPr="00261B7A">
              <w:rPr>
                <w:rFonts w:cs="Calibri"/>
                <w:szCs w:val="16"/>
              </w:rPr>
              <w:t>Review the allocation of emissions for subcategories 1.A.2.f non-metallic minerals and 1.A.2.g.i manufacturing of machinery from gaseous fuel consumption for 2009–2015 and explain any recalculation in the NIR.</w:t>
            </w:r>
          </w:p>
        </w:tc>
        <w:tc>
          <w:tcPr>
            <w:tcW w:w="2892" w:type="dxa"/>
            <w:shd w:val="clear" w:color="auto" w:fill="FFFFFF" w:themeFill="background1"/>
          </w:tcPr>
          <w:p w14:paraId="70448CF9" w14:textId="77777777" w:rsidR="00D140F7" w:rsidRPr="00261B7A" w:rsidRDefault="00D140F7" w:rsidP="009C63CA">
            <w:pPr>
              <w:pStyle w:val="TableText"/>
              <w:rPr>
                <w:rFonts w:cs="Calibri"/>
                <w:szCs w:val="16"/>
              </w:rPr>
            </w:pPr>
            <w:r w:rsidRPr="00261B7A">
              <w:rPr>
                <w:rFonts w:cs="Calibri"/>
                <w:b/>
                <w:bCs/>
                <w:szCs w:val="16"/>
              </w:rPr>
              <w:t>Resolved.</w:t>
            </w:r>
            <w:r w:rsidRPr="00261B7A">
              <w:rPr>
                <w:rFonts w:cs="Calibri"/>
                <w:szCs w:val="16"/>
              </w:rPr>
              <w:t xml:space="preserve"> New Zealand reviewed natural gas consumption under subcategories 1.A.2.f (non-metallic minerals) and 1.A.2.g.i (manufacturing of machinery) in conjunction with the MBIE (oil and gas data system manager) and concluded that, in the light of the available information, there is currently insufficient justification to reallocate energy sales data, noting that, to maintain consistency, the emission estimates should continue to be based directly on energy sales data (i.e., data reported directly by natural gas sellers already aggregated at the corresponding New Zealand Standard Industrial Classification code level). The ERT agreed with this conclusion.</w:t>
            </w:r>
          </w:p>
        </w:tc>
      </w:tr>
      <w:tr w:rsidR="00D140F7" w:rsidRPr="00261B7A" w14:paraId="034F9DAF" w14:textId="77777777" w:rsidTr="009C63CA">
        <w:tc>
          <w:tcPr>
            <w:tcW w:w="1896" w:type="dxa"/>
            <w:shd w:val="clear" w:color="auto" w:fill="FFFFFF" w:themeFill="background1"/>
          </w:tcPr>
          <w:p w14:paraId="2A5E3700" w14:textId="77777777" w:rsidR="00D140F7" w:rsidRPr="00261B7A" w:rsidRDefault="00D140F7" w:rsidP="009C63CA">
            <w:pPr>
              <w:pStyle w:val="TableText"/>
              <w:rPr>
                <w:rFonts w:cs="Calibri"/>
                <w:szCs w:val="16"/>
              </w:rPr>
            </w:pPr>
            <w:r w:rsidRPr="00261B7A">
              <w:rPr>
                <w:rFonts w:cs="Calibri"/>
                <w:szCs w:val="16"/>
              </w:rPr>
              <w:t xml:space="preserve">Energy – 1.A.2.c Chemicals – </w:t>
            </w:r>
            <w:r w:rsidRPr="00261B7A">
              <w:rPr>
                <w:rFonts w:cs="Calibri"/>
                <w:szCs w:val="16"/>
                <w:lang w:eastAsia="en-US"/>
              </w:rPr>
              <w:t>gaseous fuels – CO</w:t>
            </w:r>
            <w:r w:rsidRPr="00261B7A">
              <w:rPr>
                <w:rFonts w:cs="Calibri"/>
                <w:szCs w:val="16"/>
                <w:vertAlign w:val="subscript"/>
                <w:lang w:eastAsia="en-US"/>
              </w:rPr>
              <w:t>2</w:t>
            </w:r>
            <w:r w:rsidRPr="00261B7A">
              <w:rPr>
                <w:rFonts w:cs="Calibri"/>
                <w:szCs w:val="16"/>
                <w:lang w:eastAsia="en-US"/>
              </w:rPr>
              <w:t>, CH</w:t>
            </w:r>
            <w:r w:rsidRPr="00261B7A">
              <w:rPr>
                <w:rFonts w:cs="Calibri"/>
                <w:szCs w:val="16"/>
                <w:vertAlign w:val="subscript"/>
                <w:lang w:eastAsia="en-US"/>
              </w:rPr>
              <w:t>4</w:t>
            </w:r>
            <w:r w:rsidRPr="00261B7A">
              <w:rPr>
                <w:rFonts w:cs="Calibri"/>
                <w:szCs w:val="16"/>
                <w:lang w:eastAsia="en-US"/>
              </w:rPr>
              <w:t xml:space="preserve"> and N</w:t>
            </w:r>
            <w:r w:rsidRPr="00261B7A">
              <w:rPr>
                <w:rFonts w:cs="Calibri"/>
                <w:szCs w:val="16"/>
                <w:vertAlign w:val="subscript"/>
                <w:lang w:eastAsia="en-US"/>
              </w:rPr>
              <w:t>2</w:t>
            </w:r>
            <w:r w:rsidRPr="00261B7A">
              <w:rPr>
                <w:rFonts w:cs="Calibri"/>
                <w:szCs w:val="16"/>
                <w:lang w:eastAsia="en-US"/>
              </w:rPr>
              <w:t xml:space="preserve">O </w:t>
            </w:r>
            <w:r w:rsidRPr="00261B7A">
              <w:rPr>
                <w:rFonts w:cs="Calibri"/>
                <w:szCs w:val="16"/>
                <w:lang w:eastAsia="en-US"/>
              </w:rPr>
              <w:br/>
              <w:t>(E.26,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7B70CFAA"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E.7, 2021</w:t>
            </w:r>
          </w:p>
        </w:tc>
        <w:tc>
          <w:tcPr>
            <w:tcW w:w="2722" w:type="dxa"/>
            <w:shd w:val="clear" w:color="auto" w:fill="FFFFFF" w:themeFill="background1"/>
          </w:tcPr>
          <w:p w14:paraId="31DBB6B4" w14:textId="77777777" w:rsidR="00D140F7" w:rsidRPr="00261B7A" w:rsidRDefault="00D140F7" w:rsidP="009C63CA">
            <w:pPr>
              <w:pStyle w:val="TableText"/>
              <w:spacing w:before="40" w:after="40"/>
              <w:rPr>
                <w:rFonts w:cs="Calibri"/>
                <w:szCs w:val="16"/>
              </w:rPr>
            </w:pPr>
            <w:r w:rsidRPr="00261B7A">
              <w:rPr>
                <w:rFonts w:cs="Calibri"/>
                <w:szCs w:val="16"/>
              </w:rPr>
              <w:t>Explain the trend in fuel consumption and emissions from chemicals in the NIR.</w:t>
            </w:r>
          </w:p>
        </w:tc>
        <w:tc>
          <w:tcPr>
            <w:tcW w:w="2892" w:type="dxa"/>
            <w:shd w:val="clear" w:color="auto" w:fill="FFFFFF" w:themeFill="background1"/>
          </w:tcPr>
          <w:p w14:paraId="54FCDA4D"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 xml:space="preserve">New Zealand explained in its 2021 NIR (chapter 3, section 3.2.3, p. 87) the required explanation, clarifying that the fluctuation in natural gas under subcategory 1.A.2.c is related to the national methanol production industry, which saw a reduction in its production levels in 2004 following a gas supply shortage in 2003, before increasing its capacity in 2008 and again in 2012, reaching full capacity again from December 2013 onward. </w:t>
            </w:r>
          </w:p>
        </w:tc>
      </w:tr>
      <w:tr w:rsidR="00D140F7" w:rsidRPr="00261B7A" w14:paraId="73D0D42D" w14:textId="77777777" w:rsidTr="009C63CA">
        <w:tc>
          <w:tcPr>
            <w:tcW w:w="1896" w:type="dxa"/>
            <w:shd w:val="clear" w:color="auto" w:fill="FFFFFF" w:themeFill="background1"/>
          </w:tcPr>
          <w:p w14:paraId="2060F0A8" w14:textId="77777777" w:rsidR="00D140F7" w:rsidRPr="00261B7A" w:rsidRDefault="00D140F7" w:rsidP="009C63CA">
            <w:pPr>
              <w:pStyle w:val="TableText"/>
              <w:keepNext/>
              <w:rPr>
                <w:rFonts w:cs="Calibri"/>
                <w:szCs w:val="16"/>
              </w:rPr>
            </w:pPr>
            <w:r w:rsidRPr="00261B7A">
              <w:rPr>
                <w:rFonts w:cs="Calibri"/>
                <w:szCs w:val="16"/>
              </w:rPr>
              <w:t xml:space="preserve">Energy – </w:t>
            </w:r>
            <w:r w:rsidRPr="00261B7A" w:rsidDel="00F3555D">
              <w:rPr>
                <w:rFonts w:cs="Calibri"/>
                <w:szCs w:val="16"/>
              </w:rPr>
              <w:t>1.A.3.b Road transportation</w:t>
            </w:r>
            <w:r w:rsidRPr="00261B7A">
              <w:rPr>
                <w:rFonts w:cs="Calibri"/>
                <w:szCs w:val="16"/>
              </w:rPr>
              <w:t xml:space="preserve"> – </w:t>
            </w:r>
            <w:r w:rsidRPr="00261B7A">
              <w:rPr>
                <w:rFonts w:cs="Calibri"/>
                <w:szCs w:val="16"/>
                <w:lang w:eastAsia="en-US"/>
              </w:rPr>
              <w:t>liquid and gaseous fuels – CO</w:t>
            </w:r>
            <w:r w:rsidRPr="00261B7A">
              <w:rPr>
                <w:rFonts w:cs="Calibri"/>
                <w:szCs w:val="16"/>
                <w:vertAlign w:val="subscript"/>
                <w:lang w:eastAsia="en-US"/>
              </w:rPr>
              <w:t>2</w:t>
            </w:r>
            <w:r w:rsidRPr="00261B7A">
              <w:rPr>
                <w:rFonts w:cs="Calibri"/>
                <w:szCs w:val="16"/>
                <w:lang w:eastAsia="en-US"/>
              </w:rPr>
              <w:t>, CH</w:t>
            </w:r>
            <w:r w:rsidRPr="00261B7A">
              <w:rPr>
                <w:rFonts w:cs="Calibri"/>
                <w:szCs w:val="16"/>
                <w:vertAlign w:val="subscript"/>
                <w:lang w:eastAsia="en-US"/>
              </w:rPr>
              <w:t>4</w:t>
            </w:r>
            <w:r w:rsidRPr="00261B7A">
              <w:rPr>
                <w:rFonts w:cs="Calibri"/>
                <w:szCs w:val="16"/>
                <w:lang w:eastAsia="en-US"/>
              </w:rPr>
              <w:t xml:space="preserve"> and N</w:t>
            </w:r>
            <w:r w:rsidRPr="00261B7A">
              <w:rPr>
                <w:rFonts w:cs="Calibri"/>
                <w:szCs w:val="16"/>
                <w:vertAlign w:val="subscript"/>
                <w:lang w:eastAsia="en-US"/>
              </w:rPr>
              <w:t>2</w:t>
            </w:r>
            <w:r w:rsidRPr="00261B7A">
              <w:rPr>
                <w:rFonts w:cs="Calibri"/>
                <w:szCs w:val="16"/>
                <w:lang w:eastAsia="en-US"/>
              </w:rPr>
              <w:t xml:space="preserve">O </w:t>
            </w:r>
            <w:r w:rsidRPr="00261B7A">
              <w:rPr>
                <w:rFonts w:cs="Calibri"/>
                <w:szCs w:val="16"/>
                <w:lang w:eastAsia="en-US"/>
              </w:rPr>
              <w:br/>
              <w:t>(E.29, 2019)</w:t>
            </w:r>
            <w:r w:rsidRPr="00261B7A">
              <w:rPr>
                <w:rFonts w:cs="Calibri"/>
                <w:szCs w:val="16"/>
                <w:lang w:eastAsia="en-US"/>
              </w:rPr>
              <w:br/>
            </w:r>
            <w:r w:rsidRPr="00261B7A">
              <w:rPr>
                <w:rFonts w:cs="Calibri"/>
                <w:szCs w:val="16"/>
              </w:rPr>
              <w:t>Comparability</w:t>
            </w:r>
          </w:p>
        </w:tc>
        <w:tc>
          <w:tcPr>
            <w:tcW w:w="919" w:type="dxa"/>
            <w:shd w:val="clear" w:color="auto" w:fill="FFFFFF" w:themeFill="background1"/>
          </w:tcPr>
          <w:p w14:paraId="41FD2BB5"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E.8, 2021</w:t>
            </w:r>
          </w:p>
        </w:tc>
        <w:tc>
          <w:tcPr>
            <w:tcW w:w="2722" w:type="dxa"/>
            <w:shd w:val="clear" w:color="auto" w:fill="FFFFFF" w:themeFill="background1"/>
          </w:tcPr>
          <w:p w14:paraId="2882A4F5" w14:textId="77777777" w:rsidR="00D140F7" w:rsidRPr="00261B7A" w:rsidRDefault="00D140F7" w:rsidP="009C63CA">
            <w:pPr>
              <w:pStyle w:val="TableText"/>
              <w:spacing w:before="40" w:after="40"/>
              <w:rPr>
                <w:rFonts w:cs="Calibri"/>
                <w:szCs w:val="16"/>
              </w:rPr>
            </w:pPr>
            <w:r w:rsidRPr="00261B7A">
              <w:rPr>
                <w:rFonts w:cs="Calibri"/>
                <w:szCs w:val="16"/>
              </w:rPr>
              <w:t>Report as “NO”, instead of “IE”, the AD and emissions for biomass for light- and heavy- duty trucks and buses, and diesel, liquefied petroleum gas and biomass for motorcycles for before 2000.</w:t>
            </w:r>
          </w:p>
        </w:tc>
        <w:tc>
          <w:tcPr>
            <w:tcW w:w="2892" w:type="dxa"/>
            <w:shd w:val="clear" w:color="auto" w:fill="FFFFFF" w:themeFill="background1"/>
          </w:tcPr>
          <w:p w14:paraId="36FF1B8D"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 xml:space="preserve">The notation keys have been updated. </w:t>
            </w:r>
          </w:p>
        </w:tc>
      </w:tr>
      <w:tr w:rsidR="00D140F7" w:rsidRPr="00261B7A" w14:paraId="02245E65" w14:textId="77777777" w:rsidTr="009C63CA">
        <w:tc>
          <w:tcPr>
            <w:tcW w:w="1896" w:type="dxa"/>
            <w:shd w:val="clear" w:color="auto" w:fill="FFFFFF" w:themeFill="background1"/>
          </w:tcPr>
          <w:p w14:paraId="2D68A807" w14:textId="77777777" w:rsidR="00D140F7" w:rsidRPr="00261B7A" w:rsidRDefault="00D140F7" w:rsidP="009C63CA">
            <w:pPr>
              <w:pStyle w:val="TableText"/>
              <w:rPr>
                <w:rFonts w:cs="Calibri"/>
                <w:szCs w:val="16"/>
              </w:rPr>
            </w:pPr>
            <w:r w:rsidRPr="00261B7A">
              <w:rPr>
                <w:rFonts w:cs="Calibri"/>
                <w:szCs w:val="16"/>
              </w:rPr>
              <w:t xml:space="preserve">Energy – </w:t>
            </w:r>
            <w:r w:rsidRPr="00261B7A" w:rsidDel="00F3555D">
              <w:rPr>
                <w:rFonts w:cs="Calibri"/>
                <w:szCs w:val="16"/>
              </w:rPr>
              <w:t>1.A.3.b Road transportation</w:t>
            </w:r>
            <w:r w:rsidRPr="00261B7A">
              <w:rPr>
                <w:rFonts w:cs="Calibri"/>
                <w:szCs w:val="16"/>
              </w:rPr>
              <w:t xml:space="preserve"> – </w:t>
            </w:r>
            <w:r w:rsidRPr="00261B7A">
              <w:rPr>
                <w:rFonts w:cs="Calibri"/>
                <w:szCs w:val="16"/>
                <w:lang w:eastAsia="en-US"/>
              </w:rPr>
              <w:t>liquid and gaseous fuels – CO</w:t>
            </w:r>
            <w:r w:rsidRPr="00261B7A">
              <w:rPr>
                <w:rFonts w:cs="Calibri"/>
                <w:szCs w:val="16"/>
                <w:vertAlign w:val="subscript"/>
                <w:lang w:eastAsia="en-US"/>
              </w:rPr>
              <w:t>2</w:t>
            </w:r>
            <w:r w:rsidRPr="00261B7A">
              <w:rPr>
                <w:rFonts w:cs="Calibri"/>
                <w:szCs w:val="16"/>
                <w:lang w:eastAsia="en-US"/>
              </w:rPr>
              <w:br/>
              <w:t>(E.30, 2019)</w:t>
            </w:r>
            <w:r w:rsidRPr="00261B7A">
              <w:rPr>
                <w:rFonts w:cs="Calibri"/>
                <w:szCs w:val="16"/>
                <w:lang w:eastAsia="en-US"/>
              </w:rPr>
              <w:br/>
            </w:r>
            <w:r w:rsidRPr="00261B7A">
              <w:rPr>
                <w:rFonts w:cs="Calibri"/>
                <w:szCs w:val="16"/>
              </w:rPr>
              <w:t>Convention reporting adherence</w:t>
            </w:r>
          </w:p>
        </w:tc>
        <w:tc>
          <w:tcPr>
            <w:tcW w:w="919" w:type="dxa"/>
            <w:shd w:val="clear" w:color="auto" w:fill="FFFFFF" w:themeFill="background1"/>
          </w:tcPr>
          <w:p w14:paraId="2302DAC1"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E.9, 2021</w:t>
            </w:r>
          </w:p>
        </w:tc>
        <w:tc>
          <w:tcPr>
            <w:tcW w:w="2722" w:type="dxa"/>
            <w:shd w:val="clear" w:color="auto" w:fill="FFFFFF" w:themeFill="background1"/>
          </w:tcPr>
          <w:p w14:paraId="3F8ED928" w14:textId="77777777" w:rsidR="00D140F7" w:rsidRPr="00261B7A" w:rsidRDefault="00D140F7" w:rsidP="009C63CA">
            <w:pPr>
              <w:pStyle w:val="TableText"/>
              <w:spacing w:before="40" w:after="40"/>
              <w:rPr>
                <w:rFonts w:cs="Calibri"/>
                <w:szCs w:val="16"/>
              </w:rPr>
            </w:pPr>
            <w:r w:rsidRPr="00261B7A">
              <w:rPr>
                <w:rFonts w:cs="Calibri"/>
                <w:szCs w:val="16"/>
              </w:rPr>
              <w:t>Continue to estimate the CO</w:t>
            </w:r>
            <w:r w:rsidRPr="00261B7A">
              <w:rPr>
                <w:rFonts w:cs="Calibri"/>
                <w:szCs w:val="16"/>
                <w:vertAlign w:val="subscript"/>
              </w:rPr>
              <w:t>2</w:t>
            </w:r>
            <w:r w:rsidRPr="00261B7A">
              <w:rPr>
                <w:rFonts w:cs="Calibri"/>
                <w:szCs w:val="16"/>
              </w:rPr>
              <w:t xml:space="preserve"> emissions on the basis of fuel sold, but report the CO</w:t>
            </w:r>
            <w:r w:rsidRPr="00261B7A">
              <w:rPr>
                <w:rFonts w:cs="Calibri"/>
                <w:szCs w:val="16"/>
                <w:vertAlign w:val="subscript"/>
              </w:rPr>
              <w:t>2</w:t>
            </w:r>
            <w:r w:rsidRPr="00261B7A">
              <w:rPr>
                <w:rFonts w:cs="Calibri"/>
                <w:szCs w:val="16"/>
              </w:rPr>
              <w:t xml:space="preserve"> emissions for before 2000 disaggregated by vehicle mode (cars, light-duty trucks, heavy-duty trucks and buses, and motorcycles) using the data collected for the estimation of CH</w:t>
            </w:r>
            <w:r w:rsidRPr="00261B7A">
              <w:rPr>
                <w:rFonts w:cs="Calibri"/>
                <w:szCs w:val="16"/>
                <w:vertAlign w:val="subscript"/>
              </w:rPr>
              <w:t>4</w:t>
            </w:r>
            <w:r w:rsidRPr="00261B7A">
              <w:rPr>
                <w:rFonts w:cs="Calibri"/>
                <w:szCs w:val="16"/>
              </w:rPr>
              <w:t xml:space="preserve"> and N</w:t>
            </w:r>
            <w:r w:rsidRPr="00261B7A">
              <w:rPr>
                <w:rFonts w:cs="Calibri"/>
                <w:szCs w:val="16"/>
                <w:vertAlign w:val="subscript"/>
              </w:rPr>
              <w:t>2</w:t>
            </w:r>
            <w:r w:rsidRPr="00261B7A">
              <w:rPr>
                <w:rFonts w:cs="Calibri"/>
                <w:szCs w:val="16"/>
              </w:rPr>
              <w:t>O emissions as a good practice to verify the CO</w:t>
            </w:r>
            <w:r w:rsidRPr="00261B7A">
              <w:rPr>
                <w:rFonts w:cs="Calibri"/>
                <w:szCs w:val="16"/>
                <w:vertAlign w:val="subscript"/>
              </w:rPr>
              <w:t>2</w:t>
            </w:r>
            <w:r w:rsidRPr="00261B7A">
              <w:rPr>
                <w:rFonts w:cs="Calibri"/>
                <w:szCs w:val="16"/>
              </w:rPr>
              <w:t xml:space="preserve"> estimates obtained with a tier 1 approach.</w:t>
            </w:r>
          </w:p>
        </w:tc>
        <w:tc>
          <w:tcPr>
            <w:tcW w:w="2892" w:type="dxa"/>
            <w:shd w:val="clear" w:color="auto" w:fill="FFFFFF" w:themeFill="background1"/>
          </w:tcPr>
          <w:p w14:paraId="662DB277" w14:textId="77777777" w:rsidR="00D140F7" w:rsidRPr="00261B7A" w:rsidRDefault="00D140F7" w:rsidP="009C63CA">
            <w:pPr>
              <w:pStyle w:val="TableText"/>
              <w:spacing w:before="40" w:after="40"/>
              <w:rPr>
                <w:rFonts w:cs="Calibri"/>
                <w:szCs w:val="16"/>
              </w:rPr>
            </w:pPr>
            <w:r w:rsidRPr="00261B7A">
              <w:rPr>
                <w:rFonts w:cs="Calibri"/>
                <w:b/>
                <w:bCs/>
                <w:szCs w:val="16"/>
              </w:rPr>
              <w:t>Addressing.</w:t>
            </w:r>
            <w:r w:rsidRPr="00261B7A">
              <w:rPr>
                <w:rFonts w:cs="Calibri"/>
                <w:szCs w:val="16"/>
              </w:rPr>
              <w:t xml:space="preserve"> A project to disaggregate these emissions by vehicle mode is under way, noting that key progress in reconfiguring the related system codes has been made (see 2021 NIR, chapter 3, section 3.3.3). An update will be included in the next submission.</w:t>
            </w:r>
          </w:p>
        </w:tc>
      </w:tr>
      <w:tr w:rsidR="00D140F7" w:rsidRPr="00261B7A" w14:paraId="79752D88" w14:textId="77777777" w:rsidTr="009C63CA">
        <w:tc>
          <w:tcPr>
            <w:tcW w:w="1896" w:type="dxa"/>
            <w:shd w:val="clear" w:color="auto" w:fill="FFFFFF" w:themeFill="background1"/>
          </w:tcPr>
          <w:p w14:paraId="4845F007" w14:textId="77777777" w:rsidR="00D140F7" w:rsidRPr="00261B7A" w:rsidRDefault="00D140F7" w:rsidP="009C63CA">
            <w:pPr>
              <w:pStyle w:val="TableText"/>
              <w:rPr>
                <w:rFonts w:cs="Calibri"/>
                <w:szCs w:val="16"/>
              </w:rPr>
            </w:pPr>
            <w:r w:rsidRPr="00261B7A">
              <w:rPr>
                <w:rFonts w:cs="Calibri"/>
                <w:szCs w:val="16"/>
              </w:rPr>
              <w:t xml:space="preserve">Energy – </w:t>
            </w:r>
            <w:r w:rsidRPr="00261B7A" w:rsidDel="00F3555D">
              <w:rPr>
                <w:rFonts w:cs="Calibri"/>
                <w:szCs w:val="16"/>
              </w:rPr>
              <w:t>1.A.3.b Road transportation</w:t>
            </w:r>
            <w:r w:rsidRPr="00261B7A">
              <w:rPr>
                <w:rFonts w:cs="Calibri"/>
                <w:szCs w:val="16"/>
              </w:rPr>
              <w:t xml:space="preserve"> – </w:t>
            </w:r>
            <w:r w:rsidRPr="00261B7A">
              <w:rPr>
                <w:rFonts w:cs="Calibri"/>
                <w:szCs w:val="16"/>
                <w:lang w:eastAsia="en-US"/>
              </w:rPr>
              <w:t>gaseous fuels – CO</w:t>
            </w:r>
            <w:r w:rsidRPr="00261B7A">
              <w:rPr>
                <w:rFonts w:cs="Calibri"/>
                <w:szCs w:val="16"/>
                <w:vertAlign w:val="subscript"/>
                <w:lang w:eastAsia="en-US"/>
              </w:rPr>
              <w:t>2</w:t>
            </w:r>
            <w:r w:rsidRPr="00261B7A">
              <w:rPr>
                <w:rFonts w:cs="Calibri"/>
                <w:szCs w:val="16"/>
                <w:lang w:eastAsia="en-US"/>
              </w:rPr>
              <w:t>, CH</w:t>
            </w:r>
            <w:r w:rsidRPr="00261B7A">
              <w:rPr>
                <w:rFonts w:cs="Calibri"/>
                <w:szCs w:val="16"/>
                <w:vertAlign w:val="subscript"/>
                <w:lang w:eastAsia="en-US"/>
              </w:rPr>
              <w:t>4</w:t>
            </w:r>
            <w:r w:rsidRPr="00261B7A">
              <w:rPr>
                <w:rFonts w:cs="Calibri"/>
                <w:szCs w:val="16"/>
                <w:lang w:eastAsia="en-US"/>
              </w:rPr>
              <w:t xml:space="preserve"> and N</w:t>
            </w:r>
            <w:r w:rsidRPr="00261B7A">
              <w:rPr>
                <w:rFonts w:cs="Calibri"/>
                <w:szCs w:val="16"/>
                <w:vertAlign w:val="subscript"/>
                <w:lang w:eastAsia="en-US"/>
              </w:rPr>
              <w:t>2</w:t>
            </w:r>
            <w:r w:rsidRPr="00261B7A">
              <w:rPr>
                <w:rFonts w:cs="Calibri"/>
                <w:szCs w:val="16"/>
                <w:lang w:eastAsia="en-US"/>
              </w:rPr>
              <w:t>O</w:t>
            </w:r>
            <w:r w:rsidRPr="00261B7A">
              <w:rPr>
                <w:rFonts w:cs="Calibri"/>
                <w:szCs w:val="16"/>
                <w:lang w:eastAsia="en-US"/>
              </w:rPr>
              <w:br/>
              <w:t>(E.31,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3E16243F"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E.10, 2021</w:t>
            </w:r>
          </w:p>
        </w:tc>
        <w:tc>
          <w:tcPr>
            <w:tcW w:w="2722" w:type="dxa"/>
            <w:shd w:val="clear" w:color="auto" w:fill="FFFFFF" w:themeFill="background1"/>
          </w:tcPr>
          <w:p w14:paraId="72795E59" w14:textId="77777777" w:rsidR="00D140F7" w:rsidRPr="00261B7A" w:rsidRDefault="00D140F7" w:rsidP="009C63CA">
            <w:pPr>
              <w:pStyle w:val="TableText"/>
              <w:spacing w:before="40" w:after="40"/>
              <w:rPr>
                <w:rFonts w:cs="Calibri"/>
                <w:szCs w:val="16"/>
              </w:rPr>
            </w:pPr>
            <w:r w:rsidRPr="00261B7A">
              <w:rPr>
                <w:rFonts w:cs="Calibri"/>
                <w:szCs w:val="16"/>
              </w:rPr>
              <w:t>Include in the NIR the description of the trend of gaseous fuels for cars and heavy-duty trucks and buses.</w:t>
            </w:r>
          </w:p>
        </w:tc>
        <w:tc>
          <w:tcPr>
            <w:tcW w:w="2892" w:type="dxa"/>
            <w:shd w:val="clear" w:color="auto" w:fill="FFFFFF" w:themeFill="background1"/>
          </w:tcPr>
          <w:p w14:paraId="352577E4"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New Zealand included in the 2021 NIR (chapter 3, section 3.3.8, p. 111) information on the trend of gaseous fuels used in road transportation, indicating that compressed natural gas and LPG began to be phased out of the market in 1987, owing to the cessation of government subsidies for bi-fuel vehicles, with just one bus company continuing to use compressed natural gas until 2017. No compressed natural gas or LPG have been used for road transportation since then.</w:t>
            </w:r>
          </w:p>
        </w:tc>
      </w:tr>
      <w:tr w:rsidR="00D140F7" w:rsidRPr="00261B7A" w14:paraId="2A383AF5" w14:textId="77777777" w:rsidTr="009C63CA">
        <w:tc>
          <w:tcPr>
            <w:tcW w:w="1896" w:type="dxa"/>
            <w:shd w:val="clear" w:color="auto" w:fill="FFFFFF" w:themeFill="background1"/>
          </w:tcPr>
          <w:p w14:paraId="1F60B418" w14:textId="77777777" w:rsidR="00D140F7" w:rsidRPr="00261B7A" w:rsidRDefault="00D140F7" w:rsidP="009C63CA">
            <w:pPr>
              <w:pStyle w:val="TableText"/>
              <w:rPr>
                <w:rFonts w:cs="Calibri"/>
                <w:szCs w:val="16"/>
              </w:rPr>
            </w:pPr>
            <w:r w:rsidRPr="00261B7A">
              <w:rPr>
                <w:rFonts w:cs="Calibri"/>
                <w:szCs w:val="16"/>
              </w:rPr>
              <w:t xml:space="preserve">Energy – </w:t>
            </w:r>
            <w:r w:rsidRPr="00261B7A" w:rsidDel="00F3555D">
              <w:rPr>
                <w:rFonts w:cs="Calibri"/>
                <w:szCs w:val="16"/>
              </w:rPr>
              <w:t>1.A.3.b Road transportation</w:t>
            </w:r>
            <w:r w:rsidRPr="00261B7A">
              <w:rPr>
                <w:rFonts w:cs="Calibri"/>
                <w:szCs w:val="16"/>
              </w:rPr>
              <w:t xml:space="preserve"> – </w:t>
            </w:r>
            <w:r w:rsidRPr="00261B7A">
              <w:rPr>
                <w:rFonts w:cs="Calibri"/>
                <w:szCs w:val="16"/>
                <w:lang w:eastAsia="en-US"/>
              </w:rPr>
              <w:t>biomass – CO</w:t>
            </w:r>
            <w:r w:rsidRPr="00261B7A">
              <w:rPr>
                <w:rFonts w:cs="Calibri"/>
                <w:szCs w:val="16"/>
                <w:vertAlign w:val="subscript"/>
                <w:lang w:eastAsia="en-US"/>
              </w:rPr>
              <w:t>2</w:t>
            </w:r>
            <w:r w:rsidRPr="00261B7A">
              <w:rPr>
                <w:rFonts w:cs="Calibri"/>
                <w:szCs w:val="16"/>
                <w:lang w:eastAsia="en-US"/>
              </w:rPr>
              <w:t>, CH</w:t>
            </w:r>
            <w:r w:rsidRPr="00261B7A">
              <w:rPr>
                <w:rFonts w:cs="Calibri"/>
                <w:szCs w:val="16"/>
                <w:vertAlign w:val="subscript"/>
                <w:lang w:eastAsia="en-US"/>
              </w:rPr>
              <w:t>4</w:t>
            </w:r>
            <w:r w:rsidRPr="00261B7A">
              <w:rPr>
                <w:rFonts w:cs="Calibri"/>
                <w:szCs w:val="16"/>
                <w:lang w:eastAsia="en-US"/>
              </w:rPr>
              <w:t xml:space="preserve"> and N</w:t>
            </w:r>
            <w:r w:rsidRPr="00261B7A">
              <w:rPr>
                <w:rFonts w:cs="Calibri"/>
                <w:szCs w:val="16"/>
                <w:vertAlign w:val="subscript"/>
                <w:lang w:eastAsia="en-US"/>
              </w:rPr>
              <w:t>2</w:t>
            </w:r>
            <w:r w:rsidRPr="00261B7A">
              <w:rPr>
                <w:rFonts w:cs="Calibri"/>
                <w:szCs w:val="16"/>
                <w:lang w:eastAsia="en-US"/>
              </w:rPr>
              <w:t>O</w:t>
            </w:r>
            <w:r w:rsidRPr="00261B7A">
              <w:rPr>
                <w:rFonts w:cs="Calibri"/>
                <w:szCs w:val="16"/>
                <w:lang w:eastAsia="en-US"/>
              </w:rPr>
              <w:br/>
              <w:t>(E.32,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5BE9AF98"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E.11, 2021</w:t>
            </w:r>
          </w:p>
        </w:tc>
        <w:tc>
          <w:tcPr>
            <w:tcW w:w="2722" w:type="dxa"/>
            <w:shd w:val="clear" w:color="auto" w:fill="FFFFFF" w:themeFill="background1"/>
          </w:tcPr>
          <w:p w14:paraId="2F0240DF" w14:textId="77777777" w:rsidR="00D140F7" w:rsidRPr="00261B7A" w:rsidRDefault="00D140F7" w:rsidP="009C63CA">
            <w:pPr>
              <w:pStyle w:val="TableText"/>
              <w:spacing w:before="40" w:after="40"/>
              <w:rPr>
                <w:rFonts w:cs="Calibri"/>
                <w:szCs w:val="16"/>
              </w:rPr>
            </w:pPr>
            <w:r w:rsidRPr="00261B7A">
              <w:rPr>
                <w:rFonts w:cs="Calibri"/>
                <w:szCs w:val="16"/>
              </w:rPr>
              <w:t>Explain the trend of biomass (biodiesel) used in road transportation, including the information that the biodiesel grant scheme ceased in June 2012.</w:t>
            </w:r>
          </w:p>
        </w:tc>
        <w:tc>
          <w:tcPr>
            <w:tcW w:w="2892" w:type="dxa"/>
            <w:shd w:val="clear" w:color="auto" w:fill="FFFFFF" w:themeFill="background1"/>
          </w:tcPr>
          <w:p w14:paraId="047F7F03"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New Zealand included in the 2021 NIR (chapter 3, section 3.3.8, p. 114) information on the trend of biodiesel used in road transportation, indicating that two supporting schemes for biodiesel use (the Biofuel Sales Obligation and Biodiesels Grant Scheme) were discontinued in 2012, following which availability of AD for biodiesel fell significantly and has remained relatively stagnant since then.</w:t>
            </w:r>
          </w:p>
        </w:tc>
      </w:tr>
      <w:tr w:rsidR="00D140F7" w:rsidRPr="00261B7A" w14:paraId="7527957C" w14:textId="77777777" w:rsidTr="009C63CA">
        <w:tc>
          <w:tcPr>
            <w:tcW w:w="1896" w:type="dxa"/>
            <w:shd w:val="clear" w:color="auto" w:fill="FFFFFF" w:themeFill="background1"/>
          </w:tcPr>
          <w:p w14:paraId="4A3A8A91" w14:textId="77777777" w:rsidR="00D140F7" w:rsidRPr="00261B7A" w:rsidRDefault="00D140F7" w:rsidP="009C63CA">
            <w:pPr>
              <w:pStyle w:val="TableText"/>
              <w:rPr>
                <w:rFonts w:cs="Calibri"/>
                <w:szCs w:val="16"/>
              </w:rPr>
            </w:pPr>
            <w:r w:rsidRPr="00261B7A">
              <w:rPr>
                <w:rFonts w:cs="Calibri"/>
                <w:szCs w:val="16"/>
              </w:rPr>
              <w:t xml:space="preserve">Energy – 1.B.1.a Coal mining and handling – </w:t>
            </w:r>
            <w:r w:rsidRPr="00261B7A">
              <w:rPr>
                <w:rFonts w:cs="Calibri"/>
                <w:color w:val="000000"/>
                <w:szCs w:val="16"/>
              </w:rPr>
              <w:t>solid fuels – CH</w:t>
            </w:r>
            <w:r w:rsidRPr="00261B7A">
              <w:rPr>
                <w:rFonts w:cs="Calibri"/>
                <w:color w:val="000000"/>
                <w:szCs w:val="16"/>
                <w:vertAlign w:val="subscript"/>
              </w:rPr>
              <w:t>4</w:t>
            </w:r>
            <w:r w:rsidRPr="00261B7A">
              <w:rPr>
                <w:rFonts w:cs="Calibri"/>
                <w:color w:val="000000"/>
                <w:szCs w:val="16"/>
              </w:rPr>
              <w:br/>
              <w:t>(E.15, 2019) (E.14, 2017) (E.17, 2016) (E.31, 2015)</w:t>
            </w:r>
            <w:r w:rsidRPr="00261B7A">
              <w:rPr>
                <w:rFonts w:cs="Calibri"/>
                <w:szCs w:val="16"/>
                <w:lang w:eastAsia="en-US"/>
              </w:rPr>
              <w:br/>
            </w:r>
            <w:r w:rsidRPr="00261B7A">
              <w:rPr>
                <w:rFonts w:cs="Calibri"/>
                <w:szCs w:val="16"/>
              </w:rPr>
              <w:t>Completeness</w:t>
            </w:r>
          </w:p>
        </w:tc>
        <w:tc>
          <w:tcPr>
            <w:tcW w:w="919" w:type="dxa"/>
            <w:shd w:val="clear" w:color="auto" w:fill="FFFFFF" w:themeFill="background1"/>
          </w:tcPr>
          <w:p w14:paraId="42E2B40B"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E.12, 2021</w:t>
            </w:r>
          </w:p>
        </w:tc>
        <w:tc>
          <w:tcPr>
            <w:tcW w:w="2722" w:type="dxa"/>
            <w:shd w:val="clear" w:color="auto" w:fill="FFFFFF" w:themeFill="background1"/>
          </w:tcPr>
          <w:p w14:paraId="0E21DBE5" w14:textId="77777777" w:rsidR="00D140F7" w:rsidRPr="00261B7A" w:rsidRDefault="00D140F7" w:rsidP="009C63CA">
            <w:pPr>
              <w:pStyle w:val="TableText"/>
              <w:spacing w:before="40" w:after="40"/>
              <w:rPr>
                <w:rFonts w:cs="Calibri"/>
                <w:szCs w:val="16"/>
              </w:rPr>
            </w:pPr>
            <w:r w:rsidRPr="00261B7A">
              <w:rPr>
                <w:rFonts w:cs="Calibri"/>
                <w:szCs w:val="16"/>
              </w:rPr>
              <w:t>Estimate CH</w:t>
            </w:r>
            <w:r w:rsidRPr="00261B7A">
              <w:rPr>
                <w:rFonts w:cs="Calibri"/>
                <w:szCs w:val="16"/>
                <w:vertAlign w:val="subscript"/>
              </w:rPr>
              <w:t>4</w:t>
            </w:r>
            <w:r w:rsidRPr="00261B7A">
              <w:rPr>
                <w:rFonts w:cs="Calibri"/>
                <w:szCs w:val="16"/>
              </w:rPr>
              <w:t xml:space="preserve"> emissions from abandoned underground mines (subcategory 1.B.1.a.i.3) or, if these emissions are considered insignificant, report them as “NE” and provide a quantitative estimate of the likely level of the emissions in accordance with paragraph 37(b) of the UNFCCC Annex I inventory reporting guidelines.</w:t>
            </w:r>
          </w:p>
        </w:tc>
        <w:tc>
          <w:tcPr>
            <w:tcW w:w="2892" w:type="dxa"/>
            <w:shd w:val="clear" w:color="auto" w:fill="FFFFFF" w:themeFill="background1"/>
          </w:tcPr>
          <w:p w14:paraId="43FDA81F" w14:textId="77777777" w:rsidR="00D140F7" w:rsidRPr="00261B7A" w:rsidRDefault="00D140F7" w:rsidP="009C63CA">
            <w:pPr>
              <w:pStyle w:val="TableText"/>
              <w:spacing w:before="40" w:after="40"/>
              <w:rPr>
                <w:rFonts w:cs="Calibri"/>
                <w:szCs w:val="16"/>
              </w:rPr>
            </w:pPr>
            <w:r w:rsidRPr="00261B7A">
              <w:rPr>
                <w:rFonts w:cs="Calibri"/>
                <w:b/>
                <w:bCs/>
                <w:szCs w:val="16"/>
              </w:rPr>
              <w:t xml:space="preserve">Addressing. </w:t>
            </w:r>
            <w:r w:rsidRPr="00261B7A">
              <w:rPr>
                <w:rFonts w:cs="Calibri"/>
                <w:szCs w:val="16"/>
              </w:rPr>
              <w:t>New Zealand reported ‘NO’ in CRF table 1.B.1 for subcategory 1.B.1.a.i.3 (abandoned underground mines). The Party explained in the 2021 NIR (chapter 3, section 3.4.1, p. 120) that a project is under way to identify whether activities under this subcategory occur in the country. To date, the results show that the activity does not take place in the North Island, with data still being collected or processed for the South island. During the review, the Party clarified that progress has been made in identifying old mines from historical mine records in the South Island, but these data still require significant manual processing before they can be used to meaningfully assess</w:t>
            </w:r>
            <w:r w:rsidRPr="00261B7A">
              <w:rPr>
                <w:rFonts w:cs="Calibri"/>
                <w:color w:val="000000" w:themeColor="text1"/>
                <w:szCs w:val="16"/>
              </w:rPr>
              <w:t xml:space="preserve"> </w:t>
            </w:r>
            <w:r w:rsidRPr="00261B7A">
              <w:rPr>
                <w:rFonts w:cs="Calibri"/>
                <w:szCs w:val="16"/>
              </w:rPr>
              <w:t>CH</w:t>
            </w:r>
            <w:r w:rsidRPr="00261B7A">
              <w:rPr>
                <w:rFonts w:cs="Calibri"/>
                <w:szCs w:val="16"/>
                <w:vertAlign w:val="subscript"/>
              </w:rPr>
              <w:t>4</w:t>
            </w:r>
            <w:r w:rsidRPr="00261B7A">
              <w:rPr>
                <w:rFonts w:cs="Calibri"/>
                <w:szCs w:val="16"/>
              </w:rPr>
              <w:t xml:space="preserve"> fugitive emissions. The intention is to complete this work in time for the 2024 submission.</w:t>
            </w:r>
          </w:p>
        </w:tc>
      </w:tr>
      <w:tr w:rsidR="00D140F7" w:rsidRPr="00261B7A" w14:paraId="1B21EE85" w14:textId="77777777" w:rsidTr="009C63CA">
        <w:tc>
          <w:tcPr>
            <w:tcW w:w="1896" w:type="dxa"/>
            <w:shd w:val="clear" w:color="auto" w:fill="FFFFFF" w:themeFill="background1"/>
          </w:tcPr>
          <w:p w14:paraId="0A9EA94A" w14:textId="77777777" w:rsidR="00D140F7" w:rsidRPr="00261B7A" w:rsidRDefault="00D140F7" w:rsidP="009C63CA">
            <w:pPr>
              <w:pStyle w:val="TableText"/>
              <w:rPr>
                <w:rFonts w:cs="Calibri"/>
                <w:szCs w:val="16"/>
              </w:rPr>
            </w:pPr>
            <w:r w:rsidRPr="00261B7A">
              <w:rPr>
                <w:rFonts w:cs="Calibri"/>
                <w:szCs w:val="16"/>
              </w:rPr>
              <w:t xml:space="preserve">Energy – 1.B.1.a Coal mining and handling – </w:t>
            </w:r>
            <w:r w:rsidRPr="00261B7A">
              <w:rPr>
                <w:rFonts w:cs="Calibri"/>
                <w:szCs w:val="16"/>
                <w:lang w:eastAsia="en-US"/>
              </w:rPr>
              <w:t>solid fuels – CO</w:t>
            </w:r>
            <w:r w:rsidRPr="00261B7A">
              <w:rPr>
                <w:rFonts w:cs="Calibri"/>
                <w:szCs w:val="16"/>
                <w:vertAlign w:val="subscript"/>
                <w:lang w:eastAsia="en-US"/>
              </w:rPr>
              <w:t>2</w:t>
            </w:r>
            <w:r w:rsidRPr="00261B7A">
              <w:rPr>
                <w:rFonts w:cs="Calibri"/>
                <w:szCs w:val="16"/>
                <w:lang w:eastAsia="en-US"/>
              </w:rPr>
              <w:br/>
              <w:t>(E.33, 2019)</w:t>
            </w:r>
            <w:r w:rsidRPr="00261B7A">
              <w:rPr>
                <w:rFonts w:cs="Calibri"/>
                <w:szCs w:val="16"/>
                <w:lang w:eastAsia="en-US"/>
              </w:rPr>
              <w:br/>
            </w:r>
            <w:r w:rsidRPr="00261B7A">
              <w:rPr>
                <w:rFonts w:cs="Calibri"/>
                <w:szCs w:val="16"/>
              </w:rPr>
              <w:t>Convention reporting adherence</w:t>
            </w:r>
          </w:p>
        </w:tc>
        <w:tc>
          <w:tcPr>
            <w:tcW w:w="919" w:type="dxa"/>
            <w:shd w:val="clear" w:color="auto" w:fill="FFFFFF" w:themeFill="background1"/>
          </w:tcPr>
          <w:p w14:paraId="03D13D73"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E.13, 2021</w:t>
            </w:r>
          </w:p>
        </w:tc>
        <w:tc>
          <w:tcPr>
            <w:tcW w:w="2722" w:type="dxa"/>
            <w:shd w:val="clear" w:color="auto" w:fill="FFFFFF" w:themeFill="background1"/>
          </w:tcPr>
          <w:p w14:paraId="0D2F15C9" w14:textId="77777777" w:rsidR="00D140F7" w:rsidRPr="00261B7A" w:rsidRDefault="00D140F7" w:rsidP="009C63CA">
            <w:pPr>
              <w:pStyle w:val="TableText"/>
              <w:spacing w:before="40" w:after="40"/>
              <w:rPr>
                <w:rFonts w:cs="Calibri"/>
                <w:szCs w:val="16"/>
              </w:rPr>
            </w:pPr>
            <w:r w:rsidRPr="00261B7A">
              <w:rPr>
                <w:rFonts w:cs="Calibri"/>
                <w:szCs w:val="16"/>
              </w:rPr>
              <w:t>Report CO</w:t>
            </w:r>
            <w:r w:rsidRPr="00261B7A">
              <w:rPr>
                <w:rFonts w:cs="Calibri"/>
                <w:szCs w:val="16"/>
                <w:vertAlign w:val="subscript"/>
              </w:rPr>
              <w:t>2</w:t>
            </w:r>
            <w:r w:rsidRPr="00261B7A">
              <w:rPr>
                <w:rFonts w:cs="Calibri"/>
                <w:szCs w:val="16"/>
              </w:rPr>
              <w:t xml:space="preserve"> emissions for subcategory 1.B.1.a.i.3 abandoned underground mines as “NO” instead of “NE” in CRF table 1.B.1 if no recovery or flaring of CH</w:t>
            </w:r>
            <w:r w:rsidRPr="00261B7A">
              <w:rPr>
                <w:rFonts w:cs="Calibri"/>
                <w:szCs w:val="16"/>
                <w:vertAlign w:val="subscript"/>
              </w:rPr>
              <w:t>4</w:t>
            </w:r>
            <w:r w:rsidRPr="00261B7A">
              <w:rPr>
                <w:rFonts w:cs="Calibri"/>
                <w:szCs w:val="16"/>
              </w:rPr>
              <w:t xml:space="preserve"> from abandoned underground mines occurred.</w:t>
            </w:r>
          </w:p>
        </w:tc>
        <w:tc>
          <w:tcPr>
            <w:tcW w:w="2892" w:type="dxa"/>
            <w:shd w:val="clear" w:color="auto" w:fill="FFFFFF" w:themeFill="background1"/>
          </w:tcPr>
          <w:p w14:paraId="62636B8D"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 xml:space="preserve">New Zealand reported ‘NO’ for subcategory 1.B.1.a.i.3 (abandoned underground mines) in CRF table 1.B.1. </w:t>
            </w:r>
          </w:p>
        </w:tc>
      </w:tr>
      <w:tr w:rsidR="00D140F7" w:rsidRPr="00261B7A" w14:paraId="3050C30F" w14:textId="77777777" w:rsidTr="009C63CA">
        <w:tc>
          <w:tcPr>
            <w:tcW w:w="1896" w:type="dxa"/>
            <w:shd w:val="clear" w:color="auto" w:fill="FFFFFF" w:themeFill="background1"/>
          </w:tcPr>
          <w:p w14:paraId="7FC8262D" w14:textId="77777777" w:rsidR="00D140F7" w:rsidRPr="00261B7A" w:rsidRDefault="00D140F7" w:rsidP="009C63CA">
            <w:pPr>
              <w:pStyle w:val="TableText"/>
              <w:keepNext/>
              <w:rPr>
                <w:rFonts w:cs="Calibri"/>
                <w:szCs w:val="16"/>
              </w:rPr>
            </w:pPr>
            <w:r w:rsidRPr="00261B7A">
              <w:rPr>
                <w:rFonts w:cs="Calibri"/>
                <w:szCs w:val="16"/>
              </w:rPr>
              <w:t xml:space="preserve">Energy – </w:t>
            </w:r>
            <w:r w:rsidRPr="00261B7A" w:rsidDel="00F3555D">
              <w:rPr>
                <w:rFonts w:cs="Calibri"/>
                <w:szCs w:val="16"/>
              </w:rPr>
              <w:t>1.B.2.a Oil</w:t>
            </w:r>
            <w:r w:rsidRPr="00261B7A">
              <w:rPr>
                <w:rFonts w:cs="Calibri"/>
                <w:szCs w:val="16"/>
              </w:rPr>
              <w:t xml:space="preserve"> – </w:t>
            </w:r>
            <w:r w:rsidRPr="00261B7A">
              <w:rPr>
                <w:rFonts w:cs="Calibri"/>
                <w:szCs w:val="16"/>
                <w:lang w:eastAsia="en-US"/>
              </w:rPr>
              <w:t>liquid fuels – CO</w:t>
            </w:r>
            <w:r w:rsidRPr="00261B7A">
              <w:rPr>
                <w:rFonts w:cs="Calibri"/>
                <w:szCs w:val="16"/>
                <w:vertAlign w:val="subscript"/>
                <w:lang w:eastAsia="en-US"/>
              </w:rPr>
              <w:t>2</w:t>
            </w:r>
            <w:r w:rsidRPr="00261B7A">
              <w:rPr>
                <w:rFonts w:cs="Calibri"/>
                <w:szCs w:val="16"/>
                <w:lang w:eastAsia="en-US"/>
              </w:rPr>
              <w:br/>
              <w:t>(E.34, 2019)</w:t>
            </w:r>
            <w:r w:rsidRPr="00261B7A">
              <w:rPr>
                <w:rFonts w:cs="Calibri"/>
                <w:szCs w:val="16"/>
                <w:lang w:eastAsia="en-US"/>
              </w:rPr>
              <w:br/>
            </w:r>
            <w:r w:rsidRPr="00261B7A">
              <w:rPr>
                <w:rFonts w:cs="Calibri"/>
                <w:szCs w:val="16"/>
              </w:rPr>
              <w:t>Comparability</w:t>
            </w:r>
          </w:p>
        </w:tc>
        <w:tc>
          <w:tcPr>
            <w:tcW w:w="919" w:type="dxa"/>
            <w:shd w:val="clear" w:color="auto" w:fill="FFFFFF" w:themeFill="background1"/>
          </w:tcPr>
          <w:p w14:paraId="3C6D7F97"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E.14, 2021</w:t>
            </w:r>
          </w:p>
        </w:tc>
        <w:tc>
          <w:tcPr>
            <w:tcW w:w="2722" w:type="dxa"/>
            <w:shd w:val="clear" w:color="auto" w:fill="FFFFFF" w:themeFill="background1"/>
          </w:tcPr>
          <w:p w14:paraId="4FC4856B" w14:textId="77777777" w:rsidR="00D140F7" w:rsidRPr="00261B7A" w:rsidRDefault="00D140F7" w:rsidP="009C63CA">
            <w:pPr>
              <w:pStyle w:val="TableText"/>
              <w:spacing w:before="40" w:after="40"/>
              <w:rPr>
                <w:rFonts w:cs="Calibri"/>
                <w:szCs w:val="16"/>
              </w:rPr>
            </w:pPr>
            <w:r w:rsidRPr="00261B7A">
              <w:rPr>
                <w:rFonts w:cs="Calibri"/>
                <w:szCs w:val="16"/>
              </w:rPr>
              <w:t>Change the allocation of emissions from refinery flaring from subcategory 1.B.2.a.6 oil – other to subcategory 1.B.2.c.2 flaring – oil.</w:t>
            </w:r>
          </w:p>
        </w:tc>
        <w:tc>
          <w:tcPr>
            <w:tcW w:w="2892" w:type="dxa"/>
            <w:shd w:val="clear" w:color="auto" w:fill="FFFFFF" w:themeFill="background1"/>
          </w:tcPr>
          <w:p w14:paraId="413F313D"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New Zealand reallocated CO</w:t>
            </w:r>
            <w:r w:rsidRPr="00261B7A">
              <w:rPr>
                <w:rFonts w:cs="Calibri"/>
                <w:szCs w:val="16"/>
                <w:vertAlign w:val="subscript"/>
              </w:rPr>
              <w:t>2</w:t>
            </w:r>
            <w:r w:rsidRPr="00261B7A">
              <w:rPr>
                <w:rFonts w:cs="Calibri"/>
                <w:szCs w:val="16"/>
              </w:rPr>
              <w:t xml:space="preserve"> emissions from refinery flaring from subcategory 1.B.2.a.6 (oil – other) to subcategory 1.B.2.c.2.i (flaring – oil). ‘NO’ is now reported for CO</w:t>
            </w:r>
            <w:r w:rsidRPr="00261B7A">
              <w:rPr>
                <w:rFonts w:cs="Calibri"/>
                <w:szCs w:val="16"/>
                <w:vertAlign w:val="subscript"/>
              </w:rPr>
              <w:t>2</w:t>
            </w:r>
            <w:r w:rsidRPr="00261B7A">
              <w:rPr>
                <w:rFonts w:cs="Calibri"/>
                <w:szCs w:val="16"/>
              </w:rPr>
              <w:t xml:space="preserve"> emissions under subcategory 1.B.2.a.6.</w:t>
            </w:r>
          </w:p>
        </w:tc>
      </w:tr>
      <w:tr w:rsidR="00D140F7" w:rsidRPr="00261B7A" w14:paraId="6CE42FEB" w14:textId="77777777" w:rsidTr="009C63CA">
        <w:tc>
          <w:tcPr>
            <w:tcW w:w="1896" w:type="dxa"/>
            <w:shd w:val="clear" w:color="auto" w:fill="FFFFFF" w:themeFill="background1"/>
          </w:tcPr>
          <w:p w14:paraId="2557DE62" w14:textId="77777777" w:rsidR="00D140F7" w:rsidRPr="00261B7A" w:rsidRDefault="00D140F7" w:rsidP="009C63CA">
            <w:pPr>
              <w:pStyle w:val="TableText"/>
              <w:rPr>
                <w:rFonts w:cs="Calibri"/>
                <w:szCs w:val="16"/>
              </w:rPr>
            </w:pPr>
            <w:r w:rsidRPr="00261B7A">
              <w:rPr>
                <w:rFonts w:cs="Calibri"/>
                <w:szCs w:val="16"/>
              </w:rPr>
              <w:t xml:space="preserve">Energy – </w:t>
            </w:r>
            <w:r w:rsidRPr="00261B7A" w:rsidDel="00F3555D">
              <w:rPr>
                <w:rFonts w:cs="Calibri"/>
                <w:szCs w:val="16"/>
              </w:rPr>
              <w:t>1.B.2.c Venting and flaring</w:t>
            </w:r>
            <w:r w:rsidRPr="00261B7A">
              <w:rPr>
                <w:rFonts w:cs="Calibri"/>
                <w:szCs w:val="16"/>
              </w:rPr>
              <w:t xml:space="preserve"> – </w:t>
            </w:r>
            <w:r w:rsidRPr="00261B7A">
              <w:rPr>
                <w:rFonts w:cs="Calibri"/>
                <w:szCs w:val="16"/>
                <w:lang w:eastAsia="en-US"/>
              </w:rPr>
              <w:t>gaseous fuels – CO</w:t>
            </w:r>
            <w:r w:rsidRPr="00261B7A">
              <w:rPr>
                <w:rFonts w:cs="Calibri"/>
                <w:szCs w:val="16"/>
                <w:vertAlign w:val="subscript"/>
                <w:lang w:eastAsia="en-US"/>
              </w:rPr>
              <w:t>2</w:t>
            </w:r>
            <w:r w:rsidRPr="00261B7A">
              <w:rPr>
                <w:rFonts w:cs="Calibri"/>
                <w:szCs w:val="16"/>
                <w:lang w:eastAsia="en-US"/>
              </w:rPr>
              <w:t xml:space="preserve"> </w:t>
            </w:r>
            <w:r w:rsidRPr="00261B7A">
              <w:rPr>
                <w:rFonts w:cs="Calibri"/>
                <w:szCs w:val="16"/>
                <w:lang w:eastAsia="en-US"/>
              </w:rPr>
              <w:br/>
              <w:t>(E.35, 2019)</w:t>
            </w:r>
            <w:r w:rsidRPr="00261B7A">
              <w:rPr>
                <w:rFonts w:cs="Calibri"/>
                <w:szCs w:val="16"/>
                <w:lang w:eastAsia="en-US"/>
              </w:rPr>
              <w:br/>
            </w:r>
            <w:r w:rsidRPr="00261B7A">
              <w:rPr>
                <w:rFonts w:cs="Calibri"/>
                <w:szCs w:val="16"/>
              </w:rPr>
              <w:t>Comparability</w:t>
            </w:r>
          </w:p>
        </w:tc>
        <w:tc>
          <w:tcPr>
            <w:tcW w:w="919" w:type="dxa"/>
            <w:shd w:val="clear" w:color="auto" w:fill="FFFFFF" w:themeFill="background1"/>
          </w:tcPr>
          <w:p w14:paraId="36FB1777"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E.15, 2021</w:t>
            </w:r>
          </w:p>
        </w:tc>
        <w:tc>
          <w:tcPr>
            <w:tcW w:w="2722" w:type="dxa"/>
            <w:shd w:val="clear" w:color="auto" w:fill="FFFFFF" w:themeFill="background1"/>
          </w:tcPr>
          <w:p w14:paraId="59BFFD1B" w14:textId="77777777" w:rsidR="00D140F7" w:rsidRPr="00261B7A" w:rsidRDefault="00D140F7" w:rsidP="009C63CA">
            <w:pPr>
              <w:pStyle w:val="TableText"/>
              <w:spacing w:before="40" w:after="40"/>
              <w:rPr>
                <w:rFonts w:cs="Calibri"/>
                <w:szCs w:val="16"/>
              </w:rPr>
            </w:pPr>
            <w:r w:rsidRPr="00261B7A">
              <w:rPr>
                <w:rFonts w:cs="Calibri"/>
                <w:szCs w:val="16"/>
              </w:rPr>
              <w:t>Report the AD from the Kapuni gas treatment plant for subcategory 1.B.2.c.1.ii venting – gas as confidential, “IE” or “NE”, as appropriate, in CRF table 1.B.2, and review the information on AD reported in the documentation box of the same table.</w:t>
            </w:r>
          </w:p>
        </w:tc>
        <w:tc>
          <w:tcPr>
            <w:tcW w:w="2892" w:type="dxa"/>
            <w:shd w:val="clear" w:color="auto" w:fill="FFFFFF" w:themeFill="background1"/>
          </w:tcPr>
          <w:p w14:paraId="355DDC96"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The notation keys have been changed to ‘C’.</w:t>
            </w:r>
          </w:p>
        </w:tc>
      </w:tr>
      <w:tr w:rsidR="00D140F7" w:rsidRPr="00261B7A" w14:paraId="2E810377" w14:textId="77777777" w:rsidTr="009C63CA">
        <w:tc>
          <w:tcPr>
            <w:tcW w:w="1896" w:type="dxa"/>
            <w:shd w:val="clear" w:color="auto" w:fill="FFFFFF" w:themeFill="background1"/>
          </w:tcPr>
          <w:p w14:paraId="090F4AE0" w14:textId="77777777" w:rsidR="00D140F7" w:rsidRPr="00261B7A" w:rsidRDefault="00D140F7" w:rsidP="009C63CA">
            <w:pPr>
              <w:pStyle w:val="TableText"/>
              <w:rPr>
                <w:rFonts w:cs="Calibri"/>
                <w:szCs w:val="16"/>
              </w:rPr>
            </w:pPr>
            <w:r w:rsidRPr="00261B7A">
              <w:rPr>
                <w:rFonts w:cs="Calibri"/>
                <w:szCs w:val="16"/>
              </w:rPr>
              <w:t>Energy – 1.B.2.c Venting and flaring – gaseous</w:t>
            </w:r>
            <w:r w:rsidRPr="00261B7A">
              <w:rPr>
                <w:rFonts w:cs="Calibri"/>
                <w:szCs w:val="16"/>
                <w:lang w:eastAsia="en-US"/>
              </w:rPr>
              <w:t xml:space="preserve"> fuels – CH</w:t>
            </w:r>
            <w:r w:rsidRPr="00261B7A">
              <w:rPr>
                <w:rFonts w:cs="Calibri"/>
                <w:szCs w:val="16"/>
                <w:vertAlign w:val="subscript"/>
                <w:lang w:eastAsia="en-US"/>
              </w:rPr>
              <w:t>4</w:t>
            </w:r>
            <w:r w:rsidRPr="00261B7A">
              <w:rPr>
                <w:rFonts w:cs="Calibri"/>
                <w:szCs w:val="16"/>
                <w:lang w:eastAsia="en-US"/>
              </w:rPr>
              <w:br/>
              <w:t>(E.36, 2019)</w:t>
            </w:r>
            <w:r w:rsidRPr="00261B7A">
              <w:rPr>
                <w:rFonts w:cs="Calibri"/>
                <w:szCs w:val="16"/>
                <w:lang w:eastAsia="en-US"/>
              </w:rPr>
              <w:br/>
            </w:r>
            <w:r w:rsidRPr="00261B7A">
              <w:rPr>
                <w:rFonts w:cs="Calibri"/>
                <w:szCs w:val="16"/>
              </w:rPr>
              <w:t>Comparability</w:t>
            </w:r>
          </w:p>
        </w:tc>
        <w:tc>
          <w:tcPr>
            <w:tcW w:w="919" w:type="dxa"/>
            <w:shd w:val="clear" w:color="auto" w:fill="FFFFFF" w:themeFill="background1"/>
          </w:tcPr>
          <w:p w14:paraId="2AB83AA2"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E.16, 2021</w:t>
            </w:r>
          </w:p>
        </w:tc>
        <w:tc>
          <w:tcPr>
            <w:tcW w:w="2722" w:type="dxa"/>
            <w:shd w:val="clear" w:color="auto" w:fill="FFFFFF" w:themeFill="background1"/>
          </w:tcPr>
          <w:p w14:paraId="78AE28B9" w14:textId="77777777" w:rsidR="00D140F7" w:rsidRPr="00261B7A" w:rsidRDefault="00D140F7" w:rsidP="009C63CA">
            <w:pPr>
              <w:pStyle w:val="TableText"/>
              <w:spacing w:before="40" w:after="40"/>
              <w:rPr>
                <w:rFonts w:cs="Calibri"/>
                <w:szCs w:val="16"/>
              </w:rPr>
            </w:pPr>
            <w:r w:rsidRPr="00261B7A">
              <w:rPr>
                <w:rFonts w:cs="Calibri"/>
                <w:szCs w:val="16"/>
              </w:rPr>
              <w:t>Report the AD and emissions for subcategory 1.B.2.c.1.ii venting – gas as confidential, “IE” or “NE”, as appropriate.</w:t>
            </w:r>
          </w:p>
        </w:tc>
        <w:tc>
          <w:tcPr>
            <w:tcW w:w="2892" w:type="dxa"/>
            <w:shd w:val="clear" w:color="auto" w:fill="FFFFFF" w:themeFill="background1"/>
          </w:tcPr>
          <w:p w14:paraId="4C5D332C" w14:textId="77777777" w:rsidR="00D140F7" w:rsidRPr="00261B7A" w:rsidRDefault="00D140F7" w:rsidP="009C63CA">
            <w:pPr>
              <w:pStyle w:val="TableText"/>
              <w:spacing w:before="40" w:after="40"/>
              <w:rPr>
                <w:rFonts w:cs="Calibri"/>
                <w:szCs w:val="16"/>
              </w:rPr>
            </w:pPr>
            <w:r w:rsidRPr="00261B7A">
              <w:rPr>
                <w:rFonts w:eastAsiaTheme="minorHAnsi" w:cs="Calibri"/>
                <w:b/>
                <w:bCs/>
                <w:szCs w:val="16"/>
                <w:lang w:eastAsia="en-US"/>
              </w:rPr>
              <w:t xml:space="preserve">Resolved. </w:t>
            </w:r>
            <w:r w:rsidRPr="00261B7A">
              <w:rPr>
                <w:rFonts w:eastAsiaTheme="minorHAnsi" w:cs="Calibri"/>
                <w:szCs w:val="16"/>
                <w:lang w:eastAsia="en-US"/>
              </w:rPr>
              <w:t>New Zealand changed the notation key for CH</w:t>
            </w:r>
            <w:r w:rsidRPr="00261B7A">
              <w:rPr>
                <w:rFonts w:eastAsiaTheme="minorHAnsi" w:cs="Calibri"/>
                <w:szCs w:val="16"/>
                <w:vertAlign w:val="subscript"/>
                <w:lang w:eastAsia="en-US"/>
              </w:rPr>
              <w:t>4</w:t>
            </w:r>
            <w:r w:rsidRPr="00261B7A">
              <w:rPr>
                <w:rFonts w:eastAsiaTheme="minorHAnsi" w:cs="Calibri"/>
                <w:szCs w:val="16"/>
                <w:lang w:eastAsia="en-US"/>
              </w:rPr>
              <w:t xml:space="preserve"> emissions from ‘NA’ to ‘NE’ in CRF table 1.B.2. For AD, see ID# E.15 above.</w:t>
            </w:r>
          </w:p>
        </w:tc>
      </w:tr>
      <w:tr w:rsidR="00D140F7" w:rsidRPr="00261B7A" w14:paraId="7CA06F71" w14:textId="77777777" w:rsidTr="009C63CA">
        <w:tc>
          <w:tcPr>
            <w:tcW w:w="1896" w:type="dxa"/>
            <w:shd w:val="clear" w:color="auto" w:fill="FFFFFF" w:themeFill="background1"/>
          </w:tcPr>
          <w:p w14:paraId="266EB5F6" w14:textId="77777777" w:rsidR="00D140F7" w:rsidRPr="00261B7A" w:rsidRDefault="00D140F7" w:rsidP="009C63CA">
            <w:pPr>
              <w:pStyle w:val="TableText"/>
              <w:spacing w:before="40" w:after="40"/>
              <w:rPr>
                <w:rFonts w:cs="Calibri"/>
                <w:szCs w:val="16"/>
              </w:rPr>
            </w:pPr>
            <w:r w:rsidRPr="00261B7A">
              <w:rPr>
                <w:rFonts w:cs="Calibri"/>
                <w:szCs w:val="16"/>
              </w:rPr>
              <w:t xml:space="preserve">IPPU – 2. General – </w:t>
            </w:r>
            <w:r w:rsidRPr="00261B7A">
              <w:rPr>
                <w:rFonts w:cs="Calibri"/>
                <w:szCs w:val="16"/>
              </w:rPr>
              <w:br/>
            </w:r>
            <w:r w:rsidRPr="00261B7A">
              <w:rPr>
                <w:rFonts w:cs="Calibri"/>
                <w:color w:val="000000"/>
                <w:szCs w:val="16"/>
              </w:rPr>
              <w:t>(I.1, 2019) (I.1, 2017) (I.1, 2016) (I.2, 2015) (37, 2014) (42, 2013)</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00476E05" w14:textId="77777777" w:rsidR="00D140F7" w:rsidRPr="00261B7A" w:rsidRDefault="00D140F7" w:rsidP="009C63CA">
            <w:pPr>
              <w:pStyle w:val="TableText"/>
              <w:spacing w:before="40" w:after="40"/>
              <w:rPr>
                <w:rFonts w:cs="Calibri"/>
                <w:szCs w:val="16"/>
              </w:rPr>
            </w:pPr>
            <w:r w:rsidRPr="00261B7A">
              <w:rPr>
                <w:rFonts w:eastAsia="Calibri" w:cs="Calibri"/>
                <w:szCs w:val="16"/>
              </w:rPr>
              <w:t>I.1, 2021</w:t>
            </w:r>
          </w:p>
        </w:tc>
        <w:tc>
          <w:tcPr>
            <w:tcW w:w="2722" w:type="dxa"/>
            <w:shd w:val="clear" w:color="auto" w:fill="FFFFFF" w:themeFill="background1"/>
          </w:tcPr>
          <w:p w14:paraId="4F546C83" w14:textId="77777777" w:rsidR="00D140F7" w:rsidRPr="00261B7A" w:rsidRDefault="00D140F7" w:rsidP="009C63CA">
            <w:pPr>
              <w:pStyle w:val="TableText"/>
              <w:spacing w:before="40" w:after="40"/>
              <w:rPr>
                <w:rFonts w:cs="Calibri"/>
                <w:szCs w:val="16"/>
              </w:rPr>
            </w:pPr>
            <w:r w:rsidRPr="00261B7A">
              <w:rPr>
                <w:rFonts w:cs="Calibri"/>
                <w:szCs w:val="16"/>
              </w:rPr>
              <w:t>Include in the NIR detailed information and methodological descriptions on how plant-specific data are estimated.</w:t>
            </w:r>
          </w:p>
        </w:tc>
        <w:tc>
          <w:tcPr>
            <w:tcW w:w="2892" w:type="dxa"/>
            <w:shd w:val="clear" w:color="auto" w:fill="FFFFFF" w:themeFill="background1"/>
          </w:tcPr>
          <w:p w14:paraId="74D3CE5B"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New Zealand added information on plant-specific data collection and methods, as well as references to ETS regulations, in the 2018 inventory submission and has updated these over several years. </w:t>
            </w:r>
          </w:p>
        </w:tc>
      </w:tr>
      <w:tr w:rsidR="00D140F7" w:rsidRPr="00261B7A" w14:paraId="7C7B967B" w14:textId="77777777" w:rsidTr="009C63CA">
        <w:tc>
          <w:tcPr>
            <w:tcW w:w="1896" w:type="dxa"/>
            <w:shd w:val="clear" w:color="auto" w:fill="FFFFFF" w:themeFill="background1"/>
          </w:tcPr>
          <w:p w14:paraId="31E041F4" w14:textId="77777777" w:rsidR="00D140F7" w:rsidRPr="00261B7A" w:rsidRDefault="00D140F7" w:rsidP="009C63CA">
            <w:pPr>
              <w:pStyle w:val="TableText"/>
              <w:spacing w:before="40" w:after="40"/>
              <w:rPr>
                <w:rFonts w:cs="Calibri"/>
                <w:szCs w:val="16"/>
              </w:rPr>
            </w:pPr>
            <w:r w:rsidRPr="00261B7A">
              <w:rPr>
                <w:rFonts w:cs="Calibri"/>
                <w:szCs w:val="16"/>
              </w:rPr>
              <w:t xml:space="preserve">IPPU – 2. General – </w:t>
            </w:r>
            <w:r w:rsidRPr="00261B7A">
              <w:rPr>
                <w:rFonts w:cs="Calibri"/>
                <w:color w:val="000000"/>
                <w:szCs w:val="16"/>
              </w:rPr>
              <w:t>HFCs, PFCs and SF</w:t>
            </w:r>
            <w:r w:rsidRPr="00261B7A">
              <w:rPr>
                <w:rFonts w:cs="Calibri"/>
                <w:color w:val="000000"/>
                <w:szCs w:val="16"/>
                <w:vertAlign w:val="subscript"/>
              </w:rPr>
              <w:t>6</w:t>
            </w:r>
            <w:r w:rsidRPr="00261B7A">
              <w:rPr>
                <w:rFonts w:cs="Calibri"/>
                <w:color w:val="000000"/>
                <w:szCs w:val="16"/>
              </w:rPr>
              <w:br/>
              <w:t>(I.17, 2019) (I.16, 2017) (I.20, 2016) (I.23, 2015)</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034F09E2" w14:textId="77777777" w:rsidR="00D140F7" w:rsidRPr="00261B7A" w:rsidRDefault="00D140F7" w:rsidP="009C63CA">
            <w:pPr>
              <w:pStyle w:val="TableText"/>
              <w:spacing w:before="40" w:after="40"/>
              <w:rPr>
                <w:rFonts w:cs="Calibri"/>
                <w:szCs w:val="16"/>
              </w:rPr>
            </w:pPr>
            <w:r w:rsidRPr="00261B7A">
              <w:rPr>
                <w:rFonts w:eastAsia="Calibri" w:cs="Calibri"/>
                <w:szCs w:val="16"/>
              </w:rPr>
              <w:t>I.2, 2021</w:t>
            </w:r>
          </w:p>
        </w:tc>
        <w:tc>
          <w:tcPr>
            <w:tcW w:w="2722" w:type="dxa"/>
            <w:shd w:val="clear" w:color="auto" w:fill="FFFFFF" w:themeFill="background1"/>
          </w:tcPr>
          <w:p w14:paraId="0A3AC738" w14:textId="77777777" w:rsidR="00D140F7" w:rsidRPr="00261B7A" w:rsidRDefault="00D140F7" w:rsidP="009C63CA">
            <w:pPr>
              <w:pStyle w:val="TableText"/>
              <w:spacing w:before="40" w:after="40"/>
              <w:rPr>
                <w:rFonts w:cs="Calibri"/>
                <w:szCs w:val="16"/>
              </w:rPr>
            </w:pPr>
            <w:r w:rsidRPr="00261B7A">
              <w:rPr>
                <w:rFonts w:cs="Calibri"/>
                <w:szCs w:val="16"/>
              </w:rPr>
              <w:t>Include in the NIR all the information indicated in the section “Reporting and documentation” of the 2006 IPCC Guidelines for categories (a) 2.E electronic industry, (b) 2.F product use as substitutes ODS; and (c) 2.G other product manufacture and use.</w:t>
            </w:r>
          </w:p>
        </w:tc>
        <w:tc>
          <w:tcPr>
            <w:tcW w:w="2892" w:type="dxa"/>
            <w:shd w:val="clear" w:color="auto" w:fill="FFFFFF" w:themeFill="background1"/>
          </w:tcPr>
          <w:p w14:paraId="0BF977F5" w14:textId="77777777" w:rsidR="00D140F7" w:rsidRPr="00261B7A" w:rsidRDefault="00D140F7" w:rsidP="004B1803">
            <w:pPr>
              <w:pStyle w:val="TableText"/>
              <w:spacing w:before="40" w:after="40"/>
            </w:pPr>
            <w:r w:rsidRPr="00261B7A">
              <w:rPr>
                <w:b/>
                <w:bCs/>
              </w:rPr>
              <w:t>Resolved.</w:t>
            </w:r>
            <w:r w:rsidRPr="00261B7A">
              <w:t xml:space="preserve"> New Zealand reported in its 2021 NIR (chapter 4, section 4.6, p. 153) that no industries manufacture electronic products in the country, meaning that no emissions are reported in this category.</w:t>
            </w:r>
            <w:r w:rsidRPr="00261B7A">
              <w:rPr>
                <w:b/>
                <w:bCs/>
              </w:rPr>
              <w:t xml:space="preserve"> </w:t>
            </w:r>
            <w:r w:rsidRPr="00261B7A">
              <w:t xml:space="preserve">New Zealand included more explanation in its 2021 NIR about the data sources used in 2.F and included information in the 2021 NIR concerning the EFs used for category 2.G.1. Other information requested is available to the ERT in a separate report, is not relevant, or is not available due to the methods used. </w:t>
            </w:r>
          </w:p>
        </w:tc>
      </w:tr>
      <w:tr w:rsidR="00D140F7" w:rsidRPr="00261B7A" w14:paraId="6DDD5953" w14:textId="77777777" w:rsidTr="009C63CA">
        <w:tc>
          <w:tcPr>
            <w:tcW w:w="1896" w:type="dxa"/>
            <w:shd w:val="clear" w:color="auto" w:fill="FFFFFF" w:themeFill="background1"/>
          </w:tcPr>
          <w:p w14:paraId="2C48EF3D" w14:textId="77777777" w:rsidR="00D140F7" w:rsidRPr="00261B7A" w:rsidRDefault="00D140F7" w:rsidP="009C63CA">
            <w:pPr>
              <w:pStyle w:val="TableText"/>
              <w:spacing w:before="40" w:after="40"/>
              <w:rPr>
                <w:rFonts w:cs="Calibri"/>
                <w:szCs w:val="16"/>
              </w:rPr>
            </w:pPr>
            <w:r w:rsidRPr="00261B7A">
              <w:rPr>
                <w:rFonts w:cs="Calibri"/>
                <w:szCs w:val="16"/>
              </w:rPr>
              <w:t>IPPU – 2. General –</w:t>
            </w:r>
            <w:r w:rsidRPr="00261B7A">
              <w:rPr>
                <w:rFonts w:cs="Calibri"/>
                <w:szCs w:val="16"/>
                <w:lang w:eastAsia="en-US"/>
              </w:rPr>
              <w:br/>
              <w:t>(I.23, 2019)</w:t>
            </w:r>
            <w:r w:rsidRPr="00261B7A">
              <w:rPr>
                <w:rFonts w:cs="Calibri"/>
                <w:szCs w:val="16"/>
                <w:lang w:eastAsia="en-US"/>
              </w:rPr>
              <w:br/>
            </w:r>
            <w:r w:rsidRPr="00261B7A">
              <w:rPr>
                <w:rFonts w:cs="Calibri"/>
                <w:szCs w:val="16"/>
              </w:rPr>
              <w:t>Convention reporting adherence</w:t>
            </w:r>
          </w:p>
        </w:tc>
        <w:tc>
          <w:tcPr>
            <w:tcW w:w="919" w:type="dxa"/>
            <w:shd w:val="clear" w:color="auto" w:fill="FFFFFF" w:themeFill="background1"/>
          </w:tcPr>
          <w:p w14:paraId="050EC22B" w14:textId="77777777" w:rsidR="00D140F7" w:rsidRPr="00261B7A" w:rsidRDefault="00D140F7" w:rsidP="009C63CA">
            <w:pPr>
              <w:pStyle w:val="TableText"/>
              <w:spacing w:before="40" w:after="40"/>
              <w:rPr>
                <w:rFonts w:cs="Calibri"/>
                <w:szCs w:val="16"/>
              </w:rPr>
            </w:pPr>
            <w:r w:rsidRPr="00261B7A">
              <w:rPr>
                <w:rFonts w:eastAsia="Calibri" w:cs="Calibri"/>
                <w:szCs w:val="16"/>
              </w:rPr>
              <w:t>I.3, 2021</w:t>
            </w:r>
          </w:p>
        </w:tc>
        <w:tc>
          <w:tcPr>
            <w:tcW w:w="2722" w:type="dxa"/>
            <w:shd w:val="clear" w:color="auto" w:fill="FFFFFF" w:themeFill="background1"/>
          </w:tcPr>
          <w:p w14:paraId="223B9848" w14:textId="77777777" w:rsidR="00D140F7" w:rsidRPr="00261B7A" w:rsidRDefault="00D140F7" w:rsidP="009C63CA">
            <w:pPr>
              <w:pStyle w:val="TableText"/>
              <w:rPr>
                <w:rFonts w:cs="Calibri"/>
                <w:szCs w:val="16"/>
              </w:rPr>
            </w:pPr>
            <w:r w:rsidRPr="00261B7A">
              <w:rPr>
                <w:rFonts w:cs="Calibri"/>
                <w:szCs w:val="16"/>
              </w:rPr>
              <w:t>Correct the following inconsistencies in the reporting of key categories and uncertainties within the NIR, including in the annexes to the NIR.</w:t>
            </w:r>
          </w:p>
          <w:p w14:paraId="634DBF85" w14:textId="77777777" w:rsidR="00D140F7" w:rsidRPr="00261B7A" w:rsidRDefault="00D140F7" w:rsidP="009C63CA">
            <w:pPr>
              <w:pStyle w:val="TableText"/>
              <w:spacing w:before="0"/>
              <w:rPr>
                <w:rFonts w:cs="Calibri"/>
                <w:szCs w:val="16"/>
              </w:rPr>
            </w:pPr>
            <w:r w:rsidRPr="00261B7A">
              <w:rPr>
                <w:rFonts w:cs="Calibri"/>
                <w:szCs w:val="16"/>
              </w:rPr>
              <w:t>(a) Cement production (CO</w:t>
            </w:r>
            <w:r w:rsidRPr="00261B7A">
              <w:rPr>
                <w:rFonts w:cs="Calibri"/>
                <w:szCs w:val="16"/>
                <w:vertAlign w:val="subscript"/>
              </w:rPr>
              <w:t>2</w:t>
            </w:r>
            <w:r w:rsidRPr="00261B7A">
              <w:rPr>
                <w:rFonts w:cs="Calibri"/>
                <w:szCs w:val="16"/>
              </w:rPr>
              <w:t>) was reported as a key category in both the level and trend assessment in NIR table 4.1.2, but as a key category in the level assessment only in NIR section 4.2.1 and as a key category in the trend assessment only (including and excluding LULUCF) in CRF table 7;</w:t>
            </w:r>
          </w:p>
          <w:p w14:paraId="38B94874" w14:textId="77777777" w:rsidR="00D140F7" w:rsidRPr="00261B7A" w:rsidRDefault="00D140F7" w:rsidP="009C63CA">
            <w:pPr>
              <w:pStyle w:val="TableText"/>
              <w:spacing w:before="0"/>
              <w:rPr>
                <w:rFonts w:cs="Calibri"/>
                <w:szCs w:val="16"/>
              </w:rPr>
            </w:pPr>
            <w:r w:rsidRPr="00261B7A">
              <w:rPr>
                <w:rFonts w:cs="Calibri"/>
                <w:szCs w:val="16"/>
              </w:rPr>
              <w:t>(b) Aluminium production (PFCs) was reported as a key category in the trend assessment only in NIR table 4.1.2, but it was identified as also being key in the level assessment for 2017 in tables A1.3.2(a) and A1.3.2(b) in the annexes to the NIR;</w:t>
            </w:r>
          </w:p>
          <w:p w14:paraId="371D5CA3" w14:textId="2CD8B3BE" w:rsidR="00D140F7" w:rsidRPr="00261B7A" w:rsidRDefault="00D140F7" w:rsidP="009C63CA">
            <w:pPr>
              <w:pStyle w:val="TableText"/>
              <w:spacing w:before="0"/>
              <w:rPr>
                <w:rFonts w:cs="Calibri"/>
                <w:szCs w:val="16"/>
              </w:rPr>
            </w:pPr>
            <w:r w:rsidRPr="00261B7A">
              <w:rPr>
                <w:rFonts w:cs="Calibri"/>
                <w:szCs w:val="16"/>
              </w:rPr>
              <w:t>(c) In the NIR (p. 125), methanol was reported as a key category in the trend assessment, but it was not identified as</w:t>
            </w:r>
            <w:r w:rsidR="00547C9E" w:rsidRPr="00261B7A">
              <w:rPr>
                <w:rFonts w:cs="Calibri"/>
                <w:szCs w:val="16"/>
              </w:rPr>
              <w:t> </w:t>
            </w:r>
            <w:r w:rsidRPr="00261B7A">
              <w:rPr>
                <w:rFonts w:cs="Calibri"/>
                <w:szCs w:val="16"/>
              </w:rPr>
              <w:t>a key category in the annexes to the</w:t>
            </w:r>
            <w:r w:rsidR="00547C9E" w:rsidRPr="00261B7A">
              <w:rPr>
                <w:rFonts w:cs="Calibri"/>
                <w:szCs w:val="16"/>
              </w:rPr>
              <w:t> </w:t>
            </w:r>
            <w:r w:rsidRPr="00261B7A">
              <w:rPr>
                <w:rFonts w:cs="Calibri"/>
                <w:szCs w:val="16"/>
              </w:rPr>
              <w:t>NIR;</w:t>
            </w:r>
          </w:p>
          <w:p w14:paraId="7C77B287" w14:textId="77777777" w:rsidR="00D140F7" w:rsidRPr="00261B7A" w:rsidRDefault="00D140F7" w:rsidP="009C63CA">
            <w:pPr>
              <w:pStyle w:val="TableText"/>
              <w:rPr>
                <w:rFonts w:cs="Calibri"/>
                <w:szCs w:val="16"/>
              </w:rPr>
            </w:pPr>
            <w:r w:rsidRPr="00261B7A">
              <w:rPr>
                <w:rFonts w:cs="Calibri"/>
                <w:szCs w:val="16"/>
              </w:rPr>
              <w:t>(d) In the NIR (section 4.3.4, p. 128), petrochemical and carbon black was reported as a key category, but it was not identified as a key category in the annexes to the NIR;</w:t>
            </w:r>
          </w:p>
          <w:p w14:paraId="1708D2AA" w14:textId="77777777" w:rsidR="00D140F7" w:rsidRPr="00261B7A" w:rsidRDefault="00D140F7" w:rsidP="009C63CA">
            <w:pPr>
              <w:pStyle w:val="TableText"/>
              <w:spacing w:before="0"/>
              <w:rPr>
                <w:rFonts w:cs="Calibri"/>
                <w:szCs w:val="16"/>
              </w:rPr>
            </w:pPr>
            <w:r w:rsidRPr="00261B7A">
              <w:rPr>
                <w:rFonts w:cs="Calibri"/>
                <w:szCs w:val="16"/>
              </w:rPr>
              <w:t>(e) Uncertainties reported in NIR table 4.7.3 were not reflected in table A.2.1.1 in the annexes to the NIR.</w:t>
            </w:r>
          </w:p>
        </w:tc>
        <w:tc>
          <w:tcPr>
            <w:tcW w:w="2892" w:type="dxa"/>
            <w:shd w:val="clear" w:color="auto" w:fill="FFFFFF" w:themeFill="background1"/>
          </w:tcPr>
          <w:p w14:paraId="488693B5" w14:textId="77777777" w:rsidR="00D140F7" w:rsidRPr="00261B7A" w:rsidRDefault="00D140F7" w:rsidP="00BE29C4">
            <w:pPr>
              <w:pStyle w:val="TableText"/>
              <w:spacing w:before="40" w:after="40"/>
            </w:pPr>
            <w:r w:rsidRPr="00261B7A">
              <w:rPr>
                <w:b/>
                <w:bCs/>
              </w:rPr>
              <w:t>Resolved.</w:t>
            </w:r>
            <w:r w:rsidRPr="00261B7A">
              <w:t xml:space="preserve"> Key category analysis and estimation of uncertainties have been repeated in the subsequent submissions and these discrepancies have been removed. </w:t>
            </w:r>
          </w:p>
        </w:tc>
      </w:tr>
      <w:tr w:rsidR="00D140F7" w:rsidRPr="00261B7A" w14:paraId="7A1AF813" w14:textId="77777777" w:rsidTr="009C63CA">
        <w:tc>
          <w:tcPr>
            <w:tcW w:w="1896" w:type="dxa"/>
            <w:shd w:val="clear" w:color="auto" w:fill="FFFFFF" w:themeFill="background1"/>
          </w:tcPr>
          <w:p w14:paraId="5FB8A56F" w14:textId="77777777" w:rsidR="00D140F7" w:rsidRPr="00261B7A" w:rsidRDefault="00D140F7" w:rsidP="009C63CA">
            <w:pPr>
              <w:pStyle w:val="TableText"/>
              <w:spacing w:before="40" w:after="40"/>
              <w:rPr>
                <w:rFonts w:cs="Calibri"/>
                <w:szCs w:val="16"/>
              </w:rPr>
            </w:pPr>
            <w:r w:rsidRPr="00261B7A">
              <w:rPr>
                <w:rFonts w:cs="Calibri"/>
                <w:szCs w:val="16"/>
              </w:rPr>
              <w:t xml:space="preserve">IPPU – 2. General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br/>
              <w:t>(I.26,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49AF7CE6" w14:textId="77777777" w:rsidR="00D140F7" w:rsidRPr="00261B7A" w:rsidRDefault="00D140F7" w:rsidP="009C63CA">
            <w:pPr>
              <w:pStyle w:val="TableText"/>
              <w:spacing w:before="40" w:after="40"/>
              <w:rPr>
                <w:rFonts w:cs="Calibri"/>
                <w:szCs w:val="16"/>
              </w:rPr>
            </w:pPr>
            <w:r w:rsidRPr="00261B7A">
              <w:rPr>
                <w:rFonts w:eastAsia="Calibri" w:cs="Calibri"/>
                <w:szCs w:val="16"/>
              </w:rPr>
              <w:t>I.4, 2021</w:t>
            </w:r>
          </w:p>
        </w:tc>
        <w:tc>
          <w:tcPr>
            <w:tcW w:w="2722" w:type="dxa"/>
            <w:shd w:val="clear" w:color="auto" w:fill="FFFFFF" w:themeFill="background1"/>
          </w:tcPr>
          <w:p w14:paraId="6C575AC5" w14:textId="77777777" w:rsidR="00D140F7" w:rsidRPr="00261B7A" w:rsidRDefault="00D140F7" w:rsidP="009C63CA">
            <w:pPr>
              <w:pStyle w:val="TableText"/>
              <w:spacing w:before="40" w:after="40"/>
              <w:rPr>
                <w:rFonts w:cs="Calibri"/>
                <w:szCs w:val="16"/>
              </w:rPr>
            </w:pPr>
            <w:r w:rsidRPr="00261B7A">
              <w:rPr>
                <w:rFonts w:cs="Calibri"/>
                <w:szCs w:val="16"/>
              </w:rPr>
              <w:t>Explain how the AD for the chemical and metal industries (categories 2.B and 2.C) are obtained.</w:t>
            </w:r>
          </w:p>
        </w:tc>
        <w:tc>
          <w:tcPr>
            <w:tcW w:w="2892" w:type="dxa"/>
            <w:shd w:val="clear" w:color="auto" w:fill="FFFFFF" w:themeFill="background1"/>
          </w:tcPr>
          <w:p w14:paraId="6E4221E3"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 xml:space="preserve">For category 2.B, New Zealand provided in its 2021 NIR (chapter 4, section 4.3.2) information on the sources of AD for categories and subcategories 2.B.1, 2.B.8, 2.B.8.a and 2.B.10. For subcategory 2.B.5.b, the Party specified that the quantity of calcium carbide used to produce acetylene gas for welding is imported. For category 2.C, it provided all necessary information concerning how the AD for category 2.C.3 were obtained. For category 2.C.1 the Party explained that the AD (tonnes of steel produced) were provided to MBIE by two steel producers up to 2015 and have been provided by one producer since then, but this information is regarded as commercially confidential and thus reported as confidential in CRF table 2(I).A-Hs2. The 2021 NIR now notes (chapter 4, section 4.4.2) that such data are provided to MBIE by the industry. </w:t>
            </w:r>
          </w:p>
        </w:tc>
      </w:tr>
      <w:tr w:rsidR="00D140F7" w:rsidRPr="00261B7A" w14:paraId="0FE231E8" w14:textId="77777777" w:rsidTr="009C63CA">
        <w:tc>
          <w:tcPr>
            <w:tcW w:w="1896" w:type="dxa"/>
            <w:shd w:val="clear" w:color="auto" w:fill="FFFFFF" w:themeFill="background1"/>
          </w:tcPr>
          <w:p w14:paraId="77ABDF6B" w14:textId="77777777" w:rsidR="00D140F7" w:rsidRPr="00261B7A" w:rsidRDefault="00D140F7" w:rsidP="009C63CA">
            <w:pPr>
              <w:pStyle w:val="TableText"/>
              <w:spacing w:before="40" w:after="40"/>
              <w:rPr>
                <w:rFonts w:cs="Calibri"/>
                <w:szCs w:val="16"/>
              </w:rPr>
            </w:pPr>
            <w:r w:rsidRPr="00261B7A">
              <w:rPr>
                <w:rFonts w:cs="Calibri"/>
                <w:szCs w:val="16"/>
              </w:rPr>
              <w:t xml:space="preserve">IPPU – 2.A Mineral industry – </w:t>
            </w:r>
            <w:r w:rsidRPr="00261B7A">
              <w:rPr>
                <w:rFonts w:cs="Calibri"/>
                <w:color w:val="000000"/>
                <w:szCs w:val="16"/>
              </w:rPr>
              <w:t>CO</w:t>
            </w:r>
            <w:r w:rsidRPr="00261B7A">
              <w:rPr>
                <w:rFonts w:cs="Calibri"/>
                <w:color w:val="000000"/>
                <w:szCs w:val="16"/>
                <w:vertAlign w:val="subscript"/>
              </w:rPr>
              <w:t>2</w:t>
            </w:r>
            <w:r w:rsidRPr="00261B7A">
              <w:rPr>
                <w:rFonts w:cs="Calibri"/>
                <w:color w:val="000000"/>
                <w:szCs w:val="16"/>
              </w:rPr>
              <w:br/>
              <w:t>(I.3, 2019) (I.22, 2017)</w:t>
            </w:r>
            <w:r w:rsidRPr="00261B7A">
              <w:rPr>
                <w:rFonts w:cs="Calibri"/>
                <w:szCs w:val="16"/>
                <w:lang w:eastAsia="en-US"/>
              </w:rPr>
              <w:br/>
            </w:r>
            <w:r w:rsidRPr="00261B7A">
              <w:rPr>
                <w:rFonts w:cs="Calibri"/>
                <w:szCs w:val="16"/>
              </w:rPr>
              <w:t>Convention reporting adherence</w:t>
            </w:r>
          </w:p>
        </w:tc>
        <w:tc>
          <w:tcPr>
            <w:tcW w:w="919" w:type="dxa"/>
            <w:shd w:val="clear" w:color="auto" w:fill="FFFFFF" w:themeFill="background1"/>
          </w:tcPr>
          <w:p w14:paraId="17A70914" w14:textId="77777777" w:rsidR="00D140F7" w:rsidRPr="00261B7A" w:rsidRDefault="00D140F7" w:rsidP="009C63CA">
            <w:pPr>
              <w:pStyle w:val="TableText"/>
              <w:spacing w:before="40" w:after="40"/>
              <w:rPr>
                <w:rFonts w:cs="Calibri"/>
                <w:szCs w:val="16"/>
              </w:rPr>
            </w:pPr>
            <w:r w:rsidRPr="00261B7A">
              <w:rPr>
                <w:rFonts w:eastAsia="Calibri" w:cs="Calibri"/>
                <w:szCs w:val="16"/>
              </w:rPr>
              <w:t>I.5, 2021</w:t>
            </w:r>
          </w:p>
        </w:tc>
        <w:tc>
          <w:tcPr>
            <w:tcW w:w="2722" w:type="dxa"/>
            <w:shd w:val="clear" w:color="auto" w:fill="FFFFFF" w:themeFill="background1"/>
          </w:tcPr>
          <w:p w14:paraId="7E140BD2" w14:textId="77777777" w:rsidR="00D140F7" w:rsidRPr="00261B7A" w:rsidRDefault="00D140F7" w:rsidP="009C63CA">
            <w:pPr>
              <w:pStyle w:val="TableText"/>
              <w:spacing w:before="40" w:after="40"/>
              <w:rPr>
                <w:rFonts w:cs="Calibri"/>
                <w:szCs w:val="16"/>
              </w:rPr>
            </w:pPr>
            <w:r w:rsidRPr="00261B7A">
              <w:rPr>
                <w:rFonts w:cs="Calibri"/>
                <w:szCs w:val="16"/>
              </w:rPr>
              <w:t>Review the calculation of the uncertainty for category 2.A and correct the values in NIR tables 4.2.1 and A2.1.1, if needed.</w:t>
            </w:r>
          </w:p>
        </w:tc>
        <w:tc>
          <w:tcPr>
            <w:tcW w:w="2892" w:type="dxa"/>
            <w:shd w:val="clear" w:color="auto" w:fill="FFFFFF" w:themeFill="background1"/>
          </w:tcPr>
          <w:p w14:paraId="62166309"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New Zealand reviewed the uncertainty values related to the AD and EF for category 2.A reported in the 2021 NIR (annex) table A2.1.1 and made them consistent with those reported in 2021 NIR table 4.2.1 (p. 139) (1 per cent for AD and 1 per cent for EF).</w:t>
            </w:r>
          </w:p>
        </w:tc>
      </w:tr>
      <w:tr w:rsidR="00D140F7" w:rsidRPr="00261B7A" w14:paraId="3B831916" w14:textId="77777777" w:rsidTr="009C63CA">
        <w:tc>
          <w:tcPr>
            <w:tcW w:w="1896" w:type="dxa"/>
            <w:shd w:val="clear" w:color="auto" w:fill="FFFFFF" w:themeFill="background1"/>
          </w:tcPr>
          <w:p w14:paraId="73A13864" w14:textId="77777777" w:rsidR="00D140F7" w:rsidRPr="00261B7A" w:rsidRDefault="00D140F7" w:rsidP="009C63CA">
            <w:pPr>
              <w:pStyle w:val="TableText"/>
              <w:spacing w:before="40" w:after="40"/>
              <w:rPr>
                <w:rFonts w:cs="Calibri"/>
                <w:szCs w:val="16"/>
              </w:rPr>
            </w:pPr>
            <w:r w:rsidRPr="00261B7A">
              <w:rPr>
                <w:rFonts w:cs="Calibri"/>
                <w:szCs w:val="16"/>
              </w:rPr>
              <w:t xml:space="preserve">IPPU – 2.A.2 Lime production – </w:t>
            </w:r>
            <w:r w:rsidRPr="00261B7A">
              <w:rPr>
                <w:rFonts w:cs="Calibri"/>
                <w:color w:val="000000"/>
                <w:szCs w:val="16"/>
              </w:rPr>
              <w:t>CO</w:t>
            </w:r>
            <w:r w:rsidRPr="00261B7A">
              <w:rPr>
                <w:rFonts w:cs="Calibri"/>
                <w:color w:val="000000"/>
                <w:szCs w:val="16"/>
                <w:vertAlign w:val="subscript"/>
              </w:rPr>
              <w:t>2</w:t>
            </w:r>
            <w:r w:rsidRPr="00261B7A">
              <w:rPr>
                <w:rFonts w:cs="Calibri"/>
                <w:color w:val="000000"/>
                <w:szCs w:val="16"/>
              </w:rPr>
              <w:br/>
              <w:t>(I.6, 2019) (I.23, 2017)</w:t>
            </w:r>
            <w:r w:rsidRPr="00261B7A">
              <w:rPr>
                <w:rFonts w:cs="Calibri"/>
                <w:color w:val="000000"/>
                <w:szCs w:val="16"/>
              </w:rPr>
              <w:br/>
            </w:r>
            <w:r w:rsidRPr="00261B7A">
              <w:rPr>
                <w:rFonts w:cs="Calibri"/>
                <w:szCs w:val="16"/>
              </w:rPr>
              <w:t>Transparency</w:t>
            </w:r>
          </w:p>
        </w:tc>
        <w:tc>
          <w:tcPr>
            <w:tcW w:w="919" w:type="dxa"/>
            <w:shd w:val="clear" w:color="auto" w:fill="FFFFFF" w:themeFill="background1"/>
          </w:tcPr>
          <w:p w14:paraId="0AFD4D7E" w14:textId="77777777" w:rsidR="00D140F7" w:rsidRPr="00261B7A" w:rsidRDefault="00D140F7" w:rsidP="009C63CA">
            <w:pPr>
              <w:pStyle w:val="TableText"/>
              <w:spacing w:before="40" w:after="40"/>
              <w:rPr>
                <w:rFonts w:cs="Calibri"/>
                <w:szCs w:val="16"/>
              </w:rPr>
            </w:pPr>
            <w:r w:rsidRPr="00261B7A">
              <w:rPr>
                <w:rFonts w:eastAsia="Calibri" w:cs="Calibri"/>
                <w:szCs w:val="16"/>
              </w:rPr>
              <w:t>I.6, 2021</w:t>
            </w:r>
          </w:p>
        </w:tc>
        <w:tc>
          <w:tcPr>
            <w:tcW w:w="2722" w:type="dxa"/>
            <w:shd w:val="clear" w:color="auto" w:fill="FFFFFF" w:themeFill="background1"/>
          </w:tcPr>
          <w:p w14:paraId="32928350" w14:textId="77777777" w:rsidR="00D140F7" w:rsidRPr="00261B7A" w:rsidRDefault="00D140F7" w:rsidP="009C63CA">
            <w:pPr>
              <w:pStyle w:val="TableText"/>
              <w:spacing w:before="40" w:after="40"/>
              <w:rPr>
                <w:rFonts w:cs="Calibri"/>
                <w:szCs w:val="16"/>
              </w:rPr>
            </w:pPr>
            <w:r w:rsidRPr="00261B7A">
              <w:rPr>
                <w:rFonts w:cs="Calibri"/>
                <w:szCs w:val="16"/>
              </w:rPr>
              <w:t>Update the description in the NIR to correctly reflect the AD and EFs used and to clarify the assumptions and methods applied for 1990–2013 and 2014 onward.</w:t>
            </w:r>
          </w:p>
        </w:tc>
        <w:tc>
          <w:tcPr>
            <w:tcW w:w="2892" w:type="dxa"/>
            <w:shd w:val="clear" w:color="auto" w:fill="FFFFFF" w:themeFill="background1"/>
          </w:tcPr>
          <w:p w14:paraId="39C451CE"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 xml:space="preserve">New Zealand now reports CaO and MgO, net of impurities, for the entire time series, which results in consistent reporting. The 2021 NIR (chapter 4, section 4.2.2) describes the calculation of emissions for each part of the time series. </w:t>
            </w:r>
          </w:p>
        </w:tc>
      </w:tr>
      <w:tr w:rsidR="00D140F7" w:rsidRPr="00261B7A" w14:paraId="4AEB057F" w14:textId="77777777" w:rsidTr="009C63CA">
        <w:tc>
          <w:tcPr>
            <w:tcW w:w="1896" w:type="dxa"/>
            <w:shd w:val="clear" w:color="auto" w:fill="FFFFFF" w:themeFill="background1"/>
          </w:tcPr>
          <w:p w14:paraId="2F66453F" w14:textId="77777777" w:rsidR="00D140F7" w:rsidRPr="00261B7A" w:rsidRDefault="00D140F7" w:rsidP="009C63CA">
            <w:pPr>
              <w:pStyle w:val="TableText"/>
              <w:spacing w:before="40" w:after="40"/>
              <w:rPr>
                <w:rFonts w:cs="Calibri"/>
                <w:szCs w:val="16"/>
              </w:rPr>
            </w:pPr>
            <w:r w:rsidRPr="00261B7A">
              <w:rPr>
                <w:rFonts w:cs="Calibri"/>
                <w:szCs w:val="16"/>
              </w:rPr>
              <w:t xml:space="preserve">IPPU – </w:t>
            </w:r>
            <w:r w:rsidRPr="00261B7A" w:rsidDel="00F3555D">
              <w:rPr>
                <w:rFonts w:cs="Calibri"/>
                <w:szCs w:val="16"/>
              </w:rPr>
              <w:t>2.A.2 Lime production</w:t>
            </w:r>
            <w:r w:rsidRPr="00261B7A">
              <w:rPr>
                <w:rFonts w:cs="Calibri"/>
                <w:szCs w:val="16"/>
              </w:rPr>
              <w:t xml:space="preserve">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br/>
              <w:t>(I.24,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017B5D14" w14:textId="77777777" w:rsidR="00D140F7" w:rsidRPr="00261B7A" w:rsidRDefault="00D140F7" w:rsidP="009C63CA">
            <w:pPr>
              <w:pStyle w:val="TableText"/>
              <w:spacing w:before="40" w:after="40"/>
              <w:rPr>
                <w:rFonts w:cs="Calibri"/>
                <w:szCs w:val="16"/>
              </w:rPr>
            </w:pPr>
            <w:r w:rsidRPr="00261B7A">
              <w:rPr>
                <w:rFonts w:eastAsia="Calibri" w:cs="Calibri"/>
                <w:szCs w:val="16"/>
              </w:rPr>
              <w:t>I.7, 2021</w:t>
            </w:r>
          </w:p>
        </w:tc>
        <w:tc>
          <w:tcPr>
            <w:tcW w:w="2722" w:type="dxa"/>
            <w:shd w:val="clear" w:color="auto" w:fill="FFFFFF" w:themeFill="background1"/>
          </w:tcPr>
          <w:p w14:paraId="74AE7DE9" w14:textId="5A9CC579" w:rsidR="00D140F7" w:rsidRPr="00261B7A" w:rsidRDefault="00D140F7" w:rsidP="009C63CA">
            <w:pPr>
              <w:pStyle w:val="TableText"/>
              <w:spacing w:before="40" w:after="40"/>
              <w:rPr>
                <w:rFonts w:cs="Calibri"/>
                <w:szCs w:val="16"/>
              </w:rPr>
            </w:pPr>
            <w:r w:rsidRPr="00261B7A">
              <w:rPr>
                <w:rFonts w:cs="Calibri"/>
                <w:szCs w:val="16"/>
              </w:rPr>
              <w:t>Review and, if necessary, revise the CO</w:t>
            </w:r>
            <w:r w:rsidRPr="00261B7A">
              <w:rPr>
                <w:rFonts w:cs="Calibri"/>
                <w:szCs w:val="16"/>
                <w:vertAlign w:val="subscript"/>
              </w:rPr>
              <w:t>2</w:t>
            </w:r>
            <w:r w:rsidRPr="00261B7A">
              <w:rPr>
                <w:rFonts w:cs="Calibri"/>
                <w:szCs w:val="16"/>
              </w:rPr>
              <w:t xml:space="preserve"> EF for kiln dust, noting that it cannot be the same as the CO</w:t>
            </w:r>
            <w:r w:rsidRPr="00261B7A">
              <w:rPr>
                <w:rFonts w:cs="Calibri"/>
                <w:szCs w:val="16"/>
                <w:vertAlign w:val="subscript"/>
              </w:rPr>
              <w:t>2</w:t>
            </w:r>
            <w:r w:rsidRPr="00261B7A">
              <w:rPr>
                <w:rFonts w:cs="Calibri"/>
                <w:szCs w:val="16"/>
              </w:rPr>
              <w:t xml:space="preserve"> EF for CaO because the dust contains a mixture of CaO and</w:t>
            </w:r>
            <w:r w:rsidR="00547C9E" w:rsidRPr="00261B7A">
              <w:rPr>
                <w:rFonts w:cs="Calibri"/>
                <w:szCs w:val="16"/>
              </w:rPr>
              <w:t> </w:t>
            </w:r>
            <w:r w:rsidRPr="00261B7A">
              <w:rPr>
                <w:rFonts w:cs="Calibri"/>
                <w:szCs w:val="16"/>
              </w:rPr>
              <w:t>MgO.</w:t>
            </w:r>
          </w:p>
        </w:tc>
        <w:tc>
          <w:tcPr>
            <w:tcW w:w="2892" w:type="dxa"/>
            <w:shd w:val="clear" w:color="auto" w:fill="FFFFFF" w:themeFill="background1"/>
          </w:tcPr>
          <w:p w14:paraId="652155F2"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New Zealand has now clarified that the lime companies report zero or undetectable MgO in kiln dust.</w:t>
            </w:r>
          </w:p>
        </w:tc>
      </w:tr>
      <w:tr w:rsidR="00D140F7" w:rsidRPr="00261B7A" w14:paraId="68210F42" w14:textId="77777777" w:rsidTr="009C63CA">
        <w:tc>
          <w:tcPr>
            <w:tcW w:w="1896" w:type="dxa"/>
            <w:shd w:val="clear" w:color="auto" w:fill="FFFFFF" w:themeFill="background1"/>
          </w:tcPr>
          <w:p w14:paraId="353EB826" w14:textId="77777777" w:rsidR="00D140F7" w:rsidRPr="00261B7A" w:rsidRDefault="00D140F7" w:rsidP="009C63CA">
            <w:pPr>
              <w:pStyle w:val="TableText"/>
              <w:spacing w:before="40" w:after="40"/>
              <w:rPr>
                <w:rFonts w:cs="Calibri"/>
                <w:szCs w:val="16"/>
              </w:rPr>
            </w:pPr>
            <w:r w:rsidRPr="00261B7A">
              <w:rPr>
                <w:rFonts w:cs="Calibri"/>
                <w:szCs w:val="16"/>
              </w:rPr>
              <w:t xml:space="preserve">IPPU – </w:t>
            </w:r>
            <w:r w:rsidRPr="00261B7A" w:rsidDel="00F3555D">
              <w:rPr>
                <w:rFonts w:cs="Calibri"/>
                <w:szCs w:val="16"/>
              </w:rPr>
              <w:t>2.A.2 Lime production</w:t>
            </w:r>
            <w:r w:rsidRPr="00261B7A">
              <w:rPr>
                <w:rFonts w:cs="Calibri"/>
                <w:szCs w:val="16"/>
              </w:rPr>
              <w:t xml:space="preserve">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br/>
              <w:t>(I.25,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422B4992" w14:textId="77777777" w:rsidR="00D140F7" w:rsidRPr="00261B7A" w:rsidRDefault="00D140F7" w:rsidP="009C63CA">
            <w:pPr>
              <w:pStyle w:val="TableText"/>
              <w:spacing w:before="40" w:after="40"/>
              <w:rPr>
                <w:rFonts w:cs="Calibri"/>
                <w:szCs w:val="16"/>
              </w:rPr>
            </w:pPr>
            <w:r w:rsidRPr="00261B7A">
              <w:rPr>
                <w:rFonts w:eastAsia="Calibri" w:cs="Calibri"/>
                <w:szCs w:val="16"/>
              </w:rPr>
              <w:t>I.8, 2021</w:t>
            </w:r>
          </w:p>
        </w:tc>
        <w:tc>
          <w:tcPr>
            <w:tcW w:w="2722" w:type="dxa"/>
            <w:shd w:val="clear" w:color="auto" w:fill="FFFFFF" w:themeFill="background1"/>
          </w:tcPr>
          <w:p w14:paraId="11B22F9F" w14:textId="77777777" w:rsidR="00D140F7" w:rsidRPr="00261B7A" w:rsidRDefault="00D140F7" w:rsidP="009C63CA">
            <w:pPr>
              <w:pStyle w:val="TableText"/>
              <w:spacing w:before="40" w:after="40"/>
              <w:rPr>
                <w:rFonts w:cs="Calibri"/>
                <w:szCs w:val="16"/>
              </w:rPr>
            </w:pPr>
            <w:r w:rsidRPr="00261B7A">
              <w:rPr>
                <w:rFonts w:cs="Calibri"/>
                <w:szCs w:val="16"/>
              </w:rPr>
              <w:t>Explain in the NIR that burned lime was considered as high-calcium lime with an EF of 0.75 t CO</w:t>
            </w:r>
            <w:r w:rsidRPr="00261B7A">
              <w:rPr>
                <w:rFonts w:cs="Calibri"/>
                <w:szCs w:val="16"/>
                <w:vertAlign w:val="subscript"/>
              </w:rPr>
              <w:t>2</w:t>
            </w:r>
            <w:r w:rsidRPr="00261B7A">
              <w:rPr>
                <w:rFonts w:cs="Calibri"/>
                <w:szCs w:val="16"/>
              </w:rPr>
              <w:t xml:space="preserve">/t lime and that the factor of 0.97 was the correction factor for hydrated lime for 1990–2013. </w:t>
            </w:r>
          </w:p>
        </w:tc>
        <w:tc>
          <w:tcPr>
            <w:tcW w:w="2892" w:type="dxa"/>
            <w:shd w:val="clear" w:color="auto" w:fill="FFFFFF" w:themeFill="background1"/>
          </w:tcPr>
          <w:p w14:paraId="7BD9A878"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New Zealand recalculated the AD and</w:t>
            </w:r>
            <w:r w:rsidRPr="00261B7A">
              <w:rPr>
                <w:rFonts w:cs="Calibri"/>
                <w:szCs w:val="16"/>
                <w:lang w:eastAsia="en-US"/>
              </w:rPr>
              <w:t xml:space="preserve"> CO</w:t>
            </w:r>
            <w:r w:rsidRPr="00261B7A">
              <w:rPr>
                <w:rFonts w:cs="Calibri"/>
                <w:szCs w:val="16"/>
                <w:vertAlign w:val="subscript"/>
                <w:lang w:eastAsia="en-US"/>
              </w:rPr>
              <w:t>2</w:t>
            </w:r>
            <w:r w:rsidRPr="00261B7A">
              <w:rPr>
                <w:rFonts w:cs="Calibri"/>
                <w:szCs w:val="16"/>
              </w:rPr>
              <w:t xml:space="preserve"> emissions for this category and stopped using burned lime as the AD for 1990–2013 (see ID#s I.6 above and I.9 below).</w:t>
            </w:r>
          </w:p>
        </w:tc>
      </w:tr>
      <w:tr w:rsidR="00D140F7" w:rsidRPr="00261B7A" w14:paraId="287C458D" w14:textId="77777777" w:rsidTr="009C63CA">
        <w:tc>
          <w:tcPr>
            <w:tcW w:w="1896" w:type="dxa"/>
            <w:shd w:val="clear" w:color="auto" w:fill="FFFFFF" w:themeFill="background1"/>
          </w:tcPr>
          <w:p w14:paraId="575346FE" w14:textId="77777777" w:rsidR="00D140F7" w:rsidRPr="00261B7A" w:rsidRDefault="00D140F7" w:rsidP="009C63CA">
            <w:pPr>
              <w:pStyle w:val="TableText"/>
              <w:spacing w:before="40" w:after="40"/>
              <w:rPr>
                <w:rFonts w:cs="Calibri"/>
                <w:szCs w:val="16"/>
              </w:rPr>
            </w:pPr>
            <w:r w:rsidRPr="00261B7A">
              <w:rPr>
                <w:rFonts w:cs="Calibri"/>
                <w:szCs w:val="16"/>
              </w:rPr>
              <w:t>IPPU</w:t>
            </w:r>
            <w:r w:rsidRPr="00261B7A" w:rsidDel="00F3555D">
              <w:rPr>
                <w:rFonts w:cs="Calibri"/>
                <w:szCs w:val="16"/>
              </w:rPr>
              <w:t xml:space="preserve"> </w:t>
            </w:r>
            <w:r w:rsidRPr="00261B7A">
              <w:rPr>
                <w:rFonts w:cs="Calibri"/>
                <w:szCs w:val="16"/>
              </w:rPr>
              <w:t xml:space="preserve">– </w:t>
            </w:r>
            <w:r w:rsidRPr="00261B7A" w:rsidDel="00F3555D">
              <w:rPr>
                <w:rFonts w:cs="Calibri"/>
                <w:szCs w:val="16"/>
              </w:rPr>
              <w:t>2.A.2 Lime production</w:t>
            </w:r>
            <w:r w:rsidRPr="00261B7A">
              <w:rPr>
                <w:rFonts w:cs="Calibri"/>
                <w:szCs w:val="16"/>
              </w:rPr>
              <w:t xml:space="preserve">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br/>
              <w:t>(I.25, 2019)</w:t>
            </w:r>
            <w:r w:rsidRPr="00261B7A">
              <w:rPr>
                <w:rFonts w:cs="Calibri"/>
                <w:szCs w:val="16"/>
                <w:lang w:eastAsia="en-US"/>
              </w:rPr>
              <w:br/>
            </w:r>
            <w:r w:rsidRPr="00261B7A">
              <w:rPr>
                <w:rFonts w:cs="Calibri"/>
                <w:szCs w:val="16"/>
              </w:rPr>
              <w:t>Comparability</w:t>
            </w:r>
          </w:p>
        </w:tc>
        <w:tc>
          <w:tcPr>
            <w:tcW w:w="919" w:type="dxa"/>
            <w:shd w:val="clear" w:color="auto" w:fill="FFFFFF" w:themeFill="background1"/>
          </w:tcPr>
          <w:p w14:paraId="30D76D52" w14:textId="77777777" w:rsidR="00D140F7" w:rsidRPr="00261B7A" w:rsidRDefault="00D140F7" w:rsidP="009C63CA">
            <w:pPr>
              <w:pStyle w:val="TableText"/>
              <w:spacing w:before="40" w:after="40"/>
              <w:rPr>
                <w:rFonts w:cs="Calibri"/>
                <w:szCs w:val="16"/>
              </w:rPr>
            </w:pPr>
            <w:r w:rsidRPr="00261B7A">
              <w:rPr>
                <w:rFonts w:eastAsia="Calibri" w:cs="Calibri"/>
                <w:szCs w:val="16"/>
              </w:rPr>
              <w:t>I.9, 2021</w:t>
            </w:r>
          </w:p>
        </w:tc>
        <w:tc>
          <w:tcPr>
            <w:tcW w:w="2722" w:type="dxa"/>
            <w:shd w:val="clear" w:color="auto" w:fill="FFFFFF" w:themeFill="background1"/>
          </w:tcPr>
          <w:p w14:paraId="53899D9B" w14:textId="6E9D641A" w:rsidR="00D140F7" w:rsidRPr="00261B7A" w:rsidRDefault="00D140F7" w:rsidP="009C63CA">
            <w:pPr>
              <w:pStyle w:val="TableText"/>
              <w:spacing w:before="40" w:after="40"/>
              <w:rPr>
                <w:rFonts w:cs="Calibri"/>
                <w:szCs w:val="16"/>
              </w:rPr>
            </w:pPr>
            <w:r w:rsidRPr="00261B7A">
              <w:rPr>
                <w:rFonts w:cs="Calibri"/>
                <w:szCs w:val="16"/>
              </w:rPr>
              <w:t>Revert the changes in AD since 2014 to</w:t>
            </w:r>
            <w:r w:rsidR="00547C9E" w:rsidRPr="00261B7A">
              <w:rPr>
                <w:rFonts w:cs="Calibri"/>
                <w:szCs w:val="16"/>
              </w:rPr>
              <w:t> </w:t>
            </w:r>
            <w:r w:rsidRPr="00261B7A">
              <w:rPr>
                <w:rFonts w:cs="Calibri"/>
                <w:szCs w:val="16"/>
              </w:rPr>
              <w:t>the original quantities of pure lime (CaO + MgO), noting that the IEF cannot be lower than 0.7848 according to the equation provided by the ETS regulation and presented in the NIR (p. 123).</w:t>
            </w:r>
          </w:p>
        </w:tc>
        <w:tc>
          <w:tcPr>
            <w:tcW w:w="2892" w:type="dxa"/>
            <w:shd w:val="clear" w:color="auto" w:fill="FFFFFF" w:themeFill="background1"/>
          </w:tcPr>
          <w:p w14:paraId="617033B3"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New Zealand reverted the changes in AD for 2014 onward and is now using pure lime, in accordance with the data from its ETS (the Party had previously converted the AD for 2014 onward from pure to burned lime, to make them consistent with the AD for 1990–2013). In addition, the Party recalculated emissions and also applied pure lime as the AD for 1990–2013 (see ID# I.6 above), and the EF applied is 0.784 t CO</w:t>
            </w:r>
            <w:r w:rsidRPr="00261B7A">
              <w:rPr>
                <w:rFonts w:cs="Calibri"/>
                <w:szCs w:val="16"/>
                <w:vertAlign w:val="subscript"/>
              </w:rPr>
              <w:t>2</w:t>
            </w:r>
            <w:r w:rsidRPr="00261B7A">
              <w:rPr>
                <w:rFonts w:cs="Calibri"/>
                <w:szCs w:val="16"/>
              </w:rPr>
              <w:t>/t lime.</w:t>
            </w:r>
          </w:p>
        </w:tc>
      </w:tr>
      <w:tr w:rsidR="00D140F7" w:rsidRPr="00261B7A" w14:paraId="6B98C673" w14:textId="77777777" w:rsidTr="009C63CA">
        <w:tc>
          <w:tcPr>
            <w:tcW w:w="1896" w:type="dxa"/>
            <w:shd w:val="clear" w:color="auto" w:fill="FFFFFF" w:themeFill="background1"/>
          </w:tcPr>
          <w:p w14:paraId="4284FECD" w14:textId="77777777" w:rsidR="00D140F7" w:rsidRPr="00261B7A" w:rsidRDefault="00D140F7" w:rsidP="009C63CA">
            <w:pPr>
              <w:pStyle w:val="TableText"/>
              <w:spacing w:before="40" w:after="40"/>
              <w:rPr>
                <w:rFonts w:cs="Calibri"/>
                <w:szCs w:val="16"/>
              </w:rPr>
            </w:pPr>
            <w:r w:rsidRPr="00261B7A">
              <w:rPr>
                <w:rFonts w:cs="Calibri"/>
                <w:szCs w:val="16"/>
              </w:rPr>
              <w:t>IPPU</w:t>
            </w:r>
            <w:r w:rsidRPr="00261B7A" w:rsidDel="00F3555D">
              <w:rPr>
                <w:rFonts w:cs="Calibri"/>
                <w:szCs w:val="16"/>
              </w:rPr>
              <w:t xml:space="preserve"> </w:t>
            </w:r>
            <w:r w:rsidRPr="00261B7A">
              <w:rPr>
                <w:rFonts w:cs="Calibri"/>
                <w:szCs w:val="16"/>
              </w:rPr>
              <w:t xml:space="preserve">– </w:t>
            </w:r>
            <w:r w:rsidRPr="00261B7A" w:rsidDel="00F3555D">
              <w:rPr>
                <w:rFonts w:cs="Calibri"/>
                <w:szCs w:val="16"/>
              </w:rPr>
              <w:t>2.A.2 Lime production</w:t>
            </w:r>
            <w:r w:rsidRPr="00261B7A">
              <w:rPr>
                <w:rFonts w:cs="Calibri"/>
                <w:szCs w:val="16"/>
              </w:rPr>
              <w:t xml:space="preserve">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br/>
              <w:t>(I.25, 2019)</w:t>
            </w:r>
            <w:r w:rsidRPr="00261B7A">
              <w:rPr>
                <w:rFonts w:cs="Calibri"/>
                <w:szCs w:val="16"/>
                <w:lang w:eastAsia="en-US"/>
              </w:rPr>
              <w:br/>
            </w:r>
            <w:r w:rsidRPr="00261B7A">
              <w:rPr>
                <w:rFonts w:cs="Calibri"/>
                <w:szCs w:val="16"/>
              </w:rPr>
              <w:t>Comparability</w:t>
            </w:r>
          </w:p>
        </w:tc>
        <w:tc>
          <w:tcPr>
            <w:tcW w:w="919" w:type="dxa"/>
            <w:shd w:val="clear" w:color="auto" w:fill="FFFFFF" w:themeFill="background1"/>
          </w:tcPr>
          <w:p w14:paraId="032FCA61" w14:textId="77777777" w:rsidR="00D140F7" w:rsidRPr="00261B7A" w:rsidRDefault="00D140F7" w:rsidP="009C63CA">
            <w:pPr>
              <w:pStyle w:val="TableText"/>
              <w:spacing w:before="40" w:after="40"/>
              <w:rPr>
                <w:rFonts w:cs="Calibri"/>
                <w:szCs w:val="16"/>
              </w:rPr>
            </w:pPr>
            <w:r w:rsidRPr="00261B7A">
              <w:rPr>
                <w:rFonts w:eastAsia="Calibri" w:cs="Calibri"/>
                <w:szCs w:val="16"/>
              </w:rPr>
              <w:t>I.10, 2021</w:t>
            </w:r>
          </w:p>
        </w:tc>
        <w:tc>
          <w:tcPr>
            <w:tcW w:w="2722" w:type="dxa"/>
            <w:shd w:val="clear" w:color="auto" w:fill="FFFFFF" w:themeFill="background1"/>
          </w:tcPr>
          <w:p w14:paraId="5B739ECA" w14:textId="77777777" w:rsidR="00D140F7" w:rsidRPr="00261B7A" w:rsidRDefault="00D140F7" w:rsidP="009C63CA">
            <w:pPr>
              <w:pStyle w:val="TableText"/>
              <w:spacing w:before="40" w:after="40"/>
              <w:rPr>
                <w:rFonts w:cs="Calibri"/>
                <w:szCs w:val="16"/>
              </w:rPr>
            </w:pPr>
            <w:r w:rsidRPr="00261B7A">
              <w:rPr>
                <w:rFonts w:cs="Calibri"/>
                <w:szCs w:val="16"/>
              </w:rPr>
              <w:t>Continue reporting the same emissions but revise the AD as pure lime by dividing such emissions by a single IEF (that of 2014) for 1990–2013.</w:t>
            </w:r>
          </w:p>
        </w:tc>
        <w:tc>
          <w:tcPr>
            <w:tcW w:w="2892" w:type="dxa"/>
            <w:shd w:val="clear" w:color="auto" w:fill="FFFFFF" w:themeFill="background1"/>
          </w:tcPr>
          <w:p w14:paraId="7D9F8406"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New Zealand revised the AD for pure lime across the time series (see ID# I.6 above).</w:t>
            </w:r>
          </w:p>
        </w:tc>
      </w:tr>
      <w:tr w:rsidR="00D140F7" w:rsidRPr="00261B7A" w14:paraId="5A85BC43" w14:textId="77777777" w:rsidTr="009C63CA">
        <w:tc>
          <w:tcPr>
            <w:tcW w:w="1896" w:type="dxa"/>
            <w:shd w:val="clear" w:color="auto" w:fill="FFFFFF" w:themeFill="background1"/>
          </w:tcPr>
          <w:p w14:paraId="5F0215BF" w14:textId="77777777" w:rsidR="00D140F7" w:rsidRPr="00261B7A" w:rsidRDefault="00D140F7" w:rsidP="009C63CA">
            <w:pPr>
              <w:pStyle w:val="TableText"/>
              <w:spacing w:before="40" w:after="40"/>
              <w:rPr>
                <w:rFonts w:cs="Calibri"/>
                <w:szCs w:val="16"/>
              </w:rPr>
            </w:pPr>
            <w:r w:rsidRPr="00261B7A">
              <w:rPr>
                <w:rFonts w:cs="Calibri"/>
                <w:szCs w:val="16"/>
              </w:rPr>
              <w:t xml:space="preserve">IPPU – 2.B.1 Ammonia production – </w:t>
            </w:r>
            <w:r w:rsidRPr="00261B7A">
              <w:rPr>
                <w:rFonts w:cs="Calibri"/>
                <w:color w:val="000000"/>
                <w:szCs w:val="16"/>
              </w:rPr>
              <w:t>CO</w:t>
            </w:r>
            <w:r w:rsidRPr="00261B7A">
              <w:rPr>
                <w:rFonts w:cs="Calibri"/>
                <w:color w:val="000000"/>
                <w:szCs w:val="16"/>
                <w:vertAlign w:val="subscript"/>
              </w:rPr>
              <w:t>2</w:t>
            </w:r>
            <w:r w:rsidRPr="00261B7A">
              <w:rPr>
                <w:rFonts w:cs="Calibri"/>
                <w:color w:val="000000"/>
                <w:szCs w:val="16"/>
              </w:rPr>
              <w:br/>
              <w:t>(I.9, 2019) (I.24, 2017)</w:t>
            </w:r>
            <w:r w:rsidRPr="00261B7A">
              <w:rPr>
                <w:rFonts w:cs="Calibri"/>
                <w:color w:val="000000"/>
                <w:szCs w:val="16"/>
              </w:rPr>
              <w:br/>
            </w:r>
            <w:r w:rsidRPr="00261B7A">
              <w:rPr>
                <w:rFonts w:cs="Calibri"/>
                <w:szCs w:val="16"/>
              </w:rPr>
              <w:t>Transparency</w:t>
            </w:r>
          </w:p>
        </w:tc>
        <w:tc>
          <w:tcPr>
            <w:tcW w:w="919" w:type="dxa"/>
            <w:shd w:val="clear" w:color="auto" w:fill="FFFFFF" w:themeFill="background1"/>
          </w:tcPr>
          <w:p w14:paraId="6E0936D9" w14:textId="77777777" w:rsidR="00D140F7" w:rsidRPr="00261B7A" w:rsidRDefault="00D140F7" w:rsidP="009C63CA">
            <w:pPr>
              <w:pStyle w:val="TableText"/>
              <w:spacing w:before="40" w:after="40"/>
              <w:rPr>
                <w:rFonts w:cs="Calibri"/>
                <w:szCs w:val="16"/>
              </w:rPr>
            </w:pPr>
            <w:r w:rsidRPr="00261B7A">
              <w:rPr>
                <w:rFonts w:eastAsia="Calibri" w:cs="Calibri"/>
                <w:szCs w:val="16"/>
              </w:rPr>
              <w:t>I.11, 2021</w:t>
            </w:r>
          </w:p>
        </w:tc>
        <w:tc>
          <w:tcPr>
            <w:tcW w:w="2722" w:type="dxa"/>
            <w:shd w:val="clear" w:color="auto" w:fill="FFFFFF" w:themeFill="background1"/>
          </w:tcPr>
          <w:p w14:paraId="728A0356" w14:textId="77777777" w:rsidR="00D140F7" w:rsidRPr="00261B7A" w:rsidRDefault="00D140F7" w:rsidP="009C63CA">
            <w:pPr>
              <w:pStyle w:val="TableText"/>
              <w:spacing w:before="40" w:after="40"/>
              <w:rPr>
                <w:rFonts w:cs="Calibri"/>
                <w:szCs w:val="16"/>
              </w:rPr>
            </w:pPr>
            <w:r w:rsidRPr="00261B7A">
              <w:rPr>
                <w:rFonts w:cs="Calibri"/>
                <w:szCs w:val="16"/>
              </w:rPr>
              <w:t>Clarify in the NIR (section 4.3.2) that urea used as fertilizer is reported under category 3.H (urea application).</w:t>
            </w:r>
          </w:p>
        </w:tc>
        <w:tc>
          <w:tcPr>
            <w:tcW w:w="2892" w:type="dxa"/>
            <w:shd w:val="clear" w:color="auto" w:fill="FFFFFF" w:themeFill="background1"/>
          </w:tcPr>
          <w:p w14:paraId="33AEF8A6"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New Zealand reported in its 2021 NIR (chapter 4, section. 4.3.1, p. 140) that emissions from urea used as fertiliser (both manufactured in New Zealand and imported) are</w:t>
            </w:r>
            <w:r w:rsidRPr="00261B7A" w:rsidDel="00273398">
              <w:rPr>
                <w:rFonts w:cs="Calibri"/>
                <w:szCs w:val="16"/>
              </w:rPr>
              <w:t xml:space="preserve"> </w:t>
            </w:r>
            <w:r w:rsidRPr="00261B7A">
              <w:rPr>
                <w:rFonts w:cs="Calibri"/>
                <w:szCs w:val="16"/>
              </w:rPr>
              <w:t xml:space="preserve">reported under category 3.H (urea application). </w:t>
            </w:r>
          </w:p>
        </w:tc>
      </w:tr>
      <w:tr w:rsidR="00D140F7" w:rsidRPr="00261B7A" w14:paraId="17145C95" w14:textId="77777777" w:rsidTr="009C63CA">
        <w:tc>
          <w:tcPr>
            <w:tcW w:w="1896" w:type="dxa"/>
            <w:shd w:val="clear" w:color="auto" w:fill="FFFFFF" w:themeFill="background1"/>
          </w:tcPr>
          <w:p w14:paraId="57944CE0" w14:textId="77777777" w:rsidR="00D140F7" w:rsidRPr="00261B7A" w:rsidRDefault="00D140F7" w:rsidP="009C63CA">
            <w:pPr>
              <w:pStyle w:val="TableText"/>
              <w:spacing w:before="40" w:after="40"/>
              <w:rPr>
                <w:rFonts w:cs="Calibri"/>
                <w:szCs w:val="16"/>
              </w:rPr>
            </w:pPr>
            <w:r w:rsidRPr="00261B7A">
              <w:rPr>
                <w:rFonts w:cs="Calibri"/>
                <w:szCs w:val="16"/>
              </w:rPr>
              <w:t xml:space="preserve">IPPU – 2.B.1 Ammonia production – </w:t>
            </w:r>
            <w:r w:rsidRPr="00261B7A">
              <w:rPr>
                <w:rFonts w:cs="Calibri"/>
                <w:color w:val="000000"/>
                <w:szCs w:val="16"/>
              </w:rPr>
              <w:t>CO</w:t>
            </w:r>
            <w:r w:rsidRPr="00261B7A">
              <w:rPr>
                <w:rFonts w:cs="Calibri"/>
                <w:color w:val="000000"/>
                <w:szCs w:val="16"/>
                <w:vertAlign w:val="subscript"/>
              </w:rPr>
              <w:t>2</w:t>
            </w:r>
            <w:r w:rsidRPr="00261B7A">
              <w:rPr>
                <w:rFonts w:cs="Calibri"/>
                <w:color w:val="000000"/>
                <w:szCs w:val="16"/>
              </w:rPr>
              <w:br/>
              <w:t>(I.9, 2019) (I.24, 2017)</w:t>
            </w:r>
            <w:r w:rsidRPr="00261B7A">
              <w:rPr>
                <w:rFonts w:cs="Calibri"/>
                <w:color w:val="000000"/>
                <w:szCs w:val="16"/>
              </w:rPr>
              <w:br/>
            </w:r>
            <w:r w:rsidRPr="00261B7A">
              <w:rPr>
                <w:rFonts w:cs="Calibri"/>
                <w:szCs w:val="16"/>
              </w:rPr>
              <w:t>Transparency</w:t>
            </w:r>
          </w:p>
        </w:tc>
        <w:tc>
          <w:tcPr>
            <w:tcW w:w="919" w:type="dxa"/>
            <w:shd w:val="clear" w:color="auto" w:fill="FFFFFF" w:themeFill="background1"/>
          </w:tcPr>
          <w:p w14:paraId="6F5614D9"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I.12, 2021</w:t>
            </w:r>
          </w:p>
        </w:tc>
        <w:tc>
          <w:tcPr>
            <w:tcW w:w="2722" w:type="dxa"/>
            <w:shd w:val="clear" w:color="auto" w:fill="FFFFFF" w:themeFill="background1"/>
          </w:tcPr>
          <w:p w14:paraId="546AC31D" w14:textId="77777777" w:rsidR="00D140F7" w:rsidRPr="00261B7A" w:rsidRDefault="00D140F7" w:rsidP="009C63CA">
            <w:pPr>
              <w:pStyle w:val="TableText"/>
              <w:spacing w:before="40" w:after="40"/>
              <w:rPr>
                <w:rFonts w:cs="Calibri"/>
                <w:szCs w:val="16"/>
              </w:rPr>
            </w:pPr>
            <w:r w:rsidRPr="00261B7A">
              <w:rPr>
                <w:rFonts w:cs="Calibri"/>
                <w:szCs w:val="16"/>
              </w:rPr>
              <w:t>Either provide an estimate for urea use in selective catalytic reduction (under category 2.D.3) in line with the 2006 IPCC Guidelines or provide a justification for its exclusion in terms of the likely level of emissions, in accordance with the requirements in paragraph 37(b) of the UNFCCC Annex I inventory reporting guidelines.</w:t>
            </w:r>
          </w:p>
        </w:tc>
        <w:tc>
          <w:tcPr>
            <w:tcW w:w="2892" w:type="dxa"/>
            <w:shd w:val="clear" w:color="auto" w:fill="FFFFFF" w:themeFill="background1"/>
          </w:tcPr>
          <w:p w14:paraId="1ECC1A29"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New Zealand updated the information in its 2021 NIR (chapter 4, section 4.3.1, p. 140) to reflect correctly that CO</w:t>
            </w:r>
            <w:r w:rsidRPr="00261B7A">
              <w:rPr>
                <w:rFonts w:cs="Calibri"/>
                <w:szCs w:val="16"/>
                <w:vertAlign w:val="subscript"/>
              </w:rPr>
              <w:t>2</w:t>
            </w:r>
            <w:r w:rsidRPr="00261B7A">
              <w:rPr>
                <w:rFonts w:cs="Calibri"/>
                <w:szCs w:val="16"/>
              </w:rPr>
              <w:t xml:space="preserve"> emissions from the use of urea in selective catalytic reduction are reported under category 2.D.3. In the 2021 NIR (p. 151), the Party also provided a description of the methodology used to estimate such CO</w:t>
            </w:r>
            <w:r w:rsidRPr="00261B7A">
              <w:rPr>
                <w:rFonts w:cs="Calibri"/>
                <w:szCs w:val="16"/>
                <w:vertAlign w:val="subscript"/>
              </w:rPr>
              <w:t>2</w:t>
            </w:r>
            <w:r w:rsidRPr="00261B7A">
              <w:rPr>
                <w:rFonts w:cs="Calibri"/>
                <w:szCs w:val="16"/>
              </w:rPr>
              <w:t xml:space="preserve"> emissions.</w:t>
            </w:r>
          </w:p>
        </w:tc>
      </w:tr>
      <w:tr w:rsidR="00D140F7" w:rsidRPr="00261B7A" w14:paraId="09D88D85" w14:textId="77777777" w:rsidTr="009C63CA">
        <w:tc>
          <w:tcPr>
            <w:tcW w:w="1896" w:type="dxa"/>
            <w:shd w:val="clear" w:color="auto" w:fill="FFFFFF" w:themeFill="background1"/>
          </w:tcPr>
          <w:p w14:paraId="033070C3" w14:textId="77777777" w:rsidR="00D140F7" w:rsidRPr="00261B7A" w:rsidRDefault="00D140F7" w:rsidP="009C63CA">
            <w:pPr>
              <w:pStyle w:val="TableText"/>
              <w:spacing w:before="40" w:after="40"/>
              <w:rPr>
                <w:rFonts w:cs="Calibri"/>
                <w:szCs w:val="16"/>
              </w:rPr>
            </w:pPr>
            <w:r w:rsidRPr="00261B7A">
              <w:rPr>
                <w:rFonts w:cs="Calibri"/>
                <w:szCs w:val="16"/>
              </w:rPr>
              <w:t xml:space="preserve">IPPU – 2.B.1 Ammonia production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br/>
              <w:t>(I.27, 2019)</w:t>
            </w:r>
            <w:r w:rsidRPr="00261B7A">
              <w:rPr>
                <w:rFonts w:cs="Calibri"/>
                <w:szCs w:val="16"/>
                <w:lang w:eastAsia="en-US"/>
              </w:rPr>
              <w:br/>
            </w:r>
            <w:r w:rsidRPr="00261B7A">
              <w:rPr>
                <w:rFonts w:cs="Calibri"/>
                <w:szCs w:val="16"/>
              </w:rPr>
              <w:t>Comparability</w:t>
            </w:r>
          </w:p>
        </w:tc>
        <w:tc>
          <w:tcPr>
            <w:tcW w:w="919" w:type="dxa"/>
            <w:shd w:val="clear" w:color="auto" w:fill="FFFFFF" w:themeFill="background1"/>
          </w:tcPr>
          <w:p w14:paraId="746297E4"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I.13, 2021</w:t>
            </w:r>
          </w:p>
        </w:tc>
        <w:tc>
          <w:tcPr>
            <w:tcW w:w="2722" w:type="dxa"/>
            <w:shd w:val="clear" w:color="auto" w:fill="FFFFFF" w:themeFill="background1"/>
          </w:tcPr>
          <w:p w14:paraId="056A08BC" w14:textId="77777777" w:rsidR="00D140F7" w:rsidRPr="00261B7A" w:rsidRDefault="00D140F7" w:rsidP="009C63CA">
            <w:pPr>
              <w:pStyle w:val="TableText"/>
              <w:spacing w:before="40" w:after="40"/>
              <w:rPr>
                <w:rFonts w:cs="Calibri"/>
                <w:szCs w:val="16"/>
              </w:rPr>
            </w:pPr>
            <w:r w:rsidRPr="00261B7A">
              <w:rPr>
                <w:rFonts w:cs="Calibri"/>
                <w:szCs w:val="16"/>
              </w:rPr>
              <w:t>Subtract the total quantities of oil and gas used (fuel plus feedstock) in ammonia production from the quantity reported under energy use in the energy sector, include the emissions accordingly in the IPPU sector and explain this reallocation in the NIR.</w:t>
            </w:r>
          </w:p>
        </w:tc>
        <w:tc>
          <w:tcPr>
            <w:tcW w:w="2892" w:type="dxa"/>
            <w:shd w:val="clear" w:color="auto" w:fill="FFFFFF" w:themeFill="background1"/>
          </w:tcPr>
          <w:p w14:paraId="4FDDC4ED"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It has not been feasible to make this change, owing to concerns about data confidentiality, with all data coming from a single company. The 2021 NIR (chapter 4, section 4.1.4) explains that this method has been retained due to confidentiality concerns. </w:t>
            </w:r>
          </w:p>
        </w:tc>
      </w:tr>
      <w:tr w:rsidR="00D140F7" w:rsidRPr="00261B7A" w14:paraId="7795E4B6" w14:textId="77777777" w:rsidTr="009C63CA">
        <w:tc>
          <w:tcPr>
            <w:tcW w:w="1896" w:type="dxa"/>
            <w:shd w:val="clear" w:color="auto" w:fill="FFFFFF" w:themeFill="background1"/>
          </w:tcPr>
          <w:p w14:paraId="53B9DD7D" w14:textId="77777777" w:rsidR="00D140F7" w:rsidRPr="00261B7A" w:rsidRDefault="00D140F7" w:rsidP="009C63CA">
            <w:pPr>
              <w:pStyle w:val="TableText"/>
              <w:spacing w:before="40" w:after="40"/>
              <w:rPr>
                <w:rFonts w:cs="Calibri"/>
                <w:szCs w:val="16"/>
              </w:rPr>
            </w:pPr>
            <w:r w:rsidRPr="00261B7A">
              <w:rPr>
                <w:rFonts w:cs="Calibri"/>
                <w:szCs w:val="16"/>
              </w:rPr>
              <w:t xml:space="preserve">IPPU – 2.C.1 Iron and steel production – </w:t>
            </w:r>
            <w:r w:rsidRPr="00261B7A">
              <w:rPr>
                <w:rFonts w:cs="Calibri"/>
                <w:color w:val="000000"/>
                <w:szCs w:val="16"/>
              </w:rPr>
              <w:t>CO</w:t>
            </w:r>
            <w:r w:rsidRPr="00261B7A">
              <w:rPr>
                <w:rFonts w:cs="Calibri"/>
                <w:color w:val="000000"/>
                <w:szCs w:val="16"/>
                <w:vertAlign w:val="subscript"/>
              </w:rPr>
              <w:t>2</w:t>
            </w:r>
            <w:r w:rsidRPr="00261B7A">
              <w:rPr>
                <w:rFonts w:cs="Calibri"/>
                <w:color w:val="000000"/>
                <w:szCs w:val="16"/>
              </w:rPr>
              <w:br/>
              <w:t>(I.11, 2019) (I.26, 2017)</w:t>
            </w:r>
            <w:r w:rsidRPr="00261B7A">
              <w:rPr>
                <w:rFonts w:cs="Calibri"/>
                <w:color w:val="000000"/>
                <w:szCs w:val="16"/>
              </w:rPr>
              <w:br/>
            </w:r>
            <w:r w:rsidRPr="00261B7A">
              <w:rPr>
                <w:rFonts w:cs="Calibri"/>
                <w:szCs w:val="16"/>
              </w:rPr>
              <w:t>Completeness</w:t>
            </w:r>
          </w:p>
        </w:tc>
        <w:tc>
          <w:tcPr>
            <w:tcW w:w="919" w:type="dxa"/>
            <w:shd w:val="clear" w:color="auto" w:fill="FFFFFF" w:themeFill="background1"/>
          </w:tcPr>
          <w:p w14:paraId="1C72EAC4"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I.14, 2021</w:t>
            </w:r>
          </w:p>
        </w:tc>
        <w:tc>
          <w:tcPr>
            <w:tcW w:w="2722" w:type="dxa"/>
            <w:shd w:val="clear" w:color="auto" w:fill="FFFFFF" w:themeFill="background1"/>
          </w:tcPr>
          <w:p w14:paraId="7FA51952" w14:textId="77777777" w:rsidR="00D140F7" w:rsidRPr="00261B7A" w:rsidRDefault="00D140F7" w:rsidP="009C63CA">
            <w:pPr>
              <w:pStyle w:val="TableText"/>
              <w:spacing w:before="40" w:after="40"/>
              <w:rPr>
                <w:rFonts w:cs="Calibri"/>
                <w:szCs w:val="16"/>
              </w:rPr>
            </w:pPr>
            <w:r w:rsidRPr="00261B7A">
              <w:rPr>
                <w:rFonts w:cs="Calibri"/>
                <w:szCs w:val="16"/>
              </w:rPr>
              <w:t>Estimate CO</w:t>
            </w:r>
            <w:r w:rsidRPr="00261B7A">
              <w:rPr>
                <w:rFonts w:cs="Calibri"/>
                <w:szCs w:val="16"/>
                <w:vertAlign w:val="subscript"/>
              </w:rPr>
              <w:t>2</w:t>
            </w:r>
            <w:r w:rsidRPr="00261B7A">
              <w:rPr>
                <w:rFonts w:cs="Calibri"/>
                <w:szCs w:val="16"/>
              </w:rPr>
              <w:t xml:space="preserve"> emissions from electric steel production at the Pacific Steel plant, either by using a carbon balance or by applying an appropriate EF, and report these emissions under category 2.C.1.</w:t>
            </w:r>
          </w:p>
        </w:tc>
        <w:tc>
          <w:tcPr>
            <w:tcW w:w="2892" w:type="dxa"/>
            <w:shd w:val="clear" w:color="auto" w:fill="FFFFFF" w:themeFill="background1"/>
          </w:tcPr>
          <w:p w14:paraId="7BC960DC"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New Zealand estimates CO</w:t>
            </w:r>
            <w:r w:rsidRPr="00261B7A">
              <w:rPr>
                <w:rFonts w:cs="Calibri"/>
                <w:szCs w:val="16"/>
                <w:vertAlign w:val="subscript"/>
              </w:rPr>
              <w:t>2</w:t>
            </w:r>
            <w:r w:rsidRPr="00261B7A">
              <w:rPr>
                <w:rFonts w:cs="Calibri"/>
                <w:szCs w:val="16"/>
              </w:rPr>
              <w:t xml:space="preserve"> emissions from electric steel production at the Pacific Steel plant using an approximate carbon balance. This is described in the 2021 NIR (chapter 4, section 4.4.2).</w:t>
            </w:r>
          </w:p>
        </w:tc>
      </w:tr>
      <w:tr w:rsidR="00D140F7" w:rsidRPr="00261B7A" w14:paraId="30959A8F" w14:textId="77777777" w:rsidTr="009C63CA">
        <w:tc>
          <w:tcPr>
            <w:tcW w:w="1896" w:type="dxa"/>
            <w:shd w:val="clear" w:color="auto" w:fill="FFFFFF" w:themeFill="background1"/>
          </w:tcPr>
          <w:p w14:paraId="4C73FFA5" w14:textId="77777777" w:rsidR="00D140F7" w:rsidRPr="00261B7A" w:rsidRDefault="00D140F7" w:rsidP="009C63CA">
            <w:pPr>
              <w:pStyle w:val="TableText"/>
              <w:spacing w:before="40" w:after="40"/>
              <w:rPr>
                <w:rFonts w:cs="Calibri"/>
                <w:szCs w:val="16"/>
              </w:rPr>
            </w:pPr>
            <w:r w:rsidRPr="00261B7A">
              <w:rPr>
                <w:rFonts w:cs="Calibri"/>
                <w:szCs w:val="16"/>
              </w:rPr>
              <w:t xml:space="preserve">IPPU – 2.C.4 Magnesium production – </w:t>
            </w:r>
            <w:r w:rsidRPr="00261B7A">
              <w:rPr>
                <w:rFonts w:cs="Calibri"/>
                <w:color w:val="000000"/>
                <w:szCs w:val="16"/>
              </w:rPr>
              <w:t>SF</w:t>
            </w:r>
            <w:r w:rsidRPr="00261B7A">
              <w:rPr>
                <w:rFonts w:cs="Calibri"/>
                <w:color w:val="000000"/>
                <w:szCs w:val="16"/>
                <w:vertAlign w:val="subscript"/>
              </w:rPr>
              <w:t>6</w:t>
            </w:r>
            <w:r w:rsidRPr="00261B7A">
              <w:rPr>
                <w:rFonts w:cs="Calibri"/>
                <w:color w:val="000000"/>
                <w:szCs w:val="16"/>
              </w:rPr>
              <w:br/>
              <w:t>(I.14, 2019) (I.28, 2017)</w:t>
            </w:r>
            <w:r w:rsidRPr="00261B7A">
              <w:rPr>
                <w:rFonts w:cs="Calibri"/>
                <w:color w:val="000000"/>
                <w:szCs w:val="16"/>
              </w:rPr>
              <w:br/>
            </w:r>
            <w:r w:rsidRPr="00261B7A">
              <w:rPr>
                <w:rFonts w:cs="Calibri"/>
                <w:szCs w:val="16"/>
              </w:rPr>
              <w:t>Transparency</w:t>
            </w:r>
          </w:p>
        </w:tc>
        <w:tc>
          <w:tcPr>
            <w:tcW w:w="919" w:type="dxa"/>
            <w:shd w:val="clear" w:color="auto" w:fill="FFFFFF" w:themeFill="background1"/>
          </w:tcPr>
          <w:p w14:paraId="19233B94"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I.15, 2021</w:t>
            </w:r>
          </w:p>
        </w:tc>
        <w:tc>
          <w:tcPr>
            <w:tcW w:w="2722" w:type="dxa"/>
            <w:shd w:val="clear" w:color="auto" w:fill="FFFFFF" w:themeFill="background1"/>
          </w:tcPr>
          <w:p w14:paraId="77B1600C" w14:textId="77777777" w:rsidR="00D140F7" w:rsidRPr="00261B7A" w:rsidRDefault="00D140F7" w:rsidP="009C63CA">
            <w:pPr>
              <w:pStyle w:val="TableText"/>
              <w:spacing w:before="40" w:after="40"/>
              <w:rPr>
                <w:rFonts w:cs="Calibri"/>
                <w:szCs w:val="16"/>
              </w:rPr>
            </w:pPr>
            <w:r w:rsidRPr="00261B7A">
              <w:rPr>
                <w:rFonts w:cs="Calibri"/>
                <w:szCs w:val="16"/>
              </w:rPr>
              <w:t>State in the NIR that for SF</w:t>
            </w:r>
            <w:r w:rsidRPr="00261B7A">
              <w:rPr>
                <w:rFonts w:cs="Calibri"/>
                <w:szCs w:val="16"/>
                <w:vertAlign w:val="subscript"/>
              </w:rPr>
              <w:t>6</w:t>
            </w:r>
            <w:r w:rsidRPr="00261B7A">
              <w:rPr>
                <w:rFonts w:cs="Calibri"/>
                <w:szCs w:val="16"/>
              </w:rPr>
              <w:t xml:space="preserve"> emissions from magnesium casting, a country-specific uncertainty is used rather than the IPCC default uncertainty and explain the reason for its use.</w:t>
            </w:r>
          </w:p>
        </w:tc>
        <w:tc>
          <w:tcPr>
            <w:tcW w:w="2892" w:type="dxa"/>
            <w:shd w:val="clear" w:color="auto" w:fill="FFFFFF" w:themeFill="background1"/>
          </w:tcPr>
          <w:p w14:paraId="6ABEB0E8"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New Zealand now explains in the 2021 NIR (chapter 4, section 4.4.3) that it uses a country-specific uncertainty value for AD in SF</w:t>
            </w:r>
            <w:r w:rsidRPr="00261B7A">
              <w:rPr>
                <w:rFonts w:cs="Calibri"/>
                <w:szCs w:val="16"/>
                <w:vertAlign w:val="subscript"/>
              </w:rPr>
              <w:t>6</w:t>
            </w:r>
            <w:r w:rsidRPr="00261B7A">
              <w:rPr>
                <w:rFonts w:cs="Calibri"/>
                <w:szCs w:val="16"/>
              </w:rPr>
              <w:t xml:space="preserve"> emissions from magnesium casting due to the historical estimates available when the data were collected. </w:t>
            </w:r>
          </w:p>
        </w:tc>
      </w:tr>
      <w:tr w:rsidR="00D140F7" w:rsidRPr="00261B7A" w14:paraId="04D71811" w14:textId="77777777" w:rsidTr="009C63CA">
        <w:tc>
          <w:tcPr>
            <w:tcW w:w="1896" w:type="dxa"/>
            <w:shd w:val="clear" w:color="auto" w:fill="FFFFFF" w:themeFill="background1"/>
          </w:tcPr>
          <w:p w14:paraId="76573776" w14:textId="77777777" w:rsidR="00D140F7" w:rsidRPr="00261B7A" w:rsidRDefault="00D140F7" w:rsidP="009C63CA">
            <w:pPr>
              <w:pStyle w:val="TableText"/>
              <w:spacing w:before="40" w:after="40"/>
              <w:rPr>
                <w:rFonts w:cs="Calibri"/>
                <w:szCs w:val="16"/>
              </w:rPr>
            </w:pPr>
            <w:r w:rsidRPr="00261B7A">
              <w:rPr>
                <w:rFonts w:cs="Calibri"/>
                <w:szCs w:val="16"/>
              </w:rPr>
              <w:t xml:space="preserve">IPPU – 2.D.1 Lubricant use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br/>
              <w:t>(I.28,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0AF7B011"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I.16, 2021</w:t>
            </w:r>
          </w:p>
        </w:tc>
        <w:tc>
          <w:tcPr>
            <w:tcW w:w="2722" w:type="dxa"/>
            <w:shd w:val="clear" w:color="auto" w:fill="FFFFFF" w:themeFill="background1"/>
          </w:tcPr>
          <w:p w14:paraId="5B2A3BF0" w14:textId="77777777" w:rsidR="00D140F7" w:rsidRPr="00261B7A" w:rsidRDefault="00D140F7" w:rsidP="009C63CA">
            <w:pPr>
              <w:pStyle w:val="TableText"/>
              <w:spacing w:before="40" w:after="40"/>
              <w:rPr>
                <w:rFonts w:cs="Calibri"/>
                <w:szCs w:val="16"/>
              </w:rPr>
            </w:pPr>
            <w:r w:rsidRPr="00261B7A">
              <w:rPr>
                <w:rFonts w:cs="Calibri"/>
                <w:szCs w:val="16"/>
              </w:rPr>
              <w:t>Improve the information on the CO</w:t>
            </w:r>
            <w:r w:rsidRPr="00261B7A">
              <w:rPr>
                <w:rFonts w:cs="Calibri"/>
                <w:szCs w:val="16"/>
                <w:vertAlign w:val="subscript"/>
              </w:rPr>
              <w:t>2</w:t>
            </w:r>
            <w:r w:rsidRPr="00261B7A">
              <w:rPr>
                <w:rFonts w:cs="Calibri"/>
                <w:szCs w:val="16"/>
              </w:rPr>
              <w:t xml:space="preserve"> EF for lubricant use, including the source of the EF.</w:t>
            </w:r>
          </w:p>
        </w:tc>
        <w:tc>
          <w:tcPr>
            <w:tcW w:w="2892" w:type="dxa"/>
            <w:shd w:val="clear" w:color="auto" w:fill="FFFFFF" w:themeFill="background1"/>
          </w:tcPr>
          <w:p w14:paraId="7E4A5620"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New Zealand reported in its 2021 NIR (chapter 4, section 4.5.2) that for the CO</w:t>
            </w:r>
            <w:r w:rsidRPr="00261B7A">
              <w:rPr>
                <w:rFonts w:cs="Calibri"/>
                <w:szCs w:val="16"/>
                <w:vertAlign w:val="subscript"/>
              </w:rPr>
              <w:t>2</w:t>
            </w:r>
            <w:r w:rsidRPr="00261B7A">
              <w:rPr>
                <w:rFonts w:cs="Calibri"/>
                <w:szCs w:val="16"/>
              </w:rPr>
              <w:t xml:space="preserve"> EF for lubricant use it uses IPCC default parameters.</w:t>
            </w:r>
          </w:p>
        </w:tc>
      </w:tr>
      <w:tr w:rsidR="00D140F7" w:rsidRPr="00261B7A" w14:paraId="08463DDE" w14:textId="77777777" w:rsidTr="009C63CA">
        <w:tc>
          <w:tcPr>
            <w:tcW w:w="1896" w:type="dxa"/>
            <w:shd w:val="clear" w:color="auto" w:fill="FFFFFF" w:themeFill="background1"/>
          </w:tcPr>
          <w:p w14:paraId="4AC30331" w14:textId="77777777" w:rsidR="00D140F7" w:rsidRPr="00261B7A" w:rsidRDefault="00D140F7" w:rsidP="009C63CA">
            <w:pPr>
              <w:pStyle w:val="TableText"/>
              <w:spacing w:before="40" w:after="40"/>
              <w:rPr>
                <w:rFonts w:cs="Calibri"/>
                <w:szCs w:val="16"/>
              </w:rPr>
            </w:pPr>
            <w:r w:rsidRPr="00261B7A">
              <w:rPr>
                <w:rFonts w:cs="Calibri"/>
                <w:szCs w:val="16"/>
              </w:rPr>
              <w:t xml:space="preserve">IPPU – 2.F Product uses as substitutes for ozone-depleting substances – </w:t>
            </w:r>
            <w:r w:rsidRPr="00261B7A">
              <w:rPr>
                <w:rFonts w:cs="Calibri"/>
                <w:color w:val="000000"/>
                <w:szCs w:val="16"/>
              </w:rPr>
              <w:t>HFCs</w:t>
            </w:r>
            <w:r w:rsidRPr="00261B7A">
              <w:rPr>
                <w:rFonts w:cs="Calibri"/>
                <w:color w:val="000000"/>
                <w:szCs w:val="16"/>
              </w:rPr>
              <w:br/>
              <w:t>(I.18, 2019) (I.30, 2017)</w:t>
            </w:r>
            <w:r w:rsidRPr="00261B7A">
              <w:rPr>
                <w:rFonts w:cs="Calibri"/>
                <w:color w:val="000000"/>
                <w:szCs w:val="16"/>
              </w:rPr>
              <w:br/>
            </w:r>
            <w:r w:rsidRPr="00261B7A">
              <w:rPr>
                <w:rFonts w:cs="Calibri"/>
                <w:szCs w:val="16"/>
              </w:rPr>
              <w:t>Transparency</w:t>
            </w:r>
          </w:p>
        </w:tc>
        <w:tc>
          <w:tcPr>
            <w:tcW w:w="919" w:type="dxa"/>
            <w:shd w:val="clear" w:color="auto" w:fill="FFFFFF" w:themeFill="background1"/>
          </w:tcPr>
          <w:p w14:paraId="365E3F6D"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I.17. 2021</w:t>
            </w:r>
          </w:p>
        </w:tc>
        <w:tc>
          <w:tcPr>
            <w:tcW w:w="2722" w:type="dxa"/>
            <w:shd w:val="clear" w:color="auto" w:fill="FFFFFF" w:themeFill="background1"/>
          </w:tcPr>
          <w:p w14:paraId="58B3FD28" w14:textId="77777777" w:rsidR="00D140F7" w:rsidRPr="00261B7A" w:rsidRDefault="00D140F7" w:rsidP="009C63CA">
            <w:pPr>
              <w:pStyle w:val="TableText"/>
              <w:spacing w:before="40" w:after="40"/>
              <w:rPr>
                <w:rFonts w:cs="Calibri"/>
                <w:szCs w:val="16"/>
              </w:rPr>
            </w:pPr>
            <w:r w:rsidRPr="00261B7A">
              <w:rPr>
                <w:rFonts w:cs="Calibri"/>
                <w:szCs w:val="16"/>
              </w:rPr>
              <w:t>Explain, in NIR section 4.7.3, which approach (other than a combination of uncertainties) was used to derive the uncertainty of 35 per cent, presented in NIR table A.2.1.1.</w:t>
            </w:r>
          </w:p>
        </w:tc>
        <w:tc>
          <w:tcPr>
            <w:tcW w:w="2892" w:type="dxa"/>
            <w:shd w:val="clear" w:color="auto" w:fill="FFFFFF" w:themeFill="background1"/>
          </w:tcPr>
          <w:p w14:paraId="0C03C917" w14:textId="35D4F985"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New Zealand updates its reporting on uncertainties for this category annually. The 2021 NIR (chapter 4, section 4.7.3) explains the method, and further information is available to the ERT. For refrigeration and air conditioning, uncertainties were estimated for each of the seven equipment types (±20 per cent for household refrigerators, 30 per cent for self-contained refrigerators, 30 per cent for remote cabinets, 40 per cent for</w:t>
            </w:r>
            <w:r w:rsidR="00CE0015" w:rsidRPr="00261B7A">
              <w:rPr>
                <w:rFonts w:cs="Calibri"/>
                <w:szCs w:val="16"/>
              </w:rPr>
              <w:t> </w:t>
            </w:r>
            <w:r w:rsidRPr="00261B7A">
              <w:rPr>
                <w:rFonts w:cs="Calibri"/>
                <w:szCs w:val="16"/>
              </w:rPr>
              <w:t>dairy refrigerators, 70 per cent for cool</w:t>
            </w:r>
            <w:r w:rsidR="00CE0015" w:rsidRPr="00261B7A">
              <w:rPr>
                <w:rFonts w:cs="Calibri"/>
                <w:szCs w:val="16"/>
              </w:rPr>
              <w:t> </w:t>
            </w:r>
            <w:r w:rsidRPr="00261B7A">
              <w:rPr>
                <w:rFonts w:cs="Calibri"/>
                <w:szCs w:val="16"/>
              </w:rPr>
              <w:t>stores, 50–80 per cent for three refrigerated transport components, and</w:t>
            </w:r>
            <w:r w:rsidR="00CE0015" w:rsidRPr="00261B7A">
              <w:rPr>
                <w:rFonts w:cs="Calibri"/>
                <w:szCs w:val="16"/>
              </w:rPr>
              <w:t> </w:t>
            </w:r>
            <w:r w:rsidRPr="00261B7A">
              <w:rPr>
                <w:rFonts w:cs="Calibri"/>
                <w:szCs w:val="16"/>
              </w:rPr>
              <w:t>30 per cent for other types of air conditioning), with the overall uncertainty recalculated for each annual submission. For the other sub-applications, these estimates do not change from year to</w:t>
            </w:r>
            <w:r w:rsidR="00CE0015" w:rsidRPr="00261B7A">
              <w:rPr>
                <w:rFonts w:cs="Calibri"/>
                <w:szCs w:val="16"/>
              </w:rPr>
              <w:t> </w:t>
            </w:r>
            <w:r w:rsidRPr="00261B7A">
              <w:rPr>
                <w:rFonts w:cs="Calibri"/>
                <w:szCs w:val="16"/>
              </w:rPr>
              <w:t>year.</w:t>
            </w:r>
          </w:p>
        </w:tc>
      </w:tr>
      <w:tr w:rsidR="00D140F7" w:rsidRPr="00261B7A" w14:paraId="15026A6F" w14:textId="77777777" w:rsidTr="009C63CA">
        <w:tc>
          <w:tcPr>
            <w:tcW w:w="1896" w:type="dxa"/>
            <w:shd w:val="clear" w:color="auto" w:fill="FFFFFF" w:themeFill="background1"/>
          </w:tcPr>
          <w:p w14:paraId="09C01E35" w14:textId="77777777" w:rsidR="00D140F7" w:rsidRPr="00261B7A" w:rsidRDefault="00D140F7" w:rsidP="009C63CA">
            <w:pPr>
              <w:pStyle w:val="TableText"/>
              <w:keepNext/>
              <w:spacing w:before="40" w:after="40"/>
              <w:rPr>
                <w:rFonts w:cs="Calibri"/>
                <w:szCs w:val="16"/>
              </w:rPr>
            </w:pPr>
            <w:r w:rsidRPr="00261B7A">
              <w:rPr>
                <w:rFonts w:cs="Calibri"/>
                <w:szCs w:val="16"/>
              </w:rPr>
              <w:t xml:space="preserve">IPPU – </w:t>
            </w:r>
            <w:r w:rsidRPr="00261B7A" w:rsidDel="00F3555D">
              <w:rPr>
                <w:rFonts w:cs="Calibri"/>
                <w:szCs w:val="16"/>
              </w:rPr>
              <w:t>2.F Product uses as substitutes for ozone-depleting substances</w:t>
            </w:r>
            <w:r w:rsidRPr="00261B7A">
              <w:rPr>
                <w:rFonts w:cs="Calibri"/>
                <w:szCs w:val="16"/>
              </w:rPr>
              <w:t xml:space="preserve"> – </w:t>
            </w:r>
            <w:r w:rsidRPr="00261B7A">
              <w:rPr>
                <w:rFonts w:cs="Calibri"/>
                <w:szCs w:val="16"/>
                <w:lang w:eastAsia="en-US"/>
              </w:rPr>
              <w:t>HFCs</w:t>
            </w:r>
            <w:r w:rsidRPr="00261B7A">
              <w:rPr>
                <w:rFonts w:cs="Calibri"/>
                <w:szCs w:val="16"/>
                <w:lang w:eastAsia="en-US"/>
              </w:rPr>
              <w:br/>
              <w:t>(I.29,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2A537F58"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I.18, 2021</w:t>
            </w:r>
          </w:p>
        </w:tc>
        <w:tc>
          <w:tcPr>
            <w:tcW w:w="2722" w:type="dxa"/>
            <w:shd w:val="clear" w:color="auto" w:fill="FFFFFF" w:themeFill="background1"/>
          </w:tcPr>
          <w:p w14:paraId="60490D43" w14:textId="77777777" w:rsidR="00D140F7" w:rsidRPr="00261B7A" w:rsidRDefault="00D140F7" w:rsidP="009C63CA">
            <w:pPr>
              <w:pStyle w:val="TableText"/>
              <w:spacing w:before="40" w:after="40"/>
              <w:rPr>
                <w:rFonts w:cs="Calibri"/>
                <w:szCs w:val="16"/>
              </w:rPr>
            </w:pPr>
            <w:r w:rsidRPr="00261B7A">
              <w:rPr>
                <w:rFonts w:cs="Calibri"/>
                <w:szCs w:val="16"/>
              </w:rPr>
              <w:t xml:space="preserve">Explain the model used to estimate emissions in this category in more detail, including the assumptions made, in the NIR. </w:t>
            </w:r>
          </w:p>
        </w:tc>
        <w:tc>
          <w:tcPr>
            <w:tcW w:w="2892" w:type="dxa"/>
            <w:shd w:val="clear" w:color="auto" w:fill="FFFFFF" w:themeFill="background1"/>
          </w:tcPr>
          <w:p w14:paraId="6D8EA951"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New Zealand has expanded the explanations provided in the 2021 NIR (chapter 4, section 4.7.2) and can make further information available to the ERT.</w:t>
            </w:r>
          </w:p>
        </w:tc>
      </w:tr>
      <w:tr w:rsidR="00D140F7" w:rsidRPr="00261B7A" w14:paraId="727D5AC2" w14:textId="77777777" w:rsidTr="009C63CA">
        <w:tc>
          <w:tcPr>
            <w:tcW w:w="1896" w:type="dxa"/>
            <w:shd w:val="clear" w:color="auto" w:fill="FFFFFF" w:themeFill="background1"/>
          </w:tcPr>
          <w:p w14:paraId="18B9EE48" w14:textId="77777777" w:rsidR="00D140F7" w:rsidRPr="00261B7A" w:rsidRDefault="00D140F7" w:rsidP="009C63CA">
            <w:pPr>
              <w:pStyle w:val="TableText"/>
              <w:spacing w:before="40" w:after="40"/>
              <w:rPr>
                <w:rFonts w:cs="Calibri"/>
                <w:szCs w:val="16"/>
              </w:rPr>
            </w:pPr>
            <w:r w:rsidRPr="00261B7A">
              <w:rPr>
                <w:rFonts w:cs="Calibri"/>
                <w:szCs w:val="16"/>
              </w:rPr>
              <w:t xml:space="preserve">IPPU – </w:t>
            </w:r>
            <w:r w:rsidRPr="00261B7A" w:rsidDel="00F3555D">
              <w:rPr>
                <w:rFonts w:cs="Calibri"/>
                <w:szCs w:val="16"/>
              </w:rPr>
              <w:t>2.F Product uses as substitutes for ozone-depleting substances</w:t>
            </w:r>
            <w:r w:rsidRPr="00261B7A">
              <w:rPr>
                <w:rFonts w:cs="Calibri"/>
                <w:szCs w:val="16"/>
              </w:rPr>
              <w:t xml:space="preserve"> – </w:t>
            </w:r>
            <w:r w:rsidRPr="00261B7A">
              <w:rPr>
                <w:rFonts w:cs="Calibri"/>
                <w:szCs w:val="16"/>
                <w:lang w:eastAsia="en-US"/>
              </w:rPr>
              <w:t>HFCs</w:t>
            </w:r>
            <w:r w:rsidRPr="00261B7A">
              <w:rPr>
                <w:rFonts w:cs="Calibri"/>
                <w:szCs w:val="16"/>
                <w:lang w:eastAsia="en-US"/>
              </w:rPr>
              <w:br/>
              <w:t>(I.29,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2FF6FE59"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I.19, 2021</w:t>
            </w:r>
          </w:p>
        </w:tc>
        <w:tc>
          <w:tcPr>
            <w:tcW w:w="2722" w:type="dxa"/>
            <w:shd w:val="clear" w:color="auto" w:fill="FFFFFF" w:themeFill="background1"/>
          </w:tcPr>
          <w:p w14:paraId="31886D08" w14:textId="77777777" w:rsidR="00D140F7" w:rsidRPr="00261B7A" w:rsidRDefault="00D140F7" w:rsidP="009C63CA">
            <w:pPr>
              <w:pStyle w:val="TableText"/>
              <w:spacing w:before="40" w:after="40"/>
              <w:rPr>
                <w:rFonts w:cs="Calibri"/>
                <w:szCs w:val="16"/>
              </w:rPr>
            </w:pPr>
            <w:r w:rsidRPr="00261B7A">
              <w:rPr>
                <w:rFonts w:cs="Calibri"/>
                <w:szCs w:val="16"/>
              </w:rPr>
              <w:t>Improve the QA/QC for this category by comparing the results of the bottom-up model with the results of a top-down approach, as the import data are based on comprehensive annual surveys, to allow a clear comparison of the two results, as recommended by the 2006 IPCC Guidelines (vol. 3, chap. 7.1.4.1).</w:t>
            </w:r>
          </w:p>
        </w:tc>
        <w:tc>
          <w:tcPr>
            <w:tcW w:w="2892" w:type="dxa"/>
            <w:shd w:val="clear" w:color="auto" w:fill="FFFFFF" w:themeFill="background1"/>
          </w:tcPr>
          <w:p w14:paraId="59CB976F"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The 2006 IPCC Guidelines (IPCC, 2006a) recommend a comparison of the results of a bottom-up model with the results of a top-down approach only where applicable. Uncertainties in the stock models used, and the use of a Tier 2b mass balance method, make such a comparison inapplicable for New Zealand.</w:t>
            </w:r>
          </w:p>
        </w:tc>
      </w:tr>
      <w:tr w:rsidR="00D140F7" w:rsidRPr="00261B7A" w14:paraId="69B9AAE0" w14:textId="77777777" w:rsidTr="009C63CA">
        <w:tc>
          <w:tcPr>
            <w:tcW w:w="1896" w:type="dxa"/>
            <w:shd w:val="clear" w:color="auto" w:fill="FFFFFF" w:themeFill="background1"/>
          </w:tcPr>
          <w:p w14:paraId="4E0FB1B9" w14:textId="77777777" w:rsidR="00D140F7" w:rsidRPr="00261B7A" w:rsidRDefault="00D140F7" w:rsidP="009C63CA">
            <w:pPr>
              <w:pStyle w:val="TableText"/>
              <w:spacing w:before="40" w:after="40"/>
              <w:rPr>
                <w:rFonts w:cs="Calibri"/>
                <w:szCs w:val="16"/>
              </w:rPr>
            </w:pPr>
            <w:r w:rsidRPr="00261B7A">
              <w:rPr>
                <w:rFonts w:cs="Calibri"/>
                <w:szCs w:val="16"/>
              </w:rPr>
              <w:t xml:space="preserve">IPPU – 2.F.1 Refrigeration and air conditioning – </w:t>
            </w:r>
            <w:r w:rsidRPr="00261B7A">
              <w:rPr>
                <w:rFonts w:cs="Calibri"/>
                <w:color w:val="000000"/>
                <w:szCs w:val="16"/>
              </w:rPr>
              <w:t>HFCs</w:t>
            </w:r>
            <w:r w:rsidRPr="00261B7A">
              <w:rPr>
                <w:rFonts w:cs="Calibri"/>
                <w:color w:val="000000"/>
                <w:szCs w:val="16"/>
              </w:rPr>
              <w:br/>
              <w:t>(I.19, 2019) (I.17, 2017) (I.37, 2016)</w:t>
            </w:r>
            <w:r w:rsidRPr="00261B7A">
              <w:rPr>
                <w:rFonts w:cs="Calibri"/>
                <w:color w:val="000000"/>
                <w:szCs w:val="16"/>
              </w:rPr>
              <w:br/>
            </w:r>
            <w:r w:rsidRPr="00261B7A">
              <w:rPr>
                <w:rFonts w:cs="Calibri"/>
                <w:szCs w:val="16"/>
              </w:rPr>
              <w:t>Transparency</w:t>
            </w:r>
          </w:p>
        </w:tc>
        <w:tc>
          <w:tcPr>
            <w:tcW w:w="919" w:type="dxa"/>
            <w:shd w:val="clear" w:color="auto" w:fill="FFFFFF" w:themeFill="background1"/>
          </w:tcPr>
          <w:p w14:paraId="4B21D9C0"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I.20, 2021</w:t>
            </w:r>
          </w:p>
        </w:tc>
        <w:tc>
          <w:tcPr>
            <w:tcW w:w="2722" w:type="dxa"/>
            <w:shd w:val="clear" w:color="auto" w:fill="FFFFFF" w:themeFill="background1"/>
          </w:tcPr>
          <w:p w14:paraId="6CAB88E4" w14:textId="77777777" w:rsidR="00D140F7" w:rsidRPr="00261B7A" w:rsidRDefault="00D140F7" w:rsidP="009C63CA">
            <w:pPr>
              <w:pStyle w:val="TableText"/>
              <w:spacing w:before="40" w:after="40"/>
              <w:rPr>
                <w:rFonts w:cs="Calibri"/>
                <w:szCs w:val="16"/>
              </w:rPr>
            </w:pPr>
            <w:r w:rsidRPr="00261B7A">
              <w:rPr>
                <w:rFonts w:cs="Calibri"/>
                <w:szCs w:val="16"/>
              </w:rPr>
              <w:t>Describe in the NIR the methodology used to derive the 2 per cent decline in refrigerant charge in vehicle air-conditioning systems, and demonstrate that this methodology is in line with the splicing techniques in the 2006 IPCC Guidelines.</w:t>
            </w:r>
          </w:p>
        </w:tc>
        <w:tc>
          <w:tcPr>
            <w:tcW w:w="2892" w:type="dxa"/>
            <w:shd w:val="clear" w:color="auto" w:fill="FFFFFF" w:themeFill="background1"/>
          </w:tcPr>
          <w:p w14:paraId="0BAF937C"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New Zealand includes a description of the methodology in the 2021 NIR (chapter 4, section 4.7.2) and further details can be made available to the ERT.</w:t>
            </w:r>
          </w:p>
        </w:tc>
      </w:tr>
      <w:tr w:rsidR="00D140F7" w:rsidRPr="00261B7A" w14:paraId="6579A7DC" w14:textId="77777777" w:rsidTr="009C63CA">
        <w:tc>
          <w:tcPr>
            <w:tcW w:w="1896" w:type="dxa"/>
            <w:shd w:val="clear" w:color="auto" w:fill="FFFFFF" w:themeFill="background1"/>
          </w:tcPr>
          <w:p w14:paraId="12DD415F" w14:textId="77777777" w:rsidR="00D140F7" w:rsidRPr="00261B7A" w:rsidRDefault="00D140F7" w:rsidP="009C63CA">
            <w:pPr>
              <w:pStyle w:val="TableText"/>
              <w:spacing w:before="40" w:after="40"/>
              <w:rPr>
                <w:rFonts w:cs="Calibri"/>
                <w:szCs w:val="16"/>
              </w:rPr>
            </w:pPr>
            <w:r w:rsidRPr="00261B7A">
              <w:rPr>
                <w:rFonts w:cs="Calibri"/>
                <w:szCs w:val="16"/>
              </w:rPr>
              <w:t xml:space="preserve">IPPU – 2.F.1 Refrigeration and air conditioning – </w:t>
            </w:r>
            <w:r w:rsidRPr="00261B7A">
              <w:rPr>
                <w:rFonts w:cs="Calibri"/>
                <w:color w:val="000000"/>
                <w:szCs w:val="16"/>
              </w:rPr>
              <w:t>HFCs</w:t>
            </w:r>
            <w:r w:rsidRPr="00261B7A">
              <w:rPr>
                <w:rFonts w:cs="Calibri"/>
                <w:color w:val="000000"/>
                <w:szCs w:val="16"/>
              </w:rPr>
              <w:br/>
              <w:t>(I.21, 2019) (I.32, 2017)</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4D21A5DD"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I.21, 2021</w:t>
            </w:r>
          </w:p>
        </w:tc>
        <w:tc>
          <w:tcPr>
            <w:tcW w:w="2722" w:type="dxa"/>
            <w:shd w:val="clear" w:color="auto" w:fill="FFFFFF" w:themeFill="background1"/>
          </w:tcPr>
          <w:p w14:paraId="1EE4ECA6" w14:textId="77777777" w:rsidR="00D140F7" w:rsidRPr="00261B7A" w:rsidRDefault="00D140F7" w:rsidP="009C63CA">
            <w:pPr>
              <w:pStyle w:val="TableText"/>
              <w:spacing w:before="40" w:after="40"/>
              <w:rPr>
                <w:rFonts w:cs="Calibri"/>
                <w:szCs w:val="16"/>
              </w:rPr>
            </w:pPr>
            <w:r w:rsidRPr="00261B7A">
              <w:rPr>
                <w:rFonts w:cs="Calibri"/>
                <w:szCs w:val="16"/>
              </w:rPr>
              <w:t>Update the average charge of HFC-134a for the years from 2010 onward by taking into consideration the cars added to the fleet in recent years on the basis of data available from importers and/or from fleet statistics.</w:t>
            </w:r>
          </w:p>
        </w:tc>
        <w:tc>
          <w:tcPr>
            <w:tcW w:w="2892" w:type="dxa"/>
            <w:shd w:val="clear" w:color="auto" w:fill="FFFFFF" w:themeFill="background1"/>
          </w:tcPr>
          <w:p w14:paraId="4F575C38"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New Zealand reports in its 2021 NIR (chapter 4, section 4.7.2) that the ongoing trend towards reduced HFC-134a charges continued after 2009. During the review, the Party clarified that when the Verum Group updated its 2018 estimate of imported car models, it reviewed a range of information, including reports on the composition of the Australian vehicle fleet, and discussed this matter with importers. The Party also reports that the variety of vehicles imported makes obtaining more accurate and up-to-date statistics on their refrigerant change infeasible.</w:t>
            </w:r>
          </w:p>
        </w:tc>
      </w:tr>
      <w:tr w:rsidR="00D140F7" w:rsidRPr="00261B7A" w14:paraId="7E88EC6A" w14:textId="77777777" w:rsidTr="009C63CA">
        <w:tc>
          <w:tcPr>
            <w:tcW w:w="1896" w:type="dxa"/>
            <w:shd w:val="clear" w:color="auto" w:fill="FFFFFF" w:themeFill="background1"/>
          </w:tcPr>
          <w:p w14:paraId="072982C2" w14:textId="77777777" w:rsidR="00D140F7" w:rsidRPr="00261B7A" w:rsidRDefault="00D140F7" w:rsidP="009C63CA">
            <w:pPr>
              <w:pStyle w:val="TableText"/>
              <w:spacing w:before="40" w:after="40"/>
              <w:rPr>
                <w:rFonts w:cs="Calibri"/>
                <w:szCs w:val="16"/>
              </w:rPr>
            </w:pPr>
            <w:r w:rsidRPr="00261B7A">
              <w:rPr>
                <w:rFonts w:cs="Calibri"/>
                <w:szCs w:val="16"/>
              </w:rPr>
              <w:t xml:space="preserve">IPPU – </w:t>
            </w:r>
            <w:r w:rsidRPr="00261B7A" w:rsidDel="00F3555D">
              <w:rPr>
                <w:rFonts w:cs="Calibri"/>
                <w:szCs w:val="16"/>
              </w:rPr>
              <w:t>2.F.1 Refrigeration and air conditioning</w:t>
            </w:r>
            <w:r w:rsidRPr="00261B7A">
              <w:rPr>
                <w:rFonts w:cs="Calibri"/>
                <w:szCs w:val="16"/>
              </w:rPr>
              <w:t xml:space="preserve"> – </w:t>
            </w:r>
            <w:r w:rsidRPr="00261B7A">
              <w:rPr>
                <w:rFonts w:cs="Calibri"/>
                <w:szCs w:val="16"/>
                <w:lang w:eastAsia="en-US"/>
              </w:rPr>
              <w:t>HFCs</w:t>
            </w:r>
            <w:r w:rsidRPr="00261B7A">
              <w:rPr>
                <w:rFonts w:cs="Calibri"/>
                <w:szCs w:val="16"/>
                <w:lang w:eastAsia="en-US"/>
              </w:rPr>
              <w:br/>
              <w:t>(I.30,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5E8A0C2A"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I.22, 2021</w:t>
            </w:r>
          </w:p>
        </w:tc>
        <w:tc>
          <w:tcPr>
            <w:tcW w:w="2722" w:type="dxa"/>
            <w:shd w:val="clear" w:color="auto" w:fill="FFFFFF" w:themeFill="background1"/>
          </w:tcPr>
          <w:p w14:paraId="7101903B" w14:textId="77777777" w:rsidR="00D140F7" w:rsidRPr="00261B7A" w:rsidRDefault="00D140F7" w:rsidP="009C63CA">
            <w:pPr>
              <w:pStyle w:val="TableText"/>
              <w:spacing w:before="40" w:after="40"/>
              <w:rPr>
                <w:rFonts w:cs="Calibri"/>
                <w:szCs w:val="16"/>
              </w:rPr>
            </w:pPr>
            <w:r w:rsidRPr="00261B7A">
              <w:rPr>
                <w:rFonts w:cs="Calibri"/>
                <w:szCs w:val="16"/>
              </w:rPr>
              <w:t>Update the equation in box 4.1 of the NIR to clarify that all calculations of the total charge of new equipment include the charge for equipment that is later exported.</w:t>
            </w:r>
          </w:p>
        </w:tc>
        <w:tc>
          <w:tcPr>
            <w:tcW w:w="2892" w:type="dxa"/>
            <w:shd w:val="clear" w:color="auto" w:fill="FFFFFF" w:themeFill="background1"/>
          </w:tcPr>
          <w:p w14:paraId="640713A1"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New Zealand included text above box 4.1 of the 2021 NIR (chapter 4, p. 154) explaining that the total charge of new equipment includes the charge for equipment that is later exported.</w:t>
            </w:r>
          </w:p>
        </w:tc>
      </w:tr>
      <w:tr w:rsidR="00D140F7" w:rsidRPr="00261B7A" w14:paraId="645D8E54" w14:textId="77777777" w:rsidTr="009C63CA">
        <w:tc>
          <w:tcPr>
            <w:tcW w:w="1896" w:type="dxa"/>
            <w:shd w:val="clear" w:color="auto" w:fill="FFFFFF" w:themeFill="background1"/>
          </w:tcPr>
          <w:p w14:paraId="65E2920C" w14:textId="77777777" w:rsidR="00D140F7" w:rsidRPr="00261B7A" w:rsidRDefault="00D140F7" w:rsidP="009C63CA">
            <w:pPr>
              <w:pStyle w:val="TableText"/>
              <w:spacing w:before="40" w:after="40"/>
              <w:rPr>
                <w:rFonts w:cs="Calibri"/>
                <w:szCs w:val="16"/>
              </w:rPr>
            </w:pPr>
            <w:r w:rsidRPr="00261B7A">
              <w:rPr>
                <w:rFonts w:cs="Calibri"/>
                <w:szCs w:val="16"/>
              </w:rPr>
              <w:t xml:space="preserve">IPPU – 2.F.1 Refrigeration and air conditioning – </w:t>
            </w:r>
            <w:r w:rsidRPr="00261B7A">
              <w:rPr>
                <w:rFonts w:cs="Calibri"/>
                <w:szCs w:val="16"/>
                <w:lang w:eastAsia="en-US"/>
              </w:rPr>
              <w:t>HFCs</w:t>
            </w:r>
            <w:r w:rsidRPr="00261B7A">
              <w:rPr>
                <w:rFonts w:cs="Calibri"/>
                <w:szCs w:val="16"/>
                <w:lang w:eastAsia="en-US"/>
              </w:rPr>
              <w:br/>
              <w:t>(I.31,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4009B3CC"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I.23, 2021</w:t>
            </w:r>
          </w:p>
        </w:tc>
        <w:tc>
          <w:tcPr>
            <w:tcW w:w="2722" w:type="dxa"/>
            <w:shd w:val="clear" w:color="auto" w:fill="FFFFFF" w:themeFill="background1"/>
          </w:tcPr>
          <w:p w14:paraId="4F435FFE" w14:textId="77777777" w:rsidR="00D140F7" w:rsidRPr="00261B7A" w:rsidRDefault="00D140F7" w:rsidP="009C63CA">
            <w:pPr>
              <w:pStyle w:val="TableText"/>
              <w:spacing w:before="40" w:after="40"/>
              <w:rPr>
                <w:rFonts w:cs="Calibri"/>
                <w:szCs w:val="16"/>
              </w:rPr>
            </w:pPr>
            <w:r w:rsidRPr="00261B7A">
              <w:rPr>
                <w:rFonts w:cs="Calibri"/>
                <w:szCs w:val="16"/>
              </w:rPr>
              <w:t>Explain, for category 2.F.1.e mobile air conditioning, the trend of HFC-134a filled into new manufactured products, especially the decrease between 2003 and 2004, in the NIR.</w:t>
            </w:r>
          </w:p>
        </w:tc>
        <w:tc>
          <w:tcPr>
            <w:tcW w:w="2892" w:type="dxa"/>
            <w:shd w:val="clear" w:color="auto" w:fill="FFFFFF" w:themeFill="background1"/>
          </w:tcPr>
          <w:p w14:paraId="66C666AB"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Responses to enquiries to importers indicate that obtaining more detailed data to achieve this clarification is not feasible.</w:t>
            </w:r>
          </w:p>
        </w:tc>
      </w:tr>
      <w:tr w:rsidR="00D140F7" w:rsidRPr="00261B7A" w14:paraId="3D808693" w14:textId="77777777" w:rsidTr="009C63CA">
        <w:tc>
          <w:tcPr>
            <w:tcW w:w="1896" w:type="dxa"/>
            <w:shd w:val="clear" w:color="auto" w:fill="FFFFFF" w:themeFill="background1"/>
          </w:tcPr>
          <w:p w14:paraId="742A0F0B" w14:textId="77777777" w:rsidR="00D140F7" w:rsidRPr="00261B7A" w:rsidRDefault="00D140F7" w:rsidP="009C63CA">
            <w:pPr>
              <w:pStyle w:val="TableText"/>
              <w:spacing w:before="40" w:after="40"/>
              <w:rPr>
                <w:rFonts w:cs="Calibri"/>
                <w:szCs w:val="16"/>
              </w:rPr>
            </w:pPr>
            <w:r w:rsidRPr="00261B7A">
              <w:rPr>
                <w:rFonts w:cs="Calibri"/>
                <w:szCs w:val="16"/>
              </w:rPr>
              <w:t xml:space="preserve">IPPU – 2.G.2 SF6 and PFCs from other product use – </w:t>
            </w:r>
            <w:r w:rsidRPr="00261B7A">
              <w:rPr>
                <w:rFonts w:cs="Calibri"/>
                <w:color w:val="000000"/>
                <w:szCs w:val="16"/>
              </w:rPr>
              <w:t>SF</w:t>
            </w:r>
            <w:r w:rsidRPr="00261B7A">
              <w:rPr>
                <w:rFonts w:cs="Calibri"/>
                <w:color w:val="000000"/>
                <w:szCs w:val="16"/>
                <w:vertAlign w:val="subscript"/>
              </w:rPr>
              <w:t>6</w:t>
            </w:r>
            <w:r w:rsidRPr="00261B7A">
              <w:rPr>
                <w:rFonts w:cs="Calibri"/>
                <w:color w:val="000000"/>
                <w:szCs w:val="16"/>
              </w:rPr>
              <w:br/>
              <w:t>(I.22, 2019) (I.21, 2017) (I.23, 2016) (I.26, 2015)</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0C9013BB"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I.24, 2021</w:t>
            </w:r>
          </w:p>
        </w:tc>
        <w:tc>
          <w:tcPr>
            <w:tcW w:w="2722" w:type="dxa"/>
            <w:shd w:val="clear" w:color="auto" w:fill="FFFFFF" w:themeFill="background1"/>
          </w:tcPr>
          <w:p w14:paraId="0E51B4CB" w14:textId="77777777" w:rsidR="00D140F7" w:rsidRPr="00261B7A" w:rsidRDefault="00D140F7" w:rsidP="009C63CA">
            <w:pPr>
              <w:pStyle w:val="TableText"/>
              <w:spacing w:before="40" w:after="40"/>
              <w:rPr>
                <w:rFonts w:cs="Calibri"/>
                <w:szCs w:val="16"/>
              </w:rPr>
            </w:pPr>
            <w:r w:rsidRPr="00261B7A">
              <w:rPr>
                <w:rFonts w:cs="Calibri"/>
                <w:szCs w:val="16"/>
              </w:rPr>
              <w:t>Include in the NIR an explanation of the analysis of SF</w:t>
            </w:r>
            <w:r w:rsidRPr="00261B7A">
              <w:rPr>
                <w:rFonts w:cs="Calibri"/>
                <w:szCs w:val="16"/>
                <w:vertAlign w:val="subscript"/>
              </w:rPr>
              <w:t>6</w:t>
            </w:r>
            <w:r w:rsidRPr="00261B7A">
              <w:rPr>
                <w:rFonts w:cs="Calibri"/>
                <w:szCs w:val="16"/>
              </w:rPr>
              <w:t xml:space="preserve"> emissions from SF</w:t>
            </w:r>
            <w:r w:rsidRPr="00261B7A">
              <w:rPr>
                <w:rFonts w:cs="Calibri"/>
                <w:szCs w:val="16"/>
                <w:vertAlign w:val="subscript"/>
              </w:rPr>
              <w:t>6</w:t>
            </w:r>
            <w:r w:rsidRPr="00261B7A">
              <w:rPr>
                <w:rFonts w:cs="Calibri"/>
                <w:szCs w:val="16"/>
              </w:rPr>
              <w:t xml:space="preserve"> use in shoe and double-glazed window manufacture based on the information that was provided to the 2015 ERT as responses to questions and a background report.</w:t>
            </w:r>
          </w:p>
        </w:tc>
        <w:tc>
          <w:tcPr>
            <w:tcW w:w="2892" w:type="dxa"/>
            <w:shd w:val="clear" w:color="auto" w:fill="FFFFFF" w:themeFill="background1"/>
          </w:tcPr>
          <w:p w14:paraId="6F918AA3"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New Zealand reports in the 2021 NIR (chapter 4, section 4.8.2) that SF</w:t>
            </w:r>
            <w:r w:rsidRPr="00261B7A">
              <w:rPr>
                <w:rFonts w:cs="Calibri"/>
                <w:szCs w:val="16"/>
                <w:vertAlign w:val="subscript"/>
              </w:rPr>
              <w:t>6</w:t>
            </w:r>
            <w:r w:rsidRPr="00261B7A">
              <w:rPr>
                <w:rFonts w:cs="Calibri"/>
                <w:szCs w:val="16"/>
              </w:rPr>
              <w:t xml:space="preserve"> is not used in the country for any of these applications.</w:t>
            </w:r>
          </w:p>
        </w:tc>
      </w:tr>
      <w:tr w:rsidR="00D140F7" w:rsidRPr="00261B7A" w14:paraId="03EB4F7A" w14:textId="77777777" w:rsidTr="009C63CA">
        <w:tc>
          <w:tcPr>
            <w:tcW w:w="1896" w:type="dxa"/>
            <w:shd w:val="clear" w:color="auto" w:fill="FFFFFF" w:themeFill="background1"/>
          </w:tcPr>
          <w:p w14:paraId="06B79CE2" w14:textId="77777777" w:rsidR="00D140F7" w:rsidRPr="00261B7A" w:rsidRDefault="00D140F7" w:rsidP="009C63CA">
            <w:pPr>
              <w:pStyle w:val="TableText"/>
              <w:rPr>
                <w:rFonts w:cs="Calibri"/>
                <w:szCs w:val="16"/>
              </w:rPr>
            </w:pPr>
            <w:r w:rsidRPr="00261B7A">
              <w:rPr>
                <w:rFonts w:eastAsia="Calibri" w:cs="Calibri"/>
                <w:szCs w:val="16"/>
              </w:rPr>
              <w:t>Agriculture – 3. General (agriculture) – CH</w:t>
            </w:r>
            <w:r w:rsidRPr="00261B7A">
              <w:rPr>
                <w:rFonts w:eastAsia="Calibri" w:cs="Calibri"/>
                <w:szCs w:val="16"/>
                <w:vertAlign w:val="subscript"/>
              </w:rPr>
              <w:t>4</w:t>
            </w:r>
            <w:r w:rsidRPr="00261B7A">
              <w:rPr>
                <w:rFonts w:eastAsia="Calibri" w:cs="Calibri"/>
                <w:szCs w:val="16"/>
              </w:rPr>
              <w:t xml:space="preserve"> and N</w:t>
            </w:r>
            <w:r w:rsidRPr="00261B7A">
              <w:rPr>
                <w:rFonts w:eastAsia="Calibri" w:cs="Calibri"/>
                <w:szCs w:val="16"/>
                <w:vertAlign w:val="subscript"/>
              </w:rPr>
              <w:t>2</w:t>
            </w:r>
            <w:r w:rsidRPr="00261B7A">
              <w:rPr>
                <w:rFonts w:eastAsia="Calibri" w:cs="Calibri"/>
                <w:szCs w:val="16"/>
              </w:rPr>
              <w:t>O</w:t>
            </w:r>
            <w:r w:rsidRPr="00261B7A">
              <w:rPr>
                <w:rFonts w:eastAsia="Calibri" w:cs="Calibri"/>
                <w:szCs w:val="16"/>
              </w:rPr>
              <w:br/>
            </w:r>
            <w:r w:rsidRPr="00261B7A">
              <w:rPr>
                <w:rFonts w:cs="Calibri"/>
                <w:szCs w:val="16"/>
                <w:lang w:eastAsia="en-US"/>
              </w:rPr>
              <w:t>(A.4,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4D0A37A8" w14:textId="77777777" w:rsidR="00D140F7" w:rsidRPr="00261B7A" w:rsidRDefault="00D140F7" w:rsidP="009C63CA">
            <w:pPr>
              <w:pStyle w:val="TableText"/>
              <w:rPr>
                <w:rFonts w:cs="Calibri"/>
                <w:szCs w:val="16"/>
              </w:rPr>
            </w:pPr>
            <w:r w:rsidRPr="00261B7A">
              <w:rPr>
                <w:rFonts w:eastAsia="Calibri" w:cs="Calibri"/>
                <w:szCs w:val="16"/>
              </w:rPr>
              <w:t xml:space="preserve">A.1 2021 </w:t>
            </w:r>
          </w:p>
        </w:tc>
        <w:tc>
          <w:tcPr>
            <w:tcW w:w="2722" w:type="dxa"/>
            <w:shd w:val="clear" w:color="auto" w:fill="FFFFFF" w:themeFill="background1"/>
          </w:tcPr>
          <w:p w14:paraId="1C0612A8" w14:textId="77777777" w:rsidR="00D140F7" w:rsidRPr="00261B7A" w:rsidRDefault="00D140F7" w:rsidP="009C63CA">
            <w:pPr>
              <w:pStyle w:val="TableText"/>
              <w:rPr>
                <w:rFonts w:cs="Calibri"/>
                <w:szCs w:val="16"/>
              </w:rPr>
            </w:pPr>
            <w:r w:rsidRPr="00261B7A">
              <w:rPr>
                <w:rFonts w:eastAsia="Calibri" w:cs="Calibri"/>
                <w:szCs w:val="16"/>
              </w:rPr>
              <w:t>Improve the description in the NIR to demonstrate clearly that the procedures for the agricultural production census and survey are aligned and no significant deviations have occurred in the time series since 1990.</w:t>
            </w:r>
          </w:p>
        </w:tc>
        <w:tc>
          <w:tcPr>
            <w:tcW w:w="2892" w:type="dxa"/>
            <w:shd w:val="clear" w:color="auto" w:fill="FFFFFF" w:themeFill="background1"/>
          </w:tcPr>
          <w:p w14:paraId="30067CB7" w14:textId="77777777" w:rsidR="00D140F7" w:rsidRPr="00261B7A" w:rsidRDefault="00D140F7" w:rsidP="009C63CA">
            <w:pPr>
              <w:pStyle w:val="TableText"/>
              <w:rPr>
                <w:rFonts w:cs="Calibri"/>
                <w:szCs w:val="16"/>
              </w:rPr>
            </w:pPr>
            <w:r w:rsidRPr="00261B7A">
              <w:rPr>
                <w:rFonts w:eastAsia="Calibri" w:cs="Calibri"/>
                <w:b/>
                <w:bCs/>
                <w:szCs w:val="16"/>
              </w:rPr>
              <w:t>Resolved.</w:t>
            </w:r>
            <w:r w:rsidRPr="00261B7A">
              <w:rPr>
                <w:rFonts w:eastAsia="Calibri" w:cs="Calibri"/>
                <w:szCs w:val="16"/>
              </w:rPr>
              <w:t xml:space="preserve"> A more detailed explanation on the Agricultural Production Census and survey is included in chapter 5, section 5.1.4.</w:t>
            </w:r>
          </w:p>
        </w:tc>
      </w:tr>
      <w:tr w:rsidR="00D140F7" w:rsidRPr="00261B7A" w14:paraId="1B883C55" w14:textId="77777777" w:rsidTr="009C63CA">
        <w:tc>
          <w:tcPr>
            <w:tcW w:w="1896" w:type="dxa"/>
            <w:shd w:val="clear" w:color="auto" w:fill="FFFFFF" w:themeFill="background1"/>
          </w:tcPr>
          <w:p w14:paraId="7554AA5F" w14:textId="77777777" w:rsidR="00D140F7" w:rsidRPr="00261B7A" w:rsidRDefault="00D140F7" w:rsidP="00D137B5">
            <w:pPr>
              <w:pStyle w:val="TableText"/>
              <w:keepNext/>
              <w:spacing w:after="40"/>
              <w:rPr>
                <w:rFonts w:eastAsia="Calibri" w:cs="Calibri"/>
                <w:szCs w:val="16"/>
              </w:rPr>
            </w:pPr>
            <w:r w:rsidRPr="00261B7A">
              <w:rPr>
                <w:rFonts w:eastAsia="Calibri" w:cs="Calibri"/>
                <w:szCs w:val="16"/>
              </w:rPr>
              <w:t>Agriculture – 3. General (agriculture) – CH</w:t>
            </w:r>
            <w:r w:rsidRPr="00261B7A">
              <w:rPr>
                <w:rFonts w:eastAsia="Calibri" w:cs="Calibri"/>
                <w:szCs w:val="16"/>
                <w:vertAlign w:val="subscript"/>
              </w:rPr>
              <w:t>4</w:t>
            </w:r>
            <w:r w:rsidRPr="00261B7A">
              <w:rPr>
                <w:rFonts w:eastAsia="Calibri" w:cs="Calibri"/>
                <w:szCs w:val="16"/>
              </w:rPr>
              <w:t xml:space="preserve"> and N</w:t>
            </w:r>
            <w:r w:rsidRPr="00261B7A">
              <w:rPr>
                <w:rFonts w:eastAsia="Calibri" w:cs="Calibri"/>
                <w:szCs w:val="16"/>
                <w:vertAlign w:val="subscript"/>
              </w:rPr>
              <w:t>2</w:t>
            </w:r>
            <w:r w:rsidRPr="00261B7A">
              <w:rPr>
                <w:rFonts w:eastAsia="Calibri" w:cs="Calibri"/>
                <w:szCs w:val="16"/>
              </w:rPr>
              <w:t>O</w:t>
            </w:r>
          </w:p>
          <w:p w14:paraId="4C190169" w14:textId="77777777" w:rsidR="00D140F7" w:rsidRPr="00261B7A" w:rsidRDefault="00D140F7" w:rsidP="009C63CA">
            <w:pPr>
              <w:pStyle w:val="TableText"/>
              <w:rPr>
                <w:rFonts w:cs="Calibri"/>
                <w:szCs w:val="16"/>
              </w:rPr>
            </w:pPr>
            <w:r w:rsidRPr="00261B7A">
              <w:rPr>
                <w:rFonts w:cs="Calibri"/>
                <w:szCs w:val="16"/>
                <w:lang w:eastAsia="en-US"/>
              </w:rPr>
              <w:t>(A.5, 2019)</w:t>
            </w:r>
            <w:r w:rsidRPr="00261B7A">
              <w:rPr>
                <w:rFonts w:cs="Calibri"/>
                <w:szCs w:val="16"/>
                <w:lang w:eastAsia="en-US"/>
              </w:rPr>
              <w:br/>
            </w:r>
            <w:r w:rsidRPr="00261B7A">
              <w:rPr>
                <w:rFonts w:cs="Calibri"/>
                <w:szCs w:val="16"/>
              </w:rPr>
              <w:t>Convention reporting adherence</w:t>
            </w:r>
          </w:p>
        </w:tc>
        <w:tc>
          <w:tcPr>
            <w:tcW w:w="919" w:type="dxa"/>
            <w:shd w:val="clear" w:color="auto" w:fill="FFFFFF" w:themeFill="background1"/>
          </w:tcPr>
          <w:p w14:paraId="7657FF92" w14:textId="77777777" w:rsidR="00D140F7" w:rsidRPr="00261B7A" w:rsidRDefault="00D140F7" w:rsidP="009C63CA">
            <w:pPr>
              <w:pStyle w:val="TableText"/>
              <w:rPr>
                <w:rFonts w:cs="Calibri"/>
                <w:szCs w:val="16"/>
              </w:rPr>
            </w:pPr>
            <w:r w:rsidRPr="00261B7A">
              <w:rPr>
                <w:rFonts w:eastAsia="Calibri" w:cs="Calibri"/>
                <w:szCs w:val="16"/>
              </w:rPr>
              <w:t xml:space="preserve">A.2 2021 </w:t>
            </w:r>
          </w:p>
        </w:tc>
        <w:tc>
          <w:tcPr>
            <w:tcW w:w="2722" w:type="dxa"/>
            <w:shd w:val="clear" w:color="auto" w:fill="FFFFFF" w:themeFill="background1"/>
          </w:tcPr>
          <w:p w14:paraId="28F4697E" w14:textId="77777777" w:rsidR="00D140F7" w:rsidRPr="00261B7A" w:rsidRDefault="00D140F7" w:rsidP="009C63CA">
            <w:pPr>
              <w:pStyle w:val="TableText"/>
              <w:rPr>
                <w:rFonts w:cs="Calibri"/>
                <w:szCs w:val="16"/>
              </w:rPr>
            </w:pPr>
            <w:r w:rsidRPr="00261B7A">
              <w:rPr>
                <w:rFonts w:eastAsia="Calibri" w:cs="Calibri"/>
                <w:szCs w:val="16"/>
              </w:rPr>
              <w:t>Correct the uncertainty values reported for enteric fermentation and agricultural soils in section 1.6 of the NIR so that they are consistent with the values reported in sections 5.2.3 and 5.5.3 of the NIR.</w:t>
            </w:r>
          </w:p>
        </w:tc>
        <w:tc>
          <w:tcPr>
            <w:tcW w:w="2892" w:type="dxa"/>
            <w:shd w:val="clear" w:color="auto" w:fill="FFFFFF" w:themeFill="background1"/>
          </w:tcPr>
          <w:p w14:paraId="437FDE84" w14:textId="77777777" w:rsidR="00D140F7" w:rsidRPr="00261B7A" w:rsidRDefault="00D140F7" w:rsidP="009C63CA">
            <w:pPr>
              <w:pStyle w:val="TableText"/>
              <w:rPr>
                <w:rFonts w:cs="Calibri"/>
                <w:szCs w:val="16"/>
              </w:rPr>
            </w:pPr>
            <w:r w:rsidRPr="00261B7A">
              <w:rPr>
                <w:rFonts w:eastAsia="Calibri" w:cs="Calibri"/>
                <w:b/>
                <w:bCs/>
                <w:szCs w:val="16"/>
              </w:rPr>
              <w:t>Resolved.</w:t>
            </w:r>
            <w:r w:rsidRPr="00261B7A">
              <w:rPr>
                <w:rFonts w:eastAsia="Calibri" w:cs="Calibri"/>
                <w:szCs w:val="16"/>
              </w:rPr>
              <w:t xml:space="preserve"> The text on uncertainty in chapter 1, section 1.6 for enteric fermentation and agricultural soils has been corrected. </w:t>
            </w:r>
          </w:p>
        </w:tc>
      </w:tr>
      <w:tr w:rsidR="00D140F7" w:rsidRPr="00261B7A" w14:paraId="17872371" w14:textId="77777777" w:rsidTr="009C63CA">
        <w:tc>
          <w:tcPr>
            <w:tcW w:w="1896" w:type="dxa"/>
            <w:shd w:val="clear" w:color="auto" w:fill="FFFFFF" w:themeFill="background1"/>
          </w:tcPr>
          <w:p w14:paraId="547F3C34" w14:textId="77777777" w:rsidR="00D140F7" w:rsidRPr="00261B7A" w:rsidRDefault="00D140F7" w:rsidP="009C63CA">
            <w:pPr>
              <w:pStyle w:val="TableText"/>
              <w:keepNext/>
              <w:spacing w:before="40" w:after="40"/>
              <w:rPr>
                <w:rFonts w:eastAsia="Calibri" w:cs="Calibri"/>
                <w:szCs w:val="16"/>
              </w:rPr>
            </w:pPr>
            <w:r w:rsidRPr="00261B7A">
              <w:rPr>
                <w:rFonts w:eastAsia="Calibri" w:cs="Calibri"/>
                <w:szCs w:val="16"/>
              </w:rPr>
              <w:t>Agriculture – 3. General (agriculture) – CH</w:t>
            </w:r>
            <w:r w:rsidRPr="00261B7A">
              <w:rPr>
                <w:rFonts w:eastAsia="Calibri" w:cs="Calibri"/>
                <w:szCs w:val="16"/>
                <w:vertAlign w:val="subscript"/>
              </w:rPr>
              <w:t>4</w:t>
            </w:r>
            <w:r w:rsidRPr="00261B7A">
              <w:rPr>
                <w:rFonts w:eastAsia="Calibri" w:cs="Calibri"/>
                <w:szCs w:val="16"/>
              </w:rPr>
              <w:t xml:space="preserve"> and N</w:t>
            </w:r>
            <w:r w:rsidRPr="00261B7A">
              <w:rPr>
                <w:rFonts w:eastAsia="Calibri" w:cs="Calibri"/>
                <w:szCs w:val="16"/>
                <w:vertAlign w:val="subscript"/>
              </w:rPr>
              <w:t>2</w:t>
            </w:r>
            <w:r w:rsidRPr="00261B7A">
              <w:rPr>
                <w:rFonts w:eastAsia="Calibri" w:cs="Calibri"/>
                <w:szCs w:val="16"/>
              </w:rPr>
              <w:t>O</w:t>
            </w:r>
          </w:p>
          <w:p w14:paraId="303580FE" w14:textId="77777777" w:rsidR="00D140F7" w:rsidRPr="00261B7A" w:rsidRDefault="00D140F7" w:rsidP="009C63CA">
            <w:pPr>
              <w:pStyle w:val="TableText"/>
              <w:keepNext/>
              <w:spacing w:before="40" w:after="40"/>
              <w:rPr>
                <w:rFonts w:cs="Calibri"/>
                <w:szCs w:val="16"/>
              </w:rPr>
            </w:pPr>
            <w:r w:rsidRPr="00261B7A">
              <w:rPr>
                <w:rFonts w:cs="Calibri"/>
                <w:szCs w:val="16"/>
                <w:lang w:eastAsia="en-US"/>
              </w:rPr>
              <w:t>(A.9,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0FA24B8C" w14:textId="77777777" w:rsidR="00D140F7" w:rsidRPr="00261B7A" w:rsidRDefault="00D140F7" w:rsidP="009C63CA">
            <w:pPr>
              <w:pStyle w:val="TableText"/>
              <w:spacing w:before="40" w:after="40"/>
              <w:rPr>
                <w:rFonts w:cs="Calibri"/>
                <w:szCs w:val="16"/>
              </w:rPr>
            </w:pPr>
            <w:r w:rsidRPr="00261B7A">
              <w:rPr>
                <w:rFonts w:eastAsia="Calibri" w:cs="Calibri"/>
                <w:szCs w:val="16"/>
              </w:rPr>
              <w:t xml:space="preserve">A.3, 2021 </w:t>
            </w:r>
          </w:p>
        </w:tc>
        <w:tc>
          <w:tcPr>
            <w:tcW w:w="2722" w:type="dxa"/>
            <w:shd w:val="clear" w:color="auto" w:fill="FFFFFF" w:themeFill="background1"/>
          </w:tcPr>
          <w:p w14:paraId="6038E0F8" w14:textId="77777777" w:rsidR="00D140F7" w:rsidRPr="00261B7A" w:rsidRDefault="00D140F7" w:rsidP="009C63CA">
            <w:pPr>
              <w:pStyle w:val="TableText"/>
              <w:spacing w:before="40" w:after="40"/>
              <w:rPr>
                <w:rFonts w:cs="Calibri"/>
                <w:szCs w:val="16"/>
              </w:rPr>
            </w:pPr>
            <w:r w:rsidRPr="00261B7A">
              <w:rPr>
                <w:rFonts w:eastAsia="Calibri" w:cs="Calibri"/>
                <w:szCs w:val="16"/>
              </w:rPr>
              <w:t>Revise the text that refers to the year for which provisional population data are used in the NIR (p. 158).</w:t>
            </w:r>
          </w:p>
        </w:tc>
        <w:tc>
          <w:tcPr>
            <w:tcW w:w="2892" w:type="dxa"/>
            <w:shd w:val="clear" w:color="auto" w:fill="FFFFFF" w:themeFill="background1"/>
          </w:tcPr>
          <w:p w14:paraId="011B8342" w14:textId="77777777" w:rsidR="00D140F7" w:rsidRPr="00261B7A" w:rsidRDefault="00D140F7" w:rsidP="009C63CA">
            <w:pPr>
              <w:pStyle w:val="TableText"/>
              <w:spacing w:before="40" w:after="40"/>
              <w:rPr>
                <w:rFonts w:cs="Calibri"/>
                <w:szCs w:val="16"/>
              </w:rPr>
            </w:pPr>
            <w:r w:rsidRPr="00261B7A">
              <w:rPr>
                <w:rFonts w:eastAsia="Calibri" w:cs="Calibri"/>
                <w:b/>
                <w:bCs/>
                <w:szCs w:val="16"/>
              </w:rPr>
              <w:t>Resolved.</w:t>
            </w:r>
            <w:r w:rsidRPr="00261B7A">
              <w:rPr>
                <w:rFonts w:eastAsia="Calibri" w:cs="Calibri"/>
                <w:szCs w:val="16"/>
              </w:rPr>
              <w:t xml:space="preserve"> Updated text on the use of provisional Agricultural Production Survey data has been included in section 10.1.3. Emissions estimates have been updated with revised population figures.</w:t>
            </w:r>
          </w:p>
        </w:tc>
      </w:tr>
      <w:tr w:rsidR="00D140F7" w:rsidRPr="00261B7A" w14:paraId="62DD9D53" w14:textId="77777777" w:rsidTr="009C63CA">
        <w:tc>
          <w:tcPr>
            <w:tcW w:w="1896" w:type="dxa"/>
            <w:shd w:val="clear" w:color="auto" w:fill="FFFFFF" w:themeFill="background1"/>
          </w:tcPr>
          <w:p w14:paraId="36675CD3" w14:textId="77777777" w:rsidR="00D140F7" w:rsidRPr="00261B7A" w:rsidRDefault="00D140F7" w:rsidP="009C63CA">
            <w:pPr>
              <w:pStyle w:val="TableText"/>
              <w:spacing w:before="40" w:after="40"/>
              <w:rPr>
                <w:rFonts w:eastAsia="Calibri" w:cs="Calibri"/>
                <w:szCs w:val="16"/>
              </w:rPr>
            </w:pPr>
            <w:r w:rsidRPr="00261B7A">
              <w:rPr>
                <w:rFonts w:cs="Calibri"/>
                <w:szCs w:val="16"/>
              </w:rPr>
              <w:t xml:space="preserve">Agriculture – </w:t>
            </w:r>
            <w:r w:rsidRPr="00261B7A" w:rsidDel="00F3555D">
              <w:rPr>
                <w:rFonts w:cs="Calibri"/>
                <w:szCs w:val="16"/>
              </w:rPr>
              <w:t>3. General (agriculture)</w:t>
            </w:r>
            <w:r w:rsidRPr="00261B7A">
              <w:rPr>
                <w:rFonts w:cs="Calibri"/>
                <w:szCs w:val="16"/>
                <w:lang w:eastAsia="en-US"/>
              </w:rPr>
              <w:t xml:space="preserve"> – </w:t>
            </w:r>
            <w:r w:rsidRPr="00261B7A">
              <w:rPr>
                <w:rFonts w:cs="Calibri"/>
                <w:szCs w:val="16"/>
                <w:lang w:eastAsia="en-US"/>
              </w:rPr>
              <w:br/>
              <w:t>CH</w:t>
            </w:r>
            <w:r w:rsidRPr="00261B7A">
              <w:rPr>
                <w:rFonts w:cs="Calibri"/>
                <w:szCs w:val="16"/>
                <w:vertAlign w:val="subscript"/>
                <w:lang w:eastAsia="en-US"/>
              </w:rPr>
              <w:t>4</w:t>
            </w:r>
            <w:r w:rsidRPr="00261B7A">
              <w:rPr>
                <w:rFonts w:cs="Calibri"/>
                <w:szCs w:val="16"/>
                <w:lang w:eastAsia="en-US"/>
              </w:rPr>
              <w:t xml:space="preserve"> and N</w:t>
            </w:r>
            <w:r w:rsidRPr="00261B7A">
              <w:rPr>
                <w:rFonts w:cs="Calibri"/>
                <w:szCs w:val="16"/>
                <w:vertAlign w:val="subscript"/>
                <w:lang w:eastAsia="en-US"/>
              </w:rPr>
              <w:t>2</w:t>
            </w:r>
            <w:r w:rsidRPr="00261B7A">
              <w:rPr>
                <w:rFonts w:cs="Calibri"/>
                <w:szCs w:val="16"/>
                <w:lang w:eastAsia="en-US"/>
              </w:rPr>
              <w:t>O</w:t>
            </w:r>
            <w:r w:rsidRPr="00261B7A">
              <w:rPr>
                <w:rFonts w:cs="Calibri"/>
                <w:szCs w:val="16"/>
                <w:lang w:eastAsia="en-US"/>
              </w:rPr>
              <w:br/>
              <w:t>(A.9,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3660E787"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A.4, 2021</w:t>
            </w:r>
          </w:p>
        </w:tc>
        <w:tc>
          <w:tcPr>
            <w:tcW w:w="2722" w:type="dxa"/>
            <w:shd w:val="clear" w:color="auto" w:fill="FFFFFF" w:themeFill="background1"/>
          </w:tcPr>
          <w:p w14:paraId="3E9EF22C" w14:textId="77777777" w:rsidR="00D140F7" w:rsidRPr="00261B7A" w:rsidRDefault="00D140F7" w:rsidP="009C63CA">
            <w:pPr>
              <w:pStyle w:val="TableText"/>
              <w:spacing w:before="40" w:after="40"/>
              <w:rPr>
                <w:rFonts w:eastAsia="Calibri" w:cs="Calibri"/>
                <w:szCs w:val="16"/>
              </w:rPr>
            </w:pPr>
            <w:r w:rsidRPr="00261B7A">
              <w:rPr>
                <w:rFonts w:cs="Calibri"/>
                <w:szCs w:val="16"/>
              </w:rPr>
              <w:t>Update the animal populations for 2018 and revise the estimates reported for 2017 in the CRF tables and explain this recalculation in the NIR.</w:t>
            </w:r>
          </w:p>
        </w:tc>
        <w:tc>
          <w:tcPr>
            <w:tcW w:w="2892" w:type="dxa"/>
            <w:shd w:val="clear" w:color="auto" w:fill="FFFFFF" w:themeFill="background1"/>
          </w:tcPr>
          <w:p w14:paraId="72BD4A70" w14:textId="77777777" w:rsidR="00D140F7" w:rsidRPr="00261B7A" w:rsidRDefault="00D140F7" w:rsidP="009C63CA">
            <w:pPr>
              <w:pStyle w:val="TableText"/>
              <w:spacing w:before="40" w:after="40"/>
              <w:rPr>
                <w:rFonts w:eastAsia="Calibri" w:cs="Calibri"/>
                <w:b/>
                <w:bCs/>
                <w:szCs w:val="16"/>
              </w:rPr>
            </w:pPr>
            <w:r w:rsidRPr="00261B7A">
              <w:rPr>
                <w:rFonts w:cs="Calibri"/>
                <w:b/>
                <w:bCs/>
                <w:szCs w:val="16"/>
              </w:rPr>
              <w:t>Resolved.</w:t>
            </w:r>
            <w:r w:rsidRPr="00261B7A">
              <w:rPr>
                <w:rFonts w:cs="Calibri"/>
                <w:szCs w:val="16"/>
              </w:rPr>
              <w:t xml:space="preserve"> New Zealand updated the animal populations for 2017 and 2018 and recalculated the corresponding emissions. During the review, it explained that, because official animal population statistics are presented as estimated as at June each year, provisional population estimates are required for the second half of each year. The Party explained how these provisional estimates are calculated in the 2021 NIR (p. 175 and p. 441), showing in figure 10.1.4 (p. 441) the effects of the recalculations after receiving final animal numbers and data</w:t>
            </w:r>
            <w:r w:rsidRPr="00261B7A" w:rsidDel="00423C56">
              <w:rPr>
                <w:rFonts w:cs="Calibri"/>
                <w:szCs w:val="16"/>
              </w:rPr>
              <w:t xml:space="preserve"> </w:t>
            </w:r>
            <w:r w:rsidRPr="00261B7A">
              <w:rPr>
                <w:rFonts w:cs="Calibri"/>
                <w:szCs w:val="16"/>
              </w:rPr>
              <w:t>for 1990 to 2018.</w:t>
            </w:r>
          </w:p>
        </w:tc>
      </w:tr>
      <w:tr w:rsidR="00D140F7" w:rsidRPr="00261B7A" w14:paraId="787F42C5" w14:textId="77777777" w:rsidTr="009C63CA">
        <w:tc>
          <w:tcPr>
            <w:tcW w:w="1896" w:type="dxa"/>
            <w:shd w:val="clear" w:color="auto" w:fill="FFFFFF" w:themeFill="background1"/>
          </w:tcPr>
          <w:p w14:paraId="6AE9760E"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Agriculture – 3. General (agriculture) – CH</w:t>
            </w:r>
            <w:r w:rsidRPr="00261B7A">
              <w:rPr>
                <w:rFonts w:eastAsia="Calibri" w:cs="Calibri"/>
                <w:szCs w:val="16"/>
                <w:vertAlign w:val="subscript"/>
              </w:rPr>
              <w:t>4</w:t>
            </w:r>
            <w:r w:rsidRPr="00261B7A">
              <w:rPr>
                <w:rFonts w:eastAsia="Calibri" w:cs="Calibri"/>
                <w:szCs w:val="16"/>
              </w:rPr>
              <w:t xml:space="preserve"> and N</w:t>
            </w:r>
            <w:r w:rsidRPr="00261B7A">
              <w:rPr>
                <w:rFonts w:eastAsia="Calibri" w:cs="Calibri"/>
                <w:szCs w:val="16"/>
                <w:vertAlign w:val="subscript"/>
              </w:rPr>
              <w:t>2</w:t>
            </w:r>
            <w:r w:rsidRPr="00261B7A">
              <w:rPr>
                <w:rFonts w:eastAsia="Calibri" w:cs="Calibri"/>
                <w:szCs w:val="16"/>
              </w:rPr>
              <w:t>O</w:t>
            </w:r>
          </w:p>
          <w:p w14:paraId="1962EF6C" w14:textId="77777777" w:rsidR="00D140F7" w:rsidRPr="00261B7A" w:rsidRDefault="00D140F7" w:rsidP="009C63CA">
            <w:pPr>
              <w:pStyle w:val="TableText"/>
              <w:spacing w:before="40" w:after="40"/>
              <w:rPr>
                <w:rFonts w:cs="Calibri"/>
                <w:szCs w:val="16"/>
              </w:rPr>
            </w:pPr>
            <w:r w:rsidRPr="00261B7A">
              <w:rPr>
                <w:rFonts w:cs="Calibri"/>
                <w:szCs w:val="16"/>
                <w:lang w:eastAsia="en-US"/>
              </w:rPr>
              <w:t>(A.10,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0387D14A" w14:textId="77777777" w:rsidR="00D140F7" w:rsidRPr="00261B7A" w:rsidRDefault="00D140F7" w:rsidP="009C63CA">
            <w:pPr>
              <w:pStyle w:val="TableText"/>
              <w:spacing w:before="40" w:after="40"/>
              <w:rPr>
                <w:rFonts w:cs="Calibri"/>
                <w:szCs w:val="16"/>
              </w:rPr>
            </w:pPr>
            <w:r w:rsidRPr="00261B7A">
              <w:rPr>
                <w:rFonts w:eastAsia="Calibri" w:cs="Calibri"/>
                <w:szCs w:val="16"/>
              </w:rPr>
              <w:t xml:space="preserve">A.5, 2021 </w:t>
            </w:r>
          </w:p>
        </w:tc>
        <w:tc>
          <w:tcPr>
            <w:tcW w:w="2722" w:type="dxa"/>
            <w:shd w:val="clear" w:color="auto" w:fill="FFFFFF" w:themeFill="background1"/>
          </w:tcPr>
          <w:p w14:paraId="0C74A933" w14:textId="77777777" w:rsidR="00D140F7" w:rsidRPr="00261B7A" w:rsidRDefault="00D140F7" w:rsidP="009C63CA">
            <w:pPr>
              <w:pStyle w:val="TableText"/>
              <w:spacing w:before="40" w:after="40"/>
              <w:rPr>
                <w:rFonts w:cs="Calibri"/>
                <w:szCs w:val="16"/>
              </w:rPr>
            </w:pPr>
            <w:r w:rsidRPr="00261B7A">
              <w:rPr>
                <w:rFonts w:eastAsia="Calibri" w:cs="Calibri"/>
                <w:szCs w:val="16"/>
              </w:rPr>
              <w:t>Provide additional information on the assumption that all growing beef animals are slaughtered at two years of age and refer to the MPI (2018a) report on animal live weights in the NIR.</w:t>
            </w:r>
          </w:p>
        </w:tc>
        <w:tc>
          <w:tcPr>
            <w:tcW w:w="2892" w:type="dxa"/>
            <w:shd w:val="clear" w:color="auto" w:fill="FFFFFF" w:themeFill="background1"/>
          </w:tcPr>
          <w:p w14:paraId="728BCE89" w14:textId="77777777" w:rsidR="00D140F7" w:rsidRPr="00261B7A" w:rsidRDefault="00D140F7" w:rsidP="009C63CA">
            <w:pPr>
              <w:pStyle w:val="TableText"/>
              <w:spacing w:before="40" w:after="40"/>
              <w:rPr>
                <w:rFonts w:cs="Calibri"/>
                <w:szCs w:val="16"/>
              </w:rPr>
            </w:pPr>
            <w:r w:rsidRPr="00261B7A">
              <w:rPr>
                <w:rFonts w:eastAsia="Calibri" w:cs="Calibri"/>
                <w:b/>
                <w:bCs/>
                <w:szCs w:val="16"/>
              </w:rPr>
              <w:t>Resolved.</w:t>
            </w:r>
            <w:r w:rsidRPr="00261B7A">
              <w:rPr>
                <w:rFonts w:eastAsia="Calibri" w:cs="Calibri"/>
                <w:szCs w:val="16"/>
              </w:rPr>
              <w:t xml:space="preserve"> More information on the slaughter age of beef cattle assumption is provided in chapter 5, section 5.1.4 (under Animal productivity data – Beef cattle).</w:t>
            </w:r>
          </w:p>
        </w:tc>
      </w:tr>
      <w:tr w:rsidR="00D140F7" w:rsidRPr="00261B7A" w14:paraId="2B2EE4DD" w14:textId="77777777" w:rsidTr="009C63CA">
        <w:tc>
          <w:tcPr>
            <w:tcW w:w="1896" w:type="dxa"/>
            <w:shd w:val="clear" w:color="auto" w:fill="FFFFFF" w:themeFill="background1"/>
          </w:tcPr>
          <w:p w14:paraId="45317A13" w14:textId="77777777" w:rsidR="00D140F7" w:rsidRPr="00261B7A" w:rsidRDefault="00D140F7" w:rsidP="009C63CA">
            <w:pPr>
              <w:pStyle w:val="TableText"/>
              <w:spacing w:before="40" w:after="40"/>
              <w:rPr>
                <w:rFonts w:eastAsia="Calibri" w:cs="Calibri"/>
                <w:szCs w:val="16"/>
                <w:vertAlign w:val="subscript"/>
              </w:rPr>
            </w:pPr>
            <w:r w:rsidRPr="00261B7A">
              <w:rPr>
                <w:rFonts w:eastAsia="Calibri" w:cs="Calibri"/>
                <w:szCs w:val="16"/>
              </w:rPr>
              <w:t>Agriculture – 3.A.1 Cattle – CH</w:t>
            </w:r>
            <w:r w:rsidRPr="00261B7A">
              <w:rPr>
                <w:rFonts w:eastAsia="Calibri" w:cs="Calibri"/>
                <w:szCs w:val="16"/>
                <w:vertAlign w:val="subscript"/>
              </w:rPr>
              <w:t>4</w:t>
            </w:r>
          </w:p>
          <w:p w14:paraId="16250425" w14:textId="77777777" w:rsidR="00D140F7" w:rsidRPr="00261B7A" w:rsidRDefault="00D140F7" w:rsidP="009C63CA">
            <w:pPr>
              <w:pStyle w:val="TableText"/>
              <w:spacing w:before="40" w:after="40"/>
              <w:rPr>
                <w:rFonts w:cs="Calibri"/>
                <w:szCs w:val="16"/>
              </w:rPr>
            </w:pPr>
            <w:r w:rsidRPr="00261B7A">
              <w:rPr>
                <w:rFonts w:cs="Calibri"/>
                <w:szCs w:val="16"/>
                <w:lang w:eastAsia="en-US"/>
              </w:rPr>
              <w:t>(A.11,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251CBFBB" w14:textId="77777777" w:rsidR="00D140F7" w:rsidRPr="00261B7A" w:rsidRDefault="00D140F7" w:rsidP="009C63CA">
            <w:pPr>
              <w:pStyle w:val="TableText"/>
              <w:spacing w:before="40" w:after="40"/>
              <w:rPr>
                <w:rFonts w:cs="Calibri"/>
                <w:szCs w:val="16"/>
              </w:rPr>
            </w:pPr>
            <w:r w:rsidRPr="00261B7A">
              <w:rPr>
                <w:rFonts w:eastAsia="Calibri" w:cs="Calibri"/>
                <w:szCs w:val="16"/>
              </w:rPr>
              <w:t xml:space="preserve">A.6 2021 </w:t>
            </w:r>
          </w:p>
        </w:tc>
        <w:tc>
          <w:tcPr>
            <w:tcW w:w="2722" w:type="dxa"/>
            <w:shd w:val="clear" w:color="auto" w:fill="FFFFFF" w:themeFill="background1"/>
          </w:tcPr>
          <w:p w14:paraId="5AF43CED" w14:textId="77777777" w:rsidR="00D140F7" w:rsidRPr="00261B7A" w:rsidRDefault="00D140F7" w:rsidP="009C63CA">
            <w:pPr>
              <w:pStyle w:val="TableText"/>
              <w:spacing w:before="40" w:after="40"/>
              <w:rPr>
                <w:rFonts w:cs="Calibri"/>
                <w:szCs w:val="16"/>
              </w:rPr>
            </w:pPr>
            <w:r w:rsidRPr="00261B7A">
              <w:rPr>
                <w:rFonts w:eastAsia="Calibri" w:cs="Calibri"/>
                <w:szCs w:val="16"/>
              </w:rPr>
              <w:t>To improve the transparency of the comparison between the country-specific CH</w:t>
            </w:r>
            <w:r w:rsidRPr="00261B7A">
              <w:rPr>
                <w:rFonts w:eastAsia="Calibri" w:cs="Calibri"/>
                <w:szCs w:val="16"/>
                <w:vertAlign w:val="subscript"/>
              </w:rPr>
              <w:t>4</w:t>
            </w:r>
            <w:r w:rsidRPr="00261B7A">
              <w:rPr>
                <w:rFonts w:eastAsia="Calibri" w:cs="Calibri"/>
                <w:szCs w:val="16"/>
              </w:rPr>
              <w:t xml:space="preserve"> EF and the IPCC default values, report, in that comparison, the EF calculated for milking cows only.</w:t>
            </w:r>
          </w:p>
        </w:tc>
        <w:tc>
          <w:tcPr>
            <w:tcW w:w="2892" w:type="dxa"/>
            <w:shd w:val="clear" w:color="auto" w:fill="FFFFFF" w:themeFill="background1"/>
          </w:tcPr>
          <w:p w14:paraId="66D241B0" w14:textId="77777777" w:rsidR="00D140F7" w:rsidRPr="00261B7A" w:rsidRDefault="00D140F7" w:rsidP="009C63CA">
            <w:pPr>
              <w:pStyle w:val="TableText"/>
              <w:spacing w:before="40" w:after="40"/>
              <w:rPr>
                <w:rFonts w:cs="Calibri"/>
                <w:szCs w:val="16"/>
              </w:rPr>
            </w:pPr>
            <w:r w:rsidRPr="00261B7A">
              <w:rPr>
                <w:rFonts w:eastAsia="Calibri" w:cs="Calibri"/>
                <w:b/>
                <w:bCs/>
                <w:szCs w:val="16"/>
              </w:rPr>
              <w:t>Resolved.</w:t>
            </w:r>
            <w:r w:rsidRPr="00261B7A">
              <w:rPr>
                <w:rFonts w:eastAsia="Calibri" w:cs="Calibri"/>
                <w:szCs w:val="16"/>
              </w:rPr>
              <w:t xml:space="preserve"> Information on the IEF for mature milking dairy cattle only has been provided in chapter 5, table 5.3.2.</w:t>
            </w:r>
          </w:p>
        </w:tc>
      </w:tr>
      <w:tr w:rsidR="00D140F7" w:rsidRPr="00261B7A" w14:paraId="7E87CEDD" w14:textId="77777777" w:rsidTr="009C63CA">
        <w:tc>
          <w:tcPr>
            <w:tcW w:w="1896" w:type="dxa"/>
            <w:shd w:val="clear" w:color="auto" w:fill="FFFFFF" w:themeFill="background1"/>
          </w:tcPr>
          <w:p w14:paraId="410EC9A7" w14:textId="77777777" w:rsidR="00D140F7" w:rsidRPr="00261B7A" w:rsidRDefault="00D140F7" w:rsidP="009C63CA">
            <w:pPr>
              <w:pStyle w:val="TableText"/>
              <w:spacing w:before="40" w:after="40"/>
              <w:rPr>
                <w:rFonts w:eastAsia="Calibri" w:cs="Calibri"/>
                <w:szCs w:val="16"/>
                <w:vertAlign w:val="subscript"/>
              </w:rPr>
            </w:pPr>
            <w:r w:rsidRPr="00261B7A">
              <w:rPr>
                <w:rFonts w:eastAsia="Calibri" w:cs="Calibri"/>
                <w:szCs w:val="16"/>
              </w:rPr>
              <w:t>Agriculture – 3.A.2 Sheep – CH</w:t>
            </w:r>
            <w:r w:rsidRPr="00261B7A">
              <w:rPr>
                <w:rFonts w:eastAsia="Calibri" w:cs="Calibri"/>
                <w:szCs w:val="16"/>
                <w:vertAlign w:val="subscript"/>
              </w:rPr>
              <w:t>4</w:t>
            </w:r>
          </w:p>
          <w:p w14:paraId="6F5ADD90" w14:textId="77777777" w:rsidR="00D140F7" w:rsidRPr="00261B7A" w:rsidRDefault="00D140F7" w:rsidP="009C63CA">
            <w:pPr>
              <w:pStyle w:val="TableText"/>
              <w:spacing w:before="40" w:after="40"/>
              <w:rPr>
                <w:rFonts w:cs="Calibri"/>
                <w:szCs w:val="16"/>
              </w:rPr>
            </w:pPr>
            <w:r w:rsidRPr="00261B7A">
              <w:rPr>
                <w:rFonts w:cs="Calibri"/>
                <w:szCs w:val="16"/>
                <w:lang w:eastAsia="en-US"/>
              </w:rPr>
              <w:t>(A.12, 2019)</w:t>
            </w:r>
            <w:r w:rsidRPr="00261B7A">
              <w:rPr>
                <w:rFonts w:cs="Calibri"/>
                <w:szCs w:val="16"/>
                <w:lang w:eastAsia="en-US"/>
              </w:rPr>
              <w:br/>
            </w:r>
            <w:r w:rsidRPr="00261B7A">
              <w:rPr>
                <w:rFonts w:cs="Calibri"/>
                <w:szCs w:val="16"/>
              </w:rPr>
              <w:t>Convention reporting adherence</w:t>
            </w:r>
          </w:p>
        </w:tc>
        <w:tc>
          <w:tcPr>
            <w:tcW w:w="919" w:type="dxa"/>
            <w:shd w:val="clear" w:color="auto" w:fill="FFFFFF" w:themeFill="background1"/>
          </w:tcPr>
          <w:p w14:paraId="0BF2CB9C" w14:textId="77777777" w:rsidR="00D140F7" w:rsidRPr="00261B7A" w:rsidRDefault="00D140F7" w:rsidP="009C63CA">
            <w:pPr>
              <w:pStyle w:val="TableText"/>
              <w:spacing w:before="40" w:after="40"/>
              <w:rPr>
                <w:rFonts w:cs="Calibri"/>
                <w:szCs w:val="16"/>
              </w:rPr>
            </w:pPr>
            <w:r w:rsidRPr="00261B7A">
              <w:rPr>
                <w:rFonts w:eastAsia="Calibri" w:cs="Calibri"/>
                <w:szCs w:val="16"/>
              </w:rPr>
              <w:t xml:space="preserve">A.7, 2021 </w:t>
            </w:r>
          </w:p>
        </w:tc>
        <w:tc>
          <w:tcPr>
            <w:tcW w:w="2722" w:type="dxa"/>
            <w:shd w:val="clear" w:color="auto" w:fill="FFFFFF" w:themeFill="background1"/>
          </w:tcPr>
          <w:p w14:paraId="7C79E188" w14:textId="77777777" w:rsidR="00D140F7" w:rsidRPr="00261B7A" w:rsidRDefault="00D140F7" w:rsidP="009C63CA">
            <w:pPr>
              <w:pStyle w:val="TableText"/>
              <w:spacing w:before="40" w:after="40"/>
              <w:rPr>
                <w:rFonts w:cs="Calibri"/>
                <w:szCs w:val="16"/>
              </w:rPr>
            </w:pPr>
            <w:r w:rsidRPr="00261B7A">
              <w:rPr>
                <w:rFonts w:eastAsia="Calibri" w:cs="Calibri"/>
                <w:szCs w:val="16"/>
              </w:rPr>
              <w:t>Correct the reference to the population of sheep older than one year in the equation describing the method used to estimate emissions from enteric fermentation for sheep of less than one year of age reported in the NIR (p. 172).</w:t>
            </w:r>
          </w:p>
        </w:tc>
        <w:tc>
          <w:tcPr>
            <w:tcW w:w="2892" w:type="dxa"/>
            <w:shd w:val="clear" w:color="auto" w:fill="FFFFFF" w:themeFill="background1"/>
          </w:tcPr>
          <w:p w14:paraId="6ACE11A5" w14:textId="77777777" w:rsidR="00D140F7" w:rsidRPr="00261B7A" w:rsidRDefault="00D140F7" w:rsidP="009C63CA">
            <w:pPr>
              <w:pStyle w:val="TableText"/>
              <w:spacing w:before="40" w:after="40"/>
              <w:rPr>
                <w:rFonts w:cs="Calibri"/>
                <w:szCs w:val="16"/>
              </w:rPr>
            </w:pPr>
            <w:r w:rsidRPr="00261B7A">
              <w:rPr>
                <w:rFonts w:eastAsia="Calibri" w:cs="Calibri"/>
                <w:b/>
                <w:bCs/>
                <w:szCs w:val="16"/>
              </w:rPr>
              <w:t>Resolved.</w:t>
            </w:r>
            <w:r w:rsidRPr="00261B7A">
              <w:rPr>
                <w:rFonts w:eastAsia="Calibri" w:cs="Calibri"/>
                <w:szCs w:val="16"/>
              </w:rPr>
              <w:t xml:space="preserve"> These equations (in chapter 5, section 5.2.2) have been corrected.</w:t>
            </w:r>
          </w:p>
        </w:tc>
      </w:tr>
      <w:tr w:rsidR="00D140F7" w:rsidRPr="00261B7A" w14:paraId="0DE672F7" w14:textId="77777777" w:rsidTr="009C63CA">
        <w:tc>
          <w:tcPr>
            <w:tcW w:w="1896" w:type="dxa"/>
            <w:shd w:val="clear" w:color="auto" w:fill="FFFFFF" w:themeFill="background1"/>
          </w:tcPr>
          <w:p w14:paraId="3B17F217" w14:textId="77777777" w:rsidR="00D140F7" w:rsidRPr="00261B7A" w:rsidRDefault="00D140F7" w:rsidP="009C63CA">
            <w:pPr>
              <w:pStyle w:val="TableText"/>
              <w:spacing w:before="40" w:after="40"/>
              <w:rPr>
                <w:rFonts w:eastAsia="Calibri" w:cs="Calibri"/>
                <w:szCs w:val="16"/>
                <w:vertAlign w:val="subscript"/>
              </w:rPr>
            </w:pPr>
            <w:r w:rsidRPr="00261B7A">
              <w:rPr>
                <w:rFonts w:eastAsia="Calibri" w:cs="Calibri"/>
                <w:szCs w:val="16"/>
              </w:rPr>
              <w:t>Agriculture – Other livestock – CH</w:t>
            </w:r>
            <w:r w:rsidRPr="00261B7A">
              <w:rPr>
                <w:rFonts w:eastAsia="Calibri" w:cs="Calibri"/>
                <w:szCs w:val="16"/>
                <w:vertAlign w:val="subscript"/>
              </w:rPr>
              <w:t>4</w:t>
            </w:r>
          </w:p>
          <w:p w14:paraId="20AF354C" w14:textId="77777777" w:rsidR="00D140F7" w:rsidRPr="00261B7A" w:rsidRDefault="00D140F7" w:rsidP="009C63CA">
            <w:pPr>
              <w:pStyle w:val="TableText"/>
              <w:spacing w:before="40" w:after="40"/>
              <w:rPr>
                <w:rFonts w:cs="Calibri"/>
                <w:szCs w:val="16"/>
              </w:rPr>
            </w:pPr>
            <w:r w:rsidRPr="00261B7A">
              <w:rPr>
                <w:rFonts w:cs="Calibri"/>
                <w:color w:val="000000"/>
                <w:szCs w:val="16"/>
              </w:rPr>
              <w:t>(A.2, 2019) (A.5, 2017)</w:t>
            </w:r>
            <w:r w:rsidRPr="00261B7A">
              <w:rPr>
                <w:rFonts w:cs="Calibri"/>
                <w:color w:val="000000"/>
                <w:szCs w:val="16"/>
              </w:rPr>
              <w:br/>
            </w:r>
            <w:r w:rsidRPr="00261B7A">
              <w:rPr>
                <w:rFonts w:cs="Calibri"/>
                <w:szCs w:val="16"/>
              </w:rPr>
              <w:t>Transparency</w:t>
            </w:r>
          </w:p>
        </w:tc>
        <w:tc>
          <w:tcPr>
            <w:tcW w:w="919" w:type="dxa"/>
            <w:shd w:val="clear" w:color="auto" w:fill="FFFFFF" w:themeFill="background1"/>
          </w:tcPr>
          <w:p w14:paraId="7C9C6F62" w14:textId="77777777" w:rsidR="00D140F7" w:rsidRPr="00261B7A" w:rsidRDefault="00D140F7" w:rsidP="009C63CA">
            <w:pPr>
              <w:pStyle w:val="TableText"/>
              <w:spacing w:before="40" w:after="40"/>
              <w:rPr>
                <w:rFonts w:cs="Calibri"/>
                <w:szCs w:val="16"/>
              </w:rPr>
            </w:pPr>
            <w:r w:rsidRPr="00261B7A">
              <w:rPr>
                <w:rFonts w:eastAsia="Calibri" w:cs="Calibri"/>
                <w:szCs w:val="16"/>
              </w:rPr>
              <w:t>A.8, 2021</w:t>
            </w:r>
          </w:p>
        </w:tc>
        <w:tc>
          <w:tcPr>
            <w:tcW w:w="2722" w:type="dxa"/>
            <w:shd w:val="clear" w:color="auto" w:fill="FFFFFF" w:themeFill="background1"/>
          </w:tcPr>
          <w:p w14:paraId="186A0D72" w14:textId="77777777" w:rsidR="00D140F7" w:rsidRPr="00261B7A" w:rsidRDefault="00D140F7" w:rsidP="009C63CA">
            <w:pPr>
              <w:pStyle w:val="TableText"/>
              <w:spacing w:before="40" w:after="40"/>
              <w:rPr>
                <w:rFonts w:cs="Calibri"/>
                <w:szCs w:val="16"/>
              </w:rPr>
            </w:pPr>
            <w:r w:rsidRPr="00261B7A">
              <w:rPr>
                <w:rFonts w:eastAsia="Calibri" w:cs="Calibri"/>
                <w:szCs w:val="16"/>
              </w:rPr>
              <w:t>Provide in the NIR information on the breeding of rabbits and fur-bearing animals.</w:t>
            </w:r>
          </w:p>
        </w:tc>
        <w:tc>
          <w:tcPr>
            <w:tcW w:w="2892" w:type="dxa"/>
            <w:shd w:val="clear" w:color="auto" w:fill="FFFFFF" w:themeFill="background1"/>
          </w:tcPr>
          <w:p w14:paraId="37929838" w14:textId="77777777" w:rsidR="00D140F7" w:rsidRPr="00261B7A" w:rsidRDefault="00D140F7" w:rsidP="009C63CA">
            <w:pPr>
              <w:pStyle w:val="TableText"/>
              <w:spacing w:before="40" w:after="40"/>
              <w:rPr>
                <w:rFonts w:cs="Calibri"/>
                <w:szCs w:val="16"/>
              </w:rPr>
            </w:pPr>
            <w:r w:rsidRPr="00261B7A">
              <w:rPr>
                <w:rFonts w:eastAsia="Calibri" w:cs="Calibri"/>
                <w:b/>
                <w:bCs/>
                <w:szCs w:val="16"/>
              </w:rPr>
              <w:t>Resolved.</w:t>
            </w:r>
            <w:r w:rsidRPr="00261B7A">
              <w:rPr>
                <w:rFonts w:eastAsia="Calibri" w:cs="Calibri"/>
                <w:szCs w:val="16"/>
              </w:rPr>
              <w:t xml:space="preserve"> New Zealand has investigated this issue. Rabbits are considered an agricultural pest and only a very small number of rabbits are farmed. There is no farming of other fur-bearing animals. This explanation has been included in chapter 1, section 1.4 and chapter 5, section 5.1.4.</w:t>
            </w:r>
          </w:p>
        </w:tc>
      </w:tr>
      <w:tr w:rsidR="00D140F7" w:rsidRPr="00261B7A" w14:paraId="638FE615" w14:textId="77777777" w:rsidTr="009C63CA">
        <w:tc>
          <w:tcPr>
            <w:tcW w:w="1896" w:type="dxa"/>
            <w:shd w:val="clear" w:color="auto" w:fill="FFFFFF" w:themeFill="background1"/>
          </w:tcPr>
          <w:p w14:paraId="5CD5204E" w14:textId="77777777" w:rsidR="00D140F7" w:rsidRPr="00261B7A" w:rsidRDefault="00D140F7" w:rsidP="009C63CA">
            <w:pPr>
              <w:pStyle w:val="TableText"/>
              <w:spacing w:before="40" w:after="40"/>
              <w:rPr>
                <w:rFonts w:eastAsia="Calibri" w:cs="Calibri"/>
                <w:szCs w:val="16"/>
                <w:vertAlign w:val="subscript"/>
              </w:rPr>
            </w:pPr>
            <w:r w:rsidRPr="00261B7A">
              <w:rPr>
                <w:rFonts w:eastAsia="Calibri" w:cs="Calibri"/>
                <w:szCs w:val="16"/>
              </w:rPr>
              <w:t>Agriculture – 3.2.4 Other livestock – CH</w:t>
            </w:r>
            <w:r w:rsidRPr="00261B7A">
              <w:rPr>
                <w:rFonts w:eastAsia="Calibri" w:cs="Calibri"/>
                <w:szCs w:val="16"/>
                <w:vertAlign w:val="subscript"/>
              </w:rPr>
              <w:t>4</w:t>
            </w:r>
          </w:p>
          <w:p w14:paraId="77454179" w14:textId="77777777" w:rsidR="00D140F7" w:rsidRPr="00261B7A" w:rsidRDefault="00D140F7" w:rsidP="009C63CA">
            <w:pPr>
              <w:pStyle w:val="TableText"/>
              <w:spacing w:before="40" w:after="40"/>
              <w:rPr>
                <w:rFonts w:cs="Calibri"/>
                <w:szCs w:val="16"/>
              </w:rPr>
            </w:pPr>
            <w:r w:rsidRPr="00261B7A">
              <w:rPr>
                <w:rFonts w:cs="Calibri"/>
                <w:szCs w:val="16"/>
                <w:lang w:eastAsia="en-US"/>
              </w:rPr>
              <w:t>(A.13,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36EDC9CD"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 xml:space="preserve">A.9, 2021 </w:t>
            </w:r>
          </w:p>
        </w:tc>
        <w:tc>
          <w:tcPr>
            <w:tcW w:w="2722" w:type="dxa"/>
            <w:shd w:val="clear" w:color="auto" w:fill="FFFFFF" w:themeFill="background1"/>
          </w:tcPr>
          <w:p w14:paraId="5B638747" w14:textId="77777777" w:rsidR="00D140F7" w:rsidRPr="00261B7A" w:rsidRDefault="00D140F7" w:rsidP="009C63CA">
            <w:pPr>
              <w:pStyle w:val="TableText"/>
              <w:spacing w:before="40" w:after="40"/>
              <w:rPr>
                <w:rFonts w:cs="Calibri"/>
                <w:szCs w:val="16"/>
              </w:rPr>
            </w:pPr>
            <w:r w:rsidRPr="00261B7A">
              <w:rPr>
                <w:rFonts w:eastAsia="Calibri" w:cs="Calibri"/>
                <w:szCs w:val="16"/>
              </w:rPr>
              <w:t>Implement the planned methodological changes regarding revising the assumptions about the population of dairy goats and the total goat population, recalculate the emissions and explain them in the NIR.</w:t>
            </w:r>
          </w:p>
        </w:tc>
        <w:tc>
          <w:tcPr>
            <w:tcW w:w="2892" w:type="dxa"/>
            <w:shd w:val="clear" w:color="auto" w:fill="FFFFFF" w:themeFill="background1"/>
          </w:tcPr>
          <w:p w14:paraId="1449856A" w14:textId="77777777" w:rsidR="00D140F7" w:rsidRPr="00261B7A" w:rsidRDefault="00D140F7" w:rsidP="009C63CA">
            <w:pPr>
              <w:pStyle w:val="Heading5"/>
              <w:spacing w:before="40" w:after="40"/>
              <w:rPr>
                <w:rFonts w:eastAsia="Calibri" w:cs="Calibri"/>
                <w:sz w:val="16"/>
                <w:szCs w:val="16"/>
              </w:rPr>
            </w:pPr>
            <w:r w:rsidRPr="00261B7A">
              <w:rPr>
                <w:rFonts w:eastAsia="Calibri" w:cs="Calibri"/>
                <w:b/>
                <w:i w:val="0"/>
                <w:iCs w:val="0"/>
                <w:color w:val="auto"/>
                <w:sz w:val="16"/>
                <w:szCs w:val="16"/>
              </w:rPr>
              <w:t>Addressing.</w:t>
            </w:r>
            <w:r w:rsidRPr="00261B7A">
              <w:rPr>
                <w:rFonts w:eastAsia="Calibri" w:cs="Calibri"/>
                <w:bCs w:val="0"/>
                <w:i w:val="0"/>
                <w:iCs w:val="0"/>
                <w:color w:val="auto"/>
                <w:sz w:val="16"/>
                <w:szCs w:val="16"/>
              </w:rPr>
              <w:t xml:space="preserve"> The population of goats is sourced from the Agricultural Production Survey,</w:t>
            </w:r>
            <w:r w:rsidRPr="00261B7A">
              <w:rPr>
                <w:rFonts w:eastAsia="Calibri" w:cs="Calibri"/>
                <w:i w:val="0"/>
                <w:color w:val="auto"/>
                <w:sz w:val="16"/>
                <w:szCs w:val="16"/>
              </w:rPr>
              <w:t xml:space="preserve"> and data from Burggraaf et al. (unpublished) on the proportion of dairy goats in the overall farmed population has been included in the emissions calculations. New Zealand has further work planned in 2023 to develop the emissions methodology for goats. For more information, see chapter 5, section 5.2.6 (Improving emissions from minor animal categories).</w:t>
            </w:r>
          </w:p>
        </w:tc>
      </w:tr>
      <w:tr w:rsidR="00D140F7" w:rsidRPr="00261B7A" w14:paraId="5C805526" w14:textId="77777777" w:rsidTr="009C63CA">
        <w:tc>
          <w:tcPr>
            <w:tcW w:w="1896" w:type="dxa"/>
            <w:shd w:val="clear" w:color="auto" w:fill="FFFFFF" w:themeFill="background1"/>
          </w:tcPr>
          <w:p w14:paraId="227AA4C6" w14:textId="77777777" w:rsidR="00D140F7" w:rsidRPr="00261B7A" w:rsidRDefault="00D140F7" w:rsidP="009C63CA">
            <w:pPr>
              <w:pStyle w:val="TableText"/>
              <w:keepNext/>
              <w:spacing w:before="40" w:after="40"/>
              <w:rPr>
                <w:rFonts w:eastAsia="Calibri" w:cs="Calibri"/>
                <w:szCs w:val="16"/>
              </w:rPr>
            </w:pPr>
            <w:r w:rsidRPr="00261B7A">
              <w:rPr>
                <w:rFonts w:eastAsia="Calibri" w:cs="Calibri"/>
                <w:szCs w:val="16"/>
              </w:rPr>
              <w:t>Agriculture – 3.B Manure management – CH</w:t>
            </w:r>
            <w:r w:rsidRPr="00261B7A">
              <w:rPr>
                <w:rFonts w:eastAsia="Calibri" w:cs="Calibri"/>
                <w:szCs w:val="16"/>
                <w:vertAlign w:val="subscript"/>
              </w:rPr>
              <w:t>4</w:t>
            </w:r>
            <w:r w:rsidRPr="00261B7A">
              <w:rPr>
                <w:rFonts w:eastAsia="Calibri" w:cs="Calibri"/>
                <w:szCs w:val="16"/>
              </w:rPr>
              <w:t xml:space="preserve"> and N</w:t>
            </w:r>
            <w:r w:rsidRPr="00261B7A">
              <w:rPr>
                <w:rFonts w:eastAsia="Calibri" w:cs="Calibri"/>
                <w:szCs w:val="16"/>
                <w:vertAlign w:val="subscript"/>
              </w:rPr>
              <w:t>2</w:t>
            </w:r>
            <w:r w:rsidRPr="00261B7A">
              <w:rPr>
                <w:rFonts w:eastAsia="Calibri" w:cs="Calibri"/>
                <w:szCs w:val="16"/>
              </w:rPr>
              <w:t>O</w:t>
            </w:r>
          </w:p>
          <w:p w14:paraId="560FFE0B" w14:textId="77777777" w:rsidR="00D140F7" w:rsidRPr="00261B7A" w:rsidRDefault="00D140F7" w:rsidP="009C63CA">
            <w:pPr>
              <w:pStyle w:val="TableText"/>
              <w:spacing w:before="40" w:after="40"/>
              <w:rPr>
                <w:rFonts w:cs="Calibri"/>
                <w:szCs w:val="16"/>
              </w:rPr>
            </w:pPr>
            <w:r w:rsidRPr="00261B7A">
              <w:rPr>
                <w:rFonts w:cs="Calibri"/>
                <w:szCs w:val="16"/>
                <w:lang w:eastAsia="en-US"/>
              </w:rPr>
              <w:t>(A.14, 2019)</w:t>
            </w:r>
            <w:r w:rsidRPr="00261B7A">
              <w:rPr>
                <w:rFonts w:cs="Calibri"/>
                <w:szCs w:val="16"/>
                <w:lang w:eastAsia="en-US"/>
              </w:rPr>
              <w:br/>
            </w:r>
            <w:r w:rsidRPr="00261B7A">
              <w:rPr>
                <w:rFonts w:cs="Calibri"/>
                <w:szCs w:val="16"/>
              </w:rPr>
              <w:t>Convention reporting adherence</w:t>
            </w:r>
          </w:p>
        </w:tc>
        <w:tc>
          <w:tcPr>
            <w:tcW w:w="919" w:type="dxa"/>
            <w:shd w:val="clear" w:color="auto" w:fill="FFFFFF" w:themeFill="background1"/>
          </w:tcPr>
          <w:p w14:paraId="3E91DC17" w14:textId="77777777" w:rsidR="00D140F7" w:rsidRPr="00261B7A" w:rsidRDefault="00D140F7" w:rsidP="009C63CA">
            <w:pPr>
              <w:pStyle w:val="TableText"/>
              <w:spacing w:before="40" w:after="40"/>
              <w:rPr>
                <w:rFonts w:cs="Calibri"/>
                <w:szCs w:val="16"/>
              </w:rPr>
            </w:pPr>
            <w:r w:rsidRPr="00261B7A">
              <w:rPr>
                <w:rFonts w:eastAsia="Calibri" w:cs="Calibri"/>
                <w:szCs w:val="16"/>
              </w:rPr>
              <w:t>A.10, 2021</w:t>
            </w:r>
          </w:p>
        </w:tc>
        <w:tc>
          <w:tcPr>
            <w:tcW w:w="2722" w:type="dxa"/>
            <w:shd w:val="clear" w:color="auto" w:fill="FFFFFF" w:themeFill="background1"/>
          </w:tcPr>
          <w:p w14:paraId="7CB52E00" w14:textId="77777777" w:rsidR="00D140F7" w:rsidRPr="00261B7A" w:rsidRDefault="00D140F7" w:rsidP="009C63CA">
            <w:pPr>
              <w:pStyle w:val="TableText"/>
              <w:spacing w:before="40" w:after="40"/>
              <w:rPr>
                <w:rFonts w:cs="Calibri"/>
                <w:szCs w:val="16"/>
              </w:rPr>
            </w:pPr>
            <w:r w:rsidRPr="00261B7A">
              <w:rPr>
                <w:rFonts w:eastAsia="Calibri" w:cs="Calibri"/>
                <w:szCs w:val="16"/>
              </w:rPr>
              <w:t>Correct the references to CRF tables on pages 180 and 182 of the NIR to read “Methane from manure management systems (CRF table 3.B(a))” and “Nitrous oxide from manure management systems (CRF table 3.B(b))”.</w:t>
            </w:r>
          </w:p>
        </w:tc>
        <w:tc>
          <w:tcPr>
            <w:tcW w:w="2892" w:type="dxa"/>
            <w:shd w:val="clear" w:color="auto" w:fill="FFFFFF" w:themeFill="background1"/>
          </w:tcPr>
          <w:p w14:paraId="4DB2B96C" w14:textId="77777777" w:rsidR="00D140F7" w:rsidRPr="00261B7A" w:rsidRDefault="00D140F7" w:rsidP="009C63CA">
            <w:pPr>
              <w:pStyle w:val="TableText"/>
              <w:spacing w:before="40" w:after="40"/>
              <w:rPr>
                <w:rFonts w:cs="Calibri"/>
                <w:szCs w:val="16"/>
              </w:rPr>
            </w:pPr>
            <w:r w:rsidRPr="00261B7A">
              <w:rPr>
                <w:rFonts w:eastAsia="Calibri" w:cs="Calibri"/>
                <w:b/>
                <w:bCs/>
                <w:szCs w:val="16"/>
              </w:rPr>
              <w:t>Resolved.</w:t>
            </w:r>
            <w:r w:rsidRPr="00261B7A">
              <w:rPr>
                <w:rFonts w:eastAsia="Calibri" w:cs="Calibri"/>
                <w:szCs w:val="16"/>
              </w:rPr>
              <w:t xml:space="preserve"> The section titles have been changed. See chapter 5, section 5.3.2.</w:t>
            </w:r>
          </w:p>
        </w:tc>
      </w:tr>
      <w:tr w:rsidR="00D140F7" w:rsidRPr="00261B7A" w14:paraId="61C69ED7" w14:textId="77777777" w:rsidTr="009C63CA">
        <w:tc>
          <w:tcPr>
            <w:tcW w:w="1896" w:type="dxa"/>
            <w:shd w:val="clear" w:color="auto" w:fill="FFFFFF" w:themeFill="background1"/>
          </w:tcPr>
          <w:p w14:paraId="424F88BE"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Agriculture – 3.B Manure management – N</w:t>
            </w:r>
            <w:r w:rsidRPr="00261B7A">
              <w:rPr>
                <w:rFonts w:eastAsia="Calibri" w:cs="Calibri"/>
                <w:szCs w:val="16"/>
                <w:vertAlign w:val="subscript"/>
              </w:rPr>
              <w:t>2</w:t>
            </w:r>
            <w:r w:rsidRPr="00261B7A">
              <w:rPr>
                <w:rFonts w:eastAsia="Calibri" w:cs="Calibri"/>
                <w:szCs w:val="16"/>
              </w:rPr>
              <w:t>O</w:t>
            </w:r>
          </w:p>
          <w:p w14:paraId="003DB71F" w14:textId="77777777" w:rsidR="00D140F7" w:rsidRPr="00261B7A" w:rsidRDefault="00D140F7" w:rsidP="009C63CA">
            <w:pPr>
              <w:pStyle w:val="TableText"/>
              <w:spacing w:before="40" w:after="40"/>
              <w:rPr>
                <w:rFonts w:cs="Calibri"/>
                <w:szCs w:val="16"/>
              </w:rPr>
            </w:pPr>
            <w:r w:rsidRPr="00261B7A">
              <w:rPr>
                <w:rFonts w:cs="Calibri"/>
                <w:szCs w:val="16"/>
                <w:lang w:eastAsia="en-US"/>
              </w:rPr>
              <w:t>(A.15,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5AA6C86C" w14:textId="77777777" w:rsidR="00D140F7" w:rsidRPr="00261B7A" w:rsidRDefault="00D140F7" w:rsidP="009C63CA">
            <w:pPr>
              <w:pStyle w:val="TableText"/>
              <w:spacing w:before="40" w:after="40"/>
              <w:rPr>
                <w:rFonts w:cs="Calibri"/>
                <w:szCs w:val="16"/>
              </w:rPr>
            </w:pPr>
            <w:r w:rsidRPr="00261B7A">
              <w:rPr>
                <w:rFonts w:eastAsia="Calibri" w:cs="Calibri"/>
                <w:szCs w:val="16"/>
              </w:rPr>
              <w:t xml:space="preserve">A.11 2021, </w:t>
            </w:r>
          </w:p>
        </w:tc>
        <w:tc>
          <w:tcPr>
            <w:tcW w:w="2722" w:type="dxa"/>
            <w:shd w:val="clear" w:color="auto" w:fill="FFFFFF" w:themeFill="background1"/>
          </w:tcPr>
          <w:p w14:paraId="4B63BEDC" w14:textId="77777777" w:rsidR="00D140F7" w:rsidRPr="00261B7A" w:rsidRDefault="00D140F7" w:rsidP="009C63CA">
            <w:pPr>
              <w:pStyle w:val="TableText"/>
              <w:spacing w:before="40" w:after="40"/>
              <w:rPr>
                <w:rFonts w:cs="Calibri"/>
                <w:szCs w:val="16"/>
              </w:rPr>
            </w:pPr>
            <w:r w:rsidRPr="00261B7A">
              <w:rPr>
                <w:rFonts w:eastAsia="Calibri" w:cs="Calibri"/>
                <w:szCs w:val="16"/>
              </w:rPr>
              <w:t>Review the N intake for dairy cattle, non-dairy cattle, sheep and deer to check if it is still applicable to the most recent years of the time series and, if necessary, revise its estimates.</w:t>
            </w:r>
          </w:p>
        </w:tc>
        <w:tc>
          <w:tcPr>
            <w:tcW w:w="2892" w:type="dxa"/>
            <w:shd w:val="clear" w:color="auto" w:fill="FFFFFF" w:themeFill="background1"/>
          </w:tcPr>
          <w:p w14:paraId="4C9DEE2A" w14:textId="77777777" w:rsidR="00D140F7" w:rsidRPr="00261B7A" w:rsidRDefault="00D140F7" w:rsidP="009C63CA">
            <w:pPr>
              <w:pStyle w:val="TableText"/>
              <w:spacing w:before="40" w:after="40"/>
              <w:rPr>
                <w:rFonts w:cs="Calibri"/>
                <w:szCs w:val="16"/>
              </w:rPr>
            </w:pPr>
            <w:r w:rsidRPr="00261B7A">
              <w:rPr>
                <w:rFonts w:eastAsia="Calibri" w:cs="Calibri"/>
                <w:b/>
                <w:bCs/>
                <w:szCs w:val="16"/>
              </w:rPr>
              <w:t>Resolved.</w:t>
            </w:r>
            <w:r w:rsidRPr="00261B7A">
              <w:rPr>
                <w:rFonts w:eastAsia="Calibri" w:cs="Calibri"/>
                <w:szCs w:val="16"/>
              </w:rPr>
              <w:t xml:space="preserve"> Updated pasture quality values were included in the 2021 inventory. For more information, see section 10.1.3 of the 2021 NIR.</w:t>
            </w:r>
          </w:p>
        </w:tc>
      </w:tr>
      <w:tr w:rsidR="00D140F7" w:rsidRPr="00261B7A" w14:paraId="7CD3D956" w14:textId="77777777" w:rsidTr="009C63CA">
        <w:tc>
          <w:tcPr>
            <w:tcW w:w="1896" w:type="dxa"/>
            <w:shd w:val="clear" w:color="auto" w:fill="FFFFFF" w:themeFill="background1"/>
          </w:tcPr>
          <w:p w14:paraId="1BC8994A" w14:textId="77777777" w:rsidR="00D140F7" w:rsidRPr="00261B7A" w:rsidRDefault="00D140F7" w:rsidP="009C63CA">
            <w:pPr>
              <w:pStyle w:val="TableText"/>
              <w:spacing w:before="40" w:after="40"/>
              <w:rPr>
                <w:rFonts w:eastAsia="Calibri" w:cs="Calibri"/>
                <w:szCs w:val="16"/>
                <w:vertAlign w:val="subscript"/>
              </w:rPr>
            </w:pPr>
            <w:r w:rsidRPr="00261B7A">
              <w:rPr>
                <w:rFonts w:eastAsia="Calibri" w:cs="Calibri"/>
                <w:szCs w:val="16"/>
              </w:rPr>
              <w:t>Agriculture – 3.B.4 Other livestock (deer) – CH</w:t>
            </w:r>
            <w:r w:rsidRPr="00261B7A">
              <w:rPr>
                <w:rFonts w:eastAsia="Calibri" w:cs="Calibri"/>
                <w:szCs w:val="16"/>
                <w:vertAlign w:val="subscript"/>
              </w:rPr>
              <w:t>4</w:t>
            </w:r>
          </w:p>
          <w:p w14:paraId="79AD7708" w14:textId="77777777" w:rsidR="00D140F7" w:rsidRPr="00261B7A" w:rsidRDefault="00D140F7" w:rsidP="009C63CA">
            <w:pPr>
              <w:pStyle w:val="TableText"/>
              <w:spacing w:before="40" w:after="40"/>
              <w:rPr>
                <w:rFonts w:cs="Calibri"/>
                <w:szCs w:val="16"/>
              </w:rPr>
            </w:pPr>
            <w:r w:rsidRPr="00261B7A">
              <w:rPr>
                <w:rFonts w:cs="Calibri"/>
                <w:szCs w:val="16"/>
                <w:lang w:eastAsia="en-US"/>
              </w:rPr>
              <w:t>(A.16,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0EBC753B" w14:textId="77777777" w:rsidR="00D140F7" w:rsidRPr="00261B7A" w:rsidRDefault="00D140F7" w:rsidP="009C63CA">
            <w:pPr>
              <w:pStyle w:val="TableText"/>
              <w:spacing w:before="40" w:after="40"/>
              <w:rPr>
                <w:rFonts w:cs="Calibri"/>
                <w:szCs w:val="16"/>
              </w:rPr>
            </w:pPr>
            <w:r w:rsidRPr="00261B7A">
              <w:rPr>
                <w:rFonts w:eastAsia="Calibri" w:cs="Calibri"/>
                <w:szCs w:val="16"/>
              </w:rPr>
              <w:t xml:space="preserve">A.12, 2021 </w:t>
            </w:r>
          </w:p>
        </w:tc>
        <w:tc>
          <w:tcPr>
            <w:tcW w:w="2722" w:type="dxa"/>
            <w:shd w:val="clear" w:color="auto" w:fill="FFFFFF" w:themeFill="background1"/>
          </w:tcPr>
          <w:p w14:paraId="6EEA0DB4" w14:textId="77777777" w:rsidR="00D140F7" w:rsidRPr="00261B7A" w:rsidRDefault="00D140F7" w:rsidP="009C63CA">
            <w:pPr>
              <w:pStyle w:val="TableText"/>
              <w:spacing w:before="40" w:after="40"/>
              <w:rPr>
                <w:rFonts w:cs="Calibri"/>
                <w:szCs w:val="16"/>
              </w:rPr>
            </w:pPr>
            <w:r w:rsidRPr="00261B7A">
              <w:rPr>
                <w:rFonts w:eastAsia="Calibri" w:cs="Calibri"/>
                <w:szCs w:val="16"/>
              </w:rPr>
              <w:t>Revise the calculation procedures for the CH</w:t>
            </w:r>
            <w:r w:rsidRPr="00261B7A">
              <w:rPr>
                <w:rFonts w:eastAsia="Calibri" w:cs="Calibri"/>
                <w:szCs w:val="16"/>
                <w:vertAlign w:val="subscript"/>
              </w:rPr>
              <w:t>4</w:t>
            </w:r>
            <w:r w:rsidRPr="00261B7A">
              <w:rPr>
                <w:rFonts w:eastAsia="Calibri" w:cs="Calibri"/>
                <w:szCs w:val="16"/>
              </w:rPr>
              <w:t xml:space="preserve"> EF for deer and explain the revisions in the NIR. If the Party continues to use three studies from 2003 as the basis for its calculation, the ERT recommends that the Party (1) consider using a more appropriate average value than a simple arithmetic average, such as a weighted average, to estimate the CH4 EF for deer; and (2) justify that the obtained value is more appropriate that the IPCC default value.</w:t>
            </w:r>
          </w:p>
        </w:tc>
        <w:tc>
          <w:tcPr>
            <w:tcW w:w="2892" w:type="dxa"/>
            <w:shd w:val="clear" w:color="auto" w:fill="FFFFFF" w:themeFill="background1"/>
          </w:tcPr>
          <w:p w14:paraId="241CB837" w14:textId="77777777" w:rsidR="00D140F7" w:rsidRPr="00261B7A" w:rsidRDefault="00D140F7" w:rsidP="009C63CA">
            <w:pPr>
              <w:pStyle w:val="TableText"/>
              <w:spacing w:before="40" w:after="40"/>
              <w:rPr>
                <w:rFonts w:eastAsia="Calibri" w:cs="Calibri"/>
                <w:szCs w:val="16"/>
              </w:rPr>
            </w:pPr>
            <w:r w:rsidRPr="00261B7A">
              <w:rPr>
                <w:rFonts w:eastAsia="Calibri" w:cs="Calibri"/>
                <w:b/>
                <w:bCs/>
                <w:szCs w:val="16"/>
              </w:rPr>
              <w:t>Not Resolved.</w:t>
            </w:r>
            <w:r w:rsidRPr="00261B7A">
              <w:rPr>
                <w:rFonts w:eastAsia="Calibri" w:cs="Calibri"/>
                <w:szCs w:val="16"/>
              </w:rPr>
              <w:t xml:space="preserve"> The current calculation procedures for CH</w:t>
            </w:r>
            <w:r w:rsidRPr="00261B7A">
              <w:rPr>
                <w:rFonts w:eastAsia="Calibri" w:cs="Calibri"/>
                <w:szCs w:val="16"/>
                <w:vertAlign w:val="subscript"/>
              </w:rPr>
              <w:t>4</w:t>
            </w:r>
            <w:r w:rsidRPr="00261B7A">
              <w:rPr>
                <w:rFonts w:eastAsia="Calibri" w:cs="Calibri"/>
                <w:szCs w:val="16"/>
              </w:rPr>
              <w:t xml:space="preserve"> EF (methane per unit of feed intake) for deer are appropriate, given the current information available. While the studies are older, it is expensive and difficult to obtain the required data for farmed deer in New Zealand, and the farming systems for them have not significantly changed. Given that deer weights are approximately half-way between sheep and beef, using an average between the two is valid. Because these values for beef cattle and sheep are based on robust, country-specific research, basing the CH</w:t>
            </w:r>
            <w:r w:rsidRPr="00261B7A">
              <w:rPr>
                <w:rFonts w:eastAsia="Calibri" w:cs="Calibri"/>
                <w:szCs w:val="16"/>
                <w:vertAlign w:val="subscript"/>
              </w:rPr>
              <w:t>4</w:t>
            </w:r>
            <w:r w:rsidRPr="00261B7A">
              <w:rPr>
                <w:rFonts w:eastAsia="Calibri" w:cs="Calibri"/>
                <w:szCs w:val="16"/>
              </w:rPr>
              <w:t xml:space="preserve"> EF for deer on these values is more appropriate and provides more accurate emissions estimates for New Zealand farmed deer than using the IPCC default value.</w:t>
            </w:r>
          </w:p>
        </w:tc>
      </w:tr>
      <w:tr w:rsidR="00D140F7" w:rsidRPr="00261B7A" w14:paraId="506D7419" w14:textId="77777777" w:rsidTr="009C63CA">
        <w:tc>
          <w:tcPr>
            <w:tcW w:w="1896" w:type="dxa"/>
            <w:shd w:val="clear" w:color="auto" w:fill="FFFFFF" w:themeFill="background1"/>
          </w:tcPr>
          <w:p w14:paraId="6645C3C2" w14:textId="77777777" w:rsidR="00D140F7" w:rsidRPr="00261B7A" w:rsidRDefault="00D140F7" w:rsidP="00D137B5">
            <w:pPr>
              <w:pStyle w:val="TableText"/>
              <w:spacing w:after="40"/>
              <w:rPr>
                <w:rFonts w:eastAsia="Calibri" w:cs="Calibri"/>
                <w:szCs w:val="16"/>
              </w:rPr>
            </w:pPr>
            <w:r w:rsidRPr="00261B7A">
              <w:rPr>
                <w:rFonts w:eastAsia="Calibri" w:cs="Calibri"/>
                <w:szCs w:val="16"/>
              </w:rPr>
              <w:t>Agriculture – 3.D.a.1 Inorganic N fertilisers – N</w:t>
            </w:r>
            <w:r w:rsidRPr="00261B7A">
              <w:rPr>
                <w:rFonts w:eastAsia="Calibri" w:cs="Calibri"/>
                <w:szCs w:val="16"/>
                <w:vertAlign w:val="subscript"/>
              </w:rPr>
              <w:t>2</w:t>
            </w:r>
            <w:r w:rsidRPr="00261B7A">
              <w:rPr>
                <w:rFonts w:eastAsia="Calibri" w:cs="Calibri"/>
                <w:szCs w:val="16"/>
              </w:rPr>
              <w:t>O</w:t>
            </w:r>
          </w:p>
          <w:p w14:paraId="1D73CBB6" w14:textId="77777777" w:rsidR="00D140F7" w:rsidRPr="00261B7A" w:rsidRDefault="00D140F7" w:rsidP="009C63CA">
            <w:pPr>
              <w:pStyle w:val="TableText"/>
              <w:rPr>
                <w:rFonts w:cs="Calibri"/>
                <w:szCs w:val="16"/>
              </w:rPr>
            </w:pPr>
            <w:r w:rsidRPr="00261B7A">
              <w:rPr>
                <w:rFonts w:cs="Calibri"/>
                <w:szCs w:val="16"/>
                <w:lang w:eastAsia="en-US"/>
              </w:rPr>
              <w:t>(A.17,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7E5ABD9C" w14:textId="77777777" w:rsidR="00D140F7" w:rsidRPr="00261B7A" w:rsidRDefault="00D140F7" w:rsidP="009C63CA">
            <w:pPr>
              <w:pStyle w:val="TableText"/>
              <w:rPr>
                <w:rFonts w:cs="Calibri"/>
                <w:szCs w:val="16"/>
              </w:rPr>
            </w:pPr>
            <w:r w:rsidRPr="00261B7A">
              <w:rPr>
                <w:rFonts w:eastAsia="Calibri" w:cs="Calibri"/>
                <w:szCs w:val="16"/>
              </w:rPr>
              <w:t xml:space="preserve">A.13, 2021 </w:t>
            </w:r>
          </w:p>
        </w:tc>
        <w:tc>
          <w:tcPr>
            <w:tcW w:w="2722" w:type="dxa"/>
            <w:shd w:val="clear" w:color="auto" w:fill="FFFFFF" w:themeFill="background1"/>
          </w:tcPr>
          <w:p w14:paraId="7A290839" w14:textId="77777777" w:rsidR="00D140F7" w:rsidRPr="00261B7A" w:rsidRDefault="00D140F7" w:rsidP="009C63CA">
            <w:pPr>
              <w:pStyle w:val="TableText"/>
              <w:rPr>
                <w:rFonts w:cs="Calibri"/>
                <w:szCs w:val="16"/>
              </w:rPr>
            </w:pPr>
            <w:r w:rsidRPr="00261B7A">
              <w:rPr>
                <w:rFonts w:eastAsia="Calibri" w:cs="Calibri"/>
                <w:szCs w:val="16"/>
              </w:rPr>
              <w:t>Explain in more detail in the NIR how the country-specific N</w:t>
            </w:r>
            <w:r w:rsidRPr="00261B7A">
              <w:rPr>
                <w:rFonts w:eastAsia="Calibri" w:cs="Calibri"/>
                <w:szCs w:val="16"/>
                <w:vertAlign w:val="subscript"/>
              </w:rPr>
              <w:t>2</w:t>
            </w:r>
            <w:r w:rsidRPr="00261B7A">
              <w:rPr>
                <w:rFonts w:eastAsia="Calibri" w:cs="Calibri"/>
                <w:szCs w:val="16"/>
              </w:rPr>
              <w:t>O EF for urea was obtained by including a reference to the report that forms the basis for country-specific values (0.0059 and 0.01 kg N</w:t>
            </w:r>
            <w:r w:rsidRPr="00261B7A">
              <w:rPr>
                <w:rFonts w:eastAsia="Calibri" w:cs="Calibri"/>
                <w:szCs w:val="16"/>
                <w:vertAlign w:val="subscript"/>
              </w:rPr>
              <w:t>2</w:t>
            </w:r>
            <w:r w:rsidRPr="00261B7A">
              <w:rPr>
                <w:rFonts w:eastAsia="Calibri" w:cs="Calibri"/>
                <w:szCs w:val="16"/>
              </w:rPr>
              <w:t>O N/kg N for urea and other synthetic fertilizer, respectively) and summarizing how the Agricultural Inventory Advisory Panel endorsed its application to the inventory.</w:t>
            </w:r>
          </w:p>
        </w:tc>
        <w:tc>
          <w:tcPr>
            <w:tcW w:w="2892" w:type="dxa"/>
            <w:shd w:val="clear" w:color="auto" w:fill="FFFFFF" w:themeFill="background1"/>
          </w:tcPr>
          <w:p w14:paraId="132D6AF8" w14:textId="77777777" w:rsidR="00D140F7" w:rsidRPr="00261B7A" w:rsidRDefault="00D140F7" w:rsidP="009C63CA">
            <w:pPr>
              <w:pStyle w:val="TableText"/>
              <w:rPr>
                <w:rFonts w:cs="Calibri"/>
                <w:szCs w:val="16"/>
              </w:rPr>
            </w:pPr>
            <w:r w:rsidRPr="00261B7A">
              <w:rPr>
                <w:rFonts w:eastAsia="Calibri" w:cs="Calibri"/>
                <w:b/>
                <w:bCs/>
                <w:szCs w:val="16"/>
              </w:rPr>
              <w:t>Resolved.</w:t>
            </w:r>
            <w:r w:rsidRPr="00261B7A">
              <w:rPr>
                <w:rFonts w:eastAsia="Calibri" w:cs="Calibri"/>
                <w:szCs w:val="16"/>
              </w:rPr>
              <w:t xml:space="preserve"> More detailed information on the EF for urea fertiliser, including a comparison with overseas studies, is included in chapter 5, section 5.5.2 (under </w:t>
            </w:r>
            <w:r w:rsidRPr="00261B7A">
              <w:rPr>
                <w:rFonts w:cs="Calibri"/>
                <w:szCs w:val="16"/>
              </w:rPr>
              <w:t>Direct nitrous oxide emissions from managed soils</w:t>
            </w:r>
            <w:r w:rsidRPr="00261B7A">
              <w:rPr>
                <w:rFonts w:eastAsia="Calibri" w:cs="Calibri"/>
                <w:szCs w:val="16"/>
              </w:rPr>
              <w:t xml:space="preserve"> – Synthetic nitrogen fertiliser).</w:t>
            </w:r>
          </w:p>
        </w:tc>
      </w:tr>
      <w:tr w:rsidR="00D140F7" w:rsidRPr="00261B7A" w14:paraId="1F3A87B3" w14:textId="77777777" w:rsidTr="009C63CA">
        <w:tc>
          <w:tcPr>
            <w:tcW w:w="1896" w:type="dxa"/>
            <w:shd w:val="clear" w:color="auto" w:fill="FFFFFF" w:themeFill="background1"/>
          </w:tcPr>
          <w:p w14:paraId="120BD247" w14:textId="77777777" w:rsidR="00D140F7" w:rsidRPr="00261B7A" w:rsidRDefault="00D140F7" w:rsidP="00D137B5">
            <w:pPr>
              <w:pStyle w:val="TableText"/>
              <w:spacing w:after="40"/>
              <w:rPr>
                <w:rFonts w:eastAsia="Calibri" w:cs="Calibri"/>
                <w:szCs w:val="16"/>
              </w:rPr>
            </w:pPr>
            <w:r w:rsidRPr="00261B7A">
              <w:rPr>
                <w:rFonts w:eastAsia="Calibri" w:cs="Calibri"/>
                <w:szCs w:val="16"/>
              </w:rPr>
              <w:t>Agriculture – 3.D.a.2 Organic N fertilisers – N</w:t>
            </w:r>
            <w:r w:rsidRPr="00261B7A">
              <w:rPr>
                <w:rFonts w:eastAsia="Calibri" w:cs="Calibri"/>
                <w:szCs w:val="16"/>
                <w:vertAlign w:val="subscript"/>
              </w:rPr>
              <w:t>2</w:t>
            </w:r>
            <w:r w:rsidRPr="00261B7A">
              <w:rPr>
                <w:rFonts w:eastAsia="Calibri" w:cs="Calibri"/>
                <w:szCs w:val="16"/>
              </w:rPr>
              <w:t>O</w:t>
            </w:r>
          </w:p>
          <w:p w14:paraId="6A8EB68C" w14:textId="77777777" w:rsidR="00D140F7" w:rsidRPr="00261B7A" w:rsidRDefault="00D140F7" w:rsidP="009C63CA">
            <w:pPr>
              <w:pStyle w:val="TableText"/>
              <w:rPr>
                <w:rFonts w:cs="Calibri"/>
                <w:szCs w:val="16"/>
              </w:rPr>
            </w:pPr>
            <w:r w:rsidRPr="00261B7A">
              <w:rPr>
                <w:rFonts w:cs="Calibri"/>
                <w:szCs w:val="16"/>
                <w:lang w:eastAsia="en-US"/>
              </w:rPr>
              <w:t>(A.18,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7FFE0102" w14:textId="77777777" w:rsidR="00D140F7" w:rsidRPr="00261B7A" w:rsidRDefault="00D140F7" w:rsidP="009C63CA">
            <w:pPr>
              <w:pStyle w:val="TableText"/>
              <w:rPr>
                <w:rFonts w:cs="Calibri"/>
                <w:szCs w:val="16"/>
              </w:rPr>
            </w:pPr>
            <w:r w:rsidRPr="00261B7A">
              <w:rPr>
                <w:rFonts w:eastAsia="Calibri" w:cs="Calibri"/>
                <w:szCs w:val="16"/>
              </w:rPr>
              <w:t xml:space="preserve">A.14, 2021 </w:t>
            </w:r>
          </w:p>
        </w:tc>
        <w:tc>
          <w:tcPr>
            <w:tcW w:w="2722" w:type="dxa"/>
            <w:shd w:val="clear" w:color="auto" w:fill="FFFFFF" w:themeFill="background1"/>
          </w:tcPr>
          <w:p w14:paraId="4E7995FF" w14:textId="77777777" w:rsidR="00D140F7" w:rsidRPr="00261B7A" w:rsidRDefault="00D140F7" w:rsidP="009C63CA">
            <w:pPr>
              <w:pStyle w:val="TableText"/>
              <w:rPr>
                <w:rFonts w:cs="Calibri"/>
                <w:szCs w:val="16"/>
              </w:rPr>
            </w:pPr>
            <w:r w:rsidRPr="00261B7A">
              <w:rPr>
                <w:rFonts w:eastAsia="Calibri" w:cs="Calibri"/>
                <w:szCs w:val="16"/>
              </w:rPr>
              <w:t>Explain in more detail how the country specific N</w:t>
            </w:r>
            <w:r w:rsidRPr="00261B7A">
              <w:rPr>
                <w:rFonts w:eastAsia="Calibri" w:cs="Calibri"/>
                <w:szCs w:val="16"/>
                <w:vertAlign w:val="subscript"/>
              </w:rPr>
              <w:t>2</w:t>
            </w:r>
            <w:r w:rsidRPr="00261B7A">
              <w:rPr>
                <w:rFonts w:eastAsia="Calibri" w:cs="Calibri"/>
                <w:szCs w:val="16"/>
              </w:rPr>
              <w:t>O EFs for organic fertilizers (urine and dung) were obtained, summarize to what extent the studies conducted can be deemed comprehensive and describe how the Agricultural Inventory Advisory Panel endorsed their application to the inventory.</w:t>
            </w:r>
          </w:p>
        </w:tc>
        <w:tc>
          <w:tcPr>
            <w:tcW w:w="2892" w:type="dxa"/>
            <w:shd w:val="clear" w:color="auto" w:fill="FFFFFF" w:themeFill="background1"/>
          </w:tcPr>
          <w:p w14:paraId="297C439C" w14:textId="77777777" w:rsidR="00D140F7" w:rsidRPr="00261B7A" w:rsidRDefault="00D140F7" w:rsidP="009C63CA">
            <w:pPr>
              <w:pStyle w:val="TableText"/>
              <w:rPr>
                <w:rFonts w:cs="Calibri"/>
                <w:szCs w:val="16"/>
              </w:rPr>
            </w:pPr>
            <w:r w:rsidRPr="00261B7A">
              <w:rPr>
                <w:rFonts w:eastAsia="Calibri" w:cs="Calibri"/>
                <w:b/>
                <w:bCs/>
                <w:szCs w:val="16"/>
              </w:rPr>
              <w:t>Resolved.</w:t>
            </w:r>
            <w:r w:rsidRPr="00261B7A">
              <w:rPr>
                <w:rFonts w:eastAsia="Calibri" w:cs="Calibri"/>
                <w:szCs w:val="16"/>
              </w:rPr>
              <w:t xml:space="preserve"> More detailed information on the EF for dairy cattle manure (organic fertiliser) is included in chapter 5, section 5.5.2 (under </w:t>
            </w:r>
            <w:r w:rsidRPr="00261B7A">
              <w:rPr>
                <w:rFonts w:cs="Calibri"/>
                <w:szCs w:val="16"/>
              </w:rPr>
              <w:t>Direct nitrous oxide emissions from managed soils</w:t>
            </w:r>
            <w:r w:rsidRPr="00261B7A">
              <w:rPr>
                <w:rFonts w:eastAsia="Calibri" w:cs="Calibri"/>
                <w:szCs w:val="16"/>
              </w:rPr>
              <w:t xml:space="preserve"> – Organic nitrogen fertilisers).</w:t>
            </w:r>
          </w:p>
        </w:tc>
      </w:tr>
      <w:tr w:rsidR="00D140F7" w:rsidRPr="00261B7A" w14:paraId="503659CE" w14:textId="77777777" w:rsidTr="009C63CA">
        <w:tc>
          <w:tcPr>
            <w:tcW w:w="1896" w:type="dxa"/>
            <w:shd w:val="clear" w:color="auto" w:fill="FFFFFF" w:themeFill="background1"/>
          </w:tcPr>
          <w:p w14:paraId="23749135" w14:textId="77777777" w:rsidR="00D140F7" w:rsidRPr="00261B7A" w:rsidRDefault="00D140F7" w:rsidP="00D137B5">
            <w:pPr>
              <w:pStyle w:val="TableText"/>
              <w:spacing w:after="40"/>
              <w:rPr>
                <w:rFonts w:eastAsia="Calibri" w:cs="Calibri"/>
                <w:szCs w:val="16"/>
              </w:rPr>
            </w:pPr>
            <w:r w:rsidRPr="00261B7A">
              <w:rPr>
                <w:rFonts w:eastAsia="Calibri" w:cs="Calibri"/>
                <w:szCs w:val="16"/>
              </w:rPr>
              <w:t>Agriculture – 3.D.b Indirect N</w:t>
            </w:r>
            <w:r w:rsidRPr="00261B7A">
              <w:rPr>
                <w:rFonts w:eastAsia="Calibri" w:cs="Calibri"/>
                <w:szCs w:val="16"/>
                <w:vertAlign w:val="subscript"/>
              </w:rPr>
              <w:t>2</w:t>
            </w:r>
            <w:r w:rsidRPr="00261B7A">
              <w:rPr>
                <w:rFonts w:eastAsia="Calibri" w:cs="Calibri"/>
                <w:szCs w:val="16"/>
              </w:rPr>
              <w:t>O emissions from managed soils – N</w:t>
            </w:r>
            <w:r w:rsidRPr="00261B7A">
              <w:rPr>
                <w:rFonts w:eastAsia="Calibri" w:cs="Calibri"/>
                <w:szCs w:val="16"/>
                <w:vertAlign w:val="subscript"/>
              </w:rPr>
              <w:t>2</w:t>
            </w:r>
            <w:r w:rsidRPr="00261B7A">
              <w:rPr>
                <w:rFonts w:eastAsia="Calibri" w:cs="Calibri"/>
                <w:szCs w:val="16"/>
              </w:rPr>
              <w:t>O</w:t>
            </w:r>
          </w:p>
          <w:p w14:paraId="49F3540D" w14:textId="77777777" w:rsidR="00D140F7" w:rsidRPr="00261B7A" w:rsidRDefault="00D140F7" w:rsidP="009C63CA">
            <w:pPr>
              <w:pStyle w:val="TableText"/>
              <w:rPr>
                <w:rFonts w:cs="Calibri"/>
                <w:szCs w:val="16"/>
              </w:rPr>
            </w:pPr>
            <w:r w:rsidRPr="00261B7A">
              <w:rPr>
                <w:rFonts w:cs="Calibri"/>
                <w:szCs w:val="16"/>
                <w:lang w:eastAsia="en-US"/>
              </w:rPr>
              <w:t>(A.19,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16EC6099" w14:textId="77777777" w:rsidR="00D140F7" w:rsidRPr="00261B7A" w:rsidRDefault="00D140F7" w:rsidP="009C63CA">
            <w:pPr>
              <w:pStyle w:val="TableText"/>
              <w:rPr>
                <w:rFonts w:cs="Calibri"/>
                <w:szCs w:val="16"/>
              </w:rPr>
            </w:pPr>
            <w:r w:rsidRPr="00261B7A">
              <w:rPr>
                <w:rFonts w:eastAsia="Calibri" w:cs="Calibri"/>
                <w:szCs w:val="16"/>
              </w:rPr>
              <w:t xml:space="preserve">A.15, 2021 </w:t>
            </w:r>
          </w:p>
        </w:tc>
        <w:tc>
          <w:tcPr>
            <w:tcW w:w="2722" w:type="dxa"/>
            <w:shd w:val="clear" w:color="auto" w:fill="FFFFFF" w:themeFill="background1"/>
          </w:tcPr>
          <w:p w14:paraId="05429A50" w14:textId="77777777" w:rsidR="00D140F7" w:rsidRPr="00261B7A" w:rsidRDefault="00D140F7" w:rsidP="009C63CA">
            <w:pPr>
              <w:pStyle w:val="TableText"/>
              <w:rPr>
                <w:rFonts w:cs="Calibri"/>
                <w:szCs w:val="16"/>
              </w:rPr>
            </w:pPr>
            <w:r w:rsidRPr="00261B7A">
              <w:rPr>
                <w:rFonts w:eastAsia="Calibri" w:cs="Calibri"/>
                <w:szCs w:val="16"/>
              </w:rPr>
              <w:t xml:space="preserve">Revise the description in the NIR of the country-specific values for </w:t>
            </w:r>
            <w:r w:rsidRPr="00261B7A">
              <w:rPr>
                <w:rFonts w:cs="Calibri"/>
                <w:szCs w:val="16"/>
              </w:rPr>
              <w:t>Frac</w:t>
            </w:r>
            <w:r w:rsidRPr="00261B7A">
              <w:rPr>
                <w:rFonts w:cs="Calibri"/>
                <w:szCs w:val="16"/>
                <w:vertAlign w:val="subscript"/>
              </w:rPr>
              <w:t>LEACH</w:t>
            </w:r>
            <w:r w:rsidRPr="00261B7A">
              <w:rPr>
                <w:rFonts w:eastAsia="Calibri" w:cs="Calibri"/>
                <w:szCs w:val="16"/>
              </w:rPr>
              <w:t xml:space="preserve"> and for the fraction of applied organic N fertilizer materials and of urine and dung N deposited by grazing animals that volatilizes as ammonia and nitrogen oxides in kg N volatilized.</w:t>
            </w:r>
          </w:p>
        </w:tc>
        <w:tc>
          <w:tcPr>
            <w:tcW w:w="2892" w:type="dxa"/>
            <w:shd w:val="clear" w:color="auto" w:fill="FFFFFF" w:themeFill="background1"/>
          </w:tcPr>
          <w:p w14:paraId="6726A289" w14:textId="77777777" w:rsidR="00D140F7" w:rsidRPr="00261B7A" w:rsidRDefault="00D140F7" w:rsidP="009C63CA">
            <w:pPr>
              <w:pStyle w:val="TableText"/>
              <w:rPr>
                <w:rFonts w:eastAsia="Calibri" w:cs="Calibri"/>
                <w:szCs w:val="16"/>
              </w:rPr>
            </w:pPr>
            <w:r w:rsidRPr="00261B7A">
              <w:rPr>
                <w:rFonts w:eastAsia="Calibri" w:cs="Calibri"/>
                <w:b/>
                <w:bCs/>
                <w:szCs w:val="16"/>
              </w:rPr>
              <w:t>Addressing.</w:t>
            </w:r>
            <w:r w:rsidRPr="00261B7A">
              <w:rPr>
                <w:rFonts w:eastAsia="Calibri" w:cs="Calibri"/>
                <w:szCs w:val="16"/>
              </w:rPr>
              <w:t xml:space="preserve"> Information on the country-specific </w:t>
            </w:r>
            <w:r w:rsidRPr="00261B7A">
              <w:rPr>
                <w:rFonts w:cs="Calibri"/>
                <w:szCs w:val="16"/>
              </w:rPr>
              <w:t>Frac</w:t>
            </w:r>
            <w:r w:rsidRPr="00261B7A">
              <w:rPr>
                <w:rFonts w:cs="Calibri"/>
                <w:szCs w:val="16"/>
                <w:vertAlign w:val="subscript"/>
              </w:rPr>
              <w:t>LEACH</w:t>
            </w:r>
            <w:r w:rsidRPr="00261B7A">
              <w:rPr>
                <w:rFonts w:eastAsia="Calibri" w:cs="Calibri"/>
                <w:szCs w:val="16"/>
              </w:rPr>
              <w:t xml:space="preserve"> parameter used in the inventory is included in chapter 5, section 5.5.2 (under </w:t>
            </w:r>
            <w:r w:rsidRPr="00261B7A">
              <w:rPr>
                <w:rFonts w:cs="Calibri"/>
                <w:szCs w:val="16"/>
              </w:rPr>
              <w:t>Indirect nitrous oxide emissions from managed soils</w:t>
            </w:r>
            <w:r w:rsidRPr="00261B7A">
              <w:rPr>
                <w:rFonts w:eastAsia="Calibri" w:cs="Calibri"/>
                <w:szCs w:val="16"/>
              </w:rPr>
              <w:t xml:space="preserve"> – Leaching and runoff (CRF 3.D.2.2)). Recent research has also led to an update to the country-specific </w:t>
            </w:r>
            <w:r w:rsidRPr="00261B7A">
              <w:rPr>
                <w:rFonts w:cs="Calibri"/>
                <w:szCs w:val="16"/>
              </w:rPr>
              <w:t>Frac</w:t>
            </w:r>
            <w:r w:rsidRPr="00261B7A">
              <w:rPr>
                <w:rFonts w:cs="Calibri"/>
                <w:szCs w:val="16"/>
                <w:vertAlign w:val="subscript"/>
              </w:rPr>
              <w:t>LEACH</w:t>
            </w:r>
            <w:r w:rsidRPr="00261B7A">
              <w:rPr>
                <w:rFonts w:eastAsia="Calibri" w:cs="Calibri"/>
                <w:szCs w:val="16"/>
              </w:rPr>
              <w:t xml:space="preserve"> parameter. For more detail, see chapter 5, section 5.5.5. </w:t>
            </w:r>
          </w:p>
        </w:tc>
      </w:tr>
      <w:tr w:rsidR="00D140F7" w:rsidRPr="00261B7A" w14:paraId="0C5DE799" w14:textId="77777777" w:rsidTr="009C63CA">
        <w:tc>
          <w:tcPr>
            <w:tcW w:w="1896" w:type="dxa"/>
            <w:shd w:val="clear" w:color="auto" w:fill="FFFFFF" w:themeFill="background1"/>
          </w:tcPr>
          <w:p w14:paraId="34F88EB4" w14:textId="3E876675" w:rsidR="00D137B5" w:rsidRDefault="00D140F7" w:rsidP="009C63CA">
            <w:pPr>
              <w:pStyle w:val="TableText"/>
              <w:spacing w:before="40" w:after="40"/>
              <w:rPr>
                <w:rFonts w:cs="Calibri"/>
                <w:szCs w:val="16"/>
                <w:lang w:eastAsia="en-US"/>
              </w:rPr>
            </w:pPr>
            <w:r w:rsidRPr="00261B7A">
              <w:rPr>
                <w:rFonts w:cs="Calibri"/>
                <w:szCs w:val="16"/>
              </w:rPr>
              <w:t>LULUCF – 4. General – CO</w:t>
            </w:r>
            <w:r w:rsidRPr="00261B7A">
              <w:rPr>
                <w:rFonts w:cs="Calibri"/>
                <w:szCs w:val="16"/>
                <w:vertAlign w:val="subscript"/>
              </w:rPr>
              <w:t>2</w:t>
            </w:r>
            <w:r w:rsidRPr="00261B7A">
              <w:rPr>
                <w:rFonts w:cs="Calibri"/>
                <w:szCs w:val="16"/>
              </w:rPr>
              <w:t xml:space="preserve"> and N</w:t>
            </w:r>
            <w:r w:rsidRPr="00261B7A">
              <w:rPr>
                <w:rFonts w:cs="Calibri"/>
                <w:szCs w:val="16"/>
                <w:vertAlign w:val="subscript"/>
              </w:rPr>
              <w:t>2</w:t>
            </w:r>
            <w:r w:rsidRPr="00261B7A">
              <w:rPr>
                <w:rFonts w:cs="Calibri"/>
                <w:szCs w:val="16"/>
              </w:rPr>
              <w:t>O</w:t>
            </w:r>
          </w:p>
          <w:p w14:paraId="50200D3A" w14:textId="4ABFA3B7" w:rsidR="00D140F7" w:rsidRPr="00261B7A" w:rsidRDefault="00D140F7" w:rsidP="009C63CA">
            <w:pPr>
              <w:pStyle w:val="TableText"/>
              <w:spacing w:before="40" w:after="40"/>
              <w:rPr>
                <w:rFonts w:cs="Calibri"/>
                <w:szCs w:val="16"/>
              </w:rPr>
            </w:pPr>
            <w:r w:rsidRPr="00261B7A">
              <w:rPr>
                <w:rFonts w:cs="Calibri"/>
                <w:szCs w:val="16"/>
                <w:lang w:eastAsia="en-US"/>
              </w:rPr>
              <w:t>(L.10,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78A8384B" w14:textId="77777777" w:rsidR="00D140F7" w:rsidRPr="00261B7A" w:rsidRDefault="00D140F7" w:rsidP="009C63CA">
            <w:pPr>
              <w:pStyle w:val="TableText"/>
              <w:spacing w:before="40" w:after="40"/>
              <w:rPr>
                <w:rFonts w:cs="Calibri"/>
                <w:szCs w:val="16"/>
              </w:rPr>
            </w:pPr>
            <w:r w:rsidRPr="00261B7A">
              <w:rPr>
                <w:rFonts w:eastAsia="Calibri" w:cs="Calibri"/>
                <w:szCs w:val="16"/>
              </w:rPr>
              <w:t>L.1, 2021</w:t>
            </w:r>
          </w:p>
        </w:tc>
        <w:tc>
          <w:tcPr>
            <w:tcW w:w="2722" w:type="dxa"/>
            <w:shd w:val="clear" w:color="auto" w:fill="FFFFFF" w:themeFill="background1"/>
          </w:tcPr>
          <w:p w14:paraId="6884875C" w14:textId="77777777" w:rsidR="00D140F7" w:rsidRPr="00261B7A" w:rsidRDefault="00D140F7" w:rsidP="009C63CA">
            <w:pPr>
              <w:pStyle w:val="TableText"/>
              <w:spacing w:before="40" w:after="40"/>
              <w:rPr>
                <w:rFonts w:cs="Calibri"/>
                <w:szCs w:val="16"/>
              </w:rPr>
            </w:pPr>
            <w:r w:rsidRPr="00261B7A">
              <w:rPr>
                <w:rFonts w:cs="Calibri"/>
                <w:szCs w:val="16"/>
              </w:rPr>
              <w:t xml:space="preserve">Either provide evidence that the estimated SOC changes do not result in systematic over- or underestimations, given that land-use changes occur randomly across the entire SOC variability of a land-use category or subcategory, or replace the current method with one consistent with good practice as defined by the 2006 IPCC Guidelines (vol. 4, chap. 2.3.3.1). </w:t>
            </w:r>
          </w:p>
        </w:tc>
        <w:tc>
          <w:tcPr>
            <w:tcW w:w="2892" w:type="dxa"/>
            <w:shd w:val="clear" w:color="auto" w:fill="FFFFFF" w:themeFill="background1"/>
          </w:tcPr>
          <w:p w14:paraId="3F49C6D6" w14:textId="77777777" w:rsidR="00D140F7" w:rsidRPr="00261B7A" w:rsidRDefault="00D140F7" w:rsidP="009C63CA">
            <w:pPr>
              <w:pStyle w:val="TableText"/>
              <w:spacing w:before="40" w:after="40"/>
              <w:rPr>
                <w:rFonts w:cs="Calibri"/>
                <w:szCs w:val="16"/>
              </w:rPr>
            </w:pPr>
            <w:r w:rsidRPr="00261B7A">
              <w:rPr>
                <w:rFonts w:cs="Calibri"/>
                <w:b/>
                <w:bCs/>
                <w:szCs w:val="16"/>
              </w:rPr>
              <w:t xml:space="preserve">Addressing. </w:t>
            </w:r>
            <w:r w:rsidRPr="00261B7A">
              <w:rPr>
                <w:rFonts w:cs="Calibri"/>
                <w:szCs w:val="16"/>
              </w:rPr>
              <w:t>New Zealand has recently assigned a multi-year budget to conduct work on improving mineral soil estimates. Due to the nature of the research required, however, results will not be available for reporting purposes for several years yet.</w:t>
            </w:r>
          </w:p>
        </w:tc>
      </w:tr>
      <w:tr w:rsidR="00D140F7" w:rsidRPr="00261B7A" w14:paraId="5700AF73" w14:textId="77777777" w:rsidTr="009C63CA">
        <w:tc>
          <w:tcPr>
            <w:tcW w:w="1896" w:type="dxa"/>
            <w:shd w:val="clear" w:color="auto" w:fill="FFFFFF" w:themeFill="background1"/>
          </w:tcPr>
          <w:p w14:paraId="098A829F" w14:textId="77777777" w:rsidR="00D140F7" w:rsidRPr="00261B7A" w:rsidRDefault="00D140F7" w:rsidP="009C63CA">
            <w:pPr>
              <w:pStyle w:val="TableText"/>
              <w:spacing w:before="40" w:after="40"/>
              <w:rPr>
                <w:rFonts w:cs="Calibri"/>
                <w:szCs w:val="16"/>
              </w:rPr>
            </w:pPr>
            <w:r w:rsidRPr="00261B7A">
              <w:rPr>
                <w:rFonts w:cs="Calibri"/>
                <w:szCs w:val="16"/>
              </w:rPr>
              <w:t>LULUCF – 4. General – CO</w:t>
            </w:r>
            <w:r w:rsidRPr="00261B7A">
              <w:rPr>
                <w:rFonts w:cs="Calibri"/>
                <w:szCs w:val="16"/>
                <w:vertAlign w:val="subscript"/>
              </w:rPr>
              <w:t>2</w:t>
            </w:r>
            <w:r w:rsidRPr="00261B7A">
              <w:rPr>
                <w:rFonts w:cs="Calibri"/>
                <w:szCs w:val="16"/>
                <w:lang w:eastAsia="en-US"/>
              </w:rPr>
              <w:br/>
              <w:t>(L.11, 2019)</w:t>
            </w:r>
            <w:r w:rsidRPr="00261B7A">
              <w:rPr>
                <w:rFonts w:cs="Calibri"/>
                <w:szCs w:val="16"/>
                <w:lang w:eastAsia="en-US"/>
              </w:rPr>
              <w:br/>
            </w:r>
            <w:r w:rsidRPr="00261B7A">
              <w:rPr>
                <w:rFonts w:cs="Calibri"/>
                <w:szCs w:val="16"/>
              </w:rPr>
              <w:t>Convention reporting adherence</w:t>
            </w:r>
          </w:p>
        </w:tc>
        <w:tc>
          <w:tcPr>
            <w:tcW w:w="919" w:type="dxa"/>
            <w:shd w:val="clear" w:color="auto" w:fill="FFFFFF" w:themeFill="background1"/>
          </w:tcPr>
          <w:p w14:paraId="21C1BD6B" w14:textId="77777777" w:rsidR="00D140F7" w:rsidRPr="00261B7A" w:rsidRDefault="00D140F7" w:rsidP="009C63CA">
            <w:pPr>
              <w:pStyle w:val="TableText"/>
              <w:spacing w:before="40" w:after="40"/>
              <w:rPr>
                <w:rFonts w:cs="Calibri"/>
                <w:szCs w:val="16"/>
              </w:rPr>
            </w:pPr>
            <w:r w:rsidRPr="00261B7A">
              <w:rPr>
                <w:rFonts w:eastAsia="Calibri" w:cs="Calibri"/>
                <w:szCs w:val="16"/>
              </w:rPr>
              <w:t>L.2, 2021</w:t>
            </w:r>
          </w:p>
        </w:tc>
        <w:tc>
          <w:tcPr>
            <w:tcW w:w="2722" w:type="dxa"/>
            <w:shd w:val="clear" w:color="auto" w:fill="FFFFFF" w:themeFill="background1"/>
          </w:tcPr>
          <w:p w14:paraId="208C796E" w14:textId="77777777" w:rsidR="00D140F7" w:rsidRPr="00261B7A" w:rsidRDefault="00D140F7" w:rsidP="009C63CA">
            <w:pPr>
              <w:pStyle w:val="TableText"/>
              <w:spacing w:before="40" w:after="40"/>
              <w:rPr>
                <w:rFonts w:cs="Calibri"/>
                <w:szCs w:val="16"/>
              </w:rPr>
            </w:pPr>
            <w:r w:rsidRPr="00261B7A">
              <w:rPr>
                <w:rFonts w:cs="Calibri"/>
                <w:szCs w:val="16"/>
              </w:rPr>
              <w:t>Provide a comparison across the available time series of data of roundwood statistics reported by MPI and the quantities estimated by the LUCAS model based on the harvested area as allocated to age classes and provide justification for any discrepancies.</w:t>
            </w:r>
          </w:p>
        </w:tc>
        <w:tc>
          <w:tcPr>
            <w:tcW w:w="2892" w:type="dxa"/>
            <w:shd w:val="clear" w:color="auto" w:fill="FFFFFF" w:themeFill="background1"/>
          </w:tcPr>
          <w:p w14:paraId="481B3658"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An additional section was added in annex 3 to the 2021 NIR (under A3.2.5) describing forest land model validations and, specifically, the differences between LUCAS model harvest losses and the roundwood statistics reported by the Ministry for Primary Industries.</w:t>
            </w:r>
          </w:p>
        </w:tc>
      </w:tr>
      <w:tr w:rsidR="00D140F7" w:rsidRPr="00261B7A" w14:paraId="5AA3FC19" w14:textId="77777777" w:rsidTr="009C63CA">
        <w:tc>
          <w:tcPr>
            <w:tcW w:w="1896" w:type="dxa"/>
            <w:shd w:val="clear" w:color="auto" w:fill="FFFFFF" w:themeFill="background1"/>
          </w:tcPr>
          <w:p w14:paraId="5057B4AE" w14:textId="77777777" w:rsidR="00D140F7" w:rsidRPr="00261B7A" w:rsidRDefault="00D140F7" w:rsidP="009C63CA">
            <w:pPr>
              <w:pStyle w:val="TableText"/>
              <w:spacing w:before="40" w:after="40"/>
              <w:rPr>
                <w:rFonts w:cs="Calibri"/>
                <w:szCs w:val="16"/>
              </w:rPr>
            </w:pPr>
            <w:r w:rsidRPr="00261B7A">
              <w:rPr>
                <w:rFonts w:cs="Calibri"/>
                <w:szCs w:val="16"/>
              </w:rPr>
              <w:t>LULUCF – 4. General – CO</w:t>
            </w:r>
            <w:r w:rsidRPr="00261B7A">
              <w:rPr>
                <w:rFonts w:cs="Calibri"/>
                <w:szCs w:val="16"/>
                <w:vertAlign w:val="subscript"/>
              </w:rPr>
              <w:t>2</w:t>
            </w:r>
            <w:r w:rsidRPr="00261B7A">
              <w:rPr>
                <w:rFonts w:cs="Calibri"/>
                <w:szCs w:val="16"/>
                <w:lang w:eastAsia="en-US"/>
              </w:rPr>
              <w:br/>
              <w:t>(L.12, 2019)</w:t>
            </w:r>
            <w:r w:rsidRPr="00261B7A">
              <w:rPr>
                <w:rFonts w:cs="Calibri"/>
                <w:szCs w:val="16"/>
                <w:lang w:eastAsia="en-US"/>
              </w:rPr>
              <w:br/>
            </w:r>
            <w:r w:rsidRPr="00261B7A">
              <w:rPr>
                <w:rFonts w:cs="Calibri"/>
                <w:szCs w:val="16"/>
              </w:rPr>
              <w:t>Convention reporting adherence</w:t>
            </w:r>
          </w:p>
        </w:tc>
        <w:tc>
          <w:tcPr>
            <w:tcW w:w="919" w:type="dxa"/>
            <w:shd w:val="clear" w:color="auto" w:fill="FFFFFF" w:themeFill="background1"/>
          </w:tcPr>
          <w:p w14:paraId="4FBB5240" w14:textId="77777777" w:rsidR="00D140F7" w:rsidRPr="00261B7A" w:rsidRDefault="00D140F7" w:rsidP="009C63CA">
            <w:pPr>
              <w:pStyle w:val="TableText"/>
              <w:spacing w:before="40" w:after="40"/>
              <w:rPr>
                <w:rFonts w:cs="Calibri"/>
                <w:szCs w:val="16"/>
              </w:rPr>
            </w:pPr>
            <w:r w:rsidRPr="00261B7A">
              <w:rPr>
                <w:rFonts w:eastAsia="Calibri" w:cs="Calibri"/>
                <w:szCs w:val="16"/>
              </w:rPr>
              <w:t>L.3, 2021</w:t>
            </w:r>
          </w:p>
        </w:tc>
        <w:tc>
          <w:tcPr>
            <w:tcW w:w="2722" w:type="dxa"/>
            <w:shd w:val="clear" w:color="auto" w:fill="FFFFFF" w:themeFill="background1"/>
          </w:tcPr>
          <w:p w14:paraId="604F2F53" w14:textId="77777777" w:rsidR="00D140F7" w:rsidRPr="00261B7A" w:rsidRDefault="00D140F7" w:rsidP="009C63CA">
            <w:pPr>
              <w:pStyle w:val="TableText"/>
              <w:spacing w:before="40" w:after="40"/>
              <w:rPr>
                <w:rFonts w:cs="Calibri"/>
                <w:szCs w:val="16"/>
              </w:rPr>
            </w:pPr>
            <w:r w:rsidRPr="00261B7A">
              <w:rPr>
                <w:rFonts w:cs="Calibri"/>
                <w:szCs w:val="16"/>
              </w:rPr>
              <w:t>Replace “IE” with estimates of biomass carbon stock losses only in the year in which an area conversion occurs, and with “NO” in any year in which conversion of additional areas does not occur, in CRF tables 4.A and 4.B.</w:t>
            </w:r>
          </w:p>
        </w:tc>
        <w:tc>
          <w:tcPr>
            <w:tcW w:w="2892" w:type="dxa"/>
            <w:shd w:val="clear" w:color="auto" w:fill="FFFFFF" w:themeFill="background1"/>
          </w:tcPr>
          <w:p w14:paraId="58D76755"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Where this conversion has not occurred during the time series, for example, for conversions from </w:t>
            </w:r>
            <w:r w:rsidRPr="00261B7A">
              <w:rPr>
                <w:rFonts w:cs="Calibri"/>
                <w:i/>
                <w:iCs/>
                <w:szCs w:val="16"/>
              </w:rPr>
              <w:t>p</w:t>
            </w:r>
            <w:r w:rsidRPr="00261B7A">
              <w:rPr>
                <w:rFonts w:cs="Calibri"/>
                <w:i/>
                <w:szCs w:val="16"/>
              </w:rPr>
              <w:t>ost-1989 forest</w:t>
            </w:r>
            <w:r w:rsidRPr="00261B7A">
              <w:rPr>
                <w:rFonts w:cs="Calibri"/>
                <w:szCs w:val="16"/>
              </w:rPr>
              <w:t xml:space="preserve"> to </w:t>
            </w:r>
            <w:r w:rsidRPr="00261B7A">
              <w:rPr>
                <w:rFonts w:cs="Calibri"/>
                <w:i/>
                <w:szCs w:val="16"/>
              </w:rPr>
              <w:t>Cropland</w:t>
            </w:r>
            <w:r w:rsidRPr="00261B7A">
              <w:rPr>
                <w:rFonts w:cs="Calibri"/>
                <w:szCs w:val="16"/>
              </w:rPr>
              <w:t>, the notation key ‘NO’ has been applied. Where the land-use conversion has previously occurred but there are years when conversions of additional areas do not occur, the notation key ‘NA’ has been applied. The ERT agreed with the use of ‘NA’ in these circumstances</w:t>
            </w:r>
          </w:p>
        </w:tc>
      </w:tr>
      <w:tr w:rsidR="00D140F7" w:rsidRPr="00261B7A" w14:paraId="658F125D" w14:textId="77777777" w:rsidTr="009C63CA">
        <w:tc>
          <w:tcPr>
            <w:tcW w:w="1896" w:type="dxa"/>
            <w:shd w:val="clear" w:color="auto" w:fill="FFFFFF" w:themeFill="background1"/>
          </w:tcPr>
          <w:p w14:paraId="600B2B37" w14:textId="77777777" w:rsidR="00D140F7" w:rsidRPr="00261B7A" w:rsidRDefault="00D140F7" w:rsidP="009C63CA">
            <w:pPr>
              <w:pStyle w:val="TableText"/>
              <w:spacing w:before="40" w:after="40"/>
              <w:rPr>
                <w:rFonts w:cs="Calibri"/>
                <w:szCs w:val="16"/>
              </w:rPr>
            </w:pPr>
            <w:r w:rsidRPr="00261B7A">
              <w:rPr>
                <w:rFonts w:cs="Calibri"/>
                <w:szCs w:val="16"/>
              </w:rPr>
              <w:t>LULUCF – 4. General – CO</w:t>
            </w:r>
            <w:r w:rsidRPr="00261B7A">
              <w:rPr>
                <w:rFonts w:cs="Calibri"/>
                <w:szCs w:val="16"/>
                <w:vertAlign w:val="subscript"/>
              </w:rPr>
              <w:t>2</w:t>
            </w:r>
            <w:r w:rsidRPr="00261B7A">
              <w:rPr>
                <w:rFonts w:cs="Calibri"/>
                <w:szCs w:val="16"/>
                <w:lang w:eastAsia="en-US"/>
              </w:rPr>
              <w:br/>
              <w:t>(L.13,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2785B88B" w14:textId="77777777" w:rsidR="00D140F7" w:rsidRPr="00261B7A" w:rsidRDefault="00D140F7" w:rsidP="009C63CA">
            <w:pPr>
              <w:pStyle w:val="TableText"/>
              <w:spacing w:before="40" w:after="40"/>
              <w:rPr>
                <w:rFonts w:cs="Calibri"/>
                <w:szCs w:val="16"/>
              </w:rPr>
            </w:pPr>
            <w:r w:rsidRPr="00261B7A">
              <w:rPr>
                <w:rFonts w:eastAsia="Calibri" w:cs="Calibri"/>
                <w:szCs w:val="16"/>
              </w:rPr>
              <w:t>L.4, 2021</w:t>
            </w:r>
          </w:p>
        </w:tc>
        <w:tc>
          <w:tcPr>
            <w:tcW w:w="2722" w:type="dxa"/>
            <w:shd w:val="clear" w:color="auto" w:fill="FFFFFF" w:themeFill="background1"/>
          </w:tcPr>
          <w:p w14:paraId="500584FC" w14:textId="77777777" w:rsidR="00D140F7" w:rsidRPr="00261B7A" w:rsidRDefault="00D140F7" w:rsidP="009C63CA">
            <w:pPr>
              <w:pStyle w:val="TableText"/>
              <w:spacing w:before="40" w:after="40"/>
              <w:rPr>
                <w:rFonts w:cs="Calibri"/>
                <w:szCs w:val="16"/>
              </w:rPr>
            </w:pPr>
            <w:r w:rsidRPr="00261B7A">
              <w:rPr>
                <w:rFonts w:cs="Calibri"/>
                <w:szCs w:val="16"/>
              </w:rPr>
              <w:t>Report updated information regarding the country-specific wood carbon content value used in the harvested wood products model in the NIR.</w:t>
            </w:r>
          </w:p>
        </w:tc>
        <w:tc>
          <w:tcPr>
            <w:tcW w:w="2892" w:type="dxa"/>
            <w:shd w:val="clear" w:color="auto" w:fill="FFFFFF" w:themeFill="background1"/>
          </w:tcPr>
          <w:p w14:paraId="7ECBA53D"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The default wood carbon content value of 50 per cent, from table 12.4 of the 2006 IPCC Guidelines (IPCC, 2006b), is used in the harvested wood products model. This value is consistent with the planted forest model that uses a country-specific value of 50 per cent.</w:t>
            </w:r>
          </w:p>
        </w:tc>
      </w:tr>
      <w:tr w:rsidR="00D140F7" w:rsidRPr="00261B7A" w14:paraId="4F5F6B37" w14:textId="77777777" w:rsidTr="009C63CA">
        <w:tc>
          <w:tcPr>
            <w:tcW w:w="1896" w:type="dxa"/>
            <w:shd w:val="clear" w:color="auto" w:fill="FFFFFF" w:themeFill="background1"/>
          </w:tcPr>
          <w:p w14:paraId="3CC067B5" w14:textId="77777777" w:rsidR="00D140F7" w:rsidRPr="00261B7A" w:rsidRDefault="00D140F7" w:rsidP="009C63CA">
            <w:pPr>
              <w:pStyle w:val="TableText"/>
              <w:spacing w:before="40" w:after="40"/>
              <w:rPr>
                <w:rFonts w:eastAsia="Calibri" w:cs="Calibri"/>
                <w:szCs w:val="16"/>
              </w:rPr>
            </w:pPr>
            <w:r w:rsidRPr="00261B7A">
              <w:rPr>
                <w:rFonts w:cs="Calibri"/>
                <w:szCs w:val="16"/>
              </w:rPr>
              <w:t xml:space="preserve">LULUCF – Land representation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t>, CH</w:t>
            </w:r>
            <w:r w:rsidRPr="00261B7A">
              <w:rPr>
                <w:rFonts w:cs="Calibri"/>
                <w:szCs w:val="16"/>
                <w:vertAlign w:val="subscript"/>
                <w:lang w:eastAsia="en-US"/>
              </w:rPr>
              <w:t>4</w:t>
            </w:r>
            <w:r w:rsidRPr="00261B7A">
              <w:rPr>
                <w:rFonts w:cs="Calibri"/>
                <w:szCs w:val="16"/>
                <w:lang w:eastAsia="en-US"/>
              </w:rPr>
              <w:t xml:space="preserve"> and N</w:t>
            </w:r>
            <w:r w:rsidRPr="00261B7A">
              <w:rPr>
                <w:rFonts w:cs="Calibri"/>
                <w:szCs w:val="16"/>
                <w:vertAlign w:val="subscript"/>
                <w:lang w:eastAsia="en-US"/>
              </w:rPr>
              <w:t>2</w:t>
            </w:r>
            <w:r w:rsidRPr="00261B7A">
              <w:rPr>
                <w:rFonts w:cs="Calibri"/>
                <w:szCs w:val="16"/>
                <w:lang w:eastAsia="en-US"/>
              </w:rPr>
              <w:t>O</w:t>
            </w:r>
            <w:r w:rsidRPr="00261B7A">
              <w:rPr>
                <w:rFonts w:cs="Calibri"/>
                <w:szCs w:val="16"/>
                <w:lang w:eastAsia="en-US"/>
              </w:rPr>
              <w:br/>
              <w:t>(L.14,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3C575023"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L.5, 2021</w:t>
            </w:r>
          </w:p>
        </w:tc>
        <w:tc>
          <w:tcPr>
            <w:tcW w:w="2722" w:type="dxa"/>
            <w:shd w:val="clear" w:color="auto" w:fill="FFFFFF" w:themeFill="background1"/>
          </w:tcPr>
          <w:p w14:paraId="7CAA3031" w14:textId="77777777" w:rsidR="00D140F7" w:rsidRPr="00261B7A" w:rsidRDefault="00D140F7" w:rsidP="009C63CA">
            <w:pPr>
              <w:pStyle w:val="TableText"/>
              <w:spacing w:before="40" w:after="40"/>
              <w:rPr>
                <w:rFonts w:eastAsia="Calibri" w:cs="Calibri"/>
                <w:szCs w:val="16"/>
              </w:rPr>
            </w:pPr>
            <w:r w:rsidRPr="00261B7A">
              <w:rPr>
                <w:rFonts w:cs="Calibri"/>
                <w:szCs w:val="16"/>
              </w:rPr>
              <w:t>Either report information that demonstrates that the biomass carbon pool of radiata pine plantations achieves its steady state at 28 years or, if not at 28 years but at over 20 years, provide information that demonstrates that this longer period is needed to achieve equilibrium of carbon stocks. Otherwise, apply the IPCC default conversion period of 20 years and explain the recalculations in the NIR.</w:t>
            </w:r>
          </w:p>
        </w:tc>
        <w:tc>
          <w:tcPr>
            <w:tcW w:w="2892" w:type="dxa"/>
            <w:shd w:val="clear" w:color="auto" w:fill="FFFFFF" w:themeFill="background1"/>
          </w:tcPr>
          <w:p w14:paraId="2807D411" w14:textId="77777777" w:rsidR="00D140F7" w:rsidRPr="00261B7A" w:rsidRDefault="00D140F7" w:rsidP="009C63CA">
            <w:pPr>
              <w:pStyle w:val="TableText"/>
              <w:spacing w:before="40" w:after="40"/>
              <w:rPr>
                <w:rFonts w:eastAsia="Calibri" w:cs="Calibri"/>
                <w:b/>
                <w:szCs w:val="16"/>
              </w:rPr>
            </w:pPr>
            <w:r w:rsidRPr="00261B7A">
              <w:rPr>
                <w:rFonts w:cs="Calibri"/>
                <w:b/>
                <w:bCs/>
                <w:szCs w:val="16"/>
              </w:rPr>
              <w:t xml:space="preserve">Resolved. </w:t>
            </w:r>
            <w:r w:rsidRPr="00261B7A">
              <w:rPr>
                <w:rFonts w:cs="Calibri"/>
                <w:szCs w:val="16"/>
              </w:rPr>
              <w:t xml:space="preserve">The default transition period of 20 years has been applied since the 2021 submission. The impact of this change in emissions between the </w:t>
            </w:r>
            <w:r w:rsidRPr="00261B7A">
              <w:rPr>
                <w:rFonts w:cs="Calibri"/>
                <w:i/>
                <w:iCs/>
                <w:szCs w:val="16"/>
              </w:rPr>
              <w:t>Forest land remaining forest land</w:t>
            </w:r>
            <w:r w:rsidRPr="00261B7A">
              <w:rPr>
                <w:rFonts w:cs="Calibri"/>
                <w:szCs w:val="16"/>
              </w:rPr>
              <w:t xml:space="preserve"> category and </w:t>
            </w:r>
            <w:r w:rsidRPr="00261B7A">
              <w:rPr>
                <w:rFonts w:cs="Calibri"/>
                <w:i/>
                <w:iCs/>
                <w:szCs w:val="16"/>
              </w:rPr>
              <w:t>Land converted to forest land</w:t>
            </w:r>
            <w:r w:rsidRPr="00261B7A">
              <w:rPr>
                <w:rFonts w:cs="Calibri"/>
                <w:szCs w:val="16"/>
              </w:rPr>
              <w:t xml:space="preserve"> category was described in the 2021 submission.</w:t>
            </w:r>
          </w:p>
        </w:tc>
      </w:tr>
      <w:tr w:rsidR="00D140F7" w:rsidRPr="00261B7A" w14:paraId="03A83937" w14:textId="77777777" w:rsidTr="009C63CA">
        <w:tc>
          <w:tcPr>
            <w:tcW w:w="1896" w:type="dxa"/>
            <w:shd w:val="clear" w:color="auto" w:fill="FFFFFF" w:themeFill="background1"/>
          </w:tcPr>
          <w:p w14:paraId="1AA0EB0F" w14:textId="77777777" w:rsidR="00D140F7" w:rsidRPr="00261B7A" w:rsidRDefault="00D140F7" w:rsidP="009C63CA">
            <w:pPr>
              <w:pStyle w:val="TableText"/>
              <w:spacing w:before="40" w:after="40"/>
              <w:rPr>
                <w:rFonts w:eastAsia="Calibri" w:cs="Calibri"/>
                <w:szCs w:val="16"/>
              </w:rPr>
            </w:pPr>
            <w:r w:rsidRPr="00261B7A">
              <w:rPr>
                <w:rFonts w:cs="Calibri"/>
                <w:szCs w:val="16"/>
              </w:rPr>
              <w:t xml:space="preserve">LULUCF – Land representation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t>, CH</w:t>
            </w:r>
            <w:r w:rsidRPr="00261B7A">
              <w:rPr>
                <w:rFonts w:cs="Calibri"/>
                <w:szCs w:val="16"/>
                <w:vertAlign w:val="subscript"/>
                <w:lang w:eastAsia="en-US"/>
              </w:rPr>
              <w:t>4</w:t>
            </w:r>
            <w:r w:rsidRPr="00261B7A">
              <w:rPr>
                <w:rFonts w:cs="Calibri"/>
                <w:szCs w:val="16"/>
                <w:lang w:eastAsia="en-US"/>
              </w:rPr>
              <w:t xml:space="preserve"> and N</w:t>
            </w:r>
            <w:r w:rsidRPr="00261B7A">
              <w:rPr>
                <w:rFonts w:cs="Calibri"/>
                <w:szCs w:val="16"/>
                <w:vertAlign w:val="subscript"/>
                <w:lang w:eastAsia="en-US"/>
              </w:rPr>
              <w:t>2</w:t>
            </w:r>
            <w:r w:rsidRPr="00261B7A">
              <w:rPr>
                <w:rFonts w:cs="Calibri"/>
                <w:szCs w:val="16"/>
                <w:lang w:eastAsia="en-US"/>
              </w:rPr>
              <w:t>O</w:t>
            </w:r>
            <w:r w:rsidRPr="00261B7A">
              <w:rPr>
                <w:rFonts w:cs="Calibri"/>
                <w:szCs w:val="16"/>
                <w:lang w:eastAsia="en-US"/>
              </w:rPr>
              <w:br/>
              <w:t>(L.15, 2019)</w:t>
            </w:r>
            <w:r w:rsidRPr="00261B7A">
              <w:rPr>
                <w:rFonts w:cs="Calibri"/>
                <w:szCs w:val="16"/>
                <w:lang w:eastAsia="en-US"/>
              </w:rPr>
              <w:br/>
            </w:r>
            <w:r w:rsidRPr="00261B7A">
              <w:rPr>
                <w:rFonts w:cs="Calibri"/>
                <w:szCs w:val="16"/>
              </w:rPr>
              <w:t>Comparability</w:t>
            </w:r>
          </w:p>
        </w:tc>
        <w:tc>
          <w:tcPr>
            <w:tcW w:w="919" w:type="dxa"/>
            <w:shd w:val="clear" w:color="auto" w:fill="FFFFFF" w:themeFill="background1"/>
          </w:tcPr>
          <w:p w14:paraId="2A665C44"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L.6, 2021</w:t>
            </w:r>
          </w:p>
        </w:tc>
        <w:tc>
          <w:tcPr>
            <w:tcW w:w="2722" w:type="dxa"/>
            <w:shd w:val="clear" w:color="auto" w:fill="FFFFFF" w:themeFill="background1"/>
          </w:tcPr>
          <w:p w14:paraId="33EE70EC" w14:textId="77777777" w:rsidR="00D140F7" w:rsidRPr="00261B7A" w:rsidRDefault="00D140F7" w:rsidP="009C63CA">
            <w:pPr>
              <w:pStyle w:val="TableText"/>
              <w:spacing w:before="40" w:after="40"/>
              <w:rPr>
                <w:rFonts w:eastAsia="Calibri" w:cs="Calibri"/>
                <w:szCs w:val="16"/>
              </w:rPr>
            </w:pPr>
            <w:r w:rsidRPr="00261B7A">
              <w:rPr>
                <w:rFonts w:cs="Calibri"/>
                <w:szCs w:val="16"/>
              </w:rPr>
              <w:t>Compile CRF table 4.1 using annual area change data.</w:t>
            </w:r>
          </w:p>
        </w:tc>
        <w:tc>
          <w:tcPr>
            <w:tcW w:w="2892" w:type="dxa"/>
            <w:shd w:val="clear" w:color="auto" w:fill="FFFFFF" w:themeFill="background1"/>
          </w:tcPr>
          <w:p w14:paraId="5D6EEDDE" w14:textId="77777777" w:rsidR="00D140F7" w:rsidRPr="00261B7A" w:rsidRDefault="00D140F7" w:rsidP="009C63CA">
            <w:pPr>
              <w:pStyle w:val="TableText"/>
              <w:spacing w:before="40" w:after="40"/>
              <w:rPr>
                <w:rFonts w:eastAsia="Calibri" w:cs="Calibri"/>
                <w:b/>
                <w:szCs w:val="16"/>
              </w:rPr>
            </w:pPr>
            <w:r w:rsidRPr="00261B7A">
              <w:rPr>
                <w:rFonts w:cs="Calibri"/>
                <w:b/>
                <w:bCs/>
                <w:szCs w:val="16"/>
              </w:rPr>
              <w:t>Resolved.</w:t>
            </w:r>
            <w:r w:rsidRPr="00261B7A">
              <w:rPr>
                <w:rFonts w:cs="Calibri"/>
                <w:szCs w:val="16"/>
              </w:rPr>
              <w:t xml:space="preserve"> CRF table 4.1 has been compiled using annual area change data consistent with 2021 NIR annex 3, table A3.2.1.</w:t>
            </w:r>
          </w:p>
        </w:tc>
      </w:tr>
      <w:tr w:rsidR="00D140F7" w:rsidRPr="00261B7A" w14:paraId="3DFD2293" w14:textId="77777777" w:rsidTr="009C63CA">
        <w:tc>
          <w:tcPr>
            <w:tcW w:w="1896" w:type="dxa"/>
            <w:shd w:val="clear" w:color="auto" w:fill="FFFFFF" w:themeFill="background1"/>
          </w:tcPr>
          <w:p w14:paraId="67A7A51B" w14:textId="77777777" w:rsidR="00D140F7" w:rsidRPr="00261B7A" w:rsidRDefault="00D140F7" w:rsidP="009C63CA">
            <w:pPr>
              <w:pStyle w:val="TableText"/>
              <w:spacing w:before="40" w:after="40"/>
              <w:rPr>
                <w:rFonts w:eastAsia="Calibri" w:cs="Calibri"/>
                <w:szCs w:val="16"/>
              </w:rPr>
            </w:pPr>
            <w:r w:rsidRPr="00261B7A">
              <w:rPr>
                <w:rFonts w:cs="Calibri"/>
                <w:szCs w:val="16"/>
              </w:rPr>
              <w:t xml:space="preserve">LULUCF – Land representation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t>, CH</w:t>
            </w:r>
            <w:r w:rsidRPr="00261B7A">
              <w:rPr>
                <w:rFonts w:cs="Calibri"/>
                <w:szCs w:val="16"/>
                <w:vertAlign w:val="subscript"/>
                <w:lang w:eastAsia="en-US"/>
              </w:rPr>
              <w:t>4</w:t>
            </w:r>
            <w:r w:rsidRPr="00261B7A">
              <w:rPr>
                <w:rFonts w:cs="Calibri"/>
                <w:szCs w:val="16"/>
                <w:lang w:eastAsia="en-US"/>
              </w:rPr>
              <w:t xml:space="preserve"> and N</w:t>
            </w:r>
            <w:r w:rsidRPr="00261B7A">
              <w:rPr>
                <w:rFonts w:cs="Calibri"/>
                <w:szCs w:val="16"/>
                <w:vertAlign w:val="subscript"/>
                <w:lang w:eastAsia="en-US"/>
              </w:rPr>
              <w:t>2</w:t>
            </w:r>
            <w:r w:rsidRPr="00261B7A">
              <w:rPr>
                <w:rFonts w:cs="Calibri"/>
                <w:szCs w:val="16"/>
                <w:lang w:eastAsia="en-US"/>
              </w:rPr>
              <w:t>O</w:t>
            </w:r>
            <w:r w:rsidRPr="00261B7A">
              <w:rPr>
                <w:rFonts w:cs="Calibri"/>
                <w:szCs w:val="16"/>
                <w:lang w:eastAsia="en-US"/>
              </w:rPr>
              <w:br/>
              <w:t>(L.16,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2575EA81"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L7, 2021</w:t>
            </w:r>
          </w:p>
        </w:tc>
        <w:tc>
          <w:tcPr>
            <w:tcW w:w="2722" w:type="dxa"/>
            <w:shd w:val="clear" w:color="auto" w:fill="FFFFFF" w:themeFill="background1"/>
          </w:tcPr>
          <w:p w14:paraId="37B22DB5" w14:textId="77777777" w:rsidR="00D140F7" w:rsidRPr="00261B7A" w:rsidRDefault="00D140F7" w:rsidP="009C63CA">
            <w:pPr>
              <w:pStyle w:val="TableText"/>
              <w:spacing w:before="40" w:after="40"/>
              <w:rPr>
                <w:rFonts w:eastAsia="Calibri" w:cs="Calibri"/>
                <w:szCs w:val="16"/>
              </w:rPr>
            </w:pPr>
            <w:r w:rsidRPr="00261B7A">
              <w:rPr>
                <w:rFonts w:cs="Calibri"/>
                <w:szCs w:val="16"/>
              </w:rPr>
              <w:t xml:space="preserve">Plan to undertake an accuracy assessment of the national land-use maps, with a focus on determining the accuracy of mapping changes between mapping dates. </w:t>
            </w:r>
          </w:p>
        </w:tc>
        <w:tc>
          <w:tcPr>
            <w:tcW w:w="2892" w:type="dxa"/>
            <w:shd w:val="clear" w:color="auto" w:fill="FFFFFF" w:themeFill="background1"/>
          </w:tcPr>
          <w:p w14:paraId="4990403C" w14:textId="77777777" w:rsidR="00D140F7" w:rsidRPr="00261B7A" w:rsidRDefault="00D140F7" w:rsidP="009C63CA">
            <w:pPr>
              <w:pStyle w:val="TableText"/>
              <w:spacing w:before="40" w:after="40"/>
              <w:rPr>
                <w:rFonts w:eastAsia="Calibri" w:cs="Calibri"/>
                <w:szCs w:val="16"/>
              </w:rPr>
            </w:pPr>
            <w:r w:rsidRPr="00261B7A">
              <w:rPr>
                <w:rFonts w:cs="Calibri"/>
                <w:b/>
                <w:bCs/>
                <w:szCs w:val="16"/>
              </w:rPr>
              <w:t xml:space="preserve">Resolved. </w:t>
            </w:r>
            <w:r w:rsidRPr="00261B7A">
              <w:rPr>
                <w:rFonts w:cs="Calibri"/>
                <w:szCs w:val="16"/>
              </w:rPr>
              <w:t>New Zealand reported in its 2021 NIR (see annex 3, section A3.2.2) the results of several accuracy assessments of its national land use maps, including an assessment of mapping changes between mapping dates.</w:t>
            </w:r>
          </w:p>
        </w:tc>
      </w:tr>
      <w:tr w:rsidR="00D140F7" w:rsidRPr="00261B7A" w14:paraId="5C22B33F" w14:textId="77777777" w:rsidTr="009C63CA">
        <w:tc>
          <w:tcPr>
            <w:tcW w:w="1896" w:type="dxa"/>
            <w:shd w:val="clear" w:color="auto" w:fill="FFFFFF" w:themeFill="background1"/>
          </w:tcPr>
          <w:p w14:paraId="33244702" w14:textId="77777777" w:rsidR="00D140F7" w:rsidRPr="00261B7A" w:rsidRDefault="00D140F7" w:rsidP="009C63CA">
            <w:pPr>
              <w:pStyle w:val="TableText"/>
              <w:spacing w:before="40" w:after="40"/>
              <w:rPr>
                <w:rFonts w:eastAsia="Calibri" w:cs="Calibri"/>
                <w:szCs w:val="16"/>
              </w:rPr>
            </w:pPr>
            <w:r w:rsidRPr="00261B7A">
              <w:rPr>
                <w:rFonts w:cs="Calibri"/>
                <w:szCs w:val="16"/>
              </w:rPr>
              <w:t xml:space="preserve">LULUCF – Land representation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t>, CH</w:t>
            </w:r>
            <w:r w:rsidRPr="00261B7A">
              <w:rPr>
                <w:rFonts w:cs="Calibri"/>
                <w:szCs w:val="16"/>
                <w:vertAlign w:val="subscript"/>
                <w:lang w:eastAsia="en-US"/>
              </w:rPr>
              <w:t>4</w:t>
            </w:r>
            <w:r w:rsidRPr="00261B7A">
              <w:rPr>
                <w:rFonts w:cs="Calibri"/>
                <w:szCs w:val="16"/>
                <w:lang w:eastAsia="en-US"/>
              </w:rPr>
              <w:t xml:space="preserve"> and N</w:t>
            </w:r>
            <w:r w:rsidRPr="00261B7A">
              <w:rPr>
                <w:rFonts w:cs="Calibri"/>
                <w:szCs w:val="16"/>
                <w:vertAlign w:val="subscript"/>
                <w:lang w:eastAsia="en-US"/>
              </w:rPr>
              <w:t>2</w:t>
            </w:r>
            <w:r w:rsidRPr="00261B7A">
              <w:rPr>
                <w:rFonts w:cs="Calibri"/>
                <w:szCs w:val="16"/>
                <w:lang w:eastAsia="en-US"/>
              </w:rPr>
              <w:t>O</w:t>
            </w:r>
            <w:r w:rsidRPr="00261B7A">
              <w:rPr>
                <w:rFonts w:cs="Calibri"/>
                <w:szCs w:val="16"/>
                <w:lang w:eastAsia="en-US"/>
              </w:rPr>
              <w:br/>
              <w:t>(L.16,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11C4D6E5"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L.8, 2021</w:t>
            </w:r>
          </w:p>
        </w:tc>
        <w:tc>
          <w:tcPr>
            <w:tcW w:w="2722" w:type="dxa"/>
            <w:shd w:val="clear" w:color="auto" w:fill="FFFFFF" w:themeFill="background1"/>
          </w:tcPr>
          <w:p w14:paraId="4774C763" w14:textId="77777777" w:rsidR="00D140F7" w:rsidRPr="00261B7A" w:rsidRDefault="00D140F7" w:rsidP="009C63CA">
            <w:pPr>
              <w:pStyle w:val="TableText"/>
              <w:spacing w:before="40" w:after="40"/>
              <w:rPr>
                <w:rFonts w:eastAsia="Calibri" w:cs="Calibri"/>
                <w:szCs w:val="16"/>
              </w:rPr>
            </w:pPr>
            <w:bookmarkStart w:id="2877" w:name="_Hlk108110105"/>
            <w:r w:rsidRPr="00261B7A">
              <w:rPr>
                <w:rFonts w:cs="Calibri"/>
                <w:szCs w:val="16"/>
              </w:rPr>
              <w:t xml:space="preserve">Investigate how to use the results </w:t>
            </w:r>
            <w:bookmarkEnd w:id="2877"/>
            <w:r w:rsidRPr="00261B7A">
              <w:rPr>
                <w:rFonts w:cs="Calibri"/>
                <w:szCs w:val="16"/>
              </w:rPr>
              <w:t>of the accuracy assessment, once available, to adjust the reported AD for the land representation.</w:t>
            </w:r>
          </w:p>
        </w:tc>
        <w:tc>
          <w:tcPr>
            <w:tcW w:w="2892" w:type="dxa"/>
            <w:shd w:val="clear" w:color="auto" w:fill="FFFFFF" w:themeFill="background1"/>
          </w:tcPr>
          <w:p w14:paraId="661203A5" w14:textId="77777777" w:rsidR="00D140F7" w:rsidRPr="00261B7A" w:rsidRDefault="00D140F7" w:rsidP="009C63CA">
            <w:pPr>
              <w:pStyle w:val="TableText"/>
              <w:spacing w:before="40" w:after="40"/>
              <w:rPr>
                <w:rFonts w:eastAsia="Calibri" w:cs="Calibri"/>
                <w:szCs w:val="16"/>
              </w:rPr>
            </w:pPr>
            <w:r w:rsidRPr="00261B7A">
              <w:rPr>
                <w:rFonts w:cs="Calibri"/>
                <w:b/>
                <w:bCs/>
                <w:szCs w:val="16"/>
              </w:rPr>
              <w:t>Addressing.</w:t>
            </w:r>
            <w:r w:rsidRPr="00261B7A">
              <w:rPr>
                <w:rFonts w:cs="Calibri"/>
                <w:szCs w:val="16"/>
              </w:rPr>
              <w:t xml:space="preserve"> A confusion matrix for the 2012 map has been undertaken (see annex 3, section A3.2.2) demonstrating that mapping errors and biases were very limited for all land categories except for </w:t>
            </w:r>
            <w:r w:rsidRPr="00261B7A">
              <w:rPr>
                <w:rFonts w:cs="Calibri"/>
                <w:i/>
                <w:szCs w:val="16"/>
              </w:rPr>
              <w:t>Grassland</w:t>
            </w:r>
            <w:r w:rsidRPr="00261B7A">
              <w:rPr>
                <w:rFonts w:cs="Calibri"/>
                <w:szCs w:val="16"/>
              </w:rPr>
              <w:t xml:space="preserve"> and </w:t>
            </w:r>
            <w:r w:rsidRPr="00261B7A">
              <w:rPr>
                <w:rFonts w:cs="Calibri"/>
                <w:i/>
                <w:iCs/>
                <w:szCs w:val="16"/>
              </w:rPr>
              <w:t>Grassland</w:t>
            </w:r>
            <w:r w:rsidRPr="00261B7A">
              <w:rPr>
                <w:rFonts w:cs="Calibri"/>
                <w:i/>
                <w:szCs w:val="16"/>
              </w:rPr>
              <w:t xml:space="preserve"> with woody biomass</w:t>
            </w:r>
            <w:r w:rsidRPr="00261B7A">
              <w:rPr>
                <w:rFonts w:cs="Calibri"/>
                <w:szCs w:val="16"/>
              </w:rPr>
              <w:t>. A new land use map using imagery acquired over 2020 to 2021 is being procured. Once the map has been produced, an accuracy assessment of the map series with a focus on the accuracy of land-use change mapping is planned. See chapter 6, section 6.2.5, for more information.</w:t>
            </w:r>
          </w:p>
        </w:tc>
      </w:tr>
      <w:tr w:rsidR="00D140F7" w:rsidRPr="00261B7A" w14:paraId="6FF27896" w14:textId="77777777" w:rsidTr="009C63CA">
        <w:tc>
          <w:tcPr>
            <w:tcW w:w="1896" w:type="dxa"/>
            <w:shd w:val="clear" w:color="auto" w:fill="FFFFFF" w:themeFill="background1"/>
          </w:tcPr>
          <w:p w14:paraId="3A435DB7" w14:textId="77777777" w:rsidR="00D140F7" w:rsidRPr="00261B7A" w:rsidRDefault="00D140F7" w:rsidP="009C63CA">
            <w:pPr>
              <w:pStyle w:val="TableText"/>
              <w:spacing w:before="40" w:after="40"/>
              <w:rPr>
                <w:rFonts w:cs="Calibri"/>
                <w:szCs w:val="16"/>
              </w:rPr>
            </w:pPr>
            <w:r w:rsidRPr="00261B7A">
              <w:rPr>
                <w:rFonts w:cs="Calibri"/>
                <w:szCs w:val="16"/>
              </w:rPr>
              <w:t xml:space="preserve">LULUCF – 4.A Forest land – </w:t>
            </w:r>
            <w:r w:rsidRPr="00261B7A">
              <w:rPr>
                <w:rFonts w:cs="Calibri"/>
                <w:color w:val="000000"/>
                <w:szCs w:val="16"/>
              </w:rPr>
              <w:t>CO</w:t>
            </w:r>
            <w:r w:rsidRPr="00261B7A">
              <w:rPr>
                <w:rFonts w:cs="Calibri"/>
                <w:color w:val="000000"/>
                <w:szCs w:val="16"/>
                <w:vertAlign w:val="subscript"/>
              </w:rPr>
              <w:t>2</w:t>
            </w:r>
            <w:r w:rsidRPr="00261B7A">
              <w:rPr>
                <w:rFonts w:cs="Calibri"/>
                <w:color w:val="000000"/>
                <w:szCs w:val="16"/>
              </w:rPr>
              <w:br/>
              <w:t>(L.3, 2019) (L.4, 2017)</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456F098D"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L.9, 2021</w:t>
            </w:r>
          </w:p>
        </w:tc>
        <w:tc>
          <w:tcPr>
            <w:tcW w:w="2722" w:type="dxa"/>
            <w:shd w:val="clear" w:color="auto" w:fill="FFFFFF" w:themeFill="background1"/>
          </w:tcPr>
          <w:p w14:paraId="4FCE386B" w14:textId="77777777" w:rsidR="00D140F7" w:rsidRPr="00261B7A" w:rsidRDefault="00D140F7" w:rsidP="009C63CA">
            <w:pPr>
              <w:pStyle w:val="TableText"/>
              <w:spacing w:before="40" w:after="40"/>
              <w:rPr>
                <w:rFonts w:cs="Calibri"/>
                <w:szCs w:val="16"/>
              </w:rPr>
            </w:pPr>
            <w:r w:rsidRPr="00261B7A">
              <w:rPr>
                <w:rFonts w:cs="Calibri"/>
                <w:szCs w:val="16"/>
              </w:rPr>
              <w:t>Consider ways to reduce uncertainties in the stock change estimates when further developing the methods for estimating CSC in pre-1990 natural forests.</w:t>
            </w:r>
          </w:p>
        </w:tc>
        <w:tc>
          <w:tcPr>
            <w:tcW w:w="2892" w:type="dxa"/>
            <w:shd w:val="clear" w:color="auto" w:fill="FFFFFF" w:themeFill="background1"/>
          </w:tcPr>
          <w:p w14:paraId="355744AD"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Uncertainties in the carbon stock change estimates for pre-1990 natural forests were reduced by applying the methods described in 2021 NIR, chapter 6, section 6.4.2. New Zealand clarified during the review that it has undertaken four of the seven ways to reduce uncertainties mentioned in the 2006 IPCC Guidelines (IPCC, 2006b, p. 3.12). It is worth noting that, even though several methods to reduce uncertainty were applied, this does not necessarily result in a lower uncertainty estimate. This is because the uncertainty is calculated as a percentage of the CSC confidence interval to the estimate of CSC. Consequently, as the CSC estimate has decreased (is closer to zero), the overall uncertainty (as a percentage) has increased.</w:t>
            </w:r>
          </w:p>
        </w:tc>
      </w:tr>
      <w:tr w:rsidR="00D140F7" w:rsidRPr="00261B7A" w14:paraId="41FA190B" w14:textId="77777777" w:rsidTr="009C63CA">
        <w:tc>
          <w:tcPr>
            <w:tcW w:w="1896" w:type="dxa"/>
            <w:shd w:val="clear" w:color="auto" w:fill="FFFFFF" w:themeFill="background1"/>
          </w:tcPr>
          <w:p w14:paraId="4409073B" w14:textId="77777777" w:rsidR="00D140F7" w:rsidRPr="00261B7A" w:rsidRDefault="00D140F7" w:rsidP="009C63CA">
            <w:pPr>
              <w:pStyle w:val="TableText"/>
              <w:spacing w:before="40" w:after="40"/>
              <w:rPr>
                <w:rFonts w:cs="Calibri"/>
                <w:szCs w:val="16"/>
              </w:rPr>
            </w:pPr>
            <w:r w:rsidRPr="00261B7A">
              <w:rPr>
                <w:rFonts w:cs="Calibri"/>
                <w:szCs w:val="16"/>
              </w:rPr>
              <w:t xml:space="preserve">LULUCF – 4.A Forest land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br/>
              <w:t>(L.17,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29673C46"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L.10, 2021</w:t>
            </w:r>
          </w:p>
        </w:tc>
        <w:tc>
          <w:tcPr>
            <w:tcW w:w="2722" w:type="dxa"/>
            <w:shd w:val="clear" w:color="auto" w:fill="FFFFFF" w:themeFill="background1"/>
          </w:tcPr>
          <w:p w14:paraId="78801B19" w14:textId="77777777" w:rsidR="00D140F7" w:rsidRPr="00261B7A" w:rsidRDefault="00D140F7" w:rsidP="009C63CA">
            <w:pPr>
              <w:pStyle w:val="TableText"/>
              <w:spacing w:before="40" w:after="40"/>
              <w:rPr>
                <w:rFonts w:cs="Calibri"/>
                <w:szCs w:val="16"/>
              </w:rPr>
            </w:pPr>
            <w:r w:rsidRPr="00261B7A">
              <w:rPr>
                <w:rFonts w:cs="Calibri"/>
                <w:szCs w:val="16"/>
              </w:rPr>
              <w:t xml:space="preserve">Provide information on the actual age of harvest of forest plantations, as derived from information collected through the National Exotic Forest Description. </w:t>
            </w:r>
          </w:p>
        </w:tc>
        <w:tc>
          <w:tcPr>
            <w:tcW w:w="2892" w:type="dxa"/>
            <w:shd w:val="clear" w:color="auto" w:fill="FFFFFF" w:themeFill="background1"/>
          </w:tcPr>
          <w:p w14:paraId="659C8DD5"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Information on actual age of harvest and on the actual age profile of forest plantations (annex 3, figure A.3.2.11) was added in annex 3, section A3.2.5 of the 2021 NIR.</w:t>
            </w:r>
          </w:p>
        </w:tc>
      </w:tr>
      <w:tr w:rsidR="00D140F7" w:rsidRPr="00261B7A" w14:paraId="498EFF5B" w14:textId="77777777" w:rsidTr="009C63CA">
        <w:tc>
          <w:tcPr>
            <w:tcW w:w="1896" w:type="dxa"/>
            <w:shd w:val="clear" w:color="auto" w:fill="FFFFFF" w:themeFill="background1"/>
          </w:tcPr>
          <w:p w14:paraId="329F8DB8" w14:textId="77777777" w:rsidR="00D140F7" w:rsidRPr="00261B7A" w:rsidRDefault="00D140F7" w:rsidP="009C63CA">
            <w:pPr>
              <w:pStyle w:val="TableText"/>
              <w:spacing w:before="40" w:after="40"/>
              <w:rPr>
                <w:rFonts w:cs="Calibri"/>
                <w:szCs w:val="16"/>
              </w:rPr>
            </w:pPr>
            <w:r w:rsidRPr="00261B7A">
              <w:rPr>
                <w:rFonts w:cs="Calibri"/>
                <w:szCs w:val="16"/>
              </w:rPr>
              <w:t xml:space="preserve">LULUCF – 4.A.1 Forest land remaining forest land – </w:t>
            </w:r>
            <w:r w:rsidRPr="00261B7A">
              <w:rPr>
                <w:rFonts w:cs="Calibri"/>
                <w:color w:val="000000"/>
                <w:szCs w:val="16"/>
              </w:rPr>
              <w:t>CO</w:t>
            </w:r>
            <w:r w:rsidRPr="00261B7A">
              <w:rPr>
                <w:rFonts w:cs="Calibri"/>
                <w:color w:val="000000"/>
                <w:szCs w:val="16"/>
                <w:vertAlign w:val="subscript"/>
              </w:rPr>
              <w:t>2</w:t>
            </w:r>
            <w:r w:rsidRPr="00261B7A">
              <w:rPr>
                <w:rFonts w:cs="Calibri"/>
                <w:color w:val="000000"/>
                <w:szCs w:val="16"/>
              </w:rPr>
              <w:br/>
              <w:t>(L.4, 2019) (L.5, 2017)</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2E0C93B4"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L.11, 2021</w:t>
            </w:r>
          </w:p>
        </w:tc>
        <w:tc>
          <w:tcPr>
            <w:tcW w:w="2722" w:type="dxa"/>
            <w:shd w:val="clear" w:color="auto" w:fill="FFFFFF" w:themeFill="background1"/>
          </w:tcPr>
          <w:p w14:paraId="338B1B49" w14:textId="77777777" w:rsidR="00D140F7" w:rsidRPr="00261B7A" w:rsidRDefault="00D140F7" w:rsidP="009C63CA">
            <w:pPr>
              <w:pStyle w:val="TableText"/>
              <w:spacing w:before="40" w:after="40"/>
              <w:rPr>
                <w:rFonts w:cs="Calibri"/>
                <w:szCs w:val="16"/>
              </w:rPr>
            </w:pPr>
            <w:r w:rsidRPr="00261B7A">
              <w:rPr>
                <w:rFonts w:cs="Calibri"/>
                <w:szCs w:val="16"/>
              </w:rPr>
              <w:t>Update the below-ground biomass ratios, noting that choosing a value above the median in the range of 9–33 per cent without further documentation entails the risk of overestimation of removals from forest land remaining forest land, or, while that update is not possible, report in the NIR on the progress on the ongoing work to update the below-ground biomass ratios.</w:t>
            </w:r>
          </w:p>
        </w:tc>
        <w:tc>
          <w:tcPr>
            <w:tcW w:w="2892" w:type="dxa"/>
            <w:shd w:val="clear" w:color="auto" w:fill="FFFFFF" w:themeFill="background1"/>
          </w:tcPr>
          <w:p w14:paraId="7AA29084"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The below-ground biomass ratios have been updated and reported in 2021 NIR, annex 3, table A3.2.10) on the basis of peer reviewed literature (</w:t>
            </w:r>
            <w:bookmarkStart w:id="2878" w:name="_Hlk129698270"/>
            <w:r w:rsidRPr="00261B7A">
              <w:rPr>
                <w:rFonts w:cs="Calibri"/>
                <w:szCs w:val="16"/>
              </w:rPr>
              <w:t>Easdale et al., 2019</w:t>
            </w:r>
            <w:bookmarkEnd w:id="2878"/>
            <w:r w:rsidRPr="00261B7A">
              <w:rPr>
                <w:rFonts w:cs="Calibri"/>
                <w:szCs w:val="16"/>
              </w:rPr>
              <w:t>).</w:t>
            </w:r>
          </w:p>
        </w:tc>
      </w:tr>
      <w:tr w:rsidR="00D140F7" w:rsidRPr="00261B7A" w14:paraId="038D0FE1" w14:textId="77777777" w:rsidTr="009C63CA">
        <w:tc>
          <w:tcPr>
            <w:tcW w:w="1896" w:type="dxa"/>
            <w:shd w:val="clear" w:color="auto" w:fill="FFFFFF" w:themeFill="background1"/>
          </w:tcPr>
          <w:p w14:paraId="0DE71303" w14:textId="77777777" w:rsidR="00D140F7" w:rsidRPr="00261B7A" w:rsidRDefault="00D140F7" w:rsidP="009C63CA">
            <w:pPr>
              <w:pStyle w:val="TableText"/>
              <w:spacing w:before="40" w:after="40"/>
              <w:rPr>
                <w:rFonts w:cs="Calibri"/>
                <w:szCs w:val="16"/>
              </w:rPr>
            </w:pPr>
            <w:r w:rsidRPr="00261B7A">
              <w:rPr>
                <w:rFonts w:cs="Calibri"/>
                <w:szCs w:val="16"/>
              </w:rPr>
              <w:t xml:space="preserve">LULUCF – 4.A.1 Forest land remaining forest land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br/>
              <w:t>(L.18, 2019)</w:t>
            </w:r>
            <w:r w:rsidRPr="00261B7A">
              <w:rPr>
                <w:rFonts w:cs="Calibri"/>
                <w:szCs w:val="16"/>
                <w:lang w:eastAsia="en-US"/>
              </w:rPr>
              <w:br/>
            </w:r>
            <w:r w:rsidRPr="00261B7A">
              <w:rPr>
                <w:rFonts w:cs="Calibri"/>
                <w:szCs w:val="16"/>
              </w:rPr>
              <w:t>Completeness</w:t>
            </w:r>
          </w:p>
        </w:tc>
        <w:tc>
          <w:tcPr>
            <w:tcW w:w="919" w:type="dxa"/>
            <w:shd w:val="clear" w:color="auto" w:fill="FFFFFF" w:themeFill="background1"/>
          </w:tcPr>
          <w:p w14:paraId="74D12278"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L.12, 2021</w:t>
            </w:r>
          </w:p>
        </w:tc>
        <w:tc>
          <w:tcPr>
            <w:tcW w:w="2722" w:type="dxa"/>
            <w:shd w:val="clear" w:color="auto" w:fill="FFFFFF" w:themeFill="background1"/>
          </w:tcPr>
          <w:p w14:paraId="16244145" w14:textId="77777777" w:rsidR="00D140F7" w:rsidRPr="00261B7A" w:rsidRDefault="00D140F7" w:rsidP="009C63CA">
            <w:pPr>
              <w:pStyle w:val="TableText"/>
              <w:spacing w:before="40" w:after="40"/>
              <w:rPr>
                <w:rFonts w:cs="Calibri"/>
                <w:szCs w:val="16"/>
              </w:rPr>
            </w:pPr>
            <w:r w:rsidRPr="00261B7A">
              <w:rPr>
                <w:rFonts w:cs="Calibri"/>
                <w:szCs w:val="16"/>
              </w:rPr>
              <w:t>Report estimates of above-ground biomass CSCs, noting that those estimates should include all gains and losses in tall natural forest remaining tall natural forest; however, carbon stock losses as a result of stand-replacing disturbances (such as storms or destructive wildfires) that lead to a subsequent regeneration of the natural forest, and carbon stock gains up to the average carbon stock of tall forests, should be reported within the regenerating natural forest category, including the entire transition of regenerating natural forest to tall natural forest.</w:t>
            </w:r>
          </w:p>
        </w:tc>
        <w:tc>
          <w:tcPr>
            <w:tcW w:w="2892" w:type="dxa"/>
            <w:shd w:val="clear" w:color="auto" w:fill="FFFFFF" w:themeFill="background1"/>
          </w:tcPr>
          <w:p w14:paraId="07E8A84C"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Estimates of CSC for tall and regenerating forests are reported in CRF table 4.A.</w:t>
            </w:r>
            <w:r w:rsidRPr="00261B7A" w:rsidDel="003302A3">
              <w:rPr>
                <w:rFonts w:cs="Calibri"/>
                <w:b/>
                <w:bCs/>
                <w:szCs w:val="16"/>
              </w:rPr>
              <w:t xml:space="preserve"> </w:t>
            </w:r>
          </w:p>
        </w:tc>
      </w:tr>
      <w:tr w:rsidR="00D140F7" w:rsidRPr="00261B7A" w14:paraId="17B5B63D" w14:textId="77777777" w:rsidTr="009C63CA">
        <w:tc>
          <w:tcPr>
            <w:tcW w:w="1896" w:type="dxa"/>
            <w:shd w:val="clear" w:color="auto" w:fill="FFFFFF" w:themeFill="background1"/>
          </w:tcPr>
          <w:p w14:paraId="55A6DAEB" w14:textId="77777777" w:rsidR="00D140F7" w:rsidRPr="00261B7A" w:rsidRDefault="00D140F7" w:rsidP="009C63CA">
            <w:pPr>
              <w:pStyle w:val="TableText"/>
              <w:spacing w:before="40" w:after="40"/>
              <w:rPr>
                <w:rFonts w:cs="Calibri"/>
                <w:szCs w:val="16"/>
              </w:rPr>
            </w:pPr>
            <w:r w:rsidRPr="00261B7A">
              <w:rPr>
                <w:rFonts w:cs="Calibri"/>
                <w:szCs w:val="16"/>
              </w:rPr>
              <w:t xml:space="preserve">LULUCF – 4.A.1 Forest land remaining forest land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br/>
              <w:t>(L.19,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7D293B57"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L.13, 2021</w:t>
            </w:r>
          </w:p>
        </w:tc>
        <w:tc>
          <w:tcPr>
            <w:tcW w:w="2722" w:type="dxa"/>
            <w:shd w:val="clear" w:color="auto" w:fill="FFFFFF" w:themeFill="background1"/>
          </w:tcPr>
          <w:p w14:paraId="31D66DDF" w14:textId="77777777" w:rsidR="00D140F7" w:rsidRPr="00261B7A" w:rsidRDefault="00D140F7" w:rsidP="009C63CA">
            <w:pPr>
              <w:pStyle w:val="TableText"/>
              <w:spacing w:before="40" w:after="40"/>
              <w:rPr>
                <w:rFonts w:cs="Calibri"/>
                <w:szCs w:val="16"/>
              </w:rPr>
            </w:pPr>
            <w:r w:rsidRPr="00261B7A">
              <w:rPr>
                <w:rFonts w:cs="Calibri"/>
                <w:szCs w:val="16"/>
              </w:rPr>
              <w:t>Provide evidence that national circumstances make the collection of data on SOC in mineral soils and on its variation across time in forest land remaining forest land impracticable or, if this is not possible, plan activities to be implemented in the next few years to collect the data needed to apply a tier 2 estimate to SOC changes in mineral soils of tall natural forest remaining tall natural forest.</w:t>
            </w:r>
          </w:p>
        </w:tc>
        <w:tc>
          <w:tcPr>
            <w:tcW w:w="2892" w:type="dxa"/>
            <w:shd w:val="clear" w:color="auto" w:fill="FFFFFF" w:themeFill="background1"/>
          </w:tcPr>
          <w:p w14:paraId="0A41C1D5"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New Zealand has recently assigned a multi-year budget to conduct work on improving mineral soil estimates and that, due to the nature of the research required, results will not be available for reporting purposes for several years yet.</w:t>
            </w:r>
          </w:p>
        </w:tc>
      </w:tr>
      <w:tr w:rsidR="00D140F7" w:rsidRPr="00261B7A" w14:paraId="5A7418C4" w14:textId="77777777" w:rsidTr="009C63CA">
        <w:tc>
          <w:tcPr>
            <w:tcW w:w="1896" w:type="dxa"/>
            <w:shd w:val="clear" w:color="auto" w:fill="FFFFFF" w:themeFill="background1"/>
          </w:tcPr>
          <w:p w14:paraId="311CFBEE" w14:textId="77777777" w:rsidR="00D140F7" w:rsidRPr="00261B7A" w:rsidRDefault="00D140F7" w:rsidP="009C63CA">
            <w:pPr>
              <w:pStyle w:val="TableText"/>
              <w:keepNext/>
              <w:spacing w:before="40" w:after="40"/>
              <w:rPr>
                <w:rFonts w:cs="Calibri"/>
                <w:szCs w:val="16"/>
              </w:rPr>
            </w:pPr>
            <w:r w:rsidRPr="00261B7A">
              <w:rPr>
                <w:rFonts w:cs="Calibri"/>
                <w:szCs w:val="16"/>
              </w:rPr>
              <w:t>LULUCF – 4.A.2 Land converted to forest land – CO</w:t>
            </w:r>
            <w:r w:rsidRPr="00261B7A">
              <w:rPr>
                <w:rFonts w:cs="Calibri"/>
                <w:szCs w:val="16"/>
                <w:vertAlign w:val="subscript"/>
              </w:rPr>
              <w:t>2</w:t>
            </w:r>
            <w:r w:rsidRPr="00261B7A">
              <w:rPr>
                <w:rFonts w:cs="Calibri"/>
                <w:szCs w:val="16"/>
              </w:rPr>
              <w:t xml:space="preserve"> and N</w:t>
            </w:r>
            <w:r w:rsidRPr="00261B7A">
              <w:rPr>
                <w:rFonts w:cs="Calibri"/>
                <w:szCs w:val="16"/>
                <w:vertAlign w:val="subscript"/>
              </w:rPr>
              <w:t>2</w:t>
            </w:r>
            <w:r w:rsidRPr="00261B7A">
              <w:rPr>
                <w:rFonts w:cs="Calibri"/>
                <w:szCs w:val="16"/>
              </w:rPr>
              <w:t>O</w:t>
            </w:r>
            <w:r w:rsidRPr="00261B7A">
              <w:rPr>
                <w:rFonts w:cs="Calibri"/>
                <w:szCs w:val="16"/>
                <w:lang w:eastAsia="en-US"/>
              </w:rPr>
              <w:br/>
              <w:t>(L.20,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3FF9B506"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L.14, 2021</w:t>
            </w:r>
          </w:p>
        </w:tc>
        <w:tc>
          <w:tcPr>
            <w:tcW w:w="2722" w:type="dxa"/>
            <w:shd w:val="clear" w:color="auto" w:fill="FFFFFF" w:themeFill="background1"/>
          </w:tcPr>
          <w:p w14:paraId="69A27FAB" w14:textId="77777777" w:rsidR="00D140F7" w:rsidRPr="00261B7A" w:rsidRDefault="00D140F7" w:rsidP="009C63CA">
            <w:pPr>
              <w:pStyle w:val="TableText"/>
              <w:spacing w:before="40" w:after="40"/>
              <w:rPr>
                <w:rFonts w:cs="Calibri"/>
                <w:szCs w:val="16"/>
              </w:rPr>
            </w:pPr>
            <w:r w:rsidRPr="00261B7A">
              <w:rPr>
                <w:rFonts w:cs="Calibri"/>
                <w:szCs w:val="16"/>
              </w:rPr>
              <w:t>Report disaggregated information for the two subcategories of post-1989 natural forest and post-1989 plantations.</w:t>
            </w:r>
          </w:p>
        </w:tc>
        <w:tc>
          <w:tcPr>
            <w:tcW w:w="2892" w:type="dxa"/>
            <w:shd w:val="clear" w:color="auto" w:fill="FFFFFF" w:themeFill="background1"/>
          </w:tcPr>
          <w:p w14:paraId="1A08B0D2" w14:textId="77777777" w:rsidR="00D140F7" w:rsidRPr="00261B7A" w:rsidRDefault="00D140F7" w:rsidP="009C63CA">
            <w:pPr>
              <w:pStyle w:val="TableText"/>
              <w:spacing w:before="40" w:after="40"/>
              <w:rPr>
                <w:rFonts w:cs="Calibri"/>
                <w:szCs w:val="16"/>
              </w:rPr>
            </w:pPr>
            <w:r w:rsidRPr="00261B7A">
              <w:rPr>
                <w:rFonts w:cs="Calibri"/>
                <w:b/>
                <w:bCs/>
                <w:szCs w:val="16"/>
              </w:rPr>
              <w:t xml:space="preserve">Addressing. </w:t>
            </w:r>
            <w:r w:rsidRPr="00261B7A">
              <w:rPr>
                <w:rFonts w:cs="Calibri"/>
                <w:szCs w:val="16"/>
              </w:rPr>
              <w:t>New Zealand has identified a solution to disaggregate reporting in CRF table 4(III), which will be implemented in the 2024 NIR submission.</w:t>
            </w:r>
          </w:p>
        </w:tc>
      </w:tr>
      <w:tr w:rsidR="00D140F7" w:rsidRPr="00261B7A" w14:paraId="327B2534" w14:textId="77777777" w:rsidTr="009C63CA">
        <w:tc>
          <w:tcPr>
            <w:tcW w:w="1896" w:type="dxa"/>
            <w:shd w:val="clear" w:color="auto" w:fill="FFFFFF" w:themeFill="background1"/>
          </w:tcPr>
          <w:p w14:paraId="32E7050D" w14:textId="77777777" w:rsidR="00D140F7" w:rsidRPr="00261B7A" w:rsidRDefault="00D140F7" w:rsidP="009C63CA">
            <w:pPr>
              <w:pStyle w:val="TableText"/>
              <w:spacing w:before="40" w:after="40"/>
              <w:rPr>
                <w:rFonts w:cs="Calibri"/>
                <w:szCs w:val="16"/>
              </w:rPr>
            </w:pPr>
            <w:r w:rsidRPr="00261B7A">
              <w:rPr>
                <w:rFonts w:cs="Calibri"/>
                <w:szCs w:val="16"/>
              </w:rPr>
              <w:t xml:space="preserve">LULUCF – 4.B.1 Cropland remaining cropland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br/>
              <w:t>(L.21, 2019)</w:t>
            </w:r>
            <w:r w:rsidRPr="00261B7A">
              <w:rPr>
                <w:rFonts w:cs="Calibri"/>
                <w:szCs w:val="16"/>
                <w:lang w:eastAsia="en-US"/>
              </w:rPr>
              <w:br/>
            </w:r>
            <w:r w:rsidRPr="00261B7A">
              <w:rPr>
                <w:rFonts w:cs="Calibri"/>
                <w:szCs w:val="16"/>
              </w:rPr>
              <w:t>Completeness</w:t>
            </w:r>
          </w:p>
        </w:tc>
        <w:tc>
          <w:tcPr>
            <w:tcW w:w="919" w:type="dxa"/>
            <w:shd w:val="clear" w:color="auto" w:fill="FFFFFF" w:themeFill="background1"/>
          </w:tcPr>
          <w:p w14:paraId="63B98223"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L.15, 2021</w:t>
            </w:r>
          </w:p>
        </w:tc>
        <w:tc>
          <w:tcPr>
            <w:tcW w:w="2722" w:type="dxa"/>
            <w:shd w:val="clear" w:color="auto" w:fill="FFFFFF" w:themeFill="background1"/>
          </w:tcPr>
          <w:p w14:paraId="5EC25E51" w14:textId="77777777" w:rsidR="00D140F7" w:rsidRPr="00261B7A" w:rsidRDefault="00D140F7" w:rsidP="009C63CA">
            <w:pPr>
              <w:pStyle w:val="TableText"/>
              <w:spacing w:before="40" w:after="40"/>
              <w:rPr>
                <w:rFonts w:cs="Calibri"/>
                <w:szCs w:val="16"/>
              </w:rPr>
            </w:pPr>
            <w:r w:rsidRPr="00261B7A">
              <w:rPr>
                <w:rFonts w:cs="Calibri"/>
                <w:szCs w:val="16"/>
              </w:rPr>
              <w:t>Identify the main subdivisions for perennial cropland on the basis of the harvesting cycle and the biomass carbon stock at the end of the harvesting cycle, and build an age-class distribution for each subdivision, estimate and report annual biomass carbon stock gains and losses accordingly and report the estimation and all additional information in the NIR.</w:t>
            </w:r>
          </w:p>
        </w:tc>
        <w:tc>
          <w:tcPr>
            <w:tcW w:w="2892" w:type="dxa"/>
            <w:shd w:val="clear" w:color="auto" w:fill="FFFFFF" w:themeFill="background1"/>
          </w:tcPr>
          <w:p w14:paraId="61A92EF4" w14:textId="77777777" w:rsidR="00D140F7" w:rsidRPr="00261B7A" w:rsidRDefault="00D140F7" w:rsidP="009C63CA">
            <w:pPr>
              <w:pStyle w:val="TableText"/>
              <w:spacing w:before="40" w:after="40"/>
              <w:rPr>
                <w:rFonts w:cs="Calibri"/>
                <w:szCs w:val="16"/>
              </w:rPr>
            </w:pPr>
            <w:r w:rsidRPr="00261B7A">
              <w:rPr>
                <w:rFonts w:cs="Calibri"/>
                <w:b/>
                <w:bCs/>
                <w:szCs w:val="16"/>
              </w:rPr>
              <w:t>Not resolved.</w:t>
            </w:r>
            <w:r w:rsidRPr="00261B7A">
              <w:rPr>
                <w:rFonts w:cs="Calibri"/>
                <w:szCs w:val="16"/>
              </w:rPr>
              <w:t xml:space="preserve"> Emissions from </w:t>
            </w:r>
            <w:r w:rsidRPr="00261B7A">
              <w:rPr>
                <w:rFonts w:cs="Calibri"/>
                <w:i/>
                <w:iCs/>
                <w:szCs w:val="16"/>
              </w:rPr>
              <w:t>Cropland remaining cropland</w:t>
            </w:r>
            <w:r w:rsidRPr="00261B7A">
              <w:rPr>
                <w:rFonts w:cs="Calibri"/>
                <w:szCs w:val="16"/>
              </w:rPr>
              <w:t xml:space="preserve"> are low relative to those for other categories, such as </w:t>
            </w:r>
            <w:r w:rsidRPr="00261B7A">
              <w:rPr>
                <w:rFonts w:cs="Calibri"/>
                <w:i/>
                <w:iCs/>
                <w:szCs w:val="16"/>
              </w:rPr>
              <w:t>Forest land</w:t>
            </w:r>
            <w:r w:rsidRPr="00261B7A">
              <w:rPr>
                <w:rFonts w:cs="Calibri"/>
                <w:szCs w:val="16"/>
              </w:rPr>
              <w:t xml:space="preserve"> and </w:t>
            </w:r>
            <w:r w:rsidRPr="00261B7A">
              <w:rPr>
                <w:rFonts w:cs="Calibri"/>
                <w:i/>
                <w:iCs/>
                <w:szCs w:val="16"/>
              </w:rPr>
              <w:t>Harvested wood products</w:t>
            </w:r>
            <w:r w:rsidRPr="00261B7A">
              <w:rPr>
                <w:rFonts w:cs="Calibri"/>
                <w:szCs w:val="16"/>
              </w:rPr>
              <w:t>. The category is therefore a low research priority and funding is unable to be directed to this at present.</w:t>
            </w:r>
          </w:p>
        </w:tc>
      </w:tr>
      <w:tr w:rsidR="00D140F7" w:rsidRPr="00261B7A" w14:paraId="24F7D1FC" w14:textId="77777777" w:rsidTr="009C63CA">
        <w:tc>
          <w:tcPr>
            <w:tcW w:w="1896" w:type="dxa"/>
            <w:shd w:val="clear" w:color="auto" w:fill="FFFFFF" w:themeFill="background1"/>
          </w:tcPr>
          <w:p w14:paraId="394EF835" w14:textId="77777777" w:rsidR="00D140F7" w:rsidRPr="00261B7A" w:rsidRDefault="00D140F7" w:rsidP="009C63CA">
            <w:pPr>
              <w:pStyle w:val="TableText"/>
              <w:spacing w:before="40" w:after="40"/>
              <w:rPr>
                <w:rFonts w:cs="Calibri"/>
                <w:szCs w:val="16"/>
              </w:rPr>
            </w:pPr>
            <w:r w:rsidRPr="00261B7A">
              <w:rPr>
                <w:rFonts w:cs="Calibri"/>
                <w:szCs w:val="16"/>
              </w:rPr>
              <w:t xml:space="preserve">LULUCF – 4.B.1 Cropland remaining cropland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br/>
              <w:t>(L.22, 2019)</w:t>
            </w:r>
            <w:r w:rsidRPr="00261B7A">
              <w:rPr>
                <w:rFonts w:cs="Calibri"/>
                <w:szCs w:val="16"/>
                <w:lang w:eastAsia="en-US"/>
              </w:rPr>
              <w:br/>
            </w:r>
            <w:r w:rsidRPr="00261B7A">
              <w:rPr>
                <w:rFonts w:cs="Calibri"/>
                <w:szCs w:val="16"/>
              </w:rPr>
              <w:t>Completeness</w:t>
            </w:r>
          </w:p>
        </w:tc>
        <w:tc>
          <w:tcPr>
            <w:tcW w:w="919" w:type="dxa"/>
            <w:shd w:val="clear" w:color="auto" w:fill="FFFFFF" w:themeFill="background1"/>
          </w:tcPr>
          <w:p w14:paraId="2594EB90"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L.16, 2021</w:t>
            </w:r>
          </w:p>
        </w:tc>
        <w:tc>
          <w:tcPr>
            <w:tcW w:w="2722" w:type="dxa"/>
            <w:shd w:val="clear" w:color="auto" w:fill="FFFFFF" w:themeFill="background1"/>
          </w:tcPr>
          <w:p w14:paraId="5D1DB2C6" w14:textId="77777777" w:rsidR="00D140F7" w:rsidRPr="00261B7A" w:rsidRDefault="00D140F7" w:rsidP="009C63CA">
            <w:pPr>
              <w:pStyle w:val="TableText"/>
              <w:spacing w:before="40" w:after="40"/>
              <w:rPr>
                <w:rFonts w:cs="Calibri"/>
                <w:szCs w:val="16"/>
              </w:rPr>
            </w:pPr>
            <w:r w:rsidRPr="00261B7A">
              <w:rPr>
                <w:rFonts w:cs="Calibri"/>
                <w:szCs w:val="16"/>
              </w:rPr>
              <w:t>Plan the activities needed to collect data and prepare estimates of SOC changes in cropland associated with changes in management practices.</w:t>
            </w:r>
          </w:p>
        </w:tc>
        <w:tc>
          <w:tcPr>
            <w:tcW w:w="2892" w:type="dxa"/>
            <w:shd w:val="clear" w:color="auto" w:fill="FFFFFF" w:themeFill="background1"/>
          </w:tcPr>
          <w:p w14:paraId="5760505D" w14:textId="77777777" w:rsidR="00D140F7" w:rsidRPr="00261B7A" w:rsidRDefault="00D140F7" w:rsidP="009C63CA">
            <w:pPr>
              <w:pStyle w:val="TableText"/>
              <w:spacing w:before="40" w:after="40"/>
              <w:rPr>
                <w:rFonts w:cs="Calibri"/>
                <w:szCs w:val="16"/>
              </w:rPr>
            </w:pPr>
            <w:r w:rsidRPr="00261B7A">
              <w:rPr>
                <w:rFonts w:cs="Calibri"/>
                <w:b/>
                <w:bCs/>
                <w:szCs w:val="16"/>
              </w:rPr>
              <w:t>Addressing.</w:t>
            </w:r>
            <w:r w:rsidRPr="00261B7A">
              <w:rPr>
                <w:rFonts w:cs="Calibri"/>
                <w:szCs w:val="16"/>
              </w:rPr>
              <w:t xml:space="preserve"> A longitudinal agricultural land soils study is currently under way. The collection of baseline data for the national 500 soils programme will be completed by 2023/24 and a 12-year timeline for resampling the 500 sites will inform and refine estimates of change through time within one land use. New Zealand also aims to improve mineral SOC stock change estimates for all agricultural land uses with the baseline data by the 2026 submission.</w:t>
            </w:r>
          </w:p>
        </w:tc>
      </w:tr>
      <w:tr w:rsidR="00D140F7" w:rsidRPr="00261B7A" w14:paraId="4CA345AC" w14:textId="77777777" w:rsidTr="009C63CA">
        <w:tc>
          <w:tcPr>
            <w:tcW w:w="1896" w:type="dxa"/>
            <w:shd w:val="clear" w:color="auto" w:fill="FFFFFF" w:themeFill="background1"/>
          </w:tcPr>
          <w:p w14:paraId="523F6DFD" w14:textId="77777777" w:rsidR="00D140F7" w:rsidRPr="00261B7A" w:rsidRDefault="00D140F7" w:rsidP="009C63CA">
            <w:pPr>
              <w:pStyle w:val="TableText"/>
              <w:spacing w:before="40" w:after="40"/>
              <w:rPr>
                <w:rFonts w:cs="Calibri"/>
                <w:szCs w:val="16"/>
              </w:rPr>
            </w:pPr>
            <w:r w:rsidRPr="00261B7A">
              <w:rPr>
                <w:rFonts w:cs="Calibri"/>
                <w:szCs w:val="16"/>
              </w:rPr>
              <w:t xml:space="preserve">LULUCF – 4.C.2 Land converted to grassland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br/>
              <w:t>(L.23, 2019)</w:t>
            </w:r>
            <w:r w:rsidRPr="00261B7A">
              <w:rPr>
                <w:rFonts w:cs="Calibri"/>
                <w:szCs w:val="16"/>
                <w:lang w:eastAsia="en-US"/>
              </w:rPr>
              <w:br/>
            </w:r>
            <w:r w:rsidRPr="00261B7A">
              <w:rPr>
                <w:rFonts w:cs="Calibri"/>
                <w:szCs w:val="16"/>
              </w:rPr>
              <w:t>Convention reporting adherence</w:t>
            </w:r>
          </w:p>
        </w:tc>
        <w:tc>
          <w:tcPr>
            <w:tcW w:w="919" w:type="dxa"/>
            <w:shd w:val="clear" w:color="auto" w:fill="FFFFFF" w:themeFill="background1"/>
          </w:tcPr>
          <w:p w14:paraId="666B5AA6"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L.17, 2021</w:t>
            </w:r>
          </w:p>
        </w:tc>
        <w:tc>
          <w:tcPr>
            <w:tcW w:w="2722" w:type="dxa"/>
            <w:shd w:val="clear" w:color="auto" w:fill="FFFFFF" w:themeFill="background1"/>
          </w:tcPr>
          <w:p w14:paraId="3F81870B" w14:textId="77777777" w:rsidR="00D140F7" w:rsidRPr="00261B7A" w:rsidRDefault="00D140F7" w:rsidP="009C63CA">
            <w:pPr>
              <w:pStyle w:val="TableText"/>
              <w:spacing w:before="40" w:after="40"/>
              <w:rPr>
                <w:rFonts w:cs="Calibri"/>
                <w:szCs w:val="16"/>
              </w:rPr>
            </w:pPr>
            <w:r w:rsidRPr="00261B7A">
              <w:rPr>
                <w:rFonts w:cs="Calibri"/>
                <w:szCs w:val="16"/>
              </w:rPr>
              <w:t>Use “NE” for biomass carbon stock losses in wetlands converted to grassland, providing relevant references to the 2006 IPCC Guidelines for justification, or revise the methodology by assigning a biomass carbon stock value to wetlands before conversion, in particular for the subcategory vegetated wetlands.</w:t>
            </w:r>
          </w:p>
        </w:tc>
        <w:tc>
          <w:tcPr>
            <w:tcW w:w="2892" w:type="dxa"/>
            <w:shd w:val="clear" w:color="auto" w:fill="FFFFFF" w:themeFill="background1"/>
          </w:tcPr>
          <w:p w14:paraId="67268AAF"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A literature review was conducted on available research on biomass carbon stocks in vegetated wetlands. This research means New Zealand has been able to assign biomass carbon stock values to vegetated wetlands in this submission.</w:t>
            </w:r>
            <w:r w:rsidRPr="00261B7A" w:rsidDel="003A1B42">
              <w:rPr>
                <w:rFonts w:cs="Calibri"/>
                <w:b/>
                <w:bCs/>
                <w:szCs w:val="16"/>
              </w:rPr>
              <w:t xml:space="preserve"> </w:t>
            </w:r>
          </w:p>
        </w:tc>
      </w:tr>
      <w:tr w:rsidR="00D140F7" w:rsidRPr="00261B7A" w14:paraId="4268F6D6" w14:textId="77777777" w:rsidTr="009C63CA">
        <w:tc>
          <w:tcPr>
            <w:tcW w:w="1896" w:type="dxa"/>
            <w:shd w:val="clear" w:color="auto" w:fill="FFFFFF" w:themeFill="background1"/>
          </w:tcPr>
          <w:p w14:paraId="2EB4B91E" w14:textId="77777777" w:rsidR="00D140F7" w:rsidRPr="00261B7A" w:rsidRDefault="00D140F7" w:rsidP="009C63CA">
            <w:pPr>
              <w:pStyle w:val="TableText"/>
              <w:spacing w:before="40" w:after="40"/>
              <w:rPr>
                <w:rFonts w:cs="Calibri"/>
                <w:szCs w:val="16"/>
              </w:rPr>
            </w:pPr>
            <w:r w:rsidRPr="00261B7A">
              <w:rPr>
                <w:rFonts w:cs="Calibri"/>
                <w:szCs w:val="16"/>
              </w:rPr>
              <w:t xml:space="preserve">LULUCF – 4.D Wetlands – </w:t>
            </w:r>
            <w:r w:rsidRPr="00261B7A">
              <w:rPr>
                <w:rFonts w:cs="Calibri"/>
                <w:color w:val="000000"/>
                <w:szCs w:val="16"/>
              </w:rPr>
              <w:t>CO</w:t>
            </w:r>
            <w:r w:rsidRPr="00261B7A">
              <w:rPr>
                <w:rFonts w:cs="Calibri"/>
                <w:color w:val="000000"/>
                <w:szCs w:val="16"/>
                <w:vertAlign w:val="subscript"/>
              </w:rPr>
              <w:t>2</w:t>
            </w:r>
            <w:r w:rsidRPr="00261B7A">
              <w:rPr>
                <w:rFonts w:cs="Calibri"/>
                <w:color w:val="000000"/>
                <w:szCs w:val="16"/>
              </w:rPr>
              <w:br/>
              <w:t>(L.6, 2019) (L.7, 2017)</w:t>
            </w:r>
            <w:r w:rsidRPr="00261B7A">
              <w:rPr>
                <w:rFonts w:cs="Calibri"/>
                <w:color w:val="000000"/>
                <w:szCs w:val="16"/>
              </w:rPr>
              <w:br/>
            </w:r>
            <w:r w:rsidRPr="00261B7A">
              <w:rPr>
                <w:rFonts w:cs="Calibri"/>
                <w:szCs w:val="16"/>
              </w:rPr>
              <w:t>Completeness</w:t>
            </w:r>
          </w:p>
        </w:tc>
        <w:tc>
          <w:tcPr>
            <w:tcW w:w="919" w:type="dxa"/>
            <w:shd w:val="clear" w:color="auto" w:fill="FFFFFF" w:themeFill="background1"/>
          </w:tcPr>
          <w:p w14:paraId="662E815F"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L.18, 2021</w:t>
            </w:r>
          </w:p>
        </w:tc>
        <w:tc>
          <w:tcPr>
            <w:tcW w:w="2722" w:type="dxa"/>
            <w:shd w:val="clear" w:color="auto" w:fill="FFFFFF" w:themeFill="background1"/>
          </w:tcPr>
          <w:p w14:paraId="212612AC" w14:textId="77777777" w:rsidR="00D140F7" w:rsidRPr="00261B7A" w:rsidRDefault="00D140F7" w:rsidP="009C63CA">
            <w:pPr>
              <w:pStyle w:val="TableText"/>
              <w:spacing w:before="40" w:after="40"/>
              <w:rPr>
                <w:rFonts w:cs="Calibri"/>
                <w:szCs w:val="16"/>
              </w:rPr>
            </w:pPr>
            <w:bookmarkStart w:id="2879" w:name="_Hlk108119216"/>
            <w:r w:rsidRPr="00261B7A">
              <w:rPr>
                <w:rFonts w:cs="Calibri"/>
                <w:szCs w:val="16"/>
              </w:rPr>
              <w:t xml:space="preserve">Continue the ongoing work to improve estimates </w:t>
            </w:r>
            <w:bookmarkEnd w:id="2879"/>
            <w:r w:rsidRPr="00261B7A">
              <w:rPr>
                <w:rFonts w:cs="Calibri"/>
                <w:szCs w:val="16"/>
              </w:rPr>
              <w:t>for wetlands and report the emissions for subcategories 4.D.1.1 (peat extraction remaining peat extraction) and 4.D.2.1 (land converted to peat extraction).</w:t>
            </w:r>
          </w:p>
        </w:tc>
        <w:tc>
          <w:tcPr>
            <w:tcW w:w="2892" w:type="dxa"/>
            <w:shd w:val="clear" w:color="auto" w:fill="FFFFFF" w:themeFill="background1"/>
          </w:tcPr>
          <w:p w14:paraId="4CA71F4F"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 xml:space="preserve">New Zealand has noted in CRF table 4.D that “New Zealand does not have activity data available to reliably report on this activity”, so that the use of notation key ‘NE’ is appropriate. </w:t>
            </w:r>
          </w:p>
        </w:tc>
      </w:tr>
      <w:tr w:rsidR="00D140F7" w:rsidRPr="00261B7A" w14:paraId="6EBE43A5" w14:textId="77777777" w:rsidTr="009C63CA">
        <w:tc>
          <w:tcPr>
            <w:tcW w:w="1896" w:type="dxa"/>
            <w:shd w:val="clear" w:color="auto" w:fill="FFFFFF" w:themeFill="background1"/>
          </w:tcPr>
          <w:p w14:paraId="4FD2411D" w14:textId="77777777" w:rsidR="00D140F7" w:rsidRPr="00261B7A" w:rsidRDefault="00D140F7" w:rsidP="009C63CA">
            <w:pPr>
              <w:pStyle w:val="TableText"/>
              <w:spacing w:before="40" w:after="40"/>
              <w:rPr>
                <w:rFonts w:cs="Calibri"/>
                <w:szCs w:val="16"/>
              </w:rPr>
            </w:pPr>
            <w:r w:rsidRPr="00261B7A">
              <w:rPr>
                <w:rFonts w:cs="Calibri"/>
                <w:szCs w:val="16"/>
              </w:rPr>
              <w:t xml:space="preserve">LULUCF – 4.D Wetlands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br/>
              <w:t>(L.24,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5018D96A"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L.19, 2021</w:t>
            </w:r>
          </w:p>
        </w:tc>
        <w:tc>
          <w:tcPr>
            <w:tcW w:w="2722" w:type="dxa"/>
            <w:shd w:val="clear" w:color="auto" w:fill="FFFFFF" w:themeFill="background1"/>
          </w:tcPr>
          <w:p w14:paraId="64599637" w14:textId="77777777" w:rsidR="00D140F7" w:rsidRPr="00261B7A" w:rsidRDefault="00D140F7" w:rsidP="009C63CA">
            <w:pPr>
              <w:pStyle w:val="TableText"/>
              <w:spacing w:before="40" w:after="40"/>
              <w:rPr>
                <w:rFonts w:cs="Calibri"/>
                <w:szCs w:val="16"/>
              </w:rPr>
            </w:pPr>
            <w:r w:rsidRPr="00261B7A">
              <w:rPr>
                <w:rFonts w:cs="Calibri"/>
                <w:szCs w:val="16"/>
              </w:rPr>
              <w:t xml:space="preserve">Revise the biomass carbon stock of vegetated wetlands using data available in literature (e.g. Morrisey et al., 2010). </w:t>
            </w:r>
          </w:p>
        </w:tc>
        <w:tc>
          <w:tcPr>
            <w:tcW w:w="2892" w:type="dxa"/>
            <w:shd w:val="clear" w:color="auto" w:fill="FFFFFF" w:themeFill="background1"/>
          </w:tcPr>
          <w:p w14:paraId="5BE4AC99"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A literature review was conducted on available research on biomass carbon stocks in vegetated wetlands. This research means New Zealand has been able to assign biomass carbon stock values to vegetated wetlands in this submission.</w:t>
            </w:r>
          </w:p>
        </w:tc>
      </w:tr>
      <w:tr w:rsidR="00D140F7" w:rsidRPr="00261B7A" w14:paraId="38EAC8E9" w14:textId="77777777" w:rsidTr="009C63CA">
        <w:tc>
          <w:tcPr>
            <w:tcW w:w="1896" w:type="dxa"/>
            <w:shd w:val="clear" w:color="auto" w:fill="FFFFFF" w:themeFill="background1"/>
          </w:tcPr>
          <w:p w14:paraId="1435F785" w14:textId="77777777" w:rsidR="00D140F7" w:rsidRPr="00261B7A" w:rsidRDefault="00D140F7" w:rsidP="009C63CA">
            <w:pPr>
              <w:pStyle w:val="TableText"/>
              <w:spacing w:before="40" w:after="40"/>
              <w:rPr>
                <w:rFonts w:cs="Calibri"/>
                <w:szCs w:val="16"/>
              </w:rPr>
            </w:pPr>
            <w:r w:rsidRPr="00261B7A">
              <w:rPr>
                <w:rFonts w:cs="Calibri"/>
                <w:szCs w:val="16"/>
              </w:rPr>
              <w:t xml:space="preserve">LULUCF – 4.F Other land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t>, CH</w:t>
            </w:r>
            <w:r w:rsidRPr="00261B7A">
              <w:rPr>
                <w:rFonts w:cs="Calibri"/>
                <w:szCs w:val="16"/>
                <w:vertAlign w:val="subscript"/>
                <w:lang w:eastAsia="en-US"/>
              </w:rPr>
              <w:t>4</w:t>
            </w:r>
            <w:r w:rsidRPr="00261B7A">
              <w:rPr>
                <w:rFonts w:cs="Calibri"/>
                <w:szCs w:val="16"/>
                <w:lang w:eastAsia="en-US"/>
              </w:rPr>
              <w:t xml:space="preserve"> and N</w:t>
            </w:r>
            <w:r w:rsidRPr="00261B7A">
              <w:rPr>
                <w:rFonts w:cs="Calibri"/>
                <w:szCs w:val="16"/>
                <w:vertAlign w:val="subscript"/>
                <w:lang w:eastAsia="en-US"/>
              </w:rPr>
              <w:t>2</w:t>
            </w:r>
            <w:r w:rsidRPr="00261B7A">
              <w:rPr>
                <w:rFonts w:cs="Calibri"/>
                <w:szCs w:val="16"/>
                <w:lang w:eastAsia="en-US"/>
              </w:rPr>
              <w:t>O</w:t>
            </w:r>
            <w:r w:rsidRPr="00261B7A">
              <w:rPr>
                <w:rFonts w:cs="Calibri"/>
                <w:szCs w:val="16"/>
                <w:lang w:eastAsia="en-US"/>
              </w:rPr>
              <w:br/>
              <w:t>(L.27,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7565766A"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L.20, 2021</w:t>
            </w:r>
          </w:p>
        </w:tc>
        <w:tc>
          <w:tcPr>
            <w:tcW w:w="2722" w:type="dxa"/>
            <w:shd w:val="clear" w:color="auto" w:fill="FFFFFF" w:themeFill="background1"/>
          </w:tcPr>
          <w:p w14:paraId="507CBD30" w14:textId="77777777" w:rsidR="00D140F7" w:rsidRPr="00261B7A" w:rsidRDefault="00D140F7" w:rsidP="009C63CA">
            <w:pPr>
              <w:pStyle w:val="TableText"/>
              <w:spacing w:before="40" w:after="40"/>
              <w:rPr>
                <w:rFonts w:cs="Calibri"/>
                <w:szCs w:val="16"/>
              </w:rPr>
            </w:pPr>
            <w:r w:rsidRPr="00261B7A">
              <w:rPr>
                <w:rFonts w:cs="Calibri"/>
                <w:szCs w:val="16"/>
              </w:rPr>
              <w:t>Reclassify all other land with significant SOC content under the most appropriate land-use category and recalculate land representation and SOC changes for the revised area of conversion to and from other land.</w:t>
            </w:r>
          </w:p>
        </w:tc>
        <w:tc>
          <w:tcPr>
            <w:tcW w:w="2892" w:type="dxa"/>
            <w:shd w:val="clear" w:color="auto" w:fill="FFFFFF" w:themeFill="background1"/>
          </w:tcPr>
          <w:p w14:paraId="5C72BDDE" w14:textId="77777777" w:rsidR="00D140F7" w:rsidRPr="00261B7A" w:rsidRDefault="00D140F7" w:rsidP="009C63CA">
            <w:pPr>
              <w:pStyle w:val="TableText"/>
              <w:spacing w:before="40" w:after="40"/>
              <w:rPr>
                <w:rFonts w:cs="Calibri"/>
                <w:szCs w:val="16"/>
              </w:rPr>
            </w:pPr>
            <w:r w:rsidRPr="00261B7A">
              <w:rPr>
                <w:rFonts w:cs="Calibri"/>
                <w:b/>
                <w:bCs/>
                <w:szCs w:val="16"/>
              </w:rPr>
              <w:t>Not resolved.</w:t>
            </w:r>
            <w:r w:rsidRPr="00261B7A">
              <w:rPr>
                <w:rFonts w:cs="Calibri"/>
                <w:szCs w:val="16"/>
              </w:rPr>
              <w:t xml:space="preserve"> New Zealand aims to narrow the definition of other land and ensure estimates of mineral SOC stock changes are aligned with this category, through improving mapping and additional sampling.</w:t>
            </w:r>
          </w:p>
        </w:tc>
      </w:tr>
      <w:tr w:rsidR="00D140F7" w:rsidRPr="00261B7A" w14:paraId="2CC366F3" w14:textId="77777777" w:rsidTr="009C63CA">
        <w:tc>
          <w:tcPr>
            <w:tcW w:w="1896" w:type="dxa"/>
            <w:shd w:val="clear" w:color="auto" w:fill="FFFFFF" w:themeFill="background1"/>
          </w:tcPr>
          <w:p w14:paraId="222A75A0" w14:textId="77777777" w:rsidR="00D140F7" w:rsidRPr="00261B7A" w:rsidRDefault="00D140F7" w:rsidP="009C63CA">
            <w:pPr>
              <w:pStyle w:val="TableText"/>
              <w:spacing w:before="40" w:after="40"/>
              <w:rPr>
                <w:rFonts w:cs="Calibri"/>
                <w:szCs w:val="16"/>
              </w:rPr>
            </w:pPr>
            <w:r w:rsidRPr="00261B7A">
              <w:rPr>
                <w:rFonts w:cs="Calibri"/>
                <w:szCs w:val="16"/>
              </w:rPr>
              <w:t xml:space="preserve">LULUCF – 4.F.2 Land converted to other land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br/>
              <w:t>(L.28,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51EF52F1"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L.21, 2021</w:t>
            </w:r>
          </w:p>
        </w:tc>
        <w:tc>
          <w:tcPr>
            <w:tcW w:w="2722" w:type="dxa"/>
            <w:shd w:val="clear" w:color="auto" w:fill="FFFFFF" w:themeFill="background1"/>
          </w:tcPr>
          <w:p w14:paraId="654DBCE4" w14:textId="77777777" w:rsidR="00D140F7" w:rsidRPr="00261B7A" w:rsidRDefault="00D140F7" w:rsidP="009C63CA">
            <w:pPr>
              <w:pStyle w:val="TableText"/>
              <w:spacing w:before="40" w:after="40"/>
              <w:rPr>
                <w:rFonts w:cs="Calibri"/>
                <w:szCs w:val="16"/>
              </w:rPr>
            </w:pPr>
            <w:r w:rsidRPr="00261B7A">
              <w:rPr>
                <w:rFonts w:cs="Calibri"/>
                <w:szCs w:val="16"/>
              </w:rPr>
              <w:t>Verify the occurrence of the conversion of land with organic soils to other land and, if SOC losses in organic soils converted to other land are not reported, use “NA” in the CRF table.</w:t>
            </w:r>
          </w:p>
        </w:tc>
        <w:tc>
          <w:tcPr>
            <w:tcW w:w="2892" w:type="dxa"/>
            <w:shd w:val="clear" w:color="auto" w:fill="FFFFFF" w:themeFill="background1"/>
          </w:tcPr>
          <w:p w14:paraId="725472C2" w14:textId="77777777" w:rsidR="00D140F7" w:rsidRPr="00261B7A" w:rsidRDefault="00D140F7" w:rsidP="009C63CA">
            <w:pPr>
              <w:pStyle w:val="TableText"/>
              <w:spacing w:before="40" w:after="40"/>
              <w:rPr>
                <w:rFonts w:cs="Calibri"/>
                <w:szCs w:val="16"/>
              </w:rPr>
            </w:pPr>
            <w:r w:rsidRPr="00261B7A">
              <w:rPr>
                <w:rFonts w:cs="Calibri"/>
                <w:b/>
                <w:bCs/>
                <w:szCs w:val="16"/>
              </w:rPr>
              <w:t xml:space="preserve">Not resolved. </w:t>
            </w:r>
            <w:r w:rsidRPr="00261B7A">
              <w:rPr>
                <w:rFonts w:cs="Calibri"/>
                <w:szCs w:val="16"/>
              </w:rPr>
              <w:t xml:space="preserve">The 1990 classification of </w:t>
            </w:r>
            <w:r w:rsidRPr="00261B7A">
              <w:rPr>
                <w:rFonts w:cs="Calibri"/>
                <w:i/>
                <w:iCs/>
                <w:szCs w:val="16"/>
              </w:rPr>
              <w:t>Other land</w:t>
            </w:r>
            <w:r w:rsidRPr="00261B7A">
              <w:rPr>
                <w:rFonts w:cs="Calibri"/>
                <w:szCs w:val="16"/>
              </w:rPr>
              <w:t xml:space="preserve"> is a scheduled improved activity. See chapter 6, section 6.8.6, for further information.</w:t>
            </w:r>
          </w:p>
        </w:tc>
      </w:tr>
      <w:tr w:rsidR="00D140F7" w:rsidRPr="00261B7A" w14:paraId="4CF33697" w14:textId="77777777" w:rsidTr="009C63CA">
        <w:tc>
          <w:tcPr>
            <w:tcW w:w="1896" w:type="dxa"/>
            <w:shd w:val="clear" w:color="auto" w:fill="FFFFFF" w:themeFill="background1"/>
          </w:tcPr>
          <w:p w14:paraId="5F515676" w14:textId="77777777" w:rsidR="00D140F7" w:rsidRPr="00261B7A" w:rsidRDefault="00D140F7" w:rsidP="009C63CA">
            <w:pPr>
              <w:pStyle w:val="TableText"/>
              <w:keepNext/>
              <w:spacing w:before="40" w:after="40"/>
              <w:rPr>
                <w:rFonts w:cs="Calibri"/>
                <w:szCs w:val="16"/>
              </w:rPr>
            </w:pPr>
            <w:r w:rsidRPr="00261B7A">
              <w:rPr>
                <w:rFonts w:cs="Calibri"/>
                <w:szCs w:val="16"/>
              </w:rPr>
              <w:t xml:space="preserve">LULUCF – 4(II) Emissions/removals from drainage and rewetting and other management of organic/mineral soils – </w:t>
            </w:r>
            <w:r w:rsidRPr="00261B7A">
              <w:rPr>
                <w:rFonts w:cs="Calibri"/>
                <w:szCs w:val="16"/>
                <w:lang w:eastAsia="en-US"/>
              </w:rPr>
              <w:t>N</w:t>
            </w:r>
            <w:r w:rsidRPr="00261B7A">
              <w:rPr>
                <w:rFonts w:cs="Calibri"/>
                <w:szCs w:val="16"/>
                <w:vertAlign w:val="subscript"/>
                <w:lang w:eastAsia="en-US"/>
              </w:rPr>
              <w:t>2</w:t>
            </w:r>
            <w:r w:rsidRPr="00261B7A">
              <w:rPr>
                <w:rFonts w:cs="Calibri"/>
                <w:szCs w:val="16"/>
                <w:lang w:eastAsia="en-US"/>
              </w:rPr>
              <w:t>O</w:t>
            </w:r>
            <w:r w:rsidRPr="00261B7A">
              <w:rPr>
                <w:rFonts w:cs="Calibri"/>
                <w:szCs w:val="16"/>
                <w:lang w:eastAsia="en-US"/>
              </w:rPr>
              <w:br/>
              <w:t>(L.29, 2019)</w:t>
            </w:r>
            <w:r w:rsidRPr="00261B7A">
              <w:rPr>
                <w:rFonts w:cs="Calibri"/>
                <w:szCs w:val="16"/>
                <w:lang w:eastAsia="en-US"/>
              </w:rPr>
              <w:br/>
            </w:r>
            <w:r w:rsidRPr="00261B7A">
              <w:rPr>
                <w:rFonts w:cs="Calibri"/>
                <w:szCs w:val="16"/>
              </w:rPr>
              <w:t>Completeness</w:t>
            </w:r>
          </w:p>
        </w:tc>
        <w:tc>
          <w:tcPr>
            <w:tcW w:w="919" w:type="dxa"/>
            <w:shd w:val="clear" w:color="auto" w:fill="FFFFFF" w:themeFill="background1"/>
          </w:tcPr>
          <w:p w14:paraId="4E6ED312"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L.22, 2021</w:t>
            </w:r>
          </w:p>
        </w:tc>
        <w:tc>
          <w:tcPr>
            <w:tcW w:w="2722" w:type="dxa"/>
            <w:shd w:val="clear" w:color="auto" w:fill="FFFFFF" w:themeFill="background1"/>
          </w:tcPr>
          <w:p w14:paraId="0CA42A17" w14:textId="77777777" w:rsidR="00D140F7" w:rsidRPr="00261B7A" w:rsidRDefault="00D140F7" w:rsidP="009C63CA">
            <w:pPr>
              <w:pStyle w:val="TableText"/>
              <w:spacing w:before="40" w:after="40"/>
              <w:rPr>
                <w:rFonts w:cs="Calibri"/>
                <w:szCs w:val="16"/>
              </w:rPr>
            </w:pPr>
            <w:r w:rsidRPr="00261B7A">
              <w:rPr>
                <w:rFonts w:cs="Calibri"/>
                <w:szCs w:val="16"/>
              </w:rPr>
              <w:t>Report N</w:t>
            </w:r>
            <w:r w:rsidRPr="00261B7A">
              <w:rPr>
                <w:rFonts w:cs="Calibri"/>
                <w:szCs w:val="16"/>
                <w:vertAlign w:val="subscript"/>
              </w:rPr>
              <w:t>2</w:t>
            </w:r>
            <w:r w:rsidRPr="00261B7A">
              <w:rPr>
                <w:rFonts w:cs="Calibri"/>
                <w:szCs w:val="16"/>
              </w:rPr>
              <w:t>O emissions from drainage of non-agricultural organic soils in CRF table 4(II) for each land category for which a SOC loss in organic soils is reported in CRF tables 4.A, 4.D and 4.E.</w:t>
            </w:r>
          </w:p>
        </w:tc>
        <w:tc>
          <w:tcPr>
            <w:tcW w:w="2892" w:type="dxa"/>
            <w:shd w:val="clear" w:color="auto" w:fill="FFFFFF" w:themeFill="background1"/>
          </w:tcPr>
          <w:p w14:paraId="10EF71F3" w14:textId="77777777" w:rsidR="00D140F7" w:rsidRPr="00261B7A" w:rsidRDefault="00D140F7" w:rsidP="009C63CA">
            <w:pPr>
              <w:pStyle w:val="TableText"/>
              <w:spacing w:before="40" w:after="40"/>
              <w:rPr>
                <w:rFonts w:cs="Calibri"/>
                <w:szCs w:val="16"/>
              </w:rPr>
            </w:pPr>
            <w:r w:rsidRPr="00261B7A">
              <w:rPr>
                <w:rFonts w:cs="Calibri"/>
                <w:b/>
                <w:bCs/>
                <w:szCs w:val="16"/>
              </w:rPr>
              <w:t xml:space="preserve">Addressing. </w:t>
            </w:r>
            <w:r w:rsidRPr="00261B7A">
              <w:rPr>
                <w:rFonts w:cs="Calibri"/>
                <w:szCs w:val="16"/>
              </w:rPr>
              <w:t xml:space="preserve">Emissions from drained organic soils in </w:t>
            </w:r>
            <w:r w:rsidRPr="00261B7A">
              <w:rPr>
                <w:rFonts w:cs="Calibri"/>
                <w:i/>
                <w:iCs/>
                <w:szCs w:val="16"/>
              </w:rPr>
              <w:t>Forest land</w:t>
            </w:r>
            <w:r w:rsidRPr="00261B7A">
              <w:rPr>
                <w:rFonts w:cs="Calibri"/>
                <w:szCs w:val="16"/>
              </w:rPr>
              <w:t xml:space="preserve"> have been calculated for this and the 2022 submission (see chapter 6, section 6.10.2). Note that during the review of the 2021 submission, the ERT acknowledged that there is no default method in the 2006 IPCC Guidelines (IPCC, 2006b) that can be applied to </w:t>
            </w:r>
            <w:r w:rsidRPr="00261B7A">
              <w:rPr>
                <w:rFonts w:cs="Calibri"/>
                <w:i/>
                <w:iCs/>
                <w:szCs w:val="16"/>
              </w:rPr>
              <w:t>Wetlands</w:t>
            </w:r>
            <w:r w:rsidRPr="00261B7A">
              <w:rPr>
                <w:rFonts w:cs="Calibri"/>
                <w:szCs w:val="16"/>
              </w:rPr>
              <w:t xml:space="preserve"> or </w:t>
            </w:r>
            <w:r w:rsidRPr="00261B7A">
              <w:rPr>
                <w:rFonts w:cs="Calibri"/>
                <w:i/>
                <w:iCs/>
                <w:szCs w:val="16"/>
              </w:rPr>
              <w:t>Settlements</w:t>
            </w:r>
            <w:r w:rsidRPr="00261B7A">
              <w:rPr>
                <w:rFonts w:cs="Calibri"/>
                <w:szCs w:val="16"/>
              </w:rPr>
              <w:t xml:space="preserve">. However, the ERT suggested that, because New Zealand considers most of its </w:t>
            </w:r>
            <w:r w:rsidRPr="00261B7A">
              <w:rPr>
                <w:rFonts w:cs="Calibri"/>
                <w:i/>
                <w:iCs/>
                <w:szCs w:val="16"/>
              </w:rPr>
              <w:t>Settlements</w:t>
            </w:r>
            <w:r w:rsidRPr="00261B7A">
              <w:rPr>
                <w:rFonts w:cs="Calibri"/>
                <w:szCs w:val="16"/>
              </w:rPr>
              <w:t xml:space="preserve"> area can be assimilated to </w:t>
            </w:r>
            <w:r w:rsidRPr="00261B7A">
              <w:rPr>
                <w:rFonts w:cs="Calibri"/>
                <w:i/>
                <w:iCs/>
                <w:szCs w:val="16"/>
              </w:rPr>
              <w:t>Grassland</w:t>
            </w:r>
            <w:r w:rsidRPr="00261B7A">
              <w:rPr>
                <w:rFonts w:cs="Calibri"/>
                <w:szCs w:val="16"/>
              </w:rPr>
              <w:t xml:space="preserve"> when it comes to soil carbon, the emission factors for </w:t>
            </w:r>
            <w:r w:rsidRPr="00261B7A">
              <w:rPr>
                <w:rFonts w:cs="Calibri"/>
                <w:i/>
                <w:iCs/>
                <w:szCs w:val="16"/>
              </w:rPr>
              <w:t>Grassland</w:t>
            </w:r>
            <w:r w:rsidRPr="00261B7A">
              <w:rPr>
                <w:rFonts w:cs="Calibri"/>
                <w:szCs w:val="16"/>
              </w:rPr>
              <w:t xml:space="preserve"> should be applied to </w:t>
            </w:r>
            <w:r w:rsidRPr="00261B7A">
              <w:rPr>
                <w:rFonts w:cs="Calibri"/>
                <w:i/>
                <w:iCs/>
                <w:szCs w:val="16"/>
              </w:rPr>
              <w:t>Settlements</w:t>
            </w:r>
            <w:r w:rsidRPr="00261B7A">
              <w:rPr>
                <w:rFonts w:cs="Calibri"/>
                <w:szCs w:val="16"/>
              </w:rPr>
              <w:t>. For this submission, these emissions have been calculated but not included in the CRF or emissions totals. For more information, see chapter 6, section 6.7.6.</w:t>
            </w:r>
          </w:p>
        </w:tc>
      </w:tr>
      <w:tr w:rsidR="00D140F7" w:rsidRPr="00261B7A" w14:paraId="6D2BA7E6" w14:textId="77777777" w:rsidTr="009C63CA">
        <w:tc>
          <w:tcPr>
            <w:tcW w:w="1896" w:type="dxa"/>
            <w:shd w:val="clear" w:color="auto" w:fill="FFFFFF" w:themeFill="background1"/>
          </w:tcPr>
          <w:p w14:paraId="29822B5A" w14:textId="77777777" w:rsidR="00D140F7" w:rsidRPr="00261B7A" w:rsidRDefault="00D140F7" w:rsidP="009C63CA">
            <w:pPr>
              <w:pStyle w:val="TableText"/>
              <w:spacing w:before="40" w:after="40"/>
              <w:rPr>
                <w:rFonts w:cs="Calibri"/>
                <w:szCs w:val="16"/>
              </w:rPr>
            </w:pPr>
            <w:r w:rsidRPr="00261B7A">
              <w:rPr>
                <w:rFonts w:cs="Calibri"/>
                <w:szCs w:val="16"/>
              </w:rPr>
              <w:t>LULUCF – 4(III) Direct N</w:t>
            </w:r>
            <w:r w:rsidRPr="00261B7A">
              <w:rPr>
                <w:rFonts w:cs="Calibri"/>
                <w:szCs w:val="16"/>
                <w:vertAlign w:val="subscript"/>
              </w:rPr>
              <w:t>2</w:t>
            </w:r>
            <w:r w:rsidRPr="00261B7A">
              <w:rPr>
                <w:rFonts w:cs="Calibri"/>
                <w:szCs w:val="16"/>
              </w:rPr>
              <w:t xml:space="preserve">O emissions from N mineralization/ immobilization – </w:t>
            </w:r>
            <w:r w:rsidRPr="00261B7A">
              <w:rPr>
                <w:rFonts w:cs="Calibri"/>
                <w:color w:val="000000"/>
                <w:szCs w:val="16"/>
              </w:rPr>
              <w:t>N</w:t>
            </w:r>
            <w:r w:rsidRPr="00261B7A">
              <w:rPr>
                <w:rFonts w:cs="Calibri"/>
                <w:color w:val="000000"/>
                <w:szCs w:val="16"/>
                <w:vertAlign w:val="subscript"/>
              </w:rPr>
              <w:t>2</w:t>
            </w:r>
            <w:r w:rsidRPr="00261B7A">
              <w:rPr>
                <w:rFonts w:cs="Calibri"/>
                <w:color w:val="000000"/>
                <w:szCs w:val="16"/>
              </w:rPr>
              <w:t>O</w:t>
            </w:r>
            <w:r w:rsidRPr="00261B7A">
              <w:rPr>
                <w:rFonts w:cs="Calibri"/>
                <w:color w:val="000000"/>
                <w:szCs w:val="16"/>
              </w:rPr>
              <w:br/>
              <w:t>(L.7, 2019) (L.9, 2017)</w:t>
            </w:r>
            <w:r w:rsidRPr="00261B7A">
              <w:rPr>
                <w:rFonts w:cs="Calibri"/>
                <w:color w:val="000000"/>
                <w:szCs w:val="16"/>
              </w:rPr>
              <w:br/>
            </w:r>
            <w:r w:rsidRPr="00261B7A">
              <w:rPr>
                <w:rFonts w:cs="Calibri"/>
                <w:szCs w:val="16"/>
              </w:rPr>
              <w:t>Convention reporting adherence</w:t>
            </w:r>
          </w:p>
        </w:tc>
        <w:tc>
          <w:tcPr>
            <w:tcW w:w="919" w:type="dxa"/>
            <w:shd w:val="clear" w:color="auto" w:fill="FFFFFF" w:themeFill="background1"/>
          </w:tcPr>
          <w:p w14:paraId="01C5F623"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L.23, 2021</w:t>
            </w:r>
          </w:p>
        </w:tc>
        <w:tc>
          <w:tcPr>
            <w:tcW w:w="2722" w:type="dxa"/>
            <w:shd w:val="clear" w:color="auto" w:fill="FFFFFF" w:themeFill="background1"/>
          </w:tcPr>
          <w:p w14:paraId="22805969" w14:textId="77777777" w:rsidR="00D140F7" w:rsidRPr="00261B7A" w:rsidRDefault="00D140F7" w:rsidP="009C63CA">
            <w:pPr>
              <w:pStyle w:val="TableText"/>
              <w:spacing w:before="40" w:after="40"/>
              <w:rPr>
                <w:rFonts w:cs="Calibri"/>
                <w:szCs w:val="16"/>
              </w:rPr>
            </w:pPr>
            <w:r w:rsidRPr="00261B7A">
              <w:rPr>
                <w:rFonts w:cs="Calibri"/>
                <w:szCs w:val="16"/>
              </w:rPr>
              <w:t>Correct the C/N ratio to 15:1 in the NIR (p. 300).</w:t>
            </w:r>
          </w:p>
        </w:tc>
        <w:tc>
          <w:tcPr>
            <w:tcW w:w="2892" w:type="dxa"/>
            <w:shd w:val="clear" w:color="auto" w:fill="FFFFFF" w:themeFill="background1"/>
          </w:tcPr>
          <w:p w14:paraId="30F2C992"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New Zealand has reported in chapter 6, section 6.10.3 that it used the default C/N ratio of 15:1.</w:t>
            </w:r>
          </w:p>
        </w:tc>
      </w:tr>
      <w:tr w:rsidR="00D140F7" w:rsidRPr="00261B7A" w14:paraId="2278D2A7" w14:textId="77777777" w:rsidTr="009C63CA">
        <w:tc>
          <w:tcPr>
            <w:tcW w:w="1896" w:type="dxa"/>
            <w:shd w:val="clear" w:color="auto" w:fill="FFFFFF" w:themeFill="background1"/>
          </w:tcPr>
          <w:p w14:paraId="3ED515CB" w14:textId="77777777" w:rsidR="00D140F7" w:rsidRPr="00261B7A" w:rsidRDefault="00D140F7" w:rsidP="009C63CA">
            <w:pPr>
              <w:pStyle w:val="TableText"/>
              <w:spacing w:before="40" w:after="40"/>
              <w:rPr>
                <w:rFonts w:cs="Calibri"/>
                <w:szCs w:val="16"/>
              </w:rPr>
            </w:pPr>
            <w:r w:rsidRPr="00261B7A">
              <w:rPr>
                <w:rFonts w:cs="Calibri"/>
                <w:szCs w:val="16"/>
              </w:rPr>
              <w:t>LULUCF – 4(III) Direct N</w:t>
            </w:r>
            <w:r w:rsidRPr="00261B7A">
              <w:rPr>
                <w:rFonts w:cs="Calibri"/>
                <w:szCs w:val="16"/>
                <w:vertAlign w:val="subscript"/>
              </w:rPr>
              <w:t>2</w:t>
            </w:r>
            <w:r w:rsidRPr="00261B7A">
              <w:rPr>
                <w:rFonts w:cs="Calibri"/>
                <w:szCs w:val="16"/>
              </w:rPr>
              <w:t xml:space="preserve">O emissions from N mineralization/ immobilization – </w:t>
            </w:r>
            <w:r w:rsidRPr="00261B7A">
              <w:rPr>
                <w:rFonts w:cs="Calibri"/>
                <w:szCs w:val="16"/>
                <w:lang w:eastAsia="en-US"/>
              </w:rPr>
              <w:t>N</w:t>
            </w:r>
            <w:r w:rsidRPr="00261B7A">
              <w:rPr>
                <w:rFonts w:cs="Calibri"/>
                <w:szCs w:val="16"/>
                <w:vertAlign w:val="subscript"/>
                <w:lang w:eastAsia="en-US"/>
              </w:rPr>
              <w:t>2</w:t>
            </w:r>
            <w:r w:rsidRPr="00261B7A">
              <w:rPr>
                <w:rFonts w:cs="Calibri"/>
                <w:szCs w:val="16"/>
                <w:lang w:eastAsia="en-US"/>
              </w:rPr>
              <w:t>O</w:t>
            </w:r>
            <w:r w:rsidRPr="00261B7A">
              <w:rPr>
                <w:rFonts w:cs="Calibri"/>
                <w:szCs w:val="16"/>
                <w:lang w:eastAsia="en-US"/>
              </w:rPr>
              <w:br/>
              <w:t>(L.30,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0FB1F4AD"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L.24, 2021</w:t>
            </w:r>
          </w:p>
        </w:tc>
        <w:tc>
          <w:tcPr>
            <w:tcW w:w="2722" w:type="dxa"/>
            <w:shd w:val="clear" w:color="auto" w:fill="FFFFFF" w:themeFill="background1"/>
          </w:tcPr>
          <w:p w14:paraId="390441DA" w14:textId="77777777" w:rsidR="00D140F7" w:rsidRPr="00261B7A" w:rsidRDefault="00D140F7" w:rsidP="009C63CA">
            <w:pPr>
              <w:pStyle w:val="TableText"/>
              <w:spacing w:before="40" w:after="40"/>
              <w:rPr>
                <w:rFonts w:cs="Calibri"/>
                <w:szCs w:val="16"/>
              </w:rPr>
            </w:pPr>
            <w:r w:rsidRPr="00261B7A">
              <w:rPr>
                <w:rFonts w:cs="Calibri"/>
                <w:szCs w:val="16"/>
              </w:rPr>
              <w:t>Revise the information reported in CRF table 4(III), ensuring that the area of each category reported corresponds to the area of the category where a SOC loss, resulting from a change of land use or management, actually occurred.</w:t>
            </w:r>
          </w:p>
        </w:tc>
        <w:tc>
          <w:tcPr>
            <w:tcW w:w="2892" w:type="dxa"/>
            <w:shd w:val="clear" w:color="auto" w:fill="FFFFFF" w:themeFill="background1"/>
          </w:tcPr>
          <w:p w14:paraId="735F1A17" w14:textId="77777777" w:rsidR="00D140F7" w:rsidRPr="00261B7A" w:rsidRDefault="00D140F7" w:rsidP="009C63CA">
            <w:pPr>
              <w:pStyle w:val="TableText"/>
              <w:spacing w:before="40" w:after="40"/>
              <w:rPr>
                <w:rFonts w:cs="Calibri"/>
                <w:szCs w:val="16"/>
              </w:rPr>
            </w:pPr>
            <w:r w:rsidRPr="00261B7A">
              <w:rPr>
                <w:rFonts w:cs="Calibri"/>
                <w:b/>
                <w:bCs/>
                <w:szCs w:val="16"/>
              </w:rPr>
              <w:t>Resolved.</w:t>
            </w:r>
            <w:r w:rsidRPr="00261B7A">
              <w:rPr>
                <w:rFonts w:cs="Calibri"/>
                <w:szCs w:val="16"/>
              </w:rPr>
              <w:t xml:space="preserve"> New Zealand revised the areas reported in CRF table 4(III), ensuring that the area of each category reported corresponds to the area of the category where a SOC loss occurred.</w:t>
            </w:r>
          </w:p>
        </w:tc>
      </w:tr>
      <w:tr w:rsidR="00D140F7" w:rsidRPr="00261B7A" w14:paraId="1FDA1AC1" w14:textId="77777777" w:rsidTr="009C63CA">
        <w:tc>
          <w:tcPr>
            <w:tcW w:w="1896" w:type="dxa"/>
            <w:shd w:val="clear" w:color="auto" w:fill="FFFFFF" w:themeFill="background1"/>
          </w:tcPr>
          <w:p w14:paraId="10361288" w14:textId="77777777" w:rsidR="00D140F7" w:rsidRPr="00261B7A" w:rsidRDefault="00D140F7" w:rsidP="009C63CA">
            <w:pPr>
              <w:pStyle w:val="TableText"/>
              <w:spacing w:before="40" w:after="40"/>
              <w:rPr>
                <w:rFonts w:cs="Calibri"/>
                <w:szCs w:val="16"/>
              </w:rPr>
            </w:pPr>
            <w:r w:rsidRPr="00261B7A">
              <w:rPr>
                <w:rFonts w:cs="Calibri"/>
                <w:szCs w:val="16"/>
              </w:rPr>
              <w:t>LULUCF – 4(IV) Indirect N</w:t>
            </w:r>
            <w:r w:rsidRPr="00261B7A">
              <w:rPr>
                <w:rFonts w:cs="Calibri"/>
                <w:szCs w:val="16"/>
                <w:vertAlign w:val="subscript"/>
              </w:rPr>
              <w:t>2</w:t>
            </w:r>
            <w:r w:rsidRPr="00261B7A">
              <w:rPr>
                <w:rFonts w:cs="Calibri"/>
                <w:szCs w:val="16"/>
              </w:rPr>
              <w:t xml:space="preserve">O emissions from managed soils – </w:t>
            </w:r>
            <w:r w:rsidRPr="00261B7A">
              <w:rPr>
                <w:rFonts w:cs="Calibri"/>
                <w:szCs w:val="16"/>
                <w:lang w:eastAsia="en-US"/>
              </w:rPr>
              <w:t>N</w:t>
            </w:r>
            <w:r w:rsidRPr="00261B7A">
              <w:rPr>
                <w:rFonts w:cs="Calibri"/>
                <w:szCs w:val="16"/>
                <w:vertAlign w:val="subscript"/>
                <w:lang w:eastAsia="en-US"/>
              </w:rPr>
              <w:t>2</w:t>
            </w:r>
            <w:r w:rsidRPr="00261B7A">
              <w:rPr>
                <w:rFonts w:cs="Calibri"/>
                <w:szCs w:val="16"/>
                <w:lang w:eastAsia="en-US"/>
              </w:rPr>
              <w:t>O</w:t>
            </w:r>
            <w:r w:rsidRPr="00261B7A">
              <w:rPr>
                <w:rFonts w:cs="Calibri"/>
                <w:szCs w:val="16"/>
                <w:lang w:eastAsia="en-US"/>
              </w:rPr>
              <w:br/>
              <w:t>(L.31, 2019)</w:t>
            </w:r>
            <w:r w:rsidRPr="00261B7A">
              <w:rPr>
                <w:rFonts w:cs="Calibri"/>
                <w:szCs w:val="16"/>
                <w:lang w:eastAsia="en-US"/>
              </w:rPr>
              <w:br/>
            </w:r>
            <w:r w:rsidRPr="00261B7A">
              <w:rPr>
                <w:rFonts w:cs="Calibri"/>
                <w:szCs w:val="16"/>
              </w:rPr>
              <w:t>Completeness</w:t>
            </w:r>
          </w:p>
        </w:tc>
        <w:tc>
          <w:tcPr>
            <w:tcW w:w="919" w:type="dxa"/>
            <w:shd w:val="clear" w:color="auto" w:fill="FFFFFF" w:themeFill="background1"/>
          </w:tcPr>
          <w:p w14:paraId="0571B849"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L.25, 2021</w:t>
            </w:r>
          </w:p>
        </w:tc>
        <w:tc>
          <w:tcPr>
            <w:tcW w:w="2722" w:type="dxa"/>
            <w:shd w:val="clear" w:color="auto" w:fill="FFFFFF" w:themeFill="background1"/>
          </w:tcPr>
          <w:p w14:paraId="76B789EE" w14:textId="77777777" w:rsidR="00D140F7" w:rsidRPr="00261B7A" w:rsidRDefault="00D140F7" w:rsidP="009C63CA">
            <w:pPr>
              <w:pStyle w:val="TableText"/>
              <w:spacing w:before="40" w:after="40"/>
              <w:rPr>
                <w:rFonts w:cs="Calibri"/>
                <w:szCs w:val="16"/>
              </w:rPr>
            </w:pPr>
            <w:r w:rsidRPr="00261B7A">
              <w:rPr>
                <w:rFonts w:cs="Calibri"/>
                <w:szCs w:val="16"/>
              </w:rPr>
              <w:t>Report indirect N</w:t>
            </w:r>
            <w:r w:rsidRPr="00261B7A">
              <w:rPr>
                <w:rFonts w:cs="Calibri"/>
                <w:szCs w:val="16"/>
                <w:vertAlign w:val="subscript"/>
              </w:rPr>
              <w:t>2</w:t>
            </w:r>
            <w:r w:rsidRPr="00261B7A">
              <w:rPr>
                <w:rFonts w:cs="Calibri"/>
                <w:szCs w:val="16"/>
              </w:rPr>
              <w:t>O emissions from leaching and run-off of N mineralization associated with SOC losses in mineral soils in CRF table 4(IV).</w:t>
            </w:r>
          </w:p>
        </w:tc>
        <w:tc>
          <w:tcPr>
            <w:tcW w:w="2892" w:type="dxa"/>
            <w:shd w:val="clear" w:color="auto" w:fill="FFFFFF" w:themeFill="background1"/>
          </w:tcPr>
          <w:p w14:paraId="7A335F40" w14:textId="77777777" w:rsidR="00D140F7" w:rsidRPr="00261B7A" w:rsidRDefault="00D140F7" w:rsidP="009C63CA">
            <w:pPr>
              <w:pStyle w:val="TableText"/>
              <w:spacing w:before="40" w:after="40"/>
              <w:rPr>
                <w:rFonts w:cs="Calibri"/>
                <w:szCs w:val="16"/>
              </w:rPr>
            </w:pPr>
            <w:r w:rsidRPr="00261B7A">
              <w:rPr>
                <w:rFonts w:cs="Calibri"/>
                <w:b/>
                <w:bCs/>
                <w:szCs w:val="16"/>
              </w:rPr>
              <w:t xml:space="preserve">Resolved. </w:t>
            </w:r>
            <w:r w:rsidRPr="00261B7A">
              <w:rPr>
                <w:rFonts w:cs="Calibri"/>
                <w:szCs w:val="16"/>
              </w:rPr>
              <w:t>New Zealand has reported in CRF table 4(IV) indirect N</w:t>
            </w:r>
            <w:r w:rsidRPr="00261B7A">
              <w:rPr>
                <w:rFonts w:cs="Calibri"/>
                <w:szCs w:val="16"/>
                <w:vertAlign w:val="subscript"/>
              </w:rPr>
              <w:t>2</w:t>
            </w:r>
            <w:r w:rsidRPr="00261B7A">
              <w:rPr>
                <w:rFonts w:cs="Calibri"/>
                <w:szCs w:val="16"/>
              </w:rPr>
              <w:t xml:space="preserve">O emissions from leaching and run-off for all land use categories other than </w:t>
            </w:r>
            <w:r w:rsidRPr="00261B7A">
              <w:rPr>
                <w:rFonts w:cs="Calibri"/>
                <w:i/>
                <w:iCs/>
                <w:szCs w:val="16"/>
              </w:rPr>
              <w:t>Cropland remaining cropland</w:t>
            </w:r>
            <w:r w:rsidRPr="00261B7A">
              <w:rPr>
                <w:rFonts w:cs="Calibri"/>
                <w:szCs w:val="16"/>
              </w:rPr>
              <w:t>.</w:t>
            </w:r>
          </w:p>
        </w:tc>
      </w:tr>
      <w:tr w:rsidR="00D140F7" w:rsidRPr="00261B7A" w14:paraId="1CC58564" w14:textId="77777777" w:rsidTr="009C63CA">
        <w:tc>
          <w:tcPr>
            <w:tcW w:w="1896" w:type="dxa"/>
            <w:shd w:val="clear" w:color="auto" w:fill="FFFFFF" w:themeFill="background1"/>
          </w:tcPr>
          <w:p w14:paraId="0D412560" w14:textId="77777777" w:rsidR="00D140F7" w:rsidRPr="00261B7A" w:rsidRDefault="00D140F7" w:rsidP="009C63CA">
            <w:pPr>
              <w:pStyle w:val="TableText"/>
              <w:spacing w:before="40" w:after="40"/>
              <w:rPr>
                <w:rFonts w:cs="Calibri"/>
                <w:szCs w:val="16"/>
              </w:rPr>
            </w:pPr>
            <w:r w:rsidRPr="00261B7A">
              <w:rPr>
                <w:rFonts w:cs="Calibri"/>
                <w:szCs w:val="16"/>
              </w:rPr>
              <w:t xml:space="preserve">5. General (waste)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t>, CH</w:t>
            </w:r>
            <w:r w:rsidRPr="00261B7A">
              <w:rPr>
                <w:rFonts w:cs="Calibri"/>
                <w:szCs w:val="16"/>
                <w:vertAlign w:val="subscript"/>
                <w:lang w:eastAsia="en-US"/>
              </w:rPr>
              <w:t>4</w:t>
            </w:r>
            <w:r w:rsidRPr="00261B7A">
              <w:rPr>
                <w:rFonts w:cs="Calibri"/>
                <w:szCs w:val="16"/>
                <w:lang w:eastAsia="en-US"/>
              </w:rPr>
              <w:t xml:space="preserve"> and N</w:t>
            </w:r>
            <w:r w:rsidRPr="00261B7A">
              <w:rPr>
                <w:rFonts w:cs="Calibri"/>
                <w:szCs w:val="16"/>
                <w:vertAlign w:val="subscript"/>
                <w:lang w:eastAsia="en-US"/>
              </w:rPr>
              <w:t>2</w:t>
            </w:r>
            <w:r w:rsidRPr="00261B7A">
              <w:rPr>
                <w:rFonts w:cs="Calibri"/>
                <w:szCs w:val="16"/>
                <w:lang w:eastAsia="en-US"/>
              </w:rPr>
              <w:t xml:space="preserve">O </w:t>
            </w:r>
            <w:r w:rsidRPr="00261B7A">
              <w:rPr>
                <w:rFonts w:cs="Calibri"/>
                <w:szCs w:val="16"/>
                <w:lang w:eastAsia="en-US"/>
              </w:rPr>
              <w:br/>
              <w:t>(W.17,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17437D63" w14:textId="77777777" w:rsidR="00D140F7" w:rsidRPr="00261B7A" w:rsidRDefault="00D140F7" w:rsidP="009C63CA">
            <w:pPr>
              <w:pStyle w:val="TableText"/>
              <w:spacing w:before="40" w:after="40"/>
              <w:rPr>
                <w:rFonts w:cs="Calibri"/>
                <w:szCs w:val="16"/>
              </w:rPr>
            </w:pPr>
            <w:r w:rsidRPr="00261B7A">
              <w:rPr>
                <w:rFonts w:eastAsia="Calibri" w:cs="Calibri"/>
                <w:szCs w:val="16"/>
              </w:rPr>
              <w:t>W.1, 2021</w:t>
            </w:r>
          </w:p>
        </w:tc>
        <w:tc>
          <w:tcPr>
            <w:tcW w:w="2722" w:type="dxa"/>
            <w:shd w:val="clear" w:color="auto" w:fill="FFFFFF" w:themeFill="background1"/>
          </w:tcPr>
          <w:p w14:paraId="132E0A92" w14:textId="77777777" w:rsidR="00D140F7" w:rsidRPr="00261B7A" w:rsidRDefault="00D140F7" w:rsidP="009C63CA">
            <w:pPr>
              <w:pStyle w:val="TableText"/>
              <w:spacing w:before="40" w:after="40"/>
              <w:rPr>
                <w:rFonts w:cs="Calibri"/>
                <w:szCs w:val="16"/>
              </w:rPr>
            </w:pPr>
            <w:r w:rsidRPr="00261B7A">
              <w:rPr>
                <w:rFonts w:cs="Calibri"/>
                <w:szCs w:val="16"/>
              </w:rPr>
              <w:t xml:space="preserve">Include more information on current waste management, such as an overview of MSW generation and its treatment method (recycling, composting, incineration or disposal) in NIR section 7.1.1, and its impact on the composition of waste disposed of at landfills. </w:t>
            </w:r>
          </w:p>
        </w:tc>
        <w:tc>
          <w:tcPr>
            <w:tcW w:w="2892" w:type="dxa"/>
            <w:shd w:val="clear" w:color="auto" w:fill="FFFFFF" w:themeFill="background1"/>
          </w:tcPr>
          <w:p w14:paraId="68584114" w14:textId="77777777" w:rsidR="00D140F7" w:rsidRPr="00261B7A" w:rsidRDefault="00D140F7" w:rsidP="009C63CA">
            <w:pPr>
              <w:pStyle w:val="TableText"/>
              <w:spacing w:before="40" w:after="40"/>
              <w:rPr>
                <w:rFonts w:cs="Calibri"/>
                <w:szCs w:val="16"/>
              </w:rPr>
            </w:pPr>
            <w:r w:rsidRPr="00261B7A">
              <w:rPr>
                <w:rFonts w:eastAsia="Calibri" w:cs="Calibri"/>
                <w:b/>
                <w:color w:val="000000"/>
                <w:szCs w:val="16"/>
              </w:rPr>
              <w:t>Resolved.</w:t>
            </w:r>
            <w:r w:rsidRPr="00261B7A">
              <w:rPr>
                <w:rFonts w:eastAsia="Calibri" w:cs="Calibri"/>
                <w:color w:val="000000"/>
                <w:szCs w:val="16"/>
              </w:rPr>
              <w:t xml:space="preserve"> Figure 7.1.1 has been added to chapter 7</w:t>
            </w:r>
            <w:r w:rsidRPr="00261B7A" w:rsidDel="000D06D9">
              <w:rPr>
                <w:rFonts w:eastAsia="Calibri" w:cs="Calibri"/>
                <w:color w:val="000000"/>
                <w:szCs w:val="16"/>
              </w:rPr>
              <w:t xml:space="preserve"> </w:t>
            </w:r>
            <w:r w:rsidRPr="00261B7A">
              <w:rPr>
                <w:rFonts w:eastAsia="Calibri" w:cs="Calibri"/>
                <w:color w:val="000000"/>
                <w:szCs w:val="16"/>
              </w:rPr>
              <w:t xml:space="preserve">in this NIR, to show key waste generation sources and disposal pathways. </w:t>
            </w:r>
          </w:p>
        </w:tc>
      </w:tr>
      <w:tr w:rsidR="00D140F7" w:rsidRPr="00261B7A" w14:paraId="55BD70EA" w14:textId="77777777" w:rsidTr="009C63CA">
        <w:tc>
          <w:tcPr>
            <w:tcW w:w="1896" w:type="dxa"/>
            <w:shd w:val="clear" w:color="auto" w:fill="FFFFFF" w:themeFill="background1"/>
          </w:tcPr>
          <w:p w14:paraId="609B2119" w14:textId="77777777" w:rsidR="00D140F7" w:rsidRPr="00261B7A" w:rsidRDefault="00D140F7" w:rsidP="009C63CA">
            <w:pPr>
              <w:pStyle w:val="TableText"/>
              <w:spacing w:before="40" w:after="40"/>
              <w:rPr>
                <w:rFonts w:cs="Calibri"/>
                <w:szCs w:val="16"/>
              </w:rPr>
            </w:pPr>
            <w:r w:rsidRPr="00261B7A">
              <w:rPr>
                <w:rFonts w:cs="Calibri"/>
                <w:szCs w:val="16"/>
              </w:rPr>
              <w:t xml:space="preserve">5. General (waste)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t>, CH</w:t>
            </w:r>
            <w:r w:rsidRPr="00261B7A">
              <w:rPr>
                <w:rFonts w:cs="Calibri"/>
                <w:szCs w:val="16"/>
                <w:vertAlign w:val="subscript"/>
                <w:lang w:eastAsia="en-US"/>
              </w:rPr>
              <w:t>4</w:t>
            </w:r>
            <w:r w:rsidRPr="00261B7A">
              <w:rPr>
                <w:rFonts w:cs="Calibri"/>
                <w:szCs w:val="16"/>
                <w:lang w:eastAsia="en-US"/>
              </w:rPr>
              <w:t xml:space="preserve"> and N</w:t>
            </w:r>
            <w:r w:rsidRPr="00261B7A">
              <w:rPr>
                <w:rFonts w:cs="Calibri"/>
                <w:szCs w:val="16"/>
                <w:vertAlign w:val="subscript"/>
                <w:lang w:eastAsia="en-US"/>
              </w:rPr>
              <w:t>2</w:t>
            </w:r>
            <w:r w:rsidRPr="00261B7A">
              <w:rPr>
                <w:rFonts w:cs="Calibri"/>
                <w:szCs w:val="16"/>
                <w:lang w:eastAsia="en-US"/>
              </w:rPr>
              <w:t xml:space="preserve">O </w:t>
            </w:r>
            <w:r w:rsidRPr="00261B7A">
              <w:rPr>
                <w:rFonts w:cs="Calibri"/>
                <w:szCs w:val="16"/>
                <w:lang w:eastAsia="en-US"/>
              </w:rPr>
              <w:br/>
              <w:t>(W.17,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3A5198C5" w14:textId="77777777" w:rsidR="00D140F7" w:rsidRPr="00261B7A" w:rsidRDefault="00D140F7" w:rsidP="009C63CA">
            <w:pPr>
              <w:pStyle w:val="TableText"/>
              <w:spacing w:before="40" w:after="40"/>
              <w:rPr>
                <w:rFonts w:cs="Calibri"/>
                <w:szCs w:val="16"/>
              </w:rPr>
            </w:pPr>
            <w:r w:rsidRPr="00261B7A">
              <w:rPr>
                <w:rFonts w:eastAsia="Calibri" w:cs="Calibri"/>
                <w:szCs w:val="16"/>
              </w:rPr>
              <w:t>W.2, 2021</w:t>
            </w:r>
          </w:p>
        </w:tc>
        <w:tc>
          <w:tcPr>
            <w:tcW w:w="2722" w:type="dxa"/>
            <w:shd w:val="clear" w:color="auto" w:fill="FFFFFF" w:themeFill="background1"/>
          </w:tcPr>
          <w:p w14:paraId="675E8B7D" w14:textId="77777777" w:rsidR="00D140F7" w:rsidRPr="00261B7A" w:rsidRDefault="00D140F7" w:rsidP="009C63CA">
            <w:pPr>
              <w:pStyle w:val="TableText"/>
              <w:spacing w:before="40" w:after="40"/>
              <w:rPr>
                <w:rFonts w:cs="Calibri"/>
                <w:szCs w:val="16"/>
              </w:rPr>
            </w:pPr>
            <w:r w:rsidRPr="00261B7A">
              <w:rPr>
                <w:rFonts w:cs="Calibri"/>
                <w:szCs w:val="16"/>
              </w:rPr>
              <w:t xml:space="preserve">Consider whether the potential changes in the composition of landfilled waste are appropriately reflected in the estimated emissions for category 5.A </w:t>
            </w:r>
            <w:r w:rsidRPr="00E32822">
              <w:rPr>
                <w:rFonts w:cs="Calibri"/>
                <w:spacing w:val="-2"/>
                <w:szCs w:val="16"/>
              </w:rPr>
              <w:t>and if not, recalculate the emissions and</w:t>
            </w:r>
            <w:r w:rsidRPr="00261B7A">
              <w:rPr>
                <w:rFonts w:cs="Calibri"/>
                <w:szCs w:val="16"/>
              </w:rPr>
              <w:t xml:space="preserve"> explain those recalculations in the NIR.</w:t>
            </w:r>
          </w:p>
        </w:tc>
        <w:tc>
          <w:tcPr>
            <w:tcW w:w="2892" w:type="dxa"/>
            <w:shd w:val="clear" w:color="auto" w:fill="FFFFFF" w:themeFill="background1"/>
          </w:tcPr>
          <w:p w14:paraId="311A3704" w14:textId="77777777" w:rsidR="00D140F7" w:rsidRPr="00261B7A" w:rsidRDefault="00D140F7" w:rsidP="009C63CA">
            <w:pPr>
              <w:pStyle w:val="TableText"/>
              <w:spacing w:before="40" w:after="40"/>
              <w:rPr>
                <w:rFonts w:cs="Calibri"/>
                <w:szCs w:val="16"/>
              </w:rPr>
            </w:pPr>
            <w:r w:rsidRPr="00261B7A">
              <w:rPr>
                <w:rFonts w:eastAsia="Calibri" w:cs="Calibri"/>
                <w:b/>
                <w:color w:val="000000"/>
                <w:szCs w:val="16"/>
              </w:rPr>
              <w:t>Resolved.</w:t>
            </w:r>
            <w:r w:rsidRPr="00261B7A">
              <w:rPr>
                <w:rFonts w:eastAsia="Calibri" w:cs="Calibri"/>
                <w:color w:val="000000"/>
                <w:szCs w:val="16"/>
              </w:rPr>
              <w:t xml:space="preserve"> Average waste composition for municipal landfills has been collected for 2018 that accounts for changing waste disposal practices for compostable materials (see chapter 7, table 7.2.5).</w:t>
            </w:r>
          </w:p>
        </w:tc>
      </w:tr>
      <w:tr w:rsidR="00D140F7" w:rsidRPr="00261B7A" w14:paraId="42AF4A2A" w14:textId="77777777" w:rsidTr="009C63CA">
        <w:tc>
          <w:tcPr>
            <w:tcW w:w="1896" w:type="dxa"/>
            <w:shd w:val="clear" w:color="auto" w:fill="FFFFFF" w:themeFill="background1"/>
          </w:tcPr>
          <w:p w14:paraId="5FA1A064" w14:textId="77777777" w:rsidR="00D140F7" w:rsidRPr="00261B7A" w:rsidRDefault="00D140F7" w:rsidP="009C63CA">
            <w:pPr>
              <w:pStyle w:val="TableText"/>
              <w:spacing w:before="40" w:after="40"/>
              <w:rPr>
                <w:rFonts w:cs="Calibri"/>
                <w:szCs w:val="16"/>
              </w:rPr>
            </w:pPr>
            <w:r w:rsidRPr="00261B7A">
              <w:rPr>
                <w:rFonts w:cs="Calibri"/>
                <w:szCs w:val="16"/>
              </w:rPr>
              <w:t xml:space="preserve">Waste – 5.A Solid waste disposal on land – </w:t>
            </w:r>
            <w:r w:rsidRPr="00261B7A">
              <w:rPr>
                <w:rFonts w:cs="Calibri"/>
                <w:color w:val="000000"/>
                <w:szCs w:val="16"/>
              </w:rPr>
              <w:t>CH</w:t>
            </w:r>
            <w:r w:rsidRPr="00261B7A">
              <w:rPr>
                <w:rFonts w:cs="Calibri"/>
                <w:color w:val="000000"/>
                <w:szCs w:val="16"/>
                <w:vertAlign w:val="subscript"/>
              </w:rPr>
              <w:t>4</w:t>
            </w:r>
            <w:r w:rsidRPr="00261B7A">
              <w:rPr>
                <w:rFonts w:cs="Calibri"/>
                <w:color w:val="000000"/>
                <w:szCs w:val="16"/>
              </w:rPr>
              <w:br/>
              <w:t>(W.4, 2019) (W.5, 2017) (W.4, 2016) (W.7, 2015)</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5692FEEF"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W.3, 2021</w:t>
            </w:r>
          </w:p>
        </w:tc>
        <w:tc>
          <w:tcPr>
            <w:tcW w:w="2722" w:type="dxa"/>
            <w:shd w:val="clear" w:color="auto" w:fill="FFFFFF" w:themeFill="background1"/>
          </w:tcPr>
          <w:p w14:paraId="604AF229" w14:textId="77777777" w:rsidR="00D140F7" w:rsidRPr="00261B7A" w:rsidRDefault="00D140F7" w:rsidP="009C63CA">
            <w:pPr>
              <w:pStyle w:val="TableText"/>
              <w:spacing w:before="40" w:after="40"/>
              <w:rPr>
                <w:rFonts w:cs="Calibri"/>
                <w:szCs w:val="16"/>
              </w:rPr>
            </w:pPr>
            <w:r w:rsidRPr="00261B7A">
              <w:rPr>
                <w:rFonts w:cs="Calibri"/>
                <w:szCs w:val="16"/>
              </w:rPr>
              <w:t>Provide substantive justification for the country-specific default values on CH</w:t>
            </w:r>
            <w:r w:rsidRPr="00261B7A">
              <w:rPr>
                <w:rFonts w:cs="Calibri"/>
                <w:szCs w:val="16"/>
                <w:vertAlign w:val="subscript"/>
              </w:rPr>
              <w:t>4</w:t>
            </w:r>
            <w:r w:rsidRPr="00261B7A">
              <w:rPr>
                <w:rFonts w:cs="Calibri"/>
                <w:szCs w:val="16"/>
              </w:rPr>
              <w:t xml:space="preserve"> recovery efficiency, including justification for the factors that can enhance the recovery, or revise estimates for CH</w:t>
            </w:r>
            <w:r w:rsidRPr="00261B7A">
              <w:rPr>
                <w:rFonts w:cs="Calibri"/>
                <w:szCs w:val="16"/>
                <w:vertAlign w:val="subscript"/>
              </w:rPr>
              <w:t>4</w:t>
            </w:r>
            <w:r w:rsidRPr="00261B7A">
              <w:rPr>
                <w:rFonts w:cs="Calibri"/>
                <w:szCs w:val="16"/>
              </w:rPr>
              <w:t xml:space="preserve"> recovery at SWDS for which metered data are not available to 20 per cent, in order to be consistent with the guidance in the 2006 IPCC Guidelines.</w:t>
            </w:r>
          </w:p>
        </w:tc>
        <w:tc>
          <w:tcPr>
            <w:tcW w:w="2892" w:type="dxa"/>
            <w:shd w:val="clear" w:color="auto" w:fill="FFFFFF" w:themeFill="background1"/>
          </w:tcPr>
          <w:p w14:paraId="3638F8D8" w14:textId="77777777" w:rsidR="00D140F7" w:rsidRPr="00261B7A" w:rsidRDefault="00D140F7" w:rsidP="009C63CA">
            <w:pPr>
              <w:pStyle w:val="TableText"/>
              <w:spacing w:before="40" w:after="40"/>
              <w:rPr>
                <w:rFonts w:cs="Calibri"/>
                <w:szCs w:val="16"/>
              </w:rPr>
            </w:pPr>
            <w:r w:rsidRPr="00261B7A">
              <w:rPr>
                <w:rFonts w:cs="Calibri"/>
                <w:b/>
                <w:szCs w:val="16"/>
              </w:rPr>
              <w:t xml:space="preserve">Resolved. </w:t>
            </w:r>
            <w:r w:rsidRPr="00261B7A">
              <w:rPr>
                <w:rFonts w:cs="Calibri"/>
                <w:szCs w:val="16"/>
              </w:rPr>
              <w:t xml:space="preserve">Methane recovery efficiency was revised for the 2021 submission according to Eunomia (unpublished). See chapter 7, section 7.2.2. </w:t>
            </w:r>
          </w:p>
        </w:tc>
      </w:tr>
      <w:tr w:rsidR="00D140F7" w:rsidRPr="00261B7A" w14:paraId="4C93E3E3" w14:textId="77777777" w:rsidTr="009C63CA">
        <w:tc>
          <w:tcPr>
            <w:tcW w:w="1896" w:type="dxa"/>
            <w:shd w:val="clear" w:color="auto" w:fill="FFFFFF" w:themeFill="background1"/>
          </w:tcPr>
          <w:p w14:paraId="59BD02F9" w14:textId="77777777" w:rsidR="00D140F7" w:rsidRPr="00261B7A" w:rsidRDefault="00D140F7" w:rsidP="009C63CA">
            <w:pPr>
              <w:pStyle w:val="TableText"/>
              <w:spacing w:before="40" w:after="40"/>
              <w:rPr>
                <w:rFonts w:cs="Calibri"/>
                <w:szCs w:val="16"/>
              </w:rPr>
            </w:pPr>
            <w:r w:rsidRPr="00261B7A">
              <w:rPr>
                <w:rFonts w:cs="Calibri"/>
                <w:szCs w:val="16"/>
              </w:rPr>
              <w:t xml:space="preserve">Waste – 5.A Solid waste disposal on land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t xml:space="preserve"> </w:t>
            </w:r>
            <w:r w:rsidRPr="00261B7A">
              <w:rPr>
                <w:rFonts w:cs="Calibri"/>
                <w:szCs w:val="16"/>
                <w:lang w:eastAsia="en-US"/>
              </w:rPr>
              <w:br/>
              <w:t>(W.18, 2019)</w:t>
            </w:r>
            <w:r w:rsidRPr="00261B7A">
              <w:rPr>
                <w:rFonts w:cs="Calibri"/>
                <w:szCs w:val="16"/>
                <w:lang w:eastAsia="en-US"/>
              </w:rPr>
              <w:br/>
            </w:r>
            <w:r w:rsidRPr="00261B7A">
              <w:rPr>
                <w:rFonts w:cs="Calibri"/>
                <w:szCs w:val="16"/>
              </w:rPr>
              <w:t>Convention reporting adherence</w:t>
            </w:r>
          </w:p>
        </w:tc>
        <w:tc>
          <w:tcPr>
            <w:tcW w:w="919" w:type="dxa"/>
            <w:shd w:val="clear" w:color="auto" w:fill="FFFFFF" w:themeFill="background1"/>
          </w:tcPr>
          <w:p w14:paraId="432802DE"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W.4, 2021</w:t>
            </w:r>
          </w:p>
        </w:tc>
        <w:tc>
          <w:tcPr>
            <w:tcW w:w="2722" w:type="dxa"/>
            <w:shd w:val="clear" w:color="auto" w:fill="FFFFFF" w:themeFill="background1"/>
          </w:tcPr>
          <w:p w14:paraId="7102D483" w14:textId="77777777" w:rsidR="00D140F7" w:rsidRPr="00261B7A" w:rsidRDefault="00D140F7" w:rsidP="009C63CA">
            <w:pPr>
              <w:pStyle w:val="TableText"/>
              <w:spacing w:before="40" w:after="40"/>
              <w:rPr>
                <w:rFonts w:cs="Calibri"/>
                <w:szCs w:val="16"/>
              </w:rPr>
            </w:pPr>
            <w:r w:rsidRPr="00261B7A">
              <w:rPr>
                <w:rFonts w:cs="Calibri"/>
                <w:szCs w:val="16"/>
              </w:rPr>
              <w:t>Correct the value for carbon storage for managed landfills without landfill gas capture.</w:t>
            </w:r>
          </w:p>
        </w:tc>
        <w:tc>
          <w:tcPr>
            <w:tcW w:w="2892" w:type="dxa"/>
            <w:shd w:val="clear" w:color="auto" w:fill="FFFFFF" w:themeFill="background1"/>
          </w:tcPr>
          <w:p w14:paraId="149FABF0" w14:textId="77777777" w:rsidR="00D140F7" w:rsidRPr="00261B7A" w:rsidRDefault="00D140F7" w:rsidP="009C63CA">
            <w:pPr>
              <w:pStyle w:val="TableText"/>
              <w:spacing w:before="40" w:after="40"/>
              <w:rPr>
                <w:rFonts w:cs="Calibri"/>
                <w:szCs w:val="16"/>
              </w:rPr>
            </w:pPr>
            <w:r w:rsidRPr="00261B7A">
              <w:rPr>
                <w:rFonts w:eastAsia="Calibri" w:cs="Calibri"/>
                <w:b/>
                <w:color w:val="000000"/>
                <w:szCs w:val="16"/>
              </w:rPr>
              <w:t>Resolved.</w:t>
            </w:r>
            <w:r w:rsidRPr="00261B7A">
              <w:rPr>
                <w:rFonts w:eastAsia="Calibri" w:cs="Calibri"/>
                <w:color w:val="000000"/>
                <w:szCs w:val="16"/>
              </w:rPr>
              <w:t xml:space="preserve"> This was corrected in CRF table 5.F.1 in the 2020 submission and was subsequently revised for the 2021 submission.</w:t>
            </w:r>
          </w:p>
        </w:tc>
      </w:tr>
      <w:tr w:rsidR="00D140F7" w:rsidRPr="00261B7A" w14:paraId="01A1F8B9" w14:textId="77777777" w:rsidTr="009C63CA">
        <w:tc>
          <w:tcPr>
            <w:tcW w:w="1896" w:type="dxa"/>
            <w:shd w:val="clear" w:color="auto" w:fill="FFFFFF" w:themeFill="background1"/>
          </w:tcPr>
          <w:p w14:paraId="609A632A" w14:textId="77777777" w:rsidR="00D140F7" w:rsidRPr="00261B7A" w:rsidRDefault="00D140F7" w:rsidP="009C63CA">
            <w:pPr>
              <w:pStyle w:val="TableText"/>
              <w:spacing w:before="40" w:after="40"/>
              <w:rPr>
                <w:rFonts w:cs="Calibri"/>
                <w:szCs w:val="16"/>
              </w:rPr>
            </w:pPr>
            <w:r w:rsidRPr="00261B7A">
              <w:rPr>
                <w:rFonts w:cs="Calibri"/>
                <w:szCs w:val="16"/>
              </w:rPr>
              <w:t xml:space="preserve">Waste – 5.A Solid waste disposal on land – </w:t>
            </w:r>
            <w:r w:rsidRPr="00261B7A">
              <w:rPr>
                <w:rFonts w:cs="Calibri"/>
                <w:szCs w:val="16"/>
                <w:lang w:eastAsia="en-US"/>
              </w:rPr>
              <w:t>CH</w:t>
            </w:r>
            <w:r w:rsidRPr="00261B7A">
              <w:rPr>
                <w:rFonts w:cs="Calibri"/>
                <w:szCs w:val="16"/>
                <w:vertAlign w:val="subscript"/>
                <w:lang w:eastAsia="en-US"/>
              </w:rPr>
              <w:t>4</w:t>
            </w:r>
            <w:r w:rsidRPr="00261B7A">
              <w:rPr>
                <w:rFonts w:cs="Calibri"/>
                <w:szCs w:val="16"/>
                <w:lang w:eastAsia="en-US"/>
              </w:rPr>
              <w:t xml:space="preserve"> </w:t>
            </w:r>
            <w:r w:rsidRPr="00261B7A">
              <w:rPr>
                <w:rFonts w:cs="Calibri"/>
                <w:szCs w:val="16"/>
                <w:lang w:eastAsia="en-US"/>
              </w:rPr>
              <w:br/>
              <w:t>(W.19,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1DDB2B16"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W.5, 2021</w:t>
            </w:r>
          </w:p>
        </w:tc>
        <w:tc>
          <w:tcPr>
            <w:tcW w:w="2722" w:type="dxa"/>
            <w:shd w:val="clear" w:color="auto" w:fill="FFFFFF" w:themeFill="background1"/>
          </w:tcPr>
          <w:p w14:paraId="7C10A2E3" w14:textId="77777777" w:rsidR="00D140F7" w:rsidRPr="00261B7A" w:rsidRDefault="00D140F7" w:rsidP="009C63CA">
            <w:pPr>
              <w:pStyle w:val="TableText"/>
              <w:spacing w:before="40" w:after="40"/>
              <w:rPr>
                <w:rFonts w:cs="Calibri"/>
                <w:szCs w:val="16"/>
              </w:rPr>
            </w:pPr>
            <w:r w:rsidRPr="00261B7A">
              <w:rPr>
                <w:rFonts w:cs="Calibri"/>
                <w:szCs w:val="16"/>
              </w:rPr>
              <w:t>Explain how many landfills are currently reporting under the ETS and how data on CH</w:t>
            </w:r>
            <w:r w:rsidRPr="00261B7A">
              <w:rPr>
                <w:rFonts w:cs="Calibri"/>
                <w:szCs w:val="16"/>
                <w:vertAlign w:val="subscript"/>
              </w:rPr>
              <w:t>4</w:t>
            </w:r>
            <w:r w:rsidRPr="00261B7A">
              <w:rPr>
                <w:rFonts w:cs="Calibri"/>
                <w:szCs w:val="16"/>
              </w:rPr>
              <w:t xml:space="preserve"> recovery are estimated and reported for both active and closed landfills with gas recovery.</w:t>
            </w:r>
          </w:p>
        </w:tc>
        <w:tc>
          <w:tcPr>
            <w:tcW w:w="2892" w:type="dxa"/>
            <w:shd w:val="clear" w:color="auto" w:fill="FFFFFF" w:themeFill="background1"/>
          </w:tcPr>
          <w:p w14:paraId="2545CBA3" w14:textId="77777777" w:rsidR="00D140F7" w:rsidRPr="00261B7A" w:rsidRDefault="00D140F7" w:rsidP="009C63CA">
            <w:pPr>
              <w:pStyle w:val="TableText"/>
              <w:spacing w:before="40" w:after="40"/>
              <w:rPr>
                <w:rFonts w:cs="Calibri"/>
                <w:szCs w:val="16"/>
              </w:rPr>
            </w:pPr>
            <w:r w:rsidRPr="00261B7A">
              <w:rPr>
                <w:rFonts w:eastAsia="Calibri" w:cs="Calibri"/>
                <w:b/>
                <w:color w:val="000000"/>
                <w:szCs w:val="16"/>
              </w:rPr>
              <w:t>Resolved.</w:t>
            </w:r>
            <w:r w:rsidRPr="00261B7A">
              <w:rPr>
                <w:rFonts w:eastAsia="Calibri" w:cs="Calibri"/>
                <w:color w:val="000000"/>
                <w:szCs w:val="16"/>
              </w:rPr>
              <w:t xml:space="preserve"> Table 7.2.2 in chapter 7 reports the amount of managed landfills for each type.</w:t>
            </w:r>
          </w:p>
        </w:tc>
      </w:tr>
      <w:tr w:rsidR="00D140F7" w:rsidRPr="00261B7A" w14:paraId="194C9BE5" w14:textId="77777777" w:rsidTr="009C63CA">
        <w:tc>
          <w:tcPr>
            <w:tcW w:w="1896" w:type="dxa"/>
            <w:shd w:val="clear" w:color="auto" w:fill="FFFFFF" w:themeFill="background1"/>
          </w:tcPr>
          <w:p w14:paraId="3DCF6FC7" w14:textId="77777777" w:rsidR="00D140F7" w:rsidRPr="00261B7A" w:rsidRDefault="00D140F7" w:rsidP="009C63CA">
            <w:pPr>
              <w:pStyle w:val="TableText"/>
              <w:spacing w:before="40" w:after="40"/>
              <w:rPr>
                <w:rFonts w:cs="Calibri"/>
                <w:szCs w:val="16"/>
              </w:rPr>
            </w:pPr>
            <w:r w:rsidRPr="00261B7A">
              <w:rPr>
                <w:rFonts w:cs="Calibri"/>
                <w:szCs w:val="16"/>
              </w:rPr>
              <w:t xml:space="preserve">Waste – 5.A Solid waste disposal on land – </w:t>
            </w:r>
            <w:r w:rsidRPr="00261B7A">
              <w:rPr>
                <w:rFonts w:cs="Calibri"/>
                <w:szCs w:val="16"/>
                <w:lang w:eastAsia="en-US"/>
              </w:rPr>
              <w:t>CH</w:t>
            </w:r>
            <w:r w:rsidRPr="00261B7A">
              <w:rPr>
                <w:rFonts w:cs="Calibri"/>
                <w:szCs w:val="16"/>
                <w:vertAlign w:val="subscript"/>
                <w:lang w:eastAsia="en-US"/>
              </w:rPr>
              <w:t>4</w:t>
            </w:r>
            <w:r w:rsidRPr="00261B7A">
              <w:rPr>
                <w:rFonts w:cs="Calibri"/>
                <w:szCs w:val="16"/>
                <w:lang w:eastAsia="en-US"/>
              </w:rPr>
              <w:t xml:space="preserve"> </w:t>
            </w:r>
            <w:r w:rsidRPr="00261B7A">
              <w:rPr>
                <w:rFonts w:cs="Calibri"/>
                <w:szCs w:val="16"/>
                <w:lang w:eastAsia="en-US"/>
              </w:rPr>
              <w:br/>
              <w:t>(W.20,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5A000354"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W.6, 2021</w:t>
            </w:r>
          </w:p>
        </w:tc>
        <w:tc>
          <w:tcPr>
            <w:tcW w:w="2722" w:type="dxa"/>
            <w:shd w:val="clear" w:color="auto" w:fill="FFFFFF" w:themeFill="background1"/>
          </w:tcPr>
          <w:p w14:paraId="4D8C913F" w14:textId="77777777" w:rsidR="00D140F7" w:rsidRPr="00261B7A" w:rsidRDefault="00D140F7" w:rsidP="009C63CA">
            <w:pPr>
              <w:pStyle w:val="TableText"/>
              <w:spacing w:before="40" w:after="40"/>
              <w:rPr>
                <w:rFonts w:cs="Calibri"/>
                <w:szCs w:val="16"/>
              </w:rPr>
            </w:pPr>
            <w:r w:rsidRPr="00261B7A">
              <w:rPr>
                <w:rFonts w:cs="Calibri"/>
                <w:szCs w:val="16"/>
              </w:rPr>
              <w:t>Include in the NIR further explanation of the specific approach to calculating the gas recovery rate, including the source of the waste composition data, EF and recovery rates, as well as a description of the ETS, providing relevant reference sources.</w:t>
            </w:r>
          </w:p>
        </w:tc>
        <w:tc>
          <w:tcPr>
            <w:tcW w:w="2892" w:type="dxa"/>
            <w:shd w:val="clear" w:color="auto" w:fill="FFFFFF" w:themeFill="background1"/>
          </w:tcPr>
          <w:p w14:paraId="24ACEEA9" w14:textId="77777777" w:rsidR="00D140F7" w:rsidRPr="00261B7A" w:rsidRDefault="00D140F7" w:rsidP="009C63CA">
            <w:pPr>
              <w:pStyle w:val="TableText"/>
              <w:spacing w:before="40" w:after="40"/>
              <w:rPr>
                <w:rFonts w:eastAsia="Calibri" w:cs="Calibri"/>
                <w:color w:val="000000" w:themeColor="text1"/>
                <w:szCs w:val="16"/>
              </w:rPr>
            </w:pPr>
            <w:r w:rsidRPr="00261B7A">
              <w:rPr>
                <w:rFonts w:eastAsia="Calibri" w:cs="Calibri"/>
                <w:b/>
                <w:color w:val="000000" w:themeColor="text1"/>
                <w:szCs w:val="16"/>
              </w:rPr>
              <w:t>Resolved.</w:t>
            </w:r>
            <w:r w:rsidRPr="00261B7A">
              <w:rPr>
                <w:rFonts w:eastAsia="Calibri" w:cs="Calibri"/>
                <w:color w:val="000000" w:themeColor="text1"/>
                <w:szCs w:val="16"/>
              </w:rPr>
              <w:t xml:space="preserve"> Chapter 7, section 7.2.2 (under Gas recovery),</w:t>
            </w:r>
            <w:r w:rsidRPr="00261B7A" w:rsidDel="001B26D3">
              <w:rPr>
                <w:rFonts w:eastAsia="Calibri" w:cs="Calibri"/>
                <w:color w:val="000000" w:themeColor="text1"/>
                <w:szCs w:val="16"/>
              </w:rPr>
              <w:t xml:space="preserve"> </w:t>
            </w:r>
            <w:r w:rsidRPr="00261B7A">
              <w:rPr>
                <w:rFonts w:eastAsia="Calibri" w:cs="Calibri"/>
                <w:color w:val="000000" w:themeColor="text1"/>
                <w:szCs w:val="16"/>
              </w:rPr>
              <w:t>explains the revised gas recovery methodology. Waste composition data are provided in table 7.2.5 and a summary of parameters is in table 7.2.8.</w:t>
            </w:r>
          </w:p>
        </w:tc>
      </w:tr>
      <w:tr w:rsidR="00D140F7" w:rsidRPr="00261B7A" w14:paraId="08D186B9" w14:textId="77777777" w:rsidTr="009C63CA">
        <w:tc>
          <w:tcPr>
            <w:tcW w:w="1896" w:type="dxa"/>
            <w:shd w:val="clear" w:color="auto" w:fill="FFFFFF" w:themeFill="background1"/>
          </w:tcPr>
          <w:p w14:paraId="2B055325" w14:textId="77777777" w:rsidR="00D140F7" w:rsidRPr="00261B7A" w:rsidRDefault="00D140F7" w:rsidP="009C63CA">
            <w:pPr>
              <w:pStyle w:val="TableText"/>
              <w:spacing w:before="40" w:after="40"/>
              <w:rPr>
                <w:rFonts w:cs="Calibri"/>
                <w:szCs w:val="16"/>
              </w:rPr>
            </w:pPr>
            <w:r w:rsidRPr="00261B7A">
              <w:rPr>
                <w:rFonts w:cs="Calibri"/>
                <w:szCs w:val="16"/>
              </w:rPr>
              <w:t xml:space="preserve">Waste – 5.A.1 Managed waste disposal sites – </w:t>
            </w:r>
            <w:r w:rsidRPr="00261B7A">
              <w:rPr>
                <w:rFonts w:cs="Calibri"/>
                <w:color w:val="000000"/>
                <w:szCs w:val="16"/>
              </w:rPr>
              <w:t>CH</w:t>
            </w:r>
            <w:r w:rsidRPr="00261B7A">
              <w:rPr>
                <w:rFonts w:cs="Calibri"/>
                <w:color w:val="000000"/>
                <w:szCs w:val="16"/>
                <w:vertAlign w:val="subscript"/>
              </w:rPr>
              <w:t>4</w:t>
            </w:r>
            <w:r w:rsidRPr="00261B7A">
              <w:rPr>
                <w:rFonts w:cs="Calibri"/>
                <w:color w:val="000000"/>
                <w:szCs w:val="16"/>
              </w:rPr>
              <w:br/>
              <w:t>(W.8, 2019) (W.9, 2017) (W.11, 2016)</w:t>
            </w:r>
            <w:r w:rsidRPr="00261B7A">
              <w:rPr>
                <w:rFonts w:cs="Calibri"/>
                <w:color w:val="000000"/>
                <w:szCs w:val="16"/>
              </w:rPr>
              <w:br/>
            </w:r>
            <w:r w:rsidRPr="00261B7A">
              <w:rPr>
                <w:rFonts w:cs="Calibri"/>
                <w:szCs w:val="16"/>
              </w:rPr>
              <w:t>Transparency</w:t>
            </w:r>
          </w:p>
        </w:tc>
        <w:tc>
          <w:tcPr>
            <w:tcW w:w="919" w:type="dxa"/>
            <w:shd w:val="clear" w:color="auto" w:fill="FFFFFF" w:themeFill="background1"/>
          </w:tcPr>
          <w:p w14:paraId="065379B4"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W.7, 2021</w:t>
            </w:r>
          </w:p>
        </w:tc>
        <w:tc>
          <w:tcPr>
            <w:tcW w:w="2722" w:type="dxa"/>
            <w:shd w:val="clear" w:color="auto" w:fill="FFFFFF" w:themeFill="background1"/>
          </w:tcPr>
          <w:p w14:paraId="4B7097E7" w14:textId="77777777" w:rsidR="00D140F7" w:rsidRPr="00261B7A" w:rsidRDefault="00D140F7" w:rsidP="009C63CA">
            <w:pPr>
              <w:pStyle w:val="TableText"/>
              <w:spacing w:before="40" w:after="40"/>
              <w:rPr>
                <w:rFonts w:cs="Calibri"/>
                <w:szCs w:val="16"/>
              </w:rPr>
            </w:pPr>
            <w:r w:rsidRPr="00261B7A">
              <w:rPr>
                <w:rFonts w:cs="Calibri"/>
                <w:color w:val="000000"/>
                <w:szCs w:val="16"/>
              </w:rPr>
              <w:t>Either provide a better justification for the country-specific rate constant for biodegradation in landfills for municipal solid waste, or calculate CH</w:t>
            </w:r>
            <w:r w:rsidRPr="00261B7A">
              <w:rPr>
                <w:rFonts w:cs="Calibri"/>
                <w:color w:val="000000"/>
                <w:szCs w:val="16"/>
                <w:vertAlign w:val="subscript"/>
              </w:rPr>
              <w:t>4</w:t>
            </w:r>
            <w:r w:rsidRPr="00261B7A">
              <w:rPr>
                <w:rFonts w:cs="Calibri"/>
                <w:color w:val="000000"/>
                <w:szCs w:val="16"/>
              </w:rPr>
              <w:t xml:space="preserve"> generation for municipal landfills with the default rate constant k for biodegradation from the 2006 IPCC Guidelines.</w:t>
            </w:r>
          </w:p>
        </w:tc>
        <w:tc>
          <w:tcPr>
            <w:tcW w:w="2892" w:type="dxa"/>
            <w:shd w:val="clear" w:color="auto" w:fill="FFFFFF" w:themeFill="background1"/>
          </w:tcPr>
          <w:p w14:paraId="39804485" w14:textId="77777777" w:rsidR="00D140F7" w:rsidRPr="00261B7A" w:rsidRDefault="00D140F7" w:rsidP="009C63CA">
            <w:pPr>
              <w:pStyle w:val="TableText"/>
              <w:spacing w:before="40" w:after="40"/>
              <w:rPr>
                <w:rFonts w:cs="Calibri"/>
                <w:szCs w:val="16"/>
              </w:rPr>
            </w:pPr>
            <w:r w:rsidRPr="00261B7A">
              <w:rPr>
                <w:rFonts w:cs="Calibri"/>
                <w:b/>
                <w:szCs w:val="16"/>
              </w:rPr>
              <w:t>Resolved.</w:t>
            </w:r>
            <w:r w:rsidRPr="00261B7A">
              <w:rPr>
                <w:rFonts w:cs="Calibri"/>
                <w:szCs w:val="16"/>
              </w:rPr>
              <w:t xml:space="preserve"> The k-values were revised for the 2021 submission according to Eunomia (unpublished). See chapter 7, section 7.2.2.</w:t>
            </w:r>
          </w:p>
        </w:tc>
      </w:tr>
      <w:tr w:rsidR="00D140F7" w:rsidRPr="00261B7A" w14:paraId="49FC1FD8" w14:textId="77777777" w:rsidTr="009C63CA">
        <w:tc>
          <w:tcPr>
            <w:tcW w:w="1896" w:type="dxa"/>
            <w:shd w:val="clear" w:color="auto" w:fill="FFFFFF" w:themeFill="background1"/>
          </w:tcPr>
          <w:p w14:paraId="692A29F7" w14:textId="77777777" w:rsidR="00D140F7" w:rsidRPr="00261B7A" w:rsidRDefault="00D140F7" w:rsidP="009C63CA">
            <w:pPr>
              <w:pStyle w:val="TableText"/>
              <w:spacing w:before="40" w:after="40"/>
              <w:rPr>
                <w:rFonts w:cs="Calibri"/>
                <w:szCs w:val="16"/>
              </w:rPr>
            </w:pPr>
            <w:r w:rsidRPr="00261B7A">
              <w:rPr>
                <w:rFonts w:cs="Calibri"/>
                <w:szCs w:val="16"/>
              </w:rPr>
              <w:t xml:space="preserve">Waste – 5.C.1 Waste incineration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t xml:space="preserve"> </w:t>
            </w:r>
            <w:r w:rsidRPr="00261B7A">
              <w:rPr>
                <w:rFonts w:cs="Calibri"/>
                <w:szCs w:val="16"/>
                <w:lang w:eastAsia="en-US"/>
              </w:rPr>
              <w:br/>
              <w:t>(W.21, 2019)</w:t>
            </w:r>
            <w:r w:rsidRPr="00261B7A">
              <w:rPr>
                <w:rFonts w:cs="Calibri"/>
                <w:szCs w:val="16"/>
                <w:lang w:eastAsia="en-US"/>
              </w:rPr>
              <w:br/>
            </w:r>
            <w:r w:rsidRPr="00261B7A">
              <w:rPr>
                <w:rFonts w:cs="Calibri"/>
                <w:szCs w:val="16"/>
              </w:rPr>
              <w:t>Convention reporting adherence</w:t>
            </w:r>
          </w:p>
        </w:tc>
        <w:tc>
          <w:tcPr>
            <w:tcW w:w="919" w:type="dxa"/>
            <w:shd w:val="clear" w:color="auto" w:fill="FFFFFF" w:themeFill="background1"/>
          </w:tcPr>
          <w:p w14:paraId="1198E2DE"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W.8, 2021</w:t>
            </w:r>
          </w:p>
        </w:tc>
        <w:tc>
          <w:tcPr>
            <w:tcW w:w="2722" w:type="dxa"/>
            <w:shd w:val="clear" w:color="auto" w:fill="FFFFFF" w:themeFill="background1"/>
          </w:tcPr>
          <w:p w14:paraId="314414F9" w14:textId="77777777" w:rsidR="00D140F7" w:rsidRPr="00261B7A" w:rsidRDefault="00D140F7" w:rsidP="009C63CA">
            <w:pPr>
              <w:pStyle w:val="TableText"/>
              <w:spacing w:before="40" w:after="40"/>
              <w:rPr>
                <w:rFonts w:cs="Calibri"/>
                <w:szCs w:val="16"/>
              </w:rPr>
            </w:pPr>
            <w:r w:rsidRPr="00261B7A">
              <w:rPr>
                <w:rFonts w:cs="Calibri"/>
                <w:szCs w:val="16"/>
              </w:rPr>
              <w:t xml:space="preserve">Investigate historical data on waste incineration in schools and revise the estimates, if appropriate. </w:t>
            </w:r>
          </w:p>
        </w:tc>
        <w:tc>
          <w:tcPr>
            <w:tcW w:w="2892" w:type="dxa"/>
            <w:shd w:val="clear" w:color="auto" w:fill="FFFFFF" w:themeFill="background1"/>
          </w:tcPr>
          <w:p w14:paraId="1BE56263" w14:textId="77777777" w:rsidR="00D140F7" w:rsidRPr="00261B7A" w:rsidRDefault="00D140F7" w:rsidP="009C63CA">
            <w:pPr>
              <w:pStyle w:val="TableText"/>
              <w:spacing w:before="40" w:after="40"/>
              <w:rPr>
                <w:rFonts w:cs="Calibri"/>
                <w:szCs w:val="16"/>
              </w:rPr>
            </w:pPr>
            <w:r w:rsidRPr="00261B7A">
              <w:rPr>
                <w:rFonts w:eastAsia="Calibri" w:cs="Calibri"/>
                <w:b/>
                <w:bCs/>
                <w:color w:val="000000" w:themeColor="text1"/>
                <w:szCs w:val="16"/>
              </w:rPr>
              <w:t>Resolved.</w:t>
            </w:r>
            <w:r w:rsidRPr="00261B7A">
              <w:rPr>
                <w:rFonts w:eastAsia="Calibri" w:cs="Calibri"/>
                <w:color w:val="000000" w:themeColor="text1"/>
                <w:szCs w:val="16"/>
              </w:rPr>
              <w:t xml:space="preserve"> New Zealand has investigated </w:t>
            </w:r>
            <w:r w:rsidRPr="00261B7A">
              <w:rPr>
                <w:rFonts w:cs="Calibri"/>
                <w:szCs w:val="16"/>
              </w:rPr>
              <w:t xml:space="preserve">historical data on waste incineration in schools. </w:t>
            </w:r>
            <w:r w:rsidRPr="00261B7A">
              <w:rPr>
                <w:rFonts w:eastAsia="Calibri" w:cs="Calibri"/>
                <w:color w:val="000000" w:themeColor="text1"/>
                <w:szCs w:val="16"/>
              </w:rPr>
              <w:t xml:space="preserve">There is no additional data on the practice of incinerating waste in rural schools. New Zealand has </w:t>
            </w:r>
            <w:r w:rsidRPr="00261B7A">
              <w:rPr>
                <w:rFonts w:cs="Calibri"/>
                <w:szCs w:val="16"/>
              </w:rPr>
              <w:t xml:space="preserve">corrected its reporting of this source in CRF table 5.C so that it is in accordance with the explanation provided in the 2021 NIR. </w:t>
            </w:r>
          </w:p>
        </w:tc>
      </w:tr>
      <w:tr w:rsidR="00D140F7" w:rsidRPr="00261B7A" w14:paraId="3A71351C" w14:textId="77777777" w:rsidTr="009C63CA">
        <w:tc>
          <w:tcPr>
            <w:tcW w:w="1896" w:type="dxa"/>
            <w:shd w:val="clear" w:color="auto" w:fill="FFFFFF" w:themeFill="background1"/>
          </w:tcPr>
          <w:p w14:paraId="685E7DEE" w14:textId="77777777" w:rsidR="00D140F7" w:rsidRPr="00261B7A" w:rsidRDefault="00D140F7" w:rsidP="009C63CA">
            <w:pPr>
              <w:pStyle w:val="TableText"/>
              <w:spacing w:before="40" w:after="40"/>
              <w:rPr>
                <w:rFonts w:cs="Calibri"/>
                <w:szCs w:val="16"/>
              </w:rPr>
            </w:pPr>
            <w:r w:rsidRPr="00261B7A">
              <w:rPr>
                <w:rFonts w:cs="Calibri"/>
                <w:szCs w:val="16"/>
              </w:rPr>
              <w:t xml:space="preserve">Waste – 5.C.1 Waste incineration – </w:t>
            </w:r>
            <w:r w:rsidRPr="00261B7A">
              <w:rPr>
                <w:rFonts w:cs="Calibri"/>
                <w:szCs w:val="16"/>
                <w:lang w:eastAsia="en-US"/>
              </w:rPr>
              <w:t>CO</w:t>
            </w:r>
            <w:r w:rsidRPr="00261B7A">
              <w:rPr>
                <w:rFonts w:cs="Calibri"/>
                <w:szCs w:val="16"/>
                <w:vertAlign w:val="subscript"/>
                <w:lang w:eastAsia="en-US"/>
              </w:rPr>
              <w:t>2</w:t>
            </w:r>
            <w:r w:rsidRPr="00261B7A">
              <w:rPr>
                <w:rFonts w:cs="Calibri"/>
                <w:szCs w:val="16"/>
                <w:lang w:eastAsia="en-US"/>
              </w:rPr>
              <w:t xml:space="preserve"> </w:t>
            </w:r>
            <w:r w:rsidRPr="00261B7A">
              <w:rPr>
                <w:rFonts w:cs="Calibri"/>
                <w:szCs w:val="16"/>
                <w:lang w:eastAsia="en-US"/>
              </w:rPr>
              <w:br/>
              <w:t>(W.21, 2019)</w:t>
            </w:r>
            <w:r w:rsidRPr="00261B7A">
              <w:rPr>
                <w:rFonts w:cs="Calibri"/>
                <w:szCs w:val="16"/>
                <w:lang w:eastAsia="en-US"/>
              </w:rPr>
              <w:br/>
            </w:r>
            <w:r w:rsidRPr="00261B7A">
              <w:rPr>
                <w:rFonts w:cs="Calibri"/>
                <w:szCs w:val="16"/>
              </w:rPr>
              <w:t>Transparency</w:t>
            </w:r>
          </w:p>
        </w:tc>
        <w:tc>
          <w:tcPr>
            <w:tcW w:w="919" w:type="dxa"/>
            <w:shd w:val="clear" w:color="auto" w:fill="FFFFFF" w:themeFill="background1"/>
          </w:tcPr>
          <w:p w14:paraId="0C11F2D9"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W.9, 2021</w:t>
            </w:r>
          </w:p>
        </w:tc>
        <w:tc>
          <w:tcPr>
            <w:tcW w:w="2722" w:type="dxa"/>
            <w:shd w:val="clear" w:color="auto" w:fill="FFFFFF" w:themeFill="background1"/>
          </w:tcPr>
          <w:p w14:paraId="279E2B14" w14:textId="77777777" w:rsidR="00D140F7" w:rsidRPr="00261B7A" w:rsidRDefault="00D140F7" w:rsidP="009C63CA">
            <w:pPr>
              <w:pStyle w:val="TableText"/>
              <w:spacing w:before="40" w:after="40"/>
              <w:rPr>
                <w:rFonts w:cs="Calibri"/>
                <w:szCs w:val="16"/>
              </w:rPr>
            </w:pPr>
            <w:r w:rsidRPr="00261B7A">
              <w:rPr>
                <w:rFonts w:cs="Calibri"/>
                <w:szCs w:val="16"/>
              </w:rPr>
              <w:t>Include a relevant description on waste incineration in schools in the NIR or revise the NIR text, as appropriate.</w:t>
            </w:r>
          </w:p>
        </w:tc>
        <w:tc>
          <w:tcPr>
            <w:tcW w:w="2892" w:type="dxa"/>
            <w:shd w:val="clear" w:color="auto" w:fill="FFFFFF" w:themeFill="background1"/>
          </w:tcPr>
          <w:p w14:paraId="79E7533D" w14:textId="77777777" w:rsidR="00D140F7" w:rsidRPr="00261B7A" w:rsidRDefault="00D140F7" w:rsidP="009C63CA">
            <w:pPr>
              <w:pStyle w:val="TableText"/>
              <w:spacing w:before="40" w:after="40"/>
              <w:rPr>
                <w:rFonts w:cs="Calibri"/>
                <w:szCs w:val="16"/>
              </w:rPr>
            </w:pPr>
            <w:r w:rsidRPr="00261B7A">
              <w:rPr>
                <w:rFonts w:eastAsia="Calibri" w:cs="Calibri"/>
                <w:b/>
                <w:color w:val="000000"/>
                <w:szCs w:val="16"/>
              </w:rPr>
              <w:t>Resolved.</w:t>
            </w:r>
            <w:r w:rsidRPr="00261B7A">
              <w:rPr>
                <w:rFonts w:eastAsia="Calibri" w:cs="Calibri"/>
                <w:color w:val="000000"/>
                <w:szCs w:val="16"/>
              </w:rPr>
              <w:t xml:space="preserve"> Incineration of waste in rural schools is not estimated. See annex 6, section A6.2, for detail.</w:t>
            </w:r>
          </w:p>
        </w:tc>
      </w:tr>
      <w:tr w:rsidR="00D140F7" w:rsidRPr="00261B7A" w14:paraId="106DF594" w14:textId="77777777" w:rsidTr="009C63CA">
        <w:tc>
          <w:tcPr>
            <w:tcW w:w="1896" w:type="dxa"/>
            <w:shd w:val="clear" w:color="auto" w:fill="FFFFFF" w:themeFill="background1"/>
          </w:tcPr>
          <w:p w14:paraId="240F4705" w14:textId="77777777" w:rsidR="00D140F7" w:rsidRPr="00261B7A" w:rsidRDefault="00D140F7" w:rsidP="009C63CA">
            <w:pPr>
              <w:pStyle w:val="TableText"/>
              <w:spacing w:before="40" w:after="40"/>
              <w:rPr>
                <w:rFonts w:cs="Calibri"/>
                <w:szCs w:val="16"/>
              </w:rPr>
            </w:pPr>
            <w:r w:rsidRPr="00261B7A">
              <w:rPr>
                <w:rFonts w:cs="Calibri"/>
                <w:szCs w:val="16"/>
              </w:rPr>
              <w:t xml:space="preserve">Waste – 5.D Wastewater treatment and discharge – </w:t>
            </w:r>
            <w:r w:rsidRPr="00261B7A">
              <w:rPr>
                <w:rFonts w:cs="Calibri"/>
                <w:szCs w:val="16"/>
                <w:lang w:eastAsia="en-US"/>
              </w:rPr>
              <w:t>N</w:t>
            </w:r>
            <w:r w:rsidRPr="00261B7A">
              <w:rPr>
                <w:rFonts w:cs="Calibri"/>
                <w:szCs w:val="16"/>
                <w:vertAlign w:val="subscript"/>
                <w:lang w:eastAsia="en-US"/>
              </w:rPr>
              <w:t>2</w:t>
            </w:r>
            <w:r w:rsidRPr="00261B7A">
              <w:rPr>
                <w:rFonts w:cs="Calibri"/>
                <w:szCs w:val="16"/>
                <w:lang w:eastAsia="en-US"/>
              </w:rPr>
              <w:t>O</w:t>
            </w:r>
            <w:r w:rsidRPr="00261B7A">
              <w:rPr>
                <w:rFonts w:cs="Calibri"/>
                <w:szCs w:val="16"/>
                <w:lang w:eastAsia="en-US"/>
              </w:rPr>
              <w:br/>
              <w:t>(W.22,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7924481B"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W.10, 2021</w:t>
            </w:r>
          </w:p>
        </w:tc>
        <w:tc>
          <w:tcPr>
            <w:tcW w:w="2722" w:type="dxa"/>
            <w:shd w:val="clear" w:color="auto" w:fill="FFFFFF" w:themeFill="background1"/>
          </w:tcPr>
          <w:p w14:paraId="7FEF23F9" w14:textId="77777777" w:rsidR="00D140F7" w:rsidRPr="00261B7A" w:rsidRDefault="00D140F7" w:rsidP="009C63CA">
            <w:pPr>
              <w:pStyle w:val="TableText"/>
              <w:spacing w:before="40" w:after="40"/>
              <w:rPr>
                <w:rFonts w:cs="Calibri"/>
                <w:szCs w:val="16"/>
              </w:rPr>
            </w:pPr>
            <w:r w:rsidRPr="00261B7A">
              <w:rPr>
                <w:rFonts w:cs="Calibri"/>
                <w:szCs w:val="16"/>
              </w:rPr>
              <w:t>Revise the reporting of N</w:t>
            </w:r>
            <w:r w:rsidRPr="00261B7A">
              <w:rPr>
                <w:rFonts w:cs="Calibri"/>
                <w:szCs w:val="16"/>
                <w:vertAlign w:val="subscript"/>
              </w:rPr>
              <w:t>2</w:t>
            </w:r>
            <w:r w:rsidRPr="00261B7A">
              <w:rPr>
                <w:rFonts w:cs="Calibri"/>
                <w:szCs w:val="16"/>
              </w:rPr>
              <w:t>O emissions from industrial wastewater and sewage sludge applied to soils in the agriculture and waste chapters of the NIR and in CRF table 3.D, and explain any recalculation in the NIR.</w:t>
            </w:r>
          </w:p>
        </w:tc>
        <w:tc>
          <w:tcPr>
            <w:tcW w:w="2892" w:type="dxa"/>
            <w:shd w:val="clear" w:color="auto" w:fill="FFFFFF" w:themeFill="background1"/>
          </w:tcPr>
          <w:p w14:paraId="14440484" w14:textId="77777777" w:rsidR="00D140F7" w:rsidRPr="00261B7A" w:rsidRDefault="00D140F7" w:rsidP="009C63CA">
            <w:pPr>
              <w:pStyle w:val="TableText"/>
              <w:spacing w:before="40" w:after="40"/>
              <w:rPr>
                <w:rFonts w:cs="Calibri"/>
                <w:szCs w:val="16"/>
              </w:rPr>
            </w:pPr>
            <w:r w:rsidRPr="00261B7A">
              <w:rPr>
                <w:rFonts w:eastAsia="Calibri" w:cs="Calibri"/>
                <w:b/>
                <w:color w:val="000000"/>
                <w:szCs w:val="16"/>
              </w:rPr>
              <w:t>Not resolved.</w:t>
            </w:r>
            <w:r w:rsidRPr="00261B7A">
              <w:rPr>
                <w:rFonts w:eastAsia="Calibri" w:cs="Calibri"/>
                <w:color w:val="000000"/>
                <w:szCs w:val="16"/>
              </w:rPr>
              <w:t xml:space="preserve"> This will be addressed in a future submission. It has not been prioritised due to the insignificant emissions associated with sludge.</w:t>
            </w:r>
          </w:p>
        </w:tc>
      </w:tr>
      <w:tr w:rsidR="00D140F7" w:rsidRPr="00261B7A" w14:paraId="2A7CDFAC" w14:textId="77777777" w:rsidTr="009C63CA">
        <w:tc>
          <w:tcPr>
            <w:tcW w:w="1896" w:type="dxa"/>
            <w:shd w:val="clear" w:color="auto" w:fill="FFFFFF" w:themeFill="background1"/>
          </w:tcPr>
          <w:p w14:paraId="6572D607" w14:textId="77777777" w:rsidR="00D140F7" w:rsidRPr="00261B7A" w:rsidRDefault="00D140F7" w:rsidP="009C63CA">
            <w:pPr>
              <w:pStyle w:val="TableText"/>
              <w:spacing w:before="40" w:after="40"/>
              <w:rPr>
                <w:rFonts w:cs="Calibri"/>
                <w:szCs w:val="16"/>
              </w:rPr>
            </w:pPr>
            <w:r w:rsidRPr="00261B7A">
              <w:rPr>
                <w:rFonts w:cs="Calibri"/>
                <w:szCs w:val="16"/>
              </w:rPr>
              <w:t xml:space="preserve">Waste – 5.D Wastewater treatment and discharge – </w:t>
            </w:r>
            <w:r w:rsidRPr="00261B7A">
              <w:rPr>
                <w:rFonts w:cs="Calibri"/>
                <w:szCs w:val="16"/>
                <w:lang w:eastAsia="en-US"/>
              </w:rPr>
              <w:t>CH</w:t>
            </w:r>
            <w:r w:rsidRPr="00261B7A">
              <w:rPr>
                <w:rFonts w:cs="Calibri"/>
                <w:szCs w:val="16"/>
                <w:vertAlign w:val="subscript"/>
                <w:lang w:eastAsia="en-US"/>
              </w:rPr>
              <w:t>4</w:t>
            </w:r>
            <w:r w:rsidRPr="00261B7A">
              <w:rPr>
                <w:rFonts w:cs="Calibri"/>
                <w:szCs w:val="16"/>
                <w:lang w:eastAsia="en-US"/>
              </w:rPr>
              <w:t xml:space="preserve"> and N</w:t>
            </w:r>
            <w:r w:rsidRPr="00261B7A">
              <w:rPr>
                <w:rFonts w:cs="Calibri"/>
                <w:szCs w:val="16"/>
                <w:vertAlign w:val="subscript"/>
                <w:lang w:eastAsia="en-US"/>
              </w:rPr>
              <w:t>2</w:t>
            </w:r>
            <w:r w:rsidRPr="00261B7A">
              <w:rPr>
                <w:rFonts w:cs="Calibri"/>
                <w:szCs w:val="16"/>
                <w:lang w:eastAsia="en-US"/>
              </w:rPr>
              <w:t>O</w:t>
            </w:r>
            <w:r w:rsidRPr="00261B7A">
              <w:rPr>
                <w:rFonts w:cs="Calibri"/>
                <w:szCs w:val="16"/>
                <w:shd w:val="clear" w:color="auto" w:fill="BFBFBF" w:themeFill="background1" w:themeFillShade="BF"/>
                <w:lang w:eastAsia="en-US"/>
              </w:rPr>
              <w:t xml:space="preserve"> </w:t>
            </w:r>
            <w:r w:rsidRPr="00261B7A">
              <w:rPr>
                <w:rFonts w:cs="Calibri"/>
                <w:szCs w:val="16"/>
                <w:shd w:val="clear" w:color="auto" w:fill="BFBFBF" w:themeFill="background1" w:themeFillShade="BF"/>
                <w:lang w:eastAsia="en-US"/>
              </w:rPr>
              <w:br/>
            </w:r>
            <w:r w:rsidRPr="00261B7A">
              <w:rPr>
                <w:rFonts w:cs="Calibri"/>
                <w:szCs w:val="16"/>
                <w:lang w:eastAsia="en-US"/>
              </w:rPr>
              <w:t>(W.23, 2019)</w:t>
            </w:r>
            <w:r w:rsidRPr="00261B7A">
              <w:rPr>
                <w:rFonts w:cs="Calibri"/>
                <w:szCs w:val="16"/>
                <w:lang w:eastAsia="en-US"/>
              </w:rPr>
              <w:br/>
            </w:r>
            <w:r w:rsidRPr="00261B7A">
              <w:rPr>
                <w:rFonts w:cs="Calibri"/>
                <w:szCs w:val="16"/>
              </w:rPr>
              <w:t>Accuracy</w:t>
            </w:r>
          </w:p>
        </w:tc>
        <w:tc>
          <w:tcPr>
            <w:tcW w:w="919" w:type="dxa"/>
            <w:shd w:val="clear" w:color="auto" w:fill="FFFFFF" w:themeFill="background1"/>
          </w:tcPr>
          <w:p w14:paraId="0189AB48"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W.11, 2021</w:t>
            </w:r>
          </w:p>
        </w:tc>
        <w:tc>
          <w:tcPr>
            <w:tcW w:w="2722" w:type="dxa"/>
            <w:shd w:val="clear" w:color="auto" w:fill="FFFFFF" w:themeFill="background1"/>
          </w:tcPr>
          <w:p w14:paraId="197C8961" w14:textId="77777777" w:rsidR="00D140F7" w:rsidRPr="00261B7A" w:rsidRDefault="00D140F7" w:rsidP="009C63CA">
            <w:pPr>
              <w:pStyle w:val="TableText"/>
              <w:spacing w:before="40" w:after="40"/>
              <w:rPr>
                <w:rFonts w:cs="Calibri"/>
                <w:szCs w:val="16"/>
              </w:rPr>
            </w:pPr>
            <w:r w:rsidRPr="00261B7A">
              <w:rPr>
                <w:rFonts w:cs="Calibri"/>
                <w:szCs w:val="16"/>
              </w:rPr>
              <w:t>Clarify and report consistent information on the final treatment or disposal for sludge, including incineration and disposal in municipal landfills, review the estimates and explain any recalculation in the NIR.</w:t>
            </w:r>
          </w:p>
        </w:tc>
        <w:tc>
          <w:tcPr>
            <w:tcW w:w="2892" w:type="dxa"/>
            <w:shd w:val="clear" w:color="auto" w:fill="FFFFFF" w:themeFill="background1"/>
          </w:tcPr>
          <w:p w14:paraId="59AF05C3" w14:textId="77777777" w:rsidR="00D140F7" w:rsidRPr="00261B7A" w:rsidRDefault="00D140F7" w:rsidP="009C63CA">
            <w:pPr>
              <w:pStyle w:val="TableText"/>
              <w:spacing w:before="40" w:after="40"/>
              <w:rPr>
                <w:rFonts w:cs="Calibri"/>
                <w:szCs w:val="16"/>
              </w:rPr>
            </w:pPr>
            <w:r w:rsidRPr="00261B7A">
              <w:rPr>
                <w:rFonts w:eastAsia="Calibri" w:cs="Calibri"/>
                <w:b/>
                <w:color w:val="000000" w:themeColor="text1"/>
                <w:szCs w:val="16"/>
              </w:rPr>
              <w:t>Addressing.</w:t>
            </w:r>
            <w:r w:rsidRPr="00261B7A">
              <w:rPr>
                <w:rFonts w:eastAsia="Calibri" w:cs="Calibri"/>
                <w:color w:val="000000" w:themeColor="text1"/>
                <w:szCs w:val="16"/>
              </w:rPr>
              <w:t xml:space="preserve"> Volumes of sludge disposed of in managed landfills have been updated according to Eunomia (unpublished). Further improvements will be included in a future submission.</w:t>
            </w:r>
          </w:p>
        </w:tc>
      </w:tr>
      <w:tr w:rsidR="00D140F7" w:rsidRPr="00261B7A" w14:paraId="33C31DEA" w14:textId="77777777" w:rsidTr="009C63CA">
        <w:tc>
          <w:tcPr>
            <w:tcW w:w="1896" w:type="dxa"/>
            <w:shd w:val="clear" w:color="auto" w:fill="FFFFFF" w:themeFill="background1"/>
          </w:tcPr>
          <w:p w14:paraId="139D92C4" w14:textId="77777777" w:rsidR="00D140F7" w:rsidRPr="00261B7A" w:rsidRDefault="00D140F7" w:rsidP="009C63CA">
            <w:pPr>
              <w:pStyle w:val="TableText"/>
              <w:spacing w:before="40" w:after="40"/>
              <w:rPr>
                <w:rFonts w:cs="Calibri"/>
                <w:szCs w:val="16"/>
              </w:rPr>
            </w:pPr>
            <w:r w:rsidRPr="00261B7A">
              <w:rPr>
                <w:rFonts w:cs="Calibri"/>
                <w:szCs w:val="16"/>
              </w:rPr>
              <w:t xml:space="preserve">Waste – 5.D.2 Industrial wastewater – </w:t>
            </w:r>
            <w:r w:rsidRPr="00261B7A">
              <w:rPr>
                <w:rFonts w:cs="Calibri"/>
                <w:szCs w:val="16"/>
                <w:lang w:eastAsia="en-US"/>
              </w:rPr>
              <w:t>CH</w:t>
            </w:r>
            <w:r w:rsidRPr="00261B7A">
              <w:rPr>
                <w:rFonts w:cs="Calibri"/>
                <w:szCs w:val="16"/>
                <w:vertAlign w:val="subscript"/>
                <w:lang w:eastAsia="en-US"/>
              </w:rPr>
              <w:t>4</w:t>
            </w:r>
            <w:r w:rsidRPr="00261B7A">
              <w:rPr>
                <w:rFonts w:cs="Calibri"/>
                <w:szCs w:val="16"/>
                <w:lang w:eastAsia="en-US"/>
              </w:rPr>
              <w:br/>
              <w:t>(W.24, 2019)</w:t>
            </w:r>
            <w:r w:rsidRPr="00261B7A">
              <w:rPr>
                <w:rFonts w:cs="Calibri"/>
                <w:szCs w:val="16"/>
                <w:lang w:eastAsia="en-US"/>
              </w:rPr>
              <w:br/>
            </w:r>
            <w:r w:rsidRPr="00261B7A">
              <w:rPr>
                <w:rFonts w:cs="Calibri"/>
                <w:szCs w:val="16"/>
              </w:rPr>
              <w:t>Comparability</w:t>
            </w:r>
          </w:p>
        </w:tc>
        <w:tc>
          <w:tcPr>
            <w:tcW w:w="919" w:type="dxa"/>
            <w:shd w:val="clear" w:color="auto" w:fill="FFFFFF" w:themeFill="background1"/>
          </w:tcPr>
          <w:p w14:paraId="1F143568" w14:textId="77777777" w:rsidR="00D140F7" w:rsidRPr="00261B7A" w:rsidRDefault="00D140F7" w:rsidP="009C63CA">
            <w:pPr>
              <w:pStyle w:val="TableText"/>
              <w:spacing w:before="40" w:after="40"/>
              <w:rPr>
                <w:rFonts w:eastAsia="Calibri" w:cs="Calibri"/>
                <w:szCs w:val="16"/>
              </w:rPr>
            </w:pPr>
            <w:r w:rsidRPr="00261B7A">
              <w:rPr>
                <w:rFonts w:eastAsia="Calibri" w:cs="Calibri"/>
                <w:szCs w:val="16"/>
              </w:rPr>
              <w:t>W.12, 2021</w:t>
            </w:r>
          </w:p>
        </w:tc>
        <w:tc>
          <w:tcPr>
            <w:tcW w:w="2722" w:type="dxa"/>
            <w:shd w:val="clear" w:color="auto" w:fill="FFFFFF" w:themeFill="background1"/>
          </w:tcPr>
          <w:p w14:paraId="6551A634" w14:textId="77777777" w:rsidR="00D140F7" w:rsidRPr="00261B7A" w:rsidRDefault="00D140F7" w:rsidP="009C63CA">
            <w:pPr>
              <w:pStyle w:val="TableText"/>
              <w:spacing w:before="40" w:after="40"/>
              <w:rPr>
                <w:rFonts w:cs="Calibri"/>
                <w:szCs w:val="16"/>
              </w:rPr>
            </w:pPr>
            <w:r w:rsidRPr="00261B7A">
              <w:rPr>
                <w:rFonts w:cs="Calibri"/>
                <w:szCs w:val="16"/>
              </w:rPr>
              <w:t>Estimate and report the amount of CH</w:t>
            </w:r>
            <w:r w:rsidRPr="00261B7A">
              <w:rPr>
                <w:rFonts w:cs="Calibri"/>
                <w:szCs w:val="16"/>
                <w:vertAlign w:val="subscript"/>
              </w:rPr>
              <w:t>4</w:t>
            </w:r>
            <w:r w:rsidRPr="00261B7A">
              <w:rPr>
                <w:rFonts w:cs="Calibri"/>
                <w:szCs w:val="16"/>
              </w:rPr>
              <w:t xml:space="preserve"> flared and for energy recovery, respectively, in CRF table 5.D, noting that the amount of CH</w:t>
            </w:r>
            <w:r w:rsidRPr="00261B7A">
              <w:rPr>
                <w:rFonts w:cs="Calibri"/>
                <w:szCs w:val="16"/>
                <w:vertAlign w:val="subscript"/>
              </w:rPr>
              <w:t>4</w:t>
            </w:r>
            <w:r w:rsidRPr="00261B7A">
              <w:rPr>
                <w:rFonts w:cs="Calibri"/>
                <w:szCs w:val="16"/>
              </w:rPr>
              <w:t xml:space="preserve"> for energy recovery, if occurring, should probably be reported as “IE” in that table and the estimates reported under the energy sector.</w:t>
            </w:r>
          </w:p>
        </w:tc>
        <w:tc>
          <w:tcPr>
            <w:tcW w:w="2892" w:type="dxa"/>
            <w:shd w:val="clear" w:color="auto" w:fill="FFFFFF" w:themeFill="background1"/>
          </w:tcPr>
          <w:p w14:paraId="0862076A" w14:textId="77777777" w:rsidR="00D140F7" w:rsidRPr="00261B7A" w:rsidRDefault="00D140F7" w:rsidP="009C63CA">
            <w:pPr>
              <w:pStyle w:val="TableText"/>
              <w:spacing w:before="40" w:after="40"/>
              <w:rPr>
                <w:rFonts w:cs="Calibri"/>
                <w:szCs w:val="16"/>
              </w:rPr>
            </w:pPr>
            <w:r w:rsidRPr="00261B7A">
              <w:rPr>
                <w:rFonts w:eastAsia="Calibri" w:cs="Calibri"/>
                <w:b/>
                <w:color w:val="000000"/>
                <w:szCs w:val="16"/>
              </w:rPr>
              <w:t>Resolved.</w:t>
            </w:r>
            <w:r w:rsidRPr="00261B7A">
              <w:rPr>
                <w:rFonts w:eastAsia="Calibri" w:cs="Calibri"/>
                <w:color w:val="000000"/>
                <w:szCs w:val="16"/>
              </w:rPr>
              <w:t xml:space="preserve"> The amount of CH</w:t>
            </w:r>
            <w:r w:rsidRPr="00261B7A">
              <w:rPr>
                <w:rFonts w:eastAsia="Calibri" w:cs="Calibri"/>
                <w:color w:val="000000"/>
                <w:szCs w:val="16"/>
                <w:vertAlign w:val="subscript"/>
              </w:rPr>
              <w:t>4</w:t>
            </w:r>
            <w:r w:rsidRPr="00261B7A">
              <w:rPr>
                <w:rFonts w:eastAsia="Calibri" w:cs="Calibri"/>
                <w:color w:val="000000"/>
                <w:szCs w:val="16"/>
              </w:rPr>
              <w:t xml:space="preserve"> recovered for flaring is reported as ‘NE’ because no information is available. The amount of CH</w:t>
            </w:r>
            <w:r w:rsidRPr="00261B7A">
              <w:rPr>
                <w:rFonts w:eastAsia="Calibri" w:cs="Calibri"/>
                <w:color w:val="000000"/>
                <w:szCs w:val="16"/>
                <w:vertAlign w:val="subscript"/>
              </w:rPr>
              <w:t>4</w:t>
            </w:r>
            <w:r w:rsidRPr="00261B7A">
              <w:rPr>
                <w:rFonts w:eastAsia="Calibri" w:cs="Calibri"/>
                <w:color w:val="000000"/>
                <w:szCs w:val="16"/>
              </w:rPr>
              <w:t xml:space="preserve"> recovered for energy generation is now reported as ‘IE’ in CRF table 5.D.2, and emissions are reported in the Energy sector under 1.A.2.e – Biomass.</w:t>
            </w:r>
          </w:p>
        </w:tc>
      </w:tr>
    </w:tbl>
    <w:p w14:paraId="5F5F5A85" w14:textId="71C5BC7D" w:rsidR="00D140F7" w:rsidRPr="00261B7A" w:rsidRDefault="00D140F7" w:rsidP="00D140F7">
      <w:pPr>
        <w:pStyle w:val="Noteundertable"/>
        <w:tabs>
          <w:tab w:val="clear" w:pos="567"/>
        </w:tabs>
        <w:rPr>
          <w:b/>
          <w:bCs/>
        </w:rPr>
      </w:pPr>
      <w:r w:rsidRPr="00261B7A">
        <w:rPr>
          <w:b/>
          <w:bCs/>
        </w:rPr>
        <w:t>Note:</w:t>
      </w:r>
      <w:r w:rsidRPr="00261B7A">
        <w:rPr>
          <w:b/>
          <w:bCs/>
        </w:rPr>
        <w:tab/>
      </w:r>
      <w:r w:rsidRPr="00261B7A">
        <w:rPr>
          <w:rFonts w:eastAsia="Calibri"/>
        </w:rPr>
        <w:t>AD = activity data; C/N</w:t>
      </w:r>
      <w:r w:rsidRPr="00261B7A" w:rsidDel="00CB52D6">
        <w:rPr>
          <w:rFonts w:eastAsia="Calibri"/>
        </w:rPr>
        <w:t xml:space="preserve"> </w:t>
      </w:r>
      <w:r w:rsidRPr="00261B7A">
        <w:rPr>
          <w:rFonts w:eastAsia="Calibri"/>
        </w:rPr>
        <w:t>ratio = the ratio of the mass of carbon to the mass of nitrogen in organic residues;</w:t>
      </w:r>
      <w:r w:rsidR="00097982">
        <w:rPr>
          <w:rFonts w:eastAsia="Calibri"/>
        </w:rPr>
        <w:t> </w:t>
      </w:r>
      <w:r w:rsidRPr="00261B7A">
        <w:rPr>
          <w:rFonts w:eastAsia="Calibri"/>
        </w:rPr>
        <w:t>CRF = common reporting format; CSC = carbon stock change; EF = emission factor; ERT = expert review team; ETS</w:t>
      </w:r>
      <w:r w:rsidRPr="00261B7A" w:rsidDel="0026147F">
        <w:rPr>
          <w:rFonts w:eastAsia="Calibri"/>
        </w:rPr>
        <w:t xml:space="preserve"> </w:t>
      </w:r>
      <w:r w:rsidRPr="00261B7A">
        <w:rPr>
          <w:rFonts w:eastAsia="Calibri"/>
        </w:rPr>
        <w:t>= Emissions Trading Scheme;</w:t>
      </w:r>
      <w:r w:rsidRPr="00261B7A" w:rsidDel="0026147F">
        <w:rPr>
          <w:rFonts w:eastAsia="Calibri"/>
        </w:rPr>
        <w:t xml:space="preserve"> </w:t>
      </w:r>
      <w:r w:rsidRPr="00261B7A">
        <w:rPr>
          <w:rFonts w:eastAsia="Calibri"/>
        </w:rPr>
        <w:t>GDP = gross domestic product; GJ = gigajoule;</w:t>
      </w:r>
      <w:r w:rsidRPr="00261B7A">
        <w:rPr>
          <w:rFonts w:eastAsia="Calibri"/>
          <w:i/>
          <w:iCs/>
        </w:rPr>
        <w:t xml:space="preserve"> </w:t>
      </w:r>
      <w:r w:rsidRPr="00261B7A">
        <w:rPr>
          <w:rFonts w:eastAsia="Calibri"/>
        </w:rPr>
        <w:t>HFC = hydrofluorocarbon; IE = included elsewhere; IEF = implied emission factor; IPCC = Intergovernmental Panel on Climate Change; IPPU = Industrial Processes and Product Use; KP = Kyoto Protocol; LPG = liquefied petroleum gas; LUCAS =</w:t>
      </w:r>
      <w:r w:rsidRPr="00261B7A">
        <w:t xml:space="preserve"> </w:t>
      </w:r>
      <w:r w:rsidRPr="00261B7A">
        <w:rPr>
          <w:rFonts w:eastAsia="Calibri"/>
        </w:rPr>
        <w:t>Land Use and Carbon Analysis System; LULUCF = Land Use, Land-Use Change and</w:t>
      </w:r>
      <w:r w:rsidR="00097982">
        <w:rPr>
          <w:rFonts w:eastAsia="Calibri"/>
        </w:rPr>
        <w:t> </w:t>
      </w:r>
      <w:r w:rsidRPr="00261B7A">
        <w:rPr>
          <w:rFonts w:eastAsia="Calibri"/>
        </w:rPr>
        <w:t>Forestry; MBIE = Ministry of Business, Innovation and Employment; MPI = Ministry for Primary Industries; MSW = municipal waste disposal; NE = not estimated; NEU = non-energy use; NIR = National Inventory Report; 2021 NIR = 2021 National Inventory Report (1990–2019); NO = not occurring; PFC = perfluorocarbon; PJ = petajoule; QA/QC = quality assurance/quality control; SOC = soil organic carbon; SWDS = solid waste disposal site; UNFCCC = United Nations Framework Convention on Climate Change.</w:t>
      </w:r>
    </w:p>
    <w:p w14:paraId="68208937" w14:textId="77777777" w:rsidR="00D140F7" w:rsidRPr="00261B7A" w:rsidRDefault="00D140F7" w:rsidP="00D140F7">
      <w:pPr>
        <w:pStyle w:val="BodyText"/>
      </w:pPr>
      <w:r w:rsidRPr="00261B7A">
        <w:rPr>
          <w:bCs/>
        </w:rPr>
        <w:t xml:space="preserve">Table </w:t>
      </w:r>
      <w:r w:rsidRPr="00261B7A">
        <w:t xml:space="preserve">5 of the </w:t>
      </w:r>
      <w:r w:rsidRPr="00261B7A">
        <w:rPr>
          <w:spacing w:val="-2"/>
        </w:rPr>
        <w:t xml:space="preserve">assessment and review report of New Zealand’s 2021 </w:t>
      </w:r>
      <w:r w:rsidRPr="00261B7A">
        <w:t xml:space="preserve">NIR contains new recommendations related to the review of the 2021 submission. These recommendations, along with New Zealand’s latest responses to date, are detailed in table </w:t>
      </w:r>
      <w:r w:rsidRPr="00261B7A">
        <w:rPr>
          <w:bCs/>
        </w:rPr>
        <w:t>10.2.</w:t>
      </w:r>
      <w:r w:rsidRPr="00261B7A">
        <w:t>2.</w:t>
      </w:r>
    </w:p>
    <w:p w14:paraId="433CE835" w14:textId="77777777" w:rsidR="00D140F7" w:rsidRPr="00261B7A" w:rsidRDefault="00D140F7" w:rsidP="00D140F7">
      <w:pPr>
        <w:pStyle w:val="Table"/>
      </w:pPr>
      <w:bookmarkStart w:id="2880" w:name="_Toc99659383"/>
      <w:bookmarkStart w:id="2881" w:name="_Toc129781214"/>
      <w:bookmarkStart w:id="2882" w:name="_Toc130565749"/>
      <w:bookmarkStart w:id="2883" w:name="_Toc130565850"/>
      <w:bookmarkStart w:id="2884" w:name="_Toc131591494"/>
      <w:r w:rsidRPr="00261B7A">
        <w:t>Table 10.2.2</w:t>
      </w:r>
      <w:r w:rsidRPr="00261B7A">
        <w:tab/>
        <w:t>New Zealand’s responses to recommendations in table 5 of the 2021 assessment review report from the review of New Zealand’s 2021 inventory submission</w:t>
      </w:r>
      <w:bookmarkEnd w:id="2880"/>
      <w:bookmarkEnd w:id="2881"/>
      <w:bookmarkEnd w:id="2882"/>
      <w:bookmarkEnd w:id="2883"/>
      <w:bookmarkEnd w:id="2884"/>
    </w:p>
    <w:tbl>
      <w:tblPr>
        <w:tblW w:w="8505"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1807"/>
        <w:gridCol w:w="931"/>
        <w:gridCol w:w="2684"/>
        <w:gridCol w:w="3083"/>
      </w:tblGrid>
      <w:tr w:rsidR="00D140F7" w:rsidRPr="00261B7A" w14:paraId="34525533" w14:textId="77777777" w:rsidTr="009C63CA">
        <w:trPr>
          <w:tblHeader/>
        </w:trPr>
        <w:tc>
          <w:tcPr>
            <w:tcW w:w="1794" w:type="dxa"/>
            <w:shd w:val="clear" w:color="auto" w:fill="1B556B"/>
          </w:tcPr>
          <w:p w14:paraId="12A5224E" w14:textId="77777777" w:rsidR="00D140F7" w:rsidRPr="00261B7A" w:rsidRDefault="00D140F7" w:rsidP="009C63CA">
            <w:pPr>
              <w:pStyle w:val="TableTextBold"/>
              <w:spacing w:before="40" w:after="40"/>
              <w:rPr>
                <w:noProof w:val="0"/>
                <w:color w:val="FFFFFF"/>
              </w:rPr>
            </w:pPr>
            <w:r w:rsidRPr="00261B7A">
              <w:rPr>
                <w:rFonts w:eastAsia="Calibri"/>
                <w:noProof w:val="0"/>
                <w:color w:val="FFFFFF"/>
              </w:rPr>
              <w:t>Sector</w:t>
            </w:r>
          </w:p>
        </w:tc>
        <w:tc>
          <w:tcPr>
            <w:tcW w:w="925" w:type="dxa"/>
            <w:shd w:val="clear" w:color="auto" w:fill="1B556B"/>
          </w:tcPr>
          <w:p w14:paraId="6421D723" w14:textId="77777777" w:rsidR="00D140F7" w:rsidRPr="00261B7A" w:rsidRDefault="00D140F7" w:rsidP="009C63CA">
            <w:pPr>
              <w:pStyle w:val="TableTextBold"/>
              <w:spacing w:before="40" w:after="40"/>
              <w:rPr>
                <w:noProof w:val="0"/>
                <w:color w:val="FFFFFF"/>
              </w:rPr>
            </w:pPr>
            <w:r w:rsidRPr="00261B7A">
              <w:rPr>
                <w:rFonts w:eastAsia="Calibri"/>
                <w:noProof w:val="0"/>
                <w:color w:val="FFFFFF"/>
              </w:rPr>
              <w:t>ID number</w:t>
            </w:r>
          </w:p>
        </w:tc>
        <w:tc>
          <w:tcPr>
            <w:tcW w:w="2665" w:type="dxa"/>
            <w:shd w:val="clear" w:color="auto" w:fill="1B556B"/>
          </w:tcPr>
          <w:p w14:paraId="01473A87" w14:textId="77777777" w:rsidR="00D140F7" w:rsidRPr="00261B7A" w:rsidRDefault="00D140F7" w:rsidP="009C63CA">
            <w:pPr>
              <w:pStyle w:val="TableTextBold"/>
              <w:spacing w:before="40" w:after="40"/>
              <w:rPr>
                <w:noProof w:val="0"/>
                <w:color w:val="FFFFFF"/>
              </w:rPr>
            </w:pPr>
            <w:r w:rsidRPr="00261B7A">
              <w:rPr>
                <w:rFonts w:eastAsia="Calibri"/>
                <w:noProof w:val="0"/>
                <w:color w:val="FFFFFF"/>
              </w:rPr>
              <w:t>Expert review team recommendation</w:t>
            </w:r>
          </w:p>
        </w:tc>
        <w:tc>
          <w:tcPr>
            <w:tcW w:w="3062" w:type="dxa"/>
            <w:shd w:val="clear" w:color="auto" w:fill="1B556B"/>
          </w:tcPr>
          <w:p w14:paraId="249CF43C" w14:textId="77777777" w:rsidR="00D140F7" w:rsidRPr="00261B7A" w:rsidRDefault="00D140F7" w:rsidP="009C63CA">
            <w:pPr>
              <w:pStyle w:val="TableTextBold"/>
              <w:spacing w:before="40" w:after="40"/>
              <w:rPr>
                <w:noProof w:val="0"/>
                <w:color w:val="FFFFFF"/>
              </w:rPr>
            </w:pPr>
            <w:r w:rsidRPr="00261B7A">
              <w:rPr>
                <w:rFonts w:eastAsia="Calibri"/>
                <w:noProof w:val="0"/>
                <w:color w:val="FFFFFF"/>
              </w:rPr>
              <w:t>New Zealand response</w:t>
            </w:r>
          </w:p>
        </w:tc>
      </w:tr>
      <w:tr w:rsidR="00D140F7" w:rsidRPr="00261B7A" w14:paraId="79AFFA18" w14:textId="77777777" w:rsidTr="009C63CA">
        <w:tc>
          <w:tcPr>
            <w:tcW w:w="1794" w:type="dxa"/>
            <w:shd w:val="clear" w:color="auto" w:fill="FFFFFF" w:themeFill="background1"/>
          </w:tcPr>
          <w:p w14:paraId="559B5BBB" w14:textId="77777777" w:rsidR="00D140F7" w:rsidRPr="00261B7A" w:rsidRDefault="00D140F7" w:rsidP="009C63CA">
            <w:pPr>
              <w:pStyle w:val="TableText"/>
              <w:spacing w:before="40" w:after="40"/>
            </w:pPr>
            <w:r w:rsidRPr="00261B7A">
              <w:rPr>
                <w:rFonts w:eastAsia="Calibri"/>
              </w:rPr>
              <w:t xml:space="preserve">General </w:t>
            </w:r>
          </w:p>
        </w:tc>
        <w:tc>
          <w:tcPr>
            <w:tcW w:w="925" w:type="dxa"/>
            <w:shd w:val="clear" w:color="auto" w:fill="FFFFFF" w:themeFill="background1"/>
          </w:tcPr>
          <w:p w14:paraId="441B0118" w14:textId="77777777" w:rsidR="00D140F7" w:rsidRPr="00261B7A" w:rsidRDefault="00D140F7" w:rsidP="009C63CA">
            <w:pPr>
              <w:pStyle w:val="TableText"/>
              <w:spacing w:before="40" w:after="40"/>
            </w:pPr>
          </w:p>
        </w:tc>
        <w:tc>
          <w:tcPr>
            <w:tcW w:w="2665" w:type="dxa"/>
            <w:shd w:val="clear" w:color="auto" w:fill="FFFFFF" w:themeFill="background1"/>
          </w:tcPr>
          <w:p w14:paraId="5B05C3F1" w14:textId="77777777" w:rsidR="00D140F7" w:rsidRPr="00261B7A" w:rsidRDefault="00D140F7" w:rsidP="009C63CA">
            <w:pPr>
              <w:pStyle w:val="TableText"/>
              <w:spacing w:before="40" w:after="40"/>
              <w:rPr>
                <w:szCs w:val="16"/>
              </w:rPr>
            </w:pPr>
            <w:r w:rsidRPr="00261B7A">
              <w:rPr>
                <w:szCs w:val="16"/>
              </w:rPr>
              <w:t>No general findings additional to those included in table 3 were made by the ERT during the review.</w:t>
            </w:r>
          </w:p>
        </w:tc>
        <w:tc>
          <w:tcPr>
            <w:tcW w:w="3062" w:type="dxa"/>
            <w:shd w:val="clear" w:color="auto" w:fill="FFFFFF" w:themeFill="background1"/>
          </w:tcPr>
          <w:p w14:paraId="073AE6AC" w14:textId="77777777" w:rsidR="00D140F7" w:rsidRPr="00261B7A" w:rsidRDefault="00D140F7" w:rsidP="009C63CA">
            <w:pPr>
              <w:pStyle w:val="TableText"/>
              <w:spacing w:before="40" w:after="40"/>
            </w:pPr>
          </w:p>
        </w:tc>
      </w:tr>
      <w:tr w:rsidR="00D140F7" w:rsidRPr="00261B7A" w14:paraId="4A0C5C26" w14:textId="77777777" w:rsidTr="009C63CA">
        <w:tc>
          <w:tcPr>
            <w:tcW w:w="1794" w:type="dxa"/>
            <w:shd w:val="clear" w:color="auto" w:fill="FFFFFF" w:themeFill="background1"/>
          </w:tcPr>
          <w:p w14:paraId="6F1A71F6" w14:textId="77777777" w:rsidR="00D140F7" w:rsidRPr="00261B7A" w:rsidRDefault="00D140F7" w:rsidP="009C63CA">
            <w:pPr>
              <w:pStyle w:val="TableText"/>
              <w:spacing w:before="40" w:after="40"/>
            </w:pPr>
            <w:r w:rsidRPr="00261B7A">
              <w:t xml:space="preserve">Energy – 1.A.1.a Public electricity and heat production – </w:t>
            </w:r>
            <w:r w:rsidRPr="00261B7A">
              <w:rPr>
                <w:lang w:eastAsia="en-US"/>
              </w:rPr>
              <w:t>gaseous fuels – CO</w:t>
            </w:r>
            <w:r w:rsidRPr="00261B7A">
              <w:rPr>
                <w:vertAlign w:val="subscript"/>
                <w:lang w:eastAsia="en-US"/>
              </w:rPr>
              <w:t>2</w:t>
            </w:r>
          </w:p>
        </w:tc>
        <w:tc>
          <w:tcPr>
            <w:tcW w:w="925" w:type="dxa"/>
            <w:shd w:val="clear" w:color="auto" w:fill="FFFFFF" w:themeFill="background1"/>
          </w:tcPr>
          <w:p w14:paraId="6492E553" w14:textId="77777777" w:rsidR="00D140F7" w:rsidRPr="00261B7A" w:rsidRDefault="00D140F7" w:rsidP="009C63CA">
            <w:pPr>
              <w:pStyle w:val="TableText"/>
              <w:spacing w:before="40" w:after="40"/>
            </w:pPr>
            <w:r w:rsidRPr="00261B7A">
              <w:rPr>
                <w:rFonts w:eastAsia="Calibri"/>
              </w:rPr>
              <w:t>E.18, 2021</w:t>
            </w:r>
          </w:p>
        </w:tc>
        <w:tc>
          <w:tcPr>
            <w:tcW w:w="2665" w:type="dxa"/>
            <w:shd w:val="clear" w:color="auto" w:fill="FFFFFF" w:themeFill="background1"/>
          </w:tcPr>
          <w:p w14:paraId="72747DD6" w14:textId="77777777" w:rsidR="00D140F7" w:rsidRPr="00261B7A" w:rsidRDefault="00D140F7" w:rsidP="009C63CA">
            <w:pPr>
              <w:pStyle w:val="TableText"/>
              <w:spacing w:before="40" w:after="40"/>
              <w:rPr>
                <w:szCs w:val="16"/>
              </w:rPr>
            </w:pPr>
            <w:r w:rsidRPr="00261B7A">
              <w:rPr>
                <w:szCs w:val="16"/>
              </w:rPr>
              <w:t>The ERT recommends that New Zealand check the value of the CO</w:t>
            </w:r>
            <w:r w:rsidRPr="00261B7A">
              <w:rPr>
                <w:szCs w:val="16"/>
                <w:vertAlign w:val="subscript"/>
              </w:rPr>
              <w:t>2</w:t>
            </w:r>
            <w:r w:rsidRPr="00261B7A">
              <w:rPr>
                <w:szCs w:val="16"/>
              </w:rPr>
              <w:t xml:space="preserve"> IEF for gaseous fuels for 2005 and either justify the inconsistency in the NIR or correct its value for the emission estimates in 2005.</w:t>
            </w:r>
          </w:p>
        </w:tc>
        <w:tc>
          <w:tcPr>
            <w:tcW w:w="3062" w:type="dxa"/>
            <w:shd w:val="clear" w:color="auto" w:fill="FFFFFF" w:themeFill="background1"/>
          </w:tcPr>
          <w:p w14:paraId="7A0C6F07" w14:textId="77777777" w:rsidR="00D140F7" w:rsidRPr="00261B7A" w:rsidRDefault="00D140F7" w:rsidP="009C63CA">
            <w:pPr>
              <w:pStyle w:val="TableText"/>
              <w:spacing w:before="40" w:after="40"/>
              <w:rPr>
                <w:rFonts w:eastAsia="Calibri"/>
              </w:rPr>
            </w:pPr>
            <w:r w:rsidRPr="00261B7A">
              <w:rPr>
                <w:rFonts w:eastAsia="Calibri"/>
                <w:b/>
              </w:rPr>
              <w:t>Resolved.</w:t>
            </w:r>
            <w:r w:rsidRPr="00261B7A">
              <w:rPr>
                <w:rFonts w:eastAsia="Calibri"/>
              </w:rPr>
              <w:t xml:space="preserve"> The AD for natural gas consumption for electricity generation have been updated. This resulted in revised CO</w:t>
            </w:r>
            <w:r w:rsidRPr="00261B7A">
              <w:rPr>
                <w:rFonts w:eastAsia="Calibri"/>
                <w:vertAlign w:val="subscript"/>
              </w:rPr>
              <w:t>2</w:t>
            </w:r>
            <w:r w:rsidRPr="00261B7A">
              <w:rPr>
                <w:rFonts w:eastAsia="Calibri"/>
              </w:rPr>
              <w:t xml:space="preserve"> IEFs for the entire time series.</w:t>
            </w:r>
          </w:p>
        </w:tc>
      </w:tr>
      <w:tr w:rsidR="00D140F7" w:rsidRPr="00261B7A" w14:paraId="076728B1" w14:textId="77777777" w:rsidTr="009C63CA">
        <w:tc>
          <w:tcPr>
            <w:tcW w:w="1794" w:type="dxa"/>
            <w:shd w:val="clear" w:color="auto" w:fill="FFFFFF" w:themeFill="background1"/>
          </w:tcPr>
          <w:p w14:paraId="5737FA57" w14:textId="77777777" w:rsidR="00D140F7" w:rsidRPr="00261B7A" w:rsidRDefault="00D140F7" w:rsidP="009C63CA">
            <w:pPr>
              <w:pStyle w:val="TableText"/>
              <w:spacing w:before="40" w:after="40"/>
            </w:pPr>
            <w:r w:rsidRPr="00261B7A">
              <w:rPr>
                <w:rFonts w:eastAsia="Calibri"/>
              </w:rPr>
              <w:t xml:space="preserve">Energy </w:t>
            </w:r>
            <w:r w:rsidRPr="00261B7A">
              <w:t>–</w:t>
            </w:r>
            <w:r w:rsidRPr="00261B7A">
              <w:rPr>
                <w:rFonts w:eastAsia="Calibri"/>
              </w:rPr>
              <w:t xml:space="preserve"> 1.A.2.</w:t>
            </w:r>
            <w:r w:rsidRPr="00261B7A">
              <w:t>e Food processing, beverages and tobacco</w:t>
            </w:r>
            <w:r w:rsidRPr="00261B7A">
              <w:rPr>
                <w:rFonts w:eastAsia="Calibri"/>
              </w:rPr>
              <w:t xml:space="preserve"> – </w:t>
            </w:r>
            <w:r w:rsidRPr="00261B7A">
              <w:rPr>
                <w:rFonts w:eastAsia="Calibri"/>
                <w:lang w:eastAsia="en-US"/>
              </w:rPr>
              <w:t>gaseous fuels – CO</w:t>
            </w:r>
            <w:r w:rsidRPr="00261B7A">
              <w:rPr>
                <w:rFonts w:eastAsia="Calibri"/>
                <w:vertAlign w:val="subscript"/>
                <w:lang w:eastAsia="en-US"/>
              </w:rPr>
              <w:t>2</w:t>
            </w:r>
          </w:p>
        </w:tc>
        <w:tc>
          <w:tcPr>
            <w:tcW w:w="925" w:type="dxa"/>
            <w:shd w:val="clear" w:color="auto" w:fill="FFFFFF" w:themeFill="background1"/>
          </w:tcPr>
          <w:p w14:paraId="198BC1F6" w14:textId="77777777" w:rsidR="00D140F7" w:rsidRPr="00261B7A" w:rsidRDefault="00D140F7" w:rsidP="009C63CA">
            <w:pPr>
              <w:pStyle w:val="TableText"/>
              <w:spacing w:before="40" w:after="40"/>
            </w:pPr>
            <w:r w:rsidRPr="00261B7A">
              <w:rPr>
                <w:rFonts w:eastAsia="Calibri"/>
              </w:rPr>
              <w:t>E.19, 2021</w:t>
            </w:r>
          </w:p>
        </w:tc>
        <w:tc>
          <w:tcPr>
            <w:tcW w:w="2665" w:type="dxa"/>
            <w:shd w:val="clear" w:color="auto" w:fill="FFFFFF" w:themeFill="background1"/>
          </w:tcPr>
          <w:p w14:paraId="219CB27E" w14:textId="77777777" w:rsidR="00D140F7" w:rsidRPr="00261B7A" w:rsidRDefault="00D140F7" w:rsidP="009C63CA">
            <w:pPr>
              <w:pStyle w:val="TableText"/>
              <w:spacing w:before="40" w:after="40"/>
              <w:rPr>
                <w:szCs w:val="16"/>
              </w:rPr>
            </w:pPr>
            <w:r w:rsidRPr="00261B7A">
              <w:rPr>
                <w:szCs w:val="16"/>
              </w:rPr>
              <w:t>The ERT recommends that New Zealand explain in the NIR why the AD for gaseous fuels were revised for 2013 and why the CO</w:t>
            </w:r>
            <w:r w:rsidRPr="00261B7A">
              <w:rPr>
                <w:szCs w:val="16"/>
                <w:vertAlign w:val="subscript"/>
              </w:rPr>
              <w:t>2</w:t>
            </w:r>
            <w:r w:rsidRPr="00261B7A">
              <w:rPr>
                <w:szCs w:val="16"/>
              </w:rPr>
              <w:t xml:space="preserve"> IEF was lower between 1996 and 2012 after the recalculation performed by the Party. The ERT also recommends that the Party report in the NIR why the CO</w:t>
            </w:r>
            <w:r w:rsidRPr="00261B7A">
              <w:rPr>
                <w:szCs w:val="16"/>
                <w:vertAlign w:val="subscript"/>
              </w:rPr>
              <w:t>2</w:t>
            </w:r>
            <w:r w:rsidRPr="00261B7A">
              <w:rPr>
                <w:szCs w:val="16"/>
              </w:rPr>
              <w:t xml:space="preserve"> IEF was lower for 2003. </w:t>
            </w:r>
          </w:p>
        </w:tc>
        <w:tc>
          <w:tcPr>
            <w:tcW w:w="3062" w:type="dxa"/>
            <w:shd w:val="clear" w:color="auto" w:fill="FFFFFF" w:themeFill="background1"/>
          </w:tcPr>
          <w:p w14:paraId="13784120" w14:textId="77777777" w:rsidR="00D140F7" w:rsidRPr="00261B7A" w:rsidRDefault="00D140F7" w:rsidP="009C63CA">
            <w:pPr>
              <w:pStyle w:val="TableText"/>
              <w:spacing w:before="40" w:after="40"/>
            </w:pPr>
            <w:r w:rsidRPr="00261B7A">
              <w:rPr>
                <w:rFonts w:eastAsia="Calibri"/>
                <w:b/>
              </w:rPr>
              <w:t>Resolved.</w:t>
            </w:r>
            <w:r w:rsidRPr="00261B7A">
              <w:rPr>
                <w:rFonts w:eastAsia="Calibri"/>
              </w:rPr>
              <w:t xml:space="preserve"> We recalculated the CO</w:t>
            </w:r>
            <w:r w:rsidRPr="00261B7A">
              <w:rPr>
                <w:rFonts w:eastAsia="Calibri"/>
                <w:vertAlign w:val="subscript"/>
              </w:rPr>
              <w:t>2</w:t>
            </w:r>
            <w:r w:rsidRPr="00261B7A">
              <w:rPr>
                <w:rFonts w:eastAsia="Calibri"/>
              </w:rPr>
              <w:t xml:space="preserve"> EF for gaseous fuels and reported revised emission estimates in CRF table 1.A(a)s2.</w:t>
            </w:r>
          </w:p>
        </w:tc>
      </w:tr>
      <w:tr w:rsidR="00D140F7" w:rsidRPr="00261B7A" w14:paraId="273BF95C" w14:textId="77777777" w:rsidTr="009C63CA">
        <w:tc>
          <w:tcPr>
            <w:tcW w:w="1794" w:type="dxa"/>
            <w:shd w:val="clear" w:color="auto" w:fill="FFFFFF" w:themeFill="background1"/>
          </w:tcPr>
          <w:p w14:paraId="1B90CD65" w14:textId="77777777" w:rsidR="00D140F7" w:rsidRPr="00261B7A" w:rsidRDefault="00D140F7" w:rsidP="009C63CA">
            <w:pPr>
              <w:pStyle w:val="TableText"/>
              <w:spacing w:before="40" w:after="40"/>
            </w:pPr>
            <w:r w:rsidRPr="00261B7A">
              <w:rPr>
                <w:rFonts w:eastAsia="Calibri"/>
              </w:rPr>
              <w:t xml:space="preserve">Energy </w:t>
            </w:r>
            <w:r w:rsidRPr="00261B7A">
              <w:t>–</w:t>
            </w:r>
            <w:r w:rsidRPr="00261B7A">
              <w:rPr>
                <w:rFonts w:eastAsia="Calibri"/>
              </w:rPr>
              <w:t xml:space="preserve"> 1.A.</w:t>
            </w:r>
            <w:r w:rsidRPr="00261B7A">
              <w:t>4 Other sectors</w:t>
            </w:r>
            <w:r w:rsidRPr="00261B7A">
              <w:rPr>
                <w:rFonts w:eastAsia="Calibri"/>
              </w:rPr>
              <w:t xml:space="preserve"> – </w:t>
            </w:r>
            <w:r w:rsidRPr="00261B7A">
              <w:rPr>
                <w:rFonts w:eastAsia="Calibri"/>
                <w:lang w:eastAsia="en-US"/>
              </w:rPr>
              <w:t>gaseous fuels – CO</w:t>
            </w:r>
            <w:r w:rsidRPr="00261B7A">
              <w:rPr>
                <w:rFonts w:eastAsia="Calibri"/>
                <w:vertAlign w:val="subscript"/>
                <w:lang w:eastAsia="en-US"/>
              </w:rPr>
              <w:t>2</w:t>
            </w:r>
          </w:p>
        </w:tc>
        <w:tc>
          <w:tcPr>
            <w:tcW w:w="925" w:type="dxa"/>
            <w:shd w:val="clear" w:color="auto" w:fill="FFFFFF" w:themeFill="background1"/>
          </w:tcPr>
          <w:p w14:paraId="1D244CEC" w14:textId="77777777" w:rsidR="00D140F7" w:rsidRPr="00261B7A" w:rsidRDefault="00D140F7" w:rsidP="009C63CA">
            <w:pPr>
              <w:pStyle w:val="TableText"/>
              <w:spacing w:before="40" w:after="40"/>
            </w:pPr>
            <w:r w:rsidRPr="00261B7A">
              <w:rPr>
                <w:rFonts w:eastAsia="Calibri"/>
              </w:rPr>
              <w:t>E.20, 2021</w:t>
            </w:r>
          </w:p>
        </w:tc>
        <w:tc>
          <w:tcPr>
            <w:tcW w:w="2665" w:type="dxa"/>
            <w:shd w:val="clear" w:color="auto" w:fill="FFFFFF" w:themeFill="background1"/>
          </w:tcPr>
          <w:p w14:paraId="14A7BA2D" w14:textId="77777777" w:rsidR="00D140F7" w:rsidRPr="00261B7A" w:rsidRDefault="00D140F7" w:rsidP="009C63CA">
            <w:pPr>
              <w:pStyle w:val="TableText"/>
              <w:spacing w:before="40" w:after="40"/>
              <w:rPr>
                <w:rFonts w:asciiTheme="minorHAnsi" w:hAnsiTheme="minorHAnsi" w:cstheme="minorHAnsi"/>
                <w:szCs w:val="16"/>
              </w:rPr>
            </w:pPr>
            <w:r w:rsidRPr="00261B7A">
              <w:rPr>
                <w:rFonts w:asciiTheme="minorHAnsi" w:hAnsiTheme="minorHAnsi" w:cstheme="minorHAnsi"/>
                <w:iCs/>
                <w:szCs w:val="16"/>
              </w:rPr>
              <w:t>The ERT recommends that New Zealand explain in the NIR the reasons for the lower CO</w:t>
            </w:r>
            <w:r w:rsidRPr="00261B7A">
              <w:rPr>
                <w:rFonts w:asciiTheme="minorHAnsi" w:hAnsiTheme="minorHAnsi" w:cstheme="minorHAnsi"/>
                <w:iCs/>
                <w:szCs w:val="16"/>
                <w:vertAlign w:val="subscript"/>
              </w:rPr>
              <w:t>2</w:t>
            </w:r>
            <w:r w:rsidRPr="00261B7A">
              <w:rPr>
                <w:rFonts w:asciiTheme="minorHAnsi" w:hAnsiTheme="minorHAnsi" w:cstheme="minorHAnsi"/>
                <w:iCs/>
                <w:szCs w:val="16"/>
              </w:rPr>
              <w:t xml:space="preserve"> IEFs between 1996–2012 after the recalculation performed by the Party. The ERT also recommends that the Party report in the NIR the reason for the lower value in the CO</w:t>
            </w:r>
            <w:r w:rsidRPr="00261B7A">
              <w:rPr>
                <w:rFonts w:asciiTheme="minorHAnsi" w:hAnsiTheme="minorHAnsi" w:cstheme="minorHAnsi"/>
                <w:iCs/>
                <w:szCs w:val="16"/>
                <w:vertAlign w:val="subscript"/>
              </w:rPr>
              <w:t>2</w:t>
            </w:r>
            <w:r w:rsidRPr="00261B7A">
              <w:rPr>
                <w:rFonts w:asciiTheme="minorHAnsi" w:hAnsiTheme="minorHAnsi" w:cstheme="minorHAnsi"/>
                <w:iCs/>
                <w:szCs w:val="16"/>
              </w:rPr>
              <w:t xml:space="preserve"> IEF in 2003. </w:t>
            </w:r>
          </w:p>
        </w:tc>
        <w:tc>
          <w:tcPr>
            <w:tcW w:w="3062" w:type="dxa"/>
            <w:shd w:val="clear" w:color="auto" w:fill="FFFFFF" w:themeFill="background1"/>
          </w:tcPr>
          <w:p w14:paraId="019E0BEB" w14:textId="77777777" w:rsidR="00D140F7" w:rsidRPr="00261B7A" w:rsidRDefault="00D140F7" w:rsidP="009C63CA">
            <w:pPr>
              <w:pStyle w:val="TableText"/>
              <w:spacing w:before="40" w:after="40"/>
            </w:pPr>
            <w:r w:rsidRPr="00261B7A">
              <w:rPr>
                <w:rFonts w:eastAsia="Calibri"/>
                <w:b/>
              </w:rPr>
              <w:t>Resolved.</w:t>
            </w:r>
            <w:r w:rsidRPr="00261B7A">
              <w:rPr>
                <w:rFonts w:eastAsia="Calibri"/>
              </w:rPr>
              <w:t xml:space="preserve"> We recalculated the CO</w:t>
            </w:r>
            <w:r w:rsidRPr="00261B7A">
              <w:rPr>
                <w:rFonts w:eastAsia="Calibri"/>
                <w:vertAlign w:val="subscript"/>
              </w:rPr>
              <w:t>2</w:t>
            </w:r>
            <w:r w:rsidRPr="00261B7A">
              <w:rPr>
                <w:rFonts w:eastAsia="Calibri"/>
              </w:rPr>
              <w:t xml:space="preserve"> EF for gaseous fuels and reported revised emission estimates in CRF table 1.A(a)s2.</w:t>
            </w:r>
          </w:p>
        </w:tc>
      </w:tr>
      <w:tr w:rsidR="00D140F7" w:rsidRPr="00261B7A" w14:paraId="47DBCAC9" w14:textId="77777777" w:rsidTr="009C63CA">
        <w:tc>
          <w:tcPr>
            <w:tcW w:w="1794" w:type="dxa"/>
            <w:shd w:val="clear" w:color="auto" w:fill="FFFFFF" w:themeFill="background1"/>
          </w:tcPr>
          <w:p w14:paraId="42DA00BC" w14:textId="77777777" w:rsidR="00D140F7" w:rsidRPr="00261B7A" w:rsidRDefault="00D140F7" w:rsidP="009C63CA">
            <w:pPr>
              <w:pStyle w:val="TableText"/>
              <w:spacing w:before="40" w:after="40"/>
            </w:pPr>
            <w:r w:rsidRPr="00261B7A">
              <w:rPr>
                <w:rFonts w:eastAsia="Calibri"/>
              </w:rPr>
              <w:t xml:space="preserve">Energy </w:t>
            </w:r>
            <w:r w:rsidRPr="00261B7A">
              <w:t>–</w:t>
            </w:r>
            <w:r w:rsidRPr="00261B7A">
              <w:rPr>
                <w:rFonts w:eastAsia="Calibri"/>
              </w:rPr>
              <w:t xml:space="preserve"> 1.A.</w:t>
            </w:r>
            <w:r w:rsidRPr="00261B7A">
              <w:t>4.a Commercial/ institutional</w:t>
            </w:r>
            <w:r w:rsidRPr="00261B7A">
              <w:rPr>
                <w:rFonts w:eastAsia="Calibri"/>
              </w:rPr>
              <w:t xml:space="preserve"> – </w:t>
            </w:r>
            <w:r w:rsidRPr="00261B7A">
              <w:rPr>
                <w:rFonts w:eastAsia="Calibri"/>
                <w:lang w:eastAsia="en-US"/>
              </w:rPr>
              <w:t>liquid fuels – CO</w:t>
            </w:r>
            <w:r w:rsidRPr="00261B7A">
              <w:rPr>
                <w:rFonts w:eastAsia="Calibri"/>
                <w:vertAlign w:val="subscript"/>
                <w:lang w:eastAsia="en-US"/>
              </w:rPr>
              <w:t>2</w:t>
            </w:r>
          </w:p>
        </w:tc>
        <w:tc>
          <w:tcPr>
            <w:tcW w:w="925" w:type="dxa"/>
            <w:shd w:val="clear" w:color="auto" w:fill="FFFFFF" w:themeFill="background1"/>
          </w:tcPr>
          <w:p w14:paraId="405B081F" w14:textId="77777777" w:rsidR="00D140F7" w:rsidRPr="00261B7A" w:rsidRDefault="00D140F7" w:rsidP="009C63CA">
            <w:pPr>
              <w:pStyle w:val="TableText"/>
              <w:spacing w:before="40" w:after="40"/>
            </w:pPr>
            <w:r w:rsidRPr="00261B7A">
              <w:rPr>
                <w:rFonts w:eastAsia="Calibri"/>
              </w:rPr>
              <w:t>E.21, 2021</w:t>
            </w:r>
          </w:p>
        </w:tc>
        <w:tc>
          <w:tcPr>
            <w:tcW w:w="2665" w:type="dxa"/>
            <w:shd w:val="clear" w:color="auto" w:fill="FFFFFF" w:themeFill="background1"/>
          </w:tcPr>
          <w:p w14:paraId="7F536AEB" w14:textId="77777777" w:rsidR="00D140F7" w:rsidRPr="00261B7A" w:rsidRDefault="00D140F7" w:rsidP="009C63CA">
            <w:pPr>
              <w:pStyle w:val="TableText"/>
              <w:spacing w:before="40" w:after="40"/>
              <w:rPr>
                <w:rFonts w:asciiTheme="minorHAnsi" w:hAnsiTheme="minorHAnsi" w:cstheme="minorHAnsi"/>
                <w:szCs w:val="16"/>
              </w:rPr>
            </w:pPr>
            <w:r w:rsidRPr="00261B7A">
              <w:rPr>
                <w:rFonts w:asciiTheme="minorHAnsi" w:hAnsiTheme="minorHAnsi" w:cstheme="minorHAnsi"/>
                <w:iCs/>
                <w:szCs w:val="16"/>
              </w:rPr>
              <w:t>The ERT recommends that New Zealand, when performing recalculations, report fully and transparently on these recalculations in the NIR in accordance with paragraphs 43–45 of the UNFCCC Annex I inventory reporting guidelines.</w:t>
            </w:r>
          </w:p>
        </w:tc>
        <w:tc>
          <w:tcPr>
            <w:tcW w:w="3062" w:type="dxa"/>
            <w:shd w:val="clear" w:color="auto" w:fill="FFFFFF" w:themeFill="background1"/>
          </w:tcPr>
          <w:p w14:paraId="3E39BB86" w14:textId="77777777" w:rsidR="00D140F7" w:rsidRPr="00261B7A" w:rsidRDefault="00D140F7" w:rsidP="009C63CA">
            <w:pPr>
              <w:pStyle w:val="TableText"/>
              <w:spacing w:before="40" w:after="40"/>
              <w:rPr>
                <w:rFonts w:eastAsia="Calibri"/>
              </w:rPr>
            </w:pPr>
            <w:r w:rsidRPr="00261B7A">
              <w:rPr>
                <w:rFonts w:eastAsia="Calibri"/>
                <w:b/>
                <w:bCs/>
              </w:rPr>
              <w:t>Resolved.</w:t>
            </w:r>
            <w:r w:rsidRPr="00261B7A">
              <w:rPr>
                <w:rFonts w:eastAsia="Calibri"/>
              </w:rPr>
              <w:t xml:space="preserve"> There was a historical reallocation of AD from </w:t>
            </w:r>
            <w:r w:rsidRPr="00261B7A">
              <w:rPr>
                <w:rFonts w:eastAsia="Calibri"/>
                <w:i/>
                <w:iCs/>
              </w:rPr>
              <w:t>Commercial/institutional</w:t>
            </w:r>
            <w:r w:rsidRPr="00261B7A">
              <w:rPr>
                <w:rFonts w:eastAsia="Calibri"/>
              </w:rPr>
              <w:t xml:space="preserve"> (category 1.A.4.a) to </w:t>
            </w:r>
            <w:r w:rsidRPr="00261B7A">
              <w:rPr>
                <w:rFonts w:eastAsia="Calibri"/>
                <w:i/>
                <w:iCs/>
              </w:rPr>
              <w:t>Road transportation</w:t>
            </w:r>
            <w:r w:rsidRPr="00261B7A">
              <w:rPr>
                <w:rFonts w:eastAsia="Calibri"/>
              </w:rPr>
              <w:t xml:space="preserve"> (category 1.A.3.b), however, this reallocation was subsequently reversed in the national oil data system.</w:t>
            </w:r>
          </w:p>
        </w:tc>
      </w:tr>
      <w:tr w:rsidR="00D140F7" w:rsidRPr="00261B7A" w14:paraId="7C1E5E85" w14:textId="77777777" w:rsidTr="009C63CA">
        <w:tc>
          <w:tcPr>
            <w:tcW w:w="1794" w:type="dxa"/>
            <w:shd w:val="clear" w:color="auto" w:fill="FFFFFF" w:themeFill="background1"/>
          </w:tcPr>
          <w:p w14:paraId="55FF6952" w14:textId="77777777" w:rsidR="00D140F7" w:rsidRPr="00261B7A" w:rsidRDefault="00D140F7" w:rsidP="009C63CA">
            <w:pPr>
              <w:pStyle w:val="TableText"/>
              <w:spacing w:before="40" w:after="40"/>
            </w:pPr>
            <w:r w:rsidRPr="00261B7A">
              <w:t>IPPU – 2.C.1 Iron and steel production</w:t>
            </w:r>
            <w:r w:rsidRPr="00261B7A">
              <w:rPr>
                <w:color w:val="000000" w:themeColor="text1"/>
                <w:lang w:eastAsia="en-GB"/>
              </w:rPr>
              <w:t xml:space="preserve"> – CH</w:t>
            </w:r>
            <w:r w:rsidRPr="00261B7A">
              <w:rPr>
                <w:color w:val="000000" w:themeColor="text1"/>
                <w:vertAlign w:val="subscript"/>
                <w:lang w:eastAsia="en-GB"/>
              </w:rPr>
              <w:t>4</w:t>
            </w:r>
          </w:p>
        </w:tc>
        <w:tc>
          <w:tcPr>
            <w:tcW w:w="925" w:type="dxa"/>
            <w:shd w:val="clear" w:color="auto" w:fill="FFFFFF" w:themeFill="background1"/>
          </w:tcPr>
          <w:p w14:paraId="427842A2" w14:textId="77777777" w:rsidR="00D140F7" w:rsidRPr="00261B7A" w:rsidRDefault="00D140F7" w:rsidP="009C63CA">
            <w:pPr>
              <w:pStyle w:val="TableText"/>
              <w:spacing w:before="40" w:after="40"/>
            </w:pPr>
            <w:r w:rsidRPr="00261B7A">
              <w:rPr>
                <w:rFonts w:eastAsia="Calibri"/>
              </w:rPr>
              <w:t>I.25, 2021</w:t>
            </w:r>
          </w:p>
        </w:tc>
        <w:tc>
          <w:tcPr>
            <w:tcW w:w="2665" w:type="dxa"/>
            <w:shd w:val="clear" w:color="auto" w:fill="FFFFFF" w:themeFill="background1"/>
          </w:tcPr>
          <w:p w14:paraId="1AA12482" w14:textId="77777777" w:rsidR="00D140F7" w:rsidRPr="00261B7A" w:rsidRDefault="00D140F7" w:rsidP="009C63CA">
            <w:pPr>
              <w:pStyle w:val="TableText"/>
              <w:spacing w:before="40" w:after="40"/>
              <w:rPr>
                <w:rFonts w:asciiTheme="minorHAnsi" w:hAnsiTheme="minorHAnsi" w:cstheme="minorHAnsi"/>
                <w:szCs w:val="16"/>
              </w:rPr>
            </w:pPr>
            <w:r w:rsidRPr="00261B7A">
              <w:rPr>
                <w:rFonts w:asciiTheme="minorHAnsi" w:hAnsiTheme="minorHAnsi" w:cstheme="minorHAnsi"/>
                <w:iCs/>
                <w:color w:val="000000" w:themeColor="text1"/>
                <w:szCs w:val="16"/>
              </w:rPr>
              <w:t>The ERT recommends that New Zealand investigate all potential CH</w:t>
            </w:r>
            <w:r w:rsidRPr="00261B7A">
              <w:rPr>
                <w:rFonts w:asciiTheme="minorHAnsi" w:hAnsiTheme="minorHAnsi" w:cstheme="minorHAnsi"/>
                <w:iCs/>
                <w:color w:val="000000" w:themeColor="text1"/>
                <w:szCs w:val="16"/>
                <w:vertAlign w:val="subscript"/>
              </w:rPr>
              <w:t>4</w:t>
            </w:r>
            <w:r w:rsidRPr="00261B7A">
              <w:rPr>
                <w:rFonts w:asciiTheme="minorHAnsi" w:hAnsiTheme="minorHAnsi" w:cstheme="minorHAnsi"/>
                <w:iCs/>
                <w:color w:val="000000" w:themeColor="text1"/>
                <w:szCs w:val="16"/>
              </w:rPr>
              <w:t xml:space="preserve"> sources and report CH</w:t>
            </w:r>
            <w:r w:rsidRPr="00261B7A">
              <w:rPr>
                <w:rFonts w:asciiTheme="minorHAnsi" w:hAnsiTheme="minorHAnsi" w:cstheme="minorHAnsi"/>
                <w:iCs/>
                <w:color w:val="000000" w:themeColor="text1"/>
                <w:szCs w:val="16"/>
                <w:vertAlign w:val="subscript"/>
              </w:rPr>
              <w:t>4</w:t>
            </w:r>
            <w:r w:rsidRPr="00261B7A">
              <w:rPr>
                <w:rFonts w:asciiTheme="minorHAnsi" w:hAnsiTheme="minorHAnsi" w:cstheme="minorHAnsi"/>
                <w:iCs/>
                <w:color w:val="000000" w:themeColor="text1"/>
                <w:szCs w:val="16"/>
              </w:rPr>
              <w:t xml:space="preserve"> emissions from iron and steel production under category 2.C.1 for the entire time series using a methodology consistent with the decision tree in the 2006 IPCC Guidelines (vol. 3, chap. 4, figure 4.8, p.4.20). The ERT also recommends that the Party include a description of the methodologies, AD and EFs used for the estimates. Alternatively, if the Party considers these emissions to be insignificant, the ERT recommends that the Party report them as “NE” and demonstrate in the NIR that the likely level of emissions is below the significance threshold indicated in paragraph 37(b) of the UNFCCC Annex I inventory reporting guidelines.</w:t>
            </w:r>
          </w:p>
        </w:tc>
        <w:tc>
          <w:tcPr>
            <w:tcW w:w="3062" w:type="dxa"/>
            <w:shd w:val="clear" w:color="auto" w:fill="FFFFFF" w:themeFill="background1"/>
          </w:tcPr>
          <w:p w14:paraId="33025908" w14:textId="77777777" w:rsidR="00D140F7" w:rsidRPr="00261B7A" w:rsidRDefault="00D140F7" w:rsidP="009C63CA">
            <w:pPr>
              <w:pStyle w:val="TableText"/>
              <w:spacing w:before="40" w:after="40"/>
            </w:pPr>
            <w:r w:rsidRPr="00261B7A">
              <w:rPr>
                <w:rFonts w:eastAsia="Calibri"/>
                <w:b/>
              </w:rPr>
              <w:t>Resolved.</w:t>
            </w:r>
            <w:r w:rsidRPr="00261B7A">
              <w:rPr>
                <w:rFonts w:eastAsia="Calibri"/>
              </w:rPr>
              <w:t xml:space="preserve"> The inconsistent reporting has been corrected in chapter 4, table 4.1.2, section 4.2.1, section 4.3.1, section 4.3.4 and table 4.7.3</w:t>
            </w:r>
            <w:r w:rsidRPr="00261B7A" w:rsidDel="00E854EA">
              <w:rPr>
                <w:rFonts w:eastAsia="Calibri"/>
              </w:rPr>
              <w:t>.</w:t>
            </w:r>
          </w:p>
        </w:tc>
      </w:tr>
      <w:tr w:rsidR="00D140F7" w:rsidRPr="00261B7A" w14:paraId="5E35CA21" w14:textId="77777777" w:rsidTr="009C63CA">
        <w:tc>
          <w:tcPr>
            <w:tcW w:w="1794" w:type="dxa"/>
            <w:shd w:val="clear" w:color="auto" w:fill="FFFFFF" w:themeFill="background1"/>
          </w:tcPr>
          <w:p w14:paraId="341D139F" w14:textId="77777777" w:rsidR="00D140F7" w:rsidRPr="00261B7A" w:rsidRDefault="00D140F7" w:rsidP="009C63CA">
            <w:pPr>
              <w:pStyle w:val="TableText"/>
              <w:keepNext/>
              <w:spacing w:before="40" w:after="40"/>
            </w:pPr>
            <w:r w:rsidRPr="00261B7A">
              <w:t xml:space="preserve">IPPU – 2.C.1 Iron and steel production – </w:t>
            </w:r>
            <w:r w:rsidRPr="00261B7A">
              <w:rPr>
                <w:lang w:eastAsia="en-US"/>
              </w:rPr>
              <w:t>CO</w:t>
            </w:r>
            <w:r w:rsidRPr="00261B7A">
              <w:rPr>
                <w:vertAlign w:val="subscript"/>
                <w:lang w:eastAsia="en-US"/>
              </w:rPr>
              <w:t>2</w:t>
            </w:r>
          </w:p>
        </w:tc>
        <w:tc>
          <w:tcPr>
            <w:tcW w:w="925" w:type="dxa"/>
            <w:shd w:val="clear" w:color="auto" w:fill="FFFFFF" w:themeFill="background1"/>
          </w:tcPr>
          <w:p w14:paraId="5A86859D" w14:textId="77777777" w:rsidR="00D140F7" w:rsidRPr="00261B7A" w:rsidRDefault="00D140F7" w:rsidP="009C63CA">
            <w:pPr>
              <w:pStyle w:val="TableText"/>
              <w:spacing w:before="40" w:after="40"/>
            </w:pPr>
            <w:r w:rsidRPr="00261B7A">
              <w:rPr>
                <w:rFonts w:eastAsia="Calibri"/>
              </w:rPr>
              <w:t>I.26, 2021</w:t>
            </w:r>
          </w:p>
        </w:tc>
        <w:tc>
          <w:tcPr>
            <w:tcW w:w="2665" w:type="dxa"/>
            <w:shd w:val="clear" w:color="auto" w:fill="FFFFFF" w:themeFill="background1"/>
          </w:tcPr>
          <w:p w14:paraId="75C0C37B" w14:textId="77777777" w:rsidR="00D140F7" w:rsidRPr="00261B7A" w:rsidRDefault="00D140F7" w:rsidP="009C63CA">
            <w:pPr>
              <w:pStyle w:val="TableText"/>
              <w:spacing w:before="40" w:after="40"/>
              <w:rPr>
                <w:rFonts w:asciiTheme="minorHAnsi" w:hAnsiTheme="minorHAnsi" w:cstheme="minorHAnsi"/>
                <w:szCs w:val="16"/>
              </w:rPr>
            </w:pPr>
            <w:r w:rsidRPr="00261B7A">
              <w:rPr>
                <w:rFonts w:asciiTheme="minorHAnsi" w:hAnsiTheme="minorHAnsi" w:cstheme="minorHAnsi"/>
                <w:iCs/>
                <w:color w:val="000000" w:themeColor="text1"/>
                <w:szCs w:val="16"/>
              </w:rPr>
              <w:t>The ERT recommends that New Zealand investigate the source of the significant changes in the CO</w:t>
            </w:r>
            <w:r w:rsidRPr="00261B7A">
              <w:rPr>
                <w:rFonts w:asciiTheme="minorHAnsi" w:hAnsiTheme="minorHAnsi" w:cstheme="minorHAnsi"/>
                <w:iCs/>
                <w:color w:val="000000" w:themeColor="text1"/>
                <w:szCs w:val="16"/>
                <w:vertAlign w:val="subscript"/>
              </w:rPr>
              <w:t>2</w:t>
            </w:r>
            <w:r w:rsidRPr="00261B7A">
              <w:rPr>
                <w:rFonts w:asciiTheme="minorHAnsi" w:hAnsiTheme="minorHAnsi" w:cstheme="minorHAnsi"/>
                <w:iCs/>
                <w:color w:val="000000" w:themeColor="text1"/>
                <w:szCs w:val="16"/>
              </w:rPr>
              <w:t xml:space="preserve"> IEFs for steel production across the time series and include in the NIR information concerning the trend and the reasons for the changes. The ERT encourages New Zealand to review the confidentiality status of the AD for subcategory 2.C.1.a (steel) considering that steel production data are provided by New Zealand Steel to international organizations (e.g. World Steel Association).</w:t>
            </w:r>
          </w:p>
        </w:tc>
        <w:tc>
          <w:tcPr>
            <w:tcW w:w="3062" w:type="dxa"/>
            <w:shd w:val="clear" w:color="auto" w:fill="FFFFFF" w:themeFill="background1"/>
          </w:tcPr>
          <w:p w14:paraId="7F1831A7" w14:textId="77777777" w:rsidR="00D140F7" w:rsidRPr="00261B7A" w:rsidRDefault="00D140F7" w:rsidP="009C63CA">
            <w:pPr>
              <w:pStyle w:val="TableText"/>
              <w:spacing w:before="40" w:after="40"/>
            </w:pPr>
            <w:r w:rsidRPr="00261B7A">
              <w:rPr>
                <w:rFonts w:eastAsia="Calibri"/>
                <w:b/>
              </w:rPr>
              <w:t>Resolved.</w:t>
            </w:r>
            <w:r w:rsidRPr="00261B7A">
              <w:rPr>
                <w:rFonts w:eastAsia="Calibri"/>
              </w:rPr>
              <w:t xml:space="preserve"> The CaO plus MgO amounts are now reported for the entire time series as recommended. See chapter 4, sections 4.2.3 and 4.2.5.</w:t>
            </w:r>
          </w:p>
        </w:tc>
      </w:tr>
      <w:tr w:rsidR="00D140F7" w:rsidRPr="00261B7A" w14:paraId="00109BDC" w14:textId="77777777" w:rsidTr="009C63CA">
        <w:tc>
          <w:tcPr>
            <w:tcW w:w="1794" w:type="dxa"/>
            <w:shd w:val="clear" w:color="auto" w:fill="FFFFFF" w:themeFill="background1"/>
          </w:tcPr>
          <w:p w14:paraId="50983492" w14:textId="77777777" w:rsidR="00D140F7" w:rsidRPr="00261B7A" w:rsidRDefault="00D140F7" w:rsidP="009C63CA">
            <w:pPr>
              <w:pStyle w:val="TableText"/>
              <w:spacing w:before="40" w:after="40"/>
            </w:pPr>
            <w:r w:rsidRPr="00261B7A">
              <w:rPr>
                <w:rFonts w:eastAsia="Calibri"/>
              </w:rPr>
              <w:t>Agriculture – Enteric fermentation – CH</w:t>
            </w:r>
            <w:r w:rsidRPr="00261B7A">
              <w:rPr>
                <w:rFonts w:eastAsia="Calibri"/>
                <w:vertAlign w:val="subscript"/>
              </w:rPr>
              <w:t>4</w:t>
            </w:r>
          </w:p>
        </w:tc>
        <w:tc>
          <w:tcPr>
            <w:tcW w:w="925" w:type="dxa"/>
            <w:shd w:val="clear" w:color="auto" w:fill="FFFFFF" w:themeFill="background1"/>
          </w:tcPr>
          <w:p w14:paraId="7A25A40B" w14:textId="77777777" w:rsidR="00D140F7" w:rsidRPr="00261B7A" w:rsidRDefault="00D140F7" w:rsidP="009C63CA">
            <w:pPr>
              <w:pStyle w:val="TableText"/>
              <w:spacing w:before="40" w:after="40"/>
            </w:pPr>
            <w:r w:rsidRPr="00261B7A">
              <w:rPr>
                <w:rFonts w:eastAsia="Calibri"/>
              </w:rPr>
              <w:t>A.16, 2021</w:t>
            </w:r>
          </w:p>
        </w:tc>
        <w:tc>
          <w:tcPr>
            <w:tcW w:w="2665" w:type="dxa"/>
            <w:shd w:val="clear" w:color="auto" w:fill="FFFFFF" w:themeFill="background1"/>
          </w:tcPr>
          <w:p w14:paraId="1113467D" w14:textId="77777777" w:rsidR="00D140F7" w:rsidRPr="00261B7A" w:rsidRDefault="00D140F7" w:rsidP="009C63CA">
            <w:pPr>
              <w:pStyle w:val="TableText"/>
              <w:spacing w:before="40" w:after="40"/>
            </w:pPr>
            <w:r w:rsidRPr="00261B7A">
              <w:rPr>
                <w:rFonts w:eastAsia="Calibri"/>
              </w:rPr>
              <w:t>The ERT recommends that New Zealand, using the data and results of the research, improve the model trends or changes in death rates over the time series for estimating emissions for enteric fermentation from dairy cattle, beef cattle, sheep and deer, and document any recalculation in the NIR.</w:t>
            </w:r>
          </w:p>
        </w:tc>
        <w:tc>
          <w:tcPr>
            <w:tcW w:w="3062" w:type="dxa"/>
            <w:shd w:val="clear" w:color="auto" w:fill="FFFFFF" w:themeFill="background1"/>
          </w:tcPr>
          <w:p w14:paraId="2B83F311" w14:textId="77777777" w:rsidR="00D140F7" w:rsidRPr="00261B7A" w:rsidRDefault="00D140F7" w:rsidP="009C63CA">
            <w:pPr>
              <w:pStyle w:val="TableText"/>
              <w:spacing w:before="40" w:after="40"/>
            </w:pPr>
            <w:r w:rsidRPr="00261B7A">
              <w:rPr>
                <w:rFonts w:eastAsia="Calibri"/>
                <w:b/>
                <w:bCs/>
              </w:rPr>
              <w:t xml:space="preserve">Addressing. </w:t>
            </w:r>
            <w:r w:rsidRPr="00261B7A">
              <w:rPr>
                <w:rFonts w:eastAsia="Calibri"/>
              </w:rPr>
              <w:t xml:space="preserve">This research is still being finalised. The findings for dairy cattle are included in the 2023 NIR submission as a part of an improved </w:t>
            </w:r>
            <w:r w:rsidRPr="00261B7A">
              <w:rPr>
                <w:rFonts w:eastAsia="Calibri"/>
                <w:i/>
                <w:iCs/>
              </w:rPr>
              <w:t>Dairy cattle</w:t>
            </w:r>
            <w:r w:rsidRPr="00261B7A">
              <w:rPr>
                <w:rFonts w:eastAsia="Calibri"/>
              </w:rPr>
              <w:t xml:space="preserve"> population model. See chapter 5, section 5.2.5 for more detail. </w:t>
            </w:r>
          </w:p>
        </w:tc>
      </w:tr>
      <w:tr w:rsidR="00D140F7" w:rsidRPr="00261B7A" w14:paraId="06B962BE" w14:textId="77777777" w:rsidTr="009C63CA">
        <w:tc>
          <w:tcPr>
            <w:tcW w:w="1794" w:type="dxa"/>
            <w:shd w:val="clear" w:color="auto" w:fill="FFFFFF" w:themeFill="background1"/>
          </w:tcPr>
          <w:p w14:paraId="183801BE" w14:textId="77777777" w:rsidR="00D140F7" w:rsidRPr="00261B7A" w:rsidRDefault="00D140F7" w:rsidP="009C63CA">
            <w:pPr>
              <w:pStyle w:val="TableText"/>
              <w:spacing w:before="40" w:after="40"/>
              <w:rPr>
                <w:rFonts w:eastAsia="Calibri"/>
              </w:rPr>
            </w:pPr>
            <w:r w:rsidRPr="00261B7A">
              <w:rPr>
                <w:rFonts w:eastAsia="Calibri"/>
              </w:rPr>
              <w:t>Agriculture – Cattle – CH</w:t>
            </w:r>
            <w:r w:rsidRPr="00261B7A">
              <w:rPr>
                <w:rFonts w:eastAsia="Calibri"/>
                <w:vertAlign w:val="subscript"/>
              </w:rPr>
              <w:t>4</w:t>
            </w:r>
            <w:r w:rsidRPr="00261B7A">
              <w:rPr>
                <w:rFonts w:eastAsia="Calibri"/>
              </w:rPr>
              <w:t>, N</w:t>
            </w:r>
            <w:r w:rsidRPr="00261B7A">
              <w:rPr>
                <w:rFonts w:eastAsia="Calibri"/>
                <w:vertAlign w:val="subscript"/>
              </w:rPr>
              <w:t>2</w:t>
            </w:r>
            <w:r w:rsidRPr="00261B7A">
              <w:rPr>
                <w:rFonts w:eastAsia="Calibri"/>
              </w:rPr>
              <w:t>O</w:t>
            </w:r>
          </w:p>
        </w:tc>
        <w:tc>
          <w:tcPr>
            <w:tcW w:w="925" w:type="dxa"/>
            <w:shd w:val="clear" w:color="auto" w:fill="FFFFFF" w:themeFill="background1"/>
          </w:tcPr>
          <w:p w14:paraId="37A7A00E" w14:textId="77777777" w:rsidR="00D140F7" w:rsidRPr="00261B7A" w:rsidRDefault="00D140F7" w:rsidP="009C63CA">
            <w:pPr>
              <w:pStyle w:val="TableText"/>
              <w:spacing w:before="40" w:after="40"/>
              <w:rPr>
                <w:rFonts w:eastAsia="Calibri"/>
              </w:rPr>
            </w:pPr>
            <w:r w:rsidRPr="00261B7A">
              <w:rPr>
                <w:rFonts w:eastAsia="Calibri"/>
              </w:rPr>
              <w:t>A.17, 2021</w:t>
            </w:r>
          </w:p>
        </w:tc>
        <w:tc>
          <w:tcPr>
            <w:tcW w:w="2665" w:type="dxa"/>
            <w:shd w:val="clear" w:color="auto" w:fill="FFFFFF" w:themeFill="background1"/>
          </w:tcPr>
          <w:p w14:paraId="34B40BE7" w14:textId="77777777" w:rsidR="00D140F7" w:rsidRPr="00261B7A" w:rsidRDefault="00D140F7" w:rsidP="009C63CA">
            <w:pPr>
              <w:pStyle w:val="TableText"/>
              <w:spacing w:before="40" w:after="40"/>
              <w:rPr>
                <w:rFonts w:eastAsia="Calibri"/>
              </w:rPr>
            </w:pPr>
            <w:r w:rsidRPr="00261B7A">
              <w:rPr>
                <w:rFonts w:eastAsia="Calibri"/>
              </w:rPr>
              <w:t>The ERT recommends that New Zealand review if a lactation length of six months and milk yield of 800 l for beef cows are appropriate for the emission estimates and either provide justification for these values in the NIR or recalculate emissions using more appropriate values for the milk yield for beef cows.</w:t>
            </w:r>
          </w:p>
        </w:tc>
        <w:tc>
          <w:tcPr>
            <w:tcW w:w="3062" w:type="dxa"/>
            <w:shd w:val="clear" w:color="auto" w:fill="FFFFFF" w:themeFill="background1"/>
          </w:tcPr>
          <w:p w14:paraId="7A3963DF" w14:textId="77777777" w:rsidR="00D140F7" w:rsidRPr="00261B7A" w:rsidRDefault="00D140F7" w:rsidP="009C63CA">
            <w:pPr>
              <w:pStyle w:val="TableText"/>
              <w:spacing w:before="40" w:after="40"/>
              <w:rPr>
                <w:rFonts w:eastAsia="Calibri"/>
              </w:rPr>
            </w:pPr>
            <w:r w:rsidRPr="00261B7A">
              <w:rPr>
                <w:rFonts w:eastAsia="Calibri"/>
                <w:b/>
                <w:bCs/>
              </w:rPr>
              <w:t>Not resolved.</w:t>
            </w:r>
            <w:r w:rsidRPr="00261B7A">
              <w:rPr>
                <w:rFonts w:eastAsia="Calibri"/>
              </w:rPr>
              <w:t xml:space="preserve"> New Zealand currently does not have data to provide further justification for these values in its reporting. We will engage with the sector to determine (a) if they are appropriate, and, if not, (b) what values should be used instead, or (c) if new research is required to determine more accurate values for this.</w:t>
            </w:r>
          </w:p>
        </w:tc>
      </w:tr>
      <w:tr w:rsidR="00D140F7" w:rsidRPr="00261B7A" w14:paraId="7B8BC901" w14:textId="77777777" w:rsidTr="009C63CA">
        <w:tc>
          <w:tcPr>
            <w:tcW w:w="1794" w:type="dxa"/>
            <w:shd w:val="clear" w:color="auto" w:fill="FFFFFF" w:themeFill="background1"/>
          </w:tcPr>
          <w:p w14:paraId="110DC8E6" w14:textId="77777777" w:rsidR="00D140F7" w:rsidRPr="00261B7A" w:rsidRDefault="00D140F7" w:rsidP="009C63CA">
            <w:pPr>
              <w:pStyle w:val="TableText"/>
              <w:spacing w:before="40" w:after="40"/>
              <w:rPr>
                <w:rFonts w:eastAsia="Calibri"/>
              </w:rPr>
            </w:pPr>
            <w:r w:rsidRPr="00261B7A">
              <w:rPr>
                <w:rFonts w:eastAsia="Calibri"/>
              </w:rPr>
              <w:t>Agriculture – Cattle – CH</w:t>
            </w:r>
            <w:r w:rsidRPr="00261B7A">
              <w:rPr>
                <w:rFonts w:eastAsia="Calibri"/>
                <w:vertAlign w:val="subscript"/>
              </w:rPr>
              <w:t>4</w:t>
            </w:r>
          </w:p>
        </w:tc>
        <w:tc>
          <w:tcPr>
            <w:tcW w:w="925" w:type="dxa"/>
            <w:shd w:val="clear" w:color="auto" w:fill="FFFFFF" w:themeFill="background1"/>
          </w:tcPr>
          <w:p w14:paraId="58E0EA08" w14:textId="77777777" w:rsidR="00D140F7" w:rsidRPr="00261B7A" w:rsidRDefault="00D140F7" w:rsidP="009C63CA">
            <w:pPr>
              <w:pStyle w:val="TableText"/>
              <w:spacing w:before="40" w:after="40"/>
              <w:rPr>
                <w:rFonts w:eastAsia="Calibri"/>
              </w:rPr>
            </w:pPr>
            <w:r w:rsidRPr="00261B7A">
              <w:rPr>
                <w:rFonts w:eastAsia="Calibri"/>
              </w:rPr>
              <w:t>A.18, 2021</w:t>
            </w:r>
          </w:p>
        </w:tc>
        <w:tc>
          <w:tcPr>
            <w:tcW w:w="2665" w:type="dxa"/>
            <w:shd w:val="clear" w:color="auto" w:fill="FFFFFF" w:themeFill="background1"/>
          </w:tcPr>
          <w:p w14:paraId="477F23E0" w14:textId="77777777" w:rsidR="00D140F7" w:rsidRPr="00261B7A" w:rsidRDefault="00D140F7" w:rsidP="009C63CA">
            <w:pPr>
              <w:pStyle w:val="TableText"/>
              <w:spacing w:before="40" w:after="40"/>
              <w:rPr>
                <w:rFonts w:eastAsia="Calibri"/>
              </w:rPr>
            </w:pPr>
            <w:r w:rsidRPr="00261B7A">
              <w:rPr>
                <w:rFonts w:eastAsia="Calibri"/>
              </w:rPr>
              <w:t>The ERT recommends that New Zealand include a clearer description in the NIR of how productivity data for milk production from the Livestock Improvement Corporation are matched with terrestrial livestock data, including for those instances where Livestock Improvement Corporation data combines geographically close regions to obtain a single value on productivity data that is then used for the livestock population of these regions.</w:t>
            </w:r>
          </w:p>
        </w:tc>
        <w:tc>
          <w:tcPr>
            <w:tcW w:w="3062" w:type="dxa"/>
            <w:shd w:val="clear" w:color="auto" w:fill="FFFFFF" w:themeFill="background1"/>
          </w:tcPr>
          <w:p w14:paraId="73902296" w14:textId="77777777" w:rsidR="00D140F7" w:rsidRPr="00261B7A" w:rsidRDefault="00D140F7" w:rsidP="009C63CA">
            <w:pPr>
              <w:pStyle w:val="TableText"/>
              <w:spacing w:before="40" w:after="40"/>
              <w:rPr>
                <w:rFonts w:eastAsia="Calibri"/>
              </w:rPr>
            </w:pPr>
            <w:r w:rsidRPr="00261B7A">
              <w:rPr>
                <w:rFonts w:eastAsia="Calibri"/>
                <w:b/>
                <w:bCs/>
              </w:rPr>
              <w:t>Addressing.</w:t>
            </w:r>
            <w:r w:rsidRPr="00261B7A">
              <w:rPr>
                <w:rFonts w:eastAsia="Calibri"/>
              </w:rPr>
              <w:t xml:space="preserve"> A clearer description has been added in chapter 5, section 5.1.4.</w:t>
            </w:r>
          </w:p>
        </w:tc>
      </w:tr>
      <w:tr w:rsidR="00D140F7" w:rsidRPr="00261B7A" w14:paraId="1C9AF7F7" w14:textId="77777777" w:rsidTr="009C63CA">
        <w:tc>
          <w:tcPr>
            <w:tcW w:w="1794" w:type="dxa"/>
            <w:shd w:val="clear" w:color="auto" w:fill="FFFFFF" w:themeFill="background1"/>
          </w:tcPr>
          <w:p w14:paraId="3CAB1696" w14:textId="77777777" w:rsidR="00D140F7" w:rsidRPr="00261B7A" w:rsidRDefault="00D140F7" w:rsidP="009C63CA">
            <w:pPr>
              <w:pStyle w:val="TableText"/>
              <w:spacing w:before="40" w:after="40"/>
              <w:rPr>
                <w:rFonts w:eastAsia="Calibri"/>
              </w:rPr>
            </w:pPr>
            <w:r w:rsidRPr="00261B7A">
              <w:rPr>
                <w:rFonts w:eastAsia="Calibri"/>
              </w:rPr>
              <w:t>Agriculture – Cattle – CH</w:t>
            </w:r>
            <w:r w:rsidRPr="00261B7A">
              <w:rPr>
                <w:rFonts w:eastAsia="Calibri"/>
                <w:vertAlign w:val="subscript"/>
              </w:rPr>
              <w:t>4</w:t>
            </w:r>
            <w:r w:rsidRPr="00261B7A">
              <w:rPr>
                <w:rFonts w:eastAsia="Calibri"/>
              </w:rPr>
              <w:t xml:space="preserve"> and N</w:t>
            </w:r>
            <w:r w:rsidRPr="00261B7A">
              <w:rPr>
                <w:rFonts w:eastAsia="Calibri"/>
                <w:vertAlign w:val="subscript"/>
              </w:rPr>
              <w:t>2</w:t>
            </w:r>
            <w:r w:rsidRPr="00261B7A">
              <w:rPr>
                <w:rFonts w:eastAsia="Calibri"/>
              </w:rPr>
              <w:t>O</w:t>
            </w:r>
          </w:p>
        </w:tc>
        <w:tc>
          <w:tcPr>
            <w:tcW w:w="925" w:type="dxa"/>
            <w:shd w:val="clear" w:color="auto" w:fill="FFFFFF" w:themeFill="background1"/>
          </w:tcPr>
          <w:p w14:paraId="0A8E4FA3" w14:textId="77777777" w:rsidR="00D140F7" w:rsidRPr="00261B7A" w:rsidRDefault="00D140F7" w:rsidP="009C63CA">
            <w:pPr>
              <w:pStyle w:val="TableText"/>
              <w:spacing w:before="40" w:after="40"/>
              <w:rPr>
                <w:rFonts w:eastAsia="Calibri"/>
              </w:rPr>
            </w:pPr>
            <w:r w:rsidRPr="00261B7A">
              <w:rPr>
                <w:rFonts w:eastAsia="Calibri"/>
              </w:rPr>
              <w:t>A.19, 2021</w:t>
            </w:r>
          </w:p>
        </w:tc>
        <w:tc>
          <w:tcPr>
            <w:tcW w:w="2665" w:type="dxa"/>
            <w:shd w:val="clear" w:color="auto" w:fill="FFFFFF" w:themeFill="background1"/>
          </w:tcPr>
          <w:p w14:paraId="1091DD36" w14:textId="77777777" w:rsidR="00D140F7" w:rsidRPr="00261B7A" w:rsidRDefault="00D140F7" w:rsidP="009C63CA">
            <w:pPr>
              <w:pStyle w:val="TableText"/>
              <w:spacing w:before="40" w:after="40"/>
              <w:rPr>
                <w:rFonts w:eastAsia="Calibri"/>
              </w:rPr>
            </w:pPr>
            <w:r w:rsidRPr="00261B7A">
              <w:rPr>
                <w:rFonts w:eastAsia="Calibri"/>
              </w:rPr>
              <w:t>The ERT recommends that New Zealand incorporate the data and results of its ongoing research in order to provide more up to date data on the proportion of dry cows and update the parameter POPdnmct (total number of dairy cows and heifers not in milk or calf in year t), recalculate emission estimates and explain the recalculation in the NIR.</w:t>
            </w:r>
          </w:p>
        </w:tc>
        <w:tc>
          <w:tcPr>
            <w:tcW w:w="3062" w:type="dxa"/>
            <w:shd w:val="clear" w:color="auto" w:fill="FFFFFF" w:themeFill="background1"/>
          </w:tcPr>
          <w:p w14:paraId="46E00E8C" w14:textId="77777777" w:rsidR="00D140F7" w:rsidRPr="00261B7A" w:rsidRDefault="00D140F7" w:rsidP="009C63CA">
            <w:pPr>
              <w:pStyle w:val="TableText"/>
              <w:spacing w:before="40" w:after="40"/>
              <w:rPr>
                <w:rFonts w:eastAsia="Calibri"/>
              </w:rPr>
            </w:pPr>
            <w:r w:rsidRPr="00261B7A">
              <w:rPr>
                <w:rFonts w:eastAsia="Calibri"/>
                <w:b/>
                <w:bCs/>
              </w:rPr>
              <w:t>Not resolved</w:t>
            </w:r>
            <w:r w:rsidRPr="00261B7A">
              <w:rPr>
                <w:rFonts w:eastAsia="Calibri"/>
              </w:rPr>
              <w:t>. Research will be incorporated when available.</w:t>
            </w:r>
          </w:p>
        </w:tc>
      </w:tr>
      <w:tr w:rsidR="00D140F7" w:rsidRPr="00261B7A" w14:paraId="26A8505A" w14:textId="77777777" w:rsidTr="009C63CA">
        <w:tc>
          <w:tcPr>
            <w:tcW w:w="1794" w:type="dxa"/>
            <w:shd w:val="clear" w:color="auto" w:fill="FFFFFF" w:themeFill="background1"/>
          </w:tcPr>
          <w:p w14:paraId="00276FD0" w14:textId="77777777" w:rsidR="00D140F7" w:rsidRPr="00261B7A" w:rsidRDefault="00D140F7" w:rsidP="009C63CA">
            <w:pPr>
              <w:pStyle w:val="TableText"/>
              <w:spacing w:before="40" w:after="40"/>
              <w:rPr>
                <w:rFonts w:eastAsia="Calibri"/>
              </w:rPr>
            </w:pPr>
            <w:r w:rsidRPr="00261B7A">
              <w:rPr>
                <w:rFonts w:asciiTheme="minorHAnsi" w:eastAsiaTheme="minorEastAsia" w:hAnsiTheme="minorHAnsi" w:cstheme="minorBidi"/>
              </w:rPr>
              <w:t>Agriculture – Cattle – CH</w:t>
            </w:r>
            <w:r w:rsidRPr="00261B7A">
              <w:rPr>
                <w:rFonts w:asciiTheme="minorHAnsi" w:eastAsiaTheme="minorEastAsia" w:hAnsiTheme="minorHAnsi" w:cstheme="minorBidi"/>
                <w:vertAlign w:val="subscript"/>
              </w:rPr>
              <w:t>4</w:t>
            </w:r>
          </w:p>
        </w:tc>
        <w:tc>
          <w:tcPr>
            <w:tcW w:w="925" w:type="dxa"/>
            <w:shd w:val="clear" w:color="auto" w:fill="FFFFFF" w:themeFill="background1"/>
          </w:tcPr>
          <w:p w14:paraId="03F93111" w14:textId="77777777" w:rsidR="00D140F7" w:rsidRPr="00261B7A" w:rsidRDefault="00D140F7" w:rsidP="009C63CA">
            <w:pPr>
              <w:pStyle w:val="TableText"/>
              <w:spacing w:before="40" w:after="40"/>
              <w:rPr>
                <w:rFonts w:eastAsia="Calibri"/>
              </w:rPr>
            </w:pPr>
            <w:r w:rsidRPr="00261B7A">
              <w:rPr>
                <w:rFonts w:eastAsia="Calibri"/>
              </w:rPr>
              <w:t>A.20, 2021</w:t>
            </w:r>
          </w:p>
        </w:tc>
        <w:tc>
          <w:tcPr>
            <w:tcW w:w="2665" w:type="dxa"/>
            <w:shd w:val="clear" w:color="auto" w:fill="FFFFFF" w:themeFill="background1"/>
          </w:tcPr>
          <w:p w14:paraId="09DC1CFE" w14:textId="77777777" w:rsidR="00D140F7" w:rsidRPr="00261B7A" w:rsidRDefault="00D140F7" w:rsidP="009C63CA">
            <w:pPr>
              <w:pStyle w:val="TableText"/>
              <w:spacing w:before="40" w:after="40"/>
              <w:rPr>
                <w:rFonts w:eastAsia="Calibri"/>
              </w:rPr>
            </w:pPr>
            <w:r w:rsidRPr="00261B7A">
              <w:rPr>
                <w:rFonts w:eastAsia="Calibri"/>
              </w:rPr>
              <w:t>The ERT recommends that New Zealand improve the methodology related to the instantaneous gain of 10 per cent of the weight of mature cows to account for their higher energy requirements and recalculate the associated emission estimates. The ERT also recommends that the Party document clearly these recalculations in the NIR.</w:t>
            </w:r>
          </w:p>
        </w:tc>
        <w:tc>
          <w:tcPr>
            <w:tcW w:w="3062" w:type="dxa"/>
            <w:shd w:val="clear" w:color="auto" w:fill="FFFFFF" w:themeFill="background1"/>
          </w:tcPr>
          <w:p w14:paraId="5C50E684" w14:textId="77777777" w:rsidR="00D140F7" w:rsidRPr="00261B7A" w:rsidRDefault="00D140F7" w:rsidP="009C63CA">
            <w:pPr>
              <w:pStyle w:val="TableText"/>
              <w:spacing w:before="40" w:after="40"/>
              <w:rPr>
                <w:rFonts w:eastAsia="Calibri"/>
              </w:rPr>
            </w:pPr>
            <w:r w:rsidRPr="00261B7A">
              <w:rPr>
                <w:rFonts w:eastAsia="Calibri"/>
                <w:b/>
                <w:bCs/>
              </w:rPr>
              <w:t>Addressing</w:t>
            </w:r>
            <w:r w:rsidRPr="00261B7A">
              <w:rPr>
                <w:rFonts w:eastAsia="Calibri"/>
              </w:rPr>
              <w:t xml:space="preserve">. This was adjusted as a part of the improved estimates of within-year </w:t>
            </w:r>
            <w:r w:rsidRPr="00261B7A">
              <w:rPr>
                <w:rFonts w:eastAsia="Calibri"/>
                <w:i/>
                <w:iCs/>
              </w:rPr>
              <w:t>Dairy cattle</w:t>
            </w:r>
            <w:r w:rsidRPr="00261B7A">
              <w:rPr>
                <w:rFonts w:eastAsia="Calibri"/>
              </w:rPr>
              <w:t xml:space="preserve"> population change. See chapter 5, section 5.2.5 for details.</w:t>
            </w:r>
          </w:p>
        </w:tc>
      </w:tr>
      <w:tr w:rsidR="00D140F7" w:rsidRPr="00261B7A" w14:paraId="0F636B1B" w14:textId="77777777" w:rsidTr="009C63CA">
        <w:tc>
          <w:tcPr>
            <w:tcW w:w="1794" w:type="dxa"/>
            <w:shd w:val="clear" w:color="auto" w:fill="FFFFFF" w:themeFill="background1"/>
          </w:tcPr>
          <w:p w14:paraId="221F4831" w14:textId="77777777" w:rsidR="00D140F7" w:rsidRPr="00261B7A" w:rsidRDefault="00D140F7" w:rsidP="009C63CA">
            <w:pPr>
              <w:pStyle w:val="TableText"/>
              <w:spacing w:before="40" w:after="40"/>
              <w:rPr>
                <w:rFonts w:asciiTheme="minorHAnsi" w:eastAsiaTheme="minorEastAsia" w:hAnsiTheme="minorHAnsi" w:cstheme="minorBidi"/>
              </w:rPr>
            </w:pPr>
            <w:r w:rsidRPr="00261B7A">
              <w:rPr>
                <w:rFonts w:eastAsia="Calibri"/>
              </w:rPr>
              <w:t>Agriculture – Cattle – N</w:t>
            </w:r>
            <w:r w:rsidRPr="00261B7A">
              <w:rPr>
                <w:rFonts w:eastAsia="Calibri"/>
                <w:vertAlign w:val="subscript"/>
              </w:rPr>
              <w:t>2</w:t>
            </w:r>
            <w:r w:rsidRPr="00261B7A">
              <w:rPr>
                <w:rFonts w:eastAsia="Calibri"/>
              </w:rPr>
              <w:t>O</w:t>
            </w:r>
          </w:p>
        </w:tc>
        <w:tc>
          <w:tcPr>
            <w:tcW w:w="925" w:type="dxa"/>
            <w:shd w:val="clear" w:color="auto" w:fill="FFFFFF" w:themeFill="background1"/>
          </w:tcPr>
          <w:p w14:paraId="25213BD2" w14:textId="77777777" w:rsidR="00D140F7" w:rsidRPr="00261B7A" w:rsidRDefault="00D140F7" w:rsidP="009C63CA">
            <w:pPr>
              <w:pStyle w:val="TableText"/>
              <w:spacing w:before="40" w:after="40"/>
              <w:rPr>
                <w:rFonts w:eastAsia="Calibri"/>
              </w:rPr>
            </w:pPr>
            <w:r w:rsidRPr="00261B7A">
              <w:rPr>
                <w:rFonts w:eastAsia="Calibri"/>
              </w:rPr>
              <w:t>A.21, 2021</w:t>
            </w:r>
          </w:p>
        </w:tc>
        <w:tc>
          <w:tcPr>
            <w:tcW w:w="2665" w:type="dxa"/>
            <w:shd w:val="clear" w:color="auto" w:fill="FFFFFF" w:themeFill="background1"/>
          </w:tcPr>
          <w:p w14:paraId="0700ADBA" w14:textId="77777777" w:rsidR="00D140F7" w:rsidRPr="00261B7A" w:rsidRDefault="00D140F7" w:rsidP="009C63CA">
            <w:pPr>
              <w:pStyle w:val="TableText"/>
              <w:spacing w:before="40" w:after="40"/>
              <w:rPr>
                <w:rFonts w:eastAsia="Calibri"/>
              </w:rPr>
            </w:pPr>
            <w:r w:rsidRPr="00261B7A">
              <w:rPr>
                <w:rFonts w:eastAsia="Calibri"/>
              </w:rPr>
              <w:t xml:space="preserve">The ERT recommends that New Zealand correct the description of nitrogen excretion in the first two months of life for dairy cattle in section 5.1 of the MPI technical report in order to resolve the inconsistency with section 5.1.1.2 of the same technical report. </w:t>
            </w:r>
          </w:p>
        </w:tc>
        <w:tc>
          <w:tcPr>
            <w:tcW w:w="3062" w:type="dxa"/>
            <w:shd w:val="clear" w:color="auto" w:fill="FFFFFF" w:themeFill="background1"/>
          </w:tcPr>
          <w:p w14:paraId="40156228" w14:textId="77777777" w:rsidR="00D140F7" w:rsidRPr="00261B7A" w:rsidRDefault="00D140F7" w:rsidP="009C63CA">
            <w:pPr>
              <w:pStyle w:val="TableText"/>
              <w:spacing w:before="40" w:after="40"/>
              <w:rPr>
                <w:rFonts w:eastAsia="Calibri"/>
              </w:rPr>
            </w:pPr>
            <w:r w:rsidRPr="00261B7A">
              <w:rPr>
                <w:rFonts w:eastAsia="Calibri"/>
                <w:b/>
                <w:bCs/>
              </w:rPr>
              <w:t xml:space="preserve">Addressing. </w:t>
            </w:r>
            <w:r w:rsidRPr="00261B7A">
              <w:rPr>
                <w:rFonts w:eastAsia="Calibri"/>
              </w:rPr>
              <w:t xml:space="preserve">Section 5.2 (previously section 5.1) of the MPI technical report on the methodology for calculation of New Zealand’s agricultural greenhouse gas emissions (van der Weerden et al., 2014) has been updated for consistency. </w:t>
            </w:r>
          </w:p>
        </w:tc>
      </w:tr>
      <w:tr w:rsidR="00D140F7" w:rsidRPr="00261B7A" w14:paraId="113D4108" w14:textId="77777777" w:rsidTr="009C63CA">
        <w:tc>
          <w:tcPr>
            <w:tcW w:w="1794" w:type="dxa"/>
            <w:shd w:val="clear" w:color="auto" w:fill="FFFFFF" w:themeFill="background1"/>
          </w:tcPr>
          <w:p w14:paraId="7410A4BA" w14:textId="77777777" w:rsidR="00D140F7" w:rsidRPr="00261B7A" w:rsidRDefault="00D140F7" w:rsidP="009C63CA">
            <w:pPr>
              <w:pStyle w:val="TableText"/>
              <w:spacing w:before="40" w:after="40"/>
              <w:rPr>
                <w:rFonts w:eastAsia="Calibri"/>
              </w:rPr>
            </w:pPr>
            <w:r w:rsidRPr="00261B7A">
              <w:rPr>
                <w:rFonts w:eastAsia="Calibri"/>
              </w:rPr>
              <w:t>Agriculture – Animal manure applied to soils – N</w:t>
            </w:r>
            <w:r w:rsidRPr="00261B7A">
              <w:rPr>
                <w:rFonts w:eastAsia="Calibri"/>
                <w:vertAlign w:val="subscript"/>
              </w:rPr>
              <w:t>2</w:t>
            </w:r>
            <w:r w:rsidRPr="00261B7A">
              <w:rPr>
                <w:rFonts w:eastAsia="Calibri"/>
              </w:rPr>
              <w:t>O</w:t>
            </w:r>
          </w:p>
        </w:tc>
        <w:tc>
          <w:tcPr>
            <w:tcW w:w="925" w:type="dxa"/>
            <w:shd w:val="clear" w:color="auto" w:fill="FFFFFF" w:themeFill="background1"/>
          </w:tcPr>
          <w:p w14:paraId="3D8C5D12" w14:textId="77777777" w:rsidR="00D140F7" w:rsidRPr="00261B7A" w:rsidRDefault="00D140F7" w:rsidP="009C63CA">
            <w:pPr>
              <w:pStyle w:val="TableText"/>
              <w:spacing w:before="40" w:after="40"/>
              <w:rPr>
                <w:rFonts w:eastAsia="Calibri"/>
              </w:rPr>
            </w:pPr>
            <w:r w:rsidRPr="00261B7A">
              <w:rPr>
                <w:rFonts w:eastAsia="Calibri"/>
              </w:rPr>
              <w:t>A.22, 2021</w:t>
            </w:r>
          </w:p>
        </w:tc>
        <w:tc>
          <w:tcPr>
            <w:tcW w:w="2665" w:type="dxa"/>
            <w:shd w:val="clear" w:color="auto" w:fill="FFFFFF" w:themeFill="background1"/>
          </w:tcPr>
          <w:p w14:paraId="4CDB4BC9" w14:textId="77777777" w:rsidR="00D140F7" w:rsidRPr="00261B7A" w:rsidRDefault="00D140F7" w:rsidP="009C63CA">
            <w:pPr>
              <w:pStyle w:val="TableText"/>
              <w:spacing w:before="40" w:after="40"/>
              <w:rPr>
                <w:rFonts w:eastAsia="Calibri"/>
              </w:rPr>
            </w:pPr>
            <w:r w:rsidRPr="00261B7A">
              <w:rPr>
                <w:rFonts w:eastAsia="Calibri"/>
              </w:rPr>
              <w:t>The ERT recommends that New Zealand provide additional information describing the manure management systems used for dairy cattle in the NIR, including the information from Rollo et al. (2017).</w:t>
            </w:r>
          </w:p>
        </w:tc>
        <w:tc>
          <w:tcPr>
            <w:tcW w:w="3062" w:type="dxa"/>
            <w:shd w:val="clear" w:color="auto" w:fill="FFFFFF" w:themeFill="background1"/>
          </w:tcPr>
          <w:p w14:paraId="13F74C78" w14:textId="77777777" w:rsidR="00D140F7" w:rsidRPr="00261B7A" w:rsidRDefault="00D140F7" w:rsidP="009C63CA">
            <w:pPr>
              <w:pStyle w:val="TableText"/>
              <w:spacing w:before="40" w:after="40"/>
              <w:rPr>
                <w:rFonts w:eastAsia="Calibri"/>
              </w:rPr>
            </w:pPr>
            <w:r w:rsidRPr="00261B7A">
              <w:rPr>
                <w:rFonts w:eastAsia="Calibri"/>
                <w:b/>
                <w:bCs/>
              </w:rPr>
              <w:t>Not resolved.</w:t>
            </w:r>
            <w:r w:rsidRPr="00261B7A">
              <w:rPr>
                <w:rFonts w:eastAsia="Calibri"/>
              </w:rPr>
              <w:t xml:space="preserve"> Chapter 5, section 5.3.2 will be updated in a future NIR.</w:t>
            </w:r>
          </w:p>
        </w:tc>
      </w:tr>
      <w:tr w:rsidR="00D140F7" w:rsidRPr="00261B7A" w14:paraId="77371118" w14:textId="77777777" w:rsidTr="009C63CA">
        <w:tc>
          <w:tcPr>
            <w:tcW w:w="1794" w:type="dxa"/>
            <w:shd w:val="clear" w:color="auto" w:fill="FFFFFF" w:themeFill="background1"/>
          </w:tcPr>
          <w:p w14:paraId="75F4948A" w14:textId="77777777" w:rsidR="00D140F7" w:rsidRPr="00261B7A" w:rsidRDefault="00D140F7" w:rsidP="009C63CA">
            <w:pPr>
              <w:pStyle w:val="TableText"/>
              <w:keepNext/>
              <w:spacing w:before="40" w:after="40"/>
              <w:rPr>
                <w:rFonts w:eastAsia="Calibri"/>
              </w:rPr>
            </w:pPr>
            <w:r w:rsidRPr="00261B7A">
              <w:rPr>
                <w:rFonts w:eastAsia="Calibri"/>
              </w:rPr>
              <w:t>Agriculture – Other organic fertilizers applied to soils – N</w:t>
            </w:r>
            <w:r w:rsidRPr="00261B7A">
              <w:rPr>
                <w:rFonts w:eastAsia="Calibri"/>
                <w:vertAlign w:val="subscript"/>
              </w:rPr>
              <w:t>2</w:t>
            </w:r>
            <w:r w:rsidRPr="00261B7A">
              <w:rPr>
                <w:rFonts w:eastAsia="Calibri"/>
              </w:rPr>
              <w:t>O</w:t>
            </w:r>
          </w:p>
        </w:tc>
        <w:tc>
          <w:tcPr>
            <w:tcW w:w="925" w:type="dxa"/>
            <w:shd w:val="clear" w:color="auto" w:fill="FFFFFF" w:themeFill="background1"/>
          </w:tcPr>
          <w:p w14:paraId="42F35AA8" w14:textId="77777777" w:rsidR="00D140F7" w:rsidRPr="00261B7A" w:rsidRDefault="00D140F7" w:rsidP="009C63CA">
            <w:pPr>
              <w:pStyle w:val="TableText"/>
              <w:spacing w:before="40" w:after="40"/>
              <w:rPr>
                <w:rFonts w:eastAsia="Calibri"/>
              </w:rPr>
            </w:pPr>
            <w:r w:rsidRPr="00261B7A">
              <w:rPr>
                <w:rFonts w:eastAsia="Calibri"/>
              </w:rPr>
              <w:t>A.23, 2021</w:t>
            </w:r>
          </w:p>
        </w:tc>
        <w:tc>
          <w:tcPr>
            <w:tcW w:w="2665" w:type="dxa"/>
            <w:shd w:val="clear" w:color="auto" w:fill="FFFFFF" w:themeFill="background1"/>
          </w:tcPr>
          <w:p w14:paraId="0CE9C7DC" w14:textId="77777777" w:rsidR="00D140F7" w:rsidRPr="00261B7A" w:rsidRDefault="00D140F7" w:rsidP="009C63CA">
            <w:pPr>
              <w:pStyle w:val="TableText"/>
              <w:spacing w:before="40" w:after="40"/>
              <w:rPr>
                <w:rFonts w:eastAsia="Calibri"/>
              </w:rPr>
            </w:pPr>
            <w:r w:rsidRPr="00261B7A">
              <w:rPr>
                <w:rFonts w:eastAsia="Calibri"/>
              </w:rPr>
              <w:t>The ERT recommends that New Zealand undertake an updated analysis of the AD related to N applied to soil for non-manure components of organic fertilizers and estimate and report N</w:t>
            </w:r>
            <w:r w:rsidRPr="00261B7A">
              <w:rPr>
                <w:rFonts w:eastAsia="Calibri"/>
                <w:vertAlign w:val="subscript"/>
              </w:rPr>
              <w:t>2</w:t>
            </w:r>
            <w:r w:rsidRPr="00261B7A">
              <w:rPr>
                <w:rFonts w:eastAsia="Calibri"/>
              </w:rPr>
              <w:t>O emissions for this subcategory. In case New Zealand consider such emissions to fall below the threshold of significance, the ERT recommends that the Party report in the NIR information in accordance with paragraph 37(b) of the UNFCCC Annex I inventory reporting guidelines on the likely level of N</w:t>
            </w:r>
            <w:r w:rsidRPr="00261B7A">
              <w:rPr>
                <w:rFonts w:eastAsia="Calibri"/>
                <w:vertAlign w:val="subscript"/>
              </w:rPr>
              <w:t>2</w:t>
            </w:r>
            <w:r w:rsidRPr="00261B7A">
              <w:rPr>
                <w:rFonts w:eastAsia="Calibri"/>
              </w:rPr>
              <w:t>O emissions, demonstrating that they account for less than 0.05 per cent of the total national emissions and do not exceed 500 t CO</w:t>
            </w:r>
            <w:r w:rsidRPr="00261B7A">
              <w:rPr>
                <w:rFonts w:eastAsia="Calibri"/>
                <w:vertAlign w:val="subscript"/>
              </w:rPr>
              <w:t>2</w:t>
            </w:r>
            <w:r w:rsidRPr="00261B7A">
              <w:rPr>
                <w:rFonts w:eastAsia="Calibri"/>
              </w:rPr>
              <w:t xml:space="preserve"> eq.</w:t>
            </w:r>
          </w:p>
        </w:tc>
        <w:tc>
          <w:tcPr>
            <w:tcW w:w="3062" w:type="dxa"/>
            <w:shd w:val="clear" w:color="auto" w:fill="FFFFFF" w:themeFill="background1"/>
          </w:tcPr>
          <w:p w14:paraId="7FA4FAD1" w14:textId="77777777" w:rsidR="00D140F7" w:rsidRPr="00261B7A" w:rsidRDefault="00D140F7" w:rsidP="009C63CA">
            <w:pPr>
              <w:pStyle w:val="TableText"/>
              <w:spacing w:before="40" w:after="40"/>
              <w:rPr>
                <w:rFonts w:eastAsia="Calibri"/>
              </w:rPr>
            </w:pPr>
            <w:r w:rsidRPr="00261B7A">
              <w:rPr>
                <w:rFonts w:eastAsia="Calibri"/>
                <w:b/>
                <w:bCs/>
              </w:rPr>
              <w:t>Addressing.</w:t>
            </w:r>
            <w:r w:rsidRPr="00261B7A">
              <w:rPr>
                <w:rFonts w:eastAsia="Calibri"/>
              </w:rPr>
              <w:t xml:space="preserve"> Research has been contracted and work will begin in 2023. Research will be incorporated when available.</w:t>
            </w:r>
          </w:p>
        </w:tc>
      </w:tr>
      <w:tr w:rsidR="00D140F7" w:rsidRPr="00261B7A" w14:paraId="5DD568E4" w14:textId="77777777" w:rsidTr="009C63CA">
        <w:tc>
          <w:tcPr>
            <w:tcW w:w="1794" w:type="dxa"/>
            <w:shd w:val="clear" w:color="auto" w:fill="FFFFFF" w:themeFill="background1"/>
          </w:tcPr>
          <w:p w14:paraId="1697B896" w14:textId="77777777" w:rsidR="00D140F7" w:rsidRPr="00261B7A" w:rsidRDefault="00D140F7" w:rsidP="009C63CA">
            <w:pPr>
              <w:pStyle w:val="TableText"/>
              <w:spacing w:before="40" w:after="40"/>
            </w:pPr>
            <w:r w:rsidRPr="00261B7A">
              <w:rPr>
                <w:rFonts w:eastAsia="Calibri"/>
              </w:rPr>
              <w:t xml:space="preserve">LULUCF </w:t>
            </w:r>
            <w:r w:rsidRPr="00261B7A">
              <w:t>–</w:t>
            </w:r>
            <w:r w:rsidRPr="00261B7A">
              <w:rPr>
                <w:rFonts w:eastAsia="Calibri"/>
              </w:rPr>
              <w:t xml:space="preserve"> 4.</w:t>
            </w:r>
            <w:r w:rsidRPr="00261B7A">
              <w:t>A Forest land</w:t>
            </w:r>
            <w:r w:rsidRPr="00261B7A">
              <w:rPr>
                <w:rFonts w:eastAsia="Calibri"/>
              </w:rPr>
              <w:t xml:space="preserve"> – </w:t>
            </w:r>
            <w:r w:rsidRPr="00261B7A">
              <w:rPr>
                <w:rFonts w:eastAsia="Calibri"/>
                <w:lang w:eastAsia="en-US"/>
              </w:rPr>
              <w:t>CO</w:t>
            </w:r>
            <w:r w:rsidRPr="00261B7A">
              <w:rPr>
                <w:rFonts w:eastAsia="Calibri"/>
                <w:vertAlign w:val="subscript"/>
                <w:lang w:eastAsia="en-US"/>
              </w:rPr>
              <w:t>2</w:t>
            </w:r>
          </w:p>
        </w:tc>
        <w:tc>
          <w:tcPr>
            <w:tcW w:w="925" w:type="dxa"/>
            <w:shd w:val="clear" w:color="auto" w:fill="FFFFFF" w:themeFill="background1"/>
          </w:tcPr>
          <w:p w14:paraId="55911780" w14:textId="77777777" w:rsidR="00D140F7" w:rsidRPr="00261B7A" w:rsidRDefault="00D140F7" w:rsidP="009C63CA">
            <w:pPr>
              <w:pStyle w:val="TableText"/>
              <w:spacing w:before="40" w:after="40"/>
            </w:pPr>
            <w:r w:rsidRPr="00261B7A">
              <w:rPr>
                <w:rFonts w:eastAsia="Calibri"/>
              </w:rPr>
              <w:t>L.26, 2021</w:t>
            </w:r>
          </w:p>
        </w:tc>
        <w:tc>
          <w:tcPr>
            <w:tcW w:w="2665" w:type="dxa"/>
            <w:shd w:val="clear" w:color="auto" w:fill="FFFFFF" w:themeFill="background1"/>
          </w:tcPr>
          <w:p w14:paraId="3A3F6E81" w14:textId="77777777" w:rsidR="00D140F7" w:rsidRPr="00261B7A" w:rsidRDefault="00D140F7" w:rsidP="009C63CA">
            <w:pPr>
              <w:pStyle w:val="TableText"/>
              <w:spacing w:before="40" w:after="40"/>
              <w:rPr>
                <w:rFonts w:asciiTheme="minorHAnsi" w:hAnsiTheme="minorHAnsi" w:cstheme="minorHAnsi"/>
                <w:szCs w:val="16"/>
              </w:rPr>
            </w:pPr>
            <w:r w:rsidRPr="00261B7A">
              <w:rPr>
                <w:rFonts w:asciiTheme="minorHAnsi" w:hAnsiTheme="minorHAnsi" w:cstheme="minorHAnsi"/>
                <w:iCs/>
                <w:szCs w:val="16"/>
              </w:rPr>
              <w:t>The ERT recommends that New Zealand include in its NIR definitions of tall and regenerating forests, their respective areas and how this distinction and the associated calculations result in complete estimates of CSC, in particular in the event of natural disturbances (see ID# L.12 in table 3).</w:t>
            </w:r>
          </w:p>
        </w:tc>
        <w:tc>
          <w:tcPr>
            <w:tcW w:w="3062" w:type="dxa"/>
            <w:shd w:val="clear" w:color="auto" w:fill="FFFFFF" w:themeFill="background1"/>
          </w:tcPr>
          <w:p w14:paraId="2E7F1F02" w14:textId="77777777" w:rsidR="00D140F7" w:rsidRPr="00261B7A" w:rsidRDefault="00D140F7" w:rsidP="009C63CA">
            <w:pPr>
              <w:pStyle w:val="TableText"/>
              <w:spacing w:before="40" w:after="40"/>
            </w:pPr>
            <w:r w:rsidRPr="00261B7A">
              <w:rPr>
                <w:b/>
                <w:bCs/>
              </w:rPr>
              <w:t>Resolved</w:t>
            </w:r>
            <w:r w:rsidRPr="00261B7A">
              <w:t>. New Zealand has now reported in its 2021 NIR the definitions (chapter 6, table 6.3.5) and areas (table 6.3.6) of tall and regenerating forests. Forest areas are classified spatially as either tall or regenerating and, accordingly, CSC is calculated separately. Natural disturbances affect the carbon stocks measured in the national forest inventory plot network and therefore are implicitly included in the CSC calculations.</w:t>
            </w:r>
          </w:p>
        </w:tc>
      </w:tr>
      <w:tr w:rsidR="00D140F7" w:rsidRPr="00261B7A" w14:paraId="7B6AD215" w14:textId="77777777" w:rsidTr="009C63CA">
        <w:tc>
          <w:tcPr>
            <w:tcW w:w="1794" w:type="dxa"/>
            <w:shd w:val="clear" w:color="auto" w:fill="FFFFFF" w:themeFill="background1"/>
          </w:tcPr>
          <w:p w14:paraId="5F25D283" w14:textId="77777777" w:rsidR="00D140F7" w:rsidRPr="00261B7A" w:rsidRDefault="00D140F7" w:rsidP="009C63CA">
            <w:pPr>
              <w:pStyle w:val="TableText"/>
              <w:spacing w:before="40" w:after="40"/>
            </w:pPr>
            <w:r w:rsidRPr="00261B7A">
              <w:t xml:space="preserve">LULUCF – 4.E.2 Land converted to settlements – </w:t>
            </w:r>
            <w:r w:rsidRPr="00261B7A">
              <w:rPr>
                <w:lang w:eastAsia="en-US"/>
              </w:rPr>
              <w:t>CO</w:t>
            </w:r>
            <w:r w:rsidRPr="00261B7A">
              <w:rPr>
                <w:vertAlign w:val="subscript"/>
                <w:lang w:eastAsia="en-US"/>
              </w:rPr>
              <w:t>2</w:t>
            </w:r>
          </w:p>
        </w:tc>
        <w:tc>
          <w:tcPr>
            <w:tcW w:w="925" w:type="dxa"/>
            <w:shd w:val="clear" w:color="auto" w:fill="FFFFFF" w:themeFill="background1"/>
          </w:tcPr>
          <w:p w14:paraId="4909C3B5" w14:textId="77777777" w:rsidR="00D140F7" w:rsidRPr="00261B7A" w:rsidRDefault="00D140F7" w:rsidP="009C63CA">
            <w:pPr>
              <w:pStyle w:val="TableText"/>
              <w:spacing w:before="40" w:after="40"/>
            </w:pPr>
            <w:r w:rsidRPr="00261B7A">
              <w:rPr>
                <w:rFonts w:eastAsia="Calibri"/>
              </w:rPr>
              <w:t>L.27, 2021</w:t>
            </w:r>
          </w:p>
        </w:tc>
        <w:tc>
          <w:tcPr>
            <w:tcW w:w="2665" w:type="dxa"/>
            <w:shd w:val="clear" w:color="auto" w:fill="FFFFFF" w:themeFill="background1"/>
          </w:tcPr>
          <w:p w14:paraId="16A5C19C" w14:textId="77777777" w:rsidR="00D140F7" w:rsidRPr="00261B7A" w:rsidRDefault="00D140F7" w:rsidP="009C63CA">
            <w:pPr>
              <w:pStyle w:val="TableText"/>
              <w:spacing w:before="40" w:after="40"/>
              <w:rPr>
                <w:rFonts w:asciiTheme="minorHAnsi" w:hAnsiTheme="minorHAnsi" w:cstheme="minorHAnsi"/>
                <w:szCs w:val="16"/>
              </w:rPr>
            </w:pPr>
            <w:r w:rsidRPr="00261B7A">
              <w:rPr>
                <w:rFonts w:asciiTheme="minorHAnsi" w:hAnsiTheme="minorHAnsi" w:cstheme="minorHAnsi"/>
                <w:iCs/>
                <w:szCs w:val="16"/>
              </w:rPr>
              <w:t>The ERT recommends that New Zealand assess the share of impervious surfaces within the settlement category and estimate soil CSC for land converted to settlements on the basis of this share and in accordance with the 2006 IPCC Guidelines.</w:t>
            </w:r>
          </w:p>
        </w:tc>
        <w:tc>
          <w:tcPr>
            <w:tcW w:w="3062" w:type="dxa"/>
            <w:shd w:val="clear" w:color="auto" w:fill="FFFFFF" w:themeFill="background1"/>
          </w:tcPr>
          <w:p w14:paraId="700142C1" w14:textId="77777777" w:rsidR="00D140F7" w:rsidRPr="00261B7A" w:rsidRDefault="00D140F7" w:rsidP="009C63CA">
            <w:pPr>
              <w:pStyle w:val="TableText"/>
              <w:spacing w:before="40" w:after="40"/>
            </w:pPr>
            <w:r w:rsidRPr="00261B7A">
              <w:rPr>
                <w:rFonts w:eastAsia="Calibri"/>
                <w:b/>
              </w:rPr>
              <w:t>Not Resolved.</w:t>
            </w:r>
            <w:r w:rsidRPr="00261B7A">
              <w:rPr>
                <w:rFonts w:eastAsia="Calibri"/>
              </w:rPr>
              <w:t xml:space="preserve"> Research on settlements is low priority due to the small emissions associated with this category. Therefore it has not been possible to direct funding into this area.</w:t>
            </w:r>
          </w:p>
        </w:tc>
      </w:tr>
      <w:tr w:rsidR="00D140F7" w:rsidRPr="00261B7A" w14:paraId="6A9740D3" w14:textId="77777777" w:rsidTr="009C63CA">
        <w:tc>
          <w:tcPr>
            <w:tcW w:w="1794" w:type="dxa"/>
            <w:shd w:val="clear" w:color="auto" w:fill="FFFFFF" w:themeFill="background1"/>
          </w:tcPr>
          <w:p w14:paraId="4C0A6617" w14:textId="77777777" w:rsidR="00D140F7" w:rsidRPr="00261B7A" w:rsidRDefault="00D140F7" w:rsidP="009C63CA">
            <w:pPr>
              <w:pStyle w:val="TableText"/>
              <w:spacing w:before="40" w:after="40"/>
            </w:pPr>
            <w:r w:rsidRPr="00261B7A">
              <w:rPr>
                <w:rFonts w:eastAsia="Calibri"/>
              </w:rPr>
              <w:t xml:space="preserve">LULUCF </w:t>
            </w:r>
            <w:r w:rsidRPr="00261B7A">
              <w:t>–</w:t>
            </w:r>
            <w:r w:rsidRPr="00261B7A">
              <w:rPr>
                <w:rFonts w:eastAsia="Calibri"/>
              </w:rPr>
              <w:t xml:space="preserve"> 4</w:t>
            </w:r>
            <w:r w:rsidRPr="00261B7A">
              <w:t>(V) Biomass burning</w:t>
            </w:r>
            <w:r w:rsidRPr="00261B7A">
              <w:rPr>
                <w:rFonts w:eastAsia="Calibri"/>
              </w:rPr>
              <w:t xml:space="preserve"> – </w:t>
            </w:r>
            <w:r w:rsidRPr="00261B7A">
              <w:rPr>
                <w:rFonts w:eastAsia="Calibri"/>
                <w:lang w:eastAsia="en-US"/>
              </w:rPr>
              <w:t>CO</w:t>
            </w:r>
            <w:r w:rsidRPr="00261B7A">
              <w:rPr>
                <w:rFonts w:eastAsia="Calibri"/>
                <w:vertAlign w:val="subscript"/>
                <w:lang w:eastAsia="en-US"/>
              </w:rPr>
              <w:t>2</w:t>
            </w:r>
          </w:p>
        </w:tc>
        <w:tc>
          <w:tcPr>
            <w:tcW w:w="925" w:type="dxa"/>
            <w:shd w:val="clear" w:color="auto" w:fill="FFFFFF" w:themeFill="background1"/>
          </w:tcPr>
          <w:p w14:paraId="45FB60F0" w14:textId="77777777" w:rsidR="00D140F7" w:rsidRPr="00261B7A" w:rsidRDefault="00D140F7" w:rsidP="009C63CA">
            <w:pPr>
              <w:pStyle w:val="TableText"/>
              <w:spacing w:before="40" w:after="40"/>
            </w:pPr>
            <w:r w:rsidRPr="00261B7A">
              <w:rPr>
                <w:rFonts w:eastAsia="Calibri"/>
              </w:rPr>
              <w:t>L.28, 2021</w:t>
            </w:r>
          </w:p>
        </w:tc>
        <w:tc>
          <w:tcPr>
            <w:tcW w:w="2665" w:type="dxa"/>
            <w:shd w:val="clear" w:color="auto" w:fill="FFFFFF" w:themeFill="background1"/>
          </w:tcPr>
          <w:p w14:paraId="57C2B632" w14:textId="77777777" w:rsidR="00D140F7" w:rsidRPr="00261B7A" w:rsidRDefault="00D140F7" w:rsidP="009C63CA">
            <w:pPr>
              <w:pStyle w:val="TableText"/>
              <w:spacing w:before="40" w:after="40"/>
              <w:rPr>
                <w:szCs w:val="16"/>
              </w:rPr>
            </w:pPr>
            <w:r w:rsidRPr="00261B7A">
              <w:rPr>
                <w:iCs/>
                <w:szCs w:val="16"/>
              </w:rPr>
              <w:t>The ERT recommends that New Zealand transparently describe in its NIR how CO</w:t>
            </w:r>
            <w:r w:rsidRPr="00261B7A">
              <w:rPr>
                <w:iCs/>
                <w:szCs w:val="16"/>
                <w:vertAlign w:val="subscript"/>
              </w:rPr>
              <w:t>2</w:t>
            </w:r>
            <w:r w:rsidRPr="00261B7A">
              <w:rPr>
                <w:iCs/>
                <w:szCs w:val="16"/>
              </w:rPr>
              <w:t xml:space="preserve"> emissions from wildfires are captured in its estimates for planted forests by the general stock change calculation, specifying in particular what share of salvage logging is assumed, whether it is entirely or partly deducted from the estimated “non-salvage” harvest area, and whether age-distribution is impacted by wildfire. </w:t>
            </w:r>
          </w:p>
        </w:tc>
        <w:tc>
          <w:tcPr>
            <w:tcW w:w="3062" w:type="dxa"/>
            <w:shd w:val="clear" w:color="auto" w:fill="FFFFFF" w:themeFill="background1"/>
          </w:tcPr>
          <w:p w14:paraId="63D4824A" w14:textId="77777777" w:rsidR="00D140F7" w:rsidRPr="00261B7A" w:rsidRDefault="00D140F7" w:rsidP="009C63CA">
            <w:pPr>
              <w:pStyle w:val="TableText"/>
              <w:spacing w:before="40" w:after="40"/>
            </w:pPr>
            <w:r w:rsidRPr="00261B7A">
              <w:rPr>
                <w:rFonts w:eastAsia="Calibri"/>
                <w:b/>
              </w:rPr>
              <w:t>Resolved.</w:t>
            </w:r>
            <w:r w:rsidRPr="00261B7A">
              <w:rPr>
                <w:rFonts w:eastAsia="Calibri"/>
              </w:rPr>
              <w:t xml:space="preserve"> </w:t>
            </w:r>
            <w:r w:rsidRPr="00261B7A">
              <w:t>New Zealand now reports in its 2021 NIR (chapter 6, section 6.10.8) that CO</w:t>
            </w:r>
            <w:r w:rsidRPr="00261B7A">
              <w:rPr>
                <w:vertAlign w:val="subscript"/>
              </w:rPr>
              <w:t>2</w:t>
            </w:r>
            <w:r w:rsidRPr="00261B7A">
              <w:t xml:space="preserve"> emissions from wildfires in </w:t>
            </w:r>
            <w:r w:rsidRPr="00261B7A">
              <w:rPr>
                <w:i/>
                <w:iCs/>
              </w:rPr>
              <w:t>Forest land remaining forest land</w:t>
            </w:r>
            <w:r w:rsidRPr="00261B7A">
              <w:t xml:space="preserve"> are included in the general stock change calculation. In </w:t>
            </w:r>
            <w:r w:rsidRPr="00261B7A">
              <w:rPr>
                <w:i/>
                <w:iCs/>
              </w:rPr>
              <w:t>Forest land remaining forest land</w:t>
            </w:r>
            <w:r w:rsidRPr="00261B7A">
              <w:t>, burned stands are either harvested (so emissions are included with the harvesting emissions) or left to grow on at reduced stocking. For both natural and planted forests, emissions from areas burned are captured within the forest plot networks that New Zealand uses to estimate CSC. In these cases, to avoid double counting of CO</w:t>
            </w:r>
            <w:r w:rsidRPr="00261B7A">
              <w:rPr>
                <w:vertAlign w:val="subscript"/>
              </w:rPr>
              <w:t>2</w:t>
            </w:r>
            <w:r w:rsidRPr="00261B7A">
              <w:t xml:space="preserve"> emissions, ‘IE’ is reported in CRF table 4(V).</w:t>
            </w:r>
          </w:p>
        </w:tc>
      </w:tr>
      <w:tr w:rsidR="00D140F7" w:rsidRPr="00261B7A" w14:paraId="7F4377AC" w14:textId="77777777" w:rsidTr="009C63CA">
        <w:tc>
          <w:tcPr>
            <w:tcW w:w="1794" w:type="dxa"/>
            <w:shd w:val="clear" w:color="auto" w:fill="FFFFFF" w:themeFill="background1"/>
          </w:tcPr>
          <w:p w14:paraId="479EC6BA" w14:textId="77777777" w:rsidR="00D140F7" w:rsidRPr="00261B7A" w:rsidRDefault="00D140F7" w:rsidP="009C63CA">
            <w:pPr>
              <w:pStyle w:val="TableText"/>
              <w:spacing w:before="40" w:after="40"/>
            </w:pPr>
            <w:r w:rsidRPr="00261B7A">
              <w:rPr>
                <w:rFonts w:eastAsia="Calibri"/>
              </w:rPr>
              <w:t xml:space="preserve">LULUCF – </w:t>
            </w:r>
            <w:r w:rsidRPr="00261B7A">
              <w:t xml:space="preserve">4(V) Biomass burning – </w:t>
            </w:r>
            <w:r w:rsidRPr="00261B7A">
              <w:rPr>
                <w:lang w:eastAsia="en-US"/>
              </w:rPr>
              <w:t>CH</w:t>
            </w:r>
            <w:r w:rsidRPr="00261B7A">
              <w:rPr>
                <w:vertAlign w:val="subscript"/>
                <w:lang w:eastAsia="en-US"/>
              </w:rPr>
              <w:t>4</w:t>
            </w:r>
            <w:r w:rsidRPr="00261B7A">
              <w:rPr>
                <w:lang w:eastAsia="en-US"/>
              </w:rPr>
              <w:t>, N</w:t>
            </w:r>
            <w:r w:rsidRPr="00261B7A">
              <w:rPr>
                <w:vertAlign w:val="subscript"/>
                <w:lang w:eastAsia="en-US"/>
              </w:rPr>
              <w:t>2</w:t>
            </w:r>
            <w:r w:rsidRPr="00261B7A">
              <w:rPr>
                <w:lang w:eastAsia="en-US"/>
              </w:rPr>
              <w:t>O</w:t>
            </w:r>
          </w:p>
        </w:tc>
        <w:tc>
          <w:tcPr>
            <w:tcW w:w="925" w:type="dxa"/>
            <w:shd w:val="clear" w:color="auto" w:fill="FFFFFF" w:themeFill="background1"/>
          </w:tcPr>
          <w:p w14:paraId="313AB2E0" w14:textId="77777777" w:rsidR="00D140F7" w:rsidRPr="00261B7A" w:rsidRDefault="00D140F7" w:rsidP="009C63CA">
            <w:pPr>
              <w:pStyle w:val="TableText"/>
              <w:spacing w:before="40" w:after="40"/>
            </w:pPr>
            <w:r w:rsidRPr="00261B7A">
              <w:rPr>
                <w:rFonts w:eastAsia="Calibri"/>
              </w:rPr>
              <w:t>L.29, 2021</w:t>
            </w:r>
          </w:p>
        </w:tc>
        <w:tc>
          <w:tcPr>
            <w:tcW w:w="2665" w:type="dxa"/>
            <w:shd w:val="clear" w:color="auto" w:fill="FFFFFF" w:themeFill="background1"/>
          </w:tcPr>
          <w:p w14:paraId="33ED0508" w14:textId="77777777" w:rsidR="00D140F7" w:rsidRPr="00261B7A" w:rsidRDefault="00D140F7" w:rsidP="009C63CA">
            <w:pPr>
              <w:pStyle w:val="TableText"/>
              <w:spacing w:before="40" w:after="40"/>
              <w:rPr>
                <w:szCs w:val="16"/>
              </w:rPr>
            </w:pPr>
            <w:r w:rsidRPr="00261B7A">
              <w:rPr>
                <w:iCs/>
                <w:szCs w:val="16"/>
              </w:rPr>
              <w:t>The ERT recommends that New Zealand provide explanations in its NIR on how the Fire and Emergency New Zealand database is fed, whether by remote-sensing data or field reports, together with information on the time series of annually burned areas.</w:t>
            </w:r>
          </w:p>
        </w:tc>
        <w:tc>
          <w:tcPr>
            <w:tcW w:w="3062" w:type="dxa"/>
            <w:shd w:val="clear" w:color="auto" w:fill="FFFFFF" w:themeFill="background1"/>
          </w:tcPr>
          <w:p w14:paraId="26E6CC97" w14:textId="77777777" w:rsidR="00D140F7" w:rsidRPr="00261B7A" w:rsidRDefault="00D140F7" w:rsidP="009C63CA">
            <w:pPr>
              <w:pStyle w:val="TableText"/>
              <w:spacing w:before="40" w:after="40"/>
            </w:pPr>
            <w:r w:rsidRPr="00261B7A">
              <w:rPr>
                <w:b/>
                <w:bCs/>
              </w:rPr>
              <w:t>Resolved.</w:t>
            </w:r>
            <w:r w:rsidRPr="00261B7A">
              <w:t xml:space="preserve"> New Zealand now reports in its 2021 NIR (chapter 6, section 6.10.8) that wildfire AD are sourced from Fire and Emergency New Zealand, which maintains a database in which wildfire events are recorded. Historically, burned areas were estimated and allocated by field staff by vegetation type: grass, tussock, gorse, scrub, wetlands, plantation forest and indigenous forest. The process was updated in 2017 and now involves mapping the burned area and overlaying land cover categories to identify vegetation types. </w:t>
            </w:r>
          </w:p>
        </w:tc>
      </w:tr>
      <w:tr w:rsidR="00D140F7" w:rsidRPr="00261B7A" w14:paraId="5B34FC87" w14:textId="77777777" w:rsidTr="009C63CA">
        <w:tc>
          <w:tcPr>
            <w:tcW w:w="1794" w:type="dxa"/>
            <w:shd w:val="clear" w:color="auto" w:fill="FFFFFF" w:themeFill="background1"/>
          </w:tcPr>
          <w:p w14:paraId="5A52F1E0" w14:textId="77777777" w:rsidR="00D140F7" w:rsidRPr="00261B7A" w:rsidRDefault="00D140F7" w:rsidP="009C63CA">
            <w:pPr>
              <w:pStyle w:val="TableText"/>
              <w:spacing w:before="40" w:after="40"/>
            </w:pPr>
            <w:r w:rsidRPr="00261B7A">
              <w:rPr>
                <w:rFonts w:eastAsia="Calibri"/>
              </w:rPr>
              <w:t xml:space="preserve">Waste </w:t>
            </w:r>
            <w:r w:rsidRPr="00261B7A">
              <w:t>–</w:t>
            </w:r>
            <w:r w:rsidRPr="00261B7A">
              <w:rPr>
                <w:rFonts w:eastAsia="Calibri"/>
              </w:rPr>
              <w:t xml:space="preserve"> 5.</w:t>
            </w:r>
            <w:r w:rsidRPr="00261B7A">
              <w:t xml:space="preserve">A Solid </w:t>
            </w:r>
            <w:r w:rsidRPr="00261B7A">
              <w:rPr>
                <w:rFonts w:eastAsia="Calibri"/>
              </w:rPr>
              <w:t>waste</w:t>
            </w:r>
            <w:r w:rsidRPr="00261B7A">
              <w:t xml:space="preserve"> disposal on land </w:t>
            </w:r>
            <w:r w:rsidRPr="00261B7A">
              <w:rPr>
                <w:lang w:eastAsia="en-US"/>
              </w:rPr>
              <w:t>–</w:t>
            </w:r>
            <w:r w:rsidRPr="00261B7A">
              <w:rPr>
                <w:rFonts w:eastAsia="Calibri"/>
                <w:lang w:eastAsia="en-US"/>
              </w:rPr>
              <w:t xml:space="preserve"> CH</w:t>
            </w:r>
            <w:r w:rsidRPr="00261B7A">
              <w:rPr>
                <w:rFonts w:eastAsia="Calibri"/>
                <w:vertAlign w:val="subscript"/>
                <w:lang w:eastAsia="en-US"/>
              </w:rPr>
              <w:t>4</w:t>
            </w:r>
            <w:r w:rsidRPr="00261B7A">
              <w:rPr>
                <w:rFonts w:eastAsia="Calibri"/>
                <w:shd w:val="clear" w:color="auto" w:fill="BFBFBF" w:themeFill="background1" w:themeFillShade="BF"/>
                <w:lang w:eastAsia="en-US"/>
              </w:rPr>
              <w:t xml:space="preserve"> </w:t>
            </w:r>
          </w:p>
        </w:tc>
        <w:tc>
          <w:tcPr>
            <w:tcW w:w="925" w:type="dxa"/>
            <w:shd w:val="clear" w:color="auto" w:fill="FFFFFF" w:themeFill="background1"/>
            <w:tcMar>
              <w:right w:w="57" w:type="dxa"/>
            </w:tcMar>
          </w:tcPr>
          <w:p w14:paraId="3B1609E6" w14:textId="77777777" w:rsidR="00D140F7" w:rsidRPr="00261B7A" w:rsidRDefault="00D140F7" w:rsidP="009C63CA">
            <w:pPr>
              <w:pStyle w:val="TableText"/>
              <w:spacing w:before="40" w:after="40"/>
            </w:pPr>
            <w:r w:rsidRPr="00261B7A">
              <w:rPr>
                <w:rFonts w:eastAsia="Calibri"/>
              </w:rPr>
              <w:t>W.13, 2021</w:t>
            </w:r>
          </w:p>
        </w:tc>
        <w:tc>
          <w:tcPr>
            <w:tcW w:w="2665" w:type="dxa"/>
            <w:shd w:val="clear" w:color="auto" w:fill="FFFFFF" w:themeFill="background1"/>
          </w:tcPr>
          <w:p w14:paraId="57868921" w14:textId="77777777" w:rsidR="00D140F7" w:rsidRPr="00261B7A" w:rsidRDefault="00D140F7" w:rsidP="009C63CA">
            <w:pPr>
              <w:pStyle w:val="TableText"/>
              <w:spacing w:before="40" w:after="40"/>
              <w:rPr>
                <w:rFonts w:asciiTheme="minorHAnsi" w:hAnsiTheme="minorHAnsi" w:cstheme="minorHAnsi"/>
                <w:szCs w:val="16"/>
              </w:rPr>
            </w:pPr>
            <w:r w:rsidRPr="00261B7A">
              <w:rPr>
                <w:rFonts w:asciiTheme="minorHAnsi" w:hAnsiTheme="minorHAnsi" w:cstheme="minorHAnsi"/>
                <w:iCs/>
                <w:color w:val="000000" w:themeColor="text1"/>
                <w:szCs w:val="16"/>
              </w:rPr>
              <w:t>The ERT recommends that New Zealand include information in the NIR on the consolidation of MSW landfill sites from numerous small and poor managed to fewer large scale and well managed landfills and any additional information on the changing trends in waste generation and waste management in the country.</w:t>
            </w:r>
          </w:p>
        </w:tc>
        <w:tc>
          <w:tcPr>
            <w:tcW w:w="3062" w:type="dxa"/>
            <w:shd w:val="clear" w:color="auto" w:fill="FFFFFF" w:themeFill="background1"/>
          </w:tcPr>
          <w:p w14:paraId="5F47A941" w14:textId="77777777" w:rsidR="00D140F7" w:rsidRPr="00261B7A" w:rsidRDefault="00D140F7" w:rsidP="009C63CA">
            <w:pPr>
              <w:pStyle w:val="TableText"/>
              <w:spacing w:before="40" w:after="40"/>
            </w:pPr>
            <w:r w:rsidRPr="00261B7A">
              <w:rPr>
                <w:rFonts w:eastAsia="Calibri"/>
                <w:b/>
              </w:rPr>
              <w:t>Resolved.</w:t>
            </w:r>
            <w:r w:rsidRPr="00261B7A">
              <w:rPr>
                <w:rFonts w:eastAsia="Calibri"/>
              </w:rPr>
              <w:t xml:space="preserve"> The 2021 NIR has been revised to add additional clarification in chapter 7, section 7.2.2.</w:t>
            </w:r>
          </w:p>
        </w:tc>
      </w:tr>
      <w:tr w:rsidR="00D140F7" w:rsidRPr="00261B7A" w14:paraId="0A0D1F4E" w14:textId="77777777" w:rsidTr="009C63CA">
        <w:tc>
          <w:tcPr>
            <w:tcW w:w="1794" w:type="dxa"/>
            <w:shd w:val="clear" w:color="auto" w:fill="FFFFFF" w:themeFill="background1"/>
          </w:tcPr>
          <w:p w14:paraId="1AC89FB0" w14:textId="77777777" w:rsidR="00D140F7" w:rsidRPr="00261B7A" w:rsidRDefault="00D140F7" w:rsidP="009C63CA">
            <w:pPr>
              <w:pStyle w:val="TableText"/>
              <w:spacing w:before="40" w:after="40"/>
            </w:pPr>
            <w:r w:rsidRPr="00261B7A">
              <w:rPr>
                <w:rFonts w:eastAsia="Calibri"/>
              </w:rPr>
              <w:t xml:space="preserve">Waste </w:t>
            </w:r>
            <w:r w:rsidRPr="00261B7A">
              <w:t>–</w:t>
            </w:r>
            <w:r w:rsidRPr="00261B7A">
              <w:rPr>
                <w:rFonts w:eastAsia="Calibri"/>
              </w:rPr>
              <w:t xml:space="preserve"> 5.A</w:t>
            </w:r>
            <w:r w:rsidRPr="00261B7A">
              <w:t>.3 Uncategorized</w:t>
            </w:r>
            <w:r w:rsidRPr="00261B7A">
              <w:rPr>
                <w:rFonts w:eastAsia="Calibri"/>
              </w:rPr>
              <w:t xml:space="preserve"> waste disposal </w:t>
            </w:r>
            <w:r w:rsidRPr="00261B7A">
              <w:t xml:space="preserve">sites </w:t>
            </w:r>
            <w:r w:rsidRPr="00261B7A">
              <w:rPr>
                <w:lang w:eastAsia="en-US"/>
              </w:rPr>
              <w:t>– CH</w:t>
            </w:r>
            <w:r w:rsidRPr="00261B7A">
              <w:rPr>
                <w:vertAlign w:val="subscript"/>
                <w:lang w:eastAsia="en-US"/>
              </w:rPr>
              <w:t>4</w:t>
            </w:r>
            <w:r w:rsidRPr="00261B7A">
              <w:rPr>
                <w:lang w:eastAsia="en-US"/>
              </w:rPr>
              <w:t xml:space="preserve"> </w:t>
            </w:r>
          </w:p>
        </w:tc>
        <w:tc>
          <w:tcPr>
            <w:tcW w:w="925" w:type="dxa"/>
            <w:shd w:val="clear" w:color="auto" w:fill="FFFFFF" w:themeFill="background1"/>
          </w:tcPr>
          <w:p w14:paraId="1DA2D1D8" w14:textId="77777777" w:rsidR="00D140F7" w:rsidRPr="00261B7A" w:rsidRDefault="00D140F7" w:rsidP="009C63CA">
            <w:pPr>
              <w:pStyle w:val="TableText"/>
              <w:spacing w:before="40" w:after="40"/>
            </w:pPr>
            <w:r w:rsidRPr="00261B7A">
              <w:rPr>
                <w:rFonts w:eastAsia="Calibri"/>
              </w:rPr>
              <w:t>W.14, 2021</w:t>
            </w:r>
          </w:p>
        </w:tc>
        <w:tc>
          <w:tcPr>
            <w:tcW w:w="2665" w:type="dxa"/>
            <w:shd w:val="clear" w:color="auto" w:fill="FFFFFF" w:themeFill="background1"/>
          </w:tcPr>
          <w:p w14:paraId="0A591A12" w14:textId="77777777" w:rsidR="00D140F7" w:rsidRPr="00261B7A" w:rsidRDefault="00D140F7" w:rsidP="009C63CA">
            <w:pPr>
              <w:pStyle w:val="TableText"/>
              <w:spacing w:before="40" w:after="40"/>
              <w:rPr>
                <w:rFonts w:asciiTheme="minorHAnsi" w:hAnsiTheme="minorHAnsi" w:cstheme="minorHAnsi"/>
                <w:szCs w:val="16"/>
              </w:rPr>
            </w:pPr>
            <w:r w:rsidRPr="00261B7A">
              <w:rPr>
                <w:rFonts w:asciiTheme="minorHAnsi" w:hAnsiTheme="minorHAnsi" w:cstheme="minorHAnsi"/>
                <w:iCs/>
                <w:color w:val="000000" w:themeColor="text1"/>
                <w:szCs w:val="16"/>
              </w:rPr>
              <w:t>The ERT recommends that New Zealand provide additional information</w:t>
            </w:r>
            <w:r w:rsidRPr="00261B7A">
              <w:rPr>
                <w:rFonts w:asciiTheme="minorHAnsi" w:hAnsiTheme="minorHAnsi" w:cstheme="minorHAnsi"/>
                <w:iCs/>
                <w:szCs w:val="16"/>
              </w:rPr>
              <w:t xml:space="preserve"> </w:t>
            </w:r>
            <w:r w:rsidRPr="00261B7A">
              <w:rPr>
                <w:rFonts w:asciiTheme="minorHAnsi" w:hAnsiTheme="minorHAnsi" w:cstheme="minorHAnsi"/>
                <w:iCs/>
                <w:color w:val="000000" w:themeColor="text1"/>
                <w:szCs w:val="16"/>
              </w:rPr>
              <w:t>in NIR section 7.1.1 on its current waste management practices, including a higher-resolution of figure 7.1.1 with an overview of MSW generation and its treatment method (recycling, composting, incineration, or disposal) and its impact on the composition of waste disposed of at landfills.</w:t>
            </w:r>
          </w:p>
        </w:tc>
        <w:tc>
          <w:tcPr>
            <w:tcW w:w="3062" w:type="dxa"/>
            <w:shd w:val="clear" w:color="auto" w:fill="FFFFFF" w:themeFill="background1"/>
          </w:tcPr>
          <w:p w14:paraId="1749ECC6" w14:textId="77777777" w:rsidR="00D140F7" w:rsidRPr="00261B7A" w:rsidRDefault="00D140F7" w:rsidP="009C63CA">
            <w:pPr>
              <w:pStyle w:val="TableText"/>
              <w:spacing w:before="40" w:after="40"/>
            </w:pPr>
            <w:r w:rsidRPr="00261B7A">
              <w:rPr>
                <w:rFonts w:eastAsia="Calibri"/>
                <w:b/>
              </w:rPr>
              <w:t>Addressing.</w:t>
            </w:r>
            <w:r w:rsidRPr="00261B7A">
              <w:rPr>
                <w:rFonts w:eastAsia="Calibri"/>
              </w:rPr>
              <w:t xml:space="preserve"> Section 7.1.1, chapter 7, includes minor improvements, and further improvements will be included in future submissions.</w:t>
            </w:r>
          </w:p>
        </w:tc>
      </w:tr>
      <w:tr w:rsidR="00D140F7" w:rsidRPr="00261B7A" w14:paraId="09144B6D" w14:textId="77777777" w:rsidTr="009C63CA">
        <w:tc>
          <w:tcPr>
            <w:tcW w:w="1794" w:type="dxa"/>
            <w:shd w:val="clear" w:color="auto" w:fill="FFFFFF" w:themeFill="background1"/>
          </w:tcPr>
          <w:p w14:paraId="3476AFBB" w14:textId="77777777" w:rsidR="00D140F7" w:rsidRPr="00261B7A" w:rsidRDefault="00D140F7" w:rsidP="009C63CA">
            <w:pPr>
              <w:pStyle w:val="TableText"/>
              <w:spacing w:before="40" w:after="40"/>
            </w:pPr>
            <w:r w:rsidRPr="00261B7A">
              <w:t>Waste – 5.B.1 Composting</w:t>
            </w:r>
            <w:r w:rsidRPr="00261B7A">
              <w:rPr>
                <w:color w:val="000000" w:themeColor="text1"/>
                <w:lang w:eastAsia="en-GB"/>
              </w:rPr>
              <w:t xml:space="preserve"> – CH</w:t>
            </w:r>
            <w:r w:rsidRPr="00261B7A">
              <w:rPr>
                <w:color w:val="000000" w:themeColor="text1"/>
                <w:vertAlign w:val="subscript"/>
                <w:lang w:eastAsia="en-GB"/>
              </w:rPr>
              <w:t>4</w:t>
            </w:r>
          </w:p>
        </w:tc>
        <w:tc>
          <w:tcPr>
            <w:tcW w:w="925" w:type="dxa"/>
            <w:shd w:val="clear" w:color="auto" w:fill="FFFFFF" w:themeFill="background1"/>
          </w:tcPr>
          <w:p w14:paraId="48405BD8" w14:textId="77777777" w:rsidR="00D140F7" w:rsidRPr="00261B7A" w:rsidRDefault="00D140F7" w:rsidP="009C63CA">
            <w:pPr>
              <w:pStyle w:val="TableText"/>
              <w:spacing w:before="40" w:after="40"/>
            </w:pPr>
            <w:r w:rsidRPr="00261B7A">
              <w:rPr>
                <w:rFonts w:eastAsia="Calibri"/>
              </w:rPr>
              <w:t>W.15, 2021</w:t>
            </w:r>
          </w:p>
        </w:tc>
        <w:tc>
          <w:tcPr>
            <w:tcW w:w="2665" w:type="dxa"/>
            <w:shd w:val="clear" w:color="auto" w:fill="FFFFFF" w:themeFill="background1"/>
          </w:tcPr>
          <w:p w14:paraId="68104F2C" w14:textId="77777777" w:rsidR="00D140F7" w:rsidRPr="00261B7A" w:rsidRDefault="00D140F7" w:rsidP="009C63CA">
            <w:pPr>
              <w:pStyle w:val="TableText"/>
              <w:spacing w:before="40" w:after="40"/>
              <w:rPr>
                <w:rFonts w:asciiTheme="minorHAnsi" w:hAnsiTheme="minorHAnsi" w:cstheme="minorHAnsi"/>
                <w:szCs w:val="16"/>
              </w:rPr>
            </w:pPr>
            <w:r w:rsidRPr="00261B7A">
              <w:rPr>
                <w:rFonts w:asciiTheme="minorHAnsi" w:hAnsiTheme="minorHAnsi" w:cstheme="minorHAnsi"/>
                <w:color w:val="000000" w:themeColor="text1"/>
                <w:szCs w:val="16"/>
              </w:rPr>
              <w:t>The ERT recommends that New Zealand correct the text in the NIR (p. 381) to refer to the correct number of table 7.2.3 (which reflects total municipal solid waste) and provide a description of the AD on composting used for the estimates.</w:t>
            </w:r>
          </w:p>
        </w:tc>
        <w:tc>
          <w:tcPr>
            <w:tcW w:w="3062" w:type="dxa"/>
            <w:shd w:val="clear" w:color="auto" w:fill="FFFFFF" w:themeFill="background1"/>
          </w:tcPr>
          <w:p w14:paraId="54BA45CA" w14:textId="77777777" w:rsidR="00D140F7" w:rsidRPr="00261B7A" w:rsidRDefault="00D140F7" w:rsidP="009C63CA">
            <w:pPr>
              <w:pStyle w:val="TableText"/>
              <w:spacing w:before="40" w:after="40"/>
            </w:pPr>
            <w:r w:rsidRPr="00261B7A">
              <w:rPr>
                <w:rFonts w:eastAsia="Calibri"/>
                <w:b/>
              </w:rPr>
              <w:t>Resolved.</w:t>
            </w:r>
            <w:r w:rsidRPr="00261B7A">
              <w:rPr>
                <w:rFonts w:eastAsia="Calibri"/>
              </w:rPr>
              <w:t xml:space="preserve"> The reference to table 7.2.3, chapter 7, is now correct.</w:t>
            </w:r>
          </w:p>
        </w:tc>
      </w:tr>
      <w:tr w:rsidR="00D140F7" w:rsidRPr="00261B7A" w14:paraId="013554D1" w14:textId="77777777" w:rsidTr="009C63CA">
        <w:tc>
          <w:tcPr>
            <w:tcW w:w="1794" w:type="dxa"/>
            <w:shd w:val="clear" w:color="auto" w:fill="FFFFFF" w:themeFill="background1"/>
          </w:tcPr>
          <w:p w14:paraId="6A9E3D6E" w14:textId="77777777" w:rsidR="00D140F7" w:rsidRPr="00261B7A" w:rsidRDefault="00D140F7" w:rsidP="009C63CA">
            <w:pPr>
              <w:pStyle w:val="TableText"/>
              <w:spacing w:before="40" w:after="40"/>
            </w:pPr>
            <w:r w:rsidRPr="00261B7A">
              <w:t xml:space="preserve">Waste – 5.C.1 Waste incineration </w:t>
            </w:r>
            <w:r w:rsidRPr="00261B7A">
              <w:rPr>
                <w:lang w:eastAsia="en-US"/>
              </w:rPr>
              <w:t>– CO</w:t>
            </w:r>
            <w:r w:rsidRPr="00261B7A">
              <w:rPr>
                <w:vertAlign w:val="subscript"/>
                <w:lang w:eastAsia="en-US"/>
              </w:rPr>
              <w:t>2</w:t>
            </w:r>
            <w:r w:rsidRPr="00261B7A">
              <w:rPr>
                <w:lang w:eastAsia="en-US"/>
              </w:rPr>
              <w:t>, CH</w:t>
            </w:r>
            <w:r w:rsidRPr="00261B7A">
              <w:rPr>
                <w:vertAlign w:val="subscript"/>
                <w:lang w:eastAsia="en-US"/>
              </w:rPr>
              <w:t>4</w:t>
            </w:r>
            <w:r w:rsidRPr="00261B7A">
              <w:rPr>
                <w:lang w:eastAsia="en-US"/>
              </w:rPr>
              <w:t xml:space="preserve"> and N</w:t>
            </w:r>
            <w:r w:rsidRPr="00261B7A">
              <w:rPr>
                <w:vertAlign w:val="subscript"/>
                <w:lang w:eastAsia="en-US"/>
              </w:rPr>
              <w:t>2</w:t>
            </w:r>
            <w:r w:rsidRPr="00261B7A">
              <w:rPr>
                <w:lang w:eastAsia="en-US"/>
              </w:rPr>
              <w:t>O</w:t>
            </w:r>
          </w:p>
        </w:tc>
        <w:tc>
          <w:tcPr>
            <w:tcW w:w="925" w:type="dxa"/>
            <w:shd w:val="clear" w:color="auto" w:fill="FFFFFF" w:themeFill="background1"/>
          </w:tcPr>
          <w:p w14:paraId="53A7A4F0" w14:textId="77777777" w:rsidR="00D140F7" w:rsidRPr="00261B7A" w:rsidRDefault="00D140F7" w:rsidP="009C63CA">
            <w:pPr>
              <w:pStyle w:val="TableText"/>
              <w:spacing w:before="40" w:after="40"/>
            </w:pPr>
            <w:r w:rsidRPr="00261B7A">
              <w:rPr>
                <w:rFonts w:eastAsia="Calibri"/>
              </w:rPr>
              <w:t>W.16, 2021</w:t>
            </w:r>
          </w:p>
        </w:tc>
        <w:tc>
          <w:tcPr>
            <w:tcW w:w="2665" w:type="dxa"/>
            <w:shd w:val="clear" w:color="auto" w:fill="FFFFFF" w:themeFill="background1"/>
          </w:tcPr>
          <w:p w14:paraId="616F6E51" w14:textId="77777777" w:rsidR="00D140F7" w:rsidRPr="00261B7A" w:rsidRDefault="00D140F7" w:rsidP="009C63CA">
            <w:pPr>
              <w:pStyle w:val="TableText"/>
              <w:spacing w:before="40" w:after="40"/>
              <w:rPr>
                <w:rFonts w:asciiTheme="minorHAnsi" w:hAnsiTheme="minorHAnsi" w:cstheme="minorHAnsi"/>
                <w:szCs w:val="16"/>
              </w:rPr>
            </w:pPr>
            <w:r w:rsidRPr="00261B7A">
              <w:rPr>
                <w:rFonts w:asciiTheme="minorHAnsi" w:hAnsiTheme="minorHAnsi" w:cstheme="minorHAnsi"/>
                <w:color w:val="000000" w:themeColor="text1"/>
                <w:szCs w:val="16"/>
              </w:rPr>
              <w:t>The ERT recommends that New Zealand include information in the NIR to clarify how it defines clinical waste in line with national circumstances, and encourages the Party to use a single, common terminology in line with the 2006 IPCC Guidelines in defining this type of waste.</w:t>
            </w:r>
          </w:p>
        </w:tc>
        <w:tc>
          <w:tcPr>
            <w:tcW w:w="3062" w:type="dxa"/>
            <w:shd w:val="clear" w:color="auto" w:fill="FFFFFF" w:themeFill="background1"/>
          </w:tcPr>
          <w:p w14:paraId="0AE7FF2F" w14:textId="77777777" w:rsidR="00D140F7" w:rsidRPr="00261B7A" w:rsidRDefault="00D140F7" w:rsidP="009C63CA">
            <w:pPr>
              <w:pStyle w:val="TableText"/>
              <w:spacing w:before="40" w:after="40"/>
            </w:pPr>
            <w:r w:rsidRPr="00261B7A">
              <w:rPr>
                <w:rFonts w:eastAsia="Calibri"/>
                <w:b/>
              </w:rPr>
              <w:t>Resolved.</w:t>
            </w:r>
            <w:r w:rsidRPr="00261B7A">
              <w:rPr>
                <w:rFonts w:eastAsia="Calibri"/>
              </w:rPr>
              <w:t xml:space="preserve"> Since the 2022 NIR submission, New Zealand has included information on </w:t>
            </w:r>
            <w:r w:rsidRPr="00261B7A">
              <w:rPr>
                <w:rFonts w:asciiTheme="minorHAnsi" w:hAnsiTheme="minorHAnsi" w:cstheme="minorHAnsi"/>
                <w:color w:val="000000" w:themeColor="text1"/>
                <w:szCs w:val="16"/>
              </w:rPr>
              <w:t>how it defines clinical waste</w:t>
            </w:r>
            <w:r w:rsidRPr="00261B7A" w:rsidDel="0075238B">
              <w:rPr>
                <w:rFonts w:eastAsia="Calibri"/>
              </w:rPr>
              <w:t xml:space="preserve"> </w:t>
            </w:r>
            <w:r w:rsidRPr="00261B7A">
              <w:rPr>
                <w:rFonts w:eastAsia="Calibri"/>
              </w:rPr>
              <w:t>in chapter 7, section 7.4.1.</w:t>
            </w:r>
          </w:p>
        </w:tc>
      </w:tr>
      <w:tr w:rsidR="00D140F7" w:rsidRPr="00261B7A" w14:paraId="7AFA8DE1" w14:textId="77777777" w:rsidTr="009C63CA">
        <w:tc>
          <w:tcPr>
            <w:tcW w:w="1794" w:type="dxa"/>
            <w:shd w:val="clear" w:color="auto" w:fill="FFFFFF" w:themeFill="background1"/>
          </w:tcPr>
          <w:p w14:paraId="760385E0" w14:textId="77777777" w:rsidR="00D140F7" w:rsidRPr="00261B7A" w:rsidRDefault="00D140F7" w:rsidP="009C63CA">
            <w:pPr>
              <w:pStyle w:val="TableText"/>
              <w:spacing w:before="40" w:after="40"/>
            </w:pPr>
            <w:r w:rsidRPr="00261B7A">
              <w:t xml:space="preserve">Waste – 5.C.2 Open burning of waste </w:t>
            </w:r>
            <w:r w:rsidRPr="00261B7A">
              <w:rPr>
                <w:lang w:eastAsia="en-US"/>
              </w:rPr>
              <w:t>– CO</w:t>
            </w:r>
            <w:r w:rsidRPr="00261B7A">
              <w:rPr>
                <w:vertAlign w:val="subscript"/>
                <w:lang w:eastAsia="en-US"/>
              </w:rPr>
              <w:t>2</w:t>
            </w:r>
            <w:r w:rsidRPr="00261B7A">
              <w:rPr>
                <w:lang w:eastAsia="en-US"/>
              </w:rPr>
              <w:t>, CH</w:t>
            </w:r>
            <w:r w:rsidRPr="00261B7A">
              <w:rPr>
                <w:vertAlign w:val="subscript"/>
                <w:lang w:eastAsia="en-US"/>
              </w:rPr>
              <w:t>4</w:t>
            </w:r>
            <w:r w:rsidRPr="00261B7A">
              <w:rPr>
                <w:lang w:eastAsia="en-US"/>
              </w:rPr>
              <w:t xml:space="preserve"> and N</w:t>
            </w:r>
            <w:r w:rsidRPr="00261B7A">
              <w:rPr>
                <w:vertAlign w:val="subscript"/>
                <w:lang w:eastAsia="en-US"/>
              </w:rPr>
              <w:t>2</w:t>
            </w:r>
            <w:r w:rsidRPr="00261B7A">
              <w:rPr>
                <w:lang w:eastAsia="en-US"/>
              </w:rPr>
              <w:t>O</w:t>
            </w:r>
            <w:r w:rsidRPr="00261B7A">
              <w:rPr>
                <w:shd w:val="clear" w:color="auto" w:fill="BFBFBF" w:themeFill="background1" w:themeFillShade="BF"/>
                <w:lang w:eastAsia="en-US"/>
              </w:rPr>
              <w:t xml:space="preserve"> </w:t>
            </w:r>
          </w:p>
        </w:tc>
        <w:tc>
          <w:tcPr>
            <w:tcW w:w="925" w:type="dxa"/>
            <w:shd w:val="clear" w:color="auto" w:fill="FFFFFF" w:themeFill="background1"/>
          </w:tcPr>
          <w:p w14:paraId="0033EC2C" w14:textId="77777777" w:rsidR="00D140F7" w:rsidRPr="00261B7A" w:rsidRDefault="00D140F7" w:rsidP="009C63CA">
            <w:pPr>
              <w:pStyle w:val="TableText"/>
              <w:spacing w:before="40" w:after="40"/>
            </w:pPr>
            <w:r w:rsidRPr="00261B7A">
              <w:rPr>
                <w:rFonts w:eastAsia="Calibri"/>
              </w:rPr>
              <w:t>W.17, 2022</w:t>
            </w:r>
          </w:p>
        </w:tc>
        <w:tc>
          <w:tcPr>
            <w:tcW w:w="2665" w:type="dxa"/>
            <w:shd w:val="clear" w:color="auto" w:fill="FFFFFF" w:themeFill="background1"/>
          </w:tcPr>
          <w:p w14:paraId="62F8147F" w14:textId="77777777" w:rsidR="00D140F7" w:rsidRPr="00261B7A" w:rsidRDefault="00D140F7" w:rsidP="009C63CA">
            <w:pPr>
              <w:pStyle w:val="TableText"/>
              <w:spacing w:before="40" w:after="40"/>
              <w:rPr>
                <w:rFonts w:asciiTheme="minorHAnsi" w:hAnsiTheme="minorHAnsi" w:cstheme="minorHAnsi"/>
                <w:szCs w:val="16"/>
              </w:rPr>
            </w:pPr>
            <w:r w:rsidRPr="00261B7A">
              <w:rPr>
                <w:rFonts w:asciiTheme="minorHAnsi" w:eastAsia="Calibri" w:hAnsiTheme="minorHAnsi" w:cstheme="minorHAnsi"/>
                <w:color w:val="000000" w:themeColor="text1"/>
                <w:szCs w:val="16"/>
              </w:rPr>
              <w:t xml:space="preserve">The ERT recommends that </w:t>
            </w:r>
            <w:r w:rsidRPr="00261B7A">
              <w:rPr>
                <w:rFonts w:asciiTheme="minorHAnsi" w:hAnsiTheme="minorHAnsi" w:cstheme="minorHAnsi"/>
                <w:color w:val="000000" w:themeColor="text1"/>
                <w:szCs w:val="16"/>
              </w:rPr>
              <w:t>the Party clarify in the NIR that farm fills are disposed of in two different treatment pathways (i.e. under unmanaged landfills and under open burning) and that the AD for both pathways have the same value.</w:t>
            </w:r>
            <w:r w:rsidRPr="00261B7A">
              <w:rPr>
                <w:rFonts w:asciiTheme="minorHAnsi" w:eastAsia="Calibri" w:hAnsiTheme="minorHAnsi" w:cstheme="minorHAnsi"/>
                <w:color w:val="000000" w:themeColor="text1"/>
                <w:szCs w:val="16"/>
              </w:rPr>
              <w:t xml:space="preserve"> The ERT also recommends that the Party </w:t>
            </w:r>
            <w:r w:rsidRPr="00261B7A">
              <w:rPr>
                <w:rFonts w:asciiTheme="minorHAnsi" w:hAnsiTheme="minorHAnsi" w:cstheme="minorHAnsi"/>
                <w:color w:val="000000" w:themeColor="text1"/>
                <w:szCs w:val="16"/>
              </w:rPr>
              <w:t>provide some basis on which to justify why the same value of AD is applied for both farms fills and open burning.</w:t>
            </w:r>
          </w:p>
        </w:tc>
        <w:tc>
          <w:tcPr>
            <w:tcW w:w="3062" w:type="dxa"/>
            <w:shd w:val="clear" w:color="auto" w:fill="FFFFFF" w:themeFill="background1"/>
          </w:tcPr>
          <w:p w14:paraId="62373509" w14:textId="77777777" w:rsidR="00D140F7" w:rsidRPr="00261B7A" w:rsidRDefault="00D140F7" w:rsidP="009C63CA">
            <w:pPr>
              <w:pStyle w:val="TableText"/>
              <w:spacing w:before="40" w:after="40"/>
            </w:pPr>
            <w:r w:rsidRPr="00261B7A">
              <w:rPr>
                <w:rFonts w:eastAsia="Calibri"/>
                <w:b/>
              </w:rPr>
              <w:t>Resolved.</w:t>
            </w:r>
            <w:r w:rsidRPr="00261B7A">
              <w:rPr>
                <w:rFonts w:eastAsia="Calibri"/>
              </w:rPr>
              <w:t xml:space="preserve"> New Zealand has provided the additional information on </w:t>
            </w:r>
            <w:r w:rsidRPr="00261B7A">
              <w:rPr>
                <w:rFonts w:asciiTheme="minorHAnsi" w:hAnsiTheme="minorHAnsi" w:cstheme="minorHAnsi"/>
                <w:color w:val="000000" w:themeColor="text1"/>
                <w:szCs w:val="16"/>
              </w:rPr>
              <w:t>how farm fills are disposed of, and that the activity data for both pathways have the same value</w:t>
            </w:r>
            <w:r w:rsidRPr="00261B7A" w:rsidDel="00D25B01">
              <w:rPr>
                <w:rFonts w:eastAsia="Calibri"/>
              </w:rPr>
              <w:t xml:space="preserve"> </w:t>
            </w:r>
            <w:r w:rsidRPr="00261B7A">
              <w:rPr>
                <w:rFonts w:eastAsia="Calibri"/>
              </w:rPr>
              <w:t>in chapter 7, table 7.2.4 and section 7.4.2.</w:t>
            </w:r>
          </w:p>
        </w:tc>
      </w:tr>
    </w:tbl>
    <w:p w14:paraId="7921FB5A" w14:textId="4EBD6C82" w:rsidR="00D140F7" w:rsidRPr="00261B7A" w:rsidRDefault="00D140F7" w:rsidP="00D140F7">
      <w:pPr>
        <w:pStyle w:val="Noteundertable"/>
        <w:rPr>
          <w:rFonts w:eastAsia="Calibri"/>
        </w:rPr>
      </w:pPr>
      <w:bookmarkStart w:id="2885" w:name="chapter-10-references"/>
      <w:bookmarkEnd w:id="2871"/>
      <w:r w:rsidRPr="00261B7A">
        <w:rPr>
          <w:b/>
          <w:bCs/>
        </w:rPr>
        <w:t>Note:</w:t>
      </w:r>
      <w:r w:rsidRPr="00261B7A">
        <w:tab/>
      </w:r>
      <w:r w:rsidRPr="00261B7A">
        <w:rPr>
          <w:rFonts w:eastAsia="Calibri"/>
        </w:rPr>
        <w:t>AD = activity data; CRF = common reporting format; CSC = carbon stock change; EF = emission factor; ERT</w:t>
      </w:r>
      <w:r w:rsidR="00EA374C">
        <w:rPr>
          <w:rFonts w:eastAsia="Calibri"/>
        </w:rPr>
        <w:t> </w:t>
      </w:r>
      <w:r w:rsidRPr="00261B7A">
        <w:rPr>
          <w:rFonts w:eastAsia="Calibri"/>
        </w:rPr>
        <w:t>=</w:t>
      </w:r>
      <w:r w:rsidR="00EA374C">
        <w:rPr>
          <w:rFonts w:eastAsia="Calibri"/>
        </w:rPr>
        <w:t> </w:t>
      </w:r>
      <w:r w:rsidRPr="00261B7A">
        <w:rPr>
          <w:rFonts w:eastAsia="Calibri"/>
        </w:rPr>
        <w:t>expert review team; IE = included elsewhere; IEF = implied emission factor; IPCC = Intergovernmental Panel on Climate Change; IPPU = Industrial Processes and Product Use; LULUCF = Land Use, Land-Use Change and Forestry; MPI = Ministry for Primary Industries; MSW = municipal waste disposal; NE = not estimated; NIR = National Inventory Report; 2021 NIR = National Inventory Report (1990–2019); UNFCCC</w:t>
      </w:r>
      <w:r w:rsidR="00EA374C">
        <w:rPr>
          <w:rFonts w:eastAsia="Calibri"/>
        </w:rPr>
        <w:t> </w:t>
      </w:r>
      <w:r w:rsidRPr="00261B7A">
        <w:rPr>
          <w:rFonts w:eastAsia="Calibri"/>
        </w:rPr>
        <w:t>=</w:t>
      </w:r>
      <w:r w:rsidR="00EA374C">
        <w:rPr>
          <w:rFonts w:eastAsia="Calibri"/>
        </w:rPr>
        <w:t> </w:t>
      </w:r>
      <w:r w:rsidRPr="00261B7A">
        <w:rPr>
          <w:rFonts w:eastAsia="Calibri"/>
        </w:rPr>
        <w:t>United Nations Framework Convention on Climate Change.</w:t>
      </w:r>
    </w:p>
    <w:p w14:paraId="27B4AD66" w14:textId="77777777" w:rsidR="00D140F7" w:rsidRPr="00261B7A" w:rsidRDefault="00D140F7" w:rsidP="00D140F7">
      <w:pPr>
        <w:pStyle w:val="Heading2"/>
        <w:spacing w:before="0" w:after="480"/>
      </w:pPr>
      <w:r w:rsidRPr="00261B7A">
        <w:br w:type="page"/>
      </w:r>
      <w:bookmarkStart w:id="2886" w:name="_Toc99659169"/>
      <w:bookmarkStart w:id="2887" w:name="_Toc131591277"/>
      <w:r w:rsidRPr="00261B7A">
        <w:t>Chapter 10: References</w:t>
      </w:r>
      <w:bookmarkEnd w:id="2886"/>
      <w:bookmarkEnd w:id="2887"/>
    </w:p>
    <w:p w14:paraId="596CE5B7" w14:textId="77777777" w:rsidR="00D140F7" w:rsidRPr="00261B7A" w:rsidRDefault="00D140F7" w:rsidP="00D140F7">
      <w:pPr>
        <w:pStyle w:val="References"/>
      </w:pPr>
      <w:r w:rsidRPr="00261B7A">
        <w:t xml:space="preserve">Burggraaf V, Rollo M, de Klein CAM, Lio, J. Unpublished. </w:t>
      </w:r>
      <w:r w:rsidRPr="00261B7A">
        <w:rPr>
          <w:iCs/>
        </w:rPr>
        <w:t>A review of greenhouse gas emissions inventory methodology for farmed goats in New Zealand</w:t>
      </w:r>
      <w:r w:rsidRPr="00261B7A">
        <w:t>. Report prepared for the Ministry for Primary Industries by AgResearch in 2019.</w:t>
      </w:r>
    </w:p>
    <w:p w14:paraId="41B57825" w14:textId="77777777" w:rsidR="00D140F7" w:rsidRDefault="00D140F7" w:rsidP="005577FE">
      <w:pPr>
        <w:pStyle w:val="References"/>
      </w:pPr>
      <w:r w:rsidRPr="00261B7A">
        <w:t xml:space="preserve">Burggraaf V, Benson C, Rollo M. 2022. </w:t>
      </w:r>
      <w:r w:rsidRPr="009528D6">
        <w:rPr>
          <w:i/>
          <w:iCs/>
        </w:rPr>
        <w:t>Dairy cattle population model: Improving estimates of within-year population changes used in the inventory</w:t>
      </w:r>
      <w:r w:rsidRPr="00261B7A">
        <w:t xml:space="preserve">. Report prepared for Ministry for Primary Industries. </w:t>
      </w:r>
    </w:p>
    <w:p w14:paraId="69CEF509" w14:textId="77777777" w:rsidR="00D140F7" w:rsidRPr="00261B7A" w:rsidRDefault="00D140F7" w:rsidP="00D140F7">
      <w:pPr>
        <w:pStyle w:val="References"/>
      </w:pPr>
      <w:r w:rsidRPr="00261B7A">
        <w:t>Calvert F. Unpublished. Provision of Laboratory Data on Feed Quality. Hamilton: Hill Laboratories.</w:t>
      </w:r>
    </w:p>
    <w:p w14:paraId="439B530E" w14:textId="77777777" w:rsidR="00D140F7" w:rsidRPr="00261B7A" w:rsidRDefault="00D140F7" w:rsidP="00D140F7">
      <w:pPr>
        <w:pStyle w:val="References"/>
      </w:pPr>
      <w:r w:rsidRPr="00261B7A">
        <w:rPr>
          <w:rFonts w:eastAsia="Calibri" w:cs="Calibri"/>
          <w:color w:val="000000" w:themeColor="text1"/>
          <w:szCs w:val="20"/>
        </w:rPr>
        <w:t xml:space="preserve">Easdale TA, Richardson SJ, Marden M, England JR, Gayoso-Aguilar J, Guerra-Carcamo JE, Brandon AM. 2019. Root biomass allocation in southern temperate forests. </w:t>
      </w:r>
      <w:r w:rsidRPr="00261B7A">
        <w:rPr>
          <w:rFonts w:eastAsia="Calibri" w:cs="Calibri"/>
          <w:i/>
          <w:iCs/>
          <w:color w:val="000000" w:themeColor="text1"/>
          <w:szCs w:val="20"/>
        </w:rPr>
        <w:t>Forest Ecology and Management</w:t>
      </w:r>
      <w:r w:rsidRPr="00261B7A">
        <w:rPr>
          <w:rFonts w:eastAsia="Calibri" w:cs="Calibri"/>
          <w:color w:val="000000" w:themeColor="text1"/>
          <w:szCs w:val="20"/>
        </w:rPr>
        <w:t xml:space="preserve"> 453: 117542. </w:t>
      </w:r>
    </w:p>
    <w:p w14:paraId="38CE126F" w14:textId="77777777" w:rsidR="00D140F7" w:rsidRPr="00261B7A" w:rsidRDefault="00D140F7" w:rsidP="00D140F7">
      <w:pPr>
        <w:pStyle w:val="References"/>
      </w:pPr>
      <w:r w:rsidRPr="00261B7A">
        <w:rPr>
          <w:rFonts w:cs="Calibri"/>
          <w:color w:val="000000"/>
          <w:szCs w:val="20"/>
          <w:shd w:val="clear" w:color="auto" w:fill="FFFFFF"/>
        </w:rPr>
        <w:t>Easdale TA, Burge OR, Wiser S, Richardson SJ. Unpublished. Carbon Assessment of Wetland Vegetation. Contract report LC4173 prepared for the Ministry for the Environment by Landcare Research New Zealand Ltd in 2022. </w:t>
      </w:r>
    </w:p>
    <w:p w14:paraId="54A5F7B3" w14:textId="77777777" w:rsidR="00D140F7" w:rsidRPr="00261B7A" w:rsidRDefault="00D140F7" w:rsidP="00D140F7">
      <w:pPr>
        <w:pStyle w:val="References"/>
      </w:pPr>
      <w:r w:rsidRPr="00261B7A">
        <w:t>Eunomia. Unpublished. Improvements to Estimates of Greenhouse Gas Emissions from Landfills. Contract report prepared for the Ministry for the Environment in 2020.</w:t>
      </w:r>
    </w:p>
    <w:p w14:paraId="7E1C83E3" w14:textId="3FA46615" w:rsidR="00D140F7" w:rsidRPr="00261B7A" w:rsidRDefault="00D140F7" w:rsidP="00D140F7">
      <w:pPr>
        <w:pStyle w:val="References"/>
      </w:pPr>
      <w:r w:rsidRPr="00261B7A">
        <w:t xml:space="preserve">Giltrap D, McNeill S. 2020. </w:t>
      </w:r>
      <w:r w:rsidRPr="00261B7A">
        <w:rPr>
          <w:i/>
          <w:iCs/>
        </w:rPr>
        <w:t>Revised Pasture Quality Analysis in the Agricultural Greenhouse Gas Inventory</w:t>
      </w:r>
      <w:r w:rsidRPr="00261B7A">
        <w:t xml:space="preserve">. Report prepared for the Ministry for Primary Industries (July 2020). Retrieved from </w:t>
      </w:r>
      <w:hyperlink r:id="rId275" w:history="1">
        <w:r w:rsidR="00BD4EBA" w:rsidRPr="00261B7A">
          <w:rPr>
            <w:rStyle w:val="Hyperlink"/>
          </w:rPr>
          <w:t xml:space="preserve">www.mpi.govt.nz/dmsdocument/46219-Revised-Pasture-Quality-Analysis-in-the-Agricultural-Greenhouse-Gas-Inventory </w:t>
        </w:r>
      </w:hyperlink>
      <w:r w:rsidR="008E6BF2" w:rsidRPr="00261B7A">
        <w:t>(</w:t>
      </w:r>
      <w:r w:rsidR="009A0AFD" w:rsidRPr="00261B7A">
        <w:t xml:space="preserve">14 </w:t>
      </w:r>
      <w:r w:rsidRPr="00261B7A">
        <w:t>March 2023).</w:t>
      </w:r>
    </w:p>
    <w:p w14:paraId="26FC90F4" w14:textId="77777777" w:rsidR="00D140F7" w:rsidRPr="00261B7A" w:rsidRDefault="00D140F7" w:rsidP="00D140F7">
      <w:pPr>
        <w:pStyle w:val="References"/>
        <w:rPr>
          <w:rFonts w:cs="Calibri"/>
          <w:color w:val="000000"/>
          <w:szCs w:val="20"/>
          <w:shd w:val="clear" w:color="auto" w:fill="FFFFFF"/>
        </w:rPr>
      </w:pPr>
      <w:r w:rsidRPr="00261B7A">
        <w:rPr>
          <w:rFonts w:cs="Calibri"/>
          <w:color w:val="000000"/>
          <w:szCs w:val="20"/>
          <w:shd w:val="clear" w:color="auto" w:fill="FFFFFF"/>
        </w:rPr>
        <w:t xml:space="preserve">IPCC. 2006a. Eggleston HS, Buendia L, Miwa K, Ngara T, Tanabe K (eds). </w:t>
      </w:r>
      <w:r w:rsidRPr="00261B7A">
        <w:rPr>
          <w:rFonts w:cs="Calibri"/>
          <w:i/>
          <w:iCs/>
          <w:color w:val="000000"/>
          <w:szCs w:val="20"/>
          <w:shd w:val="clear" w:color="auto" w:fill="FFFFFF"/>
        </w:rPr>
        <w:t>2006 IPCC</w:t>
      </w:r>
      <w:r w:rsidRPr="00261B7A">
        <w:rPr>
          <w:rFonts w:cs="Calibri"/>
          <w:color w:val="000000"/>
          <w:szCs w:val="20"/>
          <w:shd w:val="clear" w:color="auto" w:fill="FFFFFF"/>
        </w:rPr>
        <w:t xml:space="preserve"> </w:t>
      </w:r>
      <w:r w:rsidRPr="00261B7A">
        <w:rPr>
          <w:rFonts w:cs="Calibri"/>
          <w:i/>
          <w:iCs/>
          <w:color w:val="000000"/>
          <w:szCs w:val="20"/>
          <w:shd w:val="clear" w:color="auto" w:fill="FFFFFF"/>
        </w:rPr>
        <w:t>Guidelines for National Greenhouse Gas Inventories. Volume 3. Industrial Processes and Product Use</w:t>
      </w:r>
      <w:r w:rsidRPr="00261B7A">
        <w:rPr>
          <w:rFonts w:cs="Calibri"/>
          <w:color w:val="000000"/>
          <w:szCs w:val="20"/>
          <w:shd w:val="clear" w:color="auto" w:fill="FFFFFF"/>
        </w:rPr>
        <w:t>. IPCC National Greenhouse Gas Inventories Programme. Japan: Institute for Global Environmental Strategies for IPCC.</w:t>
      </w:r>
    </w:p>
    <w:p w14:paraId="4251B349" w14:textId="77777777" w:rsidR="00D140F7" w:rsidRPr="00261B7A" w:rsidRDefault="00D140F7" w:rsidP="00D140F7">
      <w:pPr>
        <w:pStyle w:val="References"/>
      </w:pPr>
      <w:r w:rsidRPr="00261B7A">
        <w:t xml:space="preserve">IPCC. 2006b. Eggleston HS, Buendia L, Miwa K, Ngara T, Tanabe K (eds). </w:t>
      </w:r>
      <w:r w:rsidRPr="00261B7A">
        <w:rPr>
          <w:i/>
          <w:iCs/>
        </w:rPr>
        <w:t>2006 IPCC Guidelines for National Greenhouse Gas Inventories. Volume 4. Agriculture, Forestry and Other Land Use. IPCC National Greenhouse Gas Inventories Programme</w:t>
      </w:r>
      <w:r w:rsidRPr="00261B7A">
        <w:t>. Japan: Institute for Global Environmental Strategies for IPCC.</w:t>
      </w:r>
    </w:p>
    <w:p w14:paraId="5357DEC5" w14:textId="77777777" w:rsidR="00D140F7" w:rsidRPr="00261B7A" w:rsidRDefault="00D140F7" w:rsidP="00D140F7">
      <w:pPr>
        <w:pStyle w:val="References"/>
      </w:pPr>
      <w:r w:rsidRPr="00261B7A">
        <w:t xml:space="preserve">Litherland AJ, Woodward SJR, Stevens DR, McDougal DB, Boom CJ, Knight TL, Lambert MG. 2002. Seasonal variations in pasture quality on New Zealand sheep and beef farms. </w:t>
      </w:r>
      <w:r w:rsidRPr="00261B7A">
        <w:rPr>
          <w:i/>
          <w:iCs/>
        </w:rPr>
        <w:t>Proceedings of the New Zealand Society of Animal Production</w:t>
      </w:r>
      <w:r w:rsidRPr="00261B7A">
        <w:t xml:space="preserve"> 62: 138–142.</w:t>
      </w:r>
    </w:p>
    <w:p w14:paraId="6D0A10F1" w14:textId="4518C873" w:rsidR="00D140F7" w:rsidRPr="00261B7A" w:rsidRDefault="00D140F7" w:rsidP="00D140F7">
      <w:pPr>
        <w:pStyle w:val="References"/>
      </w:pPr>
      <w:r w:rsidRPr="00261B7A">
        <w:t xml:space="preserve">MPI (Ministry for Primary Industries). 2017. </w:t>
      </w:r>
      <w:r w:rsidRPr="00261B7A">
        <w:rPr>
          <w:i/>
          <w:iCs/>
        </w:rPr>
        <w:t>Analysis of supplemental feed use in the New Zealand sheep industry</w:t>
      </w:r>
      <w:r w:rsidRPr="00261B7A">
        <w:t xml:space="preserve">. Report prepared for the Ministry for Primary Industries by AbacusBio Limited. Wellington: Ministry for Primary Industries. Retrieved from </w:t>
      </w:r>
      <w:hyperlink r:id="rId276" w:history="1">
        <w:r w:rsidR="00E8162D">
          <w:rPr>
            <w:rStyle w:val="Hyperlink"/>
          </w:rPr>
          <w:t>mpi.govt.nz/dmsdocument/20909-Analysis-of-supplemental-feed-use-in-the-new-zealand-sheep-industry</w:t>
        </w:r>
      </w:hyperlink>
      <w:r w:rsidRPr="00261B7A">
        <w:rPr>
          <w:rFonts w:eastAsia="Calibri" w:cs="Calibri"/>
          <w:szCs w:val="20"/>
        </w:rPr>
        <w:t xml:space="preserve"> (14 March 2023).</w:t>
      </w:r>
    </w:p>
    <w:p w14:paraId="3638E48A" w14:textId="7D83BD40" w:rsidR="00D140F7" w:rsidRPr="00261B7A" w:rsidRDefault="00D140F7" w:rsidP="00D140F7">
      <w:pPr>
        <w:pStyle w:val="References"/>
      </w:pPr>
      <w:r w:rsidRPr="00261B7A">
        <w:t xml:space="preserve">MPI. 2018a. </w:t>
      </w:r>
      <w:r w:rsidRPr="00261B7A">
        <w:rPr>
          <w:i/>
          <w:iCs/>
        </w:rPr>
        <w:t>Animal live weight calculations in the NZ Agricultural GHG Inventory Model. MPI technical paper 2018/73</w:t>
      </w:r>
      <w:r w:rsidRPr="00261B7A">
        <w:t xml:space="preserve">. Report prepared for the Ministry for Primary Industries by AgResearch. Wellington: Ministry for Primary Industries. Retrieved from </w:t>
      </w:r>
      <w:hyperlink r:id="rId277" w:history="1">
        <w:r w:rsidR="00F525AE">
          <w:rPr>
            <w:rStyle w:val="Hyperlink"/>
          </w:rPr>
          <w:t>mpi.govt.nz/dmsdocument/32863-animal-live-weight-calculations-in-the-nz-agricultural-ghg-inventory-model</w:t>
        </w:r>
      </w:hyperlink>
      <w:r w:rsidRPr="00261B7A">
        <w:t xml:space="preserve"> (14 March 2023).</w:t>
      </w:r>
    </w:p>
    <w:p w14:paraId="3FA446B1" w14:textId="6A3C4434" w:rsidR="00D140F7" w:rsidRPr="00261B7A" w:rsidRDefault="00D140F7" w:rsidP="00D140F7">
      <w:pPr>
        <w:pStyle w:val="References"/>
      </w:pPr>
      <w:r w:rsidRPr="00261B7A">
        <w:t xml:space="preserve">MPI. 2018b. </w:t>
      </w:r>
      <w:r w:rsidRPr="00261B7A">
        <w:rPr>
          <w:i/>
          <w:iCs/>
        </w:rPr>
        <w:t>Supplementary feed use in the beef industry</w:t>
      </w:r>
      <w:r w:rsidRPr="00261B7A">
        <w:t xml:space="preserve">. MPI Technical Paper No: 2018/71. Prepared for the Ministry for Primary Industries by AbacusBio Limited. Wellington: Ministry for Primary Industries. Retrieved from </w:t>
      </w:r>
      <w:hyperlink r:id="rId278" w:history="1">
        <w:r w:rsidR="00AE6582">
          <w:rPr>
            <w:rStyle w:val="Hyperlink"/>
          </w:rPr>
          <w:t>mpi.govt.nz/dmsdocument/32857-Supplementary-Feed-use-in-the-Beef-Industry</w:t>
        </w:r>
      </w:hyperlink>
      <w:r w:rsidRPr="00261B7A">
        <w:t xml:space="preserve"> (17</w:t>
      </w:r>
      <w:r w:rsidR="001D2428">
        <w:t> </w:t>
      </w:r>
      <w:r w:rsidRPr="00261B7A">
        <w:t>February 2023).</w:t>
      </w:r>
    </w:p>
    <w:p w14:paraId="1C38D5DC" w14:textId="2D33C745" w:rsidR="00D140F7" w:rsidRPr="00261B7A" w:rsidRDefault="00D140F7" w:rsidP="00D140F7">
      <w:pPr>
        <w:pStyle w:val="References"/>
      </w:pPr>
      <w:r w:rsidRPr="00261B7A">
        <w:t xml:space="preserve">MPI. 2019. </w:t>
      </w:r>
      <w:r w:rsidRPr="00261B7A">
        <w:rPr>
          <w:i/>
          <w:iCs/>
        </w:rPr>
        <w:t>Feed Consumed by NZ Dairy Cows: An update of feed volumes consumed by New Zealand dairy cows nationally and regionally since 1990-91</w:t>
      </w:r>
      <w:r w:rsidRPr="00261B7A">
        <w:t xml:space="preserve">. Report prepared for the Ministry for Primary Industries by DairyNZ Economics Group. Wellington: Ministry for Primary Industries. Retrieved from </w:t>
      </w:r>
      <w:hyperlink r:id="rId279" w:history="1">
        <w:r w:rsidR="007849E9">
          <w:rPr>
            <w:rStyle w:val="Hyperlink"/>
          </w:rPr>
          <w:t>mpi.govt.nz/dmsdocument/46231-Feed-Consumed-by-NZ-Dairy-Cows</w:t>
        </w:r>
      </w:hyperlink>
      <w:r w:rsidRPr="00261B7A">
        <w:t xml:space="preserve"> (14 February 2023).</w:t>
      </w:r>
    </w:p>
    <w:p w14:paraId="4B711F6E" w14:textId="77777777" w:rsidR="00D140F7" w:rsidRPr="00261B7A" w:rsidRDefault="00D140F7" w:rsidP="00D140F7">
      <w:pPr>
        <w:pStyle w:val="References"/>
      </w:pPr>
      <w:r w:rsidRPr="00261B7A">
        <w:t xml:space="preserve">Morrisey DJ, Swales A, Dittmann S, Morrison MA, Lovelock CE and Beard CM. 2010. The ecology and management of temperate mangroves. </w:t>
      </w:r>
      <w:r w:rsidRPr="00261B7A">
        <w:rPr>
          <w:i/>
          <w:iCs/>
        </w:rPr>
        <w:t>Oceanography and Marine Biology: An annual review</w:t>
      </w:r>
      <w:r w:rsidRPr="00261B7A">
        <w:t xml:space="preserve"> 48: 43–160.</w:t>
      </w:r>
    </w:p>
    <w:p w14:paraId="4DCF95E1" w14:textId="107F6BF9" w:rsidR="00D140F7" w:rsidRPr="00261B7A" w:rsidRDefault="00D140F7" w:rsidP="00D140F7">
      <w:pPr>
        <w:pStyle w:val="References"/>
      </w:pPr>
      <w:r w:rsidRPr="00261B7A">
        <w:rPr>
          <w:rFonts w:cs="Calibri"/>
          <w:color w:val="000000"/>
          <w:szCs w:val="20"/>
          <w:shd w:val="clear" w:color="auto" w:fill="FFFFFF"/>
        </w:rPr>
        <w:t xml:space="preserve">Rollo M, Ledgard S, Longhurst B. 2017. </w:t>
      </w:r>
      <w:r w:rsidRPr="00261B7A">
        <w:rPr>
          <w:rFonts w:cs="Calibri"/>
          <w:i/>
          <w:iCs/>
          <w:color w:val="000000"/>
          <w:szCs w:val="20"/>
          <w:shd w:val="clear" w:color="auto" w:fill="FFFFFF"/>
        </w:rPr>
        <w:t>Final Report: Trends in Dairy Effluent Management</w:t>
      </w:r>
      <w:r w:rsidRPr="00261B7A">
        <w:rPr>
          <w:rFonts w:cs="Calibri"/>
          <w:color w:val="000000"/>
          <w:szCs w:val="20"/>
          <w:shd w:val="clear" w:color="auto" w:fill="FFFFFF"/>
        </w:rPr>
        <w:t>. Report prepared for the Ministry for Primary Industries by AgResearch. Wellington: Ministry for Primary Industries.</w:t>
      </w:r>
    </w:p>
    <w:p w14:paraId="2FB5A731" w14:textId="77777777" w:rsidR="00D140F7" w:rsidRPr="00261B7A" w:rsidRDefault="00D140F7" w:rsidP="00D140F7">
      <w:pPr>
        <w:pStyle w:val="References"/>
      </w:pPr>
      <w:r w:rsidRPr="00261B7A">
        <w:t>Sangster C. 2022.</w:t>
      </w:r>
      <w:r w:rsidRPr="00261B7A">
        <w:rPr>
          <w:i/>
          <w:iCs/>
        </w:rPr>
        <w:t xml:space="preserve"> Inclusion of supplementary feed in the Agricultural Inventory Model, for dairy, sheep, and beef.</w:t>
      </w:r>
      <w:r w:rsidRPr="00261B7A">
        <w:t xml:space="preserve"> Final report prepared for the Ministry for Primary Industries.</w:t>
      </w:r>
    </w:p>
    <w:p w14:paraId="66DBBD18" w14:textId="77777777" w:rsidR="00D140F7" w:rsidRPr="00261B7A" w:rsidRDefault="00D140F7" w:rsidP="00D140F7">
      <w:pPr>
        <w:pStyle w:val="References"/>
        <w:rPr>
          <w:szCs w:val="20"/>
        </w:rPr>
      </w:pPr>
      <w:r w:rsidRPr="00261B7A">
        <w:rPr>
          <w:szCs w:val="20"/>
        </w:rPr>
        <w:t xml:space="preserve">Thomas SM, Ledgard SF, Francis GS. 2005. Improving estimates of nitrate leaching for quantifying New Zealand’s indirect nitrous oxide emissions. </w:t>
      </w:r>
      <w:r w:rsidRPr="00261B7A">
        <w:rPr>
          <w:i/>
          <w:iCs/>
          <w:szCs w:val="20"/>
        </w:rPr>
        <w:t>Nutrient Cycling in Agroecosystems</w:t>
      </w:r>
      <w:r w:rsidRPr="00261B7A">
        <w:rPr>
          <w:szCs w:val="20"/>
        </w:rPr>
        <w:t xml:space="preserve"> 73: 213–226.</w:t>
      </w:r>
    </w:p>
    <w:p w14:paraId="16F227B3" w14:textId="77777777" w:rsidR="00D140F7" w:rsidRPr="00261B7A" w:rsidRDefault="00D140F7" w:rsidP="00D140F7">
      <w:pPr>
        <w:pStyle w:val="References"/>
        <w:rPr>
          <w:i/>
          <w:iCs/>
        </w:rPr>
      </w:pPr>
      <w:r w:rsidRPr="00261B7A">
        <w:rPr>
          <w:szCs w:val="20"/>
        </w:rPr>
        <w:t xml:space="preserve">UNFCCC. 2023. FCCC/ARR/2021/NZL. </w:t>
      </w:r>
      <w:r w:rsidRPr="00261B7A">
        <w:rPr>
          <w:i/>
          <w:iCs/>
        </w:rPr>
        <w:t>Report on the Individual Review of the Annual Submission of New Zealand Submitted in 2021.</w:t>
      </w:r>
      <w:r w:rsidRPr="00261B7A">
        <w:t xml:space="preserve"> Centralised Review</w:t>
      </w:r>
      <w:r w:rsidRPr="00261B7A">
        <w:rPr>
          <w:i/>
          <w:iCs/>
        </w:rPr>
        <w:t>.</w:t>
      </w:r>
    </w:p>
    <w:p w14:paraId="62E9B9AB" w14:textId="77777777" w:rsidR="00D140F7" w:rsidRPr="00261B7A" w:rsidRDefault="00D140F7" w:rsidP="00D140F7">
      <w:pPr>
        <w:pStyle w:val="References"/>
        <w:rPr>
          <w:szCs w:val="20"/>
        </w:rPr>
      </w:pPr>
      <w:r w:rsidRPr="00261B7A">
        <w:t xml:space="preserve">van der Weerden A, de Klein C, Kelliher F, Rollo M. 2014. </w:t>
      </w:r>
      <w:r w:rsidRPr="00261B7A">
        <w:rPr>
          <w:i/>
          <w:iCs/>
        </w:rPr>
        <w:t>Reporting to 2006 IPCC Guidelines for N</w:t>
      </w:r>
      <w:r w:rsidRPr="00261B7A">
        <w:rPr>
          <w:i/>
          <w:iCs/>
          <w:vertAlign w:val="subscript"/>
        </w:rPr>
        <w:t>2</w:t>
      </w:r>
      <w:r w:rsidRPr="00261B7A">
        <w:rPr>
          <w:i/>
          <w:iCs/>
        </w:rPr>
        <w:t>O Emissions from Additional Sources of Organic N: Final Report</w:t>
      </w:r>
      <w:r w:rsidRPr="00261B7A">
        <w:t>. MPI Technical Report. Wellington: Ministry for Primary Industries.</w:t>
      </w:r>
    </w:p>
    <w:p w14:paraId="3B84C570" w14:textId="77777777" w:rsidR="00D140F7" w:rsidRPr="00261B7A" w:rsidRDefault="00D140F7" w:rsidP="00D140F7">
      <w:pPr>
        <w:pStyle w:val="References"/>
        <w:rPr>
          <w:szCs w:val="20"/>
        </w:rPr>
      </w:pPr>
      <w:r w:rsidRPr="00261B7A">
        <w:rPr>
          <w:szCs w:val="20"/>
        </w:rPr>
        <w:t xml:space="preserve">Welten B, Mercer G, Smith C, Sprosen M, Ledgard S. 2021. </w:t>
      </w:r>
      <w:r w:rsidRPr="00261B7A">
        <w:rPr>
          <w:i/>
          <w:iCs/>
          <w:szCs w:val="20"/>
        </w:rPr>
        <w:t>Refining Estimates of Nitrogen Leaching for the New Zealand Agricultural Greenhouse Gas Inventory</w:t>
      </w:r>
      <w:r w:rsidRPr="00261B7A">
        <w:rPr>
          <w:szCs w:val="20"/>
        </w:rPr>
        <w:t>. Contract report prepared for the Ministry for Primary Industries.</w:t>
      </w:r>
    </w:p>
    <w:p w14:paraId="6F973E3D" w14:textId="77777777" w:rsidR="00D140F7" w:rsidRPr="00261B7A" w:rsidRDefault="00D140F7" w:rsidP="00D140F7">
      <w:pPr>
        <w:pStyle w:val="References"/>
      </w:pPr>
      <w:r w:rsidRPr="00261B7A">
        <w:rPr>
          <w:szCs w:val="20"/>
        </w:rPr>
        <w:t xml:space="preserve">Wheeler DM, Ledgard SF, de Klein CAM, Monaghan PL, Carey PL, McDowell RW, Johns KL. 2003. OVERSEER® Nutrient budgets – moving towards on-farm resource accounting. In: </w:t>
      </w:r>
      <w:r w:rsidRPr="00261B7A">
        <w:rPr>
          <w:i/>
          <w:iCs/>
          <w:szCs w:val="20"/>
        </w:rPr>
        <w:t>Proceedings of the New Zealand Grassland Association 2003</w:t>
      </w:r>
      <w:r w:rsidRPr="00261B7A">
        <w:rPr>
          <w:szCs w:val="20"/>
        </w:rPr>
        <w:t>. Palmerston North: New Zealand Grassland Association Inc.</w:t>
      </w:r>
      <w:bookmarkEnd w:id="2781"/>
      <w:bookmarkEnd w:id="2885"/>
    </w:p>
    <w:p w14:paraId="64A2D2E9" w14:textId="77777777" w:rsidR="005D1235" w:rsidRPr="00261B7A" w:rsidRDefault="005D1235" w:rsidP="005D1235"/>
    <w:p w14:paraId="7EC21F8B" w14:textId="77777777" w:rsidR="005D1235" w:rsidRPr="00261B7A" w:rsidRDefault="005D1235" w:rsidP="005D1235"/>
    <w:p w14:paraId="0DDD2B06" w14:textId="77777777" w:rsidR="003C5373" w:rsidRPr="00261B7A" w:rsidRDefault="003C5373">
      <w:pPr>
        <w:sectPr w:rsidR="003C5373" w:rsidRPr="00261B7A" w:rsidSect="00176CAD">
          <w:footerReference w:type="even" r:id="rId280"/>
          <w:pgSz w:w="11907" w:h="16840" w:code="9"/>
          <w:pgMar w:top="1418" w:right="1701" w:bottom="1418" w:left="1701" w:header="567" w:footer="567" w:gutter="0"/>
          <w:cols w:space="720"/>
        </w:sectPr>
      </w:pPr>
    </w:p>
    <w:p w14:paraId="76D32706" w14:textId="77777777" w:rsidR="006D123E" w:rsidRPr="00261B7A" w:rsidRDefault="006D123E" w:rsidP="006D123E">
      <w:pPr>
        <w:pStyle w:val="Heading1"/>
      </w:pPr>
      <w:bookmarkStart w:id="2888" w:name="_Toc5269404"/>
      <w:bookmarkStart w:id="2889" w:name="_Toc36224444"/>
      <w:bookmarkStart w:id="2890" w:name="_Toc68786364"/>
      <w:bookmarkStart w:id="2891" w:name="_Toc131591278"/>
      <w:r w:rsidRPr="00261B7A">
        <w:t>Chapter 11: KP-LULUCF</w:t>
      </w:r>
      <w:bookmarkEnd w:id="2888"/>
      <w:bookmarkEnd w:id="2889"/>
      <w:bookmarkEnd w:id="2890"/>
      <w:bookmarkEnd w:id="2891"/>
    </w:p>
    <w:p w14:paraId="1D8D0399" w14:textId="77777777" w:rsidR="006D123E" w:rsidRPr="00261B7A" w:rsidRDefault="006D123E" w:rsidP="006D123E">
      <w:pPr>
        <w:pStyle w:val="Heading2"/>
        <w:spacing w:before="240"/>
      </w:pPr>
      <w:bookmarkStart w:id="2892" w:name="_Toc261513277"/>
      <w:bookmarkStart w:id="2893" w:name="_Toc261513890"/>
      <w:bookmarkStart w:id="2894" w:name="_Toc280630380"/>
      <w:bookmarkStart w:id="2895" w:name="_Toc310423464"/>
      <w:bookmarkStart w:id="2896" w:name="_Toc342470732"/>
      <w:bookmarkStart w:id="2897" w:name="_Toc352504891"/>
      <w:bookmarkStart w:id="2898" w:name="_Toc377043714"/>
      <w:bookmarkStart w:id="2899" w:name="_Toc391023461"/>
      <w:bookmarkStart w:id="2900" w:name="_Toc400967252"/>
      <w:bookmarkStart w:id="2901" w:name="_Toc414531340"/>
      <w:bookmarkStart w:id="2902" w:name="_Toc456179169"/>
      <w:bookmarkStart w:id="2903" w:name="_Toc481751422"/>
      <w:bookmarkStart w:id="2904" w:name="_Toc522013961"/>
      <w:bookmarkStart w:id="2905" w:name="_Toc5269405"/>
      <w:bookmarkStart w:id="2906" w:name="_Toc36224445"/>
      <w:bookmarkStart w:id="2907" w:name="_Toc68786365"/>
      <w:bookmarkStart w:id="2908" w:name="_Toc131591279"/>
      <w:r w:rsidRPr="00261B7A">
        <w:t xml:space="preserve">11.1 </w:t>
      </w:r>
      <w:r w:rsidRPr="00261B7A">
        <w:tab/>
        <w:t>General information</w:t>
      </w:r>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p>
    <w:p w14:paraId="45CFC625" w14:textId="77777777" w:rsidR="006D123E" w:rsidRPr="00261B7A" w:rsidRDefault="006D123E" w:rsidP="006D123E">
      <w:pPr>
        <w:pStyle w:val="BodyText"/>
      </w:pPr>
      <w:r w:rsidRPr="00261B7A">
        <w:t>This chapter provides the supplementary information required under Article 7, paragraph 1,</w:t>
      </w:r>
      <w:r w:rsidRPr="00261B7A">
        <w:rPr>
          <w:rFonts w:ascii="Arial" w:hAnsi="Arial" w:cs="Arial"/>
          <w:color w:val="424245"/>
          <w:shd w:val="clear" w:color="auto" w:fill="F5F7F6"/>
        </w:rPr>
        <w:t xml:space="preserve"> </w:t>
      </w:r>
      <w:r w:rsidRPr="00261B7A">
        <w:t>of the Kyoto Protocol. Reporting for the second commitment period (CP2) of the Kyoto Protocol (2013-2020) was covered in the previous inventory submission. While no further commitments have been taken under the Kyoto Protocol, it remains in force and reporting requirements, therefore, remain in place.</w:t>
      </w:r>
    </w:p>
    <w:p w14:paraId="4EF150CF" w14:textId="77777777" w:rsidR="006D123E" w:rsidRPr="00261B7A" w:rsidRDefault="006D123E" w:rsidP="006D123E">
      <w:pPr>
        <w:pStyle w:val="BodyText"/>
      </w:pPr>
      <w:r w:rsidRPr="00261B7A">
        <w:t>Given that the LULUCF accounting rules New Zealand elected under commitment period two of the Kyoto Protocol differ from those New Zealand will use under the Paris Agreement, the numbers provided in this chapter will not reflect progress towards New Zealand’s first Nationally Determined Contribution. New Zealand’s approach to LULUCF accounting under the Paris Agreement is outlined in its first Nationally Determined Contribution</w:t>
      </w:r>
      <w:r w:rsidRPr="00261B7A">
        <w:rPr>
          <w:rStyle w:val="FootnoteReference"/>
        </w:rPr>
        <w:footnoteReference w:id="75"/>
      </w:r>
      <w:r w:rsidRPr="00261B7A">
        <w:t xml:space="preserve"> and will be fully described in its first communication under the Paris Agreement.</w:t>
      </w:r>
      <w:r w:rsidRPr="00261B7A">
        <w:rPr>
          <w:rStyle w:val="FootnoteReference"/>
        </w:rPr>
        <w:t xml:space="preserve"> </w:t>
      </w:r>
      <w:r w:rsidRPr="00261B7A">
        <w:rPr>
          <w:rStyle w:val="FootnoteReference"/>
        </w:rPr>
        <w:footnoteReference w:id="76"/>
      </w:r>
    </w:p>
    <w:p w14:paraId="1AB5E719" w14:textId="77777777" w:rsidR="006D123E" w:rsidRPr="00261B7A" w:rsidRDefault="006D123E" w:rsidP="006D123E">
      <w:pPr>
        <w:pStyle w:val="Heading4"/>
        <w:spacing w:before="160"/>
      </w:pPr>
      <w:r w:rsidRPr="00261B7A">
        <w:t>Emissions summary</w:t>
      </w:r>
    </w:p>
    <w:p w14:paraId="4F6F7203" w14:textId="77777777" w:rsidR="006D123E" w:rsidRPr="00261B7A" w:rsidRDefault="006D123E" w:rsidP="006D123E">
      <w:pPr>
        <w:pStyle w:val="Heading5"/>
        <w:spacing w:before="120"/>
      </w:pPr>
      <w:r w:rsidRPr="00261B7A">
        <w:t>2021</w:t>
      </w:r>
    </w:p>
    <w:p w14:paraId="0175C552" w14:textId="77777777" w:rsidR="006D123E" w:rsidRPr="00261B7A" w:rsidRDefault="006D123E" w:rsidP="006D123E">
      <w:pPr>
        <w:pStyle w:val="BodyText"/>
        <w:spacing w:before="100" w:after="100"/>
      </w:pPr>
      <w:r w:rsidRPr="00261B7A">
        <w:t>In 2021, net emissions from land subject to Article 3.3 and Article 3.4 activities under the Kyoto Protocol were –26,854.5 kilotonnes carbon dioxide equivalent (kt CO</w:t>
      </w:r>
      <w:r w:rsidRPr="00261B7A">
        <w:rPr>
          <w:vertAlign w:val="subscript"/>
        </w:rPr>
        <w:t>2</w:t>
      </w:r>
      <w:r w:rsidRPr="00261B7A">
        <w:t xml:space="preserve">-e) (table 11.1.1). </w:t>
      </w:r>
    </w:p>
    <w:p w14:paraId="1E1F814E" w14:textId="77777777" w:rsidR="006D123E" w:rsidRPr="00261B7A" w:rsidRDefault="006D123E" w:rsidP="006D123E">
      <w:pPr>
        <w:pStyle w:val="BodyText"/>
        <w:spacing w:before="100" w:after="100"/>
      </w:pPr>
      <w:r w:rsidRPr="00261B7A">
        <w:t xml:space="preserve">In 2021, net emissions from </w:t>
      </w:r>
      <w:r w:rsidRPr="00261B7A">
        <w:rPr>
          <w:i/>
        </w:rPr>
        <w:t>Afforestation and reforestation</w:t>
      </w:r>
      <w:r w:rsidRPr="00261B7A">
        <w:t xml:space="preserve"> and </w:t>
      </w:r>
      <w:r w:rsidRPr="00261B7A">
        <w:rPr>
          <w:i/>
        </w:rPr>
        <w:t>Deforestation</w:t>
      </w:r>
      <w:r w:rsidRPr="00261B7A">
        <w:t xml:space="preserve"> activities </w:t>
      </w:r>
      <w:r w:rsidRPr="00261B7A">
        <w:br/>
        <w:t>were –10,097.3 kt CO</w:t>
      </w:r>
      <w:r w:rsidRPr="00261B7A">
        <w:rPr>
          <w:vertAlign w:val="subscript"/>
        </w:rPr>
        <w:t>2</w:t>
      </w:r>
      <w:r w:rsidRPr="00261B7A">
        <w:t xml:space="preserve">-e. This value is the total of all emissions and removals from activities under Decision 2/CMP.7, Article 3.3 of the Kyoto Protocol. It includes: </w:t>
      </w:r>
    </w:p>
    <w:p w14:paraId="39B04EC0" w14:textId="77777777" w:rsidR="006D123E" w:rsidRPr="00261B7A" w:rsidRDefault="006D123E" w:rsidP="006D123E">
      <w:pPr>
        <w:pStyle w:val="Bullet"/>
      </w:pPr>
      <w:r w:rsidRPr="00261B7A">
        <w:t>removals from forest growth</w:t>
      </w:r>
    </w:p>
    <w:p w14:paraId="3BC9F0AF" w14:textId="77777777" w:rsidR="006D123E" w:rsidRPr="00261B7A" w:rsidRDefault="006D123E" w:rsidP="006D123E">
      <w:pPr>
        <w:pStyle w:val="Bullet"/>
      </w:pPr>
      <w:r w:rsidRPr="00261B7A">
        <w:t>emissions from harvesting</w:t>
      </w:r>
    </w:p>
    <w:p w14:paraId="4D232BF6" w14:textId="77777777" w:rsidR="006D123E" w:rsidRPr="00261B7A" w:rsidRDefault="006D123E" w:rsidP="006D123E">
      <w:pPr>
        <w:pStyle w:val="Bullet"/>
      </w:pPr>
      <w:r w:rsidRPr="00261B7A">
        <w:t>emissions and removals from harvested wood products in post-1989 forests</w:t>
      </w:r>
    </w:p>
    <w:p w14:paraId="595A53A8" w14:textId="77777777" w:rsidR="006D123E" w:rsidRPr="00261B7A" w:rsidRDefault="006D123E" w:rsidP="006D123E">
      <w:pPr>
        <w:pStyle w:val="Bullet"/>
      </w:pPr>
      <w:r w:rsidRPr="00261B7A">
        <w:t>emissions from the conversion of land to post-1989 forest</w:t>
      </w:r>
    </w:p>
    <w:p w14:paraId="79484552" w14:textId="77777777" w:rsidR="006D123E" w:rsidRPr="00261B7A" w:rsidRDefault="006D123E" w:rsidP="006D123E">
      <w:pPr>
        <w:pStyle w:val="Bullet"/>
      </w:pPr>
      <w:r w:rsidRPr="00261B7A">
        <w:t>emissions from deforestation of all forest land</w:t>
      </w:r>
    </w:p>
    <w:p w14:paraId="64984D34" w14:textId="77777777" w:rsidR="006D123E" w:rsidRPr="00261B7A" w:rsidRDefault="006D123E" w:rsidP="006D123E">
      <w:pPr>
        <w:pStyle w:val="Bullet"/>
      </w:pPr>
      <w:r w:rsidRPr="00261B7A">
        <w:t>emissions from biomass burning</w:t>
      </w:r>
    </w:p>
    <w:p w14:paraId="41D6ABD1" w14:textId="77777777" w:rsidR="006D123E" w:rsidRPr="00261B7A" w:rsidRDefault="006D123E" w:rsidP="006D123E">
      <w:pPr>
        <w:pStyle w:val="Bullet"/>
      </w:pPr>
      <w:r w:rsidRPr="00261B7A">
        <w:t xml:space="preserve">emissions from the mineralisation of soil nitrogen and the emissions from the drainage of managed soils associated with afforestation, reforestation or deforestation activities since 1990. </w:t>
      </w:r>
    </w:p>
    <w:p w14:paraId="638A484A" w14:textId="77777777" w:rsidR="006D123E" w:rsidRPr="00261B7A" w:rsidRDefault="006D123E" w:rsidP="006D123E">
      <w:pPr>
        <w:pStyle w:val="BodyText"/>
        <w:keepNext/>
      </w:pPr>
      <w:r w:rsidRPr="00261B7A">
        <w:t xml:space="preserve">In 2021, net emissions from </w:t>
      </w:r>
      <w:r w:rsidRPr="00261B7A">
        <w:rPr>
          <w:i/>
        </w:rPr>
        <w:t>Forest</w:t>
      </w:r>
      <w:r w:rsidRPr="00261B7A">
        <w:t xml:space="preserve"> </w:t>
      </w:r>
      <w:r w:rsidRPr="00261B7A">
        <w:rPr>
          <w:i/>
        </w:rPr>
        <w:t>management</w:t>
      </w:r>
      <w:r w:rsidRPr="00261B7A">
        <w:t xml:space="preserve"> were –16,757.3 kt CO</w:t>
      </w:r>
      <w:r w:rsidRPr="00261B7A">
        <w:rPr>
          <w:vertAlign w:val="subscript"/>
        </w:rPr>
        <w:t>2</w:t>
      </w:r>
      <w:r w:rsidRPr="00261B7A">
        <w:t>-e (table 11.1.1). This includes:</w:t>
      </w:r>
    </w:p>
    <w:p w14:paraId="4B043724" w14:textId="77777777" w:rsidR="006D123E" w:rsidRPr="00261B7A" w:rsidRDefault="006D123E" w:rsidP="006D123E">
      <w:pPr>
        <w:pStyle w:val="Bullet"/>
        <w:keepNext/>
      </w:pPr>
      <w:r w:rsidRPr="00261B7A">
        <w:t>removals from the growth of pre-1990 natural forest and pre-1990 planted forest</w:t>
      </w:r>
    </w:p>
    <w:p w14:paraId="7BC44E5F" w14:textId="77777777" w:rsidR="006D123E" w:rsidRPr="00261B7A" w:rsidRDefault="006D123E" w:rsidP="006D123E">
      <w:pPr>
        <w:pStyle w:val="Bullet"/>
      </w:pPr>
      <w:r w:rsidRPr="00261B7A">
        <w:t>emissions from harvesting of these forests</w:t>
      </w:r>
    </w:p>
    <w:p w14:paraId="34FF7ABD" w14:textId="77777777" w:rsidR="006D123E" w:rsidRPr="00261B7A" w:rsidRDefault="006D123E" w:rsidP="006D123E">
      <w:pPr>
        <w:pStyle w:val="Bullet"/>
      </w:pPr>
      <w:r w:rsidRPr="00261B7A">
        <w:t xml:space="preserve">emissions and removals from harvested wood products from these forests </w:t>
      </w:r>
    </w:p>
    <w:p w14:paraId="4814719D" w14:textId="77777777" w:rsidR="006D123E" w:rsidRPr="00261B7A" w:rsidRDefault="006D123E" w:rsidP="006D123E">
      <w:pPr>
        <w:pStyle w:val="Bullet"/>
      </w:pPr>
      <w:r w:rsidRPr="00261B7A">
        <w:t xml:space="preserve">emissions from biomass burning </w:t>
      </w:r>
    </w:p>
    <w:p w14:paraId="53575C6A" w14:textId="77777777" w:rsidR="006D123E" w:rsidRPr="00261B7A" w:rsidRDefault="006D123E" w:rsidP="006D123E">
      <w:pPr>
        <w:pStyle w:val="Bullet"/>
      </w:pPr>
      <w:r w:rsidRPr="00261B7A">
        <w:t xml:space="preserve">emissions from the drainage of managed soils on land classified under </w:t>
      </w:r>
      <w:r w:rsidRPr="00261B7A">
        <w:rPr>
          <w:i/>
          <w:iCs/>
        </w:rPr>
        <w:t>Forest management</w:t>
      </w:r>
      <w:r w:rsidRPr="00261B7A">
        <w:t>.</w:t>
      </w:r>
    </w:p>
    <w:p w14:paraId="59813A2E" w14:textId="6E89BDA5" w:rsidR="006D123E" w:rsidRPr="00261B7A" w:rsidRDefault="006D123E" w:rsidP="006D123E">
      <w:pPr>
        <w:pStyle w:val="Table"/>
      </w:pPr>
      <w:bookmarkStart w:id="2909" w:name="_Toc456179103"/>
      <w:bookmarkStart w:id="2910" w:name="_Toc481751629"/>
      <w:bookmarkStart w:id="2911" w:name="_Toc522010654"/>
      <w:bookmarkStart w:id="2912" w:name="_Toc5269624"/>
      <w:bookmarkStart w:id="2913" w:name="_Toc36224706"/>
      <w:bookmarkStart w:id="2914" w:name="_Toc64987041"/>
      <w:bookmarkStart w:id="2915" w:name="_Toc68786591"/>
      <w:bookmarkStart w:id="2916" w:name="_Toc95321532"/>
      <w:bookmarkStart w:id="2917" w:name="_Toc130568402"/>
      <w:bookmarkStart w:id="2918" w:name="_Toc131591495"/>
      <w:r w:rsidRPr="00261B7A">
        <w:t>Table 11.1.1</w:t>
      </w:r>
      <w:r w:rsidRPr="00261B7A">
        <w:tab/>
        <w:t>New Zealand’s emissions under Article 3.3 and Article 3.4 of the Kyoto Protocol, in</w:t>
      </w:r>
      <w:r w:rsidR="00504BF3" w:rsidRPr="00261B7A">
        <w:t> </w:t>
      </w:r>
      <w:r w:rsidRPr="00261B7A">
        <w:t>2021</w:t>
      </w:r>
      <w:bookmarkEnd w:id="2909"/>
      <w:bookmarkEnd w:id="2910"/>
      <w:bookmarkEnd w:id="2911"/>
      <w:bookmarkEnd w:id="2912"/>
      <w:bookmarkEnd w:id="2913"/>
      <w:bookmarkEnd w:id="2914"/>
      <w:bookmarkEnd w:id="2915"/>
      <w:bookmarkEnd w:id="2916"/>
      <w:bookmarkEnd w:id="2917"/>
      <w:bookmarkEnd w:id="2918"/>
    </w:p>
    <w:tbl>
      <w:tblPr>
        <w:tblW w:w="4886" w:type="dxa"/>
        <w:jc w:val="center"/>
        <w:tblLayout w:type="fixed"/>
        <w:tblCellMar>
          <w:left w:w="85" w:type="dxa"/>
          <w:right w:w="85" w:type="dxa"/>
        </w:tblCellMar>
        <w:tblLook w:val="04A0" w:firstRow="1" w:lastRow="0" w:firstColumn="1" w:lastColumn="0" w:noHBand="0" w:noVBand="1"/>
      </w:tblPr>
      <w:tblGrid>
        <w:gridCol w:w="3220"/>
        <w:gridCol w:w="1666"/>
      </w:tblGrid>
      <w:tr w:rsidR="006D123E" w:rsidRPr="00261B7A" w14:paraId="7B861D98" w14:textId="77777777" w:rsidTr="009C63CA">
        <w:trPr>
          <w:jc w:val="center"/>
        </w:trPr>
        <w:tc>
          <w:tcPr>
            <w:tcW w:w="3220" w:type="dxa"/>
            <w:tcBorders>
              <w:top w:val="single" w:sz="4" w:space="0" w:color="1B556B"/>
              <w:left w:val="nil"/>
              <w:bottom w:val="single" w:sz="4" w:space="0" w:color="1B556B"/>
              <w:right w:val="nil"/>
            </w:tcBorders>
            <w:shd w:val="clear" w:color="000000" w:fill="1B556B"/>
            <w:vAlign w:val="center"/>
            <w:hideMark/>
          </w:tcPr>
          <w:p w14:paraId="4DA1D139" w14:textId="77777777" w:rsidR="006D123E" w:rsidRPr="00261B7A" w:rsidRDefault="006D123E" w:rsidP="009C63CA">
            <w:pPr>
              <w:pStyle w:val="TableTextBold"/>
              <w:spacing w:before="50" w:after="50"/>
              <w:jc w:val="right"/>
              <w:rPr>
                <w:rFonts w:cs="Calibri"/>
                <w:noProof w:val="0"/>
                <w:color w:val="FFFFFF"/>
                <w:szCs w:val="16"/>
              </w:rPr>
            </w:pPr>
            <w:r w:rsidRPr="00261B7A">
              <w:rPr>
                <w:rFonts w:cs="Calibri"/>
                <w:noProof w:val="0"/>
                <w:color w:val="FFFFFF"/>
                <w:szCs w:val="16"/>
              </w:rPr>
              <w:t>Activity </w:t>
            </w:r>
          </w:p>
        </w:tc>
        <w:tc>
          <w:tcPr>
            <w:tcW w:w="1666" w:type="dxa"/>
            <w:tcBorders>
              <w:top w:val="single" w:sz="4" w:space="0" w:color="1B556B"/>
              <w:left w:val="nil"/>
              <w:bottom w:val="single" w:sz="4" w:space="0" w:color="1B556B"/>
              <w:right w:val="nil"/>
            </w:tcBorders>
            <w:shd w:val="clear" w:color="000000" w:fill="1B556B"/>
          </w:tcPr>
          <w:p w14:paraId="53E461BB" w14:textId="77777777" w:rsidR="006D123E" w:rsidRPr="00261B7A" w:rsidRDefault="006D123E" w:rsidP="009C63CA">
            <w:pPr>
              <w:pStyle w:val="TableTextBold"/>
              <w:spacing w:before="50" w:after="50"/>
              <w:jc w:val="right"/>
              <w:rPr>
                <w:rFonts w:cs="Calibri"/>
                <w:noProof w:val="0"/>
                <w:color w:val="FFFFFF"/>
                <w:szCs w:val="16"/>
                <w:vertAlign w:val="superscript"/>
              </w:rPr>
            </w:pPr>
            <w:r w:rsidRPr="00261B7A">
              <w:rPr>
                <w:rFonts w:cs="Calibri"/>
                <w:noProof w:val="0"/>
                <w:color w:val="FFFFFF"/>
                <w:szCs w:val="16"/>
              </w:rPr>
              <w:t>2021</w:t>
            </w:r>
            <w:r w:rsidRPr="00261B7A">
              <w:rPr>
                <w:rFonts w:cs="Calibri"/>
                <w:noProof w:val="0"/>
                <w:color w:val="FFFFFF"/>
                <w:szCs w:val="16"/>
                <w:vertAlign w:val="superscript"/>
              </w:rPr>
              <w:t>P</w:t>
            </w:r>
          </w:p>
        </w:tc>
      </w:tr>
      <w:tr w:rsidR="006D123E" w:rsidRPr="00261B7A" w14:paraId="29C2CD92" w14:textId="77777777" w:rsidTr="009C63CA">
        <w:trPr>
          <w:jc w:val="center"/>
        </w:trPr>
        <w:tc>
          <w:tcPr>
            <w:tcW w:w="3220" w:type="dxa"/>
            <w:tcBorders>
              <w:top w:val="single" w:sz="4" w:space="0" w:color="1B556B"/>
              <w:left w:val="nil"/>
              <w:bottom w:val="single" w:sz="4" w:space="0" w:color="1B556B"/>
              <w:right w:val="nil"/>
            </w:tcBorders>
            <w:shd w:val="clear" w:color="auto" w:fill="auto"/>
            <w:vAlign w:val="center"/>
            <w:hideMark/>
          </w:tcPr>
          <w:p w14:paraId="632A482D" w14:textId="77777777" w:rsidR="006D123E" w:rsidRPr="00261B7A" w:rsidRDefault="006D123E" w:rsidP="009C63CA">
            <w:pPr>
              <w:pStyle w:val="TableTextBold"/>
              <w:spacing w:before="50" w:after="50"/>
              <w:rPr>
                <w:rFonts w:cs="Calibri"/>
                <w:noProof w:val="0"/>
                <w:szCs w:val="16"/>
              </w:rPr>
            </w:pPr>
            <w:r w:rsidRPr="00261B7A">
              <w:rPr>
                <w:rFonts w:cs="Calibri"/>
                <w:noProof w:val="0"/>
                <w:szCs w:val="16"/>
              </w:rPr>
              <w:t>Afforestation and reforestation</w:t>
            </w:r>
          </w:p>
        </w:tc>
        <w:tc>
          <w:tcPr>
            <w:tcW w:w="1666" w:type="dxa"/>
            <w:tcBorders>
              <w:top w:val="single" w:sz="4" w:space="0" w:color="1B556B"/>
              <w:left w:val="nil"/>
              <w:bottom w:val="single" w:sz="4" w:space="0" w:color="1B556B"/>
              <w:right w:val="nil"/>
            </w:tcBorders>
            <w:shd w:val="clear" w:color="auto" w:fill="auto"/>
          </w:tcPr>
          <w:p w14:paraId="681FDF34" w14:textId="77777777" w:rsidR="006D123E" w:rsidRPr="00261B7A" w:rsidRDefault="006D123E" w:rsidP="009C63CA">
            <w:pPr>
              <w:pStyle w:val="TableText"/>
              <w:spacing w:before="50" w:after="50"/>
              <w:rPr>
                <w:szCs w:val="16"/>
              </w:rPr>
            </w:pPr>
          </w:p>
        </w:tc>
      </w:tr>
      <w:tr w:rsidR="006D123E" w:rsidRPr="00261B7A" w14:paraId="3EAFD0A6" w14:textId="77777777" w:rsidTr="009C63CA">
        <w:trPr>
          <w:jc w:val="center"/>
        </w:trPr>
        <w:tc>
          <w:tcPr>
            <w:tcW w:w="3220" w:type="dxa"/>
            <w:tcBorders>
              <w:top w:val="single" w:sz="4" w:space="0" w:color="1B556B"/>
              <w:left w:val="nil"/>
              <w:right w:val="nil"/>
            </w:tcBorders>
            <w:shd w:val="clear" w:color="auto" w:fill="auto"/>
            <w:vAlign w:val="center"/>
            <w:hideMark/>
          </w:tcPr>
          <w:p w14:paraId="3155214C" w14:textId="77777777" w:rsidR="006D123E" w:rsidRPr="00261B7A" w:rsidRDefault="006D123E" w:rsidP="009C63CA">
            <w:pPr>
              <w:pStyle w:val="TableText"/>
              <w:spacing w:before="50" w:after="50"/>
              <w:rPr>
                <w:rFonts w:cs="Calibri"/>
                <w:szCs w:val="16"/>
              </w:rPr>
            </w:pPr>
            <w:r w:rsidRPr="00261B7A">
              <w:rPr>
                <w:rFonts w:cs="Calibri"/>
                <w:szCs w:val="16"/>
              </w:rPr>
              <w:t>Net cumulative area since 1990 (ha)</w:t>
            </w:r>
          </w:p>
        </w:tc>
        <w:tc>
          <w:tcPr>
            <w:tcW w:w="1666" w:type="dxa"/>
            <w:tcBorders>
              <w:top w:val="single" w:sz="4" w:space="0" w:color="1B556B"/>
              <w:left w:val="nil"/>
              <w:right w:val="nil"/>
            </w:tcBorders>
            <w:shd w:val="clear" w:color="auto" w:fill="auto"/>
            <w:vAlign w:val="center"/>
          </w:tcPr>
          <w:p w14:paraId="29EB307C" w14:textId="77777777" w:rsidR="006D123E" w:rsidRPr="00261B7A" w:rsidRDefault="006D123E" w:rsidP="009C63CA">
            <w:pPr>
              <w:pStyle w:val="TableText"/>
              <w:spacing w:before="50" w:after="50"/>
              <w:jc w:val="right"/>
              <w:rPr>
                <w:szCs w:val="16"/>
              </w:rPr>
            </w:pPr>
            <w:r w:rsidRPr="00261B7A">
              <w:rPr>
                <w:rFonts w:cs="Calibri"/>
                <w:color w:val="000000"/>
                <w:szCs w:val="16"/>
              </w:rPr>
              <w:t>824,073</w:t>
            </w:r>
          </w:p>
        </w:tc>
      </w:tr>
      <w:tr w:rsidR="006D123E" w:rsidRPr="00261B7A" w14:paraId="5C336795" w14:textId="77777777" w:rsidTr="009C63CA">
        <w:trPr>
          <w:jc w:val="center"/>
        </w:trPr>
        <w:tc>
          <w:tcPr>
            <w:tcW w:w="3220" w:type="dxa"/>
            <w:tcBorders>
              <w:left w:val="nil"/>
              <w:right w:val="nil"/>
            </w:tcBorders>
            <w:shd w:val="clear" w:color="auto" w:fill="auto"/>
            <w:vAlign w:val="center"/>
            <w:hideMark/>
          </w:tcPr>
          <w:p w14:paraId="79E454B5" w14:textId="77777777" w:rsidR="006D123E" w:rsidRPr="00261B7A" w:rsidRDefault="006D123E" w:rsidP="009C63CA">
            <w:pPr>
              <w:pStyle w:val="TableText"/>
              <w:spacing w:before="50" w:after="50"/>
              <w:rPr>
                <w:szCs w:val="16"/>
              </w:rPr>
            </w:pPr>
            <w:r w:rsidRPr="00261B7A">
              <w:rPr>
                <w:szCs w:val="16"/>
              </w:rPr>
              <w:t>Area in calendar year (ha)</w:t>
            </w:r>
          </w:p>
        </w:tc>
        <w:tc>
          <w:tcPr>
            <w:tcW w:w="1666" w:type="dxa"/>
            <w:tcBorders>
              <w:left w:val="nil"/>
              <w:right w:val="nil"/>
            </w:tcBorders>
            <w:shd w:val="clear" w:color="auto" w:fill="auto"/>
            <w:vAlign w:val="center"/>
          </w:tcPr>
          <w:p w14:paraId="47928CE1" w14:textId="77777777" w:rsidR="006D123E" w:rsidRPr="00261B7A" w:rsidRDefault="006D123E" w:rsidP="009C63CA">
            <w:pPr>
              <w:pStyle w:val="TableText"/>
              <w:spacing w:before="50" w:after="50"/>
              <w:jc w:val="right"/>
              <w:rPr>
                <w:szCs w:val="16"/>
              </w:rPr>
            </w:pPr>
            <w:r w:rsidRPr="00261B7A">
              <w:rPr>
                <w:rFonts w:cs="Calibri"/>
                <w:color w:val="000000"/>
                <w:szCs w:val="16"/>
              </w:rPr>
              <w:t>54,268</w:t>
            </w:r>
          </w:p>
        </w:tc>
      </w:tr>
      <w:tr w:rsidR="006D123E" w:rsidRPr="00261B7A" w14:paraId="09ECEF46" w14:textId="77777777" w:rsidTr="009C63CA">
        <w:trPr>
          <w:jc w:val="center"/>
        </w:trPr>
        <w:tc>
          <w:tcPr>
            <w:tcW w:w="3220" w:type="dxa"/>
            <w:tcBorders>
              <w:left w:val="nil"/>
              <w:bottom w:val="single" w:sz="4" w:space="0" w:color="1B556B"/>
              <w:right w:val="nil"/>
            </w:tcBorders>
            <w:shd w:val="clear" w:color="auto" w:fill="auto"/>
            <w:vAlign w:val="center"/>
            <w:hideMark/>
          </w:tcPr>
          <w:p w14:paraId="3B19A2C9" w14:textId="77777777" w:rsidR="006D123E" w:rsidRPr="00261B7A" w:rsidRDefault="006D123E" w:rsidP="009C63CA">
            <w:pPr>
              <w:pStyle w:val="TableText"/>
              <w:spacing w:before="50" w:after="50"/>
              <w:rPr>
                <w:rFonts w:cs="Calibri"/>
                <w:szCs w:val="16"/>
              </w:rPr>
            </w:pPr>
            <w:r w:rsidRPr="00261B7A">
              <w:rPr>
                <w:rFonts w:cs="Calibri"/>
                <w:szCs w:val="16"/>
              </w:rPr>
              <w:t>Net emissions in calendar year (kt CO</w:t>
            </w:r>
            <w:r w:rsidRPr="00261B7A">
              <w:rPr>
                <w:rFonts w:cs="Calibri"/>
                <w:szCs w:val="16"/>
                <w:vertAlign w:val="subscript"/>
              </w:rPr>
              <w:t>2</w:t>
            </w:r>
            <w:r w:rsidRPr="00261B7A">
              <w:rPr>
                <w:rFonts w:cs="Calibri"/>
                <w:szCs w:val="16"/>
              </w:rPr>
              <w:t>-e)</w:t>
            </w:r>
          </w:p>
        </w:tc>
        <w:tc>
          <w:tcPr>
            <w:tcW w:w="1666" w:type="dxa"/>
            <w:tcBorders>
              <w:left w:val="nil"/>
              <w:bottom w:val="single" w:sz="4" w:space="0" w:color="1B556B"/>
              <w:right w:val="nil"/>
            </w:tcBorders>
            <w:shd w:val="clear" w:color="auto" w:fill="auto"/>
            <w:vAlign w:val="center"/>
          </w:tcPr>
          <w:p w14:paraId="6186C2D2" w14:textId="77777777" w:rsidR="006D123E" w:rsidRPr="00261B7A" w:rsidRDefault="006D123E" w:rsidP="009C63CA">
            <w:pPr>
              <w:pStyle w:val="TableText"/>
              <w:spacing w:before="50" w:after="50"/>
              <w:jc w:val="right"/>
              <w:rPr>
                <w:szCs w:val="16"/>
              </w:rPr>
            </w:pPr>
            <w:r w:rsidRPr="00261B7A">
              <w:rPr>
                <w:rFonts w:cs="Calibri"/>
                <w:color w:val="000000"/>
                <w:szCs w:val="16"/>
              </w:rPr>
              <w:t xml:space="preserve">–11,488.3 </w:t>
            </w:r>
          </w:p>
        </w:tc>
      </w:tr>
      <w:tr w:rsidR="006D123E" w:rsidRPr="00261B7A" w14:paraId="5D48EF57" w14:textId="77777777" w:rsidTr="009C63CA">
        <w:trPr>
          <w:jc w:val="center"/>
        </w:trPr>
        <w:tc>
          <w:tcPr>
            <w:tcW w:w="3220" w:type="dxa"/>
            <w:tcBorders>
              <w:top w:val="single" w:sz="4" w:space="0" w:color="1B556B"/>
              <w:left w:val="nil"/>
              <w:bottom w:val="single" w:sz="4" w:space="0" w:color="1B556B"/>
              <w:right w:val="nil"/>
            </w:tcBorders>
            <w:shd w:val="clear" w:color="auto" w:fill="auto"/>
            <w:vAlign w:val="center"/>
            <w:hideMark/>
          </w:tcPr>
          <w:p w14:paraId="61A40301" w14:textId="77777777" w:rsidR="006D123E" w:rsidRPr="00261B7A" w:rsidRDefault="006D123E" w:rsidP="009C63CA">
            <w:pPr>
              <w:pStyle w:val="TableTextBold"/>
              <w:spacing w:before="50" w:after="50"/>
              <w:rPr>
                <w:rFonts w:cs="Calibri"/>
                <w:noProof w:val="0"/>
                <w:szCs w:val="16"/>
              </w:rPr>
            </w:pPr>
            <w:r w:rsidRPr="00261B7A">
              <w:rPr>
                <w:rFonts w:cs="Calibri"/>
                <w:noProof w:val="0"/>
                <w:szCs w:val="16"/>
              </w:rPr>
              <w:t>Deforestation</w:t>
            </w:r>
          </w:p>
        </w:tc>
        <w:tc>
          <w:tcPr>
            <w:tcW w:w="1666" w:type="dxa"/>
            <w:tcBorders>
              <w:top w:val="single" w:sz="4" w:space="0" w:color="1B556B"/>
              <w:left w:val="nil"/>
              <w:bottom w:val="single" w:sz="4" w:space="0" w:color="1B556B"/>
              <w:right w:val="nil"/>
            </w:tcBorders>
            <w:shd w:val="clear" w:color="auto" w:fill="auto"/>
          </w:tcPr>
          <w:p w14:paraId="6C142E81" w14:textId="77777777" w:rsidR="006D123E" w:rsidRPr="00261B7A" w:rsidRDefault="006D123E" w:rsidP="009C63CA">
            <w:pPr>
              <w:pStyle w:val="TableTextBold"/>
              <w:spacing w:before="50" w:after="50"/>
              <w:jc w:val="right"/>
              <w:rPr>
                <w:rFonts w:cs="Calibri"/>
                <w:noProof w:val="0"/>
                <w:szCs w:val="16"/>
              </w:rPr>
            </w:pPr>
          </w:p>
        </w:tc>
      </w:tr>
      <w:tr w:rsidR="006D123E" w:rsidRPr="00261B7A" w14:paraId="4E3D39CC" w14:textId="77777777" w:rsidTr="009C63CA">
        <w:trPr>
          <w:jc w:val="center"/>
        </w:trPr>
        <w:tc>
          <w:tcPr>
            <w:tcW w:w="3220" w:type="dxa"/>
            <w:tcBorders>
              <w:top w:val="single" w:sz="4" w:space="0" w:color="1B556B"/>
              <w:left w:val="nil"/>
              <w:right w:val="nil"/>
            </w:tcBorders>
            <w:shd w:val="clear" w:color="auto" w:fill="auto"/>
            <w:vAlign w:val="center"/>
            <w:hideMark/>
          </w:tcPr>
          <w:p w14:paraId="5212CCC6" w14:textId="77777777" w:rsidR="006D123E" w:rsidRPr="00261B7A" w:rsidRDefault="006D123E" w:rsidP="009C63CA">
            <w:pPr>
              <w:pStyle w:val="TableText"/>
              <w:spacing w:before="50" w:after="50"/>
              <w:rPr>
                <w:rFonts w:cs="Calibri"/>
                <w:szCs w:val="16"/>
              </w:rPr>
            </w:pPr>
            <w:r w:rsidRPr="00261B7A">
              <w:rPr>
                <w:rFonts w:cs="Calibri"/>
                <w:szCs w:val="16"/>
              </w:rPr>
              <w:t>Net cumulative area since 1990 (ha)</w:t>
            </w:r>
          </w:p>
        </w:tc>
        <w:tc>
          <w:tcPr>
            <w:tcW w:w="1666" w:type="dxa"/>
            <w:tcBorders>
              <w:top w:val="single" w:sz="4" w:space="0" w:color="1B556B"/>
              <w:left w:val="nil"/>
              <w:right w:val="nil"/>
            </w:tcBorders>
            <w:shd w:val="clear" w:color="auto" w:fill="auto"/>
            <w:vAlign w:val="center"/>
          </w:tcPr>
          <w:p w14:paraId="36469E8C" w14:textId="77777777" w:rsidR="006D123E" w:rsidRPr="00261B7A" w:rsidRDefault="006D123E" w:rsidP="009C63CA">
            <w:pPr>
              <w:pStyle w:val="TableText"/>
              <w:spacing w:before="50" w:after="50"/>
              <w:jc w:val="right"/>
              <w:rPr>
                <w:szCs w:val="16"/>
              </w:rPr>
            </w:pPr>
            <w:r w:rsidRPr="00261B7A">
              <w:rPr>
                <w:rFonts w:cs="Calibri"/>
                <w:color w:val="000000"/>
                <w:szCs w:val="16"/>
              </w:rPr>
              <w:t>224,591</w:t>
            </w:r>
          </w:p>
        </w:tc>
      </w:tr>
      <w:tr w:rsidR="006D123E" w:rsidRPr="00261B7A" w14:paraId="513076AA" w14:textId="77777777" w:rsidTr="009C63CA">
        <w:trPr>
          <w:jc w:val="center"/>
        </w:trPr>
        <w:tc>
          <w:tcPr>
            <w:tcW w:w="3220" w:type="dxa"/>
            <w:tcBorders>
              <w:left w:val="nil"/>
              <w:right w:val="nil"/>
            </w:tcBorders>
            <w:shd w:val="clear" w:color="auto" w:fill="auto"/>
            <w:vAlign w:val="center"/>
            <w:hideMark/>
          </w:tcPr>
          <w:p w14:paraId="1DDF3841" w14:textId="77777777" w:rsidR="006D123E" w:rsidRPr="00261B7A" w:rsidRDefault="006D123E" w:rsidP="009C63CA">
            <w:pPr>
              <w:pStyle w:val="TableText"/>
              <w:spacing w:before="50" w:after="50"/>
              <w:rPr>
                <w:rFonts w:cs="Calibri"/>
                <w:szCs w:val="16"/>
              </w:rPr>
            </w:pPr>
            <w:r w:rsidRPr="00261B7A">
              <w:rPr>
                <w:rFonts w:cs="Calibri"/>
                <w:szCs w:val="16"/>
              </w:rPr>
              <w:t>Area in calendar year (ha)</w:t>
            </w:r>
          </w:p>
        </w:tc>
        <w:tc>
          <w:tcPr>
            <w:tcW w:w="1666" w:type="dxa"/>
            <w:tcBorders>
              <w:left w:val="nil"/>
              <w:right w:val="nil"/>
            </w:tcBorders>
            <w:shd w:val="clear" w:color="auto" w:fill="auto"/>
            <w:vAlign w:val="center"/>
          </w:tcPr>
          <w:p w14:paraId="177DD3BB" w14:textId="77777777" w:rsidR="006D123E" w:rsidRPr="00261B7A" w:rsidRDefault="006D123E" w:rsidP="009C63CA">
            <w:pPr>
              <w:pStyle w:val="TableText"/>
              <w:spacing w:before="50" w:after="50"/>
              <w:jc w:val="right"/>
              <w:rPr>
                <w:szCs w:val="16"/>
              </w:rPr>
            </w:pPr>
            <w:r w:rsidRPr="00261B7A">
              <w:rPr>
                <w:rFonts w:cs="Calibri"/>
                <w:color w:val="000000"/>
                <w:szCs w:val="16"/>
              </w:rPr>
              <w:t xml:space="preserve"> 2,493 </w:t>
            </w:r>
          </w:p>
        </w:tc>
      </w:tr>
      <w:tr w:rsidR="006D123E" w:rsidRPr="00261B7A" w14:paraId="6D8531DF" w14:textId="77777777" w:rsidTr="009C63CA">
        <w:trPr>
          <w:jc w:val="center"/>
        </w:trPr>
        <w:tc>
          <w:tcPr>
            <w:tcW w:w="3220" w:type="dxa"/>
            <w:tcBorders>
              <w:left w:val="nil"/>
              <w:bottom w:val="single" w:sz="4" w:space="0" w:color="1B556B"/>
              <w:right w:val="nil"/>
            </w:tcBorders>
            <w:shd w:val="clear" w:color="auto" w:fill="auto"/>
            <w:vAlign w:val="center"/>
            <w:hideMark/>
          </w:tcPr>
          <w:p w14:paraId="4B452768" w14:textId="77777777" w:rsidR="006D123E" w:rsidRPr="00261B7A" w:rsidRDefault="006D123E" w:rsidP="009C63CA">
            <w:pPr>
              <w:pStyle w:val="TableText"/>
              <w:spacing w:before="50" w:after="50"/>
              <w:rPr>
                <w:rFonts w:cs="Calibri"/>
                <w:szCs w:val="16"/>
              </w:rPr>
            </w:pPr>
            <w:r w:rsidRPr="00261B7A">
              <w:rPr>
                <w:rFonts w:cs="Calibri"/>
                <w:szCs w:val="16"/>
              </w:rPr>
              <w:t>Net emissions in calendar year (kt CO</w:t>
            </w:r>
            <w:r w:rsidRPr="00261B7A">
              <w:rPr>
                <w:rFonts w:cs="Calibri"/>
                <w:szCs w:val="16"/>
                <w:vertAlign w:val="subscript"/>
              </w:rPr>
              <w:t>2</w:t>
            </w:r>
            <w:r w:rsidRPr="00261B7A">
              <w:rPr>
                <w:rFonts w:cs="Calibri"/>
                <w:szCs w:val="16"/>
              </w:rPr>
              <w:t>-e)</w:t>
            </w:r>
          </w:p>
        </w:tc>
        <w:tc>
          <w:tcPr>
            <w:tcW w:w="1666" w:type="dxa"/>
            <w:tcBorders>
              <w:left w:val="nil"/>
              <w:bottom w:val="single" w:sz="4" w:space="0" w:color="1B556B"/>
              <w:right w:val="nil"/>
            </w:tcBorders>
            <w:shd w:val="clear" w:color="auto" w:fill="auto"/>
            <w:vAlign w:val="center"/>
          </w:tcPr>
          <w:p w14:paraId="37059DD8" w14:textId="77777777" w:rsidR="006D123E" w:rsidRPr="00261B7A" w:rsidRDefault="006D123E" w:rsidP="009C63CA">
            <w:pPr>
              <w:pStyle w:val="TableText"/>
              <w:spacing w:before="50" w:after="50"/>
              <w:jc w:val="right"/>
              <w:rPr>
                <w:szCs w:val="16"/>
              </w:rPr>
            </w:pPr>
            <w:r w:rsidRPr="00261B7A">
              <w:rPr>
                <w:rFonts w:cs="Calibri"/>
                <w:color w:val="000000"/>
                <w:szCs w:val="16"/>
              </w:rPr>
              <w:t>1,391.0</w:t>
            </w:r>
          </w:p>
        </w:tc>
      </w:tr>
      <w:tr w:rsidR="006D123E" w:rsidRPr="00261B7A" w14:paraId="7581B05F" w14:textId="77777777" w:rsidTr="009C63CA">
        <w:trPr>
          <w:trHeight w:val="194"/>
          <w:jc w:val="center"/>
        </w:trPr>
        <w:tc>
          <w:tcPr>
            <w:tcW w:w="3220" w:type="dxa"/>
            <w:tcBorders>
              <w:top w:val="single" w:sz="4" w:space="0" w:color="1B556B"/>
              <w:left w:val="nil"/>
              <w:bottom w:val="single" w:sz="4" w:space="0" w:color="1B556B"/>
              <w:right w:val="nil"/>
            </w:tcBorders>
            <w:shd w:val="clear" w:color="auto" w:fill="auto"/>
            <w:vAlign w:val="center"/>
            <w:hideMark/>
          </w:tcPr>
          <w:p w14:paraId="29D72004" w14:textId="77777777" w:rsidR="006D123E" w:rsidRPr="00261B7A" w:rsidRDefault="006D123E" w:rsidP="009C63CA">
            <w:pPr>
              <w:pStyle w:val="TableTextBold"/>
              <w:spacing w:before="50" w:after="50"/>
              <w:rPr>
                <w:rFonts w:cs="Calibri"/>
                <w:noProof w:val="0"/>
                <w:szCs w:val="16"/>
              </w:rPr>
            </w:pPr>
            <w:r w:rsidRPr="00261B7A">
              <w:rPr>
                <w:rFonts w:cs="Calibri"/>
                <w:noProof w:val="0"/>
                <w:szCs w:val="16"/>
              </w:rPr>
              <w:t>Forest management</w:t>
            </w:r>
          </w:p>
        </w:tc>
        <w:tc>
          <w:tcPr>
            <w:tcW w:w="1666" w:type="dxa"/>
            <w:tcBorders>
              <w:top w:val="single" w:sz="4" w:space="0" w:color="1B556B"/>
              <w:left w:val="nil"/>
              <w:bottom w:val="single" w:sz="4" w:space="0" w:color="1B556B"/>
              <w:right w:val="nil"/>
            </w:tcBorders>
            <w:shd w:val="clear" w:color="auto" w:fill="auto"/>
          </w:tcPr>
          <w:p w14:paraId="3CF3F16D" w14:textId="77777777" w:rsidR="006D123E" w:rsidRPr="00261B7A" w:rsidRDefault="006D123E" w:rsidP="009C63CA">
            <w:pPr>
              <w:pStyle w:val="TableTextBold"/>
              <w:spacing w:before="50" w:after="50"/>
              <w:jc w:val="right"/>
              <w:rPr>
                <w:rFonts w:cs="Calibri"/>
                <w:noProof w:val="0"/>
                <w:szCs w:val="16"/>
              </w:rPr>
            </w:pPr>
          </w:p>
        </w:tc>
      </w:tr>
      <w:tr w:rsidR="006D123E" w:rsidRPr="00261B7A" w14:paraId="7A41D902" w14:textId="77777777" w:rsidTr="009C63CA">
        <w:trPr>
          <w:jc w:val="center"/>
        </w:trPr>
        <w:tc>
          <w:tcPr>
            <w:tcW w:w="3220" w:type="dxa"/>
            <w:tcBorders>
              <w:top w:val="single" w:sz="4" w:space="0" w:color="1B556B"/>
              <w:left w:val="nil"/>
              <w:right w:val="nil"/>
            </w:tcBorders>
            <w:shd w:val="clear" w:color="auto" w:fill="auto"/>
            <w:vAlign w:val="center"/>
            <w:hideMark/>
          </w:tcPr>
          <w:p w14:paraId="0B581B2F" w14:textId="77777777" w:rsidR="006D123E" w:rsidRPr="00261B7A" w:rsidRDefault="006D123E" w:rsidP="009C63CA">
            <w:pPr>
              <w:pStyle w:val="TableText"/>
              <w:spacing w:before="50" w:after="50"/>
              <w:rPr>
                <w:rFonts w:cs="Calibri"/>
                <w:szCs w:val="16"/>
              </w:rPr>
            </w:pPr>
            <w:r w:rsidRPr="00261B7A">
              <w:rPr>
                <w:rFonts w:cs="Calibri"/>
                <w:szCs w:val="16"/>
              </w:rPr>
              <w:t>Area included (ha)</w:t>
            </w:r>
          </w:p>
        </w:tc>
        <w:tc>
          <w:tcPr>
            <w:tcW w:w="1666" w:type="dxa"/>
            <w:tcBorders>
              <w:top w:val="single" w:sz="4" w:space="0" w:color="1B556B"/>
              <w:left w:val="nil"/>
              <w:right w:val="nil"/>
            </w:tcBorders>
            <w:shd w:val="clear" w:color="auto" w:fill="auto"/>
            <w:vAlign w:val="center"/>
          </w:tcPr>
          <w:p w14:paraId="4E17987D" w14:textId="77777777" w:rsidR="006D123E" w:rsidRPr="00261B7A" w:rsidRDefault="006D123E" w:rsidP="009C63CA">
            <w:pPr>
              <w:pStyle w:val="TableText"/>
              <w:spacing w:before="50" w:after="50"/>
              <w:jc w:val="right"/>
              <w:rPr>
                <w:rFonts w:cs="Calibri"/>
                <w:szCs w:val="16"/>
              </w:rPr>
            </w:pPr>
            <w:r w:rsidRPr="00261B7A">
              <w:rPr>
                <w:rFonts w:cs="Calibri"/>
                <w:color w:val="444444"/>
                <w:szCs w:val="16"/>
                <w:shd w:val="clear" w:color="auto" w:fill="FFFFFF"/>
              </w:rPr>
              <w:t>9,195,721</w:t>
            </w:r>
          </w:p>
        </w:tc>
      </w:tr>
      <w:tr w:rsidR="006D123E" w:rsidRPr="00261B7A" w14:paraId="53604D8E" w14:textId="77777777" w:rsidTr="009C63CA">
        <w:trPr>
          <w:jc w:val="center"/>
        </w:trPr>
        <w:tc>
          <w:tcPr>
            <w:tcW w:w="3220" w:type="dxa"/>
            <w:tcBorders>
              <w:left w:val="nil"/>
              <w:bottom w:val="single" w:sz="4" w:space="0" w:color="1B556B"/>
              <w:right w:val="nil"/>
            </w:tcBorders>
            <w:shd w:val="clear" w:color="auto" w:fill="auto"/>
            <w:vAlign w:val="center"/>
            <w:hideMark/>
          </w:tcPr>
          <w:p w14:paraId="4B2F2D9E" w14:textId="77777777" w:rsidR="006D123E" w:rsidRPr="00261B7A" w:rsidRDefault="006D123E" w:rsidP="009C63CA">
            <w:pPr>
              <w:pStyle w:val="TableText"/>
              <w:spacing w:before="50" w:after="50"/>
              <w:rPr>
                <w:rFonts w:cs="Calibri"/>
                <w:szCs w:val="16"/>
              </w:rPr>
            </w:pPr>
            <w:r w:rsidRPr="00261B7A">
              <w:rPr>
                <w:rFonts w:cs="Calibri"/>
                <w:szCs w:val="16"/>
              </w:rPr>
              <w:t>Net emissions in calendar year (kt CO</w:t>
            </w:r>
            <w:r w:rsidRPr="00261B7A">
              <w:rPr>
                <w:rFonts w:cs="Calibri"/>
                <w:szCs w:val="16"/>
                <w:vertAlign w:val="subscript"/>
              </w:rPr>
              <w:t>2</w:t>
            </w:r>
            <w:r w:rsidRPr="00261B7A">
              <w:rPr>
                <w:rFonts w:cs="Calibri"/>
                <w:szCs w:val="16"/>
              </w:rPr>
              <w:t>-e)</w:t>
            </w:r>
          </w:p>
        </w:tc>
        <w:tc>
          <w:tcPr>
            <w:tcW w:w="1666" w:type="dxa"/>
            <w:tcBorders>
              <w:left w:val="nil"/>
              <w:bottom w:val="single" w:sz="4" w:space="0" w:color="1B556B"/>
              <w:right w:val="nil"/>
            </w:tcBorders>
            <w:shd w:val="clear" w:color="auto" w:fill="auto"/>
            <w:vAlign w:val="center"/>
          </w:tcPr>
          <w:p w14:paraId="6BF5E508" w14:textId="77777777" w:rsidR="006D123E" w:rsidRPr="00261B7A" w:rsidRDefault="006D123E" w:rsidP="009C63CA">
            <w:pPr>
              <w:pStyle w:val="TableText"/>
              <w:spacing w:before="50" w:after="50"/>
              <w:jc w:val="right"/>
              <w:rPr>
                <w:rFonts w:cs="Calibri"/>
                <w:szCs w:val="16"/>
              </w:rPr>
            </w:pPr>
            <w:r w:rsidRPr="00261B7A">
              <w:rPr>
                <w:rFonts w:cs="Calibri"/>
                <w:color w:val="000000"/>
                <w:szCs w:val="16"/>
              </w:rPr>
              <w:t xml:space="preserve">–16,757.3 </w:t>
            </w:r>
          </w:p>
        </w:tc>
      </w:tr>
      <w:tr w:rsidR="006D123E" w:rsidRPr="00261B7A" w14:paraId="142B96E6" w14:textId="77777777" w:rsidTr="009C63CA">
        <w:trPr>
          <w:jc w:val="center"/>
        </w:trPr>
        <w:tc>
          <w:tcPr>
            <w:tcW w:w="3220" w:type="dxa"/>
            <w:tcBorders>
              <w:top w:val="single" w:sz="4" w:space="0" w:color="1B556B"/>
              <w:left w:val="nil"/>
              <w:bottom w:val="single" w:sz="4" w:space="0" w:color="1B556B"/>
              <w:right w:val="nil"/>
            </w:tcBorders>
            <w:shd w:val="clear" w:color="auto" w:fill="auto"/>
            <w:vAlign w:val="center"/>
            <w:hideMark/>
          </w:tcPr>
          <w:p w14:paraId="308C1EEC" w14:textId="77777777" w:rsidR="006D123E" w:rsidRPr="00261B7A" w:rsidRDefault="006D123E" w:rsidP="009C63CA">
            <w:pPr>
              <w:pStyle w:val="Tableboldblue"/>
              <w:rPr>
                <w:szCs w:val="16"/>
              </w:rPr>
            </w:pPr>
            <w:r w:rsidRPr="00261B7A">
              <w:rPr>
                <w:szCs w:val="16"/>
              </w:rPr>
              <w:t>Total area included (ha)</w:t>
            </w:r>
          </w:p>
        </w:tc>
        <w:tc>
          <w:tcPr>
            <w:tcW w:w="1666" w:type="dxa"/>
            <w:tcBorders>
              <w:top w:val="single" w:sz="4" w:space="0" w:color="1B556B"/>
              <w:left w:val="nil"/>
              <w:bottom w:val="single" w:sz="4" w:space="0" w:color="1B556B"/>
              <w:right w:val="nil"/>
            </w:tcBorders>
            <w:shd w:val="clear" w:color="auto" w:fill="auto"/>
            <w:vAlign w:val="center"/>
          </w:tcPr>
          <w:p w14:paraId="0A8B1183" w14:textId="77777777" w:rsidR="006D123E" w:rsidRPr="00261B7A" w:rsidRDefault="006D123E" w:rsidP="009C63CA">
            <w:pPr>
              <w:pStyle w:val="Tableboldblue"/>
              <w:jc w:val="right"/>
              <w:rPr>
                <w:rFonts w:cs="Calibri"/>
                <w:szCs w:val="16"/>
              </w:rPr>
            </w:pPr>
            <w:r w:rsidRPr="00261B7A">
              <w:rPr>
                <w:rFonts w:cs="Calibri"/>
                <w:szCs w:val="16"/>
              </w:rPr>
              <w:t>10,360,974</w:t>
            </w:r>
          </w:p>
        </w:tc>
      </w:tr>
      <w:tr w:rsidR="006D123E" w:rsidRPr="00261B7A" w14:paraId="4D86264D" w14:textId="77777777" w:rsidTr="009C63CA">
        <w:trPr>
          <w:jc w:val="center"/>
        </w:trPr>
        <w:tc>
          <w:tcPr>
            <w:tcW w:w="3220" w:type="dxa"/>
            <w:tcBorders>
              <w:top w:val="single" w:sz="4" w:space="0" w:color="1B556B"/>
              <w:left w:val="nil"/>
              <w:bottom w:val="single" w:sz="4" w:space="0" w:color="1B556B"/>
              <w:right w:val="nil"/>
            </w:tcBorders>
            <w:shd w:val="clear" w:color="auto" w:fill="auto"/>
            <w:vAlign w:val="center"/>
            <w:hideMark/>
          </w:tcPr>
          <w:p w14:paraId="6748B3E5" w14:textId="77777777" w:rsidR="006D123E" w:rsidRPr="00261B7A" w:rsidRDefault="006D123E" w:rsidP="009C63CA">
            <w:pPr>
              <w:pStyle w:val="Tableboldblue"/>
              <w:rPr>
                <w:szCs w:val="16"/>
              </w:rPr>
            </w:pPr>
            <w:r w:rsidRPr="00261B7A">
              <w:rPr>
                <w:szCs w:val="16"/>
              </w:rPr>
              <w:t>Net emissions in calendar year (kt CO</w:t>
            </w:r>
            <w:r w:rsidRPr="00261B7A">
              <w:rPr>
                <w:szCs w:val="16"/>
                <w:vertAlign w:val="subscript"/>
              </w:rPr>
              <w:t>2</w:t>
            </w:r>
            <w:r w:rsidRPr="00261B7A">
              <w:rPr>
                <w:szCs w:val="16"/>
              </w:rPr>
              <w:t>-e)</w:t>
            </w:r>
          </w:p>
        </w:tc>
        <w:tc>
          <w:tcPr>
            <w:tcW w:w="1666" w:type="dxa"/>
            <w:tcBorders>
              <w:top w:val="single" w:sz="4" w:space="0" w:color="1B556B"/>
              <w:left w:val="nil"/>
              <w:bottom w:val="single" w:sz="4" w:space="0" w:color="1B556B"/>
              <w:right w:val="nil"/>
            </w:tcBorders>
            <w:shd w:val="clear" w:color="auto" w:fill="auto"/>
            <w:vAlign w:val="center"/>
          </w:tcPr>
          <w:p w14:paraId="6B2A36D3" w14:textId="77777777" w:rsidR="006D123E" w:rsidRPr="00261B7A" w:rsidRDefault="006D123E" w:rsidP="009C63CA">
            <w:pPr>
              <w:pStyle w:val="Tableboldblue"/>
              <w:jc w:val="right"/>
              <w:rPr>
                <w:rFonts w:cs="Calibri"/>
                <w:szCs w:val="16"/>
              </w:rPr>
            </w:pPr>
            <w:r w:rsidRPr="00261B7A">
              <w:rPr>
                <w:rFonts w:cs="Calibri"/>
                <w:szCs w:val="16"/>
              </w:rPr>
              <w:t xml:space="preserve">–26,854.5 </w:t>
            </w:r>
          </w:p>
        </w:tc>
      </w:tr>
    </w:tbl>
    <w:p w14:paraId="2E78364F" w14:textId="77777777" w:rsidR="006D123E" w:rsidRPr="00261B7A" w:rsidRDefault="006D123E" w:rsidP="006D123E">
      <w:pPr>
        <w:pStyle w:val="Noteundertable"/>
        <w:keepLines/>
      </w:pPr>
      <w:r w:rsidRPr="00261B7A">
        <w:rPr>
          <w:b/>
        </w:rPr>
        <w:t>Note:</w:t>
      </w:r>
      <w:r w:rsidRPr="00261B7A">
        <w:t xml:space="preserve"> </w:t>
      </w:r>
      <w:r w:rsidRPr="00261B7A">
        <w:tab/>
      </w:r>
      <w:bookmarkStart w:id="2919" w:name="_Hlk61602689"/>
      <w:r w:rsidRPr="00261B7A">
        <w:t>Where net emissions result in removals, they are expressed as a negative value as per section 2.2.3 of the Intergovernmental Panel on Climate Change Guidelines (IPCC, 2006a). Columns may not total due to rounding. P = figures for 2021 are provisional. Afforestation and deforestation differs from that in chapter 6 due to carbon equivalent forests being reported separately.</w:t>
      </w:r>
      <w:bookmarkEnd w:id="2919"/>
    </w:p>
    <w:p w14:paraId="54C84279" w14:textId="77777777" w:rsidR="006D123E" w:rsidRPr="00261B7A" w:rsidRDefault="006D123E" w:rsidP="006D123E">
      <w:pPr>
        <w:tabs>
          <w:tab w:val="left" w:pos="2355"/>
        </w:tabs>
        <w:rPr>
          <w:bCs/>
          <w:sz w:val="2"/>
          <w:szCs w:val="2"/>
        </w:rPr>
      </w:pPr>
    </w:p>
    <w:p w14:paraId="21AB0AA1" w14:textId="77777777" w:rsidR="006D123E" w:rsidRPr="00261B7A" w:rsidRDefault="006D123E" w:rsidP="006D123E">
      <w:pPr>
        <w:pStyle w:val="Heading5"/>
      </w:pPr>
      <w:r w:rsidRPr="00261B7A">
        <w:t>1990–2021</w:t>
      </w:r>
    </w:p>
    <w:p w14:paraId="39C380D4" w14:textId="77777777" w:rsidR="006D123E" w:rsidRPr="00261B7A" w:rsidRDefault="006D123E" w:rsidP="006D123E">
      <w:pPr>
        <w:pStyle w:val="BodyText"/>
      </w:pPr>
      <w:r w:rsidRPr="00261B7A">
        <w:t>Between 1990 and 2021, it is estimated that 872,546 hectares of new forest (post</w:t>
      </w:r>
      <w:r w:rsidRPr="00261B7A">
        <w:noBreakHyphen/>
        <w:t xml:space="preserve">1989 forest) were established as a result of </w:t>
      </w:r>
      <w:r w:rsidRPr="00261B7A">
        <w:rPr>
          <w:i/>
        </w:rPr>
        <w:t>Afforestation and reforestation</w:t>
      </w:r>
      <w:r w:rsidRPr="00261B7A">
        <w:t xml:space="preserve"> activities (table </w:t>
      </w:r>
      <w:r w:rsidRPr="00261B7A">
        <w:rPr>
          <w:spacing w:val="-2"/>
        </w:rPr>
        <w:t>11.3.1</w:t>
      </w:r>
      <w:r w:rsidRPr="00261B7A">
        <w:t xml:space="preserve">). The net area of post-1989 forest (calculated from the total area of new forest planted since 31 December 1989 minus the deforestation of post-1989 forest since 1 January 1990) as at the end of 2021 was </w:t>
      </w:r>
      <w:r w:rsidRPr="00261B7A">
        <w:rPr>
          <w:rFonts w:cs="Arial"/>
          <w:color w:val="000000"/>
          <w:szCs w:val="16"/>
        </w:rPr>
        <w:t xml:space="preserve">824,073 </w:t>
      </w:r>
      <w:r w:rsidRPr="00261B7A">
        <w:t xml:space="preserve">hectares. This figure includes 48,473 hectares of deforestation activity that has occurred in these forests since 1990. The average annual increase of </w:t>
      </w:r>
      <w:r w:rsidRPr="00261B7A">
        <w:rPr>
          <w:i/>
        </w:rPr>
        <w:t>Afforestation and reforestation</w:t>
      </w:r>
      <w:r w:rsidRPr="00261B7A">
        <w:t xml:space="preserve"> activity is 27,267 hectares. During 2021, an estimated 54,268 hectares of new forest was established (table 11.1.1). </w:t>
      </w:r>
    </w:p>
    <w:p w14:paraId="1C3223A7" w14:textId="77777777" w:rsidR="006D123E" w:rsidRPr="00261B7A" w:rsidRDefault="006D123E" w:rsidP="006D123E">
      <w:pPr>
        <w:pStyle w:val="BodyText"/>
      </w:pPr>
      <w:r w:rsidRPr="00261B7A">
        <w:t xml:space="preserve">The carbon equivalent forest provision creates a misalignment for the afforestation and deforestation area reported under the Kyoto Protocol and the United Nations Framework Convention on Climate Change (UNFCCC) sections of the Inventory. The carbon equivalent forest provision is not recognised under the UNFCCC and is reported as </w:t>
      </w:r>
      <w:r w:rsidRPr="00261B7A">
        <w:rPr>
          <w:i/>
        </w:rPr>
        <w:t>Land converted to forest land</w:t>
      </w:r>
      <w:r w:rsidRPr="00261B7A">
        <w:t xml:space="preserve"> (afforestation) and </w:t>
      </w:r>
      <w:r w:rsidRPr="00261B7A">
        <w:rPr>
          <w:i/>
        </w:rPr>
        <w:t>Forest land converted to other land uses</w:t>
      </w:r>
      <w:r w:rsidRPr="00261B7A">
        <w:t xml:space="preserve"> (deforestation). </w:t>
      </w:r>
    </w:p>
    <w:p w14:paraId="4A8E80F4" w14:textId="77777777" w:rsidR="006D123E" w:rsidRPr="00261B7A" w:rsidRDefault="006D123E" w:rsidP="006D123E">
      <w:pPr>
        <w:pStyle w:val="BodyText"/>
      </w:pPr>
      <w:r w:rsidRPr="00261B7A">
        <w:t xml:space="preserve">Deforestation of all subcategories of </w:t>
      </w:r>
      <w:r w:rsidRPr="00261B7A">
        <w:rPr>
          <w:i/>
        </w:rPr>
        <w:t>Forest land</w:t>
      </w:r>
      <w:r w:rsidRPr="00261B7A">
        <w:t xml:space="preserve"> (post-1989 natural, post-1989 planted, pre</w:t>
      </w:r>
      <w:r w:rsidRPr="00261B7A">
        <w:noBreakHyphen/>
        <w:t>1990 planted and pre-1990 natural forest) during 2021 was estimated at</w:t>
      </w:r>
      <w:r w:rsidRPr="00261B7A">
        <w:rPr>
          <w:rFonts w:cs="Arial"/>
        </w:rPr>
        <w:t xml:space="preserve"> 2,493 </w:t>
      </w:r>
      <w:r w:rsidRPr="00261B7A">
        <w:t xml:space="preserve">hectares. Since 1990, the area of deforestation of all subcategories of </w:t>
      </w:r>
      <w:r w:rsidRPr="00261B7A">
        <w:rPr>
          <w:i/>
        </w:rPr>
        <w:t>Forest land</w:t>
      </w:r>
      <w:r w:rsidRPr="00261B7A">
        <w:t xml:space="preserve"> is estimated as 224,591 hectares. </w:t>
      </w:r>
    </w:p>
    <w:p w14:paraId="57F5EED3" w14:textId="77777777" w:rsidR="006D123E" w:rsidRPr="00261B7A" w:rsidRDefault="006D123E" w:rsidP="006D123E">
      <w:pPr>
        <w:pStyle w:val="BodyText"/>
      </w:pPr>
      <w:r w:rsidRPr="00261B7A">
        <w:t xml:space="preserve">Between 1 January 1990 and 31 December 2021, the total area of </w:t>
      </w:r>
      <w:r w:rsidRPr="00261B7A">
        <w:rPr>
          <w:i/>
        </w:rPr>
        <w:t>Forest management</w:t>
      </w:r>
      <w:r w:rsidRPr="00261B7A">
        <w:t xml:space="preserve"> land deforested was 176,118 hectares. However, due to the application of the carbon equivalent forest provision (Kyoto Protocol Supplement, IPCC, 2014, section 2.7.2), the net area under </w:t>
      </w:r>
      <w:r w:rsidRPr="00261B7A">
        <w:rPr>
          <w:i/>
        </w:rPr>
        <w:t>Forest management</w:t>
      </w:r>
      <w:r w:rsidRPr="00261B7A">
        <w:t xml:space="preserve"> only decreased by 171,223 hectares or 1.8 per cent. This is the result of:</w:t>
      </w:r>
    </w:p>
    <w:p w14:paraId="10D7FADC" w14:textId="77777777" w:rsidR="006D123E" w:rsidRPr="00261B7A" w:rsidRDefault="006D123E" w:rsidP="006D123E">
      <w:pPr>
        <w:pStyle w:val="Bullet"/>
      </w:pPr>
      <w:r w:rsidRPr="00261B7A">
        <w:t xml:space="preserve">171,223 hectares of land being transferred from Article 3.4 – </w:t>
      </w:r>
      <w:r w:rsidRPr="00261B7A">
        <w:rPr>
          <w:i/>
        </w:rPr>
        <w:t>Forest management</w:t>
      </w:r>
      <w:r w:rsidRPr="00261B7A">
        <w:t xml:space="preserve"> reporting to Article 3.3 – </w:t>
      </w:r>
      <w:r w:rsidRPr="00261B7A">
        <w:rPr>
          <w:i/>
        </w:rPr>
        <w:t>Deforestation</w:t>
      </w:r>
      <w:r w:rsidRPr="00261B7A">
        <w:t xml:space="preserve"> reporting due to deforestation</w:t>
      </w:r>
    </w:p>
    <w:p w14:paraId="48BF741B" w14:textId="77777777" w:rsidR="006D123E" w:rsidRPr="00261B7A" w:rsidRDefault="006D123E" w:rsidP="006D123E">
      <w:pPr>
        <w:pStyle w:val="Bullet"/>
      </w:pPr>
      <w:r w:rsidRPr="00261B7A">
        <w:t>3,995 hectares of land converted to a non-forest land use (</w:t>
      </w:r>
      <w:r w:rsidRPr="00261B7A">
        <w:rPr>
          <w:i/>
        </w:rPr>
        <w:t xml:space="preserve">Carbon equivalent forest </w:t>
      </w:r>
      <w:r w:rsidRPr="00261B7A">
        <w:rPr>
          <w:i/>
        </w:rPr>
        <w:br/>
        <w:t>– harvested and converted (CEF</w:t>
      </w:r>
      <w:r w:rsidRPr="00261B7A">
        <w:rPr>
          <w:i/>
          <w:vertAlign w:val="subscript"/>
        </w:rPr>
        <w:t>HC</w:t>
      </w:r>
      <w:r w:rsidRPr="00261B7A">
        <w:rPr>
          <w:i/>
        </w:rPr>
        <w:t>)</w:t>
      </w:r>
      <w:r w:rsidRPr="00261B7A">
        <w:t xml:space="preserve">) included in Article 3.4 – </w:t>
      </w:r>
      <w:r w:rsidRPr="00261B7A">
        <w:rPr>
          <w:i/>
        </w:rPr>
        <w:t>Forest managemen</w:t>
      </w:r>
      <w:r w:rsidRPr="00261B7A">
        <w:t>t reporting as a result of applying the carbon equivalent forest provision (Kyoto Protocol Supplement, IPCC, 2014, section 2.7.2)</w:t>
      </w:r>
    </w:p>
    <w:p w14:paraId="73D613C3" w14:textId="77777777" w:rsidR="006D123E" w:rsidRPr="00261B7A" w:rsidRDefault="006D123E" w:rsidP="006D123E">
      <w:pPr>
        <w:pStyle w:val="Bullet"/>
      </w:pPr>
      <w:r w:rsidRPr="00261B7A">
        <w:t xml:space="preserve">4,896 hectares of newly established forest </w:t>
      </w:r>
      <w:r w:rsidRPr="00261B7A">
        <w:rPr>
          <w:iCs/>
        </w:rPr>
        <w:t>(</w:t>
      </w:r>
      <w:r w:rsidRPr="00261B7A">
        <w:rPr>
          <w:i/>
        </w:rPr>
        <w:t>Carbon equivalent forest – newly established (CEF</w:t>
      </w:r>
      <w:r w:rsidRPr="00261B7A">
        <w:rPr>
          <w:i/>
          <w:vertAlign w:val="subscript"/>
        </w:rPr>
        <w:t>NE</w:t>
      </w:r>
      <w:r w:rsidRPr="00261B7A">
        <w:rPr>
          <w:i/>
        </w:rPr>
        <w:t>)</w:t>
      </w:r>
      <w:r w:rsidRPr="00261B7A">
        <w:rPr>
          <w:iCs/>
        </w:rPr>
        <w:t>)</w:t>
      </w:r>
      <w:r w:rsidRPr="00261B7A">
        <w:t xml:space="preserve"> added to Article 3.4 – </w:t>
      </w:r>
      <w:r w:rsidRPr="00261B7A">
        <w:rPr>
          <w:i/>
        </w:rPr>
        <w:t>Forest management</w:t>
      </w:r>
      <w:r w:rsidRPr="00261B7A">
        <w:t xml:space="preserve"> under the Kyoto Protocol as a result of applying the carbon equivalent forest provision</w:t>
      </w:r>
      <w:r w:rsidRPr="00261B7A" w:rsidDel="0060303B">
        <w:t xml:space="preserve"> </w:t>
      </w:r>
      <w:r w:rsidRPr="00261B7A">
        <w:t xml:space="preserve">(Kyoto Protocol Supplement, IPCC, 2014, section 2.7.2). </w:t>
      </w:r>
    </w:p>
    <w:p w14:paraId="76C10584" w14:textId="77777777" w:rsidR="006D123E" w:rsidRPr="00261B7A" w:rsidRDefault="006D123E" w:rsidP="006D123E">
      <w:pPr>
        <w:pStyle w:val="Heading5"/>
      </w:pPr>
      <w:r w:rsidRPr="00261B7A">
        <w:t>New Zealand’s Article 3.3 and Article 3.4 emissions by source for the second commitment period</w:t>
      </w:r>
    </w:p>
    <w:p w14:paraId="65FD8586" w14:textId="77777777" w:rsidR="006D123E" w:rsidRPr="00261B7A" w:rsidRDefault="006D123E" w:rsidP="006D123E">
      <w:pPr>
        <w:pStyle w:val="BodyText"/>
      </w:pPr>
      <w:r w:rsidRPr="00261B7A">
        <w:t>Table 11.1.2 provides a breakdown of New Zealand’s emissions under the Kyoto Protocol by greenhouse gas source category for 2021.</w:t>
      </w:r>
    </w:p>
    <w:p w14:paraId="49F84729" w14:textId="77777777" w:rsidR="006D123E" w:rsidRPr="00261B7A" w:rsidRDefault="006D123E" w:rsidP="006D123E">
      <w:pPr>
        <w:pStyle w:val="Table"/>
      </w:pPr>
      <w:bookmarkStart w:id="2920" w:name="_Toc456179104"/>
      <w:bookmarkStart w:id="2921" w:name="_Toc481751630"/>
      <w:bookmarkStart w:id="2922" w:name="_Toc522010655"/>
      <w:bookmarkStart w:id="2923" w:name="_Toc5269625"/>
      <w:bookmarkStart w:id="2924" w:name="_Toc36224707"/>
      <w:bookmarkStart w:id="2925" w:name="_Toc64987042"/>
      <w:bookmarkStart w:id="2926" w:name="_Toc68786592"/>
      <w:bookmarkStart w:id="2927" w:name="_Toc95321534"/>
      <w:bookmarkStart w:id="2928" w:name="_Toc130568403"/>
      <w:bookmarkStart w:id="2929" w:name="_Toc131591496"/>
      <w:r w:rsidRPr="00261B7A">
        <w:t>Table 11.1.2</w:t>
      </w:r>
      <w:r w:rsidRPr="00261B7A">
        <w:tab/>
        <w:t>New Zealand’s emissions for 2021 by greenhouse gas source category</w:t>
      </w:r>
      <w:bookmarkEnd w:id="2920"/>
      <w:bookmarkEnd w:id="2921"/>
      <w:bookmarkEnd w:id="2922"/>
      <w:bookmarkEnd w:id="2923"/>
      <w:bookmarkEnd w:id="2924"/>
      <w:bookmarkEnd w:id="2925"/>
      <w:bookmarkEnd w:id="2926"/>
      <w:bookmarkEnd w:id="2927"/>
      <w:bookmarkEnd w:id="2928"/>
      <w:bookmarkEnd w:id="2929"/>
    </w:p>
    <w:tbl>
      <w:tblPr>
        <w:tblW w:w="8505"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4477"/>
        <w:gridCol w:w="1216"/>
        <w:gridCol w:w="1407"/>
        <w:gridCol w:w="1405"/>
      </w:tblGrid>
      <w:tr w:rsidR="006D123E" w:rsidRPr="00261B7A" w14:paraId="20AD55E2" w14:textId="77777777" w:rsidTr="009C63CA">
        <w:trPr>
          <w:tblHeader/>
        </w:trPr>
        <w:tc>
          <w:tcPr>
            <w:tcW w:w="2632" w:type="pct"/>
            <w:vMerge w:val="restart"/>
            <w:shd w:val="clear" w:color="auto" w:fill="1B556B"/>
            <w:vAlign w:val="bottom"/>
          </w:tcPr>
          <w:p w14:paraId="54CED5CC" w14:textId="77777777" w:rsidR="006D123E" w:rsidRPr="00261B7A" w:rsidRDefault="006D123E" w:rsidP="006139E5">
            <w:pPr>
              <w:pStyle w:val="TableTextBold"/>
              <w:keepNext/>
              <w:spacing w:before="50" w:after="50"/>
              <w:rPr>
                <w:bCs/>
                <w:noProof w:val="0"/>
                <w:color w:val="FFFFFF"/>
              </w:rPr>
            </w:pPr>
            <w:r w:rsidRPr="00261B7A">
              <w:rPr>
                <w:bCs/>
                <w:noProof w:val="0"/>
                <w:color w:val="FFFFFF"/>
              </w:rPr>
              <w:t>Greenhouse gas source category</w:t>
            </w:r>
          </w:p>
        </w:tc>
        <w:tc>
          <w:tcPr>
            <w:tcW w:w="2368" w:type="pct"/>
            <w:gridSpan w:val="3"/>
            <w:shd w:val="clear" w:color="auto" w:fill="1B556B"/>
            <w:vAlign w:val="bottom"/>
          </w:tcPr>
          <w:p w14:paraId="1DECCE26" w14:textId="77777777" w:rsidR="006D123E" w:rsidRPr="00261B7A" w:rsidRDefault="006D123E" w:rsidP="006139E5">
            <w:pPr>
              <w:pStyle w:val="TableTextBold"/>
              <w:keepNext/>
              <w:spacing w:after="0"/>
              <w:jc w:val="center"/>
              <w:rPr>
                <w:bCs/>
                <w:noProof w:val="0"/>
                <w:color w:val="FFFFFF"/>
              </w:rPr>
            </w:pPr>
            <w:r w:rsidRPr="00261B7A">
              <w:rPr>
                <w:bCs/>
                <w:noProof w:val="0"/>
                <w:color w:val="FFFFFF"/>
              </w:rPr>
              <w:t>Net emissions for 2021 (kt)</w:t>
            </w:r>
          </w:p>
        </w:tc>
      </w:tr>
      <w:tr w:rsidR="006D123E" w:rsidRPr="00261B7A" w14:paraId="4E065E51" w14:textId="77777777" w:rsidTr="006139E5">
        <w:tc>
          <w:tcPr>
            <w:tcW w:w="2632" w:type="pct"/>
            <w:vMerge/>
            <w:tcBorders>
              <w:bottom w:val="single" w:sz="4" w:space="0" w:color="1B556B"/>
            </w:tcBorders>
            <w:shd w:val="clear" w:color="auto" w:fill="1B556B"/>
            <w:vAlign w:val="bottom"/>
          </w:tcPr>
          <w:p w14:paraId="34C47CEB" w14:textId="77777777" w:rsidR="006D123E" w:rsidRPr="00261B7A" w:rsidRDefault="006D123E" w:rsidP="006139E5">
            <w:pPr>
              <w:pStyle w:val="TableTextBold"/>
              <w:keepNext/>
              <w:rPr>
                <w:b w:val="0"/>
                <w:bCs/>
                <w:noProof w:val="0"/>
              </w:rPr>
            </w:pPr>
          </w:p>
        </w:tc>
        <w:tc>
          <w:tcPr>
            <w:tcW w:w="715" w:type="pct"/>
            <w:tcBorders>
              <w:bottom w:val="single" w:sz="4" w:space="0" w:color="1B556B"/>
            </w:tcBorders>
            <w:shd w:val="clear" w:color="auto" w:fill="1B556B"/>
            <w:vAlign w:val="bottom"/>
          </w:tcPr>
          <w:p w14:paraId="70F91796" w14:textId="77777777" w:rsidR="006D123E" w:rsidRPr="00261B7A" w:rsidRDefault="006D123E" w:rsidP="006139E5">
            <w:pPr>
              <w:pStyle w:val="TableTextBold"/>
              <w:keepNext/>
              <w:spacing w:before="50" w:after="50"/>
              <w:jc w:val="center"/>
              <w:rPr>
                <w:noProof w:val="0"/>
                <w:color w:val="FFFFFF"/>
              </w:rPr>
            </w:pPr>
            <w:r w:rsidRPr="00261B7A">
              <w:rPr>
                <w:noProof w:val="0"/>
                <w:color w:val="FFFFFF"/>
              </w:rPr>
              <w:t>Source form</w:t>
            </w:r>
          </w:p>
        </w:tc>
        <w:tc>
          <w:tcPr>
            <w:tcW w:w="827" w:type="pct"/>
            <w:tcBorders>
              <w:bottom w:val="single" w:sz="4" w:space="0" w:color="1B556B"/>
            </w:tcBorders>
            <w:shd w:val="clear" w:color="auto" w:fill="1B556B"/>
            <w:vAlign w:val="bottom"/>
          </w:tcPr>
          <w:p w14:paraId="1F0ADBFE" w14:textId="77777777" w:rsidR="006D123E" w:rsidRPr="00261B7A" w:rsidRDefault="006D123E" w:rsidP="006139E5">
            <w:pPr>
              <w:pStyle w:val="TableTextBold"/>
              <w:keepNext/>
              <w:spacing w:before="50" w:after="50"/>
              <w:jc w:val="center"/>
              <w:rPr>
                <w:noProof w:val="0"/>
                <w:color w:val="FFFFFF"/>
              </w:rPr>
            </w:pPr>
            <w:r w:rsidRPr="00261B7A">
              <w:rPr>
                <w:noProof w:val="0"/>
                <w:color w:val="FFFFFF"/>
              </w:rPr>
              <w:t>Source emission</w:t>
            </w:r>
          </w:p>
        </w:tc>
        <w:tc>
          <w:tcPr>
            <w:tcW w:w="826" w:type="pct"/>
            <w:tcBorders>
              <w:bottom w:val="single" w:sz="4" w:space="0" w:color="1B556B"/>
            </w:tcBorders>
            <w:shd w:val="clear" w:color="auto" w:fill="1B556B"/>
            <w:vAlign w:val="bottom"/>
          </w:tcPr>
          <w:p w14:paraId="7EA6548B" w14:textId="77777777" w:rsidR="006D123E" w:rsidRPr="00261B7A" w:rsidRDefault="006D123E" w:rsidP="006139E5">
            <w:pPr>
              <w:pStyle w:val="TableTextBold"/>
              <w:keepNext/>
              <w:spacing w:before="50" w:after="50"/>
              <w:jc w:val="center"/>
              <w:rPr>
                <w:noProof w:val="0"/>
                <w:color w:val="FFFFFF"/>
              </w:rPr>
            </w:pPr>
            <w:r w:rsidRPr="00261B7A">
              <w:rPr>
                <w:noProof w:val="0"/>
                <w:color w:val="FFFFFF"/>
              </w:rPr>
              <w:t>CO</w:t>
            </w:r>
            <w:r w:rsidRPr="00261B7A">
              <w:rPr>
                <w:noProof w:val="0"/>
                <w:color w:val="FFFFFF"/>
                <w:vertAlign w:val="subscript"/>
              </w:rPr>
              <w:t>2</w:t>
            </w:r>
            <w:r w:rsidRPr="00261B7A">
              <w:rPr>
                <w:noProof w:val="0"/>
                <w:color w:val="FFFFFF"/>
              </w:rPr>
              <w:t>-equivalent</w:t>
            </w:r>
          </w:p>
        </w:tc>
      </w:tr>
      <w:tr w:rsidR="006D123E" w:rsidRPr="00261B7A" w14:paraId="4240CF71" w14:textId="77777777" w:rsidTr="006139E5">
        <w:tc>
          <w:tcPr>
            <w:tcW w:w="2632" w:type="pct"/>
            <w:tcBorders>
              <w:top w:val="single" w:sz="4" w:space="0" w:color="1B556B"/>
            </w:tcBorders>
            <w:shd w:val="clear" w:color="auto" w:fill="auto"/>
            <w:vAlign w:val="center"/>
          </w:tcPr>
          <w:p w14:paraId="655D3326" w14:textId="77777777" w:rsidR="006D123E" w:rsidRPr="00261B7A" w:rsidRDefault="006D123E" w:rsidP="009C63CA">
            <w:pPr>
              <w:pStyle w:val="TableText"/>
              <w:spacing w:before="50" w:after="50"/>
              <w:rPr>
                <w:bCs/>
              </w:rPr>
            </w:pPr>
            <w:r w:rsidRPr="00261B7A">
              <w:rPr>
                <w:bCs/>
              </w:rPr>
              <w:t>Emissions from afforestation and reforestation</w:t>
            </w:r>
          </w:p>
        </w:tc>
        <w:tc>
          <w:tcPr>
            <w:tcW w:w="715" w:type="pct"/>
            <w:tcBorders>
              <w:top w:val="single" w:sz="4" w:space="0" w:color="1B556B"/>
            </w:tcBorders>
            <w:shd w:val="clear" w:color="auto" w:fill="auto"/>
            <w:vAlign w:val="center"/>
          </w:tcPr>
          <w:p w14:paraId="43801DF5" w14:textId="77777777" w:rsidR="006D123E" w:rsidRPr="00261B7A" w:rsidRDefault="006D123E" w:rsidP="009C63CA">
            <w:pPr>
              <w:pStyle w:val="TableText"/>
              <w:spacing w:before="50" w:after="50"/>
              <w:jc w:val="center"/>
            </w:pPr>
            <w:r w:rsidRPr="00261B7A">
              <w:t>CO</w:t>
            </w:r>
            <w:r w:rsidRPr="00261B7A">
              <w:rPr>
                <w:vertAlign w:val="subscript"/>
              </w:rPr>
              <w:t>2</w:t>
            </w:r>
          </w:p>
        </w:tc>
        <w:tc>
          <w:tcPr>
            <w:tcW w:w="827" w:type="pct"/>
            <w:tcBorders>
              <w:top w:val="single" w:sz="4" w:space="0" w:color="1B556B"/>
            </w:tcBorders>
            <w:shd w:val="clear" w:color="auto" w:fill="auto"/>
            <w:vAlign w:val="center"/>
          </w:tcPr>
          <w:p w14:paraId="250A2216" w14:textId="77777777" w:rsidR="006D123E" w:rsidRPr="00261B7A" w:rsidRDefault="006D123E" w:rsidP="009C63CA">
            <w:pPr>
              <w:pStyle w:val="TableText"/>
              <w:spacing w:before="50" w:after="50"/>
              <w:jc w:val="right"/>
              <w:rPr>
                <w:rFonts w:cs="Calibri"/>
              </w:rPr>
            </w:pPr>
            <w:r w:rsidRPr="00261B7A">
              <w:rPr>
                <w:rFonts w:cs="Calibri"/>
                <w:color w:val="000000"/>
                <w:szCs w:val="16"/>
              </w:rPr>
              <w:t>–11,607.1</w:t>
            </w:r>
          </w:p>
        </w:tc>
        <w:tc>
          <w:tcPr>
            <w:tcW w:w="826" w:type="pct"/>
            <w:tcBorders>
              <w:top w:val="single" w:sz="4" w:space="0" w:color="1B556B"/>
            </w:tcBorders>
            <w:shd w:val="clear" w:color="auto" w:fill="auto"/>
            <w:vAlign w:val="center"/>
          </w:tcPr>
          <w:p w14:paraId="10CA76EB" w14:textId="77777777" w:rsidR="006D123E" w:rsidRPr="00261B7A" w:rsidRDefault="006D123E" w:rsidP="009C63CA">
            <w:pPr>
              <w:pStyle w:val="TableText"/>
              <w:spacing w:before="50" w:after="50"/>
              <w:jc w:val="right"/>
              <w:rPr>
                <w:rFonts w:cs="Calibri"/>
              </w:rPr>
            </w:pPr>
            <w:r w:rsidRPr="00261B7A">
              <w:rPr>
                <w:rFonts w:cs="Calibri"/>
                <w:color w:val="000000"/>
                <w:szCs w:val="16"/>
              </w:rPr>
              <w:t>–11,607.1</w:t>
            </w:r>
          </w:p>
        </w:tc>
      </w:tr>
      <w:tr w:rsidR="006D123E" w:rsidRPr="00261B7A" w14:paraId="467A41AA" w14:textId="77777777" w:rsidTr="009C63CA">
        <w:tc>
          <w:tcPr>
            <w:tcW w:w="2632" w:type="pct"/>
            <w:shd w:val="clear" w:color="auto" w:fill="auto"/>
            <w:vAlign w:val="center"/>
          </w:tcPr>
          <w:p w14:paraId="4B62F31F" w14:textId="77777777" w:rsidR="006D123E" w:rsidRPr="00261B7A" w:rsidRDefault="006D123E" w:rsidP="009C63CA">
            <w:pPr>
              <w:pStyle w:val="TableText"/>
              <w:spacing w:before="50" w:after="50"/>
              <w:rPr>
                <w:bCs/>
              </w:rPr>
            </w:pPr>
            <w:r w:rsidRPr="00261B7A">
              <w:rPr>
                <w:bCs/>
              </w:rPr>
              <w:t>Emissions from deforestation</w:t>
            </w:r>
          </w:p>
        </w:tc>
        <w:tc>
          <w:tcPr>
            <w:tcW w:w="715" w:type="pct"/>
            <w:shd w:val="clear" w:color="auto" w:fill="auto"/>
            <w:vAlign w:val="center"/>
          </w:tcPr>
          <w:p w14:paraId="2E15DAA2" w14:textId="77777777" w:rsidR="006D123E" w:rsidRPr="00261B7A" w:rsidRDefault="006D123E" w:rsidP="009C63CA">
            <w:pPr>
              <w:pStyle w:val="TableText"/>
              <w:spacing w:before="50" w:after="50"/>
              <w:jc w:val="center"/>
            </w:pPr>
            <w:r w:rsidRPr="00261B7A">
              <w:t>CO</w:t>
            </w:r>
            <w:r w:rsidRPr="00261B7A">
              <w:rPr>
                <w:vertAlign w:val="subscript"/>
              </w:rPr>
              <w:t>2</w:t>
            </w:r>
          </w:p>
        </w:tc>
        <w:tc>
          <w:tcPr>
            <w:tcW w:w="827" w:type="pct"/>
            <w:shd w:val="clear" w:color="auto" w:fill="auto"/>
            <w:vAlign w:val="center"/>
          </w:tcPr>
          <w:p w14:paraId="177141AF" w14:textId="77777777" w:rsidR="006D123E" w:rsidRPr="00261B7A" w:rsidRDefault="006D123E" w:rsidP="009C63CA">
            <w:pPr>
              <w:pStyle w:val="TableText"/>
              <w:spacing w:before="50" w:after="50"/>
              <w:jc w:val="right"/>
              <w:rPr>
                <w:rFonts w:cs="Calibri"/>
              </w:rPr>
            </w:pPr>
            <w:r w:rsidRPr="00261B7A">
              <w:rPr>
                <w:rFonts w:cs="Calibri"/>
                <w:color w:val="000000"/>
                <w:szCs w:val="16"/>
              </w:rPr>
              <w:t>1,349.6</w:t>
            </w:r>
          </w:p>
        </w:tc>
        <w:tc>
          <w:tcPr>
            <w:tcW w:w="826" w:type="pct"/>
            <w:shd w:val="clear" w:color="auto" w:fill="auto"/>
            <w:vAlign w:val="center"/>
          </w:tcPr>
          <w:p w14:paraId="6EF19F54" w14:textId="77777777" w:rsidR="006D123E" w:rsidRPr="00261B7A" w:rsidRDefault="006D123E" w:rsidP="009C63CA">
            <w:pPr>
              <w:pStyle w:val="TableText"/>
              <w:spacing w:before="50" w:after="50"/>
              <w:jc w:val="right"/>
              <w:rPr>
                <w:rFonts w:cs="Calibri"/>
              </w:rPr>
            </w:pPr>
            <w:r w:rsidRPr="00261B7A">
              <w:rPr>
                <w:rFonts w:cs="Calibri"/>
                <w:color w:val="000000"/>
                <w:szCs w:val="16"/>
              </w:rPr>
              <w:t>1,349.6</w:t>
            </w:r>
          </w:p>
        </w:tc>
      </w:tr>
      <w:tr w:rsidR="006D123E" w:rsidRPr="00261B7A" w14:paraId="6E9BEE1E" w14:textId="77777777" w:rsidTr="009C63CA">
        <w:tc>
          <w:tcPr>
            <w:tcW w:w="2632" w:type="pct"/>
            <w:shd w:val="clear" w:color="auto" w:fill="auto"/>
            <w:vAlign w:val="center"/>
          </w:tcPr>
          <w:p w14:paraId="5B36032D" w14:textId="77777777" w:rsidR="006D123E" w:rsidRPr="00261B7A" w:rsidRDefault="006D123E" w:rsidP="009C63CA">
            <w:pPr>
              <w:pStyle w:val="TableText"/>
              <w:spacing w:before="50" w:after="50"/>
              <w:rPr>
                <w:bCs/>
              </w:rPr>
            </w:pPr>
            <w:r w:rsidRPr="00261B7A">
              <w:rPr>
                <w:bCs/>
              </w:rPr>
              <w:t>Emissions from forest management activities</w:t>
            </w:r>
          </w:p>
        </w:tc>
        <w:tc>
          <w:tcPr>
            <w:tcW w:w="715" w:type="pct"/>
            <w:shd w:val="clear" w:color="auto" w:fill="auto"/>
            <w:vAlign w:val="center"/>
          </w:tcPr>
          <w:p w14:paraId="4224CF2E" w14:textId="77777777" w:rsidR="006D123E" w:rsidRPr="00261B7A" w:rsidRDefault="006D123E" w:rsidP="009C63CA">
            <w:pPr>
              <w:pStyle w:val="TableText"/>
              <w:spacing w:before="50" w:after="50"/>
              <w:jc w:val="center"/>
            </w:pPr>
            <w:r w:rsidRPr="00261B7A">
              <w:t>CO</w:t>
            </w:r>
            <w:r w:rsidRPr="00261B7A">
              <w:rPr>
                <w:vertAlign w:val="subscript"/>
              </w:rPr>
              <w:t>2</w:t>
            </w:r>
          </w:p>
        </w:tc>
        <w:tc>
          <w:tcPr>
            <w:tcW w:w="827" w:type="pct"/>
            <w:shd w:val="clear" w:color="auto" w:fill="auto"/>
            <w:vAlign w:val="center"/>
          </w:tcPr>
          <w:p w14:paraId="192CFEE4" w14:textId="77777777" w:rsidR="006D123E" w:rsidRPr="00261B7A" w:rsidRDefault="006D123E" w:rsidP="009C63CA">
            <w:pPr>
              <w:pStyle w:val="TableText"/>
              <w:spacing w:before="50" w:after="50"/>
              <w:jc w:val="right"/>
              <w:rPr>
                <w:rFonts w:cs="Calibri"/>
                <w:highlight w:val="red"/>
              </w:rPr>
            </w:pPr>
            <w:r w:rsidRPr="00261B7A">
              <w:rPr>
                <w:rFonts w:cs="Calibri"/>
                <w:color w:val="000000"/>
                <w:szCs w:val="16"/>
              </w:rPr>
              <w:t>–16,832.5</w:t>
            </w:r>
          </w:p>
        </w:tc>
        <w:tc>
          <w:tcPr>
            <w:tcW w:w="826" w:type="pct"/>
            <w:shd w:val="clear" w:color="auto" w:fill="auto"/>
            <w:vAlign w:val="center"/>
          </w:tcPr>
          <w:p w14:paraId="6E3B28DF" w14:textId="77777777" w:rsidR="006D123E" w:rsidRPr="00261B7A" w:rsidRDefault="006D123E" w:rsidP="009C63CA">
            <w:pPr>
              <w:pStyle w:val="TableText"/>
              <w:spacing w:before="50" w:after="50"/>
              <w:jc w:val="right"/>
              <w:rPr>
                <w:rFonts w:cs="Calibri"/>
                <w:highlight w:val="red"/>
              </w:rPr>
            </w:pPr>
            <w:r w:rsidRPr="00261B7A">
              <w:rPr>
                <w:rFonts w:cs="Calibri"/>
                <w:color w:val="000000"/>
                <w:szCs w:val="16"/>
              </w:rPr>
              <w:t>–16,832.5</w:t>
            </w:r>
          </w:p>
        </w:tc>
      </w:tr>
      <w:tr w:rsidR="006D123E" w:rsidRPr="00261B7A" w14:paraId="4DC44EE5" w14:textId="77777777" w:rsidTr="009C63CA">
        <w:tc>
          <w:tcPr>
            <w:tcW w:w="2632" w:type="pct"/>
            <w:shd w:val="clear" w:color="auto" w:fill="auto"/>
          </w:tcPr>
          <w:p w14:paraId="6F0ADF85" w14:textId="77777777" w:rsidR="006D123E" w:rsidRPr="00261B7A" w:rsidRDefault="006D123E" w:rsidP="009C63CA">
            <w:pPr>
              <w:pStyle w:val="TableText"/>
              <w:spacing w:before="50" w:after="50"/>
              <w:rPr>
                <w:bCs/>
              </w:rPr>
            </w:pPr>
            <w:r w:rsidRPr="00261B7A">
              <w:rPr>
                <w:bCs/>
              </w:rPr>
              <w:t>Emissions from soil nitrogen associated with land-use change</w:t>
            </w:r>
          </w:p>
        </w:tc>
        <w:tc>
          <w:tcPr>
            <w:tcW w:w="715" w:type="pct"/>
            <w:shd w:val="clear" w:color="auto" w:fill="auto"/>
          </w:tcPr>
          <w:p w14:paraId="0F2DDD71" w14:textId="77777777" w:rsidR="006D123E" w:rsidRPr="00261B7A" w:rsidRDefault="006D123E" w:rsidP="009C63CA">
            <w:pPr>
              <w:pStyle w:val="TableText"/>
              <w:spacing w:before="50" w:after="50"/>
              <w:jc w:val="center"/>
            </w:pPr>
            <w:r w:rsidRPr="00261B7A">
              <w:t>N</w:t>
            </w:r>
            <w:r w:rsidRPr="00261B7A">
              <w:rPr>
                <w:vertAlign w:val="subscript"/>
              </w:rPr>
              <w:t>2</w:t>
            </w:r>
            <w:r w:rsidRPr="00261B7A">
              <w:t>O</w:t>
            </w:r>
          </w:p>
        </w:tc>
        <w:tc>
          <w:tcPr>
            <w:tcW w:w="827" w:type="pct"/>
            <w:shd w:val="clear" w:color="auto" w:fill="auto"/>
            <w:vAlign w:val="center"/>
          </w:tcPr>
          <w:p w14:paraId="6D94EFB8" w14:textId="77777777" w:rsidR="006D123E" w:rsidRPr="00261B7A" w:rsidRDefault="006D123E" w:rsidP="009C63CA">
            <w:pPr>
              <w:pStyle w:val="TableText"/>
              <w:spacing w:before="50" w:after="50"/>
              <w:jc w:val="right"/>
              <w:rPr>
                <w:rFonts w:cs="Calibri"/>
              </w:rPr>
            </w:pPr>
            <w:r w:rsidRPr="00261B7A">
              <w:rPr>
                <w:rFonts w:cs="Calibri"/>
              </w:rPr>
              <w:t>0.7</w:t>
            </w:r>
          </w:p>
        </w:tc>
        <w:tc>
          <w:tcPr>
            <w:tcW w:w="826" w:type="pct"/>
            <w:shd w:val="clear" w:color="auto" w:fill="auto"/>
            <w:vAlign w:val="center"/>
          </w:tcPr>
          <w:p w14:paraId="05BD647A" w14:textId="77777777" w:rsidR="006D123E" w:rsidRPr="00261B7A" w:rsidRDefault="006D123E" w:rsidP="009C63CA">
            <w:pPr>
              <w:pStyle w:val="TableText"/>
              <w:spacing w:before="50" w:after="50"/>
              <w:jc w:val="right"/>
              <w:rPr>
                <w:rFonts w:cs="Calibri"/>
              </w:rPr>
            </w:pPr>
            <w:r w:rsidRPr="00261B7A">
              <w:rPr>
                <w:rFonts w:cs="Calibri"/>
              </w:rPr>
              <w:t>204.4</w:t>
            </w:r>
          </w:p>
        </w:tc>
      </w:tr>
      <w:tr w:rsidR="006D123E" w:rsidRPr="00261B7A" w14:paraId="18D6EBE1" w14:textId="77777777" w:rsidTr="009C63CA">
        <w:tc>
          <w:tcPr>
            <w:tcW w:w="2632" w:type="pct"/>
            <w:shd w:val="clear" w:color="auto" w:fill="auto"/>
            <w:vAlign w:val="center"/>
          </w:tcPr>
          <w:p w14:paraId="7F139854" w14:textId="77777777" w:rsidR="006D123E" w:rsidRPr="00261B7A" w:rsidRDefault="006D123E" w:rsidP="009C63CA">
            <w:pPr>
              <w:pStyle w:val="TableText"/>
              <w:spacing w:before="50" w:after="50"/>
              <w:rPr>
                <w:bCs/>
              </w:rPr>
            </w:pPr>
            <w:r w:rsidRPr="00261B7A">
              <w:rPr>
                <w:bCs/>
              </w:rPr>
              <w:t xml:space="preserve">Biomass burning </w:t>
            </w:r>
          </w:p>
        </w:tc>
        <w:tc>
          <w:tcPr>
            <w:tcW w:w="715" w:type="pct"/>
            <w:shd w:val="clear" w:color="auto" w:fill="auto"/>
            <w:vAlign w:val="center"/>
          </w:tcPr>
          <w:p w14:paraId="2DC7D95C" w14:textId="77777777" w:rsidR="006D123E" w:rsidRPr="00261B7A" w:rsidRDefault="006D123E" w:rsidP="009C63CA">
            <w:pPr>
              <w:pStyle w:val="TableText"/>
              <w:spacing w:before="50" w:after="50"/>
              <w:jc w:val="center"/>
            </w:pPr>
            <w:r w:rsidRPr="00261B7A">
              <w:t>CH</w:t>
            </w:r>
            <w:r w:rsidRPr="00261B7A">
              <w:rPr>
                <w:vertAlign w:val="subscript"/>
              </w:rPr>
              <w:t>4</w:t>
            </w:r>
          </w:p>
        </w:tc>
        <w:tc>
          <w:tcPr>
            <w:tcW w:w="827" w:type="pct"/>
            <w:shd w:val="clear" w:color="auto" w:fill="auto"/>
            <w:vAlign w:val="center"/>
          </w:tcPr>
          <w:p w14:paraId="66EA6839" w14:textId="77777777" w:rsidR="006D123E" w:rsidRPr="00261B7A" w:rsidRDefault="006D123E" w:rsidP="009C63CA">
            <w:pPr>
              <w:pStyle w:val="TableText"/>
              <w:spacing w:before="50" w:after="50"/>
              <w:jc w:val="right"/>
              <w:rPr>
                <w:rFonts w:cs="Calibri"/>
              </w:rPr>
            </w:pPr>
            <w:r w:rsidRPr="00261B7A">
              <w:rPr>
                <w:rFonts w:cs="Calibri"/>
                <w:color w:val="000000"/>
                <w:szCs w:val="16"/>
              </w:rPr>
              <w:t>0.8</w:t>
            </w:r>
          </w:p>
        </w:tc>
        <w:tc>
          <w:tcPr>
            <w:tcW w:w="826" w:type="pct"/>
            <w:shd w:val="clear" w:color="auto" w:fill="auto"/>
            <w:vAlign w:val="center"/>
          </w:tcPr>
          <w:p w14:paraId="49AD4FB0" w14:textId="77777777" w:rsidR="006D123E" w:rsidRPr="00261B7A" w:rsidRDefault="006D123E" w:rsidP="009C63CA">
            <w:pPr>
              <w:pStyle w:val="TableText"/>
              <w:spacing w:before="50" w:after="50"/>
              <w:jc w:val="right"/>
              <w:rPr>
                <w:rFonts w:cs="Calibri"/>
              </w:rPr>
            </w:pPr>
            <w:r w:rsidRPr="00261B7A">
              <w:rPr>
                <w:rFonts w:cs="Calibri"/>
              </w:rPr>
              <w:t>20.9</w:t>
            </w:r>
          </w:p>
        </w:tc>
      </w:tr>
      <w:tr w:rsidR="006D123E" w:rsidRPr="00261B7A" w14:paraId="43AE2A5C" w14:textId="77777777" w:rsidTr="009C63CA">
        <w:tc>
          <w:tcPr>
            <w:tcW w:w="2632" w:type="pct"/>
            <w:shd w:val="clear" w:color="auto" w:fill="auto"/>
            <w:vAlign w:val="center"/>
          </w:tcPr>
          <w:p w14:paraId="0823E185" w14:textId="77777777" w:rsidR="006D123E" w:rsidRPr="00261B7A" w:rsidRDefault="006D123E" w:rsidP="009C63CA">
            <w:pPr>
              <w:pStyle w:val="TableText"/>
              <w:spacing w:before="50" w:after="50"/>
              <w:rPr>
                <w:bCs/>
              </w:rPr>
            </w:pPr>
            <w:r w:rsidRPr="00261B7A">
              <w:rPr>
                <w:bCs/>
              </w:rPr>
              <w:t xml:space="preserve">Biomass burning </w:t>
            </w:r>
          </w:p>
        </w:tc>
        <w:tc>
          <w:tcPr>
            <w:tcW w:w="715" w:type="pct"/>
            <w:shd w:val="clear" w:color="auto" w:fill="auto"/>
            <w:vAlign w:val="center"/>
          </w:tcPr>
          <w:p w14:paraId="638F696E" w14:textId="77777777" w:rsidR="006D123E" w:rsidRPr="00261B7A" w:rsidRDefault="006D123E" w:rsidP="009C63CA">
            <w:pPr>
              <w:pStyle w:val="TableText"/>
              <w:spacing w:before="50" w:after="50"/>
              <w:jc w:val="center"/>
            </w:pPr>
            <w:r w:rsidRPr="00261B7A">
              <w:t>N</w:t>
            </w:r>
            <w:r w:rsidRPr="00261B7A">
              <w:rPr>
                <w:vertAlign w:val="subscript"/>
              </w:rPr>
              <w:t>2</w:t>
            </w:r>
            <w:r w:rsidRPr="00261B7A">
              <w:t>O</w:t>
            </w:r>
          </w:p>
        </w:tc>
        <w:tc>
          <w:tcPr>
            <w:tcW w:w="827" w:type="pct"/>
            <w:shd w:val="clear" w:color="auto" w:fill="auto"/>
            <w:vAlign w:val="center"/>
          </w:tcPr>
          <w:p w14:paraId="0FCC910F" w14:textId="77777777" w:rsidR="006D123E" w:rsidRPr="00261B7A" w:rsidRDefault="006D123E" w:rsidP="009C63CA">
            <w:pPr>
              <w:pStyle w:val="TableText"/>
              <w:spacing w:before="50" w:after="50"/>
              <w:jc w:val="right"/>
              <w:rPr>
                <w:rFonts w:cs="Calibri"/>
              </w:rPr>
            </w:pPr>
            <w:r w:rsidRPr="00261B7A">
              <w:rPr>
                <w:rFonts w:cs="Calibri"/>
                <w:color w:val="000000"/>
                <w:szCs w:val="16"/>
              </w:rPr>
              <w:t>0.0</w:t>
            </w:r>
          </w:p>
        </w:tc>
        <w:tc>
          <w:tcPr>
            <w:tcW w:w="826" w:type="pct"/>
            <w:shd w:val="clear" w:color="auto" w:fill="auto"/>
            <w:vAlign w:val="center"/>
          </w:tcPr>
          <w:p w14:paraId="35E595BC" w14:textId="77777777" w:rsidR="006D123E" w:rsidRPr="00261B7A" w:rsidRDefault="006D123E" w:rsidP="009C63CA">
            <w:pPr>
              <w:pStyle w:val="TableText"/>
              <w:spacing w:before="50" w:after="50"/>
              <w:jc w:val="right"/>
              <w:rPr>
                <w:rFonts w:cs="Calibri"/>
              </w:rPr>
            </w:pPr>
            <w:r w:rsidRPr="00261B7A">
              <w:rPr>
                <w:rFonts w:cs="Calibri"/>
              </w:rPr>
              <w:t>10.3</w:t>
            </w:r>
          </w:p>
        </w:tc>
      </w:tr>
      <w:tr w:rsidR="006D123E" w:rsidRPr="00261B7A" w14:paraId="104E0142" w14:textId="77777777" w:rsidTr="009C63CA">
        <w:tc>
          <w:tcPr>
            <w:tcW w:w="2632" w:type="pct"/>
            <w:shd w:val="clear" w:color="auto" w:fill="auto"/>
            <w:vAlign w:val="center"/>
          </w:tcPr>
          <w:p w14:paraId="0B9BD5D4" w14:textId="77777777" w:rsidR="006D123E" w:rsidRPr="00261B7A" w:rsidRDefault="006D123E" w:rsidP="009C63CA">
            <w:pPr>
              <w:pStyle w:val="Tableboldblue"/>
              <w:spacing w:before="50" w:after="50"/>
            </w:pPr>
            <w:r w:rsidRPr="00261B7A">
              <w:t>Net emissions</w:t>
            </w:r>
          </w:p>
        </w:tc>
        <w:tc>
          <w:tcPr>
            <w:tcW w:w="715" w:type="pct"/>
            <w:shd w:val="clear" w:color="auto" w:fill="auto"/>
            <w:vAlign w:val="center"/>
          </w:tcPr>
          <w:p w14:paraId="7466E7A6" w14:textId="77777777" w:rsidR="006D123E" w:rsidRPr="00261B7A" w:rsidRDefault="006D123E" w:rsidP="009C63CA">
            <w:pPr>
              <w:pStyle w:val="Tableboldblue"/>
              <w:spacing w:before="50" w:after="50"/>
              <w:jc w:val="right"/>
            </w:pPr>
          </w:p>
        </w:tc>
        <w:tc>
          <w:tcPr>
            <w:tcW w:w="827" w:type="pct"/>
            <w:shd w:val="clear" w:color="auto" w:fill="auto"/>
          </w:tcPr>
          <w:p w14:paraId="2AD1D001" w14:textId="77777777" w:rsidR="006D123E" w:rsidRPr="00261B7A" w:rsidRDefault="006D123E" w:rsidP="009C63CA">
            <w:pPr>
              <w:pStyle w:val="Tableboldblue"/>
              <w:spacing w:before="50" w:after="50"/>
              <w:jc w:val="right"/>
              <w:rPr>
                <w:rFonts w:cs="Calibri"/>
              </w:rPr>
            </w:pPr>
          </w:p>
        </w:tc>
        <w:tc>
          <w:tcPr>
            <w:tcW w:w="826" w:type="pct"/>
            <w:shd w:val="clear" w:color="auto" w:fill="auto"/>
            <w:vAlign w:val="center"/>
          </w:tcPr>
          <w:p w14:paraId="4E258437" w14:textId="77777777" w:rsidR="006D123E" w:rsidRPr="00261B7A" w:rsidRDefault="006D123E" w:rsidP="009C63CA">
            <w:pPr>
              <w:pStyle w:val="Tableboldblue"/>
              <w:spacing w:before="50" w:after="50"/>
              <w:jc w:val="right"/>
              <w:rPr>
                <w:rFonts w:cs="Calibri"/>
              </w:rPr>
            </w:pPr>
            <w:r w:rsidRPr="00261B7A">
              <w:rPr>
                <w:rFonts w:cs="Calibri"/>
                <w:color w:val="365F91"/>
                <w:szCs w:val="16"/>
              </w:rPr>
              <w:t>–26,854.5</w:t>
            </w:r>
          </w:p>
        </w:tc>
      </w:tr>
    </w:tbl>
    <w:p w14:paraId="1B92FB33" w14:textId="77777777" w:rsidR="006D123E" w:rsidRPr="00261B7A" w:rsidRDefault="006D123E" w:rsidP="006D123E">
      <w:pPr>
        <w:pStyle w:val="Noteundertable"/>
      </w:pPr>
      <w:r w:rsidRPr="00261B7A">
        <w:rPr>
          <w:b/>
        </w:rPr>
        <w:t>Note:</w:t>
      </w:r>
      <w:r w:rsidRPr="00261B7A">
        <w:tab/>
        <w:t>Columns may not total due to rounding.</w:t>
      </w:r>
    </w:p>
    <w:p w14:paraId="70BB8C2C" w14:textId="77777777" w:rsidR="006D123E" w:rsidRPr="00261B7A" w:rsidRDefault="006D123E" w:rsidP="006D123E">
      <w:pPr>
        <w:pStyle w:val="Heading5"/>
      </w:pPr>
      <w:r w:rsidRPr="00261B7A">
        <w:t>Key categories</w:t>
      </w:r>
    </w:p>
    <w:p w14:paraId="65FD5A1C" w14:textId="77777777" w:rsidR="006D123E" w:rsidRPr="00261B7A" w:rsidRDefault="006D123E" w:rsidP="006D123E">
      <w:pPr>
        <w:pStyle w:val="BodyText"/>
        <w:spacing w:before="100" w:after="100"/>
      </w:pPr>
      <w:r w:rsidRPr="00261B7A">
        <w:rPr>
          <w:i/>
          <w:iCs/>
        </w:rPr>
        <w:t>Afforestation and reforestation</w:t>
      </w:r>
      <w:r w:rsidRPr="00261B7A">
        <w:t xml:space="preserve">, </w:t>
      </w:r>
      <w:r w:rsidRPr="00261B7A">
        <w:rPr>
          <w:i/>
          <w:iCs/>
        </w:rPr>
        <w:t>Deforestation</w:t>
      </w:r>
      <w:r w:rsidRPr="00261B7A">
        <w:t xml:space="preserve"> and </w:t>
      </w:r>
      <w:r w:rsidRPr="00261B7A">
        <w:rPr>
          <w:i/>
          <w:iCs/>
        </w:rPr>
        <w:t>Forest management</w:t>
      </w:r>
      <w:r w:rsidRPr="00261B7A">
        <w:t xml:space="preserve"> are all included in key categories for New Zealand (</w:t>
      </w:r>
      <w:r w:rsidRPr="00261B7A">
        <w:rPr>
          <w:i/>
          <w:iCs/>
        </w:rPr>
        <w:t>Forest land remaining forest land</w:t>
      </w:r>
      <w:r w:rsidRPr="00261B7A">
        <w:t xml:space="preserve">, </w:t>
      </w:r>
      <w:r w:rsidRPr="00261B7A">
        <w:rPr>
          <w:i/>
          <w:iCs/>
        </w:rPr>
        <w:t>Land converted to forest land</w:t>
      </w:r>
      <w:r w:rsidRPr="00261B7A">
        <w:t xml:space="preserve"> or </w:t>
      </w:r>
      <w:r w:rsidRPr="00261B7A">
        <w:rPr>
          <w:i/>
          <w:iCs/>
        </w:rPr>
        <w:t>Land converted to grassland</w:t>
      </w:r>
      <w:r w:rsidRPr="00261B7A">
        <w:t xml:space="preserve">). See table 1.5.1, chapter 1, for more information. </w:t>
      </w:r>
    </w:p>
    <w:p w14:paraId="4376D431" w14:textId="77777777" w:rsidR="006D123E" w:rsidRPr="00261B7A" w:rsidRDefault="006D123E" w:rsidP="006D123E">
      <w:pPr>
        <w:pStyle w:val="Heading3"/>
        <w:spacing w:before="320"/>
      </w:pPr>
      <w:bookmarkStart w:id="2930" w:name="_Toc400967253"/>
      <w:r w:rsidRPr="00261B7A">
        <w:t xml:space="preserve">11.1.1 </w:t>
      </w:r>
      <w:r w:rsidRPr="00261B7A">
        <w:tab/>
        <w:t>Definitions of forest and any other criteria</w:t>
      </w:r>
      <w:bookmarkEnd w:id="2930"/>
    </w:p>
    <w:p w14:paraId="40B7247B" w14:textId="77777777" w:rsidR="006D123E" w:rsidRPr="00261B7A" w:rsidRDefault="006D123E" w:rsidP="006D123E">
      <w:pPr>
        <w:pStyle w:val="BodyText"/>
        <w:spacing w:before="100" w:after="100"/>
      </w:pPr>
      <w:r w:rsidRPr="00261B7A">
        <w:t xml:space="preserve">New Zealand is using the same </w:t>
      </w:r>
      <w:r w:rsidRPr="00261B7A">
        <w:rPr>
          <w:i/>
        </w:rPr>
        <w:t>Forest land</w:t>
      </w:r>
      <w:r w:rsidRPr="00261B7A">
        <w:t xml:space="preserve"> definition for the period to 2021 as defined in </w:t>
      </w:r>
      <w:r w:rsidRPr="00261B7A">
        <w:rPr>
          <w:i/>
        </w:rPr>
        <w:t xml:space="preserve">New Zealand’s Initial Report under the Kyoto Protocol </w:t>
      </w:r>
      <w:r w:rsidRPr="00261B7A">
        <w:t xml:space="preserve">(Ministry for the Environment, 2006). This definition is consistent with use in the LULUCF sector under the UNFCCC reporting (chapter 6). Table 11.1.3 provides the defining parameters for </w:t>
      </w:r>
      <w:r w:rsidRPr="00261B7A">
        <w:rPr>
          <w:i/>
        </w:rPr>
        <w:t>Forest land</w:t>
      </w:r>
      <w:r w:rsidRPr="00261B7A">
        <w:t>.</w:t>
      </w:r>
    </w:p>
    <w:p w14:paraId="4CFF63DD" w14:textId="77777777" w:rsidR="006D123E" w:rsidRPr="00261B7A" w:rsidRDefault="006D123E" w:rsidP="006D123E">
      <w:pPr>
        <w:pStyle w:val="Table"/>
      </w:pPr>
      <w:bookmarkStart w:id="2931" w:name="_Toc280630485"/>
      <w:bookmarkStart w:id="2932" w:name="_Toc310423442"/>
      <w:bookmarkStart w:id="2933" w:name="_Toc318362735"/>
      <w:bookmarkStart w:id="2934" w:name="_Toc342470814"/>
      <w:bookmarkStart w:id="2935" w:name="_Toc352505067"/>
      <w:bookmarkStart w:id="2936" w:name="_Toc377043703"/>
      <w:bookmarkStart w:id="2937" w:name="_Toc391023555"/>
      <w:bookmarkStart w:id="2938" w:name="_Toc414531526"/>
      <w:bookmarkStart w:id="2939" w:name="_Toc456179105"/>
      <w:bookmarkStart w:id="2940" w:name="_Toc481751631"/>
      <w:bookmarkStart w:id="2941" w:name="_Toc522010656"/>
      <w:bookmarkStart w:id="2942" w:name="_Toc5269626"/>
      <w:bookmarkStart w:id="2943" w:name="_Toc36224708"/>
      <w:bookmarkStart w:id="2944" w:name="_Toc64987043"/>
      <w:bookmarkStart w:id="2945" w:name="_Toc68786593"/>
      <w:bookmarkStart w:id="2946" w:name="_Toc95321535"/>
      <w:bookmarkStart w:id="2947" w:name="_Toc130568404"/>
      <w:bookmarkStart w:id="2948" w:name="_Toc131591497"/>
      <w:r w:rsidRPr="00261B7A">
        <w:t>Table 11.1.3</w:t>
      </w:r>
      <w:r w:rsidRPr="00261B7A">
        <w:tab/>
        <w:t xml:space="preserve">Parameters defining </w:t>
      </w:r>
      <w:r w:rsidRPr="00261B7A">
        <w:rPr>
          <w:i/>
          <w:iCs/>
        </w:rPr>
        <w:t>Forest land</w:t>
      </w:r>
      <w:r w:rsidRPr="00261B7A">
        <w:t xml:space="preserve"> in New Zealand</w:t>
      </w:r>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p>
    <w:tbl>
      <w:tblPr>
        <w:tblW w:w="8505" w:type="dxa"/>
        <w:tblBorders>
          <w:top w:val="single" w:sz="4" w:space="0" w:color="1B556B"/>
          <w:bottom w:val="single" w:sz="4" w:space="0" w:color="1B556B"/>
          <w:insideH w:val="single" w:sz="4" w:space="0" w:color="1B556B"/>
          <w:insideV w:val="single" w:sz="4" w:space="0" w:color="1B556B"/>
        </w:tblBorders>
        <w:tblLook w:val="01E0" w:firstRow="1" w:lastRow="1" w:firstColumn="1" w:lastColumn="1" w:noHBand="0" w:noVBand="0"/>
      </w:tblPr>
      <w:tblGrid>
        <w:gridCol w:w="3061"/>
        <w:gridCol w:w="2683"/>
        <w:gridCol w:w="2761"/>
      </w:tblGrid>
      <w:tr w:rsidR="006D123E" w:rsidRPr="00261B7A" w14:paraId="285E1421" w14:textId="77777777" w:rsidTr="009C63CA">
        <w:tc>
          <w:tcPr>
            <w:tcW w:w="2672" w:type="dxa"/>
            <w:shd w:val="clear" w:color="auto" w:fill="1B556B"/>
            <w:vAlign w:val="center"/>
          </w:tcPr>
          <w:p w14:paraId="7CA705AD" w14:textId="77777777" w:rsidR="006D123E" w:rsidRPr="00261B7A" w:rsidRDefault="006D123E" w:rsidP="009C63CA">
            <w:pPr>
              <w:pStyle w:val="TableTextBold"/>
              <w:rPr>
                <w:noProof w:val="0"/>
                <w:color w:val="FFFFFF"/>
                <w:szCs w:val="16"/>
              </w:rPr>
            </w:pPr>
            <w:r w:rsidRPr="00261B7A">
              <w:rPr>
                <w:noProof w:val="0"/>
                <w:color w:val="FFFFFF"/>
                <w:szCs w:val="16"/>
              </w:rPr>
              <w:t>Forest parameter</w:t>
            </w:r>
          </w:p>
        </w:tc>
        <w:tc>
          <w:tcPr>
            <w:tcW w:w="2341" w:type="dxa"/>
            <w:shd w:val="clear" w:color="auto" w:fill="1B556B"/>
            <w:vAlign w:val="center"/>
          </w:tcPr>
          <w:p w14:paraId="2E91A95F" w14:textId="77777777" w:rsidR="006D123E" w:rsidRPr="00261B7A" w:rsidRDefault="006D123E" w:rsidP="009C63CA">
            <w:pPr>
              <w:pStyle w:val="TableTextBold"/>
              <w:jc w:val="center"/>
              <w:rPr>
                <w:noProof w:val="0"/>
                <w:color w:val="FFFFFF"/>
                <w:szCs w:val="16"/>
              </w:rPr>
            </w:pPr>
            <w:r w:rsidRPr="00261B7A">
              <w:rPr>
                <w:noProof w:val="0"/>
                <w:color w:val="FFFFFF"/>
                <w:szCs w:val="16"/>
              </w:rPr>
              <w:t>Kyoto Protocol range</w:t>
            </w:r>
          </w:p>
        </w:tc>
        <w:tc>
          <w:tcPr>
            <w:tcW w:w="2409" w:type="dxa"/>
            <w:shd w:val="clear" w:color="auto" w:fill="1B556B"/>
            <w:vAlign w:val="center"/>
          </w:tcPr>
          <w:p w14:paraId="251B6E2A" w14:textId="77777777" w:rsidR="006D123E" w:rsidRPr="00261B7A" w:rsidRDefault="006D123E" w:rsidP="009C63CA">
            <w:pPr>
              <w:pStyle w:val="TableTextBold"/>
              <w:jc w:val="center"/>
              <w:rPr>
                <w:noProof w:val="0"/>
                <w:color w:val="FFFFFF"/>
                <w:szCs w:val="16"/>
              </w:rPr>
            </w:pPr>
            <w:r w:rsidRPr="00261B7A">
              <w:rPr>
                <w:noProof w:val="0"/>
                <w:color w:val="FFFFFF"/>
                <w:szCs w:val="16"/>
              </w:rPr>
              <w:t>New Zealand selected value</w:t>
            </w:r>
          </w:p>
        </w:tc>
      </w:tr>
      <w:tr w:rsidR="006D123E" w:rsidRPr="00261B7A" w14:paraId="51413FCA" w14:textId="77777777" w:rsidTr="009C63CA">
        <w:tc>
          <w:tcPr>
            <w:tcW w:w="2672" w:type="dxa"/>
            <w:shd w:val="clear" w:color="auto" w:fill="auto"/>
            <w:vAlign w:val="center"/>
          </w:tcPr>
          <w:p w14:paraId="3C370BC8" w14:textId="77777777" w:rsidR="006D123E" w:rsidRPr="00261B7A" w:rsidRDefault="006D123E" w:rsidP="009C63CA">
            <w:pPr>
              <w:pStyle w:val="TableText"/>
              <w:spacing w:before="50" w:after="50"/>
              <w:rPr>
                <w:szCs w:val="16"/>
              </w:rPr>
            </w:pPr>
            <w:r w:rsidRPr="00261B7A">
              <w:rPr>
                <w:szCs w:val="16"/>
              </w:rPr>
              <w:t>Minimum land area (ha)</w:t>
            </w:r>
          </w:p>
        </w:tc>
        <w:tc>
          <w:tcPr>
            <w:tcW w:w="2341" w:type="dxa"/>
            <w:shd w:val="clear" w:color="auto" w:fill="auto"/>
            <w:vAlign w:val="center"/>
          </w:tcPr>
          <w:p w14:paraId="26CBD0AC" w14:textId="77777777" w:rsidR="006D123E" w:rsidRPr="00261B7A" w:rsidRDefault="006D123E" w:rsidP="009C63CA">
            <w:pPr>
              <w:pStyle w:val="TableText"/>
              <w:spacing w:before="50" w:after="50"/>
              <w:jc w:val="center"/>
              <w:rPr>
                <w:szCs w:val="16"/>
              </w:rPr>
            </w:pPr>
            <w:r w:rsidRPr="00261B7A">
              <w:rPr>
                <w:szCs w:val="16"/>
              </w:rPr>
              <w:t>0.05–1</w:t>
            </w:r>
          </w:p>
        </w:tc>
        <w:tc>
          <w:tcPr>
            <w:tcW w:w="2409" w:type="dxa"/>
            <w:shd w:val="clear" w:color="auto" w:fill="auto"/>
            <w:vAlign w:val="center"/>
          </w:tcPr>
          <w:p w14:paraId="7411283A" w14:textId="77777777" w:rsidR="006D123E" w:rsidRPr="00261B7A" w:rsidRDefault="006D123E" w:rsidP="009C63CA">
            <w:pPr>
              <w:pStyle w:val="TableText"/>
              <w:spacing w:before="50" w:after="50"/>
              <w:jc w:val="center"/>
              <w:rPr>
                <w:bCs/>
                <w:szCs w:val="16"/>
              </w:rPr>
            </w:pPr>
            <w:r w:rsidRPr="00261B7A">
              <w:rPr>
                <w:bCs/>
                <w:szCs w:val="16"/>
              </w:rPr>
              <w:t>1</w:t>
            </w:r>
          </w:p>
        </w:tc>
      </w:tr>
      <w:tr w:rsidR="006D123E" w:rsidRPr="00261B7A" w14:paraId="57A10C5A" w14:textId="77777777" w:rsidTr="009C63CA">
        <w:tc>
          <w:tcPr>
            <w:tcW w:w="2672" w:type="dxa"/>
            <w:shd w:val="clear" w:color="auto" w:fill="auto"/>
            <w:vAlign w:val="center"/>
          </w:tcPr>
          <w:p w14:paraId="4F391900" w14:textId="77777777" w:rsidR="006D123E" w:rsidRPr="00261B7A" w:rsidRDefault="006D123E" w:rsidP="009C63CA">
            <w:pPr>
              <w:pStyle w:val="TableText"/>
              <w:spacing w:before="50" w:after="50"/>
              <w:rPr>
                <w:szCs w:val="16"/>
              </w:rPr>
            </w:pPr>
            <w:r w:rsidRPr="00261B7A">
              <w:rPr>
                <w:szCs w:val="16"/>
              </w:rPr>
              <w:t>Minimum crown cover (%)</w:t>
            </w:r>
          </w:p>
        </w:tc>
        <w:tc>
          <w:tcPr>
            <w:tcW w:w="2341" w:type="dxa"/>
            <w:shd w:val="clear" w:color="auto" w:fill="auto"/>
            <w:vAlign w:val="center"/>
          </w:tcPr>
          <w:p w14:paraId="5C80EF10" w14:textId="77777777" w:rsidR="006D123E" w:rsidRPr="00261B7A" w:rsidRDefault="006D123E" w:rsidP="009C63CA">
            <w:pPr>
              <w:pStyle w:val="TableText"/>
              <w:spacing w:before="50" w:after="50"/>
              <w:jc w:val="center"/>
              <w:rPr>
                <w:szCs w:val="16"/>
              </w:rPr>
            </w:pPr>
            <w:r w:rsidRPr="00261B7A">
              <w:rPr>
                <w:szCs w:val="16"/>
              </w:rPr>
              <w:t>10–30</w:t>
            </w:r>
          </w:p>
        </w:tc>
        <w:tc>
          <w:tcPr>
            <w:tcW w:w="2409" w:type="dxa"/>
            <w:shd w:val="clear" w:color="auto" w:fill="auto"/>
            <w:vAlign w:val="center"/>
          </w:tcPr>
          <w:p w14:paraId="59601F63" w14:textId="77777777" w:rsidR="006D123E" w:rsidRPr="00261B7A" w:rsidRDefault="006D123E" w:rsidP="009C63CA">
            <w:pPr>
              <w:pStyle w:val="TableText"/>
              <w:spacing w:before="50" w:after="50"/>
              <w:jc w:val="center"/>
              <w:rPr>
                <w:bCs/>
                <w:szCs w:val="16"/>
              </w:rPr>
            </w:pPr>
            <w:r w:rsidRPr="00261B7A">
              <w:rPr>
                <w:bCs/>
                <w:szCs w:val="16"/>
              </w:rPr>
              <w:t>30</w:t>
            </w:r>
          </w:p>
        </w:tc>
      </w:tr>
      <w:tr w:rsidR="006D123E" w:rsidRPr="00261B7A" w14:paraId="516A4BB4" w14:textId="77777777" w:rsidTr="009C63CA">
        <w:tc>
          <w:tcPr>
            <w:tcW w:w="2672" w:type="dxa"/>
            <w:shd w:val="clear" w:color="auto" w:fill="auto"/>
            <w:vAlign w:val="center"/>
          </w:tcPr>
          <w:p w14:paraId="5863CE68" w14:textId="77777777" w:rsidR="006D123E" w:rsidRPr="00261B7A" w:rsidRDefault="006D123E" w:rsidP="009C63CA">
            <w:pPr>
              <w:pStyle w:val="TableText"/>
              <w:spacing w:before="50" w:after="50"/>
              <w:rPr>
                <w:szCs w:val="16"/>
              </w:rPr>
            </w:pPr>
            <w:r w:rsidRPr="00261B7A">
              <w:rPr>
                <w:szCs w:val="16"/>
              </w:rPr>
              <w:t>Minimum height (m)</w:t>
            </w:r>
          </w:p>
        </w:tc>
        <w:tc>
          <w:tcPr>
            <w:tcW w:w="2341" w:type="dxa"/>
            <w:shd w:val="clear" w:color="auto" w:fill="auto"/>
            <w:vAlign w:val="center"/>
          </w:tcPr>
          <w:p w14:paraId="07F25356" w14:textId="77777777" w:rsidR="006D123E" w:rsidRPr="00261B7A" w:rsidRDefault="006D123E" w:rsidP="009C63CA">
            <w:pPr>
              <w:pStyle w:val="TableText"/>
              <w:spacing w:before="50" w:after="50"/>
              <w:jc w:val="center"/>
              <w:rPr>
                <w:bCs/>
                <w:szCs w:val="16"/>
              </w:rPr>
            </w:pPr>
            <w:r w:rsidRPr="00261B7A">
              <w:rPr>
                <w:bCs/>
                <w:szCs w:val="16"/>
              </w:rPr>
              <w:t>2–5</w:t>
            </w:r>
          </w:p>
        </w:tc>
        <w:tc>
          <w:tcPr>
            <w:tcW w:w="2409" w:type="dxa"/>
            <w:shd w:val="clear" w:color="auto" w:fill="auto"/>
            <w:vAlign w:val="center"/>
          </w:tcPr>
          <w:p w14:paraId="7673BEC4" w14:textId="77777777" w:rsidR="006D123E" w:rsidRPr="00261B7A" w:rsidRDefault="006D123E" w:rsidP="009C63CA">
            <w:pPr>
              <w:pStyle w:val="TableText"/>
              <w:spacing w:before="50" w:after="50"/>
              <w:jc w:val="center"/>
              <w:rPr>
                <w:bCs/>
                <w:szCs w:val="16"/>
              </w:rPr>
            </w:pPr>
            <w:r w:rsidRPr="00261B7A">
              <w:rPr>
                <w:bCs/>
                <w:szCs w:val="16"/>
              </w:rPr>
              <w:t>5</w:t>
            </w:r>
          </w:p>
        </w:tc>
      </w:tr>
    </w:tbl>
    <w:p w14:paraId="75E724CF" w14:textId="77777777" w:rsidR="006D123E" w:rsidRPr="00261B7A" w:rsidRDefault="006D123E" w:rsidP="006D123E">
      <w:pPr>
        <w:pStyle w:val="Noteundertable"/>
      </w:pPr>
      <w:r w:rsidRPr="00261B7A">
        <w:rPr>
          <w:b/>
        </w:rPr>
        <w:t>Note:</w:t>
      </w:r>
      <w:r w:rsidRPr="00261B7A">
        <w:tab/>
        <w:t xml:space="preserve">The range values represent the minimum forest definition values, as defined under the Kyoto Protocol, Decision 16/CMP.1 (UNFCCC, 2006). </w:t>
      </w:r>
    </w:p>
    <w:p w14:paraId="3F7C1308" w14:textId="77777777" w:rsidR="006D123E" w:rsidRPr="00261B7A" w:rsidRDefault="006D123E" w:rsidP="006D123E">
      <w:pPr>
        <w:pStyle w:val="BodyText"/>
        <w:spacing w:before="100" w:after="100"/>
      </w:pPr>
      <w:r w:rsidRPr="00261B7A">
        <w:t xml:space="preserve">New Zealand also uses a minimum forest width of 30 metres, which excludes linear shelterbelts from the </w:t>
      </w:r>
      <w:r w:rsidRPr="00261B7A">
        <w:rPr>
          <w:i/>
        </w:rPr>
        <w:t>Forest land</w:t>
      </w:r>
      <w:r w:rsidRPr="00261B7A">
        <w:t xml:space="preserve"> category. Linear shelterbelts can vary in width and height because they are trimmed and topped from time to time. Further, they form part of non</w:t>
      </w:r>
      <w:r w:rsidRPr="00261B7A">
        <w:noBreakHyphen/>
        <w:t xml:space="preserve">forest land uses, namely </w:t>
      </w:r>
      <w:r w:rsidRPr="00261B7A">
        <w:rPr>
          <w:i/>
        </w:rPr>
        <w:t>Cropland</w:t>
      </w:r>
      <w:r w:rsidRPr="00261B7A">
        <w:t xml:space="preserve"> and </w:t>
      </w:r>
      <w:r w:rsidRPr="00261B7A">
        <w:rPr>
          <w:i/>
        </w:rPr>
        <w:t>Grassland</w:t>
      </w:r>
      <w:r w:rsidRPr="00261B7A">
        <w:rPr>
          <w:iCs/>
        </w:rPr>
        <w:t>,</w:t>
      </w:r>
      <w:r w:rsidRPr="00261B7A">
        <w:t xml:space="preserve"> as shelter for crops and/or animals.</w:t>
      </w:r>
    </w:p>
    <w:p w14:paraId="15F3013C" w14:textId="77777777" w:rsidR="006D123E" w:rsidRPr="00261B7A" w:rsidRDefault="006D123E" w:rsidP="006D123E">
      <w:pPr>
        <w:pStyle w:val="BodyText"/>
        <w:spacing w:before="100" w:after="100"/>
      </w:pPr>
      <w:r w:rsidRPr="00261B7A">
        <w:t>For reporting under the Kyoto Protocol, New Zealand categorised its forests into four types: pre-1990 natural forest, pre-1990 planted forest, post-1989 planted forest and post</w:t>
      </w:r>
      <w:r w:rsidRPr="00261B7A">
        <w:noBreakHyphen/>
        <w:t xml:space="preserve">1989 natural forest. These subcategories are also used for inventory reporting on the LULUCF sector under the UNFCCC (see chapter 6). </w:t>
      </w:r>
    </w:p>
    <w:p w14:paraId="268320C8" w14:textId="77777777" w:rsidR="006D123E" w:rsidRPr="00261B7A" w:rsidRDefault="006D123E" w:rsidP="006D123E">
      <w:pPr>
        <w:pStyle w:val="BodyText"/>
        <w:spacing w:before="100" w:after="100"/>
      </w:pPr>
      <w:r w:rsidRPr="00261B7A">
        <w:t xml:space="preserve">For all post-1989 forest, emissions and removals from carbon losses and gains due to </w:t>
      </w:r>
      <w:r w:rsidRPr="00261B7A">
        <w:rPr>
          <w:i/>
        </w:rPr>
        <w:t>Afforestation and reforestation</w:t>
      </w:r>
      <w:r w:rsidRPr="00261B7A">
        <w:rPr>
          <w:rStyle w:val="FootnoteReference"/>
        </w:rPr>
        <w:footnoteReference w:id="77"/>
      </w:r>
      <w:r w:rsidRPr="00261B7A">
        <w:t xml:space="preserve"> and </w:t>
      </w:r>
      <w:r w:rsidRPr="00261B7A">
        <w:rPr>
          <w:i/>
        </w:rPr>
        <w:t xml:space="preserve">Deforestation </w:t>
      </w:r>
      <w:r w:rsidRPr="00261B7A">
        <w:t xml:space="preserve">activities are reported under Article 3.3, along with emissions from </w:t>
      </w:r>
      <w:r w:rsidRPr="00261B7A">
        <w:rPr>
          <w:i/>
        </w:rPr>
        <w:t>Deforestation</w:t>
      </w:r>
      <w:r w:rsidRPr="00261B7A">
        <w:t xml:space="preserve"> activities in pre-1990 natural and pre-1990 planted forest. For all </w:t>
      </w:r>
      <w:r w:rsidRPr="00261B7A">
        <w:rPr>
          <w:i/>
        </w:rPr>
        <w:t>Forest land</w:t>
      </w:r>
      <w:r w:rsidRPr="00261B7A">
        <w:t xml:space="preserve"> that existed on 31 December 1989, which has been categorised as either pre-1990 natural forest or pre-1990 planted forest, all emissions and removals not associated with </w:t>
      </w:r>
      <w:r w:rsidRPr="00261B7A">
        <w:rPr>
          <w:i/>
        </w:rPr>
        <w:t>Afforestation and reforestation</w:t>
      </w:r>
      <w:r w:rsidRPr="00261B7A">
        <w:t xml:space="preserve"> or </w:t>
      </w:r>
      <w:r w:rsidRPr="00261B7A">
        <w:rPr>
          <w:i/>
        </w:rPr>
        <w:t>Deforestation</w:t>
      </w:r>
      <w:r w:rsidRPr="00261B7A">
        <w:t xml:space="preserve"> activities are reported under Article 3.4 – </w:t>
      </w:r>
      <w:r w:rsidRPr="00261B7A">
        <w:rPr>
          <w:i/>
        </w:rPr>
        <w:t>Forest management</w:t>
      </w:r>
      <w:r w:rsidRPr="00261B7A">
        <w:t xml:space="preserve">. Emissions and removals from the harvest and conversion of forest plantations and establishment of new forests that satisfy the requirements of Decision 2/CMP.7, Annex para 37 (UNFCCC, 2012), are reported under Article 3.4 – </w:t>
      </w:r>
      <w:r w:rsidRPr="00261B7A">
        <w:rPr>
          <w:i/>
        </w:rPr>
        <w:t xml:space="preserve">Forest management </w:t>
      </w:r>
      <w:r w:rsidRPr="00261B7A">
        <w:t>as carbon equivalent forests.</w:t>
      </w:r>
    </w:p>
    <w:p w14:paraId="0F8D6529" w14:textId="77777777" w:rsidR="006D123E" w:rsidRPr="00261B7A" w:rsidRDefault="006D123E" w:rsidP="006D123E">
      <w:pPr>
        <w:pStyle w:val="BodyText"/>
        <w:spacing w:before="100" w:after="100"/>
      </w:pPr>
      <w:r w:rsidRPr="00261B7A">
        <w:t xml:space="preserve">The definition of forest used for reporting to the Food and Agriculture Organization is currently different from that used for reporting under the Convention and the Kyoto Protocol. For reporting to the Food and Agriculture Organization, New Zealand subdivided forests into two estates based on their biological characteristics, the management regimes applied to the forests and their respective roles and national objectives (Ministry of Agriculture and Forestry, 2002). The two estates are indigenous and planted production forest. The former estate is included within the pre-1990 natural forest as reported in this submission. The planted production forest area largely equates to the productive area in pre-1990 planted forest and post-1989 planted forest. </w:t>
      </w:r>
    </w:p>
    <w:p w14:paraId="3E6E9AD4" w14:textId="77777777" w:rsidR="006D123E" w:rsidRPr="00261B7A" w:rsidRDefault="006D123E" w:rsidP="006D123E">
      <w:pPr>
        <w:pStyle w:val="Heading3"/>
      </w:pPr>
      <w:bookmarkStart w:id="2949" w:name="_Toc261513281"/>
      <w:bookmarkStart w:id="2950" w:name="_Toc261513894"/>
      <w:bookmarkStart w:id="2951" w:name="_Toc280630384"/>
      <w:bookmarkStart w:id="2952" w:name="_Toc377043716"/>
      <w:bookmarkStart w:id="2953" w:name="_Toc400967254"/>
      <w:r w:rsidRPr="00261B7A">
        <w:t>11.1.2</w:t>
      </w:r>
      <w:r w:rsidRPr="00261B7A">
        <w:tab/>
        <w:t>Elected activities under Article 3.4</w:t>
      </w:r>
      <w:bookmarkEnd w:id="2949"/>
      <w:bookmarkEnd w:id="2950"/>
      <w:bookmarkEnd w:id="2951"/>
      <w:bookmarkEnd w:id="2952"/>
      <w:bookmarkEnd w:id="2953"/>
    </w:p>
    <w:p w14:paraId="3436950D" w14:textId="77777777" w:rsidR="006D123E" w:rsidRPr="00261B7A" w:rsidRDefault="006D123E" w:rsidP="006D123E">
      <w:pPr>
        <w:pStyle w:val="BodyText"/>
      </w:pPr>
      <w:r w:rsidRPr="00261B7A">
        <w:t>New Zealand did not elect to report on any of the voluntary activities under Article 3.4 of the Kyoto Protocol for 2021. This is consistent with the first and second commitment periods.</w:t>
      </w:r>
    </w:p>
    <w:p w14:paraId="2D00EBFD" w14:textId="77777777" w:rsidR="006D123E" w:rsidRPr="00261B7A" w:rsidRDefault="006D123E" w:rsidP="006D123E">
      <w:pPr>
        <w:pStyle w:val="Heading3"/>
      </w:pPr>
      <w:r w:rsidRPr="00261B7A">
        <w:t xml:space="preserve">11.1.3 </w:t>
      </w:r>
      <w:r w:rsidRPr="00261B7A">
        <w:tab/>
        <w:t>Election of the natural disturbance provision</w:t>
      </w:r>
    </w:p>
    <w:p w14:paraId="176A21B4" w14:textId="77777777" w:rsidR="006D123E" w:rsidRPr="00261B7A" w:rsidRDefault="006D123E" w:rsidP="006D123E">
      <w:pPr>
        <w:pStyle w:val="BodyText"/>
        <w:spacing w:before="100" w:after="100"/>
      </w:pPr>
      <w:r w:rsidRPr="00261B7A">
        <w:t>Information on how New Zealand calculated the background level for natural disturbance over the Kyoto Protocol reporting period is included in annex 5, section A5.2.</w:t>
      </w:r>
    </w:p>
    <w:p w14:paraId="5D9BB33B" w14:textId="77777777" w:rsidR="006D123E" w:rsidRPr="00261B7A" w:rsidRDefault="006D123E" w:rsidP="006D123E">
      <w:pPr>
        <w:pStyle w:val="Heading3"/>
      </w:pPr>
      <w:bookmarkStart w:id="2954" w:name="_Toc261513282"/>
      <w:bookmarkStart w:id="2955" w:name="_Toc261513895"/>
      <w:bookmarkStart w:id="2956" w:name="_Toc280630385"/>
      <w:bookmarkStart w:id="2957" w:name="_Toc377043717"/>
      <w:bookmarkStart w:id="2958" w:name="_Toc400967255"/>
      <w:r w:rsidRPr="00261B7A">
        <w:t>11.1.4</w:t>
      </w:r>
      <w:r w:rsidRPr="00261B7A">
        <w:tab/>
        <w:t>Implementation of Article 3.3</w:t>
      </w:r>
      <w:bookmarkEnd w:id="2954"/>
      <w:bookmarkEnd w:id="2955"/>
      <w:bookmarkEnd w:id="2956"/>
      <w:bookmarkEnd w:id="2957"/>
      <w:r w:rsidRPr="00261B7A">
        <w:t xml:space="preserve"> and Article 3.4</w:t>
      </w:r>
      <w:bookmarkEnd w:id="2958"/>
      <w:r w:rsidRPr="00261B7A">
        <w:t xml:space="preserve"> reporting</w:t>
      </w:r>
    </w:p>
    <w:p w14:paraId="3937CB28" w14:textId="77777777" w:rsidR="006D123E" w:rsidRPr="00261B7A" w:rsidRDefault="006D123E" w:rsidP="006D123E">
      <w:pPr>
        <w:pStyle w:val="BodyText"/>
        <w:spacing w:before="100" w:after="100"/>
      </w:pPr>
      <w:r w:rsidRPr="00261B7A">
        <w:t xml:space="preserve">New Zealand reports </w:t>
      </w:r>
      <w:r w:rsidRPr="00261B7A">
        <w:rPr>
          <w:i/>
        </w:rPr>
        <w:t>Afforestation and reforestation</w:t>
      </w:r>
      <w:r w:rsidRPr="00261B7A">
        <w:t xml:space="preserve">, </w:t>
      </w:r>
      <w:r w:rsidRPr="00261B7A">
        <w:rPr>
          <w:i/>
        </w:rPr>
        <w:t>Deforestation</w:t>
      </w:r>
      <w:r w:rsidRPr="00261B7A">
        <w:t xml:space="preserve"> and </w:t>
      </w:r>
      <w:r w:rsidRPr="00261B7A">
        <w:rPr>
          <w:i/>
        </w:rPr>
        <w:t>Forest management</w:t>
      </w:r>
      <w:r w:rsidRPr="00261B7A">
        <w:t xml:space="preserve"> under Article 3.3 and Article 3.4 respectively. In 2021, this covered 10,360,974 hectares, or 38.4 per cent, of New Zealand’s total land area.</w:t>
      </w:r>
    </w:p>
    <w:p w14:paraId="2C798683" w14:textId="77777777" w:rsidR="006D123E" w:rsidRPr="00261B7A" w:rsidRDefault="006D123E" w:rsidP="006D123E">
      <w:pPr>
        <w:pStyle w:val="BodyText"/>
        <w:spacing w:before="100" w:after="100"/>
      </w:pPr>
      <w:r w:rsidRPr="00261B7A">
        <w:t xml:space="preserve">The hierarchy used by New Zealand in the reporting of these activities is as set out in section 1.2 of the Kyoto Protocol Supplement (IPCC, 2014). This hierarchy means that once a forest area has been identified as deforested, it remains in this category. Therefore, all subsequent stock changes, emissions and removals on this land are reported under </w:t>
      </w:r>
      <w:r w:rsidRPr="00261B7A">
        <w:rPr>
          <w:i/>
        </w:rPr>
        <w:t>Deforestation</w:t>
      </w:r>
      <w:r w:rsidRPr="00261B7A">
        <w:t>.</w:t>
      </w:r>
    </w:p>
    <w:p w14:paraId="4D2A2648" w14:textId="77777777" w:rsidR="006D123E" w:rsidRPr="00261B7A" w:rsidRDefault="006D123E" w:rsidP="006D123E">
      <w:pPr>
        <w:pStyle w:val="BodyText"/>
        <w:spacing w:before="100" w:after="100"/>
      </w:pPr>
      <w:r w:rsidRPr="00261B7A">
        <w:t xml:space="preserve">Tracking of these deforested areas during the calculation and land use mapping processes (explained in chapter 6, section 6.2, and annex 3, section A3.2.2) ensures that land areas, once deforested, cannot be reported under </w:t>
      </w:r>
      <w:r w:rsidRPr="00261B7A">
        <w:rPr>
          <w:i/>
        </w:rPr>
        <w:t>Afforestation and reforestation</w:t>
      </w:r>
      <w:r w:rsidRPr="00261B7A">
        <w:t xml:space="preserve"> or </w:t>
      </w:r>
      <w:r w:rsidRPr="00261B7A">
        <w:rPr>
          <w:i/>
        </w:rPr>
        <w:t>Forest management</w:t>
      </w:r>
      <w:r w:rsidRPr="00261B7A">
        <w:t xml:space="preserve">, and that the emissions and removals associated with the new land use or any subsequent land uses are reported under </w:t>
      </w:r>
      <w:r w:rsidRPr="00261B7A">
        <w:rPr>
          <w:i/>
        </w:rPr>
        <w:t>Deforestation</w:t>
      </w:r>
      <w:r w:rsidRPr="00261B7A">
        <w:t>. The process for identification of deforested land is outlined in section 11.5.</w:t>
      </w:r>
    </w:p>
    <w:p w14:paraId="650B7810" w14:textId="77777777" w:rsidR="006D123E" w:rsidRPr="00261B7A" w:rsidRDefault="006D123E" w:rsidP="006D123E">
      <w:pPr>
        <w:pStyle w:val="BodyText"/>
        <w:spacing w:before="100" w:after="100"/>
      </w:pPr>
      <w:r w:rsidRPr="00261B7A">
        <w:t xml:space="preserve">Areas subject to the carbon equivalent forest provision are tracked separately and reported under </w:t>
      </w:r>
      <w:r w:rsidRPr="00261B7A">
        <w:rPr>
          <w:i/>
        </w:rPr>
        <w:t>Forest management</w:t>
      </w:r>
      <w:r w:rsidRPr="00261B7A">
        <w:t xml:space="preserve"> (refer to sections 11.2.2 and 11.3.4 for more detail). </w:t>
      </w:r>
    </w:p>
    <w:p w14:paraId="0409EAD6" w14:textId="77777777" w:rsidR="006D123E" w:rsidRPr="00261B7A" w:rsidRDefault="006D123E" w:rsidP="006D123E">
      <w:pPr>
        <w:pStyle w:val="Heading2"/>
      </w:pPr>
      <w:bookmarkStart w:id="2959" w:name="_Toc261513283"/>
      <w:bookmarkStart w:id="2960" w:name="_Toc261513896"/>
      <w:bookmarkStart w:id="2961" w:name="_Toc280630386"/>
      <w:bookmarkStart w:id="2962" w:name="_Toc310423465"/>
      <w:bookmarkStart w:id="2963" w:name="_Toc342470733"/>
      <w:bookmarkStart w:id="2964" w:name="_Toc352504892"/>
      <w:bookmarkStart w:id="2965" w:name="_Toc377043718"/>
      <w:bookmarkStart w:id="2966" w:name="_Toc391023462"/>
      <w:bookmarkStart w:id="2967" w:name="_Toc400967256"/>
      <w:bookmarkStart w:id="2968" w:name="_Toc414531341"/>
      <w:bookmarkStart w:id="2969" w:name="_Toc456179170"/>
      <w:bookmarkStart w:id="2970" w:name="_Toc481751423"/>
      <w:bookmarkStart w:id="2971" w:name="_Toc522013962"/>
      <w:bookmarkStart w:id="2972" w:name="_Toc5269406"/>
      <w:bookmarkStart w:id="2973" w:name="_Toc36224446"/>
      <w:bookmarkStart w:id="2974" w:name="_Toc68786366"/>
      <w:bookmarkStart w:id="2975" w:name="_Toc131591280"/>
      <w:r w:rsidRPr="00261B7A">
        <w:t>11.2</w:t>
      </w:r>
      <w:r w:rsidRPr="00261B7A">
        <w:tab/>
        <w:t>Land-related information</w:t>
      </w:r>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p>
    <w:p w14:paraId="0B82D23C" w14:textId="77777777" w:rsidR="006D123E" w:rsidRPr="00261B7A" w:rsidRDefault="006D123E" w:rsidP="006D123E">
      <w:pPr>
        <w:pStyle w:val="Heading3"/>
        <w:spacing w:before="160"/>
      </w:pPr>
      <w:bookmarkStart w:id="2976" w:name="_Toc261513284"/>
      <w:bookmarkStart w:id="2977" w:name="_Toc261513897"/>
      <w:bookmarkStart w:id="2978" w:name="_Toc280630387"/>
      <w:bookmarkStart w:id="2979" w:name="_Toc377043719"/>
      <w:bookmarkStart w:id="2980" w:name="_Toc400967257"/>
      <w:r w:rsidRPr="00261B7A">
        <w:t xml:space="preserve">11.2.1 </w:t>
      </w:r>
      <w:r w:rsidRPr="00261B7A">
        <w:tab/>
        <w:t>Spatial assessment unit</w:t>
      </w:r>
      <w:bookmarkEnd w:id="2976"/>
      <w:bookmarkEnd w:id="2977"/>
      <w:bookmarkEnd w:id="2978"/>
      <w:bookmarkEnd w:id="2979"/>
      <w:bookmarkEnd w:id="2980"/>
    </w:p>
    <w:p w14:paraId="34C80E01" w14:textId="77777777" w:rsidR="006D123E" w:rsidRPr="00261B7A" w:rsidRDefault="006D123E" w:rsidP="006D123E">
      <w:pPr>
        <w:pStyle w:val="BodyText"/>
        <w:spacing w:before="100" w:after="100"/>
      </w:pPr>
      <w:r w:rsidRPr="00261B7A">
        <w:t>New Zealand is using a minimum mapping unit of 1 hectare.</w:t>
      </w:r>
    </w:p>
    <w:p w14:paraId="79CE1DC4" w14:textId="77777777" w:rsidR="006D123E" w:rsidRPr="00261B7A" w:rsidRDefault="006D123E" w:rsidP="006D123E">
      <w:pPr>
        <w:pStyle w:val="Heading3"/>
        <w:spacing w:before="280"/>
      </w:pPr>
      <w:bookmarkStart w:id="2981" w:name="_Toc261513285"/>
      <w:bookmarkStart w:id="2982" w:name="_Toc261513898"/>
      <w:bookmarkStart w:id="2983" w:name="_Toc280630388"/>
      <w:bookmarkStart w:id="2984" w:name="_Toc377043720"/>
      <w:bookmarkStart w:id="2985" w:name="_Toc400967258"/>
      <w:r w:rsidRPr="00261B7A">
        <w:t xml:space="preserve">11.2.2 </w:t>
      </w:r>
      <w:r w:rsidRPr="00261B7A">
        <w:tab/>
        <w:t>Methodology for land transition matrix</w:t>
      </w:r>
      <w:bookmarkEnd w:id="2981"/>
      <w:bookmarkEnd w:id="2982"/>
      <w:bookmarkEnd w:id="2983"/>
      <w:bookmarkEnd w:id="2984"/>
      <w:bookmarkEnd w:id="2985"/>
    </w:p>
    <w:p w14:paraId="7358ED7F" w14:textId="77777777" w:rsidR="006D123E" w:rsidRPr="00261B7A" w:rsidRDefault="006D123E" w:rsidP="006D123E">
      <w:pPr>
        <w:pStyle w:val="BodyText"/>
      </w:pPr>
      <w:r w:rsidRPr="00261B7A">
        <w:t>The land transition matrix is based on data derived from the following sources:</w:t>
      </w:r>
    </w:p>
    <w:p w14:paraId="359C26BC" w14:textId="77777777" w:rsidR="006D123E" w:rsidRPr="00261B7A" w:rsidRDefault="006D123E" w:rsidP="006D123E">
      <w:pPr>
        <w:pStyle w:val="Bullet"/>
      </w:pPr>
      <w:r w:rsidRPr="00261B7A">
        <w:t>the 1990, 2008, 2012 and 2016 land use maps (see annex 3, section A3.2.2)</w:t>
      </w:r>
    </w:p>
    <w:p w14:paraId="4286CF0A" w14:textId="77777777" w:rsidR="006D123E" w:rsidRPr="00261B7A" w:rsidRDefault="006D123E" w:rsidP="006D123E">
      <w:pPr>
        <w:pStyle w:val="Bullet"/>
      </w:pPr>
      <w:r w:rsidRPr="00261B7A">
        <w:t>an estimate of total afforestation for planted forest for the period 2017 to 2021 is based on the National Exotic Forest Description (Ministry for Primary Industries, 2021)</w:t>
      </w:r>
    </w:p>
    <w:p w14:paraId="48C19D2E" w14:textId="77777777" w:rsidR="006D123E" w:rsidRPr="00261B7A" w:rsidRDefault="006D123E" w:rsidP="006D123E">
      <w:pPr>
        <w:pStyle w:val="Bullet"/>
      </w:pPr>
      <w:r w:rsidRPr="00261B7A">
        <w:t>the annual area of afforestation of post-1989 natural forest for 2017 to 2019 is estimated from the Ministry for Primary Industries afforestation scheme data</w:t>
      </w:r>
    </w:p>
    <w:p w14:paraId="46B7D2CA" w14:textId="77777777" w:rsidR="006D123E" w:rsidRPr="00261B7A" w:rsidRDefault="006D123E" w:rsidP="006D123E">
      <w:pPr>
        <w:pStyle w:val="Bullet"/>
      </w:pPr>
      <w:r w:rsidRPr="00261B7A">
        <w:t>the area of post-1989 natural afforestation for 2020 and 2021 is estimated from the Afforestation and Deforestation Intentions Survey for 2020 by taking the total area of ‘natural reversion’ and ‘indigenous tall planted’ (Manley, 2022)</w:t>
      </w:r>
    </w:p>
    <w:p w14:paraId="151E6A80" w14:textId="77777777" w:rsidR="006D123E" w:rsidRPr="00261B7A" w:rsidRDefault="006D123E" w:rsidP="006D123E">
      <w:pPr>
        <w:pStyle w:val="Bullet"/>
      </w:pPr>
      <w:r w:rsidRPr="00261B7A">
        <w:t>for post-1989 natural forest dominated by wilding exotic conifers, a linear extrapolation of the mapped area of land use change between 2012 and 2016 (for this forest type) was used to estimate afforestation for 2017 to 2020</w:t>
      </w:r>
    </w:p>
    <w:p w14:paraId="4AE85F2E" w14:textId="77777777" w:rsidR="006D123E" w:rsidRPr="00261B7A" w:rsidRDefault="006D123E" w:rsidP="006D123E">
      <w:pPr>
        <w:pStyle w:val="Bullet"/>
      </w:pPr>
      <w:r w:rsidRPr="00261B7A">
        <w:t>deforestation mapping for 2008 to 2019 (Indufor Asia Pacific, 2013, 2016, 2018; Lynker Analytics Consortium, 2020)</w:t>
      </w:r>
      <w:r w:rsidRPr="00261B7A" w:rsidDel="00D152CF">
        <w:t xml:space="preserve"> </w:t>
      </w:r>
    </w:p>
    <w:p w14:paraId="4F9847C5" w14:textId="77777777" w:rsidR="006D123E" w:rsidRPr="00261B7A" w:rsidRDefault="006D123E" w:rsidP="006D123E">
      <w:pPr>
        <w:pStyle w:val="Bullet"/>
      </w:pPr>
      <w:r w:rsidRPr="00261B7A">
        <w:t>the area of deforestation occurring during 2020 and 2021 has been estimated by extrapolating the rate of deforestation from the mapped years of 2013 to 2019. Further information on the methods used to estimate deforestation are described in annex 3, section A3.2.2.</w:t>
      </w:r>
    </w:p>
    <w:p w14:paraId="2006252A" w14:textId="77777777" w:rsidR="006D123E" w:rsidRPr="00261B7A" w:rsidRDefault="006D123E" w:rsidP="006D123E">
      <w:pPr>
        <w:pStyle w:val="BodyText"/>
        <w:keepLines/>
      </w:pPr>
      <w:r w:rsidRPr="00261B7A">
        <w:t xml:space="preserve">Due to the land use category definitions used by New Zealand, which split forests established before 1990 from those established after 1989, the land transition matrix is derived from the sequence of land-use changes occurring through the reporting period. Using the 1990 land use map as the baseline, areas of deforestation can be tracked through time to ensure that, regardless of subsequent land-use change, the net emissions that occur on the deforested land are reported under </w:t>
      </w:r>
      <w:r w:rsidRPr="00261B7A">
        <w:rPr>
          <w:i/>
        </w:rPr>
        <w:t>Deforestation</w:t>
      </w:r>
      <w:r w:rsidRPr="00261B7A">
        <w:t xml:space="preserve">. Where a pre-1990 planted forest is harvested and converted to another land use under the carbon equivalent forest provision, the land is tracked spatially and its net emissions are reported under </w:t>
      </w:r>
      <w:r w:rsidRPr="00261B7A">
        <w:rPr>
          <w:i/>
        </w:rPr>
        <w:t>Forest management</w:t>
      </w:r>
      <w:r w:rsidRPr="00261B7A">
        <w:t xml:space="preserve">, as are the areas and net emissions due to the new forest that was established to compensate for the harvested and converted forest. </w:t>
      </w:r>
    </w:p>
    <w:p w14:paraId="26CC7282" w14:textId="77777777" w:rsidR="006D123E" w:rsidRPr="00261B7A" w:rsidRDefault="006D123E" w:rsidP="006D123E">
      <w:pPr>
        <w:pStyle w:val="BodyText"/>
      </w:pPr>
      <w:r w:rsidRPr="00261B7A">
        <w:t>The relationship between mapped land-use changes and activities reported under Article 3.3 and Article 3.4 is shown in table 11.2.1.</w:t>
      </w:r>
    </w:p>
    <w:p w14:paraId="0C51AC30" w14:textId="77777777" w:rsidR="006D123E" w:rsidRPr="00261B7A" w:rsidRDefault="006D123E" w:rsidP="006D123E">
      <w:pPr>
        <w:pStyle w:val="Table"/>
      </w:pPr>
      <w:bookmarkStart w:id="2986" w:name="_Toc414531529"/>
      <w:bookmarkStart w:id="2987" w:name="_Toc456179106"/>
      <w:bookmarkStart w:id="2988" w:name="_Toc481751632"/>
      <w:bookmarkStart w:id="2989" w:name="_Toc522010657"/>
      <w:bookmarkStart w:id="2990" w:name="_Toc5269627"/>
      <w:bookmarkStart w:id="2991" w:name="_Toc36224709"/>
      <w:bookmarkStart w:id="2992" w:name="_Toc64987044"/>
      <w:bookmarkStart w:id="2993" w:name="_Toc68786594"/>
      <w:bookmarkStart w:id="2994" w:name="_Toc95321536"/>
      <w:bookmarkStart w:id="2995" w:name="_Toc130568405"/>
      <w:bookmarkStart w:id="2996" w:name="_Toc131591498"/>
      <w:r w:rsidRPr="00261B7A">
        <w:t>Table 11.2.1</w:t>
      </w:r>
      <w:r w:rsidRPr="00261B7A">
        <w:tab/>
        <w:t>Relationship between mapped land-use changes and activities reported under</w:t>
      </w:r>
      <w:r w:rsidRPr="00261B7A">
        <w:br/>
        <w:t>Article 3.3 and Article 3.4</w:t>
      </w:r>
      <w:bookmarkEnd w:id="2986"/>
      <w:bookmarkEnd w:id="2987"/>
      <w:bookmarkEnd w:id="2988"/>
      <w:bookmarkEnd w:id="2989"/>
      <w:bookmarkEnd w:id="2990"/>
      <w:bookmarkEnd w:id="2991"/>
      <w:bookmarkEnd w:id="2992"/>
      <w:bookmarkEnd w:id="2993"/>
      <w:bookmarkEnd w:id="2994"/>
      <w:bookmarkEnd w:id="2995"/>
      <w:bookmarkEnd w:id="2996"/>
      <w:r w:rsidRPr="00261B7A">
        <w:t xml:space="preserve"> </w:t>
      </w:r>
    </w:p>
    <w:tbl>
      <w:tblPr>
        <w:tblW w:w="8505" w:type="dxa"/>
        <w:tblBorders>
          <w:top w:val="single" w:sz="4" w:space="0" w:color="1B556B"/>
          <w:bottom w:val="single" w:sz="4" w:space="0" w:color="1B556B"/>
          <w:insideH w:val="single" w:sz="4" w:space="0" w:color="1B556B"/>
          <w:insideV w:val="single" w:sz="4" w:space="0" w:color="1B556B"/>
        </w:tblBorders>
        <w:tblLayout w:type="fixed"/>
        <w:tblCellMar>
          <w:left w:w="85" w:type="dxa"/>
          <w:right w:w="85" w:type="dxa"/>
        </w:tblCellMar>
        <w:tblLook w:val="04A0" w:firstRow="1" w:lastRow="0" w:firstColumn="1" w:lastColumn="0" w:noHBand="0" w:noVBand="1"/>
      </w:tblPr>
      <w:tblGrid>
        <w:gridCol w:w="1276"/>
        <w:gridCol w:w="941"/>
        <w:gridCol w:w="1015"/>
        <w:gridCol w:w="860"/>
        <w:gridCol w:w="846"/>
        <w:gridCol w:w="860"/>
        <w:gridCol w:w="790"/>
        <w:gridCol w:w="1015"/>
        <w:gridCol w:w="902"/>
      </w:tblGrid>
      <w:tr w:rsidR="006D123E" w:rsidRPr="00261B7A" w14:paraId="70A0A836" w14:textId="77777777" w:rsidTr="009C63CA">
        <w:trPr>
          <w:tblHeader/>
        </w:trPr>
        <w:tc>
          <w:tcPr>
            <w:tcW w:w="1276" w:type="dxa"/>
            <w:shd w:val="clear" w:color="auto" w:fill="1B556B" w:themeFill="text2"/>
            <w:tcMar>
              <w:left w:w="85" w:type="dxa"/>
              <w:right w:w="85" w:type="dxa"/>
            </w:tcMar>
            <w:vAlign w:val="bottom"/>
          </w:tcPr>
          <w:p w14:paraId="34476170" w14:textId="77777777" w:rsidR="006D123E" w:rsidRPr="00261B7A" w:rsidRDefault="006D123E" w:rsidP="009C63CA">
            <w:pPr>
              <w:pStyle w:val="TableTextBold"/>
              <w:spacing w:before="40" w:after="120"/>
              <w:ind w:right="169"/>
              <w:jc w:val="right"/>
              <w:rPr>
                <w:rFonts w:cs="Calibri"/>
                <w:noProof w:val="0"/>
                <w:color w:val="FFFFFF"/>
                <w:szCs w:val="16"/>
              </w:rPr>
            </w:pPr>
            <w:r w:rsidRPr="00261B7A">
              <mc:AlternateContent>
                <mc:Choice Requires="wps">
                  <w:drawing>
                    <wp:anchor distT="0" distB="0" distL="114300" distR="114300" simplePos="0" relativeHeight="251663360" behindDoc="0" locked="0" layoutInCell="1" allowOverlap="1" wp14:anchorId="03F39D06" wp14:editId="33DB95C5">
                      <wp:simplePos x="0" y="0"/>
                      <wp:positionH relativeFrom="column">
                        <wp:posOffset>-17780</wp:posOffset>
                      </wp:positionH>
                      <wp:positionV relativeFrom="paragraph">
                        <wp:posOffset>18415</wp:posOffset>
                      </wp:positionV>
                      <wp:extent cx="734060" cy="384175"/>
                      <wp:effectExtent l="0" t="0" r="8890" b="15875"/>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34060" cy="384175"/>
                              </a:xfrm>
                              <a:prstGeom prst="line">
                                <a:avLst/>
                              </a:prstGeom>
                              <a:noFill/>
                              <a:ln w="6350" cap="flat" cmpd="sng" algn="ctr">
                                <a:solidFill>
                                  <a:sysClr val="window" lastClr="FFFF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642C56F" id="Straight Connector 61"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1.45pt" to="56.4pt,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" strokecolor="window" strokeweight=".5pt">
                      <v:stroke joinstyle="miter"/>
                      <o:lock v:ext="edit" shapetype="f"/>
                    </v:line>
                  </w:pict>
                </mc:Fallback>
              </mc:AlternateContent>
            </w:r>
            <w:r w:rsidRPr="00261B7A">
              <w:rPr>
                <w:rFonts w:cs="Calibri"/>
                <w:noProof w:val="0"/>
                <w:color w:val="FFFFFF"/>
                <w:szCs w:val="16"/>
              </w:rPr>
              <w:t>Final</w:t>
            </w:r>
          </w:p>
          <w:p w14:paraId="3171E1C7" w14:textId="77777777" w:rsidR="006D123E" w:rsidRPr="00261B7A" w:rsidRDefault="006D123E" w:rsidP="009C63CA">
            <w:pPr>
              <w:pStyle w:val="TableTextBold"/>
              <w:spacing w:before="40" w:after="40"/>
              <w:rPr>
                <w:rFonts w:cs="Calibri"/>
                <w:noProof w:val="0"/>
                <w:color w:val="FFFFFF"/>
                <w:szCs w:val="16"/>
              </w:rPr>
            </w:pPr>
            <w:r w:rsidRPr="00261B7A">
              <w:rPr>
                <w:rFonts w:cs="Calibri"/>
                <w:noProof w:val="0"/>
                <w:color w:val="FFFFFF"/>
                <w:szCs w:val="16"/>
              </w:rPr>
              <w:t>Initial</w:t>
            </w:r>
          </w:p>
        </w:tc>
        <w:tc>
          <w:tcPr>
            <w:tcW w:w="941" w:type="dxa"/>
            <w:shd w:val="clear" w:color="auto" w:fill="1B556B" w:themeFill="text2"/>
            <w:tcMar>
              <w:left w:w="85" w:type="dxa"/>
              <w:right w:w="85" w:type="dxa"/>
            </w:tcMar>
            <w:vAlign w:val="bottom"/>
          </w:tcPr>
          <w:p w14:paraId="78EF4BD5" w14:textId="77777777" w:rsidR="006D123E" w:rsidRPr="00261B7A" w:rsidRDefault="006D123E" w:rsidP="009C63CA">
            <w:pPr>
              <w:pStyle w:val="TableTextBold"/>
              <w:spacing w:before="40" w:after="40"/>
              <w:jc w:val="center"/>
              <w:rPr>
                <w:rFonts w:cs="Calibri"/>
                <w:noProof w:val="0"/>
                <w:color w:val="FFFFFF"/>
                <w:szCs w:val="16"/>
              </w:rPr>
            </w:pPr>
            <w:r w:rsidRPr="00261B7A">
              <w:rPr>
                <w:rFonts w:cs="Calibri"/>
                <w:noProof w:val="0"/>
                <w:color w:val="FFFFFF"/>
                <w:szCs w:val="16"/>
              </w:rPr>
              <w:t>Pre-1990 natural forest</w:t>
            </w:r>
          </w:p>
        </w:tc>
        <w:tc>
          <w:tcPr>
            <w:tcW w:w="1015" w:type="dxa"/>
            <w:shd w:val="clear" w:color="auto" w:fill="1B556B" w:themeFill="text2"/>
            <w:tcMar>
              <w:left w:w="85" w:type="dxa"/>
              <w:right w:w="85" w:type="dxa"/>
            </w:tcMar>
            <w:vAlign w:val="bottom"/>
          </w:tcPr>
          <w:p w14:paraId="0F3D2198" w14:textId="77777777" w:rsidR="006D123E" w:rsidRPr="00261B7A" w:rsidRDefault="006D123E" w:rsidP="009C63CA">
            <w:pPr>
              <w:pStyle w:val="TableTextBold"/>
              <w:spacing w:before="40" w:after="40"/>
              <w:jc w:val="center"/>
              <w:rPr>
                <w:rFonts w:cs="Calibri"/>
                <w:noProof w:val="0"/>
                <w:color w:val="FFFFFF"/>
                <w:szCs w:val="16"/>
              </w:rPr>
            </w:pPr>
            <w:r w:rsidRPr="00261B7A">
              <w:rPr>
                <w:rFonts w:cs="Calibri"/>
                <w:noProof w:val="0"/>
                <w:color w:val="FFFFFF"/>
                <w:szCs w:val="16"/>
              </w:rPr>
              <w:t>Pre-1990 planted forest</w:t>
            </w:r>
          </w:p>
        </w:tc>
        <w:tc>
          <w:tcPr>
            <w:tcW w:w="860" w:type="dxa"/>
            <w:shd w:val="clear" w:color="auto" w:fill="1B556B" w:themeFill="text2"/>
            <w:tcMar>
              <w:left w:w="85" w:type="dxa"/>
              <w:right w:w="85" w:type="dxa"/>
            </w:tcMar>
            <w:vAlign w:val="bottom"/>
          </w:tcPr>
          <w:p w14:paraId="373E7765" w14:textId="77777777" w:rsidR="006D123E" w:rsidRPr="00261B7A" w:rsidRDefault="006D123E" w:rsidP="009C63CA">
            <w:pPr>
              <w:pStyle w:val="TableTextBold"/>
              <w:spacing w:before="40" w:after="40"/>
              <w:jc w:val="center"/>
              <w:rPr>
                <w:rFonts w:cs="Calibri"/>
                <w:noProof w:val="0"/>
                <w:color w:val="FFFFFF"/>
                <w:szCs w:val="16"/>
              </w:rPr>
            </w:pPr>
            <w:r w:rsidRPr="00261B7A">
              <w:rPr>
                <w:rFonts w:cs="Calibri"/>
                <w:noProof w:val="0"/>
                <w:color w:val="FFFFFF"/>
                <w:szCs w:val="16"/>
              </w:rPr>
              <w:t>Post-1989 forest</w:t>
            </w:r>
          </w:p>
        </w:tc>
        <w:tc>
          <w:tcPr>
            <w:tcW w:w="846" w:type="dxa"/>
            <w:shd w:val="clear" w:color="auto" w:fill="1B556B" w:themeFill="text2"/>
            <w:tcMar>
              <w:left w:w="85" w:type="dxa"/>
              <w:right w:w="85" w:type="dxa"/>
            </w:tcMar>
            <w:vAlign w:val="bottom"/>
          </w:tcPr>
          <w:p w14:paraId="727739DA" w14:textId="77777777" w:rsidR="006D123E" w:rsidRPr="00261B7A" w:rsidRDefault="006D123E" w:rsidP="009C63CA">
            <w:pPr>
              <w:pStyle w:val="TableTextBold"/>
              <w:spacing w:before="40" w:after="40"/>
              <w:jc w:val="center"/>
              <w:rPr>
                <w:rFonts w:cs="Calibri"/>
                <w:noProof w:val="0"/>
                <w:color w:val="FFFFFF"/>
                <w:szCs w:val="16"/>
              </w:rPr>
            </w:pPr>
            <w:r w:rsidRPr="00261B7A">
              <w:rPr>
                <w:rFonts w:cs="Calibri"/>
                <w:noProof w:val="0"/>
                <w:color w:val="FFFFFF"/>
                <w:szCs w:val="16"/>
              </w:rPr>
              <w:t>Grassland</w:t>
            </w:r>
          </w:p>
        </w:tc>
        <w:tc>
          <w:tcPr>
            <w:tcW w:w="860" w:type="dxa"/>
            <w:shd w:val="clear" w:color="auto" w:fill="1B556B" w:themeFill="text2"/>
            <w:tcMar>
              <w:left w:w="85" w:type="dxa"/>
              <w:right w:w="85" w:type="dxa"/>
            </w:tcMar>
            <w:vAlign w:val="bottom"/>
          </w:tcPr>
          <w:p w14:paraId="62F34A11" w14:textId="77777777" w:rsidR="006D123E" w:rsidRPr="00261B7A" w:rsidRDefault="006D123E" w:rsidP="009C63CA">
            <w:pPr>
              <w:pStyle w:val="TableTextBold"/>
              <w:spacing w:before="40" w:after="40"/>
              <w:jc w:val="center"/>
              <w:rPr>
                <w:rFonts w:cs="Calibri"/>
                <w:noProof w:val="0"/>
                <w:color w:val="FFFFFF"/>
                <w:szCs w:val="16"/>
              </w:rPr>
            </w:pPr>
            <w:r w:rsidRPr="00261B7A">
              <w:rPr>
                <w:rFonts w:cs="Calibri"/>
                <w:noProof w:val="0"/>
                <w:color w:val="FFFFFF"/>
                <w:szCs w:val="16"/>
              </w:rPr>
              <w:t>Cropland</w:t>
            </w:r>
          </w:p>
        </w:tc>
        <w:tc>
          <w:tcPr>
            <w:tcW w:w="790" w:type="dxa"/>
            <w:shd w:val="clear" w:color="auto" w:fill="1B556B" w:themeFill="text2"/>
            <w:tcMar>
              <w:left w:w="85" w:type="dxa"/>
              <w:right w:w="85" w:type="dxa"/>
            </w:tcMar>
            <w:vAlign w:val="bottom"/>
          </w:tcPr>
          <w:p w14:paraId="2A6D6158" w14:textId="77777777" w:rsidR="006D123E" w:rsidRPr="00261B7A" w:rsidRDefault="006D123E" w:rsidP="009C63CA">
            <w:pPr>
              <w:pStyle w:val="TableTextBold"/>
              <w:spacing w:before="40" w:after="40"/>
              <w:jc w:val="center"/>
              <w:rPr>
                <w:rFonts w:cs="Calibri"/>
                <w:noProof w:val="0"/>
                <w:color w:val="FFFFFF"/>
                <w:szCs w:val="16"/>
              </w:rPr>
            </w:pPr>
            <w:r w:rsidRPr="00261B7A">
              <w:rPr>
                <w:rFonts w:cs="Calibri"/>
                <w:noProof w:val="0"/>
                <w:color w:val="FFFFFF"/>
                <w:szCs w:val="16"/>
              </w:rPr>
              <w:t>Wetland</w:t>
            </w:r>
          </w:p>
        </w:tc>
        <w:tc>
          <w:tcPr>
            <w:tcW w:w="1015" w:type="dxa"/>
            <w:shd w:val="clear" w:color="auto" w:fill="1B556B" w:themeFill="text2"/>
            <w:tcMar>
              <w:left w:w="85" w:type="dxa"/>
              <w:right w:w="85" w:type="dxa"/>
            </w:tcMar>
            <w:vAlign w:val="bottom"/>
          </w:tcPr>
          <w:p w14:paraId="413C276A" w14:textId="77777777" w:rsidR="006D123E" w:rsidRPr="00261B7A" w:rsidRDefault="006D123E" w:rsidP="009C63CA">
            <w:pPr>
              <w:pStyle w:val="TableTextBold"/>
              <w:spacing w:before="40" w:after="40"/>
              <w:jc w:val="center"/>
              <w:rPr>
                <w:rFonts w:cs="Calibri"/>
                <w:noProof w:val="0"/>
                <w:color w:val="FFFFFF"/>
                <w:szCs w:val="16"/>
              </w:rPr>
            </w:pPr>
            <w:r w:rsidRPr="00261B7A">
              <w:rPr>
                <w:rFonts w:cs="Calibri"/>
                <w:noProof w:val="0"/>
                <w:color w:val="FFFFFF"/>
                <w:szCs w:val="16"/>
              </w:rPr>
              <w:t>Settlements</w:t>
            </w:r>
          </w:p>
        </w:tc>
        <w:tc>
          <w:tcPr>
            <w:tcW w:w="902" w:type="dxa"/>
            <w:shd w:val="clear" w:color="auto" w:fill="1B556B" w:themeFill="text2"/>
            <w:tcMar>
              <w:left w:w="85" w:type="dxa"/>
              <w:right w:w="85" w:type="dxa"/>
            </w:tcMar>
            <w:vAlign w:val="bottom"/>
          </w:tcPr>
          <w:p w14:paraId="3BC0DB0F" w14:textId="77777777" w:rsidR="006D123E" w:rsidRPr="00261B7A" w:rsidRDefault="006D123E" w:rsidP="009C63CA">
            <w:pPr>
              <w:pStyle w:val="TableTextBold"/>
              <w:spacing w:before="40" w:after="40"/>
              <w:jc w:val="center"/>
              <w:rPr>
                <w:rFonts w:cs="Calibri"/>
                <w:noProof w:val="0"/>
                <w:color w:val="FFFFFF"/>
                <w:szCs w:val="16"/>
              </w:rPr>
            </w:pPr>
            <w:r w:rsidRPr="00261B7A">
              <w:rPr>
                <w:rFonts w:cs="Calibri"/>
                <w:noProof w:val="0"/>
                <w:color w:val="FFFFFF"/>
                <w:szCs w:val="16"/>
              </w:rPr>
              <w:t>Other land</w:t>
            </w:r>
          </w:p>
        </w:tc>
      </w:tr>
      <w:tr w:rsidR="006D123E" w:rsidRPr="00261B7A" w14:paraId="51601BFB" w14:textId="77777777" w:rsidTr="009C63CA">
        <w:tc>
          <w:tcPr>
            <w:tcW w:w="1276" w:type="dxa"/>
            <w:shd w:val="clear" w:color="auto" w:fill="auto"/>
            <w:tcMar>
              <w:left w:w="85" w:type="dxa"/>
              <w:right w:w="85" w:type="dxa"/>
            </w:tcMar>
          </w:tcPr>
          <w:p w14:paraId="5E6210AF" w14:textId="77777777" w:rsidR="006D123E" w:rsidRPr="00261B7A" w:rsidRDefault="006D123E" w:rsidP="009C63CA">
            <w:pPr>
              <w:pStyle w:val="TableText"/>
              <w:spacing w:before="40" w:after="40"/>
              <w:rPr>
                <w:rFonts w:cs="Calibri"/>
                <w:szCs w:val="16"/>
              </w:rPr>
            </w:pPr>
            <w:r w:rsidRPr="00261B7A">
              <w:rPr>
                <w:rFonts w:cs="Calibri"/>
                <w:szCs w:val="16"/>
              </w:rPr>
              <w:t>Pre-1990 natural forest</w:t>
            </w:r>
          </w:p>
        </w:tc>
        <w:tc>
          <w:tcPr>
            <w:tcW w:w="941" w:type="dxa"/>
            <w:shd w:val="clear" w:color="auto" w:fill="auto"/>
            <w:tcMar>
              <w:left w:w="85" w:type="dxa"/>
              <w:right w:w="85" w:type="dxa"/>
            </w:tcMar>
          </w:tcPr>
          <w:p w14:paraId="7326E728" w14:textId="77777777" w:rsidR="006D123E" w:rsidRPr="00261B7A" w:rsidRDefault="006D123E" w:rsidP="009C63CA">
            <w:pPr>
              <w:pStyle w:val="TableText"/>
              <w:spacing w:before="40" w:after="40"/>
              <w:jc w:val="center"/>
              <w:rPr>
                <w:rFonts w:cs="Calibri"/>
                <w:szCs w:val="16"/>
              </w:rPr>
            </w:pPr>
            <w:r w:rsidRPr="00261B7A">
              <w:rPr>
                <w:rFonts w:cs="Calibri"/>
                <w:szCs w:val="16"/>
              </w:rPr>
              <w:t>FM</w:t>
            </w:r>
          </w:p>
        </w:tc>
        <w:tc>
          <w:tcPr>
            <w:tcW w:w="1015" w:type="dxa"/>
            <w:shd w:val="clear" w:color="auto" w:fill="auto"/>
            <w:tcMar>
              <w:left w:w="85" w:type="dxa"/>
              <w:right w:w="85" w:type="dxa"/>
            </w:tcMar>
          </w:tcPr>
          <w:p w14:paraId="367EE4B7" w14:textId="77777777" w:rsidR="006D123E" w:rsidRPr="00261B7A" w:rsidRDefault="006D123E" w:rsidP="009C63CA">
            <w:pPr>
              <w:pStyle w:val="TableText"/>
              <w:spacing w:before="40" w:after="40"/>
              <w:jc w:val="center"/>
              <w:rPr>
                <w:rFonts w:cs="Calibri"/>
                <w:szCs w:val="16"/>
              </w:rPr>
            </w:pPr>
            <w:r w:rsidRPr="00261B7A">
              <w:rPr>
                <w:rFonts w:cs="Calibri"/>
                <w:szCs w:val="16"/>
              </w:rPr>
              <w:t>FM</w:t>
            </w:r>
          </w:p>
        </w:tc>
        <w:tc>
          <w:tcPr>
            <w:tcW w:w="860" w:type="dxa"/>
            <w:shd w:val="clear" w:color="auto" w:fill="auto"/>
            <w:tcMar>
              <w:left w:w="85" w:type="dxa"/>
              <w:right w:w="85" w:type="dxa"/>
            </w:tcMar>
          </w:tcPr>
          <w:p w14:paraId="3D190BA2" w14:textId="77777777" w:rsidR="006D123E" w:rsidRPr="00261B7A" w:rsidRDefault="006D123E" w:rsidP="009C63CA">
            <w:pPr>
              <w:pStyle w:val="TableText"/>
              <w:spacing w:before="40" w:after="40"/>
              <w:jc w:val="center"/>
              <w:rPr>
                <w:rFonts w:cs="Calibri"/>
                <w:szCs w:val="16"/>
              </w:rPr>
            </w:pPr>
            <w:r w:rsidRPr="00261B7A">
              <w:rPr>
                <w:rFonts w:cs="Calibri"/>
                <w:szCs w:val="16"/>
              </w:rPr>
              <w:t>–</w:t>
            </w:r>
          </w:p>
        </w:tc>
        <w:tc>
          <w:tcPr>
            <w:tcW w:w="846" w:type="dxa"/>
            <w:shd w:val="clear" w:color="auto" w:fill="auto"/>
            <w:tcMar>
              <w:left w:w="85" w:type="dxa"/>
              <w:right w:w="85" w:type="dxa"/>
            </w:tcMar>
          </w:tcPr>
          <w:p w14:paraId="04E026D0"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860" w:type="dxa"/>
            <w:shd w:val="clear" w:color="auto" w:fill="auto"/>
            <w:tcMar>
              <w:left w:w="85" w:type="dxa"/>
              <w:right w:w="85" w:type="dxa"/>
            </w:tcMar>
          </w:tcPr>
          <w:p w14:paraId="263DAEB0"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790" w:type="dxa"/>
            <w:shd w:val="clear" w:color="auto" w:fill="auto"/>
            <w:tcMar>
              <w:left w:w="85" w:type="dxa"/>
              <w:right w:w="85" w:type="dxa"/>
            </w:tcMar>
          </w:tcPr>
          <w:p w14:paraId="27636776"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1015" w:type="dxa"/>
            <w:shd w:val="clear" w:color="auto" w:fill="auto"/>
            <w:tcMar>
              <w:left w:w="85" w:type="dxa"/>
              <w:right w:w="85" w:type="dxa"/>
            </w:tcMar>
          </w:tcPr>
          <w:p w14:paraId="2B84E552"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902" w:type="dxa"/>
            <w:shd w:val="clear" w:color="auto" w:fill="auto"/>
            <w:tcMar>
              <w:left w:w="85" w:type="dxa"/>
              <w:right w:w="85" w:type="dxa"/>
            </w:tcMar>
          </w:tcPr>
          <w:p w14:paraId="245E5142"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r>
      <w:tr w:rsidR="006D123E" w:rsidRPr="00261B7A" w14:paraId="5DCCD25C" w14:textId="77777777" w:rsidTr="009C63CA">
        <w:tc>
          <w:tcPr>
            <w:tcW w:w="1276" w:type="dxa"/>
            <w:shd w:val="clear" w:color="auto" w:fill="auto"/>
            <w:tcMar>
              <w:left w:w="85" w:type="dxa"/>
              <w:right w:w="85" w:type="dxa"/>
            </w:tcMar>
          </w:tcPr>
          <w:p w14:paraId="6F1E3F34" w14:textId="77777777" w:rsidR="006D123E" w:rsidRPr="00261B7A" w:rsidRDefault="006D123E" w:rsidP="009C63CA">
            <w:pPr>
              <w:pStyle w:val="TableText"/>
              <w:spacing w:before="40" w:after="40"/>
              <w:rPr>
                <w:rFonts w:cs="Calibri"/>
                <w:szCs w:val="16"/>
              </w:rPr>
            </w:pPr>
            <w:r w:rsidRPr="00261B7A">
              <w:rPr>
                <w:rFonts w:cs="Calibri"/>
                <w:szCs w:val="16"/>
              </w:rPr>
              <w:t>Pre-1990 planted forest</w:t>
            </w:r>
          </w:p>
        </w:tc>
        <w:tc>
          <w:tcPr>
            <w:tcW w:w="941" w:type="dxa"/>
            <w:shd w:val="clear" w:color="auto" w:fill="auto"/>
            <w:tcMar>
              <w:left w:w="85" w:type="dxa"/>
              <w:right w:w="85" w:type="dxa"/>
            </w:tcMar>
          </w:tcPr>
          <w:p w14:paraId="766B919E" w14:textId="77777777" w:rsidR="006D123E" w:rsidRPr="00261B7A" w:rsidRDefault="006D123E" w:rsidP="009C63CA">
            <w:pPr>
              <w:pStyle w:val="TableText"/>
              <w:spacing w:before="40" w:after="40"/>
              <w:jc w:val="center"/>
              <w:rPr>
                <w:rFonts w:cs="Calibri"/>
                <w:szCs w:val="16"/>
              </w:rPr>
            </w:pPr>
            <w:r w:rsidRPr="00261B7A">
              <w:rPr>
                <w:rFonts w:cs="Calibri"/>
                <w:szCs w:val="16"/>
              </w:rPr>
              <w:t>FM</w:t>
            </w:r>
          </w:p>
        </w:tc>
        <w:tc>
          <w:tcPr>
            <w:tcW w:w="1015" w:type="dxa"/>
            <w:shd w:val="clear" w:color="auto" w:fill="auto"/>
            <w:tcMar>
              <w:left w:w="85" w:type="dxa"/>
              <w:right w:w="85" w:type="dxa"/>
            </w:tcMar>
          </w:tcPr>
          <w:p w14:paraId="17BE519D" w14:textId="77777777" w:rsidR="006D123E" w:rsidRPr="00261B7A" w:rsidRDefault="006D123E" w:rsidP="009C63CA">
            <w:pPr>
              <w:pStyle w:val="TableText"/>
              <w:spacing w:before="40" w:after="40"/>
              <w:jc w:val="center"/>
              <w:rPr>
                <w:rFonts w:cs="Calibri"/>
                <w:szCs w:val="16"/>
              </w:rPr>
            </w:pPr>
            <w:r w:rsidRPr="00261B7A">
              <w:rPr>
                <w:rFonts w:cs="Calibri"/>
                <w:szCs w:val="16"/>
              </w:rPr>
              <w:t>FM</w:t>
            </w:r>
          </w:p>
        </w:tc>
        <w:tc>
          <w:tcPr>
            <w:tcW w:w="860" w:type="dxa"/>
            <w:shd w:val="clear" w:color="auto" w:fill="auto"/>
            <w:tcMar>
              <w:left w:w="85" w:type="dxa"/>
              <w:right w:w="85" w:type="dxa"/>
            </w:tcMar>
          </w:tcPr>
          <w:p w14:paraId="7B4DA735" w14:textId="77777777" w:rsidR="006D123E" w:rsidRPr="00261B7A" w:rsidRDefault="006D123E" w:rsidP="009C63CA">
            <w:pPr>
              <w:pStyle w:val="TableText"/>
              <w:spacing w:before="40" w:after="40"/>
              <w:jc w:val="center"/>
              <w:rPr>
                <w:rFonts w:cs="Calibri"/>
                <w:szCs w:val="16"/>
              </w:rPr>
            </w:pPr>
            <w:r w:rsidRPr="00261B7A">
              <w:rPr>
                <w:rFonts w:cs="Calibri"/>
                <w:szCs w:val="16"/>
              </w:rPr>
              <w:t>–</w:t>
            </w:r>
          </w:p>
        </w:tc>
        <w:tc>
          <w:tcPr>
            <w:tcW w:w="846" w:type="dxa"/>
            <w:shd w:val="clear" w:color="auto" w:fill="auto"/>
            <w:tcMar>
              <w:left w:w="85" w:type="dxa"/>
              <w:right w:w="85" w:type="dxa"/>
            </w:tcMar>
          </w:tcPr>
          <w:p w14:paraId="6D149EC7" w14:textId="77777777" w:rsidR="006D123E" w:rsidRPr="00261B7A" w:rsidRDefault="006D123E" w:rsidP="009C63CA">
            <w:pPr>
              <w:pStyle w:val="TableText"/>
              <w:spacing w:before="40" w:after="40"/>
              <w:jc w:val="center"/>
              <w:rPr>
                <w:rFonts w:cs="Calibri"/>
                <w:szCs w:val="16"/>
              </w:rPr>
            </w:pPr>
            <w:r w:rsidRPr="00261B7A">
              <w:rPr>
                <w:rFonts w:cs="Calibri"/>
                <w:szCs w:val="16"/>
              </w:rPr>
              <w:t>D/FM</w:t>
            </w:r>
          </w:p>
        </w:tc>
        <w:tc>
          <w:tcPr>
            <w:tcW w:w="860" w:type="dxa"/>
            <w:shd w:val="clear" w:color="auto" w:fill="auto"/>
            <w:tcMar>
              <w:left w:w="85" w:type="dxa"/>
              <w:right w:w="85" w:type="dxa"/>
            </w:tcMar>
          </w:tcPr>
          <w:p w14:paraId="4B1C2251" w14:textId="77777777" w:rsidR="006D123E" w:rsidRPr="00261B7A" w:rsidRDefault="006D123E" w:rsidP="009C63CA">
            <w:pPr>
              <w:pStyle w:val="TableText"/>
              <w:spacing w:before="40" w:after="40"/>
              <w:jc w:val="center"/>
              <w:rPr>
                <w:rFonts w:cs="Calibri"/>
                <w:szCs w:val="16"/>
              </w:rPr>
            </w:pPr>
            <w:r w:rsidRPr="00261B7A">
              <w:rPr>
                <w:rFonts w:cs="Calibri"/>
                <w:szCs w:val="16"/>
              </w:rPr>
              <w:t>D/FM</w:t>
            </w:r>
          </w:p>
        </w:tc>
        <w:tc>
          <w:tcPr>
            <w:tcW w:w="790" w:type="dxa"/>
            <w:shd w:val="clear" w:color="auto" w:fill="auto"/>
            <w:tcMar>
              <w:left w:w="85" w:type="dxa"/>
              <w:right w:w="85" w:type="dxa"/>
            </w:tcMar>
          </w:tcPr>
          <w:p w14:paraId="115D582B" w14:textId="77777777" w:rsidR="006D123E" w:rsidRPr="00261B7A" w:rsidRDefault="006D123E" w:rsidP="009C63CA">
            <w:pPr>
              <w:pStyle w:val="TableText"/>
              <w:spacing w:before="40" w:after="40"/>
              <w:jc w:val="center"/>
              <w:rPr>
                <w:rFonts w:cs="Calibri"/>
                <w:szCs w:val="16"/>
              </w:rPr>
            </w:pPr>
            <w:r w:rsidRPr="00261B7A">
              <w:rPr>
                <w:rFonts w:cs="Calibri"/>
                <w:szCs w:val="16"/>
              </w:rPr>
              <w:t>D/FM</w:t>
            </w:r>
          </w:p>
        </w:tc>
        <w:tc>
          <w:tcPr>
            <w:tcW w:w="1015" w:type="dxa"/>
            <w:shd w:val="clear" w:color="auto" w:fill="auto"/>
            <w:tcMar>
              <w:left w:w="85" w:type="dxa"/>
              <w:right w:w="85" w:type="dxa"/>
            </w:tcMar>
          </w:tcPr>
          <w:p w14:paraId="450C1BD3" w14:textId="77777777" w:rsidR="006D123E" w:rsidRPr="00261B7A" w:rsidRDefault="006D123E" w:rsidP="009C63CA">
            <w:pPr>
              <w:pStyle w:val="TableText"/>
              <w:spacing w:before="40" w:after="40"/>
              <w:jc w:val="center"/>
              <w:rPr>
                <w:rFonts w:cs="Calibri"/>
                <w:szCs w:val="16"/>
              </w:rPr>
            </w:pPr>
            <w:r w:rsidRPr="00261B7A">
              <w:rPr>
                <w:rFonts w:cs="Calibri"/>
                <w:szCs w:val="16"/>
              </w:rPr>
              <w:t>D/FM</w:t>
            </w:r>
          </w:p>
        </w:tc>
        <w:tc>
          <w:tcPr>
            <w:tcW w:w="902" w:type="dxa"/>
            <w:shd w:val="clear" w:color="auto" w:fill="auto"/>
            <w:tcMar>
              <w:left w:w="85" w:type="dxa"/>
              <w:right w:w="85" w:type="dxa"/>
            </w:tcMar>
          </w:tcPr>
          <w:p w14:paraId="7C943BF3" w14:textId="77777777" w:rsidR="006D123E" w:rsidRPr="00261B7A" w:rsidRDefault="006D123E" w:rsidP="009C63CA">
            <w:pPr>
              <w:pStyle w:val="TableText"/>
              <w:spacing w:before="40" w:after="40"/>
              <w:jc w:val="center"/>
              <w:rPr>
                <w:rFonts w:cs="Calibri"/>
                <w:szCs w:val="16"/>
              </w:rPr>
            </w:pPr>
            <w:r w:rsidRPr="00261B7A">
              <w:rPr>
                <w:rFonts w:cs="Calibri"/>
                <w:szCs w:val="16"/>
              </w:rPr>
              <w:t>D/FM</w:t>
            </w:r>
          </w:p>
        </w:tc>
      </w:tr>
      <w:tr w:rsidR="006D123E" w:rsidRPr="00261B7A" w14:paraId="3DC87EB4" w14:textId="77777777" w:rsidTr="009C63CA">
        <w:tc>
          <w:tcPr>
            <w:tcW w:w="1276" w:type="dxa"/>
            <w:shd w:val="clear" w:color="auto" w:fill="auto"/>
            <w:tcMar>
              <w:left w:w="85" w:type="dxa"/>
              <w:right w:w="85" w:type="dxa"/>
            </w:tcMar>
          </w:tcPr>
          <w:p w14:paraId="15AF01A5" w14:textId="77777777" w:rsidR="006D123E" w:rsidRPr="00261B7A" w:rsidRDefault="006D123E" w:rsidP="009C63CA">
            <w:pPr>
              <w:pStyle w:val="TableText"/>
              <w:spacing w:before="40" w:after="40"/>
              <w:rPr>
                <w:rFonts w:cs="Calibri"/>
                <w:szCs w:val="16"/>
              </w:rPr>
            </w:pPr>
            <w:r w:rsidRPr="00261B7A">
              <w:rPr>
                <w:rFonts w:cs="Calibri"/>
                <w:szCs w:val="16"/>
              </w:rPr>
              <w:t>Post-1989 forest</w:t>
            </w:r>
          </w:p>
        </w:tc>
        <w:tc>
          <w:tcPr>
            <w:tcW w:w="941" w:type="dxa"/>
            <w:shd w:val="clear" w:color="auto" w:fill="auto"/>
            <w:tcMar>
              <w:left w:w="85" w:type="dxa"/>
              <w:right w:w="85" w:type="dxa"/>
            </w:tcMar>
          </w:tcPr>
          <w:p w14:paraId="75DED1D5" w14:textId="77777777" w:rsidR="006D123E" w:rsidRPr="00261B7A" w:rsidRDefault="006D123E" w:rsidP="009C63CA">
            <w:pPr>
              <w:pStyle w:val="TableText"/>
              <w:spacing w:before="40" w:after="40"/>
              <w:jc w:val="center"/>
              <w:rPr>
                <w:rFonts w:cs="Calibri"/>
                <w:szCs w:val="16"/>
              </w:rPr>
            </w:pPr>
            <w:r w:rsidRPr="00261B7A">
              <w:rPr>
                <w:rFonts w:cs="Calibri"/>
                <w:szCs w:val="16"/>
              </w:rPr>
              <w:t>–</w:t>
            </w:r>
          </w:p>
        </w:tc>
        <w:tc>
          <w:tcPr>
            <w:tcW w:w="1015" w:type="dxa"/>
            <w:shd w:val="clear" w:color="auto" w:fill="auto"/>
            <w:tcMar>
              <w:left w:w="85" w:type="dxa"/>
              <w:right w:w="85" w:type="dxa"/>
            </w:tcMar>
          </w:tcPr>
          <w:p w14:paraId="0024CFBE" w14:textId="77777777" w:rsidR="006D123E" w:rsidRPr="00261B7A" w:rsidRDefault="006D123E" w:rsidP="009C63CA">
            <w:pPr>
              <w:pStyle w:val="TableText"/>
              <w:spacing w:before="40" w:after="40"/>
              <w:jc w:val="center"/>
              <w:rPr>
                <w:rFonts w:cs="Calibri"/>
                <w:szCs w:val="16"/>
              </w:rPr>
            </w:pPr>
            <w:r w:rsidRPr="00261B7A">
              <w:rPr>
                <w:rFonts w:cs="Calibri"/>
                <w:szCs w:val="16"/>
              </w:rPr>
              <w:t>–</w:t>
            </w:r>
          </w:p>
        </w:tc>
        <w:tc>
          <w:tcPr>
            <w:tcW w:w="860" w:type="dxa"/>
            <w:shd w:val="clear" w:color="auto" w:fill="auto"/>
            <w:tcMar>
              <w:left w:w="85" w:type="dxa"/>
              <w:right w:w="85" w:type="dxa"/>
            </w:tcMar>
          </w:tcPr>
          <w:p w14:paraId="1F426D23" w14:textId="77777777" w:rsidR="006D123E" w:rsidRPr="00261B7A" w:rsidRDefault="006D123E" w:rsidP="009C63CA">
            <w:pPr>
              <w:pStyle w:val="TableText"/>
              <w:spacing w:before="40" w:after="40"/>
              <w:jc w:val="center"/>
              <w:rPr>
                <w:rFonts w:cs="Calibri"/>
                <w:szCs w:val="16"/>
              </w:rPr>
            </w:pPr>
            <w:r w:rsidRPr="00261B7A">
              <w:rPr>
                <w:rFonts w:cs="Calibri"/>
                <w:szCs w:val="16"/>
              </w:rPr>
              <w:t>A</w:t>
            </w:r>
          </w:p>
        </w:tc>
        <w:tc>
          <w:tcPr>
            <w:tcW w:w="846" w:type="dxa"/>
            <w:shd w:val="clear" w:color="auto" w:fill="auto"/>
            <w:tcMar>
              <w:left w:w="85" w:type="dxa"/>
              <w:right w:w="85" w:type="dxa"/>
            </w:tcMar>
          </w:tcPr>
          <w:p w14:paraId="5261ABA3"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860" w:type="dxa"/>
            <w:shd w:val="clear" w:color="auto" w:fill="auto"/>
            <w:tcMar>
              <w:left w:w="85" w:type="dxa"/>
              <w:right w:w="85" w:type="dxa"/>
            </w:tcMar>
          </w:tcPr>
          <w:p w14:paraId="08025EDD"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790" w:type="dxa"/>
            <w:shd w:val="clear" w:color="auto" w:fill="auto"/>
            <w:tcMar>
              <w:left w:w="85" w:type="dxa"/>
              <w:right w:w="85" w:type="dxa"/>
            </w:tcMar>
          </w:tcPr>
          <w:p w14:paraId="5DFE052C"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1015" w:type="dxa"/>
            <w:shd w:val="clear" w:color="auto" w:fill="auto"/>
            <w:tcMar>
              <w:left w:w="85" w:type="dxa"/>
              <w:right w:w="85" w:type="dxa"/>
            </w:tcMar>
          </w:tcPr>
          <w:p w14:paraId="75194E5C"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902" w:type="dxa"/>
            <w:shd w:val="clear" w:color="auto" w:fill="auto"/>
            <w:tcMar>
              <w:left w:w="85" w:type="dxa"/>
              <w:right w:w="85" w:type="dxa"/>
            </w:tcMar>
          </w:tcPr>
          <w:p w14:paraId="66E01668"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r>
      <w:tr w:rsidR="006D123E" w:rsidRPr="00261B7A" w14:paraId="1D09739B" w14:textId="77777777" w:rsidTr="009C63CA">
        <w:tc>
          <w:tcPr>
            <w:tcW w:w="1276" w:type="dxa"/>
            <w:shd w:val="clear" w:color="auto" w:fill="auto"/>
            <w:tcMar>
              <w:left w:w="85" w:type="dxa"/>
              <w:right w:w="85" w:type="dxa"/>
            </w:tcMar>
          </w:tcPr>
          <w:p w14:paraId="4FB1A0F2" w14:textId="77777777" w:rsidR="006D123E" w:rsidRPr="00261B7A" w:rsidRDefault="006D123E" w:rsidP="009C63CA">
            <w:pPr>
              <w:pStyle w:val="TableText"/>
              <w:spacing w:before="40" w:after="40"/>
              <w:rPr>
                <w:rFonts w:cs="Calibri"/>
                <w:szCs w:val="16"/>
              </w:rPr>
            </w:pPr>
            <w:r w:rsidRPr="00261B7A">
              <w:rPr>
                <w:rFonts w:cs="Calibri"/>
                <w:szCs w:val="16"/>
              </w:rPr>
              <w:t>Grassland</w:t>
            </w:r>
          </w:p>
        </w:tc>
        <w:tc>
          <w:tcPr>
            <w:tcW w:w="941" w:type="dxa"/>
            <w:shd w:val="clear" w:color="auto" w:fill="auto"/>
            <w:tcMar>
              <w:left w:w="85" w:type="dxa"/>
              <w:right w:w="85" w:type="dxa"/>
            </w:tcMar>
          </w:tcPr>
          <w:p w14:paraId="6C7850C8"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1015" w:type="dxa"/>
            <w:shd w:val="clear" w:color="auto" w:fill="auto"/>
            <w:tcMar>
              <w:left w:w="85" w:type="dxa"/>
              <w:right w:w="85" w:type="dxa"/>
            </w:tcMar>
          </w:tcPr>
          <w:p w14:paraId="5EC005EF"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860" w:type="dxa"/>
            <w:shd w:val="clear" w:color="auto" w:fill="auto"/>
            <w:tcMar>
              <w:left w:w="85" w:type="dxa"/>
              <w:right w:w="85" w:type="dxa"/>
            </w:tcMar>
          </w:tcPr>
          <w:p w14:paraId="07B096A4" w14:textId="77777777" w:rsidR="006D123E" w:rsidRPr="00261B7A" w:rsidRDefault="006D123E" w:rsidP="009C63CA">
            <w:pPr>
              <w:pStyle w:val="TableText"/>
              <w:spacing w:before="40" w:after="40"/>
              <w:jc w:val="center"/>
              <w:rPr>
                <w:rFonts w:cs="Calibri"/>
                <w:szCs w:val="16"/>
              </w:rPr>
            </w:pPr>
            <w:r w:rsidRPr="00261B7A">
              <w:rPr>
                <w:rFonts w:cs="Calibri"/>
                <w:szCs w:val="16"/>
              </w:rPr>
              <w:t>A/FM</w:t>
            </w:r>
          </w:p>
        </w:tc>
        <w:tc>
          <w:tcPr>
            <w:tcW w:w="846" w:type="dxa"/>
            <w:shd w:val="clear" w:color="auto" w:fill="auto"/>
            <w:tcMar>
              <w:left w:w="85" w:type="dxa"/>
              <w:right w:w="85" w:type="dxa"/>
            </w:tcMar>
          </w:tcPr>
          <w:p w14:paraId="1C8FCBE0" w14:textId="77777777" w:rsidR="006D123E" w:rsidRPr="00261B7A" w:rsidRDefault="006D123E" w:rsidP="009C63CA">
            <w:pPr>
              <w:pStyle w:val="TableText"/>
              <w:spacing w:before="40" w:after="40"/>
              <w:jc w:val="center"/>
              <w:rPr>
                <w:rFonts w:cs="Calibri"/>
                <w:szCs w:val="16"/>
              </w:rPr>
            </w:pPr>
          </w:p>
        </w:tc>
        <w:tc>
          <w:tcPr>
            <w:tcW w:w="860" w:type="dxa"/>
            <w:shd w:val="clear" w:color="auto" w:fill="auto"/>
            <w:tcMar>
              <w:left w:w="85" w:type="dxa"/>
              <w:right w:w="85" w:type="dxa"/>
            </w:tcMar>
          </w:tcPr>
          <w:p w14:paraId="538D0FFD" w14:textId="77777777" w:rsidR="006D123E" w:rsidRPr="00261B7A" w:rsidRDefault="006D123E" w:rsidP="009C63CA">
            <w:pPr>
              <w:pStyle w:val="TableText"/>
              <w:spacing w:before="40" w:after="40"/>
              <w:jc w:val="center"/>
              <w:rPr>
                <w:rFonts w:cs="Calibri"/>
                <w:szCs w:val="16"/>
              </w:rPr>
            </w:pPr>
          </w:p>
        </w:tc>
        <w:tc>
          <w:tcPr>
            <w:tcW w:w="790" w:type="dxa"/>
            <w:shd w:val="clear" w:color="auto" w:fill="auto"/>
            <w:tcMar>
              <w:left w:w="85" w:type="dxa"/>
              <w:right w:w="85" w:type="dxa"/>
            </w:tcMar>
          </w:tcPr>
          <w:p w14:paraId="65AB3EEA" w14:textId="77777777" w:rsidR="006D123E" w:rsidRPr="00261B7A" w:rsidRDefault="006D123E" w:rsidP="009C63CA">
            <w:pPr>
              <w:pStyle w:val="TableText"/>
              <w:spacing w:before="40" w:after="40"/>
              <w:jc w:val="center"/>
              <w:rPr>
                <w:rFonts w:cs="Calibri"/>
                <w:szCs w:val="16"/>
              </w:rPr>
            </w:pPr>
          </w:p>
        </w:tc>
        <w:tc>
          <w:tcPr>
            <w:tcW w:w="1015" w:type="dxa"/>
            <w:shd w:val="clear" w:color="auto" w:fill="auto"/>
            <w:tcMar>
              <w:left w:w="85" w:type="dxa"/>
              <w:right w:w="85" w:type="dxa"/>
            </w:tcMar>
          </w:tcPr>
          <w:p w14:paraId="75998753" w14:textId="77777777" w:rsidR="006D123E" w:rsidRPr="00261B7A" w:rsidRDefault="006D123E" w:rsidP="009C63CA">
            <w:pPr>
              <w:pStyle w:val="TableText"/>
              <w:spacing w:before="40" w:after="40"/>
              <w:jc w:val="center"/>
              <w:rPr>
                <w:rFonts w:cs="Calibri"/>
                <w:szCs w:val="16"/>
              </w:rPr>
            </w:pPr>
          </w:p>
        </w:tc>
        <w:tc>
          <w:tcPr>
            <w:tcW w:w="902" w:type="dxa"/>
            <w:shd w:val="clear" w:color="auto" w:fill="auto"/>
            <w:tcMar>
              <w:left w:w="85" w:type="dxa"/>
              <w:right w:w="85" w:type="dxa"/>
            </w:tcMar>
          </w:tcPr>
          <w:p w14:paraId="1DE95FB5" w14:textId="77777777" w:rsidR="006D123E" w:rsidRPr="00261B7A" w:rsidRDefault="006D123E" w:rsidP="009C63CA">
            <w:pPr>
              <w:pStyle w:val="TableText"/>
              <w:spacing w:before="40" w:after="40"/>
              <w:jc w:val="center"/>
              <w:rPr>
                <w:rFonts w:cs="Calibri"/>
                <w:szCs w:val="16"/>
              </w:rPr>
            </w:pPr>
          </w:p>
        </w:tc>
      </w:tr>
      <w:tr w:rsidR="006D123E" w:rsidRPr="00261B7A" w14:paraId="08F9F499" w14:textId="77777777" w:rsidTr="009C63CA">
        <w:tc>
          <w:tcPr>
            <w:tcW w:w="1276" w:type="dxa"/>
            <w:shd w:val="clear" w:color="auto" w:fill="auto"/>
            <w:tcMar>
              <w:left w:w="85" w:type="dxa"/>
              <w:right w:w="85" w:type="dxa"/>
            </w:tcMar>
          </w:tcPr>
          <w:p w14:paraId="0EA4B46A" w14:textId="77777777" w:rsidR="006D123E" w:rsidRPr="00261B7A" w:rsidRDefault="006D123E" w:rsidP="009C63CA">
            <w:pPr>
              <w:pStyle w:val="TableText"/>
              <w:spacing w:before="40" w:after="40"/>
              <w:rPr>
                <w:rFonts w:cs="Calibri"/>
                <w:szCs w:val="16"/>
              </w:rPr>
            </w:pPr>
            <w:r w:rsidRPr="00261B7A">
              <w:rPr>
                <w:rFonts w:cs="Calibri"/>
                <w:szCs w:val="16"/>
              </w:rPr>
              <w:t>Cropland</w:t>
            </w:r>
          </w:p>
        </w:tc>
        <w:tc>
          <w:tcPr>
            <w:tcW w:w="941" w:type="dxa"/>
            <w:shd w:val="clear" w:color="auto" w:fill="auto"/>
            <w:tcMar>
              <w:left w:w="85" w:type="dxa"/>
              <w:right w:w="85" w:type="dxa"/>
            </w:tcMar>
          </w:tcPr>
          <w:p w14:paraId="5FA9F556"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1015" w:type="dxa"/>
            <w:shd w:val="clear" w:color="auto" w:fill="auto"/>
            <w:tcMar>
              <w:left w:w="85" w:type="dxa"/>
              <w:right w:w="85" w:type="dxa"/>
            </w:tcMar>
          </w:tcPr>
          <w:p w14:paraId="1635D23D"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860" w:type="dxa"/>
            <w:shd w:val="clear" w:color="auto" w:fill="auto"/>
            <w:tcMar>
              <w:left w:w="85" w:type="dxa"/>
              <w:right w:w="85" w:type="dxa"/>
            </w:tcMar>
          </w:tcPr>
          <w:p w14:paraId="29CF3A84" w14:textId="77777777" w:rsidR="006D123E" w:rsidRPr="00261B7A" w:rsidRDefault="006D123E" w:rsidP="009C63CA">
            <w:pPr>
              <w:pStyle w:val="TableText"/>
              <w:spacing w:before="40" w:after="40"/>
              <w:jc w:val="center"/>
              <w:rPr>
                <w:rFonts w:cs="Calibri"/>
                <w:szCs w:val="16"/>
              </w:rPr>
            </w:pPr>
            <w:r w:rsidRPr="00261B7A">
              <w:rPr>
                <w:rFonts w:cs="Calibri"/>
                <w:szCs w:val="16"/>
              </w:rPr>
              <w:t>A/FM</w:t>
            </w:r>
          </w:p>
        </w:tc>
        <w:tc>
          <w:tcPr>
            <w:tcW w:w="846" w:type="dxa"/>
            <w:shd w:val="clear" w:color="auto" w:fill="auto"/>
            <w:tcMar>
              <w:left w:w="85" w:type="dxa"/>
              <w:right w:w="85" w:type="dxa"/>
            </w:tcMar>
          </w:tcPr>
          <w:p w14:paraId="0E0490F4" w14:textId="77777777" w:rsidR="006D123E" w:rsidRPr="00261B7A" w:rsidRDefault="006D123E" w:rsidP="009C63CA">
            <w:pPr>
              <w:pStyle w:val="TableText"/>
              <w:spacing w:before="40" w:after="40"/>
              <w:jc w:val="center"/>
              <w:rPr>
                <w:rFonts w:cs="Calibri"/>
                <w:szCs w:val="16"/>
              </w:rPr>
            </w:pPr>
          </w:p>
        </w:tc>
        <w:tc>
          <w:tcPr>
            <w:tcW w:w="860" w:type="dxa"/>
            <w:shd w:val="clear" w:color="auto" w:fill="auto"/>
            <w:tcMar>
              <w:left w:w="85" w:type="dxa"/>
              <w:right w:w="85" w:type="dxa"/>
            </w:tcMar>
          </w:tcPr>
          <w:p w14:paraId="6039A08E" w14:textId="77777777" w:rsidR="006D123E" w:rsidRPr="00261B7A" w:rsidRDefault="006D123E" w:rsidP="009C63CA">
            <w:pPr>
              <w:pStyle w:val="TableText"/>
              <w:spacing w:before="40" w:after="40"/>
              <w:jc w:val="center"/>
              <w:rPr>
                <w:rFonts w:cs="Calibri"/>
                <w:szCs w:val="16"/>
              </w:rPr>
            </w:pPr>
          </w:p>
        </w:tc>
        <w:tc>
          <w:tcPr>
            <w:tcW w:w="790" w:type="dxa"/>
            <w:shd w:val="clear" w:color="auto" w:fill="auto"/>
            <w:tcMar>
              <w:left w:w="85" w:type="dxa"/>
              <w:right w:w="85" w:type="dxa"/>
            </w:tcMar>
          </w:tcPr>
          <w:p w14:paraId="1DD13F1B" w14:textId="77777777" w:rsidR="006D123E" w:rsidRPr="00261B7A" w:rsidRDefault="006D123E" w:rsidP="009C63CA">
            <w:pPr>
              <w:pStyle w:val="TableText"/>
              <w:spacing w:before="40" w:after="40"/>
              <w:jc w:val="center"/>
              <w:rPr>
                <w:rFonts w:cs="Calibri"/>
                <w:szCs w:val="16"/>
              </w:rPr>
            </w:pPr>
          </w:p>
        </w:tc>
        <w:tc>
          <w:tcPr>
            <w:tcW w:w="1015" w:type="dxa"/>
            <w:shd w:val="clear" w:color="auto" w:fill="auto"/>
            <w:tcMar>
              <w:left w:w="85" w:type="dxa"/>
              <w:right w:w="85" w:type="dxa"/>
            </w:tcMar>
          </w:tcPr>
          <w:p w14:paraId="7F6EA846" w14:textId="77777777" w:rsidR="006D123E" w:rsidRPr="00261B7A" w:rsidRDefault="006D123E" w:rsidP="009C63CA">
            <w:pPr>
              <w:pStyle w:val="TableText"/>
              <w:spacing w:before="40" w:after="40"/>
              <w:jc w:val="center"/>
              <w:rPr>
                <w:rFonts w:cs="Calibri"/>
                <w:szCs w:val="16"/>
              </w:rPr>
            </w:pPr>
          </w:p>
        </w:tc>
        <w:tc>
          <w:tcPr>
            <w:tcW w:w="902" w:type="dxa"/>
            <w:shd w:val="clear" w:color="auto" w:fill="auto"/>
            <w:tcMar>
              <w:left w:w="85" w:type="dxa"/>
              <w:right w:w="85" w:type="dxa"/>
            </w:tcMar>
          </w:tcPr>
          <w:p w14:paraId="533A91D8" w14:textId="77777777" w:rsidR="006D123E" w:rsidRPr="00261B7A" w:rsidRDefault="006D123E" w:rsidP="009C63CA">
            <w:pPr>
              <w:pStyle w:val="TableText"/>
              <w:spacing w:before="40" w:after="40"/>
              <w:jc w:val="center"/>
              <w:rPr>
                <w:rFonts w:cs="Calibri"/>
                <w:szCs w:val="16"/>
              </w:rPr>
            </w:pPr>
          </w:p>
        </w:tc>
      </w:tr>
      <w:tr w:rsidR="006D123E" w:rsidRPr="00261B7A" w14:paraId="604ADE70" w14:textId="77777777" w:rsidTr="009C63CA">
        <w:tc>
          <w:tcPr>
            <w:tcW w:w="1276" w:type="dxa"/>
            <w:shd w:val="clear" w:color="auto" w:fill="auto"/>
            <w:tcMar>
              <w:left w:w="85" w:type="dxa"/>
              <w:right w:w="85" w:type="dxa"/>
            </w:tcMar>
          </w:tcPr>
          <w:p w14:paraId="78293EFC" w14:textId="77777777" w:rsidR="006D123E" w:rsidRPr="00261B7A" w:rsidRDefault="006D123E" w:rsidP="009C63CA">
            <w:pPr>
              <w:pStyle w:val="TableText"/>
              <w:spacing w:before="40" w:after="40"/>
              <w:rPr>
                <w:rFonts w:cs="Calibri"/>
                <w:szCs w:val="16"/>
              </w:rPr>
            </w:pPr>
            <w:r w:rsidRPr="00261B7A">
              <w:rPr>
                <w:rFonts w:cs="Calibri"/>
                <w:szCs w:val="16"/>
              </w:rPr>
              <w:t>Wetland</w:t>
            </w:r>
          </w:p>
        </w:tc>
        <w:tc>
          <w:tcPr>
            <w:tcW w:w="941" w:type="dxa"/>
            <w:shd w:val="clear" w:color="auto" w:fill="auto"/>
            <w:tcMar>
              <w:left w:w="85" w:type="dxa"/>
              <w:right w:w="85" w:type="dxa"/>
            </w:tcMar>
          </w:tcPr>
          <w:p w14:paraId="61624C98"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1015" w:type="dxa"/>
            <w:shd w:val="clear" w:color="auto" w:fill="auto"/>
            <w:tcMar>
              <w:left w:w="85" w:type="dxa"/>
              <w:right w:w="85" w:type="dxa"/>
            </w:tcMar>
          </w:tcPr>
          <w:p w14:paraId="13215796"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860" w:type="dxa"/>
            <w:shd w:val="clear" w:color="auto" w:fill="auto"/>
            <w:tcMar>
              <w:left w:w="85" w:type="dxa"/>
              <w:right w:w="85" w:type="dxa"/>
            </w:tcMar>
          </w:tcPr>
          <w:p w14:paraId="0129CC58" w14:textId="77777777" w:rsidR="006D123E" w:rsidRPr="00261B7A" w:rsidRDefault="006D123E" w:rsidP="009C63CA">
            <w:pPr>
              <w:pStyle w:val="TableText"/>
              <w:spacing w:before="40" w:after="40"/>
              <w:jc w:val="center"/>
              <w:rPr>
                <w:rFonts w:cs="Calibri"/>
                <w:szCs w:val="16"/>
              </w:rPr>
            </w:pPr>
            <w:r w:rsidRPr="00261B7A">
              <w:rPr>
                <w:rFonts w:cs="Calibri"/>
                <w:szCs w:val="16"/>
              </w:rPr>
              <w:t>A/FM</w:t>
            </w:r>
          </w:p>
        </w:tc>
        <w:tc>
          <w:tcPr>
            <w:tcW w:w="846" w:type="dxa"/>
            <w:shd w:val="clear" w:color="auto" w:fill="auto"/>
            <w:tcMar>
              <w:left w:w="85" w:type="dxa"/>
              <w:right w:w="85" w:type="dxa"/>
            </w:tcMar>
          </w:tcPr>
          <w:p w14:paraId="3B90FDF2" w14:textId="77777777" w:rsidR="006D123E" w:rsidRPr="00261B7A" w:rsidRDefault="006D123E" w:rsidP="009C63CA">
            <w:pPr>
              <w:pStyle w:val="TableText"/>
              <w:spacing w:before="40" w:after="40"/>
              <w:jc w:val="center"/>
              <w:rPr>
                <w:rFonts w:cs="Calibri"/>
                <w:szCs w:val="16"/>
              </w:rPr>
            </w:pPr>
          </w:p>
        </w:tc>
        <w:tc>
          <w:tcPr>
            <w:tcW w:w="860" w:type="dxa"/>
            <w:shd w:val="clear" w:color="auto" w:fill="auto"/>
            <w:tcMar>
              <w:left w:w="85" w:type="dxa"/>
              <w:right w:w="85" w:type="dxa"/>
            </w:tcMar>
          </w:tcPr>
          <w:p w14:paraId="446B0CAC" w14:textId="77777777" w:rsidR="006D123E" w:rsidRPr="00261B7A" w:rsidRDefault="006D123E" w:rsidP="009C63CA">
            <w:pPr>
              <w:pStyle w:val="TableText"/>
              <w:spacing w:before="40" w:after="40"/>
              <w:jc w:val="center"/>
              <w:rPr>
                <w:rFonts w:cs="Calibri"/>
                <w:szCs w:val="16"/>
              </w:rPr>
            </w:pPr>
          </w:p>
        </w:tc>
        <w:tc>
          <w:tcPr>
            <w:tcW w:w="790" w:type="dxa"/>
            <w:shd w:val="clear" w:color="auto" w:fill="auto"/>
            <w:tcMar>
              <w:left w:w="85" w:type="dxa"/>
              <w:right w:w="85" w:type="dxa"/>
            </w:tcMar>
          </w:tcPr>
          <w:p w14:paraId="59D20D08" w14:textId="77777777" w:rsidR="006D123E" w:rsidRPr="00261B7A" w:rsidRDefault="006D123E" w:rsidP="009C63CA">
            <w:pPr>
              <w:pStyle w:val="TableText"/>
              <w:spacing w:before="40" w:after="40"/>
              <w:jc w:val="center"/>
              <w:rPr>
                <w:rFonts w:cs="Calibri"/>
                <w:szCs w:val="16"/>
              </w:rPr>
            </w:pPr>
          </w:p>
        </w:tc>
        <w:tc>
          <w:tcPr>
            <w:tcW w:w="1015" w:type="dxa"/>
            <w:shd w:val="clear" w:color="auto" w:fill="auto"/>
            <w:tcMar>
              <w:left w:w="85" w:type="dxa"/>
              <w:right w:w="85" w:type="dxa"/>
            </w:tcMar>
          </w:tcPr>
          <w:p w14:paraId="6A4AD0FB" w14:textId="77777777" w:rsidR="006D123E" w:rsidRPr="00261B7A" w:rsidRDefault="006D123E" w:rsidP="009C63CA">
            <w:pPr>
              <w:pStyle w:val="TableText"/>
              <w:spacing w:before="40" w:after="40"/>
              <w:jc w:val="center"/>
              <w:rPr>
                <w:rFonts w:cs="Calibri"/>
                <w:szCs w:val="16"/>
              </w:rPr>
            </w:pPr>
          </w:p>
        </w:tc>
        <w:tc>
          <w:tcPr>
            <w:tcW w:w="902" w:type="dxa"/>
            <w:shd w:val="clear" w:color="auto" w:fill="auto"/>
            <w:tcMar>
              <w:left w:w="85" w:type="dxa"/>
              <w:right w:w="85" w:type="dxa"/>
            </w:tcMar>
          </w:tcPr>
          <w:p w14:paraId="53402EA9" w14:textId="77777777" w:rsidR="006D123E" w:rsidRPr="00261B7A" w:rsidRDefault="006D123E" w:rsidP="009C63CA">
            <w:pPr>
              <w:pStyle w:val="TableText"/>
              <w:spacing w:before="40" w:after="40"/>
              <w:jc w:val="center"/>
              <w:rPr>
                <w:rFonts w:cs="Calibri"/>
                <w:szCs w:val="16"/>
              </w:rPr>
            </w:pPr>
          </w:p>
        </w:tc>
      </w:tr>
      <w:tr w:rsidR="006D123E" w:rsidRPr="00261B7A" w14:paraId="69F6E982" w14:textId="77777777" w:rsidTr="009C63CA">
        <w:tc>
          <w:tcPr>
            <w:tcW w:w="1276" w:type="dxa"/>
            <w:shd w:val="clear" w:color="auto" w:fill="auto"/>
            <w:tcMar>
              <w:left w:w="85" w:type="dxa"/>
              <w:right w:w="85" w:type="dxa"/>
            </w:tcMar>
          </w:tcPr>
          <w:p w14:paraId="33444EBF" w14:textId="77777777" w:rsidR="006D123E" w:rsidRPr="00261B7A" w:rsidRDefault="006D123E" w:rsidP="009C63CA">
            <w:pPr>
              <w:pStyle w:val="TableText"/>
              <w:spacing w:before="40" w:after="40"/>
              <w:rPr>
                <w:rFonts w:cs="Calibri"/>
                <w:szCs w:val="16"/>
              </w:rPr>
            </w:pPr>
            <w:r w:rsidRPr="00261B7A">
              <w:rPr>
                <w:rFonts w:cs="Calibri"/>
                <w:szCs w:val="16"/>
              </w:rPr>
              <w:t>Settlements</w:t>
            </w:r>
          </w:p>
        </w:tc>
        <w:tc>
          <w:tcPr>
            <w:tcW w:w="941" w:type="dxa"/>
            <w:shd w:val="clear" w:color="auto" w:fill="auto"/>
            <w:tcMar>
              <w:left w:w="85" w:type="dxa"/>
              <w:right w:w="85" w:type="dxa"/>
            </w:tcMar>
          </w:tcPr>
          <w:p w14:paraId="5E8DC9FB"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1015" w:type="dxa"/>
            <w:shd w:val="clear" w:color="auto" w:fill="auto"/>
            <w:tcMar>
              <w:left w:w="85" w:type="dxa"/>
              <w:right w:w="85" w:type="dxa"/>
            </w:tcMar>
          </w:tcPr>
          <w:p w14:paraId="008A7ECD"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860" w:type="dxa"/>
            <w:shd w:val="clear" w:color="auto" w:fill="auto"/>
            <w:tcMar>
              <w:left w:w="85" w:type="dxa"/>
              <w:right w:w="85" w:type="dxa"/>
            </w:tcMar>
          </w:tcPr>
          <w:p w14:paraId="5C2F1F11" w14:textId="77777777" w:rsidR="006D123E" w:rsidRPr="00261B7A" w:rsidRDefault="006D123E" w:rsidP="009C63CA">
            <w:pPr>
              <w:pStyle w:val="TableText"/>
              <w:spacing w:before="40" w:after="40"/>
              <w:jc w:val="center"/>
              <w:rPr>
                <w:rFonts w:cs="Calibri"/>
                <w:szCs w:val="16"/>
              </w:rPr>
            </w:pPr>
            <w:r w:rsidRPr="00261B7A">
              <w:rPr>
                <w:rFonts w:cs="Calibri"/>
                <w:szCs w:val="16"/>
              </w:rPr>
              <w:t>A/FM</w:t>
            </w:r>
          </w:p>
        </w:tc>
        <w:tc>
          <w:tcPr>
            <w:tcW w:w="846" w:type="dxa"/>
            <w:shd w:val="clear" w:color="auto" w:fill="auto"/>
            <w:tcMar>
              <w:left w:w="85" w:type="dxa"/>
              <w:right w:w="85" w:type="dxa"/>
            </w:tcMar>
          </w:tcPr>
          <w:p w14:paraId="16C7A98B" w14:textId="77777777" w:rsidR="006D123E" w:rsidRPr="00261B7A" w:rsidRDefault="006D123E" w:rsidP="009C63CA">
            <w:pPr>
              <w:pStyle w:val="TableText"/>
              <w:spacing w:before="40" w:after="40"/>
              <w:jc w:val="center"/>
              <w:rPr>
                <w:rFonts w:cs="Calibri"/>
                <w:szCs w:val="16"/>
              </w:rPr>
            </w:pPr>
          </w:p>
        </w:tc>
        <w:tc>
          <w:tcPr>
            <w:tcW w:w="860" w:type="dxa"/>
            <w:shd w:val="clear" w:color="auto" w:fill="auto"/>
            <w:tcMar>
              <w:left w:w="85" w:type="dxa"/>
              <w:right w:w="85" w:type="dxa"/>
            </w:tcMar>
          </w:tcPr>
          <w:p w14:paraId="04BFFAB0" w14:textId="77777777" w:rsidR="006D123E" w:rsidRPr="00261B7A" w:rsidRDefault="006D123E" w:rsidP="009C63CA">
            <w:pPr>
              <w:pStyle w:val="TableText"/>
              <w:spacing w:before="40" w:after="40"/>
              <w:jc w:val="center"/>
              <w:rPr>
                <w:rFonts w:cs="Calibri"/>
                <w:szCs w:val="16"/>
              </w:rPr>
            </w:pPr>
          </w:p>
        </w:tc>
        <w:tc>
          <w:tcPr>
            <w:tcW w:w="790" w:type="dxa"/>
            <w:shd w:val="clear" w:color="auto" w:fill="auto"/>
            <w:tcMar>
              <w:left w:w="85" w:type="dxa"/>
              <w:right w:w="85" w:type="dxa"/>
            </w:tcMar>
          </w:tcPr>
          <w:p w14:paraId="5400E676" w14:textId="77777777" w:rsidR="006D123E" w:rsidRPr="00261B7A" w:rsidRDefault="006D123E" w:rsidP="009C63CA">
            <w:pPr>
              <w:pStyle w:val="TableText"/>
              <w:spacing w:before="40" w:after="40"/>
              <w:jc w:val="center"/>
              <w:rPr>
                <w:rFonts w:cs="Calibri"/>
                <w:szCs w:val="16"/>
              </w:rPr>
            </w:pPr>
          </w:p>
        </w:tc>
        <w:tc>
          <w:tcPr>
            <w:tcW w:w="1015" w:type="dxa"/>
            <w:shd w:val="clear" w:color="auto" w:fill="auto"/>
            <w:tcMar>
              <w:left w:w="85" w:type="dxa"/>
              <w:right w:w="85" w:type="dxa"/>
            </w:tcMar>
          </w:tcPr>
          <w:p w14:paraId="4196235F" w14:textId="77777777" w:rsidR="006D123E" w:rsidRPr="00261B7A" w:rsidRDefault="006D123E" w:rsidP="009C63CA">
            <w:pPr>
              <w:pStyle w:val="TableText"/>
              <w:spacing w:before="40" w:after="40"/>
              <w:jc w:val="center"/>
              <w:rPr>
                <w:rFonts w:cs="Calibri"/>
                <w:szCs w:val="16"/>
              </w:rPr>
            </w:pPr>
          </w:p>
        </w:tc>
        <w:tc>
          <w:tcPr>
            <w:tcW w:w="902" w:type="dxa"/>
            <w:shd w:val="clear" w:color="auto" w:fill="auto"/>
            <w:tcMar>
              <w:left w:w="85" w:type="dxa"/>
              <w:right w:w="85" w:type="dxa"/>
            </w:tcMar>
          </w:tcPr>
          <w:p w14:paraId="37D7B992" w14:textId="77777777" w:rsidR="006D123E" w:rsidRPr="00261B7A" w:rsidRDefault="006D123E" w:rsidP="009C63CA">
            <w:pPr>
              <w:pStyle w:val="TableText"/>
              <w:spacing w:before="40" w:after="40"/>
              <w:jc w:val="center"/>
              <w:rPr>
                <w:rFonts w:cs="Calibri"/>
                <w:szCs w:val="16"/>
              </w:rPr>
            </w:pPr>
          </w:p>
        </w:tc>
      </w:tr>
      <w:tr w:rsidR="006D123E" w:rsidRPr="00261B7A" w14:paraId="108ED9D3" w14:textId="77777777" w:rsidTr="009C63CA">
        <w:tc>
          <w:tcPr>
            <w:tcW w:w="1276" w:type="dxa"/>
            <w:shd w:val="clear" w:color="auto" w:fill="auto"/>
            <w:tcMar>
              <w:left w:w="85" w:type="dxa"/>
              <w:right w:w="85" w:type="dxa"/>
            </w:tcMar>
          </w:tcPr>
          <w:p w14:paraId="40690767" w14:textId="77777777" w:rsidR="006D123E" w:rsidRPr="00261B7A" w:rsidRDefault="006D123E" w:rsidP="009C63CA">
            <w:pPr>
              <w:pStyle w:val="TableText"/>
              <w:spacing w:before="40" w:after="40"/>
              <w:rPr>
                <w:rFonts w:cs="Calibri"/>
                <w:szCs w:val="16"/>
              </w:rPr>
            </w:pPr>
            <w:r w:rsidRPr="00261B7A">
              <w:rPr>
                <w:rFonts w:cs="Calibri"/>
                <w:szCs w:val="16"/>
              </w:rPr>
              <w:t>Other land</w:t>
            </w:r>
          </w:p>
        </w:tc>
        <w:tc>
          <w:tcPr>
            <w:tcW w:w="941" w:type="dxa"/>
            <w:shd w:val="clear" w:color="auto" w:fill="auto"/>
            <w:tcMar>
              <w:left w:w="85" w:type="dxa"/>
              <w:right w:w="85" w:type="dxa"/>
            </w:tcMar>
          </w:tcPr>
          <w:p w14:paraId="184DD8D5"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1015" w:type="dxa"/>
            <w:shd w:val="clear" w:color="auto" w:fill="auto"/>
            <w:tcMar>
              <w:left w:w="85" w:type="dxa"/>
              <w:right w:w="85" w:type="dxa"/>
            </w:tcMar>
          </w:tcPr>
          <w:p w14:paraId="7D8411C2" w14:textId="77777777" w:rsidR="006D123E" w:rsidRPr="00261B7A" w:rsidRDefault="006D123E" w:rsidP="009C63CA">
            <w:pPr>
              <w:pStyle w:val="TableText"/>
              <w:spacing w:before="40" w:after="40"/>
              <w:jc w:val="center"/>
              <w:rPr>
                <w:rFonts w:cs="Calibri"/>
                <w:szCs w:val="16"/>
              </w:rPr>
            </w:pPr>
            <w:r w:rsidRPr="00261B7A">
              <w:rPr>
                <w:rFonts w:cs="Calibri"/>
                <w:szCs w:val="16"/>
              </w:rPr>
              <w:t>*D</w:t>
            </w:r>
          </w:p>
        </w:tc>
        <w:tc>
          <w:tcPr>
            <w:tcW w:w="860" w:type="dxa"/>
            <w:shd w:val="clear" w:color="auto" w:fill="auto"/>
            <w:tcMar>
              <w:left w:w="85" w:type="dxa"/>
              <w:right w:w="85" w:type="dxa"/>
            </w:tcMar>
          </w:tcPr>
          <w:p w14:paraId="4EAA2A06" w14:textId="77777777" w:rsidR="006D123E" w:rsidRPr="00261B7A" w:rsidRDefault="006D123E" w:rsidP="009C63CA">
            <w:pPr>
              <w:pStyle w:val="TableText"/>
              <w:spacing w:before="40" w:after="40"/>
              <w:jc w:val="center"/>
              <w:rPr>
                <w:rFonts w:cs="Calibri"/>
                <w:szCs w:val="16"/>
              </w:rPr>
            </w:pPr>
            <w:r w:rsidRPr="00261B7A">
              <w:rPr>
                <w:rFonts w:cs="Calibri"/>
                <w:szCs w:val="16"/>
              </w:rPr>
              <w:t>A/FM</w:t>
            </w:r>
          </w:p>
        </w:tc>
        <w:tc>
          <w:tcPr>
            <w:tcW w:w="846" w:type="dxa"/>
            <w:shd w:val="clear" w:color="auto" w:fill="auto"/>
            <w:tcMar>
              <w:left w:w="85" w:type="dxa"/>
              <w:right w:w="85" w:type="dxa"/>
            </w:tcMar>
          </w:tcPr>
          <w:p w14:paraId="711B0D68" w14:textId="77777777" w:rsidR="006D123E" w:rsidRPr="00261B7A" w:rsidRDefault="006D123E" w:rsidP="009C63CA">
            <w:pPr>
              <w:pStyle w:val="TableText"/>
              <w:spacing w:before="40" w:after="40"/>
              <w:jc w:val="center"/>
              <w:rPr>
                <w:rFonts w:cs="Calibri"/>
                <w:szCs w:val="16"/>
              </w:rPr>
            </w:pPr>
          </w:p>
        </w:tc>
        <w:tc>
          <w:tcPr>
            <w:tcW w:w="860" w:type="dxa"/>
            <w:shd w:val="clear" w:color="auto" w:fill="auto"/>
            <w:tcMar>
              <w:left w:w="85" w:type="dxa"/>
              <w:right w:w="85" w:type="dxa"/>
            </w:tcMar>
          </w:tcPr>
          <w:p w14:paraId="35DE37D5" w14:textId="77777777" w:rsidR="006D123E" w:rsidRPr="00261B7A" w:rsidRDefault="006D123E" w:rsidP="009C63CA">
            <w:pPr>
              <w:pStyle w:val="TableText"/>
              <w:spacing w:before="40" w:after="40"/>
              <w:jc w:val="center"/>
              <w:rPr>
                <w:rFonts w:cs="Calibri"/>
                <w:szCs w:val="16"/>
              </w:rPr>
            </w:pPr>
          </w:p>
        </w:tc>
        <w:tc>
          <w:tcPr>
            <w:tcW w:w="790" w:type="dxa"/>
            <w:shd w:val="clear" w:color="auto" w:fill="auto"/>
            <w:tcMar>
              <w:left w:w="85" w:type="dxa"/>
              <w:right w:w="85" w:type="dxa"/>
            </w:tcMar>
          </w:tcPr>
          <w:p w14:paraId="2910B355" w14:textId="77777777" w:rsidR="006D123E" w:rsidRPr="00261B7A" w:rsidRDefault="006D123E" w:rsidP="009C63CA">
            <w:pPr>
              <w:pStyle w:val="TableText"/>
              <w:spacing w:before="40" w:after="40"/>
              <w:jc w:val="center"/>
              <w:rPr>
                <w:rFonts w:cs="Calibri"/>
                <w:szCs w:val="16"/>
              </w:rPr>
            </w:pPr>
          </w:p>
        </w:tc>
        <w:tc>
          <w:tcPr>
            <w:tcW w:w="1015" w:type="dxa"/>
            <w:shd w:val="clear" w:color="auto" w:fill="auto"/>
            <w:tcMar>
              <w:left w:w="85" w:type="dxa"/>
              <w:right w:w="85" w:type="dxa"/>
            </w:tcMar>
          </w:tcPr>
          <w:p w14:paraId="00BC8C44" w14:textId="77777777" w:rsidR="006D123E" w:rsidRPr="00261B7A" w:rsidRDefault="006D123E" w:rsidP="009C63CA">
            <w:pPr>
              <w:pStyle w:val="TableText"/>
              <w:spacing w:before="40" w:after="40"/>
              <w:jc w:val="center"/>
              <w:rPr>
                <w:rFonts w:cs="Calibri"/>
                <w:szCs w:val="16"/>
              </w:rPr>
            </w:pPr>
          </w:p>
        </w:tc>
        <w:tc>
          <w:tcPr>
            <w:tcW w:w="902" w:type="dxa"/>
            <w:shd w:val="clear" w:color="auto" w:fill="auto"/>
            <w:tcMar>
              <w:left w:w="85" w:type="dxa"/>
              <w:right w:w="85" w:type="dxa"/>
            </w:tcMar>
          </w:tcPr>
          <w:p w14:paraId="5C5DABA6" w14:textId="77777777" w:rsidR="006D123E" w:rsidRPr="00261B7A" w:rsidRDefault="006D123E" w:rsidP="009C63CA">
            <w:pPr>
              <w:pStyle w:val="TableText"/>
              <w:spacing w:before="40" w:after="40"/>
              <w:jc w:val="center"/>
              <w:rPr>
                <w:rFonts w:cs="Calibri"/>
                <w:szCs w:val="16"/>
              </w:rPr>
            </w:pPr>
          </w:p>
        </w:tc>
      </w:tr>
    </w:tbl>
    <w:p w14:paraId="53471C6A" w14:textId="77777777" w:rsidR="006D123E" w:rsidRPr="00261B7A" w:rsidRDefault="006D123E" w:rsidP="006D123E">
      <w:pPr>
        <w:pStyle w:val="Noteundertable"/>
      </w:pPr>
      <w:r w:rsidRPr="00261B7A">
        <w:rPr>
          <w:b/>
        </w:rPr>
        <w:t>Note:</w:t>
      </w:r>
      <w:r w:rsidRPr="00261B7A">
        <w:t xml:space="preserve"> </w:t>
      </w:r>
      <w:r w:rsidRPr="00261B7A">
        <w:tab/>
        <w:t xml:space="preserve">A = </w:t>
      </w:r>
      <w:r w:rsidRPr="00261B7A">
        <w:rPr>
          <w:i/>
        </w:rPr>
        <w:t>Afforestation and reforestation</w:t>
      </w:r>
      <w:r w:rsidRPr="00261B7A">
        <w:t xml:space="preserve">; D = </w:t>
      </w:r>
      <w:r w:rsidRPr="00261B7A">
        <w:rPr>
          <w:i/>
        </w:rPr>
        <w:t>Deforestation</w:t>
      </w:r>
      <w:r w:rsidRPr="00261B7A">
        <w:t xml:space="preserve">; FM = </w:t>
      </w:r>
      <w:r w:rsidRPr="00261B7A">
        <w:rPr>
          <w:i/>
        </w:rPr>
        <w:t>Forest management</w:t>
      </w:r>
      <w:r w:rsidRPr="00261B7A">
        <w:t xml:space="preserve">; A/FM indicates that a forest establishment activity could be accounted for under </w:t>
      </w:r>
      <w:r w:rsidRPr="00261B7A">
        <w:rPr>
          <w:i/>
        </w:rPr>
        <w:t>Forest management</w:t>
      </w:r>
      <w:r w:rsidRPr="00261B7A">
        <w:t xml:space="preserve"> if the land is subject to the carbon equivalent forest provision; D/FM indicates that a forest harvest and conversion activity could be accounted for under </w:t>
      </w:r>
      <w:r w:rsidRPr="00261B7A">
        <w:rPr>
          <w:i/>
        </w:rPr>
        <w:t>Forest management</w:t>
      </w:r>
      <w:r w:rsidRPr="00261B7A">
        <w:t xml:space="preserve"> if the land is subject to the carbon equivalent forest provision; </w:t>
      </w:r>
      <w:r w:rsidRPr="00261B7A">
        <w:br/>
        <w:t xml:space="preserve">‘–’ denotes land-use changes that are not possible given the land use definitions; ‘*D’ denotes land-use changes that are valid only if the land was forested at 1990, in which case the land use transition is accounted for under deforestation (e.g., pre-1990 planted forest converted to grassland since 1990 that is later converted back to pre-1990 planted forest would be reported under </w:t>
      </w:r>
      <w:r w:rsidRPr="00261B7A">
        <w:rPr>
          <w:i/>
        </w:rPr>
        <w:t>Deforestation</w:t>
      </w:r>
      <w:r w:rsidRPr="00261B7A">
        <w:t xml:space="preserve">). </w:t>
      </w:r>
    </w:p>
    <w:p w14:paraId="6A19E127" w14:textId="77777777" w:rsidR="006D123E" w:rsidRPr="00261B7A" w:rsidRDefault="006D123E" w:rsidP="006D123E">
      <w:pPr>
        <w:pStyle w:val="BodyText"/>
      </w:pPr>
      <w:r w:rsidRPr="00261B7A">
        <w:t>Mapping of land-use change is described in chapter 6, section 6.2, and annex 3, section A3.2.2. Further information on the estimation of the total area of afforested and reforested land occurring between 2008 and 2021 can be found in annex 3, section A3.2.2.</w:t>
      </w:r>
    </w:p>
    <w:p w14:paraId="7DDF7C6A" w14:textId="77777777" w:rsidR="006D123E" w:rsidRPr="00261B7A" w:rsidRDefault="006D123E" w:rsidP="006D123E">
      <w:pPr>
        <w:pStyle w:val="BodyText"/>
      </w:pPr>
      <w:r w:rsidRPr="00261B7A">
        <w:t>Accurate classification of pre-1990 forest is essential to correctly determine the area reported as afforested and reforested in the land transition matrix. Satellite imagery at various dates near to 1990 and mapping from the New Zealand Emissions Trading Scheme (NZ ETS) have been used to ensure these forests are classified correctly. This process is shown in annex 3, section A3.2, figure A3.2.2.</w:t>
      </w:r>
    </w:p>
    <w:p w14:paraId="01B4FA41" w14:textId="77777777" w:rsidR="006D123E" w:rsidRPr="00261B7A" w:rsidRDefault="006D123E" w:rsidP="006D123E">
      <w:pPr>
        <w:pStyle w:val="BodyText"/>
      </w:pPr>
      <w:r w:rsidRPr="00261B7A">
        <w:t xml:space="preserve">Transitions to </w:t>
      </w:r>
      <w:r w:rsidRPr="00261B7A">
        <w:rPr>
          <w:spacing w:val="-2"/>
        </w:rPr>
        <w:t>deforestation</w:t>
      </w:r>
      <w:r w:rsidRPr="00261B7A">
        <w:t xml:space="preserve"> are based on deforestation mapping, as described in annex 3, section A3.2.2.</w:t>
      </w:r>
    </w:p>
    <w:p w14:paraId="16F139F3" w14:textId="77777777" w:rsidR="006D123E" w:rsidRPr="00261B7A" w:rsidRDefault="006D123E" w:rsidP="006D123E">
      <w:pPr>
        <w:pStyle w:val="Heading3"/>
      </w:pPr>
      <w:bookmarkStart w:id="2997" w:name="_Toc261513287"/>
      <w:bookmarkStart w:id="2998" w:name="_Toc261513900"/>
      <w:bookmarkStart w:id="2999" w:name="_Toc280630390"/>
      <w:bookmarkStart w:id="3000" w:name="_Toc377043721"/>
      <w:bookmarkStart w:id="3001" w:name="_Toc400967259"/>
      <w:r w:rsidRPr="00261B7A">
        <w:t xml:space="preserve">11.2.3 </w:t>
      </w:r>
      <w:r w:rsidRPr="00261B7A">
        <w:tab/>
        <w:t>Identifying geographical locations</w:t>
      </w:r>
      <w:bookmarkEnd w:id="2997"/>
      <w:bookmarkEnd w:id="2998"/>
      <w:bookmarkEnd w:id="2999"/>
      <w:bookmarkEnd w:id="3000"/>
      <w:bookmarkEnd w:id="3001"/>
    </w:p>
    <w:p w14:paraId="3F48EACF" w14:textId="77777777" w:rsidR="006D123E" w:rsidRPr="00261B7A" w:rsidRDefault="006D123E" w:rsidP="006D123E">
      <w:pPr>
        <w:pStyle w:val="BodyText"/>
      </w:pPr>
      <w:r w:rsidRPr="00261B7A">
        <w:t xml:space="preserve">New Zealand has used Reporting Methods 1 and 2 for preparing estimates of emissions and removals for </w:t>
      </w:r>
      <w:r w:rsidRPr="00261B7A">
        <w:rPr>
          <w:i/>
        </w:rPr>
        <w:t>Afforestation</w:t>
      </w:r>
      <w:r w:rsidRPr="00261B7A">
        <w:t xml:space="preserve"> </w:t>
      </w:r>
      <w:r w:rsidRPr="00261B7A">
        <w:rPr>
          <w:i/>
        </w:rPr>
        <w:t>and</w:t>
      </w:r>
      <w:r w:rsidRPr="00261B7A">
        <w:t xml:space="preserve"> </w:t>
      </w:r>
      <w:r w:rsidRPr="00261B7A">
        <w:rPr>
          <w:i/>
        </w:rPr>
        <w:t>reforestation</w:t>
      </w:r>
      <w:r w:rsidRPr="00261B7A">
        <w:t xml:space="preserve"> and </w:t>
      </w:r>
      <w:r w:rsidRPr="00261B7A">
        <w:rPr>
          <w:i/>
          <w:spacing w:val="-2"/>
        </w:rPr>
        <w:t>Deforestation</w:t>
      </w:r>
      <w:r w:rsidRPr="00261B7A">
        <w:t xml:space="preserve">, and Approaches 2 and 3 to map land-use change. Wall-to-wall mapping is completed every four to five years, with national statistics and ancillary mapping data used in the intervening years to estimate afforested, reforested or </w:t>
      </w:r>
      <w:r w:rsidRPr="00261B7A">
        <w:rPr>
          <w:spacing w:val="-2"/>
        </w:rPr>
        <w:t>deforested areas</w:t>
      </w:r>
      <w:r w:rsidRPr="00261B7A">
        <w:t>.</w:t>
      </w:r>
    </w:p>
    <w:p w14:paraId="6B64D546" w14:textId="77777777" w:rsidR="006D123E" w:rsidRPr="00261B7A" w:rsidRDefault="006D123E" w:rsidP="006D123E">
      <w:pPr>
        <w:pStyle w:val="BodyText"/>
      </w:pPr>
      <w:r w:rsidRPr="00261B7A">
        <w:t xml:space="preserve">Included in New Zealand’s geographical extent are the following uninhabited offshore islands: Kermadec Islands, Three Kings Islands and Subantarctic Islands (Auckland Islands, Campbell Island, Antipodes Islands, Bounty Islands and Snares Islands). These islands are protected conservation sites with a total area of 74,052 hectares. They are not subject to land-use change and are therefore reported in a steady state of land use. </w:t>
      </w:r>
    </w:p>
    <w:p w14:paraId="1656C29D" w14:textId="77777777" w:rsidR="006D123E" w:rsidRPr="00261B7A" w:rsidRDefault="006D123E" w:rsidP="006D123E">
      <w:pPr>
        <w:pStyle w:val="Heading2"/>
        <w:spacing w:before="240"/>
      </w:pPr>
      <w:bookmarkStart w:id="3002" w:name="_Toc261513288"/>
      <w:bookmarkStart w:id="3003" w:name="_Toc261513901"/>
      <w:bookmarkStart w:id="3004" w:name="_Toc280630391"/>
      <w:bookmarkStart w:id="3005" w:name="_Toc310423466"/>
      <w:bookmarkStart w:id="3006" w:name="_Toc342470734"/>
      <w:bookmarkStart w:id="3007" w:name="_Toc352504893"/>
      <w:bookmarkStart w:id="3008" w:name="_Toc377043722"/>
      <w:bookmarkStart w:id="3009" w:name="_Toc391023463"/>
      <w:bookmarkStart w:id="3010" w:name="_Toc400967260"/>
      <w:bookmarkStart w:id="3011" w:name="_Toc414531342"/>
      <w:bookmarkStart w:id="3012" w:name="_Toc456179171"/>
      <w:bookmarkStart w:id="3013" w:name="_Toc481751424"/>
      <w:bookmarkStart w:id="3014" w:name="_Toc522013963"/>
      <w:bookmarkStart w:id="3015" w:name="_Toc5269407"/>
      <w:bookmarkStart w:id="3016" w:name="_Toc36224447"/>
      <w:bookmarkStart w:id="3017" w:name="_Toc68786367"/>
      <w:bookmarkStart w:id="3018" w:name="_Toc131591281"/>
      <w:r w:rsidRPr="00261B7A">
        <w:t>11.3</w:t>
      </w:r>
      <w:r w:rsidRPr="00261B7A">
        <w:tab/>
        <w:t>Activity-specific information</w:t>
      </w:r>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p>
    <w:p w14:paraId="1974AEF8" w14:textId="77777777" w:rsidR="006D123E" w:rsidRPr="00261B7A" w:rsidRDefault="006D123E" w:rsidP="006D123E">
      <w:pPr>
        <w:pStyle w:val="Heading3"/>
        <w:spacing w:before="160"/>
      </w:pPr>
      <w:r w:rsidRPr="00261B7A">
        <w:t>11.3.1</w:t>
      </w:r>
      <w:r w:rsidRPr="00261B7A">
        <w:tab/>
        <w:t>Estimating carbon stock change</w:t>
      </w:r>
    </w:p>
    <w:p w14:paraId="2C6920D5" w14:textId="77777777" w:rsidR="006D123E" w:rsidRPr="00261B7A" w:rsidRDefault="006D123E" w:rsidP="006D123E">
      <w:pPr>
        <w:pStyle w:val="BodyText"/>
      </w:pPr>
      <w:r w:rsidRPr="00261B7A">
        <w:t xml:space="preserve">Emissions and removals from </w:t>
      </w:r>
      <w:r w:rsidRPr="00261B7A">
        <w:rPr>
          <w:i/>
        </w:rPr>
        <w:t>Afforestation and reforestation</w:t>
      </w:r>
      <w:r w:rsidRPr="00261B7A">
        <w:t xml:space="preserve">, </w:t>
      </w:r>
      <w:r w:rsidRPr="00261B7A">
        <w:rPr>
          <w:i/>
        </w:rPr>
        <w:t>Deforestation</w:t>
      </w:r>
      <w:r w:rsidRPr="00261B7A">
        <w:t xml:space="preserve"> and </w:t>
      </w:r>
      <w:r w:rsidRPr="00261B7A">
        <w:rPr>
          <w:i/>
        </w:rPr>
        <w:t>Forest</w:t>
      </w:r>
      <w:r w:rsidRPr="00261B7A">
        <w:t xml:space="preserve"> </w:t>
      </w:r>
      <w:r w:rsidRPr="00261B7A">
        <w:rPr>
          <w:i/>
        </w:rPr>
        <w:t>management</w:t>
      </w:r>
      <w:r w:rsidRPr="00261B7A">
        <w:t xml:space="preserve"> are determined using plot-network-based estimates for each type of forest (pre-1990 natural forest, pre-1990 planted forest, post-1989 planted forest and post-1989 natural forest), survey and scheme data (Manley, 2022; Ministry for Primary Industries, 2021) to determine the forest age, harvest age, and harvest age profile associated with planted forests. Carbon analyses are performed to estimate the carbon stored per hectare per pool and are described in chapter 6, section 6.3.2. </w:t>
      </w:r>
    </w:p>
    <w:p w14:paraId="581D62D2" w14:textId="77777777" w:rsidR="006D123E" w:rsidRPr="00261B7A" w:rsidRDefault="006D123E" w:rsidP="006D123E">
      <w:pPr>
        <w:pStyle w:val="Heading3"/>
        <w:spacing w:before="240"/>
      </w:pPr>
      <w:r w:rsidRPr="00261B7A">
        <w:t>11.3.2</w:t>
      </w:r>
      <w:r w:rsidRPr="00261B7A">
        <w:tab/>
        <w:t>Afforestation and reforestation (CRF 4(KP.A.1))</w:t>
      </w:r>
    </w:p>
    <w:p w14:paraId="7A64EB27" w14:textId="77777777" w:rsidR="006D123E" w:rsidRPr="00261B7A" w:rsidRDefault="006D123E" w:rsidP="006D123E">
      <w:pPr>
        <w:pStyle w:val="BodyText"/>
      </w:pPr>
      <w:r w:rsidRPr="00261B7A">
        <w:t>Between 1990 and 2021, it is estimated that 872,546 hectares of new forest (post</w:t>
      </w:r>
      <w:r w:rsidRPr="00261B7A">
        <w:noBreakHyphen/>
        <w:t xml:space="preserve">1989 forest) were established as a result of </w:t>
      </w:r>
      <w:r w:rsidRPr="00261B7A">
        <w:rPr>
          <w:i/>
        </w:rPr>
        <w:t>Afforestation and reforestation</w:t>
      </w:r>
      <w:r w:rsidRPr="00261B7A">
        <w:t xml:space="preserve"> activities (table </w:t>
      </w:r>
      <w:r w:rsidRPr="00261B7A">
        <w:rPr>
          <w:spacing w:val="-2"/>
        </w:rPr>
        <w:t>11.3.1</w:t>
      </w:r>
      <w:r w:rsidRPr="00261B7A">
        <w:t>). The net area of post-1989 forest (calculated from the total area of new forest planted since 31 December 1989 minus the deforestation of post-1989 forest since 1 January 1990) as at the end of 2021 was 824,073</w:t>
      </w:r>
      <w:r w:rsidRPr="00261B7A">
        <w:rPr>
          <w:rFonts w:cs="Arial"/>
          <w:color w:val="000000"/>
          <w:szCs w:val="16"/>
        </w:rPr>
        <w:t xml:space="preserve"> </w:t>
      </w:r>
      <w:r w:rsidRPr="00261B7A">
        <w:t>hectares. Emissions from this land in 2021 were –11,488.3 kt CO</w:t>
      </w:r>
      <w:r w:rsidRPr="00261B7A">
        <w:rPr>
          <w:vertAlign w:val="subscript"/>
        </w:rPr>
        <w:t>2</w:t>
      </w:r>
      <w:r w:rsidRPr="00261B7A">
        <w:t xml:space="preserve">-e. Of the total area afforested or reforested between 1990 and 2021, an estimated 48,473 hectares were deforested between 1990 and 2021 (table </w:t>
      </w:r>
      <w:r w:rsidRPr="00261B7A">
        <w:rPr>
          <w:spacing w:val="-2"/>
        </w:rPr>
        <w:t>11.3.1</w:t>
      </w:r>
      <w:r w:rsidRPr="00261B7A">
        <w:t xml:space="preserve">). The emissions for this area are reported under </w:t>
      </w:r>
      <w:r w:rsidRPr="00261B7A">
        <w:rPr>
          <w:i/>
          <w:spacing w:val="-2"/>
        </w:rPr>
        <w:t>Deforestation</w:t>
      </w:r>
      <w:r w:rsidRPr="00261B7A">
        <w:t>.</w:t>
      </w:r>
    </w:p>
    <w:p w14:paraId="0C9E2158" w14:textId="77777777" w:rsidR="006D123E" w:rsidRPr="00261B7A" w:rsidRDefault="006D123E" w:rsidP="006D123E">
      <w:pPr>
        <w:pStyle w:val="BodyText"/>
      </w:pPr>
      <w:r w:rsidRPr="00261B7A">
        <w:t>New Zealand’s post-1989 forest is described in further detail in chapter 6, section 6.3.</w:t>
      </w:r>
    </w:p>
    <w:p w14:paraId="2971EF48" w14:textId="77777777" w:rsidR="006D123E" w:rsidRPr="00261B7A" w:rsidRDefault="006D123E" w:rsidP="006D123E">
      <w:pPr>
        <w:pStyle w:val="Table"/>
      </w:pPr>
      <w:bookmarkStart w:id="3019" w:name="_Toc310423440"/>
      <w:bookmarkStart w:id="3020" w:name="_Toc318362733"/>
      <w:bookmarkStart w:id="3021" w:name="_Toc342470812"/>
      <w:bookmarkStart w:id="3022" w:name="_Toc352505065"/>
      <w:bookmarkStart w:id="3023" w:name="_Toc377043701"/>
      <w:bookmarkStart w:id="3024" w:name="_Toc391023553"/>
      <w:bookmarkStart w:id="3025" w:name="_Toc414531527"/>
      <w:bookmarkStart w:id="3026" w:name="_Toc456179107"/>
      <w:bookmarkStart w:id="3027" w:name="_Toc481751633"/>
      <w:bookmarkStart w:id="3028" w:name="_Toc522010658"/>
      <w:bookmarkStart w:id="3029" w:name="_Toc5269628"/>
      <w:bookmarkStart w:id="3030" w:name="_Toc36224710"/>
      <w:bookmarkStart w:id="3031" w:name="_Toc64987045"/>
      <w:bookmarkStart w:id="3032" w:name="_Toc68786595"/>
      <w:bookmarkStart w:id="3033" w:name="_Toc95321537"/>
      <w:bookmarkStart w:id="3034" w:name="_Toc130568406"/>
      <w:bookmarkStart w:id="3035" w:name="_Toc131591499"/>
      <w:r w:rsidRPr="00261B7A">
        <w:t>Table 11.3.1</w:t>
      </w:r>
      <w:r w:rsidRPr="00261B7A">
        <w:tab/>
        <w:t xml:space="preserve">New Zealand’s estimated annual area under </w:t>
      </w:r>
      <w:r w:rsidRPr="00261B7A">
        <w:rPr>
          <w:i/>
          <w:iCs/>
        </w:rPr>
        <w:t>Afforestation and reforestation</w:t>
      </w:r>
      <w:r w:rsidRPr="00261B7A">
        <w:rPr>
          <w:vertAlign w:val="subscript"/>
        </w:rPr>
        <w:t xml:space="preserve"> </w:t>
      </w:r>
      <w:bookmarkEnd w:id="3019"/>
      <w:bookmarkEnd w:id="3020"/>
      <w:bookmarkEnd w:id="3021"/>
      <w:bookmarkEnd w:id="3022"/>
      <w:bookmarkEnd w:id="3023"/>
      <w:r w:rsidRPr="00261B7A">
        <w:t>in</w:t>
      </w:r>
      <w:bookmarkEnd w:id="3024"/>
      <w:r w:rsidRPr="00261B7A">
        <w:t> </w:t>
      </w:r>
      <w:bookmarkEnd w:id="3025"/>
      <w:bookmarkEnd w:id="3026"/>
      <w:bookmarkEnd w:id="3027"/>
      <w:bookmarkEnd w:id="3028"/>
      <w:bookmarkEnd w:id="3029"/>
      <w:bookmarkEnd w:id="3030"/>
      <w:bookmarkEnd w:id="3031"/>
      <w:bookmarkEnd w:id="3032"/>
      <w:r w:rsidRPr="00261B7A">
        <w:t>2021</w:t>
      </w:r>
      <w:bookmarkEnd w:id="3033"/>
      <w:bookmarkEnd w:id="3034"/>
      <w:bookmarkEnd w:id="3035"/>
    </w:p>
    <w:tbl>
      <w:tblPr>
        <w:tblW w:w="8505" w:type="dxa"/>
        <w:tblBorders>
          <w:top w:val="single" w:sz="4" w:space="0" w:color="1B556B"/>
          <w:bottom w:val="single" w:sz="4" w:space="0" w:color="1B556B"/>
          <w:insideH w:val="single" w:sz="4" w:space="0" w:color="1B556B"/>
          <w:insideV w:val="single" w:sz="4" w:space="0" w:color="1B556B"/>
        </w:tblBorders>
        <w:tblLayout w:type="fixed"/>
        <w:tblLook w:val="04A0" w:firstRow="1" w:lastRow="0" w:firstColumn="1" w:lastColumn="0" w:noHBand="0" w:noVBand="1"/>
      </w:tblPr>
      <w:tblGrid>
        <w:gridCol w:w="1838"/>
        <w:gridCol w:w="2410"/>
        <w:gridCol w:w="1276"/>
        <w:gridCol w:w="1417"/>
        <w:gridCol w:w="1564"/>
      </w:tblGrid>
      <w:tr w:rsidR="006D123E" w:rsidRPr="00261B7A" w14:paraId="7FBBB5F9" w14:textId="77777777" w:rsidTr="009C63CA">
        <w:trPr>
          <w:tblHeader/>
        </w:trPr>
        <w:tc>
          <w:tcPr>
            <w:tcW w:w="1838" w:type="dxa"/>
            <w:vMerge w:val="restart"/>
            <w:shd w:val="clear" w:color="auto" w:fill="1B556B"/>
            <w:vAlign w:val="bottom"/>
          </w:tcPr>
          <w:p w14:paraId="12F56D7C" w14:textId="77777777" w:rsidR="006D123E" w:rsidRPr="00261B7A" w:rsidRDefault="006D123E" w:rsidP="009C63CA">
            <w:pPr>
              <w:pStyle w:val="TableTextBold"/>
              <w:keepNext/>
              <w:spacing w:before="40" w:after="20"/>
              <w:rPr>
                <w:rFonts w:cs="Calibri"/>
                <w:noProof w:val="0"/>
                <w:color w:val="FFFFFF"/>
                <w:szCs w:val="16"/>
              </w:rPr>
            </w:pPr>
            <w:r w:rsidRPr="00261B7A">
              <w:rPr>
                <w:rFonts w:cs="Calibri"/>
                <w:noProof w:val="0"/>
                <w:color w:val="FFFFFF"/>
                <w:szCs w:val="16"/>
              </w:rPr>
              <w:t>Year</w:t>
            </w:r>
          </w:p>
        </w:tc>
        <w:tc>
          <w:tcPr>
            <w:tcW w:w="6667" w:type="dxa"/>
            <w:gridSpan w:val="4"/>
            <w:shd w:val="clear" w:color="auto" w:fill="1B556B"/>
            <w:vAlign w:val="center"/>
          </w:tcPr>
          <w:p w14:paraId="6C75D6BB" w14:textId="77777777" w:rsidR="006D123E" w:rsidRPr="00261B7A" w:rsidRDefault="006D123E" w:rsidP="009C63CA">
            <w:pPr>
              <w:pStyle w:val="TableTextBold"/>
              <w:keepNext/>
              <w:spacing w:before="40" w:after="20"/>
              <w:jc w:val="center"/>
              <w:rPr>
                <w:rFonts w:cs="Calibri"/>
                <w:bCs/>
                <w:noProof w:val="0"/>
                <w:color w:val="FFFFFF"/>
                <w:szCs w:val="16"/>
              </w:rPr>
            </w:pPr>
            <w:r w:rsidRPr="00261B7A">
              <w:rPr>
                <w:rFonts w:cs="Calibri"/>
                <w:bCs/>
                <w:noProof w:val="0"/>
                <w:color w:val="FFFFFF"/>
                <w:szCs w:val="16"/>
              </w:rPr>
              <w:t xml:space="preserve">Annual area of </w:t>
            </w:r>
            <w:r w:rsidRPr="00261B7A">
              <w:rPr>
                <w:rFonts w:cs="Calibri"/>
                <w:bCs/>
                <w:i/>
                <w:iCs/>
                <w:noProof w:val="0"/>
                <w:color w:val="FFFFFF"/>
                <w:szCs w:val="16"/>
              </w:rPr>
              <w:t>Afforestation and reforestation</w:t>
            </w:r>
            <w:r w:rsidRPr="00261B7A">
              <w:rPr>
                <w:rFonts w:cs="Calibri"/>
                <w:bCs/>
                <w:noProof w:val="0"/>
                <w:color w:val="FFFFFF"/>
                <w:szCs w:val="16"/>
              </w:rPr>
              <w:t xml:space="preserve"> (ha)</w:t>
            </w:r>
          </w:p>
        </w:tc>
      </w:tr>
      <w:tr w:rsidR="006D123E" w:rsidRPr="00261B7A" w14:paraId="37D01FA7" w14:textId="77777777" w:rsidTr="009C63CA">
        <w:trPr>
          <w:tblHeader/>
        </w:trPr>
        <w:tc>
          <w:tcPr>
            <w:tcW w:w="1838" w:type="dxa"/>
            <w:vMerge/>
            <w:shd w:val="clear" w:color="auto" w:fill="1B556B"/>
            <w:vAlign w:val="bottom"/>
          </w:tcPr>
          <w:p w14:paraId="5F40FCFA" w14:textId="77777777" w:rsidR="006D123E" w:rsidRPr="00261B7A" w:rsidRDefault="006D123E" w:rsidP="009C63CA">
            <w:pPr>
              <w:pStyle w:val="TableTextBold"/>
              <w:keepNext/>
              <w:spacing w:before="40" w:after="40"/>
              <w:rPr>
                <w:rFonts w:cs="Calibri"/>
                <w:b w:val="0"/>
                <w:bCs/>
                <w:noProof w:val="0"/>
                <w:color w:val="FFFFFF"/>
                <w:szCs w:val="16"/>
              </w:rPr>
            </w:pPr>
          </w:p>
        </w:tc>
        <w:tc>
          <w:tcPr>
            <w:tcW w:w="2410" w:type="dxa"/>
            <w:shd w:val="clear" w:color="auto" w:fill="1B556B"/>
            <w:vAlign w:val="bottom"/>
          </w:tcPr>
          <w:p w14:paraId="5B35F5D5" w14:textId="77777777" w:rsidR="006D123E" w:rsidRPr="00261B7A" w:rsidRDefault="006D123E" w:rsidP="009C63CA">
            <w:pPr>
              <w:pStyle w:val="TableTextBold"/>
              <w:spacing w:before="40" w:after="40"/>
              <w:jc w:val="right"/>
              <w:rPr>
                <w:rFonts w:cs="Calibri"/>
                <w:noProof w:val="0"/>
                <w:color w:val="FFFFFF"/>
                <w:szCs w:val="16"/>
              </w:rPr>
            </w:pPr>
            <w:r w:rsidRPr="00261B7A">
              <w:rPr>
                <w:rFonts w:cs="Calibri"/>
                <w:noProof w:val="0"/>
                <w:color w:val="FFFFFF"/>
                <w:szCs w:val="16"/>
              </w:rPr>
              <w:t>Afforestation/reforestation</w:t>
            </w:r>
            <w:r w:rsidRPr="00261B7A">
              <w:rPr>
                <w:rFonts w:cs="Calibri"/>
                <w:noProof w:val="0"/>
                <w:color w:val="FFFFFF"/>
                <w:szCs w:val="16"/>
                <w:vertAlign w:val="superscript"/>
              </w:rPr>
              <w:t>+</w:t>
            </w:r>
          </w:p>
        </w:tc>
        <w:tc>
          <w:tcPr>
            <w:tcW w:w="1276" w:type="dxa"/>
            <w:shd w:val="clear" w:color="auto" w:fill="1B556B"/>
            <w:vAlign w:val="bottom"/>
          </w:tcPr>
          <w:p w14:paraId="4024E59D" w14:textId="77777777" w:rsidR="006D123E" w:rsidRPr="00261B7A" w:rsidRDefault="006D123E" w:rsidP="009C63CA">
            <w:pPr>
              <w:pStyle w:val="TableTextBold"/>
              <w:spacing w:before="40" w:after="40"/>
              <w:jc w:val="right"/>
              <w:rPr>
                <w:rFonts w:cs="Calibri"/>
                <w:noProof w:val="0"/>
                <w:color w:val="FFFFFF"/>
                <w:szCs w:val="16"/>
              </w:rPr>
            </w:pPr>
            <w:r w:rsidRPr="00261B7A">
              <w:rPr>
                <w:rFonts w:cs="Calibri"/>
                <w:noProof w:val="0"/>
                <w:color w:val="FFFFFF"/>
                <w:szCs w:val="16"/>
              </w:rPr>
              <w:t>Harvesting</w:t>
            </w:r>
          </w:p>
        </w:tc>
        <w:tc>
          <w:tcPr>
            <w:tcW w:w="1417" w:type="dxa"/>
            <w:shd w:val="clear" w:color="auto" w:fill="1B556B"/>
            <w:vAlign w:val="bottom"/>
          </w:tcPr>
          <w:p w14:paraId="62898DD4" w14:textId="77777777" w:rsidR="006D123E" w:rsidRPr="00261B7A" w:rsidRDefault="006D123E" w:rsidP="009C63CA">
            <w:pPr>
              <w:pStyle w:val="TableTextBold"/>
              <w:spacing w:before="40" w:after="40"/>
              <w:jc w:val="right"/>
              <w:rPr>
                <w:rFonts w:cs="Calibri"/>
                <w:noProof w:val="0"/>
                <w:color w:val="FFFFFF"/>
                <w:szCs w:val="16"/>
              </w:rPr>
            </w:pPr>
            <w:r w:rsidRPr="00261B7A">
              <w:rPr>
                <w:rFonts w:cs="Calibri"/>
                <w:noProof w:val="0"/>
                <w:color w:val="FFFFFF"/>
                <w:szCs w:val="16"/>
              </w:rPr>
              <w:t>Deforestation</w:t>
            </w:r>
          </w:p>
        </w:tc>
        <w:tc>
          <w:tcPr>
            <w:tcW w:w="1564" w:type="dxa"/>
            <w:shd w:val="clear" w:color="auto" w:fill="1B556B"/>
            <w:vAlign w:val="bottom"/>
          </w:tcPr>
          <w:p w14:paraId="5212D708" w14:textId="77777777" w:rsidR="006D123E" w:rsidRPr="00261B7A" w:rsidRDefault="006D123E" w:rsidP="009C63CA">
            <w:pPr>
              <w:pStyle w:val="TableTextBold"/>
              <w:spacing w:before="40" w:after="40"/>
              <w:jc w:val="right"/>
              <w:rPr>
                <w:rFonts w:cs="Calibri"/>
                <w:noProof w:val="0"/>
                <w:color w:val="FFFFFF"/>
                <w:szCs w:val="16"/>
              </w:rPr>
            </w:pPr>
            <w:r w:rsidRPr="00261B7A">
              <w:rPr>
                <w:rFonts w:cs="Calibri"/>
                <w:noProof w:val="0"/>
                <w:color w:val="FFFFFF"/>
                <w:szCs w:val="16"/>
              </w:rPr>
              <w:t>Net cumulative area</w:t>
            </w:r>
          </w:p>
        </w:tc>
      </w:tr>
      <w:tr w:rsidR="006D123E" w:rsidRPr="00261B7A" w14:paraId="2CEC0938" w14:textId="77777777" w:rsidTr="009C63CA">
        <w:tc>
          <w:tcPr>
            <w:tcW w:w="1838" w:type="dxa"/>
            <w:shd w:val="clear" w:color="auto" w:fill="auto"/>
          </w:tcPr>
          <w:p w14:paraId="465B2A07" w14:textId="77777777" w:rsidR="006D123E" w:rsidRPr="00261B7A" w:rsidRDefault="006D123E" w:rsidP="009C63CA">
            <w:pPr>
              <w:pStyle w:val="Tableboldblue"/>
              <w:spacing w:before="40" w:after="40"/>
              <w:rPr>
                <w:rFonts w:cs="Calibri"/>
                <w:b w:val="0"/>
                <w:bCs/>
                <w:color w:val="auto"/>
                <w:szCs w:val="16"/>
              </w:rPr>
            </w:pPr>
            <w:r w:rsidRPr="00261B7A">
              <w:rPr>
                <w:rFonts w:cs="Calibri"/>
                <w:b w:val="0"/>
                <w:bCs/>
                <w:color w:val="auto"/>
                <w:szCs w:val="16"/>
              </w:rPr>
              <w:t>2021</w:t>
            </w:r>
          </w:p>
        </w:tc>
        <w:tc>
          <w:tcPr>
            <w:tcW w:w="2410" w:type="dxa"/>
            <w:shd w:val="clear" w:color="auto" w:fill="auto"/>
            <w:vAlign w:val="center"/>
          </w:tcPr>
          <w:p w14:paraId="326818A6" w14:textId="77777777" w:rsidR="006D123E" w:rsidRPr="00261B7A" w:rsidRDefault="006D123E" w:rsidP="009C63CA">
            <w:pPr>
              <w:pStyle w:val="TableText"/>
              <w:spacing w:before="40" w:after="40"/>
              <w:jc w:val="right"/>
              <w:rPr>
                <w:rFonts w:cs="Calibri"/>
              </w:rPr>
            </w:pPr>
            <w:r w:rsidRPr="00261B7A">
              <w:rPr>
                <w:rFonts w:cs="Calibri"/>
                <w:color w:val="000000"/>
                <w:szCs w:val="16"/>
              </w:rPr>
              <w:t>54,268</w:t>
            </w:r>
          </w:p>
        </w:tc>
        <w:tc>
          <w:tcPr>
            <w:tcW w:w="1276" w:type="dxa"/>
            <w:shd w:val="clear" w:color="auto" w:fill="auto"/>
            <w:vAlign w:val="center"/>
          </w:tcPr>
          <w:p w14:paraId="5E86646E" w14:textId="77777777" w:rsidR="006D123E" w:rsidRPr="00261B7A" w:rsidRDefault="006D123E" w:rsidP="009C63CA">
            <w:pPr>
              <w:pStyle w:val="TableText"/>
              <w:spacing w:before="40" w:after="40"/>
              <w:jc w:val="right"/>
              <w:rPr>
                <w:rFonts w:cs="Calibri"/>
              </w:rPr>
            </w:pPr>
            <w:r w:rsidRPr="00261B7A">
              <w:rPr>
                <w:rFonts w:cs="Calibri"/>
                <w:color w:val="000000"/>
                <w:szCs w:val="16"/>
              </w:rPr>
              <w:t>18,329</w:t>
            </w:r>
          </w:p>
        </w:tc>
        <w:tc>
          <w:tcPr>
            <w:tcW w:w="1417" w:type="dxa"/>
            <w:shd w:val="clear" w:color="auto" w:fill="auto"/>
            <w:vAlign w:val="center"/>
          </w:tcPr>
          <w:p w14:paraId="64C7BEC7" w14:textId="77777777" w:rsidR="006D123E" w:rsidRPr="00261B7A" w:rsidRDefault="006D123E" w:rsidP="009C63CA">
            <w:pPr>
              <w:pStyle w:val="TableText"/>
              <w:spacing w:before="40" w:after="40"/>
              <w:jc w:val="right"/>
              <w:rPr>
                <w:rFonts w:cs="Calibri"/>
              </w:rPr>
            </w:pPr>
            <w:r w:rsidRPr="00261B7A">
              <w:rPr>
                <w:rFonts w:cs="Calibri"/>
                <w:color w:val="000000"/>
                <w:szCs w:val="16"/>
              </w:rPr>
              <w:t>1,512</w:t>
            </w:r>
          </w:p>
        </w:tc>
        <w:tc>
          <w:tcPr>
            <w:tcW w:w="1564" w:type="dxa"/>
            <w:shd w:val="clear" w:color="auto" w:fill="auto"/>
            <w:vAlign w:val="center"/>
          </w:tcPr>
          <w:p w14:paraId="5DEECAEF" w14:textId="77777777" w:rsidR="006D123E" w:rsidRPr="00261B7A" w:rsidRDefault="006D123E" w:rsidP="009C63CA">
            <w:pPr>
              <w:pStyle w:val="TableText"/>
              <w:spacing w:before="40" w:after="40"/>
              <w:jc w:val="right"/>
              <w:rPr>
                <w:rFonts w:cs="Calibri"/>
              </w:rPr>
            </w:pPr>
            <w:r w:rsidRPr="00261B7A">
              <w:rPr>
                <w:rFonts w:cs="Calibri"/>
                <w:color w:val="000000"/>
                <w:szCs w:val="16"/>
              </w:rPr>
              <w:t>824,073</w:t>
            </w:r>
          </w:p>
        </w:tc>
      </w:tr>
      <w:tr w:rsidR="006D123E" w:rsidRPr="00261B7A" w14:paraId="4B13EDC3" w14:textId="77777777" w:rsidTr="009C63CA">
        <w:tc>
          <w:tcPr>
            <w:tcW w:w="1838" w:type="dxa"/>
            <w:shd w:val="clear" w:color="auto" w:fill="auto"/>
          </w:tcPr>
          <w:p w14:paraId="762A6D60" w14:textId="77777777" w:rsidR="006D123E" w:rsidRPr="00261B7A" w:rsidRDefault="006D123E" w:rsidP="009C63CA">
            <w:pPr>
              <w:pStyle w:val="Tableboldblue"/>
              <w:spacing w:before="40" w:after="40"/>
              <w:rPr>
                <w:rFonts w:cs="Calibri"/>
                <w:bCs/>
                <w:szCs w:val="16"/>
              </w:rPr>
            </w:pPr>
            <w:r w:rsidRPr="00261B7A">
              <w:rPr>
                <w:rFonts w:cs="Calibri"/>
                <w:bCs/>
                <w:szCs w:val="16"/>
              </w:rPr>
              <w:t>Total (1990–2021)</w:t>
            </w:r>
          </w:p>
        </w:tc>
        <w:tc>
          <w:tcPr>
            <w:tcW w:w="2410" w:type="dxa"/>
            <w:shd w:val="clear" w:color="auto" w:fill="auto"/>
            <w:vAlign w:val="center"/>
          </w:tcPr>
          <w:p w14:paraId="54B2F961" w14:textId="77777777" w:rsidR="006D123E" w:rsidRPr="00261B7A" w:rsidRDefault="006D123E" w:rsidP="009C63CA">
            <w:pPr>
              <w:pStyle w:val="Tableboldblue"/>
              <w:spacing w:before="40" w:after="40"/>
              <w:jc w:val="right"/>
            </w:pPr>
            <w:r w:rsidRPr="00261B7A">
              <w:t>872,546</w:t>
            </w:r>
          </w:p>
        </w:tc>
        <w:tc>
          <w:tcPr>
            <w:tcW w:w="1276" w:type="dxa"/>
            <w:shd w:val="clear" w:color="auto" w:fill="auto"/>
            <w:vAlign w:val="center"/>
          </w:tcPr>
          <w:p w14:paraId="7115E1AA" w14:textId="77777777" w:rsidR="006D123E" w:rsidRPr="00261B7A" w:rsidRDefault="006D123E" w:rsidP="009C63CA">
            <w:pPr>
              <w:pStyle w:val="Tableboldblue"/>
              <w:spacing w:before="40" w:after="40"/>
              <w:jc w:val="right"/>
            </w:pPr>
            <w:r w:rsidRPr="00261B7A">
              <w:t>89,684</w:t>
            </w:r>
          </w:p>
        </w:tc>
        <w:tc>
          <w:tcPr>
            <w:tcW w:w="1417" w:type="dxa"/>
            <w:shd w:val="clear" w:color="auto" w:fill="auto"/>
            <w:vAlign w:val="center"/>
          </w:tcPr>
          <w:p w14:paraId="6F7F3862" w14:textId="77777777" w:rsidR="006D123E" w:rsidRPr="00261B7A" w:rsidRDefault="006D123E" w:rsidP="009C63CA">
            <w:pPr>
              <w:pStyle w:val="Tableboldblue"/>
              <w:spacing w:before="40" w:after="40"/>
              <w:jc w:val="right"/>
            </w:pPr>
            <w:r w:rsidRPr="00261B7A">
              <w:t>48,473</w:t>
            </w:r>
          </w:p>
        </w:tc>
        <w:tc>
          <w:tcPr>
            <w:tcW w:w="1564" w:type="dxa"/>
            <w:shd w:val="clear" w:color="auto" w:fill="auto"/>
            <w:vAlign w:val="center"/>
          </w:tcPr>
          <w:p w14:paraId="7EA2EABA" w14:textId="77777777" w:rsidR="006D123E" w:rsidRPr="00261B7A" w:rsidRDefault="006D123E" w:rsidP="009C63CA">
            <w:pPr>
              <w:pStyle w:val="Tableboldblue"/>
              <w:spacing w:before="40" w:after="40"/>
              <w:jc w:val="right"/>
            </w:pPr>
            <w:r w:rsidRPr="00261B7A">
              <w:t>824,073</w:t>
            </w:r>
          </w:p>
        </w:tc>
      </w:tr>
    </w:tbl>
    <w:p w14:paraId="569525FC" w14:textId="77777777" w:rsidR="006D123E" w:rsidRPr="00261B7A" w:rsidRDefault="006D123E" w:rsidP="006D123E">
      <w:pPr>
        <w:pStyle w:val="Noteundertable"/>
      </w:pPr>
      <w:r w:rsidRPr="00261B7A">
        <w:rPr>
          <w:b/>
        </w:rPr>
        <w:t>Note</w:t>
      </w:r>
      <w:r w:rsidRPr="00261B7A">
        <w:t xml:space="preserve">: </w:t>
      </w:r>
      <w:r w:rsidRPr="00261B7A">
        <w:tab/>
      </w:r>
      <w:r w:rsidRPr="00261B7A">
        <w:rPr>
          <w:vertAlign w:val="superscript"/>
        </w:rPr>
        <w:t>+</w:t>
      </w:r>
      <w:r w:rsidRPr="00261B7A">
        <w:t xml:space="preserve"> = gross area. Columns may not total due to rounding. Afforestation differs from that in chapter 6 due to carbon equivalent forests being reported separately.</w:t>
      </w:r>
    </w:p>
    <w:p w14:paraId="32DF0DB6" w14:textId="77777777" w:rsidR="006D123E" w:rsidRPr="00261B7A" w:rsidRDefault="006D123E" w:rsidP="006D123E">
      <w:pPr>
        <w:pStyle w:val="BodyText"/>
        <w:rPr>
          <w:spacing w:val="-2"/>
        </w:rPr>
      </w:pPr>
      <w:r w:rsidRPr="00261B7A">
        <w:rPr>
          <w:spacing w:val="-2"/>
        </w:rPr>
        <w:t xml:space="preserve">Table 11.3.2 provides synthesised information on the correspondence between forest land categories (i.e., the area of planted forest versus natural forest as presented in common reporting format (CRF) table 4.A) and the area of </w:t>
      </w:r>
      <w:r w:rsidRPr="00261B7A">
        <w:rPr>
          <w:i/>
          <w:spacing w:val="-2"/>
        </w:rPr>
        <w:t>Afforestation and reforestation</w:t>
      </w:r>
      <w:r w:rsidRPr="00261B7A">
        <w:rPr>
          <w:spacing w:val="-2"/>
        </w:rPr>
        <w:t xml:space="preserve"> reported in CRF table 4(KP-1)A.1. Furthermore, table 11.3.3 details why the area reported under </w:t>
      </w:r>
      <w:r w:rsidRPr="00261B7A">
        <w:rPr>
          <w:i/>
          <w:spacing w:val="-2"/>
        </w:rPr>
        <w:t>Forest managem</w:t>
      </w:r>
      <w:r w:rsidRPr="00261B7A">
        <w:rPr>
          <w:i/>
          <w:iCs/>
          <w:spacing w:val="-2"/>
        </w:rPr>
        <w:t>ent</w:t>
      </w:r>
      <w:r w:rsidRPr="00261B7A">
        <w:rPr>
          <w:spacing w:val="-2"/>
        </w:rPr>
        <w:t xml:space="preserve"> does not reconcile with the area reported in 2021 for </w:t>
      </w:r>
      <w:r w:rsidRPr="00261B7A">
        <w:rPr>
          <w:i/>
          <w:spacing w:val="-2"/>
        </w:rPr>
        <w:t>Forest land remaining</w:t>
      </w:r>
      <w:r w:rsidRPr="00261B7A">
        <w:rPr>
          <w:spacing w:val="-2"/>
        </w:rPr>
        <w:t xml:space="preserve"> </w:t>
      </w:r>
      <w:r w:rsidRPr="00261B7A">
        <w:rPr>
          <w:i/>
          <w:spacing w:val="-2"/>
        </w:rPr>
        <w:t>forest land</w:t>
      </w:r>
      <w:r w:rsidRPr="00261B7A">
        <w:rPr>
          <w:spacing w:val="-2"/>
        </w:rPr>
        <w:t xml:space="preserve"> under the Convention. This is due to forests reported under land in transition and carbon equivalent forests (CEFs). These tables have been added to address expert review team recommendations KL.5 and KL.8 (FCCC/ARR/2017/NZL, UNFCCC, 2018).</w:t>
      </w:r>
    </w:p>
    <w:p w14:paraId="321DDECD" w14:textId="77777777" w:rsidR="006D123E" w:rsidRPr="00261B7A" w:rsidRDefault="006D123E" w:rsidP="006D123E">
      <w:pPr>
        <w:pStyle w:val="Table"/>
      </w:pPr>
      <w:bookmarkStart w:id="3036" w:name="_Toc5269629"/>
      <w:bookmarkStart w:id="3037" w:name="_Toc36224711"/>
      <w:bookmarkStart w:id="3038" w:name="_Toc64987046"/>
      <w:bookmarkStart w:id="3039" w:name="_Toc68786596"/>
      <w:bookmarkStart w:id="3040" w:name="_Toc95321538"/>
      <w:bookmarkStart w:id="3041" w:name="_Toc130568407"/>
      <w:bookmarkStart w:id="3042" w:name="_Toc131591500"/>
      <w:r w:rsidRPr="00261B7A">
        <w:t>Table 11.3.2</w:t>
      </w:r>
      <w:r w:rsidRPr="00261B7A">
        <w:tab/>
        <w:t xml:space="preserve">New Zealand’s estimated annual area under </w:t>
      </w:r>
      <w:r w:rsidRPr="00261B7A">
        <w:rPr>
          <w:i/>
          <w:iCs/>
        </w:rPr>
        <w:t>Afforestation and reforestation</w:t>
      </w:r>
      <w:r w:rsidRPr="00261B7A">
        <w:rPr>
          <w:vertAlign w:val="subscript"/>
        </w:rPr>
        <w:t xml:space="preserve"> </w:t>
      </w:r>
      <w:r w:rsidRPr="00261B7A">
        <w:t xml:space="preserve">in </w:t>
      </w:r>
      <w:bookmarkEnd w:id="3036"/>
      <w:bookmarkEnd w:id="3037"/>
      <w:bookmarkEnd w:id="3038"/>
      <w:bookmarkEnd w:id="3039"/>
      <w:bookmarkEnd w:id="3040"/>
      <w:r w:rsidRPr="00261B7A">
        <w:t>2021</w:t>
      </w:r>
      <w:bookmarkEnd w:id="3041"/>
      <w:bookmarkEnd w:id="3042"/>
    </w:p>
    <w:tbl>
      <w:tblPr>
        <w:tblW w:w="8505"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1254"/>
        <w:gridCol w:w="2113"/>
        <w:gridCol w:w="2112"/>
        <w:gridCol w:w="3026"/>
      </w:tblGrid>
      <w:tr w:rsidR="006D123E" w:rsidRPr="00261B7A" w14:paraId="79B009B5" w14:textId="77777777" w:rsidTr="009C63CA">
        <w:tc>
          <w:tcPr>
            <w:tcW w:w="8505" w:type="dxa"/>
            <w:gridSpan w:val="4"/>
            <w:shd w:val="clear" w:color="000000" w:fill="1B556B"/>
            <w:vAlign w:val="bottom"/>
            <w:hideMark/>
          </w:tcPr>
          <w:p w14:paraId="3EF93697" w14:textId="77777777" w:rsidR="006D123E" w:rsidRPr="00261B7A" w:rsidRDefault="006D123E" w:rsidP="009C63CA">
            <w:pPr>
              <w:pStyle w:val="TableTextBold"/>
              <w:spacing w:after="0"/>
              <w:jc w:val="center"/>
              <w:rPr>
                <w:noProof w:val="0"/>
                <w:color w:val="FFFFFF"/>
              </w:rPr>
            </w:pPr>
            <w:r w:rsidRPr="00261B7A">
              <w:rPr>
                <w:noProof w:val="0"/>
                <w:color w:val="FFFFFF"/>
              </w:rPr>
              <w:t xml:space="preserve">Cumulative area of </w:t>
            </w:r>
            <w:r w:rsidRPr="00261B7A">
              <w:rPr>
                <w:i/>
                <w:iCs/>
                <w:noProof w:val="0"/>
                <w:color w:val="FFFFFF"/>
              </w:rPr>
              <w:t>Afforestation and reforestation</w:t>
            </w:r>
            <w:r w:rsidRPr="00261B7A">
              <w:rPr>
                <w:noProof w:val="0"/>
                <w:color w:val="FFFFFF"/>
              </w:rPr>
              <w:t xml:space="preserve"> of different forest types (ha)</w:t>
            </w:r>
          </w:p>
        </w:tc>
      </w:tr>
      <w:tr w:rsidR="006D123E" w:rsidRPr="00261B7A" w14:paraId="377C4ECD" w14:textId="77777777" w:rsidTr="009C63CA">
        <w:tc>
          <w:tcPr>
            <w:tcW w:w="1254" w:type="dxa"/>
            <w:shd w:val="clear" w:color="000000" w:fill="1B556B"/>
            <w:hideMark/>
          </w:tcPr>
          <w:p w14:paraId="71715033" w14:textId="77777777" w:rsidR="006D123E" w:rsidRPr="00261B7A" w:rsidRDefault="006D123E" w:rsidP="009C63CA">
            <w:pPr>
              <w:pStyle w:val="TableTextBold"/>
              <w:keepNext/>
              <w:spacing w:before="50" w:after="50"/>
              <w:rPr>
                <w:noProof w:val="0"/>
                <w:color w:val="FFFFFF"/>
              </w:rPr>
            </w:pPr>
            <w:r w:rsidRPr="00261B7A">
              <w:rPr>
                <w:noProof w:val="0"/>
                <w:color w:val="FFFFFF"/>
              </w:rPr>
              <w:t>Year</w:t>
            </w:r>
          </w:p>
        </w:tc>
        <w:tc>
          <w:tcPr>
            <w:tcW w:w="2113" w:type="dxa"/>
            <w:shd w:val="clear" w:color="000000" w:fill="1B556B"/>
            <w:hideMark/>
          </w:tcPr>
          <w:p w14:paraId="231EA0A7" w14:textId="77777777" w:rsidR="006D123E" w:rsidRPr="00261B7A" w:rsidRDefault="006D123E" w:rsidP="009C63CA">
            <w:pPr>
              <w:pStyle w:val="TableTextBold"/>
              <w:keepNext/>
              <w:spacing w:before="50" w:after="50"/>
              <w:jc w:val="center"/>
              <w:rPr>
                <w:noProof w:val="0"/>
                <w:color w:val="FFFFFF"/>
              </w:rPr>
            </w:pPr>
            <w:r w:rsidRPr="00261B7A">
              <w:rPr>
                <w:noProof w:val="0"/>
                <w:color w:val="FFFFFF"/>
              </w:rPr>
              <w:t>Planted forest</w:t>
            </w:r>
          </w:p>
        </w:tc>
        <w:tc>
          <w:tcPr>
            <w:tcW w:w="2112" w:type="dxa"/>
            <w:shd w:val="clear" w:color="000000" w:fill="1B556B"/>
            <w:hideMark/>
          </w:tcPr>
          <w:p w14:paraId="6905DE56" w14:textId="77777777" w:rsidR="006D123E" w:rsidRPr="00261B7A" w:rsidRDefault="006D123E" w:rsidP="009C63CA">
            <w:pPr>
              <w:pStyle w:val="TableTextBold"/>
              <w:keepNext/>
              <w:spacing w:before="50" w:after="50"/>
              <w:jc w:val="center"/>
              <w:rPr>
                <w:noProof w:val="0"/>
                <w:color w:val="FFFFFF"/>
              </w:rPr>
            </w:pPr>
            <w:r w:rsidRPr="00261B7A">
              <w:rPr>
                <w:noProof w:val="0"/>
                <w:color w:val="FFFFFF"/>
              </w:rPr>
              <w:t>Natural forest</w:t>
            </w:r>
          </w:p>
        </w:tc>
        <w:tc>
          <w:tcPr>
            <w:tcW w:w="3026" w:type="dxa"/>
            <w:shd w:val="clear" w:color="000000" w:fill="1B556B"/>
            <w:hideMark/>
          </w:tcPr>
          <w:p w14:paraId="212F87E0" w14:textId="77777777" w:rsidR="006D123E" w:rsidRPr="00261B7A" w:rsidRDefault="006D123E" w:rsidP="009C63CA">
            <w:pPr>
              <w:pStyle w:val="TableTextBold"/>
              <w:keepNext/>
              <w:spacing w:before="50" w:after="50"/>
              <w:jc w:val="center"/>
              <w:rPr>
                <w:noProof w:val="0"/>
                <w:color w:val="FFFFFF"/>
              </w:rPr>
            </w:pPr>
            <w:r w:rsidRPr="00261B7A">
              <w:rPr>
                <w:noProof w:val="0"/>
                <w:color w:val="FFFFFF"/>
              </w:rPr>
              <w:t>Net cumulative area</w:t>
            </w:r>
          </w:p>
        </w:tc>
      </w:tr>
      <w:tr w:rsidR="006D123E" w:rsidRPr="00261B7A" w14:paraId="30B010E1" w14:textId="77777777" w:rsidTr="009C63CA">
        <w:tc>
          <w:tcPr>
            <w:tcW w:w="1254" w:type="dxa"/>
            <w:shd w:val="clear" w:color="auto" w:fill="auto"/>
            <w:vAlign w:val="center"/>
          </w:tcPr>
          <w:p w14:paraId="36E7F1AE" w14:textId="77777777" w:rsidR="006D123E" w:rsidRPr="00261B7A" w:rsidRDefault="006D123E" w:rsidP="009C63CA">
            <w:pPr>
              <w:pStyle w:val="TableText"/>
              <w:spacing w:before="50" w:after="50"/>
              <w:rPr>
                <w:rFonts w:cs="Arial"/>
                <w:szCs w:val="16"/>
              </w:rPr>
            </w:pPr>
            <w:r w:rsidRPr="00261B7A">
              <w:rPr>
                <w:rFonts w:cs="Arial"/>
                <w:szCs w:val="16"/>
              </w:rPr>
              <w:t>2021</w:t>
            </w:r>
          </w:p>
        </w:tc>
        <w:tc>
          <w:tcPr>
            <w:tcW w:w="2113" w:type="dxa"/>
            <w:shd w:val="clear" w:color="auto" w:fill="auto"/>
            <w:vAlign w:val="center"/>
          </w:tcPr>
          <w:p w14:paraId="7B2F6691" w14:textId="77777777" w:rsidR="006D123E" w:rsidRPr="00261B7A" w:rsidRDefault="006D123E" w:rsidP="009C63CA">
            <w:pPr>
              <w:pStyle w:val="TableText"/>
              <w:spacing w:before="50" w:after="50"/>
              <w:jc w:val="center"/>
              <w:rPr>
                <w:rFonts w:cs="Calibri"/>
                <w:color w:val="000000"/>
                <w:szCs w:val="16"/>
              </w:rPr>
            </w:pPr>
            <w:r w:rsidRPr="00261B7A">
              <w:rPr>
                <w:rFonts w:cs="Calibri"/>
                <w:color w:val="000000"/>
                <w:szCs w:val="16"/>
              </w:rPr>
              <w:t>728,910</w:t>
            </w:r>
          </w:p>
        </w:tc>
        <w:tc>
          <w:tcPr>
            <w:tcW w:w="2112" w:type="dxa"/>
            <w:shd w:val="clear" w:color="auto" w:fill="auto"/>
            <w:vAlign w:val="center"/>
          </w:tcPr>
          <w:p w14:paraId="647EB804" w14:textId="77777777" w:rsidR="006D123E" w:rsidRPr="00261B7A" w:rsidRDefault="006D123E" w:rsidP="009C63CA">
            <w:pPr>
              <w:pStyle w:val="TableText"/>
              <w:spacing w:before="50" w:after="50"/>
              <w:jc w:val="center"/>
              <w:rPr>
                <w:rFonts w:cs="Calibri"/>
                <w:color w:val="000000"/>
                <w:szCs w:val="16"/>
              </w:rPr>
            </w:pPr>
            <w:r w:rsidRPr="00261B7A">
              <w:rPr>
                <w:rFonts w:cs="Calibri"/>
                <w:color w:val="000000"/>
                <w:szCs w:val="16"/>
              </w:rPr>
              <w:t>95,163</w:t>
            </w:r>
          </w:p>
        </w:tc>
        <w:tc>
          <w:tcPr>
            <w:tcW w:w="3026" w:type="dxa"/>
            <w:shd w:val="clear" w:color="auto" w:fill="auto"/>
            <w:vAlign w:val="center"/>
          </w:tcPr>
          <w:p w14:paraId="6C666EA8" w14:textId="77777777" w:rsidR="006D123E" w:rsidRPr="00261B7A" w:rsidRDefault="006D123E" w:rsidP="009C63CA">
            <w:pPr>
              <w:pStyle w:val="TableTextBold"/>
              <w:jc w:val="center"/>
              <w:rPr>
                <w:rFonts w:cs="Calibri"/>
                <w:noProof w:val="0"/>
                <w:color w:val="365F91"/>
                <w:szCs w:val="16"/>
              </w:rPr>
            </w:pPr>
            <w:r w:rsidRPr="00261B7A">
              <w:rPr>
                <w:rFonts w:cs="Calibri"/>
                <w:noProof w:val="0"/>
                <w:color w:val="365F91"/>
                <w:szCs w:val="16"/>
              </w:rPr>
              <w:t>824,073</w:t>
            </w:r>
          </w:p>
        </w:tc>
      </w:tr>
    </w:tbl>
    <w:p w14:paraId="6D84464D" w14:textId="77777777" w:rsidR="006D123E" w:rsidRPr="00261B7A" w:rsidRDefault="006D123E" w:rsidP="006D123E">
      <w:pPr>
        <w:pStyle w:val="BodyText"/>
      </w:pPr>
    </w:p>
    <w:p w14:paraId="0689EB84" w14:textId="6EC560E9" w:rsidR="006D123E" w:rsidRPr="00261B7A" w:rsidRDefault="006D123E" w:rsidP="006D123E">
      <w:pPr>
        <w:pStyle w:val="Table"/>
        <w:spacing w:before="0"/>
      </w:pPr>
      <w:bookmarkStart w:id="3043" w:name="_Toc36224712"/>
      <w:bookmarkStart w:id="3044" w:name="_Toc64987047"/>
      <w:bookmarkStart w:id="3045" w:name="_Toc68786597"/>
      <w:bookmarkStart w:id="3046" w:name="_Toc95321539"/>
      <w:bookmarkStart w:id="3047" w:name="_Toc130568408"/>
      <w:bookmarkStart w:id="3048" w:name="_Toc131591501"/>
      <w:r w:rsidRPr="00261B7A">
        <w:t>Table 11.3.3</w:t>
      </w:r>
      <w:r w:rsidRPr="00261B7A">
        <w:tab/>
        <w:t xml:space="preserve">New Zealand’s </w:t>
      </w:r>
      <w:r w:rsidRPr="00261B7A">
        <w:rPr>
          <w:i/>
          <w:iCs/>
        </w:rPr>
        <w:t>Afforestation and reforestation</w:t>
      </w:r>
      <w:r w:rsidRPr="00261B7A">
        <w:t xml:space="preserve"> reconciliation between Kyoto Protocol and Intergovernmental Panel on Climate Change Convention reporting in</w:t>
      </w:r>
      <w:bookmarkEnd w:id="3043"/>
      <w:bookmarkEnd w:id="3044"/>
      <w:bookmarkEnd w:id="3045"/>
      <w:bookmarkEnd w:id="3046"/>
      <w:r w:rsidR="00504BF3" w:rsidRPr="00261B7A">
        <w:t> </w:t>
      </w:r>
      <w:r w:rsidRPr="00261B7A">
        <w:t>2021</w:t>
      </w:r>
      <w:bookmarkEnd w:id="3047"/>
      <w:bookmarkEnd w:id="3048"/>
    </w:p>
    <w:tbl>
      <w:tblPr>
        <w:tblW w:w="4985" w:type="dxa"/>
        <w:jc w:val="center"/>
        <w:tblLayout w:type="fixed"/>
        <w:tblCellMar>
          <w:left w:w="85" w:type="dxa"/>
          <w:right w:w="85" w:type="dxa"/>
        </w:tblCellMar>
        <w:tblLook w:val="04A0" w:firstRow="1" w:lastRow="0" w:firstColumn="1" w:lastColumn="0" w:noHBand="0" w:noVBand="1"/>
      </w:tblPr>
      <w:tblGrid>
        <w:gridCol w:w="1190"/>
        <w:gridCol w:w="3005"/>
        <w:gridCol w:w="790"/>
      </w:tblGrid>
      <w:tr w:rsidR="006D123E" w:rsidRPr="00261B7A" w14:paraId="19051E25" w14:textId="77777777" w:rsidTr="009C63CA">
        <w:trPr>
          <w:jc w:val="center"/>
        </w:trPr>
        <w:tc>
          <w:tcPr>
            <w:tcW w:w="4195" w:type="dxa"/>
            <w:gridSpan w:val="2"/>
            <w:tcBorders>
              <w:top w:val="single" w:sz="4" w:space="0" w:color="365F91"/>
              <w:left w:val="nil"/>
              <w:bottom w:val="single" w:sz="4" w:space="0" w:color="365F91"/>
              <w:right w:val="nil"/>
            </w:tcBorders>
            <w:shd w:val="clear" w:color="auto" w:fill="1B556B"/>
            <w:noWrap/>
            <w:vAlign w:val="center"/>
            <w:hideMark/>
          </w:tcPr>
          <w:p w14:paraId="741CDE06" w14:textId="77777777" w:rsidR="006D123E" w:rsidRPr="00261B7A" w:rsidRDefault="006D123E" w:rsidP="009C63CA">
            <w:pPr>
              <w:pStyle w:val="Tableboldblue"/>
              <w:jc w:val="center"/>
              <w:rPr>
                <w:lang w:eastAsia="en-NZ"/>
              </w:rPr>
            </w:pPr>
          </w:p>
        </w:tc>
        <w:tc>
          <w:tcPr>
            <w:tcW w:w="790" w:type="dxa"/>
            <w:tcBorders>
              <w:top w:val="single" w:sz="4" w:space="0" w:color="365F91"/>
              <w:left w:val="nil"/>
              <w:bottom w:val="single" w:sz="4" w:space="0" w:color="365F91"/>
              <w:right w:val="nil"/>
            </w:tcBorders>
            <w:shd w:val="clear" w:color="auto" w:fill="1B556B"/>
          </w:tcPr>
          <w:p w14:paraId="127E796E" w14:textId="77777777" w:rsidR="006D123E" w:rsidRPr="00261B7A" w:rsidRDefault="006D123E" w:rsidP="009C63CA">
            <w:pPr>
              <w:pStyle w:val="Tableboldblue"/>
              <w:jc w:val="right"/>
              <w:rPr>
                <w:rFonts w:cs="Calibri"/>
                <w:bCs/>
                <w:color w:val="FFFFFF"/>
                <w:szCs w:val="16"/>
                <w:lang w:eastAsia="en-NZ"/>
              </w:rPr>
            </w:pPr>
            <w:r w:rsidRPr="00261B7A">
              <w:rPr>
                <w:rFonts w:cs="Calibri"/>
                <w:bCs/>
                <w:color w:val="FFFFFF"/>
                <w:szCs w:val="16"/>
                <w:lang w:eastAsia="en-NZ"/>
              </w:rPr>
              <w:t>2021</w:t>
            </w:r>
          </w:p>
        </w:tc>
      </w:tr>
      <w:tr w:rsidR="006D123E" w:rsidRPr="00261B7A" w14:paraId="0B0420D5" w14:textId="77777777" w:rsidTr="009C63CA">
        <w:trPr>
          <w:jc w:val="center"/>
        </w:trPr>
        <w:tc>
          <w:tcPr>
            <w:tcW w:w="4195" w:type="dxa"/>
            <w:gridSpan w:val="2"/>
            <w:tcBorders>
              <w:top w:val="single" w:sz="4" w:space="0" w:color="365F91"/>
              <w:left w:val="nil"/>
              <w:bottom w:val="nil"/>
              <w:right w:val="nil"/>
            </w:tcBorders>
            <w:shd w:val="clear" w:color="auto" w:fill="auto"/>
            <w:noWrap/>
            <w:hideMark/>
          </w:tcPr>
          <w:p w14:paraId="74623938" w14:textId="77777777" w:rsidR="006D123E" w:rsidRPr="00261B7A" w:rsidRDefault="006D123E" w:rsidP="009C63CA">
            <w:pPr>
              <w:pStyle w:val="TableText"/>
            </w:pPr>
            <w:r w:rsidRPr="00261B7A">
              <w:t>Forest remaining forest (kha)</w:t>
            </w:r>
          </w:p>
        </w:tc>
        <w:tc>
          <w:tcPr>
            <w:tcW w:w="790" w:type="dxa"/>
            <w:tcBorders>
              <w:top w:val="single" w:sz="4" w:space="0" w:color="365F91"/>
              <w:left w:val="nil"/>
              <w:bottom w:val="nil"/>
              <w:right w:val="nil"/>
            </w:tcBorders>
            <w:shd w:val="clear" w:color="auto" w:fill="auto"/>
            <w:vAlign w:val="bottom"/>
          </w:tcPr>
          <w:p w14:paraId="773A19FE" w14:textId="77777777" w:rsidR="006D123E" w:rsidRPr="00261B7A" w:rsidRDefault="006D123E" w:rsidP="009C63CA">
            <w:pPr>
              <w:pStyle w:val="TableText"/>
              <w:jc w:val="right"/>
              <w:rPr>
                <w:rFonts w:cs="Calibri"/>
                <w:color w:val="000000"/>
                <w:szCs w:val="16"/>
              </w:rPr>
            </w:pPr>
            <w:r w:rsidRPr="00261B7A">
              <w:rPr>
                <w:rFonts w:cs="Calibri"/>
                <w:color w:val="000000"/>
                <w:szCs w:val="16"/>
              </w:rPr>
              <w:t xml:space="preserve"> 9,696.6 </w:t>
            </w:r>
          </w:p>
        </w:tc>
      </w:tr>
      <w:tr w:rsidR="006D123E" w:rsidRPr="00261B7A" w14:paraId="07E2444E" w14:textId="77777777" w:rsidTr="009C63CA">
        <w:trPr>
          <w:jc w:val="center"/>
        </w:trPr>
        <w:tc>
          <w:tcPr>
            <w:tcW w:w="4195" w:type="dxa"/>
            <w:gridSpan w:val="2"/>
            <w:tcBorders>
              <w:top w:val="nil"/>
              <w:left w:val="nil"/>
              <w:bottom w:val="single" w:sz="4" w:space="0" w:color="1B556B"/>
              <w:right w:val="nil"/>
            </w:tcBorders>
            <w:shd w:val="clear" w:color="auto" w:fill="auto"/>
            <w:hideMark/>
          </w:tcPr>
          <w:p w14:paraId="386C5316" w14:textId="77777777" w:rsidR="006D123E" w:rsidRPr="00261B7A" w:rsidRDefault="006D123E" w:rsidP="009C63CA">
            <w:pPr>
              <w:pStyle w:val="TableText"/>
            </w:pPr>
            <w:r w:rsidRPr="00261B7A">
              <w:t xml:space="preserve">Forest management (kha) </w:t>
            </w:r>
          </w:p>
        </w:tc>
        <w:tc>
          <w:tcPr>
            <w:tcW w:w="790" w:type="dxa"/>
            <w:tcBorders>
              <w:top w:val="nil"/>
              <w:left w:val="nil"/>
              <w:bottom w:val="single" w:sz="4" w:space="0" w:color="1B556B"/>
              <w:right w:val="nil"/>
            </w:tcBorders>
            <w:shd w:val="clear" w:color="auto" w:fill="auto"/>
            <w:vAlign w:val="center"/>
          </w:tcPr>
          <w:p w14:paraId="2EBC4650" w14:textId="77777777" w:rsidR="006D123E" w:rsidRPr="00261B7A" w:rsidRDefault="006D123E" w:rsidP="009C63CA">
            <w:pPr>
              <w:pStyle w:val="TableText"/>
              <w:jc w:val="right"/>
              <w:rPr>
                <w:rFonts w:cs="Calibri"/>
                <w:szCs w:val="16"/>
              </w:rPr>
            </w:pPr>
            <w:r w:rsidRPr="00261B7A">
              <w:rPr>
                <w:rFonts w:cs="Calibri"/>
                <w:szCs w:val="16"/>
              </w:rPr>
              <w:t xml:space="preserve"> 9,195.7 </w:t>
            </w:r>
          </w:p>
        </w:tc>
      </w:tr>
      <w:tr w:rsidR="006D123E" w:rsidRPr="00261B7A" w14:paraId="476F8A7D" w14:textId="77777777" w:rsidTr="009C63CA">
        <w:trPr>
          <w:jc w:val="center"/>
        </w:trPr>
        <w:tc>
          <w:tcPr>
            <w:tcW w:w="4195" w:type="dxa"/>
            <w:gridSpan w:val="2"/>
            <w:tcBorders>
              <w:top w:val="single" w:sz="4" w:space="0" w:color="1B556B"/>
              <w:left w:val="nil"/>
              <w:bottom w:val="single" w:sz="4" w:space="0" w:color="1B556B"/>
              <w:right w:val="nil"/>
            </w:tcBorders>
            <w:shd w:val="clear" w:color="auto" w:fill="auto"/>
            <w:hideMark/>
          </w:tcPr>
          <w:p w14:paraId="0E6324A1" w14:textId="77777777" w:rsidR="006D123E" w:rsidRPr="00261B7A" w:rsidRDefault="006D123E" w:rsidP="009C63CA">
            <w:pPr>
              <w:pStyle w:val="Tableboldblue"/>
              <w:rPr>
                <w:lang w:eastAsia="en-NZ"/>
              </w:rPr>
            </w:pPr>
            <w:r w:rsidRPr="00261B7A">
              <w:rPr>
                <w:lang w:eastAsia="en-NZ"/>
              </w:rPr>
              <w:t>Difference (kha)</w:t>
            </w:r>
          </w:p>
        </w:tc>
        <w:tc>
          <w:tcPr>
            <w:tcW w:w="790" w:type="dxa"/>
            <w:tcBorders>
              <w:top w:val="single" w:sz="4" w:space="0" w:color="1B556B"/>
              <w:left w:val="nil"/>
              <w:bottom w:val="single" w:sz="4" w:space="0" w:color="1B556B"/>
              <w:right w:val="nil"/>
            </w:tcBorders>
            <w:shd w:val="clear" w:color="auto" w:fill="auto"/>
            <w:vAlign w:val="center"/>
          </w:tcPr>
          <w:p w14:paraId="0C80E220" w14:textId="77777777" w:rsidR="006D123E" w:rsidRPr="00261B7A" w:rsidRDefault="006D123E" w:rsidP="009C63CA">
            <w:pPr>
              <w:pStyle w:val="Tableboldblue"/>
              <w:jc w:val="right"/>
              <w:rPr>
                <w:rFonts w:cs="Calibri"/>
                <w:color w:val="1F497D"/>
                <w:szCs w:val="16"/>
              </w:rPr>
            </w:pPr>
            <w:r w:rsidRPr="00261B7A">
              <w:rPr>
                <w:rFonts w:cs="Calibri"/>
                <w:b w:val="0"/>
                <w:bCs/>
                <w:color w:val="1F497D"/>
                <w:szCs w:val="16"/>
              </w:rPr>
              <w:t xml:space="preserve"> </w:t>
            </w:r>
            <w:r w:rsidRPr="00261B7A">
              <w:rPr>
                <w:rFonts w:cs="Calibri"/>
                <w:color w:val="1F497D"/>
                <w:szCs w:val="16"/>
              </w:rPr>
              <w:t xml:space="preserve">501 </w:t>
            </w:r>
          </w:p>
        </w:tc>
      </w:tr>
      <w:tr w:rsidR="006D123E" w:rsidRPr="00261B7A" w14:paraId="0D3F4B9D" w14:textId="77777777" w:rsidTr="009C63CA">
        <w:trPr>
          <w:gridAfter w:val="2"/>
          <w:wAfter w:w="3795" w:type="dxa"/>
          <w:jc w:val="center"/>
        </w:trPr>
        <w:tc>
          <w:tcPr>
            <w:tcW w:w="1190" w:type="dxa"/>
            <w:tcBorders>
              <w:top w:val="single" w:sz="4" w:space="0" w:color="1B556B"/>
              <w:left w:val="nil"/>
              <w:bottom w:val="nil"/>
              <w:right w:val="nil"/>
            </w:tcBorders>
            <w:shd w:val="clear" w:color="auto" w:fill="auto"/>
            <w:vAlign w:val="bottom"/>
          </w:tcPr>
          <w:p w14:paraId="1D20C557" w14:textId="77777777" w:rsidR="006D123E" w:rsidRPr="00261B7A" w:rsidRDefault="006D123E" w:rsidP="009C63CA">
            <w:pPr>
              <w:pStyle w:val="TableText"/>
              <w:rPr>
                <w:rFonts w:cs="Calibri"/>
                <w:szCs w:val="16"/>
              </w:rPr>
            </w:pPr>
          </w:p>
        </w:tc>
      </w:tr>
      <w:tr w:rsidR="006D123E" w:rsidRPr="00261B7A" w14:paraId="77E2D351" w14:textId="77777777" w:rsidTr="009C63CA">
        <w:trPr>
          <w:jc w:val="center"/>
        </w:trPr>
        <w:tc>
          <w:tcPr>
            <w:tcW w:w="4195" w:type="dxa"/>
            <w:gridSpan w:val="2"/>
            <w:tcBorders>
              <w:top w:val="nil"/>
              <w:left w:val="nil"/>
              <w:bottom w:val="nil"/>
              <w:right w:val="nil"/>
            </w:tcBorders>
            <w:shd w:val="clear" w:color="auto" w:fill="auto"/>
            <w:noWrap/>
            <w:hideMark/>
          </w:tcPr>
          <w:p w14:paraId="50447191" w14:textId="77777777" w:rsidR="006D123E" w:rsidRPr="00261B7A" w:rsidRDefault="006D123E" w:rsidP="009C63CA">
            <w:pPr>
              <w:pStyle w:val="TableText"/>
              <w:rPr>
                <w:rFonts w:cs="Calibri"/>
                <w:color w:val="000000"/>
              </w:rPr>
            </w:pPr>
            <w:r w:rsidRPr="00261B7A">
              <w:rPr>
                <w:rFonts w:cs="Calibri"/>
                <w:color w:val="000000"/>
              </w:rPr>
              <w:t>New forest planted before 1990 – included in FM (kha)</w:t>
            </w:r>
          </w:p>
        </w:tc>
        <w:tc>
          <w:tcPr>
            <w:tcW w:w="790" w:type="dxa"/>
            <w:tcBorders>
              <w:top w:val="nil"/>
              <w:left w:val="nil"/>
              <w:bottom w:val="nil"/>
              <w:right w:val="nil"/>
            </w:tcBorders>
            <w:shd w:val="clear" w:color="auto" w:fill="auto"/>
            <w:vAlign w:val="bottom"/>
          </w:tcPr>
          <w:p w14:paraId="6CC5B5F8" w14:textId="77777777" w:rsidR="006D123E" w:rsidRPr="00261B7A" w:rsidRDefault="006D123E" w:rsidP="009C63CA">
            <w:pPr>
              <w:pStyle w:val="TableText"/>
              <w:jc w:val="right"/>
              <w:rPr>
                <w:rFonts w:cs="Calibri"/>
                <w:szCs w:val="16"/>
              </w:rPr>
            </w:pPr>
            <w:r w:rsidRPr="00261B7A">
              <w:rPr>
                <w:rFonts w:cs="Calibri"/>
                <w:color w:val="000000"/>
                <w:szCs w:val="16"/>
              </w:rPr>
              <w:t>–</w:t>
            </w:r>
          </w:p>
        </w:tc>
      </w:tr>
      <w:tr w:rsidR="006D123E" w:rsidRPr="00261B7A" w14:paraId="43F83CF6" w14:textId="77777777" w:rsidTr="009C63CA">
        <w:trPr>
          <w:jc w:val="center"/>
        </w:trPr>
        <w:tc>
          <w:tcPr>
            <w:tcW w:w="4195" w:type="dxa"/>
            <w:gridSpan w:val="2"/>
            <w:tcBorders>
              <w:top w:val="nil"/>
              <w:left w:val="nil"/>
              <w:bottom w:val="nil"/>
              <w:right w:val="nil"/>
            </w:tcBorders>
            <w:shd w:val="clear" w:color="auto" w:fill="auto"/>
            <w:noWrap/>
          </w:tcPr>
          <w:p w14:paraId="53D1BDBD" w14:textId="77777777" w:rsidR="006D123E" w:rsidRPr="00261B7A" w:rsidRDefault="006D123E" w:rsidP="009C63CA">
            <w:pPr>
              <w:pStyle w:val="TableText"/>
              <w:rPr>
                <w:rFonts w:cs="Calibri"/>
                <w:color w:val="000000"/>
              </w:rPr>
            </w:pPr>
            <w:r w:rsidRPr="00261B7A">
              <w:rPr>
                <w:rFonts w:cs="Calibri"/>
                <w:color w:val="000000"/>
              </w:rPr>
              <w:t>New forest planted after 1990 – included in A&amp;R (kha)</w:t>
            </w:r>
          </w:p>
        </w:tc>
        <w:tc>
          <w:tcPr>
            <w:tcW w:w="790" w:type="dxa"/>
            <w:tcBorders>
              <w:top w:val="nil"/>
              <w:left w:val="nil"/>
              <w:bottom w:val="nil"/>
              <w:right w:val="nil"/>
            </w:tcBorders>
            <w:shd w:val="clear" w:color="auto" w:fill="auto"/>
            <w:vAlign w:val="bottom"/>
          </w:tcPr>
          <w:p w14:paraId="3068EA7B" w14:textId="77777777" w:rsidR="006D123E" w:rsidRPr="00261B7A" w:rsidRDefault="006D123E" w:rsidP="009C63CA">
            <w:pPr>
              <w:pStyle w:val="TableText"/>
              <w:jc w:val="right"/>
              <w:rPr>
                <w:rFonts w:cs="Calibri"/>
                <w:color w:val="000000"/>
                <w:szCs w:val="16"/>
              </w:rPr>
            </w:pPr>
            <w:r w:rsidRPr="00261B7A">
              <w:rPr>
                <w:rFonts w:cs="Calibri"/>
                <w:color w:val="000000"/>
                <w:szCs w:val="16"/>
              </w:rPr>
              <w:t xml:space="preserve">–509.8 </w:t>
            </w:r>
          </w:p>
        </w:tc>
      </w:tr>
      <w:tr w:rsidR="006D123E" w:rsidRPr="00261B7A" w14:paraId="03BCAB85" w14:textId="77777777" w:rsidTr="009C63CA">
        <w:trPr>
          <w:jc w:val="center"/>
        </w:trPr>
        <w:tc>
          <w:tcPr>
            <w:tcW w:w="4195" w:type="dxa"/>
            <w:gridSpan w:val="2"/>
            <w:tcBorders>
              <w:top w:val="nil"/>
              <w:left w:val="nil"/>
              <w:bottom w:val="nil"/>
              <w:right w:val="nil"/>
            </w:tcBorders>
            <w:shd w:val="clear" w:color="auto" w:fill="auto"/>
            <w:noWrap/>
            <w:hideMark/>
          </w:tcPr>
          <w:p w14:paraId="25477FC3" w14:textId="77777777" w:rsidR="006D123E" w:rsidRPr="00261B7A" w:rsidRDefault="006D123E" w:rsidP="009C63CA">
            <w:pPr>
              <w:pStyle w:val="TableTextBold"/>
              <w:rPr>
                <w:rFonts w:cs="Calibri"/>
                <w:noProof w:val="0"/>
              </w:rPr>
            </w:pPr>
            <w:r w:rsidRPr="00261B7A">
              <w:rPr>
                <w:rFonts w:cs="Calibri"/>
                <w:noProof w:val="0"/>
              </w:rPr>
              <w:t>Carbon equivalent forests</w:t>
            </w:r>
          </w:p>
        </w:tc>
        <w:tc>
          <w:tcPr>
            <w:tcW w:w="790" w:type="dxa"/>
            <w:tcBorders>
              <w:top w:val="nil"/>
              <w:left w:val="nil"/>
              <w:bottom w:val="nil"/>
              <w:right w:val="nil"/>
            </w:tcBorders>
            <w:shd w:val="clear" w:color="auto" w:fill="auto"/>
            <w:vAlign w:val="bottom"/>
          </w:tcPr>
          <w:p w14:paraId="42FD1FE0" w14:textId="77777777" w:rsidR="006D123E" w:rsidRPr="00261B7A" w:rsidRDefault="006D123E" w:rsidP="009C63CA">
            <w:pPr>
              <w:pStyle w:val="TableTextBold"/>
              <w:jc w:val="right"/>
              <w:rPr>
                <w:rFonts w:cs="Calibri"/>
                <w:noProof w:val="0"/>
                <w:color w:val="000000"/>
                <w:szCs w:val="16"/>
              </w:rPr>
            </w:pPr>
          </w:p>
        </w:tc>
      </w:tr>
      <w:tr w:rsidR="006D123E" w:rsidRPr="00261B7A" w14:paraId="05915374" w14:textId="77777777" w:rsidTr="009C63CA">
        <w:trPr>
          <w:jc w:val="center"/>
        </w:trPr>
        <w:tc>
          <w:tcPr>
            <w:tcW w:w="4195" w:type="dxa"/>
            <w:gridSpan w:val="2"/>
            <w:tcBorders>
              <w:top w:val="nil"/>
              <w:left w:val="nil"/>
              <w:bottom w:val="nil"/>
              <w:right w:val="nil"/>
            </w:tcBorders>
            <w:shd w:val="clear" w:color="auto" w:fill="auto"/>
            <w:noWrap/>
            <w:hideMark/>
          </w:tcPr>
          <w:p w14:paraId="780CCA4E" w14:textId="77777777" w:rsidR="006D123E" w:rsidRPr="00261B7A" w:rsidRDefault="006D123E" w:rsidP="009C63CA">
            <w:pPr>
              <w:pStyle w:val="TableText"/>
              <w:rPr>
                <w:rFonts w:cs="Calibri"/>
              </w:rPr>
            </w:pPr>
            <w:r w:rsidRPr="00261B7A">
              <w:rPr>
                <w:rFonts w:cs="Calibri"/>
              </w:rPr>
              <w:t>CEF – Newly established</w:t>
            </w:r>
          </w:p>
        </w:tc>
        <w:tc>
          <w:tcPr>
            <w:tcW w:w="790" w:type="dxa"/>
            <w:tcBorders>
              <w:top w:val="nil"/>
              <w:left w:val="nil"/>
              <w:bottom w:val="nil"/>
              <w:right w:val="nil"/>
            </w:tcBorders>
            <w:shd w:val="clear" w:color="auto" w:fill="auto"/>
            <w:vAlign w:val="bottom"/>
          </w:tcPr>
          <w:p w14:paraId="1DBA0CFF" w14:textId="77777777" w:rsidR="006D123E" w:rsidRPr="00261B7A" w:rsidRDefault="006D123E" w:rsidP="009C63CA">
            <w:pPr>
              <w:pStyle w:val="TableText"/>
              <w:jc w:val="right"/>
              <w:rPr>
                <w:rFonts w:cs="Calibri"/>
                <w:szCs w:val="16"/>
              </w:rPr>
            </w:pPr>
            <w:r w:rsidRPr="00261B7A">
              <w:rPr>
                <w:rFonts w:cs="Calibri"/>
                <w:szCs w:val="16"/>
              </w:rPr>
              <w:t>4.9</w:t>
            </w:r>
          </w:p>
        </w:tc>
      </w:tr>
      <w:tr w:rsidR="006D123E" w:rsidRPr="00261B7A" w14:paraId="61C10642" w14:textId="77777777" w:rsidTr="009C63CA">
        <w:trPr>
          <w:jc w:val="center"/>
        </w:trPr>
        <w:tc>
          <w:tcPr>
            <w:tcW w:w="4195" w:type="dxa"/>
            <w:gridSpan w:val="2"/>
            <w:tcBorders>
              <w:top w:val="nil"/>
              <w:left w:val="nil"/>
              <w:bottom w:val="single" w:sz="4" w:space="0" w:color="1B556B"/>
              <w:right w:val="nil"/>
            </w:tcBorders>
            <w:shd w:val="clear" w:color="auto" w:fill="auto"/>
            <w:hideMark/>
          </w:tcPr>
          <w:p w14:paraId="333B4130" w14:textId="77777777" w:rsidR="006D123E" w:rsidRPr="00261B7A" w:rsidRDefault="006D123E" w:rsidP="009C63CA">
            <w:pPr>
              <w:pStyle w:val="TableText"/>
              <w:rPr>
                <w:rFonts w:cs="Calibri"/>
              </w:rPr>
            </w:pPr>
            <w:r w:rsidRPr="00261B7A">
              <w:rPr>
                <w:rFonts w:cs="Calibri"/>
              </w:rPr>
              <w:t xml:space="preserve">CEF – Harvested and converted </w:t>
            </w:r>
          </w:p>
        </w:tc>
        <w:tc>
          <w:tcPr>
            <w:tcW w:w="790" w:type="dxa"/>
            <w:tcBorders>
              <w:top w:val="nil"/>
              <w:left w:val="nil"/>
              <w:bottom w:val="single" w:sz="4" w:space="0" w:color="1B556B"/>
              <w:right w:val="nil"/>
            </w:tcBorders>
            <w:shd w:val="clear" w:color="auto" w:fill="auto"/>
            <w:vAlign w:val="bottom"/>
          </w:tcPr>
          <w:p w14:paraId="0340A32F" w14:textId="77777777" w:rsidR="006D123E" w:rsidRPr="00261B7A" w:rsidRDefault="006D123E" w:rsidP="009C63CA">
            <w:pPr>
              <w:pStyle w:val="TableText"/>
              <w:jc w:val="right"/>
              <w:rPr>
                <w:rFonts w:cs="Calibri"/>
                <w:szCs w:val="16"/>
              </w:rPr>
            </w:pPr>
            <w:r w:rsidRPr="00261B7A">
              <w:rPr>
                <w:rFonts w:cs="Calibri"/>
                <w:szCs w:val="16"/>
              </w:rPr>
              <w:t>4.0</w:t>
            </w:r>
          </w:p>
        </w:tc>
      </w:tr>
      <w:tr w:rsidR="006D123E" w:rsidRPr="00261B7A" w14:paraId="60EB84DE" w14:textId="77777777" w:rsidTr="009C63CA">
        <w:trPr>
          <w:jc w:val="center"/>
        </w:trPr>
        <w:tc>
          <w:tcPr>
            <w:tcW w:w="4195" w:type="dxa"/>
            <w:gridSpan w:val="2"/>
            <w:tcBorders>
              <w:top w:val="single" w:sz="4" w:space="0" w:color="1B556B"/>
              <w:left w:val="nil"/>
              <w:bottom w:val="single" w:sz="4" w:space="0" w:color="1B556B"/>
              <w:right w:val="nil"/>
            </w:tcBorders>
            <w:shd w:val="clear" w:color="auto" w:fill="auto"/>
            <w:hideMark/>
          </w:tcPr>
          <w:p w14:paraId="4519F70F" w14:textId="77777777" w:rsidR="006D123E" w:rsidRPr="00261B7A" w:rsidRDefault="006D123E" w:rsidP="009C63CA">
            <w:pPr>
              <w:pStyle w:val="Tableboldblue"/>
              <w:rPr>
                <w:rFonts w:cs="Calibri"/>
              </w:rPr>
            </w:pPr>
            <w:r w:rsidRPr="00261B7A">
              <w:rPr>
                <w:rFonts w:cs="Calibri"/>
              </w:rPr>
              <w:t>Total in Forest management but not Forest remaining forest</w:t>
            </w:r>
          </w:p>
        </w:tc>
        <w:tc>
          <w:tcPr>
            <w:tcW w:w="790" w:type="dxa"/>
            <w:tcBorders>
              <w:top w:val="single" w:sz="4" w:space="0" w:color="1B556B"/>
              <w:left w:val="nil"/>
              <w:bottom w:val="single" w:sz="4" w:space="0" w:color="1B556B"/>
              <w:right w:val="nil"/>
            </w:tcBorders>
            <w:shd w:val="clear" w:color="auto" w:fill="auto"/>
            <w:vAlign w:val="bottom"/>
          </w:tcPr>
          <w:p w14:paraId="1027C634" w14:textId="77777777" w:rsidR="006D123E" w:rsidRPr="00261B7A" w:rsidRDefault="006D123E" w:rsidP="009C63CA">
            <w:pPr>
              <w:pStyle w:val="Tableboldblue"/>
              <w:jc w:val="right"/>
            </w:pPr>
            <w:r w:rsidRPr="00261B7A">
              <w:t xml:space="preserve">–501 </w:t>
            </w:r>
          </w:p>
        </w:tc>
      </w:tr>
    </w:tbl>
    <w:p w14:paraId="46551988" w14:textId="77777777" w:rsidR="006D123E" w:rsidRPr="00261B7A" w:rsidRDefault="006D123E" w:rsidP="006D123E">
      <w:pPr>
        <w:pStyle w:val="Noteundertable"/>
      </w:pPr>
      <w:r w:rsidRPr="00261B7A">
        <w:rPr>
          <w:b/>
        </w:rPr>
        <w:t>Note:</w:t>
      </w:r>
      <w:r w:rsidRPr="00261B7A">
        <w:rPr>
          <w:bCs/>
        </w:rPr>
        <w:t xml:space="preserve"> </w:t>
      </w:r>
      <w:r w:rsidRPr="00261B7A">
        <w:tab/>
        <w:t>A&amp;R = Afforestation and reforestation; CEF = carbon equivalent forest; FM = Forest management; kha = kilohectare. Columns may not total due to rounding.</w:t>
      </w:r>
    </w:p>
    <w:p w14:paraId="49C14AED" w14:textId="77777777" w:rsidR="006D123E" w:rsidRPr="00261B7A" w:rsidRDefault="006D123E" w:rsidP="006D123E">
      <w:pPr>
        <w:pStyle w:val="BodyText"/>
      </w:pPr>
      <w:r w:rsidRPr="00261B7A">
        <w:t>The Land Use Carbon Analysis System land use map is used to determine the new planting area activity data from 1990 to 2016. The activity data used to estimate new planting in planted forests between 2017 and 2021</w:t>
      </w:r>
      <w:r w:rsidRPr="00261B7A">
        <w:rPr>
          <w:rFonts w:cs="Calibri"/>
          <w:color w:val="000000"/>
          <w:shd w:val="clear" w:color="auto" w:fill="FFFFFF"/>
        </w:rPr>
        <w:t xml:space="preserve"> are derived from a combination of land use mapping, national statistics and forestry scheme data</w:t>
      </w:r>
      <w:r w:rsidRPr="00261B7A">
        <w:t xml:space="preserve"> (Ministry for Primary Industries, 2021), the NZ ETS scheme for areas subject to the carbon equivalent forest provision, and </w:t>
      </w:r>
      <w:r w:rsidRPr="00261B7A">
        <w:rPr>
          <w:rFonts w:cs="Calibri"/>
        </w:rPr>
        <w:t>the Ministry for Primary Industries afforestation scheme data</w:t>
      </w:r>
      <w:r w:rsidRPr="00261B7A">
        <w:t xml:space="preserve">. The survey respondents report areas as net stocked area. However, gross stocked area is reported in the Inventory. To account for the difference between the two sources of data (mapping and survey), an unstocked area component is added to the new planting statistic between 2017 and 2020. For estimating emissions associated with new planting, the net planted forest area is modelled separately from the unstocked area component. This ensures the net new planting and NZ ETS data used in the Inventory are consistent with the gross mapped forest area. </w:t>
      </w:r>
    </w:p>
    <w:p w14:paraId="17643BBE" w14:textId="77777777" w:rsidR="006D123E" w:rsidRPr="00261B7A" w:rsidRDefault="006D123E" w:rsidP="006D123E">
      <w:pPr>
        <w:pStyle w:val="BodyText"/>
      </w:pPr>
      <w:r w:rsidRPr="00261B7A">
        <w:t xml:space="preserve">New Zealand reports on harvested wood products originating from </w:t>
      </w:r>
      <w:r w:rsidRPr="00261B7A">
        <w:rPr>
          <w:i/>
        </w:rPr>
        <w:t>Afforestation and reforestation</w:t>
      </w:r>
      <w:r w:rsidRPr="00261B7A">
        <w:t xml:space="preserve"> activities. This is described further in section 11.3.6.</w:t>
      </w:r>
      <w:r w:rsidRPr="00261B7A" w:rsidDel="004331A9">
        <w:rPr>
          <w:rStyle w:val="CommentReference"/>
        </w:rPr>
        <w:t xml:space="preserve"> </w:t>
      </w:r>
    </w:p>
    <w:p w14:paraId="7B54B319" w14:textId="77777777" w:rsidR="006D123E" w:rsidRPr="00261B7A" w:rsidRDefault="006D123E" w:rsidP="006D123E">
      <w:pPr>
        <w:pStyle w:val="BodyText"/>
      </w:pPr>
      <w:r w:rsidRPr="00261B7A">
        <w:t xml:space="preserve">New Zealand chose not to apply the provision for the treatment of natural disturbance emissions to its afforestation and reforestation accounting for the period 2013-2020. While some wildfire has occurred within </w:t>
      </w:r>
      <w:r w:rsidRPr="00261B7A">
        <w:rPr>
          <w:i/>
        </w:rPr>
        <w:t>Afforestation and reforestation</w:t>
      </w:r>
      <w:r w:rsidRPr="00261B7A">
        <w:t xml:space="preserve"> activities since 2013, this was not at a high enough level for New Zealand to trigger the natural disturbance provision.</w:t>
      </w:r>
    </w:p>
    <w:p w14:paraId="7B67C66E" w14:textId="77777777" w:rsidR="006D123E" w:rsidRPr="00261B7A" w:rsidRDefault="006D123E" w:rsidP="006D123E">
      <w:pPr>
        <w:pStyle w:val="Heading4"/>
        <w:spacing w:before="0"/>
      </w:pPr>
      <w:bookmarkStart w:id="3049" w:name="_Hlk56416743"/>
      <w:r w:rsidRPr="00261B7A">
        <w:t>Government initiatives and legislation</w:t>
      </w:r>
    </w:p>
    <w:p w14:paraId="57347002" w14:textId="77777777" w:rsidR="006D123E" w:rsidRPr="00261B7A" w:rsidRDefault="006D123E" w:rsidP="006D123E">
      <w:pPr>
        <w:pStyle w:val="BodyText"/>
        <w:spacing w:after="100"/>
      </w:pPr>
      <w:r w:rsidRPr="00261B7A">
        <w:t>Since 1993, the New Zealand Government has introduced legislation and government initiatives to encourage forest establishment and discourage deforestation</w:t>
      </w:r>
      <w:bookmarkEnd w:id="3049"/>
      <w:r w:rsidRPr="00261B7A">
        <w:t>. These measures are summarised below.</w:t>
      </w:r>
    </w:p>
    <w:p w14:paraId="11B9D4EC" w14:textId="77777777" w:rsidR="006D123E" w:rsidRPr="00261B7A" w:rsidRDefault="006D123E" w:rsidP="006D123E">
      <w:pPr>
        <w:pStyle w:val="Bullet"/>
        <w:spacing w:before="80"/>
      </w:pPr>
      <w:r w:rsidRPr="00261B7A">
        <w:t>Climate Change Response Act 2002 (amended 8 December 2009 and 22 June 2020)</w:t>
      </w:r>
    </w:p>
    <w:p w14:paraId="212A0D32" w14:textId="77777777" w:rsidR="006D123E" w:rsidRPr="00261B7A" w:rsidRDefault="006D123E" w:rsidP="006D123E">
      <w:pPr>
        <w:pStyle w:val="BodyText"/>
        <w:spacing w:before="0" w:after="240"/>
        <w:ind w:left="397"/>
      </w:pPr>
      <w:r w:rsidRPr="00261B7A">
        <w:t xml:space="preserve">The NZ ETS was introduced under the Climate Change Response Act 2002. </w:t>
      </w:r>
      <w:r w:rsidRPr="00261B7A">
        <w:rPr>
          <w:i/>
        </w:rPr>
        <w:t>Forest land</w:t>
      </w:r>
      <w:r w:rsidRPr="00261B7A">
        <w:t xml:space="preserve"> was introduced into the scheme on 1 January 2008. Under the scheme, owners of post</w:t>
      </w:r>
      <w:r w:rsidRPr="00261B7A">
        <w:noBreakHyphen/>
        <w:t xml:space="preserve">1989 forest land have been able to voluntarily participate in the NZ ETS and receive emission units (New Zealand Units (NZUs)) for increases in carbon stocks. Recent participants in the NZ ETS may claim units for increases in carbon stocks from the start of the previous emissions reporting period for the NZ ETS, the most recent of which is 2018. </w:t>
      </w:r>
      <w:r w:rsidRPr="00261B7A">
        <w:rPr>
          <w:rFonts w:ascii="Segoe UI" w:hAnsi="Segoe UI" w:cs="Segoe UI"/>
          <w:color w:val="242424"/>
          <w:sz w:val="21"/>
          <w:szCs w:val="21"/>
          <w:shd w:val="clear" w:color="auto" w:fill="FFFFFF"/>
        </w:rPr>
        <w:t>Participants can also claim units annually through a voluntary emissions return.</w:t>
      </w:r>
      <w:r w:rsidRPr="00261B7A">
        <w:t xml:space="preserve"> </w:t>
      </w:r>
    </w:p>
    <w:p w14:paraId="6548F820" w14:textId="77777777" w:rsidR="006D123E" w:rsidRPr="00261B7A" w:rsidRDefault="006D123E" w:rsidP="006D123E">
      <w:pPr>
        <w:pStyle w:val="Bullet"/>
        <w:numPr>
          <w:ilvl w:val="0"/>
          <w:numId w:val="24"/>
        </w:numPr>
      </w:pPr>
      <w:r w:rsidRPr="00261B7A">
        <w:t>Erosion Control Funding Programme</w:t>
      </w:r>
      <w:r w:rsidRPr="00261B7A" w:rsidDel="004A3481">
        <w:t xml:space="preserve"> </w:t>
      </w:r>
    </w:p>
    <w:p w14:paraId="3B63CFF9" w14:textId="77777777" w:rsidR="006D123E" w:rsidRPr="00261B7A" w:rsidRDefault="006D123E" w:rsidP="006D123E">
      <w:pPr>
        <w:pStyle w:val="BodyText"/>
        <w:spacing w:before="0" w:after="240"/>
        <w:ind w:left="397"/>
      </w:pPr>
      <w:r w:rsidRPr="00261B7A">
        <w:t>The Erosion Control Funding Programme, formerly the East Coast Forestry Project, is a grant scheme that was established in 1992. It aimed to address soil erosion on the worst eroding land in the Gisborne District through planting trees or encouraging natural reversion to native bush (Ministry for Primary Industries, 2014). To date, 40,342 hectares of forest have been established under the scheme. This programme was discontinued in 2018 and superseded by the One Billion Trees Programme (see below).</w:t>
      </w:r>
    </w:p>
    <w:p w14:paraId="7F2E4FF5" w14:textId="77777777" w:rsidR="006D123E" w:rsidRPr="00261B7A" w:rsidRDefault="006D123E" w:rsidP="006D123E">
      <w:pPr>
        <w:pStyle w:val="Bullet"/>
        <w:numPr>
          <w:ilvl w:val="0"/>
          <w:numId w:val="24"/>
        </w:numPr>
      </w:pPr>
      <w:r w:rsidRPr="00261B7A">
        <w:t xml:space="preserve">Permanent Forest Sink Initiative </w:t>
      </w:r>
    </w:p>
    <w:p w14:paraId="2EBE554D" w14:textId="77777777" w:rsidR="006D123E" w:rsidRPr="00261B7A" w:rsidRDefault="006D123E" w:rsidP="006D123E">
      <w:pPr>
        <w:pStyle w:val="BodyText"/>
        <w:spacing w:before="0" w:after="240"/>
        <w:ind w:left="397"/>
      </w:pPr>
      <w:r w:rsidRPr="00261B7A">
        <w:t>The Permanent Forest Sink Initiative enables land owners to earn carbon credits through the establishment of permanent forests on land that was not forested before 1990 (Ministry for Primary Industries, 2015b). In total, 15,584 hectares have been registered under this scheme. In 2018 it was announced that the scheme would be discontinued and replaced by a permanent post-1989 forest category from 1 January 2024.</w:t>
      </w:r>
    </w:p>
    <w:p w14:paraId="56DB4902" w14:textId="77777777" w:rsidR="006D123E" w:rsidRPr="00261B7A" w:rsidRDefault="006D123E" w:rsidP="006D123E">
      <w:pPr>
        <w:pStyle w:val="Bullet"/>
        <w:numPr>
          <w:ilvl w:val="0"/>
          <w:numId w:val="24"/>
        </w:numPr>
      </w:pPr>
      <w:r w:rsidRPr="00261B7A">
        <w:t xml:space="preserve">Hill Country Erosion Programme </w:t>
      </w:r>
    </w:p>
    <w:p w14:paraId="358CA9FE" w14:textId="77777777" w:rsidR="006D123E" w:rsidRPr="00261B7A" w:rsidRDefault="006D123E" w:rsidP="006D123E">
      <w:pPr>
        <w:pStyle w:val="BodyText"/>
        <w:spacing w:before="0" w:after="240"/>
        <w:ind w:left="397"/>
      </w:pPr>
      <w:r w:rsidRPr="00261B7A">
        <w:rPr>
          <w:spacing w:val="-2"/>
        </w:rPr>
        <w:t xml:space="preserve">The Hill Country Erosion Programme, like the Erosion Control Funding Programme, is focused on the retiring and afforestation of erosion-prone, hill-country </w:t>
      </w:r>
      <w:r w:rsidRPr="00261B7A">
        <w:t>land</w:t>
      </w:r>
      <w:r w:rsidRPr="00261B7A">
        <w:rPr>
          <w:spacing w:val="-2"/>
        </w:rPr>
        <w:t xml:space="preserve">. </w:t>
      </w:r>
      <w:r w:rsidRPr="00261B7A">
        <w:t xml:space="preserve">This programme focuses on giving councils additional resourcing to build their technical capability, give advice to land owners of erosion-prone land, and supports the planting of trees and establishment of forests. </w:t>
      </w:r>
      <w:r w:rsidRPr="00261B7A">
        <w:rPr>
          <w:spacing w:val="-2"/>
        </w:rPr>
        <w:t>It underwent a review in 2011 and continues with an expanded target area throughout erosion-prone land in the North Island (Ministry for Primary Industries, 2015c). To date, 16,289 hectares of plantings have been established under this scheme, of which 5,882 hectares meet the definition of forest land.</w:t>
      </w:r>
    </w:p>
    <w:p w14:paraId="70624E10" w14:textId="77777777" w:rsidR="006D123E" w:rsidRPr="00261B7A" w:rsidRDefault="006D123E" w:rsidP="006D123E">
      <w:pPr>
        <w:pStyle w:val="Bullet"/>
        <w:numPr>
          <w:ilvl w:val="0"/>
          <w:numId w:val="24"/>
        </w:numPr>
      </w:pPr>
      <w:r w:rsidRPr="00261B7A">
        <w:t xml:space="preserve">Afforestation Grant Scheme </w:t>
      </w:r>
    </w:p>
    <w:p w14:paraId="06599F05" w14:textId="77777777" w:rsidR="006D123E" w:rsidRPr="00261B7A" w:rsidRDefault="006D123E" w:rsidP="006D123E">
      <w:pPr>
        <w:pStyle w:val="BodyText"/>
        <w:spacing w:before="0" w:after="240"/>
        <w:ind w:left="397"/>
      </w:pPr>
      <w:r w:rsidRPr="00261B7A">
        <w:t>The Afforestation Grant Scheme was first established in 2008 to promote carbon sequestration, reduce soil erosion and improve water quality. The first round of the scheme established 9,343 hectares of new forest between 2008 and 2013. A second afforestation grant scheme was established in 2015, and 7,846 hectares of new forest were established under this scheme (Ministry for Primary Industries, 2015a). The scheme was replaced by the One Billion Trees Programme in 2018.</w:t>
      </w:r>
    </w:p>
    <w:p w14:paraId="3736492D" w14:textId="77777777" w:rsidR="006D123E" w:rsidRPr="00261B7A" w:rsidRDefault="006D123E" w:rsidP="006D123E">
      <w:pPr>
        <w:keepNext/>
        <w:numPr>
          <w:ilvl w:val="0"/>
          <w:numId w:val="24"/>
        </w:numPr>
        <w:tabs>
          <w:tab w:val="left" w:pos="397"/>
        </w:tabs>
        <w:spacing w:after="120"/>
      </w:pPr>
      <w:r w:rsidRPr="00261B7A">
        <w:t xml:space="preserve">One Billion Trees Programme </w:t>
      </w:r>
    </w:p>
    <w:p w14:paraId="38A20C54" w14:textId="77777777" w:rsidR="006D123E" w:rsidRPr="00261B7A" w:rsidRDefault="006D123E" w:rsidP="006D123E">
      <w:pPr>
        <w:pStyle w:val="BodyText"/>
        <w:spacing w:before="0" w:after="100"/>
        <w:ind w:left="397"/>
      </w:pPr>
      <w:r w:rsidRPr="00261B7A">
        <w:t>The One Billion Trees Programme was established in 2018 to support individuals and groups across New Zealand to plant trees and manage land sustainably. Te Uru Rākau works in partnership with land owners and organisations to achieve the goal of planting 1 billion trees by 2028 (Te Uru Rākau, 2018). Since the programme was announced, until mid-2022, 472,539,000 trees have been planted.</w:t>
      </w:r>
    </w:p>
    <w:p w14:paraId="3BBFC935" w14:textId="77777777" w:rsidR="006D123E" w:rsidRPr="00261B7A" w:rsidRDefault="006D123E" w:rsidP="006D123E">
      <w:pPr>
        <w:pStyle w:val="BodyText"/>
        <w:spacing w:after="100"/>
        <w:rPr>
          <w:spacing w:val="-2"/>
        </w:rPr>
      </w:pPr>
      <w:r w:rsidRPr="00261B7A">
        <w:t xml:space="preserve">In addition to government policies and legislation, afforestation and deforestation rates in New Zealand have also been driven by market conditions. For example, </w:t>
      </w:r>
      <w:r w:rsidRPr="00261B7A">
        <w:rPr>
          <w:spacing w:val="-2"/>
        </w:rPr>
        <w:t xml:space="preserve">new planting rates were high from 1992 to 1998, averaging 60,533 hectares per year. This is attributed to the taxation regime, an unprecedented price </w:t>
      </w:r>
      <w:r w:rsidRPr="00261B7A">
        <w:t>spike</w:t>
      </w:r>
      <w:r w:rsidRPr="00261B7A">
        <w:rPr>
          <w:spacing w:val="-2"/>
        </w:rPr>
        <w:t xml:space="preserve"> for forest products with subsequent favourable publicity, a government focus on forestry as an instrument for regional development and the conclusion of the state forest assets sale. The removal of agricultural subsidies and the poor performance of the New Zealand and international share markets also encouraged investors to seek alternatives (Rhodes and Novis, 2002). </w:t>
      </w:r>
    </w:p>
    <w:p w14:paraId="4796D629" w14:textId="77777777" w:rsidR="006D123E" w:rsidRPr="00261B7A" w:rsidRDefault="006D123E" w:rsidP="006D123E">
      <w:pPr>
        <w:pStyle w:val="BodyText"/>
        <w:spacing w:before="100" w:after="100"/>
      </w:pPr>
      <w:r w:rsidRPr="00261B7A">
        <w:t xml:space="preserve">The rate of new planting declined from 1996 until 2008. This is likely due to the relative profitability of other forms of land use and high rural land prices. Between 2008 and 2012, planting rates began to increase again, largely attributable to the NZ ETS (Ministry for Primary Industries, 2015d), Afforestation Grant Scheme (Ministry for Primary Industries, 2015a) and Permanent Forest Sink Initiative (Ministry for Primary Industries, 2015b). </w:t>
      </w:r>
    </w:p>
    <w:p w14:paraId="00A2CFEB" w14:textId="77777777" w:rsidR="006D123E" w:rsidRPr="00261B7A" w:rsidRDefault="006D123E" w:rsidP="006D123E">
      <w:pPr>
        <w:pStyle w:val="BodyText"/>
        <w:spacing w:before="100" w:after="100"/>
      </w:pPr>
      <w:r w:rsidRPr="00261B7A">
        <w:t xml:space="preserve">The afforestation rate reduced after 2012. This is likely due in part to a significant drop in the price of carbon in the NZ ETS and the increase in profitability of other non-forest land uses. In 2019 and 2020, </w:t>
      </w:r>
      <w:r w:rsidRPr="00261B7A">
        <w:rPr>
          <w:i/>
        </w:rPr>
        <w:t>Afforestation and reforestation</w:t>
      </w:r>
      <w:r w:rsidRPr="00261B7A">
        <w:t xml:space="preserve"> activities significantly increased again, with 27,070 hectares of new planting occurring in 2019 and 40,887 hectares in 2020. This is likely due to seedlings funded by the One Billion Trees programme being planted and higher carbon prices in the NZ ETS resulting from the announcements leading up to</w:t>
      </w:r>
      <w:r w:rsidRPr="00261B7A">
        <w:rPr>
          <w:color w:val="70AD47"/>
        </w:rPr>
        <w:t xml:space="preserve"> </w:t>
      </w:r>
      <w:r w:rsidRPr="00261B7A">
        <w:t>the Climate Change Response (Emissions Trading Reform) Amendment Bill and its passing in June 2020.</w:t>
      </w:r>
    </w:p>
    <w:p w14:paraId="010F28DE" w14:textId="77777777" w:rsidR="006D123E" w:rsidRPr="00261B7A" w:rsidRDefault="006D123E" w:rsidP="006D123E">
      <w:pPr>
        <w:pStyle w:val="Heading3"/>
      </w:pPr>
      <w:r w:rsidRPr="00261B7A">
        <w:t>11.3.3</w:t>
      </w:r>
      <w:r w:rsidRPr="00261B7A">
        <w:tab/>
        <w:t>Deforestation (CRF 4(KP.A.2))</w:t>
      </w:r>
    </w:p>
    <w:p w14:paraId="3D9F6C7F" w14:textId="77777777" w:rsidR="006D123E" w:rsidRPr="00261B7A" w:rsidRDefault="006D123E" w:rsidP="006D123E">
      <w:pPr>
        <w:pStyle w:val="BodyText"/>
      </w:pPr>
      <w:r w:rsidRPr="00261B7A">
        <w:t xml:space="preserve">In 2021, </w:t>
      </w:r>
      <w:r w:rsidRPr="00261B7A">
        <w:rPr>
          <w:i/>
        </w:rPr>
        <w:t>Deforestation</w:t>
      </w:r>
      <w:r w:rsidRPr="00261B7A">
        <w:t xml:space="preserve"> emissions were </w:t>
      </w:r>
      <w:r w:rsidRPr="00261B7A">
        <w:rPr>
          <w:rFonts w:cs="Calibri"/>
          <w:color w:val="000000"/>
          <w:szCs w:val="16"/>
        </w:rPr>
        <w:t>1,391.0</w:t>
      </w:r>
      <w:r w:rsidRPr="00261B7A">
        <w:t xml:space="preserve"> kt CO</w:t>
      </w:r>
      <w:r w:rsidRPr="00261B7A">
        <w:rPr>
          <w:vertAlign w:val="subscript"/>
        </w:rPr>
        <w:t>2</w:t>
      </w:r>
      <w:r w:rsidRPr="00261B7A">
        <w:t>-e. These emissions result from the loss of carbon, which was stored in the biomass before deforestation, occurring in the year that deforestation occurs; soil carbon stock changes including lagged emissions from previous deforestation events; mineralisation of soil nitrogen associated with the land-use change; emissions from burning biomass on deforested land; and removals from biomass growth of the new land use, which accumulates at the rates given in chapter 6, under each land use category.</w:t>
      </w:r>
    </w:p>
    <w:p w14:paraId="28120AAE" w14:textId="77777777" w:rsidR="006D123E" w:rsidRPr="00261B7A" w:rsidRDefault="006D123E" w:rsidP="006D123E">
      <w:pPr>
        <w:pStyle w:val="BodyText"/>
      </w:pPr>
      <w:r w:rsidRPr="00261B7A">
        <w:t xml:space="preserve">The estimated area reported under </w:t>
      </w:r>
      <w:r w:rsidRPr="00261B7A">
        <w:rPr>
          <w:i/>
          <w:spacing w:val="-2"/>
        </w:rPr>
        <w:t>Deforestation</w:t>
      </w:r>
      <w:r w:rsidRPr="00261B7A">
        <w:t xml:space="preserve"> for 2021 was 2,493 hectares. </w:t>
      </w:r>
    </w:p>
    <w:p w14:paraId="57308BD4" w14:textId="77777777" w:rsidR="006D123E" w:rsidRPr="00261B7A" w:rsidRDefault="006D123E" w:rsidP="006D123E">
      <w:pPr>
        <w:pStyle w:val="BodyText"/>
      </w:pPr>
      <w:r w:rsidRPr="00261B7A">
        <w:t xml:space="preserve">Table 11.3.4 shows the areas of </w:t>
      </w:r>
      <w:r w:rsidRPr="00261B7A">
        <w:rPr>
          <w:i/>
        </w:rPr>
        <w:t>Forest land</w:t>
      </w:r>
      <w:r w:rsidRPr="00261B7A">
        <w:t xml:space="preserve"> subject to </w:t>
      </w:r>
      <w:r w:rsidRPr="00261B7A">
        <w:rPr>
          <w:i/>
          <w:spacing w:val="-2"/>
        </w:rPr>
        <w:t>Deforestation</w:t>
      </w:r>
      <w:r w:rsidRPr="00261B7A">
        <w:t xml:space="preserve"> activities in 2021 by forest category. </w:t>
      </w:r>
    </w:p>
    <w:p w14:paraId="7C711CF4" w14:textId="77777777" w:rsidR="006D123E" w:rsidRPr="00261B7A" w:rsidRDefault="006D123E" w:rsidP="006D123E">
      <w:pPr>
        <w:pStyle w:val="Table"/>
      </w:pPr>
      <w:bookmarkStart w:id="3050" w:name="_Toc456179108"/>
      <w:bookmarkStart w:id="3051" w:name="_Toc481751634"/>
      <w:bookmarkStart w:id="3052" w:name="_Toc522010659"/>
      <w:bookmarkStart w:id="3053" w:name="_Toc5269630"/>
      <w:bookmarkStart w:id="3054" w:name="_Toc36224713"/>
      <w:bookmarkStart w:id="3055" w:name="_Toc64987048"/>
      <w:bookmarkStart w:id="3056" w:name="_Toc68786598"/>
      <w:bookmarkStart w:id="3057" w:name="_Toc95321540"/>
      <w:bookmarkStart w:id="3058" w:name="_Toc130568409"/>
      <w:bookmarkStart w:id="3059" w:name="_Toc131591502"/>
      <w:r w:rsidRPr="00261B7A">
        <w:t>Table 11.3.4</w:t>
      </w:r>
      <w:r w:rsidRPr="00261B7A">
        <w:tab/>
        <w:t>Area of New Zealand subject to deforestation</w:t>
      </w:r>
      <w:bookmarkEnd w:id="3050"/>
      <w:bookmarkEnd w:id="3051"/>
      <w:bookmarkEnd w:id="3052"/>
      <w:bookmarkEnd w:id="3053"/>
      <w:bookmarkEnd w:id="3054"/>
      <w:bookmarkEnd w:id="3055"/>
      <w:bookmarkEnd w:id="3056"/>
      <w:bookmarkEnd w:id="3057"/>
      <w:r w:rsidRPr="00261B7A">
        <w:t xml:space="preserve"> in 2021</w:t>
      </w:r>
      <w:bookmarkEnd w:id="3058"/>
      <w:bookmarkEnd w:id="3059"/>
    </w:p>
    <w:tbl>
      <w:tblPr>
        <w:tblW w:w="8505"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798"/>
        <w:gridCol w:w="1427"/>
        <w:gridCol w:w="1712"/>
        <w:gridCol w:w="1571"/>
        <w:gridCol w:w="1570"/>
        <w:gridCol w:w="1427"/>
      </w:tblGrid>
      <w:tr w:rsidR="006D123E" w:rsidRPr="00261B7A" w14:paraId="799386FE" w14:textId="77777777" w:rsidTr="009C63CA">
        <w:trPr>
          <w:tblHeader/>
        </w:trPr>
        <w:tc>
          <w:tcPr>
            <w:tcW w:w="798" w:type="dxa"/>
            <w:shd w:val="clear" w:color="auto" w:fill="1B556B"/>
            <w:vAlign w:val="bottom"/>
          </w:tcPr>
          <w:p w14:paraId="1A70ADC9" w14:textId="77777777" w:rsidR="006D123E" w:rsidRPr="00261B7A" w:rsidRDefault="006D123E" w:rsidP="009C63CA">
            <w:pPr>
              <w:pStyle w:val="TableTextBold"/>
              <w:keepNext/>
              <w:spacing w:before="50" w:after="0"/>
              <w:jc w:val="center"/>
              <w:rPr>
                <w:rFonts w:cs="Calibri"/>
                <w:bCs/>
                <w:noProof w:val="0"/>
                <w:color w:val="FFFFFF"/>
                <w:szCs w:val="16"/>
              </w:rPr>
            </w:pPr>
          </w:p>
        </w:tc>
        <w:tc>
          <w:tcPr>
            <w:tcW w:w="6280" w:type="dxa"/>
            <w:gridSpan w:val="4"/>
            <w:shd w:val="clear" w:color="auto" w:fill="1B556B"/>
            <w:vAlign w:val="bottom"/>
          </w:tcPr>
          <w:p w14:paraId="6FC7B648" w14:textId="77777777" w:rsidR="006D123E" w:rsidRPr="00261B7A" w:rsidRDefault="006D123E" w:rsidP="009C63CA">
            <w:pPr>
              <w:pStyle w:val="TableTextBold"/>
              <w:keepNext/>
              <w:spacing w:before="50" w:after="0"/>
              <w:jc w:val="center"/>
              <w:rPr>
                <w:rFonts w:cs="Calibri"/>
                <w:bCs/>
                <w:noProof w:val="0"/>
                <w:color w:val="FFFFFF"/>
                <w:szCs w:val="16"/>
              </w:rPr>
            </w:pPr>
            <w:r w:rsidRPr="00261B7A">
              <w:rPr>
                <w:rFonts w:cs="Calibri"/>
                <w:bCs/>
                <w:noProof w:val="0"/>
                <w:color w:val="FFFFFF"/>
                <w:szCs w:val="16"/>
              </w:rPr>
              <w:t>Annual area of deforestation (ha)</w:t>
            </w:r>
          </w:p>
        </w:tc>
        <w:tc>
          <w:tcPr>
            <w:tcW w:w="1427" w:type="dxa"/>
            <w:shd w:val="clear" w:color="auto" w:fill="1B556B"/>
            <w:vAlign w:val="bottom"/>
          </w:tcPr>
          <w:p w14:paraId="5BA8E62F" w14:textId="77777777" w:rsidR="006D123E" w:rsidRPr="00261B7A" w:rsidRDefault="006D123E" w:rsidP="009C63CA">
            <w:pPr>
              <w:pStyle w:val="TableTextBold"/>
              <w:keepNext/>
              <w:spacing w:before="50" w:after="0"/>
              <w:jc w:val="center"/>
              <w:rPr>
                <w:rFonts w:cs="Calibri"/>
                <w:bCs/>
                <w:noProof w:val="0"/>
                <w:color w:val="FFFFFF"/>
                <w:szCs w:val="16"/>
              </w:rPr>
            </w:pPr>
          </w:p>
        </w:tc>
      </w:tr>
      <w:tr w:rsidR="006D123E" w:rsidRPr="00261B7A" w14:paraId="67B45DCE" w14:textId="77777777" w:rsidTr="009C63CA">
        <w:tblPrEx>
          <w:tblCellMar>
            <w:left w:w="85" w:type="dxa"/>
            <w:right w:w="85" w:type="dxa"/>
          </w:tblCellMar>
        </w:tblPrEx>
        <w:trPr>
          <w:tblHeader/>
        </w:trPr>
        <w:tc>
          <w:tcPr>
            <w:tcW w:w="798" w:type="dxa"/>
            <w:shd w:val="clear" w:color="auto" w:fill="1B556B"/>
            <w:vAlign w:val="bottom"/>
          </w:tcPr>
          <w:p w14:paraId="2BAEAA06" w14:textId="77777777" w:rsidR="006D123E" w:rsidRPr="00261B7A" w:rsidRDefault="006D123E" w:rsidP="009C63CA">
            <w:pPr>
              <w:pStyle w:val="TableTextBold"/>
              <w:keepNext/>
              <w:spacing w:before="50" w:after="50"/>
              <w:rPr>
                <w:rFonts w:cs="Calibri"/>
                <w:bCs/>
                <w:noProof w:val="0"/>
                <w:color w:val="FFFFFF"/>
                <w:szCs w:val="16"/>
              </w:rPr>
            </w:pPr>
            <w:r w:rsidRPr="00261B7A">
              <w:rPr>
                <w:rFonts w:cs="Calibri"/>
                <w:bCs/>
                <w:noProof w:val="0"/>
                <w:color w:val="FFFFFF"/>
                <w:szCs w:val="16"/>
              </w:rPr>
              <w:t>Year</w:t>
            </w:r>
          </w:p>
        </w:tc>
        <w:tc>
          <w:tcPr>
            <w:tcW w:w="1427" w:type="dxa"/>
            <w:shd w:val="clear" w:color="auto" w:fill="1B556B"/>
            <w:vAlign w:val="bottom"/>
          </w:tcPr>
          <w:p w14:paraId="66BD6372" w14:textId="77777777" w:rsidR="006D123E" w:rsidRPr="00261B7A" w:rsidRDefault="006D123E" w:rsidP="009C63CA">
            <w:pPr>
              <w:pStyle w:val="TableTextBold"/>
              <w:spacing w:before="50" w:after="50"/>
              <w:jc w:val="right"/>
              <w:rPr>
                <w:rFonts w:cs="Calibri"/>
                <w:noProof w:val="0"/>
                <w:color w:val="FFFFFF"/>
                <w:szCs w:val="16"/>
              </w:rPr>
            </w:pPr>
            <w:r w:rsidRPr="00261B7A">
              <w:rPr>
                <w:rFonts w:cs="Calibri"/>
                <w:noProof w:val="0"/>
                <w:color w:val="FFFFFF"/>
                <w:szCs w:val="16"/>
              </w:rPr>
              <w:t xml:space="preserve">Pre-1990 </w:t>
            </w:r>
            <w:r w:rsidRPr="00261B7A">
              <w:rPr>
                <w:rFonts w:cs="Calibri"/>
                <w:noProof w:val="0"/>
                <w:color w:val="FFFFFF"/>
                <w:szCs w:val="16"/>
              </w:rPr>
              <w:br/>
              <w:t>natural forest</w:t>
            </w:r>
          </w:p>
        </w:tc>
        <w:tc>
          <w:tcPr>
            <w:tcW w:w="1712" w:type="dxa"/>
            <w:shd w:val="clear" w:color="auto" w:fill="1B556B"/>
            <w:vAlign w:val="bottom"/>
          </w:tcPr>
          <w:p w14:paraId="0A9D0042" w14:textId="77777777" w:rsidR="006D123E" w:rsidRPr="00261B7A" w:rsidRDefault="006D123E" w:rsidP="009C63CA">
            <w:pPr>
              <w:pStyle w:val="TableTextBold"/>
              <w:spacing w:before="50" w:after="50"/>
              <w:jc w:val="right"/>
              <w:rPr>
                <w:rFonts w:cs="Calibri"/>
                <w:noProof w:val="0"/>
                <w:color w:val="FFFFFF"/>
                <w:szCs w:val="16"/>
              </w:rPr>
            </w:pPr>
            <w:r w:rsidRPr="00261B7A">
              <w:rPr>
                <w:rFonts w:cs="Calibri"/>
                <w:noProof w:val="0"/>
                <w:color w:val="FFFFFF"/>
                <w:szCs w:val="16"/>
              </w:rPr>
              <w:t xml:space="preserve">Pre-1990 </w:t>
            </w:r>
            <w:r w:rsidRPr="00261B7A">
              <w:rPr>
                <w:rFonts w:cs="Calibri"/>
                <w:noProof w:val="0"/>
                <w:color w:val="FFFFFF"/>
                <w:szCs w:val="16"/>
              </w:rPr>
              <w:br/>
              <w:t>planted forest</w:t>
            </w:r>
          </w:p>
        </w:tc>
        <w:tc>
          <w:tcPr>
            <w:tcW w:w="1571" w:type="dxa"/>
            <w:shd w:val="clear" w:color="auto" w:fill="1B556B"/>
            <w:vAlign w:val="bottom"/>
          </w:tcPr>
          <w:p w14:paraId="441F9069" w14:textId="77777777" w:rsidR="006D123E" w:rsidRPr="00261B7A" w:rsidRDefault="006D123E" w:rsidP="009C63CA">
            <w:pPr>
              <w:pStyle w:val="TableTextBold"/>
              <w:spacing w:before="50" w:after="50"/>
              <w:jc w:val="right"/>
              <w:rPr>
                <w:rFonts w:cs="Calibri"/>
                <w:noProof w:val="0"/>
                <w:color w:val="FFFFFF"/>
                <w:szCs w:val="16"/>
              </w:rPr>
            </w:pPr>
            <w:r w:rsidRPr="00261B7A">
              <w:rPr>
                <w:rFonts w:cs="Calibri"/>
                <w:noProof w:val="0"/>
                <w:color w:val="FFFFFF"/>
                <w:szCs w:val="16"/>
              </w:rPr>
              <w:t xml:space="preserve">Post-1989 </w:t>
            </w:r>
            <w:r w:rsidRPr="00261B7A">
              <w:rPr>
                <w:rFonts w:cs="Calibri"/>
                <w:noProof w:val="0"/>
                <w:color w:val="FFFFFF"/>
                <w:szCs w:val="16"/>
              </w:rPr>
              <w:br/>
              <w:t>planted forest</w:t>
            </w:r>
          </w:p>
        </w:tc>
        <w:tc>
          <w:tcPr>
            <w:tcW w:w="1570" w:type="dxa"/>
            <w:shd w:val="clear" w:color="auto" w:fill="1B556B"/>
          </w:tcPr>
          <w:p w14:paraId="09F3DAF9" w14:textId="77777777" w:rsidR="006D123E" w:rsidRPr="00261B7A" w:rsidRDefault="006D123E" w:rsidP="009C63CA">
            <w:pPr>
              <w:pStyle w:val="TableTextBold"/>
              <w:jc w:val="right"/>
              <w:rPr>
                <w:rFonts w:cs="Calibri"/>
                <w:noProof w:val="0"/>
                <w:color w:val="FFFFFF"/>
                <w:szCs w:val="16"/>
              </w:rPr>
            </w:pPr>
            <w:r w:rsidRPr="00261B7A">
              <w:rPr>
                <w:rFonts w:cs="Calibri"/>
                <w:noProof w:val="0"/>
                <w:color w:val="FFFFFF"/>
                <w:szCs w:val="16"/>
              </w:rPr>
              <w:t xml:space="preserve">Post-1989 </w:t>
            </w:r>
            <w:r w:rsidRPr="00261B7A">
              <w:rPr>
                <w:rFonts w:cs="Calibri"/>
                <w:noProof w:val="0"/>
                <w:color w:val="FFFFFF"/>
                <w:szCs w:val="16"/>
              </w:rPr>
              <w:br/>
              <w:t>natural forest</w:t>
            </w:r>
          </w:p>
        </w:tc>
        <w:tc>
          <w:tcPr>
            <w:tcW w:w="1427" w:type="dxa"/>
            <w:shd w:val="clear" w:color="auto" w:fill="1B556B"/>
            <w:vAlign w:val="bottom"/>
          </w:tcPr>
          <w:p w14:paraId="6B24393A" w14:textId="77777777" w:rsidR="006D123E" w:rsidRPr="00261B7A" w:rsidRDefault="006D123E" w:rsidP="009C63CA">
            <w:pPr>
              <w:pStyle w:val="TableTextBold"/>
              <w:jc w:val="right"/>
              <w:rPr>
                <w:rFonts w:cs="Calibri"/>
                <w:noProof w:val="0"/>
                <w:color w:val="FFFFFF"/>
                <w:szCs w:val="16"/>
              </w:rPr>
            </w:pPr>
            <w:r w:rsidRPr="00261B7A">
              <w:rPr>
                <w:rFonts w:cs="Calibri"/>
                <w:noProof w:val="0"/>
                <w:color w:val="FFFFFF"/>
                <w:szCs w:val="16"/>
              </w:rPr>
              <w:t>Total</w:t>
            </w:r>
          </w:p>
        </w:tc>
      </w:tr>
      <w:tr w:rsidR="006D123E" w:rsidRPr="00261B7A" w14:paraId="37D6A75A" w14:textId="77777777" w:rsidTr="009C63CA">
        <w:tblPrEx>
          <w:tblCellMar>
            <w:left w:w="85" w:type="dxa"/>
            <w:right w:w="85" w:type="dxa"/>
          </w:tblCellMar>
        </w:tblPrEx>
        <w:tc>
          <w:tcPr>
            <w:tcW w:w="798" w:type="dxa"/>
            <w:shd w:val="clear" w:color="auto" w:fill="auto"/>
            <w:vAlign w:val="center"/>
          </w:tcPr>
          <w:p w14:paraId="0D7F8BDE" w14:textId="77777777" w:rsidR="006D123E" w:rsidRPr="00261B7A" w:rsidRDefault="006D123E" w:rsidP="009C63CA">
            <w:pPr>
              <w:pStyle w:val="TableText"/>
              <w:spacing w:before="50" w:after="50"/>
              <w:rPr>
                <w:rFonts w:cs="Calibri"/>
                <w:szCs w:val="16"/>
              </w:rPr>
            </w:pPr>
            <w:r w:rsidRPr="00261B7A">
              <w:rPr>
                <w:rFonts w:cs="Calibri"/>
                <w:szCs w:val="16"/>
              </w:rPr>
              <w:t>2021</w:t>
            </w:r>
            <w:r w:rsidRPr="00261B7A">
              <w:rPr>
                <w:rFonts w:cs="Calibri"/>
                <w:szCs w:val="16"/>
                <w:vertAlign w:val="superscript"/>
              </w:rPr>
              <w:t>P</w:t>
            </w:r>
          </w:p>
        </w:tc>
        <w:tc>
          <w:tcPr>
            <w:tcW w:w="1427" w:type="dxa"/>
            <w:shd w:val="clear" w:color="auto" w:fill="auto"/>
            <w:vAlign w:val="bottom"/>
          </w:tcPr>
          <w:p w14:paraId="712589EE" w14:textId="77777777" w:rsidR="006D123E" w:rsidRPr="00261B7A" w:rsidRDefault="006D123E" w:rsidP="009C63CA">
            <w:pPr>
              <w:pStyle w:val="TableText"/>
              <w:spacing w:before="50" w:after="50"/>
              <w:jc w:val="right"/>
            </w:pPr>
            <w:r w:rsidRPr="00261B7A">
              <w:rPr>
                <w:rFonts w:cs="Calibri"/>
                <w:color w:val="000000"/>
                <w:szCs w:val="16"/>
              </w:rPr>
              <w:t xml:space="preserve">596 </w:t>
            </w:r>
          </w:p>
        </w:tc>
        <w:tc>
          <w:tcPr>
            <w:tcW w:w="1712" w:type="dxa"/>
            <w:shd w:val="clear" w:color="auto" w:fill="auto"/>
            <w:vAlign w:val="bottom"/>
          </w:tcPr>
          <w:p w14:paraId="482957D6" w14:textId="77777777" w:rsidR="006D123E" w:rsidRPr="00261B7A" w:rsidRDefault="006D123E" w:rsidP="009C63CA">
            <w:pPr>
              <w:pStyle w:val="TableText"/>
              <w:spacing w:before="50" w:after="50"/>
              <w:jc w:val="right"/>
            </w:pPr>
            <w:r w:rsidRPr="00261B7A">
              <w:rPr>
                <w:rFonts w:cs="Calibri"/>
                <w:color w:val="000000"/>
                <w:szCs w:val="16"/>
              </w:rPr>
              <w:t xml:space="preserve">385 </w:t>
            </w:r>
          </w:p>
        </w:tc>
        <w:tc>
          <w:tcPr>
            <w:tcW w:w="1571" w:type="dxa"/>
            <w:shd w:val="clear" w:color="auto" w:fill="auto"/>
            <w:vAlign w:val="bottom"/>
          </w:tcPr>
          <w:p w14:paraId="751B87A1" w14:textId="77777777" w:rsidR="006D123E" w:rsidRPr="00261B7A" w:rsidRDefault="006D123E" w:rsidP="009C63CA">
            <w:pPr>
              <w:pStyle w:val="TableText"/>
              <w:spacing w:before="50" w:after="50"/>
              <w:jc w:val="right"/>
            </w:pPr>
            <w:r w:rsidRPr="00261B7A">
              <w:rPr>
                <w:rFonts w:cs="Calibri"/>
                <w:color w:val="000000"/>
                <w:szCs w:val="16"/>
              </w:rPr>
              <w:t xml:space="preserve">1,447 </w:t>
            </w:r>
          </w:p>
        </w:tc>
        <w:tc>
          <w:tcPr>
            <w:tcW w:w="1570" w:type="dxa"/>
            <w:vAlign w:val="bottom"/>
          </w:tcPr>
          <w:p w14:paraId="3C2F11FE" w14:textId="77777777" w:rsidR="006D123E" w:rsidRPr="00261B7A" w:rsidRDefault="006D123E" w:rsidP="009C63CA">
            <w:pPr>
              <w:pStyle w:val="TableText"/>
              <w:spacing w:before="50" w:after="50"/>
              <w:jc w:val="right"/>
            </w:pPr>
            <w:r w:rsidRPr="00261B7A">
              <w:rPr>
                <w:rFonts w:cs="Calibri"/>
                <w:color w:val="000000"/>
                <w:szCs w:val="16"/>
              </w:rPr>
              <w:t xml:space="preserve">65 </w:t>
            </w:r>
          </w:p>
        </w:tc>
        <w:tc>
          <w:tcPr>
            <w:tcW w:w="1427" w:type="dxa"/>
            <w:vAlign w:val="bottom"/>
          </w:tcPr>
          <w:p w14:paraId="74D20354" w14:textId="77777777" w:rsidR="006D123E" w:rsidRPr="00261B7A" w:rsidRDefault="006D123E" w:rsidP="009C63CA">
            <w:pPr>
              <w:pStyle w:val="TableTextBold"/>
              <w:jc w:val="right"/>
              <w:rPr>
                <w:noProof w:val="0"/>
              </w:rPr>
            </w:pPr>
            <w:r w:rsidRPr="00261B7A">
              <w:rPr>
                <w:rFonts w:cs="Calibri"/>
                <w:noProof w:val="0"/>
                <w:color w:val="000000"/>
                <w:szCs w:val="16"/>
              </w:rPr>
              <w:t xml:space="preserve">2,493 </w:t>
            </w:r>
          </w:p>
        </w:tc>
      </w:tr>
    </w:tbl>
    <w:p w14:paraId="40DEE8A9" w14:textId="77777777" w:rsidR="006D123E" w:rsidRPr="00261B7A" w:rsidRDefault="006D123E" w:rsidP="006D123E">
      <w:pPr>
        <w:pStyle w:val="Noteundertable"/>
      </w:pPr>
      <w:r w:rsidRPr="00261B7A">
        <w:rPr>
          <w:b/>
        </w:rPr>
        <w:t>Note:</w:t>
      </w:r>
      <w:r w:rsidRPr="00261B7A">
        <w:tab/>
        <w:t>P</w:t>
      </w:r>
      <w:r w:rsidRPr="00261B7A">
        <w:rPr>
          <w:vertAlign w:val="subscript"/>
        </w:rPr>
        <w:t xml:space="preserve"> </w:t>
      </w:r>
      <w:r w:rsidRPr="00261B7A">
        <w:t>= provisional figure. Areas as at 31 December 2021. Deforestation differs from that in chapter 6 due to carbon equivalent forests being reported separately.</w:t>
      </w:r>
    </w:p>
    <w:p w14:paraId="42906161" w14:textId="77777777" w:rsidR="006D123E" w:rsidRPr="00261B7A" w:rsidRDefault="006D123E" w:rsidP="006D123E">
      <w:pPr>
        <w:pStyle w:val="BodyText"/>
        <w:spacing w:after="100"/>
      </w:pPr>
      <w:r w:rsidRPr="00261B7A">
        <w:t>Further detail on the methods employed for estimating deforestation</w:t>
      </w:r>
      <w:r w:rsidRPr="00261B7A">
        <w:rPr>
          <w:i/>
        </w:rPr>
        <w:t xml:space="preserve"> </w:t>
      </w:r>
      <w:r w:rsidRPr="00261B7A">
        <w:t>is provided in annex 3, section A3.2.2.</w:t>
      </w:r>
    </w:p>
    <w:p w14:paraId="37F492BE" w14:textId="77777777" w:rsidR="006D123E" w:rsidRPr="00261B7A" w:rsidRDefault="006D123E" w:rsidP="006D123E">
      <w:pPr>
        <w:pStyle w:val="Heading3"/>
        <w:spacing w:before="320"/>
        <w:rPr>
          <w:rFonts w:eastAsia="Calibri"/>
        </w:rPr>
      </w:pPr>
      <w:r w:rsidRPr="00261B7A">
        <w:rPr>
          <w:rFonts w:eastAsia="Calibri"/>
        </w:rPr>
        <w:t>11.3.4</w:t>
      </w:r>
      <w:r w:rsidRPr="00261B7A">
        <w:rPr>
          <w:rFonts w:eastAsia="Calibri"/>
        </w:rPr>
        <w:tab/>
        <w:t>Forest management CRF 4(KP.B.1))</w:t>
      </w:r>
    </w:p>
    <w:p w14:paraId="3CAE47F5" w14:textId="77777777" w:rsidR="006D123E" w:rsidRPr="00261B7A" w:rsidRDefault="006D123E" w:rsidP="006D123E">
      <w:pPr>
        <w:pStyle w:val="BodyText"/>
        <w:spacing w:after="100"/>
      </w:pPr>
      <w:r w:rsidRPr="00261B7A">
        <w:t xml:space="preserve">In this submission, New Zealand reports emissions and removals from </w:t>
      </w:r>
      <w:r w:rsidRPr="00261B7A">
        <w:rPr>
          <w:i/>
        </w:rPr>
        <w:t>Forest management</w:t>
      </w:r>
      <w:r w:rsidRPr="00261B7A">
        <w:t xml:space="preserve"> in 2021. New Zealand has applied the broad approach to interpreting the definition of forest management so that it includes the whole area classified as pre-1990 natural forest and pre</w:t>
      </w:r>
      <w:r w:rsidRPr="00261B7A">
        <w:noBreakHyphen/>
        <w:t xml:space="preserve">1990 planted forest. The area in this category excludes any area deforested since 1990, because this is reported under Article 3.3 – </w:t>
      </w:r>
      <w:r w:rsidRPr="00261B7A">
        <w:rPr>
          <w:i/>
        </w:rPr>
        <w:t>Deforestation</w:t>
      </w:r>
      <w:r w:rsidRPr="00261B7A">
        <w:t xml:space="preserve">, and includes areas to which the carbon equivalent forest provision is applied. </w:t>
      </w:r>
    </w:p>
    <w:p w14:paraId="050B600B" w14:textId="77777777" w:rsidR="006D123E" w:rsidRPr="00261B7A" w:rsidRDefault="006D123E" w:rsidP="006D123E">
      <w:pPr>
        <w:pStyle w:val="BodyText"/>
        <w:spacing w:after="100"/>
      </w:pPr>
      <w:r w:rsidRPr="00261B7A">
        <w:t>In 2021, emissions on this land were –16,757.3 kt CO</w:t>
      </w:r>
      <w:r w:rsidRPr="00261B7A">
        <w:rPr>
          <w:vertAlign w:val="subscript"/>
        </w:rPr>
        <w:t>2</w:t>
      </w:r>
      <w:r w:rsidRPr="00261B7A">
        <w:t xml:space="preserve">-e. This included emissions of </w:t>
      </w:r>
      <w:r w:rsidRPr="00261B7A">
        <w:br/>
        <w:t>–7,823.3 kt CO</w:t>
      </w:r>
      <w:r w:rsidRPr="00261B7A">
        <w:rPr>
          <w:vertAlign w:val="subscript"/>
        </w:rPr>
        <w:t>2</w:t>
      </w:r>
      <w:r w:rsidRPr="00261B7A">
        <w:t xml:space="preserve">-e from harvested wood products originating from </w:t>
      </w:r>
      <w:r w:rsidRPr="00261B7A">
        <w:rPr>
          <w:i/>
        </w:rPr>
        <w:t>Forest management</w:t>
      </w:r>
      <w:r w:rsidRPr="00261B7A">
        <w:t xml:space="preserve">. </w:t>
      </w:r>
    </w:p>
    <w:p w14:paraId="207037E7" w14:textId="77777777" w:rsidR="006D123E" w:rsidRPr="00261B7A" w:rsidRDefault="006D123E" w:rsidP="006D123E">
      <w:pPr>
        <w:pStyle w:val="BodyText"/>
        <w:spacing w:after="100"/>
      </w:pPr>
      <w:r w:rsidRPr="00261B7A">
        <w:t xml:space="preserve">The total area remaining in </w:t>
      </w:r>
      <w:r w:rsidRPr="00261B7A">
        <w:rPr>
          <w:i/>
        </w:rPr>
        <w:t>Forest management</w:t>
      </w:r>
      <w:r w:rsidRPr="00261B7A">
        <w:t xml:space="preserve"> at the end of 2021 was 9,312,309 hectares; this is a decrease of 21,866 hectares (or 1.0 per cent) since 1990.</w:t>
      </w:r>
    </w:p>
    <w:p w14:paraId="0C1D4B59" w14:textId="77777777" w:rsidR="006D123E" w:rsidRPr="00261B7A" w:rsidRDefault="006D123E" w:rsidP="006D123E">
      <w:pPr>
        <w:pStyle w:val="BodyText"/>
        <w:spacing w:after="100"/>
      </w:pPr>
      <w:r w:rsidRPr="00261B7A">
        <w:t xml:space="preserve">The source of the activity data and emission factors applied to </w:t>
      </w:r>
      <w:r w:rsidRPr="00261B7A">
        <w:rPr>
          <w:i/>
        </w:rPr>
        <w:t>Forest management</w:t>
      </w:r>
      <w:r w:rsidRPr="00261B7A">
        <w:t xml:space="preserve"> activities is described in more detail in chapter 6. This is because New Zealand applies the same methods to estimating emissions from </w:t>
      </w:r>
      <w:r w:rsidRPr="00261B7A">
        <w:rPr>
          <w:i/>
        </w:rPr>
        <w:t>Forest management</w:t>
      </w:r>
      <w:r w:rsidRPr="00261B7A">
        <w:t xml:space="preserve"> activities as those applied to the equivalent land use category, </w:t>
      </w:r>
      <w:r w:rsidRPr="00261B7A">
        <w:rPr>
          <w:i/>
          <w:iCs/>
        </w:rPr>
        <w:t>Forest land remaining forest land</w:t>
      </w:r>
      <w:r w:rsidRPr="00261B7A">
        <w:t xml:space="preserve">, of the inventory. </w:t>
      </w:r>
    </w:p>
    <w:p w14:paraId="5AE0522C" w14:textId="4A3FA5FF" w:rsidR="006D123E" w:rsidRPr="00261B7A" w:rsidRDefault="006D123E" w:rsidP="006D123E">
      <w:pPr>
        <w:pStyle w:val="BodyText"/>
        <w:spacing w:after="100"/>
      </w:pPr>
      <w:r w:rsidRPr="00261B7A">
        <w:t xml:space="preserve">Where the land reported under </w:t>
      </w:r>
      <w:r w:rsidRPr="00261B7A">
        <w:rPr>
          <w:i/>
        </w:rPr>
        <w:t>Forest management</w:t>
      </w:r>
      <w:r w:rsidRPr="00261B7A">
        <w:t xml:space="preserve"> has remained in the same land use category for more than 20 years, mineral soil carbon stocks are assumed to have reached steady state. New Zealand models the effects of land use on mineral soil carbon based on empirical measurements collected from each land use subdivision in steady state, specifically to model land-use change effects. The pre-1990 forests are subdivided into natural and planted forest types, which allows the different management methods to be taken into account. Where organic soil is present on land reported under </w:t>
      </w:r>
      <w:r w:rsidRPr="00261B7A">
        <w:rPr>
          <w:i/>
        </w:rPr>
        <w:t>Forest management</w:t>
      </w:r>
      <w:r w:rsidRPr="00261B7A">
        <w:t xml:space="preserve"> that is</w:t>
      </w:r>
      <w:r w:rsidR="00B35E9E" w:rsidRPr="00261B7A">
        <w:t xml:space="preserve"> </w:t>
      </w:r>
      <w:r w:rsidRPr="00261B7A">
        <w:t>no</w:t>
      </w:r>
      <w:r w:rsidR="00B35E9E" w:rsidRPr="00261B7A">
        <w:t> </w:t>
      </w:r>
      <w:r w:rsidRPr="00261B7A">
        <w:t xml:space="preserve">longer natural forest, the soil organic carbon pool is reported as an ongoing source of emissions. More detail is provided in annex 3, section A3.2.4. </w:t>
      </w:r>
      <w:r w:rsidRPr="00261B7A">
        <w:rPr>
          <w:spacing w:val="-2"/>
        </w:rPr>
        <w:t>This information has been added to address expert review team recommendation KL.4 (FCCC/ARR/2017/NZL, UNFCCC, 2018).</w:t>
      </w:r>
    </w:p>
    <w:p w14:paraId="6ABD4EB4" w14:textId="77777777" w:rsidR="006D123E" w:rsidRPr="00261B7A" w:rsidRDefault="006D123E" w:rsidP="006D123E">
      <w:pPr>
        <w:pStyle w:val="Heading5"/>
      </w:pPr>
      <w:r w:rsidRPr="00261B7A">
        <w:t>Technical corrections to the forest management reference level</w:t>
      </w:r>
    </w:p>
    <w:p w14:paraId="7B813EBB" w14:textId="77777777" w:rsidR="006D123E" w:rsidRPr="00261B7A" w:rsidRDefault="006D123E" w:rsidP="006D123E">
      <w:pPr>
        <w:pStyle w:val="BodyText"/>
      </w:pPr>
      <w:r w:rsidRPr="00261B7A">
        <w:t>New Zealand’s FMRL, as inscribed in the appendix to the annex to Decision 2/CMP.7 (UNFCCC, 2012), was 11,150 kt CO</w:t>
      </w:r>
      <w:r w:rsidRPr="00261B7A">
        <w:rPr>
          <w:vertAlign w:val="subscript"/>
        </w:rPr>
        <w:t>2</w:t>
      </w:r>
      <w:r w:rsidRPr="00261B7A">
        <w:t xml:space="preserve">-e per year. New Zealand has submitted three previous technical corrections to the 2013 to 2020 FMRL; the 2016 submission, the 2019 submission and the 2021 submission. Because this submission covers the period outside of the FMRL no further technical corrections have been applied. New Zealand is yet to set the FMRL for 2021 onwards. </w:t>
      </w:r>
    </w:p>
    <w:p w14:paraId="285088FE" w14:textId="77777777" w:rsidR="006D123E" w:rsidRPr="00261B7A" w:rsidRDefault="006D123E" w:rsidP="006D123E">
      <w:pPr>
        <w:pStyle w:val="Heading5"/>
      </w:pPr>
      <w:r w:rsidRPr="00261B7A">
        <w:t>Carbon equivalent forests</w:t>
      </w:r>
    </w:p>
    <w:p w14:paraId="34A431E5" w14:textId="77777777" w:rsidR="006D123E" w:rsidRPr="00261B7A" w:rsidRDefault="006D123E" w:rsidP="006D123E">
      <w:pPr>
        <w:pStyle w:val="BodyText"/>
      </w:pPr>
      <w:r w:rsidRPr="00261B7A">
        <w:t xml:space="preserve">The carbon equivalent forest provision allows pre-1990 planted forests that meet the conditions specified in Decision 2/CMP.7, paragraph 37 (UNFCCC, 2012), to be harvested and converted to another land use without being classified as deforested, provided a new forest that will reach carbon equivalence is established elsewhere. New Zealand’s carbon equivalent forests in 2021, are summarised in table 11.3.5. </w:t>
      </w:r>
    </w:p>
    <w:p w14:paraId="1A1AEBD2" w14:textId="77777777" w:rsidR="006D123E" w:rsidRPr="00261B7A" w:rsidRDefault="006D123E" w:rsidP="006D123E">
      <w:pPr>
        <w:pStyle w:val="Table"/>
      </w:pPr>
      <w:bookmarkStart w:id="3060" w:name="_Toc522010660"/>
      <w:bookmarkStart w:id="3061" w:name="_Toc5269631"/>
      <w:bookmarkStart w:id="3062" w:name="_Toc36224714"/>
      <w:bookmarkStart w:id="3063" w:name="_Toc64987049"/>
      <w:bookmarkStart w:id="3064" w:name="_Toc68786599"/>
      <w:bookmarkStart w:id="3065" w:name="_Toc95321542"/>
      <w:bookmarkStart w:id="3066" w:name="_Toc130568410"/>
      <w:bookmarkStart w:id="3067" w:name="_Toc131591503"/>
      <w:r w:rsidRPr="00261B7A">
        <w:t>Table 11.3.5</w:t>
      </w:r>
      <w:r w:rsidRPr="00261B7A">
        <w:tab/>
        <w:t>Carbon equivalent forests (2013 to 2021)</w:t>
      </w:r>
      <w:bookmarkEnd w:id="3060"/>
      <w:bookmarkEnd w:id="3061"/>
      <w:bookmarkEnd w:id="3062"/>
      <w:bookmarkEnd w:id="3063"/>
      <w:bookmarkEnd w:id="3064"/>
      <w:bookmarkEnd w:id="3065"/>
      <w:bookmarkEnd w:id="3066"/>
      <w:bookmarkEnd w:id="3067"/>
    </w:p>
    <w:tbl>
      <w:tblPr>
        <w:tblW w:w="2311" w:type="dxa"/>
        <w:jc w:val="center"/>
        <w:tblLook w:val="04A0" w:firstRow="1" w:lastRow="0" w:firstColumn="1" w:lastColumn="0" w:noHBand="0" w:noVBand="1"/>
      </w:tblPr>
      <w:tblGrid>
        <w:gridCol w:w="1662"/>
        <w:gridCol w:w="649"/>
      </w:tblGrid>
      <w:tr w:rsidR="006D123E" w:rsidRPr="00261B7A" w14:paraId="1F7B42B5" w14:textId="77777777" w:rsidTr="009C63CA">
        <w:trPr>
          <w:jc w:val="center"/>
        </w:trPr>
        <w:tc>
          <w:tcPr>
            <w:tcW w:w="1662" w:type="dxa"/>
            <w:tcBorders>
              <w:top w:val="single" w:sz="4" w:space="0" w:color="1B556B"/>
              <w:left w:val="nil"/>
              <w:bottom w:val="single" w:sz="4" w:space="0" w:color="1B556B"/>
              <w:right w:val="single" w:sz="4" w:space="0" w:color="1B556B"/>
            </w:tcBorders>
            <w:shd w:val="clear" w:color="000000" w:fill="1B556B"/>
            <w:vAlign w:val="center"/>
            <w:hideMark/>
          </w:tcPr>
          <w:p w14:paraId="15D591A9" w14:textId="77777777" w:rsidR="006D123E" w:rsidRPr="00261B7A" w:rsidRDefault="006D123E" w:rsidP="009C63CA">
            <w:pPr>
              <w:pStyle w:val="TableTextBold"/>
              <w:keepNext/>
              <w:spacing w:before="40" w:after="40"/>
              <w:rPr>
                <w:noProof w:val="0"/>
                <w:color w:val="FFFFFF"/>
                <w:szCs w:val="16"/>
              </w:rPr>
            </w:pPr>
            <w:r w:rsidRPr="00261B7A">
              <w:rPr>
                <w:noProof w:val="0"/>
                <w:color w:val="FFFFFF"/>
                <w:szCs w:val="16"/>
              </w:rPr>
              <w:t> </w:t>
            </w:r>
          </w:p>
        </w:tc>
        <w:tc>
          <w:tcPr>
            <w:tcW w:w="649" w:type="dxa"/>
            <w:tcBorders>
              <w:top w:val="single" w:sz="4" w:space="0" w:color="1B556B"/>
              <w:left w:val="single" w:sz="4" w:space="0" w:color="1B556B"/>
              <w:bottom w:val="single" w:sz="4" w:space="0" w:color="1B556B"/>
            </w:tcBorders>
            <w:shd w:val="clear" w:color="000000" w:fill="1B556B"/>
          </w:tcPr>
          <w:p w14:paraId="3D41C6FA" w14:textId="77777777" w:rsidR="006D123E" w:rsidRPr="00261B7A" w:rsidRDefault="006D123E" w:rsidP="009C63CA">
            <w:pPr>
              <w:pStyle w:val="TableTextBold"/>
              <w:keepNext/>
              <w:spacing w:before="40" w:after="40"/>
              <w:jc w:val="right"/>
              <w:rPr>
                <w:noProof w:val="0"/>
                <w:color w:val="FFFFFF"/>
                <w:szCs w:val="16"/>
              </w:rPr>
            </w:pPr>
            <w:r w:rsidRPr="00261B7A">
              <w:rPr>
                <w:noProof w:val="0"/>
                <w:color w:val="FFFFFF"/>
                <w:szCs w:val="16"/>
              </w:rPr>
              <w:t>2021</w:t>
            </w:r>
          </w:p>
        </w:tc>
      </w:tr>
      <w:tr w:rsidR="006D123E" w:rsidRPr="00261B7A" w14:paraId="7FED67D9" w14:textId="77777777" w:rsidTr="009C63CA">
        <w:trPr>
          <w:jc w:val="center"/>
        </w:trPr>
        <w:tc>
          <w:tcPr>
            <w:tcW w:w="1662" w:type="dxa"/>
            <w:tcBorders>
              <w:top w:val="single" w:sz="4" w:space="0" w:color="1B556B"/>
              <w:left w:val="nil"/>
              <w:right w:val="nil"/>
            </w:tcBorders>
            <w:shd w:val="clear" w:color="auto" w:fill="auto"/>
            <w:hideMark/>
          </w:tcPr>
          <w:p w14:paraId="56BAE415" w14:textId="77777777" w:rsidR="006D123E" w:rsidRPr="00261B7A" w:rsidRDefault="006D123E" w:rsidP="009C63CA">
            <w:pPr>
              <w:pStyle w:val="TableText"/>
              <w:keepNext/>
              <w:spacing w:before="40" w:after="40"/>
              <w:rPr>
                <w:szCs w:val="16"/>
              </w:rPr>
            </w:pPr>
            <w:r w:rsidRPr="00261B7A">
              <w:rPr>
                <w:szCs w:val="16"/>
              </w:rPr>
              <w:t>CEF</w:t>
            </w:r>
            <w:r w:rsidRPr="00261B7A">
              <w:rPr>
                <w:szCs w:val="16"/>
                <w:vertAlign w:val="subscript"/>
              </w:rPr>
              <w:t>NE</w:t>
            </w:r>
            <w:r w:rsidRPr="00261B7A">
              <w:rPr>
                <w:szCs w:val="16"/>
              </w:rPr>
              <w:t xml:space="preserve"> area (ha)</w:t>
            </w:r>
          </w:p>
        </w:tc>
        <w:tc>
          <w:tcPr>
            <w:tcW w:w="649" w:type="dxa"/>
            <w:tcBorders>
              <w:top w:val="single" w:sz="4" w:space="0" w:color="1B556B"/>
              <w:left w:val="nil"/>
            </w:tcBorders>
            <w:shd w:val="clear" w:color="auto" w:fill="auto"/>
            <w:vAlign w:val="bottom"/>
          </w:tcPr>
          <w:p w14:paraId="5ACCDAA9" w14:textId="77777777" w:rsidR="006D123E" w:rsidRPr="00261B7A" w:rsidRDefault="006D123E" w:rsidP="009C63CA">
            <w:pPr>
              <w:pStyle w:val="TableText"/>
              <w:keepNext/>
              <w:spacing w:before="40" w:after="40"/>
              <w:jc w:val="right"/>
              <w:rPr>
                <w:rFonts w:cs="Calibri"/>
                <w:color w:val="000000"/>
                <w:szCs w:val="16"/>
              </w:rPr>
            </w:pPr>
            <w:r w:rsidRPr="00261B7A">
              <w:rPr>
                <w:rFonts w:cs="Calibri"/>
                <w:color w:val="000000"/>
                <w:szCs w:val="16"/>
              </w:rPr>
              <w:t>0.0</w:t>
            </w:r>
          </w:p>
        </w:tc>
      </w:tr>
      <w:tr w:rsidR="006D123E" w:rsidRPr="00261B7A" w14:paraId="11F5DEF7" w14:textId="77777777" w:rsidTr="009C63CA">
        <w:trPr>
          <w:jc w:val="center"/>
        </w:trPr>
        <w:tc>
          <w:tcPr>
            <w:tcW w:w="1662" w:type="dxa"/>
            <w:tcBorders>
              <w:top w:val="nil"/>
              <w:left w:val="nil"/>
              <w:bottom w:val="single" w:sz="8" w:space="0" w:color="1B556B"/>
              <w:right w:val="nil"/>
            </w:tcBorders>
            <w:shd w:val="clear" w:color="auto" w:fill="auto"/>
            <w:vAlign w:val="center"/>
            <w:hideMark/>
          </w:tcPr>
          <w:p w14:paraId="51B5E398" w14:textId="77777777" w:rsidR="006D123E" w:rsidRPr="00261B7A" w:rsidRDefault="006D123E" w:rsidP="009C63CA">
            <w:pPr>
              <w:pStyle w:val="TableText"/>
              <w:keepNext/>
              <w:spacing w:before="40" w:after="40"/>
              <w:rPr>
                <w:szCs w:val="16"/>
              </w:rPr>
            </w:pPr>
            <w:r w:rsidRPr="00261B7A">
              <w:rPr>
                <w:szCs w:val="16"/>
              </w:rPr>
              <w:t>Net emissions (t CO</w:t>
            </w:r>
            <w:r w:rsidRPr="00261B7A">
              <w:rPr>
                <w:szCs w:val="16"/>
                <w:vertAlign w:val="subscript"/>
              </w:rPr>
              <w:t>2</w:t>
            </w:r>
            <w:r w:rsidRPr="00261B7A">
              <w:rPr>
                <w:szCs w:val="16"/>
              </w:rPr>
              <w:t>)</w:t>
            </w:r>
          </w:p>
        </w:tc>
        <w:tc>
          <w:tcPr>
            <w:tcW w:w="649" w:type="dxa"/>
            <w:tcBorders>
              <w:top w:val="nil"/>
              <w:left w:val="nil"/>
              <w:bottom w:val="single" w:sz="8" w:space="0" w:color="1B556B"/>
            </w:tcBorders>
            <w:shd w:val="clear" w:color="auto" w:fill="auto"/>
            <w:vAlign w:val="bottom"/>
          </w:tcPr>
          <w:p w14:paraId="49E9307C" w14:textId="77777777" w:rsidR="006D123E" w:rsidRPr="00261B7A" w:rsidRDefault="006D123E" w:rsidP="009C63CA">
            <w:pPr>
              <w:pStyle w:val="TableText"/>
              <w:keepNext/>
              <w:spacing w:before="40" w:after="40"/>
              <w:jc w:val="right"/>
              <w:rPr>
                <w:rFonts w:cs="Calibri"/>
                <w:color w:val="000000"/>
                <w:szCs w:val="16"/>
              </w:rPr>
            </w:pPr>
            <w:r w:rsidRPr="00261B7A">
              <w:rPr>
                <w:rFonts w:cs="Calibri"/>
                <w:color w:val="000000"/>
                <w:szCs w:val="16"/>
              </w:rPr>
              <w:t>–35.7</w:t>
            </w:r>
          </w:p>
        </w:tc>
      </w:tr>
      <w:tr w:rsidR="006D123E" w:rsidRPr="00261B7A" w14:paraId="22813E3D" w14:textId="77777777" w:rsidTr="009C63CA">
        <w:trPr>
          <w:jc w:val="center"/>
        </w:trPr>
        <w:tc>
          <w:tcPr>
            <w:tcW w:w="1662" w:type="dxa"/>
            <w:tcBorders>
              <w:top w:val="single" w:sz="8" w:space="0" w:color="1B556B"/>
              <w:left w:val="nil"/>
              <w:bottom w:val="nil"/>
              <w:right w:val="nil"/>
            </w:tcBorders>
            <w:shd w:val="clear" w:color="auto" w:fill="auto"/>
            <w:vAlign w:val="center"/>
            <w:hideMark/>
          </w:tcPr>
          <w:p w14:paraId="20775C02" w14:textId="77777777" w:rsidR="006D123E" w:rsidRPr="00261B7A" w:rsidRDefault="006D123E" w:rsidP="009C63CA">
            <w:pPr>
              <w:pStyle w:val="TableText"/>
              <w:spacing w:before="40" w:after="40"/>
              <w:rPr>
                <w:szCs w:val="16"/>
              </w:rPr>
            </w:pPr>
            <w:r w:rsidRPr="00261B7A">
              <w:rPr>
                <w:szCs w:val="16"/>
              </w:rPr>
              <w:t>CEF</w:t>
            </w:r>
            <w:r w:rsidRPr="00261B7A">
              <w:rPr>
                <w:szCs w:val="16"/>
                <w:vertAlign w:val="subscript"/>
              </w:rPr>
              <w:t xml:space="preserve">HC </w:t>
            </w:r>
            <w:r w:rsidRPr="00261B7A">
              <w:rPr>
                <w:szCs w:val="16"/>
              </w:rPr>
              <w:t>area (ha)</w:t>
            </w:r>
          </w:p>
        </w:tc>
        <w:tc>
          <w:tcPr>
            <w:tcW w:w="649" w:type="dxa"/>
            <w:tcBorders>
              <w:top w:val="single" w:sz="8" w:space="0" w:color="1B556B"/>
              <w:left w:val="nil"/>
              <w:bottom w:val="nil"/>
            </w:tcBorders>
            <w:shd w:val="clear" w:color="auto" w:fill="auto"/>
            <w:vAlign w:val="bottom"/>
          </w:tcPr>
          <w:p w14:paraId="1E118DFF" w14:textId="77777777" w:rsidR="006D123E" w:rsidRPr="00261B7A" w:rsidRDefault="006D123E" w:rsidP="009C63CA">
            <w:pPr>
              <w:pStyle w:val="TableText"/>
              <w:spacing w:before="40" w:after="40"/>
              <w:jc w:val="right"/>
              <w:rPr>
                <w:rFonts w:cs="Calibri"/>
                <w:color w:val="000000"/>
                <w:szCs w:val="16"/>
              </w:rPr>
            </w:pPr>
            <w:r w:rsidRPr="00261B7A">
              <w:rPr>
                <w:rFonts w:cs="Calibri"/>
                <w:color w:val="000000"/>
                <w:szCs w:val="16"/>
              </w:rPr>
              <w:t>116.6</w:t>
            </w:r>
          </w:p>
        </w:tc>
      </w:tr>
      <w:tr w:rsidR="006D123E" w:rsidRPr="00261B7A" w14:paraId="5CF1FC91" w14:textId="77777777" w:rsidTr="009C63CA">
        <w:trPr>
          <w:jc w:val="center"/>
        </w:trPr>
        <w:tc>
          <w:tcPr>
            <w:tcW w:w="1662" w:type="dxa"/>
            <w:tcBorders>
              <w:top w:val="nil"/>
              <w:left w:val="nil"/>
              <w:bottom w:val="single" w:sz="4" w:space="0" w:color="1B556B"/>
              <w:right w:val="nil"/>
            </w:tcBorders>
            <w:shd w:val="clear" w:color="auto" w:fill="auto"/>
            <w:vAlign w:val="center"/>
            <w:hideMark/>
          </w:tcPr>
          <w:p w14:paraId="533D7264" w14:textId="77777777" w:rsidR="006D123E" w:rsidRPr="00261B7A" w:rsidRDefault="006D123E" w:rsidP="009C63CA">
            <w:pPr>
              <w:pStyle w:val="TableText"/>
              <w:spacing w:before="40" w:after="40"/>
              <w:rPr>
                <w:szCs w:val="16"/>
              </w:rPr>
            </w:pPr>
            <w:r w:rsidRPr="00261B7A">
              <w:rPr>
                <w:szCs w:val="16"/>
              </w:rPr>
              <w:t>Net emissions (t CO</w:t>
            </w:r>
            <w:r w:rsidRPr="00261B7A">
              <w:rPr>
                <w:szCs w:val="16"/>
                <w:vertAlign w:val="subscript"/>
              </w:rPr>
              <w:t>2</w:t>
            </w:r>
            <w:r w:rsidRPr="00261B7A">
              <w:rPr>
                <w:szCs w:val="16"/>
              </w:rPr>
              <w:t>)</w:t>
            </w:r>
          </w:p>
        </w:tc>
        <w:tc>
          <w:tcPr>
            <w:tcW w:w="649" w:type="dxa"/>
            <w:tcBorders>
              <w:top w:val="nil"/>
              <w:left w:val="nil"/>
              <w:bottom w:val="single" w:sz="4" w:space="0" w:color="1B556B"/>
            </w:tcBorders>
            <w:shd w:val="clear" w:color="auto" w:fill="auto"/>
            <w:vAlign w:val="bottom"/>
          </w:tcPr>
          <w:p w14:paraId="775A440F" w14:textId="77777777" w:rsidR="006D123E" w:rsidRPr="00261B7A" w:rsidRDefault="006D123E" w:rsidP="009C63CA">
            <w:pPr>
              <w:pStyle w:val="TableText"/>
              <w:spacing w:before="40" w:after="40"/>
              <w:jc w:val="right"/>
              <w:rPr>
                <w:rFonts w:cs="Calibri"/>
                <w:color w:val="000000"/>
                <w:szCs w:val="16"/>
              </w:rPr>
            </w:pPr>
            <w:r w:rsidRPr="00261B7A">
              <w:rPr>
                <w:rFonts w:cs="Calibri"/>
                <w:color w:val="000000"/>
                <w:szCs w:val="16"/>
              </w:rPr>
              <w:t>105.1</w:t>
            </w:r>
          </w:p>
        </w:tc>
      </w:tr>
      <w:tr w:rsidR="006D123E" w:rsidRPr="00261B7A" w14:paraId="38EC91C6" w14:textId="77777777" w:rsidTr="009C63CA">
        <w:trPr>
          <w:jc w:val="center"/>
        </w:trPr>
        <w:tc>
          <w:tcPr>
            <w:tcW w:w="1662" w:type="dxa"/>
            <w:tcBorders>
              <w:top w:val="single" w:sz="4" w:space="0" w:color="1B556B"/>
              <w:left w:val="nil"/>
              <w:bottom w:val="single" w:sz="4" w:space="0" w:color="1B556B"/>
              <w:right w:val="nil"/>
            </w:tcBorders>
            <w:shd w:val="clear" w:color="auto" w:fill="auto"/>
            <w:vAlign w:val="center"/>
            <w:hideMark/>
          </w:tcPr>
          <w:p w14:paraId="4A733019" w14:textId="77777777" w:rsidR="006D123E" w:rsidRPr="00261B7A" w:rsidRDefault="006D123E" w:rsidP="009C63CA">
            <w:pPr>
              <w:pStyle w:val="Tableboldblue"/>
              <w:spacing w:before="40" w:after="40"/>
            </w:pPr>
            <w:r w:rsidRPr="00261B7A">
              <w:t>Total (kt CO</w:t>
            </w:r>
            <w:r w:rsidRPr="00261B7A">
              <w:rPr>
                <w:vertAlign w:val="subscript"/>
              </w:rPr>
              <w:t>2</w:t>
            </w:r>
            <w:r w:rsidRPr="00261B7A">
              <w:t>)</w:t>
            </w:r>
          </w:p>
        </w:tc>
        <w:tc>
          <w:tcPr>
            <w:tcW w:w="649" w:type="dxa"/>
            <w:tcBorders>
              <w:top w:val="single" w:sz="4" w:space="0" w:color="1B556B"/>
              <w:left w:val="nil"/>
              <w:bottom w:val="single" w:sz="4" w:space="0" w:color="1B556B"/>
            </w:tcBorders>
            <w:shd w:val="clear" w:color="auto" w:fill="auto"/>
            <w:vAlign w:val="bottom"/>
          </w:tcPr>
          <w:p w14:paraId="40091EBA" w14:textId="77777777" w:rsidR="006D123E" w:rsidRPr="00261B7A" w:rsidRDefault="006D123E" w:rsidP="00C66CC5">
            <w:pPr>
              <w:pStyle w:val="Tableboldblue"/>
              <w:spacing w:before="40" w:after="40"/>
              <w:jc w:val="right"/>
            </w:pPr>
            <w:r w:rsidRPr="00261B7A">
              <w:t xml:space="preserve">69.4 </w:t>
            </w:r>
          </w:p>
        </w:tc>
      </w:tr>
    </w:tbl>
    <w:p w14:paraId="66A1285A" w14:textId="77777777" w:rsidR="006D123E" w:rsidRPr="00261B7A" w:rsidRDefault="006D123E" w:rsidP="006D123E">
      <w:pPr>
        <w:pStyle w:val="Noteundertable"/>
        <w:rPr>
          <w:rFonts w:cs="Arial"/>
          <w:color w:val="000000"/>
          <w:szCs w:val="18"/>
        </w:rPr>
      </w:pPr>
      <w:r w:rsidRPr="00261B7A">
        <w:rPr>
          <w:b/>
        </w:rPr>
        <w:t>Note</w:t>
      </w:r>
      <w:r w:rsidRPr="00261B7A">
        <w:t xml:space="preserve">: </w:t>
      </w:r>
      <w:r w:rsidRPr="00261B7A">
        <w:tab/>
      </w:r>
      <w:r w:rsidRPr="00261B7A">
        <w:rPr>
          <w:rFonts w:cs="Arial"/>
          <w:color w:val="000000"/>
          <w:szCs w:val="18"/>
        </w:rPr>
        <w:t>CEF</w:t>
      </w:r>
      <w:r w:rsidRPr="00261B7A">
        <w:rPr>
          <w:rFonts w:cs="Arial"/>
          <w:color w:val="000000"/>
          <w:szCs w:val="18"/>
          <w:vertAlign w:val="subscript"/>
        </w:rPr>
        <w:t>HC</w:t>
      </w:r>
      <w:r w:rsidRPr="00261B7A">
        <w:rPr>
          <w:rFonts w:cs="Arial"/>
          <w:color w:val="000000"/>
          <w:szCs w:val="18"/>
        </w:rPr>
        <w:t xml:space="preserve"> refers to the existing forest land that is harvested and converted to non-forest land; CEF</w:t>
      </w:r>
      <w:r w:rsidRPr="00261B7A">
        <w:rPr>
          <w:rFonts w:cs="Arial"/>
          <w:color w:val="000000"/>
          <w:szCs w:val="18"/>
          <w:vertAlign w:val="subscript"/>
        </w:rPr>
        <w:t>NE</w:t>
      </w:r>
      <w:r w:rsidRPr="00261B7A">
        <w:rPr>
          <w:szCs w:val="18"/>
        </w:rPr>
        <w:t xml:space="preserve"> </w:t>
      </w:r>
      <w:r w:rsidRPr="00261B7A">
        <w:rPr>
          <w:rFonts w:cs="Arial"/>
          <w:color w:val="000000"/>
          <w:szCs w:val="18"/>
        </w:rPr>
        <w:t>refers to the non-forest land on which a forest is newly established. Columns may not total due to rounding. Disaggregated data on the application of the provision are provided in annex 5, section A5.3.</w:t>
      </w:r>
    </w:p>
    <w:p w14:paraId="4F95F337" w14:textId="77777777" w:rsidR="006D123E" w:rsidRPr="00261B7A" w:rsidRDefault="006D123E" w:rsidP="006D123E">
      <w:pPr>
        <w:pStyle w:val="BodyText"/>
        <w:spacing w:after="100"/>
      </w:pPr>
      <w:r w:rsidRPr="00261B7A">
        <w:t xml:space="preserve">The carbon equivalent forest provision is administered domestically by the New Zealand Ministry for Primary Industries as part of the NZ ETS. The domestic carbon equivalent forest rules are broadly aligned with those in the Kyoto Protocol Supplement (IPCC, 2014). Misalignments between the domestic and international rule sets include: </w:t>
      </w:r>
    </w:p>
    <w:p w14:paraId="46A05BBF" w14:textId="77777777" w:rsidR="006D123E" w:rsidRPr="00261B7A" w:rsidRDefault="006D123E" w:rsidP="006D123E">
      <w:pPr>
        <w:pStyle w:val="Bullet"/>
      </w:pPr>
      <w:r w:rsidRPr="00261B7A">
        <w:t xml:space="preserve">domestically, the carbon equivalent forest can be established before the forest land is converted to another land use, and </w:t>
      </w:r>
    </w:p>
    <w:p w14:paraId="10EC9544" w14:textId="77777777" w:rsidR="006D123E" w:rsidRPr="00261B7A" w:rsidRDefault="006D123E" w:rsidP="006D123E">
      <w:pPr>
        <w:pStyle w:val="Bullet"/>
      </w:pPr>
      <w:r w:rsidRPr="00261B7A">
        <w:t xml:space="preserve">the newly established carbon equivalent forest can be established on land that was forested on 31 December 1989. </w:t>
      </w:r>
    </w:p>
    <w:p w14:paraId="5F27143D" w14:textId="77777777" w:rsidR="006D123E" w:rsidRPr="00261B7A" w:rsidRDefault="006D123E" w:rsidP="006D123E">
      <w:pPr>
        <w:pStyle w:val="BodyText"/>
        <w:spacing w:after="100"/>
      </w:pPr>
      <w:r w:rsidRPr="00261B7A">
        <w:t>Where these misalignments are detected, these activities are instead reported as separate afforestation and deforestation events.</w:t>
      </w:r>
    </w:p>
    <w:p w14:paraId="79404D63" w14:textId="77777777" w:rsidR="006D123E" w:rsidRPr="00261B7A" w:rsidRDefault="006D123E" w:rsidP="006D123E">
      <w:pPr>
        <w:pStyle w:val="BodyText"/>
        <w:spacing w:after="100"/>
      </w:pPr>
      <w:r w:rsidRPr="00261B7A">
        <w:t xml:space="preserve">Emissions from the conversion of forest land under the carbon equivalent forest provision are calculated as a deforestation event. In calculating these emissions, all carbon stored in biomass is instantly emitted at the time of conversion and soil organic carbon changes due to land-use change are accounted for. The emissions from the establishment of the new forest under the provision are calculated as an afforestation event and include biomass loss and soil organic carbon changes resulting from this land-use change. Net emissions from the activities are reported under </w:t>
      </w:r>
      <w:r w:rsidRPr="00261B7A">
        <w:rPr>
          <w:i/>
        </w:rPr>
        <w:t>Forest management</w:t>
      </w:r>
      <w:r w:rsidRPr="00261B7A">
        <w:t xml:space="preserve"> and monitored over time to ensure carbon equivalence.</w:t>
      </w:r>
    </w:p>
    <w:p w14:paraId="32E5B804" w14:textId="77777777" w:rsidR="006D123E" w:rsidRPr="00261B7A" w:rsidRDefault="006D123E" w:rsidP="006D123E">
      <w:pPr>
        <w:pStyle w:val="BodyText"/>
        <w:spacing w:after="100"/>
      </w:pPr>
      <w:r w:rsidRPr="00261B7A">
        <w:t xml:space="preserve">The carbon equivalent forest provision creates a misalignment for the afforestation and deforestation area reported under Decision 2/CMP.7 and the 2013 supplementary Kyoto Protocol guidelines and reporting under the 2006 Intergovernmental Panel on Climate Change (IPCC) Guidelines. The carbon equivalent forest provision is not recognised under the UNFCCC and instead is reported as </w:t>
      </w:r>
      <w:r w:rsidRPr="00261B7A">
        <w:rPr>
          <w:i/>
        </w:rPr>
        <w:t>Land converted to forest land</w:t>
      </w:r>
      <w:r w:rsidRPr="00261B7A">
        <w:t xml:space="preserve"> (afforestation) and </w:t>
      </w:r>
      <w:r w:rsidRPr="00261B7A">
        <w:rPr>
          <w:i/>
        </w:rPr>
        <w:t>Forest land converted to other land uses</w:t>
      </w:r>
      <w:r w:rsidRPr="00261B7A">
        <w:t xml:space="preserve"> (deforestation). </w:t>
      </w:r>
    </w:p>
    <w:p w14:paraId="31D13E68" w14:textId="77777777" w:rsidR="006D123E" w:rsidRPr="00261B7A" w:rsidRDefault="006D123E" w:rsidP="006D123E">
      <w:pPr>
        <w:pStyle w:val="Heading3"/>
      </w:pPr>
      <w:r w:rsidRPr="00261B7A">
        <w:t>11.3.5</w:t>
      </w:r>
      <w:r w:rsidRPr="00261B7A">
        <w:tab/>
        <w:t>Voluntary activities under Article 3.4</w:t>
      </w:r>
    </w:p>
    <w:p w14:paraId="4353E429" w14:textId="77777777" w:rsidR="006D123E" w:rsidRPr="00261B7A" w:rsidRDefault="006D123E" w:rsidP="006D123E">
      <w:pPr>
        <w:pStyle w:val="BodyText"/>
      </w:pPr>
      <w:r w:rsidRPr="00261B7A">
        <w:t>New Zealand has not elected to report on any voluntary activities under Article 3.4 of the Kyoto Protocol.</w:t>
      </w:r>
    </w:p>
    <w:p w14:paraId="0464E492" w14:textId="77777777" w:rsidR="006D123E" w:rsidRPr="00261B7A" w:rsidRDefault="006D123E" w:rsidP="006D123E">
      <w:pPr>
        <w:pStyle w:val="Heading3"/>
      </w:pPr>
      <w:r w:rsidRPr="00261B7A">
        <w:t>11.3.6</w:t>
      </w:r>
      <w:r w:rsidRPr="00261B7A">
        <w:tab/>
        <w:t>Harvested wood products (CRF 4(KP-I)C)</w:t>
      </w:r>
    </w:p>
    <w:p w14:paraId="2DA16931" w14:textId="77777777" w:rsidR="006D123E" w:rsidRPr="00261B7A" w:rsidRDefault="006D123E" w:rsidP="006D123E">
      <w:pPr>
        <w:pStyle w:val="BodyText"/>
      </w:pPr>
      <w:r w:rsidRPr="00261B7A">
        <w:t xml:space="preserve">The </w:t>
      </w:r>
      <w:r w:rsidRPr="00261B7A">
        <w:rPr>
          <w:i/>
        </w:rPr>
        <w:t>Harvested wood products</w:t>
      </w:r>
      <w:r w:rsidRPr="00261B7A">
        <w:t xml:space="preserve"> category comprises all wood material that leaves a harvest site and is subsequently processed. This wood constitutes a carbon reservoir (section 12.1, IPCC, 2006a). </w:t>
      </w:r>
    </w:p>
    <w:p w14:paraId="244D4077" w14:textId="473777BE" w:rsidR="006D123E" w:rsidRPr="00261B7A" w:rsidRDefault="006D123E" w:rsidP="006D123E">
      <w:pPr>
        <w:pStyle w:val="BodyText"/>
      </w:pPr>
      <w:r w:rsidRPr="00261B7A">
        <w:t xml:space="preserve">New Zealand has been reporting changes in the harvested wood products pool under the Kyoto Protocol since 2013. For </w:t>
      </w:r>
      <w:r w:rsidRPr="00261B7A">
        <w:rPr>
          <w:i/>
        </w:rPr>
        <w:t>Afforestation and reforestation</w:t>
      </w:r>
      <w:r w:rsidRPr="00261B7A">
        <w:t xml:space="preserve"> and </w:t>
      </w:r>
      <w:r w:rsidRPr="00261B7A">
        <w:rPr>
          <w:i/>
        </w:rPr>
        <w:t>Forest management</w:t>
      </w:r>
      <w:r w:rsidRPr="00261B7A">
        <w:t>, estimates were derived from a modified IPCC Convention reporting model. The emissions from</w:t>
      </w:r>
      <w:r w:rsidR="008B1BEE">
        <w:t> </w:t>
      </w:r>
      <w:r w:rsidRPr="00261B7A">
        <w:rPr>
          <w:i/>
        </w:rPr>
        <w:t>Harvested wood products</w:t>
      </w:r>
      <w:r w:rsidRPr="00261B7A">
        <w:t xml:space="preserve"> originating from </w:t>
      </w:r>
      <w:r w:rsidRPr="00261B7A">
        <w:rPr>
          <w:i/>
        </w:rPr>
        <w:t>Deforestation</w:t>
      </w:r>
      <w:r w:rsidRPr="00261B7A">
        <w:t xml:space="preserve"> activities are instantly oxidised. </w:t>
      </w:r>
    </w:p>
    <w:p w14:paraId="42AEC988" w14:textId="77777777" w:rsidR="006D123E" w:rsidRPr="00261B7A" w:rsidRDefault="006D123E" w:rsidP="006D123E">
      <w:pPr>
        <w:pStyle w:val="BodyText"/>
      </w:pPr>
      <w:r w:rsidRPr="00261B7A">
        <w:rPr>
          <w:i/>
        </w:rPr>
        <w:t>Harvested wood product</w:t>
      </w:r>
      <w:r w:rsidRPr="00261B7A">
        <w:t xml:space="preserve"> emissions for 2021 </w:t>
      </w:r>
      <w:r w:rsidRPr="00261B7A">
        <w:rPr>
          <w:i/>
        </w:rPr>
        <w:t>Afforestation and reforestation</w:t>
      </w:r>
      <w:r w:rsidRPr="00261B7A">
        <w:t xml:space="preserve"> were </w:t>
      </w:r>
      <w:r w:rsidRPr="00261B7A">
        <w:br/>
        <w:t>–4,840.4 kt CO</w:t>
      </w:r>
      <w:r w:rsidRPr="00261B7A">
        <w:rPr>
          <w:vertAlign w:val="subscript"/>
        </w:rPr>
        <w:t>2</w:t>
      </w:r>
      <w:r w:rsidRPr="00261B7A">
        <w:t xml:space="preserve">-e, and for </w:t>
      </w:r>
      <w:r w:rsidRPr="00261B7A">
        <w:rPr>
          <w:i/>
        </w:rPr>
        <w:t>Forest management</w:t>
      </w:r>
      <w:r w:rsidRPr="00261B7A">
        <w:t xml:space="preserve"> they were –7,823.3 kt CO</w:t>
      </w:r>
      <w:r w:rsidRPr="00261B7A">
        <w:rPr>
          <w:vertAlign w:val="subscript"/>
        </w:rPr>
        <w:t>2</w:t>
      </w:r>
      <w:r w:rsidRPr="00261B7A">
        <w:t>-e.</w:t>
      </w:r>
    </w:p>
    <w:p w14:paraId="46763801" w14:textId="77777777" w:rsidR="006D123E" w:rsidRPr="00261B7A" w:rsidRDefault="006D123E" w:rsidP="006D123E">
      <w:pPr>
        <w:pStyle w:val="BodyText"/>
      </w:pPr>
      <w:r w:rsidRPr="00261B7A">
        <w:t>New Zealand has a large planted forest estate that provides most of the wood products consumed domestically. The remainder of domestic production is exported in either product or raw material form. A more detailed description of the forest estate and New Zealand wood use is provided in chapter 6, section 6.9.</w:t>
      </w:r>
    </w:p>
    <w:p w14:paraId="404F50C9" w14:textId="77777777" w:rsidR="006D123E" w:rsidRPr="00261B7A" w:rsidRDefault="006D123E" w:rsidP="006D123E">
      <w:pPr>
        <w:pStyle w:val="BodyText"/>
        <w:rPr>
          <w:spacing w:val="-2"/>
        </w:rPr>
      </w:pPr>
      <w:r w:rsidRPr="00261B7A">
        <w:rPr>
          <w:spacing w:val="-2"/>
        </w:rPr>
        <w:t xml:space="preserve">New Zealand has developed a Tier 2 method to report </w:t>
      </w:r>
      <w:r w:rsidRPr="00261B7A">
        <w:rPr>
          <w:i/>
          <w:spacing w:val="-2"/>
        </w:rPr>
        <w:t>Harvested wood products</w:t>
      </w:r>
      <w:r w:rsidRPr="00261B7A">
        <w:rPr>
          <w:spacing w:val="-2"/>
        </w:rPr>
        <w:t xml:space="preserve"> under the Kyoto Protocol. New Zealand uses the default Tier 2 methodology, as described in the IPCC guidance (IPCC, 2014), and some country-specific activity data and parameters where available. IPCC default half-lives and some conversion factors are used. Country-specific conversion factors are used for domestically produced sawnwood and veneer sheets (see chapter 6, table 6.9.1).</w:t>
      </w:r>
    </w:p>
    <w:p w14:paraId="3DDB015E" w14:textId="77777777" w:rsidR="006D123E" w:rsidRPr="00261B7A" w:rsidRDefault="006D123E" w:rsidP="006D123E">
      <w:pPr>
        <w:pStyle w:val="BodyText"/>
      </w:pPr>
      <w:r w:rsidRPr="00261B7A">
        <w:t xml:space="preserve">Activity data on roundwood production volume, roundwood export volume, wood product production and export are sourced from the Ministry of Primary Industries (Ministry for Primary Industries, 2022a, 2022b). </w:t>
      </w:r>
    </w:p>
    <w:p w14:paraId="15D03E87" w14:textId="77777777" w:rsidR="006D123E" w:rsidRPr="00261B7A" w:rsidRDefault="006D123E" w:rsidP="006D123E">
      <w:pPr>
        <w:pStyle w:val="BodyText"/>
      </w:pPr>
      <w:r w:rsidRPr="00261B7A">
        <w:t xml:space="preserve">The basic data are the same as those used for IPCC Convention reporting, except the time series begins in 1990 for </w:t>
      </w:r>
      <w:r w:rsidRPr="00261B7A">
        <w:rPr>
          <w:i/>
        </w:rPr>
        <w:t>Afforestation and reforestation</w:t>
      </w:r>
      <w:r w:rsidRPr="00261B7A">
        <w:t xml:space="preserve"> and 2013 for </w:t>
      </w:r>
      <w:r w:rsidRPr="00261B7A">
        <w:rPr>
          <w:i/>
        </w:rPr>
        <w:t>Forest management</w:t>
      </w:r>
      <w:r w:rsidRPr="00261B7A">
        <w:t xml:space="preserve">. Note that New Zealand did not account for the </w:t>
      </w:r>
      <w:r w:rsidRPr="00261B7A">
        <w:rPr>
          <w:i/>
          <w:iCs/>
        </w:rPr>
        <w:t>Harvested wood products</w:t>
      </w:r>
      <w:r w:rsidRPr="00261B7A">
        <w:t xml:space="preserve"> pool in the first commitment period. Also, the </w:t>
      </w:r>
      <w:r w:rsidRPr="00261B7A">
        <w:rPr>
          <w:i/>
        </w:rPr>
        <w:t>Solid wood</w:t>
      </w:r>
      <w:r w:rsidRPr="00261B7A">
        <w:t xml:space="preserve"> category used for IPCC Convention reporting is disaggregated into </w:t>
      </w:r>
      <w:r w:rsidRPr="00261B7A">
        <w:rPr>
          <w:i/>
        </w:rPr>
        <w:t>Sawnwood</w:t>
      </w:r>
      <w:r w:rsidRPr="00261B7A">
        <w:t xml:space="preserve"> and </w:t>
      </w:r>
      <w:r w:rsidRPr="00261B7A">
        <w:rPr>
          <w:i/>
        </w:rPr>
        <w:t>Wood-based</w:t>
      </w:r>
      <w:r w:rsidRPr="00261B7A">
        <w:t xml:space="preserve"> </w:t>
      </w:r>
      <w:r w:rsidRPr="00261B7A">
        <w:rPr>
          <w:i/>
        </w:rPr>
        <w:t>panels</w:t>
      </w:r>
      <w:r w:rsidRPr="00261B7A">
        <w:t xml:space="preserve"> for Kyoto Protocol reporting. </w:t>
      </w:r>
    </w:p>
    <w:p w14:paraId="70FB908A" w14:textId="77777777" w:rsidR="006D123E" w:rsidRPr="00261B7A" w:rsidRDefault="006D123E" w:rsidP="006D123E">
      <w:pPr>
        <w:pStyle w:val="BodyText"/>
      </w:pPr>
      <w:r w:rsidRPr="00261B7A">
        <w:t>Furthermore, in accordance with volume 4, chapter 12, page 12.6 of the 2006 IPCC Guidelines, New Zealand treats CO</w:t>
      </w:r>
      <w:r w:rsidRPr="00261B7A">
        <w:rPr>
          <w:vertAlign w:val="subscript"/>
        </w:rPr>
        <w:t>2</w:t>
      </w:r>
      <w:r w:rsidRPr="00261B7A">
        <w:t xml:space="preserve"> released from wood burnt for energy as an instant emission. Carbon dioxide emissions from </w:t>
      </w:r>
      <w:r w:rsidRPr="00261B7A">
        <w:rPr>
          <w:i/>
          <w:iCs/>
        </w:rPr>
        <w:t>Harvested wood products</w:t>
      </w:r>
      <w:r w:rsidRPr="00261B7A">
        <w:t xml:space="preserve"> in solid waste disposal sites are also treated as an instant emission. These emissions are accounted for under the </w:t>
      </w:r>
      <w:r w:rsidRPr="00261B7A">
        <w:rPr>
          <w:i/>
          <w:iCs/>
        </w:rPr>
        <w:t>Harvested wood products</w:t>
      </w:r>
      <w:r w:rsidRPr="00261B7A">
        <w:t xml:space="preserve"> </w:t>
      </w:r>
      <w:r w:rsidRPr="00261B7A">
        <w:rPr>
          <w:spacing w:val="-2"/>
        </w:rPr>
        <w:t>category and not in the waste sector and this is described in more detail in Wakelin et al., 2020.</w:t>
      </w:r>
    </w:p>
    <w:p w14:paraId="7DE4F39E" w14:textId="77777777" w:rsidR="006D123E" w:rsidRPr="00261B7A" w:rsidRDefault="006D123E" w:rsidP="006D123E">
      <w:pPr>
        <w:pStyle w:val="BodyText"/>
      </w:pPr>
      <w:r w:rsidRPr="00261B7A">
        <w:t xml:space="preserve">In 2019, a large proportion (nearly 62 per cent) of New Zealand’s harvest was exported as raw materials in the form of logs or wood chips (Ministry for Primary Industries, 2022a). The database produced by the Statistics Division of the Food and Agriculture Organization the United Nations (FAOSTAT) provides data on the export quantity of raw materials but provides no information on the conversion of these materials to products and their expected half-lives. A project was completed in 2016 to provide information on harvested wood products from exported logs in New Zealand’s three main export markets (China, India and South Korea). The study found that most New Zealand wood is converted into construction and packaging materials. Therefore, weighted half-lives were found to be significantly lower than the IPCC default half-lives for sawnwood and panels (35 years and 25 years respectively). These findings are included in New Zealand’s </w:t>
      </w:r>
      <w:r w:rsidRPr="00261B7A">
        <w:rPr>
          <w:i/>
        </w:rPr>
        <w:t>Harvested wood products</w:t>
      </w:r>
      <w:r w:rsidRPr="00261B7A">
        <w:t xml:space="preserve"> estimates and provide an improvement on the previous assumption of instant emission for exported raw materials. More information on this is provided in chapter 6, section 6.9.2, and annex 3, section A3.2.6. </w:t>
      </w:r>
    </w:p>
    <w:p w14:paraId="5362ED68" w14:textId="77777777" w:rsidR="006D123E" w:rsidRPr="00261B7A" w:rsidRDefault="006D123E" w:rsidP="006D123E">
      <w:pPr>
        <w:pStyle w:val="BodyText"/>
      </w:pPr>
      <w:r w:rsidRPr="00261B7A">
        <w:t xml:space="preserve">Emissions from the harvest of </w:t>
      </w:r>
      <w:r w:rsidRPr="00261B7A">
        <w:rPr>
          <w:i/>
        </w:rPr>
        <w:t>Afforestation and reforestation</w:t>
      </w:r>
      <w:r w:rsidRPr="00261B7A">
        <w:t xml:space="preserve"> land are reported for 2021. These lands will provide a growing contribution to </w:t>
      </w:r>
      <w:r w:rsidRPr="00261B7A">
        <w:rPr>
          <w:i/>
        </w:rPr>
        <w:t>Harvested wood products</w:t>
      </w:r>
      <w:r w:rsidRPr="00261B7A">
        <w:t xml:space="preserve"> as post</w:t>
      </w:r>
      <w:r w:rsidRPr="00261B7A">
        <w:noBreakHyphen/>
        <w:t xml:space="preserve">1989 planted forest reaches harvest age. Harvested wood products originating from </w:t>
      </w:r>
      <w:r w:rsidRPr="00261B7A">
        <w:rPr>
          <w:i/>
        </w:rPr>
        <w:t>Afforestation and reforestation</w:t>
      </w:r>
      <w:r w:rsidRPr="00261B7A">
        <w:t xml:space="preserve"> land each year are estimated by prorating the above-ground biomass carbon losses from the harvest of these lands to the total above-ground biomass carbon losses from all harvesting and deforestation.</w:t>
      </w:r>
    </w:p>
    <w:p w14:paraId="153A961C" w14:textId="77777777" w:rsidR="006D123E" w:rsidRPr="00261B7A" w:rsidRDefault="006D123E" w:rsidP="006D123E">
      <w:pPr>
        <w:pStyle w:val="BodyText"/>
      </w:pPr>
      <w:r w:rsidRPr="00261B7A">
        <w:t xml:space="preserve">Harvesting is the primary driver of emissions from </w:t>
      </w:r>
      <w:r w:rsidRPr="00261B7A">
        <w:rPr>
          <w:i/>
        </w:rPr>
        <w:t xml:space="preserve">Forest management </w:t>
      </w:r>
      <w:r w:rsidRPr="00261B7A">
        <w:t>land, specifically pre</w:t>
      </w:r>
      <w:r w:rsidRPr="00261B7A">
        <w:noBreakHyphen/>
        <w:t xml:space="preserve">1990 planted forest, for which emissions from harvested wood products were accounted for from 2013-2020 under the Kyoto Protocol. Harvested wood products originating from </w:t>
      </w:r>
      <w:r w:rsidRPr="00261B7A">
        <w:rPr>
          <w:i/>
        </w:rPr>
        <w:t>Forest management</w:t>
      </w:r>
      <w:r w:rsidRPr="00261B7A">
        <w:t xml:space="preserve"> land each year are estimated by prorating the above-ground biomass carbon losses from the harvest of these lands to the total above-ground biomass carbon losses from all harvesting and deforestation. Accounting of harvested wood products on these lands from 2013-2020 was against New Zealand’s projected FMRL and, therefore, emissions from the decay of harvested wood products created before 2013 were excluded.</w:t>
      </w:r>
    </w:p>
    <w:p w14:paraId="039D7629" w14:textId="77777777" w:rsidR="006D123E" w:rsidRPr="00261B7A" w:rsidRDefault="006D123E" w:rsidP="006D123E">
      <w:pPr>
        <w:pStyle w:val="BodyText"/>
      </w:pPr>
      <w:r w:rsidRPr="00261B7A">
        <w:t xml:space="preserve">Harvested wood products originating from </w:t>
      </w:r>
      <w:r w:rsidRPr="00261B7A">
        <w:rPr>
          <w:i/>
          <w:spacing w:val="-2"/>
        </w:rPr>
        <w:t>Deforestation</w:t>
      </w:r>
      <w:r w:rsidRPr="00261B7A">
        <w:t xml:space="preserve"> are instantly emitted, as required under the Kyoto Protocol; however, the production statistics do not identify products that were derived originally from the wood that was harvested as part of the deforestation activity. The share of roundwood volume originating from </w:t>
      </w:r>
      <w:r w:rsidRPr="00261B7A">
        <w:rPr>
          <w:i/>
          <w:spacing w:val="-2"/>
        </w:rPr>
        <w:t>Deforestation</w:t>
      </w:r>
      <w:r w:rsidRPr="00261B7A">
        <w:t xml:space="preserve"> is estimated by comparing the above-ground biomass carbon losses from </w:t>
      </w:r>
      <w:r w:rsidRPr="00261B7A">
        <w:rPr>
          <w:i/>
          <w:spacing w:val="-2"/>
        </w:rPr>
        <w:t>Deforestation</w:t>
      </w:r>
      <w:r w:rsidRPr="00261B7A">
        <w:t xml:space="preserve"> with the above-ground biomass carbon losses from harvesting. This provides a proportion to apply to the production statistics to separate harvested wood products originating from </w:t>
      </w:r>
      <w:r w:rsidRPr="00261B7A">
        <w:rPr>
          <w:i/>
          <w:spacing w:val="-2"/>
        </w:rPr>
        <w:t>Deforestation</w:t>
      </w:r>
      <w:r w:rsidRPr="00261B7A">
        <w:t>.</w:t>
      </w:r>
    </w:p>
    <w:p w14:paraId="4ACAA908" w14:textId="77777777" w:rsidR="006D123E" w:rsidRPr="00261B7A" w:rsidRDefault="006D123E" w:rsidP="006D123E">
      <w:pPr>
        <w:pStyle w:val="BodyText"/>
      </w:pPr>
      <w:r w:rsidRPr="00261B7A">
        <w:t>Non-forest harvest is treated as an instant emission. Harvest from these lands is assumed to be used for fuel wood. Therefore, the harvested wood products contribution from non-forest lands is assumed to be zero.</w:t>
      </w:r>
    </w:p>
    <w:p w14:paraId="5BC38334" w14:textId="77777777" w:rsidR="006D123E" w:rsidRPr="00261B7A" w:rsidRDefault="006D123E" w:rsidP="006D123E">
      <w:pPr>
        <w:pStyle w:val="Heading3"/>
        <w:spacing w:before="280"/>
      </w:pPr>
      <w:r w:rsidRPr="00261B7A">
        <w:t>11.3.7</w:t>
      </w:r>
      <w:r w:rsidRPr="00261B7A">
        <w:tab/>
        <w:t>Other greenhouse gas sources</w:t>
      </w:r>
    </w:p>
    <w:p w14:paraId="768D3FEC" w14:textId="77777777" w:rsidR="006D123E" w:rsidRPr="00261B7A" w:rsidRDefault="006D123E" w:rsidP="006D123E">
      <w:pPr>
        <w:pStyle w:val="Heading4"/>
        <w:spacing w:before="160"/>
      </w:pPr>
      <w:r w:rsidRPr="00261B7A">
        <w:t>Direct nitrous oxide emissions from nitrogen fertilisation (CRF 4(KP-II)1)</w:t>
      </w:r>
    </w:p>
    <w:p w14:paraId="23DA3F5E" w14:textId="77777777" w:rsidR="006D123E" w:rsidRPr="00261B7A" w:rsidRDefault="006D123E" w:rsidP="006D123E">
      <w:pPr>
        <w:pStyle w:val="BodyText"/>
      </w:pPr>
      <w:r w:rsidRPr="00261B7A">
        <w:rPr>
          <w:rStyle w:val="BodyTextChar"/>
        </w:rPr>
        <w:t>New Zealand’s activity data</w:t>
      </w:r>
      <w:r w:rsidRPr="00261B7A">
        <w:t xml:space="preserve"> on nitrogen fertilisation are not currently disaggregated by land use; therefore, all N</w:t>
      </w:r>
      <w:r w:rsidRPr="00261B7A">
        <w:rPr>
          <w:vertAlign w:val="subscript"/>
        </w:rPr>
        <w:t>2</w:t>
      </w:r>
      <w:r w:rsidRPr="00261B7A">
        <w:t xml:space="preserve">O emissions from nitrogen fertilisation are reported under the Agriculture sector in the category </w:t>
      </w:r>
      <w:r w:rsidRPr="00261B7A">
        <w:rPr>
          <w:i/>
        </w:rPr>
        <w:t>Direct N</w:t>
      </w:r>
      <w:r w:rsidRPr="00261B7A">
        <w:rPr>
          <w:i/>
          <w:vertAlign w:val="subscript"/>
        </w:rPr>
        <w:t>2</w:t>
      </w:r>
      <w:r w:rsidRPr="00261B7A">
        <w:rPr>
          <w:i/>
        </w:rPr>
        <w:t>O emissions from managed soils</w:t>
      </w:r>
      <w:r w:rsidRPr="00261B7A">
        <w:t xml:space="preserve"> (CRF 3.D). The notation key IE (included elsewhere) is reported in the CRF tables for the KP-LULUCF sector (section 2.4.4.2, IPCC, 2014).</w:t>
      </w:r>
    </w:p>
    <w:p w14:paraId="06BDABBB" w14:textId="77777777" w:rsidR="006D123E" w:rsidRPr="00261B7A" w:rsidRDefault="006D123E" w:rsidP="006D123E">
      <w:pPr>
        <w:pStyle w:val="Heading4"/>
        <w:spacing w:before="200"/>
      </w:pPr>
      <w:r w:rsidRPr="00261B7A">
        <w:t>Methane and nitrous oxide emissions from drained and rewetted organic soils (CRF 4(KP-II)2)</w:t>
      </w:r>
    </w:p>
    <w:p w14:paraId="3571C95A" w14:textId="77777777" w:rsidR="006D123E" w:rsidRPr="00261B7A" w:rsidRDefault="006D123E" w:rsidP="006D123E">
      <w:pPr>
        <w:pStyle w:val="BodyText"/>
        <w:rPr>
          <w:iCs/>
        </w:rPr>
      </w:pPr>
      <w:r w:rsidRPr="00261B7A">
        <w:t>New Zealand reports on N</w:t>
      </w:r>
      <w:r w:rsidRPr="00261B7A">
        <w:rPr>
          <w:vertAlign w:val="subscript"/>
        </w:rPr>
        <w:t>2</w:t>
      </w:r>
      <w:r w:rsidRPr="00261B7A">
        <w:t xml:space="preserve">O emissions, as a result of oxidation of organic matter, from the drainage of organic soils for </w:t>
      </w:r>
      <w:r w:rsidRPr="00261B7A">
        <w:rPr>
          <w:i/>
        </w:rPr>
        <w:t>Afforestation and reforestation</w:t>
      </w:r>
      <w:r w:rsidRPr="00261B7A">
        <w:t xml:space="preserve">, </w:t>
      </w:r>
      <w:r w:rsidRPr="00261B7A">
        <w:rPr>
          <w:i/>
        </w:rPr>
        <w:t>Deforestation</w:t>
      </w:r>
      <w:r w:rsidRPr="00261B7A">
        <w:t xml:space="preserve"> and </w:t>
      </w:r>
      <w:r w:rsidRPr="00261B7A">
        <w:rPr>
          <w:i/>
        </w:rPr>
        <w:t xml:space="preserve">Forest management. </w:t>
      </w:r>
      <w:r w:rsidRPr="00261B7A">
        <w:rPr>
          <w:iCs/>
        </w:rPr>
        <w:t>Emissions are estimated following the</w:t>
      </w:r>
      <w:r w:rsidRPr="00261B7A">
        <w:rPr>
          <w:i/>
        </w:rPr>
        <w:t xml:space="preserve"> </w:t>
      </w:r>
      <w:r w:rsidRPr="00261B7A">
        <w:t xml:space="preserve">methodology </w:t>
      </w:r>
      <w:r w:rsidRPr="00261B7A">
        <w:rPr>
          <w:iCs/>
        </w:rPr>
        <w:t>outlined in the IPCC Guidelines (IPCC, 2006a) and described in chapter 6, section 6.10.2. Total emissions for these three activities are 0.5 kt N</w:t>
      </w:r>
      <w:r w:rsidRPr="00261B7A">
        <w:rPr>
          <w:iCs/>
          <w:vertAlign w:val="subscript"/>
        </w:rPr>
        <w:t>2</w:t>
      </w:r>
      <w:r w:rsidRPr="00261B7A">
        <w:rPr>
          <w:iCs/>
        </w:rPr>
        <w:t>O. The emissions occurring under each activity are reported in table 11.3.6.</w:t>
      </w:r>
    </w:p>
    <w:p w14:paraId="69463FCF" w14:textId="77777777" w:rsidR="006D123E" w:rsidRPr="00261B7A" w:rsidRDefault="006D123E" w:rsidP="006D123E">
      <w:pPr>
        <w:pStyle w:val="Table"/>
      </w:pPr>
      <w:bookmarkStart w:id="3068" w:name="_Toc95321543"/>
      <w:bookmarkStart w:id="3069" w:name="_Toc130568411"/>
      <w:bookmarkStart w:id="3070" w:name="_Toc131591504"/>
      <w:r w:rsidRPr="00261B7A">
        <w:t>Table 11.3.6</w:t>
      </w:r>
      <w:r w:rsidRPr="00261B7A">
        <w:tab/>
        <w:t>Nitrous oxide emissions from the drainage of organic soils in 2021 by activity</w:t>
      </w:r>
      <w:bookmarkEnd w:id="3068"/>
      <w:bookmarkEnd w:id="3069"/>
      <w:bookmarkEnd w:id="3070"/>
      <w:r w:rsidRPr="00261B7A">
        <w:t xml:space="preserve"> </w:t>
      </w:r>
    </w:p>
    <w:tbl>
      <w:tblPr>
        <w:tblW w:w="8500"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2943"/>
        <w:gridCol w:w="2835"/>
        <w:gridCol w:w="2722"/>
      </w:tblGrid>
      <w:tr w:rsidR="006D123E" w:rsidRPr="00261B7A" w14:paraId="5AC1E204" w14:textId="77777777" w:rsidTr="009C63CA">
        <w:tc>
          <w:tcPr>
            <w:tcW w:w="2943" w:type="dxa"/>
            <w:shd w:val="clear" w:color="000000" w:fill="1B556B"/>
            <w:noWrap/>
            <w:vAlign w:val="center"/>
            <w:hideMark/>
          </w:tcPr>
          <w:p w14:paraId="470AD84B" w14:textId="77777777" w:rsidR="006D123E" w:rsidRPr="00261B7A" w:rsidRDefault="006D123E" w:rsidP="009C63CA">
            <w:pPr>
              <w:pStyle w:val="TableTextBold"/>
              <w:keepNext/>
              <w:rPr>
                <w:noProof w:val="0"/>
                <w:color w:val="FFFFFF"/>
              </w:rPr>
            </w:pPr>
            <w:r w:rsidRPr="00261B7A">
              <w:rPr>
                <w:noProof w:val="0"/>
                <w:color w:val="FFFFFF"/>
              </w:rPr>
              <w:t>Activity</w:t>
            </w:r>
          </w:p>
        </w:tc>
        <w:tc>
          <w:tcPr>
            <w:tcW w:w="2835" w:type="dxa"/>
            <w:shd w:val="clear" w:color="000000" w:fill="1B556B"/>
            <w:noWrap/>
            <w:vAlign w:val="center"/>
            <w:hideMark/>
          </w:tcPr>
          <w:p w14:paraId="061884E6" w14:textId="77777777" w:rsidR="006D123E" w:rsidRPr="00261B7A" w:rsidRDefault="006D123E" w:rsidP="009C63CA">
            <w:pPr>
              <w:pStyle w:val="TableTextBold"/>
              <w:keepNext/>
              <w:jc w:val="center"/>
              <w:rPr>
                <w:noProof w:val="0"/>
                <w:color w:val="FFFFFF"/>
              </w:rPr>
            </w:pPr>
            <w:r w:rsidRPr="00261B7A">
              <w:rPr>
                <w:noProof w:val="0"/>
                <w:color w:val="FFFFFF"/>
              </w:rPr>
              <w:t>Emissions (kt N</w:t>
            </w:r>
            <w:r w:rsidRPr="00261B7A">
              <w:rPr>
                <w:noProof w:val="0"/>
                <w:color w:val="FFFFFF"/>
                <w:vertAlign w:val="subscript"/>
              </w:rPr>
              <w:t>2</w:t>
            </w:r>
            <w:r w:rsidRPr="00261B7A">
              <w:rPr>
                <w:noProof w:val="0"/>
                <w:color w:val="FFFFFF"/>
              </w:rPr>
              <w:t>O)</w:t>
            </w:r>
          </w:p>
        </w:tc>
        <w:tc>
          <w:tcPr>
            <w:tcW w:w="2722" w:type="dxa"/>
            <w:shd w:val="clear" w:color="000000" w:fill="1B556B"/>
            <w:noWrap/>
            <w:vAlign w:val="center"/>
            <w:hideMark/>
          </w:tcPr>
          <w:p w14:paraId="75AF2240" w14:textId="77777777" w:rsidR="006D123E" w:rsidRPr="00261B7A" w:rsidRDefault="006D123E" w:rsidP="009C63CA">
            <w:pPr>
              <w:pStyle w:val="TableTextBold"/>
              <w:keepNext/>
              <w:jc w:val="center"/>
              <w:rPr>
                <w:noProof w:val="0"/>
                <w:color w:val="FFFFFF"/>
              </w:rPr>
            </w:pPr>
            <w:r w:rsidRPr="00261B7A">
              <w:rPr>
                <w:noProof w:val="0"/>
                <w:color w:val="FFFFFF"/>
              </w:rPr>
              <w:t>Emissions (kt CO</w:t>
            </w:r>
            <w:r w:rsidRPr="00261B7A">
              <w:rPr>
                <w:noProof w:val="0"/>
                <w:color w:val="FFFFFF"/>
                <w:vertAlign w:val="subscript"/>
              </w:rPr>
              <w:t>2</w:t>
            </w:r>
            <w:r w:rsidRPr="00261B7A">
              <w:rPr>
                <w:noProof w:val="0"/>
                <w:color w:val="FFFFFF"/>
              </w:rPr>
              <w:t>-e)</w:t>
            </w:r>
          </w:p>
        </w:tc>
      </w:tr>
      <w:tr w:rsidR="006D123E" w:rsidRPr="00261B7A" w14:paraId="372F1CAB" w14:textId="77777777" w:rsidTr="009C63CA">
        <w:tc>
          <w:tcPr>
            <w:tcW w:w="2943" w:type="dxa"/>
            <w:shd w:val="clear" w:color="auto" w:fill="auto"/>
            <w:noWrap/>
            <w:vAlign w:val="center"/>
            <w:hideMark/>
          </w:tcPr>
          <w:p w14:paraId="5B089B87" w14:textId="77777777" w:rsidR="006D123E" w:rsidRPr="00261B7A" w:rsidRDefault="006D123E" w:rsidP="009C63CA">
            <w:pPr>
              <w:pStyle w:val="TableText"/>
              <w:keepNext/>
            </w:pPr>
            <w:r w:rsidRPr="00261B7A">
              <w:t xml:space="preserve">Afforestation and reforestation </w:t>
            </w:r>
          </w:p>
        </w:tc>
        <w:tc>
          <w:tcPr>
            <w:tcW w:w="2835" w:type="dxa"/>
            <w:shd w:val="clear" w:color="auto" w:fill="auto"/>
            <w:noWrap/>
            <w:hideMark/>
          </w:tcPr>
          <w:p w14:paraId="74436F58" w14:textId="77777777" w:rsidR="006D123E" w:rsidRPr="00261B7A" w:rsidRDefault="006D123E" w:rsidP="009C63CA">
            <w:pPr>
              <w:pStyle w:val="TableText"/>
              <w:keepNext/>
              <w:jc w:val="center"/>
            </w:pPr>
            <w:r w:rsidRPr="00261B7A">
              <w:t>0.2</w:t>
            </w:r>
          </w:p>
        </w:tc>
        <w:tc>
          <w:tcPr>
            <w:tcW w:w="2722" w:type="dxa"/>
            <w:shd w:val="clear" w:color="auto" w:fill="auto"/>
            <w:noWrap/>
            <w:vAlign w:val="center"/>
            <w:hideMark/>
          </w:tcPr>
          <w:p w14:paraId="5A1372FC" w14:textId="77777777" w:rsidR="006D123E" w:rsidRPr="00261B7A" w:rsidRDefault="006D123E" w:rsidP="009C63CA">
            <w:pPr>
              <w:pStyle w:val="TableText"/>
              <w:keepNext/>
              <w:jc w:val="center"/>
            </w:pPr>
            <w:r w:rsidRPr="00261B7A">
              <w:t>61.9</w:t>
            </w:r>
          </w:p>
        </w:tc>
      </w:tr>
      <w:tr w:rsidR="006D123E" w:rsidRPr="00261B7A" w14:paraId="5A011851" w14:textId="77777777" w:rsidTr="009C63CA">
        <w:tc>
          <w:tcPr>
            <w:tcW w:w="2943" w:type="dxa"/>
            <w:shd w:val="clear" w:color="auto" w:fill="auto"/>
            <w:noWrap/>
            <w:vAlign w:val="center"/>
            <w:hideMark/>
          </w:tcPr>
          <w:p w14:paraId="256B8DE9" w14:textId="77777777" w:rsidR="006D123E" w:rsidRPr="00261B7A" w:rsidRDefault="006D123E" w:rsidP="009C63CA">
            <w:pPr>
              <w:pStyle w:val="TableText"/>
            </w:pPr>
            <w:r w:rsidRPr="00261B7A">
              <w:t xml:space="preserve">Deforestation </w:t>
            </w:r>
          </w:p>
        </w:tc>
        <w:tc>
          <w:tcPr>
            <w:tcW w:w="2835" w:type="dxa"/>
            <w:shd w:val="clear" w:color="auto" w:fill="auto"/>
            <w:noWrap/>
            <w:hideMark/>
          </w:tcPr>
          <w:p w14:paraId="2A2FE98E" w14:textId="77777777" w:rsidR="006D123E" w:rsidRPr="00261B7A" w:rsidRDefault="006D123E" w:rsidP="009C63CA">
            <w:pPr>
              <w:pStyle w:val="TableText"/>
              <w:jc w:val="center"/>
            </w:pPr>
            <w:r w:rsidRPr="00261B7A">
              <w:t>0.1</w:t>
            </w:r>
          </w:p>
        </w:tc>
        <w:tc>
          <w:tcPr>
            <w:tcW w:w="2722" w:type="dxa"/>
            <w:shd w:val="clear" w:color="auto" w:fill="auto"/>
            <w:noWrap/>
            <w:vAlign w:val="center"/>
            <w:hideMark/>
          </w:tcPr>
          <w:p w14:paraId="0B1FB21F" w14:textId="77777777" w:rsidR="006D123E" w:rsidRPr="00261B7A" w:rsidRDefault="006D123E" w:rsidP="009C63CA">
            <w:pPr>
              <w:pStyle w:val="TableText"/>
              <w:jc w:val="center"/>
            </w:pPr>
            <w:r w:rsidRPr="00261B7A">
              <w:t>29.5</w:t>
            </w:r>
          </w:p>
        </w:tc>
      </w:tr>
      <w:tr w:rsidR="006D123E" w:rsidRPr="00261B7A" w14:paraId="6656C023" w14:textId="77777777" w:rsidTr="009C63CA">
        <w:tc>
          <w:tcPr>
            <w:tcW w:w="2943" w:type="dxa"/>
            <w:shd w:val="clear" w:color="auto" w:fill="auto"/>
            <w:noWrap/>
            <w:vAlign w:val="center"/>
            <w:hideMark/>
          </w:tcPr>
          <w:p w14:paraId="770EB915" w14:textId="77777777" w:rsidR="006D123E" w:rsidRPr="00261B7A" w:rsidRDefault="006D123E" w:rsidP="009C63CA">
            <w:pPr>
              <w:pStyle w:val="TableText"/>
            </w:pPr>
            <w:r w:rsidRPr="00261B7A">
              <w:t xml:space="preserve">Forest management </w:t>
            </w:r>
          </w:p>
        </w:tc>
        <w:tc>
          <w:tcPr>
            <w:tcW w:w="2835" w:type="dxa"/>
            <w:shd w:val="clear" w:color="auto" w:fill="auto"/>
            <w:noWrap/>
            <w:hideMark/>
          </w:tcPr>
          <w:p w14:paraId="0ADF5CC8" w14:textId="77777777" w:rsidR="006D123E" w:rsidRPr="00261B7A" w:rsidRDefault="006D123E" w:rsidP="009C63CA">
            <w:pPr>
              <w:pStyle w:val="TableText"/>
              <w:jc w:val="center"/>
            </w:pPr>
            <w:r w:rsidRPr="00261B7A">
              <w:t>0.2</w:t>
            </w:r>
          </w:p>
        </w:tc>
        <w:tc>
          <w:tcPr>
            <w:tcW w:w="2722" w:type="dxa"/>
            <w:shd w:val="clear" w:color="auto" w:fill="auto"/>
            <w:noWrap/>
            <w:vAlign w:val="center"/>
            <w:hideMark/>
          </w:tcPr>
          <w:p w14:paraId="35F72BC4" w14:textId="77777777" w:rsidR="006D123E" w:rsidRPr="00261B7A" w:rsidRDefault="006D123E" w:rsidP="009C63CA">
            <w:pPr>
              <w:pStyle w:val="TableText"/>
              <w:jc w:val="center"/>
            </w:pPr>
            <w:r w:rsidRPr="00261B7A">
              <w:t>62.3</w:t>
            </w:r>
          </w:p>
        </w:tc>
      </w:tr>
      <w:tr w:rsidR="006D123E" w:rsidRPr="00261B7A" w14:paraId="6A9ABDF7" w14:textId="77777777" w:rsidTr="009C63CA">
        <w:tc>
          <w:tcPr>
            <w:tcW w:w="2943" w:type="dxa"/>
            <w:shd w:val="clear" w:color="auto" w:fill="auto"/>
            <w:noWrap/>
            <w:vAlign w:val="center"/>
            <w:hideMark/>
          </w:tcPr>
          <w:p w14:paraId="2915F8ED" w14:textId="77777777" w:rsidR="006D123E" w:rsidRPr="00261B7A" w:rsidRDefault="006D123E" w:rsidP="009C63CA">
            <w:pPr>
              <w:pStyle w:val="Tableboldblue"/>
            </w:pPr>
            <w:r w:rsidRPr="00261B7A">
              <w:t>Total</w:t>
            </w:r>
          </w:p>
        </w:tc>
        <w:tc>
          <w:tcPr>
            <w:tcW w:w="2835" w:type="dxa"/>
            <w:shd w:val="clear" w:color="auto" w:fill="auto"/>
            <w:noWrap/>
            <w:hideMark/>
          </w:tcPr>
          <w:p w14:paraId="4AFB5963" w14:textId="77777777" w:rsidR="006D123E" w:rsidRPr="00261B7A" w:rsidRDefault="006D123E" w:rsidP="009C63CA">
            <w:pPr>
              <w:pStyle w:val="Tableboldblue"/>
              <w:jc w:val="center"/>
            </w:pPr>
            <w:r w:rsidRPr="00261B7A">
              <w:t>0.5</w:t>
            </w:r>
          </w:p>
        </w:tc>
        <w:tc>
          <w:tcPr>
            <w:tcW w:w="2722" w:type="dxa"/>
            <w:shd w:val="clear" w:color="auto" w:fill="auto"/>
            <w:noWrap/>
            <w:vAlign w:val="center"/>
            <w:hideMark/>
          </w:tcPr>
          <w:p w14:paraId="27A11B22" w14:textId="77777777" w:rsidR="006D123E" w:rsidRPr="00261B7A" w:rsidRDefault="006D123E" w:rsidP="009C63CA">
            <w:pPr>
              <w:pStyle w:val="Tableboldblue"/>
              <w:jc w:val="center"/>
            </w:pPr>
            <w:r w:rsidRPr="00261B7A">
              <w:t>153.6</w:t>
            </w:r>
          </w:p>
        </w:tc>
      </w:tr>
    </w:tbl>
    <w:p w14:paraId="4D76AC08" w14:textId="77777777" w:rsidR="006D123E" w:rsidRPr="00261B7A" w:rsidRDefault="006D123E" w:rsidP="006D123E">
      <w:pPr>
        <w:pStyle w:val="Noteundertable"/>
        <w:rPr>
          <w:rFonts w:cs="Arial"/>
          <w:color w:val="000000"/>
          <w:szCs w:val="18"/>
        </w:rPr>
      </w:pPr>
      <w:r w:rsidRPr="00261B7A">
        <w:rPr>
          <w:b/>
        </w:rPr>
        <w:t>Note</w:t>
      </w:r>
      <w:r w:rsidRPr="00261B7A">
        <w:t xml:space="preserve">: </w:t>
      </w:r>
      <w:r w:rsidRPr="00261B7A">
        <w:tab/>
      </w:r>
      <w:r w:rsidRPr="00261B7A">
        <w:rPr>
          <w:rFonts w:cs="Arial"/>
          <w:color w:val="000000"/>
          <w:szCs w:val="18"/>
        </w:rPr>
        <w:t xml:space="preserve">Columns may not total due to rounding. </w:t>
      </w:r>
    </w:p>
    <w:p w14:paraId="5CB2A00C" w14:textId="77777777" w:rsidR="006D123E" w:rsidRPr="00261B7A" w:rsidRDefault="006D123E" w:rsidP="006D123E">
      <w:pPr>
        <w:pStyle w:val="Heading4"/>
        <w:spacing w:before="200"/>
      </w:pPr>
      <w:r w:rsidRPr="00261B7A">
        <w:t>Nitrous oxide emissions from nitrogen mineralisation and immobilisation associated with land use conversions and management in mineral soils (CRF 4(KP-II)3)</w:t>
      </w:r>
    </w:p>
    <w:p w14:paraId="4BB2D0D6" w14:textId="77777777" w:rsidR="006D123E" w:rsidRPr="00261B7A" w:rsidRDefault="006D123E" w:rsidP="006D123E">
      <w:pPr>
        <w:pStyle w:val="BodyText"/>
        <w:spacing w:before="60" w:after="100"/>
        <w:rPr>
          <w:iCs/>
        </w:rPr>
      </w:pPr>
      <w:r w:rsidRPr="00261B7A">
        <w:t xml:space="preserve">Nitrous oxide emissions, resulting from nitrogen mineralisation and immobilisation associated with land conversion, are reported for </w:t>
      </w:r>
      <w:r w:rsidRPr="00261B7A">
        <w:rPr>
          <w:i/>
        </w:rPr>
        <w:t>Afforestation and reforestation</w:t>
      </w:r>
      <w:r w:rsidRPr="00261B7A">
        <w:t xml:space="preserve">, </w:t>
      </w:r>
      <w:r w:rsidRPr="00261B7A">
        <w:rPr>
          <w:i/>
        </w:rPr>
        <w:t>Deforestation</w:t>
      </w:r>
      <w:r w:rsidRPr="00261B7A">
        <w:t xml:space="preserve"> and </w:t>
      </w:r>
      <w:r w:rsidRPr="00261B7A">
        <w:rPr>
          <w:i/>
        </w:rPr>
        <w:t>Forest management</w:t>
      </w:r>
      <w:r w:rsidRPr="00261B7A">
        <w:t>. These are calculated following the IPCC Guidelines (IPCC, 2006a). Total emissions for these three activities are 0.2 kt N</w:t>
      </w:r>
      <w:r w:rsidRPr="00261B7A">
        <w:rPr>
          <w:vertAlign w:val="subscript"/>
        </w:rPr>
        <w:t>2</w:t>
      </w:r>
      <w:r w:rsidRPr="00261B7A">
        <w:t xml:space="preserve">O. </w:t>
      </w:r>
      <w:r w:rsidRPr="00261B7A">
        <w:rPr>
          <w:iCs/>
        </w:rPr>
        <w:t>The emissions occurring under each activity are reported in table 11.3.7.</w:t>
      </w:r>
    </w:p>
    <w:p w14:paraId="260291D6" w14:textId="77777777" w:rsidR="006D123E" w:rsidRPr="00261B7A" w:rsidRDefault="006D123E" w:rsidP="006D123E">
      <w:pPr>
        <w:pStyle w:val="Table"/>
      </w:pPr>
      <w:bookmarkStart w:id="3071" w:name="_Toc95321544"/>
      <w:bookmarkStart w:id="3072" w:name="_Toc130568412"/>
      <w:bookmarkStart w:id="3073" w:name="_Toc131591505"/>
      <w:r w:rsidRPr="00261B7A">
        <w:t>Table 11.3.7</w:t>
      </w:r>
      <w:r w:rsidRPr="00261B7A">
        <w:tab/>
        <w:t>Nitrous oxide emissions from nitrogen mineralisation and immobilisation soils in 2021 by activity</w:t>
      </w:r>
      <w:bookmarkEnd w:id="3071"/>
      <w:bookmarkEnd w:id="3072"/>
      <w:bookmarkEnd w:id="3073"/>
      <w:r w:rsidRPr="00261B7A">
        <w:t xml:space="preserve"> </w:t>
      </w:r>
    </w:p>
    <w:tbl>
      <w:tblPr>
        <w:tblW w:w="8505"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2871"/>
        <w:gridCol w:w="2817"/>
        <w:gridCol w:w="2817"/>
      </w:tblGrid>
      <w:tr w:rsidR="006D123E" w:rsidRPr="00261B7A" w14:paraId="0DCE02F0" w14:textId="77777777" w:rsidTr="009C63CA">
        <w:tc>
          <w:tcPr>
            <w:tcW w:w="2830" w:type="dxa"/>
            <w:shd w:val="clear" w:color="auto" w:fill="1B556B"/>
            <w:noWrap/>
            <w:vAlign w:val="center"/>
            <w:hideMark/>
          </w:tcPr>
          <w:p w14:paraId="4BA18E64" w14:textId="77777777" w:rsidR="006D123E" w:rsidRPr="00261B7A" w:rsidRDefault="006D123E" w:rsidP="009C63CA">
            <w:pPr>
              <w:pStyle w:val="TableTextBold"/>
              <w:spacing w:before="40" w:after="40"/>
              <w:rPr>
                <w:noProof w:val="0"/>
                <w:color w:val="FFFFFF"/>
              </w:rPr>
            </w:pPr>
            <w:r w:rsidRPr="00261B7A">
              <w:rPr>
                <w:noProof w:val="0"/>
                <w:color w:val="FFFFFF"/>
              </w:rPr>
              <w:t>Activity</w:t>
            </w:r>
          </w:p>
        </w:tc>
        <w:tc>
          <w:tcPr>
            <w:tcW w:w="2778" w:type="dxa"/>
            <w:shd w:val="clear" w:color="auto" w:fill="1B556B"/>
            <w:noWrap/>
            <w:vAlign w:val="center"/>
            <w:hideMark/>
          </w:tcPr>
          <w:p w14:paraId="0FE06F64" w14:textId="77777777" w:rsidR="006D123E" w:rsidRPr="00261B7A" w:rsidRDefault="006D123E" w:rsidP="009C63CA">
            <w:pPr>
              <w:pStyle w:val="TableTextBold"/>
              <w:spacing w:before="40" w:after="40"/>
              <w:jc w:val="center"/>
              <w:rPr>
                <w:noProof w:val="0"/>
                <w:color w:val="FFFFFF"/>
              </w:rPr>
            </w:pPr>
            <w:r w:rsidRPr="00261B7A">
              <w:rPr>
                <w:noProof w:val="0"/>
                <w:color w:val="FFFFFF"/>
              </w:rPr>
              <w:t>Emissions (kt N</w:t>
            </w:r>
            <w:r w:rsidRPr="00261B7A">
              <w:rPr>
                <w:noProof w:val="0"/>
                <w:color w:val="FFFFFF"/>
                <w:vertAlign w:val="subscript"/>
              </w:rPr>
              <w:t>2</w:t>
            </w:r>
            <w:r w:rsidRPr="00261B7A">
              <w:rPr>
                <w:noProof w:val="0"/>
                <w:color w:val="FFFFFF"/>
              </w:rPr>
              <w:t>O)</w:t>
            </w:r>
          </w:p>
        </w:tc>
        <w:tc>
          <w:tcPr>
            <w:tcW w:w="2778" w:type="dxa"/>
            <w:shd w:val="clear" w:color="auto" w:fill="1B556B"/>
            <w:noWrap/>
            <w:vAlign w:val="center"/>
            <w:hideMark/>
          </w:tcPr>
          <w:p w14:paraId="301E19BC" w14:textId="77777777" w:rsidR="006D123E" w:rsidRPr="00261B7A" w:rsidRDefault="006D123E" w:rsidP="009C63CA">
            <w:pPr>
              <w:pStyle w:val="TableTextBold"/>
              <w:spacing w:before="40" w:after="40"/>
              <w:jc w:val="center"/>
              <w:rPr>
                <w:noProof w:val="0"/>
                <w:color w:val="FFFFFF"/>
              </w:rPr>
            </w:pPr>
            <w:r w:rsidRPr="00261B7A">
              <w:rPr>
                <w:noProof w:val="0"/>
                <w:color w:val="FFFFFF"/>
              </w:rPr>
              <w:t>Emissions (kt CO</w:t>
            </w:r>
            <w:r w:rsidRPr="00261B7A">
              <w:rPr>
                <w:noProof w:val="0"/>
                <w:color w:val="FFFFFF"/>
                <w:vertAlign w:val="subscript"/>
              </w:rPr>
              <w:t>2</w:t>
            </w:r>
            <w:r w:rsidRPr="00261B7A">
              <w:rPr>
                <w:noProof w:val="0"/>
                <w:color w:val="FFFFFF"/>
              </w:rPr>
              <w:t>-e)</w:t>
            </w:r>
          </w:p>
        </w:tc>
      </w:tr>
      <w:tr w:rsidR="006D123E" w:rsidRPr="00261B7A" w14:paraId="3373CF16" w14:textId="77777777" w:rsidTr="009C63CA">
        <w:tc>
          <w:tcPr>
            <w:tcW w:w="2830" w:type="dxa"/>
            <w:shd w:val="clear" w:color="auto" w:fill="auto"/>
            <w:noWrap/>
            <w:vAlign w:val="center"/>
            <w:hideMark/>
          </w:tcPr>
          <w:p w14:paraId="33536929" w14:textId="77777777" w:rsidR="006D123E" w:rsidRPr="00261B7A" w:rsidRDefault="006D123E" w:rsidP="009C63CA">
            <w:pPr>
              <w:pStyle w:val="TableText"/>
              <w:spacing w:before="40" w:after="40"/>
            </w:pPr>
            <w:r w:rsidRPr="00261B7A">
              <w:t xml:space="preserve">Afforestation and reforestation </w:t>
            </w:r>
          </w:p>
        </w:tc>
        <w:tc>
          <w:tcPr>
            <w:tcW w:w="2778" w:type="dxa"/>
            <w:shd w:val="clear" w:color="auto" w:fill="auto"/>
            <w:noWrap/>
            <w:hideMark/>
          </w:tcPr>
          <w:p w14:paraId="21F617AC" w14:textId="77777777" w:rsidR="006D123E" w:rsidRPr="00261B7A" w:rsidRDefault="006D123E" w:rsidP="009C63CA">
            <w:pPr>
              <w:pStyle w:val="TableText"/>
              <w:spacing w:before="40" w:after="40"/>
              <w:jc w:val="center"/>
            </w:pPr>
            <w:r w:rsidRPr="00261B7A">
              <w:t>0.2</w:t>
            </w:r>
          </w:p>
        </w:tc>
        <w:tc>
          <w:tcPr>
            <w:tcW w:w="2778" w:type="dxa"/>
            <w:shd w:val="clear" w:color="auto" w:fill="auto"/>
            <w:noWrap/>
            <w:hideMark/>
          </w:tcPr>
          <w:p w14:paraId="78F6E9C9" w14:textId="77777777" w:rsidR="006D123E" w:rsidRPr="00261B7A" w:rsidRDefault="006D123E" w:rsidP="009C63CA">
            <w:pPr>
              <w:pStyle w:val="TableText"/>
              <w:spacing w:before="40" w:after="40"/>
              <w:jc w:val="center"/>
            </w:pPr>
            <w:r w:rsidRPr="00261B7A">
              <w:t>49.0</w:t>
            </w:r>
          </w:p>
        </w:tc>
      </w:tr>
      <w:tr w:rsidR="006D123E" w:rsidRPr="00261B7A" w14:paraId="728A2C7A" w14:textId="77777777" w:rsidTr="009C63CA">
        <w:tc>
          <w:tcPr>
            <w:tcW w:w="2830" w:type="dxa"/>
            <w:shd w:val="clear" w:color="auto" w:fill="auto"/>
            <w:noWrap/>
            <w:vAlign w:val="center"/>
            <w:hideMark/>
          </w:tcPr>
          <w:p w14:paraId="7CDC5DA0" w14:textId="77777777" w:rsidR="006D123E" w:rsidRPr="00261B7A" w:rsidRDefault="006D123E" w:rsidP="009C63CA">
            <w:pPr>
              <w:pStyle w:val="TableText"/>
              <w:spacing w:before="40" w:after="40"/>
            </w:pPr>
            <w:r w:rsidRPr="00261B7A">
              <w:t xml:space="preserve">Deforestation </w:t>
            </w:r>
          </w:p>
        </w:tc>
        <w:tc>
          <w:tcPr>
            <w:tcW w:w="2778" w:type="dxa"/>
            <w:shd w:val="clear" w:color="auto" w:fill="auto"/>
            <w:noWrap/>
            <w:hideMark/>
          </w:tcPr>
          <w:p w14:paraId="2D00ACC6" w14:textId="77777777" w:rsidR="006D123E" w:rsidRPr="00261B7A" w:rsidRDefault="006D123E" w:rsidP="009C63CA">
            <w:pPr>
              <w:pStyle w:val="TableText"/>
              <w:spacing w:before="40" w:after="40"/>
              <w:jc w:val="center"/>
            </w:pPr>
            <w:r w:rsidRPr="00261B7A">
              <w:t>0.0</w:t>
            </w:r>
          </w:p>
        </w:tc>
        <w:tc>
          <w:tcPr>
            <w:tcW w:w="2778" w:type="dxa"/>
            <w:shd w:val="clear" w:color="auto" w:fill="auto"/>
            <w:noWrap/>
            <w:hideMark/>
          </w:tcPr>
          <w:p w14:paraId="0DF10645" w14:textId="77777777" w:rsidR="006D123E" w:rsidRPr="00261B7A" w:rsidRDefault="006D123E" w:rsidP="009C63CA">
            <w:pPr>
              <w:pStyle w:val="TableText"/>
              <w:spacing w:before="40" w:after="40"/>
              <w:jc w:val="center"/>
            </w:pPr>
            <w:r w:rsidRPr="00261B7A">
              <w:t>1.7</w:t>
            </w:r>
          </w:p>
        </w:tc>
      </w:tr>
      <w:tr w:rsidR="006D123E" w:rsidRPr="00261B7A" w14:paraId="61EB5CA9" w14:textId="77777777" w:rsidTr="009C63CA">
        <w:tc>
          <w:tcPr>
            <w:tcW w:w="2830" w:type="dxa"/>
            <w:shd w:val="clear" w:color="auto" w:fill="auto"/>
            <w:noWrap/>
            <w:vAlign w:val="center"/>
            <w:hideMark/>
          </w:tcPr>
          <w:p w14:paraId="39D932FD" w14:textId="77777777" w:rsidR="006D123E" w:rsidRPr="00261B7A" w:rsidRDefault="006D123E" w:rsidP="009C63CA">
            <w:pPr>
              <w:pStyle w:val="TableText"/>
              <w:spacing w:before="40" w:after="40"/>
            </w:pPr>
            <w:r w:rsidRPr="00261B7A">
              <w:t xml:space="preserve">Forest management </w:t>
            </w:r>
          </w:p>
        </w:tc>
        <w:tc>
          <w:tcPr>
            <w:tcW w:w="2778" w:type="dxa"/>
            <w:shd w:val="clear" w:color="auto" w:fill="auto"/>
            <w:noWrap/>
            <w:hideMark/>
          </w:tcPr>
          <w:p w14:paraId="5C85F8B0" w14:textId="77777777" w:rsidR="006D123E" w:rsidRPr="00261B7A" w:rsidRDefault="006D123E" w:rsidP="009C63CA">
            <w:pPr>
              <w:pStyle w:val="TableText"/>
              <w:spacing w:before="40" w:after="40"/>
              <w:jc w:val="center"/>
            </w:pPr>
            <w:r w:rsidRPr="00261B7A">
              <w:t>0.0</w:t>
            </w:r>
          </w:p>
        </w:tc>
        <w:tc>
          <w:tcPr>
            <w:tcW w:w="2778" w:type="dxa"/>
            <w:shd w:val="clear" w:color="auto" w:fill="auto"/>
            <w:noWrap/>
            <w:hideMark/>
          </w:tcPr>
          <w:p w14:paraId="1AA25D8B" w14:textId="77777777" w:rsidR="006D123E" w:rsidRPr="00261B7A" w:rsidRDefault="006D123E" w:rsidP="009C63CA">
            <w:pPr>
              <w:pStyle w:val="TableText"/>
              <w:spacing w:before="40" w:after="40"/>
              <w:jc w:val="center"/>
            </w:pPr>
            <w:r w:rsidRPr="00261B7A">
              <w:t>0.0</w:t>
            </w:r>
          </w:p>
        </w:tc>
      </w:tr>
      <w:tr w:rsidR="006D123E" w:rsidRPr="00261B7A" w14:paraId="3CA8D68C" w14:textId="77777777" w:rsidTr="009C63CA">
        <w:tc>
          <w:tcPr>
            <w:tcW w:w="2830" w:type="dxa"/>
            <w:shd w:val="clear" w:color="auto" w:fill="auto"/>
            <w:noWrap/>
            <w:vAlign w:val="center"/>
            <w:hideMark/>
          </w:tcPr>
          <w:p w14:paraId="1D4E9DF5" w14:textId="77777777" w:rsidR="006D123E" w:rsidRPr="00261B7A" w:rsidRDefault="006D123E" w:rsidP="009C63CA">
            <w:pPr>
              <w:pStyle w:val="Tableboldblue"/>
              <w:spacing w:before="40" w:after="40"/>
            </w:pPr>
            <w:r w:rsidRPr="00261B7A">
              <w:t>Total</w:t>
            </w:r>
          </w:p>
        </w:tc>
        <w:tc>
          <w:tcPr>
            <w:tcW w:w="2778" w:type="dxa"/>
            <w:shd w:val="clear" w:color="auto" w:fill="auto"/>
            <w:noWrap/>
            <w:hideMark/>
          </w:tcPr>
          <w:p w14:paraId="6C0E7C52" w14:textId="77777777" w:rsidR="006D123E" w:rsidRPr="00261B7A" w:rsidRDefault="006D123E" w:rsidP="009C63CA">
            <w:pPr>
              <w:pStyle w:val="Tableboldblue"/>
              <w:spacing w:before="40" w:after="40"/>
              <w:jc w:val="center"/>
            </w:pPr>
            <w:r w:rsidRPr="00261B7A">
              <w:t>0.2</w:t>
            </w:r>
          </w:p>
        </w:tc>
        <w:tc>
          <w:tcPr>
            <w:tcW w:w="2778" w:type="dxa"/>
            <w:shd w:val="clear" w:color="auto" w:fill="auto"/>
            <w:noWrap/>
            <w:hideMark/>
          </w:tcPr>
          <w:p w14:paraId="02C43819" w14:textId="77777777" w:rsidR="006D123E" w:rsidRPr="00261B7A" w:rsidRDefault="006D123E" w:rsidP="009C63CA">
            <w:pPr>
              <w:pStyle w:val="Tableboldblue"/>
              <w:spacing w:before="40" w:after="40"/>
              <w:jc w:val="center"/>
            </w:pPr>
            <w:r w:rsidRPr="00261B7A">
              <w:t>50.7</w:t>
            </w:r>
          </w:p>
        </w:tc>
      </w:tr>
    </w:tbl>
    <w:p w14:paraId="343B8CEF" w14:textId="77777777" w:rsidR="006D123E" w:rsidRPr="00261B7A" w:rsidRDefault="006D123E" w:rsidP="006D123E">
      <w:pPr>
        <w:pStyle w:val="Noteundertable"/>
        <w:rPr>
          <w:rFonts w:cs="Arial"/>
          <w:color w:val="000000"/>
          <w:szCs w:val="18"/>
        </w:rPr>
      </w:pPr>
      <w:r w:rsidRPr="00261B7A">
        <w:rPr>
          <w:b/>
        </w:rPr>
        <w:t>Note</w:t>
      </w:r>
      <w:r w:rsidRPr="00261B7A">
        <w:t xml:space="preserve">: </w:t>
      </w:r>
      <w:r w:rsidRPr="00261B7A">
        <w:tab/>
      </w:r>
      <w:r w:rsidRPr="00261B7A">
        <w:rPr>
          <w:rFonts w:cs="Arial"/>
          <w:color w:val="000000"/>
          <w:szCs w:val="18"/>
        </w:rPr>
        <w:t xml:space="preserve">Columns may not total due to rounding. </w:t>
      </w:r>
    </w:p>
    <w:p w14:paraId="6B9A6FA8" w14:textId="77777777" w:rsidR="006D123E" w:rsidRPr="00261B7A" w:rsidRDefault="006D123E" w:rsidP="00B35E9E">
      <w:pPr>
        <w:pStyle w:val="BodyText"/>
      </w:pPr>
      <w:r w:rsidRPr="00261B7A">
        <w:t xml:space="preserve">Emissions associated with </w:t>
      </w:r>
      <w:r w:rsidRPr="00261B7A">
        <w:rPr>
          <w:i/>
        </w:rPr>
        <w:t>Indirect N</w:t>
      </w:r>
      <w:r w:rsidRPr="00261B7A">
        <w:rPr>
          <w:i/>
          <w:vertAlign w:val="subscript"/>
        </w:rPr>
        <w:t>2</w:t>
      </w:r>
      <w:r w:rsidRPr="00261B7A">
        <w:rPr>
          <w:i/>
        </w:rPr>
        <w:t>O emissions from managed soils</w:t>
      </w:r>
      <w:r w:rsidRPr="00261B7A">
        <w:t xml:space="preserve"> are also reported under the Agriculture sector. New Zealand reports IE in the relevant CRF tables.</w:t>
      </w:r>
    </w:p>
    <w:p w14:paraId="1EBA8123" w14:textId="77777777" w:rsidR="006D123E" w:rsidRPr="00261B7A" w:rsidRDefault="006D123E" w:rsidP="00B35E9E">
      <w:pPr>
        <w:pStyle w:val="Heading4"/>
      </w:pPr>
      <w:r w:rsidRPr="00261B7A">
        <w:t>Biomass burning (CRF 4(KP-II)4)</w:t>
      </w:r>
    </w:p>
    <w:p w14:paraId="73F8CDFD" w14:textId="77777777" w:rsidR="006D123E" w:rsidRPr="00261B7A" w:rsidRDefault="006D123E" w:rsidP="006D123E">
      <w:pPr>
        <w:pStyle w:val="Heading5"/>
        <w:spacing w:before="160"/>
      </w:pPr>
      <w:r w:rsidRPr="00261B7A">
        <w:t>Afforestation and reforestation</w:t>
      </w:r>
    </w:p>
    <w:p w14:paraId="2B035E8B" w14:textId="77777777" w:rsidR="006D123E" w:rsidRPr="00261B7A" w:rsidRDefault="006D123E" w:rsidP="00B35E9E">
      <w:pPr>
        <w:pStyle w:val="BodyText"/>
        <w:rPr>
          <w:spacing w:val="-2"/>
        </w:rPr>
      </w:pPr>
      <w:r w:rsidRPr="00261B7A">
        <w:rPr>
          <w:spacing w:val="-2"/>
        </w:rPr>
        <w:t>Non-carbon dioxide (non-</w:t>
      </w:r>
      <w:r w:rsidRPr="00261B7A">
        <w:t>CO</w:t>
      </w:r>
      <w:r w:rsidRPr="00261B7A">
        <w:rPr>
          <w:vertAlign w:val="subscript"/>
        </w:rPr>
        <w:t>2</w:t>
      </w:r>
      <w:r w:rsidRPr="00261B7A">
        <w:t>)</w:t>
      </w:r>
      <w:r w:rsidRPr="00261B7A">
        <w:rPr>
          <w:vertAlign w:val="subscript"/>
        </w:rPr>
        <w:t xml:space="preserve"> </w:t>
      </w:r>
      <w:r w:rsidRPr="00261B7A">
        <w:rPr>
          <w:spacing w:val="-2"/>
        </w:rPr>
        <w:t xml:space="preserve">emissions resulting from wildfire are attributed to </w:t>
      </w:r>
      <w:r w:rsidRPr="00261B7A">
        <w:rPr>
          <w:i/>
          <w:spacing w:val="-2"/>
        </w:rPr>
        <w:t>Afforestation and reforestation</w:t>
      </w:r>
      <w:r w:rsidRPr="00261B7A">
        <w:rPr>
          <w:spacing w:val="-2"/>
        </w:rPr>
        <w:t xml:space="preserve"> by the proportion of the total planted forest area that these forests make up. An age-based carbon yield table is then used to estimate non-CO</w:t>
      </w:r>
      <w:r w:rsidRPr="00261B7A">
        <w:rPr>
          <w:spacing w:val="-2"/>
          <w:vertAlign w:val="subscript"/>
        </w:rPr>
        <w:t>2</w:t>
      </w:r>
      <w:r w:rsidRPr="00261B7A">
        <w:rPr>
          <w:spacing w:val="-2"/>
        </w:rPr>
        <w:t xml:space="preserve"> emissions for </w:t>
      </w:r>
      <w:r w:rsidRPr="00261B7A">
        <w:rPr>
          <w:i/>
          <w:spacing w:val="-2"/>
        </w:rPr>
        <w:t>Afforestation and reforestation</w:t>
      </w:r>
      <w:r w:rsidRPr="00261B7A">
        <w:rPr>
          <w:spacing w:val="-2"/>
        </w:rPr>
        <w:t xml:space="preserve"> land. This approach assumes that the carbon stock affected by wildfire is equivalent to the carbon stock at the average stand age each year throughout the time series (Wakelin, unpublished(a)). Carbon dioxide emissions resulting from wildfire events are reported as IE in the CRF tables because these are assumed to be captured in the harvest emissions of salvage logged stands.</w:t>
      </w:r>
    </w:p>
    <w:p w14:paraId="3B4EC93F" w14:textId="77777777" w:rsidR="006D123E" w:rsidRPr="00261B7A" w:rsidRDefault="006D123E" w:rsidP="00B35E9E">
      <w:pPr>
        <w:pStyle w:val="BodyText"/>
      </w:pPr>
      <w:r w:rsidRPr="00261B7A">
        <w:t xml:space="preserve">A survey of controlled burning activities in planted forests was carried out in 2011. The survey indicated that, on average, 5 per cent of conversions to planted forest between 1990 and 2011 involved burning to clear vegetation. This area is allocated to </w:t>
      </w:r>
      <w:r w:rsidRPr="00261B7A">
        <w:rPr>
          <w:i/>
        </w:rPr>
        <w:t>Forest management</w:t>
      </w:r>
      <w:r w:rsidRPr="00261B7A">
        <w:t xml:space="preserve"> (land converted from natural forest) and </w:t>
      </w:r>
      <w:r w:rsidRPr="00261B7A">
        <w:rPr>
          <w:i/>
        </w:rPr>
        <w:t>Afforestation</w:t>
      </w:r>
      <w:r w:rsidRPr="00261B7A">
        <w:t xml:space="preserve"> (land converted from grassland with woody biomass) on a pro rata basis (Wakelin, unpublished(b)).</w:t>
      </w:r>
    </w:p>
    <w:p w14:paraId="588B4C0E" w14:textId="77777777" w:rsidR="006D123E" w:rsidRPr="00261B7A" w:rsidRDefault="006D123E" w:rsidP="00B35E9E">
      <w:pPr>
        <w:pStyle w:val="BodyText"/>
      </w:pPr>
      <w:r w:rsidRPr="00261B7A">
        <w:t xml:space="preserve">It is currently assumed that controlled burning of post-harvest residues before replanting on </w:t>
      </w:r>
      <w:r w:rsidRPr="00261B7A">
        <w:rPr>
          <w:i/>
        </w:rPr>
        <w:t>Afforestation</w:t>
      </w:r>
      <w:r w:rsidRPr="00261B7A">
        <w:t xml:space="preserve"> land does not occur due to the nature of harvest in short-rotation forest grown for pulp (where most biomass is removed from the site).</w:t>
      </w:r>
    </w:p>
    <w:p w14:paraId="72F18A94" w14:textId="77777777" w:rsidR="006D123E" w:rsidRPr="00261B7A" w:rsidRDefault="006D123E" w:rsidP="00B35E9E">
      <w:pPr>
        <w:pStyle w:val="Heading5"/>
      </w:pPr>
      <w:bookmarkStart w:id="3074" w:name="_Toc261513291"/>
      <w:bookmarkStart w:id="3075" w:name="_Toc261513904"/>
      <w:bookmarkStart w:id="3076" w:name="_Toc280630394"/>
      <w:r w:rsidRPr="00261B7A">
        <w:t>Deforestation</w:t>
      </w:r>
    </w:p>
    <w:p w14:paraId="375E3345" w14:textId="77777777" w:rsidR="006D123E" w:rsidRPr="00261B7A" w:rsidRDefault="006D123E" w:rsidP="006D123E">
      <w:pPr>
        <w:pStyle w:val="BodyText"/>
        <w:spacing w:before="100" w:after="100"/>
        <w:rPr>
          <w:spacing w:val="-2"/>
        </w:rPr>
      </w:pPr>
      <w:r w:rsidRPr="00261B7A">
        <w:t xml:space="preserve">An estimate is provided for controlled burning of post-harvest slash associated with </w:t>
      </w:r>
      <w:r w:rsidRPr="00261B7A">
        <w:rPr>
          <w:i/>
        </w:rPr>
        <w:t>Deforestation</w:t>
      </w:r>
      <w:r w:rsidRPr="00261B7A">
        <w:rPr>
          <w:spacing w:val="-2"/>
        </w:rPr>
        <w:t xml:space="preserve">. No information is available on the extent of burning associated with </w:t>
      </w:r>
      <w:r w:rsidRPr="00261B7A">
        <w:rPr>
          <w:i/>
          <w:spacing w:val="-2"/>
        </w:rPr>
        <w:t>Deforestation</w:t>
      </w:r>
      <w:r w:rsidRPr="00261B7A">
        <w:rPr>
          <w:spacing w:val="-2"/>
        </w:rPr>
        <w:t xml:space="preserve"> in New Zealand. Therefore, it is assumed that 30 per cent of conversions involve burning. This percentage is chosen as a conservative proportion of one of the four main methods for disposing of residues in New Zealand. The other methods for residue disposal are chipping and removal, mulching into the soil and leaving to decay (Goulding, unpublished). To estimate emissions from the burning of harvest residue, the IPCC default combustion proportion for non-eucalypt temperate forest (0.62) is applied to an emission factor derived from the national plot network (table 2.6, IPCC, 2006a). The emission factor excludes the proportion of logs taken offsite (70 per cent of above-ground biomass) and is taken from the relevant yield tables at the average age of harvest in New Zealand.</w:t>
      </w:r>
    </w:p>
    <w:p w14:paraId="33E1C04C" w14:textId="77777777" w:rsidR="006D123E" w:rsidRPr="00261B7A" w:rsidRDefault="006D123E" w:rsidP="006D123E">
      <w:pPr>
        <w:pStyle w:val="BodyText"/>
        <w:spacing w:before="100" w:after="100"/>
      </w:pPr>
      <w:r w:rsidRPr="00261B7A">
        <w:t>Estimates are provided for wildfire on deforested land (</w:t>
      </w:r>
      <w:r w:rsidRPr="00261B7A">
        <w:rPr>
          <w:i/>
        </w:rPr>
        <w:t>Forest land converted to grassland</w:t>
      </w:r>
      <w:r w:rsidRPr="00261B7A">
        <w:t>) in the Inventory. The activity data do not identify deforested land; therefore, non-CO</w:t>
      </w:r>
      <w:r w:rsidRPr="00261B7A">
        <w:rPr>
          <w:vertAlign w:val="subscript"/>
        </w:rPr>
        <w:t>2</w:t>
      </w:r>
      <w:r w:rsidRPr="00261B7A">
        <w:t xml:space="preserve"> emissions resulting from wildfire are attributed to deforested land by the proportion of area that deforested land makes up of the total </w:t>
      </w:r>
      <w:r w:rsidRPr="00261B7A">
        <w:rPr>
          <w:i/>
        </w:rPr>
        <w:t>Grassland</w:t>
      </w:r>
      <w:r w:rsidRPr="00261B7A">
        <w:t xml:space="preserve"> area. The methodology follows that described in chapter 6, section 6.10.8. Around 1 per cent of wildfire emissions in </w:t>
      </w:r>
      <w:r w:rsidRPr="00261B7A">
        <w:rPr>
          <w:i/>
        </w:rPr>
        <w:t>Grassland</w:t>
      </w:r>
      <w:r w:rsidRPr="00261B7A">
        <w:t xml:space="preserve"> are estimated to have occurred on deforested land between 2008 and 2021.</w:t>
      </w:r>
    </w:p>
    <w:p w14:paraId="769B0277" w14:textId="77777777" w:rsidR="006D123E" w:rsidRPr="00261B7A" w:rsidRDefault="006D123E" w:rsidP="006D123E">
      <w:pPr>
        <w:pStyle w:val="Heading5"/>
        <w:spacing w:before="200"/>
      </w:pPr>
      <w:r w:rsidRPr="00261B7A">
        <w:t>Forest management</w:t>
      </w:r>
    </w:p>
    <w:p w14:paraId="33BA8DC9" w14:textId="77777777" w:rsidR="006D123E" w:rsidRPr="00261B7A" w:rsidRDefault="006D123E" w:rsidP="006D123E">
      <w:pPr>
        <w:pStyle w:val="BodyText"/>
        <w:spacing w:before="100" w:after="100"/>
      </w:pPr>
      <w:r w:rsidRPr="00261B7A">
        <w:t>Non-CO</w:t>
      </w:r>
      <w:r w:rsidRPr="00261B7A">
        <w:rPr>
          <w:vertAlign w:val="subscript"/>
        </w:rPr>
        <w:t>2</w:t>
      </w:r>
      <w:r w:rsidRPr="00261B7A">
        <w:t xml:space="preserve"> emissions from wildfires in pre-1990 forest land are reported under </w:t>
      </w:r>
      <w:r w:rsidRPr="00261B7A">
        <w:rPr>
          <w:i/>
        </w:rPr>
        <w:t>Forest management</w:t>
      </w:r>
      <w:r w:rsidRPr="00261B7A">
        <w:t>. A plot-network-derived biomass density is used to estimate non-CO</w:t>
      </w:r>
      <w:r w:rsidRPr="00261B7A">
        <w:rPr>
          <w:vertAlign w:val="subscript"/>
        </w:rPr>
        <w:t>2</w:t>
      </w:r>
      <w:r w:rsidRPr="00261B7A">
        <w:t xml:space="preserve"> emissions from wildfire on </w:t>
      </w:r>
      <w:r w:rsidRPr="00261B7A">
        <w:rPr>
          <w:i/>
        </w:rPr>
        <w:t>Forest management</w:t>
      </w:r>
      <w:r w:rsidRPr="00261B7A">
        <w:t xml:space="preserve"> land. Aggregated wildfire activity data are attributed to each forest management category by proportion of forest type estimated to be burned over the time series. The split attributes 87.5 per cent to planted forest and the remaining to natural forest (Wakelin, unpublished(a)). The planted forest activity data are further split into pre-1990 and post-1989 forest (see ‘Afforestation and reforestation’ above). In planted forest, it is assumed that the carbon stock affected by wildfire is equivalent to the carbon stock at the average stand age in each category (Wakelin, unpublished(a)). </w:t>
      </w:r>
    </w:p>
    <w:p w14:paraId="16DE29EB" w14:textId="77777777" w:rsidR="006D123E" w:rsidRPr="00261B7A" w:rsidRDefault="006D123E" w:rsidP="006D123E">
      <w:pPr>
        <w:pStyle w:val="BodyText"/>
        <w:spacing w:before="100" w:after="100"/>
      </w:pPr>
      <w:r w:rsidRPr="00261B7A">
        <w:t>A survey of controlled burning in planted forest was carried out in 2011 (Wakelin, unpublished(b)). Estimates were provided for burning associated with the clearing of vegetation (i.e., natural forest and grassland with woody biomass) before the establishment of exotic planted forest (see ‘Afforestation and reforestation’ above).</w:t>
      </w:r>
    </w:p>
    <w:p w14:paraId="63FAE44D" w14:textId="77777777" w:rsidR="006D123E" w:rsidRPr="00261B7A" w:rsidRDefault="006D123E" w:rsidP="006D123E">
      <w:pPr>
        <w:pStyle w:val="BodyText"/>
        <w:spacing w:before="100" w:after="100"/>
      </w:pPr>
      <w:r w:rsidRPr="00261B7A">
        <w:t>The survey also provided data on the burning of post-harvest slash before restocking. This activity was found to occur mainly as a training exercise for wildfire control or for the clearing of slash heaps on skid sites. The data indicated that 0.8 per cent of the restocked area was burned annually in recent years (Wakelin, unpublished(b)). This estimate was combined with two earlier estimates of controlled burning in planted forest (Forest Industry Training and Education Council, 2005; Robertson, 1998) to provide activity data throughout the time series. It is assumed that 1.6 per cent of restocked area was burned from 1990 to 1997 (Wakelin, unpublished(b)). From 1997, the area burned declines linearly to 0.8 per cent, which is used from 2005 onwards (Wakelin, unpublished(b)).</w:t>
      </w:r>
    </w:p>
    <w:p w14:paraId="2B154633" w14:textId="77777777" w:rsidR="006D123E" w:rsidRPr="00261B7A" w:rsidRDefault="006D123E" w:rsidP="006D123E">
      <w:pPr>
        <w:pStyle w:val="BodyText"/>
        <w:spacing w:before="100" w:after="100"/>
      </w:pPr>
      <w:r w:rsidRPr="00261B7A">
        <w:t xml:space="preserve">A more detailed description of </w:t>
      </w:r>
      <w:r w:rsidRPr="00261B7A">
        <w:rPr>
          <w:i/>
        </w:rPr>
        <w:t>Biomass burning</w:t>
      </w:r>
      <w:r w:rsidRPr="00261B7A">
        <w:t xml:space="preserve"> on </w:t>
      </w:r>
      <w:r w:rsidRPr="00261B7A">
        <w:rPr>
          <w:i/>
        </w:rPr>
        <w:t>Forest land</w:t>
      </w:r>
      <w:r w:rsidRPr="00261B7A">
        <w:t xml:space="preserve"> is provided in chapter 6, section 6.10.8. </w:t>
      </w:r>
    </w:p>
    <w:p w14:paraId="6A32DF67" w14:textId="77777777" w:rsidR="006D123E" w:rsidRPr="00261B7A" w:rsidRDefault="006D123E" w:rsidP="006D123E">
      <w:pPr>
        <w:pStyle w:val="Heading2"/>
        <w:spacing w:before="280"/>
      </w:pPr>
      <w:bookmarkStart w:id="3077" w:name="_Toc456179172"/>
      <w:bookmarkStart w:id="3078" w:name="_Toc481751425"/>
      <w:bookmarkStart w:id="3079" w:name="_Toc522013964"/>
      <w:bookmarkStart w:id="3080" w:name="_Toc5269408"/>
      <w:bookmarkStart w:id="3081" w:name="_Toc36224448"/>
      <w:bookmarkStart w:id="3082" w:name="_Toc68786368"/>
      <w:bookmarkStart w:id="3083" w:name="_Toc131591282"/>
      <w:bookmarkStart w:id="3084" w:name="_Toc261513293"/>
      <w:bookmarkStart w:id="3085" w:name="_Toc261513906"/>
      <w:bookmarkStart w:id="3086" w:name="_Toc280630396"/>
      <w:bookmarkEnd w:id="3074"/>
      <w:bookmarkEnd w:id="3075"/>
      <w:bookmarkEnd w:id="3076"/>
      <w:r w:rsidRPr="00261B7A">
        <w:t>11.4</w:t>
      </w:r>
      <w:r w:rsidRPr="00261B7A">
        <w:tab/>
        <w:t>Other methodological issues</w:t>
      </w:r>
      <w:bookmarkEnd w:id="3077"/>
      <w:bookmarkEnd w:id="3078"/>
      <w:bookmarkEnd w:id="3079"/>
      <w:bookmarkEnd w:id="3080"/>
      <w:bookmarkEnd w:id="3081"/>
      <w:bookmarkEnd w:id="3082"/>
      <w:bookmarkEnd w:id="3083"/>
    </w:p>
    <w:p w14:paraId="3CB15A32" w14:textId="77777777" w:rsidR="006D123E" w:rsidRPr="00261B7A" w:rsidRDefault="006D123E" w:rsidP="006D123E">
      <w:pPr>
        <w:pStyle w:val="Heading3"/>
        <w:spacing w:before="120"/>
      </w:pPr>
      <w:bookmarkStart w:id="3087" w:name="_Toc261513294"/>
      <w:bookmarkStart w:id="3088" w:name="_Toc261513907"/>
      <w:bookmarkStart w:id="3089" w:name="_Toc280630397"/>
      <w:bookmarkEnd w:id="3084"/>
      <w:bookmarkEnd w:id="3085"/>
      <w:bookmarkEnd w:id="3086"/>
      <w:r w:rsidRPr="00261B7A">
        <w:t xml:space="preserve">11.4.1 </w:t>
      </w:r>
      <w:r w:rsidRPr="00261B7A">
        <w:tab/>
        <w:t>Uncertainty</w:t>
      </w:r>
      <w:bookmarkEnd w:id="3087"/>
      <w:bookmarkEnd w:id="3088"/>
      <w:bookmarkEnd w:id="3089"/>
      <w:r w:rsidRPr="00261B7A">
        <w:t xml:space="preserve"> and time-series consistency</w:t>
      </w:r>
    </w:p>
    <w:p w14:paraId="7ADDF997" w14:textId="77777777" w:rsidR="006D123E" w:rsidRPr="00261B7A" w:rsidRDefault="006D123E" w:rsidP="006D123E">
      <w:pPr>
        <w:pStyle w:val="BodyText"/>
        <w:spacing w:before="100" w:after="100"/>
      </w:pPr>
      <w:r w:rsidRPr="00261B7A">
        <w:t xml:space="preserve">The uncertainty in net emissions from </w:t>
      </w:r>
      <w:r w:rsidRPr="00261B7A">
        <w:rPr>
          <w:i/>
        </w:rPr>
        <w:t>Afforestation and reforestation</w:t>
      </w:r>
      <w:r w:rsidRPr="00261B7A">
        <w:t xml:space="preserve"> is ±35.9 per cent at the 95 per cent confidence interval. This is based on the uncertainty in emissions from post</w:t>
      </w:r>
      <w:r w:rsidRPr="00261B7A">
        <w:noBreakHyphen/>
        <w:t xml:space="preserve">1989 planted forest, post-1989 natural forest and </w:t>
      </w:r>
      <w:r w:rsidRPr="00261B7A">
        <w:rPr>
          <w:i/>
        </w:rPr>
        <w:t>Harvested wood products</w:t>
      </w:r>
      <w:r w:rsidRPr="00261B7A">
        <w:t xml:space="preserve"> (tables 11.4.1 and 11.4.2). </w:t>
      </w:r>
    </w:p>
    <w:p w14:paraId="30BD165C" w14:textId="77777777" w:rsidR="006D123E" w:rsidRPr="00261B7A" w:rsidRDefault="006D123E" w:rsidP="006D123E">
      <w:pPr>
        <w:pStyle w:val="BodyText"/>
        <w:spacing w:before="100" w:after="100"/>
      </w:pPr>
      <w:r w:rsidRPr="00261B7A">
        <w:t xml:space="preserve">The uncertainty in emissions from </w:t>
      </w:r>
      <w:r w:rsidRPr="00261B7A">
        <w:rPr>
          <w:i/>
        </w:rPr>
        <w:t>Deforestation</w:t>
      </w:r>
      <w:r w:rsidRPr="00261B7A">
        <w:t xml:space="preserve"> is determined by the type of </w:t>
      </w:r>
      <w:r w:rsidRPr="00261B7A">
        <w:rPr>
          <w:i/>
        </w:rPr>
        <w:t>Forest land</w:t>
      </w:r>
      <w:r w:rsidRPr="00261B7A">
        <w:t xml:space="preserve"> (table 11.4.1). The combined uncertainty introduced into emissions from </w:t>
      </w:r>
      <w:r w:rsidRPr="00261B7A">
        <w:rPr>
          <w:i/>
        </w:rPr>
        <w:t>Deforestation</w:t>
      </w:r>
      <w:r w:rsidRPr="00261B7A">
        <w:t xml:space="preserve"> at the 95 per cent confidence intervals is ±66.6 per cent (table 11.4.2). </w:t>
      </w:r>
    </w:p>
    <w:p w14:paraId="610F8EAD" w14:textId="77777777" w:rsidR="006D123E" w:rsidRPr="00261B7A" w:rsidRDefault="006D123E" w:rsidP="006D123E">
      <w:pPr>
        <w:pStyle w:val="BodyText"/>
        <w:spacing w:before="100" w:after="100"/>
      </w:pPr>
      <w:r w:rsidRPr="00261B7A">
        <w:t xml:space="preserve">The combined uncertainty in emissions from </w:t>
      </w:r>
      <w:r w:rsidRPr="00261B7A">
        <w:rPr>
          <w:i/>
        </w:rPr>
        <w:t>Forest management</w:t>
      </w:r>
      <w:r w:rsidRPr="00261B7A">
        <w:t xml:space="preserve"> is ±85.9 per cent at a 95 per cent confidence interval. This is the combined uncertainty of pre-1990 natural forest and pre</w:t>
      </w:r>
      <w:r w:rsidRPr="00261B7A">
        <w:noBreakHyphen/>
        <w:t xml:space="preserve">1990 planted forest and includes uncertainty associated with </w:t>
      </w:r>
      <w:r w:rsidRPr="00261B7A">
        <w:rPr>
          <w:i/>
        </w:rPr>
        <w:t>Harvested wood products</w:t>
      </w:r>
      <w:r w:rsidRPr="00261B7A">
        <w:t>.</w:t>
      </w:r>
    </w:p>
    <w:p w14:paraId="2CE17916" w14:textId="77777777" w:rsidR="006D123E" w:rsidRPr="00261B7A" w:rsidRDefault="006D123E" w:rsidP="006D123E">
      <w:pPr>
        <w:pStyle w:val="BodyText"/>
        <w:spacing w:before="100" w:after="100"/>
      </w:pPr>
      <w:r w:rsidRPr="00261B7A">
        <w:t xml:space="preserve">Further detail on the uncertainty in emissions for pre-1990 natural forest, pre-1990 planted forest, post-1989 planted forest, post-89 natural forest and </w:t>
      </w:r>
      <w:r w:rsidRPr="00261B7A">
        <w:rPr>
          <w:i/>
        </w:rPr>
        <w:t>Harvested wood products</w:t>
      </w:r>
      <w:r w:rsidRPr="00261B7A">
        <w:t xml:space="preserve"> is provided in chapter 6, sections 6.3.3 and 6.9.3.</w:t>
      </w:r>
    </w:p>
    <w:p w14:paraId="60EF0C98" w14:textId="77777777" w:rsidR="006D123E" w:rsidRPr="00261B7A" w:rsidRDefault="006D123E" w:rsidP="006D123E">
      <w:pPr>
        <w:pStyle w:val="BodyText"/>
      </w:pPr>
      <w:r w:rsidRPr="00261B7A">
        <w:t>Total uncertainty in New Zealand’s estimates of emissions for Article 3.3 and Article 3.4 of the Kyoto Protocol is ±58.7 per cent</w:t>
      </w:r>
      <w:r w:rsidRPr="00261B7A">
        <w:rPr>
          <w:spacing w:val="-2"/>
        </w:rPr>
        <w:t xml:space="preserve"> at a 95 per cent confidence interval</w:t>
      </w:r>
      <w:r w:rsidRPr="00261B7A">
        <w:t xml:space="preserve">. </w:t>
      </w:r>
    </w:p>
    <w:p w14:paraId="4DC3079F" w14:textId="77777777" w:rsidR="006D123E" w:rsidRPr="00261B7A" w:rsidRDefault="006D123E" w:rsidP="006D123E">
      <w:pPr>
        <w:pStyle w:val="Table"/>
      </w:pPr>
      <w:bookmarkStart w:id="3090" w:name="_Toc280630486"/>
      <w:bookmarkStart w:id="3091" w:name="_Toc310423446"/>
      <w:bookmarkStart w:id="3092" w:name="_Toc318362739"/>
      <w:bookmarkStart w:id="3093" w:name="_Toc342470818"/>
      <w:bookmarkStart w:id="3094" w:name="_Toc352505071"/>
      <w:bookmarkStart w:id="3095" w:name="_Toc377043707"/>
      <w:bookmarkStart w:id="3096" w:name="_Toc391023559"/>
      <w:bookmarkStart w:id="3097" w:name="_Toc414531532"/>
      <w:bookmarkStart w:id="3098" w:name="_Toc456179110"/>
      <w:bookmarkStart w:id="3099" w:name="_Toc481751635"/>
      <w:bookmarkStart w:id="3100" w:name="_Toc522010661"/>
      <w:bookmarkStart w:id="3101" w:name="_Toc5269632"/>
      <w:bookmarkStart w:id="3102" w:name="_Toc36224715"/>
      <w:bookmarkStart w:id="3103" w:name="_Toc64987050"/>
      <w:bookmarkStart w:id="3104" w:name="_Toc68786600"/>
      <w:bookmarkStart w:id="3105" w:name="_Toc95321545"/>
      <w:bookmarkStart w:id="3106" w:name="_Toc130568413"/>
      <w:bookmarkStart w:id="3107" w:name="_Toc131591506"/>
      <w:r w:rsidRPr="00261B7A">
        <w:t xml:space="preserve">Table 11.4.1 </w:t>
      </w:r>
      <w:r w:rsidRPr="00261B7A">
        <w:tab/>
        <w:t xml:space="preserve">Uncertainty in New Zealand’s estimates for </w:t>
      </w:r>
      <w:r w:rsidRPr="00261B7A">
        <w:rPr>
          <w:i/>
          <w:iCs/>
        </w:rPr>
        <w:t>Afforestation and reforestation</w:t>
      </w:r>
      <w:r w:rsidRPr="00261B7A">
        <w:t>,</w:t>
      </w:r>
      <w:r w:rsidRPr="00261B7A">
        <w:br/>
      </w:r>
      <w:r w:rsidRPr="00261B7A">
        <w:rPr>
          <w:i/>
          <w:iCs/>
        </w:rPr>
        <w:t>Deforestation</w:t>
      </w:r>
      <w:r w:rsidRPr="00261B7A">
        <w:t xml:space="preserve"> and </w:t>
      </w:r>
      <w:r w:rsidRPr="00261B7A">
        <w:rPr>
          <w:i/>
          <w:iCs/>
        </w:rPr>
        <w:t>Forest management</w:t>
      </w:r>
      <w:r w:rsidRPr="00261B7A">
        <w:t xml:space="preserve"> in </w:t>
      </w:r>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r w:rsidRPr="00261B7A">
        <w:t>2021</w:t>
      </w:r>
      <w:bookmarkEnd w:id="3105"/>
      <w:bookmarkEnd w:id="3106"/>
      <w:bookmarkEnd w:id="3107"/>
    </w:p>
    <w:tbl>
      <w:tblPr>
        <w:tblW w:w="8505" w:type="dxa"/>
        <w:tblBorders>
          <w:top w:val="single" w:sz="4" w:space="0" w:color="1B556B"/>
          <w:bottom w:val="single" w:sz="4" w:space="0" w:color="1B556B"/>
          <w:insideH w:val="single" w:sz="4" w:space="0" w:color="1B556B"/>
        </w:tblBorders>
        <w:tblLayout w:type="fixed"/>
        <w:tblCellMar>
          <w:left w:w="85" w:type="dxa"/>
          <w:right w:w="85" w:type="dxa"/>
        </w:tblCellMar>
        <w:tblLook w:val="04A0" w:firstRow="1" w:lastRow="0" w:firstColumn="1" w:lastColumn="0" w:noHBand="0" w:noVBand="1"/>
      </w:tblPr>
      <w:tblGrid>
        <w:gridCol w:w="1429"/>
        <w:gridCol w:w="981"/>
        <w:gridCol w:w="851"/>
        <w:gridCol w:w="850"/>
        <w:gridCol w:w="851"/>
        <w:gridCol w:w="992"/>
        <w:gridCol w:w="850"/>
        <w:gridCol w:w="851"/>
        <w:gridCol w:w="850"/>
      </w:tblGrid>
      <w:tr w:rsidR="006D123E" w:rsidRPr="00261B7A" w14:paraId="4915117C" w14:textId="77777777" w:rsidTr="009C63CA">
        <w:trPr>
          <w:tblHeader/>
        </w:trPr>
        <w:tc>
          <w:tcPr>
            <w:tcW w:w="1429" w:type="dxa"/>
            <w:vMerge w:val="restart"/>
            <w:shd w:val="clear" w:color="auto" w:fill="1B556B"/>
            <w:noWrap/>
            <w:vAlign w:val="center"/>
            <w:hideMark/>
          </w:tcPr>
          <w:p w14:paraId="4E0847E3" w14:textId="77777777" w:rsidR="006D123E" w:rsidRPr="00261B7A" w:rsidRDefault="006D123E" w:rsidP="009C63CA">
            <w:pPr>
              <w:pStyle w:val="TableTextBold"/>
              <w:keepNext/>
              <w:spacing w:before="50" w:after="0"/>
              <w:jc w:val="center"/>
              <w:rPr>
                <w:rFonts w:cs="Calibri"/>
                <w:bCs/>
                <w:noProof w:val="0"/>
                <w:color w:val="FFFFFF"/>
                <w:szCs w:val="16"/>
              </w:rPr>
            </w:pPr>
          </w:p>
        </w:tc>
        <w:tc>
          <w:tcPr>
            <w:tcW w:w="7076" w:type="dxa"/>
            <w:gridSpan w:val="8"/>
            <w:shd w:val="clear" w:color="auto" w:fill="1B556B"/>
          </w:tcPr>
          <w:p w14:paraId="2EBAA33C" w14:textId="77777777" w:rsidR="006D123E" w:rsidRPr="00261B7A" w:rsidRDefault="006D123E" w:rsidP="009C63CA">
            <w:pPr>
              <w:pStyle w:val="TableTextBold"/>
              <w:spacing w:before="50" w:after="0"/>
              <w:jc w:val="center"/>
              <w:rPr>
                <w:rFonts w:cs="Calibri"/>
                <w:bCs/>
                <w:noProof w:val="0"/>
                <w:color w:val="FFFFFF"/>
                <w:szCs w:val="16"/>
              </w:rPr>
            </w:pPr>
            <w:r w:rsidRPr="00261B7A">
              <w:rPr>
                <w:rFonts w:cs="Calibri"/>
                <w:bCs/>
                <w:noProof w:val="0"/>
                <w:color w:val="FFFFFF"/>
                <w:szCs w:val="16"/>
              </w:rPr>
              <w:t>Uncertainty (%) at a 95% confidence interval</w:t>
            </w:r>
          </w:p>
        </w:tc>
      </w:tr>
      <w:tr w:rsidR="006D123E" w:rsidRPr="00261B7A" w14:paraId="2E896C09" w14:textId="77777777" w:rsidTr="009C63CA">
        <w:trPr>
          <w:tblHeader/>
        </w:trPr>
        <w:tc>
          <w:tcPr>
            <w:tcW w:w="1429" w:type="dxa"/>
            <w:vMerge/>
            <w:shd w:val="clear" w:color="auto" w:fill="1B556B"/>
            <w:noWrap/>
            <w:vAlign w:val="bottom"/>
            <w:hideMark/>
          </w:tcPr>
          <w:p w14:paraId="484C8FF9" w14:textId="77777777" w:rsidR="006D123E" w:rsidRPr="00261B7A" w:rsidRDefault="006D123E" w:rsidP="009C63CA">
            <w:pPr>
              <w:pStyle w:val="TableTextBold"/>
              <w:keepNext/>
              <w:spacing w:before="50" w:after="50"/>
              <w:jc w:val="center"/>
              <w:rPr>
                <w:rFonts w:cs="Calibri"/>
                <w:bCs/>
                <w:noProof w:val="0"/>
                <w:color w:val="FFFFFF"/>
                <w:szCs w:val="16"/>
              </w:rPr>
            </w:pPr>
          </w:p>
        </w:tc>
        <w:tc>
          <w:tcPr>
            <w:tcW w:w="1832" w:type="dxa"/>
            <w:gridSpan w:val="2"/>
            <w:shd w:val="clear" w:color="auto" w:fill="1B556B"/>
            <w:vAlign w:val="bottom"/>
            <w:hideMark/>
          </w:tcPr>
          <w:p w14:paraId="3C3C19B3" w14:textId="77777777" w:rsidR="006D123E" w:rsidRPr="00261B7A" w:rsidRDefault="006D123E" w:rsidP="009C63CA">
            <w:pPr>
              <w:pStyle w:val="TableTextBold"/>
              <w:spacing w:before="50" w:after="50"/>
              <w:jc w:val="center"/>
              <w:rPr>
                <w:rFonts w:cs="Calibri"/>
                <w:noProof w:val="0"/>
                <w:color w:val="FFFFFF"/>
                <w:szCs w:val="16"/>
              </w:rPr>
            </w:pPr>
            <w:r w:rsidRPr="00261B7A">
              <w:rPr>
                <w:rFonts w:cs="Calibri"/>
                <w:noProof w:val="0"/>
                <w:color w:val="FFFFFF"/>
                <w:szCs w:val="16"/>
              </w:rPr>
              <w:t>Afforestation and</w:t>
            </w:r>
            <w:r w:rsidRPr="00261B7A">
              <w:rPr>
                <w:rFonts w:cs="Calibri"/>
                <w:noProof w:val="0"/>
                <w:color w:val="FFFFFF"/>
                <w:szCs w:val="16"/>
              </w:rPr>
              <w:br/>
              <w:t>reforestation</w:t>
            </w:r>
          </w:p>
        </w:tc>
        <w:tc>
          <w:tcPr>
            <w:tcW w:w="2693" w:type="dxa"/>
            <w:gridSpan w:val="3"/>
            <w:shd w:val="clear" w:color="auto" w:fill="1B556B"/>
            <w:noWrap/>
            <w:vAlign w:val="bottom"/>
            <w:hideMark/>
          </w:tcPr>
          <w:p w14:paraId="68B2C47D" w14:textId="77777777" w:rsidR="006D123E" w:rsidRPr="00261B7A" w:rsidRDefault="006D123E" w:rsidP="009C63CA">
            <w:pPr>
              <w:pStyle w:val="TableTextBold"/>
              <w:spacing w:before="50" w:after="50"/>
              <w:jc w:val="center"/>
              <w:rPr>
                <w:rFonts w:cs="Calibri"/>
                <w:noProof w:val="0"/>
                <w:color w:val="FFFFFF"/>
                <w:szCs w:val="16"/>
              </w:rPr>
            </w:pPr>
            <w:r w:rsidRPr="00261B7A">
              <w:rPr>
                <w:rFonts w:cs="Calibri"/>
                <w:noProof w:val="0"/>
                <w:color w:val="FFFFFF"/>
                <w:szCs w:val="16"/>
              </w:rPr>
              <w:t>Deforestation</w:t>
            </w:r>
          </w:p>
        </w:tc>
        <w:tc>
          <w:tcPr>
            <w:tcW w:w="850" w:type="dxa"/>
            <w:shd w:val="clear" w:color="auto" w:fill="1B556B"/>
            <w:vAlign w:val="bottom"/>
          </w:tcPr>
          <w:p w14:paraId="2D28CECC" w14:textId="77777777" w:rsidR="006D123E" w:rsidRPr="00261B7A" w:rsidRDefault="006D123E" w:rsidP="009C63CA">
            <w:pPr>
              <w:pStyle w:val="TableTextBold"/>
              <w:spacing w:before="50" w:after="50"/>
              <w:jc w:val="center"/>
              <w:rPr>
                <w:rFonts w:cs="Calibri"/>
                <w:noProof w:val="0"/>
                <w:color w:val="FFFFFF"/>
                <w:szCs w:val="16"/>
              </w:rPr>
            </w:pPr>
          </w:p>
        </w:tc>
        <w:tc>
          <w:tcPr>
            <w:tcW w:w="1701" w:type="dxa"/>
            <w:gridSpan w:val="2"/>
            <w:shd w:val="clear" w:color="auto" w:fill="1B556B"/>
            <w:vAlign w:val="bottom"/>
          </w:tcPr>
          <w:p w14:paraId="1192245B" w14:textId="77777777" w:rsidR="006D123E" w:rsidRPr="00261B7A" w:rsidRDefault="006D123E" w:rsidP="009C63CA">
            <w:pPr>
              <w:pStyle w:val="TableTextBold"/>
              <w:spacing w:before="50" w:after="50"/>
              <w:jc w:val="center"/>
              <w:rPr>
                <w:rFonts w:cs="Calibri"/>
                <w:noProof w:val="0"/>
                <w:color w:val="FFFFFF"/>
                <w:szCs w:val="16"/>
              </w:rPr>
            </w:pPr>
            <w:r w:rsidRPr="00261B7A">
              <w:rPr>
                <w:rFonts w:cs="Calibri"/>
                <w:noProof w:val="0"/>
                <w:color w:val="FFFFFF"/>
                <w:szCs w:val="16"/>
              </w:rPr>
              <w:t>Forest management</w:t>
            </w:r>
          </w:p>
        </w:tc>
      </w:tr>
      <w:tr w:rsidR="006D123E" w:rsidRPr="00261B7A" w14:paraId="2534384D" w14:textId="77777777" w:rsidTr="009C63CA">
        <w:tc>
          <w:tcPr>
            <w:tcW w:w="1429" w:type="dxa"/>
            <w:shd w:val="clear" w:color="auto" w:fill="auto"/>
            <w:noWrap/>
            <w:vAlign w:val="bottom"/>
            <w:hideMark/>
          </w:tcPr>
          <w:p w14:paraId="690258DA" w14:textId="77777777" w:rsidR="006D123E" w:rsidRPr="00261B7A" w:rsidRDefault="006D123E" w:rsidP="009C63CA">
            <w:pPr>
              <w:pStyle w:val="TableText"/>
              <w:spacing w:before="40" w:after="40"/>
              <w:rPr>
                <w:rFonts w:cs="Calibri"/>
                <w:b/>
                <w:bCs/>
                <w:szCs w:val="16"/>
              </w:rPr>
            </w:pPr>
          </w:p>
        </w:tc>
        <w:tc>
          <w:tcPr>
            <w:tcW w:w="981" w:type="dxa"/>
            <w:shd w:val="clear" w:color="auto" w:fill="auto"/>
            <w:vAlign w:val="bottom"/>
            <w:hideMark/>
          </w:tcPr>
          <w:p w14:paraId="1A179D42" w14:textId="77777777" w:rsidR="006D123E" w:rsidRPr="00261B7A" w:rsidRDefault="006D123E" w:rsidP="009C63CA">
            <w:pPr>
              <w:pStyle w:val="TableTextBold"/>
              <w:spacing w:before="40" w:after="40"/>
              <w:jc w:val="right"/>
              <w:rPr>
                <w:rFonts w:cs="Calibri"/>
                <w:b w:val="0"/>
                <w:noProof w:val="0"/>
                <w:szCs w:val="16"/>
              </w:rPr>
            </w:pPr>
            <w:r w:rsidRPr="00261B7A">
              <w:rPr>
                <w:noProof w:val="0"/>
              </w:rPr>
              <w:t>Post-1989 planted forest</w:t>
            </w:r>
          </w:p>
        </w:tc>
        <w:tc>
          <w:tcPr>
            <w:tcW w:w="851" w:type="dxa"/>
            <w:vAlign w:val="bottom"/>
          </w:tcPr>
          <w:p w14:paraId="16F89C56" w14:textId="77777777" w:rsidR="006D123E" w:rsidRPr="00261B7A" w:rsidRDefault="006D123E" w:rsidP="009C63CA">
            <w:pPr>
              <w:pStyle w:val="TableTextBold"/>
              <w:spacing w:before="40" w:after="40"/>
              <w:jc w:val="right"/>
              <w:rPr>
                <w:rFonts w:cs="Calibri"/>
                <w:b w:val="0"/>
                <w:noProof w:val="0"/>
                <w:szCs w:val="16"/>
              </w:rPr>
            </w:pPr>
            <w:r w:rsidRPr="00261B7A">
              <w:rPr>
                <w:noProof w:val="0"/>
              </w:rPr>
              <w:t>Post-1989 natural forest</w:t>
            </w:r>
          </w:p>
        </w:tc>
        <w:tc>
          <w:tcPr>
            <w:tcW w:w="850" w:type="dxa"/>
            <w:shd w:val="clear" w:color="auto" w:fill="auto"/>
            <w:noWrap/>
            <w:vAlign w:val="bottom"/>
            <w:hideMark/>
          </w:tcPr>
          <w:p w14:paraId="5A923AED" w14:textId="77777777" w:rsidR="006D123E" w:rsidRPr="00261B7A" w:rsidRDefault="006D123E" w:rsidP="009C63CA">
            <w:pPr>
              <w:pStyle w:val="TableTextBold"/>
              <w:spacing w:before="40" w:after="40"/>
              <w:jc w:val="right"/>
              <w:rPr>
                <w:rFonts w:cs="Calibri"/>
                <w:b w:val="0"/>
                <w:noProof w:val="0"/>
                <w:szCs w:val="16"/>
              </w:rPr>
            </w:pPr>
            <w:r w:rsidRPr="00261B7A">
              <w:rPr>
                <w:noProof w:val="0"/>
              </w:rPr>
              <w:t>Pre-1990 natural forest</w:t>
            </w:r>
          </w:p>
        </w:tc>
        <w:tc>
          <w:tcPr>
            <w:tcW w:w="851" w:type="dxa"/>
            <w:shd w:val="clear" w:color="auto" w:fill="auto"/>
            <w:noWrap/>
            <w:vAlign w:val="bottom"/>
            <w:hideMark/>
          </w:tcPr>
          <w:p w14:paraId="36EB6BF7" w14:textId="77777777" w:rsidR="006D123E" w:rsidRPr="00261B7A" w:rsidRDefault="006D123E" w:rsidP="009C63CA">
            <w:pPr>
              <w:pStyle w:val="TableTextBold"/>
              <w:spacing w:before="40" w:after="40"/>
              <w:jc w:val="right"/>
              <w:rPr>
                <w:rFonts w:cs="Calibri"/>
                <w:b w:val="0"/>
                <w:noProof w:val="0"/>
                <w:szCs w:val="16"/>
              </w:rPr>
            </w:pPr>
            <w:r w:rsidRPr="00261B7A">
              <w:rPr>
                <w:noProof w:val="0"/>
              </w:rPr>
              <w:t>Pre-1990 planted forest</w:t>
            </w:r>
          </w:p>
        </w:tc>
        <w:tc>
          <w:tcPr>
            <w:tcW w:w="992" w:type="dxa"/>
            <w:shd w:val="clear" w:color="auto" w:fill="auto"/>
            <w:noWrap/>
            <w:vAlign w:val="bottom"/>
            <w:hideMark/>
          </w:tcPr>
          <w:p w14:paraId="0099C2B8" w14:textId="77777777" w:rsidR="006D123E" w:rsidRPr="00261B7A" w:rsidRDefault="006D123E" w:rsidP="009C63CA">
            <w:pPr>
              <w:pStyle w:val="TableTextBold"/>
              <w:spacing w:before="40" w:after="40"/>
              <w:jc w:val="right"/>
              <w:rPr>
                <w:rFonts w:cs="Calibri"/>
                <w:b w:val="0"/>
                <w:noProof w:val="0"/>
                <w:szCs w:val="16"/>
              </w:rPr>
            </w:pPr>
            <w:r w:rsidRPr="00261B7A">
              <w:rPr>
                <w:noProof w:val="0"/>
              </w:rPr>
              <w:t xml:space="preserve">Post-1989 </w:t>
            </w:r>
            <w:r w:rsidRPr="00261B7A">
              <w:rPr>
                <w:rFonts w:cs="Calibri"/>
                <w:bCs/>
                <w:noProof w:val="0"/>
                <w:szCs w:val="16"/>
              </w:rPr>
              <w:t>planted forest</w:t>
            </w:r>
          </w:p>
        </w:tc>
        <w:tc>
          <w:tcPr>
            <w:tcW w:w="850" w:type="dxa"/>
            <w:vAlign w:val="bottom"/>
          </w:tcPr>
          <w:p w14:paraId="25CFB41C" w14:textId="77777777" w:rsidR="006D123E" w:rsidRPr="00261B7A" w:rsidRDefault="006D123E" w:rsidP="009C63CA">
            <w:pPr>
              <w:pStyle w:val="TableTextBold"/>
              <w:spacing w:before="40" w:after="40"/>
              <w:jc w:val="right"/>
              <w:rPr>
                <w:rFonts w:cs="Calibri"/>
                <w:b w:val="0"/>
                <w:noProof w:val="0"/>
                <w:szCs w:val="16"/>
              </w:rPr>
            </w:pPr>
            <w:r w:rsidRPr="00261B7A">
              <w:rPr>
                <w:noProof w:val="0"/>
              </w:rPr>
              <w:t>Post-1989 natural forest</w:t>
            </w:r>
          </w:p>
        </w:tc>
        <w:tc>
          <w:tcPr>
            <w:tcW w:w="851" w:type="dxa"/>
            <w:shd w:val="clear" w:color="auto" w:fill="auto"/>
            <w:vAlign w:val="bottom"/>
          </w:tcPr>
          <w:p w14:paraId="2C3D508B" w14:textId="77777777" w:rsidR="006D123E" w:rsidRPr="00261B7A" w:rsidRDefault="006D123E" w:rsidP="009C63CA">
            <w:pPr>
              <w:pStyle w:val="TableTextBold"/>
              <w:spacing w:before="40" w:after="40"/>
              <w:jc w:val="right"/>
              <w:rPr>
                <w:rFonts w:cs="Calibri"/>
                <w:b w:val="0"/>
                <w:noProof w:val="0"/>
                <w:szCs w:val="16"/>
              </w:rPr>
            </w:pPr>
            <w:r w:rsidRPr="00261B7A">
              <w:rPr>
                <w:noProof w:val="0"/>
              </w:rPr>
              <w:t xml:space="preserve">Pre-1990 natural </w:t>
            </w:r>
            <w:r w:rsidRPr="00261B7A">
              <w:rPr>
                <w:rFonts w:cs="Calibri"/>
                <w:bCs/>
                <w:noProof w:val="0"/>
                <w:szCs w:val="16"/>
              </w:rPr>
              <w:t>forest</w:t>
            </w:r>
          </w:p>
        </w:tc>
        <w:tc>
          <w:tcPr>
            <w:tcW w:w="850" w:type="dxa"/>
            <w:shd w:val="clear" w:color="auto" w:fill="auto"/>
            <w:vAlign w:val="bottom"/>
          </w:tcPr>
          <w:p w14:paraId="4747B694" w14:textId="77777777" w:rsidR="006D123E" w:rsidRPr="00261B7A" w:rsidRDefault="006D123E" w:rsidP="009C63CA">
            <w:pPr>
              <w:pStyle w:val="TableTextBold"/>
              <w:spacing w:before="40" w:after="40"/>
              <w:jc w:val="right"/>
              <w:rPr>
                <w:rFonts w:cs="Calibri"/>
                <w:b w:val="0"/>
                <w:noProof w:val="0"/>
                <w:szCs w:val="16"/>
              </w:rPr>
            </w:pPr>
            <w:r w:rsidRPr="00261B7A">
              <w:rPr>
                <w:noProof w:val="0"/>
              </w:rPr>
              <w:t>Pre-1990 planted forest</w:t>
            </w:r>
          </w:p>
        </w:tc>
      </w:tr>
      <w:tr w:rsidR="006D123E" w:rsidRPr="00261B7A" w14:paraId="4639FDAE" w14:textId="77777777" w:rsidTr="009C63CA">
        <w:tc>
          <w:tcPr>
            <w:tcW w:w="1429" w:type="dxa"/>
            <w:shd w:val="clear" w:color="auto" w:fill="auto"/>
            <w:noWrap/>
            <w:hideMark/>
          </w:tcPr>
          <w:p w14:paraId="5F60ACC0" w14:textId="77777777" w:rsidR="006D123E" w:rsidRPr="00261B7A" w:rsidRDefault="006D123E" w:rsidP="009C63CA">
            <w:pPr>
              <w:pStyle w:val="TableTextBold"/>
              <w:spacing w:before="40" w:after="40"/>
              <w:rPr>
                <w:rFonts w:cs="Calibri"/>
                <w:bCs/>
                <w:noProof w:val="0"/>
                <w:szCs w:val="16"/>
              </w:rPr>
            </w:pPr>
            <w:r w:rsidRPr="00261B7A">
              <w:rPr>
                <w:rFonts w:cs="Calibri"/>
                <w:bCs/>
                <w:noProof w:val="0"/>
                <w:szCs w:val="16"/>
              </w:rPr>
              <w:t>Activity data</w:t>
            </w:r>
          </w:p>
        </w:tc>
        <w:tc>
          <w:tcPr>
            <w:tcW w:w="981" w:type="dxa"/>
            <w:shd w:val="clear" w:color="auto" w:fill="auto"/>
            <w:noWrap/>
            <w:hideMark/>
          </w:tcPr>
          <w:p w14:paraId="1AD0263B" w14:textId="77777777" w:rsidR="006D123E" w:rsidRPr="00261B7A" w:rsidRDefault="006D123E" w:rsidP="009C63CA">
            <w:pPr>
              <w:pStyle w:val="TableTextBold"/>
              <w:spacing w:before="40" w:after="40"/>
              <w:jc w:val="right"/>
              <w:rPr>
                <w:rFonts w:cs="Calibri"/>
                <w:noProof w:val="0"/>
                <w:szCs w:val="16"/>
              </w:rPr>
            </w:pPr>
          </w:p>
        </w:tc>
        <w:tc>
          <w:tcPr>
            <w:tcW w:w="851" w:type="dxa"/>
          </w:tcPr>
          <w:p w14:paraId="3E576F2A" w14:textId="77777777" w:rsidR="006D123E" w:rsidRPr="00261B7A" w:rsidRDefault="006D123E" w:rsidP="009C63CA">
            <w:pPr>
              <w:pStyle w:val="TableTextBold"/>
              <w:spacing w:before="40" w:after="40"/>
              <w:jc w:val="right"/>
              <w:rPr>
                <w:rFonts w:cs="Calibri"/>
                <w:noProof w:val="0"/>
                <w:szCs w:val="16"/>
              </w:rPr>
            </w:pPr>
          </w:p>
        </w:tc>
        <w:tc>
          <w:tcPr>
            <w:tcW w:w="850" w:type="dxa"/>
            <w:shd w:val="clear" w:color="auto" w:fill="auto"/>
            <w:noWrap/>
            <w:hideMark/>
          </w:tcPr>
          <w:p w14:paraId="3B506DE8" w14:textId="77777777" w:rsidR="006D123E" w:rsidRPr="00261B7A" w:rsidRDefault="006D123E" w:rsidP="009C63CA">
            <w:pPr>
              <w:pStyle w:val="TableTextBold"/>
              <w:spacing w:before="40" w:after="40"/>
              <w:jc w:val="right"/>
              <w:rPr>
                <w:rFonts w:cs="Calibri"/>
                <w:noProof w:val="0"/>
                <w:szCs w:val="16"/>
              </w:rPr>
            </w:pPr>
          </w:p>
        </w:tc>
        <w:tc>
          <w:tcPr>
            <w:tcW w:w="851" w:type="dxa"/>
            <w:shd w:val="clear" w:color="auto" w:fill="auto"/>
            <w:noWrap/>
            <w:hideMark/>
          </w:tcPr>
          <w:p w14:paraId="17953A58" w14:textId="77777777" w:rsidR="006D123E" w:rsidRPr="00261B7A" w:rsidRDefault="006D123E" w:rsidP="009C63CA">
            <w:pPr>
              <w:pStyle w:val="TableTextBold"/>
              <w:spacing w:before="40" w:after="40"/>
              <w:jc w:val="right"/>
              <w:rPr>
                <w:rFonts w:cs="Calibri"/>
                <w:noProof w:val="0"/>
                <w:szCs w:val="16"/>
              </w:rPr>
            </w:pPr>
          </w:p>
        </w:tc>
        <w:tc>
          <w:tcPr>
            <w:tcW w:w="992" w:type="dxa"/>
            <w:shd w:val="clear" w:color="auto" w:fill="auto"/>
            <w:noWrap/>
            <w:hideMark/>
          </w:tcPr>
          <w:p w14:paraId="52EC0C5F" w14:textId="77777777" w:rsidR="006D123E" w:rsidRPr="00261B7A" w:rsidRDefault="006D123E" w:rsidP="009C63CA">
            <w:pPr>
              <w:pStyle w:val="TableTextBold"/>
              <w:spacing w:before="40" w:after="40"/>
              <w:jc w:val="right"/>
              <w:rPr>
                <w:rFonts w:cs="Calibri"/>
                <w:noProof w:val="0"/>
                <w:szCs w:val="16"/>
              </w:rPr>
            </w:pPr>
          </w:p>
        </w:tc>
        <w:tc>
          <w:tcPr>
            <w:tcW w:w="850" w:type="dxa"/>
          </w:tcPr>
          <w:p w14:paraId="44A38083" w14:textId="77777777" w:rsidR="006D123E" w:rsidRPr="00261B7A" w:rsidRDefault="006D123E" w:rsidP="009C63CA">
            <w:pPr>
              <w:pStyle w:val="TableTextBold"/>
              <w:spacing w:before="40" w:after="40"/>
              <w:jc w:val="right"/>
              <w:rPr>
                <w:rFonts w:cs="Calibri"/>
                <w:noProof w:val="0"/>
                <w:szCs w:val="16"/>
              </w:rPr>
            </w:pPr>
          </w:p>
        </w:tc>
        <w:tc>
          <w:tcPr>
            <w:tcW w:w="851" w:type="dxa"/>
            <w:shd w:val="clear" w:color="auto" w:fill="auto"/>
          </w:tcPr>
          <w:p w14:paraId="4F85FFED" w14:textId="77777777" w:rsidR="006D123E" w:rsidRPr="00261B7A" w:rsidRDefault="006D123E" w:rsidP="009C63CA">
            <w:pPr>
              <w:pStyle w:val="TableTextBold"/>
              <w:spacing w:before="40" w:after="40"/>
              <w:jc w:val="right"/>
              <w:rPr>
                <w:rFonts w:cs="Calibri"/>
                <w:noProof w:val="0"/>
                <w:szCs w:val="16"/>
              </w:rPr>
            </w:pPr>
          </w:p>
        </w:tc>
        <w:tc>
          <w:tcPr>
            <w:tcW w:w="850" w:type="dxa"/>
            <w:shd w:val="clear" w:color="auto" w:fill="auto"/>
          </w:tcPr>
          <w:p w14:paraId="62B7F4DF" w14:textId="77777777" w:rsidR="006D123E" w:rsidRPr="00261B7A" w:rsidRDefault="006D123E" w:rsidP="009C63CA">
            <w:pPr>
              <w:pStyle w:val="TableTextBold"/>
              <w:spacing w:before="40" w:after="40"/>
              <w:jc w:val="right"/>
              <w:rPr>
                <w:rFonts w:cs="Calibri"/>
                <w:noProof w:val="0"/>
                <w:szCs w:val="16"/>
              </w:rPr>
            </w:pPr>
          </w:p>
        </w:tc>
      </w:tr>
      <w:tr w:rsidR="006D123E" w:rsidRPr="00261B7A" w14:paraId="4F089101" w14:textId="77777777" w:rsidTr="009C63CA">
        <w:tc>
          <w:tcPr>
            <w:tcW w:w="1429" w:type="dxa"/>
            <w:shd w:val="clear" w:color="auto" w:fill="auto"/>
            <w:noWrap/>
            <w:vAlign w:val="center"/>
            <w:hideMark/>
          </w:tcPr>
          <w:p w14:paraId="39C5E0EA" w14:textId="77777777" w:rsidR="006D123E" w:rsidRPr="00261B7A" w:rsidRDefault="006D123E" w:rsidP="009C63CA">
            <w:pPr>
              <w:pStyle w:val="TableText"/>
              <w:spacing w:before="40" w:after="40"/>
            </w:pPr>
            <w:r w:rsidRPr="00261B7A">
              <w:t>Uncertainty in land area</w:t>
            </w:r>
          </w:p>
        </w:tc>
        <w:tc>
          <w:tcPr>
            <w:tcW w:w="981" w:type="dxa"/>
            <w:shd w:val="clear" w:color="auto" w:fill="auto"/>
            <w:noWrap/>
            <w:hideMark/>
          </w:tcPr>
          <w:p w14:paraId="77524FA4" w14:textId="77777777" w:rsidR="006D123E" w:rsidRPr="00261B7A" w:rsidRDefault="006D123E" w:rsidP="009C63CA">
            <w:pPr>
              <w:pStyle w:val="TableText"/>
              <w:tabs>
                <w:tab w:val="decimal" w:pos="377"/>
              </w:tabs>
              <w:spacing w:before="40" w:after="40"/>
              <w:jc w:val="right"/>
            </w:pPr>
            <w:r w:rsidRPr="00261B7A">
              <w:t>±8.0</w:t>
            </w:r>
          </w:p>
        </w:tc>
        <w:tc>
          <w:tcPr>
            <w:tcW w:w="851" w:type="dxa"/>
          </w:tcPr>
          <w:p w14:paraId="2BC6303B" w14:textId="77777777" w:rsidR="006D123E" w:rsidRPr="00261B7A" w:rsidRDefault="006D123E" w:rsidP="009C63CA">
            <w:pPr>
              <w:pStyle w:val="TableText"/>
              <w:tabs>
                <w:tab w:val="decimal" w:pos="377"/>
              </w:tabs>
              <w:spacing w:before="40" w:after="40"/>
              <w:jc w:val="right"/>
            </w:pPr>
            <w:r w:rsidRPr="00261B7A">
              <w:t>±8.0</w:t>
            </w:r>
          </w:p>
        </w:tc>
        <w:tc>
          <w:tcPr>
            <w:tcW w:w="850" w:type="dxa"/>
            <w:shd w:val="clear" w:color="auto" w:fill="auto"/>
            <w:noWrap/>
            <w:hideMark/>
          </w:tcPr>
          <w:p w14:paraId="6D34FF67" w14:textId="77777777" w:rsidR="006D123E" w:rsidRPr="00261B7A" w:rsidRDefault="006D123E" w:rsidP="009C63CA">
            <w:pPr>
              <w:pStyle w:val="TableText"/>
              <w:tabs>
                <w:tab w:val="decimal" w:pos="377"/>
              </w:tabs>
              <w:spacing w:before="40" w:after="40"/>
              <w:jc w:val="right"/>
            </w:pPr>
            <w:r w:rsidRPr="00261B7A">
              <w:t>±5.0</w:t>
            </w:r>
          </w:p>
        </w:tc>
        <w:tc>
          <w:tcPr>
            <w:tcW w:w="851" w:type="dxa"/>
            <w:shd w:val="clear" w:color="auto" w:fill="auto"/>
            <w:noWrap/>
            <w:hideMark/>
          </w:tcPr>
          <w:p w14:paraId="2537068F" w14:textId="77777777" w:rsidR="006D123E" w:rsidRPr="00261B7A" w:rsidRDefault="006D123E" w:rsidP="009C63CA">
            <w:pPr>
              <w:pStyle w:val="TableText"/>
              <w:tabs>
                <w:tab w:val="decimal" w:pos="377"/>
              </w:tabs>
              <w:spacing w:before="40" w:after="40"/>
              <w:jc w:val="right"/>
            </w:pPr>
            <w:r w:rsidRPr="00261B7A">
              <w:t>±5.0</w:t>
            </w:r>
          </w:p>
        </w:tc>
        <w:tc>
          <w:tcPr>
            <w:tcW w:w="992" w:type="dxa"/>
            <w:shd w:val="clear" w:color="auto" w:fill="auto"/>
            <w:noWrap/>
            <w:hideMark/>
          </w:tcPr>
          <w:p w14:paraId="4B036468" w14:textId="77777777" w:rsidR="006D123E" w:rsidRPr="00261B7A" w:rsidRDefault="006D123E" w:rsidP="009C63CA">
            <w:pPr>
              <w:pStyle w:val="TableText"/>
              <w:tabs>
                <w:tab w:val="decimal" w:pos="377"/>
              </w:tabs>
              <w:spacing w:before="40" w:after="40"/>
              <w:jc w:val="right"/>
            </w:pPr>
            <w:r w:rsidRPr="00261B7A">
              <w:t>±5.0</w:t>
            </w:r>
          </w:p>
        </w:tc>
        <w:tc>
          <w:tcPr>
            <w:tcW w:w="850" w:type="dxa"/>
          </w:tcPr>
          <w:p w14:paraId="5C2FB60F" w14:textId="77777777" w:rsidR="006D123E" w:rsidRPr="00261B7A" w:rsidRDefault="006D123E" w:rsidP="009C63CA">
            <w:pPr>
              <w:pStyle w:val="TableText"/>
              <w:tabs>
                <w:tab w:val="decimal" w:pos="377"/>
              </w:tabs>
              <w:spacing w:before="40" w:after="40"/>
              <w:jc w:val="right"/>
            </w:pPr>
            <w:r w:rsidRPr="00261B7A">
              <w:t>±5.0</w:t>
            </w:r>
          </w:p>
        </w:tc>
        <w:tc>
          <w:tcPr>
            <w:tcW w:w="851" w:type="dxa"/>
            <w:shd w:val="clear" w:color="auto" w:fill="auto"/>
          </w:tcPr>
          <w:p w14:paraId="2D6833D8" w14:textId="77777777" w:rsidR="006D123E" w:rsidRPr="00261B7A" w:rsidRDefault="006D123E" w:rsidP="009C63CA">
            <w:pPr>
              <w:pStyle w:val="TableText"/>
              <w:tabs>
                <w:tab w:val="decimal" w:pos="377"/>
              </w:tabs>
              <w:spacing w:before="40" w:after="40"/>
              <w:jc w:val="right"/>
            </w:pPr>
            <w:r w:rsidRPr="00261B7A">
              <w:t>±5.0</w:t>
            </w:r>
          </w:p>
        </w:tc>
        <w:tc>
          <w:tcPr>
            <w:tcW w:w="850" w:type="dxa"/>
            <w:shd w:val="clear" w:color="auto" w:fill="auto"/>
          </w:tcPr>
          <w:p w14:paraId="1199A982" w14:textId="77777777" w:rsidR="006D123E" w:rsidRPr="00261B7A" w:rsidRDefault="006D123E" w:rsidP="009C63CA">
            <w:pPr>
              <w:pStyle w:val="TableText"/>
              <w:tabs>
                <w:tab w:val="decimal" w:pos="377"/>
              </w:tabs>
              <w:spacing w:before="40" w:after="40"/>
              <w:jc w:val="right"/>
            </w:pPr>
            <w:r w:rsidRPr="00261B7A">
              <w:t>±5.0</w:t>
            </w:r>
          </w:p>
        </w:tc>
      </w:tr>
      <w:tr w:rsidR="006D123E" w:rsidRPr="00261B7A" w14:paraId="47033772" w14:textId="77777777" w:rsidTr="009C63CA">
        <w:tc>
          <w:tcPr>
            <w:tcW w:w="1429" w:type="dxa"/>
            <w:shd w:val="clear" w:color="auto" w:fill="auto"/>
            <w:noWrap/>
            <w:hideMark/>
          </w:tcPr>
          <w:p w14:paraId="16AFB6B9" w14:textId="77777777" w:rsidR="006D123E" w:rsidRPr="00261B7A" w:rsidRDefault="006D123E" w:rsidP="009C63CA">
            <w:pPr>
              <w:pStyle w:val="TableTextBold"/>
              <w:spacing w:before="40" w:after="40"/>
              <w:rPr>
                <w:rFonts w:cs="Calibri"/>
                <w:bCs/>
                <w:noProof w:val="0"/>
                <w:szCs w:val="16"/>
              </w:rPr>
            </w:pPr>
            <w:r w:rsidRPr="00261B7A">
              <w:rPr>
                <w:rFonts w:cs="Calibri"/>
                <w:bCs/>
                <w:noProof w:val="0"/>
                <w:szCs w:val="16"/>
              </w:rPr>
              <w:t>Emission factors</w:t>
            </w:r>
          </w:p>
        </w:tc>
        <w:tc>
          <w:tcPr>
            <w:tcW w:w="981" w:type="dxa"/>
            <w:shd w:val="clear" w:color="auto" w:fill="auto"/>
            <w:noWrap/>
            <w:hideMark/>
          </w:tcPr>
          <w:p w14:paraId="6E018523" w14:textId="77777777" w:rsidR="006D123E" w:rsidRPr="00261B7A" w:rsidRDefault="006D123E" w:rsidP="009C63CA">
            <w:pPr>
              <w:pStyle w:val="TableTextBold"/>
              <w:tabs>
                <w:tab w:val="decimal" w:pos="377"/>
              </w:tabs>
              <w:spacing w:before="40" w:after="40"/>
              <w:ind w:right="118"/>
              <w:jc w:val="right"/>
              <w:rPr>
                <w:rFonts w:cs="Calibri"/>
                <w:noProof w:val="0"/>
                <w:szCs w:val="16"/>
              </w:rPr>
            </w:pPr>
          </w:p>
        </w:tc>
        <w:tc>
          <w:tcPr>
            <w:tcW w:w="851" w:type="dxa"/>
          </w:tcPr>
          <w:p w14:paraId="4B5D76D1" w14:textId="77777777" w:rsidR="006D123E" w:rsidRPr="00261B7A" w:rsidRDefault="006D123E" w:rsidP="009C63CA">
            <w:pPr>
              <w:pStyle w:val="TableTextBold"/>
              <w:tabs>
                <w:tab w:val="decimal" w:pos="377"/>
              </w:tabs>
              <w:spacing w:before="40" w:after="40"/>
              <w:ind w:right="118"/>
              <w:jc w:val="right"/>
              <w:rPr>
                <w:rFonts w:cs="Calibri"/>
                <w:noProof w:val="0"/>
                <w:szCs w:val="16"/>
              </w:rPr>
            </w:pPr>
          </w:p>
        </w:tc>
        <w:tc>
          <w:tcPr>
            <w:tcW w:w="850" w:type="dxa"/>
            <w:shd w:val="clear" w:color="auto" w:fill="auto"/>
            <w:noWrap/>
            <w:hideMark/>
          </w:tcPr>
          <w:p w14:paraId="5BA4075E" w14:textId="77777777" w:rsidR="006D123E" w:rsidRPr="00261B7A" w:rsidRDefault="006D123E" w:rsidP="009C63CA">
            <w:pPr>
              <w:pStyle w:val="TableTextBold"/>
              <w:tabs>
                <w:tab w:val="decimal" w:pos="377"/>
              </w:tabs>
              <w:spacing w:before="40" w:after="40"/>
              <w:ind w:right="118"/>
              <w:jc w:val="right"/>
              <w:rPr>
                <w:rFonts w:cs="Calibri"/>
                <w:noProof w:val="0"/>
                <w:szCs w:val="16"/>
              </w:rPr>
            </w:pPr>
          </w:p>
        </w:tc>
        <w:tc>
          <w:tcPr>
            <w:tcW w:w="851" w:type="dxa"/>
            <w:shd w:val="clear" w:color="auto" w:fill="auto"/>
            <w:noWrap/>
            <w:hideMark/>
          </w:tcPr>
          <w:p w14:paraId="3EBB7A04" w14:textId="77777777" w:rsidR="006D123E" w:rsidRPr="00261B7A" w:rsidRDefault="006D123E" w:rsidP="009C63CA">
            <w:pPr>
              <w:pStyle w:val="TableTextBold"/>
              <w:tabs>
                <w:tab w:val="decimal" w:pos="377"/>
              </w:tabs>
              <w:spacing w:before="40" w:after="40"/>
              <w:ind w:right="118"/>
              <w:jc w:val="right"/>
              <w:rPr>
                <w:rFonts w:cs="Calibri"/>
                <w:noProof w:val="0"/>
                <w:szCs w:val="16"/>
              </w:rPr>
            </w:pPr>
          </w:p>
        </w:tc>
        <w:tc>
          <w:tcPr>
            <w:tcW w:w="992" w:type="dxa"/>
            <w:shd w:val="clear" w:color="auto" w:fill="auto"/>
            <w:noWrap/>
            <w:hideMark/>
          </w:tcPr>
          <w:p w14:paraId="3944AF44" w14:textId="77777777" w:rsidR="006D123E" w:rsidRPr="00261B7A" w:rsidRDefault="006D123E" w:rsidP="009C63CA">
            <w:pPr>
              <w:pStyle w:val="TableTextBold"/>
              <w:tabs>
                <w:tab w:val="decimal" w:pos="377"/>
              </w:tabs>
              <w:spacing w:before="40" w:after="40"/>
              <w:ind w:right="118"/>
              <w:jc w:val="right"/>
              <w:rPr>
                <w:rFonts w:cs="Calibri"/>
                <w:noProof w:val="0"/>
                <w:szCs w:val="16"/>
              </w:rPr>
            </w:pPr>
          </w:p>
        </w:tc>
        <w:tc>
          <w:tcPr>
            <w:tcW w:w="850" w:type="dxa"/>
          </w:tcPr>
          <w:p w14:paraId="1B0485F1" w14:textId="77777777" w:rsidR="006D123E" w:rsidRPr="00261B7A" w:rsidRDefault="006D123E" w:rsidP="009C63CA">
            <w:pPr>
              <w:pStyle w:val="TableTextBold"/>
              <w:tabs>
                <w:tab w:val="decimal" w:pos="377"/>
              </w:tabs>
              <w:spacing w:before="40" w:after="40"/>
              <w:ind w:right="118"/>
              <w:jc w:val="right"/>
              <w:rPr>
                <w:rFonts w:cs="Calibri"/>
                <w:noProof w:val="0"/>
                <w:szCs w:val="16"/>
              </w:rPr>
            </w:pPr>
          </w:p>
        </w:tc>
        <w:tc>
          <w:tcPr>
            <w:tcW w:w="851" w:type="dxa"/>
            <w:shd w:val="clear" w:color="auto" w:fill="auto"/>
          </w:tcPr>
          <w:p w14:paraId="179337E9" w14:textId="77777777" w:rsidR="006D123E" w:rsidRPr="00261B7A" w:rsidRDefault="006D123E" w:rsidP="009C63CA">
            <w:pPr>
              <w:pStyle w:val="TableTextBold"/>
              <w:tabs>
                <w:tab w:val="decimal" w:pos="377"/>
              </w:tabs>
              <w:spacing w:before="40" w:after="40"/>
              <w:ind w:right="118"/>
              <w:jc w:val="right"/>
              <w:rPr>
                <w:rFonts w:cs="Calibri"/>
                <w:noProof w:val="0"/>
                <w:szCs w:val="16"/>
              </w:rPr>
            </w:pPr>
          </w:p>
        </w:tc>
        <w:tc>
          <w:tcPr>
            <w:tcW w:w="850" w:type="dxa"/>
            <w:shd w:val="clear" w:color="auto" w:fill="auto"/>
          </w:tcPr>
          <w:p w14:paraId="05D49275" w14:textId="77777777" w:rsidR="006D123E" w:rsidRPr="00261B7A" w:rsidRDefault="006D123E" w:rsidP="009C63CA">
            <w:pPr>
              <w:pStyle w:val="TableTextBold"/>
              <w:tabs>
                <w:tab w:val="decimal" w:pos="377"/>
              </w:tabs>
              <w:spacing w:before="40" w:after="40"/>
              <w:ind w:right="118"/>
              <w:jc w:val="right"/>
              <w:rPr>
                <w:rFonts w:cs="Calibri"/>
                <w:noProof w:val="0"/>
                <w:szCs w:val="16"/>
              </w:rPr>
            </w:pPr>
          </w:p>
        </w:tc>
      </w:tr>
      <w:tr w:rsidR="006D123E" w:rsidRPr="00261B7A" w14:paraId="60D8DC89" w14:textId="77777777" w:rsidTr="009C63CA">
        <w:tc>
          <w:tcPr>
            <w:tcW w:w="1429" w:type="dxa"/>
            <w:shd w:val="clear" w:color="auto" w:fill="auto"/>
            <w:noWrap/>
            <w:hideMark/>
          </w:tcPr>
          <w:p w14:paraId="6172D8F1" w14:textId="77777777" w:rsidR="006D123E" w:rsidRPr="00261B7A" w:rsidRDefault="006D123E" w:rsidP="009C63CA">
            <w:pPr>
              <w:pStyle w:val="TableText"/>
              <w:spacing w:before="40" w:after="40"/>
              <w:rPr>
                <w:rFonts w:cs="Calibri"/>
                <w:bCs/>
                <w:szCs w:val="16"/>
              </w:rPr>
            </w:pPr>
            <w:r w:rsidRPr="00261B7A">
              <w:t>Uncertainty in biomass carbon stocks (losses)</w:t>
            </w:r>
          </w:p>
        </w:tc>
        <w:tc>
          <w:tcPr>
            <w:tcW w:w="981" w:type="dxa"/>
            <w:shd w:val="clear" w:color="auto" w:fill="auto"/>
            <w:noWrap/>
            <w:hideMark/>
          </w:tcPr>
          <w:p w14:paraId="0DF98F2A" w14:textId="77777777" w:rsidR="006D123E" w:rsidRPr="00261B7A" w:rsidRDefault="006D123E" w:rsidP="009C63CA">
            <w:pPr>
              <w:pStyle w:val="TableText"/>
              <w:tabs>
                <w:tab w:val="decimal" w:pos="377"/>
              </w:tabs>
              <w:spacing w:before="40" w:after="40"/>
              <w:jc w:val="right"/>
            </w:pPr>
            <w:r w:rsidRPr="00261B7A">
              <w:t>±20.5</w:t>
            </w:r>
          </w:p>
        </w:tc>
        <w:tc>
          <w:tcPr>
            <w:tcW w:w="851" w:type="dxa"/>
          </w:tcPr>
          <w:p w14:paraId="39F5EA2B" w14:textId="77777777" w:rsidR="006D123E" w:rsidRPr="00261B7A" w:rsidRDefault="006D123E" w:rsidP="009C63CA">
            <w:pPr>
              <w:pStyle w:val="TableText"/>
              <w:tabs>
                <w:tab w:val="decimal" w:pos="377"/>
              </w:tabs>
              <w:spacing w:before="40" w:after="40"/>
              <w:jc w:val="right"/>
            </w:pPr>
            <w:r w:rsidRPr="00261B7A">
              <w:t>–</w:t>
            </w:r>
          </w:p>
        </w:tc>
        <w:tc>
          <w:tcPr>
            <w:tcW w:w="850" w:type="dxa"/>
            <w:shd w:val="clear" w:color="auto" w:fill="auto"/>
            <w:noWrap/>
            <w:hideMark/>
          </w:tcPr>
          <w:p w14:paraId="2A253808" w14:textId="77777777" w:rsidR="006D123E" w:rsidRPr="00261B7A" w:rsidRDefault="006D123E" w:rsidP="009C63CA">
            <w:pPr>
              <w:pStyle w:val="TableText"/>
              <w:tabs>
                <w:tab w:val="decimal" w:pos="377"/>
              </w:tabs>
              <w:spacing w:before="40" w:after="40"/>
              <w:jc w:val="right"/>
            </w:pPr>
            <w:r w:rsidRPr="00261B7A">
              <w:t>±27.3</w:t>
            </w:r>
          </w:p>
        </w:tc>
        <w:tc>
          <w:tcPr>
            <w:tcW w:w="851" w:type="dxa"/>
            <w:shd w:val="clear" w:color="auto" w:fill="auto"/>
            <w:noWrap/>
            <w:hideMark/>
          </w:tcPr>
          <w:p w14:paraId="70E35E86" w14:textId="77777777" w:rsidR="006D123E" w:rsidRPr="00261B7A" w:rsidRDefault="006D123E" w:rsidP="009C63CA">
            <w:pPr>
              <w:pStyle w:val="TableText"/>
              <w:tabs>
                <w:tab w:val="decimal" w:pos="377"/>
              </w:tabs>
              <w:spacing w:before="40" w:after="40"/>
              <w:jc w:val="right"/>
            </w:pPr>
            <w:r w:rsidRPr="00261B7A">
              <w:t>±21.2</w:t>
            </w:r>
          </w:p>
        </w:tc>
        <w:tc>
          <w:tcPr>
            <w:tcW w:w="992" w:type="dxa"/>
            <w:shd w:val="clear" w:color="auto" w:fill="auto"/>
            <w:noWrap/>
            <w:hideMark/>
          </w:tcPr>
          <w:p w14:paraId="5DAE2FCB" w14:textId="77777777" w:rsidR="006D123E" w:rsidRPr="00261B7A" w:rsidRDefault="006D123E" w:rsidP="009C63CA">
            <w:pPr>
              <w:pStyle w:val="TableText"/>
              <w:tabs>
                <w:tab w:val="decimal" w:pos="377"/>
              </w:tabs>
              <w:spacing w:before="40" w:after="40"/>
              <w:jc w:val="right"/>
            </w:pPr>
            <w:r w:rsidRPr="00261B7A">
              <w:t>±20.5</w:t>
            </w:r>
          </w:p>
        </w:tc>
        <w:tc>
          <w:tcPr>
            <w:tcW w:w="850" w:type="dxa"/>
          </w:tcPr>
          <w:p w14:paraId="7E6C54FC" w14:textId="77777777" w:rsidR="006D123E" w:rsidRPr="00261B7A" w:rsidRDefault="006D123E" w:rsidP="009C63CA">
            <w:pPr>
              <w:pStyle w:val="TableText"/>
              <w:tabs>
                <w:tab w:val="decimal" w:pos="377"/>
              </w:tabs>
              <w:spacing w:before="40" w:after="40"/>
              <w:jc w:val="right"/>
            </w:pPr>
            <w:r w:rsidRPr="00261B7A">
              <w:t>±27.0</w:t>
            </w:r>
          </w:p>
        </w:tc>
        <w:tc>
          <w:tcPr>
            <w:tcW w:w="851" w:type="dxa"/>
            <w:shd w:val="clear" w:color="auto" w:fill="auto"/>
          </w:tcPr>
          <w:p w14:paraId="1D054A60" w14:textId="77777777" w:rsidR="006D123E" w:rsidRPr="00261B7A" w:rsidRDefault="006D123E" w:rsidP="009C63CA">
            <w:pPr>
              <w:pStyle w:val="TableText"/>
              <w:tabs>
                <w:tab w:val="decimal" w:pos="377"/>
              </w:tabs>
              <w:spacing w:before="40" w:after="40"/>
              <w:jc w:val="right"/>
            </w:pPr>
            <w:r w:rsidRPr="00261B7A">
              <w:t>–</w:t>
            </w:r>
          </w:p>
        </w:tc>
        <w:tc>
          <w:tcPr>
            <w:tcW w:w="850" w:type="dxa"/>
            <w:shd w:val="clear" w:color="auto" w:fill="auto"/>
          </w:tcPr>
          <w:p w14:paraId="6F02FE0B" w14:textId="77777777" w:rsidR="006D123E" w:rsidRPr="00261B7A" w:rsidRDefault="006D123E" w:rsidP="009C63CA">
            <w:pPr>
              <w:pStyle w:val="TableText"/>
              <w:tabs>
                <w:tab w:val="decimal" w:pos="377"/>
              </w:tabs>
              <w:spacing w:before="40" w:after="40"/>
              <w:jc w:val="right"/>
            </w:pPr>
            <w:r w:rsidRPr="00261B7A">
              <w:t>±21.2</w:t>
            </w:r>
          </w:p>
        </w:tc>
      </w:tr>
      <w:tr w:rsidR="006D123E" w:rsidRPr="00261B7A" w14:paraId="25713A74" w14:textId="77777777" w:rsidTr="009C63CA">
        <w:tc>
          <w:tcPr>
            <w:tcW w:w="1429" w:type="dxa"/>
            <w:shd w:val="clear" w:color="auto" w:fill="auto"/>
            <w:noWrap/>
          </w:tcPr>
          <w:p w14:paraId="7A916D60" w14:textId="77777777" w:rsidR="006D123E" w:rsidRPr="00261B7A" w:rsidRDefault="006D123E" w:rsidP="009C63CA">
            <w:pPr>
              <w:pStyle w:val="TableText"/>
              <w:spacing w:before="40" w:after="40"/>
              <w:rPr>
                <w:rFonts w:cs="Calibri"/>
                <w:bCs/>
                <w:szCs w:val="16"/>
              </w:rPr>
            </w:pPr>
            <w:r w:rsidRPr="00261B7A">
              <w:t>Uncertainty in biomass carbon change (gains)</w:t>
            </w:r>
          </w:p>
        </w:tc>
        <w:tc>
          <w:tcPr>
            <w:tcW w:w="981" w:type="dxa"/>
            <w:shd w:val="clear" w:color="auto" w:fill="auto"/>
            <w:noWrap/>
          </w:tcPr>
          <w:p w14:paraId="381DF483" w14:textId="77777777" w:rsidR="006D123E" w:rsidRPr="00261B7A" w:rsidRDefault="006D123E" w:rsidP="009C63CA">
            <w:pPr>
              <w:pStyle w:val="TableText"/>
              <w:tabs>
                <w:tab w:val="decimal" w:pos="377"/>
              </w:tabs>
              <w:spacing w:before="40" w:after="40"/>
              <w:jc w:val="right"/>
            </w:pPr>
            <w:r w:rsidRPr="00261B7A">
              <w:t>±8.9</w:t>
            </w:r>
          </w:p>
        </w:tc>
        <w:tc>
          <w:tcPr>
            <w:tcW w:w="851" w:type="dxa"/>
          </w:tcPr>
          <w:p w14:paraId="703A0A26" w14:textId="77777777" w:rsidR="006D123E" w:rsidRPr="00261B7A" w:rsidRDefault="006D123E" w:rsidP="009C63CA">
            <w:pPr>
              <w:pStyle w:val="TableText"/>
              <w:tabs>
                <w:tab w:val="decimal" w:pos="377"/>
              </w:tabs>
              <w:spacing w:before="40" w:after="40"/>
              <w:jc w:val="right"/>
            </w:pPr>
            <w:r w:rsidRPr="00261B7A">
              <w:t>±44.8</w:t>
            </w:r>
          </w:p>
        </w:tc>
        <w:tc>
          <w:tcPr>
            <w:tcW w:w="850" w:type="dxa"/>
            <w:shd w:val="clear" w:color="auto" w:fill="auto"/>
            <w:noWrap/>
          </w:tcPr>
          <w:p w14:paraId="7DA4355C" w14:textId="77777777" w:rsidR="006D123E" w:rsidRPr="00261B7A" w:rsidRDefault="006D123E" w:rsidP="009C63CA">
            <w:pPr>
              <w:pStyle w:val="TableText"/>
              <w:tabs>
                <w:tab w:val="decimal" w:pos="377"/>
              </w:tabs>
              <w:spacing w:before="40" w:after="40"/>
              <w:jc w:val="right"/>
            </w:pPr>
            <w:r w:rsidRPr="00261B7A">
              <w:t>–</w:t>
            </w:r>
          </w:p>
        </w:tc>
        <w:tc>
          <w:tcPr>
            <w:tcW w:w="851" w:type="dxa"/>
            <w:shd w:val="clear" w:color="auto" w:fill="auto"/>
            <w:noWrap/>
          </w:tcPr>
          <w:p w14:paraId="1F9FF772" w14:textId="77777777" w:rsidR="006D123E" w:rsidRPr="00261B7A" w:rsidRDefault="006D123E" w:rsidP="009C63CA">
            <w:pPr>
              <w:pStyle w:val="TableText"/>
              <w:tabs>
                <w:tab w:val="decimal" w:pos="377"/>
              </w:tabs>
              <w:spacing w:before="40" w:after="40"/>
              <w:jc w:val="right"/>
            </w:pPr>
            <w:r w:rsidRPr="00261B7A">
              <w:t>–</w:t>
            </w:r>
          </w:p>
        </w:tc>
        <w:tc>
          <w:tcPr>
            <w:tcW w:w="992" w:type="dxa"/>
            <w:shd w:val="clear" w:color="auto" w:fill="auto"/>
            <w:noWrap/>
          </w:tcPr>
          <w:p w14:paraId="56E48EFA" w14:textId="77777777" w:rsidR="006D123E" w:rsidRPr="00261B7A" w:rsidRDefault="006D123E" w:rsidP="009C63CA">
            <w:pPr>
              <w:pStyle w:val="TableText"/>
              <w:tabs>
                <w:tab w:val="decimal" w:pos="377"/>
              </w:tabs>
              <w:spacing w:before="40" w:after="40"/>
              <w:jc w:val="right"/>
            </w:pPr>
            <w:r w:rsidRPr="00261B7A">
              <w:t>–</w:t>
            </w:r>
          </w:p>
        </w:tc>
        <w:tc>
          <w:tcPr>
            <w:tcW w:w="850" w:type="dxa"/>
          </w:tcPr>
          <w:p w14:paraId="194E005D" w14:textId="77777777" w:rsidR="006D123E" w:rsidRPr="00261B7A" w:rsidRDefault="006D123E" w:rsidP="009C63CA">
            <w:pPr>
              <w:pStyle w:val="TableText"/>
              <w:tabs>
                <w:tab w:val="decimal" w:pos="377"/>
              </w:tabs>
              <w:spacing w:before="40" w:after="40"/>
              <w:jc w:val="right"/>
            </w:pPr>
            <w:r w:rsidRPr="00261B7A">
              <w:t>–</w:t>
            </w:r>
          </w:p>
        </w:tc>
        <w:tc>
          <w:tcPr>
            <w:tcW w:w="851" w:type="dxa"/>
            <w:shd w:val="clear" w:color="auto" w:fill="auto"/>
          </w:tcPr>
          <w:p w14:paraId="6070A6B5" w14:textId="77777777" w:rsidR="006D123E" w:rsidRPr="00261B7A" w:rsidRDefault="006D123E" w:rsidP="009C63CA">
            <w:pPr>
              <w:pStyle w:val="TableText"/>
              <w:tabs>
                <w:tab w:val="decimal" w:pos="377"/>
              </w:tabs>
              <w:spacing w:before="40" w:after="40"/>
              <w:jc w:val="right"/>
            </w:pPr>
            <w:r w:rsidRPr="00261B7A">
              <w:t>±119.6</w:t>
            </w:r>
          </w:p>
        </w:tc>
        <w:tc>
          <w:tcPr>
            <w:tcW w:w="850" w:type="dxa"/>
            <w:shd w:val="clear" w:color="auto" w:fill="auto"/>
          </w:tcPr>
          <w:p w14:paraId="5CB84D10" w14:textId="77777777" w:rsidR="006D123E" w:rsidRPr="00261B7A" w:rsidRDefault="006D123E" w:rsidP="009C63CA">
            <w:pPr>
              <w:pStyle w:val="TableText"/>
              <w:tabs>
                <w:tab w:val="decimal" w:pos="377"/>
              </w:tabs>
              <w:spacing w:before="40" w:after="40"/>
              <w:jc w:val="right"/>
            </w:pPr>
            <w:r w:rsidRPr="00261B7A">
              <w:t>±11.3</w:t>
            </w:r>
          </w:p>
        </w:tc>
      </w:tr>
      <w:tr w:rsidR="006D123E" w:rsidRPr="00261B7A" w14:paraId="6F16F316" w14:textId="77777777" w:rsidTr="009C63CA">
        <w:tc>
          <w:tcPr>
            <w:tcW w:w="1429" w:type="dxa"/>
            <w:shd w:val="clear" w:color="auto" w:fill="auto"/>
            <w:noWrap/>
            <w:vAlign w:val="bottom"/>
            <w:hideMark/>
          </w:tcPr>
          <w:p w14:paraId="03DC2D3D" w14:textId="77777777" w:rsidR="006D123E" w:rsidRPr="00261B7A" w:rsidRDefault="006D123E" w:rsidP="009C63CA">
            <w:pPr>
              <w:pStyle w:val="TableText"/>
              <w:spacing w:before="40" w:after="40"/>
              <w:rPr>
                <w:rFonts w:cs="Calibri"/>
                <w:bCs/>
                <w:szCs w:val="16"/>
              </w:rPr>
            </w:pPr>
            <w:r w:rsidRPr="00261B7A">
              <w:rPr>
                <w:rFonts w:cs="Calibri"/>
                <w:bCs/>
                <w:szCs w:val="16"/>
              </w:rPr>
              <w:t>Uncertainty in soil carbon stocks</w:t>
            </w:r>
          </w:p>
        </w:tc>
        <w:tc>
          <w:tcPr>
            <w:tcW w:w="981" w:type="dxa"/>
            <w:shd w:val="clear" w:color="auto" w:fill="auto"/>
            <w:noWrap/>
            <w:hideMark/>
          </w:tcPr>
          <w:p w14:paraId="30C0405F" w14:textId="77777777" w:rsidR="006D123E" w:rsidRPr="00261B7A" w:rsidRDefault="006D123E" w:rsidP="009C63CA">
            <w:pPr>
              <w:pStyle w:val="TableText"/>
              <w:tabs>
                <w:tab w:val="decimal" w:pos="377"/>
              </w:tabs>
              <w:spacing w:before="40" w:after="40"/>
              <w:jc w:val="right"/>
            </w:pPr>
            <w:r w:rsidRPr="00261B7A">
              <w:t>±10.4</w:t>
            </w:r>
          </w:p>
        </w:tc>
        <w:tc>
          <w:tcPr>
            <w:tcW w:w="851" w:type="dxa"/>
          </w:tcPr>
          <w:p w14:paraId="5A7253BA" w14:textId="77777777" w:rsidR="006D123E" w:rsidRPr="00261B7A" w:rsidRDefault="006D123E" w:rsidP="009C63CA">
            <w:pPr>
              <w:pStyle w:val="TableText"/>
              <w:tabs>
                <w:tab w:val="decimal" w:pos="377"/>
              </w:tabs>
              <w:spacing w:before="40" w:after="40"/>
              <w:jc w:val="right"/>
            </w:pPr>
            <w:r w:rsidRPr="00261B7A">
              <w:t>±10.4</w:t>
            </w:r>
          </w:p>
        </w:tc>
        <w:tc>
          <w:tcPr>
            <w:tcW w:w="850" w:type="dxa"/>
            <w:shd w:val="clear" w:color="auto" w:fill="auto"/>
            <w:noWrap/>
            <w:hideMark/>
          </w:tcPr>
          <w:p w14:paraId="6F02F0E4" w14:textId="77777777" w:rsidR="006D123E" w:rsidRPr="00261B7A" w:rsidRDefault="006D123E" w:rsidP="009C63CA">
            <w:pPr>
              <w:pStyle w:val="TableText"/>
              <w:tabs>
                <w:tab w:val="decimal" w:pos="377"/>
              </w:tabs>
              <w:spacing w:before="40" w:after="40"/>
              <w:jc w:val="right"/>
            </w:pPr>
            <w:r w:rsidRPr="00261B7A">
              <w:t>±7.9</w:t>
            </w:r>
          </w:p>
        </w:tc>
        <w:tc>
          <w:tcPr>
            <w:tcW w:w="851" w:type="dxa"/>
            <w:shd w:val="clear" w:color="auto" w:fill="auto"/>
            <w:noWrap/>
            <w:hideMark/>
          </w:tcPr>
          <w:p w14:paraId="5EE0515D" w14:textId="77777777" w:rsidR="006D123E" w:rsidRPr="00261B7A" w:rsidRDefault="006D123E" w:rsidP="009C63CA">
            <w:pPr>
              <w:pStyle w:val="TableText"/>
              <w:tabs>
                <w:tab w:val="decimal" w:pos="377"/>
              </w:tabs>
              <w:spacing w:before="40" w:after="40"/>
              <w:jc w:val="right"/>
            </w:pPr>
            <w:r w:rsidRPr="00261B7A">
              <w:t>±12.3</w:t>
            </w:r>
          </w:p>
        </w:tc>
        <w:tc>
          <w:tcPr>
            <w:tcW w:w="992" w:type="dxa"/>
            <w:shd w:val="clear" w:color="auto" w:fill="auto"/>
            <w:noWrap/>
            <w:hideMark/>
          </w:tcPr>
          <w:p w14:paraId="5E9E4469" w14:textId="77777777" w:rsidR="006D123E" w:rsidRPr="00261B7A" w:rsidRDefault="006D123E" w:rsidP="009C63CA">
            <w:pPr>
              <w:pStyle w:val="TableText"/>
              <w:tabs>
                <w:tab w:val="decimal" w:pos="377"/>
              </w:tabs>
              <w:spacing w:before="40" w:after="40"/>
              <w:jc w:val="right"/>
            </w:pPr>
            <w:r w:rsidRPr="00261B7A">
              <w:t>±10.4</w:t>
            </w:r>
          </w:p>
        </w:tc>
        <w:tc>
          <w:tcPr>
            <w:tcW w:w="850" w:type="dxa"/>
          </w:tcPr>
          <w:p w14:paraId="78B351FF" w14:textId="77777777" w:rsidR="006D123E" w:rsidRPr="00261B7A" w:rsidRDefault="006D123E" w:rsidP="009C63CA">
            <w:pPr>
              <w:pStyle w:val="TableText"/>
              <w:tabs>
                <w:tab w:val="decimal" w:pos="377"/>
              </w:tabs>
              <w:spacing w:before="40" w:after="40"/>
              <w:jc w:val="right"/>
            </w:pPr>
            <w:r w:rsidRPr="00261B7A">
              <w:t>±10.4</w:t>
            </w:r>
          </w:p>
        </w:tc>
        <w:tc>
          <w:tcPr>
            <w:tcW w:w="851" w:type="dxa"/>
            <w:shd w:val="clear" w:color="auto" w:fill="auto"/>
          </w:tcPr>
          <w:p w14:paraId="125DAC62" w14:textId="77777777" w:rsidR="006D123E" w:rsidRPr="00261B7A" w:rsidRDefault="006D123E" w:rsidP="009C63CA">
            <w:pPr>
              <w:pStyle w:val="TableText"/>
              <w:tabs>
                <w:tab w:val="decimal" w:pos="377"/>
              </w:tabs>
              <w:spacing w:before="40" w:after="40"/>
              <w:jc w:val="right"/>
            </w:pPr>
            <w:r w:rsidRPr="00261B7A">
              <w:t>±7.9</w:t>
            </w:r>
          </w:p>
        </w:tc>
        <w:tc>
          <w:tcPr>
            <w:tcW w:w="850" w:type="dxa"/>
            <w:shd w:val="clear" w:color="auto" w:fill="auto"/>
          </w:tcPr>
          <w:p w14:paraId="2EAAF21C" w14:textId="77777777" w:rsidR="006D123E" w:rsidRPr="00261B7A" w:rsidRDefault="006D123E" w:rsidP="009C63CA">
            <w:pPr>
              <w:pStyle w:val="TableText"/>
              <w:tabs>
                <w:tab w:val="decimal" w:pos="377"/>
              </w:tabs>
              <w:spacing w:before="40" w:after="40"/>
              <w:jc w:val="right"/>
            </w:pPr>
            <w:r w:rsidRPr="00261B7A">
              <w:t>±12.3</w:t>
            </w:r>
          </w:p>
        </w:tc>
      </w:tr>
      <w:tr w:rsidR="006D123E" w:rsidRPr="00261B7A" w14:paraId="0EE561A1" w14:textId="77777777" w:rsidTr="009C63CA">
        <w:tc>
          <w:tcPr>
            <w:tcW w:w="1429" w:type="dxa"/>
            <w:shd w:val="clear" w:color="auto" w:fill="auto"/>
            <w:noWrap/>
            <w:vAlign w:val="bottom"/>
          </w:tcPr>
          <w:p w14:paraId="5E7887CE" w14:textId="77777777" w:rsidR="006D123E" w:rsidRPr="00261B7A" w:rsidRDefault="006D123E" w:rsidP="009C63CA">
            <w:pPr>
              <w:pStyle w:val="TableText"/>
              <w:spacing w:before="40" w:after="40"/>
              <w:rPr>
                <w:rFonts w:cs="Calibri"/>
                <w:bCs/>
                <w:szCs w:val="16"/>
              </w:rPr>
            </w:pPr>
            <w:r w:rsidRPr="00261B7A">
              <w:rPr>
                <w:rFonts w:cs="Calibri"/>
                <w:bCs/>
                <w:szCs w:val="16"/>
              </w:rPr>
              <w:t>Uncertainty in harvested wood products</w:t>
            </w:r>
          </w:p>
        </w:tc>
        <w:tc>
          <w:tcPr>
            <w:tcW w:w="981" w:type="dxa"/>
            <w:shd w:val="clear" w:color="auto" w:fill="auto"/>
            <w:noWrap/>
          </w:tcPr>
          <w:p w14:paraId="50FECA91" w14:textId="77777777" w:rsidR="006D123E" w:rsidRPr="00261B7A" w:rsidRDefault="006D123E" w:rsidP="009C63CA">
            <w:pPr>
              <w:pStyle w:val="TableText"/>
              <w:tabs>
                <w:tab w:val="decimal" w:pos="377"/>
              </w:tabs>
              <w:spacing w:before="40" w:after="40"/>
              <w:jc w:val="right"/>
            </w:pPr>
            <w:r w:rsidRPr="00261B7A">
              <w:t>±68.2</w:t>
            </w:r>
          </w:p>
        </w:tc>
        <w:tc>
          <w:tcPr>
            <w:tcW w:w="851" w:type="dxa"/>
          </w:tcPr>
          <w:p w14:paraId="59AE099F" w14:textId="77777777" w:rsidR="006D123E" w:rsidRPr="00261B7A" w:rsidRDefault="006D123E" w:rsidP="009C63CA">
            <w:pPr>
              <w:pStyle w:val="TableText"/>
              <w:tabs>
                <w:tab w:val="decimal" w:pos="377"/>
              </w:tabs>
              <w:spacing w:before="40" w:after="40"/>
              <w:jc w:val="right"/>
            </w:pPr>
          </w:p>
        </w:tc>
        <w:tc>
          <w:tcPr>
            <w:tcW w:w="850" w:type="dxa"/>
            <w:shd w:val="clear" w:color="auto" w:fill="auto"/>
            <w:noWrap/>
          </w:tcPr>
          <w:p w14:paraId="04B3F6A7" w14:textId="77777777" w:rsidR="006D123E" w:rsidRPr="00261B7A" w:rsidRDefault="006D123E" w:rsidP="009C63CA">
            <w:pPr>
              <w:pStyle w:val="TableText"/>
              <w:tabs>
                <w:tab w:val="decimal" w:pos="377"/>
              </w:tabs>
              <w:spacing w:before="40" w:after="40"/>
              <w:jc w:val="right"/>
            </w:pPr>
            <w:r w:rsidRPr="00261B7A">
              <w:t>–</w:t>
            </w:r>
          </w:p>
        </w:tc>
        <w:tc>
          <w:tcPr>
            <w:tcW w:w="851" w:type="dxa"/>
            <w:shd w:val="clear" w:color="auto" w:fill="auto"/>
            <w:noWrap/>
          </w:tcPr>
          <w:p w14:paraId="070A08A3" w14:textId="77777777" w:rsidR="006D123E" w:rsidRPr="00261B7A" w:rsidRDefault="006D123E" w:rsidP="009C63CA">
            <w:pPr>
              <w:pStyle w:val="TableText"/>
              <w:tabs>
                <w:tab w:val="decimal" w:pos="377"/>
              </w:tabs>
              <w:spacing w:before="40" w:after="40"/>
              <w:jc w:val="right"/>
            </w:pPr>
            <w:r w:rsidRPr="00261B7A">
              <w:t>–</w:t>
            </w:r>
          </w:p>
        </w:tc>
        <w:tc>
          <w:tcPr>
            <w:tcW w:w="992" w:type="dxa"/>
            <w:shd w:val="clear" w:color="auto" w:fill="auto"/>
            <w:noWrap/>
          </w:tcPr>
          <w:p w14:paraId="26FA0FE3" w14:textId="77777777" w:rsidR="006D123E" w:rsidRPr="00261B7A" w:rsidRDefault="006D123E" w:rsidP="009C63CA">
            <w:pPr>
              <w:pStyle w:val="TableText"/>
              <w:tabs>
                <w:tab w:val="decimal" w:pos="377"/>
              </w:tabs>
              <w:spacing w:before="40" w:after="40"/>
              <w:jc w:val="right"/>
            </w:pPr>
            <w:r w:rsidRPr="00261B7A">
              <w:t>–</w:t>
            </w:r>
          </w:p>
        </w:tc>
        <w:tc>
          <w:tcPr>
            <w:tcW w:w="850" w:type="dxa"/>
          </w:tcPr>
          <w:p w14:paraId="6240338E" w14:textId="77777777" w:rsidR="006D123E" w:rsidRPr="00261B7A" w:rsidRDefault="006D123E" w:rsidP="009C63CA">
            <w:pPr>
              <w:pStyle w:val="TableText"/>
              <w:tabs>
                <w:tab w:val="decimal" w:pos="377"/>
              </w:tabs>
              <w:spacing w:before="40" w:after="40"/>
              <w:jc w:val="right"/>
            </w:pPr>
          </w:p>
        </w:tc>
        <w:tc>
          <w:tcPr>
            <w:tcW w:w="851" w:type="dxa"/>
            <w:shd w:val="clear" w:color="auto" w:fill="auto"/>
          </w:tcPr>
          <w:p w14:paraId="5406C259" w14:textId="77777777" w:rsidR="006D123E" w:rsidRPr="00261B7A" w:rsidRDefault="006D123E" w:rsidP="009C63CA">
            <w:pPr>
              <w:pStyle w:val="TableText"/>
              <w:tabs>
                <w:tab w:val="decimal" w:pos="377"/>
              </w:tabs>
              <w:spacing w:before="40" w:after="40"/>
              <w:jc w:val="right"/>
            </w:pPr>
            <w:r w:rsidRPr="00261B7A">
              <w:t>–</w:t>
            </w:r>
          </w:p>
        </w:tc>
        <w:tc>
          <w:tcPr>
            <w:tcW w:w="850" w:type="dxa"/>
            <w:shd w:val="clear" w:color="auto" w:fill="auto"/>
          </w:tcPr>
          <w:p w14:paraId="225AC286" w14:textId="77777777" w:rsidR="006D123E" w:rsidRPr="00261B7A" w:rsidRDefault="006D123E" w:rsidP="009C63CA">
            <w:pPr>
              <w:pStyle w:val="TableText"/>
              <w:tabs>
                <w:tab w:val="decimal" w:pos="377"/>
              </w:tabs>
              <w:spacing w:before="40" w:after="40"/>
              <w:jc w:val="right"/>
            </w:pPr>
            <w:r w:rsidRPr="00261B7A">
              <w:t>±68.2</w:t>
            </w:r>
          </w:p>
        </w:tc>
      </w:tr>
      <w:tr w:rsidR="006D123E" w:rsidRPr="00261B7A" w14:paraId="57092A81" w14:textId="77777777" w:rsidTr="009C63CA">
        <w:tc>
          <w:tcPr>
            <w:tcW w:w="1429" w:type="dxa"/>
            <w:shd w:val="clear" w:color="auto" w:fill="auto"/>
            <w:noWrap/>
            <w:vAlign w:val="bottom"/>
            <w:hideMark/>
          </w:tcPr>
          <w:p w14:paraId="10DF13E4" w14:textId="77777777" w:rsidR="006D123E" w:rsidRPr="00261B7A" w:rsidRDefault="006D123E" w:rsidP="009C63CA">
            <w:pPr>
              <w:pStyle w:val="Tableboldblue"/>
              <w:spacing w:before="40" w:after="40"/>
              <w:rPr>
                <w:rFonts w:cs="Calibri"/>
                <w:bCs/>
                <w:szCs w:val="16"/>
              </w:rPr>
            </w:pPr>
            <w:r w:rsidRPr="00261B7A">
              <w:rPr>
                <w:rFonts w:cs="Calibri"/>
                <w:bCs/>
                <w:szCs w:val="16"/>
              </w:rPr>
              <w:t>Uncertainty introduced into emissions for Kyoto Protocol</w:t>
            </w:r>
          </w:p>
        </w:tc>
        <w:tc>
          <w:tcPr>
            <w:tcW w:w="981" w:type="dxa"/>
            <w:shd w:val="clear" w:color="auto" w:fill="auto"/>
            <w:noWrap/>
            <w:hideMark/>
          </w:tcPr>
          <w:p w14:paraId="590AC05B" w14:textId="77777777" w:rsidR="006D123E" w:rsidRPr="00261B7A" w:rsidRDefault="006D123E" w:rsidP="009C63CA">
            <w:pPr>
              <w:pStyle w:val="Tableboldblue"/>
              <w:tabs>
                <w:tab w:val="decimal" w:pos="377"/>
              </w:tabs>
              <w:spacing w:before="40" w:after="40"/>
              <w:ind w:right="118"/>
              <w:jc w:val="right"/>
              <w:rPr>
                <w:rFonts w:cs="Calibri"/>
                <w:szCs w:val="16"/>
              </w:rPr>
            </w:pPr>
            <w:r w:rsidRPr="00261B7A">
              <w:rPr>
                <w:rFonts w:cs="Calibri"/>
                <w:b w:val="0"/>
                <w:szCs w:val="16"/>
              </w:rPr>
              <w:t>±</w:t>
            </w:r>
            <w:r w:rsidRPr="00261B7A">
              <w:t>14.3</w:t>
            </w:r>
          </w:p>
        </w:tc>
        <w:tc>
          <w:tcPr>
            <w:tcW w:w="851" w:type="dxa"/>
          </w:tcPr>
          <w:p w14:paraId="0C825B8C" w14:textId="77777777" w:rsidR="006D123E" w:rsidRPr="00261B7A" w:rsidRDefault="006D123E" w:rsidP="009C63CA">
            <w:pPr>
              <w:pStyle w:val="Tableboldblue"/>
              <w:tabs>
                <w:tab w:val="decimal" w:pos="377"/>
              </w:tabs>
              <w:spacing w:before="40" w:after="40"/>
              <w:ind w:right="118"/>
              <w:jc w:val="right"/>
              <w:rPr>
                <w:rFonts w:cs="Calibri"/>
                <w:szCs w:val="16"/>
              </w:rPr>
            </w:pPr>
            <w:r w:rsidRPr="00261B7A">
              <w:rPr>
                <w:rFonts w:cs="Calibri"/>
                <w:b w:val="0"/>
                <w:szCs w:val="16"/>
              </w:rPr>
              <w:t>±</w:t>
            </w:r>
            <w:r w:rsidRPr="00261B7A">
              <w:t>0.9</w:t>
            </w:r>
          </w:p>
        </w:tc>
        <w:tc>
          <w:tcPr>
            <w:tcW w:w="850" w:type="dxa"/>
            <w:shd w:val="clear" w:color="auto" w:fill="auto"/>
            <w:noWrap/>
            <w:hideMark/>
          </w:tcPr>
          <w:p w14:paraId="7FFEC054" w14:textId="77777777" w:rsidR="006D123E" w:rsidRPr="00261B7A" w:rsidRDefault="006D123E" w:rsidP="009C63CA">
            <w:pPr>
              <w:pStyle w:val="Tableboldblue"/>
              <w:tabs>
                <w:tab w:val="decimal" w:pos="377"/>
              </w:tabs>
              <w:spacing w:before="40" w:after="40"/>
              <w:ind w:right="118"/>
              <w:jc w:val="right"/>
              <w:rPr>
                <w:rFonts w:cs="Calibri"/>
                <w:szCs w:val="16"/>
              </w:rPr>
            </w:pPr>
            <w:r w:rsidRPr="00261B7A">
              <w:rPr>
                <w:rFonts w:cs="Calibri"/>
                <w:b w:val="0"/>
                <w:szCs w:val="16"/>
              </w:rPr>
              <w:t>±</w:t>
            </w:r>
            <w:r w:rsidRPr="00261B7A">
              <w:t>0.4</w:t>
            </w:r>
          </w:p>
        </w:tc>
        <w:tc>
          <w:tcPr>
            <w:tcW w:w="851" w:type="dxa"/>
            <w:shd w:val="clear" w:color="auto" w:fill="auto"/>
            <w:noWrap/>
            <w:hideMark/>
          </w:tcPr>
          <w:p w14:paraId="6B2558BD" w14:textId="77777777" w:rsidR="006D123E" w:rsidRPr="00261B7A" w:rsidRDefault="006D123E" w:rsidP="009C63CA">
            <w:pPr>
              <w:pStyle w:val="Tableboldblue"/>
              <w:tabs>
                <w:tab w:val="decimal" w:pos="377"/>
              </w:tabs>
              <w:spacing w:before="40" w:after="40"/>
              <w:ind w:right="118"/>
              <w:jc w:val="right"/>
              <w:rPr>
                <w:rFonts w:cs="Calibri"/>
                <w:szCs w:val="16"/>
              </w:rPr>
            </w:pPr>
            <w:r w:rsidRPr="00261B7A">
              <w:rPr>
                <w:rFonts w:cs="Calibri"/>
                <w:b w:val="0"/>
                <w:szCs w:val="16"/>
              </w:rPr>
              <w:t>±</w:t>
            </w:r>
            <w:r w:rsidRPr="00261B7A">
              <w:t>0.5</w:t>
            </w:r>
          </w:p>
        </w:tc>
        <w:tc>
          <w:tcPr>
            <w:tcW w:w="992" w:type="dxa"/>
            <w:shd w:val="clear" w:color="auto" w:fill="auto"/>
            <w:noWrap/>
            <w:hideMark/>
          </w:tcPr>
          <w:p w14:paraId="12CA3F2D" w14:textId="77777777" w:rsidR="006D123E" w:rsidRPr="00261B7A" w:rsidRDefault="006D123E" w:rsidP="009C63CA">
            <w:pPr>
              <w:pStyle w:val="Tableboldblue"/>
              <w:tabs>
                <w:tab w:val="decimal" w:pos="377"/>
              </w:tabs>
              <w:spacing w:before="40" w:after="40"/>
              <w:ind w:right="118"/>
              <w:jc w:val="right"/>
              <w:rPr>
                <w:rFonts w:cs="Calibri"/>
                <w:szCs w:val="16"/>
              </w:rPr>
            </w:pPr>
            <w:r w:rsidRPr="00261B7A">
              <w:rPr>
                <w:rFonts w:cs="Calibri"/>
                <w:b w:val="0"/>
                <w:szCs w:val="16"/>
              </w:rPr>
              <w:t>±</w:t>
            </w:r>
            <w:r w:rsidRPr="00261B7A">
              <w:t>0.9</w:t>
            </w:r>
          </w:p>
        </w:tc>
        <w:tc>
          <w:tcPr>
            <w:tcW w:w="850" w:type="dxa"/>
          </w:tcPr>
          <w:p w14:paraId="73E66634" w14:textId="77777777" w:rsidR="006D123E" w:rsidRPr="00261B7A" w:rsidRDefault="006D123E" w:rsidP="009C63CA">
            <w:pPr>
              <w:pStyle w:val="Tableboldblue"/>
              <w:tabs>
                <w:tab w:val="decimal" w:pos="377"/>
              </w:tabs>
              <w:spacing w:before="40" w:after="40"/>
              <w:ind w:right="118"/>
              <w:jc w:val="right"/>
              <w:rPr>
                <w:rFonts w:cs="Calibri"/>
                <w:szCs w:val="16"/>
              </w:rPr>
            </w:pPr>
            <w:r w:rsidRPr="00261B7A">
              <w:rPr>
                <w:rFonts w:cs="Calibri"/>
                <w:b w:val="0"/>
                <w:szCs w:val="16"/>
              </w:rPr>
              <w:t>±</w:t>
            </w:r>
            <w:r w:rsidRPr="00261B7A">
              <w:t>0.0</w:t>
            </w:r>
          </w:p>
        </w:tc>
        <w:tc>
          <w:tcPr>
            <w:tcW w:w="851" w:type="dxa"/>
            <w:shd w:val="clear" w:color="auto" w:fill="auto"/>
          </w:tcPr>
          <w:p w14:paraId="68EBD652" w14:textId="77777777" w:rsidR="006D123E" w:rsidRPr="00261B7A" w:rsidRDefault="006D123E" w:rsidP="009C63CA">
            <w:pPr>
              <w:pStyle w:val="Tableboldblue"/>
              <w:tabs>
                <w:tab w:val="decimal" w:pos="377"/>
              </w:tabs>
              <w:spacing w:before="40" w:after="40"/>
              <w:ind w:right="118"/>
              <w:jc w:val="right"/>
              <w:rPr>
                <w:rFonts w:cs="Calibri"/>
                <w:szCs w:val="16"/>
              </w:rPr>
            </w:pPr>
            <w:r w:rsidRPr="00261B7A">
              <w:rPr>
                <w:rFonts w:cs="Calibri"/>
                <w:b w:val="0"/>
                <w:szCs w:val="16"/>
              </w:rPr>
              <w:t>±</w:t>
            </w:r>
            <w:r w:rsidRPr="00261B7A">
              <w:t>14.7</w:t>
            </w:r>
          </w:p>
        </w:tc>
        <w:tc>
          <w:tcPr>
            <w:tcW w:w="850" w:type="dxa"/>
            <w:shd w:val="clear" w:color="auto" w:fill="auto"/>
          </w:tcPr>
          <w:p w14:paraId="3A89E453" w14:textId="77777777" w:rsidR="006D123E" w:rsidRPr="00261B7A" w:rsidRDefault="006D123E" w:rsidP="009C63CA">
            <w:pPr>
              <w:pStyle w:val="Tableboldblue"/>
              <w:tabs>
                <w:tab w:val="decimal" w:pos="377"/>
              </w:tabs>
              <w:spacing w:before="40" w:after="40"/>
              <w:ind w:right="118"/>
              <w:jc w:val="right"/>
              <w:rPr>
                <w:rFonts w:cs="Calibri"/>
                <w:szCs w:val="16"/>
              </w:rPr>
            </w:pPr>
            <w:r w:rsidRPr="00261B7A">
              <w:rPr>
                <w:rFonts w:cs="Calibri"/>
                <w:b w:val="0"/>
                <w:szCs w:val="16"/>
              </w:rPr>
              <w:t>±</w:t>
            </w:r>
            <w:r w:rsidRPr="00261B7A">
              <w:t>55.0</w:t>
            </w:r>
          </w:p>
        </w:tc>
      </w:tr>
    </w:tbl>
    <w:p w14:paraId="15B0755A" w14:textId="77777777" w:rsidR="006D123E" w:rsidRPr="00261B7A" w:rsidRDefault="006D123E" w:rsidP="006D123E">
      <w:pPr>
        <w:pStyle w:val="Noteundertable"/>
      </w:pPr>
      <w:r w:rsidRPr="00261B7A">
        <w:rPr>
          <w:b/>
        </w:rPr>
        <w:t>Note:</w:t>
      </w:r>
      <w:r w:rsidRPr="00261B7A">
        <w:tab/>
        <w:t>All land that has been afforested or reforested since 1 January 1990 is defined as post-1989 forest. Land deforested since 1 January 1990 may be pre-1990 natural forest, pre-1990 planted forest, post-1989 planted forest or post-1989 natural forest.</w:t>
      </w:r>
    </w:p>
    <w:p w14:paraId="2D92B30C" w14:textId="77777777" w:rsidR="006D123E" w:rsidRPr="00261B7A" w:rsidRDefault="006D123E" w:rsidP="006D123E">
      <w:pPr>
        <w:pStyle w:val="Table"/>
      </w:pPr>
      <w:bookmarkStart w:id="3108" w:name="_Toc318362740"/>
      <w:bookmarkStart w:id="3109" w:name="_Toc342470819"/>
      <w:bookmarkStart w:id="3110" w:name="_Toc352505072"/>
      <w:bookmarkStart w:id="3111" w:name="_Toc377043708"/>
      <w:bookmarkStart w:id="3112" w:name="_Toc391023560"/>
      <w:bookmarkStart w:id="3113" w:name="_Toc414531533"/>
      <w:bookmarkStart w:id="3114" w:name="_Toc456179111"/>
      <w:bookmarkStart w:id="3115" w:name="_Toc481751636"/>
      <w:bookmarkStart w:id="3116" w:name="_Toc522010662"/>
      <w:bookmarkStart w:id="3117" w:name="_Toc5269633"/>
      <w:bookmarkStart w:id="3118" w:name="_Toc36224716"/>
      <w:bookmarkStart w:id="3119" w:name="_Toc64987051"/>
      <w:bookmarkStart w:id="3120" w:name="_Toc68786601"/>
      <w:bookmarkStart w:id="3121" w:name="_Toc95321546"/>
      <w:bookmarkStart w:id="3122" w:name="_Toc130568414"/>
      <w:bookmarkStart w:id="3123" w:name="_Toc131591507"/>
      <w:r w:rsidRPr="00261B7A">
        <w:t xml:space="preserve">Table 11.4.2 </w:t>
      </w:r>
      <w:r w:rsidRPr="00261B7A">
        <w:tab/>
        <w:t xml:space="preserve">Total uncertainty in New Zealand’s estimates for </w:t>
      </w:r>
      <w:r w:rsidRPr="00261B7A">
        <w:rPr>
          <w:i/>
          <w:iCs/>
        </w:rPr>
        <w:t>Afforestation and reforestation</w:t>
      </w:r>
      <w:r w:rsidRPr="00261B7A">
        <w:t>,</w:t>
      </w:r>
      <w:r w:rsidRPr="00261B7A">
        <w:br/>
      </w:r>
      <w:r w:rsidRPr="00261B7A">
        <w:rPr>
          <w:i/>
          <w:iCs/>
        </w:rPr>
        <w:t>Deforestation</w:t>
      </w:r>
      <w:r w:rsidRPr="00261B7A">
        <w:t xml:space="preserve"> and </w:t>
      </w:r>
      <w:r w:rsidRPr="00261B7A">
        <w:rPr>
          <w:i/>
          <w:iCs/>
        </w:rPr>
        <w:t>Forest management</w:t>
      </w:r>
      <w:r w:rsidRPr="00261B7A">
        <w:t xml:space="preserve"> in </w:t>
      </w:r>
      <w:bookmarkEnd w:id="3108"/>
      <w:bookmarkEnd w:id="3109"/>
      <w:bookmarkEnd w:id="3110"/>
      <w:bookmarkEnd w:id="3111"/>
      <w:bookmarkEnd w:id="3112"/>
      <w:r w:rsidRPr="00261B7A">
        <w:t>20</w:t>
      </w:r>
      <w:bookmarkEnd w:id="3113"/>
      <w:bookmarkEnd w:id="3114"/>
      <w:bookmarkEnd w:id="3115"/>
      <w:bookmarkEnd w:id="3116"/>
      <w:bookmarkEnd w:id="3117"/>
      <w:bookmarkEnd w:id="3118"/>
      <w:bookmarkEnd w:id="3119"/>
      <w:bookmarkEnd w:id="3120"/>
      <w:r w:rsidRPr="00261B7A">
        <w:t>21</w:t>
      </w:r>
      <w:bookmarkEnd w:id="3121"/>
      <w:bookmarkEnd w:id="3122"/>
      <w:bookmarkEnd w:id="3123"/>
      <w:r w:rsidRPr="00261B7A">
        <w:t xml:space="preserve"> </w:t>
      </w:r>
    </w:p>
    <w:tbl>
      <w:tblPr>
        <w:tblW w:w="8505"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2552"/>
        <w:gridCol w:w="1559"/>
        <w:gridCol w:w="2126"/>
        <w:gridCol w:w="2268"/>
      </w:tblGrid>
      <w:tr w:rsidR="006D123E" w:rsidRPr="00261B7A" w14:paraId="4EB7A72E" w14:textId="77777777" w:rsidTr="009C63CA">
        <w:tc>
          <w:tcPr>
            <w:tcW w:w="2552" w:type="dxa"/>
            <w:shd w:val="clear" w:color="auto" w:fill="1B556B"/>
            <w:noWrap/>
            <w:vAlign w:val="bottom"/>
            <w:hideMark/>
          </w:tcPr>
          <w:p w14:paraId="6FEB936C" w14:textId="77777777" w:rsidR="006D123E" w:rsidRPr="00261B7A" w:rsidRDefault="006D123E" w:rsidP="009C63CA">
            <w:pPr>
              <w:pStyle w:val="TableTextBold"/>
              <w:keepNext/>
              <w:spacing w:before="40" w:after="40"/>
              <w:rPr>
                <w:bCs/>
                <w:noProof w:val="0"/>
                <w:color w:val="FFFFFF"/>
                <w:szCs w:val="16"/>
              </w:rPr>
            </w:pPr>
            <w:r w:rsidRPr="00261B7A">
              <w:rPr>
                <w:bCs/>
                <w:noProof w:val="0"/>
                <w:color w:val="FFFFFF"/>
                <w:szCs w:val="16"/>
              </w:rPr>
              <w:t>Variable</w:t>
            </w:r>
          </w:p>
        </w:tc>
        <w:tc>
          <w:tcPr>
            <w:tcW w:w="1559" w:type="dxa"/>
            <w:shd w:val="clear" w:color="auto" w:fill="1B556B"/>
            <w:noWrap/>
            <w:vAlign w:val="bottom"/>
            <w:hideMark/>
          </w:tcPr>
          <w:p w14:paraId="3B837BB0" w14:textId="77777777" w:rsidR="006D123E" w:rsidRPr="00261B7A" w:rsidRDefault="006D123E" w:rsidP="009C63CA">
            <w:pPr>
              <w:pStyle w:val="TableTextBold"/>
              <w:keepNext/>
              <w:spacing w:before="40" w:after="40"/>
              <w:jc w:val="right"/>
              <w:rPr>
                <w:bCs/>
                <w:noProof w:val="0"/>
                <w:color w:val="FFFFFF"/>
                <w:szCs w:val="16"/>
              </w:rPr>
            </w:pPr>
            <w:r w:rsidRPr="00261B7A">
              <w:rPr>
                <w:bCs/>
                <w:noProof w:val="0"/>
                <w:color w:val="FFFFFF"/>
                <w:szCs w:val="16"/>
              </w:rPr>
              <w:t>Emissions (kt CO</w:t>
            </w:r>
            <w:r w:rsidRPr="00261B7A">
              <w:rPr>
                <w:bCs/>
                <w:noProof w:val="0"/>
                <w:color w:val="FFFFFF"/>
                <w:szCs w:val="16"/>
                <w:vertAlign w:val="subscript"/>
              </w:rPr>
              <w:t>2</w:t>
            </w:r>
            <w:r w:rsidRPr="00261B7A">
              <w:rPr>
                <w:bCs/>
                <w:noProof w:val="0"/>
                <w:color w:val="FFFFFF"/>
                <w:szCs w:val="16"/>
              </w:rPr>
              <w:t>-e)</w:t>
            </w:r>
          </w:p>
        </w:tc>
        <w:tc>
          <w:tcPr>
            <w:tcW w:w="2126" w:type="dxa"/>
            <w:shd w:val="clear" w:color="auto" w:fill="1B556B"/>
          </w:tcPr>
          <w:p w14:paraId="3E2CE6AE" w14:textId="77777777" w:rsidR="006D123E" w:rsidRPr="00261B7A" w:rsidRDefault="006D123E" w:rsidP="009C63CA">
            <w:pPr>
              <w:pStyle w:val="TableTextBold"/>
              <w:keepNext/>
              <w:spacing w:before="40" w:after="40"/>
              <w:jc w:val="right"/>
              <w:rPr>
                <w:bCs/>
                <w:noProof w:val="0"/>
                <w:color w:val="FFFFFF"/>
                <w:szCs w:val="16"/>
              </w:rPr>
            </w:pPr>
            <w:r w:rsidRPr="00261B7A">
              <w:rPr>
                <w:bCs/>
                <w:noProof w:val="0"/>
                <w:color w:val="FFFFFF"/>
                <w:szCs w:val="16"/>
              </w:rPr>
              <w:t>Uncertainty in emissions (%) at a 95% confidence interval</w:t>
            </w:r>
          </w:p>
        </w:tc>
        <w:tc>
          <w:tcPr>
            <w:tcW w:w="2268" w:type="dxa"/>
            <w:shd w:val="clear" w:color="auto" w:fill="1B556B"/>
          </w:tcPr>
          <w:p w14:paraId="5B9A6F96" w14:textId="77777777" w:rsidR="006D123E" w:rsidRPr="00261B7A" w:rsidRDefault="006D123E" w:rsidP="009C63CA">
            <w:pPr>
              <w:pStyle w:val="TableTextBold"/>
              <w:keepNext/>
              <w:spacing w:before="40" w:after="40"/>
              <w:jc w:val="right"/>
              <w:rPr>
                <w:bCs/>
                <w:noProof w:val="0"/>
                <w:color w:val="FFFFFF"/>
                <w:szCs w:val="16"/>
              </w:rPr>
            </w:pPr>
            <w:r w:rsidRPr="00261B7A">
              <w:rPr>
                <w:bCs/>
                <w:noProof w:val="0"/>
                <w:color w:val="FFFFFF"/>
                <w:szCs w:val="16"/>
              </w:rPr>
              <w:t>Uncertainty introduced to Kyoto Protocol emissions (%)</w:t>
            </w:r>
          </w:p>
        </w:tc>
      </w:tr>
      <w:tr w:rsidR="006D123E" w:rsidRPr="00261B7A" w14:paraId="4A842EC6" w14:textId="77777777" w:rsidTr="009C63CA">
        <w:tc>
          <w:tcPr>
            <w:tcW w:w="2552" w:type="dxa"/>
            <w:shd w:val="clear" w:color="auto" w:fill="auto"/>
            <w:noWrap/>
            <w:vAlign w:val="bottom"/>
            <w:hideMark/>
          </w:tcPr>
          <w:p w14:paraId="769579CE" w14:textId="77777777" w:rsidR="006D123E" w:rsidRPr="00261B7A" w:rsidRDefault="006D123E" w:rsidP="009C63CA">
            <w:pPr>
              <w:pStyle w:val="TableText"/>
              <w:spacing w:before="40" w:after="40"/>
              <w:rPr>
                <w:szCs w:val="16"/>
              </w:rPr>
            </w:pPr>
            <w:r w:rsidRPr="00261B7A">
              <w:rPr>
                <w:szCs w:val="16"/>
              </w:rPr>
              <w:t>Afforestation and reforestation uncertainty introduced into emissions for Kyoto Protocol</w:t>
            </w:r>
          </w:p>
        </w:tc>
        <w:tc>
          <w:tcPr>
            <w:tcW w:w="1559" w:type="dxa"/>
            <w:shd w:val="clear" w:color="auto" w:fill="auto"/>
            <w:noWrap/>
            <w:hideMark/>
          </w:tcPr>
          <w:p w14:paraId="5F6EDBD4" w14:textId="77777777" w:rsidR="006D123E" w:rsidRPr="00261B7A" w:rsidRDefault="006D123E" w:rsidP="009C63CA">
            <w:pPr>
              <w:pStyle w:val="TableText"/>
              <w:keepNext/>
              <w:spacing w:before="40" w:after="40"/>
              <w:jc w:val="right"/>
              <w:rPr>
                <w:szCs w:val="16"/>
              </w:rPr>
            </w:pPr>
            <w:r w:rsidRPr="00261B7A">
              <w:t>–</w:t>
            </w:r>
            <w:r w:rsidRPr="00261B7A">
              <w:rPr>
                <w:rFonts w:cs="Calibri"/>
                <w:color w:val="000000"/>
                <w:szCs w:val="16"/>
              </w:rPr>
              <w:t xml:space="preserve">11,488.3 </w:t>
            </w:r>
          </w:p>
        </w:tc>
        <w:tc>
          <w:tcPr>
            <w:tcW w:w="2126" w:type="dxa"/>
          </w:tcPr>
          <w:p w14:paraId="3AF447EE" w14:textId="77777777" w:rsidR="006D123E" w:rsidRPr="00261B7A" w:rsidRDefault="006D123E" w:rsidP="009C63CA">
            <w:pPr>
              <w:pStyle w:val="TableText"/>
              <w:keepNext/>
              <w:spacing w:before="40" w:after="40"/>
              <w:jc w:val="right"/>
              <w:rPr>
                <w:rFonts w:cs="Calibri"/>
                <w:b/>
                <w:szCs w:val="16"/>
              </w:rPr>
            </w:pPr>
            <w:r w:rsidRPr="00261B7A">
              <w:t>35.9</w:t>
            </w:r>
          </w:p>
        </w:tc>
        <w:tc>
          <w:tcPr>
            <w:tcW w:w="2268" w:type="dxa"/>
          </w:tcPr>
          <w:p w14:paraId="48784F3A" w14:textId="77777777" w:rsidR="006D123E" w:rsidRPr="00261B7A" w:rsidRDefault="006D123E" w:rsidP="009C63CA">
            <w:pPr>
              <w:pStyle w:val="TableText"/>
              <w:keepNext/>
              <w:spacing w:before="40" w:after="40"/>
              <w:jc w:val="right"/>
              <w:rPr>
                <w:rFonts w:cs="Calibri"/>
                <w:b/>
                <w:szCs w:val="16"/>
              </w:rPr>
            </w:pPr>
            <w:r w:rsidRPr="00261B7A">
              <w:t>14.7</w:t>
            </w:r>
          </w:p>
        </w:tc>
      </w:tr>
      <w:tr w:rsidR="006D123E" w:rsidRPr="00261B7A" w14:paraId="13ED96B0" w14:textId="77777777" w:rsidTr="009C63CA">
        <w:tc>
          <w:tcPr>
            <w:tcW w:w="2552" w:type="dxa"/>
            <w:shd w:val="clear" w:color="auto" w:fill="auto"/>
            <w:noWrap/>
            <w:vAlign w:val="bottom"/>
            <w:hideMark/>
          </w:tcPr>
          <w:p w14:paraId="4C033F71" w14:textId="77777777" w:rsidR="006D123E" w:rsidRPr="00261B7A" w:rsidRDefault="006D123E" w:rsidP="009C63CA">
            <w:pPr>
              <w:pStyle w:val="TableText"/>
              <w:spacing w:before="40" w:after="40"/>
              <w:rPr>
                <w:szCs w:val="16"/>
              </w:rPr>
            </w:pPr>
            <w:r w:rsidRPr="00261B7A">
              <w:rPr>
                <w:szCs w:val="16"/>
              </w:rPr>
              <w:t>Deforestation uncertainty introduced into emissions for Kyoto Protocol</w:t>
            </w:r>
          </w:p>
        </w:tc>
        <w:tc>
          <w:tcPr>
            <w:tcW w:w="1559" w:type="dxa"/>
            <w:shd w:val="clear" w:color="auto" w:fill="auto"/>
            <w:noWrap/>
            <w:hideMark/>
          </w:tcPr>
          <w:p w14:paraId="33A59FE7" w14:textId="77777777" w:rsidR="006D123E" w:rsidRPr="00261B7A" w:rsidRDefault="006D123E" w:rsidP="009C63CA">
            <w:pPr>
              <w:pStyle w:val="TableText"/>
              <w:keepNext/>
              <w:spacing w:before="40" w:after="40"/>
              <w:jc w:val="right"/>
              <w:rPr>
                <w:szCs w:val="16"/>
              </w:rPr>
            </w:pPr>
            <w:r w:rsidRPr="00261B7A">
              <w:t>1,391.0</w:t>
            </w:r>
          </w:p>
        </w:tc>
        <w:tc>
          <w:tcPr>
            <w:tcW w:w="2126" w:type="dxa"/>
          </w:tcPr>
          <w:p w14:paraId="73F43030" w14:textId="77777777" w:rsidR="006D123E" w:rsidRPr="00261B7A" w:rsidRDefault="006D123E" w:rsidP="009C63CA">
            <w:pPr>
              <w:pStyle w:val="TableText"/>
              <w:keepNext/>
              <w:spacing w:before="40" w:after="40"/>
              <w:jc w:val="right"/>
              <w:rPr>
                <w:rFonts w:cs="Calibri"/>
                <w:b/>
                <w:szCs w:val="16"/>
              </w:rPr>
            </w:pPr>
            <w:r w:rsidRPr="00261B7A">
              <w:t>66.6</w:t>
            </w:r>
          </w:p>
        </w:tc>
        <w:tc>
          <w:tcPr>
            <w:tcW w:w="2268" w:type="dxa"/>
          </w:tcPr>
          <w:p w14:paraId="79E9A861" w14:textId="77777777" w:rsidR="006D123E" w:rsidRPr="00261B7A" w:rsidRDefault="006D123E" w:rsidP="009C63CA">
            <w:pPr>
              <w:pStyle w:val="TableText"/>
              <w:keepNext/>
              <w:spacing w:before="40" w:after="40"/>
              <w:jc w:val="right"/>
              <w:rPr>
                <w:rFonts w:cs="Calibri"/>
                <w:b/>
                <w:szCs w:val="16"/>
              </w:rPr>
            </w:pPr>
            <w:r w:rsidRPr="00261B7A">
              <w:t>4.0</w:t>
            </w:r>
          </w:p>
        </w:tc>
      </w:tr>
      <w:tr w:rsidR="006D123E" w:rsidRPr="00261B7A" w14:paraId="257FB971" w14:textId="77777777" w:rsidTr="009C63CA">
        <w:tc>
          <w:tcPr>
            <w:tcW w:w="2552" w:type="dxa"/>
            <w:shd w:val="clear" w:color="auto" w:fill="auto"/>
            <w:noWrap/>
            <w:vAlign w:val="bottom"/>
          </w:tcPr>
          <w:p w14:paraId="1CBAA4BF" w14:textId="77777777" w:rsidR="006D123E" w:rsidRPr="00261B7A" w:rsidRDefault="006D123E" w:rsidP="009C63CA">
            <w:pPr>
              <w:pStyle w:val="TableText"/>
              <w:spacing w:before="40" w:after="40"/>
              <w:rPr>
                <w:szCs w:val="16"/>
              </w:rPr>
            </w:pPr>
            <w:r w:rsidRPr="00261B7A">
              <w:rPr>
                <w:szCs w:val="16"/>
              </w:rPr>
              <w:t>Forest management uncertainty introduced into emissions for Kyoto Protocol</w:t>
            </w:r>
          </w:p>
        </w:tc>
        <w:tc>
          <w:tcPr>
            <w:tcW w:w="1559" w:type="dxa"/>
            <w:shd w:val="clear" w:color="auto" w:fill="auto"/>
            <w:noWrap/>
          </w:tcPr>
          <w:p w14:paraId="3F4EFFD0" w14:textId="77777777" w:rsidR="006D123E" w:rsidRPr="00261B7A" w:rsidRDefault="006D123E" w:rsidP="009C63CA">
            <w:pPr>
              <w:pStyle w:val="TableText"/>
              <w:keepNext/>
              <w:spacing w:before="40" w:after="40"/>
              <w:jc w:val="right"/>
              <w:rPr>
                <w:szCs w:val="16"/>
              </w:rPr>
            </w:pPr>
            <w:r w:rsidRPr="00261B7A">
              <w:t>–16,757.25</w:t>
            </w:r>
          </w:p>
        </w:tc>
        <w:tc>
          <w:tcPr>
            <w:tcW w:w="2126" w:type="dxa"/>
          </w:tcPr>
          <w:p w14:paraId="54B8B2E4" w14:textId="77777777" w:rsidR="006D123E" w:rsidRPr="00261B7A" w:rsidRDefault="006D123E" w:rsidP="009C63CA">
            <w:pPr>
              <w:pStyle w:val="TableText"/>
              <w:keepNext/>
              <w:spacing w:before="40" w:after="40"/>
              <w:jc w:val="right"/>
              <w:rPr>
                <w:rFonts w:cs="Calibri"/>
                <w:b/>
                <w:szCs w:val="16"/>
              </w:rPr>
            </w:pPr>
            <w:r w:rsidRPr="00261B7A">
              <w:t>85.9</w:t>
            </w:r>
          </w:p>
        </w:tc>
        <w:tc>
          <w:tcPr>
            <w:tcW w:w="2268" w:type="dxa"/>
          </w:tcPr>
          <w:p w14:paraId="4CB3B6FC" w14:textId="77777777" w:rsidR="006D123E" w:rsidRPr="00261B7A" w:rsidRDefault="006D123E" w:rsidP="009C63CA">
            <w:pPr>
              <w:pStyle w:val="TableText"/>
              <w:keepNext/>
              <w:spacing w:before="40" w:after="40"/>
              <w:jc w:val="right"/>
              <w:rPr>
                <w:rFonts w:cs="Calibri"/>
                <w:b/>
                <w:szCs w:val="16"/>
              </w:rPr>
            </w:pPr>
            <w:r w:rsidRPr="00261B7A">
              <w:t>56.9</w:t>
            </w:r>
          </w:p>
        </w:tc>
      </w:tr>
      <w:tr w:rsidR="006D123E" w:rsidRPr="00261B7A" w14:paraId="08205818" w14:textId="77777777" w:rsidTr="009C63CA">
        <w:tc>
          <w:tcPr>
            <w:tcW w:w="2552" w:type="dxa"/>
            <w:shd w:val="clear" w:color="auto" w:fill="auto"/>
            <w:noWrap/>
            <w:vAlign w:val="center"/>
            <w:hideMark/>
          </w:tcPr>
          <w:p w14:paraId="2FF9DA00" w14:textId="77777777" w:rsidR="006D123E" w:rsidRPr="00261B7A" w:rsidRDefault="006D123E" w:rsidP="009C63CA">
            <w:pPr>
              <w:pStyle w:val="Tableboldblue"/>
              <w:spacing w:before="40" w:after="40"/>
              <w:rPr>
                <w:bCs/>
                <w:szCs w:val="16"/>
              </w:rPr>
            </w:pPr>
            <w:r w:rsidRPr="00261B7A">
              <w:rPr>
                <w:bCs/>
                <w:szCs w:val="16"/>
              </w:rPr>
              <w:t>Total uncertainty for Kyoto Protocol</w:t>
            </w:r>
          </w:p>
        </w:tc>
        <w:tc>
          <w:tcPr>
            <w:tcW w:w="1559" w:type="dxa"/>
            <w:shd w:val="clear" w:color="auto" w:fill="auto"/>
            <w:noWrap/>
            <w:hideMark/>
          </w:tcPr>
          <w:p w14:paraId="1F2D0373" w14:textId="77777777" w:rsidR="006D123E" w:rsidRPr="00261B7A" w:rsidRDefault="006D123E" w:rsidP="009C63CA">
            <w:pPr>
              <w:pStyle w:val="Tableboldblue"/>
              <w:spacing w:before="40" w:after="40"/>
              <w:jc w:val="right"/>
              <w:rPr>
                <w:szCs w:val="16"/>
              </w:rPr>
            </w:pPr>
            <w:r w:rsidRPr="00261B7A">
              <w:t>–26,854.5</w:t>
            </w:r>
          </w:p>
        </w:tc>
        <w:tc>
          <w:tcPr>
            <w:tcW w:w="2126" w:type="dxa"/>
          </w:tcPr>
          <w:p w14:paraId="1CEA1744" w14:textId="77777777" w:rsidR="006D123E" w:rsidRPr="00261B7A" w:rsidRDefault="006D123E" w:rsidP="009C63CA">
            <w:pPr>
              <w:pStyle w:val="Tableboldblue"/>
              <w:spacing w:before="40" w:after="40"/>
              <w:jc w:val="right"/>
              <w:rPr>
                <w:rFonts w:cs="Calibri"/>
                <w:b w:val="0"/>
                <w:szCs w:val="16"/>
              </w:rPr>
            </w:pPr>
            <w:r w:rsidRPr="00261B7A">
              <w:t>58.7</w:t>
            </w:r>
          </w:p>
        </w:tc>
        <w:tc>
          <w:tcPr>
            <w:tcW w:w="2268" w:type="dxa"/>
          </w:tcPr>
          <w:p w14:paraId="5B8B3FED" w14:textId="77777777" w:rsidR="006D123E" w:rsidRPr="00261B7A" w:rsidRDefault="006D123E" w:rsidP="009C63CA">
            <w:pPr>
              <w:pStyle w:val="Tableboldblue"/>
              <w:spacing w:before="40" w:after="40"/>
              <w:jc w:val="right"/>
              <w:rPr>
                <w:rFonts w:cs="Calibri"/>
                <w:b w:val="0"/>
                <w:szCs w:val="16"/>
              </w:rPr>
            </w:pPr>
          </w:p>
        </w:tc>
      </w:tr>
    </w:tbl>
    <w:p w14:paraId="5BE040E5" w14:textId="77777777" w:rsidR="006D123E" w:rsidRPr="00261B7A" w:rsidRDefault="006D123E" w:rsidP="00041A55">
      <w:pPr>
        <w:pStyle w:val="Heading3"/>
        <w:tabs>
          <w:tab w:val="clear" w:pos="851"/>
          <w:tab w:val="left" w:pos="964"/>
        </w:tabs>
        <w:spacing w:before="280"/>
      </w:pPr>
      <w:bookmarkStart w:id="3124" w:name="_Toc261513295"/>
      <w:bookmarkStart w:id="3125" w:name="_Toc261513908"/>
      <w:bookmarkStart w:id="3126" w:name="_Toc280630398"/>
      <w:r w:rsidRPr="00261B7A">
        <w:t>11.4.2</w:t>
      </w:r>
      <w:r w:rsidRPr="00261B7A">
        <w:tab/>
      </w:r>
      <w:bookmarkEnd w:id="3124"/>
      <w:bookmarkEnd w:id="3125"/>
      <w:bookmarkEnd w:id="3126"/>
      <w:r w:rsidRPr="00261B7A">
        <w:t>Quality control and quality assurance</w:t>
      </w:r>
    </w:p>
    <w:p w14:paraId="45268987" w14:textId="77777777" w:rsidR="006D123E" w:rsidRPr="00261B7A" w:rsidRDefault="006D123E" w:rsidP="006D123E">
      <w:pPr>
        <w:pStyle w:val="BodyText"/>
      </w:pPr>
      <w:r w:rsidRPr="00261B7A">
        <w:t xml:space="preserve">Quality-control and quality-assurance procedures have been adopted for all data collection and data analyses, to be consistent with the </w:t>
      </w:r>
      <w:r w:rsidRPr="00261B7A">
        <w:rPr>
          <w:iCs/>
        </w:rPr>
        <w:t>IPCC General Guidance and Reporting</w:t>
      </w:r>
      <w:r w:rsidRPr="00261B7A">
        <w:rPr>
          <w:i/>
        </w:rPr>
        <w:t xml:space="preserve"> </w:t>
      </w:r>
      <w:r w:rsidRPr="00261B7A">
        <w:t>(IPCC, 2006b) and New Zealand’s inventory quality-control and quality-assurance plan. Quality-control and quality-assurance plans were established for each type of data used to determine carbon stock and stock changes, as well as the areal extent and spatial location of land-use changes. All data were subject to an independent and documented quality-assurance process. Data validation rules and reports were established to ensure all data are fit for purpose and are of consistent and known quality, and that data quality continues to be improved over time. The data used to derive the country-specific yield tables and average carbon values have also undergone quality assurance, as described in chapter 6, section 6.3.4.</w:t>
      </w:r>
    </w:p>
    <w:p w14:paraId="7276CEF1" w14:textId="77777777" w:rsidR="006D123E" w:rsidRPr="00261B7A" w:rsidRDefault="006D123E" w:rsidP="00041A55">
      <w:pPr>
        <w:pStyle w:val="Heading3"/>
        <w:tabs>
          <w:tab w:val="clear" w:pos="851"/>
          <w:tab w:val="left" w:pos="964"/>
        </w:tabs>
        <w:spacing w:before="280"/>
      </w:pPr>
      <w:r w:rsidRPr="00261B7A">
        <w:t>11.4.3</w:t>
      </w:r>
      <w:r w:rsidRPr="00261B7A">
        <w:tab/>
        <w:t>Recalculations</w:t>
      </w:r>
    </w:p>
    <w:p w14:paraId="52EDD7A7" w14:textId="77777777" w:rsidR="006D123E" w:rsidRPr="00261B7A" w:rsidRDefault="006D123E" w:rsidP="006D123E">
      <w:pPr>
        <w:pStyle w:val="BodyText"/>
      </w:pPr>
      <w:r w:rsidRPr="00261B7A">
        <w:t>New Zealand’s greenhouse gas estimates for activities under Article 3.3 of the Kyoto Protocol have not been recalculated since the previous submission as the previous commitment period concluded at the end of 2020. Comparisons with recalculated 2020 values are therefore not provided.</w:t>
      </w:r>
    </w:p>
    <w:p w14:paraId="09771549" w14:textId="60B2A86B" w:rsidR="006D123E" w:rsidRPr="00261B7A" w:rsidRDefault="006D123E" w:rsidP="00041A55">
      <w:pPr>
        <w:pStyle w:val="Heading3"/>
        <w:tabs>
          <w:tab w:val="clear" w:pos="851"/>
          <w:tab w:val="left" w:pos="964"/>
        </w:tabs>
        <w:spacing w:before="280"/>
      </w:pPr>
      <w:r w:rsidRPr="00261B7A">
        <w:t xml:space="preserve">11.4.4 </w:t>
      </w:r>
      <w:r w:rsidRPr="00261B7A">
        <w:tab/>
        <w:t>Planned improvements</w:t>
      </w:r>
    </w:p>
    <w:p w14:paraId="38784F69" w14:textId="77777777" w:rsidR="006D123E" w:rsidRPr="00261B7A" w:rsidRDefault="006D123E" w:rsidP="006D123E">
      <w:pPr>
        <w:pStyle w:val="BodyText"/>
      </w:pPr>
      <w:r w:rsidRPr="00261B7A">
        <w:t>With no further commitments under the Kyoto Protocol, all relevant planned improvements are covered within the LULUCF sector. Improvements for the LULUCF sector are described under each specific land use category in chapter 6.</w:t>
      </w:r>
    </w:p>
    <w:p w14:paraId="7A8B4A54" w14:textId="77777777" w:rsidR="006D123E" w:rsidRPr="00261B7A" w:rsidRDefault="006D123E" w:rsidP="00041A55">
      <w:pPr>
        <w:pStyle w:val="Heading2"/>
        <w:tabs>
          <w:tab w:val="clear" w:pos="851"/>
          <w:tab w:val="left" w:pos="964"/>
        </w:tabs>
      </w:pPr>
      <w:bookmarkStart w:id="3127" w:name="_Toc456179173"/>
      <w:bookmarkStart w:id="3128" w:name="_Toc481751426"/>
      <w:bookmarkStart w:id="3129" w:name="_Toc522013965"/>
      <w:bookmarkStart w:id="3130" w:name="_Toc5269409"/>
      <w:bookmarkStart w:id="3131" w:name="_Toc36224449"/>
      <w:bookmarkStart w:id="3132" w:name="_Toc68786369"/>
      <w:bookmarkStart w:id="3133" w:name="_Toc131591283"/>
      <w:bookmarkStart w:id="3134" w:name="_Toc261513296"/>
      <w:bookmarkStart w:id="3135" w:name="_Toc261513909"/>
      <w:bookmarkStart w:id="3136" w:name="_Toc280630399"/>
      <w:r w:rsidRPr="00261B7A">
        <w:t xml:space="preserve">11.5 </w:t>
      </w:r>
      <w:r w:rsidRPr="00261B7A">
        <w:tab/>
        <w:t>Demonstration that activities apply</w:t>
      </w:r>
      <w:bookmarkEnd w:id="3127"/>
      <w:bookmarkEnd w:id="3128"/>
      <w:bookmarkEnd w:id="3129"/>
      <w:bookmarkEnd w:id="3130"/>
      <w:bookmarkEnd w:id="3131"/>
      <w:bookmarkEnd w:id="3132"/>
      <w:bookmarkEnd w:id="3133"/>
    </w:p>
    <w:p w14:paraId="4CAF7AE4" w14:textId="77777777" w:rsidR="006D123E" w:rsidRPr="00261B7A" w:rsidRDefault="006D123E" w:rsidP="00041A55">
      <w:pPr>
        <w:pStyle w:val="Heading3"/>
        <w:tabs>
          <w:tab w:val="clear" w:pos="851"/>
          <w:tab w:val="left" w:pos="964"/>
        </w:tabs>
        <w:spacing w:before="160"/>
      </w:pPr>
      <w:r w:rsidRPr="00261B7A">
        <w:t xml:space="preserve">11.5.1 </w:t>
      </w:r>
      <w:r w:rsidRPr="00261B7A">
        <w:tab/>
        <w:t>Year of the onset of an activity</w:t>
      </w:r>
      <w:bookmarkEnd w:id="3134"/>
      <w:bookmarkEnd w:id="3135"/>
      <w:bookmarkEnd w:id="3136"/>
    </w:p>
    <w:p w14:paraId="030A58C5" w14:textId="77777777" w:rsidR="006D123E" w:rsidRPr="00261B7A" w:rsidRDefault="006D123E" w:rsidP="006D123E">
      <w:pPr>
        <w:pStyle w:val="BodyText"/>
      </w:pPr>
      <w:r w:rsidRPr="00261B7A">
        <w:t xml:space="preserve">The </w:t>
      </w:r>
      <w:r w:rsidRPr="00261B7A">
        <w:rPr>
          <w:i/>
        </w:rPr>
        <w:t>Afforestation</w:t>
      </w:r>
      <w:r w:rsidRPr="00261B7A">
        <w:t xml:space="preserve"> occurring in each year is estimated from the </w:t>
      </w:r>
      <w:r w:rsidRPr="00261B7A">
        <w:rPr>
          <w:spacing w:val="-2"/>
        </w:rPr>
        <w:t>Land Use Carbon Analysis System land use map</w:t>
      </w:r>
      <w:r w:rsidRPr="00261B7A">
        <w:t xml:space="preserve">, as described in section 11.3.2, and the National Exotic Forest Description survey, which captures information from the Ministry for Primary Industries schemes and programmes described in section 11.3.2 (Ministry for Primary Industries, 2021). This information ensures that the activity is attributed to the correct year of onset. </w:t>
      </w:r>
    </w:p>
    <w:p w14:paraId="3EFC2C2C" w14:textId="77777777" w:rsidR="006D123E" w:rsidRPr="00261B7A" w:rsidRDefault="006D123E" w:rsidP="006D123E">
      <w:pPr>
        <w:pStyle w:val="BodyText"/>
      </w:pPr>
      <w:r w:rsidRPr="00261B7A">
        <w:t xml:space="preserve">The annual area of </w:t>
      </w:r>
      <w:r w:rsidRPr="00261B7A">
        <w:rPr>
          <w:i/>
          <w:spacing w:val="-2"/>
        </w:rPr>
        <w:t>Deforestation</w:t>
      </w:r>
      <w:r w:rsidRPr="00261B7A">
        <w:t xml:space="preserve"> reported from 2008 to 2016 is based on wall-to-wall detection and mapping of </w:t>
      </w:r>
      <w:r w:rsidRPr="00261B7A">
        <w:rPr>
          <w:spacing w:val="-2"/>
        </w:rPr>
        <w:t>deforestation</w:t>
      </w:r>
      <w:r w:rsidRPr="00261B7A">
        <w:t xml:space="preserve"> activity supported by data from the NZ ETS. Deforestation is first detected using annual satellite imagery and confirmed using oblique and vertical aerial photography. The year of onset (destocking year) is therefore determined from the first year of detection of forest loss in the annual satellite imagery time series. Because </w:t>
      </w:r>
      <w:r w:rsidRPr="00261B7A">
        <w:rPr>
          <w:spacing w:val="-2"/>
        </w:rPr>
        <w:t>deforestation</w:t>
      </w:r>
      <w:r w:rsidRPr="00261B7A">
        <w:t xml:space="preserve"> mapping has not yet been completed for activity occurring in the 2020 to 2021 period, the total deforestation area for these years has been estimated as described in annex 3, section A.3.2.2.</w:t>
      </w:r>
    </w:p>
    <w:p w14:paraId="6B376D13" w14:textId="77777777" w:rsidR="006D123E" w:rsidRPr="00261B7A" w:rsidRDefault="006D123E" w:rsidP="006D123E">
      <w:pPr>
        <w:pStyle w:val="BodyText"/>
      </w:pPr>
      <w:r w:rsidRPr="00261B7A">
        <w:t>It can take up to four years following the loss of forest cover to determine that replanting or revegetation has occurred. This is because sometimes the land owner does not replant trees immediately but leaves the land fallow for a time. The process for monitoring this unclassified deforestation is described in section 11.5.4. When deforestation is finally confirmed, the deforestation is attributed to the year when forest cover was removed, regardless of whether that forest loss occurred in a previous commitment period.</w:t>
      </w:r>
    </w:p>
    <w:p w14:paraId="4860619F" w14:textId="77777777" w:rsidR="006D123E" w:rsidRPr="00261B7A" w:rsidRDefault="006D123E" w:rsidP="00041A55">
      <w:pPr>
        <w:pStyle w:val="Heading3"/>
        <w:tabs>
          <w:tab w:val="clear" w:pos="851"/>
          <w:tab w:val="left" w:pos="993"/>
        </w:tabs>
        <w:spacing w:before="240"/>
      </w:pPr>
      <w:bookmarkStart w:id="3137" w:name="_Toc261513299"/>
      <w:bookmarkStart w:id="3138" w:name="_Toc261513912"/>
      <w:bookmarkStart w:id="3139" w:name="_Toc280630402"/>
      <w:bookmarkStart w:id="3140" w:name="_Toc377043726"/>
      <w:bookmarkStart w:id="3141" w:name="_Toc400967264"/>
      <w:r w:rsidRPr="00261B7A">
        <w:t xml:space="preserve">11.5.2 </w:t>
      </w:r>
      <w:r w:rsidRPr="00261B7A">
        <w:tab/>
        <w:t>Distinction between harvesting and deforestation</w:t>
      </w:r>
      <w:bookmarkEnd w:id="3137"/>
      <w:bookmarkEnd w:id="3138"/>
      <w:bookmarkEnd w:id="3139"/>
      <w:bookmarkEnd w:id="3140"/>
      <w:bookmarkEnd w:id="3141"/>
    </w:p>
    <w:p w14:paraId="348DE402" w14:textId="77777777" w:rsidR="006D123E" w:rsidRPr="00261B7A" w:rsidRDefault="006D123E" w:rsidP="006D123E">
      <w:pPr>
        <w:pStyle w:val="BodyText"/>
        <w:spacing w:before="100" w:after="100"/>
      </w:pPr>
      <w:r w:rsidRPr="00261B7A">
        <w:t>Paragraph 5 of the annex to Decision 16/CMP.1 (UNFCCC, 2006) requires that countries provide information on how harvesting or forest disturbance that is followed by the re</w:t>
      </w:r>
      <w:r w:rsidRPr="00261B7A">
        <w:noBreakHyphen/>
        <w:t xml:space="preserve">establishment of forest is distinguished from </w:t>
      </w:r>
      <w:r w:rsidRPr="00261B7A">
        <w:rPr>
          <w:i/>
          <w:spacing w:val="-2"/>
        </w:rPr>
        <w:t>Deforestation</w:t>
      </w:r>
      <w:r w:rsidRPr="00261B7A">
        <w:t>.</w:t>
      </w:r>
    </w:p>
    <w:p w14:paraId="4270F2FF" w14:textId="77777777" w:rsidR="006D123E" w:rsidRPr="00261B7A" w:rsidRDefault="006D123E" w:rsidP="006D123E">
      <w:pPr>
        <w:pStyle w:val="BodyText"/>
        <w:spacing w:before="100" w:after="100"/>
      </w:pPr>
      <w:r w:rsidRPr="00261B7A">
        <w:t xml:space="preserve">New Zealand has used the definition of </w:t>
      </w:r>
      <w:r w:rsidRPr="00261B7A">
        <w:rPr>
          <w:i/>
          <w:spacing w:val="-2"/>
        </w:rPr>
        <w:t>Deforestation</w:t>
      </w:r>
      <w:r w:rsidRPr="00261B7A">
        <w:t xml:space="preserve"> from Decision 16/CMP.1: “the direct human-induced conversion of forested land to non-forested land” (Annex A, UNFCCC, 2006). Deforestation is different from harvesting, in that harvesting is part of usual forest management practice and involves the removal of biomass from a site followed by reforestation (replanting or natural regeneration, i.e., no change in land use).</w:t>
      </w:r>
    </w:p>
    <w:p w14:paraId="02270B6A" w14:textId="77777777" w:rsidR="006D123E" w:rsidRPr="00261B7A" w:rsidRDefault="006D123E" w:rsidP="006D123E">
      <w:pPr>
        <w:pStyle w:val="BodyText"/>
        <w:spacing w:before="100" w:after="100"/>
      </w:pPr>
      <w:r w:rsidRPr="00261B7A">
        <w:t xml:space="preserve">In New Zealand, temporarily unstocked or cleared areas of forest (e.g., harvested areas and areas subject to disturbances) remain designated as </w:t>
      </w:r>
      <w:r w:rsidRPr="00261B7A">
        <w:rPr>
          <w:i/>
        </w:rPr>
        <w:t>Forest land</w:t>
      </w:r>
      <w:r w:rsidRPr="00261B7A">
        <w:t xml:space="preserve"> unless a change in land use is confirmed or if, after four years, no reforestation (replanting or regeneration) has occurred. This follows the process for determining whether land is subject to direct human-induced </w:t>
      </w:r>
      <w:r w:rsidRPr="00261B7A">
        <w:rPr>
          <w:spacing w:val="-2"/>
        </w:rPr>
        <w:t>deforestation</w:t>
      </w:r>
      <w:r w:rsidRPr="00261B7A">
        <w:t xml:space="preserve"> as set out in section 2.6.2.1 of the Kyoto Protocol Supplement (IPCC, 2014). New Zealand has defined the expected period between the removal of tree cover and successful natural regeneration or planting as four years. In New Zealand, the tree grower and land owner are often different people. Forest land can be temporarily unstocked for several years while land owners decide what to do with land after harvesting. </w:t>
      </w:r>
    </w:p>
    <w:p w14:paraId="2EED8EC4" w14:textId="77777777" w:rsidR="006D123E" w:rsidRPr="00261B7A" w:rsidRDefault="006D123E" w:rsidP="006D123E">
      <w:pPr>
        <w:pStyle w:val="BodyText"/>
        <w:spacing w:before="100" w:after="100"/>
      </w:pPr>
      <w:r w:rsidRPr="00261B7A">
        <w:t>A number of activities are carried out to determine if land-use change has occurred, including the analysis of satellite imagery and aerial photography. The use of aerial photography is described in chapter 6, section 6.2.</w:t>
      </w:r>
    </w:p>
    <w:p w14:paraId="6A8AC3F4" w14:textId="77777777" w:rsidR="006D123E" w:rsidRPr="00261B7A" w:rsidRDefault="006D123E" w:rsidP="006D123E">
      <w:pPr>
        <w:pStyle w:val="BodyText"/>
      </w:pPr>
      <w:r w:rsidRPr="00261B7A">
        <w:t xml:space="preserve">Evidence from the NZ ETS is also used to confirm </w:t>
      </w:r>
      <w:r w:rsidRPr="00261B7A">
        <w:rPr>
          <w:i/>
          <w:spacing w:val="-2"/>
        </w:rPr>
        <w:t>Deforestation</w:t>
      </w:r>
      <w:r w:rsidRPr="00261B7A">
        <w:t xml:space="preserve">. Under the NZ ETS, owners of pre-1990 planted forest or post-1989 forest (if they are participants in the scheme) are required to notify the Government of any </w:t>
      </w:r>
      <w:r w:rsidRPr="00261B7A">
        <w:rPr>
          <w:spacing w:val="-2"/>
        </w:rPr>
        <w:t>deforestation</w:t>
      </w:r>
      <w:r w:rsidRPr="00261B7A">
        <w:t xml:space="preserve"> activity (Ministry for Primary Industries, 2015d). A data-sharing agreement is in place that allows for the Ministry for Primary Industries, the agency that administers forestry aspects of the NZ ETS, to provide the Ministry for the Environment with regular updates of the area of confirmed </w:t>
      </w:r>
      <w:r w:rsidRPr="00261B7A">
        <w:rPr>
          <w:i/>
          <w:spacing w:val="-2"/>
        </w:rPr>
        <w:t>Deforestation</w:t>
      </w:r>
      <w:r w:rsidRPr="00261B7A">
        <w:t>.</w:t>
      </w:r>
    </w:p>
    <w:p w14:paraId="688C54CF" w14:textId="77777777" w:rsidR="006D123E" w:rsidRPr="00261B7A" w:rsidRDefault="006D123E" w:rsidP="006D123E">
      <w:pPr>
        <w:pStyle w:val="BodyText"/>
        <w:rPr>
          <w:spacing w:val="-2"/>
        </w:rPr>
      </w:pPr>
      <w:r w:rsidRPr="00261B7A">
        <w:rPr>
          <w:spacing w:val="-2"/>
        </w:rPr>
        <w:t xml:space="preserve">A summary of the decision-making process for determining whether </w:t>
      </w:r>
      <w:r w:rsidRPr="00261B7A">
        <w:rPr>
          <w:i/>
          <w:spacing w:val="-2"/>
        </w:rPr>
        <w:t>Deforestation</w:t>
      </w:r>
      <w:r w:rsidRPr="00261B7A">
        <w:rPr>
          <w:spacing w:val="-2"/>
        </w:rPr>
        <w:t xml:space="preserve"> has occurred, including all sources of information, is shown in figure 11.5.1. Once a land-use change is mapped and confirmed, the </w:t>
      </w:r>
      <w:r w:rsidRPr="00261B7A">
        <w:rPr>
          <w:i/>
          <w:spacing w:val="-2"/>
        </w:rPr>
        <w:t>Deforestation</w:t>
      </w:r>
      <w:r w:rsidRPr="00261B7A">
        <w:rPr>
          <w:spacing w:val="-2"/>
        </w:rPr>
        <w:t xml:space="preserve"> emissions will be reported in the year of forest clearance.</w:t>
      </w:r>
    </w:p>
    <w:p w14:paraId="6A9E7BFD" w14:textId="77777777" w:rsidR="006D123E" w:rsidRPr="00261B7A" w:rsidRDefault="006D123E" w:rsidP="006D123E">
      <w:pPr>
        <w:pStyle w:val="Figure"/>
        <w:spacing w:after="80"/>
      </w:pPr>
      <w:bookmarkStart w:id="3142" w:name="_Toc522010715"/>
      <w:bookmarkStart w:id="3143" w:name="_Toc5269735"/>
      <w:bookmarkStart w:id="3144" w:name="_Toc36292841"/>
      <w:bookmarkStart w:id="3145" w:name="_Toc64987009"/>
      <w:bookmarkStart w:id="3146" w:name="_Toc68786705"/>
      <w:bookmarkStart w:id="3147" w:name="_Toc95321439"/>
      <w:bookmarkStart w:id="3148" w:name="_Toc130568435"/>
      <w:bookmarkStart w:id="3149" w:name="_Toc131591597"/>
      <w:r w:rsidRPr="00261B7A">
        <w:t>Figure 11.5.1</w:t>
      </w:r>
      <w:r w:rsidRPr="00261B7A">
        <w:tab/>
        <w:t>Verification of deforestation in New Zealand</w:t>
      </w:r>
      <w:bookmarkEnd w:id="3142"/>
      <w:bookmarkEnd w:id="3143"/>
      <w:bookmarkEnd w:id="3144"/>
      <w:bookmarkEnd w:id="3145"/>
      <w:bookmarkEnd w:id="3146"/>
      <w:bookmarkEnd w:id="3147"/>
      <w:bookmarkEnd w:id="3148"/>
      <w:bookmarkEnd w:id="3149"/>
    </w:p>
    <w:p w14:paraId="5D077D3D" w14:textId="77777777" w:rsidR="006D123E" w:rsidRPr="00261B7A" w:rsidRDefault="006D123E" w:rsidP="006D123E">
      <w:pPr>
        <w:pStyle w:val="BodyText"/>
        <w:spacing w:after="0"/>
      </w:pPr>
      <w:r w:rsidRPr="00261B7A">
        <w:rPr>
          <w:noProof/>
        </w:rPr>
        <mc:AlternateContent>
          <mc:Choice Requires="wpg">
            <w:drawing>
              <wp:inline distT="0" distB="0" distL="0" distR="0" wp14:anchorId="0A0D6EF3" wp14:editId="40662596">
                <wp:extent cx="5366385" cy="3502660"/>
                <wp:effectExtent l="13335" t="9525" r="11430" b="12065"/>
                <wp:docPr id="62" name="Group 6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366385" cy="3502660"/>
                          <a:chOff x="2197" y="4715"/>
                          <a:chExt cx="8796" cy="5577"/>
                        </a:xfrm>
                      </wpg:grpSpPr>
                      <wpg:grpSp>
                        <wpg:cNvPr id="63" name="Group 7"/>
                        <wpg:cNvGrpSpPr>
                          <a:grpSpLocks noChangeAspect="1"/>
                        </wpg:cNvGrpSpPr>
                        <wpg:grpSpPr bwMode="auto">
                          <a:xfrm>
                            <a:off x="4739" y="6910"/>
                            <a:ext cx="6254" cy="3226"/>
                            <a:chOff x="3862" y="5489"/>
                            <a:chExt cx="6254" cy="3226"/>
                          </a:xfrm>
                        </wpg:grpSpPr>
                        <wps:wsp>
                          <wps:cNvPr id="64" name="AutoShape 8"/>
                          <wps:cNvCnPr>
                            <a:cxnSpLocks noChangeAspect="1" noChangeShapeType="1"/>
                          </wps:cNvCnPr>
                          <wps:spPr bwMode="auto">
                            <a:xfrm>
                              <a:off x="5378" y="5489"/>
                              <a:ext cx="0" cy="63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 name="AutoShape 9"/>
                          <wps:cNvCnPr>
                            <a:cxnSpLocks noChangeAspect="1" noChangeShapeType="1"/>
                          </wps:cNvCnPr>
                          <wps:spPr bwMode="auto">
                            <a:xfrm>
                              <a:off x="5378" y="7005"/>
                              <a:ext cx="0" cy="122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 name="AutoShape 10"/>
                          <wps:cNvSpPr>
                            <a:spLocks noChangeAspect="1" noChangeArrowheads="1"/>
                          </wps:cNvSpPr>
                          <wps:spPr bwMode="auto">
                            <a:xfrm>
                              <a:off x="7641" y="8275"/>
                              <a:ext cx="2475" cy="440"/>
                            </a:xfrm>
                            <a:prstGeom prst="flowChartProcess">
                              <a:avLst/>
                            </a:prstGeom>
                            <a:solidFill>
                              <a:srgbClr val="FFFFFF"/>
                            </a:solidFill>
                            <a:ln w="9525">
                              <a:solidFill>
                                <a:srgbClr val="000000"/>
                              </a:solidFill>
                              <a:miter lim="800000"/>
                              <a:headEnd/>
                              <a:tailEnd/>
                            </a:ln>
                          </wps:spPr>
                          <wps:txbx>
                            <w:txbxContent>
                              <w:p w14:paraId="461CE16B" w14:textId="77777777" w:rsidR="006D123E" w:rsidRPr="00070704" w:rsidRDefault="006D123E" w:rsidP="006D123E">
                                <w:pPr>
                                  <w:spacing w:before="40" w:after="40"/>
                                  <w:rPr>
                                    <w:rFonts w:cs="Calibri"/>
                                    <w:sz w:val="17"/>
                                    <w:szCs w:val="17"/>
                                  </w:rPr>
                                </w:pPr>
                                <w:r w:rsidRPr="00070704">
                                  <w:rPr>
                                    <w:rFonts w:cs="Calibri"/>
                                    <w:sz w:val="17"/>
                                    <w:szCs w:val="17"/>
                                  </w:rPr>
                                  <w:t>Mark area as deforested</w:t>
                                </w:r>
                              </w:p>
                            </w:txbxContent>
                          </wps:txbx>
                          <wps:bodyPr rot="0" vert="horz" wrap="square" lIns="91440" tIns="45720" rIns="91440" bIns="45720" anchor="t" anchorCtr="0" upright="1">
                            <a:noAutofit/>
                          </wps:bodyPr>
                        </wps:wsp>
                        <wps:wsp>
                          <wps:cNvPr id="68" name="AutoShape 12"/>
                          <wps:cNvSpPr>
                            <a:spLocks noChangeAspect="1" noChangeArrowheads="1"/>
                          </wps:cNvSpPr>
                          <wps:spPr bwMode="auto">
                            <a:xfrm>
                              <a:off x="7626" y="7337"/>
                              <a:ext cx="2490" cy="445"/>
                            </a:xfrm>
                            <a:prstGeom prst="flowChartProcess">
                              <a:avLst/>
                            </a:prstGeom>
                            <a:solidFill>
                              <a:srgbClr val="FFFFFF"/>
                            </a:solidFill>
                            <a:ln w="9525">
                              <a:solidFill>
                                <a:srgbClr val="000000"/>
                              </a:solidFill>
                              <a:miter lim="800000"/>
                              <a:headEnd/>
                              <a:tailEnd/>
                            </a:ln>
                          </wps:spPr>
                          <wps:txbx>
                            <w:txbxContent>
                              <w:p w14:paraId="7CDEF092" w14:textId="77777777" w:rsidR="006D123E" w:rsidRPr="00070704" w:rsidRDefault="006D123E" w:rsidP="006D123E">
                                <w:pPr>
                                  <w:spacing w:before="40" w:after="40"/>
                                  <w:rPr>
                                    <w:rFonts w:cs="Calibri"/>
                                    <w:sz w:val="17"/>
                                    <w:szCs w:val="17"/>
                                  </w:rPr>
                                </w:pPr>
                                <w:r w:rsidRPr="00070704">
                                  <w:rPr>
                                    <w:rFonts w:cs="Calibri"/>
                                    <w:sz w:val="17"/>
                                    <w:szCs w:val="17"/>
                                  </w:rPr>
                                  <w:t>Mark area as harvested</w:t>
                                </w:r>
                              </w:p>
                            </w:txbxContent>
                          </wps:txbx>
                          <wps:bodyPr rot="0" vert="horz" wrap="square" lIns="91440" tIns="45720" rIns="91440" bIns="45720" anchor="t" anchorCtr="0" upright="1">
                            <a:noAutofit/>
                          </wps:bodyPr>
                        </wps:wsp>
                        <wps:wsp>
                          <wps:cNvPr id="69" name="AutoShape 13"/>
                          <wps:cNvSpPr>
                            <a:spLocks noChangeAspect="1" noChangeArrowheads="1"/>
                          </wps:cNvSpPr>
                          <wps:spPr bwMode="auto">
                            <a:xfrm>
                              <a:off x="3862" y="6232"/>
                              <a:ext cx="2985" cy="675"/>
                            </a:xfrm>
                            <a:prstGeom prst="flowChartProcess">
                              <a:avLst/>
                            </a:prstGeom>
                            <a:solidFill>
                              <a:srgbClr val="FFFFFF"/>
                            </a:solidFill>
                            <a:ln w="9525">
                              <a:solidFill>
                                <a:srgbClr val="000000"/>
                              </a:solidFill>
                              <a:miter lim="800000"/>
                              <a:headEnd/>
                              <a:tailEnd/>
                            </a:ln>
                          </wps:spPr>
                          <wps:txbx>
                            <w:txbxContent>
                              <w:p w14:paraId="53854A2C" w14:textId="77777777" w:rsidR="006D123E" w:rsidRPr="00070704" w:rsidRDefault="006D123E" w:rsidP="006D123E">
                                <w:pPr>
                                  <w:spacing w:before="40" w:after="40"/>
                                  <w:jc w:val="center"/>
                                  <w:rPr>
                                    <w:rFonts w:cs="Calibri"/>
                                    <w:sz w:val="17"/>
                                    <w:szCs w:val="17"/>
                                  </w:rPr>
                                </w:pPr>
                                <w:r w:rsidRPr="00070704">
                                  <w:rPr>
                                    <w:rFonts w:cs="Calibri"/>
                                    <w:sz w:val="17"/>
                                    <w:szCs w:val="17"/>
                                  </w:rPr>
                                  <w:t>Can current land use be confirmed?</w:t>
                                </w:r>
                              </w:p>
                            </w:txbxContent>
                          </wps:txbx>
                          <wps:bodyPr rot="0" vert="horz" wrap="square" lIns="91440" tIns="45720" rIns="91440" bIns="45720" anchor="t" anchorCtr="0" upright="1">
                            <a:noAutofit/>
                          </wps:bodyPr>
                        </wps:wsp>
                        <wps:wsp>
                          <wps:cNvPr id="70" name="AutoShape 14"/>
                          <wps:cNvSpPr>
                            <a:spLocks noChangeAspect="1" noChangeArrowheads="1"/>
                          </wps:cNvSpPr>
                          <wps:spPr bwMode="auto">
                            <a:xfrm>
                              <a:off x="5055" y="7388"/>
                              <a:ext cx="615" cy="382"/>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7C1E1C" w14:textId="77777777" w:rsidR="006D123E" w:rsidRPr="00070704" w:rsidRDefault="006D123E" w:rsidP="006D123E">
                                <w:pPr>
                                  <w:rPr>
                                    <w:rFonts w:cs="Calibri"/>
                                    <w:sz w:val="17"/>
                                    <w:szCs w:val="17"/>
                                  </w:rPr>
                                </w:pPr>
                                <w:r w:rsidRPr="00070704">
                                  <w:rPr>
                                    <w:rFonts w:cs="Calibri"/>
                                    <w:sz w:val="17"/>
                                    <w:szCs w:val="17"/>
                                  </w:rPr>
                                  <w:t>No</w:t>
                                </w:r>
                              </w:p>
                            </w:txbxContent>
                          </wps:txbx>
                          <wps:bodyPr rot="0" vert="horz" wrap="square" lIns="91440" tIns="45720" rIns="91440" bIns="45720" anchor="t" anchorCtr="0" upright="1">
                            <a:noAutofit/>
                          </wps:bodyPr>
                        </wps:wsp>
                        <wps:wsp>
                          <wps:cNvPr id="71" name="AutoShape 15"/>
                          <wps:cNvCnPr>
                            <a:cxnSpLocks noChangeAspect="1" noChangeShapeType="1"/>
                          </wps:cNvCnPr>
                          <wps:spPr bwMode="auto">
                            <a:xfrm>
                              <a:off x="6555" y="6945"/>
                              <a:ext cx="1071" cy="614"/>
                            </a:xfrm>
                            <a:prstGeom prst="bentConnector3">
                              <a:avLst>
                                <a:gd name="adj1" fmla="val 117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2" name="AutoShape 16"/>
                          <wps:cNvCnPr>
                            <a:cxnSpLocks noChangeAspect="1" noChangeShapeType="1"/>
                          </wps:cNvCnPr>
                          <wps:spPr bwMode="auto">
                            <a:xfrm>
                              <a:off x="6555" y="7558"/>
                              <a:ext cx="1086" cy="936"/>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4" name="AutoShape 17"/>
                          <wps:cNvSpPr>
                            <a:spLocks noChangeAspect="1" noChangeArrowheads="1"/>
                          </wps:cNvSpPr>
                          <wps:spPr bwMode="auto">
                            <a:xfrm>
                              <a:off x="6229" y="7128"/>
                              <a:ext cx="753" cy="340"/>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1CCE42" w14:textId="77777777" w:rsidR="006D123E" w:rsidRPr="00070704" w:rsidRDefault="006D123E" w:rsidP="006D123E">
                                <w:pPr>
                                  <w:rPr>
                                    <w:rFonts w:cs="Calibri"/>
                                    <w:sz w:val="17"/>
                                    <w:szCs w:val="17"/>
                                  </w:rPr>
                                </w:pPr>
                                <w:r w:rsidRPr="00070704">
                                  <w:rPr>
                                    <w:rFonts w:cs="Calibri"/>
                                    <w:sz w:val="17"/>
                                    <w:szCs w:val="17"/>
                                  </w:rPr>
                                  <w:t>Yes</w:t>
                                </w:r>
                              </w:p>
                            </w:txbxContent>
                          </wps:txbx>
                          <wps:bodyPr rot="0" vert="horz" wrap="square" lIns="91440" tIns="45720" rIns="91440" bIns="45720" anchor="t" anchorCtr="0" upright="1">
                            <a:noAutofit/>
                          </wps:bodyPr>
                        </wps:wsp>
                      </wpg:grpSp>
                      <wps:wsp>
                        <wps:cNvPr id="75" name="AutoShape 27"/>
                        <wps:cNvSpPr>
                          <a:spLocks noChangeAspect="1" noChangeArrowheads="1"/>
                        </wps:cNvSpPr>
                        <wps:spPr bwMode="auto">
                          <a:xfrm>
                            <a:off x="4927" y="9747"/>
                            <a:ext cx="2625" cy="545"/>
                          </a:xfrm>
                          <a:prstGeom prst="flowChartProcess">
                            <a:avLst/>
                          </a:prstGeom>
                          <a:solidFill>
                            <a:srgbClr val="FFFFFF"/>
                          </a:solidFill>
                          <a:ln w="9525">
                            <a:solidFill>
                              <a:srgbClr val="000000"/>
                            </a:solidFill>
                            <a:miter lim="800000"/>
                            <a:headEnd/>
                            <a:tailEnd/>
                          </a:ln>
                        </wps:spPr>
                        <wps:txbx>
                          <w:txbxContent>
                            <w:p w14:paraId="32667A1A" w14:textId="77777777" w:rsidR="006D123E" w:rsidRPr="00070704" w:rsidRDefault="006D123E" w:rsidP="006D123E">
                              <w:pPr>
                                <w:spacing w:before="40" w:after="40"/>
                                <w:jc w:val="center"/>
                                <w:rPr>
                                  <w:rFonts w:cs="Calibri"/>
                                  <w:sz w:val="17"/>
                                  <w:szCs w:val="17"/>
                                </w:rPr>
                              </w:pPr>
                              <w:r w:rsidRPr="00070704">
                                <w:rPr>
                                  <w:rFonts w:cs="Calibri"/>
                                  <w:sz w:val="17"/>
                                  <w:szCs w:val="17"/>
                                </w:rPr>
                                <w:t>Mark area as awaiting</w:t>
                              </w:r>
                            </w:p>
                          </w:txbxContent>
                        </wps:txbx>
                        <wps:bodyPr rot="0" vert="horz" wrap="square" lIns="91440" tIns="45720" rIns="91440" bIns="45720" anchor="t" anchorCtr="0" upright="1">
                          <a:noAutofit/>
                        </wps:bodyPr>
                      </wps:wsp>
                      <wpg:grpSp>
                        <wpg:cNvPr id="76" name="Group 29"/>
                        <wpg:cNvGrpSpPr>
                          <a:grpSpLocks noChangeAspect="1"/>
                        </wpg:cNvGrpSpPr>
                        <wpg:grpSpPr bwMode="auto">
                          <a:xfrm>
                            <a:off x="2197" y="4715"/>
                            <a:ext cx="8091" cy="2625"/>
                            <a:chOff x="2197" y="4715"/>
                            <a:chExt cx="8091" cy="2625"/>
                          </a:xfrm>
                        </wpg:grpSpPr>
                        <wps:wsp>
                          <wps:cNvPr id="77" name="AutoShape 30"/>
                          <wps:cNvCnPr>
                            <a:cxnSpLocks noChangeAspect="1" noChangeShapeType="1"/>
                          </wps:cNvCnPr>
                          <wps:spPr bwMode="auto">
                            <a:xfrm>
                              <a:off x="3577" y="6305"/>
                              <a:ext cx="15" cy="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AutoShape 31"/>
                          <wps:cNvCnPr>
                            <a:cxnSpLocks noChangeAspect="1" noChangeShapeType="1"/>
                          </wps:cNvCnPr>
                          <wps:spPr bwMode="auto">
                            <a:xfrm>
                              <a:off x="3562" y="5194"/>
                              <a:ext cx="15"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AutoShape 32"/>
                          <wps:cNvSpPr>
                            <a:spLocks noChangeAspect="1" noChangeArrowheads="1"/>
                          </wps:cNvSpPr>
                          <wps:spPr bwMode="auto">
                            <a:xfrm>
                              <a:off x="2212" y="5539"/>
                              <a:ext cx="2805" cy="765"/>
                            </a:xfrm>
                            <a:prstGeom prst="flowChartProcess">
                              <a:avLst/>
                            </a:prstGeom>
                            <a:solidFill>
                              <a:srgbClr val="FFFFFF"/>
                            </a:solidFill>
                            <a:ln w="9525">
                              <a:solidFill>
                                <a:srgbClr val="000000"/>
                              </a:solidFill>
                              <a:miter lim="800000"/>
                              <a:headEnd/>
                              <a:tailEnd/>
                            </a:ln>
                          </wps:spPr>
                          <wps:txbx>
                            <w:txbxContent>
                              <w:p w14:paraId="2B5CE2B9" w14:textId="77777777" w:rsidR="006D123E" w:rsidRPr="00C7607E" w:rsidRDefault="006D123E" w:rsidP="006D123E">
                                <w:pPr>
                                  <w:spacing w:before="40" w:after="40"/>
                                  <w:jc w:val="center"/>
                                  <w:rPr>
                                    <w:rFonts w:cs="Calibri"/>
                                    <w:sz w:val="17"/>
                                    <w:szCs w:val="17"/>
                                  </w:rPr>
                                </w:pPr>
                                <w:r w:rsidRPr="00C7607E">
                                  <w:rPr>
                                    <w:rFonts w:cs="Calibri"/>
                                    <w:sz w:val="17"/>
                                    <w:szCs w:val="17"/>
                                  </w:rPr>
                                  <w:t>Is the area harvested or deforested?</w:t>
                                </w:r>
                              </w:p>
                            </w:txbxContent>
                          </wps:txbx>
                          <wps:bodyPr rot="0" vert="horz" wrap="square" lIns="91440" tIns="45720" rIns="91440" bIns="45720" anchor="t" anchorCtr="0" upright="1">
                            <a:noAutofit/>
                          </wps:bodyPr>
                        </wps:wsp>
                        <wps:wsp>
                          <wps:cNvPr id="80" name="AutoShape 33"/>
                          <wps:cNvSpPr>
                            <a:spLocks noChangeAspect="1" noChangeArrowheads="1"/>
                          </wps:cNvSpPr>
                          <wps:spPr bwMode="auto">
                            <a:xfrm>
                              <a:off x="2227" y="6620"/>
                              <a:ext cx="2805" cy="720"/>
                            </a:xfrm>
                            <a:prstGeom prst="flowChartProcess">
                              <a:avLst/>
                            </a:prstGeom>
                            <a:solidFill>
                              <a:srgbClr val="FFFFFF"/>
                            </a:solidFill>
                            <a:ln w="9525">
                              <a:solidFill>
                                <a:srgbClr val="000000"/>
                              </a:solidFill>
                              <a:miter lim="800000"/>
                              <a:headEnd/>
                              <a:tailEnd/>
                            </a:ln>
                          </wps:spPr>
                          <wps:txbx>
                            <w:txbxContent>
                              <w:p w14:paraId="36D94B69" w14:textId="77777777" w:rsidR="006D123E" w:rsidRPr="00C7607E" w:rsidRDefault="006D123E" w:rsidP="006D123E">
                                <w:pPr>
                                  <w:spacing w:before="40" w:after="40"/>
                                  <w:rPr>
                                    <w:rFonts w:cs="Calibri"/>
                                    <w:sz w:val="17"/>
                                    <w:szCs w:val="17"/>
                                  </w:rPr>
                                </w:pPr>
                                <w:r w:rsidRPr="00C7607E">
                                  <w:rPr>
                                    <w:rFonts w:cs="Calibri"/>
                                    <w:sz w:val="17"/>
                                    <w:szCs w:val="17"/>
                                  </w:rPr>
                                  <w:t>Look at all sources of information</w:t>
                                </w:r>
                              </w:p>
                            </w:txbxContent>
                          </wps:txbx>
                          <wps:bodyPr rot="0" vert="horz" wrap="square" lIns="91440" tIns="45720" rIns="91440" bIns="45720" anchor="t" anchorCtr="0" upright="1">
                            <a:noAutofit/>
                          </wps:bodyPr>
                        </wps:wsp>
                        <wps:wsp>
                          <wps:cNvPr id="81" name="AutoShape 34"/>
                          <wps:cNvSpPr>
                            <a:spLocks noChangeAspect="1" noChangeArrowheads="1"/>
                          </wps:cNvSpPr>
                          <wps:spPr bwMode="auto">
                            <a:xfrm>
                              <a:off x="5407" y="4715"/>
                              <a:ext cx="4881" cy="2119"/>
                            </a:xfrm>
                            <a:prstGeom prst="flowChartProcess">
                              <a:avLst/>
                            </a:prstGeom>
                            <a:solidFill>
                              <a:srgbClr val="FFFFFF"/>
                            </a:solidFill>
                            <a:ln w="9525">
                              <a:solidFill>
                                <a:srgbClr val="000000"/>
                              </a:solidFill>
                              <a:miter lim="800000"/>
                              <a:headEnd/>
                              <a:tailEnd/>
                            </a:ln>
                          </wps:spPr>
                          <wps:txbx>
                            <w:txbxContent>
                              <w:p w14:paraId="21C51AB7" w14:textId="77777777" w:rsidR="006D123E" w:rsidRPr="00C7607E" w:rsidRDefault="006D123E" w:rsidP="006D123E">
                                <w:pPr>
                                  <w:spacing w:before="40" w:after="60"/>
                                  <w:rPr>
                                    <w:rFonts w:cs="Calibri"/>
                                    <w:sz w:val="17"/>
                                    <w:szCs w:val="17"/>
                                  </w:rPr>
                                </w:pPr>
                                <w:r w:rsidRPr="00C7607E">
                                  <w:rPr>
                                    <w:rFonts w:cs="Calibri"/>
                                    <w:sz w:val="17"/>
                                    <w:szCs w:val="17"/>
                                  </w:rPr>
                                  <w:t>SOURCES OF INFORMATION</w:t>
                                </w:r>
                              </w:p>
                              <w:p w14:paraId="219EB10E" w14:textId="77777777" w:rsidR="006D123E" w:rsidRPr="00C7607E" w:rsidRDefault="006D123E" w:rsidP="00F602CF">
                                <w:pPr>
                                  <w:numPr>
                                    <w:ilvl w:val="0"/>
                                    <w:numId w:val="29"/>
                                  </w:numPr>
                                  <w:spacing w:after="20" w:line="276" w:lineRule="auto"/>
                                  <w:ind w:left="284" w:hanging="284"/>
                                  <w:rPr>
                                    <w:rFonts w:cs="Calibri"/>
                                    <w:sz w:val="17"/>
                                    <w:szCs w:val="17"/>
                                  </w:rPr>
                                </w:pPr>
                                <w:r w:rsidRPr="00C7607E">
                                  <w:rPr>
                                    <w:rFonts w:cs="Calibri"/>
                                    <w:sz w:val="17"/>
                                    <w:szCs w:val="17"/>
                                  </w:rPr>
                                  <w:t>Ministry for Primary Industries forestry schemes</w:t>
                                </w:r>
                              </w:p>
                              <w:p w14:paraId="5FFB2001" w14:textId="77777777" w:rsidR="006D123E" w:rsidRPr="00C7607E" w:rsidRDefault="006D123E" w:rsidP="00F602CF">
                                <w:pPr>
                                  <w:numPr>
                                    <w:ilvl w:val="0"/>
                                    <w:numId w:val="29"/>
                                  </w:numPr>
                                  <w:spacing w:after="20" w:line="276" w:lineRule="auto"/>
                                  <w:ind w:left="284" w:hanging="284"/>
                                  <w:rPr>
                                    <w:rFonts w:cs="Calibri"/>
                                    <w:sz w:val="17"/>
                                    <w:szCs w:val="17"/>
                                  </w:rPr>
                                </w:pPr>
                                <w:r w:rsidRPr="00C7607E">
                                  <w:rPr>
                                    <w:rFonts w:cs="Calibri"/>
                                    <w:sz w:val="17"/>
                                    <w:szCs w:val="17"/>
                                  </w:rPr>
                                  <w:t>Ministry for Primary Industries compliance field teams</w:t>
                                </w:r>
                              </w:p>
                              <w:p w14:paraId="4007AFDD" w14:textId="77777777" w:rsidR="006D123E" w:rsidRPr="00C7607E" w:rsidRDefault="006D123E" w:rsidP="00F602CF">
                                <w:pPr>
                                  <w:numPr>
                                    <w:ilvl w:val="0"/>
                                    <w:numId w:val="29"/>
                                  </w:numPr>
                                  <w:spacing w:after="20" w:line="276" w:lineRule="auto"/>
                                  <w:ind w:left="284" w:hanging="284"/>
                                  <w:rPr>
                                    <w:rFonts w:cs="Calibri"/>
                                    <w:sz w:val="17"/>
                                    <w:szCs w:val="17"/>
                                  </w:rPr>
                                </w:pPr>
                                <w:r w:rsidRPr="00C7607E">
                                  <w:rPr>
                                    <w:rFonts w:cs="Calibri"/>
                                    <w:sz w:val="17"/>
                                    <w:szCs w:val="17"/>
                                  </w:rPr>
                                  <w:t>Forestry consultants</w:t>
                                </w:r>
                              </w:p>
                              <w:p w14:paraId="01F2818A" w14:textId="77777777" w:rsidR="006D123E" w:rsidRPr="00C7607E" w:rsidRDefault="006D123E" w:rsidP="00F602CF">
                                <w:pPr>
                                  <w:numPr>
                                    <w:ilvl w:val="0"/>
                                    <w:numId w:val="29"/>
                                  </w:numPr>
                                  <w:spacing w:after="40" w:line="276" w:lineRule="auto"/>
                                  <w:ind w:left="284" w:hanging="284"/>
                                  <w:rPr>
                                    <w:rFonts w:cs="Calibri"/>
                                    <w:sz w:val="17"/>
                                    <w:szCs w:val="17"/>
                                  </w:rPr>
                                </w:pPr>
                                <w:r w:rsidRPr="00C7607E">
                                  <w:rPr>
                                    <w:rFonts w:cs="Calibri"/>
                                    <w:sz w:val="17"/>
                                    <w:szCs w:val="17"/>
                                  </w:rPr>
                                  <w:t>Vertical aerial photography</w:t>
                                </w:r>
                              </w:p>
                              <w:p w14:paraId="4F602CDA" w14:textId="77777777" w:rsidR="006D123E" w:rsidRPr="00C7607E" w:rsidRDefault="006D123E" w:rsidP="00F602CF">
                                <w:pPr>
                                  <w:numPr>
                                    <w:ilvl w:val="0"/>
                                    <w:numId w:val="29"/>
                                  </w:numPr>
                                  <w:spacing w:after="40" w:line="276" w:lineRule="auto"/>
                                  <w:ind w:left="284" w:hanging="284"/>
                                  <w:rPr>
                                    <w:rFonts w:cs="Calibri"/>
                                    <w:sz w:val="17"/>
                                    <w:szCs w:val="17"/>
                                  </w:rPr>
                                </w:pPr>
                                <w:r w:rsidRPr="00C7607E">
                                  <w:rPr>
                                    <w:rFonts w:cs="Calibri"/>
                                    <w:sz w:val="17"/>
                                    <w:szCs w:val="17"/>
                                  </w:rPr>
                                  <w:t>Oblique aerial photography</w:t>
                                </w:r>
                              </w:p>
                              <w:p w14:paraId="37A576FF" w14:textId="77777777" w:rsidR="006D123E" w:rsidRPr="00C7607E" w:rsidRDefault="006D123E" w:rsidP="00F602CF">
                                <w:pPr>
                                  <w:numPr>
                                    <w:ilvl w:val="0"/>
                                    <w:numId w:val="29"/>
                                  </w:numPr>
                                  <w:spacing w:after="40" w:line="276" w:lineRule="auto"/>
                                  <w:ind w:left="284" w:hanging="284"/>
                                  <w:rPr>
                                    <w:rFonts w:cs="Calibri"/>
                                    <w:sz w:val="17"/>
                                    <w:szCs w:val="17"/>
                                  </w:rPr>
                                </w:pPr>
                                <w:r w:rsidRPr="00C7607E">
                                  <w:rPr>
                                    <w:rFonts w:cs="Calibri"/>
                                    <w:sz w:val="17"/>
                                    <w:szCs w:val="17"/>
                                  </w:rPr>
                                  <w:t>Satellite imagery</w:t>
                                </w:r>
                              </w:p>
                            </w:txbxContent>
                          </wps:txbx>
                          <wps:bodyPr rot="0" vert="horz" wrap="square" lIns="91440" tIns="45720" rIns="91440" bIns="45720" anchor="t" anchorCtr="0" upright="1">
                            <a:noAutofit/>
                          </wps:bodyPr>
                        </wps:wsp>
                        <wps:wsp>
                          <wps:cNvPr id="83" name="AutoShape 35"/>
                          <wps:cNvCnPr>
                            <a:cxnSpLocks noChangeAspect="1" noChangeShapeType="1"/>
                          </wps:cNvCnPr>
                          <wps:spPr bwMode="auto">
                            <a:xfrm>
                              <a:off x="5017" y="6910"/>
                              <a:ext cx="4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 name="AutoShape 36"/>
                          <wps:cNvSpPr>
                            <a:spLocks noChangeAspect="1" noChangeArrowheads="1"/>
                          </wps:cNvSpPr>
                          <wps:spPr bwMode="auto">
                            <a:xfrm>
                              <a:off x="2197" y="4715"/>
                              <a:ext cx="2805" cy="465"/>
                            </a:xfrm>
                            <a:prstGeom prst="flowChartProcess">
                              <a:avLst/>
                            </a:prstGeom>
                            <a:solidFill>
                              <a:srgbClr val="FFFFFF"/>
                            </a:solidFill>
                            <a:ln w="9525">
                              <a:solidFill>
                                <a:srgbClr val="000000"/>
                              </a:solidFill>
                              <a:miter lim="800000"/>
                              <a:headEnd/>
                              <a:tailEnd/>
                            </a:ln>
                          </wps:spPr>
                          <wps:txbx>
                            <w:txbxContent>
                              <w:p w14:paraId="74588CE3" w14:textId="77777777" w:rsidR="006D123E" w:rsidRPr="00C7607E" w:rsidRDefault="006D123E" w:rsidP="006D123E">
                                <w:pPr>
                                  <w:spacing w:before="40" w:after="40"/>
                                  <w:jc w:val="center"/>
                                  <w:rPr>
                                    <w:rFonts w:cs="Calibri"/>
                                    <w:sz w:val="17"/>
                                    <w:szCs w:val="17"/>
                                  </w:rPr>
                                </w:pPr>
                                <w:r w:rsidRPr="00C7607E">
                                  <w:rPr>
                                    <w:rFonts w:cs="Calibri"/>
                                    <w:sz w:val="17"/>
                                    <w:szCs w:val="17"/>
                                  </w:rPr>
                                  <w:t>Area mapped as destocked</w:t>
                                </w:r>
                              </w:p>
                              <w:p w14:paraId="0421CA0B" w14:textId="77777777" w:rsidR="006D123E" w:rsidRPr="00C7607E" w:rsidRDefault="006D123E" w:rsidP="006D123E">
                                <w:pPr>
                                  <w:spacing w:before="40" w:after="40"/>
                                  <w:rPr>
                                    <w:rFonts w:cs="Calibri"/>
                                    <w:sz w:val="17"/>
                                    <w:szCs w:val="17"/>
                                  </w:rPr>
                                </w:pPr>
                              </w:p>
                            </w:txbxContent>
                          </wps:txbx>
                          <wps:bodyPr rot="0" vert="horz" wrap="square" lIns="91440" tIns="45720" rIns="91440" bIns="45720" anchor="t" anchorCtr="0" upright="1">
                            <a:noAutofit/>
                          </wps:bodyPr>
                        </wps:wsp>
                      </wpg:grpSp>
                    </wpg:wgp>
                  </a:graphicData>
                </a:graphic>
              </wp:inline>
            </w:drawing>
          </mc:Choice>
          <mc:Fallback>
            <w:pict>
              <v:group w14:anchorId="0A0D6EF3" id="Group 62" o:spid="_x0000_s1026" style="width:422.55pt;height:275.8pt;mso-position-horizontal-relative:char;mso-position-vertical-relative:line" coordorigin="2197,4715" coordsize="8796,5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">
                <o:lock v:ext="edit" aspectratio="t"/>
                <v:group id="Group 7" o:spid="_x0000_s1027" style="position:absolute;left:4739;top:6910;width:6254;height:3226" coordorigin="3862,5489" coordsize="6254,3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o:lock v:ext="edit" aspectratio="t"/>
                  <v:shapetype id="_x0000_t32" coordsize="21600,21600" o:spt="32" o:oned="t" path="m,l21600,21600e" filled="f">
                    <v:path arrowok="t" fillok="f" o:connecttype="none"/>
                    <o:lock v:ext="edit" shapetype="t"/>
                  </v:shapetype>
                  <v:shape id="AutoShape 8" o:spid="_x0000_s1028" type="#_x0000_t32" style="position:absolute;left:5378;top:5489;width:0;height:6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">
                    <v:stroke endarrow="block"/>
                    <o:lock v:ext="edit" aspectratio="t"/>
                  </v:shape>
                  <v:shape id="AutoShape 9" o:spid="_x0000_s1029" type="#_x0000_t32" style="position:absolute;left:5378;top:7005;width:0;height:12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">
                    <v:stroke endarrow="block"/>
                    <o:lock v:ext="edit" aspectratio="t"/>
                  </v:shape>
                  <v:shapetype id="_x0000_t109" coordsize="21600,21600" o:spt="109" path="m,l,21600r21600,l21600,xe">
                    <v:stroke joinstyle="miter"/>
                    <v:path gradientshapeok="t" o:connecttype="rect"/>
                  </v:shapetype>
                  <v:shape id="AutoShape 10" o:spid="_x0000_s1030" type="#_x0000_t109" style="position:absolute;left:7641;top:8275;width:2475;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">
                    <o:lock v:ext="edit" aspectratio="t"/>
                    <v:textbox>
                      <w:txbxContent>
                        <w:p w14:paraId="461CE16B" w14:textId="77777777" w:rsidR="006D123E" w:rsidRPr="00070704" w:rsidRDefault="006D123E" w:rsidP="006D123E">
                          <w:pPr>
                            <w:spacing w:before="40" w:after="40"/>
                            <w:rPr>
                              <w:rFonts w:cs="Calibri"/>
                              <w:sz w:val="17"/>
                              <w:szCs w:val="17"/>
                            </w:rPr>
                          </w:pPr>
                          <w:r w:rsidRPr="00070704">
                            <w:rPr>
                              <w:rFonts w:cs="Calibri"/>
                              <w:sz w:val="17"/>
                              <w:szCs w:val="17"/>
                            </w:rPr>
                            <w:t>Mark area as deforested</w:t>
                          </w:r>
                        </w:p>
                      </w:txbxContent>
                    </v:textbox>
                  </v:shape>
                  <v:shape id="AutoShape 12" o:spid="_x0000_s1031" type="#_x0000_t109" style="position:absolute;left:7626;top:7337;width:2490;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">
                    <o:lock v:ext="edit" aspectratio="t"/>
                    <v:textbox>
                      <w:txbxContent>
                        <w:p w14:paraId="7CDEF092" w14:textId="77777777" w:rsidR="006D123E" w:rsidRPr="00070704" w:rsidRDefault="006D123E" w:rsidP="006D123E">
                          <w:pPr>
                            <w:spacing w:before="40" w:after="40"/>
                            <w:rPr>
                              <w:rFonts w:cs="Calibri"/>
                              <w:sz w:val="17"/>
                              <w:szCs w:val="17"/>
                            </w:rPr>
                          </w:pPr>
                          <w:r w:rsidRPr="00070704">
                            <w:rPr>
                              <w:rFonts w:cs="Calibri"/>
                              <w:sz w:val="17"/>
                              <w:szCs w:val="17"/>
                            </w:rPr>
                            <w:t>Mark area as harvested</w:t>
                          </w:r>
                        </w:p>
                      </w:txbxContent>
                    </v:textbox>
                  </v:shape>
                  <v:shape id="AutoShape 13" o:spid="_x0000_s1032" type="#_x0000_t109" style="position:absolute;left:3862;top:6232;width:2985;height: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">
                    <o:lock v:ext="edit" aspectratio="t"/>
                    <v:textbox>
                      <w:txbxContent>
                        <w:p w14:paraId="53854A2C" w14:textId="77777777" w:rsidR="006D123E" w:rsidRPr="00070704" w:rsidRDefault="006D123E" w:rsidP="006D123E">
                          <w:pPr>
                            <w:spacing w:before="40" w:after="40"/>
                            <w:jc w:val="center"/>
                            <w:rPr>
                              <w:rFonts w:cs="Calibri"/>
                              <w:sz w:val="17"/>
                              <w:szCs w:val="17"/>
                            </w:rPr>
                          </w:pPr>
                          <w:r w:rsidRPr="00070704">
                            <w:rPr>
                              <w:rFonts w:cs="Calibri"/>
                              <w:sz w:val="17"/>
                              <w:szCs w:val="17"/>
                            </w:rPr>
                            <w:t>Can current land use be confirmed?</w:t>
                          </w:r>
                        </w:p>
                      </w:txbxContent>
                    </v:textbox>
                  </v:shape>
                  <v:shape id="AutoShape 14" o:spid="_x0000_s1033" type="#_x0000_t109" style="position:absolute;left:5055;top:7388;width:615;height: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" stroked="f">
                    <o:lock v:ext="edit" aspectratio="t"/>
                    <v:textbox>
                      <w:txbxContent>
                        <w:p w14:paraId="077C1E1C" w14:textId="77777777" w:rsidR="006D123E" w:rsidRPr="00070704" w:rsidRDefault="006D123E" w:rsidP="006D123E">
                          <w:pPr>
                            <w:rPr>
                              <w:rFonts w:cs="Calibri"/>
                              <w:sz w:val="17"/>
                              <w:szCs w:val="17"/>
                            </w:rPr>
                          </w:pPr>
                          <w:r w:rsidRPr="00070704">
                            <w:rPr>
                              <w:rFonts w:cs="Calibri"/>
                              <w:sz w:val="17"/>
                              <w:szCs w:val="17"/>
                            </w:rPr>
                            <w:t>No</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5" o:spid="_x0000_s1034" type="#_x0000_t34" style="position:absolute;left:6555;top:6945;width:1071;height:61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" adj="253">
                    <v:stroke endarrow="block"/>
                    <o:lock v:ext="edit" aspectratio="t"/>
                  </v:shape>
                  <v:shape id="AutoShape 16" o:spid="_x0000_s1035" type="#_x0000_t34" style="position:absolute;left:6555;top:7558;width:1086;height:93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">
                    <v:stroke endarrow="block"/>
                    <o:lock v:ext="edit" aspectratio="t"/>
                  </v:shape>
                  <v:shape id="AutoShape 17" o:spid="_x0000_s1036" type="#_x0000_t109" style="position:absolute;left:6229;top:7128;width:753;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" stroked="f">
                    <o:lock v:ext="edit" aspectratio="t"/>
                    <v:textbox>
                      <w:txbxContent>
                        <w:p w14:paraId="571CCE42" w14:textId="77777777" w:rsidR="006D123E" w:rsidRPr="00070704" w:rsidRDefault="006D123E" w:rsidP="006D123E">
                          <w:pPr>
                            <w:rPr>
                              <w:rFonts w:cs="Calibri"/>
                              <w:sz w:val="17"/>
                              <w:szCs w:val="17"/>
                            </w:rPr>
                          </w:pPr>
                          <w:r w:rsidRPr="00070704">
                            <w:rPr>
                              <w:rFonts w:cs="Calibri"/>
                              <w:sz w:val="17"/>
                              <w:szCs w:val="17"/>
                            </w:rPr>
                            <w:t>Yes</w:t>
                          </w:r>
                        </w:p>
                      </w:txbxContent>
                    </v:textbox>
                  </v:shape>
                </v:group>
                <v:shape id="AutoShape 27" o:spid="_x0000_s1037" type="#_x0000_t109" style="position:absolute;left:4927;top:9747;width:2625;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">
                  <o:lock v:ext="edit" aspectratio="t"/>
                  <v:textbox>
                    <w:txbxContent>
                      <w:p w14:paraId="32667A1A" w14:textId="77777777" w:rsidR="006D123E" w:rsidRPr="00070704" w:rsidRDefault="006D123E" w:rsidP="006D123E">
                        <w:pPr>
                          <w:spacing w:before="40" w:after="40"/>
                          <w:jc w:val="center"/>
                          <w:rPr>
                            <w:rFonts w:cs="Calibri"/>
                            <w:sz w:val="17"/>
                            <w:szCs w:val="17"/>
                          </w:rPr>
                        </w:pPr>
                        <w:r w:rsidRPr="00070704">
                          <w:rPr>
                            <w:rFonts w:cs="Calibri"/>
                            <w:sz w:val="17"/>
                            <w:szCs w:val="17"/>
                          </w:rPr>
                          <w:t>Mark area as awaiting</w:t>
                        </w:r>
                      </w:p>
                    </w:txbxContent>
                  </v:textbox>
                </v:shape>
                <v:group id="Group 29" o:spid="_x0000_s1038" style="position:absolute;left:2197;top:4715;width:8091;height:2625" coordorigin="2197,4715" coordsize="8091,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o:lock v:ext="edit" aspectratio="t"/>
                  <v:shape id="AutoShape 30" o:spid="_x0000_s1039" type="#_x0000_t32" style="position:absolute;left:3577;top:6305;width:15;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">
                    <v:stroke endarrow="block"/>
                    <o:lock v:ext="edit" aspectratio="t"/>
                  </v:shape>
                  <v:shape id="AutoShape 31" o:spid="_x0000_s1040" type="#_x0000_t32" style="position:absolute;left:3562;top:5194;width:15;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">
                    <v:stroke endarrow="block"/>
                    <o:lock v:ext="edit" aspectratio="t"/>
                  </v:shape>
                  <v:shape id="AutoShape 32" o:spid="_x0000_s1041" type="#_x0000_t109" style="position:absolute;left:2212;top:5539;width:2805;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">
                    <o:lock v:ext="edit" aspectratio="t"/>
                    <v:textbox>
                      <w:txbxContent>
                        <w:p w14:paraId="2B5CE2B9" w14:textId="77777777" w:rsidR="006D123E" w:rsidRPr="00C7607E" w:rsidRDefault="006D123E" w:rsidP="006D123E">
                          <w:pPr>
                            <w:spacing w:before="40" w:after="40"/>
                            <w:jc w:val="center"/>
                            <w:rPr>
                              <w:rFonts w:cs="Calibri"/>
                              <w:sz w:val="17"/>
                              <w:szCs w:val="17"/>
                            </w:rPr>
                          </w:pPr>
                          <w:r w:rsidRPr="00C7607E">
                            <w:rPr>
                              <w:rFonts w:cs="Calibri"/>
                              <w:sz w:val="17"/>
                              <w:szCs w:val="17"/>
                            </w:rPr>
                            <w:t>Is the area harvested or deforested?</w:t>
                          </w:r>
                        </w:p>
                      </w:txbxContent>
                    </v:textbox>
                  </v:shape>
                  <v:shape id="AutoShape 33" o:spid="_x0000_s1042" type="#_x0000_t109" style="position:absolute;left:2227;top:6620;width:2805;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">
                    <o:lock v:ext="edit" aspectratio="t"/>
                    <v:textbox>
                      <w:txbxContent>
                        <w:p w14:paraId="36D94B69" w14:textId="77777777" w:rsidR="006D123E" w:rsidRPr="00C7607E" w:rsidRDefault="006D123E" w:rsidP="006D123E">
                          <w:pPr>
                            <w:spacing w:before="40" w:after="40"/>
                            <w:rPr>
                              <w:rFonts w:cs="Calibri"/>
                              <w:sz w:val="17"/>
                              <w:szCs w:val="17"/>
                            </w:rPr>
                          </w:pPr>
                          <w:r w:rsidRPr="00C7607E">
                            <w:rPr>
                              <w:rFonts w:cs="Calibri"/>
                              <w:sz w:val="17"/>
                              <w:szCs w:val="17"/>
                            </w:rPr>
                            <w:t>Look at all sources of information</w:t>
                          </w:r>
                        </w:p>
                      </w:txbxContent>
                    </v:textbox>
                  </v:shape>
                  <v:shape id="AutoShape 34" o:spid="_x0000_s1043" type="#_x0000_t109" style="position:absolute;left:5407;top:4715;width:4881;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">
                    <o:lock v:ext="edit" aspectratio="t"/>
                    <v:textbox>
                      <w:txbxContent>
                        <w:p w14:paraId="21C51AB7" w14:textId="77777777" w:rsidR="006D123E" w:rsidRPr="00C7607E" w:rsidRDefault="006D123E" w:rsidP="006D123E">
                          <w:pPr>
                            <w:spacing w:before="40" w:after="60"/>
                            <w:rPr>
                              <w:rFonts w:cs="Calibri"/>
                              <w:sz w:val="17"/>
                              <w:szCs w:val="17"/>
                            </w:rPr>
                          </w:pPr>
                          <w:r w:rsidRPr="00C7607E">
                            <w:rPr>
                              <w:rFonts w:cs="Calibri"/>
                              <w:sz w:val="17"/>
                              <w:szCs w:val="17"/>
                            </w:rPr>
                            <w:t>SOURCES OF INFORMATION</w:t>
                          </w:r>
                        </w:p>
                        <w:p w14:paraId="219EB10E" w14:textId="77777777" w:rsidR="006D123E" w:rsidRPr="00C7607E" w:rsidRDefault="006D123E" w:rsidP="00F602CF">
                          <w:pPr>
                            <w:numPr>
                              <w:ilvl w:val="0"/>
                              <w:numId w:val="29"/>
                            </w:numPr>
                            <w:spacing w:after="20" w:line="276" w:lineRule="auto"/>
                            <w:ind w:left="284" w:hanging="284"/>
                            <w:rPr>
                              <w:rFonts w:cs="Calibri"/>
                              <w:sz w:val="17"/>
                              <w:szCs w:val="17"/>
                            </w:rPr>
                          </w:pPr>
                          <w:r w:rsidRPr="00C7607E">
                            <w:rPr>
                              <w:rFonts w:cs="Calibri"/>
                              <w:sz w:val="17"/>
                              <w:szCs w:val="17"/>
                            </w:rPr>
                            <w:t>Ministry for Primary Industries forestry schemes</w:t>
                          </w:r>
                        </w:p>
                        <w:p w14:paraId="5FFB2001" w14:textId="77777777" w:rsidR="006D123E" w:rsidRPr="00C7607E" w:rsidRDefault="006D123E" w:rsidP="00F602CF">
                          <w:pPr>
                            <w:numPr>
                              <w:ilvl w:val="0"/>
                              <w:numId w:val="29"/>
                            </w:numPr>
                            <w:spacing w:after="20" w:line="276" w:lineRule="auto"/>
                            <w:ind w:left="284" w:hanging="284"/>
                            <w:rPr>
                              <w:rFonts w:cs="Calibri"/>
                              <w:sz w:val="17"/>
                              <w:szCs w:val="17"/>
                            </w:rPr>
                          </w:pPr>
                          <w:r w:rsidRPr="00C7607E">
                            <w:rPr>
                              <w:rFonts w:cs="Calibri"/>
                              <w:sz w:val="17"/>
                              <w:szCs w:val="17"/>
                            </w:rPr>
                            <w:t>Ministry for Primary Industries compliance field teams</w:t>
                          </w:r>
                        </w:p>
                        <w:p w14:paraId="4007AFDD" w14:textId="77777777" w:rsidR="006D123E" w:rsidRPr="00C7607E" w:rsidRDefault="006D123E" w:rsidP="00F602CF">
                          <w:pPr>
                            <w:numPr>
                              <w:ilvl w:val="0"/>
                              <w:numId w:val="29"/>
                            </w:numPr>
                            <w:spacing w:after="20" w:line="276" w:lineRule="auto"/>
                            <w:ind w:left="284" w:hanging="284"/>
                            <w:rPr>
                              <w:rFonts w:cs="Calibri"/>
                              <w:sz w:val="17"/>
                              <w:szCs w:val="17"/>
                            </w:rPr>
                          </w:pPr>
                          <w:r w:rsidRPr="00C7607E">
                            <w:rPr>
                              <w:rFonts w:cs="Calibri"/>
                              <w:sz w:val="17"/>
                              <w:szCs w:val="17"/>
                            </w:rPr>
                            <w:t>Forestry consultants</w:t>
                          </w:r>
                        </w:p>
                        <w:p w14:paraId="01F2818A" w14:textId="77777777" w:rsidR="006D123E" w:rsidRPr="00C7607E" w:rsidRDefault="006D123E" w:rsidP="00F602CF">
                          <w:pPr>
                            <w:numPr>
                              <w:ilvl w:val="0"/>
                              <w:numId w:val="29"/>
                            </w:numPr>
                            <w:spacing w:after="40" w:line="276" w:lineRule="auto"/>
                            <w:ind w:left="284" w:hanging="284"/>
                            <w:rPr>
                              <w:rFonts w:cs="Calibri"/>
                              <w:sz w:val="17"/>
                              <w:szCs w:val="17"/>
                            </w:rPr>
                          </w:pPr>
                          <w:r w:rsidRPr="00C7607E">
                            <w:rPr>
                              <w:rFonts w:cs="Calibri"/>
                              <w:sz w:val="17"/>
                              <w:szCs w:val="17"/>
                            </w:rPr>
                            <w:t>Vertical aerial photography</w:t>
                          </w:r>
                        </w:p>
                        <w:p w14:paraId="4F602CDA" w14:textId="77777777" w:rsidR="006D123E" w:rsidRPr="00C7607E" w:rsidRDefault="006D123E" w:rsidP="00F602CF">
                          <w:pPr>
                            <w:numPr>
                              <w:ilvl w:val="0"/>
                              <w:numId w:val="29"/>
                            </w:numPr>
                            <w:spacing w:after="40" w:line="276" w:lineRule="auto"/>
                            <w:ind w:left="284" w:hanging="284"/>
                            <w:rPr>
                              <w:rFonts w:cs="Calibri"/>
                              <w:sz w:val="17"/>
                              <w:szCs w:val="17"/>
                            </w:rPr>
                          </w:pPr>
                          <w:r w:rsidRPr="00C7607E">
                            <w:rPr>
                              <w:rFonts w:cs="Calibri"/>
                              <w:sz w:val="17"/>
                              <w:szCs w:val="17"/>
                            </w:rPr>
                            <w:t>Oblique aerial photography</w:t>
                          </w:r>
                        </w:p>
                        <w:p w14:paraId="37A576FF" w14:textId="77777777" w:rsidR="006D123E" w:rsidRPr="00C7607E" w:rsidRDefault="006D123E" w:rsidP="00F602CF">
                          <w:pPr>
                            <w:numPr>
                              <w:ilvl w:val="0"/>
                              <w:numId w:val="29"/>
                            </w:numPr>
                            <w:spacing w:after="40" w:line="276" w:lineRule="auto"/>
                            <w:ind w:left="284" w:hanging="284"/>
                            <w:rPr>
                              <w:rFonts w:cs="Calibri"/>
                              <w:sz w:val="17"/>
                              <w:szCs w:val="17"/>
                            </w:rPr>
                          </w:pPr>
                          <w:r w:rsidRPr="00C7607E">
                            <w:rPr>
                              <w:rFonts w:cs="Calibri"/>
                              <w:sz w:val="17"/>
                              <w:szCs w:val="17"/>
                            </w:rPr>
                            <w:t>Satellite imagery</w:t>
                          </w:r>
                        </w:p>
                      </w:txbxContent>
                    </v:textbox>
                  </v:shape>
                  <v:shape id="AutoShape 35" o:spid="_x0000_s1044" type="#_x0000_t32" style="position:absolute;left:5017;top:6910;width:4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">
                    <v:stroke endarrow="block"/>
                    <o:lock v:ext="edit" aspectratio="t"/>
                  </v:shape>
                  <v:shape id="AutoShape 36" o:spid="_x0000_s1045" type="#_x0000_t109" style="position:absolute;left:2197;top:4715;width:2805;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">
                    <o:lock v:ext="edit" aspectratio="t"/>
                    <v:textbox>
                      <w:txbxContent>
                        <w:p w14:paraId="74588CE3" w14:textId="77777777" w:rsidR="006D123E" w:rsidRPr="00C7607E" w:rsidRDefault="006D123E" w:rsidP="006D123E">
                          <w:pPr>
                            <w:spacing w:before="40" w:after="40"/>
                            <w:jc w:val="center"/>
                            <w:rPr>
                              <w:rFonts w:cs="Calibri"/>
                              <w:sz w:val="17"/>
                              <w:szCs w:val="17"/>
                            </w:rPr>
                          </w:pPr>
                          <w:r w:rsidRPr="00C7607E">
                            <w:rPr>
                              <w:rFonts w:cs="Calibri"/>
                              <w:sz w:val="17"/>
                              <w:szCs w:val="17"/>
                            </w:rPr>
                            <w:t>Area mapped as destocked</w:t>
                          </w:r>
                        </w:p>
                        <w:p w14:paraId="0421CA0B" w14:textId="77777777" w:rsidR="006D123E" w:rsidRPr="00C7607E" w:rsidRDefault="006D123E" w:rsidP="006D123E">
                          <w:pPr>
                            <w:spacing w:before="40" w:after="40"/>
                            <w:rPr>
                              <w:rFonts w:cs="Calibri"/>
                              <w:sz w:val="17"/>
                              <w:szCs w:val="17"/>
                            </w:rPr>
                          </w:pPr>
                        </w:p>
                      </w:txbxContent>
                    </v:textbox>
                  </v:shape>
                </v:group>
                <w10:anchorlock/>
              </v:group>
            </w:pict>
          </mc:Fallback>
        </mc:AlternateContent>
      </w:r>
    </w:p>
    <w:p w14:paraId="035C6F52" w14:textId="77777777" w:rsidR="006D123E" w:rsidRPr="00261B7A" w:rsidRDefault="006D123E" w:rsidP="00041A55">
      <w:pPr>
        <w:pStyle w:val="Heading3"/>
        <w:tabs>
          <w:tab w:val="clear" w:pos="851"/>
          <w:tab w:val="left" w:pos="993"/>
        </w:tabs>
      </w:pPr>
      <w:bookmarkStart w:id="3150" w:name="_Toc261513300"/>
      <w:bookmarkStart w:id="3151" w:name="_Toc261513913"/>
      <w:bookmarkStart w:id="3152" w:name="_Toc280630403"/>
      <w:bookmarkStart w:id="3153" w:name="_Toc377043727"/>
      <w:bookmarkStart w:id="3154" w:name="_Toc400967265"/>
      <w:r w:rsidRPr="00261B7A">
        <w:t xml:space="preserve">11.5.3 </w:t>
      </w:r>
      <w:r w:rsidRPr="00261B7A">
        <w:tab/>
        <w:t>Distinction between afforestation and grassland with woody biomass</w:t>
      </w:r>
    </w:p>
    <w:p w14:paraId="0C274E52" w14:textId="77777777" w:rsidR="006D123E" w:rsidRPr="00261B7A" w:rsidRDefault="006D123E" w:rsidP="006D123E">
      <w:pPr>
        <w:pStyle w:val="BodyText"/>
        <w:spacing w:before="100" w:after="100"/>
      </w:pPr>
      <w:r w:rsidRPr="00261B7A">
        <w:t>For a shrubland area to be classed as post-1989 forest (and hence Afforestation), as opposed to grassland with woody biomass, it must meet a range of criteria including the forest definition criteria of having at least 30 per cent cover and being at least 1 hectare in size and 30 metres in width. It must also have the potential to reach 5 metres in height within a 30- to 40-year timeframe under current land management, and there must be evidence of intention for it do so.</w:t>
      </w:r>
    </w:p>
    <w:p w14:paraId="5AF455BC" w14:textId="77777777" w:rsidR="006D123E" w:rsidRPr="00261B7A" w:rsidRDefault="006D123E" w:rsidP="006D123E">
      <w:pPr>
        <w:pStyle w:val="BodyText"/>
        <w:spacing w:before="100" w:after="100"/>
      </w:pPr>
      <w:r w:rsidRPr="00261B7A">
        <w:t>This potential to reach 5 metres is determined using a range of ancillary data including:</w:t>
      </w:r>
    </w:p>
    <w:p w14:paraId="6A8A051B" w14:textId="77777777" w:rsidR="006D123E" w:rsidRPr="00261B7A" w:rsidRDefault="006D123E" w:rsidP="006D123E">
      <w:pPr>
        <w:pStyle w:val="Bullet"/>
        <w:spacing w:after="100"/>
      </w:pPr>
      <w:r w:rsidRPr="00261B7A">
        <w:t>location with respect to the treeline – shrub species located below but within 225 vertical metres of the treeline are not considered to have the potential to reach 5 metres in height within the required timeframe (Newsome et al., 2011)</w:t>
      </w:r>
    </w:p>
    <w:p w14:paraId="4BF2C7A8" w14:textId="77777777" w:rsidR="006D123E" w:rsidRPr="00261B7A" w:rsidRDefault="006D123E" w:rsidP="006D123E">
      <w:pPr>
        <w:pStyle w:val="Bullet"/>
        <w:spacing w:after="100"/>
      </w:pPr>
      <w:r w:rsidRPr="00261B7A">
        <w:t>environmental conditions – a range of environmental conditions limit growth of shrub species in New Zealand. These include soil type, climatic conditions, geothermal activity and salt spray (Newsome et al., 2011). When a shrubland area falls within one of these zones of limitation, it is classed as grassland with woody biomass</w:t>
      </w:r>
    </w:p>
    <w:p w14:paraId="3BE2529F" w14:textId="77777777" w:rsidR="006D123E" w:rsidRPr="00261B7A" w:rsidRDefault="006D123E" w:rsidP="006D123E">
      <w:pPr>
        <w:pStyle w:val="Bullet"/>
        <w:spacing w:after="100"/>
      </w:pPr>
      <w:r w:rsidRPr="00261B7A">
        <w:t>geographical context – shrubland areas in a grazing context are unlikely to grow to 5 metres in height unless there is evidence of livestock exclusion, such as a fence line or a change to steep terrain (gully or hill), which provides a natural barrier to livestock.</w:t>
      </w:r>
    </w:p>
    <w:p w14:paraId="74886863" w14:textId="77777777" w:rsidR="006D123E" w:rsidRPr="00261B7A" w:rsidRDefault="006D123E" w:rsidP="006D123E">
      <w:pPr>
        <w:pStyle w:val="BodyText"/>
        <w:spacing w:before="100" w:after="100"/>
      </w:pPr>
      <w:r w:rsidRPr="00261B7A">
        <w:t>The evidence that the afforestation is human induced includes data from the following.</w:t>
      </w:r>
    </w:p>
    <w:p w14:paraId="30199ADF" w14:textId="77777777" w:rsidR="006D123E" w:rsidRPr="00261B7A" w:rsidRDefault="006D123E" w:rsidP="006D123E">
      <w:pPr>
        <w:pStyle w:val="Bullet"/>
        <w:spacing w:after="100"/>
      </w:pPr>
      <w:r w:rsidRPr="00261B7A">
        <w:t xml:space="preserve">NZ ETS forest mapping – if an area has been accepted into the NZ ETS this is considered to </w:t>
      </w:r>
      <w:r w:rsidRPr="00261B7A">
        <w:rPr>
          <w:spacing w:val="-2"/>
        </w:rPr>
        <w:t xml:space="preserve">be strong evidence of </w:t>
      </w:r>
      <w:r w:rsidRPr="00261B7A">
        <w:t>afforestation</w:t>
      </w:r>
      <w:r w:rsidRPr="00261B7A">
        <w:rPr>
          <w:spacing w:val="-2"/>
        </w:rPr>
        <w:t>. The area will have been checked to verify establishment</w:t>
      </w:r>
      <w:r w:rsidRPr="00261B7A">
        <w:t xml:space="preserve"> date and the potential of the area to grow to 5 metres in height. The fact the land owner has entered the area in the NZ ETS (with associated application costs) is considered strong evidence of their intention to grow a forest.</w:t>
      </w:r>
    </w:p>
    <w:p w14:paraId="61572F0E" w14:textId="77777777" w:rsidR="006D123E" w:rsidRPr="00261B7A" w:rsidRDefault="006D123E" w:rsidP="006D123E">
      <w:pPr>
        <w:pStyle w:val="Bullet"/>
      </w:pPr>
      <w:r w:rsidRPr="00261B7A">
        <w:t>Aerial imagery – showing fence lines, spot spraying or regular planting patterns consistent with the establishment of indigenous forest cover.</w:t>
      </w:r>
    </w:p>
    <w:p w14:paraId="68B52851" w14:textId="77777777" w:rsidR="006D123E" w:rsidRPr="00261B7A" w:rsidRDefault="006D123E" w:rsidP="006D123E">
      <w:pPr>
        <w:pStyle w:val="BodyText"/>
        <w:spacing w:after="100"/>
      </w:pPr>
      <w:r w:rsidRPr="00261B7A">
        <w:t>The decision tree relating this classification of shrubland areas is described in the grassland with woody biomass section of the Satellite Imagery Interpretation Guide for Land-Use Classes (Ministry for the Environment, 2012).</w:t>
      </w:r>
    </w:p>
    <w:p w14:paraId="08D88B6A" w14:textId="77777777" w:rsidR="006D123E" w:rsidRPr="00261B7A" w:rsidRDefault="006D123E" w:rsidP="00041A55">
      <w:pPr>
        <w:pStyle w:val="Heading3"/>
        <w:tabs>
          <w:tab w:val="clear" w:pos="851"/>
          <w:tab w:val="left" w:pos="993"/>
        </w:tabs>
        <w:spacing w:before="280"/>
      </w:pPr>
      <w:r w:rsidRPr="00261B7A">
        <w:t xml:space="preserve">11.5.4 </w:t>
      </w:r>
      <w:r w:rsidRPr="00261B7A">
        <w:tab/>
        <w:t xml:space="preserve">Unclassified </w:t>
      </w:r>
      <w:bookmarkEnd w:id="3150"/>
      <w:bookmarkEnd w:id="3151"/>
      <w:bookmarkEnd w:id="3152"/>
      <w:bookmarkEnd w:id="3153"/>
      <w:bookmarkEnd w:id="3154"/>
      <w:r w:rsidRPr="00261B7A">
        <w:t>destocked land</w:t>
      </w:r>
    </w:p>
    <w:p w14:paraId="766908C4" w14:textId="77777777" w:rsidR="006D123E" w:rsidRPr="00261B7A" w:rsidRDefault="006D123E" w:rsidP="006D123E">
      <w:pPr>
        <w:pStyle w:val="BodyText"/>
      </w:pPr>
      <w:r w:rsidRPr="00261B7A">
        <w:t>The reporting guidelines under the Convention require that countries provide information on the size and geographical location of forest areas that have lost forest cover but that are not yet classified as deforested.</w:t>
      </w:r>
    </w:p>
    <w:p w14:paraId="36824E4D" w14:textId="77777777" w:rsidR="006D123E" w:rsidRPr="00261B7A" w:rsidRDefault="006D123E" w:rsidP="006D123E">
      <w:pPr>
        <w:pStyle w:val="BodyText"/>
      </w:pPr>
      <w:r w:rsidRPr="00261B7A">
        <w:t xml:space="preserve">To identify these areas, destocked land is mapped into three main classes: harvested, deforested and awaiting. The awaiting areas are those where there is no clear evidence to support harvesting (replanting activity, forestry context) or </w:t>
      </w:r>
      <w:r w:rsidRPr="00261B7A">
        <w:rPr>
          <w:i/>
          <w:spacing w:val="-2"/>
        </w:rPr>
        <w:t>Deforestation</w:t>
      </w:r>
      <w:r w:rsidRPr="00261B7A">
        <w:t xml:space="preserve"> (confirmed land-use change, such as pasture establishment, fences and stock). The areas are therefore awaiting a land use determination.</w:t>
      </w:r>
    </w:p>
    <w:p w14:paraId="4002A6A1" w14:textId="77777777" w:rsidR="006D123E" w:rsidRPr="00261B7A" w:rsidRDefault="006D123E" w:rsidP="006D123E">
      <w:pPr>
        <w:pStyle w:val="BodyText"/>
        <w:spacing w:before="100" w:after="100"/>
        <w:rPr>
          <w:spacing w:val="-2"/>
        </w:rPr>
      </w:pPr>
      <w:r w:rsidRPr="00261B7A">
        <w:rPr>
          <w:spacing w:val="-2"/>
        </w:rPr>
        <w:t>Wall-to-wall mapping of harvested, deforested and awaiting areas was completed for 2008 to 2016. Each year, areas of awaiting land that have been destocked for more than four years are reviewed to determine whether deforestation or replanting has occurred. Where a recent imagery evidence source is available, these awaiting areas are reclassified as either harvested (where there is evidence of replanting) or deforested (where there is evidence of land</w:t>
      </w:r>
      <w:r w:rsidRPr="00261B7A">
        <w:rPr>
          <w:spacing w:val="-2"/>
        </w:rPr>
        <w:noBreakHyphen/>
        <w:t xml:space="preserve">use change). </w:t>
      </w:r>
    </w:p>
    <w:p w14:paraId="40BF5358" w14:textId="77777777" w:rsidR="006D123E" w:rsidRPr="00261B7A" w:rsidRDefault="006D123E" w:rsidP="006D123E">
      <w:pPr>
        <w:pStyle w:val="BodyText"/>
        <w:spacing w:before="80" w:after="100"/>
      </w:pPr>
      <w:r w:rsidRPr="00261B7A">
        <w:t xml:space="preserve">Areas classed as awaiting land are still considered to be forested land until either evidence of land-use change is identified or four years have passed since destocking and the land is confirmed to be in a new land use (whichever comes first). This is consistent with section 2.6.2.1 of the Kyoto Protocol Supplement (IPCC, 2014), which states that (p 82): </w:t>
      </w:r>
    </w:p>
    <w:p w14:paraId="06ED1D2E" w14:textId="77777777" w:rsidR="006D123E" w:rsidRPr="00261B7A" w:rsidRDefault="006D123E" w:rsidP="006D123E">
      <w:pPr>
        <w:pStyle w:val="Quote"/>
        <w:spacing w:before="80" w:after="80"/>
      </w:pPr>
      <w:r w:rsidRPr="00261B7A">
        <w:rPr>
          <w:spacing w:val="-2"/>
        </w:rPr>
        <w:t xml:space="preserve">In the absence of land-use change (such as conversion to </w:t>
      </w:r>
      <w:r w:rsidRPr="00261B7A">
        <w:rPr>
          <w:i/>
          <w:spacing w:val="-2"/>
        </w:rPr>
        <w:t>Cropland</w:t>
      </w:r>
      <w:r w:rsidRPr="00261B7A">
        <w:rPr>
          <w:spacing w:val="-2"/>
        </w:rPr>
        <w:t xml:space="preserve"> or construction of </w:t>
      </w:r>
      <w:r w:rsidRPr="00261B7A">
        <w:rPr>
          <w:i/>
          <w:iCs w:val="0"/>
          <w:spacing w:val="-2"/>
        </w:rPr>
        <w:t>Settlements</w:t>
      </w:r>
      <w:r w:rsidRPr="00261B7A">
        <w:rPr>
          <w:spacing w:val="-2"/>
        </w:rPr>
        <w:t>)</w:t>
      </w:r>
      <w:r w:rsidRPr="00261B7A">
        <w:t xml:space="preserve"> areas without tree cover are considered “forest” provided that the time since forest cover loss is shorter than the number of years within which tree establishment is expected.</w:t>
      </w:r>
    </w:p>
    <w:p w14:paraId="518528C1" w14:textId="77777777" w:rsidR="006D123E" w:rsidRPr="00261B7A" w:rsidRDefault="006D123E" w:rsidP="006D123E">
      <w:pPr>
        <w:pStyle w:val="BodyText"/>
        <w:tabs>
          <w:tab w:val="left" w:pos="3544"/>
        </w:tabs>
        <w:spacing w:before="100" w:after="100"/>
      </w:pPr>
      <w:r w:rsidRPr="00261B7A">
        <w:t xml:space="preserve">All areas of awaiting land that was destocked before 2017 have now been reclassified as either harvested or deforested based on field verification. </w:t>
      </w:r>
    </w:p>
    <w:p w14:paraId="7C79530B" w14:textId="77777777" w:rsidR="006D123E" w:rsidRPr="00261B7A" w:rsidRDefault="006D123E" w:rsidP="006D123E">
      <w:pPr>
        <w:pStyle w:val="BodyText"/>
        <w:tabs>
          <w:tab w:val="left" w:pos="3544"/>
        </w:tabs>
        <w:spacing w:before="100" w:after="100"/>
      </w:pPr>
      <w:r w:rsidRPr="00261B7A">
        <w:t>The total area of unclassified land for 2017 to 2019 is shown in table 11.5.1.</w:t>
      </w:r>
    </w:p>
    <w:p w14:paraId="5573D284" w14:textId="77777777" w:rsidR="006D123E" w:rsidRPr="00261B7A" w:rsidRDefault="006D123E" w:rsidP="006D123E">
      <w:pPr>
        <w:pStyle w:val="Table"/>
        <w:tabs>
          <w:tab w:val="left" w:pos="3544"/>
        </w:tabs>
      </w:pPr>
      <w:bookmarkStart w:id="3155" w:name="_Toc310423447"/>
      <w:bookmarkStart w:id="3156" w:name="_Toc318362741"/>
      <w:bookmarkStart w:id="3157" w:name="_Toc342470820"/>
      <w:bookmarkStart w:id="3158" w:name="_Toc352505073"/>
      <w:bookmarkStart w:id="3159" w:name="_Toc377043709"/>
      <w:bookmarkStart w:id="3160" w:name="_Toc391023561"/>
      <w:bookmarkStart w:id="3161" w:name="_Toc414531534"/>
      <w:bookmarkStart w:id="3162" w:name="_Toc456179113"/>
      <w:bookmarkStart w:id="3163" w:name="_Toc481751638"/>
      <w:bookmarkStart w:id="3164" w:name="_Toc522010665"/>
      <w:bookmarkStart w:id="3165" w:name="_Toc5269636"/>
      <w:bookmarkStart w:id="3166" w:name="_Toc36224719"/>
      <w:bookmarkStart w:id="3167" w:name="_Toc64987054"/>
      <w:bookmarkStart w:id="3168" w:name="_Toc68786604"/>
      <w:bookmarkStart w:id="3169" w:name="_Toc95321549"/>
      <w:bookmarkStart w:id="3170" w:name="_Toc130568415"/>
      <w:bookmarkStart w:id="3171" w:name="_Toc131591508"/>
      <w:r w:rsidRPr="00261B7A">
        <w:t xml:space="preserve">Table 11.5.1 </w:t>
      </w:r>
      <w:r w:rsidRPr="00261B7A">
        <w:tab/>
        <w:t>Area of land destocked in New Zealand in 2017 to 2019 that has not yet been classified</w:t>
      </w:r>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p>
    <w:tbl>
      <w:tblPr>
        <w:tblW w:w="8500"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1260"/>
        <w:gridCol w:w="1960"/>
        <w:gridCol w:w="2112"/>
        <w:gridCol w:w="1810"/>
        <w:gridCol w:w="1358"/>
      </w:tblGrid>
      <w:tr w:rsidR="006D123E" w:rsidRPr="00261B7A" w14:paraId="0DE85302" w14:textId="77777777" w:rsidTr="009C63CA">
        <w:tc>
          <w:tcPr>
            <w:tcW w:w="1260" w:type="dxa"/>
            <w:shd w:val="clear" w:color="auto" w:fill="1B556B"/>
            <w:vAlign w:val="bottom"/>
          </w:tcPr>
          <w:p w14:paraId="5760062A" w14:textId="77777777" w:rsidR="006D123E" w:rsidRPr="00261B7A" w:rsidRDefault="006D123E" w:rsidP="009C63CA">
            <w:pPr>
              <w:pStyle w:val="TableTextBold"/>
              <w:keepNext/>
              <w:tabs>
                <w:tab w:val="left" w:pos="3544"/>
              </w:tabs>
              <w:spacing w:before="50" w:after="50"/>
              <w:rPr>
                <w:bCs/>
                <w:noProof w:val="0"/>
                <w:color w:val="FFFFFF"/>
                <w:szCs w:val="16"/>
              </w:rPr>
            </w:pPr>
            <w:r w:rsidRPr="00261B7A">
              <w:rPr>
                <w:bCs/>
                <w:noProof w:val="0"/>
                <w:color w:val="FFFFFF"/>
                <w:szCs w:val="16"/>
              </w:rPr>
              <w:t>Year of destocking</w:t>
            </w:r>
          </w:p>
        </w:tc>
        <w:tc>
          <w:tcPr>
            <w:tcW w:w="1960" w:type="dxa"/>
            <w:shd w:val="clear" w:color="auto" w:fill="1B556B"/>
            <w:vAlign w:val="bottom"/>
            <w:hideMark/>
          </w:tcPr>
          <w:p w14:paraId="19D96EE6" w14:textId="77777777" w:rsidR="006D123E" w:rsidRPr="00261B7A" w:rsidRDefault="006D123E" w:rsidP="009C63CA">
            <w:pPr>
              <w:pStyle w:val="TableTextBold"/>
              <w:keepNext/>
              <w:tabs>
                <w:tab w:val="left" w:pos="3544"/>
              </w:tabs>
              <w:spacing w:before="50" w:after="50"/>
              <w:jc w:val="center"/>
              <w:rPr>
                <w:bCs/>
                <w:noProof w:val="0"/>
                <w:color w:val="FFFFFF"/>
                <w:szCs w:val="16"/>
              </w:rPr>
            </w:pPr>
            <w:r w:rsidRPr="00261B7A">
              <w:rPr>
                <w:bCs/>
                <w:noProof w:val="0"/>
                <w:color w:val="FFFFFF"/>
                <w:szCs w:val="16"/>
              </w:rPr>
              <w:t xml:space="preserve">Pre-1990 natural forest </w:t>
            </w:r>
            <w:r w:rsidRPr="00261B7A">
              <w:rPr>
                <w:bCs/>
                <w:noProof w:val="0"/>
                <w:color w:val="FFFFFF"/>
                <w:szCs w:val="16"/>
              </w:rPr>
              <w:br/>
              <w:t>(ha)</w:t>
            </w:r>
          </w:p>
        </w:tc>
        <w:tc>
          <w:tcPr>
            <w:tcW w:w="2112" w:type="dxa"/>
            <w:shd w:val="clear" w:color="auto" w:fill="1B556B"/>
            <w:vAlign w:val="bottom"/>
            <w:hideMark/>
          </w:tcPr>
          <w:p w14:paraId="458027C6" w14:textId="77777777" w:rsidR="006D123E" w:rsidRPr="00261B7A" w:rsidRDefault="006D123E" w:rsidP="009C63CA">
            <w:pPr>
              <w:pStyle w:val="TableTextBold"/>
              <w:keepNext/>
              <w:tabs>
                <w:tab w:val="left" w:pos="3544"/>
              </w:tabs>
              <w:spacing w:before="50" w:after="50"/>
              <w:jc w:val="center"/>
              <w:rPr>
                <w:bCs/>
                <w:noProof w:val="0"/>
                <w:color w:val="FFFFFF"/>
                <w:szCs w:val="16"/>
              </w:rPr>
            </w:pPr>
            <w:r w:rsidRPr="00261B7A">
              <w:rPr>
                <w:bCs/>
                <w:noProof w:val="0"/>
                <w:color w:val="FFFFFF"/>
                <w:szCs w:val="16"/>
              </w:rPr>
              <w:t xml:space="preserve">Pre-1990 planted forest </w:t>
            </w:r>
            <w:r w:rsidRPr="00261B7A">
              <w:rPr>
                <w:bCs/>
                <w:noProof w:val="0"/>
                <w:color w:val="FFFFFF"/>
                <w:szCs w:val="16"/>
              </w:rPr>
              <w:br/>
              <w:t>(ha)</w:t>
            </w:r>
          </w:p>
        </w:tc>
        <w:tc>
          <w:tcPr>
            <w:tcW w:w="1810" w:type="dxa"/>
            <w:shd w:val="clear" w:color="auto" w:fill="1B556B"/>
            <w:vAlign w:val="bottom"/>
          </w:tcPr>
          <w:p w14:paraId="6082B5F0" w14:textId="77777777" w:rsidR="006D123E" w:rsidRPr="00261B7A" w:rsidRDefault="006D123E" w:rsidP="009C63CA">
            <w:pPr>
              <w:pStyle w:val="TableTextBold"/>
              <w:keepNext/>
              <w:tabs>
                <w:tab w:val="left" w:pos="3544"/>
              </w:tabs>
              <w:spacing w:before="50" w:after="50"/>
              <w:jc w:val="center"/>
              <w:rPr>
                <w:bCs/>
                <w:noProof w:val="0"/>
                <w:color w:val="FFFFFF"/>
                <w:szCs w:val="16"/>
              </w:rPr>
            </w:pPr>
            <w:r w:rsidRPr="00261B7A">
              <w:rPr>
                <w:bCs/>
                <w:noProof w:val="0"/>
                <w:color w:val="FFFFFF"/>
                <w:szCs w:val="16"/>
              </w:rPr>
              <w:t>Post-1989 forest</w:t>
            </w:r>
            <w:r w:rsidRPr="00261B7A">
              <w:rPr>
                <w:bCs/>
                <w:noProof w:val="0"/>
                <w:color w:val="FFFFFF"/>
                <w:szCs w:val="16"/>
              </w:rPr>
              <w:br/>
              <w:t>(ha)</w:t>
            </w:r>
          </w:p>
        </w:tc>
        <w:tc>
          <w:tcPr>
            <w:tcW w:w="1358" w:type="dxa"/>
            <w:shd w:val="clear" w:color="auto" w:fill="1B556B"/>
            <w:vAlign w:val="bottom"/>
            <w:hideMark/>
          </w:tcPr>
          <w:p w14:paraId="118A9E51" w14:textId="77777777" w:rsidR="006D123E" w:rsidRPr="00261B7A" w:rsidRDefault="006D123E" w:rsidP="009C63CA">
            <w:pPr>
              <w:pStyle w:val="TableTextBold"/>
              <w:keepNext/>
              <w:tabs>
                <w:tab w:val="left" w:pos="3544"/>
              </w:tabs>
              <w:spacing w:before="50" w:after="50"/>
              <w:jc w:val="center"/>
              <w:rPr>
                <w:bCs/>
                <w:noProof w:val="0"/>
                <w:color w:val="FFFFFF"/>
                <w:szCs w:val="16"/>
              </w:rPr>
            </w:pPr>
            <w:r w:rsidRPr="00261B7A">
              <w:rPr>
                <w:bCs/>
                <w:noProof w:val="0"/>
                <w:color w:val="FFFFFF"/>
                <w:szCs w:val="16"/>
              </w:rPr>
              <w:t>Total</w:t>
            </w:r>
            <w:r w:rsidRPr="00261B7A">
              <w:rPr>
                <w:bCs/>
                <w:noProof w:val="0"/>
                <w:color w:val="FFFFFF"/>
                <w:szCs w:val="16"/>
              </w:rPr>
              <w:br/>
              <w:t>(ha)</w:t>
            </w:r>
          </w:p>
        </w:tc>
      </w:tr>
      <w:tr w:rsidR="006D123E" w:rsidRPr="00261B7A" w14:paraId="45E9185E" w14:textId="77777777" w:rsidTr="009C63CA">
        <w:tc>
          <w:tcPr>
            <w:tcW w:w="1260" w:type="dxa"/>
          </w:tcPr>
          <w:p w14:paraId="24C53571" w14:textId="77777777" w:rsidR="006D123E" w:rsidRPr="00261B7A" w:rsidRDefault="006D123E" w:rsidP="009C63CA">
            <w:pPr>
              <w:pStyle w:val="TableText"/>
            </w:pPr>
            <w:r w:rsidRPr="00261B7A">
              <w:t>2017</w:t>
            </w:r>
          </w:p>
        </w:tc>
        <w:tc>
          <w:tcPr>
            <w:tcW w:w="1960" w:type="dxa"/>
            <w:shd w:val="clear" w:color="auto" w:fill="auto"/>
            <w:noWrap/>
            <w:vAlign w:val="center"/>
            <w:hideMark/>
          </w:tcPr>
          <w:p w14:paraId="3C9FEEFE" w14:textId="77777777" w:rsidR="006D123E" w:rsidRPr="00261B7A" w:rsidRDefault="006D123E" w:rsidP="009C63CA">
            <w:pPr>
              <w:pStyle w:val="TableText"/>
              <w:jc w:val="center"/>
              <w:rPr>
                <w:bCs/>
              </w:rPr>
            </w:pPr>
            <w:r w:rsidRPr="00261B7A">
              <w:t>4</w:t>
            </w:r>
          </w:p>
        </w:tc>
        <w:tc>
          <w:tcPr>
            <w:tcW w:w="2112" w:type="dxa"/>
            <w:shd w:val="clear" w:color="auto" w:fill="auto"/>
            <w:noWrap/>
            <w:vAlign w:val="center"/>
            <w:hideMark/>
          </w:tcPr>
          <w:p w14:paraId="5EA04FED" w14:textId="77777777" w:rsidR="006D123E" w:rsidRPr="00261B7A" w:rsidRDefault="006D123E" w:rsidP="009C63CA">
            <w:pPr>
              <w:pStyle w:val="TableText"/>
              <w:jc w:val="center"/>
            </w:pPr>
            <w:r w:rsidRPr="00261B7A">
              <w:t>231</w:t>
            </w:r>
          </w:p>
        </w:tc>
        <w:tc>
          <w:tcPr>
            <w:tcW w:w="1810" w:type="dxa"/>
            <w:shd w:val="clear" w:color="auto" w:fill="auto"/>
            <w:vAlign w:val="center"/>
          </w:tcPr>
          <w:p w14:paraId="47272624" w14:textId="77777777" w:rsidR="006D123E" w:rsidRPr="00261B7A" w:rsidRDefault="006D123E" w:rsidP="009C63CA">
            <w:pPr>
              <w:pStyle w:val="TableText"/>
              <w:jc w:val="center"/>
            </w:pPr>
            <w:r w:rsidRPr="00261B7A">
              <w:t>200</w:t>
            </w:r>
          </w:p>
        </w:tc>
        <w:tc>
          <w:tcPr>
            <w:tcW w:w="1358" w:type="dxa"/>
            <w:shd w:val="clear" w:color="auto" w:fill="auto"/>
            <w:noWrap/>
            <w:vAlign w:val="center"/>
            <w:hideMark/>
          </w:tcPr>
          <w:p w14:paraId="43EF1443" w14:textId="77777777" w:rsidR="006D123E" w:rsidRPr="00261B7A" w:rsidRDefault="006D123E" w:rsidP="009C63CA">
            <w:pPr>
              <w:pStyle w:val="TableText"/>
              <w:jc w:val="center"/>
            </w:pPr>
            <w:r w:rsidRPr="00261B7A">
              <w:t>435</w:t>
            </w:r>
          </w:p>
        </w:tc>
      </w:tr>
      <w:tr w:rsidR="006D123E" w:rsidRPr="00261B7A" w14:paraId="0608F43A" w14:textId="77777777" w:rsidTr="009C63CA">
        <w:tc>
          <w:tcPr>
            <w:tcW w:w="1260" w:type="dxa"/>
          </w:tcPr>
          <w:p w14:paraId="1A58B9AC" w14:textId="77777777" w:rsidR="006D123E" w:rsidRPr="00261B7A" w:rsidRDefault="006D123E" w:rsidP="009C63CA">
            <w:pPr>
              <w:pStyle w:val="TableText"/>
            </w:pPr>
            <w:r w:rsidRPr="00261B7A">
              <w:t>2018</w:t>
            </w:r>
          </w:p>
        </w:tc>
        <w:tc>
          <w:tcPr>
            <w:tcW w:w="1960" w:type="dxa"/>
            <w:shd w:val="clear" w:color="auto" w:fill="auto"/>
            <w:noWrap/>
            <w:vAlign w:val="center"/>
          </w:tcPr>
          <w:p w14:paraId="58D7C80F" w14:textId="77777777" w:rsidR="006D123E" w:rsidRPr="00261B7A" w:rsidRDefault="006D123E" w:rsidP="009C63CA">
            <w:pPr>
              <w:pStyle w:val="TableText"/>
              <w:jc w:val="center"/>
            </w:pPr>
            <w:r w:rsidRPr="00261B7A">
              <w:t>192</w:t>
            </w:r>
          </w:p>
        </w:tc>
        <w:tc>
          <w:tcPr>
            <w:tcW w:w="2112" w:type="dxa"/>
            <w:shd w:val="clear" w:color="auto" w:fill="auto"/>
            <w:noWrap/>
            <w:vAlign w:val="center"/>
          </w:tcPr>
          <w:p w14:paraId="6922D9B6" w14:textId="77777777" w:rsidR="006D123E" w:rsidRPr="00261B7A" w:rsidRDefault="006D123E" w:rsidP="009C63CA">
            <w:pPr>
              <w:pStyle w:val="TableText"/>
              <w:jc w:val="center"/>
            </w:pPr>
            <w:r w:rsidRPr="00261B7A">
              <w:t>1,619</w:t>
            </w:r>
          </w:p>
        </w:tc>
        <w:tc>
          <w:tcPr>
            <w:tcW w:w="1810" w:type="dxa"/>
            <w:shd w:val="clear" w:color="auto" w:fill="auto"/>
            <w:vAlign w:val="center"/>
          </w:tcPr>
          <w:p w14:paraId="79071B64" w14:textId="77777777" w:rsidR="006D123E" w:rsidRPr="00261B7A" w:rsidRDefault="006D123E" w:rsidP="009C63CA">
            <w:pPr>
              <w:pStyle w:val="TableText"/>
              <w:jc w:val="center"/>
            </w:pPr>
            <w:r w:rsidRPr="00261B7A">
              <w:t>1,895</w:t>
            </w:r>
          </w:p>
        </w:tc>
        <w:tc>
          <w:tcPr>
            <w:tcW w:w="1358" w:type="dxa"/>
            <w:shd w:val="clear" w:color="auto" w:fill="auto"/>
            <w:noWrap/>
            <w:vAlign w:val="center"/>
          </w:tcPr>
          <w:p w14:paraId="20B2CA55" w14:textId="77777777" w:rsidR="006D123E" w:rsidRPr="00261B7A" w:rsidRDefault="006D123E" w:rsidP="009C63CA">
            <w:pPr>
              <w:pStyle w:val="TableText"/>
              <w:jc w:val="center"/>
            </w:pPr>
            <w:r w:rsidRPr="00261B7A">
              <w:t>3,705</w:t>
            </w:r>
          </w:p>
        </w:tc>
      </w:tr>
      <w:tr w:rsidR="006D123E" w:rsidRPr="00261B7A" w14:paraId="0EF6413F" w14:textId="77777777" w:rsidTr="009C63CA">
        <w:tc>
          <w:tcPr>
            <w:tcW w:w="1260" w:type="dxa"/>
          </w:tcPr>
          <w:p w14:paraId="208E0447" w14:textId="77777777" w:rsidR="006D123E" w:rsidRPr="00261B7A" w:rsidRDefault="006D123E" w:rsidP="009C63CA">
            <w:pPr>
              <w:pStyle w:val="TableText"/>
            </w:pPr>
            <w:r w:rsidRPr="00261B7A">
              <w:t>2019</w:t>
            </w:r>
          </w:p>
        </w:tc>
        <w:tc>
          <w:tcPr>
            <w:tcW w:w="1960" w:type="dxa"/>
            <w:shd w:val="clear" w:color="auto" w:fill="auto"/>
            <w:noWrap/>
            <w:vAlign w:val="center"/>
          </w:tcPr>
          <w:p w14:paraId="0346DBE8" w14:textId="77777777" w:rsidR="006D123E" w:rsidRPr="00261B7A" w:rsidRDefault="006D123E" w:rsidP="009C63CA">
            <w:pPr>
              <w:pStyle w:val="TableText"/>
              <w:jc w:val="center"/>
            </w:pPr>
            <w:r w:rsidRPr="00261B7A">
              <w:t>76</w:t>
            </w:r>
          </w:p>
        </w:tc>
        <w:tc>
          <w:tcPr>
            <w:tcW w:w="2112" w:type="dxa"/>
            <w:shd w:val="clear" w:color="auto" w:fill="auto"/>
            <w:noWrap/>
            <w:vAlign w:val="center"/>
          </w:tcPr>
          <w:p w14:paraId="506F0B07" w14:textId="77777777" w:rsidR="006D123E" w:rsidRPr="00261B7A" w:rsidRDefault="006D123E" w:rsidP="009C63CA">
            <w:pPr>
              <w:pStyle w:val="TableText"/>
              <w:jc w:val="center"/>
            </w:pPr>
            <w:r w:rsidRPr="00261B7A">
              <w:t>940</w:t>
            </w:r>
          </w:p>
        </w:tc>
        <w:tc>
          <w:tcPr>
            <w:tcW w:w="1810" w:type="dxa"/>
            <w:shd w:val="clear" w:color="auto" w:fill="auto"/>
            <w:vAlign w:val="center"/>
          </w:tcPr>
          <w:p w14:paraId="4F06EAC7" w14:textId="77777777" w:rsidR="006D123E" w:rsidRPr="00261B7A" w:rsidRDefault="006D123E" w:rsidP="009C63CA">
            <w:pPr>
              <w:pStyle w:val="TableText"/>
              <w:jc w:val="center"/>
            </w:pPr>
            <w:r w:rsidRPr="00261B7A">
              <w:t>1,045</w:t>
            </w:r>
          </w:p>
        </w:tc>
        <w:tc>
          <w:tcPr>
            <w:tcW w:w="1358" w:type="dxa"/>
            <w:shd w:val="clear" w:color="auto" w:fill="auto"/>
            <w:noWrap/>
            <w:vAlign w:val="center"/>
          </w:tcPr>
          <w:p w14:paraId="5769BFF7" w14:textId="77777777" w:rsidR="006D123E" w:rsidRPr="00261B7A" w:rsidRDefault="006D123E" w:rsidP="009C63CA">
            <w:pPr>
              <w:pStyle w:val="TableText"/>
              <w:jc w:val="center"/>
            </w:pPr>
            <w:r w:rsidRPr="00261B7A">
              <w:t>2,061</w:t>
            </w:r>
          </w:p>
        </w:tc>
      </w:tr>
    </w:tbl>
    <w:p w14:paraId="1831D18D" w14:textId="77777777" w:rsidR="006D123E" w:rsidRPr="00261B7A" w:rsidRDefault="006D123E" w:rsidP="006D123E">
      <w:pPr>
        <w:pStyle w:val="Noteundertable"/>
      </w:pPr>
      <w:bookmarkStart w:id="3172" w:name="_Toc261513301"/>
      <w:bookmarkStart w:id="3173" w:name="_Toc261513914"/>
      <w:bookmarkStart w:id="3174" w:name="_Toc280630404"/>
      <w:bookmarkStart w:id="3175" w:name="_Toc310423468"/>
      <w:bookmarkStart w:id="3176" w:name="_Toc342470736"/>
      <w:bookmarkStart w:id="3177" w:name="_Toc352504895"/>
      <w:bookmarkStart w:id="3178" w:name="_Toc377043728"/>
      <w:bookmarkStart w:id="3179" w:name="_Toc391023465"/>
      <w:bookmarkStart w:id="3180" w:name="_Toc400967266"/>
      <w:r w:rsidRPr="00261B7A">
        <w:rPr>
          <w:b/>
        </w:rPr>
        <w:t>Note</w:t>
      </w:r>
      <w:r w:rsidRPr="00261B7A">
        <w:t xml:space="preserve">: </w:t>
      </w:r>
      <w:r w:rsidRPr="00261B7A">
        <w:tab/>
        <w:t>Rows may not total due to rounding.</w:t>
      </w:r>
    </w:p>
    <w:p w14:paraId="4A40C286" w14:textId="77777777" w:rsidR="006D123E" w:rsidRPr="00261B7A" w:rsidRDefault="006D123E" w:rsidP="006D123E">
      <w:pPr>
        <w:pStyle w:val="BodyText"/>
      </w:pPr>
      <w:r w:rsidRPr="00261B7A">
        <w:t xml:space="preserve">No estimates of awaiting land for 2020 and 2021 have been made because land use mapping has not been completed for these years. The </w:t>
      </w:r>
      <w:r w:rsidRPr="00261B7A">
        <w:rPr>
          <w:i/>
          <w:spacing w:val="-2"/>
        </w:rPr>
        <w:t>Deforestation</w:t>
      </w:r>
      <w:r w:rsidRPr="00261B7A">
        <w:t xml:space="preserve"> areas reported for 2021 are provisional and based on survey estimates as described in chapter 6, section 6.2.3.</w:t>
      </w:r>
    </w:p>
    <w:p w14:paraId="31736047" w14:textId="77777777" w:rsidR="006D123E" w:rsidRPr="00261B7A" w:rsidRDefault="006D123E" w:rsidP="00041A55">
      <w:pPr>
        <w:pStyle w:val="Heading2"/>
        <w:tabs>
          <w:tab w:val="clear" w:pos="851"/>
          <w:tab w:val="left" w:pos="964"/>
        </w:tabs>
        <w:spacing w:before="280"/>
      </w:pPr>
      <w:bookmarkStart w:id="3181" w:name="_Toc261513302"/>
      <w:bookmarkStart w:id="3182" w:name="_Toc261513915"/>
      <w:bookmarkStart w:id="3183" w:name="_Toc280630405"/>
      <w:bookmarkStart w:id="3184" w:name="_Toc310423469"/>
      <w:bookmarkStart w:id="3185" w:name="_Toc342470737"/>
      <w:bookmarkStart w:id="3186" w:name="_Toc352504896"/>
      <w:bookmarkStart w:id="3187" w:name="_Toc377043729"/>
      <w:bookmarkStart w:id="3188" w:name="_Toc391023466"/>
      <w:bookmarkStart w:id="3189" w:name="_Toc400967269"/>
      <w:bookmarkStart w:id="3190" w:name="_Toc414531345"/>
      <w:bookmarkStart w:id="3191" w:name="_Toc456179174"/>
      <w:bookmarkStart w:id="3192" w:name="_Toc481751427"/>
      <w:bookmarkStart w:id="3193" w:name="_Toc522013966"/>
      <w:bookmarkStart w:id="3194" w:name="_Toc5269410"/>
      <w:bookmarkStart w:id="3195" w:name="_Toc36224450"/>
      <w:bookmarkStart w:id="3196" w:name="_Toc68786370"/>
      <w:bookmarkStart w:id="3197" w:name="_Toc131591284"/>
      <w:bookmarkEnd w:id="3172"/>
      <w:bookmarkEnd w:id="3173"/>
      <w:bookmarkEnd w:id="3174"/>
      <w:bookmarkEnd w:id="3175"/>
      <w:bookmarkEnd w:id="3176"/>
      <w:bookmarkEnd w:id="3177"/>
      <w:bookmarkEnd w:id="3178"/>
      <w:bookmarkEnd w:id="3179"/>
      <w:bookmarkEnd w:id="3180"/>
      <w:r w:rsidRPr="00261B7A">
        <w:t>11.6</w:t>
      </w:r>
      <w:r w:rsidRPr="00261B7A">
        <w:tab/>
        <w:t>Other information</w:t>
      </w:r>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p>
    <w:p w14:paraId="32415637" w14:textId="77777777" w:rsidR="006D123E" w:rsidRPr="00261B7A" w:rsidRDefault="006D123E" w:rsidP="00041A55">
      <w:pPr>
        <w:pStyle w:val="Heading3"/>
        <w:tabs>
          <w:tab w:val="clear" w:pos="851"/>
          <w:tab w:val="left" w:pos="964"/>
        </w:tabs>
        <w:spacing w:before="160"/>
      </w:pPr>
      <w:bookmarkStart w:id="3198" w:name="_Toc261513303"/>
      <w:bookmarkStart w:id="3199" w:name="_Toc261513916"/>
      <w:bookmarkStart w:id="3200" w:name="_Toc280630406"/>
      <w:bookmarkStart w:id="3201" w:name="_Toc377043730"/>
      <w:bookmarkStart w:id="3202" w:name="_Toc400967270"/>
      <w:r w:rsidRPr="00261B7A">
        <w:t>11.6.1</w:t>
      </w:r>
      <w:r w:rsidRPr="00261B7A">
        <w:tab/>
        <w:t>Justification when omitting any carbon pool or greenhouse gas emissions from activities under Article 3.3 and Article 3.4</w:t>
      </w:r>
    </w:p>
    <w:p w14:paraId="0F954E54" w14:textId="77777777" w:rsidR="006D123E" w:rsidRPr="00261B7A" w:rsidRDefault="006D123E" w:rsidP="006D123E">
      <w:pPr>
        <w:pStyle w:val="BodyText"/>
      </w:pPr>
      <w:r w:rsidRPr="00261B7A">
        <w:t>New Zealand has accounted for all carbon pools for mandatory reporting activities under Article 3.3 and Article 3.4 of the Kyoto Protocol. New Zealand has not elected any of the voluntary activities under Article 3.4.</w:t>
      </w:r>
    </w:p>
    <w:p w14:paraId="6DEAB7E4" w14:textId="77777777" w:rsidR="006D123E" w:rsidRPr="00261B7A" w:rsidRDefault="006D123E" w:rsidP="006D123E">
      <w:pPr>
        <w:pStyle w:val="BodyText"/>
        <w:spacing w:before="100" w:after="100"/>
      </w:pPr>
      <w:r w:rsidRPr="00261B7A">
        <w:rPr>
          <w:i/>
          <w:spacing w:val="-2"/>
        </w:rPr>
        <w:t>Direct N</w:t>
      </w:r>
      <w:r w:rsidRPr="00261B7A">
        <w:rPr>
          <w:i/>
          <w:spacing w:val="-2"/>
          <w:vertAlign w:val="subscript"/>
        </w:rPr>
        <w:t>2</w:t>
      </w:r>
      <w:r w:rsidRPr="00261B7A">
        <w:rPr>
          <w:i/>
          <w:spacing w:val="-2"/>
        </w:rPr>
        <w:t>O emissions from nitrogen fertilisation</w:t>
      </w:r>
      <w:r w:rsidRPr="00261B7A">
        <w:rPr>
          <w:spacing w:val="-2"/>
        </w:rPr>
        <w:t xml:space="preserve"> to land subject to </w:t>
      </w:r>
      <w:r w:rsidRPr="00261B7A">
        <w:rPr>
          <w:i/>
          <w:spacing w:val="-2"/>
        </w:rPr>
        <w:t>Afforestation and reforestation</w:t>
      </w:r>
      <w:r w:rsidRPr="00261B7A">
        <w:rPr>
          <w:spacing w:val="-2"/>
        </w:rPr>
        <w:t>,</w:t>
      </w:r>
      <w:r w:rsidRPr="00261B7A">
        <w:t xml:space="preserve"> and </w:t>
      </w:r>
      <w:r w:rsidRPr="00261B7A">
        <w:rPr>
          <w:i/>
        </w:rPr>
        <w:t>Indirect N</w:t>
      </w:r>
      <w:r w:rsidRPr="00261B7A">
        <w:rPr>
          <w:i/>
          <w:vertAlign w:val="subscript"/>
        </w:rPr>
        <w:t>2</w:t>
      </w:r>
      <w:r w:rsidRPr="00261B7A">
        <w:rPr>
          <w:i/>
        </w:rPr>
        <w:t>O emissions from managed soils</w:t>
      </w:r>
      <w:r w:rsidRPr="00261B7A">
        <w:t xml:space="preserve"> are reported as IE, because these emissions are reported under the Agriculture sector (see chapter 5).</w:t>
      </w:r>
    </w:p>
    <w:p w14:paraId="609D9BB0" w14:textId="77777777" w:rsidR="006D123E" w:rsidRPr="00261B7A" w:rsidRDefault="006D123E" w:rsidP="00041A55">
      <w:pPr>
        <w:pStyle w:val="Heading3"/>
        <w:tabs>
          <w:tab w:val="clear" w:pos="851"/>
          <w:tab w:val="left" w:pos="993"/>
        </w:tabs>
        <w:spacing w:before="180"/>
      </w:pPr>
      <w:bookmarkStart w:id="3203" w:name="_Toc261513292"/>
      <w:bookmarkStart w:id="3204" w:name="_Toc261513905"/>
      <w:bookmarkStart w:id="3205" w:name="_Toc280630395"/>
      <w:r w:rsidRPr="00261B7A">
        <w:t>11.6.2</w:t>
      </w:r>
      <w:r w:rsidRPr="00261B7A">
        <w:tab/>
        <w:t>Factoring out information</w:t>
      </w:r>
      <w:bookmarkEnd w:id="3203"/>
      <w:bookmarkEnd w:id="3204"/>
      <w:bookmarkEnd w:id="3205"/>
    </w:p>
    <w:p w14:paraId="196AA481" w14:textId="77777777" w:rsidR="006D123E" w:rsidRPr="00261B7A" w:rsidRDefault="006D123E" w:rsidP="006D123E">
      <w:pPr>
        <w:pStyle w:val="BodyText"/>
      </w:pPr>
      <w:r w:rsidRPr="00261B7A">
        <w:t>New Zealand does not factor out from reporting either emissions or removals from:</w:t>
      </w:r>
    </w:p>
    <w:p w14:paraId="2B359C1E" w14:textId="77777777" w:rsidR="006D123E" w:rsidRPr="00261B7A" w:rsidRDefault="006D123E" w:rsidP="006D123E">
      <w:pPr>
        <w:pStyle w:val="Bullet"/>
        <w:numPr>
          <w:ilvl w:val="0"/>
          <w:numId w:val="24"/>
        </w:numPr>
      </w:pPr>
      <w:r w:rsidRPr="00261B7A">
        <w:t>elevated CO</w:t>
      </w:r>
      <w:r w:rsidRPr="00261B7A">
        <w:rPr>
          <w:vertAlign w:val="subscript"/>
        </w:rPr>
        <w:t>2</w:t>
      </w:r>
      <w:r w:rsidRPr="00261B7A">
        <w:t xml:space="preserve"> concentrations above pre-industrial levels</w:t>
      </w:r>
    </w:p>
    <w:p w14:paraId="42B2E7AA" w14:textId="77777777" w:rsidR="006D123E" w:rsidRPr="00261B7A" w:rsidRDefault="006D123E" w:rsidP="006D123E">
      <w:pPr>
        <w:pStyle w:val="Bullet"/>
        <w:numPr>
          <w:ilvl w:val="0"/>
          <w:numId w:val="24"/>
        </w:numPr>
      </w:pPr>
      <w:r w:rsidRPr="00261B7A">
        <w:t>indirect nitrogen deposition</w:t>
      </w:r>
    </w:p>
    <w:p w14:paraId="646E4A82" w14:textId="77777777" w:rsidR="006D123E" w:rsidRPr="00261B7A" w:rsidRDefault="006D123E" w:rsidP="006D123E">
      <w:pPr>
        <w:pStyle w:val="Bullet"/>
        <w:numPr>
          <w:ilvl w:val="0"/>
          <w:numId w:val="24"/>
        </w:numPr>
      </w:pPr>
      <w:r w:rsidRPr="00261B7A">
        <w:t xml:space="preserve">the dynamic effects of age structure resulting from activities before 1 January 1990. </w:t>
      </w:r>
    </w:p>
    <w:p w14:paraId="762D50B0" w14:textId="77777777" w:rsidR="006D123E" w:rsidRPr="00261B7A" w:rsidRDefault="006D123E" w:rsidP="006D123E">
      <w:pPr>
        <w:pStyle w:val="BodyText"/>
      </w:pPr>
      <w:r w:rsidRPr="00261B7A">
        <w:t xml:space="preserve">New Zealand applies a net–net approach thereby removing the need to factor out the above-mentioned processes. Net change in greenhouse gas emissions and removals are accounted for by comparing greenhouse gas emissions and removals during the commitment period with a benchmark business as usual scenario, the FMRL. </w:t>
      </w:r>
    </w:p>
    <w:p w14:paraId="437D6C9E" w14:textId="77777777" w:rsidR="006D123E" w:rsidRPr="00261B7A" w:rsidRDefault="006D123E" w:rsidP="00041A55">
      <w:pPr>
        <w:pStyle w:val="Heading3"/>
        <w:tabs>
          <w:tab w:val="clear" w:pos="851"/>
          <w:tab w:val="left" w:pos="993"/>
        </w:tabs>
        <w:spacing w:before="180"/>
      </w:pPr>
      <w:r w:rsidRPr="00261B7A">
        <w:t xml:space="preserve">11.6.3 </w:t>
      </w:r>
      <w:r w:rsidRPr="00261B7A">
        <w:tab/>
        <w:t xml:space="preserve">Key category analysis for Article 3.3 and Article 3.4 </w:t>
      </w:r>
      <w:bookmarkEnd w:id="3198"/>
      <w:bookmarkEnd w:id="3199"/>
      <w:bookmarkEnd w:id="3200"/>
      <w:r w:rsidRPr="00261B7A">
        <w:t>activities (CRF NIR-3)</w:t>
      </w:r>
      <w:bookmarkEnd w:id="3201"/>
      <w:bookmarkEnd w:id="3202"/>
    </w:p>
    <w:p w14:paraId="3DBCCCD4" w14:textId="77777777" w:rsidR="006D123E" w:rsidRPr="00261B7A" w:rsidRDefault="006D123E" w:rsidP="006D123E">
      <w:pPr>
        <w:pStyle w:val="BodyText"/>
        <w:rPr>
          <w:spacing w:val="-2"/>
        </w:rPr>
      </w:pPr>
      <w:r w:rsidRPr="00261B7A">
        <w:rPr>
          <w:i/>
          <w:spacing w:val="-2"/>
        </w:rPr>
        <w:t xml:space="preserve">Afforestation and reforestation, Deforestation </w:t>
      </w:r>
      <w:r w:rsidRPr="00261B7A">
        <w:rPr>
          <w:iCs/>
          <w:spacing w:val="-2"/>
        </w:rPr>
        <w:t>and</w:t>
      </w:r>
      <w:r w:rsidRPr="00261B7A">
        <w:rPr>
          <w:i/>
          <w:spacing w:val="-2"/>
        </w:rPr>
        <w:t xml:space="preserve"> Forest management </w:t>
      </w:r>
      <w:r w:rsidRPr="00261B7A">
        <w:rPr>
          <w:iCs/>
          <w:spacing w:val="-2"/>
        </w:rPr>
        <w:t>are all included in key categories for New Zealand (</w:t>
      </w:r>
      <w:r w:rsidRPr="00261B7A">
        <w:rPr>
          <w:i/>
          <w:spacing w:val="-2"/>
        </w:rPr>
        <w:t>Forest land remaining forest land</w:t>
      </w:r>
      <w:r w:rsidRPr="00261B7A">
        <w:rPr>
          <w:iCs/>
          <w:spacing w:val="-2"/>
        </w:rPr>
        <w:t xml:space="preserve">, </w:t>
      </w:r>
      <w:r w:rsidRPr="00261B7A">
        <w:rPr>
          <w:i/>
          <w:spacing w:val="-2"/>
        </w:rPr>
        <w:t xml:space="preserve">Land converted to forest land </w:t>
      </w:r>
      <w:r w:rsidRPr="00261B7A">
        <w:rPr>
          <w:iCs/>
          <w:spacing w:val="-2"/>
        </w:rPr>
        <w:t xml:space="preserve">or </w:t>
      </w:r>
      <w:r w:rsidRPr="00261B7A">
        <w:rPr>
          <w:i/>
          <w:spacing w:val="-2"/>
        </w:rPr>
        <w:t>Land converted to grassland</w:t>
      </w:r>
      <w:r w:rsidRPr="00261B7A">
        <w:rPr>
          <w:iCs/>
          <w:spacing w:val="-2"/>
        </w:rPr>
        <w:t>)</w:t>
      </w:r>
      <w:r w:rsidRPr="00261B7A">
        <w:rPr>
          <w:spacing w:val="-2"/>
        </w:rPr>
        <w:t>.</w:t>
      </w:r>
    </w:p>
    <w:p w14:paraId="0F0ABC48" w14:textId="77777777" w:rsidR="006D123E" w:rsidRPr="00261B7A" w:rsidRDefault="006D123E" w:rsidP="00041A55">
      <w:pPr>
        <w:pStyle w:val="Heading2"/>
        <w:tabs>
          <w:tab w:val="clear" w:pos="851"/>
          <w:tab w:val="left" w:pos="993"/>
        </w:tabs>
        <w:spacing w:before="240"/>
      </w:pPr>
      <w:bookmarkStart w:id="3206" w:name="_Toc261513304"/>
      <w:bookmarkStart w:id="3207" w:name="_Toc261513917"/>
      <w:bookmarkStart w:id="3208" w:name="_Toc280630407"/>
      <w:bookmarkStart w:id="3209" w:name="_Toc310423470"/>
      <w:bookmarkStart w:id="3210" w:name="_Toc342470738"/>
      <w:bookmarkStart w:id="3211" w:name="_Toc352504897"/>
      <w:bookmarkStart w:id="3212" w:name="_Toc377043731"/>
      <w:bookmarkStart w:id="3213" w:name="_Toc391023467"/>
      <w:bookmarkStart w:id="3214" w:name="_Toc400967271"/>
      <w:bookmarkStart w:id="3215" w:name="_Toc414531346"/>
      <w:bookmarkStart w:id="3216" w:name="_Toc456179175"/>
      <w:bookmarkStart w:id="3217" w:name="_Toc481751428"/>
      <w:bookmarkStart w:id="3218" w:name="_Toc522013967"/>
      <w:bookmarkStart w:id="3219" w:name="_Toc5269411"/>
      <w:bookmarkStart w:id="3220" w:name="_Toc36224451"/>
      <w:bookmarkStart w:id="3221" w:name="_Toc68786371"/>
      <w:bookmarkStart w:id="3222" w:name="_Toc131591285"/>
      <w:r w:rsidRPr="00261B7A">
        <w:t>11.7</w:t>
      </w:r>
      <w:r w:rsidRPr="00261B7A">
        <w:tab/>
        <w:t>Information relating to Article 6</w:t>
      </w:r>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p>
    <w:p w14:paraId="29E5D2C6" w14:textId="77777777" w:rsidR="006D123E" w:rsidRPr="00261B7A" w:rsidRDefault="006D123E" w:rsidP="006D123E">
      <w:pPr>
        <w:pStyle w:val="BodyText"/>
        <w:spacing w:before="100" w:after="0"/>
      </w:pPr>
      <w:r w:rsidRPr="00261B7A">
        <w:t xml:space="preserve">New Zealand is not involved in any LULUCF activities under Article 6 of the Kyoto Protocol. </w:t>
      </w:r>
    </w:p>
    <w:p w14:paraId="70D3CDBE" w14:textId="77777777" w:rsidR="006D123E" w:rsidRPr="00261B7A" w:rsidRDefault="006D123E" w:rsidP="006D123E">
      <w:pPr>
        <w:pStyle w:val="Heading2"/>
        <w:pageBreakBefore/>
        <w:spacing w:before="0" w:after="480"/>
      </w:pPr>
      <w:bookmarkStart w:id="3223" w:name="_Toc68786372"/>
      <w:bookmarkStart w:id="3224" w:name="_Toc131591286"/>
      <w:r w:rsidRPr="00261B7A">
        <w:t>Chapter 11: References</w:t>
      </w:r>
      <w:bookmarkEnd w:id="3223"/>
      <w:bookmarkEnd w:id="3224"/>
    </w:p>
    <w:p w14:paraId="0888EDBC" w14:textId="77777777" w:rsidR="006D123E" w:rsidRPr="00261B7A" w:rsidRDefault="006D123E" w:rsidP="006D123E">
      <w:pPr>
        <w:pStyle w:val="References"/>
      </w:pPr>
      <w:r w:rsidRPr="00261B7A">
        <w:t xml:space="preserve">Forest Industry Training and Education Council. 2005. </w:t>
      </w:r>
      <w:r w:rsidRPr="00261B7A">
        <w:rPr>
          <w:i/>
        </w:rPr>
        <w:t>Best Practice Guidelines for Land Preparation</w:t>
      </w:r>
      <w:r w:rsidRPr="00261B7A">
        <w:t xml:space="preserve">. Revised edn. Rotorua: Forest Industry Training and Education Council. </w:t>
      </w:r>
    </w:p>
    <w:p w14:paraId="0814F495" w14:textId="77777777" w:rsidR="006D123E" w:rsidRPr="00261B7A" w:rsidRDefault="006D123E" w:rsidP="006D123E">
      <w:pPr>
        <w:pStyle w:val="References"/>
      </w:pPr>
      <w:r w:rsidRPr="00261B7A">
        <w:t xml:space="preserve">Goulding CJ. Unpublished. A Review of Current Deforestation Activities, Covering Age of Trees Harvested, Methods Used, and the Amount of Material Remaining. Contract report prepared for the Ministry for the Environment by New Zealand Forest Research Institute Limited (trading as Scion). </w:t>
      </w:r>
    </w:p>
    <w:p w14:paraId="26F79CD8" w14:textId="77777777" w:rsidR="006D123E" w:rsidRPr="00261B7A" w:rsidRDefault="006D123E" w:rsidP="006D123E">
      <w:pPr>
        <w:pStyle w:val="References"/>
      </w:pPr>
      <w:r w:rsidRPr="00261B7A">
        <w:t xml:space="preserve">Indufor Asia Pacific. 2013. </w:t>
      </w:r>
      <w:r w:rsidRPr="00261B7A">
        <w:rPr>
          <w:i/>
        </w:rPr>
        <w:t>Deforestation Mapping 2012 – Final Report</w:t>
      </w:r>
      <w:r w:rsidRPr="00261B7A">
        <w:t>. Prepared for the Ministry for the Environment by Indufor Asia Pacific. Wellington: Ministry for the Environment.</w:t>
      </w:r>
    </w:p>
    <w:p w14:paraId="0448E476" w14:textId="77777777" w:rsidR="006D123E" w:rsidRPr="00261B7A" w:rsidRDefault="006D123E" w:rsidP="006D123E">
      <w:pPr>
        <w:pStyle w:val="References"/>
      </w:pPr>
      <w:r w:rsidRPr="00261B7A">
        <w:t xml:space="preserve">Indufor Asia Pacific. 2016. </w:t>
      </w:r>
      <w:r w:rsidRPr="00261B7A">
        <w:rPr>
          <w:i/>
        </w:rPr>
        <w:t>Deforestation Mapping 2013 &amp; 2014 – Final Report</w:t>
      </w:r>
      <w:r w:rsidRPr="00261B7A">
        <w:t>. Prepared for the Ministry for the Environment by Indufor Asia Pacific. Wellington: Ministry for the Environment.</w:t>
      </w:r>
    </w:p>
    <w:p w14:paraId="7B713C1C" w14:textId="77777777" w:rsidR="006D123E" w:rsidRPr="00261B7A" w:rsidRDefault="006D123E" w:rsidP="006D123E">
      <w:pPr>
        <w:pStyle w:val="References"/>
      </w:pPr>
      <w:r w:rsidRPr="00261B7A">
        <w:t>Indufor Asia Pacific. 2018.</w:t>
      </w:r>
      <w:r w:rsidRPr="00261B7A">
        <w:rPr>
          <w:i/>
        </w:rPr>
        <w:t xml:space="preserve"> Deforestation Mapping 2015 &amp; 2016 – Final Report</w:t>
      </w:r>
      <w:r w:rsidRPr="00261B7A">
        <w:t>. Prepared for the Ministry for the Environment by Indufor Asia Pacific. Wellington: Ministry for the Environment.</w:t>
      </w:r>
    </w:p>
    <w:p w14:paraId="421BF5AF" w14:textId="77777777" w:rsidR="006D123E" w:rsidRPr="00261B7A" w:rsidRDefault="006D123E" w:rsidP="006D123E">
      <w:pPr>
        <w:pStyle w:val="References"/>
      </w:pPr>
      <w:r w:rsidRPr="00261B7A">
        <w:t xml:space="preserve">IPCC. 2006a. Eggleston HS, Buendia L, Miwa K, Ngara T, Tanabe K (eds). </w:t>
      </w:r>
      <w:r w:rsidRPr="00261B7A">
        <w:rPr>
          <w:i/>
        </w:rPr>
        <w:t>2006</w:t>
      </w:r>
      <w:r w:rsidRPr="00261B7A">
        <w:t xml:space="preserve"> </w:t>
      </w:r>
      <w:r w:rsidRPr="00261B7A">
        <w:rPr>
          <w:i/>
        </w:rPr>
        <w:t>IPCC Guidelines for National Greenhouse Gas Inventories. Volume 4. Agriculture, Forestry and Other Land Use.</w:t>
      </w:r>
      <w:r w:rsidRPr="00261B7A">
        <w:t xml:space="preserve"> </w:t>
      </w:r>
      <w:r w:rsidRPr="00261B7A">
        <w:rPr>
          <w:i/>
        </w:rPr>
        <w:t>IPCC National Greenhouse Gas Inventories Programme</w:t>
      </w:r>
      <w:r w:rsidRPr="00261B7A">
        <w:t>. Japan: Published for the IPCC by the Institute for Global Environmental Strategies.</w:t>
      </w:r>
    </w:p>
    <w:p w14:paraId="45AD09A0" w14:textId="77777777" w:rsidR="006D123E" w:rsidRPr="00261B7A" w:rsidRDefault="006D123E" w:rsidP="006D123E">
      <w:pPr>
        <w:pStyle w:val="References"/>
      </w:pPr>
      <w:r w:rsidRPr="00261B7A">
        <w:t xml:space="preserve">IPCC. 2006b. Eggleston HS, Buendia L, Miwa K, Ngara T, Tanabe K (eds). </w:t>
      </w:r>
      <w:r w:rsidRPr="00261B7A">
        <w:rPr>
          <w:i/>
        </w:rPr>
        <w:t>2006 IPCC General Guidance and Reporting, Volume 1. IPCC National Greenhouse Gas Inventories Programme</w:t>
      </w:r>
      <w:r w:rsidRPr="00261B7A">
        <w:t xml:space="preserve">. Japan: Published for the IPCC by the Institute for Global Environmental Strategies. </w:t>
      </w:r>
    </w:p>
    <w:p w14:paraId="1A570ACE" w14:textId="77777777" w:rsidR="006D123E" w:rsidRPr="00261B7A" w:rsidRDefault="006D123E" w:rsidP="006D123E">
      <w:pPr>
        <w:pStyle w:val="References"/>
      </w:pPr>
      <w:r w:rsidRPr="00261B7A">
        <w:t xml:space="preserve">IPCC. 2014. Hiraishi T, Krug T, Tanabe K, Srivastava N, Baasansuren J, Fukuda M, Troxler TG (eds). </w:t>
      </w:r>
      <w:r w:rsidRPr="00261B7A">
        <w:rPr>
          <w:i/>
          <w:iCs/>
        </w:rPr>
        <w:t>2013 Revised Supplementary Methods and Good Practice Guidance Arising from the Kyoto Protocol</w:t>
      </w:r>
      <w:r w:rsidRPr="00261B7A">
        <w:t>. Switzerland: IPCC.</w:t>
      </w:r>
    </w:p>
    <w:p w14:paraId="184645D9" w14:textId="77777777" w:rsidR="006D123E" w:rsidRPr="00261B7A" w:rsidRDefault="006D123E" w:rsidP="006D123E">
      <w:pPr>
        <w:pStyle w:val="References"/>
      </w:pPr>
      <w:r w:rsidRPr="00261B7A">
        <w:t xml:space="preserve">Lynker Analytics Consortium. 2020. </w:t>
      </w:r>
      <w:r w:rsidRPr="00261B7A">
        <w:rPr>
          <w:i/>
          <w:iCs/>
        </w:rPr>
        <w:t>Deforestation Mapping 2017 and 2018 Technical Report</w:t>
      </w:r>
      <w:r w:rsidRPr="00261B7A">
        <w:t xml:space="preserve">. Prepared for the Ministry for the Environment by Lynker Analytics Consortium. Wellington: Ministry for the Environment. </w:t>
      </w:r>
    </w:p>
    <w:p w14:paraId="5AF25479" w14:textId="77777777" w:rsidR="006D123E" w:rsidRPr="00261B7A" w:rsidRDefault="006D123E" w:rsidP="006D123E">
      <w:pPr>
        <w:pStyle w:val="References"/>
      </w:pPr>
      <w:r w:rsidRPr="00261B7A">
        <w:t xml:space="preserve">Manley B. 2022. </w:t>
      </w:r>
      <w:r w:rsidRPr="00261B7A">
        <w:rPr>
          <w:i/>
        </w:rPr>
        <w:t>Afforestation and Deforestation Intentions Survey 2021</w:t>
      </w:r>
      <w:r w:rsidRPr="00261B7A">
        <w:t>. Wellington: Ministry for Primary Industries.</w:t>
      </w:r>
    </w:p>
    <w:p w14:paraId="1D9F7A1B" w14:textId="1D339742" w:rsidR="006D123E" w:rsidRPr="00261B7A" w:rsidRDefault="006D123E" w:rsidP="006D123E">
      <w:pPr>
        <w:pStyle w:val="References"/>
      </w:pPr>
      <w:r w:rsidRPr="00261B7A">
        <w:t xml:space="preserve">Ministry for Primary Industries. 2014. </w:t>
      </w:r>
      <w:r w:rsidRPr="00261B7A">
        <w:rPr>
          <w:i/>
          <w:iCs/>
        </w:rPr>
        <w:t>Erosion Control Funding Programme (East Coast) (ECFP)</w:t>
      </w:r>
      <w:r w:rsidRPr="00261B7A">
        <w:t xml:space="preserve">. Wellington: Ministry for Primary Industries. Retrieved from </w:t>
      </w:r>
      <w:hyperlink r:id="rId281" w:history="1">
        <w:r w:rsidR="00200029">
          <w:rPr>
            <w:rStyle w:val="Hyperlink"/>
          </w:rPr>
          <w:t>mpi.govt.nz/funding-and-programmes/forestry/erosion-control-funding-programme</w:t>
        </w:r>
      </w:hyperlink>
      <w:r w:rsidR="00AF469E">
        <w:t xml:space="preserve"> </w:t>
      </w:r>
      <w:r w:rsidRPr="00261B7A">
        <w:t xml:space="preserve">(18 January 2017). </w:t>
      </w:r>
    </w:p>
    <w:p w14:paraId="0A1C109D" w14:textId="006D2CC9" w:rsidR="006D123E" w:rsidRPr="00261B7A" w:rsidRDefault="006D123E" w:rsidP="006D123E">
      <w:pPr>
        <w:pStyle w:val="References"/>
      </w:pPr>
      <w:r w:rsidRPr="00261B7A">
        <w:rPr>
          <w:spacing w:val="-2"/>
        </w:rPr>
        <w:t xml:space="preserve">Ministry for Primary Industries. 2015a. </w:t>
      </w:r>
      <w:r w:rsidRPr="00261B7A">
        <w:rPr>
          <w:i/>
          <w:iCs/>
          <w:spacing w:val="-2"/>
        </w:rPr>
        <w:t>Afforestation Grant Scheme</w:t>
      </w:r>
      <w:r w:rsidRPr="00261B7A">
        <w:rPr>
          <w:spacing w:val="-2"/>
        </w:rPr>
        <w:t xml:space="preserve">. Wellington: Ministry for Primary Industries. Retrieved from </w:t>
      </w:r>
      <w:hyperlink r:id="rId282" w:history="1">
        <w:r w:rsidR="00200029">
          <w:rPr>
            <w:rStyle w:val="Hyperlink"/>
            <w:spacing w:val="-2"/>
          </w:rPr>
          <w:t>mpi.govt.nz/funding-and-programmes/forestry/afforestation-grant-scheme</w:t>
        </w:r>
      </w:hyperlink>
      <w:r w:rsidR="00200029">
        <w:rPr>
          <w:spacing w:val="-2"/>
        </w:rPr>
        <w:t xml:space="preserve"> </w:t>
      </w:r>
      <w:r w:rsidRPr="00261B7A">
        <w:t>(23</w:t>
      </w:r>
      <w:r w:rsidR="00200029">
        <w:t> </w:t>
      </w:r>
      <w:r w:rsidRPr="00261B7A">
        <w:t>January 2018).</w:t>
      </w:r>
    </w:p>
    <w:p w14:paraId="71B6105A" w14:textId="522A4A69" w:rsidR="006D123E" w:rsidRPr="00261B7A" w:rsidRDefault="006D123E" w:rsidP="006D123E">
      <w:pPr>
        <w:pStyle w:val="References"/>
      </w:pPr>
      <w:r w:rsidRPr="00261B7A">
        <w:t xml:space="preserve">Ministry for Primary Industries. 2015b. </w:t>
      </w:r>
      <w:r w:rsidRPr="00261B7A">
        <w:rPr>
          <w:i/>
          <w:iCs/>
        </w:rPr>
        <w:t>Guide to the</w:t>
      </w:r>
      <w:r w:rsidRPr="00261B7A">
        <w:t xml:space="preserve"> </w:t>
      </w:r>
      <w:r w:rsidRPr="00261B7A">
        <w:rPr>
          <w:i/>
          <w:iCs/>
        </w:rPr>
        <w:t>Permanent Forest Sink Initiative</w:t>
      </w:r>
      <w:r w:rsidRPr="00261B7A">
        <w:t xml:space="preserve">. Wellington: Ministry for Primary Industries. Retrieved from </w:t>
      </w:r>
      <w:hyperlink r:id="rId283" w:history="1">
        <w:r w:rsidR="00A43B66" w:rsidRPr="00A43B66">
          <w:rPr>
            <w:rStyle w:val="Hyperlink"/>
          </w:rPr>
          <w:t>mpi.govt.nz/funding-and-programmes/forestry/permanent-forest-sink-initiative</w:t>
        </w:r>
      </w:hyperlink>
      <w:r w:rsidRPr="00261B7A">
        <w:t xml:space="preserve"> (23 January 2018).</w:t>
      </w:r>
    </w:p>
    <w:p w14:paraId="709E4B2C" w14:textId="2AD9D58B" w:rsidR="006D123E" w:rsidRPr="00261B7A" w:rsidRDefault="006D123E" w:rsidP="006D123E">
      <w:pPr>
        <w:pStyle w:val="References"/>
      </w:pPr>
      <w:r w:rsidRPr="00261B7A">
        <w:t xml:space="preserve">Ministry for Primary Industries. 2015c. </w:t>
      </w:r>
      <w:r w:rsidRPr="00261B7A">
        <w:rPr>
          <w:i/>
          <w:iCs/>
        </w:rPr>
        <w:t>Sustainable Land Management Hill Country Erosion Programme</w:t>
      </w:r>
      <w:r w:rsidRPr="00261B7A">
        <w:t xml:space="preserve">. Wellington: Ministry for Primary Industries. Retrieved from </w:t>
      </w:r>
      <w:hyperlink r:id="rId284" w:history="1">
        <w:r w:rsidR="00CB65AD" w:rsidRPr="00CB65AD">
          <w:rPr>
            <w:rStyle w:val="Hyperlink"/>
          </w:rPr>
          <w:t>mpi.govt.nz/funding-and-programmes/ environment-and-natural-resources/hill-country-erosion-programme</w:t>
        </w:r>
      </w:hyperlink>
      <w:r w:rsidRPr="00261B7A">
        <w:t xml:space="preserve"> (23 January 2018).</w:t>
      </w:r>
    </w:p>
    <w:p w14:paraId="03B6C834" w14:textId="7D677C42" w:rsidR="006D123E" w:rsidRPr="00261B7A" w:rsidRDefault="006D123E" w:rsidP="006D123E">
      <w:pPr>
        <w:pStyle w:val="References"/>
      </w:pPr>
      <w:r w:rsidRPr="00261B7A">
        <w:t>Ministry for Primary Industries. 2015d.</w:t>
      </w:r>
      <w:r w:rsidRPr="00261B7A">
        <w:rPr>
          <w:i/>
          <w:iCs/>
        </w:rPr>
        <w:t xml:space="preserve"> An Overview of Forestry in the Emissions Trading Scheme</w:t>
      </w:r>
      <w:r w:rsidRPr="00261B7A">
        <w:t xml:space="preserve">. Wellington: Ministry for Primary Industries. Retrieved from </w:t>
      </w:r>
      <w:hyperlink r:id="rId285" w:history="1">
        <w:r w:rsidR="001F4B7A">
          <w:rPr>
            <w:rStyle w:val="Hyperlink"/>
          </w:rPr>
          <w:t>mpi.govt.nz/forestry/forestry-in-the-emissions-trading-scheme</w:t>
        </w:r>
      </w:hyperlink>
      <w:r w:rsidRPr="00261B7A">
        <w:t xml:space="preserve"> (8 January 2018).</w:t>
      </w:r>
    </w:p>
    <w:p w14:paraId="162B380D" w14:textId="2329D515" w:rsidR="006D123E" w:rsidRPr="00261B7A" w:rsidRDefault="006D123E" w:rsidP="006D123E">
      <w:pPr>
        <w:pStyle w:val="References"/>
        <w:rPr>
          <w:rFonts w:cs="Calibri"/>
        </w:rPr>
      </w:pPr>
      <w:r w:rsidRPr="00261B7A">
        <w:rPr>
          <w:rFonts w:cs="Calibri"/>
          <w:color w:val="000000"/>
        </w:rPr>
        <w:t xml:space="preserve">Ministry for Primary Industries. 2021. </w:t>
      </w:r>
      <w:r w:rsidRPr="00261B7A">
        <w:rPr>
          <w:rFonts w:cs="Calibri"/>
          <w:i/>
          <w:iCs/>
          <w:color w:val="000000"/>
        </w:rPr>
        <w:t>National Exotic Forest Description as at 1 April 2021</w:t>
      </w:r>
      <w:r w:rsidRPr="00261B7A">
        <w:rPr>
          <w:rFonts w:cs="Calibri"/>
          <w:color w:val="000000"/>
        </w:rPr>
        <w:t xml:space="preserve">. Wellington: Ministry for Primary Industries. </w:t>
      </w:r>
      <w:r w:rsidRPr="00261B7A">
        <w:t xml:space="preserve">Retrieved from </w:t>
      </w:r>
      <w:hyperlink r:id="rId286" w:history="1">
        <w:r w:rsidR="005B746C">
          <w:rPr>
            <w:rStyle w:val="Hyperlink"/>
            <w:rFonts w:cs="Calibri"/>
          </w:rPr>
          <w:t>mpi.govt.nz/forestry/forest-industry-and-workforce/forestry-wood-processing-data/new-zealand-forest-data</w:t>
        </w:r>
      </w:hyperlink>
      <w:r w:rsidR="00D80A7B">
        <w:rPr>
          <w:rFonts w:cs="Calibri"/>
          <w:color w:val="000000"/>
        </w:rPr>
        <w:t xml:space="preserve"> </w:t>
      </w:r>
      <w:r w:rsidRPr="00261B7A">
        <w:rPr>
          <w:szCs w:val="20"/>
        </w:rPr>
        <w:t>(9 March 2023).</w:t>
      </w:r>
    </w:p>
    <w:p w14:paraId="1312174D" w14:textId="3355AD27" w:rsidR="006D123E" w:rsidRPr="00261B7A" w:rsidRDefault="006D123E" w:rsidP="006D123E">
      <w:pPr>
        <w:pStyle w:val="References"/>
      </w:pPr>
      <w:r w:rsidRPr="00261B7A">
        <w:t>Ministry for Primary Industries. 2022a</w:t>
      </w:r>
      <w:r w:rsidRPr="00261B7A">
        <w:rPr>
          <w:i/>
          <w:iCs/>
        </w:rPr>
        <w:t>.</w:t>
      </w:r>
      <w:r w:rsidRPr="00261B7A">
        <w:rPr>
          <w:i/>
        </w:rPr>
        <w:t xml:space="preserve"> Forestry and wood processing data</w:t>
      </w:r>
      <w:r w:rsidRPr="00261B7A">
        <w:t xml:space="preserve">. Wellington: Ministry for Primary Industries. Retrieved from </w:t>
      </w:r>
      <w:hyperlink r:id="rId287" w:history="1">
        <w:r w:rsidR="00622788">
          <w:rPr>
            <w:rStyle w:val="Hyperlink"/>
          </w:rPr>
          <w:t>mpi.govt.nz/forestry/new-zealand-forests-forest-industry/forestry/wood-processing</w:t>
        </w:r>
      </w:hyperlink>
      <w:r w:rsidR="00D80A7B">
        <w:t xml:space="preserve"> </w:t>
      </w:r>
      <w:r w:rsidRPr="00261B7A">
        <w:t xml:space="preserve">(5 October 2022). </w:t>
      </w:r>
    </w:p>
    <w:p w14:paraId="3814B0E0" w14:textId="73ABB9A9" w:rsidR="006D123E" w:rsidRPr="00261B7A" w:rsidRDefault="006D123E" w:rsidP="006D123E">
      <w:pPr>
        <w:pStyle w:val="References"/>
      </w:pPr>
      <w:r w:rsidRPr="00261B7A">
        <w:rPr>
          <w:shd w:val="clear" w:color="auto" w:fill="FFFFFF"/>
        </w:rPr>
        <w:t>Ministry for Primary Industries. 202</w:t>
      </w:r>
      <w:r w:rsidRPr="00261B7A">
        <w:t>2b</w:t>
      </w:r>
      <w:r w:rsidRPr="00261B7A">
        <w:rPr>
          <w:shd w:val="clear" w:color="auto" w:fill="FFFFFF"/>
        </w:rPr>
        <w:t> </w:t>
      </w:r>
      <w:r w:rsidRPr="00261B7A">
        <w:rPr>
          <w:i/>
          <w:iCs/>
          <w:shd w:val="clear" w:color="auto" w:fill="FFFFFF"/>
        </w:rPr>
        <w:t xml:space="preserve">Quarterly </w:t>
      </w:r>
      <w:r w:rsidRPr="00261B7A">
        <w:rPr>
          <w:i/>
          <w:iCs/>
        </w:rPr>
        <w:t>Production</w:t>
      </w:r>
      <w:r w:rsidRPr="00261B7A">
        <w:rPr>
          <w:i/>
          <w:iCs/>
          <w:shd w:val="clear" w:color="auto" w:fill="FFFFFF"/>
        </w:rPr>
        <w:t xml:space="preserve"> Roundwood Removals from New Zealand Forests as at 30 June 2022</w:t>
      </w:r>
      <w:r w:rsidRPr="00261B7A">
        <w:rPr>
          <w:shd w:val="clear" w:color="auto" w:fill="FFFFFF"/>
        </w:rPr>
        <w:t xml:space="preserve">. Wellington: Ministry for Primary Industries. Retrieved from </w:t>
      </w:r>
      <w:hyperlink r:id="rId288" w:history="1">
        <w:r w:rsidR="006E7124">
          <w:rPr>
            <w:rStyle w:val="Hyperlink"/>
            <w:shd w:val="clear" w:color="auto" w:fill="FFFFFF"/>
          </w:rPr>
          <w:t>mpi.govt.nz/forestry/new-zealand-forests-forest-industry/forestry/wood-processing</w:t>
        </w:r>
      </w:hyperlink>
      <w:r w:rsidRPr="00261B7A">
        <w:rPr>
          <w:shd w:val="clear" w:color="auto" w:fill="FFFFFF"/>
        </w:rPr>
        <w:t xml:space="preserve"> </w:t>
      </w:r>
      <w:r w:rsidRPr="00261B7A">
        <w:rPr>
          <w:shd w:val="clear" w:color="auto" w:fill="FFFFFF"/>
        </w:rPr>
        <w:br/>
        <w:t>(27 </w:t>
      </w:r>
      <w:r w:rsidRPr="00261B7A">
        <w:t>October</w:t>
      </w:r>
      <w:r w:rsidRPr="00261B7A">
        <w:rPr>
          <w:shd w:val="clear" w:color="auto" w:fill="FFFFFF"/>
        </w:rPr>
        <w:t xml:space="preserve"> 202</w:t>
      </w:r>
      <w:r w:rsidRPr="00261B7A">
        <w:t>2</w:t>
      </w:r>
      <w:r w:rsidRPr="00261B7A">
        <w:rPr>
          <w:shd w:val="clear" w:color="auto" w:fill="FFFFFF"/>
        </w:rPr>
        <w:t>).</w:t>
      </w:r>
      <w:r w:rsidRPr="00261B7A">
        <w:rPr>
          <w:rFonts w:cs="Calibri"/>
          <w:color w:val="000000"/>
          <w:shd w:val="clear" w:color="auto" w:fill="FFFFFF"/>
        </w:rPr>
        <w:t> </w:t>
      </w:r>
    </w:p>
    <w:p w14:paraId="0CD25B4B" w14:textId="12340B8C" w:rsidR="006D123E" w:rsidRPr="00261B7A" w:rsidRDefault="006D123E" w:rsidP="006D123E">
      <w:pPr>
        <w:pStyle w:val="References"/>
      </w:pPr>
      <w:r w:rsidRPr="00261B7A">
        <w:t xml:space="preserve">Ministry for the Environment. 2006. </w:t>
      </w:r>
      <w:r w:rsidRPr="00261B7A">
        <w:rPr>
          <w:i/>
          <w:iCs/>
        </w:rPr>
        <w:t>New Zealand’s Initial Report under the Kyoto Protocol</w:t>
      </w:r>
      <w:r w:rsidRPr="00261B7A">
        <w:t>. Wellington: Ministry for the Environment. Retrieved from</w:t>
      </w:r>
      <w:r w:rsidR="00A22BDD">
        <w:t xml:space="preserve"> </w:t>
      </w:r>
      <w:hyperlink r:id="rId289" w:history="1">
        <w:r w:rsidR="00D30EB1">
          <w:rPr>
            <w:rStyle w:val="Hyperlink"/>
          </w:rPr>
          <w:t>unfccc.int/files/national_reports/application/pdf/new_ zealands_initial_report_under_the_kyoto_protocol.pdf</w:t>
        </w:r>
      </w:hyperlink>
      <w:r w:rsidR="00D30EB1">
        <w:t xml:space="preserve"> </w:t>
      </w:r>
      <w:hyperlink r:id="rId290" w:history="1"/>
      <w:r w:rsidRPr="00261B7A">
        <w:t>(23 January 2018).</w:t>
      </w:r>
    </w:p>
    <w:p w14:paraId="7D04FE85" w14:textId="77777777" w:rsidR="006D123E" w:rsidRPr="00261B7A" w:rsidRDefault="006D123E" w:rsidP="006D123E">
      <w:pPr>
        <w:pStyle w:val="References"/>
      </w:pPr>
      <w:r w:rsidRPr="00261B7A">
        <w:t xml:space="preserve">Ministry for the Environment. 2012. </w:t>
      </w:r>
      <w:r w:rsidRPr="00261B7A">
        <w:rPr>
          <w:i/>
          <w:iCs/>
        </w:rPr>
        <w:t>Land Use and Carbon Analysis System: Satellite imagery interpretation guide for land-use classes</w:t>
      </w:r>
      <w:r w:rsidRPr="00261B7A">
        <w:t>. 2nd edn. Wellington: Ministry for the Environment.</w:t>
      </w:r>
    </w:p>
    <w:p w14:paraId="43A52FF3" w14:textId="77777777" w:rsidR="006D123E" w:rsidRPr="00261B7A" w:rsidRDefault="006D123E" w:rsidP="006D123E">
      <w:pPr>
        <w:pStyle w:val="References"/>
      </w:pPr>
      <w:r w:rsidRPr="00261B7A">
        <w:t xml:space="preserve">Ministry for the Environment. 2015. </w:t>
      </w:r>
      <w:r w:rsidRPr="00261B7A">
        <w:rPr>
          <w:i/>
        </w:rPr>
        <w:t>New Zealand’s Greenhouse Gas Inventory 1990–2013</w:t>
      </w:r>
      <w:r w:rsidRPr="00261B7A">
        <w:t>. Wellington: Ministry for the Environment.</w:t>
      </w:r>
    </w:p>
    <w:p w14:paraId="332D4C07" w14:textId="77777777" w:rsidR="006D123E" w:rsidRPr="00261B7A" w:rsidRDefault="006D123E" w:rsidP="006D123E">
      <w:pPr>
        <w:pStyle w:val="References"/>
      </w:pPr>
      <w:r w:rsidRPr="00261B7A">
        <w:t xml:space="preserve">Ministry of Agriculture and Forestry. 2002. </w:t>
      </w:r>
      <w:r w:rsidRPr="00261B7A">
        <w:rPr>
          <w:i/>
          <w:iCs/>
        </w:rPr>
        <w:t>New Zealand Country Report.</w:t>
      </w:r>
      <w:r w:rsidRPr="00261B7A">
        <w:t xml:space="preserve"> Montreal Process Criteria and Indicators for the Conservation and Sustainable Management of Temperate and Boreal Forests 2003. Ministry of Agriculture and Forestry Technical Paper No: 2002/21, December. Wellington: Ministry of Agriculture and Forestry.</w:t>
      </w:r>
    </w:p>
    <w:p w14:paraId="6BCA7EB5" w14:textId="77777777" w:rsidR="006D123E" w:rsidRPr="00261B7A" w:rsidRDefault="006D123E" w:rsidP="006D123E">
      <w:pPr>
        <w:pStyle w:val="References"/>
      </w:pPr>
      <w:r w:rsidRPr="00261B7A">
        <w:t xml:space="preserve">Newsome P, Shepherd J, Meurk C, Samle M, Sutherland A, Heke H, Willoughby J. 2011. </w:t>
      </w:r>
      <w:r w:rsidRPr="00261B7A">
        <w:rPr>
          <w:i/>
        </w:rPr>
        <w:t>2012 Kyoto Land Use Mapping Pilot – Regional image mosaics, environmentally-limiting factors, tree-line assessment and trial land use mapping</w:t>
      </w:r>
      <w:r w:rsidRPr="00261B7A">
        <w:t>. Wellington: Ministry for the Environment.</w:t>
      </w:r>
    </w:p>
    <w:p w14:paraId="526BE19C" w14:textId="77777777" w:rsidR="006D123E" w:rsidRPr="00261B7A" w:rsidRDefault="006D123E" w:rsidP="006D123E">
      <w:pPr>
        <w:pStyle w:val="References"/>
      </w:pPr>
      <w:r w:rsidRPr="00261B7A">
        <w:t xml:space="preserve">Rhodes D, Novis J. 2002. </w:t>
      </w:r>
      <w:r w:rsidRPr="00261B7A">
        <w:rPr>
          <w:i/>
        </w:rPr>
        <w:t>The Impact of Incentives on the Development of Plantation Forest Resources in New Zealand</w:t>
      </w:r>
      <w:r w:rsidRPr="00261B7A">
        <w:t>. MAF information paper no 45. MAF policy division. Wellington: Ministry of Agriculture and Forestry.</w:t>
      </w:r>
    </w:p>
    <w:p w14:paraId="0FBB0141" w14:textId="77777777" w:rsidR="006D123E" w:rsidRPr="00261B7A" w:rsidRDefault="006D123E" w:rsidP="006D123E">
      <w:pPr>
        <w:pStyle w:val="References"/>
      </w:pPr>
      <w:r w:rsidRPr="00261B7A">
        <w:t xml:space="preserve">Robertson KA. 1998. Loss of organic matter and carbon during slash burns in New Zealand exotic forests. </w:t>
      </w:r>
      <w:r w:rsidRPr="00261B7A">
        <w:rPr>
          <w:i/>
        </w:rPr>
        <w:t>New Zealand Journal of Forestry Science</w:t>
      </w:r>
      <w:r w:rsidRPr="00261B7A">
        <w:t xml:space="preserve"> 28(2): 221–241.</w:t>
      </w:r>
    </w:p>
    <w:p w14:paraId="142BDD74" w14:textId="656636B0" w:rsidR="006D123E" w:rsidRPr="00261B7A" w:rsidRDefault="006D123E" w:rsidP="006D123E">
      <w:pPr>
        <w:pStyle w:val="References"/>
      </w:pPr>
      <w:r w:rsidRPr="00261B7A">
        <w:t xml:space="preserve">Te Uru Rākau. 2018. </w:t>
      </w:r>
      <w:r w:rsidRPr="00261B7A">
        <w:rPr>
          <w:i/>
        </w:rPr>
        <w:t>One Billion Trees Fund.</w:t>
      </w:r>
      <w:r w:rsidRPr="00261B7A">
        <w:t xml:space="preserve"> Wellington: Te Uru Rākau. Retrieved from </w:t>
      </w:r>
      <w:hyperlink r:id="rId291" w:history="1">
        <w:r w:rsidR="00C64C2C">
          <w:rPr>
            <w:rStyle w:val="Hyperlink"/>
          </w:rPr>
          <w:t>mpi.govt.nz/funding-and-programmes/forestry/planting-one-billion-trees/one-billion-tree-fund</w:t>
        </w:r>
      </w:hyperlink>
      <w:r w:rsidRPr="00261B7A">
        <w:t xml:space="preserve"> (5 February 2019).</w:t>
      </w:r>
    </w:p>
    <w:p w14:paraId="71DB5F83" w14:textId="77777777" w:rsidR="006D123E" w:rsidRPr="00261B7A" w:rsidRDefault="006D123E" w:rsidP="006D123E">
      <w:pPr>
        <w:pStyle w:val="References"/>
      </w:pPr>
      <w:r w:rsidRPr="00261B7A">
        <w:t>UNFCCC. 2006</w:t>
      </w:r>
      <w:r w:rsidRPr="00261B7A">
        <w:rPr>
          <w:i/>
        </w:rPr>
        <w:t xml:space="preserve">. </w:t>
      </w:r>
      <w:r w:rsidRPr="00261B7A">
        <w:t xml:space="preserve">FCCC/KP/CMP/2005/8/Add.3. </w:t>
      </w:r>
      <w:r w:rsidRPr="00261B7A">
        <w:rPr>
          <w:i/>
        </w:rPr>
        <w:t>Report of the Conference of the Parties serving as the meeting of the Parties to the Kyoto Protocol on its first session, held at Montreal from 28 November to 10 December 2005: Addendum – Part 2: Action taken by the Conference of the Parties serving as the meeting of the Parties to the Kyoto Protocol at its first session</w:t>
      </w:r>
      <w:r w:rsidRPr="00261B7A">
        <w:t>.</w:t>
      </w:r>
    </w:p>
    <w:p w14:paraId="07EC2386" w14:textId="77777777" w:rsidR="006D123E" w:rsidRPr="00261B7A" w:rsidRDefault="006D123E" w:rsidP="006D123E">
      <w:pPr>
        <w:pStyle w:val="References"/>
      </w:pPr>
      <w:r w:rsidRPr="00261B7A">
        <w:t>UNFCCC. 2012</w:t>
      </w:r>
      <w:r w:rsidRPr="00261B7A">
        <w:rPr>
          <w:i/>
        </w:rPr>
        <w:t xml:space="preserve">. </w:t>
      </w:r>
      <w:r w:rsidRPr="00261B7A">
        <w:t>FCCC/KP/CMP/2011/10/Add.1.</w:t>
      </w:r>
      <w:r w:rsidRPr="00261B7A">
        <w:rPr>
          <w:i/>
        </w:rPr>
        <w:t xml:space="preserve"> Report of the Conference of the Parties serving as the meeting of the Parties to the Kyoto Protocol on its seventh session, held in Durban from 28 November to 11 December 2011: Addendum – Part 2: Action taken by the Conference of the Parties serving as the meeting of the Parties to the Kyoto Protocol at its seventh session</w:t>
      </w:r>
      <w:r w:rsidRPr="00261B7A">
        <w:t>.</w:t>
      </w:r>
    </w:p>
    <w:p w14:paraId="091B73C5" w14:textId="77777777" w:rsidR="006D123E" w:rsidRPr="00261B7A" w:rsidRDefault="006D123E" w:rsidP="006D123E">
      <w:pPr>
        <w:pStyle w:val="References"/>
      </w:pPr>
      <w:r w:rsidRPr="00261B7A">
        <w:t>UNFCCC. 2018. FCCC/ARR/2017/NZL. Report of the individual review of the annual submission of New Zealand submitted in 2017. Centralised Review.</w:t>
      </w:r>
    </w:p>
    <w:p w14:paraId="7D3506DB" w14:textId="77777777" w:rsidR="006D123E" w:rsidRPr="00261B7A" w:rsidRDefault="006D123E" w:rsidP="006D123E">
      <w:pPr>
        <w:pStyle w:val="References"/>
      </w:pPr>
      <w:r w:rsidRPr="00261B7A">
        <w:t xml:space="preserve">Wakelin SJ. Unpublished(a). </w:t>
      </w:r>
      <w:r w:rsidRPr="00261B7A">
        <w:rPr>
          <w:iCs/>
        </w:rPr>
        <w:t>Apportioning Wildfire Emissions to Forest Sub-categories in the National Greenhouse Gas Inventory</w:t>
      </w:r>
      <w:r w:rsidRPr="00261B7A">
        <w:t>. Contract report prepared for the Ministry for the Environment by New Zealand Forest Research Institute Limited (trading as Scion) in 2011.</w:t>
      </w:r>
    </w:p>
    <w:p w14:paraId="76550BE5" w14:textId="77777777" w:rsidR="006D123E" w:rsidRPr="00261B7A" w:rsidRDefault="006D123E" w:rsidP="006D123E">
      <w:pPr>
        <w:pStyle w:val="References"/>
      </w:pPr>
      <w:r w:rsidRPr="00261B7A">
        <w:t xml:space="preserve">Wakelin SJ. Unpublished(b). </w:t>
      </w:r>
      <w:r w:rsidRPr="00261B7A">
        <w:rPr>
          <w:iCs/>
        </w:rPr>
        <w:t>Controlled Biomass Burning Emissions for the 2011 Greenhouse Gas Inventory</w:t>
      </w:r>
      <w:r w:rsidRPr="00261B7A">
        <w:t>. Contract report prepared for the Ministry for the Environment by New Zealand Forest Research Institute Limited (trading as Scion) in 2012.</w:t>
      </w:r>
    </w:p>
    <w:p w14:paraId="37B658A3" w14:textId="77777777" w:rsidR="006D123E" w:rsidRPr="00261B7A" w:rsidRDefault="006D123E" w:rsidP="006D123E">
      <w:pPr>
        <w:pStyle w:val="References"/>
      </w:pPr>
      <w:r w:rsidRPr="00261B7A">
        <w:t xml:space="preserve">Wakelin SJ, Searles N, Lawrence D, Paul TSH. 2020. Estimating New Zealand’s harvested wood products carbon stocks and stock changes. </w:t>
      </w:r>
      <w:r w:rsidRPr="00261B7A">
        <w:rPr>
          <w:i/>
          <w:iCs/>
        </w:rPr>
        <w:t>Carbon Balance and Management</w:t>
      </w:r>
      <w:r w:rsidRPr="00261B7A">
        <w:t xml:space="preserve"> 15(10). </w:t>
      </w:r>
    </w:p>
    <w:p w14:paraId="152EA572" w14:textId="77777777" w:rsidR="003C5373" w:rsidRPr="00261B7A" w:rsidRDefault="003C5373" w:rsidP="005D1235"/>
    <w:p w14:paraId="78455726" w14:textId="77777777" w:rsidR="003C5373" w:rsidRPr="00261B7A" w:rsidRDefault="003C5373" w:rsidP="005D1235">
      <w:pPr>
        <w:sectPr w:rsidR="003C5373" w:rsidRPr="00261B7A" w:rsidSect="00176CAD">
          <w:footerReference w:type="even" r:id="rId292"/>
          <w:pgSz w:w="11907" w:h="16840" w:code="9"/>
          <w:pgMar w:top="1418" w:right="1701" w:bottom="1418" w:left="1701" w:header="567" w:footer="567" w:gutter="0"/>
          <w:cols w:space="720"/>
        </w:sectPr>
      </w:pPr>
    </w:p>
    <w:p w14:paraId="57D4449C" w14:textId="77777777" w:rsidR="00296493" w:rsidRPr="00261B7A" w:rsidRDefault="00296493" w:rsidP="00296493">
      <w:pPr>
        <w:pStyle w:val="Heading1"/>
      </w:pPr>
      <w:bookmarkStart w:id="3225" w:name="_Toc235955564"/>
      <w:bookmarkStart w:id="3226" w:name="_Toc481751430"/>
      <w:bookmarkStart w:id="3227" w:name="_Toc511116645"/>
      <w:bookmarkStart w:id="3228" w:name="_Toc131591287"/>
      <w:r w:rsidRPr="00261B7A">
        <w:t>Chapter 12</w:t>
      </w:r>
      <w:bookmarkEnd w:id="3225"/>
      <w:r w:rsidRPr="00261B7A">
        <w:t>:</w:t>
      </w:r>
      <w:bookmarkStart w:id="3229" w:name="_Toc235955565"/>
      <w:r w:rsidRPr="00261B7A">
        <w:t xml:space="preserve"> Information on accounting of the Kyoto Protocol units</w:t>
      </w:r>
      <w:bookmarkEnd w:id="3226"/>
      <w:bookmarkEnd w:id="3227"/>
      <w:bookmarkEnd w:id="3228"/>
      <w:bookmarkEnd w:id="3229"/>
    </w:p>
    <w:p w14:paraId="05590B4A" w14:textId="77777777" w:rsidR="00296493" w:rsidRPr="00261B7A" w:rsidRDefault="00296493" w:rsidP="00A35635">
      <w:pPr>
        <w:pStyle w:val="Heading2"/>
        <w:spacing w:before="240"/>
      </w:pPr>
      <w:bookmarkStart w:id="3230" w:name="_Toc235955566"/>
      <w:bookmarkStart w:id="3231" w:name="_Toc481751431"/>
      <w:bookmarkStart w:id="3232" w:name="_Toc511116646"/>
      <w:bookmarkStart w:id="3233" w:name="_Toc131591288"/>
      <w:r w:rsidRPr="00261B7A">
        <w:t>12.1</w:t>
      </w:r>
      <w:r w:rsidRPr="00261B7A">
        <w:tab/>
        <w:t>Background information</w:t>
      </w:r>
      <w:bookmarkEnd w:id="3230"/>
      <w:bookmarkEnd w:id="3231"/>
      <w:bookmarkEnd w:id="3232"/>
      <w:bookmarkEnd w:id="3233"/>
    </w:p>
    <w:p w14:paraId="4412B79A" w14:textId="77777777" w:rsidR="00296493" w:rsidRPr="00261B7A" w:rsidRDefault="00296493" w:rsidP="00296493">
      <w:pPr>
        <w:pStyle w:val="Heading3"/>
        <w:spacing w:before="240"/>
      </w:pPr>
      <w:r w:rsidRPr="00261B7A">
        <w:t>Assigned amount and commitment period reserve</w:t>
      </w:r>
    </w:p>
    <w:p w14:paraId="1D1A5EBF" w14:textId="77777777" w:rsidR="00296493" w:rsidRPr="00261B7A" w:rsidRDefault="00296493" w:rsidP="00296493">
      <w:pPr>
        <w:pStyle w:val="BodyText"/>
      </w:pPr>
      <w:r w:rsidRPr="00261B7A">
        <w:t>In January 2008, New Zealand’s national registry was issued with New Zealand’s assigned amount of 309,564,733 metric tonnes of carbon dioxide equivalent (CO</w:t>
      </w:r>
      <w:r w:rsidRPr="00261B7A">
        <w:rPr>
          <w:vertAlign w:val="subscript"/>
        </w:rPr>
        <w:t>2</w:t>
      </w:r>
      <w:r w:rsidRPr="00261B7A">
        <w:t>-e) for the first commitment period (CP1).</w:t>
      </w:r>
    </w:p>
    <w:p w14:paraId="17B18A06" w14:textId="77777777" w:rsidR="00296493" w:rsidRPr="00261B7A" w:rsidRDefault="00296493" w:rsidP="00296493">
      <w:pPr>
        <w:pStyle w:val="BodyText"/>
        <w:rPr>
          <w:rFonts w:cs="Calibri"/>
        </w:rPr>
      </w:pPr>
      <w:r w:rsidRPr="00261B7A">
        <w:rPr>
          <w:rFonts w:cs="Calibri"/>
        </w:rPr>
        <w:t>The commitment period reserve for the CP1 of 278,608,260 metric tonnes of CO</w:t>
      </w:r>
      <w:r w:rsidRPr="00261B7A">
        <w:rPr>
          <w:rFonts w:cs="Calibri"/>
          <w:vertAlign w:val="subscript"/>
        </w:rPr>
        <w:t>2</w:t>
      </w:r>
      <w:r w:rsidRPr="00261B7A">
        <w:rPr>
          <w:rFonts w:cs="Calibri"/>
        </w:rPr>
        <w:t>-e is 90 per cent of the assigned amount. The value of the commitment reserve for CP1 was fixed after the initial review in 2007. The number of units held in the national registry during CP1 could not fall below this amount.</w:t>
      </w:r>
    </w:p>
    <w:p w14:paraId="1108CA58" w14:textId="77777777" w:rsidR="00296493" w:rsidRPr="00261B7A" w:rsidRDefault="00296493" w:rsidP="00296493">
      <w:pPr>
        <w:pStyle w:val="Heading3"/>
        <w:spacing w:before="240"/>
      </w:pPr>
      <w:r w:rsidRPr="00261B7A">
        <w:t>Holdings and transactions of Kyoto Protocol units</w:t>
      </w:r>
    </w:p>
    <w:p w14:paraId="1947545C" w14:textId="77777777" w:rsidR="00296493" w:rsidRPr="00261B7A" w:rsidRDefault="00296493" w:rsidP="00296493">
      <w:pPr>
        <w:pStyle w:val="BodyText"/>
        <w:rPr>
          <w:rFonts w:cs="Calibri"/>
          <w:lang w:eastAsia="en-GB"/>
        </w:rPr>
      </w:pPr>
      <w:r w:rsidRPr="00261B7A">
        <w:rPr>
          <w:rFonts w:cs="Calibri"/>
        </w:rPr>
        <w:t>Tables detailing holdings and transactions of commitment period units have been submitted to the United Nations Framework Convention on Climate Change (UNFCCC) Secretariat electronically, and are also provided in the MS Excel worksheets available for download with this report from the Ministry for the Environment’s website (</w:t>
      </w:r>
      <w:hyperlink r:id="rId293" w:history="1">
        <w:r w:rsidRPr="00261B7A">
          <w:rPr>
            <w:rStyle w:val="Hyperlink"/>
          </w:rPr>
          <w:t>environment.govt.nz/facts-and-science/climate-change/measuring-greenhouse-gas-emissions/about-new-zealands-greenhouse-gas-inventory</w:t>
        </w:r>
      </w:hyperlink>
      <w:r w:rsidRPr="00261B7A">
        <w:rPr>
          <w:rFonts w:cs="Calibri"/>
        </w:rPr>
        <w:t>)</w:t>
      </w:r>
      <w:r w:rsidRPr="00261B7A">
        <w:t xml:space="preserve">. </w:t>
      </w:r>
      <w:r w:rsidRPr="00261B7A">
        <w:rPr>
          <w:rFonts w:cs="Calibri"/>
          <w:lang w:eastAsia="en-GB"/>
        </w:rPr>
        <w:t>Information on New Zealand’s submission of the standard electronic format is included in table 12.2.1.</w:t>
      </w:r>
    </w:p>
    <w:p w14:paraId="607BFE59" w14:textId="77777777" w:rsidR="00296493" w:rsidRPr="00261B7A" w:rsidRDefault="00296493" w:rsidP="00296493">
      <w:pPr>
        <w:spacing w:before="120"/>
        <w:rPr>
          <w:rFonts w:cs="Calibri"/>
          <w:b/>
        </w:rPr>
      </w:pPr>
      <w:r w:rsidRPr="00261B7A">
        <w:rPr>
          <w:rFonts w:cs="Calibri"/>
          <w:b/>
        </w:rPr>
        <w:t>General note</w:t>
      </w:r>
    </w:p>
    <w:p w14:paraId="0FD98DA0" w14:textId="77777777" w:rsidR="00296493" w:rsidRPr="00261B7A" w:rsidRDefault="00296493" w:rsidP="00296493">
      <w:pPr>
        <w:pStyle w:val="BodyText"/>
        <w:spacing w:after="60"/>
        <w:rPr>
          <w:rFonts w:cs="Calibri"/>
        </w:rPr>
      </w:pPr>
      <w:r w:rsidRPr="00261B7A">
        <w:rPr>
          <w:rFonts w:cs="Calibri"/>
        </w:rPr>
        <w:t>Abbreviations used in this chapter include:</w:t>
      </w:r>
    </w:p>
    <w:p w14:paraId="281AFF2E" w14:textId="77777777" w:rsidR="00296493" w:rsidRPr="00261B7A" w:rsidRDefault="00296493" w:rsidP="00296493">
      <w:pPr>
        <w:spacing w:after="60"/>
        <w:rPr>
          <w:rFonts w:cs="Calibri"/>
        </w:rPr>
      </w:pPr>
      <w:r w:rsidRPr="00261B7A">
        <w:rPr>
          <w:rFonts w:cs="Calibri"/>
        </w:rPr>
        <w:t>AAUs</w:t>
      </w:r>
      <w:r w:rsidRPr="00261B7A">
        <w:rPr>
          <w:rFonts w:cs="Calibri"/>
        </w:rPr>
        <w:tab/>
      </w:r>
      <w:r w:rsidRPr="00261B7A">
        <w:rPr>
          <w:rFonts w:cs="Calibri"/>
        </w:rPr>
        <w:tab/>
        <w:t>Assigned amount units</w:t>
      </w:r>
    </w:p>
    <w:p w14:paraId="2EBC4933" w14:textId="77777777" w:rsidR="00296493" w:rsidRPr="00261B7A" w:rsidRDefault="00296493" w:rsidP="00296493">
      <w:pPr>
        <w:spacing w:after="60"/>
        <w:rPr>
          <w:rFonts w:cs="Calibri"/>
        </w:rPr>
      </w:pPr>
      <w:r w:rsidRPr="00261B7A">
        <w:rPr>
          <w:rFonts w:cs="Calibri"/>
        </w:rPr>
        <w:t xml:space="preserve">CDM </w:t>
      </w:r>
      <w:r w:rsidRPr="00261B7A">
        <w:rPr>
          <w:rFonts w:cs="Calibri"/>
        </w:rPr>
        <w:tab/>
      </w:r>
      <w:r w:rsidRPr="00261B7A">
        <w:rPr>
          <w:rFonts w:cs="Calibri"/>
        </w:rPr>
        <w:tab/>
        <w:t>Clean Development Mechanism</w:t>
      </w:r>
    </w:p>
    <w:p w14:paraId="0850F9EE" w14:textId="77777777" w:rsidR="00296493" w:rsidRPr="00261B7A" w:rsidRDefault="00296493" w:rsidP="00296493">
      <w:pPr>
        <w:spacing w:after="60"/>
        <w:rPr>
          <w:rFonts w:cs="Calibri"/>
        </w:rPr>
      </w:pPr>
      <w:r w:rsidRPr="00261B7A">
        <w:rPr>
          <w:rFonts w:cs="Calibri"/>
        </w:rPr>
        <w:t>CERs</w:t>
      </w:r>
      <w:r w:rsidRPr="00261B7A">
        <w:rPr>
          <w:rFonts w:cs="Calibri"/>
        </w:rPr>
        <w:tab/>
      </w:r>
      <w:r w:rsidRPr="00261B7A">
        <w:rPr>
          <w:rFonts w:cs="Calibri"/>
        </w:rPr>
        <w:tab/>
        <w:t>Certified emission reduction units</w:t>
      </w:r>
    </w:p>
    <w:p w14:paraId="2590CF1E" w14:textId="77777777" w:rsidR="00296493" w:rsidRPr="00261B7A" w:rsidRDefault="00296493" w:rsidP="00296493">
      <w:pPr>
        <w:spacing w:after="60"/>
        <w:rPr>
          <w:rFonts w:cs="Calibri"/>
        </w:rPr>
      </w:pPr>
      <w:r w:rsidRPr="00261B7A">
        <w:rPr>
          <w:rFonts w:cs="Calibri"/>
        </w:rPr>
        <w:t>ERUs</w:t>
      </w:r>
      <w:r w:rsidRPr="00261B7A">
        <w:rPr>
          <w:rFonts w:cs="Calibri"/>
        </w:rPr>
        <w:tab/>
      </w:r>
      <w:r w:rsidRPr="00261B7A">
        <w:rPr>
          <w:rFonts w:cs="Calibri"/>
        </w:rPr>
        <w:tab/>
        <w:t>Emission reduction units</w:t>
      </w:r>
    </w:p>
    <w:p w14:paraId="3F667975" w14:textId="77777777" w:rsidR="00296493" w:rsidRPr="00261B7A" w:rsidRDefault="00296493" w:rsidP="00296493">
      <w:pPr>
        <w:spacing w:after="60"/>
        <w:rPr>
          <w:rFonts w:cs="Calibri"/>
        </w:rPr>
      </w:pPr>
      <w:r w:rsidRPr="00261B7A">
        <w:rPr>
          <w:rFonts w:cs="Calibri"/>
        </w:rPr>
        <w:t>lCERs</w:t>
      </w:r>
      <w:r w:rsidRPr="00261B7A">
        <w:rPr>
          <w:rFonts w:cs="Calibri"/>
        </w:rPr>
        <w:tab/>
      </w:r>
      <w:r w:rsidRPr="00261B7A">
        <w:rPr>
          <w:rFonts w:cs="Calibri"/>
        </w:rPr>
        <w:tab/>
        <w:t>Long-term certified emission reduction units</w:t>
      </w:r>
    </w:p>
    <w:p w14:paraId="594E42E3" w14:textId="77777777" w:rsidR="00296493" w:rsidRPr="00261B7A" w:rsidRDefault="00296493" w:rsidP="00296493">
      <w:pPr>
        <w:spacing w:after="60"/>
        <w:rPr>
          <w:rFonts w:cs="Calibri"/>
        </w:rPr>
      </w:pPr>
      <w:r w:rsidRPr="00261B7A">
        <w:rPr>
          <w:rFonts w:cs="Calibri"/>
        </w:rPr>
        <w:t>RMUs</w:t>
      </w:r>
      <w:r w:rsidRPr="00261B7A">
        <w:rPr>
          <w:rFonts w:cs="Calibri"/>
        </w:rPr>
        <w:tab/>
      </w:r>
      <w:r w:rsidRPr="00261B7A">
        <w:rPr>
          <w:rFonts w:cs="Calibri"/>
        </w:rPr>
        <w:tab/>
        <w:t>Removal units</w:t>
      </w:r>
    </w:p>
    <w:p w14:paraId="2A68DFF3" w14:textId="77777777" w:rsidR="00296493" w:rsidRPr="00261B7A" w:rsidRDefault="00296493" w:rsidP="00296493">
      <w:pPr>
        <w:spacing w:after="60"/>
        <w:rPr>
          <w:rFonts w:cs="Calibri"/>
        </w:rPr>
      </w:pPr>
      <w:r w:rsidRPr="00261B7A">
        <w:rPr>
          <w:rFonts w:cs="Calibri"/>
        </w:rPr>
        <w:t>tCERS</w:t>
      </w:r>
      <w:r w:rsidRPr="00261B7A">
        <w:rPr>
          <w:rFonts w:cs="Calibri"/>
        </w:rPr>
        <w:tab/>
      </w:r>
      <w:r w:rsidRPr="00261B7A">
        <w:rPr>
          <w:rFonts w:cs="Calibri"/>
        </w:rPr>
        <w:tab/>
        <w:t>Temporary certified emission reduction units</w:t>
      </w:r>
    </w:p>
    <w:p w14:paraId="14642CD2" w14:textId="531CDB35" w:rsidR="00296493" w:rsidRPr="00261B7A" w:rsidRDefault="00296493" w:rsidP="00A638DC">
      <w:pPr>
        <w:pStyle w:val="Heading2"/>
      </w:pPr>
      <w:bookmarkStart w:id="3234" w:name="_Toc235955567"/>
      <w:bookmarkStart w:id="3235" w:name="_Toc481751432"/>
      <w:bookmarkStart w:id="3236" w:name="_Toc131591289"/>
      <w:r w:rsidRPr="00261B7A">
        <w:t>12.2</w:t>
      </w:r>
      <w:r w:rsidRPr="00261B7A">
        <w:tab/>
        <w:t>Summary of the standard electronic format tables for reporting Kyoto</w:t>
      </w:r>
      <w:r w:rsidR="00161ABD" w:rsidRPr="00261B7A">
        <w:t> </w:t>
      </w:r>
      <w:r w:rsidRPr="00261B7A">
        <w:t>Protocol</w:t>
      </w:r>
      <w:r w:rsidR="00161ABD" w:rsidRPr="00261B7A">
        <w:t> </w:t>
      </w:r>
      <w:r w:rsidRPr="00261B7A">
        <w:t>units</w:t>
      </w:r>
      <w:bookmarkEnd w:id="3234"/>
      <w:bookmarkEnd w:id="3235"/>
      <w:bookmarkEnd w:id="3236"/>
    </w:p>
    <w:p w14:paraId="621828F6" w14:textId="77777777" w:rsidR="00296493" w:rsidRPr="00261B7A" w:rsidRDefault="00296493" w:rsidP="00296493">
      <w:pPr>
        <w:pStyle w:val="BodyText"/>
      </w:pPr>
      <w:r w:rsidRPr="00261B7A">
        <w:t xml:space="preserve">At the beginning of the calendar year </w:t>
      </w:r>
      <w:r w:rsidRPr="00261B7A">
        <w:rPr>
          <w:color w:val="000000" w:themeColor="text1"/>
        </w:rPr>
        <w:t>2022</w:t>
      </w:r>
      <w:r w:rsidRPr="00261B7A">
        <w:t>, New Zealand’s national registry held 308,343,858 CP1 AAUs, 110,744,560 CP1 ERUs, 21,685,909 CP1 CERs and 100,845,399 CP1 RMUs. The number and mix of units held at the end of 2022 were the same as at the beginning of 2022, because no international transactions occurred during this period and this value includes the units retired to meet CP1 obligations. No second commitment period (CP2) units were held by New Zealand in 2022.</w:t>
      </w:r>
    </w:p>
    <w:p w14:paraId="53E859CE" w14:textId="77777777" w:rsidR="00296493" w:rsidRPr="00261B7A" w:rsidRDefault="00296493" w:rsidP="00296493">
      <w:pPr>
        <w:pStyle w:val="BodyText"/>
      </w:pPr>
      <w:r w:rsidRPr="00261B7A">
        <w:t xml:space="preserve">At the end of </w:t>
      </w:r>
      <w:r w:rsidRPr="00261B7A">
        <w:rPr>
          <w:color w:val="000000" w:themeColor="text1"/>
        </w:rPr>
        <w:t>2022</w:t>
      </w:r>
      <w:r w:rsidRPr="00261B7A">
        <w:t xml:space="preserve">, the units held in New Zealand’s national registry remained at 308,343,858 AAUs, 110,744,560 ERUs, 21,685,909 CERs and 100,845,399 RMUs. </w:t>
      </w:r>
    </w:p>
    <w:p w14:paraId="13CA1805" w14:textId="77777777" w:rsidR="00296493" w:rsidRPr="00261B7A" w:rsidRDefault="00296493" w:rsidP="00296493">
      <w:pPr>
        <w:pStyle w:val="BodyText"/>
      </w:pPr>
      <w:r w:rsidRPr="00261B7A">
        <w:t xml:space="preserve">New Zealand’s national registry did not hold any tCERS or lCERs during </w:t>
      </w:r>
      <w:r w:rsidRPr="00261B7A">
        <w:rPr>
          <w:color w:val="000000" w:themeColor="text1"/>
        </w:rPr>
        <w:t>2022</w:t>
      </w:r>
      <w:r w:rsidRPr="00261B7A">
        <w:t>.</w:t>
      </w:r>
    </w:p>
    <w:p w14:paraId="4B0825AC" w14:textId="77777777" w:rsidR="00296493" w:rsidRPr="00261B7A" w:rsidRDefault="00296493" w:rsidP="00CD6254">
      <w:pPr>
        <w:pStyle w:val="BodyText"/>
      </w:pPr>
      <w:r w:rsidRPr="00261B7A">
        <w:t xml:space="preserve">The transactions made to New Zealand’s national registry during </w:t>
      </w:r>
      <w:r w:rsidRPr="00261B7A">
        <w:rPr>
          <w:color w:val="000000"/>
        </w:rPr>
        <w:t xml:space="preserve">2022 </w:t>
      </w:r>
      <w:r w:rsidRPr="00261B7A">
        <w:t>are summarised below.</w:t>
      </w:r>
    </w:p>
    <w:p w14:paraId="129A179F" w14:textId="77777777" w:rsidR="00296493" w:rsidRPr="00261B7A" w:rsidRDefault="00296493" w:rsidP="00CD6254">
      <w:pPr>
        <w:pStyle w:val="Bullet"/>
        <w:rPr>
          <w:lang w:eastAsia="en-GB"/>
        </w:rPr>
      </w:pPr>
      <w:r w:rsidRPr="00261B7A">
        <w:rPr>
          <w:lang w:eastAsia="en-GB"/>
        </w:rPr>
        <w:t xml:space="preserve">No </w:t>
      </w:r>
      <w:r w:rsidRPr="00261B7A">
        <w:t>external</w:t>
      </w:r>
      <w:r w:rsidRPr="00261B7A">
        <w:rPr>
          <w:lang w:eastAsia="en-GB"/>
        </w:rPr>
        <w:t xml:space="preserve"> </w:t>
      </w:r>
      <w:r w:rsidRPr="00261B7A">
        <w:t>transfers</w:t>
      </w:r>
      <w:r w:rsidRPr="00261B7A">
        <w:rPr>
          <w:lang w:eastAsia="en-GB"/>
        </w:rPr>
        <w:t xml:space="preserve"> of Kyoto units occurred. A total of </w:t>
      </w:r>
      <w:r w:rsidRPr="00261B7A">
        <w:rPr>
          <w:color w:val="000000"/>
          <w:lang w:eastAsia="en-GB"/>
        </w:rPr>
        <w:t>24,507 AAUs</w:t>
      </w:r>
      <w:r w:rsidRPr="00261B7A">
        <w:rPr>
          <w:lang w:eastAsia="en-GB"/>
        </w:rPr>
        <w:t xml:space="preserve"> were subtracted internally through voluntary cancellation. </w:t>
      </w:r>
    </w:p>
    <w:p w14:paraId="3C88E3F6" w14:textId="77777777" w:rsidR="00296493" w:rsidRPr="00261B7A" w:rsidRDefault="00296493" w:rsidP="00296493">
      <w:pPr>
        <w:pStyle w:val="Bullet"/>
        <w:rPr>
          <w:lang w:eastAsia="en-GB"/>
        </w:rPr>
      </w:pPr>
      <w:r w:rsidRPr="00261B7A">
        <w:rPr>
          <w:lang w:eastAsia="en-GB"/>
        </w:rPr>
        <w:t xml:space="preserve">There </w:t>
      </w:r>
      <w:r w:rsidRPr="00261B7A">
        <w:t>were</w:t>
      </w:r>
      <w:r w:rsidRPr="00261B7A">
        <w:rPr>
          <w:lang w:eastAsia="en-GB"/>
        </w:rPr>
        <w:t xml:space="preserve"> no conversions to ERUs. No CP2 Kyoto units were held by New Zealand during the 2022 year.</w:t>
      </w:r>
    </w:p>
    <w:p w14:paraId="6A9E2CDB" w14:textId="77777777" w:rsidR="00296493" w:rsidRPr="00261B7A" w:rsidRDefault="00296493" w:rsidP="00296493">
      <w:pPr>
        <w:pStyle w:val="Table"/>
      </w:pPr>
      <w:bookmarkStart w:id="3237" w:name="_Toc481751639"/>
      <w:bookmarkStart w:id="3238" w:name="_Toc511116869"/>
      <w:bookmarkStart w:id="3239" w:name="_Toc131591509"/>
      <w:r w:rsidRPr="00261B7A">
        <w:t>Table 12.2.1</w:t>
      </w:r>
      <w:r w:rsidRPr="00261B7A">
        <w:tab/>
        <w:t>New Zealand’s submission of the standard electronic format</w:t>
      </w:r>
      <w:bookmarkEnd w:id="3237"/>
      <w:bookmarkEnd w:id="3238"/>
      <w:bookmarkEnd w:id="3239"/>
    </w:p>
    <w:tbl>
      <w:tblPr>
        <w:tblW w:w="8505" w:type="dxa"/>
        <w:tblBorders>
          <w:top w:val="single" w:sz="4" w:space="0" w:color="1B556B"/>
          <w:bottom w:val="single" w:sz="4" w:space="0" w:color="1B556B"/>
          <w:insideH w:val="single" w:sz="4" w:space="0" w:color="1B556B"/>
          <w:insideV w:val="single" w:sz="4" w:space="0" w:color="1B556B"/>
        </w:tblBorders>
        <w:tblLook w:val="01E0" w:firstRow="1" w:lastRow="1" w:firstColumn="1" w:lastColumn="1" w:noHBand="0" w:noVBand="0"/>
      </w:tblPr>
      <w:tblGrid>
        <w:gridCol w:w="2694"/>
        <w:gridCol w:w="5811"/>
      </w:tblGrid>
      <w:tr w:rsidR="00296493" w:rsidRPr="00261B7A" w14:paraId="55AEE6FC" w14:textId="77777777" w:rsidTr="00501B0F">
        <w:tc>
          <w:tcPr>
            <w:tcW w:w="2694" w:type="dxa"/>
            <w:shd w:val="clear" w:color="auto" w:fill="1B556B"/>
          </w:tcPr>
          <w:p w14:paraId="512BBB41" w14:textId="77777777" w:rsidR="00296493" w:rsidRPr="00261B7A" w:rsidRDefault="00296493" w:rsidP="00501B0F">
            <w:pPr>
              <w:pStyle w:val="TableTextBold"/>
              <w:rPr>
                <w:rFonts w:eastAsia="Calibri" w:cs="Calibri"/>
                <w:noProof w:val="0"/>
                <w:color w:val="FFFFFF"/>
              </w:rPr>
            </w:pPr>
            <w:r w:rsidRPr="00261B7A">
              <w:rPr>
                <w:rFonts w:eastAsia="Calibri" w:cs="Calibri"/>
                <w:noProof w:val="0"/>
                <w:color w:val="FFFFFF"/>
              </w:rPr>
              <w:t>Annual submission item</w:t>
            </w:r>
          </w:p>
        </w:tc>
        <w:tc>
          <w:tcPr>
            <w:tcW w:w="5811" w:type="dxa"/>
            <w:shd w:val="clear" w:color="auto" w:fill="1B556B"/>
          </w:tcPr>
          <w:p w14:paraId="15BB8375" w14:textId="77777777" w:rsidR="00296493" w:rsidRPr="00261B7A" w:rsidRDefault="00296493" w:rsidP="00501B0F">
            <w:pPr>
              <w:pStyle w:val="TableTextBold"/>
              <w:rPr>
                <w:rFonts w:eastAsia="Calibri" w:cs="Calibri"/>
                <w:noProof w:val="0"/>
                <w:color w:val="FFFFFF"/>
              </w:rPr>
            </w:pPr>
            <w:r w:rsidRPr="00261B7A">
              <w:rPr>
                <w:rFonts w:eastAsia="Calibri" w:cs="Calibri"/>
                <w:noProof w:val="0"/>
                <w:color w:val="FFFFFF"/>
              </w:rPr>
              <w:t>New Zealand’s national registry response</w:t>
            </w:r>
          </w:p>
        </w:tc>
      </w:tr>
      <w:tr w:rsidR="00296493" w:rsidRPr="00261B7A" w14:paraId="30E418A4" w14:textId="77777777" w:rsidTr="00501B0F">
        <w:tc>
          <w:tcPr>
            <w:tcW w:w="2694" w:type="dxa"/>
            <w:shd w:val="clear" w:color="auto" w:fill="auto"/>
          </w:tcPr>
          <w:p w14:paraId="31E03654" w14:textId="77777777" w:rsidR="00296493" w:rsidRPr="00261B7A" w:rsidRDefault="00296493" w:rsidP="00501B0F">
            <w:pPr>
              <w:pStyle w:val="TableText"/>
              <w:rPr>
                <w:rFonts w:eastAsia="Calibri" w:cs="Calibri"/>
              </w:rPr>
            </w:pPr>
            <w:r w:rsidRPr="00261B7A">
              <w:rPr>
                <w:rFonts w:eastAsia="Calibri" w:cs="Calibri"/>
              </w:rPr>
              <w:t>15/CMP.1 annex I.E paragraph 11: Standard electronic format (SEF)</w:t>
            </w:r>
          </w:p>
        </w:tc>
        <w:tc>
          <w:tcPr>
            <w:tcW w:w="5811" w:type="dxa"/>
            <w:shd w:val="clear" w:color="auto" w:fill="auto"/>
          </w:tcPr>
          <w:p w14:paraId="0190F3C2" w14:textId="77777777" w:rsidR="00296493" w:rsidRPr="00261B7A" w:rsidRDefault="00296493" w:rsidP="00501B0F">
            <w:pPr>
              <w:pStyle w:val="TableText"/>
              <w:rPr>
                <w:rFonts w:eastAsia="Calibri" w:cs="Calibri"/>
              </w:rPr>
            </w:pPr>
            <w:r w:rsidRPr="00261B7A">
              <w:rPr>
                <w:rFonts w:eastAsia="Calibri" w:cs="Calibri"/>
              </w:rPr>
              <w:t>The standard electronic format reports for 2022 first and second commitment period units have not been submitted to the UNFCCC Secretariat electronically.</w:t>
            </w:r>
          </w:p>
        </w:tc>
      </w:tr>
    </w:tbl>
    <w:p w14:paraId="39922A24" w14:textId="77777777" w:rsidR="00296493" w:rsidRPr="00261B7A" w:rsidRDefault="00296493" w:rsidP="00A638DC">
      <w:pPr>
        <w:pStyle w:val="Heading2"/>
      </w:pPr>
      <w:bookmarkStart w:id="3240" w:name="_Toc481751433"/>
      <w:bookmarkStart w:id="3241" w:name="_Toc511116647"/>
      <w:bookmarkStart w:id="3242" w:name="_Toc131591290"/>
      <w:r w:rsidRPr="00261B7A">
        <w:t>12.3</w:t>
      </w:r>
      <w:r w:rsidRPr="00261B7A">
        <w:tab/>
        <w:t>Discrepancies and notifications</w:t>
      </w:r>
      <w:bookmarkEnd w:id="3240"/>
      <w:bookmarkEnd w:id="3241"/>
      <w:bookmarkEnd w:id="3242"/>
    </w:p>
    <w:p w14:paraId="37676EE6" w14:textId="77777777" w:rsidR="00296493" w:rsidRPr="00261B7A" w:rsidRDefault="00296493" w:rsidP="00296493">
      <w:pPr>
        <w:pStyle w:val="BodyText"/>
      </w:pPr>
      <w:r w:rsidRPr="00261B7A">
        <w:t>New Zealand has not received any notification of discrepancies, failures or invalid units (see table 12.3.1).</w:t>
      </w:r>
    </w:p>
    <w:p w14:paraId="16163830" w14:textId="77777777" w:rsidR="00296493" w:rsidRPr="00261B7A" w:rsidRDefault="00296493" w:rsidP="00296493">
      <w:pPr>
        <w:pStyle w:val="Table"/>
        <w:rPr>
          <w:rFonts w:cs="Calibri"/>
          <w:szCs w:val="18"/>
        </w:rPr>
      </w:pPr>
      <w:bookmarkStart w:id="3243" w:name="_Toc481751642"/>
      <w:bookmarkStart w:id="3244" w:name="_Toc511116870"/>
      <w:bookmarkStart w:id="3245" w:name="_Toc131591510"/>
      <w:r w:rsidRPr="00261B7A">
        <w:rPr>
          <w:rFonts w:cs="Calibri"/>
          <w:szCs w:val="18"/>
        </w:rPr>
        <w:t>Table 12.3.1</w:t>
      </w:r>
      <w:r w:rsidRPr="00261B7A">
        <w:rPr>
          <w:rFonts w:cs="Calibri"/>
          <w:szCs w:val="18"/>
        </w:rPr>
        <w:tab/>
        <w:t>Discrepancies and notifications from New Zealand’s national registry</w:t>
      </w:r>
      <w:bookmarkEnd w:id="3243"/>
      <w:bookmarkEnd w:id="3244"/>
      <w:bookmarkEnd w:id="3245"/>
    </w:p>
    <w:tbl>
      <w:tblPr>
        <w:tblW w:w="8505" w:type="dxa"/>
        <w:tblBorders>
          <w:top w:val="single" w:sz="4" w:space="0" w:color="1B556B"/>
          <w:bottom w:val="single" w:sz="4" w:space="0" w:color="1B556B"/>
          <w:insideH w:val="single" w:sz="4" w:space="0" w:color="1B556B"/>
          <w:insideV w:val="single" w:sz="4" w:space="0" w:color="1B556B"/>
        </w:tblBorders>
        <w:tblLook w:val="01E0" w:firstRow="1" w:lastRow="1" w:firstColumn="1" w:lastColumn="1" w:noHBand="0" w:noVBand="0"/>
      </w:tblPr>
      <w:tblGrid>
        <w:gridCol w:w="4081"/>
        <w:gridCol w:w="4424"/>
      </w:tblGrid>
      <w:tr w:rsidR="00296493" w:rsidRPr="00261B7A" w14:paraId="231EEF90" w14:textId="77777777" w:rsidTr="00501B0F">
        <w:tc>
          <w:tcPr>
            <w:tcW w:w="3958" w:type="dxa"/>
            <w:shd w:val="clear" w:color="auto" w:fill="1B556B"/>
          </w:tcPr>
          <w:p w14:paraId="6D76399D" w14:textId="77777777" w:rsidR="00296493" w:rsidRPr="00261B7A" w:rsidRDefault="00296493" w:rsidP="00501B0F">
            <w:pPr>
              <w:pStyle w:val="TableTextBold"/>
              <w:rPr>
                <w:rFonts w:eastAsia="Calibri" w:cs="Calibri"/>
                <w:noProof w:val="0"/>
                <w:color w:val="FFFFFF"/>
              </w:rPr>
            </w:pPr>
            <w:r w:rsidRPr="00261B7A">
              <w:rPr>
                <w:rFonts w:eastAsia="Calibri" w:cs="Calibri"/>
                <w:noProof w:val="0"/>
                <w:color w:val="FFFFFF"/>
              </w:rPr>
              <w:t>Annual submission item</w:t>
            </w:r>
          </w:p>
        </w:tc>
        <w:tc>
          <w:tcPr>
            <w:tcW w:w="4290" w:type="dxa"/>
            <w:shd w:val="clear" w:color="auto" w:fill="1B556B"/>
          </w:tcPr>
          <w:p w14:paraId="6B8D345E" w14:textId="77777777" w:rsidR="00296493" w:rsidRPr="00261B7A" w:rsidRDefault="00296493" w:rsidP="00501B0F">
            <w:pPr>
              <w:pStyle w:val="TableTextBold"/>
              <w:rPr>
                <w:rFonts w:eastAsia="Calibri" w:cs="Calibri"/>
                <w:noProof w:val="0"/>
                <w:color w:val="FFFFFF"/>
              </w:rPr>
            </w:pPr>
            <w:r w:rsidRPr="00261B7A">
              <w:rPr>
                <w:rFonts w:eastAsia="Calibri" w:cs="Calibri"/>
                <w:noProof w:val="0"/>
                <w:color w:val="FFFFFF"/>
              </w:rPr>
              <w:t>New Zealand’s national registry response</w:t>
            </w:r>
          </w:p>
        </w:tc>
      </w:tr>
      <w:tr w:rsidR="00296493" w:rsidRPr="00261B7A" w14:paraId="7471D2FB" w14:textId="77777777" w:rsidTr="00501B0F">
        <w:tc>
          <w:tcPr>
            <w:tcW w:w="3958" w:type="dxa"/>
            <w:shd w:val="clear" w:color="auto" w:fill="auto"/>
          </w:tcPr>
          <w:p w14:paraId="74D93310" w14:textId="77777777" w:rsidR="00296493" w:rsidRPr="00261B7A" w:rsidRDefault="00296493" w:rsidP="00501B0F">
            <w:pPr>
              <w:pStyle w:val="TableText"/>
              <w:spacing w:after="0"/>
              <w:rPr>
                <w:rFonts w:eastAsia="Calibri" w:cs="Calibri"/>
              </w:rPr>
            </w:pPr>
            <w:r w:rsidRPr="00261B7A">
              <w:rPr>
                <w:rFonts w:eastAsia="Calibri" w:cs="Calibri"/>
              </w:rPr>
              <w:t xml:space="preserve">15/CMP.1 annex I.E, paragraph 12: </w:t>
            </w:r>
          </w:p>
          <w:p w14:paraId="4B88DF27" w14:textId="77777777" w:rsidR="00296493" w:rsidRPr="00261B7A" w:rsidRDefault="00296493" w:rsidP="00501B0F">
            <w:pPr>
              <w:pStyle w:val="TableText"/>
              <w:spacing w:before="0"/>
              <w:rPr>
                <w:rFonts w:eastAsia="Calibri" w:cs="Calibri"/>
              </w:rPr>
            </w:pPr>
            <w:r w:rsidRPr="00261B7A">
              <w:rPr>
                <w:rFonts w:eastAsia="Calibri" w:cs="Calibri"/>
              </w:rPr>
              <w:t>List of discrepant transactions</w:t>
            </w:r>
          </w:p>
        </w:tc>
        <w:tc>
          <w:tcPr>
            <w:tcW w:w="4290" w:type="dxa"/>
            <w:shd w:val="clear" w:color="auto" w:fill="auto"/>
          </w:tcPr>
          <w:p w14:paraId="5CE5BC33" w14:textId="77777777" w:rsidR="00296493" w:rsidRPr="00261B7A" w:rsidRDefault="00296493" w:rsidP="00501B0F">
            <w:pPr>
              <w:pStyle w:val="TableText"/>
              <w:rPr>
                <w:rFonts w:eastAsia="Calibri" w:cs="Calibri"/>
              </w:rPr>
            </w:pPr>
            <w:r w:rsidRPr="00261B7A">
              <w:rPr>
                <w:rFonts w:eastAsia="Calibri" w:cs="Calibri"/>
              </w:rPr>
              <w:t xml:space="preserve">No discrepant transactions occurred in 2022. </w:t>
            </w:r>
          </w:p>
        </w:tc>
      </w:tr>
      <w:tr w:rsidR="00296493" w:rsidRPr="00261B7A" w14:paraId="2CED80C4" w14:textId="77777777" w:rsidTr="00501B0F">
        <w:tc>
          <w:tcPr>
            <w:tcW w:w="3958" w:type="dxa"/>
            <w:shd w:val="clear" w:color="auto" w:fill="auto"/>
          </w:tcPr>
          <w:p w14:paraId="4DB7DAF3" w14:textId="77777777" w:rsidR="00296493" w:rsidRPr="00261B7A" w:rsidRDefault="00296493" w:rsidP="00501B0F">
            <w:pPr>
              <w:pStyle w:val="TableText"/>
              <w:spacing w:after="0"/>
              <w:rPr>
                <w:rFonts w:eastAsia="Calibri" w:cs="Calibri"/>
              </w:rPr>
            </w:pPr>
            <w:r w:rsidRPr="00261B7A">
              <w:rPr>
                <w:rFonts w:eastAsia="Calibri" w:cs="Calibri"/>
              </w:rPr>
              <w:t>15/CMP.1 annex I.E, paragraph 13 &amp; 14:</w:t>
            </w:r>
          </w:p>
          <w:p w14:paraId="2157682F" w14:textId="77777777" w:rsidR="00296493" w:rsidRPr="00261B7A" w:rsidRDefault="00296493" w:rsidP="00501B0F">
            <w:pPr>
              <w:pStyle w:val="TableText"/>
              <w:spacing w:before="0"/>
              <w:rPr>
                <w:rFonts w:eastAsia="Calibri" w:cs="Calibri"/>
              </w:rPr>
            </w:pPr>
            <w:r w:rsidRPr="00261B7A">
              <w:rPr>
                <w:rFonts w:eastAsia="Calibri" w:cs="Calibri"/>
              </w:rPr>
              <w:t>List of CDM notifications</w:t>
            </w:r>
          </w:p>
        </w:tc>
        <w:tc>
          <w:tcPr>
            <w:tcW w:w="4290" w:type="dxa"/>
            <w:shd w:val="clear" w:color="auto" w:fill="auto"/>
          </w:tcPr>
          <w:p w14:paraId="314486A0" w14:textId="77777777" w:rsidR="00296493" w:rsidRPr="00261B7A" w:rsidRDefault="00296493" w:rsidP="00501B0F">
            <w:pPr>
              <w:pStyle w:val="TableText"/>
              <w:rPr>
                <w:rFonts w:eastAsia="Calibri" w:cs="Calibri"/>
              </w:rPr>
            </w:pPr>
            <w:r w:rsidRPr="00261B7A">
              <w:rPr>
                <w:rFonts w:eastAsia="Calibri" w:cs="Calibri"/>
              </w:rPr>
              <w:t>No CDM notifications occurred in 2022.</w:t>
            </w:r>
          </w:p>
        </w:tc>
      </w:tr>
      <w:tr w:rsidR="00296493" w:rsidRPr="00261B7A" w14:paraId="55D85472" w14:textId="77777777" w:rsidTr="00501B0F">
        <w:tc>
          <w:tcPr>
            <w:tcW w:w="3958" w:type="dxa"/>
            <w:shd w:val="clear" w:color="auto" w:fill="auto"/>
          </w:tcPr>
          <w:p w14:paraId="2E71B479" w14:textId="77777777" w:rsidR="00296493" w:rsidRPr="00261B7A" w:rsidRDefault="00296493" w:rsidP="00501B0F">
            <w:pPr>
              <w:pStyle w:val="TableText"/>
              <w:spacing w:after="0"/>
              <w:rPr>
                <w:rFonts w:eastAsia="Calibri" w:cs="Calibri"/>
              </w:rPr>
            </w:pPr>
            <w:r w:rsidRPr="00261B7A">
              <w:rPr>
                <w:rFonts w:eastAsia="Calibri" w:cs="Calibri"/>
              </w:rPr>
              <w:t>15/CMP.1 annex I.E, paragraph 1 15:</w:t>
            </w:r>
          </w:p>
          <w:p w14:paraId="5B25548E" w14:textId="77777777" w:rsidR="00296493" w:rsidRPr="00261B7A" w:rsidRDefault="00296493" w:rsidP="00501B0F">
            <w:pPr>
              <w:pStyle w:val="TableText"/>
              <w:spacing w:before="0"/>
              <w:rPr>
                <w:rFonts w:eastAsia="Calibri" w:cs="Calibri"/>
              </w:rPr>
            </w:pPr>
            <w:r w:rsidRPr="00261B7A">
              <w:rPr>
                <w:rFonts w:eastAsia="Calibri" w:cs="Calibri"/>
              </w:rPr>
              <w:t>List of non-replacements</w:t>
            </w:r>
          </w:p>
        </w:tc>
        <w:tc>
          <w:tcPr>
            <w:tcW w:w="4290" w:type="dxa"/>
            <w:shd w:val="clear" w:color="auto" w:fill="auto"/>
          </w:tcPr>
          <w:p w14:paraId="4229BA2E" w14:textId="77777777" w:rsidR="00296493" w:rsidRPr="00261B7A" w:rsidRDefault="00296493" w:rsidP="00501B0F">
            <w:pPr>
              <w:pStyle w:val="TableText"/>
              <w:rPr>
                <w:rFonts w:eastAsia="Calibri" w:cs="Calibri"/>
              </w:rPr>
            </w:pPr>
            <w:r w:rsidRPr="00261B7A">
              <w:rPr>
                <w:rFonts w:eastAsia="Calibri" w:cs="Calibri"/>
              </w:rPr>
              <w:t>No non-replacements occurred in 2022.</w:t>
            </w:r>
          </w:p>
        </w:tc>
      </w:tr>
      <w:tr w:rsidR="00296493" w:rsidRPr="00261B7A" w14:paraId="27228C00" w14:textId="77777777" w:rsidTr="00501B0F">
        <w:tc>
          <w:tcPr>
            <w:tcW w:w="3958" w:type="dxa"/>
            <w:shd w:val="clear" w:color="auto" w:fill="auto"/>
          </w:tcPr>
          <w:p w14:paraId="672C7C2B" w14:textId="77777777" w:rsidR="00296493" w:rsidRPr="00261B7A" w:rsidRDefault="00296493" w:rsidP="00501B0F">
            <w:pPr>
              <w:pStyle w:val="TableText"/>
              <w:spacing w:after="0"/>
              <w:rPr>
                <w:rFonts w:eastAsia="Calibri" w:cs="Calibri"/>
              </w:rPr>
            </w:pPr>
            <w:r w:rsidRPr="00261B7A">
              <w:rPr>
                <w:rFonts w:eastAsia="Calibri" w:cs="Calibri"/>
              </w:rPr>
              <w:t>15/CMP.1 annex I.E, paragraph 1 15:</w:t>
            </w:r>
          </w:p>
          <w:p w14:paraId="30A466E6" w14:textId="77777777" w:rsidR="00296493" w:rsidRPr="00261B7A" w:rsidRDefault="00296493" w:rsidP="00501B0F">
            <w:pPr>
              <w:pStyle w:val="TableText"/>
              <w:spacing w:before="0"/>
              <w:rPr>
                <w:rFonts w:eastAsia="Calibri" w:cs="Calibri"/>
              </w:rPr>
            </w:pPr>
            <w:r w:rsidRPr="00261B7A">
              <w:rPr>
                <w:rFonts w:eastAsia="Calibri" w:cs="Calibri"/>
              </w:rPr>
              <w:t>List of invalid units</w:t>
            </w:r>
          </w:p>
        </w:tc>
        <w:tc>
          <w:tcPr>
            <w:tcW w:w="4290" w:type="dxa"/>
            <w:shd w:val="clear" w:color="auto" w:fill="auto"/>
          </w:tcPr>
          <w:p w14:paraId="2E0C40E6" w14:textId="77777777" w:rsidR="00296493" w:rsidRPr="00261B7A" w:rsidRDefault="00296493" w:rsidP="00501B0F">
            <w:pPr>
              <w:pStyle w:val="TableText"/>
              <w:rPr>
                <w:rFonts w:eastAsia="Calibri" w:cs="Calibri"/>
              </w:rPr>
            </w:pPr>
            <w:r w:rsidRPr="00261B7A">
              <w:rPr>
                <w:rFonts w:eastAsia="Calibri" w:cs="Calibri"/>
              </w:rPr>
              <w:t>No invalid units exist as at 31 December 2022.</w:t>
            </w:r>
          </w:p>
        </w:tc>
      </w:tr>
      <w:tr w:rsidR="00296493" w:rsidRPr="00261B7A" w14:paraId="75F2F274" w14:textId="77777777" w:rsidTr="00501B0F">
        <w:tc>
          <w:tcPr>
            <w:tcW w:w="3958" w:type="dxa"/>
            <w:shd w:val="clear" w:color="auto" w:fill="auto"/>
          </w:tcPr>
          <w:p w14:paraId="7361AAAC" w14:textId="77777777" w:rsidR="00296493" w:rsidRPr="00261B7A" w:rsidRDefault="00296493" w:rsidP="00501B0F">
            <w:pPr>
              <w:pStyle w:val="TableText"/>
              <w:spacing w:after="0"/>
              <w:rPr>
                <w:rFonts w:eastAsia="Calibri" w:cs="Calibri"/>
              </w:rPr>
            </w:pPr>
            <w:r w:rsidRPr="00261B7A">
              <w:rPr>
                <w:rFonts w:eastAsia="Calibri" w:cs="Calibri"/>
              </w:rPr>
              <w:t>15/CMP.1 annex I.E, paragraph 1 17:</w:t>
            </w:r>
          </w:p>
          <w:p w14:paraId="04DD7E0D" w14:textId="77777777" w:rsidR="00296493" w:rsidRPr="00261B7A" w:rsidRDefault="00296493" w:rsidP="00501B0F">
            <w:pPr>
              <w:pStyle w:val="TableText"/>
              <w:spacing w:before="0"/>
              <w:rPr>
                <w:rFonts w:eastAsia="Calibri" w:cs="Calibri"/>
              </w:rPr>
            </w:pPr>
            <w:r w:rsidRPr="00261B7A">
              <w:rPr>
                <w:rFonts w:eastAsia="Calibri" w:cs="Calibri"/>
              </w:rPr>
              <w:t>Actions and changes to address discrepancies</w:t>
            </w:r>
          </w:p>
        </w:tc>
        <w:tc>
          <w:tcPr>
            <w:tcW w:w="4290" w:type="dxa"/>
            <w:shd w:val="clear" w:color="auto" w:fill="auto"/>
          </w:tcPr>
          <w:p w14:paraId="40396C0D" w14:textId="77777777" w:rsidR="00296493" w:rsidRPr="00261B7A" w:rsidRDefault="00296493" w:rsidP="00501B0F">
            <w:pPr>
              <w:pStyle w:val="TableText"/>
              <w:rPr>
                <w:rFonts w:eastAsia="Calibri" w:cs="Calibri"/>
              </w:rPr>
            </w:pPr>
            <w:r w:rsidRPr="00261B7A">
              <w:rPr>
                <w:rFonts w:eastAsia="Calibri" w:cs="Calibri"/>
              </w:rPr>
              <w:t>No actions were taken or changes made to address discrepancies for the period under review.</w:t>
            </w:r>
          </w:p>
        </w:tc>
      </w:tr>
    </w:tbl>
    <w:p w14:paraId="044C5424" w14:textId="77777777" w:rsidR="00296493" w:rsidRPr="00261B7A" w:rsidRDefault="00296493" w:rsidP="00A638DC">
      <w:pPr>
        <w:pStyle w:val="Heading2"/>
      </w:pPr>
      <w:bookmarkStart w:id="3246" w:name="_Toc481751434"/>
      <w:bookmarkStart w:id="3247" w:name="_Toc511116648"/>
      <w:bookmarkStart w:id="3248" w:name="_Toc131591291"/>
      <w:r w:rsidRPr="00261B7A">
        <w:t>1</w:t>
      </w:r>
      <w:bookmarkStart w:id="3249" w:name="_Toc235955569"/>
      <w:r w:rsidRPr="00261B7A">
        <w:t>2.4</w:t>
      </w:r>
      <w:r w:rsidRPr="00261B7A">
        <w:tab/>
        <w:t>Publicly accessible information</w:t>
      </w:r>
      <w:bookmarkEnd w:id="3246"/>
      <w:bookmarkEnd w:id="3247"/>
      <w:bookmarkEnd w:id="3248"/>
      <w:bookmarkEnd w:id="3249"/>
    </w:p>
    <w:p w14:paraId="7F449043" w14:textId="77777777" w:rsidR="00296493" w:rsidRPr="00261B7A" w:rsidRDefault="00296493" w:rsidP="00296493">
      <w:pPr>
        <w:pStyle w:val="BodyText"/>
        <w:rPr>
          <w:b/>
        </w:rPr>
      </w:pPr>
      <w:r w:rsidRPr="00261B7A">
        <w:t xml:space="preserve">New Zealand’s national registry list of publicly accessible information is available at </w:t>
      </w:r>
      <w:hyperlink r:id="rId294" w:history="1">
        <w:r w:rsidRPr="00261B7A">
          <w:t>www.emissionsregister.govt.nz</w:t>
        </w:r>
      </w:hyperlink>
      <w:r w:rsidRPr="00261B7A">
        <w:t>, through the ‘</w:t>
      </w:r>
      <w:hyperlink r:id="rId295" w:history="1">
        <w:r w:rsidRPr="00261B7A">
          <w:t>Public information and reports</w:t>
        </w:r>
      </w:hyperlink>
      <w:r w:rsidRPr="00261B7A">
        <w:t>’ link. A list of publicly accessible information is provided in table 12.4.1.</w:t>
      </w:r>
    </w:p>
    <w:p w14:paraId="045F5A79" w14:textId="77777777" w:rsidR="00296493" w:rsidRPr="00261B7A" w:rsidRDefault="00296493" w:rsidP="00296493">
      <w:pPr>
        <w:pStyle w:val="Table"/>
        <w:rPr>
          <w:rFonts w:cs="Calibri"/>
          <w:szCs w:val="18"/>
          <w:highlight w:val="yellow"/>
        </w:rPr>
      </w:pPr>
      <w:bookmarkStart w:id="3250" w:name="_Toc481751643"/>
      <w:bookmarkStart w:id="3251" w:name="_Toc511116871"/>
      <w:bookmarkStart w:id="3252" w:name="_Toc131591511"/>
      <w:r w:rsidRPr="00261B7A">
        <w:rPr>
          <w:rFonts w:cs="Calibri"/>
          <w:szCs w:val="18"/>
        </w:rPr>
        <w:t>Table 12.4.1</w:t>
      </w:r>
      <w:r w:rsidRPr="00261B7A">
        <w:rPr>
          <w:rFonts w:cs="Calibri"/>
          <w:szCs w:val="18"/>
        </w:rPr>
        <w:tab/>
        <w:t>List of the publicly accessible information in New Zealand’s national registry</w:t>
      </w:r>
      <w:bookmarkEnd w:id="3250"/>
      <w:bookmarkEnd w:id="3251"/>
      <w:bookmarkEnd w:id="3252"/>
    </w:p>
    <w:tbl>
      <w:tblPr>
        <w:tblW w:w="8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57" w:type="dxa"/>
        </w:tblCellMar>
        <w:tblLook w:val="01E0" w:firstRow="1" w:lastRow="1" w:firstColumn="1" w:lastColumn="1" w:noHBand="0" w:noVBand="0"/>
      </w:tblPr>
      <w:tblGrid>
        <w:gridCol w:w="2363"/>
        <w:gridCol w:w="2390"/>
        <w:gridCol w:w="1947"/>
        <w:gridCol w:w="1862"/>
      </w:tblGrid>
      <w:tr w:rsidR="00296493" w:rsidRPr="00261B7A" w14:paraId="0A7652FD" w14:textId="77777777" w:rsidTr="009B5E7C">
        <w:trPr>
          <w:tblHeader/>
        </w:trPr>
        <w:tc>
          <w:tcPr>
            <w:tcW w:w="2410" w:type="dxa"/>
            <w:tcBorders>
              <w:top w:val="single" w:sz="4" w:space="0" w:color="1B556B" w:themeColor="text2"/>
              <w:left w:val="nil"/>
              <w:bottom w:val="single" w:sz="4" w:space="0" w:color="1B556B" w:themeColor="text2"/>
              <w:right w:val="nil"/>
            </w:tcBorders>
            <w:shd w:val="clear" w:color="auto" w:fill="1B556B"/>
            <w:vAlign w:val="bottom"/>
          </w:tcPr>
          <w:p w14:paraId="591E7872" w14:textId="77777777" w:rsidR="00296493" w:rsidRPr="00261B7A" w:rsidRDefault="00296493" w:rsidP="00501B0F">
            <w:pPr>
              <w:pStyle w:val="TableTextBold"/>
              <w:keepNext/>
              <w:rPr>
                <w:rFonts w:cs="Calibri"/>
                <w:noProof w:val="0"/>
                <w:color w:val="FFFFFF"/>
                <w:szCs w:val="16"/>
              </w:rPr>
            </w:pPr>
            <w:r w:rsidRPr="00261B7A">
              <w:rPr>
                <w:rFonts w:cs="Calibri"/>
                <w:noProof w:val="0"/>
                <w:color w:val="FFFFFF"/>
                <w:szCs w:val="16"/>
              </w:rPr>
              <w:t>Type of information to be made public pursuant to part E of the annex to 13/CMP.1, paragraphs 44 to 48</w:t>
            </w:r>
          </w:p>
        </w:tc>
        <w:tc>
          <w:tcPr>
            <w:tcW w:w="2438" w:type="dxa"/>
            <w:tcBorders>
              <w:top w:val="single" w:sz="4" w:space="0" w:color="1B556B" w:themeColor="text2"/>
              <w:left w:val="nil"/>
              <w:bottom w:val="single" w:sz="4" w:space="0" w:color="1B556B" w:themeColor="text2"/>
              <w:right w:val="nil"/>
            </w:tcBorders>
            <w:shd w:val="clear" w:color="auto" w:fill="1B556B"/>
            <w:vAlign w:val="bottom"/>
          </w:tcPr>
          <w:p w14:paraId="00FF98DE" w14:textId="77777777" w:rsidR="00296493" w:rsidRPr="00261B7A" w:rsidRDefault="00296493" w:rsidP="00501B0F">
            <w:pPr>
              <w:pStyle w:val="TableTextBold"/>
              <w:keepNext/>
              <w:rPr>
                <w:rFonts w:cs="Calibri"/>
                <w:noProof w:val="0"/>
                <w:color w:val="FFFFFF"/>
                <w:szCs w:val="16"/>
              </w:rPr>
            </w:pPr>
            <w:r w:rsidRPr="00261B7A">
              <w:rPr>
                <w:rFonts w:cs="Calibri"/>
                <w:noProof w:val="0"/>
                <w:color w:val="FFFFFF"/>
                <w:szCs w:val="16"/>
              </w:rPr>
              <w:t>Publicly available on New Zealand’s national registry website (refer www.emissionsregister. govt.nz; Public information and reports) (yes/no/partial)</w:t>
            </w:r>
          </w:p>
        </w:tc>
        <w:tc>
          <w:tcPr>
            <w:tcW w:w="1985" w:type="dxa"/>
            <w:tcBorders>
              <w:top w:val="single" w:sz="4" w:space="0" w:color="1B556B" w:themeColor="text2"/>
              <w:left w:val="nil"/>
              <w:bottom w:val="single" w:sz="4" w:space="0" w:color="1B556B" w:themeColor="text2"/>
              <w:right w:val="nil"/>
            </w:tcBorders>
            <w:shd w:val="clear" w:color="auto" w:fill="1B556B"/>
            <w:vAlign w:val="bottom"/>
          </w:tcPr>
          <w:p w14:paraId="68981BE4" w14:textId="77777777" w:rsidR="00296493" w:rsidRPr="00261B7A" w:rsidRDefault="00296493" w:rsidP="00501B0F">
            <w:pPr>
              <w:pStyle w:val="TableTextBold"/>
              <w:keepNext/>
              <w:rPr>
                <w:rFonts w:cs="Calibri"/>
                <w:noProof w:val="0"/>
                <w:color w:val="FFFFFF"/>
                <w:szCs w:val="16"/>
              </w:rPr>
            </w:pPr>
            <w:r w:rsidRPr="00261B7A">
              <w:rPr>
                <w:rFonts w:cs="Calibri"/>
                <w:noProof w:val="0"/>
                <w:color w:val="FFFFFF"/>
                <w:szCs w:val="16"/>
              </w:rPr>
              <w:t>Timing of information to be made available under New Zealand’s Climate Change Response Act 2002</w:t>
            </w:r>
          </w:p>
        </w:tc>
        <w:tc>
          <w:tcPr>
            <w:tcW w:w="1899" w:type="dxa"/>
            <w:tcBorders>
              <w:top w:val="single" w:sz="4" w:space="0" w:color="1B556B" w:themeColor="text2"/>
              <w:left w:val="nil"/>
              <w:bottom w:val="single" w:sz="4" w:space="0" w:color="1B556B" w:themeColor="text2"/>
              <w:right w:val="nil"/>
            </w:tcBorders>
            <w:shd w:val="clear" w:color="auto" w:fill="1B556B"/>
            <w:vAlign w:val="bottom"/>
          </w:tcPr>
          <w:p w14:paraId="2E72F038" w14:textId="77777777" w:rsidR="00296493" w:rsidRPr="00261B7A" w:rsidRDefault="00296493" w:rsidP="00501B0F">
            <w:pPr>
              <w:pStyle w:val="TableTextBold"/>
              <w:keepNext/>
              <w:rPr>
                <w:rFonts w:cs="Calibri"/>
                <w:noProof w:val="0"/>
                <w:color w:val="FFFFFF"/>
                <w:szCs w:val="16"/>
              </w:rPr>
            </w:pPr>
            <w:r w:rsidRPr="00261B7A">
              <w:rPr>
                <w:rFonts w:cs="Calibri"/>
                <w:noProof w:val="0"/>
                <w:color w:val="FFFFFF"/>
                <w:szCs w:val="16"/>
              </w:rPr>
              <w:t>Relevant reference to New Zealand’s Climate Change Response Act 2002 where information is not publicly available in accordance with paragraphs 44 to 48</w:t>
            </w:r>
          </w:p>
        </w:tc>
      </w:tr>
      <w:tr w:rsidR="00296493" w:rsidRPr="00261B7A" w14:paraId="68196110" w14:textId="77777777" w:rsidTr="009B5E7C">
        <w:tc>
          <w:tcPr>
            <w:tcW w:w="2410" w:type="dxa"/>
            <w:tcBorders>
              <w:top w:val="single" w:sz="4" w:space="0" w:color="1B556B" w:themeColor="text2"/>
              <w:left w:val="nil"/>
              <w:bottom w:val="single" w:sz="4" w:space="0" w:color="1B556B" w:themeColor="text2"/>
              <w:right w:val="nil"/>
            </w:tcBorders>
          </w:tcPr>
          <w:p w14:paraId="785A61B0" w14:textId="77777777" w:rsidR="00296493" w:rsidRPr="00261B7A" w:rsidRDefault="00296493" w:rsidP="00501B0F">
            <w:pPr>
              <w:pStyle w:val="TableText"/>
              <w:keepNext/>
              <w:ind w:left="284" w:hanging="284"/>
              <w:rPr>
                <w:rFonts w:cs="Calibri"/>
                <w:szCs w:val="16"/>
              </w:rPr>
            </w:pPr>
            <w:r w:rsidRPr="00261B7A">
              <w:rPr>
                <w:rFonts w:cs="Calibri"/>
                <w:szCs w:val="16"/>
              </w:rPr>
              <w:t xml:space="preserve">44. </w:t>
            </w:r>
            <w:r w:rsidRPr="00261B7A">
              <w:rPr>
                <w:rFonts w:cs="Calibri"/>
                <w:szCs w:val="16"/>
              </w:rPr>
              <w:tab/>
              <w:t>Each national registry shall make non-confidential information publicly available and provide a publicly accessible user interface through the Internet that allows interested persons to query and view it.</w:t>
            </w:r>
          </w:p>
        </w:tc>
        <w:tc>
          <w:tcPr>
            <w:tcW w:w="2438" w:type="dxa"/>
            <w:gridSpan w:val="3"/>
            <w:tcBorders>
              <w:top w:val="single" w:sz="4" w:space="0" w:color="1B556B" w:themeColor="text2"/>
              <w:left w:val="nil"/>
              <w:bottom w:val="single" w:sz="4" w:space="0" w:color="1B556B" w:themeColor="text2"/>
              <w:right w:val="nil"/>
            </w:tcBorders>
          </w:tcPr>
          <w:p w14:paraId="3E629C77" w14:textId="77777777" w:rsidR="00296493" w:rsidRPr="00261B7A" w:rsidRDefault="00296493" w:rsidP="00501B0F">
            <w:pPr>
              <w:pStyle w:val="TableText"/>
              <w:keepNext/>
              <w:rPr>
                <w:rFonts w:cs="Calibri"/>
                <w:szCs w:val="16"/>
                <w:highlight w:val="yellow"/>
              </w:rPr>
            </w:pPr>
            <w:r w:rsidRPr="00261B7A">
              <w:rPr>
                <w:rFonts w:cs="Calibri"/>
                <w:szCs w:val="16"/>
              </w:rPr>
              <w:t>Details of information availability are provided below.</w:t>
            </w:r>
          </w:p>
        </w:tc>
      </w:tr>
      <w:tr w:rsidR="00296493" w:rsidRPr="00261B7A" w14:paraId="7E2F33E9" w14:textId="77777777" w:rsidTr="009B5E7C">
        <w:tc>
          <w:tcPr>
            <w:tcW w:w="2410" w:type="dxa"/>
            <w:tcBorders>
              <w:top w:val="single" w:sz="4" w:space="0" w:color="1B556B" w:themeColor="text2"/>
              <w:left w:val="nil"/>
              <w:bottom w:val="nil"/>
              <w:right w:val="nil"/>
            </w:tcBorders>
          </w:tcPr>
          <w:p w14:paraId="30AD88DE" w14:textId="77777777" w:rsidR="00296493" w:rsidRPr="00261B7A" w:rsidRDefault="00296493" w:rsidP="00501B0F">
            <w:pPr>
              <w:pStyle w:val="TableText"/>
              <w:spacing w:after="0"/>
              <w:ind w:left="284" w:hanging="284"/>
              <w:rPr>
                <w:rFonts w:cs="Calibri"/>
                <w:szCs w:val="16"/>
              </w:rPr>
            </w:pPr>
            <w:r w:rsidRPr="00261B7A">
              <w:rPr>
                <w:rFonts w:cs="Calibri"/>
                <w:szCs w:val="16"/>
              </w:rPr>
              <w:t xml:space="preserve">45. </w:t>
            </w:r>
            <w:r w:rsidRPr="00261B7A">
              <w:rPr>
                <w:rFonts w:cs="Calibri"/>
                <w:szCs w:val="16"/>
              </w:rPr>
              <w:tab/>
              <w:t>The information referred to in paragraph 44 above shall include up-to-date information for each account number in that registry on the following:</w:t>
            </w:r>
          </w:p>
        </w:tc>
        <w:tc>
          <w:tcPr>
            <w:tcW w:w="2438" w:type="dxa"/>
            <w:gridSpan w:val="2"/>
            <w:tcBorders>
              <w:top w:val="single" w:sz="4" w:space="0" w:color="1B556B" w:themeColor="text2"/>
              <w:left w:val="nil"/>
              <w:bottom w:val="nil"/>
              <w:right w:val="nil"/>
            </w:tcBorders>
          </w:tcPr>
          <w:p w14:paraId="0C686F43" w14:textId="77777777" w:rsidR="00296493" w:rsidRPr="00261B7A" w:rsidRDefault="00296493" w:rsidP="00501B0F">
            <w:pPr>
              <w:pStyle w:val="TableText"/>
              <w:rPr>
                <w:rFonts w:cs="Calibri"/>
                <w:szCs w:val="16"/>
                <w:highlight w:val="yellow"/>
              </w:rPr>
            </w:pPr>
          </w:p>
        </w:tc>
        <w:tc>
          <w:tcPr>
            <w:tcW w:w="1899" w:type="dxa"/>
            <w:tcBorders>
              <w:top w:val="single" w:sz="4" w:space="0" w:color="1B556B" w:themeColor="text2"/>
              <w:left w:val="nil"/>
              <w:bottom w:val="nil"/>
              <w:right w:val="nil"/>
            </w:tcBorders>
          </w:tcPr>
          <w:p w14:paraId="1D81232D" w14:textId="77777777" w:rsidR="00296493" w:rsidRPr="00261B7A" w:rsidRDefault="00296493" w:rsidP="00501B0F">
            <w:pPr>
              <w:pStyle w:val="TableText"/>
              <w:rPr>
                <w:rFonts w:cs="Calibri"/>
                <w:szCs w:val="16"/>
                <w:highlight w:val="yellow"/>
              </w:rPr>
            </w:pPr>
          </w:p>
        </w:tc>
      </w:tr>
      <w:tr w:rsidR="00296493" w:rsidRPr="00261B7A" w14:paraId="73676CCB" w14:textId="77777777" w:rsidTr="00501B0F">
        <w:tc>
          <w:tcPr>
            <w:tcW w:w="2410" w:type="dxa"/>
            <w:tcBorders>
              <w:top w:val="nil"/>
              <w:left w:val="nil"/>
              <w:bottom w:val="nil"/>
              <w:right w:val="nil"/>
            </w:tcBorders>
          </w:tcPr>
          <w:p w14:paraId="73E7652E" w14:textId="77777777" w:rsidR="00296493" w:rsidRPr="00261B7A" w:rsidRDefault="00296493" w:rsidP="00501B0F">
            <w:pPr>
              <w:pStyle w:val="TableText"/>
              <w:spacing w:after="0"/>
              <w:ind w:left="284" w:hanging="284"/>
              <w:rPr>
                <w:rFonts w:cs="Calibri"/>
                <w:szCs w:val="16"/>
              </w:rPr>
            </w:pPr>
            <w:r w:rsidRPr="00261B7A">
              <w:rPr>
                <w:rFonts w:cs="Calibri"/>
                <w:szCs w:val="16"/>
              </w:rPr>
              <w:t xml:space="preserve">(a) </w:t>
            </w:r>
            <w:r w:rsidRPr="00261B7A">
              <w:rPr>
                <w:rFonts w:cs="Calibri"/>
                <w:szCs w:val="16"/>
              </w:rPr>
              <w:tab/>
              <w:t>Account name: the holder of the account.</w:t>
            </w:r>
          </w:p>
        </w:tc>
        <w:tc>
          <w:tcPr>
            <w:tcW w:w="2438" w:type="dxa"/>
            <w:tcBorders>
              <w:top w:val="nil"/>
              <w:left w:val="nil"/>
              <w:bottom w:val="nil"/>
              <w:right w:val="nil"/>
            </w:tcBorders>
          </w:tcPr>
          <w:p w14:paraId="0F219983" w14:textId="77777777" w:rsidR="00296493" w:rsidRPr="00261B7A" w:rsidRDefault="00296493" w:rsidP="00501B0F">
            <w:pPr>
              <w:pStyle w:val="TableText"/>
              <w:spacing w:after="0"/>
              <w:rPr>
                <w:rFonts w:cs="Calibri"/>
                <w:szCs w:val="16"/>
              </w:rPr>
            </w:pPr>
            <w:r w:rsidRPr="00261B7A">
              <w:rPr>
                <w:rFonts w:cs="Calibri"/>
                <w:szCs w:val="16"/>
              </w:rPr>
              <w:t>Yes (refer Public information and reports: Accounts).</w:t>
            </w:r>
          </w:p>
        </w:tc>
        <w:tc>
          <w:tcPr>
            <w:tcW w:w="1985" w:type="dxa"/>
            <w:tcBorders>
              <w:top w:val="nil"/>
              <w:left w:val="nil"/>
              <w:bottom w:val="nil"/>
              <w:right w:val="nil"/>
            </w:tcBorders>
          </w:tcPr>
          <w:p w14:paraId="170AFD8D" w14:textId="77777777" w:rsidR="00296493" w:rsidRPr="00261B7A" w:rsidRDefault="00296493" w:rsidP="00501B0F">
            <w:pPr>
              <w:pStyle w:val="TableText"/>
              <w:spacing w:after="0"/>
              <w:rPr>
                <w:rFonts w:cs="Calibri"/>
                <w:szCs w:val="16"/>
              </w:rPr>
            </w:pPr>
            <w:r w:rsidRPr="00261B7A">
              <w:rPr>
                <w:rFonts w:cs="Calibri"/>
                <w:szCs w:val="16"/>
              </w:rPr>
              <w:t>Up to date (note, refreshed daily)</w:t>
            </w:r>
          </w:p>
        </w:tc>
        <w:tc>
          <w:tcPr>
            <w:tcW w:w="1899" w:type="dxa"/>
            <w:tcBorders>
              <w:top w:val="nil"/>
              <w:left w:val="nil"/>
              <w:bottom w:val="nil"/>
              <w:right w:val="nil"/>
            </w:tcBorders>
          </w:tcPr>
          <w:p w14:paraId="1BADBE3A" w14:textId="77777777" w:rsidR="00296493" w:rsidRPr="00261B7A" w:rsidRDefault="00296493" w:rsidP="00501B0F">
            <w:pPr>
              <w:pStyle w:val="TableText"/>
              <w:rPr>
                <w:rFonts w:cs="Calibri"/>
                <w:szCs w:val="16"/>
              </w:rPr>
            </w:pPr>
            <w:r w:rsidRPr="00261B7A">
              <w:rPr>
                <w:rFonts w:cs="Calibri"/>
                <w:szCs w:val="16"/>
              </w:rPr>
              <w:t>NA</w:t>
            </w:r>
          </w:p>
        </w:tc>
      </w:tr>
      <w:tr w:rsidR="00296493" w:rsidRPr="00261B7A" w14:paraId="1981FF8D" w14:textId="77777777" w:rsidTr="00501B0F">
        <w:tc>
          <w:tcPr>
            <w:tcW w:w="2410" w:type="dxa"/>
            <w:tcBorders>
              <w:top w:val="nil"/>
              <w:left w:val="nil"/>
              <w:bottom w:val="nil"/>
              <w:right w:val="nil"/>
            </w:tcBorders>
          </w:tcPr>
          <w:p w14:paraId="61C58AA6" w14:textId="77777777" w:rsidR="00296493" w:rsidRPr="00261B7A" w:rsidRDefault="00296493" w:rsidP="00501B0F">
            <w:pPr>
              <w:pStyle w:val="TableText"/>
              <w:spacing w:after="0"/>
              <w:ind w:left="284" w:hanging="284"/>
              <w:rPr>
                <w:rFonts w:cs="Calibri"/>
                <w:szCs w:val="16"/>
              </w:rPr>
            </w:pPr>
            <w:r w:rsidRPr="00261B7A">
              <w:rPr>
                <w:rFonts w:cs="Calibri"/>
                <w:szCs w:val="16"/>
              </w:rPr>
              <w:t xml:space="preserve">(b) </w:t>
            </w:r>
            <w:r w:rsidRPr="00261B7A">
              <w:rPr>
                <w:rFonts w:cs="Calibri"/>
                <w:szCs w:val="16"/>
              </w:rPr>
              <w:tab/>
              <w:t>Account type: the type of account (holding, cancellation or retirement).</w:t>
            </w:r>
          </w:p>
        </w:tc>
        <w:tc>
          <w:tcPr>
            <w:tcW w:w="2438" w:type="dxa"/>
            <w:tcBorders>
              <w:top w:val="nil"/>
              <w:left w:val="nil"/>
              <w:bottom w:val="nil"/>
              <w:right w:val="nil"/>
            </w:tcBorders>
          </w:tcPr>
          <w:p w14:paraId="7264F983" w14:textId="77777777" w:rsidR="00296493" w:rsidRPr="00261B7A" w:rsidRDefault="00296493" w:rsidP="00501B0F">
            <w:pPr>
              <w:pStyle w:val="TableText"/>
              <w:spacing w:after="0"/>
              <w:rPr>
                <w:rFonts w:cs="Calibri"/>
                <w:szCs w:val="16"/>
              </w:rPr>
            </w:pPr>
            <w:r w:rsidRPr="00261B7A">
              <w:rPr>
                <w:rFonts w:cs="Calibri"/>
                <w:szCs w:val="16"/>
              </w:rPr>
              <w:t>Yes (refer Public information and reports: Accounts).</w:t>
            </w:r>
          </w:p>
        </w:tc>
        <w:tc>
          <w:tcPr>
            <w:tcW w:w="1985" w:type="dxa"/>
            <w:tcBorders>
              <w:top w:val="nil"/>
              <w:left w:val="nil"/>
              <w:bottom w:val="nil"/>
              <w:right w:val="nil"/>
            </w:tcBorders>
          </w:tcPr>
          <w:p w14:paraId="26C5166B" w14:textId="77777777" w:rsidR="00296493" w:rsidRPr="00261B7A" w:rsidRDefault="00296493" w:rsidP="00501B0F">
            <w:pPr>
              <w:pStyle w:val="TableText"/>
              <w:spacing w:after="0"/>
              <w:rPr>
                <w:rFonts w:cs="Calibri"/>
                <w:szCs w:val="16"/>
              </w:rPr>
            </w:pPr>
            <w:r w:rsidRPr="00261B7A">
              <w:rPr>
                <w:rFonts w:cs="Calibri"/>
                <w:szCs w:val="16"/>
              </w:rPr>
              <w:t>Up to date (note, refreshed daily)</w:t>
            </w:r>
          </w:p>
        </w:tc>
        <w:tc>
          <w:tcPr>
            <w:tcW w:w="1899" w:type="dxa"/>
            <w:tcBorders>
              <w:top w:val="nil"/>
              <w:left w:val="nil"/>
              <w:bottom w:val="nil"/>
              <w:right w:val="nil"/>
            </w:tcBorders>
          </w:tcPr>
          <w:p w14:paraId="71F9DC36" w14:textId="77777777" w:rsidR="00296493" w:rsidRPr="00261B7A" w:rsidRDefault="00296493" w:rsidP="00501B0F">
            <w:pPr>
              <w:pStyle w:val="TableText"/>
              <w:rPr>
                <w:rFonts w:cs="Calibri"/>
                <w:szCs w:val="16"/>
              </w:rPr>
            </w:pPr>
            <w:r w:rsidRPr="00261B7A">
              <w:rPr>
                <w:rFonts w:cs="Calibri"/>
                <w:szCs w:val="16"/>
              </w:rPr>
              <w:t>NA</w:t>
            </w:r>
          </w:p>
        </w:tc>
      </w:tr>
      <w:tr w:rsidR="00296493" w:rsidRPr="00261B7A" w14:paraId="4EC07F7D" w14:textId="77777777" w:rsidTr="00501B0F">
        <w:tc>
          <w:tcPr>
            <w:tcW w:w="2410" w:type="dxa"/>
            <w:tcBorders>
              <w:top w:val="nil"/>
              <w:left w:val="nil"/>
              <w:bottom w:val="nil"/>
              <w:right w:val="nil"/>
            </w:tcBorders>
          </w:tcPr>
          <w:p w14:paraId="2B35887C" w14:textId="77777777" w:rsidR="00296493" w:rsidRPr="00261B7A" w:rsidRDefault="00296493" w:rsidP="00501B0F">
            <w:pPr>
              <w:pStyle w:val="TableText"/>
              <w:spacing w:after="0"/>
              <w:ind w:left="284" w:hanging="284"/>
              <w:rPr>
                <w:rFonts w:cs="Calibri"/>
                <w:szCs w:val="16"/>
              </w:rPr>
            </w:pPr>
            <w:r w:rsidRPr="00261B7A">
              <w:rPr>
                <w:rFonts w:cs="Calibri"/>
                <w:szCs w:val="16"/>
              </w:rPr>
              <w:t xml:space="preserve">(c) </w:t>
            </w:r>
            <w:r w:rsidRPr="00261B7A">
              <w:rPr>
                <w:rFonts w:cs="Calibri"/>
                <w:szCs w:val="16"/>
              </w:rPr>
              <w:tab/>
              <w:t>Commitment period: the commitment period with which a cancellation or retirement account is associated.</w:t>
            </w:r>
          </w:p>
        </w:tc>
        <w:tc>
          <w:tcPr>
            <w:tcW w:w="2438" w:type="dxa"/>
            <w:tcBorders>
              <w:top w:val="nil"/>
              <w:left w:val="nil"/>
              <w:bottom w:val="nil"/>
              <w:right w:val="nil"/>
            </w:tcBorders>
          </w:tcPr>
          <w:p w14:paraId="3FC1C2BB" w14:textId="77777777" w:rsidR="00296493" w:rsidRPr="00261B7A" w:rsidRDefault="00296493" w:rsidP="00501B0F">
            <w:pPr>
              <w:pStyle w:val="TableText"/>
              <w:spacing w:after="0"/>
              <w:rPr>
                <w:rFonts w:cs="Calibri"/>
                <w:szCs w:val="16"/>
              </w:rPr>
            </w:pPr>
            <w:r w:rsidRPr="00261B7A">
              <w:rPr>
                <w:rFonts w:cs="Calibri"/>
                <w:szCs w:val="16"/>
              </w:rPr>
              <w:t>Yes (refer Public information and reports: Accounts).</w:t>
            </w:r>
          </w:p>
        </w:tc>
        <w:tc>
          <w:tcPr>
            <w:tcW w:w="1985" w:type="dxa"/>
            <w:tcBorders>
              <w:top w:val="nil"/>
              <w:left w:val="nil"/>
              <w:bottom w:val="nil"/>
              <w:right w:val="nil"/>
            </w:tcBorders>
          </w:tcPr>
          <w:p w14:paraId="075856EE" w14:textId="77777777" w:rsidR="00296493" w:rsidRPr="00261B7A" w:rsidRDefault="00296493" w:rsidP="00501B0F">
            <w:pPr>
              <w:pStyle w:val="TableText"/>
              <w:spacing w:after="0"/>
              <w:rPr>
                <w:rFonts w:cs="Calibri"/>
                <w:szCs w:val="16"/>
              </w:rPr>
            </w:pPr>
            <w:r w:rsidRPr="00261B7A">
              <w:rPr>
                <w:rFonts w:cs="Calibri"/>
                <w:szCs w:val="16"/>
              </w:rPr>
              <w:t>Up to date (note, refreshed daily)</w:t>
            </w:r>
          </w:p>
        </w:tc>
        <w:tc>
          <w:tcPr>
            <w:tcW w:w="1899" w:type="dxa"/>
            <w:tcBorders>
              <w:top w:val="nil"/>
              <w:left w:val="nil"/>
              <w:bottom w:val="nil"/>
              <w:right w:val="nil"/>
            </w:tcBorders>
          </w:tcPr>
          <w:p w14:paraId="630B9784" w14:textId="77777777" w:rsidR="00296493" w:rsidRPr="00261B7A" w:rsidRDefault="00296493" w:rsidP="00501B0F">
            <w:pPr>
              <w:pStyle w:val="TableText"/>
              <w:rPr>
                <w:rFonts w:cs="Calibri"/>
                <w:szCs w:val="16"/>
              </w:rPr>
            </w:pPr>
            <w:r w:rsidRPr="00261B7A">
              <w:rPr>
                <w:rFonts w:cs="Calibri"/>
                <w:szCs w:val="16"/>
              </w:rPr>
              <w:t xml:space="preserve">NA </w:t>
            </w:r>
          </w:p>
        </w:tc>
      </w:tr>
      <w:tr w:rsidR="00296493" w:rsidRPr="00261B7A" w14:paraId="2C8FF992" w14:textId="77777777" w:rsidTr="00501B0F">
        <w:tc>
          <w:tcPr>
            <w:tcW w:w="2410" w:type="dxa"/>
            <w:tcBorders>
              <w:top w:val="nil"/>
              <w:left w:val="nil"/>
              <w:bottom w:val="nil"/>
              <w:right w:val="nil"/>
            </w:tcBorders>
          </w:tcPr>
          <w:p w14:paraId="49E7C4C3" w14:textId="77777777" w:rsidR="00296493" w:rsidRPr="00261B7A" w:rsidRDefault="00296493" w:rsidP="00501B0F">
            <w:pPr>
              <w:pStyle w:val="TableText"/>
              <w:ind w:left="284" w:hanging="284"/>
              <w:rPr>
                <w:rFonts w:cs="Calibri"/>
                <w:szCs w:val="16"/>
              </w:rPr>
            </w:pPr>
            <w:r w:rsidRPr="00261B7A">
              <w:rPr>
                <w:rFonts w:cs="Calibri"/>
                <w:szCs w:val="16"/>
              </w:rPr>
              <w:t xml:space="preserve">(d) </w:t>
            </w:r>
            <w:r w:rsidRPr="00261B7A">
              <w:rPr>
                <w:rFonts w:cs="Calibri"/>
                <w:szCs w:val="16"/>
              </w:rPr>
              <w:tab/>
              <w:t>Representative identifier: the representative of the account holder, using the Party identifier (the two-letter country code defined by ISO 3166) and a number unique to that representative within the Party’s registry.</w:t>
            </w:r>
          </w:p>
        </w:tc>
        <w:tc>
          <w:tcPr>
            <w:tcW w:w="2438" w:type="dxa"/>
            <w:tcBorders>
              <w:top w:val="nil"/>
              <w:left w:val="nil"/>
              <w:bottom w:val="nil"/>
              <w:right w:val="nil"/>
            </w:tcBorders>
          </w:tcPr>
          <w:p w14:paraId="5B744B53" w14:textId="77777777" w:rsidR="00296493" w:rsidRPr="00261B7A" w:rsidRDefault="00296493" w:rsidP="00501B0F">
            <w:pPr>
              <w:pStyle w:val="TableText"/>
              <w:rPr>
                <w:rFonts w:cs="Calibri"/>
                <w:szCs w:val="16"/>
              </w:rPr>
            </w:pPr>
            <w:r w:rsidRPr="00261B7A">
              <w:rPr>
                <w:rFonts w:cs="Calibri"/>
                <w:szCs w:val="16"/>
              </w:rPr>
              <w:t>No – the representative identifiers for representatives are not publicly available and have been withheld for security reasons.</w:t>
            </w:r>
          </w:p>
        </w:tc>
        <w:tc>
          <w:tcPr>
            <w:tcW w:w="1985" w:type="dxa"/>
            <w:tcBorders>
              <w:top w:val="nil"/>
              <w:left w:val="nil"/>
              <w:bottom w:val="nil"/>
              <w:right w:val="nil"/>
            </w:tcBorders>
          </w:tcPr>
          <w:p w14:paraId="177A8ADE" w14:textId="77777777" w:rsidR="00296493" w:rsidRPr="00261B7A" w:rsidRDefault="00296493" w:rsidP="00501B0F">
            <w:pPr>
              <w:pStyle w:val="TableText"/>
              <w:rPr>
                <w:rFonts w:cs="Calibri"/>
                <w:szCs w:val="16"/>
              </w:rPr>
            </w:pPr>
            <w:r w:rsidRPr="00261B7A">
              <w:rPr>
                <w:rFonts w:cs="Calibri"/>
                <w:szCs w:val="16"/>
              </w:rPr>
              <w:t>NA</w:t>
            </w:r>
          </w:p>
        </w:tc>
        <w:tc>
          <w:tcPr>
            <w:tcW w:w="1899" w:type="dxa"/>
            <w:tcBorders>
              <w:top w:val="nil"/>
              <w:left w:val="nil"/>
              <w:bottom w:val="nil"/>
              <w:right w:val="nil"/>
            </w:tcBorders>
          </w:tcPr>
          <w:p w14:paraId="532E26B6" w14:textId="77777777" w:rsidR="00296493" w:rsidRPr="00261B7A" w:rsidRDefault="00296493" w:rsidP="00501B0F">
            <w:pPr>
              <w:pStyle w:val="TableText"/>
              <w:spacing w:after="0"/>
              <w:rPr>
                <w:rFonts w:cs="Calibri"/>
                <w:szCs w:val="16"/>
              </w:rPr>
            </w:pPr>
            <w:r w:rsidRPr="00261B7A">
              <w:rPr>
                <w:rFonts w:cs="Calibri"/>
                <w:szCs w:val="16"/>
              </w:rPr>
              <w:t>Section 27(1)(a) of the Climate Change Response Act 2002 does not require this information to be made publicly available. Only the holding account number for each account in the registry is publicly available under this section.</w:t>
            </w:r>
          </w:p>
        </w:tc>
      </w:tr>
      <w:tr w:rsidR="00296493" w:rsidRPr="00261B7A" w14:paraId="5911AD1C" w14:textId="77777777" w:rsidTr="00501B0F">
        <w:tc>
          <w:tcPr>
            <w:tcW w:w="2410" w:type="dxa"/>
            <w:tcBorders>
              <w:top w:val="nil"/>
              <w:left w:val="nil"/>
              <w:bottom w:val="single" w:sz="4" w:space="0" w:color="1B556B"/>
              <w:right w:val="nil"/>
            </w:tcBorders>
          </w:tcPr>
          <w:p w14:paraId="2A662DA2" w14:textId="77777777" w:rsidR="00296493" w:rsidRPr="00261B7A" w:rsidRDefault="00296493" w:rsidP="00501B0F">
            <w:pPr>
              <w:pStyle w:val="TableText"/>
              <w:ind w:left="284" w:hanging="284"/>
              <w:rPr>
                <w:rFonts w:cs="Calibri"/>
                <w:szCs w:val="16"/>
              </w:rPr>
            </w:pPr>
            <w:r w:rsidRPr="00261B7A">
              <w:rPr>
                <w:rFonts w:cs="Calibri"/>
                <w:szCs w:val="16"/>
              </w:rPr>
              <w:br w:type="page"/>
              <w:t xml:space="preserve">(e) </w:t>
            </w:r>
            <w:r w:rsidRPr="00261B7A">
              <w:rPr>
                <w:rFonts w:cs="Calibri"/>
                <w:szCs w:val="16"/>
              </w:rPr>
              <w:tab/>
              <w:t>Representative name and contact information: the full name, mailing address, telephone number, facsimile number and email address of the representative of the account holder.</w:t>
            </w:r>
          </w:p>
        </w:tc>
        <w:tc>
          <w:tcPr>
            <w:tcW w:w="2438" w:type="dxa"/>
            <w:tcBorders>
              <w:top w:val="nil"/>
              <w:left w:val="nil"/>
              <w:bottom w:val="single" w:sz="4" w:space="0" w:color="1B556B"/>
              <w:right w:val="nil"/>
            </w:tcBorders>
          </w:tcPr>
          <w:p w14:paraId="2CF1604B" w14:textId="77777777" w:rsidR="00296493" w:rsidRPr="00261B7A" w:rsidRDefault="00296493" w:rsidP="00501B0F">
            <w:pPr>
              <w:pStyle w:val="TableText"/>
              <w:spacing w:after="0"/>
              <w:rPr>
                <w:rFonts w:cs="Calibri"/>
                <w:szCs w:val="16"/>
              </w:rPr>
            </w:pPr>
            <w:r w:rsidRPr="00261B7A">
              <w:rPr>
                <w:rFonts w:cs="Calibri"/>
                <w:szCs w:val="16"/>
              </w:rPr>
              <w:t>Partial – publication of the mailing address, email addresses, telephone numbers and facsimile number of the representatives has been withheld for security reasons.</w:t>
            </w:r>
          </w:p>
          <w:p w14:paraId="4307D8D0" w14:textId="77777777" w:rsidR="00296493" w:rsidRPr="00261B7A" w:rsidRDefault="00296493" w:rsidP="00501B0F">
            <w:pPr>
              <w:pStyle w:val="TableText"/>
              <w:rPr>
                <w:rFonts w:cs="Calibri"/>
                <w:szCs w:val="16"/>
              </w:rPr>
            </w:pPr>
            <w:r w:rsidRPr="00261B7A">
              <w:rPr>
                <w:rFonts w:cs="Calibri"/>
                <w:szCs w:val="16"/>
              </w:rPr>
              <w:t>(Refer Public information and reports: Accounts.)</w:t>
            </w:r>
          </w:p>
        </w:tc>
        <w:tc>
          <w:tcPr>
            <w:tcW w:w="1985" w:type="dxa"/>
            <w:tcBorders>
              <w:top w:val="nil"/>
              <w:left w:val="nil"/>
              <w:bottom w:val="single" w:sz="4" w:space="0" w:color="1B556B"/>
              <w:right w:val="nil"/>
            </w:tcBorders>
          </w:tcPr>
          <w:p w14:paraId="1F158CEA" w14:textId="77777777" w:rsidR="00296493" w:rsidRPr="00261B7A" w:rsidRDefault="00296493" w:rsidP="00501B0F">
            <w:pPr>
              <w:pStyle w:val="TableText"/>
              <w:rPr>
                <w:rFonts w:cs="Calibri"/>
                <w:szCs w:val="16"/>
              </w:rPr>
            </w:pPr>
            <w:r w:rsidRPr="00261B7A">
              <w:rPr>
                <w:rFonts w:cs="Calibri"/>
                <w:szCs w:val="16"/>
              </w:rPr>
              <w:t>Up to date (note, refreshed daily)</w:t>
            </w:r>
          </w:p>
        </w:tc>
        <w:tc>
          <w:tcPr>
            <w:tcW w:w="1899" w:type="dxa"/>
            <w:tcBorders>
              <w:top w:val="nil"/>
              <w:left w:val="nil"/>
              <w:bottom w:val="single" w:sz="4" w:space="0" w:color="1B556B"/>
              <w:right w:val="nil"/>
            </w:tcBorders>
          </w:tcPr>
          <w:p w14:paraId="18CBAF52" w14:textId="77777777" w:rsidR="00296493" w:rsidRPr="00261B7A" w:rsidRDefault="00296493" w:rsidP="00501B0F">
            <w:pPr>
              <w:pStyle w:val="TableText"/>
              <w:rPr>
                <w:rFonts w:cs="Calibri"/>
                <w:szCs w:val="16"/>
              </w:rPr>
            </w:pPr>
            <w:r w:rsidRPr="00261B7A">
              <w:rPr>
                <w:rFonts w:cs="Calibri"/>
                <w:szCs w:val="16"/>
              </w:rPr>
              <w:t xml:space="preserve">Section 13 of the Climate Change Response Act 2002 permits the Registrar to withhold access to the email address and phone and fax numbers of account holders’ representatives on the grounds of security or integrity of the registry. </w:t>
            </w:r>
          </w:p>
        </w:tc>
      </w:tr>
      <w:tr w:rsidR="00296493" w:rsidRPr="00261B7A" w14:paraId="5A0ACAFE" w14:textId="77777777" w:rsidTr="00501B0F">
        <w:tc>
          <w:tcPr>
            <w:tcW w:w="2410" w:type="dxa"/>
            <w:tcBorders>
              <w:top w:val="single" w:sz="4" w:space="0" w:color="1B556B"/>
              <w:left w:val="nil"/>
              <w:bottom w:val="nil"/>
              <w:right w:val="nil"/>
            </w:tcBorders>
          </w:tcPr>
          <w:p w14:paraId="162B0096" w14:textId="77777777" w:rsidR="00296493" w:rsidRPr="00261B7A" w:rsidRDefault="00296493" w:rsidP="00501B0F">
            <w:pPr>
              <w:pStyle w:val="TableText"/>
              <w:spacing w:after="0"/>
              <w:ind w:left="284" w:hanging="284"/>
              <w:rPr>
                <w:rFonts w:cs="Calibri"/>
                <w:szCs w:val="16"/>
              </w:rPr>
            </w:pPr>
            <w:r w:rsidRPr="00261B7A">
              <w:rPr>
                <w:rFonts w:cs="Calibri"/>
                <w:szCs w:val="16"/>
              </w:rPr>
              <w:t xml:space="preserve">46. </w:t>
            </w:r>
            <w:r w:rsidRPr="00261B7A">
              <w:rPr>
                <w:rFonts w:cs="Calibri"/>
                <w:szCs w:val="16"/>
              </w:rPr>
              <w:tab/>
              <w:t xml:space="preserve">The information referred to in paragraph 44 shall include the following Article 6 project information, for each project identifier against which the Party has issued ERUs: </w:t>
            </w:r>
          </w:p>
        </w:tc>
        <w:tc>
          <w:tcPr>
            <w:tcW w:w="2438" w:type="dxa"/>
            <w:gridSpan w:val="3"/>
            <w:tcBorders>
              <w:top w:val="single" w:sz="4" w:space="0" w:color="1B556B"/>
              <w:left w:val="nil"/>
              <w:bottom w:val="nil"/>
              <w:right w:val="nil"/>
            </w:tcBorders>
          </w:tcPr>
          <w:p w14:paraId="0AC2462C" w14:textId="77777777" w:rsidR="00296493" w:rsidRPr="00261B7A" w:rsidRDefault="00296493" w:rsidP="00501B0F">
            <w:pPr>
              <w:pStyle w:val="TableText"/>
              <w:rPr>
                <w:rFonts w:cs="Calibri"/>
                <w:szCs w:val="16"/>
              </w:rPr>
            </w:pPr>
          </w:p>
        </w:tc>
      </w:tr>
      <w:tr w:rsidR="00296493" w:rsidRPr="00261B7A" w14:paraId="3972C11E" w14:textId="77777777" w:rsidTr="00501B0F">
        <w:tc>
          <w:tcPr>
            <w:tcW w:w="2410" w:type="dxa"/>
            <w:tcBorders>
              <w:top w:val="nil"/>
              <w:left w:val="nil"/>
              <w:bottom w:val="nil"/>
              <w:right w:val="nil"/>
            </w:tcBorders>
          </w:tcPr>
          <w:p w14:paraId="6B1A5746" w14:textId="77777777" w:rsidR="00296493" w:rsidRPr="00261B7A" w:rsidRDefault="00296493" w:rsidP="00501B0F">
            <w:pPr>
              <w:pStyle w:val="TableText"/>
              <w:ind w:left="284" w:hanging="284"/>
              <w:rPr>
                <w:rFonts w:cs="Calibri"/>
                <w:szCs w:val="16"/>
              </w:rPr>
            </w:pPr>
            <w:r w:rsidRPr="00261B7A">
              <w:rPr>
                <w:rFonts w:cs="Calibri"/>
                <w:szCs w:val="16"/>
              </w:rPr>
              <w:t xml:space="preserve">(a) </w:t>
            </w:r>
            <w:r w:rsidRPr="00261B7A">
              <w:rPr>
                <w:rFonts w:cs="Calibri"/>
                <w:szCs w:val="16"/>
              </w:rPr>
              <w:tab/>
              <w:t>Project name: a unique name for the project.</w:t>
            </w:r>
          </w:p>
        </w:tc>
        <w:tc>
          <w:tcPr>
            <w:tcW w:w="2438" w:type="dxa"/>
            <w:tcBorders>
              <w:top w:val="nil"/>
              <w:left w:val="nil"/>
              <w:bottom w:val="nil"/>
              <w:right w:val="nil"/>
            </w:tcBorders>
          </w:tcPr>
          <w:p w14:paraId="6C9312EF" w14:textId="77777777" w:rsidR="00296493" w:rsidRPr="00261B7A" w:rsidRDefault="00296493" w:rsidP="00501B0F">
            <w:pPr>
              <w:pStyle w:val="TableText"/>
              <w:spacing w:after="0"/>
              <w:rPr>
                <w:rFonts w:cs="Calibri"/>
                <w:szCs w:val="16"/>
                <w:highlight w:val="yellow"/>
              </w:rPr>
            </w:pPr>
            <w:r w:rsidRPr="00261B7A">
              <w:rPr>
                <w:rFonts w:cs="Calibri"/>
                <w:szCs w:val="16"/>
              </w:rPr>
              <w:t>Yes (refer Public information and reports: Joint implementation (JI) projects).</w:t>
            </w:r>
          </w:p>
        </w:tc>
        <w:tc>
          <w:tcPr>
            <w:tcW w:w="1985" w:type="dxa"/>
            <w:tcBorders>
              <w:top w:val="nil"/>
              <w:left w:val="nil"/>
              <w:bottom w:val="nil"/>
              <w:right w:val="nil"/>
            </w:tcBorders>
          </w:tcPr>
          <w:p w14:paraId="614A5A6D" w14:textId="77777777" w:rsidR="00296493" w:rsidRPr="00261B7A" w:rsidRDefault="00296493" w:rsidP="00501B0F">
            <w:pPr>
              <w:pStyle w:val="TableText"/>
              <w:rPr>
                <w:rFonts w:cs="Calibri"/>
                <w:szCs w:val="16"/>
              </w:rPr>
            </w:pPr>
            <w:r w:rsidRPr="00261B7A">
              <w:rPr>
                <w:rFonts w:cs="Calibri"/>
                <w:szCs w:val="16"/>
              </w:rPr>
              <w:t>Up to date</w:t>
            </w:r>
          </w:p>
        </w:tc>
        <w:tc>
          <w:tcPr>
            <w:tcW w:w="1899" w:type="dxa"/>
            <w:tcBorders>
              <w:top w:val="nil"/>
              <w:left w:val="nil"/>
              <w:bottom w:val="nil"/>
              <w:right w:val="nil"/>
            </w:tcBorders>
          </w:tcPr>
          <w:p w14:paraId="7C7BEE52" w14:textId="77777777" w:rsidR="00296493" w:rsidRPr="00261B7A" w:rsidRDefault="00296493" w:rsidP="00501B0F">
            <w:pPr>
              <w:pStyle w:val="TableText"/>
              <w:rPr>
                <w:rFonts w:cs="Calibri"/>
                <w:szCs w:val="16"/>
              </w:rPr>
            </w:pPr>
            <w:r w:rsidRPr="00261B7A">
              <w:rPr>
                <w:rFonts w:cs="Calibri"/>
                <w:szCs w:val="16"/>
              </w:rPr>
              <w:t>NA</w:t>
            </w:r>
          </w:p>
        </w:tc>
      </w:tr>
      <w:tr w:rsidR="00296493" w:rsidRPr="00261B7A" w14:paraId="1CEC4DCA" w14:textId="77777777" w:rsidTr="00501B0F">
        <w:tc>
          <w:tcPr>
            <w:tcW w:w="2410" w:type="dxa"/>
            <w:tcBorders>
              <w:top w:val="nil"/>
              <w:left w:val="nil"/>
              <w:bottom w:val="nil"/>
              <w:right w:val="nil"/>
            </w:tcBorders>
          </w:tcPr>
          <w:p w14:paraId="02676329" w14:textId="77777777" w:rsidR="00296493" w:rsidRPr="00261B7A" w:rsidRDefault="00296493" w:rsidP="00501B0F">
            <w:pPr>
              <w:pStyle w:val="TableText"/>
              <w:ind w:left="284" w:hanging="284"/>
              <w:rPr>
                <w:rFonts w:cs="Calibri"/>
                <w:szCs w:val="16"/>
              </w:rPr>
            </w:pPr>
            <w:r w:rsidRPr="00261B7A">
              <w:rPr>
                <w:rFonts w:cs="Calibri"/>
                <w:szCs w:val="16"/>
              </w:rPr>
              <w:t xml:space="preserve">(b) </w:t>
            </w:r>
            <w:r w:rsidRPr="00261B7A">
              <w:rPr>
                <w:rFonts w:cs="Calibri"/>
                <w:szCs w:val="16"/>
              </w:rPr>
              <w:tab/>
              <w:t>Project location: the Party and town or region in which the project is located.</w:t>
            </w:r>
          </w:p>
        </w:tc>
        <w:tc>
          <w:tcPr>
            <w:tcW w:w="2438" w:type="dxa"/>
            <w:tcBorders>
              <w:top w:val="nil"/>
              <w:left w:val="nil"/>
              <w:bottom w:val="nil"/>
              <w:right w:val="nil"/>
            </w:tcBorders>
          </w:tcPr>
          <w:p w14:paraId="5353C567" w14:textId="77777777" w:rsidR="00296493" w:rsidRPr="00261B7A" w:rsidRDefault="00296493" w:rsidP="00501B0F">
            <w:pPr>
              <w:pStyle w:val="TableText"/>
              <w:rPr>
                <w:rFonts w:cs="Calibri"/>
                <w:szCs w:val="16"/>
                <w:highlight w:val="yellow"/>
              </w:rPr>
            </w:pPr>
            <w:r w:rsidRPr="00261B7A">
              <w:rPr>
                <w:rFonts w:cs="Calibri"/>
                <w:szCs w:val="16"/>
              </w:rPr>
              <w:t>Yes (refer Public information and reports: Joint implementation (JI) projects).</w:t>
            </w:r>
          </w:p>
        </w:tc>
        <w:tc>
          <w:tcPr>
            <w:tcW w:w="1985" w:type="dxa"/>
            <w:tcBorders>
              <w:top w:val="nil"/>
              <w:left w:val="nil"/>
              <w:bottom w:val="nil"/>
              <w:right w:val="nil"/>
            </w:tcBorders>
          </w:tcPr>
          <w:p w14:paraId="4FC8F263" w14:textId="77777777" w:rsidR="00296493" w:rsidRPr="00261B7A" w:rsidRDefault="00296493" w:rsidP="00501B0F">
            <w:pPr>
              <w:pStyle w:val="TableText"/>
              <w:rPr>
                <w:rFonts w:cs="Calibri"/>
                <w:szCs w:val="16"/>
              </w:rPr>
            </w:pPr>
            <w:r w:rsidRPr="00261B7A">
              <w:rPr>
                <w:rFonts w:cs="Calibri"/>
                <w:szCs w:val="16"/>
              </w:rPr>
              <w:t>Up to date</w:t>
            </w:r>
          </w:p>
        </w:tc>
        <w:tc>
          <w:tcPr>
            <w:tcW w:w="1899" w:type="dxa"/>
            <w:tcBorders>
              <w:top w:val="nil"/>
              <w:left w:val="nil"/>
              <w:bottom w:val="nil"/>
              <w:right w:val="nil"/>
            </w:tcBorders>
          </w:tcPr>
          <w:p w14:paraId="6B079502" w14:textId="77777777" w:rsidR="00296493" w:rsidRPr="00261B7A" w:rsidRDefault="00296493" w:rsidP="00501B0F">
            <w:pPr>
              <w:pStyle w:val="TableText"/>
              <w:rPr>
                <w:rFonts w:cs="Calibri"/>
                <w:szCs w:val="16"/>
              </w:rPr>
            </w:pPr>
            <w:r w:rsidRPr="00261B7A">
              <w:rPr>
                <w:rFonts w:cs="Calibri"/>
                <w:szCs w:val="16"/>
              </w:rPr>
              <w:t>NA</w:t>
            </w:r>
          </w:p>
        </w:tc>
      </w:tr>
      <w:tr w:rsidR="00296493" w:rsidRPr="00261B7A" w14:paraId="7472AC6D" w14:textId="77777777" w:rsidTr="00501B0F">
        <w:tc>
          <w:tcPr>
            <w:tcW w:w="2410" w:type="dxa"/>
            <w:tcBorders>
              <w:top w:val="nil"/>
              <w:left w:val="nil"/>
              <w:bottom w:val="nil"/>
              <w:right w:val="nil"/>
            </w:tcBorders>
          </w:tcPr>
          <w:p w14:paraId="3070ECC4" w14:textId="77777777" w:rsidR="00296493" w:rsidRPr="00261B7A" w:rsidRDefault="00296493" w:rsidP="00501B0F">
            <w:pPr>
              <w:pStyle w:val="TableText"/>
              <w:keepNext/>
              <w:ind w:left="284" w:hanging="284"/>
              <w:rPr>
                <w:rFonts w:cs="Calibri"/>
                <w:szCs w:val="16"/>
              </w:rPr>
            </w:pPr>
            <w:r w:rsidRPr="00261B7A">
              <w:rPr>
                <w:rFonts w:cs="Calibri"/>
                <w:szCs w:val="16"/>
              </w:rPr>
              <w:t xml:space="preserve">(c) </w:t>
            </w:r>
            <w:r w:rsidRPr="00261B7A">
              <w:rPr>
                <w:rFonts w:cs="Calibri"/>
                <w:szCs w:val="16"/>
              </w:rPr>
              <w:tab/>
              <w:t>Years of ERU issuance: the years when ERUs have been issued as a result of the Article 6 project.</w:t>
            </w:r>
          </w:p>
        </w:tc>
        <w:tc>
          <w:tcPr>
            <w:tcW w:w="2438" w:type="dxa"/>
            <w:tcBorders>
              <w:top w:val="nil"/>
              <w:left w:val="nil"/>
              <w:bottom w:val="nil"/>
              <w:right w:val="nil"/>
            </w:tcBorders>
          </w:tcPr>
          <w:p w14:paraId="7737DF63" w14:textId="77777777" w:rsidR="00296493" w:rsidRPr="00261B7A" w:rsidRDefault="00296493" w:rsidP="00501B0F">
            <w:pPr>
              <w:pStyle w:val="TableText"/>
              <w:keepNext/>
              <w:spacing w:after="0"/>
              <w:rPr>
                <w:rFonts w:cs="Calibri"/>
                <w:szCs w:val="16"/>
              </w:rPr>
            </w:pPr>
            <w:r w:rsidRPr="00261B7A">
              <w:rPr>
                <w:rFonts w:cs="Calibri"/>
                <w:szCs w:val="16"/>
              </w:rPr>
              <w:t xml:space="preserve">Yes (refer Public information and reports: Ministers’ directions, which lists directions relating to the transfer of emission reduction units to individual JI projects. </w:t>
            </w:r>
          </w:p>
          <w:p w14:paraId="3581BE0B" w14:textId="77777777" w:rsidR="00296493" w:rsidRPr="00261B7A" w:rsidRDefault="00296493" w:rsidP="00501B0F">
            <w:pPr>
              <w:pStyle w:val="TableText"/>
              <w:keepNext/>
              <w:spacing w:after="0"/>
              <w:rPr>
                <w:rFonts w:cs="Calibri"/>
                <w:szCs w:val="16"/>
              </w:rPr>
            </w:pPr>
            <w:r w:rsidRPr="00261B7A">
              <w:rPr>
                <w:rFonts w:cs="Calibri"/>
                <w:szCs w:val="16"/>
              </w:rPr>
              <w:t>The New Zealand Emission Trading Register Unit Holding and Transaction Summary Report shows in aggregate the total ERUs converted from AAUs by year).</w:t>
            </w:r>
          </w:p>
        </w:tc>
        <w:tc>
          <w:tcPr>
            <w:tcW w:w="1985" w:type="dxa"/>
            <w:tcBorders>
              <w:top w:val="nil"/>
              <w:left w:val="nil"/>
              <w:bottom w:val="nil"/>
              <w:right w:val="nil"/>
            </w:tcBorders>
          </w:tcPr>
          <w:p w14:paraId="4D64872F" w14:textId="77777777" w:rsidR="00296493" w:rsidRPr="00261B7A" w:rsidRDefault="00296493" w:rsidP="00501B0F">
            <w:pPr>
              <w:pStyle w:val="TableText"/>
              <w:keepNext/>
              <w:spacing w:after="0"/>
              <w:rPr>
                <w:rFonts w:cs="Calibri"/>
                <w:szCs w:val="16"/>
              </w:rPr>
            </w:pPr>
            <w:r w:rsidRPr="00261B7A">
              <w:rPr>
                <w:rFonts w:cs="Calibri"/>
                <w:szCs w:val="16"/>
              </w:rPr>
              <w:t>Joint implementation projects annually by 31 January for the previous calendar year</w:t>
            </w:r>
          </w:p>
          <w:p w14:paraId="24A2F217" w14:textId="77777777" w:rsidR="00296493" w:rsidRPr="00261B7A" w:rsidRDefault="00296493" w:rsidP="00501B0F">
            <w:pPr>
              <w:pStyle w:val="TableText"/>
              <w:keepNext/>
              <w:rPr>
                <w:rFonts w:cs="Calibri"/>
                <w:szCs w:val="16"/>
              </w:rPr>
            </w:pPr>
            <w:r w:rsidRPr="00261B7A">
              <w:rPr>
                <w:rFonts w:cs="Calibri"/>
                <w:szCs w:val="16"/>
              </w:rPr>
              <w:t>Ministers’ directions – up to date (note, refreshed daily)</w:t>
            </w:r>
          </w:p>
        </w:tc>
        <w:tc>
          <w:tcPr>
            <w:tcW w:w="1899" w:type="dxa"/>
            <w:tcBorders>
              <w:top w:val="nil"/>
              <w:left w:val="nil"/>
              <w:bottom w:val="nil"/>
              <w:right w:val="nil"/>
            </w:tcBorders>
          </w:tcPr>
          <w:p w14:paraId="1A2E11EF" w14:textId="77777777" w:rsidR="00296493" w:rsidRPr="00261B7A" w:rsidRDefault="00296493" w:rsidP="00501B0F">
            <w:pPr>
              <w:pStyle w:val="TableText"/>
              <w:keepNext/>
              <w:rPr>
                <w:rFonts w:cs="Calibri"/>
                <w:szCs w:val="16"/>
              </w:rPr>
            </w:pPr>
            <w:r w:rsidRPr="00261B7A">
              <w:rPr>
                <w:rFonts w:cs="Calibri"/>
                <w:szCs w:val="16"/>
              </w:rPr>
              <w:t>NA</w:t>
            </w:r>
          </w:p>
        </w:tc>
      </w:tr>
      <w:tr w:rsidR="00296493" w:rsidRPr="00261B7A" w14:paraId="079BAE00" w14:textId="77777777" w:rsidTr="009B5E7C">
        <w:tc>
          <w:tcPr>
            <w:tcW w:w="2410" w:type="dxa"/>
            <w:tcBorders>
              <w:top w:val="nil"/>
              <w:left w:val="nil"/>
              <w:bottom w:val="single" w:sz="4" w:space="0" w:color="1B556B"/>
              <w:right w:val="nil"/>
            </w:tcBorders>
          </w:tcPr>
          <w:p w14:paraId="6E4DD10C" w14:textId="77777777" w:rsidR="00296493" w:rsidRPr="00261B7A" w:rsidRDefault="00296493" w:rsidP="00501B0F">
            <w:pPr>
              <w:pStyle w:val="TableText"/>
              <w:keepNext/>
              <w:ind w:left="284" w:hanging="284"/>
              <w:rPr>
                <w:rFonts w:cs="Calibri"/>
                <w:szCs w:val="16"/>
              </w:rPr>
            </w:pPr>
            <w:r w:rsidRPr="00261B7A">
              <w:rPr>
                <w:rFonts w:cs="Calibri"/>
                <w:szCs w:val="16"/>
              </w:rPr>
              <w:t xml:space="preserve">(d) </w:t>
            </w:r>
            <w:r w:rsidRPr="00261B7A">
              <w:rPr>
                <w:rFonts w:cs="Calibri"/>
                <w:szCs w:val="16"/>
              </w:rPr>
              <w:tab/>
              <w:t>Reports: downloadable electronic versions of all publicly available documentation relating to the project, including proposals, monitoring, verification and issuance of ERUs, where relevant, subject to the confidentiality provisions in decision 9/CMP.1.</w:t>
            </w:r>
          </w:p>
        </w:tc>
        <w:tc>
          <w:tcPr>
            <w:tcW w:w="2438" w:type="dxa"/>
            <w:tcBorders>
              <w:top w:val="nil"/>
              <w:left w:val="nil"/>
              <w:bottom w:val="single" w:sz="4" w:space="0" w:color="1B556B"/>
              <w:right w:val="nil"/>
            </w:tcBorders>
          </w:tcPr>
          <w:p w14:paraId="3A59B883" w14:textId="77777777" w:rsidR="00296493" w:rsidRPr="00261B7A" w:rsidRDefault="00296493" w:rsidP="00501B0F">
            <w:pPr>
              <w:pStyle w:val="TableText"/>
              <w:spacing w:after="0"/>
              <w:rPr>
                <w:rFonts w:cs="Calibri"/>
                <w:szCs w:val="16"/>
              </w:rPr>
            </w:pPr>
            <w:r w:rsidRPr="00261B7A">
              <w:rPr>
                <w:rFonts w:cs="Calibri"/>
                <w:szCs w:val="16"/>
              </w:rPr>
              <w:t xml:space="preserve">Partial – some of this information is published on the UNFCCC’s website for JI projects at </w:t>
            </w:r>
            <w:hyperlink r:id="rId296" w:history="1">
              <w:r w:rsidRPr="00261B7A">
                <w:rPr>
                  <w:rStyle w:val="Hyperlink"/>
                  <w:rFonts w:cs="Calibri"/>
                  <w:szCs w:val="16"/>
                </w:rPr>
                <w:t>https://ji.unfccc.int/JI_Parties/DB/E48QQ342M7VSOFWEI6MTBKVVF9NFAM/viewDFP</w:t>
              </w:r>
            </w:hyperlink>
            <w:r w:rsidRPr="00261B7A">
              <w:rPr>
                <w:rFonts w:cs="Calibri"/>
                <w:szCs w:val="16"/>
              </w:rPr>
              <w:t xml:space="preserve"> </w:t>
            </w:r>
          </w:p>
          <w:p w14:paraId="1F085CDF" w14:textId="77777777" w:rsidR="00296493" w:rsidRPr="00261B7A" w:rsidRDefault="00296493" w:rsidP="00501B0F">
            <w:pPr>
              <w:pStyle w:val="TableText"/>
              <w:spacing w:after="0"/>
              <w:rPr>
                <w:rFonts w:cs="Calibri"/>
                <w:szCs w:val="16"/>
              </w:rPr>
            </w:pPr>
            <w:r w:rsidRPr="00261B7A">
              <w:rPr>
                <w:rFonts w:cs="Calibri"/>
                <w:szCs w:val="16"/>
              </w:rPr>
              <w:t>This provides a link to the project documentation on the UNFCCC site and is not replicated on the New Zealand’s national registry website.</w:t>
            </w:r>
          </w:p>
          <w:p w14:paraId="1EDFA457" w14:textId="77777777" w:rsidR="00296493" w:rsidRPr="00261B7A" w:rsidRDefault="00296493" w:rsidP="00501B0F">
            <w:pPr>
              <w:pStyle w:val="TableText"/>
              <w:rPr>
                <w:rFonts w:cs="Calibri"/>
                <w:szCs w:val="16"/>
              </w:rPr>
            </w:pPr>
            <w:r w:rsidRPr="00261B7A">
              <w:rPr>
                <w:rFonts w:cs="Calibri"/>
                <w:szCs w:val="16"/>
              </w:rPr>
              <w:t>Project proposals are not included as they contain financial information that is considered to be commercially sensitive and confidential.</w:t>
            </w:r>
          </w:p>
        </w:tc>
        <w:tc>
          <w:tcPr>
            <w:tcW w:w="1985" w:type="dxa"/>
            <w:tcBorders>
              <w:top w:val="nil"/>
              <w:left w:val="nil"/>
              <w:bottom w:val="single" w:sz="4" w:space="0" w:color="1B556B"/>
              <w:right w:val="nil"/>
            </w:tcBorders>
          </w:tcPr>
          <w:p w14:paraId="04B06278" w14:textId="77777777" w:rsidR="00296493" w:rsidRPr="00261B7A" w:rsidRDefault="00296493" w:rsidP="00501B0F">
            <w:pPr>
              <w:pStyle w:val="TableText"/>
              <w:rPr>
                <w:rFonts w:cs="Calibri"/>
                <w:szCs w:val="16"/>
              </w:rPr>
            </w:pPr>
            <w:r w:rsidRPr="00261B7A">
              <w:rPr>
                <w:rFonts w:cs="Calibri"/>
                <w:szCs w:val="16"/>
              </w:rPr>
              <w:t>This information becomes publicly available once New Zealand gives its approval to the JI project. The information is then updated when necessary and annual reports are added annually.</w:t>
            </w:r>
          </w:p>
        </w:tc>
        <w:tc>
          <w:tcPr>
            <w:tcW w:w="1899" w:type="dxa"/>
            <w:tcBorders>
              <w:top w:val="nil"/>
              <w:left w:val="nil"/>
              <w:bottom w:val="single" w:sz="4" w:space="0" w:color="1B556B"/>
              <w:right w:val="nil"/>
            </w:tcBorders>
          </w:tcPr>
          <w:p w14:paraId="7DBE464B" w14:textId="77777777" w:rsidR="00296493" w:rsidRPr="00261B7A" w:rsidRDefault="00296493" w:rsidP="00501B0F">
            <w:pPr>
              <w:pStyle w:val="TableText"/>
              <w:rPr>
                <w:rFonts w:cs="Calibri"/>
                <w:szCs w:val="16"/>
              </w:rPr>
            </w:pPr>
            <w:r w:rsidRPr="00261B7A">
              <w:rPr>
                <w:rFonts w:cs="Calibri"/>
                <w:szCs w:val="16"/>
              </w:rPr>
              <w:t>NA</w:t>
            </w:r>
          </w:p>
        </w:tc>
      </w:tr>
      <w:tr w:rsidR="00296493" w:rsidRPr="00261B7A" w14:paraId="4CEF7755" w14:textId="77777777" w:rsidTr="00501B0F">
        <w:tc>
          <w:tcPr>
            <w:tcW w:w="2410" w:type="dxa"/>
            <w:tcBorders>
              <w:top w:val="single" w:sz="4" w:space="0" w:color="1B556B"/>
              <w:left w:val="nil"/>
              <w:bottom w:val="nil"/>
              <w:right w:val="nil"/>
            </w:tcBorders>
          </w:tcPr>
          <w:p w14:paraId="7A6EE820" w14:textId="77777777" w:rsidR="00296493" w:rsidRPr="00261B7A" w:rsidRDefault="00296493" w:rsidP="00501B0F">
            <w:pPr>
              <w:pStyle w:val="TableText"/>
              <w:spacing w:after="0"/>
              <w:ind w:left="284" w:hanging="284"/>
              <w:rPr>
                <w:rFonts w:cs="Calibri"/>
                <w:szCs w:val="16"/>
              </w:rPr>
            </w:pPr>
            <w:r w:rsidRPr="00261B7A">
              <w:rPr>
                <w:rFonts w:cs="Calibri"/>
                <w:szCs w:val="16"/>
              </w:rPr>
              <w:t xml:space="preserve">47. </w:t>
            </w:r>
            <w:r w:rsidRPr="00261B7A">
              <w:rPr>
                <w:rFonts w:cs="Calibri"/>
                <w:szCs w:val="16"/>
              </w:rPr>
              <w:tab/>
              <w:t>The information referred to in paragraph 44 shall include the following holding and transaction information relevant to the national registry, by serial number, for each calendar year (defined according to Greenwich Mean Time):</w:t>
            </w:r>
          </w:p>
        </w:tc>
        <w:tc>
          <w:tcPr>
            <w:tcW w:w="2438" w:type="dxa"/>
            <w:gridSpan w:val="2"/>
            <w:tcBorders>
              <w:top w:val="single" w:sz="4" w:space="0" w:color="1B556B"/>
              <w:left w:val="nil"/>
              <w:bottom w:val="nil"/>
              <w:right w:val="nil"/>
            </w:tcBorders>
          </w:tcPr>
          <w:p w14:paraId="0BCC0153" w14:textId="77777777" w:rsidR="00296493" w:rsidRPr="00261B7A" w:rsidRDefault="00296493" w:rsidP="00501B0F">
            <w:pPr>
              <w:pStyle w:val="TableText"/>
              <w:rPr>
                <w:rFonts w:cs="Calibri"/>
                <w:szCs w:val="16"/>
              </w:rPr>
            </w:pPr>
          </w:p>
        </w:tc>
        <w:tc>
          <w:tcPr>
            <w:tcW w:w="1899" w:type="dxa"/>
            <w:tcBorders>
              <w:top w:val="single" w:sz="4" w:space="0" w:color="1B556B"/>
              <w:left w:val="nil"/>
              <w:bottom w:val="nil"/>
              <w:right w:val="nil"/>
            </w:tcBorders>
          </w:tcPr>
          <w:p w14:paraId="2C5B7DA2" w14:textId="77777777" w:rsidR="00296493" w:rsidRPr="00261B7A" w:rsidRDefault="00296493" w:rsidP="00501B0F">
            <w:pPr>
              <w:pStyle w:val="TableText"/>
              <w:rPr>
                <w:rFonts w:cs="Calibri"/>
                <w:szCs w:val="16"/>
              </w:rPr>
            </w:pPr>
          </w:p>
        </w:tc>
      </w:tr>
      <w:tr w:rsidR="00296493" w:rsidRPr="00261B7A" w14:paraId="697EC845" w14:textId="77777777" w:rsidTr="00501B0F">
        <w:tc>
          <w:tcPr>
            <w:tcW w:w="2410" w:type="dxa"/>
            <w:tcBorders>
              <w:top w:val="nil"/>
              <w:left w:val="nil"/>
              <w:bottom w:val="nil"/>
              <w:right w:val="nil"/>
            </w:tcBorders>
          </w:tcPr>
          <w:p w14:paraId="19C1DCA9" w14:textId="77777777" w:rsidR="00296493" w:rsidRPr="00261B7A" w:rsidRDefault="00296493" w:rsidP="00501B0F">
            <w:pPr>
              <w:pStyle w:val="TableText"/>
              <w:ind w:left="284" w:hanging="284"/>
              <w:rPr>
                <w:rFonts w:cs="Calibri"/>
                <w:szCs w:val="16"/>
              </w:rPr>
            </w:pPr>
            <w:r w:rsidRPr="00261B7A">
              <w:rPr>
                <w:rFonts w:cs="Calibri"/>
                <w:szCs w:val="16"/>
              </w:rPr>
              <w:t xml:space="preserve">(a) </w:t>
            </w:r>
            <w:r w:rsidRPr="00261B7A">
              <w:rPr>
                <w:rFonts w:cs="Calibri"/>
                <w:szCs w:val="16"/>
              </w:rPr>
              <w:tab/>
              <w:t>The total quantity of ERUs, CERs, AAUs and RMUs in each account at the beginning of the year.</w:t>
            </w:r>
          </w:p>
        </w:tc>
        <w:tc>
          <w:tcPr>
            <w:tcW w:w="2438" w:type="dxa"/>
            <w:tcBorders>
              <w:top w:val="nil"/>
              <w:left w:val="nil"/>
              <w:bottom w:val="nil"/>
              <w:right w:val="nil"/>
            </w:tcBorders>
          </w:tcPr>
          <w:p w14:paraId="3D3AFEA2" w14:textId="77777777" w:rsidR="00296493" w:rsidRPr="00261B7A" w:rsidRDefault="00296493" w:rsidP="00501B0F">
            <w:pPr>
              <w:pStyle w:val="TableText"/>
              <w:spacing w:after="0"/>
              <w:rPr>
                <w:rFonts w:cs="Calibri"/>
                <w:szCs w:val="16"/>
              </w:rPr>
            </w:pPr>
            <w:r w:rsidRPr="00261B7A">
              <w:rPr>
                <w:rFonts w:cs="Calibri"/>
                <w:szCs w:val="16"/>
              </w:rPr>
              <w:t>Partial – aggregate unit holdings of ERUs, CERs, AAUs and RMUs for the previous calendar year are disclosed by 31 January of each year (refer Public information and reports: Holding &amp; transaction summary).</w:t>
            </w:r>
          </w:p>
          <w:p w14:paraId="1B477262" w14:textId="77777777" w:rsidR="00296493" w:rsidRPr="00261B7A" w:rsidRDefault="00296493" w:rsidP="00501B0F">
            <w:pPr>
              <w:pStyle w:val="TableText"/>
              <w:spacing w:after="0"/>
              <w:rPr>
                <w:rFonts w:cs="Calibri"/>
                <w:szCs w:val="16"/>
              </w:rPr>
            </w:pPr>
            <w:r w:rsidRPr="00261B7A">
              <w:rPr>
                <w:rFonts w:cs="Calibri"/>
                <w:szCs w:val="16"/>
              </w:rPr>
              <w:t>Total quantity of unit holdings in each account within the most recent calendar year is considered to be confidential information. Therefore the total quantity of unit holdings in each account provided consists of only those completed more than one year in the past.</w:t>
            </w:r>
          </w:p>
          <w:p w14:paraId="1EFBD1CD" w14:textId="77777777" w:rsidR="00296493" w:rsidRPr="00261B7A" w:rsidRDefault="00296493" w:rsidP="00501B0F">
            <w:pPr>
              <w:pStyle w:val="TableText"/>
              <w:rPr>
                <w:rFonts w:cs="Calibri"/>
                <w:szCs w:val="16"/>
              </w:rPr>
            </w:pPr>
            <w:r w:rsidRPr="00261B7A">
              <w:rPr>
                <w:rFonts w:cs="Calibri"/>
                <w:szCs w:val="16"/>
              </w:rPr>
              <w:t>(Refer Public information and reports: Kyoto unit holdings by account. Use Search Criteria to find information about more than one year in the past.)</w:t>
            </w:r>
          </w:p>
        </w:tc>
        <w:tc>
          <w:tcPr>
            <w:tcW w:w="1985" w:type="dxa"/>
            <w:tcBorders>
              <w:top w:val="nil"/>
              <w:left w:val="nil"/>
              <w:bottom w:val="nil"/>
              <w:right w:val="nil"/>
            </w:tcBorders>
          </w:tcPr>
          <w:p w14:paraId="3DAC61CA" w14:textId="77777777" w:rsidR="00296493" w:rsidRPr="00261B7A" w:rsidRDefault="00296493" w:rsidP="00501B0F">
            <w:pPr>
              <w:pStyle w:val="TableText"/>
              <w:rPr>
                <w:rFonts w:cs="Calibri"/>
                <w:szCs w:val="16"/>
              </w:rPr>
            </w:pPr>
            <w:r w:rsidRPr="00261B7A">
              <w:rPr>
                <w:rFonts w:cs="Calibri"/>
                <w:szCs w:val="16"/>
              </w:rPr>
              <w:t>Annually by 31 January for the previous calendar year 1 January for the beginning of the previous calendar year</w:t>
            </w:r>
          </w:p>
        </w:tc>
        <w:tc>
          <w:tcPr>
            <w:tcW w:w="1899" w:type="dxa"/>
            <w:tcBorders>
              <w:top w:val="nil"/>
              <w:left w:val="nil"/>
              <w:bottom w:val="nil"/>
              <w:right w:val="nil"/>
            </w:tcBorders>
          </w:tcPr>
          <w:p w14:paraId="193064B1" w14:textId="77777777" w:rsidR="00296493" w:rsidRPr="00261B7A" w:rsidRDefault="00296493" w:rsidP="00501B0F">
            <w:pPr>
              <w:pStyle w:val="TableText"/>
              <w:spacing w:after="0"/>
              <w:rPr>
                <w:rFonts w:cs="Calibri"/>
                <w:szCs w:val="16"/>
              </w:rPr>
            </w:pPr>
            <w:r w:rsidRPr="00261B7A">
              <w:rPr>
                <w:rFonts w:cs="Calibri"/>
                <w:szCs w:val="16"/>
              </w:rPr>
              <w:t xml:space="preserve">Section 27(2) of the Climate Change Response Act 2002 requires total holdings of AAUs, ERUs, CERs, ICERs, tCERs and RMUs to be publicly available by 31 January of each year for the previous calendar year. </w:t>
            </w:r>
          </w:p>
          <w:p w14:paraId="709399C3" w14:textId="77777777" w:rsidR="00296493" w:rsidRPr="00261B7A" w:rsidRDefault="00296493" w:rsidP="00501B0F">
            <w:pPr>
              <w:pStyle w:val="TableText"/>
              <w:rPr>
                <w:rFonts w:cs="Calibri"/>
                <w:szCs w:val="16"/>
              </w:rPr>
            </w:pPr>
            <w:r w:rsidRPr="00261B7A">
              <w:rPr>
                <w:rFonts w:cs="Calibri"/>
                <w:szCs w:val="16"/>
              </w:rPr>
              <w:t xml:space="preserve">Section 27(3) of the Climate Change Response Act 2002 only requires holdings of Kyoto units by each holding account for the beginning of the previous calendar year to be made publicly available. </w:t>
            </w:r>
          </w:p>
        </w:tc>
      </w:tr>
      <w:tr w:rsidR="00296493" w:rsidRPr="00261B7A" w14:paraId="440A5821" w14:textId="77777777" w:rsidTr="00501B0F">
        <w:tc>
          <w:tcPr>
            <w:tcW w:w="2410" w:type="dxa"/>
            <w:tcBorders>
              <w:top w:val="nil"/>
              <w:left w:val="nil"/>
              <w:bottom w:val="nil"/>
              <w:right w:val="nil"/>
            </w:tcBorders>
          </w:tcPr>
          <w:p w14:paraId="3FD5F7C7" w14:textId="77777777" w:rsidR="00296493" w:rsidRPr="00261B7A" w:rsidRDefault="00296493" w:rsidP="00501B0F">
            <w:pPr>
              <w:pStyle w:val="TableText"/>
              <w:spacing w:before="50" w:after="0"/>
              <w:ind w:left="284" w:hanging="284"/>
              <w:rPr>
                <w:rFonts w:cs="Calibri"/>
                <w:szCs w:val="16"/>
              </w:rPr>
            </w:pPr>
            <w:r w:rsidRPr="00261B7A">
              <w:rPr>
                <w:rFonts w:cs="Calibri"/>
                <w:szCs w:val="16"/>
              </w:rPr>
              <w:t xml:space="preserve">(b) </w:t>
            </w:r>
            <w:r w:rsidRPr="00261B7A">
              <w:rPr>
                <w:rFonts w:cs="Calibri"/>
                <w:szCs w:val="16"/>
              </w:rPr>
              <w:tab/>
              <w:t>The total quantity of AAUs issued on the basis of the assigned amount pursuant to Article 3, paragraphs 7 and 8.</w:t>
            </w:r>
          </w:p>
        </w:tc>
        <w:tc>
          <w:tcPr>
            <w:tcW w:w="2438" w:type="dxa"/>
            <w:tcBorders>
              <w:top w:val="nil"/>
              <w:left w:val="nil"/>
              <w:bottom w:val="nil"/>
              <w:right w:val="nil"/>
            </w:tcBorders>
          </w:tcPr>
          <w:p w14:paraId="0E8F58AD" w14:textId="77777777" w:rsidR="00296493" w:rsidRPr="00261B7A" w:rsidRDefault="00296493" w:rsidP="00501B0F">
            <w:pPr>
              <w:pStyle w:val="TableText"/>
              <w:spacing w:before="50" w:after="50"/>
              <w:rPr>
                <w:rFonts w:cs="Calibri"/>
                <w:szCs w:val="16"/>
              </w:rPr>
            </w:pPr>
            <w:r w:rsidRPr="00261B7A">
              <w:rPr>
                <w:rFonts w:cs="Calibri"/>
                <w:szCs w:val="16"/>
              </w:rPr>
              <w:t>Yes (refer Public information and reports: Holding &amp; transaction summary).</w:t>
            </w:r>
          </w:p>
        </w:tc>
        <w:tc>
          <w:tcPr>
            <w:tcW w:w="1985" w:type="dxa"/>
            <w:tcBorders>
              <w:top w:val="nil"/>
              <w:left w:val="nil"/>
              <w:bottom w:val="nil"/>
              <w:right w:val="nil"/>
            </w:tcBorders>
          </w:tcPr>
          <w:p w14:paraId="2C498DFC" w14:textId="77777777" w:rsidR="00296493" w:rsidRPr="00261B7A" w:rsidRDefault="00296493" w:rsidP="00501B0F">
            <w:pPr>
              <w:pStyle w:val="TableText"/>
              <w:spacing w:before="50" w:after="50"/>
              <w:rPr>
                <w:rFonts w:cs="Calibri"/>
                <w:szCs w:val="16"/>
              </w:rPr>
            </w:pPr>
            <w:r w:rsidRPr="00261B7A">
              <w:rPr>
                <w:rFonts w:cs="Calibri"/>
                <w:szCs w:val="16"/>
              </w:rPr>
              <w:t>Annually by 31 January for the previous calendar year</w:t>
            </w:r>
          </w:p>
        </w:tc>
        <w:tc>
          <w:tcPr>
            <w:tcW w:w="1899" w:type="dxa"/>
            <w:tcBorders>
              <w:top w:val="nil"/>
              <w:left w:val="nil"/>
              <w:bottom w:val="nil"/>
              <w:right w:val="nil"/>
            </w:tcBorders>
          </w:tcPr>
          <w:p w14:paraId="1CD8CBAC" w14:textId="77777777" w:rsidR="00296493" w:rsidRPr="00261B7A" w:rsidRDefault="00296493" w:rsidP="00501B0F">
            <w:pPr>
              <w:pStyle w:val="TableText"/>
              <w:spacing w:before="50" w:after="50"/>
              <w:rPr>
                <w:rFonts w:cs="Calibri"/>
                <w:szCs w:val="16"/>
              </w:rPr>
            </w:pPr>
            <w:r w:rsidRPr="00261B7A">
              <w:rPr>
                <w:rFonts w:cs="Calibri"/>
                <w:szCs w:val="16"/>
              </w:rPr>
              <w:t>NA</w:t>
            </w:r>
          </w:p>
        </w:tc>
      </w:tr>
      <w:tr w:rsidR="00296493" w:rsidRPr="00261B7A" w14:paraId="300811E7" w14:textId="77777777" w:rsidTr="00501B0F">
        <w:tc>
          <w:tcPr>
            <w:tcW w:w="2410" w:type="dxa"/>
            <w:tcBorders>
              <w:top w:val="nil"/>
              <w:left w:val="nil"/>
              <w:bottom w:val="nil"/>
              <w:right w:val="nil"/>
            </w:tcBorders>
          </w:tcPr>
          <w:p w14:paraId="5BE3D13D" w14:textId="77777777" w:rsidR="00296493" w:rsidRPr="00261B7A" w:rsidRDefault="00296493" w:rsidP="00501B0F">
            <w:pPr>
              <w:pStyle w:val="TableText"/>
              <w:spacing w:before="50" w:after="50"/>
              <w:ind w:left="284" w:hanging="284"/>
              <w:rPr>
                <w:rFonts w:cs="Calibri"/>
                <w:szCs w:val="16"/>
              </w:rPr>
            </w:pPr>
            <w:r w:rsidRPr="00261B7A">
              <w:rPr>
                <w:rFonts w:cs="Calibri"/>
                <w:szCs w:val="16"/>
              </w:rPr>
              <w:t xml:space="preserve">(c) </w:t>
            </w:r>
            <w:r w:rsidRPr="00261B7A">
              <w:rPr>
                <w:rFonts w:cs="Calibri"/>
                <w:szCs w:val="16"/>
              </w:rPr>
              <w:tab/>
              <w:t>The total quantity of ERUs issued on the basis of Article 6 projects.</w:t>
            </w:r>
          </w:p>
        </w:tc>
        <w:tc>
          <w:tcPr>
            <w:tcW w:w="2438" w:type="dxa"/>
            <w:tcBorders>
              <w:top w:val="nil"/>
              <w:left w:val="nil"/>
              <w:bottom w:val="nil"/>
              <w:right w:val="nil"/>
            </w:tcBorders>
          </w:tcPr>
          <w:p w14:paraId="4DDEF68A" w14:textId="77777777" w:rsidR="00296493" w:rsidRPr="00261B7A" w:rsidRDefault="00296493" w:rsidP="00501B0F">
            <w:pPr>
              <w:pStyle w:val="TableText"/>
              <w:spacing w:before="50" w:after="0"/>
              <w:rPr>
                <w:rFonts w:cs="Calibri"/>
                <w:szCs w:val="16"/>
              </w:rPr>
            </w:pPr>
            <w:r w:rsidRPr="00261B7A">
              <w:rPr>
                <w:rFonts w:cs="Calibri"/>
                <w:szCs w:val="16"/>
              </w:rPr>
              <w:t>Yes (refer Public information and reports: Holding &amp; transaction summary – Units converted to).</w:t>
            </w:r>
          </w:p>
        </w:tc>
        <w:tc>
          <w:tcPr>
            <w:tcW w:w="1985" w:type="dxa"/>
            <w:tcBorders>
              <w:top w:val="nil"/>
              <w:left w:val="nil"/>
              <w:bottom w:val="nil"/>
              <w:right w:val="nil"/>
            </w:tcBorders>
          </w:tcPr>
          <w:p w14:paraId="7DA4DCC1" w14:textId="77777777" w:rsidR="00296493" w:rsidRPr="00261B7A" w:rsidRDefault="00296493" w:rsidP="00501B0F">
            <w:pPr>
              <w:pStyle w:val="TableText"/>
              <w:spacing w:before="50" w:after="50"/>
              <w:rPr>
                <w:rFonts w:cs="Calibri"/>
                <w:szCs w:val="16"/>
              </w:rPr>
            </w:pPr>
            <w:r w:rsidRPr="00261B7A">
              <w:rPr>
                <w:rFonts w:cs="Calibri"/>
                <w:szCs w:val="16"/>
              </w:rPr>
              <w:t>Annually by 31 January for the previous calendar year</w:t>
            </w:r>
          </w:p>
        </w:tc>
        <w:tc>
          <w:tcPr>
            <w:tcW w:w="1899" w:type="dxa"/>
            <w:tcBorders>
              <w:top w:val="nil"/>
              <w:left w:val="nil"/>
              <w:bottom w:val="nil"/>
              <w:right w:val="nil"/>
            </w:tcBorders>
          </w:tcPr>
          <w:p w14:paraId="38B5C309" w14:textId="77777777" w:rsidR="00296493" w:rsidRPr="00261B7A" w:rsidRDefault="00296493" w:rsidP="00501B0F">
            <w:pPr>
              <w:pStyle w:val="TableText"/>
              <w:spacing w:before="50" w:after="50"/>
              <w:rPr>
                <w:rFonts w:cs="Calibri"/>
                <w:szCs w:val="16"/>
              </w:rPr>
            </w:pPr>
            <w:r w:rsidRPr="00261B7A">
              <w:rPr>
                <w:rFonts w:cs="Calibri"/>
                <w:szCs w:val="16"/>
              </w:rPr>
              <w:t>NA</w:t>
            </w:r>
          </w:p>
        </w:tc>
      </w:tr>
      <w:tr w:rsidR="00296493" w:rsidRPr="00261B7A" w14:paraId="23042CF6" w14:textId="77777777" w:rsidTr="00501B0F">
        <w:tc>
          <w:tcPr>
            <w:tcW w:w="2410" w:type="dxa"/>
            <w:tcBorders>
              <w:top w:val="nil"/>
              <w:left w:val="nil"/>
              <w:bottom w:val="nil"/>
              <w:right w:val="nil"/>
            </w:tcBorders>
          </w:tcPr>
          <w:p w14:paraId="40A39865" w14:textId="77777777" w:rsidR="00296493" w:rsidRPr="00261B7A" w:rsidRDefault="00296493" w:rsidP="00501B0F">
            <w:pPr>
              <w:pStyle w:val="TableText"/>
              <w:ind w:left="284" w:hanging="284"/>
              <w:rPr>
                <w:rFonts w:cs="Calibri"/>
                <w:szCs w:val="16"/>
              </w:rPr>
            </w:pPr>
            <w:r w:rsidRPr="00261B7A">
              <w:rPr>
                <w:rFonts w:cs="Calibri"/>
                <w:szCs w:val="16"/>
              </w:rPr>
              <w:t xml:space="preserve">(d) </w:t>
            </w:r>
            <w:r w:rsidRPr="00261B7A">
              <w:rPr>
                <w:rFonts w:cs="Calibri"/>
                <w:szCs w:val="16"/>
              </w:rPr>
              <w:tab/>
              <w:t>The total quantity of ERUs, CERs, AAUs and RMUs acquired from other registries and the identity of the transferring accounts and registries.</w:t>
            </w:r>
          </w:p>
        </w:tc>
        <w:tc>
          <w:tcPr>
            <w:tcW w:w="2438" w:type="dxa"/>
            <w:tcBorders>
              <w:top w:val="nil"/>
              <w:left w:val="nil"/>
              <w:bottom w:val="nil"/>
              <w:right w:val="nil"/>
            </w:tcBorders>
          </w:tcPr>
          <w:p w14:paraId="5F1A2D7C" w14:textId="617CD789" w:rsidR="00296493" w:rsidRPr="00261B7A" w:rsidRDefault="00296493" w:rsidP="00501B0F">
            <w:pPr>
              <w:pStyle w:val="TableText"/>
              <w:spacing w:after="0"/>
              <w:rPr>
                <w:rFonts w:cs="Calibri"/>
                <w:szCs w:val="16"/>
              </w:rPr>
            </w:pPr>
            <w:r w:rsidRPr="00261B7A">
              <w:rPr>
                <w:rFonts w:cs="Calibri"/>
                <w:szCs w:val="16"/>
              </w:rPr>
              <w:t>Partial – the total quantity of ERUs, CERs, AAUs and RMUs acquired from other registries, and the identity of the registries is publicly available by 31 January for the previous calendar year (refer Public information and reports: Incoming transactions by</w:t>
            </w:r>
            <w:r w:rsidR="00E560CE" w:rsidRPr="00261B7A">
              <w:rPr>
                <w:rFonts w:cs="Calibri"/>
                <w:szCs w:val="16"/>
              </w:rPr>
              <w:t> </w:t>
            </w:r>
            <w:r w:rsidRPr="00261B7A">
              <w:rPr>
                <w:rFonts w:cs="Calibri"/>
                <w:szCs w:val="16"/>
              </w:rPr>
              <w:t xml:space="preserve">year). </w:t>
            </w:r>
          </w:p>
          <w:p w14:paraId="0A4FE33D" w14:textId="77777777" w:rsidR="00296493" w:rsidRPr="00261B7A" w:rsidRDefault="00296493" w:rsidP="00501B0F">
            <w:pPr>
              <w:pStyle w:val="TableText"/>
              <w:rPr>
                <w:rFonts w:cs="Calibri"/>
                <w:szCs w:val="16"/>
              </w:rPr>
            </w:pPr>
            <w:r w:rsidRPr="00261B7A">
              <w:rPr>
                <w:rFonts w:cs="Calibri"/>
                <w:szCs w:val="16"/>
              </w:rPr>
              <w:t>The identity of the individual transferring accounts is not available as it is considered to be confidential information.</w:t>
            </w:r>
          </w:p>
        </w:tc>
        <w:tc>
          <w:tcPr>
            <w:tcW w:w="1985" w:type="dxa"/>
            <w:tcBorders>
              <w:top w:val="nil"/>
              <w:left w:val="nil"/>
              <w:bottom w:val="nil"/>
              <w:right w:val="nil"/>
            </w:tcBorders>
          </w:tcPr>
          <w:p w14:paraId="35CD51EF" w14:textId="77777777" w:rsidR="00296493" w:rsidRPr="00261B7A" w:rsidRDefault="00296493" w:rsidP="00501B0F">
            <w:pPr>
              <w:pStyle w:val="TableText"/>
              <w:rPr>
                <w:rFonts w:cs="Calibri"/>
                <w:szCs w:val="16"/>
              </w:rPr>
            </w:pPr>
            <w:r w:rsidRPr="00261B7A">
              <w:rPr>
                <w:rFonts w:cs="Calibri"/>
                <w:szCs w:val="16"/>
              </w:rPr>
              <w:t>Annually by 31 January for the previous calendar year</w:t>
            </w:r>
          </w:p>
        </w:tc>
        <w:tc>
          <w:tcPr>
            <w:tcW w:w="1899" w:type="dxa"/>
            <w:tcBorders>
              <w:top w:val="nil"/>
              <w:left w:val="nil"/>
              <w:bottom w:val="nil"/>
              <w:right w:val="nil"/>
            </w:tcBorders>
          </w:tcPr>
          <w:p w14:paraId="20CD0F33" w14:textId="77777777" w:rsidR="00296493" w:rsidRPr="00261B7A" w:rsidRDefault="00296493" w:rsidP="00501B0F">
            <w:pPr>
              <w:pStyle w:val="TableText"/>
              <w:rPr>
                <w:rFonts w:cs="Calibri"/>
                <w:szCs w:val="16"/>
              </w:rPr>
            </w:pPr>
            <w:r w:rsidRPr="00261B7A">
              <w:rPr>
                <w:rFonts w:cs="Calibri"/>
                <w:szCs w:val="16"/>
              </w:rPr>
              <w:t>NA</w:t>
            </w:r>
          </w:p>
          <w:p w14:paraId="75CCD50A" w14:textId="77777777" w:rsidR="00296493" w:rsidRPr="00261B7A" w:rsidRDefault="00296493" w:rsidP="00501B0F">
            <w:pPr>
              <w:pStyle w:val="TableText"/>
              <w:spacing w:after="40"/>
              <w:rPr>
                <w:rFonts w:cs="Calibri"/>
                <w:szCs w:val="16"/>
              </w:rPr>
            </w:pPr>
            <w:r w:rsidRPr="00261B7A">
              <w:rPr>
                <w:rFonts w:cs="Calibri"/>
                <w:szCs w:val="16"/>
              </w:rPr>
              <w:t>Section 27(j) of the Climate Change Response Act 2002 requires that only the following be made publicly available:</w:t>
            </w:r>
          </w:p>
          <w:p w14:paraId="4E15E5B4" w14:textId="77777777" w:rsidR="00296493" w:rsidRPr="00261B7A" w:rsidRDefault="00296493" w:rsidP="00501B0F">
            <w:pPr>
              <w:pStyle w:val="TableBullet"/>
              <w:tabs>
                <w:tab w:val="clear" w:pos="284"/>
              </w:tabs>
              <w:spacing w:before="0" w:after="40"/>
              <w:ind w:left="170" w:hanging="170"/>
              <w:rPr>
                <w:rFonts w:cs="Calibri"/>
              </w:rPr>
            </w:pPr>
            <w:r w:rsidRPr="00261B7A">
              <w:rPr>
                <w:rFonts w:cs="Calibri"/>
              </w:rPr>
              <w:t>total quantity of units transferred</w:t>
            </w:r>
          </w:p>
          <w:p w14:paraId="391A1B02" w14:textId="77777777" w:rsidR="00296493" w:rsidRPr="00261B7A" w:rsidRDefault="00296493" w:rsidP="00501B0F">
            <w:pPr>
              <w:pStyle w:val="TableBullet"/>
              <w:tabs>
                <w:tab w:val="clear" w:pos="284"/>
              </w:tabs>
              <w:spacing w:before="0" w:after="40"/>
              <w:ind w:left="170" w:hanging="170"/>
              <w:rPr>
                <w:rFonts w:cs="Calibri"/>
              </w:rPr>
            </w:pPr>
            <w:r w:rsidRPr="00261B7A">
              <w:rPr>
                <w:rFonts w:cs="Calibri"/>
              </w:rPr>
              <w:t>total quantity and type of unit transferred</w:t>
            </w:r>
          </w:p>
          <w:p w14:paraId="398AF5CB" w14:textId="77777777" w:rsidR="00296493" w:rsidRPr="00261B7A" w:rsidRDefault="00296493" w:rsidP="00501B0F">
            <w:pPr>
              <w:pStyle w:val="TableBullet"/>
              <w:tabs>
                <w:tab w:val="clear" w:pos="284"/>
              </w:tabs>
              <w:spacing w:before="0" w:after="40"/>
              <w:ind w:left="170" w:hanging="170"/>
              <w:rPr>
                <w:rFonts w:cs="Calibri"/>
              </w:rPr>
            </w:pPr>
            <w:r w:rsidRPr="00261B7A">
              <w:rPr>
                <w:rFonts w:cs="Calibri"/>
              </w:rPr>
              <w:t>the identity of the transferring overseas registries, including the total quantity of units transferred from each overseas registry and each type of unit transferred from each overseas registry.</w:t>
            </w:r>
          </w:p>
        </w:tc>
      </w:tr>
      <w:tr w:rsidR="00296493" w:rsidRPr="00261B7A" w14:paraId="31C47DC3" w14:textId="77777777" w:rsidTr="00501B0F">
        <w:tc>
          <w:tcPr>
            <w:tcW w:w="2410" w:type="dxa"/>
            <w:tcBorders>
              <w:top w:val="nil"/>
              <w:left w:val="nil"/>
              <w:bottom w:val="nil"/>
              <w:right w:val="nil"/>
            </w:tcBorders>
          </w:tcPr>
          <w:p w14:paraId="723DA664" w14:textId="77777777" w:rsidR="00296493" w:rsidRPr="00261B7A" w:rsidRDefault="00296493" w:rsidP="00501B0F">
            <w:pPr>
              <w:pStyle w:val="TableText"/>
              <w:spacing w:before="40" w:after="0"/>
              <w:ind w:left="284" w:hanging="284"/>
              <w:rPr>
                <w:rFonts w:cs="Calibri"/>
                <w:szCs w:val="16"/>
              </w:rPr>
            </w:pPr>
            <w:r w:rsidRPr="00261B7A">
              <w:rPr>
                <w:rFonts w:cs="Calibri"/>
                <w:szCs w:val="16"/>
              </w:rPr>
              <w:t xml:space="preserve">(e) </w:t>
            </w:r>
            <w:r w:rsidRPr="00261B7A">
              <w:rPr>
                <w:rFonts w:cs="Calibri"/>
                <w:szCs w:val="16"/>
              </w:rPr>
              <w:tab/>
              <w:t>The total quantity of RMUs issued on the basis of each activity under Article 3, paragraphs 3 and 4.</w:t>
            </w:r>
          </w:p>
        </w:tc>
        <w:tc>
          <w:tcPr>
            <w:tcW w:w="2438" w:type="dxa"/>
            <w:tcBorders>
              <w:top w:val="nil"/>
              <w:left w:val="nil"/>
              <w:bottom w:val="nil"/>
              <w:right w:val="nil"/>
            </w:tcBorders>
          </w:tcPr>
          <w:p w14:paraId="4225400A" w14:textId="77777777" w:rsidR="00296493" w:rsidRPr="00261B7A" w:rsidRDefault="00296493" w:rsidP="00501B0F">
            <w:pPr>
              <w:pStyle w:val="TableText"/>
              <w:spacing w:before="40" w:after="40"/>
              <w:rPr>
                <w:rFonts w:cs="Calibri"/>
                <w:szCs w:val="16"/>
              </w:rPr>
            </w:pPr>
            <w:r w:rsidRPr="00261B7A">
              <w:rPr>
                <w:rFonts w:cs="Calibri"/>
                <w:szCs w:val="16"/>
              </w:rPr>
              <w:t xml:space="preserve">Yes (refer Public information and reports: Holding &amp; transaction summary). </w:t>
            </w:r>
          </w:p>
        </w:tc>
        <w:tc>
          <w:tcPr>
            <w:tcW w:w="1985" w:type="dxa"/>
            <w:tcBorders>
              <w:top w:val="nil"/>
              <w:left w:val="nil"/>
              <w:bottom w:val="nil"/>
              <w:right w:val="nil"/>
            </w:tcBorders>
          </w:tcPr>
          <w:p w14:paraId="2A16A743" w14:textId="77777777" w:rsidR="00296493" w:rsidRPr="00261B7A" w:rsidRDefault="00296493" w:rsidP="00501B0F">
            <w:pPr>
              <w:pStyle w:val="TableText"/>
              <w:spacing w:before="40" w:after="40"/>
              <w:rPr>
                <w:rFonts w:cs="Calibri"/>
                <w:szCs w:val="16"/>
              </w:rPr>
            </w:pPr>
            <w:r w:rsidRPr="00261B7A">
              <w:rPr>
                <w:rFonts w:cs="Calibri"/>
                <w:szCs w:val="16"/>
              </w:rPr>
              <w:t>Annually by 31 January for the previous calendar year</w:t>
            </w:r>
          </w:p>
        </w:tc>
        <w:tc>
          <w:tcPr>
            <w:tcW w:w="1899" w:type="dxa"/>
            <w:tcBorders>
              <w:top w:val="nil"/>
              <w:left w:val="nil"/>
              <w:bottom w:val="nil"/>
              <w:right w:val="nil"/>
            </w:tcBorders>
          </w:tcPr>
          <w:p w14:paraId="421B70D5" w14:textId="77777777" w:rsidR="00296493" w:rsidRPr="00261B7A" w:rsidRDefault="00296493" w:rsidP="00501B0F">
            <w:pPr>
              <w:pStyle w:val="TableText"/>
              <w:spacing w:before="40" w:after="40"/>
              <w:rPr>
                <w:rFonts w:cs="Calibri"/>
                <w:szCs w:val="16"/>
              </w:rPr>
            </w:pPr>
            <w:r w:rsidRPr="00261B7A">
              <w:rPr>
                <w:rFonts w:cs="Calibri"/>
                <w:szCs w:val="16"/>
              </w:rPr>
              <w:t>NA</w:t>
            </w:r>
          </w:p>
        </w:tc>
      </w:tr>
      <w:tr w:rsidR="00296493" w:rsidRPr="00261B7A" w14:paraId="0E48B62D" w14:textId="77777777" w:rsidTr="00501B0F">
        <w:tc>
          <w:tcPr>
            <w:tcW w:w="2410" w:type="dxa"/>
            <w:tcBorders>
              <w:top w:val="nil"/>
              <w:left w:val="nil"/>
              <w:bottom w:val="nil"/>
              <w:right w:val="nil"/>
            </w:tcBorders>
          </w:tcPr>
          <w:p w14:paraId="5A196845" w14:textId="77777777" w:rsidR="00296493" w:rsidRPr="00261B7A" w:rsidRDefault="00296493" w:rsidP="00501B0F">
            <w:pPr>
              <w:pStyle w:val="TableText"/>
              <w:ind w:left="284" w:hanging="284"/>
              <w:rPr>
                <w:rFonts w:cs="Calibri"/>
                <w:szCs w:val="16"/>
              </w:rPr>
            </w:pPr>
            <w:r w:rsidRPr="00261B7A">
              <w:rPr>
                <w:rFonts w:cs="Calibri"/>
                <w:szCs w:val="16"/>
              </w:rPr>
              <w:t xml:space="preserve">(f) </w:t>
            </w:r>
            <w:r w:rsidRPr="00261B7A">
              <w:rPr>
                <w:rFonts w:cs="Calibri"/>
                <w:szCs w:val="16"/>
              </w:rPr>
              <w:tab/>
              <w:t>The total quantity of ERUs, CERs, AAUs and RMUs transferred to other registries and the identity of the acquiring accounts and registries.</w:t>
            </w:r>
          </w:p>
        </w:tc>
        <w:tc>
          <w:tcPr>
            <w:tcW w:w="2438" w:type="dxa"/>
            <w:tcBorders>
              <w:top w:val="nil"/>
              <w:left w:val="nil"/>
              <w:bottom w:val="nil"/>
              <w:right w:val="nil"/>
            </w:tcBorders>
          </w:tcPr>
          <w:p w14:paraId="1BC21561" w14:textId="77777777" w:rsidR="00296493" w:rsidRPr="00261B7A" w:rsidRDefault="00296493" w:rsidP="00501B0F">
            <w:pPr>
              <w:pStyle w:val="TableText"/>
              <w:rPr>
                <w:rFonts w:cs="Calibri"/>
                <w:szCs w:val="16"/>
              </w:rPr>
            </w:pPr>
            <w:r w:rsidRPr="00261B7A">
              <w:rPr>
                <w:rFonts w:cs="Calibri"/>
                <w:szCs w:val="16"/>
              </w:rPr>
              <w:t>Partial – the total quantity of ERUs, CERs, AAUs and RMUs transferred to other registries, and the identity of the registries are publicly available by 31 January for the previous calendar year (refer Public information and reports: Outgoing transactions by year).</w:t>
            </w:r>
          </w:p>
          <w:p w14:paraId="7FBAFCCE" w14:textId="77777777" w:rsidR="00296493" w:rsidRPr="00261B7A" w:rsidRDefault="00296493" w:rsidP="00501B0F">
            <w:pPr>
              <w:pStyle w:val="TableText"/>
              <w:spacing w:before="0"/>
              <w:rPr>
                <w:rFonts w:cs="Calibri"/>
                <w:szCs w:val="16"/>
              </w:rPr>
            </w:pPr>
            <w:r w:rsidRPr="00261B7A">
              <w:rPr>
                <w:rFonts w:cs="Calibri"/>
                <w:szCs w:val="16"/>
              </w:rPr>
              <w:t>The identity of the individual acquiring accounts is not available as it is considered to be confidential information.</w:t>
            </w:r>
          </w:p>
        </w:tc>
        <w:tc>
          <w:tcPr>
            <w:tcW w:w="1985" w:type="dxa"/>
            <w:tcBorders>
              <w:top w:val="nil"/>
              <w:left w:val="nil"/>
              <w:bottom w:val="nil"/>
              <w:right w:val="nil"/>
            </w:tcBorders>
          </w:tcPr>
          <w:p w14:paraId="4381717B" w14:textId="77777777" w:rsidR="00296493" w:rsidRPr="00261B7A" w:rsidRDefault="00296493" w:rsidP="00501B0F">
            <w:pPr>
              <w:pStyle w:val="TableText"/>
              <w:rPr>
                <w:rFonts w:cs="Calibri"/>
                <w:szCs w:val="16"/>
              </w:rPr>
            </w:pPr>
            <w:r w:rsidRPr="00261B7A">
              <w:rPr>
                <w:rFonts w:cs="Calibri"/>
                <w:szCs w:val="16"/>
              </w:rPr>
              <w:t>Annually by 31 January for the previous calendar year</w:t>
            </w:r>
          </w:p>
        </w:tc>
        <w:tc>
          <w:tcPr>
            <w:tcW w:w="1899" w:type="dxa"/>
            <w:tcBorders>
              <w:top w:val="nil"/>
              <w:left w:val="nil"/>
              <w:bottom w:val="nil"/>
              <w:right w:val="nil"/>
            </w:tcBorders>
          </w:tcPr>
          <w:p w14:paraId="57EB6542" w14:textId="77777777" w:rsidR="00296493" w:rsidRPr="00261B7A" w:rsidRDefault="00296493" w:rsidP="00501B0F">
            <w:pPr>
              <w:pStyle w:val="TableText"/>
              <w:spacing w:after="0"/>
              <w:rPr>
                <w:rFonts w:cs="Calibri"/>
                <w:szCs w:val="16"/>
              </w:rPr>
            </w:pPr>
            <w:r w:rsidRPr="00261B7A">
              <w:rPr>
                <w:rFonts w:cs="Calibri"/>
                <w:szCs w:val="16"/>
              </w:rPr>
              <w:t>NA</w:t>
            </w:r>
          </w:p>
          <w:p w14:paraId="7C986C31" w14:textId="77777777" w:rsidR="00296493" w:rsidRPr="00261B7A" w:rsidRDefault="00296493" w:rsidP="00501B0F">
            <w:pPr>
              <w:pStyle w:val="TableText"/>
              <w:rPr>
                <w:rFonts w:cs="Calibri"/>
                <w:szCs w:val="16"/>
              </w:rPr>
            </w:pPr>
            <w:r w:rsidRPr="00261B7A">
              <w:rPr>
                <w:rFonts w:cs="Calibri"/>
                <w:szCs w:val="16"/>
              </w:rPr>
              <w:t>Section 27(k) of the Climate Change Response Act 2002 requires that only the following be publicly available:</w:t>
            </w:r>
          </w:p>
          <w:p w14:paraId="7E7B7E1F" w14:textId="77777777" w:rsidR="00296493" w:rsidRPr="00261B7A" w:rsidRDefault="00296493" w:rsidP="00501B0F">
            <w:pPr>
              <w:pStyle w:val="TableBullet"/>
              <w:tabs>
                <w:tab w:val="clear" w:pos="284"/>
              </w:tabs>
              <w:spacing w:before="0" w:after="40"/>
              <w:ind w:left="170" w:hanging="170"/>
              <w:rPr>
                <w:rFonts w:cs="Calibri"/>
              </w:rPr>
            </w:pPr>
            <w:r w:rsidRPr="00261B7A">
              <w:rPr>
                <w:rFonts w:cs="Calibri"/>
              </w:rPr>
              <w:t>total quantity of units transferred</w:t>
            </w:r>
          </w:p>
          <w:p w14:paraId="62A261DF" w14:textId="77777777" w:rsidR="00296493" w:rsidRPr="00261B7A" w:rsidRDefault="00296493" w:rsidP="00501B0F">
            <w:pPr>
              <w:pStyle w:val="TableBullet"/>
              <w:tabs>
                <w:tab w:val="clear" w:pos="284"/>
              </w:tabs>
              <w:spacing w:before="0" w:after="40"/>
              <w:ind w:left="170" w:hanging="170"/>
              <w:rPr>
                <w:rFonts w:cs="Calibri"/>
              </w:rPr>
            </w:pPr>
            <w:r w:rsidRPr="00261B7A">
              <w:rPr>
                <w:rFonts w:cs="Calibri"/>
              </w:rPr>
              <w:t>total quantity and type of unit transferred</w:t>
            </w:r>
          </w:p>
          <w:p w14:paraId="0A919689" w14:textId="77777777" w:rsidR="00296493" w:rsidRPr="00261B7A" w:rsidRDefault="00296493" w:rsidP="00501B0F">
            <w:pPr>
              <w:pStyle w:val="TableBullet"/>
              <w:tabs>
                <w:tab w:val="clear" w:pos="284"/>
              </w:tabs>
              <w:spacing w:before="0"/>
              <w:ind w:left="170" w:hanging="170"/>
              <w:rPr>
                <w:rFonts w:cs="Calibri"/>
              </w:rPr>
            </w:pPr>
            <w:r w:rsidRPr="00261B7A">
              <w:rPr>
                <w:rFonts w:cs="Calibri"/>
              </w:rPr>
              <w:t>the identity of the acquiring overseas registries, including the total quantity of units transferred to each overseas registry and each type of unit transferred to each overseas registry.</w:t>
            </w:r>
          </w:p>
        </w:tc>
      </w:tr>
      <w:tr w:rsidR="00296493" w:rsidRPr="00261B7A" w14:paraId="62D88910" w14:textId="77777777" w:rsidTr="00501B0F">
        <w:tc>
          <w:tcPr>
            <w:tcW w:w="2410" w:type="dxa"/>
            <w:tcBorders>
              <w:top w:val="nil"/>
              <w:left w:val="nil"/>
              <w:bottom w:val="nil"/>
              <w:right w:val="nil"/>
            </w:tcBorders>
          </w:tcPr>
          <w:p w14:paraId="16819CDD" w14:textId="77777777" w:rsidR="00296493" w:rsidRPr="00261B7A" w:rsidRDefault="00296493" w:rsidP="00501B0F">
            <w:pPr>
              <w:pStyle w:val="TableText"/>
              <w:ind w:left="284" w:hanging="284"/>
              <w:rPr>
                <w:rFonts w:cs="Calibri"/>
                <w:szCs w:val="16"/>
              </w:rPr>
            </w:pPr>
            <w:r w:rsidRPr="00261B7A">
              <w:rPr>
                <w:rFonts w:cs="Calibri"/>
                <w:szCs w:val="16"/>
              </w:rPr>
              <w:t xml:space="preserve">(g) </w:t>
            </w:r>
            <w:r w:rsidRPr="00261B7A">
              <w:rPr>
                <w:rFonts w:cs="Calibri"/>
                <w:szCs w:val="16"/>
              </w:rPr>
              <w:tab/>
              <w:t>The total quantity of ERUs, CERs, AAUs and RMUs cancelled on the basis of activities under Article 3, paragraphs 3 and 4.</w:t>
            </w:r>
          </w:p>
        </w:tc>
        <w:tc>
          <w:tcPr>
            <w:tcW w:w="2438" w:type="dxa"/>
            <w:tcBorders>
              <w:top w:val="nil"/>
              <w:left w:val="nil"/>
              <w:bottom w:val="nil"/>
              <w:right w:val="nil"/>
            </w:tcBorders>
          </w:tcPr>
          <w:p w14:paraId="056B8CD3" w14:textId="77777777" w:rsidR="00296493" w:rsidRPr="00261B7A" w:rsidRDefault="00296493" w:rsidP="00501B0F">
            <w:pPr>
              <w:pStyle w:val="TableText"/>
              <w:rPr>
                <w:rFonts w:cs="Calibri"/>
                <w:szCs w:val="16"/>
              </w:rPr>
            </w:pPr>
            <w:r w:rsidRPr="00261B7A">
              <w:rPr>
                <w:rFonts w:cs="Calibri"/>
                <w:szCs w:val="16"/>
              </w:rPr>
              <w:t>Yes (refer Public information and reports: Holding &amp; transaction summary).</w:t>
            </w:r>
          </w:p>
        </w:tc>
        <w:tc>
          <w:tcPr>
            <w:tcW w:w="1985" w:type="dxa"/>
            <w:tcBorders>
              <w:top w:val="nil"/>
              <w:left w:val="nil"/>
              <w:bottom w:val="nil"/>
              <w:right w:val="nil"/>
            </w:tcBorders>
          </w:tcPr>
          <w:p w14:paraId="0A063985" w14:textId="77777777" w:rsidR="00296493" w:rsidRPr="00261B7A" w:rsidRDefault="00296493" w:rsidP="00501B0F">
            <w:pPr>
              <w:pStyle w:val="TableText"/>
              <w:rPr>
                <w:rFonts w:cs="Calibri"/>
                <w:szCs w:val="16"/>
              </w:rPr>
            </w:pPr>
            <w:r w:rsidRPr="00261B7A">
              <w:rPr>
                <w:rFonts w:cs="Calibri"/>
                <w:szCs w:val="16"/>
              </w:rPr>
              <w:t>Annually by 31 January for the previous calendar year</w:t>
            </w:r>
          </w:p>
        </w:tc>
        <w:tc>
          <w:tcPr>
            <w:tcW w:w="1899" w:type="dxa"/>
            <w:tcBorders>
              <w:top w:val="nil"/>
              <w:left w:val="nil"/>
              <w:bottom w:val="nil"/>
              <w:right w:val="nil"/>
            </w:tcBorders>
          </w:tcPr>
          <w:p w14:paraId="2BD96601" w14:textId="77777777" w:rsidR="00296493" w:rsidRPr="00261B7A" w:rsidRDefault="00296493" w:rsidP="00501B0F">
            <w:pPr>
              <w:pStyle w:val="TableText"/>
              <w:rPr>
                <w:rFonts w:cs="Calibri"/>
                <w:szCs w:val="16"/>
              </w:rPr>
            </w:pPr>
            <w:r w:rsidRPr="00261B7A">
              <w:rPr>
                <w:rFonts w:cs="Calibri"/>
                <w:szCs w:val="16"/>
              </w:rPr>
              <w:t>NA</w:t>
            </w:r>
          </w:p>
          <w:p w14:paraId="4E2B012A" w14:textId="77777777" w:rsidR="00296493" w:rsidRPr="00261B7A" w:rsidRDefault="00296493" w:rsidP="00501B0F">
            <w:pPr>
              <w:pStyle w:val="TableText"/>
              <w:rPr>
                <w:rFonts w:cs="Calibri"/>
                <w:szCs w:val="16"/>
              </w:rPr>
            </w:pPr>
          </w:p>
        </w:tc>
      </w:tr>
      <w:tr w:rsidR="00296493" w:rsidRPr="00261B7A" w14:paraId="7632DB20" w14:textId="77777777" w:rsidTr="00501B0F">
        <w:tc>
          <w:tcPr>
            <w:tcW w:w="2410" w:type="dxa"/>
            <w:tcBorders>
              <w:top w:val="nil"/>
              <w:left w:val="nil"/>
              <w:bottom w:val="nil"/>
              <w:right w:val="nil"/>
            </w:tcBorders>
          </w:tcPr>
          <w:p w14:paraId="280F1EBA" w14:textId="77777777" w:rsidR="00296493" w:rsidRPr="00261B7A" w:rsidRDefault="00296493" w:rsidP="00501B0F">
            <w:pPr>
              <w:pStyle w:val="TableText"/>
              <w:ind w:left="284" w:hanging="284"/>
              <w:rPr>
                <w:rFonts w:cs="Calibri"/>
                <w:szCs w:val="16"/>
              </w:rPr>
            </w:pPr>
            <w:r w:rsidRPr="00261B7A">
              <w:rPr>
                <w:rFonts w:cs="Calibri"/>
                <w:szCs w:val="16"/>
              </w:rPr>
              <w:t xml:space="preserve">(h) </w:t>
            </w:r>
            <w:r w:rsidRPr="00261B7A">
              <w:rPr>
                <w:rFonts w:cs="Calibri"/>
                <w:szCs w:val="16"/>
              </w:rPr>
              <w:tab/>
              <w:t>The total quantity of ERUs, CERs, AAUs and RMUs cancelled following determination by the Compliance Committee that the Party is not in compliance with its commitment under Article 3, paragraph 1.</w:t>
            </w:r>
          </w:p>
        </w:tc>
        <w:tc>
          <w:tcPr>
            <w:tcW w:w="2438" w:type="dxa"/>
            <w:tcBorders>
              <w:top w:val="nil"/>
              <w:left w:val="nil"/>
              <w:bottom w:val="nil"/>
              <w:right w:val="nil"/>
            </w:tcBorders>
          </w:tcPr>
          <w:p w14:paraId="671A9F55" w14:textId="77777777" w:rsidR="00296493" w:rsidRPr="00261B7A" w:rsidRDefault="00296493" w:rsidP="00501B0F">
            <w:pPr>
              <w:pStyle w:val="TableText"/>
              <w:keepNext/>
              <w:rPr>
                <w:rFonts w:cs="Calibri"/>
                <w:szCs w:val="16"/>
              </w:rPr>
            </w:pPr>
            <w:r w:rsidRPr="00261B7A">
              <w:rPr>
                <w:rFonts w:cs="Calibri"/>
                <w:szCs w:val="16"/>
              </w:rPr>
              <w:t>Yes (refer Public information and reports: Holding &amp; transaction summary).</w:t>
            </w:r>
          </w:p>
          <w:p w14:paraId="035F70F3" w14:textId="77777777" w:rsidR="00296493" w:rsidRPr="00261B7A" w:rsidRDefault="00296493" w:rsidP="00501B0F">
            <w:pPr>
              <w:pStyle w:val="TableText"/>
              <w:keepNext/>
              <w:rPr>
                <w:rFonts w:cs="Calibri"/>
                <w:szCs w:val="16"/>
              </w:rPr>
            </w:pPr>
            <w:r w:rsidRPr="00261B7A">
              <w:rPr>
                <w:rFonts w:cs="Calibri"/>
                <w:szCs w:val="16"/>
              </w:rPr>
              <w:t>NOTE: Reported as ‘0’ because this event did not occur in the specified period.</w:t>
            </w:r>
          </w:p>
        </w:tc>
        <w:tc>
          <w:tcPr>
            <w:tcW w:w="1985" w:type="dxa"/>
            <w:tcBorders>
              <w:top w:val="nil"/>
              <w:left w:val="nil"/>
              <w:bottom w:val="nil"/>
              <w:right w:val="nil"/>
            </w:tcBorders>
          </w:tcPr>
          <w:p w14:paraId="7F7CD16C" w14:textId="77777777" w:rsidR="00296493" w:rsidRPr="00261B7A" w:rsidRDefault="00296493" w:rsidP="00501B0F">
            <w:pPr>
              <w:pStyle w:val="TableText"/>
              <w:keepNext/>
              <w:rPr>
                <w:rFonts w:cs="Calibri"/>
                <w:szCs w:val="16"/>
              </w:rPr>
            </w:pPr>
            <w:r w:rsidRPr="00261B7A">
              <w:rPr>
                <w:rFonts w:cs="Calibri"/>
                <w:szCs w:val="16"/>
              </w:rPr>
              <w:t>Annually by 31 January for the previous calendar year</w:t>
            </w:r>
          </w:p>
        </w:tc>
        <w:tc>
          <w:tcPr>
            <w:tcW w:w="1899" w:type="dxa"/>
            <w:tcBorders>
              <w:top w:val="nil"/>
              <w:left w:val="nil"/>
              <w:bottom w:val="nil"/>
              <w:right w:val="nil"/>
            </w:tcBorders>
          </w:tcPr>
          <w:p w14:paraId="727B1072" w14:textId="77777777" w:rsidR="00296493" w:rsidRPr="00261B7A" w:rsidRDefault="00296493" w:rsidP="00501B0F">
            <w:pPr>
              <w:pStyle w:val="TableText"/>
              <w:keepNext/>
              <w:rPr>
                <w:rFonts w:cs="Calibri"/>
                <w:szCs w:val="16"/>
              </w:rPr>
            </w:pPr>
            <w:r w:rsidRPr="00261B7A">
              <w:rPr>
                <w:rFonts w:cs="Calibri"/>
                <w:szCs w:val="16"/>
              </w:rPr>
              <w:t>NA</w:t>
            </w:r>
          </w:p>
        </w:tc>
      </w:tr>
      <w:tr w:rsidR="00296493" w:rsidRPr="00261B7A" w14:paraId="4C7F20F3" w14:textId="77777777" w:rsidTr="00501B0F">
        <w:tc>
          <w:tcPr>
            <w:tcW w:w="2410" w:type="dxa"/>
            <w:tcBorders>
              <w:top w:val="nil"/>
              <w:left w:val="nil"/>
              <w:bottom w:val="nil"/>
              <w:right w:val="nil"/>
            </w:tcBorders>
          </w:tcPr>
          <w:p w14:paraId="180D4241" w14:textId="77777777" w:rsidR="00296493" w:rsidRPr="00261B7A" w:rsidRDefault="00296493" w:rsidP="00501B0F">
            <w:pPr>
              <w:pStyle w:val="TableText"/>
              <w:ind w:left="284" w:hanging="284"/>
              <w:rPr>
                <w:rFonts w:cs="Calibri"/>
                <w:szCs w:val="16"/>
              </w:rPr>
            </w:pPr>
            <w:r w:rsidRPr="00261B7A">
              <w:rPr>
                <w:rFonts w:cs="Calibri"/>
                <w:szCs w:val="16"/>
              </w:rPr>
              <w:t xml:space="preserve">(i) </w:t>
            </w:r>
            <w:r w:rsidRPr="00261B7A">
              <w:rPr>
                <w:rFonts w:cs="Calibri"/>
                <w:szCs w:val="16"/>
              </w:rPr>
              <w:tab/>
              <w:t>The total quantity of other ERUs, CERs, AAUs and RMUs cancelled.</w:t>
            </w:r>
          </w:p>
        </w:tc>
        <w:tc>
          <w:tcPr>
            <w:tcW w:w="2438" w:type="dxa"/>
            <w:tcBorders>
              <w:top w:val="nil"/>
              <w:left w:val="nil"/>
              <w:bottom w:val="nil"/>
              <w:right w:val="nil"/>
            </w:tcBorders>
          </w:tcPr>
          <w:p w14:paraId="4FB3732E" w14:textId="77777777" w:rsidR="00296493" w:rsidRPr="00261B7A" w:rsidRDefault="00296493" w:rsidP="00501B0F">
            <w:pPr>
              <w:pStyle w:val="TableText"/>
              <w:rPr>
                <w:rFonts w:cs="Calibri"/>
                <w:szCs w:val="16"/>
              </w:rPr>
            </w:pPr>
            <w:r w:rsidRPr="00261B7A">
              <w:rPr>
                <w:rFonts w:cs="Calibri"/>
                <w:szCs w:val="16"/>
              </w:rPr>
              <w:t>Yes (refer Public information and reports: Holding &amp; transaction summary).</w:t>
            </w:r>
          </w:p>
        </w:tc>
        <w:tc>
          <w:tcPr>
            <w:tcW w:w="1985" w:type="dxa"/>
            <w:tcBorders>
              <w:top w:val="nil"/>
              <w:left w:val="nil"/>
              <w:bottom w:val="nil"/>
              <w:right w:val="nil"/>
            </w:tcBorders>
          </w:tcPr>
          <w:p w14:paraId="32569510" w14:textId="77777777" w:rsidR="00296493" w:rsidRPr="00261B7A" w:rsidRDefault="00296493" w:rsidP="00501B0F">
            <w:pPr>
              <w:pStyle w:val="TableText"/>
              <w:rPr>
                <w:rFonts w:cs="Calibri"/>
                <w:szCs w:val="16"/>
              </w:rPr>
            </w:pPr>
            <w:r w:rsidRPr="00261B7A">
              <w:rPr>
                <w:rFonts w:cs="Calibri"/>
                <w:szCs w:val="16"/>
              </w:rPr>
              <w:t>Annually by 31 January for the previous calendar year</w:t>
            </w:r>
          </w:p>
        </w:tc>
        <w:tc>
          <w:tcPr>
            <w:tcW w:w="1899" w:type="dxa"/>
            <w:tcBorders>
              <w:top w:val="nil"/>
              <w:left w:val="nil"/>
              <w:bottom w:val="nil"/>
              <w:right w:val="nil"/>
            </w:tcBorders>
          </w:tcPr>
          <w:p w14:paraId="3EA14920" w14:textId="77777777" w:rsidR="00296493" w:rsidRPr="00261B7A" w:rsidRDefault="00296493" w:rsidP="00501B0F">
            <w:pPr>
              <w:pStyle w:val="TableText"/>
              <w:rPr>
                <w:rFonts w:cs="Calibri"/>
                <w:szCs w:val="16"/>
              </w:rPr>
            </w:pPr>
            <w:r w:rsidRPr="00261B7A">
              <w:rPr>
                <w:rFonts w:cs="Calibri"/>
                <w:szCs w:val="16"/>
              </w:rPr>
              <w:t>NA</w:t>
            </w:r>
          </w:p>
        </w:tc>
      </w:tr>
      <w:tr w:rsidR="00296493" w:rsidRPr="00261B7A" w14:paraId="3B6C780E" w14:textId="77777777" w:rsidTr="00501B0F">
        <w:tc>
          <w:tcPr>
            <w:tcW w:w="2410" w:type="dxa"/>
            <w:tcBorders>
              <w:top w:val="nil"/>
              <w:left w:val="nil"/>
              <w:bottom w:val="nil"/>
              <w:right w:val="nil"/>
            </w:tcBorders>
          </w:tcPr>
          <w:p w14:paraId="441FD954" w14:textId="77777777" w:rsidR="00296493" w:rsidRPr="00261B7A" w:rsidRDefault="00296493" w:rsidP="00501B0F">
            <w:pPr>
              <w:pStyle w:val="TableText"/>
              <w:spacing w:after="20"/>
              <w:ind w:left="284" w:hanging="284"/>
              <w:rPr>
                <w:rFonts w:cs="Calibri"/>
                <w:szCs w:val="16"/>
              </w:rPr>
            </w:pPr>
            <w:r w:rsidRPr="00261B7A">
              <w:rPr>
                <w:rFonts w:cs="Calibri"/>
                <w:szCs w:val="16"/>
              </w:rPr>
              <w:t xml:space="preserve">(j) </w:t>
            </w:r>
            <w:r w:rsidRPr="00261B7A">
              <w:rPr>
                <w:rFonts w:cs="Calibri"/>
                <w:szCs w:val="16"/>
              </w:rPr>
              <w:tab/>
              <w:t>The total quantity of ERUs, CERs, AAUs and RMUs retired.</w:t>
            </w:r>
          </w:p>
        </w:tc>
        <w:tc>
          <w:tcPr>
            <w:tcW w:w="2438" w:type="dxa"/>
            <w:tcBorders>
              <w:top w:val="nil"/>
              <w:left w:val="nil"/>
              <w:bottom w:val="nil"/>
              <w:right w:val="nil"/>
            </w:tcBorders>
          </w:tcPr>
          <w:p w14:paraId="14E13732" w14:textId="77777777" w:rsidR="00296493" w:rsidRPr="00261B7A" w:rsidRDefault="00296493" w:rsidP="00501B0F">
            <w:pPr>
              <w:pStyle w:val="TableText"/>
              <w:spacing w:after="20"/>
              <w:rPr>
                <w:rFonts w:cs="Calibri"/>
                <w:szCs w:val="16"/>
              </w:rPr>
            </w:pPr>
            <w:r w:rsidRPr="00261B7A">
              <w:rPr>
                <w:rFonts w:cs="Calibri"/>
                <w:szCs w:val="16"/>
              </w:rPr>
              <w:t>Yes (refer Public information and reports: Holding &amp; transaction summary).</w:t>
            </w:r>
          </w:p>
        </w:tc>
        <w:tc>
          <w:tcPr>
            <w:tcW w:w="1985" w:type="dxa"/>
            <w:tcBorders>
              <w:top w:val="nil"/>
              <w:left w:val="nil"/>
              <w:bottom w:val="nil"/>
              <w:right w:val="nil"/>
            </w:tcBorders>
          </w:tcPr>
          <w:p w14:paraId="1F0F3E2D" w14:textId="77777777" w:rsidR="00296493" w:rsidRPr="00261B7A" w:rsidRDefault="00296493" w:rsidP="00501B0F">
            <w:pPr>
              <w:pStyle w:val="TableText"/>
              <w:spacing w:after="20"/>
              <w:rPr>
                <w:rFonts w:cs="Calibri"/>
                <w:szCs w:val="16"/>
              </w:rPr>
            </w:pPr>
            <w:r w:rsidRPr="00261B7A">
              <w:rPr>
                <w:rFonts w:cs="Calibri"/>
                <w:szCs w:val="16"/>
              </w:rPr>
              <w:t>Annually by 31 January for the previous calendar year</w:t>
            </w:r>
          </w:p>
        </w:tc>
        <w:tc>
          <w:tcPr>
            <w:tcW w:w="1899" w:type="dxa"/>
            <w:tcBorders>
              <w:top w:val="nil"/>
              <w:left w:val="nil"/>
              <w:bottom w:val="nil"/>
              <w:right w:val="nil"/>
            </w:tcBorders>
          </w:tcPr>
          <w:p w14:paraId="26D102FD" w14:textId="77777777" w:rsidR="00296493" w:rsidRPr="00261B7A" w:rsidRDefault="00296493" w:rsidP="00501B0F">
            <w:pPr>
              <w:pStyle w:val="TableText"/>
              <w:spacing w:after="20"/>
              <w:rPr>
                <w:rFonts w:cs="Calibri"/>
                <w:szCs w:val="16"/>
              </w:rPr>
            </w:pPr>
            <w:r w:rsidRPr="00261B7A">
              <w:rPr>
                <w:rFonts w:cs="Calibri"/>
                <w:szCs w:val="16"/>
              </w:rPr>
              <w:t>NA</w:t>
            </w:r>
          </w:p>
        </w:tc>
      </w:tr>
      <w:tr w:rsidR="00296493" w:rsidRPr="00261B7A" w14:paraId="6A312420" w14:textId="77777777" w:rsidTr="00501B0F">
        <w:tc>
          <w:tcPr>
            <w:tcW w:w="2410" w:type="dxa"/>
            <w:tcBorders>
              <w:top w:val="nil"/>
              <w:left w:val="nil"/>
              <w:bottom w:val="nil"/>
              <w:right w:val="nil"/>
            </w:tcBorders>
          </w:tcPr>
          <w:p w14:paraId="4B468A40" w14:textId="77777777" w:rsidR="00296493" w:rsidRPr="00261B7A" w:rsidRDefault="00296493" w:rsidP="00501B0F">
            <w:pPr>
              <w:pStyle w:val="TableText"/>
              <w:spacing w:after="20"/>
              <w:ind w:left="284" w:hanging="284"/>
              <w:rPr>
                <w:rFonts w:cs="Calibri"/>
                <w:szCs w:val="16"/>
              </w:rPr>
            </w:pPr>
            <w:r w:rsidRPr="00261B7A">
              <w:rPr>
                <w:rFonts w:cs="Calibri"/>
                <w:szCs w:val="16"/>
              </w:rPr>
              <w:t xml:space="preserve">(k) </w:t>
            </w:r>
            <w:r w:rsidRPr="00261B7A">
              <w:rPr>
                <w:rFonts w:cs="Calibri"/>
                <w:szCs w:val="16"/>
              </w:rPr>
              <w:tab/>
              <w:t>The total quantity of ERUs, CERs, and AAUs carried over from the previous commitment period.</w:t>
            </w:r>
          </w:p>
        </w:tc>
        <w:tc>
          <w:tcPr>
            <w:tcW w:w="2438" w:type="dxa"/>
            <w:tcBorders>
              <w:top w:val="nil"/>
              <w:left w:val="nil"/>
              <w:bottom w:val="nil"/>
              <w:right w:val="nil"/>
            </w:tcBorders>
          </w:tcPr>
          <w:p w14:paraId="6C3298EE" w14:textId="77777777" w:rsidR="00296493" w:rsidRPr="00261B7A" w:rsidRDefault="00296493" w:rsidP="00501B0F">
            <w:pPr>
              <w:pStyle w:val="TableText"/>
              <w:spacing w:after="20"/>
              <w:rPr>
                <w:rFonts w:cs="Calibri"/>
                <w:szCs w:val="16"/>
              </w:rPr>
            </w:pPr>
            <w:r w:rsidRPr="00261B7A">
              <w:rPr>
                <w:rFonts w:cs="Calibri"/>
                <w:szCs w:val="16"/>
              </w:rPr>
              <w:t>Yes (refer Public information and reports: Holding &amp; transaction summary).</w:t>
            </w:r>
          </w:p>
          <w:p w14:paraId="6C21E0F0" w14:textId="77777777" w:rsidR="00296493" w:rsidRPr="00261B7A" w:rsidRDefault="00296493" w:rsidP="00501B0F">
            <w:pPr>
              <w:pStyle w:val="TableText"/>
              <w:spacing w:after="20"/>
              <w:rPr>
                <w:rFonts w:cs="Calibri"/>
                <w:szCs w:val="16"/>
              </w:rPr>
            </w:pPr>
            <w:r w:rsidRPr="00261B7A">
              <w:rPr>
                <w:rFonts w:cs="Calibri"/>
                <w:szCs w:val="16"/>
              </w:rPr>
              <w:t>Note: Reported as ‘0’ because this event did not occur in the specified period.</w:t>
            </w:r>
          </w:p>
        </w:tc>
        <w:tc>
          <w:tcPr>
            <w:tcW w:w="1985" w:type="dxa"/>
            <w:tcBorders>
              <w:top w:val="nil"/>
              <w:left w:val="nil"/>
              <w:bottom w:val="nil"/>
              <w:right w:val="nil"/>
            </w:tcBorders>
          </w:tcPr>
          <w:p w14:paraId="6ABF4867" w14:textId="77777777" w:rsidR="00296493" w:rsidRPr="00261B7A" w:rsidRDefault="00296493" w:rsidP="00501B0F">
            <w:pPr>
              <w:pStyle w:val="TableText"/>
              <w:spacing w:after="20"/>
              <w:rPr>
                <w:rFonts w:cs="Calibri"/>
                <w:szCs w:val="16"/>
              </w:rPr>
            </w:pPr>
            <w:r w:rsidRPr="00261B7A">
              <w:rPr>
                <w:rFonts w:cs="Calibri"/>
                <w:szCs w:val="16"/>
              </w:rPr>
              <w:t>Annually by 31 January for the previous calendar year</w:t>
            </w:r>
          </w:p>
        </w:tc>
        <w:tc>
          <w:tcPr>
            <w:tcW w:w="1899" w:type="dxa"/>
            <w:tcBorders>
              <w:top w:val="nil"/>
              <w:left w:val="nil"/>
              <w:bottom w:val="nil"/>
              <w:right w:val="nil"/>
            </w:tcBorders>
          </w:tcPr>
          <w:p w14:paraId="474982F1" w14:textId="77777777" w:rsidR="00296493" w:rsidRPr="00261B7A" w:rsidRDefault="00296493" w:rsidP="00501B0F">
            <w:pPr>
              <w:pStyle w:val="TableText"/>
              <w:spacing w:after="20"/>
              <w:rPr>
                <w:rFonts w:cs="Calibri"/>
                <w:szCs w:val="16"/>
              </w:rPr>
            </w:pPr>
            <w:r w:rsidRPr="00261B7A">
              <w:rPr>
                <w:rFonts w:cs="Calibri"/>
                <w:szCs w:val="16"/>
              </w:rPr>
              <w:t>NA</w:t>
            </w:r>
          </w:p>
        </w:tc>
      </w:tr>
      <w:tr w:rsidR="00296493" w:rsidRPr="00261B7A" w14:paraId="625E7494" w14:textId="77777777" w:rsidTr="009B5E7C">
        <w:tc>
          <w:tcPr>
            <w:tcW w:w="2410" w:type="dxa"/>
            <w:tcBorders>
              <w:top w:val="nil"/>
              <w:left w:val="nil"/>
              <w:bottom w:val="single" w:sz="4" w:space="0" w:color="1B556B" w:themeColor="text2"/>
              <w:right w:val="nil"/>
            </w:tcBorders>
          </w:tcPr>
          <w:p w14:paraId="7A43D1E3" w14:textId="77777777" w:rsidR="00296493" w:rsidRPr="00261B7A" w:rsidRDefault="00296493" w:rsidP="00501B0F">
            <w:pPr>
              <w:pStyle w:val="TableText"/>
              <w:ind w:left="284" w:hanging="284"/>
              <w:rPr>
                <w:rFonts w:cs="Calibri"/>
                <w:szCs w:val="16"/>
              </w:rPr>
            </w:pPr>
            <w:r w:rsidRPr="00261B7A">
              <w:rPr>
                <w:rFonts w:cs="Calibri"/>
                <w:szCs w:val="16"/>
              </w:rPr>
              <w:t xml:space="preserve">(l) </w:t>
            </w:r>
            <w:r w:rsidRPr="00261B7A">
              <w:rPr>
                <w:rFonts w:cs="Calibri"/>
                <w:szCs w:val="16"/>
              </w:rPr>
              <w:tab/>
              <w:t>Current holdings of ERUs, CERs, AAUs and RMUs in each account.</w:t>
            </w:r>
          </w:p>
        </w:tc>
        <w:tc>
          <w:tcPr>
            <w:tcW w:w="2438" w:type="dxa"/>
            <w:tcBorders>
              <w:top w:val="nil"/>
              <w:left w:val="nil"/>
              <w:bottom w:val="single" w:sz="4" w:space="0" w:color="1B556B" w:themeColor="text2"/>
              <w:right w:val="nil"/>
            </w:tcBorders>
          </w:tcPr>
          <w:p w14:paraId="16D7F1BF" w14:textId="77777777" w:rsidR="00296493" w:rsidRPr="00261B7A" w:rsidRDefault="00296493" w:rsidP="00501B0F">
            <w:pPr>
              <w:pStyle w:val="TableText"/>
              <w:spacing w:after="20"/>
              <w:rPr>
                <w:rFonts w:cs="Calibri"/>
                <w:szCs w:val="16"/>
              </w:rPr>
            </w:pPr>
            <w:r w:rsidRPr="00261B7A">
              <w:rPr>
                <w:rFonts w:cs="Calibri"/>
                <w:szCs w:val="16"/>
              </w:rPr>
              <w:t>Partial – aggregate unit holdings of ERUs, CERs, AAUs and RMUs from the previous calendar year are disclosed by 31 January (refer Public information and reports: Kyoto unit holdings by account).</w:t>
            </w:r>
          </w:p>
          <w:p w14:paraId="7561DEA9" w14:textId="77777777" w:rsidR="00296493" w:rsidRPr="00261B7A" w:rsidRDefault="00296493" w:rsidP="00501B0F">
            <w:pPr>
              <w:pStyle w:val="TableText"/>
              <w:spacing w:after="20"/>
              <w:rPr>
                <w:rFonts w:cs="Calibri"/>
                <w:szCs w:val="16"/>
              </w:rPr>
            </w:pPr>
            <w:r w:rsidRPr="00261B7A">
              <w:rPr>
                <w:rFonts w:cs="Calibri"/>
                <w:szCs w:val="16"/>
              </w:rPr>
              <w:t>Total quantity of unit holdings in each account within the most recent calendar year is considered to be confidential information. Therefore the total quantity of unit holdings in each account provided consists of only those completed more than one year in the past.</w:t>
            </w:r>
          </w:p>
          <w:p w14:paraId="46A7F507" w14:textId="77777777" w:rsidR="00296493" w:rsidRPr="00261B7A" w:rsidRDefault="00296493" w:rsidP="00501B0F">
            <w:pPr>
              <w:pStyle w:val="TableText"/>
              <w:rPr>
                <w:rFonts w:cs="Calibri"/>
                <w:szCs w:val="16"/>
              </w:rPr>
            </w:pPr>
            <w:r w:rsidRPr="00261B7A">
              <w:rPr>
                <w:rFonts w:cs="Calibri"/>
                <w:szCs w:val="16"/>
              </w:rPr>
              <w:t>(Refer Public information and reports: Kyoto unit holdings by account.)</w:t>
            </w:r>
          </w:p>
        </w:tc>
        <w:tc>
          <w:tcPr>
            <w:tcW w:w="1985" w:type="dxa"/>
            <w:tcBorders>
              <w:top w:val="nil"/>
              <w:left w:val="nil"/>
              <w:bottom w:val="single" w:sz="4" w:space="0" w:color="1B556B" w:themeColor="text2"/>
              <w:right w:val="nil"/>
            </w:tcBorders>
          </w:tcPr>
          <w:p w14:paraId="346FDC4B" w14:textId="77777777" w:rsidR="00296493" w:rsidRPr="00261B7A" w:rsidRDefault="00296493" w:rsidP="00501B0F">
            <w:pPr>
              <w:pStyle w:val="TableText"/>
              <w:rPr>
                <w:rFonts w:cs="Calibri"/>
                <w:szCs w:val="16"/>
              </w:rPr>
            </w:pPr>
            <w:r w:rsidRPr="00261B7A">
              <w:rPr>
                <w:rFonts w:cs="Calibri"/>
                <w:szCs w:val="16"/>
              </w:rPr>
              <w:t>Annually by 31 January for the previous calendar year</w:t>
            </w:r>
          </w:p>
          <w:p w14:paraId="4262FF6A" w14:textId="77777777" w:rsidR="00296493" w:rsidRPr="00261B7A" w:rsidRDefault="00296493" w:rsidP="00501B0F">
            <w:pPr>
              <w:pStyle w:val="TableText"/>
              <w:rPr>
                <w:rFonts w:cs="Calibri"/>
                <w:szCs w:val="16"/>
              </w:rPr>
            </w:pPr>
            <w:r w:rsidRPr="00261B7A">
              <w:rPr>
                <w:rFonts w:cs="Calibri"/>
                <w:szCs w:val="16"/>
              </w:rPr>
              <w:t>1 January for the beginning of the previous calendar year</w:t>
            </w:r>
          </w:p>
          <w:p w14:paraId="6AED5B00" w14:textId="77777777" w:rsidR="00296493" w:rsidRPr="00261B7A" w:rsidRDefault="00296493" w:rsidP="00501B0F">
            <w:pPr>
              <w:pStyle w:val="TableText"/>
              <w:rPr>
                <w:rFonts w:cs="Calibri"/>
                <w:szCs w:val="16"/>
              </w:rPr>
            </w:pPr>
          </w:p>
        </w:tc>
        <w:tc>
          <w:tcPr>
            <w:tcW w:w="1899" w:type="dxa"/>
            <w:tcBorders>
              <w:top w:val="nil"/>
              <w:left w:val="nil"/>
              <w:bottom w:val="single" w:sz="4" w:space="0" w:color="1B556B" w:themeColor="text2"/>
              <w:right w:val="nil"/>
            </w:tcBorders>
          </w:tcPr>
          <w:p w14:paraId="2EC8F282" w14:textId="77777777" w:rsidR="00296493" w:rsidRPr="00261B7A" w:rsidRDefault="00296493" w:rsidP="00501B0F">
            <w:pPr>
              <w:pStyle w:val="TableText"/>
              <w:spacing w:after="20"/>
              <w:rPr>
                <w:rFonts w:cs="Calibri"/>
                <w:szCs w:val="16"/>
              </w:rPr>
            </w:pPr>
            <w:r w:rsidRPr="00261B7A">
              <w:rPr>
                <w:rFonts w:cs="Calibri"/>
                <w:szCs w:val="16"/>
              </w:rPr>
              <w:t xml:space="preserve">Section 27(2) of the Climate Change Response Act 2002 only requires total holdings of AAUs, ERUs, CERs, ICERs, tCERs and RMUs to be publicly available by 31 January of each year for the previous calendar year. </w:t>
            </w:r>
          </w:p>
          <w:p w14:paraId="6E0C2117" w14:textId="77777777" w:rsidR="00296493" w:rsidRPr="00261B7A" w:rsidRDefault="00296493" w:rsidP="00501B0F">
            <w:pPr>
              <w:pStyle w:val="TableText"/>
              <w:rPr>
                <w:rFonts w:cs="Calibri"/>
                <w:szCs w:val="16"/>
              </w:rPr>
            </w:pPr>
            <w:r w:rsidRPr="00261B7A">
              <w:rPr>
                <w:rFonts w:cs="Calibri"/>
                <w:szCs w:val="16"/>
              </w:rPr>
              <w:t xml:space="preserve">Section 27(3) of the Climate Change Response Act 2002 only requires holdings of Kyoto units by each holding account for the beginning of the previous calendar year to be made publicly available. </w:t>
            </w:r>
          </w:p>
        </w:tc>
      </w:tr>
      <w:tr w:rsidR="00296493" w:rsidRPr="00261B7A" w14:paraId="6AED71DC" w14:textId="77777777" w:rsidTr="009B5E7C">
        <w:tc>
          <w:tcPr>
            <w:tcW w:w="2410" w:type="dxa"/>
            <w:tcBorders>
              <w:top w:val="single" w:sz="4" w:space="0" w:color="1B556B" w:themeColor="text2"/>
              <w:left w:val="nil"/>
              <w:bottom w:val="single" w:sz="4" w:space="0" w:color="1B556B" w:themeColor="text2"/>
              <w:right w:val="nil"/>
            </w:tcBorders>
          </w:tcPr>
          <w:p w14:paraId="5CAB2A1B" w14:textId="77777777" w:rsidR="00296493" w:rsidRPr="00261B7A" w:rsidRDefault="00296493" w:rsidP="00501B0F">
            <w:pPr>
              <w:pStyle w:val="TableText"/>
              <w:keepNext/>
              <w:ind w:left="284" w:hanging="284"/>
              <w:rPr>
                <w:rFonts w:cs="Calibri"/>
              </w:rPr>
            </w:pPr>
            <w:r w:rsidRPr="00261B7A">
              <w:rPr>
                <w:rFonts w:cs="Calibri"/>
              </w:rPr>
              <w:t xml:space="preserve">48. </w:t>
            </w:r>
            <w:r w:rsidRPr="00261B7A">
              <w:rPr>
                <w:rFonts w:cs="Calibri"/>
              </w:rPr>
              <w:tab/>
              <w:t>The information referred to in paragraph 44 shall include a list of legal entities authorised by the Party to hold ERUs, CERs, AAUs and/or RMUs under its responsibility.</w:t>
            </w:r>
          </w:p>
        </w:tc>
        <w:tc>
          <w:tcPr>
            <w:tcW w:w="2438" w:type="dxa"/>
            <w:tcBorders>
              <w:top w:val="single" w:sz="4" w:space="0" w:color="1B556B" w:themeColor="text2"/>
              <w:left w:val="nil"/>
              <w:bottom w:val="single" w:sz="4" w:space="0" w:color="1B556B" w:themeColor="text2"/>
              <w:right w:val="nil"/>
            </w:tcBorders>
          </w:tcPr>
          <w:p w14:paraId="2D7B2D92" w14:textId="77777777" w:rsidR="00296493" w:rsidRPr="00261B7A" w:rsidRDefault="00296493" w:rsidP="00501B0F">
            <w:pPr>
              <w:pStyle w:val="TableText"/>
              <w:rPr>
                <w:rFonts w:cs="Calibri"/>
              </w:rPr>
            </w:pPr>
            <w:r w:rsidRPr="00261B7A">
              <w:rPr>
                <w:rFonts w:cs="Calibri"/>
              </w:rPr>
              <w:t>Yes (refer Public information and reports: Account Holders, for list of authorised entities).</w:t>
            </w:r>
          </w:p>
        </w:tc>
        <w:tc>
          <w:tcPr>
            <w:tcW w:w="1985" w:type="dxa"/>
            <w:tcBorders>
              <w:top w:val="single" w:sz="4" w:space="0" w:color="1B556B" w:themeColor="text2"/>
              <w:left w:val="nil"/>
              <w:bottom w:val="single" w:sz="4" w:space="0" w:color="1B556B" w:themeColor="text2"/>
              <w:right w:val="nil"/>
            </w:tcBorders>
          </w:tcPr>
          <w:p w14:paraId="698FF2C2" w14:textId="77777777" w:rsidR="00296493" w:rsidRPr="00261B7A" w:rsidRDefault="00296493" w:rsidP="00501B0F">
            <w:pPr>
              <w:pStyle w:val="TableText"/>
              <w:rPr>
                <w:rFonts w:cs="Calibri"/>
              </w:rPr>
            </w:pPr>
            <w:r w:rsidRPr="00261B7A">
              <w:rPr>
                <w:rFonts w:cs="Calibri"/>
              </w:rPr>
              <w:t>Up to date (note, refreshed daily)</w:t>
            </w:r>
          </w:p>
        </w:tc>
        <w:tc>
          <w:tcPr>
            <w:tcW w:w="1899" w:type="dxa"/>
            <w:tcBorders>
              <w:top w:val="single" w:sz="4" w:space="0" w:color="1B556B" w:themeColor="text2"/>
              <w:left w:val="nil"/>
              <w:bottom w:val="single" w:sz="4" w:space="0" w:color="1B556B" w:themeColor="text2"/>
              <w:right w:val="nil"/>
            </w:tcBorders>
          </w:tcPr>
          <w:p w14:paraId="5260E992" w14:textId="77777777" w:rsidR="00296493" w:rsidRPr="00261B7A" w:rsidRDefault="00296493" w:rsidP="00501B0F">
            <w:pPr>
              <w:pStyle w:val="TableText"/>
              <w:rPr>
                <w:rFonts w:cs="Calibri"/>
              </w:rPr>
            </w:pPr>
            <w:r w:rsidRPr="00261B7A">
              <w:rPr>
                <w:rFonts w:cs="Calibri"/>
              </w:rPr>
              <w:t>NA</w:t>
            </w:r>
          </w:p>
        </w:tc>
      </w:tr>
    </w:tbl>
    <w:p w14:paraId="3235ED60" w14:textId="77777777" w:rsidR="00296493" w:rsidRPr="00261B7A" w:rsidRDefault="00296493" w:rsidP="00296493">
      <w:pPr>
        <w:pStyle w:val="Noteundertable"/>
        <w:spacing w:after="0"/>
      </w:pPr>
      <w:r w:rsidRPr="00261B7A">
        <w:rPr>
          <w:b/>
        </w:rPr>
        <w:t>Note:</w:t>
      </w:r>
      <w:r w:rsidRPr="00261B7A">
        <w:tab/>
        <w:t xml:space="preserve">NA = not applicable. </w:t>
      </w:r>
    </w:p>
    <w:p w14:paraId="59E03771" w14:textId="77777777" w:rsidR="00296493" w:rsidRPr="00261B7A" w:rsidRDefault="00296493" w:rsidP="00A638DC">
      <w:pPr>
        <w:pStyle w:val="Heading2"/>
      </w:pPr>
      <w:bookmarkStart w:id="3253" w:name="_Toc131591292"/>
      <w:r w:rsidRPr="00261B7A">
        <w:t>12.5</w:t>
      </w:r>
      <w:r w:rsidRPr="00261B7A">
        <w:tab/>
        <w:t>Calculation of the commitment period reserve</w:t>
      </w:r>
      <w:bookmarkEnd w:id="3253"/>
      <w:r w:rsidRPr="00261B7A">
        <w:t xml:space="preserve"> </w:t>
      </w:r>
    </w:p>
    <w:p w14:paraId="09BBD367" w14:textId="77777777" w:rsidR="00296493" w:rsidRPr="00261B7A" w:rsidRDefault="00296493" w:rsidP="00296493">
      <w:pPr>
        <w:pStyle w:val="BodyText"/>
        <w:rPr>
          <w:rFonts w:cs="Calibri"/>
          <w:spacing w:val="-2"/>
        </w:rPr>
      </w:pPr>
      <w:r w:rsidRPr="00261B7A">
        <w:rPr>
          <w:rFonts w:cs="Calibri"/>
          <w:spacing w:val="-2"/>
        </w:rPr>
        <w:t>New Zealand’s commitment period reserve calculation is based on the assigned amount for the first commitment period and is therefore fixed. The commitment period reserve is 278,608,260 metric tonnes of CO</w:t>
      </w:r>
      <w:r w:rsidRPr="00261B7A">
        <w:rPr>
          <w:rFonts w:cs="Calibri"/>
          <w:spacing w:val="-2"/>
          <w:vertAlign w:val="subscript"/>
        </w:rPr>
        <w:t>2</w:t>
      </w:r>
      <w:r w:rsidRPr="00261B7A">
        <w:rPr>
          <w:rFonts w:cs="Calibri"/>
          <w:spacing w:val="-2"/>
        </w:rPr>
        <w:t xml:space="preserve">-e, 90 per cent of the assigned amount of 309,564,733, fixed after the review of </w:t>
      </w:r>
      <w:r w:rsidRPr="00261B7A">
        <w:rPr>
          <w:rFonts w:cs="Calibri"/>
          <w:i/>
          <w:spacing w:val="-2"/>
        </w:rPr>
        <w:t>New Zealand’s Initial Report under the Kyoto Protocol</w:t>
      </w:r>
      <w:r w:rsidRPr="00261B7A">
        <w:rPr>
          <w:rFonts w:cs="Calibri"/>
          <w:spacing w:val="-2"/>
        </w:rPr>
        <w:t xml:space="preserve"> (Ministry for the Environment, 2006).</w:t>
      </w:r>
    </w:p>
    <w:p w14:paraId="05A9D8BC" w14:textId="77777777" w:rsidR="00296493" w:rsidRPr="00261B7A" w:rsidRDefault="00296493" w:rsidP="00296493">
      <w:pPr>
        <w:pStyle w:val="BodyText"/>
        <w:keepNext/>
      </w:pPr>
      <w:r w:rsidRPr="00261B7A">
        <w:t xml:space="preserve">The commitment period reserve level as at 31 December </w:t>
      </w:r>
      <w:r w:rsidRPr="00261B7A">
        <w:rPr>
          <w:color w:val="000000"/>
        </w:rPr>
        <w:t xml:space="preserve">2022 </w:t>
      </w:r>
      <w:r w:rsidRPr="00261B7A">
        <w:t>is:</w:t>
      </w:r>
    </w:p>
    <w:tbl>
      <w:tblPr>
        <w:tblW w:w="8505" w:type="dxa"/>
        <w:tblLayout w:type="fixed"/>
        <w:tblLook w:val="01E0" w:firstRow="1" w:lastRow="1" w:firstColumn="1" w:lastColumn="1" w:noHBand="0" w:noVBand="0"/>
      </w:tblPr>
      <w:tblGrid>
        <w:gridCol w:w="5932"/>
        <w:gridCol w:w="2573"/>
      </w:tblGrid>
      <w:tr w:rsidR="00296493" w:rsidRPr="00261B7A" w14:paraId="48FE1D38" w14:textId="77777777" w:rsidTr="00501B0F">
        <w:tc>
          <w:tcPr>
            <w:tcW w:w="6194" w:type="dxa"/>
            <w:shd w:val="clear" w:color="auto" w:fill="auto"/>
          </w:tcPr>
          <w:p w14:paraId="5FEC4E41" w14:textId="77777777" w:rsidR="00296493" w:rsidRPr="00261B7A" w:rsidRDefault="00296493" w:rsidP="00501B0F">
            <w:pPr>
              <w:keepNext/>
              <w:spacing w:before="40" w:after="40"/>
              <w:rPr>
                <w:rFonts w:cs="Calibri"/>
                <w:sz w:val="20"/>
                <w:szCs w:val="20"/>
              </w:rPr>
            </w:pPr>
            <w:r w:rsidRPr="00261B7A">
              <w:rPr>
                <w:rFonts w:cs="Calibri"/>
                <w:sz w:val="20"/>
                <w:szCs w:val="20"/>
              </w:rPr>
              <w:t>Commitment period reserve (CPR) limit:</w:t>
            </w:r>
          </w:p>
        </w:tc>
        <w:tc>
          <w:tcPr>
            <w:tcW w:w="2680" w:type="dxa"/>
            <w:tcBorders>
              <w:bottom w:val="single" w:sz="4" w:space="0" w:color="auto"/>
            </w:tcBorders>
            <w:shd w:val="clear" w:color="auto" w:fill="auto"/>
          </w:tcPr>
          <w:p w14:paraId="07830908" w14:textId="77777777" w:rsidR="00296493" w:rsidRPr="00261B7A" w:rsidRDefault="00296493" w:rsidP="00501B0F">
            <w:pPr>
              <w:keepNext/>
              <w:spacing w:before="40" w:after="40"/>
              <w:jc w:val="right"/>
              <w:rPr>
                <w:rFonts w:cs="Calibri"/>
                <w:sz w:val="20"/>
                <w:szCs w:val="20"/>
              </w:rPr>
            </w:pPr>
            <w:r w:rsidRPr="00261B7A">
              <w:rPr>
                <w:rFonts w:cs="Calibri"/>
                <w:sz w:val="20"/>
                <w:szCs w:val="20"/>
              </w:rPr>
              <w:t>278,608,260</w:t>
            </w:r>
          </w:p>
        </w:tc>
      </w:tr>
      <w:tr w:rsidR="00296493" w:rsidRPr="00261B7A" w14:paraId="3F776E31" w14:textId="77777777" w:rsidTr="00501B0F">
        <w:tc>
          <w:tcPr>
            <w:tcW w:w="6194" w:type="dxa"/>
            <w:shd w:val="clear" w:color="auto" w:fill="auto"/>
          </w:tcPr>
          <w:p w14:paraId="57B3D8B7" w14:textId="77777777" w:rsidR="00296493" w:rsidRPr="00261B7A" w:rsidRDefault="00296493" w:rsidP="00501B0F">
            <w:pPr>
              <w:keepNext/>
              <w:spacing w:before="40" w:after="40"/>
              <w:rPr>
                <w:rFonts w:cs="Calibri"/>
                <w:sz w:val="20"/>
                <w:szCs w:val="20"/>
              </w:rPr>
            </w:pPr>
            <w:r w:rsidRPr="00261B7A">
              <w:rPr>
                <w:rFonts w:cs="Calibri"/>
                <w:sz w:val="20"/>
                <w:szCs w:val="20"/>
              </w:rPr>
              <w:t>Units held:</w:t>
            </w:r>
          </w:p>
        </w:tc>
        <w:tc>
          <w:tcPr>
            <w:tcW w:w="2680" w:type="dxa"/>
            <w:tcBorders>
              <w:top w:val="single" w:sz="4" w:space="0" w:color="auto"/>
            </w:tcBorders>
            <w:shd w:val="clear" w:color="auto" w:fill="auto"/>
          </w:tcPr>
          <w:p w14:paraId="298DC97C" w14:textId="77777777" w:rsidR="00296493" w:rsidRPr="00261B7A" w:rsidRDefault="00296493" w:rsidP="00501B0F">
            <w:pPr>
              <w:keepNext/>
              <w:spacing w:before="40" w:after="40"/>
              <w:jc w:val="right"/>
              <w:rPr>
                <w:rFonts w:cs="Calibri"/>
                <w:sz w:val="20"/>
                <w:szCs w:val="20"/>
              </w:rPr>
            </w:pPr>
            <w:r w:rsidRPr="00261B7A">
              <w:rPr>
                <w:rFonts w:cs="Calibri"/>
                <w:sz w:val="20"/>
                <w:szCs w:val="20"/>
              </w:rPr>
              <w:t>402,074,068</w:t>
            </w:r>
          </w:p>
        </w:tc>
      </w:tr>
      <w:tr w:rsidR="00296493" w:rsidRPr="00261B7A" w14:paraId="137D07A0" w14:textId="77777777" w:rsidTr="00501B0F">
        <w:tc>
          <w:tcPr>
            <w:tcW w:w="6194" w:type="dxa"/>
            <w:shd w:val="clear" w:color="auto" w:fill="auto"/>
          </w:tcPr>
          <w:p w14:paraId="63CB26F7" w14:textId="77777777" w:rsidR="00296493" w:rsidRPr="00261B7A" w:rsidRDefault="00296493" w:rsidP="00501B0F">
            <w:pPr>
              <w:keepNext/>
              <w:spacing w:before="40" w:after="40"/>
              <w:rPr>
                <w:rFonts w:cs="Calibri"/>
                <w:sz w:val="20"/>
                <w:szCs w:val="20"/>
              </w:rPr>
            </w:pPr>
            <w:r w:rsidRPr="00261B7A">
              <w:rPr>
                <w:rFonts w:cs="Calibri"/>
                <w:sz w:val="20"/>
                <w:szCs w:val="20"/>
              </w:rPr>
              <w:t>CPR level:</w:t>
            </w:r>
          </w:p>
        </w:tc>
        <w:tc>
          <w:tcPr>
            <w:tcW w:w="2680" w:type="dxa"/>
            <w:shd w:val="clear" w:color="auto" w:fill="auto"/>
          </w:tcPr>
          <w:p w14:paraId="03A2B16B" w14:textId="77777777" w:rsidR="00296493" w:rsidRPr="00261B7A" w:rsidRDefault="00296493" w:rsidP="00501B0F">
            <w:pPr>
              <w:keepNext/>
              <w:spacing w:before="40" w:after="40"/>
              <w:jc w:val="right"/>
              <w:rPr>
                <w:rFonts w:cs="Calibri"/>
                <w:sz w:val="20"/>
                <w:szCs w:val="20"/>
              </w:rPr>
            </w:pPr>
            <w:r w:rsidRPr="00261B7A">
              <w:rPr>
                <w:rFonts w:cs="Calibri"/>
                <w:sz w:val="20"/>
                <w:szCs w:val="20"/>
              </w:rPr>
              <w:t>402,098,575</w:t>
            </w:r>
          </w:p>
        </w:tc>
      </w:tr>
      <w:tr w:rsidR="00296493" w:rsidRPr="00261B7A" w14:paraId="7B6BBDAC" w14:textId="77777777" w:rsidTr="00501B0F">
        <w:tc>
          <w:tcPr>
            <w:tcW w:w="6194" w:type="dxa"/>
            <w:shd w:val="clear" w:color="auto" w:fill="auto"/>
          </w:tcPr>
          <w:p w14:paraId="3E9A4FFB" w14:textId="77777777" w:rsidR="00296493" w:rsidRPr="00261B7A" w:rsidRDefault="00296493" w:rsidP="00501B0F">
            <w:pPr>
              <w:keepNext/>
              <w:spacing w:before="40" w:after="40"/>
              <w:rPr>
                <w:rFonts w:cs="Calibri"/>
                <w:sz w:val="20"/>
                <w:szCs w:val="20"/>
              </w:rPr>
            </w:pPr>
            <w:r w:rsidRPr="00261B7A">
              <w:rPr>
                <w:rFonts w:cs="Calibri"/>
                <w:sz w:val="20"/>
                <w:szCs w:val="20"/>
              </w:rPr>
              <w:t xml:space="preserve">CPR level = (% of assigned amount): </w:t>
            </w:r>
          </w:p>
        </w:tc>
        <w:tc>
          <w:tcPr>
            <w:tcW w:w="2680" w:type="dxa"/>
            <w:shd w:val="clear" w:color="auto" w:fill="auto"/>
          </w:tcPr>
          <w:p w14:paraId="40FB1545" w14:textId="77777777" w:rsidR="00296493" w:rsidRPr="00261B7A" w:rsidRDefault="00296493" w:rsidP="00501B0F">
            <w:pPr>
              <w:keepNext/>
              <w:spacing w:before="40" w:after="40"/>
              <w:jc w:val="right"/>
              <w:rPr>
                <w:rFonts w:cs="Calibri"/>
                <w:sz w:val="20"/>
                <w:szCs w:val="20"/>
              </w:rPr>
            </w:pPr>
            <w:r w:rsidRPr="00261B7A">
              <w:rPr>
                <w:rFonts w:cs="Calibri"/>
                <w:sz w:val="20"/>
                <w:szCs w:val="20"/>
              </w:rPr>
              <w:t>144.32%</w:t>
            </w:r>
          </w:p>
        </w:tc>
      </w:tr>
      <w:tr w:rsidR="00296493" w:rsidRPr="00261B7A" w14:paraId="6300FE75" w14:textId="77777777" w:rsidTr="00501B0F">
        <w:tc>
          <w:tcPr>
            <w:tcW w:w="6194" w:type="dxa"/>
            <w:shd w:val="clear" w:color="auto" w:fill="auto"/>
          </w:tcPr>
          <w:p w14:paraId="6F5865DE" w14:textId="77777777" w:rsidR="00296493" w:rsidRPr="00261B7A" w:rsidRDefault="00296493" w:rsidP="00501B0F">
            <w:pPr>
              <w:rPr>
                <w:rFonts w:cs="Calibri"/>
                <w:sz w:val="14"/>
                <w:szCs w:val="14"/>
                <w:highlight w:val="yellow"/>
              </w:rPr>
            </w:pPr>
          </w:p>
        </w:tc>
        <w:tc>
          <w:tcPr>
            <w:tcW w:w="2680" w:type="dxa"/>
            <w:shd w:val="clear" w:color="auto" w:fill="auto"/>
          </w:tcPr>
          <w:p w14:paraId="2D48F58D" w14:textId="77777777" w:rsidR="00296493" w:rsidRPr="00261B7A" w:rsidRDefault="00296493" w:rsidP="00501B0F">
            <w:pPr>
              <w:jc w:val="right"/>
              <w:rPr>
                <w:rFonts w:cs="Calibri"/>
                <w:sz w:val="14"/>
                <w:szCs w:val="14"/>
              </w:rPr>
            </w:pPr>
          </w:p>
        </w:tc>
      </w:tr>
      <w:tr w:rsidR="00296493" w:rsidRPr="00261B7A" w14:paraId="74D8AE66" w14:textId="77777777" w:rsidTr="00501B0F">
        <w:tc>
          <w:tcPr>
            <w:tcW w:w="6194" w:type="dxa"/>
            <w:shd w:val="clear" w:color="auto" w:fill="auto"/>
          </w:tcPr>
          <w:p w14:paraId="382EBF59" w14:textId="77777777" w:rsidR="00296493" w:rsidRPr="00261B7A" w:rsidRDefault="00296493" w:rsidP="00501B0F">
            <w:pPr>
              <w:spacing w:before="40" w:after="40"/>
              <w:rPr>
                <w:rFonts w:cs="Calibri"/>
                <w:sz w:val="20"/>
                <w:szCs w:val="20"/>
              </w:rPr>
            </w:pPr>
            <w:r w:rsidRPr="00261B7A">
              <w:rPr>
                <w:rFonts w:cs="Calibri"/>
                <w:sz w:val="20"/>
                <w:szCs w:val="20"/>
              </w:rPr>
              <w:t>CPR level comprises the following units:</w:t>
            </w:r>
          </w:p>
        </w:tc>
        <w:tc>
          <w:tcPr>
            <w:tcW w:w="2680" w:type="dxa"/>
            <w:shd w:val="clear" w:color="auto" w:fill="auto"/>
          </w:tcPr>
          <w:p w14:paraId="746F81EF" w14:textId="77777777" w:rsidR="00296493" w:rsidRPr="00261B7A" w:rsidRDefault="00296493" w:rsidP="00501B0F">
            <w:pPr>
              <w:spacing w:before="40" w:after="40"/>
              <w:jc w:val="right"/>
              <w:rPr>
                <w:rFonts w:cs="Calibri"/>
                <w:sz w:val="20"/>
                <w:szCs w:val="20"/>
              </w:rPr>
            </w:pPr>
          </w:p>
        </w:tc>
      </w:tr>
      <w:tr w:rsidR="00296493" w:rsidRPr="00261B7A" w14:paraId="3AA38A9F" w14:textId="77777777" w:rsidTr="00501B0F">
        <w:tc>
          <w:tcPr>
            <w:tcW w:w="6194" w:type="dxa"/>
            <w:shd w:val="clear" w:color="auto" w:fill="auto"/>
          </w:tcPr>
          <w:p w14:paraId="37A77392" w14:textId="77777777" w:rsidR="00296493" w:rsidRPr="00261B7A" w:rsidRDefault="00296493" w:rsidP="00501B0F">
            <w:pPr>
              <w:spacing w:before="40" w:after="40"/>
              <w:rPr>
                <w:rFonts w:cs="Calibri"/>
                <w:sz w:val="20"/>
                <w:szCs w:val="20"/>
              </w:rPr>
            </w:pPr>
            <w:r w:rsidRPr="00261B7A">
              <w:rPr>
                <w:rFonts w:cs="Calibri"/>
                <w:sz w:val="20"/>
                <w:szCs w:val="20"/>
              </w:rPr>
              <w:t>AAUs</w:t>
            </w:r>
          </w:p>
        </w:tc>
        <w:tc>
          <w:tcPr>
            <w:tcW w:w="2680" w:type="dxa"/>
            <w:shd w:val="clear" w:color="auto" w:fill="auto"/>
          </w:tcPr>
          <w:p w14:paraId="2E096CE6" w14:textId="77777777" w:rsidR="00296493" w:rsidRPr="00261B7A" w:rsidRDefault="00296493" w:rsidP="00501B0F">
            <w:pPr>
              <w:spacing w:before="40" w:after="40"/>
              <w:jc w:val="right"/>
              <w:rPr>
                <w:rFonts w:cs="Calibri"/>
                <w:sz w:val="20"/>
                <w:szCs w:val="20"/>
              </w:rPr>
            </w:pPr>
            <w:r w:rsidRPr="00261B7A">
              <w:rPr>
                <w:rFonts w:cs="Calibri"/>
                <w:sz w:val="20"/>
                <w:szCs w:val="20"/>
              </w:rPr>
              <w:t>208,331,536</w:t>
            </w:r>
          </w:p>
        </w:tc>
      </w:tr>
      <w:tr w:rsidR="00296493" w:rsidRPr="00261B7A" w14:paraId="0E0D4F13" w14:textId="77777777" w:rsidTr="00501B0F">
        <w:tc>
          <w:tcPr>
            <w:tcW w:w="6194" w:type="dxa"/>
            <w:shd w:val="clear" w:color="auto" w:fill="auto"/>
          </w:tcPr>
          <w:p w14:paraId="2F09D226" w14:textId="77777777" w:rsidR="00296493" w:rsidRPr="00261B7A" w:rsidRDefault="00296493" w:rsidP="00501B0F">
            <w:pPr>
              <w:spacing w:before="40" w:after="40"/>
              <w:rPr>
                <w:rFonts w:cs="Calibri"/>
                <w:sz w:val="20"/>
                <w:szCs w:val="20"/>
              </w:rPr>
            </w:pPr>
            <w:r w:rsidRPr="00261B7A">
              <w:rPr>
                <w:rFonts w:cs="Calibri"/>
                <w:sz w:val="20"/>
                <w:szCs w:val="20"/>
              </w:rPr>
              <w:t>ERUs (converted from AAUs)</w:t>
            </w:r>
          </w:p>
        </w:tc>
        <w:tc>
          <w:tcPr>
            <w:tcW w:w="2680" w:type="dxa"/>
            <w:shd w:val="clear" w:color="auto" w:fill="auto"/>
          </w:tcPr>
          <w:p w14:paraId="26CFD439" w14:textId="77777777" w:rsidR="00296493" w:rsidRPr="00261B7A" w:rsidRDefault="00296493" w:rsidP="00501B0F">
            <w:pPr>
              <w:spacing w:before="40" w:after="40"/>
              <w:jc w:val="right"/>
              <w:rPr>
                <w:rFonts w:cs="Calibri"/>
                <w:sz w:val="20"/>
                <w:szCs w:val="20"/>
              </w:rPr>
            </w:pPr>
            <w:r w:rsidRPr="00261B7A">
              <w:rPr>
                <w:rFonts w:cs="Calibri"/>
                <w:sz w:val="20"/>
                <w:szCs w:val="20"/>
              </w:rPr>
              <w:t>97,027,042</w:t>
            </w:r>
          </w:p>
        </w:tc>
      </w:tr>
      <w:tr w:rsidR="00296493" w:rsidRPr="00261B7A" w14:paraId="70272164" w14:textId="77777777" w:rsidTr="00501B0F">
        <w:tc>
          <w:tcPr>
            <w:tcW w:w="6194" w:type="dxa"/>
            <w:shd w:val="clear" w:color="auto" w:fill="auto"/>
          </w:tcPr>
          <w:p w14:paraId="2F9F4081" w14:textId="77777777" w:rsidR="00296493" w:rsidRPr="00261B7A" w:rsidRDefault="00296493" w:rsidP="00501B0F">
            <w:pPr>
              <w:spacing w:before="40" w:after="40"/>
              <w:rPr>
                <w:rFonts w:cs="Calibri"/>
                <w:sz w:val="20"/>
                <w:szCs w:val="20"/>
              </w:rPr>
            </w:pPr>
            <w:r w:rsidRPr="00261B7A">
              <w:rPr>
                <w:rFonts w:cs="Calibri"/>
                <w:sz w:val="20"/>
                <w:szCs w:val="20"/>
              </w:rPr>
              <w:t>CERs</w:t>
            </w:r>
          </w:p>
        </w:tc>
        <w:tc>
          <w:tcPr>
            <w:tcW w:w="2680" w:type="dxa"/>
            <w:shd w:val="clear" w:color="auto" w:fill="auto"/>
          </w:tcPr>
          <w:p w14:paraId="0B7A5BF9" w14:textId="77777777" w:rsidR="00296493" w:rsidRPr="00261B7A" w:rsidRDefault="00296493" w:rsidP="00501B0F">
            <w:pPr>
              <w:spacing w:before="40" w:after="40"/>
              <w:jc w:val="right"/>
              <w:rPr>
                <w:rFonts w:cs="Calibri"/>
                <w:sz w:val="20"/>
                <w:szCs w:val="20"/>
              </w:rPr>
            </w:pPr>
            <w:r w:rsidRPr="00261B7A">
              <w:rPr>
                <w:rFonts w:cs="Calibri"/>
                <w:sz w:val="20"/>
                <w:szCs w:val="20"/>
              </w:rPr>
              <w:t>16,117,338</w:t>
            </w:r>
          </w:p>
        </w:tc>
      </w:tr>
      <w:tr w:rsidR="00296493" w:rsidRPr="00261B7A" w14:paraId="5943A945" w14:textId="77777777" w:rsidTr="00501B0F">
        <w:tc>
          <w:tcPr>
            <w:tcW w:w="6194" w:type="dxa"/>
            <w:shd w:val="clear" w:color="auto" w:fill="auto"/>
          </w:tcPr>
          <w:p w14:paraId="2838F38A" w14:textId="77777777" w:rsidR="00296493" w:rsidRPr="00261B7A" w:rsidRDefault="00296493" w:rsidP="00501B0F">
            <w:pPr>
              <w:spacing w:before="40" w:after="40"/>
              <w:rPr>
                <w:rFonts w:cs="Calibri"/>
                <w:sz w:val="20"/>
                <w:szCs w:val="20"/>
              </w:rPr>
            </w:pPr>
            <w:r w:rsidRPr="00261B7A">
              <w:rPr>
                <w:rFonts w:cs="Calibri"/>
                <w:sz w:val="20"/>
                <w:szCs w:val="20"/>
              </w:rPr>
              <w:t>RMUs</w:t>
            </w:r>
          </w:p>
        </w:tc>
        <w:tc>
          <w:tcPr>
            <w:tcW w:w="2680" w:type="dxa"/>
            <w:tcBorders>
              <w:bottom w:val="single" w:sz="4" w:space="0" w:color="auto"/>
            </w:tcBorders>
            <w:shd w:val="clear" w:color="auto" w:fill="auto"/>
          </w:tcPr>
          <w:p w14:paraId="2BE3B280" w14:textId="77777777" w:rsidR="00296493" w:rsidRPr="00261B7A" w:rsidRDefault="00296493" w:rsidP="00501B0F">
            <w:pPr>
              <w:spacing w:before="40" w:after="40"/>
              <w:jc w:val="right"/>
              <w:rPr>
                <w:rFonts w:cs="Calibri"/>
                <w:sz w:val="20"/>
                <w:szCs w:val="20"/>
              </w:rPr>
            </w:pPr>
            <w:r w:rsidRPr="00261B7A">
              <w:rPr>
                <w:rFonts w:cs="Calibri"/>
                <w:sz w:val="20"/>
                <w:szCs w:val="20"/>
              </w:rPr>
              <w:t>80,598,152</w:t>
            </w:r>
          </w:p>
        </w:tc>
      </w:tr>
      <w:tr w:rsidR="00296493" w:rsidRPr="00261B7A" w14:paraId="7A76C6C3" w14:textId="77777777" w:rsidTr="00501B0F">
        <w:tc>
          <w:tcPr>
            <w:tcW w:w="6194" w:type="dxa"/>
            <w:shd w:val="clear" w:color="auto" w:fill="auto"/>
          </w:tcPr>
          <w:p w14:paraId="13C1B4EE" w14:textId="77777777" w:rsidR="00296493" w:rsidRPr="00261B7A" w:rsidRDefault="00296493" w:rsidP="00501B0F">
            <w:pPr>
              <w:spacing w:before="40" w:after="40"/>
              <w:rPr>
                <w:rFonts w:cs="Calibri"/>
                <w:sz w:val="20"/>
                <w:szCs w:val="20"/>
              </w:rPr>
            </w:pPr>
            <w:r w:rsidRPr="00261B7A">
              <w:rPr>
                <w:rFonts w:cs="Calibri"/>
                <w:sz w:val="20"/>
                <w:szCs w:val="20"/>
              </w:rPr>
              <w:t>Total units</w:t>
            </w:r>
          </w:p>
        </w:tc>
        <w:tc>
          <w:tcPr>
            <w:tcW w:w="2680" w:type="dxa"/>
            <w:tcBorders>
              <w:top w:val="single" w:sz="4" w:space="0" w:color="auto"/>
              <w:bottom w:val="single" w:sz="4" w:space="0" w:color="auto"/>
            </w:tcBorders>
            <w:shd w:val="clear" w:color="auto" w:fill="auto"/>
          </w:tcPr>
          <w:p w14:paraId="0946C16A" w14:textId="77777777" w:rsidR="00296493" w:rsidRPr="00261B7A" w:rsidRDefault="00296493" w:rsidP="00501B0F">
            <w:pPr>
              <w:spacing w:before="40" w:after="40"/>
              <w:jc w:val="right"/>
              <w:rPr>
                <w:rFonts w:cs="Calibri"/>
                <w:sz w:val="20"/>
                <w:szCs w:val="20"/>
              </w:rPr>
            </w:pPr>
            <w:r w:rsidRPr="00261B7A">
              <w:rPr>
                <w:rFonts w:cs="Calibri"/>
                <w:sz w:val="20"/>
                <w:szCs w:val="20"/>
              </w:rPr>
              <w:t>402,074,068</w:t>
            </w:r>
          </w:p>
        </w:tc>
      </w:tr>
    </w:tbl>
    <w:p w14:paraId="39B41D14" w14:textId="77777777" w:rsidR="00296493" w:rsidRPr="00261B7A" w:rsidRDefault="00296493" w:rsidP="00296493">
      <w:pPr>
        <w:pStyle w:val="BodyText"/>
      </w:pPr>
    </w:p>
    <w:p w14:paraId="4DCC5405" w14:textId="77777777" w:rsidR="00296493" w:rsidRPr="00261B7A" w:rsidRDefault="00296493" w:rsidP="00BA6085">
      <w:pPr>
        <w:pStyle w:val="Heading2"/>
        <w:spacing w:before="0" w:after="480"/>
      </w:pPr>
      <w:bookmarkStart w:id="3254" w:name="_Toc481751436"/>
      <w:r w:rsidRPr="00261B7A">
        <w:br w:type="page"/>
      </w:r>
      <w:bookmarkStart w:id="3255" w:name="_Toc511116650"/>
      <w:bookmarkStart w:id="3256" w:name="_Toc131591293"/>
      <w:r w:rsidRPr="00261B7A">
        <w:t>Chapter 12: Reference</w:t>
      </w:r>
      <w:bookmarkEnd w:id="3254"/>
      <w:bookmarkEnd w:id="3255"/>
      <w:bookmarkEnd w:id="3256"/>
      <w:r w:rsidRPr="00261B7A">
        <w:t xml:space="preserve"> </w:t>
      </w:r>
    </w:p>
    <w:p w14:paraId="32C00FCB" w14:textId="08DC8110" w:rsidR="00296493" w:rsidRPr="00261B7A" w:rsidRDefault="00296493" w:rsidP="00296493">
      <w:pPr>
        <w:pStyle w:val="References"/>
        <w:rPr>
          <w:rFonts w:cs="Calibri"/>
        </w:rPr>
      </w:pPr>
      <w:r w:rsidRPr="00261B7A">
        <w:rPr>
          <w:rFonts w:cs="Calibri"/>
        </w:rPr>
        <w:t xml:space="preserve">Ministry for the Environment. 2006. </w:t>
      </w:r>
      <w:r w:rsidRPr="00261B7A">
        <w:rPr>
          <w:rFonts w:cs="Calibri"/>
          <w:i/>
          <w:iCs/>
        </w:rPr>
        <w:t xml:space="preserve">New Zealand’s Initial Report under the Kyoto Protocol. </w:t>
      </w:r>
      <w:r w:rsidRPr="00261B7A">
        <w:rPr>
          <w:rFonts w:cs="Calibri"/>
        </w:rPr>
        <w:t xml:space="preserve">Wellington: Ministry for the Environment. Retrieved from </w:t>
      </w:r>
      <w:hyperlink r:id="rId297" w:history="1">
        <w:r w:rsidR="00C73083">
          <w:rPr>
            <w:rStyle w:val="Hyperlink"/>
            <w:rFonts w:cs="Calibri"/>
          </w:rPr>
          <w:t>unfccc.int/files/national_reports/application/pdf/ new_zealands_initial_report_under_the_kyoto_protocol.pdf</w:t>
        </w:r>
      </w:hyperlink>
      <w:r w:rsidR="00D84847" w:rsidRPr="00261B7A">
        <w:rPr>
          <w:rFonts w:cs="Calibri"/>
        </w:rPr>
        <w:t xml:space="preserve"> </w:t>
      </w:r>
      <w:r w:rsidRPr="00261B7A">
        <w:rPr>
          <w:rFonts w:cs="Calibri"/>
        </w:rPr>
        <w:t>(</w:t>
      </w:r>
      <w:r w:rsidR="001460D9" w:rsidRPr="00261B7A">
        <w:rPr>
          <w:rFonts w:cs="Calibri"/>
        </w:rPr>
        <w:t>30 March 2023</w:t>
      </w:r>
      <w:r w:rsidRPr="00261B7A">
        <w:rPr>
          <w:rFonts w:cs="Calibri"/>
        </w:rPr>
        <w:t>).</w:t>
      </w:r>
    </w:p>
    <w:p w14:paraId="0D2ABFA2" w14:textId="77777777" w:rsidR="00296493" w:rsidRPr="00261B7A" w:rsidRDefault="00296493" w:rsidP="00296493">
      <w:pPr>
        <w:pStyle w:val="BodyText"/>
      </w:pPr>
    </w:p>
    <w:p w14:paraId="16421E4D" w14:textId="77777777" w:rsidR="00BA6085" w:rsidRPr="00261B7A" w:rsidRDefault="00BA6085" w:rsidP="005D1235">
      <w:pPr>
        <w:sectPr w:rsidR="00BA6085" w:rsidRPr="00261B7A" w:rsidSect="006F1100">
          <w:footerReference w:type="even" r:id="rId298"/>
          <w:footerReference w:type="default" r:id="rId299"/>
          <w:pgSz w:w="11907" w:h="16840" w:code="9"/>
          <w:pgMar w:top="1418" w:right="1701" w:bottom="1418" w:left="1701" w:header="567" w:footer="567" w:gutter="0"/>
          <w:cols w:space="720"/>
        </w:sectPr>
      </w:pPr>
    </w:p>
    <w:p w14:paraId="29E544FA" w14:textId="77777777" w:rsidR="006B4C3C" w:rsidRPr="00261B7A" w:rsidRDefault="006B4C3C" w:rsidP="006B4C3C">
      <w:pPr>
        <w:pStyle w:val="Heading1"/>
      </w:pPr>
      <w:bookmarkStart w:id="3257" w:name="_Toc131591294"/>
      <w:r w:rsidRPr="00261B7A">
        <w:t>Chapter 13: Information on changes to the national inventory system</w:t>
      </w:r>
      <w:bookmarkEnd w:id="3257"/>
    </w:p>
    <w:p w14:paraId="5B940362" w14:textId="77777777" w:rsidR="006B4C3C" w:rsidRPr="00261B7A" w:rsidRDefault="006B4C3C" w:rsidP="006B4C3C">
      <w:pPr>
        <w:pStyle w:val="BodyText"/>
      </w:pPr>
      <w:r w:rsidRPr="00261B7A">
        <w:t xml:space="preserve">No changes have been made in the legal or institutional arrangements in the national inventory system since the 2022 inventory submission. </w:t>
      </w:r>
    </w:p>
    <w:p w14:paraId="5852BB44" w14:textId="77777777" w:rsidR="006B4C3C" w:rsidRPr="00261B7A" w:rsidRDefault="006B4C3C" w:rsidP="006B4C3C">
      <w:pPr>
        <w:pStyle w:val="BodyText"/>
      </w:pPr>
      <w:r w:rsidRPr="00261B7A">
        <w:t xml:space="preserve">Although no major changes were made in the structure of the national inventory system, several programme and operational improvements were implemented, to increase the quality and efficiency of the inventory production. These include: </w:t>
      </w:r>
    </w:p>
    <w:p w14:paraId="78E6F26C" w14:textId="77777777" w:rsidR="006B4C3C" w:rsidRPr="00261B7A" w:rsidRDefault="006B4C3C" w:rsidP="00834A92">
      <w:pPr>
        <w:pStyle w:val="Bullet"/>
      </w:pPr>
      <w:r w:rsidRPr="00261B7A">
        <w:t>continuing to develop automated methods for the National Inventory Report production, especially where large quantities of data reported are within several different source documents</w:t>
      </w:r>
    </w:p>
    <w:p w14:paraId="4EEF0774" w14:textId="77777777" w:rsidR="006B4C3C" w:rsidRPr="00261B7A" w:rsidRDefault="006B4C3C" w:rsidP="00834A92">
      <w:pPr>
        <w:pStyle w:val="Bullet"/>
      </w:pPr>
      <w:r w:rsidRPr="00261B7A">
        <w:t>continuing to develop the expertise of inventory contributors through coaching and structured training courses</w:t>
      </w:r>
    </w:p>
    <w:p w14:paraId="42FDCE79" w14:textId="77777777" w:rsidR="006B4C3C" w:rsidRPr="00261B7A" w:rsidRDefault="006B4C3C" w:rsidP="00834A92">
      <w:pPr>
        <w:pStyle w:val="Bullet"/>
      </w:pPr>
      <w:r w:rsidRPr="00261B7A">
        <w:t>continuing to resource project management and quality control within the central inventory agency (the Ministry for the Environment).</w:t>
      </w:r>
    </w:p>
    <w:p w14:paraId="1DE6CFED" w14:textId="77777777" w:rsidR="006B4C3C" w:rsidRPr="00261B7A" w:rsidRDefault="006B4C3C" w:rsidP="006B4C3C">
      <w:pPr>
        <w:pStyle w:val="BodyText"/>
      </w:pPr>
      <w:r w:rsidRPr="00261B7A">
        <w:t xml:space="preserve">The improvements are expected to enhance the functioning of the national system and, in doing so, ensure continuous improvement of national inventory submissions into the future. </w:t>
      </w:r>
    </w:p>
    <w:p w14:paraId="3AC37404" w14:textId="77777777" w:rsidR="006B4C3C" w:rsidRPr="00261B7A" w:rsidRDefault="006B4C3C" w:rsidP="006B4C3C"/>
    <w:p w14:paraId="023297F6" w14:textId="77777777" w:rsidR="00834A92" w:rsidRPr="00261B7A" w:rsidRDefault="00834A92" w:rsidP="005D1235">
      <w:pPr>
        <w:sectPr w:rsidR="00834A92" w:rsidRPr="00261B7A" w:rsidSect="00AF5739">
          <w:footerReference w:type="even" r:id="rId300"/>
          <w:footerReference w:type="default" r:id="rId301"/>
          <w:pgSz w:w="11907" w:h="16840" w:code="9"/>
          <w:pgMar w:top="1418" w:right="1701" w:bottom="1418" w:left="1701" w:header="567" w:footer="567" w:gutter="0"/>
          <w:cols w:space="720"/>
        </w:sectPr>
      </w:pPr>
    </w:p>
    <w:p w14:paraId="228AF6CE" w14:textId="77777777" w:rsidR="00043E97" w:rsidRPr="00261B7A" w:rsidRDefault="00043E97" w:rsidP="00043E97">
      <w:pPr>
        <w:pStyle w:val="Heading1"/>
      </w:pPr>
      <w:bookmarkStart w:id="3258" w:name="_Toc481751438"/>
      <w:bookmarkStart w:id="3259" w:name="_Toc511116652"/>
      <w:bookmarkStart w:id="3260" w:name="_Toc131591295"/>
      <w:r w:rsidRPr="00261B7A">
        <w:t>Chapter 14: Information on changes to the national registry</w:t>
      </w:r>
      <w:bookmarkEnd w:id="3258"/>
      <w:bookmarkEnd w:id="3259"/>
      <w:bookmarkEnd w:id="3260"/>
    </w:p>
    <w:p w14:paraId="482B0EA8" w14:textId="77777777" w:rsidR="00043E97" w:rsidRPr="00261B7A" w:rsidRDefault="00043E97" w:rsidP="00043E97">
      <w:pPr>
        <w:pStyle w:val="BodyText"/>
      </w:pPr>
      <w:r w:rsidRPr="00261B7A">
        <w:t>This chapter contains information required for the reporting of changes to New Zealand’s national registry. The changes made to New Zealand’s national registry since the 2022 submission are included in table 14.1.</w:t>
      </w:r>
    </w:p>
    <w:p w14:paraId="36DE2A5C" w14:textId="77777777" w:rsidR="00043E97" w:rsidRPr="00261B7A" w:rsidRDefault="00043E97" w:rsidP="00043E97">
      <w:pPr>
        <w:pStyle w:val="BodyText"/>
      </w:pPr>
      <w:r w:rsidRPr="00261B7A">
        <w:t xml:space="preserve">No recommendations were made in the review of New Zealand’s 2022 submission by the expert review team (see table 14.2). </w:t>
      </w:r>
    </w:p>
    <w:p w14:paraId="040BD169" w14:textId="77777777" w:rsidR="00043E97" w:rsidRPr="00261B7A" w:rsidRDefault="00043E97" w:rsidP="00043E97">
      <w:pPr>
        <w:pStyle w:val="BodyText"/>
        <w:rPr>
          <w:rFonts w:cs="Calibri"/>
        </w:rPr>
      </w:pPr>
      <w:r w:rsidRPr="00261B7A">
        <w:rPr>
          <w:rFonts w:cs="Calibri"/>
        </w:rPr>
        <w:t xml:space="preserve">The contact details for the national registry are provided in table 14.3. </w:t>
      </w:r>
    </w:p>
    <w:p w14:paraId="546D4F48" w14:textId="77777777" w:rsidR="00043E97" w:rsidRPr="00261B7A" w:rsidRDefault="00043E97" w:rsidP="00043E97">
      <w:pPr>
        <w:pStyle w:val="Table"/>
      </w:pPr>
      <w:bookmarkStart w:id="3261" w:name="_Toc481751644"/>
      <w:bookmarkStart w:id="3262" w:name="_Toc511116872"/>
      <w:bookmarkStart w:id="3263" w:name="_Toc131591512"/>
      <w:r w:rsidRPr="00261B7A">
        <w:t xml:space="preserve">Table 14.1 </w:t>
      </w:r>
      <w:r w:rsidRPr="00261B7A">
        <w:tab/>
        <w:t>Changes made to New Zealand’s national registry</w:t>
      </w:r>
      <w:bookmarkEnd w:id="3261"/>
      <w:bookmarkEnd w:id="3262"/>
      <w:bookmarkEnd w:id="3263"/>
    </w:p>
    <w:tbl>
      <w:tblPr>
        <w:tblW w:w="8505" w:type="dxa"/>
        <w:tblBorders>
          <w:top w:val="single" w:sz="4" w:space="0" w:color="365F91"/>
          <w:bottom w:val="single" w:sz="4" w:space="0" w:color="365F91"/>
          <w:insideV w:val="single" w:sz="4" w:space="0" w:color="365F91"/>
        </w:tblBorders>
        <w:tblLook w:val="01E0" w:firstRow="1" w:lastRow="1" w:firstColumn="1" w:lastColumn="1" w:noHBand="0" w:noVBand="0"/>
      </w:tblPr>
      <w:tblGrid>
        <w:gridCol w:w="4111"/>
        <w:gridCol w:w="4394"/>
      </w:tblGrid>
      <w:tr w:rsidR="00043E97" w:rsidRPr="00261B7A" w14:paraId="6CA97E9D" w14:textId="77777777" w:rsidTr="00501B0F">
        <w:trPr>
          <w:tblHeader/>
        </w:trPr>
        <w:tc>
          <w:tcPr>
            <w:tcW w:w="4111" w:type="dxa"/>
            <w:tcBorders>
              <w:top w:val="single" w:sz="4" w:space="0" w:color="1B556B"/>
              <w:bottom w:val="single" w:sz="4" w:space="0" w:color="365F91"/>
              <w:right w:val="single" w:sz="4" w:space="0" w:color="1B556B"/>
            </w:tcBorders>
            <w:shd w:val="clear" w:color="auto" w:fill="1B556B"/>
          </w:tcPr>
          <w:p w14:paraId="00876875" w14:textId="77777777" w:rsidR="00043E97" w:rsidRPr="00261B7A" w:rsidRDefault="00043E97" w:rsidP="00501B0F">
            <w:pPr>
              <w:pStyle w:val="TableTextBold"/>
              <w:rPr>
                <w:noProof w:val="0"/>
                <w:color w:val="FFFFFF"/>
              </w:rPr>
            </w:pPr>
            <w:r w:rsidRPr="00261B7A">
              <w:rPr>
                <w:noProof w:val="0"/>
                <w:color w:val="FFFFFF"/>
              </w:rPr>
              <w:t>Section subheading</w:t>
            </w:r>
          </w:p>
        </w:tc>
        <w:tc>
          <w:tcPr>
            <w:tcW w:w="4394" w:type="dxa"/>
            <w:tcBorders>
              <w:top w:val="single" w:sz="4" w:space="0" w:color="1B556B"/>
              <w:left w:val="single" w:sz="4" w:space="0" w:color="1B556B"/>
              <w:bottom w:val="single" w:sz="4" w:space="0" w:color="365F91"/>
            </w:tcBorders>
            <w:shd w:val="clear" w:color="auto" w:fill="1B556B"/>
          </w:tcPr>
          <w:p w14:paraId="65BF082C" w14:textId="77777777" w:rsidR="00043E97" w:rsidRPr="00261B7A" w:rsidRDefault="00043E97" w:rsidP="00501B0F">
            <w:pPr>
              <w:pStyle w:val="TableTextBold"/>
              <w:rPr>
                <w:noProof w:val="0"/>
                <w:color w:val="FFFFFF"/>
              </w:rPr>
            </w:pPr>
            <w:r w:rsidRPr="00261B7A">
              <w:rPr>
                <w:noProof w:val="0"/>
                <w:color w:val="FFFFFF"/>
              </w:rPr>
              <w:t>New Zealand’s response</w:t>
            </w:r>
          </w:p>
        </w:tc>
      </w:tr>
      <w:tr w:rsidR="00043E97" w:rsidRPr="00261B7A" w14:paraId="6C0AB14A" w14:textId="77777777" w:rsidTr="00501B0F">
        <w:tc>
          <w:tcPr>
            <w:tcW w:w="4111" w:type="dxa"/>
            <w:tcBorders>
              <w:top w:val="single" w:sz="4" w:space="0" w:color="365F91"/>
              <w:right w:val="single" w:sz="4" w:space="0" w:color="1B556B"/>
            </w:tcBorders>
          </w:tcPr>
          <w:p w14:paraId="3D6B314A" w14:textId="77777777" w:rsidR="00043E97" w:rsidRPr="00261B7A" w:rsidRDefault="00043E97" w:rsidP="00501B0F">
            <w:pPr>
              <w:pStyle w:val="TableText"/>
              <w:rPr>
                <w:rFonts w:cs="Calibri"/>
              </w:rPr>
            </w:pPr>
            <w:r w:rsidRPr="00261B7A">
              <w:rPr>
                <w:rFonts w:cs="Calibri"/>
              </w:rPr>
              <w:t xml:space="preserve">15/CMP.1 Annex II.E, paragraph 32.(a): Change in the name or contact for the national registry </w:t>
            </w:r>
          </w:p>
        </w:tc>
        <w:tc>
          <w:tcPr>
            <w:tcW w:w="4394" w:type="dxa"/>
            <w:tcBorders>
              <w:top w:val="single" w:sz="4" w:space="0" w:color="365F91"/>
              <w:left w:val="single" w:sz="4" w:space="0" w:color="1B556B"/>
            </w:tcBorders>
          </w:tcPr>
          <w:p w14:paraId="544EBF38" w14:textId="77777777" w:rsidR="00043E97" w:rsidRPr="00261B7A" w:rsidRDefault="00043E97" w:rsidP="00501B0F">
            <w:pPr>
              <w:pStyle w:val="TableText"/>
              <w:rPr>
                <w:rFonts w:cs="Calibri"/>
              </w:rPr>
            </w:pPr>
            <w:r w:rsidRPr="00261B7A">
              <w:rPr>
                <w:rFonts w:cs="Calibri"/>
              </w:rPr>
              <w:t>The contact details for the national registry have not been changed during the reporting period.</w:t>
            </w:r>
          </w:p>
        </w:tc>
      </w:tr>
      <w:tr w:rsidR="00043E97" w:rsidRPr="00261B7A" w14:paraId="13265510" w14:textId="77777777" w:rsidTr="00501B0F">
        <w:tc>
          <w:tcPr>
            <w:tcW w:w="4111" w:type="dxa"/>
            <w:tcBorders>
              <w:right w:val="single" w:sz="4" w:space="0" w:color="1B556B"/>
            </w:tcBorders>
          </w:tcPr>
          <w:p w14:paraId="71405DF0" w14:textId="77777777" w:rsidR="00043E97" w:rsidRPr="00261B7A" w:rsidRDefault="00043E97" w:rsidP="00501B0F">
            <w:pPr>
              <w:pStyle w:val="TableText"/>
              <w:rPr>
                <w:rFonts w:cs="Calibri"/>
              </w:rPr>
            </w:pPr>
            <w:r w:rsidRPr="00261B7A">
              <w:rPr>
                <w:rFonts w:cs="Calibri"/>
              </w:rPr>
              <w:t xml:space="preserve">15/CMP.1 Annex II.E, paragraph 32.(b): Change in cooperation arrangement </w:t>
            </w:r>
          </w:p>
        </w:tc>
        <w:tc>
          <w:tcPr>
            <w:tcW w:w="4394" w:type="dxa"/>
            <w:tcBorders>
              <w:left w:val="single" w:sz="4" w:space="0" w:color="1B556B"/>
            </w:tcBorders>
          </w:tcPr>
          <w:p w14:paraId="4D60BC58" w14:textId="77777777" w:rsidR="00043E97" w:rsidRPr="00261B7A" w:rsidRDefault="00043E97" w:rsidP="00501B0F">
            <w:pPr>
              <w:pStyle w:val="TableText"/>
              <w:rPr>
                <w:rFonts w:cs="Calibri"/>
              </w:rPr>
            </w:pPr>
            <w:r w:rsidRPr="00261B7A">
              <w:rPr>
                <w:rFonts w:cs="Calibri"/>
              </w:rPr>
              <w:t>No change of cooperation arrangement occurred during the reported period.</w:t>
            </w:r>
          </w:p>
        </w:tc>
      </w:tr>
      <w:tr w:rsidR="00043E97" w:rsidRPr="00261B7A" w14:paraId="75987E9D" w14:textId="77777777" w:rsidTr="00501B0F">
        <w:tc>
          <w:tcPr>
            <w:tcW w:w="4111" w:type="dxa"/>
            <w:tcBorders>
              <w:right w:val="single" w:sz="4" w:space="0" w:color="1B556B"/>
            </w:tcBorders>
          </w:tcPr>
          <w:p w14:paraId="4099F92A" w14:textId="77777777" w:rsidR="00043E97" w:rsidRPr="00261B7A" w:rsidRDefault="00043E97" w:rsidP="00501B0F">
            <w:pPr>
              <w:pStyle w:val="TableText"/>
              <w:rPr>
                <w:rFonts w:cs="Calibri"/>
              </w:rPr>
            </w:pPr>
            <w:r w:rsidRPr="00261B7A">
              <w:rPr>
                <w:rFonts w:cs="Calibri"/>
              </w:rPr>
              <w:t>1/CMP.1 Annex II.E, paragraph 32.(c): Change to the database or the capacity of the national registry</w:t>
            </w:r>
          </w:p>
        </w:tc>
        <w:tc>
          <w:tcPr>
            <w:tcW w:w="4394" w:type="dxa"/>
            <w:tcBorders>
              <w:left w:val="single" w:sz="4" w:space="0" w:color="1B556B"/>
            </w:tcBorders>
          </w:tcPr>
          <w:p w14:paraId="6DF89C7E" w14:textId="77777777" w:rsidR="00043E97" w:rsidRPr="00261B7A" w:rsidRDefault="00043E97" w:rsidP="00501B0F">
            <w:pPr>
              <w:pStyle w:val="TableText"/>
              <w:rPr>
                <w:rFonts w:cs="Calibri"/>
              </w:rPr>
            </w:pPr>
            <w:r w:rsidRPr="00261B7A">
              <w:rPr>
                <w:rFonts w:cs="Calibri"/>
              </w:rPr>
              <w:t>No change to the database or the capacity of the national registry occurred during the reporting period.</w:t>
            </w:r>
            <w:r w:rsidRPr="00261B7A" w:rsidDel="00905F56">
              <w:rPr>
                <w:rFonts w:cs="Calibri"/>
              </w:rPr>
              <w:t xml:space="preserve"> </w:t>
            </w:r>
          </w:p>
        </w:tc>
      </w:tr>
      <w:tr w:rsidR="00043E97" w:rsidRPr="00261B7A" w14:paraId="4694CBA5" w14:textId="77777777" w:rsidTr="00501B0F">
        <w:tc>
          <w:tcPr>
            <w:tcW w:w="4111" w:type="dxa"/>
            <w:tcBorders>
              <w:right w:val="single" w:sz="4" w:space="0" w:color="1B556B"/>
            </w:tcBorders>
          </w:tcPr>
          <w:p w14:paraId="763E3C27" w14:textId="77777777" w:rsidR="00043E97" w:rsidRPr="00261B7A" w:rsidRDefault="00043E97" w:rsidP="00501B0F">
            <w:pPr>
              <w:pStyle w:val="TableText"/>
              <w:rPr>
                <w:rFonts w:cs="Calibri"/>
                <w:highlight w:val="yellow"/>
              </w:rPr>
            </w:pPr>
            <w:r w:rsidRPr="00261B7A">
              <w:rPr>
                <w:rFonts w:cs="Calibri"/>
              </w:rPr>
              <w:t xml:space="preserve">15/CMP.1 Annex II.E, paragraph 32.(d): Change in the conformance to technical standards </w:t>
            </w:r>
          </w:p>
        </w:tc>
        <w:tc>
          <w:tcPr>
            <w:tcW w:w="4394" w:type="dxa"/>
            <w:tcBorders>
              <w:left w:val="single" w:sz="4" w:space="0" w:color="1B556B"/>
            </w:tcBorders>
          </w:tcPr>
          <w:p w14:paraId="4C968C65" w14:textId="77777777" w:rsidR="00043E97" w:rsidRPr="00261B7A" w:rsidRDefault="00043E97" w:rsidP="00501B0F">
            <w:pPr>
              <w:pStyle w:val="TableText"/>
              <w:rPr>
                <w:rFonts w:cs="Calibri"/>
              </w:rPr>
            </w:pPr>
            <w:r w:rsidRPr="00261B7A">
              <w:rPr>
                <w:rFonts w:cs="Calibri"/>
              </w:rPr>
              <w:t>No change in the conformance to technical standards occurred during the reporting period.</w:t>
            </w:r>
          </w:p>
        </w:tc>
      </w:tr>
      <w:tr w:rsidR="00043E97" w:rsidRPr="00261B7A" w14:paraId="2111D362" w14:textId="77777777" w:rsidTr="00501B0F">
        <w:tc>
          <w:tcPr>
            <w:tcW w:w="4111" w:type="dxa"/>
            <w:tcBorders>
              <w:right w:val="single" w:sz="4" w:space="0" w:color="1B556B"/>
            </w:tcBorders>
          </w:tcPr>
          <w:p w14:paraId="55554152" w14:textId="77777777" w:rsidR="00043E97" w:rsidRPr="00261B7A" w:rsidRDefault="00043E97" w:rsidP="00501B0F">
            <w:pPr>
              <w:pStyle w:val="TableText"/>
              <w:rPr>
                <w:rFonts w:cs="Calibri"/>
              </w:rPr>
            </w:pPr>
            <w:r w:rsidRPr="00261B7A">
              <w:rPr>
                <w:rFonts w:cs="Calibri"/>
              </w:rPr>
              <w:t xml:space="preserve">15/CMP.1 Annex II.E, paragraph 32.(e): Change in the discrepancy procedures </w:t>
            </w:r>
          </w:p>
        </w:tc>
        <w:tc>
          <w:tcPr>
            <w:tcW w:w="4394" w:type="dxa"/>
            <w:tcBorders>
              <w:left w:val="single" w:sz="4" w:space="0" w:color="1B556B"/>
            </w:tcBorders>
          </w:tcPr>
          <w:p w14:paraId="42B7D276" w14:textId="77777777" w:rsidR="00043E97" w:rsidRPr="00261B7A" w:rsidRDefault="00043E97" w:rsidP="00501B0F">
            <w:pPr>
              <w:pStyle w:val="TableText"/>
              <w:rPr>
                <w:rFonts w:cs="Calibri"/>
              </w:rPr>
            </w:pPr>
            <w:r w:rsidRPr="00261B7A">
              <w:rPr>
                <w:rFonts w:cs="Calibri"/>
              </w:rPr>
              <w:t>No change of discrepancies procedures occurred during the reporting period.</w:t>
            </w:r>
          </w:p>
        </w:tc>
      </w:tr>
      <w:tr w:rsidR="00043E97" w:rsidRPr="00261B7A" w14:paraId="2D0192F6" w14:textId="77777777" w:rsidTr="00501B0F">
        <w:tc>
          <w:tcPr>
            <w:tcW w:w="4111" w:type="dxa"/>
            <w:tcBorders>
              <w:right w:val="single" w:sz="4" w:space="0" w:color="1B556B"/>
            </w:tcBorders>
          </w:tcPr>
          <w:p w14:paraId="43E71A43" w14:textId="77777777" w:rsidR="00043E97" w:rsidRPr="00261B7A" w:rsidRDefault="00043E97" w:rsidP="00501B0F">
            <w:pPr>
              <w:pStyle w:val="TableText"/>
              <w:rPr>
                <w:rFonts w:cs="Calibri"/>
              </w:rPr>
            </w:pPr>
            <w:r w:rsidRPr="00261B7A">
              <w:rPr>
                <w:rFonts w:cs="Calibri"/>
              </w:rPr>
              <w:t xml:space="preserve">15/CMP.1 Annex II.E, paragraph 32.(f): Change in security </w:t>
            </w:r>
          </w:p>
        </w:tc>
        <w:tc>
          <w:tcPr>
            <w:tcW w:w="4394" w:type="dxa"/>
            <w:tcBorders>
              <w:left w:val="single" w:sz="4" w:space="0" w:color="1B556B"/>
            </w:tcBorders>
          </w:tcPr>
          <w:p w14:paraId="13E75702" w14:textId="77777777" w:rsidR="00043E97" w:rsidRPr="00261B7A" w:rsidRDefault="00043E97" w:rsidP="00501B0F">
            <w:pPr>
              <w:pStyle w:val="TableText"/>
              <w:rPr>
                <w:rFonts w:cs="Calibri"/>
              </w:rPr>
            </w:pPr>
            <w:r w:rsidRPr="00261B7A">
              <w:rPr>
                <w:rFonts w:cs="Calibri"/>
              </w:rPr>
              <w:t>No change in security occurred during the reporting period.</w:t>
            </w:r>
          </w:p>
        </w:tc>
      </w:tr>
      <w:tr w:rsidR="00043E97" w:rsidRPr="00261B7A" w14:paraId="69876D4F" w14:textId="77777777" w:rsidTr="00501B0F">
        <w:tc>
          <w:tcPr>
            <w:tcW w:w="4111" w:type="dxa"/>
            <w:tcBorders>
              <w:right w:val="single" w:sz="4" w:space="0" w:color="1B556B"/>
            </w:tcBorders>
          </w:tcPr>
          <w:p w14:paraId="306FB9CA" w14:textId="77777777" w:rsidR="00043E97" w:rsidRPr="00261B7A" w:rsidRDefault="00043E97" w:rsidP="00501B0F">
            <w:pPr>
              <w:pStyle w:val="TableText"/>
              <w:rPr>
                <w:rFonts w:cs="Calibri"/>
              </w:rPr>
            </w:pPr>
            <w:r w:rsidRPr="00261B7A">
              <w:rPr>
                <w:rFonts w:cs="Calibri"/>
              </w:rPr>
              <w:t xml:space="preserve">15/CMP.1 Annex II.E, paragraph 32.(g): Change in the list of publicly available information </w:t>
            </w:r>
          </w:p>
        </w:tc>
        <w:tc>
          <w:tcPr>
            <w:tcW w:w="4394" w:type="dxa"/>
            <w:tcBorders>
              <w:left w:val="single" w:sz="4" w:space="0" w:color="1B556B"/>
            </w:tcBorders>
          </w:tcPr>
          <w:p w14:paraId="49374CBB" w14:textId="77777777" w:rsidR="00043E97" w:rsidRPr="00261B7A" w:rsidRDefault="00043E97" w:rsidP="00501B0F">
            <w:pPr>
              <w:pStyle w:val="TableText"/>
              <w:rPr>
                <w:rFonts w:cs="Calibri"/>
              </w:rPr>
            </w:pPr>
            <w:r w:rsidRPr="00261B7A">
              <w:rPr>
                <w:rFonts w:cs="Calibri"/>
              </w:rPr>
              <w:t xml:space="preserve">No changes to the list of publicly available information occurred during the reporting period. </w:t>
            </w:r>
          </w:p>
        </w:tc>
      </w:tr>
      <w:tr w:rsidR="00043E97" w:rsidRPr="00261B7A" w14:paraId="0E2EDF56" w14:textId="77777777" w:rsidTr="00501B0F">
        <w:tc>
          <w:tcPr>
            <w:tcW w:w="4111" w:type="dxa"/>
            <w:tcBorders>
              <w:right w:val="single" w:sz="4" w:space="0" w:color="1B556B"/>
            </w:tcBorders>
          </w:tcPr>
          <w:p w14:paraId="0B796591" w14:textId="77777777" w:rsidR="00043E97" w:rsidRPr="00261B7A" w:rsidRDefault="00043E97" w:rsidP="00501B0F">
            <w:pPr>
              <w:pStyle w:val="TableText"/>
              <w:rPr>
                <w:rFonts w:cs="Calibri"/>
              </w:rPr>
            </w:pPr>
            <w:r w:rsidRPr="00261B7A">
              <w:rPr>
                <w:rFonts w:cs="Calibri"/>
              </w:rPr>
              <w:t>15/CMP.1 Annex II.E, paragraph 32.(h): Change to the internet address</w:t>
            </w:r>
          </w:p>
        </w:tc>
        <w:tc>
          <w:tcPr>
            <w:tcW w:w="4394" w:type="dxa"/>
            <w:tcBorders>
              <w:left w:val="single" w:sz="4" w:space="0" w:color="1B556B"/>
            </w:tcBorders>
          </w:tcPr>
          <w:p w14:paraId="4B3A1470" w14:textId="77777777" w:rsidR="00043E97" w:rsidRPr="00261B7A" w:rsidRDefault="00043E97" w:rsidP="00501B0F">
            <w:pPr>
              <w:pStyle w:val="TableText"/>
              <w:rPr>
                <w:rFonts w:cs="Calibri"/>
              </w:rPr>
            </w:pPr>
            <w:r w:rsidRPr="00261B7A">
              <w:rPr>
                <w:rFonts w:cs="Calibri"/>
              </w:rPr>
              <w:t>No change to the internet address occurred during the reporting period.</w:t>
            </w:r>
          </w:p>
        </w:tc>
      </w:tr>
      <w:tr w:rsidR="00043E97" w:rsidRPr="00261B7A" w14:paraId="59D820C5" w14:textId="77777777" w:rsidTr="00501B0F">
        <w:tc>
          <w:tcPr>
            <w:tcW w:w="4111" w:type="dxa"/>
            <w:tcBorders>
              <w:right w:val="single" w:sz="4" w:space="0" w:color="1B556B"/>
            </w:tcBorders>
          </w:tcPr>
          <w:p w14:paraId="373AA722" w14:textId="77777777" w:rsidR="00043E97" w:rsidRPr="00261B7A" w:rsidRDefault="00043E97" w:rsidP="00501B0F">
            <w:pPr>
              <w:pStyle w:val="TableText"/>
              <w:rPr>
                <w:rFonts w:cs="Calibri"/>
              </w:rPr>
            </w:pPr>
            <w:r w:rsidRPr="00261B7A">
              <w:rPr>
                <w:rFonts w:cs="Calibri"/>
              </w:rPr>
              <w:t xml:space="preserve">15/CMP.1 Annex II.E, paragraph 32.(i): Change to the data integrity measures </w:t>
            </w:r>
          </w:p>
        </w:tc>
        <w:tc>
          <w:tcPr>
            <w:tcW w:w="4394" w:type="dxa"/>
            <w:tcBorders>
              <w:left w:val="single" w:sz="4" w:space="0" w:color="1B556B"/>
            </w:tcBorders>
          </w:tcPr>
          <w:p w14:paraId="602A825D" w14:textId="77777777" w:rsidR="00043E97" w:rsidRPr="00261B7A" w:rsidRDefault="00043E97" w:rsidP="00501B0F">
            <w:pPr>
              <w:pStyle w:val="TableText"/>
              <w:rPr>
                <w:rFonts w:cs="Calibri"/>
              </w:rPr>
            </w:pPr>
            <w:r w:rsidRPr="00261B7A">
              <w:rPr>
                <w:rFonts w:cs="Calibri"/>
              </w:rPr>
              <w:t>No change to the data integrity measures occurred during the reporting period.</w:t>
            </w:r>
          </w:p>
        </w:tc>
      </w:tr>
      <w:tr w:rsidR="00043E97" w:rsidRPr="00261B7A" w14:paraId="5A102C9A" w14:textId="77777777" w:rsidTr="00501B0F">
        <w:tc>
          <w:tcPr>
            <w:tcW w:w="4111" w:type="dxa"/>
            <w:tcBorders>
              <w:bottom w:val="single" w:sz="4" w:space="0" w:color="1B556B"/>
              <w:right w:val="single" w:sz="4" w:space="0" w:color="1B556B"/>
            </w:tcBorders>
          </w:tcPr>
          <w:p w14:paraId="536E107D" w14:textId="77777777" w:rsidR="00043E97" w:rsidRPr="00261B7A" w:rsidRDefault="00043E97" w:rsidP="00501B0F">
            <w:pPr>
              <w:pStyle w:val="TableText"/>
              <w:rPr>
                <w:rFonts w:cs="Calibri"/>
              </w:rPr>
            </w:pPr>
            <w:r w:rsidRPr="00261B7A">
              <w:rPr>
                <w:rFonts w:cs="Calibri"/>
              </w:rPr>
              <w:t xml:space="preserve">15/CMP.1 Annex II.E, paragraph 32.(j): Change of the test results </w:t>
            </w:r>
          </w:p>
        </w:tc>
        <w:tc>
          <w:tcPr>
            <w:tcW w:w="4394" w:type="dxa"/>
            <w:tcBorders>
              <w:left w:val="single" w:sz="4" w:space="0" w:color="1B556B"/>
              <w:bottom w:val="single" w:sz="4" w:space="0" w:color="1B556B"/>
            </w:tcBorders>
          </w:tcPr>
          <w:p w14:paraId="407B6CF8" w14:textId="77777777" w:rsidR="00043E97" w:rsidRPr="00261B7A" w:rsidRDefault="00043E97" w:rsidP="00501B0F">
            <w:pPr>
              <w:pStyle w:val="TableText"/>
              <w:rPr>
                <w:rFonts w:cs="Calibri"/>
              </w:rPr>
            </w:pPr>
            <w:r w:rsidRPr="00261B7A">
              <w:rPr>
                <w:rFonts w:cs="Calibri"/>
              </w:rPr>
              <w:t>No change to the test results occurred during the reporting period.</w:t>
            </w:r>
          </w:p>
        </w:tc>
      </w:tr>
    </w:tbl>
    <w:p w14:paraId="398BE6DD" w14:textId="77777777" w:rsidR="00043E97" w:rsidRPr="00261B7A" w:rsidRDefault="00043E97" w:rsidP="00043E97">
      <w:pPr>
        <w:pStyle w:val="Table"/>
        <w:spacing w:before="360"/>
        <w:rPr>
          <w:rFonts w:cs="Calibri"/>
          <w:szCs w:val="18"/>
        </w:rPr>
      </w:pPr>
      <w:bookmarkStart w:id="3264" w:name="_Toc481751645"/>
      <w:bookmarkStart w:id="3265" w:name="_Toc511116873"/>
      <w:bookmarkStart w:id="3266" w:name="_Toc131591513"/>
      <w:r w:rsidRPr="00261B7A">
        <w:rPr>
          <w:rFonts w:cs="Calibri"/>
          <w:szCs w:val="18"/>
        </w:rPr>
        <w:t>Table 14.2</w:t>
      </w:r>
      <w:r w:rsidRPr="00261B7A">
        <w:rPr>
          <w:rFonts w:cs="Calibri"/>
          <w:szCs w:val="18"/>
        </w:rPr>
        <w:tab/>
        <w:t>Previous recommendations for New Zealand from the expert review team</w:t>
      </w:r>
      <w:bookmarkEnd w:id="3264"/>
      <w:bookmarkEnd w:id="3265"/>
      <w:bookmarkEnd w:id="3266"/>
      <w:r w:rsidRPr="00261B7A">
        <w:rPr>
          <w:rFonts w:cs="Calibri"/>
          <w:szCs w:val="18"/>
        </w:rPr>
        <w:t xml:space="preserve"> </w:t>
      </w:r>
    </w:p>
    <w:tbl>
      <w:tblPr>
        <w:tblW w:w="8505"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851"/>
        <w:gridCol w:w="3544"/>
        <w:gridCol w:w="4110"/>
      </w:tblGrid>
      <w:tr w:rsidR="00043E97" w:rsidRPr="00261B7A" w14:paraId="59BD3B67" w14:textId="77777777" w:rsidTr="00501B0F">
        <w:tc>
          <w:tcPr>
            <w:tcW w:w="851" w:type="dxa"/>
            <w:shd w:val="clear" w:color="auto" w:fill="1B556B"/>
            <w:vAlign w:val="bottom"/>
          </w:tcPr>
          <w:p w14:paraId="47247ABC" w14:textId="77777777" w:rsidR="00043E97" w:rsidRPr="00261B7A" w:rsidRDefault="00043E97" w:rsidP="00501B0F">
            <w:pPr>
              <w:pStyle w:val="TableTextBold"/>
              <w:rPr>
                <w:noProof w:val="0"/>
                <w:color w:val="FFFFFF"/>
              </w:rPr>
            </w:pPr>
          </w:p>
        </w:tc>
        <w:tc>
          <w:tcPr>
            <w:tcW w:w="3544" w:type="dxa"/>
            <w:shd w:val="clear" w:color="auto" w:fill="1B556B"/>
            <w:vAlign w:val="bottom"/>
          </w:tcPr>
          <w:p w14:paraId="5D855EF4" w14:textId="77777777" w:rsidR="00043E97" w:rsidRPr="00261B7A" w:rsidRDefault="00043E97" w:rsidP="00501B0F">
            <w:pPr>
              <w:pStyle w:val="TableTextBold"/>
              <w:rPr>
                <w:rFonts w:cs="Calibri"/>
                <w:noProof w:val="0"/>
                <w:color w:val="FFFFFF"/>
              </w:rPr>
            </w:pPr>
            <w:r w:rsidRPr="00261B7A">
              <w:rPr>
                <w:rFonts w:cs="Calibri"/>
                <w:noProof w:val="0"/>
                <w:color w:val="FFFFFF"/>
              </w:rPr>
              <w:t>Review descriptions</w:t>
            </w:r>
          </w:p>
        </w:tc>
        <w:tc>
          <w:tcPr>
            <w:tcW w:w="4110" w:type="dxa"/>
            <w:shd w:val="clear" w:color="auto" w:fill="1B556B"/>
            <w:vAlign w:val="bottom"/>
          </w:tcPr>
          <w:p w14:paraId="60989C9E" w14:textId="77777777" w:rsidR="00043E97" w:rsidRPr="00261B7A" w:rsidRDefault="00043E97" w:rsidP="00501B0F">
            <w:pPr>
              <w:pStyle w:val="TableTextBold"/>
              <w:rPr>
                <w:rFonts w:cs="Calibri"/>
                <w:noProof w:val="0"/>
                <w:color w:val="FFFFFF"/>
              </w:rPr>
            </w:pPr>
            <w:r w:rsidRPr="00261B7A">
              <w:rPr>
                <w:rFonts w:cs="Calibri"/>
                <w:noProof w:val="0"/>
                <w:color w:val="FFFFFF"/>
              </w:rPr>
              <w:t>New Zealand addressed the recommendation as follows</w:t>
            </w:r>
          </w:p>
        </w:tc>
      </w:tr>
      <w:tr w:rsidR="00043E97" w:rsidRPr="00261B7A" w14:paraId="140461B9" w14:textId="77777777" w:rsidTr="00501B0F">
        <w:tblPrEx>
          <w:tblBorders>
            <w:top w:val="single" w:sz="4" w:space="0" w:color="365F91"/>
            <w:bottom w:val="single" w:sz="4" w:space="0" w:color="365F91"/>
            <w:insideH w:val="single" w:sz="4" w:space="0" w:color="365F91"/>
            <w:insideV w:val="single" w:sz="4" w:space="0" w:color="365F91"/>
          </w:tblBorders>
        </w:tblPrEx>
        <w:tc>
          <w:tcPr>
            <w:tcW w:w="851" w:type="dxa"/>
          </w:tcPr>
          <w:p w14:paraId="4B9CCEBC" w14:textId="77777777" w:rsidR="00043E97" w:rsidRPr="00261B7A" w:rsidRDefault="00043E97" w:rsidP="00501B0F">
            <w:pPr>
              <w:pStyle w:val="TableText"/>
            </w:pPr>
            <w:r w:rsidRPr="00261B7A">
              <w:t>NA</w:t>
            </w:r>
          </w:p>
        </w:tc>
        <w:tc>
          <w:tcPr>
            <w:tcW w:w="3544" w:type="dxa"/>
          </w:tcPr>
          <w:p w14:paraId="59B3E6D9" w14:textId="77777777" w:rsidR="00043E97" w:rsidRPr="00261B7A" w:rsidRDefault="00043E97" w:rsidP="00501B0F">
            <w:pPr>
              <w:pStyle w:val="TableText"/>
            </w:pPr>
            <w:r w:rsidRPr="00261B7A">
              <w:t>There were no recommendations to be addressed</w:t>
            </w:r>
          </w:p>
        </w:tc>
        <w:tc>
          <w:tcPr>
            <w:tcW w:w="4110" w:type="dxa"/>
            <w:shd w:val="clear" w:color="auto" w:fill="auto"/>
          </w:tcPr>
          <w:p w14:paraId="65AC09E4" w14:textId="77777777" w:rsidR="00043E97" w:rsidRPr="00261B7A" w:rsidRDefault="00043E97" w:rsidP="00501B0F">
            <w:pPr>
              <w:pStyle w:val="TableText"/>
            </w:pPr>
            <w:r w:rsidRPr="00261B7A">
              <w:t>NA</w:t>
            </w:r>
          </w:p>
        </w:tc>
      </w:tr>
    </w:tbl>
    <w:p w14:paraId="0725AD48" w14:textId="77777777" w:rsidR="00043E97" w:rsidRPr="00261B7A" w:rsidRDefault="00043E97" w:rsidP="00043E97">
      <w:pPr>
        <w:pStyle w:val="Table"/>
      </w:pPr>
      <w:bookmarkStart w:id="3267" w:name="_Toc481751646"/>
      <w:bookmarkStart w:id="3268" w:name="_Toc511116874"/>
      <w:bookmarkStart w:id="3269" w:name="_Toc131591514"/>
      <w:r w:rsidRPr="00261B7A">
        <w:t xml:space="preserve">Table 14.3 </w:t>
      </w:r>
      <w:r w:rsidRPr="00261B7A">
        <w:tab/>
        <w:t>Contact details</w:t>
      </w:r>
      <w:bookmarkEnd w:id="3267"/>
      <w:bookmarkEnd w:id="3268"/>
      <w:bookmarkEnd w:id="3269"/>
    </w:p>
    <w:tbl>
      <w:tblPr>
        <w:tblW w:w="8505" w:type="dxa"/>
        <w:tblBorders>
          <w:top w:val="single" w:sz="4" w:space="0" w:color="1B556B"/>
          <w:bottom w:val="single" w:sz="4" w:space="0" w:color="1B556B"/>
          <w:insideH w:val="single" w:sz="4" w:space="0" w:color="1B556B"/>
        </w:tblBorders>
        <w:tblLook w:val="01E0" w:firstRow="1" w:lastRow="1" w:firstColumn="1" w:lastColumn="1" w:noHBand="0" w:noVBand="0"/>
      </w:tblPr>
      <w:tblGrid>
        <w:gridCol w:w="3786"/>
        <w:gridCol w:w="4719"/>
      </w:tblGrid>
      <w:tr w:rsidR="00043E97" w:rsidRPr="00261B7A" w14:paraId="00D48626" w14:textId="77777777" w:rsidTr="00501B0F">
        <w:tc>
          <w:tcPr>
            <w:tcW w:w="3799" w:type="dxa"/>
            <w:shd w:val="clear" w:color="auto" w:fill="auto"/>
          </w:tcPr>
          <w:p w14:paraId="4B756A0A" w14:textId="77777777" w:rsidR="00043E97" w:rsidRPr="00261B7A" w:rsidRDefault="00043E97" w:rsidP="00501B0F">
            <w:pPr>
              <w:pStyle w:val="TableText"/>
              <w:keepNext/>
              <w:spacing w:before="120"/>
            </w:pPr>
            <w:r w:rsidRPr="00261B7A">
              <w:t>Organisation designated as the administrator of New Zealand’s national registry</w:t>
            </w:r>
          </w:p>
        </w:tc>
        <w:tc>
          <w:tcPr>
            <w:tcW w:w="4733" w:type="dxa"/>
            <w:shd w:val="clear" w:color="auto" w:fill="auto"/>
          </w:tcPr>
          <w:p w14:paraId="7271D506" w14:textId="77777777" w:rsidR="00043E97" w:rsidRPr="00261B7A" w:rsidRDefault="00043E97" w:rsidP="00501B0F">
            <w:pPr>
              <w:pStyle w:val="TableText"/>
              <w:keepNext/>
              <w:spacing w:before="120" w:after="0"/>
            </w:pPr>
            <w:r w:rsidRPr="00261B7A">
              <w:t>Environmental Protection Authority</w:t>
            </w:r>
          </w:p>
          <w:p w14:paraId="14064DC1" w14:textId="77777777" w:rsidR="00043E97" w:rsidRPr="00261B7A" w:rsidRDefault="00043E97" w:rsidP="00501B0F">
            <w:pPr>
              <w:pStyle w:val="TableText"/>
              <w:keepNext/>
              <w:spacing w:after="0"/>
            </w:pPr>
            <w:r w:rsidRPr="00261B7A">
              <w:t>Private Bag 63002, Wellington 6140, New Zealand</w:t>
            </w:r>
          </w:p>
          <w:p w14:paraId="50E1A148" w14:textId="77777777" w:rsidR="00043E97" w:rsidRPr="00261B7A" w:rsidRDefault="00043E97" w:rsidP="00501B0F">
            <w:pPr>
              <w:pStyle w:val="TableText"/>
              <w:keepNext/>
              <w:spacing w:after="0"/>
            </w:pPr>
            <w:r w:rsidRPr="00261B7A">
              <w:t>Phone: +64 4 462 4289</w:t>
            </w:r>
          </w:p>
          <w:p w14:paraId="7AF51B86" w14:textId="77777777" w:rsidR="00043E97" w:rsidRPr="00261B7A" w:rsidRDefault="00043E97" w:rsidP="00501B0F">
            <w:pPr>
              <w:pStyle w:val="TableText"/>
              <w:keepNext/>
              <w:spacing w:after="0"/>
            </w:pPr>
            <w:r w:rsidRPr="00261B7A">
              <w:t>Fax: +64 4 978 3661</w:t>
            </w:r>
          </w:p>
          <w:p w14:paraId="282DD1C0" w14:textId="77777777" w:rsidR="00043E97" w:rsidRPr="00261B7A" w:rsidRDefault="00043E97" w:rsidP="00501B0F">
            <w:pPr>
              <w:pStyle w:val="TableText"/>
              <w:keepNext/>
            </w:pPr>
            <w:r w:rsidRPr="00261B7A">
              <w:t xml:space="preserve">Web: </w:t>
            </w:r>
            <w:hyperlink r:id="rId302" w:history="1">
              <w:r w:rsidRPr="00261B7A">
                <w:t>www.epa.govt.nz</w:t>
              </w:r>
            </w:hyperlink>
          </w:p>
        </w:tc>
      </w:tr>
      <w:tr w:rsidR="00043E97" w:rsidRPr="00261B7A" w14:paraId="5DDA2955" w14:textId="77777777" w:rsidTr="00501B0F">
        <w:tc>
          <w:tcPr>
            <w:tcW w:w="3799" w:type="dxa"/>
            <w:shd w:val="clear" w:color="auto" w:fill="auto"/>
          </w:tcPr>
          <w:p w14:paraId="742B19A5" w14:textId="77777777" w:rsidR="00043E97" w:rsidRPr="00261B7A" w:rsidRDefault="00043E97" w:rsidP="00501B0F">
            <w:pPr>
              <w:pStyle w:val="TableText"/>
              <w:keepNext/>
              <w:spacing w:before="120"/>
            </w:pPr>
            <w:r w:rsidRPr="00261B7A">
              <w:t>Main Contact</w:t>
            </w:r>
          </w:p>
        </w:tc>
        <w:tc>
          <w:tcPr>
            <w:tcW w:w="4733" w:type="dxa"/>
            <w:shd w:val="clear" w:color="auto" w:fill="auto"/>
          </w:tcPr>
          <w:p w14:paraId="3483D7D6" w14:textId="77777777" w:rsidR="00043E97" w:rsidRPr="00261B7A" w:rsidRDefault="00043E97" w:rsidP="00501B0F">
            <w:pPr>
              <w:pStyle w:val="TableText"/>
              <w:keepNext/>
              <w:spacing w:before="120" w:after="0"/>
            </w:pPr>
            <w:r w:rsidRPr="00261B7A">
              <w:t>Guy Windley</w:t>
            </w:r>
          </w:p>
          <w:p w14:paraId="40FC0CBA" w14:textId="77777777" w:rsidR="00043E97" w:rsidRPr="00261B7A" w:rsidRDefault="00043E97" w:rsidP="00501B0F">
            <w:pPr>
              <w:pStyle w:val="TableText"/>
              <w:keepNext/>
              <w:spacing w:after="0"/>
            </w:pPr>
            <w:r w:rsidRPr="00261B7A">
              <w:t>ETS Manager</w:t>
            </w:r>
          </w:p>
          <w:p w14:paraId="20810933" w14:textId="77777777" w:rsidR="00043E97" w:rsidRPr="00261B7A" w:rsidRDefault="00043E97" w:rsidP="00501B0F">
            <w:pPr>
              <w:pStyle w:val="TableText"/>
              <w:keepNext/>
              <w:spacing w:after="0"/>
            </w:pPr>
            <w:r w:rsidRPr="00261B7A">
              <w:t>Environmental Protection Authority</w:t>
            </w:r>
          </w:p>
          <w:p w14:paraId="114AA3E6" w14:textId="77777777" w:rsidR="00043E97" w:rsidRPr="00261B7A" w:rsidRDefault="00043E97" w:rsidP="00501B0F">
            <w:pPr>
              <w:pStyle w:val="TableText"/>
              <w:keepNext/>
              <w:spacing w:after="0"/>
            </w:pPr>
            <w:r w:rsidRPr="00261B7A">
              <w:t>Private Bag 63002, Wellington 6140, New Zealand</w:t>
            </w:r>
          </w:p>
          <w:p w14:paraId="777E7522" w14:textId="77777777" w:rsidR="00043E97" w:rsidRPr="00261B7A" w:rsidRDefault="00043E97" w:rsidP="00501B0F">
            <w:pPr>
              <w:pStyle w:val="TableText"/>
              <w:keepNext/>
              <w:spacing w:after="0"/>
            </w:pPr>
            <w:r w:rsidRPr="00261B7A">
              <w:t>Phone: +64 4 474 5514</w:t>
            </w:r>
          </w:p>
          <w:p w14:paraId="49609D9A" w14:textId="77777777" w:rsidR="00043E97" w:rsidRPr="00261B7A" w:rsidRDefault="00043E97" w:rsidP="00501B0F">
            <w:pPr>
              <w:pStyle w:val="TableText"/>
              <w:keepNext/>
              <w:spacing w:after="0"/>
            </w:pPr>
            <w:r w:rsidRPr="00261B7A">
              <w:t>Fax: +64 4 978 3661</w:t>
            </w:r>
          </w:p>
          <w:p w14:paraId="1A8AE75A" w14:textId="77777777" w:rsidR="00043E97" w:rsidRPr="00261B7A" w:rsidRDefault="00043E97" w:rsidP="00501B0F">
            <w:pPr>
              <w:pStyle w:val="TableText"/>
              <w:keepNext/>
            </w:pPr>
            <w:r w:rsidRPr="00261B7A">
              <w:t>Email: guy.windley@epa.govt.nz</w:t>
            </w:r>
          </w:p>
        </w:tc>
      </w:tr>
      <w:tr w:rsidR="00043E97" w:rsidRPr="00261B7A" w14:paraId="6B3DF49F" w14:textId="77777777" w:rsidTr="00501B0F">
        <w:tc>
          <w:tcPr>
            <w:tcW w:w="3799" w:type="dxa"/>
            <w:shd w:val="clear" w:color="auto" w:fill="auto"/>
          </w:tcPr>
          <w:p w14:paraId="15708037" w14:textId="77777777" w:rsidR="00043E97" w:rsidRPr="00261B7A" w:rsidRDefault="00043E97" w:rsidP="00501B0F">
            <w:pPr>
              <w:pStyle w:val="TableText"/>
              <w:spacing w:before="120"/>
            </w:pPr>
            <w:r w:rsidRPr="00261B7A">
              <w:t>Alternative Contact</w:t>
            </w:r>
          </w:p>
        </w:tc>
        <w:tc>
          <w:tcPr>
            <w:tcW w:w="4733" w:type="dxa"/>
            <w:shd w:val="clear" w:color="auto" w:fill="auto"/>
          </w:tcPr>
          <w:p w14:paraId="17F38BC2" w14:textId="77777777" w:rsidR="00043E97" w:rsidRPr="00261B7A" w:rsidRDefault="00043E97" w:rsidP="00501B0F">
            <w:pPr>
              <w:pStyle w:val="TableText"/>
              <w:spacing w:before="120" w:after="0"/>
            </w:pPr>
            <w:r w:rsidRPr="00261B7A">
              <w:t xml:space="preserve">Dave Stuart </w:t>
            </w:r>
          </w:p>
          <w:p w14:paraId="754559C8" w14:textId="77777777" w:rsidR="00043E97" w:rsidRPr="00261B7A" w:rsidRDefault="00043E97" w:rsidP="00501B0F">
            <w:pPr>
              <w:pStyle w:val="TableText"/>
              <w:spacing w:after="0"/>
            </w:pPr>
            <w:r w:rsidRPr="00261B7A">
              <w:t>Team Leader, ETS Operations</w:t>
            </w:r>
          </w:p>
          <w:p w14:paraId="0092325D" w14:textId="77777777" w:rsidR="00043E97" w:rsidRPr="00261B7A" w:rsidRDefault="00043E97" w:rsidP="00501B0F">
            <w:pPr>
              <w:pStyle w:val="TableText"/>
              <w:spacing w:after="0"/>
            </w:pPr>
            <w:r w:rsidRPr="00261B7A">
              <w:t>Environmental Protection Authority</w:t>
            </w:r>
          </w:p>
          <w:p w14:paraId="03A2D20F" w14:textId="77777777" w:rsidR="00043E97" w:rsidRPr="00261B7A" w:rsidRDefault="00043E97" w:rsidP="00501B0F">
            <w:pPr>
              <w:pStyle w:val="TableText"/>
              <w:spacing w:after="0"/>
            </w:pPr>
            <w:r w:rsidRPr="00261B7A">
              <w:t>Private Bag 63002, Wellington 6140, New Zealand</w:t>
            </w:r>
          </w:p>
          <w:p w14:paraId="18614CBD" w14:textId="77777777" w:rsidR="00043E97" w:rsidRPr="00261B7A" w:rsidRDefault="00043E97" w:rsidP="00501B0F">
            <w:pPr>
              <w:pStyle w:val="TableText"/>
              <w:spacing w:after="0"/>
            </w:pPr>
            <w:r w:rsidRPr="00261B7A">
              <w:t>Phone: +64 4 474 5750</w:t>
            </w:r>
          </w:p>
          <w:p w14:paraId="67C9B1FA" w14:textId="77777777" w:rsidR="00043E97" w:rsidRPr="00261B7A" w:rsidRDefault="00043E97" w:rsidP="00501B0F">
            <w:pPr>
              <w:pStyle w:val="TableText"/>
              <w:spacing w:after="0"/>
            </w:pPr>
            <w:r w:rsidRPr="00261B7A">
              <w:t>Fax: +64 4 978 3661</w:t>
            </w:r>
          </w:p>
          <w:p w14:paraId="3FBDB10C" w14:textId="77777777" w:rsidR="00043E97" w:rsidRPr="00261B7A" w:rsidRDefault="00043E97" w:rsidP="00501B0F">
            <w:pPr>
              <w:pStyle w:val="TableText"/>
            </w:pPr>
            <w:r w:rsidRPr="00261B7A">
              <w:t>Email: dave.stuart@epa.govt.nz</w:t>
            </w:r>
          </w:p>
        </w:tc>
      </w:tr>
    </w:tbl>
    <w:p w14:paraId="42DE5ABE" w14:textId="77777777" w:rsidR="00043E97" w:rsidRPr="00261B7A" w:rsidRDefault="00043E97" w:rsidP="00043E97">
      <w:pPr>
        <w:pStyle w:val="BodyText"/>
      </w:pPr>
    </w:p>
    <w:p w14:paraId="58AF86DE" w14:textId="77777777" w:rsidR="00245E82" w:rsidRPr="00261B7A" w:rsidRDefault="00245E82" w:rsidP="005D1235">
      <w:pPr>
        <w:sectPr w:rsidR="00245E82" w:rsidRPr="00261B7A" w:rsidSect="00382362">
          <w:footerReference w:type="even" r:id="rId303"/>
          <w:footerReference w:type="default" r:id="rId304"/>
          <w:pgSz w:w="11907" w:h="16840" w:code="9"/>
          <w:pgMar w:top="1418" w:right="1701" w:bottom="1418" w:left="1701" w:header="567" w:footer="567" w:gutter="0"/>
          <w:cols w:space="720"/>
        </w:sectPr>
      </w:pPr>
    </w:p>
    <w:p w14:paraId="722ADBCB" w14:textId="77777777" w:rsidR="00AD180B" w:rsidRPr="00261B7A" w:rsidRDefault="00AD180B" w:rsidP="001E6414">
      <w:pPr>
        <w:pStyle w:val="Heading1"/>
        <w:spacing w:after="400"/>
      </w:pPr>
      <w:bookmarkStart w:id="3270" w:name="_Toc68786382"/>
      <w:bookmarkStart w:id="3271" w:name="_Toc131591296"/>
      <w:r w:rsidRPr="00261B7A">
        <w:t>Chapter 15: Information on minimisation of adverse impacts</w:t>
      </w:r>
      <w:bookmarkEnd w:id="3270"/>
      <w:bookmarkEnd w:id="3271"/>
    </w:p>
    <w:p w14:paraId="713EE6A4" w14:textId="77777777" w:rsidR="00AD180B" w:rsidRPr="00261B7A" w:rsidRDefault="00AD180B" w:rsidP="001E6414">
      <w:pPr>
        <w:pStyle w:val="BodyText"/>
        <w:spacing w:before="100" w:after="100"/>
      </w:pPr>
      <w:r w:rsidRPr="00261B7A">
        <w:t xml:space="preserve">This chapter provides information on New Zealand’s actions to minimise adverse social, environmental and economic impacts on non-Annex I Parties of the implementation of climate change policies and measures. </w:t>
      </w:r>
    </w:p>
    <w:p w14:paraId="15231100" w14:textId="77777777" w:rsidR="00AD180B" w:rsidRPr="00261B7A" w:rsidRDefault="00AD180B" w:rsidP="001E6414">
      <w:pPr>
        <w:pStyle w:val="BodyText"/>
        <w:spacing w:before="100" w:after="100"/>
      </w:pPr>
      <w:r w:rsidRPr="00261B7A">
        <w:t xml:space="preserve">Until 2022 this reporting has been a requirement under Article 3.14 of the Kyoto Protocol, from 2024 this will be a requirement under the new Paris Agreement reporting. In the interim year (2023), for transparency, accountability and consistency, New Zealand has decided to continue to report on the minimisation of adverse impacts of response measures. </w:t>
      </w:r>
    </w:p>
    <w:p w14:paraId="7D4FE45E" w14:textId="77777777" w:rsidR="00AD180B" w:rsidRPr="00261B7A" w:rsidRDefault="00AD180B" w:rsidP="008E3E90">
      <w:pPr>
        <w:pStyle w:val="Heading2"/>
        <w:spacing w:before="280"/>
      </w:pPr>
      <w:bookmarkStart w:id="3272" w:name="_Toc448321578"/>
      <w:bookmarkStart w:id="3273" w:name="_Toc481751440"/>
      <w:bookmarkStart w:id="3274" w:name="_Toc36224463"/>
      <w:bookmarkStart w:id="3275" w:name="_Toc68786383"/>
      <w:bookmarkStart w:id="3276" w:name="_Toc131591297"/>
      <w:r w:rsidRPr="00261B7A">
        <w:t xml:space="preserve">15.1 </w:t>
      </w:r>
      <w:r w:rsidRPr="00261B7A">
        <w:tab/>
        <w:t>Overview</w:t>
      </w:r>
      <w:bookmarkEnd w:id="3272"/>
      <w:bookmarkEnd w:id="3273"/>
      <w:bookmarkEnd w:id="3274"/>
      <w:bookmarkEnd w:id="3275"/>
      <w:bookmarkEnd w:id="3276"/>
    </w:p>
    <w:p w14:paraId="7CF8F344" w14:textId="77777777" w:rsidR="00AD180B" w:rsidRPr="00261B7A" w:rsidRDefault="00AD180B" w:rsidP="00545AA0">
      <w:pPr>
        <w:pStyle w:val="BodyText"/>
        <w:spacing w:before="80" w:after="100"/>
      </w:pPr>
      <w:r w:rsidRPr="00261B7A">
        <w:t xml:space="preserve">New Zealand is undertaking several mitigation actions and policies to reduce emissions to meet its Paris Agreement (2015) commitments, as well as prioritising adaptation and resilience in the Pacific. These measures include: </w:t>
      </w:r>
    </w:p>
    <w:p w14:paraId="75996120" w14:textId="77777777" w:rsidR="00AD180B" w:rsidRPr="00261B7A" w:rsidRDefault="00AD180B" w:rsidP="00A3126B">
      <w:pPr>
        <w:pStyle w:val="Bullet"/>
        <w:spacing w:after="90"/>
      </w:pPr>
      <w:r w:rsidRPr="00261B7A">
        <w:t xml:space="preserve">implementing New Zealand’s updated Nationally Determined Contribution </w:t>
      </w:r>
    </w:p>
    <w:p w14:paraId="182FF859" w14:textId="77777777" w:rsidR="00AD180B" w:rsidRPr="00261B7A" w:rsidRDefault="00AD180B" w:rsidP="00A3126B">
      <w:pPr>
        <w:pStyle w:val="Bullet"/>
        <w:spacing w:after="90"/>
      </w:pPr>
      <w:r w:rsidRPr="00261B7A">
        <w:t xml:space="preserve">developing an economy-wide, sector-specific and cross-cutting emissions reduction plan mandated to meet New Zealand’s legislated emission budgets (published in May 2022) </w:t>
      </w:r>
    </w:p>
    <w:p w14:paraId="03571B38" w14:textId="77777777" w:rsidR="00AD180B" w:rsidRPr="00261B7A" w:rsidRDefault="00AD180B" w:rsidP="00A3126B">
      <w:pPr>
        <w:pStyle w:val="Bullet"/>
        <w:spacing w:after="90"/>
      </w:pPr>
      <w:r w:rsidRPr="00261B7A">
        <w:t xml:space="preserve">developing a methane emissions reduction plan across the Agriculture, Waste, Industry and Energy sectors to contribute to 30 per cent global reduction in methane emissions by 2030 (published in December 2022) </w:t>
      </w:r>
    </w:p>
    <w:p w14:paraId="3FBBDF41" w14:textId="77777777" w:rsidR="00AD180B" w:rsidRPr="00261B7A" w:rsidRDefault="00AD180B" w:rsidP="00A3126B">
      <w:pPr>
        <w:pStyle w:val="Bullet"/>
        <w:spacing w:after="90"/>
      </w:pPr>
      <w:r w:rsidRPr="00261B7A">
        <w:t xml:space="preserve">improving New Zealand’s emissions trading scheme, including by being one of the first countries in the world to put a price on agricultural emissions </w:t>
      </w:r>
    </w:p>
    <w:p w14:paraId="25708506" w14:textId="77777777" w:rsidR="00AD180B" w:rsidRPr="00261B7A" w:rsidRDefault="00AD180B" w:rsidP="00A3126B">
      <w:pPr>
        <w:pStyle w:val="Bullet"/>
        <w:spacing w:after="90"/>
      </w:pPr>
      <w:r w:rsidRPr="00261B7A">
        <w:t xml:space="preserve">legislating a mandatory climate-related financial disclosures regime </w:t>
      </w:r>
    </w:p>
    <w:p w14:paraId="68AC0ACC" w14:textId="77777777" w:rsidR="00AD180B" w:rsidRPr="00261B7A" w:rsidRDefault="00AD180B" w:rsidP="00A3126B">
      <w:pPr>
        <w:pStyle w:val="Bullet"/>
        <w:spacing w:after="90"/>
      </w:pPr>
      <w:r w:rsidRPr="00261B7A">
        <w:t>improving energy efficiency initiatives</w:t>
      </w:r>
    </w:p>
    <w:p w14:paraId="2B272939" w14:textId="77777777" w:rsidR="00AD180B" w:rsidRPr="00261B7A" w:rsidRDefault="00AD180B" w:rsidP="00A3126B">
      <w:pPr>
        <w:pStyle w:val="Bullet"/>
        <w:spacing w:after="90"/>
      </w:pPr>
      <w:r w:rsidRPr="00261B7A">
        <w:t>investing in public transport, electric and low-emission light vehicles</w:t>
      </w:r>
    </w:p>
    <w:p w14:paraId="186545E1" w14:textId="77777777" w:rsidR="00AD180B" w:rsidRPr="00261B7A" w:rsidRDefault="00AD180B" w:rsidP="00A3126B">
      <w:pPr>
        <w:pStyle w:val="Bullet"/>
        <w:spacing w:after="90"/>
      </w:pPr>
      <w:r w:rsidRPr="00261B7A">
        <w:t>supporting afforestation</w:t>
      </w:r>
    </w:p>
    <w:p w14:paraId="003677DF" w14:textId="77777777" w:rsidR="00AD180B" w:rsidRPr="00261B7A" w:rsidRDefault="00AD180B" w:rsidP="00A3126B">
      <w:pPr>
        <w:pStyle w:val="Bullet"/>
        <w:spacing w:after="90"/>
      </w:pPr>
      <w:r w:rsidRPr="00261B7A">
        <w:t>undertaking research, technology development and sharing of technical expertise, most notably in the agricultural sector</w:t>
      </w:r>
    </w:p>
    <w:p w14:paraId="44A16327" w14:textId="77777777" w:rsidR="00AD180B" w:rsidRPr="00261B7A" w:rsidRDefault="00AD180B" w:rsidP="00A3126B">
      <w:pPr>
        <w:pStyle w:val="Bullet"/>
        <w:spacing w:after="90"/>
      </w:pPr>
      <w:r w:rsidRPr="00261B7A">
        <w:t>achieving 100 per cent of electricity produced from renewable energy sources by 2035</w:t>
      </w:r>
    </w:p>
    <w:p w14:paraId="7E65B166" w14:textId="77777777" w:rsidR="00AD180B" w:rsidRPr="00261B7A" w:rsidRDefault="00AD180B" w:rsidP="00A3126B">
      <w:pPr>
        <w:pStyle w:val="Bullet"/>
        <w:spacing w:after="90"/>
      </w:pPr>
      <w:r w:rsidRPr="00261B7A">
        <w:t xml:space="preserve">establishing the Carbon Neutral Government Programme </w:t>
      </w:r>
    </w:p>
    <w:p w14:paraId="1E53834D" w14:textId="77777777" w:rsidR="00AD180B" w:rsidRPr="00261B7A" w:rsidRDefault="00AD180B" w:rsidP="00A3126B">
      <w:pPr>
        <w:pStyle w:val="Bullet"/>
        <w:spacing w:after="90"/>
      </w:pPr>
      <w:r w:rsidRPr="00261B7A">
        <w:rPr>
          <w:spacing w:val="-2"/>
        </w:rPr>
        <w:t>strengthening international cooperation by joining several initiatives that commit countries</w:t>
      </w:r>
      <w:r w:rsidRPr="00261B7A">
        <w:t xml:space="preserve"> to effective and ambitious climate action, including playing a leading role in the Friends of </w:t>
      </w:r>
      <w:r w:rsidRPr="00261B7A">
        <w:rPr>
          <w:spacing w:val="-2"/>
        </w:rPr>
        <w:t>Fossil Fuel Subsidy Reform (FFSR), the Global Research Alliance on Agricultural Greenhouse</w:t>
      </w:r>
      <w:r w:rsidRPr="00261B7A">
        <w:t xml:space="preserve"> Gases, the Carbon Neutrality Coalition, the Agreement on Climate Change, Trade and Sustainability negotiations and helping to found the inclusive Coalition of Trade Ministers on Climate</w:t>
      </w:r>
    </w:p>
    <w:p w14:paraId="04E0F486" w14:textId="77777777" w:rsidR="00AD180B" w:rsidRPr="00261B7A" w:rsidRDefault="00AD180B" w:rsidP="008E3E90">
      <w:pPr>
        <w:pStyle w:val="Bullet"/>
        <w:spacing w:after="100"/>
      </w:pPr>
      <w:r w:rsidRPr="00261B7A">
        <w:t>sharing New Zealand’s long-standing expertise in renewable energy development internationally</w:t>
      </w:r>
    </w:p>
    <w:p w14:paraId="45115A19" w14:textId="6EF33F16" w:rsidR="00AD180B" w:rsidRPr="00261B7A" w:rsidRDefault="00AD180B" w:rsidP="00AD180B">
      <w:pPr>
        <w:pStyle w:val="Bullet"/>
      </w:pPr>
      <w:r w:rsidRPr="00261B7A">
        <w:t xml:space="preserve">increasing climate-related support four-fold, to be delivered by New Zealand’s International Development Cooperation (IDC) Programme (see </w:t>
      </w:r>
      <w:hyperlink r:id="rId305" w:history="1">
        <w:r w:rsidR="00417962">
          <w:rPr>
            <w:rStyle w:val="Hyperlink"/>
          </w:rPr>
          <w:t>www.mfat.govt.nz/en/environment/climate-change/supporting-our-region</w:t>
        </w:r>
      </w:hyperlink>
      <w:r w:rsidRPr="00261B7A">
        <w:t>).</w:t>
      </w:r>
    </w:p>
    <w:p w14:paraId="45BA4B5F" w14:textId="77777777" w:rsidR="00AD180B" w:rsidRPr="00261B7A" w:rsidRDefault="00AD180B" w:rsidP="00C00F13">
      <w:pPr>
        <w:pStyle w:val="BodyText"/>
        <w:spacing w:after="100"/>
      </w:pPr>
      <w:r w:rsidRPr="00261B7A">
        <w:t xml:space="preserve">Further information on actions and policies is included in </w:t>
      </w:r>
      <w:r w:rsidRPr="00261B7A">
        <w:rPr>
          <w:i/>
        </w:rPr>
        <w:t xml:space="preserve">New Zealand’s </w:t>
      </w:r>
      <w:hyperlink r:id="rId306" w:history="1">
        <w:r w:rsidRPr="00261B7A">
          <w:rPr>
            <w:i/>
            <w:iCs/>
          </w:rPr>
          <w:t>Fifth Biennial Report</w:t>
        </w:r>
      </w:hyperlink>
      <w:r w:rsidRPr="00261B7A">
        <w:t>, published in December 2022 (Ministry for the Environment, 2022).</w:t>
      </w:r>
    </w:p>
    <w:p w14:paraId="16EA50A2" w14:textId="77777777" w:rsidR="00AD180B" w:rsidRPr="00261B7A" w:rsidRDefault="00AD180B" w:rsidP="00C00F13">
      <w:pPr>
        <w:pStyle w:val="BodyText"/>
        <w:spacing w:before="100" w:after="100"/>
      </w:pPr>
      <w:r w:rsidRPr="00261B7A">
        <w:t xml:space="preserve">New Zealand recognises the potential for its climate policies to have consequences for its Pacific neighbours, particularly in relation to supply chains. In the development of major policy initiatives related to these mitigation measures, an analysis of impacts of the proposed policy is undertaken. As appropriate, the benefits and risks of proposed options, including those with possible international implications, are considered. </w:t>
      </w:r>
    </w:p>
    <w:p w14:paraId="36241784" w14:textId="0B78916B" w:rsidR="00AD180B" w:rsidRPr="00261B7A" w:rsidRDefault="00AD180B" w:rsidP="00C00F13">
      <w:pPr>
        <w:pStyle w:val="BodyText"/>
        <w:spacing w:before="100" w:after="100"/>
      </w:pPr>
      <w:r w:rsidRPr="00261B7A">
        <w:rPr>
          <w:spacing w:val="-2"/>
        </w:rPr>
        <w:t>In addition, through the New Zealand Government’s regular engagement with other governments, including many non-Annex I Parties, opportunities are available for concerns to</w:t>
      </w:r>
      <w:r w:rsidR="00D93BB1" w:rsidRPr="00261B7A">
        <w:rPr>
          <w:spacing w:val="-2"/>
        </w:rPr>
        <w:t> </w:t>
      </w:r>
      <w:r w:rsidRPr="00261B7A">
        <w:rPr>
          <w:spacing w:val="-2"/>
        </w:rPr>
        <w:t>be raised about the possible or actual adverse impacts of New Zealand policies and to have</w:t>
      </w:r>
      <w:r w:rsidR="00D93BB1" w:rsidRPr="00261B7A">
        <w:rPr>
          <w:spacing w:val="-2"/>
        </w:rPr>
        <w:t> </w:t>
      </w:r>
      <w:r w:rsidRPr="00261B7A">
        <w:rPr>
          <w:spacing w:val="-2"/>
        </w:rPr>
        <w:t>them resolved within the bilateral relationship. An opportunity is also available for people and/or organisations to raise concerns and highlight issues about new policies during</w:t>
      </w:r>
      <w:r w:rsidR="00D93BB1" w:rsidRPr="00261B7A">
        <w:rPr>
          <w:spacing w:val="-2"/>
        </w:rPr>
        <w:t xml:space="preserve"> </w:t>
      </w:r>
      <w:r w:rsidRPr="00261B7A">
        <w:rPr>
          <w:spacing w:val="-2"/>
        </w:rPr>
        <w:t>the public consultation phase. To date, no specific concerns about any negative impacts of New Zealand’s climate change response policies on non-Annex I Parties have been raised. No changes have been made compared with the information reported in the previous National Inventory Report. New Zealand officials regularly participate in negotiation sessions on response measures under the United Nations Framework Convention on Climate Change (UNFCCC): seeking to minimise the negative and maximise the positive impacts of the implementation of</w:t>
      </w:r>
      <w:r w:rsidR="00B27528" w:rsidRPr="00261B7A">
        <w:rPr>
          <w:spacing w:val="-2"/>
        </w:rPr>
        <w:t> </w:t>
      </w:r>
      <w:r w:rsidRPr="00261B7A">
        <w:rPr>
          <w:spacing w:val="-2"/>
        </w:rPr>
        <w:t>mitigation policies. This multilateral setting is another forum to raise any concerns, come to</w:t>
      </w:r>
      <w:r w:rsidR="00B27528" w:rsidRPr="00261B7A">
        <w:rPr>
          <w:spacing w:val="-2"/>
        </w:rPr>
        <w:t> </w:t>
      </w:r>
      <w:r w:rsidRPr="00261B7A">
        <w:rPr>
          <w:spacing w:val="-2"/>
        </w:rPr>
        <w:t>decisions on technical areas, such as just transition, and facilitate information sharing between Parti</w:t>
      </w:r>
      <w:r w:rsidRPr="00261B7A">
        <w:t>es.</w:t>
      </w:r>
    </w:p>
    <w:p w14:paraId="21A6F36E" w14:textId="77777777" w:rsidR="00AD180B" w:rsidRPr="00261B7A" w:rsidRDefault="00AD180B" w:rsidP="00C00F13">
      <w:pPr>
        <w:pStyle w:val="BodyText"/>
        <w:spacing w:before="100" w:after="100"/>
      </w:pPr>
      <w:r w:rsidRPr="00261B7A">
        <w:t xml:space="preserve">New Zealand is meeting its climate finance commitments under the Paris Agreement by progressively scaling up finance for developing countries to transition to low emission economies. New Zealand delivers its climate finance commitment through the IDC Programme managed by the Ministry of Foreign Affairs and Trade. New Zealand works closely with the partner country to agree priorities for the particular country’s international development cooperation. Doing so helps ensure New Zealand’s IDC Programme is aligned to the priorities and needs of the partner country, while also reflecting New Zealand values. Practice standards for IDC activities, funded by the New Zealand IDC Programme, include assessments and responses to environmental and climate-related impacts and risks (along with gender and human rights as the other significant cross-cutting issues). </w:t>
      </w:r>
    </w:p>
    <w:p w14:paraId="1CD57996" w14:textId="77777777" w:rsidR="00AD180B" w:rsidRPr="00261B7A" w:rsidRDefault="00AD180B" w:rsidP="00C00F13">
      <w:pPr>
        <w:pStyle w:val="BodyText"/>
        <w:spacing w:before="100" w:after="100"/>
      </w:pPr>
      <w:r w:rsidRPr="00261B7A">
        <w:t xml:space="preserve">Regular consultations, held between New Zealand and partner countries to discuss the delivery of IDC activities, provide another opportunity for partner countries to raise concerns about impacts, and for both partners to work collaboratively to address those concerns. This partnership approach is also taken with New Zealand’s Pacific regional and multi-country climate change activities. </w:t>
      </w:r>
    </w:p>
    <w:p w14:paraId="44A632ED" w14:textId="77777777" w:rsidR="00AD180B" w:rsidRPr="00261B7A" w:rsidRDefault="00AD180B" w:rsidP="00C00F13">
      <w:pPr>
        <w:pStyle w:val="BodyText"/>
        <w:spacing w:before="100" w:after="100"/>
      </w:pPr>
      <w:r w:rsidRPr="00261B7A">
        <w:t>New Zealand is committed to the Sustainable Development Goals (SDGs), adopted by the international community in 2015. New Zealand implements the SDGs through the IDC Programme by supporting areas such as climate change adaptation, disaster risk reduction and humanitarian response to natural disasters.</w:t>
      </w:r>
    </w:p>
    <w:p w14:paraId="36FC9A38" w14:textId="77777777" w:rsidR="00AD180B" w:rsidRPr="00261B7A" w:rsidRDefault="00AD180B" w:rsidP="00C00F13">
      <w:pPr>
        <w:pStyle w:val="BodyText"/>
        <w:spacing w:before="100" w:after="100"/>
      </w:pPr>
      <w:r w:rsidRPr="00261B7A">
        <w:t>New Zealand is also supporting countries to undertake analysis to transition to low emission, climate-resilient economies, particularly in sectors such as energy and transport. As a critical element of long-term sustainable development efforts,</w:t>
      </w:r>
      <w:r w:rsidRPr="00261B7A">
        <w:rPr>
          <w:rStyle w:val="CommentReference"/>
          <w:rFonts w:eastAsia="Arial"/>
        </w:rPr>
        <w:t xml:space="preserve"> </w:t>
      </w:r>
      <w:r w:rsidRPr="00261B7A">
        <w:t xml:space="preserve">Small Island Developing States (SIDS) continue to increase their uptake of renewable energy. The New Zealand IDC Programme supports a major push to increase this uptake in the Pacific and reduce the region’s reliance on imported diesel. This includes support to develop energy roadmaps, as well as installation and upgrades to renewable energy systems, and investigation into opportunities for energy efficiency and transport energy projects. </w:t>
      </w:r>
    </w:p>
    <w:p w14:paraId="13B5344F" w14:textId="5C1E670F" w:rsidR="00AD180B" w:rsidRPr="00261B7A" w:rsidRDefault="00AD180B" w:rsidP="00AD180B">
      <w:pPr>
        <w:pStyle w:val="BodyText"/>
      </w:pPr>
      <w:r w:rsidRPr="00261B7A">
        <w:t>Compared with information reported in the previous National Inventory Report, additional initiatives include opportunities for new energy efficiency and transport energy projects. Scoping and design for these activities was initiated in 2019, with implementation beginning in</w:t>
      </w:r>
      <w:r w:rsidR="007C4789" w:rsidRPr="00261B7A">
        <w:t> </w:t>
      </w:r>
      <w:r w:rsidRPr="00261B7A">
        <w:t>Nauru (energy efficiency) in 2021 and the Marshall Islands (transport) in 2022.</w:t>
      </w:r>
    </w:p>
    <w:p w14:paraId="29A465A3" w14:textId="77777777" w:rsidR="00AD180B" w:rsidRPr="00261B7A" w:rsidRDefault="00AD180B" w:rsidP="00AD180B">
      <w:pPr>
        <w:pStyle w:val="Heading2"/>
      </w:pPr>
      <w:bookmarkStart w:id="3277" w:name="_Toc448321579"/>
      <w:bookmarkStart w:id="3278" w:name="_Toc481751441"/>
      <w:bookmarkStart w:id="3279" w:name="_Toc36224464"/>
      <w:bookmarkStart w:id="3280" w:name="_Toc68786384"/>
      <w:bookmarkStart w:id="3281" w:name="_Toc131591298"/>
      <w:r w:rsidRPr="00261B7A">
        <w:t xml:space="preserve">15.2 </w:t>
      </w:r>
      <w:r w:rsidRPr="00261B7A">
        <w:tab/>
        <w:t>Market imperfections, fiscal incentives, tax and duty exemptions and subsidies</w:t>
      </w:r>
      <w:bookmarkEnd w:id="3277"/>
      <w:bookmarkEnd w:id="3278"/>
      <w:bookmarkEnd w:id="3279"/>
      <w:bookmarkEnd w:id="3280"/>
      <w:bookmarkEnd w:id="3281"/>
    </w:p>
    <w:p w14:paraId="22DBD4C4" w14:textId="77777777" w:rsidR="00AD180B" w:rsidRPr="00261B7A" w:rsidRDefault="00AD180B" w:rsidP="00AD180B">
      <w:pPr>
        <w:pStyle w:val="BodyText"/>
      </w:pPr>
      <w:r w:rsidRPr="00261B7A">
        <w:t>Annex I Parties are required to report any progressive reduction or phasing out of market imperfections, fiscal incentives, tax and duty exemptions and subsidies in all greenhouse-gas</w:t>
      </w:r>
      <w:r w:rsidRPr="00261B7A">
        <w:noBreakHyphen/>
        <w:t>emitting sectors, taking into account the need for energy price reforms to reflect market prices and externalities.</w:t>
      </w:r>
    </w:p>
    <w:p w14:paraId="667E1FAB" w14:textId="77777777" w:rsidR="00AD180B" w:rsidRPr="00261B7A" w:rsidRDefault="00AD180B" w:rsidP="00AD180B">
      <w:pPr>
        <w:pStyle w:val="BodyText"/>
      </w:pPr>
      <w:r w:rsidRPr="00261B7A">
        <w:t xml:space="preserve">Trade is a critical part of New Zealand’s economy. Through the Inclusive Trade Action Group, New Zealand and likeminded countries are driving a more inclusive and sustainable trade agenda. New Zealand maintains a liberalised and open trading environment, consistent with the principles of free trade and investment, ensuring both developed and developing countries can maximise opportunities in New Zealand’s market regardless of the response measures undertaken. </w:t>
      </w:r>
    </w:p>
    <w:p w14:paraId="0F91D35E" w14:textId="77777777" w:rsidR="00AD180B" w:rsidRPr="00261B7A" w:rsidRDefault="00AD180B" w:rsidP="00AD180B">
      <w:pPr>
        <w:pStyle w:val="Heading2"/>
      </w:pPr>
      <w:bookmarkStart w:id="3282" w:name="_Toc481751442"/>
      <w:bookmarkStart w:id="3283" w:name="_Toc36224465"/>
      <w:bookmarkStart w:id="3284" w:name="_Toc68786385"/>
      <w:bookmarkStart w:id="3285" w:name="_Toc131591299"/>
      <w:bookmarkStart w:id="3286" w:name="_Toc448321581"/>
      <w:r w:rsidRPr="00261B7A">
        <w:t xml:space="preserve">15.3 </w:t>
      </w:r>
      <w:r w:rsidRPr="00261B7A">
        <w:tab/>
        <w:t>Removal of inefficient fossil fuel subsidies</w:t>
      </w:r>
      <w:bookmarkEnd w:id="3282"/>
      <w:bookmarkEnd w:id="3283"/>
      <w:bookmarkEnd w:id="3284"/>
      <w:bookmarkEnd w:id="3285"/>
    </w:p>
    <w:p w14:paraId="6866745E" w14:textId="77777777" w:rsidR="00AD180B" w:rsidRPr="00261B7A" w:rsidRDefault="00AD180B" w:rsidP="00AD180B">
      <w:pPr>
        <w:pStyle w:val="BodyText"/>
      </w:pPr>
      <w:r w:rsidRPr="00261B7A">
        <w:t xml:space="preserve">Annex I Parties are required to report information concerning the removal of subsidies associated with the use of environmentally unsound and unsafe technologies. </w:t>
      </w:r>
    </w:p>
    <w:p w14:paraId="3D8B3555" w14:textId="77777777" w:rsidR="00AD180B" w:rsidRPr="00261B7A" w:rsidRDefault="00AD180B" w:rsidP="00AD180B">
      <w:pPr>
        <w:pStyle w:val="BodyText"/>
      </w:pPr>
      <w:r w:rsidRPr="00261B7A">
        <w:t>New Zealand is a leading advocate for the reduction and, ultimately, elimination of fossil fuel subsidies internationally. Fossil fuel subsidies work against international efforts to limit climate change, and reform of inefficient fossil fuel subsidies would also release government funds that can instead be allocated towards a green and climate-resilient COVID-19 recovery.</w:t>
      </w:r>
    </w:p>
    <w:p w14:paraId="2089C909" w14:textId="77777777" w:rsidR="00AD180B" w:rsidRPr="00261B7A" w:rsidRDefault="00AD180B" w:rsidP="00AD180B">
      <w:pPr>
        <w:pStyle w:val="BodyText"/>
      </w:pPr>
      <w:r w:rsidRPr="00261B7A">
        <w:t xml:space="preserve">New Zealand is a founding member of the ‘Friends’ of FFSR. The Friends is an informal collection of non-Group of Twenty (G20) economies that aims to build international political consensus on the importance of FFSR. The support of the Friends for reform is based on the essential notion that it is illogical to continue subsidising the costs of emissions from fossil fuels while, at the same time, making concerted efforts to mitigate those emissions through actions elsewhere. As a member of the Friends, New Zealand has been working to encourage and support the G20 and Asia-Pacific Economic Cooperation (APEC) economies to meet their commitments to reform inefficient fossil fuel subsidies through the peer review process. In 2018, New Zealand participated in the peer review panels for Italy and Indonesia. </w:t>
      </w:r>
    </w:p>
    <w:p w14:paraId="60F218DD" w14:textId="77777777" w:rsidR="00AD180B" w:rsidRPr="00261B7A" w:rsidRDefault="00AD180B" w:rsidP="00672A39">
      <w:pPr>
        <w:pStyle w:val="BodyText"/>
      </w:pPr>
      <w:r w:rsidRPr="00261B7A">
        <w:t>The World Trade Organization (WTO) has a central role in disciplining trade-distorting subsidies, and New Zealand works to advance fossil fuel subsidy reform internationally through this platform. In December 2021, and at Twelfth Ministerial Conference in June 2022, New Zealand led the relaunch of the Joint Ministerial Statement on Fossil Fuel Subsidy Reform at the WTO, which built on prior efforts in 2017.</w:t>
      </w:r>
      <w:r w:rsidRPr="00261B7A">
        <w:rPr>
          <w:rStyle w:val="FootnoteReference"/>
        </w:rPr>
        <w:footnoteReference w:id="78"/>
      </w:r>
      <w:r w:rsidRPr="00261B7A">
        <w:t xml:space="preserve"> In the new statement, ministers seek the rationalisation and phase out of inefficient fossil fuel subsidies that encourage wasteful consumption along a clear timeline. </w:t>
      </w:r>
      <w:r w:rsidRPr="00261B7A">
        <w:rPr>
          <w:rFonts w:cs="Arial"/>
        </w:rPr>
        <w:t xml:space="preserve">Notably, the statement’s 47 co-sponsors agreed an accompanying work plan and to develop concrete options to address fossil fuel subsidies within the binding and </w:t>
      </w:r>
      <w:r w:rsidRPr="00261B7A">
        <w:t>enforceable</w:t>
      </w:r>
      <w:r w:rsidRPr="00261B7A">
        <w:rPr>
          <w:rFonts w:cs="Arial"/>
        </w:rPr>
        <w:t xml:space="preserve"> WTO frameworks.</w:t>
      </w:r>
    </w:p>
    <w:p w14:paraId="42B0B1C6" w14:textId="1B7D1675" w:rsidR="00AD180B" w:rsidRPr="00261B7A" w:rsidRDefault="00AD180B" w:rsidP="00672A39">
      <w:pPr>
        <w:pStyle w:val="BodyText"/>
      </w:pPr>
      <w:r w:rsidRPr="00261B7A">
        <w:rPr>
          <w:spacing w:val="-2"/>
        </w:rPr>
        <w:t>New Zealand is also active with the Friends group through the UNFCCC. At the 27th Conference</w:t>
      </w:r>
      <w:r w:rsidRPr="00261B7A">
        <w:t xml:space="preserve"> of Parties in 2022 (COP27), the Friends launched a new statement to keep the topic of phasing out fossil fuel subsidies on the agenda, after parties the previous year pledged to accelerate efforts towards the phase-down of inefficient fossil fuel subsidies, and held two events with the International Institute of Sustainable Development. Previously, at COP24 New Zealand helped to launch a ‘Friends Network’, to broaden understanding of the need for reform and practical ways to achieve it. The Friends Network held a series of five virtual interactive roundtables in 2019, which were attended by representatives from about 20 economies from</w:t>
      </w:r>
      <w:r w:rsidR="00657E38" w:rsidRPr="00261B7A">
        <w:t> </w:t>
      </w:r>
      <w:r w:rsidRPr="00261B7A">
        <w:t>around the world. New Zealand has also hosted a side-event on FFSR at the United Nations High-Level Political Forum in July 2018, which focused on improving energy access and</w:t>
      </w:r>
      <w:r w:rsidR="00657E38" w:rsidRPr="00261B7A">
        <w:t> </w:t>
      </w:r>
      <w:r w:rsidRPr="00261B7A">
        <w:t>responding to the SDGs through the phase out of fossil fuel subsidies.</w:t>
      </w:r>
    </w:p>
    <w:p w14:paraId="0FA0CA74" w14:textId="77777777" w:rsidR="00AD180B" w:rsidRPr="00261B7A" w:rsidRDefault="00AD180B" w:rsidP="00672A39">
      <w:pPr>
        <w:pStyle w:val="BodyText"/>
      </w:pPr>
      <w:r w:rsidRPr="00261B7A">
        <w:t xml:space="preserve">The Asia-Pacific Economic Cooperation is another platform in which New Zealand advances fossil fuel subsidy reform. New Zealand used its APEC 2021 host year to drive regional trade and environment outcomes to support its multilateral ambitions. New Zealand led APEC to achieve consensus on work towards operationalising a voluntary standstill on inefficient fossil fuel subsidies from the end of 2022. </w:t>
      </w:r>
    </w:p>
    <w:p w14:paraId="26838F98" w14:textId="6FE16FEA" w:rsidR="00AD180B" w:rsidRPr="00261B7A" w:rsidRDefault="00AD180B" w:rsidP="00672A39">
      <w:pPr>
        <w:pStyle w:val="BodyText"/>
      </w:pPr>
      <w:r w:rsidRPr="00261B7A">
        <w:t>In negotiating trade deals, New Zealand advocates for increased transparency and commitment to take steps to reform (such as New Zealand’s free trade deals with the European Union and United Kingdom). New Zealand is also leading negotiations on the Agreement on Climate Change, Trade and Sustainability trade initiative, which was launched in 2019, in a group of six</w:t>
      </w:r>
      <w:r w:rsidR="00657E38" w:rsidRPr="00261B7A">
        <w:t> </w:t>
      </w:r>
      <w:r w:rsidRPr="00261B7A">
        <w:t>like-minded countries including Costa Rica, Fiji, Iceland, Norway and Switzerland. It seeks to</w:t>
      </w:r>
      <w:r w:rsidR="00657E38" w:rsidRPr="00261B7A">
        <w:t> </w:t>
      </w:r>
      <w:r w:rsidRPr="00261B7A">
        <w:t>develop legally binding rules to eliminate harmful fossil fuel subsidies. It is expected the Agreement will expand into an open plurilateral initiative, open to WTO Members that meet the established standard, with the view to building towards a multilateral outcome over time.</w:t>
      </w:r>
    </w:p>
    <w:p w14:paraId="202890B0" w14:textId="35B0E131" w:rsidR="00AD180B" w:rsidRPr="00261B7A" w:rsidRDefault="00AD180B" w:rsidP="00672A39">
      <w:pPr>
        <w:pStyle w:val="BodyText"/>
      </w:pPr>
      <w:r w:rsidRPr="00261B7A">
        <w:t>Transparency is an important element of subsidy reform. New Zealand participates in reporting through APEC (participating in a voluntary peer review in 2015 and voluntary self</w:t>
      </w:r>
      <w:r w:rsidR="00657E38" w:rsidRPr="00261B7A">
        <w:noBreakHyphen/>
      </w:r>
      <w:r w:rsidRPr="00261B7A">
        <w:t>reporting in 2022) and the Organisation for Economic Co-operation and Development (OECD; participating in a voluntary peer review in 2018 and in regular reporting). The peer review found that New Zealand does not have any inefficient fossil fuel subsidies that encourage wasteful consumption. However, the OECD review found that New Zealand had nine remaining indirect support measures that could support the use of fossil fuels. Three of these measures have now been terminated. New Zealand committed to evaluate the remaining indirect support measures in 2019, and not to introduce any new fossil fuel subsidies. The evaluation found that New Zealand does not have any support measures that could directly or indirectly support the wasteful consumption of fossil fuels.</w:t>
      </w:r>
    </w:p>
    <w:p w14:paraId="4F437AF1" w14:textId="77777777" w:rsidR="00AD180B" w:rsidRPr="00261B7A" w:rsidRDefault="00AD180B" w:rsidP="00672A39">
      <w:pPr>
        <w:pStyle w:val="BodyText"/>
      </w:pPr>
      <w:r w:rsidRPr="00261B7A">
        <w:t>In response to several crises – including the global energy crisis, the cost of living crisis and efforts to recover from the COVID-19 pandemic – in 2022, New Zealand implemented a range of temporary support measures. These included a 25 cent cut to fuel excise tax and a reduction in road user charges. To mitigate the impacts of these and incentivise mode shift, the cost of all public transport was also halved. These temporary measures will be phased out in time.</w:t>
      </w:r>
    </w:p>
    <w:p w14:paraId="6AD04292" w14:textId="61BEFBDE" w:rsidR="00AD180B" w:rsidRPr="00261B7A" w:rsidRDefault="00AD180B" w:rsidP="00672A39">
      <w:pPr>
        <w:pStyle w:val="BodyText"/>
        <w:rPr>
          <w:rFonts w:cs="Calibri"/>
        </w:rPr>
      </w:pPr>
      <w:r w:rsidRPr="00261B7A">
        <w:t>New Zealand has the third highest share of renewable electricity generation in the OECD and is</w:t>
      </w:r>
      <w:r w:rsidR="00672A39" w:rsidRPr="00261B7A">
        <w:t> </w:t>
      </w:r>
      <w:r w:rsidRPr="00261B7A">
        <w:t>working towards 100 per cent re</w:t>
      </w:r>
      <w:r w:rsidRPr="00261B7A">
        <w:rPr>
          <w:rFonts w:cs="Calibri"/>
        </w:rPr>
        <w:t xml:space="preserve">newable electricity generation by 2030. Prices for energy products and services are set freely by the market. New Zealand is a member of the Powering </w:t>
      </w:r>
      <w:r w:rsidRPr="00261B7A">
        <w:rPr>
          <w:rFonts w:cs="Calibri"/>
          <w:spacing w:val="-2"/>
        </w:rPr>
        <w:t>Past Coal Alliance and became an associate member of the Beyond Oil and Gas Alliance in 2021.</w:t>
      </w:r>
      <w:r w:rsidRPr="00261B7A">
        <w:rPr>
          <w:rFonts w:cs="Calibri"/>
        </w:rPr>
        <w:t xml:space="preserve"> </w:t>
      </w:r>
    </w:p>
    <w:p w14:paraId="5296BEC5" w14:textId="77777777" w:rsidR="00AD180B" w:rsidRPr="00261B7A" w:rsidRDefault="00AD180B" w:rsidP="00AD180B">
      <w:pPr>
        <w:pStyle w:val="Heading2"/>
      </w:pPr>
      <w:bookmarkStart w:id="3287" w:name="_Toc481751443"/>
      <w:bookmarkStart w:id="3288" w:name="_Toc36224466"/>
      <w:bookmarkStart w:id="3289" w:name="_Toc68786386"/>
      <w:bookmarkStart w:id="3290" w:name="_Toc131591300"/>
      <w:r w:rsidRPr="00261B7A">
        <w:t xml:space="preserve">15.4 </w:t>
      </w:r>
      <w:r w:rsidRPr="00261B7A">
        <w:tab/>
        <w:t>Technological development of non-energy uses of fossil fuels</w:t>
      </w:r>
      <w:bookmarkEnd w:id="3286"/>
      <w:bookmarkEnd w:id="3287"/>
      <w:bookmarkEnd w:id="3288"/>
      <w:bookmarkEnd w:id="3289"/>
      <w:bookmarkEnd w:id="3290"/>
    </w:p>
    <w:p w14:paraId="7C215C69" w14:textId="77777777" w:rsidR="00AD180B" w:rsidRPr="00261B7A" w:rsidRDefault="00AD180B" w:rsidP="00AD180B">
      <w:pPr>
        <w:pStyle w:val="BodyText"/>
      </w:pPr>
      <w:r w:rsidRPr="00261B7A">
        <w:t xml:space="preserve">Annex I Parties are required to report on cooperation in the technological development of non-energy use of fossil fuels and support provided to non-Annex I Parties. </w:t>
      </w:r>
    </w:p>
    <w:p w14:paraId="26E327F9" w14:textId="77777777" w:rsidR="00AD180B" w:rsidRPr="00261B7A" w:rsidRDefault="00AD180B" w:rsidP="00AD180B">
      <w:pPr>
        <w:pStyle w:val="BodyText"/>
      </w:pPr>
      <w:r w:rsidRPr="00261B7A">
        <w:t>The New Zealand Government has not yet participated actively in activities of this nature.</w:t>
      </w:r>
    </w:p>
    <w:p w14:paraId="738150CC" w14:textId="77777777" w:rsidR="00AD180B" w:rsidRPr="00261B7A" w:rsidRDefault="00AD180B" w:rsidP="00AD180B">
      <w:pPr>
        <w:pStyle w:val="Heading2"/>
      </w:pPr>
      <w:bookmarkStart w:id="3291" w:name="_Toc448321582"/>
      <w:bookmarkStart w:id="3292" w:name="_Toc481751444"/>
      <w:bookmarkStart w:id="3293" w:name="_Toc36224467"/>
      <w:bookmarkStart w:id="3294" w:name="_Toc68786387"/>
      <w:bookmarkStart w:id="3295" w:name="_Toc131591301"/>
      <w:r w:rsidRPr="00261B7A">
        <w:t xml:space="preserve">15.5 </w:t>
      </w:r>
      <w:r w:rsidRPr="00261B7A">
        <w:tab/>
        <w:t>Carbon capture and storage technology development</w:t>
      </w:r>
      <w:bookmarkEnd w:id="3291"/>
      <w:bookmarkEnd w:id="3292"/>
      <w:bookmarkEnd w:id="3293"/>
      <w:bookmarkEnd w:id="3294"/>
      <w:bookmarkEnd w:id="3295"/>
    </w:p>
    <w:p w14:paraId="43059E0A" w14:textId="77777777" w:rsidR="00AD180B" w:rsidRPr="00261B7A" w:rsidRDefault="00AD180B" w:rsidP="00AD180B">
      <w:pPr>
        <w:pStyle w:val="BodyText"/>
      </w:pPr>
      <w:r w:rsidRPr="00261B7A">
        <w:t xml:space="preserve">Annex I Parties are required to report on cooperation in the development, diffusion and </w:t>
      </w:r>
      <w:r w:rsidRPr="00261B7A">
        <w:rPr>
          <w:spacing w:val="-2"/>
        </w:rPr>
        <w:t>transfer of less-greenhouse-gas-emitting advanced fossil fuel technologies, and/or technologies</w:t>
      </w:r>
      <w:r w:rsidRPr="00261B7A">
        <w:t xml:space="preserve"> relating to fossil fuels that capture and store greenhouse gases, and encouragement of their wider use; and on facilitating the participation of non-Annex I Parties.</w:t>
      </w:r>
    </w:p>
    <w:p w14:paraId="498CD041" w14:textId="77777777" w:rsidR="00AD180B" w:rsidRPr="00261B7A" w:rsidRDefault="00AD180B" w:rsidP="00AD180B">
      <w:pPr>
        <w:pStyle w:val="BodyText"/>
      </w:pPr>
      <w:r w:rsidRPr="00261B7A">
        <w:t>New Zealand is a member of the United States-led Carbon Sequestration Leadership Forum (</w:t>
      </w:r>
      <w:hyperlink r:id="rId307" w:history="1">
        <w:r w:rsidRPr="00261B7A">
          <w:rPr>
            <w:rStyle w:val="Hyperlink"/>
          </w:rPr>
          <w:t>www.cslforum.org</w:t>
        </w:r>
      </w:hyperlink>
      <w:r w:rsidRPr="00261B7A">
        <w:t>) and the International Energy Agency Greenhouse Gas Research and Development Programme (</w:t>
      </w:r>
      <w:hyperlink r:id="rId308" w:history="1">
        <w:r w:rsidRPr="00261B7A">
          <w:rPr>
            <w:rStyle w:val="Hyperlink"/>
          </w:rPr>
          <w:t>www.ieaghg.org</w:t>
        </w:r>
      </w:hyperlink>
      <w:r w:rsidRPr="00261B7A">
        <w:t>).</w:t>
      </w:r>
    </w:p>
    <w:p w14:paraId="3A1E39A9" w14:textId="77777777" w:rsidR="00AD180B" w:rsidRPr="00261B7A" w:rsidRDefault="00AD180B" w:rsidP="00AD180B">
      <w:pPr>
        <w:pStyle w:val="Heading2"/>
      </w:pPr>
      <w:bookmarkStart w:id="3296" w:name="_Toc448321583"/>
      <w:bookmarkStart w:id="3297" w:name="_Toc481751445"/>
      <w:bookmarkStart w:id="3298" w:name="_Toc36224468"/>
      <w:bookmarkStart w:id="3299" w:name="_Toc68786388"/>
      <w:bookmarkStart w:id="3300" w:name="_Toc131591302"/>
      <w:r w:rsidRPr="00261B7A">
        <w:t xml:space="preserve">15.6 </w:t>
      </w:r>
      <w:r w:rsidRPr="00261B7A">
        <w:tab/>
        <w:t>Improvements in fossil fuel efficiencies</w:t>
      </w:r>
      <w:bookmarkEnd w:id="3296"/>
      <w:bookmarkEnd w:id="3297"/>
      <w:bookmarkEnd w:id="3298"/>
      <w:bookmarkEnd w:id="3299"/>
      <w:bookmarkEnd w:id="3300"/>
    </w:p>
    <w:p w14:paraId="3496DF63" w14:textId="77777777" w:rsidR="00AD180B" w:rsidRPr="00261B7A" w:rsidRDefault="00AD180B" w:rsidP="00AD180B">
      <w:pPr>
        <w:pStyle w:val="BodyText"/>
      </w:pPr>
      <w:r w:rsidRPr="00261B7A">
        <w:t>Annex I Parties are required to report on how they have strengthened the capacity of non</w:t>
      </w:r>
      <w:r w:rsidRPr="00261B7A">
        <w:noBreakHyphen/>
        <w:t>Annex I Parties identified in Article 4.8 and Article 4.9 of the United Nations Framework Convention on Climate Change. This can be achieved by improving the efficiency in upstream and downstream activities related to fossil fuels and taking into consideration the need to improve the environmental efficiency of these activities.</w:t>
      </w:r>
    </w:p>
    <w:p w14:paraId="1B04AE63" w14:textId="77777777" w:rsidR="00AD180B" w:rsidRPr="00261B7A" w:rsidRDefault="00AD180B" w:rsidP="00AD180B">
      <w:pPr>
        <w:pStyle w:val="BodyText"/>
      </w:pPr>
      <w:r w:rsidRPr="00261B7A">
        <w:rPr>
          <w:spacing w:val="-2"/>
        </w:rPr>
        <w:t>The New Zealand IDC Programme maintains a focus on renewable energy and energy efficiency</w:t>
      </w:r>
      <w:r w:rsidRPr="00261B7A">
        <w:t xml:space="preserve"> and the transition away from fossil fuel dependency to affordable, reliable and clean energy sources. This continues to support partner countries, with a focus on the Pacific, to reduce their carbon emissions through a transition from fossil fuels to renewable energy sources and improved energy efficiency. For example, New Zealand is supporting Nauru to implement a </w:t>
      </w:r>
      <w:r w:rsidRPr="00261B7A">
        <w:rPr>
          <w:spacing w:val="-2"/>
        </w:rPr>
        <w:t>suite of end-use energy efficiency measures, expected to save 6 per cent of its fossil fuel imports</w:t>
      </w:r>
      <w:r w:rsidRPr="00261B7A">
        <w:t xml:space="preserve">. </w:t>
      </w:r>
    </w:p>
    <w:p w14:paraId="1DA2C224" w14:textId="77777777" w:rsidR="00AD180B" w:rsidRPr="00261B7A" w:rsidRDefault="00AD180B" w:rsidP="00AD180B">
      <w:pPr>
        <w:pStyle w:val="BodyText"/>
      </w:pPr>
      <w:r w:rsidRPr="00261B7A">
        <w:t xml:space="preserve">New Zealand continues championing development partner coordination, particularly in the Pacific region, where New Zealand is an acknowledged leader in the energy sector. New Zealand is a major funder and member of the Pacific Regional Infrastructure Facility (PRIF) that coordinates the Pacific efforts of eight large development partners. The PRIF has an active and effective energy sector working group, where these development partners coordinate and share opportunities for partnering in the energy sector. Sharing a coordinated, regional approach to renewable energy and energy efficiency projects undertaken by PRIF partners will accelerate progress towards achieving countries’ renewable energy targets, which form an important part of their Nationally Determined Contributions submitted under the Paris Agreement. </w:t>
      </w:r>
    </w:p>
    <w:p w14:paraId="07FE9F12" w14:textId="77777777" w:rsidR="00AD180B" w:rsidRPr="00261B7A" w:rsidRDefault="00AD180B" w:rsidP="00AD180B">
      <w:pPr>
        <w:pStyle w:val="BodyText"/>
      </w:pPr>
      <w:r w:rsidRPr="00261B7A">
        <w:t>New Zealand is also a member of the International Renewable Energy Agency (IRENA), an intergovernmental organisation that aims to promote the widespread use of all forms of renewable energy. New Zealand served on the IRENA Council in 2020 and is involved with several of IRENA’s work programmes in the Pacific and further afield, using its strong credentials in the IRENA Assemblies and council meetings to support Pacific SIDS. New Zealand is also a member of other multilateral institutions that play a role in the Energy sector, for example, the International Energy Agency and APEC.</w:t>
      </w:r>
    </w:p>
    <w:p w14:paraId="4E292DA9" w14:textId="77777777" w:rsidR="00AD180B" w:rsidRPr="00261B7A" w:rsidRDefault="00AD180B" w:rsidP="00423599">
      <w:pPr>
        <w:pStyle w:val="Heading2"/>
        <w:spacing w:line="380" w:lineRule="atLeast"/>
      </w:pPr>
      <w:bookmarkStart w:id="3301" w:name="_Toc448321584"/>
      <w:bookmarkStart w:id="3302" w:name="_Toc481751446"/>
      <w:bookmarkStart w:id="3303" w:name="_Toc36224469"/>
      <w:bookmarkStart w:id="3304" w:name="_Toc68786389"/>
      <w:bookmarkStart w:id="3305" w:name="_Toc131591303"/>
      <w:r w:rsidRPr="00261B7A">
        <w:t xml:space="preserve">15.7 </w:t>
      </w:r>
      <w:r w:rsidRPr="00261B7A">
        <w:tab/>
        <w:t>Assistance to non-Annex I Parties dependent on the export and consumption of fossil fuels for diversifying their economies</w:t>
      </w:r>
      <w:bookmarkEnd w:id="3301"/>
      <w:bookmarkEnd w:id="3302"/>
      <w:bookmarkEnd w:id="3303"/>
      <w:bookmarkEnd w:id="3304"/>
      <w:bookmarkEnd w:id="3305"/>
    </w:p>
    <w:p w14:paraId="1CC9881C" w14:textId="77777777" w:rsidR="00AD180B" w:rsidRPr="00261B7A" w:rsidRDefault="00AD180B" w:rsidP="00AD180B">
      <w:pPr>
        <w:pStyle w:val="BodyText"/>
      </w:pPr>
      <w:r w:rsidRPr="00261B7A">
        <w:t>Annex I Parties are required to report on assistance provided to non-Annex I Parties that are highly dependent on the export and consumption of fossil fuels in diversifying their economies.</w:t>
      </w:r>
    </w:p>
    <w:p w14:paraId="7A775A3B" w14:textId="538264F0" w:rsidR="00AD180B" w:rsidRPr="00261B7A" w:rsidRDefault="00AD180B" w:rsidP="00AD180B">
      <w:pPr>
        <w:pStyle w:val="BodyText"/>
      </w:pPr>
      <w:r w:rsidRPr="00261B7A">
        <w:t>The New Zealand IDC Programme provides support to several non-Annex I Parties for purposes</w:t>
      </w:r>
      <w:r w:rsidR="00672A39" w:rsidRPr="00261B7A">
        <w:t> </w:t>
      </w:r>
      <w:r w:rsidRPr="00261B7A">
        <w:t>of economic diversification (refer to section 15.6). The Pacific region is a priority for</w:t>
      </w:r>
      <w:r w:rsidR="00672A39" w:rsidRPr="00261B7A">
        <w:t> </w:t>
      </w:r>
      <w:r w:rsidRPr="00261B7A">
        <w:t>New Zealand’s IDC Programme, and the main recipient of assistance in the Energy sector. South East Asia is the second region receiving the most support, followed by Africa and the Caribbean, where the focus is on developing their geothermal energy resources.</w:t>
      </w:r>
    </w:p>
    <w:p w14:paraId="4FCD9540" w14:textId="77777777" w:rsidR="00AD180B" w:rsidRPr="00261B7A" w:rsidRDefault="00AD180B" w:rsidP="00AD180B">
      <w:pPr>
        <w:pStyle w:val="BodyText"/>
      </w:pPr>
      <w:r w:rsidRPr="00261B7A">
        <w:t xml:space="preserve">The Pacific is the most petroleum dependent region in the world, with countries heavily reliant on imported petroleum products for electricity and transport. Energy systems are vulnerable </w:t>
      </w:r>
      <w:r w:rsidRPr="00261B7A">
        <w:rPr>
          <w:spacing w:val="-2"/>
        </w:rPr>
        <w:t>to the impacts of climate change, affecting the resilience of the essential services, communities</w:t>
      </w:r>
      <w:r w:rsidRPr="00261B7A">
        <w:t xml:space="preserve"> and economies. New Zealand supports the transition towards renewable energy systems in the region, by investing in climate-resilient renewable energy systems. For example, New Zealand is supporting Vanuatu to develop its rural electrification masterplan and its strategy to replace diesel with coconut oil for electricity generation. Other ongoing activities include a programme of support under the Papua New Guinea Electrification Partnership and support for the expansion and renewal of Tokelau’s renewable energy systems.</w:t>
      </w:r>
    </w:p>
    <w:p w14:paraId="1CE38FFE" w14:textId="77777777" w:rsidR="00AD180B" w:rsidRPr="00261B7A" w:rsidRDefault="00AD180B" w:rsidP="00AD180B">
      <w:pPr>
        <w:pStyle w:val="BodyText"/>
      </w:pPr>
      <w:r w:rsidRPr="00261B7A">
        <w:t xml:space="preserve">Beyond the Pacific, New Zealand supports growing local capacity and capability for increasing access to renewable electricity. This includes leveraging New Zealand’s geothermal expertise to support the development of geothermal energy resources and, more recently, supporting countries in South East Asia to improve their policy and regulatory frameworks to enable further investment in renewable energy. </w:t>
      </w:r>
    </w:p>
    <w:p w14:paraId="6117D1A6" w14:textId="77777777" w:rsidR="00AD180B" w:rsidRPr="00261B7A" w:rsidRDefault="00AD180B" w:rsidP="00AD180B">
      <w:pPr>
        <w:pStyle w:val="BodyText"/>
      </w:pPr>
      <w:r w:rsidRPr="00261B7A">
        <w:t>New Zealand is committed to providing long-term assistance to non-Annex I Parties in achieving economic diversification that is independent of fossil fuels.</w:t>
      </w:r>
    </w:p>
    <w:p w14:paraId="69D2A6FE" w14:textId="77777777" w:rsidR="00AD180B" w:rsidRPr="00261B7A" w:rsidRDefault="00AD180B" w:rsidP="00AD180B">
      <w:pPr>
        <w:pStyle w:val="Heading2"/>
      </w:pPr>
      <w:bookmarkStart w:id="3306" w:name="_Toc131591304"/>
      <w:r w:rsidRPr="00261B7A">
        <w:t>15.8</w:t>
      </w:r>
      <w:r w:rsidRPr="00261B7A">
        <w:tab/>
        <w:t>New Zealand’s IDC climate commitment</w:t>
      </w:r>
      <w:bookmarkEnd w:id="3306"/>
      <w:r w:rsidRPr="00261B7A">
        <w:t xml:space="preserve"> </w:t>
      </w:r>
    </w:p>
    <w:p w14:paraId="515D485F" w14:textId="3EC8BED0" w:rsidR="00AD180B" w:rsidRPr="00261B7A" w:rsidRDefault="00AD180B" w:rsidP="00AD180B">
      <w:pPr>
        <w:pStyle w:val="BodyText"/>
      </w:pPr>
      <w:r w:rsidRPr="00261B7A">
        <w:t xml:space="preserve">In August 2022, New Zealand announced its </w:t>
      </w:r>
      <w:r w:rsidRPr="00261B7A">
        <w:rPr>
          <w:i/>
        </w:rPr>
        <w:t>International Climate Finance Strategy – Tuia te</w:t>
      </w:r>
      <w:r w:rsidR="00423599" w:rsidRPr="00261B7A">
        <w:rPr>
          <w:i/>
        </w:rPr>
        <w:t> </w:t>
      </w:r>
      <w:r w:rsidRPr="00261B7A">
        <w:rPr>
          <w:i/>
        </w:rPr>
        <w:t xml:space="preserve">Waka a Kiwa </w:t>
      </w:r>
      <w:r w:rsidRPr="00261B7A">
        <w:t xml:space="preserve">(see </w:t>
      </w:r>
      <w:hyperlink r:id="rId309" w:history="1">
        <w:r w:rsidRPr="00261B7A">
          <w:rPr>
            <w:rStyle w:val="Hyperlink"/>
          </w:rPr>
          <w:t>www.mfat.govt.nz/assets/Aid/Climate-finance/International-Climate-Finance-Strategy-FINAL-16Aug22-low-res.pdf</w:t>
        </w:r>
      </w:hyperlink>
      <w:r w:rsidRPr="00261B7A">
        <w:t>), which will guide the delivery of New</w:t>
      </w:r>
      <w:r w:rsidR="00423599" w:rsidRPr="00261B7A">
        <w:t xml:space="preserve"> </w:t>
      </w:r>
      <w:r w:rsidRPr="00261B7A">
        <w:t xml:space="preserve">Zealand’s NZD$1.3 billion international climate finance commitment. At least 50 per cent of the commitment will support Pacific Island countries and another 50 per cent will target adaptation. The strategy works towards four main goals: </w:t>
      </w:r>
    </w:p>
    <w:p w14:paraId="02AE4626" w14:textId="77777777" w:rsidR="00AD180B" w:rsidRPr="00261B7A" w:rsidRDefault="00AD180B" w:rsidP="00294EC5">
      <w:pPr>
        <w:pStyle w:val="BodyText"/>
        <w:keepNext/>
        <w:numPr>
          <w:ilvl w:val="0"/>
          <w:numId w:val="28"/>
        </w:numPr>
        <w:spacing w:before="0"/>
        <w:ind w:left="397" w:hanging="397"/>
      </w:pPr>
      <w:r w:rsidRPr="00261B7A">
        <w:t xml:space="preserve">to enhance resilience and adaptation </w:t>
      </w:r>
    </w:p>
    <w:p w14:paraId="72C5C6EA" w14:textId="77777777" w:rsidR="00AD180B" w:rsidRPr="00261B7A" w:rsidRDefault="00AD180B" w:rsidP="00294EC5">
      <w:pPr>
        <w:pStyle w:val="BodyText"/>
        <w:numPr>
          <w:ilvl w:val="0"/>
          <w:numId w:val="28"/>
        </w:numPr>
        <w:spacing w:before="0"/>
        <w:ind w:left="397" w:hanging="397"/>
      </w:pPr>
      <w:r w:rsidRPr="00261B7A">
        <w:t>promote quicker action on mitigation</w:t>
      </w:r>
    </w:p>
    <w:p w14:paraId="286CF82C" w14:textId="77777777" w:rsidR="00AD180B" w:rsidRPr="00261B7A" w:rsidRDefault="00AD180B" w:rsidP="00294EC5">
      <w:pPr>
        <w:pStyle w:val="BodyText"/>
        <w:numPr>
          <w:ilvl w:val="0"/>
          <w:numId w:val="28"/>
        </w:numPr>
        <w:spacing w:before="0"/>
        <w:ind w:left="397" w:hanging="397"/>
      </w:pPr>
      <w:r w:rsidRPr="00261B7A">
        <w:t xml:space="preserve">improve information to allow evidence-based decisions </w:t>
      </w:r>
    </w:p>
    <w:p w14:paraId="77796F72" w14:textId="77777777" w:rsidR="00AD180B" w:rsidRPr="00261B7A" w:rsidRDefault="00AD180B" w:rsidP="00294EC5">
      <w:pPr>
        <w:pStyle w:val="BodyText"/>
        <w:numPr>
          <w:ilvl w:val="0"/>
          <w:numId w:val="28"/>
        </w:numPr>
        <w:spacing w:before="0"/>
        <w:ind w:left="397" w:hanging="397"/>
      </w:pPr>
      <w:r w:rsidRPr="00261B7A">
        <w:t xml:space="preserve">leverage New Zealand’s investments to make greater impact. </w:t>
      </w:r>
    </w:p>
    <w:p w14:paraId="08B562DA" w14:textId="77777777" w:rsidR="00AD180B" w:rsidRPr="00261B7A" w:rsidRDefault="00AD180B" w:rsidP="00AD180B">
      <w:pPr>
        <w:pStyle w:val="BodyText"/>
      </w:pPr>
      <w:r w:rsidRPr="00261B7A">
        <w:t>New Zealand is committed to being guided by Pacific partner government priorities when delivering this commitment especially those described in Nationally Determined Contributions and National Adaptation Plans.</w:t>
      </w:r>
    </w:p>
    <w:p w14:paraId="319DF12E" w14:textId="77777777" w:rsidR="00AD180B" w:rsidRPr="00261B7A" w:rsidRDefault="00AD180B" w:rsidP="00AD180B">
      <w:pPr>
        <w:pStyle w:val="BodyText"/>
      </w:pPr>
      <w:r w:rsidRPr="00261B7A">
        <w:t xml:space="preserve">More broadly, New Zealand remains committed to the global goal of jointly mobilising USD$100 billion per year from a variety of sources through to 2025. This is in the context of </w:t>
      </w:r>
      <w:r w:rsidRPr="00261B7A">
        <w:rPr>
          <w:spacing w:val="-2"/>
        </w:rPr>
        <w:t>meaningful mitigation actions by developing countries and for transparency on implementation</w:t>
      </w:r>
      <w:r w:rsidRPr="00261B7A">
        <w:t>.</w:t>
      </w:r>
    </w:p>
    <w:p w14:paraId="133A3D18" w14:textId="77777777" w:rsidR="00AD180B" w:rsidRPr="00261B7A" w:rsidRDefault="00AD180B" w:rsidP="00C30323">
      <w:pPr>
        <w:pStyle w:val="Heading2"/>
        <w:spacing w:before="0" w:after="480"/>
      </w:pPr>
      <w:r w:rsidRPr="00261B7A">
        <w:br w:type="page"/>
      </w:r>
      <w:bookmarkStart w:id="3307" w:name="_Toc68786390"/>
      <w:bookmarkStart w:id="3308" w:name="_Toc131591305"/>
      <w:r w:rsidRPr="00261B7A">
        <w:t>Chapter 15: Reference</w:t>
      </w:r>
      <w:bookmarkEnd w:id="3307"/>
      <w:r w:rsidRPr="00261B7A">
        <w:t>s</w:t>
      </w:r>
      <w:bookmarkEnd w:id="3308"/>
    </w:p>
    <w:p w14:paraId="3C466ADB" w14:textId="712055D1" w:rsidR="00AD180B" w:rsidRPr="00261B7A" w:rsidRDefault="00AD180B" w:rsidP="00AD180B">
      <w:pPr>
        <w:pStyle w:val="References"/>
      </w:pPr>
      <w:r w:rsidRPr="00261B7A">
        <w:t xml:space="preserve">Ministry for the Environment. 2022. </w:t>
      </w:r>
      <w:r w:rsidR="008C30F7" w:rsidRPr="008C30F7">
        <w:rPr>
          <w:i/>
          <w:iCs/>
        </w:rPr>
        <w:t>Te Rīpoata Taurua Tuarima o Aotearoa:</w:t>
      </w:r>
      <w:r w:rsidR="008C30F7">
        <w:t xml:space="preserve"> </w:t>
      </w:r>
      <w:r w:rsidRPr="00261B7A">
        <w:rPr>
          <w:i/>
          <w:iCs/>
        </w:rPr>
        <w:t>New Zealand’s Fifth Biennial Report under the United Nations Framework Convention on Climate Change</w:t>
      </w:r>
      <w:r w:rsidRPr="00261B7A">
        <w:t>. Wellington: Ministry for the Environment.</w:t>
      </w:r>
    </w:p>
    <w:p w14:paraId="747E22AE" w14:textId="71EFA060" w:rsidR="00AD180B" w:rsidRPr="00261B7A" w:rsidRDefault="00AD180B" w:rsidP="00AD180B">
      <w:pPr>
        <w:pStyle w:val="References"/>
        <w:rPr>
          <w:iCs/>
        </w:rPr>
      </w:pPr>
      <w:r w:rsidRPr="00261B7A">
        <w:t xml:space="preserve">Ministry of Foreign Affairs and Trade. 2022. </w:t>
      </w:r>
      <w:r w:rsidRPr="00261B7A">
        <w:rPr>
          <w:i/>
        </w:rPr>
        <w:t>International Climate Finance Strategy – Tuia te Waka a Kiwa</w:t>
      </w:r>
      <w:r w:rsidRPr="00261B7A">
        <w:rPr>
          <w:iCs/>
        </w:rPr>
        <w:t xml:space="preserve">. Wellington: </w:t>
      </w:r>
      <w:r w:rsidRPr="00261B7A">
        <w:t xml:space="preserve">Ministry of Foreign Affairs and Trade. Retrieved from </w:t>
      </w:r>
      <w:hyperlink r:id="rId310" w:history="1">
        <w:r w:rsidR="008B1DBC" w:rsidRPr="00261B7A">
          <w:rPr>
            <w:rStyle w:val="Hyperlink"/>
          </w:rPr>
          <w:t>www.mfat.govt.nz/assets/Aid/ Climate-finance/International-Climate-Finance-Strategy-At-a-glance-FINAL.pdf</w:t>
        </w:r>
      </w:hyperlink>
      <w:r w:rsidR="002869D7" w:rsidRPr="00261B7A">
        <w:t xml:space="preserve"> </w:t>
      </w:r>
      <w:r w:rsidRPr="00261B7A">
        <w:t>(28 February 2023).</w:t>
      </w:r>
    </w:p>
    <w:p w14:paraId="26056639" w14:textId="77777777" w:rsidR="00AD180B" w:rsidRPr="00261B7A" w:rsidRDefault="00AD180B" w:rsidP="00AD180B"/>
    <w:p w14:paraId="102F0E54" w14:textId="77777777" w:rsidR="003C5373" w:rsidRPr="00261B7A" w:rsidRDefault="003C5373" w:rsidP="005D1235"/>
    <w:sectPr w:rsidR="003C5373" w:rsidRPr="00261B7A" w:rsidSect="00EC1C92">
      <w:footerReference w:type="even" r:id="rId311"/>
      <w:footerReference w:type="default" r:id="rId312"/>
      <w:pgSz w:w="11907" w:h="16840" w:code="9"/>
      <w:pgMar w:top="1418" w:right="1701" w:bottom="1418" w:left="1701" w:header="567"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2EEFFA" w14:textId="77777777" w:rsidR="00421983" w:rsidRDefault="00421983">
      <w:r>
        <w:separator/>
      </w:r>
    </w:p>
  </w:endnote>
  <w:endnote w:type="continuationSeparator" w:id="0">
    <w:p w14:paraId="630F8B41" w14:textId="77777777" w:rsidR="00421983" w:rsidRDefault="004219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JBHHJB+Arial,Bol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pitch w:val="fixed"/>
    <w:sig w:usb0="00000001" w:usb1="08070000" w:usb2="00000010" w:usb3="00000000" w:csb0="00020000"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algun Gothic">
    <w:panose1 w:val="020B0503020000020004"/>
    <w:charset w:val="81"/>
    <w:family w:val="swiss"/>
    <w:pitch w:val="variable"/>
    <w:sig w:usb0="9000002F" w:usb1="29D77CFB" w:usb2="00000012" w:usb3="00000000" w:csb0="00080001" w:csb1="00000000"/>
  </w:font>
  <w:font w:name="Cordia New">
    <w:panose1 w:val="020B0304020202020204"/>
    <w:charset w:val="DE"/>
    <w:family w:val="roman"/>
    <w:pitch w:val="variable"/>
    <w:sig w:usb0="01000001" w:usb1="00000000" w:usb2="00000000" w:usb3="00000000" w:csb0="00010000" w:csb1="00000000"/>
  </w:font>
  <w:font w:name="Arial Bold">
    <w:panose1 w:val="020B0704020202020204"/>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mn-ea">
    <w:altName w:val="Cambria"/>
    <w:panose1 w:val="00000000000000000000"/>
    <w:charset w:val="00"/>
    <w:family w:val="roman"/>
    <w:notTrueType/>
    <w:pitch w:val="default"/>
  </w:font>
  <w:font w:name="Yu Gothic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E41CB" w14:textId="77777777" w:rsidR="00F82F72" w:rsidRDefault="00F82F7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597EE" w14:textId="36BB3EB8" w:rsidR="009F2A14" w:rsidRPr="00B928E7" w:rsidRDefault="009F2A14" w:rsidP="00B928E7">
    <w:pPr>
      <w:pStyle w:val="FooterEven"/>
    </w:pPr>
    <w:r w:rsidRPr="00DB7905">
      <w:rPr>
        <w:rStyle w:val="PageNumber"/>
        <w:bCs/>
        <w:sz w:val="22"/>
      </w:rPr>
      <w:fldChar w:fldCharType="begin"/>
    </w:r>
    <w:r w:rsidRPr="00DB7905">
      <w:rPr>
        <w:rStyle w:val="PageNumber"/>
        <w:bCs/>
        <w:sz w:val="22"/>
      </w:rPr>
      <w:instrText xml:space="preserve"> PAGE </w:instrText>
    </w:r>
    <w:r w:rsidRPr="00DB7905">
      <w:rPr>
        <w:rStyle w:val="PageNumber"/>
        <w:bCs/>
        <w:sz w:val="22"/>
      </w:rPr>
      <w:fldChar w:fldCharType="separate"/>
    </w:r>
    <w:r w:rsidRPr="00DB7905">
      <w:rPr>
        <w:rStyle w:val="PageNumber"/>
        <w:bCs/>
        <w:noProof/>
        <w:sz w:val="22"/>
      </w:rPr>
      <w:t>iv</w:t>
    </w:r>
    <w:r w:rsidRPr="00DB7905">
      <w:rPr>
        <w:rStyle w:val="PageNumber"/>
        <w:bCs/>
        <w:sz w:val="22"/>
      </w:rPr>
      <w:fldChar w:fldCharType="end"/>
    </w:r>
    <w:r>
      <w:rPr>
        <w:rStyle w:val="PageNumber"/>
        <w:b w:val="0"/>
        <w:sz w:val="22"/>
      </w:rPr>
      <w:tab/>
    </w:r>
    <w:r>
      <w:t>Abbreviations</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2B56C" w14:textId="7DFCE1AD" w:rsidR="005660CD" w:rsidRPr="00EC2491" w:rsidRDefault="005660CD"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2</w:t>
    </w:r>
    <w:r w:rsidRPr="00762043">
      <w:rPr>
        <w:rStyle w:val="PageNumber"/>
        <w:sz w:val="22"/>
      </w:rPr>
      <w:fldChar w:fldCharType="end"/>
    </w:r>
    <w:r>
      <w:rPr>
        <w:rStyle w:val="PageNumber"/>
        <w:b w:val="0"/>
        <w:sz w:val="22"/>
      </w:rPr>
      <w:tab/>
    </w:r>
    <w:r w:rsidR="00F40540">
      <w:t>Executive summary</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B50EB" w14:textId="6BFBF4B4" w:rsidR="005660CD" w:rsidRPr="00027E55" w:rsidRDefault="005660CD" w:rsidP="00715D39">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rsidR="006D77C3">
      <w:t>21</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1</w:t>
    </w:r>
    <w:r w:rsidRPr="00762043">
      <w:rPr>
        <w:rStyle w:val="PageNumber"/>
        <w:sz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EDC24" w14:textId="756103DD" w:rsidR="006611EE" w:rsidRPr="00EC2491" w:rsidRDefault="006611EE"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w:t>
    </w:r>
    <w:r w:rsidRPr="00762043">
      <w:rPr>
        <w:rStyle w:val="PageNumber"/>
        <w:sz w:val="22"/>
      </w:rPr>
      <w:fldChar w:fldCharType="end"/>
    </w:r>
    <w:r>
      <w:rPr>
        <w:rStyle w:val="PageNumber"/>
        <w:b w:val="0"/>
        <w:sz w:val="22"/>
      </w:rPr>
      <w:tab/>
    </w:r>
    <w:r w:rsidRPr="008D215F">
      <w:t>Chapter 1: Introduction</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F3F17" w14:textId="77777777" w:rsidR="00F40540" w:rsidRPr="00027E55" w:rsidRDefault="00F40540" w:rsidP="00715D39">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21</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w:t>
    </w:r>
    <w:r w:rsidRPr="00762043">
      <w:rPr>
        <w:rStyle w:val="PageNumbe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D8250" w14:textId="6EF5D061" w:rsidR="00F40540" w:rsidRPr="00EC2491" w:rsidRDefault="00F40540"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w:t>
    </w:r>
    <w:r w:rsidRPr="00762043">
      <w:rPr>
        <w:rStyle w:val="PageNumber"/>
        <w:sz w:val="22"/>
      </w:rPr>
      <w:fldChar w:fldCharType="end"/>
    </w:r>
    <w:r>
      <w:rPr>
        <w:rStyle w:val="PageNumber"/>
        <w:b w:val="0"/>
        <w:sz w:val="22"/>
      </w:rPr>
      <w:tab/>
    </w:r>
    <w:r w:rsidR="00C103F7" w:rsidRPr="00C103F7">
      <w:t>Chapter 2: Trends in greenhouse gas emissions</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94894" w14:textId="77777777" w:rsidR="00F40540" w:rsidRPr="00027E55" w:rsidRDefault="00F40540" w:rsidP="00715D39">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21</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w:t>
    </w:r>
    <w:r w:rsidRPr="00762043">
      <w:rPr>
        <w:rStyle w:val="PageNumber"/>
        <w:sz w:val="22"/>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BB183" w14:textId="77777777" w:rsidR="005660CD" w:rsidRPr="00EC2491" w:rsidRDefault="005660CD"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2</w:t>
    </w:r>
    <w:r w:rsidRPr="00762043">
      <w:rPr>
        <w:rStyle w:val="PageNumber"/>
        <w:sz w:val="22"/>
      </w:rPr>
      <w:fldChar w:fldCharType="end"/>
    </w:r>
    <w:r>
      <w:rPr>
        <w:rStyle w:val="PageNumber"/>
        <w:b w:val="0"/>
        <w:sz w:val="22"/>
      </w:rPr>
      <w:tab/>
    </w:r>
    <w:r w:rsidR="00111AFC" w:rsidRPr="00CF7F79">
      <w:t>Chapter 3: Energy</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55F77" w14:textId="77777777" w:rsidR="005660CD" w:rsidRPr="00027E55" w:rsidRDefault="005660CD" w:rsidP="00715D39">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rsidR="00111AFC">
      <w:t>21</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1</w:t>
    </w:r>
    <w:r w:rsidRPr="00762043">
      <w:rPr>
        <w:rStyle w:val="PageNumber"/>
        <w:sz w:val="22"/>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FFF2C" w14:textId="77777777" w:rsidR="005660CD" w:rsidRPr="00EC2491" w:rsidRDefault="005660CD"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2</w:t>
    </w:r>
    <w:r w:rsidRPr="00762043">
      <w:rPr>
        <w:rStyle w:val="PageNumber"/>
        <w:sz w:val="22"/>
      </w:rPr>
      <w:fldChar w:fldCharType="end"/>
    </w:r>
    <w:r>
      <w:rPr>
        <w:rStyle w:val="PageNumber"/>
        <w:b w:val="0"/>
        <w:sz w:val="22"/>
      </w:rPr>
      <w:tab/>
    </w:r>
    <w:r w:rsidR="00111AFC" w:rsidRPr="00B92CCC">
      <w:t>Chapter 4: Industrial Processes and Product Use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06932" w14:textId="6C8F0284" w:rsidR="005660CD" w:rsidRDefault="00C651C6" w:rsidP="00B44BA5">
    <w:pPr>
      <w:pStyle w:val="Footer"/>
      <w:ind w:left="-567"/>
    </w:pPr>
    <w:r>
      <w:rPr>
        <w:b/>
        <w:noProof/>
      </w:rPr>
      <w:drawing>
        <wp:inline distT="0" distB="0" distL="0" distR="0" wp14:anchorId="5B858BE2" wp14:editId="74D36322">
          <wp:extent cx="2239645" cy="541020"/>
          <wp:effectExtent l="0" t="0" r="0" b="0"/>
          <wp:docPr id="2" name="Picture 1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l="3163"/>
                  <a:stretch>
                    <a:fillRect/>
                  </a:stretch>
                </pic:blipFill>
                <pic:spPr bwMode="auto">
                  <a:xfrm>
                    <a:off x="0" y="0"/>
                    <a:ext cx="2239645" cy="541020"/>
                  </a:xfrm>
                  <a:prstGeom prst="rect">
                    <a:avLst/>
                  </a:prstGeom>
                  <a:noFill/>
                  <a:ln>
                    <a:noFill/>
                  </a:ln>
                </pic:spPr>
              </pic:pic>
            </a:graphicData>
          </a:graphic>
        </wp:inline>
      </w:drawing>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482BD" w14:textId="77777777" w:rsidR="005660CD" w:rsidRPr="00027E55" w:rsidRDefault="005660CD" w:rsidP="00715D39">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rsidR="00111AFC">
      <w:t>21</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1</w:t>
    </w:r>
    <w:r w:rsidRPr="00762043">
      <w:rPr>
        <w:rStyle w:val="PageNumbe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C9BDC" w14:textId="2438492E" w:rsidR="00E21758" w:rsidRPr="00EC2491" w:rsidRDefault="00E21758"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w:t>
    </w:r>
    <w:r w:rsidRPr="00762043">
      <w:rPr>
        <w:rStyle w:val="PageNumber"/>
        <w:sz w:val="22"/>
      </w:rPr>
      <w:fldChar w:fldCharType="end"/>
    </w:r>
    <w:r>
      <w:rPr>
        <w:rStyle w:val="PageNumber"/>
        <w:b w:val="0"/>
        <w:sz w:val="22"/>
      </w:rPr>
      <w:tab/>
    </w:r>
    <w:r w:rsidRPr="00E21758">
      <w:t>Chapter 5: Agriculture</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31DD8" w14:textId="77777777" w:rsidR="0010265C" w:rsidRPr="004C6829" w:rsidRDefault="0010265C" w:rsidP="004C6829">
    <w:pPr>
      <w:pStyle w:val="FooterEven"/>
      <w:rPr>
        <w:b/>
        <w:bCs/>
      </w:rPr>
    </w:pPr>
    <w:r w:rsidRPr="004C6829">
      <w:rPr>
        <w:b/>
        <w:bCs/>
        <w:sz w:val="22"/>
        <w:szCs w:val="28"/>
      </w:rPr>
      <w:fldChar w:fldCharType="begin"/>
    </w:r>
    <w:r w:rsidRPr="004C6829">
      <w:rPr>
        <w:b/>
        <w:bCs/>
        <w:sz w:val="22"/>
        <w:szCs w:val="28"/>
      </w:rPr>
      <w:instrText xml:space="preserve"> PAGE   \* MERGEFORMAT </w:instrText>
    </w:r>
    <w:r w:rsidRPr="004C6829">
      <w:rPr>
        <w:b/>
        <w:bCs/>
        <w:sz w:val="22"/>
        <w:szCs w:val="28"/>
      </w:rPr>
      <w:fldChar w:fldCharType="separate"/>
    </w:r>
    <w:r w:rsidRPr="004C6829">
      <w:rPr>
        <w:b/>
        <w:bCs/>
        <w:noProof/>
        <w:sz w:val="22"/>
        <w:szCs w:val="28"/>
      </w:rPr>
      <w:t>1</w:t>
    </w:r>
    <w:r w:rsidRPr="004C6829">
      <w:rPr>
        <w:b/>
        <w:bCs/>
        <w:noProof/>
        <w:sz w:val="22"/>
        <w:szCs w:val="28"/>
      </w:rPr>
      <w:fldChar w:fldCharType="end"/>
    </w:r>
    <w:r w:rsidRPr="00E85BC6">
      <w:rPr>
        <w:noProof/>
      </w:rPr>
      <w:tab/>
      <w:t>Chapter 6:</w:t>
    </w:r>
    <w:r>
      <w:rPr>
        <w:b/>
        <w:bCs/>
        <w:noProof/>
      </w:rPr>
      <w:t xml:space="preserve"> </w:t>
    </w:r>
    <w:r w:rsidRPr="00E85BC6">
      <w:rPr>
        <w:noProof/>
      </w:rPr>
      <w:t>Land Use, Land-Use Change and Forestry</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DB3FD" w14:textId="77777777" w:rsidR="0010265C" w:rsidRPr="00316A42" w:rsidRDefault="0010265C" w:rsidP="004C6829">
    <w:pPr>
      <w:pStyle w:val="FooterOdd"/>
      <w:rPr>
        <w:b/>
      </w:rPr>
    </w:pPr>
    <w:r w:rsidRPr="000467A0">
      <w:tab/>
      <w:t>New Zealand’s Greenhouse Gas Inventory 1990–202</w:t>
    </w:r>
    <w:r>
      <w:t>1</w:t>
    </w:r>
    <w:r w:rsidRPr="000467A0">
      <w:tab/>
    </w:r>
    <w:r w:rsidRPr="004C6829">
      <w:rPr>
        <w:rStyle w:val="PageNumber"/>
        <w:rFonts w:cs="Calibri"/>
        <w:sz w:val="22"/>
      </w:rPr>
      <w:fldChar w:fldCharType="begin"/>
    </w:r>
    <w:r w:rsidRPr="004C6829">
      <w:rPr>
        <w:rStyle w:val="PageNumber"/>
        <w:rFonts w:cs="Calibri"/>
        <w:sz w:val="22"/>
      </w:rPr>
      <w:instrText xml:space="preserve"> PAGE </w:instrText>
    </w:r>
    <w:r w:rsidRPr="004C6829">
      <w:rPr>
        <w:rStyle w:val="PageNumber"/>
        <w:rFonts w:cs="Calibri"/>
        <w:sz w:val="22"/>
      </w:rPr>
      <w:fldChar w:fldCharType="separate"/>
    </w:r>
    <w:r w:rsidRPr="004C6829">
      <w:rPr>
        <w:rStyle w:val="PageNumber"/>
        <w:rFonts w:cs="Calibri"/>
        <w:noProof/>
        <w:sz w:val="22"/>
      </w:rPr>
      <w:t>61</w:t>
    </w:r>
    <w:r w:rsidRPr="004C6829">
      <w:rPr>
        <w:rStyle w:val="PageNumber"/>
        <w:rFonts w:cs="Calibri"/>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88B96" w14:textId="4ADA4D6D" w:rsidR="0010265C" w:rsidRPr="00316A42" w:rsidRDefault="0010265C" w:rsidP="000F5C8B">
    <w:pPr>
      <w:pStyle w:val="FooterOdd"/>
      <w:tabs>
        <w:tab w:val="clear" w:pos="7655"/>
        <w:tab w:val="clear" w:pos="8505"/>
        <w:tab w:val="right" w:pos="13041"/>
        <w:tab w:val="right" w:pos="13948"/>
      </w:tabs>
      <w:rPr>
        <w:b/>
      </w:rPr>
    </w:pPr>
    <w:r w:rsidRPr="000467A0">
      <w:tab/>
      <w:t>New Zealand’s Greenhouse Gas Inventory 1990–202</w:t>
    </w:r>
    <w:r w:rsidR="00155E04">
      <w:t>1</w:t>
    </w:r>
    <w:r w:rsidRPr="000467A0">
      <w:tab/>
    </w:r>
    <w:r w:rsidRPr="004C6829">
      <w:rPr>
        <w:rStyle w:val="PageNumber"/>
        <w:rFonts w:cs="Calibri"/>
        <w:sz w:val="22"/>
      </w:rPr>
      <w:fldChar w:fldCharType="begin"/>
    </w:r>
    <w:r w:rsidRPr="004C6829">
      <w:rPr>
        <w:rStyle w:val="PageNumber"/>
        <w:rFonts w:cs="Calibri"/>
        <w:sz w:val="22"/>
      </w:rPr>
      <w:instrText xml:space="preserve"> PAGE </w:instrText>
    </w:r>
    <w:r w:rsidRPr="004C6829">
      <w:rPr>
        <w:rStyle w:val="PageNumber"/>
        <w:rFonts w:cs="Calibri"/>
        <w:sz w:val="22"/>
      </w:rPr>
      <w:fldChar w:fldCharType="separate"/>
    </w:r>
    <w:r w:rsidRPr="004C6829">
      <w:rPr>
        <w:rStyle w:val="PageNumber"/>
        <w:rFonts w:cs="Calibri"/>
        <w:noProof/>
        <w:sz w:val="22"/>
      </w:rPr>
      <w:t>61</w:t>
    </w:r>
    <w:r w:rsidRPr="004C6829">
      <w:rPr>
        <w:rStyle w:val="PageNumber"/>
        <w:rFonts w:cs="Calibri"/>
        <w:sz w:val="22"/>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2B70B" w14:textId="77777777" w:rsidR="0010265C" w:rsidRPr="00316A42" w:rsidRDefault="0010265C" w:rsidP="004C6829">
    <w:pPr>
      <w:pStyle w:val="FooterOdd"/>
      <w:rPr>
        <w:b/>
      </w:rPr>
    </w:pPr>
    <w:r w:rsidRPr="000467A0">
      <w:tab/>
      <w:t>New Zealand’s Greenhouse Gas Inventory 1990–202</w:t>
    </w:r>
    <w:r>
      <w:t>1</w:t>
    </w:r>
    <w:r w:rsidRPr="000467A0">
      <w:tab/>
    </w:r>
    <w:r w:rsidRPr="004C6829">
      <w:rPr>
        <w:rStyle w:val="PageNumber"/>
        <w:rFonts w:cs="Calibri"/>
        <w:sz w:val="22"/>
      </w:rPr>
      <w:fldChar w:fldCharType="begin"/>
    </w:r>
    <w:r w:rsidRPr="004C6829">
      <w:rPr>
        <w:rStyle w:val="PageNumber"/>
        <w:rFonts w:cs="Calibri"/>
        <w:sz w:val="22"/>
      </w:rPr>
      <w:instrText xml:space="preserve"> PAGE </w:instrText>
    </w:r>
    <w:r w:rsidRPr="004C6829">
      <w:rPr>
        <w:rStyle w:val="PageNumber"/>
        <w:rFonts w:cs="Calibri"/>
        <w:sz w:val="22"/>
      </w:rPr>
      <w:fldChar w:fldCharType="separate"/>
    </w:r>
    <w:r w:rsidRPr="004C6829">
      <w:rPr>
        <w:rStyle w:val="PageNumber"/>
        <w:rFonts w:cs="Calibri"/>
        <w:noProof/>
        <w:sz w:val="22"/>
      </w:rPr>
      <w:t>61</w:t>
    </w:r>
    <w:r w:rsidRPr="004C6829">
      <w:rPr>
        <w:rStyle w:val="PageNumber"/>
        <w:rFonts w:cs="Calibri"/>
        <w:sz w:val="22"/>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09FE5" w14:textId="009C3F36" w:rsidR="0010265C" w:rsidRPr="00316A42" w:rsidRDefault="0010265C" w:rsidP="000840F9">
    <w:pPr>
      <w:pStyle w:val="FooterOdd"/>
      <w:tabs>
        <w:tab w:val="clear" w:pos="7655"/>
        <w:tab w:val="clear" w:pos="8505"/>
        <w:tab w:val="right" w:pos="13041"/>
        <w:tab w:val="right" w:pos="14005"/>
      </w:tabs>
      <w:rPr>
        <w:b/>
      </w:rPr>
    </w:pPr>
    <w:r w:rsidRPr="000467A0">
      <w:tab/>
      <w:t>New Zealand’s Greenhouse Gas Inventory 1990–202</w:t>
    </w:r>
    <w:r w:rsidR="006B2EA6">
      <w:t>1</w:t>
    </w:r>
    <w:r w:rsidRPr="000467A0">
      <w:tab/>
    </w:r>
    <w:r w:rsidRPr="004C6829">
      <w:rPr>
        <w:rStyle w:val="PageNumber"/>
        <w:rFonts w:cs="Calibri"/>
        <w:sz w:val="22"/>
      </w:rPr>
      <w:fldChar w:fldCharType="begin"/>
    </w:r>
    <w:r w:rsidRPr="004C6829">
      <w:rPr>
        <w:rStyle w:val="PageNumber"/>
        <w:rFonts w:cs="Calibri"/>
        <w:sz w:val="22"/>
      </w:rPr>
      <w:instrText xml:space="preserve"> PAGE </w:instrText>
    </w:r>
    <w:r w:rsidRPr="004C6829">
      <w:rPr>
        <w:rStyle w:val="PageNumber"/>
        <w:rFonts w:cs="Calibri"/>
        <w:sz w:val="22"/>
      </w:rPr>
      <w:fldChar w:fldCharType="separate"/>
    </w:r>
    <w:r w:rsidRPr="004C6829">
      <w:rPr>
        <w:rStyle w:val="PageNumber"/>
        <w:rFonts w:cs="Calibri"/>
        <w:noProof/>
        <w:sz w:val="22"/>
      </w:rPr>
      <w:t>61</w:t>
    </w:r>
    <w:r w:rsidRPr="004C6829">
      <w:rPr>
        <w:rStyle w:val="PageNumber"/>
        <w:rFonts w:cs="Calibri"/>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39E83" w14:textId="77777777" w:rsidR="009D6B0C" w:rsidRDefault="00111AFC" w:rsidP="000840F9">
    <w:pPr>
      <w:pStyle w:val="FooterEven"/>
    </w:pPr>
    <w:r w:rsidRPr="00E3590E">
      <w:rPr>
        <w:b/>
        <w:bCs/>
        <w:sz w:val="22"/>
        <w:szCs w:val="28"/>
      </w:rPr>
      <w:fldChar w:fldCharType="begin"/>
    </w:r>
    <w:r w:rsidRPr="00E3590E">
      <w:rPr>
        <w:b/>
        <w:bCs/>
        <w:sz w:val="22"/>
        <w:szCs w:val="28"/>
      </w:rPr>
      <w:instrText xml:space="preserve"> PAGE   \* MERGEFORMAT </w:instrText>
    </w:r>
    <w:r w:rsidRPr="00E3590E">
      <w:rPr>
        <w:b/>
        <w:bCs/>
        <w:sz w:val="22"/>
        <w:szCs w:val="28"/>
      </w:rPr>
      <w:fldChar w:fldCharType="separate"/>
    </w:r>
    <w:r w:rsidRPr="00E3590E">
      <w:rPr>
        <w:b/>
        <w:bCs/>
        <w:noProof/>
        <w:sz w:val="22"/>
        <w:szCs w:val="28"/>
      </w:rPr>
      <w:t>1</w:t>
    </w:r>
    <w:r w:rsidRPr="00E3590E">
      <w:rPr>
        <w:b/>
        <w:bCs/>
        <w:noProof/>
        <w:sz w:val="22"/>
        <w:szCs w:val="28"/>
      </w:rPr>
      <w:fldChar w:fldCharType="end"/>
    </w:r>
    <w:r>
      <w:rPr>
        <w:noProof/>
      </w:rPr>
      <w:tab/>
    </w:r>
    <w:r>
      <w:t>Chapter 6: Land Use, Land-Use Change and Forestry</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4F7D7" w14:textId="6F097F23" w:rsidR="009D6B0C" w:rsidRPr="00316A42" w:rsidRDefault="00111AFC" w:rsidP="000840F9">
    <w:pPr>
      <w:pStyle w:val="FooterOdd"/>
      <w:rPr>
        <w:b/>
      </w:rPr>
    </w:pPr>
    <w:r w:rsidRPr="000467A0">
      <w:tab/>
      <w:t>New Zealand’s Greenhouse Gas Inventory 1990–202</w:t>
    </w:r>
    <w:r w:rsidR="0061332F">
      <w:t>1</w:t>
    </w:r>
    <w:r w:rsidRPr="000467A0">
      <w:tab/>
    </w:r>
    <w:r w:rsidRPr="000467A0">
      <w:rPr>
        <w:rStyle w:val="PageNumber"/>
        <w:rFonts w:asciiTheme="minorHAnsi" w:hAnsiTheme="minorHAnsi" w:cstheme="minorHAnsi"/>
        <w:sz w:val="22"/>
      </w:rPr>
      <w:fldChar w:fldCharType="begin"/>
    </w:r>
    <w:r w:rsidRPr="000467A0">
      <w:rPr>
        <w:rStyle w:val="PageNumber"/>
        <w:rFonts w:asciiTheme="minorHAnsi" w:hAnsiTheme="minorHAnsi" w:cstheme="minorHAnsi"/>
        <w:sz w:val="22"/>
      </w:rPr>
      <w:instrText xml:space="preserve"> PAGE </w:instrText>
    </w:r>
    <w:r w:rsidRPr="000467A0">
      <w:rPr>
        <w:rStyle w:val="PageNumber"/>
        <w:rFonts w:asciiTheme="minorHAnsi" w:hAnsiTheme="minorHAnsi" w:cstheme="minorHAnsi"/>
        <w:sz w:val="22"/>
      </w:rPr>
      <w:fldChar w:fldCharType="separate"/>
    </w:r>
    <w:r>
      <w:rPr>
        <w:rStyle w:val="PageNumber"/>
        <w:rFonts w:asciiTheme="minorHAnsi" w:hAnsiTheme="minorHAnsi" w:cstheme="minorHAnsi"/>
        <w:noProof/>
        <w:sz w:val="22"/>
      </w:rPr>
      <w:t>66</w:t>
    </w:r>
    <w:r w:rsidRPr="000467A0">
      <w:rPr>
        <w:rStyle w:val="PageNumber"/>
        <w:rFonts w:asciiTheme="minorHAnsi" w:hAnsiTheme="minorHAnsi" w:cstheme="minorHAnsi"/>
        <w:sz w:val="22"/>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768B3" w14:textId="77777777" w:rsidR="009D6B0C" w:rsidRDefault="007E17B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48792" w14:textId="77777777" w:rsidR="00F82F72" w:rsidRDefault="00F82F72">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B49C0" w14:textId="77777777" w:rsidR="00033A1E" w:rsidRPr="00EC2491" w:rsidRDefault="00111AFC">
    <w:pPr>
      <w:pStyle w:val="EvenFooter"/>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18</w:t>
    </w:r>
    <w:r w:rsidRPr="00762043">
      <w:rPr>
        <w:rStyle w:val="PageNumber"/>
        <w:sz w:val="22"/>
      </w:rPr>
      <w:fldChar w:fldCharType="end"/>
    </w:r>
    <w:r>
      <w:rPr>
        <w:rStyle w:val="PageNumber"/>
        <w:sz w:val="22"/>
      </w:rPr>
      <w:tab/>
    </w:r>
    <w:r w:rsidRPr="000F3F6B">
      <w:t>Chapter 7: Waste</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4E0D8" w14:textId="77777777" w:rsidR="00033A1E" w:rsidRPr="00027E55" w:rsidRDefault="00111AFC" w:rsidP="005A20DF">
    <w:pPr>
      <w:pStyle w:val="FooterOdd"/>
      <w:rPr>
        <w:b/>
      </w:rPr>
    </w:pPr>
    <w:r>
      <w:tab/>
    </w:r>
    <w:r w:rsidRPr="005A20DF">
      <w:t>New Zealand’s Greenhouse Gas Inventory 1990–202</w:t>
    </w:r>
    <w:r>
      <w:t>1</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w:t>
    </w:r>
    <w:r w:rsidRPr="00762043">
      <w:rPr>
        <w:rStyle w:val="PageNumber"/>
        <w:sz w:val="22"/>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D9680" w14:textId="77777777" w:rsidR="005660CD" w:rsidRPr="00EC2491" w:rsidRDefault="005660CD"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2</w:t>
    </w:r>
    <w:r w:rsidRPr="00762043">
      <w:rPr>
        <w:rStyle w:val="PageNumber"/>
        <w:sz w:val="22"/>
      </w:rPr>
      <w:fldChar w:fldCharType="end"/>
    </w:r>
    <w:r>
      <w:rPr>
        <w:rStyle w:val="PageNumber"/>
        <w:sz w:val="22"/>
      </w:rPr>
      <w:tab/>
    </w:r>
    <w:r w:rsidRPr="00813A61">
      <w:t>Chapter 8: Tokelau (other) sector</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EA545" w14:textId="49F7ABB5" w:rsidR="005660CD" w:rsidRPr="00027E55" w:rsidRDefault="005660CD" w:rsidP="00715D39">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w:t>
    </w:r>
    <w:r w:rsidR="00B4687B">
      <w:t>1</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1</w:t>
    </w:r>
    <w:r w:rsidRPr="00762043">
      <w:rPr>
        <w:rStyle w:val="PageNumber"/>
        <w:sz w:val="22"/>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7E2FB" w14:textId="702EFBE2" w:rsidR="005660CD" w:rsidRPr="00EC2491" w:rsidRDefault="005660CD"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2</w:t>
    </w:r>
    <w:r w:rsidRPr="00762043">
      <w:rPr>
        <w:rStyle w:val="PageNumber"/>
        <w:sz w:val="22"/>
      </w:rPr>
      <w:fldChar w:fldCharType="end"/>
    </w:r>
    <w:r>
      <w:rPr>
        <w:rStyle w:val="PageNumber"/>
        <w:b w:val="0"/>
        <w:sz w:val="22"/>
      </w:rPr>
      <w:tab/>
    </w:r>
    <w:r w:rsidR="00837A91" w:rsidRPr="00D9348B">
      <w:t>Chapter 9: Indirect carbon dioxide and nitrous oxide emissions</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40EC1" w14:textId="77777777" w:rsidR="005660CD" w:rsidRPr="00B71491" w:rsidRDefault="005660CD" w:rsidP="00B71491">
    <w:pPr>
      <w:pStyle w:val="FooterOdd"/>
    </w:pPr>
    <w:r w:rsidRPr="00B71491">
      <w:tab/>
      <w:t>New Zealand’s Greenhouse Gas Inventory 1990–202</w:t>
    </w:r>
    <w:r>
      <w:t>1</w:t>
    </w:r>
    <w:r w:rsidRPr="00B71491">
      <w:tab/>
    </w:r>
    <w:r w:rsidRPr="00B71491">
      <w:rPr>
        <w:rStyle w:val="PageNumber"/>
        <w:b w:val="0"/>
        <w:sz w:val="16"/>
      </w:rPr>
      <w:fldChar w:fldCharType="begin"/>
    </w:r>
    <w:r w:rsidRPr="00B71491">
      <w:rPr>
        <w:rStyle w:val="PageNumber"/>
        <w:b w:val="0"/>
        <w:sz w:val="16"/>
      </w:rPr>
      <w:instrText xml:space="preserve"> PAGE </w:instrText>
    </w:r>
    <w:r w:rsidRPr="00B71491">
      <w:rPr>
        <w:rStyle w:val="PageNumber"/>
        <w:b w:val="0"/>
        <w:sz w:val="16"/>
      </w:rPr>
      <w:fldChar w:fldCharType="separate"/>
    </w:r>
    <w:r w:rsidR="002868D3" w:rsidRPr="00B71491">
      <w:rPr>
        <w:rStyle w:val="PageNumber"/>
        <w:b w:val="0"/>
        <w:sz w:val="16"/>
      </w:rPr>
      <w:t>1</w:t>
    </w:r>
    <w:r w:rsidRPr="00B71491">
      <w:rPr>
        <w:rStyle w:val="PageNumber"/>
        <w:b w:val="0"/>
        <w:sz w:val="16"/>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D8D68" w14:textId="357C3C14" w:rsidR="003B7379" w:rsidRDefault="00A35635" w:rsidP="00006545">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w:t>
    </w:r>
    <w:r w:rsidRPr="00762043">
      <w:rPr>
        <w:rStyle w:val="PageNumber"/>
        <w:sz w:val="22"/>
      </w:rPr>
      <w:fldChar w:fldCharType="end"/>
    </w:r>
    <w:r>
      <w:rPr>
        <w:rStyle w:val="PageNumber"/>
        <w:b w:val="0"/>
        <w:sz w:val="22"/>
      </w:rPr>
      <w:tab/>
    </w:r>
    <w:r w:rsidR="005075A6" w:rsidRPr="00013567">
      <w:t>Chapter 10: Recalculations and improvements</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AB1E8" w14:textId="2991B8E9" w:rsidR="004C0D26" w:rsidRDefault="004C0D26" w:rsidP="00006545">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w:t>
    </w:r>
    <w:r w:rsidRPr="00762043">
      <w:rPr>
        <w:rStyle w:val="PageNumber"/>
        <w:sz w:val="22"/>
      </w:rPr>
      <w:fldChar w:fldCharType="end"/>
    </w:r>
    <w:r>
      <w:rPr>
        <w:rStyle w:val="PageNumber"/>
        <w:b w:val="0"/>
        <w:sz w:val="22"/>
      </w:rPr>
      <w:tab/>
    </w:r>
    <w:r w:rsidRPr="00341FFD">
      <w:t>Chapter 11: KP-LULUCF</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F7997" w14:textId="77777777" w:rsidR="005660CD" w:rsidRPr="00EC2491" w:rsidRDefault="005660CD"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2</w:t>
    </w:r>
    <w:r w:rsidRPr="00762043">
      <w:rPr>
        <w:rStyle w:val="PageNumber"/>
        <w:sz w:val="22"/>
      </w:rPr>
      <w:fldChar w:fldCharType="end"/>
    </w:r>
    <w:r>
      <w:rPr>
        <w:rStyle w:val="PageNumber"/>
        <w:b w:val="0"/>
        <w:sz w:val="22"/>
      </w:rPr>
      <w:tab/>
    </w:r>
    <w:r w:rsidRPr="005134D8">
      <w:t>Chapter 12</w:t>
    </w:r>
    <w:r>
      <w:t xml:space="preserve">: </w:t>
    </w:r>
    <w:r w:rsidRPr="009922A1">
      <w:t>Information on accounting of the Kyoto Protocol units</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79115" w14:textId="77777777" w:rsidR="005660CD" w:rsidRPr="00027E55" w:rsidRDefault="005660CD" w:rsidP="00715D39">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21</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1</w:t>
    </w:r>
    <w:r w:rsidRPr="00762043">
      <w:rPr>
        <w:rStyle w:val="PageNumber"/>
        <w:sz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61032" w14:textId="77777777" w:rsidR="005660CD" w:rsidRDefault="005660CD">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68AC7" w14:textId="2CECDDB0" w:rsidR="005660CD" w:rsidRPr="00EC2491" w:rsidRDefault="005660CD"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2</w:t>
    </w:r>
    <w:r w:rsidRPr="00762043">
      <w:rPr>
        <w:rStyle w:val="PageNumber"/>
        <w:sz w:val="22"/>
      </w:rPr>
      <w:fldChar w:fldCharType="end"/>
    </w:r>
    <w:r>
      <w:rPr>
        <w:rStyle w:val="PageNumber"/>
        <w:b w:val="0"/>
        <w:sz w:val="22"/>
      </w:rPr>
      <w:tab/>
    </w:r>
    <w:r w:rsidR="00834A92" w:rsidRPr="00834A92">
      <w:t>Chapter 13: Information on changes to the national inventory system</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9A219" w14:textId="77777777" w:rsidR="005660CD" w:rsidRPr="00027E55" w:rsidRDefault="005660CD" w:rsidP="00715D39">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21</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1</w:t>
    </w:r>
    <w:r w:rsidRPr="00762043">
      <w:rPr>
        <w:rStyle w:val="PageNumber"/>
        <w:sz w:val="22"/>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C02EA" w14:textId="77777777" w:rsidR="005660CD" w:rsidRPr="00EC2491" w:rsidRDefault="005660CD"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2</w:t>
    </w:r>
    <w:r w:rsidRPr="00762043">
      <w:rPr>
        <w:rStyle w:val="PageNumber"/>
        <w:sz w:val="22"/>
      </w:rPr>
      <w:fldChar w:fldCharType="end"/>
    </w:r>
    <w:r>
      <w:rPr>
        <w:rStyle w:val="PageNumber"/>
        <w:b w:val="0"/>
        <w:sz w:val="22"/>
      </w:rPr>
      <w:tab/>
    </w:r>
    <w:r w:rsidRPr="00E51B47">
      <w:t>Chapter 14: Information on changes to the national registry</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7C63C" w14:textId="77777777" w:rsidR="005660CD" w:rsidRPr="00027E55" w:rsidRDefault="005660CD" w:rsidP="00715D39">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21</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1</w:t>
    </w:r>
    <w:r w:rsidRPr="00762043">
      <w:rPr>
        <w:rStyle w:val="PageNumber"/>
        <w:sz w:val="22"/>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FE179" w14:textId="77777777" w:rsidR="005660CD" w:rsidRPr="00EC2491" w:rsidRDefault="005660CD"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8</w:t>
    </w:r>
    <w:r w:rsidRPr="00762043">
      <w:rPr>
        <w:rStyle w:val="PageNumber"/>
        <w:sz w:val="22"/>
      </w:rPr>
      <w:fldChar w:fldCharType="end"/>
    </w:r>
    <w:r>
      <w:rPr>
        <w:rStyle w:val="PageNumber"/>
        <w:b w:val="0"/>
        <w:sz w:val="22"/>
      </w:rPr>
      <w:tab/>
    </w:r>
    <w:r w:rsidRPr="00AC3C78">
      <w:t>Chapter 15: Information on minimisation of adverse impacts</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3D504" w14:textId="77777777" w:rsidR="005660CD" w:rsidRPr="00027E55" w:rsidRDefault="005660CD" w:rsidP="00715D39">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21</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3</w:t>
    </w:r>
    <w:r w:rsidRPr="00762043">
      <w:rPr>
        <w:rStyle w:val="PageNumber"/>
        <w:sz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396D1" w14:textId="1A0225C2" w:rsidR="005660CD" w:rsidRPr="00B928E7" w:rsidRDefault="005660CD" w:rsidP="00B928E7">
    <w:pPr>
      <w:pStyle w:val="FooterEven"/>
    </w:pPr>
    <w:r w:rsidRPr="00DB7905">
      <w:rPr>
        <w:rStyle w:val="PageNumber"/>
        <w:bCs/>
        <w:sz w:val="22"/>
      </w:rPr>
      <w:fldChar w:fldCharType="begin"/>
    </w:r>
    <w:r w:rsidRPr="00DB7905">
      <w:rPr>
        <w:rStyle w:val="PageNumber"/>
        <w:bCs/>
        <w:sz w:val="22"/>
      </w:rPr>
      <w:instrText xml:space="preserve"> PAGE </w:instrText>
    </w:r>
    <w:r w:rsidRPr="00DB7905">
      <w:rPr>
        <w:rStyle w:val="PageNumber"/>
        <w:bCs/>
        <w:sz w:val="22"/>
      </w:rPr>
      <w:fldChar w:fldCharType="separate"/>
    </w:r>
    <w:r w:rsidR="002868D3" w:rsidRPr="00DB7905">
      <w:rPr>
        <w:rStyle w:val="PageNumber"/>
        <w:bCs/>
        <w:noProof/>
        <w:sz w:val="22"/>
      </w:rPr>
      <w:t>iv</w:t>
    </w:r>
    <w:r w:rsidRPr="00DB7905">
      <w:rPr>
        <w:rStyle w:val="PageNumber"/>
        <w:bCs/>
        <w:sz w:val="22"/>
      </w:rPr>
      <w:fldChar w:fldCharType="end"/>
    </w:r>
    <w:r>
      <w:rPr>
        <w:rStyle w:val="PageNumber"/>
        <w:b w:val="0"/>
        <w:sz w:val="22"/>
      </w:rPr>
      <w:tab/>
    </w:r>
    <w:r w:rsidR="00C34A3E" w:rsidRPr="00C34A3E">
      <w:t>Acknowledgements</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B1AB9" w14:textId="053B50F4" w:rsidR="005660CD" w:rsidRPr="00027E55" w:rsidRDefault="005660CD" w:rsidP="00F660F9">
    <w:pPr>
      <w:pStyle w:val="FooterOdd"/>
      <w:rPr>
        <w:rStyle w:val="PageNumber"/>
        <w:b w:val="0"/>
      </w:rPr>
    </w:pPr>
    <w:r>
      <w:tab/>
    </w:r>
    <w:r w:rsidRPr="00BF1C36">
      <w:t>New Zealand’s Greenhouse Gas Inventory 1990–20</w:t>
    </w:r>
    <w:r w:rsidR="006D77C3">
      <w:t>21</w:t>
    </w:r>
    <w:r>
      <w:tab/>
    </w:r>
    <w:r w:rsidRPr="00DB7905">
      <w:rPr>
        <w:rStyle w:val="PageNumber"/>
        <w:bCs/>
        <w:sz w:val="22"/>
      </w:rPr>
      <w:fldChar w:fldCharType="begin"/>
    </w:r>
    <w:r w:rsidRPr="00DB7905">
      <w:rPr>
        <w:rStyle w:val="PageNumber"/>
        <w:bCs/>
        <w:sz w:val="22"/>
      </w:rPr>
      <w:instrText xml:space="preserve"> PAGE </w:instrText>
    </w:r>
    <w:r w:rsidRPr="00DB7905">
      <w:rPr>
        <w:rStyle w:val="PageNumber"/>
        <w:bCs/>
        <w:sz w:val="22"/>
      </w:rPr>
      <w:fldChar w:fldCharType="separate"/>
    </w:r>
    <w:r w:rsidR="002868D3" w:rsidRPr="00DB7905">
      <w:rPr>
        <w:rStyle w:val="PageNumber"/>
        <w:bCs/>
        <w:noProof/>
        <w:sz w:val="22"/>
      </w:rPr>
      <w:t>iii</w:t>
    </w:r>
    <w:r w:rsidRPr="00DB7905">
      <w:rPr>
        <w:rStyle w:val="PageNumber"/>
        <w:bCs/>
        <w:sz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4F345" w14:textId="2D130781" w:rsidR="00C34A3E" w:rsidRPr="00B928E7" w:rsidRDefault="00C34A3E" w:rsidP="00B928E7">
    <w:pPr>
      <w:pStyle w:val="FooterEven"/>
    </w:pPr>
    <w:r w:rsidRPr="00DB7905">
      <w:rPr>
        <w:rStyle w:val="PageNumber"/>
        <w:bCs/>
        <w:sz w:val="22"/>
      </w:rPr>
      <w:fldChar w:fldCharType="begin"/>
    </w:r>
    <w:r w:rsidRPr="00DB7905">
      <w:rPr>
        <w:rStyle w:val="PageNumber"/>
        <w:bCs/>
        <w:sz w:val="22"/>
      </w:rPr>
      <w:instrText xml:space="preserve"> PAGE </w:instrText>
    </w:r>
    <w:r w:rsidRPr="00DB7905">
      <w:rPr>
        <w:rStyle w:val="PageNumber"/>
        <w:bCs/>
        <w:sz w:val="22"/>
      </w:rPr>
      <w:fldChar w:fldCharType="separate"/>
    </w:r>
    <w:r w:rsidRPr="00DB7905">
      <w:rPr>
        <w:rStyle w:val="PageNumber"/>
        <w:bCs/>
        <w:noProof/>
        <w:sz w:val="22"/>
      </w:rPr>
      <w:t>iv</w:t>
    </w:r>
    <w:r w:rsidRPr="00DB7905">
      <w:rPr>
        <w:rStyle w:val="PageNumber"/>
        <w:bCs/>
        <w:sz w:val="22"/>
      </w:rPr>
      <w:fldChar w:fldCharType="end"/>
    </w:r>
    <w:r>
      <w:rPr>
        <w:rStyle w:val="PageNumber"/>
        <w:b w:val="0"/>
        <w:sz w:val="22"/>
      </w:rPr>
      <w:tab/>
    </w:r>
    <w:r>
      <w:t>Contents</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0A866" w14:textId="69F53F00" w:rsidR="00C34A3E" w:rsidRPr="00B928E7" w:rsidRDefault="00C34A3E" w:rsidP="00B928E7">
    <w:pPr>
      <w:pStyle w:val="FooterEven"/>
    </w:pPr>
    <w:r w:rsidRPr="00DB7905">
      <w:rPr>
        <w:rStyle w:val="PageNumber"/>
        <w:bCs/>
        <w:sz w:val="22"/>
      </w:rPr>
      <w:fldChar w:fldCharType="begin"/>
    </w:r>
    <w:r w:rsidRPr="00DB7905">
      <w:rPr>
        <w:rStyle w:val="PageNumber"/>
        <w:bCs/>
        <w:sz w:val="22"/>
      </w:rPr>
      <w:instrText xml:space="preserve"> PAGE </w:instrText>
    </w:r>
    <w:r w:rsidRPr="00DB7905">
      <w:rPr>
        <w:rStyle w:val="PageNumber"/>
        <w:bCs/>
        <w:sz w:val="22"/>
      </w:rPr>
      <w:fldChar w:fldCharType="separate"/>
    </w:r>
    <w:r w:rsidRPr="00DB7905">
      <w:rPr>
        <w:rStyle w:val="PageNumber"/>
        <w:bCs/>
        <w:noProof/>
        <w:sz w:val="22"/>
      </w:rPr>
      <w:t>iv</w:t>
    </w:r>
    <w:r w:rsidRPr="00DB7905">
      <w:rPr>
        <w:rStyle w:val="PageNumber"/>
        <w:bCs/>
        <w:sz w:val="22"/>
      </w:rPr>
      <w:fldChar w:fldCharType="end"/>
    </w:r>
    <w:r>
      <w:rPr>
        <w:rStyle w:val="PageNumber"/>
        <w:b w:val="0"/>
        <w:sz w:val="22"/>
      </w:rPr>
      <w:tab/>
    </w:r>
    <w:r>
      <w:t xml:space="preserve">Tables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3B8BF" w14:textId="2386158B" w:rsidR="00933BA3" w:rsidRPr="00B928E7" w:rsidRDefault="00933BA3" w:rsidP="00B928E7">
    <w:pPr>
      <w:pStyle w:val="FooterEven"/>
    </w:pPr>
    <w:r w:rsidRPr="00DB7905">
      <w:rPr>
        <w:rStyle w:val="PageNumber"/>
        <w:bCs/>
        <w:sz w:val="22"/>
      </w:rPr>
      <w:fldChar w:fldCharType="begin"/>
    </w:r>
    <w:r w:rsidRPr="00DB7905">
      <w:rPr>
        <w:rStyle w:val="PageNumber"/>
        <w:bCs/>
        <w:sz w:val="22"/>
      </w:rPr>
      <w:instrText xml:space="preserve"> PAGE </w:instrText>
    </w:r>
    <w:r w:rsidRPr="00DB7905">
      <w:rPr>
        <w:rStyle w:val="PageNumber"/>
        <w:bCs/>
        <w:sz w:val="22"/>
      </w:rPr>
      <w:fldChar w:fldCharType="separate"/>
    </w:r>
    <w:r w:rsidRPr="00DB7905">
      <w:rPr>
        <w:rStyle w:val="PageNumber"/>
        <w:bCs/>
        <w:noProof/>
        <w:sz w:val="22"/>
      </w:rPr>
      <w:t>iv</w:t>
    </w:r>
    <w:r w:rsidRPr="00DB7905">
      <w:rPr>
        <w:rStyle w:val="PageNumber"/>
        <w:bCs/>
        <w:sz w:val="22"/>
      </w:rPr>
      <w:fldChar w:fldCharType="end"/>
    </w:r>
    <w:r>
      <w:rPr>
        <w:rStyle w:val="PageNumber"/>
        <w:b w:val="0"/>
        <w:sz w:val="22"/>
      </w:rPr>
      <w:tab/>
    </w:r>
    <w:r>
      <w:t>Figures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4761A5" w14:textId="77777777" w:rsidR="00421983" w:rsidRDefault="00421983">
      <w:r>
        <w:separator/>
      </w:r>
    </w:p>
  </w:footnote>
  <w:footnote w:type="continuationSeparator" w:id="0">
    <w:p w14:paraId="468D4BEB" w14:textId="77777777" w:rsidR="00421983" w:rsidRDefault="00421983">
      <w:r>
        <w:continuationSeparator/>
      </w:r>
    </w:p>
  </w:footnote>
  <w:footnote w:id="1">
    <w:p w14:paraId="25ECD0F0" w14:textId="77777777" w:rsidR="00EC31F9" w:rsidRDefault="00EC31F9" w:rsidP="00EC31F9">
      <w:pPr>
        <w:pStyle w:val="FootnoteText"/>
      </w:pPr>
      <w:r>
        <w:rPr>
          <w:rStyle w:val="FootnoteReference"/>
        </w:rPr>
        <w:footnoteRef/>
      </w:r>
      <w:r>
        <w:t xml:space="preserve"> </w:t>
      </w:r>
      <w:r>
        <w:tab/>
        <w:t xml:space="preserve">Methane emissions produced from the digestive </w:t>
      </w:r>
      <w:r w:rsidRPr="00286987">
        <w:t>process</w:t>
      </w:r>
      <w:r>
        <w:t xml:space="preserve"> in ruminant livestock.</w:t>
      </w:r>
    </w:p>
  </w:footnote>
  <w:footnote w:id="2">
    <w:p w14:paraId="09183C51" w14:textId="77777777" w:rsidR="00EC31F9" w:rsidRDefault="00EC31F9" w:rsidP="00EC31F9">
      <w:pPr>
        <w:pStyle w:val="FootnoteText"/>
      </w:pPr>
      <w:r>
        <w:rPr>
          <w:rStyle w:val="FootnoteReference"/>
        </w:rPr>
        <w:footnoteRef/>
      </w:r>
      <w:r>
        <w:t xml:space="preserve"> </w:t>
      </w:r>
      <w:r>
        <w:tab/>
        <w:t>‘ODS’ stands for ozone depleting substances.</w:t>
      </w:r>
    </w:p>
  </w:footnote>
  <w:footnote w:id="3">
    <w:p w14:paraId="01CE9A97" w14:textId="77777777" w:rsidR="00EC31F9" w:rsidRDefault="00EC31F9" w:rsidP="00EC31F9">
      <w:pPr>
        <w:pStyle w:val="FootnoteText"/>
      </w:pPr>
      <w:r>
        <w:rPr>
          <w:rStyle w:val="FootnoteReference"/>
        </w:rPr>
        <w:footnoteRef/>
      </w:r>
      <w:r>
        <w:t xml:space="preserve"> </w:t>
      </w:r>
      <w:r>
        <w:tab/>
        <w:t xml:space="preserve">New Zealand Government. </w:t>
      </w:r>
      <w:r w:rsidRPr="004E353A">
        <w:rPr>
          <w:i/>
          <w:iCs/>
        </w:rPr>
        <w:t>About our COVID-19 response</w:t>
      </w:r>
      <w:r>
        <w:t>.</w:t>
      </w:r>
      <w:r w:rsidRPr="005E5694">
        <w:t xml:space="preserve"> </w:t>
      </w:r>
      <w:r>
        <w:t xml:space="preserve">Retrieved from </w:t>
      </w:r>
      <w:hyperlink r:id="rId1" w:history="1">
        <w:r w:rsidRPr="005E5694">
          <w:rPr>
            <w:rStyle w:val="Hyperlink"/>
          </w:rPr>
          <w:t>https://covid19.govt.nz/about-our-covid-19-response/</w:t>
        </w:r>
      </w:hyperlink>
      <w:r>
        <w:t xml:space="preserve"> (22 March 2023).</w:t>
      </w:r>
    </w:p>
  </w:footnote>
  <w:footnote w:id="4">
    <w:p w14:paraId="6E0D37F1" w14:textId="47577624" w:rsidR="00EC31F9" w:rsidRDefault="00EC31F9" w:rsidP="00EC31F9">
      <w:pPr>
        <w:pStyle w:val="FootnoteText"/>
      </w:pPr>
      <w:r>
        <w:rPr>
          <w:rStyle w:val="FootnoteReference"/>
        </w:rPr>
        <w:footnoteRef/>
      </w:r>
      <w:r>
        <w:t xml:space="preserve"> </w:t>
      </w:r>
      <w:r>
        <w:tab/>
        <w:t xml:space="preserve">New Zealand Government. </w:t>
      </w:r>
      <w:r w:rsidRPr="004E353A">
        <w:rPr>
          <w:i/>
          <w:iCs/>
        </w:rPr>
        <w:t>History of the COVID-19 alert system</w:t>
      </w:r>
      <w:r>
        <w:t xml:space="preserve">. Retrieved from </w:t>
      </w:r>
      <w:hyperlink r:id="rId2" w:history="1">
        <w:r w:rsidR="00C1147C">
          <w:rPr>
            <w:rStyle w:val="Hyperlink"/>
          </w:rPr>
          <w:t>https://covid19.govt.nz/ about-our-covid-19-response/history-of-the-covid-19-alert-system/</w:t>
        </w:r>
      </w:hyperlink>
      <w:r>
        <w:t xml:space="preserve"> (22 March 2023).</w:t>
      </w:r>
    </w:p>
  </w:footnote>
  <w:footnote w:id="5">
    <w:p w14:paraId="0C281563" w14:textId="77777777" w:rsidR="00EC31F9" w:rsidRPr="003C682C" w:rsidRDefault="00EC31F9" w:rsidP="00EC31F9">
      <w:pPr>
        <w:pStyle w:val="FootnoteText"/>
      </w:pPr>
      <w:r>
        <w:rPr>
          <w:rStyle w:val="FootnoteReference"/>
        </w:rPr>
        <w:footnoteRef/>
      </w:r>
      <w:r>
        <w:t xml:space="preserve"> </w:t>
      </w:r>
      <w:r>
        <w:tab/>
        <w:t xml:space="preserve">New Zealand Government. </w:t>
      </w:r>
      <w:r w:rsidRPr="00074653">
        <w:rPr>
          <w:i/>
          <w:iCs/>
        </w:rPr>
        <w:t>History of the COVID-19 alert system</w:t>
      </w:r>
      <w:r>
        <w:t xml:space="preserve">. Retrieved from </w:t>
      </w:r>
      <w:hyperlink r:id="rId3">
        <w:r>
          <w:rPr>
            <w:rStyle w:val="Hyperlink"/>
          </w:rPr>
          <w:t>https://covid19.govt.nz/ about-our-covid-19-response/history-of-the-covid-19-alert-system/</w:t>
        </w:r>
      </w:hyperlink>
      <w:r>
        <w:t xml:space="preserve"> (22 March 2023).</w:t>
      </w:r>
    </w:p>
  </w:footnote>
  <w:footnote w:id="6">
    <w:p w14:paraId="78C932AE" w14:textId="77777777" w:rsidR="00EC31F9" w:rsidRDefault="00EC31F9" w:rsidP="00EC31F9">
      <w:pPr>
        <w:pStyle w:val="FootnoteText"/>
      </w:pPr>
      <w:r>
        <w:rPr>
          <w:rStyle w:val="FootnoteReference"/>
        </w:rPr>
        <w:footnoteRef/>
      </w:r>
      <w:r>
        <w:t xml:space="preserve"> </w:t>
      </w:r>
      <w:r>
        <w:tab/>
        <w:t>The NZ ETS included the Forestry sector from 1 January 2008.</w:t>
      </w:r>
    </w:p>
  </w:footnote>
  <w:footnote w:id="7">
    <w:p w14:paraId="59AA347F" w14:textId="77777777" w:rsidR="00EC31F9" w:rsidRDefault="00EC31F9" w:rsidP="00EC31F9">
      <w:pPr>
        <w:pStyle w:val="FootnoteText"/>
      </w:pPr>
      <w:r>
        <w:rPr>
          <w:rStyle w:val="FootnoteReference"/>
        </w:rPr>
        <w:footnoteRef/>
      </w:r>
      <w:r>
        <w:t xml:space="preserve"> </w:t>
      </w:r>
      <w:r>
        <w:tab/>
        <w:t xml:space="preserve">The estimate for 2020 was based on the Afforestation and Deforestation Intentions Survey 2020 (Manley, 2021) as mapped data are not available. The methods used to estimate </w:t>
      </w:r>
      <w:r>
        <w:rPr>
          <w:i/>
          <w:iCs/>
        </w:rPr>
        <w:t xml:space="preserve">Afforestation and reforestation </w:t>
      </w:r>
      <w:r w:rsidRPr="009D5771">
        <w:t>activities</w:t>
      </w:r>
      <w:r>
        <w:t xml:space="preserve"> are described further in annex 3, section A3.2.2.</w:t>
      </w:r>
    </w:p>
  </w:footnote>
  <w:footnote w:id="8">
    <w:p w14:paraId="286C202E" w14:textId="77777777" w:rsidR="006611EE" w:rsidRDefault="006611EE" w:rsidP="006611EE">
      <w:pPr>
        <w:pStyle w:val="FootnoteText"/>
      </w:pPr>
      <w:r>
        <w:rPr>
          <w:rStyle w:val="FootnoteReference"/>
        </w:rPr>
        <w:footnoteRef/>
      </w:r>
      <w:r>
        <w:t xml:space="preserve"> </w:t>
      </w:r>
      <w:r>
        <w:tab/>
        <w:t>Annex II to the Convention (a subset of Annex I) lists the Organisation for Economic Co-operation and Development (OECD) member countries at the time the Convention was agreed.</w:t>
      </w:r>
    </w:p>
  </w:footnote>
  <w:footnote w:id="9">
    <w:p w14:paraId="571B43B9" w14:textId="77777777" w:rsidR="006611EE" w:rsidRDefault="006611EE" w:rsidP="006611EE">
      <w:pPr>
        <w:pStyle w:val="FootnoteText"/>
      </w:pPr>
      <w:r>
        <w:rPr>
          <w:rStyle w:val="FootnoteReference"/>
        </w:rPr>
        <w:footnoteRef/>
      </w:r>
      <w:r>
        <w:t xml:space="preserve"> </w:t>
      </w:r>
      <w:r>
        <w:tab/>
        <w:t>Annex I to the Convention lists the countries included in Annex II, as defined above, together with countries defined at the time as undergoing the process of transition to a market economy, commonly known as ‘economies in transition’.</w:t>
      </w:r>
    </w:p>
  </w:footnote>
  <w:footnote w:id="10">
    <w:p w14:paraId="4C020731" w14:textId="77777777" w:rsidR="006611EE" w:rsidRDefault="006611EE" w:rsidP="006611EE">
      <w:pPr>
        <w:pStyle w:val="FootnoteText"/>
      </w:pPr>
      <w:r>
        <w:rPr>
          <w:rStyle w:val="FootnoteReference"/>
        </w:rPr>
        <w:footnoteRef/>
      </w:r>
      <w:r>
        <w:t xml:space="preserve"> </w:t>
      </w:r>
      <w:r>
        <w:tab/>
        <w:t>The first communication is the submission of the first biennial transparency report (BTR1) and national inventory report, as required under the Paris Agreement, by 31 December 2024</w:t>
      </w:r>
      <w:r w:rsidRPr="00BF7266">
        <w:t xml:space="preserve"> </w:t>
      </w:r>
      <w:r>
        <w:t>at the latest.</w:t>
      </w:r>
    </w:p>
  </w:footnote>
  <w:footnote w:id="11">
    <w:p w14:paraId="04DACDBA" w14:textId="77777777" w:rsidR="006611EE" w:rsidRDefault="006611EE" w:rsidP="006611EE">
      <w:pPr>
        <w:pStyle w:val="FootnoteText"/>
      </w:pPr>
      <w:r>
        <w:rPr>
          <w:rStyle w:val="FootnoteReference"/>
        </w:rPr>
        <w:footnoteRef/>
      </w:r>
      <w:r>
        <w:t xml:space="preserve"> </w:t>
      </w:r>
      <w:r>
        <w:tab/>
        <w:t>Because NF</w:t>
      </w:r>
      <w:r>
        <w:rPr>
          <w:vertAlign w:val="subscript"/>
        </w:rPr>
        <w:t>3</w:t>
      </w:r>
      <w:r>
        <w:t xml:space="preserve"> emissions do not occur in New Zealand, they are not included in this report.</w:t>
      </w:r>
    </w:p>
  </w:footnote>
  <w:footnote w:id="12">
    <w:p w14:paraId="591313C3" w14:textId="77777777" w:rsidR="006611EE" w:rsidRDefault="006611EE" w:rsidP="006611EE">
      <w:pPr>
        <w:pStyle w:val="FootnoteText"/>
      </w:pPr>
      <w:r>
        <w:rPr>
          <w:rStyle w:val="FootnoteReference"/>
        </w:rPr>
        <w:footnoteRef/>
      </w:r>
      <w:r>
        <w:t xml:space="preserve"> </w:t>
      </w:r>
      <w:r>
        <w:tab/>
        <w:t>Indirect GHGs are the gases that have indirect radiative effects in the atmosphere. This may happen either through conversion of an indirect gas to a direct greenhouse gas in the atmosphere (e.g., where carbon monoxide is converted to carbon dioxide) or when chemical reactions in the atmosphere involving these gases change the concentrations of direct greenhouse gases.</w:t>
      </w:r>
    </w:p>
  </w:footnote>
  <w:footnote w:id="13">
    <w:p w14:paraId="4BEA0CB6" w14:textId="77777777" w:rsidR="006611EE" w:rsidRDefault="006611EE" w:rsidP="006611EE">
      <w:pPr>
        <w:pStyle w:val="FootnoteText"/>
      </w:pPr>
      <w:r>
        <w:rPr>
          <w:rStyle w:val="FootnoteReference"/>
        </w:rPr>
        <w:footnoteRef/>
      </w:r>
      <w:r>
        <w:t xml:space="preserve"> </w:t>
      </w:r>
      <w:r>
        <w:tab/>
        <w:t xml:space="preserve">The United Nations Charter (United Nations, 1945) defines a non-self-governing territory as a territory “whose people have not yet attained a full measure of self-government”. Tokelau has been on the United Nations list of non-self-governing territories since 1946, </w:t>
      </w:r>
      <w:r w:rsidRPr="00D14385">
        <w:t>following</w:t>
      </w:r>
      <w:r>
        <w:t xml:space="preserve"> New Zealand’s declaration of its intention to transmit information on the Tokelau Islands under Article 73e of the United Nations Charter.</w:t>
      </w:r>
    </w:p>
  </w:footnote>
  <w:footnote w:id="14">
    <w:p w14:paraId="6CF67908" w14:textId="77777777" w:rsidR="006611EE" w:rsidRDefault="006611EE" w:rsidP="006611EE">
      <w:pPr>
        <w:pStyle w:val="FootnoteText"/>
      </w:pPr>
      <w:r>
        <w:rPr>
          <w:rStyle w:val="FootnoteReference"/>
        </w:rPr>
        <w:footnoteRef/>
      </w:r>
      <w:r>
        <w:t xml:space="preserve"> </w:t>
      </w:r>
      <w:r>
        <w:tab/>
        <w:t>The Climate Change Response Act has been amended several times since 2002. The Climate Change Response (Emissions Trading Reform) Amendment Act 2020, among other things, added reporting under the Paris Agreement to the functions of the inventory agency.</w:t>
      </w:r>
    </w:p>
  </w:footnote>
  <w:footnote w:id="15">
    <w:p w14:paraId="468E1CB8" w14:textId="77777777" w:rsidR="006611EE" w:rsidRDefault="006611EE" w:rsidP="006611EE">
      <w:pPr>
        <w:pStyle w:val="FootnoteText"/>
      </w:pPr>
      <w:r>
        <w:rPr>
          <w:rStyle w:val="FootnoteReference"/>
        </w:rPr>
        <w:footnoteRef/>
      </w:r>
      <w:r>
        <w:t xml:space="preserve"> </w:t>
      </w:r>
      <w:r>
        <w:tab/>
        <w:t>Inserted, on 23 June 2020, by section 56(1) of the Climate Change Response (Emissions Trading Reform) Amendment Act 2020 (2020 No 22).</w:t>
      </w:r>
    </w:p>
  </w:footnote>
  <w:footnote w:id="16">
    <w:p w14:paraId="54F09F93" w14:textId="77777777" w:rsidR="006611EE" w:rsidRPr="004520BA" w:rsidRDefault="006611EE" w:rsidP="006611EE">
      <w:pPr>
        <w:pStyle w:val="FootnoteText"/>
      </w:pPr>
      <w:r>
        <w:rPr>
          <w:rStyle w:val="FootnoteReference"/>
        </w:rPr>
        <w:footnoteRef/>
      </w:r>
      <w:r>
        <w:t xml:space="preserve"> </w:t>
      </w:r>
      <w:r>
        <w:tab/>
      </w:r>
      <w:r w:rsidRPr="004520BA">
        <w:t xml:space="preserve">Quality </w:t>
      </w:r>
      <w:r>
        <w:t>a</w:t>
      </w:r>
      <w:r w:rsidRPr="004520BA">
        <w:t>ssurance (QA) is a planned system of review procedures conducted by personnel not directly involved in the inventory compilation</w:t>
      </w:r>
      <w:r>
        <w:t xml:space="preserve"> and </w:t>
      </w:r>
      <w:r w:rsidRPr="004520BA">
        <w:t>development process.</w:t>
      </w:r>
    </w:p>
  </w:footnote>
  <w:footnote w:id="17">
    <w:p w14:paraId="2E26B759" w14:textId="77777777" w:rsidR="006611EE" w:rsidRPr="004520BA" w:rsidRDefault="006611EE" w:rsidP="006611EE">
      <w:pPr>
        <w:pStyle w:val="FootnoteText"/>
      </w:pPr>
      <w:r>
        <w:rPr>
          <w:rStyle w:val="FootnoteReference"/>
        </w:rPr>
        <w:footnoteRef/>
      </w:r>
      <w:r>
        <w:t xml:space="preserve"> </w:t>
      </w:r>
      <w:r>
        <w:tab/>
      </w:r>
      <w:r w:rsidRPr="004520BA">
        <w:t xml:space="preserve">Quality </w:t>
      </w:r>
      <w:r>
        <w:t>c</w:t>
      </w:r>
      <w:r w:rsidRPr="004520BA">
        <w:t>ontrol (QC) is a system of routine technical activities to assess and maintain the quality of the inventory as it is being compiled. It is performed by personnel compiling the inventory.</w:t>
      </w:r>
    </w:p>
  </w:footnote>
  <w:footnote w:id="18">
    <w:p w14:paraId="1E54AF38" w14:textId="77777777" w:rsidR="006611EE" w:rsidRDefault="006611EE" w:rsidP="006611EE">
      <w:pPr>
        <w:pStyle w:val="FootnoteText"/>
      </w:pPr>
      <w:r>
        <w:rPr>
          <w:rStyle w:val="FootnoteReference"/>
        </w:rPr>
        <w:footnoteRef/>
      </w:r>
      <w:r>
        <w:tab/>
        <w:t>‘ODS’ stands for ozone depleting substances.</w:t>
      </w:r>
    </w:p>
  </w:footnote>
  <w:footnote w:id="19">
    <w:p w14:paraId="31D2C1AC" w14:textId="77777777" w:rsidR="006611EE" w:rsidRDefault="006611EE" w:rsidP="006611EE">
      <w:pPr>
        <w:pStyle w:val="FootnoteText"/>
      </w:pPr>
      <w:r>
        <w:rPr>
          <w:rStyle w:val="FootnoteReference"/>
        </w:rPr>
        <w:footnoteRef/>
      </w:r>
      <w:r>
        <w:t xml:space="preserve"> </w:t>
      </w:r>
      <w:r>
        <w:tab/>
        <w:t>Climate Change Response (Emissions Trading) Amendment Act 2008.</w:t>
      </w:r>
    </w:p>
  </w:footnote>
  <w:footnote w:id="20">
    <w:p w14:paraId="7D5CC483" w14:textId="77777777" w:rsidR="006611EE" w:rsidRDefault="006611EE" w:rsidP="006611EE">
      <w:pPr>
        <w:pStyle w:val="FootnoteText"/>
      </w:pPr>
      <w:r>
        <w:rPr>
          <w:rStyle w:val="FootnoteReference"/>
        </w:rPr>
        <w:footnoteRef/>
      </w:r>
      <w:r>
        <w:t xml:space="preserve"> </w:t>
      </w:r>
      <w:r>
        <w:tab/>
        <w:t>Climate Change Response (Emissions Trading Reform) Amendment Act 2020.</w:t>
      </w:r>
    </w:p>
  </w:footnote>
  <w:footnote w:id="21">
    <w:p w14:paraId="52BBBEDA" w14:textId="77777777" w:rsidR="00B0004A" w:rsidRDefault="00B0004A" w:rsidP="00B0004A">
      <w:pPr>
        <w:pStyle w:val="FootnoteText"/>
      </w:pPr>
      <w:r>
        <w:rPr>
          <w:rStyle w:val="FootnoteReference"/>
        </w:rPr>
        <w:footnoteRef/>
      </w:r>
      <w:r>
        <w:t xml:space="preserve"> </w:t>
      </w:r>
      <w:r>
        <w:tab/>
        <w:t xml:space="preserve">Methane emissions produced </w:t>
      </w:r>
      <w:r w:rsidRPr="00980157">
        <w:t>from</w:t>
      </w:r>
      <w:r>
        <w:t xml:space="preserve"> the digestive process in ruminant livestock.</w:t>
      </w:r>
    </w:p>
  </w:footnote>
  <w:footnote w:id="22">
    <w:p w14:paraId="07959E38" w14:textId="77777777" w:rsidR="00B0004A" w:rsidRDefault="00B0004A" w:rsidP="00B0004A">
      <w:pPr>
        <w:pStyle w:val="FootnoteText"/>
      </w:pPr>
      <w:r>
        <w:rPr>
          <w:rStyle w:val="FootnoteReference"/>
        </w:rPr>
        <w:footnoteRef/>
      </w:r>
      <w:r>
        <w:t xml:space="preserve"> </w:t>
      </w:r>
      <w:r>
        <w:tab/>
        <w:t>‘ODS’ stands for ozone depleting substances.</w:t>
      </w:r>
    </w:p>
  </w:footnote>
  <w:footnote w:id="23">
    <w:p w14:paraId="11E388D6" w14:textId="77777777" w:rsidR="00B0004A" w:rsidRDefault="00B0004A" w:rsidP="00B0004A">
      <w:pPr>
        <w:pStyle w:val="FootnoteText"/>
      </w:pPr>
      <w:r>
        <w:rPr>
          <w:rStyle w:val="FootnoteReference"/>
        </w:rPr>
        <w:footnoteRef/>
      </w:r>
      <w:r>
        <w:t xml:space="preserve"> </w:t>
      </w:r>
      <w:r>
        <w:tab/>
        <w:t xml:space="preserve">For more information, see </w:t>
      </w:r>
      <w:hyperlink r:id="rId4" w:history="1">
        <w:r w:rsidRPr="00E43715">
          <w:rPr>
            <w:rStyle w:val="Hyperlink"/>
          </w:rPr>
          <w:t>https://covid19.govt.nz/about-</w:t>
        </w:r>
        <w:r w:rsidRPr="00F65E07">
          <w:rPr>
            <w:rStyle w:val="Hyperlink"/>
          </w:rPr>
          <w:t>our</w:t>
        </w:r>
        <w:r w:rsidRPr="00E43715">
          <w:rPr>
            <w:rStyle w:val="Hyperlink"/>
          </w:rPr>
          <w:t>-covid-19-response/</w:t>
        </w:r>
      </w:hyperlink>
      <w:r>
        <w:t>.</w:t>
      </w:r>
    </w:p>
  </w:footnote>
  <w:footnote w:id="24">
    <w:p w14:paraId="61053FF3" w14:textId="77777777" w:rsidR="00B0004A" w:rsidRDefault="00B0004A" w:rsidP="00B0004A">
      <w:pPr>
        <w:pStyle w:val="FootnoteText"/>
      </w:pPr>
      <w:r>
        <w:rPr>
          <w:rStyle w:val="FootnoteReference"/>
        </w:rPr>
        <w:footnoteRef/>
      </w:r>
      <w:r>
        <w:t xml:space="preserve"> </w:t>
      </w:r>
      <w:r>
        <w:tab/>
        <w:t xml:space="preserve">For more information, see </w:t>
      </w:r>
      <w:hyperlink r:id="rId5" w:history="1">
        <w:r w:rsidRPr="00F15DBF">
          <w:rPr>
            <w:rStyle w:val="Hyperlink"/>
          </w:rPr>
          <w:t>https://covid19.govt.nz/about-our-covid-19-response/history-of-the-covid-19-alert-system/</w:t>
        </w:r>
      </w:hyperlink>
      <w:r>
        <w:t>.</w:t>
      </w:r>
    </w:p>
  </w:footnote>
  <w:footnote w:id="25">
    <w:p w14:paraId="21732EB0" w14:textId="77777777" w:rsidR="00B0004A" w:rsidRDefault="00B0004A" w:rsidP="00B0004A">
      <w:pPr>
        <w:pStyle w:val="FootnoteText"/>
      </w:pPr>
      <w:r>
        <w:rPr>
          <w:rStyle w:val="FootnoteReference"/>
        </w:rPr>
        <w:footnoteRef/>
      </w:r>
      <w:r>
        <w:t xml:space="preserve"> </w:t>
      </w:r>
      <w:r>
        <w:tab/>
        <w:t>New Zealand does not produce or consume nitrogen trifluoride (NF</w:t>
      </w:r>
      <w:r>
        <w:rPr>
          <w:vertAlign w:val="subscript"/>
        </w:rPr>
        <w:t>3</w:t>
      </w:r>
      <w:r>
        <w:t>).</w:t>
      </w:r>
    </w:p>
  </w:footnote>
  <w:footnote w:id="26">
    <w:p w14:paraId="5AD2CE82" w14:textId="77777777" w:rsidR="00B0004A" w:rsidRDefault="00B0004A" w:rsidP="00B0004A">
      <w:pPr>
        <w:pStyle w:val="FootnoteText"/>
      </w:pPr>
      <w:r>
        <w:rPr>
          <w:rStyle w:val="FootnoteReference"/>
        </w:rPr>
        <w:footnoteRef/>
      </w:r>
      <w:r>
        <w:t xml:space="preserve"> </w:t>
      </w:r>
      <w:r>
        <w:tab/>
        <w:t xml:space="preserve">For more information, see </w:t>
      </w:r>
      <w:hyperlink r:id="rId6" w:history="1">
        <w:r w:rsidRPr="00F1315D">
          <w:rPr>
            <w:rStyle w:val="Hyperlink"/>
          </w:rPr>
          <w:t>https://covid19.govt.nz/about-our-covid-19-response/history-of-the-covid-19-alert-system/</w:t>
        </w:r>
      </w:hyperlink>
      <w:r>
        <w:rPr>
          <w:rStyle w:val="Hyperlink"/>
        </w:rPr>
        <w:t>.</w:t>
      </w:r>
    </w:p>
  </w:footnote>
  <w:footnote w:id="27">
    <w:p w14:paraId="64493062" w14:textId="77777777" w:rsidR="00B0004A" w:rsidRDefault="00B0004A" w:rsidP="00B0004A">
      <w:pPr>
        <w:pStyle w:val="FootnoteText"/>
      </w:pPr>
      <w:r>
        <w:rPr>
          <w:rStyle w:val="FootnoteReference"/>
        </w:rPr>
        <w:footnoteRef/>
      </w:r>
      <w:r>
        <w:t xml:space="preserve"> </w:t>
      </w:r>
      <w:r>
        <w:tab/>
        <w:t xml:space="preserve">For more information, see </w:t>
      </w:r>
      <w:hyperlink r:id="rId7" w:history="1">
        <w:r w:rsidRPr="00866BFB">
          <w:rPr>
            <w:rStyle w:val="Hyperlink"/>
          </w:rPr>
          <w:t>www.mpi.govt.nz/news-and-resources/economic-intelligence-unit/situation-and-outlook-for-primary-industries/</w:t>
        </w:r>
      </w:hyperlink>
      <w:r>
        <w:t>.</w:t>
      </w:r>
    </w:p>
  </w:footnote>
  <w:footnote w:id="28">
    <w:p w14:paraId="66D213AA" w14:textId="77777777" w:rsidR="00B0004A" w:rsidRDefault="00B0004A" w:rsidP="00B0004A">
      <w:pPr>
        <w:pStyle w:val="FootnoteText"/>
      </w:pPr>
      <w:r>
        <w:rPr>
          <w:rStyle w:val="FootnoteReference"/>
        </w:rPr>
        <w:footnoteRef/>
      </w:r>
      <w:r>
        <w:t xml:space="preserve"> </w:t>
      </w:r>
      <w:r>
        <w:tab/>
        <w:t xml:space="preserve">For more information, see </w:t>
      </w:r>
      <w:hyperlink r:id="rId8" w:history="1">
        <w:r w:rsidRPr="00866BFB">
          <w:rPr>
            <w:rStyle w:val="Hyperlink"/>
          </w:rPr>
          <w:t>www.mpi.govt.nz/news-and-resources/economic-intelligence-unit/situation-and-outlook-for-primary-industries/</w:t>
        </w:r>
      </w:hyperlink>
      <w:r>
        <w:t>.</w:t>
      </w:r>
    </w:p>
  </w:footnote>
  <w:footnote w:id="29">
    <w:p w14:paraId="24494876" w14:textId="77777777" w:rsidR="00B0004A" w:rsidRDefault="00B0004A" w:rsidP="00B0004A">
      <w:pPr>
        <w:pStyle w:val="FootnoteText"/>
      </w:pPr>
      <w:r>
        <w:rPr>
          <w:rStyle w:val="FootnoteReference"/>
        </w:rPr>
        <w:footnoteRef/>
      </w:r>
      <w:r>
        <w:t xml:space="preserve"> </w:t>
      </w:r>
      <w:r>
        <w:tab/>
        <w:t>The NZ ETS included the Forestry sector from 1 January 2008.</w:t>
      </w:r>
    </w:p>
  </w:footnote>
  <w:footnote w:id="30">
    <w:p w14:paraId="2A6D9955" w14:textId="77777777" w:rsidR="00B0004A" w:rsidRDefault="00B0004A" w:rsidP="00B0004A">
      <w:pPr>
        <w:pStyle w:val="FootnoteText"/>
      </w:pPr>
      <w:r>
        <w:rPr>
          <w:rStyle w:val="FootnoteReference"/>
        </w:rPr>
        <w:footnoteRef/>
      </w:r>
      <w:r>
        <w:t xml:space="preserve"> </w:t>
      </w:r>
      <w:r>
        <w:tab/>
        <w:t>In the climate change literature, negative emissions are often referred to as ‘removals’ because they indicate removing carbon dioxide from the atmosphere as a net result. This report uses the term ‘removal’ or ‘net removal’ where it will make the relevant sections easier to understand.</w:t>
      </w:r>
    </w:p>
  </w:footnote>
  <w:footnote w:id="31">
    <w:p w14:paraId="75781D05" w14:textId="77777777" w:rsidR="009F5DA6" w:rsidRPr="009E1BC6" w:rsidRDefault="009F5DA6" w:rsidP="009F5DA6">
      <w:pPr>
        <w:pStyle w:val="FootnoteText"/>
      </w:pPr>
      <w:r>
        <w:rPr>
          <w:rStyle w:val="FootnoteReference"/>
        </w:rPr>
        <w:footnoteRef/>
      </w:r>
      <w:r>
        <w:t xml:space="preserve"> </w:t>
      </w:r>
      <w:r>
        <w:tab/>
      </w:r>
      <w:r>
        <w:rPr>
          <w:lang w:eastAsia="en-GB"/>
        </w:rPr>
        <w:t>For urea production, the fraction of carbon stored varies across the time series, depending on the composition of the feedstock gas.</w:t>
      </w:r>
    </w:p>
  </w:footnote>
  <w:footnote w:id="32">
    <w:p w14:paraId="1BFE4713" w14:textId="77777777" w:rsidR="009F5DA6" w:rsidRDefault="009F5DA6" w:rsidP="009F5DA6">
      <w:pPr>
        <w:pStyle w:val="FootnoteText"/>
      </w:pPr>
      <w:r w:rsidRPr="005B6A26">
        <w:rPr>
          <w:rStyle w:val="FootnoteReference"/>
        </w:rPr>
        <w:footnoteRef/>
      </w:r>
      <w:r>
        <w:t xml:space="preserve"> </w:t>
      </w:r>
      <w:r>
        <w:tab/>
        <w:t xml:space="preserve">Phosphate rock: </w:t>
      </w:r>
      <w:r w:rsidRPr="00713F4E">
        <w:t>rock rich in the mi</w:t>
      </w:r>
      <w:r>
        <w:t>neral fluorapatite, Ca</w:t>
      </w:r>
      <w:r w:rsidRPr="00FD073B">
        <w:rPr>
          <w:vertAlign w:val="subscript"/>
        </w:rPr>
        <w:t>5</w:t>
      </w:r>
      <w:r>
        <w:t>(PO</w:t>
      </w:r>
      <w:r w:rsidRPr="00FD073B">
        <w:rPr>
          <w:vertAlign w:val="subscript"/>
        </w:rPr>
        <w:t>4</w:t>
      </w:r>
      <w:r>
        <w:t>)</w:t>
      </w:r>
      <w:r w:rsidRPr="00FD073B">
        <w:rPr>
          <w:vertAlign w:val="subscript"/>
        </w:rPr>
        <w:t>3</w:t>
      </w:r>
      <w:r>
        <w:t>F.</w:t>
      </w:r>
    </w:p>
  </w:footnote>
  <w:footnote w:id="33">
    <w:p w14:paraId="04F959EE" w14:textId="77777777" w:rsidR="009F5DA6" w:rsidRDefault="009F5DA6" w:rsidP="009F5DA6">
      <w:pPr>
        <w:pStyle w:val="FootnoteText"/>
      </w:pPr>
      <w:r>
        <w:rPr>
          <w:rStyle w:val="FootnoteReference"/>
        </w:rPr>
        <w:footnoteRef/>
      </w:r>
      <w:r>
        <w:t xml:space="preserve"> </w:t>
      </w:r>
      <w:r>
        <w:tab/>
        <w:t xml:space="preserve">As of 2018, </w:t>
      </w:r>
      <w:r w:rsidRPr="00237E11">
        <w:t>New Zealand only manufactures a small number of buses and heavy trucks</w:t>
      </w:r>
      <w:r>
        <w:t>.</w:t>
      </w:r>
    </w:p>
  </w:footnote>
  <w:footnote w:id="34">
    <w:p w14:paraId="6F3D8641" w14:textId="77777777" w:rsidR="00994F64" w:rsidRPr="005A386A" w:rsidRDefault="00994F64" w:rsidP="00994F64">
      <w:pPr>
        <w:pStyle w:val="FootnoteText"/>
        <w:spacing w:after="0"/>
      </w:pPr>
      <w:r w:rsidRPr="005A386A">
        <w:rPr>
          <w:rStyle w:val="FootnoteReference"/>
        </w:rPr>
        <w:footnoteRef/>
      </w:r>
      <w:r w:rsidRPr="005A386A">
        <w:t xml:space="preserve"> </w:t>
      </w:r>
      <w:r w:rsidRPr="005A386A">
        <w:tab/>
      </w:r>
      <w:bookmarkStart w:id="648" w:name="_Hlk126157604"/>
      <w:r w:rsidRPr="005A386A">
        <w:t xml:space="preserve">Implied emission factors (IEFs) are calculated by dividing the total emissions of a particular animal </w:t>
      </w:r>
      <w:r>
        <w:t>species</w:t>
      </w:r>
      <w:r w:rsidRPr="005A386A">
        <w:t xml:space="preserve"> and sector (e.g., enteric fermentation from sheep) by the number of animals</w:t>
      </w:r>
      <w:r>
        <w:t xml:space="preserve"> in that species and sector</w:t>
      </w:r>
      <w:r w:rsidRPr="005A386A">
        <w:t>.</w:t>
      </w:r>
      <w:bookmarkEnd w:id="648"/>
    </w:p>
  </w:footnote>
  <w:footnote w:id="35">
    <w:p w14:paraId="26544DB2" w14:textId="77777777" w:rsidR="00994F64" w:rsidRPr="00D93F91" w:rsidRDefault="00994F64" w:rsidP="00994F64">
      <w:pPr>
        <w:pStyle w:val="FootnoteText"/>
      </w:pPr>
      <w:r w:rsidRPr="005A386A">
        <w:rPr>
          <w:rStyle w:val="FootnoteReference"/>
        </w:rPr>
        <w:footnoteRef/>
      </w:r>
      <w:r w:rsidRPr="005A386A">
        <w:t xml:space="preserve"> </w:t>
      </w:r>
      <w:r w:rsidRPr="005A386A">
        <w:tab/>
        <w:t>Percentage of carcass weight in relation to liveweight.</w:t>
      </w:r>
    </w:p>
  </w:footnote>
  <w:footnote w:id="36">
    <w:p w14:paraId="0B3576AA" w14:textId="77777777" w:rsidR="00994F64" w:rsidRPr="00D93F91" w:rsidRDefault="00994F64" w:rsidP="00994F64">
      <w:pPr>
        <w:pStyle w:val="FootnoteText"/>
      </w:pPr>
      <w:r>
        <w:rPr>
          <w:rStyle w:val="FootnoteReference"/>
        </w:rPr>
        <w:footnoteRef/>
      </w:r>
      <w:r>
        <w:t xml:space="preserve"> </w:t>
      </w:r>
      <w:r>
        <w:tab/>
        <w:t>This assumption is from</w:t>
      </w:r>
      <w:r w:rsidRPr="00254B3A">
        <w:t xml:space="preserve"> </w:t>
      </w:r>
      <w:r w:rsidRPr="00256982">
        <w:t>Clark et al., 2003</w:t>
      </w:r>
      <w:r>
        <w:t>. In reality, the age at slaughter will vary; however, not enough data are available to estimate using a model. For more information on this assumption, see </w:t>
      </w:r>
      <w:hyperlink r:id="rId9" w:history="1">
        <w:r w:rsidRPr="00875726">
          <w:rPr>
            <w:rStyle w:val="Hyperlink"/>
          </w:rPr>
          <w:t>www.mpi.govt.nz/dmsdocument/32863/direct</w:t>
        </w:r>
      </w:hyperlink>
      <w:r w:rsidRPr="00492E7F">
        <w:t>.</w:t>
      </w:r>
    </w:p>
  </w:footnote>
  <w:footnote w:id="37">
    <w:p w14:paraId="1D1618CC" w14:textId="77777777" w:rsidR="00994F64" w:rsidRPr="005A386A" w:rsidRDefault="00994F64" w:rsidP="00994F64">
      <w:pPr>
        <w:pStyle w:val="FootnoteText"/>
      </w:pPr>
      <w:r w:rsidRPr="005A386A">
        <w:rPr>
          <w:rStyle w:val="FootnoteReference"/>
        </w:rPr>
        <w:footnoteRef/>
      </w:r>
      <w:r w:rsidRPr="005A386A">
        <w:t xml:space="preserve"> </w:t>
      </w:r>
      <w:r w:rsidRPr="005A386A">
        <w:tab/>
      </w:r>
      <w:r w:rsidRPr="005A386A">
        <w:rPr>
          <w:spacing w:val="-2"/>
        </w:rPr>
        <w:t xml:space="preserve">The number of beef cows slaughtered is assumed to be </w:t>
      </w:r>
      <w:r w:rsidRPr="00D41214">
        <w:rPr>
          <w:spacing w:val="-2"/>
        </w:rPr>
        <w:t>17</w:t>
      </w:r>
      <w:r w:rsidRPr="005A386A">
        <w:rPr>
          <w:spacing w:val="-2"/>
        </w:rPr>
        <w:t xml:space="preserve"> per cent of the total beef cow herd, with other</w:t>
      </w:r>
      <w:r>
        <w:rPr>
          <w:spacing w:val="-2"/>
        </w:rPr>
        <w:t xml:space="preserve"> </w:t>
      </w:r>
      <w:r w:rsidRPr="005A386A">
        <w:rPr>
          <w:spacing w:val="-2"/>
        </w:rPr>
        <w:t>adult cows slaughtered assumed to be dairy cows. The carcass weight of dairy cattle slaughtered was</w:t>
      </w:r>
      <w:r>
        <w:rPr>
          <w:spacing w:val="-2"/>
        </w:rPr>
        <w:t xml:space="preserve"> </w:t>
      </w:r>
      <w:r w:rsidRPr="005A386A">
        <w:rPr>
          <w:spacing w:val="-2"/>
        </w:rPr>
        <w:t xml:space="preserve">estimated using the adult dairy cow liveweights and a killing-out percentage of </w:t>
      </w:r>
      <w:r w:rsidRPr="00D41214">
        <w:rPr>
          <w:spacing w:val="-2"/>
        </w:rPr>
        <w:t>42</w:t>
      </w:r>
      <w:r w:rsidRPr="005A386A">
        <w:rPr>
          <w:spacing w:val="-2"/>
        </w:rPr>
        <w:t xml:space="preserve"> per cent (Thomson et al., 2010). The total weight of dairy cattle slaughtered was calculated (carcass weight × number slaughtered) and then deducted from the national total carcass weight of slaughtered adult cows. This figure was then divided by the number of beef cows slaughtered, to obtain an estimate of the carcass weight of adult beef cows. Liveweights were calculated assuming a killing-out percentage of </w:t>
      </w:r>
      <w:r w:rsidRPr="00D41214">
        <w:rPr>
          <w:spacing w:val="-2"/>
        </w:rPr>
        <w:t>42.6</w:t>
      </w:r>
      <w:r w:rsidRPr="005A386A">
        <w:rPr>
          <w:spacing w:val="-2"/>
        </w:rPr>
        <w:t> per cent (Thomson et al., 2010).</w:t>
      </w:r>
    </w:p>
  </w:footnote>
  <w:footnote w:id="38">
    <w:p w14:paraId="73C2170F" w14:textId="77777777" w:rsidR="00994F64" w:rsidRDefault="00994F64" w:rsidP="00994F64">
      <w:pPr>
        <w:pStyle w:val="FootnoteText"/>
      </w:pPr>
      <w:r>
        <w:rPr>
          <w:rStyle w:val="FootnoteReference"/>
        </w:rPr>
        <w:footnoteRef/>
      </w:r>
      <w:r>
        <w:t xml:space="preserve"> </w:t>
      </w:r>
      <w:r>
        <w:tab/>
        <w:t>Also known as ‘meat chickens’, which tend to be larger breeds with higher muscle content.</w:t>
      </w:r>
    </w:p>
  </w:footnote>
  <w:footnote w:id="39">
    <w:p w14:paraId="77FB8931" w14:textId="77777777" w:rsidR="00994F64" w:rsidRDefault="00994F64" w:rsidP="00994F64">
      <w:pPr>
        <w:pStyle w:val="FootnoteText"/>
      </w:pPr>
      <w:r>
        <w:rPr>
          <w:rStyle w:val="FootnoteReference"/>
        </w:rPr>
        <w:footnoteRef/>
      </w:r>
      <w:r>
        <w:t xml:space="preserve"> </w:t>
      </w:r>
      <w:r>
        <w:tab/>
        <w:t>Methanet and NzOnet contain experts on methane (</w:t>
      </w:r>
      <w:r w:rsidRPr="00D9348B">
        <w:rPr>
          <w:rFonts w:cs="Calibri"/>
        </w:rPr>
        <w:t>CH</w:t>
      </w:r>
      <w:r w:rsidRPr="00D9348B">
        <w:rPr>
          <w:rFonts w:cs="Calibri"/>
          <w:vertAlign w:val="subscript"/>
        </w:rPr>
        <w:t>4</w:t>
      </w:r>
      <w:r>
        <w:t>) and nitrous oxide (</w:t>
      </w:r>
      <w:r w:rsidRPr="00D9348B">
        <w:rPr>
          <w:rFonts w:cs="Calibri"/>
        </w:rPr>
        <w:t>N</w:t>
      </w:r>
      <w:r w:rsidRPr="00D9348B">
        <w:rPr>
          <w:rFonts w:cs="Calibri"/>
          <w:vertAlign w:val="subscript"/>
        </w:rPr>
        <w:t>2</w:t>
      </w:r>
      <w:r w:rsidRPr="00D9348B">
        <w:rPr>
          <w:rFonts w:cs="Calibri"/>
        </w:rPr>
        <w:t>O</w:t>
      </w:r>
      <w:r>
        <w:t>) respectively. These advisory groups</w:t>
      </w:r>
      <w:r w:rsidRPr="00EB41C3">
        <w:rPr>
          <w:rFonts w:cs="Calibri"/>
        </w:rPr>
        <w:t xml:space="preserve"> </w:t>
      </w:r>
      <w:r w:rsidRPr="00D9348B">
        <w:rPr>
          <w:rFonts w:cs="Calibri"/>
        </w:rPr>
        <w:t>have been running since the early 2000s. The groups were formed to identify the main direction of research needed to improve the CH</w:t>
      </w:r>
      <w:r w:rsidRPr="00D9348B">
        <w:rPr>
          <w:rFonts w:cs="Calibri"/>
          <w:vertAlign w:val="subscript"/>
        </w:rPr>
        <w:t>4</w:t>
      </w:r>
      <w:r w:rsidRPr="00D9348B">
        <w:rPr>
          <w:rFonts w:cs="Calibri"/>
        </w:rPr>
        <w:t xml:space="preserve"> and N</w:t>
      </w:r>
      <w:r w:rsidRPr="00D9348B">
        <w:rPr>
          <w:rFonts w:cs="Calibri"/>
          <w:vertAlign w:val="subscript"/>
        </w:rPr>
        <w:t>2</w:t>
      </w:r>
      <w:r w:rsidRPr="00D9348B">
        <w:rPr>
          <w:rFonts w:cs="Calibri"/>
        </w:rPr>
        <w:t>O inventory accounts and mitigation, develop a collaborative approach to improve the quality of CH</w:t>
      </w:r>
      <w:r w:rsidRPr="00D9348B">
        <w:rPr>
          <w:rFonts w:cs="Calibri"/>
          <w:vertAlign w:val="subscript"/>
        </w:rPr>
        <w:t>4</w:t>
      </w:r>
      <w:r w:rsidRPr="00D9348B">
        <w:rPr>
          <w:rFonts w:cs="Calibri"/>
        </w:rPr>
        <w:t xml:space="preserve"> and N</w:t>
      </w:r>
      <w:r w:rsidRPr="00D9348B">
        <w:rPr>
          <w:rFonts w:cs="Calibri"/>
          <w:vertAlign w:val="subscript"/>
        </w:rPr>
        <w:t>2</w:t>
      </w:r>
      <w:r w:rsidRPr="00D9348B">
        <w:rPr>
          <w:rFonts w:cs="Calibri"/>
        </w:rPr>
        <w:t>O emission data, and build and maintain inventory research capability</w:t>
      </w:r>
      <w:r>
        <w:rPr>
          <w:rFonts w:cs="Calibri"/>
        </w:rPr>
        <w:t>.</w:t>
      </w:r>
    </w:p>
  </w:footnote>
  <w:footnote w:id="40">
    <w:p w14:paraId="07CB08A0" w14:textId="77777777" w:rsidR="00994F64" w:rsidRPr="005A386A" w:rsidRDefault="00994F64" w:rsidP="00994F64">
      <w:pPr>
        <w:pStyle w:val="FootnoteText"/>
        <w:spacing w:after="40"/>
      </w:pPr>
      <w:r w:rsidRPr="005A386A">
        <w:rPr>
          <w:rStyle w:val="FootnoteReference"/>
        </w:rPr>
        <w:footnoteRef/>
      </w:r>
      <w:r w:rsidRPr="005A386A">
        <w:t xml:space="preserve"> </w:t>
      </w:r>
      <w:r w:rsidRPr="005A386A">
        <w:tab/>
        <w:t>The equation displayed here is a rearranged form of the equation displayed in Swainson et al. (2016): Ln(CH</w:t>
      </w:r>
      <w:r w:rsidRPr="005A386A">
        <w:rPr>
          <w:vertAlign w:val="subscript"/>
        </w:rPr>
        <w:t>4</w:t>
      </w:r>
      <w:r w:rsidRPr="005A386A">
        <w:t xml:space="preserve">) = 0.734 × In(DMI) + 0.05 </w:t>
      </w:r>
      <w:r w:rsidRPr="005A386A">
        <w:rPr>
          <w:szCs w:val="19"/>
        </w:rPr>
        <w:t>×</w:t>
      </w:r>
      <w:r w:rsidRPr="005A386A">
        <w:t xml:space="preserve"> ME + 2.46.</w:t>
      </w:r>
    </w:p>
  </w:footnote>
  <w:footnote w:id="41">
    <w:p w14:paraId="1316A44A" w14:textId="77777777" w:rsidR="00994F64" w:rsidRPr="005A386A" w:rsidRDefault="00994F64" w:rsidP="00994F64">
      <w:pPr>
        <w:pStyle w:val="FootnoteText"/>
        <w:spacing w:after="40"/>
      </w:pPr>
      <w:r w:rsidRPr="005A386A">
        <w:rPr>
          <w:rStyle w:val="FootnoteReference"/>
        </w:rPr>
        <w:footnoteRef/>
      </w:r>
      <w:r w:rsidRPr="005A386A">
        <w:t xml:space="preserve"> </w:t>
      </w:r>
      <w:r w:rsidRPr="005A386A">
        <w:tab/>
        <w:t>The equation displayed here is a rearranged form of the equation displayed in Swainson et al. (2016): Ln(CH</w:t>
      </w:r>
      <w:r w:rsidRPr="005A386A">
        <w:rPr>
          <w:vertAlign w:val="subscript"/>
        </w:rPr>
        <w:t>4</w:t>
      </w:r>
      <w:r w:rsidRPr="005A386A">
        <w:t>) = 0.765 × In(DMI) + 3.09.</w:t>
      </w:r>
    </w:p>
  </w:footnote>
  <w:footnote w:id="42">
    <w:p w14:paraId="66A96D44" w14:textId="77777777" w:rsidR="00994F64" w:rsidRPr="005A386A" w:rsidRDefault="00994F64" w:rsidP="00994F64">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t xml:space="preserve">For example, Blaxter and Clapperton (1965); Moe and Tyrrel (1975); Baldwin et al. (1988); Djikstra et al. (1992) and Benchaar et al. (2001) – all cited in Clark et al. (2003). </w:t>
      </w:r>
    </w:p>
  </w:footnote>
  <w:footnote w:id="43">
    <w:p w14:paraId="0CD1C75C" w14:textId="77777777" w:rsidR="00994F64" w:rsidRDefault="00994F64" w:rsidP="00994F64">
      <w:pPr>
        <w:pStyle w:val="FootnoteText"/>
      </w:pPr>
      <w:r>
        <w:rPr>
          <w:rStyle w:val="FootnoteReference"/>
        </w:rPr>
        <w:footnoteRef/>
      </w:r>
      <w:r>
        <w:t xml:space="preserve"> </w:t>
      </w:r>
      <w:r>
        <w:tab/>
        <w:t xml:space="preserve">Value was </w:t>
      </w:r>
      <w:r w:rsidRPr="00BE78CA">
        <w:rPr>
          <w:rFonts w:cs="Calibri"/>
        </w:rPr>
        <w:t xml:space="preserve">used in </w:t>
      </w:r>
      <w:r>
        <w:rPr>
          <w:rFonts w:cs="Calibri"/>
        </w:rPr>
        <w:t>earlier</w:t>
      </w:r>
      <w:r w:rsidRPr="00BE78CA">
        <w:rPr>
          <w:rFonts w:cs="Calibri"/>
        </w:rPr>
        <w:t xml:space="preserve"> versions of the National Inventory Report (</w:t>
      </w:r>
      <w:r w:rsidRPr="001B3A4A">
        <w:rPr>
          <w:rFonts w:cs="Calibri"/>
        </w:rPr>
        <w:t>21.25</w:t>
      </w:r>
      <w:r w:rsidRPr="00BE78CA">
        <w:rPr>
          <w:rFonts w:cs="Calibri"/>
        </w:rPr>
        <w:t xml:space="preserve"> g</w:t>
      </w:r>
      <w:r>
        <w:rPr>
          <w:rFonts w:cs="Calibri"/>
        </w:rPr>
        <w:t>rams methane per kilogram dry-matter intake</w:t>
      </w:r>
      <w:r w:rsidRPr="00BE78CA">
        <w:rPr>
          <w:rFonts w:cs="Calibri"/>
        </w:rPr>
        <w:t>)</w:t>
      </w:r>
      <w:r>
        <w:rPr>
          <w:rFonts w:cs="Calibri"/>
        </w:rPr>
        <w:t>.</w:t>
      </w:r>
    </w:p>
  </w:footnote>
  <w:footnote w:id="44">
    <w:p w14:paraId="66D9DF59" w14:textId="77777777" w:rsidR="00994F64" w:rsidRPr="005A386A" w:rsidRDefault="00994F64" w:rsidP="00994F64">
      <w:pPr>
        <w:pStyle w:val="FootnoteText"/>
        <w:rPr>
          <w:szCs w:val="19"/>
        </w:rPr>
      </w:pPr>
      <w:r w:rsidRPr="005A386A">
        <w:rPr>
          <w:rStyle w:val="FootnoteReference"/>
          <w:szCs w:val="19"/>
        </w:rPr>
        <w:footnoteRef/>
      </w:r>
      <w:r w:rsidRPr="005A386A">
        <w:rPr>
          <w:szCs w:val="19"/>
        </w:rPr>
        <w:t xml:space="preserve"> </w:t>
      </w:r>
      <w:r w:rsidRPr="005A386A">
        <w:rPr>
          <w:szCs w:val="19"/>
        </w:rPr>
        <w:tab/>
        <w:t>The IPCC (2006) default emission factor for swine is identical to the IPCC (1996) emission factor.</w:t>
      </w:r>
    </w:p>
  </w:footnote>
  <w:footnote w:id="45">
    <w:p w14:paraId="4F5A4BBF" w14:textId="77777777" w:rsidR="00994F64" w:rsidRPr="005A386A" w:rsidRDefault="00994F64" w:rsidP="00994F64">
      <w:pPr>
        <w:pStyle w:val="FootnoteText"/>
      </w:pPr>
      <w:r w:rsidRPr="005A386A">
        <w:rPr>
          <w:rStyle w:val="FootnoteReference"/>
        </w:rPr>
        <w:footnoteRef/>
      </w:r>
      <w:r w:rsidRPr="005A386A">
        <w:t xml:space="preserve"> </w:t>
      </w:r>
      <w:r w:rsidRPr="005A386A">
        <w:tab/>
      </w:r>
      <w:r w:rsidRPr="005A386A">
        <w:rPr>
          <w:rFonts w:cs="Arial"/>
          <w:szCs w:val="16"/>
        </w:rPr>
        <w:t xml:space="preserve">As reported in </w:t>
      </w:r>
      <w:r>
        <w:rPr>
          <w:rFonts w:cs="Arial"/>
          <w:szCs w:val="16"/>
        </w:rPr>
        <w:t xml:space="preserve">volume 1 of </w:t>
      </w:r>
      <w:r w:rsidRPr="00522BC0">
        <w:rPr>
          <w:rFonts w:cs="Arial"/>
          <w:szCs w:val="16"/>
        </w:rPr>
        <w:t xml:space="preserve">Australia’s </w:t>
      </w:r>
      <w:r w:rsidRPr="00522BC0">
        <w:rPr>
          <w:rFonts w:cs="Arial"/>
          <w:iCs/>
        </w:rPr>
        <w:t>National Inventory Report 2020</w:t>
      </w:r>
      <w:r w:rsidRPr="008731BC">
        <w:rPr>
          <w:rFonts w:cs="Arial"/>
          <w:iCs/>
        </w:rPr>
        <w:t xml:space="preserve"> </w:t>
      </w:r>
      <w:r w:rsidRPr="00A24508">
        <w:rPr>
          <w:rFonts w:cs="Arial"/>
          <w:szCs w:val="16"/>
        </w:rPr>
        <w:t xml:space="preserve">on </w:t>
      </w:r>
      <w:r>
        <w:rPr>
          <w:rFonts w:cs="Arial"/>
          <w:szCs w:val="16"/>
        </w:rPr>
        <w:t>g</w:t>
      </w:r>
      <w:r w:rsidRPr="00A24508">
        <w:rPr>
          <w:rFonts w:cs="Arial"/>
          <w:szCs w:val="16"/>
        </w:rPr>
        <w:t xml:space="preserve">reenhouse </w:t>
      </w:r>
      <w:r>
        <w:rPr>
          <w:rFonts w:cs="Arial"/>
          <w:szCs w:val="16"/>
        </w:rPr>
        <w:t>g</w:t>
      </w:r>
      <w:r w:rsidRPr="00A24508">
        <w:rPr>
          <w:rFonts w:cs="Arial"/>
          <w:szCs w:val="16"/>
        </w:rPr>
        <w:t xml:space="preserve">as </w:t>
      </w:r>
      <w:r>
        <w:rPr>
          <w:rFonts w:cs="Arial"/>
          <w:szCs w:val="16"/>
        </w:rPr>
        <w:t>a</w:t>
      </w:r>
      <w:r w:rsidRPr="00A24508">
        <w:rPr>
          <w:rFonts w:cs="Arial"/>
          <w:szCs w:val="16"/>
        </w:rPr>
        <w:t xml:space="preserve">ccounts </w:t>
      </w:r>
      <w:r w:rsidRPr="00A24508">
        <w:rPr>
          <w:rFonts w:cs="Arial"/>
          <w:spacing w:val="-2"/>
          <w:szCs w:val="16"/>
        </w:rPr>
        <w:t>(Commonwealth of Australia, 202</w:t>
      </w:r>
      <w:r>
        <w:rPr>
          <w:rFonts w:cs="Arial"/>
          <w:spacing w:val="-2"/>
          <w:szCs w:val="16"/>
        </w:rPr>
        <w:t>2</w:t>
      </w:r>
      <w:r w:rsidRPr="00A24508">
        <w:rPr>
          <w:rFonts w:cs="Arial"/>
          <w:spacing w:val="-2"/>
          <w:szCs w:val="16"/>
        </w:rPr>
        <w:t xml:space="preserve">). </w:t>
      </w:r>
      <w:r w:rsidRPr="00A24508">
        <w:rPr>
          <w:spacing w:val="-2"/>
        </w:rPr>
        <w:t>Note</w:t>
      </w:r>
      <w:r w:rsidRPr="005A386A">
        <w:rPr>
          <w:spacing w:val="-2"/>
        </w:rPr>
        <w:t xml:space="preserve"> that the Australian-specific </w:t>
      </w:r>
      <w:r>
        <w:rPr>
          <w:spacing w:val="-2"/>
        </w:rPr>
        <w:t>beef</w:t>
      </w:r>
      <w:r w:rsidRPr="005A386A">
        <w:rPr>
          <w:spacing w:val="-2"/>
        </w:rPr>
        <w:t xml:space="preserve"> cattle IEF value is calculated</w:t>
      </w:r>
      <w:r w:rsidRPr="005A386A">
        <w:t xml:space="preserve"> from a population-based weighted average of pasture and feedlot IEF values from </w:t>
      </w:r>
      <w:r>
        <w:t>beef</w:t>
      </w:r>
      <w:r w:rsidRPr="005A386A">
        <w:t xml:space="preserve"> cattle.</w:t>
      </w:r>
    </w:p>
  </w:footnote>
  <w:footnote w:id="46">
    <w:p w14:paraId="5618C63C" w14:textId="77777777" w:rsidR="00994F64" w:rsidRDefault="00994F64" w:rsidP="00994F64">
      <w:pPr>
        <w:pStyle w:val="FootnoteText"/>
      </w:pPr>
      <w:r>
        <w:rPr>
          <w:rStyle w:val="FootnoteReference"/>
        </w:rPr>
        <w:footnoteRef/>
      </w:r>
      <w:r>
        <w:t xml:space="preserve"> </w:t>
      </w:r>
      <w:r>
        <w:tab/>
        <w:t>See the ‘</w:t>
      </w:r>
      <w:r w:rsidRPr="00712DD7">
        <w:t>Five Production Systems</w:t>
      </w:r>
      <w:r>
        <w:t>’ at</w:t>
      </w:r>
      <w:r w:rsidRPr="00712DD7">
        <w:t xml:space="preserve"> </w:t>
      </w:r>
      <w:hyperlink r:id="rId10" w:history="1">
        <w:r w:rsidRPr="000E32D1">
          <w:rPr>
            <w:rStyle w:val="Hyperlink"/>
          </w:rPr>
          <w:t>www.dairynz.co.nz/business/the-5-production-systems/</w:t>
        </w:r>
      </w:hyperlink>
      <w:r>
        <w:t>,</w:t>
      </w:r>
      <w:r>
        <w:rPr>
          <w:rStyle w:val="Hyperlink"/>
        </w:rPr>
        <w:t xml:space="preserve"> for more information.</w:t>
      </w:r>
    </w:p>
  </w:footnote>
  <w:footnote w:id="47">
    <w:p w14:paraId="0F79E290" w14:textId="77777777" w:rsidR="00994F64" w:rsidRPr="005A386A" w:rsidRDefault="00994F64" w:rsidP="00994F64">
      <w:pPr>
        <w:pStyle w:val="FootnoteText"/>
        <w:spacing w:after="40"/>
        <w:rPr>
          <w:i/>
          <w:szCs w:val="19"/>
        </w:rPr>
      </w:pPr>
      <w:r w:rsidRPr="005A386A">
        <w:rPr>
          <w:rStyle w:val="FootnoteReference"/>
          <w:szCs w:val="19"/>
        </w:rPr>
        <w:footnoteRef/>
      </w:r>
      <w:r w:rsidRPr="005A386A">
        <w:rPr>
          <w:szCs w:val="19"/>
        </w:rPr>
        <w:t xml:space="preserve"> </w:t>
      </w:r>
      <w:r w:rsidRPr="005A386A">
        <w:rPr>
          <w:szCs w:val="19"/>
        </w:rPr>
        <w:tab/>
        <w:t xml:space="preserve">Reported under </w:t>
      </w:r>
      <w:r w:rsidRPr="005A386A">
        <w:rPr>
          <w:i/>
          <w:szCs w:val="19"/>
        </w:rPr>
        <w:t>Agricultural soils</w:t>
      </w:r>
      <w:r w:rsidRPr="005A386A">
        <w:rPr>
          <w:szCs w:val="19"/>
        </w:rPr>
        <w:t xml:space="preserve">, under </w:t>
      </w:r>
      <w:r w:rsidRPr="005A386A">
        <w:rPr>
          <w:i/>
          <w:szCs w:val="19"/>
        </w:rPr>
        <w:t>Organic nitrogen fertilisers</w:t>
      </w:r>
      <w:r w:rsidRPr="005A386A">
        <w:rPr>
          <w:szCs w:val="19"/>
        </w:rPr>
        <w:t xml:space="preserve"> (CRF 3.D.1.2).</w:t>
      </w:r>
    </w:p>
  </w:footnote>
  <w:footnote w:id="48">
    <w:p w14:paraId="51F55DF7" w14:textId="77777777" w:rsidR="00994F64" w:rsidRPr="005A386A" w:rsidRDefault="00994F64" w:rsidP="00994F64">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t xml:space="preserve">Reported under </w:t>
      </w:r>
      <w:r w:rsidRPr="005A386A">
        <w:rPr>
          <w:i/>
          <w:szCs w:val="19"/>
        </w:rPr>
        <w:t>Agricultural soils</w:t>
      </w:r>
      <w:r w:rsidRPr="005A386A">
        <w:rPr>
          <w:szCs w:val="19"/>
        </w:rPr>
        <w:t xml:space="preserve">, under </w:t>
      </w:r>
      <w:r w:rsidRPr="005A386A">
        <w:rPr>
          <w:i/>
          <w:szCs w:val="19"/>
        </w:rPr>
        <w:t>Urine and dung deposited by grazing animals</w:t>
      </w:r>
      <w:r w:rsidRPr="005A386A">
        <w:rPr>
          <w:szCs w:val="19"/>
        </w:rPr>
        <w:t xml:space="preserve"> (CRF 3.D.1.3).</w:t>
      </w:r>
    </w:p>
  </w:footnote>
  <w:footnote w:id="49">
    <w:p w14:paraId="4D22BAA6" w14:textId="77777777" w:rsidR="00994F64" w:rsidRPr="005A386A" w:rsidRDefault="00994F64" w:rsidP="00994F64">
      <w:pPr>
        <w:pStyle w:val="FootnoteText"/>
        <w:spacing w:after="40"/>
      </w:pPr>
      <w:r w:rsidRPr="005A386A">
        <w:rPr>
          <w:rStyle w:val="FootnoteReference"/>
        </w:rPr>
        <w:footnoteRef/>
      </w:r>
      <w:r w:rsidRPr="005A386A">
        <w:t xml:space="preserve"> </w:t>
      </w:r>
      <w:r w:rsidRPr="005A386A">
        <w:tab/>
        <w:t>Calculated using 201</w:t>
      </w:r>
      <w:r>
        <w:t>8</w:t>
      </w:r>
      <w:r w:rsidRPr="005A386A">
        <w:t xml:space="preserve"> data.</w:t>
      </w:r>
    </w:p>
  </w:footnote>
  <w:footnote w:id="50">
    <w:p w14:paraId="485F5E0D" w14:textId="77777777" w:rsidR="00994F64" w:rsidRPr="005A386A" w:rsidRDefault="00994F64" w:rsidP="00994F64">
      <w:pPr>
        <w:pStyle w:val="FootnoteText"/>
        <w:spacing w:after="40"/>
        <w:rPr>
          <w:szCs w:val="19"/>
        </w:rPr>
      </w:pPr>
      <w:r w:rsidRPr="005A386A">
        <w:rPr>
          <w:rStyle w:val="FootnoteReference"/>
          <w:color w:val="000000"/>
          <w:szCs w:val="19"/>
        </w:rPr>
        <w:footnoteRef/>
      </w:r>
      <w:r w:rsidRPr="005A386A">
        <w:rPr>
          <w:color w:val="000000"/>
          <w:szCs w:val="19"/>
        </w:rPr>
        <w:t xml:space="preserve"> </w:t>
      </w:r>
      <w:r w:rsidRPr="005A386A">
        <w:rPr>
          <w:color w:val="000000"/>
          <w:szCs w:val="19"/>
        </w:rPr>
        <w:tab/>
      </w:r>
      <w:r w:rsidRPr="005A386A">
        <w:rPr>
          <w:szCs w:val="19"/>
        </w:rPr>
        <w:t>Hill (2012).</w:t>
      </w:r>
    </w:p>
  </w:footnote>
  <w:footnote w:id="51">
    <w:p w14:paraId="0DA7FA35" w14:textId="77777777" w:rsidR="00994F64" w:rsidRPr="005A386A" w:rsidRDefault="00994F64" w:rsidP="00994F64">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t>Fick et al. (2011) and pers. comm. (2010).</w:t>
      </w:r>
    </w:p>
  </w:footnote>
  <w:footnote w:id="52">
    <w:p w14:paraId="003682CC" w14:textId="77777777" w:rsidR="00994F64" w:rsidRPr="005A386A" w:rsidRDefault="00994F64" w:rsidP="00994F64">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t>Fick et al. (2011) and pers. comm. (2010).</w:t>
      </w:r>
    </w:p>
  </w:footnote>
  <w:footnote w:id="53">
    <w:p w14:paraId="464480C9" w14:textId="77777777" w:rsidR="00994F64" w:rsidRPr="005A386A" w:rsidRDefault="00994F64" w:rsidP="00994F64">
      <w:pPr>
        <w:pStyle w:val="FootnoteText"/>
        <w:rPr>
          <w:szCs w:val="19"/>
        </w:rPr>
      </w:pPr>
      <w:r w:rsidRPr="005A386A">
        <w:rPr>
          <w:rStyle w:val="FootnoteReference"/>
          <w:szCs w:val="19"/>
        </w:rPr>
        <w:footnoteRef/>
      </w:r>
      <w:r w:rsidRPr="005A386A">
        <w:rPr>
          <w:szCs w:val="19"/>
        </w:rPr>
        <w:t xml:space="preserve"> </w:t>
      </w:r>
      <w:r w:rsidRPr="005A386A">
        <w:rPr>
          <w:szCs w:val="19"/>
        </w:rPr>
        <w:tab/>
        <w:t>IPCC (1996) default waste management proportions for Oceania.</w:t>
      </w:r>
    </w:p>
  </w:footnote>
  <w:footnote w:id="54">
    <w:p w14:paraId="4D0D6D19" w14:textId="77777777" w:rsidR="00994F64" w:rsidRPr="00C75E28" w:rsidRDefault="00994F64" w:rsidP="004E2E75">
      <w:pPr>
        <w:pStyle w:val="FootnoteText"/>
        <w:spacing w:after="0"/>
      </w:pPr>
      <w:r>
        <w:rPr>
          <w:rStyle w:val="FootnoteReference"/>
        </w:rPr>
        <w:footnoteRef/>
      </w:r>
      <w:r>
        <w:t xml:space="preserve"> </w:t>
      </w:r>
      <w:r>
        <w:tab/>
      </w:r>
      <w:r>
        <w:rPr>
          <w:i/>
          <w:iCs/>
        </w:rPr>
        <w:t>Other</w:t>
      </w:r>
      <w:r>
        <w:t xml:space="preserve"> poultry generally consists of ostrich and emus, hence the higher </w:t>
      </w:r>
      <w:r w:rsidRPr="00F20E03">
        <w:t>emissions</w:t>
      </w:r>
      <w:r>
        <w:t xml:space="preserve"> per head.</w:t>
      </w:r>
    </w:p>
  </w:footnote>
  <w:footnote w:id="55">
    <w:p w14:paraId="171F2449" w14:textId="77777777" w:rsidR="00994F64" w:rsidRPr="00847307" w:rsidRDefault="00994F64" w:rsidP="00994F64">
      <w:pPr>
        <w:pStyle w:val="FootnoteText"/>
        <w:spacing w:after="0"/>
      </w:pPr>
      <w:r>
        <w:rPr>
          <w:rStyle w:val="FootnoteReference"/>
        </w:rPr>
        <w:footnoteRef/>
      </w:r>
      <w:r>
        <w:t xml:space="preserve"> </w:t>
      </w:r>
      <w:r>
        <w:tab/>
      </w:r>
      <w:r w:rsidRPr="00D9348B">
        <w:rPr>
          <w:rFonts w:cs="Calibri"/>
          <w:spacing w:val="-2"/>
        </w:rPr>
        <w:t xml:space="preserve">For full details of how </w:t>
      </w:r>
      <w:r w:rsidRPr="003C238F">
        <w:rPr>
          <w:rFonts w:cs="Calibri"/>
          <w:spacing w:val="-2"/>
        </w:rPr>
        <w:t>nitrogen excretion</w:t>
      </w:r>
      <w:r w:rsidRPr="00D9348B">
        <w:rPr>
          <w:rFonts w:cs="Calibri"/>
          <w:spacing w:val="-2"/>
        </w:rPr>
        <w:t xml:space="preserve"> rat</w:t>
      </w:r>
      <w:r w:rsidRPr="00B8784F">
        <w:rPr>
          <w:rFonts w:cs="Calibri"/>
          <w:spacing w:val="-2"/>
        </w:rPr>
        <w:t>es are derived for each livestock category, see the technical detail provided in the inventory methodology document on the MPI website</w:t>
      </w:r>
      <w:r w:rsidRPr="00B8784F">
        <w:rPr>
          <w:rFonts w:cs="Calibri"/>
        </w:rPr>
        <w:t xml:space="preserve"> (</w:t>
      </w:r>
      <w:hyperlink r:id="rId11" w:history="1">
        <w:r w:rsidRPr="00730ADE">
          <w:rPr>
            <w:rStyle w:val="Hyperlink"/>
          </w:rPr>
          <w:t>www.mpi.govt.nz/ dmsdocument/13906-Detailed-methodologies-for-agricultural-greenhouse-gas-emission-calculation</w:t>
        </w:r>
      </w:hyperlink>
      <w:r w:rsidRPr="00B8784F">
        <w:t>).</w:t>
      </w:r>
    </w:p>
  </w:footnote>
  <w:footnote w:id="56">
    <w:p w14:paraId="20BFD3F2" w14:textId="77777777" w:rsidR="00994F64" w:rsidRPr="005A386A" w:rsidRDefault="00994F64" w:rsidP="00994F64">
      <w:pPr>
        <w:pStyle w:val="FootnoteText"/>
        <w:rPr>
          <w:szCs w:val="19"/>
        </w:rPr>
      </w:pPr>
      <w:r w:rsidRPr="005A386A">
        <w:rPr>
          <w:rStyle w:val="FootnoteReference"/>
        </w:rPr>
        <w:footnoteRef/>
      </w:r>
      <w:r w:rsidRPr="005A386A">
        <w:t xml:space="preserve"> </w:t>
      </w:r>
      <w:r w:rsidRPr="005A386A">
        <w:tab/>
        <w:t xml:space="preserve">As reported in </w:t>
      </w:r>
      <w:r w:rsidRPr="003A7597">
        <w:t xml:space="preserve">Australia’s </w:t>
      </w:r>
      <w:r w:rsidRPr="003A7597">
        <w:rPr>
          <w:i/>
          <w:iCs/>
        </w:rPr>
        <w:t>Common Reporting Format 2022</w:t>
      </w:r>
      <w:r w:rsidRPr="003A7597">
        <w:t>.</w:t>
      </w:r>
      <w:r w:rsidRPr="005A386A">
        <w:t xml:space="preserve"> Retrieved </w:t>
      </w:r>
      <w:r w:rsidRPr="0049145B">
        <w:t xml:space="preserve">from </w:t>
      </w:r>
      <w:hyperlink r:id="rId12" w:history="1">
        <w:r w:rsidRPr="00E93F60">
          <w:rPr>
            <w:rStyle w:val="Hyperlink"/>
          </w:rPr>
          <w:t>unfccc.int/documents/478998</w:t>
        </w:r>
      </w:hyperlink>
      <w:r>
        <w:t xml:space="preserve"> (11 January 2023</w:t>
      </w:r>
      <w:r w:rsidRPr="00CD62EB">
        <w:t xml:space="preserve">). Note that the Australian-specific </w:t>
      </w:r>
      <w:r>
        <w:t xml:space="preserve">beef </w:t>
      </w:r>
      <w:r w:rsidRPr="005A386A">
        <w:t xml:space="preserve">cattle IEF value is calculated from a population-based weighted average of pasture and feedlot IEF values from </w:t>
      </w:r>
      <w:r>
        <w:t>beef</w:t>
      </w:r>
      <w:r w:rsidRPr="005A386A">
        <w:t xml:space="preserve"> cattle.</w:t>
      </w:r>
    </w:p>
  </w:footnote>
  <w:footnote w:id="57">
    <w:p w14:paraId="7A32B311" w14:textId="77777777" w:rsidR="00994F64" w:rsidRPr="008036DC" w:rsidRDefault="00994F64" w:rsidP="00994F64">
      <w:pPr>
        <w:pStyle w:val="FootnoteText"/>
      </w:pPr>
      <w:r>
        <w:rPr>
          <w:rStyle w:val="FootnoteReference"/>
        </w:rPr>
        <w:footnoteRef/>
      </w:r>
      <w:r>
        <w:t xml:space="preserve"> </w:t>
      </w:r>
      <w:r>
        <w:tab/>
        <w:t>Flatland is classified as flat pastoral land or plains with a gradient lower than 12 degrees (i.e., equivalent to low slopes).</w:t>
      </w:r>
    </w:p>
  </w:footnote>
  <w:footnote w:id="58">
    <w:p w14:paraId="060C904F" w14:textId="77777777" w:rsidR="00994F64" w:rsidRPr="0040348A" w:rsidRDefault="00994F64" w:rsidP="00994F64">
      <w:pPr>
        <w:pStyle w:val="FootnoteText"/>
        <w:spacing w:after="40"/>
      </w:pPr>
      <w:r>
        <w:rPr>
          <w:rStyle w:val="FootnoteReference"/>
        </w:rPr>
        <w:footnoteRef/>
      </w:r>
      <w:r>
        <w:t xml:space="preserve"> </w:t>
      </w:r>
      <w:r>
        <w:tab/>
        <w:t>Low slopes are classified as hill country pastoral land with a gradient lower than 12 degrees.</w:t>
      </w:r>
    </w:p>
  </w:footnote>
  <w:footnote w:id="59">
    <w:p w14:paraId="2B08E75D" w14:textId="77777777" w:rsidR="00994F64" w:rsidRPr="0040348A" w:rsidRDefault="00994F64" w:rsidP="00994F64">
      <w:pPr>
        <w:pStyle w:val="FootnoteText"/>
        <w:spacing w:after="40"/>
      </w:pPr>
      <w:r>
        <w:rPr>
          <w:rStyle w:val="FootnoteReference"/>
        </w:rPr>
        <w:footnoteRef/>
      </w:r>
      <w:r>
        <w:t xml:space="preserve"> </w:t>
      </w:r>
      <w:r>
        <w:tab/>
        <w:t>Medium slopes are classified as hill country pastoral land with a gradient between 12 degrees</w:t>
      </w:r>
      <w:r>
        <w:rPr>
          <w:vertAlign w:val="superscript"/>
        </w:rPr>
        <w:t xml:space="preserve"> </w:t>
      </w:r>
      <w:r>
        <w:t>and 24 degrees.</w:t>
      </w:r>
    </w:p>
  </w:footnote>
  <w:footnote w:id="60">
    <w:p w14:paraId="0FA0AB43" w14:textId="77777777" w:rsidR="00994F64" w:rsidRPr="0040348A" w:rsidRDefault="00994F64" w:rsidP="00994F64">
      <w:pPr>
        <w:pStyle w:val="FootnoteText"/>
        <w:spacing w:after="40"/>
      </w:pPr>
      <w:r>
        <w:rPr>
          <w:rStyle w:val="FootnoteReference"/>
        </w:rPr>
        <w:footnoteRef/>
      </w:r>
      <w:r>
        <w:t xml:space="preserve"> </w:t>
      </w:r>
      <w:r>
        <w:tab/>
        <w:t>Steep slopes are classified as hill country pastoral land with a gradient greater than 24</w:t>
      </w:r>
      <w:r>
        <w:rPr>
          <w:vertAlign w:val="superscript"/>
        </w:rPr>
        <w:t xml:space="preserve"> </w:t>
      </w:r>
      <w:r>
        <w:t>degrees.</w:t>
      </w:r>
    </w:p>
  </w:footnote>
  <w:footnote w:id="61">
    <w:p w14:paraId="21D6DFF7" w14:textId="77777777" w:rsidR="00994F64" w:rsidRPr="005A386A" w:rsidRDefault="00994F64" w:rsidP="00994F64">
      <w:pPr>
        <w:pStyle w:val="FootnoteText"/>
        <w:spacing w:after="40"/>
      </w:pPr>
      <w:r w:rsidRPr="005A386A">
        <w:rPr>
          <w:rStyle w:val="FootnoteReference"/>
        </w:rPr>
        <w:footnoteRef/>
      </w:r>
      <w:r w:rsidRPr="005A386A">
        <w:t xml:space="preserve"> </w:t>
      </w:r>
      <w:r w:rsidRPr="005A386A">
        <w:tab/>
        <w:t>Activity data on urease inhibitor usage before 2016 w</w:t>
      </w:r>
      <w:r>
        <w:t>ere</w:t>
      </w:r>
      <w:r w:rsidRPr="005A386A">
        <w:t xml:space="preserve"> provided by Ballance Agri-Nutrients Limited. </w:t>
      </w:r>
    </w:p>
  </w:footnote>
  <w:footnote w:id="62">
    <w:p w14:paraId="417EFCA0" w14:textId="77777777" w:rsidR="0010265C" w:rsidRDefault="0010265C" w:rsidP="0010265C">
      <w:pPr>
        <w:pStyle w:val="FootnoteText"/>
      </w:pPr>
      <w:r>
        <w:rPr>
          <w:rStyle w:val="FootnoteReference"/>
        </w:rPr>
        <w:footnoteRef/>
      </w:r>
      <w:r>
        <w:t xml:space="preserve"> </w:t>
      </w:r>
      <w:r>
        <w:tab/>
        <w:t xml:space="preserve">Total destocking is derived from Ministry for Primary Industries roundwood volumes. The estimate for 2020 remains unchanged from the estimate used in the 2022 submission. </w:t>
      </w:r>
    </w:p>
  </w:footnote>
  <w:footnote w:id="63">
    <w:p w14:paraId="3FAE6FB3" w14:textId="77777777" w:rsidR="0010265C" w:rsidRPr="006D46F1" w:rsidRDefault="0010265C" w:rsidP="0010265C">
      <w:pPr>
        <w:pStyle w:val="FootnoteText"/>
        <w:rPr>
          <w:rFonts w:cs="Calibri"/>
        </w:rPr>
      </w:pPr>
      <w:r w:rsidRPr="009C1148">
        <w:rPr>
          <w:rStyle w:val="FootnoteReference"/>
        </w:rPr>
        <w:footnoteRef/>
      </w:r>
      <w:r w:rsidRPr="006D46F1">
        <w:rPr>
          <w:rFonts w:cs="Calibri"/>
        </w:rPr>
        <w:tab/>
        <w:t>An exception occurred in the creation of the Clyde Dam. The Clutha River in the South Island was dammed, creating Lake Dunstan. The area flooded was mostly low producing grassland.</w:t>
      </w:r>
    </w:p>
  </w:footnote>
  <w:footnote w:id="64">
    <w:p w14:paraId="21FFFD3F" w14:textId="342708D7" w:rsidR="0010265C" w:rsidRDefault="0010265C" w:rsidP="0010265C">
      <w:pPr>
        <w:pStyle w:val="FootnoteText"/>
      </w:pPr>
      <w:r>
        <w:rPr>
          <w:rStyle w:val="FootnoteReference"/>
        </w:rPr>
        <w:footnoteRef/>
      </w:r>
      <w:r>
        <w:t xml:space="preserve"> </w:t>
      </w:r>
      <w:r>
        <w:tab/>
        <w:t xml:space="preserve">New Zealand has elected not to apply the 2013 </w:t>
      </w:r>
      <w:r w:rsidRPr="00EC2F52">
        <w:rPr>
          <w:i/>
        </w:rPr>
        <w:t>Wetlands</w:t>
      </w:r>
      <w:r>
        <w:t xml:space="preserve"> supplement. This decision will be revised at</w:t>
      </w:r>
      <w:r w:rsidR="00CB3498">
        <w:t> </w:t>
      </w:r>
      <w:r>
        <w:t>a</w:t>
      </w:r>
      <w:r w:rsidR="00CB3498">
        <w:t> </w:t>
      </w:r>
      <w:r>
        <w:t>later date.</w:t>
      </w:r>
    </w:p>
  </w:footnote>
  <w:footnote w:id="65">
    <w:p w14:paraId="48DA342B" w14:textId="77777777" w:rsidR="00422EFE" w:rsidRDefault="00422EFE" w:rsidP="00422EFE">
      <w:pPr>
        <w:pStyle w:val="FootnoteText"/>
      </w:pPr>
      <w:r>
        <w:rPr>
          <w:rStyle w:val="FootnoteReference"/>
        </w:rPr>
        <w:footnoteRef/>
      </w:r>
      <w:r>
        <w:t xml:space="preserve"> </w:t>
      </w:r>
      <w:r>
        <w:tab/>
        <w:t>This chapter uses classifications according to the United Nations Framework Convention on Climate Change (UNFCCC) and Intergovernmental Panel on Climate Change (IPCC) reporting guidelines. The sites categorised as ‘unmanaged’ may actually be managed by requirements such as council consent conditions; however, they do not meet the definition of a managed landfill under the greenhouse gas inventory (IPCC, 2006a).</w:t>
      </w:r>
    </w:p>
  </w:footnote>
  <w:footnote w:id="66">
    <w:p w14:paraId="761023FE" w14:textId="77777777" w:rsidR="00422EFE" w:rsidRDefault="00422EFE" w:rsidP="00422EFE">
      <w:pPr>
        <w:pStyle w:val="FootnoteText"/>
      </w:pPr>
      <w:r>
        <w:rPr>
          <w:rStyle w:val="FootnoteReference"/>
        </w:rPr>
        <w:footnoteRef/>
      </w:r>
      <w:r>
        <w:t xml:space="preserve"> </w:t>
      </w:r>
      <w:r>
        <w:tab/>
        <w:t xml:space="preserve">See New Zealand’s first emissions reduction plan at </w:t>
      </w:r>
      <w:hyperlink r:id="rId13">
        <w:r>
          <w:rPr>
            <w:rStyle w:val="Hyperlink"/>
          </w:rPr>
          <w:t>environment.govt.nz/publications/aotearoa-new-zealands-first-emissions-reduction-plan</w:t>
        </w:r>
      </w:hyperlink>
      <w:r>
        <w:rPr>
          <w:rStyle w:val="Hyperlink"/>
        </w:rPr>
        <w:t>.</w:t>
      </w:r>
    </w:p>
  </w:footnote>
  <w:footnote w:id="67">
    <w:p w14:paraId="6441C753" w14:textId="77777777" w:rsidR="00422EFE" w:rsidRDefault="00422EFE" w:rsidP="002D3152">
      <w:pPr>
        <w:pStyle w:val="FootnoteText"/>
        <w:spacing w:after="40"/>
      </w:pPr>
      <w:r>
        <w:rPr>
          <w:rStyle w:val="FootnoteReference"/>
        </w:rPr>
        <w:footnoteRef/>
      </w:r>
      <w:r>
        <w:t xml:space="preserve"> </w:t>
      </w:r>
      <w:r>
        <w:tab/>
        <w:t>The term ‘industrial and commercial’ is used in a general sense in this report, which is different from how these terms are used in a domestic policy setting.</w:t>
      </w:r>
    </w:p>
  </w:footnote>
  <w:footnote w:id="68">
    <w:p w14:paraId="4A88A553" w14:textId="124045A6" w:rsidR="00422EFE" w:rsidRPr="0029621D" w:rsidRDefault="00422EFE" w:rsidP="00422EFE">
      <w:pPr>
        <w:pStyle w:val="FootnoteText"/>
      </w:pPr>
      <w:r>
        <w:rPr>
          <w:rStyle w:val="FootnoteReference"/>
        </w:rPr>
        <w:footnoteRef/>
      </w:r>
      <w:r>
        <w:t xml:space="preserve"> </w:t>
      </w:r>
      <w:r>
        <w:tab/>
        <w:t xml:space="preserve">More information can be found about the new waste strategy and other developments at </w:t>
      </w:r>
      <w:hyperlink r:id="rId14" w:history="1">
        <w:r w:rsidR="0020000C">
          <w:rPr>
            <w:rStyle w:val="Hyperlink"/>
          </w:rPr>
          <w:t>environment.govt.nz/what-government-is-doing/areas-of-work/waste/waste-legislation-review</w:t>
        </w:r>
      </w:hyperlink>
      <w:r w:rsidR="001A3754">
        <w:t>.</w:t>
      </w:r>
    </w:p>
  </w:footnote>
  <w:footnote w:id="69">
    <w:p w14:paraId="402000FF" w14:textId="77777777" w:rsidR="001B6E40" w:rsidRPr="005A386A" w:rsidRDefault="001B6E40" w:rsidP="001B6E40">
      <w:pPr>
        <w:pStyle w:val="FootnoteText"/>
        <w:spacing w:after="0"/>
      </w:pPr>
      <w:r w:rsidRPr="005A386A">
        <w:rPr>
          <w:rStyle w:val="FootnoteReference"/>
        </w:rPr>
        <w:footnoteRef/>
      </w:r>
      <w:r w:rsidRPr="005A386A">
        <w:t xml:space="preserve"> </w:t>
      </w:r>
      <w:r w:rsidRPr="005A386A">
        <w:tab/>
      </w:r>
      <w:r w:rsidRPr="005A386A">
        <w:rPr>
          <w:shd w:val="clear" w:color="auto" w:fill="FFFFFF"/>
        </w:rPr>
        <w:t>In the United Nations Charter (U</w:t>
      </w:r>
      <w:r>
        <w:rPr>
          <w:shd w:val="clear" w:color="auto" w:fill="FFFFFF"/>
        </w:rPr>
        <w:t xml:space="preserve">nited </w:t>
      </w:r>
      <w:r w:rsidRPr="005A386A">
        <w:rPr>
          <w:shd w:val="clear" w:color="auto" w:fill="FFFFFF"/>
        </w:rPr>
        <w:t>N</w:t>
      </w:r>
      <w:r>
        <w:rPr>
          <w:shd w:val="clear" w:color="auto" w:fill="FFFFFF"/>
        </w:rPr>
        <w:t>ations</w:t>
      </w:r>
      <w:r w:rsidRPr="005A386A">
        <w:rPr>
          <w:shd w:val="clear" w:color="auto" w:fill="FFFFFF"/>
        </w:rPr>
        <w:t>, 1945), a non-self-governing territory is defined as a territory “whose people have not yet attained a full measure of self-government”. Tokelau has been on</w:t>
      </w:r>
      <w:r>
        <w:rPr>
          <w:shd w:val="clear" w:color="auto" w:fill="FFFFFF"/>
        </w:rPr>
        <w:t> </w:t>
      </w:r>
      <w:r w:rsidRPr="005A386A">
        <w:rPr>
          <w:shd w:val="clear" w:color="auto" w:fill="FFFFFF"/>
        </w:rPr>
        <w:t xml:space="preserve">the United Nations list of non-self-governing territories since 1946, following the declaration of the intention by New Zealand to </w:t>
      </w:r>
      <w:r w:rsidRPr="0010616B">
        <w:rPr>
          <w:shd w:val="clear" w:color="auto" w:fill="FFFFFF"/>
        </w:rPr>
        <w:t>transmit information on the Tokelau Islands under Article 73e of the United</w:t>
      </w:r>
      <w:r>
        <w:rPr>
          <w:shd w:val="clear" w:color="auto" w:fill="FFFFFF"/>
        </w:rPr>
        <w:t> </w:t>
      </w:r>
      <w:r w:rsidRPr="0010616B">
        <w:rPr>
          <w:shd w:val="clear" w:color="auto" w:fill="FFFFFF"/>
        </w:rPr>
        <w:t>Nations Charter</w:t>
      </w:r>
      <w:r w:rsidRPr="005A386A">
        <w:rPr>
          <w:shd w:val="clear" w:color="auto" w:fill="FFFFFF"/>
        </w:rPr>
        <w:t>.</w:t>
      </w:r>
    </w:p>
  </w:footnote>
  <w:footnote w:id="70">
    <w:p w14:paraId="26D3017E" w14:textId="77777777" w:rsidR="001B6E40" w:rsidRDefault="001B6E40" w:rsidP="001B6E40">
      <w:pPr>
        <w:pStyle w:val="FootnoteText"/>
      </w:pPr>
      <w:r>
        <w:rPr>
          <w:rStyle w:val="FootnoteReference"/>
        </w:rPr>
        <w:footnoteRef/>
      </w:r>
      <w:r>
        <w:t xml:space="preserve"> </w:t>
      </w:r>
      <w:r>
        <w:tab/>
      </w:r>
      <w:r w:rsidRPr="00E12BE0">
        <w:rPr>
          <w:rFonts w:cs="Calibri"/>
          <w:color w:val="202124"/>
          <w:shd w:val="clear" w:color="auto" w:fill="FFFFFF"/>
        </w:rPr>
        <w:t>A ‘de jure’ census tallies people according to their regular or legal residence.</w:t>
      </w:r>
    </w:p>
  </w:footnote>
  <w:footnote w:id="71">
    <w:p w14:paraId="07ED03DC" w14:textId="77777777" w:rsidR="001B6E40" w:rsidRPr="005A386A" w:rsidRDefault="001B6E40" w:rsidP="001B6E40">
      <w:pPr>
        <w:pStyle w:val="FootnoteText"/>
      </w:pPr>
      <w:r w:rsidRPr="005A386A">
        <w:rPr>
          <w:rStyle w:val="FootnoteReference"/>
        </w:rPr>
        <w:footnoteRef/>
      </w:r>
      <w:r w:rsidRPr="005A386A">
        <w:t xml:space="preserve"> </w:t>
      </w:r>
      <w:r w:rsidRPr="005A386A">
        <w:tab/>
        <w:t xml:space="preserve">See </w:t>
      </w:r>
      <w:r w:rsidRPr="00005EB6">
        <w:t>page 46 on</w:t>
      </w:r>
      <w:r w:rsidRPr="00005EB6">
        <w:rPr>
          <w:rStyle w:val="Hyperlink"/>
        </w:rPr>
        <w:t xml:space="preserve"> </w:t>
      </w:r>
      <w:hyperlink r:id="rId15" w:history="1">
        <w:r w:rsidRPr="00CF2812">
          <w:rPr>
            <w:rStyle w:val="Hyperlink"/>
          </w:rPr>
          <w:t>www.mfat.govt.nz/assets/Aid-Prog-docs/Evaluations/2015/Dec-2015/MFAT-Tokelau-Country-Programme-Eval-Final-v5-09122015.pdf</w:t>
        </w:r>
      </w:hyperlink>
      <w:r>
        <w:rPr>
          <w:rStyle w:val="Hyperlink"/>
        </w:rPr>
        <w:t>.</w:t>
      </w:r>
      <w:r>
        <w:t xml:space="preserve"> </w:t>
      </w:r>
    </w:p>
  </w:footnote>
  <w:footnote w:id="72">
    <w:p w14:paraId="2AB9D488" w14:textId="77777777" w:rsidR="001B6E40" w:rsidRPr="005A386A" w:rsidRDefault="001B6E40" w:rsidP="001B6E40">
      <w:pPr>
        <w:pStyle w:val="FootnoteText"/>
        <w:spacing w:after="0"/>
        <w:rPr>
          <w:szCs w:val="19"/>
        </w:rPr>
      </w:pPr>
      <w:r w:rsidRPr="005A386A">
        <w:rPr>
          <w:rStyle w:val="FootnoteReference"/>
          <w:szCs w:val="19"/>
        </w:rPr>
        <w:footnoteRef/>
      </w:r>
      <w:r w:rsidRPr="005A386A">
        <w:rPr>
          <w:szCs w:val="19"/>
        </w:rPr>
        <w:t xml:space="preserve"> </w:t>
      </w:r>
      <w:r w:rsidRPr="005A386A">
        <w:rPr>
          <w:szCs w:val="19"/>
        </w:rPr>
        <w:tab/>
        <w:t>A keyhole garden is a small (</w:t>
      </w:r>
      <w:r>
        <w:rPr>
          <w:szCs w:val="19"/>
        </w:rPr>
        <w:t xml:space="preserve">around </w:t>
      </w:r>
      <w:r w:rsidRPr="005A386A">
        <w:rPr>
          <w:szCs w:val="19"/>
        </w:rPr>
        <w:t xml:space="preserve">2.5 metre diameter) circular raised garden with a keyhole-shaped indentation on one side. </w:t>
      </w:r>
      <w:r>
        <w:rPr>
          <w:szCs w:val="19"/>
        </w:rPr>
        <w:t>M</w:t>
      </w:r>
      <w:r w:rsidRPr="005A386A">
        <w:rPr>
          <w:szCs w:val="19"/>
        </w:rPr>
        <w:t xml:space="preserve">oisture and nutrients </w:t>
      </w:r>
      <w:r>
        <w:rPr>
          <w:szCs w:val="19"/>
        </w:rPr>
        <w:t>flow from</w:t>
      </w:r>
      <w:r w:rsidRPr="005A386A">
        <w:rPr>
          <w:szCs w:val="19"/>
        </w:rPr>
        <w:t xml:space="preserve"> an active compost pile placed in the centre of a round </w:t>
      </w:r>
      <w:r>
        <w:rPr>
          <w:szCs w:val="19"/>
        </w:rPr>
        <w:t xml:space="preserve">plant </w:t>
      </w:r>
      <w:r w:rsidRPr="005A386A">
        <w:rPr>
          <w:szCs w:val="19"/>
        </w:rPr>
        <w:t xml:space="preserve">bed. </w:t>
      </w:r>
    </w:p>
  </w:footnote>
  <w:footnote w:id="73">
    <w:p w14:paraId="361B356E" w14:textId="77777777" w:rsidR="001B6E40" w:rsidRPr="00D47E3B" w:rsidRDefault="001B6E40" w:rsidP="001B6E40">
      <w:pPr>
        <w:pStyle w:val="FootnoteText"/>
        <w:spacing w:after="0"/>
      </w:pPr>
      <w:r w:rsidRPr="005A386A">
        <w:rPr>
          <w:rStyle w:val="FootnoteReference"/>
          <w:szCs w:val="19"/>
        </w:rPr>
        <w:footnoteRef/>
      </w:r>
      <w:r w:rsidRPr="005A386A">
        <w:t xml:space="preserve"> </w:t>
      </w:r>
      <w:r w:rsidRPr="005A386A">
        <w:tab/>
        <w:t xml:space="preserve">See </w:t>
      </w:r>
      <w:r w:rsidRPr="00D027B4">
        <w:t>Government</w:t>
      </w:r>
      <w:r w:rsidRPr="005A386A">
        <w:t xml:space="preserve"> of Tokelau. 2017. </w:t>
      </w:r>
      <w:r w:rsidRPr="005A386A">
        <w:rPr>
          <w:i/>
        </w:rPr>
        <w:t>Solid Waste Management: MOU Signed between Tokelau EDNRE and</w:t>
      </w:r>
      <w:r>
        <w:rPr>
          <w:i/>
        </w:rPr>
        <w:t> </w:t>
      </w:r>
      <w:r w:rsidRPr="005A386A">
        <w:rPr>
          <w:i/>
        </w:rPr>
        <w:t>Pacific Recycle Co. Ltd</w:t>
      </w:r>
      <w:r w:rsidRPr="005A386A">
        <w:t xml:space="preserve">. Retrieved from </w:t>
      </w:r>
      <w:hyperlink r:id="rId16" w:history="1">
        <w:r w:rsidRPr="00E76A20">
          <w:rPr>
            <w:rStyle w:val="Hyperlink"/>
          </w:rPr>
          <w:t>www.tokelau.org.nz/Bulletin/December+ 2017/Solid+Waste+ Management+MOU+Signed+between+Tokelau+EDNRE+and+Pacific++Recycle+Co.+Ltd.html</w:t>
        </w:r>
      </w:hyperlink>
      <w:r w:rsidRPr="00902485">
        <w:rPr>
          <w:rStyle w:val="Hyperlink"/>
          <w:szCs w:val="19"/>
        </w:rPr>
        <w:t xml:space="preserve"> </w:t>
      </w:r>
      <w:r w:rsidRPr="00902485">
        <w:rPr>
          <w:rStyle w:val="Hyperlink"/>
          <w:szCs w:val="19"/>
        </w:rPr>
        <w:br/>
      </w:r>
      <w:r w:rsidRPr="007B3437">
        <w:rPr>
          <w:rStyle w:val="Hyperlink"/>
          <w:color w:val="auto"/>
          <w:szCs w:val="19"/>
        </w:rPr>
        <w:t>(9 March 2018).</w:t>
      </w:r>
    </w:p>
  </w:footnote>
  <w:footnote w:id="74">
    <w:p w14:paraId="7D53D4DB" w14:textId="77777777" w:rsidR="00D140F7" w:rsidRDefault="00D140F7" w:rsidP="00D140F7">
      <w:pPr>
        <w:pStyle w:val="FootnoteText"/>
      </w:pPr>
      <w:r>
        <w:rPr>
          <w:rStyle w:val="FootnoteReference"/>
        </w:rPr>
        <w:footnoteRef/>
      </w:r>
      <w:r>
        <w:t xml:space="preserve"> </w:t>
      </w:r>
      <w:r>
        <w:tab/>
      </w:r>
      <w:hyperlink r:id="rId17" w:history="1">
        <w:r>
          <w:rPr>
            <w:rStyle w:val="Hyperlink"/>
          </w:rPr>
          <w:t>www.agresearch.co.nz</w:t>
        </w:r>
      </w:hyperlink>
    </w:p>
  </w:footnote>
  <w:footnote w:id="75">
    <w:p w14:paraId="29BCC602" w14:textId="65590CFB" w:rsidR="006D123E" w:rsidRDefault="006D123E" w:rsidP="006D123E">
      <w:pPr>
        <w:pStyle w:val="FootnoteText"/>
      </w:pPr>
      <w:r>
        <w:rPr>
          <w:rStyle w:val="FootnoteReference"/>
        </w:rPr>
        <w:footnoteRef/>
      </w:r>
      <w:r>
        <w:t xml:space="preserve"> </w:t>
      </w:r>
      <w:r>
        <w:tab/>
      </w:r>
      <w:r w:rsidRPr="00F7791F">
        <w:rPr>
          <w:i/>
          <w:iCs/>
        </w:rPr>
        <w:t>Submission under the Paris Agreement New Zealand’s first Nationally Determined Contribution: Updated 4</w:t>
      </w:r>
      <w:r>
        <w:rPr>
          <w:i/>
          <w:iCs/>
        </w:rPr>
        <w:t> </w:t>
      </w:r>
      <w:r w:rsidRPr="00F7791F">
        <w:rPr>
          <w:i/>
          <w:iCs/>
        </w:rPr>
        <w:t>November 2021</w:t>
      </w:r>
      <w:r>
        <w:t xml:space="preserve">. </w:t>
      </w:r>
      <w:r>
        <w:cr/>
      </w:r>
      <w:hyperlink r:id="rId18" w:history="1">
        <w:r w:rsidR="00FB2878">
          <w:rPr>
            <w:rStyle w:val="Hyperlink"/>
          </w:rPr>
          <w:t>unfccc.int/sites/default/files/NDC/2022-06/New%20Zealand%20NDC%20November%202021.pdf</w:t>
        </w:r>
      </w:hyperlink>
      <w:r>
        <w:t>.</w:t>
      </w:r>
    </w:p>
  </w:footnote>
  <w:footnote w:id="76">
    <w:p w14:paraId="4A04FE63" w14:textId="77777777" w:rsidR="006D123E" w:rsidRDefault="006D123E" w:rsidP="006D123E">
      <w:pPr>
        <w:pStyle w:val="FootnoteText"/>
      </w:pPr>
      <w:r>
        <w:rPr>
          <w:rStyle w:val="FootnoteReference"/>
        </w:rPr>
        <w:footnoteRef/>
      </w:r>
      <w:r>
        <w:t xml:space="preserve"> </w:t>
      </w:r>
      <w:r>
        <w:tab/>
        <w:t xml:space="preserve">The first </w:t>
      </w:r>
      <w:r w:rsidRPr="00A470A7">
        <w:t>communication</w:t>
      </w:r>
      <w:r>
        <w:t xml:space="preserve"> being the submission of the first biennial transparency report and national inventory report, as required under the Paris Agreement, at the latest by 31 December 2024.</w:t>
      </w:r>
    </w:p>
  </w:footnote>
  <w:footnote w:id="77">
    <w:p w14:paraId="3C9FF6A1" w14:textId="77777777" w:rsidR="006D123E" w:rsidRPr="005A386A" w:rsidRDefault="006D123E" w:rsidP="006D123E">
      <w:pPr>
        <w:pStyle w:val="FootnoteText"/>
        <w:spacing w:after="0"/>
      </w:pPr>
      <w:r w:rsidRPr="005A386A">
        <w:rPr>
          <w:rStyle w:val="FootnoteReference"/>
        </w:rPr>
        <w:footnoteRef/>
      </w:r>
      <w:r w:rsidRPr="005A386A">
        <w:tab/>
        <w:t>Including emissions from harvesting of post-1989 forest.</w:t>
      </w:r>
    </w:p>
  </w:footnote>
  <w:footnote w:id="78">
    <w:p w14:paraId="382F59AC" w14:textId="016675EF" w:rsidR="00AD180B" w:rsidRPr="00172B57" w:rsidRDefault="00AD180B" w:rsidP="00657E38">
      <w:pPr>
        <w:pStyle w:val="FootnoteText"/>
      </w:pPr>
      <w:r w:rsidRPr="00172B57">
        <w:rPr>
          <w:rStyle w:val="FootnoteReference"/>
          <w:sz w:val="18"/>
          <w:szCs w:val="18"/>
        </w:rPr>
        <w:footnoteRef/>
      </w:r>
      <w:r w:rsidRPr="00172B57">
        <w:t xml:space="preserve"> </w:t>
      </w:r>
      <w:r w:rsidR="00657E38">
        <w:tab/>
      </w:r>
      <w:r w:rsidRPr="00172B57">
        <w:t xml:space="preserve">In December 2017, New Zealand delivered </w:t>
      </w:r>
      <w:r>
        <w:t>the</w:t>
      </w:r>
      <w:r w:rsidRPr="00172B57">
        <w:t xml:space="preserve"> Joint Ministerial Statement to the World Trade Organization (WTO), encouraging Members to address the global harm being caused by inefficient fossil</w:t>
      </w:r>
      <w:r w:rsidR="008E3E90">
        <w:t> </w:t>
      </w:r>
      <w:r w:rsidRPr="00172B57">
        <w:t>fuel subsidies. Endorsed by 1</w:t>
      </w:r>
      <w:r>
        <w:t>2</w:t>
      </w:r>
      <w:r w:rsidRPr="00172B57">
        <w:t xml:space="preserve"> WTO Members, the Joint Ministerial Statement confirms the environmental, development and trade benefits of </w:t>
      </w:r>
      <w:r w:rsidRPr="00293326">
        <w:t>Fossil Fuel Subsidy Reform</w:t>
      </w:r>
      <w:r w:rsidRPr="00172B57">
        <w:t>, and includes a political commitment to look at avenues to bring the issue into the WTO.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962DF" w14:textId="77777777" w:rsidR="00F82F72" w:rsidRDefault="00F82F7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97A08" w14:textId="77777777" w:rsidR="009D6B0C" w:rsidRDefault="007E17B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689B2" w14:textId="77777777" w:rsidR="009D6B0C" w:rsidRDefault="007E17B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48828" w14:textId="62295151" w:rsidR="005660CD" w:rsidRDefault="00C651C6" w:rsidP="00B44BA5">
    <w:pPr>
      <w:pStyle w:val="Header"/>
      <w:ind w:left="-567"/>
      <w:jc w:val="left"/>
    </w:pPr>
    <w:r>
      <w:rPr>
        <w:noProof/>
      </w:rPr>
      <w:drawing>
        <wp:inline distT="0" distB="0" distL="0" distR="0" wp14:anchorId="78908685" wp14:editId="49627B84">
          <wp:extent cx="2407285" cy="6813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2927" t="8191" r="2281" b="7092"/>
                  <a:stretch>
                    <a:fillRect/>
                  </a:stretch>
                </pic:blipFill>
                <pic:spPr bwMode="auto">
                  <a:xfrm>
                    <a:off x="0" y="0"/>
                    <a:ext cx="2407285" cy="68135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5F106" w14:textId="77777777" w:rsidR="00F82F72" w:rsidRDefault="00F82F7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F4F73" w14:textId="77777777" w:rsidR="005660CD" w:rsidRDefault="005660C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DF635" w14:textId="77777777" w:rsidR="005660CD" w:rsidRDefault="005660C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19B07" w14:textId="77777777" w:rsidR="005660CD" w:rsidRDefault="005660C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C9330" w14:textId="77777777" w:rsidR="005660CD" w:rsidRDefault="005660C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A99F9" w14:textId="77777777" w:rsidR="005660CD" w:rsidRDefault="005660C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229B6" w14:textId="77777777" w:rsidR="009D6B0C" w:rsidRDefault="007E17B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A454B4C"/>
    <w:multiLevelType w:val="multilevel"/>
    <w:tmpl w:val="7F822B5E"/>
    <w:lvl w:ilvl="0">
      <w:numFmt w:val="bullet"/>
      <w:pStyle w:val="Keypoints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1" w15:restartNumberingAfterBreak="0">
    <w:nsid w:val="FFFFFF7C"/>
    <w:multiLevelType w:val="singleLevel"/>
    <w:tmpl w:val="CE786C8A"/>
    <w:lvl w:ilvl="0">
      <w:start w:val="1"/>
      <w:numFmt w:val="decimal"/>
      <w:pStyle w:val="ListNumber5"/>
      <w:lvlText w:val="%1."/>
      <w:lvlJc w:val="left"/>
      <w:pPr>
        <w:tabs>
          <w:tab w:val="num" w:pos="1492"/>
        </w:tabs>
        <w:ind w:left="1492" w:hanging="360"/>
      </w:pPr>
    </w:lvl>
  </w:abstractNum>
  <w:abstractNum w:abstractNumId="2" w15:restartNumberingAfterBreak="0">
    <w:nsid w:val="FFFFFF7D"/>
    <w:multiLevelType w:val="singleLevel"/>
    <w:tmpl w:val="1D6AC9AC"/>
    <w:lvl w:ilvl="0">
      <w:start w:val="1"/>
      <w:numFmt w:val="decimal"/>
      <w:pStyle w:val="ListNumber4"/>
      <w:lvlText w:val="%1."/>
      <w:lvlJc w:val="left"/>
      <w:pPr>
        <w:tabs>
          <w:tab w:val="num" w:pos="1209"/>
        </w:tabs>
        <w:ind w:left="1209" w:hanging="360"/>
      </w:pPr>
    </w:lvl>
  </w:abstractNum>
  <w:abstractNum w:abstractNumId="3" w15:restartNumberingAfterBreak="0">
    <w:nsid w:val="FFFFFF80"/>
    <w:multiLevelType w:val="singleLevel"/>
    <w:tmpl w:val="548CEFF2"/>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E3000008"/>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132E234E"/>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3F6446A0"/>
    <w:lvl w:ilvl="0">
      <w:start w:val="1"/>
      <w:numFmt w:val="bullet"/>
      <w:pStyle w:val="ListBullet2"/>
      <w:lvlText w:val=""/>
      <w:lvlJc w:val="left"/>
      <w:pPr>
        <w:tabs>
          <w:tab w:val="num" w:pos="643"/>
        </w:tabs>
        <w:ind w:left="643" w:hanging="360"/>
      </w:pPr>
      <w:rPr>
        <w:rFonts w:ascii="Symbol" w:hAnsi="Symbol" w:hint="default"/>
      </w:rPr>
    </w:lvl>
  </w:abstractNum>
  <w:abstractNum w:abstractNumId="7" w15:restartNumberingAfterBreak="0">
    <w:nsid w:val="FFFFFF89"/>
    <w:multiLevelType w:val="singleLevel"/>
    <w:tmpl w:val="FD86B90A"/>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0B25EF1"/>
    <w:multiLevelType w:val="hybridMultilevel"/>
    <w:tmpl w:val="D396E14C"/>
    <w:lvl w:ilvl="0" w:tplc="AC76D722">
      <w:start w:val="1"/>
      <w:numFmt w:val="bullet"/>
      <w:lvlText w:val=""/>
      <w:lvlJc w:val="left"/>
      <w:pPr>
        <w:ind w:left="360" w:hanging="360"/>
      </w:pPr>
      <w:rPr>
        <w:rFonts w:ascii="Symbol" w:hAnsi="Symbol" w:hint="default"/>
        <w:sz w:val="18"/>
        <w:szCs w:val="18"/>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9" w15:restartNumberingAfterBreak="0">
    <w:nsid w:val="00DF0CF8"/>
    <w:multiLevelType w:val="hybridMultilevel"/>
    <w:tmpl w:val="92009722"/>
    <w:lvl w:ilvl="0" w:tplc="5C102F28">
      <w:start w:val="1"/>
      <w:numFmt w:val="bullet"/>
      <w:lvlText w:val=""/>
      <w:lvlJc w:val="left"/>
      <w:pPr>
        <w:ind w:left="360" w:hanging="360"/>
      </w:pPr>
      <w:rPr>
        <w:rFonts w:ascii="Symbol" w:hAnsi="Symbol" w:hint="default"/>
      </w:rPr>
    </w:lvl>
    <w:lvl w:ilvl="1" w:tplc="6CA42A92">
      <w:start w:val="1"/>
      <w:numFmt w:val="bullet"/>
      <w:lvlText w:val="o"/>
      <w:lvlJc w:val="left"/>
      <w:pPr>
        <w:ind w:left="1080" w:hanging="360"/>
      </w:pPr>
      <w:rPr>
        <w:rFonts w:ascii="Courier New" w:hAnsi="Courier New" w:hint="default"/>
      </w:rPr>
    </w:lvl>
    <w:lvl w:ilvl="2" w:tplc="6BCAB41E">
      <w:start w:val="1"/>
      <w:numFmt w:val="bullet"/>
      <w:lvlText w:val=""/>
      <w:lvlJc w:val="left"/>
      <w:pPr>
        <w:ind w:left="1800" w:hanging="360"/>
      </w:pPr>
      <w:rPr>
        <w:rFonts w:ascii="Wingdings" w:hAnsi="Wingdings" w:hint="default"/>
      </w:rPr>
    </w:lvl>
    <w:lvl w:ilvl="3" w:tplc="5DB67316">
      <w:start w:val="1"/>
      <w:numFmt w:val="bullet"/>
      <w:lvlText w:val=""/>
      <w:lvlJc w:val="left"/>
      <w:pPr>
        <w:ind w:left="2520" w:hanging="360"/>
      </w:pPr>
      <w:rPr>
        <w:rFonts w:ascii="Symbol" w:hAnsi="Symbol" w:hint="default"/>
      </w:rPr>
    </w:lvl>
    <w:lvl w:ilvl="4" w:tplc="6BC86522">
      <w:start w:val="1"/>
      <w:numFmt w:val="bullet"/>
      <w:lvlText w:val="o"/>
      <w:lvlJc w:val="left"/>
      <w:pPr>
        <w:ind w:left="3240" w:hanging="360"/>
      </w:pPr>
      <w:rPr>
        <w:rFonts w:ascii="Courier New" w:hAnsi="Courier New" w:hint="default"/>
      </w:rPr>
    </w:lvl>
    <w:lvl w:ilvl="5" w:tplc="4A7CE816">
      <w:start w:val="1"/>
      <w:numFmt w:val="bullet"/>
      <w:lvlText w:val=""/>
      <w:lvlJc w:val="left"/>
      <w:pPr>
        <w:ind w:left="3960" w:hanging="360"/>
      </w:pPr>
      <w:rPr>
        <w:rFonts w:ascii="Wingdings" w:hAnsi="Wingdings" w:hint="default"/>
      </w:rPr>
    </w:lvl>
    <w:lvl w:ilvl="6" w:tplc="2FF89C6C">
      <w:start w:val="1"/>
      <w:numFmt w:val="bullet"/>
      <w:lvlText w:val=""/>
      <w:lvlJc w:val="left"/>
      <w:pPr>
        <w:ind w:left="4680" w:hanging="360"/>
      </w:pPr>
      <w:rPr>
        <w:rFonts w:ascii="Symbol" w:hAnsi="Symbol" w:hint="default"/>
      </w:rPr>
    </w:lvl>
    <w:lvl w:ilvl="7" w:tplc="5ABC4510">
      <w:start w:val="1"/>
      <w:numFmt w:val="bullet"/>
      <w:lvlText w:val="o"/>
      <w:lvlJc w:val="left"/>
      <w:pPr>
        <w:ind w:left="5400" w:hanging="360"/>
      </w:pPr>
      <w:rPr>
        <w:rFonts w:ascii="Courier New" w:hAnsi="Courier New" w:hint="default"/>
      </w:rPr>
    </w:lvl>
    <w:lvl w:ilvl="8" w:tplc="0672BC8E">
      <w:start w:val="1"/>
      <w:numFmt w:val="bullet"/>
      <w:lvlText w:val=""/>
      <w:lvlJc w:val="left"/>
      <w:pPr>
        <w:ind w:left="6120" w:hanging="360"/>
      </w:pPr>
      <w:rPr>
        <w:rFonts w:ascii="Wingdings" w:hAnsi="Wingdings" w:hint="default"/>
      </w:rPr>
    </w:lvl>
  </w:abstractNum>
  <w:abstractNum w:abstractNumId="10" w15:restartNumberingAfterBreak="0">
    <w:nsid w:val="041849F3"/>
    <w:multiLevelType w:val="hybridMultilevel"/>
    <w:tmpl w:val="9234825C"/>
    <w:lvl w:ilvl="0" w:tplc="4AE8F718">
      <w:start w:val="1"/>
      <w:numFmt w:val="lowerLetter"/>
      <w:pStyle w:val="a"/>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1" w15:restartNumberingAfterBreak="0">
    <w:nsid w:val="04B67626"/>
    <w:multiLevelType w:val="hybridMultilevel"/>
    <w:tmpl w:val="9C0641FE"/>
    <w:lvl w:ilvl="0" w:tplc="2376B9E4">
      <w:start w:val="1"/>
      <w:numFmt w:val="decimal"/>
      <w:pStyle w:val="Numberedparagraph"/>
      <w:lvlText w:val="%1."/>
      <w:lvlJc w:val="left"/>
      <w:pPr>
        <w:tabs>
          <w:tab w:val="num" w:pos="397"/>
        </w:tabs>
        <w:ind w:left="397" w:hanging="397"/>
      </w:pPr>
    </w:lvl>
    <w:lvl w:ilvl="1" w:tplc="FFFFFFFF">
      <w:start w:val="1"/>
      <w:numFmt w:val="lowerLetter"/>
      <w:lvlText w:val="%2."/>
      <w:lvlJc w:val="left"/>
      <w:pPr>
        <w:tabs>
          <w:tab w:val="num" w:pos="1440"/>
        </w:tabs>
        <w:ind w:left="1440" w:hanging="360"/>
      </w:pPr>
      <w:rPr>
        <w:b/>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13" w15:restartNumberingAfterBreak="0">
    <w:nsid w:val="16305FAC"/>
    <w:multiLevelType w:val="multilevel"/>
    <w:tmpl w:val="5CD615F8"/>
    <w:styleLink w:val="Annex"/>
    <w:lvl w:ilvl="0">
      <w:start w:val="4"/>
      <w:numFmt w:val="decimal"/>
      <w:lvlText w:val="A%1"/>
      <w:lvlJc w:val="left"/>
      <w:pPr>
        <w:ind w:left="0" w:firstLine="0"/>
      </w:pPr>
      <w:rPr>
        <w:rFonts w:hint="default"/>
      </w:rPr>
    </w:lvl>
    <w:lvl w:ilvl="1">
      <w:start w:val="1"/>
      <w:numFmt w:val="decimal"/>
      <w:lvlText w:val="A%1.%2"/>
      <w:lvlJc w:val="left"/>
      <w:pPr>
        <w:ind w:left="0" w:firstLine="0"/>
      </w:pPr>
      <w:rPr>
        <w:rFonts w:hint="default"/>
      </w:rPr>
    </w:lvl>
    <w:lvl w:ilvl="2">
      <w:start w:val="1"/>
      <w:numFmt w:val="decimal"/>
      <w:lvlText w:val="A%1.%2.%3"/>
      <w:lvlJc w:val="left"/>
      <w:pPr>
        <w:ind w:left="0" w:firstLine="0"/>
      </w:pPr>
      <w:rPr>
        <w:rFonts w:hint="default"/>
      </w:rPr>
    </w:lvl>
    <w:lvl w:ilvl="3">
      <w:start w:val="1"/>
      <w:numFmt w:val="decimal"/>
      <w:lvlText w:val="A%1.%2.%3.%4"/>
      <w:lvlJc w:val="left"/>
      <w:pPr>
        <w:ind w:left="0" w:firstLine="0"/>
      </w:pPr>
      <w:rPr>
        <w:rFonts w:hint="default"/>
      </w:rPr>
    </w:lvl>
    <w:lvl w:ilvl="4">
      <w:start w:val="1"/>
      <w:numFmt w:val="decimal"/>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4" w15:restartNumberingAfterBreak="0">
    <w:nsid w:val="1FDF624F"/>
    <w:multiLevelType w:val="hybridMultilevel"/>
    <w:tmpl w:val="7E785C7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208C5CF5"/>
    <w:multiLevelType w:val="multilevel"/>
    <w:tmpl w:val="A07E8244"/>
    <w:lvl w:ilvl="0">
      <w:start w:val="1"/>
      <w:numFmt w:val="lowerLetter"/>
      <w:pStyle w:val="Sub-lista"/>
      <w:lvlText w:val="%1)"/>
      <w:lvlJc w:val="left"/>
      <w:pPr>
        <w:tabs>
          <w:tab w:val="num" w:pos="794"/>
        </w:tabs>
        <w:ind w:left="397" w:hanging="397"/>
      </w:pPr>
      <w:rPr>
        <w:rFonts w:ascii="Calibri" w:hAnsi="Calibri" w:cs="Calibri" w:hint="default"/>
        <w:b w:val="0"/>
        <w:i w:val="0"/>
        <w:sz w:val="22"/>
        <w:szCs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 w15:restartNumberingAfterBreak="0">
    <w:nsid w:val="27BD2E58"/>
    <w:multiLevelType w:val="multilevel"/>
    <w:tmpl w:val="B0DC6D48"/>
    <w:lvl w:ilvl="0">
      <w:start w:val="1"/>
      <w:numFmt w:val="bullet"/>
      <w:lvlText w:val=""/>
      <w:lvlJc w:val="left"/>
      <w:pPr>
        <w:ind w:left="397" w:hanging="397"/>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8DB0AFE"/>
    <w:multiLevelType w:val="hybridMultilevel"/>
    <w:tmpl w:val="B270F576"/>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 w15:restartNumberingAfterBreak="0">
    <w:nsid w:val="2B8B2D74"/>
    <w:multiLevelType w:val="hybridMultilevel"/>
    <w:tmpl w:val="EF1C9466"/>
    <w:lvl w:ilvl="0" w:tplc="6D362E22">
      <w:start w:val="1"/>
      <w:numFmt w:val="bullet"/>
      <w:pStyle w:val="TableBullet"/>
      <w:lvlText w:val=""/>
      <w:lvlJc w:val="left"/>
      <w:pPr>
        <w:tabs>
          <w:tab w:val="num" w:pos="284"/>
        </w:tabs>
        <w:ind w:left="284" w:hanging="284"/>
      </w:pPr>
      <w:rPr>
        <w:rFonts w:ascii="Symbol" w:hAnsi="Symbol" w:hint="default"/>
        <w:sz w:val="16"/>
        <w:szCs w:val="16"/>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D1A6BE2"/>
    <w:multiLevelType w:val="multilevel"/>
    <w:tmpl w:val="BB5A0406"/>
    <w:lvl w:ilvl="0">
      <w:start w:val="1"/>
      <w:numFmt w:val="decimal"/>
      <w:lvlText w:val="%1."/>
      <w:lvlJc w:val="left"/>
      <w:pPr>
        <w:ind w:left="397" w:hanging="397"/>
      </w:pPr>
      <w:rPr>
        <w:rFonts w:ascii="Calibri" w:hAnsi="Calibri" w:cs="Arial" w:hint="default"/>
        <w:b w:val="0"/>
        <w:i w:val="0"/>
        <w:sz w:val="22"/>
        <w:szCs w:val="22"/>
      </w:rPr>
    </w:lvl>
    <w:lvl w:ilvl="1">
      <w:start w:val="1"/>
      <w:numFmt w:val="bullet"/>
      <w:lvlText w:val=""/>
      <w:lvlJc w:val="left"/>
      <w:pPr>
        <w:ind w:left="1154" w:hanging="360"/>
      </w:pPr>
      <w:rPr>
        <w:rFonts w:ascii="Symbol" w:hAnsi="Symbol"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20" w15:restartNumberingAfterBreak="0">
    <w:nsid w:val="3B934134"/>
    <w:multiLevelType w:val="hybridMultilevel"/>
    <w:tmpl w:val="67F24C4E"/>
    <w:lvl w:ilvl="0" w:tplc="DC66E45C">
      <w:start w:val="1"/>
      <w:numFmt w:val="bullet"/>
      <w:pStyle w:val="Keypointsub-bullet"/>
      <w:lvlText w:val="‒"/>
      <w:lvlJc w:val="left"/>
      <w:pPr>
        <w:ind w:left="1400" w:hanging="360"/>
      </w:pPr>
      <w:rPr>
        <w:rFonts w:ascii="Calibri" w:hAnsi="Calibri" w:cs="Times New Roman" w:hint="default"/>
        <w:b w:val="0"/>
        <w:i w:val="0"/>
        <w:sz w:val="20"/>
      </w:rPr>
    </w:lvl>
    <w:lvl w:ilvl="1" w:tplc="14090003" w:tentative="1">
      <w:start w:val="1"/>
      <w:numFmt w:val="bullet"/>
      <w:lvlText w:val="o"/>
      <w:lvlJc w:val="left"/>
      <w:pPr>
        <w:ind w:left="2120" w:hanging="360"/>
      </w:pPr>
      <w:rPr>
        <w:rFonts w:ascii="Courier New" w:hAnsi="Courier New" w:cs="Courier New" w:hint="default"/>
      </w:rPr>
    </w:lvl>
    <w:lvl w:ilvl="2" w:tplc="14090005" w:tentative="1">
      <w:start w:val="1"/>
      <w:numFmt w:val="bullet"/>
      <w:lvlText w:val=""/>
      <w:lvlJc w:val="left"/>
      <w:pPr>
        <w:ind w:left="2840" w:hanging="360"/>
      </w:pPr>
      <w:rPr>
        <w:rFonts w:ascii="Wingdings" w:hAnsi="Wingdings" w:hint="default"/>
      </w:rPr>
    </w:lvl>
    <w:lvl w:ilvl="3" w:tplc="14090001" w:tentative="1">
      <w:start w:val="1"/>
      <w:numFmt w:val="bullet"/>
      <w:lvlText w:val=""/>
      <w:lvlJc w:val="left"/>
      <w:pPr>
        <w:ind w:left="3560" w:hanging="360"/>
      </w:pPr>
      <w:rPr>
        <w:rFonts w:ascii="Symbol" w:hAnsi="Symbol" w:hint="default"/>
      </w:rPr>
    </w:lvl>
    <w:lvl w:ilvl="4" w:tplc="14090003" w:tentative="1">
      <w:start w:val="1"/>
      <w:numFmt w:val="bullet"/>
      <w:lvlText w:val="o"/>
      <w:lvlJc w:val="left"/>
      <w:pPr>
        <w:ind w:left="4280" w:hanging="360"/>
      </w:pPr>
      <w:rPr>
        <w:rFonts w:ascii="Courier New" w:hAnsi="Courier New" w:cs="Courier New" w:hint="default"/>
      </w:rPr>
    </w:lvl>
    <w:lvl w:ilvl="5" w:tplc="14090005" w:tentative="1">
      <w:start w:val="1"/>
      <w:numFmt w:val="bullet"/>
      <w:lvlText w:val=""/>
      <w:lvlJc w:val="left"/>
      <w:pPr>
        <w:ind w:left="5000" w:hanging="360"/>
      </w:pPr>
      <w:rPr>
        <w:rFonts w:ascii="Wingdings" w:hAnsi="Wingdings" w:hint="default"/>
      </w:rPr>
    </w:lvl>
    <w:lvl w:ilvl="6" w:tplc="14090001" w:tentative="1">
      <w:start w:val="1"/>
      <w:numFmt w:val="bullet"/>
      <w:lvlText w:val=""/>
      <w:lvlJc w:val="left"/>
      <w:pPr>
        <w:ind w:left="5720" w:hanging="360"/>
      </w:pPr>
      <w:rPr>
        <w:rFonts w:ascii="Symbol" w:hAnsi="Symbol" w:hint="default"/>
      </w:rPr>
    </w:lvl>
    <w:lvl w:ilvl="7" w:tplc="14090003" w:tentative="1">
      <w:start w:val="1"/>
      <w:numFmt w:val="bullet"/>
      <w:lvlText w:val="o"/>
      <w:lvlJc w:val="left"/>
      <w:pPr>
        <w:ind w:left="6440" w:hanging="360"/>
      </w:pPr>
      <w:rPr>
        <w:rFonts w:ascii="Courier New" w:hAnsi="Courier New" w:cs="Courier New" w:hint="default"/>
      </w:rPr>
    </w:lvl>
    <w:lvl w:ilvl="8" w:tplc="14090005" w:tentative="1">
      <w:start w:val="1"/>
      <w:numFmt w:val="bullet"/>
      <w:lvlText w:val=""/>
      <w:lvlJc w:val="left"/>
      <w:pPr>
        <w:ind w:left="7160" w:hanging="360"/>
      </w:pPr>
      <w:rPr>
        <w:rFonts w:ascii="Wingdings" w:hAnsi="Wingdings" w:hint="default"/>
      </w:rPr>
    </w:lvl>
  </w:abstractNum>
  <w:abstractNum w:abstractNumId="21" w15:restartNumberingAfterBreak="0">
    <w:nsid w:val="427701FB"/>
    <w:multiLevelType w:val="hybridMultilevel"/>
    <w:tmpl w:val="87A07910"/>
    <w:lvl w:ilvl="0" w:tplc="FFFFFFFF">
      <w:start w:val="1"/>
      <w:numFmt w:val="bullet"/>
      <w:pStyle w:val="Sub-list"/>
      <w:lvlText w:val=""/>
      <w:lvlJc w:val="left"/>
      <w:pPr>
        <w:tabs>
          <w:tab w:val="num" w:pos="397"/>
        </w:tabs>
        <w:ind w:left="397" w:firstLine="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5B15110"/>
    <w:multiLevelType w:val="multilevel"/>
    <w:tmpl w:val="D944B692"/>
    <w:lvl w:ilvl="0">
      <w:start w:val="1"/>
      <w:numFmt w:val="bullet"/>
      <w:pStyle w:val="Bullet"/>
      <w:lvlText w:val=""/>
      <w:lvlJc w:val="left"/>
      <w:pPr>
        <w:ind w:left="397" w:hanging="397"/>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63D6104"/>
    <w:multiLevelType w:val="hybridMultilevel"/>
    <w:tmpl w:val="7698242C"/>
    <w:lvl w:ilvl="0" w:tplc="F710A272">
      <w:start w:val="1"/>
      <w:numFmt w:val="lowerRoman"/>
      <w:lvlText w:val="%1."/>
      <w:lvlJc w:val="left"/>
      <w:pPr>
        <w:tabs>
          <w:tab w:val="num" w:pos="1191"/>
        </w:tabs>
        <w:ind w:left="1191" w:hanging="397"/>
      </w:pPr>
      <w:rPr>
        <w:rFonts w:ascii="Calibri" w:hAnsi="Calibri" w:cs="Calibri" w:hint="default"/>
        <w:b w:val="0"/>
        <w:i w:val="0"/>
        <w:sz w:val="22"/>
        <w:szCs w:val="22"/>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4" w15:restartNumberingAfterBreak="0">
    <w:nsid w:val="47261BAD"/>
    <w:multiLevelType w:val="multilevel"/>
    <w:tmpl w:val="405434F2"/>
    <w:lvl w:ilvl="0">
      <w:start w:val="1"/>
      <w:numFmt w:val="lowerRoman"/>
      <w:lvlText w:val="%1."/>
      <w:lvlJc w:val="left"/>
      <w:pPr>
        <w:tabs>
          <w:tab w:val="num" w:pos="0"/>
        </w:tabs>
        <w:ind w:left="480" w:hanging="480"/>
      </w:pPr>
      <w:rPr>
        <w:rFonts w:hint="default"/>
      </w:rPr>
    </w:lvl>
    <w:lvl w:ilvl="1">
      <w:start w:val="1"/>
      <w:numFmt w:val="lowerRoman"/>
      <w:pStyle w:val="Sub-listi"/>
      <w:lvlText w:val="%2."/>
      <w:lvlJc w:val="left"/>
      <w:pPr>
        <w:tabs>
          <w:tab w:val="num" w:pos="794"/>
        </w:tabs>
        <w:ind w:left="1191" w:hanging="397"/>
      </w:pPr>
      <w:rPr>
        <w:rFonts w:hint="default"/>
      </w:rPr>
    </w:lvl>
    <w:lvl w:ilvl="2">
      <w:start w:val="1"/>
      <w:numFmt w:val="lowerRoman"/>
      <w:lvlText w:val="%3."/>
      <w:lvlJc w:val="left"/>
      <w:pPr>
        <w:tabs>
          <w:tab w:val="num" w:pos="1440"/>
        </w:tabs>
        <w:ind w:left="1920" w:hanging="480"/>
      </w:pPr>
      <w:rPr>
        <w:rFonts w:hint="default"/>
      </w:rPr>
    </w:lvl>
    <w:lvl w:ilvl="3">
      <w:start w:val="1"/>
      <w:numFmt w:val="lowerRoman"/>
      <w:lvlText w:val="%4."/>
      <w:lvlJc w:val="left"/>
      <w:pPr>
        <w:tabs>
          <w:tab w:val="num" w:pos="2160"/>
        </w:tabs>
        <w:ind w:left="2640" w:hanging="480"/>
      </w:pPr>
      <w:rPr>
        <w:rFonts w:hint="default"/>
      </w:rPr>
    </w:lvl>
    <w:lvl w:ilvl="4">
      <w:start w:val="1"/>
      <w:numFmt w:val="lowerRoman"/>
      <w:lvlText w:val="%5."/>
      <w:lvlJc w:val="left"/>
      <w:pPr>
        <w:tabs>
          <w:tab w:val="num" w:pos="2880"/>
        </w:tabs>
        <w:ind w:left="3360" w:hanging="480"/>
      </w:pPr>
      <w:rPr>
        <w:rFonts w:hint="default"/>
      </w:rPr>
    </w:lvl>
    <w:lvl w:ilvl="5">
      <w:start w:val="1"/>
      <w:numFmt w:val="lowerRoman"/>
      <w:lvlText w:val="%6."/>
      <w:lvlJc w:val="left"/>
      <w:pPr>
        <w:tabs>
          <w:tab w:val="num" w:pos="3600"/>
        </w:tabs>
        <w:ind w:left="4080" w:hanging="480"/>
      </w:pPr>
      <w:rPr>
        <w:rFonts w:hint="default"/>
      </w:rPr>
    </w:lvl>
    <w:lvl w:ilvl="6">
      <w:start w:val="1"/>
      <w:numFmt w:val="lowerRoman"/>
      <w:lvlText w:val="%7."/>
      <w:lvlJc w:val="left"/>
      <w:pPr>
        <w:tabs>
          <w:tab w:val="num" w:pos="4320"/>
        </w:tabs>
        <w:ind w:left="4800" w:hanging="480"/>
      </w:pPr>
      <w:rPr>
        <w:rFonts w:hint="default"/>
      </w:rPr>
    </w:lvl>
    <w:lvl w:ilvl="7">
      <w:start w:val="1"/>
      <w:numFmt w:val="lowerRoman"/>
      <w:lvlText w:val="%8."/>
      <w:lvlJc w:val="left"/>
      <w:pPr>
        <w:tabs>
          <w:tab w:val="num" w:pos="5040"/>
        </w:tabs>
        <w:ind w:left="5520" w:hanging="480"/>
      </w:pPr>
      <w:rPr>
        <w:rFonts w:hint="default"/>
      </w:rPr>
    </w:lvl>
    <w:lvl w:ilvl="8">
      <w:start w:val="1"/>
      <w:numFmt w:val="lowerRoman"/>
      <w:lvlText w:val="%9."/>
      <w:lvlJc w:val="left"/>
      <w:pPr>
        <w:tabs>
          <w:tab w:val="num" w:pos="5760"/>
        </w:tabs>
        <w:ind w:left="6240" w:hanging="480"/>
      </w:pPr>
      <w:rPr>
        <w:rFonts w:hint="default"/>
      </w:rPr>
    </w:lvl>
  </w:abstractNum>
  <w:abstractNum w:abstractNumId="25" w15:restartNumberingAfterBreak="0">
    <w:nsid w:val="53535234"/>
    <w:multiLevelType w:val="singleLevel"/>
    <w:tmpl w:val="7FC073B8"/>
    <w:lvl w:ilvl="0">
      <w:start w:val="1"/>
      <w:numFmt w:val="bullet"/>
      <w:pStyle w:val="BoxBullet"/>
      <w:lvlText w:val=""/>
      <w:lvlJc w:val="left"/>
      <w:pPr>
        <w:tabs>
          <w:tab w:val="num" w:pos="851"/>
        </w:tabs>
        <w:ind w:left="851" w:hanging="567"/>
      </w:pPr>
      <w:rPr>
        <w:rFonts w:ascii="Symbol" w:hAnsi="Symbol" w:hint="default"/>
        <w:sz w:val="16"/>
      </w:rPr>
    </w:lvl>
  </w:abstractNum>
  <w:abstractNum w:abstractNumId="26" w15:restartNumberingAfterBreak="0">
    <w:nsid w:val="569A0D6A"/>
    <w:multiLevelType w:val="hybridMultilevel"/>
    <w:tmpl w:val="F33839CE"/>
    <w:lvl w:ilvl="0" w:tplc="A6FC95F2">
      <w:start w:val="1"/>
      <w:numFmt w:val="bullet"/>
      <w:lvlText w:val=""/>
      <w:lvlJc w:val="left"/>
      <w:pPr>
        <w:tabs>
          <w:tab w:val="num" w:pos="397"/>
        </w:tabs>
        <w:ind w:left="397" w:hanging="397"/>
      </w:pPr>
      <w:rPr>
        <w:rFonts w:ascii="Symbol" w:hAnsi="Symbol" w:cs="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5811DDE"/>
    <w:multiLevelType w:val="hybridMultilevel"/>
    <w:tmpl w:val="5784BADA"/>
    <w:lvl w:ilvl="0" w:tplc="14090001">
      <w:start w:val="1"/>
      <w:numFmt w:val="bullet"/>
      <w:pStyle w:val="TableDash"/>
      <w:lvlText w:val=""/>
      <w:lvlJc w:val="left"/>
      <w:pPr>
        <w:tabs>
          <w:tab w:val="num" w:pos="567"/>
        </w:tabs>
        <w:ind w:left="567" w:hanging="283"/>
      </w:pPr>
      <w:rPr>
        <w:rFonts w:ascii="Symbol" w:hAnsi="Symbol" w:hint="default"/>
        <w:color w:val="auto"/>
        <w:sz w:val="16"/>
        <w:szCs w:val="16"/>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59D56AB"/>
    <w:multiLevelType w:val="hybridMultilevel"/>
    <w:tmpl w:val="7EBC672A"/>
    <w:lvl w:ilvl="0" w:tplc="3DDC9AC4">
      <w:start w:val="1"/>
      <w:numFmt w:val="bullet"/>
      <w:lvlText w:val=""/>
      <w:lvlJc w:val="left"/>
      <w:pPr>
        <w:ind w:left="720" w:hanging="360"/>
      </w:pPr>
      <w:rPr>
        <w:rFonts w:ascii="Symbol" w:hAnsi="Symbol" w:hint="default"/>
        <w:sz w:val="16"/>
        <w:szCs w:val="16"/>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9" w15:restartNumberingAfterBreak="0">
    <w:nsid w:val="75FE74C4"/>
    <w:multiLevelType w:val="multilevel"/>
    <w:tmpl w:val="219A7D10"/>
    <w:lvl w:ilvl="0">
      <w:start w:val="1"/>
      <w:numFmt w:val="bullet"/>
      <w:pStyle w:val="Sub-bullet"/>
      <w:lvlText w:val=""/>
      <w:lvlJc w:val="left"/>
      <w:pPr>
        <w:ind w:left="794" w:hanging="397"/>
      </w:pPr>
      <w:rPr>
        <w:rFonts w:ascii="Symbol" w:hAnsi="Symbol"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num w:numId="1" w16cid:durableId="1355154470">
    <w:abstractNumId w:val="25"/>
  </w:num>
  <w:num w:numId="2" w16cid:durableId="1121535605">
    <w:abstractNumId w:val="18"/>
  </w:num>
  <w:num w:numId="3" w16cid:durableId="716272447">
    <w:abstractNumId w:val="22"/>
  </w:num>
  <w:num w:numId="4" w16cid:durableId="1636252747">
    <w:abstractNumId w:val="29"/>
  </w:num>
  <w:num w:numId="5" w16cid:durableId="1198620346">
    <w:abstractNumId w:val="9"/>
  </w:num>
  <w:num w:numId="6" w16cid:durableId="1179614667">
    <w:abstractNumId w:val="7"/>
  </w:num>
  <w:num w:numId="7" w16cid:durableId="655576765">
    <w:abstractNumId w:val="6"/>
  </w:num>
  <w:num w:numId="8" w16cid:durableId="1958490275">
    <w:abstractNumId w:val="5"/>
  </w:num>
  <w:num w:numId="9" w16cid:durableId="757793668">
    <w:abstractNumId w:val="4"/>
  </w:num>
  <w:num w:numId="10" w16cid:durableId="456414995">
    <w:abstractNumId w:val="3"/>
  </w:num>
  <w:num w:numId="11" w16cid:durableId="1115096090">
    <w:abstractNumId w:val="10"/>
  </w:num>
  <w:num w:numId="12" w16cid:durableId="451097919">
    <w:abstractNumId w:val="11"/>
  </w:num>
  <w:num w:numId="13" w16cid:durableId="1884974277">
    <w:abstractNumId w:val="15"/>
  </w:num>
  <w:num w:numId="14" w16cid:durableId="579873343">
    <w:abstractNumId w:val="21"/>
  </w:num>
  <w:num w:numId="15" w16cid:durableId="1926304121">
    <w:abstractNumId w:val="27"/>
  </w:num>
  <w:num w:numId="16" w16cid:durableId="2090080219">
    <w:abstractNumId w:val="2"/>
  </w:num>
  <w:num w:numId="17" w16cid:durableId="1500580701">
    <w:abstractNumId w:val="1"/>
  </w:num>
  <w:num w:numId="18" w16cid:durableId="456418074">
    <w:abstractNumId w:val="20"/>
  </w:num>
  <w:num w:numId="19" w16cid:durableId="20182676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9203455">
    <w:abstractNumId w:val="0"/>
  </w:num>
  <w:num w:numId="21" w16cid:durableId="286662160">
    <w:abstractNumId w:val="24"/>
  </w:num>
  <w:num w:numId="22" w16cid:durableId="39717567">
    <w:abstractNumId w:val="26"/>
  </w:num>
  <w:num w:numId="23" w16cid:durableId="116073140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071735087">
    <w:abstractNumId w:val="16"/>
  </w:num>
  <w:num w:numId="25" w16cid:durableId="684937953">
    <w:abstractNumId w:val="8"/>
  </w:num>
  <w:num w:numId="26" w16cid:durableId="410586902">
    <w:abstractNumId w:val="19"/>
  </w:num>
  <w:num w:numId="27" w16cid:durableId="983775686">
    <w:abstractNumId w:val="13"/>
  </w:num>
  <w:num w:numId="28" w16cid:durableId="1140532516">
    <w:abstractNumId w:val="17"/>
  </w:num>
  <w:num w:numId="29" w16cid:durableId="233471259">
    <w:abstractNumId w:val="14"/>
  </w:num>
  <w:num w:numId="30" w16cid:durableId="1545409799">
    <w:abstractNumId w:val="23"/>
  </w:num>
  <w:num w:numId="31" w16cid:durableId="1429498756">
    <w:abstractNumId w:val="28"/>
  </w:num>
  <w:num w:numId="32" w16cid:durableId="11388365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595209410">
    <w:abstractNumId w:val="23"/>
    <w:lvlOverride w:ilvl="0">
      <w:startOverride w:val="1"/>
      <w:lvl w:ilvl="0" w:tplc="F710A272">
        <w:start w:val="1"/>
        <w:numFmt w:val="lowerRoman"/>
        <w:lvlText w:val="%1."/>
        <w:lvlJc w:val="left"/>
        <w:pPr>
          <w:tabs>
            <w:tab w:val="num" w:pos="1191"/>
          </w:tabs>
          <w:ind w:left="1191" w:hanging="397"/>
        </w:pPr>
        <w:rPr>
          <w:rFonts w:ascii="Calibri" w:hAnsi="Calibri" w:cs="Calibri" w:hint="default"/>
          <w:b w:val="0"/>
          <w:i w:val="0"/>
          <w:sz w:val="22"/>
          <w:szCs w:val="22"/>
        </w:rPr>
      </w:lvl>
    </w:lvlOverride>
  </w:num>
  <w:num w:numId="34" w16cid:durableId="2040348983">
    <w:abstractNumId w:val="12"/>
  </w:num>
  <w:num w:numId="35" w16cid:durableId="957294113">
    <w:abstractNumId w:val="11"/>
    <w:lvlOverride w:ilvl="0">
      <w:startOverride w:val="1"/>
    </w:lvlOverride>
  </w:num>
  <w:num w:numId="36" w16cid:durableId="191503077">
    <w:abstractNumId w:val="11"/>
    <w:lvlOverride w:ilvl="0">
      <w:startOverride w:val="1"/>
    </w:lvlOverride>
  </w:num>
  <w:num w:numId="37" w16cid:durableId="297883542">
    <w:abstractNumId w:val="11"/>
    <w:lvlOverride w:ilvl="0">
      <w:startOverride w:val="1"/>
    </w:lvlOverride>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activeWritingStyle w:appName="MSWord" w:lang="en-NZ" w:vendorID="64" w:dllVersion="6" w:nlCheck="1" w:checkStyle="1"/>
  <w:activeWritingStyle w:appName="MSWord" w:lang="en-NZ" w:vendorID="64" w:dllVersion="0" w:nlCheck="1" w:checkStyle="0"/>
  <w:activeWritingStyle w:appName="MSWord" w:lang="en-US" w:vendorID="64" w:dllVersion="0" w:nlCheck="1" w:checkStyle="0"/>
  <w:activeWritingStyle w:appName="MSWord" w:lang="fr-FR" w:vendorID="64" w:dllVersion="0" w:nlCheck="1" w:checkStyle="0"/>
  <w:attachedTemplate r:id="rId1"/>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defaultTabStop w:val="397"/>
  <w:evenAndOddHeaders/>
  <w:drawingGridHorizontalSpacing w:val="187"/>
  <w:displayVerticalDrawingGridEvery w:val="2"/>
  <w:noPunctuationKerning/>
  <w:characterSpacingControl w:val="doNotCompress"/>
  <w:hdrShapeDefaults>
    <o:shapedefaults v:ext="edit" spidmax="2091"/>
  </w:hdrShapeDefaults>
  <w:footnotePr>
    <w:footnote w:id="-1"/>
    <w:footnote w:id="0"/>
  </w:footnotePr>
  <w:endnotePr>
    <w:endnote w:id="-1"/>
    <w:endnote w:id="0"/>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51C6"/>
    <w:rsid w:val="00001716"/>
    <w:rsid w:val="00001E97"/>
    <w:rsid w:val="00002926"/>
    <w:rsid w:val="00006545"/>
    <w:rsid w:val="00007ABB"/>
    <w:rsid w:val="00010F2B"/>
    <w:rsid w:val="000123F1"/>
    <w:rsid w:val="00014607"/>
    <w:rsid w:val="00021ACF"/>
    <w:rsid w:val="00022A9A"/>
    <w:rsid w:val="00024C54"/>
    <w:rsid w:val="00027E55"/>
    <w:rsid w:val="00032A28"/>
    <w:rsid w:val="00032A4F"/>
    <w:rsid w:val="00032EB7"/>
    <w:rsid w:val="00035185"/>
    <w:rsid w:val="0003612E"/>
    <w:rsid w:val="000413DD"/>
    <w:rsid w:val="00041A55"/>
    <w:rsid w:val="00043E97"/>
    <w:rsid w:val="00050008"/>
    <w:rsid w:val="00052A22"/>
    <w:rsid w:val="00053168"/>
    <w:rsid w:val="00053C83"/>
    <w:rsid w:val="00053E51"/>
    <w:rsid w:val="000576EC"/>
    <w:rsid w:val="000652B8"/>
    <w:rsid w:val="00072983"/>
    <w:rsid w:val="00073AEE"/>
    <w:rsid w:val="000774BF"/>
    <w:rsid w:val="000815CF"/>
    <w:rsid w:val="00092EC7"/>
    <w:rsid w:val="000954C6"/>
    <w:rsid w:val="000959CB"/>
    <w:rsid w:val="00097982"/>
    <w:rsid w:val="000A0768"/>
    <w:rsid w:val="000A0ABE"/>
    <w:rsid w:val="000A3AA5"/>
    <w:rsid w:val="000A4169"/>
    <w:rsid w:val="000A60B3"/>
    <w:rsid w:val="000A682D"/>
    <w:rsid w:val="000A6A52"/>
    <w:rsid w:val="000A6D78"/>
    <w:rsid w:val="000A6EE0"/>
    <w:rsid w:val="000B0B44"/>
    <w:rsid w:val="000C20A6"/>
    <w:rsid w:val="000C320D"/>
    <w:rsid w:val="000C3E81"/>
    <w:rsid w:val="000C6CB3"/>
    <w:rsid w:val="000D00A0"/>
    <w:rsid w:val="000D0DC6"/>
    <w:rsid w:val="000D1951"/>
    <w:rsid w:val="000D6F4F"/>
    <w:rsid w:val="000E2731"/>
    <w:rsid w:val="000F0447"/>
    <w:rsid w:val="000F4DEF"/>
    <w:rsid w:val="000F55D6"/>
    <w:rsid w:val="000F7D68"/>
    <w:rsid w:val="0010265C"/>
    <w:rsid w:val="0010371F"/>
    <w:rsid w:val="00104BE3"/>
    <w:rsid w:val="00107DBD"/>
    <w:rsid w:val="001100FF"/>
    <w:rsid w:val="001109B2"/>
    <w:rsid w:val="00111AFC"/>
    <w:rsid w:val="00115FA4"/>
    <w:rsid w:val="00116E1B"/>
    <w:rsid w:val="00120148"/>
    <w:rsid w:val="0012053C"/>
    <w:rsid w:val="00120E92"/>
    <w:rsid w:val="001221C3"/>
    <w:rsid w:val="00122C42"/>
    <w:rsid w:val="00123857"/>
    <w:rsid w:val="00126BDC"/>
    <w:rsid w:val="00127A77"/>
    <w:rsid w:val="0013321C"/>
    <w:rsid w:val="001460D9"/>
    <w:rsid w:val="00153F5A"/>
    <w:rsid w:val="00155E04"/>
    <w:rsid w:val="00161ABD"/>
    <w:rsid w:val="00163C3D"/>
    <w:rsid w:val="0016581A"/>
    <w:rsid w:val="001730C0"/>
    <w:rsid w:val="00175CD5"/>
    <w:rsid w:val="00176CAD"/>
    <w:rsid w:val="00181DB2"/>
    <w:rsid w:val="0019356D"/>
    <w:rsid w:val="001970E1"/>
    <w:rsid w:val="001A1997"/>
    <w:rsid w:val="001A2077"/>
    <w:rsid w:val="001A2DB0"/>
    <w:rsid w:val="001A3754"/>
    <w:rsid w:val="001A53DB"/>
    <w:rsid w:val="001B4E1F"/>
    <w:rsid w:val="001B5173"/>
    <w:rsid w:val="001B5710"/>
    <w:rsid w:val="001B5958"/>
    <w:rsid w:val="001B6225"/>
    <w:rsid w:val="001B6E40"/>
    <w:rsid w:val="001B6FD2"/>
    <w:rsid w:val="001C00C9"/>
    <w:rsid w:val="001C5620"/>
    <w:rsid w:val="001D0694"/>
    <w:rsid w:val="001D1476"/>
    <w:rsid w:val="001D1F8B"/>
    <w:rsid w:val="001D2428"/>
    <w:rsid w:val="001D5D7B"/>
    <w:rsid w:val="001E1E1C"/>
    <w:rsid w:val="001E23EF"/>
    <w:rsid w:val="001E4B55"/>
    <w:rsid w:val="001E6414"/>
    <w:rsid w:val="001F2096"/>
    <w:rsid w:val="001F37CD"/>
    <w:rsid w:val="001F48D9"/>
    <w:rsid w:val="001F4B7A"/>
    <w:rsid w:val="001F5C06"/>
    <w:rsid w:val="0020000C"/>
    <w:rsid w:val="00200029"/>
    <w:rsid w:val="00206BFE"/>
    <w:rsid w:val="002075EB"/>
    <w:rsid w:val="00207ABF"/>
    <w:rsid w:val="00211097"/>
    <w:rsid w:val="00212A1A"/>
    <w:rsid w:val="002160AB"/>
    <w:rsid w:val="00225B27"/>
    <w:rsid w:val="0022665D"/>
    <w:rsid w:val="00235658"/>
    <w:rsid w:val="002363B2"/>
    <w:rsid w:val="00240807"/>
    <w:rsid w:val="00240B42"/>
    <w:rsid w:val="00245086"/>
    <w:rsid w:val="00245E82"/>
    <w:rsid w:val="00257DB1"/>
    <w:rsid w:val="00260B48"/>
    <w:rsid w:val="00261B7A"/>
    <w:rsid w:val="0026396B"/>
    <w:rsid w:val="00265C88"/>
    <w:rsid w:val="0027332C"/>
    <w:rsid w:val="0027431F"/>
    <w:rsid w:val="002811E7"/>
    <w:rsid w:val="002855D2"/>
    <w:rsid w:val="0028581A"/>
    <w:rsid w:val="002868D3"/>
    <w:rsid w:val="002869D7"/>
    <w:rsid w:val="00292C6C"/>
    <w:rsid w:val="00294EC5"/>
    <w:rsid w:val="00295B2A"/>
    <w:rsid w:val="0029621D"/>
    <w:rsid w:val="00296493"/>
    <w:rsid w:val="002A0273"/>
    <w:rsid w:val="002A0608"/>
    <w:rsid w:val="002A1361"/>
    <w:rsid w:val="002A222C"/>
    <w:rsid w:val="002A43C4"/>
    <w:rsid w:val="002A49D7"/>
    <w:rsid w:val="002B0C5B"/>
    <w:rsid w:val="002B1C11"/>
    <w:rsid w:val="002B1C5A"/>
    <w:rsid w:val="002B3284"/>
    <w:rsid w:val="002B477E"/>
    <w:rsid w:val="002B551F"/>
    <w:rsid w:val="002B5AE7"/>
    <w:rsid w:val="002C09A6"/>
    <w:rsid w:val="002C09C8"/>
    <w:rsid w:val="002C2AF2"/>
    <w:rsid w:val="002C65F9"/>
    <w:rsid w:val="002D1B99"/>
    <w:rsid w:val="002D3152"/>
    <w:rsid w:val="002D4DBC"/>
    <w:rsid w:val="002D60DB"/>
    <w:rsid w:val="002D6771"/>
    <w:rsid w:val="002D6A54"/>
    <w:rsid w:val="002D719E"/>
    <w:rsid w:val="002E18A5"/>
    <w:rsid w:val="002E1937"/>
    <w:rsid w:val="002E4C06"/>
    <w:rsid w:val="002E577C"/>
    <w:rsid w:val="002E6B66"/>
    <w:rsid w:val="002F134A"/>
    <w:rsid w:val="002F2EA0"/>
    <w:rsid w:val="002F66D0"/>
    <w:rsid w:val="0030080D"/>
    <w:rsid w:val="00302D84"/>
    <w:rsid w:val="003061CD"/>
    <w:rsid w:val="003070B6"/>
    <w:rsid w:val="003143A6"/>
    <w:rsid w:val="00315760"/>
    <w:rsid w:val="00321589"/>
    <w:rsid w:val="0032349D"/>
    <w:rsid w:val="00323B68"/>
    <w:rsid w:val="00325FD9"/>
    <w:rsid w:val="0032769F"/>
    <w:rsid w:val="0033490F"/>
    <w:rsid w:val="00336C54"/>
    <w:rsid w:val="0033702A"/>
    <w:rsid w:val="0033744F"/>
    <w:rsid w:val="00337B5B"/>
    <w:rsid w:val="0034058F"/>
    <w:rsid w:val="003412E2"/>
    <w:rsid w:val="00345190"/>
    <w:rsid w:val="00346F65"/>
    <w:rsid w:val="003544AA"/>
    <w:rsid w:val="003548B1"/>
    <w:rsid w:val="00356180"/>
    <w:rsid w:val="003649AF"/>
    <w:rsid w:val="00372022"/>
    <w:rsid w:val="00372436"/>
    <w:rsid w:val="0037590E"/>
    <w:rsid w:val="00375E6D"/>
    <w:rsid w:val="00377186"/>
    <w:rsid w:val="00380AD6"/>
    <w:rsid w:val="00383207"/>
    <w:rsid w:val="003918F1"/>
    <w:rsid w:val="003970F7"/>
    <w:rsid w:val="003972EF"/>
    <w:rsid w:val="00397D2B"/>
    <w:rsid w:val="003A13D3"/>
    <w:rsid w:val="003A5006"/>
    <w:rsid w:val="003B1388"/>
    <w:rsid w:val="003B3815"/>
    <w:rsid w:val="003B46F7"/>
    <w:rsid w:val="003B4D90"/>
    <w:rsid w:val="003B4DC2"/>
    <w:rsid w:val="003B58BD"/>
    <w:rsid w:val="003B6C7F"/>
    <w:rsid w:val="003B7379"/>
    <w:rsid w:val="003C2615"/>
    <w:rsid w:val="003C5373"/>
    <w:rsid w:val="003D0318"/>
    <w:rsid w:val="003D5417"/>
    <w:rsid w:val="003D6B32"/>
    <w:rsid w:val="003E152D"/>
    <w:rsid w:val="003E1C33"/>
    <w:rsid w:val="003E1E5A"/>
    <w:rsid w:val="003E36DD"/>
    <w:rsid w:val="003E6A4E"/>
    <w:rsid w:val="003F06C7"/>
    <w:rsid w:val="003F74E2"/>
    <w:rsid w:val="00400F92"/>
    <w:rsid w:val="00401D94"/>
    <w:rsid w:val="004030A9"/>
    <w:rsid w:val="004044F1"/>
    <w:rsid w:val="004078A9"/>
    <w:rsid w:val="00410EC8"/>
    <w:rsid w:val="004111A6"/>
    <w:rsid w:val="00417962"/>
    <w:rsid w:val="00421983"/>
    <w:rsid w:val="00422EFE"/>
    <w:rsid w:val="00423599"/>
    <w:rsid w:val="0042408E"/>
    <w:rsid w:val="0042424B"/>
    <w:rsid w:val="00430D5D"/>
    <w:rsid w:val="00434575"/>
    <w:rsid w:val="0044178E"/>
    <w:rsid w:val="00445CC7"/>
    <w:rsid w:val="0044625C"/>
    <w:rsid w:val="00446E7F"/>
    <w:rsid w:val="004514FB"/>
    <w:rsid w:val="0045652C"/>
    <w:rsid w:val="004570AC"/>
    <w:rsid w:val="004610C9"/>
    <w:rsid w:val="00462497"/>
    <w:rsid w:val="004677F9"/>
    <w:rsid w:val="004715EB"/>
    <w:rsid w:val="00475B03"/>
    <w:rsid w:val="00476471"/>
    <w:rsid w:val="0047792E"/>
    <w:rsid w:val="00480482"/>
    <w:rsid w:val="004805A3"/>
    <w:rsid w:val="00485ADE"/>
    <w:rsid w:val="00490EB0"/>
    <w:rsid w:val="00491B72"/>
    <w:rsid w:val="0049233C"/>
    <w:rsid w:val="00495AAB"/>
    <w:rsid w:val="004A618E"/>
    <w:rsid w:val="004B03FF"/>
    <w:rsid w:val="004B1803"/>
    <w:rsid w:val="004B55F4"/>
    <w:rsid w:val="004C0D26"/>
    <w:rsid w:val="004C26D4"/>
    <w:rsid w:val="004C583E"/>
    <w:rsid w:val="004C6C35"/>
    <w:rsid w:val="004D1833"/>
    <w:rsid w:val="004D78CB"/>
    <w:rsid w:val="004D7B79"/>
    <w:rsid w:val="004E2E75"/>
    <w:rsid w:val="004E4B2C"/>
    <w:rsid w:val="004E6341"/>
    <w:rsid w:val="004E758A"/>
    <w:rsid w:val="004F1572"/>
    <w:rsid w:val="004F25FA"/>
    <w:rsid w:val="004F4A1B"/>
    <w:rsid w:val="00501538"/>
    <w:rsid w:val="00503B2C"/>
    <w:rsid w:val="00504BF3"/>
    <w:rsid w:val="00506CA5"/>
    <w:rsid w:val="005075A6"/>
    <w:rsid w:val="00513A5C"/>
    <w:rsid w:val="00515181"/>
    <w:rsid w:val="005166F6"/>
    <w:rsid w:val="00517C59"/>
    <w:rsid w:val="00525CBB"/>
    <w:rsid w:val="00525FE2"/>
    <w:rsid w:val="00526270"/>
    <w:rsid w:val="00532C24"/>
    <w:rsid w:val="00534210"/>
    <w:rsid w:val="00543478"/>
    <w:rsid w:val="0054382B"/>
    <w:rsid w:val="005455CA"/>
    <w:rsid w:val="00545600"/>
    <w:rsid w:val="00545AA0"/>
    <w:rsid w:val="0054663C"/>
    <w:rsid w:val="00546A6A"/>
    <w:rsid w:val="00547C9E"/>
    <w:rsid w:val="0055081C"/>
    <w:rsid w:val="005550FF"/>
    <w:rsid w:val="005577FE"/>
    <w:rsid w:val="005630B0"/>
    <w:rsid w:val="005660CD"/>
    <w:rsid w:val="005720F2"/>
    <w:rsid w:val="005728A2"/>
    <w:rsid w:val="00580DC2"/>
    <w:rsid w:val="005815B6"/>
    <w:rsid w:val="00582E41"/>
    <w:rsid w:val="0058311A"/>
    <w:rsid w:val="00585D2B"/>
    <w:rsid w:val="00586C84"/>
    <w:rsid w:val="005950B4"/>
    <w:rsid w:val="00596603"/>
    <w:rsid w:val="005A6546"/>
    <w:rsid w:val="005A7EE8"/>
    <w:rsid w:val="005B4380"/>
    <w:rsid w:val="005B746C"/>
    <w:rsid w:val="005B76A4"/>
    <w:rsid w:val="005C0A44"/>
    <w:rsid w:val="005C145C"/>
    <w:rsid w:val="005C1946"/>
    <w:rsid w:val="005C3384"/>
    <w:rsid w:val="005C416E"/>
    <w:rsid w:val="005C564D"/>
    <w:rsid w:val="005C712E"/>
    <w:rsid w:val="005C756C"/>
    <w:rsid w:val="005D1235"/>
    <w:rsid w:val="005D1C3A"/>
    <w:rsid w:val="005D2293"/>
    <w:rsid w:val="005D4695"/>
    <w:rsid w:val="005D7EFE"/>
    <w:rsid w:val="005E011F"/>
    <w:rsid w:val="005E43DD"/>
    <w:rsid w:val="005E6D40"/>
    <w:rsid w:val="005F2705"/>
    <w:rsid w:val="005F4ADC"/>
    <w:rsid w:val="005F78AC"/>
    <w:rsid w:val="00600179"/>
    <w:rsid w:val="00600456"/>
    <w:rsid w:val="00603231"/>
    <w:rsid w:val="00603FC0"/>
    <w:rsid w:val="00606FB7"/>
    <w:rsid w:val="006103CA"/>
    <w:rsid w:val="0061332F"/>
    <w:rsid w:val="006139E5"/>
    <w:rsid w:val="00615608"/>
    <w:rsid w:val="00615BDE"/>
    <w:rsid w:val="0061651C"/>
    <w:rsid w:val="00616BE8"/>
    <w:rsid w:val="00622788"/>
    <w:rsid w:val="00636BF0"/>
    <w:rsid w:val="0064167D"/>
    <w:rsid w:val="00646B6D"/>
    <w:rsid w:val="00646F15"/>
    <w:rsid w:val="00650F99"/>
    <w:rsid w:val="006527D0"/>
    <w:rsid w:val="00652A35"/>
    <w:rsid w:val="00653987"/>
    <w:rsid w:val="00653C53"/>
    <w:rsid w:val="00655908"/>
    <w:rsid w:val="00657E38"/>
    <w:rsid w:val="006611EE"/>
    <w:rsid w:val="00662AE3"/>
    <w:rsid w:val="00663FB3"/>
    <w:rsid w:val="006654F8"/>
    <w:rsid w:val="00665768"/>
    <w:rsid w:val="00667291"/>
    <w:rsid w:val="00672A39"/>
    <w:rsid w:val="006767D9"/>
    <w:rsid w:val="006770C3"/>
    <w:rsid w:val="00680A08"/>
    <w:rsid w:val="00680DBE"/>
    <w:rsid w:val="0068545A"/>
    <w:rsid w:val="00686249"/>
    <w:rsid w:val="00687504"/>
    <w:rsid w:val="00692F47"/>
    <w:rsid w:val="006959CE"/>
    <w:rsid w:val="006963CA"/>
    <w:rsid w:val="006A171F"/>
    <w:rsid w:val="006A1E78"/>
    <w:rsid w:val="006A2D0E"/>
    <w:rsid w:val="006A4E5F"/>
    <w:rsid w:val="006A64C6"/>
    <w:rsid w:val="006A7CCB"/>
    <w:rsid w:val="006B0FD0"/>
    <w:rsid w:val="006B1BA4"/>
    <w:rsid w:val="006B282E"/>
    <w:rsid w:val="006B2EA6"/>
    <w:rsid w:val="006B4602"/>
    <w:rsid w:val="006B4C3C"/>
    <w:rsid w:val="006B6F3D"/>
    <w:rsid w:val="006B77FA"/>
    <w:rsid w:val="006C06C9"/>
    <w:rsid w:val="006C728D"/>
    <w:rsid w:val="006D123E"/>
    <w:rsid w:val="006D17AD"/>
    <w:rsid w:val="006D3FAE"/>
    <w:rsid w:val="006D4600"/>
    <w:rsid w:val="006D59B1"/>
    <w:rsid w:val="006D77C3"/>
    <w:rsid w:val="006E0A2C"/>
    <w:rsid w:val="006E1E67"/>
    <w:rsid w:val="006E202B"/>
    <w:rsid w:val="006E25DF"/>
    <w:rsid w:val="006E4498"/>
    <w:rsid w:val="006E57B5"/>
    <w:rsid w:val="006E7124"/>
    <w:rsid w:val="006F1100"/>
    <w:rsid w:val="006F34EE"/>
    <w:rsid w:val="006F74D2"/>
    <w:rsid w:val="007017A7"/>
    <w:rsid w:val="00702FA0"/>
    <w:rsid w:val="00711C23"/>
    <w:rsid w:val="00715D39"/>
    <w:rsid w:val="0071676C"/>
    <w:rsid w:val="00723FFF"/>
    <w:rsid w:val="00724218"/>
    <w:rsid w:val="00726451"/>
    <w:rsid w:val="00726947"/>
    <w:rsid w:val="00727106"/>
    <w:rsid w:val="007311FF"/>
    <w:rsid w:val="0073467A"/>
    <w:rsid w:val="00737E65"/>
    <w:rsid w:val="00740271"/>
    <w:rsid w:val="0074030A"/>
    <w:rsid w:val="007409A3"/>
    <w:rsid w:val="007434B8"/>
    <w:rsid w:val="00762043"/>
    <w:rsid w:val="007633C2"/>
    <w:rsid w:val="00765A47"/>
    <w:rsid w:val="007668D0"/>
    <w:rsid w:val="007670EE"/>
    <w:rsid w:val="00770E82"/>
    <w:rsid w:val="00771F44"/>
    <w:rsid w:val="00772E94"/>
    <w:rsid w:val="007730C3"/>
    <w:rsid w:val="0077432F"/>
    <w:rsid w:val="007751E5"/>
    <w:rsid w:val="00780B38"/>
    <w:rsid w:val="0078110F"/>
    <w:rsid w:val="0078221F"/>
    <w:rsid w:val="007849E9"/>
    <w:rsid w:val="007862A6"/>
    <w:rsid w:val="00792F64"/>
    <w:rsid w:val="00797D34"/>
    <w:rsid w:val="007A7456"/>
    <w:rsid w:val="007B028B"/>
    <w:rsid w:val="007B09BE"/>
    <w:rsid w:val="007B1D71"/>
    <w:rsid w:val="007B3437"/>
    <w:rsid w:val="007B6109"/>
    <w:rsid w:val="007C00D0"/>
    <w:rsid w:val="007C2186"/>
    <w:rsid w:val="007C25A9"/>
    <w:rsid w:val="007C4789"/>
    <w:rsid w:val="007D314C"/>
    <w:rsid w:val="007D4A33"/>
    <w:rsid w:val="007D554B"/>
    <w:rsid w:val="007D755F"/>
    <w:rsid w:val="007E17B8"/>
    <w:rsid w:val="007E37E3"/>
    <w:rsid w:val="007E4350"/>
    <w:rsid w:val="007F2233"/>
    <w:rsid w:val="007F362D"/>
    <w:rsid w:val="007F364E"/>
    <w:rsid w:val="007F3725"/>
    <w:rsid w:val="007F48FE"/>
    <w:rsid w:val="007F6CA5"/>
    <w:rsid w:val="0080394C"/>
    <w:rsid w:val="0080694B"/>
    <w:rsid w:val="00813F99"/>
    <w:rsid w:val="00816F21"/>
    <w:rsid w:val="00817036"/>
    <w:rsid w:val="0081779C"/>
    <w:rsid w:val="00823628"/>
    <w:rsid w:val="00827E8E"/>
    <w:rsid w:val="00831D0D"/>
    <w:rsid w:val="00832DEE"/>
    <w:rsid w:val="008334A0"/>
    <w:rsid w:val="00833EE3"/>
    <w:rsid w:val="00834A92"/>
    <w:rsid w:val="00835D67"/>
    <w:rsid w:val="008367EB"/>
    <w:rsid w:val="00837A91"/>
    <w:rsid w:val="0084067B"/>
    <w:rsid w:val="00844D13"/>
    <w:rsid w:val="00845B23"/>
    <w:rsid w:val="008477A3"/>
    <w:rsid w:val="0085003D"/>
    <w:rsid w:val="00850573"/>
    <w:rsid w:val="00850D7E"/>
    <w:rsid w:val="0085362B"/>
    <w:rsid w:val="00854B9D"/>
    <w:rsid w:val="00855A8A"/>
    <w:rsid w:val="0086053E"/>
    <w:rsid w:val="0086449A"/>
    <w:rsid w:val="00866D3D"/>
    <w:rsid w:val="00872795"/>
    <w:rsid w:val="008759CD"/>
    <w:rsid w:val="008821E4"/>
    <w:rsid w:val="00883E58"/>
    <w:rsid w:val="0088568E"/>
    <w:rsid w:val="00885F4B"/>
    <w:rsid w:val="00890E36"/>
    <w:rsid w:val="008A2775"/>
    <w:rsid w:val="008A2EC5"/>
    <w:rsid w:val="008A4F47"/>
    <w:rsid w:val="008A5779"/>
    <w:rsid w:val="008B09CC"/>
    <w:rsid w:val="008B0EFE"/>
    <w:rsid w:val="008B148C"/>
    <w:rsid w:val="008B1BEE"/>
    <w:rsid w:val="008B1DBC"/>
    <w:rsid w:val="008B3B90"/>
    <w:rsid w:val="008B4655"/>
    <w:rsid w:val="008B4B62"/>
    <w:rsid w:val="008B6836"/>
    <w:rsid w:val="008B77F5"/>
    <w:rsid w:val="008B7D45"/>
    <w:rsid w:val="008C0279"/>
    <w:rsid w:val="008C130F"/>
    <w:rsid w:val="008C30F7"/>
    <w:rsid w:val="008C3B2C"/>
    <w:rsid w:val="008C5F68"/>
    <w:rsid w:val="008C7F68"/>
    <w:rsid w:val="008D02F0"/>
    <w:rsid w:val="008D30D0"/>
    <w:rsid w:val="008D6896"/>
    <w:rsid w:val="008E380C"/>
    <w:rsid w:val="008E3E90"/>
    <w:rsid w:val="008E52F6"/>
    <w:rsid w:val="008E6BF2"/>
    <w:rsid w:val="008F25D2"/>
    <w:rsid w:val="008F39B8"/>
    <w:rsid w:val="008F50EC"/>
    <w:rsid w:val="008F7D86"/>
    <w:rsid w:val="009016C7"/>
    <w:rsid w:val="00901CD9"/>
    <w:rsid w:val="00902AB3"/>
    <w:rsid w:val="00902B50"/>
    <w:rsid w:val="00905B42"/>
    <w:rsid w:val="00911829"/>
    <w:rsid w:val="00914759"/>
    <w:rsid w:val="00914CC6"/>
    <w:rsid w:val="00923B48"/>
    <w:rsid w:val="0092426B"/>
    <w:rsid w:val="0092751F"/>
    <w:rsid w:val="009304AD"/>
    <w:rsid w:val="00932067"/>
    <w:rsid w:val="00933366"/>
    <w:rsid w:val="00933BA3"/>
    <w:rsid w:val="009347EC"/>
    <w:rsid w:val="0093594A"/>
    <w:rsid w:val="00943F5B"/>
    <w:rsid w:val="00945342"/>
    <w:rsid w:val="009526D5"/>
    <w:rsid w:val="009528D6"/>
    <w:rsid w:val="00954427"/>
    <w:rsid w:val="00955D73"/>
    <w:rsid w:val="009611F9"/>
    <w:rsid w:val="0096512C"/>
    <w:rsid w:val="0096540A"/>
    <w:rsid w:val="009710B6"/>
    <w:rsid w:val="0097522D"/>
    <w:rsid w:val="00975417"/>
    <w:rsid w:val="0097577A"/>
    <w:rsid w:val="00975DB2"/>
    <w:rsid w:val="0098180A"/>
    <w:rsid w:val="009931F5"/>
    <w:rsid w:val="00994F64"/>
    <w:rsid w:val="009A0AFD"/>
    <w:rsid w:val="009A4C65"/>
    <w:rsid w:val="009B2457"/>
    <w:rsid w:val="009B3201"/>
    <w:rsid w:val="009B3B3A"/>
    <w:rsid w:val="009B4080"/>
    <w:rsid w:val="009B5A50"/>
    <w:rsid w:val="009B5E7C"/>
    <w:rsid w:val="009C20DD"/>
    <w:rsid w:val="009C2C98"/>
    <w:rsid w:val="009C4031"/>
    <w:rsid w:val="009C517C"/>
    <w:rsid w:val="009C5D2A"/>
    <w:rsid w:val="009D1DBD"/>
    <w:rsid w:val="009D43AE"/>
    <w:rsid w:val="009D5436"/>
    <w:rsid w:val="009D6B55"/>
    <w:rsid w:val="009D764B"/>
    <w:rsid w:val="009E2922"/>
    <w:rsid w:val="009E50B0"/>
    <w:rsid w:val="009F2A14"/>
    <w:rsid w:val="009F3233"/>
    <w:rsid w:val="009F3C7F"/>
    <w:rsid w:val="009F4481"/>
    <w:rsid w:val="009F5DA6"/>
    <w:rsid w:val="009F7E33"/>
    <w:rsid w:val="00A00632"/>
    <w:rsid w:val="00A02CDA"/>
    <w:rsid w:val="00A02FB4"/>
    <w:rsid w:val="00A031AA"/>
    <w:rsid w:val="00A03F17"/>
    <w:rsid w:val="00A05AAA"/>
    <w:rsid w:val="00A06700"/>
    <w:rsid w:val="00A128CC"/>
    <w:rsid w:val="00A22BDD"/>
    <w:rsid w:val="00A24911"/>
    <w:rsid w:val="00A27722"/>
    <w:rsid w:val="00A3126B"/>
    <w:rsid w:val="00A32ADC"/>
    <w:rsid w:val="00A331E7"/>
    <w:rsid w:val="00A34169"/>
    <w:rsid w:val="00A35635"/>
    <w:rsid w:val="00A35FF4"/>
    <w:rsid w:val="00A41C3C"/>
    <w:rsid w:val="00A430C1"/>
    <w:rsid w:val="00A43B66"/>
    <w:rsid w:val="00A50310"/>
    <w:rsid w:val="00A5139A"/>
    <w:rsid w:val="00A54E84"/>
    <w:rsid w:val="00A6070D"/>
    <w:rsid w:val="00A638DC"/>
    <w:rsid w:val="00A65BBE"/>
    <w:rsid w:val="00A66007"/>
    <w:rsid w:val="00A703BA"/>
    <w:rsid w:val="00A76E88"/>
    <w:rsid w:val="00A91D59"/>
    <w:rsid w:val="00A93BB0"/>
    <w:rsid w:val="00A94EC1"/>
    <w:rsid w:val="00A9580B"/>
    <w:rsid w:val="00A964C0"/>
    <w:rsid w:val="00AA579E"/>
    <w:rsid w:val="00AB2710"/>
    <w:rsid w:val="00AB2FCE"/>
    <w:rsid w:val="00AB34B7"/>
    <w:rsid w:val="00AB66B2"/>
    <w:rsid w:val="00AC2271"/>
    <w:rsid w:val="00AC2AB4"/>
    <w:rsid w:val="00AC36B0"/>
    <w:rsid w:val="00AC75E3"/>
    <w:rsid w:val="00AD0900"/>
    <w:rsid w:val="00AD180B"/>
    <w:rsid w:val="00AD184B"/>
    <w:rsid w:val="00AD4F93"/>
    <w:rsid w:val="00AE6582"/>
    <w:rsid w:val="00AE7416"/>
    <w:rsid w:val="00AF469E"/>
    <w:rsid w:val="00AF507A"/>
    <w:rsid w:val="00AF57E9"/>
    <w:rsid w:val="00AF5FEB"/>
    <w:rsid w:val="00B0004A"/>
    <w:rsid w:val="00B02DB8"/>
    <w:rsid w:val="00B0310D"/>
    <w:rsid w:val="00B04C1D"/>
    <w:rsid w:val="00B0566D"/>
    <w:rsid w:val="00B07E95"/>
    <w:rsid w:val="00B10054"/>
    <w:rsid w:val="00B10926"/>
    <w:rsid w:val="00B10BD6"/>
    <w:rsid w:val="00B16055"/>
    <w:rsid w:val="00B25AA7"/>
    <w:rsid w:val="00B2674A"/>
    <w:rsid w:val="00B27528"/>
    <w:rsid w:val="00B2758D"/>
    <w:rsid w:val="00B276FF"/>
    <w:rsid w:val="00B30D30"/>
    <w:rsid w:val="00B34461"/>
    <w:rsid w:val="00B35BD9"/>
    <w:rsid w:val="00B35E9E"/>
    <w:rsid w:val="00B37DE8"/>
    <w:rsid w:val="00B41908"/>
    <w:rsid w:val="00B441F9"/>
    <w:rsid w:val="00B44819"/>
    <w:rsid w:val="00B44BA5"/>
    <w:rsid w:val="00B4687B"/>
    <w:rsid w:val="00B52A43"/>
    <w:rsid w:val="00B60E89"/>
    <w:rsid w:val="00B66C44"/>
    <w:rsid w:val="00B74EF3"/>
    <w:rsid w:val="00B81845"/>
    <w:rsid w:val="00B81E0F"/>
    <w:rsid w:val="00B837BF"/>
    <w:rsid w:val="00B85B6A"/>
    <w:rsid w:val="00B85E7F"/>
    <w:rsid w:val="00B912E1"/>
    <w:rsid w:val="00B928E7"/>
    <w:rsid w:val="00B93996"/>
    <w:rsid w:val="00B96044"/>
    <w:rsid w:val="00B97110"/>
    <w:rsid w:val="00BA5F7E"/>
    <w:rsid w:val="00BA6085"/>
    <w:rsid w:val="00BB280C"/>
    <w:rsid w:val="00BB5184"/>
    <w:rsid w:val="00BB5C72"/>
    <w:rsid w:val="00BB685D"/>
    <w:rsid w:val="00BC0C35"/>
    <w:rsid w:val="00BC468A"/>
    <w:rsid w:val="00BC63F1"/>
    <w:rsid w:val="00BC6A36"/>
    <w:rsid w:val="00BC7E76"/>
    <w:rsid w:val="00BD4EBA"/>
    <w:rsid w:val="00BE29C4"/>
    <w:rsid w:val="00BE2B02"/>
    <w:rsid w:val="00BE2D04"/>
    <w:rsid w:val="00BF12F6"/>
    <w:rsid w:val="00BF5A18"/>
    <w:rsid w:val="00C00765"/>
    <w:rsid w:val="00C00F13"/>
    <w:rsid w:val="00C07DF6"/>
    <w:rsid w:val="00C103F7"/>
    <w:rsid w:val="00C10464"/>
    <w:rsid w:val="00C1147C"/>
    <w:rsid w:val="00C119C2"/>
    <w:rsid w:val="00C12B66"/>
    <w:rsid w:val="00C13D6E"/>
    <w:rsid w:val="00C1546A"/>
    <w:rsid w:val="00C217D9"/>
    <w:rsid w:val="00C21B54"/>
    <w:rsid w:val="00C226D1"/>
    <w:rsid w:val="00C25027"/>
    <w:rsid w:val="00C30323"/>
    <w:rsid w:val="00C32E0B"/>
    <w:rsid w:val="00C3487F"/>
    <w:rsid w:val="00C34A3E"/>
    <w:rsid w:val="00C3746F"/>
    <w:rsid w:val="00C4015A"/>
    <w:rsid w:val="00C40967"/>
    <w:rsid w:val="00C42AFA"/>
    <w:rsid w:val="00C42C64"/>
    <w:rsid w:val="00C44667"/>
    <w:rsid w:val="00C45BE2"/>
    <w:rsid w:val="00C5013A"/>
    <w:rsid w:val="00C600E2"/>
    <w:rsid w:val="00C624A6"/>
    <w:rsid w:val="00C63D43"/>
    <w:rsid w:val="00C64C2C"/>
    <w:rsid w:val="00C651C6"/>
    <w:rsid w:val="00C654A9"/>
    <w:rsid w:val="00C66CC5"/>
    <w:rsid w:val="00C71589"/>
    <w:rsid w:val="00C72CE4"/>
    <w:rsid w:val="00C73083"/>
    <w:rsid w:val="00C74134"/>
    <w:rsid w:val="00C74517"/>
    <w:rsid w:val="00C750A9"/>
    <w:rsid w:val="00C75325"/>
    <w:rsid w:val="00C76E31"/>
    <w:rsid w:val="00C813FE"/>
    <w:rsid w:val="00C823B1"/>
    <w:rsid w:val="00C824EA"/>
    <w:rsid w:val="00C82577"/>
    <w:rsid w:val="00C82DF6"/>
    <w:rsid w:val="00C85060"/>
    <w:rsid w:val="00C87D4E"/>
    <w:rsid w:val="00C955DE"/>
    <w:rsid w:val="00CA271E"/>
    <w:rsid w:val="00CA3048"/>
    <w:rsid w:val="00CA5108"/>
    <w:rsid w:val="00CA6452"/>
    <w:rsid w:val="00CB1488"/>
    <w:rsid w:val="00CB2E06"/>
    <w:rsid w:val="00CB30A9"/>
    <w:rsid w:val="00CB3498"/>
    <w:rsid w:val="00CB4E18"/>
    <w:rsid w:val="00CB65AD"/>
    <w:rsid w:val="00CB7414"/>
    <w:rsid w:val="00CB7F46"/>
    <w:rsid w:val="00CC1DB8"/>
    <w:rsid w:val="00CC1DF5"/>
    <w:rsid w:val="00CD561B"/>
    <w:rsid w:val="00CD6254"/>
    <w:rsid w:val="00CE0015"/>
    <w:rsid w:val="00CE19C1"/>
    <w:rsid w:val="00CE2D16"/>
    <w:rsid w:val="00CE605F"/>
    <w:rsid w:val="00D013BA"/>
    <w:rsid w:val="00D01B84"/>
    <w:rsid w:val="00D01CFE"/>
    <w:rsid w:val="00D01D04"/>
    <w:rsid w:val="00D0678D"/>
    <w:rsid w:val="00D07C4B"/>
    <w:rsid w:val="00D132E5"/>
    <w:rsid w:val="00D137B5"/>
    <w:rsid w:val="00D13BEA"/>
    <w:rsid w:val="00D140F7"/>
    <w:rsid w:val="00D15103"/>
    <w:rsid w:val="00D2135D"/>
    <w:rsid w:val="00D225D8"/>
    <w:rsid w:val="00D25669"/>
    <w:rsid w:val="00D30EB1"/>
    <w:rsid w:val="00D33269"/>
    <w:rsid w:val="00D33A2E"/>
    <w:rsid w:val="00D35020"/>
    <w:rsid w:val="00D357F2"/>
    <w:rsid w:val="00D36D68"/>
    <w:rsid w:val="00D372A9"/>
    <w:rsid w:val="00D40FA5"/>
    <w:rsid w:val="00D41862"/>
    <w:rsid w:val="00D511A1"/>
    <w:rsid w:val="00D51B62"/>
    <w:rsid w:val="00D52A82"/>
    <w:rsid w:val="00D538BE"/>
    <w:rsid w:val="00D53B36"/>
    <w:rsid w:val="00D54C56"/>
    <w:rsid w:val="00D60110"/>
    <w:rsid w:val="00D622C8"/>
    <w:rsid w:val="00D64559"/>
    <w:rsid w:val="00D72C85"/>
    <w:rsid w:val="00D80A7B"/>
    <w:rsid w:val="00D82A05"/>
    <w:rsid w:val="00D84847"/>
    <w:rsid w:val="00D84A50"/>
    <w:rsid w:val="00D872BF"/>
    <w:rsid w:val="00D91213"/>
    <w:rsid w:val="00D92079"/>
    <w:rsid w:val="00D93BB1"/>
    <w:rsid w:val="00DA3CFD"/>
    <w:rsid w:val="00DA69B2"/>
    <w:rsid w:val="00DB0AB9"/>
    <w:rsid w:val="00DB5EA9"/>
    <w:rsid w:val="00DB6A2A"/>
    <w:rsid w:val="00DB7905"/>
    <w:rsid w:val="00DC074D"/>
    <w:rsid w:val="00DC2EE6"/>
    <w:rsid w:val="00DC6DB4"/>
    <w:rsid w:val="00DC76DE"/>
    <w:rsid w:val="00DD019C"/>
    <w:rsid w:val="00DD6CB9"/>
    <w:rsid w:val="00DD75C4"/>
    <w:rsid w:val="00DD7687"/>
    <w:rsid w:val="00DE01F6"/>
    <w:rsid w:val="00DE0840"/>
    <w:rsid w:val="00DE2998"/>
    <w:rsid w:val="00DE4223"/>
    <w:rsid w:val="00DE6B60"/>
    <w:rsid w:val="00DF00F4"/>
    <w:rsid w:val="00DF4D32"/>
    <w:rsid w:val="00DF799C"/>
    <w:rsid w:val="00E01788"/>
    <w:rsid w:val="00E0181C"/>
    <w:rsid w:val="00E0223C"/>
    <w:rsid w:val="00E03510"/>
    <w:rsid w:val="00E03B9F"/>
    <w:rsid w:val="00E067E0"/>
    <w:rsid w:val="00E06D10"/>
    <w:rsid w:val="00E125BF"/>
    <w:rsid w:val="00E20458"/>
    <w:rsid w:val="00E20D61"/>
    <w:rsid w:val="00E21758"/>
    <w:rsid w:val="00E22DB1"/>
    <w:rsid w:val="00E23BF9"/>
    <w:rsid w:val="00E24718"/>
    <w:rsid w:val="00E3021B"/>
    <w:rsid w:val="00E30ED2"/>
    <w:rsid w:val="00E3117D"/>
    <w:rsid w:val="00E323D7"/>
    <w:rsid w:val="00E32822"/>
    <w:rsid w:val="00E335F6"/>
    <w:rsid w:val="00E343CE"/>
    <w:rsid w:val="00E343D0"/>
    <w:rsid w:val="00E35B1D"/>
    <w:rsid w:val="00E369F2"/>
    <w:rsid w:val="00E37E3A"/>
    <w:rsid w:val="00E41BA3"/>
    <w:rsid w:val="00E52A5D"/>
    <w:rsid w:val="00E54129"/>
    <w:rsid w:val="00E55B12"/>
    <w:rsid w:val="00E55EF4"/>
    <w:rsid w:val="00E560CE"/>
    <w:rsid w:val="00E56487"/>
    <w:rsid w:val="00E60F0B"/>
    <w:rsid w:val="00E64EA3"/>
    <w:rsid w:val="00E65ECD"/>
    <w:rsid w:val="00E66282"/>
    <w:rsid w:val="00E70703"/>
    <w:rsid w:val="00E7129D"/>
    <w:rsid w:val="00E728C3"/>
    <w:rsid w:val="00E74167"/>
    <w:rsid w:val="00E7546E"/>
    <w:rsid w:val="00E80FFB"/>
    <w:rsid w:val="00E8162D"/>
    <w:rsid w:val="00E853F3"/>
    <w:rsid w:val="00E91580"/>
    <w:rsid w:val="00E91E02"/>
    <w:rsid w:val="00E94426"/>
    <w:rsid w:val="00EA097B"/>
    <w:rsid w:val="00EA1837"/>
    <w:rsid w:val="00EA356E"/>
    <w:rsid w:val="00EA374C"/>
    <w:rsid w:val="00EA3ACE"/>
    <w:rsid w:val="00EA7AED"/>
    <w:rsid w:val="00EB0B7A"/>
    <w:rsid w:val="00EB4039"/>
    <w:rsid w:val="00EB5CDD"/>
    <w:rsid w:val="00EC0591"/>
    <w:rsid w:val="00EC2491"/>
    <w:rsid w:val="00EC31F9"/>
    <w:rsid w:val="00EC566B"/>
    <w:rsid w:val="00EC745E"/>
    <w:rsid w:val="00EC7C88"/>
    <w:rsid w:val="00ED2C42"/>
    <w:rsid w:val="00ED646C"/>
    <w:rsid w:val="00EE36AA"/>
    <w:rsid w:val="00EE3E95"/>
    <w:rsid w:val="00EF2330"/>
    <w:rsid w:val="00EF2F22"/>
    <w:rsid w:val="00EF3B2B"/>
    <w:rsid w:val="00EF4A3D"/>
    <w:rsid w:val="00F00EE9"/>
    <w:rsid w:val="00F01521"/>
    <w:rsid w:val="00F03C8D"/>
    <w:rsid w:val="00F03D99"/>
    <w:rsid w:val="00F0456C"/>
    <w:rsid w:val="00F06C1C"/>
    <w:rsid w:val="00F1146F"/>
    <w:rsid w:val="00F233E6"/>
    <w:rsid w:val="00F32590"/>
    <w:rsid w:val="00F34E34"/>
    <w:rsid w:val="00F35D76"/>
    <w:rsid w:val="00F35F62"/>
    <w:rsid w:val="00F379DD"/>
    <w:rsid w:val="00F40540"/>
    <w:rsid w:val="00F408C5"/>
    <w:rsid w:val="00F42EB7"/>
    <w:rsid w:val="00F431F0"/>
    <w:rsid w:val="00F46CC9"/>
    <w:rsid w:val="00F47244"/>
    <w:rsid w:val="00F47C97"/>
    <w:rsid w:val="00F511A7"/>
    <w:rsid w:val="00F525AE"/>
    <w:rsid w:val="00F54A06"/>
    <w:rsid w:val="00F54FD2"/>
    <w:rsid w:val="00F602CF"/>
    <w:rsid w:val="00F660F9"/>
    <w:rsid w:val="00F746FD"/>
    <w:rsid w:val="00F753BA"/>
    <w:rsid w:val="00F76BE8"/>
    <w:rsid w:val="00F82F72"/>
    <w:rsid w:val="00F82FBB"/>
    <w:rsid w:val="00F9467F"/>
    <w:rsid w:val="00F96CC7"/>
    <w:rsid w:val="00FA5F45"/>
    <w:rsid w:val="00FA7522"/>
    <w:rsid w:val="00FB2878"/>
    <w:rsid w:val="00FB4192"/>
    <w:rsid w:val="00FB6652"/>
    <w:rsid w:val="00FC0492"/>
    <w:rsid w:val="00FC2C59"/>
    <w:rsid w:val="00FC6468"/>
    <w:rsid w:val="00FD178C"/>
    <w:rsid w:val="00FD469B"/>
    <w:rsid w:val="00FD604D"/>
    <w:rsid w:val="00FE1DFC"/>
    <w:rsid w:val="00FE29BB"/>
    <w:rsid w:val="00FE7C63"/>
    <w:rsid w:val="00FF0AD9"/>
    <w:rsid w:val="00FF2C82"/>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1"/>
    <o:shapelayout v:ext="edit">
      <o:idmap v:ext="edit" data="2"/>
    </o:shapelayout>
  </w:shapeDefaults>
  <w:decimalSymbol w:val="."/>
  <w:listSeparator w:val=","/>
  <w14:docId w14:val="29542691"/>
  <w15:chartTrackingRefBased/>
  <w15:docId w15:val="{4A722567-89CE-4707-A4CA-7501290D0F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321589"/>
    <w:rPr>
      <w:sz w:val="22"/>
      <w:szCs w:val="22"/>
    </w:rPr>
  </w:style>
  <w:style w:type="paragraph" w:styleId="Heading1">
    <w:name w:val="heading 1"/>
    <w:basedOn w:val="Normal"/>
    <w:next w:val="Normal"/>
    <w:link w:val="Heading1Char"/>
    <w:qFormat/>
    <w:rsid w:val="003544AA"/>
    <w:pPr>
      <w:keepNext/>
      <w:pBdr>
        <w:bottom w:val="single" w:sz="4" w:space="4" w:color="365F91"/>
      </w:pBdr>
      <w:spacing w:after="480" w:line="560" w:lineRule="atLeast"/>
      <w:outlineLvl w:val="0"/>
    </w:pPr>
    <w:rPr>
      <w:rFonts w:ascii="Georgia" w:hAnsi="Georgia"/>
      <w:bCs/>
      <w:color w:val="1B556B"/>
      <w:sz w:val="48"/>
    </w:rPr>
  </w:style>
  <w:style w:type="paragraph" w:styleId="Heading2">
    <w:name w:val="heading 2"/>
    <w:basedOn w:val="Normal"/>
    <w:next w:val="BodyText"/>
    <w:link w:val="Heading2Char"/>
    <w:qFormat/>
    <w:rsid w:val="00485ADE"/>
    <w:pPr>
      <w:keepNext/>
      <w:tabs>
        <w:tab w:val="left" w:pos="851"/>
      </w:tabs>
      <w:spacing w:before="360"/>
      <w:outlineLvl w:val="1"/>
    </w:pPr>
    <w:rPr>
      <w:rFonts w:ascii="Georgia" w:hAnsi="Georgia"/>
      <w:b/>
      <w:color w:val="1B556B"/>
      <w:sz w:val="32"/>
    </w:rPr>
  </w:style>
  <w:style w:type="paragraph" w:styleId="Heading3">
    <w:name w:val="heading 3"/>
    <w:basedOn w:val="Normal"/>
    <w:next w:val="BodyText"/>
    <w:link w:val="Heading3Char"/>
    <w:qFormat/>
    <w:rsid w:val="00122C42"/>
    <w:pPr>
      <w:keepNext/>
      <w:tabs>
        <w:tab w:val="left" w:pos="851"/>
      </w:tabs>
      <w:spacing w:before="360"/>
      <w:outlineLvl w:val="2"/>
    </w:pPr>
    <w:rPr>
      <w:rFonts w:ascii="Georgia" w:hAnsi="Georgia"/>
      <w:b/>
      <w:color w:val="1B556B"/>
      <w:sz w:val="26"/>
    </w:rPr>
  </w:style>
  <w:style w:type="paragraph" w:styleId="Heading4">
    <w:name w:val="heading 4"/>
    <w:basedOn w:val="Normal"/>
    <w:next w:val="Normal"/>
    <w:link w:val="Heading4Char"/>
    <w:qFormat/>
    <w:rsid w:val="004C583E"/>
    <w:pPr>
      <w:keepNext/>
      <w:spacing w:before="240"/>
      <w:outlineLvl w:val="3"/>
    </w:pPr>
    <w:rPr>
      <w:b/>
      <w:color w:val="1B556B"/>
    </w:rPr>
  </w:style>
  <w:style w:type="paragraph" w:styleId="Heading5">
    <w:name w:val="heading 5"/>
    <w:basedOn w:val="Normal"/>
    <w:next w:val="Normal"/>
    <w:link w:val="Heading5Char"/>
    <w:qFormat/>
    <w:rsid w:val="001F48D9"/>
    <w:pPr>
      <w:keepNext/>
      <w:spacing w:before="240"/>
      <w:outlineLvl w:val="4"/>
    </w:pPr>
    <w:rPr>
      <w:bCs/>
      <w:i/>
      <w:iCs/>
      <w:color w:val="1B556B"/>
      <w:szCs w:val="26"/>
    </w:rPr>
  </w:style>
  <w:style w:type="paragraph" w:styleId="Heading6">
    <w:name w:val="heading 6"/>
    <w:basedOn w:val="Normal"/>
    <w:next w:val="Normal"/>
    <w:link w:val="Heading6Char"/>
    <w:unhideWhenUsed/>
    <w:qFormat/>
    <w:rsid w:val="00CE2D16"/>
    <w:pPr>
      <w:keepNext/>
      <w:keepLines/>
      <w:spacing w:before="180"/>
      <w:outlineLvl w:val="5"/>
    </w:pPr>
    <w:rPr>
      <w:rFonts w:eastAsiaTheme="majorEastAsia" w:cs="Calibri"/>
      <w:b/>
      <w:bCs/>
      <w:color w:val="0E2A35" w:themeColor="accent1" w:themeShade="7F"/>
      <w:sz w:val="20"/>
      <w:szCs w:val="20"/>
    </w:rPr>
  </w:style>
  <w:style w:type="paragraph" w:styleId="Heading7">
    <w:name w:val="heading 7"/>
    <w:aliases w:val=" Char15,Char15"/>
    <w:basedOn w:val="Normal"/>
    <w:next w:val="Normal"/>
    <w:link w:val="Heading7Char"/>
    <w:semiHidden/>
    <w:qFormat/>
    <w:rsid w:val="009F5DA6"/>
    <w:pPr>
      <w:keepNext/>
      <w:keepLines/>
      <w:spacing w:before="200"/>
      <w:outlineLvl w:val="6"/>
    </w:pPr>
    <w:rPr>
      <w:rFonts w:ascii="Arial" w:hAnsi="Arial"/>
      <w:i/>
      <w:iCs/>
      <w:color w:val="404040"/>
      <w:lang w:eastAsia="en-US"/>
    </w:rPr>
  </w:style>
  <w:style w:type="paragraph" w:styleId="Heading8">
    <w:name w:val="heading 8"/>
    <w:aliases w:val=" Char14,Char14"/>
    <w:basedOn w:val="Normal"/>
    <w:next w:val="Normal"/>
    <w:link w:val="Heading8Char"/>
    <w:semiHidden/>
    <w:qFormat/>
    <w:rsid w:val="009F5DA6"/>
    <w:pPr>
      <w:keepNext/>
      <w:keepLines/>
      <w:spacing w:before="200"/>
      <w:outlineLvl w:val="7"/>
    </w:pPr>
    <w:rPr>
      <w:rFonts w:ascii="Arial" w:hAnsi="Arial"/>
      <w:color w:val="4F81BD"/>
      <w:sz w:val="20"/>
      <w:szCs w:val="20"/>
      <w:lang w:eastAsia="en-US"/>
    </w:rPr>
  </w:style>
  <w:style w:type="paragraph" w:styleId="Heading9">
    <w:name w:val="heading 9"/>
    <w:aliases w:val=" Char13,Char13"/>
    <w:basedOn w:val="Normal"/>
    <w:next w:val="Normal"/>
    <w:link w:val="Heading9Char"/>
    <w:semiHidden/>
    <w:qFormat/>
    <w:rsid w:val="009F5DA6"/>
    <w:pPr>
      <w:keepNext/>
      <w:keepLines/>
      <w:spacing w:before="200"/>
      <w:outlineLvl w:val="8"/>
    </w:pPr>
    <w:rPr>
      <w:rFonts w:ascii="Arial" w:hAnsi="Arial"/>
      <w:i/>
      <w:iCs/>
      <w:color w:val="404040"/>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C3B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772E94"/>
    <w:pPr>
      <w:jc w:val="center"/>
    </w:pPr>
    <w:rPr>
      <w:rFonts w:ascii="Arial" w:hAnsi="Arial"/>
      <w:sz w:val="16"/>
    </w:rPr>
  </w:style>
  <w:style w:type="paragraph" w:styleId="Footer">
    <w:name w:val="footer"/>
    <w:aliases w:val=" Char10,Char10"/>
    <w:basedOn w:val="Normal"/>
    <w:link w:val="FooterChar"/>
    <w:semiHidden/>
    <w:rsid w:val="00772E94"/>
    <w:rPr>
      <w:rFonts w:ascii="Arial" w:hAnsi="Arial"/>
      <w:sz w:val="16"/>
    </w:rPr>
  </w:style>
  <w:style w:type="paragraph" w:customStyle="1" w:styleId="Blockquote">
    <w:name w:val="Blockquote"/>
    <w:basedOn w:val="Normal"/>
    <w:semiHidden/>
    <w:rsid w:val="00772E94"/>
    <w:pPr>
      <w:ind w:left="567" w:right="567"/>
    </w:pPr>
    <w:rPr>
      <w:i/>
      <w:sz w:val="20"/>
    </w:rPr>
  </w:style>
  <w:style w:type="paragraph" w:styleId="BodyText">
    <w:name w:val="Body Text"/>
    <w:basedOn w:val="Normal"/>
    <w:link w:val="BodyTextChar"/>
    <w:qFormat/>
    <w:rsid w:val="00CE19C1"/>
    <w:pPr>
      <w:spacing w:before="120" w:after="120"/>
    </w:pPr>
  </w:style>
  <w:style w:type="paragraph" w:customStyle="1" w:styleId="Box">
    <w:name w:val="Box"/>
    <w:basedOn w:val="Normal"/>
    <w:next w:val="Normal"/>
    <w:uiPriority w:val="2"/>
    <w:rsid w:val="000576EC"/>
    <w:pPr>
      <w:pBdr>
        <w:top w:val="single" w:sz="6" w:space="15" w:color="auto"/>
        <w:left w:val="single" w:sz="6" w:space="15" w:color="auto"/>
        <w:bottom w:val="single" w:sz="6" w:space="15" w:color="auto"/>
        <w:right w:val="single" w:sz="6" w:space="15" w:color="auto"/>
      </w:pBdr>
      <w:ind w:right="284"/>
    </w:pPr>
    <w:rPr>
      <w:sz w:val="20"/>
    </w:rPr>
  </w:style>
  <w:style w:type="paragraph" w:customStyle="1" w:styleId="BoxBullet">
    <w:name w:val="Box Bullet"/>
    <w:basedOn w:val="Box"/>
    <w:uiPriority w:val="2"/>
    <w:rsid w:val="00855A8A"/>
    <w:pPr>
      <w:numPr>
        <w:numId w:val="1"/>
      </w:numPr>
      <w:tabs>
        <w:tab w:val="clear" w:pos="851"/>
        <w:tab w:val="left" w:pos="567"/>
      </w:tabs>
      <w:spacing w:before="120"/>
      <w:ind w:left="567"/>
    </w:pPr>
  </w:style>
  <w:style w:type="paragraph" w:customStyle="1" w:styleId="BoxHeading">
    <w:name w:val="BoxHeading"/>
    <w:basedOn w:val="Box"/>
    <w:next w:val="Box"/>
    <w:uiPriority w:val="2"/>
    <w:rsid w:val="00153F5A"/>
    <w:pPr>
      <w:spacing w:after="240"/>
    </w:pPr>
    <w:rPr>
      <w:b/>
      <w:sz w:val="22"/>
    </w:rPr>
  </w:style>
  <w:style w:type="paragraph" w:customStyle="1" w:styleId="Bullet">
    <w:name w:val="Bullet"/>
    <w:basedOn w:val="Normal"/>
    <w:link w:val="BulletChar"/>
    <w:qFormat/>
    <w:rsid w:val="00AC2AB4"/>
    <w:pPr>
      <w:numPr>
        <w:numId w:val="3"/>
      </w:numPr>
      <w:tabs>
        <w:tab w:val="left" w:pos="397"/>
      </w:tabs>
      <w:spacing w:after="120"/>
    </w:pPr>
  </w:style>
  <w:style w:type="paragraph" w:customStyle="1" w:styleId="Heading">
    <w:name w:val="Heading"/>
    <w:basedOn w:val="Heading1"/>
    <w:next w:val="Normal"/>
    <w:semiHidden/>
    <w:rsid w:val="00CB30A9"/>
  </w:style>
  <w:style w:type="paragraph" w:customStyle="1" w:styleId="ContentsHeading">
    <w:name w:val="ContentsHeading"/>
    <w:basedOn w:val="Heading"/>
    <w:next w:val="BodyText"/>
    <w:semiHidden/>
    <w:rsid w:val="00A27722"/>
  </w:style>
  <w:style w:type="paragraph" w:customStyle="1" w:styleId="Sub-bullet">
    <w:name w:val="Sub-bullet"/>
    <w:basedOn w:val="Normal"/>
    <w:uiPriority w:val="1"/>
    <w:rsid w:val="00C42C64"/>
    <w:pPr>
      <w:numPr>
        <w:numId w:val="4"/>
      </w:numPr>
      <w:tabs>
        <w:tab w:val="left" w:pos="794"/>
      </w:tabs>
      <w:spacing w:after="120"/>
    </w:pPr>
  </w:style>
  <w:style w:type="paragraph" w:customStyle="1" w:styleId="FooterEven">
    <w:name w:val="Footer Even"/>
    <w:basedOn w:val="Normal"/>
    <w:next w:val="Normal"/>
    <w:uiPriority w:val="99"/>
    <w:rsid w:val="00A34169"/>
    <w:pPr>
      <w:pBdr>
        <w:top w:val="single" w:sz="4" w:space="4" w:color="auto"/>
      </w:pBdr>
      <w:tabs>
        <w:tab w:val="left" w:pos="851"/>
      </w:tabs>
    </w:pPr>
    <w:rPr>
      <w:sz w:val="16"/>
    </w:rPr>
  </w:style>
  <w:style w:type="paragraph" w:customStyle="1" w:styleId="Figure">
    <w:name w:val="Figure"/>
    <w:basedOn w:val="Normal"/>
    <w:next w:val="BodyText"/>
    <w:link w:val="FigureChar"/>
    <w:qFormat/>
    <w:rsid w:val="00854B9D"/>
    <w:pPr>
      <w:keepNext/>
      <w:spacing w:before="120" w:after="120"/>
      <w:ind w:left="1247" w:hanging="1247"/>
    </w:pPr>
    <w:rPr>
      <w:b/>
      <w:sz w:val="18"/>
    </w:rPr>
  </w:style>
  <w:style w:type="character" w:styleId="FootnoteReference">
    <w:name w:val="footnote reference"/>
    <w:uiPriority w:val="99"/>
    <w:semiHidden/>
    <w:rsid w:val="00CE19C1"/>
    <w:rPr>
      <w:rFonts w:ascii="Calibri" w:hAnsi="Calibri"/>
      <w:sz w:val="22"/>
      <w:vertAlign w:val="superscript"/>
    </w:rPr>
  </w:style>
  <w:style w:type="paragraph" w:styleId="FootnoteText">
    <w:name w:val="footnote text"/>
    <w:basedOn w:val="Normal"/>
    <w:link w:val="FootnoteTextChar"/>
    <w:uiPriority w:val="9"/>
    <w:semiHidden/>
    <w:qFormat/>
    <w:rsid w:val="0032349D"/>
    <w:pPr>
      <w:spacing w:after="60"/>
      <w:ind w:left="284" w:hanging="284"/>
    </w:pPr>
    <w:rPr>
      <w:sz w:val="19"/>
    </w:rPr>
  </w:style>
  <w:style w:type="character" w:styleId="Hyperlink">
    <w:name w:val="Hyperlink"/>
    <w:uiPriority w:val="99"/>
    <w:rsid w:val="00A430C1"/>
    <w:rPr>
      <w:color w:val="32809C"/>
      <w:u w:val="none"/>
    </w:rPr>
  </w:style>
  <w:style w:type="paragraph" w:customStyle="1" w:styleId="Imprint">
    <w:name w:val="Imprint"/>
    <w:basedOn w:val="Normal"/>
    <w:next w:val="Normal"/>
    <w:semiHidden/>
    <w:rsid w:val="00A34169"/>
    <w:pPr>
      <w:spacing w:after="240"/>
      <w:jc w:val="center"/>
    </w:pPr>
  </w:style>
  <w:style w:type="paragraph" w:customStyle="1" w:styleId="Noteundertable">
    <w:name w:val="Note under table"/>
    <w:basedOn w:val="Normal"/>
    <w:next w:val="Normal"/>
    <w:link w:val="NoteundertableChar"/>
    <w:qFormat/>
    <w:rsid w:val="006D3FAE"/>
    <w:pPr>
      <w:tabs>
        <w:tab w:val="left" w:pos="567"/>
      </w:tabs>
      <w:spacing w:before="120" w:after="120"/>
      <w:ind w:left="567" w:hanging="567"/>
    </w:pPr>
    <w:rPr>
      <w:sz w:val="18"/>
    </w:rPr>
  </w:style>
  <w:style w:type="paragraph" w:customStyle="1" w:styleId="FooterOdd">
    <w:name w:val="Footer Odd"/>
    <w:basedOn w:val="Normal"/>
    <w:next w:val="Normal"/>
    <w:uiPriority w:val="99"/>
    <w:rsid w:val="00A34169"/>
    <w:pPr>
      <w:pBdr>
        <w:top w:val="single" w:sz="4" w:space="4" w:color="auto"/>
      </w:pBdr>
      <w:tabs>
        <w:tab w:val="right" w:pos="7655"/>
        <w:tab w:val="right" w:pos="8505"/>
      </w:tabs>
    </w:pPr>
    <w:rPr>
      <w:sz w:val="16"/>
    </w:rPr>
  </w:style>
  <w:style w:type="character" w:styleId="PageNumber">
    <w:name w:val="page number"/>
    <w:semiHidden/>
    <w:rsid w:val="00A34169"/>
    <w:rPr>
      <w:rFonts w:ascii="Calibri" w:hAnsi="Calibri"/>
      <w:b/>
      <w:sz w:val="24"/>
    </w:rPr>
  </w:style>
  <w:style w:type="paragraph" w:customStyle="1" w:styleId="References">
    <w:name w:val="References"/>
    <w:basedOn w:val="Normal"/>
    <w:link w:val="ReferencesChar"/>
    <w:qFormat/>
    <w:rsid w:val="00772E94"/>
    <w:pPr>
      <w:spacing w:after="120"/>
    </w:pPr>
    <w:rPr>
      <w:sz w:val="20"/>
    </w:rPr>
  </w:style>
  <w:style w:type="paragraph" w:customStyle="1" w:styleId="Source">
    <w:name w:val="Source"/>
    <w:basedOn w:val="Normal"/>
    <w:next w:val="Normal"/>
    <w:uiPriority w:val="1"/>
    <w:qFormat/>
    <w:rsid w:val="00CE19C1"/>
    <w:pPr>
      <w:tabs>
        <w:tab w:val="left" w:pos="680"/>
      </w:tabs>
      <w:spacing w:before="120"/>
    </w:pPr>
    <w:rPr>
      <w:sz w:val="16"/>
    </w:rPr>
  </w:style>
  <w:style w:type="paragraph" w:styleId="Title">
    <w:name w:val="Title"/>
    <w:basedOn w:val="Normal"/>
    <w:link w:val="TitleChar"/>
    <w:uiPriority w:val="2"/>
    <w:qFormat/>
    <w:rsid w:val="00650F99"/>
    <w:pPr>
      <w:spacing w:line="360" w:lineRule="auto"/>
      <w:jc w:val="center"/>
    </w:pPr>
    <w:rPr>
      <w:rFonts w:ascii="Georgia" w:hAnsi="Georgia"/>
      <w:b/>
      <w:color w:val="1B556B"/>
      <w:sz w:val="48"/>
    </w:rPr>
  </w:style>
  <w:style w:type="paragraph" w:styleId="Subtitle">
    <w:name w:val="Subtitle"/>
    <w:basedOn w:val="Title"/>
    <w:link w:val="SubtitleChar"/>
    <w:semiHidden/>
    <w:qFormat/>
    <w:rsid w:val="00772E94"/>
    <w:pPr>
      <w:spacing w:before="600" w:line="240" w:lineRule="auto"/>
      <w:outlineLvl w:val="1"/>
    </w:pPr>
    <w:rPr>
      <w:sz w:val="36"/>
    </w:rPr>
  </w:style>
  <w:style w:type="paragraph" w:customStyle="1" w:styleId="Table">
    <w:name w:val="Table"/>
    <w:basedOn w:val="Normal"/>
    <w:next w:val="BodyText"/>
    <w:link w:val="TableChar"/>
    <w:rsid w:val="007409A3"/>
    <w:pPr>
      <w:keepNext/>
      <w:spacing w:before="120" w:after="120"/>
      <w:ind w:left="1247" w:hanging="1247"/>
    </w:pPr>
    <w:rPr>
      <w:b/>
      <w:sz w:val="18"/>
    </w:rPr>
  </w:style>
  <w:style w:type="paragraph" w:customStyle="1" w:styleId="TableText">
    <w:name w:val="TableText"/>
    <w:basedOn w:val="Normal"/>
    <w:link w:val="TableTextChar"/>
    <w:qFormat/>
    <w:rsid w:val="00CE19C1"/>
    <w:pPr>
      <w:spacing w:before="60" w:after="60"/>
    </w:pPr>
    <w:rPr>
      <w:sz w:val="16"/>
    </w:rPr>
  </w:style>
  <w:style w:type="paragraph" w:customStyle="1" w:styleId="TableTextBold">
    <w:name w:val="TableText Bold"/>
    <w:basedOn w:val="TableText"/>
    <w:link w:val="TableTextBoldChar"/>
    <w:qFormat/>
    <w:rsid w:val="00F511A7"/>
    <w:rPr>
      <w:b/>
      <w:noProof/>
    </w:rPr>
  </w:style>
  <w:style w:type="paragraph" w:styleId="TOC1">
    <w:name w:val="toc 1"/>
    <w:basedOn w:val="Normal"/>
    <w:next w:val="Normal"/>
    <w:uiPriority w:val="39"/>
    <w:qFormat/>
    <w:rsid w:val="002855D2"/>
    <w:pPr>
      <w:tabs>
        <w:tab w:val="right" w:pos="8499"/>
      </w:tabs>
      <w:spacing w:before="240"/>
      <w:ind w:left="567" w:right="567" w:hanging="567"/>
    </w:pPr>
    <w:rPr>
      <w:noProof/>
      <w:sz w:val="24"/>
    </w:rPr>
  </w:style>
  <w:style w:type="paragraph" w:styleId="TOC2">
    <w:name w:val="toc 2"/>
    <w:basedOn w:val="Normal"/>
    <w:next w:val="Normal"/>
    <w:uiPriority w:val="39"/>
    <w:qFormat/>
    <w:rsid w:val="00126BDC"/>
    <w:pPr>
      <w:tabs>
        <w:tab w:val="left" w:pos="1134"/>
        <w:tab w:val="right" w:pos="8499"/>
      </w:tabs>
      <w:spacing w:before="120"/>
      <w:ind w:left="1134" w:right="567" w:hanging="567"/>
    </w:pPr>
    <w:rPr>
      <w:noProof/>
      <w:sz w:val="20"/>
    </w:rPr>
  </w:style>
  <w:style w:type="paragraph" w:styleId="TOC3">
    <w:name w:val="toc 3"/>
    <w:basedOn w:val="Normal"/>
    <w:next w:val="Normal"/>
    <w:uiPriority w:val="39"/>
    <w:qFormat/>
    <w:rsid w:val="005C3384"/>
    <w:pPr>
      <w:tabs>
        <w:tab w:val="left" w:pos="1701"/>
        <w:tab w:val="right" w:pos="7938"/>
      </w:tabs>
      <w:spacing w:before="120" w:after="120"/>
      <w:ind w:left="1134"/>
    </w:pPr>
    <w:rPr>
      <w:rFonts w:ascii="Arial" w:hAnsi="Arial"/>
      <w:sz w:val="20"/>
    </w:rPr>
  </w:style>
  <w:style w:type="paragraph" w:styleId="Caption">
    <w:name w:val="caption"/>
    <w:basedOn w:val="Normal"/>
    <w:next w:val="Normal"/>
    <w:semiHidden/>
    <w:qFormat/>
    <w:rsid w:val="00CE19C1"/>
    <w:pPr>
      <w:tabs>
        <w:tab w:val="left" w:pos="851"/>
      </w:tabs>
    </w:pPr>
    <w:rPr>
      <w:bCs/>
      <w:sz w:val="18"/>
    </w:rPr>
  </w:style>
  <w:style w:type="paragraph" w:customStyle="1" w:styleId="TableBullet">
    <w:name w:val="TableBullet"/>
    <w:basedOn w:val="TableText"/>
    <w:next w:val="TableText"/>
    <w:rsid w:val="00546A6A"/>
    <w:pPr>
      <w:numPr>
        <w:numId w:val="2"/>
      </w:numPr>
    </w:pPr>
    <w:rPr>
      <w:szCs w:val="16"/>
    </w:rPr>
  </w:style>
  <w:style w:type="paragraph" w:styleId="TableofFigures">
    <w:name w:val="table of figures"/>
    <w:basedOn w:val="Normal"/>
    <w:next w:val="Normal"/>
    <w:uiPriority w:val="99"/>
    <w:rsid w:val="00545600"/>
    <w:pPr>
      <w:tabs>
        <w:tab w:val="right" w:pos="8505"/>
      </w:tabs>
      <w:spacing w:before="20" w:after="20"/>
      <w:ind w:left="1134" w:right="567" w:hanging="1134"/>
    </w:pPr>
    <w:rPr>
      <w:sz w:val="20"/>
    </w:rPr>
  </w:style>
  <w:style w:type="paragraph" w:styleId="BalloonText">
    <w:name w:val="Balloon Text"/>
    <w:aliases w:val=" Char6,Char6"/>
    <w:basedOn w:val="Normal"/>
    <w:link w:val="BalloonTextChar"/>
    <w:uiPriority w:val="99"/>
    <w:semiHidden/>
    <w:unhideWhenUsed/>
    <w:rsid w:val="007409A3"/>
    <w:rPr>
      <w:rFonts w:ascii="Segoe UI" w:hAnsi="Segoe UI" w:cs="Segoe UI"/>
      <w:sz w:val="18"/>
      <w:szCs w:val="18"/>
    </w:rPr>
  </w:style>
  <w:style w:type="character" w:customStyle="1" w:styleId="BalloonTextChar">
    <w:name w:val="Balloon Text Char"/>
    <w:aliases w:val=" Char6 Char,Char6 Char"/>
    <w:link w:val="BalloonText"/>
    <w:uiPriority w:val="99"/>
    <w:semiHidden/>
    <w:rsid w:val="007409A3"/>
    <w:rPr>
      <w:rFonts w:ascii="Segoe UI" w:hAnsi="Segoe UI" w:cs="Segoe UI"/>
      <w:sz w:val="18"/>
      <w:szCs w:val="18"/>
    </w:rPr>
  </w:style>
  <w:style w:type="character" w:customStyle="1" w:styleId="Heading1Char">
    <w:name w:val="Heading 1 Char"/>
    <w:link w:val="Heading1"/>
    <w:rsid w:val="003544AA"/>
    <w:rPr>
      <w:rFonts w:ascii="Georgia" w:hAnsi="Georgia"/>
      <w:bCs/>
      <w:color w:val="1B556B"/>
      <w:sz w:val="48"/>
      <w:szCs w:val="22"/>
    </w:rPr>
  </w:style>
  <w:style w:type="character" w:customStyle="1" w:styleId="Heading6Char">
    <w:name w:val="Heading 6 Char"/>
    <w:basedOn w:val="DefaultParagraphFont"/>
    <w:link w:val="Heading6"/>
    <w:rsid w:val="00CE2D16"/>
    <w:rPr>
      <w:rFonts w:eastAsiaTheme="majorEastAsia" w:cs="Calibri"/>
      <w:b/>
      <w:bCs/>
      <w:color w:val="0E2A35" w:themeColor="accent1" w:themeShade="7F"/>
    </w:rPr>
  </w:style>
  <w:style w:type="character" w:customStyle="1" w:styleId="BodyTextChar">
    <w:name w:val="Body Text Char"/>
    <w:basedOn w:val="DefaultParagraphFont"/>
    <w:link w:val="BodyText"/>
    <w:rsid w:val="001D1F8B"/>
    <w:rPr>
      <w:sz w:val="22"/>
      <w:szCs w:val="22"/>
    </w:rPr>
  </w:style>
  <w:style w:type="character" w:customStyle="1" w:styleId="CommentTextChar1">
    <w:name w:val="Comment Text Char1"/>
    <w:basedOn w:val="DefaultParagraphFont"/>
    <w:uiPriority w:val="99"/>
    <w:semiHidden/>
    <w:rsid w:val="001D1F8B"/>
  </w:style>
  <w:style w:type="character" w:styleId="CommentReference">
    <w:name w:val="annotation reference"/>
    <w:uiPriority w:val="99"/>
    <w:semiHidden/>
    <w:rsid w:val="001D1F8B"/>
    <w:rPr>
      <w:sz w:val="16"/>
      <w:szCs w:val="16"/>
    </w:rPr>
  </w:style>
  <w:style w:type="character" w:styleId="Mention">
    <w:name w:val="Mention"/>
    <w:basedOn w:val="DefaultParagraphFont"/>
    <w:uiPriority w:val="99"/>
    <w:semiHidden/>
    <w:rsid w:val="001D1F8B"/>
    <w:rPr>
      <w:color w:val="2B579A"/>
      <w:shd w:val="clear" w:color="auto" w:fill="E1DFDD"/>
    </w:rPr>
  </w:style>
  <w:style w:type="character" w:customStyle="1" w:styleId="Heading7Char">
    <w:name w:val="Heading 7 Char"/>
    <w:aliases w:val=" Char15 Char,Char15 Char"/>
    <w:basedOn w:val="DefaultParagraphFont"/>
    <w:link w:val="Heading7"/>
    <w:semiHidden/>
    <w:rsid w:val="009F5DA6"/>
    <w:rPr>
      <w:rFonts w:ascii="Arial" w:hAnsi="Arial"/>
      <w:i/>
      <w:iCs/>
      <w:color w:val="404040"/>
      <w:sz w:val="22"/>
      <w:szCs w:val="22"/>
      <w:lang w:eastAsia="en-US"/>
    </w:rPr>
  </w:style>
  <w:style w:type="character" w:customStyle="1" w:styleId="Heading8Char">
    <w:name w:val="Heading 8 Char"/>
    <w:aliases w:val=" Char14 Char,Char14 Char"/>
    <w:basedOn w:val="DefaultParagraphFont"/>
    <w:link w:val="Heading8"/>
    <w:semiHidden/>
    <w:rsid w:val="009F5DA6"/>
    <w:rPr>
      <w:rFonts w:ascii="Arial" w:hAnsi="Arial"/>
      <w:color w:val="4F81BD"/>
      <w:lang w:eastAsia="en-US"/>
    </w:rPr>
  </w:style>
  <w:style w:type="character" w:customStyle="1" w:styleId="Heading9Char">
    <w:name w:val="Heading 9 Char"/>
    <w:aliases w:val=" Char13 Char,Char13 Char"/>
    <w:basedOn w:val="DefaultParagraphFont"/>
    <w:link w:val="Heading9"/>
    <w:semiHidden/>
    <w:rsid w:val="009F5DA6"/>
    <w:rPr>
      <w:rFonts w:ascii="Arial" w:hAnsi="Arial"/>
      <w:i/>
      <w:iCs/>
      <w:color w:val="404040"/>
      <w:lang w:eastAsia="en-US"/>
    </w:rPr>
  </w:style>
  <w:style w:type="character" w:customStyle="1" w:styleId="Heading2Char">
    <w:name w:val="Heading 2 Char"/>
    <w:link w:val="Heading2"/>
    <w:rsid w:val="00485ADE"/>
    <w:rPr>
      <w:rFonts w:ascii="Georgia" w:hAnsi="Georgia"/>
      <w:b/>
      <w:color w:val="1B556B"/>
      <w:sz w:val="32"/>
      <w:szCs w:val="22"/>
    </w:rPr>
  </w:style>
  <w:style w:type="character" w:customStyle="1" w:styleId="Heading3Char">
    <w:name w:val="Heading 3 Char"/>
    <w:link w:val="Heading3"/>
    <w:rsid w:val="00122C42"/>
    <w:rPr>
      <w:rFonts w:ascii="Georgia" w:hAnsi="Georgia"/>
      <w:b/>
      <w:color w:val="1B556B"/>
      <w:sz w:val="26"/>
      <w:szCs w:val="22"/>
    </w:rPr>
  </w:style>
  <w:style w:type="character" w:customStyle="1" w:styleId="Heading4Char">
    <w:name w:val="Heading 4 Char"/>
    <w:link w:val="Heading4"/>
    <w:rsid w:val="004C583E"/>
    <w:rPr>
      <w:b/>
      <w:color w:val="1B556B"/>
      <w:sz w:val="22"/>
      <w:szCs w:val="22"/>
    </w:rPr>
  </w:style>
  <w:style w:type="character" w:customStyle="1" w:styleId="Heading5Char">
    <w:name w:val="Heading 5 Char"/>
    <w:link w:val="Heading5"/>
    <w:rsid w:val="009F5DA6"/>
    <w:rPr>
      <w:bCs/>
      <w:i/>
      <w:iCs/>
      <w:color w:val="1B556B"/>
      <w:sz w:val="22"/>
      <w:szCs w:val="26"/>
    </w:rPr>
  </w:style>
  <w:style w:type="character" w:customStyle="1" w:styleId="HeaderChar">
    <w:name w:val="Header Char"/>
    <w:link w:val="Header"/>
    <w:semiHidden/>
    <w:rsid w:val="009F5DA6"/>
    <w:rPr>
      <w:rFonts w:ascii="Arial" w:hAnsi="Arial"/>
      <w:sz w:val="16"/>
      <w:szCs w:val="22"/>
    </w:rPr>
  </w:style>
  <w:style w:type="character" w:customStyle="1" w:styleId="FooterChar">
    <w:name w:val="Footer Char"/>
    <w:aliases w:val=" Char10 Char,Char10 Char"/>
    <w:link w:val="Footer"/>
    <w:semiHidden/>
    <w:rsid w:val="00BE2B02"/>
    <w:rPr>
      <w:rFonts w:ascii="Arial" w:hAnsi="Arial"/>
      <w:sz w:val="16"/>
      <w:szCs w:val="22"/>
    </w:rPr>
  </w:style>
  <w:style w:type="character" w:styleId="UnresolvedMention">
    <w:name w:val="Unresolved Mention"/>
    <w:uiPriority w:val="99"/>
    <w:semiHidden/>
    <w:unhideWhenUsed/>
    <w:rsid w:val="009F5DA6"/>
    <w:rPr>
      <w:color w:val="605E5C"/>
      <w:shd w:val="clear" w:color="auto" w:fill="E1DFDD"/>
    </w:rPr>
  </w:style>
  <w:style w:type="character" w:customStyle="1" w:styleId="FootnoteTextChar">
    <w:name w:val="Footnote Text Char"/>
    <w:link w:val="FootnoteText"/>
    <w:uiPriority w:val="9"/>
    <w:semiHidden/>
    <w:rsid w:val="00C87D4E"/>
    <w:rPr>
      <w:sz w:val="19"/>
      <w:szCs w:val="22"/>
    </w:rPr>
  </w:style>
  <w:style w:type="character" w:customStyle="1" w:styleId="TitleChar">
    <w:name w:val="Title Char"/>
    <w:link w:val="Title"/>
    <w:uiPriority w:val="2"/>
    <w:rsid w:val="00C87D4E"/>
    <w:rPr>
      <w:rFonts w:ascii="Georgia" w:hAnsi="Georgia"/>
      <w:b/>
      <w:color w:val="1B556B"/>
      <w:sz w:val="48"/>
      <w:szCs w:val="22"/>
    </w:rPr>
  </w:style>
  <w:style w:type="character" w:customStyle="1" w:styleId="SubtitleChar">
    <w:name w:val="Subtitle Char"/>
    <w:link w:val="Subtitle"/>
    <w:semiHidden/>
    <w:rsid w:val="009F5DA6"/>
    <w:rPr>
      <w:rFonts w:ascii="Georgia" w:hAnsi="Georgia"/>
      <w:b/>
      <w:color w:val="1B556B"/>
      <w:sz w:val="36"/>
      <w:szCs w:val="22"/>
    </w:rPr>
  </w:style>
  <w:style w:type="character" w:customStyle="1" w:styleId="TableTextBoldChar">
    <w:name w:val="TableText Bold Char"/>
    <w:link w:val="TableTextBold"/>
    <w:rsid w:val="009F5DA6"/>
    <w:rPr>
      <w:b/>
      <w:noProof/>
      <w:sz w:val="16"/>
      <w:szCs w:val="22"/>
    </w:rPr>
  </w:style>
  <w:style w:type="character" w:customStyle="1" w:styleId="TableTextChar">
    <w:name w:val="TableText Char"/>
    <w:link w:val="TableText"/>
    <w:rsid w:val="009F5DA6"/>
    <w:rPr>
      <w:sz w:val="16"/>
      <w:szCs w:val="22"/>
    </w:rPr>
  </w:style>
  <w:style w:type="character" w:customStyle="1" w:styleId="FigureChar">
    <w:name w:val="Figure Char"/>
    <w:link w:val="Figure"/>
    <w:rsid w:val="009F5DA6"/>
    <w:rPr>
      <w:b/>
      <w:sz w:val="18"/>
      <w:szCs w:val="22"/>
    </w:rPr>
  </w:style>
  <w:style w:type="character" w:customStyle="1" w:styleId="ReferencesChar">
    <w:name w:val="References Char"/>
    <w:link w:val="References"/>
    <w:rsid w:val="009F5DA6"/>
    <w:rPr>
      <w:szCs w:val="22"/>
    </w:rPr>
  </w:style>
  <w:style w:type="character" w:customStyle="1" w:styleId="TableChar">
    <w:name w:val="Table Char"/>
    <w:link w:val="Table"/>
    <w:locked/>
    <w:rsid w:val="009F5DA6"/>
    <w:rPr>
      <w:b/>
      <w:sz w:val="18"/>
      <w:szCs w:val="22"/>
    </w:rPr>
  </w:style>
  <w:style w:type="paragraph" w:styleId="TOCHeading">
    <w:name w:val="TOC Heading"/>
    <w:basedOn w:val="Heading1"/>
    <w:next w:val="Normal"/>
    <w:uiPriority w:val="39"/>
    <w:semiHidden/>
    <w:qFormat/>
    <w:rsid w:val="009F5DA6"/>
    <w:pPr>
      <w:keepLines/>
      <w:pBdr>
        <w:bottom w:val="none" w:sz="0" w:space="0" w:color="auto"/>
      </w:pBdr>
      <w:spacing w:before="480" w:after="0" w:line="240" w:lineRule="auto"/>
      <w:jc w:val="both"/>
      <w:outlineLvl w:val="9"/>
    </w:pPr>
    <w:rPr>
      <w:rFonts w:ascii="Calibri" w:hAnsi="Calibri"/>
      <w:b/>
      <w:bCs w:val="0"/>
      <w:color w:val="365F91"/>
      <w:sz w:val="28"/>
      <w:szCs w:val="28"/>
    </w:rPr>
  </w:style>
  <w:style w:type="character" w:customStyle="1" w:styleId="CommentSubjectChar">
    <w:name w:val="Comment Subject Char"/>
    <w:aliases w:val=" Char5 Char,Char5 Char"/>
    <w:link w:val="CommentSubject"/>
    <w:semiHidden/>
    <w:rsid w:val="009F5DA6"/>
    <w:rPr>
      <w:b/>
      <w:bCs/>
    </w:rPr>
  </w:style>
  <w:style w:type="paragraph" w:styleId="CommentSubject">
    <w:name w:val="annotation subject"/>
    <w:aliases w:val=" Char5,Char5"/>
    <w:basedOn w:val="Normal"/>
    <w:next w:val="Normal"/>
    <w:link w:val="CommentSubjectChar"/>
    <w:semiHidden/>
    <w:rsid w:val="00C87D4E"/>
    <w:rPr>
      <w:b/>
      <w:bCs/>
    </w:rPr>
  </w:style>
  <w:style w:type="character" w:customStyle="1" w:styleId="CommentSubjectChar1">
    <w:name w:val="Comment Subject Char1"/>
    <w:aliases w:val="Char5 Char1"/>
    <w:basedOn w:val="DefaultParagraphFont"/>
    <w:uiPriority w:val="99"/>
    <w:semiHidden/>
    <w:rsid w:val="00C87D4E"/>
    <w:rPr>
      <w:rFonts w:eastAsia="Arial"/>
      <w:b/>
      <w:bCs/>
    </w:rPr>
  </w:style>
  <w:style w:type="paragraph" w:styleId="BodyText2">
    <w:name w:val="Body Text 2"/>
    <w:aliases w:val=" Char4,Char4"/>
    <w:basedOn w:val="Normal"/>
    <w:link w:val="BodyText2Char"/>
    <w:semiHidden/>
    <w:rsid w:val="009F5DA6"/>
    <w:pPr>
      <w:spacing w:after="120" w:line="480" w:lineRule="auto"/>
    </w:pPr>
    <w:rPr>
      <w:rFonts w:ascii="Times New Roman" w:hAnsi="Times New Roman"/>
      <w:lang w:eastAsia="en-US"/>
    </w:rPr>
  </w:style>
  <w:style w:type="character" w:customStyle="1" w:styleId="BodyText2Char">
    <w:name w:val="Body Text 2 Char"/>
    <w:aliases w:val=" Char4 Char,Char4 Char"/>
    <w:basedOn w:val="DefaultParagraphFont"/>
    <w:link w:val="BodyText2"/>
    <w:semiHidden/>
    <w:rsid w:val="009F5DA6"/>
    <w:rPr>
      <w:rFonts w:ascii="Times New Roman" w:hAnsi="Times New Roman"/>
      <w:sz w:val="22"/>
      <w:szCs w:val="22"/>
      <w:lang w:eastAsia="en-US"/>
    </w:rPr>
  </w:style>
  <w:style w:type="paragraph" w:customStyle="1" w:styleId="Default">
    <w:name w:val="Default"/>
    <w:semiHidden/>
    <w:rsid w:val="009F5DA6"/>
    <w:pPr>
      <w:autoSpaceDE w:val="0"/>
      <w:autoSpaceDN w:val="0"/>
      <w:adjustRightInd w:val="0"/>
    </w:pPr>
    <w:rPr>
      <w:rFonts w:ascii="JBHHJB+Arial,Bold" w:hAnsi="JBHHJB+Arial,Bold" w:cs="JBHHJB+Arial,Bold"/>
      <w:i/>
      <w:color w:val="000000"/>
      <w:sz w:val="24"/>
      <w:szCs w:val="24"/>
    </w:rPr>
  </w:style>
  <w:style w:type="character" w:customStyle="1" w:styleId="EndnoteTextChar">
    <w:name w:val="Endnote Text Char"/>
    <w:aliases w:val=" Char3 Char,Char3 Char"/>
    <w:link w:val="EndnoteText"/>
    <w:semiHidden/>
    <w:rsid w:val="009F5DA6"/>
    <w:rPr>
      <w:i/>
    </w:rPr>
  </w:style>
  <w:style w:type="paragraph" w:styleId="EndnoteText">
    <w:name w:val="endnote text"/>
    <w:aliases w:val=" Char3,Char3"/>
    <w:basedOn w:val="Normal"/>
    <w:link w:val="EndnoteTextChar"/>
    <w:semiHidden/>
    <w:rsid w:val="009F5DA6"/>
    <w:pPr>
      <w:spacing w:after="120"/>
    </w:pPr>
    <w:rPr>
      <w:i/>
      <w:sz w:val="20"/>
      <w:szCs w:val="20"/>
    </w:rPr>
  </w:style>
  <w:style w:type="character" w:customStyle="1" w:styleId="EndnoteTextChar1">
    <w:name w:val="Endnote Text Char1"/>
    <w:aliases w:val="Char3 Char1"/>
    <w:basedOn w:val="DefaultParagraphFont"/>
    <w:uiPriority w:val="99"/>
    <w:semiHidden/>
    <w:rsid w:val="009F5DA6"/>
  </w:style>
  <w:style w:type="character" w:styleId="Emphasis">
    <w:name w:val="Emphasis"/>
    <w:uiPriority w:val="20"/>
    <w:semiHidden/>
    <w:qFormat/>
    <w:rsid w:val="009F5DA6"/>
    <w:rPr>
      <w:i/>
      <w:iCs/>
    </w:rPr>
  </w:style>
  <w:style w:type="paragraph" w:styleId="Revision">
    <w:name w:val="Revision"/>
    <w:hidden/>
    <w:uiPriority w:val="99"/>
    <w:rsid w:val="009F5DA6"/>
    <w:rPr>
      <w:rFonts w:ascii="Times New Roman" w:hAnsi="Times New Roman"/>
      <w:i/>
      <w:sz w:val="22"/>
      <w:lang w:eastAsia="en-US"/>
    </w:rPr>
  </w:style>
  <w:style w:type="character" w:customStyle="1" w:styleId="PlainTextChar1">
    <w:name w:val="Plain Text Char1"/>
    <w:aliases w:val="Char2 Char1"/>
    <w:uiPriority w:val="99"/>
    <w:semiHidden/>
    <w:rsid w:val="009F5DA6"/>
    <w:rPr>
      <w:rFonts w:ascii="Courier New" w:hAnsi="Courier New" w:cs="Courier New"/>
      <w:lang w:eastAsia="en-US"/>
    </w:rPr>
  </w:style>
  <w:style w:type="paragraph" w:styleId="ListBullet">
    <w:name w:val="List Bullet"/>
    <w:basedOn w:val="Normal"/>
    <w:semiHidden/>
    <w:rsid w:val="009F5DA6"/>
    <w:pPr>
      <w:numPr>
        <w:numId w:val="6"/>
      </w:numPr>
      <w:spacing w:after="120"/>
    </w:pPr>
    <w:rPr>
      <w:rFonts w:ascii="Arial" w:hAnsi="Arial"/>
      <w:sz w:val="24"/>
      <w:lang w:eastAsia="en-US"/>
    </w:rPr>
  </w:style>
  <w:style w:type="paragraph" w:styleId="ListBullet2">
    <w:name w:val="List Bullet 2"/>
    <w:basedOn w:val="ListBullet"/>
    <w:semiHidden/>
    <w:rsid w:val="009F5DA6"/>
    <w:pPr>
      <w:numPr>
        <w:numId w:val="7"/>
      </w:numPr>
      <w:tabs>
        <w:tab w:val="clear" w:pos="643"/>
        <w:tab w:val="num" w:pos="720"/>
      </w:tabs>
      <w:ind w:left="720"/>
    </w:pPr>
  </w:style>
  <w:style w:type="paragraph" w:styleId="ListBullet3">
    <w:name w:val="List Bullet 3"/>
    <w:basedOn w:val="ListBullet2"/>
    <w:semiHidden/>
    <w:rsid w:val="009F5DA6"/>
    <w:pPr>
      <w:numPr>
        <w:numId w:val="8"/>
      </w:numPr>
      <w:tabs>
        <w:tab w:val="clear" w:pos="926"/>
        <w:tab w:val="num" w:pos="1080"/>
      </w:tabs>
      <w:ind w:left="720" w:firstLine="0"/>
    </w:pPr>
  </w:style>
  <w:style w:type="paragraph" w:styleId="ListBullet4">
    <w:name w:val="List Bullet 4"/>
    <w:basedOn w:val="ListBullet3"/>
    <w:semiHidden/>
    <w:rsid w:val="009F5DA6"/>
    <w:pPr>
      <w:numPr>
        <w:numId w:val="9"/>
      </w:numPr>
      <w:tabs>
        <w:tab w:val="clear" w:pos="1209"/>
        <w:tab w:val="left" w:pos="1435"/>
      </w:tabs>
      <w:ind w:left="1434" w:hanging="357"/>
    </w:pPr>
  </w:style>
  <w:style w:type="paragraph" w:styleId="ListBullet5">
    <w:name w:val="List Bullet 5"/>
    <w:basedOn w:val="ListBullet4"/>
    <w:semiHidden/>
    <w:rsid w:val="009F5DA6"/>
    <w:pPr>
      <w:numPr>
        <w:numId w:val="10"/>
      </w:numPr>
      <w:tabs>
        <w:tab w:val="clear" w:pos="1435"/>
        <w:tab w:val="clear" w:pos="1492"/>
        <w:tab w:val="num" w:pos="1794"/>
      </w:tabs>
      <w:ind w:left="1794"/>
    </w:pPr>
  </w:style>
  <w:style w:type="paragraph" w:customStyle="1" w:styleId="Numberedparagraph">
    <w:name w:val="Numbered paragraph"/>
    <w:basedOn w:val="Normal"/>
    <w:qFormat/>
    <w:rsid w:val="00B85E7F"/>
    <w:pPr>
      <w:numPr>
        <w:numId w:val="12"/>
      </w:numPr>
      <w:spacing w:after="120"/>
    </w:pPr>
    <w:rPr>
      <w:rFonts w:cs="Calibri"/>
      <w:lang w:eastAsia="en-US"/>
    </w:rPr>
  </w:style>
  <w:style w:type="paragraph" w:customStyle="1" w:styleId="Sub-list">
    <w:name w:val="Sub-list"/>
    <w:basedOn w:val="Normal"/>
    <w:semiHidden/>
    <w:rsid w:val="009F5DA6"/>
    <w:pPr>
      <w:numPr>
        <w:numId w:val="14"/>
      </w:numPr>
      <w:tabs>
        <w:tab w:val="clear" w:pos="397"/>
        <w:tab w:val="num" w:pos="360"/>
        <w:tab w:val="left" w:pos="794"/>
      </w:tabs>
      <w:spacing w:before="60" w:after="120"/>
      <w:ind w:left="794" w:hanging="397"/>
    </w:pPr>
    <w:rPr>
      <w:rFonts w:ascii="Times New Roman" w:hAnsi="Times New Roman"/>
      <w:lang w:eastAsia="en-US"/>
    </w:rPr>
  </w:style>
  <w:style w:type="paragraph" w:customStyle="1" w:styleId="Sub-lista">
    <w:name w:val="Sub-list a"/>
    <w:aliases w:val="b"/>
    <w:basedOn w:val="Normal"/>
    <w:rsid w:val="009F5DA6"/>
    <w:pPr>
      <w:numPr>
        <w:numId w:val="13"/>
      </w:numPr>
      <w:tabs>
        <w:tab w:val="clear" w:pos="794"/>
        <w:tab w:val="left" w:pos="397"/>
      </w:tabs>
      <w:spacing w:after="120"/>
    </w:pPr>
    <w:rPr>
      <w:rFonts w:cs="Calibri"/>
      <w:lang w:eastAsia="ko-KR"/>
    </w:rPr>
  </w:style>
  <w:style w:type="paragraph" w:customStyle="1" w:styleId="Sub-listi">
    <w:name w:val="Sub-list i"/>
    <w:aliases w:val="ii"/>
    <w:basedOn w:val="Normal"/>
    <w:rsid w:val="009F5DA6"/>
    <w:pPr>
      <w:numPr>
        <w:ilvl w:val="1"/>
        <w:numId w:val="21"/>
      </w:numPr>
      <w:spacing w:after="120"/>
    </w:pPr>
  </w:style>
  <w:style w:type="paragraph" w:customStyle="1" w:styleId="TableDash">
    <w:name w:val="TableDash"/>
    <w:basedOn w:val="Normal"/>
    <w:rsid w:val="009F5DA6"/>
    <w:pPr>
      <w:numPr>
        <w:numId w:val="15"/>
      </w:numPr>
      <w:tabs>
        <w:tab w:val="clear" w:pos="567"/>
        <w:tab w:val="num" w:pos="360"/>
      </w:tabs>
      <w:spacing w:before="20" w:after="20"/>
      <w:ind w:left="568" w:hanging="284"/>
    </w:pPr>
    <w:rPr>
      <w:rFonts w:ascii="Arial" w:hAnsi="Arial" w:cs="Arial"/>
      <w:sz w:val="16"/>
      <w:szCs w:val="16"/>
      <w:lang w:eastAsia="en-US"/>
    </w:rPr>
  </w:style>
  <w:style w:type="paragraph" w:customStyle="1" w:styleId="a">
    <w:name w:val="(a)"/>
    <w:aliases w:val="(b) list"/>
    <w:basedOn w:val="Normal"/>
    <w:semiHidden/>
    <w:rsid w:val="009F5DA6"/>
    <w:pPr>
      <w:numPr>
        <w:numId w:val="11"/>
      </w:numPr>
      <w:tabs>
        <w:tab w:val="clear" w:pos="720"/>
        <w:tab w:val="num" w:pos="360"/>
      </w:tabs>
      <w:ind w:left="360"/>
    </w:pPr>
    <w:rPr>
      <w:rFonts w:ascii="Times New Roman" w:hAnsi="Times New Roman"/>
      <w:szCs w:val="20"/>
    </w:rPr>
  </w:style>
  <w:style w:type="character" w:customStyle="1" w:styleId="NoteundertableChar">
    <w:name w:val="Note under table Char"/>
    <w:link w:val="Noteundertable"/>
    <w:rsid w:val="009F5DA6"/>
    <w:rPr>
      <w:sz w:val="18"/>
      <w:szCs w:val="22"/>
    </w:rPr>
  </w:style>
  <w:style w:type="character" w:styleId="FollowedHyperlink">
    <w:name w:val="FollowedHyperlink"/>
    <w:uiPriority w:val="99"/>
    <w:semiHidden/>
    <w:rsid w:val="00321589"/>
    <w:rPr>
      <w:color w:val="32809C" w:themeColor="accent2"/>
      <w:u w:val="none"/>
    </w:rPr>
  </w:style>
  <w:style w:type="paragraph" w:styleId="NormalWeb">
    <w:name w:val="Normal (Web)"/>
    <w:basedOn w:val="Normal"/>
    <w:uiPriority w:val="99"/>
    <w:semiHidden/>
    <w:rsid w:val="009F5DA6"/>
    <w:pPr>
      <w:widowControl w:val="0"/>
      <w:adjustRightInd w:val="0"/>
      <w:spacing w:before="100" w:beforeAutospacing="1" w:after="100" w:afterAutospacing="1"/>
      <w:textAlignment w:val="baseline"/>
    </w:pPr>
    <w:rPr>
      <w:rFonts w:ascii="Times New Roman" w:hAnsi="Times New Roman"/>
      <w:szCs w:val="24"/>
      <w:lang w:val="en-GB" w:eastAsia="en-GB"/>
    </w:rPr>
  </w:style>
  <w:style w:type="table" w:styleId="Table3Deffects3">
    <w:name w:val="Table 3D effects 3"/>
    <w:basedOn w:val="TableNormal"/>
    <w:rsid w:val="009F5DA6"/>
    <w:rPr>
      <w:rFonts w:ascii="Times New Roman" w:hAnsi="Times New Roman"/>
      <w: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FootnoteCharacters">
    <w:name w:val="Footnote Characters"/>
    <w:semiHidden/>
    <w:rsid w:val="009F5DA6"/>
    <w:rPr>
      <w:vertAlign w:val="superscript"/>
    </w:rPr>
  </w:style>
  <w:style w:type="character" w:customStyle="1" w:styleId="EndnoteCharacters">
    <w:name w:val="Endnote Characters"/>
    <w:semiHidden/>
    <w:rsid w:val="009F5DA6"/>
    <w:rPr>
      <w:vertAlign w:val="superscript"/>
    </w:rPr>
  </w:style>
  <w:style w:type="paragraph" w:styleId="List">
    <w:name w:val="List"/>
    <w:basedOn w:val="BodyText"/>
    <w:semiHidden/>
    <w:rsid w:val="009F5DA6"/>
    <w:pPr>
      <w:suppressAutoHyphens/>
    </w:pPr>
    <w:rPr>
      <w:lang w:eastAsia="ar-SA"/>
    </w:rPr>
  </w:style>
  <w:style w:type="paragraph" w:customStyle="1" w:styleId="Index">
    <w:name w:val="Index"/>
    <w:basedOn w:val="Normal"/>
    <w:semiHidden/>
    <w:rsid w:val="009F5DA6"/>
    <w:pPr>
      <w:suppressLineNumbers/>
      <w:suppressAutoHyphens/>
      <w:spacing w:after="120"/>
    </w:pPr>
    <w:rPr>
      <w:rFonts w:ascii="Times New Roman" w:hAnsi="Times New Roman"/>
      <w:lang w:eastAsia="ar-SA"/>
    </w:rPr>
  </w:style>
  <w:style w:type="paragraph" w:styleId="TOC4">
    <w:name w:val="toc 4"/>
    <w:basedOn w:val="Normal"/>
    <w:next w:val="Normal"/>
    <w:uiPriority w:val="39"/>
    <w:rsid w:val="009F5DA6"/>
    <w:pPr>
      <w:tabs>
        <w:tab w:val="right" w:leader="dot" w:pos="7938"/>
      </w:tabs>
      <w:suppressAutoHyphens/>
      <w:spacing w:before="60" w:after="60"/>
      <w:ind w:left="1701"/>
    </w:pPr>
    <w:rPr>
      <w:rFonts w:ascii="Arial" w:hAnsi="Arial"/>
      <w:sz w:val="18"/>
      <w:lang w:eastAsia="ar-SA"/>
    </w:rPr>
  </w:style>
  <w:style w:type="paragraph" w:styleId="TOC5">
    <w:name w:val="toc 5"/>
    <w:basedOn w:val="Normal"/>
    <w:next w:val="Normal"/>
    <w:uiPriority w:val="39"/>
    <w:rsid w:val="009F5DA6"/>
    <w:pPr>
      <w:tabs>
        <w:tab w:val="left" w:pos="2268"/>
        <w:tab w:val="right" w:leader="dot" w:pos="7938"/>
      </w:tabs>
      <w:suppressAutoHyphens/>
      <w:spacing w:before="60" w:after="60"/>
      <w:ind w:left="2268"/>
    </w:pPr>
    <w:rPr>
      <w:rFonts w:ascii="Arial" w:hAnsi="Arial"/>
      <w:sz w:val="18"/>
      <w:lang w:eastAsia="ar-SA"/>
    </w:rPr>
  </w:style>
  <w:style w:type="paragraph" w:styleId="TOC6">
    <w:name w:val="toc 6"/>
    <w:basedOn w:val="Normal"/>
    <w:next w:val="Normal"/>
    <w:uiPriority w:val="39"/>
    <w:rsid w:val="009F5DA6"/>
    <w:pPr>
      <w:tabs>
        <w:tab w:val="left" w:pos="2552"/>
        <w:tab w:val="right" w:leader="dot" w:pos="7938"/>
      </w:tabs>
      <w:suppressAutoHyphens/>
      <w:spacing w:before="60" w:after="60"/>
      <w:ind w:left="2835"/>
    </w:pPr>
    <w:rPr>
      <w:rFonts w:ascii="Arial" w:hAnsi="Arial"/>
      <w:sz w:val="18"/>
      <w:lang w:eastAsia="ar-SA"/>
    </w:rPr>
  </w:style>
  <w:style w:type="paragraph" w:styleId="TOC7">
    <w:name w:val="toc 7"/>
    <w:basedOn w:val="Normal"/>
    <w:next w:val="Normal"/>
    <w:uiPriority w:val="39"/>
    <w:rsid w:val="009F5DA6"/>
    <w:pPr>
      <w:suppressAutoHyphens/>
      <w:spacing w:after="100" w:line="276" w:lineRule="auto"/>
      <w:ind w:left="1320"/>
    </w:pPr>
    <w:rPr>
      <w:lang w:eastAsia="ar-SA"/>
    </w:rPr>
  </w:style>
  <w:style w:type="paragraph" w:styleId="TOC8">
    <w:name w:val="toc 8"/>
    <w:basedOn w:val="Normal"/>
    <w:next w:val="Normal"/>
    <w:uiPriority w:val="39"/>
    <w:rsid w:val="009F5DA6"/>
    <w:pPr>
      <w:suppressAutoHyphens/>
      <w:spacing w:after="100" w:line="276" w:lineRule="auto"/>
      <w:ind w:left="1540"/>
    </w:pPr>
    <w:rPr>
      <w:lang w:eastAsia="ar-SA"/>
    </w:rPr>
  </w:style>
  <w:style w:type="paragraph" w:styleId="TOC9">
    <w:name w:val="toc 9"/>
    <w:basedOn w:val="Normal"/>
    <w:next w:val="Normal"/>
    <w:uiPriority w:val="39"/>
    <w:rsid w:val="009F5DA6"/>
    <w:pPr>
      <w:suppressAutoHyphens/>
      <w:spacing w:after="100" w:line="276" w:lineRule="auto"/>
      <w:ind w:left="1760"/>
    </w:pPr>
    <w:rPr>
      <w:lang w:eastAsia="ar-SA"/>
    </w:rPr>
  </w:style>
  <w:style w:type="paragraph" w:customStyle="1" w:styleId="Glossary">
    <w:name w:val="Glossary"/>
    <w:basedOn w:val="Normal"/>
    <w:semiHidden/>
    <w:rsid w:val="009F5DA6"/>
    <w:pPr>
      <w:tabs>
        <w:tab w:val="left" w:pos="2835"/>
      </w:tabs>
      <w:suppressAutoHyphens/>
      <w:spacing w:after="120"/>
      <w:ind w:left="2835" w:hanging="2835"/>
    </w:pPr>
    <w:rPr>
      <w:rFonts w:ascii="Times New Roman" w:hAnsi="Times New Roman"/>
      <w:lang w:eastAsia="ar-SA"/>
    </w:rPr>
  </w:style>
  <w:style w:type="paragraph" w:styleId="Bibliography">
    <w:name w:val="Bibliography"/>
    <w:basedOn w:val="Normal"/>
    <w:next w:val="Normal"/>
    <w:uiPriority w:val="37"/>
    <w:semiHidden/>
    <w:rsid w:val="009F5DA6"/>
    <w:pPr>
      <w:widowControl w:val="0"/>
      <w:adjustRightInd w:val="0"/>
      <w:spacing w:after="120"/>
      <w:textAlignment w:val="baseline"/>
    </w:pPr>
    <w:rPr>
      <w:rFonts w:ascii="Times New Roman" w:hAnsi="Times New Roman"/>
      <w:lang w:eastAsia="en-US"/>
    </w:rPr>
  </w:style>
  <w:style w:type="paragraph" w:styleId="DocumentMap">
    <w:name w:val="Document Map"/>
    <w:aliases w:val=" Char1,Char1"/>
    <w:basedOn w:val="Normal"/>
    <w:link w:val="DocumentMapChar"/>
    <w:semiHidden/>
    <w:rsid w:val="009F5DA6"/>
    <w:pPr>
      <w:widowControl w:val="0"/>
      <w:adjustRightInd w:val="0"/>
      <w:spacing w:after="120"/>
      <w:textAlignment w:val="baseline"/>
    </w:pPr>
    <w:rPr>
      <w:rFonts w:ascii="Tahoma" w:hAnsi="Tahoma" w:cs="Tahoma"/>
      <w:sz w:val="16"/>
      <w:szCs w:val="16"/>
      <w:lang w:eastAsia="en-US"/>
    </w:rPr>
  </w:style>
  <w:style w:type="character" w:customStyle="1" w:styleId="DocumentMapChar">
    <w:name w:val="Document Map Char"/>
    <w:aliases w:val=" Char1 Char,Char1 Char"/>
    <w:basedOn w:val="DefaultParagraphFont"/>
    <w:link w:val="DocumentMap"/>
    <w:semiHidden/>
    <w:rsid w:val="009F5DA6"/>
    <w:rPr>
      <w:rFonts w:ascii="Tahoma" w:hAnsi="Tahoma" w:cs="Tahoma"/>
      <w:sz w:val="16"/>
      <w:szCs w:val="16"/>
      <w:lang w:eastAsia="en-US"/>
    </w:rPr>
  </w:style>
  <w:style w:type="paragraph" w:styleId="NormalIndent">
    <w:name w:val="Normal Indent"/>
    <w:basedOn w:val="Normal"/>
    <w:uiPriority w:val="99"/>
    <w:semiHidden/>
    <w:rsid w:val="009F5DA6"/>
    <w:pPr>
      <w:spacing w:after="120"/>
      <w:ind w:left="567" w:right="567"/>
    </w:pPr>
    <w:rPr>
      <w:rFonts w:ascii="Times New Roman" w:hAnsi="Times New Roman"/>
      <w:lang w:eastAsia="en-US"/>
    </w:rPr>
  </w:style>
  <w:style w:type="character" w:styleId="Strong">
    <w:name w:val="Strong"/>
    <w:uiPriority w:val="22"/>
    <w:semiHidden/>
    <w:qFormat/>
    <w:rsid w:val="009F5DA6"/>
    <w:rPr>
      <w:b/>
      <w:bCs/>
    </w:rPr>
  </w:style>
  <w:style w:type="paragraph" w:styleId="Quote">
    <w:name w:val="Quote"/>
    <w:basedOn w:val="Normal"/>
    <w:next w:val="Normal"/>
    <w:link w:val="QuoteChar"/>
    <w:uiPriority w:val="29"/>
    <w:qFormat/>
    <w:rsid w:val="009F5DA6"/>
    <w:pPr>
      <w:spacing w:after="120" w:line="260" w:lineRule="atLeast"/>
      <w:ind w:left="567" w:right="567"/>
    </w:pPr>
    <w:rPr>
      <w:iCs/>
      <w:color w:val="000000"/>
      <w:sz w:val="20"/>
      <w:lang w:eastAsia="en-US"/>
    </w:rPr>
  </w:style>
  <w:style w:type="character" w:customStyle="1" w:styleId="QuoteChar">
    <w:name w:val="Quote Char"/>
    <w:basedOn w:val="DefaultParagraphFont"/>
    <w:link w:val="Quote"/>
    <w:uiPriority w:val="29"/>
    <w:rsid w:val="009F5DA6"/>
    <w:rPr>
      <w:iCs/>
      <w:color w:val="000000"/>
      <w:szCs w:val="22"/>
      <w:lang w:eastAsia="en-US"/>
    </w:rPr>
  </w:style>
  <w:style w:type="character" w:styleId="BookTitle">
    <w:name w:val="Book Title"/>
    <w:uiPriority w:val="33"/>
    <w:semiHidden/>
    <w:qFormat/>
    <w:rsid w:val="009F5DA6"/>
    <w:rPr>
      <w:b/>
      <w:bCs/>
      <w:smallCaps/>
      <w:spacing w:val="5"/>
    </w:rPr>
  </w:style>
  <w:style w:type="table" w:styleId="LightList-Accent1">
    <w:name w:val="Light List Accent 1"/>
    <w:basedOn w:val="TableNormal"/>
    <w:uiPriority w:val="61"/>
    <w:rsid w:val="009F5DA6"/>
    <w:pPr>
      <w:jc w:val="right"/>
    </w:pPr>
    <w:rPr>
      <w:rFonts w:ascii="Arial" w:hAnsi="Arial"/>
      <w:szCs w:val="22"/>
      <w:lang w:eastAsia="en-US"/>
    </w:rPr>
    <w:tblPr>
      <w:tblStyleRowBandSize w:val="1"/>
      <w:tblStyleColBandSize w:val="1"/>
      <w:tblBorders>
        <w:top w:val="single" w:sz="8" w:space="0" w:color="1F497D"/>
        <w:bottom w:val="single" w:sz="8" w:space="0" w:color="1F497D"/>
        <w:insideH w:val="single" w:sz="8" w:space="0" w:color="1F497D"/>
      </w:tblBorders>
    </w:tbl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Shading1-Accent1">
    <w:name w:val="Medium Shading 1 Accent 1"/>
    <w:basedOn w:val="TableProfessional"/>
    <w:uiPriority w:val="63"/>
    <w:rsid w:val="009F5DA6"/>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TableProfessional">
    <w:name w:val="Table Professional"/>
    <w:basedOn w:val="TableNormal"/>
    <w:uiPriority w:val="99"/>
    <w:semiHidden/>
    <w:unhideWhenUsed/>
    <w:rsid w:val="009F5DA6"/>
    <w:pPr>
      <w:spacing w:after="120"/>
      <w:jc w:val="both"/>
    </w:pPr>
    <w:rPr>
      <w:rFonts w:ascii="Arial" w:hAnsi="Arial"/>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PlaceholderText">
    <w:name w:val="Placeholder Text"/>
    <w:uiPriority w:val="99"/>
    <w:semiHidden/>
    <w:rsid w:val="009F5DA6"/>
    <w:rPr>
      <w:color w:val="808080"/>
    </w:rPr>
  </w:style>
  <w:style w:type="table" w:customStyle="1" w:styleId="LightList-Accent11">
    <w:name w:val="Light List - Accent 11"/>
    <w:basedOn w:val="TableNormal"/>
    <w:next w:val="LightList-Accent1"/>
    <w:uiPriority w:val="61"/>
    <w:rsid w:val="009F5DA6"/>
    <w:rPr>
      <w:rFonts w:eastAsia="Arial"/>
      <w:sz w:val="16"/>
      <w:szCs w:val="22"/>
      <w:lang w:eastAsia="en-US"/>
    </w:rPr>
    <w:tblPr>
      <w:tblStyleRowBandSize w:val="1"/>
      <w:tblStyleColBandSize w:val="1"/>
      <w:tblBorders>
        <w:top w:val="single" w:sz="8" w:space="0" w:color="365F91"/>
        <w:left w:val="single" w:sz="8" w:space="0" w:color="365F91"/>
        <w:bottom w:val="single" w:sz="8" w:space="0" w:color="365F91"/>
        <w:right w:val="single" w:sz="8" w:space="0" w:color="365F91"/>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IntenseEmphasis">
    <w:name w:val="Intense Emphasis"/>
    <w:uiPriority w:val="21"/>
    <w:semiHidden/>
    <w:qFormat/>
    <w:rsid w:val="009F5DA6"/>
    <w:rPr>
      <w:b w:val="0"/>
      <w:bCs/>
      <w:i w:val="0"/>
      <w:iCs/>
      <w:color w:val="4F81BD"/>
    </w:rPr>
  </w:style>
  <w:style w:type="paragraph" w:customStyle="1" w:styleId="Tableboldblue">
    <w:name w:val="Table bold blue"/>
    <w:basedOn w:val="Normal"/>
    <w:qFormat/>
    <w:rsid w:val="00155E04"/>
    <w:pPr>
      <w:spacing w:before="60" w:after="60"/>
    </w:pPr>
    <w:rPr>
      <w:b/>
      <w:color w:val="1B556B" w:themeColor="text2"/>
      <w:sz w:val="16"/>
      <w:lang w:eastAsia="en-US"/>
    </w:rPr>
  </w:style>
  <w:style w:type="character" w:customStyle="1" w:styleId="BodyText3Char">
    <w:name w:val="Body Text 3 Char"/>
    <w:link w:val="BodyText3"/>
    <w:uiPriority w:val="99"/>
    <w:semiHidden/>
    <w:rsid w:val="009F5DA6"/>
    <w:rPr>
      <w:rFonts w:eastAsia="MS Mincho"/>
      <w:sz w:val="16"/>
      <w:szCs w:val="16"/>
      <w:lang w:eastAsia="ja-JP"/>
    </w:rPr>
  </w:style>
  <w:style w:type="paragraph" w:styleId="BodyText3">
    <w:name w:val="Body Text 3"/>
    <w:basedOn w:val="Normal"/>
    <w:link w:val="BodyText3Char"/>
    <w:uiPriority w:val="99"/>
    <w:semiHidden/>
    <w:rsid w:val="009F5DA6"/>
    <w:pPr>
      <w:spacing w:after="120"/>
    </w:pPr>
    <w:rPr>
      <w:rFonts w:eastAsia="MS Mincho"/>
      <w:sz w:val="16"/>
      <w:szCs w:val="16"/>
      <w:lang w:eastAsia="ja-JP"/>
    </w:rPr>
  </w:style>
  <w:style w:type="character" w:customStyle="1" w:styleId="BodyText3Char1">
    <w:name w:val="Body Text 3 Char1"/>
    <w:basedOn w:val="DefaultParagraphFont"/>
    <w:uiPriority w:val="99"/>
    <w:semiHidden/>
    <w:rsid w:val="009F5DA6"/>
    <w:rPr>
      <w:sz w:val="16"/>
      <w:szCs w:val="16"/>
    </w:rPr>
  </w:style>
  <w:style w:type="character" w:customStyle="1" w:styleId="BodyTextFirstIndentChar">
    <w:name w:val="Body Text First Indent Char"/>
    <w:link w:val="BodyTextFirstIndent"/>
    <w:uiPriority w:val="99"/>
    <w:semiHidden/>
    <w:rsid w:val="009F5DA6"/>
    <w:rPr>
      <w:rFonts w:eastAsia="MS Mincho"/>
      <w:lang w:eastAsia="ja-JP"/>
    </w:rPr>
  </w:style>
  <w:style w:type="paragraph" w:styleId="BodyTextFirstIndent">
    <w:name w:val="Body Text First Indent"/>
    <w:basedOn w:val="BodyText"/>
    <w:link w:val="BodyTextFirstIndentChar"/>
    <w:uiPriority w:val="99"/>
    <w:semiHidden/>
    <w:rsid w:val="009F5DA6"/>
    <w:pPr>
      <w:ind w:firstLine="360"/>
    </w:pPr>
    <w:rPr>
      <w:rFonts w:eastAsia="MS Mincho"/>
      <w:sz w:val="20"/>
      <w:szCs w:val="20"/>
      <w:lang w:eastAsia="ja-JP"/>
    </w:rPr>
  </w:style>
  <w:style w:type="character" w:customStyle="1" w:styleId="BodyTextFirstIndentChar1">
    <w:name w:val="Body Text First Indent Char1"/>
    <w:basedOn w:val="BodyTextChar"/>
    <w:uiPriority w:val="99"/>
    <w:semiHidden/>
    <w:rsid w:val="009F5DA6"/>
    <w:rPr>
      <w:sz w:val="22"/>
      <w:szCs w:val="22"/>
    </w:rPr>
  </w:style>
  <w:style w:type="character" w:customStyle="1" w:styleId="BodyTextIndentChar">
    <w:name w:val="Body Text Indent Char"/>
    <w:link w:val="BodyTextIndent"/>
    <w:uiPriority w:val="99"/>
    <w:semiHidden/>
    <w:rsid w:val="009F5DA6"/>
    <w:rPr>
      <w:rFonts w:eastAsia="MS Mincho"/>
      <w:lang w:eastAsia="ja-JP"/>
    </w:rPr>
  </w:style>
  <w:style w:type="paragraph" w:styleId="BodyTextIndent">
    <w:name w:val="Body Text Indent"/>
    <w:basedOn w:val="Normal"/>
    <w:link w:val="BodyTextIndentChar"/>
    <w:uiPriority w:val="99"/>
    <w:semiHidden/>
    <w:rsid w:val="009F5DA6"/>
    <w:pPr>
      <w:spacing w:after="120"/>
      <w:ind w:left="283"/>
    </w:pPr>
    <w:rPr>
      <w:rFonts w:eastAsia="MS Mincho"/>
      <w:sz w:val="20"/>
      <w:szCs w:val="20"/>
      <w:lang w:eastAsia="ja-JP"/>
    </w:rPr>
  </w:style>
  <w:style w:type="character" w:customStyle="1" w:styleId="BodyTextIndentChar1">
    <w:name w:val="Body Text Indent Char1"/>
    <w:basedOn w:val="DefaultParagraphFont"/>
    <w:uiPriority w:val="99"/>
    <w:semiHidden/>
    <w:rsid w:val="009F5DA6"/>
    <w:rPr>
      <w:sz w:val="22"/>
      <w:szCs w:val="22"/>
    </w:rPr>
  </w:style>
  <w:style w:type="character" w:customStyle="1" w:styleId="BodyTextFirstIndent2Char">
    <w:name w:val="Body Text First Indent 2 Char"/>
    <w:link w:val="BodyTextFirstIndent2"/>
    <w:uiPriority w:val="99"/>
    <w:semiHidden/>
    <w:rsid w:val="009F5DA6"/>
    <w:rPr>
      <w:rFonts w:eastAsia="MS Mincho"/>
      <w:lang w:eastAsia="ja-JP"/>
    </w:rPr>
  </w:style>
  <w:style w:type="paragraph" w:styleId="BodyTextFirstIndent2">
    <w:name w:val="Body Text First Indent 2"/>
    <w:basedOn w:val="BodyTextIndent"/>
    <w:link w:val="BodyTextFirstIndent2Char"/>
    <w:uiPriority w:val="99"/>
    <w:semiHidden/>
    <w:rsid w:val="009F5DA6"/>
    <w:pPr>
      <w:spacing w:after="0"/>
      <w:ind w:left="360" w:firstLine="360"/>
    </w:pPr>
  </w:style>
  <w:style w:type="character" w:customStyle="1" w:styleId="BodyTextFirstIndent2Char1">
    <w:name w:val="Body Text First Indent 2 Char1"/>
    <w:basedOn w:val="BodyTextIndentChar1"/>
    <w:uiPriority w:val="99"/>
    <w:semiHidden/>
    <w:rsid w:val="009F5DA6"/>
    <w:rPr>
      <w:sz w:val="22"/>
      <w:szCs w:val="22"/>
    </w:rPr>
  </w:style>
  <w:style w:type="character" w:customStyle="1" w:styleId="BodyTextIndent2Char">
    <w:name w:val="Body Text Indent 2 Char"/>
    <w:link w:val="BodyTextIndent2"/>
    <w:uiPriority w:val="99"/>
    <w:semiHidden/>
    <w:rsid w:val="009F5DA6"/>
    <w:rPr>
      <w:rFonts w:eastAsia="MS Mincho"/>
      <w:lang w:eastAsia="ja-JP"/>
    </w:rPr>
  </w:style>
  <w:style w:type="paragraph" w:styleId="BodyTextIndent2">
    <w:name w:val="Body Text Indent 2"/>
    <w:basedOn w:val="Normal"/>
    <w:link w:val="BodyTextIndent2Char"/>
    <w:uiPriority w:val="99"/>
    <w:semiHidden/>
    <w:rsid w:val="009F5DA6"/>
    <w:pPr>
      <w:spacing w:after="120" w:line="480" w:lineRule="auto"/>
      <w:ind w:left="283"/>
    </w:pPr>
    <w:rPr>
      <w:rFonts w:eastAsia="MS Mincho"/>
      <w:sz w:val="20"/>
      <w:szCs w:val="20"/>
      <w:lang w:eastAsia="ja-JP"/>
    </w:rPr>
  </w:style>
  <w:style w:type="character" w:customStyle="1" w:styleId="BodyTextIndent2Char1">
    <w:name w:val="Body Text Indent 2 Char1"/>
    <w:basedOn w:val="DefaultParagraphFont"/>
    <w:uiPriority w:val="99"/>
    <w:semiHidden/>
    <w:rsid w:val="009F5DA6"/>
    <w:rPr>
      <w:sz w:val="22"/>
      <w:szCs w:val="22"/>
    </w:rPr>
  </w:style>
  <w:style w:type="character" w:customStyle="1" w:styleId="BodyTextIndent3Char">
    <w:name w:val="Body Text Indent 3 Char"/>
    <w:link w:val="BodyTextIndent3"/>
    <w:uiPriority w:val="99"/>
    <w:semiHidden/>
    <w:rsid w:val="009F5DA6"/>
    <w:rPr>
      <w:rFonts w:eastAsia="MS Mincho"/>
      <w:sz w:val="16"/>
      <w:szCs w:val="16"/>
      <w:lang w:eastAsia="ja-JP"/>
    </w:rPr>
  </w:style>
  <w:style w:type="paragraph" w:styleId="BodyTextIndent3">
    <w:name w:val="Body Text Indent 3"/>
    <w:basedOn w:val="Normal"/>
    <w:link w:val="BodyTextIndent3Char"/>
    <w:uiPriority w:val="99"/>
    <w:semiHidden/>
    <w:rsid w:val="009F5DA6"/>
    <w:pPr>
      <w:spacing w:after="120"/>
      <w:ind w:left="283"/>
    </w:pPr>
    <w:rPr>
      <w:rFonts w:eastAsia="MS Mincho"/>
      <w:sz w:val="16"/>
      <w:szCs w:val="16"/>
      <w:lang w:eastAsia="ja-JP"/>
    </w:rPr>
  </w:style>
  <w:style w:type="character" w:customStyle="1" w:styleId="BodyTextIndent3Char1">
    <w:name w:val="Body Text Indent 3 Char1"/>
    <w:basedOn w:val="DefaultParagraphFont"/>
    <w:uiPriority w:val="99"/>
    <w:semiHidden/>
    <w:rsid w:val="009F5DA6"/>
    <w:rPr>
      <w:sz w:val="16"/>
      <w:szCs w:val="16"/>
    </w:rPr>
  </w:style>
  <w:style w:type="character" w:customStyle="1" w:styleId="ClosingChar">
    <w:name w:val="Closing Char"/>
    <w:link w:val="Closing"/>
    <w:uiPriority w:val="99"/>
    <w:semiHidden/>
    <w:rsid w:val="009F5DA6"/>
    <w:rPr>
      <w:rFonts w:eastAsia="MS Mincho"/>
      <w:lang w:eastAsia="ja-JP"/>
    </w:rPr>
  </w:style>
  <w:style w:type="paragraph" w:styleId="Closing">
    <w:name w:val="Closing"/>
    <w:basedOn w:val="Normal"/>
    <w:link w:val="ClosingChar"/>
    <w:uiPriority w:val="99"/>
    <w:semiHidden/>
    <w:rsid w:val="009F5DA6"/>
    <w:pPr>
      <w:ind w:left="4252"/>
    </w:pPr>
    <w:rPr>
      <w:rFonts w:eastAsia="MS Mincho"/>
      <w:sz w:val="20"/>
      <w:szCs w:val="20"/>
      <w:lang w:eastAsia="ja-JP"/>
    </w:rPr>
  </w:style>
  <w:style w:type="character" w:customStyle="1" w:styleId="ClosingChar1">
    <w:name w:val="Closing Char1"/>
    <w:basedOn w:val="DefaultParagraphFont"/>
    <w:uiPriority w:val="99"/>
    <w:semiHidden/>
    <w:rsid w:val="009F5DA6"/>
    <w:rPr>
      <w:sz w:val="22"/>
      <w:szCs w:val="22"/>
    </w:rPr>
  </w:style>
  <w:style w:type="character" w:customStyle="1" w:styleId="DateChar">
    <w:name w:val="Date Char"/>
    <w:link w:val="Date"/>
    <w:uiPriority w:val="99"/>
    <w:semiHidden/>
    <w:rsid w:val="009F5DA6"/>
    <w:rPr>
      <w:rFonts w:eastAsia="MS Mincho"/>
      <w:lang w:eastAsia="ja-JP"/>
    </w:rPr>
  </w:style>
  <w:style w:type="paragraph" w:styleId="Date">
    <w:name w:val="Date"/>
    <w:basedOn w:val="Normal"/>
    <w:next w:val="Normal"/>
    <w:link w:val="DateChar"/>
    <w:uiPriority w:val="99"/>
    <w:semiHidden/>
    <w:rsid w:val="009F5DA6"/>
    <w:rPr>
      <w:rFonts w:eastAsia="MS Mincho"/>
      <w:sz w:val="20"/>
      <w:szCs w:val="20"/>
      <w:lang w:eastAsia="ja-JP"/>
    </w:rPr>
  </w:style>
  <w:style w:type="character" w:customStyle="1" w:styleId="DateChar1">
    <w:name w:val="Date Char1"/>
    <w:basedOn w:val="DefaultParagraphFont"/>
    <w:uiPriority w:val="99"/>
    <w:semiHidden/>
    <w:rsid w:val="009F5DA6"/>
    <w:rPr>
      <w:sz w:val="22"/>
      <w:szCs w:val="22"/>
    </w:rPr>
  </w:style>
  <w:style w:type="character" w:customStyle="1" w:styleId="E-mailSignatureChar">
    <w:name w:val="E-mail Signature Char"/>
    <w:link w:val="E-mailSignature"/>
    <w:uiPriority w:val="99"/>
    <w:semiHidden/>
    <w:rsid w:val="009F5DA6"/>
    <w:rPr>
      <w:rFonts w:eastAsia="MS Mincho"/>
      <w:lang w:eastAsia="ja-JP"/>
    </w:rPr>
  </w:style>
  <w:style w:type="paragraph" w:styleId="E-mailSignature">
    <w:name w:val="E-mail Signature"/>
    <w:basedOn w:val="Normal"/>
    <w:link w:val="E-mailSignatureChar"/>
    <w:uiPriority w:val="99"/>
    <w:semiHidden/>
    <w:rsid w:val="009F5DA6"/>
    <w:rPr>
      <w:rFonts w:eastAsia="MS Mincho"/>
      <w:sz w:val="20"/>
      <w:szCs w:val="20"/>
      <w:lang w:eastAsia="ja-JP"/>
    </w:rPr>
  </w:style>
  <w:style w:type="character" w:customStyle="1" w:styleId="E-mailSignatureChar1">
    <w:name w:val="E-mail Signature Char1"/>
    <w:basedOn w:val="DefaultParagraphFont"/>
    <w:uiPriority w:val="99"/>
    <w:semiHidden/>
    <w:rsid w:val="009F5DA6"/>
    <w:rPr>
      <w:sz w:val="22"/>
      <w:szCs w:val="22"/>
    </w:rPr>
  </w:style>
  <w:style w:type="character" w:customStyle="1" w:styleId="HTMLAddressChar">
    <w:name w:val="HTML Address Char"/>
    <w:link w:val="HTMLAddress"/>
    <w:uiPriority w:val="99"/>
    <w:semiHidden/>
    <w:rsid w:val="009F5DA6"/>
    <w:rPr>
      <w:rFonts w:eastAsia="MS Mincho"/>
      <w:i/>
      <w:iCs/>
      <w:lang w:eastAsia="ja-JP"/>
    </w:rPr>
  </w:style>
  <w:style w:type="paragraph" w:styleId="HTMLAddress">
    <w:name w:val="HTML Address"/>
    <w:basedOn w:val="Normal"/>
    <w:link w:val="HTMLAddressChar"/>
    <w:uiPriority w:val="99"/>
    <w:semiHidden/>
    <w:rsid w:val="009F5DA6"/>
    <w:rPr>
      <w:rFonts w:eastAsia="MS Mincho"/>
      <w:i/>
      <w:iCs/>
      <w:sz w:val="20"/>
      <w:szCs w:val="20"/>
      <w:lang w:eastAsia="ja-JP"/>
    </w:rPr>
  </w:style>
  <w:style w:type="character" w:customStyle="1" w:styleId="HTMLAddressChar1">
    <w:name w:val="HTML Address Char1"/>
    <w:basedOn w:val="DefaultParagraphFont"/>
    <w:uiPriority w:val="99"/>
    <w:semiHidden/>
    <w:rsid w:val="009F5DA6"/>
    <w:rPr>
      <w:i/>
      <w:iCs/>
      <w:sz w:val="22"/>
      <w:szCs w:val="22"/>
    </w:rPr>
  </w:style>
  <w:style w:type="character" w:customStyle="1" w:styleId="HTMLPreformattedChar">
    <w:name w:val="HTML Preformatted Char"/>
    <w:link w:val="HTMLPreformatted"/>
    <w:uiPriority w:val="99"/>
    <w:semiHidden/>
    <w:rsid w:val="009F5DA6"/>
    <w:rPr>
      <w:rFonts w:ascii="Consolas" w:eastAsia="MS Mincho" w:hAnsi="Consolas"/>
      <w:lang w:eastAsia="ja-JP"/>
    </w:rPr>
  </w:style>
  <w:style w:type="paragraph" w:styleId="HTMLPreformatted">
    <w:name w:val="HTML Preformatted"/>
    <w:basedOn w:val="Normal"/>
    <w:link w:val="HTMLPreformattedChar"/>
    <w:uiPriority w:val="99"/>
    <w:semiHidden/>
    <w:rsid w:val="009F5DA6"/>
    <w:rPr>
      <w:rFonts w:ascii="Consolas" w:eastAsia="MS Mincho" w:hAnsi="Consolas"/>
      <w:sz w:val="20"/>
      <w:szCs w:val="20"/>
      <w:lang w:eastAsia="ja-JP"/>
    </w:rPr>
  </w:style>
  <w:style w:type="character" w:customStyle="1" w:styleId="HTMLPreformattedChar1">
    <w:name w:val="HTML Preformatted Char1"/>
    <w:basedOn w:val="DefaultParagraphFont"/>
    <w:uiPriority w:val="99"/>
    <w:semiHidden/>
    <w:rsid w:val="009F5DA6"/>
    <w:rPr>
      <w:rFonts w:ascii="Consolas" w:hAnsi="Consolas"/>
    </w:rPr>
  </w:style>
  <w:style w:type="character" w:customStyle="1" w:styleId="MacroTextChar">
    <w:name w:val="Macro Text Char"/>
    <w:link w:val="MacroText"/>
    <w:uiPriority w:val="99"/>
    <w:semiHidden/>
    <w:rsid w:val="009F5DA6"/>
    <w:rPr>
      <w:rFonts w:ascii="Consolas" w:hAnsi="Consolas"/>
    </w:rPr>
  </w:style>
  <w:style w:type="paragraph" w:styleId="MacroText">
    <w:name w:val="macro"/>
    <w:link w:val="MacroTextChar"/>
    <w:uiPriority w:val="99"/>
    <w:semiHidden/>
    <w:rsid w:val="009F5DA6"/>
    <w:pPr>
      <w:tabs>
        <w:tab w:val="left" w:pos="480"/>
        <w:tab w:val="left" w:pos="960"/>
        <w:tab w:val="left" w:pos="1440"/>
        <w:tab w:val="left" w:pos="1920"/>
        <w:tab w:val="left" w:pos="2400"/>
        <w:tab w:val="left" w:pos="2880"/>
        <w:tab w:val="left" w:pos="3360"/>
        <w:tab w:val="left" w:pos="3840"/>
        <w:tab w:val="left" w:pos="4320"/>
      </w:tabs>
      <w:jc w:val="both"/>
    </w:pPr>
    <w:rPr>
      <w:rFonts w:ascii="Consolas" w:hAnsi="Consolas"/>
    </w:rPr>
  </w:style>
  <w:style w:type="character" w:customStyle="1" w:styleId="MacroTextChar1">
    <w:name w:val="Macro Text Char1"/>
    <w:basedOn w:val="DefaultParagraphFont"/>
    <w:uiPriority w:val="99"/>
    <w:semiHidden/>
    <w:rsid w:val="009F5DA6"/>
    <w:rPr>
      <w:rFonts w:ascii="Consolas" w:hAnsi="Consolas"/>
    </w:rPr>
  </w:style>
  <w:style w:type="character" w:customStyle="1" w:styleId="MessageHeaderChar">
    <w:name w:val="Message Header Char"/>
    <w:link w:val="MessageHeader"/>
    <w:uiPriority w:val="99"/>
    <w:semiHidden/>
    <w:rsid w:val="009F5DA6"/>
    <w:rPr>
      <w:rFonts w:ascii="Arial" w:eastAsia="MS Mincho" w:hAnsi="Arial"/>
      <w:sz w:val="24"/>
      <w:szCs w:val="24"/>
      <w:shd w:val="pct20" w:color="auto" w:fill="auto"/>
      <w:lang w:eastAsia="ja-JP"/>
    </w:rPr>
  </w:style>
  <w:style w:type="paragraph" w:styleId="MessageHeader">
    <w:name w:val="Message Header"/>
    <w:basedOn w:val="Normal"/>
    <w:link w:val="MessageHeaderChar"/>
    <w:uiPriority w:val="99"/>
    <w:semiHidden/>
    <w:rsid w:val="009F5DA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MS Mincho" w:hAnsi="Arial"/>
      <w:sz w:val="24"/>
      <w:szCs w:val="24"/>
      <w:lang w:eastAsia="ja-JP"/>
    </w:rPr>
  </w:style>
  <w:style w:type="character" w:customStyle="1" w:styleId="MessageHeaderChar1">
    <w:name w:val="Message Header Char1"/>
    <w:basedOn w:val="DefaultParagraphFont"/>
    <w:uiPriority w:val="99"/>
    <w:semiHidden/>
    <w:rsid w:val="009F5DA6"/>
    <w:rPr>
      <w:rFonts w:asciiTheme="majorHAnsi" w:eastAsiaTheme="majorEastAsia" w:hAnsiTheme="majorHAnsi" w:cstheme="majorBidi"/>
      <w:sz w:val="24"/>
      <w:szCs w:val="24"/>
      <w:shd w:val="pct20" w:color="auto" w:fill="auto"/>
    </w:rPr>
  </w:style>
  <w:style w:type="character" w:customStyle="1" w:styleId="NoteHeadingChar">
    <w:name w:val="Note Heading Char"/>
    <w:link w:val="NoteHeading"/>
    <w:uiPriority w:val="99"/>
    <w:semiHidden/>
    <w:rsid w:val="009F5DA6"/>
    <w:rPr>
      <w:rFonts w:eastAsia="MS Mincho"/>
      <w:lang w:eastAsia="ja-JP"/>
    </w:rPr>
  </w:style>
  <w:style w:type="paragraph" w:styleId="NoteHeading">
    <w:name w:val="Note Heading"/>
    <w:basedOn w:val="Normal"/>
    <w:next w:val="Normal"/>
    <w:link w:val="NoteHeadingChar"/>
    <w:uiPriority w:val="99"/>
    <w:semiHidden/>
    <w:rsid w:val="009F5DA6"/>
    <w:rPr>
      <w:rFonts w:eastAsia="MS Mincho"/>
      <w:sz w:val="20"/>
      <w:szCs w:val="20"/>
      <w:lang w:eastAsia="ja-JP"/>
    </w:rPr>
  </w:style>
  <w:style w:type="character" w:customStyle="1" w:styleId="NoteHeadingChar1">
    <w:name w:val="Note Heading Char1"/>
    <w:basedOn w:val="DefaultParagraphFont"/>
    <w:uiPriority w:val="99"/>
    <w:semiHidden/>
    <w:rsid w:val="009F5DA6"/>
    <w:rPr>
      <w:sz w:val="22"/>
      <w:szCs w:val="22"/>
    </w:rPr>
  </w:style>
  <w:style w:type="character" w:customStyle="1" w:styleId="SalutationChar">
    <w:name w:val="Salutation Char"/>
    <w:link w:val="Salutation"/>
    <w:uiPriority w:val="99"/>
    <w:semiHidden/>
    <w:rsid w:val="009F5DA6"/>
    <w:rPr>
      <w:rFonts w:eastAsia="MS Mincho"/>
      <w:lang w:eastAsia="ja-JP"/>
    </w:rPr>
  </w:style>
  <w:style w:type="paragraph" w:styleId="Salutation">
    <w:name w:val="Salutation"/>
    <w:basedOn w:val="Normal"/>
    <w:next w:val="Normal"/>
    <w:link w:val="SalutationChar"/>
    <w:uiPriority w:val="99"/>
    <w:semiHidden/>
    <w:rsid w:val="009F5DA6"/>
    <w:rPr>
      <w:rFonts w:eastAsia="MS Mincho"/>
      <w:sz w:val="20"/>
      <w:szCs w:val="20"/>
      <w:lang w:eastAsia="ja-JP"/>
    </w:rPr>
  </w:style>
  <w:style w:type="character" w:customStyle="1" w:styleId="SalutationChar1">
    <w:name w:val="Salutation Char1"/>
    <w:basedOn w:val="DefaultParagraphFont"/>
    <w:uiPriority w:val="99"/>
    <w:semiHidden/>
    <w:rsid w:val="009F5DA6"/>
    <w:rPr>
      <w:sz w:val="22"/>
      <w:szCs w:val="22"/>
    </w:rPr>
  </w:style>
  <w:style w:type="character" w:customStyle="1" w:styleId="SignatureChar">
    <w:name w:val="Signature Char"/>
    <w:link w:val="Signature"/>
    <w:uiPriority w:val="99"/>
    <w:semiHidden/>
    <w:rsid w:val="009F5DA6"/>
    <w:rPr>
      <w:rFonts w:eastAsia="MS Mincho"/>
      <w:lang w:eastAsia="ja-JP"/>
    </w:rPr>
  </w:style>
  <w:style w:type="paragraph" w:styleId="Signature">
    <w:name w:val="Signature"/>
    <w:basedOn w:val="Normal"/>
    <w:link w:val="SignatureChar"/>
    <w:uiPriority w:val="99"/>
    <w:semiHidden/>
    <w:rsid w:val="009F5DA6"/>
    <w:pPr>
      <w:ind w:left="4252"/>
    </w:pPr>
    <w:rPr>
      <w:rFonts w:eastAsia="MS Mincho"/>
      <w:sz w:val="20"/>
      <w:szCs w:val="20"/>
      <w:lang w:eastAsia="ja-JP"/>
    </w:rPr>
  </w:style>
  <w:style w:type="character" w:customStyle="1" w:styleId="SignatureChar1">
    <w:name w:val="Signature Char1"/>
    <w:basedOn w:val="DefaultParagraphFont"/>
    <w:uiPriority w:val="99"/>
    <w:semiHidden/>
    <w:rsid w:val="009F5DA6"/>
    <w:rPr>
      <w:sz w:val="22"/>
      <w:szCs w:val="22"/>
    </w:rPr>
  </w:style>
  <w:style w:type="table" w:customStyle="1" w:styleId="TableGrid1">
    <w:name w:val="Table Grid1"/>
    <w:basedOn w:val="TableNormal"/>
    <w:next w:val="TableGrid"/>
    <w:uiPriority w:val="59"/>
    <w:rsid w:val="009F5DA6"/>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F5DA6"/>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uiPriority w:val="99"/>
    <w:semiHidden/>
    <w:rsid w:val="009F5DA6"/>
    <w:pPr>
      <w:pBdr>
        <w:top w:val="single" w:sz="2" w:space="10" w:color="4F81BD" w:shadow="1"/>
        <w:left w:val="single" w:sz="2" w:space="10" w:color="4F81BD" w:shadow="1"/>
        <w:bottom w:val="single" w:sz="2" w:space="10" w:color="4F81BD" w:shadow="1"/>
        <w:right w:val="single" w:sz="2" w:space="10" w:color="4F81BD" w:shadow="1"/>
      </w:pBdr>
      <w:spacing w:before="60" w:after="180"/>
      <w:ind w:left="1152" w:right="1152"/>
    </w:pPr>
    <w:rPr>
      <w:rFonts w:ascii="Arial" w:hAnsi="Arial"/>
      <w:i/>
      <w:iCs/>
      <w:color w:val="4F81BD"/>
      <w:szCs w:val="20"/>
      <w:lang w:eastAsia="en-US"/>
    </w:rPr>
  </w:style>
  <w:style w:type="paragraph" w:styleId="EnvelopeAddress">
    <w:name w:val="envelope address"/>
    <w:basedOn w:val="Normal"/>
    <w:uiPriority w:val="99"/>
    <w:semiHidden/>
    <w:unhideWhenUsed/>
    <w:rsid w:val="009F5DA6"/>
    <w:pPr>
      <w:framePr w:w="7920" w:h="1980" w:hRule="exact" w:hSpace="180" w:wrap="auto" w:hAnchor="page" w:xAlign="center" w:yAlign="bottom"/>
      <w:spacing w:before="60" w:after="180"/>
      <w:ind w:left="2880"/>
    </w:pPr>
    <w:rPr>
      <w:rFonts w:ascii="Arial" w:hAnsi="Arial"/>
      <w:sz w:val="24"/>
      <w:szCs w:val="24"/>
      <w:lang w:eastAsia="en-US"/>
    </w:rPr>
  </w:style>
  <w:style w:type="paragraph" w:styleId="EnvelopeReturn">
    <w:name w:val="envelope return"/>
    <w:basedOn w:val="Normal"/>
    <w:uiPriority w:val="99"/>
    <w:semiHidden/>
    <w:unhideWhenUsed/>
    <w:rsid w:val="009F5DA6"/>
    <w:pPr>
      <w:spacing w:before="60" w:after="180"/>
    </w:pPr>
    <w:rPr>
      <w:rFonts w:ascii="Arial" w:hAnsi="Arial"/>
      <w:sz w:val="20"/>
      <w:szCs w:val="20"/>
      <w:lang w:eastAsia="en-US"/>
    </w:rPr>
  </w:style>
  <w:style w:type="paragraph" w:styleId="Index1">
    <w:name w:val="index 1"/>
    <w:basedOn w:val="Normal"/>
    <w:next w:val="Normal"/>
    <w:autoRedefine/>
    <w:uiPriority w:val="99"/>
    <w:semiHidden/>
    <w:unhideWhenUsed/>
    <w:rsid w:val="009F5DA6"/>
    <w:pPr>
      <w:spacing w:before="60" w:after="180"/>
      <w:ind w:left="220" w:hanging="220"/>
    </w:pPr>
    <w:rPr>
      <w:rFonts w:ascii="Times New Roman" w:hAnsi="Times New Roman"/>
      <w:szCs w:val="20"/>
      <w:lang w:eastAsia="en-US"/>
    </w:rPr>
  </w:style>
  <w:style w:type="paragraph" w:styleId="Index2">
    <w:name w:val="index 2"/>
    <w:basedOn w:val="Normal"/>
    <w:next w:val="Normal"/>
    <w:autoRedefine/>
    <w:uiPriority w:val="99"/>
    <w:semiHidden/>
    <w:unhideWhenUsed/>
    <w:rsid w:val="009F5DA6"/>
    <w:pPr>
      <w:spacing w:before="60" w:after="180"/>
      <w:ind w:left="440" w:hanging="220"/>
    </w:pPr>
    <w:rPr>
      <w:rFonts w:ascii="Times New Roman" w:hAnsi="Times New Roman"/>
      <w:szCs w:val="20"/>
      <w:lang w:eastAsia="en-US"/>
    </w:rPr>
  </w:style>
  <w:style w:type="paragraph" w:styleId="Index3">
    <w:name w:val="index 3"/>
    <w:basedOn w:val="Normal"/>
    <w:next w:val="Normal"/>
    <w:autoRedefine/>
    <w:uiPriority w:val="99"/>
    <w:semiHidden/>
    <w:unhideWhenUsed/>
    <w:rsid w:val="009F5DA6"/>
    <w:pPr>
      <w:spacing w:before="60" w:after="180"/>
      <w:ind w:left="660" w:hanging="220"/>
    </w:pPr>
    <w:rPr>
      <w:rFonts w:ascii="Times New Roman" w:hAnsi="Times New Roman"/>
      <w:szCs w:val="20"/>
      <w:lang w:eastAsia="en-US"/>
    </w:rPr>
  </w:style>
  <w:style w:type="paragraph" w:styleId="Index4">
    <w:name w:val="index 4"/>
    <w:basedOn w:val="Normal"/>
    <w:next w:val="Normal"/>
    <w:autoRedefine/>
    <w:uiPriority w:val="99"/>
    <w:semiHidden/>
    <w:unhideWhenUsed/>
    <w:rsid w:val="009F5DA6"/>
    <w:pPr>
      <w:spacing w:before="60" w:after="180"/>
      <w:ind w:left="880" w:hanging="220"/>
    </w:pPr>
    <w:rPr>
      <w:rFonts w:ascii="Times New Roman" w:hAnsi="Times New Roman"/>
      <w:szCs w:val="20"/>
      <w:lang w:eastAsia="en-US"/>
    </w:rPr>
  </w:style>
  <w:style w:type="paragraph" w:styleId="Index5">
    <w:name w:val="index 5"/>
    <w:basedOn w:val="Normal"/>
    <w:next w:val="Normal"/>
    <w:autoRedefine/>
    <w:uiPriority w:val="99"/>
    <w:semiHidden/>
    <w:unhideWhenUsed/>
    <w:rsid w:val="009F5DA6"/>
    <w:pPr>
      <w:spacing w:before="60" w:after="180"/>
      <w:ind w:left="1100" w:hanging="220"/>
    </w:pPr>
    <w:rPr>
      <w:rFonts w:ascii="Times New Roman" w:hAnsi="Times New Roman"/>
      <w:szCs w:val="20"/>
      <w:lang w:eastAsia="en-US"/>
    </w:rPr>
  </w:style>
  <w:style w:type="paragraph" w:styleId="Index6">
    <w:name w:val="index 6"/>
    <w:basedOn w:val="Normal"/>
    <w:next w:val="Normal"/>
    <w:autoRedefine/>
    <w:uiPriority w:val="99"/>
    <w:semiHidden/>
    <w:unhideWhenUsed/>
    <w:rsid w:val="009F5DA6"/>
    <w:pPr>
      <w:spacing w:before="60" w:after="180"/>
      <w:ind w:left="1320" w:hanging="220"/>
    </w:pPr>
    <w:rPr>
      <w:rFonts w:ascii="Times New Roman" w:hAnsi="Times New Roman"/>
      <w:szCs w:val="20"/>
      <w:lang w:eastAsia="en-US"/>
    </w:rPr>
  </w:style>
  <w:style w:type="paragraph" w:styleId="Index7">
    <w:name w:val="index 7"/>
    <w:basedOn w:val="Normal"/>
    <w:next w:val="Normal"/>
    <w:autoRedefine/>
    <w:uiPriority w:val="99"/>
    <w:semiHidden/>
    <w:unhideWhenUsed/>
    <w:rsid w:val="009F5DA6"/>
    <w:pPr>
      <w:spacing w:before="60" w:after="180"/>
      <w:ind w:left="1540" w:hanging="220"/>
    </w:pPr>
    <w:rPr>
      <w:rFonts w:ascii="Times New Roman" w:hAnsi="Times New Roman"/>
      <w:szCs w:val="20"/>
      <w:lang w:eastAsia="en-US"/>
    </w:rPr>
  </w:style>
  <w:style w:type="paragraph" w:styleId="Index8">
    <w:name w:val="index 8"/>
    <w:basedOn w:val="Normal"/>
    <w:next w:val="Normal"/>
    <w:autoRedefine/>
    <w:uiPriority w:val="99"/>
    <w:semiHidden/>
    <w:unhideWhenUsed/>
    <w:rsid w:val="009F5DA6"/>
    <w:pPr>
      <w:spacing w:before="60" w:after="180"/>
      <w:ind w:left="1760" w:hanging="220"/>
    </w:pPr>
    <w:rPr>
      <w:rFonts w:ascii="Times New Roman" w:hAnsi="Times New Roman"/>
      <w:szCs w:val="20"/>
      <w:lang w:eastAsia="en-US"/>
    </w:rPr>
  </w:style>
  <w:style w:type="paragraph" w:styleId="Index9">
    <w:name w:val="index 9"/>
    <w:basedOn w:val="Normal"/>
    <w:next w:val="Normal"/>
    <w:autoRedefine/>
    <w:uiPriority w:val="99"/>
    <w:semiHidden/>
    <w:unhideWhenUsed/>
    <w:rsid w:val="009F5DA6"/>
    <w:pPr>
      <w:spacing w:before="60" w:after="180"/>
      <w:ind w:left="1980" w:hanging="220"/>
    </w:pPr>
    <w:rPr>
      <w:rFonts w:ascii="Times New Roman" w:hAnsi="Times New Roman"/>
      <w:szCs w:val="20"/>
      <w:lang w:eastAsia="en-US"/>
    </w:rPr>
  </w:style>
  <w:style w:type="paragraph" w:styleId="IndexHeading">
    <w:name w:val="index heading"/>
    <w:basedOn w:val="Normal"/>
    <w:next w:val="Index1"/>
    <w:uiPriority w:val="99"/>
    <w:semiHidden/>
    <w:unhideWhenUsed/>
    <w:rsid w:val="009F5DA6"/>
    <w:pPr>
      <w:spacing w:before="60" w:after="180"/>
    </w:pPr>
    <w:rPr>
      <w:rFonts w:ascii="Arial" w:hAnsi="Arial"/>
      <w:b/>
      <w:bCs/>
      <w:szCs w:val="20"/>
      <w:lang w:eastAsia="en-US"/>
    </w:rPr>
  </w:style>
  <w:style w:type="paragraph" w:styleId="List2">
    <w:name w:val="List 2"/>
    <w:basedOn w:val="Normal"/>
    <w:uiPriority w:val="99"/>
    <w:semiHidden/>
    <w:unhideWhenUsed/>
    <w:rsid w:val="009F5DA6"/>
    <w:pPr>
      <w:spacing w:before="60" w:after="180"/>
      <w:ind w:left="566" w:hanging="283"/>
      <w:contextualSpacing/>
    </w:pPr>
    <w:rPr>
      <w:rFonts w:ascii="Times New Roman" w:hAnsi="Times New Roman"/>
      <w:szCs w:val="20"/>
      <w:lang w:eastAsia="en-US"/>
    </w:rPr>
  </w:style>
  <w:style w:type="paragraph" w:styleId="List3">
    <w:name w:val="List 3"/>
    <w:basedOn w:val="Normal"/>
    <w:uiPriority w:val="99"/>
    <w:semiHidden/>
    <w:unhideWhenUsed/>
    <w:rsid w:val="009F5DA6"/>
    <w:pPr>
      <w:spacing w:before="60" w:after="180"/>
      <w:ind w:left="849" w:hanging="283"/>
      <w:contextualSpacing/>
    </w:pPr>
    <w:rPr>
      <w:rFonts w:ascii="Times New Roman" w:hAnsi="Times New Roman"/>
      <w:szCs w:val="20"/>
      <w:lang w:eastAsia="en-US"/>
    </w:rPr>
  </w:style>
  <w:style w:type="paragraph" w:styleId="List4">
    <w:name w:val="List 4"/>
    <w:basedOn w:val="Normal"/>
    <w:uiPriority w:val="99"/>
    <w:semiHidden/>
    <w:unhideWhenUsed/>
    <w:rsid w:val="009F5DA6"/>
    <w:pPr>
      <w:spacing w:before="60" w:after="180"/>
      <w:ind w:left="1132" w:hanging="283"/>
      <w:contextualSpacing/>
    </w:pPr>
    <w:rPr>
      <w:rFonts w:ascii="Times New Roman" w:hAnsi="Times New Roman"/>
      <w:szCs w:val="20"/>
      <w:lang w:eastAsia="en-US"/>
    </w:rPr>
  </w:style>
  <w:style w:type="paragraph" w:styleId="List5">
    <w:name w:val="List 5"/>
    <w:basedOn w:val="Normal"/>
    <w:uiPriority w:val="99"/>
    <w:semiHidden/>
    <w:unhideWhenUsed/>
    <w:rsid w:val="009F5DA6"/>
    <w:pPr>
      <w:spacing w:before="60" w:after="180"/>
      <w:ind w:left="1415" w:hanging="283"/>
      <w:contextualSpacing/>
    </w:pPr>
    <w:rPr>
      <w:rFonts w:ascii="Times New Roman" w:hAnsi="Times New Roman"/>
      <w:szCs w:val="20"/>
      <w:lang w:eastAsia="en-US"/>
    </w:rPr>
  </w:style>
  <w:style w:type="paragraph" w:styleId="ListContinue">
    <w:name w:val="List Continue"/>
    <w:basedOn w:val="Normal"/>
    <w:uiPriority w:val="99"/>
    <w:semiHidden/>
    <w:unhideWhenUsed/>
    <w:rsid w:val="009F5DA6"/>
    <w:pPr>
      <w:spacing w:before="60" w:after="120"/>
      <w:ind w:left="283"/>
      <w:contextualSpacing/>
    </w:pPr>
    <w:rPr>
      <w:rFonts w:ascii="Times New Roman" w:hAnsi="Times New Roman"/>
      <w:szCs w:val="20"/>
      <w:lang w:eastAsia="en-US"/>
    </w:rPr>
  </w:style>
  <w:style w:type="paragraph" w:styleId="ListContinue2">
    <w:name w:val="List Continue 2"/>
    <w:basedOn w:val="Normal"/>
    <w:uiPriority w:val="99"/>
    <w:semiHidden/>
    <w:unhideWhenUsed/>
    <w:rsid w:val="009F5DA6"/>
    <w:pPr>
      <w:spacing w:before="60" w:after="120"/>
      <w:ind w:left="566"/>
      <w:contextualSpacing/>
    </w:pPr>
    <w:rPr>
      <w:rFonts w:ascii="Times New Roman" w:hAnsi="Times New Roman"/>
      <w:szCs w:val="20"/>
      <w:lang w:eastAsia="en-US"/>
    </w:rPr>
  </w:style>
  <w:style w:type="paragraph" w:styleId="ListContinue3">
    <w:name w:val="List Continue 3"/>
    <w:basedOn w:val="Normal"/>
    <w:uiPriority w:val="99"/>
    <w:semiHidden/>
    <w:unhideWhenUsed/>
    <w:rsid w:val="009F5DA6"/>
    <w:pPr>
      <w:spacing w:before="60" w:after="120"/>
      <w:ind w:left="849"/>
      <w:contextualSpacing/>
    </w:pPr>
    <w:rPr>
      <w:rFonts w:ascii="Times New Roman" w:hAnsi="Times New Roman"/>
      <w:szCs w:val="20"/>
      <w:lang w:eastAsia="en-US"/>
    </w:rPr>
  </w:style>
  <w:style w:type="paragraph" w:styleId="ListContinue4">
    <w:name w:val="List Continue 4"/>
    <w:basedOn w:val="Normal"/>
    <w:uiPriority w:val="99"/>
    <w:semiHidden/>
    <w:unhideWhenUsed/>
    <w:rsid w:val="009F5DA6"/>
    <w:pPr>
      <w:spacing w:before="60" w:after="120"/>
      <w:ind w:left="1132"/>
      <w:contextualSpacing/>
    </w:pPr>
    <w:rPr>
      <w:rFonts w:ascii="Times New Roman" w:hAnsi="Times New Roman"/>
      <w:szCs w:val="20"/>
      <w:lang w:eastAsia="en-US"/>
    </w:rPr>
  </w:style>
  <w:style w:type="paragraph" w:styleId="ListContinue5">
    <w:name w:val="List Continue 5"/>
    <w:basedOn w:val="Normal"/>
    <w:uiPriority w:val="99"/>
    <w:semiHidden/>
    <w:unhideWhenUsed/>
    <w:rsid w:val="009F5DA6"/>
    <w:pPr>
      <w:spacing w:before="60" w:after="120"/>
      <w:ind w:left="1415"/>
      <w:contextualSpacing/>
    </w:pPr>
    <w:rPr>
      <w:rFonts w:ascii="Times New Roman" w:hAnsi="Times New Roman"/>
      <w:szCs w:val="20"/>
      <w:lang w:eastAsia="en-US"/>
    </w:rPr>
  </w:style>
  <w:style w:type="paragraph" w:styleId="ListNumber">
    <w:name w:val="List Number"/>
    <w:basedOn w:val="Normal"/>
    <w:uiPriority w:val="99"/>
    <w:semiHidden/>
    <w:unhideWhenUsed/>
    <w:rsid w:val="009F5DA6"/>
    <w:pPr>
      <w:tabs>
        <w:tab w:val="num" w:pos="360"/>
      </w:tabs>
      <w:spacing w:before="60" w:after="180"/>
      <w:ind w:left="360" w:hanging="360"/>
      <w:contextualSpacing/>
    </w:pPr>
    <w:rPr>
      <w:rFonts w:ascii="Times New Roman" w:hAnsi="Times New Roman"/>
      <w:szCs w:val="20"/>
      <w:lang w:eastAsia="en-US"/>
    </w:rPr>
  </w:style>
  <w:style w:type="paragraph" w:styleId="ListNumber2">
    <w:name w:val="List Number 2"/>
    <w:basedOn w:val="Normal"/>
    <w:uiPriority w:val="99"/>
    <w:semiHidden/>
    <w:unhideWhenUsed/>
    <w:rsid w:val="009F5DA6"/>
    <w:pPr>
      <w:tabs>
        <w:tab w:val="num" w:pos="643"/>
      </w:tabs>
      <w:spacing w:before="60" w:after="180"/>
      <w:ind w:left="643" w:hanging="360"/>
      <w:contextualSpacing/>
    </w:pPr>
    <w:rPr>
      <w:rFonts w:ascii="Times New Roman" w:hAnsi="Times New Roman"/>
      <w:szCs w:val="20"/>
      <w:lang w:eastAsia="en-US"/>
    </w:rPr>
  </w:style>
  <w:style w:type="paragraph" w:styleId="ListNumber3">
    <w:name w:val="List Number 3"/>
    <w:basedOn w:val="Normal"/>
    <w:uiPriority w:val="99"/>
    <w:semiHidden/>
    <w:unhideWhenUsed/>
    <w:rsid w:val="009F5DA6"/>
    <w:pPr>
      <w:tabs>
        <w:tab w:val="num" w:pos="926"/>
      </w:tabs>
      <w:spacing w:before="60" w:after="180"/>
      <w:ind w:left="926" w:hanging="360"/>
      <w:contextualSpacing/>
    </w:pPr>
    <w:rPr>
      <w:rFonts w:ascii="Times New Roman" w:hAnsi="Times New Roman"/>
      <w:szCs w:val="20"/>
      <w:lang w:eastAsia="en-US"/>
    </w:rPr>
  </w:style>
  <w:style w:type="paragraph" w:styleId="ListNumber4">
    <w:name w:val="List Number 4"/>
    <w:basedOn w:val="Normal"/>
    <w:uiPriority w:val="99"/>
    <w:semiHidden/>
    <w:unhideWhenUsed/>
    <w:rsid w:val="009F5DA6"/>
    <w:pPr>
      <w:numPr>
        <w:numId w:val="16"/>
      </w:numPr>
      <w:spacing w:before="60" w:after="180"/>
      <w:contextualSpacing/>
    </w:pPr>
    <w:rPr>
      <w:rFonts w:ascii="Times New Roman" w:hAnsi="Times New Roman"/>
      <w:szCs w:val="20"/>
      <w:lang w:eastAsia="en-US"/>
    </w:rPr>
  </w:style>
  <w:style w:type="paragraph" w:styleId="ListNumber5">
    <w:name w:val="List Number 5"/>
    <w:basedOn w:val="Normal"/>
    <w:uiPriority w:val="99"/>
    <w:semiHidden/>
    <w:unhideWhenUsed/>
    <w:rsid w:val="009F5DA6"/>
    <w:pPr>
      <w:numPr>
        <w:numId w:val="17"/>
      </w:numPr>
      <w:spacing w:before="60" w:after="180"/>
      <w:contextualSpacing/>
    </w:pPr>
    <w:rPr>
      <w:rFonts w:ascii="Times New Roman" w:hAnsi="Times New Roman"/>
      <w:szCs w:val="20"/>
      <w:lang w:eastAsia="en-US"/>
    </w:rPr>
  </w:style>
  <w:style w:type="paragraph" w:styleId="TableofAuthorities">
    <w:name w:val="table of authorities"/>
    <w:basedOn w:val="Normal"/>
    <w:next w:val="Normal"/>
    <w:uiPriority w:val="99"/>
    <w:semiHidden/>
    <w:unhideWhenUsed/>
    <w:rsid w:val="009F5DA6"/>
    <w:pPr>
      <w:spacing w:before="60" w:after="180"/>
      <w:ind w:left="220" w:hanging="220"/>
    </w:pPr>
    <w:rPr>
      <w:rFonts w:ascii="Times New Roman" w:hAnsi="Times New Roman"/>
      <w:szCs w:val="20"/>
      <w:lang w:eastAsia="en-US"/>
    </w:rPr>
  </w:style>
  <w:style w:type="paragraph" w:styleId="TOAHeading">
    <w:name w:val="toa heading"/>
    <w:basedOn w:val="Normal"/>
    <w:next w:val="Normal"/>
    <w:uiPriority w:val="99"/>
    <w:semiHidden/>
    <w:rsid w:val="009F5DA6"/>
    <w:pPr>
      <w:spacing w:before="120" w:after="180"/>
    </w:pPr>
    <w:rPr>
      <w:rFonts w:ascii="Arial" w:hAnsi="Arial"/>
      <w:b/>
      <w:bCs/>
      <w:sz w:val="24"/>
      <w:szCs w:val="24"/>
      <w:lang w:eastAsia="en-US"/>
    </w:rPr>
  </w:style>
  <w:style w:type="paragraph" w:customStyle="1" w:styleId="Headline">
    <w:name w:val="Headline"/>
    <w:basedOn w:val="Normal"/>
    <w:next w:val="Normal"/>
    <w:semiHidden/>
    <w:rsid w:val="009F5DA6"/>
    <w:pPr>
      <w:spacing w:before="60" w:after="180"/>
    </w:pPr>
    <w:rPr>
      <w:rFonts w:ascii="Times New Roman" w:hAnsi="Times New Roman"/>
      <w:b/>
      <w:sz w:val="48"/>
      <w:szCs w:val="20"/>
      <w:lang w:eastAsia="en-US"/>
    </w:rPr>
  </w:style>
  <w:style w:type="paragraph" w:customStyle="1" w:styleId="Bulletindent">
    <w:name w:val="Bullet indent"/>
    <w:basedOn w:val="Bullet"/>
    <w:next w:val="BodyText"/>
    <w:semiHidden/>
    <w:qFormat/>
    <w:rsid w:val="009F5DA6"/>
    <w:pPr>
      <w:numPr>
        <w:numId w:val="0"/>
      </w:numPr>
      <w:tabs>
        <w:tab w:val="left" w:pos="794"/>
      </w:tabs>
      <w:ind w:left="794" w:hanging="397"/>
    </w:pPr>
  </w:style>
  <w:style w:type="paragraph" w:customStyle="1" w:styleId="Acknowledgements">
    <w:name w:val="Acknowledgements"/>
    <w:basedOn w:val="Normal"/>
    <w:semiHidden/>
    <w:rsid w:val="009F5DA6"/>
    <w:pPr>
      <w:spacing w:before="60" w:after="60"/>
    </w:pPr>
    <w:rPr>
      <w:rFonts w:ascii="Times New Roman" w:hAnsi="Times New Roman"/>
      <w:szCs w:val="20"/>
      <w:lang w:eastAsia="en-US"/>
    </w:rPr>
  </w:style>
  <w:style w:type="paragraph" w:customStyle="1" w:styleId="Acknowledgementsbolditalics">
    <w:name w:val="Acknowledgements bold italics"/>
    <w:basedOn w:val="Normal"/>
    <w:semiHidden/>
    <w:rsid w:val="009F5DA6"/>
    <w:pPr>
      <w:spacing w:before="160"/>
    </w:pPr>
    <w:rPr>
      <w:rFonts w:ascii="Times New Roman" w:hAnsi="Times New Roman"/>
      <w:b/>
      <w:i/>
      <w:szCs w:val="20"/>
      <w:lang w:eastAsia="en-US"/>
    </w:rPr>
  </w:style>
  <w:style w:type="character" w:customStyle="1" w:styleId="PlainTextChar">
    <w:name w:val="Plain Text Char"/>
    <w:aliases w:val=" Char2 Char,Char2 Char"/>
    <w:link w:val="PlainText"/>
    <w:uiPriority w:val="99"/>
    <w:semiHidden/>
    <w:rsid w:val="009F5DA6"/>
    <w:rPr>
      <w:rFonts w:ascii="Verdana" w:hAnsi="Verdana"/>
      <w:szCs w:val="21"/>
    </w:rPr>
  </w:style>
  <w:style w:type="paragraph" w:styleId="PlainText">
    <w:name w:val="Plain Text"/>
    <w:aliases w:val=" Char2,Char2"/>
    <w:basedOn w:val="Normal"/>
    <w:link w:val="PlainTextChar"/>
    <w:uiPriority w:val="99"/>
    <w:semiHidden/>
    <w:rsid w:val="009F5DA6"/>
    <w:pPr>
      <w:spacing w:after="120"/>
    </w:pPr>
    <w:rPr>
      <w:rFonts w:ascii="Verdana" w:hAnsi="Verdana"/>
      <w:sz w:val="20"/>
      <w:szCs w:val="21"/>
    </w:rPr>
  </w:style>
  <w:style w:type="character" w:customStyle="1" w:styleId="PlainTextChar2">
    <w:name w:val="Plain Text Char2"/>
    <w:basedOn w:val="DefaultParagraphFont"/>
    <w:uiPriority w:val="99"/>
    <w:semiHidden/>
    <w:rsid w:val="009F5DA6"/>
    <w:rPr>
      <w:rFonts w:ascii="Consolas" w:hAnsi="Consolas"/>
      <w:sz w:val="21"/>
      <w:szCs w:val="21"/>
    </w:rPr>
  </w:style>
  <w:style w:type="paragraph" w:customStyle="1" w:styleId="Bulletfirst">
    <w:name w:val="Bullet first"/>
    <w:basedOn w:val="Bullet"/>
    <w:semiHidden/>
    <w:qFormat/>
    <w:rsid w:val="009F5DA6"/>
    <w:pPr>
      <w:numPr>
        <w:numId w:val="0"/>
      </w:numPr>
      <w:ind w:left="851" w:hanging="284"/>
    </w:pPr>
  </w:style>
  <w:style w:type="paragraph" w:customStyle="1" w:styleId="Bulletlast">
    <w:name w:val="Bullet last"/>
    <w:basedOn w:val="Bullet"/>
    <w:semiHidden/>
    <w:qFormat/>
    <w:rsid w:val="009F5DA6"/>
    <w:pPr>
      <w:numPr>
        <w:numId w:val="0"/>
      </w:numPr>
      <w:ind w:left="397" w:hanging="397"/>
    </w:pPr>
  </w:style>
  <w:style w:type="paragraph" w:styleId="ListParagraph">
    <w:name w:val="List Paragraph"/>
    <w:basedOn w:val="Normal"/>
    <w:uiPriority w:val="34"/>
    <w:semiHidden/>
    <w:qFormat/>
    <w:rsid w:val="009F5DA6"/>
    <w:pPr>
      <w:spacing w:after="120"/>
      <w:ind w:left="720"/>
      <w:contextualSpacing/>
    </w:pPr>
    <w:rPr>
      <w:rFonts w:eastAsia="Malgun Gothic"/>
      <w:sz w:val="20"/>
      <w:lang w:eastAsia="en-US"/>
    </w:rPr>
  </w:style>
  <w:style w:type="character" w:styleId="EndnoteReference">
    <w:name w:val="endnote reference"/>
    <w:uiPriority w:val="99"/>
    <w:semiHidden/>
    <w:unhideWhenUsed/>
    <w:rsid w:val="009F5DA6"/>
    <w:rPr>
      <w:vertAlign w:val="superscript"/>
    </w:rPr>
  </w:style>
  <w:style w:type="table" w:styleId="ColorfulList-Accent6">
    <w:name w:val="Colorful List Accent 6"/>
    <w:basedOn w:val="TableNormal"/>
    <w:uiPriority w:val="72"/>
    <w:rsid w:val="009F5DA6"/>
    <w:rPr>
      <w:rFonts w:ascii="Arial" w:hAnsi="Arial"/>
      <w:color w:val="000000"/>
      <w:sz w:val="16"/>
    </w:rPr>
    <w:tblPr>
      <w:tblStyleRowBandSize w:val="1"/>
      <w:tblStyleColBandSize w:val="1"/>
    </w:tblPr>
    <w:tcPr>
      <w:shd w:val="clear" w:color="auto" w:fill="FFFFFF"/>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cPr>
    </w:tblStylePr>
    <w:tblStylePr w:type="band1Horz">
      <w:tblPr/>
      <w:tcPr>
        <w:shd w:val="clear" w:color="auto" w:fill="FFFFFF"/>
      </w:tcPr>
    </w:tblStylePr>
    <w:tblStylePr w:type="band2Horz">
      <w:tblPr/>
      <w:tcPr>
        <w:shd w:val="clear" w:color="auto" w:fill="FFFFFF"/>
      </w:tcPr>
    </w:tblStylePr>
  </w:style>
  <w:style w:type="table" w:styleId="LightList-Accent5">
    <w:name w:val="Light List Accent 5"/>
    <w:basedOn w:val="TableNormal"/>
    <w:uiPriority w:val="61"/>
    <w:rsid w:val="009F5DA6"/>
    <w:rPr>
      <w:rFonts w:ascii="Times New Roman" w:hAnsi="Times New Roman"/>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eGrid3">
    <w:name w:val="Table Grid3"/>
    <w:basedOn w:val="TableNormal"/>
    <w:next w:val="TableGrid"/>
    <w:uiPriority w:val="59"/>
    <w:rsid w:val="009F5DA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31">
    <w:name w:val="Table 3D effects 31"/>
    <w:basedOn w:val="TableNormal"/>
    <w:next w:val="Table3Deffects3"/>
    <w:rsid w:val="009F5DA6"/>
    <w:rPr>
      <w:rFonts w:ascii="Times New Roman" w:hAnsi="Times New Roman"/>
      <w: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ghtList-Accent12">
    <w:name w:val="Light List - Accent 12"/>
    <w:basedOn w:val="TableNormal"/>
    <w:next w:val="LightList-Accent1"/>
    <w:uiPriority w:val="61"/>
    <w:rsid w:val="009F5DA6"/>
    <w:pPr>
      <w:jc w:val="right"/>
    </w:pPr>
    <w:rPr>
      <w:rFonts w:ascii="Arial" w:hAnsi="Arial"/>
      <w:szCs w:val="22"/>
      <w:lang w:eastAsia="en-US"/>
    </w:rPr>
    <w:tblPr>
      <w:tblStyleRowBandSize w:val="1"/>
      <w:tblStyleColBandSize w:val="1"/>
      <w:tblBorders>
        <w:top w:val="single" w:sz="8" w:space="0" w:color="1F497D"/>
        <w:bottom w:val="single" w:sz="8" w:space="0" w:color="1F497D"/>
        <w:insideH w:val="single" w:sz="8" w:space="0" w:color="1F497D"/>
      </w:tblBorders>
    </w:tbl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
    <w:name w:val="Medium Shading 1 - Accent 11"/>
    <w:basedOn w:val="TableProfessional"/>
    <w:next w:val="MediumShading1-Accent1"/>
    <w:uiPriority w:val="63"/>
    <w:rsid w:val="009F5DA6"/>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Professional1">
    <w:name w:val="Table Professional1"/>
    <w:basedOn w:val="TableNormal"/>
    <w:next w:val="TableProfessional"/>
    <w:uiPriority w:val="99"/>
    <w:semiHidden/>
    <w:unhideWhenUsed/>
    <w:rsid w:val="009F5DA6"/>
    <w:pPr>
      <w:spacing w:after="120"/>
      <w:jc w:val="both"/>
    </w:pPr>
    <w:rPr>
      <w:rFonts w:ascii="Arial" w:hAnsi="Arial"/>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LightList-Accent111">
    <w:name w:val="Light List - Accent 111"/>
    <w:basedOn w:val="TableNormal"/>
    <w:next w:val="LightList-Accent1"/>
    <w:uiPriority w:val="61"/>
    <w:rsid w:val="009F5DA6"/>
    <w:rPr>
      <w:rFonts w:eastAsia="Arial"/>
      <w:sz w:val="16"/>
      <w:szCs w:val="22"/>
      <w:lang w:eastAsia="en-US"/>
    </w:rPr>
    <w:tblPr>
      <w:tblStyleRowBandSize w:val="1"/>
      <w:tblStyleColBandSize w:val="1"/>
      <w:tblBorders>
        <w:top w:val="single" w:sz="8" w:space="0" w:color="365F91"/>
        <w:left w:val="single" w:sz="8" w:space="0" w:color="365F91"/>
        <w:bottom w:val="single" w:sz="8" w:space="0" w:color="365F91"/>
        <w:right w:val="single" w:sz="8" w:space="0" w:color="365F91"/>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11">
    <w:name w:val="Table Grid11"/>
    <w:basedOn w:val="TableNormal"/>
    <w:next w:val="TableGrid"/>
    <w:uiPriority w:val="59"/>
    <w:rsid w:val="009F5DA6"/>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9F5DA6"/>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Subbullet">
    <w:name w:val="Box Subbullet"/>
    <w:basedOn w:val="BoxBullet"/>
    <w:uiPriority w:val="2"/>
    <w:semiHidden/>
    <w:qFormat/>
    <w:rsid w:val="009F5DA6"/>
    <w:pPr>
      <w:numPr>
        <w:numId w:val="0"/>
      </w:numPr>
      <w:tabs>
        <w:tab w:val="left" w:pos="680"/>
      </w:tabs>
      <w:ind w:left="1135" w:hanging="851"/>
    </w:pPr>
  </w:style>
  <w:style w:type="paragraph" w:customStyle="1" w:styleId="Keypointshead">
    <w:name w:val="Key points head"/>
    <w:basedOn w:val="BoxHeading"/>
    <w:qFormat/>
    <w:rsid w:val="008C3B2C"/>
    <w:pPr>
      <w:pBdr>
        <w:top w:val="none" w:sz="0" w:space="0" w:color="auto"/>
        <w:left w:val="none" w:sz="0" w:space="0" w:color="auto"/>
        <w:bottom w:val="none" w:sz="0" w:space="0" w:color="auto"/>
        <w:right w:val="none" w:sz="0" w:space="0" w:color="auto"/>
      </w:pBdr>
      <w:spacing w:before="120" w:after="0"/>
      <w:ind w:left="284"/>
    </w:pPr>
    <w:rPr>
      <w:sz w:val="19"/>
      <w:szCs w:val="19"/>
    </w:rPr>
  </w:style>
  <w:style w:type="character" w:customStyle="1" w:styleId="BulletChar">
    <w:name w:val="Bullet Char"/>
    <w:link w:val="Bullet"/>
    <w:locked/>
    <w:rsid w:val="009F5DA6"/>
    <w:rPr>
      <w:sz w:val="22"/>
      <w:szCs w:val="22"/>
    </w:rPr>
  </w:style>
  <w:style w:type="paragraph" w:customStyle="1" w:styleId="Keypointsbullet">
    <w:name w:val="Key points bullet"/>
    <w:basedOn w:val="BoxBullet"/>
    <w:qFormat/>
    <w:rsid w:val="009F5DA6"/>
    <w:pPr>
      <w:numPr>
        <w:numId w:val="20"/>
      </w:numPr>
      <w:pBdr>
        <w:top w:val="none" w:sz="0" w:space="0" w:color="auto"/>
        <w:left w:val="none" w:sz="0" w:space="0" w:color="auto"/>
        <w:bottom w:val="none" w:sz="0" w:space="0" w:color="auto"/>
        <w:right w:val="none" w:sz="0" w:space="0" w:color="auto"/>
      </w:pBdr>
      <w:tabs>
        <w:tab w:val="clear" w:pos="0"/>
        <w:tab w:val="clear" w:pos="567"/>
      </w:tabs>
      <w:spacing w:before="100"/>
      <w:ind w:left="397" w:hanging="397"/>
    </w:pPr>
    <w:rPr>
      <w:sz w:val="18"/>
      <w:szCs w:val="18"/>
    </w:rPr>
  </w:style>
  <w:style w:type="paragraph" w:customStyle="1" w:styleId="Keypointsub-bullet">
    <w:name w:val="Key point sub-bullet"/>
    <w:basedOn w:val="BoxSubbullet"/>
    <w:qFormat/>
    <w:rsid w:val="009F5DA6"/>
    <w:pPr>
      <w:numPr>
        <w:numId w:val="18"/>
      </w:numPr>
      <w:pBdr>
        <w:top w:val="none" w:sz="0" w:space="0" w:color="auto"/>
        <w:left w:val="none" w:sz="0" w:space="0" w:color="auto"/>
        <w:bottom w:val="none" w:sz="0" w:space="0" w:color="auto"/>
        <w:right w:val="none" w:sz="0" w:space="0" w:color="auto"/>
      </w:pBdr>
      <w:tabs>
        <w:tab w:val="clear" w:pos="567"/>
        <w:tab w:val="clear" w:pos="680"/>
      </w:tabs>
      <w:ind w:left="794" w:hanging="397"/>
    </w:pPr>
    <w:rPr>
      <w:sz w:val="18"/>
      <w:szCs w:val="18"/>
    </w:rPr>
  </w:style>
  <w:style w:type="paragraph" w:customStyle="1" w:styleId="Keypointstext">
    <w:name w:val="Key points text"/>
    <w:basedOn w:val="Keypointshead"/>
    <w:qFormat/>
    <w:rsid w:val="009F5DA6"/>
    <w:pPr>
      <w:spacing w:after="120"/>
    </w:pPr>
    <w:rPr>
      <w:b w:val="0"/>
    </w:rPr>
  </w:style>
  <w:style w:type="paragraph" w:customStyle="1" w:styleId="Boxa">
    <w:name w:val="Box a"/>
    <w:aliases w:val="b list"/>
    <w:basedOn w:val="Normal"/>
    <w:semiHidden/>
    <w:qFormat/>
    <w:rsid w:val="009F5DA6"/>
    <w:pPr>
      <w:numPr>
        <w:ilvl w:val="1"/>
        <w:numId w:val="19"/>
      </w:numPr>
      <w:pBdr>
        <w:top w:val="single" w:sz="6" w:space="15" w:color="0092CF"/>
        <w:left w:val="single" w:sz="6" w:space="15" w:color="0092CF"/>
        <w:bottom w:val="single" w:sz="6" w:space="15" w:color="0092CF"/>
        <w:right w:val="single" w:sz="6" w:space="15" w:color="0092CF"/>
      </w:pBdr>
      <w:tabs>
        <w:tab w:val="left" w:pos="426"/>
      </w:tabs>
      <w:spacing w:before="120" w:line="280" w:lineRule="atLeast"/>
      <w:ind w:right="284"/>
    </w:pPr>
    <w:rPr>
      <w:color w:val="0092CF"/>
      <w:sz w:val="20"/>
      <w:szCs w:val="20"/>
    </w:rPr>
  </w:style>
  <w:style w:type="table" w:styleId="LightShading-Accent1">
    <w:name w:val="Light Shading Accent 1"/>
    <w:basedOn w:val="TableNormal"/>
    <w:uiPriority w:val="60"/>
    <w:rsid w:val="009F5DA6"/>
    <w:pPr>
      <w:jc w:val="both"/>
    </w:pPr>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3-Accent1">
    <w:name w:val="List Table 3 Accent 1"/>
    <w:basedOn w:val="TableNormal"/>
    <w:uiPriority w:val="48"/>
    <w:rsid w:val="009F5DA6"/>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customStyle="1" w:styleId="TableText2">
    <w:name w:val="TableText 2"/>
    <w:basedOn w:val="TableText"/>
    <w:semiHidden/>
    <w:qFormat/>
    <w:rsid w:val="009F5DA6"/>
    <w:pPr>
      <w:spacing w:line="240" w:lineRule="atLeast"/>
      <w:ind w:left="737"/>
    </w:pPr>
  </w:style>
  <w:style w:type="paragraph" w:customStyle="1" w:styleId="TableText1">
    <w:name w:val="TableText 1"/>
    <w:basedOn w:val="TableText"/>
    <w:semiHidden/>
    <w:qFormat/>
    <w:rsid w:val="009F5DA6"/>
    <w:pPr>
      <w:spacing w:line="240" w:lineRule="atLeast"/>
      <w:ind w:left="397"/>
    </w:pPr>
  </w:style>
  <w:style w:type="table" w:customStyle="1" w:styleId="ListTable3-Accent11">
    <w:name w:val="List Table 3 - Accent 11"/>
    <w:basedOn w:val="TableNormal"/>
    <w:uiPriority w:val="48"/>
    <w:rsid w:val="009F5DA6"/>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customStyle="1" w:styleId="Sub-bulletdash">
    <w:name w:val="Sub-bullet dash"/>
    <w:basedOn w:val="Normal"/>
    <w:uiPriority w:val="6"/>
    <w:qFormat/>
    <w:rsid w:val="009F5DA6"/>
    <w:pPr>
      <w:tabs>
        <w:tab w:val="num" w:pos="397"/>
        <w:tab w:val="left" w:pos="794"/>
      </w:tabs>
      <w:spacing w:after="120" w:line="280" w:lineRule="atLeast"/>
      <w:ind w:left="397"/>
    </w:pPr>
    <w:rPr>
      <w:rFonts w:eastAsia="Malgun Gothic" w:cs="Cordia New"/>
    </w:rPr>
  </w:style>
  <w:style w:type="numbering" w:customStyle="1" w:styleId="NoList1">
    <w:name w:val="No List1"/>
    <w:next w:val="NoList"/>
    <w:uiPriority w:val="99"/>
    <w:semiHidden/>
    <w:unhideWhenUsed/>
    <w:rsid w:val="009F5DA6"/>
  </w:style>
  <w:style w:type="numbering" w:customStyle="1" w:styleId="NoList2">
    <w:name w:val="No List2"/>
    <w:next w:val="NoList"/>
    <w:uiPriority w:val="99"/>
    <w:semiHidden/>
    <w:unhideWhenUsed/>
    <w:rsid w:val="009F5DA6"/>
  </w:style>
  <w:style w:type="numbering" w:customStyle="1" w:styleId="NoList11">
    <w:name w:val="No List11"/>
    <w:next w:val="NoList"/>
    <w:uiPriority w:val="99"/>
    <w:semiHidden/>
    <w:unhideWhenUsed/>
    <w:rsid w:val="009F5DA6"/>
  </w:style>
  <w:style w:type="table" w:customStyle="1" w:styleId="ListTable3-Accent110">
    <w:name w:val="List Table 3 - Accent 110"/>
    <w:basedOn w:val="TableNormal"/>
    <w:uiPriority w:val="48"/>
    <w:rsid w:val="008A4F47"/>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customStyle="1" w:styleId="EvenFooter">
    <w:name w:val="Even Footer"/>
    <w:basedOn w:val="Normal"/>
    <w:next w:val="Normal"/>
    <w:semiHidden/>
    <w:rsid w:val="00422EFE"/>
    <w:pPr>
      <w:pBdr>
        <w:top w:val="single" w:sz="4" w:space="4" w:color="auto"/>
      </w:pBdr>
      <w:tabs>
        <w:tab w:val="left" w:pos="851"/>
      </w:tabs>
    </w:pPr>
    <w:rPr>
      <w:sz w:val="16"/>
    </w:rPr>
  </w:style>
  <w:style w:type="paragraph" w:customStyle="1" w:styleId="OddFooter">
    <w:name w:val="Odd Footer"/>
    <w:basedOn w:val="Normal"/>
    <w:next w:val="Normal"/>
    <w:semiHidden/>
    <w:rsid w:val="00422EFE"/>
    <w:pPr>
      <w:pBdr>
        <w:top w:val="single" w:sz="4" w:space="4" w:color="auto"/>
      </w:pBdr>
      <w:tabs>
        <w:tab w:val="right" w:pos="7655"/>
        <w:tab w:val="right" w:pos="8505"/>
      </w:tabs>
    </w:pPr>
    <w:rPr>
      <w:sz w:val="16"/>
    </w:rPr>
  </w:style>
  <w:style w:type="character" w:customStyle="1" w:styleId="BulletsChar">
    <w:name w:val="Bullets Char"/>
    <w:link w:val="Bullets"/>
    <w:semiHidden/>
    <w:rsid w:val="00422EFE"/>
  </w:style>
  <w:style w:type="paragraph" w:customStyle="1" w:styleId="Bullets">
    <w:name w:val="Bullets"/>
    <w:basedOn w:val="Normal"/>
    <w:link w:val="BulletsChar"/>
    <w:semiHidden/>
    <w:rsid w:val="00422EFE"/>
    <w:pPr>
      <w:tabs>
        <w:tab w:val="left" w:pos="397"/>
      </w:tabs>
      <w:spacing w:before="120"/>
      <w:ind w:left="397" w:hanging="397"/>
    </w:pPr>
    <w:rPr>
      <w:sz w:val="20"/>
      <w:szCs w:val="20"/>
    </w:rPr>
  </w:style>
  <w:style w:type="paragraph" w:customStyle="1" w:styleId="StyleHeading6Before6pt">
    <w:name w:val="Style Heading 6 + Before:  6 pt"/>
    <w:basedOn w:val="Heading6"/>
    <w:uiPriority w:val="99"/>
    <w:semiHidden/>
    <w:rsid w:val="00422EFE"/>
    <w:pPr>
      <w:keepLines w:val="0"/>
      <w:spacing w:before="120"/>
    </w:pPr>
    <w:rPr>
      <w:rFonts w:eastAsia="Times New Roman" w:cs="Times New Roman"/>
      <w:b w:val="0"/>
      <w:iCs/>
      <w:color w:val="auto"/>
      <w:lang w:eastAsia="en-US"/>
    </w:rPr>
  </w:style>
  <w:style w:type="numbering" w:customStyle="1" w:styleId="Annex">
    <w:name w:val="Annex"/>
    <w:uiPriority w:val="99"/>
    <w:rsid w:val="00422EFE"/>
    <w:pPr>
      <w:numPr>
        <w:numId w:val="27"/>
      </w:numPr>
    </w:pPr>
  </w:style>
  <w:style w:type="paragraph" w:customStyle="1" w:styleId="TableHeading">
    <w:name w:val="Table Heading"/>
    <w:basedOn w:val="TableText"/>
    <w:semiHidden/>
    <w:rsid w:val="00422EFE"/>
    <w:pPr>
      <w:tabs>
        <w:tab w:val="left" w:pos="567"/>
      </w:tabs>
    </w:pPr>
    <w:rPr>
      <w:rFonts w:ascii="Arial Bold" w:hAnsi="Arial Bold"/>
      <w:b/>
      <w:noProof/>
      <w:szCs w:val="16"/>
    </w:rPr>
  </w:style>
  <w:style w:type="numbering" w:customStyle="1" w:styleId="Annex1">
    <w:name w:val="Annex1"/>
    <w:uiPriority w:val="99"/>
    <w:rsid w:val="00422EFE"/>
  </w:style>
  <w:style w:type="numbering" w:customStyle="1" w:styleId="Annex11">
    <w:name w:val="Annex11"/>
    <w:uiPriority w:val="99"/>
    <w:rsid w:val="00422EFE"/>
  </w:style>
  <w:style w:type="character" w:customStyle="1" w:styleId="UnresolvedMention1">
    <w:name w:val="Unresolved Mention1"/>
    <w:uiPriority w:val="99"/>
    <w:semiHidden/>
    <w:unhideWhenUsed/>
    <w:rsid w:val="00422EFE"/>
    <w:rPr>
      <w:color w:val="605E5C"/>
      <w:shd w:val="clear" w:color="auto" w:fill="E1DFDD"/>
    </w:rPr>
  </w:style>
  <w:style w:type="character" w:customStyle="1" w:styleId="UnresolvedMention2">
    <w:name w:val="Unresolved Mention2"/>
    <w:uiPriority w:val="99"/>
    <w:semiHidden/>
    <w:unhideWhenUsed/>
    <w:rsid w:val="00422EFE"/>
    <w:rPr>
      <w:color w:val="605E5C"/>
      <w:shd w:val="clear" w:color="auto" w:fill="E1DFDD"/>
    </w:rPr>
  </w:style>
  <w:style w:type="paragraph" w:customStyle="1" w:styleId="Footereven0">
    <w:name w:val="Footer even"/>
    <w:basedOn w:val="Normal"/>
    <w:uiPriority w:val="2"/>
    <w:semiHidden/>
    <w:qFormat/>
    <w:rsid w:val="00B0004A"/>
    <w:pPr>
      <w:pBdr>
        <w:top w:val="single" w:sz="4" w:space="4" w:color="auto"/>
      </w:pBdr>
      <w:tabs>
        <w:tab w:val="left" w:pos="851"/>
      </w:tabs>
    </w:pPr>
    <w:rPr>
      <w:sz w:val="16"/>
    </w:rPr>
  </w:style>
  <w:style w:type="paragraph" w:customStyle="1" w:styleId="Footerodd0">
    <w:name w:val="Footer odd"/>
    <w:basedOn w:val="Normal"/>
    <w:uiPriority w:val="2"/>
    <w:semiHidden/>
    <w:qFormat/>
    <w:rsid w:val="00B0004A"/>
    <w:pPr>
      <w:pBdr>
        <w:top w:val="single" w:sz="4" w:space="4" w:color="auto"/>
      </w:pBdr>
      <w:tabs>
        <w:tab w:val="right" w:pos="6804"/>
        <w:tab w:val="right" w:pos="7938"/>
      </w:tabs>
    </w:pPr>
    <w:rPr>
      <w:sz w:val="16"/>
    </w:rPr>
  </w:style>
  <w:style w:type="paragraph" w:customStyle="1" w:styleId="Captions">
    <w:name w:val="Captions"/>
    <w:basedOn w:val="Normal"/>
    <w:next w:val="Normal"/>
    <w:semiHidden/>
    <w:rsid w:val="00B0004A"/>
    <w:pPr>
      <w:tabs>
        <w:tab w:val="left" w:pos="851"/>
      </w:tabs>
      <w:suppressAutoHyphens/>
      <w:spacing w:before="120" w:after="120"/>
    </w:pPr>
    <w:rPr>
      <w:rFonts w:ascii="Times New Roman" w:hAnsi="Times New Roman"/>
      <w:lang w:eastAsia="ar-SA"/>
    </w:rPr>
  </w:style>
  <w:style w:type="character" w:customStyle="1" w:styleId="QuoteChar1">
    <w:name w:val="Quote Char1"/>
    <w:uiPriority w:val="29"/>
    <w:semiHidden/>
    <w:rsid w:val="00B0004A"/>
    <w:rPr>
      <w:rFonts w:ascii="Times New Roman" w:hAnsi="Times New Roman"/>
      <w:i/>
      <w:iCs/>
      <w:color w:val="000000"/>
      <w:lang w:eastAsia="en-US"/>
    </w:rPr>
  </w:style>
  <w:style w:type="character" w:customStyle="1" w:styleId="NIRTitleChar">
    <w:name w:val="NIR Title Char"/>
    <w:link w:val="NIRTitle"/>
    <w:semiHidden/>
    <w:locked/>
    <w:rsid w:val="00B0004A"/>
    <w:rPr>
      <w:rFonts w:ascii="Calibri Light" w:eastAsia="Malgun Gothic" w:hAnsi="Calibri Light"/>
      <w:color w:val="323E4F"/>
      <w:spacing w:val="5"/>
      <w:kern w:val="28"/>
      <w:sz w:val="52"/>
      <w:szCs w:val="52"/>
    </w:rPr>
  </w:style>
  <w:style w:type="paragraph" w:customStyle="1" w:styleId="NIRTitle">
    <w:name w:val="NIR Title"/>
    <w:basedOn w:val="Title"/>
    <w:link w:val="NIRTitleChar"/>
    <w:semiHidden/>
    <w:qFormat/>
    <w:rsid w:val="00B0004A"/>
    <w:pPr>
      <w:pBdr>
        <w:bottom w:val="single" w:sz="8" w:space="4" w:color="5B9BD5"/>
      </w:pBdr>
      <w:spacing w:after="300" w:line="240" w:lineRule="auto"/>
      <w:contextualSpacing/>
      <w:jc w:val="both"/>
    </w:pPr>
    <w:rPr>
      <w:rFonts w:ascii="Calibri Light" w:eastAsia="Malgun Gothic" w:hAnsi="Calibri Light"/>
      <w:b w:val="0"/>
      <w:color w:val="323E4F"/>
      <w:spacing w:val="5"/>
      <w:kern w:val="28"/>
      <w:sz w:val="52"/>
      <w:szCs w:val="52"/>
    </w:rPr>
  </w:style>
  <w:style w:type="character" w:customStyle="1" w:styleId="Heading8Char1">
    <w:name w:val="Heading 8 Char1"/>
    <w:aliases w:val="Char14 Char1"/>
    <w:semiHidden/>
    <w:rsid w:val="00D140F7"/>
    <w:rPr>
      <w:rFonts w:ascii="Calibri Light" w:eastAsia="Times New Roman" w:hAnsi="Calibri Light" w:cs="Times New Roman"/>
      <w:color w:val="272727"/>
      <w:sz w:val="21"/>
      <w:szCs w:val="21"/>
      <w:lang w:eastAsia="en-US"/>
    </w:rPr>
  </w:style>
  <w:style w:type="character" w:customStyle="1" w:styleId="CommentTextChar2">
    <w:name w:val="Comment Text Char2"/>
    <w:basedOn w:val="DefaultParagraphFont"/>
    <w:uiPriority w:val="99"/>
    <w:semiHidden/>
    <w:rsid w:val="00D140F7"/>
  </w:style>
  <w:style w:type="paragraph" w:customStyle="1" w:styleId="Contentssubhead">
    <w:name w:val="Contents subhead"/>
    <w:basedOn w:val="ContentsHeading"/>
    <w:uiPriority w:val="2"/>
    <w:semiHidden/>
    <w:qFormat/>
    <w:rsid w:val="00D140F7"/>
    <w:pPr>
      <w:pBdr>
        <w:bottom w:val="none" w:sz="0" w:space="0" w:color="auto"/>
      </w:pBdr>
      <w:spacing w:line="240" w:lineRule="auto"/>
    </w:pPr>
    <w:rPr>
      <w:b/>
      <w:sz w:val="40"/>
    </w:rPr>
  </w:style>
  <w:style w:type="character" w:customStyle="1" w:styleId="Heading9Char1">
    <w:name w:val="Heading 9 Char1"/>
    <w:aliases w:val="Char13 Char1"/>
    <w:semiHidden/>
    <w:rsid w:val="00D140F7"/>
    <w:rPr>
      <w:rFonts w:ascii="Calibri Light" w:eastAsia="Times New Roman" w:hAnsi="Calibri Light" w:cs="Times New Roman"/>
      <w:i/>
      <w:iCs/>
      <w:color w:val="272727"/>
      <w:sz w:val="21"/>
      <w:szCs w:val="21"/>
      <w:lang w:eastAsia="en-US"/>
    </w:rPr>
  </w:style>
  <w:style w:type="paragraph" w:customStyle="1" w:styleId="Headerleft">
    <w:name w:val="Header left"/>
    <w:basedOn w:val="Normal"/>
    <w:semiHidden/>
    <w:rsid w:val="00D140F7"/>
    <w:pPr>
      <w:suppressLineNumbers/>
      <w:tabs>
        <w:tab w:val="center" w:pos="3968"/>
        <w:tab w:val="right" w:pos="7937"/>
      </w:tabs>
      <w:suppressAutoHyphens/>
      <w:spacing w:after="120"/>
    </w:pPr>
    <w:rPr>
      <w:rFonts w:ascii="Times New Roman" w:hAnsi="Times New Roman"/>
      <w:lang w:eastAsia="ar-SA"/>
    </w:rPr>
  </w:style>
  <w:style w:type="paragraph" w:customStyle="1" w:styleId="msonormal0">
    <w:name w:val="msonormal"/>
    <w:basedOn w:val="Normal"/>
    <w:semiHidden/>
    <w:rsid w:val="00D140F7"/>
    <w:pPr>
      <w:widowControl w:val="0"/>
      <w:adjustRightInd w:val="0"/>
      <w:spacing w:before="100" w:beforeAutospacing="1" w:after="100" w:afterAutospacing="1"/>
    </w:pPr>
    <w:rPr>
      <w:rFonts w:ascii="Times New Roman" w:hAnsi="Times New Roman"/>
      <w:szCs w:val="24"/>
      <w:lang w:val="en-GB" w:eastAsia="en-GB"/>
    </w:rPr>
  </w:style>
  <w:style w:type="character" w:customStyle="1" w:styleId="Heading7Char1">
    <w:name w:val="Heading 7 Char1"/>
    <w:aliases w:val="Char15 Char1"/>
    <w:semiHidden/>
    <w:rsid w:val="00D140F7"/>
    <w:rPr>
      <w:rFonts w:ascii="Calibri Light" w:eastAsia="Times New Roman" w:hAnsi="Calibri Light" w:cs="Times New Roman"/>
      <w:i/>
      <w:iCs/>
      <w:color w:val="1F4D78"/>
      <w:sz w:val="22"/>
      <w:lang w:eastAsia="en-US"/>
    </w:rPr>
  </w:style>
  <w:style w:type="character" w:customStyle="1" w:styleId="BodyText2Char1">
    <w:name w:val="Body Text 2 Char1"/>
    <w:aliases w:val="Char4 Char1"/>
    <w:semiHidden/>
    <w:rsid w:val="00D140F7"/>
    <w:rPr>
      <w:rFonts w:ascii="Times New Roman" w:hAnsi="Times New Roman"/>
      <w:sz w:val="22"/>
      <w:lang w:eastAsia="en-US"/>
    </w:rPr>
  </w:style>
  <w:style w:type="character" w:customStyle="1" w:styleId="DocumentMapChar1">
    <w:name w:val="Document Map Char1"/>
    <w:aliases w:val="Char1 Char1"/>
    <w:semiHidden/>
    <w:rsid w:val="00D140F7"/>
    <w:rPr>
      <w:rFonts w:ascii="Segoe UI" w:hAnsi="Segoe UI" w:cs="Segoe UI"/>
      <w:sz w:val="16"/>
      <w:szCs w:val="16"/>
      <w:lang w:eastAsia="en-US"/>
    </w:rPr>
  </w:style>
  <w:style w:type="character" w:customStyle="1" w:styleId="BalloonTextChar1">
    <w:name w:val="Balloon Text Char1"/>
    <w:aliases w:val="Char6 Char1"/>
    <w:semiHidden/>
    <w:rsid w:val="00D140F7"/>
    <w:rPr>
      <w:rFonts w:ascii="Segoe UI" w:hAnsi="Segoe UI" w:cs="Segoe U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1.emf"/><Relationship Id="rId299" Type="http://schemas.openxmlformats.org/officeDocument/2006/relationships/footer" Target="footer39.xml"/><Relationship Id="rId21" Type="http://schemas.openxmlformats.org/officeDocument/2006/relationships/header" Target="header6.xml"/><Relationship Id="rId63" Type="http://schemas.openxmlformats.org/officeDocument/2006/relationships/image" Target="media/image21.png"/><Relationship Id="rId159" Type="http://schemas.openxmlformats.org/officeDocument/2006/relationships/image" Target="media/image61.emf"/><Relationship Id="rId170" Type="http://schemas.openxmlformats.org/officeDocument/2006/relationships/package" Target="embeddings/Microsoft_Word_Document25.docx"/><Relationship Id="rId226" Type="http://schemas.openxmlformats.org/officeDocument/2006/relationships/hyperlink" Target="http://www.mfe.govt.nz" TargetMode="External"/><Relationship Id="rId268" Type="http://schemas.openxmlformats.org/officeDocument/2006/relationships/image" Target="media/image95.png"/><Relationship Id="rId32" Type="http://schemas.openxmlformats.org/officeDocument/2006/relationships/hyperlink" Target="http://www.emissionsregister.govt.nz" TargetMode="External"/><Relationship Id="rId74" Type="http://schemas.openxmlformats.org/officeDocument/2006/relationships/image" Target="media/image29.png"/><Relationship Id="rId128" Type="http://schemas.openxmlformats.org/officeDocument/2006/relationships/package" Target="embeddings/Microsoft_Word_Document6.docx"/><Relationship Id="rId5" Type="http://schemas.openxmlformats.org/officeDocument/2006/relationships/numbering" Target="numbering.xml"/><Relationship Id="rId181" Type="http://schemas.openxmlformats.org/officeDocument/2006/relationships/image" Target="media/image72.emf"/><Relationship Id="rId237" Type="http://schemas.openxmlformats.org/officeDocument/2006/relationships/image" Target="media/image82.png"/><Relationship Id="rId279" Type="http://schemas.openxmlformats.org/officeDocument/2006/relationships/hyperlink" Target="https://www.mpi.govt.nz/dmsdocument/46231-Feed-Consumed-by-NZ-Dairy-Cows" TargetMode="External"/><Relationship Id="rId43" Type="http://schemas.openxmlformats.org/officeDocument/2006/relationships/hyperlink" Target="http://www.emissionsregister.govt.nz" TargetMode="External"/><Relationship Id="rId139" Type="http://schemas.openxmlformats.org/officeDocument/2006/relationships/chart" Target="charts/chart7.xml"/><Relationship Id="rId290" Type="http://schemas.openxmlformats.org/officeDocument/2006/relationships/hyperlink" Target="http://www.mfe.govt.nz/publications/climate-change/new-zealands-initial-report-under-kyoto-protocol" TargetMode="External"/><Relationship Id="rId304" Type="http://schemas.openxmlformats.org/officeDocument/2006/relationships/footer" Target="footer43.xml"/><Relationship Id="rId85" Type="http://schemas.openxmlformats.org/officeDocument/2006/relationships/image" Target="media/image35.emf"/><Relationship Id="rId150" Type="http://schemas.openxmlformats.org/officeDocument/2006/relationships/package" Target="embeddings/Microsoft_Word_Document15.docx"/><Relationship Id="rId192" Type="http://schemas.openxmlformats.org/officeDocument/2006/relationships/hyperlink" Target="https://environment.govt.nz/assets/publications/New-Zealands-Eighth-National-Communication.pdf" TargetMode="External"/><Relationship Id="rId206" Type="http://schemas.openxmlformats.org/officeDocument/2006/relationships/footer" Target="footer23.xml"/><Relationship Id="rId248" Type="http://schemas.openxmlformats.org/officeDocument/2006/relationships/hyperlink" Target="http://www.stats.govt.nz" TargetMode="External"/><Relationship Id="rId12" Type="http://schemas.openxmlformats.org/officeDocument/2006/relationships/header" Target="header1.xml"/><Relationship Id="rId108" Type="http://schemas.openxmlformats.org/officeDocument/2006/relationships/hyperlink" Target="https://tepuna.mfe.govt.nz/otcsdav/nodes/13324267/C__Users_Chirino-Valle_AppData_Roaming_OpenText_OTEdit_EC_tepuna_c13324267_C__Users_mcneillb_AppData_Roaming_OpenText_OTEdit_EC_tepuna_c13324267_mailto_T%40______________________" TargetMode="External"/><Relationship Id="rId315" Type="http://schemas.openxmlformats.org/officeDocument/2006/relationships/theme" Target="theme/theme1.xml"/><Relationship Id="rId54" Type="http://schemas.openxmlformats.org/officeDocument/2006/relationships/image" Target="media/image15.png"/><Relationship Id="rId96" Type="http://schemas.openxmlformats.org/officeDocument/2006/relationships/image" Target="media/image36.png"/><Relationship Id="rId161" Type="http://schemas.openxmlformats.org/officeDocument/2006/relationships/image" Target="media/image62.emf"/><Relationship Id="rId217" Type="http://schemas.openxmlformats.org/officeDocument/2006/relationships/footer" Target="footer25.xml"/><Relationship Id="rId259" Type="http://schemas.openxmlformats.org/officeDocument/2006/relationships/image" Target="media/image94.png"/><Relationship Id="rId23" Type="http://schemas.openxmlformats.org/officeDocument/2006/relationships/footer" Target="footer6.xml"/><Relationship Id="rId119" Type="http://schemas.openxmlformats.org/officeDocument/2006/relationships/image" Target="media/image42.emf"/><Relationship Id="rId270" Type="http://schemas.openxmlformats.org/officeDocument/2006/relationships/image" Target="media/image97.png"/><Relationship Id="rId65" Type="http://schemas.openxmlformats.org/officeDocument/2006/relationships/image" Target="media/image22.png"/><Relationship Id="rId130" Type="http://schemas.openxmlformats.org/officeDocument/2006/relationships/package" Target="embeddings/Microsoft_Word_Document7.docx"/><Relationship Id="rId172" Type="http://schemas.openxmlformats.org/officeDocument/2006/relationships/package" Target="embeddings/Microsoft_Word_Document26.docx"/><Relationship Id="rId193" Type="http://schemas.openxmlformats.org/officeDocument/2006/relationships/hyperlink" Target="https://mpi.govt.nz/dmsdocument/20909-analysis-of-supplemental-feed-use-in-the-new-zealand-sheep-industry" TargetMode="External"/><Relationship Id="rId207" Type="http://schemas.openxmlformats.org/officeDocument/2006/relationships/footer" Target="footer24.xml"/><Relationship Id="rId228" Type="http://schemas.openxmlformats.org/officeDocument/2006/relationships/hyperlink" Target="https://environment.govt.nz/assets/Publications/Files/Our-land-201-final.pdf" TargetMode="External"/><Relationship Id="rId249" Type="http://schemas.openxmlformats.org/officeDocument/2006/relationships/hyperlink" Target="https://www.tokelau.org.nz/Stats.html" TargetMode="External"/><Relationship Id="rId13" Type="http://schemas.openxmlformats.org/officeDocument/2006/relationships/header" Target="header2.xml"/><Relationship Id="rId109" Type="http://schemas.openxmlformats.org/officeDocument/2006/relationships/hyperlink" Target="https://tepuna.mfe.govt.nz/otcsdav/nodes/13324267/C__Users_Chirino-Valle_AppData_Roaming_OpenText_OTEdit_EC_tepuna_c13324267_C__Users_mcneillb_AppData_Roaming_OpenText_OTEdit_EC_tepuna_c13324267_mailto_T%40______________________" TargetMode="External"/><Relationship Id="rId260" Type="http://schemas.openxmlformats.org/officeDocument/2006/relationships/hyperlink" Target="https://www.tokelau.org.nz/Bulletin/December+2017/Solid+Waste+Management+MOU+Signed+between+Tokelau+EDNRE+and+Pacific++Recycle+Co.+Ltd.html" TargetMode="External"/><Relationship Id="rId281" Type="http://schemas.openxmlformats.org/officeDocument/2006/relationships/hyperlink" Target="http://www.mpi.govt.nz/funding-and-programmes/forestry/erosion-control-funding-programme" TargetMode="External"/><Relationship Id="rId34" Type="http://schemas.openxmlformats.org/officeDocument/2006/relationships/header" Target="header7.xml"/><Relationship Id="rId55" Type="http://schemas.openxmlformats.org/officeDocument/2006/relationships/image" Target="media/image16.png"/><Relationship Id="rId76" Type="http://schemas.openxmlformats.org/officeDocument/2006/relationships/image" Target="media/image31.png"/><Relationship Id="rId97" Type="http://schemas.openxmlformats.org/officeDocument/2006/relationships/image" Target="media/image37.png"/><Relationship Id="rId120" Type="http://schemas.openxmlformats.org/officeDocument/2006/relationships/image" Target="media/image43.emf"/><Relationship Id="rId141" Type="http://schemas.openxmlformats.org/officeDocument/2006/relationships/image" Target="media/image52.emf"/><Relationship Id="rId7" Type="http://schemas.openxmlformats.org/officeDocument/2006/relationships/settings" Target="settings.xml"/><Relationship Id="rId162" Type="http://schemas.openxmlformats.org/officeDocument/2006/relationships/package" Target="embeddings/Microsoft_Word_Document21.docx"/><Relationship Id="rId183" Type="http://schemas.openxmlformats.org/officeDocument/2006/relationships/image" Target="media/image73.emf"/><Relationship Id="rId218" Type="http://schemas.openxmlformats.org/officeDocument/2006/relationships/footer" Target="footer26.xml"/><Relationship Id="rId239" Type="http://schemas.openxmlformats.org/officeDocument/2006/relationships/image" Target="media/image84.png"/><Relationship Id="rId250" Type="http://schemas.openxmlformats.org/officeDocument/2006/relationships/hyperlink" Target="https://www.tokelau.org.nz/site/tokelau/files/TokelauNSO/Part2Analysing2014Imports-15sep16public.pdf" TargetMode="External"/><Relationship Id="rId271" Type="http://schemas.openxmlformats.org/officeDocument/2006/relationships/image" Target="media/image98.png"/><Relationship Id="rId292" Type="http://schemas.openxmlformats.org/officeDocument/2006/relationships/footer" Target="footer37.xml"/><Relationship Id="rId306" Type="http://schemas.openxmlformats.org/officeDocument/2006/relationships/hyperlink" Target="https://www.mfe.govt.nz/publications/climate-change/new-zealands-fourth-biennial-report-under-united-nations-framework" TargetMode="External"/><Relationship Id="rId24" Type="http://schemas.openxmlformats.org/officeDocument/2006/relationships/footer" Target="footer7.xml"/><Relationship Id="rId45" Type="http://schemas.openxmlformats.org/officeDocument/2006/relationships/hyperlink" Target="https://unfccc.int/files/essential_background/background_publications_htmlpdf/application/pdf/conveng.pdf" TargetMode="External"/><Relationship Id="rId66" Type="http://schemas.openxmlformats.org/officeDocument/2006/relationships/image" Target="media/image23.emf"/><Relationship Id="rId87" Type="http://schemas.openxmlformats.org/officeDocument/2006/relationships/hyperlink" Target="http://www.bioenergy.org.nz/documents/resource/heat-plant-database-report-august-2011.pdf" TargetMode="External"/><Relationship Id="rId110" Type="http://schemas.openxmlformats.org/officeDocument/2006/relationships/hyperlink" Target="http://www.mpi.govt.nz/dmsdocument/13906-detailed-methodologies-for-agricultural-greenhouse-gas-emission-calculation" TargetMode="External"/><Relationship Id="rId131" Type="http://schemas.openxmlformats.org/officeDocument/2006/relationships/image" Target="media/image48.emf"/><Relationship Id="rId152" Type="http://schemas.openxmlformats.org/officeDocument/2006/relationships/package" Target="embeddings/Microsoft_Word_Document16.docx"/><Relationship Id="rId173" Type="http://schemas.openxmlformats.org/officeDocument/2006/relationships/image" Target="media/image68.emf"/><Relationship Id="rId194" Type="http://schemas.openxmlformats.org/officeDocument/2006/relationships/hyperlink" Target="http://www.mpi.govt.nz/dmsdocument/32857-Supplementary-Feed-use-in-the-Beef-Industry" TargetMode="External"/><Relationship Id="rId208" Type="http://schemas.openxmlformats.org/officeDocument/2006/relationships/image" Target="media/image76.png"/><Relationship Id="rId229" Type="http://schemas.openxmlformats.org/officeDocument/2006/relationships/hyperlink" Target="http://dx.doi.org/10.26021/13673" TargetMode="External"/><Relationship Id="rId240" Type="http://schemas.openxmlformats.org/officeDocument/2006/relationships/hyperlink" Target="https://ecan.govt.nz/document/download?uri=1851763" TargetMode="External"/><Relationship Id="rId261" Type="http://schemas.openxmlformats.org/officeDocument/2006/relationships/hyperlink" Target="https://www.tokelau.org.nz/Bulletin/September+2016/2014+imports+final.html" TargetMode="External"/><Relationship Id="rId14" Type="http://schemas.openxmlformats.org/officeDocument/2006/relationships/footer" Target="footer1.xml"/><Relationship Id="rId35" Type="http://schemas.openxmlformats.org/officeDocument/2006/relationships/header" Target="header8.xml"/><Relationship Id="rId56" Type="http://schemas.openxmlformats.org/officeDocument/2006/relationships/image" Target="media/image17.png"/><Relationship Id="rId77" Type="http://schemas.openxmlformats.org/officeDocument/2006/relationships/image" Target="media/image32.emf"/><Relationship Id="rId100" Type="http://schemas.openxmlformats.org/officeDocument/2006/relationships/image" Target="media/image39.png"/><Relationship Id="rId282" Type="http://schemas.openxmlformats.org/officeDocument/2006/relationships/hyperlink" Target="http://www.mpi.govt.nz/funding-and-programmes/forestry/afforestation-grant-scheme" TargetMode="External"/><Relationship Id="rId8" Type="http://schemas.openxmlformats.org/officeDocument/2006/relationships/webSettings" Target="webSettings.xml"/><Relationship Id="rId98" Type="http://schemas.openxmlformats.org/officeDocument/2006/relationships/image" Target="media/image38.emf"/><Relationship Id="rId121" Type="http://schemas.openxmlformats.org/officeDocument/2006/relationships/package" Target="embeddings/Microsoft_Visio_Drawing3.vsdx"/><Relationship Id="rId142" Type="http://schemas.openxmlformats.org/officeDocument/2006/relationships/package" Target="embeddings/Microsoft_Word_Document11.docx"/><Relationship Id="rId163" Type="http://schemas.openxmlformats.org/officeDocument/2006/relationships/image" Target="media/image63.emf"/><Relationship Id="rId184" Type="http://schemas.openxmlformats.org/officeDocument/2006/relationships/package" Target="embeddings/Microsoft_Word_Document32.docx"/><Relationship Id="rId219" Type="http://schemas.openxmlformats.org/officeDocument/2006/relationships/hyperlink" Target="http://www.fao.org/3/cb3795m/cb3795m.pdf" TargetMode="External"/><Relationship Id="rId230" Type="http://schemas.openxmlformats.org/officeDocument/2006/relationships/header" Target="header9.xml"/><Relationship Id="rId251" Type="http://schemas.openxmlformats.org/officeDocument/2006/relationships/image" Target="media/image86.png"/><Relationship Id="rId25" Type="http://schemas.openxmlformats.org/officeDocument/2006/relationships/footer" Target="footer8.xml"/><Relationship Id="rId46" Type="http://schemas.openxmlformats.org/officeDocument/2006/relationships/hyperlink" Target="https://treaties.un.org/doc/publication/ctc/uncharter.pdf" TargetMode="External"/><Relationship Id="rId67" Type="http://schemas.openxmlformats.org/officeDocument/2006/relationships/oleObject" Target="embeddings/Microsoft_Visio_2003-2010_Drawing.vsd"/><Relationship Id="rId272" Type="http://schemas.openxmlformats.org/officeDocument/2006/relationships/image" Target="media/image99.png"/><Relationship Id="rId293" Type="http://schemas.openxmlformats.org/officeDocument/2006/relationships/hyperlink" Target="https://environment.govt.nz/facts-and-science/climate-change/measuring-greenhouse-gas-emissions/about-new-zealands-greenhouse-gas-inventory/" TargetMode="External"/><Relationship Id="rId307" Type="http://schemas.openxmlformats.org/officeDocument/2006/relationships/hyperlink" Target="http://www.cslforum.org" TargetMode="External"/><Relationship Id="rId88" Type="http://schemas.openxmlformats.org/officeDocument/2006/relationships/hyperlink" Target="https://web.archive.org/web/20160822162726/https:/climatechange.govt.nz/consultation/energy/review-default-emissions-factors.pdf" TargetMode="External"/><Relationship Id="rId111" Type="http://schemas.openxmlformats.org/officeDocument/2006/relationships/image" Target="media/image40.emf"/><Relationship Id="rId132" Type="http://schemas.openxmlformats.org/officeDocument/2006/relationships/package" Target="embeddings/Microsoft_Word_Document8.docx"/><Relationship Id="rId153" Type="http://schemas.openxmlformats.org/officeDocument/2006/relationships/image" Target="media/image58.emf"/><Relationship Id="rId174" Type="http://schemas.openxmlformats.org/officeDocument/2006/relationships/package" Target="embeddings/Microsoft_Word_Document27.docx"/><Relationship Id="rId195" Type="http://schemas.openxmlformats.org/officeDocument/2006/relationships/hyperlink" Target="https://www.mpi.govt.nz/dmsdocument/46231-Feed-Consumed-by-NZ-Dairy-Cows" TargetMode="External"/><Relationship Id="rId209" Type="http://schemas.openxmlformats.org/officeDocument/2006/relationships/chart" Target="charts/chart13.xml"/><Relationship Id="rId220" Type="http://schemas.openxmlformats.org/officeDocument/2006/relationships/hyperlink" Target="https://lris.scinfo.org.nz/layer/104400-lcdb-v50-land-cover-database-version-50-mainland-new-zealand/" TargetMode="External"/><Relationship Id="rId241" Type="http://schemas.openxmlformats.org/officeDocument/2006/relationships/hyperlink" Target="https://www.waikatoregion.govt.nz/assets/WRC/WRC-2019/TR201455.pdf" TargetMode="External"/><Relationship Id="rId15" Type="http://schemas.openxmlformats.org/officeDocument/2006/relationships/footer" Target="footer2.xml"/><Relationship Id="rId36" Type="http://schemas.openxmlformats.org/officeDocument/2006/relationships/footer" Target="footer11.xml"/><Relationship Id="rId57" Type="http://schemas.openxmlformats.org/officeDocument/2006/relationships/image" Target="media/image18.png"/><Relationship Id="rId262" Type="http://schemas.openxmlformats.org/officeDocument/2006/relationships/hyperlink" Target="https://www.tokelau.org.nz/site/tokelau/2019%20Tokelau%20Population%20Count.pdf" TargetMode="External"/><Relationship Id="rId283" Type="http://schemas.openxmlformats.org/officeDocument/2006/relationships/hyperlink" Target="http://www.mpi.govt.nz/funding-and-programmes/forestry/permanent-forest-sink-initiative" TargetMode="External"/><Relationship Id="rId78" Type="http://schemas.openxmlformats.org/officeDocument/2006/relationships/oleObject" Target="embeddings/Microsoft_Visio_2003-2010_Drawing2.vsd"/><Relationship Id="rId99" Type="http://schemas.openxmlformats.org/officeDocument/2006/relationships/package" Target="embeddings/Microsoft_Visio_Drawing1.vsdx"/><Relationship Id="rId101" Type="http://schemas.openxmlformats.org/officeDocument/2006/relationships/footer" Target="footer19.xml"/><Relationship Id="rId122" Type="http://schemas.openxmlformats.org/officeDocument/2006/relationships/hyperlink" Target="http://www.mpi.govt.nz/news-and-resources/statistics-and-forecasting/greenhouse-gas-reporting/agricultural-inventory-advisory-panel" TargetMode="External"/><Relationship Id="rId143" Type="http://schemas.openxmlformats.org/officeDocument/2006/relationships/image" Target="media/image53.emf"/><Relationship Id="rId164" Type="http://schemas.openxmlformats.org/officeDocument/2006/relationships/package" Target="embeddings/Microsoft_Word_Document22.docx"/><Relationship Id="rId185" Type="http://schemas.openxmlformats.org/officeDocument/2006/relationships/package" Target="embeddings/Microsoft_Word_Document33.docx"/><Relationship Id="rId9" Type="http://schemas.openxmlformats.org/officeDocument/2006/relationships/footnotes" Target="footnotes.xml"/><Relationship Id="rId210" Type="http://schemas.openxmlformats.org/officeDocument/2006/relationships/chart" Target="charts/chart14.xml"/><Relationship Id="rId26" Type="http://schemas.openxmlformats.org/officeDocument/2006/relationships/footer" Target="footer9.xml"/><Relationship Id="rId231" Type="http://schemas.openxmlformats.org/officeDocument/2006/relationships/header" Target="header10.xml"/><Relationship Id="rId252" Type="http://schemas.openxmlformats.org/officeDocument/2006/relationships/image" Target="media/image87.png"/><Relationship Id="rId273" Type="http://schemas.openxmlformats.org/officeDocument/2006/relationships/image" Target="media/image100.png"/><Relationship Id="rId294" Type="http://schemas.openxmlformats.org/officeDocument/2006/relationships/hyperlink" Target="http://www.emissionsregister.govt.nz" TargetMode="External"/><Relationship Id="rId308" Type="http://schemas.openxmlformats.org/officeDocument/2006/relationships/hyperlink" Target="http://www.ieaghg.org" TargetMode="External"/><Relationship Id="rId47" Type="http://schemas.openxmlformats.org/officeDocument/2006/relationships/footer" Target="footer13.xml"/><Relationship Id="rId68" Type="http://schemas.openxmlformats.org/officeDocument/2006/relationships/image" Target="media/image24.png"/><Relationship Id="rId89" Type="http://schemas.openxmlformats.org/officeDocument/2006/relationships/hyperlink" Target="http://www.eeca.govt.nz/assets/EECA-Resources/Research-papers-guides/Off-road-liquid-fuel-insights.pdf" TargetMode="External"/><Relationship Id="rId112" Type="http://schemas.openxmlformats.org/officeDocument/2006/relationships/package" Target="embeddings/Microsoft_Visio_Drawing2.vsdx"/><Relationship Id="rId133" Type="http://schemas.openxmlformats.org/officeDocument/2006/relationships/image" Target="media/image49.emf"/><Relationship Id="rId154" Type="http://schemas.openxmlformats.org/officeDocument/2006/relationships/package" Target="embeddings/Microsoft_Word_Document17.docx"/><Relationship Id="rId175" Type="http://schemas.openxmlformats.org/officeDocument/2006/relationships/image" Target="media/image69.emf"/><Relationship Id="rId196" Type="http://schemas.openxmlformats.org/officeDocument/2006/relationships/hyperlink" Target="http://www.mpi.govt.nz/resources-and-forms/economic-intelligence/data/" TargetMode="External"/><Relationship Id="rId200" Type="http://schemas.openxmlformats.org/officeDocument/2006/relationships/hyperlink" Target="https://www.publish.csiro.au/AN/AN15766" TargetMode="External"/><Relationship Id="rId16" Type="http://schemas.openxmlformats.org/officeDocument/2006/relationships/header" Target="header3.xml"/><Relationship Id="rId221" Type="http://schemas.openxmlformats.org/officeDocument/2006/relationships/hyperlink" Target="http://www.landcareresearch.co.nz/news/a-new-national-soil-carbon-monitoring-system-for-agricultural-land/" TargetMode="External"/><Relationship Id="rId242" Type="http://schemas.openxmlformats.org/officeDocument/2006/relationships/hyperlink" Target="https://environment.govt.nz/publications/new-zealand-non-municipal-landfill-database-report/" TargetMode="External"/><Relationship Id="rId263" Type="http://schemas.openxmlformats.org/officeDocument/2006/relationships/hyperlink" Target="https://treaties.un.org/doc/publication/ctc/uncharter.pdf" TargetMode="External"/><Relationship Id="rId284" Type="http://schemas.openxmlformats.org/officeDocument/2006/relationships/hyperlink" Target="http://www.mpi.govt.nz/funding-and-programmes/environment-and-natural-resources/hill-country-erosion-programme" TargetMode="External"/><Relationship Id="rId37" Type="http://schemas.openxmlformats.org/officeDocument/2006/relationships/footer" Target="footer12.xml"/><Relationship Id="rId58" Type="http://schemas.openxmlformats.org/officeDocument/2006/relationships/image" Target="media/image19.png"/><Relationship Id="rId79" Type="http://schemas.openxmlformats.org/officeDocument/2006/relationships/hyperlink" Target="https://mineplans.nzpam.govt.nz" TargetMode="External"/><Relationship Id="rId102" Type="http://schemas.openxmlformats.org/officeDocument/2006/relationships/footer" Target="footer20.xml"/><Relationship Id="rId123" Type="http://schemas.openxmlformats.org/officeDocument/2006/relationships/image" Target="media/image44.emf"/><Relationship Id="rId144" Type="http://schemas.openxmlformats.org/officeDocument/2006/relationships/package" Target="embeddings/Microsoft_Word_Document12.docx"/><Relationship Id="rId90" Type="http://schemas.openxmlformats.org/officeDocument/2006/relationships/hyperlink" Target="http://www.mbie.govt.nz/building-and-energy/energy-and-natural-resources/energy-statistics-and-modelling/energy-publications-and-technical-papers/liquid-fuels-use-in-new-zealand/" TargetMode="External"/><Relationship Id="rId165" Type="http://schemas.openxmlformats.org/officeDocument/2006/relationships/image" Target="media/image64.emf"/><Relationship Id="rId186" Type="http://schemas.openxmlformats.org/officeDocument/2006/relationships/image" Target="media/image74.emf"/><Relationship Id="rId211" Type="http://schemas.openxmlformats.org/officeDocument/2006/relationships/image" Target="media/image77.png"/><Relationship Id="rId232" Type="http://schemas.openxmlformats.org/officeDocument/2006/relationships/footer" Target="footer27.xml"/><Relationship Id="rId253" Type="http://schemas.openxmlformats.org/officeDocument/2006/relationships/image" Target="media/image88.png"/><Relationship Id="rId274" Type="http://schemas.openxmlformats.org/officeDocument/2006/relationships/image" Target="media/image101.png"/><Relationship Id="rId295" Type="http://schemas.openxmlformats.org/officeDocument/2006/relationships/hyperlink" Target="https://www.emissionsregister.govt.nz/Common/InformationReports.aspx" TargetMode="External"/><Relationship Id="rId309" Type="http://schemas.openxmlformats.org/officeDocument/2006/relationships/hyperlink" Target="http://www.mfat.govt.nz/assets/Aid/Climate-finance/International-Climate-Finance-Strategy-FINAL-16Aug22-low-res.pdf" TargetMode="External"/><Relationship Id="rId27" Type="http://schemas.openxmlformats.org/officeDocument/2006/relationships/footer" Target="footer10.xml"/><Relationship Id="rId48" Type="http://schemas.openxmlformats.org/officeDocument/2006/relationships/footer" Target="footer14.xml"/><Relationship Id="rId69" Type="http://schemas.openxmlformats.org/officeDocument/2006/relationships/image" Target="media/image25.png"/><Relationship Id="rId113" Type="http://schemas.openxmlformats.org/officeDocument/2006/relationships/hyperlink" Target="http://www.mpi.govt.nz/dmsdocument/13906-detailed-methodologies-for-agricultural-greenhouse-gas-emission-calculation" TargetMode="External"/><Relationship Id="rId134" Type="http://schemas.openxmlformats.org/officeDocument/2006/relationships/package" Target="embeddings/Microsoft_Word_Document9.docx"/><Relationship Id="rId80" Type="http://schemas.openxmlformats.org/officeDocument/2006/relationships/hyperlink" Target="https://data.nzpam.govt.nz/GOLD/system/mainframe.asp" TargetMode="External"/><Relationship Id="rId155" Type="http://schemas.openxmlformats.org/officeDocument/2006/relationships/image" Target="media/image59.emf"/><Relationship Id="rId176" Type="http://schemas.openxmlformats.org/officeDocument/2006/relationships/package" Target="embeddings/Microsoft_Word_Document28.docx"/><Relationship Id="rId197" Type="http://schemas.openxmlformats.org/officeDocument/2006/relationships/hyperlink" Target="http://www.mpi.govt.nz/dmsdocument/13906-Detailed-methodologies-for-agricultural-greenhouse-gas-emission-calculation" TargetMode="External"/><Relationship Id="rId201" Type="http://schemas.openxmlformats.org/officeDocument/2006/relationships/footer" Target="footer21.xml"/><Relationship Id="rId222" Type="http://schemas.openxmlformats.org/officeDocument/2006/relationships/hyperlink" Target="https://www.mpi.govt.nz/forestry/forestry-in-the-emissions-trading-scheme/" TargetMode="External"/><Relationship Id="rId243" Type="http://schemas.openxmlformats.org/officeDocument/2006/relationships/footer" Target="footer30.xml"/><Relationship Id="rId264" Type="http://schemas.openxmlformats.org/officeDocument/2006/relationships/footer" Target="footer32.xml"/><Relationship Id="rId285" Type="http://schemas.openxmlformats.org/officeDocument/2006/relationships/hyperlink" Target="https://www.mpi.govt.nz/forestry/forestry-in-the-emissions-trading-scheme/" TargetMode="External"/><Relationship Id="rId17" Type="http://schemas.openxmlformats.org/officeDocument/2006/relationships/footer" Target="footer3.xml"/><Relationship Id="rId38" Type="http://schemas.openxmlformats.org/officeDocument/2006/relationships/hyperlink" Target="http://www.unfccc.int" TargetMode="External"/><Relationship Id="rId59" Type="http://schemas.openxmlformats.org/officeDocument/2006/relationships/hyperlink" Target="https://www.dairynz.co.nz/publications/dairy-industry/new-zealand-dairy-statistics-2020-21/" TargetMode="External"/><Relationship Id="rId103" Type="http://schemas.openxmlformats.org/officeDocument/2006/relationships/chart" Target="charts/chart1.xml"/><Relationship Id="rId124" Type="http://schemas.openxmlformats.org/officeDocument/2006/relationships/package" Target="embeddings/Microsoft_Visio_Drawing4.vsdx"/><Relationship Id="rId310" Type="http://schemas.openxmlformats.org/officeDocument/2006/relationships/hyperlink" Target="https://www.mfat.govt.nz/assets/Aid/Climate-finance/International-Climate-Finance-Strategy-At-a-glance-FINAL.pdf" TargetMode="External"/><Relationship Id="rId70" Type="http://schemas.openxmlformats.org/officeDocument/2006/relationships/image" Target="media/image26.png"/><Relationship Id="rId91" Type="http://schemas.openxmlformats.org/officeDocument/2006/relationships/hyperlink" Target="http://www.mbie.govt.nz/building-and-energy/energy-and-natural-resources/energy-statistics-and-modelling/energy-publications-and-technical-papers/delivering-the-diesel-liquid-fuel-deliveries-in-new-zealand-1990-2008" TargetMode="External"/><Relationship Id="rId145" Type="http://schemas.openxmlformats.org/officeDocument/2006/relationships/image" Target="media/image54.emf"/><Relationship Id="rId166" Type="http://schemas.openxmlformats.org/officeDocument/2006/relationships/package" Target="embeddings/Microsoft_Word_Document23.docx"/><Relationship Id="rId187" Type="http://schemas.openxmlformats.org/officeDocument/2006/relationships/chart" Target="charts/chart9.xml"/><Relationship Id="rId1" Type="http://schemas.openxmlformats.org/officeDocument/2006/relationships/customXml" Target="../customXml/item1.xml"/><Relationship Id="rId212" Type="http://schemas.openxmlformats.org/officeDocument/2006/relationships/image" Target="media/image78.svg"/><Relationship Id="rId233" Type="http://schemas.openxmlformats.org/officeDocument/2006/relationships/footer" Target="footer28.xml"/><Relationship Id="rId254" Type="http://schemas.openxmlformats.org/officeDocument/2006/relationships/image" Target="media/image89.png"/><Relationship Id="rId28" Type="http://schemas.openxmlformats.org/officeDocument/2006/relationships/image" Target="media/image4.png"/><Relationship Id="rId49" Type="http://schemas.openxmlformats.org/officeDocument/2006/relationships/image" Target="media/image10.png"/><Relationship Id="rId114" Type="http://schemas.openxmlformats.org/officeDocument/2006/relationships/hyperlink" Target="http://www.mpi.govt.nz/dmsdocument/13906-detailed-methodologies-for-agricultural-greenhouse-gas-emission-calculation" TargetMode="External"/><Relationship Id="rId275" Type="http://schemas.openxmlformats.org/officeDocument/2006/relationships/hyperlink" Target="http://www.mpi.govt.nz/dmsdocument/46219-Revised-Pasture-Quality-Analysis-in-the-Agricultural-Greenhouse-Gas-Inventory%20" TargetMode="External"/><Relationship Id="rId296" Type="http://schemas.openxmlformats.org/officeDocument/2006/relationships/hyperlink" Target="https://ji.unfccc.int/JI_Parties/DB/E48QQ342M7VSOFWEI6MTBKVVF9NFAM/viewDFP" TargetMode="External"/><Relationship Id="rId300" Type="http://schemas.openxmlformats.org/officeDocument/2006/relationships/footer" Target="footer40.xml"/><Relationship Id="rId60" Type="http://schemas.openxmlformats.org/officeDocument/2006/relationships/footer" Target="footer15.xml"/><Relationship Id="rId81" Type="http://schemas.openxmlformats.org/officeDocument/2006/relationships/image" Target="media/image33.wmf"/><Relationship Id="rId135" Type="http://schemas.openxmlformats.org/officeDocument/2006/relationships/image" Target="media/image50.emf"/><Relationship Id="rId156" Type="http://schemas.openxmlformats.org/officeDocument/2006/relationships/package" Target="embeddings/Microsoft_Word_Document18.docx"/><Relationship Id="rId177" Type="http://schemas.openxmlformats.org/officeDocument/2006/relationships/image" Target="media/image70.emf"/><Relationship Id="rId198" Type="http://schemas.openxmlformats.org/officeDocument/2006/relationships/hyperlink" Target="http://www.stats.govt.nz/information-releases/agricultural-production-statistics-june-2017-final" TargetMode="External"/><Relationship Id="rId202" Type="http://schemas.openxmlformats.org/officeDocument/2006/relationships/chart" Target="charts/chart11.xml"/><Relationship Id="rId223" Type="http://schemas.openxmlformats.org/officeDocument/2006/relationships/hyperlink" Target="http://www.mpi.govt.nz/forestry/forest-industry-and-workforce/forestry-wood-processing-data/" TargetMode="External"/><Relationship Id="rId244" Type="http://schemas.openxmlformats.org/officeDocument/2006/relationships/footer" Target="footer31.xml"/><Relationship Id="rId18" Type="http://schemas.openxmlformats.org/officeDocument/2006/relationships/header" Target="header4.xml"/><Relationship Id="rId39" Type="http://schemas.openxmlformats.org/officeDocument/2006/relationships/hyperlink" Target="http://www.emissionsregister.govt.nz" TargetMode="External"/><Relationship Id="rId265" Type="http://schemas.openxmlformats.org/officeDocument/2006/relationships/footer" Target="footer33.xml"/><Relationship Id="rId286" Type="http://schemas.openxmlformats.org/officeDocument/2006/relationships/hyperlink" Target="http://www.mpi.govt.nz/forestry/forest-industry-and-workforce/forestry-wood-processing-data/new-zealand-forest-data/" TargetMode="External"/><Relationship Id="rId50" Type="http://schemas.openxmlformats.org/officeDocument/2006/relationships/image" Target="media/image11.png"/><Relationship Id="rId104" Type="http://schemas.openxmlformats.org/officeDocument/2006/relationships/chart" Target="charts/chart2.xml"/><Relationship Id="rId125" Type="http://schemas.openxmlformats.org/officeDocument/2006/relationships/image" Target="media/image45.emf"/><Relationship Id="rId146" Type="http://schemas.openxmlformats.org/officeDocument/2006/relationships/package" Target="embeddings/Microsoft_Word_Document13.docx"/><Relationship Id="rId167" Type="http://schemas.openxmlformats.org/officeDocument/2006/relationships/image" Target="media/image65.emf"/><Relationship Id="rId188" Type="http://schemas.openxmlformats.org/officeDocument/2006/relationships/chart" Target="charts/chart10.xml"/><Relationship Id="rId311" Type="http://schemas.openxmlformats.org/officeDocument/2006/relationships/footer" Target="footer44.xml"/><Relationship Id="rId71" Type="http://schemas.openxmlformats.org/officeDocument/2006/relationships/image" Target="media/image27.png"/><Relationship Id="rId92" Type="http://schemas.openxmlformats.org/officeDocument/2006/relationships/hyperlink" Target="http://www.mbie.govt.nz/building-and-energy/energy-and-natural-resources/energy-statistics-and-modelling/energy-publications-and-technical-papers/energy-in-new-zealand/" TargetMode="External"/><Relationship Id="rId213" Type="http://schemas.openxmlformats.org/officeDocument/2006/relationships/chart" Target="charts/chart15.xml"/><Relationship Id="rId234" Type="http://schemas.openxmlformats.org/officeDocument/2006/relationships/header" Target="header11.xml"/><Relationship Id="rId2" Type="http://schemas.openxmlformats.org/officeDocument/2006/relationships/customXml" Target="../customXml/item2.xml"/><Relationship Id="rId29" Type="http://schemas.openxmlformats.org/officeDocument/2006/relationships/image" Target="media/image5.png"/><Relationship Id="rId255" Type="http://schemas.openxmlformats.org/officeDocument/2006/relationships/image" Target="media/image90.png"/><Relationship Id="rId276" Type="http://schemas.openxmlformats.org/officeDocument/2006/relationships/hyperlink" Target="https://www.mpi.govt.nz/dmsdocument/20909-Analysis-of-supplemental-feed-use-in-the-new-zealand-sheep-industry" TargetMode="External"/><Relationship Id="rId297" Type="http://schemas.openxmlformats.org/officeDocument/2006/relationships/hyperlink" Target="https://unfccc.int/files/national_reports/application/pdf/new_zealands_initial_report_under_the_kyoto_protocol.pdf" TargetMode="External"/><Relationship Id="rId40" Type="http://schemas.openxmlformats.org/officeDocument/2006/relationships/image" Target="media/image8.emf"/><Relationship Id="rId115" Type="http://schemas.openxmlformats.org/officeDocument/2006/relationships/hyperlink" Target="http://www.mpi.govt.nz/resources-and-forms/economic-intelligence/data/" TargetMode="External"/><Relationship Id="rId136" Type="http://schemas.openxmlformats.org/officeDocument/2006/relationships/hyperlink" Target="https://www.mpi.govt.nz/dmsdocument/13906-detailed-methodologies-for-agricultural-greenhouse-gas-emission-calculation" TargetMode="External"/><Relationship Id="rId157" Type="http://schemas.openxmlformats.org/officeDocument/2006/relationships/image" Target="media/image60.emf"/><Relationship Id="rId178" Type="http://schemas.openxmlformats.org/officeDocument/2006/relationships/package" Target="embeddings/Microsoft_Word_Document29.docx"/><Relationship Id="rId301" Type="http://schemas.openxmlformats.org/officeDocument/2006/relationships/footer" Target="footer41.xml"/><Relationship Id="rId61" Type="http://schemas.openxmlformats.org/officeDocument/2006/relationships/footer" Target="footer16.xml"/><Relationship Id="rId82" Type="http://schemas.openxmlformats.org/officeDocument/2006/relationships/oleObject" Target="embeddings/oleObject1.bin"/><Relationship Id="rId199" Type="http://schemas.openxmlformats.org/officeDocument/2006/relationships/hyperlink" Target="http://www.stats.govt.nz/infoshare" TargetMode="External"/><Relationship Id="rId203" Type="http://schemas.openxmlformats.org/officeDocument/2006/relationships/chart" Target="charts/chart12.xml"/><Relationship Id="rId19" Type="http://schemas.openxmlformats.org/officeDocument/2006/relationships/footer" Target="footer4.xml"/><Relationship Id="rId224" Type="http://schemas.openxmlformats.org/officeDocument/2006/relationships/hyperlink" Target="http://www.mpi.govt.nz/forestry/new-zealand-forests-forest-industry/forestry/wood-product-markets" TargetMode="External"/><Relationship Id="rId245" Type="http://schemas.openxmlformats.org/officeDocument/2006/relationships/image" Target="media/image85.png"/><Relationship Id="rId266" Type="http://schemas.openxmlformats.org/officeDocument/2006/relationships/footer" Target="footer34.xml"/><Relationship Id="rId287" Type="http://schemas.openxmlformats.org/officeDocument/2006/relationships/hyperlink" Target="http://www.mpi.govt.nz/forestry/new-zealand-forests-forest-industry/forestry/wood-processing/" TargetMode="External"/><Relationship Id="rId30" Type="http://schemas.openxmlformats.org/officeDocument/2006/relationships/image" Target="media/image6.png"/><Relationship Id="rId105" Type="http://schemas.openxmlformats.org/officeDocument/2006/relationships/chart" Target="charts/chart3.xml"/><Relationship Id="rId126" Type="http://schemas.openxmlformats.org/officeDocument/2006/relationships/package" Target="embeddings/Microsoft_Word_Document5.docx"/><Relationship Id="rId147" Type="http://schemas.openxmlformats.org/officeDocument/2006/relationships/image" Target="media/image55.emf"/><Relationship Id="rId168" Type="http://schemas.openxmlformats.org/officeDocument/2006/relationships/package" Target="embeddings/Microsoft_Word_Document24.docx"/><Relationship Id="rId312" Type="http://schemas.openxmlformats.org/officeDocument/2006/relationships/footer" Target="footer45.xml"/><Relationship Id="rId51" Type="http://schemas.openxmlformats.org/officeDocument/2006/relationships/image" Target="media/image12.png"/><Relationship Id="rId72" Type="http://schemas.openxmlformats.org/officeDocument/2006/relationships/image" Target="media/image28.emf"/><Relationship Id="rId93" Type="http://schemas.openxmlformats.org/officeDocument/2006/relationships/hyperlink" Target="https://www.transport.govt.nz/area-of-interest/public-transport/new-zealand-household-travel-survey/" TargetMode="External"/><Relationship Id="rId189" Type="http://schemas.openxmlformats.org/officeDocument/2006/relationships/hyperlink" Target="http://mpi.govt.nz/news-and-resources/statistics-and-forecasting/greenhouse-gas-reporting/agriculture-greenhouse-gas-inventory-reports" TargetMode="External"/><Relationship Id="rId3" Type="http://schemas.openxmlformats.org/officeDocument/2006/relationships/customXml" Target="../customXml/item3.xml"/><Relationship Id="rId214" Type="http://schemas.openxmlformats.org/officeDocument/2006/relationships/image" Target="media/image79.jpeg"/><Relationship Id="rId235" Type="http://schemas.openxmlformats.org/officeDocument/2006/relationships/footer" Target="footer29.xml"/><Relationship Id="rId256" Type="http://schemas.openxmlformats.org/officeDocument/2006/relationships/image" Target="media/image91.png"/><Relationship Id="rId277" Type="http://schemas.openxmlformats.org/officeDocument/2006/relationships/hyperlink" Target="https://www.mpi.govt.nz/dmsdocument/32863-%20animal-live-weight-calculations-in-the-nz-agricultural-ghg-inventory-model" TargetMode="External"/><Relationship Id="rId298" Type="http://schemas.openxmlformats.org/officeDocument/2006/relationships/footer" Target="footer38.xml"/><Relationship Id="rId116" Type="http://schemas.openxmlformats.org/officeDocument/2006/relationships/chart" Target="charts/chart6.xml"/><Relationship Id="rId137" Type="http://schemas.openxmlformats.org/officeDocument/2006/relationships/image" Target="media/image51.emf"/><Relationship Id="rId158" Type="http://schemas.openxmlformats.org/officeDocument/2006/relationships/package" Target="embeddings/Microsoft_Word_Document19.docx"/><Relationship Id="rId302" Type="http://schemas.openxmlformats.org/officeDocument/2006/relationships/hyperlink" Target="http://www.epa.govt.nz" TargetMode="External"/><Relationship Id="rId20" Type="http://schemas.openxmlformats.org/officeDocument/2006/relationships/header" Target="header5.xml"/><Relationship Id="rId41" Type="http://schemas.openxmlformats.org/officeDocument/2006/relationships/package" Target="embeddings/Microsoft_Visio_Drawing.vsdx"/><Relationship Id="rId62" Type="http://schemas.openxmlformats.org/officeDocument/2006/relationships/image" Target="media/image20.png"/><Relationship Id="rId83" Type="http://schemas.openxmlformats.org/officeDocument/2006/relationships/image" Target="media/image34.wmf"/><Relationship Id="rId179" Type="http://schemas.openxmlformats.org/officeDocument/2006/relationships/image" Target="media/image71.emf"/><Relationship Id="rId190" Type="http://schemas.openxmlformats.org/officeDocument/2006/relationships/hyperlink" Target="https://d.docs.live.net/d82e1fd947f4c33e/Documents/Work/Environment%20-%20Ministry%20for/FORMATTING/Greenhouse%20gas%20inventories/Greenhouse%20gas%20inventory%202023/Formatting/www.dcceew.gov.au/sites/default/files/documents/national-inventory-report-2020-volume-1.pdf" TargetMode="External"/><Relationship Id="rId204" Type="http://schemas.openxmlformats.org/officeDocument/2006/relationships/image" Target="media/image75.jpeg"/><Relationship Id="rId225" Type="http://schemas.openxmlformats.org/officeDocument/2006/relationships/hyperlink" Target="https://unfccc.int/files/national_reports/application/pdf/new_zealands_initial_report_under_the_kyoto_protocol.pdf" TargetMode="External"/><Relationship Id="rId246" Type="http://schemas.openxmlformats.org/officeDocument/2006/relationships/hyperlink" Target="https://www.tokelau.org.nz/Tokelau+Government/Government+Departments/Office+of+the+Council+for+the+Ongoing+Government+OCOG/Tokelau+National+Statistics+Office/census.html" TargetMode="External"/><Relationship Id="rId267" Type="http://schemas.openxmlformats.org/officeDocument/2006/relationships/footer" Target="footer35.xml"/><Relationship Id="rId288" Type="http://schemas.openxmlformats.org/officeDocument/2006/relationships/hyperlink" Target="http://www.mpi.govt.nz/forestry/new-zealand-forests-forest-industry/forestry/wood-processing" TargetMode="External"/><Relationship Id="rId106" Type="http://schemas.openxmlformats.org/officeDocument/2006/relationships/chart" Target="charts/chart4.xml"/><Relationship Id="rId127" Type="http://schemas.openxmlformats.org/officeDocument/2006/relationships/image" Target="media/image46.emf"/><Relationship Id="rId313"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7.png"/><Relationship Id="rId52" Type="http://schemas.openxmlformats.org/officeDocument/2006/relationships/image" Target="media/image13.png"/><Relationship Id="rId73" Type="http://schemas.openxmlformats.org/officeDocument/2006/relationships/oleObject" Target="embeddings/Microsoft_Visio_2003-2010_Drawing1.vsd"/><Relationship Id="rId94" Type="http://schemas.openxmlformats.org/officeDocument/2006/relationships/footer" Target="footer17.xml"/><Relationship Id="rId148" Type="http://schemas.openxmlformats.org/officeDocument/2006/relationships/package" Target="embeddings/Microsoft_Word_Document14.docx"/><Relationship Id="rId169" Type="http://schemas.openxmlformats.org/officeDocument/2006/relationships/image" Target="media/image66.emf"/><Relationship Id="rId4" Type="http://schemas.openxmlformats.org/officeDocument/2006/relationships/customXml" Target="../customXml/item4.xml"/><Relationship Id="rId180" Type="http://schemas.openxmlformats.org/officeDocument/2006/relationships/package" Target="embeddings/Microsoft_Word_Document30.docx"/><Relationship Id="rId215" Type="http://schemas.openxmlformats.org/officeDocument/2006/relationships/image" Target="media/image80.png"/><Relationship Id="rId236" Type="http://schemas.openxmlformats.org/officeDocument/2006/relationships/image" Target="media/image81.png"/><Relationship Id="rId257" Type="http://schemas.openxmlformats.org/officeDocument/2006/relationships/image" Target="media/image92.png"/><Relationship Id="rId278" Type="http://schemas.openxmlformats.org/officeDocument/2006/relationships/hyperlink" Target="http://www.mpi.govt.nz/dmsdocument/32857-Supplementary-Feed-use-in-the-Beef-Industry" TargetMode="External"/><Relationship Id="rId303" Type="http://schemas.openxmlformats.org/officeDocument/2006/relationships/footer" Target="footer42.xml"/><Relationship Id="rId42" Type="http://schemas.openxmlformats.org/officeDocument/2006/relationships/image" Target="media/image9.jpeg"/><Relationship Id="rId84" Type="http://schemas.openxmlformats.org/officeDocument/2006/relationships/oleObject" Target="embeddings/oleObject2.bin"/><Relationship Id="rId138" Type="http://schemas.openxmlformats.org/officeDocument/2006/relationships/package" Target="embeddings/Microsoft_Word_Document10.docx"/><Relationship Id="rId191" Type="http://schemas.openxmlformats.org/officeDocument/2006/relationships/hyperlink" Target="https://www.dairynz.co.nz/publications/dairy-industry/new-zealand-dairy-statistics-2020-21/" TargetMode="External"/><Relationship Id="rId205" Type="http://schemas.openxmlformats.org/officeDocument/2006/relationships/footer" Target="footer22.xml"/><Relationship Id="rId247" Type="http://schemas.openxmlformats.org/officeDocument/2006/relationships/hyperlink" Target="https://www.tokelau.org.nz/Tokelau+Government/Government+Departments/Office+of+the+Council+for+the+Ongoing+Government+OCOG/Tokelau+National+Statistics+Office/HIES.html" TargetMode="External"/><Relationship Id="rId107" Type="http://schemas.openxmlformats.org/officeDocument/2006/relationships/chart" Target="charts/chart5.xml"/><Relationship Id="rId289" Type="http://schemas.openxmlformats.org/officeDocument/2006/relationships/hyperlink" Target="https://unfccc.int/files/national_reports/application/pdf/new_zealands_initial_report_under_the_kyoto_protocol.pdf" TargetMode="External"/><Relationship Id="rId11" Type="http://schemas.openxmlformats.org/officeDocument/2006/relationships/image" Target="media/image1.jpeg"/><Relationship Id="rId53" Type="http://schemas.openxmlformats.org/officeDocument/2006/relationships/image" Target="media/image14.png"/><Relationship Id="rId149" Type="http://schemas.openxmlformats.org/officeDocument/2006/relationships/image" Target="media/image56.emf"/><Relationship Id="rId314" Type="http://schemas.openxmlformats.org/officeDocument/2006/relationships/glossaryDocument" Target="glossary/document.xml"/><Relationship Id="rId95" Type="http://schemas.openxmlformats.org/officeDocument/2006/relationships/footer" Target="footer18.xml"/><Relationship Id="rId160" Type="http://schemas.openxmlformats.org/officeDocument/2006/relationships/package" Target="embeddings/Microsoft_Word_Document20.docx"/><Relationship Id="rId216" Type="http://schemas.openxmlformats.org/officeDocument/2006/relationships/chart" Target="charts/chart16.xml"/><Relationship Id="rId258" Type="http://schemas.openxmlformats.org/officeDocument/2006/relationships/image" Target="media/image93.png"/><Relationship Id="rId22" Type="http://schemas.openxmlformats.org/officeDocument/2006/relationships/footer" Target="footer5.xml"/><Relationship Id="rId64" Type="http://schemas.openxmlformats.org/officeDocument/2006/relationships/hyperlink" Target="http://www.mbie.govt.nz/building-and-energy/energy-and-natural-resources/energy-statistics-and-modelling/energy-publications-and-technical-papers/energy-in-new-zealand/" TargetMode="External"/><Relationship Id="rId118" Type="http://schemas.openxmlformats.org/officeDocument/2006/relationships/package" Target="embeddings/Microsoft_Word_Document.docx"/><Relationship Id="rId171" Type="http://schemas.openxmlformats.org/officeDocument/2006/relationships/image" Target="media/image67.emf"/><Relationship Id="rId227" Type="http://schemas.openxmlformats.org/officeDocument/2006/relationships/hyperlink" Target="http://www.stats.govt.nz" TargetMode="External"/><Relationship Id="rId269" Type="http://schemas.openxmlformats.org/officeDocument/2006/relationships/image" Target="media/image96.png"/><Relationship Id="rId33" Type="http://schemas.openxmlformats.org/officeDocument/2006/relationships/hyperlink" Target="http://www.mbie.govt.nz/building-and-energy/energy-and-natural-resources/energy-statistics-and-modelling/energy-publications-and-technical-papers/energy-in-new-zealand/" TargetMode="External"/><Relationship Id="rId129" Type="http://schemas.openxmlformats.org/officeDocument/2006/relationships/image" Target="media/image47.emf"/><Relationship Id="rId280" Type="http://schemas.openxmlformats.org/officeDocument/2006/relationships/footer" Target="footer36.xml"/><Relationship Id="rId75" Type="http://schemas.openxmlformats.org/officeDocument/2006/relationships/image" Target="media/image30.png"/><Relationship Id="rId140" Type="http://schemas.openxmlformats.org/officeDocument/2006/relationships/chart" Target="charts/chart8.xml"/><Relationship Id="rId182" Type="http://schemas.openxmlformats.org/officeDocument/2006/relationships/package" Target="embeddings/Microsoft_Word_Document31.docx"/><Relationship Id="rId6" Type="http://schemas.openxmlformats.org/officeDocument/2006/relationships/styles" Target="styles.xml"/><Relationship Id="rId238" Type="http://schemas.openxmlformats.org/officeDocument/2006/relationships/image" Target="media/image83.png"/><Relationship Id="rId291" Type="http://schemas.openxmlformats.org/officeDocument/2006/relationships/hyperlink" Target="http://www.mpi.govt.nz/funding-and-programmes/forestry/planting-one-billion-trees/one-billion-tree-fund" TargetMode="External"/><Relationship Id="rId305" Type="http://schemas.openxmlformats.org/officeDocument/2006/relationships/hyperlink" Target="http://www.mfat.govt.nz/en/environment/climate-change/supporting-our-region/" TargetMode="External"/><Relationship Id="rId44" Type="http://schemas.openxmlformats.org/officeDocument/2006/relationships/hyperlink" Target="https://www.stats.govt.nz/assets/Uploads/Principles-and-protocols-for-producers-of-tier-1-stats/principles-and-protocols-for-producers-of-tier-1-stats.pdf" TargetMode="External"/><Relationship Id="rId86" Type="http://schemas.openxmlformats.org/officeDocument/2006/relationships/oleObject" Target="embeddings/Microsoft_Visio_2003-2010_Drawing3.vsd"/><Relationship Id="rId151" Type="http://schemas.openxmlformats.org/officeDocument/2006/relationships/image" Target="media/image57.emf"/></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8" Type="http://schemas.openxmlformats.org/officeDocument/2006/relationships/hyperlink" Target="http://www.mpi.govt.nz/news-and-resources/economic-intelligence-unit/situation-and-outlook-for-primary-industries/" TargetMode="External"/><Relationship Id="rId13" Type="http://schemas.openxmlformats.org/officeDocument/2006/relationships/hyperlink" Target="https://environment.govt.nz/publications/aotearoa-new-zealands-first-emissions-reduction-plan/" TargetMode="External"/><Relationship Id="rId18" Type="http://schemas.openxmlformats.org/officeDocument/2006/relationships/hyperlink" Target="https://unfccc.int/sites/default/files/NDC/2022-06/New%20Zealand%20NDC%20November%202021.pdf" TargetMode="External"/><Relationship Id="rId3" Type="http://schemas.openxmlformats.org/officeDocument/2006/relationships/hyperlink" Target="https://covid19.govt.nz/about-our-covid-19-response/history-of-the-covid-19-alert-system/" TargetMode="External"/><Relationship Id="rId7" Type="http://schemas.openxmlformats.org/officeDocument/2006/relationships/hyperlink" Target="http://www.mpi.govt.nz/news-and-resources/economic-intelligence-unit/situation-and-outlook-for-primary-industries/" TargetMode="External"/><Relationship Id="rId12" Type="http://schemas.openxmlformats.org/officeDocument/2006/relationships/hyperlink" Target="https://unfccc.int/documents/478998" TargetMode="External"/><Relationship Id="rId17" Type="http://schemas.openxmlformats.org/officeDocument/2006/relationships/hyperlink" Target="https://www.agresearch.co.nz/" TargetMode="External"/><Relationship Id="rId2" Type="http://schemas.openxmlformats.org/officeDocument/2006/relationships/hyperlink" Target="https://covid19.govt.nz/about-our-covid-19-response/history-of-the-covid-19-alert-system/" TargetMode="External"/><Relationship Id="rId16" Type="http://schemas.openxmlformats.org/officeDocument/2006/relationships/hyperlink" Target="https://www.tokelau.org.nz/Bulletin/December+2017/Solid+Waste+Management+MOU+Signed+between+Tokelau+EDNRE+and+Pacific++Recycle+Co.+Ltd.html" TargetMode="External"/><Relationship Id="rId1" Type="http://schemas.openxmlformats.org/officeDocument/2006/relationships/hyperlink" Target="https://covid19.govt.nz/about-our-covid-19-response/" TargetMode="External"/><Relationship Id="rId6" Type="http://schemas.openxmlformats.org/officeDocument/2006/relationships/hyperlink" Target="https://covid19.govt.nz/about-our-covid-19-response/history-of-the-covid-19-alert-system/" TargetMode="External"/><Relationship Id="rId11" Type="http://schemas.openxmlformats.org/officeDocument/2006/relationships/hyperlink" Target="http://www.mpi.govt.nz/dmsdocument/13906-Detailed-methodologies-for-agricultural-greenhouse-gas-emission-calculation-" TargetMode="External"/><Relationship Id="rId5" Type="http://schemas.openxmlformats.org/officeDocument/2006/relationships/hyperlink" Target="https://covid19.govt.nz/about-our-covid-19-response/history-of-the-covid-19-alert-system/" TargetMode="External"/><Relationship Id="rId15" Type="http://schemas.openxmlformats.org/officeDocument/2006/relationships/hyperlink" Target="https://www.mfat.govt.nz/assets/Aid-Prog-docs/Evaluations/2015/Dec-2015/MFAT-Tokelau-Country-Programme-Eval-Final-v5-09122015.pdf" TargetMode="External"/><Relationship Id="rId10" Type="http://schemas.openxmlformats.org/officeDocument/2006/relationships/hyperlink" Target="http://www.dairynz.co.nz/business/the-5-production-systems/" TargetMode="External"/><Relationship Id="rId4" Type="http://schemas.openxmlformats.org/officeDocument/2006/relationships/hyperlink" Target="https://covid19.govt.nz/about-our-covid-19-response/" TargetMode="External"/><Relationship Id="rId9" Type="http://schemas.openxmlformats.org/officeDocument/2006/relationships/hyperlink" Target="http://www.mpi.govt.nz/dmsdocument/32863/direct" TargetMode="External"/><Relationship Id="rId14" Type="http://schemas.openxmlformats.org/officeDocument/2006/relationships/hyperlink" Target="https://environment.govt.nz/what-government-is-doing/areas-of-work/waste/waste-legislation-review"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nny_000\OneDrive\Documents\Work\Environment%20-%20Ministry%20for\FORMATTING\Greenhouse%20gas%20inventories\Rvsd%20Jan%202022%20Greenhouse%20Gas%20template.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piritahi.cohesion.net.nz/Sites/POL/NR/CC/AgriculturalGasInventory/2023%20Inventory/2023%20ag%20inventory_results_data_tables_graphs%20final.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https://piritahi.cohesion.net.nz/Sites/POL/NR/CC/AgriculturalGasInventory/2023%20Inventory/2023%20ag%20inventory_results_data_tables_graphs%20final.xlsx" TargetMode="External"/><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oleObject" Target="file:///\\mfeprodfps01.mfe.mfe.govt.nz\FileArchive\Current%20Databases%20retain%20in%20m%20drive\NZCAS%20datasets\UN%20Reporting\Restricted\2021%20NIR\4th%20run\Calc_Processes\5.%20CRF%20Exporter\Analysis%20and%20Results\1%20-%20Figures%20711-712.xlsm" TargetMode="External"/><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13.xml.rels><?xml version="1.0" encoding="UTF-8" standalone="yes"?>
<Relationships xmlns="http://schemas.openxmlformats.org/package/2006/relationships"><Relationship Id="rId2" Type="http://schemas.openxmlformats.org/officeDocument/2006/relationships/oleObject" Target="file:///\\mfeprodfps01.mfe.mfe.govt.nz\FileArchive\Current%20Databases%20retain%20in%20m%20drive\NZCAS%20datasets\UN%20Reporting\Restricted\2021%20NIR\4th%20run\Calc_Processes\5.%20CRF%20Exporter\Analysis%20and%20Results\8%20-%20Afforestation,%20Reforestation%20&amp;%20Deforestation.xlsm" TargetMode="External"/><Relationship Id="rId1" Type="http://schemas.openxmlformats.org/officeDocument/2006/relationships/themeOverride" Target="../theme/themeOverride10.xml"/></Relationships>
</file>

<file path=word/charts/_rels/chart14.xml.rels><?xml version="1.0" encoding="UTF-8" standalone="yes"?>
<Relationships xmlns="http://schemas.openxmlformats.org/package/2006/relationships"><Relationship Id="rId2" Type="http://schemas.openxmlformats.org/officeDocument/2006/relationships/oleObject" Target="file:///\\mfeprodfps01.mfe.mfe.govt.nz\FileArchive\Current%20Databases%20retain%20in%20m%20drive\NZCAS%20datasets\UN%20Reporting\Restricted\2021%20NIR\4th%20run\Calc_Processes\5.%20CRF%20Exporter\Analysis%20and%20Results\8%20-%20Afforestation,%20Reforestation%20&amp;%20Deforestation.xlsm" TargetMode="External"/><Relationship Id="rId1" Type="http://schemas.openxmlformats.org/officeDocument/2006/relationships/themeOverride" Target="../theme/themeOverride11.xml"/></Relationships>
</file>

<file path=word/charts/_rels/chart15.xml.rels><?xml version="1.0" encoding="UTF-8" standalone="yes"?>
<Relationships xmlns="http://schemas.openxmlformats.org/package/2006/relationships"><Relationship Id="rId3" Type="http://schemas.openxmlformats.org/officeDocument/2006/relationships/oleObject" Target="file:///\\mfeprodfps01.mfe.mfe.govt.nz\FileArchive\Current%20Databases%20retain%20in%20m%20drive\NZCAS%20datasets\UN%20Reporting\Restricted\2021%20NIR\4th%20run\Calc_Processes\5.%20CRF%20Exporter\Analysis%20and%20Results\8%20-%20Afforestation,%20Reforestation%20&amp;%20Deforestation.xlsm" TargetMode="External"/><Relationship Id="rId2" Type="http://schemas.microsoft.com/office/2011/relationships/chartColorStyle" Target="colors3.xml"/><Relationship Id="rId1" Type="http://schemas.microsoft.com/office/2011/relationships/chartStyle" Target="style3.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mfeprodfps01.mfe.mfe.govt.nz\FileArchive\Current%20Databases%20retain%20in%20m%20drive\NZCAS%20datasets\UN%20Reporting\Restricted\2021%20NIR\4th%20run\Calc_Processes\3.%20HWP\NZ_KP_HWP_model_v5_8b_UNFCCC_2022%20v2.xlsx" TargetMode="External"/><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oleObject" Target="https://piritahi.cohesion.net.nz/Sites/POL/NR/CC/AgriculturalGasInventory/2023%20Inventory/2023%20ag%20inventory_results_data_tables_graphs%20final.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https://piritahi.cohesion.net.nz/Sites/POL/NR/CC/AgriculturalGasInventory/2023%20Inventory/2023%20ag%20inventory_results_data_tables_graphs%20final.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https://piritahi.cohesion.net.nz/Sites/POL/NR/CC/AgriculturalGasInventory/2023%20Inventory/2023%20ag%20inventory_results_data_tables_graphs%20final.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https://piritahi.cohesion.net.nz/Sites/POL/NR/CC/AgriculturalGasInventory/2023%20Inventory/2023%20ag%20inventory_results_data_tables_graphs%20final.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https://piritahi.cohesion.net.nz/Sites/POL/NR/CC/AgriculturalGasInventory/2023%20Inventory/2023%20ag%20inventory_results_data_tables_graphs%20final.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oleObject" Target="https://piritahi.cohesion.net.nz/Sites/POL/NR/CC/AgriculturalGasInventory/2023%20Inventory/2023%20ag%20inventory_results_data_tables_graphs%20final.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https://piritahi.cohesion.net.nz/Sites/POL/NR/CC/AgriculturalGasInventory/2023%20Inventory/2023%20ag%20inventory_results_data_tables_graphs%20final.xlsx" TargetMode="External"/></Relationships>
</file>

<file path=word/charts/_rels/chart9.xml.rels><?xml version="1.0" encoding="UTF-8" standalone="yes"?>
<Relationships xmlns="http://schemas.openxmlformats.org/package/2006/relationships"><Relationship Id="rId2" Type="http://schemas.openxmlformats.org/officeDocument/2006/relationships/oleObject" Target="https://piritahi.cohesion.net.nz/Sites/POL/NR/CC/AgriculturalGasInventory/2023%20Inventory/2023%20ag%20inventory_results_data_tables_graphs%20final.xlsx"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02155307146153"/>
          <c:y val="3.7131662028775721E-2"/>
          <c:w val="0.87026941339326913"/>
          <c:h val="0.79783116998015691"/>
        </c:manualLayout>
      </c:layout>
      <c:barChart>
        <c:barDir val="col"/>
        <c:grouping val="clustered"/>
        <c:varyColors val="0"/>
        <c:ser>
          <c:idx val="0"/>
          <c:order val="0"/>
          <c:tx>
            <c:strRef>
              <c:f>'Figure 5.1.1 + Table 5.1.1'!$D$3</c:f>
              <c:strCache>
                <c:ptCount val="1"/>
                <c:pt idx="0">
                  <c:v>1990</c:v>
                </c:pt>
              </c:strCache>
            </c:strRef>
          </c:tx>
          <c:spPr>
            <a:solidFill>
              <a:schemeClr val="accent1"/>
            </a:solidFill>
            <a:ln>
              <a:noFill/>
            </a:ln>
            <a:effectLst/>
          </c:spPr>
          <c:invertIfNegative val="0"/>
          <c:dLbls>
            <c:delete val="1"/>
          </c:dLbls>
          <c:cat>
            <c:strRef>
              <c:f>'Figure 5.1.1 + Table 5.1.1'!$B$4:$B$11</c:f>
              <c:strCache>
                <c:ptCount val="8"/>
                <c:pt idx="0">
                  <c:v>Enteric 
fermentation</c:v>
                </c:pt>
                <c:pt idx="1">
                  <c:v>Manure 
management</c:v>
                </c:pt>
                <c:pt idx="2">
                  <c:v>Rice 
cultivation</c:v>
                </c:pt>
                <c:pt idx="3">
                  <c:v>Agricultural 
soils</c:v>
                </c:pt>
                <c:pt idx="4">
                  <c:v>Field burning 
of agricultural 
residues</c:v>
                </c:pt>
                <c:pt idx="5">
                  <c:v>Liming</c:v>
                </c:pt>
                <c:pt idx="6">
                  <c:v>Urea 
application</c:v>
                </c:pt>
                <c:pt idx="7">
                  <c:v>Other carbon-
containing 
fertilisers</c:v>
                </c:pt>
              </c:strCache>
            </c:strRef>
          </c:cat>
          <c:val>
            <c:numRef>
              <c:f>'Figure 5.1.1 + Table 5.1.1'!$D$4:$D$11</c:f>
              <c:numCache>
                <c:formatCode>0.0</c:formatCode>
                <c:ptCount val="8"/>
                <c:pt idx="0">
                  <c:v>26960.429661083122</c:v>
                </c:pt>
                <c:pt idx="1">
                  <c:v>771.73265490693609</c:v>
                </c:pt>
                <c:pt idx="2">
                  <c:v>0</c:v>
                </c:pt>
                <c:pt idx="3">
                  <c:v>5216.8158557179804</c:v>
                </c:pt>
                <c:pt idx="4">
                  <c:v>27.388046840075084</c:v>
                </c:pt>
                <c:pt idx="5">
                  <c:v>296.48412375620677</c:v>
                </c:pt>
                <c:pt idx="6">
                  <c:v>39.194940193658631</c:v>
                </c:pt>
                <c:pt idx="7">
                  <c:v>0</c:v>
                </c:pt>
              </c:numCache>
            </c:numRef>
          </c:val>
          <c:extLst>
            <c:ext xmlns:c16="http://schemas.microsoft.com/office/drawing/2014/chart" uri="{C3380CC4-5D6E-409C-BE32-E72D297353CC}">
              <c16:uniqueId val="{00000000-8E28-4C1E-8E8C-475B4415ACD9}"/>
            </c:ext>
          </c:extLst>
        </c:ser>
        <c:ser>
          <c:idx val="1"/>
          <c:order val="1"/>
          <c:tx>
            <c:strRef>
              <c:f>'Figure 5.1.1 + Table 5.1.1'!$E$3</c:f>
              <c:strCache>
                <c:ptCount val="1"/>
                <c:pt idx="0">
                  <c:v>2021</c:v>
                </c:pt>
              </c:strCache>
            </c:strRef>
          </c:tx>
          <c:spPr>
            <a:solidFill>
              <a:schemeClr val="accent2"/>
            </a:solidFill>
            <a:ln>
              <a:noFill/>
            </a:ln>
            <a:effectLst/>
          </c:spPr>
          <c:invertIfNegative val="0"/>
          <c:dLbls>
            <c:dLbl>
              <c:idx val="0"/>
              <c:layout>
                <c:manualLayout>
                  <c:x val="-1.8903563677306095E-2"/>
                  <c:y val="0.53208243227969709"/>
                </c:manualLayout>
              </c:layout>
              <c:tx>
                <c:rich>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fld id="{935E9E6C-3EBE-40DB-A3E9-DBBE9FB7CEF5}" type="CELLRANGE">
                      <a:rPr lang="en-US"/>
                      <a:pPr>
                        <a:defRPr sz="800" b="1"/>
                      </a:pPr>
                      <a:t>[CELLRANGE]</a:t>
                    </a:fld>
                    <a:endParaRPr lang="en-NZ"/>
                  </a:p>
                </c:rich>
              </c:tx>
              <c:spPr>
                <a:solidFill>
                  <a:schemeClr val="bg1"/>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8E28-4C1E-8E8C-475B4415ACD9}"/>
                </c:ext>
              </c:extLst>
            </c:dLbl>
            <c:dLbl>
              <c:idx val="1"/>
              <c:layout>
                <c:manualLayout>
                  <c:x val="-1.3232494574114309E-2"/>
                  <c:y val="-0.16064860791922533"/>
                </c:manualLayout>
              </c:layout>
              <c:tx>
                <c:rich>
                  <a:bodyPr/>
                  <a:lstStyle/>
                  <a:p>
                    <a:fld id="{41E679A8-FA31-4E48-B66B-2D3937DC0057}" type="CELLRANGE">
                      <a:rPr lang="en-US"/>
                      <a:pPr/>
                      <a:t>[CELLRANGE]</a:t>
                    </a:fld>
                    <a:endParaRPr lang="en-NZ"/>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8E28-4C1E-8E8C-475B4415ACD9}"/>
                </c:ext>
              </c:extLst>
            </c:dLbl>
            <c:dLbl>
              <c:idx val="2"/>
              <c:layout>
                <c:manualLayout>
                  <c:x val="-1.7013207309575486E-2"/>
                  <c:y val="-0.20681520551557842"/>
                </c:manualLayout>
              </c:layout>
              <c:tx>
                <c:rich>
                  <a:bodyPr/>
                  <a:lstStyle/>
                  <a:p>
                    <a:fld id="{0D408ADC-5C14-4291-8036-CCC99686C0B2}" type="CELLRANGE">
                      <a:rPr lang="en-US"/>
                      <a:pPr/>
                      <a:t>[CELLRANGE]</a:t>
                    </a:fld>
                    <a:endParaRPr lang="en-NZ"/>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8E28-4C1E-8E8C-475B4415ACD9}"/>
                </c:ext>
              </c:extLst>
            </c:dLbl>
            <c:dLbl>
              <c:idx val="3"/>
              <c:layout>
                <c:manualLayout>
                  <c:x val="-1.7013207309575572E-2"/>
                  <c:y val="-1.2226801793316576E-2"/>
                </c:manualLayout>
              </c:layout>
              <c:tx>
                <c:rich>
                  <a:bodyPr/>
                  <a:lstStyle/>
                  <a:p>
                    <a:fld id="{88B08445-6102-4665-8552-61F8C318DF76}" type="CELLRANGE">
                      <a:rPr lang="en-US"/>
                      <a:pPr/>
                      <a:t>[CELLRANGE]</a:t>
                    </a:fld>
                    <a:endParaRPr lang="en-NZ"/>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8E28-4C1E-8E8C-475B4415ACD9}"/>
                </c:ext>
              </c:extLst>
            </c:dLbl>
            <c:dLbl>
              <c:idx val="4"/>
              <c:layout>
                <c:manualLayout>
                  <c:x val="-9.4517818386530474E-3"/>
                  <c:y val="-0.2068218362656821"/>
                </c:manualLayout>
              </c:layout>
              <c:tx>
                <c:rich>
                  <a:bodyPr/>
                  <a:lstStyle/>
                  <a:p>
                    <a:r>
                      <a:rPr lang="en-US">
                        <a:latin typeface="Arial" panose="020B0604020202020204" pitchFamily="34" charset="0"/>
                        <a:cs typeface="Arial" panose="020B0604020202020204" pitchFamily="34" charset="0"/>
                      </a:rPr>
                      <a:t>‒3.3</a:t>
                    </a:r>
                    <a:endParaRPr lang="en-US"/>
                  </a:p>
                </c:rich>
              </c:tx>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8E28-4C1E-8E8C-475B4415ACD9}"/>
                </c:ext>
              </c:extLst>
            </c:dLbl>
            <c:dLbl>
              <c:idx val="5"/>
              <c:layout>
                <c:manualLayout>
                  <c:x val="-3.780712735461305E-3"/>
                  <c:y val="-0.19818558565346794"/>
                </c:manualLayout>
              </c:layout>
              <c:tx>
                <c:rich>
                  <a:bodyPr/>
                  <a:lstStyle/>
                  <a:p>
                    <a:fld id="{BC9B0DA5-57E1-4770-8DFC-0C2F959E3143}" type="CELLRANGE">
                      <a:rPr lang="en-US"/>
                      <a:pPr/>
                      <a:t>[CELLRANGE]</a:t>
                    </a:fld>
                    <a:endParaRPr lang="en-NZ"/>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8E28-4C1E-8E8C-475B4415ACD9}"/>
                </c:ext>
              </c:extLst>
            </c:dLbl>
            <c:dLbl>
              <c:idx val="6"/>
              <c:layout>
                <c:manualLayout>
                  <c:x val="-2.3518344308562401E-3"/>
                  <c:y val="-0.19283336472893048"/>
                </c:manualLayout>
              </c:layout>
              <c:tx>
                <c:rich>
                  <a:bodyPr/>
                  <a:lstStyle/>
                  <a:p>
                    <a:fld id="{96760CA4-BD14-4FD4-AB91-8C0845065B39}" type="CELLRANGE">
                      <a:rPr lang="en-US"/>
                      <a:pPr/>
                      <a:t>[CELLRANGE]</a:t>
                    </a:fld>
                    <a:endParaRPr lang="en-NZ"/>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8E28-4C1E-8E8C-475B4415ACD9}"/>
                </c:ext>
              </c:extLst>
            </c:dLbl>
            <c:dLbl>
              <c:idx val="7"/>
              <c:layout>
                <c:manualLayout>
                  <c:x val="-1.1342138206383828E-2"/>
                  <c:y val="-0.20681520551557842"/>
                </c:manualLayout>
              </c:layout>
              <c:tx>
                <c:rich>
                  <a:bodyPr/>
                  <a:lstStyle/>
                  <a:p>
                    <a:fld id="{739006DD-F391-4277-AB7E-5E10474D5EDB}" type="CELLRANGE">
                      <a:rPr lang="en-US"/>
                      <a:pPr/>
                      <a:t>[CELLRANGE]</a:t>
                    </a:fld>
                    <a:endParaRPr lang="en-NZ"/>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8E28-4C1E-8E8C-475B4415ACD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inBase"/>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'Figure 5.1.1 + Table 5.1.1'!$B$4:$B$11</c:f>
              <c:strCache>
                <c:ptCount val="8"/>
                <c:pt idx="0">
                  <c:v>Enteric 
fermentation</c:v>
                </c:pt>
                <c:pt idx="1">
                  <c:v>Manure 
management</c:v>
                </c:pt>
                <c:pt idx="2">
                  <c:v>Rice 
cultivation</c:v>
                </c:pt>
                <c:pt idx="3">
                  <c:v>Agricultural 
soils</c:v>
                </c:pt>
                <c:pt idx="4">
                  <c:v>Field burning 
of agricultural 
residues</c:v>
                </c:pt>
                <c:pt idx="5">
                  <c:v>Liming</c:v>
                </c:pt>
                <c:pt idx="6">
                  <c:v>Urea 
application</c:v>
                </c:pt>
                <c:pt idx="7">
                  <c:v>Other carbon-
containing 
fertilisers</c:v>
                </c:pt>
              </c:strCache>
            </c:strRef>
          </c:cat>
          <c:val>
            <c:numRef>
              <c:f>'Figure 5.1.1 + Table 5.1.1'!$E$4:$E$11</c:f>
              <c:numCache>
                <c:formatCode>0.0</c:formatCode>
                <c:ptCount val="8"/>
                <c:pt idx="0">
                  <c:v>27859.046377328552</c:v>
                </c:pt>
                <c:pt idx="1">
                  <c:v>1680.5242633450534</c:v>
                </c:pt>
                <c:pt idx="2">
                  <c:v>0</c:v>
                </c:pt>
                <c:pt idx="3">
                  <c:v>7315.1571996526354</c:v>
                </c:pt>
                <c:pt idx="4">
                  <c:v>22.584883855071499</c:v>
                </c:pt>
                <c:pt idx="5">
                  <c:v>355.63574685286466</c:v>
                </c:pt>
                <c:pt idx="6">
                  <c:v>553.1884057971015</c:v>
                </c:pt>
                <c:pt idx="7">
                  <c:v>0</c:v>
                </c:pt>
              </c:numCache>
            </c:numRef>
          </c:val>
          <c:extLst>
            <c:ext xmlns:c15="http://schemas.microsoft.com/office/drawing/2012/chart" uri="{02D57815-91ED-43cb-92C2-25804820EDAC}">
              <c15:datalabelsRange>
                <c15:f>'Figure 5.1.1 + Table 5.1.1'!$G$4:$G$11</c15:f>
                <c15:dlblRangeCache>
                  <c:ptCount val="8"/>
                  <c:pt idx="0">
                    <c:v>898.6</c:v>
                  </c:pt>
                  <c:pt idx="1">
                    <c:v>908.8</c:v>
                  </c:pt>
                  <c:pt idx="2">
                    <c:v>NO</c:v>
                  </c:pt>
                  <c:pt idx="3">
                    <c:v>2,098.3</c:v>
                  </c:pt>
                  <c:pt idx="4">
                    <c:v>-4.8</c:v>
                  </c:pt>
                  <c:pt idx="5">
                    <c:v>59.2</c:v>
                  </c:pt>
                  <c:pt idx="6">
                    <c:v>514.0</c:v>
                  </c:pt>
                  <c:pt idx="7">
                    <c:v>NE</c:v>
                  </c:pt>
                </c15:dlblRangeCache>
              </c15:datalabelsRange>
            </c:ext>
            <c:ext xmlns:c16="http://schemas.microsoft.com/office/drawing/2014/chart" uri="{C3380CC4-5D6E-409C-BE32-E72D297353CC}">
              <c16:uniqueId val="{00000009-8E28-4C1E-8E8C-475B4415ACD9}"/>
            </c:ext>
          </c:extLst>
        </c:ser>
        <c:dLbls>
          <c:showLegendKey val="0"/>
          <c:showVal val="1"/>
          <c:showCatName val="0"/>
          <c:showSerName val="0"/>
          <c:showPercent val="0"/>
          <c:showBubbleSize val="0"/>
        </c:dLbls>
        <c:gapWidth val="93"/>
        <c:axId val="197311672"/>
        <c:axId val="160470968"/>
      </c:barChart>
      <c:catAx>
        <c:axId val="197311672"/>
        <c:scaling>
          <c:orientation val="minMax"/>
        </c:scaling>
        <c:delete val="0"/>
        <c:axPos val="b"/>
        <c:numFmt formatCode="General" sourceLinked="1"/>
        <c:majorTickMark val="none"/>
        <c:minorTickMark val="none"/>
        <c:tickLblPos val="nextTo"/>
        <c:spPr>
          <a:noFill/>
          <a:ln w="12700" cap="flat" cmpd="sng" algn="ctr">
            <a:solidFill>
              <a:sysClr val="windowText" lastClr="000000"/>
            </a:solidFill>
            <a:round/>
          </a:ln>
          <a:effectLst/>
        </c:spPr>
        <c:txPr>
          <a:bodyPr rot="0" spcFirstLastPara="1" vertOverflow="ellipsis"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60470968"/>
        <c:crosses val="autoZero"/>
        <c:auto val="1"/>
        <c:lblAlgn val="ctr"/>
        <c:lblOffset val="100"/>
        <c:tickLblSkip val="1"/>
        <c:noMultiLvlLbl val="0"/>
      </c:catAx>
      <c:valAx>
        <c:axId val="160470968"/>
        <c:scaling>
          <c:orientation val="minMax"/>
        </c:scaling>
        <c:delete val="0"/>
        <c:axPos val="l"/>
        <c:majorGridlines>
          <c:spPr>
            <a:ln w="6350" cap="flat" cmpd="sng" algn="ctr">
              <a:solidFill>
                <a:srgbClr val="A0A0A0"/>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NZ" sz="900"/>
                  <a:t>kt CO</a:t>
                </a:r>
                <a:r>
                  <a:rPr lang="en-NZ" sz="900" baseline="-25000"/>
                  <a:t>2</a:t>
                </a:r>
                <a:r>
                  <a:rPr lang="en-NZ" sz="900"/>
                  <a:t>-equivalent</a:t>
                </a:r>
              </a:p>
            </c:rich>
          </c:tx>
          <c:layout>
            <c:manualLayout>
              <c:xMode val="edge"/>
              <c:yMode val="edge"/>
              <c:x val="9.9214086896982859E-3"/>
              <c:y val="0.3536418902693342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w="12700">
            <a:solidFill>
              <a:sysClr val="windowText" lastClr="000000"/>
            </a:solid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7311672"/>
        <c:crosses val="autoZero"/>
        <c:crossBetween val="between"/>
      </c:valAx>
      <c:spPr>
        <a:noFill/>
        <a:ln>
          <a:noFill/>
        </a:ln>
        <a:effectLst/>
      </c:spPr>
    </c:plotArea>
    <c:legend>
      <c:legendPos val="b"/>
      <c:layout>
        <c:manualLayout>
          <c:xMode val="edge"/>
          <c:yMode val="edge"/>
          <c:x val="0.42032392352649239"/>
          <c:y val="0.92746592321892773"/>
          <c:w val="0.1640556366249139"/>
          <c:h val="6.105082319255547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03573666574652"/>
          <c:y val="6.4774140074595934E-2"/>
          <c:w val="0.8740063455405277"/>
          <c:h val="0.79877215470465213"/>
        </c:manualLayout>
      </c:layout>
      <c:scatterChart>
        <c:scatterStyle val="lineMarker"/>
        <c:varyColors val="0"/>
        <c:ser>
          <c:idx val="0"/>
          <c:order val="0"/>
          <c:spPr>
            <a:ln w="25400">
              <a:solidFill>
                <a:srgbClr val="1B556B"/>
              </a:solidFill>
            </a:ln>
          </c:spPr>
          <c:marker>
            <c:symbol val="none"/>
          </c:marker>
          <c:xVal>
            <c:numRef>
              <c:f>'Ag data'!$A$9:$A$40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xVal>
          <c:yVal>
            <c:numRef>
              <c:f>'Ag data'!$W$9:$W$40</c:f>
              <c:numCache>
                <c:formatCode>General</c:formatCode>
                <c:ptCount val="32"/>
                <c:pt idx="0">
                  <c:v>14.3673949039703</c:v>
                </c:pt>
                <c:pt idx="1">
                  <c:v>15.509926384217501</c:v>
                </c:pt>
                <c:pt idx="2">
                  <c:v>16.6524578644648</c:v>
                </c:pt>
                <c:pt idx="3">
                  <c:v>18.034027748435701</c:v>
                </c:pt>
                <c:pt idx="4">
                  <c:v>19.8137253687444</c:v>
                </c:pt>
                <c:pt idx="5">
                  <c:v>21.593405406235799</c:v>
                </c:pt>
                <c:pt idx="6">
                  <c:v>19.3615480514542</c:v>
                </c:pt>
                <c:pt idx="7">
                  <c:v>21.332546726011902</c:v>
                </c:pt>
                <c:pt idx="8">
                  <c:v>23.303562983387</c:v>
                </c:pt>
                <c:pt idx="9">
                  <c:v>25.274561657944702</c:v>
                </c:pt>
                <c:pt idx="10">
                  <c:v>27.245560332502301</c:v>
                </c:pt>
                <c:pt idx="11">
                  <c:v>29.216576589877402</c:v>
                </c:pt>
                <c:pt idx="12">
                  <c:v>31.1875752644351</c:v>
                </c:pt>
                <c:pt idx="13">
                  <c:v>27.506419012726202</c:v>
                </c:pt>
                <c:pt idx="14">
                  <c:v>26.742885163392</c:v>
                </c:pt>
                <c:pt idx="15">
                  <c:v>29.439245390521499</c:v>
                </c:pt>
                <c:pt idx="16">
                  <c:v>24.596357221870502</c:v>
                </c:pt>
                <c:pt idx="17">
                  <c:v>26.144981454776897</c:v>
                </c:pt>
                <c:pt idx="18">
                  <c:v>16.515000000000001</c:v>
                </c:pt>
                <c:pt idx="19">
                  <c:v>19.893999999999998</c:v>
                </c:pt>
                <c:pt idx="20">
                  <c:v>35.578000000000003</c:v>
                </c:pt>
                <c:pt idx="21">
                  <c:v>28.251000000000001</c:v>
                </c:pt>
                <c:pt idx="22">
                  <c:v>31.734000000000002</c:v>
                </c:pt>
                <c:pt idx="23">
                  <c:v>33.756</c:v>
                </c:pt>
                <c:pt idx="24">
                  <c:v>30.597000000000001</c:v>
                </c:pt>
                <c:pt idx="25">
                  <c:v>26.419</c:v>
                </c:pt>
                <c:pt idx="26">
                  <c:v>22.585999999999999</c:v>
                </c:pt>
                <c:pt idx="27">
                  <c:v>22.785314200000002</c:v>
                </c:pt>
                <c:pt idx="28">
                  <c:v>24.9740778</c:v>
                </c:pt>
                <c:pt idx="29">
                  <c:v>22.648</c:v>
                </c:pt>
                <c:pt idx="30">
                  <c:v>25.030999999999999</c:v>
                </c:pt>
                <c:pt idx="31">
                  <c:v>20.564310110999998</c:v>
                </c:pt>
              </c:numCache>
            </c:numRef>
          </c:yVal>
          <c:smooth val="0"/>
          <c:extLst>
            <c:ext xmlns:c16="http://schemas.microsoft.com/office/drawing/2014/chart" uri="{C3380CC4-5D6E-409C-BE32-E72D297353CC}">
              <c16:uniqueId val="{00000000-CCC3-469F-AECE-4377EE63236D}"/>
            </c:ext>
          </c:extLst>
        </c:ser>
        <c:dLbls>
          <c:showLegendKey val="0"/>
          <c:showVal val="0"/>
          <c:showCatName val="0"/>
          <c:showSerName val="0"/>
          <c:showPercent val="0"/>
          <c:showBubbleSize val="0"/>
        </c:dLbls>
        <c:axId val="193933416"/>
        <c:axId val="193933808"/>
      </c:scatterChart>
      <c:valAx>
        <c:axId val="193933416"/>
        <c:scaling>
          <c:orientation val="minMax"/>
          <c:max val="2021"/>
          <c:min val="1990"/>
        </c:scaling>
        <c:delete val="0"/>
        <c:axPos val="b"/>
        <c:majorGridlines>
          <c:spPr>
            <a:ln>
              <a:solidFill>
                <a:srgbClr val="A0A0A0"/>
              </a:solidFill>
              <a:prstDash val="dash"/>
            </a:ln>
          </c:spPr>
        </c:majorGridlines>
        <c:minorGridlines>
          <c:spPr>
            <a:ln w="6350">
              <a:solidFill>
                <a:srgbClr val="A0A0A0"/>
              </a:solidFill>
              <a:prstDash val="dash"/>
            </a:ln>
          </c:spPr>
        </c:minorGridlines>
        <c:numFmt formatCode="General" sourceLinked="1"/>
        <c:majorTickMark val="out"/>
        <c:minorTickMark val="out"/>
        <c:tickLblPos val="low"/>
        <c:spPr>
          <a:ln w="12700">
            <a:solidFill>
              <a:sysClr val="windowText" lastClr="000000"/>
            </a:solidFill>
          </a:ln>
        </c:spPr>
        <c:txPr>
          <a:bodyPr rot="-5400000" vert="horz"/>
          <a:lstStyle/>
          <a:p>
            <a:pPr>
              <a:defRPr sz="7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193933808"/>
        <c:crosses val="autoZero"/>
        <c:crossBetween val="midCat"/>
        <c:majorUnit val="2"/>
        <c:minorUnit val="1"/>
      </c:valAx>
      <c:valAx>
        <c:axId val="193933808"/>
        <c:scaling>
          <c:orientation val="minMax"/>
          <c:min val="0"/>
        </c:scaling>
        <c:delete val="0"/>
        <c:axPos val="l"/>
        <c:majorGridlines>
          <c:spPr>
            <a:ln w="6350">
              <a:solidFill>
                <a:srgbClr val="A0A0A0"/>
              </a:solidFill>
            </a:ln>
          </c:spPr>
        </c:majorGridlines>
        <c:title>
          <c:tx>
            <c:rich>
              <a:bodyPr/>
              <a:lstStyle/>
              <a:p>
                <a:pPr>
                  <a:defRPr sz="900" b="0" i="0" u="none" strike="noStrike" baseline="0">
                    <a:solidFill>
                      <a:srgbClr val="000000"/>
                    </a:solidFill>
                    <a:latin typeface="Arial" panose="020B0604020202020204" pitchFamily="34" charset="0"/>
                    <a:ea typeface="Calibri"/>
                    <a:cs typeface="Arial" panose="020B0604020202020204" pitchFamily="34" charset="0"/>
                  </a:defRPr>
                </a:pPr>
                <a:r>
                  <a:rPr lang="en-NZ"/>
                  <a:t>Dolomite</a:t>
                </a:r>
                <a:r>
                  <a:rPr lang="en-NZ" baseline="0"/>
                  <a:t> use (kt)</a:t>
                </a:r>
                <a:endParaRPr lang="en-NZ"/>
              </a:p>
            </c:rich>
          </c:tx>
          <c:layout>
            <c:manualLayout>
              <c:xMode val="edge"/>
              <c:yMode val="edge"/>
              <c:x val="2.4333770778652668E-2"/>
              <c:y val="0.28281678331875182"/>
            </c:manualLayout>
          </c:layout>
          <c:overlay val="0"/>
          <c:spPr>
            <a:noFill/>
            <a:ln w="25400">
              <a:noFill/>
            </a:ln>
          </c:spPr>
        </c:title>
        <c:numFmt formatCode="#,##0" sourceLinked="0"/>
        <c:majorTickMark val="out"/>
        <c:minorTickMark val="none"/>
        <c:tickLblPos val="nextTo"/>
        <c:spPr>
          <a:ln w="12700">
            <a:solidFill>
              <a:sysClr val="windowText" lastClr="000000"/>
            </a:solidFill>
          </a:ln>
        </c:spPr>
        <c:txPr>
          <a:bodyPr rot="0" vert="horz"/>
          <a:lstStyle/>
          <a:p>
            <a:pPr>
              <a:defRPr sz="7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193933416"/>
        <c:crosses val="autoZero"/>
        <c:crossBetween val="midCat"/>
      </c:valAx>
      <c:spPr>
        <a:solidFill>
          <a:schemeClr val="bg1"/>
        </a:solidFill>
      </c:spPr>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490500495556136"/>
          <c:y val="2.9993176927968712E-2"/>
          <c:w val="0.83705481464263465"/>
          <c:h val="0.76269127896316791"/>
        </c:manualLayout>
      </c:layout>
      <c:lineChart>
        <c:grouping val="standard"/>
        <c:varyColors val="0"/>
        <c:ser>
          <c:idx val="0"/>
          <c:order val="0"/>
          <c:tx>
            <c:strRef>
              <c:f>Analysis!$A$2</c:f>
              <c:strCache>
                <c:ptCount val="1"/>
                <c:pt idx="0">
                  <c:v>Total</c:v>
                </c:pt>
              </c:strCache>
            </c:strRef>
          </c:tx>
          <c:spPr>
            <a:ln>
              <a:solidFill>
                <a:srgbClr val="1B556B"/>
              </a:solidFill>
            </a:ln>
          </c:spPr>
          <c:marker>
            <c:symbol val="none"/>
          </c:marker>
          <c:cat>
            <c:strRef>
              <c:f>Analysis!$B$1:$AG$1</c:f>
              <c:strCach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strCache>
            </c:strRef>
          </c:cat>
          <c:val>
            <c:numRef>
              <c:f>Analysis!$B$2:$AG$2</c:f>
              <c:numCache>
                <c:formatCode>#,##0.0</c:formatCode>
                <c:ptCount val="32"/>
                <c:pt idx="0">
                  <c:v>-20171.229205378062</c:v>
                </c:pt>
                <c:pt idx="1">
                  <c:v>-22160.795674493631</c:v>
                </c:pt>
                <c:pt idx="2">
                  <c:v>-22014.7198877337</c:v>
                </c:pt>
                <c:pt idx="3">
                  <c:v>-22935.401627651754</c:v>
                </c:pt>
                <c:pt idx="4">
                  <c:v>-22910.455187435393</c:v>
                </c:pt>
                <c:pt idx="5">
                  <c:v>-21829.044340405264</c:v>
                </c:pt>
                <c:pt idx="6">
                  <c:v>-21560.300700393069</c:v>
                </c:pt>
                <c:pt idx="7">
                  <c:v>-22308.459183801402</c:v>
                </c:pt>
                <c:pt idx="8">
                  <c:v>-23006.133221882068</c:v>
                </c:pt>
                <c:pt idx="9">
                  <c:v>-25826.793236424888</c:v>
                </c:pt>
                <c:pt idx="10">
                  <c:v>-26788.977919658631</c:v>
                </c:pt>
                <c:pt idx="11">
                  <c:v>-27356.224946494505</c:v>
                </c:pt>
                <c:pt idx="12">
                  <c:v>-25956.264010120303</c:v>
                </c:pt>
                <c:pt idx="13">
                  <c:v>-27086.791332255245</c:v>
                </c:pt>
                <c:pt idx="14">
                  <c:v>-27033.892041269948</c:v>
                </c:pt>
                <c:pt idx="15">
                  <c:v>-25299.460926911172</c:v>
                </c:pt>
                <c:pt idx="16">
                  <c:v>-23254.500809389145</c:v>
                </c:pt>
                <c:pt idx="17">
                  <c:v>-21615.586183250714</c:v>
                </c:pt>
                <c:pt idx="18">
                  <c:v>-29373.360250210935</c:v>
                </c:pt>
                <c:pt idx="19">
                  <c:v>-28229.03311284705</c:v>
                </c:pt>
                <c:pt idx="20">
                  <c:v>-29225.211897964095</c:v>
                </c:pt>
                <c:pt idx="21">
                  <c:v>-29492.077200793618</c:v>
                </c:pt>
                <c:pt idx="22">
                  <c:v>-26547.284912741801</c:v>
                </c:pt>
                <c:pt idx="23">
                  <c:v>-26211.257846681823</c:v>
                </c:pt>
                <c:pt idx="24">
                  <c:v>-26423.837924493473</c:v>
                </c:pt>
                <c:pt idx="25">
                  <c:v>-26396.21175425627</c:v>
                </c:pt>
                <c:pt idx="26">
                  <c:v>-26085.486521292947</c:v>
                </c:pt>
                <c:pt idx="27">
                  <c:v>-24484.058949339578</c:v>
                </c:pt>
                <c:pt idx="28">
                  <c:v>-24086.785537111038</c:v>
                </c:pt>
                <c:pt idx="29">
                  <c:v>-23921.698160043696</c:v>
                </c:pt>
                <c:pt idx="30">
                  <c:v>-23242.038741510325</c:v>
                </c:pt>
                <c:pt idx="31">
                  <c:v>-21078.168366790298</c:v>
                </c:pt>
              </c:numCache>
            </c:numRef>
          </c:val>
          <c:smooth val="0"/>
          <c:extLst>
            <c:ext xmlns:c16="http://schemas.microsoft.com/office/drawing/2014/chart" uri="{C3380CC4-5D6E-409C-BE32-E72D297353CC}">
              <c16:uniqueId val="{00000000-DD5F-4EE3-9ECB-7F7CA12AFCC5}"/>
            </c:ext>
          </c:extLst>
        </c:ser>
        <c:ser>
          <c:idx val="1"/>
          <c:order val="1"/>
          <c:tx>
            <c:strRef>
              <c:f>Analysis!$A$3</c:f>
              <c:strCache>
                <c:ptCount val="1"/>
                <c:pt idx="0">
                  <c:v>Forest land</c:v>
                </c:pt>
              </c:strCache>
            </c:strRef>
          </c:tx>
          <c:spPr>
            <a:ln>
              <a:solidFill>
                <a:srgbClr val="743C24"/>
              </a:solidFill>
            </a:ln>
          </c:spPr>
          <c:marker>
            <c:symbol val="none"/>
          </c:marker>
          <c:cat>
            <c:strRef>
              <c:f>Analysis!$B$1:$AG$1</c:f>
              <c:strCach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strCache>
            </c:strRef>
          </c:cat>
          <c:val>
            <c:numRef>
              <c:f>Analysis!$B$3:$AG$3</c:f>
              <c:numCache>
                <c:formatCode>#,##0.0</c:formatCode>
                <c:ptCount val="32"/>
                <c:pt idx="0">
                  <c:v>-19045.177498776033</c:v>
                </c:pt>
                <c:pt idx="1">
                  <c:v>-20035.503667472833</c:v>
                </c:pt>
                <c:pt idx="2">
                  <c:v>-19734.740842042153</c:v>
                </c:pt>
                <c:pt idx="3">
                  <c:v>-20420.364866268759</c:v>
                </c:pt>
                <c:pt idx="4">
                  <c:v>-20215.805805421907</c:v>
                </c:pt>
                <c:pt idx="5">
                  <c:v>-18975.844559492492</c:v>
                </c:pt>
                <c:pt idx="6">
                  <c:v>-18847.795727622688</c:v>
                </c:pt>
                <c:pt idx="7">
                  <c:v>-19544.835311990952</c:v>
                </c:pt>
                <c:pt idx="8">
                  <c:v>-21711.05310820153</c:v>
                </c:pt>
                <c:pt idx="9">
                  <c:v>-23136.150709662863</c:v>
                </c:pt>
                <c:pt idx="10">
                  <c:v>-25560.072896470378</c:v>
                </c:pt>
                <c:pt idx="11">
                  <c:v>-25401.181368022109</c:v>
                </c:pt>
                <c:pt idx="12">
                  <c:v>-22906.288445489223</c:v>
                </c:pt>
                <c:pt idx="13">
                  <c:v>-26063.334826948212</c:v>
                </c:pt>
                <c:pt idx="14">
                  <c:v>-29515.777839505241</c:v>
                </c:pt>
                <c:pt idx="15">
                  <c:v>-32655.527938309668</c:v>
                </c:pt>
                <c:pt idx="16">
                  <c:v>-33175.232058298177</c:v>
                </c:pt>
                <c:pt idx="17">
                  <c:v>-36393.108406713836</c:v>
                </c:pt>
                <c:pt idx="18">
                  <c:v>-30577.007405510332</c:v>
                </c:pt>
                <c:pt idx="19">
                  <c:v>-30965.187091084765</c:v>
                </c:pt>
                <c:pt idx="20">
                  <c:v>-30938.070039740811</c:v>
                </c:pt>
                <c:pt idx="21">
                  <c:v>-29628.537122455698</c:v>
                </c:pt>
                <c:pt idx="22">
                  <c:v>-27905.114555925589</c:v>
                </c:pt>
                <c:pt idx="23">
                  <c:v>-28613.903067599003</c:v>
                </c:pt>
                <c:pt idx="24">
                  <c:v>-27747.576722210957</c:v>
                </c:pt>
                <c:pt idx="25">
                  <c:v>-27300.282851264383</c:v>
                </c:pt>
                <c:pt idx="26">
                  <c:v>-26426.860602669985</c:v>
                </c:pt>
                <c:pt idx="27">
                  <c:v>-23348.718064871089</c:v>
                </c:pt>
                <c:pt idx="28">
                  <c:v>-21016.235697769869</c:v>
                </c:pt>
                <c:pt idx="29">
                  <c:v>-19573.486753174013</c:v>
                </c:pt>
                <c:pt idx="30">
                  <c:v>-20661.669648644409</c:v>
                </c:pt>
                <c:pt idx="31">
                  <c:v>-15779.680639665065</c:v>
                </c:pt>
              </c:numCache>
            </c:numRef>
          </c:val>
          <c:smooth val="0"/>
          <c:extLst>
            <c:ext xmlns:c16="http://schemas.microsoft.com/office/drawing/2014/chart" uri="{C3380CC4-5D6E-409C-BE32-E72D297353CC}">
              <c16:uniqueId val="{00000001-DD5F-4EE3-9ECB-7F7CA12AFCC5}"/>
            </c:ext>
          </c:extLst>
        </c:ser>
        <c:ser>
          <c:idx val="2"/>
          <c:order val="2"/>
          <c:tx>
            <c:strRef>
              <c:f>Analysis!$A$4</c:f>
              <c:strCache>
                <c:ptCount val="1"/>
                <c:pt idx="0">
                  <c:v>Cropland</c:v>
                </c:pt>
              </c:strCache>
            </c:strRef>
          </c:tx>
          <c:spPr>
            <a:ln>
              <a:solidFill>
                <a:srgbClr val="32809C"/>
              </a:solidFill>
            </a:ln>
          </c:spPr>
          <c:marker>
            <c:symbol val="none"/>
          </c:marker>
          <c:cat>
            <c:strRef>
              <c:f>Analysis!$B$1:$AG$1</c:f>
              <c:strCach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strCache>
            </c:strRef>
          </c:cat>
          <c:val>
            <c:numRef>
              <c:f>Analysis!$B$4:$AG$4</c:f>
              <c:numCache>
                <c:formatCode>#,##0.0</c:formatCode>
                <c:ptCount val="32"/>
                <c:pt idx="0">
                  <c:v>476.51605974329891</c:v>
                </c:pt>
                <c:pt idx="1">
                  <c:v>479.26599721316029</c:v>
                </c:pt>
                <c:pt idx="2">
                  <c:v>482.01593467489198</c:v>
                </c:pt>
                <c:pt idx="3">
                  <c:v>484.76587214025051</c:v>
                </c:pt>
                <c:pt idx="4">
                  <c:v>487.51580960596459</c:v>
                </c:pt>
                <c:pt idx="5">
                  <c:v>490.26574707494603</c:v>
                </c:pt>
                <c:pt idx="6">
                  <c:v>493.01568453592381</c:v>
                </c:pt>
                <c:pt idx="7">
                  <c:v>497.68993956555312</c:v>
                </c:pt>
                <c:pt idx="8">
                  <c:v>500.62476267666443</c:v>
                </c:pt>
                <c:pt idx="9">
                  <c:v>503.55958579959565</c:v>
                </c:pt>
                <c:pt idx="10">
                  <c:v>519.61978179468633</c:v>
                </c:pt>
                <c:pt idx="11">
                  <c:v>522.06614361237337</c:v>
                </c:pt>
                <c:pt idx="12">
                  <c:v>520.37404958445757</c:v>
                </c:pt>
                <c:pt idx="13">
                  <c:v>536.34276800071837</c:v>
                </c:pt>
                <c:pt idx="14">
                  <c:v>563.53155040624802</c:v>
                </c:pt>
                <c:pt idx="15">
                  <c:v>613.51684372101886</c:v>
                </c:pt>
                <c:pt idx="16">
                  <c:v>639.96061731117436</c:v>
                </c:pt>
                <c:pt idx="17">
                  <c:v>689.33774638614989</c:v>
                </c:pt>
                <c:pt idx="18">
                  <c:v>510.49544408196147</c:v>
                </c:pt>
                <c:pt idx="19">
                  <c:v>491.0567976096109</c:v>
                </c:pt>
                <c:pt idx="20">
                  <c:v>495.16066212595899</c:v>
                </c:pt>
                <c:pt idx="21">
                  <c:v>482.17228616123475</c:v>
                </c:pt>
                <c:pt idx="22">
                  <c:v>465.55546233217768</c:v>
                </c:pt>
                <c:pt idx="23">
                  <c:v>528.61236722947513</c:v>
                </c:pt>
                <c:pt idx="24">
                  <c:v>463.31022966321905</c:v>
                </c:pt>
                <c:pt idx="25">
                  <c:v>420.2987835691801</c:v>
                </c:pt>
                <c:pt idx="26">
                  <c:v>423.48917777964243</c:v>
                </c:pt>
                <c:pt idx="27">
                  <c:v>406.23363428152123</c:v>
                </c:pt>
                <c:pt idx="28">
                  <c:v>411.52441449017618</c:v>
                </c:pt>
                <c:pt idx="29">
                  <c:v>445.18591410029683</c:v>
                </c:pt>
                <c:pt idx="30">
                  <c:v>382.77233642075754</c:v>
                </c:pt>
                <c:pt idx="31">
                  <c:v>378.28000486275482</c:v>
                </c:pt>
              </c:numCache>
            </c:numRef>
          </c:val>
          <c:smooth val="0"/>
          <c:extLst>
            <c:ext xmlns:c16="http://schemas.microsoft.com/office/drawing/2014/chart" uri="{C3380CC4-5D6E-409C-BE32-E72D297353CC}">
              <c16:uniqueId val="{00000002-DD5F-4EE3-9ECB-7F7CA12AFCC5}"/>
            </c:ext>
          </c:extLst>
        </c:ser>
        <c:ser>
          <c:idx val="3"/>
          <c:order val="3"/>
          <c:tx>
            <c:strRef>
              <c:f>Analysis!$A$5</c:f>
              <c:strCache>
                <c:ptCount val="1"/>
                <c:pt idx="0">
                  <c:v>Grassland</c:v>
                </c:pt>
              </c:strCache>
            </c:strRef>
          </c:tx>
          <c:spPr>
            <a:ln>
              <a:solidFill>
                <a:srgbClr val="2C9986"/>
              </a:solidFill>
            </a:ln>
          </c:spPr>
          <c:marker>
            <c:symbol val="none"/>
          </c:marker>
          <c:cat>
            <c:strRef>
              <c:f>Analysis!$B$1:$AG$1</c:f>
              <c:strCach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strCache>
            </c:strRef>
          </c:cat>
          <c:val>
            <c:numRef>
              <c:f>Analysis!$B$5:$AG$5</c:f>
              <c:numCache>
                <c:formatCode>#,##0.0</c:formatCode>
                <c:ptCount val="32"/>
                <c:pt idx="0">
                  <c:v>756.8167299999327</c:v>
                </c:pt>
                <c:pt idx="1">
                  <c:v>838.10113210979921</c:v>
                </c:pt>
                <c:pt idx="2">
                  <c:v>939.34988834742262</c:v>
                </c:pt>
                <c:pt idx="3">
                  <c:v>1046.233062694193</c:v>
                </c:pt>
                <c:pt idx="4">
                  <c:v>1136.4284714050466</c:v>
                </c:pt>
                <c:pt idx="5">
                  <c:v>1155.7314519506081</c:v>
                </c:pt>
                <c:pt idx="6">
                  <c:v>1190.0757380492771</c:v>
                </c:pt>
                <c:pt idx="7">
                  <c:v>1219.4229879503221</c:v>
                </c:pt>
                <c:pt idx="8">
                  <c:v>1293.5293589862799</c:v>
                </c:pt>
                <c:pt idx="9">
                  <c:v>1284.582404948944</c:v>
                </c:pt>
                <c:pt idx="10">
                  <c:v>3270.559481039239</c:v>
                </c:pt>
                <c:pt idx="11">
                  <c:v>3248.6000655016146</c:v>
                </c:pt>
                <c:pt idx="12">
                  <c:v>2981.2877226570108</c:v>
                </c:pt>
                <c:pt idx="13">
                  <c:v>4346.6674484383884</c:v>
                </c:pt>
                <c:pt idx="14">
                  <c:v>6853.7159829641732</c:v>
                </c:pt>
                <c:pt idx="15">
                  <c:v>11068.015576057825</c:v>
                </c:pt>
                <c:pt idx="16">
                  <c:v>13477.890576735819</c:v>
                </c:pt>
                <c:pt idx="17">
                  <c:v>18205.117148121109</c:v>
                </c:pt>
                <c:pt idx="18">
                  <c:v>4664.7337035452701</c:v>
                </c:pt>
                <c:pt idx="19">
                  <c:v>7032.8274283985638</c:v>
                </c:pt>
                <c:pt idx="20">
                  <c:v>7586.1338107434394</c:v>
                </c:pt>
                <c:pt idx="21">
                  <c:v>6563.2575364954128</c:v>
                </c:pt>
                <c:pt idx="22">
                  <c:v>8084.3174532247085</c:v>
                </c:pt>
                <c:pt idx="23">
                  <c:v>10150.04007073605</c:v>
                </c:pt>
                <c:pt idx="24">
                  <c:v>8261.1741802783035</c:v>
                </c:pt>
                <c:pt idx="25">
                  <c:v>6927.337958782563</c:v>
                </c:pt>
                <c:pt idx="26">
                  <c:v>7325.0068091210196</c:v>
                </c:pt>
                <c:pt idx="27">
                  <c:v>6869.2644553341488</c:v>
                </c:pt>
                <c:pt idx="28">
                  <c:v>5576.3759823370583</c:v>
                </c:pt>
                <c:pt idx="29">
                  <c:v>3992.1060584464494</c:v>
                </c:pt>
                <c:pt idx="30">
                  <c:v>3628.0843299508037</c:v>
                </c:pt>
                <c:pt idx="31">
                  <c:v>2744.2887124651525</c:v>
                </c:pt>
              </c:numCache>
            </c:numRef>
          </c:val>
          <c:smooth val="0"/>
          <c:extLst>
            <c:ext xmlns:c16="http://schemas.microsoft.com/office/drawing/2014/chart" uri="{C3380CC4-5D6E-409C-BE32-E72D297353CC}">
              <c16:uniqueId val="{00000003-DD5F-4EE3-9ECB-7F7CA12AFCC5}"/>
            </c:ext>
          </c:extLst>
        </c:ser>
        <c:ser>
          <c:idx val="4"/>
          <c:order val="4"/>
          <c:tx>
            <c:strRef>
              <c:f>Analysis!$A$6</c:f>
              <c:strCache>
                <c:ptCount val="1"/>
                <c:pt idx="0">
                  <c:v>Wetlands</c:v>
                </c:pt>
              </c:strCache>
            </c:strRef>
          </c:tx>
          <c:spPr>
            <a:ln>
              <a:solidFill>
                <a:srgbClr val="5E3C88"/>
              </a:solidFill>
            </a:ln>
          </c:spPr>
          <c:marker>
            <c:symbol val="none"/>
          </c:marker>
          <c:cat>
            <c:strRef>
              <c:f>Analysis!$B$1:$AG$1</c:f>
              <c:strCach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strCache>
            </c:strRef>
          </c:cat>
          <c:val>
            <c:numRef>
              <c:f>Analysis!$B$6:$AG$6</c:f>
              <c:numCache>
                <c:formatCode>#,##0.0</c:formatCode>
                <c:ptCount val="32"/>
                <c:pt idx="0">
                  <c:v>-8.4368941092733092</c:v>
                </c:pt>
                <c:pt idx="1">
                  <c:v>-6.77974483805178</c:v>
                </c:pt>
                <c:pt idx="2">
                  <c:v>-8.7287622333492596</c:v>
                </c:pt>
                <c:pt idx="3">
                  <c:v>-7.1126796289721801</c:v>
                </c:pt>
                <c:pt idx="4">
                  <c:v>-4.5340970240315102</c:v>
                </c:pt>
                <c:pt idx="5">
                  <c:v>-2.6664810862791799</c:v>
                </c:pt>
                <c:pt idx="6">
                  <c:v>-4.8079984813655603</c:v>
                </c:pt>
                <c:pt idx="7">
                  <c:v>-0.72920140642758002</c:v>
                </c:pt>
                <c:pt idx="8">
                  <c:v>-0.52527558651216</c:v>
                </c:pt>
                <c:pt idx="9">
                  <c:v>-1.50201643382544</c:v>
                </c:pt>
                <c:pt idx="10">
                  <c:v>4.4787883732479301</c:v>
                </c:pt>
                <c:pt idx="11">
                  <c:v>4.55978187456373</c:v>
                </c:pt>
                <c:pt idx="12">
                  <c:v>5.4094015507383304</c:v>
                </c:pt>
                <c:pt idx="13">
                  <c:v>1.10029323788296</c:v>
                </c:pt>
                <c:pt idx="14">
                  <c:v>5.7639632071333002</c:v>
                </c:pt>
                <c:pt idx="15">
                  <c:v>19.435928304108131</c:v>
                </c:pt>
                <c:pt idx="16">
                  <c:v>28.76110198045216</c:v>
                </c:pt>
                <c:pt idx="17">
                  <c:v>38.063956883424751</c:v>
                </c:pt>
                <c:pt idx="18">
                  <c:v>24.166364212601799</c:v>
                </c:pt>
                <c:pt idx="19">
                  <c:v>32.566935317004763</c:v>
                </c:pt>
                <c:pt idx="20">
                  <c:v>26.1092069408311</c:v>
                </c:pt>
                <c:pt idx="21">
                  <c:v>33.924258385396421</c:v>
                </c:pt>
                <c:pt idx="22">
                  <c:v>19.827068980787779</c:v>
                </c:pt>
                <c:pt idx="23">
                  <c:v>52.841631437284697</c:v>
                </c:pt>
                <c:pt idx="24">
                  <c:v>50.104713358771377</c:v>
                </c:pt>
                <c:pt idx="25">
                  <c:v>24.34712811934526</c:v>
                </c:pt>
                <c:pt idx="26">
                  <c:v>34.207941497043471</c:v>
                </c:pt>
                <c:pt idx="27">
                  <c:v>15.913849365042619</c:v>
                </c:pt>
                <c:pt idx="28">
                  <c:v>13.05124415528388</c:v>
                </c:pt>
                <c:pt idx="29">
                  <c:v>11.303503337700811</c:v>
                </c:pt>
                <c:pt idx="30">
                  <c:v>11.24831122029857</c:v>
                </c:pt>
                <c:pt idx="31">
                  <c:v>11.44565213018457</c:v>
                </c:pt>
              </c:numCache>
            </c:numRef>
          </c:val>
          <c:smooth val="0"/>
          <c:extLst>
            <c:ext xmlns:c16="http://schemas.microsoft.com/office/drawing/2014/chart" uri="{C3380CC4-5D6E-409C-BE32-E72D297353CC}">
              <c16:uniqueId val="{00000004-DD5F-4EE3-9ECB-7F7CA12AFCC5}"/>
            </c:ext>
          </c:extLst>
        </c:ser>
        <c:ser>
          <c:idx val="5"/>
          <c:order val="5"/>
          <c:tx>
            <c:strRef>
              <c:f>Analysis!$A$7</c:f>
              <c:strCache>
                <c:ptCount val="1"/>
                <c:pt idx="0">
                  <c:v>Settlements </c:v>
                </c:pt>
              </c:strCache>
            </c:strRef>
          </c:tx>
          <c:spPr>
            <a:ln>
              <a:solidFill>
                <a:srgbClr val="713605"/>
              </a:solidFill>
            </a:ln>
          </c:spPr>
          <c:marker>
            <c:symbol val="none"/>
          </c:marker>
          <c:cat>
            <c:strRef>
              <c:f>Analysis!$B$1:$AG$1</c:f>
              <c:strCach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strCache>
            </c:strRef>
          </c:cat>
          <c:val>
            <c:numRef>
              <c:f>Analysis!$B$7:$AG$7</c:f>
              <c:numCache>
                <c:formatCode>#,##0.0</c:formatCode>
                <c:ptCount val="32"/>
                <c:pt idx="0">
                  <c:v>75.68566311168847</c:v>
                </c:pt>
                <c:pt idx="1">
                  <c:v>77.223780280506801</c:v>
                </c:pt>
                <c:pt idx="2">
                  <c:v>78.759605363287946</c:v>
                </c:pt>
                <c:pt idx="3">
                  <c:v>80.506302200874075</c:v>
                </c:pt>
                <c:pt idx="4">
                  <c:v>83.016319056199237</c:v>
                </c:pt>
                <c:pt idx="5">
                  <c:v>86.210986143118234</c:v>
                </c:pt>
                <c:pt idx="6">
                  <c:v>88.462928012243566</c:v>
                </c:pt>
                <c:pt idx="7">
                  <c:v>90.936239583306545</c:v>
                </c:pt>
                <c:pt idx="8">
                  <c:v>93.123477746933531</c:v>
                </c:pt>
                <c:pt idx="9">
                  <c:v>94.411035472332188</c:v>
                </c:pt>
                <c:pt idx="10">
                  <c:v>109.48509137896217</c:v>
                </c:pt>
                <c:pt idx="11">
                  <c:v>109.86985337797945</c:v>
                </c:pt>
                <c:pt idx="12">
                  <c:v>107.84530971181189</c:v>
                </c:pt>
                <c:pt idx="13">
                  <c:v>123.7069847577316</c:v>
                </c:pt>
                <c:pt idx="14">
                  <c:v>151.26619515199053</c:v>
                </c:pt>
                <c:pt idx="15">
                  <c:v>204.59375925670992</c:v>
                </c:pt>
                <c:pt idx="16">
                  <c:v>231.83760694098001</c:v>
                </c:pt>
                <c:pt idx="17">
                  <c:v>283.87140297948605</c:v>
                </c:pt>
                <c:pt idx="18">
                  <c:v>102.14694777415328</c:v>
                </c:pt>
                <c:pt idx="19">
                  <c:v>115.59339891270963</c:v>
                </c:pt>
                <c:pt idx="20">
                  <c:v>112.79075733188989</c:v>
                </c:pt>
                <c:pt idx="21">
                  <c:v>124.43600784084315</c:v>
                </c:pt>
                <c:pt idx="22">
                  <c:v>119.77843784468469</c:v>
                </c:pt>
                <c:pt idx="23">
                  <c:v>114.79517564707918</c:v>
                </c:pt>
                <c:pt idx="24">
                  <c:v>124.09236844919101</c:v>
                </c:pt>
                <c:pt idx="25">
                  <c:v>131.60061453978574</c:v>
                </c:pt>
                <c:pt idx="26">
                  <c:v>147.11885475393308</c:v>
                </c:pt>
                <c:pt idx="27">
                  <c:v>117.3175166060349</c:v>
                </c:pt>
                <c:pt idx="28">
                  <c:v>118.45164936602625</c:v>
                </c:pt>
                <c:pt idx="29">
                  <c:v>124.63359790379467</c:v>
                </c:pt>
                <c:pt idx="30">
                  <c:v>121.74302373164036</c:v>
                </c:pt>
                <c:pt idx="31">
                  <c:v>122.16217250654475</c:v>
                </c:pt>
              </c:numCache>
            </c:numRef>
          </c:val>
          <c:smooth val="0"/>
          <c:extLst>
            <c:ext xmlns:c16="http://schemas.microsoft.com/office/drawing/2014/chart" uri="{C3380CC4-5D6E-409C-BE32-E72D297353CC}">
              <c16:uniqueId val="{00000005-DD5F-4EE3-9ECB-7F7CA12AFCC5}"/>
            </c:ext>
          </c:extLst>
        </c:ser>
        <c:ser>
          <c:idx val="6"/>
          <c:order val="6"/>
          <c:tx>
            <c:strRef>
              <c:f>Analysis!$A$8</c:f>
              <c:strCache>
                <c:ptCount val="1"/>
                <c:pt idx="0">
                  <c:v>Other land</c:v>
                </c:pt>
              </c:strCache>
            </c:strRef>
          </c:tx>
          <c:spPr>
            <a:ln>
              <a:solidFill>
                <a:srgbClr val="1F497D">
                  <a:lumMod val="20000"/>
                  <a:lumOff val="80000"/>
                </a:srgbClr>
              </a:solidFill>
            </a:ln>
          </c:spPr>
          <c:marker>
            <c:symbol val="none"/>
          </c:marker>
          <c:cat>
            <c:strRef>
              <c:f>Analysis!$B$1:$AG$1</c:f>
              <c:strCach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strCache>
            </c:strRef>
          </c:cat>
          <c:val>
            <c:numRef>
              <c:f>Analysis!$B$8:$AG$8</c:f>
              <c:numCache>
                <c:formatCode>#,##0.0</c:formatCode>
                <c:ptCount val="32"/>
                <c:pt idx="0">
                  <c:v>13.7651977741578</c:v>
                </c:pt>
                <c:pt idx="1">
                  <c:v>15.1099311447589</c:v>
                </c:pt>
                <c:pt idx="2">
                  <c:v>16.45466451336932</c:v>
                </c:pt>
                <c:pt idx="3">
                  <c:v>17.799397883366112</c:v>
                </c:pt>
                <c:pt idx="4">
                  <c:v>19.1441312539602</c:v>
                </c:pt>
                <c:pt idx="5">
                  <c:v>20.488864623818301</c:v>
                </c:pt>
                <c:pt idx="6">
                  <c:v>21.833597994681341</c:v>
                </c:pt>
                <c:pt idx="7">
                  <c:v>24.88321810076928</c:v>
                </c:pt>
                <c:pt idx="8">
                  <c:v>26.790828080588351</c:v>
                </c:pt>
                <c:pt idx="9">
                  <c:v>28.69843805998795</c:v>
                </c:pt>
                <c:pt idx="10">
                  <c:v>47.212708534305442</c:v>
                </c:pt>
                <c:pt idx="11">
                  <c:v>48.955944703589267</c:v>
                </c:pt>
                <c:pt idx="12">
                  <c:v>47.58509609488479</c:v>
                </c:pt>
                <c:pt idx="13">
                  <c:v>57.611671238364281</c:v>
                </c:pt>
                <c:pt idx="14">
                  <c:v>74.92143314203129</c:v>
                </c:pt>
                <c:pt idx="15">
                  <c:v>98.867380594408615</c:v>
                </c:pt>
                <c:pt idx="16">
                  <c:v>116.03622416562143</c:v>
                </c:pt>
                <c:pt idx="17">
                  <c:v>148.10256200022164</c:v>
                </c:pt>
                <c:pt idx="18">
                  <c:v>82.860590721690613</c:v>
                </c:pt>
                <c:pt idx="19">
                  <c:v>143.3462844473614</c:v>
                </c:pt>
                <c:pt idx="20">
                  <c:v>158.67109947072976</c:v>
                </c:pt>
                <c:pt idx="21">
                  <c:v>216.1738256984741</c:v>
                </c:pt>
                <c:pt idx="22">
                  <c:v>214.4636339994245</c:v>
                </c:pt>
                <c:pt idx="23">
                  <c:v>213.69622067094284</c:v>
                </c:pt>
                <c:pt idx="24">
                  <c:v>186.44795378574267</c:v>
                </c:pt>
                <c:pt idx="25">
                  <c:v>248.67067753024662</c:v>
                </c:pt>
                <c:pt idx="26">
                  <c:v>285.96587250441416</c:v>
                </c:pt>
                <c:pt idx="27">
                  <c:v>110.30559796707564</c:v>
                </c:pt>
                <c:pt idx="28">
                  <c:v>115.26132656606424</c:v>
                </c:pt>
                <c:pt idx="29">
                  <c:v>98.901380884979346</c:v>
                </c:pt>
                <c:pt idx="30">
                  <c:v>92.696919149497276</c:v>
                </c:pt>
                <c:pt idx="31">
                  <c:v>85.686413365199144</c:v>
                </c:pt>
              </c:numCache>
            </c:numRef>
          </c:val>
          <c:smooth val="0"/>
          <c:extLst>
            <c:ext xmlns:c16="http://schemas.microsoft.com/office/drawing/2014/chart" uri="{C3380CC4-5D6E-409C-BE32-E72D297353CC}">
              <c16:uniqueId val="{00000006-DD5F-4EE3-9ECB-7F7CA12AFCC5}"/>
            </c:ext>
          </c:extLst>
        </c:ser>
        <c:ser>
          <c:idx val="7"/>
          <c:order val="7"/>
          <c:tx>
            <c:strRef>
              <c:f>Analysis!$A$9</c:f>
              <c:strCache>
                <c:ptCount val="1"/>
                <c:pt idx="0">
                  <c:v>Indirect emissions</c:v>
                </c:pt>
              </c:strCache>
            </c:strRef>
          </c:tx>
          <c:spPr>
            <a:ln>
              <a:solidFill>
                <a:srgbClr val="DA5A28"/>
              </a:solidFill>
            </a:ln>
          </c:spPr>
          <c:marker>
            <c:symbol val="none"/>
          </c:marker>
          <c:cat>
            <c:strRef>
              <c:f>Analysis!$B$1:$AG$1</c:f>
              <c:strCach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strCache>
            </c:strRef>
          </c:cat>
          <c:val>
            <c:numRef>
              <c:f>Analysis!$B$9:$AG$9</c:f>
              <c:numCache>
                <c:formatCode>#,##0.0</c:formatCode>
                <c:ptCount val="32"/>
                <c:pt idx="0">
                  <c:v>40.814104486022273</c:v>
                </c:pt>
                <c:pt idx="1">
                  <c:v>40.291921465245338</c:v>
                </c:pt>
                <c:pt idx="2">
                  <c:v>41.058780710161621</c:v>
                </c:pt>
                <c:pt idx="3">
                  <c:v>42.076789141168575</c:v>
                </c:pt>
                <c:pt idx="4">
                  <c:v>44.355305279658836</c:v>
                </c:pt>
                <c:pt idx="5">
                  <c:v>45.323408968758542</c:v>
                </c:pt>
                <c:pt idx="6">
                  <c:v>46.525054190767918</c:v>
                </c:pt>
                <c:pt idx="7">
                  <c:v>47.195093919719362</c:v>
                </c:pt>
                <c:pt idx="8">
                  <c:v>47.418229484943346</c:v>
                </c:pt>
                <c:pt idx="9">
                  <c:v>47.090532552126277</c:v>
                </c:pt>
                <c:pt idx="10">
                  <c:v>46.754029499981215</c:v>
                </c:pt>
                <c:pt idx="11">
                  <c:v>46.278279872164482</c:v>
                </c:pt>
                <c:pt idx="12">
                  <c:v>45.111609102043083</c:v>
                </c:pt>
                <c:pt idx="13">
                  <c:v>43.739481051910225</c:v>
                </c:pt>
                <c:pt idx="14">
                  <c:v>42.016706216496758</c:v>
                </c:pt>
                <c:pt idx="15">
                  <c:v>40.374998802815377</c:v>
                </c:pt>
                <c:pt idx="16">
                  <c:v>39.120703093382005</c:v>
                </c:pt>
                <c:pt idx="17">
                  <c:v>38.216031407151242</c:v>
                </c:pt>
                <c:pt idx="18">
                  <c:v>37.211746763668742</c:v>
                </c:pt>
                <c:pt idx="19">
                  <c:v>36.202175630743163</c:v>
                </c:pt>
                <c:pt idx="20">
                  <c:v>35.752376768842218</c:v>
                </c:pt>
                <c:pt idx="21">
                  <c:v>35.645580527487901</c:v>
                </c:pt>
                <c:pt idx="22">
                  <c:v>34.338652622469496</c:v>
                </c:pt>
                <c:pt idx="23">
                  <c:v>32.074496238354797</c:v>
                </c:pt>
                <c:pt idx="24">
                  <c:v>28.352454150332562</c:v>
                </c:pt>
                <c:pt idx="25">
                  <c:v>25.568602874105821</c:v>
                </c:pt>
                <c:pt idx="26">
                  <c:v>22.347650405253258</c:v>
                </c:pt>
                <c:pt idx="27">
                  <c:v>20.15518986024334</c:v>
                </c:pt>
                <c:pt idx="28">
                  <c:v>18.329474511522118</c:v>
                </c:pt>
                <c:pt idx="29">
                  <c:v>17.50792883806518</c:v>
                </c:pt>
                <c:pt idx="30">
                  <c:v>17.66277122958186</c:v>
                </c:pt>
                <c:pt idx="31">
                  <c:v>18.478594044629499</c:v>
                </c:pt>
              </c:numCache>
            </c:numRef>
          </c:val>
          <c:smooth val="0"/>
          <c:extLst>
            <c:ext xmlns:c16="http://schemas.microsoft.com/office/drawing/2014/chart" uri="{C3380CC4-5D6E-409C-BE32-E72D297353CC}">
              <c16:uniqueId val="{00000007-DD5F-4EE3-9ECB-7F7CA12AFCC5}"/>
            </c:ext>
          </c:extLst>
        </c:ser>
        <c:ser>
          <c:idx val="8"/>
          <c:order val="8"/>
          <c:tx>
            <c:strRef>
              <c:f>Analysis!$A$10</c:f>
              <c:strCache>
                <c:ptCount val="1"/>
                <c:pt idx="0">
                  <c:v>Harvested wood products</c:v>
                </c:pt>
              </c:strCache>
            </c:strRef>
          </c:tx>
          <c:marker>
            <c:symbol val="none"/>
          </c:marker>
          <c:cat>
            <c:strRef>
              <c:f>Analysis!$B$1:$AG$1</c:f>
              <c:strCach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strCache>
            </c:strRef>
          </c:cat>
          <c:val>
            <c:numRef>
              <c:f>Analysis!$B$10:$AG$10</c:f>
              <c:numCache>
                <c:formatCode>#,##0.0</c:formatCode>
                <c:ptCount val="32"/>
                <c:pt idx="0">
                  <c:v>-2481.2125676078545</c:v>
                </c:pt>
                <c:pt idx="1">
                  <c:v>-3568.5050243962169</c:v>
                </c:pt>
                <c:pt idx="2">
                  <c:v>-3828.8891570673313</c:v>
                </c:pt>
                <c:pt idx="3">
                  <c:v>-4179.3055058138725</c:v>
                </c:pt>
                <c:pt idx="4">
                  <c:v>-4460.5753215902851</c:v>
                </c:pt>
                <c:pt idx="5">
                  <c:v>-4648.5537585877428</c:v>
                </c:pt>
                <c:pt idx="6">
                  <c:v>-4547.6099770719093</c:v>
                </c:pt>
                <c:pt idx="7">
                  <c:v>-4643.022149523692</c:v>
                </c:pt>
                <c:pt idx="8">
                  <c:v>-3256.0414950694353</c:v>
                </c:pt>
                <c:pt idx="9">
                  <c:v>-4647.4825071611849</c:v>
                </c:pt>
                <c:pt idx="10">
                  <c:v>-5227.0149038086747</c:v>
                </c:pt>
                <c:pt idx="11">
                  <c:v>-5935.3736474146808</c:v>
                </c:pt>
                <c:pt idx="12">
                  <c:v>-6757.5887533320274</c:v>
                </c:pt>
                <c:pt idx="13">
                  <c:v>-6132.6251520320284</c:v>
                </c:pt>
                <c:pt idx="14">
                  <c:v>-5209.330032852783</c:v>
                </c:pt>
                <c:pt idx="15">
                  <c:v>-4688.7374753383929</c:v>
                </c:pt>
                <c:pt idx="16">
                  <c:v>-4612.875581318398</c:v>
                </c:pt>
                <c:pt idx="17">
                  <c:v>-4625.1866243144241</c:v>
                </c:pt>
                <c:pt idx="18">
                  <c:v>-4217.9676417999517</c:v>
                </c:pt>
                <c:pt idx="19">
                  <c:v>-5115.4390420782775</c:v>
                </c:pt>
                <c:pt idx="20">
                  <c:v>-6701.7597716049768</c:v>
                </c:pt>
                <c:pt idx="21">
                  <c:v>-7319.149573446769</c:v>
                </c:pt>
                <c:pt idx="22">
                  <c:v>-7580.4510658204654</c:v>
                </c:pt>
                <c:pt idx="23">
                  <c:v>-8689.4147410420064</c:v>
                </c:pt>
                <c:pt idx="24">
                  <c:v>-7789.7431019680789</c:v>
                </c:pt>
                <c:pt idx="25">
                  <c:v>-6873.7526684071145</c:v>
                </c:pt>
                <c:pt idx="26">
                  <c:v>-7896.7622246842675</c:v>
                </c:pt>
                <c:pt idx="27">
                  <c:v>-8674.5311278825557</c:v>
                </c:pt>
                <c:pt idx="28">
                  <c:v>-9323.5439307672987</c:v>
                </c:pt>
                <c:pt idx="29">
                  <c:v>-9037.8497903809694</c:v>
                </c:pt>
                <c:pt idx="30">
                  <c:v>-6834.5767845684959</c:v>
                </c:pt>
                <c:pt idx="31">
                  <c:v>-8658.8292764996968</c:v>
                </c:pt>
              </c:numCache>
            </c:numRef>
          </c:val>
          <c:smooth val="0"/>
          <c:extLst>
            <c:ext xmlns:c16="http://schemas.microsoft.com/office/drawing/2014/chart" uri="{C3380CC4-5D6E-409C-BE32-E72D297353CC}">
              <c16:uniqueId val="{00000008-DD5F-4EE3-9ECB-7F7CA12AFCC5}"/>
            </c:ext>
          </c:extLst>
        </c:ser>
        <c:dLbls>
          <c:showLegendKey val="0"/>
          <c:showVal val="0"/>
          <c:showCatName val="0"/>
          <c:showSerName val="0"/>
          <c:showPercent val="0"/>
          <c:showBubbleSize val="0"/>
        </c:dLbls>
        <c:smooth val="0"/>
        <c:axId val="128192896"/>
        <c:axId val="128194432"/>
      </c:lineChart>
      <c:catAx>
        <c:axId val="128192896"/>
        <c:scaling>
          <c:orientation val="minMax"/>
        </c:scaling>
        <c:delete val="0"/>
        <c:axPos val="b"/>
        <c:majorGridlines>
          <c:spPr>
            <a:ln w="6350">
              <a:solidFill>
                <a:sysClr val="window" lastClr="FFFFFF">
                  <a:lumMod val="85000"/>
                </a:sysClr>
              </a:solidFill>
              <a:prstDash val="dash"/>
            </a:ln>
          </c:spPr>
        </c:majorGridlines>
        <c:numFmt formatCode="General" sourceLinked="0"/>
        <c:majorTickMark val="cross"/>
        <c:minorTickMark val="none"/>
        <c:tickLblPos val="low"/>
        <c:spPr>
          <a:ln w="12700">
            <a:solidFill>
              <a:sysClr val="windowText" lastClr="000000"/>
            </a:solidFill>
          </a:ln>
        </c:spPr>
        <c:txPr>
          <a:bodyPr rot="-5400000" vert="horz"/>
          <a:lstStyle/>
          <a:p>
            <a:pPr>
              <a:defRPr sz="700">
                <a:latin typeface="Arial" panose="020B0604020202020204" pitchFamily="34" charset="0"/>
                <a:cs typeface="Arial" panose="020B0604020202020204" pitchFamily="34" charset="0"/>
              </a:defRPr>
            </a:pPr>
            <a:endParaRPr lang="en-US"/>
          </a:p>
        </c:txPr>
        <c:crossAx val="128194432"/>
        <c:crosses val="autoZero"/>
        <c:auto val="1"/>
        <c:lblAlgn val="ctr"/>
        <c:lblOffset val="100"/>
        <c:noMultiLvlLbl val="0"/>
      </c:catAx>
      <c:valAx>
        <c:axId val="128194432"/>
        <c:scaling>
          <c:orientation val="minMax"/>
        </c:scaling>
        <c:delete val="0"/>
        <c:axPos val="l"/>
        <c:majorGridlines>
          <c:spPr>
            <a:ln w="6350">
              <a:solidFill>
                <a:sysClr val="window" lastClr="FFFFFF">
                  <a:lumMod val="85000"/>
                </a:sysClr>
              </a:solidFill>
            </a:ln>
          </c:spPr>
        </c:majorGridlines>
        <c:title>
          <c:tx>
            <c:rich>
              <a:bodyPr rot="-5400000" vert="horz"/>
              <a:lstStyle/>
              <a:p>
                <a:pPr>
                  <a:defRPr sz="800" b="0">
                    <a:latin typeface="Arial" panose="020B0604020202020204" pitchFamily="34" charset="0"/>
                    <a:cs typeface="Arial" panose="020B0604020202020204" pitchFamily="34" charset="0"/>
                  </a:defRPr>
                </a:pPr>
                <a:r>
                  <a:rPr lang="en-NZ" sz="800"/>
                  <a:t>Kt CO</a:t>
                </a:r>
                <a:r>
                  <a:rPr lang="en-NZ" sz="800" baseline="-25000"/>
                  <a:t>2</a:t>
                </a:r>
                <a:r>
                  <a:rPr lang="en-NZ" sz="800" baseline="0"/>
                  <a:t>-equivalent</a:t>
                </a:r>
                <a:endParaRPr lang="en-NZ" sz="800"/>
              </a:p>
            </c:rich>
          </c:tx>
          <c:layout>
            <c:manualLayout>
              <c:xMode val="edge"/>
              <c:yMode val="edge"/>
              <c:x val="1.0123963739556506E-2"/>
              <c:y val="0.29312098757973687"/>
            </c:manualLayout>
          </c:layout>
          <c:overlay val="0"/>
        </c:title>
        <c:numFmt formatCode="#,##0" sourceLinked="0"/>
        <c:majorTickMark val="out"/>
        <c:minorTickMark val="none"/>
        <c:tickLblPos val="nextTo"/>
        <c:spPr>
          <a:ln w="12700">
            <a:solidFill>
              <a:sysClr val="windowText" lastClr="000000"/>
            </a:solidFill>
          </a:ln>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n-US"/>
          </a:p>
        </c:txPr>
        <c:crossAx val="128192896"/>
        <c:crosses val="autoZero"/>
        <c:crossBetween val="midCat"/>
      </c:valAx>
    </c:plotArea>
    <c:legend>
      <c:legendPos val="b"/>
      <c:layout>
        <c:manualLayout>
          <c:xMode val="edge"/>
          <c:yMode val="edge"/>
          <c:x val="4.4992819334207887E-2"/>
          <c:y val="0.88030423871382335"/>
          <c:w val="0.93696622681481112"/>
          <c:h val="0.11413060160648625"/>
        </c:manualLayout>
      </c:layout>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Afforestation</c:v>
          </c:tx>
          <c:spPr>
            <a:ln w="25400" cap="rnd">
              <a:solidFill>
                <a:schemeClr val="accent1"/>
              </a:solidFill>
              <a:round/>
            </a:ln>
            <a:effectLst/>
          </c:spPr>
          <c:marker>
            <c:symbol val="none"/>
          </c:marker>
          <c:xVal>
            <c:numRef>
              <c:f>Sheet1!$D$3:$D$19</c:f>
              <c:numCache>
                <c:formatCode>m/d/yyyy</c:formatCode>
                <c:ptCount val="17"/>
                <c:pt idx="0">
                  <c:v>37987</c:v>
                </c:pt>
                <c:pt idx="1">
                  <c:v>38353</c:v>
                </c:pt>
                <c:pt idx="2">
                  <c:v>38718</c:v>
                </c:pt>
                <c:pt idx="3">
                  <c:v>39083</c:v>
                </c:pt>
                <c:pt idx="4">
                  <c:v>39448</c:v>
                </c:pt>
                <c:pt idx="5">
                  <c:v>39814</c:v>
                </c:pt>
                <c:pt idx="6">
                  <c:v>40179</c:v>
                </c:pt>
                <c:pt idx="7">
                  <c:v>40544</c:v>
                </c:pt>
                <c:pt idx="8">
                  <c:v>40909</c:v>
                </c:pt>
                <c:pt idx="9">
                  <c:v>41275</c:v>
                </c:pt>
                <c:pt idx="10">
                  <c:v>41640</c:v>
                </c:pt>
                <c:pt idx="11">
                  <c:v>42005</c:v>
                </c:pt>
                <c:pt idx="12">
                  <c:v>42370</c:v>
                </c:pt>
                <c:pt idx="13">
                  <c:v>42736</c:v>
                </c:pt>
                <c:pt idx="14">
                  <c:v>43101</c:v>
                </c:pt>
                <c:pt idx="15">
                  <c:v>43466</c:v>
                </c:pt>
                <c:pt idx="16">
                  <c:v>43831</c:v>
                </c:pt>
              </c:numCache>
            </c:numRef>
          </c:xVal>
          <c:yVal>
            <c:numRef>
              <c:f>Sheet1!$E$3:$E$19</c:f>
              <c:numCache>
                <c:formatCode>General</c:formatCode>
                <c:ptCount val="17"/>
                <c:pt idx="0">
                  <c:v>14967.454810261481</c:v>
                </c:pt>
                <c:pt idx="1">
                  <c:v>12010.039876115979</c:v>
                </c:pt>
                <c:pt idx="2">
                  <c:v>10080.22529008882</c:v>
                </c:pt>
                <c:pt idx="3">
                  <c:v>9418.0986985806467</c:v>
                </c:pt>
                <c:pt idx="4">
                  <c:v>5302.3109730346414</c:v>
                </c:pt>
                <c:pt idx="5">
                  <c:v>8352.2659128891682</c:v>
                </c:pt>
                <c:pt idx="6">
                  <c:v>10512.650661953454</c:v>
                </c:pt>
                <c:pt idx="7">
                  <c:v>18137.538011590812</c:v>
                </c:pt>
                <c:pt idx="8">
                  <c:v>17502.130732453992</c:v>
                </c:pt>
                <c:pt idx="9">
                  <c:v>7285.2168302025148</c:v>
                </c:pt>
                <c:pt idx="10">
                  <c:v>5936.5789440740027</c:v>
                </c:pt>
                <c:pt idx="11">
                  <c:v>5936.5789440745721</c:v>
                </c:pt>
                <c:pt idx="12">
                  <c:v>6396.2299503529293</c:v>
                </c:pt>
                <c:pt idx="13">
                  <c:v>10120.014729569013</c:v>
                </c:pt>
                <c:pt idx="14">
                  <c:v>10573.674011130825</c:v>
                </c:pt>
                <c:pt idx="15">
                  <c:v>27650.110624025099</c:v>
                </c:pt>
                <c:pt idx="16">
                  <c:v>41111.100978663279</c:v>
                </c:pt>
              </c:numCache>
            </c:numRef>
          </c:yVal>
          <c:smooth val="0"/>
          <c:extLst>
            <c:ext xmlns:c16="http://schemas.microsoft.com/office/drawing/2014/chart" uri="{C3380CC4-5D6E-409C-BE32-E72D297353CC}">
              <c16:uniqueId val="{00000000-8CB2-4814-A49F-B5FE06258796}"/>
            </c:ext>
          </c:extLst>
        </c:ser>
        <c:ser>
          <c:idx val="1"/>
          <c:order val="1"/>
          <c:tx>
            <c:v>Deforestation</c:v>
          </c:tx>
          <c:spPr>
            <a:ln w="25400" cap="rnd">
              <a:solidFill>
                <a:schemeClr val="accent2"/>
              </a:solidFill>
              <a:round/>
            </a:ln>
            <a:effectLst/>
          </c:spPr>
          <c:marker>
            <c:symbol val="none"/>
          </c:marker>
          <c:xVal>
            <c:numRef>
              <c:f>Sheet1!$D$3:$D$19</c:f>
              <c:numCache>
                <c:formatCode>m/d/yyyy</c:formatCode>
                <c:ptCount val="17"/>
                <c:pt idx="0">
                  <c:v>37987</c:v>
                </c:pt>
                <c:pt idx="1">
                  <c:v>38353</c:v>
                </c:pt>
                <c:pt idx="2">
                  <c:v>38718</c:v>
                </c:pt>
                <c:pt idx="3">
                  <c:v>39083</c:v>
                </c:pt>
                <c:pt idx="4">
                  <c:v>39448</c:v>
                </c:pt>
                <c:pt idx="5">
                  <c:v>39814</c:v>
                </c:pt>
                <c:pt idx="6">
                  <c:v>40179</c:v>
                </c:pt>
                <c:pt idx="7">
                  <c:v>40544</c:v>
                </c:pt>
                <c:pt idx="8">
                  <c:v>40909</c:v>
                </c:pt>
                <c:pt idx="9">
                  <c:v>41275</c:v>
                </c:pt>
                <c:pt idx="10">
                  <c:v>41640</c:v>
                </c:pt>
                <c:pt idx="11">
                  <c:v>42005</c:v>
                </c:pt>
                <c:pt idx="12">
                  <c:v>42370</c:v>
                </c:pt>
                <c:pt idx="13">
                  <c:v>42736</c:v>
                </c:pt>
                <c:pt idx="14">
                  <c:v>43101</c:v>
                </c:pt>
                <c:pt idx="15">
                  <c:v>43466</c:v>
                </c:pt>
                <c:pt idx="16">
                  <c:v>43831</c:v>
                </c:pt>
              </c:numCache>
            </c:numRef>
          </c:xVal>
          <c:yVal>
            <c:numRef>
              <c:f>Sheet1!$G$3:$G$19</c:f>
              <c:numCache>
                <c:formatCode>#,##0.00</c:formatCode>
                <c:ptCount val="17"/>
                <c:pt idx="0">
                  <c:v>10682.445838141386</c:v>
                </c:pt>
                <c:pt idx="1">
                  <c:v>16668.229746651246</c:v>
                </c:pt>
                <c:pt idx="2">
                  <c:v>19709.546709861028</c:v>
                </c:pt>
                <c:pt idx="3">
                  <c:v>27363.868528353425</c:v>
                </c:pt>
                <c:pt idx="4">
                  <c:v>5676.7771195192772</c:v>
                </c:pt>
                <c:pt idx="5">
                  <c:v>10017.894891362932</c:v>
                </c:pt>
                <c:pt idx="6">
                  <c:v>10040.307996282678</c:v>
                </c:pt>
                <c:pt idx="7">
                  <c:v>8487.7588449657032</c:v>
                </c:pt>
                <c:pt idx="8">
                  <c:v>10312.117852621972</c:v>
                </c:pt>
                <c:pt idx="9">
                  <c:v>13785.00021109356</c:v>
                </c:pt>
                <c:pt idx="10">
                  <c:v>10435.927048633042</c:v>
                </c:pt>
                <c:pt idx="11">
                  <c:v>8407.3460213592334</c:v>
                </c:pt>
                <c:pt idx="12">
                  <c:v>8502.7996895497363</c:v>
                </c:pt>
                <c:pt idx="13">
                  <c:v>6048.2189306792352</c:v>
                </c:pt>
                <c:pt idx="14">
                  <c:v>4200.7377396590682</c:v>
                </c:pt>
                <c:pt idx="15">
                  <c:v>4734.8660655809808</c:v>
                </c:pt>
                <c:pt idx="16">
                  <c:v>2381.7183583479878</c:v>
                </c:pt>
              </c:numCache>
            </c:numRef>
          </c:yVal>
          <c:smooth val="0"/>
          <c:extLst>
            <c:ext xmlns:c16="http://schemas.microsoft.com/office/drawing/2014/chart" uri="{C3380CC4-5D6E-409C-BE32-E72D297353CC}">
              <c16:uniqueId val="{00000001-8CB2-4814-A49F-B5FE06258796}"/>
            </c:ext>
          </c:extLst>
        </c:ser>
        <c:dLbls>
          <c:showLegendKey val="0"/>
          <c:showVal val="0"/>
          <c:showCatName val="0"/>
          <c:showSerName val="0"/>
          <c:showPercent val="0"/>
          <c:showBubbleSize val="0"/>
        </c:dLbls>
        <c:axId val="748171728"/>
        <c:axId val="748172976"/>
      </c:scatterChart>
      <c:scatterChart>
        <c:scatterStyle val="lineMarker"/>
        <c:varyColors val="0"/>
        <c:ser>
          <c:idx val="2"/>
          <c:order val="2"/>
          <c:tx>
            <c:v>New Zealand Unit</c:v>
          </c:tx>
          <c:spPr>
            <a:ln w="19050" cap="rnd">
              <a:solidFill>
                <a:schemeClr val="accent3"/>
              </a:solidFill>
              <a:round/>
            </a:ln>
            <a:effectLst/>
          </c:spPr>
          <c:marker>
            <c:symbol val="none"/>
          </c:marker>
          <c:xVal>
            <c:numRef>
              <c:f>Sheet1!$A$3:$A$2909</c:f>
              <c:numCache>
                <c:formatCode>m/d/yyyy</c:formatCode>
                <c:ptCount val="2907"/>
                <c:pt idx="0">
                  <c:v>39881</c:v>
                </c:pt>
                <c:pt idx="1">
                  <c:v>39882</c:v>
                </c:pt>
                <c:pt idx="2">
                  <c:v>39883</c:v>
                </c:pt>
                <c:pt idx="3">
                  <c:v>39884</c:v>
                </c:pt>
                <c:pt idx="4">
                  <c:v>39885</c:v>
                </c:pt>
                <c:pt idx="5">
                  <c:v>39888</c:v>
                </c:pt>
                <c:pt idx="6">
                  <c:v>39889</c:v>
                </c:pt>
                <c:pt idx="7">
                  <c:v>39890</c:v>
                </c:pt>
                <c:pt idx="8">
                  <c:v>39891</c:v>
                </c:pt>
                <c:pt idx="9">
                  <c:v>39892</c:v>
                </c:pt>
                <c:pt idx="10">
                  <c:v>39895</c:v>
                </c:pt>
                <c:pt idx="11">
                  <c:v>39896</c:v>
                </c:pt>
                <c:pt idx="12">
                  <c:v>39897</c:v>
                </c:pt>
                <c:pt idx="13">
                  <c:v>39898</c:v>
                </c:pt>
                <c:pt idx="14">
                  <c:v>39899</c:v>
                </c:pt>
                <c:pt idx="15">
                  <c:v>39902</c:v>
                </c:pt>
                <c:pt idx="16">
                  <c:v>39903</c:v>
                </c:pt>
                <c:pt idx="17">
                  <c:v>39904</c:v>
                </c:pt>
                <c:pt idx="18">
                  <c:v>39905</c:v>
                </c:pt>
                <c:pt idx="19">
                  <c:v>39906</c:v>
                </c:pt>
                <c:pt idx="20">
                  <c:v>39909</c:v>
                </c:pt>
                <c:pt idx="21">
                  <c:v>39910</c:v>
                </c:pt>
                <c:pt idx="22">
                  <c:v>39911</c:v>
                </c:pt>
                <c:pt idx="23">
                  <c:v>39912</c:v>
                </c:pt>
                <c:pt idx="24">
                  <c:v>39917</c:v>
                </c:pt>
                <c:pt idx="25">
                  <c:v>39918</c:v>
                </c:pt>
                <c:pt idx="26">
                  <c:v>39919</c:v>
                </c:pt>
                <c:pt idx="27">
                  <c:v>39920</c:v>
                </c:pt>
                <c:pt idx="28">
                  <c:v>39923</c:v>
                </c:pt>
                <c:pt idx="29">
                  <c:v>39924</c:v>
                </c:pt>
                <c:pt idx="30">
                  <c:v>39925</c:v>
                </c:pt>
                <c:pt idx="31">
                  <c:v>39926</c:v>
                </c:pt>
                <c:pt idx="32">
                  <c:v>39927</c:v>
                </c:pt>
                <c:pt idx="33">
                  <c:v>39930</c:v>
                </c:pt>
                <c:pt idx="34">
                  <c:v>39931</c:v>
                </c:pt>
                <c:pt idx="35">
                  <c:v>39932</c:v>
                </c:pt>
                <c:pt idx="36">
                  <c:v>39933</c:v>
                </c:pt>
                <c:pt idx="37">
                  <c:v>39934</c:v>
                </c:pt>
                <c:pt idx="38">
                  <c:v>39937</c:v>
                </c:pt>
                <c:pt idx="39">
                  <c:v>39938</c:v>
                </c:pt>
                <c:pt idx="40">
                  <c:v>39939</c:v>
                </c:pt>
                <c:pt idx="41">
                  <c:v>39940</c:v>
                </c:pt>
                <c:pt idx="42">
                  <c:v>39941</c:v>
                </c:pt>
                <c:pt idx="43">
                  <c:v>39944</c:v>
                </c:pt>
                <c:pt idx="44">
                  <c:v>39945</c:v>
                </c:pt>
                <c:pt idx="45">
                  <c:v>39946</c:v>
                </c:pt>
                <c:pt idx="46">
                  <c:v>39947</c:v>
                </c:pt>
                <c:pt idx="47">
                  <c:v>39948</c:v>
                </c:pt>
                <c:pt idx="48">
                  <c:v>39951</c:v>
                </c:pt>
                <c:pt idx="49">
                  <c:v>39952</c:v>
                </c:pt>
                <c:pt idx="50">
                  <c:v>39953</c:v>
                </c:pt>
                <c:pt idx="51">
                  <c:v>39954</c:v>
                </c:pt>
                <c:pt idx="52">
                  <c:v>39955</c:v>
                </c:pt>
                <c:pt idx="53">
                  <c:v>39958</c:v>
                </c:pt>
                <c:pt idx="54">
                  <c:v>39959</c:v>
                </c:pt>
                <c:pt idx="55">
                  <c:v>39960</c:v>
                </c:pt>
                <c:pt idx="56">
                  <c:v>39961</c:v>
                </c:pt>
                <c:pt idx="57">
                  <c:v>39962</c:v>
                </c:pt>
                <c:pt idx="58">
                  <c:v>39966</c:v>
                </c:pt>
                <c:pt idx="59">
                  <c:v>39967</c:v>
                </c:pt>
                <c:pt idx="60">
                  <c:v>39968</c:v>
                </c:pt>
                <c:pt idx="61">
                  <c:v>39969</c:v>
                </c:pt>
                <c:pt idx="62">
                  <c:v>39972</c:v>
                </c:pt>
                <c:pt idx="63">
                  <c:v>39973</c:v>
                </c:pt>
                <c:pt idx="64">
                  <c:v>39974</c:v>
                </c:pt>
                <c:pt idx="65">
                  <c:v>39975</c:v>
                </c:pt>
                <c:pt idx="66">
                  <c:v>39976</c:v>
                </c:pt>
                <c:pt idx="67">
                  <c:v>39979</c:v>
                </c:pt>
                <c:pt idx="68">
                  <c:v>39980</c:v>
                </c:pt>
                <c:pt idx="69">
                  <c:v>39981</c:v>
                </c:pt>
                <c:pt idx="70">
                  <c:v>39982</c:v>
                </c:pt>
                <c:pt idx="71">
                  <c:v>39983</c:v>
                </c:pt>
                <c:pt idx="72">
                  <c:v>39986</c:v>
                </c:pt>
                <c:pt idx="73">
                  <c:v>39987</c:v>
                </c:pt>
                <c:pt idx="74">
                  <c:v>39988</c:v>
                </c:pt>
                <c:pt idx="75">
                  <c:v>39989</c:v>
                </c:pt>
                <c:pt idx="76">
                  <c:v>39990</c:v>
                </c:pt>
                <c:pt idx="77">
                  <c:v>39993</c:v>
                </c:pt>
                <c:pt idx="78">
                  <c:v>39994</c:v>
                </c:pt>
                <c:pt idx="79">
                  <c:v>39995</c:v>
                </c:pt>
                <c:pt idx="80">
                  <c:v>39996</c:v>
                </c:pt>
                <c:pt idx="81">
                  <c:v>39997</c:v>
                </c:pt>
                <c:pt idx="82">
                  <c:v>40000</c:v>
                </c:pt>
                <c:pt idx="83">
                  <c:v>40001</c:v>
                </c:pt>
                <c:pt idx="84">
                  <c:v>40002</c:v>
                </c:pt>
                <c:pt idx="85">
                  <c:v>40003</c:v>
                </c:pt>
                <c:pt idx="86">
                  <c:v>40004</c:v>
                </c:pt>
                <c:pt idx="87">
                  <c:v>40007</c:v>
                </c:pt>
                <c:pt idx="88">
                  <c:v>40008</c:v>
                </c:pt>
                <c:pt idx="89">
                  <c:v>40009</c:v>
                </c:pt>
                <c:pt idx="90">
                  <c:v>40010</c:v>
                </c:pt>
                <c:pt idx="91">
                  <c:v>40011</c:v>
                </c:pt>
                <c:pt idx="92">
                  <c:v>40014</c:v>
                </c:pt>
                <c:pt idx="93">
                  <c:v>40015</c:v>
                </c:pt>
                <c:pt idx="94">
                  <c:v>40016</c:v>
                </c:pt>
                <c:pt idx="95">
                  <c:v>40017</c:v>
                </c:pt>
                <c:pt idx="96">
                  <c:v>40018</c:v>
                </c:pt>
                <c:pt idx="97">
                  <c:v>40021</c:v>
                </c:pt>
                <c:pt idx="98">
                  <c:v>40022</c:v>
                </c:pt>
                <c:pt idx="99">
                  <c:v>40023</c:v>
                </c:pt>
                <c:pt idx="100">
                  <c:v>40024</c:v>
                </c:pt>
                <c:pt idx="101">
                  <c:v>40025</c:v>
                </c:pt>
                <c:pt idx="102">
                  <c:v>40028</c:v>
                </c:pt>
                <c:pt idx="103">
                  <c:v>40029</c:v>
                </c:pt>
                <c:pt idx="104">
                  <c:v>40030</c:v>
                </c:pt>
                <c:pt idx="105">
                  <c:v>40031</c:v>
                </c:pt>
                <c:pt idx="106">
                  <c:v>40032</c:v>
                </c:pt>
                <c:pt idx="107">
                  <c:v>40035</c:v>
                </c:pt>
                <c:pt idx="108">
                  <c:v>40036</c:v>
                </c:pt>
                <c:pt idx="109">
                  <c:v>40037</c:v>
                </c:pt>
                <c:pt idx="110">
                  <c:v>40038</c:v>
                </c:pt>
                <c:pt idx="111">
                  <c:v>40039</c:v>
                </c:pt>
                <c:pt idx="112">
                  <c:v>40042</c:v>
                </c:pt>
                <c:pt idx="113">
                  <c:v>40043</c:v>
                </c:pt>
                <c:pt idx="114">
                  <c:v>40044</c:v>
                </c:pt>
                <c:pt idx="115">
                  <c:v>40045</c:v>
                </c:pt>
                <c:pt idx="116">
                  <c:v>40046</c:v>
                </c:pt>
                <c:pt idx="117">
                  <c:v>40049</c:v>
                </c:pt>
                <c:pt idx="118">
                  <c:v>40050</c:v>
                </c:pt>
                <c:pt idx="119">
                  <c:v>40051</c:v>
                </c:pt>
                <c:pt idx="120">
                  <c:v>40052</c:v>
                </c:pt>
                <c:pt idx="121">
                  <c:v>40053</c:v>
                </c:pt>
                <c:pt idx="122">
                  <c:v>40056</c:v>
                </c:pt>
                <c:pt idx="123">
                  <c:v>40057</c:v>
                </c:pt>
                <c:pt idx="124">
                  <c:v>40058</c:v>
                </c:pt>
                <c:pt idx="125">
                  <c:v>40059</c:v>
                </c:pt>
                <c:pt idx="126">
                  <c:v>40060</c:v>
                </c:pt>
                <c:pt idx="127">
                  <c:v>40063</c:v>
                </c:pt>
                <c:pt idx="128">
                  <c:v>40064</c:v>
                </c:pt>
                <c:pt idx="129">
                  <c:v>40065</c:v>
                </c:pt>
                <c:pt idx="130">
                  <c:v>40066</c:v>
                </c:pt>
                <c:pt idx="131">
                  <c:v>40067</c:v>
                </c:pt>
                <c:pt idx="132">
                  <c:v>40070</c:v>
                </c:pt>
                <c:pt idx="133">
                  <c:v>40071</c:v>
                </c:pt>
                <c:pt idx="134">
                  <c:v>40072</c:v>
                </c:pt>
                <c:pt idx="135">
                  <c:v>40073</c:v>
                </c:pt>
                <c:pt idx="136">
                  <c:v>40074</c:v>
                </c:pt>
                <c:pt idx="137">
                  <c:v>40077</c:v>
                </c:pt>
                <c:pt idx="138">
                  <c:v>40078</c:v>
                </c:pt>
                <c:pt idx="139">
                  <c:v>40079</c:v>
                </c:pt>
                <c:pt idx="140">
                  <c:v>40080</c:v>
                </c:pt>
                <c:pt idx="141">
                  <c:v>40081</c:v>
                </c:pt>
                <c:pt idx="142">
                  <c:v>40084</c:v>
                </c:pt>
                <c:pt idx="143">
                  <c:v>40085</c:v>
                </c:pt>
                <c:pt idx="144">
                  <c:v>40086</c:v>
                </c:pt>
                <c:pt idx="145">
                  <c:v>40087</c:v>
                </c:pt>
                <c:pt idx="146">
                  <c:v>40088</c:v>
                </c:pt>
                <c:pt idx="147">
                  <c:v>40091</c:v>
                </c:pt>
                <c:pt idx="148">
                  <c:v>40092</c:v>
                </c:pt>
                <c:pt idx="149">
                  <c:v>40093</c:v>
                </c:pt>
                <c:pt idx="150">
                  <c:v>40094</c:v>
                </c:pt>
                <c:pt idx="151">
                  <c:v>40095</c:v>
                </c:pt>
                <c:pt idx="152">
                  <c:v>40098</c:v>
                </c:pt>
                <c:pt idx="153">
                  <c:v>40099</c:v>
                </c:pt>
                <c:pt idx="154">
                  <c:v>40100</c:v>
                </c:pt>
                <c:pt idx="155">
                  <c:v>40101</c:v>
                </c:pt>
                <c:pt idx="156">
                  <c:v>40102</c:v>
                </c:pt>
                <c:pt idx="157">
                  <c:v>40105</c:v>
                </c:pt>
                <c:pt idx="158">
                  <c:v>40106</c:v>
                </c:pt>
                <c:pt idx="159">
                  <c:v>40107</c:v>
                </c:pt>
                <c:pt idx="160">
                  <c:v>40108</c:v>
                </c:pt>
                <c:pt idx="161">
                  <c:v>40109</c:v>
                </c:pt>
                <c:pt idx="162">
                  <c:v>40113</c:v>
                </c:pt>
                <c:pt idx="163">
                  <c:v>40114</c:v>
                </c:pt>
                <c:pt idx="164">
                  <c:v>40115</c:v>
                </c:pt>
                <c:pt idx="165">
                  <c:v>40116</c:v>
                </c:pt>
                <c:pt idx="166">
                  <c:v>40119</c:v>
                </c:pt>
                <c:pt idx="167">
                  <c:v>40120</c:v>
                </c:pt>
                <c:pt idx="168">
                  <c:v>40121</c:v>
                </c:pt>
                <c:pt idx="169">
                  <c:v>40122</c:v>
                </c:pt>
                <c:pt idx="170">
                  <c:v>40123</c:v>
                </c:pt>
                <c:pt idx="171">
                  <c:v>40126</c:v>
                </c:pt>
                <c:pt idx="172">
                  <c:v>40127</c:v>
                </c:pt>
                <c:pt idx="173">
                  <c:v>40128</c:v>
                </c:pt>
                <c:pt idx="174">
                  <c:v>40129</c:v>
                </c:pt>
                <c:pt idx="175">
                  <c:v>40130</c:v>
                </c:pt>
                <c:pt idx="176">
                  <c:v>40133</c:v>
                </c:pt>
                <c:pt idx="177">
                  <c:v>40134</c:v>
                </c:pt>
                <c:pt idx="178">
                  <c:v>40135</c:v>
                </c:pt>
                <c:pt idx="179">
                  <c:v>40136</c:v>
                </c:pt>
                <c:pt idx="180">
                  <c:v>40137</c:v>
                </c:pt>
                <c:pt idx="181">
                  <c:v>40140</c:v>
                </c:pt>
                <c:pt idx="182">
                  <c:v>40141</c:v>
                </c:pt>
                <c:pt idx="183">
                  <c:v>40142</c:v>
                </c:pt>
                <c:pt idx="184">
                  <c:v>40143</c:v>
                </c:pt>
                <c:pt idx="185">
                  <c:v>40144</c:v>
                </c:pt>
                <c:pt idx="186">
                  <c:v>40147</c:v>
                </c:pt>
                <c:pt idx="187">
                  <c:v>40148</c:v>
                </c:pt>
                <c:pt idx="188">
                  <c:v>40149</c:v>
                </c:pt>
                <c:pt idx="189">
                  <c:v>40150</c:v>
                </c:pt>
                <c:pt idx="190">
                  <c:v>40151</c:v>
                </c:pt>
                <c:pt idx="191">
                  <c:v>40154</c:v>
                </c:pt>
                <c:pt idx="192">
                  <c:v>40155</c:v>
                </c:pt>
                <c:pt idx="193">
                  <c:v>40156</c:v>
                </c:pt>
                <c:pt idx="194">
                  <c:v>40157</c:v>
                </c:pt>
                <c:pt idx="195">
                  <c:v>40158</c:v>
                </c:pt>
                <c:pt idx="196">
                  <c:v>40161</c:v>
                </c:pt>
                <c:pt idx="197">
                  <c:v>40162</c:v>
                </c:pt>
                <c:pt idx="198">
                  <c:v>40163</c:v>
                </c:pt>
                <c:pt idx="199">
                  <c:v>40164</c:v>
                </c:pt>
                <c:pt idx="200">
                  <c:v>40165</c:v>
                </c:pt>
                <c:pt idx="201">
                  <c:v>40168</c:v>
                </c:pt>
                <c:pt idx="202">
                  <c:v>40169</c:v>
                </c:pt>
                <c:pt idx="203">
                  <c:v>40170</c:v>
                </c:pt>
                <c:pt idx="204">
                  <c:v>40171</c:v>
                </c:pt>
                <c:pt idx="205">
                  <c:v>40176</c:v>
                </c:pt>
                <c:pt idx="206">
                  <c:v>40177</c:v>
                </c:pt>
                <c:pt idx="207">
                  <c:v>40178</c:v>
                </c:pt>
                <c:pt idx="208">
                  <c:v>40183</c:v>
                </c:pt>
                <c:pt idx="209">
                  <c:v>40184</c:v>
                </c:pt>
                <c:pt idx="210">
                  <c:v>40185</c:v>
                </c:pt>
                <c:pt idx="211">
                  <c:v>40186</c:v>
                </c:pt>
                <c:pt idx="212">
                  <c:v>40189</c:v>
                </c:pt>
                <c:pt idx="213">
                  <c:v>40190</c:v>
                </c:pt>
                <c:pt idx="214">
                  <c:v>40191</c:v>
                </c:pt>
                <c:pt idx="215">
                  <c:v>40192</c:v>
                </c:pt>
                <c:pt idx="216">
                  <c:v>40193</c:v>
                </c:pt>
                <c:pt idx="217">
                  <c:v>40196</c:v>
                </c:pt>
                <c:pt idx="218">
                  <c:v>40197</c:v>
                </c:pt>
                <c:pt idx="219">
                  <c:v>40198</c:v>
                </c:pt>
                <c:pt idx="220">
                  <c:v>40199</c:v>
                </c:pt>
                <c:pt idx="221">
                  <c:v>40200</c:v>
                </c:pt>
                <c:pt idx="222">
                  <c:v>40204</c:v>
                </c:pt>
                <c:pt idx="223">
                  <c:v>40205</c:v>
                </c:pt>
                <c:pt idx="224">
                  <c:v>40206</c:v>
                </c:pt>
                <c:pt idx="225">
                  <c:v>40207</c:v>
                </c:pt>
                <c:pt idx="226">
                  <c:v>40211</c:v>
                </c:pt>
                <c:pt idx="227">
                  <c:v>40212</c:v>
                </c:pt>
                <c:pt idx="228">
                  <c:v>40213</c:v>
                </c:pt>
                <c:pt idx="229">
                  <c:v>40214</c:v>
                </c:pt>
                <c:pt idx="230">
                  <c:v>40217</c:v>
                </c:pt>
                <c:pt idx="231">
                  <c:v>40218</c:v>
                </c:pt>
                <c:pt idx="232">
                  <c:v>40219</c:v>
                </c:pt>
                <c:pt idx="233">
                  <c:v>40220</c:v>
                </c:pt>
                <c:pt idx="234">
                  <c:v>40221</c:v>
                </c:pt>
                <c:pt idx="235">
                  <c:v>40224</c:v>
                </c:pt>
                <c:pt idx="236">
                  <c:v>40225</c:v>
                </c:pt>
                <c:pt idx="237">
                  <c:v>40226</c:v>
                </c:pt>
                <c:pt idx="238">
                  <c:v>40227</c:v>
                </c:pt>
                <c:pt idx="239">
                  <c:v>40228</c:v>
                </c:pt>
                <c:pt idx="240">
                  <c:v>40231</c:v>
                </c:pt>
                <c:pt idx="241">
                  <c:v>40232</c:v>
                </c:pt>
                <c:pt idx="242">
                  <c:v>40233</c:v>
                </c:pt>
                <c:pt idx="243">
                  <c:v>40234</c:v>
                </c:pt>
                <c:pt idx="244">
                  <c:v>40235</c:v>
                </c:pt>
                <c:pt idx="245">
                  <c:v>40238</c:v>
                </c:pt>
                <c:pt idx="246">
                  <c:v>40239</c:v>
                </c:pt>
                <c:pt idx="247">
                  <c:v>40240</c:v>
                </c:pt>
                <c:pt idx="248">
                  <c:v>40241</c:v>
                </c:pt>
                <c:pt idx="249">
                  <c:v>40242</c:v>
                </c:pt>
                <c:pt idx="250">
                  <c:v>40245</c:v>
                </c:pt>
                <c:pt idx="251">
                  <c:v>40246</c:v>
                </c:pt>
                <c:pt idx="252">
                  <c:v>40247</c:v>
                </c:pt>
                <c:pt idx="253">
                  <c:v>40248</c:v>
                </c:pt>
                <c:pt idx="254">
                  <c:v>40249</c:v>
                </c:pt>
                <c:pt idx="255">
                  <c:v>40252</c:v>
                </c:pt>
                <c:pt idx="256">
                  <c:v>40253</c:v>
                </c:pt>
                <c:pt idx="257">
                  <c:v>40254</c:v>
                </c:pt>
                <c:pt idx="258">
                  <c:v>40255</c:v>
                </c:pt>
                <c:pt idx="259">
                  <c:v>40256</c:v>
                </c:pt>
                <c:pt idx="260">
                  <c:v>40259</c:v>
                </c:pt>
                <c:pt idx="261">
                  <c:v>40260</c:v>
                </c:pt>
                <c:pt idx="262">
                  <c:v>40261</c:v>
                </c:pt>
                <c:pt idx="263">
                  <c:v>40262</c:v>
                </c:pt>
                <c:pt idx="264">
                  <c:v>40263</c:v>
                </c:pt>
                <c:pt idx="265">
                  <c:v>40266</c:v>
                </c:pt>
                <c:pt idx="266">
                  <c:v>40267</c:v>
                </c:pt>
                <c:pt idx="267">
                  <c:v>40268</c:v>
                </c:pt>
                <c:pt idx="268">
                  <c:v>40269</c:v>
                </c:pt>
                <c:pt idx="269">
                  <c:v>40274</c:v>
                </c:pt>
                <c:pt idx="270">
                  <c:v>40275</c:v>
                </c:pt>
                <c:pt idx="271">
                  <c:v>40276</c:v>
                </c:pt>
                <c:pt idx="272">
                  <c:v>40277</c:v>
                </c:pt>
                <c:pt idx="273">
                  <c:v>40280</c:v>
                </c:pt>
                <c:pt idx="274">
                  <c:v>40281</c:v>
                </c:pt>
                <c:pt idx="275">
                  <c:v>40282</c:v>
                </c:pt>
                <c:pt idx="276">
                  <c:v>40283</c:v>
                </c:pt>
                <c:pt idx="277">
                  <c:v>40284</c:v>
                </c:pt>
                <c:pt idx="278">
                  <c:v>40287</c:v>
                </c:pt>
                <c:pt idx="279">
                  <c:v>40288</c:v>
                </c:pt>
                <c:pt idx="280">
                  <c:v>40289</c:v>
                </c:pt>
                <c:pt idx="281">
                  <c:v>40290</c:v>
                </c:pt>
                <c:pt idx="282">
                  <c:v>40291</c:v>
                </c:pt>
                <c:pt idx="283">
                  <c:v>40294</c:v>
                </c:pt>
                <c:pt idx="284">
                  <c:v>40295</c:v>
                </c:pt>
                <c:pt idx="285">
                  <c:v>40296</c:v>
                </c:pt>
                <c:pt idx="286">
                  <c:v>40297</c:v>
                </c:pt>
                <c:pt idx="287">
                  <c:v>40298</c:v>
                </c:pt>
                <c:pt idx="288">
                  <c:v>40301</c:v>
                </c:pt>
                <c:pt idx="289">
                  <c:v>40302</c:v>
                </c:pt>
                <c:pt idx="290">
                  <c:v>40303</c:v>
                </c:pt>
                <c:pt idx="291">
                  <c:v>40304</c:v>
                </c:pt>
                <c:pt idx="292">
                  <c:v>40305</c:v>
                </c:pt>
                <c:pt idx="293">
                  <c:v>40308</c:v>
                </c:pt>
                <c:pt idx="294">
                  <c:v>40309</c:v>
                </c:pt>
                <c:pt idx="295">
                  <c:v>40310</c:v>
                </c:pt>
                <c:pt idx="296">
                  <c:v>40311</c:v>
                </c:pt>
                <c:pt idx="297">
                  <c:v>40312</c:v>
                </c:pt>
                <c:pt idx="298">
                  <c:v>40315</c:v>
                </c:pt>
                <c:pt idx="299">
                  <c:v>40316</c:v>
                </c:pt>
                <c:pt idx="300">
                  <c:v>40317</c:v>
                </c:pt>
                <c:pt idx="301">
                  <c:v>40318</c:v>
                </c:pt>
                <c:pt idx="302">
                  <c:v>40319</c:v>
                </c:pt>
                <c:pt idx="303">
                  <c:v>40322</c:v>
                </c:pt>
                <c:pt idx="304">
                  <c:v>40323</c:v>
                </c:pt>
                <c:pt idx="305">
                  <c:v>40324</c:v>
                </c:pt>
                <c:pt idx="306">
                  <c:v>40325</c:v>
                </c:pt>
                <c:pt idx="307">
                  <c:v>40326</c:v>
                </c:pt>
                <c:pt idx="308">
                  <c:v>40329</c:v>
                </c:pt>
                <c:pt idx="309">
                  <c:v>40330</c:v>
                </c:pt>
                <c:pt idx="310">
                  <c:v>40331</c:v>
                </c:pt>
                <c:pt idx="311">
                  <c:v>40332</c:v>
                </c:pt>
                <c:pt idx="312">
                  <c:v>40333</c:v>
                </c:pt>
                <c:pt idx="313">
                  <c:v>40337</c:v>
                </c:pt>
                <c:pt idx="314">
                  <c:v>40338</c:v>
                </c:pt>
                <c:pt idx="315">
                  <c:v>40339</c:v>
                </c:pt>
                <c:pt idx="316">
                  <c:v>40340</c:v>
                </c:pt>
                <c:pt idx="317">
                  <c:v>40343</c:v>
                </c:pt>
                <c:pt idx="318">
                  <c:v>40344</c:v>
                </c:pt>
                <c:pt idx="319">
                  <c:v>40345</c:v>
                </c:pt>
                <c:pt idx="320">
                  <c:v>40346</c:v>
                </c:pt>
                <c:pt idx="321">
                  <c:v>40347</c:v>
                </c:pt>
                <c:pt idx="322">
                  <c:v>40350</c:v>
                </c:pt>
                <c:pt idx="323">
                  <c:v>40351</c:v>
                </c:pt>
                <c:pt idx="324">
                  <c:v>40352</c:v>
                </c:pt>
                <c:pt idx="325">
                  <c:v>40353</c:v>
                </c:pt>
                <c:pt idx="326">
                  <c:v>40354</c:v>
                </c:pt>
                <c:pt idx="327">
                  <c:v>40357</c:v>
                </c:pt>
                <c:pt idx="328">
                  <c:v>40358</c:v>
                </c:pt>
                <c:pt idx="329">
                  <c:v>40359</c:v>
                </c:pt>
                <c:pt idx="330">
                  <c:v>40360</c:v>
                </c:pt>
                <c:pt idx="331">
                  <c:v>40361</c:v>
                </c:pt>
                <c:pt idx="332">
                  <c:v>40364</c:v>
                </c:pt>
                <c:pt idx="333">
                  <c:v>40365</c:v>
                </c:pt>
                <c:pt idx="334">
                  <c:v>40366</c:v>
                </c:pt>
                <c:pt idx="335">
                  <c:v>40367</c:v>
                </c:pt>
                <c:pt idx="336">
                  <c:v>40368</c:v>
                </c:pt>
                <c:pt idx="337">
                  <c:v>40371</c:v>
                </c:pt>
                <c:pt idx="338">
                  <c:v>40372</c:v>
                </c:pt>
                <c:pt idx="339">
                  <c:v>40373</c:v>
                </c:pt>
                <c:pt idx="340">
                  <c:v>40374</c:v>
                </c:pt>
                <c:pt idx="341">
                  <c:v>40375</c:v>
                </c:pt>
                <c:pt idx="342">
                  <c:v>40378</c:v>
                </c:pt>
                <c:pt idx="343">
                  <c:v>40379</c:v>
                </c:pt>
                <c:pt idx="344">
                  <c:v>40380</c:v>
                </c:pt>
                <c:pt idx="345">
                  <c:v>40381</c:v>
                </c:pt>
                <c:pt idx="346">
                  <c:v>40382</c:v>
                </c:pt>
                <c:pt idx="347">
                  <c:v>40385</c:v>
                </c:pt>
                <c:pt idx="348">
                  <c:v>40386</c:v>
                </c:pt>
                <c:pt idx="349">
                  <c:v>40387</c:v>
                </c:pt>
                <c:pt idx="350">
                  <c:v>40388</c:v>
                </c:pt>
                <c:pt idx="351">
                  <c:v>40389</c:v>
                </c:pt>
                <c:pt idx="352">
                  <c:v>40392</c:v>
                </c:pt>
                <c:pt idx="353">
                  <c:v>40393</c:v>
                </c:pt>
                <c:pt idx="354">
                  <c:v>40394</c:v>
                </c:pt>
                <c:pt idx="355">
                  <c:v>40395</c:v>
                </c:pt>
                <c:pt idx="356">
                  <c:v>40396</c:v>
                </c:pt>
                <c:pt idx="357">
                  <c:v>40399</c:v>
                </c:pt>
                <c:pt idx="358">
                  <c:v>40400</c:v>
                </c:pt>
                <c:pt idx="359">
                  <c:v>40401</c:v>
                </c:pt>
                <c:pt idx="360">
                  <c:v>40402</c:v>
                </c:pt>
                <c:pt idx="361">
                  <c:v>40403</c:v>
                </c:pt>
                <c:pt idx="362">
                  <c:v>40406</c:v>
                </c:pt>
                <c:pt idx="363">
                  <c:v>40407</c:v>
                </c:pt>
                <c:pt idx="364">
                  <c:v>40408</c:v>
                </c:pt>
                <c:pt idx="365">
                  <c:v>40409</c:v>
                </c:pt>
                <c:pt idx="366">
                  <c:v>40410</c:v>
                </c:pt>
                <c:pt idx="367">
                  <c:v>40413</c:v>
                </c:pt>
                <c:pt idx="368">
                  <c:v>40414</c:v>
                </c:pt>
                <c:pt idx="369">
                  <c:v>40415</c:v>
                </c:pt>
                <c:pt idx="370">
                  <c:v>40416</c:v>
                </c:pt>
                <c:pt idx="371">
                  <c:v>40417</c:v>
                </c:pt>
                <c:pt idx="372">
                  <c:v>40420</c:v>
                </c:pt>
                <c:pt idx="373">
                  <c:v>40421</c:v>
                </c:pt>
                <c:pt idx="374">
                  <c:v>40422</c:v>
                </c:pt>
                <c:pt idx="375">
                  <c:v>40423</c:v>
                </c:pt>
                <c:pt idx="376">
                  <c:v>40424</c:v>
                </c:pt>
                <c:pt idx="377">
                  <c:v>40427</c:v>
                </c:pt>
                <c:pt idx="378">
                  <c:v>40428</c:v>
                </c:pt>
                <c:pt idx="379">
                  <c:v>40429</c:v>
                </c:pt>
                <c:pt idx="380">
                  <c:v>40430</c:v>
                </c:pt>
                <c:pt idx="381">
                  <c:v>40431</c:v>
                </c:pt>
                <c:pt idx="382">
                  <c:v>40434</c:v>
                </c:pt>
                <c:pt idx="383">
                  <c:v>40435</c:v>
                </c:pt>
                <c:pt idx="384">
                  <c:v>40436</c:v>
                </c:pt>
                <c:pt idx="385">
                  <c:v>40437</c:v>
                </c:pt>
                <c:pt idx="386">
                  <c:v>40438</c:v>
                </c:pt>
                <c:pt idx="387">
                  <c:v>40441</c:v>
                </c:pt>
                <c:pt idx="388">
                  <c:v>40442</c:v>
                </c:pt>
                <c:pt idx="389">
                  <c:v>40443</c:v>
                </c:pt>
                <c:pt idx="390">
                  <c:v>40444</c:v>
                </c:pt>
                <c:pt idx="391">
                  <c:v>40445</c:v>
                </c:pt>
                <c:pt idx="392">
                  <c:v>40448</c:v>
                </c:pt>
                <c:pt idx="393">
                  <c:v>40449</c:v>
                </c:pt>
                <c:pt idx="394">
                  <c:v>40450</c:v>
                </c:pt>
                <c:pt idx="395">
                  <c:v>40451</c:v>
                </c:pt>
                <c:pt idx="396">
                  <c:v>40452</c:v>
                </c:pt>
                <c:pt idx="397">
                  <c:v>40455</c:v>
                </c:pt>
                <c:pt idx="398">
                  <c:v>40456</c:v>
                </c:pt>
                <c:pt idx="399">
                  <c:v>40457</c:v>
                </c:pt>
                <c:pt idx="400">
                  <c:v>40458</c:v>
                </c:pt>
                <c:pt idx="401">
                  <c:v>40459</c:v>
                </c:pt>
                <c:pt idx="402">
                  <c:v>40462</c:v>
                </c:pt>
                <c:pt idx="403">
                  <c:v>40463</c:v>
                </c:pt>
                <c:pt idx="404">
                  <c:v>40464</c:v>
                </c:pt>
                <c:pt idx="405">
                  <c:v>40465</c:v>
                </c:pt>
                <c:pt idx="406">
                  <c:v>40466</c:v>
                </c:pt>
                <c:pt idx="407">
                  <c:v>40469</c:v>
                </c:pt>
                <c:pt idx="408">
                  <c:v>40470</c:v>
                </c:pt>
                <c:pt idx="409">
                  <c:v>40471</c:v>
                </c:pt>
                <c:pt idx="410">
                  <c:v>40472</c:v>
                </c:pt>
                <c:pt idx="411">
                  <c:v>40473</c:v>
                </c:pt>
                <c:pt idx="412">
                  <c:v>40477</c:v>
                </c:pt>
                <c:pt idx="413">
                  <c:v>40478</c:v>
                </c:pt>
                <c:pt idx="414">
                  <c:v>40479</c:v>
                </c:pt>
                <c:pt idx="415">
                  <c:v>40480</c:v>
                </c:pt>
                <c:pt idx="416">
                  <c:v>40483</c:v>
                </c:pt>
                <c:pt idx="417">
                  <c:v>40484</c:v>
                </c:pt>
                <c:pt idx="418">
                  <c:v>40485</c:v>
                </c:pt>
                <c:pt idx="419">
                  <c:v>40486</c:v>
                </c:pt>
                <c:pt idx="420">
                  <c:v>40487</c:v>
                </c:pt>
                <c:pt idx="421">
                  <c:v>40490</c:v>
                </c:pt>
                <c:pt idx="422">
                  <c:v>40491</c:v>
                </c:pt>
                <c:pt idx="423">
                  <c:v>40492</c:v>
                </c:pt>
                <c:pt idx="424">
                  <c:v>40493</c:v>
                </c:pt>
                <c:pt idx="425">
                  <c:v>40494</c:v>
                </c:pt>
                <c:pt idx="426">
                  <c:v>40497</c:v>
                </c:pt>
                <c:pt idx="427">
                  <c:v>40498</c:v>
                </c:pt>
                <c:pt idx="428">
                  <c:v>40499</c:v>
                </c:pt>
                <c:pt idx="429">
                  <c:v>40500</c:v>
                </c:pt>
                <c:pt idx="430">
                  <c:v>40501</c:v>
                </c:pt>
                <c:pt idx="431">
                  <c:v>40504</c:v>
                </c:pt>
                <c:pt idx="432">
                  <c:v>40505</c:v>
                </c:pt>
                <c:pt idx="433">
                  <c:v>40506</c:v>
                </c:pt>
                <c:pt idx="434">
                  <c:v>40507</c:v>
                </c:pt>
                <c:pt idx="435">
                  <c:v>40508</c:v>
                </c:pt>
                <c:pt idx="436">
                  <c:v>40511</c:v>
                </c:pt>
                <c:pt idx="437">
                  <c:v>40512</c:v>
                </c:pt>
                <c:pt idx="438">
                  <c:v>40513</c:v>
                </c:pt>
                <c:pt idx="439">
                  <c:v>40514</c:v>
                </c:pt>
                <c:pt idx="440">
                  <c:v>40515</c:v>
                </c:pt>
                <c:pt idx="441">
                  <c:v>40518</c:v>
                </c:pt>
                <c:pt idx="442">
                  <c:v>40519</c:v>
                </c:pt>
                <c:pt idx="443">
                  <c:v>40520</c:v>
                </c:pt>
                <c:pt idx="444">
                  <c:v>40521</c:v>
                </c:pt>
                <c:pt idx="445">
                  <c:v>40522</c:v>
                </c:pt>
                <c:pt idx="446">
                  <c:v>40525</c:v>
                </c:pt>
                <c:pt idx="447">
                  <c:v>40526</c:v>
                </c:pt>
                <c:pt idx="448">
                  <c:v>40527</c:v>
                </c:pt>
                <c:pt idx="449">
                  <c:v>40528</c:v>
                </c:pt>
                <c:pt idx="450">
                  <c:v>40529</c:v>
                </c:pt>
                <c:pt idx="451">
                  <c:v>40532</c:v>
                </c:pt>
                <c:pt idx="452">
                  <c:v>40533</c:v>
                </c:pt>
                <c:pt idx="453">
                  <c:v>40534</c:v>
                </c:pt>
                <c:pt idx="454">
                  <c:v>40535</c:v>
                </c:pt>
                <c:pt idx="455">
                  <c:v>40536</c:v>
                </c:pt>
                <c:pt idx="456">
                  <c:v>40541</c:v>
                </c:pt>
                <c:pt idx="457">
                  <c:v>40542</c:v>
                </c:pt>
                <c:pt idx="458">
                  <c:v>40543</c:v>
                </c:pt>
                <c:pt idx="459">
                  <c:v>40548</c:v>
                </c:pt>
                <c:pt idx="460">
                  <c:v>40549</c:v>
                </c:pt>
                <c:pt idx="461">
                  <c:v>40550</c:v>
                </c:pt>
                <c:pt idx="462">
                  <c:v>40553</c:v>
                </c:pt>
                <c:pt idx="463">
                  <c:v>40554</c:v>
                </c:pt>
                <c:pt idx="464">
                  <c:v>40555</c:v>
                </c:pt>
                <c:pt idx="465">
                  <c:v>40556</c:v>
                </c:pt>
                <c:pt idx="466">
                  <c:v>40557</c:v>
                </c:pt>
                <c:pt idx="467">
                  <c:v>40560</c:v>
                </c:pt>
                <c:pt idx="468">
                  <c:v>40561</c:v>
                </c:pt>
                <c:pt idx="469">
                  <c:v>40562</c:v>
                </c:pt>
                <c:pt idx="470">
                  <c:v>40563</c:v>
                </c:pt>
                <c:pt idx="471">
                  <c:v>40564</c:v>
                </c:pt>
                <c:pt idx="472">
                  <c:v>40568</c:v>
                </c:pt>
                <c:pt idx="473">
                  <c:v>40569</c:v>
                </c:pt>
                <c:pt idx="474">
                  <c:v>40570</c:v>
                </c:pt>
                <c:pt idx="475">
                  <c:v>40571</c:v>
                </c:pt>
                <c:pt idx="476">
                  <c:v>40575</c:v>
                </c:pt>
                <c:pt idx="477">
                  <c:v>40576</c:v>
                </c:pt>
                <c:pt idx="478">
                  <c:v>40577</c:v>
                </c:pt>
                <c:pt idx="479">
                  <c:v>40578</c:v>
                </c:pt>
                <c:pt idx="480">
                  <c:v>40581</c:v>
                </c:pt>
                <c:pt idx="481">
                  <c:v>40582</c:v>
                </c:pt>
                <c:pt idx="482">
                  <c:v>40583</c:v>
                </c:pt>
                <c:pt idx="483">
                  <c:v>40584</c:v>
                </c:pt>
                <c:pt idx="484">
                  <c:v>40585</c:v>
                </c:pt>
                <c:pt idx="485">
                  <c:v>40588</c:v>
                </c:pt>
                <c:pt idx="486">
                  <c:v>40589</c:v>
                </c:pt>
                <c:pt idx="487">
                  <c:v>40590</c:v>
                </c:pt>
                <c:pt idx="488">
                  <c:v>40591</c:v>
                </c:pt>
                <c:pt idx="489">
                  <c:v>40592</c:v>
                </c:pt>
                <c:pt idx="490">
                  <c:v>40595</c:v>
                </c:pt>
                <c:pt idx="491">
                  <c:v>40596</c:v>
                </c:pt>
                <c:pt idx="492">
                  <c:v>40597</c:v>
                </c:pt>
                <c:pt idx="493">
                  <c:v>40598</c:v>
                </c:pt>
                <c:pt idx="494">
                  <c:v>40599</c:v>
                </c:pt>
                <c:pt idx="495">
                  <c:v>40602</c:v>
                </c:pt>
                <c:pt idx="496">
                  <c:v>40603</c:v>
                </c:pt>
                <c:pt idx="497">
                  <c:v>40604</c:v>
                </c:pt>
                <c:pt idx="498">
                  <c:v>40605</c:v>
                </c:pt>
                <c:pt idx="499">
                  <c:v>40606</c:v>
                </c:pt>
                <c:pt idx="500">
                  <c:v>40609</c:v>
                </c:pt>
                <c:pt idx="501">
                  <c:v>40610</c:v>
                </c:pt>
                <c:pt idx="502">
                  <c:v>40611</c:v>
                </c:pt>
                <c:pt idx="503">
                  <c:v>40612</c:v>
                </c:pt>
                <c:pt idx="504">
                  <c:v>40613</c:v>
                </c:pt>
                <c:pt idx="505">
                  <c:v>40616</c:v>
                </c:pt>
                <c:pt idx="506">
                  <c:v>40617</c:v>
                </c:pt>
                <c:pt idx="507">
                  <c:v>40618</c:v>
                </c:pt>
                <c:pt idx="508">
                  <c:v>40619</c:v>
                </c:pt>
                <c:pt idx="509">
                  <c:v>40620</c:v>
                </c:pt>
                <c:pt idx="510">
                  <c:v>40623</c:v>
                </c:pt>
                <c:pt idx="511">
                  <c:v>40624</c:v>
                </c:pt>
                <c:pt idx="512">
                  <c:v>40625</c:v>
                </c:pt>
                <c:pt idx="513">
                  <c:v>40626</c:v>
                </c:pt>
                <c:pt idx="514">
                  <c:v>40627</c:v>
                </c:pt>
                <c:pt idx="515">
                  <c:v>40630</c:v>
                </c:pt>
                <c:pt idx="516">
                  <c:v>40631</c:v>
                </c:pt>
                <c:pt idx="517">
                  <c:v>40632</c:v>
                </c:pt>
                <c:pt idx="518">
                  <c:v>40633</c:v>
                </c:pt>
                <c:pt idx="519">
                  <c:v>40634</c:v>
                </c:pt>
                <c:pt idx="520">
                  <c:v>40637</c:v>
                </c:pt>
                <c:pt idx="521">
                  <c:v>40638</c:v>
                </c:pt>
                <c:pt idx="522">
                  <c:v>40639</c:v>
                </c:pt>
                <c:pt idx="523">
                  <c:v>40640</c:v>
                </c:pt>
                <c:pt idx="524">
                  <c:v>40641</c:v>
                </c:pt>
                <c:pt idx="525">
                  <c:v>40644</c:v>
                </c:pt>
                <c:pt idx="526">
                  <c:v>40645</c:v>
                </c:pt>
                <c:pt idx="527">
                  <c:v>40646</c:v>
                </c:pt>
                <c:pt idx="528">
                  <c:v>40647</c:v>
                </c:pt>
                <c:pt idx="529">
                  <c:v>40648</c:v>
                </c:pt>
                <c:pt idx="530">
                  <c:v>40651</c:v>
                </c:pt>
                <c:pt idx="531">
                  <c:v>40652</c:v>
                </c:pt>
                <c:pt idx="532">
                  <c:v>40653</c:v>
                </c:pt>
                <c:pt idx="533">
                  <c:v>40654</c:v>
                </c:pt>
                <c:pt idx="534">
                  <c:v>40659</c:v>
                </c:pt>
                <c:pt idx="535">
                  <c:v>40660</c:v>
                </c:pt>
                <c:pt idx="536">
                  <c:v>40661</c:v>
                </c:pt>
                <c:pt idx="537">
                  <c:v>40662</c:v>
                </c:pt>
                <c:pt idx="538">
                  <c:v>40665</c:v>
                </c:pt>
                <c:pt idx="539">
                  <c:v>40666</c:v>
                </c:pt>
                <c:pt idx="540">
                  <c:v>40667</c:v>
                </c:pt>
                <c:pt idx="541">
                  <c:v>40668</c:v>
                </c:pt>
                <c:pt idx="542">
                  <c:v>40669</c:v>
                </c:pt>
                <c:pt idx="543">
                  <c:v>40672</c:v>
                </c:pt>
                <c:pt idx="544">
                  <c:v>40673</c:v>
                </c:pt>
                <c:pt idx="545">
                  <c:v>40674</c:v>
                </c:pt>
                <c:pt idx="546">
                  <c:v>40675</c:v>
                </c:pt>
                <c:pt idx="547">
                  <c:v>40676</c:v>
                </c:pt>
                <c:pt idx="548">
                  <c:v>40679</c:v>
                </c:pt>
                <c:pt idx="549">
                  <c:v>40680</c:v>
                </c:pt>
                <c:pt idx="550">
                  <c:v>40681</c:v>
                </c:pt>
                <c:pt idx="551">
                  <c:v>40682</c:v>
                </c:pt>
                <c:pt idx="552">
                  <c:v>40683</c:v>
                </c:pt>
                <c:pt idx="553">
                  <c:v>40686</c:v>
                </c:pt>
                <c:pt idx="554">
                  <c:v>40687</c:v>
                </c:pt>
                <c:pt idx="555">
                  <c:v>40688</c:v>
                </c:pt>
                <c:pt idx="556">
                  <c:v>40689</c:v>
                </c:pt>
                <c:pt idx="557">
                  <c:v>40690</c:v>
                </c:pt>
                <c:pt idx="558">
                  <c:v>40693</c:v>
                </c:pt>
                <c:pt idx="559">
                  <c:v>40694</c:v>
                </c:pt>
                <c:pt idx="560">
                  <c:v>40695</c:v>
                </c:pt>
                <c:pt idx="561">
                  <c:v>40696</c:v>
                </c:pt>
                <c:pt idx="562">
                  <c:v>40697</c:v>
                </c:pt>
                <c:pt idx="563">
                  <c:v>40701</c:v>
                </c:pt>
                <c:pt idx="564">
                  <c:v>40702</c:v>
                </c:pt>
                <c:pt idx="565">
                  <c:v>40703</c:v>
                </c:pt>
                <c:pt idx="566">
                  <c:v>40704</c:v>
                </c:pt>
                <c:pt idx="567">
                  <c:v>40707</c:v>
                </c:pt>
                <c:pt idx="568">
                  <c:v>40708</c:v>
                </c:pt>
                <c:pt idx="569">
                  <c:v>40709</c:v>
                </c:pt>
                <c:pt idx="570">
                  <c:v>40710</c:v>
                </c:pt>
                <c:pt idx="571">
                  <c:v>40711</c:v>
                </c:pt>
                <c:pt idx="572">
                  <c:v>40714</c:v>
                </c:pt>
                <c:pt idx="573">
                  <c:v>40715</c:v>
                </c:pt>
                <c:pt idx="574">
                  <c:v>40716</c:v>
                </c:pt>
                <c:pt idx="575">
                  <c:v>40717</c:v>
                </c:pt>
                <c:pt idx="576">
                  <c:v>40718</c:v>
                </c:pt>
                <c:pt idx="577">
                  <c:v>40721</c:v>
                </c:pt>
                <c:pt idx="578">
                  <c:v>40722</c:v>
                </c:pt>
                <c:pt idx="579">
                  <c:v>40723</c:v>
                </c:pt>
                <c:pt idx="580">
                  <c:v>40724</c:v>
                </c:pt>
                <c:pt idx="581">
                  <c:v>40725</c:v>
                </c:pt>
                <c:pt idx="582">
                  <c:v>40728</c:v>
                </c:pt>
                <c:pt idx="583">
                  <c:v>40729</c:v>
                </c:pt>
                <c:pt idx="584">
                  <c:v>40730</c:v>
                </c:pt>
                <c:pt idx="585">
                  <c:v>40731</c:v>
                </c:pt>
                <c:pt idx="586">
                  <c:v>40732</c:v>
                </c:pt>
                <c:pt idx="587">
                  <c:v>40735</c:v>
                </c:pt>
                <c:pt idx="588">
                  <c:v>40736</c:v>
                </c:pt>
                <c:pt idx="589">
                  <c:v>40737</c:v>
                </c:pt>
                <c:pt idx="590">
                  <c:v>40738</c:v>
                </c:pt>
                <c:pt idx="591">
                  <c:v>40739</c:v>
                </c:pt>
                <c:pt idx="592">
                  <c:v>40742</c:v>
                </c:pt>
                <c:pt idx="593">
                  <c:v>40743</c:v>
                </c:pt>
                <c:pt idx="594">
                  <c:v>40744</c:v>
                </c:pt>
                <c:pt idx="595">
                  <c:v>40745</c:v>
                </c:pt>
                <c:pt idx="596">
                  <c:v>40746</c:v>
                </c:pt>
                <c:pt idx="597">
                  <c:v>40749</c:v>
                </c:pt>
                <c:pt idx="598">
                  <c:v>40750</c:v>
                </c:pt>
                <c:pt idx="599">
                  <c:v>40751</c:v>
                </c:pt>
                <c:pt idx="600">
                  <c:v>40752</c:v>
                </c:pt>
                <c:pt idx="601">
                  <c:v>40753</c:v>
                </c:pt>
                <c:pt idx="602">
                  <c:v>40756</c:v>
                </c:pt>
                <c:pt idx="603">
                  <c:v>40757</c:v>
                </c:pt>
                <c:pt idx="604">
                  <c:v>40758</c:v>
                </c:pt>
                <c:pt idx="605">
                  <c:v>40759</c:v>
                </c:pt>
                <c:pt idx="606">
                  <c:v>40760</c:v>
                </c:pt>
                <c:pt idx="607">
                  <c:v>40763</c:v>
                </c:pt>
                <c:pt idx="608">
                  <c:v>40764</c:v>
                </c:pt>
                <c:pt idx="609">
                  <c:v>40765</c:v>
                </c:pt>
                <c:pt idx="610">
                  <c:v>40766</c:v>
                </c:pt>
                <c:pt idx="611">
                  <c:v>40767</c:v>
                </c:pt>
                <c:pt idx="612">
                  <c:v>40770</c:v>
                </c:pt>
                <c:pt idx="613">
                  <c:v>40771</c:v>
                </c:pt>
                <c:pt idx="614">
                  <c:v>40772</c:v>
                </c:pt>
                <c:pt idx="615">
                  <c:v>40773</c:v>
                </c:pt>
                <c:pt idx="616">
                  <c:v>40774</c:v>
                </c:pt>
                <c:pt idx="617">
                  <c:v>40777</c:v>
                </c:pt>
                <c:pt idx="618">
                  <c:v>40778</c:v>
                </c:pt>
                <c:pt idx="619">
                  <c:v>40779</c:v>
                </c:pt>
                <c:pt idx="620">
                  <c:v>40780</c:v>
                </c:pt>
                <c:pt idx="621">
                  <c:v>40781</c:v>
                </c:pt>
                <c:pt idx="622">
                  <c:v>40784</c:v>
                </c:pt>
                <c:pt idx="623">
                  <c:v>40785</c:v>
                </c:pt>
                <c:pt idx="624">
                  <c:v>40786</c:v>
                </c:pt>
                <c:pt idx="625">
                  <c:v>40787</c:v>
                </c:pt>
                <c:pt idx="626">
                  <c:v>40788</c:v>
                </c:pt>
                <c:pt idx="627">
                  <c:v>40791</c:v>
                </c:pt>
                <c:pt idx="628">
                  <c:v>40792</c:v>
                </c:pt>
                <c:pt idx="629">
                  <c:v>40793</c:v>
                </c:pt>
                <c:pt idx="630">
                  <c:v>40794</c:v>
                </c:pt>
                <c:pt idx="631">
                  <c:v>40795</c:v>
                </c:pt>
                <c:pt idx="632">
                  <c:v>40798</c:v>
                </c:pt>
                <c:pt idx="633">
                  <c:v>40799</c:v>
                </c:pt>
                <c:pt idx="634">
                  <c:v>40800</c:v>
                </c:pt>
                <c:pt idx="635">
                  <c:v>40801</c:v>
                </c:pt>
                <c:pt idx="636">
                  <c:v>40802</c:v>
                </c:pt>
                <c:pt idx="637">
                  <c:v>40805</c:v>
                </c:pt>
                <c:pt idx="638">
                  <c:v>40806</c:v>
                </c:pt>
                <c:pt idx="639">
                  <c:v>40807</c:v>
                </c:pt>
                <c:pt idx="640">
                  <c:v>40808</c:v>
                </c:pt>
                <c:pt idx="641">
                  <c:v>40809</c:v>
                </c:pt>
                <c:pt idx="642">
                  <c:v>40812</c:v>
                </c:pt>
                <c:pt idx="643">
                  <c:v>40813</c:v>
                </c:pt>
                <c:pt idx="644">
                  <c:v>40814</c:v>
                </c:pt>
                <c:pt idx="645">
                  <c:v>40815</c:v>
                </c:pt>
                <c:pt idx="646">
                  <c:v>40816</c:v>
                </c:pt>
                <c:pt idx="647">
                  <c:v>40819</c:v>
                </c:pt>
                <c:pt idx="648">
                  <c:v>40820</c:v>
                </c:pt>
                <c:pt idx="649">
                  <c:v>40821</c:v>
                </c:pt>
                <c:pt idx="650">
                  <c:v>40822</c:v>
                </c:pt>
                <c:pt idx="651">
                  <c:v>40823</c:v>
                </c:pt>
                <c:pt idx="652">
                  <c:v>40826</c:v>
                </c:pt>
                <c:pt idx="653">
                  <c:v>40827</c:v>
                </c:pt>
                <c:pt idx="654">
                  <c:v>40828</c:v>
                </c:pt>
                <c:pt idx="655">
                  <c:v>40829</c:v>
                </c:pt>
                <c:pt idx="656">
                  <c:v>40830</c:v>
                </c:pt>
                <c:pt idx="657">
                  <c:v>40833</c:v>
                </c:pt>
                <c:pt idx="658">
                  <c:v>40834</c:v>
                </c:pt>
                <c:pt idx="659">
                  <c:v>40835</c:v>
                </c:pt>
                <c:pt idx="660">
                  <c:v>40836</c:v>
                </c:pt>
                <c:pt idx="661">
                  <c:v>40837</c:v>
                </c:pt>
                <c:pt idx="662">
                  <c:v>40841</c:v>
                </c:pt>
                <c:pt idx="663">
                  <c:v>40842</c:v>
                </c:pt>
                <c:pt idx="664">
                  <c:v>40843</c:v>
                </c:pt>
                <c:pt idx="665">
                  <c:v>40844</c:v>
                </c:pt>
                <c:pt idx="666">
                  <c:v>40847</c:v>
                </c:pt>
                <c:pt idx="667">
                  <c:v>40848</c:v>
                </c:pt>
                <c:pt idx="668">
                  <c:v>40849</c:v>
                </c:pt>
                <c:pt idx="669">
                  <c:v>40850</c:v>
                </c:pt>
                <c:pt idx="670">
                  <c:v>40851</c:v>
                </c:pt>
                <c:pt idx="671">
                  <c:v>40854</c:v>
                </c:pt>
                <c:pt idx="672">
                  <c:v>40855</c:v>
                </c:pt>
                <c:pt idx="673">
                  <c:v>40856</c:v>
                </c:pt>
                <c:pt idx="674">
                  <c:v>40857</c:v>
                </c:pt>
                <c:pt idx="675">
                  <c:v>40858</c:v>
                </c:pt>
                <c:pt idx="676">
                  <c:v>40861</c:v>
                </c:pt>
                <c:pt idx="677">
                  <c:v>40862</c:v>
                </c:pt>
                <c:pt idx="678">
                  <c:v>40863</c:v>
                </c:pt>
                <c:pt idx="679">
                  <c:v>40864</c:v>
                </c:pt>
                <c:pt idx="680">
                  <c:v>40865</c:v>
                </c:pt>
                <c:pt idx="681">
                  <c:v>40868</c:v>
                </c:pt>
                <c:pt idx="682">
                  <c:v>40869</c:v>
                </c:pt>
                <c:pt idx="683">
                  <c:v>40870</c:v>
                </c:pt>
                <c:pt idx="684">
                  <c:v>40871</c:v>
                </c:pt>
                <c:pt idx="685">
                  <c:v>40872</c:v>
                </c:pt>
                <c:pt idx="686">
                  <c:v>40875</c:v>
                </c:pt>
                <c:pt idx="687">
                  <c:v>40876</c:v>
                </c:pt>
                <c:pt idx="688">
                  <c:v>40877</c:v>
                </c:pt>
                <c:pt idx="689">
                  <c:v>40878</c:v>
                </c:pt>
                <c:pt idx="690">
                  <c:v>40879</c:v>
                </c:pt>
                <c:pt idx="691">
                  <c:v>40882</c:v>
                </c:pt>
                <c:pt idx="692">
                  <c:v>40883</c:v>
                </c:pt>
                <c:pt idx="693">
                  <c:v>40884</c:v>
                </c:pt>
                <c:pt idx="694">
                  <c:v>40885</c:v>
                </c:pt>
                <c:pt idx="695">
                  <c:v>40886</c:v>
                </c:pt>
                <c:pt idx="696">
                  <c:v>40889</c:v>
                </c:pt>
                <c:pt idx="697">
                  <c:v>40890</c:v>
                </c:pt>
                <c:pt idx="698">
                  <c:v>40891</c:v>
                </c:pt>
                <c:pt idx="699">
                  <c:v>40892</c:v>
                </c:pt>
                <c:pt idx="700">
                  <c:v>40893</c:v>
                </c:pt>
                <c:pt idx="701">
                  <c:v>40896</c:v>
                </c:pt>
                <c:pt idx="702">
                  <c:v>40897</c:v>
                </c:pt>
                <c:pt idx="703">
                  <c:v>40898</c:v>
                </c:pt>
                <c:pt idx="704">
                  <c:v>40899</c:v>
                </c:pt>
                <c:pt idx="705">
                  <c:v>40900</c:v>
                </c:pt>
                <c:pt idx="706">
                  <c:v>40905</c:v>
                </c:pt>
                <c:pt idx="707">
                  <c:v>40906</c:v>
                </c:pt>
                <c:pt idx="708">
                  <c:v>40907</c:v>
                </c:pt>
                <c:pt idx="709">
                  <c:v>40912</c:v>
                </c:pt>
                <c:pt idx="710">
                  <c:v>40913</c:v>
                </c:pt>
                <c:pt idx="711">
                  <c:v>40914</c:v>
                </c:pt>
                <c:pt idx="712">
                  <c:v>40917</c:v>
                </c:pt>
                <c:pt idx="713">
                  <c:v>40918</c:v>
                </c:pt>
                <c:pt idx="714">
                  <c:v>40919</c:v>
                </c:pt>
                <c:pt idx="715">
                  <c:v>40920</c:v>
                </c:pt>
                <c:pt idx="716">
                  <c:v>40921</c:v>
                </c:pt>
                <c:pt idx="717">
                  <c:v>40924</c:v>
                </c:pt>
                <c:pt idx="718">
                  <c:v>40925</c:v>
                </c:pt>
                <c:pt idx="719">
                  <c:v>40926</c:v>
                </c:pt>
                <c:pt idx="720">
                  <c:v>40927</c:v>
                </c:pt>
                <c:pt idx="721">
                  <c:v>40928</c:v>
                </c:pt>
                <c:pt idx="722">
                  <c:v>40932</c:v>
                </c:pt>
                <c:pt idx="723">
                  <c:v>40933</c:v>
                </c:pt>
                <c:pt idx="724">
                  <c:v>40934</c:v>
                </c:pt>
                <c:pt idx="725">
                  <c:v>40935</c:v>
                </c:pt>
                <c:pt idx="726">
                  <c:v>40939</c:v>
                </c:pt>
                <c:pt idx="727">
                  <c:v>40940</c:v>
                </c:pt>
                <c:pt idx="728">
                  <c:v>40941</c:v>
                </c:pt>
                <c:pt idx="729">
                  <c:v>40942</c:v>
                </c:pt>
                <c:pt idx="730">
                  <c:v>40946</c:v>
                </c:pt>
                <c:pt idx="731">
                  <c:v>40947</c:v>
                </c:pt>
                <c:pt idx="732">
                  <c:v>40948</c:v>
                </c:pt>
                <c:pt idx="733">
                  <c:v>40949</c:v>
                </c:pt>
                <c:pt idx="734">
                  <c:v>40952</c:v>
                </c:pt>
                <c:pt idx="735">
                  <c:v>40953</c:v>
                </c:pt>
                <c:pt idx="736">
                  <c:v>40954</c:v>
                </c:pt>
                <c:pt idx="737">
                  <c:v>40955</c:v>
                </c:pt>
                <c:pt idx="738">
                  <c:v>40956</c:v>
                </c:pt>
                <c:pt idx="739">
                  <c:v>40959</c:v>
                </c:pt>
                <c:pt idx="740">
                  <c:v>40960</c:v>
                </c:pt>
                <c:pt idx="741">
                  <c:v>40961</c:v>
                </c:pt>
                <c:pt idx="742">
                  <c:v>40962</c:v>
                </c:pt>
                <c:pt idx="743">
                  <c:v>40963</c:v>
                </c:pt>
                <c:pt idx="744">
                  <c:v>40966</c:v>
                </c:pt>
                <c:pt idx="745">
                  <c:v>40967</c:v>
                </c:pt>
                <c:pt idx="746">
                  <c:v>40968</c:v>
                </c:pt>
                <c:pt idx="747">
                  <c:v>40969</c:v>
                </c:pt>
                <c:pt idx="748">
                  <c:v>40970</c:v>
                </c:pt>
                <c:pt idx="749">
                  <c:v>40973</c:v>
                </c:pt>
                <c:pt idx="750">
                  <c:v>40974</c:v>
                </c:pt>
                <c:pt idx="751">
                  <c:v>40975</c:v>
                </c:pt>
                <c:pt idx="752">
                  <c:v>40976</c:v>
                </c:pt>
                <c:pt idx="753">
                  <c:v>40977</c:v>
                </c:pt>
                <c:pt idx="754">
                  <c:v>40980</c:v>
                </c:pt>
                <c:pt idx="755">
                  <c:v>40981</c:v>
                </c:pt>
                <c:pt idx="756">
                  <c:v>40982</c:v>
                </c:pt>
                <c:pt idx="757">
                  <c:v>40983</c:v>
                </c:pt>
                <c:pt idx="758">
                  <c:v>40984</c:v>
                </c:pt>
                <c:pt idx="759">
                  <c:v>40987</c:v>
                </c:pt>
                <c:pt idx="760">
                  <c:v>40988</c:v>
                </c:pt>
                <c:pt idx="761">
                  <c:v>40989</c:v>
                </c:pt>
                <c:pt idx="762">
                  <c:v>40990</c:v>
                </c:pt>
                <c:pt idx="763">
                  <c:v>40991</c:v>
                </c:pt>
                <c:pt idx="764">
                  <c:v>40994</c:v>
                </c:pt>
                <c:pt idx="765">
                  <c:v>40995</c:v>
                </c:pt>
                <c:pt idx="766">
                  <c:v>40996</c:v>
                </c:pt>
                <c:pt idx="767">
                  <c:v>40997</c:v>
                </c:pt>
                <c:pt idx="768">
                  <c:v>40998</c:v>
                </c:pt>
                <c:pt idx="769">
                  <c:v>41001</c:v>
                </c:pt>
                <c:pt idx="770">
                  <c:v>41002</c:v>
                </c:pt>
                <c:pt idx="771">
                  <c:v>41003</c:v>
                </c:pt>
                <c:pt idx="772">
                  <c:v>41004</c:v>
                </c:pt>
                <c:pt idx="773">
                  <c:v>41009</c:v>
                </c:pt>
                <c:pt idx="774">
                  <c:v>41010</c:v>
                </c:pt>
                <c:pt idx="775">
                  <c:v>41011</c:v>
                </c:pt>
                <c:pt idx="776">
                  <c:v>41012</c:v>
                </c:pt>
                <c:pt idx="777">
                  <c:v>41015</c:v>
                </c:pt>
                <c:pt idx="778">
                  <c:v>41016</c:v>
                </c:pt>
                <c:pt idx="779">
                  <c:v>41017</c:v>
                </c:pt>
                <c:pt idx="780">
                  <c:v>41018</c:v>
                </c:pt>
                <c:pt idx="781">
                  <c:v>41019</c:v>
                </c:pt>
                <c:pt idx="782">
                  <c:v>41022</c:v>
                </c:pt>
                <c:pt idx="783">
                  <c:v>41023</c:v>
                </c:pt>
                <c:pt idx="784">
                  <c:v>41025</c:v>
                </c:pt>
                <c:pt idx="785">
                  <c:v>41026</c:v>
                </c:pt>
                <c:pt idx="786">
                  <c:v>41029</c:v>
                </c:pt>
                <c:pt idx="787">
                  <c:v>41030</c:v>
                </c:pt>
                <c:pt idx="788">
                  <c:v>41031</c:v>
                </c:pt>
                <c:pt idx="789">
                  <c:v>41032</c:v>
                </c:pt>
                <c:pt idx="790">
                  <c:v>41033</c:v>
                </c:pt>
                <c:pt idx="791">
                  <c:v>41036</c:v>
                </c:pt>
                <c:pt idx="792">
                  <c:v>41037</c:v>
                </c:pt>
                <c:pt idx="793">
                  <c:v>41038</c:v>
                </c:pt>
                <c:pt idx="794">
                  <c:v>41039</c:v>
                </c:pt>
                <c:pt idx="795">
                  <c:v>41040</c:v>
                </c:pt>
                <c:pt idx="796">
                  <c:v>41043</c:v>
                </c:pt>
                <c:pt idx="797">
                  <c:v>41044</c:v>
                </c:pt>
                <c:pt idx="798">
                  <c:v>41045</c:v>
                </c:pt>
                <c:pt idx="799">
                  <c:v>41046</c:v>
                </c:pt>
                <c:pt idx="800">
                  <c:v>41047</c:v>
                </c:pt>
                <c:pt idx="801">
                  <c:v>41050</c:v>
                </c:pt>
                <c:pt idx="802">
                  <c:v>41051</c:v>
                </c:pt>
                <c:pt idx="803">
                  <c:v>41052</c:v>
                </c:pt>
                <c:pt idx="804">
                  <c:v>41053</c:v>
                </c:pt>
                <c:pt idx="805">
                  <c:v>41054</c:v>
                </c:pt>
                <c:pt idx="806">
                  <c:v>41057</c:v>
                </c:pt>
                <c:pt idx="807">
                  <c:v>41058</c:v>
                </c:pt>
                <c:pt idx="808">
                  <c:v>41059</c:v>
                </c:pt>
                <c:pt idx="809">
                  <c:v>41060</c:v>
                </c:pt>
                <c:pt idx="810">
                  <c:v>41061</c:v>
                </c:pt>
                <c:pt idx="811">
                  <c:v>41065</c:v>
                </c:pt>
                <c:pt idx="812">
                  <c:v>41066</c:v>
                </c:pt>
                <c:pt idx="813">
                  <c:v>41067</c:v>
                </c:pt>
                <c:pt idx="814">
                  <c:v>41068</c:v>
                </c:pt>
                <c:pt idx="815">
                  <c:v>41071</c:v>
                </c:pt>
                <c:pt idx="816">
                  <c:v>41072</c:v>
                </c:pt>
                <c:pt idx="817">
                  <c:v>41073</c:v>
                </c:pt>
                <c:pt idx="818">
                  <c:v>41074</c:v>
                </c:pt>
                <c:pt idx="819">
                  <c:v>41075</c:v>
                </c:pt>
                <c:pt idx="820">
                  <c:v>41078</c:v>
                </c:pt>
                <c:pt idx="821">
                  <c:v>41079</c:v>
                </c:pt>
                <c:pt idx="822">
                  <c:v>41080</c:v>
                </c:pt>
                <c:pt idx="823">
                  <c:v>41081</c:v>
                </c:pt>
                <c:pt idx="824">
                  <c:v>41082</c:v>
                </c:pt>
                <c:pt idx="825">
                  <c:v>41085</c:v>
                </c:pt>
                <c:pt idx="826">
                  <c:v>41086</c:v>
                </c:pt>
                <c:pt idx="827">
                  <c:v>41087</c:v>
                </c:pt>
                <c:pt idx="828">
                  <c:v>41088</c:v>
                </c:pt>
                <c:pt idx="829">
                  <c:v>41089</c:v>
                </c:pt>
                <c:pt idx="830">
                  <c:v>41092</c:v>
                </c:pt>
                <c:pt idx="831">
                  <c:v>41093</c:v>
                </c:pt>
                <c:pt idx="832">
                  <c:v>41094</c:v>
                </c:pt>
                <c:pt idx="833">
                  <c:v>41095</c:v>
                </c:pt>
                <c:pt idx="834">
                  <c:v>41096</c:v>
                </c:pt>
                <c:pt idx="835">
                  <c:v>41099</c:v>
                </c:pt>
                <c:pt idx="836">
                  <c:v>41100</c:v>
                </c:pt>
                <c:pt idx="837">
                  <c:v>41101</c:v>
                </c:pt>
                <c:pt idx="838">
                  <c:v>41102</c:v>
                </c:pt>
                <c:pt idx="839">
                  <c:v>41103</c:v>
                </c:pt>
                <c:pt idx="840">
                  <c:v>41106</c:v>
                </c:pt>
                <c:pt idx="841">
                  <c:v>41107</c:v>
                </c:pt>
                <c:pt idx="842">
                  <c:v>41108</c:v>
                </c:pt>
                <c:pt idx="843">
                  <c:v>41109</c:v>
                </c:pt>
                <c:pt idx="844">
                  <c:v>41110</c:v>
                </c:pt>
                <c:pt idx="845">
                  <c:v>41113</c:v>
                </c:pt>
                <c:pt idx="846">
                  <c:v>41114</c:v>
                </c:pt>
                <c:pt idx="847">
                  <c:v>41115</c:v>
                </c:pt>
                <c:pt idx="848">
                  <c:v>41116</c:v>
                </c:pt>
                <c:pt idx="849">
                  <c:v>41117</c:v>
                </c:pt>
                <c:pt idx="850">
                  <c:v>41120</c:v>
                </c:pt>
                <c:pt idx="851">
                  <c:v>41121</c:v>
                </c:pt>
                <c:pt idx="852">
                  <c:v>41122</c:v>
                </c:pt>
                <c:pt idx="853">
                  <c:v>41123</c:v>
                </c:pt>
                <c:pt idx="854">
                  <c:v>41124</c:v>
                </c:pt>
                <c:pt idx="855">
                  <c:v>41127</c:v>
                </c:pt>
                <c:pt idx="856">
                  <c:v>41128</c:v>
                </c:pt>
                <c:pt idx="857">
                  <c:v>41129</c:v>
                </c:pt>
                <c:pt idx="858">
                  <c:v>41130</c:v>
                </c:pt>
                <c:pt idx="859">
                  <c:v>41131</c:v>
                </c:pt>
                <c:pt idx="860">
                  <c:v>41134</c:v>
                </c:pt>
                <c:pt idx="861">
                  <c:v>41135</c:v>
                </c:pt>
                <c:pt idx="862">
                  <c:v>41136</c:v>
                </c:pt>
                <c:pt idx="863">
                  <c:v>41137</c:v>
                </c:pt>
                <c:pt idx="864">
                  <c:v>41138</c:v>
                </c:pt>
                <c:pt idx="865">
                  <c:v>41141</c:v>
                </c:pt>
                <c:pt idx="866">
                  <c:v>41142</c:v>
                </c:pt>
                <c:pt idx="867">
                  <c:v>41143</c:v>
                </c:pt>
                <c:pt idx="868">
                  <c:v>41144</c:v>
                </c:pt>
                <c:pt idx="869">
                  <c:v>41145</c:v>
                </c:pt>
                <c:pt idx="870">
                  <c:v>41148</c:v>
                </c:pt>
                <c:pt idx="871">
                  <c:v>41149</c:v>
                </c:pt>
                <c:pt idx="872">
                  <c:v>41150</c:v>
                </c:pt>
                <c:pt idx="873">
                  <c:v>41151</c:v>
                </c:pt>
                <c:pt idx="874">
                  <c:v>41152</c:v>
                </c:pt>
                <c:pt idx="875">
                  <c:v>41155</c:v>
                </c:pt>
                <c:pt idx="876">
                  <c:v>41156</c:v>
                </c:pt>
                <c:pt idx="877">
                  <c:v>41157</c:v>
                </c:pt>
                <c:pt idx="878">
                  <c:v>41158</c:v>
                </c:pt>
                <c:pt idx="879">
                  <c:v>41159</c:v>
                </c:pt>
                <c:pt idx="880">
                  <c:v>41162</c:v>
                </c:pt>
                <c:pt idx="881">
                  <c:v>41163</c:v>
                </c:pt>
                <c:pt idx="882">
                  <c:v>41164</c:v>
                </c:pt>
                <c:pt idx="883">
                  <c:v>41165</c:v>
                </c:pt>
                <c:pt idx="884">
                  <c:v>41166</c:v>
                </c:pt>
                <c:pt idx="885">
                  <c:v>41169</c:v>
                </c:pt>
                <c:pt idx="886">
                  <c:v>41170</c:v>
                </c:pt>
                <c:pt idx="887">
                  <c:v>41171</c:v>
                </c:pt>
                <c:pt idx="888">
                  <c:v>41172</c:v>
                </c:pt>
                <c:pt idx="889">
                  <c:v>41173</c:v>
                </c:pt>
                <c:pt idx="890">
                  <c:v>41176</c:v>
                </c:pt>
                <c:pt idx="891">
                  <c:v>41177</c:v>
                </c:pt>
                <c:pt idx="892">
                  <c:v>41178</c:v>
                </c:pt>
                <c:pt idx="893">
                  <c:v>41179</c:v>
                </c:pt>
                <c:pt idx="894">
                  <c:v>41180</c:v>
                </c:pt>
                <c:pt idx="895">
                  <c:v>41183</c:v>
                </c:pt>
                <c:pt idx="896">
                  <c:v>41184</c:v>
                </c:pt>
                <c:pt idx="897">
                  <c:v>41185</c:v>
                </c:pt>
                <c:pt idx="898">
                  <c:v>41186</c:v>
                </c:pt>
                <c:pt idx="899">
                  <c:v>41187</c:v>
                </c:pt>
                <c:pt idx="900">
                  <c:v>41190</c:v>
                </c:pt>
                <c:pt idx="901">
                  <c:v>41191</c:v>
                </c:pt>
                <c:pt idx="902">
                  <c:v>41192</c:v>
                </c:pt>
                <c:pt idx="903">
                  <c:v>41193</c:v>
                </c:pt>
                <c:pt idx="904">
                  <c:v>41194</c:v>
                </c:pt>
                <c:pt idx="905">
                  <c:v>41197</c:v>
                </c:pt>
                <c:pt idx="906">
                  <c:v>41198</c:v>
                </c:pt>
                <c:pt idx="907">
                  <c:v>41199</c:v>
                </c:pt>
                <c:pt idx="908">
                  <c:v>41200</c:v>
                </c:pt>
                <c:pt idx="909">
                  <c:v>41201</c:v>
                </c:pt>
                <c:pt idx="910">
                  <c:v>41205</c:v>
                </c:pt>
                <c:pt idx="911">
                  <c:v>41206</c:v>
                </c:pt>
                <c:pt idx="912">
                  <c:v>41207</c:v>
                </c:pt>
                <c:pt idx="913">
                  <c:v>41208</c:v>
                </c:pt>
                <c:pt idx="914">
                  <c:v>41211</c:v>
                </c:pt>
                <c:pt idx="915">
                  <c:v>41212</c:v>
                </c:pt>
                <c:pt idx="916">
                  <c:v>41213</c:v>
                </c:pt>
                <c:pt idx="917">
                  <c:v>41214</c:v>
                </c:pt>
                <c:pt idx="918">
                  <c:v>41215</c:v>
                </c:pt>
                <c:pt idx="919">
                  <c:v>41218</c:v>
                </c:pt>
                <c:pt idx="920">
                  <c:v>41219</c:v>
                </c:pt>
                <c:pt idx="921">
                  <c:v>41220</c:v>
                </c:pt>
                <c:pt idx="922">
                  <c:v>41221</c:v>
                </c:pt>
                <c:pt idx="923">
                  <c:v>41222</c:v>
                </c:pt>
                <c:pt idx="924">
                  <c:v>41225</c:v>
                </c:pt>
                <c:pt idx="925">
                  <c:v>41226</c:v>
                </c:pt>
                <c:pt idx="926">
                  <c:v>41227</c:v>
                </c:pt>
                <c:pt idx="927">
                  <c:v>41228</c:v>
                </c:pt>
                <c:pt idx="928">
                  <c:v>41229</c:v>
                </c:pt>
                <c:pt idx="929">
                  <c:v>41232</c:v>
                </c:pt>
                <c:pt idx="930">
                  <c:v>41233</c:v>
                </c:pt>
                <c:pt idx="931">
                  <c:v>41234</c:v>
                </c:pt>
                <c:pt idx="932">
                  <c:v>41235</c:v>
                </c:pt>
                <c:pt idx="933">
                  <c:v>41236</c:v>
                </c:pt>
                <c:pt idx="934">
                  <c:v>41239</c:v>
                </c:pt>
                <c:pt idx="935">
                  <c:v>41240</c:v>
                </c:pt>
                <c:pt idx="936">
                  <c:v>41241</c:v>
                </c:pt>
                <c:pt idx="937">
                  <c:v>41242</c:v>
                </c:pt>
                <c:pt idx="938">
                  <c:v>41243</c:v>
                </c:pt>
                <c:pt idx="939">
                  <c:v>41246</c:v>
                </c:pt>
                <c:pt idx="940">
                  <c:v>41247</c:v>
                </c:pt>
                <c:pt idx="941">
                  <c:v>41248</c:v>
                </c:pt>
                <c:pt idx="942">
                  <c:v>41249</c:v>
                </c:pt>
                <c:pt idx="943">
                  <c:v>41250</c:v>
                </c:pt>
                <c:pt idx="944">
                  <c:v>41253</c:v>
                </c:pt>
                <c:pt idx="945">
                  <c:v>41254</c:v>
                </c:pt>
                <c:pt idx="946">
                  <c:v>41255</c:v>
                </c:pt>
                <c:pt idx="947">
                  <c:v>41256</c:v>
                </c:pt>
                <c:pt idx="948">
                  <c:v>41257</c:v>
                </c:pt>
                <c:pt idx="949">
                  <c:v>41260</c:v>
                </c:pt>
                <c:pt idx="950">
                  <c:v>41261</c:v>
                </c:pt>
                <c:pt idx="951">
                  <c:v>41262</c:v>
                </c:pt>
                <c:pt idx="952">
                  <c:v>41263</c:v>
                </c:pt>
                <c:pt idx="953">
                  <c:v>41264</c:v>
                </c:pt>
                <c:pt idx="954">
                  <c:v>41267</c:v>
                </c:pt>
                <c:pt idx="955">
                  <c:v>41268</c:v>
                </c:pt>
                <c:pt idx="956">
                  <c:v>41269</c:v>
                </c:pt>
                <c:pt idx="957">
                  <c:v>41270</c:v>
                </c:pt>
                <c:pt idx="958">
                  <c:v>41271</c:v>
                </c:pt>
                <c:pt idx="959">
                  <c:v>41274</c:v>
                </c:pt>
                <c:pt idx="960">
                  <c:v>41275</c:v>
                </c:pt>
                <c:pt idx="961">
                  <c:v>41276</c:v>
                </c:pt>
                <c:pt idx="962">
                  <c:v>41277</c:v>
                </c:pt>
                <c:pt idx="963">
                  <c:v>41278</c:v>
                </c:pt>
                <c:pt idx="964">
                  <c:v>41281</c:v>
                </c:pt>
                <c:pt idx="965">
                  <c:v>41282</c:v>
                </c:pt>
                <c:pt idx="966">
                  <c:v>41283</c:v>
                </c:pt>
                <c:pt idx="967">
                  <c:v>41284</c:v>
                </c:pt>
                <c:pt idx="968">
                  <c:v>41285</c:v>
                </c:pt>
                <c:pt idx="969">
                  <c:v>41288</c:v>
                </c:pt>
                <c:pt idx="970">
                  <c:v>41289</c:v>
                </c:pt>
                <c:pt idx="971">
                  <c:v>41290</c:v>
                </c:pt>
                <c:pt idx="972">
                  <c:v>41291</c:v>
                </c:pt>
                <c:pt idx="973">
                  <c:v>41292</c:v>
                </c:pt>
                <c:pt idx="974">
                  <c:v>41295</c:v>
                </c:pt>
                <c:pt idx="975">
                  <c:v>41296</c:v>
                </c:pt>
                <c:pt idx="976">
                  <c:v>41297</c:v>
                </c:pt>
                <c:pt idx="977">
                  <c:v>41298</c:v>
                </c:pt>
                <c:pt idx="978">
                  <c:v>41299</c:v>
                </c:pt>
                <c:pt idx="979">
                  <c:v>41303</c:v>
                </c:pt>
                <c:pt idx="980">
                  <c:v>41304</c:v>
                </c:pt>
                <c:pt idx="981">
                  <c:v>41305</c:v>
                </c:pt>
                <c:pt idx="982">
                  <c:v>41306</c:v>
                </c:pt>
                <c:pt idx="983">
                  <c:v>41309</c:v>
                </c:pt>
                <c:pt idx="984">
                  <c:v>41310</c:v>
                </c:pt>
                <c:pt idx="985">
                  <c:v>41311</c:v>
                </c:pt>
                <c:pt idx="986">
                  <c:v>41312</c:v>
                </c:pt>
                <c:pt idx="987">
                  <c:v>41313</c:v>
                </c:pt>
                <c:pt idx="988">
                  <c:v>41316</c:v>
                </c:pt>
                <c:pt idx="989">
                  <c:v>41317</c:v>
                </c:pt>
                <c:pt idx="990">
                  <c:v>41318</c:v>
                </c:pt>
                <c:pt idx="991">
                  <c:v>41319</c:v>
                </c:pt>
                <c:pt idx="992">
                  <c:v>41320</c:v>
                </c:pt>
                <c:pt idx="993">
                  <c:v>41323</c:v>
                </c:pt>
                <c:pt idx="994">
                  <c:v>41324</c:v>
                </c:pt>
                <c:pt idx="995">
                  <c:v>41325</c:v>
                </c:pt>
                <c:pt idx="996">
                  <c:v>41326</c:v>
                </c:pt>
                <c:pt idx="997">
                  <c:v>41327</c:v>
                </c:pt>
                <c:pt idx="998">
                  <c:v>41330</c:v>
                </c:pt>
                <c:pt idx="999">
                  <c:v>41331</c:v>
                </c:pt>
                <c:pt idx="1000">
                  <c:v>41332</c:v>
                </c:pt>
                <c:pt idx="1001">
                  <c:v>41333</c:v>
                </c:pt>
                <c:pt idx="1002">
                  <c:v>41334</c:v>
                </c:pt>
                <c:pt idx="1003">
                  <c:v>41337</c:v>
                </c:pt>
                <c:pt idx="1004">
                  <c:v>41338</c:v>
                </c:pt>
                <c:pt idx="1005">
                  <c:v>41339</c:v>
                </c:pt>
                <c:pt idx="1006">
                  <c:v>41340</c:v>
                </c:pt>
                <c:pt idx="1007">
                  <c:v>41341</c:v>
                </c:pt>
                <c:pt idx="1008">
                  <c:v>41344</c:v>
                </c:pt>
                <c:pt idx="1009">
                  <c:v>41345</c:v>
                </c:pt>
                <c:pt idx="1010">
                  <c:v>41346</c:v>
                </c:pt>
                <c:pt idx="1011">
                  <c:v>41347</c:v>
                </c:pt>
                <c:pt idx="1012">
                  <c:v>41348</c:v>
                </c:pt>
                <c:pt idx="1013">
                  <c:v>41351</c:v>
                </c:pt>
                <c:pt idx="1014">
                  <c:v>41352</c:v>
                </c:pt>
                <c:pt idx="1015">
                  <c:v>41353</c:v>
                </c:pt>
                <c:pt idx="1016">
                  <c:v>41354</c:v>
                </c:pt>
                <c:pt idx="1017">
                  <c:v>41355</c:v>
                </c:pt>
                <c:pt idx="1018">
                  <c:v>41358</c:v>
                </c:pt>
                <c:pt idx="1019">
                  <c:v>41359</c:v>
                </c:pt>
                <c:pt idx="1020">
                  <c:v>41360</c:v>
                </c:pt>
                <c:pt idx="1021">
                  <c:v>41361</c:v>
                </c:pt>
                <c:pt idx="1022">
                  <c:v>41362</c:v>
                </c:pt>
                <c:pt idx="1023">
                  <c:v>41365</c:v>
                </c:pt>
                <c:pt idx="1024">
                  <c:v>41366</c:v>
                </c:pt>
                <c:pt idx="1025">
                  <c:v>41367</c:v>
                </c:pt>
                <c:pt idx="1026">
                  <c:v>41368</c:v>
                </c:pt>
                <c:pt idx="1027">
                  <c:v>41369</c:v>
                </c:pt>
                <c:pt idx="1028">
                  <c:v>41372</c:v>
                </c:pt>
                <c:pt idx="1029">
                  <c:v>41373</c:v>
                </c:pt>
                <c:pt idx="1030">
                  <c:v>41374</c:v>
                </c:pt>
                <c:pt idx="1031">
                  <c:v>41375</c:v>
                </c:pt>
                <c:pt idx="1032">
                  <c:v>41376</c:v>
                </c:pt>
                <c:pt idx="1033">
                  <c:v>41379</c:v>
                </c:pt>
                <c:pt idx="1034">
                  <c:v>41380</c:v>
                </c:pt>
                <c:pt idx="1035">
                  <c:v>41381</c:v>
                </c:pt>
                <c:pt idx="1036">
                  <c:v>41382</c:v>
                </c:pt>
                <c:pt idx="1037">
                  <c:v>41383</c:v>
                </c:pt>
                <c:pt idx="1038">
                  <c:v>41386</c:v>
                </c:pt>
                <c:pt idx="1039">
                  <c:v>41387</c:v>
                </c:pt>
                <c:pt idx="1040">
                  <c:v>41388</c:v>
                </c:pt>
                <c:pt idx="1041">
                  <c:v>41389</c:v>
                </c:pt>
                <c:pt idx="1042">
                  <c:v>41390</c:v>
                </c:pt>
                <c:pt idx="1043">
                  <c:v>41393</c:v>
                </c:pt>
                <c:pt idx="1044">
                  <c:v>41394</c:v>
                </c:pt>
                <c:pt idx="1045">
                  <c:v>41395</c:v>
                </c:pt>
                <c:pt idx="1046">
                  <c:v>41396</c:v>
                </c:pt>
                <c:pt idx="1047">
                  <c:v>41397</c:v>
                </c:pt>
                <c:pt idx="1048">
                  <c:v>41400</c:v>
                </c:pt>
                <c:pt idx="1049">
                  <c:v>41401</c:v>
                </c:pt>
                <c:pt idx="1050">
                  <c:v>41402</c:v>
                </c:pt>
                <c:pt idx="1051">
                  <c:v>41403</c:v>
                </c:pt>
                <c:pt idx="1052">
                  <c:v>41404</c:v>
                </c:pt>
                <c:pt idx="1053">
                  <c:v>41407</c:v>
                </c:pt>
                <c:pt idx="1054">
                  <c:v>41408</c:v>
                </c:pt>
                <c:pt idx="1055">
                  <c:v>41409</c:v>
                </c:pt>
                <c:pt idx="1056">
                  <c:v>41410</c:v>
                </c:pt>
                <c:pt idx="1057">
                  <c:v>41411</c:v>
                </c:pt>
                <c:pt idx="1058">
                  <c:v>41414</c:v>
                </c:pt>
                <c:pt idx="1059">
                  <c:v>41415</c:v>
                </c:pt>
                <c:pt idx="1060">
                  <c:v>41416</c:v>
                </c:pt>
                <c:pt idx="1061">
                  <c:v>41417</c:v>
                </c:pt>
                <c:pt idx="1062">
                  <c:v>41418</c:v>
                </c:pt>
                <c:pt idx="1063">
                  <c:v>41421</c:v>
                </c:pt>
                <c:pt idx="1064">
                  <c:v>41422</c:v>
                </c:pt>
                <c:pt idx="1065">
                  <c:v>41423</c:v>
                </c:pt>
                <c:pt idx="1066">
                  <c:v>41424</c:v>
                </c:pt>
                <c:pt idx="1067">
                  <c:v>41425</c:v>
                </c:pt>
                <c:pt idx="1068">
                  <c:v>41428</c:v>
                </c:pt>
                <c:pt idx="1069">
                  <c:v>41429</c:v>
                </c:pt>
                <c:pt idx="1070">
                  <c:v>41430</c:v>
                </c:pt>
                <c:pt idx="1071">
                  <c:v>41431</c:v>
                </c:pt>
                <c:pt idx="1072">
                  <c:v>41432</c:v>
                </c:pt>
                <c:pt idx="1073">
                  <c:v>41435</c:v>
                </c:pt>
                <c:pt idx="1074">
                  <c:v>41436</c:v>
                </c:pt>
                <c:pt idx="1075">
                  <c:v>41437</c:v>
                </c:pt>
                <c:pt idx="1076">
                  <c:v>41438</c:v>
                </c:pt>
                <c:pt idx="1077">
                  <c:v>41439</c:v>
                </c:pt>
                <c:pt idx="1078">
                  <c:v>41442</c:v>
                </c:pt>
                <c:pt idx="1079">
                  <c:v>41443</c:v>
                </c:pt>
                <c:pt idx="1080">
                  <c:v>41444</c:v>
                </c:pt>
                <c:pt idx="1081">
                  <c:v>41445</c:v>
                </c:pt>
                <c:pt idx="1082">
                  <c:v>41446</c:v>
                </c:pt>
                <c:pt idx="1083">
                  <c:v>41449</c:v>
                </c:pt>
                <c:pt idx="1084">
                  <c:v>41450</c:v>
                </c:pt>
                <c:pt idx="1085">
                  <c:v>41451</c:v>
                </c:pt>
                <c:pt idx="1086">
                  <c:v>41452</c:v>
                </c:pt>
                <c:pt idx="1087">
                  <c:v>41453</c:v>
                </c:pt>
                <c:pt idx="1088">
                  <c:v>41456</c:v>
                </c:pt>
                <c:pt idx="1089">
                  <c:v>41457</c:v>
                </c:pt>
                <c:pt idx="1090">
                  <c:v>41458</c:v>
                </c:pt>
                <c:pt idx="1091">
                  <c:v>41459</c:v>
                </c:pt>
                <c:pt idx="1092">
                  <c:v>41460</c:v>
                </c:pt>
                <c:pt idx="1093">
                  <c:v>41463</c:v>
                </c:pt>
                <c:pt idx="1094">
                  <c:v>41464</c:v>
                </c:pt>
                <c:pt idx="1095">
                  <c:v>41465</c:v>
                </c:pt>
                <c:pt idx="1096">
                  <c:v>41466</c:v>
                </c:pt>
                <c:pt idx="1097">
                  <c:v>41467</c:v>
                </c:pt>
                <c:pt idx="1098">
                  <c:v>41470</c:v>
                </c:pt>
                <c:pt idx="1099">
                  <c:v>41471</c:v>
                </c:pt>
                <c:pt idx="1100">
                  <c:v>41472</c:v>
                </c:pt>
                <c:pt idx="1101">
                  <c:v>41473</c:v>
                </c:pt>
                <c:pt idx="1102">
                  <c:v>41474</c:v>
                </c:pt>
                <c:pt idx="1103">
                  <c:v>41477</c:v>
                </c:pt>
                <c:pt idx="1104">
                  <c:v>41478</c:v>
                </c:pt>
                <c:pt idx="1105">
                  <c:v>41479</c:v>
                </c:pt>
                <c:pt idx="1106">
                  <c:v>41480</c:v>
                </c:pt>
                <c:pt idx="1107">
                  <c:v>41481</c:v>
                </c:pt>
                <c:pt idx="1108">
                  <c:v>41484</c:v>
                </c:pt>
                <c:pt idx="1109">
                  <c:v>41485</c:v>
                </c:pt>
                <c:pt idx="1110">
                  <c:v>41486</c:v>
                </c:pt>
                <c:pt idx="1111">
                  <c:v>41487</c:v>
                </c:pt>
                <c:pt idx="1112">
                  <c:v>41488</c:v>
                </c:pt>
                <c:pt idx="1113">
                  <c:v>41491</c:v>
                </c:pt>
                <c:pt idx="1114">
                  <c:v>41492</c:v>
                </c:pt>
                <c:pt idx="1115">
                  <c:v>41493</c:v>
                </c:pt>
                <c:pt idx="1116">
                  <c:v>41494</c:v>
                </c:pt>
                <c:pt idx="1117">
                  <c:v>41495</c:v>
                </c:pt>
                <c:pt idx="1118">
                  <c:v>41498</c:v>
                </c:pt>
                <c:pt idx="1119">
                  <c:v>41499</c:v>
                </c:pt>
                <c:pt idx="1120">
                  <c:v>41500</c:v>
                </c:pt>
                <c:pt idx="1121">
                  <c:v>41501</c:v>
                </c:pt>
                <c:pt idx="1122">
                  <c:v>41502</c:v>
                </c:pt>
                <c:pt idx="1123">
                  <c:v>41505</c:v>
                </c:pt>
                <c:pt idx="1124">
                  <c:v>41506</c:v>
                </c:pt>
                <c:pt idx="1125">
                  <c:v>41507</c:v>
                </c:pt>
                <c:pt idx="1126">
                  <c:v>41508</c:v>
                </c:pt>
                <c:pt idx="1127">
                  <c:v>41509</c:v>
                </c:pt>
                <c:pt idx="1128">
                  <c:v>41512</c:v>
                </c:pt>
                <c:pt idx="1129">
                  <c:v>41513</c:v>
                </c:pt>
                <c:pt idx="1130">
                  <c:v>41514</c:v>
                </c:pt>
                <c:pt idx="1131">
                  <c:v>41515</c:v>
                </c:pt>
                <c:pt idx="1132">
                  <c:v>41516</c:v>
                </c:pt>
                <c:pt idx="1133">
                  <c:v>41519</c:v>
                </c:pt>
                <c:pt idx="1134">
                  <c:v>41520</c:v>
                </c:pt>
                <c:pt idx="1135">
                  <c:v>41521</c:v>
                </c:pt>
                <c:pt idx="1136">
                  <c:v>41522</c:v>
                </c:pt>
                <c:pt idx="1137">
                  <c:v>41523</c:v>
                </c:pt>
                <c:pt idx="1138">
                  <c:v>41526</c:v>
                </c:pt>
                <c:pt idx="1139">
                  <c:v>41527</c:v>
                </c:pt>
                <c:pt idx="1140">
                  <c:v>41528</c:v>
                </c:pt>
                <c:pt idx="1141">
                  <c:v>41529</c:v>
                </c:pt>
                <c:pt idx="1142">
                  <c:v>41530</c:v>
                </c:pt>
                <c:pt idx="1143">
                  <c:v>41533</c:v>
                </c:pt>
                <c:pt idx="1144">
                  <c:v>41534</c:v>
                </c:pt>
                <c:pt idx="1145">
                  <c:v>41535</c:v>
                </c:pt>
                <c:pt idx="1146">
                  <c:v>41536</c:v>
                </c:pt>
                <c:pt idx="1147">
                  <c:v>41537</c:v>
                </c:pt>
                <c:pt idx="1148">
                  <c:v>41540</c:v>
                </c:pt>
                <c:pt idx="1149">
                  <c:v>41541</c:v>
                </c:pt>
                <c:pt idx="1150">
                  <c:v>41542</c:v>
                </c:pt>
                <c:pt idx="1151">
                  <c:v>41543</c:v>
                </c:pt>
                <c:pt idx="1152">
                  <c:v>41544</c:v>
                </c:pt>
                <c:pt idx="1153">
                  <c:v>41547</c:v>
                </c:pt>
                <c:pt idx="1154">
                  <c:v>41548</c:v>
                </c:pt>
                <c:pt idx="1155">
                  <c:v>41549</c:v>
                </c:pt>
                <c:pt idx="1156">
                  <c:v>41550</c:v>
                </c:pt>
                <c:pt idx="1157">
                  <c:v>41551</c:v>
                </c:pt>
                <c:pt idx="1158">
                  <c:v>41554</c:v>
                </c:pt>
                <c:pt idx="1159">
                  <c:v>41555</c:v>
                </c:pt>
                <c:pt idx="1160">
                  <c:v>41556</c:v>
                </c:pt>
                <c:pt idx="1161">
                  <c:v>41557</c:v>
                </c:pt>
                <c:pt idx="1162">
                  <c:v>41558</c:v>
                </c:pt>
                <c:pt idx="1163">
                  <c:v>41561</c:v>
                </c:pt>
                <c:pt idx="1164">
                  <c:v>41562</c:v>
                </c:pt>
                <c:pt idx="1165">
                  <c:v>41563</c:v>
                </c:pt>
                <c:pt idx="1166">
                  <c:v>41564</c:v>
                </c:pt>
                <c:pt idx="1167">
                  <c:v>41565</c:v>
                </c:pt>
                <c:pt idx="1168">
                  <c:v>41568</c:v>
                </c:pt>
                <c:pt idx="1169">
                  <c:v>41569</c:v>
                </c:pt>
                <c:pt idx="1170">
                  <c:v>41570</c:v>
                </c:pt>
                <c:pt idx="1171">
                  <c:v>41571</c:v>
                </c:pt>
                <c:pt idx="1172">
                  <c:v>41572</c:v>
                </c:pt>
                <c:pt idx="1173">
                  <c:v>41575</c:v>
                </c:pt>
                <c:pt idx="1174">
                  <c:v>41576</c:v>
                </c:pt>
                <c:pt idx="1175">
                  <c:v>41577</c:v>
                </c:pt>
                <c:pt idx="1176">
                  <c:v>41578</c:v>
                </c:pt>
                <c:pt idx="1177">
                  <c:v>41579</c:v>
                </c:pt>
                <c:pt idx="1178">
                  <c:v>41582</c:v>
                </c:pt>
                <c:pt idx="1179">
                  <c:v>41583</c:v>
                </c:pt>
                <c:pt idx="1180">
                  <c:v>41584</c:v>
                </c:pt>
                <c:pt idx="1181">
                  <c:v>41585</c:v>
                </c:pt>
                <c:pt idx="1182">
                  <c:v>41586</c:v>
                </c:pt>
                <c:pt idx="1183">
                  <c:v>41589</c:v>
                </c:pt>
                <c:pt idx="1184">
                  <c:v>41590</c:v>
                </c:pt>
                <c:pt idx="1185">
                  <c:v>41591</c:v>
                </c:pt>
                <c:pt idx="1186">
                  <c:v>41592</c:v>
                </c:pt>
                <c:pt idx="1187">
                  <c:v>41593</c:v>
                </c:pt>
                <c:pt idx="1188">
                  <c:v>41596</c:v>
                </c:pt>
                <c:pt idx="1189">
                  <c:v>41597</c:v>
                </c:pt>
                <c:pt idx="1190">
                  <c:v>41598</c:v>
                </c:pt>
                <c:pt idx="1191">
                  <c:v>41599</c:v>
                </c:pt>
                <c:pt idx="1192">
                  <c:v>41600</c:v>
                </c:pt>
                <c:pt idx="1193">
                  <c:v>41603</c:v>
                </c:pt>
                <c:pt idx="1194">
                  <c:v>41604</c:v>
                </c:pt>
                <c:pt idx="1195">
                  <c:v>41605</c:v>
                </c:pt>
                <c:pt idx="1196">
                  <c:v>41606</c:v>
                </c:pt>
                <c:pt idx="1197">
                  <c:v>41607</c:v>
                </c:pt>
                <c:pt idx="1198">
                  <c:v>41610</c:v>
                </c:pt>
                <c:pt idx="1199">
                  <c:v>41611</c:v>
                </c:pt>
                <c:pt idx="1200">
                  <c:v>41612</c:v>
                </c:pt>
                <c:pt idx="1201">
                  <c:v>41613</c:v>
                </c:pt>
                <c:pt idx="1202">
                  <c:v>41614</c:v>
                </c:pt>
                <c:pt idx="1203">
                  <c:v>41617</c:v>
                </c:pt>
                <c:pt idx="1204">
                  <c:v>41618</c:v>
                </c:pt>
                <c:pt idx="1205">
                  <c:v>41619</c:v>
                </c:pt>
                <c:pt idx="1206">
                  <c:v>41620</c:v>
                </c:pt>
                <c:pt idx="1207">
                  <c:v>41621</c:v>
                </c:pt>
                <c:pt idx="1208">
                  <c:v>41624</c:v>
                </c:pt>
                <c:pt idx="1209">
                  <c:v>41625</c:v>
                </c:pt>
                <c:pt idx="1210">
                  <c:v>41626</c:v>
                </c:pt>
                <c:pt idx="1211">
                  <c:v>41627</c:v>
                </c:pt>
                <c:pt idx="1212">
                  <c:v>41628</c:v>
                </c:pt>
                <c:pt idx="1213">
                  <c:v>41631</c:v>
                </c:pt>
                <c:pt idx="1214">
                  <c:v>41632</c:v>
                </c:pt>
                <c:pt idx="1215">
                  <c:v>41633</c:v>
                </c:pt>
                <c:pt idx="1216">
                  <c:v>41634</c:v>
                </c:pt>
                <c:pt idx="1217">
                  <c:v>41635</c:v>
                </c:pt>
                <c:pt idx="1218">
                  <c:v>41638</c:v>
                </c:pt>
                <c:pt idx="1219">
                  <c:v>41639</c:v>
                </c:pt>
                <c:pt idx="1220">
                  <c:v>41640</c:v>
                </c:pt>
                <c:pt idx="1221">
                  <c:v>41641</c:v>
                </c:pt>
                <c:pt idx="1222">
                  <c:v>41642</c:v>
                </c:pt>
                <c:pt idx="1223">
                  <c:v>41645</c:v>
                </c:pt>
                <c:pt idx="1224">
                  <c:v>41646</c:v>
                </c:pt>
                <c:pt idx="1225">
                  <c:v>41647</c:v>
                </c:pt>
                <c:pt idx="1226">
                  <c:v>41648</c:v>
                </c:pt>
                <c:pt idx="1227">
                  <c:v>41649</c:v>
                </c:pt>
                <c:pt idx="1228">
                  <c:v>41652</c:v>
                </c:pt>
                <c:pt idx="1229">
                  <c:v>41653</c:v>
                </c:pt>
                <c:pt idx="1230">
                  <c:v>41654</c:v>
                </c:pt>
                <c:pt idx="1231">
                  <c:v>41655</c:v>
                </c:pt>
                <c:pt idx="1232">
                  <c:v>41656</c:v>
                </c:pt>
                <c:pt idx="1233">
                  <c:v>41659</c:v>
                </c:pt>
                <c:pt idx="1234">
                  <c:v>41660</c:v>
                </c:pt>
                <c:pt idx="1235">
                  <c:v>41661</c:v>
                </c:pt>
                <c:pt idx="1236">
                  <c:v>41662</c:v>
                </c:pt>
                <c:pt idx="1237">
                  <c:v>41663</c:v>
                </c:pt>
                <c:pt idx="1238">
                  <c:v>41666</c:v>
                </c:pt>
                <c:pt idx="1239">
                  <c:v>41667</c:v>
                </c:pt>
                <c:pt idx="1240">
                  <c:v>41668</c:v>
                </c:pt>
                <c:pt idx="1241">
                  <c:v>41669</c:v>
                </c:pt>
                <c:pt idx="1242">
                  <c:v>41670</c:v>
                </c:pt>
                <c:pt idx="1243">
                  <c:v>41673</c:v>
                </c:pt>
                <c:pt idx="1244">
                  <c:v>41674</c:v>
                </c:pt>
                <c:pt idx="1245">
                  <c:v>41675</c:v>
                </c:pt>
                <c:pt idx="1246">
                  <c:v>41676</c:v>
                </c:pt>
                <c:pt idx="1247">
                  <c:v>41677</c:v>
                </c:pt>
                <c:pt idx="1248">
                  <c:v>41680</c:v>
                </c:pt>
                <c:pt idx="1249">
                  <c:v>41681</c:v>
                </c:pt>
                <c:pt idx="1250">
                  <c:v>41682</c:v>
                </c:pt>
                <c:pt idx="1251">
                  <c:v>41683</c:v>
                </c:pt>
                <c:pt idx="1252">
                  <c:v>41684</c:v>
                </c:pt>
                <c:pt idx="1253">
                  <c:v>41687</c:v>
                </c:pt>
                <c:pt idx="1254">
                  <c:v>41688</c:v>
                </c:pt>
                <c:pt idx="1255">
                  <c:v>41689</c:v>
                </c:pt>
                <c:pt idx="1256">
                  <c:v>41690</c:v>
                </c:pt>
                <c:pt idx="1257">
                  <c:v>41691</c:v>
                </c:pt>
                <c:pt idx="1258">
                  <c:v>41694</c:v>
                </c:pt>
                <c:pt idx="1259">
                  <c:v>41695</c:v>
                </c:pt>
                <c:pt idx="1260">
                  <c:v>41696</c:v>
                </c:pt>
                <c:pt idx="1261">
                  <c:v>41697</c:v>
                </c:pt>
                <c:pt idx="1262">
                  <c:v>41698</c:v>
                </c:pt>
                <c:pt idx="1263">
                  <c:v>41701</c:v>
                </c:pt>
                <c:pt idx="1264">
                  <c:v>41702</c:v>
                </c:pt>
                <c:pt idx="1265">
                  <c:v>41703</c:v>
                </c:pt>
                <c:pt idx="1266">
                  <c:v>41704</c:v>
                </c:pt>
                <c:pt idx="1267">
                  <c:v>41705</c:v>
                </c:pt>
                <c:pt idx="1268">
                  <c:v>41708</c:v>
                </c:pt>
                <c:pt idx="1269">
                  <c:v>41709</c:v>
                </c:pt>
                <c:pt idx="1270">
                  <c:v>41710</c:v>
                </c:pt>
                <c:pt idx="1271">
                  <c:v>41711</c:v>
                </c:pt>
                <c:pt idx="1272">
                  <c:v>41712</c:v>
                </c:pt>
                <c:pt idx="1273">
                  <c:v>41715</c:v>
                </c:pt>
                <c:pt idx="1274">
                  <c:v>41716</c:v>
                </c:pt>
                <c:pt idx="1275">
                  <c:v>41717</c:v>
                </c:pt>
                <c:pt idx="1276">
                  <c:v>41718</c:v>
                </c:pt>
                <c:pt idx="1277">
                  <c:v>41719</c:v>
                </c:pt>
                <c:pt idx="1278">
                  <c:v>41722</c:v>
                </c:pt>
                <c:pt idx="1279">
                  <c:v>41723</c:v>
                </c:pt>
                <c:pt idx="1280">
                  <c:v>41724</c:v>
                </c:pt>
                <c:pt idx="1281">
                  <c:v>41725</c:v>
                </c:pt>
                <c:pt idx="1282">
                  <c:v>41726</c:v>
                </c:pt>
                <c:pt idx="1283">
                  <c:v>41729</c:v>
                </c:pt>
                <c:pt idx="1284">
                  <c:v>41730</c:v>
                </c:pt>
                <c:pt idx="1285">
                  <c:v>41731</c:v>
                </c:pt>
                <c:pt idx="1286">
                  <c:v>41732</c:v>
                </c:pt>
                <c:pt idx="1287">
                  <c:v>41733</c:v>
                </c:pt>
                <c:pt idx="1288">
                  <c:v>41736</c:v>
                </c:pt>
                <c:pt idx="1289">
                  <c:v>41737</c:v>
                </c:pt>
                <c:pt idx="1290">
                  <c:v>41738</c:v>
                </c:pt>
                <c:pt idx="1291">
                  <c:v>41739</c:v>
                </c:pt>
                <c:pt idx="1292">
                  <c:v>41740</c:v>
                </c:pt>
                <c:pt idx="1293">
                  <c:v>41743</c:v>
                </c:pt>
                <c:pt idx="1294">
                  <c:v>41744</c:v>
                </c:pt>
                <c:pt idx="1295">
                  <c:v>41745</c:v>
                </c:pt>
                <c:pt idx="1296">
                  <c:v>41746</c:v>
                </c:pt>
                <c:pt idx="1297">
                  <c:v>41747</c:v>
                </c:pt>
                <c:pt idx="1298">
                  <c:v>41750</c:v>
                </c:pt>
                <c:pt idx="1299">
                  <c:v>41751</c:v>
                </c:pt>
                <c:pt idx="1300">
                  <c:v>41752</c:v>
                </c:pt>
                <c:pt idx="1301">
                  <c:v>41753</c:v>
                </c:pt>
                <c:pt idx="1302">
                  <c:v>41754</c:v>
                </c:pt>
                <c:pt idx="1303">
                  <c:v>41757</c:v>
                </c:pt>
                <c:pt idx="1304">
                  <c:v>41758</c:v>
                </c:pt>
                <c:pt idx="1305">
                  <c:v>41759</c:v>
                </c:pt>
                <c:pt idx="1306">
                  <c:v>41760</c:v>
                </c:pt>
                <c:pt idx="1307">
                  <c:v>41761</c:v>
                </c:pt>
                <c:pt idx="1308">
                  <c:v>41764</c:v>
                </c:pt>
                <c:pt idx="1309">
                  <c:v>41765</c:v>
                </c:pt>
                <c:pt idx="1310">
                  <c:v>41766</c:v>
                </c:pt>
                <c:pt idx="1311">
                  <c:v>41767</c:v>
                </c:pt>
                <c:pt idx="1312">
                  <c:v>41768</c:v>
                </c:pt>
                <c:pt idx="1313">
                  <c:v>41771</c:v>
                </c:pt>
                <c:pt idx="1314">
                  <c:v>41772</c:v>
                </c:pt>
                <c:pt idx="1315">
                  <c:v>41773</c:v>
                </c:pt>
                <c:pt idx="1316">
                  <c:v>41774</c:v>
                </c:pt>
                <c:pt idx="1317">
                  <c:v>41775</c:v>
                </c:pt>
                <c:pt idx="1318">
                  <c:v>41778</c:v>
                </c:pt>
                <c:pt idx="1319">
                  <c:v>41779</c:v>
                </c:pt>
                <c:pt idx="1320">
                  <c:v>41780</c:v>
                </c:pt>
                <c:pt idx="1321">
                  <c:v>41781</c:v>
                </c:pt>
                <c:pt idx="1322">
                  <c:v>41782</c:v>
                </c:pt>
                <c:pt idx="1323">
                  <c:v>41785</c:v>
                </c:pt>
                <c:pt idx="1324">
                  <c:v>41786</c:v>
                </c:pt>
                <c:pt idx="1325">
                  <c:v>41787</c:v>
                </c:pt>
                <c:pt idx="1326">
                  <c:v>41788</c:v>
                </c:pt>
                <c:pt idx="1327">
                  <c:v>41789</c:v>
                </c:pt>
                <c:pt idx="1328">
                  <c:v>41792</c:v>
                </c:pt>
                <c:pt idx="1329">
                  <c:v>41793</c:v>
                </c:pt>
                <c:pt idx="1330">
                  <c:v>41794</c:v>
                </c:pt>
                <c:pt idx="1331">
                  <c:v>41795</c:v>
                </c:pt>
                <c:pt idx="1332">
                  <c:v>41796</c:v>
                </c:pt>
                <c:pt idx="1333">
                  <c:v>41799</c:v>
                </c:pt>
                <c:pt idx="1334">
                  <c:v>41800</c:v>
                </c:pt>
                <c:pt idx="1335">
                  <c:v>41801</c:v>
                </c:pt>
                <c:pt idx="1336">
                  <c:v>41802</c:v>
                </c:pt>
                <c:pt idx="1337">
                  <c:v>41803</c:v>
                </c:pt>
                <c:pt idx="1338">
                  <c:v>41806</c:v>
                </c:pt>
                <c:pt idx="1339">
                  <c:v>41807</c:v>
                </c:pt>
                <c:pt idx="1340">
                  <c:v>41808</c:v>
                </c:pt>
                <c:pt idx="1341">
                  <c:v>41809</c:v>
                </c:pt>
                <c:pt idx="1342">
                  <c:v>41810</c:v>
                </c:pt>
                <c:pt idx="1343">
                  <c:v>41813</c:v>
                </c:pt>
                <c:pt idx="1344">
                  <c:v>41814</c:v>
                </c:pt>
                <c:pt idx="1345">
                  <c:v>41815</c:v>
                </c:pt>
                <c:pt idx="1346">
                  <c:v>41816</c:v>
                </c:pt>
                <c:pt idx="1347">
                  <c:v>41817</c:v>
                </c:pt>
                <c:pt idx="1348">
                  <c:v>41820</c:v>
                </c:pt>
                <c:pt idx="1349">
                  <c:v>41821</c:v>
                </c:pt>
                <c:pt idx="1350">
                  <c:v>41822</c:v>
                </c:pt>
                <c:pt idx="1351">
                  <c:v>41823</c:v>
                </c:pt>
                <c:pt idx="1352">
                  <c:v>41824</c:v>
                </c:pt>
                <c:pt idx="1353">
                  <c:v>41827</c:v>
                </c:pt>
                <c:pt idx="1354">
                  <c:v>41828</c:v>
                </c:pt>
                <c:pt idx="1355">
                  <c:v>41829</c:v>
                </c:pt>
                <c:pt idx="1356">
                  <c:v>41830</c:v>
                </c:pt>
                <c:pt idx="1357">
                  <c:v>41831</c:v>
                </c:pt>
                <c:pt idx="1358">
                  <c:v>41834</c:v>
                </c:pt>
                <c:pt idx="1359">
                  <c:v>41835</c:v>
                </c:pt>
                <c:pt idx="1360">
                  <c:v>41836</c:v>
                </c:pt>
                <c:pt idx="1361">
                  <c:v>41837</c:v>
                </c:pt>
                <c:pt idx="1362">
                  <c:v>41838</c:v>
                </c:pt>
                <c:pt idx="1363">
                  <c:v>41841</c:v>
                </c:pt>
                <c:pt idx="1364">
                  <c:v>41842</c:v>
                </c:pt>
                <c:pt idx="1365">
                  <c:v>41843</c:v>
                </c:pt>
                <c:pt idx="1366">
                  <c:v>41844</c:v>
                </c:pt>
                <c:pt idx="1367">
                  <c:v>41845</c:v>
                </c:pt>
                <c:pt idx="1368">
                  <c:v>41848</c:v>
                </c:pt>
                <c:pt idx="1369">
                  <c:v>41849</c:v>
                </c:pt>
                <c:pt idx="1370">
                  <c:v>41850</c:v>
                </c:pt>
                <c:pt idx="1371">
                  <c:v>41851</c:v>
                </c:pt>
                <c:pt idx="1372">
                  <c:v>41852</c:v>
                </c:pt>
                <c:pt idx="1373">
                  <c:v>41855</c:v>
                </c:pt>
                <c:pt idx="1374">
                  <c:v>41856</c:v>
                </c:pt>
                <c:pt idx="1375">
                  <c:v>41857</c:v>
                </c:pt>
                <c:pt idx="1376">
                  <c:v>41858</c:v>
                </c:pt>
                <c:pt idx="1377">
                  <c:v>41859</c:v>
                </c:pt>
                <c:pt idx="1378">
                  <c:v>41862</c:v>
                </c:pt>
                <c:pt idx="1379">
                  <c:v>41863</c:v>
                </c:pt>
                <c:pt idx="1380">
                  <c:v>41864</c:v>
                </c:pt>
                <c:pt idx="1381">
                  <c:v>41865</c:v>
                </c:pt>
                <c:pt idx="1382">
                  <c:v>41866</c:v>
                </c:pt>
                <c:pt idx="1383">
                  <c:v>41869</c:v>
                </c:pt>
                <c:pt idx="1384">
                  <c:v>41870</c:v>
                </c:pt>
                <c:pt idx="1385">
                  <c:v>41871</c:v>
                </c:pt>
                <c:pt idx="1386">
                  <c:v>41872</c:v>
                </c:pt>
                <c:pt idx="1387">
                  <c:v>41873</c:v>
                </c:pt>
                <c:pt idx="1388">
                  <c:v>41876</c:v>
                </c:pt>
                <c:pt idx="1389">
                  <c:v>41877</c:v>
                </c:pt>
                <c:pt idx="1390">
                  <c:v>41878</c:v>
                </c:pt>
                <c:pt idx="1391">
                  <c:v>41879</c:v>
                </c:pt>
                <c:pt idx="1392">
                  <c:v>41880</c:v>
                </c:pt>
                <c:pt idx="1393">
                  <c:v>41883</c:v>
                </c:pt>
                <c:pt idx="1394">
                  <c:v>41884</c:v>
                </c:pt>
                <c:pt idx="1395">
                  <c:v>41885</c:v>
                </c:pt>
                <c:pt idx="1396">
                  <c:v>41886</c:v>
                </c:pt>
                <c:pt idx="1397">
                  <c:v>41887</c:v>
                </c:pt>
                <c:pt idx="1398">
                  <c:v>41890</c:v>
                </c:pt>
                <c:pt idx="1399">
                  <c:v>41891</c:v>
                </c:pt>
                <c:pt idx="1400">
                  <c:v>41892</c:v>
                </c:pt>
                <c:pt idx="1401">
                  <c:v>41893</c:v>
                </c:pt>
                <c:pt idx="1402">
                  <c:v>41894</c:v>
                </c:pt>
                <c:pt idx="1403">
                  <c:v>41897</c:v>
                </c:pt>
                <c:pt idx="1404">
                  <c:v>41898</c:v>
                </c:pt>
                <c:pt idx="1405">
                  <c:v>41899</c:v>
                </c:pt>
                <c:pt idx="1406">
                  <c:v>41900</c:v>
                </c:pt>
                <c:pt idx="1407">
                  <c:v>41901</c:v>
                </c:pt>
                <c:pt idx="1408">
                  <c:v>41904</c:v>
                </c:pt>
                <c:pt idx="1409">
                  <c:v>41905</c:v>
                </c:pt>
                <c:pt idx="1410">
                  <c:v>41906</c:v>
                </c:pt>
                <c:pt idx="1411">
                  <c:v>41907</c:v>
                </c:pt>
                <c:pt idx="1412">
                  <c:v>41908</c:v>
                </c:pt>
                <c:pt idx="1413">
                  <c:v>41911</c:v>
                </c:pt>
                <c:pt idx="1414">
                  <c:v>41912</c:v>
                </c:pt>
                <c:pt idx="1415">
                  <c:v>41913</c:v>
                </c:pt>
                <c:pt idx="1416">
                  <c:v>41914</c:v>
                </c:pt>
                <c:pt idx="1417">
                  <c:v>41915</c:v>
                </c:pt>
                <c:pt idx="1418">
                  <c:v>41918</c:v>
                </c:pt>
                <c:pt idx="1419">
                  <c:v>41919</c:v>
                </c:pt>
                <c:pt idx="1420">
                  <c:v>41920</c:v>
                </c:pt>
                <c:pt idx="1421">
                  <c:v>41921</c:v>
                </c:pt>
                <c:pt idx="1422">
                  <c:v>41922</c:v>
                </c:pt>
                <c:pt idx="1423">
                  <c:v>41925</c:v>
                </c:pt>
                <c:pt idx="1424">
                  <c:v>41926</c:v>
                </c:pt>
                <c:pt idx="1425">
                  <c:v>41927</c:v>
                </c:pt>
                <c:pt idx="1426">
                  <c:v>41928</c:v>
                </c:pt>
                <c:pt idx="1427">
                  <c:v>41929</c:v>
                </c:pt>
                <c:pt idx="1428">
                  <c:v>41932</c:v>
                </c:pt>
                <c:pt idx="1429">
                  <c:v>41933</c:v>
                </c:pt>
                <c:pt idx="1430">
                  <c:v>41934</c:v>
                </c:pt>
                <c:pt idx="1431">
                  <c:v>41935</c:v>
                </c:pt>
                <c:pt idx="1432">
                  <c:v>41936</c:v>
                </c:pt>
                <c:pt idx="1433">
                  <c:v>41939</c:v>
                </c:pt>
                <c:pt idx="1434">
                  <c:v>41940</c:v>
                </c:pt>
                <c:pt idx="1435">
                  <c:v>41941</c:v>
                </c:pt>
                <c:pt idx="1436">
                  <c:v>41942</c:v>
                </c:pt>
                <c:pt idx="1437">
                  <c:v>41943</c:v>
                </c:pt>
                <c:pt idx="1438">
                  <c:v>41946</c:v>
                </c:pt>
                <c:pt idx="1439">
                  <c:v>41947</c:v>
                </c:pt>
                <c:pt idx="1440">
                  <c:v>41948</c:v>
                </c:pt>
                <c:pt idx="1441">
                  <c:v>41949</c:v>
                </c:pt>
                <c:pt idx="1442">
                  <c:v>41950</c:v>
                </c:pt>
                <c:pt idx="1443">
                  <c:v>41953</c:v>
                </c:pt>
                <c:pt idx="1444">
                  <c:v>41954</c:v>
                </c:pt>
                <c:pt idx="1445">
                  <c:v>41955</c:v>
                </c:pt>
                <c:pt idx="1446">
                  <c:v>41956</c:v>
                </c:pt>
                <c:pt idx="1447">
                  <c:v>41957</c:v>
                </c:pt>
                <c:pt idx="1448">
                  <c:v>41960</c:v>
                </c:pt>
                <c:pt idx="1449">
                  <c:v>41961</c:v>
                </c:pt>
                <c:pt idx="1450">
                  <c:v>41962</c:v>
                </c:pt>
                <c:pt idx="1451">
                  <c:v>41963</c:v>
                </c:pt>
                <c:pt idx="1452">
                  <c:v>41964</c:v>
                </c:pt>
                <c:pt idx="1453">
                  <c:v>41967</c:v>
                </c:pt>
                <c:pt idx="1454">
                  <c:v>41968</c:v>
                </c:pt>
                <c:pt idx="1455">
                  <c:v>41969</c:v>
                </c:pt>
                <c:pt idx="1456">
                  <c:v>41970</c:v>
                </c:pt>
                <c:pt idx="1457">
                  <c:v>41971</c:v>
                </c:pt>
                <c:pt idx="1458">
                  <c:v>41974</c:v>
                </c:pt>
                <c:pt idx="1459">
                  <c:v>41975</c:v>
                </c:pt>
                <c:pt idx="1460">
                  <c:v>41976</c:v>
                </c:pt>
                <c:pt idx="1461">
                  <c:v>41977</c:v>
                </c:pt>
                <c:pt idx="1462">
                  <c:v>41978</c:v>
                </c:pt>
                <c:pt idx="1463">
                  <c:v>41981</c:v>
                </c:pt>
                <c:pt idx="1464">
                  <c:v>41982</c:v>
                </c:pt>
                <c:pt idx="1465">
                  <c:v>41983</c:v>
                </c:pt>
                <c:pt idx="1466">
                  <c:v>41984</c:v>
                </c:pt>
                <c:pt idx="1467">
                  <c:v>41985</c:v>
                </c:pt>
                <c:pt idx="1468">
                  <c:v>41988</c:v>
                </c:pt>
                <c:pt idx="1469">
                  <c:v>41989</c:v>
                </c:pt>
                <c:pt idx="1470">
                  <c:v>41990</c:v>
                </c:pt>
                <c:pt idx="1471">
                  <c:v>41991</c:v>
                </c:pt>
                <c:pt idx="1472">
                  <c:v>41992</c:v>
                </c:pt>
                <c:pt idx="1473">
                  <c:v>41995</c:v>
                </c:pt>
                <c:pt idx="1474">
                  <c:v>41996</c:v>
                </c:pt>
                <c:pt idx="1475">
                  <c:v>41997</c:v>
                </c:pt>
                <c:pt idx="1476">
                  <c:v>42001</c:v>
                </c:pt>
                <c:pt idx="1477">
                  <c:v>42002</c:v>
                </c:pt>
                <c:pt idx="1478">
                  <c:v>42003</c:v>
                </c:pt>
                <c:pt idx="1479">
                  <c:v>42004</c:v>
                </c:pt>
                <c:pt idx="1480">
                  <c:v>42005</c:v>
                </c:pt>
                <c:pt idx="1481">
                  <c:v>42006</c:v>
                </c:pt>
                <c:pt idx="1482">
                  <c:v>42008</c:v>
                </c:pt>
                <c:pt idx="1483">
                  <c:v>42009</c:v>
                </c:pt>
                <c:pt idx="1484">
                  <c:v>42010</c:v>
                </c:pt>
                <c:pt idx="1485">
                  <c:v>42011</c:v>
                </c:pt>
                <c:pt idx="1486">
                  <c:v>42012</c:v>
                </c:pt>
                <c:pt idx="1487">
                  <c:v>42013</c:v>
                </c:pt>
                <c:pt idx="1488">
                  <c:v>42016</c:v>
                </c:pt>
                <c:pt idx="1489">
                  <c:v>42017</c:v>
                </c:pt>
                <c:pt idx="1490">
                  <c:v>42018</c:v>
                </c:pt>
                <c:pt idx="1491">
                  <c:v>42019</c:v>
                </c:pt>
                <c:pt idx="1492">
                  <c:v>42020</c:v>
                </c:pt>
                <c:pt idx="1493">
                  <c:v>42023</c:v>
                </c:pt>
                <c:pt idx="1494">
                  <c:v>42024</c:v>
                </c:pt>
                <c:pt idx="1495">
                  <c:v>42025</c:v>
                </c:pt>
                <c:pt idx="1496">
                  <c:v>42026</c:v>
                </c:pt>
                <c:pt idx="1497">
                  <c:v>42027</c:v>
                </c:pt>
                <c:pt idx="1498">
                  <c:v>42030</c:v>
                </c:pt>
                <c:pt idx="1499">
                  <c:v>42031</c:v>
                </c:pt>
                <c:pt idx="1500">
                  <c:v>42032</c:v>
                </c:pt>
                <c:pt idx="1501">
                  <c:v>42033</c:v>
                </c:pt>
                <c:pt idx="1502">
                  <c:v>42034</c:v>
                </c:pt>
                <c:pt idx="1503">
                  <c:v>42037</c:v>
                </c:pt>
                <c:pt idx="1504">
                  <c:v>42038</c:v>
                </c:pt>
                <c:pt idx="1505">
                  <c:v>42039</c:v>
                </c:pt>
                <c:pt idx="1506">
                  <c:v>42040</c:v>
                </c:pt>
                <c:pt idx="1507">
                  <c:v>42041</c:v>
                </c:pt>
                <c:pt idx="1508">
                  <c:v>42043</c:v>
                </c:pt>
                <c:pt idx="1509">
                  <c:v>42044</c:v>
                </c:pt>
                <c:pt idx="1510">
                  <c:v>42045</c:v>
                </c:pt>
                <c:pt idx="1511">
                  <c:v>42046</c:v>
                </c:pt>
                <c:pt idx="1512">
                  <c:v>42047</c:v>
                </c:pt>
                <c:pt idx="1513">
                  <c:v>42048</c:v>
                </c:pt>
                <c:pt idx="1514">
                  <c:v>42051</c:v>
                </c:pt>
                <c:pt idx="1515">
                  <c:v>42052</c:v>
                </c:pt>
                <c:pt idx="1516">
                  <c:v>42053</c:v>
                </c:pt>
                <c:pt idx="1517">
                  <c:v>42054</c:v>
                </c:pt>
                <c:pt idx="1518">
                  <c:v>42055</c:v>
                </c:pt>
                <c:pt idx="1519">
                  <c:v>42058</c:v>
                </c:pt>
                <c:pt idx="1520">
                  <c:v>42059</c:v>
                </c:pt>
                <c:pt idx="1521">
                  <c:v>42060</c:v>
                </c:pt>
                <c:pt idx="1522">
                  <c:v>42061</c:v>
                </c:pt>
                <c:pt idx="1523">
                  <c:v>42062</c:v>
                </c:pt>
                <c:pt idx="1524">
                  <c:v>42065</c:v>
                </c:pt>
                <c:pt idx="1525">
                  <c:v>42066</c:v>
                </c:pt>
                <c:pt idx="1526">
                  <c:v>42067</c:v>
                </c:pt>
                <c:pt idx="1527">
                  <c:v>42068</c:v>
                </c:pt>
                <c:pt idx="1528">
                  <c:v>42069</c:v>
                </c:pt>
                <c:pt idx="1529">
                  <c:v>42072</c:v>
                </c:pt>
                <c:pt idx="1530">
                  <c:v>42073</c:v>
                </c:pt>
                <c:pt idx="1531">
                  <c:v>42074</c:v>
                </c:pt>
                <c:pt idx="1532">
                  <c:v>42075</c:v>
                </c:pt>
                <c:pt idx="1533">
                  <c:v>42076</c:v>
                </c:pt>
                <c:pt idx="1534">
                  <c:v>42079</c:v>
                </c:pt>
                <c:pt idx="1535">
                  <c:v>42080</c:v>
                </c:pt>
                <c:pt idx="1536">
                  <c:v>42081</c:v>
                </c:pt>
                <c:pt idx="1537">
                  <c:v>42082</c:v>
                </c:pt>
                <c:pt idx="1538">
                  <c:v>42083</c:v>
                </c:pt>
                <c:pt idx="1539">
                  <c:v>42086</c:v>
                </c:pt>
                <c:pt idx="1540">
                  <c:v>42087</c:v>
                </c:pt>
                <c:pt idx="1541">
                  <c:v>42088</c:v>
                </c:pt>
                <c:pt idx="1542">
                  <c:v>42089</c:v>
                </c:pt>
                <c:pt idx="1543">
                  <c:v>42090</c:v>
                </c:pt>
                <c:pt idx="1544">
                  <c:v>42093</c:v>
                </c:pt>
                <c:pt idx="1545">
                  <c:v>42094</c:v>
                </c:pt>
                <c:pt idx="1546">
                  <c:v>42095</c:v>
                </c:pt>
                <c:pt idx="1547">
                  <c:v>42096</c:v>
                </c:pt>
                <c:pt idx="1548">
                  <c:v>42097</c:v>
                </c:pt>
                <c:pt idx="1549">
                  <c:v>42100</c:v>
                </c:pt>
                <c:pt idx="1550">
                  <c:v>42101</c:v>
                </c:pt>
                <c:pt idx="1551">
                  <c:v>42102</c:v>
                </c:pt>
                <c:pt idx="1552">
                  <c:v>42103</c:v>
                </c:pt>
                <c:pt idx="1553">
                  <c:v>42104</c:v>
                </c:pt>
                <c:pt idx="1554">
                  <c:v>42107</c:v>
                </c:pt>
                <c:pt idx="1555">
                  <c:v>42108</c:v>
                </c:pt>
                <c:pt idx="1556">
                  <c:v>42109</c:v>
                </c:pt>
                <c:pt idx="1557">
                  <c:v>42110</c:v>
                </c:pt>
                <c:pt idx="1558">
                  <c:v>42111</c:v>
                </c:pt>
                <c:pt idx="1559">
                  <c:v>42114</c:v>
                </c:pt>
                <c:pt idx="1560">
                  <c:v>42115</c:v>
                </c:pt>
                <c:pt idx="1561">
                  <c:v>42116</c:v>
                </c:pt>
                <c:pt idx="1562">
                  <c:v>42117</c:v>
                </c:pt>
                <c:pt idx="1563">
                  <c:v>42118</c:v>
                </c:pt>
                <c:pt idx="1564">
                  <c:v>42120</c:v>
                </c:pt>
                <c:pt idx="1565">
                  <c:v>42121</c:v>
                </c:pt>
                <c:pt idx="1566">
                  <c:v>42122</c:v>
                </c:pt>
                <c:pt idx="1567">
                  <c:v>42123</c:v>
                </c:pt>
                <c:pt idx="1568">
                  <c:v>42124</c:v>
                </c:pt>
                <c:pt idx="1569">
                  <c:v>42125</c:v>
                </c:pt>
                <c:pt idx="1570">
                  <c:v>42128</c:v>
                </c:pt>
                <c:pt idx="1571">
                  <c:v>42129</c:v>
                </c:pt>
                <c:pt idx="1572">
                  <c:v>42130</c:v>
                </c:pt>
                <c:pt idx="1573">
                  <c:v>42131</c:v>
                </c:pt>
                <c:pt idx="1574">
                  <c:v>42132</c:v>
                </c:pt>
                <c:pt idx="1575">
                  <c:v>42135</c:v>
                </c:pt>
                <c:pt idx="1576">
                  <c:v>42136</c:v>
                </c:pt>
                <c:pt idx="1577">
                  <c:v>42137</c:v>
                </c:pt>
                <c:pt idx="1578">
                  <c:v>42138</c:v>
                </c:pt>
                <c:pt idx="1579">
                  <c:v>42139</c:v>
                </c:pt>
                <c:pt idx="1580">
                  <c:v>42142</c:v>
                </c:pt>
                <c:pt idx="1581">
                  <c:v>42143</c:v>
                </c:pt>
                <c:pt idx="1582">
                  <c:v>42144</c:v>
                </c:pt>
                <c:pt idx="1583">
                  <c:v>42145</c:v>
                </c:pt>
                <c:pt idx="1584">
                  <c:v>42146</c:v>
                </c:pt>
                <c:pt idx="1585">
                  <c:v>42149</c:v>
                </c:pt>
                <c:pt idx="1586">
                  <c:v>42150</c:v>
                </c:pt>
                <c:pt idx="1587">
                  <c:v>42151</c:v>
                </c:pt>
                <c:pt idx="1588">
                  <c:v>42152</c:v>
                </c:pt>
                <c:pt idx="1589">
                  <c:v>42153</c:v>
                </c:pt>
                <c:pt idx="1590">
                  <c:v>42156</c:v>
                </c:pt>
                <c:pt idx="1591">
                  <c:v>42157</c:v>
                </c:pt>
                <c:pt idx="1592">
                  <c:v>42158</c:v>
                </c:pt>
                <c:pt idx="1593">
                  <c:v>42159</c:v>
                </c:pt>
                <c:pt idx="1594">
                  <c:v>42160</c:v>
                </c:pt>
                <c:pt idx="1595">
                  <c:v>42163</c:v>
                </c:pt>
                <c:pt idx="1596">
                  <c:v>42164</c:v>
                </c:pt>
                <c:pt idx="1597">
                  <c:v>42165</c:v>
                </c:pt>
                <c:pt idx="1598">
                  <c:v>42166</c:v>
                </c:pt>
                <c:pt idx="1599">
                  <c:v>42167</c:v>
                </c:pt>
                <c:pt idx="1600">
                  <c:v>42170</c:v>
                </c:pt>
                <c:pt idx="1601">
                  <c:v>42171</c:v>
                </c:pt>
                <c:pt idx="1602">
                  <c:v>42172</c:v>
                </c:pt>
                <c:pt idx="1603">
                  <c:v>42173</c:v>
                </c:pt>
                <c:pt idx="1604">
                  <c:v>42174</c:v>
                </c:pt>
                <c:pt idx="1605">
                  <c:v>42177</c:v>
                </c:pt>
                <c:pt idx="1606">
                  <c:v>42178</c:v>
                </c:pt>
                <c:pt idx="1607">
                  <c:v>42179</c:v>
                </c:pt>
                <c:pt idx="1608">
                  <c:v>42180</c:v>
                </c:pt>
                <c:pt idx="1609">
                  <c:v>42181</c:v>
                </c:pt>
                <c:pt idx="1610">
                  <c:v>42184</c:v>
                </c:pt>
                <c:pt idx="1611">
                  <c:v>42185</c:v>
                </c:pt>
                <c:pt idx="1612">
                  <c:v>42186</c:v>
                </c:pt>
                <c:pt idx="1613">
                  <c:v>42187</c:v>
                </c:pt>
                <c:pt idx="1614">
                  <c:v>42188</c:v>
                </c:pt>
                <c:pt idx="1615">
                  <c:v>42191</c:v>
                </c:pt>
                <c:pt idx="1616">
                  <c:v>42192</c:v>
                </c:pt>
                <c:pt idx="1617">
                  <c:v>42193</c:v>
                </c:pt>
                <c:pt idx="1618">
                  <c:v>42194</c:v>
                </c:pt>
                <c:pt idx="1619">
                  <c:v>42195</c:v>
                </c:pt>
                <c:pt idx="1620">
                  <c:v>42198</c:v>
                </c:pt>
                <c:pt idx="1621">
                  <c:v>42199</c:v>
                </c:pt>
                <c:pt idx="1622">
                  <c:v>42200</c:v>
                </c:pt>
                <c:pt idx="1623">
                  <c:v>42201</c:v>
                </c:pt>
                <c:pt idx="1624">
                  <c:v>42202</c:v>
                </c:pt>
                <c:pt idx="1625">
                  <c:v>42205</c:v>
                </c:pt>
                <c:pt idx="1626">
                  <c:v>42206</c:v>
                </c:pt>
                <c:pt idx="1627">
                  <c:v>42207</c:v>
                </c:pt>
                <c:pt idx="1628">
                  <c:v>42208</c:v>
                </c:pt>
                <c:pt idx="1629">
                  <c:v>42209</c:v>
                </c:pt>
                <c:pt idx="1630">
                  <c:v>42212</c:v>
                </c:pt>
                <c:pt idx="1631">
                  <c:v>42213</c:v>
                </c:pt>
                <c:pt idx="1632">
                  <c:v>42214</c:v>
                </c:pt>
                <c:pt idx="1633">
                  <c:v>42215</c:v>
                </c:pt>
                <c:pt idx="1634">
                  <c:v>42216</c:v>
                </c:pt>
                <c:pt idx="1635">
                  <c:v>42219</c:v>
                </c:pt>
                <c:pt idx="1636">
                  <c:v>42220</c:v>
                </c:pt>
                <c:pt idx="1637">
                  <c:v>42221</c:v>
                </c:pt>
                <c:pt idx="1638">
                  <c:v>42222</c:v>
                </c:pt>
                <c:pt idx="1639">
                  <c:v>42223</c:v>
                </c:pt>
                <c:pt idx="1640">
                  <c:v>42226</c:v>
                </c:pt>
                <c:pt idx="1641">
                  <c:v>42227</c:v>
                </c:pt>
                <c:pt idx="1642">
                  <c:v>42228</c:v>
                </c:pt>
                <c:pt idx="1643">
                  <c:v>42229</c:v>
                </c:pt>
                <c:pt idx="1644">
                  <c:v>42230</c:v>
                </c:pt>
                <c:pt idx="1645">
                  <c:v>42233</c:v>
                </c:pt>
                <c:pt idx="1646">
                  <c:v>42234</c:v>
                </c:pt>
                <c:pt idx="1647">
                  <c:v>42235</c:v>
                </c:pt>
                <c:pt idx="1648">
                  <c:v>42236</c:v>
                </c:pt>
                <c:pt idx="1649">
                  <c:v>42237</c:v>
                </c:pt>
                <c:pt idx="1650">
                  <c:v>42240</c:v>
                </c:pt>
                <c:pt idx="1651">
                  <c:v>42241</c:v>
                </c:pt>
                <c:pt idx="1652">
                  <c:v>42242</c:v>
                </c:pt>
                <c:pt idx="1653">
                  <c:v>42243</c:v>
                </c:pt>
                <c:pt idx="1654">
                  <c:v>42244</c:v>
                </c:pt>
                <c:pt idx="1655">
                  <c:v>42247</c:v>
                </c:pt>
                <c:pt idx="1656">
                  <c:v>42248</c:v>
                </c:pt>
                <c:pt idx="1657">
                  <c:v>42249</c:v>
                </c:pt>
                <c:pt idx="1658">
                  <c:v>42250</c:v>
                </c:pt>
                <c:pt idx="1659">
                  <c:v>42251</c:v>
                </c:pt>
                <c:pt idx="1660">
                  <c:v>42254</c:v>
                </c:pt>
                <c:pt idx="1661">
                  <c:v>42255</c:v>
                </c:pt>
                <c:pt idx="1662">
                  <c:v>42256</c:v>
                </c:pt>
                <c:pt idx="1663">
                  <c:v>42257</c:v>
                </c:pt>
                <c:pt idx="1664">
                  <c:v>42258</c:v>
                </c:pt>
                <c:pt idx="1665">
                  <c:v>42261</c:v>
                </c:pt>
                <c:pt idx="1666">
                  <c:v>42262</c:v>
                </c:pt>
                <c:pt idx="1667">
                  <c:v>42263</c:v>
                </c:pt>
                <c:pt idx="1668">
                  <c:v>42264</c:v>
                </c:pt>
                <c:pt idx="1669">
                  <c:v>42265</c:v>
                </c:pt>
                <c:pt idx="1670">
                  <c:v>42268</c:v>
                </c:pt>
                <c:pt idx="1671">
                  <c:v>42269</c:v>
                </c:pt>
                <c:pt idx="1672">
                  <c:v>42270</c:v>
                </c:pt>
                <c:pt idx="1673">
                  <c:v>42271</c:v>
                </c:pt>
                <c:pt idx="1674">
                  <c:v>42272</c:v>
                </c:pt>
                <c:pt idx="1675">
                  <c:v>42275</c:v>
                </c:pt>
                <c:pt idx="1676">
                  <c:v>42276</c:v>
                </c:pt>
                <c:pt idx="1677">
                  <c:v>42277</c:v>
                </c:pt>
                <c:pt idx="1678">
                  <c:v>42278</c:v>
                </c:pt>
                <c:pt idx="1679">
                  <c:v>42279</c:v>
                </c:pt>
                <c:pt idx="1680">
                  <c:v>42282</c:v>
                </c:pt>
                <c:pt idx="1681">
                  <c:v>42283</c:v>
                </c:pt>
                <c:pt idx="1682">
                  <c:v>42284</c:v>
                </c:pt>
                <c:pt idx="1683">
                  <c:v>42285</c:v>
                </c:pt>
                <c:pt idx="1684">
                  <c:v>42286</c:v>
                </c:pt>
                <c:pt idx="1685">
                  <c:v>42289</c:v>
                </c:pt>
                <c:pt idx="1686">
                  <c:v>42290</c:v>
                </c:pt>
                <c:pt idx="1687">
                  <c:v>42291</c:v>
                </c:pt>
                <c:pt idx="1688">
                  <c:v>42292</c:v>
                </c:pt>
                <c:pt idx="1689">
                  <c:v>42293</c:v>
                </c:pt>
                <c:pt idx="1690">
                  <c:v>42296</c:v>
                </c:pt>
                <c:pt idx="1691">
                  <c:v>42297</c:v>
                </c:pt>
                <c:pt idx="1692">
                  <c:v>42298</c:v>
                </c:pt>
                <c:pt idx="1693">
                  <c:v>42299</c:v>
                </c:pt>
                <c:pt idx="1694">
                  <c:v>42300</c:v>
                </c:pt>
                <c:pt idx="1695">
                  <c:v>42303</c:v>
                </c:pt>
                <c:pt idx="1696">
                  <c:v>42304</c:v>
                </c:pt>
                <c:pt idx="1697">
                  <c:v>42305</c:v>
                </c:pt>
                <c:pt idx="1698">
                  <c:v>42306</c:v>
                </c:pt>
                <c:pt idx="1699">
                  <c:v>42307</c:v>
                </c:pt>
                <c:pt idx="1700">
                  <c:v>42310</c:v>
                </c:pt>
                <c:pt idx="1701">
                  <c:v>42311</c:v>
                </c:pt>
                <c:pt idx="1702">
                  <c:v>42312</c:v>
                </c:pt>
                <c:pt idx="1703">
                  <c:v>42313</c:v>
                </c:pt>
                <c:pt idx="1704">
                  <c:v>42314</c:v>
                </c:pt>
                <c:pt idx="1705">
                  <c:v>42317</c:v>
                </c:pt>
                <c:pt idx="1706">
                  <c:v>42318</c:v>
                </c:pt>
                <c:pt idx="1707">
                  <c:v>42319</c:v>
                </c:pt>
                <c:pt idx="1708">
                  <c:v>42320</c:v>
                </c:pt>
                <c:pt idx="1709">
                  <c:v>42321</c:v>
                </c:pt>
                <c:pt idx="1710">
                  <c:v>42324</c:v>
                </c:pt>
                <c:pt idx="1711">
                  <c:v>42325</c:v>
                </c:pt>
                <c:pt idx="1712">
                  <c:v>42326</c:v>
                </c:pt>
                <c:pt idx="1713">
                  <c:v>42327</c:v>
                </c:pt>
                <c:pt idx="1714">
                  <c:v>42328</c:v>
                </c:pt>
                <c:pt idx="1715">
                  <c:v>42331</c:v>
                </c:pt>
                <c:pt idx="1716">
                  <c:v>42332</c:v>
                </c:pt>
                <c:pt idx="1717">
                  <c:v>42333</c:v>
                </c:pt>
                <c:pt idx="1718">
                  <c:v>42334</c:v>
                </c:pt>
                <c:pt idx="1719">
                  <c:v>42335</c:v>
                </c:pt>
                <c:pt idx="1720">
                  <c:v>42338</c:v>
                </c:pt>
                <c:pt idx="1721">
                  <c:v>42339</c:v>
                </c:pt>
                <c:pt idx="1722">
                  <c:v>42340</c:v>
                </c:pt>
                <c:pt idx="1723">
                  <c:v>42341</c:v>
                </c:pt>
                <c:pt idx="1724">
                  <c:v>42342</c:v>
                </c:pt>
                <c:pt idx="1725">
                  <c:v>42345</c:v>
                </c:pt>
                <c:pt idx="1726">
                  <c:v>42346</c:v>
                </c:pt>
                <c:pt idx="1727">
                  <c:v>42347</c:v>
                </c:pt>
                <c:pt idx="1728">
                  <c:v>42348</c:v>
                </c:pt>
                <c:pt idx="1729">
                  <c:v>42349</c:v>
                </c:pt>
                <c:pt idx="1730">
                  <c:v>42352</c:v>
                </c:pt>
                <c:pt idx="1731">
                  <c:v>42353</c:v>
                </c:pt>
                <c:pt idx="1732">
                  <c:v>42354</c:v>
                </c:pt>
                <c:pt idx="1733">
                  <c:v>42355</c:v>
                </c:pt>
                <c:pt idx="1734">
                  <c:v>42356</c:v>
                </c:pt>
                <c:pt idx="1735">
                  <c:v>42359</c:v>
                </c:pt>
                <c:pt idx="1736">
                  <c:v>42360</c:v>
                </c:pt>
                <c:pt idx="1737">
                  <c:v>42361</c:v>
                </c:pt>
                <c:pt idx="1738">
                  <c:v>42362</c:v>
                </c:pt>
                <c:pt idx="1739">
                  <c:v>42363</c:v>
                </c:pt>
                <c:pt idx="1740">
                  <c:v>42366</c:v>
                </c:pt>
                <c:pt idx="1741">
                  <c:v>42367</c:v>
                </c:pt>
                <c:pt idx="1742">
                  <c:v>42368</c:v>
                </c:pt>
                <c:pt idx="1743">
                  <c:v>42369</c:v>
                </c:pt>
                <c:pt idx="1744">
                  <c:v>42370</c:v>
                </c:pt>
                <c:pt idx="1745">
                  <c:v>42373</c:v>
                </c:pt>
                <c:pt idx="1746">
                  <c:v>42374</c:v>
                </c:pt>
                <c:pt idx="1747">
                  <c:v>42375</c:v>
                </c:pt>
                <c:pt idx="1748">
                  <c:v>42376</c:v>
                </c:pt>
                <c:pt idx="1749">
                  <c:v>42377</c:v>
                </c:pt>
                <c:pt idx="1750">
                  <c:v>42380</c:v>
                </c:pt>
                <c:pt idx="1751">
                  <c:v>42381</c:v>
                </c:pt>
                <c:pt idx="1752">
                  <c:v>42382</c:v>
                </c:pt>
                <c:pt idx="1753">
                  <c:v>42383</c:v>
                </c:pt>
                <c:pt idx="1754">
                  <c:v>42384</c:v>
                </c:pt>
                <c:pt idx="1755">
                  <c:v>42387</c:v>
                </c:pt>
                <c:pt idx="1756">
                  <c:v>42388</c:v>
                </c:pt>
                <c:pt idx="1757">
                  <c:v>42389</c:v>
                </c:pt>
                <c:pt idx="1758">
                  <c:v>42390</c:v>
                </c:pt>
                <c:pt idx="1759">
                  <c:v>42391</c:v>
                </c:pt>
                <c:pt idx="1760">
                  <c:v>42394</c:v>
                </c:pt>
                <c:pt idx="1761">
                  <c:v>42395</c:v>
                </c:pt>
                <c:pt idx="1762">
                  <c:v>42396</c:v>
                </c:pt>
                <c:pt idx="1763">
                  <c:v>42397</c:v>
                </c:pt>
                <c:pt idx="1764">
                  <c:v>42398</c:v>
                </c:pt>
                <c:pt idx="1765">
                  <c:v>42401</c:v>
                </c:pt>
                <c:pt idx="1766">
                  <c:v>42402</c:v>
                </c:pt>
                <c:pt idx="1767">
                  <c:v>42403</c:v>
                </c:pt>
                <c:pt idx="1768">
                  <c:v>42404</c:v>
                </c:pt>
                <c:pt idx="1769">
                  <c:v>42405</c:v>
                </c:pt>
                <c:pt idx="1770">
                  <c:v>42408</c:v>
                </c:pt>
                <c:pt idx="1771">
                  <c:v>42409</c:v>
                </c:pt>
                <c:pt idx="1772">
                  <c:v>42410</c:v>
                </c:pt>
                <c:pt idx="1773">
                  <c:v>42411</c:v>
                </c:pt>
                <c:pt idx="1774">
                  <c:v>42412</c:v>
                </c:pt>
                <c:pt idx="1775">
                  <c:v>42415</c:v>
                </c:pt>
                <c:pt idx="1776">
                  <c:v>42416</c:v>
                </c:pt>
                <c:pt idx="1777">
                  <c:v>42417</c:v>
                </c:pt>
                <c:pt idx="1778">
                  <c:v>42418</c:v>
                </c:pt>
                <c:pt idx="1779">
                  <c:v>42419</c:v>
                </c:pt>
                <c:pt idx="1780">
                  <c:v>42422</c:v>
                </c:pt>
                <c:pt idx="1781">
                  <c:v>42423</c:v>
                </c:pt>
                <c:pt idx="1782">
                  <c:v>42424</c:v>
                </c:pt>
                <c:pt idx="1783">
                  <c:v>42425</c:v>
                </c:pt>
                <c:pt idx="1784">
                  <c:v>42426</c:v>
                </c:pt>
                <c:pt idx="1785">
                  <c:v>42429</c:v>
                </c:pt>
                <c:pt idx="1786">
                  <c:v>42430</c:v>
                </c:pt>
                <c:pt idx="1787">
                  <c:v>42431</c:v>
                </c:pt>
                <c:pt idx="1788">
                  <c:v>42432</c:v>
                </c:pt>
                <c:pt idx="1789">
                  <c:v>42433</c:v>
                </c:pt>
                <c:pt idx="1790">
                  <c:v>42436</c:v>
                </c:pt>
                <c:pt idx="1791">
                  <c:v>42437</c:v>
                </c:pt>
                <c:pt idx="1792">
                  <c:v>42438</c:v>
                </c:pt>
                <c:pt idx="1793">
                  <c:v>42439</c:v>
                </c:pt>
                <c:pt idx="1794">
                  <c:v>42440</c:v>
                </c:pt>
                <c:pt idx="1795">
                  <c:v>42443</c:v>
                </c:pt>
                <c:pt idx="1796">
                  <c:v>42444</c:v>
                </c:pt>
                <c:pt idx="1797">
                  <c:v>42445</c:v>
                </c:pt>
                <c:pt idx="1798">
                  <c:v>42446</c:v>
                </c:pt>
                <c:pt idx="1799">
                  <c:v>42447</c:v>
                </c:pt>
                <c:pt idx="1800">
                  <c:v>42450</c:v>
                </c:pt>
                <c:pt idx="1801">
                  <c:v>42451</c:v>
                </c:pt>
                <c:pt idx="1802">
                  <c:v>42452</c:v>
                </c:pt>
                <c:pt idx="1803">
                  <c:v>42453</c:v>
                </c:pt>
                <c:pt idx="1804">
                  <c:v>42454</c:v>
                </c:pt>
                <c:pt idx="1805">
                  <c:v>42457</c:v>
                </c:pt>
                <c:pt idx="1806">
                  <c:v>42458</c:v>
                </c:pt>
                <c:pt idx="1807">
                  <c:v>42459</c:v>
                </c:pt>
                <c:pt idx="1808">
                  <c:v>42460</c:v>
                </c:pt>
                <c:pt idx="1809">
                  <c:v>42461</c:v>
                </c:pt>
                <c:pt idx="1810">
                  <c:v>42464</c:v>
                </c:pt>
                <c:pt idx="1811">
                  <c:v>42465</c:v>
                </c:pt>
                <c:pt idx="1812">
                  <c:v>42466</c:v>
                </c:pt>
                <c:pt idx="1813">
                  <c:v>42467</c:v>
                </c:pt>
                <c:pt idx="1814">
                  <c:v>42468</c:v>
                </c:pt>
                <c:pt idx="1815">
                  <c:v>42471</c:v>
                </c:pt>
                <c:pt idx="1816">
                  <c:v>42472</c:v>
                </c:pt>
                <c:pt idx="1817">
                  <c:v>42473</c:v>
                </c:pt>
                <c:pt idx="1818">
                  <c:v>42474</c:v>
                </c:pt>
                <c:pt idx="1819">
                  <c:v>42475</c:v>
                </c:pt>
                <c:pt idx="1820">
                  <c:v>42478</c:v>
                </c:pt>
                <c:pt idx="1821">
                  <c:v>42479</c:v>
                </c:pt>
                <c:pt idx="1822">
                  <c:v>42480</c:v>
                </c:pt>
                <c:pt idx="1823">
                  <c:v>42481</c:v>
                </c:pt>
                <c:pt idx="1824">
                  <c:v>42482</c:v>
                </c:pt>
                <c:pt idx="1825">
                  <c:v>42485</c:v>
                </c:pt>
                <c:pt idx="1826">
                  <c:v>42486</c:v>
                </c:pt>
                <c:pt idx="1827">
                  <c:v>42487</c:v>
                </c:pt>
                <c:pt idx="1828">
                  <c:v>42488</c:v>
                </c:pt>
                <c:pt idx="1829">
                  <c:v>42489</c:v>
                </c:pt>
                <c:pt idx="1830">
                  <c:v>42492</c:v>
                </c:pt>
                <c:pt idx="1831">
                  <c:v>42493</c:v>
                </c:pt>
                <c:pt idx="1832">
                  <c:v>42494</c:v>
                </c:pt>
                <c:pt idx="1833">
                  <c:v>42495</c:v>
                </c:pt>
                <c:pt idx="1834">
                  <c:v>42496</c:v>
                </c:pt>
                <c:pt idx="1835">
                  <c:v>42499</c:v>
                </c:pt>
                <c:pt idx="1836">
                  <c:v>42500</c:v>
                </c:pt>
                <c:pt idx="1837">
                  <c:v>42501</c:v>
                </c:pt>
                <c:pt idx="1838">
                  <c:v>42502</c:v>
                </c:pt>
                <c:pt idx="1839">
                  <c:v>42503</c:v>
                </c:pt>
                <c:pt idx="1840">
                  <c:v>42506</c:v>
                </c:pt>
                <c:pt idx="1841">
                  <c:v>42507</c:v>
                </c:pt>
                <c:pt idx="1842">
                  <c:v>42508</c:v>
                </c:pt>
                <c:pt idx="1843">
                  <c:v>42509</c:v>
                </c:pt>
                <c:pt idx="1844">
                  <c:v>42510</c:v>
                </c:pt>
                <c:pt idx="1845">
                  <c:v>42513</c:v>
                </c:pt>
                <c:pt idx="1846">
                  <c:v>42514</c:v>
                </c:pt>
                <c:pt idx="1847">
                  <c:v>42515</c:v>
                </c:pt>
                <c:pt idx="1848">
                  <c:v>42516</c:v>
                </c:pt>
                <c:pt idx="1849">
                  <c:v>42517</c:v>
                </c:pt>
                <c:pt idx="1850">
                  <c:v>42520</c:v>
                </c:pt>
                <c:pt idx="1851">
                  <c:v>42521</c:v>
                </c:pt>
                <c:pt idx="1852">
                  <c:v>42522</c:v>
                </c:pt>
                <c:pt idx="1853">
                  <c:v>42523</c:v>
                </c:pt>
                <c:pt idx="1854">
                  <c:v>42524</c:v>
                </c:pt>
                <c:pt idx="1855">
                  <c:v>42525</c:v>
                </c:pt>
                <c:pt idx="1856">
                  <c:v>42526</c:v>
                </c:pt>
                <c:pt idx="1857">
                  <c:v>42527</c:v>
                </c:pt>
                <c:pt idx="1858">
                  <c:v>42528</c:v>
                </c:pt>
                <c:pt idx="1859">
                  <c:v>42529</c:v>
                </c:pt>
                <c:pt idx="1860">
                  <c:v>42530</c:v>
                </c:pt>
                <c:pt idx="1861">
                  <c:v>42531</c:v>
                </c:pt>
                <c:pt idx="1862">
                  <c:v>42532</c:v>
                </c:pt>
                <c:pt idx="1863">
                  <c:v>42533</c:v>
                </c:pt>
                <c:pt idx="1864">
                  <c:v>42534</c:v>
                </c:pt>
                <c:pt idx="1865">
                  <c:v>42535</c:v>
                </c:pt>
                <c:pt idx="1866">
                  <c:v>42536</c:v>
                </c:pt>
                <c:pt idx="1867">
                  <c:v>42537</c:v>
                </c:pt>
                <c:pt idx="1868">
                  <c:v>42538</c:v>
                </c:pt>
                <c:pt idx="1869">
                  <c:v>42539</c:v>
                </c:pt>
                <c:pt idx="1870">
                  <c:v>42540</c:v>
                </c:pt>
                <c:pt idx="1871">
                  <c:v>42541</c:v>
                </c:pt>
                <c:pt idx="1872">
                  <c:v>42542</c:v>
                </c:pt>
                <c:pt idx="1873">
                  <c:v>42543</c:v>
                </c:pt>
                <c:pt idx="1874">
                  <c:v>42544</c:v>
                </c:pt>
                <c:pt idx="1875">
                  <c:v>42545</c:v>
                </c:pt>
                <c:pt idx="1876">
                  <c:v>42555</c:v>
                </c:pt>
                <c:pt idx="1877">
                  <c:v>42556</c:v>
                </c:pt>
                <c:pt idx="1878">
                  <c:v>42557</c:v>
                </c:pt>
                <c:pt idx="1879">
                  <c:v>42558</c:v>
                </c:pt>
                <c:pt idx="1880">
                  <c:v>42559</c:v>
                </c:pt>
                <c:pt idx="1881">
                  <c:v>42562</c:v>
                </c:pt>
                <c:pt idx="1882">
                  <c:v>42563</c:v>
                </c:pt>
                <c:pt idx="1883">
                  <c:v>42564</c:v>
                </c:pt>
                <c:pt idx="1884">
                  <c:v>42565</c:v>
                </c:pt>
                <c:pt idx="1885">
                  <c:v>42566</c:v>
                </c:pt>
                <c:pt idx="1886">
                  <c:v>42569</c:v>
                </c:pt>
                <c:pt idx="1887">
                  <c:v>42570</c:v>
                </c:pt>
                <c:pt idx="1888">
                  <c:v>42571</c:v>
                </c:pt>
                <c:pt idx="1889">
                  <c:v>42572</c:v>
                </c:pt>
                <c:pt idx="1890">
                  <c:v>42573</c:v>
                </c:pt>
                <c:pt idx="1891">
                  <c:v>42576</c:v>
                </c:pt>
                <c:pt idx="1892">
                  <c:v>42577</c:v>
                </c:pt>
                <c:pt idx="1893">
                  <c:v>42578</c:v>
                </c:pt>
                <c:pt idx="1894">
                  <c:v>42579</c:v>
                </c:pt>
                <c:pt idx="1895">
                  <c:v>42580</c:v>
                </c:pt>
                <c:pt idx="1896">
                  <c:v>42583</c:v>
                </c:pt>
                <c:pt idx="1897">
                  <c:v>42584</c:v>
                </c:pt>
                <c:pt idx="1898">
                  <c:v>42585</c:v>
                </c:pt>
                <c:pt idx="1899">
                  <c:v>42586</c:v>
                </c:pt>
                <c:pt idx="1900">
                  <c:v>42587</c:v>
                </c:pt>
                <c:pt idx="1901">
                  <c:v>42590</c:v>
                </c:pt>
                <c:pt idx="1902">
                  <c:v>42591</c:v>
                </c:pt>
                <c:pt idx="1903">
                  <c:v>42592</c:v>
                </c:pt>
                <c:pt idx="1904">
                  <c:v>42593</c:v>
                </c:pt>
                <c:pt idx="1905">
                  <c:v>42594</c:v>
                </c:pt>
                <c:pt idx="1906">
                  <c:v>42597</c:v>
                </c:pt>
                <c:pt idx="1907">
                  <c:v>42598</c:v>
                </c:pt>
                <c:pt idx="1908">
                  <c:v>42599</c:v>
                </c:pt>
                <c:pt idx="1909">
                  <c:v>42600</c:v>
                </c:pt>
                <c:pt idx="1910">
                  <c:v>42601</c:v>
                </c:pt>
                <c:pt idx="1911">
                  <c:v>42604</c:v>
                </c:pt>
                <c:pt idx="1912">
                  <c:v>42605</c:v>
                </c:pt>
                <c:pt idx="1913">
                  <c:v>42606</c:v>
                </c:pt>
                <c:pt idx="1914">
                  <c:v>42607</c:v>
                </c:pt>
                <c:pt idx="1915">
                  <c:v>42608</c:v>
                </c:pt>
                <c:pt idx="1916">
                  <c:v>42611</c:v>
                </c:pt>
                <c:pt idx="1917">
                  <c:v>42612</c:v>
                </c:pt>
                <c:pt idx="1918">
                  <c:v>42613</c:v>
                </c:pt>
                <c:pt idx="1919">
                  <c:v>42614</c:v>
                </c:pt>
                <c:pt idx="1920">
                  <c:v>42615</c:v>
                </c:pt>
                <c:pt idx="1921">
                  <c:v>42618</c:v>
                </c:pt>
                <c:pt idx="1922">
                  <c:v>42619</c:v>
                </c:pt>
                <c:pt idx="1923">
                  <c:v>42620</c:v>
                </c:pt>
                <c:pt idx="1924">
                  <c:v>42621</c:v>
                </c:pt>
                <c:pt idx="1925">
                  <c:v>42622</c:v>
                </c:pt>
                <c:pt idx="1926">
                  <c:v>42625</c:v>
                </c:pt>
                <c:pt idx="1927">
                  <c:v>42626</c:v>
                </c:pt>
                <c:pt idx="1928">
                  <c:v>42627</c:v>
                </c:pt>
                <c:pt idx="1929">
                  <c:v>42628</c:v>
                </c:pt>
                <c:pt idx="1930">
                  <c:v>42629</c:v>
                </c:pt>
                <c:pt idx="1931">
                  <c:v>42632</c:v>
                </c:pt>
                <c:pt idx="1932">
                  <c:v>42633</c:v>
                </c:pt>
                <c:pt idx="1933">
                  <c:v>42634</c:v>
                </c:pt>
                <c:pt idx="1934">
                  <c:v>42635</c:v>
                </c:pt>
                <c:pt idx="1935">
                  <c:v>42636</c:v>
                </c:pt>
                <c:pt idx="1936">
                  <c:v>42639</c:v>
                </c:pt>
                <c:pt idx="1937">
                  <c:v>42640</c:v>
                </c:pt>
                <c:pt idx="1938">
                  <c:v>42641</c:v>
                </c:pt>
                <c:pt idx="1939">
                  <c:v>42642</c:v>
                </c:pt>
                <c:pt idx="1940">
                  <c:v>42643</c:v>
                </c:pt>
                <c:pt idx="1941">
                  <c:v>42646</c:v>
                </c:pt>
                <c:pt idx="1942">
                  <c:v>42647</c:v>
                </c:pt>
                <c:pt idx="1943">
                  <c:v>42648</c:v>
                </c:pt>
                <c:pt idx="1944">
                  <c:v>42649</c:v>
                </c:pt>
                <c:pt idx="1945">
                  <c:v>42650</c:v>
                </c:pt>
                <c:pt idx="1946">
                  <c:v>42653</c:v>
                </c:pt>
                <c:pt idx="1947">
                  <c:v>42654</c:v>
                </c:pt>
                <c:pt idx="1948">
                  <c:v>42655</c:v>
                </c:pt>
                <c:pt idx="1949">
                  <c:v>42656</c:v>
                </c:pt>
                <c:pt idx="1950">
                  <c:v>42657</c:v>
                </c:pt>
                <c:pt idx="1951">
                  <c:v>42660</c:v>
                </c:pt>
                <c:pt idx="1952">
                  <c:v>42661</c:v>
                </c:pt>
                <c:pt idx="1953">
                  <c:v>42662</c:v>
                </c:pt>
                <c:pt idx="1954">
                  <c:v>42663</c:v>
                </c:pt>
                <c:pt idx="1955">
                  <c:v>42664</c:v>
                </c:pt>
                <c:pt idx="1956">
                  <c:v>42668</c:v>
                </c:pt>
                <c:pt idx="1957">
                  <c:v>42669</c:v>
                </c:pt>
                <c:pt idx="1958">
                  <c:v>42670</c:v>
                </c:pt>
                <c:pt idx="1959">
                  <c:v>42671</c:v>
                </c:pt>
                <c:pt idx="1960">
                  <c:v>42674</c:v>
                </c:pt>
                <c:pt idx="1961">
                  <c:v>42675</c:v>
                </c:pt>
                <c:pt idx="1962">
                  <c:v>42676</c:v>
                </c:pt>
                <c:pt idx="1963">
                  <c:v>42677</c:v>
                </c:pt>
                <c:pt idx="1964">
                  <c:v>42678</c:v>
                </c:pt>
                <c:pt idx="1965">
                  <c:v>42681</c:v>
                </c:pt>
                <c:pt idx="1966">
                  <c:v>42682</c:v>
                </c:pt>
                <c:pt idx="1967">
                  <c:v>42683</c:v>
                </c:pt>
                <c:pt idx="1968">
                  <c:v>42684</c:v>
                </c:pt>
                <c:pt idx="1969">
                  <c:v>42685</c:v>
                </c:pt>
                <c:pt idx="1970">
                  <c:v>42688</c:v>
                </c:pt>
                <c:pt idx="1971">
                  <c:v>42689</c:v>
                </c:pt>
                <c:pt idx="1972">
                  <c:v>42690</c:v>
                </c:pt>
                <c:pt idx="1973">
                  <c:v>42691</c:v>
                </c:pt>
                <c:pt idx="1974">
                  <c:v>42692</c:v>
                </c:pt>
                <c:pt idx="1975">
                  <c:v>42695</c:v>
                </c:pt>
                <c:pt idx="1976">
                  <c:v>42696</c:v>
                </c:pt>
                <c:pt idx="1977">
                  <c:v>42697</c:v>
                </c:pt>
                <c:pt idx="1978">
                  <c:v>42698</c:v>
                </c:pt>
                <c:pt idx="1979">
                  <c:v>42699</c:v>
                </c:pt>
                <c:pt idx="1980">
                  <c:v>42702</c:v>
                </c:pt>
                <c:pt idx="1981">
                  <c:v>42703</c:v>
                </c:pt>
                <c:pt idx="1982">
                  <c:v>42704</c:v>
                </c:pt>
                <c:pt idx="1983">
                  <c:v>42705</c:v>
                </c:pt>
                <c:pt idx="1984">
                  <c:v>42706</c:v>
                </c:pt>
                <c:pt idx="1985">
                  <c:v>42709</c:v>
                </c:pt>
                <c:pt idx="1986">
                  <c:v>42710</c:v>
                </c:pt>
                <c:pt idx="1987">
                  <c:v>42711</c:v>
                </c:pt>
                <c:pt idx="1988">
                  <c:v>42712</c:v>
                </c:pt>
                <c:pt idx="1989">
                  <c:v>42713</c:v>
                </c:pt>
                <c:pt idx="1990">
                  <c:v>42716</c:v>
                </c:pt>
                <c:pt idx="1991">
                  <c:v>42717</c:v>
                </c:pt>
                <c:pt idx="1992">
                  <c:v>42718</c:v>
                </c:pt>
                <c:pt idx="1993">
                  <c:v>42719</c:v>
                </c:pt>
                <c:pt idx="1994">
                  <c:v>42720</c:v>
                </c:pt>
                <c:pt idx="1995">
                  <c:v>42723</c:v>
                </c:pt>
                <c:pt idx="1996">
                  <c:v>42724</c:v>
                </c:pt>
                <c:pt idx="1997">
                  <c:v>42725</c:v>
                </c:pt>
                <c:pt idx="1998">
                  <c:v>42726</c:v>
                </c:pt>
                <c:pt idx="1999">
                  <c:v>42727</c:v>
                </c:pt>
                <c:pt idx="2000">
                  <c:v>42744</c:v>
                </c:pt>
                <c:pt idx="2001">
                  <c:v>42745</c:v>
                </c:pt>
                <c:pt idx="2002">
                  <c:v>42746</c:v>
                </c:pt>
                <c:pt idx="2003">
                  <c:v>42747</c:v>
                </c:pt>
                <c:pt idx="2004">
                  <c:v>42748</c:v>
                </c:pt>
                <c:pt idx="2005">
                  <c:v>42751</c:v>
                </c:pt>
                <c:pt idx="2006">
                  <c:v>42752</c:v>
                </c:pt>
                <c:pt idx="2007">
                  <c:v>42753</c:v>
                </c:pt>
                <c:pt idx="2008">
                  <c:v>42754</c:v>
                </c:pt>
                <c:pt idx="2009">
                  <c:v>42755</c:v>
                </c:pt>
                <c:pt idx="2010">
                  <c:v>42758</c:v>
                </c:pt>
                <c:pt idx="2011">
                  <c:v>42759</c:v>
                </c:pt>
                <c:pt idx="2012">
                  <c:v>42760</c:v>
                </c:pt>
                <c:pt idx="2013">
                  <c:v>42761</c:v>
                </c:pt>
                <c:pt idx="2014">
                  <c:v>42762</c:v>
                </c:pt>
                <c:pt idx="2015">
                  <c:v>42765</c:v>
                </c:pt>
                <c:pt idx="2016">
                  <c:v>42766</c:v>
                </c:pt>
                <c:pt idx="2017">
                  <c:v>42767</c:v>
                </c:pt>
                <c:pt idx="2018">
                  <c:v>42768</c:v>
                </c:pt>
                <c:pt idx="2019">
                  <c:v>42769</c:v>
                </c:pt>
                <c:pt idx="2020">
                  <c:v>42773</c:v>
                </c:pt>
                <c:pt idx="2021">
                  <c:v>42774</c:v>
                </c:pt>
                <c:pt idx="2022">
                  <c:v>42775</c:v>
                </c:pt>
                <c:pt idx="2023">
                  <c:v>42776</c:v>
                </c:pt>
                <c:pt idx="2024">
                  <c:v>42779</c:v>
                </c:pt>
                <c:pt idx="2025">
                  <c:v>42780</c:v>
                </c:pt>
                <c:pt idx="2026">
                  <c:v>42781</c:v>
                </c:pt>
                <c:pt idx="2027">
                  <c:v>42782</c:v>
                </c:pt>
                <c:pt idx="2028">
                  <c:v>42783</c:v>
                </c:pt>
                <c:pt idx="2029">
                  <c:v>42786</c:v>
                </c:pt>
                <c:pt idx="2030">
                  <c:v>42787</c:v>
                </c:pt>
                <c:pt idx="2031">
                  <c:v>42788</c:v>
                </c:pt>
                <c:pt idx="2032">
                  <c:v>42789</c:v>
                </c:pt>
                <c:pt idx="2033">
                  <c:v>42790</c:v>
                </c:pt>
                <c:pt idx="2034">
                  <c:v>42793</c:v>
                </c:pt>
                <c:pt idx="2035">
                  <c:v>42794</c:v>
                </c:pt>
                <c:pt idx="2036">
                  <c:v>42795</c:v>
                </c:pt>
                <c:pt idx="2037">
                  <c:v>42796</c:v>
                </c:pt>
                <c:pt idx="2038">
                  <c:v>42797</c:v>
                </c:pt>
                <c:pt idx="2039">
                  <c:v>42800</c:v>
                </c:pt>
                <c:pt idx="2040">
                  <c:v>42801</c:v>
                </c:pt>
                <c:pt idx="2041">
                  <c:v>42802</c:v>
                </c:pt>
                <c:pt idx="2042">
                  <c:v>42803</c:v>
                </c:pt>
                <c:pt idx="2043">
                  <c:v>42804</c:v>
                </c:pt>
                <c:pt idx="2044">
                  <c:v>42807</c:v>
                </c:pt>
                <c:pt idx="2045">
                  <c:v>42808</c:v>
                </c:pt>
                <c:pt idx="2046">
                  <c:v>42809</c:v>
                </c:pt>
                <c:pt idx="2047">
                  <c:v>42810</c:v>
                </c:pt>
                <c:pt idx="2048">
                  <c:v>42811</c:v>
                </c:pt>
                <c:pt idx="2049">
                  <c:v>42814</c:v>
                </c:pt>
                <c:pt idx="2050">
                  <c:v>42815</c:v>
                </c:pt>
                <c:pt idx="2051">
                  <c:v>42816</c:v>
                </c:pt>
                <c:pt idx="2052">
                  <c:v>42817</c:v>
                </c:pt>
                <c:pt idx="2053">
                  <c:v>42818</c:v>
                </c:pt>
                <c:pt idx="2054">
                  <c:v>42821</c:v>
                </c:pt>
                <c:pt idx="2055">
                  <c:v>42822</c:v>
                </c:pt>
                <c:pt idx="2056">
                  <c:v>42823</c:v>
                </c:pt>
                <c:pt idx="2057">
                  <c:v>42824</c:v>
                </c:pt>
                <c:pt idx="2058">
                  <c:v>42825</c:v>
                </c:pt>
                <c:pt idx="2059">
                  <c:v>42828</c:v>
                </c:pt>
                <c:pt idx="2060">
                  <c:v>42829</c:v>
                </c:pt>
                <c:pt idx="2061">
                  <c:v>42830</c:v>
                </c:pt>
                <c:pt idx="2062">
                  <c:v>42831</c:v>
                </c:pt>
                <c:pt idx="2063">
                  <c:v>42832</c:v>
                </c:pt>
                <c:pt idx="2064">
                  <c:v>42835</c:v>
                </c:pt>
                <c:pt idx="2065">
                  <c:v>42836</c:v>
                </c:pt>
                <c:pt idx="2066">
                  <c:v>42837</c:v>
                </c:pt>
                <c:pt idx="2067">
                  <c:v>42838</c:v>
                </c:pt>
                <c:pt idx="2068">
                  <c:v>42839</c:v>
                </c:pt>
                <c:pt idx="2069">
                  <c:v>42842</c:v>
                </c:pt>
                <c:pt idx="2070">
                  <c:v>42843</c:v>
                </c:pt>
                <c:pt idx="2071">
                  <c:v>42844</c:v>
                </c:pt>
                <c:pt idx="2072">
                  <c:v>42845</c:v>
                </c:pt>
                <c:pt idx="2073">
                  <c:v>42846</c:v>
                </c:pt>
                <c:pt idx="2074">
                  <c:v>42849</c:v>
                </c:pt>
                <c:pt idx="2075">
                  <c:v>42850</c:v>
                </c:pt>
                <c:pt idx="2076">
                  <c:v>42851</c:v>
                </c:pt>
                <c:pt idx="2077">
                  <c:v>42852</c:v>
                </c:pt>
                <c:pt idx="2078">
                  <c:v>42853</c:v>
                </c:pt>
                <c:pt idx="2079">
                  <c:v>42856</c:v>
                </c:pt>
                <c:pt idx="2080">
                  <c:v>42857</c:v>
                </c:pt>
                <c:pt idx="2081">
                  <c:v>42858</c:v>
                </c:pt>
                <c:pt idx="2082">
                  <c:v>42859</c:v>
                </c:pt>
                <c:pt idx="2083">
                  <c:v>42860</c:v>
                </c:pt>
                <c:pt idx="2084">
                  <c:v>42863</c:v>
                </c:pt>
                <c:pt idx="2085">
                  <c:v>42864</c:v>
                </c:pt>
                <c:pt idx="2086">
                  <c:v>42865</c:v>
                </c:pt>
                <c:pt idx="2087">
                  <c:v>42866</c:v>
                </c:pt>
                <c:pt idx="2088">
                  <c:v>42867</c:v>
                </c:pt>
                <c:pt idx="2089">
                  <c:v>42870</c:v>
                </c:pt>
                <c:pt idx="2090">
                  <c:v>42871</c:v>
                </c:pt>
                <c:pt idx="2091">
                  <c:v>42872</c:v>
                </c:pt>
                <c:pt idx="2092">
                  <c:v>42873</c:v>
                </c:pt>
                <c:pt idx="2093">
                  <c:v>42874</c:v>
                </c:pt>
                <c:pt idx="2094">
                  <c:v>42877</c:v>
                </c:pt>
                <c:pt idx="2095">
                  <c:v>42878</c:v>
                </c:pt>
                <c:pt idx="2096">
                  <c:v>42879</c:v>
                </c:pt>
                <c:pt idx="2097">
                  <c:v>42880</c:v>
                </c:pt>
                <c:pt idx="2098">
                  <c:v>42881</c:v>
                </c:pt>
                <c:pt idx="2099">
                  <c:v>42884</c:v>
                </c:pt>
                <c:pt idx="2100">
                  <c:v>42885</c:v>
                </c:pt>
                <c:pt idx="2101">
                  <c:v>42886</c:v>
                </c:pt>
                <c:pt idx="2102">
                  <c:v>42887</c:v>
                </c:pt>
                <c:pt idx="2103">
                  <c:v>42888</c:v>
                </c:pt>
                <c:pt idx="2104">
                  <c:v>42892</c:v>
                </c:pt>
                <c:pt idx="2105">
                  <c:v>42893</c:v>
                </c:pt>
                <c:pt idx="2106">
                  <c:v>42894</c:v>
                </c:pt>
                <c:pt idx="2107">
                  <c:v>42895</c:v>
                </c:pt>
                <c:pt idx="2108">
                  <c:v>42898</c:v>
                </c:pt>
                <c:pt idx="2109">
                  <c:v>42899</c:v>
                </c:pt>
                <c:pt idx="2110">
                  <c:v>42900</c:v>
                </c:pt>
                <c:pt idx="2111">
                  <c:v>42901</c:v>
                </c:pt>
                <c:pt idx="2112">
                  <c:v>42902</c:v>
                </c:pt>
                <c:pt idx="2113">
                  <c:v>42905</c:v>
                </c:pt>
                <c:pt idx="2114">
                  <c:v>42906</c:v>
                </c:pt>
                <c:pt idx="2115">
                  <c:v>42907</c:v>
                </c:pt>
                <c:pt idx="2116">
                  <c:v>42908</c:v>
                </c:pt>
                <c:pt idx="2117">
                  <c:v>42909</c:v>
                </c:pt>
                <c:pt idx="2118">
                  <c:v>42912</c:v>
                </c:pt>
                <c:pt idx="2119">
                  <c:v>42913</c:v>
                </c:pt>
                <c:pt idx="2120">
                  <c:v>42914</c:v>
                </c:pt>
                <c:pt idx="2121">
                  <c:v>42915</c:v>
                </c:pt>
                <c:pt idx="2122">
                  <c:v>42916</c:v>
                </c:pt>
                <c:pt idx="2123">
                  <c:v>42919</c:v>
                </c:pt>
                <c:pt idx="2124">
                  <c:v>42920</c:v>
                </c:pt>
                <c:pt idx="2125">
                  <c:v>42921</c:v>
                </c:pt>
                <c:pt idx="2126">
                  <c:v>42922</c:v>
                </c:pt>
                <c:pt idx="2127">
                  <c:v>42923</c:v>
                </c:pt>
                <c:pt idx="2128">
                  <c:v>42926</c:v>
                </c:pt>
                <c:pt idx="2129">
                  <c:v>42927</c:v>
                </c:pt>
                <c:pt idx="2130">
                  <c:v>42928</c:v>
                </c:pt>
                <c:pt idx="2131">
                  <c:v>42929</c:v>
                </c:pt>
                <c:pt idx="2132">
                  <c:v>42930</c:v>
                </c:pt>
                <c:pt idx="2133">
                  <c:v>42933</c:v>
                </c:pt>
                <c:pt idx="2134">
                  <c:v>42934</c:v>
                </c:pt>
                <c:pt idx="2135">
                  <c:v>42935</c:v>
                </c:pt>
                <c:pt idx="2136">
                  <c:v>42936</c:v>
                </c:pt>
                <c:pt idx="2137">
                  <c:v>42937</c:v>
                </c:pt>
                <c:pt idx="2138">
                  <c:v>42940</c:v>
                </c:pt>
                <c:pt idx="2139">
                  <c:v>42941</c:v>
                </c:pt>
                <c:pt idx="2140">
                  <c:v>42942</c:v>
                </c:pt>
                <c:pt idx="2141">
                  <c:v>42943</c:v>
                </c:pt>
                <c:pt idx="2142">
                  <c:v>42944</c:v>
                </c:pt>
                <c:pt idx="2143">
                  <c:v>42947</c:v>
                </c:pt>
                <c:pt idx="2144">
                  <c:v>42948</c:v>
                </c:pt>
                <c:pt idx="2145">
                  <c:v>42949</c:v>
                </c:pt>
                <c:pt idx="2146">
                  <c:v>42950</c:v>
                </c:pt>
                <c:pt idx="2147">
                  <c:v>42951</c:v>
                </c:pt>
                <c:pt idx="2148">
                  <c:v>42954</c:v>
                </c:pt>
                <c:pt idx="2149">
                  <c:v>42955</c:v>
                </c:pt>
                <c:pt idx="2150">
                  <c:v>42956</c:v>
                </c:pt>
                <c:pt idx="2151">
                  <c:v>42957</c:v>
                </c:pt>
                <c:pt idx="2152">
                  <c:v>42958</c:v>
                </c:pt>
                <c:pt idx="2153">
                  <c:v>42961</c:v>
                </c:pt>
                <c:pt idx="2154">
                  <c:v>42962</c:v>
                </c:pt>
                <c:pt idx="2155">
                  <c:v>42963</c:v>
                </c:pt>
                <c:pt idx="2156">
                  <c:v>42964</c:v>
                </c:pt>
                <c:pt idx="2157">
                  <c:v>42965</c:v>
                </c:pt>
                <c:pt idx="2158">
                  <c:v>42968</c:v>
                </c:pt>
                <c:pt idx="2159">
                  <c:v>42969</c:v>
                </c:pt>
                <c:pt idx="2160">
                  <c:v>42970</c:v>
                </c:pt>
                <c:pt idx="2161">
                  <c:v>42971</c:v>
                </c:pt>
                <c:pt idx="2162">
                  <c:v>42972</c:v>
                </c:pt>
                <c:pt idx="2163">
                  <c:v>42975</c:v>
                </c:pt>
                <c:pt idx="2164">
                  <c:v>42976</c:v>
                </c:pt>
                <c:pt idx="2165">
                  <c:v>42977</c:v>
                </c:pt>
                <c:pt idx="2166">
                  <c:v>42978</c:v>
                </c:pt>
                <c:pt idx="2167">
                  <c:v>42979</c:v>
                </c:pt>
                <c:pt idx="2168">
                  <c:v>42980</c:v>
                </c:pt>
                <c:pt idx="2169">
                  <c:v>42982</c:v>
                </c:pt>
                <c:pt idx="2170">
                  <c:v>42983</c:v>
                </c:pt>
                <c:pt idx="2171">
                  <c:v>42984</c:v>
                </c:pt>
                <c:pt idx="2172">
                  <c:v>42985</c:v>
                </c:pt>
                <c:pt idx="2173">
                  <c:v>42986</c:v>
                </c:pt>
                <c:pt idx="2174">
                  <c:v>42989</c:v>
                </c:pt>
                <c:pt idx="2175">
                  <c:v>42990</c:v>
                </c:pt>
                <c:pt idx="2176">
                  <c:v>42991</c:v>
                </c:pt>
                <c:pt idx="2177">
                  <c:v>42992</c:v>
                </c:pt>
                <c:pt idx="2178">
                  <c:v>42993</c:v>
                </c:pt>
                <c:pt idx="2179">
                  <c:v>42996</c:v>
                </c:pt>
                <c:pt idx="2180">
                  <c:v>42997</c:v>
                </c:pt>
                <c:pt idx="2181">
                  <c:v>42998</c:v>
                </c:pt>
                <c:pt idx="2182">
                  <c:v>42999</c:v>
                </c:pt>
                <c:pt idx="2183">
                  <c:v>43000</c:v>
                </c:pt>
                <c:pt idx="2184">
                  <c:v>43003</c:v>
                </c:pt>
                <c:pt idx="2185">
                  <c:v>43004</c:v>
                </c:pt>
                <c:pt idx="2186">
                  <c:v>43005</c:v>
                </c:pt>
                <c:pt idx="2187">
                  <c:v>43006</c:v>
                </c:pt>
                <c:pt idx="2188">
                  <c:v>43007</c:v>
                </c:pt>
                <c:pt idx="2189">
                  <c:v>43010</c:v>
                </c:pt>
                <c:pt idx="2190">
                  <c:v>43011</c:v>
                </c:pt>
                <c:pt idx="2191">
                  <c:v>43012</c:v>
                </c:pt>
                <c:pt idx="2192">
                  <c:v>43013</c:v>
                </c:pt>
                <c:pt idx="2193">
                  <c:v>43014</c:v>
                </c:pt>
                <c:pt idx="2194">
                  <c:v>43017</c:v>
                </c:pt>
                <c:pt idx="2195">
                  <c:v>43018</c:v>
                </c:pt>
                <c:pt idx="2196">
                  <c:v>43019</c:v>
                </c:pt>
                <c:pt idx="2197">
                  <c:v>43020</c:v>
                </c:pt>
                <c:pt idx="2198">
                  <c:v>43021</c:v>
                </c:pt>
                <c:pt idx="2199">
                  <c:v>43024</c:v>
                </c:pt>
                <c:pt idx="2200">
                  <c:v>43025</c:v>
                </c:pt>
                <c:pt idx="2201">
                  <c:v>43026</c:v>
                </c:pt>
                <c:pt idx="2202">
                  <c:v>43027</c:v>
                </c:pt>
                <c:pt idx="2203">
                  <c:v>43028</c:v>
                </c:pt>
                <c:pt idx="2204">
                  <c:v>43031</c:v>
                </c:pt>
                <c:pt idx="2205">
                  <c:v>43032</c:v>
                </c:pt>
                <c:pt idx="2206">
                  <c:v>43033</c:v>
                </c:pt>
                <c:pt idx="2207">
                  <c:v>43034</c:v>
                </c:pt>
                <c:pt idx="2208">
                  <c:v>43035</c:v>
                </c:pt>
                <c:pt idx="2209">
                  <c:v>43038</c:v>
                </c:pt>
                <c:pt idx="2210">
                  <c:v>43039</c:v>
                </c:pt>
                <c:pt idx="2211">
                  <c:v>43040</c:v>
                </c:pt>
                <c:pt idx="2212">
                  <c:v>43041</c:v>
                </c:pt>
                <c:pt idx="2213">
                  <c:v>43042</c:v>
                </c:pt>
                <c:pt idx="2214">
                  <c:v>43045</c:v>
                </c:pt>
                <c:pt idx="2215">
                  <c:v>43046</c:v>
                </c:pt>
                <c:pt idx="2216">
                  <c:v>43047</c:v>
                </c:pt>
                <c:pt idx="2217">
                  <c:v>43048</c:v>
                </c:pt>
                <c:pt idx="2218">
                  <c:v>43049</c:v>
                </c:pt>
                <c:pt idx="2219">
                  <c:v>43052</c:v>
                </c:pt>
                <c:pt idx="2220">
                  <c:v>43053</c:v>
                </c:pt>
                <c:pt idx="2221">
                  <c:v>43054</c:v>
                </c:pt>
                <c:pt idx="2222">
                  <c:v>43055</c:v>
                </c:pt>
                <c:pt idx="2223">
                  <c:v>43056</c:v>
                </c:pt>
                <c:pt idx="2224">
                  <c:v>43059</c:v>
                </c:pt>
                <c:pt idx="2225">
                  <c:v>43060</c:v>
                </c:pt>
                <c:pt idx="2226">
                  <c:v>43061</c:v>
                </c:pt>
                <c:pt idx="2227">
                  <c:v>43062</c:v>
                </c:pt>
                <c:pt idx="2228">
                  <c:v>43063</c:v>
                </c:pt>
                <c:pt idx="2229">
                  <c:v>43066</c:v>
                </c:pt>
                <c:pt idx="2230">
                  <c:v>43067</c:v>
                </c:pt>
                <c:pt idx="2231">
                  <c:v>43068</c:v>
                </c:pt>
                <c:pt idx="2232">
                  <c:v>43069</c:v>
                </c:pt>
                <c:pt idx="2233">
                  <c:v>43070</c:v>
                </c:pt>
                <c:pt idx="2234">
                  <c:v>43073</c:v>
                </c:pt>
                <c:pt idx="2235">
                  <c:v>43074</c:v>
                </c:pt>
                <c:pt idx="2236">
                  <c:v>43075</c:v>
                </c:pt>
                <c:pt idx="2237">
                  <c:v>43076</c:v>
                </c:pt>
                <c:pt idx="2238">
                  <c:v>43077</c:v>
                </c:pt>
                <c:pt idx="2239">
                  <c:v>43080</c:v>
                </c:pt>
                <c:pt idx="2240">
                  <c:v>43081</c:v>
                </c:pt>
                <c:pt idx="2241">
                  <c:v>43082</c:v>
                </c:pt>
                <c:pt idx="2242">
                  <c:v>43083</c:v>
                </c:pt>
                <c:pt idx="2243">
                  <c:v>43084</c:v>
                </c:pt>
                <c:pt idx="2244">
                  <c:v>43087</c:v>
                </c:pt>
                <c:pt idx="2245">
                  <c:v>43088</c:v>
                </c:pt>
                <c:pt idx="2246">
                  <c:v>43089</c:v>
                </c:pt>
                <c:pt idx="2247">
                  <c:v>43090</c:v>
                </c:pt>
                <c:pt idx="2248">
                  <c:v>43091</c:v>
                </c:pt>
                <c:pt idx="2249">
                  <c:v>43094</c:v>
                </c:pt>
                <c:pt idx="2250">
                  <c:v>43095</c:v>
                </c:pt>
                <c:pt idx="2251">
                  <c:v>43096</c:v>
                </c:pt>
                <c:pt idx="2252">
                  <c:v>43097</c:v>
                </c:pt>
                <c:pt idx="2253">
                  <c:v>43098</c:v>
                </c:pt>
                <c:pt idx="2254">
                  <c:v>43101</c:v>
                </c:pt>
                <c:pt idx="2255">
                  <c:v>43102</c:v>
                </c:pt>
                <c:pt idx="2256">
                  <c:v>43103</c:v>
                </c:pt>
                <c:pt idx="2257">
                  <c:v>43104</c:v>
                </c:pt>
                <c:pt idx="2258">
                  <c:v>43105</c:v>
                </c:pt>
                <c:pt idx="2259">
                  <c:v>43108</c:v>
                </c:pt>
                <c:pt idx="2260">
                  <c:v>43109</c:v>
                </c:pt>
                <c:pt idx="2261">
                  <c:v>43110</c:v>
                </c:pt>
                <c:pt idx="2262">
                  <c:v>43111</c:v>
                </c:pt>
                <c:pt idx="2263">
                  <c:v>43112</c:v>
                </c:pt>
                <c:pt idx="2264">
                  <c:v>43115</c:v>
                </c:pt>
                <c:pt idx="2265">
                  <c:v>43116</c:v>
                </c:pt>
                <c:pt idx="2266">
                  <c:v>43117</c:v>
                </c:pt>
                <c:pt idx="2267">
                  <c:v>43118</c:v>
                </c:pt>
                <c:pt idx="2268">
                  <c:v>43119</c:v>
                </c:pt>
                <c:pt idx="2269">
                  <c:v>43122</c:v>
                </c:pt>
                <c:pt idx="2270">
                  <c:v>43123</c:v>
                </c:pt>
                <c:pt idx="2271">
                  <c:v>43124</c:v>
                </c:pt>
                <c:pt idx="2272">
                  <c:v>43125</c:v>
                </c:pt>
                <c:pt idx="2273">
                  <c:v>43126</c:v>
                </c:pt>
                <c:pt idx="2274">
                  <c:v>43129</c:v>
                </c:pt>
                <c:pt idx="2275">
                  <c:v>43130</c:v>
                </c:pt>
                <c:pt idx="2276">
                  <c:v>43131</c:v>
                </c:pt>
                <c:pt idx="2277">
                  <c:v>43132</c:v>
                </c:pt>
                <c:pt idx="2278">
                  <c:v>43133</c:v>
                </c:pt>
                <c:pt idx="2279">
                  <c:v>43136</c:v>
                </c:pt>
                <c:pt idx="2280">
                  <c:v>43137</c:v>
                </c:pt>
                <c:pt idx="2281">
                  <c:v>43138</c:v>
                </c:pt>
                <c:pt idx="2282">
                  <c:v>43139</c:v>
                </c:pt>
                <c:pt idx="2283">
                  <c:v>43140</c:v>
                </c:pt>
                <c:pt idx="2284">
                  <c:v>43143</c:v>
                </c:pt>
                <c:pt idx="2285">
                  <c:v>43144</c:v>
                </c:pt>
                <c:pt idx="2286">
                  <c:v>43145</c:v>
                </c:pt>
                <c:pt idx="2287">
                  <c:v>43146</c:v>
                </c:pt>
                <c:pt idx="2288">
                  <c:v>43147</c:v>
                </c:pt>
                <c:pt idx="2289">
                  <c:v>43150</c:v>
                </c:pt>
                <c:pt idx="2290">
                  <c:v>43151</c:v>
                </c:pt>
                <c:pt idx="2291">
                  <c:v>43152</c:v>
                </c:pt>
                <c:pt idx="2292">
                  <c:v>43153</c:v>
                </c:pt>
                <c:pt idx="2293">
                  <c:v>43154</c:v>
                </c:pt>
                <c:pt idx="2294">
                  <c:v>43157</c:v>
                </c:pt>
                <c:pt idx="2295">
                  <c:v>43158</c:v>
                </c:pt>
                <c:pt idx="2296">
                  <c:v>43159</c:v>
                </c:pt>
                <c:pt idx="2297">
                  <c:v>43160</c:v>
                </c:pt>
                <c:pt idx="2298">
                  <c:v>43161</c:v>
                </c:pt>
                <c:pt idx="2299">
                  <c:v>43164</c:v>
                </c:pt>
                <c:pt idx="2300">
                  <c:v>43165</c:v>
                </c:pt>
                <c:pt idx="2301">
                  <c:v>43166</c:v>
                </c:pt>
                <c:pt idx="2302">
                  <c:v>43167</c:v>
                </c:pt>
                <c:pt idx="2303">
                  <c:v>43168</c:v>
                </c:pt>
                <c:pt idx="2304">
                  <c:v>43171</c:v>
                </c:pt>
                <c:pt idx="2305">
                  <c:v>43172</c:v>
                </c:pt>
                <c:pt idx="2306">
                  <c:v>43173</c:v>
                </c:pt>
                <c:pt idx="2307">
                  <c:v>43174</c:v>
                </c:pt>
                <c:pt idx="2308">
                  <c:v>43175</c:v>
                </c:pt>
                <c:pt idx="2309">
                  <c:v>43178</c:v>
                </c:pt>
                <c:pt idx="2310">
                  <c:v>43179</c:v>
                </c:pt>
                <c:pt idx="2311">
                  <c:v>43180</c:v>
                </c:pt>
                <c:pt idx="2312">
                  <c:v>43181</c:v>
                </c:pt>
                <c:pt idx="2313">
                  <c:v>43182</c:v>
                </c:pt>
                <c:pt idx="2314">
                  <c:v>43185</c:v>
                </c:pt>
                <c:pt idx="2315">
                  <c:v>43186</c:v>
                </c:pt>
                <c:pt idx="2316">
                  <c:v>43187</c:v>
                </c:pt>
                <c:pt idx="2317">
                  <c:v>43188</c:v>
                </c:pt>
                <c:pt idx="2318">
                  <c:v>43189</c:v>
                </c:pt>
                <c:pt idx="2319">
                  <c:v>43192</c:v>
                </c:pt>
                <c:pt idx="2320">
                  <c:v>43193</c:v>
                </c:pt>
                <c:pt idx="2321">
                  <c:v>43194</c:v>
                </c:pt>
                <c:pt idx="2322">
                  <c:v>43195</c:v>
                </c:pt>
                <c:pt idx="2323">
                  <c:v>43196</c:v>
                </c:pt>
                <c:pt idx="2324">
                  <c:v>43199</c:v>
                </c:pt>
                <c:pt idx="2325">
                  <c:v>43200</c:v>
                </c:pt>
                <c:pt idx="2326">
                  <c:v>43201</c:v>
                </c:pt>
                <c:pt idx="2327">
                  <c:v>43202</c:v>
                </c:pt>
                <c:pt idx="2328">
                  <c:v>43203</c:v>
                </c:pt>
                <c:pt idx="2329">
                  <c:v>43206</c:v>
                </c:pt>
                <c:pt idx="2330">
                  <c:v>43207</c:v>
                </c:pt>
                <c:pt idx="2331">
                  <c:v>43208</c:v>
                </c:pt>
                <c:pt idx="2332">
                  <c:v>43209</c:v>
                </c:pt>
                <c:pt idx="2333">
                  <c:v>43210</c:v>
                </c:pt>
                <c:pt idx="2334">
                  <c:v>43213</c:v>
                </c:pt>
                <c:pt idx="2335">
                  <c:v>43214</c:v>
                </c:pt>
                <c:pt idx="2336">
                  <c:v>43216</c:v>
                </c:pt>
                <c:pt idx="2337">
                  <c:v>43217</c:v>
                </c:pt>
                <c:pt idx="2338">
                  <c:v>43220</c:v>
                </c:pt>
                <c:pt idx="2339">
                  <c:v>43221</c:v>
                </c:pt>
                <c:pt idx="2340">
                  <c:v>43222</c:v>
                </c:pt>
                <c:pt idx="2341">
                  <c:v>43223</c:v>
                </c:pt>
                <c:pt idx="2342">
                  <c:v>43224</c:v>
                </c:pt>
                <c:pt idx="2343">
                  <c:v>43227</c:v>
                </c:pt>
                <c:pt idx="2344">
                  <c:v>43228</c:v>
                </c:pt>
                <c:pt idx="2345">
                  <c:v>43229</c:v>
                </c:pt>
                <c:pt idx="2346">
                  <c:v>43230</c:v>
                </c:pt>
                <c:pt idx="2347">
                  <c:v>43231</c:v>
                </c:pt>
                <c:pt idx="2348">
                  <c:v>43234</c:v>
                </c:pt>
                <c:pt idx="2349">
                  <c:v>43235</c:v>
                </c:pt>
                <c:pt idx="2350">
                  <c:v>43236</c:v>
                </c:pt>
                <c:pt idx="2351">
                  <c:v>43237</c:v>
                </c:pt>
                <c:pt idx="2352">
                  <c:v>43238</c:v>
                </c:pt>
                <c:pt idx="2353">
                  <c:v>43241</c:v>
                </c:pt>
                <c:pt idx="2354">
                  <c:v>43242</c:v>
                </c:pt>
                <c:pt idx="2355">
                  <c:v>43243</c:v>
                </c:pt>
                <c:pt idx="2356">
                  <c:v>43244</c:v>
                </c:pt>
                <c:pt idx="2357">
                  <c:v>43245</c:v>
                </c:pt>
                <c:pt idx="2358">
                  <c:v>43248</c:v>
                </c:pt>
                <c:pt idx="2359">
                  <c:v>43249</c:v>
                </c:pt>
                <c:pt idx="2360">
                  <c:v>43250</c:v>
                </c:pt>
                <c:pt idx="2361">
                  <c:v>43251</c:v>
                </c:pt>
                <c:pt idx="2362">
                  <c:v>43252</c:v>
                </c:pt>
                <c:pt idx="2363">
                  <c:v>43255</c:v>
                </c:pt>
                <c:pt idx="2364">
                  <c:v>43256</c:v>
                </c:pt>
                <c:pt idx="2365">
                  <c:v>43257</c:v>
                </c:pt>
                <c:pt idx="2366">
                  <c:v>43258</c:v>
                </c:pt>
                <c:pt idx="2367">
                  <c:v>43259</c:v>
                </c:pt>
                <c:pt idx="2368">
                  <c:v>43262</c:v>
                </c:pt>
                <c:pt idx="2369">
                  <c:v>43263</c:v>
                </c:pt>
                <c:pt idx="2370">
                  <c:v>43264</c:v>
                </c:pt>
                <c:pt idx="2371">
                  <c:v>43265</c:v>
                </c:pt>
                <c:pt idx="2372">
                  <c:v>43266</c:v>
                </c:pt>
                <c:pt idx="2373">
                  <c:v>43269</c:v>
                </c:pt>
                <c:pt idx="2374">
                  <c:v>43270</c:v>
                </c:pt>
                <c:pt idx="2375">
                  <c:v>43271</c:v>
                </c:pt>
                <c:pt idx="2376">
                  <c:v>43272</c:v>
                </c:pt>
                <c:pt idx="2377">
                  <c:v>43273</c:v>
                </c:pt>
                <c:pt idx="2378">
                  <c:v>43276</c:v>
                </c:pt>
                <c:pt idx="2379">
                  <c:v>43277</c:v>
                </c:pt>
                <c:pt idx="2380">
                  <c:v>43278</c:v>
                </c:pt>
                <c:pt idx="2381">
                  <c:v>43279</c:v>
                </c:pt>
                <c:pt idx="2382">
                  <c:v>43280</c:v>
                </c:pt>
                <c:pt idx="2383">
                  <c:v>43283</c:v>
                </c:pt>
                <c:pt idx="2384">
                  <c:v>43284</c:v>
                </c:pt>
                <c:pt idx="2385">
                  <c:v>43285</c:v>
                </c:pt>
                <c:pt idx="2386">
                  <c:v>43286</c:v>
                </c:pt>
                <c:pt idx="2387">
                  <c:v>43287</c:v>
                </c:pt>
                <c:pt idx="2388">
                  <c:v>43290</c:v>
                </c:pt>
                <c:pt idx="2389">
                  <c:v>43291</c:v>
                </c:pt>
                <c:pt idx="2390">
                  <c:v>43292</c:v>
                </c:pt>
                <c:pt idx="2391">
                  <c:v>43293</c:v>
                </c:pt>
                <c:pt idx="2392">
                  <c:v>43294</c:v>
                </c:pt>
                <c:pt idx="2393">
                  <c:v>43297</c:v>
                </c:pt>
                <c:pt idx="2394">
                  <c:v>43298</c:v>
                </c:pt>
                <c:pt idx="2395">
                  <c:v>43299</c:v>
                </c:pt>
                <c:pt idx="2396">
                  <c:v>43300</c:v>
                </c:pt>
                <c:pt idx="2397">
                  <c:v>43301</c:v>
                </c:pt>
                <c:pt idx="2398">
                  <c:v>43304</c:v>
                </c:pt>
                <c:pt idx="2399">
                  <c:v>43305</c:v>
                </c:pt>
                <c:pt idx="2400">
                  <c:v>43306</c:v>
                </c:pt>
                <c:pt idx="2401">
                  <c:v>43307</c:v>
                </c:pt>
                <c:pt idx="2402">
                  <c:v>43308</c:v>
                </c:pt>
                <c:pt idx="2403">
                  <c:v>43311</c:v>
                </c:pt>
                <c:pt idx="2404">
                  <c:v>43312</c:v>
                </c:pt>
                <c:pt idx="2405">
                  <c:v>43313</c:v>
                </c:pt>
                <c:pt idx="2406">
                  <c:v>43314</c:v>
                </c:pt>
                <c:pt idx="2407">
                  <c:v>43315</c:v>
                </c:pt>
                <c:pt idx="2408">
                  <c:v>43318</c:v>
                </c:pt>
                <c:pt idx="2409">
                  <c:v>43319</c:v>
                </c:pt>
                <c:pt idx="2410">
                  <c:v>43320</c:v>
                </c:pt>
                <c:pt idx="2411">
                  <c:v>43321</c:v>
                </c:pt>
                <c:pt idx="2412">
                  <c:v>43322</c:v>
                </c:pt>
                <c:pt idx="2413">
                  <c:v>43325</c:v>
                </c:pt>
                <c:pt idx="2414">
                  <c:v>43326</c:v>
                </c:pt>
                <c:pt idx="2415">
                  <c:v>43327</c:v>
                </c:pt>
                <c:pt idx="2416">
                  <c:v>43328</c:v>
                </c:pt>
                <c:pt idx="2417">
                  <c:v>43329</c:v>
                </c:pt>
                <c:pt idx="2418">
                  <c:v>43332</c:v>
                </c:pt>
                <c:pt idx="2419">
                  <c:v>43333</c:v>
                </c:pt>
                <c:pt idx="2420">
                  <c:v>43334</c:v>
                </c:pt>
                <c:pt idx="2421">
                  <c:v>43335</c:v>
                </c:pt>
                <c:pt idx="2422">
                  <c:v>43336</c:v>
                </c:pt>
                <c:pt idx="2423">
                  <c:v>43339</c:v>
                </c:pt>
                <c:pt idx="2424">
                  <c:v>43340</c:v>
                </c:pt>
                <c:pt idx="2425">
                  <c:v>43341</c:v>
                </c:pt>
                <c:pt idx="2426">
                  <c:v>43342</c:v>
                </c:pt>
                <c:pt idx="2427">
                  <c:v>43343</c:v>
                </c:pt>
                <c:pt idx="2428">
                  <c:v>43346</c:v>
                </c:pt>
                <c:pt idx="2429">
                  <c:v>43347</c:v>
                </c:pt>
                <c:pt idx="2430">
                  <c:v>43348</c:v>
                </c:pt>
                <c:pt idx="2431">
                  <c:v>43349</c:v>
                </c:pt>
                <c:pt idx="2432">
                  <c:v>43350</c:v>
                </c:pt>
                <c:pt idx="2433">
                  <c:v>43353</c:v>
                </c:pt>
                <c:pt idx="2434">
                  <c:v>43354</c:v>
                </c:pt>
                <c:pt idx="2435">
                  <c:v>43355</c:v>
                </c:pt>
                <c:pt idx="2436">
                  <c:v>43356</c:v>
                </c:pt>
                <c:pt idx="2437">
                  <c:v>43357</c:v>
                </c:pt>
                <c:pt idx="2438">
                  <c:v>43360</c:v>
                </c:pt>
                <c:pt idx="2439">
                  <c:v>43361</c:v>
                </c:pt>
                <c:pt idx="2440">
                  <c:v>43362</c:v>
                </c:pt>
                <c:pt idx="2441">
                  <c:v>43363</c:v>
                </c:pt>
                <c:pt idx="2442">
                  <c:v>43364</c:v>
                </c:pt>
                <c:pt idx="2443">
                  <c:v>43367</c:v>
                </c:pt>
                <c:pt idx="2444">
                  <c:v>43368</c:v>
                </c:pt>
                <c:pt idx="2445">
                  <c:v>43369</c:v>
                </c:pt>
                <c:pt idx="2446">
                  <c:v>43370</c:v>
                </c:pt>
                <c:pt idx="2447">
                  <c:v>43371</c:v>
                </c:pt>
                <c:pt idx="2448">
                  <c:v>43374</c:v>
                </c:pt>
                <c:pt idx="2449">
                  <c:v>43375</c:v>
                </c:pt>
                <c:pt idx="2450">
                  <c:v>43376</c:v>
                </c:pt>
                <c:pt idx="2451">
                  <c:v>43377</c:v>
                </c:pt>
                <c:pt idx="2452">
                  <c:v>43378</c:v>
                </c:pt>
                <c:pt idx="2453">
                  <c:v>43381</c:v>
                </c:pt>
                <c:pt idx="2454">
                  <c:v>43382</c:v>
                </c:pt>
                <c:pt idx="2455">
                  <c:v>43383</c:v>
                </c:pt>
                <c:pt idx="2456">
                  <c:v>43384</c:v>
                </c:pt>
                <c:pt idx="2457">
                  <c:v>43385</c:v>
                </c:pt>
                <c:pt idx="2458">
                  <c:v>43388</c:v>
                </c:pt>
                <c:pt idx="2459">
                  <c:v>43389</c:v>
                </c:pt>
                <c:pt idx="2460">
                  <c:v>43390</c:v>
                </c:pt>
                <c:pt idx="2461">
                  <c:v>43391</c:v>
                </c:pt>
                <c:pt idx="2462">
                  <c:v>43392</c:v>
                </c:pt>
                <c:pt idx="2463">
                  <c:v>43395</c:v>
                </c:pt>
                <c:pt idx="2464">
                  <c:v>43396</c:v>
                </c:pt>
                <c:pt idx="2465">
                  <c:v>43397</c:v>
                </c:pt>
                <c:pt idx="2466">
                  <c:v>43398</c:v>
                </c:pt>
                <c:pt idx="2467">
                  <c:v>43399</c:v>
                </c:pt>
                <c:pt idx="2468">
                  <c:v>43402</c:v>
                </c:pt>
                <c:pt idx="2469">
                  <c:v>43403</c:v>
                </c:pt>
                <c:pt idx="2470">
                  <c:v>43404</c:v>
                </c:pt>
                <c:pt idx="2471">
                  <c:v>43405</c:v>
                </c:pt>
                <c:pt idx="2472">
                  <c:v>43406</c:v>
                </c:pt>
                <c:pt idx="2473">
                  <c:v>43409</c:v>
                </c:pt>
                <c:pt idx="2474">
                  <c:v>43410</c:v>
                </c:pt>
                <c:pt idx="2475">
                  <c:v>43411</c:v>
                </c:pt>
                <c:pt idx="2476">
                  <c:v>43412</c:v>
                </c:pt>
                <c:pt idx="2477">
                  <c:v>43413</c:v>
                </c:pt>
                <c:pt idx="2478">
                  <c:v>43416</c:v>
                </c:pt>
                <c:pt idx="2479">
                  <c:v>43417</c:v>
                </c:pt>
                <c:pt idx="2480">
                  <c:v>43418</c:v>
                </c:pt>
                <c:pt idx="2481">
                  <c:v>43419</c:v>
                </c:pt>
                <c:pt idx="2482">
                  <c:v>43420</c:v>
                </c:pt>
                <c:pt idx="2483">
                  <c:v>43423</c:v>
                </c:pt>
                <c:pt idx="2484">
                  <c:v>43424</c:v>
                </c:pt>
                <c:pt idx="2485">
                  <c:v>43425</c:v>
                </c:pt>
                <c:pt idx="2486">
                  <c:v>43426</c:v>
                </c:pt>
                <c:pt idx="2487">
                  <c:v>43427</c:v>
                </c:pt>
                <c:pt idx="2488">
                  <c:v>43430</c:v>
                </c:pt>
                <c:pt idx="2489">
                  <c:v>43431</c:v>
                </c:pt>
                <c:pt idx="2490">
                  <c:v>43432</c:v>
                </c:pt>
                <c:pt idx="2491">
                  <c:v>43433</c:v>
                </c:pt>
                <c:pt idx="2492">
                  <c:v>43434</c:v>
                </c:pt>
                <c:pt idx="2493">
                  <c:v>43437</c:v>
                </c:pt>
                <c:pt idx="2494">
                  <c:v>43438</c:v>
                </c:pt>
                <c:pt idx="2495">
                  <c:v>43439</c:v>
                </c:pt>
                <c:pt idx="2496">
                  <c:v>43440</c:v>
                </c:pt>
                <c:pt idx="2497">
                  <c:v>43441</c:v>
                </c:pt>
                <c:pt idx="2498">
                  <c:v>43444</c:v>
                </c:pt>
                <c:pt idx="2499">
                  <c:v>43445</c:v>
                </c:pt>
                <c:pt idx="2500">
                  <c:v>43446</c:v>
                </c:pt>
                <c:pt idx="2501">
                  <c:v>43447</c:v>
                </c:pt>
                <c:pt idx="2502">
                  <c:v>43448</c:v>
                </c:pt>
                <c:pt idx="2503">
                  <c:v>43472</c:v>
                </c:pt>
                <c:pt idx="2504">
                  <c:v>43473</c:v>
                </c:pt>
                <c:pt idx="2505">
                  <c:v>43474</c:v>
                </c:pt>
                <c:pt idx="2506">
                  <c:v>43475</c:v>
                </c:pt>
                <c:pt idx="2507">
                  <c:v>43476</c:v>
                </c:pt>
                <c:pt idx="2508">
                  <c:v>43479</c:v>
                </c:pt>
                <c:pt idx="2509">
                  <c:v>43480</c:v>
                </c:pt>
                <c:pt idx="2510">
                  <c:v>43481</c:v>
                </c:pt>
                <c:pt idx="2511">
                  <c:v>43482</c:v>
                </c:pt>
                <c:pt idx="2512">
                  <c:v>43483</c:v>
                </c:pt>
                <c:pt idx="2513">
                  <c:v>43487</c:v>
                </c:pt>
                <c:pt idx="2514">
                  <c:v>43488</c:v>
                </c:pt>
                <c:pt idx="2515">
                  <c:v>43489</c:v>
                </c:pt>
                <c:pt idx="2516">
                  <c:v>43490</c:v>
                </c:pt>
                <c:pt idx="2517">
                  <c:v>43493</c:v>
                </c:pt>
                <c:pt idx="2518">
                  <c:v>43494</c:v>
                </c:pt>
                <c:pt idx="2519">
                  <c:v>43495</c:v>
                </c:pt>
                <c:pt idx="2520">
                  <c:v>43496</c:v>
                </c:pt>
                <c:pt idx="2521">
                  <c:v>43497</c:v>
                </c:pt>
                <c:pt idx="2522">
                  <c:v>43500</c:v>
                </c:pt>
                <c:pt idx="2523">
                  <c:v>43501</c:v>
                </c:pt>
                <c:pt idx="2524">
                  <c:v>43503</c:v>
                </c:pt>
                <c:pt idx="2525">
                  <c:v>43504</c:v>
                </c:pt>
                <c:pt idx="2526">
                  <c:v>43507</c:v>
                </c:pt>
                <c:pt idx="2527">
                  <c:v>43508</c:v>
                </c:pt>
                <c:pt idx="2528">
                  <c:v>43509</c:v>
                </c:pt>
                <c:pt idx="2529">
                  <c:v>43510</c:v>
                </c:pt>
                <c:pt idx="2530">
                  <c:v>43511</c:v>
                </c:pt>
                <c:pt idx="2531">
                  <c:v>43514</c:v>
                </c:pt>
                <c:pt idx="2532">
                  <c:v>43515</c:v>
                </c:pt>
                <c:pt idx="2533">
                  <c:v>43516</c:v>
                </c:pt>
                <c:pt idx="2534">
                  <c:v>43517</c:v>
                </c:pt>
                <c:pt idx="2535">
                  <c:v>43518</c:v>
                </c:pt>
                <c:pt idx="2536">
                  <c:v>43521</c:v>
                </c:pt>
                <c:pt idx="2537">
                  <c:v>43522</c:v>
                </c:pt>
                <c:pt idx="2538">
                  <c:v>43523</c:v>
                </c:pt>
                <c:pt idx="2539">
                  <c:v>43524</c:v>
                </c:pt>
                <c:pt idx="2540">
                  <c:v>43525</c:v>
                </c:pt>
                <c:pt idx="2541">
                  <c:v>43528</c:v>
                </c:pt>
                <c:pt idx="2542">
                  <c:v>43529</c:v>
                </c:pt>
                <c:pt idx="2543">
                  <c:v>43530</c:v>
                </c:pt>
                <c:pt idx="2544">
                  <c:v>43531</c:v>
                </c:pt>
                <c:pt idx="2545">
                  <c:v>43532</c:v>
                </c:pt>
                <c:pt idx="2546">
                  <c:v>43535</c:v>
                </c:pt>
                <c:pt idx="2547">
                  <c:v>43536</c:v>
                </c:pt>
                <c:pt idx="2548">
                  <c:v>43537</c:v>
                </c:pt>
                <c:pt idx="2549">
                  <c:v>43538</c:v>
                </c:pt>
                <c:pt idx="2550">
                  <c:v>43539</c:v>
                </c:pt>
                <c:pt idx="2551">
                  <c:v>43542</c:v>
                </c:pt>
                <c:pt idx="2552">
                  <c:v>43543</c:v>
                </c:pt>
                <c:pt idx="2553">
                  <c:v>43544</c:v>
                </c:pt>
                <c:pt idx="2554">
                  <c:v>43545</c:v>
                </c:pt>
                <c:pt idx="2555">
                  <c:v>43546</c:v>
                </c:pt>
                <c:pt idx="2556">
                  <c:v>43549</c:v>
                </c:pt>
                <c:pt idx="2557">
                  <c:v>43550</c:v>
                </c:pt>
                <c:pt idx="2558">
                  <c:v>43551</c:v>
                </c:pt>
                <c:pt idx="2559">
                  <c:v>43552</c:v>
                </c:pt>
                <c:pt idx="2560">
                  <c:v>43553</c:v>
                </c:pt>
                <c:pt idx="2561">
                  <c:v>43584</c:v>
                </c:pt>
                <c:pt idx="2562">
                  <c:v>43585</c:v>
                </c:pt>
                <c:pt idx="2563">
                  <c:v>43586</c:v>
                </c:pt>
                <c:pt idx="2564">
                  <c:v>43587</c:v>
                </c:pt>
                <c:pt idx="2565">
                  <c:v>43588</c:v>
                </c:pt>
                <c:pt idx="2566">
                  <c:v>43591</c:v>
                </c:pt>
                <c:pt idx="2567">
                  <c:v>43592</c:v>
                </c:pt>
                <c:pt idx="2568">
                  <c:v>43593</c:v>
                </c:pt>
                <c:pt idx="2569">
                  <c:v>43594</c:v>
                </c:pt>
                <c:pt idx="2570">
                  <c:v>43595</c:v>
                </c:pt>
                <c:pt idx="2571">
                  <c:v>43598</c:v>
                </c:pt>
                <c:pt idx="2572">
                  <c:v>43599</c:v>
                </c:pt>
                <c:pt idx="2573">
                  <c:v>43600</c:v>
                </c:pt>
                <c:pt idx="2574">
                  <c:v>43601</c:v>
                </c:pt>
                <c:pt idx="2575">
                  <c:v>43602</c:v>
                </c:pt>
                <c:pt idx="2576">
                  <c:v>43605</c:v>
                </c:pt>
                <c:pt idx="2577">
                  <c:v>43606</c:v>
                </c:pt>
                <c:pt idx="2578">
                  <c:v>43607</c:v>
                </c:pt>
                <c:pt idx="2579">
                  <c:v>43608</c:v>
                </c:pt>
                <c:pt idx="2580">
                  <c:v>43609</c:v>
                </c:pt>
                <c:pt idx="2581">
                  <c:v>43612</c:v>
                </c:pt>
                <c:pt idx="2582">
                  <c:v>43613</c:v>
                </c:pt>
                <c:pt idx="2583">
                  <c:v>43614</c:v>
                </c:pt>
                <c:pt idx="2584">
                  <c:v>43615</c:v>
                </c:pt>
                <c:pt idx="2585">
                  <c:v>43616</c:v>
                </c:pt>
                <c:pt idx="2586">
                  <c:v>43620</c:v>
                </c:pt>
                <c:pt idx="2587">
                  <c:v>43621</c:v>
                </c:pt>
                <c:pt idx="2588">
                  <c:v>43622</c:v>
                </c:pt>
                <c:pt idx="2589">
                  <c:v>43623</c:v>
                </c:pt>
                <c:pt idx="2590">
                  <c:v>43626</c:v>
                </c:pt>
                <c:pt idx="2591">
                  <c:v>43627</c:v>
                </c:pt>
                <c:pt idx="2592">
                  <c:v>43628</c:v>
                </c:pt>
                <c:pt idx="2593">
                  <c:v>43629</c:v>
                </c:pt>
                <c:pt idx="2594">
                  <c:v>43630</c:v>
                </c:pt>
                <c:pt idx="2595">
                  <c:v>43633</c:v>
                </c:pt>
                <c:pt idx="2596">
                  <c:v>43634</c:v>
                </c:pt>
                <c:pt idx="2597">
                  <c:v>43635</c:v>
                </c:pt>
                <c:pt idx="2598">
                  <c:v>43636</c:v>
                </c:pt>
                <c:pt idx="2599">
                  <c:v>43637</c:v>
                </c:pt>
                <c:pt idx="2600">
                  <c:v>43640</c:v>
                </c:pt>
                <c:pt idx="2601">
                  <c:v>43641</c:v>
                </c:pt>
                <c:pt idx="2602">
                  <c:v>43642</c:v>
                </c:pt>
                <c:pt idx="2603">
                  <c:v>43643</c:v>
                </c:pt>
                <c:pt idx="2604">
                  <c:v>43644</c:v>
                </c:pt>
                <c:pt idx="2605">
                  <c:v>43646</c:v>
                </c:pt>
                <c:pt idx="2606">
                  <c:v>43647</c:v>
                </c:pt>
                <c:pt idx="2607">
                  <c:v>43648</c:v>
                </c:pt>
                <c:pt idx="2608">
                  <c:v>43649</c:v>
                </c:pt>
                <c:pt idx="2609">
                  <c:v>43650</c:v>
                </c:pt>
                <c:pt idx="2610">
                  <c:v>43651</c:v>
                </c:pt>
                <c:pt idx="2611">
                  <c:v>43654</c:v>
                </c:pt>
                <c:pt idx="2612">
                  <c:v>43655</c:v>
                </c:pt>
                <c:pt idx="2613">
                  <c:v>43656</c:v>
                </c:pt>
                <c:pt idx="2614">
                  <c:v>43657</c:v>
                </c:pt>
                <c:pt idx="2615">
                  <c:v>43658</c:v>
                </c:pt>
                <c:pt idx="2616">
                  <c:v>43661</c:v>
                </c:pt>
                <c:pt idx="2617">
                  <c:v>43662</c:v>
                </c:pt>
                <c:pt idx="2618">
                  <c:v>43663</c:v>
                </c:pt>
                <c:pt idx="2619">
                  <c:v>43664</c:v>
                </c:pt>
                <c:pt idx="2620">
                  <c:v>43665</c:v>
                </c:pt>
                <c:pt idx="2621">
                  <c:v>43666</c:v>
                </c:pt>
                <c:pt idx="2622">
                  <c:v>43668</c:v>
                </c:pt>
                <c:pt idx="2623">
                  <c:v>43669</c:v>
                </c:pt>
                <c:pt idx="2624">
                  <c:v>43670</c:v>
                </c:pt>
                <c:pt idx="2625">
                  <c:v>43671</c:v>
                </c:pt>
                <c:pt idx="2626">
                  <c:v>43672</c:v>
                </c:pt>
                <c:pt idx="2627">
                  <c:v>43675</c:v>
                </c:pt>
                <c:pt idx="2628">
                  <c:v>43676</c:v>
                </c:pt>
                <c:pt idx="2629">
                  <c:v>43677</c:v>
                </c:pt>
                <c:pt idx="2630">
                  <c:v>43678</c:v>
                </c:pt>
                <c:pt idx="2631">
                  <c:v>43679</c:v>
                </c:pt>
                <c:pt idx="2632">
                  <c:v>43682</c:v>
                </c:pt>
                <c:pt idx="2633">
                  <c:v>43683</c:v>
                </c:pt>
                <c:pt idx="2634">
                  <c:v>43684</c:v>
                </c:pt>
                <c:pt idx="2635">
                  <c:v>43685</c:v>
                </c:pt>
                <c:pt idx="2636">
                  <c:v>43686</c:v>
                </c:pt>
                <c:pt idx="2637">
                  <c:v>43689</c:v>
                </c:pt>
                <c:pt idx="2638">
                  <c:v>43690</c:v>
                </c:pt>
                <c:pt idx="2639">
                  <c:v>43691</c:v>
                </c:pt>
                <c:pt idx="2640">
                  <c:v>43692</c:v>
                </c:pt>
                <c:pt idx="2641">
                  <c:v>43693</c:v>
                </c:pt>
                <c:pt idx="2642">
                  <c:v>43696</c:v>
                </c:pt>
                <c:pt idx="2643">
                  <c:v>43697</c:v>
                </c:pt>
                <c:pt idx="2644">
                  <c:v>43698</c:v>
                </c:pt>
                <c:pt idx="2645">
                  <c:v>43699</c:v>
                </c:pt>
                <c:pt idx="2646">
                  <c:v>43700</c:v>
                </c:pt>
                <c:pt idx="2647">
                  <c:v>43703</c:v>
                </c:pt>
                <c:pt idx="2648">
                  <c:v>43704</c:v>
                </c:pt>
                <c:pt idx="2649">
                  <c:v>43705</c:v>
                </c:pt>
                <c:pt idx="2650">
                  <c:v>43706</c:v>
                </c:pt>
                <c:pt idx="2651">
                  <c:v>43707</c:v>
                </c:pt>
                <c:pt idx="2652">
                  <c:v>43709</c:v>
                </c:pt>
                <c:pt idx="2653">
                  <c:v>43710</c:v>
                </c:pt>
                <c:pt idx="2654">
                  <c:v>43711</c:v>
                </c:pt>
                <c:pt idx="2655">
                  <c:v>43712</c:v>
                </c:pt>
                <c:pt idx="2656">
                  <c:v>43713</c:v>
                </c:pt>
                <c:pt idx="2657">
                  <c:v>43714</c:v>
                </c:pt>
                <c:pt idx="2658">
                  <c:v>43717</c:v>
                </c:pt>
                <c:pt idx="2659">
                  <c:v>43718</c:v>
                </c:pt>
                <c:pt idx="2660">
                  <c:v>43719</c:v>
                </c:pt>
                <c:pt idx="2661">
                  <c:v>43720</c:v>
                </c:pt>
                <c:pt idx="2662">
                  <c:v>43721</c:v>
                </c:pt>
                <c:pt idx="2663">
                  <c:v>43724</c:v>
                </c:pt>
                <c:pt idx="2664">
                  <c:v>43725</c:v>
                </c:pt>
                <c:pt idx="2665">
                  <c:v>43726</c:v>
                </c:pt>
                <c:pt idx="2666">
                  <c:v>43727</c:v>
                </c:pt>
                <c:pt idx="2667">
                  <c:v>43728</c:v>
                </c:pt>
                <c:pt idx="2668">
                  <c:v>43731</c:v>
                </c:pt>
                <c:pt idx="2669">
                  <c:v>43732</c:v>
                </c:pt>
                <c:pt idx="2670">
                  <c:v>43733</c:v>
                </c:pt>
                <c:pt idx="2671">
                  <c:v>43734</c:v>
                </c:pt>
                <c:pt idx="2672">
                  <c:v>43735</c:v>
                </c:pt>
                <c:pt idx="2673">
                  <c:v>43738</c:v>
                </c:pt>
                <c:pt idx="2674">
                  <c:v>43739</c:v>
                </c:pt>
                <c:pt idx="2675">
                  <c:v>43740</c:v>
                </c:pt>
                <c:pt idx="2676">
                  <c:v>43741</c:v>
                </c:pt>
                <c:pt idx="2677">
                  <c:v>43742</c:v>
                </c:pt>
                <c:pt idx="2678">
                  <c:v>43745</c:v>
                </c:pt>
                <c:pt idx="2679">
                  <c:v>43746</c:v>
                </c:pt>
                <c:pt idx="2680">
                  <c:v>43747</c:v>
                </c:pt>
                <c:pt idx="2681">
                  <c:v>43748</c:v>
                </c:pt>
                <c:pt idx="2682">
                  <c:v>43749</c:v>
                </c:pt>
                <c:pt idx="2683">
                  <c:v>43752</c:v>
                </c:pt>
                <c:pt idx="2684">
                  <c:v>43753</c:v>
                </c:pt>
                <c:pt idx="2685">
                  <c:v>43754</c:v>
                </c:pt>
                <c:pt idx="2686">
                  <c:v>43755</c:v>
                </c:pt>
                <c:pt idx="2687">
                  <c:v>43756</c:v>
                </c:pt>
                <c:pt idx="2688">
                  <c:v>43759</c:v>
                </c:pt>
                <c:pt idx="2689">
                  <c:v>43760</c:v>
                </c:pt>
                <c:pt idx="2690">
                  <c:v>43761</c:v>
                </c:pt>
                <c:pt idx="2691">
                  <c:v>43762</c:v>
                </c:pt>
                <c:pt idx="2692">
                  <c:v>43763</c:v>
                </c:pt>
                <c:pt idx="2693">
                  <c:v>43767</c:v>
                </c:pt>
                <c:pt idx="2694">
                  <c:v>43768</c:v>
                </c:pt>
                <c:pt idx="2695">
                  <c:v>43769</c:v>
                </c:pt>
                <c:pt idx="2696">
                  <c:v>43770</c:v>
                </c:pt>
                <c:pt idx="2697">
                  <c:v>43773</c:v>
                </c:pt>
                <c:pt idx="2698">
                  <c:v>43774</c:v>
                </c:pt>
                <c:pt idx="2699">
                  <c:v>43775</c:v>
                </c:pt>
                <c:pt idx="2700">
                  <c:v>43776</c:v>
                </c:pt>
                <c:pt idx="2701">
                  <c:v>43777</c:v>
                </c:pt>
                <c:pt idx="2702">
                  <c:v>43780</c:v>
                </c:pt>
                <c:pt idx="2703">
                  <c:v>43781</c:v>
                </c:pt>
                <c:pt idx="2704">
                  <c:v>43782</c:v>
                </c:pt>
                <c:pt idx="2705">
                  <c:v>43783</c:v>
                </c:pt>
                <c:pt idx="2706">
                  <c:v>43784</c:v>
                </c:pt>
                <c:pt idx="2707">
                  <c:v>43787</c:v>
                </c:pt>
                <c:pt idx="2708">
                  <c:v>43788</c:v>
                </c:pt>
                <c:pt idx="2709">
                  <c:v>43789</c:v>
                </c:pt>
                <c:pt idx="2710">
                  <c:v>43790</c:v>
                </c:pt>
                <c:pt idx="2711">
                  <c:v>43791</c:v>
                </c:pt>
                <c:pt idx="2712">
                  <c:v>43794</c:v>
                </c:pt>
                <c:pt idx="2713">
                  <c:v>43795</c:v>
                </c:pt>
                <c:pt idx="2714">
                  <c:v>43796</c:v>
                </c:pt>
                <c:pt idx="2715">
                  <c:v>43797</c:v>
                </c:pt>
                <c:pt idx="2716">
                  <c:v>43798</c:v>
                </c:pt>
                <c:pt idx="2717">
                  <c:v>43801</c:v>
                </c:pt>
                <c:pt idx="2718">
                  <c:v>43802</c:v>
                </c:pt>
                <c:pt idx="2719">
                  <c:v>43803</c:v>
                </c:pt>
                <c:pt idx="2720">
                  <c:v>43804</c:v>
                </c:pt>
                <c:pt idx="2721">
                  <c:v>43805</c:v>
                </c:pt>
                <c:pt idx="2722">
                  <c:v>43808</c:v>
                </c:pt>
                <c:pt idx="2723">
                  <c:v>43809</c:v>
                </c:pt>
                <c:pt idx="2724">
                  <c:v>43810</c:v>
                </c:pt>
                <c:pt idx="2725">
                  <c:v>43811</c:v>
                </c:pt>
                <c:pt idx="2726">
                  <c:v>43812</c:v>
                </c:pt>
                <c:pt idx="2727">
                  <c:v>43836</c:v>
                </c:pt>
                <c:pt idx="2728">
                  <c:v>43837</c:v>
                </c:pt>
                <c:pt idx="2729">
                  <c:v>43838</c:v>
                </c:pt>
                <c:pt idx="2730">
                  <c:v>43839</c:v>
                </c:pt>
                <c:pt idx="2731">
                  <c:v>43840</c:v>
                </c:pt>
                <c:pt idx="2732">
                  <c:v>43843</c:v>
                </c:pt>
                <c:pt idx="2733">
                  <c:v>43844</c:v>
                </c:pt>
                <c:pt idx="2734">
                  <c:v>43845</c:v>
                </c:pt>
                <c:pt idx="2735">
                  <c:v>43846</c:v>
                </c:pt>
                <c:pt idx="2736">
                  <c:v>43847</c:v>
                </c:pt>
                <c:pt idx="2737">
                  <c:v>43851</c:v>
                </c:pt>
                <c:pt idx="2738">
                  <c:v>43852</c:v>
                </c:pt>
                <c:pt idx="2739">
                  <c:v>43853</c:v>
                </c:pt>
                <c:pt idx="2740">
                  <c:v>43854</c:v>
                </c:pt>
                <c:pt idx="2741">
                  <c:v>43857</c:v>
                </c:pt>
                <c:pt idx="2742">
                  <c:v>43858</c:v>
                </c:pt>
                <c:pt idx="2743">
                  <c:v>43859</c:v>
                </c:pt>
                <c:pt idx="2744">
                  <c:v>43860</c:v>
                </c:pt>
                <c:pt idx="2745">
                  <c:v>43861</c:v>
                </c:pt>
                <c:pt idx="2746">
                  <c:v>43864</c:v>
                </c:pt>
                <c:pt idx="2747">
                  <c:v>43865</c:v>
                </c:pt>
                <c:pt idx="2748">
                  <c:v>43866</c:v>
                </c:pt>
                <c:pt idx="2749">
                  <c:v>43868</c:v>
                </c:pt>
                <c:pt idx="2750">
                  <c:v>43871</c:v>
                </c:pt>
                <c:pt idx="2751">
                  <c:v>43872</c:v>
                </c:pt>
                <c:pt idx="2752">
                  <c:v>43873</c:v>
                </c:pt>
                <c:pt idx="2753">
                  <c:v>43874</c:v>
                </c:pt>
                <c:pt idx="2754">
                  <c:v>43875</c:v>
                </c:pt>
                <c:pt idx="2755">
                  <c:v>43878</c:v>
                </c:pt>
                <c:pt idx="2756">
                  <c:v>43879</c:v>
                </c:pt>
                <c:pt idx="2757">
                  <c:v>43880</c:v>
                </c:pt>
                <c:pt idx="2758">
                  <c:v>43881</c:v>
                </c:pt>
                <c:pt idx="2759">
                  <c:v>43882</c:v>
                </c:pt>
                <c:pt idx="2760">
                  <c:v>43885</c:v>
                </c:pt>
                <c:pt idx="2761">
                  <c:v>43886</c:v>
                </c:pt>
                <c:pt idx="2762">
                  <c:v>43887</c:v>
                </c:pt>
                <c:pt idx="2763">
                  <c:v>43888</c:v>
                </c:pt>
                <c:pt idx="2764">
                  <c:v>43889</c:v>
                </c:pt>
                <c:pt idx="2765">
                  <c:v>43892</c:v>
                </c:pt>
                <c:pt idx="2766">
                  <c:v>43893</c:v>
                </c:pt>
                <c:pt idx="2767">
                  <c:v>43894</c:v>
                </c:pt>
                <c:pt idx="2768">
                  <c:v>43895</c:v>
                </c:pt>
                <c:pt idx="2769">
                  <c:v>43896</c:v>
                </c:pt>
                <c:pt idx="2770">
                  <c:v>43899</c:v>
                </c:pt>
                <c:pt idx="2771">
                  <c:v>43900</c:v>
                </c:pt>
                <c:pt idx="2772">
                  <c:v>43901</c:v>
                </c:pt>
                <c:pt idx="2773">
                  <c:v>43902</c:v>
                </c:pt>
                <c:pt idx="2774">
                  <c:v>43903</c:v>
                </c:pt>
                <c:pt idx="2775">
                  <c:v>43906</c:v>
                </c:pt>
                <c:pt idx="2776">
                  <c:v>43907</c:v>
                </c:pt>
                <c:pt idx="2777">
                  <c:v>43908</c:v>
                </c:pt>
                <c:pt idx="2778">
                  <c:v>43909</c:v>
                </c:pt>
                <c:pt idx="2779">
                  <c:v>43910</c:v>
                </c:pt>
                <c:pt idx="2780">
                  <c:v>43913</c:v>
                </c:pt>
                <c:pt idx="2781">
                  <c:v>43914</c:v>
                </c:pt>
                <c:pt idx="2782">
                  <c:v>43915</c:v>
                </c:pt>
                <c:pt idx="2783">
                  <c:v>43916</c:v>
                </c:pt>
                <c:pt idx="2784">
                  <c:v>43917</c:v>
                </c:pt>
                <c:pt idx="2785">
                  <c:v>43920</c:v>
                </c:pt>
                <c:pt idx="2786">
                  <c:v>43921</c:v>
                </c:pt>
                <c:pt idx="2787">
                  <c:v>43922</c:v>
                </c:pt>
                <c:pt idx="2788">
                  <c:v>43923</c:v>
                </c:pt>
                <c:pt idx="2789">
                  <c:v>43924</c:v>
                </c:pt>
                <c:pt idx="2790">
                  <c:v>43924</c:v>
                </c:pt>
                <c:pt idx="2791">
                  <c:v>43927</c:v>
                </c:pt>
                <c:pt idx="2792">
                  <c:v>43928</c:v>
                </c:pt>
                <c:pt idx="2793">
                  <c:v>43929</c:v>
                </c:pt>
                <c:pt idx="2794">
                  <c:v>43930</c:v>
                </c:pt>
                <c:pt idx="2795">
                  <c:v>43935</c:v>
                </c:pt>
                <c:pt idx="2796">
                  <c:v>43936</c:v>
                </c:pt>
                <c:pt idx="2797">
                  <c:v>43937</c:v>
                </c:pt>
                <c:pt idx="2798">
                  <c:v>43938</c:v>
                </c:pt>
                <c:pt idx="2799">
                  <c:v>43941</c:v>
                </c:pt>
                <c:pt idx="2800">
                  <c:v>43942</c:v>
                </c:pt>
                <c:pt idx="2801">
                  <c:v>43943</c:v>
                </c:pt>
                <c:pt idx="2802">
                  <c:v>43944</c:v>
                </c:pt>
                <c:pt idx="2803">
                  <c:v>43945</c:v>
                </c:pt>
                <c:pt idx="2804">
                  <c:v>43949</c:v>
                </c:pt>
                <c:pt idx="2805">
                  <c:v>43950</c:v>
                </c:pt>
                <c:pt idx="2806">
                  <c:v>43951</c:v>
                </c:pt>
                <c:pt idx="2807">
                  <c:v>43952</c:v>
                </c:pt>
                <c:pt idx="2808">
                  <c:v>43955</c:v>
                </c:pt>
                <c:pt idx="2809">
                  <c:v>43956</c:v>
                </c:pt>
                <c:pt idx="2810">
                  <c:v>43957</c:v>
                </c:pt>
                <c:pt idx="2811">
                  <c:v>43958</c:v>
                </c:pt>
                <c:pt idx="2812">
                  <c:v>43959</c:v>
                </c:pt>
                <c:pt idx="2813">
                  <c:v>43962</c:v>
                </c:pt>
                <c:pt idx="2814">
                  <c:v>43963</c:v>
                </c:pt>
                <c:pt idx="2815">
                  <c:v>43964</c:v>
                </c:pt>
                <c:pt idx="2816">
                  <c:v>43965</c:v>
                </c:pt>
                <c:pt idx="2817">
                  <c:v>43966</c:v>
                </c:pt>
                <c:pt idx="2818">
                  <c:v>43969</c:v>
                </c:pt>
                <c:pt idx="2819">
                  <c:v>43970</c:v>
                </c:pt>
                <c:pt idx="2820">
                  <c:v>43971</c:v>
                </c:pt>
                <c:pt idx="2821">
                  <c:v>43972</c:v>
                </c:pt>
                <c:pt idx="2822">
                  <c:v>43973</c:v>
                </c:pt>
                <c:pt idx="2823">
                  <c:v>43976</c:v>
                </c:pt>
                <c:pt idx="2824">
                  <c:v>43977</c:v>
                </c:pt>
                <c:pt idx="2825">
                  <c:v>43978</c:v>
                </c:pt>
                <c:pt idx="2826">
                  <c:v>43979</c:v>
                </c:pt>
                <c:pt idx="2827">
                  <c:v>43980</c:v>
                </c:pt>
                <c:pt idx="2828">
                  <c:v>43984</c:v>
                </c:pt>
                <c:pt idx="2829">
                  <c:v>43985</c:v>
                </c:pt>
                <c:pt idx="2830">
                  <c:v>43986</c:v>
                </c:pt>
                <c:pt idx="2831">
                  <c:v>43987</c:v>
                </c:pt>
                <c:pt idx="2832">
                  <c:v>43990</c:v>
                </c:pt>
                <c:pt idx="2833">
                  <c:v>43991</c:v>
                </c:pt>
                <c:pt idx="2834">
                  <c:v>43992</c:v>
                </c:pt>
                <c:pt idx="2835">
                  <c:v>43993</c:v>
                </c:pt>
                <c:pt idx="2836">
                  <c:v>43994</c:v>
                </c:pt>
                <c:pt idx="2837">
                  <c:v>43997</c:v>
                </c:pt>
                <c:pt idx="2838">
                  <c:v>43998</c:v>
                </c:pt>
                <c:pt idx="2839">
                  <c:v>43999</c:v>
                </c:pt>
                <c:pt idx="2840">
                  <c:v>44000</c:v>
                </c:pt>
                <c:pt idx="2841">
                  <c:v>44001</c:v>
                </c:pt>
                <c:pt idx="2842">
                  <c:v>44004</c:v>
                </c:pt>
                <c:pt idx="2843">
                  <c:v>44005</c:v>
                </c:pt>
                <c:pt idx="2844">
                  <c:v>44006</c:v>
                </c:pt>
                <c:pt idx="2845">
                  <c:v>44007</c:v>
                </c:pt>
                <c:pt idx="2846">
                  <c:v>44008</c:v>
                </c:pt>
                <c:pt idx="2847">
                  <c:v>44011</c:v>
                </c:pt>
                <c:pt idx="2848">
                  <c:v>44012</c:v>
                </c:pt>
                <c:pt idx="2849">
                  <c:v>44013</c:v>
                </c:pt>
                <c:pt idx="2850">
                  <c:v>44014</c:v>
                </c:pt>
                <c:pt idx="2851">
                  <c:v>44015</c:v>
                </c:pt>
                <c:pt idx="2852">
                  <c:v>44018</c:v>
                </c:pt>
                <c:pt idx="2853">
                  <c:v>44019</c:v>
                </c:pt>
                <c:pt idx="2854">
                  <c:v>44020</c:v>
                </c:pt>
                <c:pt idx="2855">
                  <c:v>44021</c:v>
                </c:pt>
                <c:pt idx="2856">
                  <c:v>44022</c:v>
                </c:pt>
                <c:pt idx="2857">
                  <c:v>44025</c:v>
                </c:pt>
                <c:pt idx="2858">
                  <c:v>44026</c:v>
                </c:pt>
                <c:pt idx="2859">
                  <c:v>44027</c:v>
                </c:pt>
                <c:pt idx="2860">
                  <c:v>44028</c:v>
                </c:pt>
                <c:pt idx="2861">
                  <c:v>44029</c:v>
                </c:pt>
                <c:pt idx="2862">
                  <c:v>44032</c:v>
                </c:pt>
                <c:pt idx="2863">
                  <c:v>44033</c:v>
                </c:pt>
                <c:pt idx="2864">
                  <c:v>44034</c:v>
                </c:pt>
                <c:pt idx="2865">
                  <c:v>44035</c:v>
                </c:pt>
                <c:pt idx="2866">
                  <c:v>44036</c:v>
                </c:pt>
                <c:pt idx="2867">
                  <c:v>44046</c:v>
                </c:pt>
                <c:pt idx="2868">
                  <c:v>44047</c:v>
                </c:pt>
                <c:pt idx="2869">
                  <c:v>44048</c:v>
                </c:pt>
                <c:pt idx="2870">
                  <c:v>44049</c:v>
                </c:pt>
                <c:pt idx="2871">
                  <c:v>44050</c:v>
                </c:pt>
                <c:pt idx="2872">
                  <c:v>44053</c:v>
                </c:pt>
                <c:pt idx="2873">
                  <c:v>44054</c:v>
                </c:pt>
                <c:pt idx="2874">
                  <c:v>44055</c:v>
                </c:pt>
                <c:pt idx="2875">
                  <c:v>44056</c:v>
                </c:pt>
                <c:pt idx="2876">
                  <c:v>44057</c:v>
                </c:pt>
                <c:pt idx="2877">
                  <c:v>44060</c:v>
                </c:pt>
                <c:pt idx="2878">
                  <c:v>44061</c:v>
                </c:pt>
                <c:pt idx="2879">
                  <c:v>44062</c:v>
                </c:pt>
                <c:pt idx="2880">
                  <c:v>44063</c:v>
                </c:pt>
                <c:pt idx="2881">
                  <c:v>44064</c:v>
                </c:pt>
                <c:pt idx="2882">
                  <c:v>44067</c:v>
                </c:pt>
                <c:pt idx="2883">
                  <c:v>44068</c:v>
                </c:pt>
                <c:pt idx="2884">
                  <c:v>44069</c:v>
                </c:pt>
                <c:pt idx="2885">
                  <c:v>44070</c:v>
                </c:pt>
                <c:pt idx="2886">
                  <c:v>44071</c:v>
                </c:pt>
                <c:pt idx="2887">
                  <c:v>44074</c:v>
                </c:pt>
                <c:pt idx="2888">
                  <c:v>44075</c:v>
                </c:pt>
                <c:pt idx="2889">
                  <c:v>44076</c:v>
                </c:pt>
                <c:pt idx="2890">
                  <c:v>44077</c:v>
                </c:pt>
                <c:pt idx="2891">
                  <c:v>44078</c:v>
                </c:pt>
                <c:pt idx="2892">
                  <c:v>44081</c:v>
                </c:pt>
                <c:pt idx="2893">
                  <c:v>44082</c:v>
                </c:pt>
                <c:pt idx="2894">
                  <c:v>44083</c:v>
                </c:pt>
                <c:pt idx="2895">
                  <c:v>44084</c:v>
                </c:pt>
                <c:pt idx="2896">
                  <c:v>44085</c:v>
                </c:pt>
                <c:pt idx="2897">
                  <c:v>44088</c:v>
                </c:pt>
                <c:pt idx="2898">
                  <c:v>44089</c:v>
                </c:pt>
                <c:pt idx="2899">
                  <c:v>44090</c:v>
                </c:pt>
                <c:pt idx="2900">
                  <c:v>44091</c:v>
                </c:pt>
                <c:pt idx="2901">
                  <c:v>44092</c:v>
                </c:pt>
                <c:pt idx="2902">
                  <c:v>44095</c:v>
                </c:pt>
                <c:pt idx="2903">
                  <c:v>44096</c:v>
                </c:pt>
                <c:pt idx="2904">
                  <c:v>44097</c:v>
                </c:pt>
                <c:pt idx="2905">
                  <c:v>44098</c:v>
                </c:pt>
                <c:pt idx="2906">
                  <c:v>44099</c:v>
                </c:pt>
              </c:numCache>
            </c:numRef>
          </c:xVal>
          <c:yVal>
            <c:numRef>
              <c:f>Sheet1!$B$3:$B$2909</c:f>
              <c:numCache>
                <c:formatCode>General</c:formatCode>
                <c:ptCount val="2907"/>
                <c:pt idx="0">
                  <c:v>13.4</c:v>
                </c:pt>
                <c:pt idx="1">
                  <c:v>13.4</c:v>
                </c:pt>
                <c:pt idx="2">
                  <c:v>13.4</c:v>
                </c:pt>
                <c:pt idx="3">
                  <c:v>13.4</c:v>
                </c:pt>
                <c:pt idx="4">
                  <c:v>13.4</c:v>
                </c:pt>
                <c:pt idx="5">
                  <c:v>13.4</c:v>
                </c:pt>
                <c:pt idx="6">
                  <c:v>13.4</c:v>
                </c:pt>
                <c:pt idx="7">
                  <c:v>13.4</c:v>
                </c:pt>
                <c:pt idx="8">
                  <c:v>13.4</c:v>
                </c:pt>
                <c:pt idx="9">
                  <c:v>13.4</c:v>
                </c:pt>
                <c:pt idx="10">
                  <c:v>13.4</c:v>
                </c:pt>
                <c:pt idx="11">
                  <c:v>13.4</c:v>
                </c:pt>
                <c:pt idx="12">
                  <c:v>13.4</c:v>
                </c:pt>
                <c:pt idx="13">
                  <c:v>13.4</c:v>
                </c:pt>
                <c:pt idx="14">
                  <c:v>13.4</c:v>
                </c:pt>
                <c:pt idx="15">
                  <c:v>13.4</c:v>
                </c:pt>
                <c:pt idx="16">
                  <c:v>13.4</c:v>
                </c:pt>
                <c:pt idx="17">
                  <c:v>13.4</c:v>
                </c:pt>
                <c:pt idx="18">
                  <c:v>13.4</c:v>
                </c:pt>
                <c:pt idx="19">
                  <c:v>13.4</c:v>
                </c:pt>
                <c:pt idx="20">
                  <c:v>13.4</c:v>
                </c:pt>
                <c:pt idx="21">
                  <c:v>13.4</c:v>
                </c:pt>
                <c:pt idx="22">
                  <c:v>13.4</c:v>
                </c:pt>
                <c:pt idx="23">
                  <c:v>13.4</c:v>
                </c:pt>
                <c:pt idx="24">
                  <c:v>13.4</c:v>
                </c:pt>
                <c:pt idx="25">
                  <c:v>13.4</c:v>
                </c:pt>
                <c:pt idx="26">
                  <c:v>13.4</c:v>
                </c:pt>
                <c:pt idx="27">
                  <c:v>13.4</c:v>
                </c:pt>
                <c:pt idx="28">
                  <c:v>13.4</c:v>
                </c:pt>
                <c:pt idx="29">
                  <c:v>13.4</c:v>
                </c:pt>
                <c:pt idx="30">
                  <c:v>13.4</c:v>
                </c:pt>
                <c:pt idx="31">
                  <c:v>13.4</c:v>
                </c:pt>
                <c:pt idx="32">
                  <c:v>13.4</c:v>
                </c:pt>
                <c:pt idx="33">
                  <c:v>13.4</c:v>
                </c:pt>
                <c:pt idx="34">
                  <c:v>13.4</c:v>
                </c:pt>
                <c:pt idx="35">
                  <c:v>13.4</c:v>
                </c:pt>
                <c:pt idx="36">
                  <c:v>13.4</c:v>
                </c:pt>
                <c:pt idx="37">
                  <c:v>13.4</c:v>
                </c:pt>
                <c:pt idx="38">
                  <c:v>13.4</c:v>
                </c:pt>
                <c:pt idx="39">
                  <c:v>13.4</c:v>
                </c:pt>
                <c:pt idx="40">
                  <c:v>13.4</c:v>
                </c:pt>
                <c:pt idx="41">
                  <c:v>13.4</c:v>
                </c:pt>
                <c:pt idx="42">
                  <c:v>13.4</c:v>
                </c:pt>
                <c:pt idx="43">
                  <c:v>13.4</c:v>
                </c:pt>
                <c:pt idx="44">
                  <c:v>13.4</c:v>
                </c:pt>
                <c:pt idx="45">
                  <c:v>13.4</c:v>
                </c:pt>
                <c:pt idx="46">
                  <c:v>13.4</c:v>
                </c:pt>
                <c:pt idx="47">
                  <c:v>13.4</c:v>
                </c:pt>
                <c:pt idx="48">
                  <c:v>13.4</c:v>
                </c:pt>
                <c:pt idx="49">
                  <c:v>13.4</c:v>
                </c:pt>
                <c:pt idx="50">
                  <c:v>13.4</c:v>
                </c:pt>
                <c:pt idx="51">
                  <c:v>13.4</c:v>
                </c:pt>
                <c:pt idx="52">
                  <c:v>13.4</c:v>
                </c:pt>
                <c:pt idx="53">
                  <c:v>13.4</c:v>
                </c:pt>
                <c:pt idx="54">
                  <c:v>13.4</c:v>
                </c:pt>
                <c:pt idx="55">
                  <c:v>13.4</c:v>
                </c:pt>
                <c:pt idx="56">
                  <c:v>13.4</c:v>
                </c:pt>
                <c:pt idx="57">
                  <c:v>13.4</c:v>
                </c:pt>
                <c:pt idx="58">
                  <c:v>13.4</c:v>
                </c:pt>
                <c:pt idx="59">
                  <c:v>13.4</c:v>
                </c:pt>
                <c:pt idx="60">
                  <c:v>13.4</c:v>
                </c:pt>
                <c:pt idx="61">
                  <c:v>13.4</c:v>
                </c:pt>
                <c:pt idx="62">
                  <c:v>13.4</c:v>
                </c:pt>
                <c:pt idx="63">
                  <c:v>13.4</c:v>
                </c:pt>
                <c:pt idx="64">
                  <c:v>13.4</c:v>
                </c:pt>
                <c:pt idx="65">
                  <c:v>13.4</c:v>
                </c:pt>
                <c:pt idx="66">
                  <c:v>13.4</c:v>
                </c:pt>
                <c:pt idx="67">
                  <c:v>13.4</c:v>
                </c:pt>
                <c:pt idx="68">
                  <c:v>13.4</c:v>
                </c:pt>
                <c:pt idx="69">
                  <c:v>13.4</c:v>
                </c:pt>
                <c:pt idx="70">
                  <c:v>13.4</c:v>
                </c:pt>
                <c:pt idx="71">
                  <c:v>13.4</c:v>
                </c:pt>
                <c:pt idx="72">
                  <c:v>13.4</c:v>
                </c:pt>
                <c:pt idx="73">
                  <c:v>13.4</c:v>
                </c:pt>
                <c:pt idx="74">
                  <c:v>13.4</c:v>
                </c:pt>
                <c:pt idx="75">
                  <c:v>13.4</c:v>
                </c:pt>
                <c:pt idx="76">
                  <c:v>13.4</c:v>
                </c:pt>
                <c:pt idx="77">
                  <c:v>13.4</c:v>
                </c:pt>
                <c:pt idx="78">
                  <c:v>13.4</c:v>
                </c:pt>
                <c:pt idx="79">
                  <c:v>13.4</c:v>
                </c:pt>
                <c:pt idx="80">
                  <c:v>13.4</c:v>
                </c:pt>
                <c:pt idx="81">
                  <c:v>13.4</c:v>
                </c:pt>
                <c:pt idx="82">
                  <c:v>13.4</c:v>
                </c:pt>
                <c:pt idx="83">
                  <c:v>13.4</c:v>
                </c:pt>
                <c:pt idx="84">
                  <c:v>13.4</c:v>
                </c:pt>
                <c:pt idx="85">
                  <c:v>13.4</c:v>
                </c:pt>
                <c:pt idx="86">
                  <c:v>13.4</c:v>
                </c:pt>
                <c:pt idx="87">
                  <c:v>13.4</c:v>
                </c:pt>
                <c:pt idx="88">
                  <c:v>13.4</c:v>
                </c:pt>
                <c:pt idx="89">
                  <c:v>13.4</c:v>
                </c:pt>
                <c:pt idx="90">
                  <c:v>13.4</c:v>
                </c:pt>
                <c:pt idx="91">
                  <c:v>13.4</c:v>
                </c:pt>
                <c:pt idx="92">
                  <c:v>13.4</c:v>
                </c:pt>
                <c:pt idx="93">
                  <c:v>13.4</c:v>
                </c:pt>
                <c:pt idx="94">
                  <c:v>13.4</c:v>
                </c:pt>
                <c:pt idx="95">
                  <c:v>13.4</c:v>
                </c:pt>
                <c:pt idx="96">
                  <c:v>13.4</c:v>
                </c:pt>
                <c:pt idx="97">
                  <c:v>13.4</c:v>
                </c:pt>
                <c:pt idx="98">
                  <c:v>13.4</c:v>
                </c:pt>
                <c:pt idx="99">
                  <c:v>13.4</c:v>
                </c:pt>
                <c:pt idx="100">
                  <c:v>13.4</c:v>
                </c:pt>
                <c:pt idx="101">
                  <c:v>13.4</c:v>
                </c:pt>
                <c:pt idx="102">
                  <c:v>13.4</c:v>
                </c:pt>
                <c:pt idx="103">
                  <c:v>13.4</c:v>
                </c:pt>
                <c:pt idx="104">
                  <c:v>13.4</c:v>
                </c:pt>
                <c:pt idx="105">
                  <c:v>13.4</c:v>
                </c:pt>
                <c:pt idx="106">
                  <c:v>13.4</c:v>
                </c:pt>
                <c:pt idx="107">
                  <c:v>13.4</c:v>
                </c:pt>
                <c:pt idx="108">
                  <c:v>13.4</c:v>
                </c:pt>
                <c:pt idx="109">
                  <c:v>13.4</c:v>
                </c:pt>
                <c:pt idx="110">
                  <c:v>13.4</c:v>
                </c:pt>
                <c:pt idx="111">
                  <c:v>13.4</c:v>
                </c:pt>
                <c:pt idx="112">
                  <c:v>13.4</c:v>
                </c:pt>
                <c:pt idx="113">
                  <c:v>13.4</c:v>
                </c:pt>
                <c:pt idx="114">
                  <c:v>13.4</c:v>
                </c:pt>
                <c:pt idx="115">
                  <c:v>13.4</c:v>
                </c:pt>
                <c:pt idx="116">
                  <c:v>13.4</c:v>
                </c:pt>
                <c:pt idx="117">
                  <c:v>13.4</c:v>
                </c:pt>
                <c:pt idx="118">
                  <c:v>13.4</c:v>
                </c:pt>
                <c:pt idx="119">
                  <c:v>13.4</c:v>
                </c:pt>
                <c:pt idx="120">
                  <c:v>13.4</c:v>
                </c:pt>
                <c:pt idx="121">
                  <c:v>13.4</c:v>
                </c:pt>
                <c:pt idx="122">
                  <c:v>13.4</c:v>
                </c:pt>
                <c:pt idx="123">
                  <c:v>13.4</c:v>
                </c:pt>
                <c:pt idx="124">
                  <c:v>13.4</c:v>
                </c:pt>
                <c:pt idx="125">
                  <c:v>13.4</c:v>
                </c:pt>
                <c:pt idx="126">
                  <c:v>13.4</c:v>
                </c:pt>
                <c:pt idx="127">
                  <c:v>13.4</c:v>
                </c:pt>
                <c:pt idx="128">
                  <c:v>13.4</c:v>
                </c:pt>
                <c:pt idx="129">
                  <c:v>13.4</c:v>
                </c:pt>
                <c:pt idx="130">
                  <c:v>13.4</c:v>
                </c:pt>
                <c:pt idx="131">
                  <c:v>13.4</c:v>
                </c:pt>
                <c:pt idx="132">
                  <c:v>13.4</c:v>
                </c:pt>
                <c:pt idx="133">
                  <c:v>13.4</c:v>
                </c:pt>
                <c:pt idx="134">
                  <c:v>13.4</c:v>
                </c:pt>
                <c:pt idx="135">
                  <c:v>13.4</c:v>
                </c:pt>
                <c:pt idx="136">
                  <c:v>13.4</c:v>
                </c:pt>
                <c:pt idx="137">
                  <c:v>13.4</c:v>
                </c:pt>
                <c:pt idx="138">
                  <c:v>13.4</c:v>
                </c:pt>
                <c:pt idx="139">
                  <c:v>13.4</c:v>
                </c:pt>
                <c:pt idx="140">
                  <c:v>13.4</c:v>
                </c:pt>
                <c:pt idx="141">
                  <c:v>13.4</c:v>
                </c:pt>
                <c:pt idx="142">
                  <c:v>13.4</c:v>
                </c:pt>
                <c:pt idx="143">
                  <c:v>13.4</c:v>
                </c:pt>
                <c:pt idx="144">
                  <c:v>13.4</c:v>
                </c:pt>
                <c:pt idx="145">
                  <c:v>13.4</c:v>
                </c:pt>
                <c:pt idx="146">
                  <c:v>13.4</c:v>
                </c:pt>
                <c:pt idx="147">
                  <c:v>13.4</c:v>
                </c:pt>
                <c:pt idx="148">
                  <c:v>13.4</c:v>
                </c:pt>
                <c:pt idx="149">
                  <c:v>13.4</c:v>
                </c:pt>
                <c:pt idx="150">
                  <c:v>13.4</c:v>
                </c:pt>
                <c:pt idx="151">
                  <c:v>13.4</c:v>
                </c:pt>
                <c:pt idx="152">
                  <c:v>13.4</c:v>
                </c:pt>
                <c:pt idx="153">
                  <c:v>13.4</c:v>
                </c:pt>
                <c:pt idx="154">
                  <c:v>13.4</c:v>
                </c:pt>
                <c:pt idx="155">
                  <c:v>13.4</c:v>
                </c:pt>
                <c:pt idx="156">
                  <c:v>13.4</c:v>
                </c:pt>
                <c:pt idx="157">
                  <c:v>13.4</c:v>
                </c:pt>
                <c:pt idx="158">
                  <c:v>13.4</c:v>
                </c:pt>
                <c:pt idx="159">
                  <c:v>13.4</c:v>
                </c:pt>
                <c:pt idx="160">
                  <c:v>13.4</c:v>
                </c:pt>
                <c:pt idx="161">
                  <c:v>13.4</c:v>
                </c:pt>
                <c:pt idx="162">
                  <c:v>13.4</c:v>
                </c:pt>
                <c:pt idx="163">
                  <c:v>13.4</c:v>
                </c:pt>
                <c:pt idx="164">
                  <c:v>13.4</c:v>
                </c:pt>
                <c:pt idx="165">
                  <c:v>13.4</c:v>
                </c:pt>
                <c:pt idx="166">
                  <c:v>13.4</c:v>
                </c:pt>
                <c:pt idx="167">
                  <c:v>13.4</c:v>
                </c:pt>
                <c:pt idx="168">
                  <c:v>13.4</c:v>
                </c:pt>
                <c:pt idx="169">
                  <c:v>13.4</c:v>
                </c:pt>
                <c:pt idx="170">
                  <c:v>13.4</c:v>
                </c:pt>
                <c:pt idx="171">
                  <c:v>13.4</c:v>
                </c:pt>
                <c:pt idx="172">
                  <c:v>13.4</c:v>
                </c:pt>
                <c:pt idx="173">
                  <c:v>13.4</c:v>
                </c:pt>
                <c:pt idx="174">
                  <c:v>13.4</c:v>
                </c:pt>
                <c:pt idx="175">
                  <c:v>13.4</c:v>
                </c:pt>
                <c:pt idx="176">
                  <c:v>13.4</c:v>
                </c:pt>
                <c:pt idx="177">
                  <c:v>13.4</c:v>
                </c:pt>
                <c:pt idx="178">
                  <c:v>13.4</c:v>
                </c:pt>
                <c:pt idx="179">
                  <c:v>13.4</c:v>
                </c:pt>
                <c:pt idx="180">
                  <c:v>13.4</c:v>
                </c:pt>
                <c:pt idx="181">
                  <c:v>13.4</c:v>
                </c:pt>
                <c:pt idx="182">
                  <c:v>13.4</c:v>
                </c:pt>
                <c:pt idx="183">
                  <c:v>13.4</c:v>
                </c:pt>
                <c:pt idx="184">
                  <c:v>13.4</c:v>
                </c:pt>
                <c:pt idx="185">
                  <c:v>13.4</c:v>
                </c:pt>
                <c:pt idx="186">
                  <c:v>13.4</c:v>
                </c:pt>
                <c:pt idx="187">
                  <c:v>13.4</c:v>
                </c:pt>
                <c:pt idx="188">
                  <c:v>13.4</c:v>
                </c:pt>
                <c:pt idx="189">
                  <c:v>13.4</c:v>
                </c:pt>
                <c:pt idx="190">
                  <c:v>13.4</c:v>
                </c:pt>
                <c:pt idx="191">
                  <c:v>13.4</c:v>
                </c:pt>
                <c:pt idx="192">
                  <c:v>13.4</c:v>
                </c:pt>
                <c:pt idx="193">
                  <c:v>13.4</c:v>
                </c:pt>
                <c:pt idx="194">
                  <c:v>13.4</c:v>
                </c:pt>
                <c:pt idx="195">
                  <c:v>13.4</c:v>
                </c:pt>
                <c:pt idx="196">
                  <c:v>13.4</c:v>
                </c:pt>
                <c:pt idx="197">
                  <c:v>13.4</c:v>
                </c:pt>
                <c:pt idx="198">
                  <c:v>13.4</c:v>
                </c:pt>
                <c:pt idx="199">
                  <c:v>13.4</c:v>
                </c:pt>
                <c:pt idx="200">
                  <c:v>13.4</c:v>
                </c:pt>
                <c:pt idx="201">
                  <c:v>13.4</c:v>
                </c:pt>
                <c:pt idx="202">
                  <c:v>13.4</c:v>
                </c:pt>
                <c:pt idx="203">
                  <c:v>13.4</c:v>
                </c:pt>
                <c:pt idx="204">
                  <c:v>13.4</c:v>
                </c:pt>
                <c:pt idx="205">
                  <c:v>13.4</c:v>
                </c:pt>
                <c:pt idx="206">
                  <c:v>13.4</c:v>
                </c:pt>
                <c:pt idx="207">
                  <c:v>13.4</c:v>
                </c:pt>
                <c:pt idx="208">
                  <c:v>13.4</c:v>
                </c:pt>
                <c:pt idx="209">
                  <c:v>13.4</c:v>
                </c:pt>
                <c:pt idx="210">
                  <c:v>13.4</c:v>
                </c:pt>
                <c:pt idx="211">
                  <c:v>13.4</c:v>
                </c:pt>
                <c:pt idx="212">
                  <c:v>13.4</c:v>
                </c:pt>
                <c:pt idx="213">
                  <c:v>13.4</c:v>
                </c:pt>
                <c:pt idx="214">
                  <c:v>13.67</c:v>
                </c:pt>
                <c:pt idx="215">
                  <c:v>13.67</c:v>
                </c:pt>
                <c:pt idx="216">
                  <c:v>13.67</c:v>
                </c:pt>
                <c:pt idx="217">
                  <c:v>13.67</c:v>
                </c:pt>
                <c:pt idx="218">
                  <c:v>13.67</c:v>
                </c:pt>
                <c:pt idx="219">
                  <c:v>13.67</c:v>
                </c:pt>
                <c:pt idx="220">
                  <c:v>13.67</c:v>
                </c:pt>
                <c:pt idx="221">
                  <c:v>13.67</c:v>
                </c:pt>
                <c:pt idx="222">
                  <c:v>13.67</c:v>
                </c:pt>
                <c:pt idx="223">
                  <c:v>13.67</c:v>
                </c:pt>
                <c:pt idx="224">
                  <c:v>13.67</c:v>
                </c:pt>
                <c:pt idx="225">
                  <c:v>13.67</c:v>
                </c:pt>
                <c:pt idx="226">
                  <c:v>13.67</c:v>
                </c:pt>
                <c:pt idx="227">
                  <c:v>13.67</c:v>
                </c:pt>
                <c:pt idx="228">
                  <c:v>13.67</c:v>
                </c:pt>
                <c:pt idx="229">
                  <c:v>13.67</c:v>
                </c:pt>
                <c:pt idx="230">
                  <c:v>13.67</c:v>
                </c:pt>
                <c:pt idx="231">
                  <c:v>13.67</c:v>
                </c:pt>
                <c:pt idx="232">
                  <c:v>13.67</c:v>
                </c:pt>
                <c:pt idx="233">
                  <c:v>13.67</c:v>
                </c:pt>
                <c:pt idx="234">
                  <c:v>13.67</c:v>
                </c:pt>
                <c:pt idx="235">
                  <c:v>13.67</c:v>
                </c:pt>
                <c:pt idx="236">
                  <c:v>13.67</c:v>
                </c:pt>
                <c:pt idx="237">
                  <c:v>13.67</c:v>
                </c:pt>
                <c:pt idx="238">
                  <c:v>13.67</c:v>
                </c:pt>
                <c:pt idx="239">
                  <c:v>13.67</c:v>
                </c:pt>
                <c:pt idx="240">
                  <c:v>13.67</c:v>
                </c:pt>
                <c:pt idx="241">
                  <c:v>13.67</c:v>
                </c:pt>
                <c:pt idx="242">
                  <c:v>13.67</c:v>
                </c:pt>
                <c:pt idx="243">
                  <c:v>13.67</c:v>
                </c:pt>
                <c:pt idx="244">
                  <c:v>13.67</c:v>
                </c:pt>
                <c:pt idx="245">
                  <c:v>13.67</c:v>
                </c:pt>
                <c:pt idx="246">
                  <c:v>13.67</c:v>
                </c:pt>
                <c:pt idx="247">
                  <c:v>13.67</c:v>
                </c:pt>
                <c:pt idx="248">
                  <c:v>13.67</c:v>
                </c:pt>
                <c:pt idx="249">
                  <c:v>13.67</c:v>
                </c:pt>
                <c:pt idx="250">
                  <c:v>13.67</c:v>
                </c:pt>
                <c:pt idx="251">
                  <c:v>13.67</c:v>
                </c:pt>
                <c:pt idx="252">
                  <c:v>13.67</c:v>
                </c:pt>
                <c:pt idx="253">
                  <c:v>13.67</c:v>
                </c:pt>
                <c:pt idx="254">
                  <c:v>13.67</c:v>
                </c:pt>
                <c:pt idx="255">
                  <c:v>13.67</c:v>
                </c:pt>
                <c:pt idx="256">
                  <c:v>13.67</c:v>
                </c:pt>
                <c:pt idx="257">
                  <c:v>13.67</c:v>
                </c:pt>
                <c:pt idx="258">
                  <c:v>13.67</c:v>
                </c:pt>
                <c:pt idx="259">
                  <c:v>13.67</c:v>
                </c:pt>
                <c:pt idx="260">
                  <c:v>13.67</c:v>
                </c:pt>
                <c:pt idx="261">
                  <c:v>13.67</c:v>
                </c:pt>
                <c:pt idx="262">
                  <c:v>13.67</c:v>
                </c:pt>
                <c:pt idx="263">
                  <c:v>13.67</c:v>
                </c:pt>
                <c:pt idx="264">
                  <c:v>13.67</c:v>
                </c:pt>
                <c:pt idx="265">
                  <c:v>13.67</c:v>
                </c:pt>
                <c:pt idx="266">
                  <c:v>13.67</c:v>
                </c:pt>
                <c:pt idx="267">
                  <c:v>13.67</c:v>
                </c:pt>
                <c:pt idx="268">
                  <c:v>13.67</c:v>
                </c:pt>
                <c:pt idx="269">
                  <c:v>13.67</c:v>
                </c:pt>
                <c:pt idx="270">
                  <c:v>13.67</c:v>
                </c:pt>
                <c:pt idx="271">
                  <c:v>13.67</c:v>
                </c:pt>
                <c:pt idx="272">
                  <c:v>13.67</c:v>
                </c:pt>
                <c:pt idx="273">
                  <c:v>13.67</c:v>
                </c:pt>
                <c:pt idx="274">
                  <c:v>13.67</c:v>
                </c:pt>
                <c:pt idx="275">
                  <c:v>13.67</c:v>
                </c:pt>
                <c:pt idx="276">
                  <c:v>13.67</c:v>
                </c:pt>
                <c:pt idx="277">
                  <c:v>13.67</c:v>
                </c:pt>
                <c:pt idx="278">
                  <c:v>13.67</c:v>
                </c:pt>
                <c:pt idx="279">
                  <c:v>13.67</c:v>
                </c:pt>
                <c:pt idx="280">
                  <c:v>13.67</c:v>
                </c:pt>
                <c:pt idx="281">
                  <c:v>13.67</c:v>
                </c:pt>
                <c:pt idx="282">
                  <c:v>13.67</c:v>
                </c:pt>
                <c:pt idx="283">
                  <c:v>13.67</c:v>
                </c:pt>
                <c:pt idx="284">
                  <c:v>13.67</c:v>
                </c:pt>
                <c:pt idx="285">
                  <c:v>13.67</c:v>
                </c:pt>
                <c:pt idx="286">
                  <c:v>13.67</c:v>
                </c:pt>
                <c:pt idx="287">
                  <c:v>13.67</c:v>
                </c:pt>
                <c:pt idx="288">
                  <c:v>13.67</c:v>
                </c:pt>
                <c:pt idx="289">
                  <c:v>13.67</c:v>
                </c:pt>
                <c:pt idx="290">
                  <c:v>13.67</c:v>
                </c:pt>
                <c:pt idx="291">
                  <c:v>13.67</c:v>
                </c:pt>
                <c:pt idx="292">
                  <c:v>13.67</c:v>
                </c:pt>
                <c:pt idx="293">
                  <c:v>13.67</c:v>
                </c:pt>
                <c:pt idx="294">
                  <c:v>13.67</c:v>
                </c:pt>
                <c:pt idx="295">
                  <c:v>13.67</c:v>
                </c:pt>
                <c:pt idx="296">
                  <c:v>13.67</c:v>
                </c:pt>
                <c:pt idx="297">
                  <c:v>13.67</c:v>
                </c:pt>
                <c:pt idx="298">
                  <c:v>13.67</c:v>
                </c:pt>
                <c:pt idx="299">
                  <c:v>11.77</c:v>
                </c:pt>
                <c:pt idx="300">
                  <c:v>11.77</c:v>
                </c:pt>
                <c:pt idx="301">
                  <c:v>11.77</c:v>
                </c:pt>
                <c:pt idx="302">
                  <c:v>11.77</c:v>
                </c:pt>
                <c:pt idx="303">
                  <c:v>11.77</c:v>
                </c:pt>
                <c:pt idx="304">
                  <c:v>11.77</c:v>
                </c:pt>
                <c:pt idx="305">
                  <c:v>11.77</c:v>
                </c:pt>
                <c:pt idx="306">
                  <c:v>11.77</c:v>
                </c:pt>
                <c:pt idx="307">
                  <c:v>11.77</c:v>
                </c:pt>
                <c:pt idx="308">
                  <c:v>11.77</c:v>
                </c:pt>
                <c:pt idx="309">
                  <c:v>11.77</c:v>
                </c:pt>
                <c:pt idx="310">
                  <c:v>11.77</c:v>
                </c:pt>
                <c:pt idx="311">
                  <c:v>11.77</c:v>
                </c:pt>
                <c:pt idx="312">
                  <c:v>11.77</c:v>
                </c:pt>
                <c:pt idx="313">
                  <c:v>11.77</c:v>
                </c:pt>
                <c:pt idx="314">
                  <c:v>11.77</c:v>
                </c:pt>
                <c:pt idx="315">
                  <c:v>11.77</c:v>
                </c:pt>
                <c:pt idx="316">
                  <c:v>11.77</c:v>
                </c:pt>
                <c:pt idx="317">
                  <c:v>11.77</c:v>
                </c:pt>
                <c:pt idx="318">
                  <c:v>11.77</c:v>
                </c:pt>
                <c:pt idx="319">
                  <c:v>11.77</c:v>
                </c:pt>
                <c:pt idx="320">
                  <c:v>11.86</c:v>
                </c:pt>
                <c:pt idx="321">
                  <c:v>11.86</c:v>
                </c:pt>
                <c:pt idx="322">
                  <c:v>11.89</c:v>
                </c:pt>
                <c:pt idx="323">
                  <c:v>11.89</c:v>
                </c:pt>
                <c:pt idx="324">
                  <c:v>11.89</c:v>
                </c:pt>
                <c:pt idx="325">
                  <c:v>11.62</c:v>
                </c:pt>
                <c:pt idx="326">
                  <c:v>11.62</c:v>
                </c:pt>
                <c:pt idx="327">
                  <c:v>11.89</c:v>
                </c:pt>
                <c:pt idx="328">
                  <c:v>12.19</c:v>
                </c:pt>
                <c:pt idx="329">
                  <c:v>12.19</c:v>
                </c:pt>
                <c:pt idx="330">
                  <c:v>12.19</c:v>
                </c:pt>
                <c:pt idx="331">
                  <c:v>12.19</c:v>
                </c:pt>
                <c:pt idx="332">
                  <c:v>12.19</c:v>
                </c:pt>
                <c:pt idx="333">
                  <c:v>12.19</c:v>
                </c:pt>
                <c:pt idx="334">
                  <c:v>12.19</c:v>
                </c:pt>
                <c:pt idx="335">
                  <c:v>12.36</c:v>
                </c:pt>
                <c:pt idx="336">
                  <c:v>12.29</c:v>
                </c:pt>
                <c:pt idx="337">
                  <c:v>12.29</c:v>
                </c:pt>
                <c:pt idx="338">
                  <c:v>12.29</c:v>
                </c:pt>
                <c:pt idx="339">
                  <c:v>12.29</c:v>
                </c:pt>
                <c:pt idx="340">
                  <c:v>12.29</c:v>
                </c:pt>
                <c:pt idx="341">
                  <c:v>12.29</c:v>
                </c:pt>
                <c:pt idx="342">
                  <c:v>12.29</c:v>
                </c:pt>
                <c:pt idx="343">
                  <c:v>12.29</c:v>
                </c:pt>
                <c:pt idx="344">
                  <c:v>12.31</c:v>
                </c:pt>
                <c:pt idx="345">
                  <c:v>12.31</c:v>
                </c:pt>
                <c:pt idx="346">
                  <c:v>12.31</c:v>
                </c:pt>
                <c:pt idx="347">
                  <c:v>12.31</c:v>
                </c:pt>
                <c:pt idx="348">
                  <c:v>12.31</c:v>
                </c:pt>
                <c:pt idx="349">
                  <c:v>12.31</c:v>
                </c:pt>
                <c:pt idx="350">
                  <c:v>12.31</c:v>
                </c:pt>
                <c:pt idx="351">
                  <c:v>12.31</c:v>
                </c:pt>
                <c:pt idx="352">
                  <c:v>12.31</c:v>
                </c:pt>
                <c:pt idx="353">
                  <c:v>12.31</c:v>
                </c:pt>
                <c:pt idx="354">
                  <c:v>12.31</c:v>
                </c:pt>
                <c:pt idx="355">
                  <c:v>12.31</c:v>
                </c:pt>
                <c:pt idx="356">
                  <c:v>12.31</c:v>
                </c:pt>
                <c:pt idx="357">
                  <c:v>12.31</c:v>
                </c:pt>
                <c:pt idx="358">
                  <c:v>12.43</c:v>
                </c:pt>
                <c:pt idx="359">
                  <c:v>12.43</c:v>
                </c:pt>
                <c:pt idx="360">
                  <c:v>12.43</c:v>
                </c:pt>
                <c:pt idx="361">
                  <c:v>12.43</c:v>
                </c:pt>
                <c:pt idx="362">
                  <c:v>12.43</c:v>
                </c:pt>
                <c:pt idx="363">
                  <c:v>12.43</c:v>
                </c:pt>
                <c:pt idx="364">
                  <c:v>12.43</c:v>
                </c:pt>
                <c:pt idx="365">
                  <c:v>12.43</c:v>
                </c:pt>
                <c:pt idx="366">
                  <c:v>12.43</c:v>
                </c:pt>
                <c:pt idx="367">
                  <c:v>12.43</c:v>
                </c:pt>
                <c:pt idx="368">
                  <c:v>12.43</c:v>
                </c:pt>
                <c:pt idx="369">
                  <c:v>12.43</c:v>
                </c:pt>
                <c:pt idx="370">
                  <c:v>12.43</c:v>
                </c:pt>
                <c:pt idx="371">
                  <c:v>12.43</c:v>
                </c:pt>
                <c:pt idx="372">
                  <c:v>12.43</c:v>
                </c:pt>
                <c:pt idx="373">
                  <c:v>12.43</c:v>
                </c:pt>
                <c:pt idx="374">
                  <c:v>12.73</c:v>
                </c:pt>
                <c:pt idx="375">
                  <c:v>12.73</c:v>
                </c:pt>
                <c:pt idx="376">
                  <c:v>12.73</c:v>
                </c:pt>
                <c:pt idx="377">
                  <c:v>12.73</c:v>
                </c:pt>
                <c:pt idx="378">
                  <c:v>12.73</c:v>
                </c:pt>
                <c:pt idx="379">
                  <c:v>12.73</c:v>
                </c:pt>
                <c:pt idx="380">
                  <c:v>12.73</c:v>
                </c:pt>
                <c:pt idx="381">
                  <c:v>12.73</c:v>
                </c:pt>
                <c:pt idx="382">
                  <c:v>12.73</c:v>
                </c:pt>
                <c:pt idx="383">
                  <c:v>12.73</c:v>
                </c:pt>
                <c:pt idx="384">
                  <c:v>12.73</c:v>
                </c:pt>
                <c:pt idx="385">
                  <c:v>13.74</c:v>
                </c:pt>
                <c:pt idx="386">
                  <c:v>13.74</c:v>
                </c:pt>
                <c:pt idx="387">
                  <c:v>13.74</c:v>
                </c:pt>
                <c:pt idx="388">
                  <c:v>13.74</c:v>
                </c:pt>
                <c:pt idx="389">
                  <c:v>13.74</c:v>
                </c:pt>
                <c:pt idx="390">
                  <c:v>13.74</c:v>
                </c:pt>
                <c:pt idx="391">
                  <c:v>13.74</c:v>
                </c:pt>
                <c:pt idx="392">
                  <c:v>13.74</c:v>
                </c:pt>
                <c:pt idx="393">
                  <c:v>13.74</c:v>
                </c:pt>
                <c:pt idx="394">
                  <c:v>13.74</c:v>
                </c:pt>
                <c:pt idx="395">
                  <c:v>13</c:v>
                </c:pt>
                <c:pt idx="396">
                  <c:v>13</c:v>
                </c:pt>
                <c:pt idx="397">
                  <c:v>13</c:v>
                </c:pt>
                <c:pt idx="398">
                  <c:v>13</c:v>
                </c:pt>
                <c:pt idx="399">
                  <c:v>13</c:v>
                </c:pt>
                <c:pt idx="400">
                  <c:v>13</c:v>
                </c:pt>
                <c:pt idx="401">
                  <c:v>13</c:v>
                </c:pt>
                <c:pt idx="402">
                  <c:v>13</c:v>
                </c:pt>
                <c:pt idx="403">
                  <c:v>13</c:v>
                </c:pt>
                <c:pt idx="404">
                  <c:v>13</c:v>
                </c:pt>
                <c:pt idx="405">
                  <c:v>13</c:v>
                </c:pt>
                <c:pt idx="406">
                  <c:v>13</c:v>
                </c:pt>
                <c:pt idx="407">
                  <c:v>13</c:v>
                </c:pt>
                <c:pt idx="408">
                  <c:v>13</c:v>
                </c:pt>
                <c:pt idx="409">
                  <c:v>13</c:v>
                </c:pt>
                <c:pt idx="410">
                  <c:v>13</c:v>
                </c:pt>
                <c:pt idx="411">
                  <c:v>13</c:v>
                </c:pt>
                <c:pt idx="412">
                  <c:v>13</c:v>
                </c:pt>
                <c:pt idx="413">
                  <c:v>13.43</c:v>
                </c:pt>
                <c:pt idx="414">
                  <c:v>13.43</c:v>
                </c:pt>
                <c:pt idx="415">
                  <c:v>13.43</c:v>
                </c:pt>
                <c:pt idx="416">
                  <c:v>13.43</c:v>
                </c:pt>
                <c:pt idx="417">
                  <c:v>13.43</c:v>
                </c:pt>
                <c:pt idx="418">
                  <c:v>13.43</c:v>
                </c:pt>
                <c:pt idx="419">
                  <c:v>13.43</c:v>
                </c:pt>
                <c:pt idx="420">
                  <c:v>13.68</c:v>
                </c:pt>
                <c:pt idx="421">
                  <c:v>13.68</c:v>
                </c:pt>
                <c:pt idx="422">
                  <c:v>14.07</c:v>
                </c:pt>
                <c:pt idx="423">
                  <c:v>14.07</c:v>
                </c:pt>
                <c:pt idx="424">
                  <c:v>14.07</c:v>
                </c:pt>
                <c:pt idx="425">
                  <c:v>14.07</c:v>
                </c:pt>
                <c:pt idx="426">
                  <c:v>14.07</c:v>
                </c:pt>
                <c:pt idx="427">
                  <c:v>14.07</c:v>
                </c:pt>
                <c:pt idx="428">
                  <c:v>14.07</c:v>
                </c:pt>
                <c:pt idx="429">
                  <c:v>14.07</c:v>
                </c:pt>
                <c:pt idx="430">
                  <c:v>14.07</c:v>
                </c:pt>
                <c:pt idx="431">
                  <c:v>14.07</c:v>
                </c:pt>
                <c:pt idx="432">
                  <c:v>14.07</c:v>
                </c:pt>
                <c:pt idx="433">
                  <c:v>13.94</c:v>
                </c:pt>
                <c:pt idx="434">
                  <c:v>13.94</c:v>
                </c:pt>
                <c:pt idx="435">
                  <c:v>13.94</c:v>
                </c:pt>
                <c:pt idx="436">
                  <c:v>12.73</c:v>
                </c:pt>
                <c:pt idx="437">
                  <c:v>13.9</c:v>
                </c:pt>
                <c:pt idx="438">
                  <c:v>13.78</c:v>
                </c:pt>
                <c:pt idx="439">
                  <c:v>13.4</c:v>
                </c:pt>
                <c:pt idx="440">
                  <c:v>13.4</c:v>
                </c:pt>
                <c:pt idx="441">
                  <c:v>14.35</c:v>
                </c:pt>
                <c:pt idx="442">
                  <c:v>14.35</c:v>
                </c:pt>
                <c:pt idx="443">
                  <c:v>14.35</c:v>
                </c:pt>
                <c:pt idx="444">
                  <c:v>14.35</c:v>
                </c:pt>
                <c:pt idx="445">
                  <c:v>14.35</c:v>
                </c:pt>
                <c:pt idx="446">
                  <c:v>13.99</c:v>
                </c:pt>
                <c:pt idx="447">
                  <c:v>13.99</c:v>
                </c:pt>
                <c:pt idx="448">
                  <c:v>13.99</c:v>
                </c:pt>
                <c:pt idx="449">
                  <c:v>13.65</c:v>
                </c:pt>
                <c:pt idx="450">
                  <c:v>13.65</c:v>
                </c:pt>
                <c:pt idx="451">
                  <c:v>13.65</c:v>
                </c:pt>
                <c:pt idx="452">
                  <c:v>13.65</c:v>
                </c:pt>
                <c:pt idx="453">
                  <c:v>13.6</c:v>
                </c:pt>
                <c:pt idx="454">
                  <c:v>13.6</c:v>
                </c:pt>
                <c:pt idx="455">
                  <c:v>13.6</c:v>
                </c:pt>
                <c:pt idx="456">
                  <c:v>13.6</c:v>
                </c:pt>
                <c:pt idx="457">
                  <c:v>13.6</c:v>
                </c:pt>
                <c:pt idx="458">
                  <c:v>13.6</c:v>
                </c:pt>
                <c:pt idx="459">
                  <c:v>13.6</c:v>
                </c:pt>
                <c:pt idx="460">
                  <c:v>13.6</c:v>
                </c:pt>
                <c:pt idx="461">
                  <c:v>13.6</c:v>
                </c:pt>
                <c:pt idx="462">
                  <c:v>13.6</c:v>
                </c:pt>
                <c:pt idx="463">
                  <c:v>13.6</c:v>
                </c:pt>
                <c:pt idx="464">
                  <c:v>13.6</c:v>
                </c:pt>
                <c:pt idx="465">
                  <c:v>13.6</c:v>
                </c:pt>
                <c:pt idx="466">
                  <c:v>13.6</c:v>
                </c:pt>
                <c:pt idx="467">
                  <c:v>13.6</c:v>
                </c:pt>
                <c:pt idx="468">
                  <c:v>13.6</c:v>
                </c:pt>
                <c:pt idx="469">
                  <c:v>12.93</c:v>
                </c:pt>
                <c:pt idx="470">
                  <c:v>12.93</c:v>
                </c:pt>
                <c:pt idx="471">
                  <c:v>12.93</c:v>
                </c:pt>
                <c:pt idx="472">
                  <c:v>12.91</c:v>
                </c:pt>
                <c:pt idx="473">
                  <c:v>12.91</c:v>
                </c:pt>
                <c:pt idx="474">
                  <c:v>12.93</c:v>
                </c:pt>
                <c:pt idx="475">
                  <c:v>13</c:v>
                </c:pt>
                <c:pt idx="476">
                  <c:v>12.8</c:v>
                </c:pt>
                <c:pt idx="477">
                  <c:v>12.8</c:v>
                </c:pt>
                <c:pt idx="478">
                  <c:v>12.8</c:v>
                </c:pt>
                <c:pt idx="479">
                  <c:v>12.8</c:v>
                </c:pt>
                <c:pt idx="480">
                  <c:v>12.8</c:v>
                </c:pt>
                <c:pt idx="481">
                  <c:v>12.8</c:v>
                </c:pt>
                <c:pt idx="482">
                  <c:v>12.8</c:v>
                </c:pt>
                <c:pt idx="483">
                  <c:v>13</c:v>
                </c:pt>
                <c:pt idx="484">
                  <c:v>13</c:v>
                </c:pt>
                <c:pt idx="485">
                  <c:v>12.93</c:v>
                </c:pt>
                <c:pt idx="486">
                  <c:v>12.93</c:v>
                </c:pt>
                <c:pt idx="487">
                  <c:v>12.93</c:v>
                </c:pt>
                <c:pt idx="488">
                  <c:v>12.93</c:v>
                </c:pt>
                <c:pt idx="489">
                  <c:v>12.83</c:v>
                </c:pt>
                <c:pt idx="490">
                  <c:v>12.83</c:v>
                </c:pt>
                <c:pt idx="491">
                  <c:v>12.83</c:v>
                </c:pt>
                <c:pt idx="492">
                  <c:v>12.56</c:v>
                </c:pt>
                <c:pt idx="493">
                  <c:v>12.56</c:v>
                </c:pt>
                <c:pt idx="494">
                  <c:v>12.56</c:v>
                </c:pt>
                <c:pt idx="495">
                  <c:v>12.56</c:v>
                </c:pt>
                <c:pt idx="496">
                  <c:v>12.56</c:v>
                </c:pt>
                <c:pt idx="497">
                  <c:v>12.56</c:v>
                </c:pt>
                <c:pt idx="498">
                  <c:v>12.56</c:v>
                </c:pt>
                <c:pt idx="499">
                  <c:v>13.4</c:v>
                </c:pt>
                <c:pt idx="500">
                  <c:v>13.47</c:v>
                </c:pt>
                <c:pt idx="501">
                  <c:v>13.47</c:v>
                </c:pt>
                <c:pt idx="502">
                  <c:v>13.47</c:v>
                </c:pt>
                <c:pt idx="503">
                  <c:v>13.47</c:v>
                </c:pt>
                <c:pt idx="504">
                  <c:v>13.4</c:v>
                </c:pt>
                <c:pt idx="505">
                  <c:v>13.41</c:v>
                </c:pt>
                <c:pt idx="506">
                  <c:v>13.41</c:v>
                </c:pt>
                <c:pt idx="507">
                  <c:v>13.41</c:v>
                </c:pt>
                <c:pt idx="508">
                  <c:v>14.14</c:v>
                </c:pt>
                <c:pt idx="509">
                  <c:v>14.14</c:v>
                </c:pt>
                <c:pt idx="510">
                  <c:v>14.14</c:v>
                </c:pt>
                <c:pt idx="511">
                  <c:v>14.14</c:v>
                </c:pt>
                <c:pt idx="512">
                  <c:v>14.14</c:v>
                </c:pt>
                <c:pt idx="513">
                  <c:v>14.14</c:v>
                </c:pt>
                <c:pt idx="514">
                  <c:v>14.14</c:v>
                </c:pt>
                <c:pt idx="515">
                  <c:v>14.14</c:v>
                </c:pt>
                <c:pt idx="516">
                  <c:v>14.14</c:v>
                </c:pt>
                <c:pt idx="517">
                  <c:v>14.14</c:v>
                </c:pt>
                <c:pt idx="518">
                  <c:v>14.14</c:v>
                </c:pt>
                <c:pt idx="519">
                  <c:v>14.14</c:v>
                </c:pt>
                <c:pt idx="520">
                  <c:v>14.14</c:v>
                </c:pt>
                <c:pt idx="521">
                  <c:v>13.53</c:v>
                </c:pt>
                <c:pt idx="522">
                  <c:v>13.53</c:v>
                </c:pt>
                <c:pt idx="523">
                  <c:v>13.53</c:v>
                </c:pt>
                <c:pt idx="524">
                  <c:v>13.53</c:v>
                </c:pt>
                <c:pt idx="525">
                  <c:v>13.53</c:v>
                </c:pt>
                <c:pt idx="526">
                  <c:v>13.67</c:v>
                </c:pt>
                <c:pt idx="527">
                  <c:v>13.67</c:v>
                </c:pt>
                <c:pt idx="528">
                  <c:v>13.67</c:v>
                </c:pt>
                <c:pt idx="529">
                  <c:v>13.67</c:v>
                </c:pt>
                <c:pt idx="530">
                  <c:v>13.57</c:v>
                </c:pt>
                <c:pt idx="531">
                  <c:v>13.57</c:v>
                </c:pt>
                <c:pt idx="532">
                  <c:v>13.57</c:v>
                </c:pt>
                <c:pt idx="533">
                  <c:v>13.63</c:v>
                </c:pt>
                <c:pt idx="534">
                  <c:v>13.63</c:v>
                </c:pt>
                <c:pt idx="535">
                  <c:v>13.6</c:v>
                </c:pt>
                <c:pt idx="536">
                  <c:v>13.6</c:v>
                </c:pt>
                <c:pt idx="537">
                  <c:v>13.6</c:v>
                </c:pt>
                <c:pt idx="538">
                  <c:v>13.74</c:v>
                </c:pt>
                <c:pt idx="539">
                  <c:v>13.74</c:v>
                </c:pt>
                <c:pt idx="540">
                  <c:v>13.74</c:v>
                </c:pt>
                <c:pt idx="541">
                  <c:v>13.74</c:v>
                </c:pt>
                <c:pt idx="542">
                  <c:v>13.65</c:v>
                </c:pt>
                <c:pt idx="543">
                  <c:v>13.65</c:v>
                </c:pt>
                <c:pt idx="544">
                  <c:v>13.6</c:v>
                </c:pt>
                <c:pt idx="545">
                  <c:v>13.33</c:v>
                </c:pt>
                <c:pt idx="546">
                  <c:v>13.57</c:v>
                </c:pt>
                <c:pt idx="547">
                  <c:v>13.57</c:v>
                </c:pt>
                <c:pt idx="548">
                  <c:v>13.57</c:v>
                </c:pt>
                <c:pt idx="549">
                  <c:v>13.57</c:v>
                </c:pt>
                <c:pt idx="550">
                  <c:v>13.43</c:v>
                </c:pt>
                <c:pt idx="551">
                  <c:v>13.47</c:v>
                </c:pt>
                <c:pt idx="552">
                  <c:v>13.47</c:v>
                </c:pt>
                <c:pt idx="553">
                  <c:v>13.47</c:v>
                </c:pt>
                <c:pt idx="554">
                  <c:v>13.47</c:v>
                </c:pt>
                <c:pt idx="555">
                  <c:v>13.47</c:v>
                </c:pt>
                <c:pt idx="556">
                  <c:v>13.25</c:v>
                </c:pt>
                <c:pt idx="557">
                  <c:v>13.3</c:v>
                </c:pt>
                <c:pt idx="558">
                  <c:v>13.3</c:v>
                </c:pt>
                <c:pt idx="559">
                  <c:v>13.3</c:v>
                </c:pt>
                <c:pt idx="560">
                  <c:v>13.3</c:v>
                </c:pt>
                <c:pt idx="561">
                  <c:v>13.3</c:v>
                </c:pt>
                <c:pt idx="562">
                  <c:v>13.3</c:v>
                </c:pt>
                <c:pt idx="563">
                  <c:v>13.3</c:v>
                </c:pt>
                <c:pt idx="564">
                  <c:v>13.3</c:v>
                </c:pt>
                <c:pt idx="565">
                  <c:v>13.3</c:v>
                </c:pt>
                <c:pt idx="566">
                  <c:v>13.3</c:v>
                </c:pt>
                <c:pt idx="567">
                  <c:v>13.3</c:v>
                </c:pt>
                <c:pt idx="568">
                  <c:v>13.3</c:v>
                </c:pt>
                <c:pt idx="569">
                  <c:v>13.3</c:v>
                </c:pt>
                <c:pt idx="570">
                  <c:v>13.3</c:v>
                </c:pt>
                <c:pt idx="571">
                  <c:v>13.3</c:v>
                </c:pt>
                <c:pt idx="572">
                  <c:v>13.07</c:v>
                </c:pt>
                <c:pt idx="573">
                  <c:v>12.9</c:v>
                </c:pt>
                <c:pt idx="574">
                  <c:v>12.9</c:v>
                </c:pt>
                <c:pt idx="575">
                  <c:v>12.9</c:v>
                </c:pt>
                <c:pt idx="576">
                  <c:v>12.9</c:v>
                </c:pt>
                <c:pt idx="577">
                  <c:v>12.04</c:v>
                </c:pt>
                <c:pt idx="578">
                  <c:v>12.33</c:v>
                </c:pt>
                <c:pt idx="579">
                  <c:v>12.56</c:v>
                </c:pt>
                <c:pt idx="580">
                  <c:v>12.56</c:v>
                </c:pt>
                <c:pt idx="581">
                  <c:v>12.56</c:v>
                </c:pt>
                <c:pt idx="582">
                  <c:v>12.56</c:v>
                </c:pt>
                <c:pt idx="583">
                  <c:v>12.56</c:v>
                </c:pt>
                <c:pt idx="584">
                  <c:v>12.36</c:v>
                </c:pt>
                <c:pt idx="585">
                  <c:v>12.19</c:v>
                </c:pt>
                <c:pt idx="586">
                  <c:v>12.19</c:v>
                </c:pt>
                <c:pt idx="587">
                  <c:v>12.19</c:v>
                </c:pt>
                <c:pt idx="588">
                  <c:v>12.13</c:v>
                </c:pt>
                <c:pt idx="589">
                  <c:v>12.13</c:v>
                </c:pt>
                <c:pt idx="590">
                  <c:v>12.13</c:v>
                </c:pt>
                <c:pt idx="591">
                  <c:v>12.13</c:v>
                </c:pt>
                <c:pt idx="592">
                  <c:v>11.19</c:v>
                </c:pt>
                <c:pt idx="593">
                  <c:v>11.19</c:v>
                </c:pt>
                <c:pt idx="594">
                  <c:v>11.12</c:v>
                </c:pt>
                <c:pt idx="595">
                  <c:v>11.12</c:v>
                </c:pt>
                <c:pt idx="596">
                  <c:v>11.12</c:v>
                </c:pt>
                <c:pt idx="597">
                  <c:v>11.12</c:v>
                </c:pt>
                <c:pt idx="598">
                  <c:v>11.12</c:v>
                </c:pt>
                <c:pt idx="599">
                  <c:v>11.12</c:v>
                </c:pt>
                <c:pt idx="600">
                  <c:v>11.12</c:v>
                </c:pt>
                <c:pt idx="601">
                  <c:v>11.12</c:v>
                </c:pt>
                <c:pt idx="602">
                  <c:v>10.52</c:v>
                </c:pt>
                <c:pt idx="603">
                  <c:v>10.119999999999999</c:v>
                </c:pt>
                <c:pt idx="604">
                  <c:v>9.7799999999999994</c:v>
                </c:pt>
                <c:pt idx="605">
                  <c:v>9.7799999999999994</c:v>
                </c:pt>
                <c:pt idx="606">
                  <c:v>9.25</c:v>
                </c:pt>
                <c:pt idx="607">
                  <c:v>9.25</c:v>
                </c:pt>
                <c:pt idx="608">
                  <c:v>9.25</c:v>
                </c:pt>
                <c:pt idx="609">
                  <c:v>9.25</c:v>
                </c:pt>
                <c:pt idx="610">
                  <c:v>9.41</c:v>
                </c:pt>
                <c:pt idx="611">
                  <c:v>9.41</c:v>
                </c:pt>
                <c:pt idx="612">
                  <c:v>9.41</c:v>
                </c:pt>
                <c:pt idx="613">
                  <c:v>10.119999999999999</c:v>
                </c:pt>
                <c:pt idx="614">
                  <c:v>10.119999999999999</c:v>
                </c:pt>
                <c:pt idx="615">
                  <c:v>10.220000000000001</c:v>
                </c:pt>
                <c:pt idx="616">
                  <c:v>10.220000000000001</c:v>
                </c:pt>
                <c:pt idx="617">
                  <c:v>10.25</c:v>
                </c:pt>
                <c:pt idx="618">
                  <c:v>10.25</c:v>
                </c:pt>
                <c:pt idx="619">
                  <c:v>10.25</c:v>
                </c:pt>
                <c:pt idx="620">
                  <c:v>10.95</c:v>
                </c:pt>
                <c:pt idx="621">
                  <c:v>10.95</c:v>
                </c:pt>
                <c:pt idx="622">
                  <c:v>10.95</c:v>
                </c:pt>
                <c:pt idx="623">
                  <c:v>10.95</c:v>
                </c:pt>
                <c:pt idx="624">
                  <c:v>10.82</c:v>
                </c:pt>
                <c:pt idx="625">
                  <c:v>10.82</c:v>
                </c:pt>
                <c:pt idx="626">
                  <c:v>10.82</c:v>
                </c:pt>
                <c:pt idx="627">
                  <c:v>10.82</c:v>
                </c:pt>
                <c:pt idx="628">
                  <c:v>10.82</c:v>
                </c:pt>
                <c:pt idx="629">
                  <c:v>10.82</c:v>
                </c:pt>
                <c:pt idx="630">
                  <c:v>10.82</c:v>
                </c:pt>
                <c:pt idx="631">
                  <c:v>10.82</c:v>
                </c:pt>
                <c:pt idx="632">
                  <c:v>10.82</c:v>
                </c:pt>
                <c:pt idx="633">
                  <c:v>9.75</c:v>
                </c:pt>
                <c:pt idx="634">
                  <c:v>9.75</c:v>
                </c:pt>
                <c:pt idx="635">
                  <c:v>9.75</c:v>
                </c:pt>
                <c:pt idx="636">
                  <c:v>10.220000000000001</c:v>
                </c:pt>
                <c:pt idx="637">
                  <c:v>10.220000000000001</c:v>
                </c:pt>
                <c:pt idx="638">
                  <c:v>10.220000000000001</c:v>
                </c:pt>
                <c:pt idx="639">
                  <c:v>10.220000000000001</c:v>
                </c:pt>
                <c:pt idx="640">
                  <c:v>10.220000000000001</c:v>
                </c:pt>
                <c:pt idx="641">
                  <c:v>10.220000000000001</c:v>
                </c:pt>
                <c:pt idx="642">
                  <c:v>10.220000000000001</c:v>
                </c:pt>
                <c:pt idx="643">
                  <c:v>10.220000000000001</c:v>
                </c:pt>
                <c:pt idx="644">
                  <c:v>10.220000000000001</c:v>
                </c:pt>
                <c:pt idx="645">
                  <c:v>9.4499999999999993</c:v>
                </c:pt>
                <c:pt idx="646">
                  <c:v>9.4499999999999993</c:v>
                </c:pt>
                <c:pt idx="647">
                  <c:v>9.4499999999999993</c:v>
                </c:pt>
                <c:pt idx="648">
                  <c:v>9.4499999999999993</c:v>
                </c:pt>
                <c:pt idx="649">
                  <c:v>9.4499999999999993</c:v>
                </c:pt>
                <c:pt idx="650">
                  <c:v>9.4499999999999993</c:v>
                </c:pt>
                <c:pt idx="651">
                  <c:v>9.4499999999999993</c:v>
                </c:pt>
                <c:pt idx="652">
                  <c:v>8.94</c:v>
                </c:pt>
                <c:pt idx="653">
                  <c:v>8.94</c:v>
                </c:pt>
                <c:pt idx="654">
                  <c:v>8.94</c:v>
                </c:pt>
                <c:pt idx="655">
                  <c:v>8.94</c:v>
                </c:pt>
                <c:pt idx="656">
                  <c:v>8.94</c:v>
                </c:pt>
                <c:pt idx="657">
                  <c:v>8.94</c:v>
                </c:pt>
                <c:pt idx="658">
                  <c:v>8.94</c:v>
                </c:pt>
                <c:pt idx="659">
                  <c:v>8.94</c:v>
                </c:pt>
                <c:pt idx="660">
                  <c:v>8.94</c:v>
                </c:pt>
                <c:pt idx="661">
                  <c:v>8.94</c:v>
                </c:pt>
                <c:pt idx="662">
                  <c:v>8.94</c:v>
                </c:pt>
                <c:pt idx="663">
                  <c:v>8.94</c:v>
                </c:pt>
                <c:pt idx="664">
                  <c:v>8.94</c:v>
                </c:pt>
                <c:pt idx="665">
                  <c:v>8.94</c:v>
                </c:pt>
                <c:pt idx="666">
                  <c:v>8.94</c:v>
                </c:pt>
                <c:pt idx="667">
                  <c:v>8.94</c:v>
                </c:pt>
                <c:pt idx="668">
                  <c:v>8.94</c:v>
                </c:pt>
                <c:pt idx="669">
                  <c:v>8.94</c:v>
                </c:pt>
                <c:pt idx="670">
                  <c:v>8.94</c:v>
                </c:pt>
                <c:pt idx="671">
                  <c:v>8.94</c:v>
                </c:pt>
                <c:pt idx="672">
                  <c:v>8.91</c:v>
                </c:pt>
                <c:pt idx="673">
                  <c:v>9.11</c:v>
                </c:pt>
                <c:pt idx="674">
                  <c:v>8.98</c:v>
                </c:pt>
                <c:pt idx="675">
                  <c:v>8.98</c:v>
                </c:pt>
                <c:pt idx="676">
                  <c:v>8.98</c:v>
                </c:pt>
                <c:pt idx="677">
                  <c:v>8.98</c:v>
                </c:pt>
                <c:pt idx="678">
                  <c:v>8.98</c:v>
                </c:pt>
                <c:pt idx="679">
                  <c:v>8.98</c:v>
                </c:pt>
                <c:pt idx="680">
                  <c:v>8.98</c:v>
                </c:pt>
                <c:pt idx="681">
                  <c:v>8.98</c:v>
                </c:pt>
                <c:pt idx="682">
                  <c:v>8.98</c:v>
                </c:pt>
                <c:pt idx="683">
                  <c:v>8.74</c:v>
                </c:pt>
                <c:pt idx="684">
                  <c:v>8.74</c:v>
                </c:pt>
                <c:pt idx="685">
                  <c:v>7.54</c:v>
                </c:pt>
                <c:pt idx="686">
                  <c:v>7.54</c:v>
                </c:pt>
                <c:pt idx="687">
                  <c:v>7.54</c:v>
                </c:pt>
                <c:pt idx="688">
                  <c:v>7.54</c:v>
                </c:pt>
                <c:pt idx="689">
                  <c:v>7.54</c:v>
                </c:pt>
                <c:pt idx="690">
                  <c:v>7.54</c:v>
                </c:pt>
                <c:pt idx="691">
                  <c:v>7.54</c:v>
                </c:pt>
                <c:pt idx="692">
                  <c:v>7.54</c:v>
                </c:pt>
                <c:pt idx="693">
                  <c:v>6.63</c:v>
                </c:pt>
                <c:pt idx="694">
                  <c:v>6.63</c:v>
                </c:pt>
                <c:pt idx="695">
                  <c:v>6.63</c:v>
                </c:pt>
                <c:pt idx="696">
                  <c:v>6.63</c:v>
                </c:pt>
                <c:pt idx="697">
                  <c:v>6.63</c:v>
                </c:pt>
                <c:pt idx="698">
                  <c:v>6.63</c:v>
                </c:pt>
                <c:pt idx="699">
                  <c:v>6.63</c:v>
                </c:pt>
                <c:pt idx="700">
                  <c:v>5.43</c:v>
                </c:pt>
                <c:pt idx="701">
                  <c:v>5.43</c:v>
                </c:pt>
                <c:pt idx="702">
                  <c:v>5.43</c:v>
                </c:pt>
                <c:pt idx="703">
                  <c:v>6.37</c:v>
                </c:pt>
                <c:pt idx="704">
                  <c:v>6.37</c:v>
                </c:pt>
                <c:pt idx="705">
                  <c:v>6.37</c:v>
                </c:pt>
                <c:pt idx="706">
                  <c:v>6.37</c:v>
                </c:pt>
                <c:pt idx="707">
                  <c:v>6.37</c:v>
                </c:pt>
                <c:pt idx="708">
                  <c:v>6.37</c:v>
                </c:pt>
                <c:pt idx="709">
                  <c:v>6.37</c:v>
                </c:pt>
                <c:pt idx="710">
                  <c:v>6.37</c:v>
                </c:pt>
                <c:pt idx="711">
                  <c:v>4.6900000000000004</c:v>
                </c:pt>
                <c:pt idx="712">
                  <c:v>4.6900000000000004</c:v>
                </c:pt>
                <c:pt idx="713">
                  <c:v>4.6900000000000004</c:v>
                </c:pt>
                <c:pt idx="714">
                  <c:v>4.6900000000000004</c:v>
                </c:pt>
                <c:pt idx="715">
                  <c:v>4.6900000000000004</c:v>
                </c:pt>
                <c:pt idx="716">
                  <c:v>4.6900000000000004</c:v>
                </c:pt>
                <c:pt idx="717">
                  <c:v>4.6900000000000004</c:v>
                </c:pt>
                <c:pt idx="718">
                  <c:v>4.6900000000000004</c:v>
                </c:pt>
                <c:pt idx="719">
                  <c:v>4.6399999999999997</c:v>
                </c:pt>
                <c:pt idx="720">
                  <c:v>4.6399999999999997</c:v>
                </c:pt>
                <c:pt idx="721">
                  <c:v>4.6399999999999997</c:v>
                </c:pt>
                <c:pt idx="722">
                  <c:v>4.6399999999999997</c:v>
                </c:pt>
                <c:pt idx="723">
                  <c:v>4.6399999999999997</c:v>
                </c:pt>
                <c:pt idx="724">
                  <c:v>4.6399999999999997</c:v>
                </c:pt>
                <c:pt idx="725">
                  <c:v>5.03</c:v>
                </c:pt>
                <c:pt idx="726">
                  <c:v>5.03</c:v>
                </c:pt>
                <c:pt idx="727">
                  <c:v>5.03</c:v>
                </c:pt>
                <c:pt idx="728">
                  <c:v>5.03</c:v>
                </c:pt>
                <c:pt idx="729">
                  <c:v>5.56</c:v>
                </c:pt>
                <c:pt idx="730">
                  <c:v>5.56</c:v>
                </c:pt>
                <c:pt idx="731">
                  <c:v>5.56</c:v>
                </c:pt>
                <c:pt idx="732">
                  <c:v>5.56</c:v>
                </c:pt>
                <c:pt idx="733">
                  <c:v>5.56</c:v>
                </c:pt>
                <c:pt idx="734">
                  <c:v>4.96</c:v>
                </c:pt>
                <c:pt idx="735">
                  <c:v>4.96</c:v>
                </c:pt>
                <c:pt idx="736">
                  <c:v>4.96</c:v>
                </c:pt>
                <c:pt idx="737">
                  <c:v>4.96</c:v>
                </c:pt>
                <c:pt idx="738">
                  <c:v>5.39</c:v>
                </c:pt>
                <c:pt idx="739">
                  <c:v>5.39</c:v>
                </c:pt>
                <c:pt idx="740">
                  <c:v>5.39</c:v>
                </c:pt>
                <c:pt idx="741">
                  <c:v>5.39</c:v>
                </c:pt>
                <c:pt idx="742">
                  <c:v>5.39</c:v>
                </c:pt>
                <c:pt idx="743">
                  <c:v>5.39</c:v>
                </c:pt>
                <c:pt idx="744">
                  <c:v>5.39</c:v>
                </c:pt>
                <c:pt idx="745">
                  <c:v>5.76</c:v>
                </c:pt>
                <c:pt idx="746">
                  <c:v>5.76</c:v>
                </c:pt>
                <c:pt idx="747">
                  <c:v>5.19</c:v>
                </c:pt>
                <c:pt idx="748">
                  <c:v>5.33</c:v>
                </c:pt>
                <c:pt idx="749">
                  <c:v>5.33</c:v>
                </c:pt>
                <c:pt idx="750">
                  <c:v>5.33</c:v>
                </c:pt>
                <c:pt idx="751">
                  <c:v>5.33</c:v>
                </c:pt>
                <c:pt idx="752">
                  <c:v>5.23</c:v>
                </c:pt>
                <c:pt idx="753">
                  <c:v>5.23</c:v>
                </c:pt>
                <c:pt idx="754">
                  <c:v>5.23</c:v>
                </c:pt>
                <c:pt idx="755">
                  <c:v>5.23</c:v>
                </c:pt>
                <c:pt idx="756">
                  <c:v>5.23</c:v>
                </c:pt>
                <c:pt idx="757">
                  <c:v>5.23</c:v>
                </c:pt>
                <c:pt idx="758">
                  <c:v>4.96</c:v>
                </c:pt>
                <c:pt idx="759">
                  <c:v>4.96</c:v>
                </c:pt>
                <c:pt idx="760">
                  <c:v>4.96</c:v>
                </c:pt>
                <c:pt idx="761">
                  <c:v>4.99</c:v>
                </c:pt>
                <c:pt idx="762">
                  <c:v>5.29</c:v>
                </c:pt>
                <c:pt idx="763">
                  <c:v>5.29</c:v>
                </c:pt>
                <c:pt idx="764">
                  <c:v>5.29</c:v>
                </c:pt>
                <c:pt idx="765">
                  <c:v>4.99</c:v>
                </c:pt>
                <c:pt idx="766">
                  <c:v>4.99</c:v>
                </c:pt>
                <c:pt idx="767">
                  <c:v>4.99</c:v>
                </c:pt>
                <c:pt idx="768">
                  <c:v>5.0599999999999996</c:v>
                </c:pt>
                <c:pt idx="769">
                  <c:v>4.82</c:v>
                </c:pt>
                <c:pt idx="770">
                  <c:v>4.82</c:v>
                </c:pt>
                <c:pt idx="771">
                  <c:v>4.82</c:v>
                </c:pt>
                <c:pt idx="772">
                  <c:v>4.82</c:v>
                </c:pt>
                <c:pt idx="773">
                  <c:v>4.82</c:v>
                </c:pt>
                <c:pt idx="774">
                  <c:v>5.13</c:v>
                </c:pt>
                <c:pt idx="775">
                  <c:v>5.13</c:v>
                </c:pt>
                <c:pt idx="776">
                  <c:v>5.13</c:v>
                </c:pt>
                <c:pt idx="777">
                  <c:v>5.13</c:v>
                </c:pt>
                <c:pt idx="778">
                  <c:v>4.8600000000000003</c:v>
                </c:pt>
                <c:pt idx="779">
                  <c:v>4.8600000000000003</c:v>
                </c:pt>
                <c:pt idx="780">
                  <c:v>5.03</c:v>
                </c:pt>
                <c:pt idx="781">
                  <c:v>5.03</c:v>
                </c:pt>
                <c:pt idx="782">
                  <c:v>5.03</c:v>
                </c:pt>
                <c:pt idx="783">
                  <c:v>5.03</c:v>
                </c:pt>
                <c:pt idx="784">
                  <c:v>5.03</c:v>
                </c:pt>
                <c:pt idx="785">
                  <c:v>4.62</c:v>
                </c:pt>
                <c:pt idx="786">
                  <c:v>4.62</c:v>
                </c:pt>
                <c:pt idx="787">
                  <c:v>4.62</c:v>
                </c:pt>
                <c:pt idx="788">
                  <c:v>4.62</c:v>
                </c:pt>
                <c:pt idx="789">
                  <c:v>4.46</c:v>
                </c:pt>
                <c:pt idx="790">
                  <c:v>4.46</c:v>
                </c:pt>
                <c:pt idx="791">
                  <c:v>4.46</c:v>
                </c:pt>
                <c:pt idx="792">
                  <c:v>4.1900000000000004</c:v>
                </c:pt>
                <c:pt idx="793">
                  <c:v>4.1900000000000004</c:v>
                </c:pt>
                <c:pt idx="794">
                  <c:v>4.1900000000000004</c:v>
                </c:pt>
                <c:pt idx="795">
                  <c:v>4.1900000000000004</c:v>
                </c:pt>
                <c:pt idx="796">
                  <c:v>4.22</c:v>
                </c:pt>
                <c:pt idx="797">
                  <c:v>4.22</c:v>
                </c:pt>
                <c:pt idx="798">
                  <c:v>4.22</c:v>
                </c:pt>
                <c:pt idx="799">
                  <c:v>4.25</c:v>
                </c:pt>
                <c:pt idx="800">
                  <c:v>4.25</c:v>
                </c:pt>
                <c:pt idx="801">
                  <c:v>4.25</c:v>
                </c:pt>
                <c:pt idx="802">
                  <c:v>4.25</c:v>
                </c:pt>
                <c:pt idx="803">
                  <c:v>4.25</c:v>
                </c:pt>
                <c:pt idx="804">
                  <c:v>4.25</c:v>
                </c:pt>
                <c:pt idx="805">
                  <c:v>4.25</c:v>
                </c:pt>
                <c:pt idx="806">
                  <c:v>4.25</c:v>
                </c:pt>
                <c:pt idx="807">
                  <c:v>4.09</c:v>
                </c:pt>
                <c:pt idx="808">
                  <c:v>4.09</c:v>
                </c:pt>
                <c:pt idx="809">
                  <c:v>4.0199999999999996</c:v>
                </c:pt>
                <c:pt idx="810">
                  <c:v>4.0199999999999996</c:v>
                </c:pt>
                <c:pt idx="811">
                  <c:v>4.17</c:v>
                </c:pt>
                <c:pt idx="812">
                  <c:v>4.1500000000000004</c:v>
                </c:pt>
                <c:pt idx="813">
                  <c:v>4.22</c:v>
                </c:pt>
                <c:pt idx="814">
                  <c:v>4.1399999999999997</c:v>
                </c:pt>
                <c:pt idx="815">
                  <c:v>4.29</c:v>
                </c:pt>
                <c:pt idx="816">
                  <c:v>4.29</c:v>
                </c:pt>
                <c:pt idx="817">
                  <c:v>4.29</c:v>
                </c:pt>
                <c:pt idx="818">
                  <c:v>4.29</c:v>
                </c:pt>
                <c:pt idx="819">
                  <c:v>4.29</c:v>
                </c:pt>
                <c:pt idx="820">
                  <c:v>4.29</c:v>
                </c:pt>
                <c:pt idx="821">
                  <c:v>4.29</c:v>
                </c:pt>
                <c:pt idx="822">
                  <c:v>4.4400000000000004</c:v>
                </c:pt>
                <c:pt idx="823">
                  <c:v>4.4400000000000004</c:v>
                </c:pt>
                <c:pt idx="824">
                  <c:v>4.3600000000000003</c:v>
                </c:pt>
                <c:pt idx="825">
                  <c:v>4.09</c:v>
                </c:pt>
                <c:pt idx="826">
                  <c:v>4.09</c:v>
                </c:pt>
                <c:pt idx="827">
                  <c:v>4.09</c:v>
                </c:pt>
                <c:pt idx="828">
                  <c:v>4.09</c:v>
                </c:pt>
                <c:pt idx="829">
                  <c:v>4.09</c:v>
                </c:pt>
                <c:pt idx="830">
                  <c:v>4.09</c:v>
                </c:pt>
                <c:pt idx="831">
                  <c:v>4.09</c:v>
                </c:pt>
                <c:pt idx="832">
                  <c:v>4.09</c:v>
                </c:pt>
                <c:pt idx="833">
                  <c:v>4.09</c:v>
                </c:pt>
                <c:pt idx="834">
                  <c:v>4.09</c:v>
                </c:pt>
                <c:pt idx="835">
                  <c:v>4.09</c:v>
                </c:pt>
                <c:pt idx="836">
                  <c:v>4.09</c:v>
                </c:pt>
                <c:pt idx="837">
                  <c:v>4.09</c:v>
                </c:pt>
                <c:pt idx="838">
                  <c:v>4.09</c:v>
                </c:pt>
                <c:pt idx="839">
                  <c:v>4.09</c:v>
                </c:pt>
                <c:pt idx="840">
                  <c:v>4.09</c:v>
                </c:pt>
                <c:pt idx="841">
                  <c:v>3.82</c:v>
                </c:pt>
                <c:pt idx="842">
                  <c:v>3.82</c:v>
                </c:pt>
                <c:pt idx="843">
                  <c:v>3.58</c:v>
                </c:pt>
                <c:pt idx="844">
                  <c:v>3.55</c:v>
                </c:pt>
                <c:pt idx="845">
                  <c:v>3.57</c:v>
                </c:pt>
                <c:pt idx="846">
                  <c:v>3.5</c:v>
                </c:pt>
                <c:pt idx="847">
                  <c:v>3.48</c:v>
                </c:pt>
                <c:pt idx="848">
                  <c:v>3.4</c:v>
                </c:pt>
                <c:pt idx="849">
                  <c:v>3.39</c:v>
                </c:pt>
                <c:pt idx="850">
                  <c:v>3.25</c:v>
                </c:pt>
                <c:pt idx="851">
                  <c:v>3.17</c:v>
                </c:pt>
                <c:pt idx="852">
                  <c:v>3.28</c:v>
                </c:pt>
                <c:pt idx="853">
                  <c:v>3.29</c:v>
                </c:pt>
                <c:pt idx="854">
                  <c:v>3.29</c:v>
                </c:pt>
                <c:pt idx="855">
                  <c:v>3.28</c:v>
                </c:pt>
                <c:pt idx="856">
                  <c:v>3.28</c:v>
                </c:pt>
                <c:pt idx="857">
                  <c:v>3.29</c:v>
                </c:pt>
                <c:pt idx="858">
                  <c:v>3.27</c:v>
                </c:pt>
                <c:pt idx="859">
                  <c:v>3.18</c:v>
                </c:pt>
                <c:pt idx="860">
                  <c:v>3.19</c:v>
                </c:pt>
                <c:pt idx="861">
                  <c:v>3.22</c:v>
                </c:pt>
                <c:pt idx="862">
                  <c:v>3.22</c:v>
                </c:pt>
                <c:pt idx="863">
                  <c:v>3.2</c:v>
                </c:pt>
                <c:pt idx="864">
                  <c:v>3.22</c:v>
                </c:pt>
                <c:pt idx="865">
                  <c:v>3.21</c:v>
                </c:pt>
                <c:pt idx="866">
                  <c:v>3.17</c:v>
                </c:pt>
                <c:pt idx="867">
                  <c:v>3.17</c:v>
                </c:pt>
                <c:pt idx="868">
                  <c:v>3.2</c:v>
                </c:pt>
                <c:pt idx="869">
                  <c:v>3.25</c:v>
                </c:pt>
                <c:pt idx="870">
                  <c:v>3.23</c:v>
                </c:pt>
                <c:pt idx="871">
                  <c:v>3.22</c:v>
                </c:pt>
                <c:pt idx="872">
                  <c:v>3.18</c:v>
                </c:pt>
                <c:pt idx="873">
                  <c:v>3.15</c:v>
                </c:pt>
                <c:pt idx="874">
                  <c:v>3.15</c:v>
                </c:pt>
                <c:pt idx="875">
                  <c:v>3.2</c:v>
                </c:pt>
                <c:pt idx="876">
                  <c:v>3.2</c:v>
                </c:pt>
                <c:pt idx="877">
                  <c:v>3.18</c:v>
                </c:pt>
                <c:pt idx="878">
                  <c:v>3.15</c:v>
                </c:pt>
                <c:pt idx="879">
                  <c:v>3.18</c:v>
                </c:pt>
                <c:pt idx="880">
                  <c:v>3.16</c:v>
                </c:pt>
                <c:pt idx="881">
                  <c:v>2.98</c:v>
                </c:pt>
                <c:pt idx="882">
                  <c:v>2.75</c:v>
                </c:pt>
                <c:pt idx="883">
                  <c:v>2.68</c:v>
                </c:pt>
                <c:pt idx="884">
                  <c:v>2.41</c:v>
                </c:pt>
                <c:pt idx="885">
                  <c:v>2.2799999999999998</c:v>
                </c:pt>
                <c:pt idx="886">
                  <c:v>2.21</c:v>
                </c:pt>
                <c:pt idx="887">
                  <c:v>1.94</c:v>
                </c:pt>
                <c:pt idx="888">
                  <c:v>1.98</c:v>
                </c:pt>
                <c:pt idx="889">
                  <c:v>2.14</c:v>
                </c:pt>
                <c:pt idx="890">
                  <c:v>2.2200000000000002</c:v>
                </c:pt>
                <c:pt idx="891">
                  <c:v>2.48</c:v>
                </c:pt>
                <c:pt idx="892">
                  <c:v>2.48</c:v>
                </c:pt>
                <c:pt idx="893">
                  <c:v>2.5099999999999998</c:v>
                </c:pt>
                <c:pt idx="894">
                  <c:v>2.5499999999999998</c:v>
                </c:pt>
                <c:pt idx="895">
                  <c:v>2.5099999999999998</c:v>
                </c:pt>
                <c:pt idx="896">
                  <c:v>2.58</c:v>
                </c:pt>
                <c:pt idx="897">
                  <c:v>2.58</c:v>
                </c:pt>
                <c:pt idx="898">
                  <c:v>2.35</c:v>
                </c:pt>
                <c:pt idx="899">
                  <c:v>2.38</c:v>
                </c:pt>
                <c:pt idx="900">
                  <c:v>2.36</c:v>
                </c:pt>
                <c:pt idx="901">
                  <c:v>2.4500000000000002</c:v>
                </c:pt>
                <c:pt idx="902">
                  <c:v>2.35</c:v>
                </c:pt>
                <c:pt idx="903">
                  <c:v>2.2799999999999998</c:v>
                </c:pt>
                <c:pt idx="904">
                  <c:v>2.21</c:v>
                </c:pt>
                <c:pt idx="905">
                  <c:v>2.14</c:v>
                </c:pt>
                <c:pt idx="906">
                  <c:v>2.0099999999999998</c:v>
                </c:pt>
                <c:pt idx="907">
                  <c:v>2.08</c:v>
                </c:pt>
                <c:pt idx="908">
                  <c:v>2.04</c:v>
                </c:pt>
                <c:pt idx="909">
                  <c:v>1.99</c:v>
                </c:pt>
                <c:pt idx="910">
                  <c:v>1.74</c:v>
                </c:pt>
                <c:pt idx="911">
                  <c:v>1.68</c:v>
                </c:pt>
                <c:pt idx="912">
                  <c:v>1.81</c:v>
                </c:pt>
                <c:pt idx="913">
                  <c:v>1.76</c:v>
                </c:pt>
                <c:pt idx="914">
                  <c:v>1.81</c:v>
                </c:pt>
                <c:pt idx="915">
                  <c:v>1.91</c:v>
                </c:pt>
                <c:pt idx="916">
                  <c:v>2.06</c:v>
                </c:pt>
                <c:pt idx="917">
                  <c:v>2.0099999999999998</c:v>
                </c:pt>
                <c:pt idx="918">
                  <c:v>1.92</c:v>
                </c:pt>
                <c:pt idx="919">
                  <c:v>2.0099999999999998</c:v>
                </c:pt>
                <c:pt idx="920">
                  <c:v>1.99</c:v>
                </c:pt>
                <c:pt idx="921">
                  <c:v>1.92</c:v>
                </c:pt>
                <c:pt idx="922">
                  <c:v>1.91</c:v>
                </c:pt>
                <c:pt idx="923">
                  <c:v>1.81</c:v>
                </c:pt>
                <c:pt idx="924">
                  <c:v>1.96</c:v>
                </c:pt>
                <c:pt idx="925">
                  <c:v>2.06</c:v>
                </c:pt>
                <c:pt idx="926">
                  <c:v>1.74</c:v>
                </c:pt>
                <c:pt idx="927">
                  <c:v>1.81</c:v>
                </c:pt>
                <c:pt idx="928">
                  <c:v>1.86</c:v>
                </c:pt>
                <c:pt idx="929">
                  <c:v>1.88</c:v>
                </c:pt>
                <c:pt idx="930">
                  <c:v>1.92</c:v>
                </c:pt>
                <c:pt idx="931">
                  <c:v>1.91</c:v>
                </c:pt>
                <c:pt idx="932">
                  <c:v>1.96</c:v>
                </c:pt>
                <c:pt idx="933">
                  <c:v>2.08</c:v>
                </c:pt>
                <c:pt idx="934">
                  <c:v>1.92</c:v>
                </c:pt>
                <c:pt idx="935">
                  <c:v>1.88</c:v>
                </c:pt>
                <c:pt idx="936">
                  <c:v>1.91</c:v>
                </c:pt>
                <c:pt idx="937">
                  <c:v>1.96</c:v>
                </c:pt>
                <c:pt idx="938">
                  <c:v>1.88</c:v>
                </c:pt>
                <c:pt idx="939">
                  <c:v>1.87</c:v>
                </c:pt>
                <c:pt idx="940">
                  <c:v>1.8</c:v>
                </c:pt>
                <c:pt idx="941">
                  <c:v>1.68</c:v>
                </c:pt>
                <c:pt idx="942">
                  <c:v>1.73</c:v>
                </c:pt>
                <c:pt idx="943">
                  <c:v>1.8</c:v>
                </c:pt>
                <c:pt idx="944">
                  <c:v>1.78</c:v>
                </c:pt>
                <c:pt idx="945">
                  <c:v>1.76</c:v>
                </c:pt>
                <c:pt idx="946">
                  <c:v>1.71</c:v>
                </c:pt>
                <c:pt idx="947">
                  <c:v>1.7</c:v>
                </c:pt>
                <c:pt idx="948">
                  <c:v>1.68</c:v>
                </c:pt>
                <c:pt idx="949">
                  <c:v>1.69</c:v>
                </c:pt>
                <c:pt idx="950">
                  <c:v>1.74</c:v>
                </c:pt>
                <c:pt idx="951">
                  <c:v>1.68</c:v>
                </c:pt>
                <c:pt idx="952">
                  <c:v>1.72</c:v>
                </c:pt>
                <c:pt idx="953">
                  <c:v>1.82</c:v>
                </c:pt>
                <c:pt idx="954">
                  <c:v>1.84</c:v>
                </c:pt>
                <c:pt idx="955">
                  <c:v>1.84</c:v>
                </c:pt>
                <c:pt idx="956">
                  <c:v>1.84</c:v>
                </c:pt>
                <c:pt idx="957">
                  <c:v>1.82</c:v>
                </c:pt>
                <c:pt idx="958">
                  <c:v>1.81</c:v>
                </c:pt>
                <c:pt idx="959">
                  <c:v>1.81</c:v>
                </c:pt>
                <c:pt idx="960">
                  <c:v>1.81</c:v>
                </c:pt>
                <c:pt idx="961">
                  <c:v>1.81</c:v>
                </c:pt>
                <c:pt idx="962">
                  <c:v>1.8</c:v>
                </c:pt>
                <c:pt idx="963">
                  <c:v>1.8</c:v>
                </c:pt>
                <c:pt idx="964">
                  <c:v>1.8</c:v>
                </c:pt>
                <c:pt idx="965">
                  <c:v>1.79</c:v>
                </c:pt>
                <c:pt idx="966">
                  <c:v>1.79</c:v>
                </c:pt>
                <c:pt idx="967">
                  <c:v>1.79</c:v>
                </c:pt>
                <c:pt idx="968">
                  <c:v>1.79</c:v>
                </c:pt>
                <c:pt idx="969">
                  <c:v>1.73</c:v>
                </c:pt>
                <c:pt idx="970">
                  <c:v>1.79</c:v>
                </c:pt>
                <c:pt idx="971">
                  <c:v>1.82</c:v>
                </c:pt>
                <c:pt idx="972">
                  <c:v>1.82</c:v>
                </c:pt>
                <c:pt idx="973">
                  <c:v>1.79</c:v>
                </c:pt>
                <c:pt idx="974">
                  <c:v>1.71</c:v>
                </c:pt>
                <c:pt idx="975">
                  <c:v>1.66</c:v>
                </c:pt>
                <c:pt idx="976">
                  <c:v>1.71</c:v>
                </c:pt>
                <c:pt idx="977">
                  <c:v>1.75</c:v>
                </c:pt>
                <c:pt idx="978">
                  <c:v>1.74</c:v>
                </c:pt>
                <c:pt idx="979">
                  <c:v>1.64</c:v>
                </c:pt>
                <c:pt idx="980">
                  <c:v>1.66</c:v>
                </c:pt>
                <c:pt idx="981">
                  <c:v>1.61</c:v>
                </c:pt>
                <c:pt idx="982">
                  <c:v>1.63</c:v>
                </c:pt>
                <c:pt idx="983">
                  <c:v>1.65</c:v>
                </c:pt>
                <c:pt idx="984">
                  <c:v>1.63</c:v>
                </c:pt>
                <c:pt idx="985">
                  <c:v>1.64</c:v>
                </c:pt>
                <c:pt idx="986">
                  <c:v>1.65</c:v>
                </c:pt>
                <c:pt idx="987">
                  <c:v>1.65</c:v>
                </c:pt>
                <c:pt idx="988">
                  <c:v>1.65</c:v>
                </c:pt>
                <c:pt idx="989">
                  <c:v>1.57</c:v>
                </c:pt>
                <c:pt idx="990">
                  <c:v>1.58</c:v>
                </c:pt>
                <c:pt idx="991">
                  <c:v>1.34</c:v>
                </c:pt>
                <c:pt idx="992">
                  <c:v>1.06</c:v>
                </c:pt>
                <c:pt idx="993">
                  <c:v>0.97</c:v>
                </c:pt>
                <c:pt idx="994">
                  <c:v>1.02</c:v>
                </c:pt>
                <c:pt idx="995">
                  <c:v>1.1200000000000001</c:v>
                </c:pt>
                <c:pt idx="996">
                  <c:v>1.17</c:v>
                </c:pt>
                <c:pt idx="997">
                  <c:v>1.24</c:v>
                </c:pt>
                <c:pt idx="998">
                  <c:v>1.18</c:v>
                </c:pt>
                <c:pt idx="999">
                  <c:v>1.1100000000000001</c:v>
                </c:pt>
                <c:pt idx="1000">
                  <c:v>1.0900000000000001</c:v>
                </c:pt>
                <c:pt idx="1001">
                  <c:v>1.06</c:v>
                </c:pt>
                <c:pt idx="1002">
                  <c:v>1.08</c:v>
                </c:pt>
                <c:pt idx="1003">
                  <c:v>1.1599999999999999</c:v>
                </c:pt>
                <c:pt idx="1004">
                  <c:v>1.2</c:v>
                </c:pt>
                <c:pt idx="1005">
                  <c:v>1.24</c:v>
                </c:pt>
                <c:pt idx="1006">
                  <c:v>1.27</c:v>
                </c:pt>
                <c:pt idx="1007">
                  <c:v>1.37</c:v>
                </c:pt>
                <c:pt idx="1008">
                  <c:v>1.37</c:v>
                </c:pt>
                <c:pt idx="1009">
                  <c:v>1.37</c:v>
                </c:pt>
                <c:pt idx="1010">
                  <c:v>1.37</c:v>
                </c:pt>
                <c:pt idx="1011">
                  <c:v>1.37</c:v>
                </c:pt>
                <c:pt idx="1012">
                  <c:v>1.36</c:v>
                </c:pt>
                <c:pt idx="1013">
                  <c:v>1.37</c:v>
                </c:pt>
                <c:pt idx="1014">
                  <c:v>1.39</c:v>
                </c:pt>
                <c:pt idx="1015">
                  <c:v>1.37</c:v>
                </c:pt>
                <c:pt idx="1016">
                  <c:v>1.34</c:v>
                </c:pt>
                <c:pt idx="1017">
                  <c:v>1.34</c:v>
                </c:pt>
                <c:pt idx="1018">
                  <c:v>1.36</c:v>
                </c:pt>
                <c:pt idx="1019">
                  <c:v>1.41</c:v>
                </c:pt>
                <c:pt idx="1020">
                  <c:v>1.34</c:v>
                </c:pt>
                <c:pt idx="1021">
                  <c:v>1.37</c:v>
                </c:pt>
                <c:pt idx="1022">
                  <c:v>1.37</c:v>
                </c:pt>
                <c:pt idx="1023">
                  <c:v>1.37</c:v>
                </c:pt>
                <c:pt idx="1024">
                  <c:v>1.37</c:v>
                </c:pt>
                <c:pt idx="1025">
                  <c:v>1.36</c:v>
                </c:pt>
                <c:pt idx="1026">
                  <c:v>1.36</c:v>
                </c:pt>
                <c:pt idx="1027">
                  <c:v>1.36</c:v>
                </c:pt>
                <c:pt idx="1028">
                  <c:v>1.37</c:v>
                </c:pt>
                <c:pt idx="1029">
                  <c:v>1.4</c:v>
                </c:pt>
                <c:pt idx="1030">
                  <c:v>1.43</c:v>
                </c:pt>
                <c:pt idx="1031">
                  <c:v>1.46</c:v>
                </c:pt>
                <c:pt idx="1032">
                  <c:v>1.49</c:v>
                </c:pt>
                <c:pt idx="1033">
                  <c:v>1.51</c:v>
                </c:pt>
                <c:pt idx="1034">
                  <c:v>1.52</c:v>
                </c:pt>
                <c:pt idx="1035">
                  <c:v>1.47</c:v>
                </c:pt>
                <c:pt idx="1036">
                  <c:v>1.41</c:v>
                </c:pt>
                <c:pt idx="1037">
                  <c:v>1.41</c:v>
                </c:pt>
                <c:pt idx="1038">
                  <c:v>1.41</c:v>
                </c:pt>
                <c:pt idx="1039">
                  <c:v>1.34</c:v>
                </c:pt>
                <c:pt idx="1040">
                  <c:v>1.34</c:v>
                </c:pt>
                <c:pt idx="1041">
                  <c:v>1.34</c:v>
                </c:pt>
                <c:pt idx="1042">
                  <c:v>1.34</c:v>
                </c:pt>
                <c:pt idx="1043">
                  <c:v>1.33</c:v>
                </c:pt>
                <c:pt idx="1044">
                  <c:v>1.31</c:v>
                </c:pt>
                <c:pt idx="1045">
                  <c:v>1.32</c:v>
                </c:pt>
                <c:pt idx="1046">
                  <c:v>1.34</c:v>
                </c:pt>
                <c:pt idx="1047">
                  <c:v>1.34</c:v>
                </c:pt>
                <c:pt idx="1048">
                  <c:v>1.35</c:v>
                </c:pt>
                <c:pt idx="1049">
                  <c:v>1.35</c:v>
                </c:pt>
                <c:pt idx="1050">
                  <c:v>1.36</c:v>
                </c:pt>
                <c:pt idx="1051">
                  <c:v>1.36</c:v>
                </c:pt>
                <c:pt idx="1052">
                  <c:v>1.35</c:v>
                </c:pt>
                <c:pt idx="1053">
                  <c:v>1.34</c:v>
                </c:pt>
                <c:pt idx="1054">
                  <c:v>1.32</c:v>
                </c:pt>
                <c:pt idx="1055">
                  <c:v>1.32</c:v>
                </c:pt>
                <c:pt idx="1056">
                  <c:v>1.32</c:v>
                </c:pt>
                <c:pt idx="1057">
                  <c:v>1.32</c:v>
                </c:pt>
                <c:pt idx="1058">
                  <c:v>1.32</c:v>
                </c:pt>
                <c:pt idx="1059">
                  <c:v>1.33</c:v>
                </c:pt>
                <c:pt idx="1060">
                  <c:v>1.33</c:v>
                </c:pt>
                <c:pt idx="1061">
                  <c:v>1.32</c:v>
                </c:pt>
                <c:pt idx="1062">
                  <c:v>1.32</c:v>
                </c:pt>
                <c:pt idx="1063">
                  <c:v>1.32</c:v>
                </c:pt>
                <c:pt idx="1064">
                  <c:v>1.3</c:v>
                </c:pt>
                <c:pt idx="1065">
                  <c:v>1.27</c:v>
                </c:pt>
                <c:pt idx="1066">
                  <c:v>1.28</c:v>
                </c:pt>
                <c:pt idx="1067">
                  <c:v>1.28</c:v>
                </c:pt>
                <c:pt idx="1068">
                  <c:v>1.29</c:v>
                </c:pt>
                <c:pt idx="1069">
                  <c:v>1.3</c:v>
                </c:pt>
                <c:pt idx="1070">
                  <c:v>1.37</c:v>
                </c:pt>
                <c:pt idx="1071">
                  <c:v>1.37</c:v>
                </c:pt>
                <c:pt idx="1072">
                  <c:v>1.21</c:v>
                </c:pt>
                <c:pt idx="1073">
                  <c:v>1.24</c:v>
                </c:pt>
                <c:pt idx="1074">
                  <c:v>1.19</c:v>
                </c:pt>
                <c:pt idx="1075">
                  <c:v>1.18</c:v>
                </c:pt>
                <c:pt idx="1076">
                  <c:v>1.21</c:v>
                </c:pt>
                <c:pt idx="1077">
                  <c:v>1.18</c:v>
                </c:pt>
                <c:pt idx="1078">
                  <c:v>1.19</c:v>
                </c:pt>
                <c:pt idx="1079">
                  <c:v>1.19</c:v>
                </c:pt>
                <c:pt idx="1080">
                  <c:v>1.19</c:v>
                </c:pt>
                <c:pt idx="1081">
                  <c:v>1.19</c:v>
                </c:pt>
                <c:pt idx="1082">
                  <c:v>1.17</c:v>
                </c:pt>
                <c:pt idx="1083">
                  <c:v>1.19</c:v>
                </c:pt>
                <c:pt idx="1084">
                  <c:v>1.21</c:v>
                </c:pt>
                <c:pt idx="1085">
                  <c:v>1.23</c:v>
                </c:pt>
                <c:pt idx="1086">
                  <c:v>1.24</c:v>
                </c:pt>
                <c:pt idx="1087">
                  <c:v>1.27</c:v>
                </c:pt>
                <c:pt idx="1088">
                  <c:v>1.27</c:v>
                </c:pt>
                <c:pt idx="1089">
                  <c:v>1.27</c:v>
                </c:pt>
                <c:pt idx="1090">
                  <c:v>1.29</c:v>
                </c:pt>
                <c:pt idx="1091">
                  <c:v>1.29</c:v>
                </c:pt>
                <c:pt idx="1092">
                  <c:v>1.31</c:v>
                </c:pt>
                <c:pt idx="1093">
                  <c:v>1.34</c:v>
                </c:pt>
                <c:pt idx="1094">
                  <c:v>1.34</c:v>
                </c:pt>
                <c:pt idx="1095">
                  <c:v>1.37</c:v>
                </c:pt>
                <c:pt idx="1096">
                  <c:v>1.41</c:v>
                </c:pt>
                <c:pt idx="1097">
                  <c:v>1.38</c:v>
                </c:pt>
                <c:pt idx="1098">
                  <c:v>1.38</c:v>
                </c:pt>
                <c:pt idx="1099">
                  <c:v>1.39</c:v>
                </c:pt>
                <c:pt idx="1100">
                  <c:v>1.39</c:v>
                </c:pt>
                <c:pt idx="1101">
                  <c:v>1.41</c:v>
                </c:pt>
                <c:pt idx="1102">
                  <c:v>1.39</c:v>
                </c:pt>
                <c:pt idx="1103">
                  <c:v>1.4</c:v>
                </c:pt>
                <c:pt idx="1104">
                  <c:v>1.41</c:v>
                </c:pt>
                <c:pt idx="1105">
                  <c:v>1.4</c:v>
                </c:pt>
                <c:pt idx="1106">
                  <c:v>1.4</c:v>
                </c:pt>
                <c:pt idx="1107">
                  <c:v>1.41</c:v>
                </c:pt>
                <c:pt idx="1108">
                  <c:v>1.41</c:v>
                </c:pt>
                <c:pt idx="1109">
                  <c:v>1.42</c:v>
                </c:pt>
                <c:pt idx="1110">
                  <c:v>1.44</c:v>
                </c:pt>
                <c:pt idx="1111">
                  <c:v>1.46</c:v>
                </c:pt>
                <c:pt idx="1112">
                  <c:v>1.47</c:v>
                </c:pt>
                <c:pt idx="1113">
                  <c:v>1.52</c:v>
                </c:pt>
                <c:pt idx="1114">
                  <c:v>1.54</c:v>
                </c:pt>
                <c:pt idx="1115">
                  <c:v>1.56</c:v>
                </c:pt>
                <c:pt idx="1116">
                  <c:v>1.61</c:v>
                </c:pt>
                <c:pt idx="1117">
                  <c:v>1.71</c:v>
                </c:pt>
                <c:pt idx="1118">
                  <c:v>1.73</c:v>
                </c:pt>
                <c:pt idx="1119">
                  <c:v>1.74</c:v>
                </c:pt>
                <c:pt idx="1120">
                  <c:v>1.77</c:v>
                </c:pt>
                <c:pt idx="1121">
                  <c:v>1.79</c:v>
                </c:pt>
                <c:pt idx="1122">
                  <c:v>1.82</c:v>
                </c:pt>
                <c:pt idx="1123">
                  <c:v>1.88</c:v>
                </c:pt>
                <c:pt idx="1124">
                  <c:v>1.88</c:v>
                </c:pt>
                <c:pt idx="1125">
                  <c:v>1.94</c:v>
                </c:pt>
                <c:pt idx="1126">
                  <c:v>2.15</c:v>
                </c:pt>
                <c:pt idx="1127">
                  <c:v>2.65</c:v>
                </c:pt>
                <c:pt idx="1128">
                  <c:v>3.25</c:v>
                </c:pt>
                <c:pt idx="1129">
                  <c:v>3.1</c:v>
                </c:pt>
                <c:pt idx="1130">
                  <c:v>3.07</c:v>
                </c:pt>
                <c:pt idx="1131">
                  <c:v>3.02</c:v>
                </c:pt>
                <c:pt idx="1132">
                  <c:v>2.83</c:v>
                </c:pt>
                <c:pt idx="1133">
                  <c:v>2.81</c:v>
                </c:pt>
                <c:pt idx="1134">
                  <c:v>2.61</c:v>
                </c:pt>
                <c:pt idx="1135">
                  <c:v>2.73</c:v>
                </c:pt>
                <c:pt idx="1136">
                  <c:v>2.81</c:v>
                </c:pt>
                <c:pt idx="1137">
                  <c:v>2.88</c:v>
                </c:pt>
                <c:pt idx="1138">
                  <c:v>2.85</c:v>
                </c:pt>
                <c:pt idx="1139">
                  <c:v>2.75</c:v>
                </c:pt>
                <c:pt idx="1140">
                  <c:v>2.68</c:v>
                </c:pt>
                <c:pt idx="1141">
                  <c:v>2.68</c:v>
                </c:pt>
                <c:pt idx="1142">
                  <c:v>2.96</c:v>
                </c:pt>
                <c:pt idx="1143">
                  <c:v>3.08</c:v>
                </c:pt>
                <c:pt idx="1144">
                  <c:v>3.15</c:v>
                </c:pt>
                <c:pt idx="1145">
                  <c:v>3.25</c:v>
                </c:pt>
                <c:pt idx="1146">
                  <c:v>3.28</c:v>
                </c:pt>
                <c:pt idx="1147">
                  <c:v>3.23</c:v>
                </c:pt>
                <c:pt idx="1148">
                  <c:v>3.19</c:v>
                </c:pt>
                <c:pt idx="1149">
                  <c:v>3.02</c:v>
                </c:pt>
                <c:pt idx="1150">
                  <c:v>3.02</c:v>
                </c:pt>
                <c:pt idx="1151">
                  <c:v>3.02</c:v>
                </c:pt>
                <c:pt idx="1152">
                  <c:v>3</c:v>
                </c:pt>
                <c:pt idx="1153">
                  <c:v>2.98</c:v>
                </c:pt>
                <c:pt idx="1154">
                  <c:v>2.9</c:v>
                </c:pt>
                <c:pt idx="1155">
                  <c:v>2.86</c:v>
                </c:pt>
                <c:pt idx="1156">
                  <c:v>2.81</c:v>
                </c:pt>
                <c:pt idx="1157">
                  <c:v>2.8</c:v>
                </c:pt>
                <c:pt idx="1158">
                  <c:v>2.8</c:v>
                </c:pt>
                <c:pt idx="1159">
                  <c:v>2.85</c:v>
                </c:pt>
                <c:pt idx="1160">
                  <c:v>2.86</c:v>
                </c:pt>
                <c:pt idx="1161">
                  <c:v>2.85</c:v>
                </c:pt>
                <c:pt idx="1162">
                  <c:v>2.86</c:v>
                </c:pt>
                <c:pt idx="1163">
                  <c:v>2.83</c:v>
                </c:pt>
                <c:pt idx="1164">
                  <c:v>2.75</c:v>
                </c:pt>
                <c:pt idx="1165">
                  <c:v>2.68</c:v>
                </c:pt>
                <c:pt idx="1166">
                  <c:v>2.66</c:v>
                </c:pt>
                <c:pt idx="1167">
                  <c:v>2.65</c:v>
                </c:pt>
                <c:pt idx="1168">
                  <c:v>2.63</c:v>
                </c:pt>
                <c:pt idx="1169">
                  <c:v>2.6</c:v>
                </c:pt>
                <c:pt idx="1170">
                  <c:v>2.59</c:v>
                </c:pt>
                <c:pt idx="1171">
                  <c:v>2.5499999999999998</c:v>
                </c:pt>
                <c:pt idx="1172">
                  <c:v>2.5</c:v>
                </c:pt>
                <c:pt idx="1173">
                  <c:v>2.4900000000000002</c:v>
                </c:pt>
                <c:pt idx="1174">
                  <c:v>2.48</c:v>
                </c:pt>
                <c:pt idx="1175">
                  <c:v>2.4500000000000002</c:v>
                </c:pt>
                <c:pt idx="1176">
                  <c:v>2.46</c:v>
                </c:pt>
                <c:pt idx="1177">
                  <c:v>2.39</c:v>
                </c:pt>
                <c:pt idx="1178">
                  <c:v>2.41</c:v>
                </c:pt>
                <c:pt idx="1179">
                  <c:v>2.35</c:v>
                </c:pt>
                <c:pt idx="1180">
                  <c:v>2.31</c:v>
                </c:pt>
                <c:pt idx="1181">
                  <c:v>2.31</c:v>
                </c:pt>
                <c:pt idx="1182">
                  <c:v>2.31</c:v>
                </c:pt>
                <c:pt idx="1183">
                  <c:v>2.35</c:v>
                </c:pt>
                <c:pt idx="1184">
                  <c:v>2.21</c:v>
                </c:pt>
                <c:pt idx="1185">
                  <c:v>2.21</c:v>
                </c:pt>
                <c:pt idx="1186">
                  <c:v>2.08</c:v>
                </c:pt>
                <c:pt idx="1187">
                  <c:v>2.11</c:v>
                </c:pt>
                <c:pt idx="1188">
                  <c:v>2.09</c:v>
                </c:pt>
                <c:pt idx="1189">
                  <c:v>2.11</c:v>
                </c:pt>
                <c:pt idx="1190">
                  <c:v>2.13</c:v>
                </c:pt>
                <c:pt idx="1191">
                  <c:v>2.2200000000000002</c:v>
                </c:pt>
                <c:pt idx="1192">
                  <c:v>2.19</c:v>
                </c:pt>
                <c:pt idx="1193">
                  <c:v>2.2400000000000002</c:v>
                </c:pt>
                <c:pt idx="1194">
                  <c:v>2.31</c:v>
                </c:pt>
                <c:pt idx="1195">
                  <c:v>2.35</c:v>
                </c:pt>
                <c:pt idx="1196">
                  <c:v>2.41</c:v>
                </c:pt>
                <c:pt idx="1197">
                  <c:v>2.75</c:v>
                </c:pt>
                <c:pt idx="1198">
                  <c:v>2.71</c:v>
                </c:pt>
                <c:pt idx="1199">
                  <c:v>2.65</c:v>
                </c:pt>
                <c:pt idx="1200">
                  <c:v>2.61</c:v>
                </c:pt>
                <c:pt idx="1201">
                  <c:v>2.5499999999999998</c:v>
                </c:pt>
                <c:pt idx="1202">
                  <c:v>2.65</c:v>
                </c:pt>
                <c:pt idx="1203">
                  <c:v>2.5499999999999998</c:v>
                </c:pt>
                <c:pt idx="1204">
                  <c:v>2.5299999999999998</c:v>
                </c:pt>
                <c:pt idx="1205">
                  <c:v>2.5</c:v>
                </c:pt>
                <c:pt idx="1206">
                  <c:v>2.44</c:v>
                </c:pt>
                <c:pt idx="1207">
                  <c:v>2.35</c:v>
                </c:pt>
                <c:pt idx="1208">
                  <c:v>2.36</c:v>
                </c:pt>
                <c:pt idx="1209">
                  <c:v>2.35</c:v>
                </c:pt>
                <c:pt idx="1210">
                  <c:v>2.31</c:v>
                </c:pt>
                <c:pt idx="1211">
                  <c:v>2.14</c:v>
                </c:pt>
                <c:pt idx="1212">
                  <c:v>2.13</c:v>
                </c:pt>
                <c:pt idx="1213">
                  <c:v>2.13</c:v>
                </c:pt>
                <c:pt idx="1214">
                  <c:v>2.11</c:v>
                </c:pt>
                <c:pt idx="1215">
                  <c:v>2.11</c:v>
                </c:pt>
                <c:pt idx="1216">
                  <c:v>2.11</c:v>
                </c:pt>
                <c:pt idx="1217">
                  <c:v>2.11</c:v>
                </c:pt>
                <c:pt idx="1218">
                  <c:v>2.11</c:v>
                </c:pt>
                <c:pt idx="1219">
                  <c:v>2.11</c:v>
                </c:pt>
                <c:pt idx="1220">
                  <c:v>2.11</c:v>
                </c:pt>
                <c:pt idx="1221">
                  <c:v>2.11</c:v>
                </c:pt>
                <c:pt idx="1222">
                  <c:v>2.11</c:v>
                </c:pt>
                <c:pt idx="1223">
                  <c:v>2.11</c:v>
                </c:pt>
                <c:pt idx="1224">
                  <c:v>2.11</c:v>
                </c:pt>
                <c:pt idx="1225">
                  <c:v>2.11</c:v>
                </c:pt>
                <c:pt idx="1226">
                  <c:v>2.11</c:v>
                </c:pt>
                <c:pt idx="1227">
                  <c:v>2.14</c:v>
                </c:pt>
                <c:pt idx="1228">
                  <c:v>2.19</c:v>
                </c:pt>
                <c:pt idx="1229">
                  <c:v>2.2200000000000002</c:v>
                </c:pt>
                <c:pt idx="1230">
                  <c:v>2.2400000000000002</c:v>
                </c:pt>
                <c:pt idx="1231">
                  <c:v>2.2400000000000002</c:v>
                </c:pt>
                <c:pt idx="1232">
                  <c:v>2.2799999999999998</c:v>
                </c:pt>
                <c:pt idx="1233">
                  <c:v>2.2799999999999998</c:v>
                </c:pt>
                <c:pt idx="1234">
                  <c:v>2.2799999999999998</c:v>
                </c:pt>
                <c:pt idx="1235">
                  <c:v>2.2799999999999998</c:v>
                </c:pt>
                <c:pt idx="1236">
                  <c:v>2.36</c:v>
                </c:pt>
                <c:pt idx="1237">
                  <c:v>2.35</c:v>
                </c:pt>
                <c:pt idx="1238">
                  <c:v>2.35</c:v>
                </c:pt>
                <c:pt idx="1239">
                  <c:v>2.31</c:v>
                </c:pt>
                <c:pt idx="1240">
                  <c:v>2.2400000000000002</c:v>
                </c:pt>
                <c:pt idx="1241">
                  <c:v>2.1800000000000002</c:v>
                </c:pt>
                <c:pt idx="1242">
                  <c:v>2.16</c:v>
                </c:pt>
                <c:pt idx="1243">
                  <c:v>2.16</c:v>
                </c:pt>
                <c:pt idx="1244">
                  <c:v>2.16</c:v>
                </c:pt>
                <c:pt idx="1245">
                  <c:v>2.16</c:v>
                </c:pt>
                <c:pt idx="1246">
                  <c:v>2.16</c:v>
                </c:pt>
                <c:pt idx="1247">
                  <c:v>2.1800000000000002</c:v>
                </c:pt>
                <c:pt idx="1248">
                  <c:v>2.16</c:v>
                </c:pt>
                <c:pt idx="1249">
                  <c:v>2.16</c:v>
                </c:pt>
                <c:pt idx="1250">
                  <c:v>2.1800000000000002</c:v>
                </c:pt>
                <c:pt idx="1251">
                  <c:v>2.21</c:v>
                </c:pt>
                <c:pt idx="1252">
                  <c:v>2.2400000000000002</c:v>
                </c:pt>
                <c:pt idx="1253">
                  <c:v>2.25</c:v>
                </c:pt>
                <c:pt idx="1254">
                  <c:v>2.23</c:v>
                </c:pt>
                <c:pt idx="1255">
                  <c:v>2.21</c:v>
                </c:pt>
                <c:pt idx="1256">
                  <c:v>2.2799999999999998</c:v>
                </c:pt>
                <c:pt idx="1257">
                  <c:v>2.2400000000000002</c:v>
                </c:pt>
                <c:pt idx="1258">
                  <c:v>2.23</c:v>
                </c:pt>
                <c:pt idx="1259">
                  <c:v>2.21</c:v>
                </c:pt>
                <c:pt idx="1260">
                  <c:v>2.11</c:v>
                </c:pt>
                <c:pt idx="1261">
                  <c:v>2.14</c:v>
                </c:pt>
                <c:pt idx="1262">
                  <c:v>2.08</c:v>
                </c:pt>
                <c:pt idx="1263">
                  <c:v>2.08</c:v>
                </c:pt>
                <c:pt idx="1264">
                  <c:v>2.04</c:v>
                </c:pt>
                <c:pt idx="1265">
                  <c:v>2.0499999999999998</c:v>
                </c:pt>
                <c:pt idx="1266">
                  <c:v>2.0499999999999998</c:v>
                </c:pt>
                <c:pt idx="1267">
                  <c:v>2.0499999999999998</c:v>
                </c:pt>
                <c:pt idx="1268">
                  <c:v>2.04</c:v>
                </c:pt>
                <c:pt idx="1269">
                  <c:v>2.04</c:v>
                </c:pt>
                <c:pt idx="1270">
                  <c:v>1.94</c:v>
                </c:pt>
                <c:pt idx="1271">
                  <c:v>1.92</c:v>
                </c:pt>
                <c:pt idx="1272">
                  <c:v>2.0099999999999998</c:v>
                </c:pt>
                <c:pt idx="1273">
                  <c:v>2.0099999999999998</c:v>
                </c:pt>
                <c:pt idx="1274">
                  <c:v>2.02</c:v>
                </c:pt>
                <c:pt idx="1275">
                  <c:v>2.02</c:v>
                </c:pt>
                <c:pt idx="1276">
                  <c:v>2.04</c:v>
                </c:pt>
                <c:pt idx="1277">
                  <c:v>2.06</c:v>
                </c:pt>
                <c:pt idx="1278">
                  <c:v>2.06</c:v>
                </c:pt>
                <c:pt idx="1279">
                  <c:v>2.06</c:v>
                </c:pt>
                <c:pt idx="1280">
                  <c:v>2.0499999999999998</c:v>
                </c:pt>
                <c:pt idx="1281">
                  <c:v>2.0499999999999998</c:v>
                </c:pt>
                <c:pt idx="1282">
                  <c:v>2.08</c:v>
                </c:pt>
                <c:pt idx="1283">
                  <c:v>2.08</c:v>
                </c:pt>
                <c:pt idx="1284">
                  <c:v>2.06</c:v>
                </c:pt>
                <c:pt idx="1285">
                  <c:v>2.0499999999999998</c:v>
                </c:pt>
                <c:pt idx="1286">
                  <c:v>2.06</c:v>
                </c:pt>
                <c:pt idx="1287">
                  <c:v>2.06</c:v>
                </c:pt>
                <c:pt idx="1288">
                  <c:v>2.06</c:v>
                </c:pt>
                <c:pt idx="1289">
                  <c:v>2.0499999999999998</c:v>
                </c:pt>
                <c:pt idx="1290">
                  <c:v>2.0499999999999998</c:v>
                </c:pt>
                <c:pt idx="1291">
                  <c:v>2.06</c:v>
                </c:pt>
                <c:pt idx="1292">
                  <c:v>2.04</c:v>
                </c:pt>
                <c:pt idx="1293">
                  <c:v>2.0499999999999998</c:v>
                </c:pt>
                <c:pt idx="1294">
                  <c:v>2.0499999999999998</c:v>
                </c:pt>
                <c:pt idx="1295">
                  <c:v>2.04</c:v>
                </c:pt>
                <c:pt idx="1296">
                  <c:v>2.06</c:v>
                </c:pt>
                <c:pt idx="1297">
                  <c:v>2.06</c:v>
                </c:pt>
                <c:pt idx="1298">
                  <c:v>2.06</c:v>
                </c:pt>
                <c:pt idx="1299">
                  <c:v>2.04</c:v>
                </c:pt>
                <c:pt idx="1300">
                  <c:v>2.06</c:v>
                </c:pt>
                <c:pt idx="1301">
                  <c:v>2.0499999999999998</c:v>
                </c:pt>
                <c:pt idx="1302">
                  <c:v>2.04</c:v>
                </c:pt>
                <c:pt idx="1303">
                  <c:v>2.0699999999999998</c:v>
                </c:pt>
                <c:pt idx="1304">
                  <c:v>2.0099999999999998</c:v>
                </c:pt>
                <c:pt idx="1305">
                  <c:v>2.02</c:v>
                </c:pt>
                <c:pt idx="1306">
                  <c:v>2.02</c:v>
                </c:pt>
                <c:pt idx="1307">
                  <c:v>2.04</c:v>
                </c:pt>
                <c:pt idx="1308">
                  <c:v>2.06</c:v>
                </c:pt>
                <c:pt idx="1309">
                  <c:v>2.0499999999999998</c:v>
                </c:pt>
                <c:pt idx="1310">
                  <c:v>2.0499999999999998</c:v>
                </c:pt>
                <c:pt idx="1311">
                  <c:v>2.08</c:v>
                </c:pt>
                <c:pt idx="1312">
                  <c:v>2.08</c:v>
                </c:pt>
                <c:pt idx="1313">
                  <c:v>2.09</c:v>
                </c:pt>
                <c:pt idx="1314">
                  <c:v>2.12</c:v>
                </c:pt>
                <c:pt idx="1315">
                  <c:v>2.11</c:v>
                </c:pt>
                <c:pt idx="1316">
                  <c:v>2.0699999999999998</c:v>
                </c:pt>
                <c:pt idx="1317">
                  <c:v>2.61</c:v>
                </c:pt>
                <c:pt idx="1318">
                  <c:v>2.78</c:v>
                </c:pt>
                <c:pt idx="1319">
                  <c:v>2.81</c:v>
                </c:pt>
                <c:pt idx="1320">
                  <c:v>2.75</c:v>
                </c:pt>
                <c:pt idx="1321">
                  <c:v>2.88</c:v>
                </c:pt>
                <c:pt idx="1322">
                  <c:v>2.95</c:v>
                </c:pt>
                <c:pt idx="1323">
                  <c:v>3.08</c:v>
                </c:pt>
                <c:pt idx="1324">
                  <c:v>3.12</c:v>
                </c:pt>
                <c:pt idx="1325">
                  <c:v>3.48</c:v>
                </c:pt>
                <c:pt idx="1326">
                  <c:v>3.45</c:v>
                </c:pt>
                <c:pt idx="1327">
                  <c:v>3.35</c:v>
                </c:pt>
                <c:pt idx="1328">
                  <c:v>3.52</c:v>
                </c:pt>
                <c:pt idx="1329">
                  <c:v>3.35</c:v>
                </c:pt>
                <c:pt idx="1330">
                  <c:v>3.3</c:v>
                </c:pt>
                <c:pt idx="1331">
                  <c:v>3.38</c:v>
                </c:pt>
                <c:pt idx="1332">
                  <c:v>3.3</c:v>
                </c:pt>
                <c:pt idx="1333">
                  <c:v>3.28</c:v>
                </c:pt>
                <c:pt idx="1334">
                  <c:v>3.28</c:v>
                </c:pt>
                <c:pt idx="1335">
                  <c:v>3.27</c:v>
                </c:pt>
                <c:pt idx="1336">
                  <c:v>3.15</c:v>
                </c:pt>
                <c:pt idx="1337">
                  <c:v>3.15</c:v>
                </c:pt>
                <c:pt idx="1338">
                  <c:v>3.03</c:v>
                </c:pt>
                <c:pt idx="1339">
                  <c:v>2.75</c:v>
                </c:pt>
                <c:pt idx="1340">
                  <c:v>2.81</c:v>
                </c:pt>
                <c:pt idx="1341">
                  <c:v>2.8</c:v>
                </c:pt>
                <c:pt idx="1342">
                  <c:v>2.8</c:v>
                </c:pt>
                <c:pt idx="1343">
                  <c:v>2.78</c:v>
                </c:pt>
                <c:pt idx="1344">
                  <c:v>2.78</c:v>
                </c:pt>
                <c:pt idx="1345">
                  <c:v>2.81</c:v>
                </c:pt>
                <c:pt idx="1346">
                  <c:v>2.8</c:v>
                </c:pt>
                <c:pt idx="1347">
                  <c:v>2.81</c:v>
                </c:pt>
                <c:pt idx="1348">
                  <c:v>2.8</c:v>
                </c:pt>
                <c:pt idx="1349">
                  <c:v>2.8</c:v>
                </c:pt>
                <c:pt idx="1350">
                  <c:v>2.8</c:v>
                </c:pt>
                <c:pt idx="1351">
                  <c:v>2.8</c:v>
                </c:pt>
                <c:pt idx="1352">
                  <c:v>2.79</c:v>
                </c:pt>
                <c:pt idx="1353">
                  <c:v>2.78</c:v>
                </c:pt>
                <c:pt idx="1354">
                  <c:v>2.78</c:v>
                </c:pt>
                <c:pt idx="1355">
                  <c:v>2.78</c:v>
                </c:pt>
                <c:pt idx="1356">
                  <c:v>2.78</c:v>
                </c:pt>
                <c:pt idx="1357">
                  <c:v>2.76</c:v>
                </c:pt>
                <c:pt idx="1358">
                  <c:v>2.75</c:v>
                </c:pt>
                <c:pt idx="1359">
                  <c:v>2.73</c:v>
                </c:pt>
                <c:pt idx="1360">
                  <c:v>2.69</c:v>
                </c:pt>
                <c:pt idx="1361">
                  <c:v>2.68</c:v>
                </c:pt>
                <c:pt idx="1362">
                  <c:v>2.65</c:v>
                </c:pt>
                <c:pt idx="1363">
                  <c:v>2.68</c:v>
                </c:pt>
                <c:pt idx="1364">
                  <c:v>2.68</c:v>
                </c:pt>
                <c:pt idx="1365">
                  <c:v>2.66</c:v>
                </c:pt>
                <c:pt idx="1366">
                  <c:v>2.65</c:v>
                </c:pt>
                <c:pt idx="1367">
                  <c:v>2.68</c:v>
                </c:pt>
                <c:pt idx="1368">
                  <c:v>2.68</c:v>
                </c:pt>
                <c:pt idx="1369">
                  <c:v>2.66</c:v>
                </c:pt>
                <c:pt idx="1370">
                  <c:v>2.66</c:v>
                </c:pt>
                <c:pt idx="1371">
                  <c:v>2.61</c:v>
                </c:pt>
                <c:pt idx="1372">
                  <c:v>2.65</c:v>
                </c:pt>
                <c:pt idx="1373">
                  <c:v>2.65</c:v>
                </c:pt>
                <c:pt idx="1374">
                  <c:v>2.65</c:v>
                </c:pt>
                <c:pt idx="1375">
                  <c:v>2.65</c:v>
                </c:pt>
                <c:pt idx="1376">
                  <c:v>2.65</c:v>
                </c:pt>
                <c:pt idx="1377">
                  <c:v>2.65</c:v>
                </c:pt>
                <c:pt idx="1378">
                  <c:v>2.65</c:v>
                </c:pt>
                <c:pt idx="1379">
                  <c:v>2.65</c:v>
                </c:pt>
                <c:pt idx="1380">
                  <c:v>2.61</c:v>
                </c:pt>
                <c:pt idx="1381">
                  <c:v>2.58</c:v>
                </c:pt>
                <c:pt idx="1382">
                  <c:v>2.57</c:v>
                </c:pt>
                <c:pt idx="1383">
                  <c:v>2.57</c:v>
                </c:pt>
                <c:pt idx="1384">
                  <c:v>2.57</c:v>
                </c:pt>
                <c:pt idx="1385">
                  <c:v>2.57</c:v>
                </c:pt>
                <c:pt idx="1386">
                  <c:v>2.5499999999999998</c:v>
                </c:pt>
                <c:pt idx="1387">
                  <c:v>2.5499999999999998</c:v>
                </c:pt>
                <c:pt idx="1388">
                  <c:v>2.5499999999999998</c:v>
                </c:pt>
                <c:pt idx="1389">
                  <c:v>2.61</c:v>
                </c:pt>
                <c:pt idx="1390">
                  <c:v>2.68</c:v>
                </c:pt>
                <c:pt idx="1391">
                  <c:v>2.7</c:v>
                </c:pt>
                <c:pt idx="1392">
                  <c:v>2.85</c:v>
                </c:pt>
                <c:pt idx="1393">
                  <c:v>2.84</c:v>
                </c:pt>
                <c:pt idx="1394">
                  <c:v>2.91</c:v>
                </c:pt>
                <c:pt idx="1395">
                  <c:v>2.95</c:v>
                </c:pt>
                <c:pt idx="1396">
                  <c:v>2.93</c:v>
                </c:pt>
                <c:pt idx="1397">
                  <c:v>2.91</c:v>
                </c:pt>
                <c:pt idx="1398">
                  <c:v>2.91</c:v>
                </c:pt>
                <c:pt idx="1399">
                  <c:v>2.96</c:v>
                </c:pt>
                <c:pt idx="1400">
                  <c:v>3.02</c:v>
                </c:pt>
                <c:pt idx="1401">
                  <c:v>3.02</c:v>
                </c:pt>
                <c:pt idx="1402">
                  <c:v>3</c:v>
                </c:pt>
                <c:pt idx="1403">
                  <c:v>3</c:v>
                </c:pt>
                <c:pt idx="1404">
                  <c:v>2.98</c:v>
                </c:pt>
                <c:pt idx="1405">
                  <c:v>3.02</c:v>
                </c:pt>
                <c:pt idx="1406">
                  <c:v>2.98</c:v>
                </c:pt>
                <c:pt idx="1407">
                  <c:v>2.98</c:v>
                </c:pt>
                <c:pt idx="1408">
                  <c:v>2.96</c:v>
                </c:pt>
                <c:pt idx="1409">
                  <c:v>2.96</c:v>
                </c:pt>
                <c:pt idx="1410">
                  <c:v>2.97</c:v>
                </c:pt>
                <c:pt idx="1411">
                  <c:v>2.96</c:v>
                </c:pt>
                <c:pt idx="1412">
                  <c:v>2.96</c:v>
                </c:pt>
                <c:pt idx="1413">
                  <c:v>2.97</c:v>
                </c:pt>
                <c:pt idx="1414">
                  <c:v>2.88</c:v>
                </c:pt>
                <c:pt idx="1415">
                  <c:v>2.93</c:v>
                </c:pt>
                <c:pt idx="1416">
                  <c:v>2.91</c:v>
                </c:pt>
                <c:pt idx="1417">
                  <c:v>2.91</c:v>
                </c:pt>
                <c:pt idx="1418">
                  <c:v>2.91</c:v>
                </c:pt>
                <c:pt idx="1419">
                  <c:v>2.91</c:v>
                </c:pt>
                <c:pt idx="1420">
                  <c:v>2.91</c:v>
                </c:pt>
                <c:pt idx="1421">
                  <c:v>2.95</c:v>
                </c:pt>
                <c:pt idx="1422">
                  <c:v>2.95</c:v>
                </c:pt>
                <c:pt idx="1423">
                  <c:v>2.96</c:v>
                </c:pt>
                <c:pt idx="1424">
                  <c:v>2.95</c:v>
                </c:pt>
                <c:pt idx="1425">
                  <c:v>2.98</c:v>
                </c:pt>
                <c:pt idx="1426">
                  <c:v>2.95</c:v>
                </c:pt>
                <c:pt idx="1427">
                  <c:v>2.91</c:v>
                </c:pt>
                <c:pt idx="1428">
                  <c:v>2.88</c:v>
                </c:pt>
                <c:pt idx="1429">
                  <c:v>2.95</c:v>
                </c:pt>
                <c:pt idx="1430">
                  <c:v>2.95</c:v>
                </c:pt>
                <c:pt idx="1431">
                  <c:v>2.96</c:v>
                </c:pt>
                <c:pt idx="1432">
                  <c:v>2.92</c:v>
                </c:pt>
                <c:pt idx="1433">
                  <c:v>2.95</c:v>
                </c:pt>
                <c:pt idx="1434">
                  <c:v>2.92</c:v>
                </c:pt>
                <c:pt idx="1435">
                  <c:v>2.91</c:v>
                </c:pt>
                <c:pt idx="1436">
                  <c:v>2.88</c:v>
                </c:pt>
                <c:pt idx="1437">
                  <c:v>2.91</c:v>
                </c:pt>
                <c:pt idx="1438">
                  <c:v>2.95</c:v>
                </c:pt>
                <c:pt idx="1439">
                  <c:v>2.91</c:v>
                </c:pt>
                <c:pt idx="1440">
                  <c:v>2.93</c:v>
                </c:pt>
                <c:pt idx="1441">
                  <c:v>2.93</c:v>
                </c:pt>
                <c:pt idx="1442">
                  <c:v>2.92</c:v>
                </c:pt>
                <c:pt idx="1443">
                  <c:v>2.93</c:v>
                </c:pt>
                <c:pt idx="1444">
                  <c:v>2.93</c:v>
                </c:pt>
                <c:pt idx="1445">
                  <c:v>2.85</c:v>
                </c:pt>
                <c:pt idx="1446">
                  <c:v>2.85</c:v>
                </c:pt>
                <c:pt idx="1447">
                  <c:v>2.91</c:v>
                </c:pt>
                <c:pt idx="1448">
                  <c:v>2.95</c:v>
                </c:pt>
                <c:pt idx="1449">
                  <c:v>2.91</c:v>
                </c:pt>
                <c:pt idx="1450">
                  <c:v>2.89</c:v>
                </c:pt>
                <c:pt idx="1451">
                  <c:v>2.89</c:v>
                </c:pt>
                <c:pt idx="1452">
                  <c:v>2.89</c:v>
                </c:pt>
                <c:pt idx="1453">
                  <c:v>2.86</c:v>
                </c:pt>
                <c:pt idx="1454">
                  <c:v>2.86</c:v>
                </c:pt>
                <c:pt idx="1455">
                  <c:v>2.86</c:v>
                </c:pt>
                <c:pt idx="1456">
                  <c:v>2.89</c:v>
                </c:pt>
                <c:pt idx="1457">
                  <c:v>2.95</c:v>
                </c:pt>
                <c:pt idx="1458">
                  <c:v>3.02</c:v>
                </c:pt>
                <c:pt idx="1459">
                  <c:v>3.25</c:v>
                </c:pt>
                <c:pt idx="1460">
                  <c:v>3.28</c:v>
                </c:pt>
                <c:pt idx="1461">
                  <c:v>3.32</c:v>
                </c:pt>
                <c:pt idx="1462">
                  <c:v>3.32</c:v>
                </c:pt>
                <c:pt idx="1463">
                  <c:v>3.32</c:v>
                </c:pt>
                <c:pt idx="1464">
                  <c:v>3.75</c:v>
                </c:pt>
                <c:pt idx="1465">
                  <c:v>3.51</c:v>
                </c:pt>
                <c:pt idx="1466">
                  <c:v>3.69</c:v>
                </c:pt>
                <c:pt idx="1467">
                  <c:v>3.62</c:v>
                </c:pt>
                <c:pt idx="1468">
                  <c:v>3.62</c:v>
                </c:pt>
                <c:pt idx="1469">
                  <c:v>3.69</c:v>
                </c:pt>
                <c:pt idx="1470">
                  <c:v>3.62</c:v>
                </c:pt>
                <c:pt idx="1471">
                  <c:v>3.72</c:v>
                </c:pt>
                <c:pt idx="1472">
                  <c:v>3.73</c:v>
                </c:pt>
                <c:pt idx="1473">
                  <c:v>3.75</c:v>
                </c:pt>
                <c:pt idx="1474">
                  <c:v>3.85</c:v>
                </c:pt>
                <c:pt idx="1475">
                  <c:v>3.95</c:v>
                </c:pt>
                <c:pt idx="1476">
                  <c:v>3.85</c:v>
                </c:pt>
                <c:pt idx="1477">
                  <c:v>4.1900000000000004</c:v>
                </c:pt>
                <c:pt idx="1478">
                  <c:v>4.29</c:v>
                </c:pt>
                <c:pt idx="1479">
                  <c:v>4.3099999999999996</c:v>
                </c:pt>
                <c:pt idx="1480">
                  <c:v>4.3600000000000003</c:v>
                </c:pt>
                <c:pt idx="1481">
                  <c:v>4.3600000000000003</c:v>
                </c:pt>
                <c:pt idx="1482">
                  <c:v>4.29</c:v>
                </c:pt>
                <c:pt idx="1483">
                  <c:v>4.0199999999999996</c:v>
                </c:pt>
                <c:pt idx="1484">
                  <c:v>4.07</c:v>
                </c:pt>
                <c:pt idx="1485">
                  <c:v>4.0199999999999996</c:v>
                </c:pt>
                <c:pt idx="1486">
                  <c:v>4.09</c:v>
                </c:pt>
                <c:pt idx="1487">
                  <c:v>4.04</c:v>
                </c:pt>
                <c:pt idx="1488">
                  <c:v>4</c:v>
                </c:pt>
                <c:pt idx="1489">
                  <c:v>4.0199999999999996</c:v>
                </c:pt>
                <c:pt idx="1490">
                  <c:v>4.12</c:v>
                </c:pt>
                <c:pt idx="1491">
                  <c:v>4.0199999999999996</c:v>
                </c:pt>
                <c:pt idx="1492">
                  <c:v>4.05</c:v>
                </c:pt>
                <c:pt idx="1493">
                  <c:v>4.0599999999999996</c:v>
                </c:pt>
                <c:pt idx="1494">
                  <c:v>4.0199999999999996</c:v>
                </c:pt>
                <c:pt idx="1495">
                  <c:v>4.0199999999999996</c:v>
                </c:pt>
                <c:pt idx="1496">
                  <c:v>4.0199999999999996</c:v>
                </c:pt>
                <c:pt idx="1497">
                  <c:v>4</c:v>
                </c:pt>
                <c:pt idx="1498">
                  <c:v>4</c:v>
                </c:pt>
                <c:pt idx="1499">
                  <c:v>3.99</c:v>
                </c:pt>
                <c:pt idx="1500">
                  <c:v>4.0199999999999996</c:v>
                </c:pt>
                <c:pt idx="1501">
                  <c:v>4.05</c:v>
                </c:pt>
                <c:pt idx="1502">
                  <c:v>3.99</c:v>
                </c:pt>
                <c:pt idx="1503">
                  <c:v>4.09</c:v>
                </c:pt>
                <c:pt idx="1504">
                  <c:v>4.07</c:v>
                </c:pt>
                <c:pt idx="1505">
                  <c:v>4.0599999999999996</c:v>
                </c:pt>
                <c:pt idx="1506">
                  <c:v>4.03</c:v>
                </c:pt>
                <c:pt idx="1507">
                  <c:v>4.03</c:v>
                </c:pt>
                <c:pt idx="1508">
                  <c:v>4.03</c:v>
                </c:pt>
                <c:pt idx="1509">
                  <c:v>3.95</c:v>
                </c:pt>
                <c:pt idx="1510">
                  <c:v>3.97</c:v>
                </c:pt>
                <c:pt idx="1511">
                  <c:v>3.99</c:v>
                </c:pt>
                <c:pt idx="1512">
                  <c:v>4.0199999999999996</c:v>
                </c:pt>
                <c:pt idx="1513">
                  <c:v>4</c:v>
                </c:pt>
                <c:pt idx="1514">
                  <c:v>3.99</c:v>
                </c:pt>
                <c:pt idx="1515">
                  <c:v>3.99</c:v>
                </c:pt>
                <c:pt idx="1516">
                  <c:v>4</c:v>
                </c:pt>
                <c:pt idx="1517">
                  <c:v>4</c:v>
                </c:pt>
                <c:pt idx="1518">
                  <c:v>4</c:v>
                </c:pt>
                <c:pt idx="1519">
                  <c:v>3.99</c:v>
                </c:pt>
                <c:pt idx="1520">
                  <c:v>3.92</c:v>
                </c:pt>
                <c:pt idx="1521">
                  <c:v>3.93</c:v>
                </c:pt>
                <c:pt idx="1522">
                  <c:v>3.95</c:v>
                </c:pt>
                <c:pt idx="1523">
                  <c:v>3.95</c:v>
                </c:pt>
                <c:pt idx="1524">
                  <c:v>4.05</c:v>
                </c:pt>
                <c:pt idx="1525">
                  <c:v>4.12</c:v>
                </c:pt>
                <c:pt idx="1526">
                  <c:v>4.1900000000000004</c:v>
                </c:pt>
                <c:pt idx="1527">
                  <c:v>4.09</c:v>
                </c:pt>
                <c:pt idx="1528">
                  <c:v>4.13</c:v>
                </c:pt>
                <c:pt idx="1529">
                  <c:v>4.13</c:v>
                </c:pt>
                <c:pt idx="1530">
                  <c:v>4.1900000000000004</c:v>
                </c:pt>
                <c:pt idx="1531">
                  <c:v>4.25</c:v>
                </c:pt>
                <c:pt idx="1532">
                  <c:v>4.29</c:v>
                </c:pt>
                <c:pt idx="1533">
                  <c:v>4.32</c:v>
                </c:pt>
                <c:pt idx="1534">
                  <c:v>4.32</c:v>
                </c:pt>
                <c:pt idx="1535">
                  <c:v>4.33</c:v>
                </c:pt>
                <c:pt idx="1536">
                  <c:v>4.32</c:v>
                </c:pt>
                <c:pt idx="1537">
                  <c:v>4.3899999999999997</c:v>
                </c:pt>
                <c:pt idx="1538">
                  <c:v>4.3600000000000003</c:v>
                </c:pt>
                <c:pt idx="1539">
                  <c:v>4.3600000000000003</c:v>
                </c:pt>
                <c:pt idx="1540">
                  <c:v>4.32</c:v>
                </c:pt>
                <c:pt idx="1541">
                  <c:v>4.3600000000000003</c:v>
                </c:pt>
                <c:pt idx="1542">
                  <c:v>4.3600000000000003</c:v>
                </c:pt>
                <c:pt idx="1543">
                  <c:v>4.42</c:v>
                </c:pt>
                <c:pt idx="1544">
                  <c:v>4.4000000000000004</c:v>
                </c:pt>
                <c:pt idx="1545">
                  <c:v>4.42</c:v>
                </c:pt>
                <c:pt idx="1546">
                  <c:v>4.42</c:v>
                </c:pt>
                <c:pt idx="1547">
                  <c:v>4.47</c:v>
                </c:pt>
                <c:pt idx="1548">
                  <c:v>4.42</c:v>
                </c:pt>
                <c:pt idx="1549">
                  <c:v>4.4400000000000004</c:v>
                </c:pt>
                <c:pt idx="1550">
                  <c:v>4.49</c:v>
                </c:pt>
                <c:pt idx="1551">
                  <c:v>4.37</c:v>
                </c:pt>
                <c:pt idx="1552">
                  <c:v>4.3899999999999997</c:v>
                </c:pt>
                <c:pt idx="1553">
                  <c:v>4.38</c:v>
                </c:pt>
                <c:pt idx="1554">
                  <c:v>4.41</c:v>
                </c:pt>
                <c:pt idx="1555">
                  <c:v>4.3899999999999997</c:v>
                </c:pt>
                <c:pt idx="1556">
                  <c:v>4.3899999999999997</c:v>
                </c:pt>
                <c:pt idx="1557">
                  <c:v>4.37</c:v>
                </c:pt>
                <c:pt idx="1558">
                  <c:v>4.29</c:v>
                </c:pt>
                <c:pt idx="1559">
                  <c:v>4.2</c:v>
                </c:pt>
                <c:pt idx="1560">
                  <c:v>4.09</c:v>
                </c:pt>
                <c:pt idx="1561">
                  <c:v>4.13</c:v>
                </c:pt>
                <c:pt idx="1562">
                  <c:v>4.12</c:v>
                </c:pt>
                <c:pt idx="1563">
                  <c:v>4.09</c:v>
                </c:pt>
                <c:pt idx="1564">
                  <c:v>4.12</c:v>
                </c:pt>
                <c:pt idx="1565">
                  <c:v>4.07</c:v>
                </c:pt>
                <c:pt idx="1566">
                  <c:v>4.07</c:v>
                </c:pt>
                <c:pt idx="1567">
                  <c:v>4.0199999999999996</c:v>
                </c:pt>
                <c:pt idx="1568">
                  <c:v>4.05</c:v>
                </c:pt>
                <c:pt idx="1569">
                  <c:v>4.07</c:v>
                </c:pt>
                <c:pt idx="1570">
                  <c:v>4.07</c:v>
                </c:pt>
                <c:pt idx="1571">
                  <c:v>4.05</c:v>
                </c:pt>
                <c:pt idx="1572">
                  <c:v>4.0199999999999996</c:v>
                </c:pt>
                <c:pt idx="1573">
                  <c:v>3.99</c:v>
                </c:pt>
                <c:pt idx="1574">
                  <c:v>3.99</c:v>
                </c:pt>
                <c:pt idx="1575">
                  <c:v>3.99</c:v>
                </c:pt>
                <c:pt idx="1576">
                  <c:v>3.85</c:v>
                </c:pt>
                <c:pt idx="1577">
                  <c:v>4.05</c:v>
                </c:pt>
                <c:pt idx="1578">
                  <c:v>3.83</c:v>
                </c:pt>
                <c:pt idx="1579">
                  <c:v>3.84</c:v>
                </c:pt>
                <c:pt idx="1580">
                  <c:v>3.69</c:v>
                </c:pt>
                <c:pt idx="1581">
                  <c:v>3.62</c:v>
                </c:pt>
                <c:pt idx="1582">
                  <c:v>3.48</c:v>
                </c:pt>
                <c:pt idx="1583">
                  <c:v>3.52</c:v>
                </c:pt>
                <c:pt idx="1584">
                  <c:v>3.45</c:v>
                </c:pt>
                <c:pt idx="1585">
                  <c:v>3.53</c:v>
                </c:pt>
                <c:pt idx="1586">
                  <c:v>3.53</c:v>
                </c:pt>
                <c:pt idx="1587">
                  <c:v>3.53</c:v>
                </c:pt>
                <c:pt idx="1588">
                  <c:v>3.52</c:v>
                </c:pt>
                <c:pt idx="1589">
                  <c:v>3.52</c:v>
                </c:pt>
                <c:pt idx="1590">
                  <c:v>3.52</c:v>
                </c:pt>
                <c:pt idx="1591">
                  <c:v>3.53</c:v>
                </c:pt>
                <c:pt idx="1592">
                  <c:v>3.54</c:v>
                </c:pt>
                <c:pt idx="1593">
                  <c:v>3.62</c:v>
                </c:pt>
                <c:pt idx="1594">
                  <c:v>3.61</c:v>
                </c:pt>
                <c:pt idx="1595">
                  <c:v>3.7</c:v>
                </c:pt>
                <c:pt idx="1596">
                  <c:v>3.72</c:v>
                </c:pt>
                <c:pt idx="1597">
                  <c:v>4.05</c:v>
                </c:pt>
                <c:pt idx="1598">
                  <c:v>4.0999999999999996</c:v>
                </c:pt>
                <c:pt idx="1599">
                  <c:v>4.5</c:v>
                </c:pt>
                <c:pt idx="1600">
                  <c:v>4.76</c:v>
                </c:pt>
                <c:pt idx="1601">
                  <c:v>4.7300000000000004</c:v>
                </c:pt>
                <c:pt idx="1602">
                  <c:v>4.5999999999999996</c:v>
                </c:pt>
                <c:pt idx="1603">
                  <c:v>4.5599999999999996</c:v>
                </c:pt>
                <c:pt idx="1604">
                  <c:v>4.53</c:v>
                </c:pt>
                <c:pt idx="1605">
                  <c:v>4.54</c:v>
                </c:pt>
                <c:pt idx="1606">
                  <c:v>4.5199999999999996</c:v>
                </c:pt>
                <c:pt idx="1607">
                  <c:v>4.47</c:v>
                </c:pt>
                <c:pt idx="1608">
                  <c:v>4.47</c:v>
                </c:pt>
                <c:pt idx="1609">
                  <c:v>4.47</c:v>
                </c:pt>
                <c:pt idx="1610">
                  <c:v>4.51</c:v>
                </c:pt>
                <c:pt idx="1611">
                  <c:v>4.5599999999999996</c:v>
                </c:pt>
                <c:pt idx="1612">
                  <c:v>4.58</c:v>
                </c:pt>
                <c:pt idx="1613">
                  <c:v>4.55</c:v>
                </c:pt>
                <c:pt idx="1614">
                  <c:v>4.57</c:v>
                </c:pt>
                <c:pt idx="1615">
                  <c:v>4.55</c:v>
                </c:pt>
                <c:pt idx="1616">
                  <c:v>4.6100000000000003</c:v>
                </c:pt>
                <c:pt idx="1617">
                  <c:v>4.63</c:v>
                </c:pt>
                <c:pt idx="1618">
                  <c:v>4.5599999999999996</c:v>
                </c:pt>
                <c:pt idx="1619">
                  <c:v>4.72</c:v>
                </c:pt>
                <c:pt idx="1620">
                  <c:v>4.72</c:v>
                </c:pt>
                <c:pt idx="1621">
                  <c:v>4.6900000000000004</c:v>
                </c:pt>
                <c:pt idx="1622">
                  <c:v>4.6900000000000004</c:v>
                </c:pt>
                <c:pt idx="1623">
                  <c:v>4.6900000000000004</c:v>
                </c:pt>
                <c:pt idx="1624">
                  <c:v>4.6900000000000004</c:v>
                </c:pt>
                <c:pt idx="1625">
                  <c:v>4.5599999999999996</c:v>
                </c:pt>
                <c:pt idx="1626">
                  <c:v>4.6100000000000003</c:v>
                </c:pt>
                <c:pt idx="1627">
                  <c:v>4.66</c:v>
                </c:pt>
                <c:pt idx="1628">
                  <c:v>4.5999999999999996</c:v>
                </c:pt>
                <c:pt idx="1629">
                  <c:v>4.57</c:v>
                </c:pt>
                <c:pt idx="1630">
                  <c:v>4.5599999999999996</c:v>
                </c:pt>
                <c:pt idx="1631">
                  <c:v>4.55</c:v>
                </c:pt>
                <c:pt idx="1632">
                  <c:v>4.5599999999999996</c:v>
                </c:pt>
                <c:pt idx="1633">
                  <c:v>4.6100000000000003</c:v>
                </c:pt>
                <c:pt idx="1634">
                  <c:v>4.5999999999999996</c:v>
                </c:pt>
                <c:pt idx="1635">
                  <c:v>4.6500000000000004</c:v>
                </c:pt>
                <c:pt idx="1636">
                  <c:v>4.6500000000000004</c:v>
                </c:pt>
                <c:pt idx="1637">
                  <c:v>4.6500000000000004</c:v>
                </c:pt>
                <c:pt idx="1638">
                  <c:v>4.63</c:v>
                </c:pt>
                <c:pt idx="1639">
                  <c:v>4.6100000000000003</c:v>
                </c:pt>
                <c:pt idx="1640">
                  <c:v>4.59</c:v>
                </c:pt>
                <c:pt idx="1641">
                  <c:v>4.55</c:v>
                </c:pt>
                <c:pt idx="1642">
                  <c:v>4.57</c:v>
                </c:pt>
                <c:pt idx="1643">
                  <c:v>4.6100000000000003</c:v>
                </c:pt>
                <c:pt idx="1644">
                  <c:v>4.62</c:v>
                </c:pt>
                <c:pt idx="1645">
                  <c:v>4.6100000000000003</c:v>
                </c:pt>
                <c:pt idx="1646">
                  <c:v>4.5599999999999996</c:v>
                </c:pt>
                <c:pt idx="1647">
                  <c:v>4.6100000000000003</c:v>
                </c:pt>
                <c:pt idx="1648">
                  <c:v>4.63</c:v>
                </c:pt>
                <c:pt idx="1649">
                  <c:v>4.6100000000000003</c:v>
                </c:pt>
                <c:pt idx="1650">
                  <c:v>4.55</c:v>
                </c:pt>
                <c:pt idx="1651">
                  <c:v>4.55</c:v>
                </c:pt>
                <c:pt idx="1652">
                  <c:v>4.5199999999999996</c:v>
                </c:pt>
                <c:pt idx="1653">
                  <c:v>4.5199999999999996</c:v>
                </c:pt>
                <c:pt idx="1654">
                  <c:v>4.5199999999999996</c:v>
                </c:pt>
                <c:pt idx="1655">
                  <c:v>4.55</c:v>
                </c:pt>
                <c:pt idx="1656">
                  <c:v>4.58</c:v>
                </c:pt>
                <c:pt idx="1657">
                  <c:v>4.58</c:v>
                </c:pt>
                <c:pt idx="1658">
                  <c:v>4.55</c:v>
                </c:pt>
                <c:pt idx="1659">
                  <c:v>4.57</c:v>
                </c:pt>
                <c:pt idx="1660">
                  <c:v>4.57</c:v>
                </c:pt>
                <c:pt idx="1661">
                  <c:v>4.55</c:v>
                </c:pt>
                <c:pt idx="1662">
                  <c:v>4.55</c:v>
                </c:pt>
                <c:pt idx="1663">
                  <c:v>4.5199999999999996</c:v>
                </c:pt>
                <c:pt idx="1664">
                  <c:v>4.5</c:v>
                </c:pt>
                <c:pt idx="1665">
                  <c:v>4.57</c:v>
                </c:pt>
                <c:pt idx="1666">
                  <c:v>4.5199999999999996</c:v>
                </c:pt>
                <c:pt idx="1667">
                  <c:v>4.5199999999999996</c:v>
                </c:pt>
                <c:pt idx="1668">
                  <c:v>4.51</c:v>
                </c:pt>
                <c:pt idx="1669">
                  <c:v>4.49</c:v>
                </c:pt>
                <c:pt idx="1670">
                  <c:v>4.47</c:v>
                </c:pt>
                <c:pt idx="1671">
                  <c:v>4.41</c:v>
                </c:pt>
                <c:pt idx="1672">
                  <c:v>4.38</c:v>
                </c:pt>
                <c:pt idx="1673">
                  <c:v>4.4000000000000004</c:v>
                </c:pt>
                <c:pt idx="1674">
                  <c:v>4.4000000000000004</c:v>
                </c:pt>
                <c:pt idx="1675">
                  <c:v>4.4400000000000004</c:v>
                </c:pt>
                <c:pt idx="1676">
                  <c:v>4.45</c:v>
                </c:pt>
                <c:pt idx="1677">
                  <c:v>4.51</c:v>
                </c:pt>
                <c:pt idx="1678">
                  <c:v>4.5</c:v>
                </c:pt>
                <c:pt idx="1679">
                  <c:v>4.51</c:v>
                </c:pt>
                <c:pt idx="1680">
                  <c:v>4.55</c:v>
                </c:pt>
                <c:pt idx="1681">
                  <c:v>4.5199999999999996</c:v>
                </c:pt>
                <c:pt idx="1682">
                  <c:v>4.51</c:v>
                </c:pt>
                <c:pt idx="1683">
                  <c:v>4.5</c:v>
                </c:pt>
                <c:pt idx="1684">
                  <c:v>4.5599999999999996</c:v>
                </c:pt>
                <c:pt idx="1685">
                  <c:v>4.57</c:v>
                </c:pt>
                <c:pt idx="1686">
                  <c:v>4.6500000000000004</c:v>
                </c:pt>
                <c:pt idx="1687">
                  <c:v>4.62</c:v>
                </c:pt>
                <c:pt idx="1688">
                  <c:v>4.62</c:v>
                </c:pt>
                <c:pt idx="1689">
                  <c:v>4.62</c:v>
                </c:pt>
                <c:pt idx="1690">
                  <c:v>4.63</c:v>
                </c:pt>
                <c:pt idx="1691">
                  <c:v>4.66</c:v>
                </c:pt>
                <c:pt idx="1692">
                  <c:v>4.72</c:v>
                </c:pt>
                <c:pt idx="1693">
                  <c:v>4.75</c:v>
                </c:pt>
                <c:pt idx="1694">
                  <c:v>4.72</c:v>
                </c:pt>
                <c:pt idx="1695">
                  <c:v>4.72</c:v>
                </c:pt>
                <c:pt idx="1696">
                  <c:v>4.7</c:v>
                </c:pt>
                <c:pt idx="1697">
                  <c:v>4.74</c:v>
                </c:pt>
                <c:pt idx="1698">
                  <c:v>4.68</c:v>
                </c:pt>
                <c:pt idx="1699">
                  <c:v>4.75</c:v>
                </c:pt>
                <c:pt idx="1700">
                  <c:v>4.74</c:v>
                </c:pt>
                <c:pt idx="1701">
                  <c:v>4.82</c:v>
                </c:pt>
                <c:pt idx="1702">
                  <c:v>4.82</c:v>
                </c:pt>
                <c:pt idx="1703">
                  <c:v>4.84</c:v>
                </c:pt>
                <c:pt idx="1704">
                  <c:v>4.8600000000000003</c:v>
                </c:pt>
                <c:pt idx="1705">
                  <c:v>4.82</c:v>
                </c:pt>
                <c:pt idx="1706">
                  <c:v>4.8600000000000003</c:v>
                </c:pt>
                <c:pt idx="1707">
                  <c:v>4.96</c:v>
                </c:pt>
                <c:pt idx="1708">
                  <c:v>4.99</c:v>
                </c:pt>
                <c:pt idx="1709">
                  <c:v>5.03</c:v>
                </c:pt>
                <c:pt idx="1710">
                  <c:v>5</c:v>
                </c:pt>
                <c:pt idx="1711">
                  <c:v>5.03</c:v>
                </c:pt>
                <c:pt idx="1712">
                  <c:v>5.13</c:v>
                </c:pt>
                <c:pt idx="1713">
                  <c:v>5.23</c:v>
                </c:pt>
                <c:pt idx="1714">
                  <c:v>5.16</c:v>
                </c:pt>
                <c:pt idx="1715">
                  <c:v>5.23</c:v>
                </c:pt>
                <c:pt idx="1716">
                  <c:v>5.26</c:v>
                </c:pt>
                <c:pt idx="1717">
                  <c:v>5.49</c:v>
                </c:pt>
                <c:pt idx="1718">
                  <c:v>5.49</c:v>
                </c:pt>
                <c:pt idx="1719">
                  <c:v>5.57</c:v>
                </c:pt>
                <c:pt idx="1720">
                  <c:v>5.56</c:v>
                </c:pt>
                <c:pt idx="1721">
                  <c:v>5.63</c:v>
                </c:pt>
                <c:pt idx="1722">
                  <c:v>5.7</c:v>
                </c:pt>
                <c:pt idx="1723">
                  <c:v>5.73</c:v>
                </c:pt>
                <c:pt idx="1724">
                  <c:v>5.73</c:v>
                </c:pt>
                <c:pt idx="1725">
                  <c:v>5.83</c:v>
                </c:pt>
                <c:pt idx="1726">
                  <c:v>5.83</c:v>
                </c:pt>
                <c:pt idx="1727">
                  <c:v>5.83</c:v>
                </c:pt>
                <c:pt idx="1728">
                  <c:v>5.93</c:v>
                </c:pt>
                <c:pt idx="1729">
                  <c:v>5.96</c:v>
                </c:pt>
                <c:pt idx="1730">
                  <c:v>6.16</c:v>
                </c:pt>
                <c:pt idx="1731">
                  <c:v>6.06</c:v>
                </c:pt>
                <c:pt idx="1732">
                  <c:v>6.2</c:v>
                </c:pt>
                <c:pt idx="1733">
                  <c:v>6.18</c:v>
                </c:pt>
                <c:pt idx="1734">
                  <c:v>6.3</c:v>
                </c:pt>
                <c:pt idx="1735">
                  <c:v>6.37</c:v>
                </c:pt>
                <c:pt idx="1736">
                  <c:v>6.33</c:v>
                </c:pt>
                <c:pt idx="1737">
                  <c:v>6.33</c:v>
                </c:pt>
                <c:pt idx="1738">
                  <c:v>6.37</c:v>
                </c:pt>
                <c:pt idx="1739">
                  <c:v>6.1</c:v>
                </c:pt>
                <c:pt idx="1740">
                  <c:v>6.1</c:v>
                </c:pt>
                <c:pt idx="1741">
                  <c:v>6.3</c:v>
                </c:pt>
                <c:pt idx="1742">
                  <c:v>6.3</c:v>
                </c:pt>
                <c:pt idx="1743">
                  <c:v>6.33</c:v>
                </c:pt>
                <c:pt idx="1744">
                  <c:v>6.26</c:v>
                </c:pt>
                <c:pt idx="1745">
                  <c:v>6.26</c:v>
                </c:pt>
                <c:pt idx="1746">
                  <c:v>6.37</c:v>
                </c:pt>
                <c:pt idx="1747">
                  <c:v>6.43</c:v>
                </c:pt>
                <c:pt idx="1748">
                  <c:v>6.5</c:v>
                </c:pt>
                <c:pt idx="1749">
                  <c:v>6.57</c:v>
                </c:pt>
                <c:pt idx="1750">
                  <c:v>6.57</c:v>
                </c:pt>
                <c:pt idx="1751">
                  <c:v>6.6</c:v>
                </c:pt>
                <c:pt idx="1752">
                  <c:v>6.53</c:v>
                </c:pt>
                <c:pt idx="1753">
                  <c:v>6.53</c:v>
                </c:pt>
                <c:pt idx="1754">
                  <c:v>6.52</c:v>
                </c:pt>
                <c:pt idx="1755">
                  <c:v>6.52</c:v>
                </c:pt>
                <c:pt idx="1756">
                  <c:v>6.47</c:v>
                </c:pt>
                <c:pt idx="1757">
                  <c:v>6.43</c:v>
                </c:pt>
                <c:pt idx="1758">
                  <c:v>6.41</c:v>
                </c:pt>
                <c:pt idx="1759">
                  <c:v>6.43</c:v>
                </c:pt>
                <c:pt idx="1760">
                  <c:v>6.43</c:v>
                </c:pt>
                <c:pt idx="1761">
                  <c:v>6.4</c:v>
                </c:pt>
                <c:pt idx="1762">
                  <c:v>6.43</c:v>
                </c:pt>
                <c:pt idx="1763">
                  <c:v>6.37</c:v>
                </c:pt>
                <c:pt idx="1764">
                  <c:v>6.37</c:v>
                </c:pt>
                <c:pt idx="1765">
                  <c:v>6.37</c:v>
                </c:pt>
                <c:pt idx="1766">
                  <c:v>6.38</c:v>
                </c:pt>
                <c:pt idx="1767">
                  <c:v>6.33</c:v>
                </c:pt>
                <c:pt idx="1768">
                  <c:v>6.33</c:v>
                </c:pt>
                <c:pt idx="1769">
                  <c:v>6.34</c:v>
                </c:pt>
                <c:pt idx="1770">
                  <c:v>6.34</c:v>
                </c:pt>
                <c:pt idx="1771">
                  <c:v>6.23</c:v>
                </c:pt>
                <c:pt idx="1772">
                  <c:v>6.23</c:v>
                </c:pt>
                <c:pt idx="1773">
                  <c:v>6.21</c:v>
                </c:pt>
                <c:pt idx="1774">
                  <c:v>6.21</c:v>
                </c:pt>
                <c:pt idx="1775">
                  <c:v>6.2</c:v>
                </c:pt>
                <c:pt idx="1776">
                  <c:v>6.26</c:v>
                </c:pt>
                <c:pt idx="1777">
                  <c:v>6.13</c:v>
                </c:pt>
                <c:pt idx="1778">
                  <c:v>6.16</c:v>
                </c:pt>
                <c:pt idx="1779">
                  <c:v>6.2</c:v>
                </c:pt>
                <c:pt idx="1780">
                  <c:v>6.2</c:v>
                </c:pt>
                <c:pt idx="1781">
                  <c:v>6.23</c:v>
                </c:pt>
                <c:pt idx="1782">
                  <c:v>6.23</c:v>
                </c:pt>
                <c:pt idx="1783">
                  <c:v>6.24</c:v>
                </c:pt>
                <c:pt idx="1784">
                  <c:v>6.37</c:v>
                </c:pt>
                <c:pt idx="1785">
                  <c:v>6.43</c:v>
                </c:pt>
                <c:pt idx="1786">
                  <c:v>6.53</c:v>
                </c:pt>
                <c:pt idx="1787">
                  <c:v>6.63</c:v>
                </c:pt>
                <c:pt idx="1788">
                  <c:v>6.73</c:v>
                </c:pt>
                <c:pt idx="1789">
                  <c:v>6.73</c:v>
                </c:pt>
                <c:pt idx="1790">
                  <c:v>6.7</c:v>
                </c:pt>
                <c:pt idx="1791">
                  <c:v>6.83</c:v>
                </c:pt>
                <c:pt idx="1792">
                  <c:v>6.97</c:v>
                </c:pt>
                <c:pt idx="1793">
                  <c:v>7.04</c:v>
                </c:pt>
                <c:pt idx="1794">
                  <c:v>7.1</c:v>
                </c:pt>
                <c:pt idx="1795">
                  <c:v>7.2</c:v>
                </c:pt>
                <c:pt idx="1796">
                  <c:v>7.2</c:v>
                </c:pt>
                <c:pt idx="1797">
                  <c:v>7.34</c:v>
                </c:pt>
                <c:pt idx="1798">
                  <c:v>7.5</c:v>
                </c:pt>
                <c:pt idx="1799">
                  <c:v>7.42</c:v>
                </c:pt>
                <c:pt idx="1800">
                  <c:v>7.37</c:v>
                </c:pt>
                <c:pt idx="1801">
                  <c:v>7.4</c:v>
                </c:pt>
                <c:pt idx="1802">
                  <c:v>7.4</c:v>
                </c:pt>
                <c:pt idx="1803">
                  <c:v>7.44</c:v>
                </c:pt>
                <c:pt idx="1804">
                  <c:v>7.44</c:v>
                </c:pt>
                <c:pt idx="1805">
                  <c:v>7.44</c:v>
                </c:pt>
                <c:pt idx="1806">
                  <c:v>7.42</c:v>
                </c:pt>
                <c:pt idx="1807">
                  <c:v>7.4</c:v>
                </c:pt>
                <c:pt idx="1808">
                  <c:v>7.47</c:v>
                </c:pt>
                <c:pt idx="1809">
                  <c:v>7.47</c:v>
                </c:pt>
                <c:pt idx="1810">
                  <c:v>7.37</c:v>
                </c:pt>
                <c:pt idx="1811">
                  <c:v>7.77</c:v>
                </c:pt>
                <c:pt idx="1812">
                  <c:v>7.94</c:v>
                </c:pt>
                <c:pt idx="1813">
                  <c:v>7.94</c:v>
                </c:pt>
                <c:pt idx="1814">
                  <c:v>8.0399999999999991</c:v>
                </c:pt>
                <c:pt idx="1815">
                  <c:v>8.48</c:v>
                </c:pt>
                <c:pt idx="1816">
                  <c:v>8.61</c:v>
                </c:pt>
                <c:pt idx="1817">
                  <c:v>9.0500000000000007</c:v>
                </c:pt>
                <c:pt idx="1818">
                  <c:v>8.98</c:v>
                </c:pt>
                <c:pt idx="1819">
                  <c:v>9.01</c:v>
                </c:pt>
                <c:pt idx="1820">
                  <c:v>8.8800000000000008</c:v>
                </c:pt>
                <c:pt idx="1821">
                  <c:v>8.92</c:v>
                </c:pt>
                <c:pt idx="1822">
                  <c:v>8.84</c:v>
                </c:pt>
                <c:pt idx="1823">
                  <c:v>8.81</c:v>
                </c:pt>
                <c:pt idx="1824">
                  <c:v>8.81</c:v>
                </c:pt>
                <c:pt idx="1825">
                  <c:v>8.7899999999999991</c:v>
                </c:pt>
                <c:pt idx="1826">
                  <c:v>8.98</c:v>
                </c:pt>
                <c:pt idx="1827">
                  <c:v>9.18</c:v>
                </c:pt>
                <c:pt idx="1828">
                  <c:v>9.58</c:v>
                </c:pt>
                <c:pt idx="1829">
                  <c:v>9.7200000000000006</c:v>
                </c:pt>
                <c:pt idx="1830">
                  <c:v>9.36</c:v>
                </c:pt>
                <c:pt idx="1831">
                  <c:v>9.3800000000000008</c:v>
                </c:pt>
                <c:pt idx="1832">
                  <c:v>9.3800000000000008</c:v>
                </c:pt>
                <c:pt idx="1833">
                  <c:v>9.41</c:v>
                </c:pt>
                <c:pt idx="1834">
                  <c:v>9.4499999999999993</c:v>
                </c:pt>
                <c:pt idx="1835">
                  <c:v>9.51</c:v>
                </c:pt>
                <c:pt idx="1836">
                  <c:v>9.5500000000000007</c:v>
                </c:pt>
                <c:pt idx="1837">
                  <c:v>9.58</c:v>
                </c:pt>
                <c:pt idx="1838">
                  <c:v>9.58</c:v>
                </c:pt>
                <c:pt idx="1839">
                  <c:v>9.61</c:v>
                </c:pt>
                <c:pt idx="1840">
                  <c:v>9.69</c:v>
                </c:pt>
                <c:pt idx="1841">
                  <c:v>9.7200000000000006</c:v>
                </c:pt>
                <c:pt idx="1842">
                  <c:v>9.7200000000000006</c:v>
                </c:pt>
                <c:pt idx="1843">
                  <c:v>9.75</c:v>
                </c:pt>
                <c:pt idx="1844">
                  <c:v>9.75</c:v>
                </c:pt>
                <c:pt idx="1845">
                  <c:v>9.76</c:v>
                </c:pt>
                <c:pt idx="1846">
                  <c:v>9.76</c:v>
                </c:pt>
                <c:pt idx="1847">
                  <c:v>9.82</c:v>
                </c:pt>
                <c:pt idx="1848">
                  <c:v>9.8800000000000008</c:v>
                </c:pt>
                <c:pt idx="1849">
                  <c:v>10.08</c:v>
                </c:pt>
                <c:pt idx="1850">
                  <c:v>10.08</c:v>
                </c:pt>
                <c:pt idx="1851">
                  <c:v>10.15</c:v>
                </c:pt>
                <c:pt idx="1852">
                  <c:v>10.26</c:v>
                </c:pt>
                <c:pt idx="1853">
                  <c:v>10.36</c:v>
                </c:pt>
                <c:pt idx="1854">
                  <c:v>10.47</c:v>
                </c:pt>
                <c:pt idx="1855">
                  <c:v>10.57</c:v>
                </c:pt>
                <c:pt idx="1856">
                  <c:v>10.68</c:v>
                </c:pt>
                <c:pt idx="1857">
                  <c:v>10.78</c:v>
                </c:pt>
                <c:pt idx="1858">
                  <c:v>10.89</c:v>
                </c:pt>
                <c:pt idx="1859">
                  <c:v>10.99</c:v>
                </c:pt>
                <c:pt idx="1860">
                  <c:v>11.1</c:v>
                </c:pt>
                <c:pt idx="1861">
                  <c:v>11.21</c:v>
                </c:pt>
                <c:pt idx="1862">
                  <c:v>11.31</c:v>
                </c:pt>
                <c:pt idx="1863">
                  <c:v>11.42</c:v>
                </c:pt>
                <c:pt idx="1864">
                  <c:v>11.52</c:v>
                </c:pt>
                <c:pt idx="1865">
                  <c:v>11.63</c:v>
                </c:pt>
                <c:pt idx="1866">
                  <c:v>11.73</c:v>
                </c:pt>
                <c:pt idx="1867">
                  <c:v>11.84</c:v>
                </c:pt>
                <c:pt idx="1868">
                  <c:v>11.94</c:v>
                </c:pt>
                <c:pt idx="1869">
                  <c:v>12.05</c:v>
                </c:pt>
                <c:pt idx="1870">
                  <c:v>12.16</c:v>
                </c:pt>
                <c:pt idx="1871">
                  <c:v>12.19</c:v>
                </c:pt>
                <c:pt idx="1872">
                  <c:v>12.06</c:v>
                </c:pt>
                <c:pt idx="1873">
                  <c:v>12.06</c:v>
                </c:pt>
                <c:pt idx="1874">
                  <c:v>12.06</c:v>
                </c:pt>
                <c:pt idx="1875">
                  <c:v>12.26</c:v>
                </c:pt>
                <c:pt idx="1876">
                  <c:v>11.86</c:v>
                </c:pt>
                <c:pt idx="1877">
                  <c:v>11.86</c:v>
                </c:pt>
                <c:pt idx="1878">
                  <c:v>11.86</c:v>
                </c:pt>
                <c:pt idx="1879">
                  <c:v>12.06</c:v>
                </c:pt>
                <c:pt idx="1880">
                  <c:v>12.03</c:v>
                </c:pt>
                <c:pt idx="1881">
                  <c:v>12.03</c:v>
                </c:pt>
                <c:pt idx="1882">
                  <c:v>12.03</c:v>
                </c:pt>
                <c:pt idx="1883">
                  <c:v>12.03</c:v>
                </c:pt>
                <c:pt idx="1884">
                  <c:v>11.99</c:v>
                </c:pt>
                <c:pt idx="1885">
                  <c:v>11.99</c:v>
                </c:pt>
                <c:pt idx="1886">
                  <c:v>11.99</c:v>
                </c:pt>
                <c:pt idx="1887">
                  <c:v>12.03</c:v>
                </c:pt>
                <c:pt idx="1888">
                  <c:v>12.06</c:v>
                </c:pt>
                <c:pt idx="1889">
                  <c:v>12.09</c:v>
                </c:pt>
                <c:pt idx="1890">
                  <c:v>12.13</c:v>
                </c:pt>
                <c:pt idx="1891">
                  <c:v>12.13</c:v>
                </c:pt>
                <c:pt idx="1892">
                  <c:v>12.13</c:v>
                </c:pt>
                <c:pt idx="1893">
                  <c:v>12.13</c:v>
                </c:pt>
                <c:pt idx="1894">
                  <c:v>12.09</c:v>
                </c:pt>
                <c:pt idx="1895">
                  <c:v>12.09</c:v>
                </c:pt>
                <c:pt idx="1896">
                  <c:v>12.03</c:v>
                </c:pt>
                <c:pt idx="1897">
                  <c:v>12.06</c:v>
                </c:pt>
                <c:pt idx="1898">
                  <c:v>12.06</c:v>
                </c:pt>
                <c:pt idx="1899">
                  <c:v>12.06</c:v>
                </c:pt>
                <c:pt idx="1900">
                  <c:v>12.06</c:v>
                </c:pt>
                <c:pt idx="1901">
                  <c:v>12.06</c:v>
                </c:pt>
                <c:pt idx="1902">
                  <c:v>11.79</c:v>
                </c:pt>
                <c:pt idx="1903">
                  <c:v>11.79</c:v>
                </c:pt>
                <c:pt idx="1904">
                  <c:v>11.79</c:v>
                </c:pt>
                <c:pt idx="1905">
                  <c:v>11.73</c:v>
                </c:pt>
                <c:pt idx="1906">
                  <c:v>11.73</c:v>
                </c:pt>
                <c:pt idx="1907">
                  <c:v>11.83</c:v>
                </c:pt>
                <c:pt idx="1908">
                  <c:v>11.86</c:v>
                </c:pt>
                <c:pt idx="1909">
                  <c:v>12.06</c:v>
                </c:pt>
                <c:pt idx="1910">
                  <c:v>12.06</c:v>
                </c:pt>
                <c:pt idx="1911">
                  <c:v>12.09</c:v>
                </c:pt>
                <c:pt idx="1912">
                  <c:v>11.99</c:v>
                </c:pt>
                <c:pt idx="1913">
                  <c:v>12.06</c:v>
                </c:pt>
                <c:pt idx="1914">
                  <c:v>12.06</c:v>
                </c:pt>
                <c:pt idx="1915">
                  <c:v>12.11</c:v>
                </c:pt>
                <c:pt idx="1916">
                  <c:v>12.14</c:v>
                </c:pt>
                <c:pt idx="1917">
                  <c:v>12.4</c:v>
                </c:pt>
                <c:pt idx="1918">
                  <c:v>12.23</c:v>
                </c:pt>
                <c:pt idx="1919">
                  <c:v>12.46</c:v>
                </c:pt>
                <c:pt idx="1920">
                  <c:v>12.46</c:v>
                </c:pt>
                <c:pt idx="1921">
                  <c:v>12.46</c:v>
                </c:pt>
                <c:pt idx="1922">
                  <c:v>12.6</c:v>
                </c:pt>
                <c:pt idx="1923">
                  <c:v>12.63</c:v>
                </c:pt>
                <c:pt idx="1924">
                  <c:v>12.63</c:v>
                </c:pt>
                <c:pt idx="1925">
                  <c:v>12.6</c:v>
                </c:pt>
                <c:pt idx="1926">
                  <c:v>12.6</c:v>
                </c:pt>
                <c:pt idx="1927">
                  <c:v>12.6</c:v>
                </c:pt>
                <c:pt idx="1928">
                  <c:v>12.6</c:v>
                </c:pt>
                <c:pt idx="1929">
                  <c:v>12.56</c:v>
                </c:pt>
                <c:pt idx="1930">
                  <c:v>12.56</c:v>
                </c:pt>
                <c:pt idx="1931">
                  <c:v>12.56</c:v>
                </c:pt>
                <c:pt idx="1932">
                  <c:v>12.56</c:v>
                </c:pt>
                <c:pt idx="1933">
                  <c:v>12.56</c:v>
                </c:pt>
                <c:pt idx="1934">
                  <c:v>12.56</c:v>
                </c:pt>
                <c:pt idx="1935">
                  <c:v>12.56</c:v>
                </c:pt>
                <c:pt idx="1936">
                  <c:v>12.56</c:v>
                </c:pt>
                <c:pt idx="1937">
                  <c:v>12.6</c:v>
                </c:pt>
                <c:pt idx="1938">
                  <c:v>12.6</c:v>
                </c:pt>
                <c:pt idx="1939">
                  <c:v>12.6</c:v>
                </c:pt>
                <c:pt idx="1940">
                  <c:v>12.6</c:v>
                </c:pt>
                <c:pt idx="1941">
                  <c:v>12.6</c:v>
                </c:pt>
                <c:pt idx="1942">
                  <c:v>12.6</c:v>
                </c:pt>
                <c:pt idx="1943">
                  <c:v>12.6</c:v>
                </c:pt>
                <c:pt idx="1944">
                  <c:v>12.63</c:v>
                </c:pt>
                <c:pt idx="1945">
                  <c:v>12.63</c:v>
                </c:pt>
                <c:pt idx="1946">
                  <c:v>12.63</c:v>
                </c:pt>
                <c:pt idx="1947">
                  <c:v>12.63</c:v>
                </c:pt>
                <c:pt idx="1948">
                  <c:v>12.63</c:v>
                </c:pt>
                <c:pt idx="1949">
                  <c:v>12.66</c:v>
                </c:pt>
                <c:pt idx="1950">
                  <c:v>12.66</c:v>
                </c:pt>
                <c:pt idx="1951">
                  <c:v>12.66</c:v>
                </c:pt>
                <c:pt idx="1952">
                  <c:v>12.66</c:v>
                </c:pt>
                <c:pt idx="1953">
                  <c:v>12.56</c:v>
                </c:pt>
                <c:pt idx="1954">
                  <c:v>12.56</c:v>
                </c:pt>
                <c:pt idx="1955">
                  <c:v>12.56</c:v>
                </c:pt>
                <c:pt idx="1956">
                  <c:v>12.56</c:v>
                </c:pt>
                <c:pt idx="1957">
                  <c:v>12.53</c:v>
                </c:pt>
                <c:pt idx="1958">
                  <c:v>12.46</c:v>
                </c:pt>
                <c:pt idx="1959">
                  <c:v>12.46</c:v>
                </c:pt>
                <c:pt idx="1960">
                  <c:v>12.4</c:v>
                </c:pt>
                <c:pt idx="1961">
                  <c:v>12.4</c:v>
                </c:pt>
                <c:pt idx="1962">
                  <c:v>12.4</c:v>
                </c:pt>
                <c:pt idx="1963">
                  <c:v>12.36</c:v>
                </c:pt>
                <c:pt idx="1964">
                  <c:v>12.36</c:v>
                </c:pt>
                <c:pt idx="1965">
                  <c:v>12.4</c:v>
                </c:pt>
                <c:pt idx="1966">
                  <c:v>12.4</c:v>
                </c:pt>
                <c:pt idx="1967">
                  <c:v>12.43</c:v>
                </c:pt>
                <c:pt idx="1968">
                  <c:v>12.4</c:v>
                </c:pt>
                <c:pt idx="1969">
                  <c:v>12.36</c:v>
                </c:pt>
                <c:pt idx="1970">
                  <c:v>12.33</c:v>
                </c:pt>
                <c:pt idx="1971">
                  <c:v>12.23</c:v>
                </c:pt>
                <c:pt idx="1972">
                  <c:v>12.23</c:v>
                </c:pt>
                <c:pt idx="1973">
                  <c:v>11.86</c:v>
                </c:pt>
                <c:pt idx="1974">
                  <c:v>11.62</c:v>
                </c:pt>
                <c:pt idx="1975">
                  <c:v>11.59</c:v>
                </c:pt>
                <c:pt idx="1976">
                  <c:v>11.46</c:v>
                </c:pt>
                <c:pt idx="1977">
                  <c:v>11.46</c:v>
                </c:pt>
                <c:pt idx="1978">
                  <c:v>11.49</c:v>
                </c:pt>
                <c:pt idx="1979">
                  <c:v>11.79</c:v>
                </c:pt>
                <c:pt idx="1980">
                  <c:v>11.79</c:v>
                </c:pt>
                <c:pt idx="1981">
                  <c:v>11.73</c:v>
                </c:pt>
                <c:pt idx="1982">
                  <c:v>11.73</c:v>
                </c:pt>
                <c:pt idx="1983">
                  <c:v>11.83</c:v>
                </c:pt>
                <c:pt idx="1984">
                  <c:v>11.86</c:v>
                </c:pt>
                <c:pt idx="1985">
                  <c:v>11.86</c:v>
                </c:pt>
                <c:pt idx="1986">
                  <c:v>11.89</c:v>
                </c:pt>
                <c:pt idx="1987">
                  <c:v>11.86</c:v>
                </c:pt>
                <c:pt idx="1988">
                  <c:v>11.86</c:v>
                </c:pt>
                <c:pt idx="1989">
                  <c:v>11.76</c:v>
                </c:pt>
                <c:pt idx="1990">
                  <c:v>11.76</c:v>
                </c:pt>
                <c:pt idx="1991">
                  <c:v>11.76</c:v>
                </c:pt>
                <c:pt idx="1992">
                  <c:v>11.39</c:v>
                </c:pt>
                <c:pt idx="1993">
                  <c:v>11.39</c:v>
                </c:pt>
                <c:pt idx="1994">
                  <c:v>11.49</c:v>
                </c:pt>
                <c:pt idx="1995">
                  <c:v>11.46</c:v>
                </c:pt>
                <c:pt idx="1996">
                  <c:v>11.46</c:v>
                </c:pt>
                <c:pt idx="1997">
                  <c:v>11.12</c:v>
                </c:pt>
                <c:pt idx="1998">
                  <c:v>11.12</c:v>
                </c:pt>
                <c:pt idx="1999">
                  <c:v>11.39</c:v>
                </c:pt>
                <c:pt idx="2000">
                  <c:v>11.39</c:v>
                </c:pt>
                <c:pt idx="2001">
                  <c:v>11.62</c:v>
                </c:pt>
                <c:pt idx="2002">
                  <c:v>11.66</c:v>
                </c:pt>
                <c:pt idx="2003">
                  <c:v>11.66</c:v>
                </c:pt>
                <c:pt idx="2004">
                  <c:v>11.66</c:v>
                </c:pt>
                <c:pt idx="2005">
                  <c:v>11.66</c:v>
                </c:pt>
                <c:pt idx="2006">
                  <c:v>11.66</c:v>
                </c:pt>
                <c:pt idx="2007">
                  <c:v>11.59</c:v>
                </c:pt>
                <c:pt idx="2008">
                  <c:v>11.59</c:v>
                </c:pt>
                <c:pt idx="2009">
                  <c:v>11.59</c:v>
                </c:pt>
                <c:pt idx="2010">
                  <c:v>11.59</c:v>
                </c:pt>
                <c:pt idx="2011">
                  <c:v>11.42</c:v>
                </c:pt>
                <c:pt idx="2012">
                  <c:v>11.42</c:v>
                </c:pt>
                <c:pt idx="2013">
                  <c:v>11.42</c:v>
                </c:pt>
                <c:pt idx="2014">
                  <c:v>11.42</c:v>
                </c:pt>
                <c:pt idx="2015">
                  <c:v>11.42</c:v>
                </c:pt>
                <c:pt idx="2016">
                  <c:v>11.42</c:v>
                </c:pt>
                <c:pt idx="2017">
                  <c:v>11.26</c:v>
                </c:pt>
                <c:pt idx="2018">
                  <c:v>11.32</c:v>
                </c:pt>
                <c:pt idx="2019">
                  <c:v>11.46</c:v>
                </c:pt>
                <c:pt idx="2020">
                  <c:v>11.49</c:v>
                </c:pt>
                <c:pt idx="2021">
                  <c:v>11.49</c:v>
                </c:pt>
                <c:pt idx="2022">
                  <c:v>11.66</c:v>
                </c:pt>
                <c:pt idx="2023">
                  <c:v>11.79</c:v>
                </c:pt>
                <c:pt idx="2024">
                  <c:v>11.86</c:v>
                </c:pt>
                <c:pt idx="2025">
                  <c:v>12.13</c:v>
                </c:pt>
                <c:pt idx="2026">
                  <c:v>12.06</c:v>
                </c:pt>
                <c:pt idx="2027">
                  <c:v>12.06</c:v>
                </c:pt>
                <c:pt idx="2028">
                  <c:v>12.06</c:v>
                </c:pt>
                <c:pt idx="2029">
                  <c:v>12.13</c:v>
                </c:pt>
                <c:pt idx="2030">
                  <c:v>12.13</c:v>
                </c:pt>
                <c:pt idx="2031">
                  <c:v>12.06</c:v>
                </c:pt>
                <c:pt idx="2032">
                  <c:v>12.09</c:v>
                </c:pt>
                <c:pt idx="2033">
                  <c:v>12.06</c:v>
                </c:pt>
                <c:pt idx="2034">
                  <c:v>11.96</c:v>
                </c:pt>
                <c:pt idx="2035">
                  <c:v>11.89</c:v>
                </c:pt>
                <c:pt idx="2036">
                  <c:v>11.89</c:v>
                </c:pt>
                <c:pt idx="2037">
                  <c:v>11.93</c:v>
                </c:pt>
                <c:pt idx="2038">
                  <c:v>11.93</c:v>
                </c:pt>
                <c:pt idx="2039">
                  <c:v>11.99</c:v>
                </c:pt>
                <c:pt idx="2040">
                  <c:v>11.99</c:v>
                </c:pt>
                <c:pt idx="2041">
                  <c:v>11.99</c:v>
                </c:pt>
                <c:pt idx="2042">
                  <c:v>11.99</c:v>
                </c:pt>
                <c:pt idx="2043">
                  <c:v>11.99</c:v>
                </c:pt>
                <c:pt idx="2044">
                  <c:v>11.99</c:v>
                </c:pt>
                <c:pt idx="2045">
                  <c:v>11.99</c:v>
                </c:pt>
                <c:pt idx="2046">
                  <c:v>11.73</c:v>
                </c:pt>
                <c:pt idx="2047">
                  <c:v>11.59</c:v>
                </c:pt>
                <c:pt idx="2048">
                  <c:v>11.49</c:v>
                </c:pt>
                <c:pt idx="2049">
                  <c:v>11.49</c:v>
                </c:pt>
                <c:pt idx="2050">
                  <c:v>11.49</c:v>
                </c:pt>
                <c:pt idx="2051">
                  <c:v>11.39</c:v>
                </c:pt>
                <c:pt idx="2052">
                  <c:v>11.49</c:v>
                </c:pt>
                <c:pt idx="2053">
                  <c:v>11.56</c:v>
                </c:pt>
                <c:pt idx="2054">
                  <c:v>11.56</c:v>
                </c:pt>
                <c:pt idx="2055">
                  <c:v>11.49</c:v>
                </c:pt>
                <c:pt idx="2056">
                  <c:v>11.52</c:v>
                </c:pt>
                <c:pt idx="2057">
                  <c:v>11.52</c:v>
                </c:pt>
                <c:pt idx="2058">
                  <c:v>11.52</c:v>
                </c:pt>
                <c:pt idx="2059">
                  <c:v>11.69</c:v>
                </c:pt>
                <c:pt idx="2060">
                  <c:v>11.76</c:v>
                </c:pt>
                <c:pt idx="2061">
                  <c:v>11.79</c:v>
                </c:pt>
                <c:pt idx="2062">
                  <c:v>11.83</c:v>
                </c:pt>
                <c:pt idx="2063">
                  <c:v>11.79</c:v>
                </c:pt>
                <c:pt idx="2064">
                  <c:v>11.76</c:v>
                </c:pt>
                <c:pt idx="2065">
                  <c:v>11.66</c:v>
                </c:pt>
                <c:pt idx="2066">
                  <c:v>11.59</c:v>
                </c:pt>
                <c:pt idx="2067">
                  <c:v>11.49</c:v>
                </c:pt>
                <c:pt idx="2068">
                  <c:v>11.66</c:v>
                </c:pt>
                <c:pt idx="2069">
                  <c:v>11.49</c:v>
                </c:pt>
                <c:pt idx="2070">
                  <c:v>11.49</c:v>
                </c:pt>
                <c:pt idx="2071">
                  <c:v>11.49</c:v>
                </c:pt>
                <c:pt idx="2072">
                  <c:v>11.56</c:v>
                </c:pt>
                <c:pt idx="2073">
                  <c:v>11.49</c:v>
                </c:pt>
                <c:pt idx="2074">
                  <c:v>11.49</c:v>
                </c:pt>
                <c:pt idx="2075">
                  <c:v>11.49</c:v>
                </c:pt>
                <c:pt idx="2076">
                  <c:v>11.49</c:v>
                </c:pt>
                <c:pt idx="2077">
                  <c:v>11.49</c:v>
                </c:pt>
                <c:pt idx="2078">
                  <c:v>11.49</c:v>
                </c:pt>
                <c:pt idx="2079">
                  <c:v>11.52</c:v>
                </c:pt>
                <c:pt idx="2080">
                  <c:v>11.56</c:v>
                </c:pt>
                <c:pt idx="2081">
                  <c:v>11.52</c:v>
                </c:pt>
                <c:pt idx="2082">
                  <c:v>11.49</c:v>
                </c:pt>
                <c:pt idx="2083">
                  <c:v>11.49</c:v>
                </c:pt>
                <c:pt idx="2084">
                  <c:v>11.49</c:v>
                </c:pt>
                <c:pt idx="2085">
                  <c:v>11.49</c:v>
                </c:pt>
                <c:pt idx="2086">
                  <c:v>11.46</c:v>
                </c:pt>
                <c:pt idx="2087">
                  <c:v>11.46</c:v>
                </c:pt>
                <c:pt idx="2088">
                  <c:v>11.42</c:v>
                </c:pt>
                <c:pt idx="2089">
                  <c:v>11.39</c:v>
                </c:pt>
                <c:pt idx="2090">
                  <c:v>11.39</c:v>
                </c:pt>
                <c:pt idx="2091">
                  <c:v>11.39</c:v>
                </c:pt>
                <c:pt idx="2092">
                  <c:v>11.26</c:v>
                </c:pt>
                <c:pt idx="2093">
                  <c:v>11.26</c:v>
                </c:pt>
                <c:pt idx="2094">
                  <c:v>11.26</c:v>
                </c:pt>
                <c:pt idx="2095">
                  <c:v>11.19</c:v>
                </c:pt>
                <c:pt idx="2096">
                  <c:v>11.19</c:v>
                </c:pt>
                <c:pt idx="2097">
                  <c:v>11.12</c:v>
                </c:pt>
                <c:pt idx="2098">
                  <c:v>11.06</c:v>
                </c:pt>
                <c:pt idx="2099">
                  <c:v>11.06</c:v>
                </c:pt>
                <c:pt idx="2100">
                  <c:v>11.22</c:v>
                </c:pt>
                <c:pt idx="2101">
                  <c:v>11.22</c:v>
                </c:pt>
                <c:pt idx="2102">
                  <c:v>11.22</c:v>
                </c:pt>
                <c:pt idx="2103">
                  <c:v>11.12</c:v>
                </c:pt>
                <c:pt idx="2104">
                  <c:v>11.06</c:v>
                </c:pt>
                <c:pt idx="2105">
                  <c:v>10.99</c:v>
                </c:pt>
                <c:pt idx="2106">
                  <c:v>11.06</c:v>
                </c:pt>
                <c:pt idx="2107">
                  <c:v>11.06</c:v>
                </c:pt>
                <c:pt idx="2108">
                  <c:v>11.06</c:v>
                </c:pt>
                <c:pt idx="2109">
                  <c:v>11.06</c:v>
                </c:pt>
                <c:pt idx="2110">
                  <c:v>11.12</c:v>
                </c:pt>
                <c:pt idx="2111">
                  <c:v>11.09</c:v>
                </c:pt>
                <c:pt idx="2112">
                  <c:v>11.12</c:v>
                </c:pt>
                <c:pt idx="2113">
                  <c:v>11.12</c:v>
                </c:pt>
                <c:pt idx="2114">
                  <c:v>11.02</c:v>
                </c:pt>
                <c:pt idx="2115">
                  <c:v>10.99</c:v>
                </c:pt>
                <c:pt idx="2116">
                  <c:v>10.99</c:v>
                </c:pt>
                <c:pt idx="2117">
                  <c:v>10.99</c:v>
                </c:pt>
                <c:pt idx="2118">
                  <c:v>10.99</c:v>
                </c:pt>
                <c:pt idx="2119">
                  <c:v>11.32</c:v>
                </c:pt>
                <c:pt idx="2120">
                  <c:v>11.39</c:v>
                </c:pt>
                <c:pt idx="2121">
                  <c:v>11.39</c:v>
                </c:pt>
                <c:pt idx="2122">
                  <c:v>11.52</c:v>
                </c:pt>
                <c:pt idx="2123">
                  <c:v>11.49</c:v>
                </c:pt>
                <c:pt idx="2124">
                  <c:v>11.49</c:v>
                </c:pt>
                <c:pt idx="2125">
                  <c:v>11.52</c:v>
                </c:pt>
                <c:pt idx="2126">
                  <c:v>11.56</c:v>
                </c:pt>
                <c:pt idx="2127">
                  <c:v>11.69</c:v>
                </c:pt>
                <c:pt idx="2128">
                  <c:v>11.69</c:v>
                </c:pt>
                <c:pt idx="2129">
                  <c:v>11.86</c:v>
                </c:pt>
                <c:pt idx="2130">
                  <c:v>11.96</c:v>
                </c:pt>
                <c:pt idx="2131">
                  <c:v>11.96</c:v>
                </c:pt>
                <c:pt idx="2132">
                  <c:v>11.99</c:v>
                </c:pt>
                <c:pt idx="2133">
                  <c:v>11.96</c:v>
                </c:pt>
                <c:pt idx="2134">
                  <c:v>11.96</c:v>
                </c:pt>
                <c:pt idx="2135">
                  <c:v>11.86</c:v>
                </c:pt>
                <c:pt idx="2136">
                  <c:v>11.79</c:v>
                </c:pt>
                <c:pt idx="2137">
                  <c:v>11.79</c:v>
                </c:pt>
                <c:pt idx="2138">
                  <c:v>11.73</c:v>
                </c:pt>
                <c:pt idx="2139">
                  <c:v>11.83</c:v>
                </c:pt>
                <c:pt idx="2140">
                  <c:v>11.89</c:v>
                </c:pt>
                <c:pt idx="2141">
                  <c:v>11.96</c:v>
                </c:pt>
                <c:pt idx="2142">
                  <c:v>11.93</c:v>
                </c:pt>
                <c:pt idx="2143">
                  <c:v>11.93</c:v>
                </c:pt>
                <c:pt idx="2144">
                  <c:v>11.96</c:v>
                </c:pt>
                <c:pt idx="2145">
                  <c:v>11.96</c:v>
                </c:pt>
                <c:pt idx="2146">
                  <c:v>11.93</c:v>
                </c:pt>
                <c:pt idx="2147">
                  <c:v>11.93</c:v>
                </c:pt>
                <c:pt idx="2148">
                  <c:v>11.89</c:v>
                </c:pt>
                <c:pt idx="2149">
                  <c:v>11.89</c:v>
                </c:pt>
                <c:pt idx="2150">
                  <c:v>11.89</c:v>
                </c:pt>
                <c:pt idx="2151">
                  <c:v>11.89</c:v>
                </c:pt>
                <c:pt idx="2152">
                  <c:v>11.87</c:v>
                </c:pt>
                <c:pt idx="2153">
                  <c:v>11.87</c:v>
                </c:pt>
                <c:pt idx="2154">
                  <c:v>11.87</c:v>
                </c:pt>
                <c:pt idx="2155">
                  <c:v>11.96</c:v>
                </c:pt>
                <c:pt idx="2156">
                  <c:v>12.06</c:v>
                </c:pt>
                <c:pt idx="2157">
                  <c:v>11.97</c:v>
                </c:pt>
                <c:pt idx="2158">
                  <c:v>12.03</c:v>
                </c:pt>
                <c:pt idx="2159">
                  <c:v>12.09</c:v>
                </c:pt>
                <c:pt idx="2160">
                  <c:v>12.13</c:v>
                </c:pt>
                <c:pt idx="2161">
                  <c:v>12.09</c:v>
                </c:pt>
                <c:pt idx="2162">
                  <c:v>12.09</c:v>
                </c:pt>
                <c:pt idx="2163">
                  <c:v>12.16</c:v>
                </c:pt>
                <c:pt idx="2164">
                  <c:v>12.19</c:v>
                </c:pt>
                <c:pt idx="2165">
                  <c:v>12.21</c:v>
                </c:pt>
                <c:pt idx="2166">
                  <c:v>12.23</c:v>
                </c:pt>
                <c:pt idx="2167">
                  <c:v>12.29</c:v>
                </c:pt>
                <c:pt idx="2168">
                  <c:v>12.29</c:v>
                </c:pt>
                <c:pt idx="2169">
                  <c:v>12.36</c:v>
                </c:pt>
                <c:pt idx="2170">
                  <c:v>12.36</c:v>
                </c:pt>
                <c:pt idx="2171">
                  <c:v>12.23</c:v>
                </c:pt>
                <c:pt idx="2172">
                  <c:v>12.23</c:v>
                </c:pt>
                <c:pt idx="2173">
                  <c:v>12.23</c:v>
                </c:pt>
                <c:pt idx="2174">
                  <c:v>12.23</c:v>
                </c:pt>
                <c:pt idx="2175">
                  <c:v>12.26</c:v>
                </c:pt>
                <c:pt idx="2176">
                  <c:v>12.26</c:v>
                </c:pt>
                <c:pt idx="2177">
                  <c:v>12.26</c:v>
                </c:pt>
                <c:pt idx="2178">
                  <c:v>12.26</c:v>
                </c:pt>
                <c:pt idx="2179">
                  <c:v>12.26</c:v>
                </c:pt>
                <c:pt idx="2180">
                  <c:v>12.23</c:v>
                </c:pt>
                <c:pt idx="2181">
                  <c:v>12.23</c:v>
                </c:pt>
                <c:pt idx="2182">
                  <c:v>12.23</c:v>
                </c:pt>
                <c:pt idx="2183">
                  <c:v>12.23</c:v>
                </c:pt>
                <c:pt idx="2184">
                  <c:v>12.23</c:v>
                </c:pt>
                <c:pt idx="2185">
                  <c:v>12.13</c:v>
                </c:pt>
                <c:pt idx="2186">
                  <c:v>11.99</c:v>
                </c:pt>
                <c:pt idx="2187">
                  <c:v>11.99</c:v>
                </c:pt>
                <c:pt idx="2188">
                  <c:v>11.99</c:v>
                </c:pt>
                <c:pt idx="2189">
                  <c:v>11.99</c:v>
                </c:pt>
                <c:pt idx="2190">
                  <c:v>11.99</c:v>
                </c:pt>
                <c:pt idx="2191">
                  <c:v>12.09</c:v>
                </c:pt>
                <c:pt idx="2192">
                  <c:v>12.13</c:v>
                </c:pt>
                <c:pt idx="2193">
                  <c:v>12.19</c:v>
                </c:pt>
                <c:pt idx="2194">
                  <c:v>12.26</c:v>
                </c:pt>
                <c:pt idx="2195">
                  <c:v>12.29</c:v>
                </c:pt>
                <c:pt idx="2196">
                  <c:v>12.33</c:v>
                </c:pt>
                <c:pt idx="2197">
                  <c:v>12.33</c:v>
                </c:pt>
                <c:pt idx="2198">
                  <c:v>12.33</c:v>
                </c:pt>
                <c:pt idx="2199">
                  <c:v>12.33</c:v>
                </c:pt>
                <c:pt idx="2200">
                  <c:v>12.33</c:v>
                </c:pt>
                <c:pt idx="2201">
                  <c:v>12.29</c:v>
                </c:pt>
                <c:pt idx="2202">
                  <c:v>12.29</c:v>
                </c:pt>
                <c:pt idx="2203">
                  <c:v>12.66</c:v>
                </c:pt>
                <c:pt idx="2204">
                  <c:v>12.66</c:v>
                </c:pt>
                <c:pt idx="2205">
                  <c:v>12.66</c:v>
                </c:pt>
                <c:pt idx="2206">
                  <c:v>12.66</c:v>
                </c:pt>
                <c:pt idx="2207">
                  <c:v>12.7</c:v>
                </c:pt>
                <c:pt idx="2208">
                  <c:v>12.7</c:v>
                </c:pt>
                <c:pt idx="2209">
                  <c:v>12.7</c:v>
                </c:pt>
                <c:pt idx="2210">
                  <c:v>12.7</c:v>
                </c:pt>
                <c:pt idx="2211">
                  <c:v>12.7</c:v>
                </c:pt>
                <c:pt idx="2212">
                  <c:v>12.7</c:v>
                </c:pt>
                <c:pt idx="2213">
                  <c:v>12.76</c:v>
                </c:pt>
                <c:pt idx="2214">
                  <c:v>12.86</c:v>
                </c:pt>
                <c:pt idx="2215">
                  <c:v>12.86</c:v>
                </c:pt>
                <c:pt idx="2216">
                  <c:v>12.86</c:v>
                </c:pt>
                <c:pt idx="2217">
                  <c:v>12.86</c:v>
                </c:pt>
                <c:pt idx="2218">
                  <c:v>12.9</c:v>
                </c:pt>
                <c:pt idx="2219">
                  <c:v>12.9</c:v>
                </c:pt>
                <c:pt idx="2220">
                  <c:v>12.86</c:v>
                </c:pt>
                <c:pt idx="2221">
                  <c:v>12.86</c:v>
                </c:pt>
                <c:pt idx="2222">
                  <c:v>12.86</c:v>
                </c:pt>
                <c:pt idx="2223">
                  <c:v>12.86</c:v>
                </c:pt>
                <c:pt idx="2224">
                  <c:v>12.9</c:v>
                </c:pt>
                <c:pt idx="2225">
                  <c:v>12.9</c:v>
                </c:pt>
                <c:pt idx="2226">
                  <c:v>12.9</c:v>
                </c:pt>
                <c:pt idx="2227">
                  <c:v>12.9</c:v>
                </c:pt>
                <c:pt idx="2228">
                  <c:v>12.9</c:v>
                </c:pt>
                <c:pt idx="2229">
                  <c:v>12.9</c:v>
                </c:pt>
                <c:pt idx="2230">
                  <c:v>12.93</c:v>
                </c:pt>
                <c:pt idx="2231">
                  <c:v>13.17</c:v>
                </c:pt>
                <c:pt idx="2232">
                  <c:v>13.27</c:v>
                </c:pt>
                <c:pt idx="2233">
                  <c:v>13.33</c:v>
                </c:pt>
                <c:pt idx="2234">
                  <c:v>13.27</c:v>
                </c:pt>
                <c:pt idx="2235">
                  <c:v>13.27</c:v>
                </c:pt>
                <c:pt idx="2236">
                  <c:v>13.37</c:v>
                </c:pt>
                <c:pt idx="2237">
                  <c:v>13.57</c:v>
                </c:pt>
                <c:pt idx="2238">
                  <c:v>13.57</c:v>
                </c:pt>
                <c:pt idx="2239">
                  <c:v>13.6</c:v>
                </c:pt>
                <c:pt idx="2240">
                  <c:v>13.77</c:v>
                </c:pt>
                <c:pt idx="2241">
                  <c:v>13.77</c:v>
                </c:pt>
                <c:pt idx="2242">
                  <c:v>13.9</c:v>
                </c:pt>
                <c:pt idx="2243">
                  <c:v>13.97</c:v>
                </c:pt>
                <c:pt idx="2244">
                  <c:v>13.97</c:v>
                </c:pt>
                <c:pt idx="2245">
                  <c:v>13.97</c:v>
                </c:pt>
                <c:pt idx="2246">
                  <c:v>13.97</c:v>
                </c:pt>
                <c:pt idx="2247">
                  <c:v>14</c:v>
                </c:pt>
                <c:pt idx="2248">
                  <c:v>14</c:v>
                </c:pt>
                <c:pt idx="2249">
                  <c:v>14</c:v>
                </c:pt>
                <c:pt idx="2250">
                  <c:v>14</c:v>
                </c:pt>
                <c:pt idx="2251">
                  <c:v>14</c:v>
                </c:pt>
                <c:pt idx="2252">
                  <c:v>14</c:v>
                </c:pt>
                <c:pt idx="2253">
                  <c:v>14</c:v>
                </c:pt>
                <c:pt idx="2254">
                  <c:v>14</c:v>
                </c:pt>
                <c:pt idx="2255">
                  <c:v>14</c:v>
                </c:pt>
                <c:pt idx="2256">
                  <c:v>14</c:v>
                </c:pt>
                <c:pt idx="2257">
                  <c:v>14</c:v>
                </c:pt>
                <c:pt idx="2258">
                  <c:v>14</c:v>
                </c:pt>
                <c:pt idx="2259">
                  <c:v>14</c:v>
                </c:pt>
                <c:pt idx="2260">
                  <c:v>14.17</c:v>
                </c:pt>
                <c:pt idx="2261">
                  <c:v>14.17</c:v>
                </c:pt>
                <c:pt idx="2262">
                  <c:v>14.17</c:v>
                </c:pt>
                <c:pt idx="2263">
                  <c:v>14.17</c:v>
                </c:pt>
                <c:pt idx="2264">
                  <c:v>14.3</c:v>
                </c:pt>
                <c:pt idx="2265">
                  <c:v>14.3</c:v>
                </c:pt>
                <c:pt idx="2266">
                  <c:v>14.3</c:v>
                </c:pt>
                <c:pt idx="2267">
                  <c:v>14.3</c:v>
                </c:pt>
                <c:pt idx="2268">
                  <c:v>14.3</c:v>
                </c:pt>
                <c:pt idx="2269">
                  <c:v>14.3</c:v>
                </c:pt>
                <c:pt idx="2270">
                  <c:v>14.3</c:v>
                </c:pt>
                <c:pt idx="2271">
                  <c:v>14.3</c:v>
                </c:pt>
                <c:pt idx="2272">
                  <c:v>14.3</c:v>
                </c:pt>
                <c:pt idx="2273">
                  <c:v>14.3</c:v>
                </c:pt>
                <c:pt idx="2274">
                  <c:v>14.2</c:v>
                </c:pt>
                <c:pt idx="2275">
                  <c:v>14.2</c:v>
                </c:pt>
                <c:pt idx="2276">
                  <c:v>14.27</c:v>
                </c:pt>
                <c:pt idx="2277">
                  <c:v>14.27</c:v>
                </c:pt>
                <c:pt idx="2278">
                  <c:v>14.3</c:v>
                </c:pt>
                <c:pt idx="2279">
                  <c:v>14.3</c:v>
                </c:pt>
                <c:pt idx="2280">
                  <c:v>14.3</c:v>
                </c:pt>
                <c:pt idx="2281">
                  <c:v>14.37</c:v>
                </c:pt>
                <c:pt idx="2282">
                  <c:v>14.34</c:v>
                </c:pt>
                <c:pt idx="2283">
                  <c:v>14.44</c:v>
                </c:pt>
                <c:pt idx="2284">
                  <c:v>14.41</c:v>
                </c:pt>
                <c:pt idx="2285">
                  <c:v>14.41</c:v>
                </c:pt>
                <c:pt idx="2286">
                  <c:v>14.41</c:v>
                </c:pt>
                <c:pt idx="2287">
                  <c:v>14.41</c:v>
                </c:pt>
                <c:pt idx="2288">
                  <c:v>14.41</c:v>
                </c:pt>
                <c:pt idx="2289">
                  <c:v>14.35</c:v>
                </c:pt>
                <c:pt idx="2290">
                  <c:v>14.27</c:v>
                </c:pt>
                <c:pt idx="2291">
                  <c:v>14.27</c:v>
                </c:pt>
                <c:pt idx="2292">
                  <c:v>14.17</c:v>
                </c:pt>
                <c:pt idx="2293">
                  <c:v>14.14</c:v>
                </c:pt>
                <c:pt idx="2294">
                  <c:v>14.14</c:v>
                </c:pt>
                <c:pt idx="2295">
                  <c:v>14</c:v>
                </c:pt>
                <c:pt idx="2296">
                  <c:v>14</c:v>
                </c:pt>
                <c:pt idx="2297">
                  <c:v>14</c:v>
                </c:pt>
                <c:pt idx="2298">
                  <c:v>14</c:v>
                </c:pt>
                <c:pt idx="2299">
                  <c:v>14</c:v>
                </c:pt>
                <c:pt idx="2300">
                  <c:v>14</c:v>
                </c:pt>
                <c:pt idx="2301">
                  <c:v>14</c:v>
                </c:pt>
                <c:pt idx="2302">
                  <c:v>14.04</c:v>
                </c:pt>
                <c:pt idx="2303">
                  <c:v>14.04</c:v>
                </c:pt>
                <c:pt idx="2304">
                  <c:v>14.04</c:v>
                </c:pt>
                <c:pt idx="2305">
                  <c:v>14.04</c:v>
                </c:pt>
                <c:pt idx="2306">
                  <c:v>14</c:v>
                </c:pt>
                <c:pt idx="2307">
                  <c:v>14</c:v>
                </c:pt>
                <c:pt idx="2308">
                  <c:v>14.04</c:v>
                </c:pt>
                <c:pt idx="2309">
                  <c:v>14.04</c:v>
                </c:pt>
                <c:pt idx="2310">
                  <c:v>14.04</c:v>
                </c:pt>
                <c:pt idx="2311">
                  <c:v>14.04</c:v>
                </c:pt>
                <c:pt idx="2312">
                  <c:v>14.07</c:v>
                </c:pt>
                <c:pt idx="2313">
                  <c:v>14.07</c:v>
                </c:pt>
                <c:pt idx="2314">
                  <c:v>14.07</c:v>
                </c:pt>
                <c:pt idx="2315">
                  <c:v>14.07</c:v>
                </c:pt>
                <c:pt idx="2316">
                  <c:v>14.07</c:v>
                </c:pt>
                <c:pt idx="2317">
                  <c:v>14.04</c:v>
                </c:pt>
                <c:pt idx="2318">
                  <c:v>14.14</c:v>
                </c:pt>
                <c:pt idx="2319">
                  <c:v>14.14</c:v>
                </c:pt>
                <c:pt idx="2320">
                  <c:v>14.04</c:v>
                </c:pt>
                <c:pt idx="2321">
                  <c:v>14.1</c:v>
                </c:pt>
                <c:pt idx="2322">
                  <c:v>14.14</c:v>
                </c:pt>
                <c:pt idx="2323">
                  <c:v>14.14</c:v>
                </c:pt>
                <c:pt idx="2324">
                  <c:v>14.2</c:v>
                </c:pt>
                <c:pt idx="2325">
                  <c:v>14.2</c:v>
                </c:pt>
                <c:pt idx="2326">
                  <c:v>14.2</c:v>
                </c:pt>
                <c:pt idx="2327">
                  <c:v>14.24</c:v>
                </c:pt>
                <c:pt idx="2328">
                  <c:v>14.2</c:v>
                </c:pt>
                <c:pt idx="2329">
                  <c:v>14.2</c:v>
                </c:pt>
                <c:pt idx="2330">
                  <c:v>14.24</c:v>
                </c:pt>
                <c:pt idx="2331">
                  <c:v>14.27</c:v>
                </c:pt>
                <c:pt idx="2332">
                  <c:v>14.24</c:v>
                </c:pt>
                <c:pt idx="2333">
                  <c:v>14.24</c:v>
                </c:pt>
                <c:pt idx="2334">
                  <c:v>14.24</c:v>
                </c:pt>
                <c:pt idx="2335">
                  <c:v>14.27</c:v>
                </c:pt>
                <c:pt idx="2336">
                  <c:v>14.27</c:v>
                </c:pt>
                <c:pt idx="2337">
                  <c:v>14.41</c:v>
                </c:pt>
                <c:pt idx="2338">
                  <c:v>14.41</c:v>
                </c:pt>
                <c:pt idx="2339">
                  <c:v>14.41</c:v>
                </c:pt>
                <c:pt idx="2340">
                  <c:v>14.41</c:v>
                </c:pt>
                <c:pt idx="2341">
                  <c:v>14.37</c:v>
                </c:pt>
                <c:pt idx="2342">
                  <c:v>14.37</c:v>
                </c:pt>
                <c:pt idx="2343">
                  <c:v>14.37</c:v>
                </c:pt>
                <c:pt idx="2344">
                  <c:v>14.37</c:v>
                </c:pt>
                <c:pt idx="2345">
                  <c:v>14.34</c:v>
                </c:pt>
                <c:pt idx="2346">
                  <c:v>14.3</c:v>
                </c:pt>
                <c:pt idx="2347">
                  <c:v>14.3</c:v>
                </c:pt>
                <c:pt idx="2348">
                  <c:v>14.3</c:v>
                </c:pt>
                <c:pt idx="2349">
                  <c:v>14.24</c:v>
                </c:pt>
                <c:pt idx="2350">
                  <c:v>14.2</c:v>
                </c:pt>
                <c:pt idx="2351">
                  <c:v>14.27</c:v>
                </c:pt>
                <c:pt idx="2352">
                  <c:v>14.2</c:v>
                </c:pt>
                <c:pt idx="2353">
                  <c:v>14.2</c:v>
                </c:pt>
                <c:pt idx="2354">
                  <c:v>14.2</c:v>
                </c:pt>
                <c:pt idx="2355">
                  <c:v>14.14</c:v>
                </c:pt>
                <c:pt idx="2356">
                  <c:v>14.14</c:v>
                </c:pt>
                <c:pt idx="2357">
                  <c:v>14.18</c:v>
                </c:pt>
                <c:pt idx="2358">
                  <c:v>14.04</c:v>
                </c:pt>
                <c:pt idx="2359">
                  <c:v>14.04</c:v>
                </c:pt>
                <c:pt idx="2360">
                  <c:v>14.04</c:v>
                </c:pt>
                <c:pt idx="2361">
                  <c:v>14.07</c:v>
                </c:pt>
                <c:pt idx="2362">
                  <c:v>14</c:v>
                </c:pt>
                <c:pt idx="2363">
                  <c:v>14</c:v>
                </c:pt>
                <c:pt idx="2364">
                  <c:v>13.94</c:v>
                </c:pt>
                <c:pt idx="2365">
                  <c:v>13.94</c:v>
                </c:pt>
                <c:pt idx="2366">
                  <c:v>13.84</c:v>
                </c:pt>
                <c:pt idx="2367">
                  <c:v>13.8</c:v>
                </c:pt>
                <c:pt idx="2368">
                  <c:v>13.77</c:v>
                </c:pt>
                <c:pt idx="2369">
                  <c:v>13.77</c:v>
                </c:pt>
                <c:pt idx="2370">
                  <c:v>13.74</c:v>
                </c:pt>
                <c:pt idx="2371">
                  <c:v>13.74</c:v>
                </c:pt>
                <c:pt idx="2372">
                  <c:v>13.7</c:v>
                </c:pt>
                <c:pt idx="2373">
                  <c:v>13.7</c:v>
                </c:pt>
                <c:pt idx="2374">
                  <c:v>13.7</c:v>
                </c:pt>
                <c:pt idx="2375">
                  <c:v>13.7</c:v>
                </c:pt>
                <c:pt idx="2376">
                  <c:v>13.74</c:v>
                </c:pt>
                <c:pt idx="2377">
                  <c:v>13.87</c:v>
                </c:pt>
                <c:pt idx="2378">
                  <c:v>13.9</c:v>
                </c:pt>
                <c:pt idx="2379">
                  <c:v>13.9</c:v>
                </c:pt>
                <c:pt idx="2380">
                  <c:v>14.04</c:v>
                </c:pt>
                <c:pt idx="2381">
                  <c:v>14.34</c:v>
                </c:pt>
                <c:pt idx="2382">
                  <c:v>14.24</c:v>
                </c:pt>
                <c:pt idx="2383">
                  <c:v>14.24</c:v>
                </c:pt>
                <c:pt idx="2384">
                  <c:v>14.41</c:v>
                </c:pt>
                <c:pt idx="2385">
                  <c:v>14.37</c:v>
                </c:pt>
                <c:pt idx="2386">
                  <c:v>14.44</c:v>
                </c:pt>
                <c:pt idx="2387">
                  <c:v>14.44</c:v>
                </c:pt>
                <c:pt idx="2388">
                  <c:v>14.44</c:v>
                </c:pt>
                <c:pt idx="2389">
                  <c:v>14.51</c:v>
                </c:pt>
                <c:pt idx="2390">
                  <c:v>14.47</c:v>
                </c:pt>
                <c:pt idx="2391">
                  <c:v>14.47</c:v>
                </c:pt>
                <c:pt idx="2392">
                  <c:v>14.61</c:v>
                </c:pt>
                <c:pt idx="2393">
                  <c:v>14.61</c:v>
                </c:pt>
                <c:pt idx="2394">
                  <c:v>14.81</c:v>
                </c:pt>
                <c:pt idx="2395">
                  <c:v>15.01</c:v>
                </c:pt>
                <c:pt idx="2396">
                  <c:v>15.01</c:v>
                </c:pt>
                <c:pt idx="2397">
                  <c:v>15.08</c:v>
                </c:pt>
                <c:pt idx="2398">
                  <c:v>15.11</c:v>
                </c:pt>
                <c:pt idx="2399">
                  <c:v>15.22</c:v>
                </c:pt>
                <c:pt idx="2400">
                  <c:v>15.37</c:v>
                </c:pt>
                <c:pt idx="2401">
                  <c:v>15.28</c:v>
                </c:pt>
                <c:pt idx="2402">
                  <c:v>15.28</c:v>
                </c:pt>
                <c:pt idx="2403">
                  <c:v>15.18</c:v>
                </c:pt>
                <c:pt idx="2404">
                  <c:v>15.18</c:v>
                </c:pt>
                <c:pt idx="2405">
                  <c:v>15.21</c:v>
                </c:pt>
                <c:pt idx="2406">
                  <c:v>15.21</c:v>
                </c:pt>
                <c:pt idx="2407">
                  <c:v>15.21</c:v>
                </c:pt>
                <c:pt idx="2408">
                  <c:v>15.21</c:v>
                </c:pt>
                <c:pt idx="2409">
                  <c:v>15.21</c:v>
                </c:pt>
                <c:pt idx="2410">
                  <c:v>15.24</c:v>
                </c:pt>
                <c:pt idx="2411">
                  <c:v>15.41</c:v>
                </c:pt>
                <c:pt idx="2412">
                  <c:v>15.44</c:v>
                </c:pt>
                <c:pt idx="2413">
                  <c:v>15.51</c:v>
                </c:pt>
                <c:pt idx="2414">
                  <c:v>15.98</c:v>
                </c:pt>
                <c:pt idx="2415">
                  <c:v>16.079999999999998</c:v>
                </c:pt>
                <c:pt idx="2416">
                  <c:v>16.149999999999999</c:v>
                </c:pt>
                <c:pt idx="2417">
                  <c:v>16.21</c:v>
                </c:pt>
                <c:pt idx="2418">
                  <c:v>16.21</c:v>
                </c:pt>
                <c:pt idx="2419">
                  <c:v>16.350000000000001</c:v>
                </c:pt>
                <c:pt idx="2420">
                  <c:v>16.48</c:v>
                </c:pt>
                <c:pt idx="2421">
                  <c:v>16.52</c:v>
                </c:pt>
                <c:pt idx="2422">
                  <c:v>16.52</c:v>
                </c:pt>
                <c:pt idx="2423">
                  <c:v>16.52</c:v>
                </c:pt>
                <c:pt idx="2424">
                  <c:v>16.62</c:v>
                </c:pt>
                <c:pt idx="2425">
                  <c:v>16.62</c:v>
                </c:pt>
                <c:pt idx="2426">
                  <c:v>16.75</c:v>
                </c:pt>
                <c:pt idx="2427">
                  <c:v>16.75</c:v>
                </c:pt>
                <c:pt idx="2428">
                  <c:v>16.75</c:v>
                </c:pt>
                <c:pt idx="2429">
                  <c:v>16.75</c:v>
                </c:pt>
                <c:pt idx="2430">
                  <c:v>16.78</c:v>
                </c:pt>
                <c:pt idx="2431">
                  <c:v>16.82</c:v>
                </c:pt>
                <c:pt idx="2432">
                  <c:v>16.82</c:v>
                </c:pt>
                <c:pt idx="2433">
                  <c:v>16.829999999999998</c:v>
                </c:pt>
                <c:pt idx="2434">
                  <c:v>16.829999999999998</c:v>
                </c:pt>
                <c:pt idx="2435">
                  <c:v>16.829999999999998</c:v>
                </c:pt>
                <c:pt idx="2436">
                  <c:v>16.82</c:v>
                </c:pt>
                <c:pt idx="2437">
                  <c:v>16.82</c:v>
                </c:pt>
                <c:pt idx="2438">
                  <c:v>16.82</c:v>
                </c:pt>
                <c:pt idx="2439">
                  <c:v>16.82</c:v>
                </c:pt>
                <c:pt idx="2440">
                  <c:v>16.78</c:v>
                </c:pt>
                <c:pt idx="2441">
                  <c:v>16.78</c:v>
                </c:pt>
                <c:pt idx="2442">
                  <c:v>16.78</c:v>
                </c:pt>
                <c:pt idx="2443">
                  <c:v>16.78</c:v>
                </c:pt>
                <c:pt idx="2444">
                  <c:v>16.78</c:v>
                </c:pt>
                <c:pt idx="2445">
                  <c:v>16.78</c:v>
                </c:pt>
                <c:pt idx="2446">
                  <c:v>16.78</c:v>
                </c:pt>
                <c:pt idx="2447">
                  <c:v>16.78</c:v>
                </c:pt>
                <c:pt idx="2448">
                  <c:v>16.78</c:v>
                </c:pt>
                <c:pt idx="2449">
                  <c:v>16.78</c:v>
                </c:pt>
                <c:pt idx="2450">
                  <c:v>16.78</c:v>
                </c:pt>
                <c:pt idx="2451">
                  <c:v>16.78</c:v>
                </c:pt>
                <c:pt idx="2452">
                  <c:v>16.78</c:v>
                </c:pt>
                <c:pt idx="2453">
                  <c:v>16.88</c:v>
                </c:pt>
                <c:pt idx="2454">
                  <c:v>16.88</c:v>
                </c:pt>
                <c:pt idx="2455">
                  <c:v>16.88</c:v>
                </c:pt>
                <c:pt idx="2456">
                  <c:v>16.88</c:v>
                </c:pt>
                <c:pt idx="2457">
                  <c:v>16.78</c:v>
                </c:pt>
                <c:pt idx="2458">
                  <c:v>16.78</c:v>
                </c:pt>
                <c:pt idx="2459">
                  <c:v>16.850000000000001</c:v>
                </c:pt>
                <c:pt idx="2460">
                  <c:v>16.82</c:v>
                </c:pt>
                <c:pt idx="2461">
                  <c:v>16.82</c:v>
                </c:pt>
                <c:pt idx="2462">
                  <c:v>16.82</c:v>
                </c:pt>
                <c:pt idx="2463">
                  <c:v>16.82</c:v>
                </c:pt>
                <c:pt idx="2464">
                  <c:v>16.850000000000001</c:v>
                </c:pt>
                <c:pt idx="2465">
                  <c:v>16.82</c:v>
                </c:pt>
                <c:pt idx="2466">
                  <c:v>16.82</c:v>
                </c:pt>
                <c:pt idx="2467">
                  <c:v>16.82</c:v>
                </c:pt>
                <c:pt idx="2468">
                  <c:v>16.82</c:v>
                </c:pt>
                <c:pt idx="2469">
                  <c:v>16.79</c:v>
                </c:pt>
                <c:pt idx="2470">
                  <c:v>16.79</c:v>
                </c:pt>
                <c:pt idx="2471">
                  <c:v>16.78</c:v>
                </c:pt>
                <c:pt idx="2472">
                  <c:v>16.78</c:v>
                </c:pt>
                <c:pt idx="2473">
                  <c:v>16.78</c:v>
                </c:pt>
                <c:pt idx="2474">
                  <c:v>16.78</c:v>
                </c:pt>
                <c:pt idx="2475">
                  <c:v>16.78</c:v>
                </c:pt>
                <c:pt idx="2476">
                  <c:v>16.82</c:v>
                </c:pt>
                <c:pt idx="2477">
                  <c:v>16.82</c:v>
                </c:pt>
                <c:pt idx="2478">
                  <c:v>16.82</c:v>
                </c:pt>
                <c:pt idx="2479">
                  <c:v>16.82</c:v>
                </c:pt>
                <c:pt idx="2480">
                  <c:v>16.82</c:v>
                </c:pt>
                <c:pt idx="2481">
                  <c:v>16.75</c:v>
                </c:pt>
                <c:pt idx="2482">
                  <c:v>16.649999999999999</c:v>
                </c:pt>
                <c:pt idx="2483">
                  <c:v>16.649999999999999</c:v>
                </c:pt>
                <c:pt idx="2484">
                  <c:v>16.579999999999998</c:v>
                </c:pt>
                <c:pt idx="2485">
                  <c:v>16.62</c:v>
                </c:pt>
                <c:pt idx="2486">
                  <c:v>16.649999999999999</c:v>
                </c:pt>
                <c:pt idx="2487">
                  <c:v>16.649999999999999</c:v>
                </c:pt>
                <c:pt idx="2488">
                  <c:v>16.649999999999999</c:v>
                </c:pt>
                <c:pt idx="2489">
                  <c:v>16.72</c:v>
                </c:pt>
                <c:pt idx="2490">
                  <c:v>16.72</c:v>
                </c:pt>
                <c:pt idx="2491">
                  <c:v>16.75</c:v>
                </c:pt>
                <c:pt idx="2492">
                  <c:v>16.75</c:v>
                </c:pt>
                <c:pt idx="2493">
                  <c:v>16.75</c:v>
                </c:pt>
                <c:pt idx="2494">
                  <c:v>16.75</c:v>
                </c:pt>
                <c:pt idx="2495">
                  <c:v>16.75</c:v>
                </c:pt>
                <c:pt idx="2496">
                  <c:v>16.78</c:v>
                </c:pt>
                <c:pt idx="2497">
                  <c:v>16.82</c:v>
                </c:pt>
                <c:pt idx="2498">
                  <c:v>16.82</c:v>
                </c:pt>
                <c:pt idx="2499">
                  <c:v>17.05</c:v>
                </c:pt>
                <c:pt idx="2500">
                  <c:v>17.25</c:v>
                </c:pt>
                <c:pt idx="2501">
                  <c:v>16.62</c:v>
                </c:pt>
                <c:pt idx="2502">
                  <c:v>16.62</c:v>
                </c:pt>
                <c:pt idx="2503">
                  <c:v>16.62</c:v>
                </c:pt>
                <c:pt idx="2504">
                  <c:v>16.62</c:v>
                </c:pt>
                <c:pt idx="2505">
                  <c:v>16.75</c:v>
                </c:pt>
                <c:pt idx="2506">
                  <c:v>16.75</c:v>
                </c:pt>
                <c:pt idx="2507">
                  <c:v>16.75</c:v>
                </c:pt>
                <c:pt idx="2508">
                  <c:v>16.75</c:v>
                </c:pt>
                <c:pt idx="2509">
                  <c:v>16.68</c:v>
                </c:pt>
                <c:pt idx="2510">
                  <c:v>16.72</c:v>
                </c:pt>
                <c:pt idx="2511">
                  <c:v>16.72</c:v>
                </c:pt>
                <c:pt idx="2512">
                  <c:v>16.72</c:v>
                </c:pt>
                <c:pt idx="2513">
                  <c:v>16.72</c:v>
                </c:pt>
                <c:pt idx="2514">
                  <c:v>16.75</c:v>
                </c:pt>
                <c:pt idx="2515">
                  <c:v>16.78</c:v>
                </c:pt>
                <c:pt idx="2516">
                  <c:v>16.75</c:v>
                </c:pt>
                <c:pt idx="2517">
                  <c:v>16.75</c:v>
                </c:pt>
                <c:pt idx="2518">
                  <c:v>16.75</c:v>
                </c:pt>
                <c:pt idx="2519">
                  <c:v>16.75</c:v>
                </c:pt>
                <c:pt idx="2520">
                  <c:v>16.75</c:v>
                </c:pt>
                <c:pt idx="2521">
                  <c:v>16.75</c:v>
                </c:pt>
                <c:pt idx="2522">
                  <c:v>16.68</c:v>
                </c:pt>
                <c:pt idx="2523">
                  <c:v>16.72</c:v>
                </c:pt>
                <c:pt idx="2524">
                  <c:v>16.72</c:v>
                </c:pt>
                <c:pt idx="2525">
                  <c:v>16.75</c:v>
                </c:pt>
                <c:pt idx="2526">
                  <c:v>16.75</c:v>
                </c:pt>
                <c:pt idx="2527">
                  <c:v>16.850000000000001</c:v>
                </c:pt>
                <c:pt idx="2528">
                  <c:v>16.75</c:v>
                </c:pt>
                <c:pt idx="2529">
                  <c:v>16.75</c:v>
                </c:pt>
                <c:pt idx="2530">
                  <c:v>16.850000000000001</c:v>
                </c:pt>
                <c:pt idx="2531">
                  <c:v>16.850000000000001</c:v>
                </c:pt>
                <c:pt idx="2532">
                  <c:v>16.88</c:v>
                </c:pt>
                <c:pt idx="2533">
                  <c:v>16.88</c:v>
                </c:pt>
                <c:pt idx="2534">
                  <c:v>16.850000000000001</c:v>
                </c:pt>
                <c:pt idx="2535">
                  <c:v>16.82</c:v>
                </c:pt>
                <c:pt idx="2536">
                  <c:v>16.829999999999998</c:v>
                </c:pt>
                <c:pt idx="2537">
                  <c:v>16.829999999999998</c:v>
                </c:pt>
                <c:pt idx="2538">
                  <c:v>16.850000000000001</c:v>
                </c:pt>
                <c:pt idx="2539">
                  <c:v>16.850000000000001</c:v>
                </c:pt>
                <c:pt idx="2540">
                  <c:v>16.850000000000001</c:v>
                </c:pt>
                <c:pt idx="2541">
                  <c:v>16.850000000000001</c:v>
                </c:pt>
                <c:pt idx="2542">
                  <c:v>16.850000000000001</c:v>
                </c:pt>
                <c:pt idx="2543">
                  <c:v>16.82</c:v>
                </c:pt>
                <c:pt idx="2544">
                  <c:v>16.920000000000002</c:v>
                </c:pt>
                <c:pt idx="2545">
                  <c:v>16.920000000000002</c:v>
                </c:pt>
                <c:pt idx="2546">
                  <c:v>16.850000000000001</c:v>
                </c:pt>
                <c:pt idx="2547">
                  <c:v>16.920000000000002</c:v>
                </c:pt>
                <c:pt idx="2548">
                  <c:v>16.98</c:v>
                </c:pt>
                <c:pt idx="2549">
                  <c:v>17.02</c:v>
                </c:pt>
                <c:pt idx="2550">
                  <c:v>17.12</c:v>
                </c:pt>
                <c:pt idx="2551">
                  <c:v>17.12</c:v>
                </c:pt>
                <c:pt idx="2552">
                  <c:v>17.12</c:v>
                </c:pt>
                <c:pt idx="2553">
                  <c:v>17.12</c:v>
                </c:pt>
                <c:pt idx="2554">
                  <c:v>17.12</c:v>
                </c:pt>
                <c:pt idx="2555">
                  <c:v>17.12</c:v>
                </c:pt>
                <c:pt idx="2556">
                  <c:v>17.12</c:v>
                </c:pt>
                <c:pt idx="2557">
                  <c:v>17.149999999999999</c:v>
                </c:pt>
                <c:pt idx="2558">
                  <c:v>17.149999999999999</c:v>
                </c:pt>
                <c:pt idx="2559">
                  <c:v>17.190000000000001</c:v>
                </c:pt>
                <c:pt idx="2560">
                  <c:v>17.190000000000001</c:v>
                </c:pt>
                <c:pt idx="2561">
                  <c:v>17.190000000000001</c:v>
                </c:pt>
                <c:pt idx="2562">
                  <c:v>17.149999999999999</c:v>
                </c:pt>
                <c:pt idx="2563">
                  <c:v>17.149999999999999</c:v>
                </c:pt>
                <c:pt idx="2564">
                  <c:v>17.09</c:v>
                </c:pt>
                <c:pt idx="2565">
                  <c:v>16.98</c:v>
                </c:pt>
                <c:pt idx="2566">
                  <c:v>16.98</c:v>
                </c:pt>
                <c:pt idx="2567">
                  <c:v>16.98</c:v>
                </c:pt>
                <c:pt idx="2568">
                  <c:v>17.09</c:v>
                </c:pt>
                <c:pt idx="2569">
                  <c:v>17.09</c:v>
                </c:pt>
                <c:pt idx="2570">
                  <c:v>17.09</c:v>
                </c:pt>
                <c:pt idx="2571">
                  <c:v>17.02</c:v>
                </c:pt>
                <c:pt idx="2572">
                  <c:v>17.02</c:v>
                </c:pt>
                <c:pt idx="2573">
                  <c:v>17.02</c:v>
                </c:pt>
                <c:pt idx="2574">
                  <c:v>17.05</c:v>
                </c:pt>
                <c:pt idx="2575">
                  <c:v>17.05</c:v>
                </c:pt>
                <c:pt idx="2576">
                  <c:v>16.75</c:v>
                </c:pt>
                <c:pt idx="2577">
                  <c:v>16.75</c:v>
                </c:pt>
                <c:pt idx="2578">
                  <c:v>16.75</c:v>
                </c:pt>
                <c:pt idx="2579">
                  <c:v>16.75</c:v>
                </c:pt>
                <c:pt idx="2580">
                  <c:v>16.75</c:v>
                </c:pt>
                <c:pt idx="2581">
                  <c:v>16.75</c:v>
                </c:pt>
                <c:pt idx="2582">
                  <c:v>16.68</c:v>
                </c:pt>
                <c:pt idx="2583">
                  <c:v>16.68</c:v>
                </c:pt>
                <c:pt idx="2584">
                  <c:v>16.68</c:v>
                </c:pt>
                <c:pt idx="2585">
                  <c:v>16.55</c:v>
                </c:pt>
                <c:pt idx="2586">
                  <c:v>16.52</c:v>
                </c:pt>
                <c:pt idx="2587">
                  <c:v>16.52</c:v>
                </c:pt>
                <c:pt idx="2588">
                  <c:v>16.52</c:v>
                </c:pt>
                <c:pt idx="2589">
                  <c:v>16.52</c:v>
                </c:pt>
                <c:pt idx="2590">
                  <c:v>16.52</c:v>
                </c:pt>
                <c:pt idx="2591">
                  <c:v>16.52</c:v>
                </c:pt>
                <c:pt idx="2592">
                  <c:v>16.52</c:v>
                </c:pt>
                <c:pt idx="2593">
                  <c:v>15.41</c:v>
                </c:pt>
                <c:pt idx="2594">
                  <c:v>15.48</c:v>
                </c:pt>
                <c:pt idx="2595">
                  <c:v>15.48</c:v>
                </c:pt>
                <c:pt idx="2596">
                  <c:v>15.54</c:v>
                </c:pt>
                <c:pt idx="2597">
                  <c:v>15.81</c:v>
                </c:pt>
                <c:pt idx="2598">
                  <c:v>15.81</c:v>
                </c:pt>
                <c:pt idx="2599">
                  <c:v>15.81</c:v>
                </c:pt>
                <c:pt idx="2600">
                  <c:v>15.24</c:v>
                </c:pt>
                <c:pt idx="2601">
                  <c:v>15.08</c:v>
                </c:pt>
                <c:pt idx="2602">
                  <c:v>15.21</c:v>
                </c:pt>
                <c:pt idx="2603">
                  <c:v>15.48</c:v>
                </c:pt>
                <c:pt idx="2604">
                  <c:v>15.48</c:v>
                </c:pt>
                <c:pt idx="2605">
                  <c:v>15.48</c:v>
                </c:pt>
                <c:pt idx="2606">
                  <c:v>15.48</c:v>
                </c:pt>
                <c:pt idx="2607">
                  <c:v>15.45</c:v>
                </c:pt>
                <c:pt idx="2608">
                  <c:v>15.45</c:v>
                </c:pt>
                <c:pt idx="2609">
                  <c:v>15.45</c:v>
                </c:pt>
                <c:pt idx="2610">
                  <c:v>15.38</c:v>
                </c:pt>
                <c:pt idx="2611">
                  <c:v>15.38</c:v>
                </c:pt>
                <c:pt idx="2612">
                  <c:v>15.38</c:v>
                </c:pt>
                <c:pt idx="2613">
                  <c:v>15.38</c:v>
                </c:pt>
                <c:pt idx="2614">
                  <c:v>15.41</c:v>
                </c:pt>
                <c:pt idx="2615">
                  <c:v>15.38</c:v>
                </c:pt>
                <c:pt idx="2616">
                  <c:v>15.38</c:v>
                </c:pt>
                <c:pt idx="2617">
                  <c:v>15.38</c:v>
                </c:pt>
                <c:pt idx="2618">
                  <c:v>15.38</c:v>
                </c:pt>
                <c:pt idx="2619">
                  <c:v>15.54</c:v>
                </c:pt>
                <c:pt idx="2620">
                  <c:v>15.54</c:v>
                </c:pt>
                <c:pt idx="2621">
                  <c:v>15.54</c:v>
                </c:pt>
                <c:pt idx="2622">
                  <c:v>15.48</c:v>
                </c:pt>
                <c:pt idx="2623">
                  <c:v>15.44</c:v>
                </c:pt>
                <c:pt idx="2624">
                  <c:v>15.44</c:v>
                </c:pt>
                <c:pt idx="2625">
                  <c:v>15.48</c:v>
                </c:pt>
                <c:pt idx="2626">
                  <c:v>15.58</c:v>
                </c:pt>
                <c:pt idx="2627">
                  <c:v>15.68</c:v>
                </c:pt>
                <c:pt idx="2628">
                  <c:v>15.81</c:v>
                </c:pt>
                <c:pt idx="2629">
                  <c:v>15.98</c:v>
                </c:pt>
                <c:pt idx="2630">
                  <c:v>15.98</c:v>
                </c:pt>
                <c:pt idx="2631">
                  <c:v>15.98</c:v>
                </c:pt>
                <c:pt idx="2632">
                  <c:v>15.98</c:v>
                </c:pt>
                <c:pt idx="2633">
                  <c:v>15.98</c:v>
                </c:pt>
                <c:pt idx="2634">
                  <c:v>15.88</c:v>
                </c:pt>
                <c:pt idx="2635">
                  <c:v>15.91</c:v>
                </c:pt>
                <c:pt idx="2636">
                  <c:v>16.079999999999998</c:v>
                </c:pt>
                <c:pt idx="2637">
                  <c:v>16.21</c:v>
                </c:pt>
                <c:pt idx="2638">
                  <c:v>16.21</c:v>
                </c:pt>
                <c:pt idx="2639">
                  <c:v>16.21</c:v>
                </c:pt>
                <c:pt idx="2640">
                  <c:v>16.21</c:v>
                </c:pt>
                <c:pt idx="2641">
                  <c:v>16.21</c:v>
                </c:pt>
                <c:pt idx="2642">
                  <c:v>16.21</c:v>
                </c:pt>
                <c:pt idx="2643">
                  <c:v>16.21</c:v>
                </c:pt>
                <c:pt idx="2644">
                  <c:v>16.21</c:v>
                </c:pt>
                <c:pt idx="2645">
                  <c:v>16.309999999999999</c:v>
                </c:pt>
                <c:pt idx="2646">
                  <c:v>16.48</c:v>
                </c:pt>
                <c:pt idx="2647">
                  <c:v>16.48</c:v>
                </c:pt>
                <c:pt idx="2648">
                  <c:v>16.55</c:v>
                </c:pt>
                <c:pt idx="2649">
                  <c:v>16.55</c:v>
                </c:pt>
                <c:pt idx="2650">
                  <c:v>16.55</c:v>
                </c:pt>
                <c:pt idx="2651">
                  <c:v>16.62</c:v>
                </c:pt>
                <c:pt idx="2652">
                  <c:v>16.62</c:v>
                </c:pt>
                <c:pt idx="2653">
                  <c:v>16.649999999999999</c:v>
                </c:pt>
                <c:pt idx="2654">
                  <c:v>16.75</c:v>
                </c:pt>
                <c:pt idx="2655">
                  <c:v>16.75</c:v>
                </c:pt>
                <c:pt idx="2656">
                  <c:v>16.760000000000002</c:v>
                </c:pt>
                <c:pt idx="2657">
                  <c:v>16.760000000000002</c:v>
                </c:pt>
                <c:pt idx="2658">
                  <c:v>16.760000000000002</c:v>
                </c:pt>
                <c:pt idx="2659">
                  <c:v>16.760000000000002</c:v>
                </c:pt>
                <c:pt idx="2660">
                  <c:v>16.62</c:v>
                </c:pt>
                <c:pt idx="2661">
                  <c:v>16.62</c:v>
                </c:pt>
                <c:pt idx="2662">
                  <c:v>16.62</c:v>
                </c:pt>
                <c:pt idx="2663">
                  <c:v>16.62</c:v>
                </c:pt>
                <c:pt idx="2664">
                  <c:v>16.62</c:v>
                </c:pt>
                <c:pt idx="2665">
                  <c:v>16.649999999999999</c:v>
                </c:pt>
                <c:pt idx="2666">
                  <c:v>16.72</c:v>
                </c:pt>
                <c:pt idx="2667">
                  <c:v>16.72</c:v>
                </c:pt>
                <c:pt idx="2668">
                  <c:v>16.72</c:v>
                </c:pt>
                <c:pt idx="2669">
                  <c:v>16.68</c:v>
                </c:pt>
                <c:pt idx="2670">
                  <c:v>16.68</c:v>
                </c:pt>
                <c:pt idx="2671">
                  <c:v>16.68</c:v>
                </c:pt>
                <c:pt idx="2672">
                  <c:v>16.68</c:v>
                </c:pt>
                <c:pt idx="2673">
                  <c:v>16.649999999999999</c:v>
                </c:pt>
                <c:pt idx="2674">
                  <c:v>16.62</c:v>
                </c:pt>
                <c:pt idx="2675">
                  <c:v>16.62</c:v>
                </c:pt>
                <c:pt idx="2676">
                  <c:v>16.62</c:v>
                </c:pt>
                <c:pt idx="2677">
                  <c:v>16.62</c:v>
                </c:pt>
                <c:pt idx="2678">
                  <c:v>16.62</c:v>
                </c:pt>
                <c:pt idx="2679">
                  <c:v>16.62</c:v>
                </c:pt>
                <c:pt idx="2680">
                  <c:v>16.62</c:v>
                </c:pt>
                <c:pt idx="2681">
                  <c:v>16.559999999999999</c:v>
                </c:pt>
                <c:pt idx="2682">
                  <c:v>16.559999999999999</c:v>
                </c:pt>
                <c:pt idx="2683">
                  <c:v>16.559999999999999</c:v>
                </c:pt>
                <c:pt idx="2684">
                  <c:v>16.559999999999999</c:v>
                </c:pt>
                <c:pt idx="2685">
                  <c:v>16.559999999999999</c:v>
                </c:pt>
                <c:pt idx="2686">
                  <c:v>16.559999999999999</c:v>
                </c:pt>
                <c:pt idx="2687">
                  <c:v>16.62</c:v>
                </c:pt>
                <c:pt idx="2688">
                  <c:v>16.64</c:v>
                </c:pt>
                <c:pt idx="2689">
                  <c:v>16.68</c:v>
                </c:pt>
                <c:pt idx="2690">
                  <c:v>16.68</c:v>
                </c:pt>
                <c:pt idx="2691">
                  <c:v>16.68</c:v>
                </c:pt>
                <c:pt idx="2692">
                  <c:v>16.68</c:v>
                </c:pt>
                <c:pt idx="2693">
                  <c:v>16.68</c:v>
                </c:pt>
                <c:pt idx="2694">
                  <c:v>16.68</c:v>
                </c:pt>
                <c:pt idx="2695">
                  <c:v>16.72</c:v>
                </c:pt>
                <c:pt idx="2696">
                  <c:v>16.72</c:v>
                </c:pt>
                <c:pt idx="2697">
                  <c:v>16.72</c:v>
                </c:pt>
                <c:pt idx="2698">
                  <c:v>16.72</c:v>
                </c:pt>
                <c:pt idx="2699">
                  <c:v>16.72</c:v>
                </c:pt>
                <c:pt idx="2700">
                  <c:v>16.75</c:v>
                </c:pt>
                <c:pt idx="2701">
                  <c:v>16.75</c:v>
                </c:pt>
                <c:pt idx="2702">
                  <c:v>16.73</c:v>
                </c:pt>
                <c:pt idx="2703">
                  <c:v>16.72</c:v>
                </c:pt>
                <c:pt idx="2704">
                  <c:v>16.72</c:v>
                </c:pt>
                <c:pt idx="2705">
                  <c:v>16.68</c:v>
                </c:pt>
                <c:pt idx="2706">
                  <c:v>16.68</c:v>
                </c:pt>
                <c:pt idx="2707">
                  <c:v>16.68</c:v>
                </c:pt>
                <c:pt idx="2708">
                  <c:v>16.68</c:v>
                </c:pt>
                <c:pt idx="2709">
                  <c:v>16.649999999999999</c:v>
                </c:pt>
                <c:pt idx="2710">
                  <c:v>16.649999999999999</c:v>
                </c:pt>
                <c:pt idx="2711">
                  <c:v>16.579999999999998</c:v>
                </c:pt>
                <c:pt idx="2712">
                  <c:v>16.579999999999998</c:v>
                </c:pt>
                <c:pt idx="2713">
                  <c:v>16.55</c:v>
                </c:pt>
                <c:pt idx="2714">
                  <c:v>16.55</c:v>
                </c:pt>
                <c:pt idx="2715">
                  <c:v>16.52</c:v>
                </c:pt>
                <c:pt idx="2716">
                  <c:v>16.52</c:v>
                </c:pt>
                <c:pt idx="2717">
                  <c:v>16.52</c:v>
                </c:pt>
                <c:pt idx="2718">
                  <c:v>16.52</c:v>
                </c:pt>
                <c:pt idx="2719">
                  <c:v>16.52</c:v>
                </c:pt>
                <c:pt idx="2720">
                  <c:v>16.52</c:v>
                </c:pt>
                <c:pt idx="2721">
                  <c:v>16.52</c:v>
                </c:pt>
                <c:pt idx="2722">
                  <c:v>16.52</c:v>
                </c:pt>
                <c:pt idx="2723">
                  <c:v>16.579999999999998</c:v>
                </c:pt>
                <c:pt idx="2724">
                  <c:v>16.579999999999998</c:v>
                </c:pt>
                <c:pt idx="2725">
                  <c:v>16.579999999999998</c:v>
                </c:pt>
                <c:pt idx="2726">
                  <c:v>16.579999999999998</c:v>
                </c:pt>
                <c:pt idx="2727">
                  <c:v>19.16</c:v>
                </c:pt>
                <c:pt idx="2728">
                  <c:v>19.260000000000002</c:v>
                </c:pt>
                <c:pt idx="2729">
                  <c:v>19.260000000000002</c:v>
                </c:pt>
                <c:pt idx="2730">
                  <c:v>19.260000000000002</c:v>
                </c:pt>
                <c:pt idx="2731">
                  <c:v>19.260000000000002</c:v>
                </c:pt>
                <c:pt idx="2732">
                  <c:v>19.36</c:v>
                </c:pt>
                <c:pt idx="2733">
                  <c:v>19.46</c:v>
                </c:pt>
                <c:pt idx="2734">
                  <c:v>19.53</c:v>
                </c:pt>
                <c:pt idx="2735">
                  <c:v>19.600000000000001</c:v>
                </c:pt>
                <c:pt idx="2736">
                  <c:v>19.559999999999999</c:v>
                </c:pt>
                <c:pt idx="2737">
                  <c:v>19.5</c:v>
                </c:pt>
                <c:pt idx="2738">
                  <c:v>19.43</c:v>
                </c:pt>
                <c:pt idx="2739">
                  <c:v>19.43</c:v>
                </c:pt>
                <c:pt idx="2740">
                  <c:v>19.43</c:v>
                </c:pt>
                <c:pt idx="2741">
                  <c:v>19.43</c:v>
                </c:pt>
                <c:pt idx="2742">
                  <c:v>19.399999999999999</c:v>
                </c:pt>
                <c:pt idx="2743">
                  <c:v>19.3</c:v>
                </c:pt>
                <c:pt idx="2744">
                  <c:v>18.760000000000002</c:v>
                </c:pt>
                <c:pt idx="2745">
                  <c:v>18.53</c:v>
                </c:pt>
                <c:pt idx="2746">
                  <c:v>18.43</c:v>
                </c:pt>
                <c:pt idx="2747">
                  <c:v>18.43</c:v>
                </c:pt>
                <c:pt idx="2748">
                  <c:v>18.559999999999999</c:v>
                </c:pt>
                <c:pt idx="2749">
                  <c:v>18.559999999999999</c:v>
                </c:pt>
                <c:pt idx="2750">
                  <c:v>18.39</c:v>
                </c:pt>
                <c:pt idx="2751">
                  <c:v>18.39</c:v>
                </c:pt>
                <c:pt idx="2752">
                  <c:v>17.760000000000002</c:v>
                </c:pt>
                <c:pt idx="2753">
                  <c:v>17.760000000000002</c:v>
                </c:pt>
                <c:pt idx="2754">
                  <c:v>17.760000000000002</c:v>
                </c:pt>
                <c:pt idx="2755">
                  <c:v>17.760000000000002</c:v>
                </c:pt>
                <c:pt idx="2756">
                  <c:v>17.62</c:v>
                </c:pt>
                <c:pt idx="2757">
                  <c:v>17.760000000000002</c:v>
                </c:pt>
                <c:pt idx="2758">
                  <c:v>17.760000000000002</c:v>
                </c:pt>
                <c:pt idx="2759">
                  <c:v>17.760000000000002</c:v>
                </c:pt>
                <c:pt idx="2760">
                  <c:v>17.760000000000002</c:v>
                </c:pt>
                <c:pt idx="2761">
                  <c:v>17.72</c:v>
                </c:pt>
                <c:pt idx="2762">
                  <c:v>17.72</c:v>
                </c:pt>
                <c:pt idx="2763">
                  <c:v>17.72</c:v>
                </c:pt>
                <c:pt idx="2764">
                  <c:v>17.72</c:v>
                </c:pt>
                <c:pt idx="2765">
                  <c:v>17.62</c:v>
                </c:pt>
                <c:pt idx="2766">
                  <c:v>17.52</c:v>
                </c:pt>
                <c:pt idx="2767">
                  <c:v>17.52</c:v>
                </c:pt>
                <c:pt idx="2768">
                  <c:v>17.350000000000001</c:v>
                </c:pt>
                <c:pt idx="2769">
                  <c:v>17.350000000000001</c:v>
                </c:pt>
                <c:pt idx="2770">
                  <c:v>17.09</c:v>
                </c:pt>
                <c:pt idx="2771">
                  <c:v>16.82</c:v>
                </c:pt>
                <c:pt idx="2772">
                  <c:v>16.920000000000002</c:v>
                </c:pt>
                <c:pt idx="2773">
                  <c:v>17.02</c:v>
                </c:pt>
                <c:pt idx="2774">
                  <c:v>17.02</c:v>
                </c:pt>
                <c:pt idx="2775">
                  <c:v>16.75</c:v>
                </c:pt>
                <c:pt idx="2776">
                  <c:v>16.62</c:v>
                </c:pt>
                <c:pt idx="2777">
                  <c:v>16.420000000000002</c:v>
                </c:pt>
                <c:pt idx="2778">
                  <c:v>16.28</c:v>
                </c:pt>
                <c:pt idx="2779">
                  <c:v>15.61</c:v>
                </c:pt>
                <c:pt idx="2780">
                  <c:v>15.08</c:v>
                </c:pt>
                <c:pt idx="2781">
                  <c:v>14.87</c:v>
                </c:pt>
                <c:pt idx="2782">
                  <c:v>14.81</c:v>
                </c:pt>
                <c:pt idx="2783">
                  <c:v>14.81</c:v>
                </c:pt>
                <c:pt idx="2784">
                  <c:v>15.14</c:v>
                </c:pt>
                <c:pt idx="2785">
                  <c:v>15.91</c:v>
                </c:pt>
                <c:pt idx="2786">
                  <c:v>16.149999999999999</c:v>
                </c:pt>
                <c:pt idx="2787">
                  <c:v>16.21</c:v>
                </c:pt>
                <c:pt idx="2788">
                  <c:v>16.21</c:v>
                </c:pt>
                <c:pt idx="2789">
                  <c:v>16.21</c:v>
                </c:pt>
                <c:pt idx="2790">
                  <c:v>16.21</c:v>
                </c:pt>
                <c:pt idx="2791">
                  <c:v>16.21</c:v>
                </c:pt>
                <c:pt idx="2792">
                  <c:v>16.309999999999999</c:v>
                </c:pt>
                <c:pt idx="2793">
                  <c:v>16.18</c:v>
                </c:pt>
                <c:pt idx="2794">
                  <c:v>16.18</c:v>
                </c:pt>
                <c:pt idx="2795">
                  <c:v>16.18</c:v>
                </c:pt>
                <c:pt idx="2796">
                  <c:v>16.25</c:v>
                </c:pt>
                <c:pt idx="2797">
                  <c:v>16.420000000000002</c:v>
                </c:pt>
                <c:pt idx="2798">
                  <c:v>16.420000000000002</c:v>
                </c:pt>
                <c:pt idx="2799">
                  <c:v>16.38</c:v>
                </c:pt>
                <c:pt idx="2800">
                  <c:v>16.38</c:v>
                </c:pt>
                <c:pt idx="2801">
                  <c:v>16.420000000000002</c:v>
                </c:pt>
                <c:pt idx="2802">
                  <c:v>16.420000000000002</c:v>
                </c:pt>
                <c:pt idx="2803">
                  <c:v>16.45</c:v>
                </c:pt>
                <c:pt idx="2804">
                  <c:v>16.420000000000002</c:v>
                </c:pt>
                <c:pt idx="2805">
                  <c:v>16.38</c:v>
                </c:pt>
                <c:pt idx="2806">
                  <c:v>16.45</c:v>
                </c:pt>
                <c:pt idx="2807">
                  <c:v>16.45</c:v>
                </c:pt>
                <c:pt idx="2808">
                  <c:v>16.45</c:v>
                </c:pt>
                <c:pt idx="2809">
                  <c:v>16.45</c:v>
                </c:pt>
                <c:pt idx="2810">
                  <c:v>16.45</c:v>
                </c:pt>
                <c:pt idx="2811">
                  <c:v>16.45</c:v>
                </c:pt>
                <c:pt idx="2812">
                  <c:v>16.48</c:v>
                </c:pt>
                <c:pt idx="2813">
                  <c:v>16.48</c:v>
                </c:pt>
                <c:pt idx="2814">
                  <c:v>16.62</c:v>
                </c:pt>
                <c:pt idx="2815">
                  <c:v>16.62</c:v>
                </c:pt>
                <c:pt idx="2816">
                  <c:v>16.649999999999999</c:v>
                </c:pt>
                <c:pt idx="2817">
                  <c:v>16.649999999999999</c:v>
                </c:pt>
                <c:pt idx="2818">
                  <c:v>16.68</c:v>
                </c:pt>
                <c:pt idx="2819">
                  <c:v>16.68</c:v>
                </c:pt>
                <c:pt idx="2820">
                  <c:v>16.68</c:v>
                </c:pt>
                <c:pt idx="2821">
                  <c:v>16.82</c:v>
                </c:pt>
                <c:pt idx="2822">
                  <c:v>16.82</c:v>
                </c:pt>
                <c:pt idx="2823">
                  <c:v>16.82</c:v>
                </c:pt>
                <c:pt idx="2824">
                  <c:v>16.75</c:v>
                </c:pt>
                <c:pt idx="2825">
                  <c:v>16.75</c:v>
                </c:pt>
                <c:pt idx="2826">
                  <c:v>16.82</c:v>
                </c:pt>
                <c:pt idx="2827">
                  <c:v>16.75</c:v>
                </c:pt>
                <c:pt idx="2828">
                  <c:v>16.75</c:v>
                </c:pt>
                <c:pt idx="2829">
                  <c:v>18.09</c:v>
                </c:pt>
                <c:pt idx="2830">
                  <c:v>19.100000000000001</c:v>
                </c:pt>
                <c:pt idx="2831">
                  <c:v>19.3</c:v>
                </c:pt>
                <c:pt idx="2832">
                  <c:v>19.3</c:v>
                </c:pt>
                <c:pt idx="2833">
                  <c:v>20.23</c:v>
                </c:pt>
                <c:pt idx="2834">
                  <c:v>21.14</c:v>
                </c:pt>
                <c:pt idx="2835">
                  <c:v>21.44</c:v>
                </c:pt>
                <c:pt idx="2836">
                  <c:v>21.27</c:v>
                </c:pt>
                <c:pt idx="2837">
                  <c:v>21.27</c:v>
                </c:pt>
                <c:pt idx="2838">
                  <c:v>20.6</c:v>
                </c:pt>
                <c:pt idx="2839">
                  <c:v>20.2</c:v>
                </c:pt>
                <c:pt idx="2840">
                  <c:v>20.2</c:v>
                </c:pt>
                <c:pt idx="2841">
                  <c:v>20.2</c:v>
                </c:pt>
                <c:pt idx="2842">
                  <c:v>20.2</c:v>
                </c:pt>
                <c:pt idx="2843">
                  <c:v>20.77</c:v>
                </c:pt>
                <c:pt idx="2844">
                  <c:v>21.04</c:v>
                </c:pt>
                <c:pt idx="2845">
                  <c:v>21.27</c:v>
                </c:pt>
                <c:pt idx="2846">
                  <c:v>21.27</c:v>
                </c:pt>
                <c:pt idx="2847">
                  <c:v>21.31</c:v>
                </c:pt>
                <c:pt idx="2848">
                  <c:v>21.51</c:v>
                </c:pt>
                <c:pt idx="2849">
                  <c:v>21.51</c:v>
                </c:pt>
                <c:pt idx="2850">
                  <c:v>21.51</c:v>
                </c:pt>
                <c:pt idx="2851">
                  <c:v>21.51</c:v>
                </c:pt>
                <c:pt idx="2852">
                  <c:v>21.64</c:v>
                </c:pt>
                <c:pt idx="2853">
                  <c:v>21.64</c:v>
                </c:pt>
                <c:pt idx="2854">
                  <c:v>21.78</c:v>
                </c:pt>
                <c:pt idx="2855">
                  <c:v>21.78</c:v>
                </c:pt>
                <c:pt idx="2856">
                  <c:v>21.78</c:v>
                </c:pt>
                <c:pt idx="2857">
                  <c:v>21.78</c:v>
                </c:pt>
                <c:pt idx="2858">
                  <c:v>21.54</c:v>
                </c:pt>
                <c:pt idx="2859">
                  <c:v>21.61</c:v>
                </c:pt>
                <c:pt idx="2860">
                  <c:v>21.78</c:v>
                </c:pt>
                <c:pt idx="2861">
                  <c:v>21.78</c:v>
                </c:pt>
                <c:pt idx="2862">
                  <c:v>22.11</c:v>
                </c:pt>
                <c:pt idx="2863">
                  <c:v>22.28</c:v>
                </c:pt>
                <c:pt idx="2864">
                  <c:v>22.41</c:v>
                </c:pt>
                <c:pt idx="2865">
                  <c:v>22.41</c:v>
                </c:pt>
                <c:pt idx="2866">
                  <c:v>22.41</c:v>
                </c:pt>
                <c:pt idx="2867">
                  <c:v>22.88</c:v>
                </c:pt>
                <c:pt idx="2868">
                  <c:v>22.78</c:v>
                </c:pt>
                <c:pt idx="2869">
                  <c:v>22.75</c:v>
                </c:pt>
                <c:pt idx="2870">
                  <c:v>22.71</c:v>
                </c:pt>
                <c:pt idx="2871">
                  <c:v>22.61</c:v>
                </c:pt>
                <c:pt idx="2872">
                  <c:v>22.61</c:v>
                </c:pt>
                <c:pt idx="2873">
                  <c:v>22.61</c:v>
                </c:pt>
                <c:pt idx="2874">
                  <c:v>22.61</c:v>
                </c:pt>
                <c:pt idx="2875">
                  <c:v>22.78</c:v>
                </c:pt>
                <c:pt idx="2876">
                  <c:v>22.78</c:v>
                </c:pt>
                <c:pt idx="2877">
                  <c:v>22.78</c:v>
                </c:pt>
                <c:pt idx="2878">
                  <c:v>22.71</c:v>
                </c:pt>
                <c:pt idx="2879">
                  <c:v>22.65</c:v>
                </c:pt>
                <c:pt idx="2880">
                  <c:v>22.65</c:v>
                </c:pt>
                <c:pt idx="2881">
                  <c:v>22.65</c:v>
                </c:pt>
                <c:pt idx="2882">
                  <c:v>22.65</c:v>
                </c:pt>
                <c:pt idx="2883">
                  <c:v>22.71</c:v>
                </c:pt>
                <c:pt idx="2884">
                  <c:v>22.78</c:v>
                </c:pt>
                <c:pt idx="2885">
                  <c:v>22.78</c:v>
                </c:pt>
                <c:pt idx="2886">
                  <c:v>22.78</c:v>
                </c:pt>
                <c:pt idx="2887">
                  <c:v>22.81</c:v>
                </c:pt>
                <c:pt idx="2888">
                  <c:v>22.81</c:v>
                </c:pt>
                <c:pt idx="2889">
                  <c:v>22.81</c:v>
                </c:pt>
                <c:pt idx="2890">
                  <c:v>22.81</c:v>
                </c:pt>
                <c:pt idx="2891">
                  <c:v>22.78</c:v>
                </c:pt>
                <c:pt idx="2892">
                  <c:v>22.78</c:v>
                </c:pt>
                <c:pt idx="2893">
                  <c:v>22.78</c:v>
                </c:pt>
                <c:pt idx="2894">
                  <c:v>22.91</c:v>
                </c:pt>
                <c:pt idx="2895">
                  <c:v>22.91</c:v>
                </c:pt>
                <c:pt idx="2896">
                  <c:v>22.91</c:v>
                </c:pt>
                <c:pt idx="2897">
                  <c:v>23.15</c:v>
                </c:pt>
                <c:pt idx="2898">
                  <c:v>23.52</c:v>
                </c:pt>
                <c:pt idx="2899">
                  <c:v>23.52</c:v>
                </c:pt>
                <c:pt idx="2900">
                  <c:v>23.52</c:v>
                </c:pt>
                <c:pt idx="2901">
                  <c:v>23.52</c:v>
                </c:pt>
                <c:pt idx="2902">
                  <c:v>23.52</c:v>
                </c:pt>
                <c:pt idx="2903">
                  <c:v>23.52</c:v>
                </c:pt>
                <c:pt idx="2904">
                  <c:v>23.52</c:v>
                </c:pt>
                <c:pt idx="2905">
                  <c:v>23.52</c:v>
                </c:pt>
                <c:pt idx="2906">
                  <c:v>23.52</c:v>
                </c:pt>
              </c:numCache>
            </c:numRef>
          </c:yVal>
          <c:smooth val="0"/>
          <c:extLst>
            <c:ext xmlns:c16="http://schemas.microsoft.com/office/drawing/2014/chart" uri="{C3380CC4-5D6E-409C-BE32-E72D297353CC}">
              <c16:uniqueId val="{00000002-8CB2-4814-A49F-B5FE06258796}"/>
            </c:ext>
          </c:extLst>
        </c:ser>
        <c:dLbls>
          <c:showLegendKey val="0"/>
          <c:showVal val="0"/>
          <c:showCatName val="0"/>
          <c:showSerName val="0"/>
          <c:showPercent val="0"/>
          <c:showBubbleSize val="0"/>
        </c:dLbls>
        <c:axId val="1819768512"/>
        <c:axId val="1819774336"/>
      </c:scatterChart>
      <c:valAx>
        <c:axId val="748171728"/>
        <c:scaling>
          <c:orientation val="minMax"/>
          <c:max val="44000"/>
          <c:min val="38000"/>
        </c:scaling>
        <c:delete val="0"/>
        <c:axPos val="b"/>
        <c:majorGridlines>
          <c:spPr>
            <a:ln w="9525" cap="flat" cmpd="sng" algn="ctr">
              <a:solidFill>
                <a:schemeClr val="tx1">
                  <a:lumMod val="15000"/>
                  <a:lumOff val="85000"/>
                </a:schemeClr>
              </a:solidFill>
              <a:round/>
            </a:ln>
            <a:effectLst/>
          </c:spPr>
        </c:majorGridlines>
        <c:numFmt formatCode="yyyy"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8172976"/>
        <c:crosses val="autoZero"/>
        <c:crossBetween val="midCat"/>
        <c:majorUnit val="750"/>
      </c:valAx>
      <c:valAx>
        <c:axId val="748172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Area (ha)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8171728"/>
        <c:crossesAt val="38000"/>
        <c:crossBetween val="midCat"/>
      </c:valAx>
      <c:valAx>
        <c:axId val="181977433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NZU price ($NZ)</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19768512"/>
        <c:crosses val="max"/>
        <c:crossBetween val="midCat"/>
      </c:valAx>
      <c:valAx>
        <c:axId val="1819768512"/>
        <c:scaling>
          <c:orientation val="minMax"/>
        </c:scaling>
        <c:delete val="1"/>
        <c:axPos val="b"/>
        <c:numFmt formatCode="m/d/yyyy" sourceLinked="1"/>
        <c:majorTickMark val="out"/>
        <c:minorTickMark val="none"/>
        <c:tickLblPos val="nextTo"/>
        <c:crossAx val="181977433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97605447414362"/>
          <c:y val="3.9898160481545812E-2"/>
          <c:w val="0.85319088992872572"/>
          <c:h val="0.832541435532556"/>
        </c:manualLayout>
      </c:layout>
      <c:barChart>
        <c:barDir val="col"/>
        <c:grouping val="stacked"/>
        <c:varyColors val="0"/>
        <c:ser>
          <c:idx val="0"/>
          <c:order val="0"/>
          <c:tx>
            <c:strRef>
              <c:f>Tables!$M$15</c:f>
              <c:strCache>
                <c:ptCount val="1"/>
                <c:pt idx="0">
                  <c:v>Planted Forest</c:v>
                </c:pt>
              </c:strCache>
            </c:strRef>
          </c:tx>
          <c:spPr>
            <a:solidFill>
              <a:schemeClr val="accent1">
                <a:lumMod val="75000"/>
              </a:schemeClr>
            </a:solidFill>
          </c:spPr>
          <c:invertIfNegative val="0"/>
          <c:cat>
            <c:numRef>
              <c:f>Tables!$B$16:$B$47</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Tables!$M$16:$M$47</c:f>
              <c:numCache>
                <c:formatCode>General</c:formatCode>
                <c:ptCount val="32"/>
                <c:pt idx="0">
                  <c:v>13628.988642193211</c:v>
                </c:pt>
                <c:pt idx="1">
                  <c:v>13283.950955049128</c:v>
                </c:pt>
                <c:pt idx="2">
                  <c:v>43302.229736588415</c:v>
                </c:pt>
                <c:pt idx="3">
                  <c:v>53135.803820196445</c:v>
                </c:pt>
                <c:pt idx="4">
                  <c:v>84706.7521938844</c:v>
                </c:pt>
                <c:pt idx="5">
                  <c:v>63745.71269987891</c:v>
                </c:pt>
                <c:pt idx="6">
                  <c:v>72112.876613123663</c:v>
                </c:pt>
                <c:pt idx="7">
                  <c:v>54947.251677702239</c:v>
                </c:pt>
                <c:pt idx="8">
                  <c:v>44164.823954448875</c:v>
                </c:pt>
                <c:pt idx="9">
                  <c:v>34503.768714413694</c:v>
                </c:pt>
                <c:pt idx="10">
                  <c:v>28983.165720106685</c:v>
                </c:pt>
                <c:pt idx="11">
                  <c:v>25964.085957595842</c:v>
                </c:pt>
                <c:pt idx="12">
                  <c:v>19063.332214713555</c:v>
                </c:pt>
                <c:pt idx="13">
                  <c:v>17165.624935420488</c:v>
                </c:pt>
                <c:pt idx="14">
                  <c:v>9143.4987093196487</c:v>
                </c:pt>
                <c:pt idx="15">
                  <c:v>5175.5653071623019</c:v>
                </c:pt>
                <c:pt idx="16">
                  <c:v>2242.744966437102</c:v>
                </c:pt>
                <c:pt idx="17">
                  <c:v>2070.2261228637562</c:v>
                </c:pt>
                <c:pt idx="18">
                  <c:v>3620.9026002948103</c:v>
                </c:pt>
                <c:pt idx="19">
                  <c:v>6723.8923325990536</c:v>
                </c:pt>
                <c:pt idx="20">
                  <c:v>8921.843392980918</c:v>
                </c:pt>
                <c:pt idx="21">
                  <c:v>16679.31772374253</c:v>
                </c:pt>
                <c:pt idx="22">
                  <c:v>16032.861529512676</c:v>
                </c:pt>
                <c:pt idx="23">
                  <c:v>6411.6908645407893</c:v>
                </c:pt>
                <c:pt idx="24">
                  <c:v>4685.4827397156168</c:v>
                </c:pt>
                <c:pt idx="25">
                  <c:v>4685.4827397152158</c:v>
                </c:pt>
                <c:pt idx="26">
                  <c:v>2512.8855180796845</c:v>
                </c:pt>
                <c:pt idx="27">
                  <c:v>6504.1260423235854</c:v>
                </c:pt>
                <c:pt idx="28">
                  <c:v>7609.1744507428266</c:v>
                </c:pt>
                <c:pt idx="29">
                  <c:v>21163.991139687801</c:v>
                </c:pt>
                <c:pt idx="30">
                  <c:v>37970.043706424651</c:v>
                </c:pt>
                <c:pt idx="31">
                  <c:v>50289.938346577263</c:v>
                </c:pt>
              </c:numCache>
            </c:numRef>
          </c:val>
          <c:extLst>
            <c:ext xmlns:c16="http://schemas.microsoft.com/office/drawing/2014/chart" uri="{C3380CC4-5D6E-409C-BE32-E72D297353CC}">
              <c16:uniqueId val="{00000000-C220-4485-87B5-B62D381B60E2}"/>
            </c:ext>
          </c:extLst>
        </c:ser>
        <c:ser>
          <c:idx val="1"/>
          <c:order val="1"/>
          <c:tx>
            <c:strRef>
              <c:f>Tables!$N$15</c:f>
              <c:strCache>
                <c:ptCount val="1"/>
                <c:pt idx="0">
                  <c:v>Natural Forest</c:v>
                </c:pt>
              </c:strCache>
            </c:strRef>
          </c:tx>
          <c:spPr>
            <a:solidFill>
              <a:srgbClr val="2C9986"/>
            </a:solidFill>
          </c:spPr>
          <c:invertIfNegative val="0"/>
          <c:cat>
            <c:numRef>
              <c:f>Tables!$B$16:$B$47</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Tables!$N$16:$N$47</c:f>
              <c:numCache>
                <c:formatCode>General</c:formatCode>
                <c:ptCount val="32"/>
                <c:pt idx="0">
                  <c:v>981.73377152536693</c:v>
                </c:pt>
                <c:pt idx="1">
                  <c:v>1145.3560667795953</c:v>
                </c:pt>
                <c:pt idx="2">
                  <c:v>1308.9783620338226</c:v>
                </c:pt>
                <c:pt idx="3">
                  <c:v>1145.3560667828681</c:v>
                </c:pt>
                <c:pt idx="4">
                  <c:v>981.73377152209525</c:v>
                </c:pt>
                <c:pt idx="5">
                  <c:v>818.11147627113985</c:v>
                </c:pt>
                <c:pt idx="6">
                  <c:v>818.11147627113905</c:v>
                </c:pt>
                <c:pt idx="7">
                  <c:v>2617.9567240676429</c:v>
                </c:pt>
                <c:pt idx="8">
                  <c:v>2945.2013145760957</c:v>
                </c:pt>
                <c:pt idx="9">
                  <c:v>3272.4459050845576</c:v>
                </c:pt>
                <c:pt idx="10">
                  <c:v>4090.5573813556907</c:v>
                </c:pt>
                <c:pt idx="11">
                  <c:v>4908.6688576268325</c:v>
                </c:pt>
                <c:pt idx="12">
                  <c:v>3926.9350861014586</c:v>
                </c:pt>
                <c:pt idx="13">
                  <c:v>4417.8019718641544</c:v>
                </c:pt>
                <c:pt idx="14">
                  <c:v>5890.4026291522059</c:v>
                </c:pt>
                <c:pt idx="15">
                  <c:v>6872.1364006775757</c:v>
                </c:pt>
                <c:pt idx="16">
                  <c:v>7853.8701722029246</c:v>
                </c:pt>
                <c:pt idx="17">
                  <c:v>7363.0032864402465</c:v>
                </c:pt>
                <c:pt idx="18">
                  <c:v>1726.3388163065126</c:v>
                </c:pt>
                <c:pt idx="19">
                  <c:v>1726.338816306527</c:v>
                </c:pt>
                <c:pt idx="20">
                  <c:v>1726.3388163065131</c:v>
                </c:pt>
                <c:pt idx="21">
                  <c:v>1726.3388163065235</c:v>
                </c:pt>
                <c:pt idx="22">
                  <c:v>1726.3388163065342</c:v>
                </c:pt>
                <c:pt idx="23">
                  <c:v>2113.979071026115</c:v>
                </c:pt>
                <c:pt idx="24">
                  <c:v>2113.9790710260968</c:v>
                </c:pt>
                <c:pt idx="25">
                  <c:v>2113.9790710261295</c:v>
                </c:pt>
                <c:pt idx="26">
                  <c:v>2113.9790710261063</c:v>
                </c:pt>
                <c:pt idx="27">
                  <c:v>3781.5231753199978</c:v>
                </c:pt>
                <c:pt idx="28">
                  <c:v>3166.1106835600112</c:v>
                </c:pt>
                <c:pt idx="29">
                  <c:v>3340.0235802399679</c:v>
                </c:pt>
                <c:pt idx="30">
                  <c:v>3577.9999999999886</c:v>
                </c:pt>
                <c:pt idx="31">
                  <c:v>3977.9999999999945</c:v>
                </c:pt>
              </c:numCache>
            </c:numRef>
          </c:val>
          <c:extLst>
            <c:ext xmlns:c16="http://schemas.microsoft.com/office/drawing/2014/chart" uri="{C3380CC4-5D6E-409C-BE32-E72D297353CC}">
              <c16:uniqueId val="{00000001-C220-4485-87B5-B62D381B60E2}"/>
            </c:ext>
          </c:extLst>
        </c:ser>
        <c:dLbls>
          <c:showLegendKey val="0"/>
          <c:showVal val="0"/>
          <c:showCatName val="0"/>
          <c:showSerName val="0"/>
          <c:showPercent val="0"/>
          <c:showBubbleSize val="0"/>
        </c:dLbls>
        <c:gapWidth val="150"/>
        <c:overlap val="100"/>
        <c:axId val="455006080"/>
        <c:axId val="455323648"/>
      </c:barChart>
      <c:catAx>
        <c:axId val="455006080"/>
        <c:scaling>
          <c:orientation val="minMax"/>
        </c:scaling>
        <c:delete val="0"/>
        <c:axPos val="b"/>
        <c:numFmt formatCode="General" sourceLinked="1"/>
        <c:majorTickMark val="out"/>
        <c:minorTickMark val="none"/>
        <c:tickLblPos val="low"/>
        <c:spPr>
          <a:ln w="12700">
            <a:solidFill>
              <a:schemeClr val="tx1"/>
            </a:solidFill>
          </a:ln>
        </c:spPr>
        <c:txPr>
          <a:bodyPr rot="-5400000" vert="horz"/>
          <a:lstStyle/>
          <a:p>
            <a:pPr>
              <a:defRPr/>
            </a:pPr>
            <a:endParaRPr lang="en-US"/>
          </a:p>
        </c:txPr>
        <c:crossAx val="455323648"/>
        <c:crosses val="autoZero"/>
        <c:auto val="1"/>
        <c:lblAlgn val="ctr"/>
        <c:lblOffset val="200"/>
        <c:tickLblSkip val="2"/>
        <c:noMultiLvlLbl val="0"/>
      </c:catAx>
      <c:valAx>
        <c:axId val="455323648"/>
        <c:scaling>
          <c:orientation val="minMax"/>
        </c:scaling>
        <c:delete val="0"/>
        <c:axPos val="l"/>
        <c:majorGridlines>
          <c:spPr>
            <a:ln w="6350">
              <a:solidFill>
                <a:schemeClr val="bg1">
                  <a:lumMod val="85000"/>
                </a:schemeClr>
              </a:solidFill>
            </a:ln>
          </c:spPr>
        </c:majorGridlines>
        <c:title>
          <c:tx>
            <c:rich>
              <a:bodyPr rot="-5400000" vert="horz"/>
              <a:lstStyle/>
              <a:p>
                <a:pPr>
                  <a:defRPr sz="900" b="0"/>
                </a:pPr>
                <a:r>
                  <a:rPr lang="en-NZ"/>
                  <a:t>Area</a:t>
                </a:r>
                <a:r>
                  <a:rPr lang="en-NZ" baseline="0"/>
                  <a:t> (hectares)</a:t>
                </a:r>
                <a:endParaRPr lang="en-NZ"/>
              </a:p>
            </c:rich>
          </c:tx>
          <c:layout>
            <c:manualLayout>
              <c:xMode val="edge"/>
              <c:yMode val="edge"/>
              <c:x val="1.8854489966740988E-2"/>
              <c:y val="0.39998988407699038"/>
            </c:manualLayout>
          </c:layout>
          <c:overlay val="0"/>
        </c:title>
        <c:numFmt formatCode="#,##0" sourceLinked="0"/>
        <c:majorTickMark val="out"/>
        <c:minorTickMark val="none"/>
        <c:tickLblPos val="nextTo"/>
        <c:spPr>
          <a:ln w="12700">
            <a:solidFill>
              <a:schemeClr val="tx1"/>
            </a:solidFill>
          </a:ln>
        </c:spPr>
        <c:crossAx val="455006080"/>
        <c:crossesAt val="1"/>
        <c:crossBetween val="between"/>
      </c:valAx>
      <c:spPr>
        <a:solidFill>
          <a:schemeClr val="bg1"/>
        </a:solidFill>
      </c:spPr>
    </c:plotArea>
    <c:plotVisOnly val="1"/>
    <c:dispBlanksAs val="gap"/>
    <c:showDLblsOverMax val="0"/>
  </c:chart>
  <c:spPr>
    <a:ln w="12700">
      <a:noFill/>
    </a:ln>
  </c:spPr>
  <c:txPr>
    <a:bodyPr/>
    <a:lstStyle/>
    <a:p>
      <a:pPr>
        <a:defRPr sz="800">
          <a:latin typeface="+mn-lt"/>
          <a:cs typeface="Arial" pitchFamily="34"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82831238287123"/>
          <c:y val="7.4656726303372667E-2"/>
          <c:w val="0.85319088992872572"/>
          <c:h val="0.832541435532556"/>
        </c:manualLayout>
      </c:layout>
      <c:barChart>
        <c:barDir val="col"/>
        <c:grouping val="clustered"/>
        <c:varyColors val="0"/>
        <c:ser>
          <c:idx val="0"/>
          <c:order val="0"/>
          <c:tx>
            <c:strRef>
              <c:f>Analysis!$N$2</c:f>
              <c:strCache>
                <c:ptCount val="1"/>
                <c:pt idx="0">
                  <c:v>Cumulative Net Removals (Gg CO2)</c:v>
                </c:pt>
              </c:strCache>
            </c:strRef>
          </c:tx>
          <c:spPr>
            <a:solidFill>
              <a:schemeClr val="accent1">
                <a:lumMod val="75000"/>
              </a:schemeClr>
            </a:solidFill>
          </c:spPr>
          <c:invertIfNegative val="0"/>
          <c:cat>
            <c:numRef>
              <c:f>Analysis!$A$4:$A$35</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Analysis!$N$4:$N$35</c:f>
              <c:numCache>
                <c:formatCode>0.000</c:formatCode>
                <c:ptCount val="32"/>
                <c:pt idx="0">
                  <c:v>-153.75539914823293</c:v>
                </c:pt>
                <c:pt idx="1">
                  <c:v>-168.67572673661732</c:v>
                </c:pt>
                <c:pt idx="2">
                  <c:v>-500.55356440032284</c:v>
                </c:pt>
                <c:pt idx="3">
                  <c:v>-608.90424771766368</c:v>
                </c:pt>
                <c:pt idx="4">
                  <c:v>-829.64310311066311</c:v>
                </c:pt>
                <c:pt idx="5">
                  <c:v>-359.80180900767448</c:v>
                </c:pt>
                <c:pt idx="6">
                  <c:v>420.87096847921055</c:v>
                </c:pt>
                <c:pt idx="7">
                  <c:v>1809.7932550591593</c:v>
                </c:pt>
                <c:pt idx="8">
                  <c:v>3858.4351769085147</c:v>
                </c:pt>
                <c:pt idx="9">
                  <c:v>6382.1598685755607</c:v>
                </c:pt>
                <c:pt idx="10">
                  <c:v>9144.4861612613568</c:v>
                </c:pt>
                <c:pt idx="11">
                  <c:v>11371.333742757826</c:v>
                </c:pt>
                <c:pt idx="12">
                  <c:v>12891.357578939775</c:v>
                </c:pt>
                <c:pt idx="13">
                  <c:v>14128.775344551517</c:v>
                </c:pt>
                <c:pt idx="14">
                  <c:v>14741.276923623298</c:v>
                </c:pt>
                <c:pt idx="15">
                  <c:v>15236.512930286117</c:v>
                </c:pt>
                <c:pt idx="16">
                  <c:v>15682.250796945775</c:v>
                </c:pt>
                <c:pt idx="17">
                  <c:v>16155.961998657596</c:v>
                </c:pt>
                <c:pt idx="18">
                  <c:v>16631.209853146349</c:v>
                </c:pt>
                <c:pt idx="19">
                  <c:v>16982.699559180914</c:v>
                </c:pt>
                <c:pt idx="20">
                  <c:v>17125.849415530462</c:v>
                </c:pt>
                <c:pt idx="21">
                  <c:v>17034.959584856842</c:v>
                </c:pt>
                <c:pt idx="22">
                  <c:v>17261.926412102872</c:v>
                </c:pt>
                <c:pt idx="23">
                  <c:v>16943.113843885691</c:v>
                </c:pt>
                <c:pt idx="24">
                  <c:v>17315.473894603958</c:v>
                </c:pt>
                <c:pt idx="25">
                  <c:v>17208.746503814182</c:v>
                </c:pt>
                <c:pt idx="26">
                  <c:v>16678.196589674608</c:v>
                </c:pt>
                <c:pt idx="27">
                  <c:v>15329.241142899325</c:v>
                </c:pt>
                <c:pt idx="28">
                  <c:v>13215.057448443151</c:v>
                </c:pt>
                <c:pt idx="29">
                  <c:v>9898.8868161561622</c:v>
                </c:pt>
                <c:pt idx="30">
                  <c:v>10696.331717957841</c:v>
                </c:pt>
                <c:pt idx="31">
                  <c:v>6083.8960989483458</c:v>
                </c:pt>
              </c:numCache>
            </c:numRef>
          </c:val>
          <c:extLst>
            <c:ext xmlns:c16="http://schemas.microsoft.com/office/drawing/2014/chart" uri="{C3380CC4-5D6E-409C-BE32-E72D297353CC}">
              <c16:uniqueId val="{00000000-45D4-4CBA-B6BF-8F97F395C78B}"/>
            </c:ext>
          </c:extLst>
        </c:ser>
        <c:dLbls>
          <c:showLegendKey val="0"/>
          <c:showVal val="0"/>
          <c:showCatName val="0"/>
          <c:showSerName val="0"/>
          <c:showPercent val="0"/>
          <c:showBubbleSize val="0"/>
        </c:dLbls>
        <c:gapWidth val="150"/>
        <c:axId val="344288640"/>
        <c:axId val="363836544"/>
      </c:barChart>
      <c:catAx>
        <c:axId val="344288640"/>
        <c:scaling>
          <c:orientation val="minMax"/>
        </c:scaling>
        <c:delete val="0"/>
        <c:axPos val="b"/>
        <c:numFmt formatCode="General" sourceLinked="1"/>
        <c:majorTickMark val="out"/>
        <c:minorTickMark val="none"/>
        <c:tickLblPos val="low"/>
        <c:spPr>
          <a:ln w="12700">
            <a:solidFill>
              <a:schemeClr val="tx1"/>
            </a:solidFill>
          </a:ln>
        </c:spPr>
        <c:txPr>
          <a:bodyPr rot="-5400000" vert="horz"/>
          <a:lstStyle/>
          <a:p>
            <a:pPr>
              <a:defRPr/>
            </a:pPr>
            <a:endParaRPr lang="en-US"/>
          </a:p>
        </c:txPr>
        <c:crossAx val="363836544"/>
        <c:crosses val="autoZero"/>
        <c:auto val="1"/>
        <c:lblAlgn val="ctr"/>
        <c:lblOffset val="200"/>
        <c:tickLblSkip val="2"/>
        <c:noMultiLvlLbl val="0"/>
      </c:catAx>
      <c:valAx>
        <c:axId val="363836544"/>
        <c:scaling>
          <c:orientation val="minMax"/>
          <c:min val="-4000"/>
        </c:scaling>
        <c:delete val="0"/>
        <c:axPos val="l"/>
        <c:majorGridlines>
          <c:spPr>
            <a:ln w="6350">
              <a:solidFill>
                <a:schemeClr val="bg1">
                  <a:lumMod val="85000"/>
                </a:schemeClr>
              </a:solidFill>
            </a:ln>
          </c:spPr>
        </c:majorGridlines>
        <c:title>
          <c:tx>
            <c:rich>
              <a:bodyPr rot="-5400000" vert="horz"/>
              <a:lstStyle/>
              <a:p>
                <a:pPr>
                  <a:defRPr sz="900" b="0"/>
                </a:pPr>
                <a:r>
                  <a:rPr lang="en-NZ"/>
                  <a:t>Net removals</a:t>
                </a:r>
                <a:r>
                  <a:rPr lang="en-NZ" sz="900" b="0" i="0" u="none" strike="noStrike" kern="1200" baseline="0">
                    <a:solidFill>
                      <a:sysClr val="windowText" lastClr="000000"/>
                    </a:solidFill>
                    <a:latin typeface="+mn-lt"/>
                    <a:ea typeface="+mn-ea"/>
                    <a:cs typeface="Arial" pitchFamily="34" charset="0"/>
                  </a:rPr>
                  <a:t> </a:t>
                </a:r>
                <a:r>
                  <a:rPr lang="en-NZ"/>
                  <a:t>(kt CO</a:t>
                </a:r>
                <a:r>
                  <a:rPr lang="en-NZ" baseline="-25000"/>
                  <a:t>2</a:t>
                </a:r>
                <a:r>
                  <a:rPr lang="en-NZ"/>
                  <a:t>)</a:t>
                </a:r>
              </a:p>
            </c:rich>
          </c:tx>
          <c:layout>
            <c:manualLayout>
              <c:xMode val="edge"/>
              <c:yMode val="edge"/>
              <c:x val="1.0625847215946548E-3"/>
              <c:y val="0.26918241059283649"/>
            </c:manualLayout>
          </c:layout>
          <c:overlay val="0"/>
        </c:title>
        <c:numFmt formatCode="#,##0" sourceLinked="0"/>
        <c:majorTickMark val="out"/>
        <c:minorTickMark val="out"/>
        <c:tickLblPos val="nextTo"/>
        <c:spPr>
          <a:ln w="12700">
            <a:solidFill>
              <a:schemeClr val="tx1"/>
            </a:solidFill>
          </a:ln>
        </c:spPr>
        <c:crossAx val="344288640"/>
        <c:crossesAt val="1"/>
        <c:crossBetween val="between"/>
        <c:majorUnit val="4000"/>
        <c:minorUnit val="2000"/>
      </c:valAx>
      <c:spPr>
        <a:solidFill>
          <a:schemeClr val="bg1"/>
        </a:solidFill>
      </c:spPr>
    </c:plotArea>
    <c:plotVisOnly val="1"/>
    <c:dispBlanksAs val="gap"/>
    <c:showDLblsOverMax val="0"/>
  </c:chart>
  <c:spPr>
    <a:ln w="12700">
      <a:noFill/>
    </a:ln>
  </c:spPr>
  <c:txPr>
    <a:bodyPr/>
    <a:lstStyle/>
    <a:p>
      <a:pPr>
        <a:defRPr sz="800">
          <a:latin typeface="+mn-lt"/>
          <a:cs typeface="Arial" pitchFamily="34"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305785885387876"/>
          <c:y val="8.2128686120117353E-2"/>
          <c:w val="0.8142210245070941"/>
          <c:h val="0.71513604310152434"/>
        </c:manualLayout>
      </c:layout>
      <c:scatterChart>
        <c:scatterStyle val="lineMarker"/>
        <c:varyColors val="0"/>
        <c:ser>
          <c:idx val="0"/>
          <c:order val="0"/>
          <c:tx>
            <c:strRef>
              <c:f>Tables!$C$61</c:f>
              <c:strCache>
                <c:ptCount val="1"/>
                <c:pt idx="0">
                  <c:v>Pre-1990 natural forest</c:v>
                </c:pt>
              </c:strCache>
            </c:strRef>
          </c:tx>
          <c:spPr>
            <a:ln w="19050" cap="rnd" cmpd="sng" algn="ctr">
              <a:solidFill>
                <a:schemeClr val="accent2"/>
              </a:solidFill>
              <a:prstDash val="solid"/>
              <a:round/>
            </a:ln>
            <a:effectLst/>
          </c:spPr>
          <c:marker>
            <c:symbol val="none"/>
          </c:marker>
          <c:xVal>
            <c:numRef>
              <c:f>Tables!$B$62:$B$93</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xVal>
          <c:yVal>
            <c:numRef>
              <c:f>Tables!$C$62:$C$93</c:f>
              <c:numCache>
                <c:formatCode>_(* #,##0.00_);_(* \(#,##0.00\);_(* "-"??_);_(@_)</c:formatCode>
                <c:ptCount val="32"/>
                <c:pt idx="0">
                  <c:v>1.8423681248368746</c:v>
                </c:pt>
                <c:pt idx="1">
                  <c:v>1.8423681248368751</c:v>
                </c:pt>
                <c:pt idx="2">
                  <c:v>1.8423681248368746</c:v>
                </c:pt>
                <c:pt idx="3">
                  <c:v>1.8423681248368751</c:v>
                </c:pt>
                <c:pt idx="4">
                  <c:v>1.8423681248368746</c:v>
                </c:pt>
                <c:pt idx="5">
                  <c:v>1.8423681248368751</c:v>
                </c:pt>
                <c:pt idx="6">
                  <c:v>1.8423681248368746</c:v>
                </c:pt>
                <c:pt idx="7">
                  <c:v>1.8423681248368751</c:v>
                </c:pt>
                <c:pt idx="8">
                  <c:v>1.8423681248368746</c:v>
                </c:pt>
                <c:pt idx="9">
                  <c:v>1.8423681248368751</c:v>
                </c:pt>
                <c:pt idx="10">
                  <c:v>1.8423681248368746</c:v>
                </c:pt>
                <c:pt idx="11">
                  <c:v>1.8423681248368751</c:v>
                </c:pt>
                <c:pt idx="12">
                  <c:v>1.8423681248368746</c:v>
                </c:pt>
                <c:pt idx="13">
                  <c:v>1.8423681248368751</c:v>
                </c:pt>
                <c:pt idx="14">
                  <c:v>1.8423681248368746</c:v>
                </c:pt>
                <c:pt idx="15">
                  <c:v>1.8423681248368751</c:v>
                </c:pt>
                <c:pt idx="16">
                  <c:v>1.8423681248368746</c:v>
                </c:pt>
                <c:pt idx="17">
                  <c:v>1.8423681248368748</c:v>
                </c:pt>
                <c:pt idx="18">
                  <c:v>0.8638164664312783</c:v>
                </c:pt>
                <c:pt idx="19">
                  <c:v>2.5260685637484355</c:v>
                </c:pt>
                <c:pt idx="20">
                  <c:v>1.9700658855920916</c:v>
                </c:pt>
                <c:pt idx="21">
                  <c:v>1.1517949757606305</c:v>
                </c:pt>
                <c:pt idx="22">
                  <c:v>1.2468623087213466</c:v>
                </c:pt>
                <c:pt idx="23">
                  <c:v>1.2505870587393284</c:v>
                </c:pt>
                <c:pt idx="24">
                  <c:v>0.69988650621691451</c:v>
                </c:pt>
                <c:pt idx="25">
                  <c:v>1.0599266726519017</c:v>
                </c:pt>
                <c:pt idx="26">
                  <c:v>0.85020619710240908</c:v>
                </c:pt>
                <c:pt idx="27">
                  <c:v>0.59065044874160733</c:v>
                </c:pt>
                <c:pt idx="28">
                  <c:v>0.55747679189898658</c:v>
                </c:pt>
                <c:pt idx="29">
                  <c:v>0.63934716388257518</c:v>
                </c:pt>
                <c:pt idx="30">
                  <c:v>0.59582480150772144</c:v>
                </c:pt>
                <c:pt idx="31">
                  <c:v>0.59582480150772144</c:v>
                </c:pt>
              </c:numCache>
            </c:numRef>
          </c:yVal>
          <c:smooth val="0"/>
          <c:extLst>
            <c:ext xmlns:c16="http://schemas.microsoft.com/office/drawing/2014/chart" uri="{C3380CC4-5D6E-409C-BE32-E72D297353CC}">
              <c16:uniqueId val="{00000000-1400-4B87-8B5F-91289EB35818}"/>
            </c:ext>
          </c:extLst>
        </c:ser>
        <c:ser>
          <c:idx val="1"/>
          <c:order val="1"/>
          <c:tx>
            <c:strRef>
              <c:f>Tables!$D$61</c:f>
              <c:strCache>
                <c:ptCount val="1"/>
                <c:pt idx="0">
                  <c:v>Pre-1990 planted forest</c:v>
                </c:pt>
              </c:strCache>
            </c:strRef>
          </c:tx>
          <c:spPr>
            <a:ln w="19050" cap="rnd" cmpd="sng" algn="ctr">
              <a:solidFill>
                <a:schemeClr val="accent4"/>
              </a:solidFill>
              <a:prstDash val="solid"/>
              <a:round/>
            </a:ln>
            <a:effectLst/>
          </c:spPr>
          <c:marker>
            <c:symbol val="none"/>
          </c:marker>
          <c:xVal>
            <c:numRef>
              <c:f>Tables!$B$62:$B$93</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xVal>
          <c:yVal>
            <c:numRef>
              <c:f>Tables!$D$62:$D$93</c:f>
              <c:numCache>
                <c:formatCode>_(* #,##0.00_);_(* \(#,##0.00\);_(* "-"??_);_(@_)</c:formatCode>
                <c:ptCount val="32"/>
                <c:pt idx="0">
                  <c:v>0</c:v>
                </c:pt>
                <c:pt idx="1">
                  <c:v>0</c:v>
                </c:pt>
                <c:pt idx="2">
                  <c:v>0</c:v>
                </c:pt>
                <c:pt idx="3">
                  <c:v>0</c:v>
                </c:pt>
                <c:pt idx="4">
                  <c:v>0</c:v>
                </c:pt>
                <c:pt idx="5">
                  <c:v>0</c:v>
                </c:pt>
                <c:pt idx="6">
                  <c:v>0</c:v>
                </c:pt>
                <c:pt idx="7">
                  <c:v>0</c:v>
                </c:pt>
                <c:pt idx="8">
                  <c:v>0</c:v>
                </c:pt>
                <c:pt idx="9">
                  <c:v>0</c:v>
                </c:pt>
                <c:pt idx="10">
                  <c:v>2.7663121599041101</c:v>
                </c:pt>
                <c:pt idx="11">
                  <c:v>2.6883863056214032</c:v>
                </c:pt>
                <c:pt idx="12">
                  <c:v>2.0966811257156639</c:v>
                </c:pt>
                <c:pt idx="13">
                  <c:v>3.5755721566300211</c:v>
                </c:pt>
                <c:pt idx="14">
                  <c:v>7.1145039871934515</c:v>
                </c:pt>
                <c:pt idx="15">
                  <c:v>12.820432388276695</c:v>
                </c:pt>
                <c:pt idx="16">
                  <c:v>16.135610754520176</c:v>
                </c:pt>
                <c:pt idx="17">
                  <c:v>21.410276760969392</c:v>
                </c:pt>
                <c:pt idx="18">
                  <c:v>3.7983638195580669</c:v>
                </c:pt>
                <c:pt idx="19">
                  <c:v>5.5837700888107111</c:v>
                </c:pt>
                <c:pt idx="20">
                  <c:v>6.4418626807266843</c:v>
                </c:pt>
                <c:pt idx="21">
                  <c:v>5.343713310923178</c:v>
                </c:pt>
                <c:pt idx="22">
                  <c:v>7.6095321306725481</c:v>
                </c:pt>
                <c:pt idx="23">
                  <c:v>9.7998394415351484</c:v>
                </c:pt>
                <c:pt idx="24">
                  <c:v>7.1056368370743952</c:v>
                </c:pt>
                <c:pt idx="25">
                  <c:v>5.1221868405389559</c:v>
                </c:pt>
                <c:pt idx="26">
                  <c:v>4.9862720822331941</c:v>
                </c:pt>
                <c:pt idx="27">
                  <c:v>3.3281276928247689</c:v>
                </c:pt>
                <c:pt idx="28">
                  <c:v>1.8509065199078039</c:v>
                </c:pt>
                <c:pt idx="29">
                  <c:v>1.2962495299095176</c:v>
                </c:pt>
                <c:pt idx="30">
                  <c:v>0.97633839353227747</c:v>
                </c:pt>
                <c:pt idx="31">
                  <c:v>0.50158798569411944</c:v>
                </c:pt>
              </c:numCache>
            </c:numRef>
          </c:yVal>
          <c:smooth val="0"/>
          <c:extLst>
            <c:ext xmlns:c16="http://schemas.microsoft.com/office/drawing/2014/chart" uri="{C3380CC4-5D6E-409C-BE32-E72D297353CC}">
              <c16:uniqueId val="{00000001-1400-4B87-8B5F-91289EB35818}"/>
            </c:ext>
          </c:extLst>
        </c:ser>
        <c:ser>
          <c:idx val="2"/>
          <c:order val="2"/>
          <c:tx>
            <c:strRef>
              <c:f>Tables!$E$61</c:f>
              <c:strCache>
                <c:ptCount val="1"/>
                <c:pt idx="0">
                  <c:v>Post-1989 planted forest</c:v>
                </c:pt>
              </c:strCache>
            </c:strRef>
          </c:tx>
          <c:spPr>
            <a:ln w="19050" cap="rnd" cmpd="sng" algn="ctr">
              <a:solidFill>
                <a:schemeClr val="accent6"/>
              </a:solidFill>
              <a:prstDash val="solid"/>
              <a:round/>
            </a:ln>
            <a:effectLst/>
          </c:spPr>
          <c:marker>
            <c:symbol val="none"/>
          </c:marker>
          <c:xVal>
            <c:numRef>
              <c:f>Tables!$B$62:$B$93</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xVal>
          <c:yVal>
            <c:numRef>
              <c:f>Tables!$E$62:$E$93</c:f>
              <c:numCache>
                <c:formatCode>_(* #,##0.00_);_(* \(#,##0.00\);_(* "-"??_);_(@_)</c:formatCode>
                <c:ptCount val="32"/>
                <c:pt idx="0">
                  <c:v>0</c:v>
                </c:pt>
                <c:pt idx="1">
                  <c:v>0</c:v>
                </c:pt>
                <c:pt idx="2">
                  <c:v>0</c:v>
                </c:pt>
                <c:pt idx="3">
                  <c:v>0</c:v>
                </c:pt>
                <c:pt idx="4">
                  <c:v>0</c:v>
                </c:pt>
                <c:pt idx="5">
                  <c:v>0</c:v>
                </c:pt>
                <c:pt idx="6">
                  <c:v>0</c:v>
                </c:pt>
                <c:pt idx="7">
                  <c:v>0</c:v>
                </c:pt>
                <c:pt idx="8">
                  <c:v>0</c:v>
                </c:pt>
                <c:pt idx="9">
                  <c:v>0</c:v>
                </c:pt>
                <c:pt idx="10">
                  <c:v>0</c:v>
                </c:pt>
                <c:pt idx="11">
                  <c:v>0</c:v>
                </c:pt>
                <c:pt idx="12">
                  <c:v>0.5983461037870782</c:v>
                </c:pt>
                <c:pt idx="13">
                  <c:v>1.8862682009246097</c:v>
                </c:pt>
                <c:pt idx="14">
                  <c:v>1.7329530318107149</c:v>
                </c:pt>
                <c:pt idx="15">
                  <c:v>1.9717521424640982</c:v>
                </c:pt>
                <c:pt idx="16">
                  <c:v>1.689765075905542</c:v>
                </c:pt>
                <c:pt idx="17">
                  <c:v>4.0563035359323987</c:v>
                </c:pt>
                <c:pt idx="18">
                  <c:v>1.1739098012358209</c:v>
                </c:pt>
                <c:pt idx="19">
                  <c:v>2.0113141437292836</c:v>
                </c:pt>
                <c:pt idx="20">
                  <c:v>1.7434492006716482</c:v>
                </c:pt>
                <c:pt idx="21">
                  <c:v>2.1778975183560614</c:v>
                </c:pt>
                <c:pt idx="22">
                  <c:v>1.6582115147921874</c:v>
                </c:pt>
                <c:pt idx="23">
                  <c:v>2.8308956969606265</c:v>
                </c:pt>
                <c:pt idx="24">
                  <c:v>3.136220444659394</c:v>
                </c:pt>
                <c:pt idx="25">
                  <c:v>2.6652782203648289</c:v>
                </c:pt>
                <c:pt idx="26">
                  <c:v>3.6295832980297571</c:v>
                </c:pt>
                <c:pt idx="27">
                  <c:v>4.2577723496094473</c:v>
                </c:pt>
                <c:pt idx="28">
                  <c:v>4.1232725215756281</c:v>
                </c:pt>
                <c:pt idx="29">
                  <c:v>2.431555189267308</c:v>
                </c:pt>
                <c:pt idx="30">
                  <c:v>2.1244493222418006</c:v>
                </c:pt>
                <c:pt idx="31">
                  <c:v>1.4474493222417999</c:v>
                </c:pt>
              </c:numCache>
            </c:numRef>
          </c:yVal>
          <c:smooth val="0"/>
          <c:extLst>
            <c:ext xmlns:c16="http://schemas.microsoft.com/office/drawing/2014/chart" uri="{C3380CC4-5D6E-409C-BE32-E72D297353CC}">
              <c16:uniqueId val="{00000002-1400-4B87-8B5F-91289EB35818}"/>
            </c:ext>
          </c:extLst>
        </c:ser>
        <c:ser>
          <c:idx val="3"/>
          <c:order val="3"/>
          <c:tx>
            <c:v>Post-1989 natural forest</c:v>
          </c:tx>
          <c:spPr>
            <a:ln w="19050" cap="rnd" cmpd="sng" algn="ctr">
              <a:solidFill>
                <a:schemeClr val="accent2">
                  <a:lumMod val="60000"/>
                </a:schemeClr>
              </a:solidFill>
              <a:prstDash val="solid"/>
              <a:round/>
            </a:ln>
            <a:effectLst/>
          </c:spPr>
          <c:marker>
            <c:symbol val="none"/>
          </c:marker>
          <c:xVal>
            <c:numRef>
              <c:f>Tables!$B$62:$B$93</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xVal>
          <c:yVal>
            <c:numRef>
              <c:f>Tables!$F$62:$F$93</c:f>
              <c:numCache>
                <c:formatCode>_(* #,##0.00_);_(* \(#,##0.00\);_(* "-"??_);_(@_)</c:formatCode>
                <c:ptCount val="32"/>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1.376038063761E-2</c:v>
                </c:pt>
                <c:pt idx="19">
                  <c:v>5.517630479341E-2</c:v>
                </c:pt>
                <c:pt idx="20">
                  <c:v>2.8674721561903004E-2</c:v>
                </c:pt>
                <c:pt idx="21">
                  <c:v>8.9053265480089988E-2</c:v>
                </c:pt>
                <c:pt idx="22">
                  <c:v>6.0084506546399997E-2</c:v>
                </c:pt>
                <c:pt idx="23">
                  <c:v>0.11556168122049061</c:v>
                </c:pt>
                <c:pt idx="24">
                  <c:v>0.15896219867851158</c:v>
                </c:pt>
                <c:pt idx="25">
                  <c:v>0.1248978001900765</c:v>
                </c:pt>
                <c:pt idx="26">
                  <c:v>0.15686232818896262</c:v>
                </c:pt>
                <c:pt idx="27">
                  <c:v>4.7750675975614658E-2</c:v>
                </c:pt>
                <c:pt idx="28">
                  <c:v>4.8590001599753664E-2</c:v>
                </c:pt>
                <c:pt idx="29">
                  <c:v>9.7877001835708397E-2</c:v>
                </c:pt>
                <c:pt idx="30">
                  <c:v>6.4725876250477529E-2</c:v>
                </c:pt>
                <c:pt idx="31">
                  <c:v>6.4725876250477529E-2</c:v>
                </c:pt>
              </c:numCache>
            </c:numRef>
          </c:yVal>
          <c:smooth val="0"/>
          <c:extLst>
            <c:ext xmlns:c16="http://schemas.microsoft.com/office/drawing/2014/chart" uri="{C3380CC4-5D6E-409C-BE32-E72D297353CC}">
              <c16:uniqueId val="{00000003-1400-4B87-8B5F-91289EB35818}"/>
            </c:ext>
          </c:extLst>
        </c:ser>
        <c:dLbls>
          <c:showLegendKey val="0"/>
          <c:showVal val="0"/>
          <c:showCatName val="0"/>
          <c:showSerName val="0"/>
          <c:showPercent val="0"/>
          <c:showBubbleSize val="0"/>
        </c:dLbls>
        <c:axId val="40006400"/>
        <c:axId val="40007936"/>
      </c:scatterChart>
      <c:valAx>
        <c:axId val="40006400"/>
        <c:scaling>
          <c:orientation val="minMax"/>
          <c:max val="2021"/>
          <c:min val="1990"/>
        </c:scaling>
        <c:delete val="0"/>
        <c:axPos val="b"/>
        <c:majorGridlines>
          <c:spPr>
            <a:ln w="6350" cap="flat" cmpd="sng" algn="ctr">
              <a:solidFill>
                <a:schemeClr val="bg1">
                  <a:lumMod val="85000"/>
                </a:schemeClr>
              </a:solidFill>
              <a:prstDash val="dash"/>
              <a:round/>
            </a:ln>
            <a:effectLst/>
          </c:spPr>
        </c:majorGridlines>
        <c:numFmt formatCode="General" sourceLinked="1"/>
        <c:majorTickMark val="out"/>
        <c:minorTickMark val="out"/>
        <c:tickLblPos val="low"/>
        <c:spPr>
          <a:noFill/>
          <a:ln w="6350" cap="flat" cmpd="sng" algn="ctr">
            <a:solidFill>
              <a:schemeClr val="tx1"/>
            </a:solidFill>
            <a:prstDash val="solid"/>
            <a:round/>
          </a:ln>
          <a:effectLst/>
        </c:spPr>
        <c:txPr>
          <a:bodyPr rot="-5400000" spcFirstLastPara="1" vertOverflow="ellipsis" wrap="square" anchor="ctr" anchorCtr="1"/>
          <a:lstStyle/>
          <a:p>
            <a:pPr>
              <a:defRPr sz="800" b="0" i="0" u="none" strike="noStrike" kern="1200" baseline="0">
                <a:solidFill>
                  <a:srgbClr val="000000"/>
                </a:solidFill>
                <a:latin typeface="+mn-lt"/>
                <a:ea typeface="Arial"/>
                <a:cs typeface="Arial"/>
              </a:defRPr>
            </a:pPr>
            <a:endParaRPr lang="en-US"/>
          </a:p>
        </c:txPr>
        <c:crossAx val="40007936"/>
        <c:crosses val="autoZero"/>
        <c:crossBetween val="midCat"/>
        <c:majorUnit val="2"/>
        <c:minorUnit val="1"/>
      </c:valAx>
      <c:valAx>
        <c:axId val="40007936"/>
        <c:scaling>
          <c:orientation val="minMax"/>
        </c:scaling>
        <c:delete val="0"/>
        <c:axPos val="l"/>
        <c:majorGridlines>
          <c:spPr>
            <a:ln w="6350" cap="flat" cmpd="sng" algn="ctr">
              <a:solidFill>
                <a:schemeClr val="bg1">
                  <a:lumMod val="85000"/>
                </a:schemeClr>
              </a:solidFill>
              <a:prstDash val="solid"/>
              <a:round/>
            </a:ln>
            <a:effectLst/>
          </c:spPr>
        </c:majorGridlines>
        <c:title>
          <c:tx>
            <c:rich>
              <a:bodyPr rot="-5400000" spcFirstLastPara="1" vertOverflow="ellipsis" vert="horz" wrap="square" anchor="ctr" anchorCtr="1"/>
              <a:lstStyle/>
              <a:p>
                <a:pPr>
                  <a:defRPr sz="900" b="0" i="0" u="none" strike="noStrike" kern="1200" baseline="0">
                    <a:solidFill>
                      <a:srgbClr val="000000"/>
                    </a:solidFill>
                    <a:latin typeface="+mn-lt"/>
                    <a:ea typeface="Calibri"/>
                    <a:cs typeface="Calibri"/>
                  </a:defRPr>
                </a:pPr>
                <a:r>
                  <a:rPr lang="en-NZ"/>
                  <a:t> Area (000 hectares)</a:t>
                </a:r>
              </a:p>
            </c:rich>
          </c:tx>
          <c:layout>
            <c:manualLayout>
              <c:xMode val="edge"/>
              <c:yMode val="edge"/>
              <c:x val="3.107625452982004E-2"/>
              <c:y val="0.34333905814416565"/>
            </c:manualLayout>
          </c:layout>
          <c:overlay val="0"/>
          <c:spPr>
            <a:noFill/>
            <a:ln w="25400">
              <a:noFill/>
            </a:ln>
            <a:effectLst/>
          </c:spPr>
          <c:txPr>
            <a:bodyPr rot="-5400000" spcFirstLastPara="1" vertOverflow="ellipsis" vert="horz" wrap="square" anchor="ctr" anchorCtr="1"/>
            <a:lstStyle/>
            <a:p>
              <a:pPr>
                <a:defRPr sz="900" b="0" i="0" u="none" strike="noStrike" kern="1200" baseline="0">
                  <a:solidFill>
                    <a:srgbClr val="000000"/>
                  </a:solidFill>
                  <a:latin typeface="+mn-lt"/>
                  <a:ea typeface="Calibri"/>
                  <a:cs typeface="Calibri"/>
                </a:defRPr>
              </a:pPr>
              <a:endParaRPr lang="en-US"/>
            </a:p>
          </c:txPr>
        </c:title>
        <c:numFmt formatCode="#,##0" sourceLinked="0"/>
        <c:majorTickMark val="out"/>
        <c:minorTickMark val="none"/>
        <c:tickLblPos val="nextTo"/>
        <c:spPr>
          <a:noFill/>
          <a:ln w="6350" cap="flat" cmpd="sng" algn="ctr">
            <a:solidFill>
              <a:schemeClr val="tx1"/>
            </a:solidFill>
            <a:prstDash val="solid"/>
            <a:round/>
          </a:ln>
          <a:effectLst/>
        </c:spPr>
        <c:txPr>
          <a:bodyPr rot="0" spcFirstLastPara="1" vertOverflow="ellipsis" wrap="square" anchor="ctr" anchorCtr="1"/>
          <a:lstStyle/>
          <a:p>
            <a:pPr>
              <a:defRPr sz="800" b="0" i="0" u="none" strike="noStrike" kern="1200" baseline="0">
                <a:solidFill>
                  <a:srgbClr val="000000"/>
                </a:solidFill>
                <a:latin typeface="+mn-lt"/>
                <a:ea typeface="Arial"/>
                <a:cs typeface="Arial"/>
              </a:defRPr>
            </a:pPr>
            <a:endParaRPr lang="en-US"/>
          </a:p>
        </c:txPr>
        <c:crossAx val="40006400"/>
        <c:crosses val="autoZero"/>
        <c:crossBetween val="midCat"/>
      </c:valAx>
      <c:spPr>
        <a:solidFill>
          <a:schemeClr val="bg1"/>
        </a:solidFill>
        <a:ln>
          <a:noFill/>
        </a:ln>
        <a:effectLst/>
      </c:spPr>
    </c:plotArea>
    <c:legend>
      <c:legendPos val="b"/>
      <c:layout>
        <c:manualLayout>
          <c:xMode val="edge"/>
          <c:yMode val="edge"/>
          <c:x val="0.11222972422426501"/>
          <c:y val="0.88754236448617774"/>
          <c:w val="0.76667401572392047"/>
          <c:h val="0.10958183990442055"/>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00000"/>
              </a:solidFill>
              <a:latin typeface="+mn-lt"/>
              <a:ea typeface="Arial"/>
              <a:cs typeface="Arial"/>
            </a:defRPr>
          </a:pPr>
          <a:endParaRPr lang="en-US"/>
        </a:p>
      </c:txPr>
    </c:legend>
    <c:plotVisOnly val="1"/>
    <c:dispBlanksAs val="gap"/>
    <c:showDLblsOverMax val="0"/>
  </c:chart>
  <c:spPr>
    <a:solidFill>
      <a:schemeClr val="bg1"/>
    </a:solidFill>
    <a:ln w="6350" cap="flat" cmpd="sng" algn="ctr">
      <a:noFill/>
      <a:prstDash val="solid"/>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15653306905104"/>
          <c:y val="7.1806146812293623E-2"/>
          <c:w val="0.81827684177792226"/>
          <c:h val="0.6566477221843332"/>
        </c:manualLayout>
      </c:layout>
      <c:lineChart>
        <c:grouping val="standard"/>
        <c:varyColors val="0"/>
        <c:ser>
          <c:idx val="0"/>
          <c:order val="0"/>
          <c:tx>
            <c:strRef>
              <c:f>'NZL1'!$GD$4</c:f>
              <c:strCache>
                <c:ptCount val="1"/>
                <c:pt idx="0">
                  <c:v>Roundwood production</c:v>
                </c:pt>
              </c:strCache>
            </c:strRef>
          </c:tx>
          <c:spPr>
            <a:ln w="25400">
              <a:solidFill>
                <a:srgbClr val="1F497D"/>
              </a:solidFill>
            </a:ln>
          </c:spPr>
          <c:marker>
            <c:symbol val="none"/>
          </c:marker>
          <c:cat>
            <c:numRef>
              <c:f>'NZL1'!$GC$34:$GC$64</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'NZL1'!$GD$34:$GD$65</c:f>
              <c:numCache>
                <c:formatCode>0</c:formatCode>
                <c:ptCount val="32"/>
                <c:pt idx="0">
                  <c:v>13.127000000000001</c:v>
                </c:pt>
                <c:pt idx="1">
                  <c:v>13.820000000000002</c:v>
                </c:pt>
                <c:pt idx="2">
                  <c:v>14.253</c:v>
                </c:pt>
                <c:pt idx="3">
                  <c:v>14.907</c:v>
                </c:pt>
                <c:pt idx="4">
                  <c:v>15.948</c:v>
                </c:pt>
                <c:pt idx="5">
                  <c:v>16.594000000000001</c:v>
                </c:pt>
                <c:pt idx="6">
                  <c:v>16.321999999999999</c:v>
                </c:pt>
                <c:pt idx="7">
                  <c:v>16.920999999999996</c:v>
                </c:pt>
                <c:pt idx="8">
                  <c:v>15.302</c:v>
                </c:pt>
                <c:pt idx="9">
                  <c:v>17.75</c:v>
                </c:pt>
                <c:pt idx="10">
                  <c:v>19.279</c:v>
                </c:pt>
                <c:pt idx="11">
                  <c:v>20.670999999999999</c:v>
                </c:pt>
                <c:pt idx="12">
                  <c:v>22.098502668497375</c:v>
                </c:pt>
                <c:pt idx="13">
                  <c:v>21.268899999999995</c:v>
                </c:pt>
                <c:pt idx="14">
                  <c:v>19.844999999999995</c:v>
                </c:pt>
                <c:pt idx="15">
                  <c:v>19.08595</c:v>
                </c:pt>
                <c:pt idx="16">
                  <c:v>19.42428</c:v>
                </c:pt>
                <c:pt idx="17">
                  <c:v>20.394570000000005</c:v>
                </c:pt>
                <c:pt idx="18">
                  <c:v>19.473269999999999</c:v>
                </c:pt>
                <c:pt idx="19">
                  <c:v>20.826969999999996</c:v>
                </c:pt>
                <c:pt idx="20">
                  <c:v>24.491899999999998</c:v>
                </c:pt>
                <c:pt idx="21">
                  <c:v>26.130059999999997</c:v>
                </c:pt>
                <c:pt idx="22">
                  <c:v>27.413690000000003</c:v>
                </c:pt>
                <c:pt idx="23">
                  <c:v>29.76371</c:v>
                </c:pt>
                <c:pt idx="24">
                  <c:v>29.193860000000001</c:v>
                </c:pt>
                <c:pt idx="25">
                  <c:v>28.952809999999992</c:v>
                </c:pt>
                <c:pt idx="26">
                  <c:v>30.989249999999995</c:v>
                </c:pt>
                <c:pt idx="27">
                  <c:v>34.001289999999997</c:v>
                </c:pt>
                <c:pt idx="28">
                  <c:v>35.684095599999999</c:v>
                </c:pt>
                <c:pt idx="29">
                  <c:v>35.842537978000003</c:v>
                </c:pt>
                <c:pt idx="30">
                  <c:v>32.909439580644687</c:v>
                </c:pt>
                <c:pt idx="31">
                  <c:v>37.146273371939245</c:v>
                </c:pt>
              </c:numCache>
            </c:numRef>
          </c:val>
          <c:smooth val="0"/>
          <c:extLst>
            <c:ext xmlns:c16="http://schemas.microsoft.com/office/drawing/2014/chart" uri="{C3380CC4-5D6E-409C-BE32-E72D297353CC}">
              <c16:uniqueId val="{00000000-D676-4186-A7B8-BE7C165FB7C0}"/>
            </c:ext>
          </c:extLst>
        </c:ser>
        <c:ser>
          <c:idx val="1"/>
          <c:order val="1"/>
          <c:tx>
            <c:strRef>
              <c:f>'NZL1'!$GE$4</c:f>
              <c:strCache>
                <c:ptCount val="1"/>
                <c:pt idx="0">
                  <c:v>Roundwood export</c:v>
                </c:pt>
              </c:strCache>
            </c:strRef>
          </c:tx>
          <c:spPr>
            <a:ln w="25400">
              <a:solidFill>
                <a:srgbClr val="4F81BD"/>
              </a:solidFill>
              <a:prstDash val="solid"/>
            </a:ln>
          </c:spPr>
          <c:marker>
            <c:symbol val="none"/>
          </c:marker>
          <c:cat>
            <c:numRef>
              <c:f>'NZL1'!$GC$34:$GC$64</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'NZL1'!$GE$34:$GE$65</c:f>
              <c:numCache>
                <c:formatCode>0</c:formatCode>
                <c:ptCount val="32"/>
                <c:pt idx="0">
                  <c:v>1.682987</c:v>
                </c:pt>
                <c:pt idx="1">
                  <c:v>3.604873</c:v>
                </c:pt>
                <c:pt idx="2">
                  <c:v>4.2761709999999997</c:v>
                </c:pt>
                <c:pt idx="3">
                  <c:v>4.4590209999999999</c:v>
                </c:pt>
                <c:pt idx="4">
                  <c:v>4.9603000000000002</c:v>
                </c:pt>
                <c:pt idx="5">
                  <c:v>5.3879999999999999</c:v>
                </c:pt>
                <c:pt idx="6">
                  <c:v>5.64</c:v>
                </c:pt>
                <c:pt idx="7">
                  <c:v>5.952</c:v>
                </c:pt>
                <c:pt idx="8">
                  <c:v>4.3040000000000003</c:v>
                </c:pt>
                <c:pt idx="9">
                  <c:v>5.8040000000000003</c:v>
                </c:pt>
                <c:pt idx="10">
                  <c:v>5.9089999999999998</c:v>
                </c:pt>
                <c:pt idx="11">
                  <c:v>7.2836999999999996</c:v>
                </c:pt>
                <c:pt idx="12">
                  <c:v>7.8803000000000001</c:v>
                </c:pt>
                <c:pt idx="13">
                  <c:v>7.5398299020000001</c:v>
                </c:pt>
                <c:pt idx="14">
                  <c:v>5.5190109239999998</c:v>
                </c:pt>
                <c:pt idx="15">
                  <c:v>5.1938174389999991</c:v>
                </c:pt>
                <c:pt idx="16">
                  <c:v>5.576770777000001</c:v>
                </c:pt>
                <c:pt idx="17">
                  <c:v>5.9782258200000014</c:v>
                </c:pt>
                <c:pt idx="18">
                  <c:v>6.6840023229999996</c:v>
                </c:pt>
                <c:pt idx="19">
                  <c:v>8.8207761430000016</c:v>
                </c:pt>
                <c:pt idx="20">
                  <c:v>10.886289976385997</c:v>
                </c:pt>
                <c:pt idx="21">
                  <c:v>12.79902774333028</c:v>
                </c:pt>
                <c:pt idx="22">
                  <c:v>13.760970278402681</c:v>
                </c:pt>
                <c:pt idx="23">
                  <c:v>16.602314932199999</c:v>
                </c:pt>
                <c:pt idx="24">
                  <c:v>16.561107175999997</c:v>
                </c:pt>
                <c:pt idx="25">
                  <c:v>15.395631956599999</c:v>
                </c:pt>
                <c:pt idx="26">
                  <c:v>17.428368061100002</c:v>
                </c:pt>
                <c:pt idx="27">
                  <c:v>19.216054378799996</c:v>
                </c:pt>
                <c:pt idx="28">
                  <c:v>21.384178339399995</c:v>
                </c:pt>
                <c:pt idx="29">
                  <c:v>21.720732765799998</c:v>
                </c:pt>
                <c:pt idx="30">
                  <c:v>20.082873555800003</c:v>
                </c:pt>
                <c:pt idx="31">
                  <c:v>22.648682249</c:v>
                </c:pt>
              </c:numCache>
            </c:numRef>
          </c:val>
          <c:smooth val="0"/>
          <c:extLst>
            <c:ext xmlns:c16="http://schemas.microsoft.com/office/drawing/2014/chart" uri="{C3380CC4-5D6E-409C-BE32-E72D297353CC}">
              <c16:uniqueId val="{00000001-D676-4186-A7B8-BE7C165FB7C0}"/>
            </c:ext>
          </c:extLst>
        </c:ser>
        <c:dLbls>
          <c:showLegendKey val="0"/>
          <c:showVal val="0"/>
          <c:showCatName val="0"/>
          <c:showSerName val="0"/>
          <c:showPercent val="0"/>
          <c:showBubbleSize val="0"/>
        </c:dLbls>
        <c:smooth val="0"/>
        <c:axId val="644263296"/>
        <c:axId val="661836928"/>
      </c:lineChart>
      <c:catAx>
        <c:axId val="644263296"/>
        <c:scaling>
          <c:orientation val="minMax"/>
        </c:scaling>
        <c:delete val="0"/>
        <c:axPos val="b"/>
        <c:majorGridlines>
          <c:spPr>
            <a:ln>
              <a:noFill/>
              <a:prstDash val="dash"/>
            </a:ln>
          </c:spPr>
        </c:majorGridlines>
        <c:numFmt formatCode="General" sourceLinked="1"/>
        <c:majorTickMark val="out"/>
        <c:minorTickMark val="none"/>
        <c:tickLblPos val="low"/>
        <c:spPr>
          <a:ln>
            <a:solidFill>
              <a:schemeClr val="tx1"/>
            </a:solidFill>
          </a:ln>
        </c:spPr>
        <c:txPr>
          <a:bodyPr rot="-5400000" vert="horz"/>
          <a:lstStyle/>
          <a:p>
            <a:pPr>
              <a:defRPr sz="700"/>
            </a:pPr>
            <a:endParaRPr lang="en-US"/>
          </a:p>
        </c:txPr>
        <c:crossAx val="661836928"/>
        <c:crossesAt val="0"/>
        <c:auto val="1"/>
        <c:lblAlgn val="ctr"/>
        <c:lblOffset val="100"/>
        <c:tickLblSkip val="2"/>
        <c:noMultiLvlLbl val="1"/>
      </c:catAx>
      <c:valAx>
        <c:axId val="661836928"/>
        <c:scaling>
          <c:orientation val="minMax"/>
        </c:scaling>
        <c:delete val="0"/>
        <c:axPos val="l"/>
        <c:majorGridlines>
          <c:spPr>
            <a:ln>
              <a:solidFill>
                <a:schemeClr val="bg1">
                  <a:lumMod val="85000"/>
                </a:schemeClr>
              </a:solidFill>
            </a:ln>
          </c:spPr>
        </c:majorGridlines>
        <c:title>
          <c:tx>
            <c:rich>
              <a:bodyPr/>
              <a:lstStyle/>
              <a:p>
                <a:pPr>
                  <a:defRPr sz="900"/>
                </a:pPr>
                <a:r>
                  <a:rPr lang="en-NZ" sz="900" b="0" i="0" baseline="0">
                    <a:effectLst/>
                  </a:rPr>
                  <a:t>Cubic metres (millions)</a:t>
                </a:r>
                <a:endParaRPr lang="en-NZ" sz="900">
                  <a:effectLst/>
                </a:endParaRPr>
              </a:p>
            </c:rich>
          </c:tx>
          <c:layout>
            <c:manualLayout>
              <c:xMode val="edge"/>
              <c:yMode val="edge"/>
              <c:x val="1.324758687452551E-2"/>
              <c:y val="0.27246271762407021"/>
            </c:manualLayout>
          </c:layout>
          <c:overlay val="0"/>
          <c:spPr>
            <a:noFill/>
            <a:ln w="25400">
              <a:noFill/>
            </a:ln>
          </c:spPr>
        </c:title>
        <c:numFmt formatCode="0" sourceLinked="1"/>
        <c:majorTickMark val="in"/>
        <c:minorTickMark val="none"/>
        <c:tickLblPos val="nextTo"/>
        <c:spPr>
          <a:noFill/>
          <a:ln>
            <a:solidFill>
              <a:schemeClr val="tx1"/>
            </a:solidFill>
          </a:ln>
        </c:spPr>
        <c:txPr>
          <a:bodyPr rot="0" vert="horz"/>
          <a:lstStyle/>
          <a:p>
            <a:pPr>
              <a:defRPr sz="700"/>
            </a:pPr>
            <a:endParaRPr lang="en-US"/>
          </a:p>
        </c:txPr>
        <c:crossAx val="644263296"/>
        <c:crosses val="autoZero"/>
        <c:crossBetween val="midCat"/>
      </c:valAx>
      <c:spPr>
        <a:solidFill>
          <a:schemeClr val="bg1"/>
        </a:solidFill>
      </c:spPr>
    </c:plotArea>
    <c:legend>
      <c:legendPos val="b"/>
      <c:layout>
        <c:manualLayout>
          <c:xMode val="edge"/>
          <c:yMode val="edge"/>
          <c:x val="0.14081566251993363"/>
          <c:y val="0.90879040014992862"/>
          <c:w val="0.73292433537832313"/>
          <c:h val="6.0484294301921926E-2"/>
        </c:manualLayout>
      </c:layout>
      <c:overlay val="0"/>
      <c:txPr>
        <a:bodyPr/>
        <a:lstStyle/>
        <a:p>
          <a:pPr>
            <a:defRPr sz="900"/>
          </a:pPr>
          <a:endParaRPr lang="en-US"/>
        </a:p>
      </c:txPr>
    </c:legend>
    <c:plotVisOnly val="1"/>
    <c:dispBlanksAs val="gap"/>
    <c:showDLblsOverMax val="0"/>
  </c:chart>
  <c:spPr>
    <a:ln>
      <a:noFill/>
    </a:ln>
  </c:spPr>
  <c:txPr>
    <a:bodyPr/>
    <a:lstStyle/>
    <a:p>
      <a:pPr>
        <a:defRPr sz="800" b="0" i="0" u="none" strike="noStrike" baseline="0">
          <a:solidFill>
            <a:srgbClr val="000000"/>
          </a:solidFill>
          <a:latin typeface="Arial" panose="020B0604020202020204" pitchFamily="34" charset="0"/>
          <a:ea typeface="Calibri"/>
          <a:cs typeface="Arial" panose="020B0604020202020204" pitchFamily="34" charset="0"/>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270090141366"/>
          <c:y val="6.4774140074595934E-2"/>
          <c:w val="0.86004845962490917"/>
          <c:h val="0.79877215470465213"/>
        </c:manualLayout>
      </c:layout>
      <c:scatterChart>
        <c:scatterStyle val="lineMarker"/>
        <c:varyColors val="0"/>
        <c:ser>
          <c:idx val="0"/>
          <c:order val="0"/>
          <c:spPr>
            <a:ln w="25400">
              <a:solidFill>
                <a:srgbClr val="1B556B"/>
              </a:solidFill>
            </a:ln>
          </c:spPr>
          <c:marker>
            <c:symbol val="none"/>
          </c:marker>
          <c:xVal>
            <c:numRef>
              <c:f>'Figure 5.1.2'!$E$1:$AJ$1</c:f>
              <c:numCache>
                <c:formatCode>0</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xVal>
          <c:yVal>
            <c:numRef>
              <c:f>'Figure 5.1.2'!$E$3:$AJ$3</c:f>
              <c:numCache>
                <c:formatCode>General</c:formatCode>
                <c:ptCount val="32"/>
                <c:pt idx="0">
                  <c:v>33312.045282497973</c:v>
                </c:pt>
                <c:pt idx="1">
                  <c:v>33557.064118086535</c:v>
                </c:pt>
                <c:pt idx="2">
                  <c:v>33113.285040973373</c:v>
                </c:pt>
                <c:pt idx="3">
                  <c:v>33506.028563252192</c:v>
                </c:pt>
                <c:pt idx="4">
                  <c:v>34605.101858634567</c:v>
                </c:pt>
                <c:pt idx="5">
                  <c:v>35176.371694609661</c:v>
                </c:pt>
                <c:pt idx="6">
                  <c:v>35500.516011800639</c:v>
                </c:pt>
                <c:pt idx="7">
                  <c:v>36330.830482162513</c:v>
                </c:pt>
                <c:pt idx="8">
                  <c:v>35740.367025939202</c:v>
                </c:pt>
                <c:pt idx="9">
                  <c:v>35974.613350787193</c:v>
                </c:pt>
                <c:pt idx="10">
                  <c:v>37068.757170261044</c:v>
                </c:pt>
                <c:pt idx="11">
                  <c:v>37837.167600089189</c:v>
                </c:pt>
                <c:pt idx="12">
                  <c:v>37727.751036806847</c:v>
                </c:pt>
                <c:pt idx="13">
                  <c:v>38300.972626172603</c:v>
                </c:pt>
                <c:pt idx="14">
                  <c:v>38414.970415572803</c:v>
                </c:pt>
                <c:pt idx="15">
                  <c:v>38794.30709413351</c:v>
                </c:pt>
                <c:pt idx="16">
                  <c:v>38529.260174906929</c:v>
                </c:pt>
                <c:pt idx="17">
                  <c:v>37663.195765421682</c:v>
                </c:pt>
                <c:pt idx="18">
                  <c:v>36398.577302718317</c:v>
                </c:pt>
                <c:pt idx="19">
                  <c:v>36525.275603451417</c:v>
                </c:pt>
                <c:pt idx="20">
                  <c:v>36759.836449455506</c:v>
                </c:pt>
                <c:pt idx="21">
                  <c:v>37334.440759004661</c:v>
                </c:pt>
                <c:pt idx="22">
                  <c:v>38019.05134377216</c:v>
                </c:pt>
                <c:pt idx="23">
                  <c:v>38179.94848533484</c:v>
                </c:pt>
                <c:pt idx="24">
                  <c:v>38755.233591108823</c:v>
                </c:pt>
                <c:pt idx="25">
                  <c:v>38269.380104141652</c:v>
                </c:pt>
                <c:pt idx="26">
                  <c:v>37853.524606759835</c:v>
                </c:pt>
                <c:pt idx="27">
                  <c:v>38007.758814621913</c:v>
                </c:pt>
                <c:pt idx="28">
                  <c:v>38326.001764329703</c:v>
                </c:pt>
                <c:pt idx="29">
                  <c:v>38399.831108251106</c:v>
                </c:pt>
                <c:pt idx="30">
                  <c:v>38360.192735326775</c:v>
                </c:pt>
                <c:pt idx="31">
                  <c:v>37786.136876831282</c:v>
                </c:pt>
              </c:numCache>
            </c:numRef>
          </c:yVal>
          <c:smooth val="0"/>
          <c:extLst>
            <c:ext xmlns:c16="http://schemas.microsoft.com/office/drawing/2014/chart" uri="{C3380CC4-5D6E-409C-BE32-E72D297353CC}">
              <c16:uniqueId val="{00000000-A9AB-4494-84D7-33121A487932}"/>
            </c:ext>
          </c:extLst>
        </c:ser>
        <c:dLbls>
          <c:showLegendKey val="0"/>
          <c:showVal val="0"/>
          <c:showCatName val="0"/>
          <c:showSerName val="0"/>
          <c:showPercent val="0"/>
          <c:showBubbleSize val="0"/>
        </c:dLbls>
        <c:axId val="197310888"/>
        <c:axId val="197305792"/>
      </c:scatterChart>
      <c:valAx>
        <c:axId val="197310888"/>
        <c:scaling>
          <c:orientation val="minMax"/>
          <c:max val="2021"/>
          <c:min val="1990"/>
        </c:scaling>
        <c:delete val="0"/>
        <c:axPos val="b"/>
        <c:majorGridlines>
          <c:spPr>
            <a:ln>
              <a:solidFill>
                <a:srgbClr val="A0A0A0"/>
              </a:solidFill>
              <a:prstDash val="dash"/>
            </a:ln>
          </c:spPr>
        </c:majorGridlines>
        <c:minorGridlines>
          <c:spPr>
            <a:ln w="6350">
              <a:solidFill>
                <a:srgbClr val="A0A0A0"/>
              </a:solidFill>
              <a:prstDash val="dash"/>
            </a:ln>
          </c:spPr>
        </c:minorGridlines>
        <c:numFmt formatCode="0" sourceLinked="1"/>
        <c:majorTickMark val="out"/>
        <c:minorTickMark val="out"/>
        <c:tickLblPos val="low"/>
        <c:spPr>
          <a:ln w="12700">
            <a:solidFill>
              <a:sysClr val="windowText" lastClr="000000"/>
            </a:solidFill>
          </a:ln>
        </c:spPr>
        <c:txPr>
          <a:bodyPr rot="-5400000" vert="horz"/>
          <a:lstStyle/>
          <a:p>
            <a:pPr>
              <a:defRPr sz="7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197305792"/>
        <c:crosses val="autoZero"/>
        <c:crossBetween val="midCat"/>
        <c:majorUnit val="2"/>
        <c:minorUnit val="1"/>
      </c:valAx>
      <c:valAx>
        <c:axId val="197305792"/>
        <c:scaling>
          <c:orientation val="minMax"/>
          <c:min val="0"/>
        </c:scaling>
        <c:delete val="0"/>
        <c:axPos val="l"/>
        <c:majorGridlines>
          <c:spPr>
            <a:ln w="6350">
              <a:solidFill>
                <a:srgbClr val="A0A0A0"/>
              </a:solidFill>
            </a:ln>
          </c:spPr>
        </c:majorGridlines>
        <c:title>
          <c:tx>
            <c:rich>
              <a:bodyPr/>
              <a:lstStyle/>
              <a:p>
                <a:pPr>
                  <a:defRPr sz="900" b="0" i="0" u="none" strike="noStrike" baseline="0">
                    <a:solidFill>
                      <a:srgbClr val="000000"/>
                    </a:solidFill>
                    <a:latin typeface="Arial" panose="020B0604020202020204" pitchFamily="34" charset="0"/>
                    <a:ea typeface="Calibri"/>
                    <a:cs typeface="Arial" panose="020B0604020202020204" pitchFamily="34" charset="0"/>
                  </a:defRPr>
                </a:pPr>
                <a:r>
                  <a:rPr lang="en-NZ" sz="900">
                    <a:latin typeface="Arial" panose="020B0604020202020204" pitchFamily="34" charset="0"/>
                    <a:cs typeface="Arial" panose="020B0604020202020204" pitchFamily="34" charset="0"/>
                  </a:rPr>
                  <a:t>kt</a:t>
                </a:r>
                <a:r>
                  <a:rPr lang="en-NZ" sz="900" baseline="0">
                    <a:latin typeface="Arial" panose="020B0604020202020204" pitchFamily="34" charset="0"/>
                    <a:cs typeface="Arial" panose="020B0604020202020204" pitchFamily="34" charset="0"/>
                  </a:rPr>
                  <a:t> CO</a:t>
                </a:r>
                <a:r>
                  <a:rPr lang="en-NZ" sz="900" baseline="-25000">
                    <a:latin typeface="Arial" panose="020B0604020202020204" pitchFamily="34" charset="0"/>
                    <a:cs typeface="Arial" panose="020B0604020202020204" pitchFamily="34" charset="0"/>
                  </a:rPr>
                  <a:t>2</a:t>
                </a:r>
                <a:r>
                  <a:rPr lang="en-NZ" sz="900" baseline="0">
                    <a:latin typeface="Arial" panose="020B0604020202020204" pitchFamily="34" charset="0"/>
                    <a:cs typeface="Arial" panose="020B0604020202020204" pitchFamily="34" charset="0"/>
                  </a:rPr>
                  <a:t>-equivalent</a:t>
                </a:r>
                <a:endParaRPr lang="en-NZ" sz="900">
                  <a:latin typeface="Arial" panose="020B0604020202020204" pitchFamily="34" charset="0"/>
                  <a:cs typeface="Arial" panose="020B0604020202020204" pitchFamily="34" charset="0"/>
                </a:endParaRPr>
              </a:p>
            </c:rich>
          </c:tx>
          <c:layout>
            <c:manualLayout>
              <c:xMode val="edge"/>
              <c:yMode val="edge"/>
              <c:x val="6.6952923781574388E-3"/>
              <c:y val="0.31059428355960078"/>
            </c:manualLayout>
          </c:layout>
          <c:overlay val="0"/>
          <c:spPr>
            <a:noFill/>
            <a:ln w="25400">
              <a:noFill/>
            </a:ln>
          </c:spPr>
        </c:title>
        <c:numFmt formatCode="#,##0" sourceLinked="0"/>
        <c:majorTickMark val="out"/>
        <c:minorTickMark val="none"/>
        <c:tickLblPos val="nextTo"/>
        <c:spPr>
          <a:ln w="12700">
            <a:solidFill>
              <a:sysClr val="windowText" lastClr="000000"/>
            </a:solidFill>
          </a:ln>
        </c:spPr>
        <c:txPr>
          <a:bodyPr rot="0" vert="horz"/>
          <a:lstStyle/>
          <a:p>
            <a:pPr>
              <a:defRPr sz="7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197310888"/>
        <c:crosses val="autoZero"/>
        <c:crossBetween val="midCat"/>
      </c:valAx>
      <c:spPr>
        <a:solidFill>
          <a:schemeClr val="bg1"/>
        </a:solidFill>
      </c:spPr>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240190813401385E-2"/>
          <c:y val="6.4774140074595934E-2"/>
          <c:w val="0.91164880260146219"/>
          <c:h val="0.77474797632277947"/>
        </c:manualLayout>
      </c:layout>
      <c:scatterChart>
        <c:scatterStyle val="lineMarker"/>
        <c:varyColors val="0"/>
        <c:ser>
          <c:idx val="0"/>
          <c:order val="0"/>
          <c:tx>
            <c:strRef>
              <c:f>'Figure 5.1.3(a+b)'!$D$6</c:f>
              <c:strCache>
                <c:ptCount val="1"/>
                <c:pt idx="0">
                  <c:v>Dairy cattle</c:v>
                </c:pt>
              </c:strCache>
            </c:strRef>
          </c:tx>
          <c:spPr>
            <a:ln>
              <a:solidFill>
                <a:srgbClr val="1B556B"/>
              </a:solidFill>
            </a:ln>
          </c:spPr>
          <c:marker>
            <c:symbol val="none"/>
          </c:marker>
          <c:xVal>
            <c:numRef>
              <c:f>'Figure 5.1.3(a+b)'!$C$9:$C$40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xVal>
          <c:yVal>
            <c:numRef>
              <c:f>'Figure 5.1.3(a+b)'!$G$71:$G$102</c:f>
              <c:numCache>
                <c:formatCode>#,##0.00</c:formatCode>
                <c:ptCount val="32"/>
                <c:pt idx="0">
                  <c:v>4.0399339999999997</c:v>
                </c:pt>
                <c:pt idx="1">
                  <c:v>3.986011</c:v>
                </c:pt>
                <c:pt idx="2">
                  <c:v>4.0251789999999996</c:v>
                </c:pt>
                <c:pt idx="3">
                  <c:v>4.176876</c:v>
                </c:pt>
                <c:pt idx="4">
                  <c:v>4.5018529999999997</c:v>
                </c:pt>
                <c:pt idx="5">
                  <c:v>4.71713</c:v>
                </c:pt>
                <c:pt idx="6">
                  <c:v>4.7646110000000004</c:v>
                </c:pt>
                <c:pt idx="7">
                  <c:v>4.8667030000000002</c:v>
                </c:pt>
                <c:pt idx="8">
                  <c:v>4.9914050000000003</c:v>
                </c:pt>
                <c:pt idx="9">
                  <c:v>5.0466150000000001</c:v>
                </c:pt>
                <c:pt idx="10">
                  <c:v>5.4133040000000001</c:v>
                </c:pt>
                <c:pt idx="11">
                  <c:v>5.7905579999999999</c:v>
                </c:pt>
                <c:pt idx="12">
                  <c:v>6.0022630000000001</c:v>
                </c:pt>
                <c:pt idx="13">
                  <c:v>5.8257110000000001</c:v>
                </c:pt>
                <c:pt idx="14">
                  <c:v>5.7492080000000003</c:v>
                </c:pt>
                <c:pt idx="15">
                  <c:v>5.7010800000000001</c:v>
                </c:pt>
                <c:pt idx="16">
                  <c:v>5.7553260000000002</c:v>
                </c:pt>
                <c:pt idx="17">
                  <c:v>5.9167540000000001</c:v>
                </c:pt>
                <c:pt idx="18">
                  <c:v>6.2416700000000001</c:v>
                </c:pt>
                <c:pt idx="19">
                  <c:v>6.5000119999999999</c:v>
                </c:pt>
                <c:pt idx="20">
                  <c:v>6.6001899999999996</c:v>
                </c:pt>
                <c:pt idx="21">
                  <c:v>6.8968870000000004</c:v>
                </c:pt>
                <c:pt idx="22">
                  <c:v>7.1916690000000001</c:v>
                </c:pt>
                <c:pt idx="23">
                  <c:v>7.1990829999999999</c:v>
                </c:pt>
                <c:pt idx="24">
                  <c:v>7.4448080000000001</c:v>
                </c:pt>
                <c:pt idx="25">
                  <c:v>7.2817420000000004</c:v>
                </c:pt>
                <c:pt idx="26">
                  <c:v>7.4051439999999999</c:v>
                </c:pt>
                <c:pt idx="27">
                  <c:v>7.1819629999999997</c:v>
                </c:pt>
                <c:pt idx="28">
                  <c:v>7.1374829999999996</c:v>
                </c:pt>
                <c:pt idx="29">
                  <c:v>6.9852319999999999</c:v>
                </c:pt>
                <c:pt idx="30">
                  <c:v>6.9102670000000002</c:v>
                </c:pt>
                <c:pt idx="31">
                  <c:v>6.7414290000000001</c:v>
                </c:pt>
              </c:numCache>
            </c:numRef>
          </c:yVal>
          <c:smooth val="0"/>
          <c:extLst>
            <c:ext xmlns:c16="http://schemas.microsoft.com/office/drawing/2014/chart" uri="{C3380CC4-5D6E-409C-BE32-E72D297353CC}">
              <c16:uniqueId val="{00000000-3EEA-47AB-84B4-824AC64DFF64}"/>
            </c:ext>
          </c:extLst>
        </c:ser>
        <c:ser>
          <c:idx val="1"/>
          <c:order val="1"/>
          <c:tx>
            <c:strRef>
              <c:f>'Figure 5.1.3(a+b)'!$E$6</c:f>
              <c:strCache>
                <c:ptCount val="1"/>
                <c:pt idx="0">
                  <c:v>Non-dairy cattle</c:v>
                </c:pt>
              </c:strCache>
            </c:strRef>
          </c:tx>
          <c:spPr>
            <a:ln>
              <a:solidFill>
                <a:srgbClr val="2C9986"/>
              </a:solidFill>
            </a:ln>
          </c:spPr>
          <c:marker>
            <c:symbol val="none"/>
          </c:marker>
          <c:xVal>
            <c:numRef>
              <c:f>'Figure 5.1.3(a+b)'!$C$9:$C$40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xVal>
          <c:yVal>
            <c:numRef>
              <c:f>'Figure 5.1.3(a+b)'!$H$71:$H$102</c:f>
              <c:numCache>
                <c:formatCode>#,##0.00</c:formatCode>
                <c:ptCount val="32"/>
                <c:pt idx="0">
                  <c:v>4.593159</c:v>
                </c:pt>
                <c:pt idx="1">
                  <c:v>4.6705690000000004</c:v>
                </c:pt>
                <c:pt idx="2">
                  <c:v>4.6764960000000002</c:v>
                </c:pt>
                <c:pt idx="3">
                  <c:v>4.7579609999999999</c:v>
                </c:pt>
                <c:pt idx="4">
                  <c:v>5.0478480000000001</c:v>
                </c:pt>
                <c:pt idx="5">
                  <c:v>5.1825080000000003</c:v>
                </c:pt>
                <c:pt idx="6">
                  <c:v>4.8521780000000003</c:v>
                </c:pt>
                <c:pt idx="7">
                  <c:v>4.806</c:v>
                </c:pt>
                <c:pt idx="8">
                  <c:v>4.4319990000000002</c:v>
                </c:pt>
                <c:pt idx="9">
                  <c:v>4.6437039999999996</c:v>
                </c:pt>
                <c:pt idx="10">
                  <c:v>4.5940300000000001</c:v>
                </c:pt>
                <c:pt idx="11">
                  <c:v>4.5443530000000001</c:v>
                </c:pt>
                <c:pt idx="12">
                  <c:v>4.4912809999999999</c:v>
                </c:pt>
                <c:pt idx="13">
                  <c:v>4.6266179999999997</c:v>
                </c:pt>
                <c:pt idx="14">
                  <c:v>4.4473989999999999</c:v>
                </c:pt>
                <c:pt idx="15">
                  <c:v>4.4236259999999996</c:v>
                </c:pt>
                <c:pt idx="16">
                  <c:v>4.4391360000000004</c:v>
                </c:pt>
                <c:pt idx="17">
                  <c:v>4.393618</c:v>
                </c:pt>
                <c:pt idx="18">
                  <c:v>4.1368749999999999</c:v>
                </c:pt>
                <c:pt idx="19">
                  <c:v>4.1007170000000004</c:v>
                </c:pt>
                <c:pt idx="20">
                  <c:v>3.948518</c:v>
                </c:pt>
                <c:pt idx="21">
                  <c:v>3.8464149999999999</c:v>
                </c:pt>
                <c:pt idx="22">
                  <c:v>3.7344119999999998</c:v>
                </c:pt>
                <c:pt idx="23">
                  <c:v>3.6985220000000001</c:v>
                </c:pt>
                <c:pt idx="24">
                  <c:v>3.669861</c:v>
                </c:pt>
                <c:pt idx="25">
                  <c:v>3.547231</c:v>
                </c:pt>
                <c:pt idx="26">
                  <c:v>3.5330539999999999</c:v>
                </c:pt>
                <c:pt idx="27">
                  <c:v>3.6160920000000001</c:v>
                </c:pt>
                <c:pt idx="28">
                  <c:v>3.7212610000000002</c:v>
                </c:pt>
                <c:pt idx="29">
                  <c:v>3.8899970000000001</c:v>
                </c:pt>
                <c:pt idx="30">
                  <c:v>3.882568</c:v>
                </c:pt>
                <c:pt idx="31">
                  <c:v>3.9648119999999998</c:v>
                </c:pt>
              </c:numCache>
            </c:numRef>
          </c:yVal>
          <c:smooth val="0"/>
          <c:extLst>
            <c:ext xmlns:c16="http://schemas.microsoft.com/office/drawing/2014/chart" uri="{C3380CC4-5D6E-409C-BE32-E72D297353CC}">
              <c16:uniqueId val="{00000001-3EEA-47AB-84B4-824AC64DFF64}"/>
            </c:ext>
          </c:extLst>
        </c:ser>
        <c:ser>
          <c:idx val="2"/>
          <c:order val="2"/>
          <c:tx>
            <c:strRef>
              <c:f>'Figure 5.1.3(a+b)'!$J$6</c:f>
              <c:strCache>
                <c:ptCount val="1"/>
                <c:pt idx="0">
                  <c:v>Deer</c:v>
                </c:pt>
              </c:strCache>
            </c:strRef>
          </c:tx>
          <c:spPr>
            <a:ln>
              <a:solidFill>
                <a:srgbClr val="A0A0A0"/>
              </a:solidFill>
            </a:ln>
          </c:spPr>
          <c:marker>
            <c:symbol val="none"/>
          </c:marker>
          <c:xVal>
            <c:numRef>
              <c:f>'Figure 5.1.3(a+b)'!$C$9:$C$40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xVal>
          <c:yVal>
            <c:numRef>
              <c:f>'Figure 5.1.3(a+b)'!$I$71:$I$102</c:f>
              <c:numCache>
                <c:formatCode>#,##0.00</c:formatCode>
                <c:ptCount val="32"/>
                <c:pt idx="0">
                  <c:v>0.97628999999999999</c:v>
                </c:pt>
                <c:pt idx="1">
                  <c:v>1.1295029999999999</c:v>
                </c:pt>
                <c:pt idx="2">
                  <c:v>1.1352420000000001</c:v>
                </c:pt>
                <c:pt idx="3">
                  <c:v>1.078479</c:v>
                </c:pt>
                <c:pt idx="4">
                  <c:v>1.231109</c:v>
                </c:pt>
                <c:pt idx="5">
                  <c:v>1.178704</c:v>
                </c:pt>
                <c:pt idx="6">
                  <c:v>1.1921379999999999</c:v>
                </c:pt>
                <c:pt idx="7">
                  <c:v>1.353688</c:v>
                </c:pt>
                <c:pt idx="8">
                  <c:v>1.5152380000000001</c:v>
                </c:pt>
                <c:pt idx="9">
                  <c:v>1.6767879999999999</c:v>
                </c:pt>
                <c:pt idx="10">
                  <c:v>1.6671713333333333</c:v>
                </c:pt>
                <c:pt idx="11">
                  <c:v>1.6575546666666665</c:v>
                </c:pt>
                <c:pt idx="12">
                  <c:v>1.6479379999999999</c:v>
                </c:pt>
                <c:pt idx="13">
                  <c:v>1.6894439999999999</c:v>
                </c:pt>
                <c:pt idx="14">
                  <c:v>1.756888</c:v>
                </c:pt>
                <c:pt idx="15">
                  <c:v>1.705084</c:v>
                </c:pt>
                <c:pt idx="16">
                  <c:v>1.5869180000000001</c:v>
                </c:pt>
                <c:pt idx="17">
                  <c:v>1.396023</c:v>
                </c:pt>
                <c:pt idx="18">
                  <c:v>1.2233240000000001</c:v>
                </c:pt>
                <c:pt idx="19">
                  <c:v>1.145858</c:v>
                </c:pt>
                <c:pt idx="20">
                  <c:v>1.122695</c:v>
                </c:pt>
                <c:pt idx="21">
                  <c:v>1.088533</c:v>
                </c:pt>
                <c:pt idx="22">
                  <c:v>1.060694</c:v>
                </c:pt>
                <c:pt idx="23">
                  <c:v>1.0283819999999999</c:v>
                </c:pt>
                <c:pt idx="24">
                  <c:v>0.95821900000000004</c:v>
                </c:pt>
                <c:pt idx="25">
                  <c:v>0.90010000000000001</c:v>
                </c:pt>
                <c:pt idx="26">
                  <c:v>0.83460800000000002</c:v>
                </c:pt>
                <c:pt idx="27">
                  <c:v>0.836337</c:v>
                </c:pt>
                <c:pt idx="28">
                  <c:v>0.85142380000000006</c:v>
                </c:pt>
                <c:pt idx="29">
                  <c:v>0.81044300000000002</c:v>
                </c:pt>
                <c:pt idx="30">
                  <c:v>0.83325800000000005</c:v>
                </c:pt>
                <c:pt idx="31">
                  <c:v>0.81398027303870002</c:v>
                </c:pt>
              </c:numCache>
            </c:numRef>
          </c:yVal>
          <c:smooth val="0"/>
          <c:extLst>
            <c:ext xmlns:c16="http://schemas.microsoft.com/office/drawing/2014/chart" uri="{C3380CC4-5D6E-409C-BE32-E72D297353CC}">
              <c16:uniqueId val="{00000002-3EEA-47AB-84B4-824AC64DFF64}"/>
            </c:ext>
          </c:extLst>
        </c:ser>
        <c:dLbls>
          <c:showLegendKey val="0"/>
          <c:showVal val="0"/>
          <c:showCatName val="0"/>
          <c:showSerName val="0"/>
          <c:showPercent val="0"/>
          <c:showBubbleSize val="0"/>
        </c:dLbls>
        <c:axId val="193931456"/>
        <c:axId val="193936160"/>
      </c:scatterChart>
      <c:valAx>
        <c:axId val="193931456"/>
        <c:scaling>
          <c:orientation val="minMax"/>
          <c:max val="2021"/>
          <c:min val="1990"/>
        </c:scaling>
        <c:delete val="0"/>
        <c:axPos val="b"/>
        <c:majorGridlines>
          <c:spPr>
            <a:ln>
              <a:solidFill>
                <a:srgbClr val="A0A0A0"/>
              </a:solidFill>
              <a:prstDash val="dash"/>
            </a:ln>
          </c:spPr>
        </c:majorGridlines>
        <c:minorGridlines>
          <c:spPr>
            <a:ln w="6350">
              <a:solidFill>
                <a:srgbClr val="A0A0A0"/>
              </a:solidFill>
              <a:prstDash val="dash"/>
            </a:ln>
          </c:spPr>
        </c:minorGridlines>
        <c:numFmt formatCode="General" sourceLinked="1"/>
        <c:majorTickMark val="out"/>
        <c:minorTickMark val="out"/>
        <c:tickLblPos val="low"/>
        <c:spPr>
          <a:ln w="12700">
            <a:solidFill>
              <a:sysClr val="windowText" lastClr="000000"/>
            </a:solidFill>
          </a:ln>
        </c:spPr>
        <c:txPr>
          <a:bodyPr rot="-5400000" vert="horz"/>
          <a:lstStyle/>
          <a:p>
            <a:pPr>
              <a:defRPr sz="7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193936160"/>
        <c:crosses val="autoZero"/>
        <c:crossBetween val="midCat"/>
        <c:majorUnit val="2"/>
        <c:minorUnit val="1"/>
      </c:valAx>
      <c:valAx>
        <c:axId val="193936160"/>
        <c:scaling>
          <c:orientation val="minMax"/>
          <c:min val="0"/>
        </c:scaling>
        <c:delete val="0"/>
        <c:axPos val="l"/>
        <c:majorGridlines>
          <c:spPr>
            <a:ln w="6350">
              <a:solidFill>
                <a:srgbClr val="A0A0A0"/>
              </a:solidFill>
            </a:ln>
          </c:spPr>
        </c:majorGridlines>
        <c:title>
          <c:tx>
            <c:rich>
              <a:bodyPr/>
              <a:lstStyle/>
              <a:p>
                <a:pPr>
                  <a:defRPr sz="900" b="0" i="0" u="none" strike="noStrike" baseline="0">
                    <a:solidFill>
                      <a:srgbClr val="000000"/>
                    </a:solidFill>
                    <a:latin typeface="Arial" panose="020B0604020202020204" pitchFamily="34" charset="0"/>
                    <a:ea typeface="Calibri"/>
                    <a:cs typeface="Arial" panose="020B0604020202020204" pitchFamily="34" charset="0"/>
                  </a:defRPr>
                </a:pPr>
                <a:r>
                  <a:rPr lang="en-NZ" sz="900">
                    <a:latin typeface="Arial" panose="020B0604020202020204" pitchFamily="34" charset="0"/>
                    <a:cs typeface="Arial" panose="020B0604020202020204" pitchFamily="34" charset="0"/>
                  </a:rPr>
                  <a:t>Livestock population (million head)</a:t>
                </a:r>
              </a:p>
            </c:rich>
          </c:tx>
          <c:layout>
            <c:manualLayout>
              <c:xMode val="edge"/>
              <c:yMode val="edge"/>
              <c:x val="9.6656691431915315E-3"/>
              <c:y val="0.15277955120474807"/>
            </c:manualLayout>
          </c:layout>
          <c:overlay val="0"/>
          <c:spPr>
            <a:noFill/>
            <a:ln w="25400">
              <a:noFill/>
            </a:ln>
          </c:spPr>
        </c:title>
        <c:numFmt formatCode="#,##0" sourceLinked="0"/>
        <c:majorTickMark val="out"/>
        <c:minorTickMark val="none"/>
        <c:tickLblPos val="nextTo"/>
        <c:spPr>
          <a:ln w="12700">
            <a:solidFill>
              <a:sysClr val="windowText" lastClr="000000"/>
            </a:solidFill>
          </a:ln>
        </c:spPr>
        <c:txPr>
          <a:bodyPr rot="0" vert="horz"/>
          <a:lstStyle/>
          <a:p>
            <a:pPr>
              <a:defRPr sz="7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193931456"/>
        <c:crosses val="autoZero"/>
        <c:crossBetween val="midCat"/>
      </c:valAx>
      <c:spPr>
        <a:solidFill>
          <a:schemeClr val="bg1"/>
        </a:solidFill>
      </c:spPr>
    </c:plotArea>
    <c:legend>
      <c:legendPos val="b"/>
      <c:layout>
        <c:manualLayout>
          <c:xMode val="edge"/>
          <c:yMode val="edge"/>
          <c:x val="0.21843523381308286"/>
          <c:y val="0.93613802779157096"/>
          <c:w val="0.56312953237383423"/>
          <c:h val="6.3861972208428902E-2"/>
        </c:manualLayout>
      </c:layout>
      <c:overlay val="0"/>
      <c:txPr>
        <a:bodyPr/>
        <a:lstStyle/>
        <a:p>
          <a:pPr>
            <a:defRPr sz="9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633786161345229E-2"/>
          <c:y val="3.9100151954689868E-2"/>
          <c:w val="0.90737720284964363"/>
          <c:h val="0.88096090620251433"/>
        </c:manualLayout>
      </c:layout>
      <c:scatterChart>
        <c:scatterStyle val="lineMarker"/>
        <c:varyColors val="0"/>
        <c:ser>
          <c:idx val="0"/>
          <c:order val="0"/>
          <c:spPr>
            <a:ln>
              <a:solidFill>
                <a:srgbClr val="1B556B"/>
              </a:solidFill>
            </a:ln>
          </c:spPr>
          <c:marker>
            <c:symbol val="none"/>
          </c:marker>
          <c:xVal>
            <c:numRef>
              <c:f>'Figure 5.1.3(a+b)'!$B$71:$B$102</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xVal>
          <c:yVal>
            <c:numRef>
              <c:f>'Figure 5.1.3(a+b)'!$C$71:$C$102</c:f>
              <c:numCache>
                <c:formatCode>0.00</c:formatCode>
                <c:ptCount val="32"/>
                <c:pt idx="0">
                  <c:v>57.852192000000002</c:v>
                </c:pt>
                <c:pt idx="1">
                  <c:v>55.161642999999998</c:v>
                </c:pt>
                <c:pt idx="2">
                  <c:v>52.568393</c:v>
                </c:pt>
                <c:pt idx="3">
                  <c:v>50.298361</c:v>
                </c:pt>
                <c:pt idx="4">
                  <c:v>49.466054</c:v>
                </c:pt>
                <c:pt idx="5">
                  <c:v>48.816271</c:v>
                </c:pt>
                <c:pt idx="6">
                  <c:v>47.393906999999999</c:v>
                </c:pt>
                <c:pt idx="7">
                  <c:v>46.833999999999996</c:v>
                </c:pt>
                <c:pt idx="8">
                  <c:v>45.95600000000001</c:v>
                </c:pt>
                <c:pt idx="9">
                  <c:v>45.679890999999998</c:v>
                </c:pt>
                <c:pt idx="10">
                  <c:v>43.643873999999997</c:v>
                </c:pt>
                <c:pt idx="11">
                  <c:v>41.607855000000001</c:v>
                </c:pt>
                <c:pt idx="12">
                  <c:v>39.571837000000002</c:v>
                </c:pt>
                <c:pt idx="13">
                  <c:v>39.552112999999999</c:v>
                </c:pt>
                <c:pt idx="14">
                  <c:v>39.271137000000003</c:v>
                </c:pt>
                <c:pt idx="15">
                  <c:v>39.879668000000002</c:v>
                </c:pt>
                <c:pt idx="16">
                  <c:v>40.081594000000003</c:v>
                </c:pt>
                <c:pt idx="17">
                  <c:v>38.460476999999997</c:v>
                </c:pt>
                <c:pt idx="18">
                  <c:v>34.087864000000003</c:v>
                </c:pt>
                <c:pt idx="19">
                  <c:v>32.383589000000001</c:v>
                </c:pt>
                <c:pt idx="20">
                  <c:v>32.562612000000001</c:v>
                </c:pt>
                <c:pt idx="21">
                  <c:v>31.132328999999999</c:v>
                </c:pt>
                <c:pt idx="22">
                  <c:v>31.262715</c:v>
                </c:pt>
                <c:pt idx="23">
                  <c:v>30.786760999999998</c:v>
                </c:pt>
                <c:pt idx="24">
                  <c:v>29.803401999999998</c:v>
                </c:pt>
                <c:pt idx="25">
                  <c:v>29.120826999999998</c:v>
                </c:pt>
                <c:pt idx="26">
                  <c:v>27.583673000000001</c:v>
                </c:pt>
                <c:pt idx="27">
                  <c:v>27.526537000000001</c:v>
                </c:pt>
                <c:pt idx="28">
                  <c:v>27.2957489</c:v>
                </c:pt>
                <c:pt idx="29">
                  <c:v>26.821846000000001</c:v>
                </c:pt>
                <c:pt idx="30">
                  <c:v>26.028935000000001</c:v>
                </c:pt>
                <c:pt idx="31">
                  <c:v>25.732888572371198</c:v>
                </c:pt>
              </c:numCache>
            </c:numRef>
          </c:yVal>
          <c:smooth val="0"/>
          <c:extLst>
            <c:ext xmlns:c16="http://schemas.microsoft.com/office/drawing/2014/chart" uri="{C3380CC4-5D6E-409C-BE32-E72D297353CC}">
              <c16:uniqueId val="{00000000-DA55-4FC5-96C7-C85E5DEC0570}"/>
            </c:ext>
          </c:extLst>
        </c:ser>
        <c:dLbls>
          <c:showLegendKey val="0"/>
          <c:showVal val="0"/>
          <c:showCatName val="0"/>
          <c:showSerName val="0"/>
          <c:showPercent val="0"/>
          <c:showBubbleSize val="0"/>
        </c:dLbls>
        <c:axId val="193935768"/>
        <c:axId val="193936944"/>
      </c:scatterChart>
      <c:valAx>
        <c:axId val="193935768"/>
        <c:scaling>
          <c:orientation val="minMax"/>
          <c:max val="2021"/>
          <c:min val="1990"/>
        </c:scaling>
        <c:delete val="0"/>
        <c:axPos val="b"/>
        <c:majorGridlines>
          <c:spPr>
            <a:ln>
              <a:solidFill>
                <a:srgbClr val="A0A0A0"/>
              </a:solidFill>
              <a:prstDash val="dash"/>
            </a:ln>
          </c:spPr>
        </c:majorGridlines>
        <c:minorGridlines>
          <c:spPr>
            <a:ln w="6350">
              <a:solidFill>
                <a:srgbClr val="A0A0A0"/>
              </a:solidFill>
              <a:prstDash val="dash"/>
            </a:ln>
          </c:spPr>
        </c:minorGridlines>
        <c:numFmt formatCode="General" sourceLinked="1"/>
        <c:majorTickMark val="out"/>
        <c:minorTickMark val="out"/>
        <c:tickLblPos val="low"/>
        <c:spPr>
          <a:ln w="12700">
            <a:solidFill>
              <a:sysClr val="windowText" lastClr="000000"/>
            </a:solidFill>
          </a:ln>
        </c:spPr>
        <c:txPr>
          <a:bodyPr rot="-5400000" vert="horz"/>
          <a:lstStyle/>
          <a:p>
            <a:pPr>
              <a:defRPr sz="7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193936944"/>
        <c:crosses val="autoZero"/>
        <c:crossBetween val="midCat"/>
        <c:majorUnit val="2"/>
        <c:minorUnit val="1"/>
      </c:valAx>
      <c:valAx>
        <c:axId val="193936944"/>
        <c:scaling>
          <c:orientation val="minMax"/>
          <c:min val="0"/>
        </c:scaling>
        <c:delete val="0"/>
        <c:axPos val="l"/>
        <c:majorGridlines>
          <c:spPr>
            <a:ln w="6350">
              <a:solidFill>
                <a:srgbClr val="A0A0A0"/>
              </a:solidFill>
            </a:ln>
          </c:spPr>
        </c:majorGridlines>
        <c:title>
          <c:tx>
            <c:rich>
              <a:bodyPr/>
              <a:lstStyle/>
              <a:p>
                <a:pPr>
                  <a:defRPr sz="900" b="0" i="0" u="none" strike="noStrike" baseline="0">
                    <a:solidFill>
                      <a:srgbClr val="000000"/>
                    </a:solidFill>
                    <a:latin typeface="Arial" panose="020B0604020202020204" pitchFamily="34" charset="0"/>
                    <a:ea typeface="Calibri"/>
                    <a:cs typeface="Arial" panose="020B0604020202020204" pitchFamily="34" charset="0"/>
                  </a:defRPr>
                </a:pPr>
                <a:r>
                  <a:rPr lang="en-NZ" sz="900">
                    <a:latin typeface="Arial" panose="020B0604020202020204" pitchFamily="34" charset="0"/>
                    <a:cs typeface="Arial" panose="020B0604020202020204" pitchFamily="34" charset="0"/>
                  </a:rPr>
                  <a:t>Sheep population (million head)</a:t>
                </a:r>
              </a:p>
            </c:rich>
          </c:tx>
          <c:layout>
            <c:manualLayout>
              <c:xMode val="edge"/>
              <c:yMode val="edge"/>
              <c:x val="1.5900760249796368E-3"/>
              <c:y val="0.21149336997469176"/>
            </c:manualLayout>
          </c:layout>
          <c:overlay val="0"/>
          <c:spPr>
            <a:noFill/>
            <a:ln w="25400">
              <a:noFill/>
            </a:ln>
          </c:spPr>
        </c:title>
        <c:numFmt formatCode="#,##0" sourceLinked="0"/>
        <c:majorTickMark val="out"/>
        <c:minorTickMark val="none"/>
        <c:tickLblPos val="nextTo"/>
        <c:spPr>
          <a:ln w="12700">
            <a:solidFill>
              <a:sysClr val="windowText" lastClr="000000"/>
            </a:solidFill>
          </a:ln>
        </c:spPr>
        <c:txPr>
          <a:bodyPr rot="0" vert="horz"/>
          <a:lstStyle/>
          <a:p>
            <a:pPr>
              <a:defRPr sz="7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193935768"/>
        <c:crosses val="autoZero"/>
        <c:crossBetween val="midCat"/>
      </c:valAx>
      <c:spPr>
        <a:solidFill>
          <a:schemeClr val="bg1"/>
        </a:solidFill>
      </c:spPr>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277670612458583"/>
          <c:y val="5.5424570834553773E-2"/>
          <c:w val="0.75004037007133284"/>
          <c:h val="0.74441725396570324"/>
        </c:manualLayout>
      </c:layout>
      <c:scatterChart>
        <c:scatterStyle val="lineMarker"/>
        <c:varyColors val="0"/>
        <c:ser>
          <c:idx val="0"/>
          <c:order val="0"/>
          <c:tx>
            <c:strRef>
              <c:f>'Figure 5.1.4'!$D$2</c:f>
              <c:strCache>
                <c:ptCount val="1"/>
                <c:pt idx="0">
                  <c:v>Milk production per cow in the year beginning in June</c:v>
                </c:pt>
              </c:strCache>
            </c:strRef>
          </c:tx>
          <c:spPr>
            <a:ln>
              <a:solidFill>
                <a:srgbClr val="1B556B"/>
              </a:solidFill>
            </a:ln>
          </c:spPr>
          <c:marker>
            <c:symbol val="none"/>
          </c:marker>
          <c:xVal>
            <c:numRef>
              <c:f>'Figure 5.1.4'!$B$4:$B$35</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xVal>
          <c:yVal>
            <c:numRef>
              <c:f>'Figure 5.1.4'!$D$4:$D$35</c:f>
              <c:numCache>
                <c:formatCode>General</c:formatCode>
                <c:ptCount val="32"/>
                <c:pt idx="0">
                  <c:v>2746.2945841183237</c:v>
                </c:pt>
                <c:pt idx="1">
                  <c:v>2720.9599199561321</c:v>
                </c:pt>
                <c:pt idx="2">
                  <c:v>2936.824641732022</c:v>
                </c:pt>
                <c:pt idx="3">
                  <c:v>2915.9563859296309</c:v>
                </c:pt>
                <c:pt idx="4">
                  <c:v>3179.0063505397779</c:v>
                </c:pt>
                <c:pt idx="5">
                  <c:v>2991.7798011398995</c:v>
                </c:pt>
                <c:pt idx="6">
                  <c:v>3055.7498924919969</c:v>
                </c:pt>
                <c:pt idx="7">
                  <c:v>3316.7398109921019</c:v>
                </c:pt>
                <c:pt idx="8">
                  <c:v>3307.8211526128184</c:v>
                </c:pt>
                <c:pt idx="9">
                  <c:v>3117.4741464796712</c:v>
                </c:pt>
                <c:pt idx="10">
                  <c:v>3484.6588120519455</c:v>
                </c:pt>
                <c:pt idx="11">
                  <c:v>3687.0544214937918</c:v>
                </c:pt>
                <c:pt idx="12">
                  <c:v>3704.0659884695847</c:v>
                </c:pt>
                <c:pt idx="13">
                  <c:v>3619.8901850371453</c:v>
                </c:pt>
                <c:pt idx="14">
                  <c:v>3716.5172320742131</c:v>
                </c:pt>
                <c:pt idx="15">
                  <c:v>3436.8760739479612</c:v>
                </c:pt>
                <c:pt idx="16">
                  <c:v>3568.2881350214166</c:v>
                </c:pt>
                <c:pt idx="17">
                  <c:v>3657.6417516797387</c:v>
                </c:pt>
                <c:pt idx="18">
                  <c:v>3538.3809690191383</c:v>
                </c:pt>
                <c:pt idx="19">
                  <c:v>3690.2623224417198</c:v>
                </c:pt>
                <c:pt idx="20">
                  <c:v>3577.806957326191</c:v>
                </c:pt>
                <c:pt idx="21">
                  <c:v>3704.8025418800985</c:v>
                </c:pt>
                <c:pt idx="22">
                  <c:v>3971.7325819787011</c:v>
                </c:pt>
                <c:pt idx="23">
                  <c:v>3769.1492130915535</c:v>
                </c:pt>
                <c:pt idx="24">
                  <c:v>4127.6510885711123</c:v>
                </c:pt>
                <c:pt idx="25">
                  <c:v>4106.1217115425452</c:v>
                </c:pt>
                <c:pt idx="26">
                  <c:v>4136.1692214801706</c:v>
                </c:pt>
                <c:pt idx="27">
                  <c:v>3979.2207083677799</c:v>
                </c:pt>
                <c:pt idx="28">
                  <c:v>4112.7341875292223</c:v>
                </c:pt>
                <c:pt idx="29">
                  <c:v>4232.9943127743072</c:v>
                </c:pt>
                <c:pt idx="30">
                  <c:v>4287.594223834436</c:v>
                </c:pt>
                <c:pt idx="31">
                  <c:v>4452.0344877249045</c:v>
                </c:pt>
              </c:numCache>
            </c:numRef>
          </c:yVal>
          <c:smooth val="0"/>
          <c:extLst>
            <c:ext xmlns:c16="http://schemas.microsoft.com/office/drawing/2014/chart" uri="{C3380CC4-5D6E-409C-BE32-E72D297353CC}">
              <c16:uniqueId val="{00000000-FA1E-4B0B-BE6A-744FB5B5C66C}"/>
            </c:ext>
          </c:extLst>
        </c:ser>
        <c:dLbls>
          <c:showLegendKey val="0"/>
          <c:showVal val="0"/>
          <c:showCatName val="0"/>
          <c:showSerName val="0"/>
          <c:showPercent val="0"/>
          <c:showBubbleSize val="0"/>
        </c:dLbls>
        <c:axId val="197076872"/>
        <c:axId val="197075696"/>
      </c:scatterChart>
      <c:scatterChart>
        <c:scatterStyle val="lineMarker"/>
        <c:varyColors val="0"/>
        <c:ser>
          <c:idx val="1"/>
          <c:order val="1"/>
          <c:tx>
            <c:strRef>
              <c:f>'Figure 5.1.4'!$C$3</c:f>
              <c:strCache>
                <c:ptCount val="1"/>
                <c:pt idx="0">
                  <c:v>Implied emission factor for dairy cattle</c:v>
                </c:pt>
              </c:strCache>
            </c:strRef>
          </c:tx>
          <c:spPr>
            <a:ln>
              <a:solidFill>
                <a:srgbClr val="2C9986"/>
              </a:solidFill>
            </a:ln>
          </c:spPr>
          <c:marker>
            <c:symbol val="none"/>
          </c:marker>
          <c:xVal>
            <c:numRef>
              <c:f>'Figure 5.1.4'!$B$4:$B$35</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xVal>
          <c:yVal>
            <c:numRef>
              <c:f>'Figure 5.1.4'!$C$4:$C$35</c:f>
              <c:numCache>
                <c:formatCode>0.0</c:formatCode>
                <c:ptCount val="32"/>
                <c:pt idx="0">
                  <c:v>59.534853117996278</c:v>
                </c:pt>
                <c:pt idx="1">
                  <c:v>62.816140970639786</c:v>
                </c:pt>
                <c:pt idx="2">
                  <c:v>63.513105236529732</c:v>
                </c:pt>
                <c:pt idx="3">
                  <c:v>63.501905044797979</c:v>
                </c:pt>
                <c:pt idx="4">
                  <c:v>62.100936981336034</c:v>
                </c:pt>
                <c:pt idx="5">
                  <c:v>62.746698357678603</c:v>
                </c:pt>
                <c:pt idx="6">
                  <c:v>65.581782103903365</c:v>
                </c:pt>
                <c:pt idx="7">
                  <c:v>66.284229971671039</c:v>
                </c:pt>
                <c:pt idx="8">
                  <c:v>64.366848731773985</c:v>
                </c:pt>
                <c:pt idx="9">
                  <c:v>64.800193198478453</c:v>
                </c:pt>
                <c:pt idx="10">
                  <c:v>65.47261967568673</c:v>
                </c:pt>
                <c:pt idx="11">
                  <c:v>65.731248692051096</c:v>
                </c:pt>
                <c:pt idx="12">
                  <c:v>66.123383431211252</c:v>
                </c:pt>
                <c:pt idx="13">
                  <c:v>69.747994766674609</c:v>
                </c:pt>
                <c:pt idx="14">
                  <c:v>70.339961709858102</c:v>
                </c:pt>
                <c:pt idx="15">
                  <c:v>70.769870781699368</c:v>
                </c:pt>
                <c:pt idx="16">
                  <c:v>70.596821866226975</c:v>
                </c:pt>
                <c:pt idx="17">
                  <c:v>69.235288842316848</c:v>
                </c:pt>
                <c:pt idx="18">
                  <c:v>68.087241958654332</c:v>
                </c:pt>
                <c:pt idx="19">
                  <c:v>68.933144728083633</c:v>
                </c:pt>
                <c:pt idx="20">
                  <c:v>70.672185138072422</c:v>
                </c:pt>
                <c:pt idx="21">
                  <c:v>71.307611178600041</c:v>
                </c:pt>
                <c:pt idx="22">
                  <c:v>70.971086440464106</c:v>
                </c:pt>
                <c:pt idx="23">
                  <c:v>73.329579843721646</c:v>
                </c:pt>
                <c:pt idx="24">
                  <c:v>73.487712826944204</c:v>
                </c:pt>
                <c:pt idx="25">
                  <c:v>74.749343872487117</c:v>
                </c:pt>
                <c:pt idx="26">
                  <c:v>73.034874732488959</c:v>
                </c:pt>
                <c:pt idx="27">
                  <c:v>75.482144769537044</c:v>
                </c:pt>
                <c:pt idx="28">
                  <c:v>76.326648952735894</c:v>
                </c:pt>
                <c:pt idx="29">
                  <c:v>77.381399216774227</c:v>
                </c:pt>
                <c:pt idx="30">
                  <c:v>78.562884329995484</c:v>
                </c:pt>
                <c:pt idx="31">
                  <c:v>79.404383874614069</c:v>
                </c:pt>
              </c:numCache>
            </c:numRef>
          </c:yVal>
          <c:smooth val="0"/>
          <c:extLst>
            <c:ext xmlns:c16="http://schemas.microsoft.com/office/drawing/2014/chart" uri="{C3380CC4-5D6E-409C-BE32-E72D297353CC}">
              <c16:uniqueId val="{00000001-FA1E-4B0B-BE6A-744FB5B5C66C}"/>
            </c:ext>
          </c:extLst>
        </c:ser>
        <c:dLbls>
          <c:showLegendKey val="0"/>
          <c:showVal val="0"/>
          <c:showCatName val="0"/>
          <c:showSerName val="0"/>
          <c:showPercent val="0"/>
          <c:showBubbleSize val="0"/>
        </c:dLbls>
        <c:axId val="197074912"/>
        <c:axId val="197073736"/>
      </c:scatterChart>
      <c:valAx>
        <c:axId val="197076872"/>
        <c:scaling>
          <c:orientation val="minMax"/>
          <c:max val="2021"/>
          <c:min val="1990"/>
        </c:scaling>
        <c:delete val="0"/>
        <c:axPos val="b"/>
        <c:majorGridlines>
          <c:spPr>
            <a:ln w="6350">
              <a:solidFill>
                <a:srgbClr val="A0A0A0"/>
              </a:solidFill>
              <a:prstDash val="dash"/>
            </a:ln>
          </c:spPr>
        </c:majorGridlines>
        <c:minorGridlines>
          <c:spPr>
            <a:ln w="6350">
              <a:solidFill>
                <a:srgbClr val="A0A0A0"/>
              </a:solidFill>
              <a:prstDash val="dash"/>
            </a:ln>
            <a:effectLst/>
          </c:spPr>
        </c:minorGridlines>
        <c:numFmt formatCode="General" sourceLinked="1"/>
        <c:majorTickMark val="out"/>
        <c:minorTickMark val="out"/>
        <c:tickLblPos val="low"/>
        <c:spPr>
          <a:ln w="12700">
            <a:solidFill>
              <a:sysClr val="windowText" lastClr="000000"/>
            </a:solidFill>
          </a:ln>
        </c:spPr>
        <c:txPr>
          <a:bodyPr rot="-5400000" vert="horz"/>
          <a:lstStyle/>
          <a:p>
            <a:pPr>
              <a:defRPr sz="700" b="0" i="0" u="none" strike="noStrike" baseline="0">
                <a:solidFill>
                  <a:srgbClr val="000000"/>
                </a:solidFill>
                <a:latin typeface="Arial" panose="020B0604020202020204" pitchFamily="34" charset="0"/>
                <a:ea typeface="Calibri"/>
                <a:cs typeface="Arial" panose="020B0604020202020204" pitchFamily="34" charset="0"/>
              </a:defRPr>
            </a:pPr>
            <a:endParaRPr lang="en-US"/>
          </a:p>
        </c:txPr>
        <c:crossAx val="197075696"/>
        <c:crosses val="autoZero"/>
        <c:crossBetween val="midCat"/>
        <c:majorUnit val="2"/>
        <c:minorUnit val="1"/>
      </c:valAx>
      <c:valAx>
        <c:axId val="197075696"/>
        <c:scaling>
          <c:orientation val="minMax"/>
          <c:min val="2600"/>
        </c:scaling>
        <c:delete val="0"/>
        <c:axPos val="l"/>
        <c:majorGridlines>
          <c:spPr>
            <a:ln w="6350">
              <a:solidFill>
                <a:srgbClr val="A0A0A0"/>
              </a:solidFill>
            </a:ln>
          </c:spPr>
        </c:majorGridlines>
        <c:title>
          <c:tx>
            <c:rich>
              <a:bodyPr/>
              <a:lstStyle/>
              <a:p>
                <a:pPr>
                  <a:defRPr sz="1096" b="0" i="0" u="none" strike="noStrike" baseline="0">
                    <a:solidFill>
                      <a:srgbClr val="000000"/>
                    </a:solidFill>
                    <a:latin typeface="Arial" panose="020B0604020202020204" pitchFamily="34" charset="0"/>
                    <a:ea typeface="Calibri"/>
                    <a:cs typeface="Arial" panose="020B0604020202020204" pitchFamily="34" charset="0"/>
                  </a:defRPr>
                </a:pPr>
                <a:r>
                  <a:rPr lang="en-NZ" sz="897" b="0" i="0" u="none" strike="noStrike" baseline="0">
                    <a:solidFill>
                      <a:srgbClr val="000000"/>
                    </a:solidFill>
                    <a:latin typeface="Arial" panose="020B0604020202020204" pitchFamily="34" charset="0"/>
                    <a:cs typeface="Arial" panose="020B0604020202020204" pitchFamily="34" charset="0"/>
                  </a:rPr>
                  <a:t>Milk production per cow (litres per year)</a:t>
                </a:r>
              </a:p>
            </c:rich>
          </c:tx>
          <c:layout>
            <c:manualLayout>
              <c:xMode val="edge"/>
              <c:yMode val="edge"/>
              <c:x val="7.4423438186977898E-3"/>
              <c:y val="0.13352058389961527"/>
            </c:manualLayout>
          </c:layout>
          <c:overlay val="0"/>
          <c:spPr>
            <a:noFill/>
            <a:ln w="25311">
              <a:noFill/>
            </a:ln>
          </c:spPr>
        </c:title>
        <c:numFmt formatCode="#,##0" sourceLinked="0"/>
        <c:majorTickMark val="out"/>
        <c:minorTickMark val="none"/>
        <c:tickLblPos val="nextTo"/>
        <c:spPr>
          <a:ln w="12700">
            <a:solidFill>
              <a:sysClr val="windowText" lastClr="000000"/>
            </a:solidFill>
          </a:ln>
        </c:spPr>
        <c:txPr>
          <a:bodyPr rot="0" vert="horz"/>
          <a:lstStyle/>
          <a:p>
            <a:pPr>
              <a:defRPr sz="700">
                <a:latin typeface="Arial" panose="020B0604020202020204" pitchFamily="34" charset="0"/>
                <a:cs typeface="Arial" panose="020B0604020202020204" pitchFamily="34" charset="0"/>
              </a:defRPr>
            </a:pPr>
            <a:endParaRPr lang="en-US"/>
          </a:p>
        </c:txPr>
        <c:crossAx val="197076872"/>
        <c:crosses val="autoZero"/>
        <c:crossBetween val="midCat"/>
      </c:valAx>
      <c:valAx>
        <c:axId val="197073736"/>
        <c:scaling>
          <c:orientation val="minMax"/>
          <c:min val="55"/>
        </c:scaling>
        <c:delete val="0"/>
        <c:axPos val="r"/>
        <c:title>
          <c:tx>
            <c:rich>
              <a:bodyPr/>
              <a:lstStyle/>
              <a:p>
                <a:pPr>
                  <a:defRPr/>
                </a:pPr>
                <a:r>
                  <a:rPr lang="en-NZ"/>
                  <a:t>Implied emission factor for enteric fermentation (dairy cattle) </a:t>
                </a:r>
              </a:p>
              <a:p>
                <a:pPr>
                  <a:defRPr/>
                </a:pPr>
                <a:r>
                  <a:rPr lang="en-NZ"/>
                  <a:t>(kg CH</a:t>
                </a:r>
                <a:r>
                  <a:rPr lang="en-NZ" baseline="-25000"/>
                  <a:t>4</a:t>
                </a:r>
                <a:r>
                  <a:rPr lang="en-NZ"/>
                  <a:t> per animal per annum)</a:t>
                </a:r>
              </a:p>
            </c:rich>
          </c:tx>
          <c:layout>
            <c:manualLayout>
              <c:xMode val="edge"/>
              <c:yMode val="edge"/>
              <c:x val="0.94079164175560448"/>
              <c:y val="5.1961399744650173E-2"/>
            </c:manualLayout>
          </c:layout>
          <c:overlay val="0"/>
        </c:title>
        <c:numFmt formatCode="0.0" sourceLinked="1"/>
        <c:majorTickMark val="out"/>
        <c:minorTickMark val="none"/>
        <c:tickLblPos val="nextTo"/>
        <c:crossAx val="197074912"/>
        <c:crosses val="max"/>
        <c:crossBetween val="midCat"/>
      </c:valAx>
      <c:valAx>
        <c:axId val="197074912"/>
        <c:scaling>
          <c:orientation val="minMax"/>
        </c:scaling>
        <c:delete val="1"/>
        <c:axPos val="b"/>
        <c:numFmt formatCode="General" sourceLinked="1"/>
        <c:majorTickMark val="out"/>
        <c:minorTickMark val="none"/>
        <c:tickLblPos val="nextTo"/>
        <c:crossAx val="197073736"/>
        <c:crosses val="autoZero"/>
        <c:crossBetween val="midCat"/>
      </c:valAx>
      <c:spPr>
        <a:solidFill>
          <a:schemeClr val="bg1"/>
        </a:solidFill>
      </c:spPr>
    </c:plotArea>
    <c:legend>
      <c:legendPos val="b"/>
      <c:layout>
        <c:manualLayout>
          <c:xMode val="edge"/>
          <c:yMode val="edge"/>
          <c:x val="0.10924382041614507"/>
          <c:y val="0.8904777831081705"/>
          <c:w val="0.72882920091841308"/>
          <c:h val="0.10848590688235185"/>
        </c:manualLayout>
      </c:layout>
      <c:overlay val="0"/>
      <c:txPr>
        <a:bodyPr/>
        <a:lstStyle/>
        <a:p>
          <a:pPr>
            <a:defRPr sz="900">
              <a:latin typeface="Arial" panose="020B0604020202020204" pitchFamily="34" charset="0"/>
              <a:cs typeface="Arial" panose="020B0604020202020204" pitchFamily="34" charset="0"/>
            </a:defRPr>
          </a:pPr>
          <a:endParaRPr lang="en-US"/>
        </a:p>
      </c:txPr>
    </c:legend>
    <c:plotVisOnly val="1"/>
    <c:dispBlanksAs val="gap"/>
    <c:showDLblsOverMax val="0"/>
  </c:chart>
  <c:spPr>
    <a:ln w="6328">
      <a:noFill/>
    </a:ln>
  </c:spPr>
  <c:txPr>
    <a:bodyPr/>
    <a:lstStyle/>
    <a:p>
      <a:pPr>
        <a:defRPr sz="897" b="0" i="0" u="none" strike="noStrike" baseline="0">
          <a:solidFill>
            <a:srgbClr val="000000"/>
          </a:solidFill>
          <a:latin typeface="Calibri"/>
          <a:ea typeface="Calibri"/>
          <a:cs typeface="Calibri"/>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399510252736876"/>
          <c:y val="5.3558922223329676E-2"/>
          <c:w val="0.81012275996280214"/>
          <c:h val="0.76747865377587299"/>
        </c:manualLayout>
      </c:layout>
      <c:lineChart>
        <c:grouping val="standard"/>
        <c:varyColors val="0"/>
        <c:ser>
          <c:idx val="4"/>
          <c:order val="0"/>
          <c:tx>
            <c:strRef>
              <c:f>'Figure 5.1.6'!$D$21</c:f>
              <c:strCache>
                <c:ptCount val="1"/>
                <c:pt idx="0">
                  <c:v>2019</c:v>
                </c:pt>
              </c:strCache>
            </c:strRef>
          </c:tx>
          <c:spPr>
            <a:ln>
              <a:solidFill>
                <a:srgbClr val="2C9986"/>
              </a:solidFill>
            </a:ln>
          </c:spPr>
          <c:marker>
            <c:symbol val="none"/>
          </c:marker>
          <c:cat>
            <c:strRef>
              <c:f>'Figure 5.1.6'!$E$11:$P$11</c:f>
              <c:strCache>
                <c:ptCount val="12"/>
                <c:pt idx="0">
                  <c:v>Jan</c:v>
                </c:pt>
                <c:pt idx="1">
                  <c:v>Feb</c:v>
                </c:pt>
                <c:pt idx="2">
                  <c:v>Mar</c:v>
                </c:pt>
                <c:pt idx="3">
                  <c:v>Apr</c:v>
                </c:pt>
                <c:pt idx="4">
                  <c:v>May</c:v>
                </c:pt>
                <c:pt idx="5">
                  <c:v>Jun</c:v>
                </c:pt>
                <c:pt idx="6">
                  <c:v>Jul</c:v>
                </c:pt>
                <c:pt idx="7">
                  <c:v>Aug</c:v>
                </c:pt>
                <c:pt idx="8">
                  <c:v>Sept</c:v>
                </c:pt>
                <c:pt idx="9">
                  <c:v>Oct</c:v>
                </c:pt>
                <c:pt idx="10">
                  <c:v>Nov</c:v>
                </c:pt>
                <c:pt idx="11">
                  <c:v>Dec</c:v>
                </c:pt>
              </c:strCache>
            </c:strRef>
          </c:cat>
          <c:val>
            <c:numRef>
              <c:f>'Figure 5.1.6'!$E$21:$P$21</c:f>
              <c:numCache>
                <c:formatCode>_-* #,##0_-;\-* #,##0_-;_-* "-"??_-;_-@_-</c:formatCode>
                <c:ptCount val="12"/>
                <c:pt idx="0">
                  <c:v>209036</c:v>
                </c:pt>
                <c:pt idx="1">
                  <c:v>165025</c:v>
                </c:pt>
                <c:pt idx="2">
                  <c:v>161433</c:v>
                </c:pt>
                <c:pt idx="3">
                  <c:v>136728</c:v>
                </c:pt>
                <c:pt idx="4">
                  <c:v>87839</c:v>
                </c:pt>
                <c:pt idx="5">
                  <c:v>19917</c:v>
                </c:pt>
                <c:pt idx="6">
                  <c:v>23539</c:v>
                </c:pt>
                <c:pt idx="7">
                  <c:v>119066</c:v>
                </c:pt>
                <c:pt idx="8">
                  <c:v>220982</c:v>
                </c:pt>
                <c:pt idx="9">
                  <c:v>266907</c:v>
                </c:pt>
                <c:pt idx="10">
                  <c:v>249135</c:v>
                </c:pt>
                <c:pt idx="11">
                  <c:v>228700</c:v>
                </c:pt>
              </c:numCache>
            </c:numRef>
          </c:val>
          <c:smooth val="0"/>
          <c:extLst>
            <c:ext xmlns:c16="http://schemas.microsoft.com/office/drawing/2014/chart" uri="{C3380CC4-5D6E-409C-BE32-E72D297353CC}">
              <c16:uniqueId val="{00000000-4FFF-452B-8910-7344975182BD}"/>
            </c:ext>
          </c:extLst>
        </c:ser>
        <c:ser>
          <c:idx val="5"/>
          <c:order val="1"/>
          <c:tx>
            <c:strRef>
              <c:f>'Figure 5.1.6'!$D$22</c:f>
              <c:strCache>
                <c:ptCount val="1"/>
                <c:pt idx="0">
                  <c:v>2020</c:v>
                </c:pt>
              </c:strCache>
            </c:strRef>
          </c:tx>
          <c:spPr>
            <a:ln>
              <a:solidFill>
                <a:srgbClr val="A0A0A0"/>
              </a:solidFill>
            </a:ln>
          </c:spPr>
          <c:marker>
            <c:symbol val="none"/>
          </c:marker>
          <c:cat>
            <c:strRef>
              <c:f>'Figure 5.1.6'!$E$11:$P$11</c:f>
              <c:strCache>
                <c:ptCount val="12"/>
                <c:pt idx="0">
                  <c:v>Jan</c:v>
                </c:pt>
                <c:pt idx="1">
                  <c:v>Feb</c:v>
                </c:pt>
                <c:pt idx="2">
                  <c:v>Mar</c:v>
                </c:pt>
                <c:pt idx="3">
                  <c:v>Apr</c:v>
                </c:pt>
                <c:pt idx="4">
                  <c:v>May</c:v>
                </c:pt>
                <c:pt idx="5">
                  <c:v>Jun</c:v>
                </c:pt>
                <c:pt idx="6">
                  <c:v>Jul</c:v>
                </c:pt>
                <c:pt idx="7">
                  <c:v>Aug</c:v>
                </c:pt>
                <c:pt idx="8">
                  <c:v>Sept</c:v>
                </c:pt>
                <c:pt idx="9">
                  <c:v>Oct</c:v>
                </c:pt>
                <c:pt idx="10">
                  <c:v>Nov</c:v>
                </c:pt>
                <c:pt idx="11">
                  <c:v>Dec</c:v>
                </c:pt>
              </c:strCache>
            </c:strRef>
          </c:cat>
          <c:val>
            <c:numRef>
              <c:f>'Figure 5.1.6'!$E$22:$P$22</c:f>
              <c:numCache>
                <c:formatCode>_-* #,##0_-;\-* #,##0_-;_-* "-"??_-;_-@_-</c:formatCode>
                <c:ptCount val="12"/>
                <c:pt idx="0">
                  <c:v>211377</c:v>
                </c:pt>
                <c:pt idx="1">
                  <c:v>167874</c:v>
                </c:pt>
                <c:pt idx="2">
                  <c:v>161619</c:v>
                </c:pt>
                <c:pt idx="3">
                  <c:v>135699</c:v>
                </c:pt>
                <c:pt idx="4">
                  <c:v>91147</c:v>
                </c:pt>
                <c:pt idx="5">
                  <c:v>20321</c:v>
                </c:pt>
                <c:pt idx="6">
                  <c:v>24795</c:v>
                </c:pt>
                <c:pt idx="7">
                  <c:v>124643</c:v>
                </c:pt>
                <c:pt idx="8">
                  <c:v>224952</c:v>
                </c:pt>
                <c:pt idx="9">
                  <c:v>267666</c:v>
                </c:pt>
                <c:pt idx="10">
                  <c:v>242303</c:v>
                </c:pt>
                <c:pt idx="11">
                  <c:v>231027</c:v>
                </c:pt>
              </c:numCache>
            </c:numRef>
          </c:val>
          <c:smooth val="0"/>
          <c:extLst>
            <c:ext xmlns:c16="http://schemas.microsoft.com/office/drawing/2014/chart" uri="{C3380CC4-5D6E-409C-BE32-E72D297353CC}">
              <c16:uniqueId val="{00000001-4FFF-452B-8910-7344975182BD}"/>
            </c:ext>
          </c:extLst>
        </c:ser>
        <c:ser>
          <c:idx val="0"/>
          <c:order val="2"/>
          <c:tx>
            <c:strRef>
              <c:f>'Figure 5.1.6'!$D$23</c:f>
              <c:strCache>
                <c:ptCount val="1"/>
                <c:pt idx="0">
                  <c:v>2021</c:v>
                </c:pt>
              </c:strCache>
            </c:strRef>
          </c:tx>
          <c:marker>
            <c:symbol val="none"/>
          </c:marker>
          <c:cat>
            <c:strRef>
              <c:f>'Figure 5.1.6'!$E$11:$P$11</c:f>
              <c:strCache>
                <c:ptCount val="12"/>
                <c:pt idx="0">
                  <c:v>Jan</c:v>
                </c:pt>
                <c:pt idx="1">
                  <c:v>Feb</c:v>
                </c:pt>
                <c:pt idx="2">
                  <c:v>Mar</c:v>
                </c:pt>
                <c:pt idx="3">
                  <c:v>Apr</c:v>
                </c:pt>
                <c:pt idx="4">
                  <c:v>May</c:v>
                </c:pt>
                <c:pt idx="5">
                  <c:v>Jun</c:v>
                </c:pt>
                <c:pt idx="6">
                  <c:v>Jul</c:v>
                </c:pt>
                <c:pt idx="7">
                  <c:v>Aug</c:v>
                </c:pt>
                <c:pt idx="8">
                  <c:v>Sept</c:v>
                </c:pt>
                <c:pt idx="9">
                  <c:v>Oct</c:v>
                </c:pt>
                <c:pt idx="10">
                  <c:v>Nov</c:v>
                </c:pt>
                <c:pt idx="11">
                  <c:v>Dec</c:v>
                </c:pt>
              </c:strCache>
            </c:strRef>
          </c:cat>
          <c:val>
            <c:numRef>
              <c:f>'Figure 5.1.6'!$E$23:$P$23</c:f>
              <c:numCache>
                <c:formatCode>_-* #,##0_-;\-* #,##0_-;_-* "-"??_-;_-@_-</c:formatCode>
                <c:ptCount val="12"/>
                <c:pt idx="0">
                  <c:v>212222</c:v>
                </c:pt>
                <c:pt idx="1">
                  <c:v>172916</c:v>
                </c:pt>
                <c:pt idx="2">
                  <c:v>175606</c:v>
                </c:pt>
                <c:pt idx="3">
                  <c:v>151501</c:v>
                </c:pt>
                <c:pt idx="4">
                  <c:v>99675</c:v>
                </c:pt>
                <c:pt idx="5">
                  <c:v>20642</c:v>
                </c:pt>
                <c:pt idx="6">
                  <c:v>26600</c:v>
                </c:pt>
                <c:pt idx="7">
                  <c:v>119435</c:v>
                </c:pt>
                <c:pt idx="8">
                  <c:v>215896</c:v>
                </c:pt>
                <c:pt idx="9">
                  <c:v>259461</c:v>
                </c:pt>
                <c:pt idx="10">
                  <c:v>239452</c:v>
                </c:pt>
                <c:pt idx="11">
                  <c:v>218357</c:v>
                </c:pt>
              </c:numCache>
            </c:numRef>
          </c:val>
          <c:smooth val="0"/>
          <c:extLst>
            <c:ext xmlns:c16="http://schemas.microsoft.com/office/drawing/2014/chart" uri="{C3380CC4-5D6E-409C-BE32-E72D297353CC}">
              <c16:uniqueId val="{00000002-4FFF-452B-8910-7344975182BD}"/>
            </c:ext>
          </c:extLst>
        </c:ser>
        <c:dLbls>
          <c:showLegendKey val="0"/>
          <c:showVal val="0"/>
          <c:showCatName val="0"/>
          <c:showSerName val="0"/>
          <c:showPercent val="0"/>
          <c:showBubbleSize val="0"/>
        </c:dLbls>
        <c:smooth val="0"/>
        <c:axId val="193934200"/>
        <c:axId val="193938120"/>
      </c:lineChart>
      <c:catAx>
        <c:axId val="193934200"/>
        <c:scaling>
          <c:orientation val="minMax"/>
        </c:scaling>
        <c:delete val="0"/>
        <c:axPos val="b"/>
        <c:majorGridlines>
          <c:spPr>
            <a:ln>
              <a:solidFill>
                <a:srgbClr val="A0A0A0"/>
              </a:solidFill>
              <a:prstDash val="dash"/>
            </a:ln>
          </c:spPr>
        </c:majorGridlines>
        <c:numFmt formatCode="General" sourceLinked="1"/>
        <c:majorTickMark val="out"/>
        <c:minorTickMark val="none"/>
        <c:tickLblPos val="low"/>
        <c:spPr>
          <a:ln>
            <a:solidFill>
              <a:schemeClr val="tx1"/>
            </a:solidFill>
          </a:ln>
        </c:spPr>
        <c:txPr>
          <a:bodyPr rot="-5400000" vert="horz"/>
          <a:lstStyle/>
          <a:p>
            <a:pPr>
              <a:defRPr sz="7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193938120"/>
        <c:crosses val="autoZero"/>
        <c:auto val="1"/>
        <c:lblAlgn val="ctr"/>
        <c:lblOffset val="100"/>
        <c:tickLblSkip val="1"/>
        <c:tickMarkSkip val="1"/>
        <c:noMultiLvlLbl val="0"/>
      </c:catAx>
      <c:valAx>
        <c:axId val="193938120"/>
        <c:scaling>
          <c:orientation val="minMax"/>
          <c:min val="0"/>
        </c:scaling>
        <c:delete val="0"/>
        <c:axPos val="l"/>
        <c:majorGridlines>
          <c:spPr>
            <a:ln>
              <a:solidFill>
                <a:srgbClr val="A0A0A0"/>
              </a:solidFill>
            </a:ln>
          </c:spPr>
        </c:majorGridlines>
        <c:title>
          <c:tx>
            <c:rich>
              <a:bodyPr/>
              <a:lstStyle/>
              <a:p>
                <a:pPr>
                  <a:defRPr sz="900" b="0" i="0" u="none" strike="noStrike" baseline="0">
                    <a:solidFill>
                      <a:srgbClr val="000000"/>
                    </a:solidFill>
                    <a:latin typeface="Arial" panose="020B0604020202020204" pitchFamily="34" charset="0"/>
                    <a:ea typeface="Calibri"/>
                    <a:cs typeface="Arial" panose="020B0604020202020204" pitchFamily="34" charset="0"/>
                  </a:defRPr>
                </a:pPr>
                <a:r>
                  <a:rPr lang="en-NZ" sz="900" baseline="0">
                    <a:latin typeface="Arial" panose="020B0604020202020204" pitchFamily="34" charset="0"/>
                    <a:cs typeface="Arial" panose="020B0604020202020204" pitchFamily="34" charset="0"/>
                  </a:rPr>
                  <a:t>Milk Solids produced per month ('000 kg)</a:t>
                </a:r>
                <a:endParaRPr lang="en-NZ" sz="900">
                  <a:latin typeface="Arial" panose="020B0604020202020204" pitchFamily="34" charset="0"/>
                  <a:cs typeface="Arial" panose="020B0604020202020204" pitchFamily="34" charset="0"/>
                </a:endParaRPr>
              </a:p>
            </c:rich>
          </c:tx>
          <c:layout>
            <c:manualLayout>
              <c:xMode val="edge"/>
              <c:yMode val="edge"/>
              <c:x val="1.3934341227102021E-2"/>
              <c:y val="0.13660254224595866"/>
            </c:manualLayout>
          </c:layout>
          <c:overlay val="0"/>
          <c:spPr>
            <a:noFill/>
            <a:ln w="25400">
              <a:noFill/>
            </a:ln>
          </c:spPr>
        </c:title>
        <c:numFmt formatCode="#,##0" sourceLinked="0"/>
        <c:majorTickMark val="out"/>
        <c:minorTickMark val="none"/>
        <c:tickLblPos val="nextTo"/>
        <c:spPr>
          <a:ln>
            <a:solidFill>
              <a:schemeClr val="tx1"/>
            </a:solidFill>
          </a:ln>
        </c:spPr>
        <c:txPr>
          <a:bodyPr rot="0" vert="horz"/>
          <a:lstStyle/>
          <a:p>
            <a:pPr>
              <a:defRPr sz="7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193934200"/>
        <c:crosses val="autoZero"/>
        <c:crossBetween val="midCat"/>
      </c:valAx>
      <c:spPr>
        <a:solidFill>
          <a:schemeClr val="bg1"/>
        </a:solidFill>
      </c:spPr>
    </c:plotArea>
    <c:legend>
      <c:legendPos val="b"/>
      <c:layout>
        <c:manualLayout>
          <c:xMode val="edge"/>
          <c:yMode val="edge"/>
          <c:x val="0.2497400461741188"/>
          <c:y val="0.90038041130934587"/>
          <c:w val="0.48175260582167312"/>
          <c:h val="6.7297584637363364E-2"/>
        </c:manualLayout>
      </c:layout>
      <c:overlay val="0"/>
      <c:txPr>
        <a:bodyPr/>
        <a:lstStyle/>
        <a:p>
          <a:pPr>
            <a:defRPr sz="9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legend>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7618135229658"/>
          <c:y val="3.7992700729927005E-2"/>
          <c:w val="0.86392175222123913"/>
          <c:h val="0.86797584930858906"/>
        </c:manualLayout>
      </c:layout>
      <c:barChart>
        <c:barDir val="col"/>
        <c:grouping val="clustered"/>
        <c:varyColors val="0"/>
        <c:ser>
          <c:idx val="1"/>
          <c:order val="0"/>
          <c:tx>
            <c:strRef>
              <c:f>'Figure 5.5.2'!$C$6</c:f>
              <c:strCache>
                <c:ptCount val="1"/>
                <c:pt idx="0">
                  <c:v>Synthethic fertiliser use (tonnes N)</c:v>
                </c:pt>
              </c:strCache>
            </c:strRef>
          </c:tx>
          <c:spPr>
            <a:solidFill>
              <a:schemeClr val="accent1"/>
            </a:solidFill>
          </c:spPr>
          <c:invertIfNegative val="0"/>
          <c:cat>
            <c:numRef>
              <c:f>'Figure 5.5.2'!$A$7:$A$38</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'Figure 5.5.2'!$C$7:$C$38</c:f>
              <c:numCache>
                <c:formatCode>#,##0</c:formatCode>
                <c:ptCount val="32"/>
                <c:pt idx="0">
                  <c:v>59265</c:v>
                </c:pt>
                <c:pt idx="1">
                  <c:v>61694</c:v>
                </c:pt>
                <c:pt idx="2">
                  <c:v>70122</c:v>
                </c:pt>
                <c:pt idx="3">
                  <c:v>104095</c:v>
                </c:pt>
                <c:pt idx="4">
                  <c:v>124131</c:v>
                </c:pt>
                <c:pt idx="5">
                  <c:v>151263</c:v>
                </c:pt>
                <c:pt idx="6">
                  <c:v>153780</c:v>
                </c:pt>
                <c:pt idx="7">
                  <c:v>143295</c:v>
                </c:pt>
                <c:pt idx="8">
                  <c:v>155467</c:v>
                </c:pt>
                <c:pt idx="9">
                  <c:v>166819</c:v>
                </c:pt>
                <c:pt idx="10">
                  <c:v>189096</c:v>
                </c:pt>
                <c:pt idx="11">
                  <c:v>248000</c:v>
                </c:pt>
                <c:pt idx="12">
                  <c:v>279000</c:v>
                </c:pt>
                <c:pt idx="13">
                  <c:v>323000</c:v>
                </c:pt>
                <c:pt idx="14">
                  <c:v>348000</c:v>
                </c:pt>
                <c:pt idx="15">
                  <c:v>355000</c:v>
                </c:pt>
                <c:pt idx="16">
                  <c:v>310000</c:v>
                </c:pt>
                <c:pt idx="17">
                  <c:v>312000</c:v>
                </c:pt>
                <c:pt idx="18">
                  <c:v>328000</c:v>
                </c:pt>
                <c:pt idx="19">
                  <c:v>297000</c:v>
                </c:pt>
                <c:pt idx="20">
                  <c:v>341000</c:v>
                </c:pt>
                <c:pt idx="21">
                  <c:v>367000</c:v>
                </c:pt>
                <c:pt idx="22">
                  <c:v>363000</c:v>
                </c:pt>
                <c:pt idx="23">
                  <c:v>370000</c:v>
                </c:pt>
                <c:pt idx="24">
                  <c:v>405000</c:v>
                </c:pt>
                <c:pt idx="25">
                  <c:v>429000</c:v>
                </c:pt>
                <c:pt idx="26">
                  <c:v>432000</c:v>
                </c:pt>
                <c:pt idx="27">
                  <c:v>443000</c:v>
                </c:pt>
                <c:pt idx="28">
                  <c:v>458000</c:v>
                </c:pt>
                <c:pt idx="29">
                  <c:v>452000</c:v>
                </c:pt>
                <c:pt idx="30">
                  <c:v>470000</c:v>
                </c:pt>
                <c:pt idx="31">
                  <c:v>441000</c:v>
                </c:pt>
              </c:numCache>
            </c:numRef>
          </c:val>
          <c:extLst>
            <c:ext xmlns:c16="http://schemas.microsoft.com/office/drawing/2014/chart" uri="{C3380CC4-5D6E-409C-BE32-E72D297353CC}">
              <c16:uniqueId val="{00000000-EA42-40C2-913B-10BC9F6721D9}"/>
            </c:ext>
          </c:extLst>
        </c:ser>
        <c:dLbls>
          <c:showLegendKey val="0"/>
          <c:showVal val="0"/>
          <c:showCatName val="0"/>
          <c:showSerName val="0"/>
          <c:showPercent val="0"/>
          <c:showBubbleSize val="0"/>
        </c:dLbls>
        <c:gapWidth val="103"/>
        <c:overlap val="52"/>
        <c:axId val="197304224"/>
        <c:axId val="197308144"/>
      </c:barChart>
      <c:catAx>
        <c:axId val="197304224"/>
        <c:scaling>
          <c:orientation val="minMax"/>
        </c:scaling>
        <c:delete val="0"/>
        <c:axPos val="b"/>
        <c:numFmt formatCode="General" sourceLinked="1"/>
        <c:majorTickMark val="out"/>
        <c:minorTickMark val="none"/>
        <c:tickLblPos val="nextTo"/>
        <c:txPr>
          <a:bodyPr rot="-5400000" vert="horz"/>
          <a:lstStyle/>
          <a:p>
            <a:pPr>
              <a:defRPr sz="700"/>
            </a:pPr>
            <a:endParaRPr lang="en-US"/>
          </a:p>
        </c:txPr>
        <c:crossAx val="197308144"/>
        <c:crosses val="autoZero"/>
        <c:auto val="1"/>
        <c:lblAlgn val="ctr"/>
        <c:lblOffset val="100"/>
        <c:tickLblSkip val="2"/>
        <c:tickMarkSkip val="1"/>
        <c:noMultiLvlLbl val="0"/>
      </c:catAx>
      <c:valAx>
        <c:axId val="197308144"/>
        <c:scaling>
          <c:orientation val="minMax"/>
        </c:scaling>
        <c:delete val="0"/>
        <c:axPos val="l"/>
        <c:majorGridlines/>
        <c:title>
          <c:tx>
            <c:rich>
              <a:bodyPr/>
              <a:lstStyle/>
              <a:p>
                <a:pPr>
                  <a:defRPr sz="900" b="0"/>
                </a:pPr>
                <a:r>
                  <a:rPr lang="en-NZ" sz="900" b="0"/>
                  <a:t>Tonnes of synthethic fertiliser nitrogen</a:t>
                </a:r>
              </a:p>
            </c:rich>
          </c:tx>
          <c:layout>
            <c:manualLayout>
              <c:xMode val="edge"/>
              <c:yMode val="edge"/>
              <c:x val="2.3014959723820483E-3"/>
              <c:y val="0.19330986895189339"/>
            </c:manualLayout>
          </c:layout>
          <c:overlay val="0"/>
        </c:title>
        <c:numFmt formatCode="#,##0" sourceLinked="0"/>
        <c:majorTickMark val="out"/>
        <c:minorTickMark val="none"/>
        <c:tickLblPos val="nextTo"/>
        <c:txPr>
          <a:bodyPr/>
          <a:lstStyle/>
          <a:p>
            <a:pPr>
              <a:defRPr sz="700"/>
            </a:pPr>
            <a:endParaRPr lang="en-US"/>
          </a:p>
        </c:txPr>
        <c:crossAx val="197304224"/>
        <c:crosses val="autoZero"/>
        <c:crossBetween val="between"/>
      </c:valAx>
    </c:plotArea>
    <c:plotVisOnly val="1"/>
    <c:dispBlanksAs val="gap"/>
    <c:showDLblsOverMax val="0"/>
  </c:chart>
  <c:spPr>
    <a:ln>
      <a:noFill/>
    </a:ln>
  </c:spPr>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38507001857828"/>
          <c:y val="4.5058927293179264E-2"/>
          <c:w val="0.86018532882813004"/>
          <c:h val="0.85972976896914954"/>
        </c:manualLayout>
      </c:layout>
      <c:barChart>
        <c:barDir val="col"/>
        <c:grouping val="clustered"/>
        <c:varyColors val="0"/>
        <c:ser>
          <c:idx val="0"/>
          <c:order val="0"/>
          <c:tx>
            <c:strRef>
              <c:f>'Figure 5.5.3'!$I$7</c:f>
              <c:strCache>
                <c:ptCount val="1"/>
                <c:pt idx="0">
                  <c:v>Percentage of synthetic fertiliser N from urea</c:v>
                </c:pt>
              </c:strCache>
            </c:strRef>
          </c:tx>
          <c:spPr>
            <a:solidFill>
              <a:schemeClr val="accent1"/>
            </a:solidFill>
          </c:spPr>
          <c:invertIfNegative val="0"/>
          <c:cat>
            <c:numRef>
              <c:f>'Figure 5.5.3'!$H$8:$H$39</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'Figure 5.5.3'!$I$8:$I$39</c:f>
              <c:numCache>
                <c:formatCode>0.0</c:formatCode>
                <c:ptCount val="32"/>
                <c:pt idx="0">
                  <c:v>41.484716157205234</c:v>
                </c:pt>
                <c:pt idx="1">
                  <c:v>52.713178294573652</c:v>
                </c:pt>
                <c:pt idx="2">
                  <c:v>45.736434108527128</c:v>
                </c:pt>
                <c:pt idx="3">
                  <c:v>42.478713339640493</c:v>
                </c:pt>
                <c:pt idx="4">
                  <c:v>46.257961783439491</c:v>
                </c:pt>
                <c:pt idx="5">
                  <c:v>56.720257234726681</c:v>
                </c:pt>
                <c:pt idx="6">
                  <c:v>57.857142857142875</c:v>
                </c:pt>
                <c:pt idx="7">
                  <c:v>55.939524838012957</c:v>
                </c:pt>
                <c:pt idx="8">
                  <c:v>66.123778501628664</c:v>
                </c:pt>
                <c:pt idx="9">
                  <c:v>83.333333333333343</c:v>
                </c:pt>
                <c:pt idx="10">
                  <c:v>75.812743823146931</c:v>
                </c:pt>
                <c:pt idx="11">
                  <c:v>75.585284280936463</c:v>
                </c:pt>
                <c:pt idx="12">
                  <c:v>87.754529621167038</c:v>
                </c:pt>
                <c:pt idx="13">
                  <c:v>84.304338898622134</c:v>
                </c:pt>
                <c:pt idx="14">
                  <c:v>82.022175290390706</c:v>
                </c:pt>
                <c:pt idx="15">
                  <c:v>80.678949371907123</c:v>
                </c:pt>
                <c:pt idx="16">
                  <c:v>85.441779035983004</c:v>
                </c:pt>
                <c:pt idx="17">
                  <c:v>91.737629979796097</c:v>
                </c:pt>
                <c:pt idx="18">
                  <c:v>84.209779971062432</c:v>
                </c:pt>
                <c:pt idx="19">
                  <c:v>78.970703388686388</c:v>
                </c:pt>
                <c:pt idx="20">
                  <c:v>82.660248354672206</c:v>
                </c:pt>
                <c:pt idx="21">
                  <c:v>84.947125618639816</c:v>
                </c:pt>
                <c:pt idx="22">
                  <c:v>85.405061564097124</c:v>
                </c:pt>
                <c:pt idx="23">
                  <c:v>88.188399280575553</c:v>
                </c:pt>
                <c:pt idx="24">
                  <c:v>79.100370370370371</c:v>
                </c:pt>
                <c:pt idx="25">
                  <c:v>88.934027972027963</c:v>
                </c:pt>
                <c:pt idx="26">
                  <c:v>83.402777777777786</c:v>
                </c:pt>
                <c:pt idx="27">
                  <c:v>83.295711060948079</c:v>
                </c:pt>
                <c:pt idx="28">
                  <c:v>83.296943231441048</c:v>
                </c:pt>
                <c:pt idx="29">
                  <c:v>79.203539823008853</c:v>
                </c:pt>
                <c:pt idx="30">
                  <c:v>72.340425531914903</c:v>
                </c:pt>
                <c:pt idx="31">
                  <c:v>78.684807256235828</c:v>
                </c:pt>
              </c:numCache>
            </c:numRef>
          </c:val>
          <c:extLst>
            <c:ext xmlns:c16="http://schemas.microsoft.com/office/drawing/2014/chart" uri="{C3380CC4-5D6E-409C-BE32-E72D297353CC}">
              <c16:uniqueId val="{00000000-2603-49F8-ACA1-1DABA2B81064}"/>
            </c:ext>
          </c:extLst>
        </c:ser>
        <c:dLbls>
          <c:showLegendKey val="0"/>
          <c:showVal val="0"/>
          <c:showCatName val="0"/>
          <c:showSerName val="0"/>
          <c:showPercent val="0"/>
          <c:showBubbleSize val="0"/>
        </c:dLbls>
        <c:gapWidth val="103"/>
        <c:overlap val="52"/>
        <c:axId val="197306576"/>
        <c:axId val="197308536"/>
      </c:barChart>
      <c:catAx>
        <c:axId val="197306576"/>
        <c:scaling>
          <c:orientation val="minMax"/>
        </c:scaling>
        <c:delete val="0"/>
        <c:axPos val="b"/>
        <c:numFmt formatCode="General" sourceLinked="1"/>
        <c:majorTickMark val="out"/>
        <c:minorTickMark val="none"/>
        <c:tickLblPos val="nextTo"/>
        <c:txPr>
          <a:bodyPr rot="-5400000" vert="horz"/>
          <a:lstStyle/>
          <a:p>
            <a:pPr>
              <a:defRPr sz="700"/>
            </a:pPr>
            <a:endParaRPr lang="en-US"/>
          </a:p>
        </c:txPr>
        <c:crossAx val="197308536"/>
        <c:crosses val="autoZero"/>
        <c:auto val="1"/>
        <c:lblAlgn val="ctr"/>
        <c:lblOffset val="100"/>
        <c:tickLblSkip val="2"/>
        <c:noMultiLvlLbl val="0"/>
      </c:catAx>
      <c:valAx>
        <c:axId val="197308536"/>
        <c:scaling>
          <c:orientation val="minMax"/>
        </c:scaling>
        <c:delete val="0"/>
        <c:axPos val="l"/>
        <c:majorGridlines>
          <c:spPr>
            <a:ln>
              <a:solidFill>
                <a:srgbClr val="A0A0A0"/>
              </a:solidFill>
            </a:ln>
          </c:spPr>
        </c:majorGridlines>
        <c:title>
          <c:tx>
            <c:rich>
              <a:bodyPr/>
              <a:lstStyle/>
              <a:p>
                <a:pPr>
                  <a:defRPr sz="900" b="0"/>
                </a:pPr>
                <a:r>
                  <a:rPr lang="en-NZ" sz="900" b="0"/>
                  <a:t>Percentage of synthetic fertiliser nitrogen derived from urea</a:t>
                </a:r>
              </a:p>
            </c:rich>
          </c:tx>
          <c:layout>
            <c:manualLayout>
              <c:xMode val="edge"/>
              <c:yMode val="edge"/>
              <c:x val="0"/>
              <c:y val="0.1010551948051948"/>
            </c:manualLayout>
          </c:layout>
          <c:overlay val="0"/>
        </c:title>
        <c:numFmt formatCode="0" sourceLinked="0"/>
        <c:majorTickMark val="out"/>
        <c:minorTickMark val="none"/>
        <c:tickLblPos val="nextTo"/>
        <c:txPr>
          <a:bodyPr/>
          <a:lstStyle/>
          <a:p>
            <a:pPr>
              <a:defRPr sz="700"/>
            </a:pPr>
            <a:endParaRPr lang="en-US"/>
          </a:p>
        </c:txPr>
        <c:crossAx val="197306576"/>
        <c:crosses val="autoZero"/>
        <c:crossBetween val="between"/>
      </c:valAx>
    </c:plotArea>
    <c:plotVisOnly val="1"/>
    <c:dispBlanksAs val="gap"/>
    <c:showDLblsOverMax val="0"/>
  </c:chart>
  <c:spPr>
    <a:ln>
      <a:noFill/>
    </a:ln>
  </c:spPr>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03573666574652"/>
          <c:y val="6.4774140074595934E-2"/>
          <c:w val="0.87400634335698901"/>
          <c:h val="0.79877215470465213"/>
        </c:manualLayout>
      </c:layout>
      <c:scatterChart>
        <c:scatterStyle val="lineMarker"/>
        <c:varyColors val="0"/>
        <c:ser>
          <c:idx val="0"/>
          <c:order val="0"/>
          <c:spPr>
            <a:ln w="25400">
              <a:solidFill>
                <a:srgbClr val="1B556B"/>
              </a:solidFill>
            </a:ln>
          </c:spPr>
          <c:marker>
            <c:symbol val="none"/>
          </c:marker>
          <c:xVal>
            <c:numRef>
              <c:f>'Ag data'!$A$9:$A$40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xVal>
          <c:yVal>
            <c:numRef>
              <c:f>'Ag data'!$V$9:$V$40</c:f>
              <c:numCache>
                <c:formatCode>General</c:formatCode>
                <c:ptCount val="32"/>
                <c:pt idx="0">
                  <c:v>802.7596050960301</c:v>
                </c:pt>
                <c:pt idx="1">
                  <c:v>866.59707361578194</c:v>
                </c:pt>
                <c:pt idx="2">
                  <c:v>930.43454213553503</c:v>
                </c:pt>
                <c:pt idx="3">
                  <c:v>1007.62797225156</c:v>
                </c:pt>
                <c:pt idx="4">
                  <c:v>1107.0662746312601</c:v>
                </c:pt>
                <c:pt idx="5">
                  <c:v>1206.50359459376</c:v>
                </c:pt>
                <c:pt idx="6">
                  <c:v>1081.80145194855</c:v>
                </c:pt>
                <c:pt idx="7">
                  <c:v>1191.92845327399</c:v>
                </c:pt>
                <c:pt idx="8">
                  <c:v>1302.0564370166101</c:v>
                </c:pt>
                <c:pt idx="9">
                  <c:v>1412.1834383420601</c:v>
                </c:pt>
                <c:pt idx="10">
                  <c:v>1522.3104396675001</c:v>
                </c:pt>
                <c:pt idx="11">
                  <c:v>1632.4384234101199</c:v>
                </c:pt>
                <c:pt idx="12">
                  <c:v>1742.5654247355601</c:v>
                </c:pt>
                <c:pt idx="13">
                  <c:v>1536.88558098727</c:v>
                </c:pt>
                <c:pt idx="14">
                  <c:v>1494.2241148366099</c:v>
                </c:pt>
                <c:pt idx="15">
                  <c:v>1644.87975460948</c:v>
                </c:pt>
                <c:pt idx="16">
                  <c:v>1374.28964277813</c:v>
                </c:pt>
                <c:pt idx="17">
                  <c:v>1460.81701854522</c:v>
                </c:pt>
                <c:pt idx="18">
                  <c:v>1370.3820000000001</c:v>
                </c:pt>
                <c:pt idx="19">
                  <c:v>1614.1320000000001</c:v>
                </c:pt>
                <c:pt idx="20">
                  <c:v>1371.6079999999999</c:v>
                </c:pt>
                <c:pt idx="21">
                  <c:v>1411.414</c:v>
                </c:pt>
                <c:pt idx="22">
                  <c:v>1517.2349999999999</c:v>
                </c:pt>
                <c:pt idx="23">
                  <c:v>1190.855</c:v>
                </c:pt>
                <c:pt idx="24">
                  <c:v>1312.2570000000001</c:v>
                </c:pt>
                <c:pt idx="25">
                  <c:v>1190.1690000000001</c:v>
                </c:pt>
                <c:pt idx="26">
                  <c:v>1144.6479999999999</c:v>
                </c:pt>
                <c:pt idx="27">
                  <c:v>1019.8614047</c:v>
                </c:pt>
                <c:pt idx="28">
                  <c:v>1098.8108</c:v>
                </c:pt>
                <c:pt idx="29">
                  <c:v>1216.694</c:v>
                </c:pt>
                <c:pt idx="30">
                  <c:v>1101.847</c:v>
                </c:pt>
                <c:pt idx="31">
                  <c:v>958.51836391339998</c:v>
                </c:pt>
              </c:numCache>
            </c:numRef>
          </c:yVal>
          <c:smooth val="0"/>
          <c:extLst>
            <c:ext xmlns:c16="http://schemas.microsoft.com/office/drawing/2014/chart" uri="{C3380CC4-5D6E-409C-BE32-E72D297353CC}">
              <c16:uniqueId val="{00000000-C0E5-4DD8-BB6A-7B5FE586B002}"/>
            </c:ext>
          </c:extLst>
        </c:ser>
        <c:dLbls>
          <c:showLegendKey val="0"/>
          <c:showVal val="0"/>
          <c:showCatName val="0"/>
          <c:showSerName val="0"/>
          <c:showPercent val="0"/>
          <c:showBubbleSize val="0"/>
        </c:dLbls>
        <c:axId val="193933416"/>
        <c:axId val="193933808"/>
      </c:scatterChart>
      <c:valAx>
        <c:axId val="193933416"/>
        <c:scaling>
          <c:orientation val="minMax"/>
          <c:max val="2021"/>
          <c:min val="1990"/>
        </c:scaling>
        <c:delete val="0"/>
        <c:axPos val="b"/>
        <c:majorGridlines>
          <c:spPr>
            <a:ln>
              <a:solidFill>
                <a:srgbClr val="A0A0A0"/>
              </a:solidFill>
              <a:prstDash val="dash"/>
            </a:ln>
          </c:spPr>
        </c:majorGridlines>
        <c:minorGridlines>
          <c:spPr>
            <a:ln w="6350">
              <a:solidFill>
                <a:srgbClr val="A0A0A0"/>
              </a:solidFill>
              <a:prstDash val="dash"/>
            </a:ln>
          </c:spPr>
        </c:minorGridlines>
        <c:numFmt formatCode="General" sourceLinked="0"/>
        <c:majorTickMark val="out"/>
        <c:minorTickMark val="out"/>
        <c:tickLblPos val="low"/>
        <c:spPr>
          <a:ln w="12700">
            <a:solidFill>
              <a:sysClr val="windowText" lastClr="000000"/>
            </a:solidFill>
          </a:ln>
        </c:spPr>
        <c:txPr>
          <a:bodyPr rot="-5400000" vert="horz"/>
          <a:lstStyle/>
          <a:p>
            <a:pPr>
              <a:defRPr sz="7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193933808"/>
        <c:crosses val="autoZero"/>
        <c:crossBetween val="midCat"/>
        <c:majorUnit val="2"/>
        <c:minorUnit val="1"/>
      </c:valAx>
      <c:valAx>
        <c:axId val="193933808"/>
        <c:scaling>
          <c:orientation val="minMax"/>
          <c:min val="0"/>
        </c:scaling>
        <c:delete val="0"/>
        <c:axPos val="l"/>
        <c:majorGridlines>
          <c:spPr>
            <a:ln w="6350">
              <a:solidFill>
                <a:srgbClr val="A0A0A0"/>
              </a:solidFill>
            </a:ln>
          </c:spPr>
        </c:majorGridlines>
        <c:title>
          <c:tx>
            <c:rich>
              <a:bodyPr/>
              <a:lstStyle/>
              <a:p>
                <a:pPr>
                  <a:defRPr sz="900" b="0" i="0" u="none" strike="noStrike" baseline="0">
                    <a:solidFill>
                      <a:srgbClr val="000000"/>
                    </a:solidFill>
                    <a:latin typeface="Arial" panose="020B0604020202020204" pitchFamily="34" charset="0"/>
                    <a:ea typeface="Calibri"/>
                    <a:cs typeface="Arial" panose="020B0604020202020204" pitchFamily="34" charset="0"/>
                  </a:defRPr>
                </a:pPr>
                <a:r>
                  <a:rPr lang="en-NZ"/>
                  <a:t>Limestone</a:t>
                </a:r>
                <a:r>
                  <a:rPr lang="en-NZ" baseline="0"/>
                  <a:t> use (kt)</a:t>
                </a:r>
                <a:endParaRPr lang="en-NZ"/>
              </a:p>
            </c:rich>
          </c:tx>
          <c:layout>
            <c:manualLayout>
              <c:xMode val="edge"/>
              <c:yMode val="edge"/>
              <c:x val="1.8437960337224758E-2"/>
              <c:y val="0.31985382035578885"/>
            </c:manualLayout>
          </c:layout>
          <c:overlay val="0"/>
          <c:spPr>
            <a:noFill/>
            <a:ln w="25400">
              <a:noFill/>
            </a:ln>
          </c:spPr>
        </c:title>
        <c:numFmt formatCode="#,##0" sourceLinked="0"/>
        <c:majorTickMark val="out"/>
        <c:minorTickMark val="none"/>
        <c:tickLblPos val="nextTo"/>
        <c:spPr>
          <a:ln w="12700">
            <a:solidFill>
              <a:sysClr val="windowText" lastClr="000000"/>
            </a:solidFill>
          </a:ln>
        </c:spPr>
        <c:txPr>
          <a:bodyPr rot="0" vert="horz"/>
          <a:lstStyle/>
          <a:p>
            <a:pPr>
              <a:defRPr sz="7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193933416"/>
        <c:crosses val="autoZero"/>
        <c:crossBetween val="midCat"/>
      </c:valAx>
      <c:spPr>
        <a:solidFill>
          <a:schemeClr val="bg1"/>
        </a:solidFill>
      </c:spPr>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0.51084</cdr:x>
      <cdr:y>0.82692</cdr:y>
    </cdr:from>
    <cdr:to>
      <cdr:x>0.64286</cdr:x>
      <cdr:y>0.89517</cdr:y>
    </cdr:to>
    <cdr:sp macro="" textlink="">
      <cdr:nvSpPr>
        <cdr:cNvPr id="2" name="Text Box 1"/>
        <cdr:cNvSpPr txBox="1"/>
      </cdr:nvSpPr>
      <cdr:spPr>
        <a:xfrm xmlns:a="http://schemas.openxmlformats.org/drawingml/2006/main">
          <a:off x="2543175" y="3000375"/>
          <a:ext cx="657225"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NZ" sz="900">
              <a:latin typeface="Arial" panose="020B0604020202020204" pitchFamily="34" charset="0"/>
              <a:cs typeface="Arial" panose="020B0604020202020204" pitchFamily="34" charset="0"/>
            </a:rPr>
            <a:t>Year</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8ACF8155A3A45EB900AF04BE422D5B3"/>
        <w:category>
          <w:name w:val="General"/>
          <w:gallery w:val="placeholder"/>
        </w:category>
        <w:types>
          <w:type w:val="bbPlcHdr"/>
        </w:types>
        <w:behaviors>
          <w:behavior w:val="content"/>
        </w:behaviors>
        <w:guid w:val="{D780DBD6-F32A-4418-899F-38BED9987E19}"/>
      </w:docPartPr>
      <w:docPartBody>
        <w:p w:rsidR="00F755D1" w:rsidRDefault="007107B7" w:rsidP="007107B7">
          <w:pPr>
            <w:pStyle w:val="78ACF8155A3A45EB900AF04BE422D5B3"/>
          </w:pPr>
          <w:r w:rsidRPr="00B33749">
            <w:t>Issue type</w:t>
          </w:r>
        </w:p>
      </w:docPartBody>
    </w:docPart>
    <w:docPart>
      <w:docPartPr>
        <w:name w:val="02851C6F4D3A4F37A47F568A5ABA45DB"/>
        <w:category>
          <w:name w:val="General"/>
          <w:gallery w:val="placeholder"/>
        </w:category>
        <w:types>
          <w:type w:val="bbPlcHdr"/>
        </w:types>
        <w:behaviors>
          <w:behavior w:val="content"/>
        </w:behaviors>
        <w:guid w:val="{3FB11896-213C-451C-BAD9-E188EF445A3A}"/>
      </w:docPartPr>
      <w:docPartBody>
        <w:p w:rsidR="00F755D1" w:rsidRDefault="007107B7" w:rsidP="007107B7">
          <w:pPr>
            <w:pStyle w:val="02851C6F4D3A4F37A47F568A5ABA45DB"/>
          </w:pPr>
          <w:r w:rsidRPr="00B33749">
            <w:t>Issue type</w:t>
          </w:r>
        </w:p>
      </w:docPartBody>
    </w:docPart>
    <w:docPart>
      <w:docPartPr>
        <w:name w:val="3D67B04C489C45D590C668478D86472E"/>
        <w:category>
          <w:name w:val="General"/>
          <w:gallery w:val="placeholder"/>
        </w:category>
        <w:types>
          <w:type w:val="bbPlcHdr"/>
        </w:types>
        <w:behaviors>
          <w:behavior w:val="content"/>
        </w:behaviors>
        <w:guid w:val="{D19FA46D-91FE-47E5-8B39-466D1A35A6CF}"/>
      </w:docPartPr>
      <w:docPartBody>
        <w:p w:rsidR="00F755D1" w:rsidRDefault="007107B7" w:rsidP="007107B7">
          <w:pPr>
            <w:pStyle w:val="3D67B04C489C45D590C668478D86472E"/>
          </w:pPr>
          <w:r w:rsidRPr="00B33749">
            <w:t>Issue type</w:t>
          </w:r>
        </w:p>
      </w:docPartBody>
    </w:docPart>
    <w:docPart>
      <w:docPartPr>
        <w:name w:val="C476C562E7CD4BBF9732CEA3AE49FDFC"/>
        <w:category>
          <w:name w:val="General"/>
          <w:gallery w:val="placeholder"/>
        </w:category>
        <w:types>
          <w:type w:val="bbPlcHdr"/>
        </w:types>
        <w:behaviors>
          <w:behavior w:val="content"/>
        </w:behaviors>
        <w:guid w:val="{6F9F7EF1-A8CD-46B9-8146-CF446EE71D4A}"/>
      </w:docPartPr>
      <w:docPartBody>
        <w:p w:rsidR="00F755D1" w:rsidRDefault="007107B7" w:rsidP="007107B7">
          <w:pPr>
            <w:pStyle w:val="C476C562E7CD4BBF9732CEA3AE49FDFC"/>
          </w:pPr>
          <w:r w:rsidRPr="00B33749">
            <w:t>Issue type</w:t>
          </w:r>
        </w:p>
      </w:docPartBody>
    </w:docPart>
    <w:docPart>
      <w:docPartPr>
        <w:name w:val="97899837E29441408729C618D3976E3A"/>
        <w:category>
          <w:name w:val="General"/>
          <w:gallery w:val="placeholder"/>
        </w:category>
        <w:types>
          <w:type w:val="bbPlcHdr"/>
        </w:types>
        <w:behaviors>
          <w:behavior w:val="content"/>
        </w:behaviors>
        <w:guid w:val="{E16D1048-4577-4CDF-BD10-37B7AFA3C4E4}"/>
      </w:docPartPr>
      <w:docPartBody>
        <w:p w:rsidR="00F755D1" w:rsidRDefault="007107B7" w:rsidP="007107B7">
          <w:pPr>
            <w:pStyle w:val="97899837E29441408729C618D3976E3A"/>
          </w:pPr>
          <w:r w:rsidRPr="00B33749">
            <w:t>Issue type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JBHHJB+Arial,Bol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pitch w:val="fixed"/>
    <w:sig w:usb0="00000001" w:usb1="08070000" w:usb2="00000010" w:usb3="00000000" w:csb0="00020000"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algun Gothic">
    <w:panose1 w:val="020B0503020000020004"/>
    <w:charset w:val="81"/>
    <w:family w:val="swiss"/>
    <w:pitch w:val="variable"/>
    <w:sig w:usb0="9000002F" w:usb1="29D77CFB" w:usb2="00000012" w:usb3="00000000" w:csb0="00080001" w:csb1="00000000"/>
  </w:font>
  <w:font w:name="Cordia New">
    <w:panose1 w:val="020B0304020202020204"/>
    <w:charset w:val="DE"/>
    <w:family w:val="roman"/>
    <w:pitch w:val="variable"/>
    <w:sig w:usb0="01000001" w:usb1="00000000" w:usb2="00000000" w:usb3="00000000" w:csb0="00010000" w:csb1="00000000"/>
  </w:font>
  <w:font w:name="Arial Bold">
    <w:panose1 w:val="020B0704020202020204"/>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mn-ea">
    <w:altName w:val="Cambria"/>
    <w:panose1 w:val="00000000000000000000"/>
    <w:charset w:val="00"/>
    <w:family w:val="roman"/>
    <w:notTrueType/>
    <w:pitch w:val="default"/>
  </w:font>
  <w:font w:name="Yu Gothic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07B7"/>
    <w:rsid w:val="002070BD"/>
    <w:rsid w:val="0032119D"/>
    <w:rsid w:val="007107B7"/>
    <w:rsid w:val="00A946AD"/>
    <w:rsid w:val="00B37DA9"/>
    <w:rsid w:val="00B81E0E"/>
    <w:rsid w:val="00BE4390"/>
    <w:rsid w:val="00E56C8A"/>
    <w:rsid w:val="00F755D1"/>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NZ" w:eastAsia="en-N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8ACF8155A3A45EB900AF04BE422D5B3">
    <w:name w:val="78ACF8155A3A45EB900AF04BE422D5B3"/>
    <w:rsid w:val="007107B7"/>
  </w:style>
  <w:style w:type="paragraph" w:customStyle="1" w:styleId="02851C6F4D3A4F37A47F568A5ABA45DB">
    <w:name w:val="02851C6F4D3A4F37A47F568A5ABA45DB"/>
    <w:rsid w:val="007107B7"/>
  </w:style>
  <w:style w:type="paragraph" w:customStyle="1" w:styleId="3D67B04C489C45D590C668478D86472E">
    <w:name w:val="3D67B04C489C45D590C668478D86472E"/>
    <w:rsid w:val="007107B7"/>
  </w:style>
  <w:style w:type="paragraph" w:customStyle="1" w:styleId="C476C562E7CD4BBF9732CEA3AE49FDFC">
    <w:name w:val="C476C562E7CD4BBF9732CEA3AE49FDFC"/>
    <w:rsid w:val="007107B7"/>
  </w:style>
  <w:style w:type="paragraph" w:customStyle="1" w:styleId="97899837E29441408729C618D3976E3A">
    <w:name w:val="97899837E29441408729C618D3976E3A"/>
    <w:rsid w:val="007107B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26D2F2ECAF9A04A8C408D814A846360" ma:contentTypeVersion="12" ma:contentTypeDescription="Create a new document." ma:contentTypeScope="" ma:versionID="1f73228aa18da44b8e9f88308d040bcf">
  <xsd:schema xmlns:xsd="http://www.w3.org/2001/XMLSchema" xmlns:xs="http://www.w3.org/2001/XMLSchema" xmlns:p="http://schemas.microsoft.com/office/2006/metadata/properties" xmlns:ns2="943a7cfa-e79c-4035-8fc0-21bbbb3e7230" xmlns:ns3="6679ce2f-28cc-4c33-8bd7-76a5d5a5eca7" xmlns:ns4="58a6f171-52cb-4404-b47d-af1c8daf8fd1" targetNamespace="http://schemas.microsoft.com/office/2006/metadata/properties" ma:root="true" ma:fieldsID="bd3f74059ddfa629440e3c36dcba75cc" ns2:_="" ns3:_="" ns4:_="">
    <xsd:import namespace="943a7cfa-e79c-4035-8fc0-21bbbb3e7230"/>
    <xsd:import namespace="6679ce2f-28cc-4c33-8bd7-76a5d5a5eca7"/>
    <xsd:import namespace="58a6f171-52cb-4404-b47d-af1c8daf8f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4: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3a7cfa-e79c-4035-8fc0-21bbbb3e72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679ce2f-28cc-4c33-8bd7-76a5d5a5eca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2fba0815-ee14-48cc-b8e2-4aac43feeaea}" ma:internalName="TaxCatchAll" ma:showField="CatchAllData" ma:web="6679ce2f-28cc-4c33-8bd7-76a5d5a5eca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43a7cfa-e79c-4035-8fc0-21bbbb3e7230">
      <Terms xmlns="http://schemas.microsoft.com/office/infopath/2007/PartnerControls"/>
    </lcf76f155ced4ddcb4097134ff3c332f>
    <TaxCatchAll xmlns="58a6f171-52cb-4404-b47d-af1c8daf8fd1" xsi:nil="true"/>
  </documentManagement>
</p:properties>
</file>

<file path=customXml/itemProps1.xml><?xml version="1.0" encoding="utf-8"?>
<ds:datastoreItem xmlns:ds="http://schemas.openxmlformats.org/officeDocument/2006/customXml" ds:itemID="{D8213935-AAF3-4380-9578-ADCC3AAF5D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3a7cfa-e79c-4035-8fc0-21bbbb3e7230"/>
    <ds:schemaRef ds:uri="6679ce2f-28cc-4c33-8bd7-76a5d5a5eca7"/>
    <ds:schemaRef ds:uri="58a6f171-52cb-4404-b47d-af1c8daf8f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9EE946F-FD68-487D-910E-0AC499FE1D9A}">
  <ds:schemaRefs>
    <ds:schemaRef ds:uri="http://schemas.microsoft.com/sharepoint/v3/contenttype/forms"/>
  </ds:schemaRefs>
</ds:datastoreItem>
</file>

<file path=customXml/itemProps3.xml><?xml version="1.0" encoding="utf-8"?>
<ds:datastoreItem xmlns:ds="http://schemas.openxmlformats.org/officeDocument/2006/customXml" ds:itemID="{195E90A5-2D59-46C1-986E-072686680DE5}">
  <ds:schemaRefs>
    <ds:schemaRef ds:uri="http://schemas.openxmlformats.org/officeDocument/2006/bibliography"/>
  </ds:schemaRefs>
</ds:datastoreItem>
</file>

<file path=customXml/itemProps4.xml><?xml version="1.0" encoding="utf-8"?>
<ds:datastoreItem xmlns:ds="http://schemas.openxmlformats.org/officeDocument/2006/customXml" ds:itemID="{54F5B537-D2A0-4633-8A8E-BF70DD31FD2F}">
  <ds:schemaRefs>
    <ds:schemaRef ds:uri="http://www.w3.org/XML/1998/namespace"/>
    <ds:schemaRef ds:uri="http://purl.org/dc/elements/1.1/"/>
    <ds:schemaRef ds:uri="http://schemas.microsoft.com/office/2006/metadata/properties"/>
    <ds:schemaRef ds:uri="http://purl.org/dc/terms/"/>
    <ds:schemaRef ds:uri="58a6f171-52cb-4404-b47d-af1c8daf8fd1"/>
    <ds:schemaRef ds:uri="943a7cfa-e79c-4035-8fc0-21bbbb3e7230"/>
    <ds:schemaRef ds:uri="http://schemas.microsoft.com/office/2006/documentManagement/types"/>
    <ds:schemaRef ds:uri="http://purl.org/dc/dcmitype/"/>
    <ds:schemaRef ds:uri="http://schemas.openxmlformats.org/package/2006/metadata/core-properties"/>
    <ds:schemaRef ds:uri="http://schemas.microsoft.com/office/infopath/2007/PartnerControls"/>
    <ds:schemaRef ds:uri="6679ce2f-28cc-4c33-8bd7-76a5d5a5eca7"/>
  </ds:schemaRefs>
</ds:datastoreItem>
</file>

<file path=docProps/app.xml><?xml version="1.0" encoding="utf-8"?>
<Properties xmlns="http://schemas.openxmlformats.org/officeDocument/2006/extended-properties" xmlns:vt="http://schemas.openxmlformats.org/officeDocument/2006/docPropsVTypes">
  <Template>Rvsd Jan 2022 Greenhouse Gas template</Template>
  <TotalTime>4</TotalTime>
  <Pages>91</Pages>
  <Words>195226</Words>
  <Characters>1112793</Characters>
  <Application>Microsoft Office Word</Application>
  <DocSecurity>0</DocSecurity>
  <Lines>9273</Lines>
  <Paragraphs>2610</Paragraphs>
  <ScaleCrop>false</ScaleCrop>
  <HeadingPairs>
    <vt:vector size="2" baseType="variant">
      <vt:variant>
        <vt:lpstr>Title</vt:lpstr>
      </vt:variant>
      <vt:variant>
        <vt:i4>1</vt:i4>
      </vt:variant>
    </vt:vector>
  </HeadingPairs>
  <TitlesOfParts>
    <vt:vector size="1" baseType="lpstr">
      <vt:lpstr>Table</vt:lpstr>
    </vt:vector>
  </TitlesOfParts>
  <Company> </Company>
  <LinksUpToDate>false</LinksUpToDate>
  <CharactersWithSpaces>1305409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dc:title>
  <dc:subject>Source:</dc:subject>
  <dc:creator>Jenny</dc:creator>
  <cp:keywords/>
  <dc:description/>
  <cp:lastModifiedBy>WalshK</cp:lastModifiedBy>
  <cp:revision>2</cp:revision>
  <cp:lastPrinted>2023-04-06T00:17:00Z</cp:lastPrinted>
  <dcterms:created xsi:type="dcterms:W3CDTF">2023-04-13T05:19:00Z</dcterms:created>
  <dcterms:modified xsi:type="dcterms:W3CDTF">2023-04-13T05:19:00Z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0x010100E26D2F2ECAF9A04A8C408D814A846360</vt:lpwstr>
  </property>
  <property fmtid="{D5CDD505-2E9C-101B-9397-08002B2CF9AE}" pid="3" name="MSIP_Label_52dda6cc-d61d-4fd2-bf18-9b3017d931cc_Enabled">
    <vt:lpwstr>true</vt:lpwstr>
  </property>
  <property fmtid="{D5CDD505-2E9C-101B-9397-08002B2CF9AE}" pid="4" name="MSIP_Label_52dda6cc-d61d-4fd2-bf18-9b3017d931cc_SetDate">
    <vt:lpwstr>2023-04-11T21:41:10Z</vt:lpwstr>
  </property>
  <property fmtid="{D5CDD505-2E9C-101B-9397-08002B2CF9AE}" pid="5" name="MSIP_Label_52dda6cc-d61d-4fd2-bf18-9b3017d931cc_Method">
    <vt:lpwstr>Privileged</vt:lpwstr>
  </property>
  <property fmtid="{D5CDD505-2E9C-101B-9397-08002B2CF9AE}" pid="6" name="MSIP_Label_52dda6cc-d61d-4fd2-bf18-9b3017d931cc_Name">
    <vt:lpwstr>[UNCLASSIFIED]</vt:lpwstr>
  </property>
  <property fmtid="{D5CDD505-2E9C-101B-9397-08002B2CF9AE}" pid="7" name="MSIP_Label_52dda6cc-d61d-4fd2-bf18-9b3017d931cc_SiteId">
    <vt:lpwstr>761dd003-d4ff-4049-8a72-8549b20fcbb1</vt:lpwstr>
  </property>
  <property fmtid="{D5CDD505-2E9C-101B-9397-08002B2CF9AE}" pid="8" name="MSIP_Label_52dda6cc-d61d-4fd2-bf18-9b3017d931cc_ActionId">
    <vt:lpwstr>a35b4e35-3bed-4ccd-9aad-f227b3cbf1d1</vt:lpwstr>
  </property>
  <property fmtid="{D5CDD505-2E9C-101B-9397-08002B2CF9AE}" pid="9" name="MSIP_Label_52dda6cc-d61d-4fd2-bf18-9b3017d931cc_ContentBits">
    <vt:lpwstr>0</vt:lpwstr>
  </property>
</Properties>
</file>